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D7F12D">
      <w:pPr>
        <w:spacing w:line="360" w:lineRule="auto"/>
        <w:jc w:val="center"/>
        <w:rPr>
          <w:b/>
          <w:bCs/>
          <w:color w:val="auto"/>
          <w:sz w:val="44"/>
          <w:szCs w:val="44"/>
        </w:rPr>
      </w:pPr>
      <w:r>
        <w:rPr>
          <w:rFonts w:hint="eastAsia"/>
          <w:b/>
          <w:bCs/>
          <w:color w:val="auto"/>
          <w:sz w:val="44"/>
          <w:szCs w:val="44"/>
        </w:rPr>
        <w:t xml:space="preserve"> </w:t>
      </w:r>
    </w:p>
    <w:p w14:paraId="045504F9">
      <w:pPr>
        <w:spacing w:line="360" w:lineRule="auto"/>
        <w:jc w:val="center"/>
        <w:rPr>
          <w:b/>
          <w:bCs/>
          <w:color w:val="auto"/>
          <w:sz w:val="44"/>
          <w:szCs w:val="44"/>
        </w:rPr>
      </w:pPr>
    </w:p>
    <w:p w14:paraId="49130707">
      <w:pPr>
        <w:spacing w:line="360" w:lineRule="auto"/>
        <w:jc w:val="center"/>
        <w:rPr>
          <w:b/>
          <w:bCs/>
          <w:color w:val="auto"/>
          <w:sz w:val="44"/>
          <w:szCs w:val="44"/>
        </w:rPr>
      </w:pPr>
    </w:p>
    <w:p w14:paraId="01A53A1C">
      <w:pPr>
        <w:spacing w:line="360" w:lineRule="auto"/>
        <w:ind w:firstLine="0" w:firstLineChars="0"/>
        <w:jc w:val="center"/>
        <w:rPr>
          <w:b/>
          <w:bCs/>
          <w:color w:val="auto"/>
          <w:sz w:val="44"/>
          <w:szCs w:val="44"/>
        </w:rPr>
      </w:pPr>
      <w:r>
        <w:rPr>
          <w:rFonts w:hint="eastAsia"/>
          <w:b/>
          <w:bCs/>
          <w:color w:val="auto"/>
          <w:sz w:val="44"/>
          <w:szCs w:val="44"/>
        </w:rPr>
        <w:t>启东亚太药业有限公司</w:t>
      </w:r>
    </w:p>
    <w:p w14:paraId="082F2C09">
      <w:pPr>
        <w:spacing w:line="360" w:lineRule="auto"/>
        <w:ind w:firstLine="0" w:firstLineChars="0"/>
        <w:jc w:val="center"/>
        <w:rPr>
          <w:b/>
          <w:bCs/>
          <w:color w:val="auto"/>
          <w:sz w:val="44"/>
          <w:szCs w:val="44"/>
        </w:rPr>
      </w:pPr>
      <w:r>
        <w:rPr>
          <w:rFonts w:hint="eastAsia"/>
          <w:b/>
          <w:bCs/>
          <w:color w:val="auto"/>
          <w:sz w:val="44"/>
          <w:szCs w:val="44"/>
        </w:rPr>
        <w:t>含硫无机盐高品质多元化升级技改项目</w:t>
      </w:r>
    </w:p>
    <w:p w14:paraId="6A243C28">
      <w:pPr>
        <w:spacing w:line="360" w:lineRule="auto"/>
        <w:ind w:firstLine="0" w:firstLineChars="0"/>
        <w:jc w:val="center"/>
        <w:rPr>
          <w:color w:val="auto"/>
        </w:rPr>
      </w:pPr>
    </w:p>
    <w:p w14:paraId="532C9F81">
      <w:pPr>
        <w:spacing w:line="360" w:lineRule="auto"/>
        <w:ind w:firstLine="0" w:firstLineChars="0"/>
        <w:jc w:val="center"/>
        <w:rPr>
          <w:b/>
          <w:bCs/>
          <w:color w:val="auto"/>
          <w:sz w:val="72"/>
          <w:szCs w:val="112"/>
        </w:rPr>
      </w:pPr>
      <w:r>
        <w:rPr>
          <w:b/>
          <w:bCs/>
          <w:color w:val="auto"/>
          <w:sz w:val="72"/>
          <w:szCs w:val="112"/>
        </w:rPr>
        <w:t>环境影响报告书</w:t>
      </w:r>
    </w:p>
    <w:p w14:paraId="53CC044D">
      <w:pPr>
        <w:spacing w:line="360" w:lineRule="auto"/>
        <w:ind w:firstLine="0" w:firstLineChars="0"/>
        <w:jc w:val="center"/>
        <w:rPr>
          <w:b/>
          <w:color w:val="auto"/>
          <w:sz w:val="36"/>
          <w:szCs w:val="48"/>
        </w:rPr>
      </w:pPr>
      <w:r>
        <w:rPr>
          <w:b/>
          <w:color w:val="auto"/>
          <w:sz w:val="36"/>
          <w:szCs w:val="48"/>
        </w:rPr>
        <w:t>（</w:t>
      </w:r>
      <w:r>
        <w:rPr>
          <w:rFonts w:hint="eastAsia"/>
          <w:b/>
          <w:color w:val="auto"/>
          <w:sz w:val="36"/>
          <w:szCs w:val="48"/>
          <w:lang w:val="en-US" w:eastAsia="zh-CN"/>
        </w:rPr>
        <w:t>征求意见稿</w:t>
      </w:r>
      <w:r>
        <w:rPr>
          <w:b/>
          <w:color w:val="auto"/>
          <w:sz w:val="36"/>
          <w:szCs w:val="48"/>
        </w:rPr>
        <w:t>）</w:t>
      </w:r>
    </w:p>
    <w:p w14:paraId="3245421F">
      <w:pPr>
        <w:spacing w:line="360" w:lineRule="auto"/>
        <w:ind w:firstLine="480"/>
        <w:rPr>
          <w:color w:val="auto"/>
        </w:rPr>
      </w:pPr>
    </w:p>
    <w:p w14:paraId="632DCD2C">
      <w:pPr>
        <w:spacing w:line="360" w:lineRule="auto"/>
        <w:ind w:firstLine="480"/>
        <w:rPr>
          <w:rFonts w:eastAsia="仿宋_GB2312"/>
          <w:color w:val="auto"/>
        </w:rPr>
      </w:pPr>
    </w:p>
    <w:p w14:paraId="4F67BC13">
      <w:pPr>
        <w:spacing w:line="360" w:lineRule="auto"/>
        <w:ind w:firstLine="480"/>
        <w:rPr>
          <w:color w:val="auto"/>
        </w:rPr>
      </w:pPr>
    </w:p>
    <w:p w14:paraId="2EFB8426">
      <w:pPr>
        <w:spacing w:line="360" w:lineRule="auto"/>
        <w:ind w:firstLine="480"/>
        <w:rPr>
          <w:color w:val="auto"/>
        </w:rPr>
      </w:pPr>
    </w:p>
    <w:p w14:paraId="0FF1426D">
      <w:pPr>
        <w:spacing w:line="360" w:lineRule="auto"/>
        <w:ind w:firstLine="480"/>
        <w:rPr>
          <w:color w:val="auto"/>
        </w:rPr>
      </w:pPr>
    </w:p>
    <w:p w14:paraId="5A482362">
      <w:pPr>
        <w:spacing w:line="360" w:lineRule="auto"/>
        <w:ind w:firstLine="480"/>
        <w:rPr>
          <w:color w:val="auto"/>
        </w:rPr>
      </w:pPr>
    </w:p>
    <w:p w14:paraId="54FF1A3B">
      <w:pPr>
        <w:spacing w:line="360" w:lineRule="auto"/>
        <w:ind w:firstLine="480"/>
        <w:rPr>
          <w:color w:val="auto"/>
        </w:rPr>
      </w:pPr>
    </w:p>
    <w:p w14:paraId="4844521D">
      <w:pPr>
        <w:spacing w:line="360" w:lineRule="auto"/>
        <w:ind w:firstLine="0" w:firstLineChars="0"/>
        <w:jc w:val="center"/>
        <w:rPr>
          <w:b/>
          <w:color w:val="auto"/>
          <w:sz w:val="32"/>
          <w:szCs w:val="36"/>
        </w:rPr>
      </w:pPr>
      <w:r>
        <w:rPr>
          <w:b/>
          <w:color w:val="auto"/>
          <w:sz w:val="32"/>
          <w:szCs w:val="36"/>
        </w:rPr>
        <w:t>建设单位：</w:t>
      </w:r>
      <w:r>
        <w:rPr>
          <w:rFonts w:hint="eastAsia"/>
          <w:b/>
          <w:color w:val="auto"/>
          <w:sz w:val="32"/>
          <w:szCs w:val="36"/>
        </w:rPr>
        <w:t>启东亚太药业有限公司</w:t>
      </w:r>
    </w:p>
    <w:p w14:paraId="310AE7CF">
      <w:pPr>
        <w:spacing w:line="360" w:lineRule="auto"/>
        <w:ind w:firstLine="0" w:firstLineChars="0"/>
        <w:jc w:val="center"/>
        <w:rPr>
          <w:b/>
          <w:bCs/>
          <w:color w:val="auto"/>
          <w:sz w:val="32"/>
          <w:szCs w:val="36"/>
        </w:rPr>
      </w:pPr>
      <w:r>
        <w:rPr>
          <w:b/>
          <w:color w:val="auto"/>
          <w:sz w:val="32"/>
          <w:szCs w:val="36"/>
        </w:rPr>
        <w:t>环评单位：南通国信环境科技有限公司</w:t>
      </w:r>
    </w:p>
    <w:p w14:paraId="27DA0501">
      <w:pPr>
        <w:spacing w:line="360" w:lineRule="auto"/>
        <w:ind w:firstLine="643"/>
        <w:jc w:val="center"/>
        <w:rPr>
          <w:b/>
          <w:color w:val="auto"/>
          <w:sz w:val="32"/>
          <w:szCs w:val="36"/>
        </w:rPr>
      </w:pPr>
    </w:p>
    <w:p w14:paraId="6A23601E">
      <w:pPr>
        <w:spacing w:line="360" w:lineRule="auto"/>
        <w:ind w:firstLine="0" w:firstLineChars="0"/>
        <w:jc w:val="center"/>
        <w:rPr>
          <w:b/>
          <w:color w:val="auto"/>
          <w:sz w:val="32"/>
          <w:szCs w:val="36"/>
        </w:rPr>
      </w:pPr>
      <w:r>
        <w:rPr>
          <w:b/>
          <w:color w:val="auto"/>
          <w:sz w:val="32"/>
          <w:szCs w:val="36"/>
        </w:rPr>
        <w:t>二〇</w:t>
      </w:r>
      <w:r>
        <w:rPr>
          <w:rFonts w:hint="eastAsia"/>
          <w:b/>
          <w:color w:val="auto"/>
          <w:sz w:val="32"/>
          <w:szCs w:val="36"/>
        </w:rPr>
        <w:t>二六</w:t>
      </w:r>
      <w:r>
        <w:rPr>
          <w:b/>
          <w:color w:val="auto"/>
          <w:sz w:val="32"/>
          <w:szCs w:val="36"/>
        </w:rPr>
        <w:t>年</w:t>
      </w:r>
      <w:r>
        <w:rPr>
          <w:rFonts w:hint="eastAsia"/>
          <w:b/>
          <w:color w:val="auto"/>
          <w:sz w:val="32"/>
          <w:szCs w:val="36"/>
          <w:lang w:val="en-US" w:eastAsia="zh-CN"/>
        </w:rPr>
        <w:t>六</w:t>
      </w:r>
      <w:r>
        <w:rPr>
          <w:b/>
          <w:color w:val="auto"/>
          <w:sz w:val="32"/>
          <w:szCs w:val="36"/>
        </w:rPr>
        <w:t>月</w:t>
      </w:r>
    </w:p>
    <w:p w14:paraId="07BF03A9">
      <w:pPr>
        <w:ind w:firstLine="480"/>
        <w:rPr>
          <w:color w:val="auto"/>
        </w:rPr>
        <w:sectPr>
          <w:pgSz w:w="11906" w:h="16838"/>
          <w:pgMar w:top="1134" w:right="1134" w:bottom="1134" w:left="1134" w:header="851" w:footer="992" w:gutter="0"/>
          <w:cols w:space="425" w:num="1"/>
          <w:docGrid w:type="lines" w:linePitch="312" w:charSpace="0"/>
        </w:sectPr>
      </w:pPr>
    </w:p>
    <w:sdt>
      <w:sdtPr>
        <w:rPr>
          <w:rFonts w:ascii="宋体" w:hAnsi="宋体"/>
          <w:b/>
          <w:bCs/>
          <w:color w:val="auto"/>
          <w:sz w:val="21"/>
        </w:rPr>
        <w:id w:val="147468331"/>
        <w15:color w:val="DBDBDB"/>
        <w:docPartObj>
          <w:docPartGallery w:val="Table of Contents"/>
          <w:docPartUnique/>
        </w:docPartObj>
      </w:sdtPr>
      <w:sdtEndPr>
        <w:rPr>
          <w:rFonts w:ascii="Times New Roman" w:hAnsi="Times New Roman"/>
          <w:b/>
          <w:bCs/>
          <w:color w:val="auto"/>
          <w:sz w:val="24"/>
        </w:rPr>
      </w:sdtEndPr>
      <w:sdtContent>
        <w:p w14:paraId="42C932D8">
          <w:pPr>
            <w:spacing w:line="240" w:lineRule="auto"/>
            <w:ind w:firstLine="0" w:firstLineChars="0"/>
            <w:jc w:val="center"/>
            <w:rPr>
              <w:b/>
              <w:bCs/>
              <w:color w:val="auto"/>
            </w:rPr>
          </w:pPr>
          <w:r>
            <w:rPr>
              <w:rFonts w:ascii="宋体" w:hAnsi="宋体"/>
              <w:b/>
              <w:bCs/>
              <w:color w:val="auto"/>
              <w:sz w:val="21"/>
            </w:rPr>
            <w:t>目</w:t>
          </w:r>
          <w:r>
            <w:rPr>
              <w:rFonts w:hint="eastAsia" w:ascii="宋体" w:hAnsi="宋体"/>
              <w:b/>
              <w:bCs/>
              <w:color w:val="auto"/>
              <w:sz w:val="21"/>
            </w:rPr>
            <w:t xml:space="preserve"> </w:t>
          </w:r>
          <w:r>
            <w:rPr>
              <w:rFonts w:ascii="宋体" w:hAnsi="宋体"/>
              <w:b/>
              <w:bCs/>
              <w:color w:val="auto"/>
              <w:sz w:val="21"/>
            </w:rPr>
            <w:t>录</w:t>
          </w:r>
        </w:p>
        <w:p w14:paraId="26110902">
          <w:pPr>
            <w:pStyle w:val="16"/>
            <w:tabs>
              <w:tab w:val="right" w:leader="dot" w:pos="9638"/>
            </w:tabs>
            <w:spacing w:line="360" w:lineRule="auto"/>
            <w:ind w:firstLine="0" w:firstLineChars="0"/>
            <w:rPr>
              <w:color w:val="auto"/>
            </w:rPr>
          </w:pPr>
          <w:r>
            <w:rPr>
              <w:color w:val="auto"/>
            </w:rPr>
            <w:fldChar w:fldCharType="begin"/>
          </w:r>
          <w:r>
            <w:rPr>
              <w:color w:val="auto"/>
            </w:rPr>
            <w:instrText xml:space="preserve">TOC \o "1-3" \h \u </w:instrText>
          </w:r>
          <w:r>
            <w:rPr>
              <w:color w:val="auto"/>
            </w:rPr>
            <w:fldChar w:fldCharType="separate"/>
          </w:r>
          <w:r>
            <w:rPr>
              <w:color w:val="auto"/>
            </w:rPr>
            <w:fldChar w:fldCharType="begin"/>
          </w:r>
          <w:r>
            <w:rPr>
              <w:color w:val="auto"/>
            </w:rPr>
            <w:instrText xml:space="preserve"> HYPERLINK \l "_Toc14827" </w:instrText>
          </w:r>
          <w:r>
            <w:rPr>
              <w:color w:val="auto"/>
            </w:rPr>
            <w:fldChar w:fldCharType="separate"/>
          </w:r>
          <w:r>
            <w:rPr>
              <w:bCs/>
              <w:color w:val="auto"/>
            </w:rPr>
            <w:t xml:space="preserve">1 </w:t>
          </w:r>
          <w:r>
            <w:rPr>
              <w:rFonts w:hint="eastAsia"/>
              <w:color w:val="auto"/>
            </w:rPr>
            <w:t>概述</w:t>
          </w:r>
          <w:r>
            <w:rPr>
              <w:color w:val="auto"/>
            </w:rPr>
            <w:tab/>
          </w:r>
          <w:r>
            <w:rPr>
              <w:color w:val="auto"/>
            </w:rPr>
            <w:fldChar w:fldCharType="begin"/>
          </w:r>
          <w:r>
            <w:rPr>
              <w:color w:val="auto"/>
            </w:rPr>
            <w:instrText xml:space="preserve"> PAGEREF _Toc14827 \h </w:instrText>
          </w:r>
          <w:r>
            <w:rPr>
              <w:color w:val="auto"/>
            </w:rPr>
            <w:fldChar w:fldCharType="separate"/>
          </w:r>
          <w:r>
            <w:rPr>
              <w:color w:val="auto"/>
            </w:rPr>
            <w:t>1</w:t>
          </w:r>
          <w:r>
            <w:rPr>
              <w:color w:val="auto"/>
            </w:rPr>
            <w:fldChar w:fldCharType="end"/>
          </w:r>
          <w:r>
            <w:rPr>
              <w:color w:val="auto"/>
            </w:rPr>
            <w:fldChar w:fldCharType="end"/>
          </w:r>
        </w:p>
        <w:p w14:paraId="2E3B7F01">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"_Toc1959" </w:instrText>
          </w:r>
          <w:r>
            <w:rPr>
              <w:color w:val="auto"/>
            </w:rPr>
            <w:fldChar w:fldCharType="separate"/>
          </w:r>
          <w:r>
            <w:rPr>
              <w:color w:val="auto"/>
            </w:rPr>
            <w:t>1.1任务由来</w:t>
          </w:r>
          <w:r>
            <w:rPr>
              <w:color w:val="auto"/>
            </w:rPr>
            <w:tab/>
          </w:r>
          <w:r>
            <w:rPr>
              <w:color w:val="auto"/>
            </w:rPr>
            <w:fldChar w:fldCharType="begin"/>
          </w:r>
          <w:r>
            <w:rPr>
              <w:color w:val="auto"/>
            </w:rPr>
            <w:instrText xml:space="preserve"> PAGEREF _Toc1959 \h </w:instrText>
          </w:r>
          <w:r>
            <w:rPr>
              <w:color w:val="auto"/>
            </w:rPr>
            <w:fldChar w:fldCharType="separate"/>
          </w:r>
          <w:r>
            <w:rPr>
              <w:color w:val="auto"/>
            </w:rPr>
            <w:t>1</w:t>
          </w:r>
          <w:r>
            <w:rPr>
              <w:color w:val="auto"/>
            </w:rPr>
            <w:fldChar w:fldCharType="end"/>
          </w:r>
          <w:r>
            <w:rPr>
              <w:color w:val="auto"/>
            </w:rPr>
            <w:fldChar w:fldCharType="end"/>
          </w:r>
        </w:p>
        <w:p w14:paraId="2A9D84B7">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"_Toc9273" </w:instrText>
          </w:r>
          <w:r>
            <w:rPr>
              <w:color w:val="auto"/>
            </w:rPr>
            <w:fldChar w:fldCharType="separate"/>
          </w:r>
          <w:r>
            <w:rPr>
              <w:rFonts w:hint="eastAsia"/>
              <w:color w:val="auto"/>
            </w:rPr>
            <w:t>1.2</w:t>
          </w:r>
          <w:r>
            <w:rPr>
              <w:color w:val="auto"/>
            </w:rPr>
            <w:t>拟建项目特点</w:t>
          </w:r>
          <w:r>
            <w:rPr>
              <w:color w:val="auto"/>
            </w:rPr>
            <w:tab/>
          </w:r>
          <w:r>
            <w:rPr>
              <w:color w:val="auto"/>
            </w:rPr>
            <w:fldChar w:fldCharType="begin"/>
          </w:r>
          <w:r>
            <w:rPr>
              <w:color w:val="auto"/>
            </w:rPr>
            <w:instrText xml:space="preserve"> PAGEREF _Toc9273 \h </w:instrText>
          </w:r>
          <w:r>
            <w:rPr>
              <w:color w:val="auto"/>
            </w:rPr>
            <w:fldChar w:fldCharType="separate"/>
          </w:r>
          <w:r>
            <w:rPr>
              <w:color w:val="auto"/>
            </w:rPr>
            <w:t>2</w:t>
          </w:r>
          <w:r>
            <w:rPr>
              <w:color w:val="auto"/>
            </w:rPr>
            <w:fldChar w:fldCharType="end"/>
          </w:r>
          <w:r>
            <w:rPr>
              <w:color w:val="auto"/>
            </w:rPr>
            <w:fldChar w:fldCharType="end"/>
          </w:r>
        </w:p>
        <w:p w14:paraId="48915CF9">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"_Toc13791" </w:instrText>
          </w:r>
          <w:r>
            <w:rPr>
              <w:color w:val="auto"/>
            </w:rPr>
            <w:fldChar w:fldCharType="separate"/>
          </w:r>
          <w:r>
            <w:rPr>
              <w:rFonts w:hint="eastAsia"/>
              <w:color w:val="auto"/>
            </w:rPr>
            <w:t>1.3</w:t>
          </w:r>
          <w:r>
            <w:rPr>
              <w:color w:val="auto"/>
            </w:rPr>
            <w:t>环境影响评价工作过程</w:t>
          </w:r>
          <w:r>
            <w:rPr>
              <w:color w:val="auto"/>
            </w:rPr>
            <w:tab/>
          </w:r>
          <w:r>
            <w:rPr>
              <w:color w:val="auto"/>
            </w:rPr>
            <w:fldChar w:fldCharType="begin"/>
          </w:r>
          <w:r>
            <w:rPr>
              <w:color w:val="auto"/>
            </w:rPr>
            <w:instrText xml:space="preserve"> PAGEREF _Toc13791 \h </w:instrText>
          </w:r>
          <w:r>
            <w:rPr>
              <w:color w:val="auto"/>
            </w:rPr>
            <w:fldChar w:fldCharType="separate"/>
          </w:r>
          <w:r>
            <w:rPr>
              <w:color w:val="auto"/>
            </w:rPr>
            <w:t>2</w:t>
          </w:r>
          <w:r>
            <w:rPr>
              <w:color w:val="auto"/>
            </w:rPr>
            <w:fldChar w:fldCharType="end"/>
          </w:r>
          <w:r>
            <w:rPr>
              <w:color w:val="auto"/>
            </w:rPr>
            <w:fldChar w:fldCharType="end"/>
          </w:r>
        </w:p>
        <w:p w14:paraId="7628CF2E">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"_Toc8392" </w:instrText>
          </w:r>
          <w:r>
            <w:rPr>
              <w:color w:val="auto"/>
            </w:rPr>
            <w:fldChar w:fldCharType="separate"/>
          </w:r>
          <w:r>
            <w:rPr>
              <w:rFonts w:hint="eastAsia"/>
              <w:color w:val="auto"/>
            </w:rPr>
            <w:t>1.4</w:t>
          </w:r>
          <w:r>
            <w:rPr>
              <w:color w:val="auto"/>
            </w:rPr>
            <w:t>分析判定相关情况</w:t>
          </w:r>
          <w:r>
            <w:rPr>
              <w:color w:val="auto"/>
            </w:rPr>
            <w:tab/>
          </w:r>
          <w:r>
            <w:rPr>
              <w:color w:val="auto"/>
            </w:rPr>
            <w:fldChar w:fldCharType="begin"/>
          </w:r>
          <w:r>
            <w:rPr>
              <w:color w:val="auto"/>
            </w:rPr>
            <w:instrText xml:space="preserve"> PAGEREF _Toc8392 \h </w:instrText>
          </w:r>
          <w:r>
            <w:rPr>
              <w:color w:val="auto"/>
            </w:rPr>
            <w:fldChar w:fldCharType="separate"/>
          </w:r>
          <w:r>
            <w:rPr>
              <w:color w:val="auto"/>
            </w:rPr>
            <w:t>3</w:t>
          </w:r>
          <w:r>
            <w:rPr>
              <w:color w:val="auto"/>
            </w:rPr>
            <w:fldChar w:fldCharType="end"/>
          </w:r>
          <w:r>
            <w:rPr>
              <w:color w:val="auto"/>
            </w:rPr>
            <w:fldChar w:fldCharType="end"/>
          </w:r>
        </w:p>
        <w:p w14:paraId="4C8EDC36">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"_Toc16048" </w:instrText>
          </w:r>
          <w:r>
            <w:rPr>
              <w:color w:val="auto"/>
            </w:rPr>
            <w:fldChar w:fldCharType="separate"/>
          </w:r>
          <w:r>
            <w:rPr>
              <w:rFonts w:hint="eastAsia"/>
              <w:color w:val="auto"/>
            </w:rPr>
            <w:t>1.4.1</w:t>
          </w:r>
          <w:r>
            <w:rPr>
              <w:color w:val="auto"/>
            </w:rPr>
            <w:t>相关产业政策相符性</w:t>
          </w:r>
          <w:r>
            <w:rPr>
              <w:color w:val="auto"/>
            </w:rPr>
            <w:tab/>
          </w:r>
          <w:r>
            <w:rPr>
              <w:color w:val="auto"/>
            </w:rPr>
            <w:fldChar w:fldCharType="begin"/>
          </w:r>
          <w:r>
            <w:rPr>
              <w:color w:val="auto"/>
            </w:rPr>
            <w:instrText xml:space="preserve"> PAGEREF _Toc16048 \h </w:instrText>
          </w:r>
          <w:r>
            <w:rPr>
              <w:color w:val="auto"/>
            </w:rPr>
            <w:fldChar w:fldCharType="separate"/>
          </w:r>
          <w:r>
            <w:rPr>
              <w:color w:val="auto"/>
            </w:rPr>
            <w:t>3</w:t>
          </w:r>
          <w:r>
            <w:rPr>
              <w:color w:val="auto"/>
            </w:rPr>
            <w:fldChar w:fldCharType="end"/>
          </w:r>
          <w:r>
            <w:rPr>
              <w:color w:val="auto"/>
            </w:rPr>
            <w:fldChar w:fldCharType="end"/>
          </w:r>
        </w:p>
        <w:p w14:paraId="72477675">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"_Toc20095" </w:instrText>
          </w:r>
          <w:r>
            <w:rPr>
              <w:color w:val="auto"/>
            </w:rPr>
            <w:fldChar w:fldCharType="separate"/>
          </w:r>
          <w:r>
            <w:rPr>
              <w:rFonts w:hint="eastAsia"/>
              <w:color w:val="auto"/>
            </w:rPr>
            <w:t>1.4.2</w:t>
          </w:r>
          <w:r>
            <w:rPr>
              <w:color w:val="auto"/>
            </w:rPr>
            <w:t>规划</w:t>
          </w:r>
          <w:r>
            <w:rPr>
              <w:bCs/>
              <w:color w:val="auto"/>
            </w:rPr>
            <w:t>及</w:t>
          </w:r>
          <w:r>
            <w:rPr>
              <w:color w:val="auto"/>
            </w:rPr>
            <w:t>规划环评相符性</w:t>
          </w:r>
          <w:r>
            <w:rPr>
              <w:color w:val="auto"/>
            </w:rPr>
            <w:tab/>
          </w:r>
          <w:r>
            <w:rPr>
              <w:color w:val="auto"/>
            </w:rPr>
            <w:fldChar w:fldCharType="begin"/>
          </w:r>
          <w:r>
            <w:rPr>
              <w:color w:val="auto"/>
            </w:rPr>
            <w:instrText xml:space="preserve"> PAGEREF _Toc20095 \h </w:instrText>
          </w:r>
          <w:r>
            <w:rPr>
              <w:color w:val="auto"/>
            </w:rPr>
            <w:fldChar w:fldCharType="separate"/>
          </w:r>
          <w:r>
            <w:rPr>
              <w:color w:val="auto"/>
            </w:rPr>
            <w:t>4</w:t>
          </w:r>
          <w:r>
            <w:rPr>
              <w:color w:val="auto"/>
            </w:rPr>
            <w:fldChar w:fldCharType="end"/>
          </w:r>
          <w:r>
            <w:rPr>
              <w:color w:val="auto"/>
            </w:rPr>
            <w:fldChar w:fldCharType="end"/>
          </w:r>
        </w:p>
        <w:p w14:paraId="2BF2B95A">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"_Toc4651" </w:instrText>
          </w:r>
          <w:r>
            <w:rPr>
              <w:color w:val="auto"/>
            </w:rPr>
            <w:fldChar w:fldCharType="separate"/>
          </w:r>
          <w:r>
            <w:rPr>
              <w:color w:val="auto"/>
            </w:rPr>
            <w:t>1.4.</w:t>
          </w:r>
          <w:r>
            <w:rPr>
              <w:rFonts w:hint="eastAsia"/>
              <w:color w:val="auto"/>
            </w:rPr>
            <w:t>3</w:t>
          </w:r>
          <w:r>
            <w:rPr>
              <w:color w:val="auto"/>
            </w:rPr>
            <w:t>“三线一单”控制要求的相符性</w:t>
          </w:r>
          <w:r>
            <w:rPr>
              <w:color w:val="auto"/>
            </w:rPr>
            <w:tab/>
          </w:r>
          <w:r>
            <w:rPr>
              <w:color w:val="auto"/>
            </w:rPr>
            <w:fldChar w:fldCharType="begin"/>
          </w:r>
          <w:r>
            <w:rPr>
              <w:color w:val="auto"/>
            </w:rPr>
            <w:instrText xml:space="preserve"> PAGEREF _Toc4651 \h </w:instrText>
          </w:r>
          <w:r>
            <w:rPr>
              <w:color w:val="auto"/>
            </w:rPr>
            <w:fldChar w:fldCharType="separate"/>
          </w:r>
          <w:r>
            <w:rPr>
              <w:color w:val="auto"/>
            </w:rPr>
            <w:t>6</w:t>
          </w:r>
          <w:r>
            <w:rPr>
              <w:color w:val="auto"/>
            </w:rPr>
            <w:fldChar w:fldCharType="end"/>
          </w:r>
          <w:r>
            <w:rPr>
              <w:color w:val="auto"/>
            </w:rPr>
            <w:fldChar w:fldCharType="end"/>
          </w:r>
        </w:p>
        <w:p w14:paraId="289940B0">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"_Toc7889" </w:instrText>
          </w:r>
          <w:r>
            <w:rPr>
              <w:color w:val="auto"/>
            </w:rPr>
            <w:fldChar w:fldCharType="separate"/>
          </w:r>
          <w:r>
            <w:rPr>
              <w:rFonts w:hint="eastAsia"/>
              <w:color w:val="auto"/>
            </w:rPr>
            <w:t>1.4.4</w:t>
          </w:r>
          <w:r>
            <w:rPr>
              <w:color w:val="auto"/>
            </w:rPr>
            <w:t>与环保规划的相符性分析</w:t>
          </w:r>
          <w:r>
            <w:rPr>
              <w:color w:val="auto"/>
            </w:rPr>
            <w:tab/>
          </w:r>
          <w:r>
            <w:rPr>
              <w:color w:val="auto"/>
            </w:rPr>
            <w:fldChar w:fldCharType="begin"/>
          </w:r>
          <w:r>
            <w:rPr>
              <w:color w:val="auto"/>
            </w:rPr>
            <w:instrText xml:space="preserve"> PAGEREF _Toc7889 \h </w:instrText>
          </w:r>
          <w:r>
            <w:rPr>
              <w:color w:val="auto"/>
            </w:rPr>
            <w:fldChar w:fldCharType="separate"/>
          </w:r>
          <w:r>
            <w:rPr>
              <w:color w:val="auto"/>
            </w:rPr>
            <w:t>16</w:t>
          </w:r>
          <w:r>
            <w:rPr>
              <w:color w:val="auto"/>
            </w:rPr>
            <w:fldChar w:fldCharType="end"/>
          </w:r>
          <w:r>
            <w:rPr>
              <w:color w:val="auto"/>
            </w:rPr>
            <w:fldChar w:fldCharType="end"/>
          </w:r>
        </w:p>
        <w:p w14:paraId="1F5DE34E">
          <w:pPr>
            <w:pStyle w:val="16"/>
            <w:tabs>
              <w:tab w:val="right" w:leader="dot" w:pos="9638"/>
            </w:tabs>
            <w:spacing w:line="360" w:lineRule="auto"/>
            <w:ind w:firstLine="0" w:firstLineChars="0"/>
            <w:rPr>
              <w:color w:val="auto"/>
            </w:rPr>
          </w:pPr>
          <w:r>
            <w:rPr>
              <w:color w:val="auto"/>
            </w:rPr>
            <w:fldChar w:fldCharType="begin"/>
          </w:r>
          <w:r>
            <w:rPr>
              <w:color w:val="auto"/>
            </w:rPr>
            <w:instrText xml:space="preserve"> HYPERLINK \l "_Toc7954" </w:instrText>
          </w:r>
          <w:r>
            <w:rPr>
              <w:color w:val="auto"/>
            </w:rPr>
            <w:fldChar w:fldCharType="separate"/>
          </w:r>
          <w:r>
            <w:rPr>
              <w:bCs/>
              <w:color w:val="auto"/>
              <w:kern w:val="44"/>
              <w:szCs w:val="44"/>
            </w:rPr>
            <w:t xml:space="preserve">2 </w:t>
          </w:r>
          <w:r>
            <w:rPr>
              <w:rFonts w:hint="eastAsia" w:ascii="宋体" w:hAnsi="宋体" w:cs="宋体"/>
              <w:bCs/>
              <w:color w:val="auto"/>
              <w:kern w:val="44"/>
              <w:szCs w:val="44"/>
            </w:rPr>
            <w:t>总则</w:t>
          </w:r>
          <w:r>
            <w:rPr>
              <w:color w:val="auto"/>
            </w:rPr>
            <w:tab/>
          </w:r>
          <w:r>
            <w:rPr>
              <w:color w:val="auto"/>
            </w:rPr>
            <w:fldChar w:fldCharType="begin"/>
          </w:r>
          <w:r>
            <w:rPr>
              <w:color w:val="auto"/>
            </w:rPr>
            <w:instrText xml:space="preserve"> PAGEREF _Toc7954 \h </w:instrText>
          </w:r>
          <w:r>
            <w:rPr>
              <w:color w:val="auto"/>
            </w:rPr>
            <w:fldChar w:fldCharType="separate"/>
          </w:r>
          <w:r>
            <w:rPr>
              <w:color w:val="auto"/>
            </w:rPr>
            <w:t>41</w:t>
          </w:r>
          <w:r>
            <w:rPr>
              <w:color w:val="auto"/>
            </w:rPr>
            <w:fldChar w:fldCharType="end"/>
          </w:r>
          <w:r>
            <w:rPr>
              <w:color w:val="auto"/>
            </w:rPr>
            <w:fldChar w:fldCharType="end"/>
          </w:r>
        </w:p>
        <w:p w14:paraId="5E814B84">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"_Toc25635" </w:instrText>
          </w:r>
          <w:r>
            <w:rPr>
              <w:color w:val="auto"/>
            </w:rPr>
            <w:fldChar w:fldCharType="separate"/>
          </w:r>
          <w:r>
            <w:rPr>
              <w:bCs/>
              <w:color w:val="auto"/>
              <w:szCs w:val="32"/>
            </w:rPr>
            <w:t>2.1编制依据</w:t>
          </w:r>
          <w:r>
            <w:rPr>
              <w:color w:val="auto"/>
            </w:rPr>
            <w:tab/>
          </w:r>
          <w:r>
            <w:rPr>
              <w:color w:val="auto"/>
            </w:rPr>
            <w:fldChar w:fldCharType="begin"/>
          </w:r>
          <w:r>
            <w:rPr>
              <w:color w:val="auto"/>
            </w:rPr>
            <w:instrText xml:space="preserve"> PAGEREF _Toc25635 \h </w:instrText>
          </w:r>
          <w:r>
            <w:rPr>
              <w:color w:val="auto"/>
            </w:rPr>
            <w:fldChar w:fldCharType="separate"/>
          </w:r>
          <w:r>
            <w:rPr>
              <w:color w:val="auto"/>
            </w:rPr>
            <w:t>41</w:t>
          </w:r>
          <w:r>
            <w:rPr>
              <w:color w:val="auto"/>
            </w:rPr>
            <w:fldChar w:fldCharType="end"/>
          </w:r>
          <w:r>
            <w:rPr>
              <w:color w:val="auto"/>
            </w:rPr>
            <w:fldChar w:fldCharType="end"/>
          </w:r>
        </w:p>
        <w:p w14:paraId="353BC5E7">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"_Toc23071" </w:instrText>
          </w:r>
          <w:r>
            <w:rPr>
              <w:color w:val="auto"/>
            </w:rPr>
            <w:fldChar w:fldCharType="separate"/>
          </w:r>
          <w:r>
            <w:rPr>
              <w:bCs/>
              <w:color w:val="auto"/>
            </w:rPr>
            <w:t>2.1.1国家有关法律法规</w:t>
          </w:r>
          <w:r>
            <w:rPr>
              <w:color w:val="auto"/>
            </w:rPr>
            <w:tab/>
          </w:r>
          <w:r>
            <w:rPr>
              <w:color w:val="auto"/>
            </w:rPr>
            <w:fldChar w:fldCharType="begin"/>
          </w:r>
          <w:r>
            <w:rPr>
              <w:color w:val="auto"/>
            </w:rPr>
            <w:instrText xml:space="preserve"> PAGEREF _Toc23071 \h </w:instrText>
          </w:r>
          <w:r>
            <w:rPr>
              <w:color w:val="auto"/>
            </w:rPr>
            <w:fldChar w:fldCharType="separate"/>
          </w:r>
          <w:r>
            <w:rPr>
              <w:color w:val="auto"/>
            </w:rPr>
            <w:t>41</w:t>
          </w:r>
          <w:r>
            <w:rPr>
              <w:color w:val="auto"/>
            </w:rPr>
            <w:fldChar w:fldCharType="end"/>
          </w:r>
          <w:r>
            <w:rPr>
              <w:color w:val="auto"/>
            </w:rPr>
            <w:fldChar w:fldCharType="end"/>
          </w:r>
        </w:p>
        <w:p w14:paraId="4F7B047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"_Toc9360" </w:instrText>
          </w:r>
          <w:r>
            <w:rPr>
              <w:color w:val="auto"/>
            </w:rPr>
            <w:fldChar w:fldCharType="separate"/>
          </w:r>
          <w:r>
            <w:rPr>
              <w:rFonts w:hint="eastAsia"/>
              <w:bCs/>
              <w:color w:val="auto"/>
            </w:rPr>
            <w:t>2.1.2地方法规与政策</w:t>
          </w:r>
          <w:r>
            <w:rPr>
              <w:color w:val="auto"/>
            </w:rPr>
            <w:tab/>
          </w:r>
          <w:r>
            <w:rPr>
              <w:color w:val="auto"/>
            </w:rPr>
            <w:fldChar w:fldCharType="begin"/>
          </w:r>
          <w:r>
            <w:rPr>
              <w:color w:val="auto"/>
            </w:rPr>
            <w:instrText xml:space="preserve"> PAGEREF _Toc9360 \h </w:instrText>
          </w:r>
          <w:r>
            <w:rPr>
              <w:color w:val="auto"/>
            </w:rPr>
            <w:fldChar w:fldCharType="separate"/>
          </w:r>
          <w:r>
            <w:rPr>
              <w:color w:val="auto"/>
            </w:rPr>
            <w:t>42</w:t>
          </w:r>
          <w:r>
            <w:rPr>
              <w:color w:val="auto"/>
            </w:rPr>
            <w:fldChar w:fldCharType="end"/>
          </w:r>
          <w:r>
            <w:rPr>
              <w:color w:val="auto"/>
            </w:rPr>
            <w:fldChar w:fldCharType="end"/>
          </w:r>
        </w:p>
        <w:p w14:paraId="7D272B1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"_Toc3135" </w:instrText>
          </w:r>
          <w:r>
            <w:rPr>
              <w:color w:val="auto"/>
            </w:rPr>
            <w:fldChar w:fldCharType="separate"/>
          </w:r>
          <w:r>
            <w:rPr>
              <w:rFonts w:hint="eastAsia"/>
              <w:bCs/>
              <w:color w:val="auto"/>
            </w:rPr>
            <w:t>2.1.3</w:t>
          </w:r>
          <w:r>
            <w:rPr>
              <w:bCs/>
              <w:color w:val="auto"/>
              <w:lang w:val="zh-CN"/>
            </w:rPr>
            <w:t>产业政策与行业管理规定</w:t>
          </w:r>
          <w:r>
            <w:rPr>
              <w:color w:val="auto"/>
            </w:rPr>
            <w:tab/>
          </w:r>
          <w:r>
            <w:rPr>
              <w:color w:val="auto"/>
            </w:rPr>
            <w:fldChar w:fldCharType="begin"/>
          </w:r>
          <w:r>
            <w:rPr>
              <w:color w:val="auto"/>
            </w:rPr>
            <w:instrText xml:space="preserve"> PAGEREF _Toc3135 \h </w:instrText>
          </w:r>
          <w:r>
            <w:rPr>
              <w:color w:val="auto"/>
            </w:rPr>
            <w:fldChar w:fldCharType="separate"/>
          </w:r>
          <w:r>
            <w:rPr>
              <w:color w:val="auto"/>
            </w:rPr>
            <w:t>44</w:t>
          </w:r>
          <w:r>
            <w:rPr>
              <w:color w:val="auto"/>
            </w:rPr>
            <w:fldChar w:fldCharType="end"/>
          </w:r>
          <w:r>
            <w:rPr>
              <w:color w:val="auto"/>
            </w:rPr>
            <w:fldChar w:fldCharType="end"/>
          </w:r>
        </w:p>
        <w:p w14:paraId="2FE24A0D">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"_Toc23456" </w:instrText>
          </w:r>
          <w:r>
            <w:rPr>
              <w:color w:val="auto"/>
            </w:rPr>
            <w:fldChar w:fldCharType="separate"/>
          </w:r>
          <w:r>
            <w:rPr>
              <w:rFonts w:hint="eastAsia"/>
              <w:bCs/>
              <w:color w:val="auto"/>
            </w:rPr>
            <w:t>2.1.4环评技术导则</w:t>
          </w:r>
          <w:r>
            <w:rPr>
              <w:color w:val="auto"/>
            </w:rPr>
            <w:tab/>
          </w:r>
          <w:r>
            <w:rPr>
              <w:color w:val="auto"/>
            </w:rPr>
            <w:fldChar w:fldCharType="begin"/>
          </w:r>
          <w:r>
            <w:rPr>
              <w:color w:val="auto"/>
            </w:rPr>
            <w:instrText xml:space="preserve"> PAGEREF _Toc23456 \h </w:instrText>
          </w:r>
          <w:r>
            <w:rPr>
              <w:color w:val="auto"/>
            </w:rPr>
            <w:fldChar w:fldCharType="separate"/>
          </w:r>
          <w:r>
            <w:rPr>
              <w:color w:val="auto"/>
            </w:rPr>
            <w:t>44</w:t>
          </w:r>
          <w:r>
            <w:rPr>
              <w:color w:val="auto"/>
            </w:rPr>
            <w:fldChar w:fldCharType="end"/>
          </w:r>
          <w:r>
            <w:rPr>
              <w:color w:val="auto"/>
            </w:rPr>
            <w:fldChar w:fldCharType="end"/>
          </w:r>
        </w:p>
        <w:p w14:paraId="713DE65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"_Toc2015" </w:instrText>
          </w:r>
          <w:r>
            <w:rPr>
              <w:color w:val="auto"/>
            </w:rPr>
            <w:fldChar w:fldCharType="separate"/>
          </w:r>
          <w:r>
            <w:rPr>
              <w:bCs/>
              <w:color w:val="auto"/>
            </w:rPr>
            <w:t>2.1.5项目有关文件、资料</w:t>
          </w:r>
          <w:r>
            <w:rPr>
              <w:color w:val="auto"/>
            </w:rPr>
            <w:tab/>
          </w:r>
          <w:r>
            <w:rPr>
              <w:color w:val="auto"/>
            </w:rPr>
            <w:fldChar w:fldCharType="begin"/>
          </w:r>
          <w:r>
            <w:rPr>
              <w:color w:val="auto"/>
            </w:rPr>
            <w:instrText xml:space="preserve"> PAGEREF _Toc2015 \h </w:instrText>
          </w:r>
          <w:r>
            <w:rPr>
              <w:color w:val="auto"/>
            </w:rPr>
            <w:fldChar w:fldCharType="separate"/>
          </w:r>
          <w:r>
            <w:rPr>
              <w:color w:val="auto"/>
            </w:rPr>
            <w:t>45</w:t>
          </w:r>
          <w:r>
            <w:rPr>
              <w:color w:val="auto"/>
            </w:rPr>
            <w:fldChar w:fldCharType="end"/>
          </w:r>
          <w:r>
            <w:rPr>
              <w:color w:val="auto"/>
            </w:rPr>
            <w:fldChar w:fldCharType="end"/>
          </w:r>
        </w:p>
        <w:p w14:paraId="5E63D56B">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"_Toc27376" </w:instrText>
          </w:r>
          <w:r>
            <w:rPr>
              <w:color w:val="auto"/>
            </w:rPr>
            <w:fldChar w:fldCharType="separate"/>
          </w:r>
          <w:r>
            <w:rPr>
              <w:rFonts w:hint="eastAsia"/>
              <w:bCs/>
              <w:color w:val="auto"/>
              <w:szCs w:val="32"/>
            </w:rPr>
            <w:t>2.2环境影响因素识别与评价因子筛选</w:t>
          </w:r>
          <w:r>
            <w:rPr>
              <w:color w:val="auto"/>
            </w:rPr>
            <w:tab/>
          </w:r>
          <w:r>
            <w:rPr>
              <w:color w:val="auto"/>
            </w:rPr>
            <w:fldChar w:fldCharType="begin"/>
          </w:r>
          <w:r>
            <w:rPr>
              <w:color w:val="auto"/>
            </w:rPr>
            <w:instrText xml:space="preserve"> PAGEREF _Toc27376 \h </w:instrText>
          </w:r>
          <w:r>
            <w:rPr>
              <w:color w:val="auto"/>
            </w:rPr>
            <w:fldChar w:fldCharType="separate"/>
          </w:r>
          <w:r>
            <w:rPr>
              <w:color w:val="auto"/>
            </w:rPr>
            <w:t>45</w:t>
          </w:r>
          <w:r>
            <w:rPr>
              <w:color w:val="auto"/>
            </w:rPr>
            <w:fldChar w:fldCharType="end"/>
          </w:r>
          <w:r>
            <w:rPr>
              <w:color w:val="auto"/>
            </w:rPr>
            <w:fldChar w:fldCharType="end"/>
          </w:r>
        </w:p>
        <w:p w14:paraId="449CF29A">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"_Toc9605" </w:instrText>
          </w:r>
          <w:r>
            <w:rPr>
              <w:color w:val="auto"/>
            </w:rPr>
            <w:fldChar w:fldCharType="separate"/>
          </w:r>
          <w:r>
            <w:rPr>
              <w:rFonts w:hint="eastAsia"/>
              <w:bCs/>
              <w:color w:val="auto"/>
            </w:rPr>
            <w:t>2.2.1环境影响因素识别</w:t>
          </w:r>
          <w:r>
            <w:rPr>
              <w:color w:val="auto"/>
            </w:rPr>
            <w:tab/>
          </w:r>
          <w:r>
            <w:rPr>
              <w:color w:val="auto"/>
            </w:rPr>
            <w:fldChar w:fldCharType="begin"/>
          </w:r>
          <w:r>
            <w:rPr>
              <w:color w:val="auto"/>
            </w:rPr>
            <w:instrText xml:space="preserve"> PAGEREF _Toc9605 \h </w:instrText>
          </w:r>
          <w:r>
            <w:rPr>
              <w:color w:val="auto"/>
            </w:rPr>
            <w:fldChar w:fldCharType="separate"/>
          </w:r>
          <w:r>
            <w:rPr>
              <w:color w:val="auto"/>
            </w:rPr>
            <w:t>45</w:t>
          </w:r>
          <w:r>
            <w:rPr>
              <w:color w:val="auto"/>
            </w:rPr>
            <w:fldChar w:fldCharType="end"/>
          </w:r>
          <w:r>
            <w:rPr>
              <w:color w:val="auto"/>
            </w:rPr>
            <w:fldChar w:fldCharType="end"/>
          </w:r>
        </w:p>
        <w:p w14:paraId="29E2075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"_Toc14555" </w:instrText>
          </w:r>
          <w:r>
            <w:rPr>
              <w:color w:val="auto"/>
            </w:rPr>
            <w:fldChar w:fldCharType="separate"/>
          </w:r>
          <w:r>
            <w:rPr>
              <w:rFonts w:hint="eastAsia"/>
              <w:bCs/>
              <w:color w:val="auto"/>
            </w:rPr>
            <w:t>2.2.2评价因子筛选</w:t>
          </w:r>
          <w:r>
            <w:rPr>
              <w:color w:val="auto"/>
            </w:rPr>
            <w:tab/>
          </w:r>
          <w:r>
            <w:rPr>
              <w:color w:val="auto"/>
            </w:rPr>
            <w:fldChar w:fldCharType="begin"/>
          </w:r>
          <w:r>
            <w:rPr>
              <w:color w:val="auto"/>
            </w:rPr>
            <w:instrText xml:space="preserve"> PAGEREF _Toc14555 \h </w:instrText>
          </w:r>
          <w:r>
            <w:rPr>
              <w:color w:val="auto"/>
            </w:rPr>
            <w:fldChar w:fldCharType="separate"/>
          </w:r>
          <w:r>
            <w:rPr>
              <w:color w:val="auto"/>
            </w:rPr>
            <w:t>47</w:t>
          </w:r>
          <w:r>
            <w:rPr>
              <w:color w:val="auto"/>
            </w:rPr>
            <w:fldChar w:fldCharType="end"/>
          </w:r>
          <w:r>
            <w:rPr>
              <w:color w:val="auto"/>
            </w:rPr>
            <w:fldChar w:fldCharType="end"/>
          </w:r>
        </w:p>
        <w:p w14:paraId="5926153E">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"_Toc10824" </w:instrText>
          </w:r>
          <w:r>
            <w:rPr>
              <w:color w:val="auto"/>
            </w:rPr>
            <w:fldChar w:fldCharType="separate"/>
          </w:r>
          <w:r>
            <w:rPr>
              <w:rFonts w:hint="eastAsia"/>
              <w:bCs/>
              <w:color w:val="auto"/>
              <w:szCs w:val="32"/>
            </w:rPr>
            <w:t>2.3评价等级、评价范围和环境保护目标</w:t>
          </w:r>
          <w:r>
            <w:rPr>
              <w:color w:val="auto"/>
            </w:rPr>
            <w:tab/>
          </w:r>
          <w:r>
            <w:rPr>
              <w:color w:val="auto"/>
            </w:rPr>
            <w:fldChar w:fldCharType="begin"/>
          </w:r>
          <w:r>
            <w:rPr>
              <w:color w:val="auto"/>
            </w:rPr>
            <w:instrText xml:space="preserve"> PAGEREF _Toc10824 \h </w:instrText>
          </w:r>
          <w:r>
            <w:rPr>
              <w:color w:val="auto"/>
            </w:rPr>
            <w:fldChar w:fldCharType="separate"/>
          </w:r>
          <w:r>
            <w:rPr>
              <w:color w:val="auto"/>
            </w:rPr>
            <w:t>47</w:t>
          </w:r>
          <w:r>
            <w:rPr>
              <w:color w:val="auto"/>
            </w:rPr>
            <w:fldChar w:fldCharType="end"/>
          </w:r>
          <w:r>
            <w:rPr>
              <w:color w:val="auto"/>
            </w:rPr>
            <w:fldChar w:fldCharType="end"/>
          </w:r>
        </w:p>
        <w:p w14:paraId="3C5CF03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"_Toc13730" </w:instrText>
          </w:r>
          <w:r>
            <w:rPr>
              <w:color w:val="auto"/>
            </w:rPr>
            <w:fldChar w:fldCharType="separate"/>
          </w:r>
          <w:r>
            <w:rPr>
              <w:rFonts w:hint="eastAsia"/>
              <w:bCs/>
              <w:color w:val="auto"/>
            </w:rPr>
            <w:t>2.3.1评价等级</w:t>
          </w:r>
          <w:r>
            <w:rPr>
              <w:color w:val="auto"/>
            </w:rPr>
            <w:tab/>
          </w:r>
          <w:r>
            <w:rPr>
              <w:color w:val="auto"/>
            </w:rPr>
            <w:fldChar w:fldCharType="begin"/>
          </w:r>
          <w:r>
            <w:rPr>
              <w:color w:val="auto"/>
            </w:rPr>
            <w:instrText xml:space="preserve"> PAGEREF _Toc13730 \h </w:instrText>
          </w:r>
          <w:r>
            <w:rPr>
              <w:color w:val="auto"/>
            </w:rPr>
            <w:fldChar w:fldCharType="separate"/>
          </w:r>
          <w:r>
            <w:rPr>
              <w:color w:val="auto"/>
            </w:rPr>
            <w:t>47</w:t>
          </w:r>
          <w:r>
            <w:rPr>
              <w:color w:val="auto"/>
            </w:rPr>
            <w:fldChar w:fldCharType="end"/>
          </w:r>
          <w:r>
            <w:rPr>
              <w:color w:val="auto"/>
            </w:rPr>
            <w:fldChar w:fldCharType="end"/>
          </w:r>
        </w:p>
        <w:p w14:paraId="45A196BF">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"_Toc3810" </w:instrText>
          </w:r>
          <w:r>
            <w:rPr>
              <w:color w:val="auto"/>
            </w:rPr>
            <w:fldChar w:fldCharType="separate"/>
          </w:r>
          <w:r>
            <w:rPr>
              <w:rFonts w:hint="eastAsia"/>
              <w:bCs/>
              <w:color w:val="auto"/>
            </w:rPr>
            <w:t>2.3.2评价范围</w:t>
          </w:r>
          <w:r>
            <w:rPr>
              <w:color w:val="auto"/>
            </w:rPr>
            <w:tab/>
          </w:r>
          <w:r>
            <w:rPr>
              <w:color w:val="auto"/>
            </w:rPr>
            <w:fldChar w:fldCharType="begin"/>
          </w:r>
          <w:r>
            <w:rPr>
              <w:color w:val="auto"/>
            </w:rPr>
            <w:instrText xml:space="preserve"> PAGEREF _Toc3810 \h </w:instrText>
          </w:r>
          <w:r>
            <w:rPr>
              <w:color w:val="auto"/>
            </w:rPr>
            <w:fldChar w:fldCharType="separate"/>
          </w:r>
          <w:r>
            <w:rPr>
              <w:color w:val="auto"/>
            </w:rPr>
            <w:t>55</w:t>
          </w:r>
          <w:r>
            <w:rPr>
              <w:color w:val="auto"/>
            </w:rPr>
            <w:fldChar w:fldCharType="end"/>
          </w:r>
          <w:r>
            <w:rPr>
              <w:color w:val="auto"/>
            </w:rPr>
            <w:fldChar w:fldCharType="end"/>
          </w:r>
        </w:p>
        <w:p w14:paraId="77804E5F">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"_Toc681" </w:instrText>
          </w:r>
          <w:r>
            <w:rPr>
              <w:color w:val="auto"/>
            </w:rPr>
            <w:fldChar w:fldCharType="separate"/>
          </w:r>
          <w:r>
            <w:rPr>
              <w:rFonts w:hint="eastAsia"/>
              <w:bCs/>
              <w:color w:val="auto"/>
            </w:rPr>
            <w:t>2.3.3环境敏感保护目标</w:t>
          </w:r>
          <w:r>
            <w:rPr>
              <w:color w:val="auto"/>
            </w:rPr>
            <w:tab/>
          </w:r>
          <w:r>
            <w:rPr>
              <w:color w:val="auto"/>
            </w:rPr>
            <w:fldChar w:fldCharType="begin"/>
          </w:r>
          <w:r>
            <w:rPr>
              <w:color w:val="auto"/>
            </w:rPr>
            <w:instrText xml:space="preserve"> PAGEREF _Toc681 \h </w:instrText>
          </w:r>
          <w:r>
            <w:rPr>
              <w:color w:val="auto"/>
            </w:rPr>
            <w:fldChar w:fldCharType="separate"/>
          </w:r>
          <w:r>
            <w:rPr>
              <w:color w:val="auto"/>
            </w:rPr>
            <w:t>56</w:t>
          </w:r>
          <w:r>
            <w:rPr>
              <w:color w:val="auto"/>
            </w:rPr>
            <w:fldChar w:fldCharType="end"/>
          </w:r>
          <w:r>
            <w:rPr>
              <w:color w:val="auto"/>
            </w:rPr>
            <w:fldChar w:fldCharType="end"/>
          </w:r>
        </w:p>
        <w:p w14:paraId="4BAE4B1C">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"_Toc5230" </w:instrText>
          </w:r>
          <w:r>
            <w:rPr>
              <w:color w:val="auto"/>
            </w:rPr>
            <w:fldChar w:fldCharType="separate"/>
          </w:r>
          <w:r>
            <w:rPr>
              <w:rFonts w:hint="eastAsia"/>
              <w:bCs/>
              <w:color w:val="auto"/>
              <w:szCs w:val="32"/>
            </w:rPr>
            <w:t>2.4评价标准</w:t>
          </w:r>
          <w:r>
            <w:rPr>
              <w:color w:val="auto"/>
            </w:rPr>
            <w:tab/>
          </w:r>
          <w:r>
            <w:rPr>
              <w:color w:val="auto"/>
            </w:rPr>
            <w:fldChar w:fldCharType="begin"/>
          </w:r>
          <w:r>
            <w:rPr>
              <w:color w:val="auto"/>
            </w:rPr>
            <w:instrText xml:space="preserve"> PAGEREF _Toc5230 \h </w:instrText>
          </w:r>
          <w:r>
            <w:rPr>
              <w:color w:val="auto"/>
            </w:rPr>
            <w:fldChar w:fldCharType="separate"/>
          </w:r>
          <w:r>
            <w:rPr>
              <w:color w:val="auto"/>
            </w:rPr>
            <w:t>57</w:t>
          </w:r>
          <w:r>
            <w:rPr>
              <w:color w:val="auto"/>
            </w:rPr>
            <w:fldChar w:fldCharType="end"/>
          </w:r>
          <w:r>
            <w:rPr>
              <w:color w:val="auto"/>
            </w:rPr>
            <w:fldChar w:fldCharType="end"/>
          </w:r>
        </w:p>
        <w:p w14:paraId="4B4C552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"_Toc5312" </w:instrText>
          </w:r>
          <w:r>
            <w:rPr>
              <w:color w:val="auto"/>
            </w:rPr>
            <w:fldChar w:fldCharType="separate"/>
          </w:r>
          <w:r>
            <w:rPr>
              <w:rFonts w:hint="eastAsia"/>
              <w:bCs/>
              <w:color w:val="auto"/>
            </w:rPr>
            <w:t>2.4.1环境质量标准</w:t>
          </w:r>
          <w:r>
            <w:rPr>
              <w:color w:val="auto"/>
            </w:rPr>
            <w:tab/>
          </w:r>
          <w:r>
            <w:rPr>
              <w:color w:val="auto"/>
            </w:rPr>
            <w:fldChar w:fldCharType="begin"/>
          </w:r>
          <w:r>
            <w:rPr>
              <w:color w:val="auto"/>
            </w:rPr>
            <w:instrText xml:space="preserve"> PAGEREF _Toc5312 \h </w:instrText>
          </w:r>
          <w:r>
            <w:rPr>
              <w:color w:val="auto"/>
            </w:rPr>
            <w:fldChar w:fldCharType="separate"/>
          </w:r>
          <w:r>
            <w:rPr>
              <w:color w:val="auto"/>
            </w:rPr>
            <w:t>57</w:t>
          </w:r>
          <w:r>
            <w:rPr>
              <w:color w:val="auto"/>
            </w:rPr>
            <w:fldChar w:fldCharType="end"/>
          </w:r>
          <w:r>
            <w:rPr>
              <w:color w:val="auto"/>
            </w:rPr>
            <w:fldChar w:fldCharType="end"/>
          </w:r>
        </w:p>
        <w:p w14:paraId="21C8C26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"_Toc15385" </w:instrText>
          </w:r>
          <w:r>
            <w:rPr>
              <w:color w:val="auto"/>
            </w:rPr>
            <w:fldChar w:fldCharType="separate"/>
          </w:r>
          <w:r>
            <w:rPr>
              <w:rFonts w:hint="eastAsia"/>
              <w:bCs/>
              <w:color w:val="auto"/>
            </w:rPr>
            <w:t>2.4.2污染物排放标准</w:t>
          </w:r>
          <w:r>
            <w:rPr>
              <w:color w:val="auto"/>
            </w:rPr>
            <w:tab/>
          </w:r>
          <w:r>
            <w:rPr>
              <w:color w:val="auto"/>
            </w:rPr>
            <w:fldChar w:fldCharType="begin"/>
          </w:r>
          <w:r>
            <w:rPr>
              <w:color w:val="auto"/>
            </w:rPr>
            <w:instrText xml:space="preserve"> PAGEREF _Toc15385 \h </w:instrText>
          </w:r>
          <w:r>
            <w:rPr>
              <w:color w:val="auto"/>
            </w:rPr>
            <w:fldChar w:fldCharType="separate"/>
          </w:r>
          <w:r>
            <w:rPr>
              <w:color w:val="auto"/>
            </w:rPr>
            <w:t>61</w:t>
          </w:r>
          <w:r>
            <w:rPr>
              <w:color w:val="auto"/>
            </w:rPr>
            <w:fldChar w:fldCharType="end"/>
          </w:r>
          <w:r>
            <w:rPr>
              <w:color w:val="auto"/>
            </w:rPr>
            <w:fldChar w:fldCharType="end"/>
          </w:r>
        </w:p>
        <w:p w14:paraId="17E8B4A9">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"_Toc12690" </w:instrText>
          </w:r>
          <w:r>
            <w:rPr>
              <w:color w:val="auto"/>
            </w:rPr>
            <w:fldChar w:fldCharType="separate"/>
          </w:r>
          <w:r>
            <w:rPr>
              <w:rFonts w:hint="eastAsia"/>
              <w:bCs/>
              <w:color w:val="auto"/>
              <w:szCs w:val="32"/>
            </w:rPr>
            <w:t>2.5相关规划及环境功能区划</w:t>
          </w:r>
          <w:r>
            <w:rPr>
              <w:color w:val="auto"/>
            </w:rPr>
            <w:tab/>
          </w:r>
          <w:r>
            <w:rPr>
              <w:color w:val="auto"/>
            </w:rPr>
            <w:fldChar w:fldCharType="begin"/>
          </w:r>
          <w:r>
            <w:rPr>
              <w:color w:val="auto"/>
            </w:rPr>
            <w:instrText xml:space="preserve"> PAGEREF _Toc12690 \h </w:instrText>
          </w:r>
          <w:r>
            <w:rPr>
              <w:color w:val="auto"/>
            </w:rPr>
            <w:fldChar w:fldCharType="separate"/>
          </w:r>
          <w:r>
            <w:rPr>
              <w:color w:val="auto"/>
            </w:rPr>
            <w:t>63</w:t>
          </w:r>
          <w:r>
            <w:rPr>
              <w:color w:val="auto"/>
            </w:rPr>
            <w:fldChar w:fldCharType="end"/>
          </w:r>
          <w:r>
            <w:rPr>
              <w:color w:val="auto"/>
            </w:rPr>
            <w:fldChar w:fldCharType="end"/>
          </w:r>
        </w:p>
        <w:p w14:paraId="2A439102">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"_Toc8521" </w:instrText>
          </w:r>
          <w:r>
            <w:rPr>
              <w:color w:val="auto"/>
            </w:rPr>
            <w:fldChar w:fldCharType="separate"/>
          </w:r>
          <w:r>
            <w:rPr>
              <w:rFonts w:hint="eastAsia"/>
              <w:bCs/>
              <w:color w:val="auto"/>
            </w:rPr>
            <w:t>2.5.1启东生命健康产业园</w:t>
          </w:r>
          <w:r>
            <w:rPr>
              <w:color w:val="auto"/>
            </w:rPr>
            <w:tab/>
          </w:r>
          <w:r>
            <w:rPr>
              <w:color w:val="auto"/>
            </w:rPr>
            <w:fldChar w:fldCharType="begin"/>
          </w:r>
          <w:r>
            <w:rPr>
              <w:color w:val="auto"/>
            </w:rPr>
            <w:instrText xml:space="preserve"> PAGEREF _Toc8521 \h </w:instrText>
          </w:r>
          <w:r>
            <w:rPr>
              <w:color w:val="auto"/>
            </w:rPr>
            <w:fldChar w:fldCharType="separate"/>
          </w:r>
          <w:r>
            <w:rPr>
              <w:color w:val="auto"/>
            </w:rPr>
            <w:t>63</w:t>
          </w:r>
          <w:r>
            <w:rPr>
              <w:color w:val="auto"/>
            </w:rPr>
            <w:fldChar w:fldCharType="end"/>
          </w:r>
          <w:r>
            <w:rPr>
              <w:color w:val="auto"/>
            </w:rPr>
            <w:fldChar w:fldCharType="end"/>
          </w:r>
        </w:p>
        <w:p w14:paraId="2C6C2522">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"_Toc27056" </w:instrText>
          </w:r>
          <w:r>
            <w:rPr>
              <w:color w:val="auto"/>
            </w:rPr>
            <w:fldChar w:fldCharType="separate"/>
          </w:r>
          <w:r>
            <w:rPr>
              <w:rFonts w:hint="eastAsia"/>
              <w:bCs/>
              <w:color w:val="auto"/>
            </w:rPr>
            <w:t>2.5.2环境功能区划</w:t>
          </w:r>
          <w:r>
            <w:rPr>
              <w:color w:val="auto"/>
            </w:rPr>
            <w:tab/>
          </w:r>
          <w:r>
            <w:rPr>
              <w:color w:val="auto"/>
            </w:rPr>
            <w:fldChar w:fldCharType="begin"/>
          </w:r>
          <w:r>
            <w:rPr>
              <w:color w:val="auto"/>
            </w:rPr>
            <w:instrText xml:space="preserve"> PAGEREF _Toc27056 \h </w:instrText>
          </w:r>
          <w:r>
            <w:rPr>
              <w:color w:val="auto"/>
            </w:rPr>
            <w:fldChar w:fldCharType="separate"/>
          </w:r>
          <w:r>
            <w:rPr>
              <w:color w:val="auto"/>
            </w:rPr>
            <w:t>67</w:t>
          </w:r>
          <w:r>
            <w:rPr>
              <w:color w:val="auto"/>
            </w:rPr>
            <w:fldChar w:fldCharType="end"/>
          </w:r>
          <w:r>
            <w:rPr>
              <w:color w:val="auto"/>
            </w:rPr>
            <w:fldChar w:fldCharType="end"/>
          </w:r>
        </w:p>
        <w:p w14:paraId="57E2565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"_Toc29189" </w:instrText>
          </w:r>
          <w:r>
            <w:rPr>
              <w:color w:val="auto"/>
            </w:rPr>
            <w:fldChar w:fldCharType="separate"/>
          </w:r>
          <w:r>
            <w:rPr>
              <w:rFonts w:hint="eastAsia"/>
              <w:bCs/>
              <w:color w:val="auto"/>
            </w:rPr>
            <w:t>2.5.3江苏省生态空间管控区域规划</w:t>
          </w:r>
          <w:r>
            <w:rPr>
              <w:color w:val="auto"/>
            </w:rPr>
            <w:tab/>
          </w:r>
          <w:r>
            <w:rPr>
              <w:color w:val="auto"/>
            </w:rPr>
            <w:fldChar w:fldCharType="begin"/>
          </w:r>
          <w:r>
            <w:rPr>
              <w:color w:val="auto"/>
            </w:rPr>
            <w:instrText xml:space="preserve"> PAGEREF _Toc29189 \h </w:instrText>
          </w:r>
          <w:r>
            <w:rPr>
              <w:color w:val="auto"/>
            </w:rPr>
            <w:fldChar w:fldCharType="separate"/>
          </w:r>
          <w:r>
            <w:rPr>
              <w:color w:val="auto"/>
            </w:rPr>
            <w:t>67</w:t>
          </w:r>
          <w:r>
            <w:rPr>
              <w:color w:val="auto"/>
            </w:rPr>
            <w:fldChar w:fldCharType="end"/>
          </w:r>
          <w:r>
            <w:rPr>
              <w:color w:val="auto"/>
            </w:rPr>
            <w:fldChar w:fldCharType="end"/>
          </w:r>
        </w:p>
        <w:p w14:paraId="1FA2E3A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"_Toc31701" </w:instrText>
          </w:r>
          <w:r>
            <w:rPr>
              <w:color w:val="auto"/>
            </w:rPr>
            <w:fldChar w:fldCharType="separate"/>
          </w:r>
          <w:r>
            <w:rPr>
              <w:rFonts w:hint="eastAsia"/>
              <w:bCs/>
              <w:color w:val="auto"/>
            </w:rPr>
            <w:t>2.5.4江苏省国家级生态红线保护规划</w:t>
          </w:r>
          <w:r>
            <w:rPr>
              <w:color w:val="auto"/>
            </w:rPr>
            <w:tab/>
          </w:r>
          <w:r>
            <w:rPr>
              <w:color w:val="auto"/>
            </w:rPr>
            <w:fldChar w:fldCharType="begin"/>
          </w:r>
          <w:r>
            <w:rPr>
              <w:color w:val="auto"/>
            </w:rPr>
            <w:instrText xml:space="preserve"> PAGEREF _Toc31701 \h </w:instrText>
          </w:r>
          <w:r>
            <w:rPr>
              <w:color w:val="auto"/>
            </w:rPr>
            <w:fldChar w:fldCharType="separate"/>
          </w:r>
          <w:r>
            <w:rPr>
              <w:color w:val="auto"/>
            </w:rPr>
            <w:t>68</w:t>
          </w:r>
          <w:r>
            <w:rPr>
              <w:color w:val="auto"/>
            </w:rPr>
            <w:fldChar w:fldCharType="end"/>
          </w:r>
          <w:r>
            <w:rPr>
              <w:color w:val="auto"/>
            </w:rPr>
            <w:fldChar w:fldCharType="end"/>
          </w:r>
        </w:p>
        <w:p w14:paraId="5C77010C">
          <w:pPr>
            <w:pStyle w:val="16"/>
            <w:tabs>
              <w:tab w:val="right" w:leader="dot" w:pos="9638"/>
            </w:tabs>
            <w:spacing w:line="360" w:lineRule="auto"/>
            <w:ind w:firstLine="0" w:firstLineChars="0"/>
            <w:rPr>
              <w:color w:val="auto"/>
            </w:rPr>
          </w:pPr>
          <w:r>
            <w:rPr>
              <w:color w:val="auto"/>
            </w:rPr>
            <w:fldChar w:fldCharType="begin"/>
          </w:r>
          <w:r>
            <w:rPr>
              <w:color w:val="auto"/>
            </w:rPr>
            <w:instrText xml:space="preserve"> HYPERLINK \l "_Toc24491" </w:instrText>
          </w:r>
          <w:r>
            <w:rPr>
              <w:color w:val="auto"/>
            </w:rPr>
            <w:fldChar w:fldCharType="separate"/>
          </w:r>
          <w:r>
            <w:rPr>
              <w:bCs/>
              <w:color w:val="auto"/>
            </w:rPr>
            <w:t xml:space="preserve">3 </w:t>
          </w:r>
          <w:r>
            <w:rPr>
              <w:rFonts w:hint="eastAsia"/>
              <w:color w:val="auto"/>
            </w:rPr>
            <w:t>现有项目回顾性评价</w:t>
          </w:r>
          <w:r>
            <w:rPr>
              <w:color w:val="auto"/>
            </w:rPr>
            <w:tab/>
          </w:r>
          <w:r>
            <w:rPr>
              <w:color w:val="auto"/>
            </w:rPr>
            <w:fldChar w:fldCharType="begin"/>
          </w:r>
          <w:r>
            <w:rPr>
              <w:color w:val="auto"/>
            </w:rPr>
            <w:instrText xml:space="preserve"> PAGEREF _Toc24491 \h </w:instrText>
          </w:r>
          <w:r>
            <w:rPr>
              <w:color w:val="auto"/>
            </w:rPr>
            <w:fldChar w:fldCharType="separate"/>
          </w:r>
          <w:r>
            <w:rPr>
              <w:color w:val="auto"/>
            </w:rPr>
            <w:t>69</w:t>
          </w:r>
          <w:r>
            <w:rPr>
              <w:color w:val="auto"/>
            </w:rPr>
            <w:fldChar w:fldCharType="end"/>
          </w:r>
          <w:r>
            <w:rPr>
              <w:color w:val="auto"/>
            </w:rPr>
            <w:fldChar w:fldCharType="end"/>
          </w:r>
        </w:p>
        <w:p w14:paraId="4BC975CC">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"_Toc13132" </w:instrText>
          </w:r>
          <w:r>
            <w:rPr>
              <w:color w:val="auto"/>
            </w:rPr>
            <w:fldChar w:fldCharType="separate"/>
          </w:r>
          <w:r>
            <w:rPr>
              <w:rFonts w:hint="eastAsia"/>
              <w:color w:val="auto"/>
            </w:rPr>
            <w:t>3.1现有项目概况</w:t>
          </w:r>
          <w:r>
            <w:rPr>
              <w:color w:val="auto"/>
            </w:rPr>
            <w:tab/>
          </w:r>
          <w:r>
            <w:rPr>
              <w:color w:val="auto"/>
            </w:rPr>
            <w:fldChar w:fldCharType="begin"/>
          </w:r>
          <w:r>
            <w:rPr>
              <w:color w:val="auto"/>
            </w:rPr>
            <w:instrText xml:space="preserve"> PAGEREF _Toc13132 \h </w:instrText>
          </w:r>
          <w:r>
            <w:rPr>
              <w:color w:val="auto"/>
            </w:rPr>
            <w:fldChar w:fldCharType="separate"/>
          </w:r>
          <w:r>
            <w:rPr>
              <w:color w:val="auto"/>
            </w:rPr>
            <w:t>69</w:t>
          </w:r>
          <w:r>
            <w:rPr>
              <w:color w:val="auto"/>
            </w:rPr>
            <w:fldChar w:fldCharType="end"/>
          </w:r>
          <w:r>
            <w:rPr>
              <w:color w:val="auto"/>
            </w:rPr>
            <w:fldChar w:fldCharType="end"/>
          </w:r>
        </w:p>
        <w:p w14:paraId="1BA67764">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"_Toc29230" </w:instrText>
          </w:r>
          <w:r>
            <w:rPr>
              <w:color w:val="auto"/>
            </w:rPr>
            <w:fldChar w:fldCharType="separate"/>
          </w:r>
          <w:r>
            <w:rPr>
              <w:rFonts w:hint="eastAsia"/>
              <w:color w:val="auto"/>
            </w:rPr>
            <w:t>3.1.1厂区现有项目环保手续执行情况</w:t>
          </w:r>
          <w:r>
            <w:rPr>
              <w:color w:val="auto"/>
            </w:rPr>
            <w:tab/>
          </w:r>
          <w:r>
            <w:rPr>
              <w:color w:val="auto"/>
            </w:rPr>
            <w:fldChar w:fldCharType="begin"/>
          </w:r>
          <w:r>
            <w:rPr>
              <w:color w:val="auto"/>
            </w:rPr>
            <w:instrText xml:space="preserve"> PAGEREF _Toc29230 \h </w:instrText>
          </w:r>
          <w:r>
            <w:rPr>
              <w:color w:val="auto"/>
            </w:rPr>
            <w:fldChar w:fldCharType="separate"/>
          </w:r>
          <w:r>
            <w:rPr>
              <w:color w:val="auto"/>
            </w:rPr>
            <w:t>69</w:t>
          </w:r>
          <w:r>
            <w:rPr>
              <w:color w:val="auto"/>
            </w:rPr>
            <w:fldChar w:fldCharType="end"/>
          </w:r>
          <w:r>
            <w:rPr>
              <w:color w:val="auto"/>
            </w:rPr>
            <w:fldChar w:fldCharType="end"/>
          </w:r>
        </w:p>
        <w:p w14:paraId="18DE68D2">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"_Toc8875" </w:instrText>
          </w:r>
          <w:r>
            <w:rPr>
              <w:color w:val="auto"/>
            </w:rPr>
            <w:fldChar w:fldCharType="separate"/>
          </w:r>
          <w:r>
            <w:rPr>
              <w:rFonts w:hint="eastAsia"/>
              <w:color w:val="auto"/>
            </w:rPr>
            <w:t>3.1.2</w:t>
          </w:r>
          <w:r>
            <w:rPr>
              <w:color w:val="auto"/>
            </w:rPr>
            <w:t>厂区现有项目批建符合情况</w:t>
          </w:r>
          <w:r>
            <w:rPr>
              <w:color w:val="auto"/>
            </w:rPr>
            <w:tab/>
          </w:r>
          <w:r>
            <w:rPr>
              <w:color w:val="auto"/>
            </w:rPr>
            <w:fldChar w:fldCharType="begin"/>
          </w:r>
          <w:r>
            <w:rPr>
              <w:color w:val="auto"/>
            </w:rPr>
            <w:instrText xml:space="preserve"> PAGEREF _Toc8875 \h </w:instrText>
          </w:r>
          <w:r>
            <w:rPr>
              <w:color w:val="auto"/>
            </w:rPr>
            <w:fldChar w:fldCharType="separate"/>
          </w:r>
          <w:r>
            <w:rPr>
              <w:color w:val="auto"/>
            </w:rPr>
            <w:t>72</w:t>
          </w:r>
          <w:r>
            <w:rPr>
              <w:color w:val="auto"/>
            </w:rPr>
            <w:fldChar w:fldCharType="end"/>
          </w:r>
          <w:r>
            <w:rPr>
              <w:color w:val="auto"/>
            </w:rPr>
            <w:fldChar w:fldCharType="end"/>
          </w:r>
        </w:p>
        <w:p w14:paraId="3E96E976">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"_Toc14965" </w:instrText>
          </w:r>
          <w:r>
            <w:rPr>
              <w:color w:val="auto"/>
            </w:rPr>
            <w:fldChar w:fldCharType="separate"/>
          </w:r>
          <w:r>
            <w:rPr>
              <w:rFonts w:hint="eastAsia"/>
              <w:color w:val="auto"/>
            </w:rPr>
            <w:t>3.1.3</w:t>
          </w:r>
          <w:r>
            <w:rPr>
              <w:color w:val="auto"/>
            </w:rPr>
            <w:t>排污许可证申请及应急预案编制情况</w:t>
          </w:r>
          <w:r>
            <w:rPr>
              <w:color w:val="auto"/>
            </w:rPr>
            <w:tab/>
          </w:r>
          <w:r>
            <w:rPr>
              <w:color w:val="auto"/>
            </w:rPr>
            <w:fldChar w:fldCharType="begin"/>
          </w:r>
          <w:r>
            <w:rPr>
              <w:color w:val="auto"/>
            </w:rPr>
            <w:instrText xml:space="preserve"> PAGEREF _Toc14965 \h </w:instrText>
          </w:r>
          <w:r>
            <w:rPr>
              <w:color w:val="auto"/>
            </w:rPr>
            <w:fldChar w:fldCharType="separate"/>
          </w:r>
          <w:r>
            <w:rPr>
              <w:color w:val="auto"/>
            </w:rPr>
            <w:t>76</w:t>
          </w:r>
          <w:r>
            <w:rPr>
              <w:color w:val="auto"/>
            </w:rPr>
            <w:fldChar w:fldCharType="end"/>
          </w:r>
          <w:r>
            <w:rPr>
              <w:color w:val="auto"/>
            </w:rPr>
            <w:fldChar w:fldCharType="end"/>
          </w:r>
        </w:p>
        <w:p w14:paraId="303D430F">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"_Toc25919" </w:instrText>
          </w:r>
          <w:r>
            <w:rPr>
              <w:color w:val="auto"/>
            </w:rPr>
            <w:fldChar w:fldCharType="separate"/>
          </w:r>
          <w:r>
            <w:rPr>
              <w:rFonts w:hint="eastAsia"/>
              <w:color w:val="auto"/>
            </w:rPr>
            <w:t>3.2</w:t>
          </w:r>
          <w:r>
            <w:rPr>
              <w:color w:val="auto"/>
            </w:rPr>
            <w:t>现有项目建设内容</w:t>
          </w:r>
          <w:r>
            <w:rPr>
              <w:color w:val="auto"/>
            </w:rPr>
            <w:tab/>
          </w:r>
          <w:r>
            <w:rPr>
              <w:color w:val="auto"/>
            </w:rPr>
            <w:fldChar w:fldCharType="begin"/>
          </w:r>
          <w:r>
            <w:rPr>
              <w:color w:val="auto"/>
            </w:rPr>
            <w:instrText xml:space="preserve"> PAGEREF _Toc25919 \h </w:instrText>
          </w:r>
          <w:r>
            <w:rPr>
              <w:color w:val="auto"/>
            </w:rPr>
            <w:fldChar w:fldCharType="separate"/>
          </w:r>
          <w:r>
            <w:rPr>
              <w:color w:val="auto"/>
            </w:rPr>
            <w:t>76</w:t>
          </w:r>
          <w:r>
            <w:rPr>
              <w:color w:val="auto"/>
            </w:rPr>
            <w:fldChar w:fldCharType="end"/>
          </w:r>
          <w:r>
            <w:rPr>
              <w:color w:val="auto"/>
            </w:rPr>
            <w:fldChar w:fldCharType="end"/>
          </w:r>
        </w:p>
        <w:p w14:paraId="597F4A9A">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"_Toc1178" </w:instrText>
          </w:r>
          <w:r>
            <w:rPr>
              <w:color w:val="auto"/>
            </w:rPr>
            <w:fldChar w:fldCharType="separate"/>
          </w:r>
          <w:r>
            <w:rPr>
              <w:rFonts w:hint="eastAsia"/>
              <w:color w:val="auto"/>
            </w:rPr>
            <w:t>3.2.1</w:t>
          </w:r>
          <w:r>
            <w:rPr>
              <w:color w:val="auto"/>
            </w:rPr>
            <w:t>平面布置</w:t>
          </w:r>
          <w:r>
            <w:rPr>
              <w:color w:val="auto"/>
            </w:rPr>
            <w:tab/>
          </w:r>
          <w:r>
            <w:rPr>
              <w:color w:val="auto"/>
            </w:rPr>
            <w:fldChar w:fldCharType="begin"/>
          </w:r>
          <w:r>
            <w:rPr>
              <w:color w:val="auto"/>
            </w:rPr>
            <w:instrText xml:space="preserve"> PAGEREF _Toc1178 \h </w:instrText>
          </w:r>
          <w:r>
            <w:rPr>
              <w:color w:val="auto"/>
            </w:rPr>
            <w:fldChar w:fldCharType="separate"/>
          </w:r>
          <w:r>
            <w:rPr>
              <w:color w:val="auto"/>
            </w:rPr>
            <w:t>76</w:t>
          </w:r>
          <w:r>
            <w:rPr>
              <w:color w:val="auto"/>
            </w:rPr>
            <w:fldChar w:fldCharType="end"/>
          </w:r>
          <w:r>
            <w:rPr>
              <w:color w:val="auto"/>
            </w:rPr>
            <w:fldChar w:fldCharType="end"/>
          </w:r>
        </w:p>
        <w:p w14:paraId="26D93A0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"_Toc9424" </w:instrText>
          </w:r>
          <w:r>
            <w:rPr>
              <w:color w:val="auto"/>
            </w:rPr>
            <w:fldChar w:fldCharType="separate"/>
          </w:r>
          <w:r>
            <w:rPr>
              <w:rFonts w:hint="eastAsia"/>
              <w:color w:val="auto"/>
            </w:rPr>
            <w:t>3.2.2</w:t>
          </w:r>
          <w:r>
            <w:rPr>
              <w:color w:val="auto"/>
            </w:rPr>
            <w:t>公辅工程</w:t>
          </w:r>
          <w:r>
            <w:rPr>
              <w:color w:val="auto"/>
            </w:rPr>
            <w:tab/>
          </w:r>
          <w:r>
            <w:rPr>
              <w:color w:val="auto"/>
            </w:rPr>
            <w:fldChar w:fldCharType="begin"/>
          </w:r>
          <w:r>
            <w:rPr>
              <w:color w:val="auto"/>
            </w:rPr>
            <w:instrText xml:space="preserve"> PAGEREF _Toc9424 \h </w:instrText>
          </w:r>
          <w:r>
            <w:rPr>
              <w:color w:val="auto"/>
            </w:rPr>
            <w:fldChar w:fldCharType="separate"/>
          </w:r>
          <w:r>
            <w:rPr>
              <w:color w:val="auto"/>
            </w:rPr>
            <w:t>77</w:t>
          </w:r>
          <w:r>
            <w:rPr>
              <w:color w:val="auto"/>
            </w:rPr>
            <w:fldChar w:fldCharType="end"/>
          </w:r>
          <w:r>
            <w:rPr>
              <w:color w:val="auto"/>
            </w:rPr>
            <w:fldChar w:fldCharType="end"/>
          </w:r>
        </w:p>
        <w:p w14:paraId="37BDF5B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"_Toc28939" </w:instrText>
          </w:r>
          <w:r>
            <w:rPr>
              <w:color w:val="auto"/>
            </w:rPr>
            <w:fldChar w:fldCharType="separate"/>
          </w:r>
          <w:r>
            <w:rPr>
              <w:rFonts w:hint="eastAsia"/>
              <w:color w:val="auto"/>
            </w:rPr>
            <w:t>3.2.3主要生产设备</w:t>
          </w:r>
          <w:r>
            <w:rPr>
              <w:color w:val="auto"/>
            </w:rPr>
            <w:tab/>
          </w:r>
          <w:r>
            <w:rPr>
              <w:color w:val="auto"/>
            </w:rPr>
            <w:fldChar w:fldCharType="begin"/>
          </w:r>
          <w:r>
            <w:rPr>
              <w:color w:val="auto"/>
            </w:rPr>
            <w:instrText xml:space="preserve"> PAGEREF _Toc28939 \h </w:instrText>
          </w:r>
          <w:r>
            <w:rPr>
              <w:color w:val="auto"/>
            </w:rPr>
            <w:fldChar w:fldCharType="separate"/>
          </w:r>
          <w:r>
            <w:rPr>
              <w:color w:val="auto"/>
            </w:rPr>
            <w:t>79</w:t>
          </w:r>
          <w:r>
            <w:rPr>
              <w:color w:val="auto"/>
            </w:rPr>
            <w:fldChar w:fldCharType="end"/>
          </w:r>
          <w:r>
            <w:rPr>
              <w:color w:val="auto"/>
            </w:rPr>
            <w:fldChar w:fldCharType="end"/>
          </w:r>
        </w:p>
        <w:p w14:paraId="59317620">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"_Toc20146" </w:instrText>
          </w:r>
          <w:r>
            <w:rPr>
              <w:color w:val="auto"/>
            </w:rPr>
            <w:fldChar w:fldCharType="separate"/>
          </w:r>
          <w:r>
            <w:rPr>
              <w:rFonts w:hint="eastAsia"/>
              <w:color w:val="auto"/>
            </w:rPr>
            <w:t>3.2.4原辅材料消耗情况</w:t>
          </w:r>
          <w:r>
            <w:rPr>
              <w:color w:val="auto"/>
            </w:rPr>
            <w:tab/>
          </w:r>
          <w:r>
            <w:rPr>
              <w:color w:val="auto"/>
            </w:rPr>
            <w:fldChar w:fldCharType="begin"/>
          </w:r>
          <w:r>
            <w:rPr>
              <w:color w:val="auto"/>
            </w:rPr>
            <w:instrText xml:space="preserve"> PAGEREF _Toc20146 \h </w:instrText>
          </w:r>
          <w:r>
            <w:rPr>
              <w:color w:val="auto"/>
            </w:rPr>
            <w:fldChar w:fldCharType="separate"/>
          </w:r>
          <w:r>
            <w:rPr>
              <w:color w:val="auto"/>
            </w:rPr>
            <w:t>86</w:t>
          </w:r>
          <w:r>
            <w:rPr>
              <w:color w:val="auto"/>
            </w:rPr>
            <w:fldChar w:fldCharType="end"/>
          </w:r>
          <w:r>
            <w:rPr>
              <w:color w:val="auto"/>
            </w:rPr>
            <w:fldChar w:fldCharType="end"/>
          </w:r>
        </w:p>
        <w:p w14:paraId="082173F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"_Toc21478" </w:instrText>
          </w:r>
          <w:r>
            <w:rPr>
              <w:color w:val="auto"/>
            </w:rPr>
            <w:fldChar w:fldCharType="separate"/>
          </w:r>
          <w:r>
            <w:rPr>
              <w:rFonts w:hint="eastAsia"/>
              <w:color w:val="auto"/>
            </w:rPr>
            <w:t>3.2.5</w:t>
          </w:r>
          <w:r>
            <w:rPr>
              <w:color w:val="auto"/>
            </w:rPr>
            <w:t>生产工艺及产排污环节</w:t>
          </w:r>
          <w:r>
            <w:rPr>
              <w:color w:val="auto"/>
            </w:rPr>
            <w:tab/>
          </w:r>
          <w:r>
            <w:rPr>
              <w:color w:val="auto"/>
            </w:rPr>
            <w:fldChar w:fldCharType="begin"/>
          </w:r>
          <w:r>
            <w:rPr>
              <w:color w:val="auto"/>
            </w:rPr>
            <w:instrText xml:space="preserve"> PAGEREF _Toc21478 \h </w:instrText>
          </w:r>
          <w:r>
            <w:rPr>
              <w:color w:val="auto"/>
            </w:rPr>
            <w:fldChar w:fldCharType="separate"/>
          </w:r>
          <w:r>
            <w:rPr>
              <w:color w:val="auto"/>
            </w:rPr>
            <w:t>87</w:t>
          </w:r>
          <w:r>
            <w:rPr>
              <w:color w:val="auto"/>
            </w:rPr>
            <w:fldChar w:fldCharType="end"/>
          </w:r>
          <w:r>
            <w:rPr>
              <w:color w:val="auto"/>
            </w:rPr>
            <w:fldChar w:fldCharType="end"/>
          </w:r>
        </w:p>
        <w:p w14:paraId="6172AC06">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"_Toc31296" </w:instrText>
          </w:r>
          <w:r>
            <w:rPr>
              <w:color w:val="auto"/>
            </w:rPr>
            <w:fldChar w:fldCharType="separate"/>
          </w:r>
          <w:r>
            <w:rPr>
              <w:rFonts w:hint="eastAsia"/>
              <w:color w:val="auto"/>
            </w:rPr>
            <w:t>3.2.6</w:t>
          </w:r>
          <w:r>
            <w:rPr>
              <w:color w:val="auto"/>
            </w:rPr>
            <w:t>蒸汽及水平衡</w:t>
          </w:r>
          <w:r>
            <w:rPr>
              <w:color w:val="auto"/>
            </w:rPr>
            <w:tab/>
          </w:r>
          <w:r>
            <w:rPr>
              <w:color w:val="auto"/>
            </w:rPr>
            <w:fldChar w:fldCharType="begin"/>
          </w:r>
          <w:r>
            <w:rPr>
              <w:color w:val="auto"/>
            </w:rPr>
            <w:instrText xml:space="preserve"> PAGEREF _Toc31296 \h </w:instrText>
          </w:r>
          <w:r>
            <w:rPr>
              <w:color w:val="auto"/>
            </w:rPr>
            <w:fldChar w:fldCharType="separate"/>
          </w:r>
          <w:r>
            <w:rPr>
              <w:color w:val="auto"/>
            </w:rPr>
            <w:t>95</w:t>
          </w:r>
          <w:r>
            <w:rPr>
              <w:color w:val="auto"/>
            </w:rPr>
            <w:fldChar w:fldCharType="end"/>
          </w:r>
          <w:r>
            <w:rPr>
              <w:color w:val="auto"/>
            </w:rPr>
            <w:fldChar w:fldCharType="end"/>
          </w:r>
        </w:p>
        <w:p w14:paraId="3622F307">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"_Toc29701" </w:instrText>
          </w:r>
          <w:r>
            <w:rPr>
              <w:color w:val="auto"/>
            </w:rPr>
            <w:fldChar w:fldCharType="separate"/>
          </w:r>
          <w:r>
            <w:rPr>
              <w:rFonts w:hint="eastAsia"/>
              <w:color w:val="auto"/>
            </w:rPr>
            <w:t>3.3</w:t>
          </w:r>
          <w:r>
            <w:rPr>
              <w:color w:val="auto"/>
            </w:rPr>
            <w:t>现有项目主要污染物的产生及治理措施</w:t>
          </w:r>
          <w:r>
            <w:rPr>
              <w:color w:val="auto"/>
            </w:rPr>
            <w:tab/>
          </w:r>
          <w:r>
            <w:rPr>
              <w:color w:val="auto"/>
            </w:rPr>
            <w:fldChar w:fldCharType="begin"/>
          </w:r>
          <w:r>
            <w:rPr>
              <w:color w:val="auto"/>
            </w:rPr>
            <w:instrText xml:space="preserve"> PAGEREF _Toc29701 \h </w:instrText>
          </w:r>
          <w:r>
            <w:rPr>
              <w:color w:val="auto"/>
            </w:rPr>
            <w:fldChar w:fldCharType="separate"/>
          </w:r>
          <w:r>
            <w:rPr>
              <w:color w:val="auto"/>
            </w:rPr>
            <w:t>96</w:t>
          </w:r>
          <w:r>
            <w:rPr>
              <w:color w:val="auto"/>
            </w:rPr>
            <w:fldChar w:fldCharType="end"/>
          </w:r>
          <w:r>
            <w:rPr>
              <w:color w:val="auto"/>
            </w:rPr>
            <w:fldChar w:fldCharType="end"/>
          </w:r>
        </w:p>
        <w:p w14:paraId="202E177A">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"_Toc21545" </w:instrText>
          </w:r>
          <w:r>
            <w:rPr>
              <w:color w:val="auto"/>
            </w:rPr>
            <w:fldChar w:fldCharType="separate"/>
          </w:r>
          <w:r>
            <w:rPr>
              <w:rFonts w:hint="eastAsia"/>
              <w:color w:val="auto"/>
            </w:rPr>
            <w:t>3.3.1废气</w:t>
          </w:r>
          <w:r>
            <w:rPr>
              <w:color w:val="auto"/>
            </w:rPr>
            <w:tab/>
          </w:r>
          <w:r>
            <w:rPr>
              <w:color w:val="auto"/>
            </w:rPr>
            <w:fldChar w:fldCharType="begin"/>
          </w:r>
          <w:r>
            <w:rPr>
              <w:color w:val="auto"/>
            </w:rPr>
            <w:instrText xml:space="preserve"> PAGEREF _Toc21545 \h </w:instrText>
          </w:r>
          <w:r>
            <w:rPr>
              <w:color w:val="auto"/>
            </w:rPr>
            <w:fldChar w:fldCharType="separate"/>
          </w:r>
          <w:r>
            <w:rPr>
              <w:color w:val="auto"/>
            </w:rPr>
            <w:t>96</w:t>
          </w:r>
          <w:r>
            <w:rPr>
              <w:color w:val="auto"/>
            </w:rPr>
            <w:fldChar w:fldCharType="end"/>
          </w:r>
          <w:r>
            <w:rPr>
              <w:color w:val="auto"/>
            </w:rPr>
            <w:fldChar w:fldCharType="end"/>
          </w:r>
        </w:p>
        <w:p w14:paraId="357D118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"_Toc20373" </w:instrText>
          </w:r>
          <w:r>
            <w:rPr>
              <w:color w:val="auto"/>
            </w:rPr>
            <w:fldChar w:fldCharType="separate"/>
          </w:r>
          <w:r>
            <w:rPr>
              <w:rFonts w:hint="eastAsia"/>
              <w:color w:val="auto"/>
            </w:rPr>
            <w:t>3.3.2</w:t>
          </w:r>
          <w:r>
            <w:rPr>
              <w:color w:val="auto"/>
            </w:rPr>
            <w:t>废水</w:t>
          </w:r>
          <w:r>
            <w:rPr>
              <w:color w:val="auto"/>
            </w:rPr>
            <w:tab/>
          </w:r>
          <w:r>
            <w:rPr>
              <w:color w:val="auto"/>
            </w:rPr>
            <w:fldChar w:fldCharType="begin"/>
          </w:r>
          <w:r>
            <w:rPr>
              <w:color w:val="auto"/>
            </w:rPr>
            <w:instrText xml:space="preserve"> PAGEREF _Toc20373 \h </w:instrText>
          </w:r>
          <w:r>
            <w:rPr>
              <w:color w:val="auto"/>
            </w:rPr>
            <w:fldChar w:fldCharType="separate"/>
          </w:r>
          <w:r>
            <w:rPr>
              <w:color w:val="auto"/>
            </w:rPr>
            <w:t>99</w:t>
          </w:r>
          <w:r>
            <w:rPr>
              <w:color w:val="auto"/>
            </w:rPr>
            <w:fldChar w:fldCharType="end"/>
          </w:r>
          <w:r>
            <w:rPr>
              <w:color w:val="auto"/>
            </w:rPr>
            <w:fldChar w:fldCharType="end"/>
          </w:r>
        </w:p>
        <w:p w14:paraId="33846C84">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"_Toc15678" </w:instrText>
          </w:r>
          <w:r>
            <w:rPr>
              <w:color w:val="auto"/>
            </w:rPr>
            <w:fldChar w:fldCharType="separate"/>
          </w:r>
          <w:r>
            <w:rPr>
              <w:rFonts w:hint="eastAsia"/>
              <w:color w:val="auto"/>
            </w:rPr>
            <w:t>3.3.3噪声</w:t>
          </w:r>
          <w:r>
            <w:rPr>
              <w:color w:val="auto"/>
            </w:rPr>
            <w:tab/>
          </w:r>
          <w:r>
            <w:rPr>
              <w:color w:val="auto"/>
            </w:rPr>
            <w:fldChar w:fldCharType="begin"/>
          </w:r>
          <w:r>
            <w:rPr>
              <w:color w:val="auto"/>
            </w:rPr>
            <w:instrText xml:space="preserve"> PAGEREF _Toc15678 \h </w:instrText>
          </w:r>
          <w:r>
            <w:rPr>
              <w:color w:val="auto"/>
            </w:rPr>
            <w:fldChar w:fldCharType="separate"/>
          </w:r>
          <w:r>
            <w:rPr>
              <w:color w:val="auto"/>
            </w:rPr>
            <w:t>103</w:t>
          </w:r>
          <w:r>
            <w:rPr>
              <w:color w:val="auto"/>
            </w:rPr>
            <w:fldChar w:fldCharType="end"/>
          </w:r>
          <w:r>
            <w:rPr>
              <w:color w:val="auto"/>
            </w:rPr>
            <w:fldChar w:fldCharType="end"/>
          </w:r>
        </w:p>
        <w:p w14:paraId="2DBF6D7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"_Toc31272" </w:instrText>
          </w:r>
          <w:r>
            <w:rPr>
              <w:color w:val="auto"/>
            </w:rPr>
            <w:fldChar w:fldCharType="separate"/>
          </w:r>
          <w:r>
            <w:rPr>
              <w:rFonts w:hint="eastAsia"/>
              <w:color w:val="auto"/>
            </w:rPr>
            <w:t>3.3.4固体废物</w:t>
          </w:r>
          <w:r>
            <w:rPr>
              <w:color w:val="auto"/>
            </w:rPr>
            <w:tab/>
          </w:r>
          <w:r>
            <w:rPr>
              <w:color w:val="auto"/>
            </w:rPr>
            <w:fldChar w:fldCharType="begin"/>
          </w:r>
          <w:r>
            <w:rPr>
              <w:color w:val="auto"/>
            </w:rPr>
            <w:instrText xml:space="preserve"> PAGEREF _Toc31272 \h </w:instrText>
          </w:r>
          <w:r>
            <w:rPr>
              <w:color w:val="auto"/>
            </w:rPr>
            <w:fldChar w:fldCharType="separate"/>
          </w:r>
          <w:r>
            <w:rPr>
              <w:color w:val="auto"/>
            </w:rPr>
            <w:t>103</w:t>
          </w:r>
          <w:r>
            <w:rPr>
              <w:color w:val="auto"/>
            </w:rPr>
            <w:fldChar w:fldCharType="end"/>
          </w:r>
          <w:r>
            <w:rPr>
              <w:color w:val="auto"/>
            </w:rPr>
            <w:fldChar w:fldCharType="end"/>
          </w:r>
        </w:p>
        <w:p w14:paraId="11033BA2">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"_Toc167" </w:instrText>
          </w:r>
          <w:r>
            <w:rPr>
              <w:color w:val="auto"/>
            </w:rPr>
            <w:fldChar w:fldCharType="separate"/>
          </w:r>
          <w:r>
            <w:rPr>
              <w:rFonts w:hint="eastAsia"/>
              <w:color w:val="auto"/>
            </w:rPr>
            <w:t>3.4</w:t>
          </w:r>
          <w:r>
            <w:rPr>
              <w:color w:val="auto"/>
            </w:rPr>
            <w:t>现有污染治理装置近期运行和达标排放情况</w:t>
          </w:r>
          <w:r>
            <w:rPr>
              <w:color w:val="auto"/>
            </w:rPr>
            <w:tab/>
          </w:r>
          <w:r>
            <w:rPr>
              <w:color w:val="auto"/>
            </w:rPr>
            <w:fldChar w:fldCharType="begin"/>
          </w:r>
          <w:r>
            <w:rPr>
              <w:color w:val="auto"/>
            </w:rPr>
            <w:instrText xml:space="preserve"> PAGEREF _Toc167 \h </w:instrText>
          </w:r>
          <w:r>
            <w:rPr>
              <w:color w:val="auto"/>
            </w:rPr>
            <w:fldChar w:fldCharType="separate"/>
          </w:r>
          <w:r>
            <w:rPr>
              <w:color w:val="auto"/>
            </w:rPr>
            <w:t>105</w:t>
          </w:r>
          <w:r>
            <w:rPr>
              <w:color w:val="auto"/>
            </w:rPr>
            <w:fldChar w:fldCharType="end"/>
          </w:r>
          <w:r>
            <w:rPr>
              <w:color w:val="auto"/>
            </w:rPr>
            <w:fldChar w:fldCharType="end"/>
          </w:r>
        </w:p>
        <w:p w14:paraId="49BD3B5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"_Toc2215" </w:instrText>
          </w:r>
          <w:r>
            <w:rPr>
              <w:color w:val="auto"/>
            </w:rPr>
            <w:fldChar w:fldCharType="separate"/>
          </w:r>
          <w:r>
            <w:rPr>
              <w:rFonts w:hint="eastAsia"/>
              <w:color w:val="auto"/>
            </w:rPr>
            <w:t>3.4.1</w:t>
          </w:r>
          <w:r>
            <w:rPr>
              <w:color w:val="auto"/>
            </w:rPr>
            <w:t>废气处理装置运行情况</w:t>
          </w:r>
          <w:r>
            <w:rPr>
              <w:color w:val="auto"/>
            </w:rPr>
            <w:tab/>
          </w:r>
          <w:r>
            <w:rPr>
              <w:color w:val="auto"/>
            </w:rPr>
            <w:fldChar w:fldCharType="begin"/>
          </w:r>
          <w:r>
            <w:rPr>
              <w:color w:val="auto"/>
            </w:rPr>
            <w:instrText xml:space="preserve"> PAGEREF _Toc2215 \h </w:instrText>
          </w:r>
          <w:r>
            <w:rPr>
              <w:color w:val="auto"/>
            </w:rPr>
            <w:fldChar w:fldCharType="separate"/>
          </w:r>
          <w:r>
            <w:rPr>
              <w:color w:val="auto"/>
            </w:rPr>
            <w:t>105</w:t>
          </w:r>
          <w:r>
            <w:rPr>
              <w:color w:val="auto"/>
            </w:rPr>
            <w:fldChar w:fldCharType="end"/>
          </w:r>
          <w:r>
            <w:rPr>
              <w:color w:val="auto"/>
            </w:rPr>
            <w:fldChar w:fldCharType="end"/>
          </w:r>
        </w:p>
        <w:p w14:paraId="0D5D164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"_Toc25755" </w:instrText>
          </w:r>
          <w:r>
            <w:rPr>
              <w:color w:val="auto"/>
            </w:rPr>
            <w:fldChar w:fldCharType="separate"/>
          </w:r>
          <w:r>
            <w:rPr>
              <w:rFonts w:hint="eastAsia"/>
              <w:color w:val="auto"/>
            </w:rPr>
            <w:t>3.4.2</w:t>
          </w:r>
          <w:r>
            <w:rPr>
              <w:color w:val="auto"/>
            </w:rPr>
            <w:t>废水处理装置运行情况</w:t>
          </w:r>
          <w:r>
            <w:rPr>
              <w:color w:val="auto"/>
            </w:rPr>
            <w:tab/>
          </w:r>
          <w:r>
            <w:rPr>
              <w:color w:val="auto"/>
            </w:rPr>
            <w:fldChar w:fldCharType="begin"/>
          </w:r>
          <w:r>
            <w:rPr>
              <w:color w:val="auto"/>
            </w:rPr>
            <w:instrText xml:space="preserve"> PAGEREF _Toc25755 \h </w:instrText>
          </w:r>
          <w:r>
            <w:rPr>
              <w:color w:val="auto"/>
            </w:rPr>
            <w:fldChar w:fldCharType="separate"/>
          </w:r>
          <w:r>
            <w:rPr>
              <w:color w:val="auto"/>
            </w:rPr>
            <w:t>106</w:t>
          </w:r>
          <w:r>
            <w:rPr>
              <w:color w:val="auto"/>
            </w:rPr>
            <w:fldChar w:fldCharType="end"/>
          </w:r>
          <w:r>
            <w:rPr>
              <w:color w:val="auto"/>
            </w:rPr>
            <w:fldChar w:fldCharType="end"/>
          </w:r>
        </w:p>
        <w:p w14:paraId="751C945E">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"_Toc24980" </w:instrText>
          </w:r>
          <w:r>
            <w:rPr>
              <w:color w:val="auto"/>
            </w:rPr>
            <w:fldChar w:fldCharType="separate"/>
          </w:r>
          <w:r>
            <w:rPr>
              <w:rFonts w:hint="eastAsia"/>
              <w:color w:val="auto"/>
            </w:rPr>
            <w:t>3.4.3噪声达标情况</w:t>
          </w:r>
          <w:r>
            <w:rPr>
              <w:color w:val="auto"/>
            </w:rPr>
            <w:tab/>
          </w:r>
          <w:r>
            <w:rPr>
              <w:color w:val="auto"/>
            </w:rPr>
            <w:fldChar w:fldCharType="begin"/>
          </w:r>
          <w:r>
            <w:rPr>
              <w:color w:val="auto"/>
            </w:rPr>
            <w:instrText xml:space="preserve"> PAGEREF _Toc24980 \h </w:instrText>
          </w:r>
          <w:r>
            <w:rPr>
              <w:color w:val="auto"/>
            </w:rPr>
            <w:fldChar w:fldCharType="separate"/>
          </w:r>
          <w:r>
            <w:rPr>
              <w:color w:val="auto"/>
            </w:rPr>
            <w:t>109</w:t>
          </w:r>
          <w:r>
            <w:rPr>
              <w:color w:val="auto"/>
            </w:rPr>
            <w:fldChar w:fldCharType="end"/>
          </w:r>
          <w:r>
            <w:rPr>
              <w:color w:val="auto"/>
            </w:rPr>
            <w:fldChar w:fldCharType="end"/>
          </w:r>
        </w:p>
        <w:p w14:paraId="11010D00">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"_Toc12825" </w:instrText>
          </w:r>
          <w:r>
            <w:rPr>
              <w:color w:val="auto"/>
            </w:rPr>
            <w:fldChar w:fldCharType="separate"/>
          </w:r>
          <w:r>
            <w:rPr>
              <w:rFonts w:hint="eastAsia"/>
              <w:color w:val="auto"/>
            </w:rPr>
            <w:t>3.4.4</w:t>
          </w:r>
          <w:r>
            <w:rPr>
              <w:color w:val="auto"/>
            </w:rPr>
            <w:t>地下水和土壤自行监测情况</w:t>
          </w:r>
          <w:r>
            <w:rPr>
              <w:color w:val="auto"/>
            </w:rPr>
            <w:tab/>
          </w:r>
          <w:r>
            <w:rPr>
              <w:color w:val="auto"/>
            </w:rPr>
            <w:fldChar w:fldCharType="begin"/>
          </w:r>
          <w:r>
            <w:rPr>
              <w:color w:val="auto"/>
            </w:rPr>
            <w:instrText xml:space="preserve"> PAGEREF _Toc12825 \h </w:instrText>
          </w:r>
          <w:r>
            <w:rPr>
              <w:color w:val="auto"/>
            </w:rPr>
            <w:fldChar w:fldCharType="separate"/>
          </w:r>
          <w:r>
            <w:rPr>
              <w:color w:val="auto"/>
            </w:rPr>
            <w:t>109</w:t>
          </w:r>
          <w:r>
            <w:rPr>
              <w:color w:val="auto"/>
            </w:rPr>
            <w:fldChar w:fldCharType="end"/>
          </w:r>
          <w:r>
            <w:rPr>
              <w:color w:val="auto"/>
            </w:rPr>
            <w:fldChar w:fldCharType="end"/>
          </w:r>
        </w:p>
        <w:p w14:paraId="7C24D380">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"_Toc15469" </w:instrText>
          </w:r>
          <w:r>
            <w:rPr>
              <w:color w:val="auto"/>
            </w:rPr>
            <w:fldChar w:fldCharType="separate"/>
          </w:r>
          <w:r>
            <w:rPr>
              <w:rFonts w:hint="eastAsia"/>
              <w:color w:val="auto"/>
            </w:rPr>
            <w:t>3.5现有项目全厂污染物排放总量</w:t>
          </w:r>
          <w:r>
            <w:rPr>
              <w:color w:val="auto"/>
            </w:rPr>
            <w:tab/>
          </w:r>
          <w:r>
            <w:rPr>
              <w:color w:val="auto"/>
            </w:rPr>
            <w:fldChar w:fldCharType="begin"/>
          </w:r>
          <w:r>
            <w:rPr>
              <w:color w:val="auto"/>
            </w:rPr>
            <w:instrText xml:space="preserve"> PAGEREF _Toc15469 \h </w:instrText>
          </w:r>
          <w:r>
            <w:rPr>
              <w:color w:val="auto"/>
            </w:rPr>
            <w:fldChar w:fldCharType="separate"/>
          </w:r>
          <w:r>
            <w:rPr>
              <w:color w:val="auto"/>
            </w:rPr>
            <w:t>113</w:t>
          </w:r>
          <w:r>
            <w:rPr>
              <w:color w:val="auto"/>
            </w:rPr>
            <w:fldChar w:fldCharType="end"/>
          </w:r>
          <w:r>
            <w:rPr>
              <w:color w:val="auto"/>
            </w:rPr>
            <w:fldChar w:fldCharType="end"/>
          </w:r>
        </w:p>
        <w:p w14:paraId="78666FDF">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"_Toc29493" </w:instrText>
          </w:r>
          <w:r>
            <w:rPr>
              <w:color w:val="auto"/>
            </w:rPr>
            <w:fldChar w:fldCharType="separate"/>
          </w:r>
          <w:r>
            <w:rPr>
              <w:rFonts w:hint="eastAsia"/>
              <w:color w:val="auto"/>
            </w:rPr>
            <w:t>3.6现有项目环境风险回顾</w:t>
          </w:r>
          <w:r>
            <w:rPr>
              <w:color w:val="auto"/>
            </w:rPr>
            <w:tab/>
          </w:r>
          <w:r>
            <w:rPr>
              <w:color w:val="auto"/>
            </w:rPr>
            <w:fldChar w:fldCharType="begin"/>
          </w:r>
          <w:r>
            <w:rPr>
              <w:color w:val="auto"/>
            </w:rPr>
            <w:instrText xml:space="preserve"> PAGEREF _Toc29493 \h </w:instrText>
          </w:r>
          <w:r>
            <w:rPr>
              <w:color w:val="auto"/>
            </w:rPr>
            <w:fldChar w:fldCharType="separate"/>
          </w:r>
          <w:r>
            <w:rPr>
              <w:color w:val="auto"/>
            </w:rPr>
            <w:t>114</w:t>
          </w:r>
          <w:r>
            <w:rPr>
              <w:color w:val="auto"/>
            </w:rPr>
            <w:fldChar w:fldCharType="end"/>
          </w:r>
          <w:r>
            <w:rPr>
              <w:color w:val="auto"/>
            </w:rPr>
            <w:fldChar w:fldCharType="end"/>
          </w:r>
        </w:p>
        <w:p w14:paraId="581D4832">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"_Toc12606" </w:instrText>
          </w:r>
          <w:r>
            <w:rPr>
              <w:color w:val="auto"/>
            </w:rPr>
            <w:fldChar w:fldCharType="separate"/>
          </w:r>
          <w:r>
            <w:rPr>
              <w:rFonts w:hint="eastAsia"/>
              <w:color w:val="auto"/>
            </w:rPr>
            <w:t>3.6.1现有项目环境风险物质和风险单元</w:t>
          </w:r>
          <w:r>
            <w:rPr>
              <w:color w:val="auto"/>
            </w:rPr>
            <w:tab/>
          </w:r>
          <w:r>
            <w:rPr>
              <w:color w:val="auto"/>
            </w:rPr>
            <w:fldChar w:fldCharType="begin"/>
          </w:r>
          <w:r>
            <w:rPr>
              <w:color w:val="auto"/>
            </w:rPr>
            <w:instrText xml:space="preserve"> PAGEREF _Toc12606 \h </w:instrText>
          </w:r>
          <w:r>
            <w:rPr>
              <w:color w:val="auto"/>
            </w:rPr>
            <w:fldChar w:fldCharType="separate"/>
          </w:r>
          <w:r>
            <w:rPr>
              <w:color w:val="auto"/>
            </w:rPr>
            <w:t>114</w:t>
          </w:r>
          <w:r>
            <w:rPr>
              <w:color w:val="auto"/>
            </w:rPr>
            <w:fldChar w:fldCharType="end"/>
          </w:r>
          <w:r>
            <w:rPr>
              <w:color w:val="auto"/>
            </w:rPr>
            <w:fldChar w:fldCharType="end"/>
          </w:r>
        </w:p>
        <w:p w14:paraId="63D7431E">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"_Toc25841" </w:instrText>
          </w:r>
          <w:r>
            <w:rPr>
              <w:color w:val="auto"/>
            </w:rPr>
            <w:fldChar w:fldCharType="separate"/>
          </w:r>
          <w:r>
            <w:rPr>
              <w:rFonts w:hint="eastAsia"/>
              <w:color w:val="auto"/>
            </w:rPr>
            <w:t>3.6.2现有项目环境风险防范及应急措施</w:t>
          </w:r>
          <w:r>
            <w:rPr>
              <w:color w:val="auto"/>
            </w:rPr>
            <w:tab/>
          </w:r>
          <w:r>
            <w:rPr>
              <w:color w:val="auto"/>
            </w:rPr>
            <w:fldChar w:fldCharType="begin"/>
          </w:r>
          <w:r>
            <w:rPr>
              <w:color w:val="auto"/>
            </w:rPr>
            <w:instrText xml:space="preserve"> PAGEREF _Toc25841 \h </w:instrText>
          </w:r>
          <w:r>
            <w:rPr>
              <w:color w:val="auto"/>
            </w:rPr>
            <w:fldChar w:fldCharType="separate"/>
          </w:r>
          <w:r>
            <w:rPr>
              <w:color w:val="auto"/>
            </w:rPr>
            <w:t>114</w:t>
          </w:r>
          <w:r>
            <w:rPr>
              <w:color w:val="auto"/>
            </w:rPr>
            <w:fldChar w:fldCharType="end"/>
          </w:r>
          <w:r>
            <w:rPr>
              <w:color w:val="auto"/>
            </w:rPr>
            <w:fldChar w:fldCharType="end"/>
          </w:r>
        </w:p>
        <w:p w14:paraId="307E4C87">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"_Toc413" </w:instrText>
          </w:r>
          <w:r>
            <w:rPr>
              <w:color w:val="auto"/>
            </w:rPr>
            <w:fldChar w:fldCharType="separate"/>
          </w:r>
          <w:r>
            <w:rPr>
              <w:rFonts w:hint="eastAsia"/>
              <w:color w:val="auto"/>
            </w:rPr>
            <w:t>3.6.3现有环境应急物资情况</w:t>
          </w:r>
          <w:r>
            <w:rPr>
              <w:color w:val="auto"/>
            </w:rPr>
            <w:tab/>
          </w:r>
          <w:r>
            <w:rPr>
              <w:color w:val="auto"/>
            </w:rPr>
            <w:fldChar w:fldCharType="begin"/>
          </w:r>
          <w:r>
            <w:rPr>
              <w:color w:val="auto"/>
            </w:rPr>
            <w:instrText xml:space="preserve"> PAGEREF _Toc413 \h </w:instrText>
          </w:r>
          <w:r>
            <w:rPr>
              <w:color w:val="auto"/>
            </w:rPr>
            <w:fldChar w:fldCharType="separate"/>
          </w:r>
          <w:r>
            <w:rPr>
              <w:color w:val="auto"/>
            </w:rPr>
            <w:t>116</w:t>
          </w:r>
          <w:r>
            <w:rPr>
              <w:color w:val="auto"/>
            </w:rPr>
            <w:fldChar w:fldCharType="end"/>
          </w:r>
          <w:r>
            <w:rPr>
              <w:color w:val="auto"/>
            </w:rPr>
            <w:fldChar w:fldCharType="end"/>
          </w:r>
        </w:p>
        <w:p w14:paraId="0BDE7E0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"_Toc16574" </w:instrText>
          </w:r>
          <w:r>
            <w:rPr>
              <w:color w:val="auto"/>
            </w:rPr>
            <w:fldChar w:fldCharType="separate"/>
          </w:r>
          <w:r>
            <w:rPr>
              <w:rFonts w:hint="eastAsia"/>
              <w:color w:val="auto"/>
            </w:rPr>
            <w:t>3.6.4应急演练</w:t>
          </w:r>
          <w:r>
            <w:rPr>
              <w:color w:val="auto"/>
            </w:rPr>
            <w:tab/>
          </w:r>
          <w:r>
            <w:rPr>
              <w:color w:val="auto"/>
            </w:rPr>
            <w:fldChar w:fldCharType="begin"/>
          </w:r>
          <w:r>
            <w:rPr>
              <w:color w:val="auto"/>
            </w:rPr>
            <w:instrText xml:space="preserve"> PAGEREF _Toc16574 \h </w:instrText>
          </w:r>
          <w:r>
            <w:rPr>
              <w:color w:val="auto"/>
            </w:rPr>
            <w:fldChar w:fldCharType="separate"/>
          </w:r>
          <w:r>
            <w:rPr>
              <w:color w:val="auto"/>
            </w:rPr>
            <w:t>120</w:t>
          </w:r>
          <w:r>
            <w:rPr>
              <w:color w:val="auto"/>
            </w:rPr>
            <w:fldChar w:fldCharType="end"/>
          </w:r>
          <w:r>
            <w:rPr>
              <w:color w:val="auto"/>
            </w:rPr>
            <w:fldChar w:fldCharType="end"/>
          </w:r>
        </w:p>
        <w:p w14:paraId="6B5259E6">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"_Toc20129" </w:instrText>
          </w:r>
          <w:r>
            <w:rPr>
              <w:color w:val="auto"/>
            </w:rPr>
            <w:fldChar w:fldCharType="separate"/>
          </w:r>
          <w:r>
            <w:rPr>
              <w:rFonts w:hint="eastAsia"/>
              <w:color w:val="auto"/>
            </w:rPr>
            <w:t>3.6.5</w:t>
          </w:r>
          <w:r>
            <w:rPr>
              <w:color w:val="auto"/>
            </w:rPr>
            <w:t>现有项目环境应急预案</w:t>
          </w:r>
          <w:r>
            <w:rPr>
              <w:color w:val="auto"/>
            </w:rPr>
            <w:tab/>
          </w:r>
          <w:r>
            <w:rPr>
              <w:color w:val="auto"/>
            </w:rPr>
            <w:fldChar w:fldCharType="begin"/>
          </w:r>
          <w:r>
            <w:rPr>
              <w:color w:val="auto"/>
            </w:rPr>
            <w:instrText xml:space="preserve"> PAGEREF _Toc20129 \h </w:instrText>
          </w:r>
          <w:r>
            <w:rPr>
              <w:color w:val="auto"/>
            </w:rPr>
            <w:fldChar w:fldCharType="separate"/>
          </w:r>
          <w:r>
            <w:rPr>
              <w:color w:val="auto"/>
            </w:rPr>
            <w:t>120</w:t>
          </w:r>
          <w:r>
            <w:rPr>
              <w:color w:val="auto"/>
            </w:rPr>
            <w:fldChar w:fldCharType="end"/>
          </w:r>
          <w:r>
            <w:rPr>
              <w:color w:val="auto"/>
            </w:rPr>
            <w:fldChar w:fldCharType="end"/>
          </w:r>
        </w:p>
        <w:p w14:paraId="4D193956">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"_Toc25362" </w:instrText>
          </w:r>
          <w:r>
            <w:rPr>
              <w:color w:val="auto"/>
            </w:rPr>
            <w:fldChar w:fldCharType="separate"/>
          </w:r>
          <w:r>
            <w:rPr>
              <w:rFonts w:hint="eastAsia"/>
              <w:color w:val="auto"/>
            </w:rPr>
            <w:t>3.7</w:t>
          </w:r>
          <w:r>
            <w:rPr>
              <w:color w:val="auto"/>
            </w:rPr>
            <w:t>现有项目副产物环境管理</w:t>
          </w:r>
          <w:r>
            <w:rPr>
              <w:color w:val="auto"/>
            </w:rPr>
            <w:tab/>
          </w:r>
          <w:r>
            <w:rPr>
              <w:color w:val="auto"/>
            </w:rPr>
            <w:fldChar w:fldCharType="begin"/>
          </w:r>
          <w:r>
            <w:rPr>
              <w:color w:val="auto"/>
            </w:rPr>
            <w:instrText xml:space="preserve"> PAGEREF _Toc25362 \h </w:instrText>
          </w:r>
          <w:r>
            <w:rPr>
              <w:color w:val="auto"/>
            </w:rPr>
            <w:fldChar w:fldCharType="separate"/>
          </w:r>
          <w:r>
            <w:rPr>
              <w:color w:val="auto"/>
            </w:rPr>
            <w:t>121</w:t>
          </w:r>
          <w:r>
            <w:rPr>
              <w:color w:val="auto"/>
            </w:rPr>
            <w:fldChar w:fldCharType="end"/>
          </w:r>
          <w:r>
            <w:rPr>
              <w:color w:val="auto"/>
            </w:rPr>
            <w:fldChar w:fldCharType="end"/>
          </w:r>
        </w:p>
        <w:p w14:paraId="6A64708E">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"_Toc19362" </w:instrText>
          </w:r>
          <w:r>
            <w:rPr>
              <w:color w:val="auto"/>
            </w:rPr>
            <w:fldChar w:fldCharType="separate"/>
          </w:r>
          <w:r>
            <w:rPr>
              <w:rFonts w:hint="eastAsia"/>
              <w:color w:val="auto"/>
            </w:rPr>
            <w:t>3.7.1</w:t>
          </w:r>
          <w:r>
            <w:rPr>
              <w:color w:val="auto"/>
            </w:rPr>
            <w:t>现有副产物销售情况</w:t>
          </w:r>
          <w:r>
            <w:rPr>
              <w:color w:val="auto"/>
            </w:rPr>
            <w:tab/>
          </w:r>
          <w:r>
            <w:rPr>
              <w:color w:val="auto"/>
            </w:rPr>
            <w:fldChar w:fldCharType="begin"/>
          </w:r>
          <w:r>
            <w:rPr>
              <w:color w:val="auto"/>
            </w:rPr>
            <w:instrText xml:space="preserve"> PAGEREF _Toc19362 \h </w:instrText>
          </w:r>
          <w:r>
            <w:rPr>
              <w:color w:val="auto"/>
            </w:rPr>
            <w:fldChar w:fldCharType="separate"/>
          </w:r>
          <w:r>
            <w:rPr>
              <w:color w:val="auto"/>
            </w:rPr>
            <w:t>121</w:t>
          </w:r>
          <w:r>
            <w:rPr>
              <w:color w:val="auto"/>
            </w:rPr>
            <w:fldChar w:fldCharType="end"/>
          </w:r>
          <w:r>
            <w:rPr>
              <w:color w:val="auto"/>
            </w:rPr>
            <w:fldChar w:fldCharType="end"/>
          </w:r>
        </w:p>
        <w:p w14:paraId="6744CD1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"_Toc16319" </w:instrText>
          </w:r>
          <w:r>
            <w:rPr>
              <w:color w:val="auto"/>
            </w:rPr>
            <w:fldChar w:fldCharType="separate"/>
          </w:r>
          <w:r>
            <w:rPr>
              <w:rFonts w:hint="eastAsia"/>
              <w:bCs/>
              <w:color w:val="auto"/>
              <w:kern w:val="0"/>
              <w:szCs w:val="21"/>
            </w:rPr>
            <w:t>作为生产融雪剂的原料</w:t>
          </w:r>
          <w:r>
            <w:rPr>
              <w:color w:val="auto"/>
            </w:rPr>
            <w:tab/>
          </w:r>
          <w:r>
            <w:rPr>
              <w:color w:val="auto"/>
            </w:rPr>
            <w:fldChar w:fldCharType="begin"/>
          </w:r>
          <w:r>
            <w:rPr>
              <w:color w:val="auto"/>
            </w:rPr>
            <w:instrText xml:space="preserve"> PAGEREF _Toc16319 \h </w:instrText>
          </w:r>
          <w:r>
            <w:rPr>
              <w:color w:val="auto"/>
            </w:rPr>
            <w:fldChar w:fldCharType="separate"/>
          </w:r>
          <w:r>
            <w:rPr>
              <w:color w:val="auto"/>
            </w:rPr>
            <w:t>122</w:t>
          </w:r>
          <w:r>
            <w:rPr>
              <w:color w:val="auto"/>
            </w:rPr>
            <w:fldChar w:fldCharType="end"/>
          </w:r>
          <w:r>
            <w:rPr>
              <w:color w:val="auto"/>
            </w:rPr>
            <w:fldChar w:fldCharType="end"/>
          </w:r>
        </w:p>
        <w:p w14:paraId="511CA66A">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"_Toc15281" </w:instrText>
          </w:r>
          <w:r>
            <w:rPr>
              <w:color w:val="auto"/>
            </w:rPr>
            <w:fldChar w:fldCharType="separate"/>
          </w:r>
          <w:r>
            <w:rPr>
              <w:rFonts w:hint="eastAsia"/>
              <w:color w:val="auto"/>
            </w:rPr>
            <w:t>3.7.2现有副产物成分检测及合规性分析</w:t>
          </w:r>
          <w:r>
            <w:rPr>
              <w:color w:val="auto"/>
            </w:rPr>
            <w:tab/>
          </w:r>
          <w:r>
            <w:rPr>
              <w:color w:val="auto"/>
            </w:rPr>
            <w:fldChar w:fldCharType="begin"/>
          </w:r>
          <w:r>
            <w:rPr>
              <w:color w:val="auto"/>
            </w:rPr>
            <w:instrText xml:space="preserve"> PAGEREF _Toc15281 \h </w:instrText>
          </w:r>
          <w:r>
            <w:rPr>
              <w:color w:val="auto"/>
            </w:rPr>
            <w:fldChar w:fldCharType="separate"/>
          </w:r>
          <w:r>
            <w:rPr>
              <w:color w:val="auto"/>
            </w:rPr>
            <w:t>123</w:t>
          </w:r>
          <w:r>
            <w:rPr>
              <w:color w:val="auto"/>
            </w:rPr>
            <w:fldChar w:fldCharType="end"/>
          </w:r>
          <w:r>
            <w:rPr>
              <w:color w:val="auto"/>
            </w:rPr>
            <w:fldChar w:fldCharType="end"/>
          </w:r>
        </w:p>
        <w:p w14:paraId="7867886F">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"_Toc23020" </w:instrText>
          </w:r>
          <w:r>
            <w:rPr>
              <w:color w:val="auto"/>
            </w:rPr>
            <w:fldChar w:fldCharType="separate"/>
          </w:r>
          <w:r>
            <w:rPr>
              <w:rFonts w:hint="eastAsia"/>
              <w:color w:val="auto"/>
            </w:rPr>
            <w:t>3.7.3现有项目副产风险评价完成前的环境管理要求</w:t>
          </w:r>
          <w:r>
            <w:rPr>
              <w:color w:val="auto"/>
            </w:rPr>
            <w:tab/>
          </w:r>
          <w:r>
            <w:rPr>
              <w:color w:val="auto"/>
            </w:rPr>
            <w:fldChar w:fldCharType="begin"/>
          </w:r>
          <w:r>
            <w:rPr>
              <w:color w:val="auto"/>
            </w:rPr>
            <w:instrText xml:space="preserve"> PAGEREF _Toc23020 \h </w:instrText>
          </w:r>
          <w:r>
            <w:rPr>
              <w:color w:val="auto"/>
            </w:rPr>
            <w:fldChar w:fldCharType="separate"/>
          </w:r>
          <w:r>
            <w:rPr>
              <w:color w:val="auto"/>
            </w:rPr>
            <w:t>125</w:t>
          </w:r>
          <w:r>
            <w:rPr>
              <w:color w:val="auto"/>
            </w:rPr>
            <w:fldChar w:fldCharType="end"/>
          </w:r>
          <w:r>
            <w:rPr>
              <w:color w:val="auto"/>
            </w:rPr>
            <w:fldChar w:fldCharType="end"/>
          </w:r>
        </w:p>
        <w:p w14:paraId="3CABA74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"_Toc14389" </w:instrText>
          </w:r>
          <w:r>
            <w:rPr>
              <w:color w:val="auto"/>
            </w:rPr>
            <w:fldChar w:fldCharType="separate"/>
          </w:r>
          <w:r>
            <w:rPr>
              <w:rFonts w:hint="eastAsia"/>
              <w:color w:val="auto"/>
            </w:rPr>
            <w:t>3.7.4现有按产品管理的副产物监测频次及要求</w:t>
          </w:r>
          <w:r>
            <w:rPr>
              <w:color w:val="auto"/>
            </w:rPr>
            <w:tab/>
          </w:r>
          <w:r>
            <w:rPr>
              <w:color w:val="auto"/>
            </w:rPr>
            <w:fldChar w:fldCharType="begin"/>
          </w:r>
          <w:r>
            <w:rPr>
              <w:color w:val="auto"/>
            </w:rPr>
            <w:instrText xml:space="preserve"> PAGEREF _Toc14389 \h </w:instrText>
          </w:r>
          <w:r>
            <w:rPr>
              <w:color w:val="auto"/>
            </w:rPr>
            <w:fldChar w:fldCharType="separate"/>
          </w:r>
          <w:r>
            <w:rPr>
              <w:color w:val="auto"/>
            </w:rPr>
            <w:t>126</w:t>
          </w:r>
          <w:r>
            <w:rPr>
              <w:color w:val="auto"/>
            </w:rPr>
            <w:fldChar w:fldCharType="end"/>
          </w:r>
          <w:r>
            <w:rPr>
              <w:color w:val="auto"/>
            </w:rPr>
            <w:fldChar w:fldCharType="end"/>
          </w:r>
        </w:p>
        <w:p w14:paraId="00A0D396">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"_Toc25820" </w:instrText>
          </w:r>
          <w:r>
            <w:rPr>
              <w:color w:val="auto"/>
            </w:rPr>
            <w:fldChar w:fldCharType="separate"/>
          </w:r>
          <w:r>
            <w:rPr>
              <w:rFonts w:hint="eastAsia"/>
              <w:color w:val="auto"/>
            </w:rPr>
            <w:t>3.8</w:t>
          </w:r>
          <w:r>
            <w:rPr>
              <w:rFonts w:hint="eastAsia"/>
              <w:color w:val="auto"/>
              <w:lang w:val="zh-CN"/>
            </w:rPr>
            <w:t>现有项目存在问题及“以新带老”措施</w:t>
          </w:r>
          <w:r>
            <w:rPr>
              <w:color w:val="auto"/>
            </w:rPr>
            <w:tab/>
          </w:r>
          <w:r>
            <w:rPr>
              <w:color w:val="auto"/>
            </w:rPr>
            <w:fldChar w:fldCharType="begin"/>
          </w:r>
          <w:r>
            <w:rPr>
              <w:color w:val="auto"/>
            </w:rPr>
            <w:instrText xml:space="preserve"> PAGEREF _Toc25820 \h </w:instrText>
          </w:r>
          <w:r>
            <w:rPr>
              <w:color w:val="auto"/>
            </w:rPr>
            <w:fldChar w:fldCharType="separate"/>
          </w:r>
          <w:r>
            <w:rPr>
              <w:color w:val="auto"/>
            </w:rPr>
            <w:t>126</w:t>
          </w:r>
          <w:r>
            <w:rPr>
              <w:color w:val="auto"/>
            </w:rPr>
            <w:fldChar w:fldCharType="end"/>
          </w:r>
          <w:r>
            <w:rPr>
              <w:color w:val="auto"/>
            </w:rPr>
            <w:fldChar w:fldCharType="end"/>
          </w:r>
        </w:p>
        <w:p w14:paraId="22087AC2">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"_Toc28945" </w:instrText>
          </w:r>
          <w:r>
            <w:rPr>
              <w:color w:val="auto"/>
            </w:rPr>
            <w:fldChar w:fldCharType="separate"/>
          </w:r>
          <w:r>
            <w:rPr>
              <w:rFonts w:hint="eastAsia"/>
              <w:color w:val="auto"/>
            </w:rPr>
            <w:t>3.8.1存在的环境问题</w:t>
          </w:r>
          <w:r>
            <w:rPr>
              <w:color w:val="auto"/>
            </w:rPr>
            <w:tab/>
          </w:r>
          <w:r>
            <w:rPr>
              <w:color w:val="auto"/>
            </w:rPr>
            <w:fldChar w:fldCharType="begin"/>
          </w:r>
          <w:r>
            <w:rPr>
              <w:color w:val="auto"/>
            </w:rPr>
            <w:instrText xml:space="preserve"> PAGEREF _Toc28945 \h </w:instrText>
          </w:r>
          <w:r>
            <w:rPr>
              <w:color w:val="auto"/>
            </w:rPr>
            <w:fldChar w:fldCharType="separate"/>
          </w:r>
          <w:r>
            <w:rPr>
              <w:color w:val="auto"/>
            </w:rPr>
            <w:t>126</w:t>
          </w:r>
          <w:r>
            <w:rPr>
              <w:color w:val="auto"/>
            </w:rPr>
            <w:fldChar w:fldCharType="end"/>
          </w:r>
          <w:r>
            <w:rPr>
              <w:color w:val="auto"/>
            </w:rPr>
            <w:fldChar w:fldCharType="end"/>
          </w:r>
        </w:p>
        <w:p w14:paraId="679377D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"_Toc7144" </w:instrText>
          </w:r>
          <w:r>
            <w:rPr>
              <w:color w:val="auto"/>
            </w:rPr>
            <w:fldChar w:fldCharType="separate"/>
          </w:r>
          <w:r>
            <w:rPr>
              <w:rFonts w:hint="eastAsia"/>
              <w:color w:val="auto"/>
            </w:rPr>
            <w:t>3.8.2“以新带老”措施</w:t>
          </w:r>
          <w:r>
            <w:rPr>
              <w:color w:val="auto"/>
            </w:rPr>
            <w:tab/>
          </w:r>
          <w:r>
            <w:rPr>
              <w:color w:val="auto"/>
            </w:rPr>
            <w:fldChar w:fldCharType="begin"/>
          </w:r>
          <w:r>
            <w:rPr>
              <w:color w:val="auto"/>
            </w:rPr>
            <w:instrText xml:space="preserve"> PAGEREF _Toc7144 \h </w:instrText>
          </w:r>
          <w:r>
            <w:rPr>
              <w:color w:val="auto"/>
            </w:rPr>
            <w:fldChar w:fldCharType="separate"/>
          </w:r>
          <w:r>
            <w:rPr>
              <w:color w:val="auto"/>
            </w:rPr>
            <w:t>127</w:t>
          </w:r>
          <w:r>
            <w:rPr>
              <w:color w:val="auto"/>
            </w:rPr>
            <w:fldChar w:fldCharType="end"/>
          </w:r>
          <w:r>
            <w:rPr>
              <w:color w:val="auto"/>
            </w:rPr>
            <w:fldChar w:fldCharType="end"/>
          </w:r>
        </w:p>
        <w:p w14:paraId="628D5167">
          <w:pPr>
            <w:pStyle w:val="16"/>
            <w:tabs>
              <w:tab w:val="right" w:leader="dot" w:pos="9638"/>
            </w:tabs>
            <w:spacing w:line="360" w:lineRule="auto"/>
            <w:ind w:firstLine="0" w:firstLineChars="0"/>
            <w:rPr>
              <w:color w:val="auto"/>
            </w:rPr>
          </w:pPr>
          <w:r>
            <w:rPr>
              <w:color w:val="auto"/>
            </w:rPr>
            <w:fldChar w:fldCharType="begin"/>
          </w:r>
          <w:r>
            <w:rPr>
              <w:color w:val="auto"/>
            </w:rPr>
            <w:instrText xml:space="preserve"> HYPERLINK \l "_Toc23345" </w:instrText>
          </w:r>
          <w:r>
            <w:rPr>
              <w:color w:val="auto"/>
            </w:rPr>
            <w:fldChar w:fldCharType="separate"/>
          </w:r>
          <w:r>
            <w:rPr>
              <w:bCs/>
              <w:color w:val="auto"/>
            </w:rPr>
            <w:t xml:space="preserve">4 </w:t>
          </w:r>
          <w:r>
            <w:rPr>
              <w:rFonts w:hint="eastAsia"/>
              <w:color w:val="auto"/>
            </w:rPr>
            <w:t>拟建项目工程分析</w:t>
          </w:r>
          <w:r>
            <w:rPr>
              <w:color w:val="auto"/>
            </w:rPr>
            <w:tab/>
          </w:r>
          <w:r>
            <w:rPr>
              <w:color w:val="auto"/>
            </w:rPr>
            <w:fldChar w:fldCharType="begin"/>
          </w:r>
          <w:r>
            <w:rPr>
              <w:color w:val="auto"/>
            </w:rPr>
            <w:instrText xml:space="preserve"> PAGEREF _Toc23345 \h </w:instrText>
          </w:r>
          <w:r>
            <w:rPr>
              <w:color w:val="auto"/>
            </w:rPr>
            <w:fldChar w:fldCharType="separate"/>
          </w:r>
          <w:r>
            <w:rPr>
              <w:color w:val="auto"/>
            </w:rPr>
            <w:t>128</w:t>
          </w:r>
          <w:r>
            <w:rPr>
              <w:color w:val="auto"/>
            </w:rPr>
            <w:fldChar w:fldCharType="end"/>
          </w:r>
          <w:r>
            <w:rPr>
              <w:color w:val="auto"/>
            </w:rPr>
            <w:fldChar w:fldCharType="end"/>
          </w:r>
        </w:p>
        <w:p w14:paraId="587CC393">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"_Toc4953" </w:instrText>
          </w:r>
          <w:r>
            <w:rPr>
              <w:color w:val="auto"/>
            </w:rPr>
            <w:fldChar w:fldCharType="separate"/>
          </w:r>
          <w:r>
            <w:rPr>
              <w:rFonts w:hint="eastAsia"/>
              <w:color w:val="auto"/>
            </w:rPr>
            <w:t>4.1拟建项目概况</w:t>
          </w:r>
          <w:r>
            <w:rPr>
              <w:color w:val="auto"/>
            </w:rPr>
            <w:tab/>
          </w:r>
          <w:r>
            <w:rPr>
              <w:color w:val="auto"/>
            </w:rPr>
            <w:fldChar w:fldCharType="begin"/>
          </w:r>
          <w:r>
            <w:rPr>
              <w:color w:val="auto"/>
            </w:rPr>
            <w:instrText xml:space="preserve"> PAGEREF _Toc4953 \h </w:instrText>
          </w:r>
          <w:r>
            <w:rPr>
              <w:color w:val="auto"/>
            </w:rPr>
            <w:fldChar w:fldCharType="separate"/>
          </w:r>
          <w:r>
            <w:rPr>
              <w:color w:val="auto"/>
            </w:rPr>
            <w:t>128</w:t>
          </w:r>
          <w:r>
            <w:rPr>
              <w:color w:val="auto"/>
            </w:rPr>
            <w:fldChar w:fldCharType="end"/>
          </w:r>
          <w:r>
            <w:rPr>
              <w:color w:val="auto"/>
            </w:rPr>
            <w:fldChar w:fldCharType="end"/>
          </w:r>
        </w:p>
        <w:p w14:paraId="64E9E30A">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"_Toc10373" </w:instrText>
          </w:r>
          <w:r>
            <w:rPr>
              <w:color w:val="auto"/>
            </w:rPr>
            <w:fldChar w:fldCharType="separate"/>
          </w:r>
          <w:r>
            <w:rPr>
              <w:rFonts w:hint="eastAsia"/>
              <w:color w:val="auto"/>
            </w:rPr>
            <w:t>4.1.1拟建项目名称、项目性质、建设地点及投资总额等</w:t>
          </w:r>
          <w:r>
            <w:rPr>
              <w:color w:val="auto"/>
            </w:rPr>
            <w:tab/>
          </w:r>
          <w:r>
            <w:rPr>
              <w:color w:val="auto"/>
            </w:rPr>
            <w:fldChar w:fldCharType="begin"/>
          </w:r>
          <w:r>
            <w:rPr>
              <w:color w:val="auto"/>
            </w:rPr>
            <w:instrText xml:space="preserve"> PAGEREF _Toc10373 \h </w:instrText>
          </w:r>
          <w:r>
            <w:rPr>
              <w:color w:val="auto"/>
            </w:rPr>
            <w:fldChar w:fldCharType="separate"/>
          </w:r>
          <w:r>
            <w:rPr>
              <w:color w:val="auto"/>
            </w:rPr>
            <w:t>128</w:t>
          </w:r>
          <w:r>
            <w:rPr>
              <w:color w:val="auto"/>
            </w:rPr>
            <w:fldChar w:fldCharType="end"/>
          </w:r>
          <w:r>
            <w:rPr>
              <w:color w:val="auto"/>
            </w:rPr>
            <w:fldChar w:fldCharType="end"/>
          </w:r>
        </w:p>
        <w:p w14:paraId="1C29E1C0">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"_Toc4358" </w:instrText>
          </w:r>
          <w:r>
            <w:rPr>
              <w:color w:val="auto"/>
            </w:rPr>
            <w:fldChar w:fldCharType="separate"/>
          </w:r>
          <w:r>
            <w:rPr>
              <w:rFonts w:hint="eastAsia"/>
              <w:color w:val="auto"/>
            </w:rPr>
            <w:t>4.1.2项目建设内容</w:t>
          </w:r>
          <w:r>
            <w:rPr>
              <w:color w:val="auto"/>
            </w:rPr>
            <w:tab/>
          </w:r>
          <w:r>
            <w:rPr>
              <w:color w:val="auto"/>
            </w:rPr>
            <w:fldChar w:fldCharType="begin"/>
          </w:r>
          <w:r>
            <w:rPr>
              <w:color w:val="auto"/>
            </w:rPr>
            <w:instrText xml:space="preserve"> PAGEREF _Toc4358 \h </w:instrText>
          </w:r>
          <w:r>
            <w:rPr>
              <w:color w:val="auto"/>
            </w:rPr>
            <w:fldChar w:fldCharType="separate"/>
          </w:r>
          <w:r>
            <w:rPr>
              <w:color w:val="auto"/>
            </w:rPr>
            <w:t>128</w:t>
          </w:r>
          <w:r>
            <w:rPr>
              <w:color w:val="auto"/>
            </w:rPr>
            <w:fldChar w:fldCharType="end"/>
          </w:r>
          <w:r>
            <w:rPr>
              <w:color w:val="auto"/>
            </w:rPr>
            <w:fldChar w:fldCharType="end"/>
          </w:r>
        </w:p>
        <w:p w14:paraId="5F2913AC">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"_Toc31907" </w:instrText>
          </w:r>
          <w:r>
            <w:rPr>
              <w:color w:val="auto"/>
            </w:rPr>
            <w:fldChar w:fldCharType="separate"/>
          </w:r>
          <w:r>
            <w:rPr>
              <w:rFonts w:hint="eastAsia"/>
              <w:color w:val="auto"/>
            </w:rPr>
            <w:t>4.2</w:t>
          </w:r>
          <w:r>
            <w:rPr>
              <w:color w:val="auto"/>
            </w:rPr>
            <w:t>公用及辅助工程</w:t>
          </w:r>
          <w:r>
            <w:rPr>
              <w:color w:val="auto"/>
            </w:rPr>
            <w:tab/>
          </w:r>
          <w:r>
            <w:rPr>
              <w:color w:val="auto"/>
            </w:rPr>
            <w:fldChar w:fldCharType="begin"/>
          </w:r>
          <w:r>
            <w:rPr>
              <w:color w:val="auto"/>
            </w:rPr>
            <w:instrText xml:space="preserve"> PAGEREF _Toc31907 \h </w:instrText>
          </w:r>
          <w:r>
            <w:rPr>
              <w:color w:val="auto"/>
            </w:rPr>
            <w:fldChar w:fldCharType="separate"/>
          </w:r>
          <w:r>
            <w:rPr>
              <w:color w:val="auto"/>
            </w:rPr>
            <w:t>134</w:t>
          </w:r>
          <w:r>
            <w:rPr>
              <w:color w:val="auto"/>
            </w:rPr>
            <w:fldChar w:fldCharType="end"/>
          </w:r>
          <w:r>
            <w:rPr>
              <w:color w:val="auto"/>
            </w:rPr>
            <w:fldChar w:fldCharType="end"/>
          </w:r>
        </w:p>
        <w:p w14:paraId="1071214E">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"_Toc13021" </w:instrText>
          </w:r>
          <w:r>
            <w:rPr>
              <w:color w:val="auto"/>
            </w:rPr>
            <w:fldChar w:fldCharType="separate"/>
          </w:r>
          <w:r>
            <w:rPr>
              <w:rFonts w:hint="eastAsia"/>
              <w:color w:val="auto"/>
            </w:rPr>
            <w:t>4.3</w:t>
          </w:r>
          <w:r>
            <w:rPr>
              <w:color w:val="auto"/>
            </w:rPr>
            <w:t>公司厂区总平面布置</w:t>
          </w:r>
          <w:r>
            <w:rPr>
              <w:rFonts w:hint="eastAsia"/>
              <w:color w:val="auto"/>
            </w:rPr>
            <w:t>及厂界周围状况</w:t>
          </w:r>
          <w:r>
            <w:rPr>
              <w:color w:val="auto"/>
            </w:rPr>
            <w:tab/>
          </w:r>
          <w:r>
            <w:rPr>
              <w:color w:val="auto"/>
            </w:rPr>
            <w:fldChar w:fldCharType="begin"/>
          </w:r>
          <w:r>
            <w:rPr>
              <w:color w:val="auto"/>
            </w:rPr>
            <w:instrText xml:space="preserve"> PAGEREF _Toc13021 \h </w:instrText>
          </w:r>
          <w:r>
            <w:rPr>
              <w:color w:val="auto"/>
            </w:rPr>
            <w:fldChar w:fldCharType="separate"/>
          </w:r>
          <w:r>
            <w:rPr>
              <w:color w:val="auto"/>
            </w:rPr>
            <w:t>140</w:t>
          </w:r>
          <w:r>
            <w:rPr>
              <w:color w:val="auto"/>
            </w:rPr>
            <w:fldChar w:fldCharType="end"/>
          </w:r>
          <w:r>
            <w:rPr>
              <w:color w:val="auto"/>
            </w:rPr>
            <w:fldChar w:fldCharType="end"/>
          </w:r>
        </w:p>
        <w:p w14:paraId="309508A7">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"_Toc11178" </w:instrText>
          </w:r>
          <w:r>
            <w:rPr>
              <w:color w:val="auto"/>
            </w:rPr>
            <w:fldChar w:fldCharType="separate"/>
          </w:r>
          <w:r>
            <w:rPr>
              <w:rFonts w:hint="eastAsia"/>
              <w:color w:val="auto"/>
            </w:rPr>
            <w:t>4.4</w:t>
          </w:r>
          <w:r>
            <w:rPr>
              <w:color w:val="auto"/>
            </w:rPr>
            <w:t>工程分析</w:t>
          </w:r>
          <w:r>
            <w:rPr>
              <w:color w:val="auto"/>
            </w:rPr>
            <w:tab/>
          </w:r>
          <w:r>
            <w:rPr>
              <w:color w:val="auto"/>
            </w:rPr>
            <w:fldChar w:fldCharType="begin"/>
          </w:r>
          <w:r>
            <w:rPr>
              <w:color w:val="auto"/>
            </w:rPr>
            <w:instrText xml:space="preserve"> PAGEREF _Toc11178 \h </w:instrText>
          </w:r>
          <w:r>
            <w:rPr>
              <w:color w:val="auto"/>
            </w:rPr>
            <w:fldChar w:fldCharType="separate"/>
          </w:r>
          <w:r>
            <w:rPr>
              <w:color w:val="auto"/>
            </w:rPr>
            <w:t>141</w:t>
          </w:r>
          <w:r>
            <w:rPr>
              <w:color w:val="auto"/>
            </w:rPr>
            <w:fldChar w:fldCharType="end"/>
          </w:r>
          <w:r>
            <w:rPr>
              <w:color w:val="auto"/>
            </w:rPr>
            <w:fldChar w:fldCharType="end"/>
          </w:r>
        </w:p>
        <w:p w14:paraId="7711F19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"_Toc6852" </w:instrText>
          </w:r>
          <w:r>
            <w:rPr>
              <w:color w:val="auto"/>
            </w:rPr>
            <w:fldChar w:fldCharType="separate"/>
          </w:r>
          <w:r>
            <w:rPr>
              <w:rFonts w:hint="eastAsia"/>
              <w:color w:val="auto"/>
            </w:rPr>
            <w:t>4.4.1</w:t>
          </w:r>
          <w:r>
            <w:rPr>
              <w:color w:val="auto"/>
            </w:rPr>
            <w:t>工艺流程及产污环节</w:t>
          </w:r>
          <w:r>
            <w:rPr>
              <w:color w:val="auto"/>
            </w:rPr>
            <w:tab/>
          </w:r>
          <w:r>
            <w:rPr>
              <w:color w:val="auto"/>
            </w:rPr>
            <w:fldChar w:fldCharType="begin"/>
          </w:r>
          <w:r>
            <w:rPr>
              <w:color w:val="auto"/>
            </w:rPr>
            <w:instrText xml:space="preserve"> PAGEREF _Toc6852 \h </w:instrText>
          </w:r>
          <w:r>
            <w:rPr>
              <w:color w:val="auto"/>
            </w:rPr>
            <w:fldChar w:fldCharType="separate"/>
          </w:r>
          <w:r>
            <w:rPr>
              <w:color w:val="auto"/>
            </w:rPr>
            <w:t>141</w:t>
          </w:r>
          <w:r>
            <w:rPr>
              <w:color w:val="auto"/>
            </w:rPr>
            <w:fldChar w:fldCharType="end"/>
          </w:r>
          <w:r>
            <w:rPr>
              <w:color w:val="auto"/>
            </w:rPr>
            <w:fldChar w:fldCharType="end"/>
          </w:r>
        </w:p>
        <w:p w14:paraId="101BD867">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"_Toc32033" </w:instrText>
          </w:r>
          <w:r>
            <w:rPr>
              <w:color w:val="auto"/>
            </w:rPr>
            <w:fldChar w:fldCharType="separate"/>
          </w:r>
          <w:r>
            <w:rPr>
              <w:rFonts w:hint="eastAsia"/>
              <w:color w:val="auto"/>
            </w:rPr>
            <w:t>4.4.2原辅材料消耗</w:t>
          </w:r>
          <w:r>
            <w:rPr>
              <w:color w:val="auto"/>
            </w:rPr>
            <w:tab/>
          </w:r>
          <w:r>
            <w:rPr>
              <w:color w:val="auto"/>
            </w:rPr>
            <w:fldChar w:fldCharType="begin"/>
          </w:r>
          <w:r>
            <w:rPr>
              <w:color w:val="auto"/>
            </w:rPr>
            <w:instrText xml:space="preserve"> PAGEREF _Toc32033 \h </w:instrText>
          </w:r>
          <w:r>
            <w:rPr>
              <w:color w:val="auto"/>
            </w:rPr>
            <w:fldChar w:fldCharType="separate"/>
          </w:r>
          <w:r>
            <w:rPr>
              <w:color w:val="auto"/>
            </w:rPr>
            <w:t>154</w:t>
          </w:r>
          <w:r>
            <w:rPr>
              <w:color w:val="auto"/>
            </w:rPr>
            <w:fldChar w:fldCharType="end"/>
          </w:r>
          <w:r>
            <w:rPr>
              <w:color w:val="auto"/>
            </w:rPr>
            <w:fldChar w:fldCharType="end"/>
          </w:r>
        </w:p>
        <w:p w14:paraId="51EF1F04">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"_Toc21110" </w:instrText>
          </w:r>
          <w:r>
            <w:rPr>
              <w:color w:val="auto"/>
            </w:rPr>
            <w:fldChar w:fldCharType="separate"/>
          </w:r>
          <w:r>
            <w:rPr>
              <w:rFonts w:hint="eastAsia"/>
              <w:color w:val="auto"/>
            </w:rPr>
            <w:t>4.4.3主要生产设备</w:t>
          </w:r>
          <w:r>
            <w:rPr>
              <w:color w:val="auto"/>
            </w:rPr>
            <w:tab/>
          </w:r>
          <w:r>
            <w:rPr>
              <w:color w:val="auto"/>
            </w:rPr>
            <w:fldChar w:fldCharType="begin"/>
          </w:r>
          <w:r>
            <w:rPr>
              <w:color w:val="auto"/>
            </w:rPr>
            <w:instrText xml:space="preserve"> PAGEREF _Toc21110 \h </w:instrText>
          </w:r>
          <w:r>
            <w:rPr>
              <w:color w:val="auto"/>
            </w:rPr>
            <w:fldChar w:fldCharType="separate"/>
          </w:r>
          <w:r>
            <w:rPr>
              <w:color w:val="auto"/>
            </w:rPr>
            <w:t>157</w:t>
          </w:r>
          <w:r>
            <w:rPr>
              <w:color w:val="auto"/>
            </w:rPr>
            <w:fldChar w:fldCharType="end"/>
          </w:r>
          <w:r>
            <w:rPr>
              <w:color w:val="auto"/>
            </w:rPr>
            <w:fldChar w:fldCharType="end"/>
          </w:r>
        </w:p>
        <w:p w14:paraId="23B2227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"_Toc31461" </w:instrText>
          </w:r>
          <w:r>
            <w:rPr>
              <w:color w:val="auto"/>
            </w:rPr>
            <w:fldChar w:fldCharType="separate"/>
          </w:r>
          <w:r>
            <w:rPr>
              <w:rFonts w:hint="eastAsia"/>
              <w:color w:val="auto"/>
            </w:rPr>
            <w:t>4.4.4物料平衡</w:t>
          </w:r>
          <w:r>
            <w:rPr>
              <w:color w:val="auto"/>
            </w:rPr>
            <w:tab/>
          </w:r>
          <w:r>
            <w:rPr>
              <w:color w:val="auto"/>
            </w:rPr>
            <w:fldChar w:fldCharType="begin"/>
          </w:r>
          <w:r>
            <w:rPr>
              <w:color w:val="auto"/>
            </w:rPr>
            <w:instrText xml:space="preserve"> PAGEREF _Toc31461 \h </w:instrText>
          </w:r>
          <w:r>
            <w:rPr>
              <w:color w:val="auto"/>
            </w:rPr>
            <w:fldChar w:fldCharType="separate"/>
          </w:r>
          <w:r>
            <w:rPr>
              <w:color w:val="auto"/>
            </w:rPr>
            <w:t>161</w:t>
          </w:r>
          <w:r>
            <w:rPr>
              <w:color w:val="auto"/>
            </w:rPr>
            <w:fldChar w:fldCharType="end"/>
          </w:r>
          <w:r>
            <w:rPr>
              <w:color w:val="auto"/>
            </w:rPr>
            <w:fldChar w:fldCharType="end"/>
          </w:r>
        </w:p>
        <w:p w14:paraId="7796250F">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"_Toc28483" </w:instrText>
          </w:r>
          <w:r>
            <w:rPr>
              <w:color w:val="auto"/>
            </w:rPr>
            <w:fldChar w:fldCharType="separate"/>
          </w:r>
          <w:r>
            <w:rPr>
              <w:rFonts w:hint="eastAsia"/>
              <w:color w:val="auto"/>
            </w:rPr>
            <w:t>4.5拟建</w:t>
          </w:r>
          <w:r>
            <w:rPr>
              <w:color w:val="auto"/>
            </w:rPr>
            <w:t>蒸汽及水平衡</w:t>
          </w:r>
          <w:r>
            <w:rPr>
              <w:color w:val="auto"/>
            </w:rPr>
            <w:tab/>
          </w:r>
          <w:r>
            <w:rPr>
              <w:color w:val="auto"/>
            </w:rPr>
            <w:fldChar w:fldCharType="begin"/>
          </w:r>
          <w:r>
            <w:rPr>
              <w:color w:val="auto"/>
            </w:rPr>
            <w:instrText xml:space="preserve"> PAGEREF _Toc28483 \h </w:instrText>
          </w:r>
          <w:r>
            <w:rPr>
              <w:color w:val="auto"/>
            </w:rPr>
            <w:fldChar w:fldCharType="separate"/>
          </w:r>
          <w:r>
            <w:rPr>
              <w:color w:val="auto"/>
            </w:rPr>
            <w:t>180</w:t>
          </w:r>
          <w:r>
            <w:rPr>
              <w:color w:val="auto"/>
            </w:rPr>
            <w:fldChar w:fldCharType="end"/>
          </w:r>
          <w:r>
            <w:rPr>
              <w:color w:val="auto"/>
            </w:rPr>
            <w:fldChar w:fldCharType="end"/>
          </w:r>
        </w:p>
        <w:p w14:paraId="67799942">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"_Toc21598" </w:instrText>
          </w:r>
          <w:r>
            <w:rPr>
              <w:color w:val="auto"/>
            </w:rPr>
            <w:fldChar w:fldCharType="separate"/>
          </w:r>
          <w:r>
            <w:rPr>
              <w:color w:val="auto"/>
            </w:rPr>
            <w:t>4.</w:t>
          </w:r>
          <w:r>
            <w:rPr>
              <w:rFonts w:hint="eastAsia"/>
              <w:color w:val="auto"/>
            </w:rPr>
            <w:t>5</w:t>
          </w:r>
          <w:r>
            <w:rPr>
              <w:color w:val="auto"/>
            </w:rPr>
            <w:t>.1蒸汽平衡</w:t>
          </w:r>
          <w:r>
            <w:rPr>
              <w:color w:val="auto"/>
            </w:rPr>
            <w:tab/>
          </w:r>
          <w:r>
            <w:rPr>
              <w:color w:val="auto"/>
            </w:rPr>
            <w:fldChar w:fldCharType="begin"/>
          </w:r>
          <w:r>
            <w:rPr>
              <w:color w:val="auto"/>
            </w:rPr>
            <w:instrText xml:space="preserve"> PAGEREF _Toc21598 \h </w:instrText>
          </w:r>
          <w:r>
            <w:rPr>
              <w:color w:val="auto"/>
            </w:rPr>
            <w:fldChar w:fldCharType="separate"/>
          </w:r>
          <w:r>
            <w:rPr>
              <w:color w:val="auto"/>
            </w:rPr>
            <w:t>180</w:t>
          </w:r>
          <w:r>
            <w:rPr>
              <w:color w:val="auto"/>
            </w:rPr>
            <w:fldChar w:fldCharType="end"/>
          </w:r>
          <w:r>
            <w:rPr>
              <w:color w:val="auto"/>
            </w:rPr>
            <w:fldChar w:fldCharType="end"/>
          </w:r>
        </w:p>
        <w:p w14:paraId="72ADE2A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"_Toc31966" </w:instrText>
          </w:r>
          <w:r>
            <w:rPr>
              <w:color w:val="auto"/>
            </w:rPr>
            <w:fldChar w:fldCharType="separate"/>
          </w:r>
          <w:r>
            <w:rPr>
              <w:rFonts w:hint="eastAsia"/>
              <w:color w:val="auto"/>
            </w:rPr>
            <w:t>4.5.2</w:t>
          </w:r>
          <w:r>
            <w:rPr>
              <w:color w:val="auto"/>
            </w:rPr>
            <w:t>水平衡</w:t>
          </w:r>
          <w:r>
            <w:rPr>
              <w:color w:val="auto"/>
            </w:rPr>
            <w:tab/>
          </w:r>
          <w:r>
            <w:rPr>
              <w:color w:val="auto"/>
            </w:rPr>
            <w:fldChar w:fldCharType="begin"/>
          </w:r>
          <w:r>
            <w:rPr>
              <w:color w:val="auto"/>
            </w:rPr>
            <w:instrText xml:space="preserve"> PAGEREF _Toc31966 \h </w:instrText>
          </w:r>
          <w:r>
            <w:rPr>
              <w:color w:val="auto"/>
            </w:rPr>
            <w:fldChar w:fldCharType="separate"/>
          </w:r>
          <w:r>
            <w:rPr>
              <w:color w:val="auto"/>
            </w:rPr>
            <w:t>181</w:t>
          </w:r>
          <w:r>
            <w:rPr>
              <w:color w:val="auto"/>
            </w:rPr>
            <w:fldChar w:fldCharType="end"/>
          </w:r>
          <w:r>
            <w:rPr>
              <w:color w:val="auto"/>
            </w:rPr>
            <w:fldChar w:fldCharType="end"/>
          </w:r>
        </w:p>
        <w:p w14:paraId="50097781">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"_Toc24729" </w:instrText>
          </w:r>
          <w:r>
            <w:rPr>
              <w:color w:val="auto"/>
            </w:rPr>
            <w:fldChar w:fldCharType="separate"/>
          </w:r>
          <w:r>
            <w:rPr>
              <w:color w:val="auto"/>
            </w:rPr>
            <w:t>4.</w:t>
          </w:r>
          <w:r>
            <w:rPr>
              <w:rFonts w:hint="eastAsia"/>
              <w:color w:val="auto"/>
            </w:rPr>
            <w:t>6</w:t>
          </w:r>
          <w:r>
            <w:rPr>
              <w:color w:val="auto"/>
            </w:rPr>
            <w:t>污染源强分析</w:t>
          </w:r>
          <w:r>
            <w:rPr>
              <w:color w:val="auto"/>
            </w:rPr>
            <w:tab/>
          </w:r>
          <w:r>
            <w:rPr>
              <w:color w:val="auto"/>
            </w:rPr>
            <w:fldChar w:fldCharType="begin"/>
          </w:r>
          <w:r>
            <w:rPr>
              <w:color w:val="auto"/>
            </w:rPr>
            <w:instrText xml:space="preserve"> PAGEREF _Toc24729 \h </w:instrText>
          </w:r>
          <w:r>
            <w:rPr>
              <w:color w:val="auto"/>
            </w:rPr>
            <w:fldChar w:fldCharType="separate"/>
          </w:r>
          <w:r>
            <w:rPr>
              <w:color w:val="auto"/>
            </w:rPr>
            <w:t>184</w:t>
          </w:r>
          <w:r>
            <w:rPr>
              <w:color w:val="auto"/>
            </w:rPr>
            <w:fldChar w:fldCharType="end"/>
          </w:r>
          <w:r>
            <w:rPr>
              <w:color w:val="auto"/>
            </w:rPr>
            <w:fldChar w:fldCharType="end"/>
          </w:r>
        </w:p>
        <w:p w14:paraId="7599616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"_Toc12197" </w:instrText>
          </w:r>
          <w:r>
            <w:rPr>
              <w:color w:val="auto"/>
            </w:rPr>
            <w:fldChar w:fldCharType="separate"/>
          </w:r>
          <w:r>
            <w:rPr>
              <w:rFonts w:hint="eastAsia"/>
              <w:color w:val="auto"/>
            </w:rPr>
            <w:t>4.6.1</w:t>
          </w:r>
          <w:r>
            <w:rPr>
              <w:color w:val="auto"/>
            </w:rPr>
            <w:t>废水</w:t>
          </w:r>
          <w:r>
            <w:rPr>
              <w:color w:val="auto"/>
            </w:rPr>
            <w:tab/>
          </w:r>
          <w:r>
            <w:rPr>
              <w:color w:val="auto"/>
            </w:rPr>
            <w:fldChar w:fldCharType="begin"/>
          </w:r>
          <w:r>
            <w:rPr>
              <w:color w:val="auto"/>
            </w:rPr>
            <w:instrText xml:space="preserve"> PAGEREF _Toc12197 \h </w:instrText>
          </w:r>
          <w:r>
            <w:rPr>
              <w:color w:val="auto"/>
            </w:rPr>
            <w:fldChar w:fldCharType="separate"/>
          </w:r>
          <w:r>
            <w:rPr>
              <w:color w:val="auto"/>
            </w:rPr>
            <w:t>184</w:t>
          </w:r>
          <w:r>
            <w:rPr>
              <w:color w:val="auto"/>
            </w:rPr>
            <w:fldChar w:fldCharType="end"/>
          </w:r>
          <w:r>
            <w:rPr>
              <w:color w:val="auto"/>
            </w:rPr>
            <w:fldChar w:fldCharType="end"/>
          </w:r>
        </w:p>
        <w:p w14:paraId="6C267E77">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"_Toc24059" </w:instrText>
          </w:r>
          <w:r>
            <w:rPr>
              <w:color w:val="auto"/>
            </w:rPr>
            <w:fldChar w:fldCharType="separate"/>
          </w:r>
          <w:r>
            <w:rPr>
              <w:color w:val="auto"/>
            </w:rPr>
            <w:t>4.</w:t>
          </w:r>
          <w:r>
            <w:rPr>
              <w:rFonts w:hint="eastAsia"/>
              <w:color w:val="auto"/>
            </w:rPr>
            <w:t>6</w:t>
          </w:r>
          <w:r>
            <w:rPr>
              <w:color w:val="auto"/>
            </w:rPr>
            <w:t>.2废气</w:t>
          </w:r>
          <w:r>
            <w:rPr>
              <w:color w:val="auto"/>
            </w:rPr>
            <w:tab/>
          </w:r>
          <w:r>
            <w:rPr>
              <w:color w:val="auto"/>
            </w:rPr>
            <w:fldChar w:fldCharType="begin"/>
          </w:r>
          <w:r>
            <w:rPr>
              <w:color w:val="auto"/>
            </w:rPr>
            <w:instrText xml:space="preserve"> PAGEREF _Toc24059 \h </w:instrText>
          </w:r>
          <w:r>
            <w:rPr>
              <w:color w:val="auto"/>
            </w:rPr>
            <w:fldChar w:fldCharType="separate"/>
          </w:r>
          <w:r>
            <w:rPr>
              <w:color w:val="auto"/>
            </w:rPr>
            <w:t>186</w:t>
          </w:r>
          <w:r>
            <w:rPr>
              <w:color w:val="auto"/>
            </w:rPr>
            <w:fldChar w:fldCharType="end"/>
          </w:r>
          <w:r>
            <w:rPr>
              <w:color w:val="auto"/>
            </w:rPr>
            <w:fldChar w:fldCharType="end"/>
          </w:r>
        </w:p>
        <w:p w14:paraId="710CD57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"_Toc8701" </w:instrText>
          </w:r>
          <w:r>
            <w:rPr>
              <w:color w:val="auto"/>
            </w:rPr>
            <w:fldChar w:fldCharType="separate"/>
          </w:r>
          <w:r>
            <w:rPr>
              <w:rFonts w:hint="eastAsia"/>
              <w:color w:val="auto"/>
            </w:rPr>
            <w:t>4.6.3</w:t>
          </w:r>
          <w:r>
            <w:rPr>
              <w:color w:val="auto"/>
            </w:rPr>
            <w:t>噪声</w:t>
          </w:r>
          <w:r>
            <w:rPr>
              <w:color w:val="auto"/>
            </w:rPr>
            <w:tab/>
          </w:r>
          <w:r>
            <w:rPr>
              <w:color w:val="auto"/>
            </w:rPr>
            <w:fldChar w:fldCharType="begin"/>
          </w:r>
          <w:r>
            <w:rPr>
              <w:color w:val="auto"/>
            </w:rPr>
            <w:instrText xml:space="preserve"> PAGEREF _Toc8701 \h </w:instrText>
          </w:r>
          <w:r>
            <w:rPr>
              <w:color w:val="auto"/>
            </w:rPr>
            <w:fldChar w:fldCharType="separate"/>
          </w:r>
          <w:r>
            <w:rPr>
              <w:color w:val="auto"/>
            </w:rPr>
            <w:t>193</w:t>
          </w:r>
          <w:r>
            <w:rPr>
              <w:color w:val="auto"/>
            </w:rPr>
            <w:fldChar w:fldCharType="end"/>
          </w:r>
          <w:r>
            <w:rPr>
              <w:color w:val="auto"/>
            </w:rPr>
            <w:fldChar w:fldCharType="end"/>
          </w:r>
        </w:p>
        <w:p w14:paraId="0F147060">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"_Toc17565" </w:instrText>
          </w:r>
          <w:r>
            <w:rPr>
              <w:color w:val="auto"/>
            </w:rPr>
            <w:fldChar w:fldCharType="separate"/>
          </w:r>
          <w:r>
            <w:rPr>
              <w:rFonts w:hint="eastAsia"/>
              <w:color w:val="auto"/>
            </w:rPr>
            <w:t>4.6.4固体废物</w:t>
          </w:r>
          <w:r>
            <w:rPr>
              <w:color w:val="auto"/>
            </w:rPr>
            <w:tab/>
          </w:r>
          <w:r>
            <w:rPr>
              <w:color w:val="auto"/>
            </w:rPr>
            <w:fldChar w:fldCharType="begin"/>
          </w:r>
          <w:r>
            <w:rPr>
              <w:color w:val="auto"/>
            </w:rPr>
            <w:instrText xml:space="preserve"> PAGEREF _Toc17565 \h </w:instrText>
          </w:r>
          <w:r>
            <w:rPr>
              <w:color w:val="auto"/>
            </w:rPr>
            <w:fldChar w:fldCharType="separate"/>
          </w:r>
          <w:r>
            <w:rPr>
              <w:color w:val="auto"/>
            </w:rPr>
            <w:t>194</w:t>
          </w:r>
          <w:r>
            <w:rPr>
              <w:color w:val="auto"/>
            </w:rPr>
            <w:fldChar w:fldCharType="end"/>
          </w:r>
          <w:r>
            <w:rPr>
              <w:color w:val="auto"/>
            </w:rPr>
            <w:fldChar w:fldCharType="end"/>
          </w:r>
        </w:p>
        <w:p w14:paraId="62AAB724">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"_Toc15801" </w:instrText>
          </w:r>
          <w:r>
            <w:rPr>
              <w:color w:val="auto"/>
            </w:rPr>
            <w:fldChar w:fldCharType="separate"/>
          </w:r>
          <w:r>
            <w:rPr>
              <w:rFonts w:hint="eastAsia"/>
              <w:color w:val="auto"/>
            </w:rPr>
            <w:t>4.6.5</w:t>
          </w:r>
          <w:r>
            <w:rPr>
              <w:color w:val="auto"/>
            </w:rPr>
            <w:t>污染物总量</w:t>
          </w:r>
          <w:r>
            <w:rPr>
              <w:color w:val="auto"/>
            </w:rPr>
            <w:tab/>
          </w:r>
          <w:r>
            <w:rPr>
              <w:color w:val="auto"/>
            </w:rPr>
            <w:fldChar w:fldCharType="begin"/>
          </w:r>
          <w:r>
            <w:rPr>
              <w:color w:val="auto"/>
            </w:rPr>
            <w:instrText xml:space="preserve"> PAGEREF _Toc15801 \h </w:instrText>
          </w:r>
          <w:r>
            <w:rPr>
              <w:color w:val="auto"/>
            </w:rPr>
            <w:fldChar w:fldCharType="separate"/>
          </w:r>
          <w:r>
            <w:rPr>
              <w:color w:val="auto"/>
            </w:rPr>
            <w:t>197</w:t>
          </w:r>
          <w:r>
            <w:rPr>
              <w:color w:val="auto"/>
            </w:rPr>
            <w:fldChar w:fldCharType="end"/>
          </w:r>
          <w:r>
            <w:rPr>
              <w:color w:val="auto"/>
            </w:rPr>
            <w:fldChar w:fldCharType="end"/>
          </w:r>
        </w:p>
        <w:p w14:paraId="37AD8D4F">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"_Toc26783" </w:instrText>
          </w:r>
          <w:r>
            <w:rPr>
              <w:color w:val="auto"/>
            </w:rPr>
            <w:fldChar w:fldCharType="separate"/>
          </w:r>
          <w:r>
            <w:rPr>
              <w:rFonts w:hint="eastAsia"/>
              <w:color w:val="auto"/>
            </w:rPr>
            <w:t>4.7</w:t>
          </w:r>
          <w:r>
            <w:rPr>
              <w:color w:val="auto"/>
            </w:rPr>
            <w:t>环境风险识别</w:t>
          </w:r>
          <w:r>
            <w:rPr>
              <w:color w:val="auto"/>
            </w:rPr>
            <w:tab/>
          </w:r>
          <w:r>
            <w:rPr>
              <w:color w:val="auto"/>
            </w:rPr>
            <w:fldChar w:fldCharType="begin"/>
          </w:r>
          <w:r>
            <w:rPr>
              <w:color w:val="auto"/>
            </w:rPr>
            <w:instrText xml:space="preserve"> PAGEREF _Toc26783 \h </w:instrText>
          </w:r>
          <w:r>
            <w:rPr>
              <w:color w:val="auto"/>
            </w:rPr>
            <w:fldChar w:fldCharType="separate"/>
          </w:r>
          <w:r>
            <w:rPr>
              <w:color w:val="auto"/>
            </w:rPr>
            <w:t>200</w:t>
          </w:r>
          <w:r>
            <w:rPr>
              <w:color w:val="auto"/>
            </w:rPr>
            <w:fldChar w:fldCharType="end"/>
          </w:r>
          <w:r>
            <w:rPr>
              <w:color w:val="auto"/>
            </w:rPr>
            <w:fldChar w:fldCharType="end"/>
          </w:r>
        </w:p>
        <w:p w14:paraId="62F89F4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"_Toc14766" </w:instrText>
          </w:r>
          <w:r>
            <w:rPr>
              <w:color w:val="auto"/>
            </w:rPr>
            <w:fldChar w:fldCharType="separate"/>
          </w:r>
          <w:r>
            <w:rPr>
              <w:rFonts w:hint="eastAsia"/>
              <w:color w:val="auto"/>
            </w:rPr>
            <w:t>4.7.1</w:t>
          </w:r>
          <w:r>
            <w:rPr>
              <w:color w:val="auto"/>
            </w:rPr>
            <w:t>物质危险性识别</w:t>
          </w:r>
          <w:r>
            <w:rPr>
              <w:color w:val="auto"/>
            </w:rPr>
            <w:tab/>
          </w:r>
          <w:r>
            <w:rPr>
              <w:color w:val="auto"/>
            </w:rPr>
            <w:fldChar w:fldCharType="begin"/>
          </w:r>
          <w:r>
            <w:rPr>
              <w:color w:val="auto"/>
            </w:rPr>
            <w:instrText xml:space="preserve"> PAGEREF _Toc14766 \h </w:instrText>
          </w:r>
          <w:r>
            <w:rPr>
              <w:color w:val="auto"/>
            </w:rPr>
            <w:fldChar w:fldCharType="separate"/>
          </w:r>
          <w:r>
            <w:rPr>
              <w:color w:val="auto"/>
            </w:rPr>
            <w:t>200</w:t>
          </w:r>
          <w:r>
            <w:rPr>
              <w:color w:val="auto"/>
            </w:rPr>
            <w:fldChar w:fldCharType="end"/>
          </w:r>
          <w:r>
            <w:rPr>
              <w:color w:val="auto"/>
            </w:rPr>
            <w:fldChar w:fldCharType="end"/>
          </w:r>
        </w:p>
        <w:p w14:paraId="17BBA19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"_Toc21485" </w:instrText>
          </w:r>
          <w:r>
            <w:rPr>
              <w:color w:val="auto"/>
            </w:rPr>
            <w:fldChar w:fldCharType="separate"/>
          </w:r>
          <w:r>
            <w:rPr>
              <w:rFonts w:hint="eastAsia"/>
              <w:color w:val="auto"/>
            </w:rPr>
            <w:t>4.7.2</w:t>
          </w:r>
          <w:r>
            <w:rPr>
              <w:color w:val="auto"/>
            </w:rPr>
            <w:t>建设项目危险性识别</w:t>
          </w:r>
          <w:r>
            <w:rPr>
              <w:color w:val="auto"/>
            </w:rPr>
            <w:tab/>
          </w:r>
          <w:r>
            <w:rPr>
              <w:color w:val="auto"/>
            </w:rPr>
            <w:fldChar w:fldCharType="begin"/>
          </w:r>
          <w:r>
            <w:rPr>
              <w:color w:val="auto"/>
            </w:rPr>
            <w:instrText xml:space="preserve"> PAGEREF _Toc21485 \h </w:instrText>
          </w:r>
          <w:r>
            <w:rPr>
              <w:color w:val="auto"/>
            </w:rPr>
            <w:fldChar w:fldCharType="separate"/>
          </w:r>
          <w:r>
            <w:rPr>
              <w:color w:val="auto"/>
            </w:rPr>
            <w:t>201</w:t>
          </w:r>
          <w:r>
            <w:rPr>
              <w:color w:val="auto"/>
            </w:rPr>
            <w:fldChar w:fldCharType="end"/>
          </w:r>
          <w:r>
            <w:rPr>
              <w:color w:val="auto"/>
            </w:rPr>
            <w:fldChar w:fldCharType="end"/>
          </w:r>
        </w:p>
        <w:p w14:paraId="1B5838F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"_Toc5338" </w:instrText>
          </w:r>
          <w:r>
            <w:rPr>
              <w:color w:val="auto"/>
            </w:rPr>
            <w:fldChar w:fldCharType="separate"/>
          </w:r>
          <w:r>
            <w:rPr>
              <w:bCs/>
              <w:color w:val="auto"/>
            </w:rPr>
            <w:t>4.</w:t>
          </w:r>
          <w:r>
            <w:rPr>
              <w:rFonts w:hint="eastAsia"/>
              <w:bCs/>
              <w:color w:val="auto"/>
            </w:rPr>
            <w:t>7</w:t>
          </w:r>
          <w:r>
            <w:rPr>
              <w:bCs/>
              <w:color w:val="auto"/>
            </w:rPr>
            <w:t>.3危险物质环境转移途径识别</w:t>
          </w:r>
          <w:r>
            <w:rPr>
              <w:color w:val="auto"/>
            </w:rPr>
            <w:tab/>
          </w:r>
          <w:r>
            <w:rPr>
              <w:color w:val="auto"/>
            </w:rPr>
            <w:fldChar w:fldCharType="begin"/>
          </w:r>
          <w:r>
            <w:rPr>
              <w:color w:val="auto"/>
            </w:rPr>
            <w:instrText xml:space="preserve"> PAGEREF _Toc5338 \h </w:instrText>
          </w:r>
          <w:r>
            <w:rPr>
              <w:color w:val="auto"/>
            </w:rPr>
            <w:fldChar w:fldCharType="separate"/>
          </w:r>
          <w:r>
            <w:rPr>
              <w:color w:val="auto"/>
            </w:rPr>
            <w:t>217</w:t>
          </w:r>
          <w:r>
            <w:rPr>
              <w:color w:val="auto"/>
            </w:rPr>
            <w:fldChar w:fldCharType="end"/>
          </w:r>
          <w:r>
            <w:rPr>
              <w:color w:val="auto"/>
            </w:rPr>
            <w:fldChar w:fldCharType="end"/>
          </w:r>
        </w:p>
        <w:p w14:paraId="724681B2">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"_Toc15177" </w:instrText>
          </w:r>
          <w:r>
            <w:rPr>
              <w:color w:val="auto"/>
            </w:rPr>
            <w:fldChar w:fldCharType="separate"/>
          </w:r>
          <w:r>
            <w:rPr>
              <w:bCs/>
              <w:color w:val="auto"/>
            </w:rPr>
            <w:t>4.</w:t>
          </w:r>
          <w:r>
            <w:rPr>
              <w:rFonts w:hint="eastAsia"/>
              <w:bCs/>
              <w:color w:val="auto"/>
            </w:rPr>
            <w:t>7</w:t>
          </w:r>
          <w:r>
            <w:rPr>
              <w:bCs/>
              <w:color w:val="auto"/>
            </w:rPr>
            <w:t>.4最大可信事故确定与概率分析</w:t>
          </w:r>
          <w:r>
            <w:rPr>
              <w:color w:val="auto"/>
            </w:rPr>
            <w:tab/>
          </w:r>
          <w:r>
            <w:rPr>
              <w:color w:val="auto"/>
            </w:rPr>
            <w:fldChar w:fldCharType="begin"/>
          </w:r>
          <w:r>
            <w:rPr>
              <w:color w:val="auto"/>
            </w:rPr>
            <w:instrText xml:space="preserve"> PAGEREF _Toc15177 \h </w:instrText>
          </w:r>
          <w:r>
            <w:rPr>
              <w:color w:val="auto"/>
            </w:rPr>
            <w:fldChar w:fldCharType="separate"/>
          </w:r>
          <w:r>
            <w:rPr>
              <w:color w:val="auto"/>
            </w:rPr>
            <w:t>217</w:t>
          </w:r>
          <w:r>
            <w:rPr>
              <w:color w:val="auto"/>
            </w:rPr>
            <w:fldChar w:fldCharType="end"/>
          </w:r>
          <w:r>
            <w:rPr>
              <w:color w:val="auto"/>
            </w:rPr>
            <w:fldChar w:fldCharType="end"/>
          </w:r>
        </w:p>
        <w:p w14:paraId="395254A0">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"_Toc966" </w:instrText>
          </w:r>
          <w:r>
            <w:rPr>
              <w:color w:val="auto"/>
            </w:rPr>
            <w:fldChar w:fldCharType="separate"/>
          </w:r>
          <w:r>
            <w:rPr>
              <w:rFonts w:hint="eastAsia"/>
              <w:color w:val="auto"/>
            </w:rPr>
            <w:t>4.8</w:t>
          </w:r>
          <w:r>
            <w:rPr>
              <w:color w:val="auto"/>
            </w:rPr>
            <w:t>清洁生产水平分析</w:t>
          </w:r>
          <w:r>
            <w:rPr>
              <w:color w:val="auto"/>
            </w:rPr>
            <w:tab/>
          </w:r>
          <w:r>
            <w:rPr>
              <w:color w:val="auto"/>
            </w:rPr>
            <w:fldChar w:fldCharType="begin"/>
          </w:r>
          <w:r>
            <w:rPr>
              <w:color w:val="auto"/>
            </w:rPr>
            <w:instrText xml:space="preserve"> PAGEREF _Toc966 \h </w:instrText>
          </w:r>
          <w:r>
            <w:rPr>
              <w:color w:val="auto"/>
            </w:rPr>
            <w:fldChar w:fldCharType="separate"/>
          </w:r>
          <w:r>
            <w:rPr>
              <w:color w:val="auto"/>
            </w:rPr>
            <w:t>219</w:t>
          </w:r>
          <w:r>
            <w:rPr>
              <w:color w:val="auto"/>
            </w:rPr>
            <w:fldChar w:fldCharType="end"/>
          </w:r>
          <w:r>
            <w:rPr>
              <w:color w:val="auto"/>
            </w:rPr>
            <w:fldChar w:fldCharType="end"/>
          </w:r>
        </w:p>
        <w:p w14:paraId="1EF56D15">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"_Toc20639" </w:instrText>
          </w:r>
          <w:r>
            <w:rPr>
              <w:color w:val="auto"/>
            </w:rPr>
            <w:fldChar w:fldCharType="separate"/>
          </w:r>
          <w:r>
            <w:rPr>
              <w:rFonts w:hint="eastAsia"/>
              <w:color w:val="auto"/>
            </w:rPr>
            <w:t>4.8.1工艺技术先进性</w:t>
          </w:r>
          <w:r>
            <w:rPr>
              <w:color w:val="auto"/>
            </w:rPr>
            <w:tab/>
          </w:r>
          <w:r>
            <w:rPr>
              <w:color w:val="auto"/>
            </w:rPr>
            <w:fldChar w:fldCharType="begin"/>
          </w:r>
          <w:r>
            <w:rPr>
              <w:color w:val="auto"/>
            </w:rPr>
            <w:instrText xml:space="preserve"> PAGEREF _Toc20639 \h </w:instrText>
          </w:r>
          <w:r>
            <w:rPr>
              <w:color w:val="auto"/>
            </w:rPr>
            <w:fldChar w:fldCharType="separate"/>
          </w:r>
          <w:r>
            <w:rPr>
              <w:color w:val="auto"/>
            </w:rPr>
            <w:t>221</w:t>
          </w:r>
          <w:r>
            <w:rPr>
              <w:color w:val="auto"/>
            </w:rPr>
            <w:fldChar w:fldCharType="end"/>
          </w:r>
          <w:r>
            <w:rPr>
              <w:color w:val="auto"/>
            </w:rPr>
            <w:fldChar w:fldCharType="end"/>
          </w:r>
        </w:p>
        <w:p w14:paraId="339285F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"_Toc10772" </w:instrText>
          </w:r>
          <w:r>
            <w:rPr>
              <w:color w:val="auto"/>
            </w:rPr>
            <w:fldChar w:fldCharType="separate"/>
          </w:r>
          <w:r>
            <w:rPr>
              <w:rFonts w:hint="eastAsia"/>
              <w:color w:val="auto"/>
            </w:rPr>
            <w:t>4.8.2</w:t>
          </w:r>
          <w:r>
            <w:rPr>
              <w:color w:val="auto"/>
            </w:rPr>
            <w:t>设备水平</w:t>
          </w:r>
          <w:r>
            <w:rPr>
              <w:rFonts w:hint="eastAsia"/>
              <w:color w:val="auto"/>
            </w:rPr>
            <w:t>及过程控制先进性</w:t>
          </w:r>
          <w:r>
            <w:rPr>
              <w:color w:val="auto"/>
            </w:rPr>
            <w:tab/>
          </w:r>
          <w:r>
            <w:rPr>
              <w:color w:val="auto"/>
            </w:rPr>
            <w:fldChar w:fldCharType="begin"/>
          </w:r>
          <w:r>
            <w:rPr>
              <w:color w:val="auto"/>
            </w:rPr>
            <w:instrText xml:space="preserve"> PAGEREF _Toc10772 \h </w:instrText>
          </w:r>
          <w:r>
            <w:rPr>
              <w:color w:val="auto"/>
            </w:rPr>
            <w:fldChar w:fldCharType="separate"/>
          </w:r>
          <w:r>
            <w:rPr>
              <w:color w:val="auto"/>
            </w:rPr>
            <w:t>223</w:t>
          </w:r>
          <w:r>
            <w:rPr>
              <w:color w:val="auto"/>
            </w:rPr>
            <w:fldChar w:fldCharType="end"/>
          </w:r>
          <w:r>
            <w:rPr>
              <w:color w:val="auto"/>
            </w:rPr>
            <w:fldChar w:fldCharType="end"/>
          </w:r>
        </w:p>
        <w:p w14:paraId="7E9BBBE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"_Toc1253" </w:instrText>
          </w:r>
          <w:r>
            <w:rPr>
              <w:color w:val="auto"/>
            </w:rPr>
            <w:fldChar w:fldCharType="separate"/>
          </w:r>
          <w:r>
            <w:rPr>
              <w:rFonts w:hint="eastAsia"/>
              <w:color w:val="auto"/>
            </w:rPr>
            <w:t>4.8.3物耗、能耗、水耗</w:t>
          </w:r>
          <w:r>
            <w:rPr>
              <w:color w:val="auto"/>
            </w:rPr>
            <w:tab/>
          </w:r>
          <w:r>
            <w:rPr>
              <w:color w:val="auto"/>
            </w:rPr>
            <w:fldChar w:fldCharType="begin"/>
          </w:r>
          <w:r>
            <w:rPr>
              <w:color w:val="auto"/>
            </w:rPr>
            <w:instrText xml:space="preserve"> PAGEREF _Toc1253 \h </w:instrText>
          </w:r>
          <w:r>
            <w:rPr>
              <w:color w:val="auto"/>
            </w:rPr>
            <w:fldChar w:fldCharType="separate"/>
          </w:r>
          <w:r>
            <w:rPr>
              <w:color w:val="auto"/>
            </w:rPr>
            <w:t>224</w:t>
          </w:r>
          <w:r>
            <w:rPr>
              <w:color w:val="auto"/>
            </w:rPr>
            <w:fldChar w:fldCharType="end"/>
          </w:r>
          <w:r>
            <w:rPr>
              <w:color w:val="auto"/>
            </w:rPr>
            <w:fldChar w:fldCharType="end"/>
          </w:r>
        </w:p>
        <w:p w14:paraId="7262F2AF">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"_Toc2387" </w:instrText>
          </w:r>
          <w:r>
            <w:rPr>
              <w:color w:val="auto"/>
            </w:rPr>
            <w:fldChar w:fldCharType="separate"/>
          </w:r>
          <w:r>
            <w:rPr>
              <w:rFonts w:hint="eastAsia"/>
              <w:color w:val="auto"/>
            </w:rPr>
            <w:t>4.8.4污染减排措施</w:t>
          </w:r>
          <w:r>
            <w:rPr>
              <w:color w:val="auto"/>
            </w:rPr>
            <w:tab/>
          </w:r>
          <w:r>
            <w:rPr>
              <w:color w:val="auto"/>
            </w:rPr>
            <w:fldChar w:fldCharType="begin"/>
          </w:r>
          <w:r>
            <w:rPr>
              <w:color w:val="auto"/>
            </w:rPr>
            <w:instrText xml:space="preserve"> PAGEREF _Toc2387 \h </w:instrText>
          </w:r>
          <w:r>
            <w:rPr>
              <w:color w:val="auto"/>
            </w:rPr>
            <w:fldChar w:fldCharType="separate"/>
          </w:r>
          <w:r>
            <w:rPr>
              <w:color w:val="auto"/>
            </w:rPr>
            <w:t>224</w:t>
          </w:r>
          <w:r>
            <w:rPr>
              <w:color w:val="auto"/>
            </w:rPr>
            <w:fldChar w:fldCharType="end"/>
          </w:r>
          <w:r>
            <w:rPr>
              <w:color w:val="auto"/>
            </w:rPr>
            <w:fldChar w:fldCharType="end"/>
          </w:r>
        </w:p>
        <w:p w14:paraId="66909AF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"_Toc7705" </w:instrText>
          </w:r>
          <w:r>
            <w:rPr>
              <w:color w:val="auto"/>
            </w:rPr>
            <w:fldChar w:fldCharType="separate"/>
          </w:r>
          <w:r>
            <w:rPr>
              <w:rFonts w:hint="eastAsia"/>
              <w:color w:val="auto"/>
            </w:rPr>
            <w:t>4.8.5</w:t>
          </w:r>
          <w:r>
            <w:rPr>
              <w:color w:val="auto"/>
            </w:rPr>
            <w:t>环境管理</w:t>
          </w:r>
          <w:r>
            <w:rPr>
              <w:color w:val="auto"/>
            </w:rPr>
            <w:tab/>
          </w:r>
          <w:r>
            <w:rPr>
              <w:color w:val="auto"/>
            </w:rPr>
            <w:fldChar w:fldCharType="begin"/>
          </w:r>
          <w:r>
            <w:rPr>
              <w:color w:val="auto"/>
            </w:rPr>
            <w:instrText xml:space="preserve"> PAGEREF _Toc7705 \h </w:instrText>
          </w:r>
          <w:r>
            <w:rPr>
              <w:color w:val="auto"/>
            </w:rPr>
            <w:fldChar w:fldCharType="separate"/>
          </w:r>
          <w:r>
            <w:rPr>
              <w:color w:val="auto"/>
            </w:rPr>
            <w:t>225</w:t>
          </w:r>
          <w:r>
            <w:rPr>
              <w:color w:val="auto"/>
            </w:rPr>
            <w:fldChar w:fldCharType="end"/>
          </w:r>
          <w:r>
            <w:rPr>
              <w:color w:val="auto"/>
            </w:rPr>
            <w:fldChar w:fldCharType="end"/>
          </w:r>
        </w:p>
        <w:p w14:paraId="328A94D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"_Toc6025" </w:instrText>
          </w:r>
          <w:r>
            <w:rPr>
              <w:color w:val="auto"/>
            </w:rPr>
            <w:fldChar w:fldCharType="separate"/>
          </w:r>
          <w:r>
            <w:rPr>
              <w:rFonts w:hint="eastAsia"/>
              <w:color w:val="auto"/>
            </w:rPr>
            <w:t>4.8.6清洁生产结论</w:t>
          </w:r>
          <w:r>
            <w:rPr>
              <w:color w:val="auto"/>
            </w:rPr>
            <w:tab/>
          </w:r>
          <w:r>
            <w:rPr>
              <w:color w:val="auto"/>
            </w:rPr>
            <w:fldChar w:fldCharType="begin"/>
          </w:r>
          <w:r>
            <w:rPr>
              <w:color w:val="auto"/>
            </w:rPr>
            <w:instrText xml:space="preserve"> PAGEREF _Toc6025 \h </w:instrText>
          </w:r>
          <w:r>
            <w:rPr>
              <w:color w:val="auto"/>
            </w:rPr>
            <w:fldChar w:fldCharType="separate"/>
          </w:r>
          <w:r>
            <w:rPr>
              <w:color w:val="auto"/>
            </w:rPr>
            <w:t>225</w:t>
          </w:r>
          <w:r>
            <w:rPr>
              <w:color w:val="auto"/>
            </w:rPr>
            <w:fldChar w:fldCharType="end"/>
          </w:r>
          <w:r>
            <w:rPr>
              <w:color w:val="auto"/>
            </w:rPr>
            <w:fldChar w:fldCharType="end"/>
          </w:r>
        </w:p>
        <w:p w14:paraId="0706A9D1">
          <w:pPr>
            <w:pStyle w:val="16"/>
            <w:tabs>
              <w:tab w:val="right" w:leader="dot" w:pos="9638"/>
            </w:tabs>
            <w:spacing w:line="360" w:lineRule="auto"/>
            <w:ind w:firstLine="0" w:firstLineChars="0"/>
            <w:rPr>
              <w:color w:val="auto"/>
            </w:rPr>
          </w:pPr>
          <w:r>
            <w:rPr>
              <w:color w:val="auto"/>
            </w:rPr>
            <w:fldChar w:fldCharType="begin"/>
          </w:r>
          <w:r>
            <w:rPr>
              <w:color w:val="auto"/>
            </w:rPr>
            <w:instrText xml:space="preserve"> HYPERLINK \l "_Toc27166" </w:instrText>
          </w:r>
          <w:r>
            <w:rPr>
              <w:color w:val="auto"/>
            </w:rPr>
            <w:fldChar w:fldCharType="separate"/>
          </w:r>
          <w:r>
            <w:rPr>
              <w:bCs/>
              <w:color w:val="auto"/>
              <w:kern w:val="44"/>
              <w:szCs w:val="44"/>
            </w:rPr>
            <w:t xml:space="preserve">5 </w:t>
          </w:r>
          <w:r>
            <w:rPr>
              <w:rFonts w:hint="eastAsia" w:ascii="宋体" w:hAnsi="宋体" w:cs="宋体"/>
              <w:bCs/>
              <w:color w:val="auto"/>
              <w:kern w:val="44"/>
              <w:szCs w:val="44"/>
            </w:rPr>
            <w:t>环境现状调查与评价</w:t>
          </w:r>
          <w:r>
            <w:rPr>
              <w:color w:val="auto"/>
            </w:rPr>
            <w:tab/>
          </w:r>
          <w:r>
            <w:rPr>
              <w:color w:val="auto"/>
            </w:rPr>
            <w:fldChar w:fldCharType="begin"/>
          </w:r>
          <w:r>
            <w:rPr>
              <w:color w:val="auto"/>
            </w:rPr>
            <w:instrText xml:space="preserve"> PAGEREF _Toc27166 \h </w:instrText>
          </w:r>
          <w:r>
            <w:rPr>
              <w:color w:val="auto"/>
            </w:rPr>
            <w:fldChar w:fldCharType="separate"/>
          </w:r>
          <w:r>
            <w:rPr>
              <w:color w:val="auto"/>
            </w:rPr>
            <w:t>226</w:t>
          </w:r>
          <w:r>
            <w:rPr>
              <w:color w:val="auto"/>
            </w:rPr>
            <w:fldChar w:fldCharType="end"/>
          </w:r>
          <w:r>
            <w:rPr>
              <w:color w:val="auto"/>
            </w:rPr>
            <w:fldChar w:fldCharType="end"/>
          </w:r>
        </w:p>
        <w:p w14:paraId="2E3BF8B6">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"_Toc17185" </w:instrText>
          </w:r>
          <w:r>
            <w:rPr>
              <w:color w:val="auto"/>
            </w:rPr>
            <w:fldChar w:fldCharType="separate"/>
          </w:r>
          <w:r>
            <w:rPr>
              <w:rFonts w:hint="eastAsia"/>
              <w:color w:val="auto"/>
            </w:rPr>
            <w:t>5.1自然环境概况</w:t>
          </w:r>
          <w:r>
            <w:rPr>
              <w:color w:val="auto"/>
            </w:rPr>
            <w:tab/>
          </w:r>
          <w:r>
            <w:rPr>
              <w:color w:val="auto"/>
            </w:rPr>
            <w:fldChar w:fldCharType="begin"/>
          </w:r>
          <w:r>
            <w:rPr>
              <w:color w:val="auto"/>
            </w:rPr>
            <w:instrText xml:space="preserve"> PAGEREF _Toc17185 \h </w:instrText>
          </w:r>
          <w:r>
            <w:rPr>
              <w:color w:val="auto"/>
            </w:rPr>
            <w:fldChar w:fldCharType="separate"/>
          </w:r>
          <w:r>
            <w:rPr>
              <w:color w:val="auto"/>
            </w:rPr>
            <w:t>226</w:t>
          </w:r>
          <w:r>
            <w:rPr>
              <w:color w:val="auto"/>
            </w:rPr>
            <w:fldChar w:fldCharType="end"/>
          </w:r>
          <w:r>
            <w:rPr>
              <w:color w:val="auto"/>
            </w:rPr>
            <w:fldChar w:fldCharType="end"/>
          </w:r>
        </w:p>
        <w:p w14:paraId="1BF3608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"_Toc23938" </w:instrText>
          </w:r>
          <w:r>
            <w:rPr>
              <w:color w:val="auto"/>
            </w:rPr>
            <w:fldChar w:fldCharType="separate"/>
          </w:r>
          <w:r>
            <w:rPr>
              <w:rFonts w:hint="eastAsia"/>
              <w:color w:val="auto"/>
            </w:rPr>
            <w:t>5.1.1地理位置</w:t>
          </w:r>
          <w:r>
            <w:rPr>
              <w:color w:val="auto"/>
            </w:rPr>
            <w:tab/>
          </w:r>
          <w:r>
            <w:rPr>
              <w:color w:val="auto"/>
            </w:rPr>
            <w:fldChar w:fldCharType="begin"/>
          </w:r>
          <w:r>
            <w:rPr>
              <w:color w:val="auto"/>
            </w:rPr>
            <w:instrText xml:space="preserve"> PAGEREF _Toc23938 \h </w:instrText>
          </w:r>
          <w:r>
            <w:rPr>
              <w:color w:val="auto"/>
            </w:rPr>
            <w:fldChar w:fldCharType="separate"/>
          </w:r>
          <w:r>
            <w:rPr>
              <w:color w:val="auto"/>
            </w:rPr>
            <w:t>226</w:t>
          </w:r>
          <w:r>
            <w:rPr>
              <w:color w:val="auto"/>
            </w:rPr>
            <w:fldChar w:fldCharType="end"/>
          </w:r>
          <w:r>
            <w:rPr>
              <w:color w:val="auto"/>
            </w:rPr>
            <w:fldChar w:fldCharType="end"/>
          </w:r>
        </w:p>
        <w:p w14:paraId="77ADEF7F">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"_Toc5907" </w:instrText>
          </w:r>
          <w:r>
            <w:rPr>
              <w:color w:val="auto"/>
            </w:rPr>
            <w:fldChar w:fldCharType="separate"/>
          </w:r>
          <w:r>
            <w:rPr>
              <w:rFonts w:hint="eastAsia"/>
              <w:bCs/>
              <w:color w:val="auto"/>
            </w:rPr>
            <w:t>5.1.2地形、地貌、地质</w:t>
          </w:r>
          <w:r>
            <w:rPr>
              <w:color w:val="auto"/>
            </w:rPr>
            <w:tab/>
          </w:r>
          <w:r>
            <w:rPr>
              <w:color w:val="auto"/>
            </w:rPr>
            <w:fldChar w:fldCharType="begin"/>
          </w:r>
          <w:r>
            <w:rPr>
              <w:color w:val="auto"/>
            </w:rPr>
            <w:instrText xml:space="preserve"> PAGEREF _Toc5907 \h </w:instrText>
          </w:r>
          <w:r>
            <w:rPr>
              <w:color w:val="auto"/>
            </w:rPr>
            <w:fldChar w:fldCharType="separate"/>
          </w:r>
          <w:r>
            <w:rPr>
              <w:color w:val="auto"/>
            </w:rPr>
            <w:t>226</w:t>
          </w:r>
          <w:r>
            <w:rPr>
              <w:color w:val="auto"/>
            </w:rPr>
            <w:fldChar w:fldCharType="end"/>
          </w:r>
          <w:r>
            <w:rPr>
              <w:color w:val="auto"/>
            </w:rPr>
            <w:fldChar w:fldCharType="end"/>
          </w:r>
        </w:p>
        <w:p w14:paraId="04D78FA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"_Toc9588" </w:instrText>
          </w:r>
          <w:r>
            <w:rPr>
              <w:color w:val="auto"/>
            </w:rPr>
            <w:fldChar w:fldCharType="separate"/>
          </w:r>
          <w:r>
            <w:rPr>
              <w:rFonts w:hint="eastAsia"/>
              <w:bCs/>
              <w:color w:val="auto"/>
            </w:rPr>
            <w:t>5.1.3气候、气象特征</w:t>
          </w:r>
          <w:r>
            <w:rPr>
              <w:color w:val="auto"/>
            </w:rPr>
            <w:tab/>
          </w:r>
          <w:r>
            <w:rPr>
              <w:color w:val="auto"/>
            </w:rPr>
            <w:fldChar w:fldCharType="begin"/>
          </w:r>
          <w:r>
            <w:rPr>
              <w:color w:val="auto"/>
            </w:rPr>
            <w:instrText xml:space="preserve"> PAGEREF _Toc9588 \h </w:instrText>
          </w:r>
          <w:r>
            <w:rPr>
              <w:color w:val="auto"/>
            </w:rPr>
            <w:fldChar w:fldCharType="separate"/>
          </w:r>
          <w:r>
            <w:rPr>
              <w:color w:val="auto"/>
            </w:rPr>
            <w:t>227</w:t>
          </w:r>
          <w:r>
            <w:rPr>
              <w:color w:val="auto"/>
            </w:rPr>
            <w:fldChar w:fldCharType="end"/>
          </w:r>
          <w:r>
            <w:rPr>
              <w:color w:val="auto"/>
            </w:rPr>
            <w:fldChar w:fldCharType="end"/>
          </w:r>
        </w:p>
        <w:p w14:paraId="53C59265">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"_Toc2435" </w:instrText>
          </w:r>
          <w:r>
            <w:rPr>
              <w:color w:val="auto"/>
            </w:rPr>
            <w:fldChar w:fldCharType="separate"/>
          </w:r>
          <w:r>
            <w:rPr>
              <w:rFonts w:hint="eastAsia"/>
              <w:bCs/>
              <w:color w:val="auto"/>
            </w:rPr>
            <w:t>5.1.4水系与水文</w:t>
          </w:r>
          <w:r>
            <w:rPr>
              <w:color w:val="auto"/>
            </w:rPr>
            <w:tab/>
          </w:r>
          <w:r>
            <w:rPr>
              <w:color w:val="auto"/>
            </w:rPr>
            <w:fldChar w:fldCharType="begin"/>
          </w:r>
          <w:r>
            <w:rPr>
              <w:color w:val="auto"/>
            </w:rPr>
            <w:instrText xml:space="preserve"> PAGEREF _Toc2435 \h </w:instrText>
          </w:r>
          <w:r>
            <w:rPr>
              <w:color w:val="auto"/>
            </w:rPr>
            <w:fldChar w:fldCharType="separate"/>
          </w:r>
          <w:r>
            <w:rPr>
              <w:color w:val="auto"/>
            </w:rPr>
            <w:t>227</w:t>
          </w:r>
          <w:r>
            <w:rPr>
              <w:color w:val="auto"/>
            </w:rPr>
            <w:fldChar w:fldCharType="end"/>
          </w:r>
          <w:r>
            <w:rPr>
              <w:color w:val="auto"/>
            </w:rPr>
            <w:fldChar w:fldCharType="end"/>
          </w:r>
        </w:p>
        <w:p w14:paraId="030B64AF">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"_Toc11894" </w:instrText>
          </w:r>
          <w:r>
            <w:rPr>
              <w:color w:val="auto"/>
            </w:rPr>
            <w:fldChar w:fldCharType="separate"/>
          </w:r>
          <w:r>
            <w:rPr>
              <w:rFonts w:hint="eastAsia"/>
              <w:bCs/>
              <w:color w:val="auto"/>
            </w:rPr>
            <w:t>5.1.5土地、土壤</w:t>
          </w:r>
          <w:r>
            <w:rPr>
              <w:color w:val="auto"/>
            </w:rPr>
            <w:tab/>
          </w:r>
          <w:r>
            <w:rPr>
              <w:color w:val="auto"/>
            </w:rPr>
            <w:fldChar w:fldCharType="begin"/>
          </w:r>
          <w:r>
            <w:rPr>
              <w:color w:val="auto"/>
            </w:rPr>
            <w:instrText xml:space="preserve"> PAGEREF _Toc11894 \h </w:instrText>
          </w:r>
          <w:r>
            <w:rPr>
              <w:color w:val="auto"/>
            </w:rPr>
            <w:fldChar w:fldCharType="separate"/>
          </w:r>
          <w:r>
            <w:rPr>
              <w:color w:val="auto"/>
            </w:rPr>
            <w:t>229</w:t>
          </w:r>
          <w:r>
            <w:rPr>
              <w:color w:val="auto"/>
            </w:rPr>
            <w:fldChar w:fldCharType="end"/>
          </w:r>
          <w:r>
            <w:rPr>
              <w:color w:val="auto"/>
            </w:rPr>
            <w:fldChar w:fldCharType="end"/>
          </w:r>
        </w:p>
        <w:p w14:paraId="7D2449AE">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"_Toc4139" </w:instrText>
          </w:r>
          <w:r>
            <w:rPr>
              <w:color w:val="auto"/>
            </w:rPr>
            <w:fldChar w:fldCharType="separate"/>
          </w:r>
          <w:r>
            <w:rPr>
              <w:rFonts w:hint="eastAsia"/>
              <w:bCs/>
              <w:color w:val="auto"/>
            </w:rPr>
            <w:t>5.1.6生态概况</w:t>
          </w:r>
          <w:r>
            <w:rPr>
              <w:color w:val="auto"/>
            </w:rPr>
            <w:tab/>
          </w:r>
          <w:r>
            <w:rPr>
              <w:color w:val="auto"/>
            </w:rPr>
            <w:fldChar w:fldCharType="begin"/>
          </w:r>
          <w:r>
            <w:rPr>
              <w:color w:val="auto"/>
            </w:rPr>
            <w:instrText xml:space="preserve"> PAGEREF _Toc4139 \h </w:instrText>
          </w:r>
          <w:r>
            <w:rPr>
              <w:color w:val="auto"/>
            </w:rPr>
            <w:fldChar w:fldCharType="separate"/>
          </w:r>
          <w:r>
            <w:rPr>
              <w:color w:val="auto"/>
            </w:rPr>
            <w:t>229</w:t>
          </w:r>
          <w:r>
            <w:rPr>
              <w:color w:val="auto"/>
            </w:rPr>
            <w:fldChar w:fldCharType="end"/>
          </w:r>
          <w:r>
            <w:rPr>
              <w:color w:val="auto"/>
            </w:rPr>
            <w:fldChar w:fldCharType="end"/>
          </w:r>
        </w:p>
        <w:p w14:paraId="53DAC2DB">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"_Toc28046" </w:instrText>
          </w:r>
          <w:r>
            <w:rPr>
              <w:color w:val="auto"/>
            </w:rPr>
            <w:fldChar w:fldCharType="separate"/>
          </w:r>
          <w:r>
            <w:rPr>
              <w:rFonts w:hint="eastAsia"/>
              <w:color w:val="auto"/>
            </w:rPr>
            <w:t>5.2环境质量现状调查与评价</w:t>
          </w:r>
          <w:r>
            <w:rPr>
              <w:color w:val="auto"/>
            </w:rPr>
            <w:tab/>
          </w:r>
          <w:r>
            <w:rPr>
              <w:color w:val="auto"/>
            </w:rPr>
            <w:fldChar w:fldCharType="begin"/>
          </w:r>
          <w:r>
            <w:rPr>
              <w:color w:val="auto"/>
            </w:rPr>
            <w:instrText xml:space="preserve"> PAGEREF _Toc28046 \h </w:instrText>
          </w:r>
          <w:r>
            <w:rPr>
              <w:color w:val="auto"/>
            </w:rPr>
            <w:fldChar w:fldCharType="separate"/>
          </w:r>
          <w:r>
            <w:rPr>
              <w:color w:val="auto"/>
            </w:rPr>
            <w:t>230</w:t>
          </w:r>
          <w:r>
            <w:rPr>
              <w:color w:val="auto"/>
            </w:rPr>
            <w:fldChar w:fldCharType="end"/>
          </w:r>
          <w:r>
            <w:rPr>
              <w:color w:val="auto"/>
            </w:rPr>
            <w:fldChar w:fldCharType="end"/>
          </w:r>
        </w:p>
        <w:p w14:paraId="425D54FE">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"_Toc12623" </w:instrText>
          </w:r>
          <w:r>
            <w:rPr>
              <w:color w:val="auto"/>
            </w:rPr>
            <w:fldChar w:fldCharType="separate"/>
          </w:r>
          <w:r>
            <w:rPr>
              <w:rFonts w:hint="eastAsia"/>
              <w:color w:val="auto"/>
            </w:rPr>
            <w:t>5.2.1大气环境质量现状监测与评价</w:t>
          </w:r>
          <w:r>
            <w:rPr>
              <w:color w:val="auto"/>
            </w:rPr>
            <w:tab/>
          </w:r>
          <w:r>
            <w:rPr>
              <w:color w:val="auto"/>
            </w:rPr>
            <w:fldChar w:fldCharType="begin"/>
          </w:r>
          <w:r>
            <w:rPr>
              <w:color w:val="auto"/>
            </w:rPr>
            <w:instrText xml:space="preserve"> PAGEREF _Toc12623 \h </w:instrText>
          </w:r>
          <w:r>
            <w:rPr>
              <w:color w:val="auto"/>
            </w:rPr>
            <w:fldChar w:fldCharType="separate"/>
          </w:r>
          <w:r>
            <w:rPr>
              <w:color w:val="auto"/>
            </w:rPr>
            <w:t>230</w:t>
          </w:r>
          <w:r>
            <w:rPr>
              <w:color w:val="auto"/>
            </w:rPr>
            <w:fldChar w:fldCharType="end"/>
          </w:r>
          <w:r>
            <w:rPr>
              <w:color w:val="auto"/>
            </w:rPr>
            <w:fldChar w:fldCharType="end"/>
          </w:r>
        </w:p>
        <w:p w14:paraId="3A50E4C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"_Toc26622" </w:instrText>
          </w:r>
          <w:r>
            <w:rPr>
              <w:color w:val="auto"/>
            </w:rPr>
            <w:fldChar w:fldCharType="separate"/>
          </w:r>
          <w:r>
            <w:rPr>
              <w:rFonts w:hint="eastAsia"/>
              <w:color w:val="auto"/>
            </w:rPr>
            <w:t>5.2.2地表水环境质量现状调查与评价</w:t>
          </w:r>
          <w:r>
            <w:rPr>
              <w:color w:val="auto"/>
            </w:rPr>
            <w:tab/>
          </w:r>
          <w:r>
            <w:rPr>
              <w:color w:val="auto"/>
            </w:rPr>
            <w:fldChar w:fldCharType="begin"/>
          </w:r>
          <w:r>
            <w:rPr>
              <w:color w:val="auto"/>
            </w:rPr>
            <w:instrText xml:space="preserve"> PAGEREF _Toc26622 \h </w:instrText>
          </w:r>
          <w:r>
            <w:rPr>
              <w:color w:val="auto"/>
            </w:rPr>
            <w:fldChar w:fldCharType="separate"/>
          </w:r>
          <w:r>
            <w:rPr>
              <w:color w:val="auto"/>
            </w:rPr>
            <w:t>231</w:t>
          </w:r>
          <w:r>
            <w:rPr>
              <w:color w:val="auto"/>
            </w:rPr>
            <w:fldChar w:fldCharType="end"/>
          </w:r>
          <w:r>
            <w:rPr>
              <w:color w:val="auto"/>
            </w:rPr>
            <w:fldChar w:fldCharType="end"/>
          </w:r>
        </w:p>
        <w:p w14:paraId="3F3DA95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"_Toc15626" </w:instrText>
          </w:r>
          <w:r>
            <w:rPr>
              <w:color w:val="auto"/>
            </w:rPr>
            <w:fldChar w:fldCharType="separate"/>
          </w:r>
          <w:r>
            <w:rPr>
              <w:rFonts w:hint="eastAsia"/>
              <w:color w:val="auto"/>
            </w:rPr>
            <w:t>5.2.3</w:t>
          </w:r>
          <w:r>
            <w:rPr>
              <w:color w:val="auto"/>
            </w:rPr>
            <w:t>声环境质量现状调查与评价</w:t>
          </w:r>
          <w:r>
            <w:rPr>
              <w:color w:val="auto"/>
            </w:rPr>
            <w:tab/>
          </w:r>
          <w:r>
            <w:rPr>
              <w:color w:val="auto"/>
            </w:rPr>
            <w:fldChar w:fldCharType="begin"/>
          </w:r>
          <w:r>
            <w:rPr>
              <w:color w:val="auto"/>
            </w:rPr>
            <w:instrText xml:space="preserve"> PAGEREF _Toc15626 \h </w:instrText>
          </w:r>
          <w:r>
            <w:rPr>
              <w:color w:val="auto"/>
            </w:rPr>
            <w:fldChar w:fldCharType="separate"/>
          </w:r>
          <w:r>
            <w:rPr>
              <w:color w:val="auto"/>
            </w:rPr>
            <w:t>232</w:t>
          </w:r>
          <w:r>
            <w:rPr>
              <w:color w:val="auto"/>
            </w:rPr>
            <w:fldChar w:fldCharType="end"/>
          </w:r>
          <w:r>
            <w:rPr>
              <w:color w:val="auto"/>
            </w:rPr>
            <w:fldChar w:fldCharType="end"/>
          </w:r>
        </w:p>
        <w:p w14:paraId="070D6FB6">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"_Toc5585" </w:instrText>
          </w:r>
          <w:r>
            <w:rPr>
              <w:color w:val="auto"/>
            </w:rPr>
            <w:fldChar w:fldCharType="separate"/>
          </w:r>
          <w:r>
            <w:rPr>
              <w:rFonts w:hint="eastAsia"/>
              <w:color w:val="auto"/>
            </w:rPr>
            <w:t>5.2.4地下水环境质量现状监测与评价</w:t>
          </w:r>
          <w:r>
            <w:rPr>
              <w:color w:val="auto"/>
            </w:rPr>
            <w:tab/>
          </w:r>
          <w:r>
            <w:rPr>
              <w:color w:val="auto"/>
            </w:rPr>
            <w:fldChar w:fldCharType="begin"/>
          </w:r>
          <w:r>
            <w:rPr>
              <w:color w:val="auto"/>
            </w:rPr>
            <w:instrText xml:space="preserve"> PAGEREF _Toc5585 \h </w:instrText>
          </w:r>
          <w:r>
            <w:rPr>
              <w:color w:val="auto"/>
            </w:rPr>
            <w:fldChar w:fldCharType="separate"/>
          </w:r>
          <w:r>
            <w:rPr>
              <w:color w:val="auto"/>
            </w:rPr>
            <w:t>233</w:t>
          </w:r>
          <w:r>
            <w:rPr>
              <w:color w:val="auto"/>
            </w:rPr>
            <w:fldChar w:fldCharType="end"/>
          </w:r>
          <w:r>
            <w:rPr>
              <w:color w:val="auto"/>
            </w:rPr>
            <w:fldChar w:fldCharType="end"/>
          </w:r>
        </w:p>
        <w:p w14:paraId="4C9733C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"_Toc31275" </w:instrText>
          </w:r>
          <w:r>
            <w:rPr>
              <w:color w:val="auto"/>
            </w:rPr>
            <w:fldChar w:fldCharType="separate"/>
          </w:r>
          <w:r>
            <w:rPr>
              <w:rFonts w:hint="eastAsia"/>
              <w:color w:val="auto"/>
            </w:rPr>
            <w:t>5.2.5包气带环境质量现状调查与评价</w:t>
          </w:r>
          <w:r>
            <w:rPr>
              <w:color w:val="auto"/>
            </w:rPr>
            <w:tab/>
          </w:r>
          <w:r>
            <w:rPr>
              <w:color w:val="auto"/>
            </w:rPr>
            <w:fldChar w:fldCharType="begin"/>
          </w:r>
          <w:r>
            <w:rPr>
              <w:color w:val="auto"/>
            </w:rPr>
            <w:instrText xml:space="preserve"> PAGEREF _Toc31275 \h </w:instrText>
          </w:r>
          <w:r>
            <w:rPr>
              <w:color w:val="auto"/>
            </w:rPr>
            <w:fldChar w:fldCharType="separate"/>
          </w:r>
          <w:r>
            <w:rPr>
              <w:color w:val="auto"/>
            </w:rPr>
            <w:t>238</w:t>
          </w:r>
          <w:r>
            <w:rPr>
              <w:color w:val="auto"/>
            </w:rPr>
            <w:fldChar w:fldCharType="end"/>
          </w:r>
          <w:r>
            <w:rPr>
              <w:color w:val="auto"/>
            </w:rPr>
            <w:fldChar w:fldCharType="end"/>
          </w:r>
        </w:p>
        <w:p w14:paraId="12991A1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"_Toc23999" </w:instrText>
          </w:r>
          <w:r>
            <w:rPr>
              <w:color w:val="auto"/>
            </w:rPr>
            <w:fldChar w:fldCharType="separate"/>
          </w:r>
          <w:r>
            <w:rPr>
              <w:rFonts w:hint="eastAsia"/>
              <w:color w:val="auto"/>
            </w:rPr>
            <w:t>5.2.6土壤环境质量现状调查与评价</w:t>
          </w:r>
          <w:r>
            <w:rPr>
              <w:color w:val="auto"/>
            </w:rPr>
            <w:tab/>
          </w:r>
          <w:r>
            <w:rPr>
              <w:color w:val="auto"/>
            </w:rPr>
            <w:fldChar w:fldCharType="begin"/>
          </w:r>
          <w:r>
            <w:rPr>
              <w:color w:val="auto"/>
            </w:rPr>
            <w:instrText xml:space="preserve"> PAGEREF _Toc23999 \h </w:instrText>
          </w:r>
          <w:r>
            <w:rPr>
              <w:color w:val="auto"/>
            </w:rPr>
            <w:fldChar w:fldCharType="separate"/>
          </w:r>
          <w:r>
            <w:rPr>
              <w:color w:val="auto"/>
            </w:rPr>
            <w:t>238</w:t>
          </w:r>
          <w:r>
            <w:rPr>
              <w:color w:val="auto"/>
            </w:rPr>
            <w:fldChar w:fldCharType="end"/>
          </w:r>
          <w:r>
            <w:rPr>
              <w:color w:val="auto"/>
            </w:rPr>
            <w:fldChar w:fldCharType="end"/>
          </w:r>
        </w:p>
        <w:p w14:paraId="3CAD4BA3">
          <w:pPr>
            <w:pStyle w:val="16"/>
            <w:tabs>
              <w:tab w:val="right" w:leader="dot" w:pos="9638"/>
            </w:tabs>
            <w:spacing w:line="360" w:lineRule="auto"/>
            <w:ind w:firstLine="0" w:firstLineChars="0"/>
            <w:rPr>
              <w:color w:val="auto"/>
            </w:rPr>
          </w:pPr>
          <w:r>
            <w:rPr>
              <w:color w:val="auto"/>
            </w:rPr>
            <w:fldChar w:fldCharType="begin"/>
          </w:r>
          <w:r>
            <w:rPr>
              <w:color w:val="auto"/>
            </w:rPr>
            <w:instrText xml:space="preserve"> HYPERLINK \l "_Toc11021" </w:instrText>
          </w:r>
          <w:r>
            <w:rPr>
              <w:color w:val="auto"/>
            </w:rPr>
            <w:fldChar w:fldCharType="separate"/>
          </w:r>
          <w:r>
            <w:rPr>
              <w:bCs/>
              <w:color w:val="auto"/>
            </w:rPr>
            <w:t xml:space="preserve">6 </w:t>
          </w:r>
          <w:r>
            <w:rPr>
              <w:rFonts w:hint="eastAsia"/>
              <w:color w:val="auto"/>
            </w:rPr>
            <w:t>环境影响预测与评价</w:t>
          </w:r>
          <w:r>
            <w:rPr>
              <w:color w:val="auto"/>
            </w:rPr>
            <w:tab/>
          </w:r>
          <w:r>
            <w:rPr>
              <w:color w:val="auto"/>
            </w:rPr>
            <w:fldChar w:fldCharType="begin"/>
          </w:r>
          <w:r>
            <w:rPr>
              <w:color w:val="auto"/>
            </w:rPr>
            <w:instrText xml:space="preserve"> PAGEREF _Toc11021 \h </w:instrText>
          </w:r>
          <w:r>
            <w:rPr>
              <w:color w:val="auto"/>
            </w:rPr>
            <w:fldChar w:fldCharType="separate"/>
          </w:r>
          <w:r>
            <w:rPr>
              <w:color w:val="auto"/>
            </w:rPr>
            <w:t>247</w:t>
          </w:r>
          <w:r>
            <w:rPr>
              <w:color w:val="auto"/>
            </w:rPr>
            <w:fldChar w:fldCharType="end"/>
          </w:r>
          <w:r>
            <w:rPr>
              <w:color w:val="auto"/>
            </w:rPr>
            <w:fldChar w:fldCharType="end"/>
          </w:r>
        </w:p>
        <w:p w14:paraId="1EC00072">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"_Toc7473" </w:instrText>
          </w:r>
          <w:r>
            <w:rPr>
              <w:color w:val="auto"/>
            </w:rPr>
            <w:fldChar w:fldCharType="separate"/>
          </w:r>
          <w:r>
            <w:rPr>
              <w:rFonts w:hint="eastAsia"/>
              <w:color w:val="auto"/>
            </w:rPr>
            <w:t>6.1大气环境影响预测与评价</w:t>
          </w:r>
          <w:r>
            <w:rPr>
              <w:color w:val="auto"/>
            </w:rPr>
            <w:tab/>
          </w:r>
          <w:r>
            <w:rPr>
              <w:color w:val="auto"/>
            </w:rPr>
            <w:fldChar w:fldCharType="begin"/>
          </w:r>
          <w:r>
            <w:rPr>
              <w:color w:val="auto"/>
            </w:rPr>
            <w:instrText xml:space="preserve"> PAGEREF _Toc7473 \h </w:instrText>
          </w:r>
          <w:r>
            <w:rPr>
              <w:color w:val="auto"/>
            </w:rPr>
            <w:fldChar w:fldCharType="separate"/>
          </w:r>
          <w:r>
            <w:rPr>
              <w:color w:val="auto"/>
            </w:rPr>
            <w:t>247</w:t>
          </w:r>
          <w:r>
            <w:rPr>
              <w:color w:val="auto"/>
            </w:rPr>
            <w:fldChar w:fldCharType="end"/>
          </w:r>
          <w:r>
            <w:rPr>
              <w:color w:val="auto"/>
            </w:rPr>
            <w:fldChar w:fldCharType="end"/>
          </w:r>
        </w:p>
        <w:p w14:paraId="36062AE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"_Toc12807" </w:instrText>
          </w:r>
          <w:r>
            <w:rPr>
              <w:color w:val="auto"/>
            </w:rPr>
            <w:fldChar w:fldCharType="separate"/>
          </w:r>
          <w:r>
            <w:rPr>
              <w:rFonts w:hint="eastAsia"/>
              <w:color w:val="auto"/>
            </w:rPr>
            <w:t>6.1.1预测模式</w:t>
          </w:r>
          <w:r>
            <w:rPr>
              <w:color w:val="auto"/>
            </w:rPr>
            <w:tab/>
          </w:r>
          <w:r>
            <w:rPr>
              <w:color w:val="auto"/>
            </w:rPr>
            <w:fldChar w:fldCharType="begin"/>
          </w:r>
          <w:r>
            <w:rPr>
              <w:color w:val="auto"/>
            </w:rPr>
            <w:instrText xml:space="preserve"> PAGEREF _Toc12807 \h </w:instrText>
          </w:r>
          <w:r>
            <w:rPr>
              <w:color w:val="auto"/>
            </w:rPr>
            <w:fldChar w:fldCharType="separate"/>
          </w:r>
          <w:r>
            <w:rPr>
              <w:color w:val="auto"/>
            </w:rPr>
            <w:t>247</w:t>
          </w:r>
          <w:r>
            <w:rPr>
              <w:color w:val="auto"/>
            </w:rPr>
            <w:fldChar w:fldCharType="end"/>
          </w:r>
          <w:r>
            <w:rPr>
              <w:color w:val="auto"/>
            </w:rPr>
            <w:fldChar w:fldCharType="end"/>
          </w:r>
        </w:p>
        <w:p w14:paraId="3F6EBC25">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"_Toc1393" </w:instrText>
          </w:r>
          <w:r>
            <w:rPr>
              <w:color w:val="auto"/>
            </w:rPr>
            <w:fldChar w:fldCharType="separate"/>
          </w:r>
          <w:r>
            <w:rPr>
              <w:rFonts w:hint="eastAsia"/>
              <w:color w:val="auto"/>
            </w:rPr>
            <w:t>6.1.2源强参数</w:t>
          </w:r>
          <w:r>
            <w:rPr>
              <w:color w:val="auto"/>
            </w:rPr>
            <w:tab/>
          </w:r>
          <w:r>
            <w:rPr>
              <w:color w:val="auto"/>
            </w:rPr>
            <w:fldChar w:fldCharType="begin"/>
          </w:r>
          <w:r>
            <w:rPr>
              <w:color w:val="auto"/>
            </w:rPr>
            <w:instrText xml:space="preserve"> PAGEREF _Toc1393 \h </w:instrText>
          </w:r>
          <w:r>
            <w:rPr>
              <w:color w:val="auto"/>
            </w:rPr>
            <w:fldChar w:fldCharType="separate"/>
          </w:r>
          <w:r>
            <w:rPr>
              <w:color w:val="auto"/>
            </w:rPr>
            <w:t>247</w:t>
          </w:r>
          <w:r>
            <w:rPr>
              <w:color w:val="auto"/>
            </w:rPr>
            <w:fldChar w:fldCharType="end"/>
          </w:r>
          <w:r>
            <w:rPr>
              <w:color w:val="auto"/>
            </w:rPr>
            <w:fldChar w:fldCharType="end"/>
          </w:r>
        </w:p>
        <w:p w14:paraId="79C836B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"_Toc6750" </w:instrText>
          </w:r>
          <w:r>
            <w:rPr>
              <w:color w:val="auto"/>
            </w:rPr>
            <w:fldChar w:fldCharType="separate"/>
          </w:r>
          <w:r>
            <w:rPr>
              <w:rFonts w:hint="eastAsia"/>
              <w:color w:val="auto"/>
            </w:rPr>
            <w:t>6.1.3预测结果及评价</w:t>
          </w:r>
          <w:r>
            <w:rPr>
              <w:color w:val="auto"/>
            </w:rPr>
            <w:tab/>
          </w:r>
          <w:r>
            <w:rPr>
              <w:color w:val="auto"/>
            </w:rPr>
            <w:fldChar w:fldCharType="begin"/>
          </w:r>
          <w:r>
            <w:rPr>
              <w:color w:val="auto"/>
            </w:rPr>
            <w:instrText xml:space="preserve"> PAGEREF _Toc6750 \h </w:instrText>
          </w:r>
          <w:r>
            <w:rPr>
              <w:color w:val="auto"/>
            </w:rPr>
            <w:fldChar w:fldCharType="separate"/>
          </w:r>
          <w:r>
            <w:rPr>
              <w:color w:val="auto"/>
            </w:rPr>
            <w:t>249</w:t>
          </w:r>
          <w:r>
            <w:rPr>
              <w:color w:val="auto"/>
            </w:rPr>
            <w:fldChar w:fldCharType="end"/>
          </w:r>
          <w:r>
            <w:rPr>
              <w:color w:val="auto"/>
            </w:rPr>
            <w:fldChar w:fldCharType="end"/>
          </w:r>
        </w:p>
        <w:p w14:paraId="01861BA6">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"_Toc8007" </w:instrText>
          </w:r>
          <w:r>
            <w:rPr>
              <w:color w:val="auto"/>
            </w:rPr>
            <w:fldChar w:fldCharType="separate"/>
          </w:r>
          <w:r>
            <w:rPr>
              <w:rFonts w:hint="eastAsia"/>
              <w:color w:val="auto"/>
            </w:rPr>
            <w:t>6.1.4污染物排放量核算</w:t>
          </w:r>
          <w:r>
            <w:rPr>
              <w:color w:val="auto"/>
            </w:rPr>
            <w:tab/>
          </w:r>
          <w:r>
            <w:rPr>
              <w:color w:val="auto"/>
            </w:rPr>
            <w:fldChar w:fldCharType="begin"/>
          </w:r>
          <w:r>
            <w:rPr>
              <w:color w:val="auto"/>
            </w:rPr>
            <w:instrText xml:space="preserve"> PAGEREF _Toc8007 \h </w:instrText>
          </w:r>
          <w:r>
            <w:rPr>
              <w:color w:val="auto"/>
            </w:rPr>
            <w:fldChar w:fldCharType="separate"/>
          </w:r>
          <w:r>
            <w:rPr>
              <w:color w:val="auto"/>
            </w:rPr>
            <w:t>249</w:t>
          </w:r>
          <w:r>
            <w:rPr>
              <w:color w:val="auto"/>
            </w:rPr>
            <w:fldChar w:fldCharType="end"/>
          </w:r>
          <w:r>
            <w:rPr>
              <w:color w:val="auto"/>
            </w:rPr>
            <w:fldChar w:fldCharType="end"/>
          </w:r>
        </w:p>
        <w:p w14:paraId="0B81ED9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"_Toc12779" </w:instrText>
          </w:r>
          <w:r>
            <w:rPr>
              <w:color w:val="auto"/>
            </w:rPr>
            <w:fldChar w:fldCharType="separate"/>
          </w:r>
          <w:r>
            <w:rPr>
              <w:rFonts w:hint="eastAsia"/>
              <w:color w:val="auto"/>
            </w:rPr>
            <w:t>6.1.5卫生防护距离</w:t>
          </w:r>
          <w:r>
            <w:rPr>
              <w:color w:val="auto"/>
            </w:rPr>
            <w:tab/>
          </w:r>
          <w:r>
            <w:rPr>
              <w:color w:val="auto"/>
            </w:rPr>
            <w:fldChar w:fldCharType="begin"/>
          </w:r>
          <w:r>
            <w:rPr>
              <w:color w:val="auto"/>
            </w:rPr>
            <w:instrText xml:space="preserve"> PAGEREF _Toc12779 \h </w:instrText>
          </w:r>
          <w:r>
            <w:rPr>
              <w:color w:val="auto"/>
            </w:rPr>
            <w:fldChar w:fldCharType="separate"/>
          </w:r>
          <w:r>
            <w:rPr>
              <w:color w:val="auto"/>
            </w:rPr>
            <w:t>250</w:t>
          </w:r>
          <w:r>
            <w:rPr>
              <w:color w:val="auto"/>
            </w:rPr>
            <w:fldChar w:fldCharType="end"/>
          </w:r>
          <w:r>
            <w:rPr>
              <w:color w:val="auto"/>
            </w:rPr>
            <w:fldChar w:fldCharType="end"/>
          </w:r>
        </w:p>
        <w:p w14:paraId="06400F45">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"_Toc4243" </w:instrText>
          </w:r>
          <w:r>
            <w:rPr>
              <w:color w:val="auto"/>
            </w:rPr>
            <w:fldChar w:fldCharType="separate"/>
          </w:r>
          <w:r>
            <w:rPr>
              <w:rFonts w:hint="eastAsia"/>
              <w:color w:val="auto"/>
            </w:rPr>
            <w:t>6.1.6异味影响分析</w:t>
          </w:r>
          <w:r>
            <w:rPr>
              <w:color w:val="auto"/>
            </w:rPr>
            <w:tab/>
          </w:r>
          <w:r>
            <w:rPr>
              <w:color w:val="auto"/>
            </w:rPr>
            <w:fldChar w:fldCharType="begin"/>
          </w:r>
          <w:r>
            <w:rPr>
              <w:color w:val="auto"/>
            </w:rPr>
            <w:instrText xml:space="preserve"> PAGEREF _Toc4243 \h </w:instrText>
          </w:r>
          <w:r>
            <w:rPr>
              <w:color w:val="auto"/>
            </w:rPr>
            <w:fldChar w:fldCharType="separate"/>
          </w:r>
          <w:r>
            <w:rPr>
              <w:color w:val="auto"/>
            </w:rPr>
            <w:t>250</w:t>
          </w:r>
          <w:r>
            <w:rPr>
              <w:color w:val="auto"/>
            </w:rPr>
            <w:fldChar w:fldCharType="end"/>
          </w:r>
          <w:r>
            <w:rPr>
              <w:color w:val="auto"/>
            </w:rPr>
            <w:fldChar w:fldCharType="end"/>
          </w:r>
        </w:p>
        <w:p w14:paraId="04439BCD">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"_Toc209" </w:instrText>
          </w:r>
          <w:r>
            <w:rPr>
              <w:color w:val="auto"/>
            </w:rPr>
            <w:fldChar w:fldCharType="separate"/>
          </w:r>
          <w:r>
            <w:rPr>
              <w:rFonts w:hint="eastAsia"/>
              <w:color w:val="auto"/>
            </w:rPr>
            <w:t>6.1.7大气环境影响评价自查情况</w:t>
          </w:r>
          <w:r>
            <w:rPr>
              <w:color w:val="auto"/>
            </w:rPr>
            <w:tab/>
          </w:r>
          <w:r>
            <w:rPr>
              <w:color w:val="auto"/>
            </w:rPr>
            <w:fldChar w:fldCharType="begin"/>
          </w:r>
          <w:r>
            <w:rPr>
              <w:color w:val="auto"/>
            </w:rPr>
            <w:instrText xml:space="preserve"> PAGEREF _Toc209 \h </w:instrText>
          </w:r>
          <w:r>
            <w:rPr>
              <w:color w:val="auto"/>
            </w:rPr>
            <w:fldChar w:fldCharType="separate"/>
          </w:r>
          <w:r>
            <w:rPr>
              <w:color w:val="auto"/>
            </w:rPr>
            <w:t>251</w:t>
          </w:r>
          <w:r>
            <w:rPr>
              <w:color w:val="auto"/>
            </w:rPr>
            <w:fldChar w:fldCharType="end"/>
          </w:r>
          <w:r>
            <w:rPr>
              <w:color w:val="auto"/>
            </w:rPr>
            <w:fldChar w:fldCharType="end"/>
          </w:r>
        </w:p>
        <w:p w14:paraId="1540D26F">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"_Toc23460" </w:instrText>
          </w:r>
          <w:r>
            <w:rPr>
              <w:color w:val="auto"/>
            </w:rPr>
            <w:fldChar w:fldCharType="separate"/>
          </w:r>
          <w:r>
            <w:rPr>
              <w:rFonts w:hint="eastAsia"/>
              <w:color w:val="auto"/>
            </w:rPr>
            <w:t>6.2地表水环境影响分析</w:t>
          </w:r>
          <w:r>
            <w:rPr>
              <w:color w:val="auto"/>
            </w:rPr>
            <w:tab/>
          </w:r>
          <w:r>
            <w:rPr>
              <w:color w:val="auto"/>
            </w:rPr>
            <w:fldChar w:fldCharType="begin"/>
          </w:r>
          <w:r>
            <w:rPr>
              <w:color w:val="auto"/>
            </w:rPr>
            <w:instrText xml:space="preserve"> PAGEREF _Toc23460 \h </w:instrText>
          </w:r>
          <w:r>
            <w:rPr>
              <w:color w:val="auto"/>
            </w:rPr>
            <w:fldChar w:fldCharType="separate"/>
          </w:r>
          <w:r>
            <w:rPr>
              <w:color w:val="auto"/>
            </w:rPr>
            <w:t>252</w:t>
          </w:r>
          <w:r>
            <w:rPr>
              <w:color w:val="auto"/>
            </w:rPr>
            <w:fldChar w:fldCharType="end"/>
          </w:r>
          <w:r>
            <w:rPr>
              <w:color w:val="auto"/>
            </w:rPr>
            <w:fldChar w:fldCharType="end"/>
          </w:r>
        </w:p>
        <w:p w14:paraId="7FEEA6DD">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"_Toc6131" </w:instrText>
          </w:r>
          <w:r>
            <w:rPr>
              <w:color w:val="auto"/>
            </w:rPr>
            <w:fldChar w:fldCharType="separate"/>
          </w:r>
          <w:r>
            <w:rPr>
              <w:rFonts w:hint="eastAsia"/>
              <w:color w:val="auto"/>
            </w:rPr>
            <w:t>6.2.1地表水环境影响分析</w:t>
          </w:r>
          <w:r>
            <w:rPr>
              <w:color w:val="auto"/>
            </w:rPr>
            <w:tab/>
          </w:r>
          <w:r>
            <w:rPr>
              <w:color w:val="auto"/>
            </w:rPr>
            <w:fldChar w:fldCharType="begin"/>
          </w:r>
          <w:r>
            <w:rPr>
              <w:color w:val="auto"/>
            </w:rPr>
            <w:instrText xml:space="preserve"> PAGEREF _Toc6131 \h </w:instrText>
          </w:r>
          <w:r>
            <w:rPr>
              <w:color w:val="auto"/>
            </w:rPr>
            <w:fldChar w:fldCharType="separate"/>
          </w:r>
          <w:r>
            <w:rPr>
              <w:color w:val="auto"/>
            </w:rPr>
            <w:t>252</w:t>
          </w:r>
          <w:r>
            <w:rPr>
              <w:color w:val="auto"/>
            </w:rPr>
            <w:fldChar w:fldCharType="end"/>
          </w:r>
          <w:r>
            <w:rPr>
              <w:color w:val="auto"/>
            </w:rPr>
            <w:fldChar w:fldCharType="end"/>
          </w:r>
        </w:p>
        <w:p w14:paraId="55FE66C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"_Toc20061" </w:instrText>
          </w:r>
          <w:r>
            <w:rPr>
              <w:color w:val="auto"/>
            </w:rPr>
            <w:fldChar w:fldCharType="separate"/>
          </w:r>
          <w:r>
            <w:rPr>
              <w:rFonts w:hint="eastAsia"/>
              <w:color w:val="auto"/>
            </w:rPr>
            <w:t>6.2.2地表水环境影响评价自查表</w:t>
          </w:r>
          <w:r>
            <w:rPr>
              <w:color w:val="auto"/>
            </w:rPr>
            <w:tab/>
          </w:r>
          <w:r>
            <w:rPr>
              <w:color w:val="auto"/>
            </w:rPr>
            <w:fldChar w:fldCharType="begin"/>
          </w:r>
          <w:r>
            <w:rPr>
              <w:color w:val="auto"/>
            </w:rPr>
            <w:instrText xml:space="preserve"> PAGEREF _Toc20061 \h </w:instrText>
          </w:r>
          <w:r>
            <w:rPr>
              <w:color w:val="auto"/>
            </w:rPr>
            <w:fldChar w:fldCharType="separate"/>
          </w:r>
          <w:r>
            <w:rPr>
              <w:color w:val="auto"/>
            </w:rPr>
            <w:t>252</w:t>
          </w:r>
          <w:r>
            <w:rPr>
              <w:color w:val="auto"/>
            </w:rPr>
            <w:fldChar w:fldCharType="end"/>
          </w:r>
          <w:r>
            <w:rPr>
              <w:color w:val="auto"/>
            </w:rPr>
            <w:fldChar w:fldCharType="end"/>
          </w:r>
        </w:p>
        <w:p w14:paraId="21C311B0">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"_Toc13324" </w:instrText>
          </w:r>
          <w:r>
            <w:rPr>
              <w:color w:val="auto"/>
            </w:rPr>
            <w:fldChar w:fldCharType="separate"/>
          </w:r>
          <w:r>
            <w:rPr>
              <w:rFonts w:hint="eastAsia"/>
              <w:color w:val="auto"/>
            </w:rPr>
            <w:t>6.3声环境影响预测与评价</w:t>
          </w:r>
          <w:r>
            <w:rPr>
              <w:color w:val="auto"/>
            </w:rPr>
            <w:tab/>
          </w:r>
          <w:r>
            <w:rPr>
              <w:color w:val="auto"/>
            </w:rPr>
            <w:fldChar w:fldCharType="begin"/>
          </w:r>
          <w:r>
            <w:rPr>
              <w:color w:val="auto"/>
            </w:rPr>
            <w:instrText xml:space="preserve"> PAGEREF _Toc13324 \h </w:instrText>
          </w:r>
          <w:r>
            <w:rPr>
              <w:color w:val="auto"/>
            </w:rPr>
            <w:fldChar w:fldCharType="separate"/>
          </w:r>
          <w:r>
            <w:rPr>
              <w:color w:val="auto"/>
            </w:rPr>
            <w:t>254</w:t>
          </w:r>
          <w:r>
            <w:rPr>
              <w:color w:val="auto"/>
            </w:rPr>
            <w:fldChar w:fldCharType="end"/>
          </w:r>
          <w:r>
            <w:rPr>
              <w:color w:val="auto"/>
            </w:rPr>
            <w:fldChar w:fldCharType="end"/>
          </w:r>
        </w:p>
        <w:p w14:paraId="59775E5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"_Toc18278" </w:instrText>
          </w:r>
          <w:r>
            <w:rPr>
              <w:color w:val="auto"/>
            </w:rPr>
            <w:fldChar w:fldCharType="separate"/>
          </w:r>
          <w:r>
            <w:rPr>
              <w:rFonts w:hint="eastAsia"/>
              <w:color w:val="auto"/>
            </w:rPr>
            <w:t>6.3.1主要噪声源</w:t>
          </w:r>
          <w:r>
            <w:rPr>
              <w:color w:val="auto"/>
            </w:rPr>
            <w:tab/>
          </w:r>
          <w:r>
            <w:rPr>
              <w:color w:val="auto"/>
            </w:rPr>
            <w:fldChar w:fldCharType="begin"/>
          </w:r>
          <w:r>
            <w:rPr>
              <w:color w:val="auto"/>
            </w:rPr>
            <w:instrText xml:space="preserve"> PAGEREF _Toc18278 \h </w:instrText>
          </w:r>
          <w:r>
            <w:rPr>
              <w:color w:val="auto"/>
            </w:rPr>
            <w:fldChar w:fldCharType="separate"/>
          </w:r>
          <w:r>
            <w:rPr>
              <w:color w:val="auto"/>
            </w:rPr>
            <w:t>254</w:t>
          </w:r>
          <w:r>
            <w:rPr>
              <w:color w:val="auto"/>
            </w:rPr>
            <w:fldChar w:fldCharType="end"/>
          </w:r>
          <w:r>
            <w:rPr>
              <w:color w:val="auto"/>
            </w:rPr>
            <w:fldChar w:fldCharType="end"/>
          </w:r>
        </w:p>
        <w:p w14:paraId="718629C5">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"_Toc25240" </w:instrText>
          </w:r>
          <w:r>
            <w:rPr>
              <w:color w:val="auto"/>
            </w:rPr>
            <w:fldChar w:fldCharType="separate"/>
          </w:r>
          <w:r>
            <w:rPr>
              <w:rFonts w:hint="eastAsia"/>
              <w:color w:val="auto"/>
            </w:rPr>
            <w:t>6.3.2预测模型</w:t>
          </w:r>
          <w:r>
            <w:rPr>
              <w:color w:val="auto"/>
            </w:rPr>
            <w:tab/>
          </w:r>
          <w:r>
            <w:rPr>
              <w:color w:val="auto"/>
            </w:rPr>
            <w:fldChar w:fldCharType="begin"/>
          </w:r>
          <w:r>
            <w:rPr>
              <w:color w:val="auto"/>
            </w:rPr>
            <w:instrText xml:space="preserve"> PAGEREF _Toc25240 \h </w:instrText>
          </w:r>
          <w:r>
            <w:rPr>
              <w:color w:val="auto"/>
            </w:rPr>
            <w:fldChar w:fldCharType="separate"/>
          </w:r>
          <w:r>
            <w:rPr>
              <w:color w:val="auto"/>
            </w:rPr>
            <w:t>254</w:t>
          </w:r>
          <w:r>
            <w:rPr>
              <w:color w:val="auto"/>
            </w:rPr>
            <w:fldChar w:fldCharType="end"/>
          </w:r>
          <w:r>
            <w:rPr>
              <w:color w:val="auto"/>
            </w:rPr>
            <w:fldChar w:fldCharType="end"/>
          </w:r>
        </w:p>
        <w:p w14:paraId="042352C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"_Toc27127" </w:instrText>
          </w:r>
          <w:r>
            <w:rPr>
              <w:color w:val="auto"/>
            </w:rPr>
            <w:fldChar w:fldCharType="separate"/>
          </w:r>
          <w:r>
            <w:rPr>
              <w:rFonts w:hint="eastAsia"/>
              <w:color w:val="auto"/>
            </w:rPr>
            <w:t>6.3.3预测结果及评价</w:t>
          </w:r>
          <w:r>
            <w:rPr>
              <w:color w:val="auto"/>
            </w:rPr>
            <w:tab/>
          </w:r>
          <w:r>
            <w:rPr>
              <w:color w:val="auto"/>
            </w:rPr>
            <w:fldChar w:fldCharType="begin"/>
          </w:r>
          <w:r>
            <w:rPr>
              <w:color w:val="auto"/>
            </w:rPr>
            <w:instrText xml:space="preserve"> PAGEREF _Toc27127 \h </w:instrText>
          </w:r>
          <w:r>
            <w:rPr>
              <w:color w:val="auto"/>
            </w:rPr>
            <w:fldChar w:fldCharType="separate"/>
          </w:r>
          <w:r>
            <w:rPr>
              <w:color w:val="auto"/>
            </w:rPr>
            <w:t>256</w:t>
          </w:r>
          <w:r>
            <w:rPr>
              <w:color w:val="auto"/>
            </w:rPr>
            <w:fldChar w:fldCharType="end"/>
          </w:r>
          <w:r>
            <w:rPr>
              <w:color w:val="auto"/>
            </w:rPr>
            <w:fldChar w:fldCharType="end"/>
          </w:r>
        </w:p>
        <w:p w14:paraId="157400F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"_Toc32491" </w:instrText>
          </w:r>
          <w:r>
            <w:rPr>
              <w:color w:val="auto"/>
            </w:rPr>
            <w:fldChar w:fldCharType="separate"/>
          </w:r>
          <w:r>
            <w:rPr>
              <w:rFonts w:hint="eastAsia"/>
              <w:color w:val="auto"/>
            </w:rPr>
            <w:t>6.3.4小结</w:t>
          </w:r>
          <w:r>
            <w:rPr>
              <w:color w:val="auto"/>
            </w:rPr>
            <w:tab/>
          </w:r>
          <w:r>
            <w:rPr>
              <w:color w:val="auto"/>
            </w:rPr>
            <w:fldChar w:fldCharType="begin"/>
          </w:r>
          <w:r>
            <w:rPr>
              <w:color w:val="auto"/>
            </w:rPr>
            <w:instrText xml:space="preserve"> PAGEREF _Toc32491 \h </w:instrText>
          </w:r>
          <w:r>
            <w:rPr>
              <w:color w:val="auto"/>
            </w:rPr>
            <w:fldChar w:fldCharType="separate"/>
          </w:r>
          <w:r>
            <w:rPr>
              <w:color w:val="auto"/>
            </w:rPr>
            <w:t>257</w:t>
          </w:r>
          <w:r>
            <w:rPr>
              <w:color w:val="auto"/>
            </w:rPr>
            <w:fldChar w:fldCharType="end"/>
          </w:r>
          <w:r>
            <w:rPr>
              <w:color w:val="auto"/>
            </w:rPr>
            <w:fldChar w:fldCharType="end"/>
          </w:r>
        </w:p>
        <w:p w14:paraId="29A7269B">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"_Toc23817" </w:instrText>
          </w:r>
          <w:r>
            <w:rPr>
              <w:color w:val="auto"/>
            </w:rPr>
            <w:fldChar w:fldCharType="separate"/>
          </w:r>
          <w:r>
            <w:rPr>
              <w:rFonts w:hint="eastAsia"/>
              <w:color w:val="auto"/>
            </w:rPr>
            <w:t>6.4固体废物环境影响分析</w:t>
          </w:r>
          <w:r>
            <w:rPr>
              <w:color w:val="auto"/>
            </w:rPr>
            <w:tab/>
          </w:r>
          <w:r>
            <w:rPr>
              <w:color w:val="auto"/>
            </w:rPr>
            <w:fldChar w:fldCharType="begin"/>
          </w:r>
          <w:r>
            <w:rPr>
              <w:color w:val="auto"/>
            </w:rPr>
            <w:instrText xml:space="preserve"> PAGEREF _Toc23817 \h </w:instrText>
          </w:r>
          <w:r>
            <w:rPr>
              <w:color w:val="auto"/>
            </w:rPr>
            <w:fldChar w:fldCharType="separate"/>
          </w:r>
          <w:r>
            <w:rPr>
              <w:color w:val="auto"/>
            </w:rPr>
            <w:t>258</w:t>
          </w:r>
          <w:r>
            <w:rPr>
              <w:color w:val="auto"/>
            </w:rPr>
            <w:fldChar w:fldCharType="end"/>
          </w:r>
          <w:r>
            <w:rPr>
              <w:color w:val="auto"/>
            </w:rPr>
            <w:fldChar w:fldCharType="end"/>
          </w:r>
        </w:p>
        <w:p w14:paraId="3A0F789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"_Toc20784" </w:instrText>
          </w:r>
          <w:r>
            <w:rPr>
              <w:color w:val="auto"/>
            </w:rPr>
            <w:fldChar w:fldCharType="separate"/>
          </w:r>
          <w:r>
            <w:rPr>
              <w:rFonts w:hint="eastAsia"/>
              <w:color w:val="auto"/>
            </w:rPr>
            <w:t>6.4.1固体废物产生及处置方式</w:t>
          </w:r>
          <w:r>
            <w:rPr>
              <w:color w:val="auto"/>
            </w:rPr>
            <w:tab/>
          </w:r>
          <w:r>
            <w:rPr>
              <w:color w:val="auto"/>
            </w:rPr>
            <w:fldChar w:fldCharType="begin"/>
          </w:r>
          <w:r>
            <w:rPr>
              <w:color w:val="auto"/>
            </w:rPr>
            <w:instrText xml:space="preserve"> PAGEREF _Toc20784 \h </w:instrText>
          </w:r>
          <w:r>
            <w:rPr>
              <w:color w:val="auto"/>
            </w:rPr>
            <w:fldChar w:fldCharType="separate"/>
          </w:r>
          <w:r>
            <w:rPr>
              <w:color w:val="auto"/>
            </w:rPr>
            <w:t>258</w:t>
          </w:r>
          <w:r>
            <w:rPr>
              <w:color w:val="auto"/>
            </w:rPr>
            <w:fldChar w:fldCharType="end"/>
          </w:r>
          <w:r>
            <w:rPr>
              <w:color w:val="auto"/>
            </w:rPr>
            <w:fldChar w:fldCharType="end"/>
          </w:r>
        </w:p>
        <w:p w14:paraId="2E75DBE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"_Toc22760" </w:instrText>
          </w:r>
          <w:r>
            <w:rPr>
              <w:color w:val="auto"/>
            </w:rPr>
            <w:fldChar w:fldCharType="separate"/>
          </w:r>
          <w:r>
            <w:rPr>
              <w:rFonts w:hint="eastAsia"/>
              <w:color w:val="auto"/>
            </w:rPr>
            <w:t>6.4.2危废贮存场所（设施）环境影响分析</w:t>
          </w:r>
          <w:r>
            <w:rPr>
              <w:color w:val="auto"/>
            </w:rPr>
            <w:tab/>
          </w:r>
          <w:r>
            <w:rPr>
              <w:color w:val="auto"/>
            </w:rPr>
            <w:fldChar w:fldCharType="begin"/>
          </w:r>
          <w:r>
            <w:rPr>
              <w:color w:val="auto"/>
            </w:rPr>
            <w:instrText xml:space="preserve"> PAGEREF _Toc22760 \h </w:instrText>
          </w:r>
          <w:r>
            <w:rPr>
              <w:color w:val="auto"/>
            </w:rPr>
            <w:fldChar w:fldCharType="separate"/>
          </w:r>
          <w:r>
            <w:rPr>
              <w:color w:val="auto"/>
            </w:rPr>
            <w:t>260</w:t>
          </w:r>
          <w:r>
            <w:rPr>
              <w:color w:val="auto"/>
            </w:rPr>
            <w:fldChar w:fldCharType="end"/>
          </w:r>
          <w:r>
            <w:rPr>
              <w:color w:val="auto"/>
            </w:rPr>
            <w:fldChar w:fldCharType="end"/>
          </w:r>
        </w:p>
        <w:p w14:paraId="792F6AC6">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"_Toc9763" </w:instrText>
          </w:r>
          <w:r>
            <w:rPr>
              <w:color w:val="auto"/>
            </w:rPr>
            <w:fldChar w:fldCharType="separate"/>
          </w:r>
          <w:r>
            <w:rPr>
              <w:rFonts w:hint="eastAsia"/>
              <w:color w:val="auto"/>
            </w:rPr>
            <w:t>6.4.3固废运输环境影响分析</w:t>
          </w:r>
          <w:r>
            <w:rPr>
              <w:color w:val="auto"/>
            </w:rPr>
            <w:tab/>
          </w:r>
          <w:r>
            <w:rPr>
              <w:color w:val="auto"/>
            </w:rPr>
            <w:fldChar w:fldCharType="begin"/>
          </w:r>
          <w:r>
            <w:rPr>
              <w:color w:val="auto"/>
            </w:rPr>
            <w:instrText xml:space="preserve"> PAGEREF _Toc9763 \h </w:instrText>
          </w:r>
          <w:r>
            <w:rPr>
              <w:color w:val="auto"/>
            </w:rPr>
            <w:fldChar w:fldCharType="separate"/>
          </w:r>
          <w:r>
            <w:rPr>
              <w:color w:val="auto"/>
            </w:rPr>
            <w:t>261</w:t>
          </w:r>
          <w:r>
            <w:rPr>
              <w:color w:val="auto"/>
            </w:rPr>
            <w:fldChar w:fldCharType="end"/>
          </w:r>
          <w:r>
            <w:rPr>
              <w:color w:val="auto"/>
            </w:rPr>
            <w:fldChar w:fldCharType="end"/>
          </w:r>
        </w:p>
        <w:p w14:paraId="25DE9FC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"_Toc7807" </w:instrText>
          </w:r>
          <w:r>
            <w:rPr>
              <w:color w:val="auto"/>
            </w:rPr>
            <w:fldChar w:fldCharType="separate"/>
          </w:r>
          <w:r>
            <w:rPr>
              <w:rFonts w:hint="eastAsia"/>
              <w:color w:val="auto"/>
            </w:rPr>
            <w:t>6.4.4委托处置环境影响分析</w:t>
          </w:r>
          <w:r>
            <w:rPr>
              <w:color w:val="auto"/>
            </w:rPr>
            <w:tab/>
          </w:r>
          <w:r>
            <w:rPr>
              <w:color w:val="auto"/>
            </w:rPr>
            <w:fldChar w:fldCharType="begin"/>
          </w:r>
          <w:r>
            <w:rPr>
              <w:color w:val="auto"/>
            </w:rPr>
            <w:instrText xml:space="preserve"> PAGEREF _Toc7807 \h </w:instrText>
          </w:r>
          <w:r>
            <w:rPr>
              <w:color w:val="auto"/>
            </w:rPr>
            <w:fldChar w:fldCharType="separate"/>
          </w:r>
          <w:r>
            <w:rPr>
              <w:color w:val="auto"/>
            </w:rPr>
            <w:t>261</w:t>
          </w:r>
          <w:r>
            <w:rPr>
              <w:color w:val="auto"/>
            </w:rPr>
            <w:fldChar w:fldCharType="end"/>
          </w:r>
          <w:r>
            <w:rPr>
              <w:color w:val="auto"/>
            </w:rPr>
            <w:fldChar w:fldCharType="end"/>
          </w:r>
        </w:p>
        <w:p w14:paraId="218BA30D">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"_Toc11704" </w:instrText>
          </w:r>
          <w:r>
            <w:rPr>
              <w:color w:val="auto"/>
            </w:rPr>
            <w:fldChar w:fldCharType="separate"/>
          </w:r>
          <w:r>
            <w:rPr>
              <w:rFonts w:hint="eastAsia"/>
              <w:color w:val="auto"/>
            </w:rPr>
            <w:t>6.5地下水环境影响预测与评价</w:t>
          </w:r>
          <w:r>
            <w:rPr>
              <w:color w:val="auto"/>
            </w:rPr>
            <w:tab/>
          </w:r>
          <w:r>
            <w:rPr>
              <w:color w:val="auto"/>
            </w:rPr>
            <w:fldChar w:fldCharType="begin"/>
          </w:r>
          <w:r>
            <w:rPr>
              <w:color w:val="auto"/>
            </w:rPr>
            <w:instrText xml:space="preserve"> PAGEREF _Toc11704 \h </w:instrText>
          </w:r>
          <w:r>
            <w:rPr>
              <w:color w:val="auto"/>
            </w:rPr>
            <w:fldChar w:fldCharType="separate"/>
          </w:r>
          <w:r>
            <w:rPr>
              <w:color w:val="auto"/>
            </w:rPr>
            <w:t>262</w:t>
          </w:r>
          <w:r>
            <w:rPr>
              <w:color w:val="auto"/>
            </w:rPr>
            <w:fldChar w:fldCharType="end"/>
          </w:r>
          <w:r>
            <w:rPr>
              <w:color w:val="auto"/>
            </w:rPr>
            <w:fldChar w:fldCharType="end"/>
          </w:r>
        </w:p>
        <w:p w14:paraId="1CBE5B34">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"_Toc3537" </w:instrText>
          </w:r>
          <w:r>
            <w:rPr>
              <w:color w:val="auto"/>
            </w:rPr>
            <w:fldChar w:fldCharType="separate"/>
          </w:r>
          <w:r>
            <w:rPr>
              <w:rFonts w:hint="eastAsia"/>
              <w:color w:val="auto"/>
            </w:rPr>
            <w:t>6.5.1区域地质概况</w:t>
          </w:r>
          <w:r>
            <w:rPr>
              <w:color w:val="auto"/>
            </w:rPr>
            <w:tab/>
          </w:r>
          <w:r>
            <w:rPr>
              <w:color w:val="auto"/>
            </w:rPr>
            <w:fldChar w:fldCharType="begin"/>
          </w:r>
          <w:r>
            <w:rPr>
              <w:color w:val="auto"/>
            </w:rPr>
            <w:instrText xml:space="preserve"> PAGEREF _Toc3537 \h </w:instrText>
          </w:r>
          <w:r>
            <w:rPr>
              <w:color w:val="auto"/>
            </w:rPr>
            <w:fldChar w:fldCharType="separate"/>
          </w:r>
          <w:r>
            <w:rPr>
              <w:color w:val="auto"/>
            </w:rPr>
            <w:t>262</w:t>
          </w:r>
          <w:r>
            <w:rPr>
              <w:color w:val="auto"/>
            </w:rPr>
            <w:fldChar w:fldCharType="end"/>
          </w:r>
          <w:r>
            <w:rPr>
              <w:color w:val="auto"/>
            </w:rPr>
            <w:fldChar w:fldCharType="end"/>
          </w:r>
        </w:p>
        <w:p w14:paraId="28FED31D">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"_Toc8229" </w:instrText>
          </w:r>
          <w:r>
            <w:rPr>
              <w:color w:val="auto"/>
            </w:rPr>
            <w:fldChar w:fldCharType="separate"/>
          </w:r>
          <w:r>
            <w:rPr>
              <w:rFonts w:hint="eastAsia"/>
              <w:color w:val="auto"/>
            </w:rPr>
            <w:t>6.5.2区域水文地质条件</w:t>
          </w:r>
          <w:r>
            <w:rPr>
              <w:color w:val="auto"/>
            </w:rPr>
            <w:tab/>
          </w:r>
          <w:r>
            <w:rPr>
              <w:color w:val="auto"/>
            </w:rPr>
            <w:fldChar w:fldCharType="begin"/>
          </w:r>
          <w:r>
            <w:rPr>
              <w:color w:val="auto"/>
            </w:rPr>
            <w:instrText xml:space="preserve"> PAGEREF _Toc8229 \h </w:instrText>
          </w:r>
          <w:r>
            <w:rPr>
              <w:color w:val="auto"/>
            </w:rPr>
            <w:fldChar w:fldCharType="separate"/>
          </w:r>
          <w:r>
            <w:rPr>
              <w:color w:val="auto"/>
            </w:rPr>
            <w:t>265</w:t>
          </w:r>
          <w:r>
            <w:rPr>
              <w:color w:val="auto"/>
            </w:rPr>
            <w:fldChar w:fldCharType="end"/>
          </w:r>
          <w:r>
            <w:rPr>
              <w:color w:val="auto"/>
            </w:rPr>
            <w:fldChar w:fldCharType="end"/>
          </w:r>
        </w:p>
        <w:p w14:paraId="65463E80">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"_Toc32130" </w:instrText>
          </w:r>
          <w:r>
            <w:rPr>
              <w:color w:val="auto"/>
            </w:rPr>
            <w:fldChar w:fldCharType="separate"/>
          </w:r>
          <w:r>
            <w:rPr>
              <w:rFonts w:hint="eastAsia"/>
              <w:color w:val="auto"/>
            </w:rPr>
            <w:t>6.5.3水文地质现场测试及参数确定</w:t>
          </w:r>
          <w:r>
            <w:rPr>
              <w:color w:val="auto"/>
            </w:rPr>
            <w:tab/>
          </w:r>
          <w:r>
            <w:rPr>
              <w:color w:val="auto"/>
            </w:rPr>
            <w:fldChar w:fldCharType="begin"/>
          </w:r>
          <w:r>
            <w:rPr>
              <w:color w:val="auto"/>
            </w:rPr>
            <w:instrText xml:space="preserve"> PAGEREF _Toc32130 \h </w:instrText>
          </w:r>
          <w:r>
            <w:rPr>
              <w:color w:val="auto"/>
            </w:rPr>
            <w:fldChar w:fldCharType="separate"/>
          </w:r>
          <w:r>
            <w:rPr>
              <w:color w:val="auto"/>
            </w:rPr>
            <w:t>272</w:t>
          </w:r>
          <w:r>
            <w:rPr>
              <w:color w:val="auto"/>
            </w:rPr>
            <w:fldChar w:fldCharType="end"/>
          </w:r>
          <w:r>
            <w:rPr>
              <w:color w:val="auto"/>
            </w:rPr>
            <w:fldChar w:fldCharType="end"/>
          </w:r>
        </w:p>
        <w:p w14:paraId="0267AED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"_Toc25554" </w:instrText>
          </w:r>
          <w:r>
            <w:rPr>
              <w:color w:val="auto"/>
            </w:rPr>
            <w:fldChar w:fldCharType="separate"/>
          </w:r>
          <w:r>
            <w:rPr>
              <w:rFonts w:hint="eastAsia"/>
              <w:color w:val="auto"/>
            </w:rPr>
            <w:t>6.5.4地下水环境影响预测及评价</w:t>
          </w:r>
          <w:r>
            <w:rPr>
              <w:color w:val="auto"/>
            </w:rPr>
            <w:tab/>
          </w:r>
          <w:r>
            <w:rPr>
              <w:color w:val="auto"/>
            </w:rPr>
            <w:fldChar w:fldCharType="begin"/>
          </w:r>
          <w:r>
            <w:rPr>
              <w:color w:val="auto"/>
            </w:rPr>
            <w:instrText xml:space="preserve"> PAGEREF _Toc25554 \h </w:instrText>
          </w:r>
          <w:r>
            <w:rPr>
              <w:color w:val="auto"/>
            </w:rPr>
            <w:fldChar w:fldCharType="separate"/>
          </w:r>
          <w:r>
            <w:rPr>
              <w:color w:val="auto"/>
            </w:rPr>
            <w:t>273</w:t>
          </w:r>
          <w:r>
            <w:rPr>
              <w:color w:val="auto"/>
            </w:rPr>
            <w:fldChar w:fldCharType="end"/>
          </w:r>
          <w:r>
            <w:rPr>
              <w:color w:val="auto"/>
            </w:rPr>
            <w:fldChar w:fldCharType="end"/>
          </w:r>
        </w:p>
        <w:p w14:paraId="475905F9">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"_Toc17243" </w:instrText>
          </w:r>
          <w:r>
            <w:rPr>
              <w:color w:val="auto"/>
            </w:rPr>
            <w:fldChar w:fldCharType="separate"/>
          </w:r>
          <w:r>
            <w:rPr>
              <w:rFonts w:hint="eastAsia"/>
              <w:color w:val="auto"/>
            </w:rPr>
            <w:t>6.6土壤环境影响预测分析</w:t>
          </w:r>
          <w:r>
            <w:rPr>
              <w:color w:val="auto"/>
            </w:rPr>
            <w:tab/>
          </w:r>
          <w:r>
            <w:rPr>
              <w:color w:val="auto"/>
            </w:rPr>
            <w:fldChar w:fldCharType="begin"/>
          </w:r>
          <w:r>
            <w:rPr>
              <w:color w:val="auto"/>
            </w:rPr>
            <w:instrText xml:space="preserve"> PAGEREF _Toc17243 \h </w:instrText>
          </w:r>
          <w:r>
            <w:rPr>
              <w:color w:val="auto"/>
            </w:rPr>
            <w:fldChar w:fldCharType="separate"/>
          </w:r>
          <w:r>
            <w:rPr>
              <w:color w:val="auto"/>
            </w:rPr>
            <w:t>277</w:t>
          </w:r>
          <w:r>
            <w:rPr>
              <w:color w:val="auto"/>
            </w:rPr>
            <w:fldChar w:fldCharType="end"/>
          </w:r>
          <w:r>
            <w:rPr>
              <w:color w:val="auto"/>
            </w:rPr>
            <w:fldChar w:fldCharType="end"/>
          </w:r>
        </w:p>
        <w:p w14:paraId="3CB3D254">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"_Toc1093" </w:instrText>
          </w:r>
          <w:r>
            <w:rPr>
              <w:color w:val="auto"/>
            </w:rPr>
            <w:fldChar w:fldCharType="separate"/>
          </w:r>
          <w:r>
            <w:rPr>
              <w:rFonts w:hint="eastAsia"/>
              <w:color w:val="auto"/>
            </w:rPr>
            <w:t>6.6.1评价等级与评价范围</w:t>
          </w:r>
          <w:r>
            <w:rPr>
              <w:color w:val="auto"/>
            </w:rPr>
            <w:tab/>
          </w:r>
          <w:r>
            <w:rPr>
              <w:color w:val="auto"/>
            </w:rPr>
            <w:fldChar w:fldCharType="begin"/>
          </w:r>
          <w:r>
            <w:rPr>
              <w:color w:val="auto"/>
            </w:rPr>
            <w:instrText xml:space="preserve"> PAGEREF _Toc1093 \h </w:instrText>
          </w:r>
          <w:r>
            <w:rPr>
              <w:color w:val="auto"/>
            </w:rPr>
            <w:fldChar w:fldCharType="separate"/>
          </w:r>
          <w:r>
            <w:rPr>
              <w:color w:val="auto"/>
            </w:rPr>
            <w:t>277</w:t>
          </w:r>
          <w:r>
            <w:rPr>
              <w:color w:val="auto"/>
            </w:rPr>
            <w:fldChar w:fldCharType="end"/>
          </w:r>
          <w:r>
            <w:rPr>
              <w:color w:val="auto"/>
            </w:rPr>
            <w:fldChar w:fldCharType="end"/>
          </w:r>
        </w:p>
        <w:p w14:paraId="07D8987F">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"_Toc7721" </w:instrText>
          </w:r>
          <w:r>
            <w:rPr>
              <w:color w:val="auto"/>
            </w:rPr>
            <w:fldChar w:fldCharType="separate"/>
          </w:r>
          <w:r>
            <w:rPr>
              <w:rFonts w:hint="eastAsia"/>
              <w:color w:val="auto"/>
            </w:rPr>
            <w:t>6.6.2土壤影响途径</w:t>
          </w:r>
          <w:r>
            <w:rPr>
              <w:color w:val="auto"/>
            </w:rPr>
            <w:tab/>
          </w:r>
          <w:r>
            <w:rPr>
              <w:color w:val="auto"/>
            </w:rPr>
            <w:fldChar w:fldCharType="begin"/>
          </w:r>
          <w:r>
            <w:rPr>
              <w:color w:val="auto"/>
            </w:rPr>
            <w:instrText xml:space="preserve"> PAGEREF _Toc7721 \h </w:instrText>
          </w:r>
          <w:r>
            <w:rPr>
              <w:color w:val="auto"/>
            </w:rPr>
            <w:fldChar w:fldCharType="separate"/>
          </w:r>
          <w:r>
            <w:rPr>
              <w:color w:val="auto"/>
            </w:rPr>
            <w:t>277</w:t>
          </w:r>
          <w:r>
            <w:rPr>
              <w:color w:val="auto"/>
            </w:rPr>
            <w:fldChar w:fldCharType="end"/>
          </w:r>
          <w:r>
            <w:rPr>
              <w:color w:val="auto"/>
            </w:rPr>
            <w:fldChar w:fldCharType="end"/>
          </w:r>
        </w:p>
        <w:p w14:paraId="5EF6D442">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"_Toc2314" </w:instrText>
          </w:r>
          <w:r>
            <w:rPr>
              <w:color w:val="auto"/>
            </w:rPr>
            <w:fldChar w:fldCharType="separate"/>
          </w:r>
          <w:r>
            <w:rPr>
              <w:rFonts w:hint="eastAsia"/>
              <w:color w:val="auto"/>
            </w:rPr>
            <w:t>6.6.3大气沉降土壤环境影响预测</w:t>
          </w:r>
          <w:r>
            <w:rPr>
              <w:color w:val="auto"/>
            </w:rPr>
            <w:tab/>
          </w:r>
          <w:r>
            <w:rPr>
              <w:color w:val="auto"/>
            </w:rPr>
            <w:fldChar w:fldCharType="begin"/>
          </w:r>
          <w:r>
            <w:rPr>
              <w:color w:val="auto"/>
            </w:rPr>
            <w:instrText xml:space="preserve"> PAGEREF _Toc2314 \h </w:instrText>
          </w:r>
          <w:r>
            <w:rPr>
              <w:color w:val="auto"/>
            </w:rPr>
            <w:fldChar w:fldCharType="separate"/>
          </w:r>
          <w:r>
            <w:rPr>
              <w:color w:val="auto"/>
            </w:rPr>
            <w:t>278</w:t>
          </w:r>
          <w:r>
            <w:rPr>
              <w:color w:val="auto"/>
            </w:rPr>
            <w:fldChar w:fldCharType="end"/>
          </w:r>
          <w:r>
            <w:rPr>
              <w:color w:val="auto"/>
            </w:rPr>
            <w:fldChar w:fldCharType="end"/>
          </w:r>
        </w:p>
        <w:p w14:paraId="30EFD9E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"_Toc29550" </w:instrText>
          </w:r>
          <w:r>
            <w:rPr>
              <w:color w:val="auto"/>
            </w:rPr>
            <w:fldChar w:fldCharType="separate"/>
          </w:r>
          <w:r>
            <w:rPr>
              <w:rFonts w:hint="eastAsia"/>
              <w:color w:val="auto"/>
            </w:rPr>
            <w:t>6.6.4入渗型土壤环境影响预测</w:t>
          </w:r>
          <w:r>
            <w:rPr>
              <w:color w:val="auto"/>
            </w:rPr>
            <w:tab/>
          </w:r>
          <w:r>
            <w:rPr>
              <w:color w:val="auto"/>
            </w:rPr>
            <w:fldChar w:fldCharType="begin"/>
          </w:r>
          <w:r>
            <w:rPr>
              <w:color w:val="auto"/>
            </w:rPr>
            <w:instrText xml:space="preserve"> PAGEREF _Toc29550 \h </w:instrText>
          </w:r>
          <w:r>
            <w:rPr>
              <w:color w:val="auto"/>
            </w:rPr>
            <w:fldChar w:fldCharType="separate"/>
          </w:r>
          <w:r>
            <w:rPr>
              <w:color w:val="auto"/>
            </w:rPr>
            <w:t>279</w:t>
          </w:r>
          <w:r>
            <w:rPr>
              <w:color w:val="auto"/>
            </w:rPr>
            <w:fldChar w:fldCharType="end"/>
          </w:r>
          <w:r>
            <w:rPr>
              <w:color w:val="auto"/>
            </w:rPr>
            <w:fldChar w:fldCharType="end"/>
          </w:r>
        </w:p>
        <w:p w14:paraId="68C8B37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"_Toc29979" </w:instrText>
          </w:r>
          <w:r>
            <w:rPr>
              <w:color w:val="auto"/>
            </w:rPr>
            <w:fldChar w:fldCharType="separate"/>
          </w:r>
          <w:r>
            <w:rPr>
              <w:rFonts w:hint="eastAsia"/>
              <w:color w:val="auto"/>
            </w:rPr>
            <w:t>6.6.5土壤环境影响评价自查表</w:t>
          </w:r>
          <w:r>
            <w:rPr>
              <w:color w:val="auto"/>
            </w:rPr>
            <w:tab/>
          </w:r>
          <w:r>
            <w:rPr>
              <w:color w:val="auto"/>
            </w:rPr>
            <w:fldChar w:fldCharType="begin"/>
          </w:r>
          <w:r>
            <w:rPr>
              <w:color w:val="auto"/>
            </w:rPr>
            <w:instrText xml:space="preserve"> PAGEREF _Toc29979 \h </w:instrText>
          </w:r>
          <w:r>
            <w:rPr>
              <w:color w:val="auto"/>
            </w:rPr>
            <w:fldChar w:fldCharType="separate"/>
          </w:r>
          <w:r>
            <w:rPr>
              <w:color w:val="auto"/>
            </w:rPr>
            <w:t>282</w:t>
          </w:r>
          <w:r>
            <w:rPr>
              <w:color w:val="auto"/>
            </w:rPr>
            <w:fldChar w:fldCharType="end"/>
          </w:r>
          <w:r>
            <w:rPr>
              <w:color w:val="auto"/>
            </w:rPr>
            <w:fldChar w:fldCharType="end"/>
          </w:r>
        </w:p>
        <w:p w14:paraId="7CDB25C4">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"_Toc10169" </w:instrText>
          </w:r>
          <w:r>
            <w:rPr>
              <w:color w:val="auto"/>
            </w:rPr>
            <w:fldChar w:fldCharType="separate"/>
          </w:r>
          <w:r>
            <w:rPr>
              <w:rFonts w:hint="eastAsia"/>
              <w:color w:val="auto"/>
            </w:rPr>
            <w:t>6.7环境风险预测与评价</w:t>
          </w:r>
          <w:r>
            <w:rPr>
              <w:color w:val="auto"/>
            </w:rPr>
            <w:tab/>
          </w:r>
          <w:r>
            <w:rPr>
              <w:color w:val="auto"/>
            </w:rPr>
            <w:fldChar w:fldCharType="begin"/>
          </w:r>
          <w:r>
            <w:rPr>
              <w:color w:val="auto"/>
            </w:rPr>
            <w:instrText xml:space="preserve"> PAGEREF _Toc10169 \h </w:instrText>
          </w:r>
          <w:r>
            <w:rPr>
              <w:color w:val="auto"/>
            </w:rPr>
            <w:fldChar w:fldCharType="separate"/>
          </w:r>
          <w:r>
            <w:rPr>
              <w:color w:val="auto"/>
            </w:rPr>
            <w:t>283</w:t>
          </w:r>
          <w:r>
            <w:rPr>
              <w:color w:val="auto"/>
            </w:rPr>
            <w:fldChar w:fldCharType="end"/>
          </w:r>
          <w:r>
            <w:rPr>
              <w:color w:val="auto"/>
            </w:rPr>
            <w:fldChar w:fldCharType="end"/>
          </w:r>
        </w:p>
        <w:p w14:paraId="615B8317">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"_Toc14941" </w:instrText>
          </w:r>
          <w:r>
            <w:rPr>
              <w:color w:val="auto"/>
            </w:rPr>
            <w:fldChar w:fldCharType="separate"/>
          </w:r>
          <w:r>
            <w:rPr>
              <w:rFonts w:hint="eastAsia"/>
              <w:color w:val="auto"/>
            </w:rPr>
            <w:t>6.7.1</w:t>
          </w:r>
          <w:r>
            <w:rPr>
              <w:color w:val="auto"/>
            </w:rPr>
            <w:t>风险评价等级</w:t>
          </w:r>
          <w:r>
            <w:rPr>
              <w:color w:val="auto"/>
            </w:rPr>
            <w:tab/>
          </w:r>
          <w:r>
            <w:rPr>
              <w:color w:val="auto"/>
            </w:rPr>
            <w:fldChar w:fldCharType="begin"/>
          </w:r>
          <w:r>
            <w:rPr>
              <w:color w:val="auto"/>
            </w:rPr>
            <w:instrText xml:space="preserve"> PAGEREF _Toc14941 \h </w:instrText>
          </w:r>
          <w:r>
            <w:rPr>
              <w:color w:val="auto"/>
            </w:rPr>
            <w:fldChar w:fldCharType="separate"/>
          </w:r>
          <w:r>
            <w:rPr>
              <w:color w:val="auto"/>
            </w:rPr>
            <w:t>283</w:t>
          </w:r>
          <w:r>
            <w:rPr>
              <w:color w:val="auto"/>
            </w:rPr>
            <w:fldChar w:fldCharType="end"/>
          </w:r>
          <w:r>
            <w:rPr>
              <w:color w:val="auto"/>
            </w:rPr>
            <w:fldChar w:fldCharType="end"/>
          </w:r>
        </w:p>
        <w:p w14:paraId="4AA6E49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"_Toc20132" </w:instrText>
          </w:r>
          <w:r>
            <w:rPr>
              <w:color w:val="auto"/>
            </w:rPr>
            <w:fldChar w:fldCharType="separate"/>
          </w:r>
          <w:r>
            <w:rPr>
              <w:rFonts w:hint="eastAsia"/>
              <w:color w:val="auto"/>
            </w:rPr>
            <w:t>6.7.2</w:t>
          </w:r>
          <w:r>
            <w:rPr>
              <w:color w:val="auto"/>
            </w:rPr>
            <w:t>环境风险事故情形设定</w:t>
          </w:r>
          <w:r>
            <w:rPr>
              <w:color w:val="auto"/>
            </w:rPr>
            <w:tab/>
          </w:r>
          <w:r>
            <w:rPr>
              <w:color w:val="auto"/>
            </w:rPr>
            <w:fldChar w:fldCharType="begin"/>
          </w:r>
          <w:r>
            <w:rPr>
              <w:color w:val="auto"/>
            </w:rPr>
            <w:instrText xml:space="preserve"> PAGEREF _Toc20132 \h </w:instrText>
          </w:r>
          <w:r>
            <w:rPr>
              <w:color w:val="auto"/>
            </w:rPr>
            <w:fldChar w:fldCharType="separate"/>
          </w:r>
          <w:r>
            <w:rPr>
              <w:color w:val="auto"/>
            </w:rPr>
            <w:t>284</w:t>
          </w:r>
          <w:r>
            <w:rPr>
              <w:color w:val="auto"/>
            </w:rPr>
            <w:fldChar w:fldCharType="end"/>
          </w:r>
          <w:r>
            <w:rPr>
              <w:color w:val="auto"/>
            </w:rPr>
            <w:fldChar w:fldCharType="end"/>
          </w:r>
        </w:p>
        <w:p w14:paraId="447C1A6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"_Toc2601" </w:instrText>
          </w:r>
          <w:r>
            <w:rPr>
              <w:color w:val="auto"/>
            </w:rPr>
            <w:fldChar w:fldCharType="separate"/>
          </w:r>
          <w:r>
            <w:rPr>
              <w:rFonts w:hint="eastAsia"/>
              <w:color w:val="auto"/>
            </w:rPr>
            <w:t>6.7.3源项分析</w:t>
          </w:r>
          <w:r>
            <w:rPr>
              <w:color w:val="auto"/>
            </w:rPr>
            <w:tab/>
          </w:r>
          <w:r>
            <w:rPr>
              <w:color w:val="auto"/>
            </w:rPr>
            <w:fldChar w:fldCharType="begin"/>
          </w:r>
          <w:r>
            <w:rPr>
              <w:color w:val="auto"/>
            </w:rPr>
            <w:instrText xml:space="preserve"> PAGEREF _Toc2601 \h </w:instrText>
          </w:r>
          <w:r>
            <w:rPr>
              <w:color w:val="auto"/>
            </w:rPr>
            <w:fldChar w:fldCharType="separate"/>
          </w:r>
          <w:r>
            <w:rPr>
              <w:color w:val="auto"/>
            </w:rPr>
            <w:t>285</w:t>
          </w:r>
          <w:r>
            <w:rPr>
              <w:color w:val="auto"/>
            </w:rPr>
            <w:fldChar w:fldCharType="end"/>
          </w:r>
          <w:r>
            <w:rPr>
              <w:color w:val="auto"/>
            </w:rPr>
            <w:fldChar w:fldCharType="end"/>
          </w:r>
        </w:p>
        <w:p w14:paraId="7689E0E4">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"_Toc6078" </w:instrText>
          </w:r>
          <w:r>
            <w:rPr>
              <w:color w:val="auto"/>
            </w:rPr>
            <w:fldChar w:fldCharType="separate"/>
          </w:r>
          <w:r>
            <w:rPr>
              <w:rFonts w:hint="eastAsia"/>
              <w:color w:val="auto"/>
            </w:rPr>
            <w:t>6.7.4大气风险预测与评价</w:t>
          </w:r>
          <w:r>
            <w:rPr>
              <w:color w:val="auto"/>
            </w:rPr>
            <w:tab/>
          </w:r>
          <w:r>
            <w:rPr>
              <w:color w:val="auto"/>
            </w:rPr>
            <w:fldChar w:fldCharType="begin"/>
          </w:r>
          <w:r>
            <w:rPr>
              <w:color w:val="auto"/>
            </w:rPr>
            <w:instrText xml:space="preserve"> PAGEREF _Toc6078 \h </w:instrText>
          </w:r>
          <w:r>
            <w:rPr>
              <w:color w:val="auto"/>
            </w:rPr>
            <w:fldChar w:fldCharType="separate"/>
          </w:r>
          <w:r>
            <w:rPr>
              <w:color w:val="auto"/>
            </w:rPr>
            <w:t>286</w:t>
          </w:r>
          <w:r>
            <w:rPr>
              <w:color w:val="auto"/>
            </w:rPr>
            <w:fldChar w:fldCharType="end"/>
          </w:r>
          <w:r>
            <w:rPr>
              <w:color w:val="auto"/>
            </w:rPr>
            <w:fldChar w:fldCharType="end"/>
          </w:r>
        </w:p>
        <w:p w14:paraId="2A7F1D6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"_Toc29436" </w:instrText>
          </w:r>
          <w:r>
            <w:rPr>
              <w:color w:val="auto"/>
            </w:rPr>
            <w:fldChar w:fldCharType="separate"/>
          </w:r>
          <w:r>
            <w:rPr>
              <w:rFonts w:hint="eastAsia"/>
              <w:color w:val="auto"/>
            </w:rPr>
            <w:t>6.7.5 地表水环境风险预测与评价</w:t>
          </w:r>
          <w:r>
            <w:rPr>
              <w:color w:val="auto"/>
            </w:rPr>
            <w:tab/>
          </w:r>
          <w:r>
            <w:rPr>
              <w:color w:val="auto"/>
            </w:rPr>
            <w:fldChar w:fldCharType="begin"/>
          </w:r>
          <w:r>
            <w:rPr>
              <w:color w:val="auto"/>
            </w:rPr>
            <w:instrText xml:space="preserve"> PAGEREF _Toc29436 \h </w:instrText>
          </w:r>
          <w:r>
            <w:rPr>
              <w:color w:val="auto"/>
            </w:rPr>
            <w:fldChar w:fldCharType="separate"/>
          </w:r>
          <w:r>
            <w:rPr>
              <w:color w:val="auto"/>
            </w:rPr>
            <w:t>291</w:t>
          </w:r>
          <w:r>
            <w:rPr>
              <w:color w:val="auto"/>
            </w:rPr>
            <w:fldChar w:fldCharType="end"/>
          </w:r>
          <w:r>
            <w:rPr>
              <w:color w:val="auto"/>
            </w:rPr>
            <w:fldChar w:fldCharType="end"/>
          </w:r>
        </w:p>
        <w:p w14:paraId="70FA101D">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"_Toc18429" </w:instrText>
          </w:r>
          <w:r>
            <w:rPr>
              <w:color w:val="auto"/>
            </w:rPr>
            <w:fldChar w:fldCharType="separate"/>
          </w:r>
          <w:r>
            <w:rPr>
              <w:rFonts w:hint="eastAsia"/>
              <w:color w:val="auto"/>
            </w:rPr>
            <w:t>6.7.6地下水环境风险预测与评价</w:t>
          </w:r>
          <w:r>
            <w:rPr>
              <w:color w:val="auto"/>
            </w:rPr>
            <w:tab/>
          </w:r>
          <w:r>
            <w:rPr>
              <w:color w:val="auto"/>
            </w:rPr>
            <w:fldChar w:fldCharType="begin"/>
          </w:r>
          <w:r>
            <w:rPr>
              <w:color w:val="auto"/>
            </w:rPr>
            <w:instrText xml:space="preserve"> PAGEREF _Toc18429 \h </w:instrText>
          </w:r>
          <w:r>
            <w:rPr>
              <w:color w:val="auto"/>
            </w:rPr>
            <w:fldChar w:fldCharType="separate"/>
          </w:r>
          <w:r>
            <w:rPr>
              <w:color w:val="auto"/>
            </w:rPr>
            <w:t>292</w:t>
          </w:r>
          <w:r>
            <w:rPr>
              <w:color w:val="auto"/>
            </w:rPr>
            <w:fldChar w:fldCharType="end"/>
          </w:r>
          <w:r>
            <w:rPr>
              <w:color w:val="auto"/>
            </w:rPr>
            <w:fldChar w:fldCharType="end"/>
          </w:r>
        </w:p>
        <w:p w14:paraId="305DCDB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"_Toc31935" </w:instrText>
          </w:r>
          <w:r>
            <w:rPr>
              <w:color w:val="auto"/>
            </w:rPr>
            <w:fldChar w:fldCharType="separate"/>
          </w:r>
          <w:r>
            <w:rPr>
              <w:rFonts w:hint="eastAsia"/>
              <w:color w:val="auto"/>
            </w:rPr>
            <w:t>6.7.7环境风险评价结论</w:t>
          </w:r>
          <w:r>
            <w:rPr>
              <w:color w:val="auto"/>
            </w:rPr>
            <w:tab/>
          </w:r>
          <w:r>
            <w:rPr>
              <w:color w:val="auto"/>
            </w:rPr>
            <w:fldChar w:fldCharType="begin"/>
          </w:r>
          <w:r>
            <w:rPr>
              <w:color w:val="auto"/>
            </w:rPr>
            <w:instrText xml:space="preserve"> PAGEREF _Toc31935 \h </w:instrText>
          </w:r>
          <w:r>
            <w:rPr>
              <w:color w:val="auto"/>
            </w:rPr>
            <w:fldChar w:fldCharType="separate"/>
          </w:r>
          <w:r>
            <w:rPr>
              <w:color w:val="auto"/>
            </w:rPr>
            <w:t>293</w:t>
          </w:r>
          <w:r>
            <w:rPr>
              <w:color w:val="auto"/>
            </w:rPr>
            <w:fldChar w:fldCharType="end"/>
          </w:r>
          <w:r>
            <w:rPr>
              <w:color w:val="auto"/>
            </w:rPr>
            <w:fldChar w:fldCharType="end"/>
          </w:r>
        </w:p>
        <w:p w14:paraId="6BE41AD0">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"_Toc19291" </w:instrText>
          </w:r>
          <w:r>
            <w:rPr>
              <w:color w:val="auto"/>
            </w:rPr>
            <w:fldChar w:fldCharType="separate"/>
          </w:r>
          <w:r>
            <w:rPr>
              <w:rFonts w:hint="eastAsia"/>
              <w:color w:val="auto"/>
            </w:rPr>
            <w:t>6.8生态影响分析</w:t>
          </w:r>
          <w:r>
            <w:rPr>
              <w:color w:val="auto"/>
            </w:rPr>
            <w:tab/>
          </w:r>
          <w:r>
            <w:rPr>
              <w:color w:val="auto"/>
            </w:rPr>
            <w:fldChar w:fldCharType="begin"/>
          </w:r>
          <w:r>
            <w:rPr>
              <w:color w:val="auto"/>
            </w:rPr>
            <w:instrText xml:space="preserve"> PAGEREF _Toc19291 \h </w:instrText>
          </w:r>
          <w:r>
            <w:rPr>
              <w:color w:val="auto"/>
            </w:rPr>
            <w:fldChar w:fldCharType="separate"/>
          </w:r>
          <w:r>
            <w:rPr>
              <w:color w:val="auto"/>
            </w:rPr>
            <w:t>295</w:t>
          </w:r>
          <w:r>
            <w:rPr>
              <w:color w:val="auto"/>
            </w:rPr>
            <w:fldChar w:fldCharType="end"/>
          </w:r>
          <w:r>
            <w:rPr>
              <w:color w:val="auto"/>
            </w:rPr>
            <w:fldChar w:fldCharType="end"/>
          </w:r>
        </w:p>
        <w:p w14:paraId="53D7CA9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"_Toc16461" </w:instrText>
          </w:r>
          <w:r>
            <w:rPr>
              <w:color w:val="auto"/>
            </w:rPr>
            <w:fldChar w:fldCharType="separate"/>
          </w:r>
          <w:r>
            <w:rPr>
              <w:rFonts w:hint="eastAsia"/>
              <w:color w:val="auto"/>
            </w:rPr>
            <w:t>6.8.1陆生生态影响评价</w:t>
          </w:r>
          <w:r>
            <w:rPr>
              <w:color w:val="auto"/>
            </w:rPr>
            <w:tab/>
          </w:r>
          <w:r>
            <w:rPr>
              <w:color w:val="auto"/>
            </w:rPr>
            <w:fldChar w:fldCharType="begin"/>
          </w:r>
          <w:r>
            <w:rPr>
              <w:color w:val="auto"/>
            </w:rPr>
            <w:instrText xml:space="preserve"> PAGEREF _Toc16461 \h </w:instrText>
          </w:r>
          <w:r>
            <w:rPr>
              <w:color w:val="auto"/>
            </w:rPr>
            <w:fldChar w:fldCharType="separate"/>
          </w:r>
          <w:r>
            <w:rPr>
              <w:color w:val="auto"/>
            </w:rPr>
            <w:t>295</w:t>
          </w:r>
          <w:r>
            <w:rPr>
              <w:color w:val="auto"/>
            </w:rPr>
            <w:fldChar w:fldCharType="end"/>
          </w:r>
          <w:r>
            <w:rPr>
              <w:color w:val="auto"/>
            </w:rPr>
            <w:fldChar w:fldCharType="end"/>
          </w:r>
        </w:p>
        <w:p w14:paraId="3BFF246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"_Toc2260" </w:instrText>
          </w:r>
          <w:r>
            <w:rPr>
              <w:color w:val="auto"/>
            </w:rPr>
            <w:fldChar w:fldCharType="separate"/>
          </w:r>
          <w:r>
            <w:rPr>
              <w:rFonts w:hint="eastAsia"/>
              <w:color w:val="auto"/>
            </w:rPr>
            <w:t>6.8.2水生生态影响评价</w:t>
          </w:r>
          <w:r>
            <w:rPr>
              <w:color w:val="auto"/>
            </w:rPr>
            <w:tab/>
          </w:r>
          <w:r>
            <w:rPr>
              <w:color w:val="auto"/>
            </w:rPr>
            <w:fldChar w:fldCharType="begin"/>
          </w:r>
          <w:r>
            <w:rPr>
              <w:color w:val="auto"/>
            </w:rPr>
            <w:instrText xml:space="preserve"> PAGEREF _Toc2260 \h </w:instrText>
          </w:r>
          <w:r>
            <w:rPr>
              <w:color w:val="auto"/>
            </w:rPr>
            <w:fldChar w:fldCharType="separate"/>
          </w:r>
          <w:r>
            <w:rPr>
              <w:color w:val="auto"/>
            </w:rPr>
            <w:t>296</w:t>
          </w:r>
          <w:r>
            <w:rPr>
              <w:color w:val="auto"/>
            </w:rPr>
            <w:fldChar w:fldCharType="end"/>
          </w:r>
          <w:r>
            <w:rPr>
              <w:color w:val="auto"/>
            </w:rPr>
            <w:fldChar w:fldCharType="end"/>
          </w:r>
        </w:p>
        <w:p w14:paraId="4AB862AE">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"_Toc7196" </w:instrText>
          </w:r>
          <w:r>
            <w:rPr>
              <w:color w:val="auto"/>
            </w:rPr>
            <w:fldChar w:fldCharType="separate"/>
          </w:r>
          <w:r>
            <w:rPr>
              <w:rFonts w:hint="eastAsia"/>
              <w:color w:val="auto"/>
            </w:rPr>
            <w:t>6.8.3生态保护对策</w:t>
          </w:r>
          <w:r>
            <w:rPr>
              <w:color w:val="auto"/>
            </w:rPr>
            <w:tab/>
          </w:r>
          <w:r>
            <w:rPr>
              <w:color w:val="auto"/>
            </w:rPr>
            <w:fldChar w:fldCharType="begin"/>
          </w:r>
          <w:r>
            <w:rPr>
              <w:color w:val="auto"/>
            </w:rPr>
            <w:instrText xml:space="preserve"> PAGEREF _Toc7196 \h </w:instrText>
          </w:r>
          <w:r>
            <w:rPr>
              <w:color w:val="auto"/>
            </w:rPr>
            <w:fldChar w:fldCharType="separate"/>
          </w:r>
          <w:r>
            <w:rPr>
              <w:color w:val="auto"/>
            </w:rPr>
            <w:t>296</w:t>
          </w:r>
          <w:r>
            <w:rPr>
              <w:color w:val="auto"/>
            </w:rPr>
            <w:fldChar w:fldCharType="end"/>
          </w:r>
          <w:r>
            <w:rPr>
              <w:color w:val="auto"/>
            </w:rPr>
            <w:fldChar w:fldCharType="end"/>
          </w:r>
        </w:p>
        <w:p w14:paraId="6133E75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"_Toc13023" </w:instrText>
          </w:r>
          <w:r>
            <w:rPr>
              <w:color w:val="auto"/>
            </w:rPr>
            <w:fldChar w:fldCharType="separate"/>
          </w:r>
          <w:r>
            <w:rPr>
              <w:rFonts w:hint="eastAsia"/>
              <w:color w:val="auto"/>
            </w:rPr>
            <w:t>6.8.4生态影响评价自查情况</w:t>
          </w:r>
          <w:r>
            <w:rPr>
              <w:color w:val="auto"/>
            </w:rPr>
            <w:tab/>
          </w:r>
          <w:r>
            <w:rPr>
              <w:color w:val="auto"/>
            </w:rPr>
            <w:fldChar w:fldCharType="begin"/>
          </w:r>
          <w:r>
            <w:rPr>
              <w:color w:val="auto"/>
            </w:rPr>
            <w:instrText xml:space="preserve"> PAGEREF _Toc13023 \h </w:instrText>
          </w:r>
          <w:r>
            <w:rPr>
              <w:color w:val="auto"/>
            </w:rPr>
            <w:fldChar w:fldCharType="separate"/>
          </w:r>
          <w:r>
            <w:rPr>
              <w:color w:val="auto"/>
            </w:rPr>
            <w:t>296</w:t>
          </w:r>
          <w:r>
            <w:rPr>
              <w:color w:val="auto"/>
            </w:rPr>
            <w:fldChar w:fldCharType="end"/>
          </w:r>
          <w:r>
            <w:rPr>
              <w:color w:val="auto"/>
            </w:rPr>
            <w:fldChar w:fldCharType="end"/>
          </w:r>
        </w:p>
        <w:p w14:paraId="71865E99">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"_Toc30515" </w:instrText>
          </w:r>
          <w:r>
            <w:rPr>
              <w:color w:val="auto"/>
            </w:rPr>
            <w:fldChar w:fldCharType="separate"/>
          </w:r>
          <w:r>
            <w:rPr>
              <w:rFonts w:hint="eastAsia"/>
              <w:color w:val="auto"/>
            </w:rPr>
            <w:t>6.9碳排放环境影响评价</w:t>
          </w:r>
          <w:r>
            <w:rPr>
              <w:color w:val="auto"/>
            </w:rPr>
            <w:tab/>
          </w:r>
          <w:r>
            <w:rPr>
              <w:color w:val="auto"/>
            </w:rPr>
            <w:fldChar w:fldCharType="begin"/>
          </w:r>
          <w:r>
            <w:rPr>
              <w:color w:val="auto"/>
            </w:rPr>
            <w:instrText xml:space="preserve"> PAGEREF _Toc30515 \h </w:instrText>
          </w:r>
          <w:r>
            <w:rPr>
              <w:color w:val="auto"/>
            </w:rPr>
            <w:fldChar w:fldCharType="separate"/>
          </w:r>
          <w:r>
            <w:rPr>
              <w:color w:val="auto"/>
            </w:rPr>
            <w:t>297</w:t>
          </w:r>
          <w:r>
            <w:rPr>
              <w:color w:val="auto"/>
            </w:rPr>
            <w:fldChar w:fldCharType="end"/>
          </w:r>
          <w:r>
            <w:rPr>
              <w:color w:val="auto"/>
            </w:rPr>
            <w:fldChar w:fldCharType="end"/>
          </w:r>
        </w:p>
        <w:p w14:paraId="30843CE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"_Toc24849" </w:instrText>
          </w:r>
          <w:r>
            <w:rPr>
              <w:color w:val="auto"/>
            </w:rPr>
            <w:fldChar w:fldCharType="separate"/>
          </w:r>
          <w:r>
            <w:rPr>
              <w:rFonts w:hint="eastAsia"/>
              <w:color w:val="auto"/>
            </w:rPr>
            <w:t>6.9.1总则</w:t>
          </w:r>
          <w:r>
            <w:rPr>
              <w:color w:val="auto"/>
            </w:rPr>
            <w:tab/>
          </w:r>
          <w:r>
            <w:rPr>
              <w:color w:val="auto"/>
            </w:rPr>
            <w:fldChar w:fldCharType="begin"/>
          </w:r>
          <w:r>
            <w:rPr>
              <w:color w:val="auto"/>
            </w:rPr>
            <w:instrText xml:space="preserve"> PAGEREF _Toc24849 \h </w:instrText>
          </w:r>
          <w:r>
            <w:rPr>
              <w:color w:val="auto"/>
            </w:rPr>
            <w:fldChar w:fldCharType="separate"/>
          </w:r>
          <w:r>
            <w:rPr>
              <w:color w:val="auto"/>
            </w:rPr>
            <w:t>297</w:t>
          </w:r>
          <w:r>
            <w:rPr>
              <w:color w:val="auto"/>
            </w:rPr>
            <w:fldChar w:fldCharType="end"/>
          </w:r>
          <w:r>
            <w:rPr>
              <w:color w:val="auto"/>
            </w:rPr>
            <w:fldChar w:fldCharType="end"/>
          </w:r>
        </w:p>
        <w:p w14:paraId="74256C2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"_Toc19670" </w:instrText>
          </w:r>
          <w:r>
            <w:rPr>
              <w:color w:val="auto"/>
            </w:rPr>
            <w:fldChar w:fldCharType="separate"/>
          </w:r>
          <w:r>
            <w:rPr>
              <w:rFonts w:hint="eastAsia"/>
              <w:color w:val="auto"/>
            </w:rPr>
            <w:t>6.9.2建设项目碳排放分析</w:t>
          </w:r>
          <w:r>
            <w:rPr>
              <w:color w:val="auto"/>
            </w:rPr>
            <w:tab/>
          </w:r>
          <w:r>
            <w:rPr>
              <w:color w:val="auto"/>
            </w:rPr>
            <w:fldChar w:fldCharType="begin"/>
          </w:r>
          <w:r>
            <w:rPr>
              <w:color w:val="auto"/>
            </w:rPr>
            <w:instrText xml:space="preserve"> PAGEREF _Toc19670 \h </w:instrText>
          </w:r>
          <w:r>
            <w:rPr>
              <w:color w:val="auto"/>
            </w:rPr>
            <w:fldChar w:fldCharType="separate"/>
          </w:r>
          <w:r>
            <w:rPr>
              <w:color w:val="auto"/>
            </w:rPr>
            <w:t>299</w:t>
          </w:r>
          <w:r>
            <w:rPr>
              <w:color w:val="auto"/>
            </w:rPr>
            <w:fldChar w:fldCharType="end"/>
          </w:r>
          <w:r>
            <w:rPr>
              <w:color w:val="auto"/>
            </w:rPr>
            <w:fldChar w:fldCharType="end"/>
          </w:r>
        </w:p>
        <w:p w14:paraId="4459CE76">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"_Toc25496" </w:instrText>
          </w:r>
          <w:r>
            <w:rPr>
              <w:color w:val="auto"/>
            </w:rPr>
            <w:fldChar w:fldCharType="separate"/>
          </w:r>
          <w:r>
            <w:rPr>
              <w:rFonts w:hint="eastAsia"/>
              <w:color w:val="auto"/>
            </w:rPr>
            <w:t>6.9.3碳减排措施及其可行性论证</w:t>
          </w:r>
          <w:r>
            <w:rPr>
              <w:color w:val="auto"/>
            </w:rPr>
            <w:tab/>
          </w:r>
          <w:r>
            <w:rPr>
              <w:color w:val="auto"/>
            </w:rPr>
            <w:fldChar w:fldCharType="begin"/>
          </w:r>
          <w:r>
            <w:rPr>
              <w:color w:val="auto"/>
            </w:rPr>
            <w:instrText xml:space="preserve"> PAGEREF _Toc25496 \h </w:instrText>
          </w:r>
          <w:r>
            <w:rPr>
              <w:color w:val="auto"/>
            </w:rPr>
            <w:fldChar w:fldCharType="separate"/>
          </w:r>
          <w:r>
            <w:rPr>
              <w:color w:val="auto"/>
            </w:rPr>
            <w:t>301</w:t>
          </w:r>
          <w:r>
            <w:rPr>
              <w:color w:val="auto"/>
            </w:rPr>
            <w:fldChar w:fldCharType="end"/>
          </w:r>
          <w:r>
            <w:rPr>
              <w:color w:val="auto"/>
            </w:rPr>
            <w:fldChar w:fldCharType="end"/>
          </w:r>
        </w:p>
        <w:p w14:paraId="5EF9695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"_Toc20111" </w:instrText>
          </w:r>
          <w:r>
            <w:rPr>
              <w:color w:val="auto"/>
            </w:rPr>
            <w:fldChar w:fldCharType="separate"/>
          </w:r>
          <w:r>
            <w:rPr>
              <w:rFonts w:hint="eastAsia"/>
              <w:color w:val="auto"/>
            </w:rPr>
            <w:t>6.9.4碳排放管理与监测计划</w:t>
          </w:r>
          <w:r>
            <w:rPr>
              <w:color w:val="auto"/>
            </w:rPr>
            <w:tab/>
          </w:r>
          <w:r>
            <w:rPr>
              <w:color w:val="auto"/>
            </w:rPr>
            <w:fldChar w:fldCharType="begin"/>
          </w:r>
          <w:r>
            <w:rPr>
              <w:color w:val="auto"/>
            </w:rPr>
            <w:instrText xml:space="preserve"> PAGEREF _Toc20111 \h </w:instrText>
          </w:r>
          <w:r>
            <w:rPr>
              <w:color w:val="auto"/>
            </w:rPr>
            <w:fldChar w:fldCharType="separate"/>
          </w:r>
          <w:r>
            <w:rPr>
              <w:color w:val="auto"/>
            </w:rPr>
            <w:t>302</w:t>
          </w:r>
          <w:r>
            <w:rPr>
              <w:color w:val="auto"/>
            </w:rPr>
            <w:fldChar w:fldCharType="end"/>
          </w:r>
          <w:r>
            <w:rPr>
              <w:color w:val="auto"/>
            </w:rPr>
            <w:fldChar w:fldCharType="end"/>
          </w:r>
        </w:p>
        <w:p w14:paraId="0833B617">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"_Toc1953" </w:instrText>
          </w:r>
          <w:r>
            <w:rPr>
              <w:color w:val="auto"/>
            </w:rPr>
            <w:fldChar w:fldCharType="separate"/>
          </w:r>
          <w:r>
            <w:rPr>
              <w:rFonts w:hint="eastAsia"/>
              <w:color w:val="auto"/>
            </w:rPr>
            <w:t>6.9.5碳排放评价结论</w:t>
          </w:r>
          <w:r>
            <w:rPr>
              <w:color w:val="auto"/>
            </w:rPr>
            <w:tab/>
          </w:r>
          <w:r>
            <w:rPr>
              <w:color w:val="auto"/>
            </w:rPr>
            <w:fldChar w:fldCharType="begin"/>
          </w:r>
          <w:r>
            <w:rPr>
              <w:color w:val="auto"/>
            </w:rPr>
            <w:instrText xml:space="preserve"> PAGEREF _Toc1953 \h </w:instrText>
          </w:r>
          <w:r>
            <w:rPr>
              <w:color w:val="auto"/>
            </w:rPr>
            <w:fldChar w:fldCharType="separate"/>
          </w:r>
          <w:r>
            <w:rPr>
              <w:color w:val="auto"/>
            </w:rPr>
            <w:t>302</w:t>
          </w:r>
          <w:r>
            <w:rPr>
              <w:color w:val="auto"/>
            </w:rPr>
            <w:fldChar w:fldCharType="end"/>
          </w:r>
          <w:r>
            <w:rPr>
              <w:color w:val="auto"/>
            </w:rPr>
            <w:fldChar w:fldCharType="end"/>
          </w:r>
        </w:p>
        <w:p w14:paraId="29851EBB">
          <w:pPr>
            <w:pStyle w:val="16"/>
            <w:tabs>
              <w:tab w:val="right" w:leader="dot" w:pos="9638"/>
            </w:tabs>
            <w:spacing w:line="360" w:lineRule="auto"/>
            <w:ind w:firstLine="0" w:firstLineChars="0"/>
            <w:rPr>
              <w:color w:val="auto"/>
            </w:rPr>
          </w:pPr>
          <w:r>
            <w:rPr>
              <w:color w:val="auto"/>
            </w:rPr>
            <w:fldChar w:fldCharType="begin"/>
          </w:r>
          <w:r>
            <w:rPr>
              <w:color w:val="auto"/>
            </w:rPr>
            <w:instrText xml:space="preserve"> HYPERLINK \l "_Toc6012" </w:instrText>
          </w:r>
          <w:r>
            <w:rPr>
              <w:color w:val="auto"/>
            </w:rPr>
            <w:fldChar w:fldCharType="separate"/>
          </w:r>
          <w:r>
            <w:rPr>
              <w:bCs/>
              <w:color w:val="auto"/>
            </w:rPr>
            <w:t xml:space="preserve">7 </w:t>
          </w:r>
          <w:r>
            <w:rPr>
              <w:color w:val="auto"/>
            </w:rPr>
            <w:t>环境保护措施及其可行性</w:t>
          </w:r>
          <w:r>
            <w:rPr>
              <w:color w:val="auto"/>
            </w:rPr>
            <w:tab/>
          </w:r>
          <w:r>
            <w:rPr>
              <w:color w:val="auto"/>
            </w:rPr>
            <w:fldChar w:fldCharType="begin"/>
          </w:r>
          <w:r>
            <w:rPr>
              <w:color w:val="auto"/>
            </w:rPr>
            <w:instrText xml:space="preserve"> PAGEREF _Toc6012 \h </w:instrText>
          </w:r>
          <w:r>
            <w:rPr>
              <w:color w:val="auto"/>
            </w:rPr>
            <w:fldChar w:fldCharType="separate"/>
          </w:r>
          <w:r>
            <w:rPr>
              <w:color w:val="auto"/>
            </w:rPr>
            <w:t>303</w:t>
          </w:r>
          <w:r>
            <w:rPr>
              <w:color w:val="auto"/>
            </w:rPr>
            <w:fldChar w:fldCharType="end"/>
          </w:r>
          <w:r>
            <w:rPr>
              <w:color w:val="auto"/>
            </w:rPr>
            <w:fldChar w:fldCharType="end"/>
          </w:r>
        </w:p>
        <w:p w14:paraId="34FDE5E6">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"_Toc31724" </w:instrText>
          </w:r>
          <w:r>
            <w:rPr>
              <w:color w:val="auto"/>
            </w:rPr>
            <w:fldChar w:fldCharType="separate"/>
          </w:r>
          <w:r>
            <w:rPr>
              <w:color w:val="auto"/>
            </w:rPr>
            <w:t>7.1水污染控制措施评述</w:t>
          </w:r>
          <w:r>
            <w:rPr>
              <w:color w:val="auto"/>
            </w:rPr>
            <w:tab/>
          </w:r>
          <w:r>
            <w:rPr>
              <w:color w:val="auto"/>
            </w:rPr>
            <w:fldChar w:fldCharType="begin"/>
          </w:r>
          <w:r>
            <w:rPr>
              <w:color w:val="auto"/>
            </w:rPr>
            <w:instrText xml:space="preserve"> PAGEREF _Toc31724 \h </w:instrText>
          </w:r>
          <w:r>
            <w:rPr>
              <w:color w:val="auto"/>
            </w:rPr>
            <w:fldChar w:fldCharType="separate"/>
          </w:r>
          <w:r>
            <w:rPr>
              <w:color w:val="auto"/>
            </w:rPr>
            <w:t>303</w:t>
          </w:r>
          <w:r>
            <w:rPr>
              <w:color w:val="auto"/>
            </w:rPr>
            <w:fldChar w:fldCharType="end"/>
          </w:r>
          <w:r>
            <w:rPr>
              <w:color w:val="auto"/>
            </w:rPr>
            <w:fldChar w:fldCharType="end"/>
          </w:r>
        </w:p>
        <w:p w14:paraId="46D3A9AE">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"_Toc775" </w:instrText>
          </w:r>
          <w:r>
            <w:rPr>
              <w:color w:val="auto"/>
            </w:rPr>
            <w:fldChar w:fldCharType="separate"/>
          </w:r>
          <w:r>
            <w:rPr>
              <w:color w:val="auto"/>
            </w:rPr>
            <w:t>7.1.1现有项目已建</w:t>
          </w:r>
          <w:r>
            <w:rPr>
              <w:rFonts w:hint="eastAsia"/>
              <w:color w:val="auto"/>
            </w:rPr>
            <w:t>综合污水处理站</w:t>
          </w:r>
          <w:r>
            <w:rPr>
              <w:color w:val="auto"/>
            </w:rPr>
            <w:tab/>
          </w:r>
          <w:r>
            <w:rPr>
              <w:color w:val="auto"/>
            </w:rPr>
            <w:fldChar w:fldCharType="begin"/>
          </w:r>
          <w:r>
            <w:rPr>
              <w:color w:val="auto"/>
            </w:rPr>
            <w:instrText xml:space="preserve"> PAGEREF _Toc775 \h </w:instrText>
          </w:r>
          <w:r>
            <w:rPr>
              <w:color w:val="auto"/>
            </w:rPr>
            <w:fldChar w:fldCharType="separate"/>
          </w:r>
          <w:r>
            <w:rPr>
              <w:color w:val="auto"/>
            </w:rPr>
            <w:t>303</w:t>
          </w:r>
          <w:r>
            <w:rPr>
              <w:color w:val="auto"/>
            </w:rPr>
            <w:fldChar w:fldCharType="end"/>
          </w:r>
          <w:r>
            <w:rPr>
              <w:color w:val="auto"/>
            </w:rPr>
            <w:fldChar w:fldCharType="end"/>
          </w:r>
        </w:p>
        <w:p w14:paraId="35C56DBE">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"_Toc16163" </w:instrText>
          </w:r>
          <w:r>
            <w:rPr>
              <w:color w:val="auto"/>
            </w:rPr>
            <w:fldChar w:fldCharType="separate"/>
          </w:r>
          <w:r>
            <w:rPr>
              <w:color w:val="auto"/>
            </w:rPr>
            <w:t>7.1.2</w:t>
          </w:r>
          <w:r>
            <w:rPr>
              <w:rFonts w:hint="eastAsia"/>
              <w:color w:val="auto"/>
            </w:rPr>
            <w:t>拟建</w:t>
          </w:r>
          <w:r>
            <w:rPr>
              <w:color w:val="auto"/>
            </w:rPr>
            <w:t>废水处理</w:t>
          </w:r>
          <w:r>
            <w:rPr>
              <w:rFonts w:hint="eastAsia"/>
              <w:color w:val="auto"/>
            </w:rPr>
            <w:t>可行性分析</w:t>
          </w:r>
          <w:r>
            <w:rPr>
              <w:color w:val="auto"/>
            </w:rPr>
            <w:tab/>
          </w:r>
          <w:r>
            <w:rPr>
              <w:color w:val="auto"/>
            </w:rPr>
            <w:fldChar w:fldCharType="begin"/>
          </w:r>
          <w:r>
            <w:rPr>
              <w:color w:val="auto"/>
            </w:rPr>
            <w:instrText xml:space="preserve"> PAGEREF _Toc16163 \h </w:instrText>
          </w:r>
          <w:r>
            <w:rPr>
              <w:color w:val="auto"/>
            </w:rPr>
            <w:fldChar w:fldCharType="separate"/>
          </w:r>
          <w:r>
            <w:rPr>
              <w:color w:val="auto"/>
            </w:rPr>
            <w:t>305</w:t>
          </w:r>
          <w:r>
            <w:rPr>
              <w:color w:val="auto"/>
            </w:rPr>
            <w:fldChar w:fldCharType="end"/>
          </w:r>
          <w:r>
            <w:rPr>
              <w:color w:val="auto"/>
            </w:rPr>
            <w:fldChar w:fldCharType="end"/>
          </w:r>
        </w:p>
        <w:p w14:paraId="7CD11D1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"_Toc2681" </w:instrText>
          </w:r>
          <w:r>
            <w:rPr>
              <w:color w:val="auto"/>
            </w:rPr>
            <w:fldChar w:fldCharType="separate"/>
          </w:r>
          <w:r>
            <w:rPr>
              <w:color w:val="auto"/>
            </w:rPr>
            <w:t>7.1.3废水排入深水环境科技的可行性分析</w:t>
          </w:r>
          <w:r>
            <w:rPr>
              <w:color w:val="auto"/>
            </w:rPr>
            <w:tab/>
          </w:r>
          <w:r>
            <w:rPr>
              <w:color w:val="auto"/>
            </w:rPr>
            <w:fldChar w:fldCharType="begin"/>
          </w:r>
          <w:r>
            <w:rPr>
              <w:color w:val="auto"/>
            </w:rPr>
            <w:instrText xml:space="preserve"> PAGEREF _Toc2681 \h </w:instrText>
          </w:r>
          <w:r>
            <w:rPr>
              <w:color w:val="auto"/>
            </w:rPr>
            <w:fldChar w:fldCharType="separate"/>
          </w:r>
          <w:r>
            <w:rPr>
              <w:color w:val="auto"/>
            </w:rPr>
            <w:t>308</w:t>
          </w:r>
          <w:r>
            <w:rPr>
              <w:color w:val="auto"/>
            </w:rPr>
            <w:fldChar w:fldCharType="end"/>
          </w:r>
          <w:r>
            <w:rPr>
              <w:color w:val="auto"/>
            </w:rPr>
            <w:fldChar w:fldCharType="end"/>
          </w:r>
        </w:p>
        <w:p w14:paraId="1E90A20A">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"_Toc3493" </w:instrText>
          </w:r>
          <w:r>
            <w:rPr>
              <w:color w:val="auto"/>
            </w:rPr>
            <w:fldChar w:fldCharType="separate"/>
          </w:r>
          <w:r>
            <w:rPr>
              <w:color w:val="auto"/>
            </w:rPr>
            <w:t>7.1.4</w:t>
          </w:r>
          <w:r>
            <w:rPr>
              <w:rFonts w:hint="eastAsia"/>
              <w:color w:val="auto"/>
            </w:rPr>
            <w:t>经济</w:t>
          </w:r>
          <w:r>
            <w:rPr>
              <w:color w:val="auto"/>
            </w:rPr>
            <w:t>可行性分析</w:t>
          </w:r>
          <w:r>
            <w:rPr>
              <w:color w:val="auto"/>
            </w:rPr>
            <w:tab/>
          </w:r>
          <w:r>
            <w:rPr>
              <w:color w:val="auto"/>
            </w:rPr>
            <w:fldChar w:fldCharType="begin"/>
          </w:r>
          <w:r>
            <w:rPr>
              <w:color w:val="auto"/>
            </w:rPr>
            <w:instrText xml:space="preserve"> PAGEREF _Toc3493 \h </w:instrText>
          </w:r>
          <w:r>
            <w:rPr>
              <w:color w:val="auto"/>
            </w:rPr>
            <w:fldChar w:fldCharType="separate"/>
          </w:r>
          <w:r>
            <w:rPr>
              <w:color w:val="auto"/>
            </w:rPr>
            <w:t>310</w:t>
          </w:r>
          <w:r>
            <w:rPr>
              <w:color w:val="auto"/>
            </w:rPr>
            <w:fldChar w:fldCharType="end"/>
          </w:r>
          <w:r>
            <w:rPr>
              <w:color w:val="auto"/>
            </w:rPr>
            <w:fldChar w:fldCharType="end"/>
          </w:r>
        </w:p>
        <w:p w14:paraId="0546E1C6">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"_Toc26630" </w:instrText>
          </w:r>
          <w:r>
            <w:rPr>
              <w:color w:val="auto"/>
            </w:rPr>
            <w:fldChar w:fldCharType="separate"/>
          </w:r>
          <w:r>
            <w:rPr>
              <w:color w:val="auto"/>
            </w:rPr>
            <w:t>7.1.5水污染防治措施的要求</w:t>
          </w:r>
          <w:r>
            <w:rPr>
              <w:color w:val="auto"/>
            </w:rPr>
            <w:tab/>
          </w:r>
          <w:r>
            <w:rPr>
              <w:color w:val="auto"/>
            </w:rPr>
            <w:fldChar w:fldCharType="begin"/>
          </w:r>
          <w:r>
            <w:rPr>
              <w:color w:val="auto"/>
            </w:rPr>
            <w:instrText xml:space="preserve"> PAGEREF _Toc26630 \h </w:instrText>
          </w:r>
          <w:r>
            <w:rPr>
              <w:color w:val="auto"/>
            </w:rPr>
            <w:fldChar w:fldCharType="separate"/>
          </w:r>
          <w:r>
            <w:rPr>
              <w:color w:val="auto"/>
            </w:rPr>
            <w:t>310</w:t>
          </w:r>
          <w:r>
            <w:rPr>
              <w:color w:val="auto"/>
            </w:rPr>
            <w:fldChar w:fldCharType="end"/>
          </w:r>
          <w:r>
            <w:rPr>
              <w:color w:val="auto"/>
            </w:rPr>
            <w:fldChar w:fldCharType="end"/>
          </w:r>
        </w:p>
        <w:p w14:paraId="1E81F21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"_Toc13028" </w:instrText>
          </w:r>
          <w:r>
            <w:rPr>
              <w:color w:val="auto"/>
            </w:rPr>
            <w:fldChar w:fldCharType="separate"/>
          </w:r>
          <w:r>
            <w:rPr>
              <w:rFonts w:hint="eastAsia"/>
              <w:color w:val="auto"/>
            </w:rPr>
            <w:t>7.1.6雨水排放污染防治措施的要求</w:t>
          </w:r>
          <w:r>
            <w:rPr>
              <w:color w:val="auto"/>
            </w:rPr>
            <w:tab/>
          </w:r>
          <w:r>
            <w:rPr>
              <w:color w:val="auto"/>
            </w:rPr>
            <w:fldChar w:fldCharType="begin"/>
          </w:r>
          <w:r>
            <w:rPr>
              <w:color w:val="auto"/>
            </w:rPr>
            <w:instrText xml:space="preserve"> PAGEREF _Toc13028 \h </w:instrText>
          </w:r>
          <w:r>
            <w:rPr>
              <w:color w:val="auto"/>
            </w:rPr>
            <w:fldChar w:fldCharType="separate"/>
          </w:r>
          <w:r>
            <w:rPr>
              <w:color w:val="auto"/>
            </w:rPr>
            <w:t>310</w:t>
          </w:r>
          <w:r>
            <w:rPr>
              <w:color w:val="auto"/>
            </w:rPr>
            <w:fldChar w:fldCharType="end"/>
          </w:r>
          <w:r>
            <w:rPr>
              <w:color w:val="auto"/>
            </w:rPr>
            <w:fldChar w:fldCharType="end"/>
          </w:r>
        </w:p>
        <w:p w14:paraId="11403D3F">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"_Toc29499" </w:instrText>
          </w:r>
          <w:r>
            <w:rPr>
              <w:color w:val="auto"/>
            </w:rPr>
            <w:fldChar w:fldCharType="separate"/>
          </w:r>
          <w:r>
            <w:rPr>
              <w:color w:val="auto"/>
            </w:rPr>
            <w:t>7.</w:t>
          </w:r>
          <w:r>
            <w:rPr>
              <w:rFonts w:hint="eastAsia"/>
              <w:color w:val="auto"/>
            </w:rPr>
            <w:t>2大气污染控制措施评述</w:t>
          </w:r>
          <w:r>
            <w:rPr>
              <w:color w:val="auto"/>
            </w:rPr>
            <w:tab/>
          </w:r>
          <w:r>
            <w:rPr>
              <w:color w:val="auto"/>
            </w:rPr>
            <w:fldChar w:fldCharType="begin"/>
          </w:r>
          <w:r>
            <w:rPr>
              <w:color w:val="auto"/>
            </w:rPr>
            <w:instrText xml:space="preserve"> PAGEREF _Toc29499 \h </w:instrText>
          </w:r>
          <w:r>
            <w:rPr>
              <w:color w:val="auto"/>
            </w:rPr>
            <w:fldChar w:fldCharType="separate"/>
          </w:r>
          <w:r>
            <w:rPr>
              <w:color w:val="auto"/>
            </w:rPr>
            <w:t>311</w:t>
          </w:r>
          <w:r>
            <w:rPr>
              <w:color w:val="auto"/>
            </w:rPr>
            <w:fldChar w:fldCharType="end"/>
          </w:r>
          <w:r>
            <w:rPr>
              <w:color w:val="auto"/>
            </w:rPr>
            <w:fldChar w:fldCharType="end"/>
          </w:r>
        </w:p>
        <w:p w14:paraId="02A8F87F">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"_Toc653" </w:instrText>
          </w:r>
          <w:r>
            <w:rPr>
              <w:color w:val="auto"/>
            </w:rPr>
            <w:fldChar w:fldCharType="separate"/>
          </w:r>
          <w:r>
            <w:rPr>
              <w:rFonts w:hint="eastAsia"/>
              <w:color w:val="auto"/>
            </w:rPr>
            <w:t>7.2.1概述</w:t>
          </w:r>
          <w:r>
            <w:rPr>
              <w:color w:val="auto"/>
            </w:rPr>
            <w:tab/>
          </w:r>
          <w:r>
            <w:rPr>
              <w:color w:val="auto"/>
            </w:rPr>
            <w:fldChar w:fldCharType="begin"/>
          </w:r>
          <w:r>
            <w:rPr>
              <w:color w:val="auto"/>
            </w:rPr>
            <w:instrText xml:space="preserve"> PAGEREF _Toc653 \h </w:instrText>
          </w:r>
          <w:r>
            <w:rPr>
              <w:color w:val="auto"/>
            </w:rPr>
            <w:fldChar w:fldCharType="separate"/>
          </w:r>
          <w:r>
            <w:rPr>
              <w:color w:val="auto"/>
            </w:rPr>
            <w:t>311</w:t>
          </w:r>
          <w:r>
            <w:rPr>
              <w:color w:val="auto"/>
            </w:rPr>
            <w:fldChar w:fldCharType="end"/>
          </w:r>
          <w:r>
            <w:rPr>
              <w:color w:val="auto"/>
            </w:rPr>
            <w:fldChar w:fldCharType="end"/>
          </w:r>
        </w:p>
        <w:p w14:paraId="5BF670B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"_Toc2563" </w:instrText>
          </w:r>
          <w:r>
            <w:rPr>
              <w:color w:val="auto"/>
            </w:rPr>
            <w:fldChar w:fldCharType="separate"/>
          </w:r>
          <w:r>
            <w:rPr>
              <w:color w:val="auto"/>
            </w:rPr>
            <w:t>7.</w:t>
          </w:r>
          <w:r>
            <w:rPr>
              <w:rFonts w:hint="eastAsia"/>
              <w:color w:val="auto"/>
            </w:rPr>
            <w:t>2.2有组织废气治理措施可行性分析</w:t>
          </w:r>
          <w:r>
            <w:rPr>
              <w:color w:val="auto"/>
            </w:rPr>
            <w:tab/>
          </w:r>
          <w:r>
            <w:rPr>
              <w:color w:val="auto"/>
            </w:rPr>
            <w:fldChar w:fldCharType="begin"/>
          </w:r>
          <w:r>
            <w:rPr>
              <w:color w:val="auto"/>
            </w:rPr>
            <w:instrText xml:space="preserve"> PAGEREF _Toc2563 \h </w:instrText>
          </w:r>
          <w:r>
            <w:rPr>
              <w:color w:val="auto"/>
            </w:rPr>
            <w:fldChar w:fldCharType="separate"/>
          </w:r>
          <w:r>
            <w:rPr>
              <w:color w:val="auto"/>
            </w:rPr>
            <w:t>312</w:t>
          </w:r>
          <w:r>
            <w:rPr>
              <w:color w:val="auto"/>
            </w:rPr>
            <w:fldChar w:fldCharType="end"/>
          </w:r>
          <w:r>
            <w:rPr>
              <w:color w:val="auto"/>
            </w:rPr>
            <w:fldChar w:fldCharType="end"/>
          </w:r>
        </w:p>
        <w:p w14:paraId="02FB1DD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"_Toc8206" </w:instrText>
          </w:r>
          <w:r>
            <w:rPr>
              <w:color w:val="auto"/>
            </w:rPr>
            <w:fldChar w:fldCharType="separate"/>
          </w:r>
          <w:r>
            <w:rPr>
              <w:color w:val="auto"/>
            </w:rPr>
            <w:t>7</w:t>
          </w:r>
          <w:r>
            <w:rPr>
              <w:rFonts w:hint="eastAsia"/>
              <w:color w:val="auto"/>
            </w:rPr>
            <w:t>.2.3无组织废气治理措施可行性分析</w:t>
          </w:r>
          <w:r>
            <w:rPr>
              <w:color w:val="auto"/>
            </w:rPr>
            <w:tab/>
          </w:r>
          <w:r>
            <w:rPr>
              <w:color w:val="auto"/>
            </w:rPr>
            <w:fldChar w:fldCharType="begin"/>
          </w:r>
          <w:r>
            <w:rPr>
              <w:color w:val="auto"/>
            </w:rPr>
            <w:instrText xml:space="preserve"> PAGEREF _Toc8206 \h </w:instrText>
          </w:r>
          <w:r>
            <w:rPr>
              <w:color w:val="auto"/>
            </w:rPr>
            <w:fldChar w:fldCharType="separate"/>
          </w:r>
          <w:r>
            <w:rPr>
              <w:color w:val="auto"/>
            </w:rPr>
            <w:t>316</w:t>
          </w:r>
          <w:r>
            <w:rPr>
              <w:color w:val="auto"/>
            </w:rPr>
            <w:fldChar w:fldCharType="end"/>
          </w:r>
          <w:r>
            <w:rPr>
              <w:color w:val="auto"/>
            </w:rPr>
            <w:fldChar w:fldCharType="end"/>
          </w:r>
        </w:p>
        <w:p w14:paraId="40779525">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"_Toc12949" </w:instrText>
          </w:r>
          <w:r>
            <w:rPr>
              <w:color w:val="auto"/>
            </w:rPr>
            <w:fldChar w:fldCharType="separate"/>
          </w:r>
          <w:r>
            <w:rPr>
              <w:rFonts w:hint="eastAsia"/>
              <w:color w:val="auto"/>
            </w:rPr>
            <w:t>7.2.4经济可行性分析</w:t>
          </w:r>
          <w:r>
            <w:rPr>
              <w:color w:val="auto"/>
            </w:rPr>
            <w:tab/>
          </w:r>
          <w:r>
            <w:rPr>
              <w:color w:val="auto"/>
            </w:rPr>
            <w:fldChar w:fldCharType="begin"/>
          </w:r>
          <w:r>
            <w:rPr>
              <w:color w:val="auto"/>
            </w:rPr>
            <w:instrText xml:space="preserve"> PAGEREF _Toc12949 \h </w:instrText>
          </w:r>
          <w:r>
            <w:rPr>
              <w:color w:val="auto"/>
            </w:rPr>
            <w:fldChar w:fldCharType="separate"/>
          </w:r>
          <w:r>
            <w:rPr>
              <w:color w:val="auto"/>
            </w:rPr>
            <w:t>318</w:t>
          </w:r>
          <w:r>
            <w:rPr>
              <w:color w:val="auto"/>
            </w:rPr>
            <w:fldChar w:fldCharType="end"/>
          </w:r>
          <w:r>
            <w:rPr>
              <w:color w:val="auto"/>
            </w:rPr>
            <w:fldChar w:fldCharType="end"/>
          </w:r>
        </w:p>
        <w:p w14:paraId="29F568C7">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"_Toc12091" </w:instrText>
          </w:r>
          <w:r>
            <w:rPr>
              <w:color w:val="auto"/>
            </w:rPr>
            <w:fldChar w:fldCharType="separate"/>
          </w:r>
          <w:r>
            <w:rPr>
              <w:color w:val="auto"/>
            </w:rPr>
            <w:t>7.</w:t>
          </w:r>
          <w:r>
            <w:rPr>
              <w:rFonts w:hint="eastAsia"/>
              <w:color w:val="auto"/>
            </w:rPr>
            <w:t>3噪声控制措施评述</w:t>
          </w:r>
          <w:r>
            <w:rPr>
              <w:color w:val="auto"/>
            </w:rPr>
            <w:tab/>
          </w:r>
          <w:r>
            <w:rPr>
              <w:color w:val="auto"/>
            </w:rPr>
            <w:fldChar w:fldCharType="begin"/>
          </w:r>
          <w:r>
            <w:rPr>
              <w:color w:val="auto"/>
            </w:rPr>
            <w:instrText xml:space="preserve"> PAGEREF _Toc12091 \h </w:instrText>
          </w:r>
          <w:r>
            <w:rPr>
              <w:color w:val="auto"/>
            </w:rPr>
            <w:fldChar w:fldCharType="separate"/>
          </w:r>
          <w:r>
            <w:rPr>
              <w:color w:val="auto"/>
            </w:rPr>
            <w:t>319</w:t>
          </w:r>
          <w:r>
            <w:rPr>
              <w:color w:val="auto"/>
            </w:rPr>
            <w:fldChar w:fldCharType="end"/>
          </w:r>
          <w:r>
            <w:rPr>
              <w:color w:val="auto"/>
            </w:rPr>
            <w:fldChar w:fldCharType="end"/>
          </w:r>
        </w:p>
        <w:p w14:paraId="2F9F2717">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"_Toc17927" </w:instrText>
          </w:r>
          <w:r>
            <w:rPr>
              <w:color w:val="auto"/>
            </w:rPr>
            <w:fldChar w:fldCharType="separate"/>
          </w:r>
          <w:r>
            <w:rPr>
              <w:color w:val="auto"/>
            </w:rPr>
            <w:t>7.3.1</w:t>
          </w:r>
          <w:r>
            <w:rPr>
              <w:rFonts w:hint="eastAsia"/>
              <w:color w:val="auto"/>
            </w:rPr>
            <w:t>噪声</w:t>
          </w:r>
          <w:r>
            <w:rPr>
              <w:color w:val="auto"/>
            </w:rPr>
            <w:t>治理措施</w:t>
          </w:r>
          <w:r>
            <w:rPr>
              <w:color w:val="auto"/>
            </w:rPr>
            <w:tab/>
          </w:r>
          <w:r>
            <w:rPr>
              <w:color w:val="auto"/>
            </w:rPr>
            <w:fldChar w:fldCharType="begin"/>
          </w:r>
          <w:r>
            <w:rPr>
              <w:color w:val="auto"/>
            </w:rPr>
            <w:instrText xml:space="preserve"> PAGEREF _Toc17927 \h </w:instrText>
          </w:r>
          <w:r>
            <w:rPr>
              <w:color w:val="auto"/>
            </w:rPr>
            <w:fldChar w:fldCharType="separate"/>
          </w:r>
          <w:r>
            <w:rPr>
              <w:color w:val="auto"/>
            </w:rPr>
            <w:t>319</w:t>
          </w:r>
          <w:r>
            <w:rPr>
              <w:color w:val="auto"/>
            </w:rPr>
            <w:fldChar w:fldCharType="end"/>
          </w:r>
          <w:r>
            <w:rPr>
              <w:color w:val="auto"/>
            </w:rPr>
            <w:fldChar w:fldCharType="end"/>
          </w:r>
        </w:p>
        <w:p w14:paraId="355D9392">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"_Toc7964" </w:instrText>
          </w:r>
          <w:r>
            <w:rPr>
              <w:color w:val="auto"/>
            </w:rPr>
            <w:fldChar w:fldCharType="separate"/>
          </w:r>
          <w:r>
            <w:rPr>
              <w:color w:val="auto"/>
            </w:rPr>
            <w:t>7.3.2噪声治理</w:t>
          </w:r>
          <w:r>
            <w:rPr>
              <w:rFonts w:hint="eastAsia"/>
              <w:color w:val="auto"/>
            </w:rPr>
            <w:t>措施</w:t>
          </w:r>
          <w:r>
            <w:rPr>
              <w:color w:val="auto"/>
            </w:rPr>
            <w:t>评述</w:t>
          </w:r>
          <w:r>
            <w:rPr>
              <w:color w:val="auto"/>
            </w:rPr>
            <w:tab/>
          </w:r>
          <w:r>
            <w:rPr>
              <w:color w:val="auto"/>
            </w:rPr>
            <w:fldChar w:fldCharType="begin"/>
          </w:r>
          <w:r>
            <w:rPr>
              <w:color w:val="auto"/>
            </w:rPr>
            <w:instrText xml:space="preserve"> PAGEREF _Toc7964 \h </w:instrText>
          </w:r>
          <w:r>
            <w:rPr>
              <w:color w:val="auto"/>
            </w:rPr>
            <w:fldChar w:fldCharType="separate"/>
          </w:r>
          <w:r>
            <w:rPr>
              <w:color w:val="auto"/>
            </w:rPr>
            <w:t>320</w:t>
          </w:r>
          <w:r>
            <w:rPr>
              <w:color w:val="auto"/>
            </w:rPr>
            <w:fldChar w:fldCharType="end"/>
          </w:r>
          <w:r>
            <w:rPr>
              <w:color w:val="auto"/>
            </w:rPr>
            <w:fldChar w:fldCharType="end"/>
          </w:r>
        </w:p>
        <w:p w14:paraId="60955558">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"_Toc12386" </w:instrText>
          </w:r>
          <w:r>
            <w:rPr>
              <w:color w:val="auto"/>
            </w:rPr>
            <w:fldChar w:fldCharType="separate"/>
          </w:r>
          <w:r>
            <w:rPr>
              <w:color w:val="auto"/>
            </w:rPr>
            <w:t>7.</w:t>
          </w:r>
          <w:r>
            <w:rPr>
              <w:rFonts w:hint="eastAsia"/>
              <w:color w:val="auto"/>
            </w:rPr>
            <w:t>4固废污染控制措施评述</w:t>
          </w:r>
          <w:r>
            <w:rPr>
              <w:color w:val="auto"/>
            </w:rPr>
            <w:tab/>
          </w:r>
          <w:r>
            <w:rPr>
              <w:color w:val="auto"/>
            </w:rPr>
            <w:fldChar w:fldCharType="begin"/>
          </w:r>
          <w:r>
            <w:rPr>
              <w:color w:val="auto"/>
            </w:rPr>
            <w:instrText xml:space="preserve"> PAGEREF _Toc12386 \h </w:instrText>
          </w:r>
          <w:r>
            <w:rPr>
              <w:color w:val="auto"/>
            </w:rPr>
            <w:fldChar w:fldCharType="separate"/>
          </w:r>
          <w:r>
            <w:rPr>
              <w:color w:val="auto"/>
            </w:rPr>
            <w:t>321</w:t>
          </w:r>
          <w:r>
            <w:rPr>
              <w:color w:val="auto"/>
            </w:rPr>
            <w:fldChar w:fldCharType="end"/>
          </w:r>
          <w:r>
            <w:rPr>
              <w:color w:val="auto"/>
            </w:rPr>
            <w:fldChar w:fldCharType="end"/>
          </w:r>
        </w:p>
        <w:p w14:paraId="5A9EA97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"_Toc2092" </w:instrText>
          </w:r>
          <w:r>
            <w:rPr>
              <w:color w:val="auto"/>
            </w:rPr>
            <w:fldChar w:fldCharType="separate"/>
          </w:r>
          <w:r>
            <w:rPr>
              <w:color w:val="auto"/>
            </w:rPr>
            <w:t>7.4.1危险废物收集污染防治措施分析</w:t>
          </w:r>
          <w:r>
            <w:rPr>
              <w:color w:val="auto"/>
            </w:rPr>
            <w:tab/>
          </w:r>
          <w:r>
            <w:rPr>
              <w:color w:val="auto"/>
            </w:rPr>
            <w:fldChar w:fldCharType="begin"/>
          </w:r>
          <w:r>
            <w:rPr>
              <w:color w:val="auto"/>
            </w:rPr>
            <w:instrText xml:space="preserve"> PAGEREF _Toc2092 \h </w:instrText>
          </w:r>
          <w:r>
            <w:rPr>
              <w:color w:val="auto"/>
            </w:rPr>
            <w:fldChar w:fldCharType="separate"/>
          </w:r>
          <w:r>
            <w:rPr>
              <w:color w:val="auto"/>
            </w:rPr>
            <w:t>321</w:t>
          </w:r>
          <w:r>
            <w:rPr>
              <w:color w:val="auto"/>
            </w:rPr>
            <w:fldChar w:fldCharType="end"/>
          </w:r>
          <w:r>
            <w:rPr>
              <w:color w:val="auto"/>
            </w:rPr>
            <w:fldChar w:fldCharType="end"/>
          </w:r>
        </w:p>
        <w:p w14:paraId="7D11D630">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"_Toc31337" </w:instrText>
          </w:r>
          <w:r>
            <w:rPr>
              <w:color w:val="auto"/>
            </w:rPr>
            <w:fldChar w:fldCharType="separate"/>
          </w:r>
          <w:r>
            <w:rPr>
              <w:color w:val="auto"/>
            </w:rPr>
            <w:t>7.4.2危险废物暂存污染防治措施分析</w:t>
          </w:r>
          <w:r>
            <w:rPr>
              <w:color w:val="auto"/>
            </w:rPr>
            <w:tab/>
          </w:r>
          <w:r>
            <w:rPr>
              <w:color w:val="auto"/>
            </w:rPr>
            <w:fldChar w:fldCharType="begin"/>
          </w:r>
          <w:r>
            <w:rPr>
              <w:color w:val="auto"/>
            </w:rPr>
            <w:instrText xml:space="preserve"> PAGEREF _Toc31337 \h </w:instrText>
          </w:r>
          <w:r>
            <w:rPr>
              <w:color w:val="auto"/>
            </w:rPr>
            <w:fldChar w:fldCharType="separate"/>
          </w:r>
          <w:r>
            <w:rPr>
              <w:color w:val="auto"/>
            </w:rPr>
            <w:t>321</w:t>
          </w:r>
          <w:r>
            <w:rPr>
              <w:color w:val="auto"/>
            </w:rPr>
            <w:fldChar w:fldCharType="end"/>
          </w:r>
          <w:r>
            <w:rPr>
              <w:color w:val="auto"/>
            </w:rPr>
            <w:fldChar w:fldCharType="end"/>
          </w:r>
        </w:p>
        <w:p w14:paraId="5539D3E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"_Toc8593" </w:instrText>
          </w:r>
          <w:r>
            <w:rPr>
              <w:color w:val="auto"/>
            </w:rPr>
            <w:fldChar w:fldCharType="separate"/>
          </w:r>
          <w:r>
            <w:rPr>
              <w:color w:val="auto"/>
            </w:rPr>
            <w:t>7.4.3危险废物运输</w:t>
          </w:r>
          <w:r>
            <w:rPr>
              <w:rFonts w:hint="eastAsia"/>
              <w:color w:val="auto"/>
            </w:rPr>
            <w:t>污染</w:t>
          </w:r>
          <w:r>
            <w:rPr>
              <w:color w:val="auto"/>
            </w:rPr>
            <w:t>防治措施分析</w:t>
          </w:r>
          <w:r>
            <w:rPr>
              <w:color w:val="auto"/>
            </w:rPr>
            <w:tab/>
          </w:r>
          <w:r>
            <w:rPr>
              <w:color w:val="auto"/>
            </w:rPr>
            <w:fldChar w:fldCharType="begin"/>
          </w:r>
          <w:r>
            <w:rPr>
              <w:color w:val="auto"/>
            </w:rPr>
            <w:instrText xml:space="preserve"> PAGEREF _Toc8593 \h </w:instrText>
          </w:r>
          <w:r>
            <w:rPr>
              <w:color w:val="auto"/>
            </w:rPr>
            <w:fldChar w:fldCharType="separate"/>
          </w:r>
          <w:r>
            <w:rPr>
              <w:color w:val="auto"/>
            </w:rPr>
            <w:t>323</w:t>
          </w:r>
          <w:r>
            <w:rPr>
              <w:color w:val="auto"/>
            </w:rPr>
            <w:fldChar w:fldCharType="end"/>
          </w:r>
          <w:r>
            <w:rPr>
              <w:color w:val="auto"/>
            </w:rPr>
            <w:fldChar w:fldCharType="end"/>
          </w:r>
        </w:p>
        <w:p w14:paraId="3ED00CC3">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"_Toc12908" </w:instrText>
          </w:r>
          <w:r>
            <w:rPr>
              <w:color w:val="auto"/>
            </w:rPr>
            <w:fldChar w:fldCharType="separate"/>
          </w:r>
          <w:r>
            <w:rPr>
              <w:color w:val="auto"/>
            </w:rPr>
            <w:t>7.4.4危废处置方案可行性分析</w:t>
          </w:r>
          <w:r>
            <w:rPr>
              <w:color w:val="auto"/>
            </w:rPr>
            <w:tab/>
          </w:r>
          <w:r>
            <w:rPr>
              <w:color w:val="auto"/>
            </w:rPr>
            <w:fldChar w:fldCharType="begin"/>
          </w:r>
          <w:r>
            <w:rPr>
              <w:color w:val="auto"/>
            </w:rPr>
            <w:instrText xml:space="preserve"> PAGEREF _Toc12908 \h </w:instrText>
          </w:r>
          <w:r>
            <w:rPr>
              <w:color w:val="auto"/>
            </w:rPr>
            <w:fldChar w:fldCharType="separate"/>
          </w:r>
          <w:r>
            <w:rPr>
              <w:color w:val="auto"/>
            </w:rPr>
            <w:t>323</w:t>
          </w:r>
          <w:r>
            <w:rPr>
              <w:color w:val="auto"/>
            </w:rPr>
            <w:fldChar w:fldCharType="end"/>
          </w:r>
          <w:r>
            <w:rPr>
              <w:color w:val="auto"/>
            </w:rPr>
            <w:fldChar w:fldCharType="end"/>
          </w:r>
        </w:p>
        <w:p w14:paraId="66011596">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"_Toc11542" </w:instrText>
          </w:r>
          <w:r>
            <w:rPr>
              <w:color w:val="auto"/>
            </w:rPr>
            <w:fldChar w:fldCharType="separate"/>
          </w:r>
          <w:r>
            <w:rPr>
              <w:rFonts w:hint="eastAsia"/>
              <w:color w:val="auto"/>
            </w:rPr>
            <w:t>7.4.5固体废物防治管理要求</w:t>
          </w:r>
          <w:r>
            <w:rPr>
              <w:color w:val="auto"/>
            </w:rPr>
            <w:tab/>
          </w:r>
          <w:r>
            <w:rPr>
              <w:color w:val="auto"/>
            </w:rPr>
            <w:fldChar w:fldCharType="begin"/>
          </w:r>
          <w:r>
            <w:rPr>
              <w:color w:val="auto"/>
            </w:rPr>
            <w:instrText xml:space="preserve"> PAGEREF _Toc11542 \h </w:instrText>
          </w:r>
          <w:r>
            <w:rPr>
              <w:color w:val="auto"/>
            </w:rPr>
            <w:fldChar w:fldCharType="separate"/>
          </w:r>
          <w:r>
            <w:rPr>
              <w:color w:val="auto"/>
            </w:rPr>
            <w:t>323</w:t>
          </w:r>
          <w:r>
            <w:rPr>
              <w:color w:val="auto"/>
            </w:rPr>
            <w:fldChar w:fldCharType="end"/>
          </w:r>
          <w:r>
            <w:rPr>
              <w:color w:val="auto"/>
            </w:rPr>
            <w:fldChar w:fldCharType="end"/>
          </w:r>
        </w:p>
        <w:p w14:paraId="14DE3E72">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"_Toc13532" </w:instrText>
          </w:r>
          <w:r>
            <w:rPr>
              <w:color w:val="auto"/>
            </w:rPr>
            <w:fldChar w:fldCharType="separate"/>
          </w:r>
          <w:r>
            <w:rPr>
              <w:color w:val="auto"/>
            </w:rPr>
            <w:t>7.4.</w:t>
          </w:r>
          <w:r>
            <w:rPr>
              <w:rFonts w:hint="eastAsia"/>
              <w:color w:val="auto"/>
            </w:rPr>
            <w:t>6</w:t>
          </w:r>
          <w:r>
            <w:rPr>
              <w:color w:val="auto"/>
            </w:rPr>
            <w:t>固体废物防治对策建议</w:t>
          </w:r>
          <w:r>
            <w:rPr>
              <w:color w:val="auto"/>
            </w:rPr>
            <w:tab/>
          </w:r>
          <w:r>
            <w:rPr>
              <w:color w:val="auto"/>
            </w:rPr>
            <w:fldChar w:fldCharType="begin"/>
          </w:r>
          <w:r>
            <w:rPr>
              <w:color w:val="auto"/>
            </w:rPr>
            <w:instrText xml:space="preserve"> PAGEREF _Toc13532 \h </w:instrText>
          </w:r>
          <w:r>
            <w:rPr>
              <w:color w:val="auto"/>
            </w:rPr>
            <w:fldChar w:fldCharType="separate"/>
          </w:r>
          <w:r>
            <w:rPr>
              <w:color w:val="auto"/>
            </w:rPr>
            <w:t>328</w:t>
          </w:r>
          <w:r>
            <w:rPr>
              <w:color w:val="auto"/>
            </w:rPr>
            <w:fldChar w:fldCharType="end"/>
          </w:r>
          <w:r>
            <w:rPr>
              <w:color w:val="auto"/>
            </w:rPr>
            <w:fldChar w:fldCharType="end"/>
          </w:r>
        </w:p>
        <w:p w14:paraId="6BFE4E93">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"_Toc30698" </w:instrText>
          </w:r>
          <w:r>
            <w:rPr>
              <w:color w:val="auto"/>
            </w:rPr>
            <w:fldChar w:fldCharType="separate"/>
          </w:r>
          <w:r>
            <w:rPr>
              <w:color w:val="auto"/>
            </w:rPr>
            <w:t>7.5</w:t>
          </w:r>
          <w:r>
            <w:rPr>
              <w:rFonts w:hint="eastAsia"/>
              <w:color w:val="auto"/>
            </w:rPr>
            <w:t>地下水及土壤防治措施</w:t>
          </w:r>
          <w:r>
            <w:rPr>
              <w:color w:val="auto"/>
            </w:rPr>
            <w:tab/>
          </w:r>
          <w:r>
            <w:rPr>
              <w:color w:val="auto"/>
            </w:rPr>
            <w:fldChar w:fldCharType="begin"/>
          </w:r>
          <w:r>
            <w:rPr>
              <w:color w:val="auto"/>
            </w:rPr>
            <w:instrText xml:space="preserve"> PAGEREF _Toc30698 \h </w:instrText>
          </w:r>
          <w:r>
            <w:rPr>
              <w:color w:val="auto"/>
            </w:rPr>
            <w:fldChar w:fldCharType="separate"/>
          </w:r>
          <w:r>
            <w:rPr>
              <w:color w:val="auto"/>
            </w:rPr>
            <w:t>329</w:t>
          </w:r>
          <w:r>
            <w:rPr>
              <w:color w:val="auto"/>
            </w:rPr>
            <w:fldChar w:fldCharType="end"/>
          </w:r>
          <w:r>
            <w:rPr>
              <w:color w:val="auto"/>
            </w:rPr>
            <w:fldChar w:fldCharType="end"/>
          </w:r>
        </w:p>
        <w:p w14:paraId="0E1978CE">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"_Toc6796" </w:instrText>
          </w:r>
          <w:r>
            <w:rPr>
              <w:color w:val="auto"/>
            </w:rPr>
            <w:fldChar w:fldCharType="separate"/>
          </w:r>
          <w:r>
            <w:rPr>
              <w:color w:val="auto"/>
            </w:rPr>
            <w:t>7.5.1</w:t>
          </w:r>
          <w:r>
            <w:rPr>
              <w:rFonts w:hint="eastAsia"/>
              <w:color w:val="auto"/>
            </w:rPr>
            <w:t>现有项目</w:t>
          </w:r>
          <w:r>
            <w:rPr>
              <w:color w:val="auto"/>
            </w:rPr>
            <w:t>地下水</w:t>
          </w:r>
          <w:r>
            <w:rPr>
              <w:rFonts w:hint="eastAsia"/>
              <w:color w:val="auto"/>
            </w:rPr>
            <w:t>和土壤污染防治措施落实情况</w:t>
          </w:r>
          <w:r>
            <w:rPr>
              <w:color w:val="auto"/>
            </w:rPr>
            <w:tab/>
          </w:r>
          <w:r>
            <w:rPr>
              <w:color w:val="auto"/>
            </w:rPr>
            <w:fldChar w:fldCharType="begin"/>
          </w:r>
          <w:r>
            <w:rPr>
              <w:color w:val="auto"/>
            </w:rPr>
            <w:instrText xml:space="preserve"> PAGEREF _Toc6796 \h </w:instrText>
          </w:r>
          <w:r>
            <w:rPr>
              <w:color w:val="auto"/>
            </w:rPr>
            <w:fldChar w:fldCharType="separate"/>
          </w:r>
          <w:r>
            <w:rPr>
              <w:color w:val="auto"/>
            </w:rPr>
            <w:t>329</w:t>
          </w:r>
          <w:r>
            <w:rPr>
              <w:color w:val="auto"/>
            </w:rPr>
            <w:fldChar w:fldCharType="end"/>
          </w:r>
          <w:r>
            <w:rPr>
              <w:color w:val="auto"/>
            </w:rPr>
            <w:fldChar w:fldCharType="end"/>
          </w:r>
        </w:p>
        <w:p w14:paraId="4F082011">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"_Toc15992" </w:instrText>
          </w:r>
          <w:r>
            <w:rPr>
              <w:color w:val="auto"/>
            </w:rPr>
            <w:fldChar w:fldCharType="separate"/>
          </w:r>
          <w:r>
            <w:rPr>
              <w:color w:val="auto"/>
            </w:rPr>
            <w:t>7.5.2</w:t>
          </w:r>
          <w:r>
            <w:rPr>
              <w:rFonts w:hint="eastAsia"/>
              <w:color w:val="auto"/>
            </w:rPr>
            <w:t>土壤及地下水污染防治措施</w:t>
          </w:r>
          <w:r>
            <w:rPr>
              <w:color w:val="auto"/>
            </w:rPr>
            <w:tab/>
          </w:r>
          <w:r>
            <w:rPr>
              <w:color w:val="auto"/>
            </w:rPr>
            <w:fldChar w:fldCharType="begin"/>
          </w:r>
          <w:r>
            <w:rPr>
              <w:color w:val="auto"/>
            </w:rPr>
            <w:instrText xml:space="preserve"> PAGEREF _Toc15992 \h </w:instrText>
          </w:r>
          <w:r>
            <w:rPr>
              <w:color w:val="auto"/>
            </w:rPr>
            <w:fldChar w:fldCharType="separate"/>
          </w:r>
          <w:r>
            <w:rPr>
              <w:color w:val="auto"/>
            </w:rPr>
            <w:t>330</w:t>
          </w:r>
          <w:r>
            <w:rPr>
              <w:color w:val="auto"/>
            </w:rPr>
            <w:fldChar w:fldCharType="end"/>
          </w:r>
          <w:r>
            <w:rPr>
              <w:color w:val="auto"/>
            </w:rPr>
            <w:fldChar w:fldCharType="end"/>
          </w:r>
        </w:p>
        <w:p w14:paraId="5883BFF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"_Toc429" </w:instrText>
          </w:r>
          <w:r>
            <w:rPr>
              <w:color w:val="auto"/>
            </w:rPr>
            <w:fldChar w:fldCharType="separate"/>
          </w:r>
          <w:r>
            <w:rPr>
              <w:color w:val="auto"/>
            </w:rPr>
            <w:t>7.5.3</w:t>
          </w:r>
          <w:r>
            <w:rPr>
              <w:rFonts w:hint="eastAsia"/>
              <w:color w:val="auto"/>
            </w:rPr>
            <w:t>地下水环境跟踪监测与信息公开计划</w:t>
          </w:r>
          <w:r>
            <w:rPr>
              <w:color w:val="auto"/>
            </w:rPr>
            <w:tab/>
          </w:r>
          <w:r>
            <w:rPr>
              <w:color w:val="auto"/>
            </w:rPr>
            <w:fldChar w:fldCharType="begin"/>
          </w:r>
          <w:r>
            <w:rPr>
              <w:color w:val="auto"/>
            </w:rPr>
            <w:instrText xml:space="preserve"> PAGEREF _Toc429 \h </w:instrText>
          </w:r>
          <w:r>
            <w:rPr>
              <w:color w:val="auto"/>
            </w:rPr>
            <w:fldChar w:fldCharType="separate"/>
          </w:r>
          <w:r>
            <w:rPr>
              <w:color w:val="auto"/>
            </w:rPr>
            <w:t>337</w:t>
          </w:r>
          <w:r>
            <w:rPr>
              <w:color w:val="auto"/>
            </w:rPr>
            <w:fldChar w:fldCharType="end"/>
          </w:r>
          <w:r>
            <w:rPr>
              <w:color w:val="auto"/>
            </w:rPr>
            <w:fldChar w:fldCharType="end"/>
          </w:r>
        </w:p>
        <w:p w14:paraId="0F3B7615">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"_Toc29649" </w:instrText>
          </w:r>
          <w:r>
            <w:rPr>
              <w:color w:val="auto"/>
            </w:rPr>
            <w:fldChar w:fldCharType="separate"/>
          </w:r>
          <w:r>
            <w:rPr>
              <w:color w:val="auto"/>
            </w:rPr>
            <w:t>7.5.4</w:t>
          </w:r>
          <w:r>
            <w:rPr>
              <w:rFonts w:hint="eastAsia"/>
              <w:color w:val="auto"/>
            </w:rPr>
            <w:t>土壤污染治理措施评述</w:t>
          </w:r>
          <w:r>
            <w:rPr>
              <w:color w:val="auto"/>
            </w:rPr>
            <w:tab/>
          </w:r>
          <w:r>
            <w:rPr>
              <w:color w:val="auto"/>
            </w:rPr>
            <w:fldChar w:fldCharType="begin"/>
          </w:r>
          <w:r>
            <w:rPr>
              <w:color w:val="auto"/>
            </w:rPr>
            <w:instrText xml:space="preserve"> PAGEREF _Toc29649 \h </w:instrText>
          </w:r>
          <w:r>
            <w:rPr>
              <w:color w:val="auto"/>
            </w:rPr>
            <w:fldChar w:fldCharType="separate"/>
          </w:r>
          <w:r>
            <w:rPr>
              <w:color w:val="auto"/>
            </w:rPr>
            <w:t>338</w:t>
          </w:r>
          <w:r>
            <w:rPr>
              <w:color w:val="auto"/>
            </w:rPr>
            <w:fldChar w:fldCharType="end"/>
          </w:r>
          <w:r>
            <w:rPr>
              <w:color w:val="auto"/>
            </w:rPr>
            <w:fldChar w:fldCharType="end"/>
          </w:r>
        </w:p>
        <w:p w14:paraId="6E929E54">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"_Toc20498" </w:instrText>
          </w:r>
          <w:r>
            <w:rPr>
              <w:color w:val="auto"/>
            </w:rPr>
            <w:fldChar w:fldCharType="separate"/>
          </w:r>
          <w:r>
            <w:rPr>
              <w:rFonts w:hint="eastAsia"/>
              <w:color w:val="auto"/>
            </w:rPr>
            <w:t>7.6</w:t>
          </w:r>
          <w:r>
            <w:rPr>
              <w:color w:val="auto"/>
            </w:rPr>
            <w:t>风险防范措施</w:t>
          </w:r>
          <w:r>
            <w:rPr>
              <w:color w:val="auto"/>
            </w:rPr>
            <w:tab/>
          </w:r>
          <w:r>
            <w:rPr>
              <w:color w:val="auto"/>
            </w:rPr>
            <w:fldChar w:fldCharType="begin"/>
          </w:r>
          <w:r>
            <w:rPr>
              <w:color w:val="auto"/>
            </w:rPr>
            <w:instrText xml:space="preserve"> PAGEREF _Toc20498 \h </w:instrText>
          </w:r>
          <w:r>
            <w:rPr>
              <w:color w:val="auto"/>
            </w:rPr>
            <w:fldChar w:fldCharType="separate"/>
          </w:r>
          <w:r>
            <w:rPr>
              <w:color w:val="auto"/>
            </w:rPr>
            <w:t>338</w:t>
          </w:r>
          <w:r>
            <w:rPr>
              <w:color w:val="auto"/>
            </w:rPr>
            <w:fldChar w:fldCharType="end"/>
          </w:r>
          <w:r>
            <w:rPr>
              <w:color w:val="auto"/>
            </w:rPr>
            <w:fldChar w:fldCharType="end"/>
          </w:r>
        </w:p>
        <w:p w14:paraId="7C000A4D">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"_Toc12662" </w:instrText>
          </w:r>
          <w:r>
            <w:rPr>
              <w:color w:val="auto"/>
            </w:rPr>
            <w:fldChar w:fldCharType="separate"/>
          </w:r>
          <w:r>
            <w:rPr>
              <w:color w:val="auto"/>
              <w:lang w:val="zh-CN"/>
            </w:rPr>
            <w:t>7.6.1环境风险防范措施</w:t>
          </w:r>
          <w:r>
            <w:rPr>
              <w:color w:val="auto"/>
            </w:rPr>
            <w:tab/>
          </w:r>
          <w:r>
            <w:rPr>
              <w:color w:val="auto"/>
            </w:rPr>
            <w:fldChar w:fldCharType="begin"/>
          </w:r>
          <w:r>
            <w:rPr>
              <w:color w:val="auto"/>
            </w:rPr>
            <w:instrText xml:space="preserve"> PAGEREF _Toc12662 \h </w:instrText>
          </w:r>
          <w:r>
            <w:rPr>
              <w:color w:val="auto"/>
            </w:rPr>
            <w:fldChar w:fldCharType="separate"/>
          </w:r>
          <w:r>
            <w:rPr>
              <w:color w:val="auto"/>
            </w:rPr>
            <w:t>338</w:t>
          </w:r>
          <w:r>
            <w:rPr>
              <w:color w:val="auto"/>
            </w:rPr>
            <w:fldChar w:fldCharType="end"/>
          </w:r>
          <w:r>
            <w:rPr>
              <w:color w:val="auto"/>
            </w:rPr>
            <w:fldChar w:fldCharType="end"/>
          </w:r>
        </w:p>
        <w:p w14:paraId="0FBB052B">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"_Toc16453" </w:instrText>
          </w:r>
          <w:r>
            <w:rPr>
              <w:color w:val="auto"/>
            </w:rPr>
            <w:fldChar w:fldCharType="separate"/>
          </w:r>
          <w:r>
            <w:rPr>
              <w:rFonts w:hint="eastAsia"/>
              <w:bCs/>
              <w:color w:val="auto"/>
            </w:rPr>
            <w:t>7</w:t>
          </w:r>
          <w:r>
            <w:rPr>
              <w:bCs/>
              <w:color w:val="auto"/>
              <w:lang w:val="zh-CN"/>
            </w:rPr>
            <w:t>.</w:t>
          </w:r>
          <w:r>
            <w:rPr>
              <w:bCs/>
              <w:color w:val="auto"/>
            </w:rPr>
            <w:t>6.</w:t>
          </w:r>
          <w:r>
            <w:rPr>
              <w:rFonts w:hint="eastAsia"/>
              <w:bCs/>
              <w:color w:val="auto"/>
            </w:rPr>
            <w:t>2建立健全环境应急管理制度</w:t>
          </w:r>
          <w:r>
            <w:rPr>
              <w:color w:val="auto"/>
            </w:rPr>
            <w:tab/>
          </w:r>
          <w:r>
            <w:rPr>
              <w:color w:val="auto"/>
            </w:rPr>
            <w:fldChar w:fldCharType="begin"/>
          </w:r>
          <w:r>
            <w:rPr>
              <w:color w:val="auto"/>
            </w:rPr>
            <w:instrText xml:space="preserve"> PAGEREF _Toc16453 \h </w:instrText>
          </w:r>
          <w:r>
            <w:rPr>
              <w:color w:val="auto"/>
            </w:rPr>
            <w:fldChar w:fldCharType="separate"/>
          </w:r>
          <w:r>
            <w:rPr>
              <w:color w:val="auto"/>
            </w:rPr>
            <w:t>359</w:t>
          </w:r>
          <w:r>
            <w:rPr>
              <w:color w:val="auto"/>
            </w:rPr>
            <w:fldChar w:fldCharType="end"/>
          </w:r>
          <w:r>
            <w:rPr>
              <w:color w:val="auto"/>
            </w:rPr>
            <w:fldChar w:fldCharType="end"/>
          </w:r>
        </w:p>
        <w:p w14:paraId="6646427D">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"_Toc31379" </w:instrText>
          </w:r>
          <w:r>
            <w:rPr>
              <w:color w:val="auto"/>
            </w:rPr>
            <w:fldChar w:fldCharType="separate"/>
          </w:r>
          <w:r>
            <w:rPr>
              <w:color w:val="auto"/>
              <w:lang w:val="zh-CN"/>
            </w:rPr>
            <w:t>7.6.3区域环境风险管理情况分析</w:t>
          </w:r>
          <w:r>
            <w:rPr>
              <w:color w:val="auto"/>
            </w:rPr>
            <w:tab/>
          </w:r>
          <w:r>
            <w:rPr>
              <w:color w:val="auto"/>
            </w:rPr>
            <w:fldChar w:fldCharType="begin"/>
          </w:r>
          <w:r>
            <w:rPr>
              <w:color w:val="auto"/>
            </w:rPr>
            <w:instrText xml:space="preserve"> PAGEREF _Toc31379 \h </w:instrText>
          </w:r>
          <w:r>
            <w:rPr>
              <w:color w:val="auto"/>
            </w:rPr>
            <w:fldChar w:fldCharType="separate"/>
          </w:r>
          <w:r>
            <w:rPr>
              <w:color w:val="auto"/>
            </w:rPr>
            <w:t>371</w:t>
          </w:r>
          <w:r>
            <w:rPr>
              <w:color w:val="auto"/>
            </w:rPr>
            <w:fldChar w:fldCharType="end"/>
          </w:r>
          <w:r>
            <w:rPr>
              <w:color w:val="auto"/>
            </w:rPr>
            <w:fldChar w:fldCharType="end"/>
          </w:r>
        </w:p>
        <w:p w14:paraId="3F81B979">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"_Toc22630" </w:instrText>
          </w:r>
          <w:r>
            <w:rPr>
              <w:color w:val="auto"/>
            </w:rPr>
            <w:fldChar w:fldCharType="separate"/>
          </w:r>
          <w:r>
            <w:rPr>
              <w:color w:val="auto"/>
              <w:lang w:val="zh-CN"/>
            </w:rPr>
            <w:t>7.6.</w:t>
          </w:r>
          <w:r>
            <w:rPr>
              <w:color w:val="auto"/>
            </w:rPr>
            <w:t>4</w:t>
          </w:r>
          <w:r>
            <w:rPr>
              <w:color w:val="auto"/>
              <w:lang w:val="zh-CN"/>
            </w:rPr>
            <w:t>环保设施安全风险辨识</w:t>
          </w:r>
          <w:r>
            <w:rPr>
              <w:color w:val="auto"/>
            </w:rPr>
            <w:tab/>
          </w:r>
          <w:r>
            <w:rPr>
              <w:color w:val="auto"/>
            </w:rPr>
            <w:fldChar w:fldCharType="begin"/>
          </w:r>
          <w:r>
            <w:rPr>
              <w:color w:val="auto"/>
            </w:rPr>
            <w:instrText xml:space="preserve"> PAGEREF _Toc22630 \h </w:instrText>
          </w:r>
          <w:r>
            <w:rPr>
              <w:color w:val="auto"/>
            </w:rPr>
            <w:fldChar w:fldCharType="separate"/>
          </w:r>
          <w:r>
            <w:rPr>
              <w:color w:val="auto"/>
            </w:rPr>
            <w:t>377</w:t>
          </w:r>
          <w:r>
            <w:rPr>
              <w:color w:val="auto"/>
            </w:rPr>
            <w:fldChar w:fldCharType="end"/>
          </w:r>
          <w:r>
            <w:rPr>
              <w:color w:val="auto"/>
            </w:rPr>
            <w:fldChar w:fldCharType="end"/>
          </w:r>
        </w:p>
        <w:p w14:paraId="17E3F313">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"_Toc5604" </w:instrText>
          </w:r>
          <w:r>
            <w:rPr>
              <w:color w:val="auto"/>
            </w:rPr>
            <w:fldChar w:fldCharType="separate"/>
          </w:r>
          <w:r>
            <w:rPr>
              <w:color w:val="auto"/>
            </w:rPr>
            <w:t>7.7生态环境保护措施</w:t>
          </w:r>
          <w:r>
            <w:rPr>
              <w:color w:val="auto"/>
            </w:rPr>
            <w:tab/>
          </w:r>
          <w:r>
            <w:rPr>
              <w:color w:val="auto"/>
            </w:rPr>
            <w:fldChar w:fldCharType="begin"/>
          </w:r>
          <w:r>
            <w:rPr>
              <w:color w:val="auto"/>
            </w:rPr>
            <w:instrText xml:space="preserve"> PAGEREF _Toc5604 \h </w:instrText>
          </w:r>
          <w:r>
            <w:rPr>
              <w:color w:val="auto"/>
            </w:rPr>
            <w:fldChar w:fldCharType="separate"/>
          </w:r>
          <w:r>
            <w:rPr>
              <w:color w:val="auto"/>
            </w:rPr>
            <w:t>377</w:t>
          </w:r>
          <w:r>
            <w:rPr>
              <w:color w:val="auto"/>
            </w:rPr>
            <w:fldChar w:fldCharType="end"/>
          </w:r>
          <w:r>
            <w:rPr>
              <w:color w:val="auto"/>
            </w:rPr>
            <w:fldChar w:fldCharType="end"/>
          </w:r>
        </w:p>
        <w:p w14:paraId="77E3BFF6">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"_Toc8437" </w:instrText>
          </w:r>
          <w:r>
            <w:rPr>
              <w:color w:val="auto"/>
            </w:rPr>
            <w:fldChar w:fldCharType="separate"/>
          </w:r>
          <w:r>
            <w:rPr>
              <w:color w:val="auto"/>
            </w:rPr>
            <w:t>7.</w:t>
          </w:r>
          <w:r>
            <w:rPr>
              <w:rFonts w:hint="eastAsia"/>
              <w:color w:val="auto"/>
            </w:rPr>
            <w:t>8三同时一览表</w:t>
          </w:r>
          <w:r>
            <w:rPr>
              <w:color w:val="auto"/>
            </w:rPr>
            <w:tab/>
          </w:r>
          <w:r>
            <w:rPr>
              <w:color w:val="auto"/>
            </w:rPr>
            <w:fldChar w:fldCharType="begin"/>
          </w:r>
          <w:r>
            <w:rPr>
              <w:color w:val="auto"/>
            </w:rPr>
            <w:instrText xml:space="preserve"> PAGEREF _Toc8437 \h </w:instrText>
          </w:r>
          <w:r>
            <w:rPr>
              <w:color w:val="auto"/>
            </w:rPr>
            <w:fldChar w:fldCharType="separate"/>
          </w:r>
          <w:r>
            <w:rPr>
              <w:color w:val="auto"/>
            </w:rPr>
            <w:t>378</w:t>
          </w:r>
          <w:r>
            <w:rPr>
              <w:color w:val="auto"/>
            </w:rPr>
            <w:fldChar w:fldCharType="end"/>
          </w:r>
          <w:r>
            <w:rPr>
              <w:color w:val="auto"/>
            </w:rPr>
            <w:fldChar w:fldCharType="end"/>
          </w:r>
        </w:p>
        <w:p w14:paraId="1686849A">
          <w:pPr>
            <w:pStyle w:val="16"/>
            <w:tabs>
              <w:tab w:val="right" w:leader="dot" w:pos="9638"/>
            </w:tabs>
            <w:spacing w:line="360" w:lineRule="auto"/>
            <w:ind w:firstLine="0" w:firstLineChars="0"/>
            <w:rPr>
              <w:color w:val="auto"/>
            </w:rPr>
          </w:pPr>
          <w:r>
            <w:rPr>
              <w:color w:val="auto"/>
            </w:rPr>
            <w:fldChar w:fldCharType="begin"/>
          </w:r>
          <w:r>
            <w:rPr>
              <w:color w:val="auto"/>
            </w:rPr>
            <w:instrText xml:space="preserve"> HYPERLINK \l "_Toc7124" </w:instrText>
          </w:r>
          <w:r>
            <w:rPr>
              <w:color w:val="auto"/>
            </w:rPr>
            <w:fldChar w:fldCharType="separate"/>
          </w:r>
          <w:r>
            <w:rPr>
              <w:bCs/>
              <w:color w:val="auto"/>
            </w:rPr>
            <w:t xml:space="preserve">8 </w:t>
          </w:r>
          <w:r>
            <w:rPr>
              <w:rFonts w:hint="eastAsia"/>
              <w:color w:val="auto"/>
            </w:rPr>
            <w:t>环境影响经济损益分析</w:t>
          </w:r>
          <w:r>
            <w:rPr>
              <w:color w:val="auto"/>
            </w:rPr>
            <w:tab/>
          </w:r>
          <w:r>
            <w:rPr>
              <w:color w:val="auto"/>
            </w:rPr>
            <w:fldChar w:fldCharType="begin"/>
          </w:r>
          <w:r>
            <w:rPr>
              <w:color w:val="auto"/>
            </w:rPr>
            <w:instrText xml:space="preserve"> PAGEREF _Toc7124 \h </w:instrText>
          </w:r>
          <w:r>
            <w:rPr>
              <w:color w:val="auto"/>
            </w:rPr>
            <w:fldChar w:fldCharType="separate"/>
          </w:r>
          <w:r>
            <w:rPr>
              <w:color w:val="auto"/>
            </w:rPr>
            <w:t>380</w:t>
          </w:r>
          <w:r>
            <w:rPr>
              <w:color w:val="auto"/>
            </w:rPr>
            <w:fldChar w:fldCharType="end"/>
          </w:r>
          <w:r>
            <w:rPr>
              <w:color w:val="auto"/>
            </w:rPr>
            <w:fldChar w:fldCharType="end"/>
          </w:r>
        </w:p>
        <w:p w14:paraId="322C9E06">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"_Toc25328" </w:instrText>
          </w:r>
          <w:r>
            <w:rPr>
              <w:color w:val="auto"/>
            </w:rPr>
            <w:fldChar w:fldCharType="separate"/>
          </w:r>
          <w:r>
            <w:rPr>
              <w:color w:val="auto"/>
            </w:rPr>
            <w:t>8.1</w:t>
          </w:r>
          <w:r>
            <w:rPr>
              <w:rFonts w:hint="eastAsia"/>
              <w:color w:val="auto"/>
            </w:rPr>
            <w:t>环保设施投资估算</w:t>
          </w:r>
          <w:r>
            <w:rPr>
              <w:color w:val="auto"/>
            </w:rPr>
            <w:tab/>
          </w:r>
          <w:r>
            <w:rPr>
              <w:color w:val="auto"/>
            </w:rPr>
            <w:fldChar w:fldCharType="begin"/>
          </w:r>
          <w:r>
            <w:rPr>
              <w:color w:val="auto"/>
            </w:rPr>
            <w:instrText xml:space="preserve"> PAGEREF _Toc25328 \h </w:instrText>
          </w:r>
          <w:r>
            <w:rPr>
              <w:color w:val="auto"/>
            </w:rPr>
            <w:fldChar w:fldCharType="separate"/>
          </w:r>
          <w:r>
            <w:rPr>
              <w:color w:val="auto"/>
            </w:rPr>
            <w:t>380</w:t>
          </w:r>
          <w:r>
            <w:rPr>
              <w:color w:val="auto"/>
            </w:rPr>
            <w:fldChar w:fldCharType="end"/>
          </w:r>
          <w:r>
            <w:rPr>
              <w:color w:val="auto"/>
            </w:rPr>
            <w:fldChar w:fldCharType="end"/>
          </w:r>
        </w:p>
        <w:p w14:paraId="79581485">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"_Toc673" </w:instrText>
          </w:r>
          <w:r>
            <w:rPr>
              <w:color w:val="auto"/>
            </w:rPr>
            <w:fldChar w:fldCharType="separate"/>
          </w:r>
          <w:r>
            <w:rPr>
              <w:color w:val="auto"/>
            </w:rPr>
            <w:t>8.</w:t>
          </w:r>
          <w:r>
            <w:rPr>
              <w:rFonts w:hint="eastAsia"/>
              <w:color w:val="auto"/>
            </w:rPr>
            <w:t>2拟建项目环境效益分析</w:t>
          </w:r>
          <w:r>
            <w:rPr>
              <w:color w:val="auto"/>
            </w:rPr>
            <w:tab/>
          </w:r>
          <w:r>
            <w:rPr>
              <w:color w:val="auto"/>
            </w:rPr>
            <w:fldChar w:fldCharType="begin"/>
          </w:r>
          <w:r>
            <w:rPr>
              <w:color w:val="auto"/>
            </w:rPr>
            <w:instrText xml:space="preserve"> PAGEREF _Toc673 \h </w:instrText>
          </w:r>
          <w:r>
            <w:rPr>
              <w:color w:val="auto"/>
            </w:rPr>
            <w:fldChar w:fldCharType="separate"/>
          </w:r>
          <w:r>
            <w:rPr>
              <w:color w:val="auto"/>
            </w:rPr>
            <w:t>380</w:t>
          </w:r>
          <w:r>
            <w:rPr>
              <w:color w:val="auto"/>
            </w:rPr>
            <w:fldChar w:fldCharType="end"/>
          </w:r>
          <w:r>
            <w:rPr>
              <w:color w:val="auto"/>
            </w:rPr>
            <w:fldChar w:fldCharType="end"/>
          </w:r>
        </w:p>
        <w:p w14:paraId="4301A51C">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"_Toc12275" </w:instrText>
          </w:r>
          <w:r>
            <w:rPr>
              <w:color w:val="auto"/>
            </w:rPr>
            <w:fldChar w:fldCharType="separate"/>
          </w:r>
          <w:r>
            <w:rPr>
              <w:color w:val="auto"/>
            </w:rPr>
            <w:t>8.2.1环境效益</w:t>
          </w:r>
          <w:r>
            <w:rPr>
              <w:color w:val="auto"/>
            </w:rPr>
            <w:tab/>
          </w:r>
          <w:r>
            <w:rPr>
              <w:color w:val="auto"/>
            </w:rPr>
            <w:fldChar w:fldCharType="begin"/>
          </w:r>
          <w:r>
            <w:rPr>
              <w:color w:val="auto"/>
            </w:rPr>
            <w:instrText xml:space="preserve"> PAGEREF _Toc12275 \h </w:instrText>
          </w:r>
          <w:r>
            <w:rPr>
              <w:color w:val="auto"/>
            </w:rPr>
            <w:fldChar w:fldCharType="separate"/>
          </w:r>
          <w:r>
            <w:rPr>
              <w:color w:val="auto"/>
            </w:rPr>
            <w:t>380</w:t>
          </w:r>
          <w:r>
            <w:rPr>
              <w:color w:val="auto"/>
            </w:rPr>
            <w:fldChar w:fldCharType="end"/>
          </w:r>
          <w:r>
            <w:rPr>
              <w:color w:val="auto"/>
            </w:rPr>
            <w:fldChar w:fldCharType="end"/>
          </w:r>
        </w:p>
        <w:p w14:paraId="62833E5A">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"_Toc130" </w:instrText>
          </w:r>
          <w:r>
            <w:rPr>
              <w:color w:val="auto"/>
            </w:rPr>
            <w:fldChar w:fldCharType="separate"/>
          </w:r>
          <w:r>
            <w:rPr>
              <w:rFonts w:hint="eastAsia"/>
              <w:color w:val="auto"/>
            </w:rPr>
            <w:t>8.2.2社会效益</w:t>
          </w:r>
          <w:r>
            <w:rPr>
              <w:color w:val="auto"/>
            </w:rPr>
            <w:tab/>
          </w:r>
          <w:r>
            <w:rPr>
              <w:color w:val="auto"/>
            </w:rPr>
            <w:fldChar w:fldCharType="begin"/>
          </w:r>
          <w:r>
            <w:rPr>
              <w:color w:val="auto"/>
            </w:rPr>
            <w:instrText xml:space="preserve"> PAGEREF _Toc130 \h </w:instrText>
          </w:r>
          <w:r>
            <w:rPr>
              <w:color w:val="auto"/>
            </w:rPr>
            <w:fldChar w:fldCharType="separate"/>
          </w:r>
          <w:r>
            <w:rPr>
              <w:color w:val="auto"/>
            </w:rPr>
            <w:t>381</w:t>
          </w:r>
          <w:r>
            <w:rPr>
              <w:color w:val="auto"/>
            </w:rPr>
            <w:fldChar w:fldCharType="end"/>
          </w:r>
          <w:r>
            <w:rPr>
              <w:color w:val="auto"/>
            </w:rPr>
            <w:fldChar w:fldCharType="end"/>
          </w:r>
        </w:p>
        <w:p w14:paraId="598E91DD">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"_Toc19510" </w:instrText>
          </w:r>
          <w:r>
            <w:rPr>
              <w:color w:val="auto"/>
            </w:rPr>
            <w:fldChar w:fldCharType="separate"/>
          </w:r>
          <w:r>
            <w:rPr>
              <w:rFonts w:hint="eastAsia"/>
              <w:color w:val="auto"/>
            </w:rPr>
            <w:t>8.2.3经济效益</w:t>
          </w:r>
          <w:r>
            <w:rPr>
              <w:color w:val="auto"/>
            </w:rPr>
            <w:tab/>
          </w:r>
          <w:r>
            <w:rPr>
              <w:color w:val="auto"/>
            </w:rPr>
            <w:fldChar w:fldCharType="begin"/>
          </w:r>
          <w:r>
            <w:rPr>
              <w:color w:val="auto"/>
            </w:rPr>
            <w:instrText xml:space="preserve"> PAGEREF _Toc19510 \h </w:instrText>
          </w:r>
          <w:r>
            <w:rPr>
              <w:color w:val="auto"/>
            </w:rPr>
            <w:fldChar w:fldCharType="separate"/>
          </w:r>
          <w:r>
            <w:rPr>
              <w:color w:val="auto"/>
            </w:rPr>
            <w:t>381</w:t>
          </w:r>
          <w:r>
            <w:rPr>
              <w:color w:val="auto"/>
            </w:rPr>
            <w:fldChar w:fldCharType="end"/>
          </w:r>
          <w:r>
            <w:rPr>
              <w:color w:val="auto"/>
            </w:rPr>
            <w:fldChar w:fldCharType="end"/>
          </w:r>
        </w:p>
        <w:p w14:paraId="2A41FCD5">
          <w:pPr>
            <w:pStyle w:val="16"/>
            <w:tabs>
              <w:tab w:val="right" w:leader="dot" w:pos="9638"/>
            </w:tabs>
            <w:spacing w:line="360" w:lineRule="auto"/>
            <w:ind w:firstLine="0" w:firstLineChars="0"/>
            <w:rPr>
              <w:color w:val="auto"/>
            </w:rPr>
          </w:pPr>
          <w:r>
            <w:rPr>
              <w:color w:val="auto"/>
            </w:rPr>
            <w:fldChar w:fldCharType="begin"/>
          </w:r>
          <w:r>
            <w:rPr>
              <w:color w:val="auto"/>
            </w:rPr>
            <w:instrText xml:space="preserve"> HYPERLINK \l "_Toc7206" </w:instrText>
          </w:r>
          <w:r>
            <w:rPr>
              <w:color w:val="auto"/>
            </w:rPr>
            <w:fldChar w:fldCharType="separate"/>
          </w:r>
          <w:r>
            <w:rPr>
              <w:bCs/>
              <w:color w:val="auto"/>
            </w:rPr>
            <w:t xml:space="preserve">9 </w:t>
          </w:r>
          <w:r>
            <w:rPr>
              <w:color w:val="auto"/>
            </w:rPr>
            <w:t>环境管理与监测计划</w:t>
          </w:r>
          <w:r>
            <w:rPr>
              <w:color w:val="auto"/>
            </w:rPr>
            <w:tab/>
          </w:r>
          <w:r>
            <w:rPr>
              <w:color w:val="auto"/>
            </w:rPr>
            <w:fldChar w:fldCharType="begin"/>
          </w:r>
          <w:r>
            <w:rPr>
              <w:color w:val="auto"/>
            </w:rPr>
            <w:instrText xml:space="preserve"> PAGEREF _Toc7206 \h </w:instrText>
          </w:r>
          <w:r>
            <w:rPr>
              <w:color w:val="auto"/>
            </w:rPr>
            <w:fldChar w:fldCharType="separate"/>
          </w:r>
          <w:r>
            <w:rPr>
              <w:color w:val="auto"/>
            </w:rPr>
            <w:t>382</w:t>
          </w:r>
          <w:r>
            <w:rPr>
              <w:color w:val="auto"/>
            </w:rPr>
            <w:fldChar w:fldCharType="end"/>
          </w:r>
          <w:r>
            <w:rPr>
              <w:color w:val="auto"/>
            </w:rPr>
            <w:fldChar w:fldCharType="end"/>
          </w:r>
        </w:p>
        <w:p w14:paraId="1D854996">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"_Toc4511" </w:instrText>
          </w:r>
          <w:r>
            <w:rPr>
              <w:color w:val="auto"/>
            </w:rPr>
            <w:fldChar w:fldCharType="separate"/>
          </w:r>
          <w:r>
            <w:rPr>
              <w:color w:val="auto"/>
            </w:rPr>
            <w:t>9.1工程组成及污染物排放清单</w:t>
          </w:r>
          <w:r>
            <w:rPr>
              <w:color w:val="auto"/>
            </w:rPr>
            <w:tab/>
          </w:r>
          <w:r>
            <w:rPr>
              <w:color w:val="auto"/>
            </w:rPr>
            <w:fldChar w:fldCharType="begin"/>
          </w:r>
          <w:r>
            <w:rPr>
              <w:color w:val="auto"/>
            </w:rPr>
            <w:instrText xml:space="preserve"> PAGEREF _Toc4511 \h </w:instrText>
          </w:r>
          <w:r>
            <w:rPr>
              <w:color w:val="auto"/>
            </w:rPr>
            <w:fldChar w:fldCharType="separate"/>
          </w:r>
          <w:r>
            <w:rPr>
              <w:color w:val="auto"/>
            </w:rPr>
            <w:t>382</w:t>
          </w:r>
          <w:r>
            <w:rPr>
              <w:color w:val="auto"/>
            </w:rPr>
            <w:fldChar w:fldCharType="end"/>
          </w:r>
          <w:r>
            <w:rPr>
              <w:color w:val="auto"/>
            </w:rPr>
            <w:fldChar w:fldCharType="end"/>
          </w:r>
        </w:p>
        <w:p w14:paraId="5608C1EF">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"_Toc23620" </w:instrText>
          </w:r>
          <w:r>
            <w:rPr>
              <w:color w:val="auto"/>
            </w:rPr>
            <w:fldChar w:fldCharType="separate"/>
          </w:r>
          <w:r>
            <w:rPr>
              <w:color w:val="auto"/>
            </w:rPr>
            <w:t>9.1.1工程组成及原辅材料组成要求</w:t>
          </w:r>
          <w:r>
            <w:rPr>
              <w:color w:val="auto"/>
            </w:rPr>
            <w:tab/>
          </w:r>
          <w:r>
            <w:rPr>
              <w:color w:val="auto"/>
            </w:rPr>
            <w:fldChar w:fldCharType="begin"/>
          </w:r>
          <w:r>
            <w:rPr>
              <w:color w:val="auto"/>
            </w:rPr>
            <w:instrText xml:space="preserve"> PAGEREF _Toc23620 \h </w:instrText>
          </w:r>
          <w:r>
            <w:rPr>
              <w:color w:val="auto"/>
            </w:rPr>
            <w:fldChar w:fldCharType="separate"/>
          </w:r>
          <w:r>
            <w:rPr>
              <w:color w:val="auto"/>
            </w:rPr>
            <w:t>382</w:t>
          </w:r>
          <w:r>
            <w:rPr>
              <w:color w:val="auto"/>
            </w:rPr>
            <w:fldChar w:fldCharType="end"/>
          </w:r>
          <w:r>
            <w:rPr>
              <w:color w:val="auto"/>
            </w:rPr>
            <w:fldChar w:fldCharType="end"/>
          </w:r>
        </w:p>
        <w:p w14:paraId="235721EF">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"_Toc26974" </w:instrText>
          </w:r>
          <w:r>
            <w:rPr>
              <w:color w:val="auto"/>
            </w:rPr>
            <w:fldChar w:fldCharType="separate"/>
          </w:r>
          <w:r>
            <w:rPr>
              <w:color w:val="auto"/>
            </w:rPr>
            <w:t>9.1.2 污染物排放清单及总量平衡途径</w:t>
          </w:r>
          <w:r>
            <w:rPr>
              <w:color w:val="auto"/>
            </w:rPr>
            <w:tab/>
          </w:r>
          <w:r>
            <w:rPr>
              <w:color w:val="auto"/>
            </w:rPr>
            <w:fldChar w:fldCharType="begin"/>
          </w:r>
          <w:r>
            <w:rPr>
              <w:color w:val="auto"/>
            </w:rPr>
            <w:instrText xml:space="preserve"> PAGEREF _Toc26974 \h </w:instrText>
          </w:r>
          <w:r>
            <w:rPr>
              <w:color w:val="auto"/>
            </w:rPr>
            <w:fldChar w:fldCharType="separate"/>
          </w:r>
          <w:r>
            <w:rPr>
              <w:color w:val="auto"/>
            </w:rPr>
            <w:t>382</w:t>
          </w:r>
          <w:r>
            <w:rPr>
              <w:color w:val="auto"/>
            </w:rPr>
            <w:fldChar w:fldCharType="end"/>
          </w:r>
          <w:r>
            <w:rPr>
              <w:color w:val="auto"/>
            </w:rPr>
            <w:fldChar w:fldCharType="end"/>
          </w:r>
        </w:p>
        <w:p w14:paraId="129122DE">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"_Toc21515" </w:instrText>
          </w:r>
          <w:r>
            <w:rPr>
              <w:color w:val="auto"/>
            </w:rPr>
            <w:fldChar w:fldCharType="separate"/>
          </w:r>
          <w:r>
            <w:rPr>
              <w:rFonts w:hint="eastAsia"/>
              <w:color w:val="auto"/>
            </w:rPr>
            <w:t>9.1.3平衡途径</w:t>
          </w:r>
          <w:r>
            <w:rPr>
              <w:color w:val="auto"/>
            </w:rPr>
            <w:tab/>
          </w:r>
          <w:r>
            <w:rPr>
              <w:color w:val="auto"/>
            </w:rPr>
            <w:fldChar w:fldCharType="begin"/>
          </w:r>
          <w:r>
            <w:rPr>
              <w:color w:val="auto"/>
            </w:rPr>
            <w:instrText xml:space="preserve"> PAGEREF _Toc21515 \h </w:instrText>
          </w:r>
          <w:r>
            <w:rPr>
              <w:color w:val="auto"/>
            </w:rPr>
            <w:fldChar w:fldCharType="separate"/>
          </w:r>
          <w:r>
            <w:rPr>
              <w:color w:val="auto"/>
            </w:rPr>
            <w:t>385</w:t>
          </w:r>
          <w:r>
            <w:rPr>
              <w:color w:val="auto"/>
            </w:rPr>
            <w:fldChar w:fldCharType="end"/>
          </w:r>
          <w:r>
            <w:rPr>
              <w:color w:val="auto"/>
            </w:rPr>
            <w:fldChar w:fldCharType="end"/>
          </w:r>
        </w:p>
        <w:p w14:paraId="4400BA47">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"_Toc6595" </w:instrText>
          </w:r>
          <w:r>
            <w:rPr>
              <w:color w:val="auto"/>
            </w:rPr>
            <w:fldChar w:fldCharType="separate"/>
          </w:r>
          <w:r>
            <w:rPr>
              <w:color w:val="auto"/>
            </w:rPr>
            <w:t>9.2</w:t>
          </w:r>
          <w:r>
            <w:rPr>
              <w:rFonts w:hint="eastAsia"/>
              <w:color w:val="auto"/>
            </w:rPr>
            <w:t>施工期环境监测与管理</w:t>
          </w:r>
          <w:r>
            <w:rPr>
              <w:color w:val="auto"/>
            </w:rPr>
            <w:tab/>
          </w:r>
          <w:r>
            <w:rPr>
              <w:color w:val="auto"/>
            </w:rPr>
            <w:fldChar w:fldCharType="begin"/>
          </w:r>
          <w:r>
            <w:rPr>
              <w:color w:val="auto"/>
            </w:rPr>
            <w:instrText xml:space="preserve"> PAGEREF _Toc6595 \h </w:instrText>
          </w:r>
          <w:r>
            <w:rPr>
              <w:color w:val="auto"/>
            </w:rPr>
            <w:fldChar w:fldCharType="separate"/>
          </w:r>
          <w:r>
            <w:rPr>
              <w:color w:val="auto"/>
            </w:rPr>
            <w:t>385</w:t>
          </w:r>
          <w:r>
            <w:rPr>
              <w:color w:val="auto"/>
            </w:rPr>
            <w:fldChar w:fldCharType="end"/>
          </w:r>
          <w:r>
            <w:rPr>
              <w:color w:val="auto"/>
            </w:rPr>
            <w:fldChar w:fldCharType="end"/>
          </w:r>
        </w:p>
        <w:p w14:paraId="59BD144E">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"_Toc17489" </w:instrText>
          </w:r>
          <w:r>
            <w:rPr>
              <w:color w:val="auto"/>
            </w:rPr>
            <w:fldChar w:fldCharType="separate"/>
          </w:r>
          <w:r>
            <w:rPr>
              <w:color w:val="auto"/>
            </w:rPr>
            <w:t>9.3</w:t>
          </w:r>
          <w:r>
            <w:rPr>
              <w:rFonts w:hint="eastAsia"/>
              <w:color w:val="auto"/>
            </w:rPr>
            <w:t>运行期环境监测与管理</w:t>
          </w:r>
          <w:r>
            <w:rPr>
              <w:color w:val="auto"/>
            </w:rPr>
            <w:tab/>
          </w:r>
          <w:r>
            <w:rPr>
              <w:color w:val="auto"/>
            </w:rPr>
            <w:fldChar w:fldCharType="begin"/>
          </w:r>
          <w:r>
            <w:rPr>
              <w:color w:val="auto"/>
            </w:rPr>
            <w:instrText xml:space="preserve"> PAGEREF _Toc17489 \h </w:instrText>
          </w:r>
          <w:r>
            <w:rPr>
              <w:color w:val="auto"/>
            </w:rPr>
            <w:fldChar w:fldCharType="separate"/>
          </w:r>
          <w:r>
            <w:rPr>
              <w:color w:val="auto"/>
            </w:rPr>
            <w:t>385</w:t>
          </w:r>
          <w:r>
            <w:rPr>
              <w:color w:val="auto"/>
            </w:rPr>
            <w:fldChar w:fldCharType="end"/>
          </w:r>
          <w:r>
            <w:rPr>
              <w:color w:val="auto"/>
            </w:rPr>
            <w:fldChar w:fldCharType="end"/>
          </w:r>
        </w:p>
        <w:p w14:paraId="19883C37">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"_Toc27321" </w:instrText>
          </w:r>
          <w:r>
            <w:rPr>
              <w:color w:val="auto"/>
            </w:rPr>
            <w:fldChar w:fldCharType="separate"/>
          </w:r>
          <w:r>
            <w:rPr>
              <w:color w:val="auto"/>
            </w:rPr>
            <w:t>9.3.1</w:t>
          </w:r>
          <w:r>
            <w:rPr>
              <w:rFonts w:hint="eastAsia"/>
              <w:color w:val="auto"/>
            </w:rPr>
            <w:t>环境管理机构</w:t>
          </w:r>
          <w:r>
            <w:rPr>
              <w:color w:val="auto"/>
            </w:rPr>
            <w:tab/>
          </w:r>
          <w:r>
            <w:rPr>
              <w:color w:val="auto"/>
            </w:rPr>
            <w:fldChar w:fldCharType="begin"/>
          </w:r>
          <w:r>
            <w:rPr>
              <w:color w:val="auto"/>
            </w:rPr>
            <w:instrText xml:space="preserve"> PAGEREF _Toc27321 \h </w:instrText>
          </w:r>
          <w:r>
            <w:rPr>
              <w:color w:val="auto"/>
            </w:rPr>
            <w:fldChar w:fldCharType="separate"/>
          </w:r>
          <w:r>
            <w:rPr>
              <w:color w:val="auto"/>
            </w:rPr>
            <w:t>385</w:t>
          </w:r>
          <w:r>
            <w:rPr>
              <w:color w:val="auto"/>
            </w:rPr>
            <w:fldChar w:fldCharType="end"/>
          </w:r>
          <w:r>
            <w:rPr>
              <w:color w:val="auto"/>
            </w:rPr>
            <w:fldChar w:fldCharType="end"/>
          </w:r>
        </w:p>
        <w:p w14:paraId="6E3695CD">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"_Toc31163" </w:instrText>
          </w:r>
          <w:r>
            <w:rPr>
              <w:color w:val="auto"/>
            </w:rPr>
            <w:fldChar w:fldCharType="separate"/>
          </w:r>
          <w:r>
            <w:rPr>
              <w:color w:val="auto"/>
            </w:rPr>
            <w:t>9.3</w:t>
          </w:r>
          <w:r>
            <w:rPr>
              <w:rFonts w:hint="eastAsia"/>
              <w:color w:val="auto"/>
            </w:rPr>
            <w:t>.2环保管理制度的建立</w:t>
          </w:r>
          <w:r>
            <w:rPr>
              <w:color w:val="auto"/>
            </w:rPr>
            <w:tab/>
          </w:r>
          <w:r>
            <w:rPr>
              <w:color w:val="auto"/>
            </w:rPr>
            <w:fldChar w:fldCharType="begin"/>
          </w:r>
          <w:r>
            <w:rPr>
              <w:color w:val="auto"/>
            </w:rPr>
            <w:instrText xml:space="preserve"> PAGEREF _Toc31163 \h </w:instrText>
          </w:r>
          <w:r>
            <w:rPr>
              <w:color w:val="auto"/>
            </w:rPr>
            <w:fldChar w:fldCharType="separate"/>
          </w:r>
          <w:r>
            <w:rPr>
              <w:color w:val="auto"/>
            </w:rPr>
            <w:t>386</w:t>
          </w:r>
          <w:r>
            <w:rPr>
              <w:color w:val="auto"/>
            </w:rPr>
            <w:fldChar w:fldCharType="end"/>
          </w:r>
          <w:r>
            <w:rPr>
              <w:color w:val="auto"/>
            </w:rPr>
            <w:fldChar w:fldCharType="end"/>
          </w:r>
        </w:p>
        <w:p w14:paraId="1E470434">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"_Toc10425" </w:instrText>
          </w:r>
          <w:r>
            <w:rPr>
              <w:color w:val="auto"/>
            </w:rPr>
            <w:fldChar w:fldCharType="separate"/>
          </w:r>
          <w:r>
            <w:rPr>
              <w:color w:val="auto"/>
            </w:rPr>
            <w:t>9.3.3</w:t>
          </w:r>
          <w:r>
            <w:rPr>
              <w:rFonts w:hint="eastAsia"/>
              <w:color w:val="auto"/>
            </w:rPr>
            <w:t>环境管理要求</w:t>
          </w:r>
          <w:r>
            <w:rPr>
              <w:color w:val="auto"/>
            </w:rPr>
            <w:tab/>
          </w:r>
          <w:r>
            <w:rPr>
              <w:color w:val="auto"/>
            </w:rPr>
            <w:fldChar w:fldCharType="begin"/>
          </w:r>
          <w:r>
            <w:rPr>
              <w:color w:val="auto"/>
            </w:rPr>
            <w:instrText xml:space="preserve"> PAGEREF _Toc10425 \h </w:instrText>
          </w:r>
          <w:r>
            <w:rPr>
              <w:color w:val="auto"/>
            </w:rPr>
            <w:fldChar w:fldCharType="separate"/>
          </w:r>
          <w:r>
            <w:rPr>
              <w:color w:val="auto"/>
            </w:rPr>
            <w:t>386</w:t>
          </w:r>
          <w:r>
            <w:rPr>
              <w:color w:val="auto"/>
            </w:rPr>
            <w:fldChar w:fldCharType="end"/>
          </w:r>
          <w:r>
            <w:rPr>
              <w:color w:val="auto"/>
            </w:rPr>
            <w:fldChar w:fldCharType="end"/>
          </w:r>
        </w:p>
        <w:p w14:paraId="12B82088">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"_Toc8095" </w:instrText>
          </w:r>
          <w:r>
            <w:rPr>
              <w:color w:val="auto"/>
            </w:rPr>
            <w:fldChar w:fldCharType="separate"/>
          </w:r>
          <w:r>
            <w:rPr>
              <w:color w:val="auto"/>
            </w:rPr>
            <w:t>9.3.4</w:t>
          </w:r>
          <w:r>
            <w:rPr>
              <w:rFonts w:hint="eastAsia"/>
              <w:color w:val="auto"/>
            </w:rPr>
            <w:t>排污口规范化整治</w:t>
          </w:r>
          <w:r>
            <w:rPr>
              <w:color w:val="auto"/>
            </w:rPr>
            <w:tab/>
          </w:r>
          <w:r>
            <w:rPr>
              <w:color w:val="auto"/>
            </w:rPr>
            <w:fldChar w:fldCharType="begin"/>
          </w:r>
          <w:r>
            <w:rPr>
              <w:color w:val="auto"/>
            </w:rPr>
            <w:instrText xml:space="preserve"> PAGEREF _Toc8095 \h </w:instrText>
          </w:r>
          <w:r>
            <w:rPr>
              <w:color w:val="auto"/>
            </w:rPr>
            <w:fldChar w:fldCharType="separate"/>
          </w:r>
          <w:r>
            <w:rPr>
              <w:color w:val="auto"/>
            </w:rPr>
            <w:t>387</w:t>
          </w:r>
          <w:r>
            <w:rPr>
              <w:color w:val="auto"/>
            </w:rPr>
            <w:fldChar w:fldCharType="end"/>
          </w:r>
          <w:r>
            <w:rPr>
              <w:color w:val="auto"/>
            </w:rPr>
            <w:fldChar w:fldCharType="end"/>
          </w:r>
        </w:p>
        <w:p w14:paraId="586014AD">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"_Toc10108" </w:instrText>
          </w:r>
          <w:r>
            <w:rPr>
              <w:color w:val="auto"/>
            </w:rPr>
            <w:fldChar w:fldCharType="separate"/>
          </w:r>
          <w:r>
            <w:rPr>
              <w:color w:val="auto"/>
            </w:rPr>
            <w:t>9.4环境监测计划</w:t>
          </w:r>
          <w:r>
            <w:rPr>
              <w:color w:val="auto"/>
            </w:rPr>
            <w:tab/>
          </w:r>
          <w:r>
            <w:rPr>
              <w:color w:val="auto"/>
            </w:rPr>
            <w:fldChar w:fldCharType="begin"/>
          </w:r>
          <w:r>
            <w:rPr>
              <w:color w:val="auto"/>
            </w:rPr>
            <w:instrText xml:space="preserve"> PAGEREF _Toc10108 \h </w:instrText>
          </w:r>
          <w:r>
            <w:rPr>
              <w:color w:val="auto"/>
            </w:rPr>
            <w:fldChar w:fldCharType="separate"/>
          </w:r>
          <w:r>
            <w:rPr>
              <w:color w:val="auto"/>
            </w:rPr>
            <w:t>388</w:t>
          </w:r>
          <w:r>
            <w:rPr>
              <w:color w:val="auto"/>
            </w:rPr>
            <w:fldChar w:fldCharType="end"/>
          </w:r>
          <w:r>
            <w:rPr>
              <w:color w:val="auto"/>
            </w:rPr>
            <w:fldChar w:fldCharType="end"/>
          </w:r>
        </w:p>
        <w:p w14:paraId="65C34FD7">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"_Toc8617" </w:instrText>
          </w:r>
          <w:r>
            <w:rPr>
              <w:color w:val="auto"/>
            </w:rPr>
            <w:fldChar w:fldCharType="separate"/>
          </w:r>
          <w:r>
            <w:rPr>
              <w:color w:val="auto"/>
            </w:rPr>
            <w:t>9.4.</w:t>
          </w:r>
          <w:r>
            <w:rPr>
              <w:rFonts w:hint="eastAsia"/>
              <w:color w:val="auto"/>
            </w:rPr>
            <w:t>1污染源监测计划</w:t>
          </w:r>
          <w:r>
            <w:rPr>
              <w:color w:val="auto"/>
            </w:rPr>
            <w:tab/>
          </w:r>
          <w:r>
            <w:rPr>
              <w:color w:val="auto"/>
            </w:rPr>
            <w:fldChar w:fldCharType="begin"/>
          </w:r>
          <w:r>
            <w:rPr>
              <w:color w:val="auto"/>
            </w:rPr>
            <w:instrText xml:space="preserve"> PAGEREF _Toc8617 \h </w:instrText>
          </w:r>
          <w:r>
            <w:rPr>
              <w:color w:val="auto"/>
            </w:rPr>
            <w:fldChar w:fldCharType="separate"/>
          </w:r>
          <w:r>
            <w:rPr>
              <w:color w:val="auto"/>
            </w:rPr>
            <w:t>388</w:t>
          </w:r>
          <w:r>
            <w:rPr>
              <w:color w:val="auto"/>
            </w:rPr>
            <w:fldChar w:fldCharType="end"/>
          </w:r>
          <w:r>
            <w:rPr>
              <w:color w:val="auto"/>
            </w:rPr>
            <w:fldChar w:fldCharType="end"/>
          </w:r>
        </w:p>
        <w:p w14:paraId="10B03DF0">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"_Toc14216" </w:instrText>
          </w:r>
          <w:r>
            <w:rPr>
              <w:color w:val="auto"/>
            </w:rPr>
            <w:fldChar w:fldCharType="separate"/>
          </w:r>
          <w:r>
            <w:rPr>
              <w:color w:val="auto"/>
            </w:rPr>
            <w:t>9.4.3</w:t>
          </w:r>
          <w:r>
            <w:rPr>
              <w:rFonts w:hint="eastAsia"/>
              <w:color w:val="auto"/>
            </w:rPr>
            <w:t>环境质量监测计划</w:t>
          </w:r>
          <w:r>
            <w:rPr>
              <w:color w:val="auto"/>
            </w:rPr>
            <w:tab/>
          </w:r>
          <w:r>
            <w:rPr>
              <w:color w:val="auto"/>
            </w:rPr>
            <w:fldChar w:fldCharType="begin"/>
          </w:r>
          <w:r>
            <w:rPr>
              <w:color w:val="auto"/>
            </w:rPr>
            <w:instrText xml:space="preserve"> PAGEREF _Toc14216 \h </w:instrText>
          </w:r>
          <w:r>
            <w:rPr>
              <w:color w:val="auto"/>
            </w:rPr>
            <w:fldChar w:fldCharType="separate"/>
          </w:r>
          <w:r>
            <w:rPr>
              <w:color w:val="auto"/>
            </w:rPr>
            <w:t>389</w:t>
          </w:r>
          <w:r>
            <w:rPr>
              <w:color w:val="auto"/>
            </w:rPr>
            <w:fldChar w:fldCharType="end"/>
          </w:r>
          <w:r>
            <w:rPr>
              <w:color w:val="auto"/>
            </w:rPr>
            <w:fldChar w:fldCharType="end"/>
          </w:r>
        </w:p>
        <w:p w14:paraId="650C2D77">
          <w:pPr>
            <w:pStyle w:val="11"/>
            <w:tabs>
              <w:tab w:val="right" w:leader="dot" w:pos="9638"/>
            </w:tabs>
            <w:spacing w:line="360" w:lineRule="auto"/>
            <w:ind w:left="960" w:firstLine="0" w:firstLineChars="0"/>
            <w:rPr>
              <w:color w:val="auto"/>
            </w:rPr>
          </w:pPr>
          <w:r>
            <w:rPr>
              <w:color w:val="auto"/>
            </w:rPr>
            <w:fldChar w:fldCharType="begin"/>
          </w:r>
          <w:r>
            <w:rPr>
              <w:color w:val="auto"/>
            </w:rPr>
            <w:instrText xml:space="preserve"> HYPERLINK \l "_Toc31651" </w:instrText>
          </w:r>
          <w:r>
            <w:rPr>
              <w:color w:val="auto"/>
            </w:rPr>
            <w:fldChar w:fldCharType="separate"/>
          </w:r>
          <w:r>
            <w:rPr>
              <w:color w:val="auto"/>
            </w:rPr>
            <w:t>9.4.4</w:t>
          </w:r>
          <w:r>
            <w:rPr>
              <w:rFonts w:hint="eastAsia"/>
              <w:color w:val="auto"/>
            </w:rPr>
            <w:t>应急监测计划</w:t>
          </w:r>
          <w:r>
            <w:rPr>
              <w:color w:val="auto"/>
            </w:rPr>
            <w:tab/>
          </w:r>
          <w:r>
            <w:rPr>
              <w:color w:val="auto"/>
            </w:rPr>
            <w:fldChar w:fldCharType="begin"/>
          </w:r>
          <w:r>
            <w:rPr>
              <w:color w:val="auto"/>
            </w:rPr>
            <w:instrText xml:space="preserve"> PAGEREF _Toc31651 \h </w:instrText>
          </w:r>
          <w:r>
            <w:rPr>
              <w:color w:val="auto"/>
            </w:rPr>
            <w:fldChar w:fldCharType="separate"/>
          </w:r>
          <w:r>
            <w:rPr>
              <w:color w:val="auto"/>
            </w:rPr>
            <w:t>390</w:t>
          </w:r>
          <w:r>
            <w:rPr>
              <w:color w:val="auto"/>
            </w:rPr>
            <w:fldChar w:fldCharType="end"/>
          </w:r>
          <w:r>
            <w:rPr>
              <w:color w:val="auto"/>
            </w:rPr>
            <w:fldChar w:fldCharType="end"/>
          </w:r>
        </w:p>
        <w:p w14:paraId="64680A8C">
          <w:pPr>
            <w:pStyle w:val="16"/>
            <w:tabs>
              <w:tab w:val="right" w:leader="dot" w:pos="9638"/>
            </w:tabs>
            <w:spacing w:line="360" w:lineRule="auto"/>
            <w:ind w:firstLine="0" w:firstLineChars="0"/>
            <w:rPr>
              <w:color w:val="auto"/>
            </w:rPr>
          </w:pPr>
          <w:r>
            <w:rPr>
              <w:color w:val="auto"/>
            </w:rPr>
            <w:fldChar w:fldCharType="begin"/>
          </w:r>
          <w:r>
            <w:rPr>
              <w:color w:val="auto"/>
            </w:rPr>
            <w:instrText xml:space="preserve"> HYPERLINK \l "_Toc9563" </w:instrText>
          </w:r>
          <w:r>
            <w:rPr>
              <w:color w:val="auto"/>
            </w:rPr>
            <w:fldChar w:fldCharType="separate"/>
          </w:r>
          <w:r>
            <w:rPr>
              <w:bCs/>
              <w:color w:val="auto"/>
            </w:rPr>
            <w:t xml:space="preserve">10 </w:t>
          </w:r>
          <w:r>
            <w:rPr>
              <w:rFonts w:hint="eastAsia"/>
              <w:color w:val="auto"/>
            </w:rPr>
            <w:t>环境影响评价结论</w:t>
          </w:r>
          <w:r>
            <w:rPr>
              <w:color w:val="auto"/>
            </w:rPr>
            <w:tab/>
          </w:r>
          <w:r>
            <w:rPr>
              <w:color w:val="auto"/>
            </w:rPr>
            <w:fldChar w:fldCharType="begin"/>
          </w:r>
          <w:r>
            <w:rPr>
              <w:color w:val="auto"/>
            </w:rPr>
            <w:instrText xml:space="preserve"> PAGEREF _Toc9563 \h </w:instrText>
          </w:r>
          <w:r>
            <w:rPr>
              <w:color w:val="auto"/>
            </w:rPr>
            <w:fldChar w:fldCharType="separate"/>
          </w:r>
          <w:r>
            <w:rPr>
              <w:color w:val="auto"/>
            </w:rPr>
            <w:t>391</w:t>
          </w:r>
          <w:r>
            <w:rPr>
              <w:color w:val="auto"/>
            </w:rPr>
            <w:fldChar w:fldCharType="end"/>
          </w:r>
          <w:r>
            <w:rPr>
              <w:color w:val="auto"/>
            </w:rPr>
            <w:fldChar w:fldCharType="end"/>
          </w:r>
        </w:p>
        <w:p w14:paraId="7F3D0D3A">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"_Toc28812" </w:instrText>
          </w:r>
          <w:r>
            <w:rPr>
              <w:color w:val="auto"/>
            </w:rPr>
            <w:fldChar w:fldCharType="separate"/>
          </w:r>
          <w:r>
            <w:rPr>
              <w:color w:val="auto"/>
            </w:rPr>
            <w:t>10.</w:t>
          </w:r>
          <w:r>
            <w:rPr>
              <w:rFonts w:hint="eastAsia"/>
              <w:color w:val="auto"/>
            </w:rPr>
            <w:t>1建设项目概况</w:t>
          </w:r>
          <w:r>
            <w:rPr>
              <w:color w:val="auto"/>
            </w:rPr>
            <w:tab/>
          </w:r>
          <w:r>
            <w:rPr>
              <w:color w:val="auto"/>
            </w:rPr>
            <w:fldChar w:fldCharType="begin"/>
          </w:r>
          <w:r>
            <w:rPr>
              <w:color w:val="auto"/>
            </w:rPr>
            <w:instrText xml:space="preserve"> PAGEREF _Toc28812 \h </w:instrText>
          </w:r>
          <w:r>
            <w:rPr>
              <w:color w:val="auto"/>
            </w:rPr>
            <w:fldChar w:fldCharType="separate"/>
          </w:r>
          <w:r>
            <w:rPr>
              <w:color w:val="auto"/>
            </w:rPr>
            <w:t>391</w:t>
          </w:r>
          <w:r>
            <w:rPr>
              <w:color w:val="auto"/>
            </w:rPr>
            <w:fldChar w:fldCharType="end"/>
          </w:r>
          <w:r>
            <w:rPr>
              <w:color w:val="auto"/>
            </w:rPr>
            <w:fldChar w:fldCharType="end"/>
          </w:r>
        </w:p>
        <w:p w14:paraId="49F8FB73">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"_Toc30366" </w:instrText>
          </w:r>
          <w:r>
            <w:rPr>
              <w:color w:val="auto"/>
            </w:rPr>
            <w:fldChar w:fldCharType="separate"/>
          </w:r>
          <w:r>
            <w:rPr>
              <w:color w:val="auto"/>
            </w:rPr>
            <w:t>10.2</w:t>
          </w:r>
          <w:r>
            <w:rPr>
              <w:rFonts w:hint="eastAsia"/>
              <w:color w:val="auto"/>
            </w:rPr>
            <w:t>环境质量现状</w:t>
          </w:r>
          <w:r>
            <w:rPr>
              <w:color w:val="auto"/>
            </w:rPr>
            <w:tab/>
          </w:r>
          <w:r>
            <w:rPr>
              <w:color w:val="auto"/>
            </w:rPr>
            <w:fldChar w:fldCharType="begin"/>
          </w:r>
          <w:r>
            <w:rPr>
              <w:color w:val="auto"/>
            </w:rPr>
            <w:instrText xml:space="preserve"> PAGEREF _Toc30366 \h </w:instrText>
          </w:r>
          <w:r>
            <w:rPr>
              <w:color w:val="auto"/>
            </w:rPr>
            <w:fldChar w:fldCharType="separate"/>
          </w:r>
          <w:r>
            <w:rPr>
              <w:color w:val="auto"/>
            </w:rPr>
            <w:t>391</w:t>
          </w:r>
          <w:r>
            <w:rPr>
              <w:color w:val="auto"/>
            </w:rPr>
            <w:fldChar w:fldCharType="end"/>
          </w:r>
          <w:r>
            <w:rPr>
              <w:color w:val="auto"/>
            </w:rPr>
            <w:fldChar w:fldCharType="end"/>
          </w:r>
        </w:p>
        <w:p w14:paraId="19655A07">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"_Toc11110" </w:instrText>
          </w:r>
          <w:r>
            <w:rPr>
              <w:color w:val="auto"/>
            </w:rPr>
            <w:fldChar w:fldCharType="separate"/>
          </w:r>
          <w:r>
            <w:rPr>
              <w:color w:val="auto"/>
            </w:rPr>
            <w:t>10.3</w:t>
          </w:r>
          <w:r>
            <w:rPr>
              <w:rFonts w:hint="eastAsia"/>
              <w:color w:val="auto"/>
            </w:rPr>
            <w:t>环境</w:t>
          </w:r>
          <w:r>
            <w:rPr>
              <w:color w:val="auto"/>
            </w:rPr>
            <w:t>保护措施及</w:t>
          </w:r>
          <w:r>
            <w:rPr>
              <w:rFonts w:hint="eastAsia"/>
              <w:color w:val="auto"/>
            </w:rPr>
            <w:t>污染物排放情况</w:t>
          </w:r>
          <w:r>
            <w:rPr>
              <w:color w:val="auto"/>
            </w:rPr>
            <w:tab/>
          </w:r>
          <w:r>
            <w:rPr>
              <w:color w:val="auto"/>
            </w:rPr>
            <w:fldChar w:fldCharType="begin"/>
          </w:r>
          <w:r>
            <w:rPr>
              <w:color w:val="auto"/>
            </w:rPr>
            <w:instrText xml:space="preserve"> PAGEREF _Toc11110 \h </w:instrText>
          </w:r>
          <w:r>
            <w:rPr>
              <w:color w:val="auto"/>
            </w:rPr>
            <w:fldChar w:fldCharType="separate"/>
          </w:r>
          <w:r>
            <w:rPr>
              <w:color w:val="auto"/>
            </w:rPr>
            <w:t>392</w:t>
          </w:r>
          <w:r>
            <w:rPr>
              <w:color w:val="auto"/>
            </w:rPr>
            <w:fldChar w:fldCharType="end"/>
          </w:r>
          <w:r>
            <w:rPr>
              <w:color w:val="auto"/>
            </w:rPr>
            <w:fldChar w:fldCharType="end"/>
          </w:r>
        </w:p>
        <w:p w14:paraId="148656B8">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"_Toc32329" </w:instrText>
          </w:r>
          <w:r>
            <w:rPr>
              <w:color w:val="auto"/>
            </w:rPr>
            <w:fldChar w:fldCharType="separate"/>
          </w:r>
          <w:r>
            <w:rPr>
              <w:color w:val="auto"/>
            </w:rPr>
            <w:t>10.4</w:t>
          </w:r>
          <w:r>
            <w:rPr>
              <w:rFonts w:hint="eastAsia"/>
              <w:color w:val="auto"/>
            </w:rPr>
            <w:t>主要环境影响</w:t>
          </w:r>
          <w:r>
            <w:rPr>
              <w:color w:val="auto"/>
            </w:rPr>
            <w:tab/>
          </w:r>
          <w:r>
            <w:rPr>
              <w:color w:val="auto"/>
            </w:rPr>
            <w:fldChar w:fldCharType="begin"/>
          </w:r>
          <w:r>
            <w:rPr>
              <w:color w:val="auto"/>
            </w:rPr>
            <w:instrText xml:space="preserve"> PAGEREF _Toc32329 \h </w:instrText>
          </w:r>
          <w:r>
            <w:rPr>
              <w:color w:val="auto"/>
            </w:rPr>
            <w:fldChar w:fldCharType="separate"/>
          </w:r>
          <w:r>
            <w:rPr>
              <w:color w:val="auto"/>
            </w:rPr>
            <w:t>393</w:t>
          </w:r>
          <w:r>
            <w:rPr>
              <w:color w:val="auto"/>
            </w:rPr>
            <w:fldChar w:fldCharType="end"/>
          </w:r>
          <w:r>
            <w:rPr>
              <w:color w:val="auto"/>
            </w:rPr>
            <w:fldChar w:fldCharType="end"/>
          </w:r>
        </w:p>
        <w:p w14:paraId="199294DF">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"_Toc8026" </w:instrText>
          </w:r>
          <w:r>
            <w:rPr>
              <w:color w:val="auto"/>
            </w:rPr>
            <w:fldChar w:fldCharType="separate"/>
          </w:r>
          <w:r>
            <w:rPr>
              <w:color w:val="auto"/>
            </w:rPr>
            <w:t>10.5</w:t>
          </w:r>
          <w:r>
            <w:rPr>
              <w:rFonts w:hint="eastAsia"/>
              <w:color w:val="auto"/>
            </w:rPr>
            <w:t>公众意见采纳情况</w:t>
          </w:r>
          <w:r>
            <w:rPr>
              <w:color w:val="auto"/>
            </w:rPr>
            <w:tab/>
          </w:r>
          <w:r>
            <w:rPr>
              <w:color w:val="auto"/>
            </w:rPr>
            <w:fldChar w:fldCharType="begin"/>
          </w:r>
          <w:r>
            <w:rPr>
              <w:color w:val="auto"/>
            </w:rPr>
            <w:instrText xml:space="preserve"> PAGEREF _Toc8026 \h </w:instrText>
          </w:r>
          <w:r>
            <w:rPr>
              <w:color w:val="auto"/>
            </w:rPr>
            <w:fldChar w:fldCharType="separate"/>
          </w:r>
          <w:r>
            <w:rPr>
              <w:color w:val="auto"/>
            </w:rPr>
            <w:t>394</w:t>
          </w:r>
          <w:r>
            <w:rPr>
              <w:color w:val="auto"/>
            </w:rPr>
            <w:fldChar w:fldCharType="end"/>
          </w:r>
          <w:r>
            <w:rPr>
              <w:color w:val="auto"/>
            </w:rPr>
            <w:fldChar w:fldCharType="end"/>
          </w:r>
        </w:p>
        <w:p w14:paraId="37F94B4B">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"_Toc26280" </w:instrText>
          </w:r>
          <w:r>
            <w:rPr>
              <w:color w:val="auto"/>
            </w:rPr>
            <w:fldChar w:fldCharType="separate"/>
          </w:r>
          <w:r>
            <w:rPr>
              <w:color w:val="auto"/>
            </w:rPr>
            <w:t>10.6</w:t>
          </w:r>
          <w:r>
            <w:rPr>
              <w:rFonts w:hint="eastAsia"/>
              <w:color w:val="auto"/>
            </w:rPr>
            <w:t>环境影响</w:t>
          </w:r>
          <w:r>
            <w:rPr>
              <w:color w:val="auto"/>
            </w:rPr>
            <w:t>经济损益分析</w:t>
          </w:r>
          <w:r>
            <w:rPr>
              <w:color w:val="auto"/>
            </w:rPr>
            <w:tab/>
          </w:r>
          <w:r>
            <w:rPr>
              <w:color w:val="auto"/>
            </w:rPr>
            <w:fldChar w:fldCharType="begin"/>
          </w:r>
          <w:r>
            <w:rPr>
              <w:color w:val="auto"/>
            </w:rPr>
            <w:instrText xml:space="preserve"> PAGEREF _Toc26280 \h </w:instrText>
          </w:r>
          <w:r>
            <w:rPr>
              <w:color w:val="auto"/>
            </w:rPr>
            <w:fldChar w:fldCharType="separate"/>
          </w:r>
          <w:r>
            <w:rPr>
              <w:color w:val="auto"/>
            </w:rPr>
            <w:t>394</w:t>
          </w:r>
          <w:r>
            <w:rPr>
              <w:color w:val="auto"/>
            </w:rPr>
            <w:fldChar w:fldCharType="end"/>
          </w:r>
          <w:r>
            <w:rPr>
              <w:color w:val="auto"/>
            </w:rPr>
            <w:fldChar w:fldCharType="end"/>
          </w:r>
        </w:p>
        <w:p w14:paraId="1FE4A0D9">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"_Toc27179" </w:instrText>
          </w:r>
          <w:r>
            <w:rPr>
              <w:color w:val="auto"/>
            </w:rPr>
            <w:fldChar w:fldCharType="separate"/>
          </w:r>
          <w:r>
            <w:rPr>
              <w:color w:val="auto"/>
            </w:rPr>
            <w:t>10.7</w:t>
          </w:r>
          <w:r>
            <w:rPr>
              <w:rFonts w:hint="eastAsia"/>
              <w:color w:val="auto"/>
            </w:rPr>
            <w:t>环境管理与</w:t>
          </w:r>
          <w:r>
            <w:rPr>
              <w:color w:val="auto"/>
            </w:rPr>
            <w:t>监测计划</w:t>
          </w:r>
          <w:r>
            <w:rPr>
              <w:color w:val="auto"/>
            </w:rPr>
            <w:tab/>
          </w:r>
          <w:r>
            <w:rPr>
              <w:color w:val="auto"/>
            </w:rPr>
            <w:fldChar w:fldCharType="begin"/>
          </w:r>
          <w:r>
            <w:rPr>
              <w:color w:val="auto"/>
            </w:rPr>
            <w:instrText xml:space="preserve"> PAGEREF _Toc27179 \h </w:instrText>
          </w:r>
          <w:r>
            <w:rPr>
              <w:color w:val="auto"/>
            </w:rPr>
            <w:fldChar w:fldCharType="separate"/>
          </w:r>
          <w:r>
            <w:rPr>
              <w:color w:val="auto"/>
            </w:rPr>
            <w:t>394</w:t>
          </w:r>
          <w:r>
            <w:rPr>
              <w:color w:val="auto"/>
            </w:rPr>
            <w:fldChar w:fldCharType="end"/>
          </w:r>
          <w:r>
            <w:rPr>
              <w:color w:val="auto"/>
            </w:rPr>
            <w:fldChar w:fldCharType="end"/>
          </w:r>
        </w:p>
        <w:p w14:paraId="0D43F51D">
          <w:pPr>
            <w:pStyle w:val="19"/>
            <w:tabs>
              <w:tab w:val="right" w:leader="dot" w:pos="9638"/>
            </w:tabs>
            <w:spacing w:line="360" w:lineRule="auto"/>
            <w:ind w:left="480" w:firstLine="0" w:firstLineChars="0"/>
            <w:rPr>
              <w:color w:val="auto"/>
            </w:rPr>
          </w:pPr>
          <w:r>
            <w:rPr>
              <w:color w:val="auto"/>
            </w:rPr>
            <w:fldChar w:fldCharType="begin"/>
          </w:r>
          <w:r>
            <w:rPr>
              <w:color w:val="auto"/>
            </w:rPr>
            <w:instrText xml:space="preserve"> HYPERLINK \l "_Toc2191" </w:instrText>
          </w:r>
          <w:r>
            <w:rPr>
              <w:color w:val="auto"/>
            </w:rPr>
            <w:fldChar w:fldCharType="separate"/>
          </w:r>
          <w:r>
            <w:rPr>
              <w:color w:val="auto"/>
            </w:rPr>
            <w:t>10.8</w:t>
          </w:r>
          <w:r>
            <w:rPr>
              <w:rFonts w:hint="eastAsia"/>
              <w:color w:val="auto"/>
            </w:rPr>
            <w:t>评价总结论</w:t>
          </w:r>
          <w:r>
            <w:rPr>
              <w:color w:val="auto"/>
            </w:rPr>
            <w:tab/>
          </w:r>
          <w:r>
            <w:rPr>
              <w:color w:val="auto"/>
            </w:rPr>
            <w:fldChar w:fldCharType="begin"/>
          </w:r>
          <w:r>
            <w:rPr>
              <w:color w:val="auto"/>
            </w:rPr>
            <w:instrText xml:space="preserve"> PAGEREF _Toc2191 \h </w:instrText>
          </w:r>
          <w:r>
            <w:rPr>
              <w:color w:val="auto"/>
            </w:rPr>
            <w:fldChar w:fldCharType="separate"/>
          </w:r>
          <w:r>
            <w:rPr>
              <w:color w:val="auto"/>
            </w:rPr>
            <w:t>394</w:t>
          </w:r>
          <w:r>
            <w:rPr>
              <w:color w:val="auto"/>
            </w:rPr>
            <w:fldChar w:fldCharType="end"/>
          </w:r>
          <w:r>
            <w:rPr>
              <w:color w:val="auto"/>
            </w:rPr>
            <w:fldChar w:fldCharType="end"/>
          </w:r>
        </w:p>
        <w:p w14:paraId="3B0DA939">
          <w:pPr>
            <w:ind w:firstLine="480"/>
            <w:rPr>
              <w:color w:val="auto"/>
            </w:rPr>
          </w:pPr>
          <w:r>
            <w:rPr>
              <w:color w:val="auto"/>
            </w:rPr>
            <w:fldChar w:fldCharType="end"/>
          </w:r>
        </w:p>
      </w:sdtContent>
    </w:sdt>
    <w:p w14:paraId="75F0F154">
      <w:pPr>
        <w:pStyle w:val="4"/>
        <w:rPr>
          <w:color w:val="auto"/>
        </w:rPr>
        <w:sectPr>
          <w:footerReference r:id="rId5" w:type="default"/>
          <w:pgSz w:w="11906" w:h="16838"/>
          <w:pgMar w:top="1134" w:right="1134" w:bottom="1134" w:left="1134" w:header="851" w:footer="992" w:gutter="0"/>
          <w:pgNumType w:fmt="upperRoman" w:start="1"/>
          <w:cols w:space="425" w:num="1"/>
          <w:docGrid w:type="lines" w:linePitch="312" w:charSpace="0"/>
        </w:sectPr>
      </w:pPr>
    </w:p>
    <w:p w14:paraId="59E13959">
      <w:pPr>
        <w:widowControl/>
        <w:adjustRightInd/>
        <w:snapToGrid/>
        <w:spacing w:line="240" w:lineRule="auto"/>
        <w:ind w:firstLine="0" w:firstLineChars="0"/>
        <w:jc w:val="left"/>
        <w:rPr>
          <w:b/>
          <w:bCs/>
          <w:color w:val="auto"/>
        </w:rPr>
      </w:pPr>
      <w:r>
        <w:rPr>
          <w:b/>
          <w:bCs/>
          <w:color w:val="auto"/>
        </w:rPr>
        <w:t>附</w:t>
      </w:r>
      <w:r>
        <w:rPr>
          <w:rFonts w:hint="eastAsia"/>
          <w:b/>
          <w:bCs/>
          <w:color w:val="auto"/>
        </w:rPr>
        <w:t>图</w:t>
      </w:r>
      <w:r>
        <w:rPr>
          <w:b/>
          <w:bCs/>
          <w:color w:val="auto"/>
        </w:rPr>
        <w:t>：</w:t>
      </w:r>
    </w:p>
    <w:p w14:paraId="5A9EACE6">
      <w:pPr>
        <w:widowControl/>
        <w:ind w:firstLine="480"/>
        <w:rPr>
          <w:color w:val="auto"/>
        </w:rPr>
      </w:pPr>
      <w:r>
        <w:rPr>
          <w:rFonts w:hint="eastAsia"/>
          <w:color w:val="auto"/>
        </w:rPr>
        <w:t>图1.4-1  启东市“三区三线”划定成果图</w:t>
      </w:r>
    </w:p>
    <w:p w14:paraId="73C53566">
      <w:pPr>
        <w:widowControl/>
        <w:ind w:firstLine="480"/>
        <w:rPr>
          <w:color w:val="auto"/>
        </w:rPr>
      </w:pPr>
      <w:r>
        <w:rPr>
          <w:rFonts w:hint="eastAsia"/>
          <w:color w:val="auto"/>
        </w:rPr>
        <w:t>图2.4-1  项目周边敏感目标图（含大气监测点位）</w:t>
      </w:r>
    </w:p>
    <w:p w14:paraId="7CF6147F">
      <w:pPr>
        <w:widowControl/>
        <w:ind w:firstLine="480"/>
        <w:rPr>
          <w:color w:val="auto"/>
        </w:rPr>
      </w:pPr>
      <w:r>
        <w:rPr>
          <w:rFonts w:hint="eastAsia"/>
          <w:color w:val="auto"/>
        </w:rPr>
        <w:t>图2.5-1  园区用地规划图</w:t>
      </w:r>
    </w:p>
    <w:p w14:paraId="685AF8EB">
      <w:pPr>
        <w:widowControl/>
        <w:ind w:firstLine="480"/>
        <w:rPr>
          <w:color w:val="auto"/>
        </w:rPr>
      </w:pPr>
      <w:r>
        <w:rPr>
          <w:rFonts w:hint="eastAsia"/>
          <w:color w:val="auto"/>
        </w:rPr>
        <w:t>图</w:t>
      </w:r>
      <w:r>
        <w:rPr>
          <w:color w:val="auto"/>
        </w:rPr>
        <w:t>3.</w:t>
      </w:r>
      <w:r>
        <w:rPr>
          <w:rFonts w:hint="eastAsia"/>
          <w:color w:val="auto"/>
        </w:rPr>
        <w:t>3</w:t>
      </w:r>
      <w:r>
        <w:rPr>
          <w:color w:val="auto"/>
        </w:rPr>
        <w:t>-1</w:t>
      </w:r>
      <w:r>
        <w:rPr>
          <w:rFonts w:hint="eastAsia"/>
          <w:color w:val="auto"/>
        </w:rPr>
        <w:t xml:space="preserve">  现有厂区平面布置图（含噪声、土壤、地下水监测点位）</w:t>
      </w:r>
    </w:p>
    <w:p w14:paraId="3389EF72">
      <w:pPr>
        <w:widowControl/>
        <w:ind w:firstLine="480"/>
        <w:rPr>
          <w:color w:val="auto"/>
        </w:rPr>
      </w:pPr>
      <w:r>
        <w:rPr>
          <w:rFonts w:hint="eastAsia"/>
          <w:color w:val="auto"/>
        </w:rPr>
        <w:t>图3.9-1  风险单元分布及应急疏散路线图（含应急物资分布）</w:t>
      </w:r>
    </w:p>
    <w:p w14:paraId="79AB14E1">
      <w:pPr>
        <w:widowControl/>
        <w:ind w:firstLine="480"/>
        <w:rPr>
          <w:color w:val="auto"/>
        </w:rPr>
      </w:pPr>
      <w:r>
        <w:rPr>
          <w:rFonts w:hint="eastAsia"/>
          <w:color w:val="auto"/>
        </w:rPr>
        <w:t>图4.3-2 项目周边概况图</w:t>
      </w:r>
    </w:p>
    <w:p w14:paraId="124C1D83">
      <w:pPr>
        <w:widowControl/>
        <w:ind w:firstLine="480"/>
        <w:rPr>
          <w:color w:val="auto"/>
        </w:rPr>
      </w:pPr>
      <w:r>
        <w:rPr>
          <w:rFonts w:hint="eastAsia"/>
          <w:color w:val="auto"/>
        </w:rPr>
        <w:t>图5.1-1 项目地理位置图</w:t>
      </w:r>
    </w:p>
    <w:p w14:paraId="2910F370">
      <w:pPr>
        <w:widowControl/>
        <w:ind w:firstLine="480"/>
        <w:rPr>
          <w:color w:val="auto"/>
        </w:rPr>
      </w:pPr>
      <w:r>
        <w:rPr>
          <w:rFonts w:hint="eastAsia"/>
          <w:color w:val="auto"/>
        </w:rPr>
        <w:t>图5.1-2 区域水系图</w:t>
      </w:r>
    </w:p>
    <w:p w14:paraId="17623C9A">
      <w:pPr>
        <w:widowControl/>
        <w:ind w:firstLine="480"/>
        <w:rPr>
          <w:color w:val="auto"/>
        </w:rPr>
      </w:pPr>
      <w:r>
        <w:rPr>
          <w:rFonts w:hint="eastAsia"/>
          <w:color w:val="auto"/>
        </w:rPr>
        <w:t>图7.5-1 项目分区防渗图</w:t>
      </w:r>
    </w:p>
    <w:p w14:paraId="7C3DB69E">
      <w:pPr>
        <w:widowControl/>
        <w:ind w:firstLine="480"/>
        <w:rPr>
          <w:color w:val="auto"/>
        </w:rPr>
      </w:pPr>
      <w:r>
        <w:rPr>
          <w:rFonts w:hint="eastAsia"/>
          <w:color w:val="auto"/>
        </w:rPr>
        <w:t>图7.6-2 厂区雨污水管网分布图</w:t>
      </w:r>
    </w:p>
    <w:p w14:paraId="0724D840">
      <w:pPr>
        <w:widowControl/>
        <w:spacing w:line="460" w:lineRule="exact"/>
        <w:ind w:firstLine="480"/>
        <w:rPr>
          <w:color w:val="auto"/>
        </w:rPr>
      </w:pPr>
    </w:p>
    <w:p w14:paraId="2357D1DE">
      <w:pPr>
        <w:widowControl/>
        <w:spacing w:line="460" w:lineRule="exact"/>
        <w:ind w:firstLine="0" w:firstLineChars="0"/>
        <w:rPr>
          <w:b/>
          <w:bCs/>
          <w:color w:val="auto"/>
        </w:rPr>
      </w:pPr>
      <w:r>
        <w:rPr>
          <w:rFonts w:ascii="宋体" w:hAnsi="宋体"/>
          <w:color w:val="auto"/>
          <w:sz w:val="28"/>
        </w:rPr>
        <w:br w:type="page"/>
      </w:r>
      <w:r>
        <w:rPr>
          <w:b/>
          <w:bCs/>
          <w:color w:val="auto"/>
        </w:rPr>
        <w:t>附件：</w:t>
      </w:r>
    </w:p>
    <w:p w14:paraId="1DADDD9B">
      <w:pPr>
        <w:ind w:firstLine="480"/>
        <w:jc w:val="left"/>
        <w:rPr>
          <w:color w:val="auto"/>
          <w:kern w:val="0"/>
          <w:szCs w:val="21"/>
        </w:rPr>
      </w:pPr>
      <w:r>
        <w:rPr>
          <w:rFonts w:hint="eastAsia"/>
          <w:color w:val="auto"/>
          <w:kern w:val="0"/>
          <w:szCs w:val="21"/>
        </w:rPr>
        <w:t xml:space="preserve">附件1  </w:t>
      </w:r>
      <w:r>
        <w:rPr>
          <w:color w:val="auto"/>
          <w:kern w:val="0"/>
          <w:szCs w:val="21"/>
        </w:rPr>
        <w:t>环评委托书</w:t>
      </w:r>
    </w:p>
    <w:p w14:paraId="4B1D3979">
      <w:pPr>
        <w:ind w:firstLine="480"/>
        <w:jc w:val="left"/>
        <w:rPr>
          <w:color w:val="auto"/>
          <w:kern w:val="0"/>
          <w:szCs w:val="21"/>
        </w:rPr>
      </w:pPr>
      <w:r>
        <w:rPr>
          <w:rFonts w:hint="eastAsia"/>
          <w:color w:val="auto"/>
          <w:kern w:val="0"/>
          <w:szCs w:val="21"/>
        </w:rPr>
        <w:t xml:space="preserve">附件2  </w:t>
      </w:r>
      <w:r>
        <w:rPr>
          <w:color w:val="auto"/>
          <w:kern w:val="0"/>
          <w:szCs w:val="21"/>
        </w:rPr>
        <w:t>项目备案</w:t>
      </w:r>
      <w:r>
        <w:rPr>
          <w:rFonts w:hint="eastAsia"/>
          <w:color w:val="auto"/>
          <w:kern w:val="0"/>
          <w:szCs w:val="21"/>
        </w:rPr>
        <w:t>证</w:t>
      </w:r>
    </w:p>
    <w:p w14:paraId="4D6BF227">
      <w:pPr>
        <w:ind w:firstLine="480"/>
        <w:rPr>
          <w:color w:val="auto"/>
        </w:rPr>
      </w:pPr>
      <w:r>
        <w:rPr>
          <w:rFonts w:hint="eastAsia"/>
          <w:color w:val="auto"/>
        </w:rPr>
        <w:t>附件3  营业执照</w:t>
      </w:r>
    </w:p>
    <w:p w14:paraId="7FB6092A">
      <w:pPr>
        <w:ind w:firstLine="480"/>
        <w:jc w:val="left"/>
        <w:rPr>
          <w:color w:val="auto"/>
          <w:kern w:val="0"/>
          <w:szCs w:val="21"/>
        </w:rPr>
      </w:pPr>
      <w:r>
        <w:rPr>
          <w:rFonts w:hint="eastAsia"/>
          <w:color w:val="auto"/>
          <w:kern w:val="0"/>
          <w:szCs w:val="21"/>
        </w:rPr>
        <w:t>附件4  现有项目环评批复</w:t>
      </w:r>
    </w:p>
    <w:p w14:paraId="4AD8D9F8">
      <w:pPr>
        <w:ind w:firstLine="480"/>
        <w:jc w:val="left"/>
        <w:rPr>
          <w:color w:val="auto"/>
          <w:kern w:val="0"/>
          <w:szCs w:val="21"/>
        </w:rPr>
      </w:pPr>
      <w:r>
        <w:rPr>
          <w:rFonts w:hint="eastAsia"/>
          <w:color w:val="auto"/>
          <w:kern w:val="0"/>
          <w:szCs w:val="21"/>
        </w:rPr>
        <w:t>附件5  与本项目相关的验收批复</w:t>
      </w:r>
    </w:p>
    <w:p w14:paraId="78857D06">
      <w:pPr>
        <w:ind w:firstLine="480"/>
        <w:rPr>
          <w:color w:val="auto"/>
        </w:rPr>
      </w:pPr>
      <w:r>
        <w:rPr>
          <w:rFonts w:hint="eastAsia"/>
          <w:color w:val="auto"/>
        </w:rPr>
        <w:t>附件6  南通市启东生态环境局关于启东生命健康产业园开发建设规划修编(2023-2035年)环境影响报告书的审查意见(通启东环[2023]35号)</w:t>
      </w:r>
    </w:p>
    <w:p w14:paraId="4DD1210B">
      <w:pPr>
        <w:snapToGrid/>
        <w:ind w:firstLine="480"/>
        <w:jc w:val="left"/>
        <w:rPr>
          <w:color w:val="auto"/>
          <w:kern w:val="0"/>
          <w:szCs w:val="21"/>
        </w:rPr>
      </w:pPr>
      <w:r>
        <w:rPr>
          <w:rFonts w:hint="eastAsia"/>
          <w:color w:val="auto"/>
          <w:kern w:val="0"/>
          <w:szCs w:val="21"/>
        </w:rPr>
        <w:t>附件7  现状监测报告</w:t>
      </w:r>
    </w:p>
    <w:p w14:paraId="69E50369">
      <w:pPr>
        <w:snapToGrid/>
        <w:ind w:firstLine="480"/>
        <w:jc w:val="left"/>
        <w:rPr>
          <w:color w:val="auto"/>
          <w:kern w:val="0"/>
          <w:szCs w:val="21"/>
        </w:rPr>
      </w:pPr>
      <w:r>
        <w:rPr>
          <w:rFonts w:hint="eastAsia"/>
          <w:color w:val="auto"/>
          <w:kern w:val="0"/>
          <w:szCs w:val="21"/>
        </w:rPr>
        <w:t>附件8  废水接管处理协议</w:t>
      </w:r>
    </w:p>
    <w:p w14:paraId="027D7D9A">
      <w:pPr>
        <w:snapToGrid/>
        <w:ind w:firstLine="480"/>
        <w:jc w:val="left"/>
        <w:rPr>
          <w:color w:val="auto"/>
          <w:kern w:val="0"/>
          <w:szCs w:val="21"/>
        </w:rPr>
      </w:pPr>
      <w:r>
        <w:rPr>
          <w:rFonts w:hint="eastAsia"/>
          <w:color w:val="auto"/>
          <w:kern w:val="0"/>
          <w:szCs w:val="21"/>
        </w:rPr>
        <w:t>附件9  蒸汽协议</w:t>
      </w:r>
    </w:p>
    <w:p w14:paraId="790832F9">
      <w:pPr>
        <w:snapToGrid/>
        <w:ind w:firstLine="480"/>
        <w:jc w:val="left"/>
        <w:rPr>
          <w:color w:val="auto"/>
          <w:kern w:val="0"/>
          <w:szCs w:val="21"/>
        </w:rPr>
      </w:pPr>
      <w:r>
        <w:rPr>
          <w:rFonts w:hint="eastAsia"/>
          <w:color w:val="auto"/>
          <w:kern w:val="0"/>
          <w:szCs w:val="21"/>
        </w:rPr>
        <w:t>附件10  危废处置协议</w:t>
      </w:r>
    </w:p>
    <w:p w14:paraId="6E4E0F7E">
      <w:pPr>
        <w:snapToGrid/>
        <w:ind w:firstLine="480"/>
        <w:jc w:val="left"/>
        <w:rPr>
          <w:color w:val="auto"/>
          <w:kern w:val="0"/>
          <w:szCs w:val="21"/>
        </w:rPr>
      </w:pPr>
      <w:r>
        <w:rPr>
          <w:rFonts w:hint="eastAsia"/>
          <w:color w:val="auto"/>
          <w:kern w:val="0"/>
          <w:szCs w:val="21"/>
        </w:rPr>
        <w:t>附件11  突发环境事件应急预案备案表</w:t>
      </w:r>
    </w:p>
    <w:p w14:paraId="37B995A5">
      <w:pPr>
        <w:snapToGrid/>
        <w:ind w:firstLine="480"/>
        <w:jc w:val="left"/>
        <w:rPr>
          <w:color w:val="auto"/>
          <w:kern w:val="0"/>
          <w:szCs w:val="21"/>
        </w:rPr>
      </w:pPr>
      <w:r>
        <w:rPr>
          <w:rFonts w:hint="eastAsia"/>
          <w:color w:val="auto"/>
          <w:kern w:val="0"/>
          <w:szCs w:val="21"/>
        </w:rPr>
        <w:t>附件12  排污许可证</w:t>
      </w:r>
    </w:p>
    <w:p w14:paraId="442D32A2">
      <w:pPr>
        <w:adjustRightInd/>
        <w:snapToGrid/>
        <w:ind w:firstLine="480"/>
        <w:jc w:val="left"/>
        <w:rPr>
          <w:color w:val="auto"/>
          <w:kern w:val="0"/>
          <w:szCs w:val="21"/>
        </w:rPr>
      </w:pPr>
      <w:r>
        <w:rPr>
          <w:rFonts w:hint="eastAsia"/>
          <w:color w:val="auto"/>
          <w:kern w:val="0"/>
          <w:szCs w:val="21"/>
        </w:rPr>
        <w:t>附件13  确认声明</w:t>
      </w:r>
    </w:p>
    <w:p w14:paraId="202F9DB1">
      <w:pPr>
        <w:ind w:firstLine="480"/>
        <w:rPr>
          <w:color w:val="auto"/>
        </w:rPr>
      </w:pPr>
      <w:r>
        <w:rPr>
          <w:rFonts w:hint="eastAsia"/>
          <w:color w:val="auto"/>
        </w:rPr>
        <w:t>附件14  启东亚太药业有限公司地下水、地表水取水许可证</w:t>
      </w:r>
    </w:p>
    <w:p w14:paraId="32858EC6">
      <w:pPr>
        <w:ind w:firstLine="480"/>
        <w:jc w:val="left"/>
        <w:rPr>
          <w:color w:val="auto"/>
        </w:rPr>
      </w:pPr>
      <w:r>
        <w:rPr>
          <w:rFonts w:hint="eastAsia"/>
          <w:color w:val="auto"/>
        </w:rPr>
        <w:t>附件15  建设项目环境影响报告书审批基础信息表</w:t>
      </w:r>
    </w:p>
    <w:p w14:paraId="3F0E4FA0">
      <w:pPr>
        <w:ind w:firstLine="480"/>
        <w:rPr>
          <w:color w:val="auto"/>
        </w:rPr>
        <w:sectPr>
          <w:pgSz w:w="11906" w:h="16838"/>
          <w:pgMar w:top="1134" w:right="1134" w:bottom="1134" w:left="1134" w:header="851" w:footer="992" w:gutter="0"/>
          <w:pgNumType w:fmt="upperRoman"/>
          <w:cols w:space="425" w:num="1"/>
          <w:docGrid w:type="lines" w:linePitch="312" w:charSpace="0"/>
        </w:sectPr>
      </w:pPr>
    </w:p>
    <w:p w14:paraId="36A0A73D">
      <w:pPr>
        <w:pStyle w:val="2"/>
        <w:spacing w:before="312" w:after="312"/>
        <w:rPr>
          <w:rFonts w:hint="eastAsia"/>
          <w:color w:val="auto"/>
        </w:rPr>
      </w:pPr>
      <w:bookmarkStart w:id="0" w:name="_Toc23045"/>
      <w:bookmarkStart w:id="1" w:name="_Toc29392"/>
      <w:bookmarkStart w:id="2" w:name="_Toc14827"/>
      <w:r>
        <w:rPr>
          <w:rFonts w:hint="eastAsia"/>
          <w:color w:val="auto"/>
        </w:rPr>
        <w:t>概述</w:t>
      </w:r>
      <w:bookmarkEnd w:id="0"/>
      <w:bookmarkEnd w:id="1"/>
      <w:bookmarkEnd w:id="2"/>
    </w:p>
    <w:p w14:paraId="62A3924E">
      <w:pPr>
        <w:pStyle w:val="3"/>
        <w:spacing w:before="312"/>
        <w:rPr>
          <w:color w:val="auto"/>
        </w:rPr>
      </w:pPr>
      <w:bookmarkStart w:id="3" w:name="_Toc31858"/>
      <w:bookmarkStart w:id="4" w:name="_Toc2986"/>
      <w:bookmarkStart w:id="5" w:name="_Toc1959"/>
      <w:r>
        <w:rPr>
          <w:color w:val="auto"/>
        </w:rPr>
        <w:t>1.1任务由来</w:t>
      </w:r>
      <w:bookmarkEnd w:id="3"/>
      <w:bookmarkEnd w:id="4"/>
      <w:bookmarkEnd w:id="5"/>
    </w:p>
    <w:p w14:paraId="67FB6BEF">
      <w:pPr>
        <w:ind w:firstLine="480"/>
        <w:rPr>
          <w:color w:val="auto"/>
        </w:rPr>
      </w:pPr>
      <w:r>
        <w:rPr>
          <w:rFonts w:hint="eastAsia"/>
          <w:color w:val="auto"/>
        </w:rPr>
        <w:t>启东亚太药业有限公司（以下简称“亚太药业”）成立于1999年9月，为原国有启东农药化工总厂改制企业，曾用名启东亚太农药化工厂、启东亚太化工厂有限公司，位于江苏省南通市启东市启东生命健康产业园苏州路58号，厂区占地面积71467m</w:t>
      </w:r>
      <w:r>
        <w:rPr>
          <w:rFonts w:hint="eastAsia"/>
          <w:color w:val="auto"/>
          <w:vertAlign w:val="superscript"/>
        </w:rPr>
        <w:t>2</w:t>
      </w:r>
      <w:r>
        <w:rPr>
          <w:rFonts w:hint="eastAsia"/>
          <w:color w:val="auto"/>
        </w:rPr>
        <w:t>。地处长三角、上海一小时都市圈，区位交通优越。亚太药业是国家级高新技术企业、省级专精特新中小企业，专注医药中间体、农药中间体研发、生产与销售，核心产品包括苯肼、盐酸苯肼、硫酸苯肼、亚硫酸氢铵/钾溶液、硫代硫酸盐系列等，配套国内外农化与医药产业链，产品出口东南亚、日韩、欧美等地区。</w:t>
      </w:r>
    </w:p>
    <w:p w14:paraId="0FD31982">
      <w:pPr>
        <w:ind w:firstLine="480"/>
        <w:rPr>
          <w:color w:val="auto"/>
        </w:rPr>
      </w:pPr>
      <w:r>
        <w:rPr>
          <w:rFonts w:hint="eastAsia"/>
          <w:color w:val="auto"/>
        </w:rPr>
        <w:t>亚硫酸氢铵是公司现有产能规模较大的核心产品之一，年产规模达20000吨，其传统用途主要为配套生产盐酸（硫酸）苯肼，同时外销用于食品用焦糖色的生产。随着市场需求结构变化，单一产品模式已难以充分释放现有装置的产能潜力与技术优势：一方面，下游客户对亚硫酸钾、亚硫酸钠等同系列无机盐产品的定制化需求持续增长；另一方面，硫代硫酸盐作为亚硫酸盐的衍生产品，凭借其在植物微量元素营养剂领域的应用价值，市场前景广阔。此外，可依托企业现有环保设施实施，生产工艺及产污环节与原装置高度同源，技改后新增污染物排放量较小，项目实施后企业污染物排放总量控制在现有排污许可核定的总量指标范围内，不会突破原有排污总量，且通过调整吸收液种类与工艺参数，即可实现多产品切换生产，具有投入少、产出多、污染物排放可控、产品安全性提升的显著优势。</w:t>
      </w:r>
    </w:p>
    <w:p w14:paraId="7561468E">
      <w:pPr>
        <w:ind w:firstLine="480"/>
        <w:rPr>
          <w:color w:val="auto"/>
        </w:rPr>
      </w:pPr>
      <w:r>
        <w:rPr>
          <w:rFonts w:hint="eastAsia"/>
          <w:color w:val="auto"/>
        </w:rPr>
        <w:t>在此背景下，启东亚太药业规划实施亚硫酸盐及硫代硫酸盐系列产品多元化技改项目，旨在依托现有装置与厂房条件，实现产品结构优化与产业链延伸。项目建设目标具体如下：</w:t>
      </w:r>
    </w:p>
    <w:p w14:paraId="4BB86463">
      <w:pPr>
        <w:ind w:firstLine="480"/>
        <w:rPr>
          <w:color w:val="auto"/>
        </w:rPr>
      </w:pPr>
      <w:r>
        <w:rPr>
          <w:rFonts w:hint="eastAsia"/>
          <w:color w:val="auto"/>
        </w:rPr>
        <w:t>利用现有2#车间亚硫酸氢铵生产装置，通过切换吸收液（氨水、氢氧化钾、氢氧化钠），多元化生产亚硫酸氢铵、亚硫酸钾、亚硫酸钠溶液产品，并根据市场需求在1#车间加工为96%亚硫酸钾、96%亚硫酸钠固体产品，硫黄焚烧能力保持不变，亚硫酸氢铵现有20000吨/年产能亦保持不变；</w:t>
      </w:r>
    </w:p>
    <w:p w14:paraId="274AC030">
      <w:pPr>
        <w:ind w:firstLine="480"/>
        <w:rPr>
          <w:color w:val="auto"/>
        </w:rPr>
      </w:pPr>
      <w:r>
        <w:rPr>
          <w:rFonts w:hint="eastAsia"/>
          <w:color w:val="auto"/>
        </w:rPr>
        <w:t>利用1#车间现有硫代硫酸钠生产设备，多元化生产硫代硫酸铵、硫代硫酸钙、硫代硫酸镁、硫代硫酸钾溶液及一水亚硫酸铵等系列产品，与亚硫酸盐产品形成产业链协同，硫代硫酸钠原料药总产能保持2000吨/年不变。</w:t>
      </w:r>
    </w:p>
    <w:p w14:paraId="0C9FE114">
      <w:pPr>
        <w:ind w:firstLine="480"/>
        <w:rPr>
          <w:color w:val="auto"/>
        </w:rPr>
      </w:pPr>
      <w:r>
        <w:rPr>
          <w:rFonts w:hint="eastAsia"/>
          <w:color w:val="auto"/>
        </w:rPr>
        <w:t>该技改项目的实施，是企业应对市场变化、提升核心竞争力的重要举措。通过“一装置多产品”的柔性生产模式，可大幅提升装置利用率，降低单一产品依赖风险；通过将亚硫酸氢铵等危险化学品衍生加工为硫代硫酸盐等普通化学品，可有效降低储存风险，提升产品附加值；同时，项目依托现有生产线的环保设施，新增污染物排放量较小，既实现了“产能升级不增污”的绿色发展目标，更顺应了无机盐行业多元化、精细化的发展趋势。</w:t>
      </w:r>
    </w:p>
    <w:p w14:paraId="20036C34">
      <w:pPr>
        <w:ind w:firstLine="480"/>
        <w:rPr>
          <w:color w:val="auto"/>
        </w:rPr>
      </w:pPr>
      <w:r>
        <w:rPr>
          <w:rFonts w:hint="eastAsia"/>
          <w:color w:val="auto"/>
        </w:rPr>
        <w:t>为从环境保护角度评估该项目建设的可行性，进一步加强项目的环境保护管理，促进经济建设与环境建设的协调发展，根据《中华人民共和国环境保护法》《中华人民共和国环境影响评价法》和《建设项目环境保护管理条例》的有关规定，需对拟建开展环境影响评价工作。对照《建设项目环境影响评价分类管理名录》（2021版），拟建项目属于“二十三、专用化学产品制造 266，非单纯物理分离、物理提纯、混合及分装的”，应编制环境影响报告书。为此，建设单位委托南通国信环境科技有限公司进行该项目的环境影响评价工作，我公司接受委托后，立即组成评价工作组，通过现场踏勘、与企业工程技术人员充分沟通交流、收集项目相关基础资料，开展工程分析、环境现状调查、环境影响预测与评价等工作，在此基础上编制完成了拟建环境影响评价报告书。</w:t>
      </w:r>
    </w:p>
    <w:p w14:paraId="40CE721C">
      <w:pPr>
        <w:pStyle w:val="3"/>
        <w:spacing w:before="312"/>
        <w:rPr>
          <w:color w:val="auto"/>
        </w:rPr>
      </w:pPr>
      <w:bookmarkStart w:id="6" w:name="_Toc9273"/>
      <w:r>
        <w:rPr>
          <w:rFonts w:hint="eastAsia"/>
          <w:color w:val="auto"/>
        </w:rPr>
        <w:t>1.2</w:t>
      </w:r>
      <w:r>
        <w:rPr>
          <w:color w:val="auto"/>
        </w:rPr>
        <w:t>拟建项目特点</w:t>
      </w:r>
      <w:bookmarkEnd w:id="6"/>
    </w:p>
    <w:p w14:paraId="410053EF">
      <w:pPr>
        <w:ind w:firstLine="480"/>
        <w:rPr>
          <w:color w:val="auto"/>
        </w:rPr>
      </w:pPr>
      <w:r>
        <w:rPr>
          <w:rFonts w:hint="eastAsia"/>
          <w:color w:val="auto"/>
        </w:rPr>
        <w:t>（1）拟建性质属于改扩建，在厂区现有生产线基础上进行技改，不新增厂房，不新增用地。</w:t>
      </w:r>
    </w:p>
    <w:p w14:paraId="6D61A930">
      <w:pPr>
        <w:ind w:firstLine="480"/>
        <w:rPr>
          <w:color w:val="auto"/>
        </w:rPr>
      </w:pPr>
      <w:r>
        <w:rPr>
          <w:rFonts w:hint="eastAsia"/>
          <w:color w:val="auto"/>
        </w:rPr>
        <w:t>（2）拟建位于启东生命健康产业园，亚太药业现有厂区内，园区内环保基础设施较完善，项目建设可充分利用园区基础设施和企业现有的公用设施，且项目建设符合启东生命健康产业园园区用地规划和产业定位。</w:t>
      </w:r>
    </w:p>
    <w:p w14:paraId="685ADDFC">
      <w:pPr>
        <w:ind w:firstLine="480"/>
        <w:rPr>
          <w:color w:val="auto"/>
        </w:rPr>
      </w:pPr>
      <w:r>
        <w:rPr>
          <w:rFonts w:hint="eastAsia"/>
          <w:color w:val="auto"/>
        </w:rPr>
        <w:t>（3）拟建主要产品是亚硫酸钾溶液、过饱和亚硫酸钠溶液、固体亚硫酸钾、固体亚硫酸钠、硫代硫酸铵溶液、硫代硫酸钙溶液、硫代硫酸镁溶液、硫代硫酸钾溶液和一水亚硫酸铵。其中亚硫酸盐产品利用厂区现有2#车间内亚硫酸氢铵生产装置通过切换吸收液多元化生产，硫代硫酸盐产品利用1#车间现有硫代硫酸钠生产设备多元化生产。</w:t>
      </w:r>
    </w:p>
    <w:p w14:paraId="58EC1EA2">
      <w:pPr>
        <w:pStyle w:val="3"/>
        <w:spacing w:before="312"/>
        <w:rPr>
          <w:color w:val="auto"/>
        </w:rPr>
      </w:pPr>
      <w:bookmarkStart w:id="7" w:name="_Toc13791"/>
      <w:bookmarkStart w:id="8" w:name="_Toc13734"/>
      <w:bookmarkStart w:id="9" w:name="_Toc123892523"/>
      <w:bookmarkStart w:id="10" w:name="_Toc2587"/>
      <w:bookmarkStart w:id="11" w:name="_Toc19791"/>
      <w:r>
        <w:rPr>
          <w:rFonts w:hint="eastAsia"/>
          <w:color w:val="auto"/>
        </w:rPr>
        <w:t>1.3</w:t>
      </w:r>
      <w:r>
        <w:rPr>
          <w:color w:val="auto"/>
        </w:rPr>
        <w:t>环境影响评价工作过程</w:t>
      </w:r>
      <w:bookmarkEnd w:id="7"/>
      <w:bookmarkEnd w:id="8"/>
      <w:bookmarkEnd w:id="9"/>
      <w:bookmarkEnd w:id="10"/>
      <w:bookmarkEnd w:id="11"/>
    </w:p>
    <w:p w14:paraId="756012E7">
      <w:pPr>
        <w:ind w:firstLine="480"/>
        <w:rPr>
          <w:color w:val="auto"/>
        </w:rPr>
      </w:pPr>
      <w:r>
        <w:rPr>
          <w:rFonts w:hint="eastAsia"/>
          <w:color w:val="auto"/>
        </w:rPr>
        <w:t>建设单位委托我单位进行该项目的环境影响评价编制工作，我单位接受委托后，根据建设方提供的资料，在充分与企业技术交流、现场踏勘和资料整理的基础上，完成报告书编制并送审。</w:t>
      </w:r>
    </w:p>
    <w:p w14:paraId="01C210E6">
      <w:pPr>
        <w:ind w:firstLine="480"/>
        <w:rPr>
          <w:color w:val="auto"/>
        </w:rPr>
      </w:pPr>
      <w:r>
        <w:rPr>
          <w:rFonts w:hint="eastAsia"/>
          <w:color w:val="auto"/>
        </w:rPr>
        <w:t>具体环境影响评价工作程序见图1.3-1。</w:t>
      </w:r>
    </w:p>
    <w:p w14:paraId="0D0EE71A">
      <w:pPr>
        <w:spacing w:line="500" w:lineRule="atLeast"/>
        <w:ind w:firstLine="480"/>
        <w:jc w:val="center"/>
        <w:rPr>
          <w:color w:val="auto"/>
        </w:rPr>
      </w:pPr>
      <w:r>
        <w:rPr>
          <w:color w:val="auto"/>
        </w:rPr>
        <w:drawing>
          <wp:inline distT="0" distB="0" distL="114300" distR="114300">
            <wp:extent cx="5400040" cy="5234305"/>
            <wp:effectExtent l="0" t="0" r="10160"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9"/>
                    <a:stretch>
                      <a:fillRect/>
                    </a:stretch>
                  </pic:blipFill>
                  <pic:spPr>
                    <a:xfrm>
                      <a:off x="0" y="0"/>
                      <a:ext cx="5400040" cy="5234305"/>
                    </a:xfrm>
                    <a:prstGeom prst="rect">
                      <a:avLst/>
                    </a:prstGeom>
                    <a:noFill/>
                    <a:ln>
                      <a:noFill/>
                    </a:ln>
                  </pic:spPr>
                </pic:pic>
              </a:graphicData>
            </a:graphic>
          </wp:inline>
        </w:drawing>
      </w:r>
    </w:p>
    <w:p w14:paraId="0FC495FC">
      <w:pPr>
        <w:pStyle w:val="49"/>
        <w:rPr>
          <w:color w:val="auto"/>
        </w:rPr>
      </w:pPr>
      <w:r>
        <w:rPr>
          <w:color w:val="auto"/>
        </w:rPr>
        <w:t>图1.3</w:t>
      </w:r>
      <w:r>
        <w:rPr>
          <w:rFonts w:hint="eastAsia"/>
          <w:color w:val="auto"/>
        </w:rPr>
        <w:t>-</w:t>
      </w:r>
      <w:r>
        <w:rPr>
          <w:color w:val="auto"/>
        </w:rPr>
        <w:t xml:space="preserve">1 </w:t>
      </w:r>
      <w:r>
        <w:rPr>
          <w:rFonts w:hint="eastAsia"/>
          <w:color w:val="auto"/>
        </w:rPr>
        <w:t xml:space="preserve"> </w:t>
      </w:r>
      <w:r>
        <w:rPr>
          <w:color w:val="auto"/>
        </w:rPr>
        <w:t>建设项目环境影响评价工作程序图</w:t>
      </w:r>
    </w:p>
    <w:p w14:paraId="03BA9E3C">
      <w:pPr>
        <w:pStyle w:val="3"/>
        <w:spacing w:before="312"/>
        <w:rPr>
          <w:color w:val="auto"/>
        </w:rPr>
      </w:pPr>
      <w:bookmarkStart w:id="12" w:name="_Toc22971"/>
      <w:bookmarkStart w:id="13" w:name="_Toc123892524"/>
      <w:bookmarkStart w:id="14" w:name="_Toc26305"/>
      <w:bookmarkStart w:id="15" w:name="_Toc8392"/>
      <w:bookmarkStart w:id="16" w:name="_Toc27908"/>
      <w:r>
        <w:rPr>
          <w:rFonts w:hint="eastAsia"/>
          <w:color w:val="auto"/>
        </w:rPr>
        <w:t>1.4</w:t>
      </w:r>
      <w:r>
        <w:rPr>
          <w:color w:val="auto"/>
        </w:rPr>
        <w:t>分析判定相关情况</w:t>
      </w:r>
      <w:bookmarkEnd w:id="12"/>
      <w:bookmarkEnd w:id="13"/>
      <w:bookmarkEnd w:id="14"/>
      <w:bookmarkEnd w:id="15"/>
      <w:bookmarkEnd w:id="16"/>
    </w:p>
    <w:p w14:paraId="29552925">
      <w:pPr>
        <w:pStyle w:val="4"/>
        <w:rPr>
          <w:color w:val="auto"/>
        </w:rPr>
      </w:pPr>
      <w:bookmarkStart w:id="17" w:name="_Toc16048"/>
      <w:r>
        <w:rPr>
          <w:rFonts w:hint="eastAsia"/>
          <w:color w:val="auto"/>
        </w:rPr>
        <w:t>1.4.1</w:t>
      </w:r>
      <w:r>
        <w:rPr>
          <w:color w:val="auto"/>
        </w:rPr>
        <w:t>相关产业政策相符性</w:t>
      </w:r>
      <w:bookmarkEnd w:id="17"/>
    </w:p>
    <w:p w14:paraId="7DF7701C">
      <w:pPr>
        <w:ind w:firstLine="480"/>
        <w:rPr>
          <w:color w:val="auto"/>
        </w:rPr>
      </w:pPr>
      <w:r>
        <w:rPr>
          <w:color w:val="auto"/>
        </w:rPr>
        <w:t>对照《产业结构调整指导目录(2024年本)》</w:t>
      </w:r>
      <w:r>
        <w:rPr>
          <w:rFonts w:hint="eastAsia"/>
          <w:color w:val="auto"/>
        </w:rPr>
        <w:t>，拟建</w:t>
      </w:r>
      <w:r>
        <w:rPr>
          <w:color w:val="auto"/>
        </w:rPr>
        <w:t>项目不属于限制类、淘汰类项目，符合相关规定和要求。</w:t>
      </w:r>
    </w:p>
    <w:p w14:paraId="47ACCC58">
      <w:pPr>
        <w:ind w:firstLine="480"/>
        <w:rPr>
          <w:color w:val="auto"/>
        </w:rPr>
      </w:pPr>
      <w:r>
        <w:rPr>
          <w:color w:val="auto"/>
        </w:rPr>
        <w:t>根据《2017国民经济行业分类》，</w:t>
      </w:r>
      <w:r>
        <w:rPr>
          <w:rFonts w:hint="eastAsia"/>
          <w:color w:val="auto"/>
        </w:rPr>
        <w:t>拟建</w:t>
      </w:r>
      <w:r>
        <w:rPr>
          <w:color w:val="auto"/>
        </w:rPr>
        <w:t>项目</w:t>
      </w:r>
      <w:r>
        <w:rPr>
          <w:rFonts w:hint="eastAsia"/>
          <w:color w:val="auto"/>
        </w:rPr>
        <w:t>属于</w:t>
      </w:r>
      <w:r>
        <w:rPr>
          <w:color w:val="auto"/>
        </w:rPr>
        <w:t>C</w:t>
      </w:r>
      <w:r>
        <w:rPr>
          <w:rFonts w:hint="eastAsia"/>
          <w:color w:val="auto"/>
        </w:rPr>
        <w:t>2613无机盐</w:t>
      </w:r>
      <w:r>
        <w:rPr>
          <w:color w:val="auto"/>
        </w:rPr>
        <w:t>制造</w:t>
      </w:r>
      <w:r>
        <w:rPr>
          <w:rFonts w:hint="eastAsia"/>
          <w:color w:val="auto"/>
        </w:rPr>
        <w:t>。</w:t>
      </w:r>
    </w:p>
    <w:p w14:paraId="52FB5C67">
      <w:pPr>
        <w:ind w:firstLine="480"/>
        <w:rPr>
          <w:color w:val="auto"/>
        </w:rPr>
      </w:pPr>
      <w:r>
        <w:rPr>
          <w:color w:val="auto"/>
        </w:rPr>
        <w:t>对照《江苏省化工产业结构调整限制和淘汰目录（2025年本）》，拟建项目产品及生产装置均不涉及限制和淘汰项目。</w:t>
      </w:r>
    </w:p>
    <w:p w14:paraId="5E61EDAF">
      <w:pPr>
        <w:ind w:firstLine="480"/>
        <w:rPr>
          <w:color w:val="auto"/>
        </w:rPr>
      </w:pPr>
      <w:r>
        <w:rPr>
          <w:color w:val="auto"/>
        </w:rPr>
        <w:t>对照《市政府办公室关于印发南通市危险化学品建设项目禁止、限制和控制目录（2023年本）的通知》，拟建项目不涉及禁止类、限制类、控制类项目。</w:t>
      </w:r>
    </w:p>
    <w:p w14:paraId="63C0AE6A">
      <w:pPr>
        <w:pStyle w:val="4"/>
        <w:tabs>
          <w:tab w:val="left" w:pos="2490"/>
        </w:tabs>
        <w:spacing w:before="158" w:after="158" w:line="500" w:lineRule="atLeast"/>
        <w:rPr>
          <w:color w:val="auto"/>
        </w:rPr>
      </w:pPr>
      <w:bookmarkStart w:id="18" w:name="_Toc20095"/>
      <w:r>
        <w:rPr>
          <w:rFonts w:hint="eastAsia"/>
          <w:color w:val="auto"/>
        </w:rPr>
        <w:t>1.4.2</w:t>
      </w:r>
      <w:r>
        <w:rPr>
          <w:color w:val="auto"/>
        </w:rPr>
        <w:t>规划</w:t>
      </w:r>
      <w:r>
        <w:rPr>
          <w:rStyle w:val="51"/>
          <w:b/>
          <w:bCs/>
          <w:color w:val="auto"/>
        </w:rPr>
        <w:t>及</w:t>
      </w:r>
      <w:r>
        <w:rPr>
          <w:color w:val="auto"/>
        </w:rPr>
        <w:t>规划环评相符性</w:t>
      </w:r>
      <w:bookmarkEnd w:id="18"/>
    </w:p>
    <w:p w14:paraId="0571EE7C">
      <w:pPr>
        <w:ind w:firstLine="480"/>
        <w:rPr>
          <w:color w:val="auto"/>
        </w:rPr>
      </w:pPr>
      <w:r>
        <w:rPr>
          <w:rFonts w:hint="eastAsia"/>
          <w:color w:val="auto"/>
        </w:rPr>
        <w:t>（1）</w:t>
      </w:r>
      <w:r>
        <w:rPr>
          <w:color w:val="auto"/>
        </w:rPr>
        <w:t>对照《启东生命健康产业园开发建设规划修编</w:t>
      </w:r>
      <w:r>
        <w:rPr>
          <w:rFonts w:hint="eastAsia"/>
          <w:color w:val="auto"/>
        </w:rPr>
        <w:t>（</w:t>
      </w:r>
      <w:r>
        <w:rPr>
          <w:color w:val="auto"/>
        </w:rPr>
        <w:t>2023-2035年</w:t>
      </w:r>
      <w:r>
        <w:rPr>
          <w:rFonts w:hint="eastAsia"/>
          <w:color w:val="auto"/>
        </w:rPr>
        <w:t>）</w:t>
      </w:r>
      <w:r>
        <w:rPr>
          <w:color w:val="auto"/>
        </w:rPr>
        <w:t>环境影响报告书》远期土地利用规划图，</w:t>
      </w:r>
      <w:r>
        <w:rPr>
          <w:rFonts w:hint="eastAsia"/>
          <w:color w:val="auto"/>
        </w:rPr>
        <w:t>拟建</w:t>
      </w:r>
      <w:r>
        <w:rPr>
          <w:color w:val="auto"/>
        </w:rPr>
        <w:t>项目</w:t>
      </w:r>
      <w:r>
        <w:rPr>
          <w:rFonts w:hint="eastAsia"/>
          <w:color w:val="auto"/>
        </w:rPr>
        <w:t>位于现有用地</w:t>
      </w:r>
      <w:r>
        <w:rPr>
          <w:color w:val="auto"/>
        </w:rPr>
        <w:t>规划中的“三类工业用地”，符合用地规划要求</w:t>
      </w:r>
      <w:r>
        <w:rPr>
          <w:rFonts w:hint="eastAsia"/>
          <w:color w:val="auto"/>
        </w:rPr>
        <w:t>。</w:t>
      </w:r>
    </w:p>
    <w:p w14:paraId="5E007779">
      <w:pPr>
        <w:ind w:firstLine="480"/>
        <w:rPr>
          <w:color w:val="auto"/>
        </w:rPr>
      </w:pPr>
      <w:r>
        <w:rPr>
          <w:rFonts w:hint="eastAsia"/>
          <w:color w:val="auto"/>
        </w:rPr>
        <w:t>（2）根据《启东生命健康产业园开发建设规划修编（2023-2035年）环境影响报告书》，围绕园区产业高质量发展一个目标；坚持培育做大生物医药、新材料二大产业集群，推动“生产水平、产品质量、产业竞争力”三大提升，实现总体产值、平均利润率、亩均税收三项增长，形成产业布局集聚化、产品品种多样化、工艺设备智能化、能源利用高效化、产学研用一体化高质量发展的生命健康产业园，打造全省产业园区转型升级和高质量发展标杆。拟建项目位于启东生命健康产业园苏州路58号，项目行业类别为无机盐制造，项目生产的项目生产的硫代硫酸盐、亚硫酸盐可作为医药辅料、试剂、生产助剂，用于生物医药研发、药品生产、制剂加工等环节，是生物医药产业链的配套基础原料，可服务园区生物医药产业集群发展，助力完善本地医药上下游配套体系，与园区产业定位相符。</w:t>
      </w:r>
    </w:p>
    <w:p w14:paraId="03E3DEB4">
      <w:pPr>
        <w:spacing w:line="500" w:lineRule="atLeast"/>
        <w:ind w:firstLine="480"/>
        <w:rPr>
          <w:color w:val="auto"/>
          <w:szCs w:val="22"/>
        </w:rPr>
      </w:pPr>
      <w:r>
        <w:rPr>
          <w:rFonts w:hint="eastAsia"/>
          <w:color w:val="auto"/>
          <w:szCs w:val="22"/>
        </w:rPr>
        <w:t>（3）根据《启东生命健康产业园开发建设规划修编（2023-2035年）环境影响报告书》的审查意见（通启东环[2023]35号），南通市启东生态环境局对园区内项目的主要要求及拟建项目的符合性分析见下表。经分析，拟建项目建设符合规划环评审查意见。</w:t>
      </w:r>
    </w:p>
    <w:p w14:paraId="57E34CA5">
      <w:pPr>
        <w:pStyle w:val="49"/>
        <w:rPr>
          <w:color w:val="auto"/>
        </w:rPr>
      </w:pPr>
      <w:r>
        <w:rPr>
          <w:color w:val="auto"/>
        </w:rPr>
        <w:t>表</w:t>
      </w:r>
      <w:r>
        <w:rPr>
          <w:rFonts w:hint="eastAsia"/>
          <w:color w:val="auto"/>
        </w:rPr>
        <w:t>1.4-1</w:t>
      </w:r>
      <w:r>
        <w:rPr>
          <w:color w:val="auto"/>
        </w:rPr>
        <w:t xml:space="preserve"> </w:t>
      </w:r>
      <w:r>
        <w:rPr>
          <w:rFonts w:hint="eastAsia"/>
          <w:color w:val="auto"/>
        </w:rPr>
        <w:t xml:space="preserve"> </w:t>
      </w:r>
      <w:r>
        <w:rPr>
          <w:color w:val="auto"/>
        </w:rPr>
        <w:t>拟建项目与园区规划环评</w:t>
      </w:r>
      <w:r>
        <w:rPr>
          <w:rFonts w:hint="eastAsia"/>
          <w:color w:val="auto"/>
        </w:rPr>
        <w:t>审查意见</w:t>
      </w:r>
      <w:r>
        <w:rPr>
          <w:color w:val="auto"/>
        </w:rPr>
        <w:t>的符合性分析</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4553"/>
        <w:gridCol w:w="4287"/>
        <w:gridCol w:w="798"/>
      </w:tblGrid>
      <w:tr w14:paraId="4BDC74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4553" w:type="dxa"/>
            <w:tcBorders>
              <w:tl2br w:val="nil"/>
              <w:tr2bl w:val="nil"/>
            </w:tcBorders>
            <w:vAlign w:val="center"/>
          </w:tcPr>
          <w:p w14:paraId="46004B0E">
            <w:pPr>
              <w:spacing w:line="240" w:lineRule="auto"/>
              <w:ind w:firstLine="0" w:firstLineChars="0"/>
              <w:jc w:val="center"/>
              <w:rPr>
                <w:b/>
                <w:bCs/>
                <w:color w:val="auto"/>
                <w:kern w:val="0"/>
                <w:sz w:val="21"/>
                <w:szCs w:val="21"/>
              </w:rPr>
            </w:pPr>
            <w:r>
              <w:rPr>
                <w:b/>
                <w:bCs/>
                <w:color w:val="auto"/>
                <w:kern w:val="0"/>
                <w:sz w:val="21"/>
                <w:szCs w:val="21"/>
              </w:rPr>
              <w:t>文件内容</w:t>
            </w:r>
          </w:p>
        </w:tc>
        <w:tc>
          <w:tcPr>
            <w:tcW w:w="4287" w:type="dxa"/>
            <w:tcBorders>
              <w:tl2br w:val="nil"/>
              <w:tr2bl w:val="nil"/>
            </w:tcBorders>
            <w:vAlign w:val="center"/>
          </w:tcPr>
          <w:p w14:paraId="144C2E42">
            <w:pPr>
              <w:spacing w:line="240" w:lineRule="auto"/>
              <w:ind w:firstLine="0" w:firstLineChars="0"/>
              <w:jc w:val="center"/>
              <w:rPr>
                <w:b/>
                <w:bCs/>
                <w:color w:val="auto"/>
                <w:spacing w:val="11"/>
                <w:kern w:val="0"/>
                <w:sz w:val="21"/>
                <w:szCs w:val="21"/>
              </w:rPr>
            </w:pPr>
            <w:r>
              <w:rPr>
                <w:rFonts w:hint="eastAsia"/>
                <w:b/>
                <w:bCs/>
                <w:color w:val="auto"/>
                <w:spacing w:val="11"/>
                <w:kern w:val="0"/>
                <w:sz w:val="21"/>
                <w:szCs w:val="21"/>
              </w:rPr>
              <w:t>拟建项目</w:t>
            </w:r>
            <w:r>
              <w:rPr>
                <w:b/>
                <w:bCs/>
                <w:color w:val="auto"/>
                <w:spacing w:val="11"/>
                <w:kern w:val="0"/>
                <w:sz w:val="21"/>
                <w:szCs w:val="21"/>
              </w:rPr>
              <w:t>情况</w:t>
            </w:r>
          </w:p>
        </w:tc>
        <w:tc>
          <w:tcPr>
            <w:tcW w:w="798" w:type="dxa"/>
            <w:tcBorders>
              <w:tl2br w:val="nil"/>
              <w:tr2bl w:val="nil"/>
            </w:tcBorders>
            <w:vAlign w:val="center"/>
          </w:tcPr>
          <w:p w14:paraId="4997491B">
            <w:pPr>
              <w:spacing w:line="240" w:lineRule="auto"/>
              <w:ind w:firstLine="0" w:firstLineChars="0"/>
              <w:jc w:val="center"/>
              <w:rPr>
                <w:b/>
                <w:bCs/>
                <w:color w:val="auto"/>
                <w:kern w:val="0"/>
                <w:sz w:val="21"/>
                <w:szCs w:val="21"/>
              </w:rPr>
            </w:pPr>
            <w:r>
              <w:rPr>
                <w:b/>
                <w:bCs/>
                <w:color w:val="auto"/>
                <w:kern w:val="0"/>
                <w:sz w:val="21"/>
                <w:szCs w:val="21"/>
              </w:rPr>
              <w:t>相符性</w:t>
            </w:r>
          </w:p>
        </w:tc>
      </w:tr>
      <w:tr w14:paraId="4CFCB0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4553" w:type="dxa"/>
            <w:tcBorders>
              <w:tl2br w:val="nil"/>
              <w:tr2bl w:val="nil"/>
            </w:tcBorders>
            <w:vAlign w:val="center"/>
          </w:tcPr>
          <w:p w14:paraId="1C2109EC">
            <w:pPr>
              <w:spacing w:line="240" w:lineRule="auto"/>
              <w:ind w:firstLine="0" w:firstLineChars="0"/>
              <w:jc w:val="center"/>
              <w:rPr>
                <w:color w:val="auto"/>
                <w:kern w:val="0"/>
                <w:sz w:val="21"/>
                <w:szCs w:val="21"/>
              </w:rPr>
            </w:pPr>
            <w:r>
              <w:rPr>
                <w:rFonts w:hint="eastAsia"/>
                <w:color w:val="auto"/>
                <w:kern w:val="0"/>
                <w:sz w:val="21"/>
                <w:szCs w:val="21"/>
              </w:rPr>
              <w:t>严格空间管控，优化区内空间布局。做好规划控制和生态隔离带建设，落实《报告书》提出的规划工业用地周边空间防护距离、拟引进项目类型及污染控制要求，加强工业区与周边用地、长江、海门市沿江堤防生态公益林等环境敏感目标的空间保护，避免对生态环境保护、人居环境安全等造成不良环境影响，确保园区产业布局与生态环境保护、人居环境安全相协调。</w:t>
            </w:r>
          </w:p>
          <w:p w14:paraId="6367034B">
            <w:pPr>
              <w:spacing w:line="240" w:lineRule="auto"/>
              <w:ind w:firstLine="0" w:firstLineChars="0"/>
              <w:jc w:val="center"/>
              <w:rPr>
                <w:color w:val="auto"/>
                <w:kern w:val="0"/>
                <w:sz w:val="21"/>
                <w:szCs w:val="21"/>
              </w:rPr>
            </w:pPr>
            <w:r>
              <w:rPr>
                <w:rFonts w:hint="eastAsia"/>
                <w:color w:val="auto"/>
                <w:kern w:val="0"/>
                <w:sz w:val="21"/>
                <w:szCs w:val="21"/>
              </w:rPr>
              <w:t>产业园部分区域及企业位于长江干支流岸线一公里范围内，应严格按照《中华人民共和国长江保护法》《&lt;长江经济带发展负面清单指南(试行，2022年版)&gt;江苏省实施细则》的管控要求，禁止在长江干支流岸线一公里范围内新建、扩建化工园区和化工项目。</w:t>
            </w:r>
          </w:p>
          <w:p w14:paraId="5B28B041">
            <w:pPr>
              <w:spacing w:line="240" w:lineRule="auto"/>
              <w:ind w:firstLine="0" w:firstLineChars="0"/>
              <w:jc w:val="center"/>
              <w:rPr>
                <w:color w:val="auto"/>
                <w:kern w:val="0"/>
                <w:sz w:val="21"/>
                <w:szCs w:val="21"/>
              </w:rPr>
            </w:pPr>
            <w:r>
              <w:rPr>
                <w:rFonts w:hint="eastAsia"/>
                <w:color w:val="auto"/>
                <w:kern w:val="0"/>
                <w:sz w:val="21"/>
                <w:szCs w:val="21"/>
              </w:rPr>
              <w:t>产业园应加强与自然资源规划部门对接，将园区规划用地纳入国土空间规划中统筹考虑，确保本次规划用地满足国土空间规划的管控要求。</w:t>
            </w:r>
          </w:p>
          <w:p w14:paraId="447176A0">
            <w:pPr>
              <w:spacing w:line="240" w:lineRule="auto"/>
              <w:ind w:firstLine="0" w:firstLineChars="0"/>
              <w:jc w:val="center"/>
              <w:rPr>
                <w:color w:val="auto"/>
                <w:kern w:val="0"/>
                <w:sz w:val="21"/>
                <w:szCs w:val="21"/>
              </w:rPr>
            </w:pPr>
            <w:r>
              <w:rPr>
                <w:rFonts w:hint="eastAsia"/>
                <w:color w:val="auto"/>
                <w:kern w:val="0"/>
                <w:sz w:val="21"/>
                <w:szCs w:val="21"/>
              </w:rPr>
              <w:t>沿江200m岸线内未开发用地不再开发，规划作为绿地，200m岸线内已开发用地按照最小控制宽度100m的要求退让，确保沿江100m范围无工业用地。</w:t>
            </w:r>
          </w:p>
        </w:tc>
        <w:tc>
          <w:tcPr>
            <w:tcW w:w="4287" w:type="dxa"/>
            <w:tcBorders>
              <w:tl2br w:val="nil"/>
              <w:tr2bl w:val="nil"/>
            </w:tcBorders>
            <w:vAlign w:val="center"/>
          </w:tcPr>
          <w:p w14:paraId="01F6331C">
            <w:pPr>
              <w:spacing w:line="240" w:lineRule="auto"/>
              <w:ind w:firstLine="0" w:firstLineChars="0"/>
              <w:jc w:val="center"/>
              <w:rPr>
                <w:color w:val="auto"/>
                <w:spacing w:val="11"/>
                <w:kern w:val="0"/>
                <w:sz w:val="21"/>
                <w:szCs w:val="21"/>
              </w:rPr>
            </w:pPr>
            <w:r>
              <w:rPr>
                <w:rFonts w:hint="eastAsia"/>
                <w:color w:val="auto"/>
                <w:spacing w:val="11"/>
                <w:kern w:val="0"/>
                <w:sz w:val="21"/>
                <w:szCs w:val="21"/>
              </w:rPr>
              <w:t>拟建项目选址位于启东亚太现有厂区内，生命健康产业园苏州路58号，不在长江干支流岸线一公里范围内。</w:t>
            </w:r>
          </w:p>
        </w:tc>
        <w:tc>
          <w:tcPr>
            <w:tcW w:w="798" w:type="dxa"/>
            <w:tcBorders>
              <w:tl2br w:val="nil"/>
              <w:tr2bl w:val="nil"/>
            </w:tcBorders>
            <w:vAlign w:val="center"/>
          </w:tcPr>
          <w:p w14:paraId="5D136AFF">
            <w:pPr>
              <w:spacing w:line="240" w:lineRule="auto"/>
              <w:ind w:firstLine="0" w:firstLineChars="0"/>
              <w:jc w:val="center"/>
              <w:rPr>
                <w:color w:val="auto"/>
                <w:kern w:val="0"/>
                <w:sz w:val="21"/>
                <w:szCs w:val="21"/>
              </w:rPr>
            </w:pPr>
            <w:r>
              <w:rPr>
                <w:color w:val="auto"/>
                <w:kern w:val="0"/>
                <w:sz w:val="21"/>
                <w:szCs w:val="21"/>
              </w:rPr>
              <w:t>相符</w:t>
            </w:r>
          </w:p>
        </w:tc>
      </w:tr>
      <w:tr w14:paraId="06AFE0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4553" w:type="dxa"/>
            <w:tcBorders>
              <w:tl2br w:val="nil"/>
              <w:tr2bl w:val="nil"/>
            </w:tcBorders>
            <w:vAlign w:val="center"/>
          </w:tcPr>
          <w:p w14:paraId="506ABBAB">
            <w:pPr>
              <w:spacing w:line="240" w:lineRule="auto"/>
              <w:ind w:firstLine="0" w:firstLineChars="0"/>
              <w:jc w:val="center"/>
              <w:rPr>
                <w:color w:val="auto"/>
                <w:kern w:val="0"/>
                <w:sz w:val="21"/>
                <w:szCs w:val="21"/>
              </w:rPr>
            </w:pPr>
            <w:r>
              <w:rPr>
                <w:rFonts w:hint="eastAsia"/>
                <w:color w:val="auto"/>
                <w:kern w:val="0"/>
                <w:sz w:val="21"/>
                <w:szCs w:val="21"/>
              </w:rPr>
              <w:t>完善环境基础设施。完善区内污水收集管网建设，确保区内废水全收集，全处理。推进污水厂中水回用设施及管网建设，落实中水回用方案和回用途径，提高园区中水回用率，减缓废水排放对长江的影响。禁止新增涉及开采地下水项目。严禁建设燃煤锅炉，新建工业炉窑及锅炉需使用清洁能源。强化园区水环境综合整治，进一步提高区域水环境容量和质量。对工业废水接入园区污水处理厂的企业开展排查评估，完善企业中水回用和废水预处理措施。推进区内入河排污口整治并完善相关工作，建立名录，强化日常监管。加强区内固体废弃物减量化、资源化、无害化处理，危险废物须依法依规收集、处理处置，做到“就地分类收集，就近转移处置”。</w:t>
            </w:r>
          </w:p>
          <w:p w14:paraId="1518669F">
            <w:pPr>
              <w:spacing w:line="240" w:lineRule="auto"/>
              <w:ind w:firstLine="0" w:firstLineChars="0"/>
              <w:jc w:val="center"/>
              <w:rPr>
                <w:color w:val="auto"/>
                <w:kern w:val="0"/>
                <w:sz w:val="21"/>
                <w:szCs w:val="21"/>
              </w:rPr>
            </w:pPr>
            <w:r>
              <w:rPr>
                <w:rFonts w:hint="eastAsia"/>
                <w:color w:val="auto"/>
                <w:kern w:val="0"/>
                <w:sz w:val="21"/>
                <w:szCs w:val="21"/>
              </w:rPr>
              <w:t>对照关于印发《江苏省十四五长江经济带城镇污水垃圾处理实施规划》的通知(苏长江办发〔2022〕56 号)、《省政府办公厅关于加快推进城市污水处理能力建设全面提升污水集中收集处理率的实施意见》(苏政办〔2022〕42号)文件要求，逐步推进工业废水与生活污水分类收集、分质处理。</w:t>
            </w:r>
          </w:p>
        </w:tc>
        <w:tc>
          <w:tcPr>
            <w:tcW w:w="4287" w:type="dxa"/>
            <w:tcBorders>
              <w:tl2br w:val="nil"/>
              <w:tr2bl w:val="nil"/>
            </w:tcBorders>
            <w:vAlign w:val="center"/>
          </w:tcPr>
          <w:p w14:paraId="64259EAD">
            <w:pPr>
              <w:spacing w:line="240" w:lineRule="auto"/>
              <w:ind w:firstLine="0" w:firstLineChars="0"/>
              <w:jc w:val="center"/>
              <w:rPr>
                <w:color w:val="auto"/>
                <w:spacing w:val="11"/>
                <w:kern w:val="0"/>
                <w:sz w:val="21"/>
                <w:szCs w:val="21"/>
              </w:rPr>
            </w:pPr>
            <w:r>
              <w:rPr>
                <w:rFonts w:hint="eastAsia"/>
                <w:color w:val="auto"/>
                <w:spacing w:val="11"/>
                <w:kern w:val="0"/>
                <w:sz w:val="21"/>
                <w:szCs w:val="21"/>
              </w:rPr>
              <w:t>拟建项目不属于新增涉及开采地下水项目，不建设燃煤锅炉。</w:t>
            </w:r>
          </w:p>
        </w:tc>
        <w:tc>
          <w:tcPr>
            <w:tcW w:w="798" w:type="dxa"/>
            <w:tcBorders>
              <w:tl2br w:val="nil"/>
              <w:tr2bl w:val="nil"/>
            </w:tcBorders>
            <w:vAlign w:val="center"/>
          </w:tcPr>
          <w:p w14:paraId="1245468A">
            <w:pPr>
              <w:spacing w:line="240" w:lineRule="auto"/>
              <w:ind w:firstLine="0" w:firstLineChars="0"/>
              <w:jc w:val="center"/>
              <w:rPr>
                <w:color w:val="auto"/>
                <w:kern w:val="0"/>
                <w:sz w:val="21"/>
                <w:szCs w:val="21"/>
              </w:rPr>
            </w:pPr>
            <w:r>
              <w:rPr>
                <w:color w:val="auto"/>
                <w:kern w:val="0"/>
                <w:sz w:val="21"/>
                <w:szCs w:val="21"/>
              </w:rPr>
              <w:t>相符</w:t>
            </w:r>
          </w:p>
        </w:tc>
      </w:tr>
      <w:tr w14:paraId="7F4A5A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4553" w:type="dxa"/>
            <w:tcBorders>
              <w:tl2br w:val="nil"/>
              <w:tr2bl w:val="nil"/>
            </w:tcBorders>
            <w:vAlign w:val="center"/>
          </w:tcPr>
          <w:p w14:paraId="24574758">
            <w:pPr>
              <w:spacing w:line="240" w:lineRule="auto"/>
              <w:ind w:firstLine="0" w:firstLineChars="0"/>
              <w:jc w:val="center"/>
              <w:rPr>
                <w:color w:val="auto"/>
                <w:kern w:val="0"/>
                <w:sz w:val="21"/>
                <w:szCs w:val="21"/>
              </w:rPr>
            </w:pPr>
            <w:r>
              <w:rPr>
                <w:rFonts w:hint="eastAsia"/>
                <w:color w:val="auto"/>
                <w:kern w:val="0"/>
                <w:sz w:val="21"/>
                <w:szCs w:val="21"/>
              </w:rPr>
              <w:t>严守环境质量底线，实施污染物排放限值限量管理。建设以环境质量为核心的污染物总量控制制度。落实生态环境准入清单中的污染物排放控制要求，采取有效措施减少大气、水主要污染物和特征污染物的排放总量，推进主要污染物排放浓度和总量“双管控”,化工企业应按照国家和省有关规定对其关闭、搬迁遗留地块开展土壤污染状况调查、风险评估、风险管控和修复，确保区域环境质量持续改善。</w:t>
            </w:r>
          </w:p>
        </w:tc>
        <w:tc>
          <w:tcPr>
            <w:tcW w:w="4287" w:type="dxa"/>
            <w:tcBorders>
              <w:tl2br w:val="nil"/>
              <w:tr2bl w:val="nil"/>
            </w:tcBorders>
            <w:vAlign w:val="center"/>
          </w:tcPr>
          <w:p w14:paraId="3C8AD8B0">
            <w:pPr>
              <w:spacing w:line="240" w:lineRule="auto"/>
              <w:ind w:firstLine="0" w:firstLineChars="0"/>
              <w:jc w:val="center"/>
              <w:rPr>
                <w:color w:val="auto"/>
                <w:spacing w:val="11"/>
                <w:kern w:val="0"/>
                <w:sz w:val="21"/>
                <w:szCs w:val="21"/>
              </w:rPr>
            </w:pPr>
            <w:r>
              <w:rPr>
                <w:rFonts w:hint="eastAsia"/>
                <w:color w:val="auto"/>
                <w:spacing w:val="11"/>
                <w:kern w:val="0"/>
                <w:sz w:val="21"/>
                <w:szCs w:val="21"/>
              </w:rPr>
              <w:t>拟建项目为改扩建项目，废气污染物总量不新增，增加的废水总量通过园区污水厂的处理余量消纳项目建设完成后，持续推进土壤和地下水隐患排查，建立地下水环境长期监测预警管控机制，现有地块无遗留环保问题。</w:t>
            </w:r>
          </w:p>
        </w:tc>
        <w:tc>
          <w:tcPr>
            <w:tcW w:w="798" w:type="dxa"/>
            <w:tcBorders>
              <w:tl2br w:val="nil"/>
              <w:tr2bl w:val="nil"/>
            </w:tcBorders>
            <w:vAlign w:val="center"/>
          </w:tcPr>
          <w:p w14:paraId="35A7BEAA">
            <w:pPr>
              <w:spacing w:line="240" w:lineRule="auto"/>
              <w:ind w:firstLine="0" w:firstLineChars="0"/>
              <w:jc w:val="center"/>
              <w:rPr>
                <w:color w:val="auto"/>
                <w:kern w:val="0"/>
                <w:sz w:val="21"/>
                <w:szCs w:val="21"/>
              </w:rPr>
            </w:pPr>
            <w:r>
              <w:rPr>
                <w:color w:val="auto"/>
                <w:kern w:val="0"/>
                <w:sz w:val="21"/>
                <w:szCs w:val="21"/>
              </w:rPr>
              <w:t>相符</w:t>
            </w:r>
          </w:p>
        </w:tc>
      </w:tr>
      <w:tr w14:paraId="1F670C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4553" w:type="dxa"/>
            <w:tcBorders>
              <w:tl2br w:val="nil"/>
              <w:tr2bl w:val="nil"/>
            </w:tcBorders>
            <w:vAlign w:val="center"/>
          </w:tcPr>
          <w:p w14:paraId="62873250">
            <w:pPr>
              <w:spacing w:line="240" w:lineRule="auto"/>
              <w:ind w:firstLine="0" w:firstLineChars="0"/>
              <w:jc w:val="center"/>
              <w:rPr>
                <w:color w:val="auto"/>
                <w:kern w:val="0"/>
                <w:sz w:val="21"/>
                <w:szCs w:val="21"/>
              </w:rPr>
            </w:pPr>
            <w:r>
              <w:rPr>
                <w:rFonts w:hint="eastAsia"/>
                <w:color w:val="auto"/>
                <w:kern w:val="0"/>
                <w:sz w:val="21"/>
                <w:szCs w:val="21"/>
              </w:rPr>
              <w:t>严格入区项目生态环境准入，推动高质量发展。落实《报告书》提出的生态环境准入要求，强化入区企业挥发性有机物等特征污染物排放控制，禁止与主导产业不相关且污染物排放量大的项目入区，执行最严格的行业废水、废气排放控制指标，引进项目的生产工艺、设备，以及单位产品能耗、污染物排放和资源利用效率等均需达到同行业国内先进水平。严格控制新增使用《危险化学品名录》所列剧毒化学品、使用或产生恶臭物质的生产项目。区内须全面开展清洁生产审核，推动重点行业依法实 施强制性审核，推进园区绿色低碳转型发展，实现减污降碳协同增效目标。</w:t>
            </w:r>
          </w:p>
        </w:tc>
        <w:tc>
          <w:tcPr>
            <w:tcW w:w="4287" w:type="dxa"/>
            <w:tcBorders>
              <w:tl2br w:val="nil"/>
              <w:tr2bl w:val="nil"/>
            </w:tcBorders>
            <w:vAlign w:val="center"/>
          </w:tcPr>
          <w:p w14:paraId="7A195A04">
            <w:pPr>
              <w:spacing w:line="240" w:lineRule="auto"/>
              <w:ind w:firstLine="0" w:firstLineChars="0"/>
              <w:jc w:val="center"/>
              <w:rPr>
                <w:color w:val="auto"/>
                <w:spacing w:val="11"/>
                <w:kern w:val="0"/>
                <w:sz w:val="21"/>
                <w:szCs w:val="21"/>
              </w:rPr>
            </w:pPr>
            <w:r>
              <w:rPr>
                <w:rFonts w:hint="eastAsia"/>
                <w:color w:val="auto"/>
                <w:spacing w:val="11"/>
                <w:kern w:val="0"/>
                <w:sz w:val="21"/>
                <w:szCs w:val="21"/>
              </w:rPr>
              <w:t>拟建项目位于启动亚太现有厂区内启东生命健康产业园苏州路58号，拟建项目行业类别为无机盐制造，项目生产的硫代硫酸盐、亚硫酸盐可作为医药辅料、试剂、生产助剂，用于生物医药研发、药品生产、制剂加工等环节，是生物医药产业链的配套基础原料，可服务园区生物医药产业集群发展，助力完善本地医药上下游配套体系，与园区产业定位相符。</w:t>
            </w:r>
          </w:p>
          <w:p w14:paraId="018F3356">
            <w:pPr>
              <w:spacing w:line="240" w:lineRule="auto"/>
              <w:ind w:firstLine="0" w:firstLineChars="0"/>
              <w:jc w:val="center"/>
              <w:rPr>
                <w:color w:val="auto"/>
                <w:spacing w:val="11"/>
                <w:kern w:val="0"/>
                <w:sz w:val="21"/>
                <w:szCs w:val="21"/>
              </w:rPr>
            </w:pPr>
            <w:r>
              <w:rPr>
                <w:rFonts w:hint="eastAsia"/>
                <w:color w:val="auto"/>
                <w:spacing w:val="11"/>
                <w:kern w:val="0"/>
                <w:sz w:val="21"/>
                <w:szCs w:val="21"/>
              </w:rPr>
              <w:t>项目各装置均依托现有工艺技术和装备，其生产技术及工艺、水耗物耗能耗、产排污情况及环境管理等方面清洁生产水平在国内处于先进水平。</w:t>
            </w:r>
          </w:p>
          <w:p w14:paraId="77A20F6F">
            <w:pPr>
              <w:spacing w:line="240" w:lineRule="auto"/>
              <w:ind w:firstLine="0" w:firstLineChars="0"/>
              <w:jc w:val="center"/>
              <w:rPr>
                <w:color w:val="auto"/>
                <w:spacing w:val="11"/>
                <w:kern w:val="0"/>
                <w:sz w:val="21"/>
                <w:szCs w:val="21"/>
              </w:rPr>
            </w:pPr>
            <w:r>
              <w:rPr>
                <w:rFonts w:hint="eastAsia"/>
                <w:color w:val="auto"/>
                <w:spacing w:val="11"/>
                <w:kern w:val="0"/>
                <w:sz w:val="21"/>
                <w:szCs w:val="21"/>
              </w:rPr>
              <w:t>拟建项目不涉及《危险化学品名录》所列剧毒化学品，不属于使用或产生恶臭物质的生产项目。拟建项目符合园区产业准入、空间布局、污染物排放管控、环境风险防控要求，具备先进的生产工艺，使用清洁能源为燃料，具备可靠的烟粉尘等污染控制措施，不产生VOCs气体污染物。</w:t>
            </w:r>
          </w:p>
        </w:tc>
        <w:tc>
          <w:tcPr>
            <w:tcW w:w="798" w:type="dxa"/>
            <w:tcBorders>
              <w:tl2br w:val="nil"/>
              <w:tr2bl w:val="nil"/>
            </w:tcBorders>
            <w:vAlign w:val="center"/>
          </w:tcPr>
          <w:p w14:paraId="1F371681">
            <w:pPr>
              <w:spacing w:line="240" w:lineRule="auto"/>
              <w:ind w:firstLine="0" w:firstLineChars="0"/>
              <w:jc w:val="center"/>
              <w:rPr>
                <w:color w:val="auto"/>
                <w:kern w:val="0"/>
                <w:sz w:val="21"/>
                <w:szCs w:val="21"/>
              </w:rPr>
            </w:pPr>
            <w:r>
              <w:rPr>
                <w:color w:val="auto"/>
                <w:kern w:val="0"/>
                <w:sz w:val="21"/>
                <w:szCs w:val="21"/>
              </w:rPr>
              <w:t>相符</w:t>
            </w:r>
          </w:p>
        </w:tc>
      </w:tr>
      <w:tr w14:paraId="4D1D6C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4553" w:type="dxa"/>
            <w:tcBorders>
              <w:tl2br w:val="nil"/>
              <w:tr2bl w:val="nil"/>
            </w:tcBorders>
            <w:vAlign w:val="center"/>
          </w:tcPr>
          <w:p w14:paraId="4F457F73">
            <w:pPr>
              <w:spacing w:line="240" w:lineRule="auto"/>
              <w:ind w:firstLine="0" w:firstLineChars="0"/>
              <w:jc w:val="center"/>
              <w:rPr>
                <w:color w:val="auto"/>
                <w:spacing w:val="11"/>
                <w:kern w:val="0"/>
                <w:sz w:val="21"/>
                <w:szCs w:val="21"/>
              </w:rPr>
            </w:pPr>
            <w:r>
              <w:rPr>
                <w:rFonts w:hint="eastAsia"/>
                <w:color w:val="auto"/>
                <w:spacing w:val="11"/>
                <w:kern w:val="0"/>
                <w:sz w:val="21"/>
                <w:szCs w:val="21"/>
              </w:rPr>
              <w:t>健全园区环境风险防控体系，建立环境应急管理制度，提升环境应急能力。完成园区三级环境防控体系建设，完善环境风险防控基础设施，落实风险防范措施。制定环境应急预案，健全应急响应联动机制，建立定期隐患排查治理制度。配备充足的应急装备物资和应急救援队伍，定期开展演练。做好污染防治过程中的安全防范，组织对园区建设的重点环保治理设施和项目开展安全风险评估和隐患排查治理，指导园区内企业对污染防治设施开展安全风险评估和隐患排查治理。</w:t>
            </w:r>
          </w:p>
        </w:tc>
        <w:tc>
          <w:tcPr>
            <w:tcW w:w="4287" w:type="dxa"/>
            <w:tcBorders>
              <w:tl2br w:val="nil"/>
              <w:tr2bl w:val="nil"/>
            </w:tcBorders>
            <w:vAlign w:val="center"/>
          </w:tcPr>
          <w:p w14:paraId="383731E0">
            <w:pPr>
              <w:spacing w:line="240" w:lineRule="auto"/>
              <w:ind w:firstLine="0" w:firstLineChars="0"/>
              <w:jc w:val="center"/>
              <w:rPr>
                <w:color w:val="auto"/>
                <w:spacing w:val="11"/>
                <w:kern w:val="0"/>
                <w:sz w:val="21"/>
                <w:szCs w:val="21"/>
              </w:rPr>
            </w:pPr>
            <w:r>
              <w:rPr>
                <w:rFonts w:hint="eastAsia"/>
                <w:color w:val="auto"/>
                <w:spacing w:val="11"/>
                <w:kern w:val="0"/>
                <w:sz w:val="21"/>
                <w:szCs w:val="21"/>
              </w:rPr>
              <w:t>启东亚太将根据项目生产特点与危险化学品使用、贮存情况，建立健全环境风险防控体系，全面提升环境应急能力。企业已按园区统一要求配备充足环境应急装备、物资与应急设施，提升应急处置能力。根据园区环境风险动态变化，定期开展环境风险评估，及时修订突发环境事件应急预案，完善三级环境应急响应联动机制，定期开展环境应急演练与三级风险防控验证性演练。建立突发环境事件隐患排查长效机制，定期开展环境风险隐患排查，建立隐患清单并落实整改闭环管理。主动融入园区区域环境风险联防联控机制，全面保障区域环境安全。拟建项目已按要求编制突发环境事件应急预案，并严格按照应急预案与规范要求落实各项环境风险防范措施。</w:t>
            </w:r>
          </w:p>
        </w:tc>
        <w:tc>
          <w:tcPr>
            <w:tcW w:w="798" w:type="dxa"/>
            <w:tcBorders>
              <w:tl2br w:val="nil"/>
              <w:tr2bl w:val="nil"/>
            </w:tcBorders>
            <w:vAlign w:val="center"/>
          </w:tcPr>
          <w:p w14:paraId="388122B6">
            <w:pPr>
              <w:spacing w:line="240" w:lineRule="auto"/>
              <w:ind w:firstLine="0" w:firstLineChars="0"/>
              <w:jc w:val="center"/>
              <w:rPr>
                <w:color w:val="auto"/>
                <w:kern w:val="0"/>
                <w:sz w:val="21"/>
                <w:szCs w:val="21"/>
              </w:rPr>
            </w:pPr>
            <w:r>
              <w:rPr>
                <w:color w:val="auto"/>
                <w:kern w:val="0"/>
                <w:sz w:val="21"/>
                <w:szCs w:val="21"/>
              </w:rPr>
              <w:t>相符</w:t>
            </w:r>
          </w:p>
        </w:tc>
      </w:tr>
    </w:tbl>
    <w:p w14:paraId="3190A818">
      <w:pPr>
        <w:pStyle w:val="4"/>
        <w:rPr>
          <w:color w:val="auto"/>
        </w:rPr>
      </w:pPr>
      <w:bookmarkStart w:id="19" w:name="_Toc21925"/>
      <w:bookmarkStart w:id="20" w:name="_Toc4651"/>
      <w:r>
        <w:rPr>
          <w:color w:val="auto"/>
        </w:rPr>
        <w:t>1.4.</w:t>
      </w:r>
      <w:r>
        <w:rPr>
          <w:rFonts w:hint="eastAsia"/>
          <w:color w:val="auto"/>
        </w:rPr>
        <w:t>3</w:t>
      </w:r>
      <w:r>
        <w:rPr>
          <w:color w:val="auto"/>
        </w:rPr>
        <w:t>“三线一单”控制要求的相符性</w:t>
      </w:r>
      <w:bookmarkEnd w:id="19"/>
      <w:bookmarkEnd w:id="20"/>
    </w:p>
    <w:p w14:paraId="4F60A425">
      <w:pPr>
        <w:pStyle w:val="5"/>
        <w:spacing w:before="156"/>
        <w:rPr>
          <w:color w:val="auto"/>
        </w:rPr>
      </w:pPr>
      <w:r>
        <w:rPr>
          <w:color w:val="auto"/>
        </w:rPr>
        <w:t>1.4.</w:t>
      </w:r>
      <w:r>
        <w:rPr>
          <w:rFonts w:hint="eastAsia"/>
          <w:color w:val="auto"/>
        </w:rPr>
        <w:t>3</w:t>
      </w:r>
      <w:r>
        <w:rPr>
          <w:color w:val="auto"/>
        </w:rPr>
        <w:t>.1与生态红线相符性分析</w:t>
      </w:r>
    </w:p>
    <w:p w14:paraId="3CBB78AC">
      <w:pPr>
        <w:ind w:firstLine="480"/>
        <w:rPr>
          <w:color w:val="auto"/>
        </w:rPr>
      </w:pPr>
      <w:r>
        <w:rPr>
          <w:rFonts w:hint="eastAsia"/>
          <w:color w:val="auto"/>
        </w:rPr>
        <w:t>国家级生态红线：拟建项目位于启东亚太现有厂区内生命健康产业园苏州路58号，对照《江苏省国家级生态保护红线规划》（苏政发［2018］74号），拟建项目距离最近的国家级生态保护红线为启东市饮用水水源保护区，距离约14.8km，不在其生态红线管控区范围内，符合《江苏省国家级生态保护红线规划》（苏政发［2018］74号）要求。</w:t>
      </w:r>
    </w:p>
    <w:p w14:paraId="01438417">
      <w:pPr>
        <w:ind w:firstLine="480"/>
        <w:rPr>
          <w:color w:val="auto"/>
        </w:rPr>
      </w:pPr>
      <w:r>
        <w:rPr>
          <w:rFonts w:hint="eastAsia"/>
          <w:color w:val="auto"/>
        </w:rPr>
        <w:t>省级生态红线：对照《省政府关于印发江苏省生态空间管控区域规划的通知》（苏政发［2020］1号）、《江苏省自然资源厅关于&lt;启东市生态空间管控区域调整方案&gt;的复函》（苏自然资函[2021]1250号）及《江苏省自然资源厅关于&lt;南通市海门区生态空间管控区域调整方案&gt;的复函》（苏自然资函[2021]877号），拟建项目距离最近的生态空间保护区域为新三和港河清水通道维护区，距离约1.79km，不在其生态空间管控区域范围内，符合《省政府关于印发江苏省生态空间管控区域规划的通知》（苏政发［2020］1号）《江苏省自然资源厅关于&lt;启东市生态空间管控区域调整方案&gt;的复函》（苏自然资函[2021]1250号）及《江苏省自然资源厅关于&lt;南通市海门区生态空间管控区域调整方案&gt;的复函》（苏自然资函[2021]877号）。</w:t>
      </w:r>
    </w:p>
    <w:p w14:paraId="12AD9E6C">
      <w:pPr>
        <w:ind w:firstLine="480"/>
        <w:rPr>
          <w:color w:val="auto"/>
        </w:rPr>
      </w:pPr>
      <w:r>
        <w:rPr>
          <w:color w:val="auto"/>
        </w:rPr>
        <w:t>对照《自然资源部办公厅关于＜北京等省（区、市）启用“三区三线”作为报批建设项目用地用海依据的函＞》（自然资办函[2022]2207号），拟建项目不在永久基本农田、生态保护红线内。拟建项目选址与</w:t>
      </w:r>
      <w:r>
        <w:rPr>
          <w:rFonts w:hint="eastAsia"/>
          <w:color w:val="auto"/>
        </w:rPr>
        <w:t>启东</w:t>
      </w:r>
      <w:r>
        <w:rPr>
          <w:color w:val="auto"/>
        </w:rPr>
        <w:t>县划定的三区三线不冲突</w:t>
      </w:r>
      <w:r>
        <w:rPr>
          <w:rFonts w:hint="eastAsia"/>
          <w:color w:val="auto"/>
        </w:rPr>
        <w:t>。</w:t>
      </w:r>
    </w:p>
    <w:p w14:paraId="1B825256">
      <w:pPr>
        <w:pStyle w:val="5"/>
        <w:spacing w:before="156"/>
        <w:rPr>
          <w:color w:val="auto"/>
        </w:rPr>
      </w:pPr>
      <w:r>
        <w:rPr>
          <w:color w:val="auto"/>
        </w:rPr>
        <w:t>1.4.</w:t>
      </w:r>
      <w:r>
        <w:rPr>
          <w:rFonts w:hint="eastAsia"/>
          <w:color w:val="auto"/>
        </w:rPr>
        <w:t>3</w:t>
      </w:r>
      <w:r>
        <w:rPr>
          <w:color w:val="auto"/>
        </w:rPr>
        <w:t>.2与环境质量底线的相符性分析</w:t>
      </w:r>
    </w:p>
    <w:p w14:paraId="3D1B81CA">
      <w:pPr>
        <w:ind w:firstLine="480"/>
        <w:rPr>
          <w:color w:val="auto"/>
          <w:kern w:val="0"/>
        </w:rPr>
      </w:pPr>
      <w:r>
        <w:rPr>
          <w:rFonts w:hint="eastAsia"/>
          <w:color w:val="auto"/>
          <w:kern w:val="0"/>
        </w:rPr>
        <w:t>根据《南通市生态环境状况公报（2025年）》，启东市空气环境质量中SO</w:t>
      </w:r>
      <w:r>
        <w:rPr>
          <w:rFonts w:hint="eastAsia"/>
          <w:color w:val="auto"/>
          <w:kern w:val="0"/>
          <w:vertAlign w:val="subscript"/>
        </w:rPr>
        <w:t>2</w:t>
      </w:r>
      <w:r>
        <w:rPr>
          <w:rFonts w:hint="eastAsia"/>
          <w:color w:val="auto"/>
          <w:kern w:val="0"/>
        </w:rPr>
        <w:t>、PM</w:t>
      </w:r>
      <w:r>
        <w:rPr>
          <w:rFonts w:hint="eastAsia"/>
          <w:color w:val="auto"/>
          <w:kern w:val="0"/>
          <w:vertAlign w:val="subscript"/>
        </w:rPr>
        <w:t>10</w:t>
      </w:r>
      <w:r>
        <w:rPr>
          <w:rFonts w:hint="eastAsia"/>
          <w:color w:val="auto"/>
          <w:kern w:val="0"/>
        </w:rPr>
        <w:t>、PM</w:t>
      </w:r>
      <w:r>
        <w:rPr>
          <w:rFonts w:hint="eastAsia"/>
          <w:color w:val="auto"/>
          <w:kern w:val="0"/>
          <w:vertAlign w:val="subscript"/>
        </w:rPr>
        <w:t>2.5</w:t>
      </w:r>
      <w:r>
        <w:rPr>
          <w:rFonts w:hint="eastAsia"/>
          <w:color w:val="auto"/>
          <w:kern w:val="0"/>
        </w:rPr>
        <w:t>、NO</w:t>
      </w:r>
      <w:r>
        <w:rPr>
          <w:rFonts w:hint="eastAsia"/>
          <w:color w:val="auto"/>
          <w:kern w:val="0"/>
          <w:vertAlign w:val="subscript"/>
        </w:rPr>
        <w:t>2</w:t>
      </w:r>
      <w:r>
        <w:rPr>
          <w:rFonts w:hint="eastAsia"/>
          <w:color w:val="auto"/>
          <w:kern w:val="0"/>
        </w:rPr>
        <w:t>的年均质量浓度、CO第95百分位数年均质量浓度及O</w:t>
      </w:r>
      <w:r>
        <w:rPr>
          <w:rFonts w:hint="eastAsia"/>
          <w:color w:val="auto"/>
          <w:kern w:val="0"/>
          <w:vertAlign w:val="subscript"/>
        </w:rPr>
        <w:t>3</w:t>
      </w:r>
      <w:r>
        <w:rPr>
          <w:rFonts w:hint="eastAsia"/>
          <w:color w:val="auto"/>
          <w:kern w:val="0"/>
        </w:rPr>
        <w:t>日最大8小时滑动平均值均符合《环境空气质量标准》（GB3095-2026）过渡阶段二级标准限值要求，因此项目所在区域2025年为达标区。</w:t>
      </w:r>
    </w:p>
    <w:p w14:paraId="24C02BA0">
      <w:pPr>
        <w:ind w:firstLine="480"/>
        <w:rPr>
          <w:rFonts w:hint="eastAsia" w:hAnsi="宋体"/>
          <w:color w:val="auto"/>
        </w:rPr>
      </w:pPr>
      <w:r>
        <w:rPr>
          <w:color w:val="auto"/>
          <w:kern w:val="0"/>
        </w:rPr>
        <w:t>根据</w:t>
      </w:r>
      <w:r>
        <w:rPr>
          <w:rFonts w:hint="eastAsia" w:hAnsi="宋体"/>
          <w:color w:val="auto"/>
        </w:rPr>
        <w:t>拟建项目环评环境质量现状监测结果表明：</w:t>
      </w:r>
      <w:r>
        <w:rPr>
          <w:rFonts w:hint="eastAsia"/>
          <w:color w:val="auto"/>
          <w:kern w:val="0"/>
        </w:rPr>
        <w:t>拟建项目</w:t>
      </w:r>
      <w:r>
        <w:rPr>
          <w:color w:val="auto"/>
          <w:kern w:val="0"/>
        </w:rPr>
        <w:t>选址区域环境空气质量满足《环境空气质量标准》</w:t>
      </w:r>
      <w:r>
        <w:rPr>
          <w:rFonts w:hint="eastAsia"/>
          <w:color w:val="auto"/>
          <w:kern w:val="0"/>
        </w:rPr>
        <w:t>（GB3095-2026）过渡阶段二级标准限值要求</w:t>
      </w:r>
      <w:r>
        <w:rPr>
          <w:color w:val="auto"/>
          <w:kern w:val="0"/>
        </w:rPr>
        <w:t>；声环境质量满足《声环境质量标准》（GB096-2008）3类标准要求；</w:t>
      </w:r>
      <w:r>
        <w:rPr>
          <w:rFonts w:hint="eastAsia"/>
          <w:color w:val="auto"/>
          <w:kern w:val="0"/>
        </w:rPr>
        <w:t>水环境质量能满足《地表水环境质量标准》（</w:t>
      </w:r>
      <w:r>
        <w:rPr>
          <w:color w:val="auto"/>
          <w:kern w:val="0"/>
        </w:rPr>
        <w:t>GB3838-2002</w:t>
      </w:r>
      <w:r>
        <w:rPr>
          <w:rFonts w:hint="eastAsia"/>
          <w:color w:val="auto"/>
          <w:kern w:val="0"/>
        </w:rPr>
        <w:t>）</w:t>
      </w:r>
      <w:r>
        <w:rPr>
          <w:color w:val="auto"/>
          <w:kern w:val="0"/>
        </w:rPr>
        <w:t>Ⅳ</w:t>
      </w:r>
      <w:r>
        <w:rPr>
          <w:rFonts w:hint="eastAsia"/>
          <w:color w:val="auto"/>
          <w:kern w:val="0"/>
        </w:rPr>
        <w:t>类标准</w:t>
      </w:r>
      <w:r>
        <w:rPr>
          <w:color w:val="auto"/>
          <w:kern w:val="0"/>
        </w:rPr>
        <w:t>；建设用地土壤中污染物含量低于风险筛选值；地下水评价区水质检测表明，地下水总体上较好。</w:t>
      </w:r>
    </w:p>
    <w:p w14:paraId="11C24E44">
      <w:pPr>
        <w:ind w:firstLine="480"/>
        <w:rPr>
          <w:rFonts w:hint="eastAsia" w:hAnsi="宋体"/>
          <w:color w:val="auto"/>
        </w:rPr>
      </w:pPr>
      <w:r>
        <w:rPr>
          <w:rFonts w:hint="eastAsia" w:hAnsi="宋体"/>
          <w:color w:val="auto"/>
        </w:rPr>
        <w:t>正常生产情况下，拟建项目废气排放对评价区环境敏感目标影响较小，影响值叠加本底值后，区域大气环境功能不下降；项目产生的废水经设施预处理达到接管标准后，接管至联合环境水务（启东）有限公司处理，处理达到《化学工业水污染物排放标准》（DB32/939-2020）表2标准后排入长江，拟建项目废水不会改变周边水环境功能；项目所在区域声环境功能区划为3类区，</w:t>
      </w:r>
      <w:r>
        <w:rPr>
          <w:color w:val="auto"/>
          <w:kern w:val="0"/>
        </w:rPr>
        <w:t>根据声环境影响预测，</w:t>
      </w:r>
      <w:r>
        <w:rPr>
          <w:rFonts w:hint="eastAsia"/>
          <w:color w:val="auto"/>
          <w:kern w:val="0"/>
        </w:rPr>
        <w:t>拟建项目</w:t>
      </w:r>
      <w:r>
        <w:rPr>
          <w:color w:val="auto"/>
          <w:kern w:val="0"/>
        </w:rPr>
        <w:t>建设后对周围声环境影响较小，不会改变周围声环境质量</w:t>
      </w:r>
      <w:r>
        <w:rPr>
          <w:rFonts w:hint="eastAsia" w:hAnsi="宋体"/>
          <w:color w:val="auto"/>
        </w:rPr>
        <w:t>。</w:t>
      </w:r>
    </w:p>
    <w:p w14:paraId="02CC5A8D">
      <w:pPr>
        <w:ind w:firstLine="480"/>
        <w:rPr>
          <w:rFonts w:hint="eastAsia" w:hAnsi="宋体"/>
          <w:color w:val="auto"/>
        </w:rPr>
      </w:pPr>
      <w:r>
        <w:rPr>
          <w:rFonts w:hint="eastAsia" w:hAnsi="宋体"/>
          <w:color w:val="auto"/>
        </w:rPr>
        <w:t>因此，</w:t>
      </w:r>
      <w:r>
        <w:rPr>
          <w:rFonts w:hint="eastAsia"/>
          <w:color w:val="auto"/>
          <w:kern w:val="0"/>
        </w:rPr>
        <w:t>拟建项目</w:t>
      </w:r>
      <w:r>
        <w:rPr>
          <w:color w:val="auto"/>
          <w:kern w:val="0"/>
        </w:rPr>
        <w:t>的建设不会突破</w:t>
      </w:r>
      <w:r>
        <w:rPr>
          <w:rFonts w:hint="eastAsia"/>
          <w:color w:val="auto"/>
          <w:kern w:val="0"/>
        </w:rPr>
        <w:t>区域</w:t>
      </w:r>
      <w:r>
        <w:rPr>
          <w:color w:val="auto"/>
          <w:kern w:val="0"/>
        </w:rPr>
        <w:t>环境质量底线</w:t>
      </w:r>
      <w:r>
        <w:rPr>
          <w:rFonts w:hint="eastAsia" w:hAnsi="宋体"/>
          <w:color w:val="auto"/>
        </w:rPr>
        <w:t>。</w:t>
      </w:r>
    </w:p>
    <w:p w14:paraId="2F2E7892">
      <w:pPr>
        <w:pStyle w:val="5"/>
        <w:spacing w:before="156"/>
        <w:rPr>
          <w:color w:val="auto"/>
        </w:rPr>
      </w:pPr>
      <w:r>
        <w:rPr>
          <w:color w:val="auto"/>
        </w:rPr>
        <w:t>1.4.</w:t>
      </w:r>
      <w:r>
        <w:rPr>
          <w:rFonts w:hint="eastAsia"/>
          <w:color w:val="auto"/>
        </w:rPr>
        <w:t>4</w:t>
      </w:r>
      <w:r>
        <w:rPr>
          <w:color w:val="auto"/>
        </w:rPr>
        <w:t>.3与资源利用上线的相符性分析</w:t>
      </w:r>
    </w:p>
    <w:p w14:paraId="110E590E">
      <w:pPr>
        <w:ind w:firstLine="480"/>
        <w:rPr>
          <w:color w:val="auto"/>
          <w:kern w:val="0"/>
        </w:rPr>
      </w:pPr>
      <w:r>
        <w:rPr>
          <w:rFonts w:hint="eastAsia"/>
          <w:color w:val="auto"/>
          <w:kern w:val="0"/>
        </w:rPr>
        <w:t>拟建项目</w:t>
      </w:r>
      <w:r>
        <w:rPr>
          <w:color w:val="auto"/>
          <w:kern w:val="0"/>
        </w:rPr>
        <w:t>生产过程中所使用的资源主要为水资源、电、蒸汽，</w:t>
      </w:r>
      <w:r>
        <w:rPr>
          <w:rFonts w:hint="eastAsia"/>
          <w:color w:val="auto"/>
          <w:kern w:val="0"/>
        </w:rPr>
        <w:t>拟建项目</w:t>
      </w:r>
      <w:r>
        <w:rPr>
          <w:color w:val="auto"/>
          <w:kern w:val="0"/>
        </w:rPr>
        <w:t>不新征用地。项目所在地工业基础好，工业用水有保证，电能由园区直接供应，能够满足项目需求，项目用地为园区工业用地，符合用地规划。因此，</w:t>
      </w:r>
      <w:r>
        <w:rPr>
          <w:rFonts w:hint="eastAsia"/>
          <w:color w:val="auto"/>
          <w:kern w:val="0"/>
        </w:rPr>
        <w:t>拟建项目</w:t>
      </w:r>
      <w:r>
        <w:rPr>
          <w:color w:val="auto"/>
          <w:kern w:val="0"/>
        </w:rPr>
        <w:t>符合资源利用上线标准。</w:t>
      </w:r>
    </w:p>
    <w:p w14:paraId="6C37FB4F">
      <w:pPr>
        <w:pStyle w:val="5"/>
        <w:spacing w:before="156"/>
        <w:rPr>
          <w:color w:val="auto"/>
        </w:rPr>
      </w:pPr>
      <w:r>
        <w:rPr>
          <w:color w:val="auto"/>
        </w:rPr>
        <w:t>1.4.</w:t>
      </w:r>
      <w:r>
        <w:rPr>
          <w:rFonts w:hint="eastAsia"/>
          <w:color w:val="auto"/>
        </w:rPr>
        <w:t>4</w:t>
      </w:r>
      <w:r>
        <w:rPr>
          <w:color w:val="auto"/>
        </w:rPr>
        <w:t>.4与环境准入负面清单的对照分析</w:t>
      </w:r>
    </w:p>
    <w:p w14:paraId="16277F85">
      <w:pPr>
        <w:ind w:firstLine="480"/>
        <w:rPr>
          <w:bCs/>
          <w:color w:val="auto"/>
          <w:kern w:val="0"/>
        </w:rPr>
      </w:pPr>
      <w:r>
        <w:rPr>
          <w:rFonts w:hint="eastAsia"/>
          <w:bCs/>
          <w:color w:val="auto"/>
          <w:kern w:val="0"/>
        </w:rPr>
        <w:t>（1）拟建与启东生命健康产业园生态环境准入清单的相符性分析如下表所示，经分析，项目建设总体符合启东生命健康产业园生态环境准入清单相关要求。</w:t>
      </w:r>
    </w:p>
    <w:p w14:paraId="5F1B187E">
      <w:pPr>
        <w:pStyle w:val="49"/>
        <w:rPr>
          <w:color w:val="auto"/>
        </w:rPr>
      </w:pPr>
      <w:r>
        <w:rPr>
          <w:rFonts w:hint="eastAsia"/>
          <w:color w:val="auto"/>
        </w:rPr>
        <w:t>表1.4-2  与启东生命健康产业园生态环境准入清单相符性分析</w:t>
      </w:r>
    </w:p>
    <w:tbl>
      <w:tblPr>
        <w:tblStyle w:val="32"/>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64"/>
        <w:gridCol w:w="4885"/>
        <w:gridCol w:w="4205"/>
      </w:tblGrid>
      <w:tr w14:paraId="576B6E2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88" w:type="pct"/>
            <w:tcBorders>
              <w:tl2br w:val="nil"/>
              <w:tr2bl w:val="nil"/>
            </w:tcBorders>
            <w:vAlign w:val="center"/>
          </w:tcPr>
          <w:p w14:paraId="24B7CB6E">
            <w:pPr>
              <w:widowControl/>
              <w:spacing w:line="240" w:lineRule="auto"/>
              <w:ind w:firstLine="0" w:firstLineChars="0"/>
              <w:jc w:val="center"/>
              <w:rPr>
                <w:b/>
                <w:color w:val="auto"/>
                <w:kern w:val="0"/>
                <w:sz w:val="21"/>
                <w:szCs w:val="21"/>
              </w:rPr>
            </w:pPr>
            <w:r>
              <w:rPr>
                <w:b/>
                <w:color w:val="auto"/>
                <w:kern w:val="0"/>
                <w:sz w:val="21"/>
                <w:szCs w:val="21"/>
              </w:rPr>
              <w:t>类别</w:t>
            </w:r>
          </w:p>
        </w:tc>
        <w:tc>
          <w:tcPr>
            <w:tcW w:w="2478" w:type="pct"/>
            <w:tcBorders>
              <w:tl2br w:val="nil"/>
              <w:tr2bl w:val="nil"/>
            </w:tcBorders>
            <w:vAlign w:val="center"/>
          </w:tcPr>
          <w:p w14:paraId="3A03F721">
            <w:pPr>
              <w:widowControl/>
              <w:spacing w:line="240" w:lineRule="auto"/>
              <w:ind w:firstLine="0" w:firstLineChars="0"/>
              <w:jc w:val="center"/>
              <w:rPr>
                <w:b/>
                <w:color w:val="auto"/>
                <w:kern w:val="0"/>
                <w:sz w:val="21"/>
                <w:szCs w:val="21"/>
              </w:rPr>
            </w:pPr>
            <w:r>
              <w:rPr>
                <w:b/>
                <w:color w:val="auto"/>
                <w:kern w:val="0"/>
                <w:sz w:val="21"/>
                <w:szCs w:val="21"/>
              </w:rPr>
              <w:t>准入内容</w:t>
            </w:r>
          </w:p>
        </w:tc>
        <w:tc>
          <w:tcPr>
            <w:tcW w:w="2133" w:type="pct"/>
            <w:tcBorders>
              <w:tl2br w:val="nil"/>
              <w:tr2bl w:val="nil"/>
            </w:tcBorders>
            <w:vAlign w:val="center"/>
          </w:tcPr>
          <w:p w14:paraId="452C815C">
            <w:pPr>
              <w:widowControl/>
              <w:spacing w:line="240" w:lineRule="auto"/>
              <w:ind w:firstLine="0" w:firstLineChars="0"/>
              <w:jc w:val="center"/>
              <w:rPr>
                <w:b/>
                <w:color w:val="auto"/>
                <w:kern w:val="0"/>
                <w:sz w:val="21"/>
                <w:szCs w:val="21"/>
              </w:rPr>
            </w:pPr>
            <w:r>
              <w:rPr>
                <w:b/>
                <w:color w:val="auto"/>
                <w:kern w:val="0"/>
                <w:sz w:val="21"/>
                <w:szCs w:val="21"/>
              </w:rPr>
              <w:t>相符性分析</w:t>
            </w:r>
          </w:p>
        </w:tc>
      </w:tr>
      <w:tr w14:paraId="6D87631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88" w:type="pct"/>
            <w:tcBorders>
              <w:tl2br w:val="nil"/>
              <w:tr2bl w:val="nil"/>
            </w:tcBorders>
            <w:vAlign w:val="center"/>
          </w:tcPr>
          <w:p w14:paraId="4F6CBB4F">
            <w:pPr>
              <w:widowControl/>
              <w:spacing w:line="240" w:lineRule="auto"/>
              <w:ind w:firstLine="0" w:firstLineChars="0"/>
              <w:jc w:val="center"/>
              <w:rPr>
                <w:color w:val="auto"/>
                <w:kern w:val="0"/>
                <w:sz w:val="21"/>
                <w:szCs w:val="21"/>
              </w:rPr>
            </w:pPr>
            <w:bookmarkStart w:id="21" w:name="_Hlk173919208"/>
            <w:r>
              <w:rPr>
                <w:color w:val="auto"/>
                <w:kern w:val="0"/>
                <w:sz w:val="21"/>
                <w:szCs w:val="21"/>
              </w:rPr>
              <w:t>产业定位</w:t>
            </w:r>
          </w:p>
        </w:tc>
        <w:tc>
          <w:tcPr>
            <w:tcW w:w="2478" w:type="pct"/>
            <w:tcBorders>
              <w:tl2br w:val="nil"/>
              <w:tr2bl w:val="nil"/>
            </w:tcBorders>
            <w:vAlign w:val="center"/>
          </w:tcPr>
          <w:p w14:paraId="195A9EF1">
            <w:pPr>
              <w:widowControl/>
              <w:spacing w:line="240" w:lineRule="auto"/>
              <w:ind w:firstLine="0" w:firstLineChars="0"/>
              <w:jc w:val="center"/>
              <w:rPr>
                <w:color w:val="auto"/>
                <w:kern w:val="0"/>
                <w:sz w:val="21"/>
                <w:szCs w:val="21"/>
              </w:rPr>
            </w:pPr>
            <w:r>
              <w:rPr>
                <w:color w:val="auto"/>
                <w:kern w:val="0"/>
                <w:sz w:val="21"/>
                <w:szCs w:val="21"/>
              </w:rPr>
              <w:t>生物医药、新材料产业(含物理复配企业)，保留现有印染及化工企业。</w:t>
            </w:r>
          </w:p>
        </w:tc>
        <w:tc>
          <w:tcPr>
            <w:tcW w:w="2133" w:type="pct"/>
            <w:tcBorders>
              <w:tl2br w:val="nil"/>
              <w:tr2bl w:val="nil"/>
            </w:tcBorders>
            <w:vAlign w:val="center"/>
          </w:tcPr>
          <w:p w14:paraId="449043D7">
            <w:pPr>
              <w:widowControl/>
              <w:spacing w:line="240" w:lineRule="auto"/>
              <w:ind w:firstLine="0" w:firstLineChars="0"/>
              <w:jc w:val="center"/>
              <w:rPr>
                <w:color w:val="auto"/>
                <w:kern w:val="0"/>
                <w:sz w:val="21"/>
                <w:szCs w:val="21"/>
              </w:rPr>
            </w:pPr>
            <w:r>
              <w:rPr>
                <w:rFonts w:hint="eastAsia"/>
                <w:color w:val="auto"/>
                <w:kern w:val="0"/>
                <w:sz w:val="21"/>
                <w:szCs w:val="21"/>
              </w:rPr>
              <w:t>启东亚太是园区保留的化工企业</w:t>
            </w:r>
            <w:r>
              <w:rPr>
                <w:color w:val="auto"/>
                <w:kern w:val="0"/>
                <w:sz w:val="21"/>
                <w:szCs w:val="21"/>
              </w:rPr>
              <w:t>。</w:t>
            </w:r>
          </w:p>
        </w:tc>
      </w:tr>
      <w:tr w14:paraId="6B73ADF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88" w:type="pct"/>
            <w:tcBorders>
              <w:tl2br w:val="nil"/>
              <w:tr2bl w:val="nil"/>
            </w:tcBorders>
            <w:vAlign w:val="center"/>
          </w:tcPr>
          <w:p w14:paraId="7DF1A7AB">
            <w:pPr>
              <w:widowControl/>
              <w:spacing w:line="240" w:lineRule="auto"/>
              <w:ind w:firstLine="0" w:firstLineChars="0"/>
              <w:jc w:val="center"/>
              <w:rPr>
                <w:color w:val="auto"/>
                <w:kern w:val="0"/>
                <w:sz w:val="21"/>
                <w:szCs w:val="21"/>
              </w:rPr>
            </w:pPr>
            <w:r>
              <w:rPr>
                <w:color w:val="auto"/>
                <w:kern w:val="0"/>
                <w:sz w:val="21"/>
                <w:szCs w:val="21"/>
              </w:rPr>
              <w:t>限制引入类</w:t>
            </w:r>
          </w:p>
        </w:tc>
        <w:tc>
          <w:tcPr>
            <w:tcW w:w="2478" w:type="pct"/>
            <w:tcBorders>
              <w:tl2br w:val="nil"/>
              <w:tr2bl w:val="nil"/>
            </w:tcBorders>
            <w:vAlign w:val="center"/>
          </w:tcPr>
          <w:p w14:paraId="3ABA5969">
            <w:pPr>
              <w:widowControl/>
              <w:spacing w:line="240" w:lineRule="auto"/>
              <w:ind w:firstLine="0" w:firstLineChars="0"/>
              <w:jc w:val="center"/>
              <w:rPr>
                <w:color w:val="auto"/>
                <w:kern w:val="0"/>
                <w:sz w:val="21"/>
                <w:szCs w:val="21"/>
              </w:rPr>
            </w:pPr>
            <w:r>
              <w:rPr>
                <w:color w:val="auto"/>
                <w:kern w:val="0"/>
                <w:sz w:val="21"/>
                <w:szCs w:val="21"/>
              </w:rPr>
              <w:t>1、限制引入属于国家、江苏省和南通市相关产业政策中限制类项目；</w:t>
            </w:r>
          </w:p>
          <w:p w14:paraId="1A04E897">
            <w:pPr>
              <w:widowControl/>
              <w:spacing w:line="240" w:lineRule="auto"/>
              <w:ind w:firstLine="0" w:firstLineChars="0"/>
              <w:jc w:val="center"/>
              <w:rPr>
                <w:color w:val="auto"/>
                <w:kern w:val="0"/>
                <w:sz w:val="21"/>
                <w:szCs w:val="21"/>
              </w:rPr>
            </w:pPr>
            <w:r>
              <w:rPr>
                <w:color w:val="auto"/>
                <w:kern w:val="0"/>
                <w:sz w:val="21"/>
                <w:szCs w:val="21"/>
              </w:rPr>
              <w:t>2、新增使用《危险化学品名录》所列剧毒化学品、《优先控制化学品名录》所列化学品的生产项目；</w:t>
            </w:r>
          </w:p>
          <w:p w14:paraId="495B9B5B">
            <w:pPr>
              <w:widowControl/>
              <w:spacing w:line="240" w:lineRule="auto"/>
              <w:ind w:firstLine="0" w:firstLineChars="0"/>
              <w:jc w:val="center"/>
              <w:rPr>
                <w:color w:val="auto"/>
                <w:kern w:val="0"/>
                <w:sz w:val="21"/>
                <w:szCs w:val="21"/>
              </w:rPr>
            </w:pPr>
            <w:r>
              <w:rPr>
                <w:color w:val="auto"/>
                <w:kern w:val="0"/>
                <w:sz w:val="21"/>
                <w:szCs w:val="21"/>
              </w:rPr>
              <w:t>3、严格控制引进涉及“两重点一重大”企业；</w:t>
            </w:r>
          </w:p>
          <w:p w14:paraId="5A63DC3B">
            <w:pPr>
              <w:widowControl/>
              <w:spacing w:line="240" w:lineRule="auto"/>
              <w:ind w:firstLine="0" w:firstLineChars="0"/>
              <w:jc w:val="center"/>
              <w:rPr>
                <w:color w:val="auto"/>
                <w:kern w:val="0"/>
                <w:sz w:val="21"/>
                <w:szCs w:val="21"/>
              </w:rPr>
            </w:pPr>
            <w:r>
              <w:rPr>
                <w:color w:val="auto"/>
                <w:kern w:val="0"/>
                <w:sz w:val="21"/>
                <w:szCs w:val="21"/>
              </w:rPr>
              <w:t>4、严格控制引进高耗水项目；</w:t>
            </w:r>
          </w:p>
          <w:p w14:paraId="4404AC09">
            <w:pPr>
              <w:widowControl/>
              <w:spacing w:line="240" w:lineRule="auto"/>
              <w:ind w:firstLine="0" w:firstLineChars="0"/>
              <w:jc w:val="center"/>
              <w:rPr>
                <w:color w:val="auto"/>
                <w:kern w:val="0"/>
                <w:sz w:val="21"/>
                <w:szCs w:val="21"/>
              </w:rPr>
            </w:pPr>
            <w:r>
              <w:rPr>
                <w:color w:val="auto"/>
                <w:kern w:val="0"/>
                <w:sz w:val="21"/>
                <w:szCs w:val="21"/>
              </w:rPr>
              <w:t>5、严格控制废水排放量大、废气污染严重和地下水环境隐患大的项目。</w:t>
            </w:r>
          </w:p>
        </w:tc>
        <w:tc>
          <w:tcPr>
            <w:tcW w:w="2133" w:type="pct"/>
            <w:tcBorders>
              <w:tl2br w:val="nil"/>
              <w:tr2bl w:val="nil"/>
            </w:tcBorders>
            <w:vAlign w:val="center"/>
          </w:tcPr>
          <w:p w14:paraId="02489EA1">
            <w:pPr>
              <w:widowControl/>
              <w:spacing w:line="240" w:lineRule="auto"/>
              <w:ind w:firstLine="0" w:firstLineChars="0"/>
              <w:jc w:val="center"/>
              <w:rPr>
                <w:color w:val="auto"/>
                <w:kern w:val="0"/>
                <w:sz w:val="21"/>
                <w:szCs w:val="21"/>
              </w:rPr>
            </w:pPr>
            <w:r>
              <w:rPr>
                <w:color w:val="auto"/>
                <w:kern w:val="0"/>
                <w:sz w:val="21"/>
                <w:szCs w:val="21"/>
              </w:rPr>
              <w:t>1、经对照，</w:t>
            </w:r>
            <w:r>
              <w:rPr>
                <w:rFonts w:hint="eastAsia"/>
                <w:color w:val="auto"/>
                <w:kern w:val="0"/>
                <w:sz w:val="21"/>
                <w:szCs w:val="21"/>
              </w:rPr>
              <w:t>拟建</w:t>
            </w:r>
            <w:r>
              <w:rPr>
                <w:color w:val="auto"/>
                <w:kern w:val="0"/>
                <w:sz w:val="21"/>
                <w:szCs w:val="21"/>
              </w:rPr>
              <w:t>项目不属于国家、江苏省和南通市相关产业政策中限制类项目；</w:t>
            </w:r>
          </w:p>
          <w:p w14:paraId="36FA334C">
            <w:pPr>
              <w:widowControl/>
              <w:spacing w:line="240" w:lineRule="auto"/>
              <w:ind w:firstLine="0" w:firstLineChars="0"/>
              <w:jc w:val="center"/>
              <w:rPr>
                <w:color w:val="auto"/>
                <w:kern w:val="0"/>
                <w:sz w:val="21"/>
                <w:szCs w:val="21"/>
              </w:rPr>
            </w:pPr>
            <w:r>
              <w:rPr>
                <w:color w:val="auto"/>
                <w:kern w:val="0"/>
                <w:sz w:val="21"/>
                <w:szCs w:val="21"/>
              </w:rPr>
              <w:t>2、</w:t>
            </w:r>
            <w:r>
              <w:rPr>
                <w:rFonts w:hint="eastAsia"/>
                <w:color w:val="auto"/>
                <w:kern w:val="0"/>
                <w:sz w:val="21"/>
                <w:szCs w:val="21"/>
              </w:rPr>
              <w:t>拟建</w:t>
            </w:r>
            <w:r>
              <w:rPr>
                <w:color w:val="auto"/>
                <w:kern w:val="0"/>
                <w:sz w:val="21"/>
                <w:szCs w:val="21"/>
              </w:rPr>
              <w:t>项目不涉及使用《危险化学品名录》所列剧毒化学品，不涉及《优先控制化学品名录》所列化学品；</w:t>
            </w:r>
          </w:p>
          <w:p w14:paraId="378EB5EA">
            <w:pPr>
              <w:widowControl/>
              <w:spacing w:line="240" w:lineRule="auto"/>
              <w:ind w:firstLine="0" w:firstLineChars="0"/>
              <w:jc w:val="center"/>
              <w:rPr>
                <w:color w:val="auto"/>
                <w:kern w:val="0"/>
                <w:sz w:val="21"/>
                <w:szCs w:val="21"/>
              </w:rPr>
            </w:pPr>
            <w:r>
              <w:rPr>
                <w:color w:val="auto"/>
                <w:kern w:val="0"/>
                <w:sz w:val="21"/>
                <w:szCs w:val="21"/>
              </w:rPr>
              <w:t>3、</w:t>
            </w:r>
            <w:r>
              <w:rPr>
                <w:rFonts w:hint="eastAsia"/>
                <w:color w:val="auto"/>
                <w:kern w:val="0"/>
                <w:sz w:val="21"/>
                <w:szCs w:val="21"/>
              </w:rPr>
              <w:t>拟建</w:t>
            </w:r>
            <w:r>
              <w:rPr>
                <w:color w:val="auto"/>
                <w:sz w:val="21"/>
                <w:szCs w:val="21"/>
              </w:rPr>
              <w:t>项目涉及重点监管危险化学品为</w:t>
            </w:r>
            <w:r>
              <w:rPr>
                <w:rFonts w:hint="eastAsia"/>
                <w:color w:val="auto"/>
                <w:sz w:val="21"/>
                <w:szCs w:val="21"/>
              </w:rPr>
              <w:t>氨和</w:t>
            </w:r>
            <w:r>
              <w:rPr>
                <w:color w:val="auto"/>
                <w:sz w:val="21"/>
                <w:szCs w:val="21"/>
              </w:rPr>
              <w:t>二氧化硫，不涉及重点监管危险化工工艺、重大危险源，报告中针对危化品使用和管理提出了相关风险防范措施。</w:t>
            </w:r>
            <w:r>
              <w:rPr>
                <w:rFonts w:hint="eastAsia"/>
                <w:color w:val="auto"/>
                <w:kern w:val="0"/>
                <w:sz w:val="21"/>
                <w:szCs w:val="21"/>
              </w:rPr>
              <w:t>拟建</w:t>
            </w:r>
            <w:r>
              <w:rPr>
                <w:color w:val="auto"/>
                <w:kern w:val="0"/>
                <w:sz w:val="21"/>
                <w:szCs w:val="21"/>
              </w:rPr>
              <w:t>风险物质超过临界量，在采取风险防范措施的前提下，</w:t>
            </w:r>
            <w:r>
              <w:rPr>
                <w:rFonts w:hint="eastAsia"/>
                <w:color w:val="auto"/>
                <w:kern w:val="0"/>
                <w:sz w:val="21"/>
                <w:szCs w:val="21"/>
              </w:rPr>
              <w:t>拟建</w:t>
            </w:r>
            <w:r>
              <w:rPr>
                <w:color w:val="auto"/>
                <w:kern w:val="0"/>
                <w:sz w:val="21"/>
                <w:szCs w:val="21"/>
              </w:rPr>
              <w:t>环境风险可防控；</w:t>
            </w:r>
          </w:p>
          <w:p w14:paraId="78E5B18A">
            <w:pPr>
              <w:widowControl/>
              <w:spacing w:line="240" w:lineRule="auto"/>
              <w:ind w:firstLine="0" w:firstLineChars="0"/>
              <w:jc w:val="center"/>
              <w:rPr>
                <w:color w:val="auto"/>
                <w:kern w:val="0"/>
                <w:sz w:val="21"/>
                <w:szCs w:val="21"/>
              </w:rPr>
            </w:pPr>
            <w:r>
              <w:rPr>
                <w:color w:val="auto"/>
                <w:kern w:val="0"/>
                <w:sz w:val="21"/>
                <w:szCs w:val="21"/>
              </w:rPr>
              <w:t>4、</w:t>
            </w:r>
            <w:r>
              <w:rPr>
                <w:rFonts w:hint="eastAsia"/>
                <w:color w:val="auto"/>
                <w:kern w:val="0"/>
                <w:sz w:val="21"/>
                <w:szCs w:val="21"/>
              </w:rPr>
              <w:t>拟建</w:t>
            </w:r>
            <w:r>
              <w:rPr>
                <w:color w:val="auto"/>
                <w:sz w:val="21"/>
                <w:szCs w:val="21"/>
              </w:rPr>
              <w:t>项目新增用水量约</w:t>
            </w:r>
            <w:r>
              <w:rPr>
                <w:rFonts w:hint="eastAsia"/>
                <w:color w:val="auto"/>
              </w:rPr>
              <w:t>85605.768</w:t>
            </w:r>
            <w:r>
              <w:rPr>
                <w:color w:val="auto"/>
                <w:sz w:val="21"/>
                <w:szCs w:val="21"/>
              </w:rPr>
              <w:t>m</w:t>
            </w:r>
            <w:r>
              <w:rPr>
                <w:color w:val="auto"/>
                <w:sz w:val="21"/>
                <w:szCs w:val="21"/>
                <w:vertAlign w:val="superscript"/>
              </w:rPr>
              <w:t>3</w:t>
            </w:r>
            <w:r>
              <w:rPr>
                <w:color w:val="auto"/>
                <w:sz w:val="21"/>
                <w:szCs w:val="21"/>
              </w:rPr>
              <w:t>/a，其中地表水</w:t>
            </w:r>
            <w:r>
              <w:rPr>
                <w:rFonts w:hint="eastAsia"/>
                <w:color w:val="auto"/>
                <w:sz w:val="21"/>
                <w:szCs w:val="21"/>
              </w:rPr>
              <w:t>58811.163</w:t>
            </w:r>
            <w:r>
              <w:rPr>
                <w:color w:val="auto"/>
                <w:sz w:val="21"/>
                <w:szCs w:val="21"/>
              </w:rPr>
              <w:t>m</w:t>
            </w:r>
            <w:r>
              <w:rPr>
                <w:color w:val="auto"/>
                <w:sz w:val="21"/>
                <w:szCs w:val="21"/>
                <w:vertAlign w:val="superscript"/>
              </w:rPr>
              <w:t>3</w:t>
            </w:r>
            <w:r>
              <w:rPr>
                <w:color w:val="auto"/>
                <w:sz w:val="21"/>
                <w:szCs w:val="21"/>
              </w:rPr>
              <w:t>/a，地下水</w:t>
            </w:r>
            <w:r>
              <w:rPr>
                <w:rFonts w:hint="eastAsia"/>
                <w:color w:val="auto"/>
                <w:sz w:val="21"/>
                <w:szCs w:val="21"/>
              </w:rPr>
              <w:t>26794.605</w:t>
            </w:r>
            <w:r>
              <w:rPr>
                <w:color w:val="auto"/>
                <w:sz w:val="21"/>
                <w:szCs w:val="21"/>
              </w:rPr>
              <w:t>m</w:t>
            </w:r>
            <w:r>
              <w:rPr>
                <w:color w:val="auto"/>
                <w:sz w:val="21"/>
                <w:szCs w:val="21"/>
                <w:vertAlign w:val="superscript"/>
              </w:rPr>
              <w:t>3</w:t>
            </w:r>
            <w:r>
              <w:rPr>
                <w:color w:val="auto"/>
                <w:sz w:val="21"/>
                <w:szCs w:val="21"/>
              </w:rPr>
              <w:t>/a，</w:t>
            </w:r>
            <w:r>
              <w:rPr>
                <w:rFonts w:hint="eastAsia"/>
                <w:color w:val="auto"/>
                <w:kern w:val="0"/>
                <w:sz w:val="21"/>
                <w:szCs w:val="21"/>
              </w:rPr>
              <w:t>拟建</w:t>
            </w:r>
            <w:r>
              <w:rPr>
                <w:color w:val="auto"/>
                <w:kern w:val="0"/>
                <w:sz w:val="21"/>
                <w:szCs w:val="21"/>
              </w:rPr>
              <w:t>不属于高耗水项目；</w:t>
            </w:r>
          </w:p>
          <w:p w14:paraId="280D2267">
            <w:pPr>
              <w:widowControl/>
              <w:spacing w:line="240" w:lineRule="auto"/>
              <w:ind w:firstLine="0" w:firstLineChars="0"/>
              <w:jc w:val="center"/>
              <w:rPr>
                <w:color w:val="auto"/>
                <w:kern w:val="0"/>
                <w:sz w:val="21"/>
                <w:szCs w:val="21"/>
              </w:rPr>
            </w:pPr>
            <w:r>
              <w:rPr>
                <w:color w:val="auto"/>
                <w:kern w:val="0"/>
                <w:sz w:val="21"/>
                <w:szCs w:val="21"/>
              </w:rPr>
              <w:t>5、</w:t>
            </w:r>
            <w:r>
              <w:rPr>
                <w:rFonts w:hint="eastAsia"/>
                <w:color w:val="auto"/>
                <w:kern w:val="0"/>
                <w:sz w:val="21"/>
                <w:szCs w:val="21"/>
              </w:rPr>
              <w:t>拟建项目废气、废水污染物均在现有排放总量内平衡，厂区已落实分区防渗工作，不会对地下水造成较大环境</w:t>
            </w:r>
          </w:p>
          <w:p w14:paraId="02D61F19">
            <w:pPr>
              <w:widowControl/>
              <w:spacing w:line="240" w:lineRule="auto"/>
              <w:ind w:firstLine="0" w:firstLineChars="0"/>
              <w:jc w:val="center"/>
              <w:rPr>
                <w:color w:val="auto"/>
                <w:kern w:val="0"/>
                <w:sz w:val="21"/>
                <w:szCs w:val="21"/>
              </w:rPr>
            </w:pPr>
            <w:r>
              <w:rPr>
                <w:rFonts w:hint="eastAsia"/>
                <w:color w:val="auto"/>
                <w:kern w:val="0"/>
                <w:sz w:val="21"/>
                <w:szCs w:val="21"/>
              </w:rPr>
              <w:t>隐患</w:t>
            </w:r>
            <w:r>
              <w:rPr>
                <w:color w:val="auto"/>
                <w:kern w:val="0"/>
                <w:sz w:val="21"/>
                <w:szCs w:val="21"/>
              </w:rPr>
              <w:t>。</w:t>
            </w:r>
          </w:p>
        </w:tc>
      </w:tr>
      <w:tr w14:paraId="4D47904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88" w:type="pct"/>
            <w:tcBorders>
              <w:tl2br w:val="nil"/>
              <w:tr2bl w:val="nil"/>
            </w:tcBorders>
            <w:vAlign w:val="center"/>
          </w:tcPr>
          <w:p w14:paraId="4FE6ADAF">
            <w:pPr>
              <w:widowControl/>
              <w:spacing w:line="240" w:lineRule="auto"/>
              <w:ind w:firstLine="0" w:firstLineChars="0"/>
              <w:jc w:val="center"/>
              <w:rPr>
                <w:color w:val="auto"/>
                <w:kern w:val="0"/>
                <w:sz w:val="21"/>
                <w:szCs w:val="21"/>
              </w:rPr>
            </w:pPr>
            <w:r>
              <w:rPr>
                <w:color w:val="auto"/>
                <w:kern w:val="0"/>
                <w:sz w:val="21"/>
                <w:szCs w:val="21"/>
              </w:rPr>
              <w:t>禁止引入类</w:t>
            </w:r>
          </w:p>
        </w:tc>
        <w:tc>
          <w:tcPr>
            <w:tcW w:w="2478" w:type="pct"/>
            <w:tcBorders>
              <w:tl2br w:val="nil"/>
              <w:tr2bl w:val="nil"/>
            </w:tcBorders>
            <w:vAlign w:val="center"/>
          </w:tcPr>
          <w:p w14:paraId="5FA1FD32">
            <w:pPr>
              <w:widowControl/>
              <w:spacing w:line="240" w:lineRule="auto"/>
              <w:ind w:firstLine="0" w:firstLineChars="0"/>
              <w:jc w:val="center"/>
              <w:rPr>
                <w:color w:val="auto"/>
                <w:kern w:val="0"/>
                <w:sz w:val="21"/>
                <w:szCs w:val="21"/>
              </w:rPr>
            </w:pPr>
            <w:r>
              <w:rPr>
                <w:color w:val="auto"/>
                <w:kern w:val="0"/>
                <w:sz w:val="21"/>
                <w:szCs w:val="21"/>
              </w:rPr>
              <w:t>1、禁止引入不符合产业定位或属于国家、江苏省和南通市相关产业政策中淘汰、禁止类生产工艺、产品的项目；禁止引入列入《环境保护综合名录》中的“双高”项目；禁止新建、扩建不符合国家产能置换要求的严重过剩产能行业的项目；</w:t>
            </w:r>
          </w:p>
          <w:p w14:paraId="647B5335">
            <w:pPr>
              <w:widowControl/>
              <w:spacing w:line="240" w:lineRule="auto"/>
              <w:ind w:firstLine="0" w:firstLineChars="0"/>
              <w:jc w:val="center"/>
              <w:rPr>
                <w:color w:val="auto"/>
                <w:kern w:val="0"/>
                <w:sz w:val="21"/>
                <w:szCs w:val="21"/>
              </w:rPr>
            </w:pPr>
            <w:r>
              <w:rPr>
                <w:color w:val="auto"/>
                <w:kern w:val="0"/>
                <w:sz w:val="21"/>
                <w:szCs w:val="21"/>
              </w:rPr>
              <w:t>2、生物医药产业禁止建设P3、P4实验室；禁止引入单位耗水量大、危险废弃物当地无法有效处置的项目；禁止引入使用尚未规模化种植或养殖的濒危动植物药材的项目；</w:t>
            </w:r>
          </w:p>
          <w:p w14:paraId="6A34159B">
            <w:pPr>
              <w:widowControl/>
              <w:spacing w:line="240" w:lineRule="auto"/>
              <w:ind w:firstLine="0" w:firstLineChars="0"/>
              <w:jc w:val="center"/>
              <w:rPr>
                <w:color w:val="auto"/>
                <w:kern w:val="0"/>
                <w:sz w:val="21"/>
                <w:szCs w:val="21"/>
              </w:rPr>
            </w:pPr>
            <w:r>
              <w:rPr>
                <w:color w:val="auto"/>
                <w:kern w:val="0"/>
                <w:sz w:val="21"/>
                <w:szCs w:val="21"/>
              </w:rPr>
              <w:t>3、新材料产业禁止引入化工新材料项目(物理复配新材料除外)；禁止引入水泥、平板玻璃等高污染或不符合国家产能置换要求的产能过剩项目；禁止引入涉及重点重金属污染的项目；</w:t>
            </w:r>
          </w:p>
          <w:p w14:paraId="6B2DD716">
            <w:pPr>
              <w:widowControl/>
              <w:spacing w:line="240" w:lineRule="auto"/>
              <w:ind w:firstLine="0" w:firstLineChars="0"/>
              <w:jc w:val="center"/>
              <w:rPr>
                <w:color w:val="auto"/>
                <w:kern w:val="0"/>
                <w:sz w:val="21"/>
                <w:szCs w:val="21"/>
              </w:rPr>
            </w:pPr>
            <w:r>
              <w:rPr>
                <w:color w:val="auto"/>
                <w:kern w:val="0"/>
                <w:sz w:val="21"/>
                <w:szCs w:val="21"/>
              </w:rPr>
              <w:t>4、复配类企业禁止引入使用有毒有害危险化学品、环评类别依据《建设项目环境影响评价分类管理名录》为报告书项目。</w:t>
            </w:r>
          </w:p>
          <w:p w14:paraId="58A169E4">
            <w:pPr>
              <w:widowControl/>
              <w:spacing w:line="240" w:lineRule="auto"/>
              <w:ind w:firstLine="0" w:firstLineChars="0"/>
              <w:jc w:val="center"/>
              <w:rPr>
                <w:color w:val="auto"/>
                <w:kern w:val="0"/>
                <w:sz w:val="21"/>
                <w:szCs w:val="21"/>
              </w:rPr>
            </w:pPr>
            <w:r>
              <w:rPr>
                <w:color w:val="auto"/>
                <w:kern w:val="0"/>
                <w:sz w:val="21"/>
                <w:szCs w:val="21"/>
              </w:rPr>
              <w:t>5、禁止引入生产和使用高VOCs含量的溶剂型涂料、油墨、胶粘剂等项目；</w:t>
            </w:r>
          </w:p>
          <w:p w14:paraId="43683641">
            <w:pPr>
              <w:widowControl/>
              <w:spacing w:line="240" w:lineRule="auto"/>
              <w:ind w:firstLine="0" w:firstLineChars="0"/>
              <w:jc w:val="center"/>
              <w:rPr>
                <w:color w:val="auto"/>
                <w:kern w:val="0"/>
                <w:sz w:val="21"/>
                <w:szCs w:val="21"/>
              </w:rPr>
            </w:pPr>
            <w:r>
              <w:rPr>
                <w:color w:val="auto"/>
                <w:kern w:val="0"/>
                <w:sz w:val="21"/>
                <w:szCs w:val="21"/>
              </w:rPr>
              <w:t>6、禁止引入使用ODS物质的医药用品生产工艺；</w:t>
            </w:r>
          </w:p>
          <w:p w14:paraId="0FF64112">
            <w:pPr>
              <w:widowControl/>
              <w:spacing w:line="240" w:lineRule="auto"/>
              <w:ind w:firstLine="0" w:firstLineChars="0"/>
              <w:jc w:val="center"/>
              <w:rPr>
                <w:color w:val="auto"/>
                <w:kern w:val="0"/>
                <w:sz w:val="21"/>
                <w:szCs w:val="21"/>
              </w:rPr>
            </w:pPr>
            <w:r>
              <w:rPr>
                <w:color w:val="auto"/>
                <w:kern w:val="0"/>
                <w:sz w:val="21"/>
                <w:szCs w:val="21"/>
              </w:rPr>
              <w:t>7、禁止引入在长江干支流新设、改设或扩大排污口项目；</w:t>
            </w:r>
          </w:p>
          <w:p w14:paraId="752B00C4">
            <w:pPr>
              <w:widowControl/>
              <w:spacing w:line="240" w:lineRule="auto"/>
              <w:ind w:firstLine="0" w:firstLineChars="0"/>
              <w:jc w:val="center"/>
              <w:rPr>
                <w:color w:val="auto"/>
                <w:kern w:val="0"/>
                <w:sz w:val="21"/>
                <w:szCs w:val="21"/>
              </w:rPr>
            </w:pPr>
            <w:r>
              <w:rPr>
                <w:color w:val="auto"/>
                <w:kern w:val="0"/>
                <w:sz w:val="21"/>
                <w:szCs w:val="21"/>
              </w:rPr>
              <w:t>8、禁止引进生产技术及工艺、水耗物耗能耗、产排污情况及环境管理等方面清洁生产水平达不到国内或国际先进水平的项目；</w:t>
            </w:r>
          </w:p>
          <w:p w14:paraId="0DC94602">
            <w:pPr>
              <w:widowControl/>
              <w:spacing w:line="240" w:lineRule="auto"/>
              <w:ind w:firstLine="0" w:firstLineChars="0"/>
              <w:jc w:val="center"/>
              <w:rPr>
                <w:color w:val="auto"/>
                <w:kern w:val="0"/>
                <w:sz w:val="21"/>
                <w:szCs w:val="21"/>
              </w:rPr>
            </w:pPr>
            <w:r>
              <w:rPr>
                <w:color w:val="auto"/>
                <w:kern w:val="0"/>
                <w:sz w:val="21"/>
                <w:szCs w:val="21"/>
              </w:rPr>
              <w:t>9、禁止长江干支流1 km范围内新建、扩建化工企业和项目(含物理复配项目)、禁止新建、扩建化工中试基地，禁止长江干支流1km范围内新建、扩建化工中试项目。</w:t>
            </w:r>
          </w:p>
        </w:tc>
        <w:tc>
          <w:tcPr>
            <w:tcW w:w="2133" w:type="pct"/>
            <w:tcBorders>
              <w:tl2br w:val="nil"/>
              <w:tr2bl w:val="nil"/>
            </w:tcBorders>
            <w:vAlign w:val="center"/>
          </w:tcPr>
          <w:p w14:paraId="7D8F764B">
            <w:pPr>
              <w:widowControl/>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拟建</w:t>
            </w:r>
            <w:r>
              <w:rPr>
                <w:color w:val="auto"/>
                <w:kern w:val="0"/>
                <w:sz w:val="21"/>
                <w:szCs w:val="21"/>
              </w:rPr>
              <w:t>项目为</w:t>
            </w:r>
            <w:r>
              <w:rPr>
                <w:rFonts w:hint="eastAsia"/>
                <w:color w:val="auto"/>
                <w:kern w:val="0"/>
                <w:sz w:val="21"/>
                <w:szCs w:val="21"/>
              </w:rPr>
              <w:t>无机盐</w:t>
            </w:r>
            <w:r>
              <w:rPr>
                <w:color w:val="auto"/>
                <w:kern w:val="0"/>
                <w:sz w:val="21"/>
                <w:szCs w:val="21"/>
              </w:rPr>
              <w:t>制造项目，</w:t>
            </w:r>
            <w:r>
              <w:rPr>
                <w:rFonts w:hint="eastAsia"/>
                <w:color w:val="auto"/>
                <w:kern w:val="0"/>
                <w:sz w:val="21"/>
                <w:szCs w:val="21"/>
              </w:rPr>
              <w:t>项目生产的项目生产的硫代硫酸盐、亚硫酸盐可作为医药辅料、试剂、生产助剂，用于生物医药研发、药品生产、制剂加工等环节，是生物医药产业链的配套基础原料，可服务园区生物医药产业集群发展，助力完善本地医药上下游配套体系，与园区产业定位相符。</w:t>
            </w:r>
            <w:r>
              <w:rPr>
                <w:color w:val="auto"/>
                <w:kern w:val="0"/>
                <w:sz w:val="21"/>
                <w:szCs w:val="21"/>
              </w:rPr>
              <w:t>经对照，</w:t>
            </w:r>
            <w:r>
              <w:rPr>
                <w:rFonts w:hint="eastAsia"/>
                <w:color w:val="auto"/>
                <w:kern w:val="0"/>
                <w:sz w:val="21"/>
                <w:szCs w:val="21"/>
              </w:rPr>
              <w:t>拟建</w:t>
            </w:r>
            <w:r>
              <w:rPr>
                <w:color w:val="auto"/>
                <w:kern w:val="0"/>
                <w:sz w:val="21"/>
                <w:szCs w:val="21"/>
              </w:rPr>
              <w:t>项目不属于国家、江苏省和南通市相关产业政策中淘汰、禁止类生产工艺、产品的项目；不属于列入《环境保护综合名录》</w:t>
            </w:r>
            <w:r>
              <w:rPr>
                <w:rFonts w:hint="eastAsia"/>
                <w:color w:val="auto"/>
                <w:kern w:val="0"/>
                <w:sz w:val="21"/>
                <w:szCs w:val="21"/>
              </w:rPr>
              <w:t>（</w:t>
            </w:r>
            <w:r>
              <w:rPr>
                <w:color w:val="auto"/>
                <w:kern w:val="0"/>
                <w:sz w:val="21"/>
                <w:szCs w:val="21"/>
              </w:rPr>
              <w:t>2021年版</w:t>
            </w:r>
            <w:r>
              <w:rPr>
                <w:rFonts w:hint="eastAsia"/>
                <w:color w:val="auto"/>
                <w:kern w:val="0"/>
                <w:sz w:val="21"/>
                <w:szCs w:val="21"/>
              </w:rPr>
              <w:t>）</w:t>
            </w:r>
            <w:r>
              <w:rPr>
                <w:color w:val="auto"/>
                <w:kern w:val="0"/>
                <w:sz w:val="21"/>
                <w:szCs w:val="21"/>
              </w:rPr>
              <w:t>中的“双高”项目；不属于不符合国家产能置换要求的严重过剩产能行业的项目；</w:t>
            </w:r>
          </w:p>
          <w:p w14:paraId="03BA0499">
            <w:pPr>
              <w:widowControl/>
              <w:spacing w:line="240" w:lineRule="auto"/>
              <w:ind w:firstLine="0" w:firstLineChars="0"/>
              <w:jc w:val="center"/>
              <w:rPr>
                <w:color w:val="auto"/>
                <w:kern w:val="0"/>
                <w:sz w:val="21"/>
                <w:szCs w:val="21"/>
              </w:rPr>
            </w:pPr>
            <w:r>
              <w:rPr>
                <w:color w:val="auto"/>
                <w:kern w:val="0"/>
                <w:sz w:val="21"/>
                <w:szCs w:val="21"/>
              </w:rPr>
              <w:t>2</w:t>
            </w:r>
            <w:r>
              <w:rPr>
                <w:rFonts w:hint="eastAsia"/>
                <w:color w:val="auto"/>
                <w:kern w:val="0"/>
                <w:sz w:val="21"/>
                <w:szCs w:val="21"/>
              </w:rPr>
              <w:t>、拟建</w:t>
            </w:r>
            <w:r>
              <w:rPr>
                <w:color w:val="auto"/>
                <w:kern w:val="0"/>
                <w:sz w:val="21"/>
                <w:szCs w:val="21"/>
              </w:rPr>
              <w:t>项目不涉及建设P3、P4实验室；</w:t>
            </w:r>
            <w:r>
              <w:rPr>
                <w:rFonts w:hint="eastAsia"/>
                <w:color w:val="auto"/>
                <w:kern w:val="0"/>
                <w:sz w:val="21"/>
                <w:szCs w:val="21"/>
              </w:rPr>
              <w:t>不属于单位耗水量大、危险废弃物当地无法有效处置的项目</w:t>
            </w:r>
            <w:r>
              <w:rPr>
                <w:color w:val="auto"/>
                <w:kern w:val="0"/>
                <w:sz w:val="21"/>
                <w:szCs w:val="21"/>
              </w:rPr>
              <w:t>，危险废物可委托当地危险废物处置单位安全处置</w:t>
            </w:r>
            <w:r>
              <w:rPr>
                <w:rFonts w:hint="eastAsia"/>
                <w:color w:val="auto"/>
                <w:kern w:val="0"/>
                <w:sz w:val="21"/>
                <w:szCs w:val="21"/>
              </w:rPr>
              <w:t>；</w:t>
            </w:r>
            <w:r>
              <w:rPr>
                <w:color w:val="auto"/>
                <w:kern w:val="0"/>
                <w:sz w:val="21"/>
                <w:szCs w:val="21"/>
              </w:rPr>
              <w:t>不属于使用尚未规模化种植或养殖的濒危动植物药材的项目；</w:t>
            </w:r>
          </w:p>
          <w:p w14:paraId="124F240C">
            <w:pPr>
              <w:widowControl/>
              <w:spacing w:line="240" w:lineRule="auto"/>
              <w:ind w:firstLine="0" w:firstLineChars="0"/>
              <w:jc w:val="center"/>
              <w:rPr>
                <w:color w:val="auto"/>
                <w:kern w:val="0"/>
                <w:sz w:val="21"/>
                <w:szCs w:val="21"/>
              </w:rPr>
            </w:pPr>
            <w:r>
              <w:rPr>
                <w:color w:val="auto"/>
                <w:kern w:val="0"/>
                <w:sz w:val="21"/>
                <w:szCs w:val="21"/>
              </w:rPr>
              <w:t>3、</w:t>
            </w:r>
            <w:r>
              <w:rPr>
                <w:rFonts w:hint="eastAsia"/>
                <w:color w:val="auto"/>
                <w:kern w:val="0"/>
                <w:sz w:val="21"/>
                <w:szCs w:val="21"/>
              </w:rPr>
              <w:t>拟建</w:t>
            </w:r>
            <w:r>
              <w:rPr>
                <w:color w:val="auto"/>
                <w:kern w:val="0"/>
                <w:sz w:val="21"/>
                <w:szCs w:val="21"/>
              </w:rPr>
              <w:t>项目</w:t>
            </w:r>
            <w:r>
              <w:rPr>
                <w:rFonts w:hint="eastAsia"/>
                <w:color w:val="auto"/>
                <w:kern w:val="0"/>
                <w:sz w:val="21"/>
                <w:szCs w:val="21"/>
              </w:rPr>
              <w:t>含硫无机盐高品质多元化升级技改项目</w:t>
            </w:r>
            <w:r>
              <w:rPr>
                <w:color w:val="auto"/>
                <w:kern w:val="0"/>
                <w:sz w:val="21"/>
                <w:szCs w:val="21"/>
              </w:rPr>
              <w:t>属于C</w:t>
            </w:r>
            <w:r>
              <w:rPr>
                <w:rFonts w:hint="eastAsia"/>
                <w:color w:val="auto"/>
                <w:kern w:val="0"/>
                <w:sz w:val="21"/>
                <w:szCs w:val="21"/>
              </w:rPr>
              <w:t>2613无机盐</w:t>
            </w:r>
            <w:r>
              <w:rPr>
                <w:color w:val="auto"/>
                <w:kern w:val="0"/>
                <w:sz w:val="21"/>
                <w:szCs w:val="21"/>
              </w:rPr>
              <w:t>制造行业，不属于化工新材料项目，不属于水泥、平板玻璃等高污染或不符合国家产能置换要求的产能过剩项目，不属于涉及重金属污染的项目；</w:t>
            </w:r>
          </w:p>
          <w:p w14:paraId="01269843">
            <w:pPr>
              <w:widowControl/>
              <w:spacing w:line="240" w:lineRule="auto"/>
              <w:ind w:firstLine="0" w:firstLineChars="0"/>
              <w:jc w:val="center"/>
              <w:rPr>
                <w:color w:val="auto"/>
                <w:kern w:val="0"/>
                <w:sz w:val="21"/>
                <w:szCs w:val="21"/>
              </w:rPr>
            </w:pPr>
            <w:r>
              <w:rPr>
                <w:color w:val="auto"/>
                <w:kern w:val="0"/>
                <w:sz w:val="21"/>
                <w:szCs w:val="21"/>
              </w:rPr>
              <w:t>4、</w:t>
            </w:r>
            <w:r>
              <w:rPr>
                <w:rFonts w:hint="eastAsia"/>
                <w:color w:val="auto"/>
                <w:kern w:val="0"/>
                <w:sz w:val="21"/>
                <w:szCs w:val="21"/>
              </w:rPr>
              <w:t>拟建</w:t>
            </w:r>
            <w:r>
              <w:rPr>
                <w:color w:val="auto"/>
                <w:sz w:val="21"/>
                <w:szCs w:val="21"/>
              </w:rPr>
              <w:t>项目为</w:t>
            </w:r>
            <w:r>
              <w:rPr>
                <w:rFonts w:hint="eastAsia"/>
                <w:color w:val="auto"/>
                <w:sz w:val="21"/>
                <w:szCs w:val="21"/>
              </w:rPr>
              <w:t>无机盐</w:t>
            </w:r>
            <w:r>
              <w:rPr>
                <w:color w:val="auto"/>
                <w:sz w:val="21"/>
                <w:szCs w:val="21"/>
              </w:rPr>
              <w:t>制造项目，不属于仅开展复配类生产的项目</w:t>
            </w:r>
            <w:r>
              <w:rPr>
                <w:color w:val="auto"/>
                <w:kern w:val="0"/>
                <w:sz w:val="21"/>
                <w:szCs w:val="21"/>
              </w:rPr>
              <w:t>；</w:t>
            </w:r>
          </w:p>
          <w:p w14:paraId="40ABE2C9">
            <w:pPr>
              <w:widowControl/>
              <w:spacing w:line="240" w:lineRule="auto"/>
              <w:ind w:firstLine="0" w:firstLineChars="0"/>
              <w:jc w:val="center"/>
              <w:rPr>
                <w:color w:val="auto"/>
                <w:kern w:val="0"/>
                <w:sz w:val="21"/>
                <w:szCs w:val="21"/>
              </w:rPr>
            </w:pPr>
            <w:r>
              <w:rPr>
                <w:color w:val="auto"/>
                <w:kern w:val="0"/>
                <w:sz w:val="21"/>
                <w:szCs w:val="21"/>
              </w:rPr>
              <w:t>5、</w:t>
            </w:r>
            <w:r>
              <w:rPr>
                <w:rFonts w:hint="eastAsia"/>
                <w:color w:val="auto"/>
                <w:kern w:val="0"/>
                <w:sz w:val="21"/>
                <w:szCs w:val="21"/>
              </w:rPr>
              <w:t>拟建</w:t>
            </w:r>
            <w:r>
              <w:rPr>
                <w:color w:val="auto"/>
                <w:kern w:val="0"/>
                <w:sz w:val="21"/>
                <w:szCs w:val="21"/>
              </w:rPr>
              <w:t>项目不涉及生产和使用高VOCs含量的溶剂型涂料、油墨、胶粘剂；</w:t>
            </w:r>
          </w:p>
          <w:p w14:paraId="1D280573">
            <w:pPr>
              <w:widowControl/>
              <w:spacing w:line="240" w:lineRule="auto"/>
              <w:ind w:firstLine="0" w:firstLineChars="0"/>
              <w:jc w:val="center"/>
              <w:rPr>
                <w:color w:val="auto"/>
                <w:kern w:val="0"/>
                <w:sz w:val="21"/>
                <w:szCs w:val="21"/>
              </w:rPr>
            </w:pPr>
            <w:r>
              <w:rPr>
                <w:color w:val="auto"/>
                <w:kern w:val="0"/>
                <w:sz w:val="21"/>
                <w:szCs w:val="21"/>
              </w:rPr>
              <w:t>6、</w:t>
            </w:r>
            <w:r>
              <w:rPr>
                <w:rFonts w:hint="eastAsia"/>
                <w:color w:val="auto"/>
                <w:kern w:val="0"/>
                <w:sz w:val="21"/>
                <w:szCs w:val="21"/>
              </w:rPr>
              <w:t>拟建</w:t>
            </w:r>
            <w:r>
              <w:rPr>
                <w:color w:val="auto"/>
                <w:kern w:val="0"/>
                <w:sz w:val="21"/>
                <w:szCs w:val="21"/>
              </w:rPr>
              <w:t>项目不涉及使用ODS物质的医药用品生产工艺；</w:t>
            </w:r>
          </w:p>
          <w:p w14:paraId="2365D636">
            <w:pPr>
              <w:widowControl/>
              <w:spacing w:line="240" w:lineRule="auto"/>
              <w:ind w:firstLine="0" w:firstLineChars="0"/>
              <w:jc w:val="center"/>
              <w:rPr>
                <w:color w:val="auto"/>
                <w:kern w:val="0"/>
                <w:sz w:val="21"/>
                <w:szCs w:val="21"/>
              </w:rPr>
            </w:pPr>
            <w:r>
              <w:rPr>
                <w:color w:val="auto"/>
                <w:kern w:val="0"/>
                <w:sz w:val="21"/>
                <w:szCs w:val="21"/>
              </w:rPr>
              <w:t>7、</w:t>
            </w:r>
            <w:r>
              <w:rPr>
                <w:rFonts w:hint="eastAsia"/>
                <w:color w:val="auto"/>
                <w:kern w:val="0"/>
                <w:sz w:val="21"/>
                <w:szCs w:val="21"/>
              </w:rPr>
              <w:t>拟建</w:t>
            </w:r>
            <w:r>
              <w:rPr>
                <w:color w:val="auto"/>
                <w:kern w:val="0"/>
                <w:sz w:val="21"/>
                <w:szCs w:val="21"/>
              </w:rPr>
              <w:t>项目废水接管联合环境水务</w:t>
            </w:r>
            <w:r>
              <w:rPr>
                <w:rFonts w:hint="eastAsia"/>
                <w:color w:val="auto"/>
                <w:kern w:val="0"/>
                <w:sz w:val="21"/>
                <w:szCs w:val="21"/>
              </w:rPr>
              <w:t>（</w:t>
            </w:r>
            <w:r>
              <w:rPr>
                <w:color w:val="auto"/>
                <w:kern w:val="0"/>
                <w:sz w:val="21"/>
                <w:szCs w:val="21"/>
              </w:rPr>
              <w:t>启东</w:t>
            </w:r>
            <w:r>
              <w:rPr>
                <w:rFonts w:hint="eastAsia"/>
                <w:color w:val="auto"/>
                <w:kern w:val="0"/>
                <w:sz w:val="21"/>
                <w:szCs w:val="21"/>
              </w:rPr>
              <w:t>）</w:t>
            </w:r>
            <w:r>
              <w:rPr>
                <w:color w:val="auto"/>
                <w:kern w:val="0"/>
                <w:sz w:val="21"/>
                <w:szCs w:val="21"/>
              </w:rPr>
              <w:t>有限公司，不属于在长江干支流新设、改设或扩大排污口项目；</w:t>
            </w:r>
          </w:p>
          <w:p w14:paraId="14D78965">
            <w:pPr>
              <w:widowControl/>
              <w:spacing w:line="240" w:lineRule="auto"/>
              <w:ind w:firstLine="0" w:firstLineChars="0"/>
              <w:jc w:val="center"/>
              <w:rPr>
                <w:color w:val="auto"/>
                <w:kern w:val="0"/>
                <w:sz w:val="21"/>
                <w:szCs w:val="21"/>
              </w:rPr>
            </w:pPr>
            <w:r>
              <w:rPr>
                <w:color w:val="auto"/>
                <w:kern w:val="0"/>
                <w:sz w:val="21"/>
                <w:szCs w:val="21"/>
              </w:rPr>
              <w:t>8、</w:t>
            </w:r>
            <w:r>
              <w:rPr>
                <w:rFonts w:hint="eastAsia"/>
                <w:color w:val="auto"/>
                <w:kern w:val="0"/>
                <w:sz w:val="21"/>
                <w:szCs w:val="21"/>
              </w:rPr>
              <w:t>拟建</w:t>
            </w:r>
            <w:r>
              <w:rPr>
                <w:color w:val="auto"/>
                <w:kern w:val="0"/>
                <w:sz w:val="21"/>
                <w:szCs w:val="21"/>
              </w:rPr>
              <w:t>项目生产技术及工艺、水耗物耗能耗、产排污情况及环境管理等方面清洁生产水平在国内处于先进水平；</w:t>
            </w:r>
          </w:p>
          <w:p w14:paraId="2BBEAEE0">
            <w:pPr>
              <w:widowControl/>
              <w:spacing w:line="240" w:lineRule="auto"/>
              <w:ind w:firstLine="0" w:firstLineChars="0"/>
              <w:jc w:val="center"/>
              <w:rPr>
                <w:color w:val="auto"/>
                <w:kern w:val="0"/>
                <w:sz w:val="21"/>
                <w:szCs w:val="21"/>
              </w:rPr>
            </w:pPr>
            <w:r>
              <w:rPr>
                <w:color w:val="auto"/>
                <w:kern w:val="0"/>
                <w:sz w:val="21"/>
                <w:szCs w:val="21"/>
              </w:rPr>
              <w:t>9、</w:t>
            </w:r>
            <w:r>
              <w:rPr>
                <w:rFonts w:hint="eastAsia"/>
                <w:color w:val="auto"/>
                <w:kern w:val="0"/>
                <w:sz w:val="21"/>
                <w:szCs w:val="21"/>
              </w:rPr>
              <w:t>拟建项目不在长江干支流1km范围内</w:t>
            </w:r>
            <w:r>
              <w:rPr>
                <w:color w:val="auto"/>
                <w:kern w:val="0"/>
                <w:sz w:val="21"/>
                <w:szCs w:val="21"/>
              </w:rPr>
              <w:t>，不涉及化工中试基地，不属于化工中试项目。</w:t>
            </w:r>
          </w:p>
        </w:tc>
      </w:tr>
      <w:tr w14:paraId="4AFF399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88" w:type="pct"/>
            <w:tcBorders>
              <w:tl2br w:val="nil"/>
              <w:tr2bl w:val="nil"/>
            </w:tcBorders>
            <w:vAlign w:val="center"/>
          </w:tcPr>
          <w:p w14:paraId="6633EF30">
            <w:pPr>
              <w:widowControl/>
              <w:spacing w:line="240" w:lineRule="auto"/>
              <w:ind w:firstLine="0" w:firstLineChars="0"/>
              <w:jc w:val="center"/>
              <w:rPr>
                <w:color w:val="auto"/>
                <w:kern w:val="0"/>
                <w:sz w:val="21"/>
                <w:szCs w:val="21"/>
              </w:rPr>
            </w:pPr>
            <w:r>
              <w:rPr>
                <w:rFonts w:hint="eastAsia"/>
                <w:color w:val="auto"/>
                <w:kern w:val="0"/>
                <w:sz w:val="21"/>
                <w:szCs w:val="21"/>
              </w:rPr>
              <w:t>空间布局约束</w:t>
            </w:r>
          </w:p>
        </w:tc>
        <w:tc>
          <w:tcPr>
            <w:tcW w:w="2478" w:type="pct"/>
            <w:tcBorders>
              <w:tl2br w:val="nil"/>
              <w:tr2bl w:val="nil"/>
            </w:tcBorders>
            <w:vAlign w:val="center"/>
          </w:tcPr>
          <w:p w14:paraId="5101B789">
            <w:pPr>
              <w:widowControl/>
              <w:spacing w:line="240" w:lineRule="auto"/>
              <w:ind w:firstLine="0" w:firstLineChars="0"/>
              <w:jc w:val="center"/>
              <w:rPr>
                <w:color w:val="auto"/>
                <w:kern w:val="0"/>
                <w:sz w:val="21"/>
                <w:szCs w:val="21"/>
              </w:rPr>
            </w:pPr>
            <w:r>
              <w:rPr>
                <w:rFonts w:hint="eastAsia"/>
                <w:color w:val="auto"/>
                <w:kern w:val="0"/>
                <w:sz w:val="21"/>
                <w:szCs w:val="21"/>
              </w:rPr>
              <w:t>1、落实江苏省、南通市“三线一单”、《江苏省生态空间管控区域规划》、《江苏省国家级生态保护红线规划》管控要求管理；</w:t>
            </w:r>
          </w:p>
          <w:p w14:paraId="630074D8">
            <w:pPr>
              <w:widowControl/>
              <w:spacing w:line="240" w:lineRule="auto"/>
              <w:ind w:firstLine="0" w:firstLineChars="0"/>
              <w:jc w:val="center"/>
              <w:rPr>
                <w:color w:val="auto"/>
                <w:kern w:val="0"/>
                <w:sz w:val="21"/>
                <w:szCs w:val="21"/>
              </w:rPr>
            </w:pPr>
            <w:r>
              <w:rPr>
                <w:rFonts w:hint="eastAsia"/>
                <w:color w:val="auto"/>
                <w:kern w:val="0"/>
                <w:sz w:val="21"/>
                <w:szCs w:val="21"/>
              </w:rPr>
              <w:t>2、关停、腾退地块新上项目需提档升级；</w:t>
            </w:r>
          </w:p>
          <w:p w14:paraId="2E71609A">
            <w:pPr>
              <w:widowControl/>
              <w:spacing w:line="240" w:lineRule="auto"/>
              <w:ind w:firstLine="0" w:firstLineChars="0"/>
              <w:jc w:val="center"/>
              <w:rPr>
                <w:color w:val="auto"/>
                <w:kern w:val="0"/>
                <w:sz w:val="21"/>
                <w:szCs w:val="21"/>
              </w:rPr>
            </w:pPr>
            <w:r>
              <w:rPr>
                <w:rFonts w:hint="eastAsia"/>
                <w:color w:val="auto"/>
                <w:kern w:val="0"/>
                <w:sz w:val="21"/>
                <w:szCs w:val="21"/>
              </w:rPr>
              <w:t>3、化工重点监测点在不新增供地和污染物排放总量的情况下鼓励实施产业政策鼓励类、允许类的技术改造项目，非化工重点监测点企业仅能实施安全、环保、节能、信息化智能化、产品品质提升技术改造项目。禁止在保留的化工企业周边建设不符合安全距离规定的劳动密集型的非化工项目和其他人员密集的公共设施项目；</w:t>
            </w:r>
          </w:p>
          <w:p w14:paraId="56D99A23">
            <w:pPr>
              <w:widowControl/>
              <w:spacing w:line="240" w:lineRule="auto"/>
              <w:ind w:firstLine="0" w:firstLineChars="0"/>
              <w:jc w:val="center"/>
              <w:rPr>
                <w:color w:val="auto"/>
                <w:kern w:val="0"/>
                <w:sz w:val="21"/>
                <w:szCs w:val="21"/>
              </w:rPr>
            </w:pPr>
            <w:r>
              <w:rPr>
                <w:rFonts w:hint="eastAsia"/>
                <w:color w:val="auto"/>
                <w:kern w:val="0"/>
                <w:sz w:val="21"/>
                <w:szCs w:val="21"/>
              </w:rPr>
              <w:t>4、水域、生态绿地限制占用；</w:t>
            </w:r>
          </w:p>
          <w:p w14:paraId="20209BE1">
            <w:pPr>
              <w:widowControl/>
              <w:spacing w:line="240" w:lineRule="auto"/>
              <w:ind w:firstLine="0" w:firstLineChars="0"/>
              <w:jc w:val="center"/>
              <w:rPr>
                <w:color w:val="auto"/>
                <w:kern w:val="0"/>
                <w:sz w:val="21"/>
                <w:szCs w:val="21"/>
              </w:rPr>
            </w:pPr>
            <w:r>
              <w:rPr>
                <w:rFonts w:hint="eastAsia"/>
                <w:color w:val="auto"/>
                <w:kern w:val="0"/>
                <w:sz w:val="21"/>
                <w:szCs w:val="21"/>
              </w:rPr>
              <w:t>5、沿江200m岸线内未开发用地不再开发，规划作为绿地，200m岸线内已开发用地按照最小控制宽度100米的要求退让，保证沿江100m范围无工业用地。</w:t>
            </w:r>
          </w:p>
        </w:tc>
        <w:tc>
          <w:tcPr>
            <w:tcW w:w="2133" w:type="pct"/>
            <w:tcBorders>
              <w:tl2br w:val="nil"/>
              <w:tr2bl w:val="nil"/>
            </w:tcBorders>
            <w:vAlign w:val="center"/>
          </w:tcPr>
          <w:p w14:paraId="6372F149">
            <w:pPr>
              <w:widowControl/>
              <w:spacing w:line="240" w:lineRule="auto"/>
              <w:ind w:firstLine="0" w:firstLineChars="0"/>
              <w:jc w:val="center"/>
              <w:rPr>
                <w:color w:val="auto"/>
                <w:kern w:val="0"/>
                <w:sz w:val="21"/>
                <w:szCs w:val="21"/>
              </w:rPr>
            </w:pPr>
            <w:r>
              <w:rPr>
                <w:rFonts w:hint="eastAsia"/>
                <w:color w:val="auto"/>
                <w:kern w:val="0"/>
                <w:sz w:val="21"/>
                <w:szCs w:val="21"/>
              </w:rPr>
              <w:t>1、拟建项目不位于国家级生态保护红线及省级生态空间管控区域内；</w:t>
            </w:r>
          </w:p>
          <w:p w14:paraId="0EAE64C5">
            <w:pPr>
              <w:widowControl/>
              <w:spacing w:line="240" w:lineRule="auto"/>
              <w:ind w:firstLine="0" w:firstLineChars="0"/>
              <w:jc w:val="center"/>
              <w:rPr>
                <w:color w:val="auto"/>
                <w:kern w:val="0"/>
                <w:sz w:val="21"/>
                <w:szCs w:val="21"/>
              </w:rPr>
            </w:pPr>
            <w:r>
              <w:rPr>
                <w:rFonts w:hint="eastAsia"/>
                <w:color w:val="auto"/>
                <w:kern w:val="0"/>
                <w:sz w:val="21"/>
                <w:szCs w:val="21"/>
              </w:rPr>
              <w:t>2、拟建项目不涉及关停、腾退地块；</w:t>
            </w:r>
          </w:p>
          <w:p w14:paraId="72138ED2">
            <w:pPr>
              <w:widowControl/>
              <w:spacing w:line="240" w:lineRule="auto"/>
              <w:ind w:firstLine="0" w:firstLineChars="0"/>
              <w:jc w:val="center"/>
              <w:rPr>
                <w:color w:val="auto"/>
                <w:kern w:val="0"/>
                <w:sz w:val="21"/>
                <w:szCs w:val="21"/>
              </w:rPr>
            </w:pPr>
            <w:r>
              <w:rPr>
                <w:rFonts w:hint="eastAsia"/>
                <w:color w:val="auto"/>
                <w:kern w:val="0"/>
                <w:sz w:val="21"/>
                <w:szCs w:val="21"/>
              </w:rPr>
              <w:t>3、启东亚太是化工重点监测点，拟建项目不涉及新增供地，且污染物排放总量不新增，属于允许技改项目；</w:t>
            </w:r>
          </w:p>
          <w:p w14:paraId="6EA33E82">
            <w:pPr>
              <w:widowControl/>
              <w:spacing w:line="240" w:lineRule="auto"/>
              <w:ind w:firstLine="0" w:firstLineChars="0"/>
              <w:jc w:val="center"/>
              <w:rPr>
                <w:color w:val="auto"/>
                <w:kern w:val="0"/>
                <w:sz w:val="21"/>
                <w:szCs w:val="21"/>
              </w:rPr>
            </w:pPr>
            <w:r>
              <w:rPr>
                <w:rFonts w:hint="eastAsia"/>
                <w:color w:val="auto"/>
                <w:kern w:val="0"/>
                <w:sz w:val="21"/>
                <w:szCs w:val="21"/>
              </w:rPr>
              <w:t>4、不占用水域、生态绿地；</w:t>
            </w:r>
          </w:p>
          <w:p w14:paraId="59E9A731">
            <w:pPr>
              <w:widowControl/>
              <w:spacing w:line="240" w:lineRule="auto"/>
              <w:ind w:firstLine="0" w:firstLineChars="0"/>
              <w:jc w:val="center"/>
              <w:rPr>
                <w:color w:val="auto"/>
                <w:kern w:val="0"/>
                <w:sz w:val="21"/>
                <w:szCs w:val="21"/>
              </w:rPr>
            </w:pPr>
            <w:r>
              <w:rPr>
                <w:rFonts w:hint="eastAsia"/>
                <w:color w:val="auto"/>
                <w:kern w:val="0"/>
                <w:sz w:val="21"/>
                <w:szCs w:val="21"/>
              </w:rPr>
              <w:t>5、拟建项目距长江岸线约1.23km。</w:t>
            </w:r>
          </w:p>
          <w:p w14:paraId="59AA7135">
            <w:pPr>
              <w:spacing w:line="240" w:lineRule="auto"/>
              <w:ind w:firstLine="0" w:firstLineChars="0"/>
              <w:jc w:val="center"/>
              <w:rPr>
                <w:color w:val="auto"/>
              </w:rPr>
            </w:pPr>
          </w:p>
        </w:tc>
      </w:tr>
      <w:tr w14:paraId="4444D2A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88" w:type="pct"/>
            <w:tcBorders>
              <w:tl2br w:val="nil"/>
              <w:tr2bl w:val="nil"/>
            </w:tcBorders>
            <w:vAlign w:val="center"/>
          </w:tcPr>
          <w:p w14:paraId="34DE5835">
            <w:pPr>
              <w:widowControl/>
              <w:spacing w:line="240" w:lineRule="auto"/>
              <w:ind w:firstLine="0" w:firstLineChars="0"/>
              <w:jc w:val="center"/>
              <w:rPr>
                <w:color w:val="auto"/>
                <w:kern w:val="0"/>
                <w:sz w:val="21"/>
                <w:szCs w:val="21"/>
              </w:rPr>
            </w:pPr>
          </w:p>
        </w:tc>
        <w:tc>
          <w:tcPr>
            <w:tcW w:w="2478" w:type="pct"/>
            <w:tcBorders>
              <w:tl2br w:val="nil"/>
              <w:tr2bl w:val="nil"/>
            </w:tcBorders>
            <w:vAlign w:val="center"/>
          </w:tcPr>
          <w:p w14:paraId="077107F4">
            <w:pPr>
              <w:widowControl/>
              <w:spacing w:line="240" w:lineRule="auto"/>
              <w:ind w:firstLine="0" w:firstLineChars="0"/>
              <w:jc w:val="center"/>
              <w:rPr>
                <w:color w:val="auto"/>
                <w:kern w:val="0"/>
                <w:sz w:val="21"/>
                <w:szCs w:val="21"/>
              </w:rPr>
            </w:pPr>
            <w:r>
              <w:rPr>
                <w:rFonts w:hint="eastAsia"/>
                <w:color w:val="auto"/>
                <w:kern w:val="0"/>
                <w:sz w:val="21"/>
                <w:szCs w:val="21"/>
              </w:rPr>
              <w:t>1、大气环境质量达到《环境空气质量</w:t>
            </w:r>
          </w:p>
          <w:p w14:paraId="1CB331DE">
            <w:pPr>
              <w:widowControl/>
              <w:spacing w:line="240" w:lineRule="auto"/>
              <w:ind w:firstLine="0" w:firstLineChars="0"/>
              <w:jc w:val="center"/>
              <w:rPr>
                <w:color w:val="auto"/>
                <w:kern w:val="0"/>
                <w:sz w:val="21"/>
                <w:szCs w:val="21"/>
              </w:rPr>
            </w:pPr>
            <w:r>
              <w:rPr>
                <w:rFonts w:hint="eastAsia"/>
                <w:color w:val="auto"/>
                <w:kern w:val="0"/>
                <w:sz w:val="21"/>
                <w:szCs w:val="21"/>
              </w:rPr>
              <w:t>标准》(GB3895-2012)二级标准、</w:t>
            </w:r>
          </w:p>
          <w:p w14:paraId="3B5896C0">
            <w:pPr>
              <w:widowControl/>
              <w:spacing w:line="240" w:lineRule="auto"/>
              <w:ind w:firstLine="0" w:firstLineChars="0"/>
              <w:jc w:val="center"/>
              <w:rPr>
                <w:color w:val="auto"/>
                <w:kern w:val="0"/>
                <w:sz w:val="21"/>
                <w:szCs w:val="21"/>
              </w:rPr>
            </w:pPr>
            <w:r>
              <w:rPr>
                <w:rFonts w:hint="eastAsia"/>
                <w:color w:val="auto"/>
                <w:kern w:val="0"/>
                <w:sz w:val="21"/>
                <w:szCs w:val="21"/>
              </w:rPr>
              <w:t>《环境影响评价技术导则大气环境》(HJ2.2-2018)附录D其他污染物空气质量浓度参考限值等；区内水体执行《地表水环境质量标准》(GB3838-2002)III类水标准；土壤建设用地满足《土壤环境质量建设用地土壤污染风险管控标准》(GB36600-2018)筛选值中的第一类、第二类用地标准，农用地满足《土壤环境质量农用地土壤污染风险管控标准(试行)》(GB15618-2018)；</w:t>
            </w:r>
          </w:p>
          <w:p w14:paraId="3C34E24E">
            <w:pPr>
              <w:widowControl/>
              <w:spacing w:line="240" w:lineRule="auto"/>
              <w:ind w:firstLine="0" w:firstLineChars="0"/>
              <w:jc w:val="center"/>
              <w:rPr>
                <w:color w:val="auto"/>
                <w:kern w:val="0"/>
                <w:sz w:val="21"/>
                <w:szCs w:val="21"/>
              </w:rPr>
            </w:pPr>
            <w:r>
              <w:rPr>
                <w:rFonts w:hint="eastAsia"/>
                <w:color w:val="auto"/>
                <w:kern w:val="0"/>
                <w:sz w:val="21"/>
                <w:szCs w:val="21"/>
              </w:rPr>
              <w:t>2、污染物控制</w:t>
            </w:r>
          </w:p>
          <w:p w14:paraId="7F650084">
            <w:pPr>
              <w:widowControl/>
              <w:spacing w:line="240" w:lineRule="auto"/>
              <w:ind w:firstLine="0" w:firstLineChars="0"/>
              <w:jc w:val="center"/>
              <w:rPr>
                <w:color w:val="auto"/>
                <w:kern w:val="0"/>
                <w:sz w:val="21"/>
                <w:szCs w:val="21"/>
              </w:rPr>
            </w:pPr>
            <w:r>
              <w:rPr>
                <w:rFonts w:hint="eastAsia"/>
                <w:color w:val="auto"/>
                <w:kern w:val="0"/>
                <w:sz w:val="21"/>
                <w:szCs w:val="21"/>
              </w:rPr>
              <w:t>(1)大气污染物排放量：</w:t>
            </w:r>
          </w:p>
          <w:p w14:paraId="167FF672">
            <w:pPr>
              <w:widowControl/>
              <w:spacing w:line="240" w:lineRule="auto"/>
              <w:ind w:firstLine="0" w:firstLineChars="0"/>
              <w:jc w:val="center"/>
              <w:rPr>
                <w:color w:val="auto"/>
                <w:kern w:val="0"/>
                <w:sz w:val="21"/>
                <w:szCs w:val="21"/>
              </w:rPr>
            </w:pPr>
            <w:r>
              <w:rPr>
                <w:rFonts w:hint="eastAsia"/>
                <w:color w:val="auto"/>
                <w:kern w:val="0"/>
                <w:sz w:val="21"/>
                <w:szCs w:val="21"/>
              </w:rPr>
              <w:t>近期：二氧化硫小于255.492吨/年，氮氧化物小于781.147吨/年，烟尘排放量小于160.178吨/年，VOCs排放量小于226.554吨/年。</w:t>
            </w:r>
          </w:p>
          <w:p w14:paraId="05F13BD0">
            <w:pPr>
              <w:widowControl/>
              <w:spacing w:line="240" w:lineRule="auto"/>
              <w:ind w:firstLine="0" w:firstLineChars="0"/>
              <w:jc w:val="center"/>
              <w:rPr>
                <w:color w:val="auto"/>
                <w:kern w:val="0"/>
                <w:sz w:val="21"/>
                <w:szCs w:val="21"/>
              </w:rPr>
            </w:pPr>
            <w:r>
              <w:rPr>
                <w:rFonts w:hint="eastAsia"/>
                <w:color w:val="auto"/>
                <w:kern w:val="0"/>
                <w:sz w:val="21"/>
                <w:szCs w:val="21"/>
              </w:rPr>
              <w:t>远期：二氧化硫小于256.66吨/年，氮氧化物小于788.257吨/年，烟尘排放量小于161.857吨/年，VOCs排放量小于233.606吨/年。</w:t>
            </w:r>
          </w:p>
          <w:p w14:paraId="65F872D7">
            <w:pPr>
              <w:widowControl/>
              <w:spacing w:line="240" w:lineRule="auto"/>
              <w:ind w:firstLine="0" w:firstLineChars="0"/>
              <w:jc w:val="center"/>
              <w:rPr>
                <w:color w:val="auto"/>
                <w:kern w:val="0"/>
                <w:sz w:val="21"/>
                <w:szCs w:val="21"/>
              </w:rPr>
            </w:pPr>
            <w:r>
              <w:rPr>
                <w:rFonts w:hint="eastAsia"/>
                <w:color w:val="auto"/>
                <w:kern w:val="0"/>
                <w:sz w:val="21"/>
                <w:szCs w:val="21"/>
              </w:rPr>
              <w:t>(2)水污染物排放量：</w:t>
            </w:r>
          </w:p>
          <w:p w14:paraId="78F1BC88">
            <w:pPr>
              <w:widowControl/>
              <w:spacing w:line="240" w:lineRule="auto"/>
              <w:ind w:firstLine="0" w:firstLineChars="0"/>
              <w:jc w:val="center"/>
              <w:rPr>
                <w:color w:val="auto"/>
                <w:kern w:val="0"/>
                <w:sz w:val="21"/>
                <w:szCs w:val="21"/>
              </w:rPr>
            </w:pPr>
            <w:r>
              <w:rPr>
                <w:rFonts w:hint="eastAsia"/>
                <w:color w:val="auto"/>
                <w:kern w:val="0"/>
                <w:sz w:val="21"/>
                <w:szCs w:val="21"/>
              </w:rPr>
              <w:t>近期：化学需氧量排放量小于119.897吨/年，氨氮排放量小于8.992吨/年，总氮排放量小于29.974吨/年，总磷小于0.899吨/年。</w:t>
            </w:r>
          </w:p>
          <w:p w14:paraId="1CB48DF4">
            <w:pPr>
              <w:widowControl/>
              <w:spacing w:line="240" w:lineRule="auto"/>
              <w:ind w:firstLine="0" w:firstLineChars="0"/>
              <w:jc w:val="center"/>
              <w:rPr>
                <w:color w:val="auto"/>
                <w:kern w:val="0"/>
                <w:sz w:val="21"/>
                <w:szCs w:val="21"/>
              </w:rPr>
            </w:pPr>
            <w:r>
              <w:rPr>
                <w:rFonts w:hint="eastAsia"/>
                <w:color w:val="auto"/>
                <w:kern w:val="0"/>
                <w:sz w:val="21"/>
                <w:szCs w:val="21"/>
              </w:rPr>
              <w:t>远期：化学需氧量排放量小于97.505吨/年，氨氮排放量小于7.313吨/年，总氮排放量小于24.376吨/年，总磷小于0.731吨/年。</w:t>
            </w:r>
          </w:p>
          <w:p w14:paraId="7940A6A3">
            <w:pPr>
              <w:widowControl/>
              <w:spacing w:line="240" w:lineRule="auto"/>
              <w:ind w:firstLine="0" w:firstLineChars="0"/>
              <w:jc w:val="center"/>
              <w:rPr>
                <w:color w:val="auto"/>
              </w:rPr>
            </w:pPr>
            <w:r>
              <w:rPr>
                <w:rFonts w:hint="eastAsia"/>
                <w:color w:val="auto"/>
                <w:kern w:val="0"/>
                <w:sz w:val="21"/>
                <w:szCs w:val="21"/>
              </w:rPr>
              <w:t>(3)碳排放量(以CO</w:t>
            </w:r>
            <w:r>
              <w:rPr>
                <w:rFonts w:hint="eastAsia"/>
                <w:color w:val="auto"/>
                <w:kern w:val="0"/>
                <w:sz w:val="21"/>
                <w:szCs w:val="21"/>
                <w:vertAlign w:val="subscript"/>
              </w:rPr>
              <w:t>2</w:t>
            </w:r>
            <w:r>
              <w:rPr>
                <w:rFonts w:hint="eastAsia"/>
                <w:color w:val="auto"/>
                <w:kern w:val="0"/>
                <w:sz w:val="21"/>
                <w:szCs w:val="21"/>
              </w:rPr>
              <w:t>计)：2035789100.84tCO</w:t>
            </w:r>
            <w:r>
              <w:rPr>
                <w:rFonts w:hint="eastAsia"/>
                <w:color w:val="auto"/>
                <w:kern w:val="0"/>
                <w:sz w:val="21"/>
                <w:szCs w:val="21"/>
                <w:vertAlign w:val="subscript"/>
              </w:rPr>
              <w:t>2</w:t>
            </w:r>
            <w:r>
              <w:rPr>
                <w:rFonts w:hint="eastAsia"/>
                <w:color w:val="auto"/>
                <w:kern w:val="0"/>
                <w:sz w:val="21"/>
                <w:szCs w:val="21"/>
              </w:rPr>
              <w:t>e。</w:t>
            </w:r>
          </w:p>
        </w:tc>
        <w:tc>
          <w:tcPr>
            <w:tcW w:w="2133" w:type="pct"/>
            <w:tcBorders>
              <w:tl2br w:val="nil"/>
              <w:tr2bl w:val="nil"/>
            </w:tcBorders>
            <w:vAlign w:val="center"/>
          </w:tcPr>
          <w:p w14:paraId="0EDE3DF2">
            <w:pPr>
              <w:widowControl/>
              <w:spacing w:line="240" w:lineRule="auto"/>
              <w:ind w:firstLine="0" w:firstLineChars="0"/>
              <w:jc w:val="center"/>
              <w:rPr>
                <w:color w:val="auto"/>
                <w:kern w:val="0"/>
                <w:sz w:val="21"/>
                <w:szCs w:val="21"/>
              </w:rPr>
            </w:pPr>
            <w:r>
              <w:rPr>
                <w:rFonts w:hint="eastAsia"/>
                <w:color w:val="auto"/>
                <w:kern w:val="0"/>
                <w:sz w:val="21"/>
                <w:szCs w:val="21"/>
              </w:rPr>
              <w:t>1、拟建项目所在地区域环境空气、地表水、土壤等环境质量状况良好，均能满足质量标准要求；</w:t>
            </w:r>
          </w:p>
          <w:p w14:paraId="506A4FEE">
            <w:pPr>
              <w:widowControl/>
              <w:spacing w:line="240" w:lineRule="auto"/>
              <w:ind w:firstLine="0" w:firstLineChars="0"/>
              <w:jc w:val="center"/>
              <w:rPr>
                <w:color w:val="auto"/>
              </w:rPr>
            </w:pPr>
            <w:r>
              <w:rPr>
                <w:rFonts w:hint="eastAsia"/>
                <w:color w:val="auto"/>
                <w:kern w:val="0"/>
                <w:sz w:val="21"/>
                <w:szCs w:val="21"/>
              </w:rPr>
              <w:t>2、拟建项目废气、废水污染物均可在现有排放总量内平衡，不新增总量。</w:t>
            </w:r>
          </w:p>
        </w:tc>
      </w:tr>
      <w:tr w14:paraId="7D149F8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88" w:type="pct"/>
            <w:tcBorders>
              <w:tl2br w:val="nil"/>
              <w:tr2bl w:val="nil"/>
            </w:tcBorders>
            <w:vAlign w:val="center"/>
          </w:tcPr>
          <w:p w14:paraId="251878FF">
            <w:pPr>
              <w:widowControl/>
              <w:spacing w:line="240" w:lineRule="auto"/>
              <w:ind w:firstLine="0" w:firstLineChars="0"/>
              <w:jc w:val="center"/>
              <w:rPr>
                <w:color w:val="auto"/>
                <w:kern w:val="0"/>
                <w:sz w:val="21"/>
                <w:szCs w:val="21"/>
              </w:rPr>
            </w:pPr>
            <w:r>
              <w:rPr>
                <w:rFonts w:hint="eastAsia"/>
                <w:color w:val="auto"/>
                <w:kern w:val="0"/>
                <w:sz w:val="21"/>
                <w:szCs w:val="21"/>
              </w:rPr>
              <w:t>环境风险防控</w:t>
            </w:r>
          </w:p>
        </w:tc>
        <w:tc>
          <w:tcPr>
            <w:tcW w:w="2478" w:type="pct"/>
            <w:tcBorders>
              <w:tl2br w:val="nil"/>
              <w:tr2bl w:val="nil"/>
            </w:tcBorders>
            <w:vAlign w:val="center"/>
          </w:tcPr>
          <w:p w14:paraId="1F84C497">
            <w:pPr>
              <w:widowControl/>
              <w:spacing w:line="240" w:lineRule="auto"/>
              <w:ind w:firstLine="0" w:firstLineChars="0"/>
              <w:jc w:val="center"/>
              <w:rPr>
                <w:color w:val="auto"/>
                <w:kern w:val="0"/>
                <w:sz w:val="21"/>
                <w:szCs w:val="21"/>
              </w:rPr>
            </w:pPr>
            <w:r>
              <w:rPr>
                <w:rFonts w:hint="eastAsia"/>
                <w:color w:val="auto"/>
                <w:kern w:val="0"/>
                <w:sz w:val="21"/>
                <w:szCs w:val="21"/>
              </w:rPr>
              <w:t>1、建立突发水污染事件应急防范体系，完善“企业+园区+河道”水污染三级防控基础设施建设；</w:t>
            </w:r>
          </w:p>
          <w:p w14:paraId="4A285874">
            <w:pPr>
              <w:widowControl/>
              <w:spacing w:line="240" w:lineRule="auto"/>
              <w:ind w:firstLine="0" w:firstLineChars="0"/>
              <w:jc w:val="center"/>
              <w:rPr>
                <w:color w:val="auto"/>
                <w:kern w:val="0"/>
                <w:sz w:val="21"/>
                <w:szCs w:val="21"/>
              </w:rPr>
            </w:pPr>
            <w:r>
              <w:rPr>
                <w:rFonts w:hint="eastAsia"/>
                <w:color w:val="auto"/>
                <w:kern w:val="0"/>
                <w:sz w:val="21"/>
                <w:szCs w:val="21"/>
              </w:rPr>
              <w:t>2、禁止建设不能满足环评测算出的环境防护距离的项目，或环评事故风险防范和应急措施难以落实到位的企业；</w:t>
            </w:r>
          </w:p>
          <w:p w14:paraId="0F5EB132">
            <w:pPr>
              <w:widowControl/>
              <w:spacing w:line="240" w:lineRule="auto"/>
              <w:ind w:firstLine="0" w:firstLineChars="0"/>
              <w:jc w:val="center"/>
              <w:rPr>
                <w:color w:val="auto"/>
                <w:kern w:val="0"/>
                <w:sz w:val="21"/>
                <w:szCs w:val="21"/>
              </w:rPr>
            </w:pPr>
            <w:r>
              <w:rPr>
                <w:rFonts w:hint="eastAsia"/>
                <w:color w:val="auto"/>
                <w:kern w:val="0"/>
                <w:sz w:val="21"/>
                <w:szCs w:val="21"/>
              </w:rPr>
              <w:t>3、禁止建设与园区空间冲突或经环保论证与周边企业、规划用地等环境不相容或存在重大环境风险隐患且无法消除的项目；</w:t>
            </w:r>
          </w:p>
          <w:p w14:paraId="1860A7D9">
            <w:pPr>
              <w:widowControl/>
              <w:spacing w:line="240" w:lineRule="auto"/>
              <w:ind w:firstLine="0" w:firstLineChars="0"/>
              <w:jc w:val="center"/>
              <w:rPr>
                <w:color w:val="auto"/>
                <w:kern w:val="0"/>
                <w:sz w:val="21"/>
                <w:szCs w:val="21"/>
              </w:rPr>
            </w:pPr>
            <w:r>
              <w:rPr>
                <w:rFonts w:hint="eastAsia"/>
                <w:color w:val="auto"/>
                <w:kern w:val="0"/>
                <w:sz w:val="21"/>
                <w:szCs w:val="21"/>
              </w:rPr>
              <w:t>4、建立有毒有害气体预警体系，完善重点监控区域预警和应急机制，涉及有毒有害气体的企业全部安装毒害气体监控预警装置并与智慧园区管理平台联网，加强监控；</w:t>
            </w:r>
          </w:p>
          <w:p w14:paraId="05489467">
            <w:pPr>
              <w:widowControl/>
              <w:spacing w:line="240" w:lineRule="auto"/>
              <w:ind w:firstLine="0" w:firstLineChars="0"/>
              <w:jc w:val="center"/>
              <w:rPr>
                <w:color w:val="auto"/>
                <w:kern w:val="0"/>
                <w:sz w:val="21"/>
                <w:szCs w:val="21"/>
              </w:rPr>
            </w:pPr>
            <w:r>
              <w:rPr>
                <w:rFonts w:hint="eastAsia"/>
                <w:color w:val="auto"/>
                <w:kern w:val="0"/>
                <w:sz w:val="21"/>
                <w:szCs w:val="21"/>
              </w:rPr>
              <w:t>5、建立突发环境事件隐患排查整改及突发环境事件应急管理长效机制。将园区突发环境事件隐患排查及整改、环境应急物资管理、环境应急演练拉练、环境应急预案备案及修编等工作，纳入智慧园区管理平台进行信息化管理；</w:t>
            </w:r>
          </w:p>
          <w:p w14:paraId="6DED488C">
            <w:pPr>
              <w:widowControl/>
              <w:spacing w:line="240" w:lineRule="auto"/>
              <w:ind w:firstLine="0" w:firstLineChars="0"/>
              <w:jc w:val="center"/>
              <w:rPr>
                <w:color w:val="auto"/>
                <w:kern w:val="0"/>
                <w:sz w:val="21"/>
                <w:szCs w:val="21"/>
              </w:rPr>
            </w:pPr>
            <w:r>
              <w:rPr>
                <w:rFonts w:hint="eastAsia"/>
                <w:color w:val="auto"/>
                <w:kern w:val="0"/>
                <w:sz w:val="21"/>
                <w:szCs w:val="21"/>
              </w:rPr>
              <w:t>6、加强环境影响跟踪监测，建立健全各环境要素监控体系，完善并落实园区日常环境监测与污染源监控计划。</w:t>
            </w:r>
          </w:p>
        </w:tc>
        <w:tc>
          <w:tcPr>
            <w:tcW w:w="2133" w:type="pct"/>
            <w:tcBorders>
              <w:tl2br w:val="nil"/>
              <w:tr2bl w:val="nil"/>
            </w:tcBorders>
            <w:vAlign w:val="center"/>
          </w:tcPr>
          <w:p w14:paraId="607DA974">
            <w:pPr>
              <w:widowControl/>
              <w:spacing w:line="240" w:lineRule="auto"/>
              <w:ind w:firstLine="0" w:firstLineChars="0"/>
              <w:jc w:val="center"/>
              <w:rPr>
                <w:color w:val="auto"/>
                <w:kern w:val="0"/>
                <w:sz w:val="21"/>
                <w:szCs w:val="21"/>
              </w:rPr>
            </w:pPr>
            <w:r>
              <w:rPr>
                <w:rFonts w:hint="eastAsia"/>
                <w:color w:val="auto"/>
                <w:kern w:val="0"/>
                <w:sz w:val="21"/>
                <w:szCs w:val="21"/>
              </w:rPr>
              <w:t>1、企业已建立突发水污染事件应急防范体系，完善“企业+园区+河道”水污染三级防控基础设施建设；</w:t>
            </w:r>
          </w:p>
          <w:p w14:paraId="0023A015">
            <w:pPr>
              <w:widowControl/>
              <w:spacing w:line="240" w:lineRule="auto"/>
              <w:ind w:firstLine="0" w:firstLineChars="0"/>
              <w:jc w:val="center"/>
              <w:rPr>
                <w:color w:val="auto"/>
                <w:kern w:val="0"/>
                <w:sz w:val="21"/>
                <w:szCs w:val="21"/>
              </w:rPr>
            </w:pPr>
            <w:r>
              <w:rPr>
                <w:rFonts w:hint="eastAsia"/>
                <w:color w:val="auto"/>
                <w:kern w:val="0"/>
                <w:sz w:val="21"/>
                <w:szCs w:val="21"/>
              </w:rPr>
              <w:t>2、启东亚太卫生防护距离内无环境敏感目标，环境风险防范措施基本落实到位；</w:t>
            </w:r>
          </w:p>
          <w:p w14:paraId="33CB92D3">
            <w:pPr>
              <w:widowControl/>
              <w:spacing w:line="240" w:lineRule="auto"/>
              <w:ind w:firstLine="0" w:firstLineChars="0"/>
              <w:jc w:val="center"/>
              <w:rPr>
                <w:color w:val="auto"/>
                <w:kern w:val="0"/>
                <w:sz w:val="21"/>
                <w:szCs w:val="21"/>
              </w:rPr>
            </w:pPr>
            <w:r>
              <w:rPr>
                <w:rFonts w:hint="eastAsia"/>
                <w:color w:val="auto"/>
                <w:kern w:val="0"/>
                <w:sz w:val="21"/>
                <w:szCs w:val="21"/>
              </w:rPr>
              <w:t>3、不涉及；</w:t>
            </w:r>
          </w:p>
          <w:p w14:paraId="15D94145">
            <w:pPr>
              <w:widowControl/>
              <w:spacing w:line="240" w:lineRule="auto"/>
              <w:ind w:firstLine="0" w:firstLineChars="0"/>
              <w:jc w:val="center"/>
              <w:rPr>
                <w:color w:val="auto"/>
                <w:kern w:val="0"/>
                <w:sz w:val="21"/>
                <w:szCs w:val="21"/>
              </w:rPr>
            </w:pPr>
            <w:r>
              <w:rPr>
                <w:rFonts w:hint="eastAsia"/>
                <w:color w:val="auto"/>
                <w:kern w:val="0"/>
                <w:sz w:val="21"/>
                <w:szCs w:val="21"/>
              </w:rPr>
              <w:t>4、启东亚太按要求建立有毒有害气体监控预警体系，在涉及有毒有害气体的重点区域安装监控预警装置，并与智慧园区管理平台联网，加强监控，完善预警与应急响应机制；</w:t>
            </w:r>
          </w:p>
          <w:p w14:paraId="6BBA56E9">
            <w:pPr>
              <w:widowControl/>
              <w:spacing w:line="240" w:lineRule="auto"/>
              <w:ind w:firstLine="0" w:firstLineChars="0"/>
              <w:jc w:val="center"/>
              <w:rPr>
                <w:color w:val="auto"/>
                <w:kern w:val="0"/>
                <w:sz w:val="21"/>
                <w:szCs w:val="21"/>
              </w:rPr>
            </w:pPr>
            <w:r>
              <w:rPr>
                <w:rFonts w:hint="eastAsia"/>
                <w:color w:val="auto"/>
                <w:kern w:val="0"/>
                <w:sz w:val="21"/>
                <w:szCs w:val="21"/>
              </w:rPr>
              <w:t>5、启东亚太内部已建立突发环境事件隐患排查整改与应急管理长效机制，采取严格的防火、防爆、防泄漏安全与环境风险防控措施，建立针对性风险防范体系并强化潜在事故监控；</w:t>
            </w:r>
          </w:p>
          <w:p w14:paraId="076D9A36">
            <w:pPr>
              <w:widowControl/>
              <w:spacing w:line="240" w:lineRule="auto"/>
              <w:ind w:firstLine="0" w:firstLineChars="0"/>
              <w:jc w:val="center"/>
              <w:rPr>
                <w:color w:val="auto"/>
              </w:rPr>
            </w:pPr>
            <w:r>
              <w:rPr>
                <w:rFonts w:hint="eastAsia"/>
                <w:color w:val="auto"/>
                <w:kern w:val="0"/>
                <w:sz w:val="21"/>
                <w:szCs w:val="21"/>
              </w:rPr>
              <w:t>6、启东亚太已根据排污许可要求执行例行监测。</w:t>
            </w:r>
          </w:p>
        </w:tc>
      </w:tr>
      <w:tr w14:paraId="5E4CE77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88" w:type="pct"/>
            <w:tcBorders>
              <w:tl2br w:val="nil"/>
              <w:tr2bl w:val="nil"/>
            </w:tcBorders>
            <w:vAlign w:val="center"/>
          </w:tcPr>
          <w:p w14:paraId="437B8E02">
            <w:pPr>
              <w:widowControl/>
              <w:spacing w:line="240" w:lineRule="auto"/>
              <w:ind w:firstLine="0" w:firstLineChars="0"/>
              <w:jc w:val="center"/>
              <w:rPr>
                <w:color w:val="auto"/>
                <w:kern w:val="0"/>
                <w:sz w:val="21"/>
                <w:szCs w:val="21"/>
              </w:rPr>
            </w:pPr>
            <w:r>
              <w:rPr>
                <w:rFonts w:hint="eastAsia"/>
                <w:color w:val="auto"/>
                <w:kern w:val="0"/>
                <w:sz w:val="21"/>
                <w:szCs w:val="21"/>
              </w:rPr>
              <w:t>资源开发利用要求</w:t>
            </w:r>
          </w:p>
        </w:tc>
        <w:tc>
          <w:tcPr>
            <w:tcW w:w="2478" w:type="pct"/>
            <w:tcBorders>
              <w:tl2br w:val="nil"/>
              <w:tr2bl w:val="nil"/>
            </w:tcBorders>
            <w:vAlign w:val="center"/>
          </w:tcPr>
          <w:p w14:paraId="68ADD0C5">
            <w:pPr>
              <w:widowControl/>
              <w:spacing w:line="240" w:lineRule="auto"/>
              <w:ind w:firstLine="0" w:firstLineChars="0"/>
              <w:jc w:val="center"/>
              <w:rPr>
                <w:color w:val="auto"/>
                <w:kern w:val="0"/>
                <w:sz w:val="21"/>
                <w:szCs w:val="21"/>
              </w:rPr>
            </w:pPr>
            <w:r>
              <w:rPr>
                <w:rFonts w:hint="eastAsia"/>
                <w:color w:val="auto"/>
                <w:kern w:val="0"/>
                <w:sz w:val="21"/>
                <w:szCs w:val="21"/>
              </w:rPr>
              <w:t>1、土地资源可利用开发总面积上限7.575平方公里；</w:t>
            </w:r>
          </w:p>
          <w:p w14:paraId="55DA8CF6">
            <w:pPr>
              <w:widowControl/>
              <w:spacing w:line="240" w:lineRule="auto"/>
              <w:ind w:firstLine="0" w:firstLineChars="0"/>
              <w:jc w:val="center"/>
              <w:rPr>
                <w:color w:val="auto"/>
                <w:kern w:val="0"/>
                <w:sz w:val="21"/>
                <w:szCs w:val="21"/>
              </w:rPr>
            </w:pPr>
            <w:r>
              <w:rPr>
                <w:rFonts w:hint="eastAsia"/>
                <w:color w:val="auto"/>
                <w:kern w:val="0"/>
                <w:sz w:val="21"/>
                <w:szCs w:val="21"/>
              </w:rPr>
              <w:t>2、禁止新增涉及开采地下水项目；</w:t>
            </w:r>
          </w:p>
          <w:p w14:paraId="008274E0">
            <w:pPr>
              <w:widowControl/>
              <w:spacing w:line="240" w:lineRule="auto"/>
              <w:ind w:firstLine="0" w:firstLineChars="0"/>
              <w:jc w:val="center"/>
              <w:rPr>
                <w:color w:val="auto"/>
                <w:kern w:val="0"/>
                <w:sz w:val="21"/>
                <w:szCs w:val="21"/>
              </w:rPr>
            </w:pPr>
            <w:r>
              <w:rPr>
                <w:rFonts w:hint="eastAsia"/>
                <w:color w:val="auto"/>
                <w:kern w:val="0"/>
                <w:sz w:val="21"/>
                <w:szCs w:val="21"/>
              </w:rPr>
              <w:t>3、引进项目的生产工艺、设备、能耗、污染物排放、资源利用等均须达到同行业先进水平；</w:t>
            </w:r>
          </w:p>
          <w:p w14:paraId="2BCC0DAF">
            <w:pPr>
              <w:widowControl/>
              <w:spacing w:line="240" w:lineRule="auto"/>
              <w:ind w:firstLine="0" w:firstLineChars="0"/>
              <w:jc w:val="center"/>
              <w:rPr>
                <w:color w:val="auto"/>
                <w:kern w:val="0"/>
                <w:sz w:val="21"/>
                <w:szCs w:val="21"/>
              </w:rPr>
            </w:pPr>
            <w:r>
              <w:rPr>
                <w:rFonts w:hint="eastAsia"/>
                <w:color w:val="auto"/>
                <w:kern w:val="0"/>
                <w:sz w:val="21"/>
                <w:szCs w:val="21"/>
              </w:rPr>
              <w:t>4、按照国家和省能耗及水耗限额标准</w:t>
            </w:r>
          </w:p>
          <w:p w14:paraId="7DE3D889">
            <w:pPr>
              <w:widowControl/>
              <w:spacing w:line="240" w:lineRule="auto"/>
              <w:ind w:firstLine="0" w:firstLineChars="0"/>
              <w:jc w:val="center"/>
              <w:rPr>
                <w:color w:val="auto"/>
                <w:kern w:val="0"/>
                <w:sz w:val="21"/>
                <w:szCs w:val="21"/>
              </w:rPr>
            </w:pPr>
            <w:r>
              <w:rPr>
                <w:rFonts w:hint="eastAsia"/>
                <w:color w:val="auto"/>
                <w:kern w:val="0"/>
                <w:sz w:val="21"/>
                <w:szCs w:val="21"/>
              </w:rPr>
              <w:t>执行；</w:t>
            </w:r>
          </w:p>
          <w:p w14:paraId="1FDFC312">
            <w:pPr>
              <w:widowControl/>
              <w:spacing w:line="240" w:lineRule="auto"/>
              <w:ind w:firstLine="0" w:firstLineChars="0"/>
              <w:jc w:val="center"/>
              <w:rPr>
                <w:color w:val="auto"/>
                <w:kern w:val="0"/>
                <w:sz w:val="21"/>
                <w:szCs w:val="21"/>
              </w:rPr>
            </w:pPr>
            <w:r>
              <w:rPr>
                <w:rFonts w:hint="eastAsia"/>
                <w:color w:val="auto"/>
                <w:kern w:val="0"/>
                <w:sz w:val="21"/>
                <w:szCs w:val="21"/>
              </w:rPr>
              <w:t>5、强化企业清洁生产改造，推进节水型企业、节水型园区建设，提高资源能源利用效率；</w:t>
            </w:r>
          </w:p>
          <w:p w14:paraId="108CD437">
            <w:pPr>
              <w:widowControl/>
              <w:spacing w:line="240" w:lineRule="auto"/>
              <w:ind w:firstLine="0" w:firstLineChars="0"/>
              <w:jc w:val="center"/>
              <w:rPr>
                <w:color w:val="auto"/>
                <w:kern w:val="0"/>
                <w:sz w:val="21"/>
                <w:szCs w:val="21"/>
              </w:rPr>
            </w:pPr>
            <w:r>
              <w:rPr>
                <w:rFonts w:hint="eastAsia"/>
                <w:color w:val="auto"/>
                <w:kern w:val="0"/>
                <w:sz w:val="21"/>
                <w:szCs w:val="21"/>
              </w:rPr>
              <w:t>6、园区再生水(中水)回用率近、远期分别不得低于10%、30%；</w:t>
            </w:r>
          </w:p>
          <w:p w14:paraId="1ED9BE4B">
            <w:pPr>
              <w:widowControl/>
              <w:spacing w:line="240" w:lineRule="auto"/>
              <w:ind w:firstLine="0" w:firstLineChars="0"/>
              <w:jc w:val="center"/>
              <w:rPr>
                <w:color w:val="auto"/>
                <w:kern w:val="0"/>
                <w:sz w:val="21"/>
                <w:szCs w:val="21"/>
              </w:rPr>
            </w:pPr>
            <w:r>
              <w:rPr>
                <w:rFonts w:hint="eastAsia"/>
                <w:color w:val="auto"/>
                <w:kern w:val="0"/>
                <w:sz w:val="21"/>
                <w:szCs w:val="21"/>
              </w:rPr>
              <w:t>7、禁止燃用的燃料组合类别选择《高污染燃料目录》中的“III类(严格)”类别，具体为：煤炭及其制品(包括原煤、散煤、煤矸石、煤泥、煤粉、水煤浆、型煤、焦炭、兰炭等)；石油焦、油页岩、原油、重油、渣油、煤焦油；非专用锅炉或未配置高效除尘设施的专用锅炉燃用的生物质成型燃料；国家规定的其它高污染燃料。</w:t>
            </w:r>
          </w:p>
        </w:tc>
        <w:tc>
          <w:tcPr>
            <w:tcW w:w="2133" w:type="pct"/>
            <w:tcBorders>
              <w:tl2br w:val="nil"/>
              <w:tr2bl w:val="nil"/>
            </w:tcBorders>
            <w:vAlign w:val="center"/>
          </w:tcPr>
          <w:p w14:paraId="74E2AE44">
            <w:pPr>
              <w:widowControl/>
              <w:spacing w:line="240" w:lineRule="auto"/>
              <w:ind w:firstLine="0" w:firstLineChars="0"/>
              <w:jc w:val="center"/>
              <w:rPr>
                <w:color w:val="auto"/>
                <w:kern w:val="0"/>
                <w:sz w:val="21"/>
                <w:szCs w:val="21"/>
              </w:rPr>
            </w:pPr>
            <w:r>
              <w:rPr>
                <w:rFonts w:hint="eastAsia"/>
                <w:color w:val="auto"/>
                <w:kern w:val="0"/>
                <w:sz w:val="21"/>
                <w:szCs w:val="21"/>
              </w:rPr>
              <w:t>1、启东亚太已获得地下水取水许可证、地表水取水许可证，允许取水量分别为10万m</w:t>
            </w:r>
            <w:r>
              <w:rPr>
                <w:rFonts w:hint="eastAsia"/>
                <w:color w:val="auto"/>
                <w:kern w:val="0"/>
                <w:sz w:val="21"/>
                <w:szCs w:val="21"/>
                <w:vertAlign w:val="superscript"/>
              </w:rPr>
              <w:t>3</w:t>
            </w:r>
            <w:r>
              <w:rPr>
                <w:rFonts w:hint="eastAsia"/>
                <w:color w:val="auto"/>
                <w:kern w:val="0"/>
                <w:sz w:val="21"/>
                <w:szCs w:val="21"/>
              </w:rPr>
              <w:t>/a、30万m</w:t>
            </w:r>
            <w:r>
              <w:rPr>
                <w:rFonts w:hint="eastAsia"/>
                <w:color w:val="auto"/>
                <w:kern w:val="0"/>
                <w:sz w:val="21"/>
                <w:szCs w:val="21"/>
                <w:vertAlign w:val="superscript"/>
              </w:rPr>
              <w:t>3</w:t>
            </w:r>
            <w:r>
              <w:rPr>
                <w:rFonts w:hint="eastAsia"/>
                <w:color w:val="auto"/>
                <w:kern w:val="0"/>
                <w:sz w:val="21"/>
                <w:szCs w:val="21"/>
              </w:rPr>
              <w:t>/a；</w:t>
            </w:r>
          </w:p>
          <w:p w14:paraId="0E783057">
            <w:pPr>
              <w:widowControl/>
              <w:spacing w:line="240" w:lineRule="auto"/>
              <w:ind w:firstLine="0" w:firstLineChars="0"/>
              <w:jc w:val="center"/>
              <w:rPr>
                <w:color w:val="auto"/>
                <w:kern w:val="0"/>
                <w:sz w:val="21"/>
                <w:szCs w:val="21"/>
              </w:rPr>
            </w:pPr>
            <w:r>
              <w:rPr>
                <w:rFonts w:hint="eastAsia"/>
                <w:color w:val="auto"/>
                <w:kern w:val="0"/>
                <w:sz w:val="21"/>
                <w:szCs w:val="21"/>
              </w:rPr>
              <w:t>2、拟建项目的生产工艺、设备、能耗、污染物排放、资源利用等均达到同行业先进水平；</w:t>
            </w:r>
          </w:p>
          <w:p w14:paraId="1711278F">
            <w:pPr>
              <w:widowControl/>
              <w:spacing w:line="240" w:lineRule="auto"/>
              <w:ind w:firstLine="0" w:firstLineChars="0"/>
              <w:jc w:val="center"/>
              <w:rPr>
                <w:color w:val="auto"/>
                <w:kern w:val="0"/>
                <w:sz w:val="21"/>
                <w:szCs w:val="21"/>
              </w:rPr>
            </w:pPr>
            <w:r>
              <w:rPr>
                <w:rFonts w:hint="eastAsia"/>
                <w:color w:val="auto"/>
                <w:kern w:val="0"/>
                <w:sz w:val="21"/>
                <w:szCs w:val="21"/>
              </w:rPr>
              <w:t>3、拟建项目清洁生产水平可达到国内先进水平，能耗及水耗都相对较低；</w:t>
            </w:r>
          </w:p>
          <w:p w14:paraId="11781753">
            <w:pPr>
              <w:widowControl/>
              <w:spacing w:line="240" w:lineRule="auto"/>
              <w:ind w:firstLine="0" w:firstLineChars="0"/>
              <w:jc w:val="center"/>
              <w:rPr>
                <w:color w:val="auto"/>
                <w:kern w:val="0"/>
                <w:sz w:val="21"/>
                <w:szCs w:val="21"/>
              </w:rPr>
            </w:pPr>
            <w:r>
              <w:rPr>
                <w:rFonts w:hint="eastAsia"/>
                <w:color w:val="auto"/>
                <w:kern w:val="0"/>
                <w:sz w:val="21"/>
                <w:szCs w:val="21"/>
              </w:rPr>
              <w:t>4、启东亚太已完成第三轮清洁生产审核，水平可达到国内先进水平；</w:t>
            </w:r>
          </w:p>
          <w:p w14:paraId="44D7B2F4">
            <w:pPr>
              <w:widowControl/>
              <w:spacing w:line="240" w:lineRule="auto"/>
              <w:ind w:firstLine="0" w:firstLineChars="0"/>
              <w:jc w:val="center"/>
              <w:rPr>
                <w:color w:val="auto"/>
              </w:rPr>
            </w:pPr>
            <w:r>
              <w:rPr>
                <w:rFonts w:hint="eastAsia"/>
                <w:color w:val="auto"/>
                <w:kern w:val="0"/>
                <w:sz w:val="21"/>
                <w:szCs w:val="21"/>
              </w:rPr>
              <w:t>5、拟建项目不涉及高污染燃料。</w:t>
            </w:r>
          </w:p>
        </w:tc>
      </w:tr>
      <w:bookmarkEnd w:id="21"/>
    </w:tbl>
    <w:p w14:paraId="32FBD64E">
      <w:pPr>
        <w:spacing w:line="500" w:lineRule="atLeast"/>
        <w:ind w:firstLine="480"/>
        <w:rPr>
          <w:color w:val="auto"/>
          <w:szCs w:val="22"/>
        </w:rPr>
      </w:pPr>
      <w:r>
        <w:rPr>
          <w:color w:val="auto"/>
          <w:szCs w:val="22"/>
        </w:rPr>
        <w:t>对照“启东生命健康产业园生态环境准入清单”，拟建项目符合准入清单管理要求。</w:t>
      </w:r>
    </w:p>
    <w:p w14:paraId="5605264B">
      <w:pPr>
        <w:spacing w:line="500" w:lineRule="atLeast"/>
        <w:ind w:firstLine="480"/>
        <w:rPr>
          <w:color w:val="auto"/>
          <w:szCs w:val="22"/>
        </w:rPr>
      </w:pPr>
      <w:r>
        <w:rPr>
          <w:rFonts w:hint="eastAsia"/>
          <w:color w:val="auto"/>
          <w:szCs w:val="22"/>
        </w:rPr>
        <w:t>（2）对照</w:t>
      </w:r>
      <w:r>
        <w:rPr>
          <w:color w:val="auto"/>
          <w:szCs w:val="22"/>
        </w:rPr>
        <w:t>《长江经济带发展负面清单指南（试行，2022年版）》江苏省实施细则（苏长江办发〔2022〕55号）</w:t>
      </w:r>
      <w:r>
        <w:rPr>
          <w:rFonts w:hint="eastAsia"/>
          <w:color w:val="auto"/>
          <w:szCs w:val="22"/>
        </w:rPr>
        <w:t>，与其</w:t>
      </w:r>
      <w:r>
        <w:rPr>
          <w:color w:val="auto"/>
          <w:szCs w:val="22"/>
        </w:rPr>
        <w:t>相符性</w:t>
      </w:r>
      <w:r>
        <w:rPr>
          <w:rFonts w:hint="eastAsia"/>
          <w:color w:val="auto"/>
          <w:szCs w:val="22"/>
        </w:rPr>
        <w:t>见下表。</w:t>
      </w:r>
    </w:p>
    <w:p w14:paraId="1E9AF3D9">
      <w:pPr>
        <w:pStyle w:val="49"/>
        <w:rPr>
          <w:color w:val="auto"/>
        </w:rPr>
      </w:pPr>
      <w:r>
        <w:rPr>
          <w:rFonts w:hint="eastAsia"/>
          <w:color w:val="auto"/>
        </w:rPr>
        <w:t>表1.4-3  与（苏长江办发〔</w:t>
      </w:r>
      <w:r>
        <w:rPr>
          <w:color w:val="auto"/>
        </w:rPr>
        <w:t>2022</w:t>
      </w:r>
      <w:r>
        <w:rPr>
          <w:rFonts w:hint="eastAsia"/>
          <w:color w:val="auto"/>
        </w:rPr>
        <w:t>〕</w:t>
      </w:r>
      <w:r>
        <w:rPr>
          <w:color w:val="auto"/>
        </w:rPr>
        <w:t>55</w:t>
      </w:r>
      <w:r>
        <w:rPr>
          <w:rFonts w:hint="eastAsia"/>
          <w:color w:val="auto"/>
        </w:rPr>
        <w:t>号）相符性分析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55"/>
        <w:gridCol w:w="636"/>
        <w:gridCol w:w="5103"/>
        <w:gridCol w:w="2742"/>
        <w:gridCol w:w="818"/>
      </w:tblGrid>
      <w:tr w14:paraId="74A68E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3" w:hRule="atLeast"/>
          <w:jc w:val="center"/>
        </w:trPr>
        <w:tc>
          <w:tcPr>
            <w:tcW w:w="282" w:type="pct"/>
            <w:tcBorders>
              <w:tl2br w:val="nil"/>
              <w:tr2bl w:val="nil"/>
            </w:tcBorders>
            <w:vAlign w:val="center"/>
          </w:tcPr>
          <w:p w14:paraId="39899530">
            <w:pPr>
              <w:spacing w:line="240" w:lineRule="auto"/>
              <w:ind w:firstLine="0" w:firstLineChars="0"/>
              <w:jc w:val="center"/>
              <w:rPr>
                <w:rFonts w:cs="Calibri"/>
                <w:b/>
                <w:bCs/>
                <w:color w:val="auto"/>
                <w:sz w:val="21"/>
                <w:szCs w:val="21"/>
              </w:rPr>
            </w:pPr>
            <w:r>
              <w:rPr>
                <w:rFonts w:cs="Calibri"/>
                <w:b/>
                <w:bCs/>
                <w:color w:val="auto"/>
                <w:sz w:val="21"/>
                <w:szCs w:val="21"/>
              </w:rPr>
              <w:t>序号</w:t>
            </w:r>
          </w:p>
        </w:tc>
        <w:tc>
          <w:tcPr>
            <w:tcW w:w="2911" w:type="pct"/>
            <w:gridSpan w:val="2"/>
            <w:tcBorders>
              <w:tl2br w:val="nil"/>
              <w:tr2bl w:val="nil"/>
            </w:tcBorders>
            <w:vAlign w:val="center"/>
          </w:tcPr>
          <w:p w14:paraId="6E2D259B">
            <w:pPr>
              <w:spacing w:line="240" w:lineRule="auto"/>
              <w:ind w:firstLine="0" w:firstLineChars="0"/>
              <w:jc w:val="center"/>
              <w:rPr>
                <w:rFonts w:cs="Calibri"/>
                <w:b/>
                <w:bCs/>
                <w:color w:val="auto"/>
                <w:sz w:val="21"/>
                <w:szCs w:val="21"/>
              </w:rPr>
            </w:pPr>
            <w:r>
              <w:rPr>
                <w:rFonts w:cs="Calibri"/>
                <w:b/>
                <w:bCs/>
                <w:color w:val="auto"/>
                <w:sz w:val="21"/>
                <w:szCs w:val="21"/>
              </w:rPr>
              <w:t>管控条款</w:t>
            </w:r>
          </w:p>
        </w:tc>
        <w:tc>
          <w:tcPr>
            <w:tcW w:w="1391" w:type="pct"/>
            <w:tcBorders>
              <w:tl2br w:val="nil"/>
              <w:tr2bl w:val="nil"/>
            </w:tcBorders>
            <w:vAlign w:val="center"/>
          </w:tcPr>
          <w:p w14:paraId="55089CF9">
            <w:pPr>
              <w:spacing w:line="240" w:lineRule="auto"/>
              <w:ind w:firstLine="0" w:firstLineChars="0"/>
              <w:jc w:val="center"/>
              <w:rPr>
                <w:rFonts w:cs="Calibri"/>
                <w:b/>
                <w:bCs/>
                <w:color w:val="auto"/>
                <w:sz w:val="21"/>
                <w:szCs w:val="21"/>
              </w:rPr>
            </w:pPr>
            <w:r>
              <w:rPr>
                <w:rFonts w:hint="eastAsia" w:cs="Calibri"/>
                <w:b/>
                <w:bCs/>
                <w:color w:val="auto"/>
                <w:sz w:val="21"/>
                <w:szCs w:val="21"/>
              </w:rPr>
              <w:t>拟建项目</w:t>
            </w:r>
            <w:r>
              <w:rPr>
                <w:rFonts w:cs="Calibri"/>
                <w:b/>
                <w:bCs/>
                <w:color w:val="auto"/>
                <w:sz w:val="21"/>
                <w:szCs w:val="21"/>
              </w:rPr>
              <w:t>情况</w:t>
            </w:r>
          </w:p>
        </w:tc>
        <w:tc>
          <w:tcPr>
            <w:tcW w:w="415" w:type="pct"/>
            <w:tcBorders>
              <w:tl2br w:val="nil"/>
              <w:tr2bl w:val="nil"/>
            </w:tcBorders>
            <w:vAlign w:val="center"/>
          </w:tcPr>
          <w:p w14:paraId="467AEB6D">
            <w:pPr>
              <w:spacing w:line="240" w:lineRule="auto"/>
              <w:ind w:firstLine="0" w:firstLineChars="0"/>
              <w:jc w:val="center"/>
              <w:rPr>
                <w:rFonts w:cs="Calibri"/>
                <w:b/>
                <w:bCs/>
                <w:color w:val="auto"/>
                <w:sz w:val="21"/>
                <w:szCs w:val="21"/>
              </w:rPr>
            </w:pPr>
            <w:r>
              <w:rPr>
                <w:rFonts w:cs="Calibri"/>
                <w:b/>
                <w:bCs/>
                <w:color w:val="auto"/>
                <w:sz w:val="21"/>
                <w:szCs w:val="21"/>
              </w:rPr>
              <w:t>是否相符</w:t>
            </w:r>
          </w:p>
        </w:tc>
      </w:tr>
      <w:tr w14:paraId="13C815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34C18FB7">
            <w:pPr>
              <w:spacing w:line="240" w:lineRule="auto"/>
              <w:ind w:firstLine="0" w:firstLineChars="0"/>
              <w:jc w:val="center"/>
              <w:rPr>
                <w:rFonts w:cs="Calibri"/>
                <w:color w:val="auto"/>
                <w:sz w:val="21"/>
                <w:szCs w:val="21"/>
              </w:rPr>
            </w:pPr>
            <w:r>
              <w:rPr>
                <w:rFonts w:cs="Calibri"/>
                <w:color w:val="auto"/>
                <w:sz w:val="21"/>
                <w:szCs w:val="21"/>
              </w:rPr>
              <w:t>1</w:t>
            </w:r>
          </w:p>
        </w:tc>
        <w:tc>
          <w:tcPr>
            <w:tcW w:w="322" w:type="pct"/>
            <w:vMerge w:val="restart"/>
            <w:tcBorders>
              <w:tl2br w:val="nil"/>
              <w:tr2bl w:val="nil"/>
            </w:tcBorders>
            <w:vAlign w:val="center"/>
          </w:tcPr>
          <w:p w14:paraId="00B32458">
            <w:pPr>
              <w:spacing w:line="240" w:lineRule="auto"/>
              <w:ind w:firstLine="0" w:firstLineChars="0"/>
              <w:jc w:val="center"/>
              <w:rPr>
                <w:rFonts w:cs="Calibri"/>
                <w:color w:val="auto"/>
                <w:sz w:val="21"/>
                <w:szCs w:val="21"/>
              </w:rPr>
            </w:pPr>
            <w:r>
              <w:rPr>
                <w:rFonts w:cs="Calibri"/>
                <w:color w:val="auto"/>
                <w:sz w:val="21"/>
                <w:szCs w:val="21"/>
              </w:rPr>
              <w:t>一、河段利用与岸线开发</w:t>
            </w:r>
          </w:p>
        </w:tc>
        <w:tc>
          <w:tcPr>
            <w:tcW w:w="2588" w:type="pct"/>
            <w:tcBorders>
              <w:tl2br w:val="nil"/>
              <w:tr2bl w:val="nil"/>
            </w:tcBorders>
            <w:vAlign w:val="center"/>
          </w:tcPr>
          <w:p w14:paraId="7385F4AB">
            <w:pPr>
              <w:spacing w:line="240" w:lineRule="auto"/>
              <w:ind w:firstLine="0" w:firstLineChars="0"/>
              <w:jc w:val="center"/>
              <w:rPr>
                <w:rFonts w:cs="Calibri"/>
                <w:color w:val="auto"/>
                <w:sz w:val="21"/>
                <w:szCs w:val="21"/>
              </w:rPr>
            </w:pPr>
            <w:r>
              <w:rPr>
                <w:rFonts w:cs="Calibri"/>
                <w:color w:val="auto"/>
                <w:sz w:val="21"/>
                <w:szCs w:val="21"/>
              </w:rPr>
              <w:t>1、禁止建设不符合国家港口布局规划和《江苏省沿江沿海港口布局规划（2015-2030年）</w:t>
            </w:r>
            <w:r>
              <w:rPr>
                <w:rFonts w:hint="eastAsia" w:cs="Calibri"/>
                <w:color w:val="auto"/>
                <w:sz w:val="21"/>
                <w:szCs w:val="21"/>
              </w:rPr>
              <w:t>》、《</w:t>
            </w:r>
            <w:r>
              <w:rPr>
                <w:rFonts w:cs="Calibri"/>
                <w:color w:val="auto"/>
                <w:sz w:val="21"/>
                <w:szCs w:val="21"/>
              </w:rPr>
              <w:t>江苏省内河港口布局规划（2017-2035年）》以及我省有关港口总体规划的码头项目，禁止建设未纳入《长江干线过江通道布局规划》的过长江通道项目。</w:t>
            </w:r>
          </w:p>
        </w:tc>
        <w:tc>
          <w:tcPr>
            <w:tcW w:w="1391" w:type="pct"/>
            <w:tcBorders>
              <w:tl2br w:val="nil"/>
              <w:tr2bl w:val="nil"/>
            </w:tcBorders>
            <w:vAlign w:val="center"/>
          </w:tcPr>
          <w:p w14:paraId="750846DF">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不属于码头、过长江通道项目。</w:t>
            </w:r>
          </w:p>
        </w:tc>
        <w:tc>
          <w:tcPr>
            <w:tcW w:w="415" w:type="pct"/>
            <w:tcBorders>
              <w:tl2br w:val="nil"/>
              <w:tr2bl w:val="nil"/>
            </w:tcBorders>
            <w:vAlign w:val="center"/>
          </w:tcPr>
          <w:p w14:paraId="5993BD0A">
            <w:pPr>
              <w:spacing w:line="240" w:lineRule="auto"/>
              <w:ind w:firstLine="0" w:firstLineChars="0"/>
              <w:jc w:val="center"/>
              <w:rPr>
                <w:rFonts w:cs="Calibri"/>
                <w:color w:val="auto"/>
                <w:sz w:val="21"/>
                <w:szCs w:val="21"/>
              </w:rPr>
            </w:pPr>
            <w:r>
              <w:rPr>
                <w:rFonts w:cs="Calibri"/>
                <w:color w:val="auto"/>
                <w:sz w:val="21"/>
                <w:szCs w:val="21"/>
              </w:rPr>
              <w:t>相符</w:t>
            </w:r>
          </w:p>
        </w:tc>
      </w:tr>
      <w:tr w14:paraId="7CF40D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7DE80D09">
            <w:pPr>
              <w:spacing w:line="240" w:lineRule="auto"/>
              <w:ind w:firstLine="0" w:firstLineChars="0"/>
              <w:jc w:val="center"/>
              <w:rPr>
                <w:rFonts w:cs="Calibri"/>
                <w:color w:val="auto"/>
                <w:sz w:val="21"/>
                <w:szCs w:val="21"/>
              </w:rPr>
            </w:pPr>
            <w:r>
              <w:rPr>
                <w:rFonts w:cs="Calibri"/>
                <w:color w:val="auto"/>
                <w:sz w:val="21"/>
                <w:szCs w:val="21"/>
              </w:rPr>
              <w:t>2</w:t>
            </w:r>
          </w:p>
        </w:tc>
        <w:tc>
          <w:tcPr>
            <w:tcW w:w="322" w:type="pct"/>
            <w:vMerge w:val="continue"/>
            <w:tcBorders>
              <w:tl2br w:val="nil"/>
              <w:tr2bl w:val="nil"/>
            </w:tcBorders>
            <w:vAlign w:val="center"/>
          </w:tcPr>
          <w:p w14:paraId="4A490F53">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6FDDC322">
            <w:pPr>
              <w:spacing w:line="240" w:lineRule="auto"/>
              <w:ind w:firstLine="0" w:firstLineChars="0"/>
              <w:jc w:val="center"/>
              <w:rPr>
                <w:rFonts w:cs="Calibri"/>
                <w:color w:val="auto"/>
                <w:sz w:val="21"/>
                <w:szCs w:val="21"/>
              </w:rPr>
            </w:pPr>
            <w:r>
              <w:rPr>
                <w:rFonts w:cs="Calibri"/>
                <w:color w:val="auto"/>
                <w:sz w:val="21"/>
                <w:szCs w:val="21"/>
              </w:rPr>
              <w:t>2、严格执行《中华人民共和国自然保护区条例》，禁止在自然保护区核心区、缓冲区的岸线和河段范围内投资建设旅游和生产经营项目。严格执行《风景名胜区条例</w:t>
            </w:r>
            <w:r>
              <w:rPr>
                <w:rFonts w:hint="eastAsia" w:cs="Calibri"/>
                <w:color w:val="auto"/>
                <w:sz w:val="21"/>
                <w:szCs w:val="21"/>
              </w:rPr>
              <w:t>》、《</w:t>
            </w:r>
            <w:r>
              <w:rPr>
                <w:rFonts w:cs="Calibri"/>
                <w:color w:val="auto"/>
                <w:sz w:val="21"/>
                <w:szCs w:val="21"/>
              </w:rPr>
              <w:t>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391" w:type="pct"/>
            <w:tcBorders>
              <w:tl2br w:val="nil"/>
              <w:tr2bl w:val="nil"/>
            </w:tcBorders>
            <w:vAlign w:val="center"/>
          </w:tcPr>
          <w:p w14:paraId="2993E358">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不属于自然保护区核心区、缓冲区的岸线和河段范围，不属于国家级和省级风景名胜区核心景区的岸线和河段范围。</w:t>
            </w:r>
          </w:p>
        </w:tc>
        <w:tc>
          <w:tcPr>
            <w:tcW w:w="415" w:type="pct"/>
            <w:tcBorders>
              <w:tl2br w:val="nil"/>
              <w:tr2bl w:val="nil"/>
            </w:tcBorders>
            <w:vAlign w:val="center"/>
          </w:tcPr>
          <w:p w14:paraId="29856157">
            <w:pPr>
              <w:spacing w:line="240" w:lineRule="auto"/>
              <w:ind w:firstLine="0" w:firstLineChars="0"/>
              <w:jc w:val="center"/>
              <w:rPr>
                <w:rFonts w:cs="Calibri"/>
                <w:color w:val="auto"/>
                <w:sz w:val="21"/>
                <w:szCs w:val="21"/>
              </w:rPr>
            </w:pPr>
            <w:r>
              <w:rPr>
                <w:rFonts w:cs="Calibri"/>
                <w:color w:val="auto"/>
                <w:sz w:val="21"/>
                <w:szCs w:val="21"/>
              </w:rPr>
              <w:t>相符</w:t>
            </w:r>
          </w:p>
        </w:tc>
      </w:tr>
      <w:tr w14:paraId="640CC30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39AAC853">
            <w:pPr>
              <w:spacing w:line="240" w:lineRule="auto"/>
              <w:ind w:firstLine="0" w:firstLineChars="0"/>
              <w:jc w:val="center"/>
              <w:rPr>
                <w:rFonts w:cs="Calibri"/>
                <w:color w:val="auto"/>
                <w:sz w:val="21"/>
                <w:szCs w:val="21"/>
              </w:rPr>
            </w:pPr>
            <w:r>
              <w:rPr>
                <w:rFonts w:cs="Calibri"/>
                <w:color w:val="auto"/>
                <w:sz w:val="21"/>
                <w:szCs w:val="21"/>
              </w:rPr>
              <w:t>3</w:t>
            </w:r>
          </w:p>
        </w:tc>
        <w:tc>
          <w:tcPr>
            <w:tcW w:w="322" w:type="pct"/>
            <w:vMerge w:val="continue"/>
            <w:tcBorders>
              <w:tl2br w:val="nil"/>
              <w:tr2bl w:val="nil"/>
            </w:tcBorders>
            <w:vAlign w:val="center"/>
          </w:tcPr>
          <w:p w14:paraId="67D3E28E">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46A74996">
            <w:pPr>
              <w:spacing w:line="240" w:lineRule="auto"/>
              <w:ind w:firstLine="0" w:firstLineChars="0"/>
              <w:jc w:val="center"/>
              <w:rPr>
                <w:rFonts w:cs="Calibri"/>
                <w:color w:val="auto"/>
                <w:sz w:val="21"/>
                <w:szCs w:val="21"/>
              </w:rPr>
            </w:pPr>
            <w:r>
              <w:rPr>
                <w:rFonts w:cs="Calibri"/>
                <w:color w:val="auto"/>
                <w:sz w:val="21"/>
                <w:szCs w:val="21"/>
              </w:rPr>
              <w:t>3、严格执行《中华人民共和国水污染防治法</w:t>
            </w:r>
            <w:r>
              <w:rPr>
                <w:rFonts w:hint="eastAsia" w:cs="Calibri"/>
                <w:color w:val="auto"/>
                <w:sz w:val="21"/>
                <w:szCs w:val="21"/>
              </w:rPr>
              <w:t>》、《</w:t>
            </w:r>
            <w:r>
              <w:rPr>
                <w:rFonts w:cs="Calibri"/>
                <w:color w:val="auto"/>
                <w:sz w:val="21"/>
                <w:szCs w:val="21"/>
              </w:rPr>
              <w:t>江苏省人民代表大会常务委员会关于加强饮用水源地保护的决定</w:t>
            </w:r>
            <w:r>
              <w:rPr>
                <w:rFonts w:hint="eastAsia" w:cs="Calibri"/>
                <w:color w:val="auto"/>
                <w:sz w:val="21"/>
                <w:szCs w:val="21"/>
              </w:rPr>
              <w:t>》、《</w:t>
            </w:r>
            <w:r>
              <w:rPr>
                <w:rFonts w:cs="Calibri"/>
                <w:color w:val="auto"/>
                <w:sz w:val="21"/>
                <w:szCs w:val="21"/>
              </w:rPr>
              <w:t>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91" w:type="pct"/>
            <w:tcBorders>
              <w:tl2br w:val="nil"/>
              <w:tr2bl w:val="nil"/>
            </w:tcBorders>
            <w:vAlign w:val="center"/>
          </w:tcPr>
          <w:p w14:paraId="1ABEDDD4">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不属于饮用水水源一级保护区的岸线和河段范围、饮用水水源二级保护区的岸线和河段范围、饮用水水源准保护区的岸线和河段范围。</w:t>
            </w:r>
          </w:p>
        </w:tc>
        <w:tc>
          <w:tcPr>
            <w:tcW w:w="415" w:type="pct"/>
            <w:tcBorders>
              <w:tl2br w:val="nil"/>
              <w:tr2bl w:val="nil"/>
            </w:tcBorders>
            <w:vAlign w:val="center"/>
          </w:tcPr>
          <w:p w14:paraId="2750DBCB">
            <w:pPr>
              <w:spacing w:line="240" w:lineRule="auto"/>
              <w:ind w:firstLine="0" w:firstLineChars="0"/>
              <w:jc w:val="center"/>
              <w:rPr>
                <w:rFonts w:cs="Calibri"/>
                <w:color w:val="auto"/>
                <w:sz w:val="21"/>
                <w:szCs w:val="21"/>
              </w:rPr>
            </w:pPr>
            <w:r>
              <w:rPr>
                <w:rFonts w:cs="Calibri"/>
                <w:color w:val="auto"/>
                <w:sz w:val="21"/>
                <w:szCs w:val="21"/>
              </w:rPr>
              <w:t>相符</w:t>
            </w:r>
          </w:p>
        </w:tc>
      </w:tr>
      <w:tr w14:paraId="56C406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58A3AE6D">
            <w:pPr>
              <w:spacing w:line="240" w:lineRule="auto"/>
              <w:ind w:firstLine="0" w:firstLineChars="0"/>
              <w:jc w:val="center"/>
              <w:rPr>
                <w:rFonts w:cs="Calibri"/>
                <w:color w:val="auto"/>
                <w:sz w:val="21"/>
                <w:szCs w:val="21"/>
              </w:rPr>
            </w:pPr>
            <w:r>
              <w:rPr>
                <w:rFonts w:cs="Calibri"/>
                <w:color w:val="auto"/>
                <w:sz w:val="21"/>
                <w:szCs w:val="21"/>
              </w:rPr>
              <w:t>4</w:t>
            </w:r>
          </w:p>
        </w:tc>
        <w:tc>
          <w:tcPr>
            <w:tcW w:w="322" w:type="pct"/>
            <w:vMerge w:val="continue"/>
            <w:tcBorders>
              <w:tl2br w:val="nil"/>
              <w:tr2bl w:val="nil"/>
            </w:tcBorders>
            <w:vAlign w:val="center"/>
          </w:tcPr>
          <w:p w14:paraId="1A676A3C">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0C634316">
            <w:pPr>
              <w:spacing w:line="240" w:lineRule="auto"/>
              <w:ind w:firstLine="0" w:firstLineChars="0"/>
              <w:jc w:val="center"/>
              <w:rPr>
                <w:rFonts w:cs="Calibri"/>
                <w:color w:val="auto"/>
                <w:sz w:val="21"/>
                <w:szCs w:val="21"/>
              </w:rPr>
            </w:pPr>
            <w:r>
              <w:rPr>
                <w:rFonts w:cs="Calibri"/>
                <w:color w:val="auto"/>
                <w:sz w:val="21"/>
                <w:szCs w:val="21"/>
              </w:rPr>
              <w:t>4、严格执行《水产种质资源保护区管理暂行办法》，禁止在国家级和省级水产种质资源保护区的岸线和河段范围内新建围湖造田、围海造地或围填海等投资建设项目。严格执行《中华人民共和国湿地保护法</w:t>
            </w:r>
            <w:r>
              <w:rPr>
                <w:rFonts w:hint="eastAsia" w:cs="Calibri"/>
                <w:color w:val="auto"/>
                <w:sz w:val="21"/>
                <w:szCs w:val="21"/>
              </w:rPr>
              <w:t>》、《</w:t>
            </w:r>
            <w:r>
              <w:rPr>
                <w:rFonts w:cs="Calibri"/>
                <w:color w:val="auto"/>
                <w:sz w:val="21"/>
                <w:szCs w:val="21"/>
              </w:rPr>
              <w:t>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391" w:type="pct"/>
            <w:tcBorders>
              <w:tl2br w:val="nil"/>
              <w:tr2bl w:val="nil"/>
            </w:tcBorders>
            <w:vAlign w:val="center"/>
          </w:tcPr>
          <w:p w14:paraId="57115AD0">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不属于国家级和省级水产种质资源保护区的岸线和河段范围、国家湿地公园的岸线和河段范围。</w:t>
            </w:r>
          </w:p>
        </w:tc>
        <w:tc>
          <w:tcPr>
            <w:tcW w:w="415" w:type="pct"/>
            <w:tcBorders>
              <w:tl2br w:val="nil"/>
              <w:tr2bl w:val="nil"/>
            </w:tcBorders>
            <w:vAlign w:val="center"/>
          </w:tcPr>
          <w:p w14:paraId="4FD5C3C4">
            <w:pPr>
              <w:spacing w:line="240" w:lineRule="auto"/>
              <w:ind w:firstLine="0" w:firstLineChars="0"/>
              <w:jc w:val="center"/>
              <w:rPr>
                <w:rFonts w:cs="Calibri"/>
                <w:color w:val="auto"/>
                <w:sz w:val="21"/>
                <w:szCs w:val="21"/>
              </w:rPr>
            </w:pPr>
            <w:r>
              <w:rPr>
                <w:rFonts w:cs="Calibri"/>
                <w:color w:val="auto"/>
                <w:sz w:val="21"/>
                <w:szCs w:val="21"/>
              </w:rPr>
              <w:t>相符</w:t>
            </w:r>
          </w:p>
        </w:tc>
      </w:tr>
      <w:tr w14:paraId="6DAB76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3943D7B4">
            <w:pPr>
              <w:spacing w:line="240" w:lineRule="auto"/>
              <w:ind w:firstLine="0" w:firstLineChars="0"/>
              <w:jc w:val="center"/>
              <w:rPr>
                <w:rFonts w:cs="Calibri"/>
                <w:color w:val="auto"/>
                <w:sz w:val="21"/>
                <w:szCs w:val="21"/>
              </w:rPr>
            </w:pPr>
            <w:r>
              <w:rPr>
                <w:rFonts w:cs="Calibri"/>
                <w:color w:val="auto"/>
                <w:sz w:val="21"/>
                <w:szCs w:val="21"/>
              </w:rPr>
              <w:t>5</w:t>
            </w:r>
          </w:p>
        </w:tc>
        <w:tc>
          <w:tcPr>
            <w:tcW w:w="322" w:type="pct"/>
            <w:vMerge w:val="continue"/>
            <w:tcBorders>
              <w:tl2br w:val="nil"/>
              <w:tr2bl w:val="nil"/>
            </w:tcBorders>
            <w:vAlign w:val="center"/>
          </w:tcPr>
          <w:p w14:paraId="7AB6FA11">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58A44AAC">
            <w:pPr>
              <w:spacing w:line="240" w:lineRule="auto"/>
              <w:ind w:firstLine="0" w:firstLineChars="0"/>
              <w:jc w:val="center"/>
              <w:rPr>
                <w:rFonts w:cs="Calibri"/>
                <w:color w:val="auto"/>
                <w:sz w:val="21"/>
                <w:szCs w:val="21"/>
              </w:rPr>
            </w:pPr>
            <w:r>
              <w:rPr>
                <w:rFonts w:cs="Calibri"/>
                <w:color w:val="auto"/>
                <w:sz w:val="21"/>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91" w:type="pct"/>
            <w:tcBorders>
              <w:tl2br w:val="nil"/>
              <w:tr2bl w:val="nil"/>
            </w:tcBorders>
            <w:vAlign w:val="center"/>
          </w:tcPr>
          <w:p w14:paraId="31D182ED">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不属于《长江岸线保护和开发利用总体规划》划定的岸线保护区和保留区、《全国重要江河湖泊水功能区划》划定的河段及湖泊保护区、保留区。</w:t>
            </w:r>
          </w:p>
        </w:tc>
        <w:tc>
          <w:tcPr>
            <w:tcW w:w="415" w:type="pct"/>
            <w:tcBorders>
              <w:tl2br w:val="nil"/>
              <w:tr2bl w:val="nil"/>
            </w:tcBorders>
            <w:vAlign w:val="center"/>
          </w:tcPr>
          <w:p w14:paraId="4D987ACA">
            <w:pPr>
              <w:spacing w:line="240" w:lineRule="auto"/>
              <w:ind w:firstLine="0" w:firstLineChars="0"/>
              <w:jc w:val="center"/>
              <w:rPr>
                <w:rFonts w:cs="Calibri"/>
                <w:color w:val="auto"/>
                <w:sz w:val="21"/>
                <w:szCs w:val="21"/>
              </w:rPr>
            </w:pPr>
            <w:r>
              <w:rPr>
                <w:rFonts w:cs="Calibri"/>
                <w:color w:val="auto"/>
                <w:sz w:val="21"/>
                <w:szCs w:val="21"/>
              </w:rPr>
              <w:t>相符</w:t>
            </w:r>
          </w:p>
        </w:tc>
      </w:tr>
      <w:tr w14:paraId="2785F1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65E120D7">
            <w:pPr>
              <w:spacing w:line="240" w:lineRule="auto"/>
              <w:ind w:firstLine="0" w:firstLineChars="0"/>
              <w:jc w:val="center"/>
              <w:rPr>
                <w:rFonts w:cs="Calibri"/>
                <w:color w:val="auto"/>
                <w:sz w:val="21"/>
                <w:szCs w:val="21"/>
              </w:rPr>
            </w:pPr>
            <w:r>
              <w:rPr>
                <w:rFonts w:cs="Calibri"/>
                <w:color w:val="auto"/>
                <w:sz w:val="21"/>
                <w:szCs w:val="21"/>
              </w:rPr>
              <w:t>6</w:t>
            </w:r>
          </w:p>
        </w:tc>
        <w:tc>
          <w:tcPr>
            <w:tcW w:w="322" w:type="pct"/>
            <w:vMerge w:val="continue"/>
            <w:tcBorders>
              <w:tl2br w:val="nil"/>
              <w:tr2bl w:val="nil"/>
            </w:tcBorders>
            <w:vAlign w:val="center"/>
          </w:tcPr>
          <w:p w14:paraId="08B5D46A">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42A2A719">
            <w:pPr>
              <w:spacing w:line="240" w:lineRule="auto"/>
              <w:ind w:firstLine="0" w:firstLineChars="0"/>
              <w:jc w:val="center"/>
              <w:rPr>
                <w:rFonts w:cs="Calibri"/>
                <w:color w:val="auto"/>
                <w:sz w:val="21"/>
                <w:szCs w:val="21"/>
              </w:rPr>
            </w:pPr>
            <w:r>
              <w:rPr>
                <w:rFonts w:cs="Calibri"/>
                <w:color w:val="auto"/>
                <w:sz w:val="21"/>
                <w:szCs w:val="21"/>
              </w:rPr>
              <w:t>6、禁止未经许可在长江干支流及湖泊新设、改设或扩大排污口。</w:t>
            </w:r>
          </w:p>
        </w:tc>
        <w:tc>
          <w:tcPr>
            <w:tcW w:w="1391" w:type="pct"/>
            <w:tcBorders>
              <w:tl2br w:val="nil"/>
              <w:tr2bl w:val="nil"/>
            </w:tcBorders>
            <w:vAlign w:val="center"/>
          </w:tcPr>
          <w:p w14:paraId="74F13395">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不新设、改设或扩大排污口。</w:t>
            </w:r>
          </w:p>
        </w:tc>
        <w:tc>
          <w:tcPr>
            <w:tcW w:w="415" w:type="pct"/>
            <w:tcBorders>
              <w:tl2br w:val="nil"/>
              <w:tr2bl w:val="nil"/>
            </w:tcBorders>
            <w:vAlign w:val="center"/>
          </w:tcPr>
          <w:p w14:paraId="6454E299">
            <w:pPr>
              <w:spacing w:line="240" w:lineRule="auto"/>
              <w:ind w:firstLine="0" w:firstLineChars="0"/>
              <w:jc w:val="center"/>
              <w:rPr>
                <w:rFonts w:cs="Calibri"/>
                <w:color w:val="auto"/>
                <w:sz w:val="21"/>
                <w:szCs w:val="21"/>
              </w:rPr>
            </w:pPr>
            <w:r>
              <w:rPr>
                <w:rFonts w:cs="Calibri"/>
                <w:color w:val="auto"/>
                <w:sz w:val="21"/>
                <w:szCs w:val="21"/>
              </w:rPr>
              <w:t>相符</w:t>
            </w:r>
          </w:p>
        </w:tc>
      </w:tr>
      <w:tr w14:paraId="7D05EB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587BA301">
            <w:pPr>
              <w:spacing w:line="240" w:lineRule="auto"/>
              <w:ind w:firstLine="0" w:firstLineChars="0"/>
              <w:jc w:val="center"/>
              <w:rPr>
                <w:rFonts w:cs="Calibri"/>
                <w:color w:val="auto"/>
                <w:sz w:val="21"/>
                <w:szCs w:val="21"/>
              </w:rPr>
            </w:pPr>
            <w:r>
              <w:rPr>
                <w:rFonts w:cs="Calibri"/>
                <w:color w:val="auto"/>
                <w:sz w:val="21"/>
                <w:szCs w:val="21"/>
              </w:rPr>
              <w:t>7</w:t>
            </w:r>
          </w:p>
        </w:tc>
        <w:tc>
          <w:tcPr>
            <w:tcW w:w="322" w:type="pct"/>
            <w:vMerge w:val="restart"/>
            <w:tcBorders>
              <w:tl2br w:val="nil"/>
              <w:tr2bl w:val="nil"/>
            </w:tcBorders>
            <w:vAlign w:val="center"/>
          </w:tcPr>
          <w:p w14:paraId="1A294FEE">
            <w:pPr>
              <w:spacing w:line="240" w:lineRule="auto"/>
              <w:ind w:firstLine="0" w:firstLineChars="0"/>
              <w:jc w:val="center"/>
              <w:rPr>
                <w:rFonts w:cs="Calibri"/>
                <w:color w:val="auto"/>
                <w:sz w:val="21"/>
                <w:szCs w:val="21"/>
              </w:rPr>
            </w:pPr>
            <w:r>
              <w:rPr>
                <w:rFonts w:cs="Calibri"/>
                <w:color w:val="auto"/>
                <w:sz w:val="21"/>
                <w:szCs w:val="21"/>
              </w:rPr>
              <w:t>二、区域活动</w:t>
            </w:r>
          </w:p>
        </w:tc>
        <w:tc>
          <w:tcPr>
            <w:tcW w:w="2588" w:type="pct"/>
            <w:tcBorders>
              <w:tl2br w:val="nil"/>
              <w:tr2bl w:val="nil"/>
            </w:tcBorders>
            <w:vAlign w:val="center"/>
          </w:tcPr>
          <w:p w14:paraId="3DEC2CE3">
            <w:pPr>
              <w:spacing w:line="240" w:lineRule="auto"/>
              <w:ind w:firstLine="0" w:firstLineChars="0"/>
              <w:jc w:val="center"/>
              <w:rPr>
                <w:rFonts w:cs="Calibri"/>
                <w:color w:val="auto"/>
                <w:sz w:val="21"/>
                <w:szCs w:val="21"/>
              </w:rPr>
            </w:pPr>
            <w:r>
              <w:rPr>
                <w:rFonts w:cs="Calibri"/>
                <w:color w:val="auto"/>
                <w:sz w:val="21"/>
                <w:szCs w:val="21"/>
              </w:rPr>
              <w:t>7、禁止长江干流、长江口、34个列入《率先全面禁捕的长江流域水生生物保护区名录》的水生生物保护区以及省规定的其他禁渔水域开展生产性捕捞。</w:t>
            </w:r>
          </w:p>
        </w:tc>
        <w:tc>
          <w:tcPr>
            <w:tcW w:w="1391" w:type="pct"/>
            <w:tcBorders>
              <w:tl2br w:val="nil"/>
              <w:tr2bl w:val="nil"/>
            </w:tcBorders>
            <w:vAlign w:val="center"/>
          </w:tcPr>
          <w:p w14:paraId="2882C89F">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不涉及生产性捕捞。</w:t>
            </w:r>
          </w:p>
        </w:tc>
        <w:tc>
          <w:tcPr>
            <w:tcW w:w="415" w:type="pct"/>
            <w:tcBorders>
              <w:tl2br w:val="nil"/>
              <w:tr2bl w:val="nil"/>
            </w:tcBorders>
            <w:vAlign w:val="center"/>
          </w:tcPr>
          <w:p w14:paraId="3C575287">
            <w:pPr>
              <w:spacing w:line="240" w:lineRule="auto"/>
              <w:ind w:firstLine="0" w:firstLineChars="0"/>
              <w:jc w:val="center"/>
              <w:rPr>
                <w:rFonts w:cs="Calibri"/>
                <w:color w:val="auto"/>
                <w:sz w:val="21"/>
                <w:szCs w:val="21"/>
              </w:rPr>
            </w:pPr>
            <w:r>
              <w:rPr>
                <w:rFonts w:cs="Calibri"/>
                <w:color w:val="auto"/>
                <w:sz w:val="21"/>
                <w:szCs w:val="21"/>
              </w:rPr>
              <w:t>相符</w:t>
            </w:r>
          </w:p>
        </w:tc>
      </w:tr>
      <w:tr w14:paraId="0E8EDA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67387F45">
            <w:pPr>
              <w:spacing w:line="240" w:lineRule="auto"/>
              <w:ind w:firstLine="0" w:firstLineChars="0"/>
              <w:jc w:val="center"/>
              <w:rPr>
                <w:rFonts w:cs="Calibri"/>
                <w:color w:val="auto"/>
                <w:sz w:val="21"/>
                <w:szCs w:val="21"/>
              </w:rPr>
            </w:pPr>
            <w:r>
              <w:rPr>
                <w:rFonts w:cs="Calibri"/>
                <w:color w:val="auto"/>
                <w:sz w:val="21"/>
                <w:szCs w:val="21"/>
              </w:rPr>
              <w:t>8</w:t>
            </w:r>
          </w:p>
        </w:tc>
        <w:tc>
          <w:tcPr>
            <w:tcW w:w="322" w:type="pct"/>
            <w:vMerge w:val="continue"/>
            <w:tcBorders>
              <w:tl2br w:val="nil"/>
              <w:tr2bl w:val="nil"/>
            </w:tcBorders>
            <w:vAlign w:val="center"/>
          </w:tcPr>
          <w:p w14:paraId="7D775F4B">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678FA94B">
            <w:pPr>
              <w:spacing w:line="240" w:lineRule="auto"/>
              <w:ind w:firstLine="0" w:firstLineChars="0"/>
              <w:jc w:val="center"/>
              <w:rPr>
                <w:rFonts w:cs="Calibri"/>
                <w:color w:val="auto"/>
                <w:sz w:val="21"/>
                <w:szCs w:val="21"/>
              </w:rPr>
            </w:pPr>
            <w:r>
              <w:rPr>
                <w:rFonts w:cs="Calibri"/>
                <w:color w:val="auto"/>
                <w:sz w:val="21"/>
                <w:szCs w:val="21"/>
              </w:rPr>
              <w:t>8、禁止在距离长江干支流岸线一公里范围内新建、扩建化工园区和化工项目。长江干支流一公里按照长江干支流岸线边界（即水利部门河道管理范围边界）向陆域纵深一公里执行。</w:t>
            </w:r>
          </w:p>
        </w:tc>
        <w:tc>
          <w:tcPr>
            <w:tcW w:w="1391" w:type="pct"/>
            <w:tcBorders>
              <w:tl2br w:val="nil"/>
              <w:tr2bl w:val="nil"/>
            </w:tcBorders>
            <w:vAlign w:val="center"/>
          </w:tcPr>
          <w:p w14:paraId="0D5E9590">
            <w:pPr>
              <w:spacing w:line="240" w:lineRule="auto"/>
              <w:ind w:firstLine="0" w:firstLineChars="0"/>
              <w:jc w:val="center"/>
              <w:rPr>
                <w:rFonts w:cs="Calibri"/>
                <w:color w:val="auto"/>
                <w:sz w:val="21"/>
                <w:szCs w:val="21"/>
              </w:rPr>
            </w:pPr>
            <w:r>
              <w:rPr>
                <w:rFonts w:hint="eastAsia" w:cs="Calibri"/>
                <w:color w:val="auto"/>
                <w:sz w:val="21"/>
                <w:szCs w:val="21"/>
              </w:rPr>
              <w:t>拟建项目不在长江干支流岸线一公里范围内；距离最近的长江</w:t>
            </w:r>
            <w:r>
              <w:rPr>
                <w:rFonts w:cs="Calibri"/>
                <w:color w:val="auto"/>
                <w:sz w:val="21"/>
                <w:szCs w:val="21"/>
              </w:rPr>
              <w:t>干支流</w:t>
            </w:r>
            <w:r>
              <w:rPr>
                <w:rFonts w:hint="eastAsia" w:cs="Calibri"/>
                <w:color w:val="auto"/>
                <w:sz w:val="21"/>
                <w:szCs w:val="21"/>
              </w:rPr>
              <w:t>距离约为1.23km。</w:t>
            </w:r>
          </w:p>
        </w:tc>
        <w:tc>
          <w:tcPr>
            <w:tcW w:w="415" w:type="pct"/>
            <w:tcBorders>
              <w:tl2br w:val="nil"/>
              <w:tr2bl w:val="nil"/>
            </w:tcBorders>
            <w:vAlign w:val="center"/>
          </w:tcPr>
          <w:p w14:paraId="009C7DB3">
            <w:pPr>
              <w:spacing w:line="240" w:lineRule="auto"/>
              <w:ind w:firstLine="0" w:firstLineChars="0"/>
              <w:jc w:val="center"/>
              <w:rPr>
                <w:rFonts w:cs="Calibri"/>
                <w:color w:val="auto"/>
                <w:sz w:val="21"/>
                <w:szCs w:val="21"/>
              </w:rPr>
            </w:pPr>
            <w:r>
              <w:rPr>
                <w:rFonts w:cs="Calibri"/>
                <w:color w:val="auto"/>
                <w:sz w:val="21"/>
                <w:szCs w:val="21"/>
              </w:rPr>
              <w:t>相符</w:t>
            </w:r>
          </w:p>
        </w:tc>
      </w:tr>
      <w:tr w14:paraId="68C4E99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19735CF9">
            <w:pPr>
              <w:spacing w:line="240" w:lineRule="auto"/>
              <w:ind w:firstLine="0" w:firstLineChars="0"/>
              <w:jc w:val="center"/>
              <w:rPr>
                <w:rFonts w:cs="Calibri"/>
                <w:color w:val="auto"/>
                <w:sz w:val="21"/>
                <w:szCs w:val="21"/>
              </w:rPr>
            </w:pPr>
            <w:r>
              <w:rPr>
                <w:rFonts w:cs="Calibri"/>
                <w:color w:val="auto"/>
                <w:sz w:val="21"/>
                <w:szCs w:val="21"/>
              </w:rPr>
              <w:t>9</w:t>
            </w:r>
          </w:p>
        </w:tc>
        <w:tc>
          <w:tcPr>
            <w:tcW w:w="322" w:type="pct"/>
            <w:vMerge w:val="continue"/>
            <w:tcBorders>
              <w:tl2br w:val="nil"/>
              <w:tr2bl w:val="nil"/>
            </w:tcBorders>
            <w:vAlign w:val="center"/>
          </w:tcPr>
          <w:p w14:paraId="79C28B9E">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377315B6">
            <w:pPr>
              <w:spacing w:line="240" w:lineRule="auto"/>
              <w:ind w:firstLine="0" w:firstLineChars="0"/>
              <w:jc w:val="center"/>
              <w:rPr>
                <w:rFonts w:cs="Calibri"/>
                <w:color w:val="auto"/>
                <w:sz w:val="21"/>
                <w:szCs w:val="21"/>
              </w:rPr>
            </w:pPr>
            <w:r>
              <w:rPr>
                <w:rFonts w:cs="Calibri"/>
                <w:color w:val="auto"/>
                <w:sz w:val="21"/>
                <w:szCs w:val="21"/>
              </w:rPr>
              <w:t>9、禁止在长江干流岸线三公里范围内新建、改建、扩建尾矿库、冶炼渣库和磷石膏库，以提升安全、生态环境保护水平为目的的改建除外。</w:t>
            </w:r>
          </w:p>
        </w:tc>
        <w:tc>
          <w:tcPr>
            <w:tcW w:w="1391" w:type="pct"/>
            <w:tcBorders>
              <w:tl2br w:val="nil"/>
              <w:tr2bl w:val="nil"/>
            </w:tcBorders>
            <w:vAlign w:val="center"/>
          </w:tcPr>
          <w:p w14:paraId="5514B92A">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w:t>
            </w:r>
            <w:r>
              <w:rPr>
                <w:rFonts w:hint="eastAsia" w:cs="Calibri"/>
                <w:color w:val="auto"/>
                <w:sz w:val="21"/>
                <w:szCs w:val="21"/>
              </w:rPr>
              <w:t>涉及</w:t>
            </w:r>
            <w:r>
              <w:rPr>
                <w:rFonts w:cs="Calibri"/>
                <w:color w:val="auto"/>
                <w:sz w:val="21"/>
                <w:szCs w:val="21"/>
              </w:rPr>
              <w:t>尾矿库、冶炼渣库和磷石膏库。</w:t>
            </w:r>
          </w:p>
        </w:tc>
        <w:tc>
          <w:tcPr>
            <w:tcW w:w="415" w:type="pct"/>
            <w:tcBorders>
              <w:tl2br w:val="nil"/>
              <w:tr2bl w:val="nil"/>
            </w:tcBorders>
            <w:vAlign w:val="center"/>
          </w:tcPr>
          <w:p w14:paraId="17105621">
            <w:pPr>
              <w:spacing w:line="240" w:lineRule="auto"/>
              <w:ind w:firstLine="0" w:firstLineChars="0"/>
              <w:jc w:val="center"/>
              <w:rPr>
                <w:rFonts w:cs="Calibri"/>
                <w:color w:val="auto"/>
                <w:sz w:val="21"/>
                <w:szCs w:val="21"/>
              </w:rPr>
            </w:pPr>
            <w:r>
              <w:rPr>
                <w:rFonts w:cs="Calibri"/>
                <w:color w:val="auto"/>
                <w:sz w:val="21"/>
                <w:szCs w:val="21"/>
              </w:rPr>
              <w:t>相符</w:t>
            </w:r>
          </w:p>
        </w:tc>
      </w:tr>
      <w:tr w14:paraId="4D567B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6542D34C">
            <w:pPr>
              <w:spacing w:line="240" w:lineRule="auto"/>
              <w:ind w:firstLine="0" w:firstLineChars="0"/>
              <w:jc w:val="center"/>
              <w:rPr>
                <w:rFonts w:cs="Calibri"/>
                <w:color w:val="auto"/>
                <w:sz w:val="21"/>
                <w:szCs w:val="21"/>
              </w:rPr>
            </w:pPr>
            <w:r>
              <w:rPr>
                <w:rFonts w:cs="Calibri"/>
                <w:color w:val="auto"/>
                <w:sz w:val="21"/>
                <w:szCs w:val="21"/>
              </w:rPr>
              <w:t>10</w:t>
            </w:r>
          </w:p>
        </w:tc>
        <w:tc>
          <w:tcPr>
            <w:tcW w:w="322" w:type="pct"/>
            <w:vMerge w:val="continue"/>
            <w:tcBorders>
              <w:tl2br w:val="nil"/>
              <w:tr2bl w:val="nil"/>
            </w:tcBorders>
            <w:vAlign w:val="center"/>
          </w:tcPr>
          <w:p w14:paraId="4FB0EB57">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5141558D">
            <w:pPr>
              <w:spacing w:line="240" w:lineRule="auto"/>
              <w:ind w:firstLine="0" w:firstLineChars="0"/>
              <w:jc w:val="center"/>
              <w:rPr>
                <w:rFonts w:cs="Calibri"/>
                <w:color w:val="auto"/>
                <w:sz w:val="21"/>
                <w:szCs w:val="21"/>
              </w:rPr>
            </w:pPr>
            <w:r>
              <w:rPr>
                <w:rFonts w:cs="Calibri"/>
                <w:color w:val="auto"/>
                <w:sz w:val="21"/>
                <w:szCs w:val="21"/>
              </w:rPr>
              <w:t>10、禁止在太湖流域一、二、三级保护区内开展《江苏省太湖水污染防治条例》禁止的投资建设活动。</w:t>
            </w:r>
          </w:p>
        </w:tc>
        <w:tc>
          <w:tcPr>
            <w:tcW w:w="1391" w:type="pct"/>
            <w:tcBorders>
              <w:tl2br w:val="nil"/>
              <w:tr2bl w:val="nil"/>
            </w:tcBorders>
            <w:vAlign w:val="center"/>
          </w:tcPr>
          <w:p w14:paraId="527BE01B">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不属于《江苏省太湖水污染防治条例》禁止的投资建设活动。</w:t>
            </w:r>
          </w:p>
        </w:tc>
        <w:tc>
          <w:tcPr>
            <w:tcW w:w="415" w:type="pct"/>
            <w:tcBorders>
              <w:tl2br w:val="nil"/>
              <w:tr2bl w:val="nil"/>
            </w:tcBorders>
            <w:vAlign w:val="center"/>
          </w:tcPr>
          <w:p w14:paraId="75515C7F">
            <w:pPr>
              <w:spacing w:line="240" w:lineRule="auto"/>
              <w:ind w:firstLine="0" w:firstLineChars="0"/>
              <w:jc w:val="center"/>
              <w:rPr>
                <w:rFonts w:cs="Calibri"/>
                <w:color w:val="auto"/>
                <w:sz w:val="21"/>
                <w:szCs w:val="21"/>
              </w:rPr>
            </w:pPr>
            <w:r>
              <w:rPr>
                <w:rFonts w:cs="Calibri"/>
                <w:color w:val="auto"/>
                <w:sz w:val="21"/>
                <w:szCs w:val="21"/>
              </w:rPr>
              <w:t>相符</w:t>
            </w:r>
          </w:p>
        </w:tc>
      </w:tr>
      <w:tr w14:paraId="2D2C66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09CDF2F1">
            <w:pPr>
              <w:spacing w:line="240" w:lineRule="auto"/>
              <w:ind w:firstLine="0" w:firstLineChars="0"/>
              <w:jc w:val="center"/>
              <w:rPr>
                <w:rFonts w:cs="Calibri"/>
                <w:color w:val="auto"/>
                <w:sz w:val="21"/>
                <w:szCs w:val="21"/>
              </w:rPr>
            </w:pPr>
            <w:r>
              <w:rPr>
                <w:rFonts w:cs="Calibri"/>
                <w:color w:val="auto"/>
                <w:sz w:val="21"/>
                <w:szCs w:val="21"/>
              </w:rPr>
              <w:t>11</w:t>
            </w:r>
          </w:p>
        </w:tc>
        <w:tc>
          <w:tcPr>
            <w:tcW w:w="322" w:type="pct"/>
            <w:vMerge w:val="continue"/>
            <w:tcBorders>
              <w:tl2br w:val="nil"/>
              <w:tr2bl w:val="nil"/>
            </w:tcBorders>
            <w:vAlign w:val="center"/>
          </w:tcPr>
          <w:p w14:paraId="3CEDB58F">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065AF6A9">
            <w:pPr>
              <w:spacing w:line="240" w:lineRule="auto"/>
              <w:ind w:firstLine="0" w:firstLineChars="0"/>
              <w:jc w:val="center"/>
              <w:rPr>
                <w:rFonts w:cs="Calibri"/>
                <w:color w:val="auto"/>
                <w:sz w:val="21"/>
                <w:szCs w:val="21"/>
              </w:rPr>
            </w:pPr>
            <w:r>
              <w:rPr>
                <w:rFonts w:cs="Calibri"/>
                <w:color w:val="auto"/>
                <w:sz w:val="21"/>
                <w:szCs w:val="21"/>
              </w:rPr>
              <w:t>11、禁止在沿江地区新建、扩建未纳入国家和省布局规划的燃煤发电项目。</w:t>
            </w:r>
          </w:p>
        </w:tc>
        <w:tc>
          <w:tcPr>
            <w:tcW w:w="1391" w:type="pct"/>
            <w:tcBorders>
              <w:tl2br w:val="nil"/>
              <w:tr2bl w:val="nil"/>
            </w:tcBorders>
            <w:vAlign w:val="center"/>
          </w:tcPr>
          <w:p w14:paraId="6AB55E59">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不属于燃煤发电项目。</w:t>
            </w:r>
          </w:p>
        </w:tc>
        <w:tc>
          <w:tcPr>
            <w:tcW w:w="415" w:type="pct"/>
            <w:tcBorders>
              <w:tl2br w:val="nil"/>
              <w:tr2bl w:val="nil"/>
            </w:tcBorders>
            <w:vAlign w:val="center"/>
          </w:tcPr>
          <w:p w14:paraId="4AF17BEF">
            <w:pPr>
              <w:spacing w:line="240" w:lineRule="auto"/>
              <w:ind w:firstLine="0" w:firstLineChars="0"/>
              <w:jc w:val="center"/>
              <w:rPr>
                <w:rFonts w:cs="Calibri"/>
                <w:color w:val="auto"/>
                <w:sz w:val="21"/>
                <w:szCs w:val="21"/>
              </w:rPr>
            </w:pPr>
            <w:r>
              <w:rPr>
                <w:rFonts w:cs="Calibri"/>
                <w:color w:val="auto"/>
                <w:sz w:val="21"/>
                <w:szCs w:val="21"/>
              </w:rPr>
              <w:t>相符</w:t>
            </w:r>
          </w:p>
        </w:tc>
      </w:tr>
      <w:tr w14:paraId="50798E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1B642A51">
            <w:pPr>
              <w:spacing w:line="240" w:lineRule="auto"/>
              <w:ind w:firstLine="0" w:firstLineChars="0"/>
              <w:jc w:val="center"/>
              <w:rPr>
                <w:rFonts w:cs="Calibri"/>
                <w:color w:val="auto"/>
                <w:sz w:val="21"/>
                <w:szCs w:val="21"/>
              </w:rPr>
            </w:pPr>
            <w:r>
              <w:rPr>
                <w:rFonts w:cs="Calibri"/>
                <w:color w:val="auto"/>
                <w:sz w:val="21"/>
                <w:szCs w:val="21"/>
              </w:rPr>
              <w:t>12</w:t>
            </w:r>
          </w:p>
        </w:tc>
        <w:tc>
          <w:tcPr>
            <w:tcW w:w="322" w:type="pct"/>
            <w:vMerge w:val="continue"/>
            <w:tcBorders>
              <w:tl2br w:val="nil"/>
              <w:tr2bl w:val="nil"/>
            </w:tcBorders>
            <w:vAlign w:val="center"/>
          </w:tcPr>
          <w:p w14:paraId="6CB830A7">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712F5E97">
            <w:pPr>
              <w:spacing w:line="240" w:lineRule="auto"/>
              <w:ind w:firstLine="0" w:firstLineChars="0"/>
              <w:jc w:val="center"/>
              <w:rPr>
                <w:rFonts w:cs="Calibri"/>
                <w:color w:val="auto"/>
                <w:sz w:val="21"/>
                <w:szCs w:val="21"/>
              </w:rPr>
            </w:pPr>
            <w:r>
              <w:rPr>
                <w:rFonts w:cs="Calibri"/>
                <w:color w:val="auto"/>
                <w:sz w:val="21"/>
                <w:szCs w:val="21"/>
              </w:rPr>
              <w:t>12、禁止在合规园区外新建、扩建钢铁、石化、化工、焦化、建材、有色、制浆造纸等高污染项目。合规园区名录按照《〈长江经济带发展负面清单指南（试行，2022年版）〉江苏省实施细则合规园区名录》执行。</w:t>
            </w:r>
          </w:p>
        </w:tc>
        <w:tc>
          <w:tcPr>
            <w:tcW w:w="1391" w:type="pct"/>
            <w:tcBorders>
              <w:tl2br w:val="nil"/>
              <w:tr2bl w:val="nil"/>
            </w:tcBorders>
            <w:vAlign w:val="center"/>
          </w:tcPr>
          <w:p w14:paraId="414CC4A9">
            <w:pPr>
              <w:spacing w:line="240" w:lineRule="auto"/>
              <w:ind w:firstLine="0" w:firstLineChars="0"/>
              <w:jc w:val="center"/>
              <w:rPr>
                <w:rFonts w:cs="Calibri"/>
                <w:color w:val="auto"/>
                <w:sz w:val="21"/>
                <w:szCs w:val="21"/>
              </w:rPr>
            </w:pPr>
            <w:r>
              <w:rPr>
                <w:rFonts w:hint="eastAsia" w:cs="Calibri"/>
                <w:color w:val="auto"/>
                <w:sz w:val="21"/>
                <w:szCs w:val="21"/>
              </w:rPr>
              <w:t>拟建项目位于启东生命健康产业园，属于《(长江经济带发展负面清单指南(试行，2022年版)&gt;江苏省实施细则合规园区名录》，拟建属于化工类技改项目。</w:t>
            </w:r>
          </w:p>
        </w:tc>
        <w:tc>
          <w:tcPr>
            <w:tcW w:w="415" w:type="pct"/>
            <w:tcBorders>
              <w:tl2br w:val="nil"/>
              <w:tr2bl w:val="nil"/>
            </w:tcBorders>
            <w:vAlign w:val="center"/>
          </w:tcPr>
          <w:p w14:paraId="39216056">
            <w:pPr>
              <w:spacing w:line="240" w:lineRule="auto"/>
              <w:ind w:firstLine="0" w:firstLineChars="0"/>
              <w:jc w:val="center"/>
              <w:rPr>
                <w:rFonts w:cs="Calibri"/>
                <w:color w:val="auto"/>
                <w:sz w:val="21"/>
                <w:szCs w:val="21"/>
              </w:rPr>
            </w:pPr>
            <w:r>
              <w:rPr>
                <w:rFonts w:cs="Calibri"/>
                <w:color w:val="auto"/>
                <w:sz w:val="21"/>
                <w:szCs w:val="21"/>
              </w:rPr>
              <w:t>相符</w:t>
            </w:r>
          </w:p>
        </w:tc>
      </w:tr>
      <w:tr w14:paraId="0BF290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624A3A4B">
            <w:pPr>
              <w:spacing w:line="240" w:lineRule="auto"/>
              <w:ind w:firstLine="0" w:firstLineChars="0"/>
              <w:jc w:val="center"/>
              <w:rPr>
                <w:rFonts w:cs="Calibri"/>
                <w:color w:val="auto"/>
                <w:sz w:val="21"/>
                <w:szCs w:val="21"/>
              </w:rPr>
            </w:pPr>
            <w:r>
              <w:rPr>
                <w:rFonts w:cs="Calibri"/>
                <w:color w:val="auto"/>
                <w:sz w:val="21"/>
                <w:szCs w:val="21"/>
              </w:rPr>
              <w:t>13</w:t>
            </w:r>
          </w:p>
        </w:tc>
        <w:tc>
          <w:tcPr>
            <w:tcW w:w="322" w:type="pct"/>
            <w:vMerge w:val="continue"/>
            <w:tcBorders>
              <w:tl2br w:val="nil"/>
              <w:tr2bl w:val="nil"/>
            </w:tcBorders>
            <w:vAlign w:val="center"/>
          </w:tcPr>
          <w:p w14:paraId="54AB3F56">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48A9BC41">
            <w:pPr>
              <w:spacing w:line="240" w:lineRule="auto"/>
              <w:ind w:firstLine="0" w:firstLineChars="0"/>
              <w:jc w:val="center"/>
              <w:rPr>
                <w:rFonts w:cs="Calibri"/>
                <w:color w:val="auto"/>
                <w:sz w:val="21"/>
                <w:szCs w:val="21"/>
              </w:rPr>
            </w:pPr>
            <w:r>
              <w:rPr>
                <w:rFonts w:cs="Calibri"/>
                <w:color w:val="auto"/>
                <w:sz w:val="21"/>
                <w:szCs w:val="21"/>
              </w:rPr>
              <w:t>13、禁止在取消化工定位的园区（集中区）内新建化工项目。</w:t>
            </w:r>
          </w:p>
        </w:tc>
        <w:tc>
          <w:tcPr>
            <w:tcW w:w="1391" w:type="pct"/>
            <w:tcBorders>
              <w:tl2br w:val="nil"/>
              <w:tr2bl w:val="nil"/>
            </w:tcBorders>
            <w:vAlign w:val="center"/>
          </w:tcPr>
          <w:p w14:paraId="32A7E6AD">
            <w:pPr>
              <w:spacing w:line="240" w:lineRule="auto"/>
              <w:ind w:firstLine="0" w:firstLineChars="0"/>
              <w:jc w:val="center"/>
              <w:rPr>
                <w:rFonts w:cs="Calibri"/>
                <w:color w:val="auto"/>
                <w:sz w:val="21"/>
                <w:szCs w:val="21"/>
              </w:rPr>
            </w:pPr>
            <w:r>
              <w:rPr>
                <w:rFonts w:hint="eastAsia" w:cs="Calibri"/>
                <w:color w:val="auto"/>
                <w:sz w:val="21"/>
                <w:szCs w:val="21"/>
              </w:rPr>
              <w:t>拟建项目在启东生命健康产业园内，园区已取消化工定位，启东亚太为化工重点监测点企业，拟建项目属于技改类化工项目。</w:t>
            </w:r>
          </w:p>
        </w:tc>
        <w:tc>
          <w:tcPr>
            <w:tcW w:w="415" w:type="pct"/>
            <w:tcBorders>
              <w:tl2br w:val="nil"/>
              <w:tr2bl w:val="nil"/>
            </w:tcBorders>
            <w:vAlign w:val="center"/>
          </w:tcPr>
          <w:p w14:paraId="6E494540">
            <w:pPr>
              <w:spacing w:line="240" w:lineRule="auto"/>
              <w:ind w:firstLine="0" w:firstLineChars="0"/>
              <w:jc w:val="center"/>
              <w:rPr>
                <w:rFonts w:cs="Calibri"/>
                <w:color w:val="auto"/>
                <w:sz w:val="21"/>
                <w:szCs w:val="21"/>
              </w:rPr>
            </w:pPr>
            <w:r>
              <w:rPr>
                <w:rFonts w:cs="Calibri"/>
                <w:color w:val="auto"/>
                <w:sz w:val="21"/>
                <w:szCs w:val="21"/>
              </w:rPr>
              <w:t>相符</w:t>
            </w:r>
          </w:p>
        </w:tc>
      </w:tr>
      <w:tr w14:paraId="2F11EA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7394C595">
            <w:pPr>
              <w:spacing w:line="240" w:lineRule="auto"/>
              <w:ind w:firstLine="0" w:firstLineChars="0"/>
              <w:jc w:val="center"/>
              <w:rPr>
                <w:rFonts w:cs="Calibri"/>
                <w:color w:val="auto"/>
                <w:sz w:val="21"/>
                <w:szCs w:val="21"/>
              </w:rPr>
            </w:pPr>
            <w:r>
              <w:rPr>
                <w:rFonts w:cs="Calibri"/>
                <w:color w:val="auto"/>
                <w:sz w:val="21"/>
                <w:szCs w:val="21"/>
              </w:rPr>
              <w:t>14</w:t>
            </w:r>
          </w:p>
        </w:tc>
        <w:tc>
          <w:tcPr>
            <w:tcW w:w="322" w:type="pct"/>
            <w:vMerge w:val="continue"/>
            <w:tcBorders>
              <w:tl2br w:val="nil"/>
              <w:tr2bl w:val="nil"/>
            </w:tcBorders>
            <w:vAlign w:val="center"/>
          </w:tcPr>
          <w:p w14:paraId="2D6CD945">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43D7F486">
            <w:pPr>
              <w:spacing w:line="240" w:lineRule="auto"/>
              <w:ind w:firstLine="0" w:firstLineChars="0"/>
              <w:jc w:val="center"/>
              <w:rPr>
                <w:rFonts w:cs="Calibri"/>
                <w:color w:val="auto"/>
                <w:sz w:val="21"/>
                <w:szCs w:val="21"/>
              </w:rPr>
            </w:pPr>
            <w:r>
              <w:rPr>
                <w:rFonts w:cs="Calibri"/>
                <w:color w:val="auto"/>
                <w:sz w:val="21"/>
                <w:szCs w:val="21"/>
              </w:rPr>
              <w:t>14、禁止在化工企业周边建设不符合安全距离规定的劳动密集型的非化工项目和其他人员密集的公共设施项目。</w:t>
            </w:r>
          </w:p>
        </w:tc>
        <w:tc>
          <w:tcPr>
            <w:tcW w:w="1391" w:type="pct"/>
            <w:tcBorders>
              <w:tl2br w:val="nil"/>
              <w:tr2bl w:val="nil"/>
            </w:tcBorders>
            <w:vAlign w:val="center"/>
          </w:tcPr>
          <w:p w14:paraId="4ECC84F5">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周边无不符合安全距离规定的劳动密集型的非化工项目和其他人员密集的公共设施项目。</w:t>
            </w:r>
          </w:p>
        </w:tc>
        <w:tc>
          <w:tcPr>
            <w:tcW w:w="415" w:type="pct"/>
            <w:tcBorders>
              <w:tl2br w:val="nil"/>
              <w:tr2bl w:val="nil"/>
            </w:tcBorders>
            <w:vAlign w:val="center"/>
          </w:tcPr>
          <w:p w14:paraId="17158166">
            <w:pPr>
              <w:spacing w:line="240" w:lineRule="auto"/>
              <w:ind w:firstLine="0" w:firstLineChars="0"/>
              <w:jc w:val="center"/>
              <w:rPr>
                <w:rFonts w:cs="Calibri"/>
                <w:color w:val="auto"/>
                <w:sz w:val="21"/>
                <w:szCs w:val="21"/>
              </w:rPr>
            </w:pPr>
            <w:r>
              <w:rPr>
                <w:rFonts w:cs="Calibri"/>
                <w:color w:val="auto"/>
                <w:sz w:val="21"/>
                <w:szCs w:val="21"/>
              </w:rPr>
              <w:t>相符</w:t>
            </w:r>
          </w:p>
        </w:tc>
      </w:tr>
      <w:tr w14:paraId="69E1A8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5D4E4B7F">
            <w:pPr>
              <w:spacing w:line="240" w:lineRule="auto"/>
              <w:ind w:firstLine="0" w:firstLineChars="0"/>
              <w:jc w:val="center"/>
              <w:rPr>
                <w:rFonts w:cs="Calibri"/>
                <w:color w:val="auto"/>
                <w:sz w:val="21"/>
                <w:szCs w:val="21"/>
              </w:rPr>
            </w:pPr>
            <w:r>
              <w:rPr>
                <w:rFonts w:cs="Calibri"/>
                <w:color w:val="auto"/>
                <w:sz w:val="21"/>
                <w:szCs w:val="21"/>
              </w:rPr>
              <w:t>15</w:t>
            </w:r>
          </w:p>
        </w:tc>
        <w:tc>
          <w:tcPr>
            <w:tcW w:w="322" w:type="pct"/>
            <w:vMerge w:val="restart"/>
            <w:tcBorders>
              <w:tl2br w:val="nil"/>
              <w:tr2bl w:val="nil"/>
            </w:tcBorders>
            <w:vAlign w:val="center"/>
          </w:tcPr>
          <w:p w14:paraId="1FB32A7E">
            <w:pPr>
              <w:spacing w:line="240" w:lineRule="auto"/>
              <w:ind w:firstLine="0" w:firstLineChars="0"/>
              <w:jc w:val="center"/>
              <w:rPr>
                <w:rFonts w:cs="Calibri"/>
                <w:color w:val="auto"/>
                <w:sz w:val="21"/>
                <w:szCs w:val="21"/>
              </w:rPr>
            </w:pPr>
            <w:r>
              <w:rPr>
                <w:rFonts w:cs="Calibri"/>
                <w:color w:val="auto"/>
                <w:sz w:val="21"/>
                <w:szCs w:val="21"/>
              </w:rPr>
              <w:t>三、产业发展</w:t>
            </w:r>
          </w:p>
        </w:tc>
        <w:tc>
          <w:tcPr>
            <w:tcW w:w="2588" w:type="pct"/>
            <w:tcBorders>
              <w:tl2br w:val="nil"/>
              <w:tr2bl w:val="nil"/>
            </w:tcBorders>
            <w:vAlign w:val="center"/>
          </w:tcPr>
          <w:p w14:paraId="3771F812">
            <w:pPr>
              <w:spacing w:line="240" w:lineRule="auto"/>
              <w:ind w:firstLine="0" w:firstLineChars="0"/>
              <w:jc w:val="center"/>
              <w:rPr>
                <w:rFonts w:cs="Calibri"/>
                <w:color w:val="auto"/>
                <w:sz w:val="21"/>
                <w:szCs w:val="21"/>
              </w:rPr>
            </w:pPr>
            <w:r>
              <w:rPr>
                <w:rFonts w:cs="Calibri"/>
                <w:color w:val="auto"/>
                <w:sz w:val="21"/>
                <w:szCs w:val="21"/>
              </w:rPr>
              <w:t>15、禁止新建、扩建不符合国家和省产业政策的尿素、磷铵、电石、烧碱、聚氯乙烯、纯碱等行业新增产能项目。</w:t>
            </w:r>
          </w:p>
        </w:tc>
        <w:tc>
          <w:tcPr>
            <w:tcW w:w="1391" w:type="pct"/>
            <w:tcBorders>
              <w:tl2br w:val="nil"/>
              <w:tr2bl w:val="nil"/>
            </w:tcBorders>
            <w:vAlign w:val="center"/>
          </w:tcPr>
          <w:p w14:paraId="2A468B47">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不属于尿素、磷铵、电石、烧碱、聚氯乙烯、纯碱等行业新增产能项目。</w:t>
            </w:r>
          </w:p>
        </w:tc>
        <w:tc>
          <w:tcPr>
            <w:tcW w:w="415" w:type="pct"/>
            <w:tcBorders>
              <w:tl2br w:val="nil"/>
              <w:tr2bl w:val="nil"/>
            </w:tcBorders>
            <w:vAlign w:val="center"/>
          </w:tcPr>
          <w:p w14:paraId="6F59FA3B">
            <w:pPr>
              <w:spacing w:line="240" w:lineRule="auto"/>
              <w:ind w:firstLine="0" w:firstLineChars="0"/>
              <w:jc w:val="center"/>
              <w:rPr>
                <w:rFonts w:cs="Calibri"/>
                <w:color w:val="auto"/>
                <w:sz w:val="21"/>
                <w:szCs w:val="21"/>
              </w:rPr>
            </w:pPr>
            <w:r>
              <w:rPr>
                <w:rFonts w:cs="Calibri"/>
                <w:color w:val="auto"/>
                <w:sz w:val="21"/>
                <w:szCs w:val="21"/>
              </w:rPr>
              <w:t>相符</w:t>
            </w:r>
          </w:p>
        </w:tc>
      </w:tr>
      <w:tr w14:paraId="331ECC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111045B9">
            <w:pPr>
              <w:spacing w:line="240" w:lineRule="auto"/>
              <w:ind w:firstLine="0" w:firstLineChars="0"/>
              <w:jc w:val="center"/>
              <w:rPr>
                <w:rFonts w:cs="Calibri"/>
                <w:color w:val="auto"/>
                <w:sz w:val="21"/>
                <w:szCs w:val="21"/>
              </w:rPr>
            </w:pPr>
            <w:r>
              <w:rPr>
                <w:rFonts w:cs="Calibri"/>
                <w:color w:val="auto"/>
                <w:sz w:val="21"/>
                <w:szCs w:val="21"/>
              </w:rPr>
              <w:t>16</w:t>
            </w:r>
          </w:p>
        </w:tc>
        <w:tc>
          <w:tcPr>
            <w:tcW w:w="322" w:type="pct"/>
            <w:vMerge w:val="continue"/>
            <w:tcBorders>
              <w:tl2br w:val="nil"/>
              <w:tr2bl w:val="nil"/>
            </w:tcBorders>
            <w:vAlign w:val="center"/>
          </w:tcPr>
          <w:p w14:paraId="384F7405">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5B22A4EE">
            <w:pPr>
              <w:spacing w:line="240" w:lineRule="auto"/>
              <w:ind w:firstLine="0" w:firstLineChars="0"/>
              <w:jc w:val="center"/>
              <w:rPr>
                <w:rFonts w:cs="Calibri"/>
                <w:color w:val="auto"/>
                <w:sz w:val="21"/>
                <w:szCs w:val="21"/>
              </w:rPr>
            </w:pPr>
            <w:r>
              <w:rPr>
                <w:rFonts w:cs="Calibri"/>
                <w:color w:val="auto"/>
                <w:sz w:val="21"/>
                <w:szCs w:val="21"/>
              </w:rPr>
              <w:t>16、禁止新建、改建、扩建高毒、高残留以及对环境影响大的农药原药（化学合成类）项目，禁止新建、扩建不符合国家和省产业政策的农药、医药和染料中间体化工项目。</w:t>
            </w:r>
          </w:p>
        </w:tc>
        <w:tc>
          <w:tcPr>
            <w:tcW w:w="1391" w:type="pct"/>
            <w:tcBorders>
              <w:tl2br w:val="nil"/>
              <w:tr2bl w:val="nil"/>
            </w:tcBorders>
            <w:vAlign w:val="center"/>
          </w:tcPr>
          <w:p w14:paraId="5B1E1261">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不属于农药原药</w:t>
            </w:r>
            <w:r>
              <w:rPr>
                <w:rFonts w:hint="eastAsia" w:cs="Calibri"/>
                <w:color w:val="auto"/>
                <w:sz w:val="21"/>
                <w:szCs w:val="21"/>
              </w:rPr>
              <w:t>项目，不属于农药、医药和染料中间体项目。</w:t>
            </w:r>
          </w:p>
        </w:tc>
        <w:tc>
          <w:tcPr>
            <w:tcW w:w="415" w:type="pct"/>
            <w:tcBorders>
              <w:tl2br w:val="nil"/>
              <w:tr2bl w:val="nil"/>
            </w:tcBorders>
            <w:vAlign w:val="center"/>
          </w:tcPr>
          <w:p w14:paraId="2BB3FDDD">
            <w:pPr>
              <w:spacing w:line="240" w:lineRule="auto"/>
              <w:ind w:firstLine="0" w:firstLineChars="0"/>
              <w:jc w:val="center"/>
              <w:rPr>
                <w:rFonts w:cs="Calibri"/>
                <w:color w:val="auto"/>
                <w:sz w:val="21"/>
                <w:szCs w:val="21"/>
              </w:rPr>
            </w:pPr>
            <w:r>
              <w:rPr>
                <w:rFonts w:cs="Calibri"/>
                <w:color w:val="auto"/>
                <w:sz w:val="21"/>
                <w:szCs w:val="21"/>
              </w:rPr>
              <w:t>相符</w:t>
            </w:r>
          </w:p>
        </w:tc>
      </w:tr>
      <w:tr w14:paraId="4FD984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3FAA1D16">
            <w:pPr>
              <w:spacing w:line="240" w:lineRule="auto"/>
              <w:ind w:firstLine="0" w:firstLineChars="0"/>
              <w:jc w:val="center"/>
              <w:rPr>
                <w:rFonts w:cs="Calibri"/>
                <w:color w:val="auto"/>
                <w:sz w:val="21"/>
                <w:szCs w:val="21"/>
              </w:rPr>
            </w:pPr>
            <w:r>
              <w:rPr>
                <w:rFonts w:cs="Calibri"/>
                <w:color w:val="auto"/>
                <w:sz w:val="21"/>
                <w:szCs w:val="21"/>
              </w:rPr>
              <w:t>17</w:t>
            </w:r>
          </w:p>
        </w:tc>
        <w:tc>
          <w:tcPr>
            <w:tcW w:w="322" w:type="pct"/>
            <w:vMerge w:val="continue"/>
            <w:tcBorders>
              <w:tl2br w:val="nil"/>
              <w:tr2bl w:val="nil"/>
            </w:tcBorders>
            <w:vAlign w:val="center"/>
          </w:tcPr>
          <w:p w14:paraId="7C2AAA68">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0BD85AAF">
            <w:pPr>
              <w:spacing w:line="240" w:lineRule="auto"/>
              <w:ind w:firstLine="0" w:firstLineChars="0"/>
              <w:jc w:val="center"/>
              <w:rPr>
                <w:rFonts w:cs="Calibri"/>
                <w:color w:val="auto"/>
                <w:sz w:val="21"/>
                <w:szCs w:val="21"/>
              </w:rPr>
            </w:pPr>
            <w:r>
              <w:rPr>
                <w:rFonts w:cs="Calibri"/>
                <w:color w:val="auto"/>
                <w:sz w:val="21"/>
                <w:szCs w:val="21"/>
              </w:rPr>
              <w:t>17、禁止新建、扩建不符合国家石化、现代煤化工等产业布局规划的项目，禁止新建独立焦化项目。</w:t>
            </w:r>
          </w:p>
        </w:tc>
        <w:tc>
          <w:tcPr>
            <w:tcW w:w="1391" w:type="pct"/>
            <w:tcBorders>
              <w:tl2br w:val="nil"/>
              <w:tr2bl w:val="nil"/>
            </w:tcBorders>
            <w:vAlign w:val="center"/>
          </w:tcPr>
          <w:p w14:paraId="061BABA4">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不属于独立焦化项目。</w:t>
            </w:r>
          </w:p>
        </w:tc>
        <w:tc>
          <w:tcPr>
            <w:tcW w:w="415" w:type="pct"/>
            <w:tcBorders>
              <w:tl2br w:val="nil"/>
              <w:tr2bl w:val="nil"/>
            </w:tcBorders>
            <w:vAlign w:val="center"/>
          </w:tcPr>
          <w:p w14:paraId="6E9471AA">
            <w:pPr>
              <w:spacing w:line="240" w:lineRule="auto"/>
              <w:ind w:firstLine="0" w:firstLineChars="0"/>
              <w:jc w:val="center"/>
              <w:rPr>
                <w:rFonts w:cs="Calibri"/>
                <w:color w:val="auto"/>
                <w:sz w:val="21"/>
                <w:szCs w:val="21"/>
              </w:rPr>
            </w:pPr>
            <w:r>
              <w:rPr>
                <w:rFonts w:cs="Calibri"/>
                <w:color w:val="auto"/>
                <w:sz w:val="21"/>
                <w:szCs w:val="21"/>
              </w:rPr>
              <w:t>相符</w:t>
            </w:r>
          </w:p>
        </w:tc>
      </w:tr>
      <w:tr w14:paraId="377ED4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66C520FE">
            <w:pPr>
              <w:spacing w:line="240" w:lineRule="auto"/>
              <w:ind w:firstLine="0" w:firstLineChars="0"/>
              <w:jc w:val="center"/>
              <w:rPr>
                <w:rFonts w:cs="Calibri"/>
                <w:color w:val="auto"/>
                <w:sz w:val="21"/>
                <w:szCs w:val="21"/>
              </w:rPr>
            </w:pPr>
            <w:r>
              <w:rPr>
                <w:rFonts w:cs="Calibri"/>
                <w:color w:val="auto"/>
                <w:sz w:val="21"/>
                <w:szCs w:val="21"/>
              </w:rPr>
              <w:t>18</w:t>
            </w:r>
          </w:p>
        </w:tc>
        <w:tc>
          <w:tcPr>
            <w:tcW w:w="322" w:type="pct"/>
            <w:vMerge w:val="continue"/>
            <w:tcBorders>
              <w:tl2br w:val="nil"/>
              <w:tr2bl w:val="nil"/>
            </w:tcBorders>
            <w:vAlign w:val="center"/>
          </w:tcPr>
          <w:p w14:paraId="338F992D">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26F41237">
            <w:pPr>
              <w:spacing w:line="240" w:lineRule="auto"/>
              <w:ind w:firstLine="0" w:firstLineChars="0"/>
              <w:jc w:val="center"/>
              <w:rPr>
                <w:rFonts w:cs="Calibri"/>
                <w:color w:val="auto"/>
                <w:sz w:val="21"/>
                <w:szCs w:val="21"/>
              </w:rPr>
            </w:pPr>
            <w:r>
              <w:rPr>
                <w:rFonts w:cs="Calibri"/>
                <w:color w:val="auto"/>
                <w:sz w:val="21"/>
                <w:szCs w:val="21"/>
              </w:rPr>
              <w:t>18、禁止新建、扩建国家《产业结构调整指导目录</w:t>
            </w:r>
            <w:r>
              <w:rPr>
                <w:rFonts w:hint="eastAsia" w:cs="Calibri"/>
                <w:color w:val="auto"/>
                <w:sz w:val="21"/>
                <w:szCs w:val="21"/>
              </w:rPr>
              <w:t>》、《</w:t>
            </w:r>
            <w:r>
              <w:rPr>
                <w:rFonts w:cs="Calibri"/>
                <w:color w:val="auto"/>
                <w:sz w:val="21"/>
                <w:szCs w:val="21"/>
              </w:rPr>
              <w:t>江苏省产业结构调整限制、淘汰和禁止目录》明确的限制类、淘汰类、禁止类项目，法律法规和相关政策明令禁止的落后产能项目，以及明令淘汰的安全生产落后工艺及装备项目。</w:t>
            </w:r>
          </w:p>
        </w:tc>
        <w:tc>
          <w:tcPr>
            <w:tcW w:w="1391" w:type="pct"/>
            <w:tcBorders>
              <w:tl2br w:val="nil"/>
              <w:tr2bl w:val="nil"/>
            </w:tcBorders>
            <w:vAlign w:val="center"/>
          </w:tcPr>
          <w:p w14:paraId="7C6B8AAA">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不属于国家《产业结构调整指导目录</w:t>
            </w:r>
            <w:r>
              <w:rPr>
                <w:rFonts w:hint="eastAsia" w:cs="Calibri"/>
                <w:color w:val="auto"/>
                <w:sz w:val="21"/>
                <w:szCs w:val="21"/>
              </w:rPr>
              <w:t>》、《</w:t>
            </w:r>
            <w:r>
              <w:rPr>
                <w:rFonts w:cs="Calibri"/>
                <w:color w:val="auto"/>
                <w:sz w:val="21"/>
                <w:szCs w:val="21"/>
              </w:rPr>
              <w:t>江苏省产业结构调整限制、淘汰和禁止目录》明确的限制类、淘汰类、禁止类项目，</w:t>
            </w:r>
            <w:r>
              <w:rPr>
                <w:rFonts w:hint="eastAsia" w:cs="Calibri"/>
                <w:color w:val="auto"/>
                <w:sz w:val="21"/>
                <w:szCs w:val="21"/>
              </w:rPr>
              <w:t>以及</w:t>
            </w:r>
            <w:r>
              <w:rPr>
                <w:rFonts w:cs="Calibri"/>
                <w:color w:val="auto"/>
                <w:sz w:val="21"/>
                <w:szCs w:val="21"/>
              </w:rPr>
              <w:t>法律法规和相关政策明令禁止的落后产能项目，以及明令淘汰的安全生产落后工艺及装备项目。</w:t>
            </w:r>
          </w:p>
        </w:tc>
        <w:tc>
          <w:tcPr>
            <w:tcW w:w="415" w:type="pct"/>
            <w:tcBorders>
              <w:tl2br w:val="nil"/>
              <w:tr2bl w:val="nil"/>
            </w:tcBorders>
            <w:vAlign w:val="center"/>
          </w:tcPr>
          <w:p w14:paraId="44B38EEC">
            <w:pPr>
              <w:spacing w:line="240" w:lineRule="auto"/>
              <w:ind w:firstLine="0" w:firstLineChars="0"/>
              <w:jc w:val="center"/>
              <w:rPr>
                <w:rFonts w:cs="Calibri"/>
                <w:color w:val="auto"/>
                <w:sz w:val="21"/>
                <w:szCs w:val="21"/>
              </w:rPr>
            </w:pPr>
            <w:r>
              <w:rPr>
                <w:rFonts w:cs="Calibri"/>
                <w:color w:val="auto"/>
                <w:sz w:val="21"/>
                <w:szCs w:val="21"/>
              </w:rPr>
              <w:t>相符</w:t>
            </w:r>
          </w:p>
        </w:tc>
      </w:tr>
      <w:tr w14:paraId="413A1A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17AF85EC">
            <w:pPr>
              <w:spacing w:line="240" w:lineRule="auto"/>
              <w:ind w:firstLine="0" w:firstLineChars="0"/>
              <w:jc w:val="center"/>
              <w:rPr>
                <w:rFonts w:cs="Calibri"/>
                <w:color w:val="auto"/>
                <w:sz w:val="21"/>
                <w:szCs w:val="21"/>
              </w:rPr>
            </w:pPr>
            <w:r>
              <w:rPr>
                <w:rFonts w:cs="Calibri"/>
                <w:color w:val="auto"/>
                <w:sz w:val="21"/>
                <w:szCs w:val="21"/>
              </w:rPr>
              <w:t>19</w:t>
            </w:r>
          </w:p>
        </w:tc>
        <w:tc>
          <w:tcPr>
            <w:tcW w:w="322" w:type="pct"/>
            <w:vMerge w:val="continue"/>
            <w:tcBorders>
              <w:tl2br w:val="nil"/>
              <w:tr2bl w:val="nil"/>
            </w:tcBorders>
            <w:vAlign w:val="center"/>
          </w:tcPr>
          <w:p w14:paraId="43B15E04">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06708A89">
            <w:pPr>
              <w:spacing w:line="240" w:lineRule="auto"/>
              <w:ind w:firstLine="0" w:firstLineChars="0"/>
              <w:jc w:val="center"/>
              <w:rPr>
                <w:rFonts w:cs="Calibri"/>
                <w:color w:val="auto"/>
                <w:sz w:val="21"/>
                <w:szCs w:val="21"/>
              </w:rPr>
            </w:pPr>
            <w:r>
              <w:rPr>
                <w:rFonts w:cs="Calibri"/>
                <w:color w:val="auto"/>
                <w:sz w:val="21"/>
                <w:szCs w:val="21"/>
              </w:rPr>
              <w:t>19、禁止新建、扩建不符合国家产能置换要求的严重过剩产能行业的项目。禁止新建、扩建不符合要求的高耗能高排放项目。</w:t>
            </w:r>
          </w:p>
        </w:tc>
        <w:tc>
          <w:tcPr>
            <w:tcW w:w="1391" w:type="pct"/>
            <w:tcBorders>
              <w:tl2br w:val="nil"/>
              <w:tr2bl w:val="nil"/>
            </w:tcBorders>
            <w:vAlign w:val="center"/>
          </w:tcPr>
          <w:p w14:paraId="267F5D66">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不属于严重过剩产能行业的项目、不属于高耗能高排放项目。</w:t>
            </w:r>
          </w:p>
        </w:tc>
        <w:tc>
          <w:tcPr>
            <w:tcW w:w="415" w:type="pct"/>
            <w:tcBorders>
              <w:tl2br w:val="nil"/>
              <w:tr2bl w:val="nil"/>
            </w:tcBorders>
            <w:vAlign w:val="center"/>
          </w:tcPr>
          <w:p w14:paraId="7F2ECB4C">
            <w:pPr>
              <w:spacing w:line="240" w:lineRule="auto"/>
              <w:ind w:firstLine="0" w:firstLineChars="0"/>
              <w:jc w:val="center"/>
              <w:rPr>
                <w:rFonts w:cs="Calibri"/>
                <w:color w:val="auto"/>
                <w:sz w:val="21"/>
                <w:szCs w:val="21"/>
              </w:rPr>
            </w:pPr>
            <w:r>
              <w:rPr>
                <w:rFonts w:cs="Calibri"/>
                <w:color w:val="auto"/>
                <w:sz w:val="21"/>
                <w:szCs w:val="21"/>
              </w:rPr>
              <w:t>相符</w:t>
            </w:r>
          </w:p>
        </w:tc>
      </w:tr>
      <w:tr w14:paraId="26713F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82" w:type="pct"/>
            <w:tcBorders>
              <w:tl2br w:val="nil"/>
              <w:tr2bl w:val="nil"/>
            </w:tcBorders>
            <w:vAlign w:val="center"/>
          </w:tcPr>
          <w:p w14:paraId="6D08E64F">
            <w:pPr>
              <w:spacing w:line="240" w:lineRule="auto"/>
              <w:ind w:firstLine="0" w:firstLineChars="0"/>
              <w:jc w:val="center"/>
              <w:rPr>
                <w:rFonts w:cs="Calibri"/>
                <w:color w:val="auto"/>
                <w:sz w:val="21"/>
                <w:szCs w:val="21"/>
              </w:rPr>
            </w:pPr>
            <w:r>
              <w:rPr>
                <w:rFonts w:cs="Calibri"/>
                <w:color w:val="auto"/>
                <w:sz w:val="21"/>
                <w:szCs w:val="21"/>
              </w:rPr>
              <w:t>20</w:t>
            </w:r>
          </w:p>
        </w:tc>
        <w:tc>
          <w:tcPr>
            <w:tcW w:w="322" w:type="pct"/>
            <w:vMerge w:val="continue"/>
            <w:tcBorders>
              <w:tl2br w:val="nil"/>
              <w:tr2bl w:val="nil"/>
            </w:tcBorders>
            <w:vAlign w:val="center"/>
          </w:tcPr>
          <w:p w14:paraId="097856BE">
            <w:pPr>
              <w:spacing w:line="240" w:lineRule="auto"/>
              <w:ind w:firstLine="0" w:firstLineChars="0"/>
              <w:jc w:val="center"/>
              <w:rPr>
                <w:rFonts w:cs="Calibri"/>
                <w:color w:val="auto"/>
                <w:sz w:val="21"/>
                <w:szCs w:val="21"/>
              </w:rPr>
            </w:pPr>
          </w:p>
        </w:tc>
        <w:tc>
          <w:tcPr>
            <w:tcW w:w="2588" w:type="pct"/>
            <w:tcBorders>
              <w:tl2br w:val="nil"/>
              <w:tr2bl w:val="nil"/>
            </w:tcBorders>
            <w:vAlign w:val="center"/>
          </w:tcPr>
          <w:p w14:paraId="68A47C2E">
            <w:pPr>
              <w:spacing w:line="240" w:lineRule="auto"/>
              <w:ind w:firstLine="0" w:firstLineChars="0"/>
              <w:jc w:val="center"/>
              <w:rPr>
                <w:rFonts w:cs="Calibri"/>
                <w:color w:val="auto"/>
                <w:sz w:val="21"/>
                <w:szCs w:val="21"/>
              </w:rPr>
            </w:pPr>
            <w:r>
              <w:rPr>
                <w:rFonts w:cs="Calibri"/>
                <w:color w:val="auto"/>
                <w:sz w:val="21"/>
                <w:szCs w:val="21"/>
              </w:rPr>
              <w:t>20、法律法规及相关政策文件有更加严格规定的从其规定。</w:t>
            </w:r>
          </w:p>
        </w:tc>
        <w:tc>
          <w:tcPr>
            <w:tcW w:w="1391" w:type="pct"/>
            <w:tcBorders>
              <w:tl2br w:val="nil"/>
              <w:tr2bl w:val="nil"/>
            </w:tcBorders>
            <w:vAlign w:val="center"/>
          </w:tcPr>
          <w:p w14:paraId="093CE3A8">
            <w:pPr>
              <w:spacing w:line="240" w:lineRule="auto"/>
              <w:ind w:firstLine="0" w:firstLineChars="0"/>
              <w:jc w:val="center"/>
              <w:rPr>
                <w:rFonts w:cs="Calibri"/>
                <w:color w:val="auto"/>
                <w:sz w:val="21"/>
                <w:szCs w:val="21"/>
              </w:rPr>
            </w:pPr>
            <w:r>
              <w:rPr>
                <w:rFonts w:hint="eastAsia" w:cs="Calibri"/>
                <w:color w:val="auto"/>
                <w:sz w:val="21"/>
                <w:szCs w:val="21"/>
              </w:rPr>
              <w:t>拟建项目</w:t>
            </w:r>
            <w:r>
              <w:rPr>
                <w:rFonts w:cs="Calibri"/>
                <w:color w:val="auto"/>
                <w:sz w:val="21"/>
                <w:szCs w:val="21"/>
              </w:rPr>
              <w:t>符合法律法规及相关政策文件。</w:t>
            </w:r>
          </w:p>
        </w:tc>
        <w:tc>
          <w:tcPr>
            <w:tcW w:w="415" w:type="pct"/>
            <w:tcBorders>
              <w:tl2br w:val="nil"/>
              <w:tr2bl w:val="nil"/>
            </w:tcBorders>
            <w:vAlign w:val="center"/>
          </w:tcPr>
          <w:p w14:paraId="7FF64991">
            <w:pPr>
              <w:spacing w:line="240" w:lineRule="auto"/>
              <w:ind w:firstLine="0" w:firstLineChars="0"/>
              <w:jc w:val="center"/>
              <w:rPr>
                <w:rFonts w:cs="Calibri"/>
                <w:color w:val="auto"/>
                <w:sz w:val="21"/>
                <w:szCs w:val="21"/>
              </w:rPr>
            </w:pPr>
            <w:r>
              <w:rPr>
                <w:rFonts w:cs="Calibri"/>
                <w:color w:val="auto"/>
                <w:sz w:val="21"/>
                <w:szCs w:val="21"/>
              </w:rPr>
              <w:t>相符</w:t>
            </w:r>
          </w:p>
        </w:tc>
      </w:tr>
    </w:tbl>
    <w:p w14:paraId="03AF48D8">
      <w:pPr>
        <w:ind w:firstLine="480"/>
        <w:rPr>
          <w:color w:val="auto"/>
        </w:rPr>
      </w:pPr>
      <w:r>
        <w:rPr>
          <w:color w:val="auto"/>
        </w:rPr>
        <w:t>综上，拟建项目与《长江经济带发展负面清单指南（试行，2022年版）》江苏省实施细则相符。</w:t>
      </w:r>
    </w:p>
    <w:p w14:paraId="652B5F32">
      <w:pPr>
        <w:pStyle w:val="5"/>
        <w:spacing w:before="156"/>
        <w:rPr>
          <w:color w:val="auto"/>
        </w:rPr>
      </w:pPr>
      <w:r>
        <w:rPr>
          <w:rFonts w:hint="eastAsia"/>
          <w:color w:val="auto"/>
        </w:rPr>
        <w:t>1</w:t>
      </w:r>
      <w:r>
        <w:rPr>
          <w:color w:val="auto"/>
        </w:rPr>
        <w:t>.4.</w:t>
      </w:r>
      <w:r>
        <w:rPr>
          <w:rFonts w:hint="eastAsia"/>
          <w:color w:val="auto"/>
        </w:rPr>
        <w:t>3</w:t>
      </w:r>
      <w:r>
        <w:rPr>
          <w:color w:val="auto"/>
        </w:rPr>
        <w:t>.5与</w:t>
      </w:r>
      <w:r>
        <w:rPr>
          <w:rFonts w:hint="eastAsia"/>
          <w:color w:val="auto"/>
        </w:rPr>
        <w:t>“</w:t>
      </w:r>
      <w:r>
        <w:rPr>
          <w:color w:val="auto"/>
        </w:rPr>
        <w:t>三线一单</w:t>
      </w:r>
      <w:r>
        <w:rPr>
          <w:rFonts w:hint="eastAsia"/>
          <w:color w:val="auto"/>
        </w:rPr>
        <w:t>”</w:t>
      </w:r>
      <w:r>
        <w:rPr>
          <w:color w:val="auto"/>
        </w:rPr>
        <w:t>生态环境分区管控方案的对照分析</w:t>
      </w:r>
    </w:p>
    <w:p w14:paraId="4BF00111">
      <w:pPr>
        <w:spacing w:line="500" w:lineRule="atLeast"/>
        <w:ind w:firstLine="482"/>
        <w:rPr>
          <w:b/>
          <w:color w:val="auto"/>
          <w:kern w:val="24"/>
          <w:szCs w:val="22"/>
        </w:rPr>
      </w:pPr>
      <w:r>
        <w:rPr>
          <w:b/>
          <w:color w:val="auto"/>
          <w:kern w:val="24"/>
          <w:szCs w:val="22"/>
        </w:rPr>
        <w:t>1、《江苏省人民政府关于印发江苏省</w:t>
      </w:r>
      <w:r>
        <w:rPr>
          <w:rFonts w:hint="eastAsia"/>
          <w:b/>
          <w:color w:val="auto"/>
          <w:kern w:val="24"/>
          <w:szCs w:val="22"/>
        </w:rPr>
        <w:t>“</w:t>
      </w:r>
      <w:r>
        <w:rPr>
          <w:b/>
          <w:color w:val="auto"/>
          <w:kern w:val="24"/>
          <w:szCs w:val="22"/>
        </w:rPr>
        <w:t>三线一单</w:t>
      </w:r>
      <w:r>
        <w:rPr>
          <w:rFonts w:hint="eastAsia"/>
          <w:b/>
          <w:color w:val="auto"/>
          <w:kern w:val="24"/>
          <w:szCs w:val="22"/>
        </w:rPr>
        <w:t>”</w:t>
      </w:r>
      <w:r>
        <w:rPr>
          <w:b/>
          <w:color w:val="auto"/>
          <w:kern w:val="24"/>
          <w:szCs w:val="22"/>
        </w:rPr>
        <w:t>生态环境分区管控方案的通知》（苏政发〔2020〕49号）</w:t>
      </w:r>
    </w:p>
    <w:p w14:paraId="5165C556">
      <w:pPr>
        <w:spacing w:line="500" w:lineRule="atLeast"/>
        <w:ind w:firstLine="480"/>
        <w:rPr>
          <w:color w:val="auto"/>
          <w:kern w:val="24"/>
          <w:szCs w:val="22"/>
        </w:rPr>
      </w:pPr>
      <w:r>
        <w:rPr>
          <w:color w:val="auto"/>
          <w:kern w:val="24"/>
          <w:szCs w:val="22"/>
        </w:rPr>
        <w:t>文件</w:t>
      </w:r>
      <w:r>
        <w:rPr>
          <w:bCs/>
          <w:color w:val="auto"/>
          <w:kern w:val="24"/>
          <w:szCs w:val="22"/>
        </w:rPr>
        <w:t>要求</w:t>
      </w:r>
      <w:r>
        <w:rPr>
          <w:color w:val="auto"/>
          <w:kern w:val="24"/>
          <w:szCs w:val="22"/>
        </w:rPr>
        <w:t>：</w:t>
      </w:r>
      <w:r>
        <w:rPr>
          <w:rFonts w:hint="eastAsia"/>
          <w:color w:val="auto"/>
          <w:kern w:val="24"/>
          <w:szCs w:val="22"/>
        </w:rPr>
        <w:t>“</w:t>
      </w:r>
      <w:r>
        <w:rPr>
          <w:color w:val="auto"/>
          <w:kern w:val="24"/>
          <w:szCs w:val="22"/>
        </w:rPr>
        <w:t>（五）落实生态环境管控要求。</w:t>
      </w:r>
    </w:p>
    <w:p w14:paraId="48505E1E">
      <w:pPr>
        <w:spacing w:line="500" w:lineRule="atLeast"/>
        <w:ind w:firstLine="480"/>
        <w:rPr>
          <w:color w:val="auto"/>
          <w:kern w:val="24"/>
          <w:szCs w:val="22"/>
        </w:rPr>
      </w:pPr>
      <w:r>
        <w:rPr>
          <w:color w:val="auto"/>
          <w:kern w:val="24"/>
          <w:szCs w:val="22"/>
        </w:rPr>
        <w:t>江苏省重点区域（流域）生态环境分区管控要求重点管控要求</w:t>
      </w:r>
      <w:r>
        <w:rPr>
          <w:rFonts w:hint="eastAsia"/>
          <w:color w:val="auto"/>
          <w:kern w:val="24"/>
          <w:szCs w:val="22"/>
        </w:rPr>
        <w:t>长江流域</w:t>
      </w:r>
      <w:r>
        <w:rPr>
          <w:color w:val="auto"/>
          <w:kern w:val="24"/>
          <w:szCs w:val="22"/>
        </w:rPr>
        <w:t>空间布局约束：</w:t>
      </w:r>
      <w:r>
        <w:rPr>
          <w:rFonts w:hint="eastAsia"/>
          <w:color w:val="auto"/>
          <w:kern w:val="24"/>
          <w:szCs w:val="22"/>
        </w:rPr>
        <w:t>1、始终把长江生态修复放在首位，坚持共抓大保护、不搞大开发，引导长江流域产业转型升级和布局优化调整，实现科学发展、有序发展、高质量发展。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3、禁止在沿江地区新建或扩建化学工业园区，禁止新建或扩建以大宗进口油气资源为原料的石油加工、石油化工、基础有机无机化工、煤化工项目；禁止在长江干流和主要支流岸线1公里范围内新建危化品码头。4、强化港口布局优化，禁止建设不符合国家港口布局规划和《江苏省沿江沿海港口布局规划（2015-2030年）》《江苏省内河港口布局规划（2017-2035年）》的码头项目，禁止建设未纳入《长江干线过江通道布局规划》的过江干线通道项目。5、禁止新建独立焦化项目。</w:t>
      </w:r>
      <w:r>
        <w:rPr>
          <w:rFonts w:hint="eastAsia"/>
          <w:bCs/>
          <w:color w:val="auto"/>
          <w:kern w:val="24"/>
          <w:szCs w:val="22"/>
        </w:rPr>
        <w:t>”</w:t>
      </w:r>
    </w:p>
    <w:p w14:paraId="4E3771A0">
      <w:pPr>
        <w:spacing w:line="500" w:lineRule="atLeast"/>
        <w:ind w:firstLine="480"/>
        <w:rPr>
          <w:color w:val="auto"/>
          <w:kern w:val="24"/>
          <w:szCs w:val="22"/>
        </w:rPr>
      </w:pPr>
      <w:r>
        <w:rPr>
          <w:color w:val="auto"/>
          <w:kern w:val="24"/>
          <w:szCs w:val="22"/>
        </w:rPr>
        <w:t>拟建项目</w:t>
      </w:r>
      <w:r>
        <w:rPr>
          <w:bCs/>
          <w:color w:val="auto"/>
          <w:kern w:val="24"/>
          <w:szCs w:val="22"/>
        </w:rPr>
        <w:t>为</w:t>
      </w:r>
      <w:r>
        <w:rPr>
          <w:rFonts w:hint="eastAsia"/>
          <w:bCs/>
          <w:color w:val="auto"/>
          <w:kern w:val="24"/>
          <w:szCs w:val="22"/>
        </w:rPr>
        <w:t>无机盐制造项目，</w:t>
      </w:r>
      <w:r>
        <w:rPr>
          <w:color w:val="auto"/>
          <w:kern w:val="24"/>
          <w:szCs w:val="22"/>
        </w:rPr>
        <w:t>选址位于</w:t>
      </w:r>
      <w:r>
        <w:rPr>
          <w:rFonts w:hint="eastAsia"/>
          <w:bCs/>
          <w:color w:val="auto"/>
          <w:kern w:val="24"/>
          <w:szCs w:val="22"/>
        </w:rPr>
        <w:t>启东生命健康产业园启东亚太现有厂区内</w:t>
      </w:r>
      <w:r>
        <w:rPr>
          <w:bCs/>
          <w:color w:val="auto"/>
          <w:kern w:val="24"/>
          <w:szCs w:val="22"/>
        </w:rPr>
        <w:t>，项目所在区域属于江苏省重点区域（流域）生态环境分区，须执行重点管控要求。</w:t>
      </w:r>
      <w:r>
        <w:rPr>
          <w:rFonts w:hint="eastAsia"/>
          <w:bCs/>
          <w:color w:val="auto"/>
          <w:kern w:val="24"/>
          <w:szCs w:val="22"/>
        </w:rPr>
        <w:t>项目所在地未占用生态红线区域和永久基本农田；拟建项目不属于以大宗进口油气资源为原料的石油加工、石油化工、基础有机无机化工、煤化工项目；不新建危化品码头；不新建独立焦化项目。</w:t>
      </w:r>
      <w:r>
        <w:rPr>
          <w:color w:val="auto"/>
          <w:kern w:val="24"/>
          <w:szCs w:val="22"/>
        </w:rPr>
        <w:t>因此拟建项目的建设符合</w:t>
      </w:r>
      <w:r>
        <w:rPr>
          <w:bCs/>
          <w:color w:val="auto"/>
          <w:kern w:val="24"/>
          <w:szCs w:val="22"/>
        </w:rPr>
        <w:t>苏政发〔2020〕49号文件的相关要求。</w:t>
      </w:r>
    </w:p>
    <w:p w14:paraId="400EE0F7">
      <w:pPr>
        <w:spacing w:line="500" w:lineRule="atLeast"/>
        <w:ind w:firstLine="482"/>
        <w:rPr>
          <w:b/>
          <w:color w:val="auto"/>
          <w:kern w:val="24"/>
          <w:szCs w:val="22"/>
        </w:rPr>
      </w:pPr>
      <w:r>
        <w:rPr>
          <w:rFonts w:hint="eastAsia"/>
          <w:b/>
          <w:color w:val="auto"/>
          <w:kern w:val="24"/>
          <w:szCs w:val="22"/>
        </w:rPr>
        <w:t>（2）</w:t>
      </w:r>
      <w:r>
        <w:rPr>
          <w:b/>
          <w:color w:val="auto"/>
          <w:kern w:val="24"/>
          <w:szCs w:val="22"/>
        </w:rPr>
        <w:t>《市政府办公室关于印发南通市</w:t>
      </w:r>
      <w:r>
        <w:rPr>
          <w:rFonts w:hint="eastAsia"/>
          <w:b/>
          <w:color w:val="auto"/>
          <w:kern w:val="24"/>
          <w:szCs w:val="22"/>
        </w:rPr>
        <w:t>“</w:t>
      </w:r>
      <w:r>
        <w:rPr>
          <w:b/>
          <w:color w:val="auto"/>
          <w:kern w:val="24"/>
          <w:szCs w:val="22"/>
        </w:rPr>
        <w:t>三线一单</w:t>
      </w:r>
      <w:r>
        <w:rPr>
          <w:rFonts w:hint="eastAsia"/>
          <w:b/>
          <w:color w:val="auto"/>
          <w:kern w:val="24"/>
          <w:szCs w:val="22"/>
        </w:rPr>
        <w:t>”</w:t>
      </w:r>
      <w:r>
        <w:rPr>
          <w:b/>
          <w:color w:val="auto"/>
          <w:kern w:val="24"/>
          <w:szCs w:val="22"/>
        </w:rPr>
        <w:t>生态环境分区管控实施方案的通知》（通政办规〔2021〕4号）</w:t>
      </w:r>
    </w:p>
    <w:p w14:paraId="15D93568">
      <w:pPr>
        <w:spacing w:line="500" w:lineRule="atLeast"/>
        <w:ind w:firstLine="480"/>
        <w:rPr>
          <w:color w:val="auto"/>
          <w:kern w:val="0"/>
          <w:szCs w:val="22"/>
        </w:rPr>
      </w:pPr>
      <w:r>
        <w:rPr>
          <w:color w:val="auto"/>
          <w:kern w:val="0"/>
          <w:szCs w:val="22"/>
        </w:rPr>
        <w:t>对照</w:t>
      </w:r>
      <w:r>
        <w:rPr>
          <w:bCs/>
          <w:color w:val="auto"/>
          <w:kern w:val="24"/>
          <w:szCs w:val="22"/>
        </w:rPr>
        <w:t>《南通市</w:t>
      </w:r>
      <w:r>
        <w:rPr>
          <w:rFonts w:hint="eastAsia"/>
          <w:bCs/>
          <w:color w:val="auto"/>
          <w:kern w:val="24"/>
          <w:szCs w:val="22"/>
        </w:rPr>
        <w:t>“</w:t>
      </w:r>
      <w:r>
        <w:rPr>
          <w:bCs/>
          <w:color w:val="auto"/>
          <w:kern w:val="24"/>
          <w:szCs w:val="22"/>
        </w:rPr>
        <w:t>三线一单</w:t>
      </w:r>
      <w:r>
        <w:rPr>
          <w:rFonts w:hint="eastAsia"/>
          <w:bCs/>
          <w:color w:val="auto"/>
          <w:kern w:val="24"/>
          <w:szCs w:val="22"/>
        </w:rPr>
        <w:t>”</w:t>
      </w:r>
      <w:r>
        <w:rPr>
          <w:bCs/>
          <w:color w:val="auto"/>
          <w:kern w:val="24"/>
          <w:szCs w:val="22"/>
        </w:rPr>
        <w:t>生态环境分区管控实施方案》</w:t>
      </w:r>
      <w:r>
        <w:rPr>
          <w:color w:val="auto"/>
          <w:kern w:val="0"/>
          <w:szCs w:val="22"/>
        </w:rPr>
        <w:t>（通政办规</w:t>
      </w:r>
      <w:r>
        <w:rPr>
          <w:rFonts w:hint="eastAsia"/>
          <w:color w:val="auto"/>
          <w:kern w:val="0"/>
          <w:szCs w:val="22"/>
        </w:rPr>
        <w:t>〔2021〕4号</w:t>
      </w:r>
      <w:r>
        <w:rPr>
          <w:color w:val="auto"/>
          <w:kern w:val="0"/>
          <w:szCs w:val="22"/>
        </w:rPr>
        <w:t>），建设项目位于</w:t>
      </w:r>
      <w:r>
        <w:rPr>
          <w:rFonts w:hint="eastAsia"/>
          <w:bCs/>
          <w:color w:val="auto"/>
          <w:kern w:val="24"/>
          <w:szCs w:val="22"/>
        </w:rPr>
        <w:t>启东生命健康产业园</w:t>
      </w:r>
      <w:r>
        <w:rPr>
          <w:color w:val="auto"/>
          <w:kern w:val="0"/>
          <w:szCs w:val="22"/>
        </w:rPr>
        <w:t>，属于重点管控区，建设项目与南通市域生态环境总体准入管控要求相符性见</w:t>
      </w:r>
      <w:r>
        <w:rPr>
          <w:rFonts w:hint="eastAsia"/>
          <w:color w:val="auto"/>
          <w:kern w:val="0"/>
          <w:szCs w:val="22"/>
        </w:rPr>
        <w:t>下表</w:t>
      </w:r>
      <w:r>
        <w:rPr>
          <w:color w:val="auto"/>
          <w:kern w:val="0"/>
          <w:szCs w:val="22"/>
        </w:rPr>
        <w:t>。</w:t>
      </w:r>
    </w:p>
    <w:p w14:paraId="48E289CF">
      <w:pPr>
        <w:spacing w:line="240" w:lineRule="auto"/>
        <w:ind w:firstLine="482"/>
        <w:jc w:val="center"/>
        <w:rPr>
          <w:b/>
          <w:bCs/>
          <w:color w:val="auto"/>
          <w:szCs w:val="21"/>
        </w:rPr>
      </w:pPr>
      <w:r>
        <w:rPr>
          <w:b/>
          <w:bCs/>
          <w:color w:val="auto"/>
          <w:szCs w:val="21"/>
        </w:rPr>
        <w:t>表1.4</w:t>
      </w:r>
      <w:r>
        <w:rPr>
          <w:rFonts w:hint="eastAsia"/>
          <w:b/>
          <w:bCs/>
          <w:color w:val="auto"/>
          <w:szCs w:val="21"/>
        </w:rPr>
        <w:t xml:space="preserve">-4  </w:t>
      </w:r>
      <w:r>
        <w:rPr>
          <w:b/>
          <w:bCs/>
          <w:color w:val="auto"/>
          <w:szCs w:val="21"/>
        </w:rPr>
        <w:t>与南通市生态环境总体准入的相符性分析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49"/>
        <w:gridCol w:w="6418"/>
        <w:gridCol w:w="2687"/>
      </w:tblGrid>
      <w:tr w14:paraId="3862B0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tcBorders>
              <w:tl2br w:val="nil"/>
              <w:tr2bl w:val="nil"/>
            </w:tcBorders>
            <w:vAlign w:val="center"/>
          </w:tcPr>
          <w:p w14:paraId="35CD986D">
            <w:pPr>
              <w:spacing w:line="240" w:lineRule="auto"/>
              <w:ind w:firstLine="0" w:firstLineChars="0"/>
              <w:jc w:val="center"/>
              <w:rPr>
                <w:b/>
                <w:color w:val="auto"/>
                <w:sz w:val="21"/>
                <w:szCs w:val="21"/>
              </w:rPr>
            </w:pPr>
            <w:r>
              <w:rPr>
                <w:b/>
                <w:color w:val="auto"/>
                <w:sz w:val="21"/>
                <w:szCs w:val="21"/>
              </w:rPr>
              <w:t>管控类别</w:t>
            </w:r>
          </w:p>
        </w:tc>
        <w:tc>
          <w:tcPr>
            <w:tcW w:w="3255" w:type="pct"/>
            <w:tcBorders>
              <w:tl2br w:val="nil"/>
              <w:tr2bl w:val="nil"/>
            </w:tcBorders>
            <w:vAlign w:val="center"/>
          </w:tcPr>
          <w:p w14:paraId="2B5D595A">
            <w:pPr>
              <w:spacing w:line="240" w:lineRule="auto"/>
              <w:ind w:firstLine="0" w:firstLineChars="0"/>
              <w:jc w:val="center"/>
              <w:rPr>
                <w:b/>
                <w:color w:val="auto"/>
                <w:sz w:val="21"/>
                <w:szCs w:val="21"/>
              </w:rPr>
            </w:pPr>
            <w:r>
              <w:rPr>
                <w:b/>
                <w:color w:val="auto"/>
                <w:sz w:val="21"/>
                <w:szCs w:val="21"/>
              </w:rPr>
              <w:t>重点管控要求</w:t>
            </w:r>
          </w:p>
        </w:tc>
        <w:tc>
          <w:tcPr>
            <w:tcW w:w="1363" w:type="pct"/>
            <w:tcBorders>
              <w:tl2br w:val="nil"/>
              <w:tr2bl w:val="nil"/>
            </w:tcBorders>
            <w:vAlign w:val="center"/>
          </w:tcPr>
          <w:p w14:paraId="37399DAC">
            <w:pPr>
              <w:spacing w:line="240" w:lineRule="auto"/>
              <w:ind w:firstLine="0" w:firstLineChars="0"/>
              <w:jc w:val="center"/>
              <w:rPr>
                <w:b/>
                <w:color w:val="auto"/>
                <w:sz w:val="21"/>
                <w:szCs w:val="21"/>
              </w:rPr>
            </w:pPr>
            <w:r>
              <w:rPr>
                <w:b/>
                <w:color w:val="auto"/>
                <w:sz w:val="21"/>
                <w:szCs w:val="21"/>
              </w:rPr>
              <w:t>拟建项目情况</w:t>
            </w:r>
          </w:p>
        </w:tc>
      </w:tr>
      <w:tr w14:paraId="65F005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restart"/>
            <w:tcBorders>
              <w:tl2br w:val="nil"/>
              <w:tr2bl w:val="nil"/>
            </w:tcBorders>
            <w:vAlign w:val="center"/>
          </w:tcPr>
          <w:p w14:paraId="3D14DAAB">
            <w:pPr>
              <w:spacing w:line="240" w:lineRule="auto"/>
              <w:ind w:firstLine="0" w:firstLineChars="0"/>
              <w:jc w:val="center"/>
              <w:rPr>
                <w:color w:val="auto"/>
                <w:sz w:val="21"/>
                <w:szCs w:val="21"/>
              </w:rPr>
            </w:pPr>
            <w:r>
              <w:rPr>
                <w:color w:val="auto"/>
                <w:sz w:val="21"/>
                <w:szCs w:val="21"/>
              </w:rPr>
              <w:t>空间布局约束</w:t>
            </w:r>
          </w:p>
        </w:tc>
        <w:tc>
          <w:tcPr>
            <w:tcW w:w="3255" w:type="pct"/>
            <w:tcBorders>
              <w:tl2br w:val="nil"/>
              <w:tr2bl w:val="nil"/>
            </w:tcBorders>
            <w:vAlign w:val="center"/>
          </w:tcPr>
          <w:p w14:paraId="6415A7C3">
            <w:pPr>
              <w:spacing w:line="240" w:lineRule="auto"/>
              <w:ind w:firstLine="0" w:firstLineChars="0"/>
              <w:jc w:val="center"/>
              <w:rPr>
                <w:color w:val="auto"/>
                <w:sz w:val="21"/>
                <w:szCs w:val="21"/>
              </w:rPr>
            </w:pPr>
            <w:r>
              <w:rPr>
                <w:color w:val="auto"/>
                <w:sz w:val="21"/>
                <w:szCs w:val="21"/>
              </w:rPr>
              <w:t>1.严格执行《南通市长江经济带生态环境保护实施规划》（通政办发〔2018〕42号）、《南通市</w:t>
            </w:r>
            <w:r>
              <w:rPr>
                <w:rFonts w:hint="eastAsia"/>
                <w:color w:val="auto"/>
                <w:sz w:val="21"/>
                <w:szCs w:val="21"/>
              </w:rPr>
              <w:t>“</w:t>
            </w:r>
            <w:r>
              <w:rPr>
                <w:color w:val="auto"/>
                <w:sz w:val="21"/>
                <w:szCs w:val="21"/>
              </w:rPr>
              <w:t>两减六治三提升</w:t>
            </w:r>
            <w:r>
              <w:rPr>
                <w:rFonts w:hint="eastAsia"/>
                <w:color w:val="auto"/>
                <w:sz w:val="21"/>
                <w:szCs w:val="21"/>
              </w:rPr>
              <w:t>”</w:t>
            </w:r>
            <w:r>
              <w:rPr>
                <w:color w:val="auto"/>
                <w:sz w:val="21"/>
                <w:szCs w:val="21"/>
              </w:rPr>
              <w:t>专项行动实施方案》（通政办发〔2017〕55号）、《南通市打赢蓝天保卫战三年行动计划实施方案（2018</w:t>
            </w:r>
            <w:r>
              <w:rPr>
                <w:rFonts w:hint="eastAsia"/>
                <w:color w:val="auto"/>
                <w:sz w:val="21"/>
                <w:szCs w:val="21"/>
              </w:rPr>
              <w:t>-</w:t>
            </w:r>
            <w:r>
              <w:rPr>
                <w:color w:val="auto"/>
                <w:sz w:val="21"/>
                <w:szCs w:val="21"/>
              </w:rPr>
              <w:t>2020年）》（通政发〔2018〕63号）、《南通市土壤污染防治工作方案》（通政发〔2017〕20号）、《南通市水污染防治工作方案》（通政发〔2016〕35号）等文件要求。</w:t>
            </w:r>
          </w:p>
        </w:tc>
        <w:tc>
          <w:tcPr>
            <w:tcW w:w="1363" w:type="pct"/>
            <w:tcBorders>
              <w:tl2br w:val="nil"/>
              <w:tr2bl w:val="nil"/>
            </w:tcBorders>
            <w:vAlign w:val="center"/>
          </w:tcPr>
          <w:p w14:paraId="2DD1D548">
            <w:pPr>
              <w:spacing w:line="240" w:lineRule="auto"/>
              <w:ind w:firstLine="0" w:firstLineChars="0"/>
              <w:jc w:val="center"/>
              <w:rPr>
                <w:color w:val="auto"/>
                <w:sz w:val="21"/>
                <w:szCs w:val="21"/>
              </w:rPr>
            </w:pPr>
            <w:r>
              <w:rPr>
                <w:rFonts w:hint="eastAsia"/>
                <w:color w:val="auto"/>
                <w:sz w:val="21"/>
                <w:szCs w:val="21"/>
              </w:rPr>
              <w:t>拟建</w:t>
            </w:r>
            <w:r>
              <w:rPr>
                <w:color w:val="auto"/>
                <w:sz w:val="21"/>
                <w:szCs w:val="21"/>
              </w:rPr>
              <w:t>项目严格执行南通市地方各项环保制度要求。</w:t>
            </w:r>
          </w:p>
        </w:tc>
      </w:tr>
      <w:tr w14:paraId="7FECAA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continue"/>
            <w:tcBorders>
              <w:tl2br w:val="nil"/>
              <w:tr2bl w:val="nil"/>
            </w:tcBorders>
            <w:vAlign w:val="center"/>
          </w:tcPr>
          <w:p w14:paraId="44023C0D">
            <w:pPr>
              <w:widowControl/>
              <w:spacing w:line="240" w:lineRule="auto"/>
              <w:ind w:firstLine="0" w:firstLineChars="0"/>
              <w:jc w:val="center"/>
              <w:rPr>
                <w:color w:val="auto"/>
                <w:sz w:val="21"/>
                <w:szCs w:val="21"/>
              </w:rPr>
            </w:pPr>
          </w:p>
        </w:tc>
        <w:tc>
          <w:tcPr>
            <w:tcW w:w="3255" w:type="pct"/>
            <w:tcBorders>
              <w:tl2br w:val="nil"/>
              <w:tr2bl w:val="nil"/>
            </w:tcBorders>
            <w:vAlign w:val="center"/>
          </w:tcPr>
          <w:p w14:paraId="24C68FDF">
            <w:pPr>
              <w:spacing w:line="240" w:lineRule="auto"/>
              <w:ind w:firstLine="0" w:firstLineChars="0"/>
              <w:jc w:val="center"/>
              <w:rPr>
                <w:color w:val="auto"/>
                <w:sz w:val="21"/>
                <w:szCs w:val="21"/>
              </w:rPr>
            </w:pPr>
            <w:r>
              <w:rPr>
                <w:color w:val="auto"/>
                <w:sz w:val="21"/>
                <w:szCs w:val="21"/>
              </w:rPr>
              <w:t>2.严格执行《（长江经济带发展负面清单指南）江苏省实施细则（试行）》；禁止引进列入《南通市工业结构调整指导目录》淘汰类的产业、列入《南通市工业产业技术改造负面清单》严格禁止的技术改造工艺装备及产品。</w:t>
            </w:r>
          </w:p>
        </w:tc>
        <w:tc>
          <w:tcPr>
            <w:tcW w:w="1363" w:type="pct"/>
            <w:tcBorders>
              <w:tl2br w:val="nil"/>
              <w:tr2bl w:val="nil"/>
            </w:tcBorders>
            <w:vAlign w:val="center"/>
          </w:tcPr>
          <w:p w14:paraId="708A2CFC">
            <w:pPr>
              <w:spacing w:line="240" w:lineRule="auto"/>
              <w:ind w:firstLine="0" w:firstLineChars="0"/>
              <w:jc w:val="center"/>
              <w:rPr>
                <w:color w:val="auto"/>
                <w:sz w:val="21"/>
                <w:szCs w:val="21"/>
              </w:rPr>
            </w:pPr>
            <w:r>
              <w:rPr>
                <w:color w:val="auto"/>
                <w:sz w:val="21"/>
                <w:szCs w:val="21"/>
              </w:rPr>
              <w:t>拟建项目不涉及落后淘汰设备的使用。</w:t>
            </w:r>
          </w:p>
        </w:tc>
      </w:tr>
      <w:tr w14:paraId="4E2896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continue"/>
            <w:tcBorders>
              <w:tl2br w:val="nil"/>
              <w:tr2bl w:val="nil"/>
            </w:tcBorders>
            <w:vAlign w:val="center"/>
          </w:tcPr>
          <w:p w14:paraId="355A5EF8">
            <w:pPr>
              <w:widowControl/>
              <w:spacing w:line="240" w:lineRule="auto"/>
              <w:ind w:firstLine="0" w:firstLineChars="0"/>
              <w:jc w:val="center"/>
              <w:rPr>
                <w:color w:val="auto"/>
                <w:sz w:val="21"/>
                <w:szCs w:val="21"/>
              </w:rPr>
            </w:pPr>
          </w:p>
        </w:tc>
        <w:tc>
          <w:tcPr>
            <w:tcW w:w="3255" w:type="pct"/>
            <w:tcBorders>
              <w:tl2br w:val="nil"/>
              <w:tr2bl w:val="nil"/>
            </w:tcBorders>
            <w:vAlign w:val="center"/>
          </w:tcPr>
          <w:p w14:paraId="66FA1566">
            <w:pPr>
              <w:spacing w:line="240" w:lineRule="auto"/>
              <w:ind w:firstLine="0" w:firstLineChars="0"/>
              <w:jc w:val="center"/>
              <w:rPr>
                <w:color w:val="auto"/>
                <w:sz w:val="21"/>
                <w:szCs w:val="21"/>
              </w:rPr>
            </w:pPr>
            <w:r>
              <w:rPr>
                <w:color w:val="auto"/>
                <w:sz w:val="21"/>
                <w:szCs w:val="21"/>
              </w:rPr>
              <w:t>3.根据《南通市长江经济带生态环境保护实施规划》（通政办发〔2018〕42号），沿江地区不再新布局石化项目。禁止在长江干流自然保护区、风景名胜区等重点区域新建工业类和污染类项目，对现有高风险企业实施限期治理。</w:t>
            </w:r>
          </w:p>
        </w:tc>
        <w:tc>
          <w:tcPr>
            <w:tcW w:w="1363" w:type="pct"/>
            <w:tcBorders>
              <w:tl2br w:val="nil"/>
              <w:tr2bl w:val="nil"/>
            </w:tcBorders>
            <w:vAlign w:val="center"/>
          </w:tcPr>
          <w:p w14:paraId="2313EAEF">
            <w:pPr>
              <w:spacing w:line="240" w:lineRule="auto"/>
              <w:ind w:firstLine="0" w:firstLineChars="0"/>
              <w:jc w:val="center"/>
              <w:rPr>
                <w:color w:val="auto"/>
                <w:sz w:val="21"/>
                <w:szCs w:val="21"/>
              </w:rPr>
            </w:pPr>
            <w:r>
              <w:rPr>
                <w:color w:val="auto"/>
                <w:sz w:val="21"/>
                <w:szCs w:val="21"/>
              </w:rPr>
              <w:t>拟建项目不在沿江1km范围内。</w:t>
            </w:r>
          </w:p>
        </w:tc>
      </w:tr>
      <w:tr w14:paraId="7D48A6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continue"/>
            <w:tcBorders>
              <w:tl2br w:val="nil"/>
              <w:tr2bl w:val="nil"/>
            </w:tcBorders>
            <w:vAlign w:val="center"/>
          </w:tcPr>
          <w:p w14:paraId="0621EDB7">
            <w:pPr>
              <w:widowControl/>
              <w:spacing w:line="240" w:lineRule="auto"/>
              <w:ind w:firstLine="0" w:firstLineChars="0"/>
              <w:jc w:val="center"/>
              <w:rPr>
                <w:color w:val="auto"/>
                <w:sz w:val="21"/>
                <w:szCs w:val="21"/>
              </w:rPr>
            </w:pPr>
          </w:p>
        </w:tc>
        <w:tc>
          <w:tcPr>
            <w:tcW w:w="3255" w:type="pct"/>
            <w:tcBorders>
              <w:tl2br w:val="nil"/>
              <w:tr2bl w:val="nil"/>
            </w:tcBorders>
            <w:vAlign w:val="center"/>
          </w:tcPr>
          <w:p w14:paraId="5EA930B6">
            <w:pPr>
              <w:spacing w:line="240" w:lineRule="auto"/>
              <w:ind w:firstLine="0" w:firstLineChars="0"/>
              <w:jc w:val="center"/>
              <w:rPr>
                <w:color w:val="auto"/>
                <w:sz w:val="21"/>
                <w:szCs w:val="21"/>
              </w:rPr>
            </w:pPr>
            <w:r>
              <w:rPr>
                <w:color w:val="auto"/>
                <w:sz w:val="21"/>
                <w:szCs w:val="21"/>
              </w:rPr>
              <w:t>4.根据《省政府关于加强全省化工园区化工集中区规范化管理的通知》（苏政发〔2020〕94号）、《市政府关于印发南通市化工产业环保准入指导意见的通知》（通政发〔2014〕10号），化工园区、化工集中区处于长江干流和主要支流岸线1公里范围（以下简称沿江1公里范围）内的区域不得新建、扩建化工企业和项目安全、环保、节能、信息化智能化、提升产品品质技术改造项目除</w:t>
            </w:r>
            <w:r>
              <w:rPr>
                <w:rFonts w:hint="eastAsia"/>
                <w:color w:val="auto"/>
                <w:sz w:val="21"/>
                <w:szCs w:val="21"/>
              </w:rPr>
              <w:t>外</w:t>
            </w:r>
            <w:r>
              <w:rPr>
                <w:color w:val="auto"/>
                <w:sz w:val="21"/>
                <w:szCs w:val="21"/>
              </w:rPr>
              <w:t>。禁止建设属于国家、省和我市禁止类、淘汰类生产工艺、产品的项目。从严控制农药、传统医药、染料化工项目审批，原则上不再新上医药中间体、农药中间体、染料中间体项目（具有自主知识产权的关键中间体及高产出、低污染项目除外，分别由科技部门和环保部门认定）。沿江化工园区不再新增农药、染料化工企业。</w:t>
            </w:r>
          </w:p>
        </w:tc>
        <w:tc>
          <w:tcPr>
            <w:tcW w:w="1363" w:type="pct"/>
            <w:tcBorders>
              <w:tl2br w:val="nil"/>
              <w:tr2bl w:val="nil"/>
            </w:tcBorders>
            <w:vAlign w:val="center"/>
          </w:tcPr>
          <w:p w14:paraId="1BBEAEE7">
            <w:pPr>
              <w:spacing w:line="240" w:lineRule="auto"/>
              <w:ind w:firstLine="0" w:firstLineChars="0"/>
              <w:jc w:val="center"/>
              <w:rPr>
                <w:color w:val="auto"/>
                <w:sz w:val="21"/>
                <w:szCs w:val="21"/>
              </w:rPr>
            </w:pPr>
            <w:r>
              <w:rPr>
                <w:color w:val="auto"/>
                <w:sz w:val="21"/>
                <w:szCs w:val="21"/>
              </w:rPr>
              <w:t>拟建项目用地属于</w:t>
            </w:r>
            <w:r>
              <w:rPr>
                <w:rFonts w:hint="eastAsia"/>
                <w:color w:val="auto"/>
                <w:sz w:val="21"/>
                <w:szCs w:val="21"/>
              </w:rPr>
              <w:t>工业</w:t>
            </w:r>
            <w:r>
              <w:rPr>
                <w:color w:val="auto"/>
                <w:sz w:val="21"/>
                <w:szCs w:val="21"/>
              </w:rPr>
              <w:t>用地，</w:t>
            </w:r>
            <w:r>
              <w:rPr>
                <w:rFonts w:hint="eastAsia"/>
                <w:color w:val="auto"/>
                <w:sz w:val="21"/>
                <w:szCs w:val="21"/>
              </w:rPr>
              <w:t>建设单位启东亚太是园区保留的化工企业</w:t>
            </w:r>
            <w:r>
              <w:rPr>
                <w:color w:val="auto"/>
                <w:sz w:val="21"/>
                <w:szCs w:val="21"/>
              </w:rPr>
              <w:t>。</w:t>
            </w:r>
            <w:r>
              <w:rPr>
                <w:rFonts w:hint="eastAsia"/>
                <w:color w:val="auto"/>
                <w:sz w:val="21"/>
                <w:szCs w:val="21"/>
              </w:rPr>
              <w:t>对照《产业结构调整指导目录（2024年本）》，拟建项目产品不属于限制和淘汰类</w:t>
            </w:r>
            <w:r>
              <w:rPr>
                <w:color w:val="auto"/>
                <w:sz w:val="21"/>
                <w:szCs w:val="21"/>
              </w:rPr>
              <w:t>。项目符合</w:t>
            </w:r>
            <w:r>
              <w:rPr>
                <w:rFonts w:hint="eastAsia"/>
                <w:color w:val="auto"/>
                <w:sz w:val="21"/>
                <w:szCs w:val="21"/>
              </w:rPr>
              <w:t>《江苏省化工产业结构调整限制和淘汰目录（2025年本）》</w:t>
            </w:r>
            <w:r>
              <w:rPr>
                <w:color w:val="auto"/>
                <w:sz w:val="21"/>
                <w:szCs w:val="21"/>
              </w:rPr>
              <w:t>。</w:t>
            </w:r>
          </w:p>
        </w:tc>
      </w:tr>
      <w:tr w14:paraId="53C1C7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restart"/>
            <w:tcBorders>
              <w:tl2br w:val="nil"/>
              <w:tr2bl w:val="nil"/>
            </w:tcBorders>
            <w:vAlign w:val="center"/>
          </w:tcPr>
          <w:p w14:paraId="671F4A14">
            <w:pPr>
              <w:spacing w:line="240" w:lineRule="auto"/>
              <w:ind w:firstLine="0" w:firstLineChars="0"/>
              <w:jc w:val="center"/>
              <w:rPr>
                <w:color w:val="auto"/>
                <w:sz w:val="21"/>
                <w:szCs w:val="21"/>
              </w:rPr>
            </w:pPr>
            <w:r>
              <w:rPr>
                <w:color w:val="auto"/>
                <w:sz w:val="21"/>
                <w:szCs w:val="21"/>
              </w:rPr>
              <w:t>污染物排放管控</w:t>
            </w:r>
          </w:p>
        </w:tc>
        <w:tc>
          <w:tcPr>
            <w:tcW w:w="3255" w:type="pct"/>
            <w:tcBorders>
              <w:tl2br w:val="nil"/>
              <w:tr2bl w:val="nil"/>
            </w:tcBorders>
            <w:vAlign w:val="center"/>
          </w:tcPr>
          <w:p w14:paraId="3669D747">
            <w:pPr>
              <w:spacing w:line="240" w:lineRule="auto"/>
              <w:ind w:firstLine="0" w:firstLineChars="0"/>
              <w:jc w:val="center"/>
              <w:rPr>
                <w:color w:val="auto"/>
                <w:sz w:val="21"/>
                <w:szCs w:val="21"/>
              </w:rPr>
            </w:pPr>
            <w:r>
              <w:rPr>
                <w:color w:val="auto"/>
                <w:sz w:val="21"/>
                <w:szCs w:val="21"/>
              </w:rPr>
              <w:t>1.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tc>
        <w:tc>
          <w:tcPr>
            <w:tcW w:w="1363" w:type="pct"/>
            <w:vMerge w:val="restart"/>
            <w:tcBorders>
              <w:tl2br w:val="nil"/>
              <w:tr2bl w:val="nil"/>
            </w:tcBorders>
            <w:vAlign w:val="center"/>
          </w:tcPr>
          <w:p w14:paraId="15749BDB">
            <w:pPr>
              <w:spacing w:line="240" w:lineRule="auto"/>
              <w:ind w:firstLine="0" w:firstLineChars="0"/>
              <w:jc w:val="center"/>
              <w:rPr>
                <w:color w:val="auto"/>
                <w:sz w:val="21"/>
                <w:szCs w:val="21"/>
              </w:rPr>
            </w:pPr>
            <w:r>
              <w:rPr>
                <w:rFonts w:hint="eastAsia"/>
                <w:color w:val="auto"/>
                <w:sz w:val="21"/>
                <w:szCs w:val="21"/>
              </w:rPr>
              <w:t>拟建项目废气、废水污染物均可在现有排放总量内平衡，不新增总量</w:t>
            </w:r>
            <w:r>
              <w:rPr>
                <w:color w:val="auto"/>
                <w:sz w:val="21"/>
                <w:szCs w:val="21"/>
              </w:rPr>
              <w:t>，项目污染物排放管控符合规划环评及批复文件要求。</w:t>
            </w:r>
          </w:p>
          <w:p w14:paraId="358BEAF7">
            <w:pPr>
              <w:spacing w:line="240" w:lineRule="auto"/>
              <w:ind w:firstLine="0" w:firstLineChars="0"/>
              <w:jc w:val="center"/>
              <w:rPr>
                <w:color w:val="auto"/>
                <w:sz w:val="21"/>
                <w:szCs w:val="21"/>
              </w:rPr>
            </w:pPr>
          </w:p>
        </w:tc>
      </w:tr>
      <w:tr w14:paraId="10DFD6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continue"/>
            <w:tcBorders>
              <w:tl2br w:val="nil"/>
              <w:tr2bl w:val="nil"/>
            </w:tcBorders>
            <w:vAlign w:val="center"/>
          </w:tcPr>
          <w:p w14:paraId="4C0A3F7C">
            <w:pPr>
              <w:widowControl/>
              <w:spacing w:line="240" w:lineRule="auto"/>
              <w:ind w:firstLine="0" w:firstLineChars="0"/>
              <w:jc w:val="center"/>
              <w:rPr>
                <w:color w:val="auto"/>
                <w:sz w:val="21"/>
                <w:szCs w:val="21"/>
              </w:rPr>
            </w:pPr>
          </w:p>
        </w:tc>
        <w:tc>
          <w:tcPr>
            <w:tcW w:w="3255" w:type="pct"/>
            <w:tcBorders>
              <w:tl2br w:val="nil"/>
              <w:tr2bl w:val="nil"/>
            </w:tcBorders>
            <w:vAlign w:val="center"/>
          </w:tcPr>
          <w:p w14:paraId="403245D3">
            <w:pPr>
              <w:spacing w:line="240" w:lineRule="auto"/>
              <w:ind w:firstLine="0" w:firstLineChars="0"/>
              <w:jc w:val="center"/>
              <w:rPr>
                <w:color w:val="auto"/>
                <w:sz w:val="21"/>
                <w:szCs w:val="21"/>
              </w:rPr>
            </w:pPr>
            <w:r>
              <w:rPr>
                <w:color w:val="auto"/>
                <w:sz w:val="21"/>
                <w:szCs w:val="21"/>
              </w:rPr>
              <w:t>2.用于建设项目的</w:t>
            </w:r>
            <w:r>
              <w:rPr>
                <w:rFonts w:hint="eastAsia"/>
                <w:color w:val="auto"/>
                <w:sz w:val="21"/>
                <w:szCs w:val="21"/>
              </w:rPr>
              <w:t>“</w:t>
            </w:r>
            <w:r>
              <w:rPr>
                <w:color w:val="auto"/>
                <w:sz w:val="21"/>
                <w:szCs w:val="21"/>
              </w:rPr>
              <w:t>可替代总量指标</w:t>
            </w:r>
            <w:r>
              <w:rPr>
                <w:rFonts w:hint="eastAsia"/>
                <w:color w:val="auto"/>
                <w:sz w:val="21"/>
                <w:szCs w:val="21"/>
              </w:rPr>
              <w:t>”</w:t>
            </w:r>
            <w:r>
              <w:rPr>
                <w:color w:val="auto"/>
                <w:sz w:val="21"/>
                <w:szCs w:val="21"/>
              </w:rPr>
              <w:t>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w:t>
            </w:r>
            <w:r>
              <w:rPr>
                <w:color w:val="auto"/>
                <w:sz w:val="21"/>
                <w:szCs w:val="21"/>
                <w:vertAlign w:val="subscript"/>
              </w:rPr>
              <w:t>2.5</w:t>
            </w:r>
            <w:r>
              <w:rPr>
                <w:color w:val="auto"/>
                <w:sz w:val="21"/>
                <w:szCs w:val="21"/>
              </w:rPr>
              <w:t>）年平均浓度不达标的地区，二氧化硫、氮氧化物、烟粉尘、挥发性有机物四项污染物均需进行2倍削减替代（燃煤发电机组大气污染物排放浓度基本达到燃气轮机组排放限值的除外）。</w:t>
            </w:r>
          </w:p>
        </w:tc>
        <w:tc>
          <w:tcPr>
            <w:tcW w:w="1363" w:type="pct"/>
            <w:vMerge w:val="continue"/>
            <w:tcBorders>
              <w:tl2br w:val="nil"/>
              <w:tr2bl w:val="nil"/>
            </w:tcBorders>
            <w:vAlign w:val="center"/>
          </w:tcPr>
          <w:p w14:paraId="63AD77F5">
            <w:pPr>
              <w:widowControl/>
              <w:spacing w:line="240" w:lineRule="auto"/>
              <w:ind w:firstLine="0" w:firstLineChars="0"/>
              <w:jc w:val="center"/>
              <w:rPr>
                <w:color w:val="auto"/>
                <w:sz w:val="21"/>
                <w:szCs w:val="21"/>
              </w:rPr>
            </w:pPr>
          </w:p>
        </w:tc>
      </w:tr>
      <w:tr w14:paraId="5A2D5E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continue"/>
            <w:tcBorders>
              <w:tl2br w:val="nil"/>
              <w:tr2bl w:val="nil"/>
            </w:tcBorders>
            <w:vAlign w:val="center"/>
          </w:tcPr>
          <w:p w14:paraId="763CBC63">
            <w:pPr>
              <w:widowControl/>
              <w:spacing w:line="240" w:lineRule="auto"/>
              <w:ind w:firstLine="0" w:firstLineChars="0"/>
              <w:jc w:val="center"/>
              <w:rPr>
                <w:color w:val="auto"/>
                <w:sz w:val="21"/>
                <w:szCs w:val="21"/>
              </w:rPr>
            </w:pPr>
          </w:p>
        </w:tc>
        <w:tc>
          <w:tcPr>
            <w:tcW w:w="3255" w:type="pct"/>
            <w:tcBorders>
              <w:tl2br w:val="nil"/>
              <w:tr2bl w:val="nil"/>
            </w:tcBorders>
            <w:vAlign w:val="center"/>
          </w:tcPr>
          <w:p w14:paraId="13140B9E">
            <w:pPr>
              <w:spacing w:line="240" w:lineRule="auto"/>
              <w:ind w:firstLine="0" w:firstLineChars="0"/>
              <w:jc w:val="center"/>
              <w:rPr>
                <w:color w:val="auto"/>
                <w:sz w:val="21"/>
                <w:szCs w:val="21"/>
              </w:rPr>
            </w:pPr>
            <w:r>
              <w:rPr>
                <w:color w:val="auto"/>
                <w:sz w:val="21"/>
                <w:szCs w:val="21"/>
              </w:rPr>
              <w:t>3.落实《省政府办公厅关于印发江苏省排污权有偿使用和交易管理暂行办法的通知》（苏政办发〔2017〕115号）及配套的实施细则中，关于新、改扩建项目获得排污权指标的相关要求。</w:t>
            </w:r>
          </w:p>
        </w:tc>
        <w:tc>
          <w:tcPr>
            <w:tcW w:w="1363" w:type="pct"/>
            <w:vMerge w:val="continue"/>
            <w:tcBorders>
              <w:tl2br w:val="nil"/>
              <w:tr2bl w:val="nil"/>
            </w:tcBorders>
            <w:vAlign w:val="center"/>
          </w:tcPr>
          <w:p w14:paraId="030E6460">
            <w:pPr>
              <w:widowControl/>
              <w:spacing w:line="240" w:lineRule="auto"/>
              <w:ind w:firstLine="0" w:firstLineChars="0"/>
              <w:jc w:val="center"/>
              <w:rPr>
                <w:color w:val="auto"/>
                <w:sz w:val="21"/>
                <w:szCs w:val="21"/>
              </w:rPr>
            </w:pPr>
          </w:p>
        </w:tc>
      </w:tr>
      <w:tr w14:paraId="00BBE2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restart"/>
            <w:tcBorders>
              <w:tl2br w:val="nil"/>
              <w:tr2bl w:val="nil"/>
            </w:tcBorders>
            <w:vAlign w:val="center"/>
          </w:tcPr>
          <w:p w14:paraId="19870532">
            <w:pPr>
              <w:spacing w:line="240" w:lineRule="auto"/>
              <w:ind w:firstLine="0" w:firstLineChars="0"/>
              <w:jc w:val="center"/>
              <w:rPr>
                <w:color w:val="auto"/>
                <w:sz w:val="21"/>
                <w:szCs w:val="21"/>
              </w:rPr>
            </w:pPr>
            <w:r>
              <w:rPr>
                <w:color w:val="auto"/>
                <w:sz w:val="21"/>
                <w:szCs w:val="21"/>
              </w:rPr>
              <w:t>环境风险防控</w:t>
            </w:r>
          </w:p>
        </w:tc>
        <w:tc>
          <w:tcPr>
            <w:tcW w:w="3255" w:type="pct"/>
            <w:tcBorders>
              <w:tl2br w:val="nil"/>
              <w:tr2bl w:val="nil"/>
            </w:tcBorders>
            <w:vAlign w:val="center"/>
          </w:tcPr>
          <w:p w14:paraId="6BDEFE24">
            <w:pPr>
              <w:spacing w:line="240" w:lineRule="auto"/>
              <w:ind w:firstLine="0" w:firstLineChars="0"/>
              <w:jc w:val="center"/>
              <w:rPr>
                <w:color w:val="auto"/>
                <w:sz w:val="21"/>
                <w:szCs w:val="21"/>
              </w:rPr>
            </w:pPr>
            <w:r>
              <w:rPr>
                <w:color w:val="auto"/>
                <w:sz w:val="21"/>
                <w:szCs w:val="21"/>
              </w:rPr>
              <w:t>1.落实《南通市突发环境事件应急预案（2020年修订版）》（通政办发〔2020〕46号）。</w:t>
            </w:r>
          </w:p>
        </w:tc>
        <w:tc>
          <w:tcPr>
            <w:tcW w:w="1363" w:type="pct"/>
            <w:tcBorders>
              <w:tl2br w:val="nil"/>
              <w:tr2bl w:val="nil"/>
            </w:tcBorders>
            <w:vAlign w:val="center"/>
          </w:tcPr>
          <w:p w14:paraId="64C8A702">
            <w:pPr>
              <w:spacing w:line="240" w:lineRule="auto"/>
              <w:ind w:firstLine="0" w:firstLineChars="0"/>
              <w:jc w:val="center"/>
              <w:rPr>
                <w:color w:val="auto"/>
                <w:sz w:val="21"/>
                <w:szCs w:val="21"/>
              </w:rPr>
            </w:pPr>
            <w:r>
              <w:rPr>
                <w:color w:val="auto"/>
                <w:sz w:val="21"/>
                <w:szCs w:val="21"/>
              </w:rPr>
              <w:t>企业</w:t>
            </w:r>
            <w:r>
              <w:rPr>
                <w:rFonts w:hint="eastAsia"/>
                <w:color w:val="auto"/>
                <w:sz w:val="21"/>
                <w:szCs w:val="21"/>
              </w:rPr>
              <w:t>已</w:t>
            </w:r>
            <w:r>
              <w:rPr>
                <w:color w:val="auto"/>
                <w:sz w:val="21"/>
                <w:szCs w:val="21"/>
              </w:rPr>
              <w:t>编制突发环境事件应急预案并备案。</w:t>
            </w:r>
          </w:p>
        </w:tc>
      </w:tr>
      <w:tr w14:paraId="2C0FFB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continue"/>
            <w:tcBorders>
              <w:tl2br w:val="nil"/>
              <w:tr2bl w:val="nil"/>
            </w:tcBorders>
            <w:vAlign w:val="center"/>
          </w:tcPr>
          <w:p w14:paraId="42E75C61">
            <w:pPr>
              <w:widowControl/>
              <w:spacing w:line="240" w:lineRule="auto"/>
              <w:ind w:firstLine="0" w:firstLineChars="0"/>
              <w:jc w:val="center"/>
              <w:rPr>
                <w:color w:val="auto"/>
                <w:sz w:val="21"/>
                <w:szCs w:val="21"/>
              </w:rPr>
            </w:pPr>
          </w:p>
        </w:tc>
        <w:tc>
          <w:tcPr>
            <w:tcW w:w="3255" w:type="pct"/>
            <w:tcBorders>
              <w:tl2br w:val="nil"/>
              <w:tr2bl w:val="nil"/>
            </w:tcBorders>
            <w:vAlign w:val="center"/>
          </w:tcPr>
          <w:p w14:paraId="40CFCC3B">
            <w:pPr>
              <w:spacing w:line="240" w:lineRule="auto"/>
              <w:ind w:firstLine="0" w:firstLineChars="0"/>
              <w:jc w:val="center"/>
              <w:rPr>
                <w:color w:val="auto"/>
                <w:sz w:val="21"/>
                <w:szCs w:val="21"/>
              </w:rPr>
            </w:pPr>
            <w:r>
              <w:rPr>
                <w:color w:val="auto"/>
                <w:sz w:val="21"/>
                <w:szCs w:val="21"/>
              </w:rPr>
              <w:t>2.根据《南通市化工产业安全环保整治提升三年行动计划（2019</w:t>
            </w:r>
            <w:r>
              <w:rPr>
                <w:rFonts w:hint="eastAsia"/>
                <w:color w:val="auto"/>
                <w:sz w:val="21"/>
                <w:szCs w:val="21"/>
              </w:rPr>
              <w:t>-</w:t>
            </w:r>
            <w:r>
              <w:rPr>
                <w:color w:val="auto"/>
                <w:sz w:val="21"/>
                <w:szCs w:val="21"/>
              </w:rPr>
              <w:t>2021年）》（通政办发〔2019〕102号），保留提升的化工生产企业必须制订整治提升实施方案。严格危险废物处置管理。企业须在环评报告中准确全面评价固体废物的种类、数量、属性及产生、贮存、利用或处置情况。在安评报告中对固体废物贮存、利用处置环节进行安全性评价，并按标准规范设计、建造或改建贮存、利用处置危险废物的设施设备。生产企业应按照相关管理要求申报、处置废弃危险化学品。强化对危险废物的收集、贮存和处置的监督管理，实现危险废物监管无盲区、无死角。</w:t>
            </w:r>
          </w:p>
        </w:tc>
        <w:tc>
          <w:tcPr>
            <w:tcW w:w="1363" w:type="pct"/>
            <w:tcBorders>
              <w:tl2br w:val="nil"/>
              <w:tr2bl w:val="nil"/>
            </w:tcBorders>
            <w:vAlign w:val="center"/>
          </w:tcPr>
          <w:p w14:paraId="7EDAD450">
            <w:pPr>
              <w:spacing w:line="240" w:lineRule="auto"/>
              <w:ind w:firstLine="0" w:firstLineChars="0"/>
              <w:jc w:val="center"/>
              <w:rPr>
                <w:color w:val="auto"/>
                <w:sz w:val="21"/>
                <w:szCs w:val="21"/>
              </w:rPr>
            </w:pPr>
            <w:r>
              <w:rPr>
                <w:color w:val="auto"/>
                <w:sz w:val="21"/>
                <w:szCs w:val="21"/>
              </w:rPr>
              <w:t>企业</w:t>
            </w:r>
            <w:r>
              <w:rPr>
                <w:rFonts w:hint="eastAsia"/>
                <w:color w:val="auto"/>
                <w:sz w:val="21"/>
                <w:szCs w:val="21"/>
              </w:rPr>
              <w:t>已</w:t>
            </w:r>
            <w:r>
              <w:rPr>
                <w:color w:val="auto"/>
                <w:sz w:val="21"/>
                <w:szCs w:val="21"/>
              </w:rPr>
              <w:t>按照规范建设危险固废仓库，并建立管理制度。此次环评报告中准确全面评价固体废物的种类、数量、属性及产生、贮存、利用或处置情况。</w:t>
            </w:r>
          </w:p>
        </w:tc>
      </w:tr>
      <w:tr w14:paraId="5DD1B7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continue"/>
            <w:tcBorders>
              <w:tl2br w:val="nil"/>
              <w:tr2bl w:val="nil"/>
            </w:tcBorders>
            <w:vAlign w:val="center"/>
          </w:tcPr>
          <w:p w14:paraId="7C41488E">
            <w:pPr>
              <w:widowControl/>
              <w:spacing w:line="240" w:lineRule="auto"/>
              <w:ind w:firstLine="0" w:firstLineChars="0"/>
              <w:jc w:val="center"/>
              <w:rPr>
                <w:color w:val="auto"/>
                <w:sz w:val="21"/>
                <w:szCs w:val="21"/>
              </w:rPr>
            </w:pPr>
          </w:p>
        </w:tc>
        <w:tc>
          <w:tcPr>
            <w:tcW w:w="3255" w:type="pct"/>
            <w:tcBorders>
              <w:tl2br w:val="nil"/>
              <w:tr2bl w:val="nil"/>
            </w:tcBorders>
            <w:vAlign w:val="center"/>
          </w:tcPr>
          <w:p w14:paraId="6F896106">
            <w:pPr>
              <w:spacing w:line="240" w:lineRule="auto"/>
              <w:ind w:firstLine="0" w:firstLineChars="0"/>
              <w:jc w:val="center"/>
              <w:rPr>
                <w:color w:val="auto"/>
                <w:sz w:val="21"/>
                <w:szCs w:val="21"/>
              </w:rPr>
            </w:pPr>
            <w:r>
              <w:rPr>
                <w:color w:val="auto"/>
                <w:sz w:val="21"/>
                <w:szCs w:val="21"/>
              </w:rPr>
              <w:t>3.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tc>
        <w:tc>
          <w:tcPr>
            <w:tcW w:w="1363" w:type="pct"/>
            <w:tcBorders>
              <w:tl2br w:val="nil"/>
              <w:tr2bl w:val="nil"/>
            </w:tcBorders>
            <w:vAlign w:val="center"/>
          </w:tcPr>
          <w:p w14:paraId="045C23B0">
            <w:pPr>
              <w:spacing w:line="240" w:lineRule="auto"/>
              <w:ind w:firstLine="0" w:firstLineChars="0"/>
              <w:jc w:val="center"/>
              <w:rPr>
                <w:color w:val="auto"/>
                <w:sz w:val="21"/>
                <w:szCs w:val="21"/>
              </w:rPr>
            </w:pPr>
            <w:r>
              <w:rPr>
                <w:rFonts w:hint="eastAsia"/>
                <w:color w:val="auto"/>
                <w:sz w:val="21"/>
                <w:szCs w:val="21"/>
              </w:rPr>
              <w:t>企业已编制安评报告；拟建项目生产过程采用自动化控制系统；企业位于洋口化工园，距离周边重要公共建筑较远；企业高风险设备均在有效期内。</w:t>
            </w:r>
          </w:p>
        </w:tc>
      </w:tr>
      <w:tr w14:paraId="277A91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restart"/>
            <w:tcBorders>
              <w:tl2br w:val="nil"/>
              <w:tr2bl w:val="nil"/>
            </w:tcBorders>
            <w:vAlign w:val="center"/>
          </w:tcPr>
          <w:p w14:paraId="51863640">
            <w:pPr>
              <w:spacing w:line="240" w:lineRule="auto"/>
              <w:ind w:firstLine="0" w:firstLineChars="0"/>
              <w:jc w:val="center"/>
              <w:rPr>
                <w:color w:val="auto"/>
                <w:sz w:val="21"/>
                <w:szCs w:val="21"/>
              </w:rPr>
            </w:pPr>
            <w:r>
              <w:rPr>
                <w:color w:val="auto"/>
                <w:sz w:val="21"/>
                <w:szCs w:val="21"/>
              </w:rPr>
              <w:t>资源利用效率要求</w:t>
            </w:r>
          </w:p>
        </w:tc>
        <w:tc>
          <w:tcPr>
            <w:tcW w:w="3255" w:type="pct"/>
            <w:tcBorders>
              <w:tl2br w:val="nil"/>
              <w:tr2bl w:val="nil"/>
            </w:tcBorders>
            <w:vAlign w:val="center"/>
          </w:tcPr>
          <w:p w14:paraId="24DC2738">
            <w:pPr>
              <w:spacing w:line="240" w:lineRule="auto"/>
              <w:ind w:firstLine="0" w:firstLineChars="0"/>
              <w:jc w:val="center"/>
              <w:rPr>
                <w:color w:val="auto"/>
                <w:sz w:val="21"/>
                <w:szCs w:val="21"/>
              </w:rPr>
            </w:pPr>
            <w:r>
              <w:rPr>
                <w:color w:val="auto"/>
                <w:sz w:val="21"/>
                <w:szCs w:val="21"/>
              </w:rPr>
              <w:t>1.根据《中华人民共和国大气污染防治法》，禁燃区禁止新建、扩建燃用高污染燃料的项目和设施，已建成的应逐步或依法限期改用天然气、电或者其他清洁能源。</w:t>
            </w:r>
          </w:p>
        </w:tc>
        <w:tc>
          <w:tcPr>
            <w:tcW w:w="1363" w:type="pct"/>
            <w:tcBorders>
              <w:tl2br w:val="nil"/>
              <w:tr2bl w:val="nil"/>
            </w:tcBorders>
            <w:vAlign w:val="center"/>
          </w:tcPr>
          <w:p w14:paraId="2CD94D63">
            <w:pPr>
              <w:spacing w:line="240" w:lineRule="auto"/>
              <w:ind w:firstLine="0" w:firstLineChars="0"/>
              <w:jc w:val="center"/>
              <w:rPr>
                <w:color w:val="auto"/>
                <w:sz w:val="21"/>
                <w:szCs w:val="21"/>
              </w:rPr>
            </w:pPr>
            <w:r>
              <w:rPr>
                <w:color w:val="auto"/>
                <w:sz w:val="21"/>
                <w:szCs w:val="21"/>
              </w:rPr>
              <w:t>拟建项目无高污染燃料的使用。</w:t>
            </w:r>
          </w:p>
        </w:tc>
      </w:tr>
      <w:tr w14:paraId="0C9FE3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continue"/>
            <w:tcBorders>
              <w:tl2br w:val="nil"/>
              <w:tr2bl w:val="nil"/>
            </w:tcBorders>
            <w:vAlign w:val="center"/>
          </w:tcPr>
          <w:p w14:paraId="24356058">
            <w:pPr>
              <w:widowControl/>
              <w:spacing w:line="240" w:lineRule="auto"/>
              <w:ind w:firstLine="0" w:firstLineChars="0"/>
              <w:jc w:val="center"/>
              <w:rPr>
                <w:color w:val="auto"/>
                <w:sz w:val="21"/>
                <w:szCs w:val="21"/>
              </w:rPr>
            </w:pPr>
          </w:p>
        </w:tc>
        <w:tc>
          <w:tcPr>
            <w:tcW w:w="3255" w:type="pct"/>
            <w:tcBorders>
              <w:tl2br w:val="nil"/>
              <w:tr2bl w:val="nil"/>
            </w:tcBorders>
            <w:vAlign w:val="center"/>
          </w:tcPr>
          <w:p w14:paraId="2EBDC64B">
            <w:pPr>
              <w:spacing w:line="240" w:lineRule="auto"/>
              <w:ind w:firstLine="0" w:firstLineChars="0"/>
              <w:jc w:val="center"/>
              <w:rPr>
                <w:color w:val="auto"/>
                <w:sz w:val="21"/>
                <w:szCs w:val="21"/>
              </w:rPr>
            </w:pPr>
            <w:r>
              <w:rPr>
                <w:color w:val="auto"/>
                <w:sz w:val="21"/>
                <w:szCs w:val="21"/>
              </w:rPr>
              <w:t>2.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tc>
        <w:tc>
          <w:tcPr>
            <w:tcW w:w="1363" w:type="pct"/>
            <w:tcBorders>
              <w:tl2br w:val="nil"/>
              <w:tr2bl w:val="nil"/>
            </w:tcBorders>
            <w:vAlign w:val="center"/>
          </w:tcPr>
          <w:p w14:paraId="416CF92C">
            <w:pPr>
              <w:spacing w:line="240" w:lineRule="auto"/>
              <w:ind w:firstLine="0" w:firstLineChars="0"/>
              <w:jc w:val="center"/>
              <w:rPr>
                <w:color w:val="auto"/>
                <w:sz w:val="21"/>
                <w:szCs w:val="21"/>
              </w:rPr>
            </w:pPr>
            <w:r>
              <w:rPr>
                <w:color w:val="auto"/>
                <w:sz w:val="21"/>
                <w:szCs w:val="21"/>
              </w:rPr>
              <w:t>拟建项目</w:t>
            </w:r>
            <w:r>
              <w:rPr>
                <w:rFonts w:hint="eastAsia"/>
                <w:color w:val="auto"/>
                <w:sz w:val="21"/>
                <w:szCs w:val="21"/>
              </w:rPr>
              <w:t>属于技改项目，清洁生产水平位国内先进水平。</w:t>
            </w:r>
          </w:p>
        </w:tc>
      </w:tr>
      <w:tr w14:paraId="127924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80" w:type="pct"/>
            <w:vMerge w:val="continue"/>
            <w:tcBorders>
              <w:tl2br w:val="nil"/>
              <w:tr2bl w:val="nil"/>
            </w:tcBorders>
            <w:vAlign w:val="center"/>
          </w:tcPr>
          <w:p w14:paraId="6CDD0488">
            <w:pPr>
              <w:widowControl/>
              <w:spacing w:line="240" w:lineRule="auto"/>
              <w:ind w:firstLine="0" w:firstLineChars="0"/>
              <w:jc w:val="center"/>
              <w:rPr>
                <w:color w:val="auto"/>
                <w:sz w:val="21"/>
                <w:szCs w:val="21"/>
              </w:rPr>
            </w:pPr>
          </w:p>
        </w:tc>
        <w:tc>
          <w:tcPr>
            <w:tcW w:w="3255" w:type="pct"/>
            <w:tcBorders>
              <w:tl2br w:val="nil"/>
              <w:tr2bl w:val="nil"/>
            </w:tcBorders>
            <w:vAlign w:val="center"/>
          </w:tcPr>
          <w:p w14:paraId="7603B4C9">
            <w:pPr>
              <w:spacing w:line="240" w:lineRule="auto"/>
              <w:ind w:firstLine="0" w:firstLineChars="0"/>
              <w:jc w:val="center"/>
              <w:rPr>
                <w:color w:val="auto"/>
                <w:sz w:val="21"/>
                <w:szCs w:val="21"/>
              </w:rPr>
            </w:pPr>
            <w:r>
              <w:rPr>
                <w:color w:val="auto"/>
                <w:sz w:val="21"/>
                <w:szCs w:val="21"/>
              </w:rPr>
              <w:t>3.严格控制地下水开采。落实《江苏省地下水超采区划分方案》（苏政复〔2013〕59号），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tc>
        <w:tc>
          <w:tcPr>
            <w:tcW w:w="1363" w:type="pct"/>
            <w:tcBorders>
              <w:tl2br w:val="nil"/>
              <w:tr2bl w:val="nil"/>
            </w:tcBorders>
            <w:vAlign w:val="center"/>
          </w:tcPr>
          <w:p w14:paraId="073B8C11">
            <w:pPr>
              <w:spacing w:line="240" w:lineRule="auto"/>
              <w:ind w:firstLine="0" w:firstLineChars="0"/>
              <w:jc w:val="center"/>
              <w:rPr>
                <w:color w:val="auto"/>
                <w:sz w:val="21"/>
                <w:szCs w:val="21"/>
              </w:rPr>
            </w:pPr>
            <w:r>
              <w:rPr>
                <w:rFonts w:hint="eastAsia"/>
                <w:color w:val="auto"/>
                <w:sz w:val="21"/>
                <w:szCs w:val="21"/>
              </w:rPr>
              <w:t>拟建项目用水使用地下水及地表水，已取得地下水、地表水取水许可证，取水量分别为10万m</w:t>
            </w:r>
            <w:r>
              <w:rPr>
                <w:rFonts w:hint="eastAsia"/>
                <w:color w:val="auto"/>
                <w:sz w:val="21"/>
                <w:szCs w:val="21"/>
                <w:vertAlign w:val="superscript"/>
              </w:rPr>
              <w:t>3</w:t>
            </w:r>
            <w:r>
              <w:rPr>
                <w:rFonts w:hint="eastAsia"/>
                <w:color w:val="auto"/>
                <w:sz w:val="21"/>
                <w:szCs w:val="21"/>
              </w:rPr>
              <w:t>/a、30万m</w:t>
            </w:r>
            <w:r>
              <w:rPr>
                <w:rFonts w:hint="eastAsia"/>
                <w:color w:val="auto"/>
                <w:sz w:val="21"/>
                <w:szCs w:val="21"/>
                <w:vertAlign w:val="superscript"/>
              </w:rPr>
              <w:t>3</w:t>
            </w:r>
            <w:r>
              <w:rPr>
                <w:rFonts w:hint="eastAsia"/>
                <w:color w:val="auto"/>
                <w:sz w:val="21"/>
                <w:szCs w:val="21"/>
              </w:rPr>
              <w:t>/a，项目建成后全厂地下水、地表水用水量分别为71085.779m</w:t>
            </w:r>
            <w:r>
              <w:rPr>
                <w:rFonts w:hint="eastAsia"/>
                <w:color w:val="auto"/>
                <w:sz w:val="21"/>
                <w:szCs w:val="21"/>
                <w:vertAlign w:val="superscript"/>
              </w:rPr>
              <w:t>3</w:t>
            </w:r>
            <w:r>
              <w:rPr>
                <w:rFonts w:hint="eastAsia"/>
                <w:color w:val="auto"/>
                <w:sz w:val="21"/>
                <w:szCs w:val="21"/>
              </w:rPr>
              <w:t>/a、156010.939 m</w:t>
            </w:r>
            <w:r>
              <w:rPr>
                <w:rFonts w:hint="eastAsia"/>
                <w:color w:val="auto"/>
                <w:sz w:val="21"/>
                <w:szCs w:val="21"/>
                <w:vertAlign w:val="superscript"/>
              </w:rPr>
              <w:t>3</w:t>
            </w:r>
            <w:r>
              <w:rPr>
                <w:rFonts w:hint="eastAsia"/>
                <w:color w:val="auto"/>
                <w:sz w:val="21"/>
                <w:szCs w:val="21"/>
              </w:rPr>
              <w:t>/a，未超过许可取水规模。</w:t>
            </w:r>
          </w:p>
        </w:tc>
      </w:tr>
    </w:tbl>
    <w:p w14:paraId="06EFCCFC">
      <w:pPr>
        <w:spacing w:line="500" w:lineRule="atLeast"/>
        <w:ind w:firstLine="482"/>
        <w:rPr>
          <w:b/>
          <w:color w:val="auto"/>
          <w:kern w:val="24"/>
          <w:szCs w:val="22"/>
        </w:rPr>
      </w:pPr>
    </w:p>
    <w:p w14:paraId="43A86268">
      <w:pPr>
        <w:spacing w:line="500" w:lineRule="atLeast"/>
        <w:ind w:firstLine="482"/>
        <w:rPr>
          <w:b/>
          <w:color w:val="auto"/>
          <w:kern w:val="24"/>
          <w:szCs w:val="22"/>
        </w:rPr>
      </w:pPr>
      <w:r>
        <w:rPr>
          <w:rFonts w:hint="eastAsia"/>
          <w:b/>
          <w:color w:val="auto"/>
          <w:kern w:val="24"/>
          <w:szCs w:val="22"/>
        </w:rPr>
        <w:t>（3）《市政府办公室关于印发启东市“三线一单”生态环境分区管控实施方案的通知》（启政办规[2022]2号）</w:t>
      </w:r>
    </w:p>
    <w:p w14:paraId="3ECACEE1">
      <w:pPr>
        <w:spacing w:line="500" w:lineRule="atLeast"/>
        <w:ind w:firstLine="480"/>
        <w:rPr>
          <w:color w:val="auto"/>
          <w:kern w:val="0"/>
          <w:szCs w:val="22"/>
        </w:rPr>
      </w:pPr>
      <w:r>
        <w:rPr>
          <w:color w:val="auto"/>
          <w:kern w:val="0"/>
          <w:szCs w:val="22"/>
        </w:rPr>
        <w:t>对照《市政府办公室关于印发启东市“三线一单”生态环境分区防控实施方案的通知》（启政办规[2022]2号）见下表。</w:t>
      </w:r>
    </w:p>
    <w:p w14:paraId="66C5F4FA">
      <w:pPr>
        <w:pStyle w:val="49"/>
        <w:rPr>
          <w:color w:val="auto"/>
        </w:rPr>
      </w:pPr>
      <w:r>
        <w:rPr>
          <w:color w:val="auto"/>
        </w:rPr>
        <w:t>表1.4</w:t>
      </w:r>
      <w:r>
        <w:rPr>
          <w:rFonts w:hint="eastAsia"/>
          <w:color w:val="auto"/>
        </w:rPr>
        <w:t xml:space="preserve">-5  </w:t>
      </w:r>
      <w:r>
        <w:rPr>
          <w:color w:val="auto"/>
        </w:rPr>
        <w:t>与</w:t>
      </w:r>
      <w:r>
        <w:rPr>
          <w:rFonts w:hint="eastAsia"/>
          <w:color w:val="auto"/>
        </w:rPr>
        <w:t>启东市“三线一单”生态环境分区管控实施方案</w:t>
      </w:r>
      <w:r>
        <w:rPr>
          <w:color w:val="auto"/>
        </w:rPr>
        <w:t>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65"/>
        <w:gridCol w:w="5972"/>
        <w:gridCol w:w="3017"/>
      </w:tblGrid>
      <w:tr w14:paraId="3CE2FC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tcBorders>
              <w:tl2br w:val="nil"/>
              <w:tr2bl w:val="nil"/>
            </w:tcBorders>
            <w:vAlign w:val="center"/>
          </w:tcPr>
          <w:p w14:paraId="5353FB1A">
            <w:pPr>
              <w:spacing w:line="240" w:lineRule="auto"/>
              <w:ind w:firstLine="0" w:firstLineChars="0"/>
              <w:jc w:val="center"/>
              <w:rPr>
                <w:b/>
                <w:color w:val="auto"/>
                <w:sz w:val="21"/>
                <w:szCs w:val="21"/>
              </w:rPr>
            </w:pPr>
            <w:r>
              <w:rPr>
                <w:b/>
                <w:color w:val="auto"/>
                <w:sz w:val="21"/>
                <w:szCs w:val="21"/>
              </w:rPr>
              <w:t>管控类别</w:t>
            </w:r>
          </w:p>
        </w:tc>
        <w:tc>
          <w:tcPr>
            <w:tcW w:w="3029" w:type="pct"/>
            <w:tcBorders>
              <w:tl2br w:val="nil"/>
              <w:tr2bl w:val="nil"/>
            </w:tcBorders>
            <w:vAlign w:val="center"/>
          </w:tcPr>
          <w:p w14:paraId="57D4FDF1">
            <w:pPr>
              <w:spacing w:line="240" w:lineRule="auto"/>
              <w:ind w:firstLine="0" w:firstLineChars="0"/>
              <w:jc w:val="center"/>
              <w:rPr>
                <w:b/>
                <w:color w:val="auto"/>
                <w:sz w:val="21"/>
                <w:szCs w:val="21"/>
              </w:rPr>
            </w:pPr>
            <w:r>
              <w:rPr>
                <w:b/>
                <w:color w:val="auto"/>
                <w:sz w:val="21"/>
                <w:szCs w:val="21"/>
              </w:rPr>
              <w:t>重点管控要求</w:t>
            </w:r>
          </w:p>
        </w:tc>
        <w:tc>
          <w:tcPr>
            <w:tcW w:w="1530" w:type="pct"/>
            <w:tcBorders>
              <w:tl2br w:val="nil"/>
              <w:tr2bl w:val="nil"/>
            </w:tcBorders>
            <w:vAlign w:val="center"/>
          </w:tcPr>
          <w:p w14:paraId="211EFD2A">
            <w:pPr>
              <w:tabs>
                <w:tab w:val="center" w:pos="4779"/>
                <w:tab w:val="left" w:pos="7680"/>
              </w:tabs>
              <w:spacing w:line="240" w:lineRule="auto"/>
              <w:ind w:firstLine="0" w:firstLineChars="0"/>
              <w:jc w:val="center"/>
              <w:rPr>
                <w:b/>
                <w:color w:val="auto"/>
                <w:sz w:val="21"/>
                <w:szCs w:val="21"/>
              </w:rPr>
            </w:pPr>
            <w:r>
              <w:rPr>
                <w:b/>
                <w:color w:val="auto"/>
                <w:sz w:val="21"/>
                <w:szCs w:val="21"/>
              </w:rPr>
              <w:t>拟建项目相符性分析</w:t>
            </w:r>
          </w:p>
        </w:tc>
      </w:tr>
      <w:tr w14:paraId="35177D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restart"/>
            <w:tcBorders>
              <w:tl2br w:val="nil"/>
              <w:tr2bl w:val="nil"/>
            </w:tcBorders>
            <w:vAlign w:val="center"/>
          </w:tcPr>
          <w:p w14:paraId="6AF76567">
            <w:pPr>
              <w:spacing w:line="240" w:lineRule="auto"/>
              <w:ind w:firstLine="0" w:firstLineChars="0"/>
              <w:jc w:val="center"/>
              <w:rPr>
                <w:snapToGrid w:val="0"/>
                <w:color w:val="auto"/>
                <w:kern w:val="0"/>
                <w:sz w:val="21"/>
                <w:szCs w:val="21"/>
              </w:rPr>
            </w:pPr>
            <w:r>
              <w:rPr>
                <w:color w:val="auto"/>
                <w:sz w:val="21"/>
                <w:szCs w:val="21"/>
              </w:rPr>
              <w:t>空间布局约束</w:t>
            </w:r>
          </w:p>
        </w:tc>
        <w:tc>
          <w:tcPr>
            <w:tcW w:w="3029" w:type="pct"/>
            <w:tcBorders>
              <w:tl2br w:val="nil"/>
              <w:tr2bl w:val="nil"/>
            </w:tcBorders>
            <w:vAlign w:val="center"/>
          </w:tcPr>
          <w:p w14:paraId="2FFA0B6B">
            <w:pPr>
              <w:spacing w:line="240" w:lineRule="auto"/>
              <w:ind w:firstLine="0" w:firstLineChars="0"/>
              <w:jc w:val="center"/>
              <w:rPr>
                <w:color w:val="auto"/>
                <w:sz w:val="21"/>
                <w:szCs w:val="21"/>
              </w:rPr>
            </w:pPr>
            <w:r>
              <w:rPr>
                <w:color w:val="auto"/>
                <w:sz w:val="21"/>
                <w:szCs w:val="21"/>
              </w:rPr>
              <w:t>1</w:t>
            </w:r>
            <w:r>
              <w:rPr>
                <w:rFonts w:hint="eastAsia"/>
                <w:color w:val="auto"/>
                <w:sz w:val="21"/>
                <w:szCs w:val="21"/>
              </w:rPr>
              <w:t>、严格执行《江苏省“三线一单”生态环境分区管控方案》（苏政发〔2020〕49号）附件3江苏省省域生态环境管控要求中“空间布局约束”的相关要求。严格执行《南通市“三线一单”生态环境分区管控实施方案》（通政办规〔2021〕4号）附件3南通市域生态环境总体准入管控要求中“空间布局约束”的相关要求。</w:t>
            </w:r>
          </w:p>
        </w:tc>
        <w:tc>
          <w:tcPr>
            <w:tcW w:w="1530" w:type="pct"/>
            <w:tcBorders>
              <w:tl2br w:val="nil"/>
              <w:tr2bl w:val="nil"/>
            </w:tcBorders>
            <w:vAlign w:val="center"/>
          </w:tcPr>
          <w:p w14:paraId="2694CA09">
            <w:pPr>
              <w:spacing w:line="240" w:lineRule="auto"/>
              <w:ind w:firstLine="0" w:firstLineChars="0"/>
              <w:jc w:val="center"/>
              <w:rPr>
                <w:snapToGrid w:val="0"/>
                <w:color w:val="auto"/>
                <w:kern w:val="0"/>
                <w:sz w:val="21"/>
                <w:szCs w:val="21"/>
              </w:rPr>
            </w:pPr>
            <w:r>
              <w:rPr>
                <w:rFonts w:hint="eastAsia"/>
                <w:color w:val="auto"/>
                <w:sz w:val="21"/>
                <w:szCs w:val="21"/>
              </w:rPr>
              <w:t>拟建项目符合江苏省、南通市“三线一单”准入要求。</w:t>
            </w:r>
          </w:p>
        </w:tc>
      </w:tr>
      <w:tr w14:paraId="2C6BFC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vAlign w:val="center"/>
          </w:tcPr>
          <w:p w14:paraId="613C6D52">
            <w:pPr>
              <w:tabs>
                <w:tab w:val="center" w:pos="4779"/>
                <w:tab w:val="left" w:pos="7680"/>
              </w:tabs>
              <w:spacing w:line="240" w:lineRule="auto"/>
              <w:ind w:firstLine="0" w:firstLineChars="0"/>
              <w:jc w:val="center"/>
              <w:rPr>
                <w:snapToGrid w:val="0"/>
                <w:color w:val="auto"/>
                <w:kern w:val="0"/>
                <w:sz w:val="21"/>
                <w:szCs w:val="21"/>
              </w:rPr>
            </w:pPr>
          </w:p>
        </w:tc>
        <w:tc>
          <w:tcPr>
            <w:tcW w:w="3029" w:type="pct"/>
            <w:tcBorders>
              <w:tl2br w:val="nil"/>
              <w:tr2bl w:val="nil"/>
            </w:tcBorders>
            <w:vAlign w:val="center"/>
          </w:tcPr>
          <w:p w14:paraId="663AD414">
            <w:pPr>
              <w:spacing w:line="240" w:lineRule="auto"/>
              <w:ind w:firstLine="0" w:firstLineChars="0"/>
              <w:jc w:val="center"/>
              <w:rPr>
                <w:color w:val="auto"/>
                <w:sz w:val="21"/>
                <w:szCs w:val="21"/>
              </w:rPr>
            </w:pPr>
            <w:r>
              <w:rPr>
                <w:color w:val="auto"/>
                <w:sz w:val="21"/>
                <w:szCs w:val="21"/>
              </w:rPr>
              <w:t>2、</w:t>
            </w:r>
            <w:r>
              <w:rPr>
                <w:rFonts w:hint="eastAsia"/>
                <w:color w:val="auto"/>
                <w:sz w:val="21"/>
                <w:szCs w:val="21"/>
              </w:rPr>
              <w:t>严格执行《〈长江经济带发展负面清单指南〉）江苏省实施细则（试行）》；禁止引进列入《南通市工业结构调整指导目录》淘汰类的产业、列入《南通市工业产业技术改造负面清单》严格禁止的技术改造工艺装备及产品。</w:t>
            </w:r>
          </w:p>
        </w:tc>
        <w:tc>
          <w:tcPr>
            <w:tcW w:w="1530" w:type="pct"/>
            <w:tcBorders>
              <w:tl2br w:val="nil"/>
              <w:tr2bl w:val="nil"/>
            </w:tcBorders>
            <w:vAlign w:val="center"/>
          </w:tcPr>
          <w:p w14:paraId="79E6F5AE">
            <w:pPr>
              <w:spacing w:line="240" w:lineRule="auto"/>
              <w:ind w:firstLine="0" w:firstLineChars="0"/>
              <w:jc w:val="center"/>
              <w:rPr>
                <w:snapToGrid w:val="0"/>
                <w:color w:val="auto"/>
                <w:kern w:val="0"/>
                <w:sz w:val="21"/>
                <w:szCs w:val="21"/>
              </w:rPr>
            </w:pPr>
            <w:r>
              <w:rPr>
                <w:rFonts w:hint="eastAsia"/>
                <w:color w:val="auto"/>
                <w:sz w:val="21"/>
                <w:szCs w:val="21"/>
              </w:rPr>
              <w:t>拟建项目不属于长江经济带发展负面清单项目，与南通市产业政策相符</w:t>
            </w:r>
            <w:r>
              <w:rPr>
                <w:color w:val="auto"/>
                <w:sz w:val="21"/>
                <w:szCs w:val="21"/>
              </w:rPr>
              <w:t>。</w:t>
            </w:r>
          </w:p>
        </w:tc>
      </w:tr>
      <w:tr w14:paraId="2F6ED4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vAlign w:val="center"/>
          </w:tcPr>
          <w:p w14:paraId="45B1C25C">
            <w:pPr>
              <w:tabs>
                <w:tab w:val="center" w:pos="4779"/>
                <w:tab w:val="left" w:pos="7680"/>
              </w:tabs>
              <w:spacing w:line="240" w:lineRule="auto"/>
              <w:ind w:firstLine="0" w:firstLineChars="0"/>
              <w:jc w:val="center"/>
              <w:rPr>
                <w:snapToGrid w:val="0"/>
                <w:color w:val="auto"/>
                <w:kern w:val="0"/>
                <w:sz w:val="21"/>
                <w:szCs w:val="21"/>
              </w:rPr>
            </w:pPr>
          </w:p>
        </w:tc>
        <w:tc>
          <w:tcPr>
            <w:tcW w:w="3029" w:type="pct"/>
            <w:tcBorders>
              <w:tl2br w:val="nil"/>
              <w:tr2bl w:val="nil"/>
            </w:tcBorders>
            <w:vAlign w:val="center"/>
          </w:tcPr>
          <w:p w14:paraId="4F7A2760">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严格执行《关于加强高耗能、高排放建设项目生态环境源头防控的指导意见》（环环评〔2021〕45号），深化“两高”项目环境准入及管控要求，承接钢铁、电解铝等产业转移地区应严格落实生态环境分区管控要求，将环境质量底线作为硬约束。严把建设项目环境准入关，对于不符合相关法律法规的项目，依法不予审批。</w:t>
            </w:r>
          </w:p>
        </w:tc>
        <w:tc>
          <w:tcPr>
            <w:tcW w:w="1530" w:type="pct"/>
            <w:tcBorders>
              <w:tl2br w:val="nil"/>
              <w:tr2bl w:val="nil"/>
            </w:tcBorders>
            <w:vAlign w:val="center"/>
          </w:tcPr>
          <w:p w14:paraId="4A92C2FB">
            <w:pPr>
              <w:spacing w:line="240" w:lineRule="auto"/>
              <w:ind w:firstLine="0" w:firstLineChars="0"/>
              <w:jc w:val="center"/>
              <w:rPr>
                <w:color w:val="auto"/>
                <w:sz w:val="21"/>
                <w:szCs w:val="21"/>
              </w:rPr>
            </w:pPr>
            <w:r>
              <w:rPr>
                <w:color w:val="auto"/>
                <w:sz w:val="21"/>
                <w:szCs w:val="21"/>
              </w:rPr>
              <w:t>拟建项目</w:t>
            </w:r>
            <w:r>
              <w:rPr>
                <w:rFonts w:hint="eastAsia"/>
                <w:color w:val="auto"/>
                <w:sz w:val="21"/>
                <w:szCs w:val="21"/>
              </w:rPr>
              <w:t>为化工技改项目能耗较低，不属于高耗能高排放两高项目；项目符合生态环境保</w:t>
            </w:r>
          </w:p>
          <w:p w14:paraId="1C45738E">
            <w:pPr>
              <w:spacing w:line="240" w:lineRule="auto"/>
              <w:ind w:firstLine="0" w:firstLineChars="0"/>
              <w:jc w:val="center"/>
              <w:rPr>
                <w:color w:val="auto"/>
                <w:sz w:val="21"/>
                <w:szCs w:val="21"/>
              </w:rPr>
            </w:pPr>
            <w:r>
              <w:rPr>
                <w:rFonts w:hint="eastAsia"/>
                <w:color w:val="auto"/>
                <w:sz w:val="21"/>
                <w:szCs w:val="21"/>
              </w:rPr>
              <w:t>护法律法规和相关法定规划、生态环境准入清单、环评文件审批原则等相关要求。</w:t>
            </w:r>
          </w:p>
        </w:tc>
      </w:tr>
      <w:tr w14:paraId="506193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restart"/>
            <w:tcBorders>
              <w:tl2br w:val="nil"/>
              <w:tr2bl w:val="nil"/>
            </w:tcBorders>
            <w:vAlign w:val="center"/>
          </w:tcPr>
          <w:p w14:paraId="7FC07184">
            <w:pPr>
              <w:spacing w:line="240" w:lineRule="auto"/>
              <w:ind w:firstLine="0" w:firstLineChars="0"/>
              <w:jc w:val="center"/>
              <w:rPr>
                <w:snapToGrid w:val="0"/>
                <w:color w:val="auto"/>
                <w:kern w:val="0"/>
                <w:sz w:val="21"/>
                <w:szCs w:val="21"/>
              </w:rPr>
            </w:pPr>
            <w:r>
              <w:rPr>
                <w:color w:val="auto"/>
                <w:sz w:val="21"/>
                <w:szCs w:val="21"/>
              </w:rPr>
              <w:t>污染物排放管控</w:t>
            </w:r>
          </w:p>
        </w:tc>
        <w:tc>
          <w:tcPr>
            <w:tcW w:w="3029" w:type="pct"/>
            <w:tcBorders>
              <w:tl2br w:val="nil"/>
              <w:tr2bl w:val="nil"/>
            </w:tcBorders>
            <w:vAlign w:val="center"/>
          </w:tcPr>
          <w:p w14:paraId="14CFE245">
            <w:pPr>
              <w:spacing w:line="240" w:lineRule="auto"/>
              <w:ind w:firstLine="0" w:firstLineChars="0"/>
              <w:jc w:val="center"/>
              <w:rPr>
                <w:color w:val="auto"/>
                <w:sz w:val="21"/>
                <w:szCs w:val="21"/>
              </w:rPr>
            </w:pPr>
            <w:r>
              <w:rPr>
                <w:rFonts w:hint="eastAsia"/>
                <w:color w:val="auto"/>
                <w:sz w:val="21"/>
                <w:szCs w:val="21"/>
              </w:rPr>
              <w:t>1、严格落实污染物排放总量控制制度，把主要污染物排放总量指标作为建设项目环境影响评价审批的前置条件。排放主要污染物的建设项目，在环境影响评价文件审批前，须取得主要污染物排放总量指标。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30" w:type="pct"/>
            <w:tcBorders>
              <w:tl2br w:val="nil"/>
              <w:tr2bl w:val="nil"/>
            </w:tcBorders>
            <w:vAlign w:val="center"/>
          </w:tcPr>
          <w:p w14:paraId="06283ABA">
            <w:pPr>
              <w:spacing w:line="240" w:lineRule="auto"/>
              <w:ind w:firstLine="0" w:firstLineChars="0"/>
              <w:jc w:val="center"/>
              <w:rPr>
                <w:color w:val="auto"/>
                <w:sz w:val="21"/>
                <w:szCs w:val="21"/>
              </w:rPr>
            </w:pPr>
            <w:r>
              <w:rPr>
                <w:rFonts w:hint="eastAsia"/>
                <w:color w:val="auto"/>
                <w:sz w:val="21"/>
                <w:szCs w:val="21"/>
              </w:rPr>
              <w:t>拟建项目废气、废水污染物均可在现有排放总量内平衡，不新增总量。</w:t>
            </w:r>
          </w:p>
        </w:tc>
      </w:tr>
      <w:tr w14:paraId="631339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vAlign w:val="center"/>
          </w:tcPr>
          <w:p w14:paraId="4A734CA6">
            <w:pPr>
              <w:tabs>
                <w:tab w:val="center" w:pos="4779"/>
                <w:tab w:val="left" w:pos="7680"/>
              </w:tabs>
              <w:spacing w:line="240" w:lineRule="auto"/>
              <w:ind w:firstLine="0" w:firstLineChars="0"/>
              <w:jc w:val="center"/>
              <w:rPr>
                <w:snapToGrid w:val="0"/>
                <w:color w:val="auto"/>
                <w:kern w:val="0"/>
                <w:sz w:val="21"/>
                <w:szCs w:val="21"/>
              </w:rPr>
            </w:pPr>
          </w:p>
        </w:tc>
        <w:tc>
          <w:tcPr>
            <w:tcW w:w="3029" w:type="pct"/>
            <w:tcBorders>
              <w:tl2br w:val="nil"/>
              <w:tr2bl w:val="nil"/>
            </w:tcBorders>
            <w:vAlign w:val="center"/>
          </w:tcPr>
          <w:p w14:paraId="44504655">
            <w:pPr>
              <w:spacing w:line="240" w:lineRule="auto"/>
              <w:ind w:firstLine="0" w:firstLineChars="0"/>
              <w:jc w:val="center"/>
              <w:rPr>
                <w:color w:val="auto"/>
                <w:sz w:val="21"/>
                <w:szCs w:val="21"/>
              </w:rPr>
            </w:pPr>
            <w:r>
              <w:rPr>
                <w:rFonts w:hint="eastAsia"/>
                <w:color w:val="auto"/>
                <w:sz w:val="21"/>
                <w:szCs w:val="21"/>
              </w:rPr>
              <w:t>2、根据《启东市“十四五”生态环境保护规划研究报告》大气环境质量稳步提升，空气质量优良天数比例保持在91.2%以上，PM2.5年均浓度达到25微克/立方米以下，单位GDP二氧化碳排放下降率完成省、市下达任务。</w:t>
            </w:r>
          </w:p>
        </w:tc>
        <w:tc>
          <w:tcPr>
            <w:tcW w:w="1530" w:type="pct"/>
            <w:tcBorders>
              <w:tl2br w:val="nil"/>
              <w:tr2bl w:val="nil"/>
            </w:tcBorders>
            <w:vAlign w:val="center"/>
          </w:tcPr>
          <w:p w14:paraId="56A71666">
            <w:pPr>
              <w:spacing w:line="240" w:lineRule="auto"/>
              <w:ind w:firstLine="0" w:firstLineChars="0"/>
              <w:jc w:val="center"/>
              <w:rPr>
                <w:color w:val="auto"/>
                <w:sz w:val="21"/>
                <w:szCs w:val="21"/>
              </w:rPr>
            </w:pPr>
            <w:r>
              <w:rPr>
                <w:rFonts w:hint="eastAsia"/>
                <w:color w:val="auto"/>
                <w:sz w:val="21"/>
                <w:szCs w:val="21"/>
              </w:rPr>
              <w:t>/</w:t>
            </w:r>
          </w:p>
        </w:tc>
      </w:tr>
      <w:tr w14:paraId="68C821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vAlign w:val="center"/>
          </w:tcPr>
          <w:p w14:paraId="73A4B789">
            <w:pPr>
              <w:tabs>
                <w:tab w:val="center" w:pos="4779"/>
                <w:tab w:val="left" w:pos="7680"/>
              </w:tabs>
              <w:spacing w:line="240" w:lineRule="auto"/>
              <w:ind w:firstLine="0" w:firstLineChars="0"/>
              <w:jc w:val="center"/>
              <w:rPr>
                <w:snapToGrid w:val="0"/>
                <w:color w:val="auto"/>
                <w:kern w:val="0"/>
                <w:sz w:val="21"/>
                <w:szCs w:val="21"/>
              </w:rPr>
            </w:pPr>
          </w:p>
        </w:tc>
        <w:tc>
          <w:tcPr>
            <w:tcW w:w="3029" w:type="pct"/>
            <w:tcBorders>
              <w:tl2br w:val="nil"/>
              <w:tr2bl w:val="nil"/>
            </w:tcBorders>
            <w:vAlign w:val="center"/>
          </w:tcPr>
          <w:p w14:paraId="1122030D">
            <w:pPr>
              <w:spacing w:line="240" w:lineRule="auto"/>
              <w:ind w:firstLine="0" w:firstLineChars="0"/>
              <w:jc w:val="center"/>
              <w:rPr>
                <w:color w:val="auto"/>
                <w:sz w:val="21"/>
                <w:szCs w:val="21"/>
              </w:rPr>
            </w:pPr>
            <w:r>
              <w:rPr>
                <w:rFonts w:hint="eastAsia"/>
                <w:color w:val="auto"/>
                <w:sz w:val="21"/>
                <w:szCs w:val="21"/>
              </w:rPr>
              <w:t>3、根据《启东市“十四五”生态环境保护规划研究报告》，到2025年，地表水省考以上断面水质达到或优于Ⅲ类比例达到100%，集中式饮用水水源地达到或优于Ⅲ类比例保持100%。2025年水污染排放量削减比例完成省市下达指标，全面消除入江支流、入海河流市考以上断面劣于Ⅴ类水体。重要生态保护区、水源涵养区江河湖泊水生态系统得到全面保护。海洋生态环境稳中向好，近岸海域水质优良面积比例完成国家和省下达指标。</w:t>
            </w:r>
          </w:p>
        </w:tc>
        <w:tc>
          <w:tcPr>
            <w:tcW w:w="1530" w:type="pct"/>
            <w:tcBorders>
              <w:tl2br w:val="nil"/>
              <w:tr2bl w:val="nil"/>
            </w:tcBorders>
            <w:vAlign w:val="center"/>
          </w:tcPr>
          <w:p w14:paraId="60DBBBFF">
            <w:pPr>
              <w:spacing w:line="240" w:lineRule="auto"/>
              <w:ind w:firstLine="0" w:firstLineChars="0"/>
              <w:jc w:val="center"/>
              <w:rPr>
                <w:color w:val="auto"/>
                <w:sz w:val="21"/>
                <w:szCs w:val="21"/>
              </w:rPr>
            </w:pPr>
            <w:r>
              <w:rPr>
                <w:rFonts w:hint="eastAsia"/>
                <w:color w:val="auto"/>
                <w:sz w:val="21"/>
                <w:szCs w:val="21"/>
              </w:rPr>
              <w:t>/</w:t>
            </w:r>
          </w:p>
        </w:tc>
      </w:tr>
      <w:tr w14:paraId="7931C8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restart"/>
            <w:tcBorders>
              <w:tl2br w:val="nil"/>
              <w:tr2bl w:val="nil"/>
            </w:tcBorders>
            <w:vAlign w:val="center"/>
          </w:tcPr>
          <w:p w14:paraId="06BA0DDD">
            <w:pPr>
              <w:spacing w:line="240" w:lineRule="auto"/>
              <w:ind w:firstLine="0" w:firstLineChars="0"/>
              <w:jc w:val="center"/>
              <w:rPr>
                <w:snapToGrid w:val="0"/>
                <w:color w:val="auto"/>
                <w:kern w:val="0"/>
                <w:sz w:val="21"/>
                <w:szCs w:val="21"/>
              </w:rPr>
            </w:pPr>
            <w:r>
              <w:rPr>
                <w:color w:val="auto"/>
                <w:sz w:val="21"/>
                <w:szCs w:val="21"/>
              </w:rPr>
              <w:t>环境风险防控</w:t>
            </w:r>
          </w:p>
        </w:tc>
        <w:tc>
          <w:tcPr>
            <w:tcW w:w="3029" w:type="pct"/>
            <w:tcBorders>
              <w:tl2br w:val="nil"/>
              <w:tr2bl w:val="nil"/>
            </w:tcBorders>
            <w:vAlign w:val="center"/>
          </w:tcPr>
          <w:p w14:paraId="2AB28704">
            <w:pPr>
              <w:spacing w:line="240" w:lineRule="auto"/>
              <w:ind w:firstLine="0" w:firstLineChars="0"/>
              <w:jc w:val="center"/>
              <w:rPr>
                <w:color w:val="auto"/>
                <w:sz w:val="21"/>
                <w:szCs w:val="21"/>
              </w:rPr>
            </w:pPr>
            <w:r>
              <w:rPr>
                <w:rFonts w:hint="eastAsia"/>
                <w:color w:val="auto"/>
                <w:sz w:val="21"/>
                <w:szCs w:val="21"/>
              </w:rPr>
              <w:t>1、严格落实《南通市突发环境事件应急预案（2020年修订版）》（通政办发〔2020〕46号）文件要求。</w:t>
            </w:r>
          </w:p>
        </w:tc>
        <w:tc>
          <w:tcPr>
            <w:tcW w:w="1530" w:type="pct"/>
            <w:tcBorders>
              <w:tl2br w:val="nil"/>
              <w:tr2bl w:val="nil"/>
            </w:tcBorders>
            <w:vAlign w:val="center"/>
          </w:tcPr>
          <w:p w14:paraId="1DF272FB">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企业已按照《南通市突发环境事件应急预案（2020年修订版）》（通政办发〔2020〕46号）文件要求编制突发环境事件应急预案并备案。</w:t>
            </w:r>
          </w:p>
        </w:tc>
      </w:tr>
      <w:tr w14:paraId="35CF51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vAlign w:val="center"/>
          </w:tcPr>
          <w:p w14:paraId="05E39F46">
            <w:pPr>
              <w:tabs>
                <w:tab w:val="center" w:pos="4779"/>
                <w:tab w:val="left" w:pos="7680"/>
              </w:tabs>
              <w:spacing w:line="240" w:lineRule="auto"/>
              <w:ind w:firstLine="0" w:firstLineChars="0"/>
              <w:jc w:val="center"/>
              <w:rPr>
                <w:snapToGrid w:val="0"/>
                <w:color w:val="auto"/>
                <w:kern w:val="0"/>
                <w:sz w:val="21"/>
                <w:szCs w:val="21"/>
              </w:rPr>
            </w:pPr>
          </w:p>
        </w:tc>
        <w:tc>
          <w:tcPr>
            <w:tcW w:w="3029" w:type="pct"/>
            <w:tcBorders>
              <w:tl2br w:val="nil"/>
              <w:tr2bl w:val="nil"/>
            </w:tcBorders>
            <w:vAlign w:val="center"/>
          </w:tcPr>
          <w:p w14:paraId="0861FC9A">
            <w:pPr>
              <w:spacing w:line="240" w:lineRule="auto"/>
              <w:ind w:firstLine="0" w:firstLineChars="0"/>
              <w:jc w:val="center"/>
              <w:rPr>
                <w:color w:val="auto"/>
                <w:sz w:val="21"/>
                <w:szCs w:val="21"/>
              </w:rPr>
            </w:pPr>
            <w:r>
              <w:rPr>
                <w:rFonts w:hint="eastAsia"/>
                <w:color w:val="auto"/>
                <w:sz w:val="21"/>
                <w:szCs w:val="21"/>
              </w:rPr>
              <w:t>2、根据《启东市“十四五”生态环境保护规划研究报告》土壤环境质量总体保持稳定，农用地和建设用地环境安全得到进一步保障，土壤环境风险得到有效管控，全市受污染耕地安全利用率达到93%以上，重点建设用地安全利用率达到100%，固体废物与化学物质环境风险防控能力明显增强，核安全监管持续加强，生态环境风险防控体系更加完备。</w:t>
            </w:r>
          </w:p>
        </w:tc>
        <w:tc>
          <w:tcPr>
            <w:tcW w:w="1530" w:type="pct"/>
            <w:tcBorders>
              <w:tl2br w:val="nil"/>
              <w:tr2bl w:val="nil"/>
            </w:tcBorders>
            <w:vAlign w:val="center"/>
          </w:tcPr>
          <w:p w14:paraId="32244DF4">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企业已安排落实厂区分区防渗措施，使得土壤环境风险得到有效管控。</w:t>
            </w:r>
          </w:p>
        </w:tc>
      </w:tr>
      <w:tr w14:paraId="624912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restart"/>
            <w:tcBorders>
              <w:tl2br w:val="nil"/>
              <w:tr2bl w:val="nil"/>
            </w:tcBorders>
            <w:vAlign w:val="center"/>
          </w:tcPr>
          <w:p w14:paraId="3DCD87FA">
            <w:pPr>
              <w:spacing w:line="240" w:lineRule="auto"/>
              <w:ind w:firstLine="0" w:firstLineChars="0"/>
              <w:jc w:val="center"/>
              <w:rPr>
                <w:snapToGrid w:val="0"/>
                <w:color w:val="auto"/>
                <w:kern w:val="0"/>
                <w:sz w:val="21"/>
                <w:szCs w:val="21"/>
              </w:rPr>
            </w:pPr>
            <w:r>
              <w:rPr>
                <w:color w:val="auto"/>
                <w:sz w:val="21"/>
                <w:szCs w:val="21"/>
              </w:rPr>
              <w:t>资源利用效率要求</w:t>
            </w:r>
          </w:p>
        </w:tc>
        <w:tc>
          <w:tcPr>
            <w:tcW w:w="3029" w:type="pct"/>
            <w:tcBorders>
              <w:tl2br w:val="nil"/>
              <w:tr2bl w:val="nil"/>
            </w:tcBorders>
            <w:vAlign w:val="center"/>
          </w:tcPr>
          <w:p w14:paraId="10E65EE2">
            <w:pPr>
              <w:spacing w:line="240" w:lineRule="auto"/>
              <w:ind w:firstLine="0" w:firstLineChars="0"/>
              <w:jc w:val="center"/>
              <w:rPr>
                <w:color w:val="auto"/>
                <w:sz w:val="21"/>
                <w:szCs w:val="21"/>
              </w:rPr>
            </w:pPr>
            <w:r>
              <w:rPr>
                <w:rFonts w:hint="eastAsia"/>
                <w:color w:val="auto"/>
                <w:sz w:val="21"/>
                <w:szCs w:val="21"/>
              </w:rPr>
              <w:t>1、根据《中华人民共和国大气污染防治法》，禁燃区禁止新建、扩建燃用高污染燃料的项目和设施，已建成的应逐步或依法限期改用天然气、电或者其他清洁能源。</w:t>
            </w:r>
          </w:p>
        </w:tc>
        <w:tc>
          <w:tcPr>
            <w:tcW w:w="1530" w:type="pct"/>
            <w:tcBorders>
              <w:tl2br w:val="nil"/>
              <w:tr2bl w:val="nil"/>
            </w:tcBorders>
            <w:vAlign w:val="center"/>
          </w:tcPr>
          <w:p w14:paraId="70D2CE81">
            <w:pPr>
              <w:spacing w:line="240" w:lineRule="auto"/>
              <w:ind w:firstLine="0" w:firstLineChars="0"/>
              <w:jc w:val="center"/>
              <w:rPr>
                <w:color w:val="auto"/>
                <w:sz w:val="21"/>
                <w:szCs w:val="21"/>
              </w:rPr>
            </w:pPr>
            <w:r>
              <w:rPr>
                <w:rFonts w:hint="eastAsia"/>
                <w:color w:val="auto"/>
                <w:sz w:val="21"/>
                <w:szCs w:val="21"/>
              </w:rPr>
              <w:t>拟建项目使用电能，不使用高污染能源和燃料。</w:t>
            </w:r>
          </w:p>
        </w:tc>
      </w:tr>
      <w:tr w14:paraId="741492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vAlign w:val="center"/>
          </w:tcPr>
          <w:p w14:paraId="2865869F">
            <w:pPr>
              <w:tabs>
                <w:tab w:val="center" w:pos="4779"/>
                <w:tab w:val="left" w:pos="7680"/>
              </w:tabs>
              <w:spacing w:line="240" w:lineRule="auto"/>
              <w:ind w:firstLine="0" w:firstLineChars="0"/>
              <w:jc w:val="center"/>
              <w:rPr>
                <w:color w:val="auto"/>
                <w:sz w:val="21"/>
                <w:szCs w:val="21"/>
              </w:rPr>
            </w:pPr>
          </w:p>
        </w:tc>
        <w:tc>
          <w:tcPr>
            <w:tcW w:w="3029" w:type="pct"/>
            <w:tcBorders>
              <w:tl2br w:val="nil"/>
              <w:tr2bl w:val="nil"/>
            </w:tcBorders>
            <w:vAlign w:val="center"/>
          </w:tcPr>
          <w:p w14:paraId="59EA4F89">
            <w:pPr>
              <w:spacing w:line="240" w:lineRule="auto"/>
              <w:ind w:firstLine="0" w:firstLineChars="0"/>
              <w:jc w:val="center"/>
              <w:rPr>
                <w:color w:val="auto"/>
                <w:sz w:val="21"/>
                <w:szCs w:val="21"/>
              </w:rPr>
            </w:pPr>
            <w:r>
              <w:rPr>
                <w:rFonts w:hint="eastAsia"/>
                <w:color w:val="auto"/>
                <w:sz w:val="21"/>
                <w:szCs w:val="21"/>
              </w:rPr>
              <w:t>2、到2025年，能源消费总量、能源消费强度完成省市下达控制指标。到2025年，全市清洁能源电力装机容量力争达到600万千瓦。</w:t>
            </w:r>
          </w:p>
        </w:tc>
        <w:tc>
          <w:tcPr>
            <w:tcW w:w="1530" w:type="pct"/>
            <w:tcBorders>
              <w:tl2br w:val="nil"/>
              <w:tr2bl w:val="nil"/>
            </w:tcBorders>
            <w:vAlign w:val="center"/>
          </w:tcPr>
          <w:p w14:paraId="0CFA2971">
            <w:pPr>
              <w:spacing w:line="240" w:lineRule="auto"/>
              <w:ind w:firstLine="0" w:firstLineChars="0"/>
              <w:jc w:val="center"/>
              <w:rPr>
                <w:color w:val="auto"/>
                <w:sz w:val="21"/>
                <w:szCs w:val="21"/>
              </w:rPr>
            </w:pPr>
            <w:r>
              <w:rPr>
                <w:rFonts w:hint="eastAsia"/>
                <w:color w:val="auto"/>
                <w:sz w:val="21"/>
                <w:szCs w:val="21"/>
              </w:rPr>
              <w:t>/</w:t>
            </w:r>
          </w:p>
        </w:tc>
      </w:tr>
      <w:tr w14:paraId="335EAB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vAlign w:val="center"/>
          </w:tcPr>
          <w:p w14:paraId="5440E4F6">
            <w:pPr>
              <w:tabs>
                <w:tab w:val="center" w:pos="4779"/>
                <w:tab w:val="left" w:pos="7680"/>
              </w:tabs>
              <w:spacing w:line="240" w:lineRule="auto"/>
              <w:ind w:firstLine="0" w:firstLineChars="0"/>
              <w:jc w:val="center"/>
              <w:rPr>
                <w:color w:val="auto"/>
                <w:sz w:val="21"/>
                <w:szCs w:val="21"/>
              </w:rPr>
            </w:pPr>
          </w:p>
        </w:tc>
        <w:tc>
          <w:tcPr>
            <w:tcW w:w="3029" w:type="pct"/>
            <w:tcBorders>
              <w:tl2br w:val="nil"/>
              <w:tr2bl w:val="nil"/>
            </w:tcBorders>
            <w:vAlign w:val="center"/>
          </w:tcPr>
          <w:p w14:paraId="589C9B17">
            <w:pPr>
              <w:spacing w:line="240" w:lineRule="auto"/>
              <w:ind w:firstLine="0" w:firstLineChars="0"/>
              <w:jc w:val="center"/>
              <w:rPr>
                <w:color w:val="auto"/>
                <w:sz w:val="21"/>
                <w:szCs w:val="21"/>
              </w:rPr>
            </w:pPr>
            <w:r>
              <w:rPr>
                <w:rFonts w:hint="eastAsia"/>
                <w:color w:val="auto"/>
                <w:sz w:val="21"/>
                <w:szCs w:val="21"/>
              </w:rPr>
              <w:t>3、根据《启东市“十四五”节水规划》，2025年全市用水总量不得超过3.15亿立方米，农田灌溉水有效利用系数达到0.68。</w:t>
            </w:r>
          </w:p>
        </w:tc>
        <w:tc>
          <w:tcPr>
            <w:tcW w:w="1530" w:type="pct"/>
            <w:tcBorders>
              <w:tl2br w:val="nil"/>
              <w:tr2bl w:val="nil"/>
            </w:tcBorders>
            <w:vAlign w:val="center"/>
          </w:tcPr>
          <w:p w14:paraId="0AF6A683">
            <w:pPr>
              <w:spacing w:line="240" w:lineRule="auto"/>
              <w:ind w:firstLine="0" w:firstLineChars="0"/>
              <w:jc w:val="center"/>
              <w:rPr>
                <w:color w:val="auto"/>
                <w:sz w:val="21"/>
                <w:szCs w:val="21"/>
              </w:rPr>
            </w:pPr>
            <w:r>
              <w:rPr>
                <w:rFonts w:hint="eastAsia"/>
                <w:color w:val="auto"/>
                <w:sz w:val="21"/>
                <w:szCs w:val="21"/>
              </w:rPr>
              <w:t>/</w:t>
            </w:r>
          </w:p>
        </w:tc>
      </w:tr>
      <w:tr w14:paraId="7FEFD1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18" w:hRule="atLeast"/>
          <w:jc w:val="center"/>
        </w:trPr>
        <w:tc>
          <w:tcPr>
            <w:tcW w:w="439" w:type="pct"/>
            <w:vMerge w:val="continue"/>
            <w:tcBorders>
              <w:tl2br w:val="nil"/>
              <w:tr2bl w:val="nil"/>
            </w:tcBorders>
            <w:vAlign w:val="center"/>
          </w:tcPr>
          <w:p w14:paraId="51DEC69F">
            <w:pPr>
              <w:tabs>
                <w:tab w:val="center" w:pos="4779"/>
                <w:tab w:val="left" w:pos="7680"/>
              </w:tabs>
              <w:spacing w:line="240" w:lineRule="auto"/>
              <w:ind w:firstLine="0" w:firstLineChars="0"/>
              <w:jc w:val="center"/>
              <w:rPr>
                <w:color w:val="auto"/>
                <w:sz w:val="21"/>
                <w:szCs w:val="21"/>
              </w:rPr>
            </w:pPr>
          </w:p>
        </w:tc>
        <w:tc>
          <w:tcPr>
            <w:tcW w:w="3029" w:type="pct"/>
            <w:tcBorders>
              <w:tl2br w:val="nil"/>
              <w:tr2bl w:val="nil"/>
            </w:tcBorders>
            <w:vAlign w:val="center"/>
          </w:tcPr>
          <w:p w14:paraId="6A76A231">
            <w:pPr>
              <w:spacing w:line="240" w:lineRule="auto"/>
              <w:ind w:firstLine="0" w:firstLineChars="0"/>
              <w:jc w:val="center"/>
              <w:rPr>
                <w:color w:val="auto"/>
                <w:sz w:val="21"/>
                <w:szCs w:val="21"/>
              </w:rPr>
            </w:pPr>
            <w:r>
              <w:rPr>
                <w:rFonts w:hint="eastAsia"/>
                <w:color w:val="auto"/>
                <w:sz w:val="21"/>
                <w:szCs w:val="21"/>
              </w:rPr>
              <w:t>4、根据《启东市“十四五”生态环境保护规划研究报告》，生物多样性得到有效保护，生态系统服务功能显著增强。到2025年，全市林木覆盖率达到23%以上；到2035年，全市林木覆盖率保持稳定。</w:t>
            </w:r>
          </w:p>
        </w:tc>
        <w:tc>
          <w:tcPr>
            <w:tcW w:w="1530" w:type="pct"/>
            <w:tcBorders>
              <w:tl2br w:val="nil"/>
              <w:tr2bl w:val="nil"/>
            </w:tcBorders>
            <w:vAlign w:val="center"/>
          </w:tcPr>
          <w:p w14:paraId="6439293C">
            <w:pPr>
              <w:spacing w:line="240" w:lineRule="auto"/>
              <w:ind w:firstLine="0" w:firstLineChars="0"/>
              <w:jc w:val="center"/>
              <w:rPr>
                <w:color w:val="auto"/>
                <w:sz w:val="21"/>
                <w:szCs w:val="21"/>
              </w:rPr>
            </w:pPr>
            <w:r>
              <w:rPr>
                <w:rFonts w:hint="eastAsia"/>
                <w:color w:val="auto"/>
                <w:sz w:val="21"/>
                <w:szCs w:val="21"/>
              </w:rPr>
              <w:t>/</w:t>
            </w:r>
          </w:p>
        </w:tc>
      </w:tr>
    </w:tbl>
    <w:p w14:paraId="0001F4C0">
      <w:pPr>
        <w:pStyle w:val="4"/>
        <w:rPr>
          <w:color w:val="auto"/>
        </w:rPr>
      </w:pPr>
      <w:bookmarkStart w:id="22" w:name="_Toc7889"/>
      <w:r>
        <w:rPr>
          <w:rFonts w:hint="eastAsia"/>
          <w:color w:val="auto"/>
        </w:rPr>
        <w:t>1.4.4</w:t>
      </w:r>
      <w:r>
        <w:rPr>
          <w:color w:val="auto"/>
        </w:rPr>
        <w:t>与环保规划的相符性分析</w:t>
      </w:r>
      <w:bookmarkEnd w:id="22"/>
    </w:p>
    <w:p w14:paraId="6096A573">
      <w:pPr>
        <w:pStyle w:val="5"/>
        <w:spacing w:before="156"/>
        <w:rPr>
          <w:color w:val="auto"/>
        </w:rPr>
      </w:pPr>
      <w:r>
        <w:rPr>
          <w:rFonts w:hint="eastAsia"/>
          <w:color w:val="auto"/>
        </w:rPr>
        <w:t>1.4.4.1</w:t>
      </w:r>
      <w:r>
        <w:rPr>
          <w:color w:val="auto"/>
        </w:rPr>
        <w:t>与《江苏省化工行业建设项目环境影响评价文件审批原则（试行）》的相符性分析</w:t>
      </w:r>
    </w:p>
    <w:p w14:paraId="5AC98E91">
      <w:pPr>
        <w:adjustRightInd/>
        <w:snapToGrid/>
        <w:ind w:firstLine="480"/>
        <w:rPr>
          <w:color w:val="auto"/>
          <w:kern w:val="0"/>
          <w:szCs w:val="20"/>
        </w:rPr>
      </w:pPr>
      <w:r>
        <w:rPr>
          <w:color w:val="auto"/>
          <w:kern w:val="0"/>
          <w:szCs w:val="20"/>
        </w:rPr>
        <w:t>2021年1月22日，江苏省生态环境厅印发了化工、印染行业建设项目环境影响评价文件审批原则（苏环办</w:t>
      </w:r>
      <w:r>
        <w:rPr>
          <w:rFonts w:hint="eastAsia"/>
          <w:color w:val="auto"/>
          <w:kern w:val="0"/>
          <w:szCs w:val="20"/>
        </w:rPr>
        <w:t>〔</w:t>
      </w:r>
      <w:r>
        <w:rPr>
          <w:color w:val="auto"/>
          <w:kern w:val="0"/>
          <w:szCs w:val="20"/>
        </w:rPr>
        <w:t>2021</w:t>
      </w:r>
      <w:r>
        <w:rPr>
          <w:rFonts w:hint="eastAsia"/>
          <w:color w:val="auto"/>
          <w:kern w:val="0"/>
          <w:szCs w:val="20"/>
        </w:rPr>
        <w:t>〕</w:t>
      </w:r>
      <w:r>
        <w:rPr>
          <w:color w:val="auto"/>
          <w:kern w:val="0"/>
          <w:szCs w:val="20"/>
        </w:rPr>
        <w:t>20号），对照附件1</w:t>
      </w:r>
      <w:r>
        <w:rPr>
          <w:bCs/>
          <w:color w:val="auto"/>
          <w:kern w:val="0"/>
          <w:szCs w:val="20"/>
        </w:rPr>
        <w:t>《江苏省化工行业建设项目环境影响评价文件审批原则（试行）》，相符性分析如下：</w:t>
      </w:r>
    </w:p>
    <w:p w14:paraId="3ACBE54F">
      <w:pPr>
        <w:pStyle w:val="49"/>
        <w:rPr>
          <w:color w:val="auto"/>
        </w:rPr>
      </w:pPr>
      <w:r>
        <w:rPr>
          <w:color w:val="auto"/>
        </w:rPr>
        <w:t>表1.4-</w:t>
      </w:r>
      <w:r>
        <w:rPr>
          <w:rFonts w:hint="eastAsia"/>
          <w:color w:val="auto"/>
        </w:rPr>
        <w:t xml:space="preserve">9  </w:t>
      </w:r>
      <w:r>
        <w:rPr>
          <w:color w:val="auto"/>
        </w:rPr>
        <w:t>与江苏省化工行业建设项目环境影响评价文件审批原则（试行）相符性分析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47"/>
        <w:gridCol w:w="5712"/>
        <w:gridCol w:w="3295"/>
      </w:tblGrid>
      <w:tr w14:paraId="42117D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Align w:val="center"/>
          </w:tcPr>
          <w:p w14:paraId="069C50C7">
            <w:pPr>
              <w:widowControl/>
              <w:spacing w:line="240" w:lineRule="auto"/>
              <w:ind w:firstLine="0" w:firstLineChars="0"/>
              <w:jc w:val="center"/>
              <w:rPr>
                <w:b/>
                <w:bCs/>
                <w:color w:val="auto"/>
                <w:sz w:val="21"/>
                <w:szCs w:val="21"/>
              </w:rPr>
            </w:pPr>
            <w:r>
              <w:rPr>
                <w:b/>
                <w:bCs/>
                <w:color w:val="auto"/>
                <w:sz w:val="21"/>
                <w:szCs w:val="21"/>
              </w:rPr>
              <w:t>编号</w:t>
            </w:r>
          </w:p>
        </w:tc>
        <w:tc>
          <w:tcPr>
            <w:tcW w:w="2897" w:type="pct"/>
            <w:vAlign w:val="center"/>
          </w:tcPr>
          <w:p w14:paraId="786F54E6">
            <w:pPr>
              <w:widowControl/>
              <w:spacing w:line="240" w:lineRule="auto"/>
              <w:ind w:firstLine="0" w:firstLineChars="0"/>
              <w:jc w:val="center"/>
              <w:rPr>
                <w:b/>
                <w:bCs/>
                <w:color w:val="auto"/>
                <w:sz w:val="21"/>
                <w:szCs w:val="21"/>
              </w:rPr>
            </w:pPr>
            <w:r>
              <w:rPr>
                <w:b/>
                <w:bCs/>
                <w:color w:val="auto"/>
                <w:sz w:val="21"/>
                <w:szCs w:val="21"/>
              </w:rPr>
              <w:t>内容</w:t>
            </w:r>
          </w:p>
        </w:tc>
        <w:tc>
          <w:tcPr>
            <w:tcW w:w="1671" w:type="pct"/>
            <w:vAlign w:val="center"/>
          </w:tcPr>
          <w:p w14:paraId="6986241A">
            <w:pPr>
              <w:widowControl/>
              <w:spacing w:line="240" w:lineRule="auto"/>
              <w:ind w:firstLine="0" w:firstLineChars="0"/>
              <w:jc w:val="center"/>
              <w:rPr>
                <w:b/>
                <w:bCs/>
                <w:color w:val="auto"/>
                <w:sz w:val="21"/>
                <w:szCs w:val="21"/>
              </w:rPr>
            </w:pPr>
            <w:r>
              <w:rPr>
                <w:rFonts w:hint="eastAsia"/>
                <w:b/>
                <w:bCs/>
                <w:color w:val="auto"/>
                <w:sz w:val="21"/>
                <w:szCs w:val="21"/>
              </w:rPr>
              <w:t>拟建项目</w:t>
            </w:r>
            <w:r>
              <w:rPr>
                <w:b/>
                <w:bCs/>
                <w:color w:val="auto"/>
                <w:sz w:val="21"/>
                <w:szCs w:val="21"/>
              </w:rPr>
              <w:t>情况</w:t>
            </w:r>
          </w:p>
        </w:tc>
      </w:tr>
      <w:tr w14:paraId="02E05E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Align w:val="center"/>
          </w:tcPr>
          <w:p w14:paraId="1A90E6CF">
            <w:pPr>
              <w:widowControl/>
              <w:spacing w:line="240" w:lineRule="auto"/>
              <w:ind w:firstLine="0" w:firstLineChars="0"/>
              <w:jc w:val="center"/>
              <w:rPr>
                <w:color w:val="auto"/>
                <w:sz w:val="21"/>
                <w:szCs w:val="21"/>
              </w:rPr>
            </w:pPr>
            <w:r>
              <w:rPr>
                <w:color w:val="auto"/>
                <w:sz w:val="21"/>
                <w:szCs w:val="21"/>
              </w:rPr>
              <w:t>1</w:t>
            </w:r>
          </w:p>
        </w:tc>
        <w:tc>
          <w:tcPr>
            <w:tcW w:w="2897" w:type="pct"/>
            <w:vAlign w:val="center"/>
          </w:tcPr>
          <w:p w14:paraId="4384FFF4">
            <w:pPr>
              <w:widowControl/>
              <w:spacing w:line="240" w:lineRule="auto"/>
              <w:ind w:firstLine="0" w:firstLineChars="0"/>
              <w:jc w:val="center"/>
              <w:rPr>
                <w:color w:val="auto"/>
                <w:sz w:val="21"/>
                <w:szCs w:val="21"/>
              </w:rPr>
            </w:pPr>
            <w:r>
              <w:rPr>
                <w:color w:val="auto"/>
                <w:sz w:val="21"/>
                <w:szCs w:val="21"/>
              </w:rPr>
              <w:t>本原则适用于除石油化工以外的基础化学原料制造261，肥料制造262中化学肥料，农药制造263；涂料、染料、颜料、油墨及其类似产品制造264，合成材料制造265，专用化学品制造266等项目环境影响评价文件的审批。</w:t>
            </w:r>
          </w:p>
        </w:tc>
        <w:tc>
          <w:tcPr>
            <w:tcW w:w="1671" w:type="pct"/>
            <w:vAlign w:val="center"/>
          </w:tcPr>
          <w:p w14:paraId="074C56D5">
            <w:pPr>
              <w:widowControl/>
              <w:spacing w:line="240" w:lineRule="auto"/>
              <w:ind w:firstLine="0" w:firstLineChars="0"/>
              <w:jc w:val="center"/>
              <w:rPr>
                <w:color w:val="auto"/>
                <w:sz w:val="21"/>
                <w:szCs w:val="21"/>
              </w:rPr>
            </w:pPr>
            <w:r>
              <w:rPr>
                <w:rFonts w:hint="eastAsia"/>
                <w:color w:val="auto"/>
                <w:sz w:val="21"/>
                <w:szCs w:val="21"/>
              </w:rPr>
              <w:t>拟建项目</w:t>
            </w:r>
            <w:r>
              <w:rPr>
                <w:color w:val="auto"/>
                <w:sz w:val="21"/>
                <w:szCs w:val="21"/>
              </w:rPr>
              <w:t>行业类别属于</w:t>
            </w:r>
            <w:r>
              <w:rPr>
                <w:rFonts w:hint="eastAsia"/>
                <w:color w:val="auto"/>
                <w:sz w:val="21"/>
                <w:szCs w:val="21"/>
              </w:rPr>
              <w:t>〔</w:t>
            </w:r>
            <w:r>
              <w:rPr>
                <w:color w:val="auto"/>
                <w:sz w:val="21"/>
                <w:szCs w:val="21"/>
              </w:rPr>
              <w:t>C26</w:t>
            </w:r>
            <w:r>
              <w:rPr>
                <w:rFonts w:hint="eastAsia"/>
                <w:color w:val="auto"/>
                <w:sz w:val="21"/>
                <w:szCs w:val="21"/>
              </w:rPr>
              <w:t>13〕无机盐制造</w:t>
            </w:r>
            <w:r>
              <w:rPr>
                <w:color w:val="auto"/>
                <w:sz w:val="21"/>
                <w:szCs w:val="21"/>
              </w:rPr>
              <w:t>，适用于该审批原则。</w:t>
            </w:r>
          </w:p>
        </w:tc>
      </w:tr>
      <w:tr w14:paraId="3CE43D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Align w:val="center"/>
          </w:tcPr>
          <w:p w14:paraId="1F1D9050">
            <w:pPr>
              <w:widowControl/>
              <w:spacing w:line="240" w:lineRule="auto"/>
              <w:ind w:firstLine="0" w:firstLineChars="0"/>
              <w:jc w:val="center"/>
              <w:rPr>
                <w:color w:val="auto"/>
                <w:sz w:val="21"/>
                <w:szCs w:val="21"/>
              </w:rPr>
            </w:pPr>
            <w:r>
              <w:rPr>
                <w:color w:val="auto"/>
                <w:sz w:val="21"/>
                <w:szCs w:val="21"/>
              </w:rPr>
              <w:t>2</w:t>
            </w:r>
          </w:p>
        </w:tc>
        <w:tc>
          <w:tcPr>
            <w:tcW w:w="2897" w:type="pct"/>
            <w:vAlign w:val="center"/>
          </w:tcPr>
          <w:p w14:paraId="11A5CA36">
            <w:pPr>
              <w:widowControl/>
              <w:spacing w:line="240" w:lineRule="auto"/>
              <w:ind w:firstLine="0" w:firstLineChars="0"/>
              <w:jc w:val="center"/>
              <w:rPr>
                <w:color w:val="auto"/>
                <w:sz w:val="21"/>
                <w:szCs w:val="21"/>
              </w:rPr>
            </w:pPr>
            <w:r>
              <w:rPr>
                <w:color w:val="auto"/>
                <w:sz w:val="21"/>
                <w:szCs w:val="21"/>
              </w:rPr>
              <w:t>项目应符合国家、省生态环境保护法律法规和政策要求，符合《太湖流域管理条例</w:t>
            </w:r>
            <w:r>
              <w:rPr>
                <w:rFonts w:hint="eastAsia"/>
                <w:color w:val="auto"/>
                <w:sz w:val="21"/>
                <w:szCs w:val="21"/>
              </w:rPr>
              <w:t>》、《</w:t>
            </w:r>
            <w:r>
              <w:rPr>
                <w:color w:val="auto"/>
                <w:sz w:val="21"/>
                <w:szCs w:val="21"/>
              </w:rPr>
              <w:t>淮河流域水污染防治暂行条例</w:t>
            </w:r>
            <w:r>
              <w:rPr>
                <w:rFonts w:hint="eastAsia"/>
                <w:color w:val="auto"/>
                <w:sz w:val="21"/>
                <w:szCs w:val="21"/>
              </w:rPr>
              <w:t>》、《</w:t>
            </w:r>
            <w:r>
              <w:rPr>
                <w:color w:val="auto"/>
                <w:sz w:val="21"/>
                <w:szCs w:val="21"/>
              </w:rPr>
              <w:t>江苏省长江水污染防治条例</w:t>
            </w:r>
            <w:r>
              <w:rPr>
                <w:rFonts w:hint="eastAsia"/>
                <w:color w:val="auto"/>
                <w:sz w:val="21"/>
                <w:szCs w:val="21"/>
              </w:rPr>
              <w:t>》、《</w:t>
            </w:r>
            <w:r>
              <w:rPr>
                <w:color w:val="auto"/>
                <w:sz w:val="21"/>
                <w:szCs w:val="21"/>
              </w:rPr>
              <w:t>江苏省太湖流域水污染防治条例</w:t>
            </w:r>
            <w:r>
              <w:rPr>
                <w:rFonts w:hint="eastAsia"/>
                <w:color w:val="auto"/>
                <w:sz w:val="21"/>
                <w:szCs w:val="21"/>
              </w:rPr>
              <w:t>》、《</w:t>
            </w:r>
            <w:r>
              <w:rPr>
                <w:color w:val="auto"/>
                <w:sz w:val="21"/>
                <w:szCs w:val="21"/>
              </w:rPr>
              <w:t>江苏省通榆河水污染防治条例</w:t>
            </w:r>
            <w:r>
              <w:rPr>
                <w:rFonts w:hint="eastAsia"/>
                <w:color w:val="auto"/>
                <w:sz w:val="21"/>
                <w:szCs w:val="21"/>
              </w:rPr>
              <w:t>》、《</w:t>
            </w:r>
            <w:r>
              <w:rPr>
                <w:color w:val="auto"/>
                <w:sz w:val="21"/>
                <w:szCs w:val="21"/>
              </w:rPr>
              <w:t>江苏省水污染防治条例》等法律法规。</w:t>
            </w:r>
          </w:p>
        </w:tc>
        <w:tc>
          <w:tcPr>
            <w:tcW w:w="1671" w:type="pct"/>
            <w:vAlign w:val="center"/>
          </w:tcPr>
          <w:p w14:paraId="2274B923">
            <w:pPr>
              <w:widowControl/>
              <w:spacing w:line="240" w:lineRule="auto"/>
              <w:ind w:firstLine="0" w:firstLineChars="0"/>
              <w:jc w:val="center"/>
              <w:rPr>
                <w:color w:val="auto"/>
                <w:sz w:val="21"/>
                <w:szCs w:val="21"/>
              </w:rPr>
            </w:pPr>
            <w:r>
              <w:rPr>
                <w:rFonts w:hint="eastAsia"/>
                <w:color w:val="auto"/>
                <w:sz w:val="21"/>
                <w:szCs w:val="21"/>
              </w:rPr>
              <w:t>拟建项目</w:t>
            </w:r>
            <w:r>
              <w:rPr>
                <w:color w:val="auto"/>
                <w:sz w:val="21"/>
                <w:szCs w:val="21"/>
              </w:rPr>
              <w:t>符合国家、省生态环境保护法律法规和政策要求，符合《江苏省水污染防治条例》等法律法规。</w:t>
            </w:r>
          </w:p>
        </w:tc>
      </w:tr>
      <w:tr w14:paraId="730708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restart"/>
            <w:vAlign w:val="center"/>
          </w:tcPr>
          <w:p w14:paraId="1E091A4C">
            <w:pPr>
              <w:widowControl/>
              <w:spacing w:line="240" w:lineRule="auto"/>
              <w:ind w:firstLine="0" w:firstLineChars="0"/>
              <w:jc w:val="center"/>
              <w:rPr>
                <w:color w:val="auto"/>
                <w:sz w:val="21"/>
                <w:szCs w:val="21"/>
              </w:rPr>
            </w:pPr>
            <w:r>
              <w:rPr>
                <w:color w:val="auto"/>
                <w:sz w:val="21"/>
                <w:szCs w:val="21"/>
              </w:rPr>
              <w:t>3</w:t>
            </w:r>
          </w:p>
          <w:p w14:paraId="1FF8E305">
            <w:pPr>
              <w:widowControl/>
              <w:spacing w:line="240" w:lineRule="auto"/>
              <w:ind w:firstLine="0" w:firstLineChars="0"/>
              <w:jc w:val="center"/>
              <w:rPr>
                <w:color w:val="auto"/>
                <w:sz w:val="21"/>
                <w:szCs w:val="21"/>
              </w:rPr>
            </w:pPr>
            <w:r>
              <w:rPr>
                <w:color w:val="auto"/>
                <w:sz w:val="21"/>
                <w:szCs w:val="21"/>
              </w:rPr>
              <w:t>产业政策规定</w:t>
            </w:r>
          </w:p>
          <w:p w14:paraId="197A7AE8">
            <w:pPr>
              <w:widowControl/>
              <w:spacing w:line="240" w:lineRule="auto"/>
              <w:ind w:firstLine="0" w:firstLineChars="0"/>
              <w:jc w:val="center"/>
              <w:rPr>
                <w:color w:val="auto"/>
                <w:sz w:val="21"/>
                <w:szCs w:val="21"/>
              </w:rPr>
            </w:pPr>
          </w:p>
        </w:tc>
        <w:tc>
          <w:tcPr>
            <w:tcW w:w="2897" w:type="pct"/>
            <w:vAlign w:val="center"/>
          </w:tcPr>
          <w:p w14:paraId="69A9F43F">
            <w:pPr>
              <w:widowControl/>
              <w:spacing w:line="240" w:lineRule="auto"/>
              <w:ind w:firstLine="0" w:firstLineChars="0"/>
              <w:jc w:val="center"/>
              <w:rPr>
                <w:color w:val="auto"/>
                <w:sz w:val="21"/>
                <w:szCs w:val="21"/>
              </w:rPr>
            </w:pPr>
            <w:r>
              <w:rPr>
                <w:color w:val="auto"/>
                <w:sz w:val="21"/>
                <w:szCs w:val="21"/>
              </w:rPr>
              <w:t>禁止新建、扩建国家《产业结构调整指导目录</w:t>
            </w:r>
            <w:r>
              <w:rPr>
                <w:rFonts w:hint="eastAsia"/>
                <w:color w:val="auto"/>
                <w:sz w:val="21"/>
                <w:szCs w:val="21"/>
              </w:rPr>
              <w:t>》、《</w:t>
            </w:r>
            <w:r>
              <w:rPr>
                <w:color w:val="auto"/>
                <w:sz w:val="21"/>
                <w:szCs w:val="21"/>
              </w:rPr>
              <w:t>江苏省化工产业结构调整限制、淘汰和禁止目录》明确的限制类、淘汰类、禁止类化工项目，法律法规和相关政策明令禁止的落后产能化工项目。</w:t>
            </w:r>
          </w:p>
        </w:tc>
        <w:tc>
          <w:tcPr>
            <w:tcW w:w="1671" w:type="pct"/>
            <w:vAlign w:val="center"/>
          </w:tcPr>
          <w:p w14:paraId="7E5C08FE">
            <w:pPr>
              <w:widowControl/>
              <w:spacing w:line="240" w:lineRule="auto"/>
              <w:ind w:firstLine="0" w:firstLineChars="0"/>
              <w:jc w:val="center"/>
              <w:rPr>
                <w:color w:val="auto"/>
                <w:sz w:val="21"/>
                <w:szCs w:val="21"/>
              </w:rPr>
            </w:pPr>
            <w:r>
              <w:rPr>
                <w:rFonts w:hint="eastAsia"/>
                <w:color w:val="auto"/>
                <w:sz w:val="21"/>
                <w:szCs w:val="21"/>
              </w:rPr>
              <w:t>拟建项目</w:t>
            </w:r>
            <w:r>
              <w:rPr>
                <w:color w:val="auto"/>
                <w:sz w:val="21"/>
                <w:szCs w:val="21"/>
              </w:rPr>
              <w:t>符合《产业结构调整指导目录》、《江苏省化工产业结构调整限制、淘汰和禁止目录》，不涉及其中的限制类、淘汰类产品，拟建项目及企业也不属于禁止类。</w:t>
            </w:r>
          </w:p>
        </w:tc>
      </w:tr>
      <w:tr w14:paraId="162CBA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7E7CDECA">
            <w:pPr>
              <w:widowControl/>
              <w:spacing w:line="240" w:lineRule="auto"/>
              <w:ind w:firstLine="0" w:firstLineChars="0"/>
              <w:jc w:val="center"/>
              <w:rPr>
                <w:color w:val="auto"/>
                <w:sz w:val="21"/>
                <w:szCs w:val="21"/>
              </w:rPr>
            </w:pPr>
          </w:p>
        </w:tc>
        <w:tc>
          <w:tcPr>
            <w:tcW w:w="2897" w:type="pct"/>
            <w:vAlign w:val="center"/>
          </w:tcPr>
          <w:p w14:paraId="184D5E91">
            <w:pPr>
              <w:widowControl/>
              <w:spacing w:line="240" w:lineRule="auto"/>
              <w:ind w:firstLine="0" w:firstLineChars="0"/>
              <w:jc w:val="center"/>
              <w:rPr>
                <w:color w:val="auto"/>
                <w:sz w:val="21"/>
                <w:szCs w:val="21"/>
              </w:rPr>
            </w:pPr>
            <w:r>
              <w:rPr>
                <w:color w:val="auto"/>
                <w:sz w:val="21"/>
                <w:szCs w:val="21"/>
              </w:rPr>
              <w:t>优先引进属于国家、地方《产业结构调整指导目录</w:t>
            </w:r>
            <w:r>
              <w:rPr>
                <w:rFonts w:hint="eastAsia"/>
                <w:color w:val="auto"/>
                <w:sz w:val="21"/>
                <w:szCs w:val="21"/>
              </w:rPr>
              <w:t>》、《</w:t>
            </w:r>
            <w:r>
              <w:rPr>
                <w:color w:val="auto"/>
                <w:sz w:val="21"/>
                <w:szCs w:val="21"/>
              </w:rPr>
              <w:t>外商投资产业指导目录》鼓励类、有利于促进区域资源深度转化和综合利用、有利于延伸产业链、促进区域主导产业规模配置和壮大的产业项目。支持列入省先进制造业集群短板技术产品</w:t>
            </w:r>
            <w:r>
              <w:rPr>
                <w:rFonts w:hint="eastAsia"/>
                <w:color w:val="auto"/>
                <w:sz w:val="21"/>
                <w:szCs w:val="21"/>
              </w:rPr>
              <w:t>“</w:t>
            </w:r>
            <w:r>
              <w:rPr>
                <w:color w:val="auto"/>
                <w:sz w:val="21"/>
                <w:szCs w:val="21"/>
              </w:rPr>
              <w:t>卡脖子</w:t>
            </w:r>
            <w:r>
              <w:rPr>
                <w:rFonts w:hint="eastAsia"/>
                <w:color w:val="auto"/>
                <w:sz w:val="21"/>
                <w:szCs w:val="21"/>
              </w:rPr>
              <w:t>”</w:t>
            </w:r>
            <w:r>
              <w:rPr>
                <w:color w:val="auto"/>
                <w:sz w:val="21"/>
                <w:szCs w:val="21"/>
              </w:rPr>
              <w:t>清单项目建设，支持新材料、新能源、新医药等战略新兴产业中试孵化和研发基地项目建设。</w:t>
            </w:r>
          </w:p>
        </w:tc>
        <w:tc>
          <w:tcPr>
            <w:tcW w:w="1671" w:type="pct"/>
            <w:vAlign w:val="center"/>
          </w:tcPr>
          <w:p w14:paraId="187C6E48">
            <w:pPr>
              <w:widowControl/>
              <w:spacing w:line="240" w:lineRule="auto"/>
              <w:ind w:firstLine="0" w:firstLineChars="0"/>
              <w:jc w:val="center"/>
              <w:rPr>
                <w:color w:val="auto"/>
                <w:sz w:val="21"/>
                <w:szCs w:val="21"/>
              </w:rPr>
            </w:pPr>
            <w:r>
              <w:rPr>
                <w:color w:val="auto"/>
                <w:sz w:val="21"/>
                <w:szCs w:val="21"/>
              </w:rPr>
              <w:t>对照《产业结构调整指导目录</w:t>
            </w:r>
            <w:r>
              <w:rPr>
                <w:rFonts w:hint="eastAsia"/>
                <w:color w:val="auto"/>
                <w:sz w:val="21"/>
                <w:szCs w:val="21"/>
              </w:rPr>
              <w:t>》</w:t>
            </w:r>
            <w:r>
              <w:rPr>
                <w:color w:val="auto"/>
                <w:sz w:val="21"/>
                <w:szCs w:val="21"/>
              </w:rPr>
              <w:t>，不属于其中的限制类、淘汰类产品。</w:t>
            </w:r>
          </w:p>
        </w:tc>
      </w:tr>
      <w:tr w14:paraId="289F6C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restart"/>
            <w:vAlign w:val="center"/>
          </w:tcPr>
          <w:p w14:paraId="6A3354BA">
            <w:pPr>
              <w:widowControl/>
              <w:spacing w:line="240" w:lineRule="auto"/>
              <w:ind w:firstLine="0" w:firstLineChars="0"/>
              <w:jc w:val="center"/>
              <w:rPr>
                <w:color w:val="auto"/>
                <w:sz w:val="21"/>
                <w:szCs w:val="21"/>
              </w:rPr>
            </w:pPr>
            <w:r>
              <w:rPr>
                <w:color w:val="auto"/>
                <w:sz w:val="21"/>
                <w:szCs w:val="21"/>
              </w:rPr>
              <w:t>4</w:t>
            </w:r>
          </w:p>
          <w:p w14:paraId="7DFC6965">
            <w:pPr>
              <w:widowControl/>
              <w:spacing w:line="240" w:lineRule="auto"/>
              <w:ind w:firstLine="0" w:firstLineChars="0"/>
              <w:jc w:val="center"/>
              <w:rPr>
                <w:color w:val="auto"/>
                <w:sz w:val="21"/>
                <w:szCs w:val="21"/>
              </w:rPr>
            </w:pPr>
            <w:r>
              <w:rPr>
                <w:color w:val="auto"/>
                <w:sz w:val="21"/>
                <w:szCs w:val="21"/>
              </w:rPr>
              <w:t>项目选址要求</w:t>
            </w:r>
          </w:p>
        </w:tc>
        <w:tc>
          <w:tcPr>
            <w:tcW w:w="2897" w:type="pct"/>
            <w:vAlign w:val="center"/>
          </w:tcPr>
          <w:p w14:paraId="5CAE9426">
            <w:pPr>
              <w:widowControl/>
              <w:spacing w:line="240" w:lineRule="auto"/>
              <w:ind w:firstLine="0" w:firstLineChars="0"/>
              <w:jc w:val="center"/>
              <w:rPr>
                <w:color w:val="auto"/>
                <w:sz w:val="21"/>
                <w:szCs w:val="21"/>
              </w:rPr>
            </w:pPr>
            <w:r>
              <w:rPr>
                <w:color w:val="auto"/>
                <w:sz w:val="21"/>
                <w:szCs w:val="21"/>
              </w:rPr>
              <w:t>项目应符合主体功能区规划、环境保护规划、全省化工产业布局和高质量发展规划、城乡规划、土地利用规划、生态保护红线规划、生态空间管控区域规划、环境功能区划及其他相关规划要求，产业发展和区域活动不得违反《长江经济带发展负面清单指南江苏省实施细则（试行）》有关规定，禁止在距离长江干流和主要入江支流1公里范围内新建、扩建化工企业和项目。</w:t>
            </w:r>
          </w:p>
        </w:tc>
        <w:tc>
          <w:tcPr>
            <w:tcW w:w="1671" w:type="pct"/>
            <w:vAlign w:val="center"/>
          </w:tcPr>
          <w:p w14:paraId="5D41F5F3">
            <w:pPr>
              <w:widowControl/>
              <w:spacing w:line="240" w:lineRule="auto"/>
              <w:ind w:firstLine="0" w:firstLineChars="0"/>
              <w:jc w:val="center"/>
              <w:rPr>
                <w:color w:val="auto"/>
                <w:sz w:val="21"/>
                <w:szCs w:val="21"/>
              </w:rPr>
            </w:pPr>
            <w:r>
              <w:rPr>
                <w:color w:val="auto"/>
                <w:sz w:val="21"/>
                <w:szCs w:val="21"/>
              </w:rPr>
              <w:t>项目建设在江苏</w:t>
            </w:r>
            <w:r>
              <w:rPr>
                <w:rFonts w:hint="eastAsia"/>
                <w:color w:val="auto"/>
                <w:sz w:val="21"/>
                <w:szCs w:val="21"/>
              </w:rPr>
              <w:t>启东生命健康产业园</w:t>
            </w:r>
            <w:r>
              <w:rPr>
                <w:color w:val="auto"/>
                <w:sz w:val="21"/>
                <w:szCs w:val="21"/>
              </w:rPr>
              <w:t>区内，符合区域土地利用规划及环保规划。</w:t>
            </w:r>
            <w:r>
              <w:rPr>
                <w:rFonts w:hint="eastAsia"/>
                <w:color w:val="auto"/>
                <w:sz w:val="21"/>
                <w:szCs w:val="21"/>
              </w:rPr>
              <w:t>拟建项目</w:t>
            </w:r>
            <w:r>
              <w:rPr>
                <w:color w:val="auto"/>
                <w:sz w:val="21"/>
                <w:szCs w:val="21"/>
              </w:rPr>
              <w:t>不违反《长江经济带发展负面清单指南江苏省实施细则（试行）》有关规定。</w:t>
            </w:r>
            <w:r>
              <w:rPr>
                <w:rFonts w:hint="eastAsia"/>
                <w:color w:val="auto"/>
                <w:sz w:val="21"/>
                <w:szCs w:val="21"/>
              </w:rPr>
              <w:t>拟建项目</w:t>
            </w:r>
            <w:r>
              <w:rPr>
                <w:color w:val="auto"/>
                <w:sz w:val="21"/>
                <w:szCs w:val="21"/>
              </w:rPr>
              <w:t>不在长江干流及主要支流岸线1公里范围内。</w:t>
            </w:r>
          </w:p>
        </w:tc>
      </w:tr>
      <w:tr w14:paraId="51248B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42E11861">
            <w:pPr>
              <w:widowControl/>
              <w:spacing w:line="240" w:lineRule="auto"/>
              <w:ind w:firstLine="0" w:firstLineChars="0"/>
              <w:jc w:val="center"/>
              <w:rPr>
                <w:color w:val="auto"/>
                <w:sz w:val="21"/>
                <w:szCs w:val="21"/>
              </w:rPr>
            </w:pPr>
          </w:p>
        </w:tc>
        <w:tc>
          <w:tcPr>
            <w:tcW w:w="2897" w:type="pct"/>
            <w:vAlign w:val="center"/>
          </w:tcPr>
          <w:p w14:paraId="26D0C12C">
            <w:pPr>
              <w:widowControl/>
              <w:spacing w:line="240" w:lineRule="auto"/>
              <w:ind w:firstLine="0" w:firstLineChars="0"/>
              <w:jc w:val="center"/>
              <w:rPr>
                <w:color w:val="auto"/>
                <w:sz w:val="21"/>
                <w:szCs w:val="21"/>
              </w:rPr>
            </w:pPr>
            <w:r>
              <w:rPr>
                <w:color w:val="auto"/>
                <w:sz w:val="21"/>
                <w:szCs w:val="21"/>
              </w:rPr>
              <w:t>新建（含搬迁）化工企业必须进入经省政府认定且依法完成规划环评审查的化工园区（集中区），符合规划环评审查意见和</w:t>
            </w:r>
            <w:r>
              <w:rPr>
                <w:rFonts w:hint="eastAsia"/>
                <w:color w:val="auto"/>
                <w:sz w:val="21"/>
                <w:szCs w:val="21"/>
              </w:rPr>
              <w:t>“</w:t>
            </w:r>
            <w:r>
              <w:rPr>
                <w:color w:val="auto"/>
                <w:sz w:val="21"/>
                <w:szCs w:val="21"/>
              </w:rPr>
              <w:t>三线一单</w:t>
            </w:r>
            <w:r>
              <w:rPr>
                <w:rFonts w:hint="eastAsia"/>
                <w:color w:val="auto"/>
                <w:sz w:val="21"/>
                <w:szCs w:val="21"/>
              </w:rPr>
              <w:t>”</w:t>
            </w:r>
            <w:r>
              <w:rPr>
                <w:color w:val="auto"/>
                <w:sz w:val="21"/>
                <w:szCs w:val="21"/>
              </w:rPr>
              <w:t>管控要求。禁止审批环境基础设施不完善或长期不能稳定运行的化工园区（集中区）内企业的新、改、扩建化工项目。</w:t>
            </w:r>
          </w:p>
        </w:tc>
        <w:tc>
          <w:tcPr>
            <w:tcW w:w="1671" w:type="pct"/>
            <w:vAlign w:val="center"/>
          </w:tcPr>
          <w:p w14:paraId="0A667575">
            <w:pPr>
              <w:widowControl/>
              <w:spacing w:line="240" w:lineRule="auto"/>
              <w:ind w:firstLine="0" w:firstLineChars="0"/>
              <w:jc w:val="center"/>
              <w:rPr>
                <w:color w:val="auto"/>
                <w:sz w:val="21"/>
                <w:szCs w:val="21"/>
              </w:rPr>
            </w:pPr>
            <w:r>
              <w:rPr>
                <w:rFonts w:hint="eastAsia"/>
                <w:color w:val="auto"/>
                <w:sz w:val="21"/>
                <w:szCs w:val="21"/>
              </w:rPr>
              <w:t>拟建项目</w:t>
            </w:r>
            <w:r>
              <w:rPr>
                <w:color w:val="auto"/>
                <w:sz w:val="21"/>
                <w:szCs w:val="21"/>
              </w:rPr>
              <w:t>属于</w:t>
            </w:r>
            <w:r>
              <w:rPr>
                <w:rFonts w:hint="eastAsia"/>
                <w:color w:val="auto"/>
                <w:sz w:val="21"/>
                <w:szCs w:val="21"/>
              </w:rPr>
              <w:t>改扩建</w:t>
            </w:r>
            <w:r>
              <w:rPr>
                <w:color w:val="auto"/>
                <w:sz w:val="21"/>
                <w:szCs w:val="21"/>
              </w:rPr>
              <w:t>项目</w:t>
            </w:r>
            <w:r>
              <w:rPr>
                <w:rFonts w:hint="eastAsia"/>
                <w:color w:val="auto"/>
                <w:sz w:val="21"/>
                <w:szCs w:val="21"/>
              </w:rPr>
              <w:t>非新建项目，</w:t>
            </w:r>
            <w:r>
              <w:rPr>
                <w:color w:val="auto"/>
                <w:sz w:val="21"/>
                <w:szCs w:val="21"/>
              </w:rPr>
              <w:t>项目位于</w:t>
            </w:r>
            <w:r>
              <w:rPr>
                <w:rFonts w:hint="eastAsia"/>
                <w:color w:val="auto"/>
                <w:sz w:val="21"/>
                <w:szCs w:val="21"/>
              </w:rPr>
              <w:t>启东生命健康产业园区启东亚太</w:t>
            </w:r>
            <w:r>
              <w:rPr>
                <w:color w:val="auto"/>
                <w:sz w:val="21"/>
                <w:szCs w:val="21"/>
              </w:rPr>
              <w:t>现有厂区内</w:t>
            </w:r>
            <w:r>
              <w:rPr>
                <w:rFonts w:hint="eastAsia"/>
                <w:color w:val="auto"/>
                <w:sz w:val="21"/>
                <w:szCs w:val="21"/>
              </w:rPr>
              <w:t>；</w:t>
            </w:r>
            <w:r>
              <w:rPr>
                <w:color w:val="auto"/>
                <w:sz w:val="21"/>
                <w:szCs w:val="21"/>
              </w:rPr>
              <w:t>企业现有项目污染防治设施完备，可做到稳定达标排放。</w:t>
            </w:r>
          </w:p>
        </w:tc>
      </w:tr>
      <w:tr w14:paraId="5472F9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002627CA">
            <w:pPr>
              <w:widowControl/>
              <w:spacing w:line="240" w:lineRule="auto"/>
              <w:ind w:firstLine="0" w:firstLineChars="0"/>
              <w:jc w:val="center"/>
              <w:rPr>
                <w:color w:val="auto"/>
                <w:sz w:val="21"/>
                <w:szCs w:val="21"/>
              </w:rPr>
            </w:pPr>
          </w:p>
        </w:tc>
        <w:tc>
          <w:tcPr>
            <w:tcW w:w="2897" w:type="pct"/>
            <w:vAlign w:val="center"/>
          </w:tcPr>
          <w:p w14:paraId="7BCA64E4">
            <w:pPr>
              <w:widowControl/>
              <w:spacing w:line="240" w:lineRule="auto"/>
              <w:ind w:firstLine="0" w:firstLineChars="0"/>
              <w:jc w:val="center"/>
              <w:rPr>
                <w:color w:val="auto"/>
                <w:sz w:val="21"/>
                <w:szCs w:val="21"/>
              </w:rPr>
            </w:pPr>
            <w:r>
              <w:rPr>
                <w:color w:val="auto"/>
                <w:sz w:val="21"/>
                <w:szCs w:val="21"/>
              </w:rPr>
              <w:t>园区外现有化工企业、化工重点监测点、取消化工定位的园区（集中区）内新改扩建项目、复配类化工企业（项目）严格执行法律法规及省有关文件规定。</w:t>
            </w:r>
          </w:p>
          <w:p w14:paraId="236E705B">
            <w:pPr>
              <w:spacing w:line="240" w:lineRule="auto"/>
              <w:ind w:firstLine="0" w:firstLineChars="0"/>
              <w:jc w:val="center"/>
              <w:rPr>
                <w:color w:val="auto"/>
                <w:sz w:val="21"/>
                <w:szCs w:val="21"/>
              </w:rPr>
            </w:pPr>
            <w:r>
              <w:rPr>
                <w:color w:val="auto"/>
                <w:sz w:val="21"/>
                <w:szCs w:val="21"/>
              </w:rPr>
              <w:t>合理设置防护距离，新、改、扩建化工项目完成防护距离内敏感目标搬迁问题后方可审批。</w:t>
            </w:r>
          </w:p>
        </w:tc>
        <w:tc>
          <w:tcPr>
            <w:tcW w:w="1671" w:type="pct"/>
            <w:vAlign w:val="center"/>
          </w:tcPr>
          <w:p w14:paraId="4CF0671E">
            <w:pPr>
              <w:widowControl/>
              <w:spacing w:line="240" w:lineRule="auto"/>
              <w:ind w:firstLine="0" w:firstLineChars="0"/>
              <w:jc w:val="center"/>
              <w:rPr>
                <w:color w:val="auto"/>
                <w:sz w:val="21"/>
                <w:szCs w:val="21"/>
              </w:rPr>
            </w:pPr>
            <w:r>
              <w:rPr>
                <w:color w:val="auto"/>
                <w:sz w:val="21"/>
                <w:szCs w:val="21"/>
              </w:rPr>
              <w:t>拟建项目无需设置大气防护距离，拟建项目建成后仍以厂界设置</w:t>
            </w:r>
            <w:r>
              <w:rPr>
                <w:rFonts w:hint="eastAsia"/>
                <w:color w:val="auto"/>
                <w:sz w:val="21"/>
                <w:szCs w:val="21"/>
              </w:rPr>
              <w:t>5</w:t>
            </w:r>
            <w:r>
              <w:rPr>
                <w:color w:val="auto"/>
                <w:sz w:val="21"/>
                <w:szCs w:val="21"/>
              </w:rPr>
              <w:t>00m的卫生防护距离。</w:t>
            </w:r>
            <w:r>
              <w:rPr>
                <w:rFonts w:hint="eastAsia"/>
                <w:color w:val="auto"/>
                <w:sz w:val="21"/>
                <w:szCs w:val="21"/>
              </w:rPr>
              <w:t>拟建项目</w:t>
            </w:r>
            <w:r>
              <w:rPr>
                <w:color w:val="auto"/>
                <w:sz w:val="21"/>
                <w:szCs w:val="21"/>
              </w:rPr>
              <w:t>卫生防护距离内无居民区等敏感保护目标。</w:t>
            </w:r>
          </w:p>
        </w:tc>
      </w:tr>
      <w:tr w14:paraId="734972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Align w:val="center"/>
          </w:tcPr>
          <w:p w14:paraId="5B48B7AE">
            <w:pPr>
              <w:widowControl/>
              <w:spacing w:line="240" w:lineRule="auto"/>
              <w:ind w:firstLine="0" w:firstLineChars="0"/>
              <w:jc w:val="center"/>
              <w:rPr>
                <w:color w:val="auto"/>
                <w:sz w:val="21"/>
                <w:szCs w:val="21"/>
              </w:rPr>
            </w:pPr>
            <w:r>
              <w:rPr>
                <w:color w:val="auto"/>
                <w:sz w:val="21"/>
                <w:szCs w:val="21"/>
              </w:rPr>
              <w:t>5</w:t>
            </w:r>
          </w:p>
        </w:tc>
        <w:tc>
          <w:tcPr>
            <w:tcW w:w="2897" w:type="pct"/>
            <w:vAlign w:val="center"/>
          </w:tcPr>
          <w:p w14:paraId="7B927798">
            <w:pPr>
              <w:widowControl/>
              <w:spacing w:line="240" w:lineRule="auto"/>
              <w:ind w:firstLine="0" w:firstLineChars="0"/>
              <w:jc w:val="center"/>
              <w:rPr>
                <w:color w:val="auto"/>
                <w:sz w:val="21"/>
                <w:szCs w:val="21"/>
              </w:rPr>
            </w:pPr>
            <w:r>
              <w:rPr>
                <w:color w:val="auto"/>
                <w:sz w:val="21"/>
                <w:szCs w:val="21"/>
              </w:rPr>
              <w:t>从严审批产生含杂环、杀菌剂、卤代烃、</w:t>
            </w:r>
            <w:r>
              <w:rPr>
                <w:rFonts w:hint="eastAsia"/>
                <w:color w:val="auto"/>
                <w:sz w:val="21"/>
                <w:szCs w:val="21"/>
              </w:rPr>
              <w:t>盐分</w:t>
            </w:r>
            <w:r>
              <w:rPr>
                <w:color w:val="auto"/>
                <w:sz w:val="21"/>
                <w:szCs w:val="21"/>
              </w:rPr>
              <w:t>等高浓度难降解废水的化工项目，危险废物产生量大、园区内无配套利用处置能力或设区市无法平衡解决的化工项目。禁止建设生产和使用高VOCs含量的有机溶剂型涂料、油墨和胶粘剂生产项目（国家鼓励发展的高端特种涂料除外）。</w:t>
            </w:r>
          </w:p>
        </w:tc>
        <w:tc>
          <w:tcPr>
            <w:tcW w:w="1671" w:type="pct"/>
            <w:vAlign w:val="center"/>
          </w:tcPr>
          <w:p w14:paraId="72E128E3">
            <w:pPr>
              <w:widowControl/>
              <w:spacing w:line="240" w:lineRule="auto"/>
              <w:ind w:firstLine="0" w:firstLineChars="0"/>
              <w:jc w:val="center"/>
              <w:rPr>
                <w:color w:val="auto"/>
                <w:sz w:val="21"/>
                <w:szCs w:val="21"/>
              </w:rPr>
            </w:pPr>
            <w:r>
              <w:rPr>
                <w:color w:val="auto"/>
                <w:sz w:val="21"/>
                <w:szCs w:val="21"/>
              </w:rPr>
              <w:t>项目产生的废水经厂内设施</w:t>
            </w:r>
            <w:r>
              <w:rPr>
                <w:rFonts w:hint="eastAsia"/>
                <w:color w:val="auto"/>
                <w:sz w:val="21"/>
                <w:szCs w:val="21"/>
              </w:rPr>
              <w:t>处理</w:t>
            </w:r>
            <w:r>
              <w:rPr>
                <w:color w:val="auto"/>
                <w:sz w:val="21"/>
                <w:szCs w:val="21"/>
              </w:rPr>
              <w:t>达标后送园区污水厂做进一步处置；产生的危废交由有资质单位处置。</w:t>
            </w:r>
          </w:p>
        </w:tc>
      </w:tr>
      <w:tr w14:paraId="53074E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Align w:val="center"/>
          </w:tcPr>
          <w:p w14:paraId="52AF3FE7">
            <w:pPr>
              <w:widowControl/>
              <w:spacing w:line="240" w:lineRule="auto"/>
              <w:ind w:firstLine="0" w:firstLineChars="0"/>
              <w:jc w:val="center"/>
              <w:rPr>
                <w:color w:val="auto"/>
                <w:sz w:val="21"/>
                <w:szCs w:val="21"/>
              </w:rPr>
            </w:pPr>
            <w:r>
              <w:rPr>
                <w:color w:val="auto"/>
                <w:sz w:val="21"/>
                <w:szCs w:val="21"/>
              </w:rPr>
              <w:t>6</w:t>
            </w:r>
          </w:p>
          <w:p w14:paraId="55BB95CD">
            <w:pPr>
              <w:widowControl/>
              <w:spacing w:line="240" w:lineRule="auto"/>
              <w:ind w:firstLine="0" w:firstLineChars="0"/>
              <w:jc w:val="center"/>
              <w:rPr>
                <w:color w:val="auto"/>
                <w:sz w:val="21"/>
                <w:szCs w:val="21"/>
              </w:rPr>
            </w:pPr>
            <w:r>
              <w:rPr>
                <w:color w:val="auto"/>
                <w:sz w:val="21"/>
                <w:szCs w:val="21"/>
              </w:rPr>
              <w:t>环境标准和总量要求</w:t>
            </w:r>
          </w:p>
        </w:tc>
        <w:tc>
          <w:tcPr>
            <w:tcW w:w="2897" w:type="pct"/>
            <w:vAlign w:val="center"/>
          </w:tcPr>
          <w:p w14:paraId="41A2ADCE">
            <w:pPr>
              <w:widowControl/>
              <w:spacing w:line="240" w:lineRule="auto"/>
              <w:ind w:firstLine="0" w:firstLineChars="0"/>
              <w:jc w:val="center"/>
              <w:rPr>
                <w:color w:val="auto"/>
                <w:sz w:val="21"/>
                <w:szCs w:val="21"/>
              </w:rPr>
            </w:pPr>
            <w:r>
              <w:rPr>
                <w:color w:val="auto"/>
                <w:sz w:val="21"/>
                <w:szCs w:val="21"/>
              </w:rPr>
              <w:t>建立项目污染物排放总量与环境质量挂钩机制，项目建设应满足区域环境质量持续改善目标要求。</w:t>
            </w:r>
          </w:p>
          <w:p w14:paraId="1E9E370F">
            <w:pPr>
              <w:widowControl/>
              <w:spacing w:line="240" w:lineRule="auto"/>
              <w:ind w:firstLine="0" w:firstLineChars="0"/>
              <w:jc w:val="center"/>
              <w:rPr>
                <w:color w:val="auto"/>
                <w:sz w:val="21"/>
                <w:szCs w:val="21"/>
              </w:rPr>
            </w:pPr>
            <w:r>
              <w:rPr>
                <w:color w:val="auto"/>
                <w:sz w:val="21"/>
                <w:szCs w:val="21"/>
              </w:rPr>
              <w:t>严格污染物排放浓度和总量</w:t>
            </w:r>
            <w:r>
              <w:rPr>
                <w:rFonts w:hint="eastAsia"/>
                <w:color w:val="auto"/>
                <w:sz w:val="21"/>
                <w:szCs w:val="21"/>
              </w:rPr>
              <w:t>“</w:t>
            </w:r>
            <w:r>
              <w:rPr>
                <w:color w:val="auto"/>
                <w:sz w:val="21"/>
                <w:szCs w:val="21"/>
              </w:rPr>
              <w:t>双控</w:t>
            </w:r>
            <w:r>
              <w:rPr>
                <w:rFonts w:hint="eastAsia"/>
                <w:color w:val="auto"/>
                <w:sz w:val="21"/>
                <w:szCs w:val="21"/>
              </w:rPr>
              <w:t>”</w:t>
            </w:r>
            <w:r>
              <w:rPr>
                <w:color w:val="auto"/>
                <w:sz w:val="21"/>
                <w:szCs w:val="21"/>
              </w:rPr>
              <w:t>要求。严格执行国家、省污染物排放标准；污染物排放总量指标应有明确的来源和具体的平衡方案；特征污染物排放满足控制标准要求。</w:t>
            </w:r>
          </w:p>
        </w:tc>
        <w:tc>
          <w:tcPr>
            <w:tcW w:w="1671" w:type="pct"/>
            <w:vAlign w:val="center"/>
          </w:tcPr>
          <w:p w14:paraId="54A01531">
            <w:pPr>
              <w:widowControl/>
              <w:spacing w:line="240" w:lineRule="auto"/>
              <w:ind w:firstLine="0" w:firstLineChars="0"/>
              <w:jc w:val="center"/>
              <w:rPr>
                <w:color w:val="auto"/>
                <w:sz w:val="21"/>
                <w:szCs w:val="21"/>
              </w:rPr>
            </w:pPr>
            <w:r>
              <w:rPr>
                <w:color w:val="auto"/>
                <w:sz w:val="21"/>
                <w:szCs w:val="21"/>
              </w:rPr>
              <w:t>现有项目均已取得排污许可，获得了排污量。</w:t>
            </w:r>
          </w:p>
        </w:tc>
      </w:tr>
      <w:tr w14:paraId="6D0B14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Align w:val="center"/>
          </w:tcPr>
          <w:p w14:paraId="4DC7FCA3">
            <w:pPr>
              <w:widowControl/>
              <w:spacing w:line="240" w:lineRule="auto"/>
              <w:ind w:firstLine="0" w:firstLineChars="0"/>
              <w:jc w:val="center"/>
              <w:rPr>
                <w:color w:val="auto"/>
                <w:sz w:val="21"/>
                <w:szCs w:val="21"/>
              </w:rPr>
            </w:pPr>
            <w:r>
              <w:rPr>
                <w:color w:val="auto"/>
                <w:sz w:val="21"/>
                <w:szCs w:val="21"/>
              </w:rPr>
              <w:t>7</w:t>
            </w:r>
          </w:p>
        </w:tc>
        <w:tc>
          <w:tcPr>
            <w:tcW w:w="2897" w:type="pct"/>
            <w:vAlign w:val="center"/>
          </w:tcPr>
          <w:p w14:paraId="783F865D">
            <w:pPr>
              <w:widowControl/>
              <w:spacing w:line="240" w:lineRule="auto"/>
              <w:ind w:firstLine="0" w:firstLineChars="0"/>
              <w:jc w:val="center"/>
              <w:rPr>
                <w:color w:val="auto"/>
                <w:sz w:val="21"/>
                <w:szCs w:val="21"/>
              </w:rPr>
            </w:pPr>
            <w:r>
              <w:rPr>
                <w:color w:val="auto"/>
                <w:sz w:val="21"/>
                <w:szCs w:val="21"/>
              </w:rPr>
              <w:t>化工项目应采用先进技术、工艺和装备，逐步实现生产过程的自动控制，严格控制无组织排放。积极采用能源转换率高、污染物排放强度低的工艺技术，推进工艺技术提升改造和设备更新换代、资源综合利用以及废弃物的无害化处理。单位产品物耗、能耗、水耗和污染物产生情况等清洁生产指标满足国内清洁生产先进水平，满足节能减排政策要求。</w:t>
            </w:r>
          </w:p>
        </w:tc>
        <w:tc>
          <w:tcPr>
            <w:tcW w:w="1671" w:type="pct"/>
            <w:vAlign w:val="center"/>
          </w:tcPr>
          <w:p w14:paraId="149AAFB7">
            <w:pPr>
              <w:widowControl/>
              <w:spacing w:line="240" w:lineRule="auto"/>
              <w:ind w:firstLine="0" w:firstLineChars="0"/>
              <w:jc w:val="center"/>
              <w:rPr>
                <w:color w:val="auto"/>
                <w:sz w:val="21"/>
                <w:szCs w:val="21"/>
              </w:rPr>
            </w:pPr>
            <w:r>
              <w:rPr>
                <w:color w:val="auto"/>
                <w:sz w:val="21"/>
                <w:szCs w:val="21"/>
              </w:rPr>
              <w:t>拟建项目选用国内先进生产设备，设置自动控制及安全联锁系统</w:t>
            </w:r>
            <w:r>
              <w:rPr>
                <w:rFonts w:hint="eastAsia"/>
                <w:color w:val="auto"/>
                <w:sz w:val="21"/>
                <w:szCs w:val="21"/>
              </w:rPr>
              <w:t>；</w:t>
            </w:r>
            <w:r>
              <w:rPr>
                <w:color w:val="auto"/>
                <w:sz w:val="21"/>
                <w:szCs w:val="21"/>
              </w:rPr>
              <w:t>企业经过多年生产，总结经验，优化生产工艺及治理措施，进一步减少产品单耗及污染物产生。</w:t>
            </w:r>
          </w:p>
        </w:tc>
      </w:tr>
      <w:tr w14:paraId="3FE304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restart"/>
            <w:vAlign w:val="center"/>
          </w:tcPr>
          <w:p w14:paraId="38E647D3">
            <w:pPr>
              <w:widowControl/>
              <w:spacing w:line="240" w:lineRule="auto"/>
              <w:ind w:firstLine="0" w:firstLineChars="0"/>
              <w:jc w:val="center"/>
              <w:rPr>
                <w:color w:val="auto"/>
                <w:sz w:val="21"/>
                <w:szCs w:val="21"/>
              </w:rPr>
            </w:pPr>
            <w:r>
              <w:rPr>
                <w:color w:val="auto"/>
                <w:sz w:val="21"/>
                <w:szCs w:val="21"/>
              </w:rPr>
              <w:t>8</w:t>
            </w:r>
          </w:p>
          <w:p w14:paraId="2837500B">
            <w:pPr>
              <w:widowControl/>
              <w:spacing w:line="240" w:lineRule="auto"/>
              <w:ind w:firstLine="0" w:firstLineChars="0"/>
              <w:jc w:val="center"/>
              <w:rPr>
                <w:color w:val="auto"/>
                <w:sz w:val="21"/>
                <w:szCs w:val="21"/>
              </w:rPr>
            </w:pPr>
            <w:r>
              <w:rPr>
                <w:color w:val="auto"/>
                <w:sz w:val="21"/>
                <w:szCs w:val="21"/>
              </w:rPr>
              <w:t>废气治理要求</w:t>
            </w:r>
          </w:p>
        </w:tc>
        <w:tc>
          <w:tcPr>
            <w:tcW w:w="2897" w:type="pct"/>
            <w:vAlign w:val="center"/>
          </w:tcPr>
          <w:p w14:paraId="31816D77">
            <w:pPr>
              <w:widowControl/>
              <w:spacing w:line="240" w:lineRule="auto"/>
              <w:ind w:firstLine="0" w:firstLineChars="0"/>
              <w:jc w:val="center"/>
              <w:rPr>
                <w:color w:val="auto"/>
                <w:sz w:val="21"/>
                <w:szCs w:val="21"/>
              </w:rPr>
            </w:pPr>
            <w:r>
              <w:rPr>
                <w:color w:val="auto"/>
                <w:sz w:val="21"/>
                <w:szCs w:val="21"/>
              </w:rPr>
              <w:t>项目应依托区域集中供热供汽设施，禁止建设自备燃煤电厂。对蒸汽有特殊要求的企业，按照</w:t>
            </w:r>
            <w:r>
              <w:rPr>
                <w:rFonts w:hint="eastAsia"/>
                <w:color w:val="auto"/>
                <w:sz w:val="21"/>
                <w:szCs w:val="21"/>
              </w:rPr>
              <w:t>“</w:t>
            </w:r>
            <w:r>
              <w:rPr>
                <w:color w:val="auto"/>
                <w:sz w:val="21"/>
                <w:szCs w:val="21"/>
              </w:rPr>
              <w:t>宜电则电、宜气则气</w:t>
            </w:r>
            <w:r>
              <w:rPr>
                <w:rFonts w:hint="eastAsia"/>
                <w:color w:val="auto"/>
                <w:sz w:val="21"/>
                <w:szCs w:val="21"/>
              </w:rPr>
              <w:t>”</w:t>
            </w:r>
            <w:r>
              <w:rPr>
                <w:color w:val="auto"/>
                <w:sz w:val="21"/>
                <w:szCs w:val="21"/>
              </w:rPr>
              <w:t>的原则替代燃煤锅炉</w:t>
            </w:r>
            <w:r>
              <w:rPr>
                <w:rFonts w:hint="eastAsia"/>
                <w:color w:val="auto"/>
                <w:sz w:val="21"/>
                <w:szCs w:val="21"/>
              </w:rPr>
              <w:t>（</w:t>
            </w:r>
            <w:r>
              <w:rPr>
                <w:color w:val="auto"/>
                <w:sz w:val="21"/>
                <w:szCs w:val="21"/>
              </w:rPr>
              <w:t>包括燃煤导热油炉、燃煤炉窑等</w:t>
            </w:r>
            <w:r>
              <w:rPr>
                <w:rFonts w:hint="eastAsia"/>
                <w:color w:val="auto"/>
                <w:sz w:val="21"/>
                <w:szCs w:val="21"/>
              </w:rPr>
              <w:t>）</w:t>
            </w:r>
            <w:r>
              <w:rPr>
                <w:color w:val="auto"/>
                <w:sz w:val="21"/>
                <w:szCs w:val="21"/>
              </w:rPr>
              <w:t>，并满足国家及地方的相关管理要求。</w:t>
            </w:r>
          </w:p>
        </w:tc>
        <w:tc>
          <w:tcPr>
            <w:tcW w:w="1671" w:type="pct"/>
            <w:vAlign w:val="center"/>
          </w:tcPr>
          <w:p w14:paraId="174C7708">
            <w:pPr>
              <w:widowControl/>
              <w:spacing w:line="240" w:lineRule="auto"/>
              <w:ind w:firstLine="0" w:firstLineChars="0"/>
              <w:jc w:val="center"/>
              <w:rPr>
                <w:color w:val="auto"/>
                <w:sz w:val="21"/>
                <w:szCs w:val="21"/>
              </w:rPr>
            </w:pPr>
            <w:r>
              <w:rPr>
                <w:rFonts w:hint="eastAsia"/>
                <w:color w:val="auto"/>
                <w:sz w:val="21"/>
                <w:szCs w:val="21"/>
              </w:rPr>
              <w:t>企业自建焚硫炉，焚硫炉可回收蒸汽约15000吨/年，目前尚有6600吨/年余量可使用，拟建项目拟使用蒸汽5000t/a。</w:t>
            </w:r>
          </w:p>
        </w:tc>
      </w:tr>
      <w:tr w14:paraId="6C3B19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1C03E47E">
            <w:pPr>
              <w:widowControl/>
              <w:spacing w:line="240" w:lineRule="auto"/>
              <w:ind w:firstLine="0" w:firstLineChars="0"/>
              <w:jc w:val="center"/>
              <w:rPr>
                <w:color w:val="auto"/>
                <w:sz w:val="21"/>
                <w:szCs w:val="21"/>
              </w:rPr>
            </w:pPr>
          </w:p>
        </w:tc>
        <w:tc>
          <w:tcPr>
            <w:tcW w:w="2897" w:type="pct"/>
            <w:vAlign w:val="center"/>
          </w:tcPr>
          <w:p w14:paraId="3BCCA858">
            <w:pPr>
              <w:widowControl/>
              <w:spacing w:line="240" w:lineRule="auto"/>
              <w:ind w:firstLine="0" w:firstLineChars="0"/>
              <w:jc w:val="center"/>
              <w:rPr>
                <w:color w:val="auto"/>
                <w:sz w:val="21"/>
                <w:szCs w:val="21"/>
              </w:rPr>
            </w:pPr>
            <w:r>
              <w:rPr>
                <w:color w:val="auto"/>
                <w:sz w:val="21"/>
                <w:szCs w:val="21"/>
              </w:rPr>
              <w:t>通过优化设备、储罐选型，装卸、废水处理、污泥处置等环节密闭化，减少污染物无组织排放；储存、装卸、废水处理等环节应采取高效的有机废气回收与治理措施；明确设备泄漏检测与修复（LDAR）制度。</w:t>
            </w:r>
          </w:p>
        </w:tc>
        <w:tc>
          <w:tcPr>
            <w:tcW w:w="1671" w:type="pct"/>
            <w:vAlign w:val="center"/>
          </w:tcPr>
          <w:p w14:paraId="77AC0F9F">
            <w:pPr>
              <w:widowControl/>
              <w:spacing w:line="240" w:lineRule="auto"/>
              <w:ind w:firstLine="0" w:firstLineChars="0"/>
              <w:jc w:val="center"/>
              <w:rPr>
                <w:color w:val="auto"/>
                <w:sz w:val="21"/>
                <w:szCs w:val="21"/>
              </w:rPr>
            </w:pPr>
            <w:r>
              <w:rPr>
                <w:color w:val="auto"/>
                <w:sz w:val="21"/>
                <w:szCs w:val="21"/>
              </w:rPr>
              <w:t>企业已开展LDAR修复技术，并对厂内的无组织废气产生源：车间、危废仓库、</w:t>
            </w:r>
            <w:r>
              <w:rPr>
                <w:rFonts w:hint="eastAsia"/>
                <w:color w:val="auto"/>
                <w:sz w:val="21"/>
                <w:szCs w:val="21"/>
              </w:rPr>
              <w:t>车间储槽</w:t>
            </w:r>
            <w:r>
              <w:rPr>
                <w:color w:val="auto"/>
                <w:sz w:val="21"/>
                <w:szCs w:val="21"/>
              </w:rPr>
              <w:t>等采取了收集处理，减少了无组织的排放。</w:t>
            </w:r>
          </w:p>
        </w:tc>
      </w:tr>
      <w:tr w14:paraId="4DB6EC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26ED2B98">
            <w:pPr>
              <w:widowControl/>
              <w:spacing w:line="240" w:lineRule="auto"/>
              <w:ind w:firstLine="0" w:firstLineChars="0"/>
              <w:jc w:val="center"/>
              <w:rPr>
                <w:color w:val="auto"/>
                <w:sz w:val="21"/>
                <w:szCs w:val="21"/>
              </w:rPr>
            </w:pPr>
          </w:p>
        </w:tc>
        <w:tc>
          <w:tcPr>
            <w:tcW w:w="2897" w:type="pct"/>
            <w:vAlign w:val="center"/>
          </w:tcPr>
          <w:p w14:paraId="2F615076">
            <w:pPr>
              <w:widowControl/>
              <w:spacing w:line="240" w:lineRule="auto"/>
              <w:ind w:firstLine="0" w:firstLineChars="0"/>
              <w:jc w:val="center"/>
              <w:rPr>
                <w:color w:val="auto"/>
                <w:sz w:val="21"/>
                <w:szCs w:val="21"/>
              </w:rPr>
            </w:pPr>
            <w:r>
              <w:rPr>
                <w:color w:val="auto"/>
                <w:sz w:val="21"/>
                <w:szCs w:val="21"/>
              </w:rPr>
              <w:t>生产废气应优先采取回用或综合利用措施，减少废气排放，确不能回收或综合利用的，应采取净化处理措施。企业应根据各类废气特性、产生量、污染物浓度、温度、压力等因素综合分析选择合适、高效的末端处理工艺。非正常工况排放废气应分类收集后接入回收或废气治理设施。废气治理设施应纳入生产系统进行管理，科学合理配备运行状况监控及记录设施。</w:t>
            </w:r>
          </w:p>
        </w:tc>
        <w:tc>
          <w:tcPr>
            <w:tcW w:w="1671" w:type="pct"/>
            <w:vAlign w:val="center"/>
          </w:tcPr>
          <w:p w14:paraId="591EA75F">
            <w:pPr>
              <w:widowControl/>
              <w:spacing w:line="240" w:lineRule="auto"/>
              <w:ind w:firstLine="0" w:firstLineChars="0"/>
              <w:jc w:val="center"/>
              <w:rPr>
                <w:color w:val="auto"/>
                <w:sz w:val="21"/>
                <w:szCs w:val="21"/>
              </w:rPr>
            </w:pPr>
            <w:r>
              <w:rPr>
                <w:color w:val="auto"/>
                <w:sz w:val="21"/>
                <w:szCs w:val="21"/>
              </w:rPr>
              <w:t>拟建项目产生的各种废气根据其自身性质分类收集、分质处理，</w:t>
            </w:r>
            <w:r>
              <w:rPr>
                <w:rFonts w:hint="eastAsia"/>
                <w:color w:val="auto"/>
                <w:sz w:val="21"/>
                <w:szCs w:val="21"/>
              </w:rPr>
              <w:t>2#车间亚硫酸盐生产线废气统一收集后，经碱液吸收+水喷淋吸收+电除雾进行处理，最终由2#车间排口DA002进行排放；</w:t>
            </w:r>
          </w:p>
          <w:p w14:paraId="2966038D">
            <w:pPr>
              <w:widowControl/>
              <w:spacing w:line="240" w:lineRule="auto"/>
              <w:ind w:firstLine="0" w:firstLineChars="0"/>
              <w:jc w:val="center"/>
              <w:rPr>
                <w:color w:val="auto"/>
                <w:sz w:val="21"/>
                <w:szCs w:val="21"/>
              </w:rPr>
            </w:pPr>
            <w:r>
              <w:rPr>
                <w:rFonts w:hint="eastAsia"/>
                <w:color w:val="auto"/>
                <w:sz w:val="21"/>
                <w:szCs w:val="21"/>
              </w:rPr>
              <w:t>1#车间内硫代硫酸盐工艺废气氨气统一收集后，经水喷淋吸收＋三级碱吸收+水喷淋+电除雾进行处理，最终由3#车间排口DA001排放；1#车间内硫代硫酸镁产线工艺废气二氧化硫统一收集后，经水喷淋吸收+电除雾进行处理，最终由2#车间排口DA002排放</w:t>
            </w:r>
            <w:r>
              <w:rPr>
                <w:color w:val="auto"/>
                <w:sz w:val="21"/>
                <w:szCs w:val="21"/>
              </w:rPr>
              <w:t>。拟建项目建成后，将按照规定</w:t>
            </w:r>
            <w:r>
              <w:rPr>
                <w:rFonts w:hint="eastAsia"/>
                <w:color w:val="auto"/>
                <w:sz w:val="21"/>
                <w:szCs w:val="21"/>
              </w:rPr>
              <w:t>进行废</w:t>
            </w:r>
            <w:r>
              <w:rPr>
                <w:color w:val="auto"/>
                <w:sz w:val="21"/>
                <w:szCs w:val="21"/>
              </w:rPr>
              <w:t>气</w:t>
            </w:r>
            <w:r>
              <w:rPr>
                <w:rFonts w:hint="eastAsia"/>
                <w:color w:val="auto"/>
                <w:sz w:val="21"/>
                <w:szCs w:val="21"/>
              </w:rPr>
              <w:t>例行</w:t>
            </w:r>
            <w:r>
              <w:rPr>
                <w:color w:val="auto"/>
                <w:sz w:val="21"/>
                <w:szCs w:val="21"/>
              </w:rPr>
              <w:t>监测</w:t>
            </w:r>
            <w:r>
              <w:rPr>
                <w:rFonts w:hint="eastAsia"/>
                <w:color w:val="auto"/>
                <w:sz w:val="21"/>
                <w:szCs w:val="21"/>
              </w:rPr>
              <w:t>。</w:t>
            </w:r>
          </w:p>
        </w:tc>
      </w:tr>
      <w:tr w14:paraId="06CE2D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Align w:val="center"/>
          </w:tcPr>
          <w:p w14:paraId="343A6FAE">
            <w:pPr>
              <w:widowControl/>
              <w:spacing w:line="240" w:lineRule="auto"/>
              <w:ind w:firstLine="0" w:firstLineChars="0"/>
              <w:jc w:val="center"/>
              <w:rPr>
                <w:color w:val="auto"/>
                <w:sz w:val="21"/>
                <w:szCs w:val="21"/>
              </w:rPr>
            </w:pPr>
            <w:r>
              <w:rPr>
                <w:color w:val="auto"/>
                <w:sz w:val="21"/>
                <w:szCs w:val="21"/>
              </w:rPr>
              <w:t>9</w:t>
            </w:r>
          </w:p>
          <w:p w14:paraId="249B7F37">
            <w:pPr>
              <w:widowControl/>
              <w:spacing w:line="240" w:lineRule="auto"/>
              <w:ind w:firstLine="0" w:firstLineChars="0"/>
              <w:jc w:val="center"/>
              <w:rPr>
                <w:color w:val="auto"/>
                <w:sz w:val="21"/>
                <w:szCs w:val="21"/>
              </w:rPr>
            </w:pPr>
            <w:r>
              <w:rPr>
                <w:color w:val="auto"/>
                <w:sz w:val="21"/>
                <w:szCs w:val="21"/>
              </w:rPr>
              <w:t>废水治理要求</w:t>
            </w:r>
          </w:p>
        </w:tc>
        <w:tc>
          <w:tcPr>
            <w:tcW w:w="2897" w:type="pct"/>
            <w:vAlign w:val="center"/>
          </w:tcPr>
          <w:p w14:paraId="2690EED9">
            <w:pPr>
              <w:widowControl/>
              <w:spacing w:line="240" w:lineRule="auto"/>
              <w:ind w:firstLine="0" w:firstLineChars="0"/>
              <w:jc w:val="center"/>
              <w:rPr>
                <w:color w:val="auto"/>
                <w:sz w:val="21"/>
                <w:szCs w:val="21"/>
              </w:rPr>
            </w:pPr>
            <w:r>
              <w:rPr>
                <w:color w:val="auto"/>
                <w:sz w:val="21"/>
                <w:szCs w:val="21"/>
              </w:rPr>
              <w:t>强化企业节水措施，减少新鲜用量水。选用经工业化应用的成熟、经济可行的技术，提高全厂废水回用率。依据</w:t>
            </w:r>
            <w:r>
              <w:rPr>
                <w:rFonts w:hint="eastAsia"/>
                <w:color w:val="auto"/>
                <w:sz w:val="21"/>
                <w:szCs w:val="21"/>
              </w:rPr>
              <w:t>“</w:t>
            </w:r>
            <w:r>
              <w:rPr>
                <w:color w:val="auto"/>
                <w:sz w:val="21"/>
                <w:szCs w:val="21"/>
              </w:rPr>
              <w:t>雨污分流、清污分流、分类收集、深度处理、分质回用</w:t>
            </w:r>
            <w:r>
              <w:rPr>
                <w:rFonts w:hint="eastAsia"/>
                <w:color w:val="auto"/>
                <w:sz w:val="21"/>
                <w:szCs w:val="21"/>
              </w:rPr>
              <w:t>”</w:t>
            </w:r>
            <w:r>
              <w:rPr>
                <w:color w:val="auto"/>
                <w:sz w:val="21"/>
                <w:szCs w:val="21"/>
              </w:rPr>
              <w:t>的原则，按满足水质水量平衡核算要求设计全厂排水系统及废水处理处置方案，满足企业投产后水质水量平衡核算要求。初期雨水应按规定收集处理，不得直接排放至外环境。强化对废水特征污染物的处理效果，含高毒害或生物抑制性强、难降解有机物及高含盐废水应单独收集处理，原则上化工生产企业工业废水不得接入城镇污水处理厂。</w:t>
            </w:r>
          </w:p>
        </w:tc>
        <w:tc>
          <w:tcPr>
            <w:tcW w:w="1671" w:type="pct"/>
            <w:vAlign w:val="center"/>
          </w:tcPr>
          <w:p w14:paraId="7EB0D4B9">
            <w:pPr>
              <w:widowControl/>
              <w:spacing w:line="240" w:lineRule="auto"/>
              <w:ind w:firstLine="0" w:firstLineChars="0"/>
              <w:jc w:val="center"/>
              <w:rPr>
                <w:color w:val="auto"/>
                <w:sz w:val="21"/>
                <w:szCs w:val="21"/>
              </w:rPr>
            </w:pPr>
            <w:r>
              <w:rPr>
                <w:color w:val="auto"/>
                <w:sz w:val="21"/>
                <w:szCs w:val="21"/>
              </w:rPr>
              <w:t>拟建项目厂区内已按照</w:t>
            </w:r>
            <w:r>
              <w:rPr>
                <w:rFonts w:hint="eastAsia"/>
                <w:color w:val="auto"/>
                <w:sz w:val="21"/>
                <w:szCs w:val="21"/>
              </w:rPr>
              <w:t>“</w:t>
            </w:r>
            <w:r>
              <w:rPr>
                <w:color w:val="auto"/>
                <w:sz w:val="21"/>
                <w:szCs w:val="21"/>
              </w:rPr>
              <w:t>清污分流、雨污分流</w:t>
            </w:r>
            <w:r>
              <w:rPr>
                <w:rFonts w:hint="eastAsia"/>
                <w:color w:val="auto"/>
                <w:sz w:val="21"/>
                <w:szCs w:val="21"/>
              </w:rPr>
              <w:t>”</w:t>
            </w:r>
            <w:r>
              <w:rPr>
                <w:color w:val="auto"/>
                <w:sz w:val="21"/>
                <w:szCs w:val="21"/>
              </w:rPr>
              <w:t>进行设计，废水明管（专管）输送收集方式，厂内已设满足容量的事故应急池，初期雨水、事故废水全部进入废水处理系统。拟建项目生产过程中本着源头减少的原则，将产生的工艺废水循环套用，减少废水的排放量。本次</w:t>
            </w:r>
            <w:r>
              <w:rPr>
                <w:rFonts w:hint="eastAsia"/>
                <w:color w:val="auto"/>
                <w:sz w:val="21"/>
                <w:szCs w:val="21"/>
              </w:rPr>
              <w:t>扩建</w:t>
            </w:r>
            <w:r>
              <w:rPr>
                <w:color w:val="auto"/>
                <w:sz w:val="21"/>
                <w:szCs w:val="21"/>
              </w:rPr>
              <w:t>项目废水依托现有污水站处理，目前稳定运行。根据例行监测</w:t>
            </w:r>
            <w:r>
              <w:rPr>
                <w:rFonts w:hint="eastAsia"/>
                <w:color w:val="auto"/>
                <w:sz w:val="21"/>
                <w:szCs w:val="21"/>
              </w:rPr>
              <w:t>，各项污染物</w:t>
            </w:r>
            <w:r>
              <w:rPr>
                <w:color w:val="auto"/>
                <w:sz w:val="21"/>
                <w:szCs w:val="21"/>
              </w:rPr>
              <w:t>均能达标排放。废水经预处理后，接入园区污水处理厂处理。</w:t>
            </w:r>
          </w:p>
        </w:tc>
      </w:tr>
      <w:tr w14:paraId="0DD259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restart"/>
            <w:vAlign w:val="center"/>
          </w:tcPr>
          <w:p w14:paraId="44FC253B">
            <w:pPr>
              <w:widowControl/>
              <w:spacing w:line="240" w:lineRule="auto"/>
              <w:ind w:firstLine="0" w:firstLineChars="0"/>
              <w:jc w:val="center"/>
              <w:rPr>
                <w:color w:val="auto"/>
                <w:sz w:val="21"/>
                <w:szCs w:val="21"/>
              </w:rPr>
            </w:pPr>
            <w:r>
              <w:rPr>
                <w:color w:val="auto"/>
                <w:sz w:val="21"/>
                <w:szCs w:val="21"/>
              </w:rPr>
              <w:t>10</w:t>
            </w:r>
          </w:p>
          <w:p w14:paraId="62D9A46E">
            <w:pPr>
              <w:widowControl/>
              <w:spacing w:line="240" w:lineRule="auto"/>
              <w:ind w:firstLine="0" w:firstLineChars="0"/>
              <w:jc w:val="center"/>
              <w:rPr>
                <w:color w:val="auto"/>
                <w:sz w:val="21"/>
                <w:szCs w:val="21"/>
              </w:rPr>
            </w:pPr>
            <w:r>
              <w:rPr>
                <w:color w:val="auto"/>
                <w:sz w:val="21"/>
                <w:szCs w:val="21"/>
              </w:rPr>
              <w:t>固体废物处置要求</w:t>
            </w:r>
          </w:p>
        </w:tc>
        <w:tc>
          <w:tcPr>
            <w:tcW w:w="2897" w:type="pct"/>
            <w:vAlign w:val="center"/>
          </w:tcPr>
          <w:p w14:paraId="38501CB7">
            <w:pPr>
              <w:widowControl/>
              <w:spacing w:line="240" w:lineRule="auto"/>
              <w:ind w:firstLine="0" w:firstLineChars="0"/>
              <w:jc w:val="center"/>
              <w:rPr>
                <w:color w:val="auto"/>
                <w:sz w:val="21"/>
                <w:szCs w:val="21"/>
              </w:rPr>
            </w:pPr>
            <w:r>
              <w:rPr>
                <w:color w:val="auto"/>
                <w:sz w:val="21"/>
                <w:szCs w:val="21"/>
              </w:rPr>
              <w:t>按照</w:t>
            </w:r>
            <w:r>
              <w:rPr>
                <w:rFonts w:hint="eastAsia"/>
                <w:color w:val="auto"/>
                <w:sz w:val="21"/>
                <w:szCs w:val="21"/>
              </w:rPr>
              <w:t>“</w:t>
            </w:r>
            <w:r>
              <w:rPr>
                <w:color w:val="auto"/>
                <w:sz w:val="21"/>
                <w:szCs w:val="21"/>
              </w:rPr>
              <w:t>减量化、资源化、无害化</w:t>
            </w:r>
            <w:r>
              <w:rPr>
                <w:rFonts w:hint="eastAsia"/>
                <w:color w:val="auto"/>
                <w:sz w:val="21"/>
                <w:szCs w:val="21"/>
              </w:rPr>
              <w:t>”</w:t>
            </w:r>
            <w:r>
              <w:rPr>
                <w:color w:val="auto"/>
                <w:sz w:val="21"/>
                <w:szCs w:val="21"/>
              </w:rPr>
              <w:t>原则，推进废物源头减量和循环利用，实施废物替代原料或降级梯度再利用，提高废物综合利用水平。改进工艺装备，减少废盐、工业污泥等低价值、难处理废物产生量，减轻末端处置压力。</w:t>
            </w:r>
          </w:p>
        </w:tc>
        <w:tc>
          <w:tcPr>
            <w:tcW w:w="1671" w:type="pct"/>
            <w:vAlign w:val="center"/>
          </w:tcPr>
          <w:p w14:paraId="30D1A53A">
            <w:pPr>
              <w:widowControl/>
              <w:spacing w:line="240" w:lineRule="auto"/>
              <w:ind w:firstLine="0" w:firstLineChars="0"/>
              <w:jc w:val="center"/>
              <w:rPr>
                <w:color w:val="auto"/>
                <w:sz w:val="21"/>
                <w:szCs w:val="21"/>
              </w:rPr>
            </w:pPr>
            <w:r>
              <w:rPr>
                <w:color w:val="auto"/>
                <w:sz w:val="21"/>
                <w:szCs w:val="21"/>
              </w:rPr>
              <w:t>拟建项目生产过程中本着源头减少的原则，将产生的工艺废水循环套用，</w:t>
            </w:r>
            <w:r>
              <w:rPr>
                <w:rFonts w:hint="eastAsia"/>
                <w:color w:val="auto"/>
                <w:sz w:val="21"/>
                <w:szCs w:val="21"/>
              </w:rPr>
              <w:t>基本不产生工艺废水</w:t>
            </w:r>
            <w:r>
              <w:rPr>
                <w:color w:val="auto"/>
                <w:sz w:val="21"/>
                <w:szCs w:val="21"/>
              </w:rPr>
              <w:t>。企业经过多年生产，总结经验，优化生产工艺及治理措施，进一步减少产品单耗及污染物产生。</w:t>
            </w:r>
          </w:p>
        </w:tc>
      </w:tr>
      <w:tr w14:paraId="340C62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45620FFE">
            <w:pPr>
              <w:widowControl/>
              <w:spacing w:line="240" w:lineRule="auto"/>
              <w:ind w:firstLine="0" w:firstLineChars="0"/>
              <w:jc w:val="center"/>
              <w:rPr>
                <w:color w:val="auto"/>
                <w:sz w:val="21"/>
                <w:szCs w:val="21"/>
              </w:rPr>
            </w:pPr>
          </w:p>
        </w:tc>
        <w:tc>
          <w:tcPr>
            <w:tcW w:w="2897" w:type="pct"/>
            <w:vAlign w:val="center"/>
          </w:tcPr>
          <w:p w14:paraId="564EAB91">
            <w:pPr>
              <w:widowControl/>
              <w:spacing w:line="240" w:lineRule="auto"/>
              <w:ind w:firstLine="0" w:firstLineChars="0"/>
              <w:jc w:val="center"/>
              <w:rPr>
                <w:color w:val="auto"/>
                <w:sz w:val="21"/>
                <w:szCs w:val="21"/>
              </w:rPr>
            </w:pPr>
            <w:r>
              <w:rPr>
                <w:color w:val="auto"/>
                <w:sz w:val="21"/>
                <w:szCs w:val="21"/>
              </w:rPr>
              <w:t>危险废物立足于项目或园区就近无害化处置，鼓励危险废物年产生量5000 吨以上的企业自建利用处置设施。固体废物、危险废物贮存和处置系统应满足相关污染控制技术规范和标准要求。</w:t>
            </w:r>
          </w:p>
        </w:tc>
        <w:tc>
          <w:tcPr>
            <w:tcW w:w="1671" w:type="pct"/>
            <w:vAlign w:val="center"/>
          </w:tcPr>
          <w:p w14:paraId="2DA18A16">
            <w:pPr>
              <w:widowControl/>
              <w:spacing w:line="240" w:lineRule="auto"/>
              <w:ind w:firstLine="0" w:firstLineChars="0"/>
              <w:jc w:val="center"/>
              <w:rPr>
                <w:color w:val="auto"/>
                <w:sz w:val="21"/>
                <w:szCs w:val="21"/>
              </w:rPr>
            </w:pPr>
            <w:r>
              <w:rPr>
                <w:color w:val="auto"/>
                <w:sz w:val="21"/>
                <w:szCs w:val="21"/>
              </w:rPr>
              <w:t>危废处置委托有资质单位进行处置，能够确保全厂危废得到有效处理。</w:t>
            </w:r>
          </w:p>
        </w:tc>
      </w:tr>
      <w:tr w14:paraId="3EB549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41B9E919">
            <w:pPr>
              <w:widowControl/>
              <w:spacing w:line="240" w:lineRule="auto"/>
              <w:ind w:firstLine="0" w:firstLineChars="0"/>
              <w:jc w:val="center"/>
              <w:rPr>
                <w:color w:val="auto"/>
                <w:sz w:val="21"/>
                <w:szCs w:val="21"/>
              </w:rPr>
            </w:pPr>
          </w:p>
        </w:tc>
        <w:tc>
          <w:tcPr>
            <w:tcW w:w="2897" w:type="pct"/>
            <w:vAlign w:val="center"/>
          </w:tcPr>
          <w:p w14:paraId="2B856461">
            <w:pPr>
              <w:widowControl/>
              <w:spacing w:line="240" w:lineRule="auto"/>
              <w:ind w:firstLine="0" w:firstLineChars="0"/>
              <w:jc w:val="center"/>
              <w:rPr>
                <w:color w:val="auto"/>
                <w:sz w:val="21"/>
                <w:szCs w:val="21"/>
              </w:rPr>
            </w:pPr>
            <w:r>
              <w:rPr>
                <w:color w:val="auto"/>
                <w:sz w:val="21"/>
                <w:szCs w:val="21"/>
              </w:rPr>
              <w:t>根据《建设项目危险废物环境影响评价指南》（原环境保护部公告2017年第43号）等相关要求，对建设项目产生的危险废物种类、数量、利用或处置方式、环境影响以及环境风险等进行科学评价，并提出切实可行的污染防治对策措施。</w:t>
            </w:r>
          </w:p>
        </w:tc>
        <w:tc>
          <w:tcPr>
            <w:tcW w:w="1671" w:type="pct"/>
            <w:vAlign w:val="center"/>
          </w:tcPr>
          <w:p w14:paraId="321E33CF">
            <w:pPr>
              <w:widowControl/>
              <w:spacing w:line="240" w:lineRule="auto"/>
              <w:ind w:firstLine="0" w:firstLineChars="0"/>
              <w:jc w:val="center"/>
              <w:rPr>
                <w:color w:val="auto"/>
                <w:sz w:val="21"/>
                <w:szCs w:val="21"/>
              </w:rPr>
            </w:pPr>
            <w:r>
              <w:rPr>
                <w:color w:val="auto"/>
                <w:sz w:val="21"/>
                <w:szCs w:val="21"/>
              </w:rPr>
              <w:t>按照《建设项目危险废物环境影响评价指南》（原环境保护部公告2017年第43号）等相关要求进行危险废物环境影响评价。</w:t>
            </w:r>
          </w:p>
        </w:tc>
      </w:tr>
      <w:tr w14:paraId="70A143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restart"/>
            <w:vAlign w:val="center"/>
          </w:tcPr>
          <w:p w14:paraId="6D56588D">
            <w:pPr>
              <w:widowControl/>
              <w:spacing w:line="240" w:lineRule="auto"/>
              <w:ind w:firstLine="0" w:firstLineChars="0"/>
              <w:jc w:val="center"/>
              <w:rPr>
                <w:color w:val="auto"/>
                <w:sz w:val="21"/>
                <w:szCs w:val="21"/>
              </w:rPr>
            </w:pPr>
            <w:r>
              <w:rPr>
                <w:color w:val="auto"/>
                <w:sz w:val="21"/>
                <w:szCs w:val="21"/>
              </w:rPr>
              <w:t>11</w:t>
            </w:r>
          </w:p>
          <w:p w14:paraId="0719E1AD">
            <w:pPr>
              <w:widowControl/>
              <w:spacing w:line="240" w:lineRule="auto"/>
              <w:ind w:firstLine="0" w:firstLineChars="0"/>
              <w:jc w:val="center"/>
              <w:rPr>
                <w:color w:val="auto"/>
                <w:sz w:val="21"/>
                <w:szCs w:val="21"/>
              </w:rPr>
            </w:pPr>
            <w:r>
              <w:rPr>
                <w:color w:val="auto"/>
                <w:sz w:val="21"/>
                <w:szCs w:val="21"/>
              </w:rPr>
              <w:t>土壤和地下水污染防治要求</w:t>
            </w:r>
          </w:p>
        </w:tc>
        <w:tc>
          <w:tcPr>
            <w:tcW w:w="2897" w:type="pct"/>
            <w:vAlign w:val="center"/>
          </w:tcPr>
          <w:p w14:paraId="440789AC">
            <w:pPr>
              <w:widowControl/>
              <w:spacing w:line="240" w:lineRule="auto"/>
              <w:ind w:firstLine="0" w:firstLineChars="0"/>
              <w:jc w:val="center"/>
              <w:rPr>
                <w:color w:val="auto"/>
                <w:sz w:val="21"/>
                <w:szCs w:val="21"/>
              </w:rPr>
            </w:pPr>
            <w:r>
              <w:rPr>
                <w:color w:val="auto"/>
                <w:sz w:val="21"/>
                <w:szCs w:val="21"/>
              </w:rPr>
              <w:t>根据环境保护目标敏感程度、水文地质条件采取分区防渗措施，制定有效的地下水监控和应急方案。</w:t>
            </w:r>
          </w:p>
        </w:tc>
        <w:tc>
          <w:tcPr>
            <w:tcW w:w="1671" w:type="pct"/>
            <w:vAlign w:val="center"/>
          </w:tcPr>
          <w:p w14:paraId="15A17A64">
            <w:pPr>
              <w:widowControl/>
              <w:spacing w:line="240" w:lineRule="auto"/>
              <w:ind w:firstLine="0" w:firstLineChars="0"/>
              <w:jc w:val="center"/>
              <w:rPr>
                <w:color w:val="auto"/>
                <w:sz w:val="21"/>
                <w:szCs w:val="21"/>
              </w:rPr>
            </w:pPr>
            <w:r>
              <w:rPr>
                <w:rFonts w:hint="eastAsia"/>
                <w:color w:val="auto"/>
                <w:sz w:val="21"/>
                <w:szCs w:val="21"/>
              </w:rPr>
              <w:t>拟建项目</w:t>
            </w:r>
            <w:r>
              <w:rPr>
                <w:color w:val="auto"/>
                <w:sz w:val="21"/>
                <w:szCs w:val="21"/>
              </w:rPr>
              <w:t>按照分区防渗要求进行防渗。</w:t>
            </w:r>
          </w:p>
        </w:tc>
      </w:tr>
      <w:tr w14:paraId="56B878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74FED658">
            <w:pPr>
              <w:widowControl/>
              <w:spacing w:line="240" w:lineRule="auto"/>
              <w:ind w:firstLine="0" w:firstLineChars="0"/>
              <w:jc w:val="center"/>
              <w:rPr>
                <w:color w:val="auto"/>
                <w:sz w:val="21"/>
                <w:szCs w:val="21"/>
              </w:rPr>
            </w:pPr>
          </w:p>
        </w:tc>
        <w:tc>
          <w:tcPr>
            <w:tcW w:w="2897" w:type="pct"/>
            <w:vAlign w:val="center"/>
          </w:tcPr>
          <w:p w14:paraId="6C80D952">
            <w:pPr>
              <w:widowControl/>
              <w:spacing w:line="240" w:lineRule="auto"/>
              <w:ind w:firstLine="0" w:firstLineChars="0"/>
              <w:jc w:val="center"/>
              <w:rPr>
                <w:color w:val="auto"/>
                <w:sz w:val="21"/>
                <w:szCs w:val="21"/>
              </w:rPr>
            </w:pPr>
            <w:r>
              <w:rPr>
                <w:color w:val="auto"/>
                <w:sz w:val="21"/>
                <w:szCs w:val="21"/>
              </w:rPr>
              <w:t>项目工艺废水管线应采取地上明渠明管或架空敷设，雨水采取地面明沟方式收集。工艺废水管线、生产装置、罐区、污水处理设施、固体废物贮存场所及其他污染区地面应进行防腐、防渗处理，不得污染土壤和地下水。</w:t>
            </w:r>
          </w:p>
        </w:tc>
        <w:tc>
          <w:tcPr>
            <w:tcW w:w="1671" w:type="pct"/>
            <w:vAlign w:val="center"/>
          </w:tcPr>
          <w:p w14:paraId="3D7EF036">
            <w:pPr>
              <w:widowControl/>
              <w:spacing w:line="240" w:lineRule="auto"/>
              <w:ind w:firstLine="0" w:firstLineChars="0"/>
              <w:jc w:val="center"/>
              <w:rPr>
                <w:color w:val="auto"/>
                <w:sz w:val="21"/>
                <w:szCs w:val="21"/>
              </w:rPr>
            </w:pPr>
            <w:r>
              <w:rPr>
                <w:color w:val="auto"/>
                <w:sz w:val="21"/>
                <w:szCs w:val="21"/>
              </w:rPr>
              <w:t>废水采用明管（专管）输送收集方式，雨水采取地面明沟方式收集。对管线等设施做好防腐防渗处理。</w:t>
            </w:r>
          </w:p>
        </w:tc>
      </w:tr>
      <w:tr w14:paraId="562543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2700D41B">
            <w:pPr>
              <w:widowControl/>
              <w:spacing w:line="240" w:lineRule="auto"/>
              <w:ind w:firstLine="0" w:firstLineChars="0"/>
              <w:jc w:val="center"/>
              <w:rPr>
                <w:color w:val="auto"/>
                <w:sz w:val="21"/>
                <w:szCs w:val="21"/>
              </w:rPr>
            </w:pPr>
          </w:p>
        </w:tc>
        <w:tc>
          <w:tcPr>
            <w:tcW w:w="2897" w:type="pct"/>
            <w:vAlign w:val="center"/>
          </w:tcPr>
          <w:p w14:paraId="45D93D31">
            <w:pPr>
              <w:widowControl/>
              <w:spacing w:line="240" w:lineRule="auto"/>
              <w:ind w:firstLine="0" w:firstLineChars="0"/>
              <w:jc w:val="center"/>
              <w:rPr>
                <w:color w:val="auto"/>
                <w:sz w:val="21"/>
                <w:szCs w:val="21"/>
              </w:rPr>
            </w:pPr>
            <w:r>
              <w:rPr>
                <w:color w:val="auto"/>
                <w:sz w:val="21"/>
                <w:szCs w:val="21"/>
              </w:rPr>
              <w:t>新、改、扩建化工项目，应重点关注区域土壤和地下水环境质量，提出合理、可行、操作性强的土壤防控措施； 搬迁项目应根据有关规定提出现有场地环境调查、风险评估、土壤修复的要求。</w:t>
            </w:r>
          </w:p>
        </w:tc>
        <w:tc>
          <w:tcPr>
            <w:tcW w:w="1671" w:type="pct"/>
            <w:vAlign w:val="center"/>
          </w:tcPr>
          <w:p w14:paraId="6E672F98">
            <w:pPr>
              <w:widowControl/>
              <w:spacing w:line="240" w:lineRule="auto"/>
              <w:ind w:firstLine="0" w:firstLineChars="0"/>
              <w:jc w:val="center"/>
              <w:rPr>
                <w:color w:val="auto"/>
                <w:sz w:val="21"/>
                <w:szCs w:val="21"/>
              </w:rPr>
            </w:pPr>
            <w:r>
              <w:rPr>
                <w:rFonts w:hint="eastAsia"/>
                <w:color w:val="auto"/>
                <w:sz w:val="21"/>
                <w:szCs w:val="21"/>
              </w:rPr>
              <w:t>拟建项目</w:t>
            </w:r>
            <w:r>
              <w:rPr>
                <w:color w:val="auto"/>
                <w:sz w:val="21"/>
                <w:szCs w:val="21"/>
              </w:rPr>
              <w:t>评价了区域的土壤和地下水环境质量现状，并提出来相应措施。</w:t>
            </w:r>
          </w:p>
        </w:tc>
      </w:tr>
      <w:tr w14:paraId="2E1B0F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Align w:val="center"/>
          </w:tcPr>
          <w:p w14:paraId="1BD2C016">
            <w:pPr>
              <w:widowControl/>
              <w:spacing w:line="240" w:lineRule="auto"/>
              <w:ind w:firstLine="0" w:firstLineChars="0"/>
              <w:jc w:val="center"/>
              <w:rPr>
                <w:color w:val="auto"/>
                <w:sz w:val="21"/>
                <w:szCs w:val="21"/>
              </w:rPr>
            </w:pPr>
            <w:r>
              <w:rPr>
                <w:color w:val="auto"/>
                <w:sz w:val="21"/>
                <w:szCs w:val="21"/>
              </w:rPr>
              <w:t>12</w:t>
            </w:r>
          </w:p>
        </w:tc>
        <w:tc>
          <w:tcPr>
            <w:tcW w:w="2897" w:type="pct"/>
            <w:vAlign w:val="center"/>
          </w:tcPr>
          <w:p w14:paraId="4C01F5E9">
            <w:pPr>
              <w:widowControl/>
              <w:spacing w:line="240" w:lineRule="auto"/>
              <w:ind w:firstLine="0" w:firstLineChars="0"/>
              <w:jc w:val="center"/>
              <w:rPr>
                <w:color w:val="auto"/>
                <w:sz w:val="21"/>
                <w:szCs w:val="21"/>
              </w:rPr>
            </w:pPr>
            <w:r>
              <w:rPr>
                <w:color w:val="auto"/>
                <w:sz w:val="21"/>
                <w:szCs w:val="21"/>
              </w:rPr>
              <w:t>优化厂区平面布置，优先选用低噪声设备，高噪声设备采取隔声、消声、减振等降噪措施，厂界噪声满足《工业企业厂界环境噪声排放标准》</w:t>
            </w:r>
            <w:r>
              <w:rPr>
                <w:rFonts w:hint="eastAsia"/>
                <w:color w:val="auto"/>
                <w:sz w:val="21"/>
                <w:szCs w:val="21"/>
              </w:rPr>
              <w:t>（</w:t>
            </w:r>
            <w:r>
              <w:rPr>
                <w:color w:val="auto"/>
                <w:sz w:val="21"/>
                <w:szCs w:val="21"/>
              </w:rPr>
              <w:t xml:space="preserve"> GB12348</w:t>
            </w:r>
            <w:r>
              <w:rPr>
                <w:rFonts w:hint="eastAsia"/>
                <w:color w:val="auto"/>
                <w:sz w:val="21"/>
                <w:szCs w:val="21"/>
              </w:rPr>
              <w:t>）</w:t>
            </w:r>
            <w:r>
              <w:rPr>
                <w:color w:val="auto"/>
                <w:sz w:val="21"/>
                <w:szCs w:val="21"/>
              </w:rPr>
              <w:t xml:space="preserve"> 要求。</w:t>
            </w:r>
          </w:p>
        </w:tc>
        <w:tc>
          <w:tcPr>
            <w:tcW w:w="1671" w:type="pct"/>
            <w:vAlign w:val="center"/>
          </w:tcPr>
          <w:p w14:paraId="3038B491">
            <w:pPr>
              <w:widowControl/>
              <w:spacing w:line="240" w:lineRule="auto"/>
              <w:ind w:firstLine="0" w:firstLineChars="0"/>
              <w:jc w:val="center"/>
              <w:rPr>
                <w:color w:val="auto"/>
                <w:sz w:val="21"/>
                <w:szCs w:val="21"/>
              </w:rPr>
            </w:pPr>
            <w:r>
              <w:rPr>
                <w:color w:val="auto"/>
                <w:sz w:val="21"/>
                <w:szCs w:val="21"/>
              </w:rPr>
              <w:t>通过选用低噪声设备，高噪声设备采取隔声、消声、减振等降噪措施，厂界噪声满足《工业企业厂界环境噪声排放标准》</w:t>
            </w:r>
            <w:r>
              <w:rPr>
                <w:rFonts w:hint="eastAsia"/>
                <w:color w:val="auto"/>
                <w:sz w:val="21"/>
                <w:szCs w:val="21"/>
              </w:rPr>
              <w:t>（</w:t>
            </w:r>
            <w:r>
              <w:rPr>
                <w:color w:val="auto"/>
                <w:sz w:val="21"/>
                <w:szCs w:val="21"/>
              </w:rPr>
              <w:t xml:space="preserve"> GB12348</w:t>
            </w:r>
            <w:r>
              <w:rPr>
                <w:rFonts w:hint="eastAsia"/>
                <w:color w:val="auto"/>
                <w:sz w:val="21"/>
                <w:szCs w:val="21"/>
              </w:rPr>
              <w:t>）</w:t>
            </w:r>
            <w:r>
              <w:rPr>
                <w:color w:val="auto"/>
                <w:sz w:val="21"/>
                <w:szCs w:val="21"/>
              </w:rPr>
              <w:t xml:space="preserve"> 3类要求。</w:t>
            </w:r>
          </w:p>
        </w:tc>
      </w:tr>
      <w:tr w14:paraId="516AC0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Align w:val="center"/>
          </w:tcPr>
          <w:p w14:paraId="3E299A83">
            <w:pPr>
              <w:widowControl/>
              <w:spacing w:line="240" w:lineRule="auto"/>
              <w:ind w:firstLine="0" w:firstLineChars="0"/>
              <w:jc w:val="center"/>
              <w:rPr>
                <w:color w:val="auto"/>
                <w:sz w:val="21"/>
                <w:szCs w:val="21"/>
              </w:rPr>
            </w:pPr>
            <w:r>
              <w:rPr>
                <w:color w:val="auto"/>
                <w:sz w:val="21"/>
                <w:szCs w:val="21"/>
              </w:rPr>
              <w:t>13</w:t>
            </w:r>
          </w:p>
          <w:p w14:paraId="042E3074">
            <w:pPr>
              <w:widowControl/>
              <w:spacing w:line="240" w:lineRule="auto"/>
              <w:ind w:firstLine="0" w:firstLineChars="0"/>
              <w:jc w:val="center"/>
              <w:rPr>
                <w:color w:val="auto"/>
                <w:sz w:val="21"/>
                <w:szCs w:val="21"/>
              </w:rPr>
            </w:pPr>
            <w:r>
              <w:rPr>
                <w:color w:val="auto"/>
                <w:sz w:val="21"/>
                <w:szCs w:val="21"/>
              </w:rPr>
              <w:t>环境风险防控要求</w:t>
            </w:r>
          </w:p>
        </w:tc>
        <w:tc>
          <w:tcPr>
            <w:tcW w:w="2897" w:type="pct"/>
            <w:vAlign w:val="center"/>
          </w:tcPr>
          <w:p w14:paraId="08598A12">
            <w:pPr>
              <w:widowControl/>
              <w:spacing w:line="240" w:lineRule="auto"/>
              <w:ind w:firstLine="0" w:firstLineChars="0"/>
              <w:jc w:val="center"/>
              <w:rPr>
                <w:color w:val="auto"/>
                <w:sz w:val="21"/>
                <w:szCs w:val="21"/>
              </w:rPr>
            </w:pPr>
            <w:r>
              <w:rPr>
                <w:color w:val="auto"/>
                <w:sz w:val="21"/>
                <w:szCs w:val="21"/>
              </w:rPr>
              <w:t>根据项目生产工艺和污染物排放特点合理布局项目生产装置和环境治理设施，提出合理有效的环境风险防范和应急措施。</w:t>
            </w:r>
          </w:p>
          <w:p w14:paraId="4BB21ED1">
            <w:pPr>
              <w:widowControl/>
              <w:spacing w:line="240" w:lineRule="auto"/>
              <w:ind w:firstLine="0" w:firstLineChars="0"/>
              <w:jc w:val="center"/>
              <w:rPr>
                <w:color w:val="auto"/>
                <w:sz w:val="21"/>
                <w:szCs w:val="21"/>
              </w:rPr>
            </w:pPr>
            <w:r>
              <w:rPr>
                <w:color w:val="auto"/>
                <w:sz w:val="21"/>
                <w:szCs w:val="21"/>
              </w:rPr>
              <w:t>建设满足环境风险防控要求的基础设施。严格落实</w:t>
            </w:r>
            <w:r>
              <w:rPr>
                <w:rFonts w:hint="eastAsia"/>
                <w:color w:val="auto"/>
                <w:sz w:val="21"/>
                <w:szCs w:val="21"/>
              </w:rPr>
              <w:t>“</w:t>
            </w:r>
            <w:r>
              <w:rPr>
                <w:color w:val="auto"/>
                <w:sz w:val="21"/>
                <w:szCs w:val="21"/>
              </w:rPr>
              <w:t>单元-厂区-园区（区域）</w:t>
            </w:r>
            <w:r>
              <w:rPr>
                <w:rFonts w:hint="eastAsia"/>
                <w:color w:val="auto"/>
                <w:sz w:val="21"/>
                <w:szCs w:val="21"/>
              </w:rPr>
              <w:t>”</w:t>
            </w:r>
            <w:r>
              <w:rPr>
                <w:color w:val="auto"/>
                <w:sz w:val="21"/>
                <w:szCs w:val="21"/>
              </w:rPr>
              <w:t>三级环境风险防控要求，建设科学合理的雨水污水排口及闸控、输送管路、截污回流系统等工程控制措施，以及事故水收集、储存、处理设施，配套足够容量的应急池，确保事故水不进入外环境，并以图示方式明确封堵控制系统。</w:t>
            </w:r>
          </w:p>
          <w:p w14:paraId="48C4BBCE">
            <w:pPr>
              <w:widowControl/>
              <w:spacing w:line="240" w:lineRule="auto"/>
              <w:ind w:firstLine="0" w:firstLineChars="0"/>
              <w:jc w:val="center"/>
              <w:rPr>
                <w:color w:val="auto"/>
                <w:sz w:val="21"/>
                <w:szCs w:val="21"/>
              </w:rPr>
            </w:pPr>
            <w:r>
              <w:rPr>
                <w:color w:val="auto"/>
                <w:sz w:val="21"/>
                <w:szCs w:val="21"/>
              </w:rPr>
              <w:t>制定有效的环境应急管理制度。按照规定开展突发环境事件风险评估及应急预案编制备案，定期开展回顾性评估或修编。定期排查突发环境事件隐患，建立隐患排查治理档案，及时发现并消除隐患。配备应急处置人员和必要的环境应急装备、设备、物资。定期开展培训和演练，完善应急准备措施。</w:t>
            </w:r>
          </w:p>
          <w:p w14:paraId="5D8D1388">
            <w:pPr>
              <w:widowControl/>
              <w:spacing w:line="240" w:lineRule="auto"/>
              <w:ind w:firstLine="0" w:firstLineChars="0"/>
              <w:jc w:val="center"/>
              <w:rPr>
                <w:color w:val="auto"/>
                <w:sz w:val="21"/>
                <w:szCs w:val="21"/>
              </w:rPr>
            </w:pPr>
            <w:r>
              <w:rPr>
                <w:color w:val="auto"/>
                <w:sz w:val="21"/>
                <w:szCs w:val="21"/>
              </w:rPr>
              <w:t>与当地政府和相关部门以及周边企业、园区环境风险防控体系相衔接，建立区域环境风险联控机制。</w:t>
            </w:r>
          </w:p>
        </w:tc>
        <w:tc>
          <w:tcPr>
            <w:tcW w:w="1671" w:type="pct"/>
            <w:vAlign w:val="center"/>
          </w:tcPr>
          <w:p w14:paraId="4971188E">
            <w:pPr>
              <w:widowControl/>
              <w:spacing w:line="240" w:lineRule="auto"/>
              <w:ind w:firstLine="0" w:firstLineChars="0"/>
              <w:jc w:val="center"/>
              <w:rPr>
                <w:color w:val="auto"/>
                <w:sz w:val="21"/>
                <w:szCs w:val="21"/>
              </w:rPr>
            </w:pPr>
            <w:r>
              <w:rPr>
                <w:color w:val="auto"/>
                <w:sz w:val="21"/>
                <w:szCs w:val="21"/>
              </w:rPr>
              <w:t>企业现有项目已按照国家标准和规范编制事故应急预案，并与区域环境风险应急预案实现联动，配备应急救援人员和必要的应急救援器材、设备，并定期开展事故应急演练。拟建项目风险防范措施及应急预案等基本依托厂内现有，增加部分风险措施，主要注重拟建项目与现有风险防范措施及应急预案的衔接。</w:t>
            </w:r>
          </w:p>
          <w:p w14:paraId="6FAF3657">
            <w:pPr>
              <w:widowControl/>
              <w:spacing w:line="240" w:lineRule="auto"/>
              <w:ind w:firstLine="0" w:firstLineChars="0"/>
              <w:jc w:val="center"/>
              <w:rPr>
                <w:color w:val="auto"/>
                <w:sz w:val="21"/>
                <w:szCs w:val="21"/>
              </w:rPr>
            </w:pPr>
          </w:p>
        </w:tc>
      </w:tr>
      <w:tr w14:paraId="40F1E3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restart"/>
            <w:vAlign w:val="center"/>
          </w:tcPr>
          <w:p w14:paraId="58C86681">
            <w:pPr>
              <w:widowControl/>
              <w:spacing w:line="240" w:lineRule="auto"/>
              <w:ind w:firstLine="0" w:firstLineChars="0"/>
              <w:jc w:val="center"/>
              <w:rPr>
                <w:color w:val="auto"/>
                <w:sz w:val="21"/>
                <w:szCs w:val="21"/>
              </w:rPr>
            </w:pPr>
            <w:r>
              <w:rPr>
                <w:color w:val="auto"/>
                <w:sz w:val="21"/>
                <w:szCs w:val="21"/>
              </w:rPr>
              <w:t>14</w:t>
            </w:r>
          </w:p>
          <w:p w14:paraId="7C5790AC">
            <w:pPr>
              <w:widowControl/>
              <w:spacing w:line="240" w:lineRule="auto"/>
              <w:ind w:firstLine="0" w:firstLineChars="0"/>
              <w:jc w:val="center"/>
              <w:rPr>
                <w:color w:val="auto"/>
                <w:sz w:val="21"/>
                <w:szCs w:val="21"/>
              </w:rPr>
            </w:pPr>
            <w:r>
              <w:rPr>
                <w:color w:val="auto"/>
                <w:sz w:val="21"/>
                <w:szCs w:val="21"/>
              </w:rPr>
              <w:t>环境监控要求</w:t>
            </w:r>
          </w:p>
        </w:tc>
        <w:tc>
          <w:tcPr>
            <w:tcW w:w="2897" w:type="pct"/>
            <w:vAlign w:val="center"/>
          </w:tcPr>
          <w:p w14:paraId="7B8D6CD7">
            <w:pPr>
              <w:widowControl/>
              <w:spacing w:line="240" w:lineRule="auto"/>
              <w:ind w:firstLine="0" w:firstLineChars="0"/>
              <w:jc w:val="center"/>
              <w:rPr>
                <w:color w:val="auto"/>
                <w:sz w:val="21"/>
                <w:szCs w:val="21"/>
              </w:rPr>
            </w:pPr>
            <w:r>
              <w:rPr>
                <w:color w:val="auto"/>
                <w:sz w:val="21"/>
                <w:szCs w:val="21"/>
              </w:rPr>
              <w:t>企业应制定完善的覆盖大气、地表水、地下水、土壤、噪声、生态等各环境要素、包含常规污染物和特征污染物的环境监测计划； 按照《排污单位自行监测技术指南 总则》</w:t>
            </w:r>
            <w:r>
              <w:rPr>
                <w:rFonts w:hint="eastAsia"/>
                <w:color w:val="auto"/>
                <w:sz w:val="21"/>
                <w:szCs w:val="21"/>
              </w:rPr>
              <w:t>（</w:t>
            </w:r>
            <w:r>
              <w:rPr>
                <w:color w:val="auto"/>
                <w:sz w:val="21"/>
                <w:szCs w:val="21"/>
              </w:rPr>
              <w:t xml:space="preserve">HJ819-2017 </w:t>
            </w:r>
            <w:r>
              <w:rPr>
                <w:rFonts w:hint="eastAsia"/>
                <w:color w:val="auto"/>
                <w:sz w:val="21"/>
                <w:szCs w:val="21"/>
              </w:rPr>
              <w:t>）</w:t>
            </w:r>
            <w:r>
              <w:rPr>
                <w:color w:val="auto"/>
                <w:sz w:val="21"/>
                <w:szCs w:val="21"/>
              </w:rPr>
              <w:t>及相关行业自行监测技术指南开展自行监测。</w:t>
            </w:r>
          </w:p>
        </w:tc>
        <w:tc>
          <w:tcPr>
            <w:tcW w:w="1671" w:type="pct"/>
            <w:vAlign w:val="center"/>
          </w:tcPr>
          <w:p w14:paraId="6650DF1C">
            <w:pPr>
              <w:widowControl/>
              <w:spacing w:line="240" w:lineRule="auto"/>
              <w:ind w:firstLine="0" w:firstLineChars="0"/>
              <w:jc w:val="center"/>
              <w:rPr>
                <w:color w:val="auto"/>
                <w:sz w:val="21"/>
                <w:szCs w:val="21"/>
              </w:rPr>
            </w:pPr>
            <w:r>
              <w:rPr>
                <w:color w:val="auto"/>
                <w:sz w:val="21"/>
                <w:szCs w:val="21"/>
              </w:rPr>
              <w:t>企业已制定覆盖大气、地表水、地下水、土壤、噪声等环境要素、包含常规污染物和特征污染物的环境监测计划；按照《排污单位自行监测技术指南</w:t>
            </w:r>
            <w:r>
              <w:rPr>
                <w:rFonts w:hint="eastAsia"/>
                <w:color w:val="auto"/>
                <w:sz w:val="21"/>
                <w:szCs w:val="21"/>
              </w:rPr>
              <w:t xml:space="preserve"> </w:t>
            </w:r>
            <w:r>
              <w:rPr>
                <w:color w:val="auto"/>
                <w:sz w:val="21"/>
                <w:szCs w:val="21"/>
              </w:rPr>
              <w:t>总则》（HJ819-2017）及化工行业自行监测技术指南定期委托第三方开展自行监测。</w:t>
            </w:r>
          </w:p>
        </w:tc>
      </w:tr>
      <w:tr w14:paraId="208CDA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74038B32">
            <w:pPr>
              <w:widowControl/>
              <w:spacing w:line="240" w:lineRule="auto"/>
              <w:ind w:firstLine="0" w:firstLineChars="0"/>
              <w:jc w:val="center"/>
              <w:rPr>
                <w:color w:val="auto"/>
                <w:sz w:val="21"/>
                <w:szCs w:val="21"/>
              </w:rPr>
            </w:pPr>
          </w:p>
        </w:tc>
        <w:tc>
          <w:tcPr>
            <w:tcW w:w="2897" w:type="pct"/>
            <w:vAlign w:val="center"/>
          </w:tcPr>
          <w:p w14:paraId="5D288C63">
            <w:pPr>
              <w:widowControl/>
              <w:spacing w:line="240" w:lineRule="auto"/>
              <w:ind w:firstLine="0" w:firstLineChars="0"/>
              <w:jc w:val="center"/>
              <w:rPr>
                <w:color w:val="auto"/>
                <w:sz w:val="21"/>
                <w:szCs w:val="21"/>
              </w:rPr>
            </w:pPr>
            <w:r>
              <w:rPr>
                <w:color w:val="auto"/>
                <w:sz w:val="21"/>
                <w:szCs w:val="21"/>
              </w:rPr>
              <w:t>对采取焚烧法的废气治理设施（直燃炉、RTO炉）安装工况在线监控和排口在线监测装置，喷淋处理设施应配备液位、PH等自控仪表，采用自动方式加药。企业污水排放口、雨水排放口应设置在线监测、在线质控、视频监控和由监管部门控制的自动排放阀，全厂原则上只能设一个污水排放口。</w:t>
            </w:r>
          </w:p>
        </w:tc>
        <w:tc>
          <w:tcPr>
            <w:tcW w:w="1671" w:type="pct"/>
            <w:vAlign w:val="center"/>
          </w:tcPr>
          <w:p w14:paraId="33170635">
            <w:pPr>
              <w:widowControl/>
              <w:spacing w:line="240" w:lineRule="auto"/>
              <w:ind w:firstLine="0" w:firstLineChars="0"/>
              <w:jc w:val="center"/>
              <w:rPr>
                <w:color w:val="auto"/>
                <w:sz w:val="21"/>
                <w:szCs w:val="21"/>
              </w:rPr>
            </w:pPr>
            <w:r>
              <w:rPr>
                <w:color w:val="auto"/>
                <w:sz w:val="21"/>
                <w:szCs w:val="21"/>
              </w:rPr>
              <w:t>企业现有喷淋处理设施配备液位、pH等自控仪表</w:t>
            </w:r>
            <w:r>
              <w:rPr>
                <w:rFonts w:hint="eastAsia"/>
                <w:color w:val="auto"/>
                <w:sz w:val="21"/>
                <w:szCs w:val="21"/>
              </w:rPr>
              <w:t>；</w:t>
            </w:r>
            <w:r>
              <w:rPr>
                <w:color w:val="auto"/>
                <w:sz w:val="21"/>
                <w:szCs w:val="21"/>
              </w:rPr>
              <w:t>企业污水</w:t>
            </w:r>
            <w:r>
              <w:rPr>
                <w:rFonts w:hint="eastAsia"/>
                <w:color w:val="auto"/>
                <w:sz w:val="21"/>
                <w:szCs w:val="21"/>
              </w:rPr>
              <w:t>及</w:t>
            </w:r>
            <w:r>
              <w:rPr>
                <w:color w:val="auto"/>
                <w:sz w:val="21"/>
                <w:szCs w:val="21"/>
              </w:rPr>
              <w:t>雨水排放口已设置在线监测</w:t>
            </w:r>
            <w:r>
              <w:rPr>
                <w:rFonts w:hint="eastAsia"/>
                <w:color w:val="auto"/>
                <w:sz w:val="21"/>
                <w:szCs w:val="21"/>
              </w:rPr>
              <w:t>设备</w:t>
            </w:r>
            <w:r>
              <w:rPr>
                <w:color w:val="auto"/>
                <w:sz w:val="21"/>
                <w:szCs w:val="21"/>
              </w:rPr>
              <w:t>。</w:t>
            </w:r>
          </w:p>
        </w:tc>
      </w:tr>
      <w:tr w14:paraId="4E77AB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Merge w:val="continue"/>
            <w:vAlign w:val="center"/>
          </w:tcPr>
          <w:p w14:paraId="5104FCCC">
            <w:pPr>
              <w:widowControl/>
              <w:spacing w:line="240" w:lineRule="auto"/>
              <w:ind w:firstLine="0" w:firstLineChars="0"/>
              <w:jc w:val="center"/>
              <w:rPr>
                <w:color w:val="auto"/>
                <w:sz w:val="21"/>
                <w:szCs w:val="21"/>
              </w:rPr>
            </w:pPr>
          </w:p>
        </w:tc>
        <w:tc>
          <w:tcPr>
            <w:tcW w:w="2897" w:type="pct"/>
            <w:vAlign w:val="center"/>
          </w:tcPr>
          <w:p w14:paraId="2791387E">
            <w:pPr>
              <w:widowControl/>
              <w:spacing w:line="240" w:lineRule="auto"/>
              <w:ind w:firstLine="0" w:firstLineChars="0"/>
              <w:jc w:val="center"/>
              <w:rPr>
                <w:color w:val="auto"/>
                <w:sz w:val="21"/>
                <w:szCs w:val="21"/>
              </w:rPr>
            </w:pPr>
            <w:r>
              <w:rPr>
                <w:color w:val="auto"/>
                <w:sz w:val="21"/>
                <w:szCs w:val="21"/>
              </w:rPr>
              <w:t>企业各类污染治理设施单独安装水、电、蒸汽等计量装置，关键设备（风机、水泵）设置在线工况监控；项目所在化工园区（集中区）建立覆盖各环境要素和各类污染物的监测监控体系。</w:t>
            </w:r>
          </w:p>
        </w:tc>
        <w:tc>
          <w:tcPr>
            <w:tcW w:w="1671" w:type="pct"/>
            <w:vAlign w:val="center"/>
          </w:tcPr>
          <w:p w14:paraId="2772E1AA">
            <w:pPr>
              <w:widowControl/>
              <w:spacing w:line="240" w:lineRule="auto"/>
              <w:ind w:firstLine="0" w:firstLineChars="0"/>
              <w:jc w:val="center"/>
              <w:rPr>
                <w:color w:val="auto"/>
                <w:sz w:val="21"/>
                <w:szCs w:val="21"/>
              </w:rPr>
            </w:pPr>
            <w:r>
              <w:rPr>
                <w:color w:val="auto"/>
                <w:sz w:val="21"/>
                <w:szCs w:val="21"/>
              </w:rPr>
              <w:t>企业各类污染治理设施单独安装水、电、蒸汽等计量装置，关键设备（风机、水泵）设置在线工况监控。</w:t>
            </w:r>
          </w:p>
        </w:tc>
      </w:tr>
      <w:tr w14:paraId="0226A2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30" w:type="pct"/>
            <w:vAlign w:val="center"/>
          </w:tcPr>
          <w:p w14:paraId="24859AF1">
            <w:pPr>
              <w:widowControl/>
              <w:spacing w:line="240" w:lineRule="auto"/>
              <w:ind w:firstLine="0" w:firstLineChars="0"/>
              <w:jc w:val="center"/>
              <w:rPr>
                <w:color w:val="auto"/>
                <w:sz w:val="21"/>
                <w:szCs w:val="21"/>
              </w:rPr>
            </w:pPr>
            <w:r>
              <w:rPr>
                <w:color w:val="auto"/>
                <w:sz w:val="21"/>
                <w:szCs w:val="21"/>
              </w:rPr>
              <w:t>15</w:t>
            </w:r>
          </w:p>
        </w:tc>
        <w:tc>
          <w:tcPr>
            <w:tcW w:w="2897" w:type="pct"/>
            <w:vAlign w:val="center"/>
          </w:tcPr>
          <w:p w14:paraId="7E2D1618">
            <w:pPr>
              <w:widowControl/>
              <w:spacing w:line="240" w:lineRule="auto"/>
              <w:ind w:firstLine="0" w:firstLineChars="0"/>
              <w:jc w:val="center"/>
              <w:rPr>
                <w:color w:val="auto"/>
                <w:sz w:val="21"/>
                <w:szCs w:val="21"/>
              </w:rPr>
            </w:pPr>
            <w:r>
              <w:rPr>
                <w:color w:val="auto"/>
                <w:sz w:val="21"/>
                <w:szCs w:val="21"/>
              </w:rPr>
              <w:t>改、扩建项目全面梳理现有工程的环保问题，提出整改措施，相关依托工程需进一步优化的，应提出</w:t>
            </w:r>
            <w:r>
              <w:rPr>
                <w:rFonts w:hint="eastAsia"/>
                <w:color w:val="auto"/>
                <w:sz w:val="21"/>
                <w:szCs w:val="21"/>
              </w:rPr>
              <w:t>“</w:t>
            </w:r>
            <w:r>
              <w:rPr>
                <w:color w:val="auto"/>
                <w:sz w:val="21"/>
                <w:szCs w:val="21"/>
              </w:rPr>
              <w:t>以新带老</w:t>
            </w:r>
            <w:r>
              <w:rPr>
                <w:rFonts w:hint="eastAsia"/>
                <w:color w:val="auto"/>
                <w:sz w:val="21"/>
                <w:szCs w:val="21"/>
              </w:rPr>
              <w:t>”</w:t>
            </w:r>
            <w:r>
              <w:rPr>
                <w:color w:val="auto"/>
                <w:sz w:val="21"/>
                <w:szCs w:val="21"/>
              </w:rPr>
              <w:t>方案。</w:t>
            </w:r>
          </w:p>
        </w:tc>
        <w:tc>
          <w:tcPr>
            <w:tcW w:w="1671" w:type="pct"/>
            <w:vAlign w:val="center"/>
          </w:tcPr>
          <w:p w14:paraId="58000756">
            <w:pPr>
              <w:widowControl/>
              <w:spacing w:line="240" w:lineRule="auto"/>
              <w:ind w:firstLine="0" w:firstLineChars="0"/>
              <w:jc w:val="center"/>
              <w:rPr>
                <w:color w:val="auto"/>
                <w:sz w:val="21"/>
                <w:szCs w:val="21"/>
              </w:rPr>
            </w:pPr>
            <w:r>
              <w:rPr>
                <w:rFonts w:hint="eastAsia"/>
                <w:color w:val="auto"/>
                <w:sz w:val="21"/>
                <w:szCs w:val="21"/>
              </w:rPr>
              <w:t>拟建项目</w:t>
            </w:r>
            <w:r>
              <w:rPr>
                <w:color w:val="auto"/>
                <w:sz w:val="21"/>
                <w:szCs w:val="21"/>
              </w:rPr>
              <w:t>全面梳理现有工程的环保问题，提出整改措施和</w:t>
            </w:r>
            <w:r>
              <w:rPr>
                <w:rFonts w:hint="eastAsia"/>
                <w:color w:val="auto"/>
                <w:sz w:val="21"/>
                <w:szCs w:val="21"/>
              </w:rPr>
              <w:t>“</w:t>
            </w:r>
            <w:r>
              <w:rPr>
                <w:color w:val="auto"/>
                <w:sz w:val="21"/>
                <w:szCs w:val="21"/>
              </w:rPr>
              <w:t>以新带老</w:t>
            </w:r>
            <w:r>
              <w:rPr>
                <w:rFonts w:hint="eastAsia"/>
                <w:color w:val="auto"/>
                <w:sz w:val="21"/>
                <w:szCs w:val="21"/>
              </w:rPr>
              <w:t>”</w:t>
            </w:r>
            <w:r>
              <w:rPr>
                <w:color w:val="auto"/>
                <w:sz w:val="21"/>
                <w:szCs w:val="21"/>
              </w:rPr>
              <w:t>方案。</w:t>
            </w:r>
          </w:p>
        </w:tc>
      </w:tr>
    </w:tbl>
    <w:p w14:paraId="71DC8173">
      <w:pPr>
        <w:pStyle w:val="5"/>
        <w:spacing w:before="156"/>
        <w:rPr>
          <w:color w:val="auto"/>
        </w:rPr>
      </w:pPr>
      <w:r>
        <w:rPr>
          <w:rFonts w:hint="eastAsia"/>
          <w:color w:val="auto"/>
        </w:rPr>
        <w:t>1.4.4.2</w:t>
      </w:r>
      <w:r>
        <w:rPr>
          <w:color w:val="auto"/>
        </w:rPr>
        <w:t>与《关于加强高耗能、高排放建设项目生态环境源头防控的指导意见》（环环评〔2021〕45号）相符性</w:t>
      </w:r>
    </w:p>
    <w:p w14:paraId="335F12E9">
      <w:pPr>
        <w:adjustRightInd/>
        <w:snapToGrid/>
        <w:ind w:firstLine="480"/>
        <w:rPr>
          <w:color w:val="auto"/>
          <w:kern w:val="0"/>
          <w:szCs w:val="20"/>
        </w:rPr>
      </w:pPr>
      <w:r>
        <w:rPr>
          <w:rFonts w:hint="eastAsia"/>
          <w:color w:val="auto"/>
          <w:kern w:val="0"/>
          <w:szCs w:val="20"/>
        </w:rPr>
        <w:t>根据《江苏省“两高”项目管理目录（202</w:t>
      </w:r>
      <w:r>
        <w:rPr>
          <w:color w:val="auto"/>
          <w:kern w:val="0"/>
          <w:szCs w:val="20"/>
        </w:rPr>
        <w:t>5</w:t>
      </w:r>
      <w:r>
        <w:rPr>
          <w:rFonts w:hint="eastAsia"/>
          <w:color w:val="auto"/>
          <w:kern w:val="0"/>
          <w:szCs w:val="20"/>
        </w:rPr>
        <w:t>年版）》，拟建项目属于其他专用化学产品制造（C2669），不在“两高”项目管理目录中</w:t>
      </w:r>
      <w:r>
        <w:rPr>
          <w:color w:val="auto"/>
          <w:kern w:val="0"/>
          <w:szCs w:val="20"/>
        </w:rPr>
        <w:t>。</w:t>
      </w:r>
    </w:p>
    <w:p w14:paraId="140C80C9">
      <w:pPr>
        <w:pStyle w:val="5"/>
        <w:spacing w:before="156"/>
        <w:rPr>
          <w:color w:val="auto"/>
        </w:rPr>
      </w:pPr>
      <w:r>
        <w:rPr>
          <w:rFonts w:hint="eastAsia"/>
          <w:color w:val="auto"/>
        </w:rPr>
        <w:t>1.4.4.3</w:t>
      </w:r>
      <w:r>
        <w:rPr>
          <w:color w:val="auto"/>
        </w:rPr>
        <w:t>与《江苏省2023年度生态环境分区管控动态更新成果》相符性分析</w:t>
      </w:r>
    </w:p>
    <w:p w14:paraId="3EB555CB">
      <w:pPr>
        <w:adjustRightInd/>
        <w:snapToGrid/>
        <w:ind w:firstLine="480"/>
        <w:rPr>
          <w:color w:val="auto"/>
          <w:kern w:val="0"/>
          <w:szCs w:val="20"/>
        </w:rPr>
      </w:pPr>
      <w:r>
        <w:rPr>
          <w:rFonts w:hint="eastAsia"/>
          <w:color w:val="auto"/>
          <w:kern w:val="0"/>
          <w:szCs w:val="20"/>
        </w:rPr>
        <w:t>拟建</w:t>
      </w:r>
      <w:r>
        <w:rPr>
          <w:rFonts w:hint="eastAsia"/>
          <w:color w:val="auto"/>
          <w:kern w:val="0"/>
          <w:szCs w:val="20"/>
          <w:lang w:val="zh-CN"/>
        </w:rPr>
        <w:t>项目与《江苏省2023年度生态环境分区管控动态更新成果》相符性分析见表1.4.3-</w:t>
      </w:r>
      <w:r>
        <w:rPr>
          <w:rFonts w:hint="eastAsia"/>
          <w:color w:val="auto"/>
          <w:kern w:val="0"/>
          <w:szCs w:val="20"/>
        </w:rPr>
        <w:t>3。</w:t>
      </w:r>
    </w:p>
    <w:p w14:paraId="4DA91E1E">
      <w:pPr>
        <w:pStyle w:val="49"/>
        <w:rPr>
          <w:color w:val="auto"/>
        </w:rPr>
      </w:pPr>
      <w:r>
        <w:rPr>
          <w:color w:val="auto"/>
        </w:rPr>
        <w:t>表1.4</w:t>
      </w:r>
      <w:r>
        <w:rPr>
          <w:rFonts w:hint="eastAsia"/>
          <w:color w:val="auto"/>
        </w:rPr>
        <w:t>-10</w:t>
      </w:r>
      <w:r>
        <w:rPr>
          <w:color w:val="auto"/>
        </w:rPr>
        <w:t xml:space="preserve">  与《江苏省2023年度生态环境分区管控动态更新成果》相符性分析</w:t>
      </w:r>
    </w:p>
    <w:tbl>
      <w:tblPr>
        <w:tblStyle w:val="24"/>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83"/>
        <w:gridCol w:w="4890"/>
        <w:gridCol w:w="3881"/>
      </w:tblGrid>
      <w:tr w14:paraId="56B4187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tblHeader/>
          <w:jc w:val="center"/>
        </w:trPr>
        <w:tc>
          <w:tcPr>
            <w:tcW w:w="550" w:type="pct"/>
            <w:tcBorders>
              <w:tl2br w:val="nil"/>
              <w:tr2bl w:val="nil"/>
            </w:tcBorders>
            <w:vAlign w:val="center"/>
          </w:tcPr>
          <w:p w14:paraId="6BF548C7">
            <w:pPr>
              <w:widowControl/>
              <w:spacing w:line="240" w:lineRule="auto"/>
              <w:ind w:firstLine="0" w:firstLineChars="0"/>
              <w:jc w:val="center"/>
              <w:rPr>
                <w:b/>
                <w:color w:val="auto"/>
                <w:kern w:val="0"/>
                <w:sz w:val="21"/>
                <w:szCs w:val="21"/>
              </w:rPr>
            </w:pPr>
            <w:r>
              <w:rPr>
                <w:b/>
                <w:color w:val="auto"/>
                <w:kern w:val="0"/>
                <w:sz w:val="21"/>
                <w:szCs w:val="21"/>
              </w:rPr>
              <w:t>管控类别</w:t>
            </w:r>
          </w:p>
        </w:tc>
        <w:tc>
          <w:tcPr>
            <w:tcW w:w="2481" w:type="pct"/>
            <w:tcBorders>
              <w:tl2br w:val="nil"/>
              <w:tr2bl w:val="nil"/>
            </w:tcBorders>
            <w:vAlign w:val="center"/>
          </w:tcPr>
          <w:p w14:paraId="3BF5D901">
            <w:pPr>
              <w:widowControl/>
              <w:spacing w:line="240" w:lineRule="auto"/>
              <w:ind w:firstLine="0" w:firstLineChars="0"/>
              <w:jc w:val="center"/>
              <w:rPr>
                <w:b/>
                <w:color w:val="auto"/>
                <w:kern w:val="0"/>
                <w:sz w:val="21"/>
                <w:szCs w:val="21"/>
              </w:rPr>
            </w:pPr>
            <w:r>
              <w:rPr>
                <w:b/>
                <w:color w:val="auto"/>
                <w:kern w:val="0"/>
                <w:sz w:val="21"/>
                <w:szCs w:val="21"/>
              </w:rPr>
              <w:t>重点管控要求</w:t>
            </w:r>
          </w:p>
        </w:tc>
        <w:tc>
          <w:tcPr>
            <w:tcW w:w="1968" w:type="pct"/>
            <w:tcBorders>
              <w:tl2br w:val="nil"/>
              <w:tr2bl w:val="nil"/>
            </w:tcBorders>
            <w:vAlign w:val="center"/>
          </w:tcPr>
          <w:p w14:paraId="6192C59E">
            <w:pPr>
              <w:widowControl/>
              <w:spacing w:line="240" w:lineRule="auto"/>
              <w:ind w:firstLine="0" w:firstLineChars="0"/>
              <w:jc w:val="center"/>
              <w:rPr>
                <w:b/>
                <w:color w:val="auto"/>
                <w:kern w:val="0"/>
                <w:sz w:val="21"/>
                <w:szCs w:val="21"/>
              </w:rPr>
            </w:pPr>
            <w:r>
              <w:rPr>
                <w:b/>
                <w:color w:val="auto"/>
                <w:kern w:val="0"/>
                <w:sz w:val="21"/>
                <w:szCs w:val="21"/>
              </w:rPr>
              <w:t>相符性分析</w:t>
            </w:r>
          </w:p>
        </w:tc>
      </w:tr>
      <w:tr w14:paraId="7076DB7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000" w:type="pct"/>
            <w:gridSpan w:val="3"/>
            <w:tcBorders>
              <w:tl2br w:val="nil"/>
              <w:tr2bl w:val="nil"/>
            </w:tcBorders>
            <w:vAlign w:val="center"/>
          </w:tcPr>
          <w:p w14:paraId="561B4D71">
            <w:pPr>
              <w:widowControl/>
              <w:spacing w:line="240" w:lineRule="auto"/>
              <w:ind w:firstLine="0" w:firstLineChars="0"/>
              <w:jc w:val="center"/>
              <w:rPr>
                <w:bCs/>
                <w:color w:val="auto"/>
                <w:kern w:val="0"/>
                <w:sz w:val="21"/>
                <w:szCs w:val="21"/>
              </w:rPr>
            </w:pPr>
            <w:r>
              <w:rPr>
                <w:b/>
                <w:color w:val="auto"/>
                <w:kern w:val="0"/>
                <w:sz w:val="21"/>
                <w:szCs w:val="21"/>
              </w:rPr>
              <w:t>江苏省省域生态环境管控要求</w:t>
            </w:r>
          </w:p>
        </w:tc>
      </w:tr>
      <w:tr w14:paraId="2289921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50" w:type="pct"/>
            <w:tcBorders>
              <w:tl2br w:val="nil"/>
              <w:tr2bl w:val="nil"/>
            </w:tcBorders>
            <w:vAlign w:val="center"/>
          </w:tcPr>
          <w:p w14:paraId="1ACD4D67">
            <w:pPr>
              <w:widowControl/>
              <w:spacing w:line="240" w:lineRule="auto"/>
              <w:ind w:firstLine="0" w:firstLineChars="0"/>
              <w:jc w:val="center"/>
              <w:rPr>
                <w:color w:val="auto"/>
                <w:kern w:val="0"/>
                <w:sz w:val="21"/>
                <w:szCs w:val="21"/>
              </w:rPr>
            </w:pPr>
            <w:r>
              <w:rPr>
                <w:color w:val="auto"/>
                <w:kern w:val="0"/>
                <w:sz w:val="21"/>
                <w:szCs w:val="21"/>
              </w:rPr>
              <w:t>空间布局约束</w:t>
            </w:r>
          </w:p>
        </w:tc>
        <w:tc>
          <w:tcPr>
            <w:tcW w:w="2481" w:type="pct"/>
            <w:tcBorders>
              <w:tl2br w:val="nil"/>
              <w:tr2bl w:val="nil"/>
            </w:tcBorders>
            <w:vAlign w:val="center"/>
          </w:tcPr>
          <w:p w14:paraId="511F29AE">
            <w:pPr>
              <w:widowControl/>
              <w:spacing w:line="240" w:lineRule="auto"/>
              <w:ind w:firstLine="0" w:firstLineChars="0"/>
              <w:jc w:val="center"/>
              <w:rPr>
                <w:color w:val="auto"/>
                <w:kern w:val="0"/>
                <w:sz w:val="21"/>
                <w:szCs w:val="21"/>
              </w:rPr>
            </w:pPr>
            <w:r>
              <w:rPr>
                <w:color w:val="auto"/>
                <w:kern w:val="0"/>
                <w:sz w:val="21"/>
                <w:szCs w:val="21"/>
              </w:rPr>
              <w:t>1.按照《自然资源部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338EDA12">
            <w:pPr>
              <w:widowControl/>
              <w:spacing w:line="240" w:lineRule="auto"/>
              <w:ind w:firstLine="0" w:firstLineChars="0"/>
              <w:jc w:val="center"/>
              <w:rPr>
                <w:color w:val="auto"/>
                <w:kern w:val="0"/>
                <w:sz w:val="21"/>
                <w:szCs w:val="21"/>
              </w:rPr>
            </w:pPr>
            <w:r>
              <w:rPr>
                <w:color w:val="auto"/>
                <w:kern w:val="0"/>
                <w:sz w:val="21"/>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p w14:paraId="0A50A08F">
            <w:pPr>
              <w:widowControl/>
              <w:spacing w:line="240" w:lineRule="auto"/>
              <w:ind w:firstLine="0" w:firstLineChars="0"/>
              <w:jc w:val="center"/>
              <w:rPr>
                <w:color w:val="auto"/>
                <w:kern w:val="0"/>
                <w:sz w:val="21"/>
                <w:szCs w:val="21"/>
              </w:rPr>
            </w:pPr>
            <w:r>
              <w:rPr>
                <w:color w:val="auto"/>
                <w:kern w:val="0"/>
                <w:sz w:val="21"/>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522C5462">
            <w:pPr>
              <w:widowControl/>
              <w:spacing w:line="240" w:lineRule="auto"/>
              <w:ind w:firstLine="0" w:firstLineChars="0"/>
              <w:jc w:val="center"/>
              <w:rPr>
                <w:color w:val="auto"/>
                <w:kern w:val="0"/>
                <w:sz w:val="21"/>
                <w:szCs w:val="21"/>
              </w:rPr>
            </w:pPr>
            <w:r>
              <w:rPr>
                <w:color w:val="auto"/>
                <w:kern w:val="0"/>
                <w:sz w:val="21"/>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09AE038E">
            <w:pPr>
              <w:widowControl/>
              <w:spacing w:line="240" w:lineRule="auto"/>
              <w:ind w:firstLine="0" w:firstLineChars="0"/>
              <w:jc w:val="center"/>
              <w:rPr>
                <w:color w:val="auto"/>
                <w:kern w:val="0"/>
                <w:sz w:val="21"/>
                <w:szCs w:val="21"/>
              </w:rPr>
            </w:pPr>
            <w:r>
              <w:rPr>
                <w:color w:val="auto"/>
                <w:kern w:val="0"/>
                <w:sz w:val="21"/>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968" w:type="pct"/>
            <w:tcBorders>
              <w:tl2br w:val="nil"/>
              <w:tr2bl w:val="nil"/>
            </w:tcBorders>
            <w:vAlign w:val="center"/>
          </w:tcPr>
          <w:p w14:paraId="73CB0ACA">
            <w:pPr>
              <w:widowControl/>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拟建</w:t>
            </w:r>
            <w:r>
              <w:rPr>
                <w:color w:val="auto"/>
                <w:kern w:val="0"/>
                <w:sz w:val="21"/>
                <w:szCs w:val="21"/>
              </w:rPr>
              <w:t>项目不占用生态空间管控区域及国家级生态保护红线，符合空间布局约束方面的要求</w:t>
            </w:r>
            <w:r>
              <w:rPr>
                <w:rFonts w:hint="eastAsia"/>
                <w:color w:val="auto"/>
                <w:kern w:val="0"/>
                <w:sz w:val="21"/>
                <w:szCs w:val="21"/>
              </w:rPr>
              <w:t>；</w:t>
            </w:r>
          </w:p>
          <w:p w14:paraId="4F69EE07">
            <w:pPr>
              <w:widowControl/>
              <w:spacing w:line="240" w:lineRule="auto"/>
              <w:ind w:firstLine="0" w:firstLineChars="0"/>
              <w:jc w:val="center"/>
              <w:rPr>
                <w:color w:val="auto"/>
                <w:kern w:val="0"/>
                <w:sz w:val="21"/>
                <w:szCs w:val="21"/>
              </w:rPr>
            </w:pPr>
            <w:r>
              <w:rPr>
                <w:color w:val="auto"/>
                <w:kern w:val="0"/>
                <w:sz w:val="21"/>
                <w:szCs w:val="21"/>
              </w:rPr>
              <w:t>2.</w:t>
            </w:r>
            <w:r>
              <w:rPr>
                <w:rFonts w:hint="eastAsia"/>
                <w:color w:val="auto"/>
                <w:kern w:val="0"/>
                <w:sz w:val="21"/>
                <w:szCs w:val="21"/>
              </w:rPr>
              <w:t>拟建</w:t>
            </w:r>
            <w:r>
              <w:rPr>
                <w:color w:val="auto"/>
                <w:kern w:val="0"/>
                <w:sz w:val="21"/>
                <w:szCs w:val="21"/>
              </w:rPr>
              <w:t>项目不占用重点保护的岸线、河段和区域，不属于排放量大、耗能高、产能过剩的产业</w:t>
            </w:r>
            <w:r>
              <w:rPr>
                <w:rFonts w:hint="eastAsia"/>
                <w:color w:val="auto"/>
                <w:kern w:val="0"/>
                <w:sz w:val="21"/>
                <w:szCs w:val="21"/>
              </w:rPr>
              <w:t>；</w:t>
            </w:r>
          </w:p>
          <w:p w14:paraId="2DDD6C1E">
            <w:pPr>
              <w:widowControl/>
              <w:spacing w:line="240" w:lineRule="auto"/>
              <w:ind w:firstLine="0" w:firstLineChars="0"/>
              <w:jc w:val="center"/>
              <w:rPr>
                <w:color w:val="auto"/>
                <w:kern w:val="0"/>
                <w:sz w:val="21"/>
                <w:szCs w:val="21"/>
              </w:rPr>
            </w:pPr>
            <w:r>
              <w:rPr>
                <w:color w:val="auto"/>
                <w:kern w:val="0"/>
                <w:sz w:val="21"/>
                <w:szCs w:val="21"/>
              </w:rPr>
              <w:t>3.</w:t>
            </w:r>
            <w:r>
              <w:rPr>
                <w:rFonts w:hint="eastAsia"/>
                <w:color w:val="auto"/>
                <w:kern w:val="0"/>
                <w:sz w:val="21"/>
                <w:szCs w:val="21"/>
              </w:rPr>
              <w:t>启东亚太是园区保留的化工企业，拟建</w:t>
            </w:r>
            <w:r>
              <w:rPr>
                <w:color w:val="auto"/>
                <w:kern w:val="0"/>
                <w:sz w:val="21"/>
                <w:szCs w:val="21"/>
              </w:rPr>
              <w:t>项目位于启东生命健康产业园内，不在长江干支流两侧1公里范围内，选址不在环境敏感区域、城镇人口密集区</w:t>
            </w:r>
            <w:r>
              <w:rPr>
                <w:rFonts w:hint="eastAsia"/>
                <w:color w:val="auto"/>
                <w:kern w:val="0"/>
                <w:sz w:val="21"/>
                <w:szCs w:val="21"/>
              </w:rPr>
              <w:t>；</w:t>
            </w:r>
          </w:p>
          <w:p w14:paraId="77FF7700">
            <w:pPr>
              <w:widowControl/>
              <w:spacing w:line="240" w:lineRule="auto"/>
              <w:ind w:firstLine="0" w:firstLineChars="0"/>
              <w:jc w:val="center"/>
              <w:rPr>
                <w:color w:val="auto"/>
                <w:kern w:val="0"/>
                <w:sz w:val="21"/>
                <w:szCs w:val="21"/>
              </w:rPr>
            </w:pPr>
            <w:r>
              <w:rPr>
                <w:rFonts w:hint="eastAsia"/>
                <w:color w:val="auto"/>
                <w:kern w:val="0"/>
                <w:sz w:val="21"/>
                <w:szCs w:val="21"/>
              </w:rPr>
              <w:t>4.拟建项目不属于钢铁行业。</w:t>
            </w:r>
          </w:p>
        </w:tc>
      </w:tr>
      <w:tr w14:paraId="0F704E4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50" w:type="pct"/>
            <w:tcBorders>
              <w:tl2br w:val="nil"/>
              <w:tr2bl w:val="nil"/>
            </w:tcBorders>
            <w:vAlign w:val="center"/>
          </w:tcPr>
          <w:p w14:paraId="12B74CDD">
            <w:pPr>
              <w:widowControl/>
              <w:spacing w:line="240" w:lineRule="auto"/>
              <w:ind w:firstLine="0" w:firstLineChars="0"/>
              <w:jc w:val="center"/>
              <w:rPr>
                <w:color w:val="auto"/>
                <w:kern w:val="0"/>
                <w:sz w:val="21"/>
                <w:szCs w:val="21"/>
              </w:rPr>
            </w:pPr>
            <w:r>
              <w:rPr>
                <w:color w:val="auto"/>
                <w:kern w:val="0"/>
                <w:sz w:val="21"/>
                <w:szCs w:val="21"/>
              </w:rPr>
              <w:t>污染物排放管控</w:t>
            </w:r>
          </w:p>
        </w:tc>
        <w:tc>
          <w:tcPr>
            <w:tcW w:w="2481" w:type="pct"/>
            <w:tcBorders>
              <w:tl2br w:val="nil"/>
              <w:tr2bl w:val="nil"/>
            </w:tcBorders>
            <w:vAlign w:val="center"/>
          </w:tcPr>
          <w:p w14:paraId="1D0C6419">
            <w:pPr>
              <w:widowControl/>
              <w:spacing w:line="240" w:lineRule="auto"/>
              <w:ind w:firstLine="0" w:firstLineChars="0"/>
              <w:jc w:val="center"/>
              <w:rPr>
                <w:color w:val="auto"/>
                <w:kern w:val="0"/>
                <w:sz w:val="21"/>
                <w:szCs w:val="21"/>
              </w:rPr>
            </w:pPr>
            <w:r>
              <w:rPr>
                <w:color w:val="auto"/>
                <w:kern w:val="0"/>
                <w:sz w:val="21"/>
                <w:szCs w:val="21"/>
              </w:rPr>
              <w:t>1.坚持生态环境质量只能更好、不能变坏，实施污染物总量控制，以环境容量定产业、定项目、定规模，确保开发建设行为不突破生态环境承载力。</w:t>
            </w:r>
          </w:p>
          <w:p w14:paraId="7F68D431">
            <w:pPr>
              <w:widowControl/>
              <w:spacing w:line="240" w:lineRule="auto"/>
              <w:ind w:firstLine="0" w:firstLineChars="0"/>
              <w:jc w:val="center"/>
              <w:rPr>
                <w:color w:val="auto"/>
                <w:kern w:val="0"/>
                <w:sz w:val="21"/>
                <w:szCs w:val="21"/>
              </w:rPr>
            </w:pPr>
            <w:r>
              <w:rPr>
                <w:color w:val="auto"/>
                <w:kern w:val="0"/>
                <w:sz w:val="21"/>
                <w:szCs w:val="21"/>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968" w:type="pct"/>
            <w:tcBorders>
              <w:tl2br w:val="nil"/>
              <w:tr2bl w:val="nil"/>
            </w:tcBorders>
            <w:vAlign w:val="center"/>
          </w:tcPr>
          <w:p w14:paraId="73A15615">
            <w:pPr>
              <w:widowControl/>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项目污染物排放总量指标将在</w:t>
            </w:r>
            <w:r>
              <w:rPr>
                <w:rFonts w:hint="eastAsia"/>
                <w:color w:val="auto"/>
                <w:kern w:val="0"/>
                <w:sz w:val="21"/>
                <w:szCs w:val="21"/>
              </w:rPr>
              <w:t>现有排放总量</w:t>
            </w:r>
            <w:r>
              <w:rPr>
                <w:color w:val="auto"/>
                <w:kern w:val="0"/>
                <w:sz w:val="21"/>
                <w:szCs w:val="21"/>
              </w:rPr>
              <w:t>内平衡，不突破生态环境承载力。</w:t>
            </w:r>
            <w:r>
              <w:rPr>
                <w:color w:val="auto"/>
                <w:sz w:val="21"/>
                <w:szCs w:val="22"/>
              </w:rPr>
              <w:t>根据预测分析，项目的建设对周边环境影响可接受。</w:t>
            </w:r>
          </w:p>
        </w:tc>
      </w:tr>
      <w:tr w14:paraId="5DE94F2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50" w:type="pct"/>
            <w:tcBorders>
              <w:tl2br w:val="nil"/>
              <w:tr2bl w:val="nil"/>
            </w:tcBorders>
            <w:vAlign w:val="center"/>
          </w:tcPr>
          <w:p w14:paraId="6276D95F">
            <w:pPr>
              <w:widowControl/>
              <w:spacing w:line="240" w:lineRule="auto"/>
              <w:ind w:firstLine="0" w:firstLineChars="0"/>
              <w:jc w:val="center"/>
              <w:rPr>
                <w:color w:val="auto"/>
                <w:kern w:val="0"/>
                <w:sz w:val="21"/>
                <w:szCs w:val="21"/>
              </w:rPr>
            </w:pPr>
            <w:r>
              <w:rPr>
                <w:color w:val="auto"/>
                <w:kern w:val="0"/>
                <w:sz w:val="21"/>
                <w:szCs w:val="21"/>
              </w:rPr>
              <w:t>环境风险防控</w:t>
            </w:r>
          </w:p>
        </w:tc>
        <w:tc>
          <w:tcPr>
            <w:tcW w:w="2481" w:type="pct"/>
            <w:tcBorders>
              <w:tl2br w:val="nil"/>
              <w:tr2bl w:val="nil"/>
            </w:tcBorders>
            <w:vAlign w:val="center"/>
          </w:tcPr>
          <w:p w14:paraId="047DEF7A">
            <w:pPr>
              <w:widowControl/>
              <w:spacing w:line="240" w:lineRule="auto"/>
              <w:ind w:firstLine="0" w:firstLineChars="0"/>
              <w:jc w:val="center"/>
              <w:rPr>
                <w:color w:val="auto"/>
                <w:kern w:val="0"/>
                <w:sz w:val="21"/>
                <w:szCs w:val="21"/>
              </w:rPr>
            </w:pPr>
            <w:r>
              <w:rPr>
                <w:color w:val="auto"/>
                <w:kern w:val="0"/>
                <w:sz w:val="21"/>
                <w:szCs w:val="21"/>
              </w:rPr>
              <w:t>1.强化饮用水水源环境风险管控。县级以上城市全部建成应急水源或双源供水。</w:t>
            </w:r>
          </w:p>
          <w:p w14:paraId="6E58C640">
            <w:pPr>
              <w:widowControl/>
              <w:spacing w:line="240" w:lineRule="auto"/>
              <w:ind w:firstLine="0" w:firstLineChars="0"/>
              <w:jc w:val="center"/>
              <w:rPr>
                <w:color w:val="auto"/>
                <w:kern w:val="0"/>
                <w:sz w:val="21"/>
                <w:szCs w:val="21"/>
              </w:rPr>
            </w:pPr>
            <w:r>
              <w:rPr>
                <w:color w:val="auto"/>
                <w:kern w:val="0"/>
                <w:sz w:val="21"/>
                <w:szCs w:val="21"/>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5EBA8886">
            <w:pPr>
              <w:widowControl/>
              <w:spacing w:line="240" w:lineRule="auto"/>
              <w:ind w:firstLine="0" w:firstLineChars="0"/>
              <w:jc w:val="center"/>
              <w:rPr>
                <w:color w:val="auto"/>
                <w:kern w:val="0"/>
                <w:sz w:val="21"/>
                <w:szCs w:val="21"/>
              </w:rPr>
            </w:pPr>
            <w:r>
              <w:rPr>
                <w:color w:val="auto"/>
                <w:kern w:val="0"/>
                <w:sz w:val="21"/>
                <w:szCs w:val="21"/>
              </w:rPr>
              <w:t>3.强化环境事故应急管理。深化跨部门、跨区域环境应急协调联动，分区域建立环境应急物资储备库。各级工业园区(集聚区)和企业的环境应急装备和储备物资应纳入储备体系。</w:t>
            </w:r>
          </w:p>
          <w:p w14:paraId="35145F83">
            <w:pPr>
              <w:widowControl/>
              <w:spacing w:line="240" w:lineRule="auto"/>
              <w:ind w:firstLine="0" w:firstLineChars="0"/>
              <w:jc w:val="center"/>
              <w:rPr>
                <w:color w:val="auto"/>
                <w:kern w:val="0"/>
                <w:sz w:val="21"/>
                <w:szCs w:val="21"/>
              </w:rPr>
            </w:pPr>
            <w:r>
              <w:rPr>
                <w:color w:val="auto"/>
                <w:kern w:val="0"/>
                <w:sz w:val="21"/>
                <w:szCs w:val="21"/>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968" w:type="pct"/>
            <w:tcBorders>
              <w:tl2br w:val="nil"/>
              <w:tr2bl w:val="nil"/>
            </w:tcBorders>
            <w:vAlign w:val="center"/>
          </w:tcPr>
          <w:p w14:paraId="203830CC">
            <w:pPr>
              <w:widowControl/>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项目不涉及饮用水水源</w:t>
            </w:r>
            <w:r>
              <w:rPr>
                <w:rFonts w:hint="eastAsia"/>
                <w:color w:val="auto"/>
                <w:kern w:val="0"/>
                <w:sz w:val="21"/>
                <w:szCs w:val="21"/>
              </w:rPr>
              <w:t>；拟建项目对产生的危险废物种类、数量、利用或处置方式、环境影响以及环境风险均进行了科学评价，并提出了切实可行的污染防治对策措施；</w:t>
            </w:r>
          </w:p>
          <w:p w14:paraId="69A0EE78">
            <w:pPr>
              <w:widowControl/>
              <w:spacing w:line="240" w:lineRule="auto"/>
              <w:ind w:firstLine="0" w:firstLineChars="0"/>
              <w:jc w:val="center"/>
              <w:rPr>
                <w:color w:val="auto"/>
                <w:kern w:val="0"/>
                <w:sz w:val="21"/>
                <w:szCs w:val="21"/>
              </w:rPr>
            </w:pPr>
            <w:r>
              <w:rPr>
                <w:rFonts w:hint="eastAsia"/>
                <w:color w:val="auto"/>
                <w:kern w:val="0"/>
                <w:sz w:val="21"/>
                <w:szCs w:val="21"/>
              </w:rPr>
              <w:t>启东亚太</w:t>
            </w:r>
            <w:r>
              <w:rPr>
                <w:color w:val="auto"/>
                <w:kern w:val="0"/>
                <w:sz w:val="21"/>
                <w:szCs w:val="21"/>
              </w:rPr>
              <w:t>已针对现有项目制定环境事件应急预案并</w:t>
            </w:r>
            <w:r>
              <w:rPr>
                <w:rFonts w:hint="eastAsia"/>
                <w:color w:val="auto"/>
                <w:kern w:val="0"/>
                <w:sz w:val="21"/>
                <w:szCs w:val="21"/>
              </w:rPr>
              <w:t>于2026年4月10日进行了</w:t>
            </w:r>
            <w:r>
              <w:rPr>
                <w:color w:val="auto"/>
                <w:kern w:val="0"/>
                <w:sz w:val="21"/>
                <w:szCs w:val="21"/>
              </w:rPr>
              <w:t>备案，配备环境应急物资，并纳入园区应急体系，实现环境风险联防联控，以能满足环境风险防控的相关要求。</w:t>
            </w:r>
          </w:p>
        </w:tc>
      </w:tr>
      <w:tr w14:paraId="13A0FDA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50" w:type="pct"/>
            <w:tcBorders>
              <w:tl2br w:val="nil"/>
              <w:tr2bl w:val="nil"/>
            </w:tcBorders>
            <w:vAlign w:val="center"/>
          </w:tcPr>
          <w:p w14:paraId="5A8F6C87">
            <w:pPr>
              <w:widowControl/>
              <w:spacing w:line="240" w:lineRule="auto"/>
              <w:ind w:firstLine="0" w:firstLineChars="0"/>
              <w:jc w:val="center"/>
              <w:rPr>
                <w:color w:val="auto"/>
                <w:kern w:val="0"/>
                <w:sz w:val="21"/>
                <w:szCs w:val="21"/>
              </w:rPr>
            </w:pPr>
            <w:r>
              <w:rPr>
                <w:color w:val="auto"/>
                <w:kern w:val="0"/>
                <w:sz w:val="21"/>
                <w:szCs w:val="21"/>
              </w:rPr>
              <w:t>资源利用效率要求</w:t>
            </w:r>
          </w:p>
        </w:tc>
        <w:tc>
          <w:tcPr>
            <w:tcW w:w="2481" w:type="pct"/>
            <w:tcBorders>
              <w:tl2br w:val="nil"/>
              <w:tr2bl w:val="nil"/>
            </w:tcBorders>
            <w:vAlign w:val="center"/>
          </w:tcPr>
          <w:p w14:paraId="4B43688F">
            <w:pPr>
              <w:widowControl/>
              <w:spacing w:line="240" w:lineRule="auto"/>
              <w:ind w:firstLine="0" w:firstLineChars="0"/>
              <w:jc w:val="center"/>
              <w:rPr>
                <w:color w:val="auto"/>
                <w:kern w:val="0"/>
                <w:sz w:val="21"/>
                <w:szCs w:val="21"/>
              </w:rPr>
            </w:pPr>
            <w:r>
              <w:rPr>
                <w:color w:val="auto"/>
                <w:kern w:val="0"/>
                <w:sz w:val="21"/>
                <w:szCs w:val="21"/>
              </w:rPr>
              <w:t>1.水资源利用总量及效率要求：到2025年，全省用水总量控制在525.9亿立方米以内，万元地区生产总值用水量、万元工业增加值用水量下降完成国家下达目标，农田灌溉水有效利用系数提高到0.625。</w:t>
            </w:r>
          </w:p>
          <w:p w14:paraId="740F16E7">
            <w:pPr>
              <w:widowControl/>
              <w:spacing w:line="240" w:lineRule="auto"/>
              <w:ind w:firstLine="0" w:firstLineChars="0"/>
              <w:jc w:val="center"/>
              <w:rPr>
                <w:color w:val="auto"/>
                <w:kern w:val="0"/>
                <w:sz w:val="21"/>
                <w:szCs w:val="21"/>
              </w:rPr>
            </w:pPr>
            <w:r>
              <w:rPr>
                <w:color w:val="auto"/>
                <w:kern w:val="0"/>
                <w:sz w:val="21"/>
                <w:szCs w:val="21"/>
              </w:rPr>
              <w:t>2.土地资源总量要求：到2025年，江苏省耕地保有量不低于5977万亩，其中永久基本农田保护面积不低于5344万亩。</w:t>
            </w:r>
          </w:p>
          <w:p w14:paraId="01EE9DC6">
            <w:pPr>
              <w:widowControl/>
              <w:spacing w:line="240" w:lineRule="auto"/>
              <w:ind w:firstLine="0" w:firstLineChars="0"/>
              <w:jc w:val="center"/>
              <w:rPr>
                <w:color w:val="auto"/>
                <w:kern w:val="0"/>
                <w:sz w:val="21"/>
                <w:szCs w:val="21"/>
              </w:rPr>
            </w:pPr>
            <w:r>
              <w:rPr>
                <w:color w:val="auto"/>
                <w:kern w:val="0"/>
                <w:sz w:val="21"/>
                <w:szCs w:val="21"/>
              </w:rPr>
              <w:t>3.禁燃区要求：在禁燃区内，禁止销售、燃用高污染燃料；禁止新建、扩建燃用高污染燃料的设施，已建成的，应当在城市人民政府规定的期限内改用天然气、页岩气、液化石油气、电或者其他清洁能源。</w:t>
            </w:r>
          </w:p>
        </w:tc>
        <w:tc>
          <w:tcPr>
            <w:tcW w:w="1968" w:type="pct"/>
            <w:tcBorders>
              <w:tl2br w:val="nil"/>
              <w:tr2bl w:val="nil"/>
            </w:tcBorders>
            <w:vAlign w:val="center"/>
          </w:tcPr>
          <w:p w14:paraId="3A27602A">
            <w:pPr>
              <w:widowControl/>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项目不属于高耗水行业</w:t>
            </w:r>
            <w:r>
              <w:rPr>
                <w:rFonts w:hint="eastAsia"/>
                <w:color w:val="auto"/>
                <w:kern w:val="0"/>
                <w:sz w:val="21"/>
                <w:szCs w:val="21"/>
              </w:rPr>
              <w:t>，</w:t>
            </w:r>
            <w:r>
              <w:rPr>
                <w:color w:val="auto"/>
                <w:sz w:val="21"/>
                <w:szCs w:val="21"/>
              </w:rPr>
              <w:t>项目位于启东生命健康产业园，</w:t>
            </w:r>
            <w:r>
              <w:rPr>
                <w:color w:val="auto"/>
                <w:kern w:val="0"/>
                <w:sz w:val="21"/>
                <w:szCs w:val="21"/>
              </w:rPr>
              <w:t>属于禁燃区，项目不新建燃用高污染燃料的设施，使用</w:t>
            </w:r>
            <w:r>
              <w:rPr>
                <w:rFonts w:hint="eastAsia"/>
                <w:color w:val="auto"/>
                <w:kern w:val="0"/>
                <w:sz w:val="21"/>
                <w:szCs w:val="21"/>
              </w:rPr>
              <w:t>电能</w:t>
            </w:r>
            <w:r>
              <w:rPr>
                <w:color w:val="auto"/>
                <w:kern w:val="0"/>
                <w:sz w:val="21"/>
                <w:szCs w:val="21"/>
              </w:rPr>
              <w:t>等清洁能源。</w:t>
            </w:r>
          </w:p>
        </w:tc>
      </w:tr>
      <w:tr w14:paraId="48E387A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000" w:type="pct"/>
            <w:gridSpan w:val="3"/>
            <w:tcBorders>
              <w:tl2br w:val="nil"/>
              <w:tr2bl w:val="nil"/>
            </w:tcBorders>
            <w:vAlign w:val="center"/>
          </w:tcPr>
          <w:p w14:paraId="2230E590">
            <w:pPr>
              <w:widowControl/>
              <w:spacing w:line="240" w:lineRule="auto"/>
              <w:ind w:firstLine="0" w:firstLineChars="0"/>
              <w:jc w:val="center"/>
              <w:rPr>
                <w:bCs/>
                <w:color w:val="auto"/>
                <w:kern w:val="0"/>
                <w:sz w:val="21"/>
                <w:szCs w:val="21"/>
              </w:rPr>
            </w:pPr>
            <w:r>
              <w:rPr>
                <w:b/>
                <w:color w:val="auto"/>
                <w:kern w:val="0"/>
                <w:sz w:val="21"/>
                <w:szCs w:val="21"/>
              </w:rPr>
              <w:t>江苏省重点区域(流域)生态环境分区管控要求</w:t>
            </w:r>
          </w:p>
        </w:tc>
      </w:tr>
      <w:tr w14:paraId="5BC76BD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000" w:type="pct"/>
            <w:gridSpan w:val="3"/>
            <w:tcBorders>
              <w:tl2br w:val="nil"/>
              <w:tr2bl w:val="nil"/>
            </w:tcBorders>
            <w:vAlign w:val="center"/>
          </w:tcPr>
          <w:p w14:paraId="5BD6D572">
            <w:pPr>
              <w:widowControl/>
              <w:spacing w:line="240" w:lineRule="auto"/>
              <w:ind w:firstLine="0" w:firstLineChars="0"/>
              <w:jc w:val="center"/>
              <w:rPr>
                <w:bCs/>
                <w:color w:val="auto"/>
                <w:kern w:val="0"/>
                <w:sz w:val="21"/>
                <w:szCs w:val="21"/>
              </w:rPr>
            </w:pPr>
            <w:r>
              <w:rPr>
                <w:bCs/>
                <w:color w:val="auto"/>
                <w:kern w:val="0"/>
                <w:sz w:val="21"/>
                <w:szCs w:val="21"/>
              </w:rPr>
              <w:t>一、长江流域</w:t>
            </w:r>
          </w:p>
        </w:tc>
      </w:tr>
      <w:tr w14:paraId="1D3E6AE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50" w:type="pct"/>
            <w:tcBorders>
              <w:tl2br w:val="nil"/>
              <w:tr2bl w:val="nil"/>
            </w:tcBorders>
            <w:vAlign w:val="center"/>
          </w:tcPr>
          <w:p w14:paraId="0C806FB2">
            <w:pPr>
              <w:widowControl/>
              <w:spacing w:line="240" w:lineRule="auto"/>
              <w:ind w:firstLine="0" w:firstLineChars="0"/>
              <w:jc w:val="center"/>
              <w:rPr>
                <w:color w:val="auto"/>
                <w:kern w:val="0"/>
                <w:sz w:val="21"/>
                <w:szCs w:val="21"/>
              </w:rPr>
            </w:pPr>
            <w:r>
              <w:rPr>
                <w:color w:val="auto"/>
                <w:kern w:val="0"/>
                <w:sz w:val="21"/>
                <w:szCs w:val="21"/>
              </w:rPr>
              <w:t>空间布局约束</w:t>
            </w:r>
          </w:p>
        </w:tc>
        <w:tc>
          <w:tcPr>
            <w:tcW w:w="2481" w:type="pct"/>
            <w:tcBorders>
              <w:tl2br w:val="nil"/>
              <w:tr2bl w:val="nil"/>
            </w:tcBorders>
            <w:vAlign w:val="center"/>
          </w:tcPr>
          <w:p w14:paraId="3649C4AD">
            <w:pPr>
              <w:widowControl/>
              <w:spacing w:line="240" w:lineRule="auto"/>
              <w:ind w:firstLine="0" w:firstLineChars="0"/>
              <w:jc w:val="center"/>
              <w:rPr>
                <w:color w:val="auto"/>
                <w:kern w:val="0"/>
                <w:sz w:val="21"/>
                <w:szCs w:val="21"/>
              </w:rPr>
            </w:pPr>
            <w:r>
              <w:rPr>
                <w:color w:val="auto"/>
                <w:kern w:val="0"/>
                <w:sz w:val="21"/>
                <w:szCs w:val="21"/>
              </w:rPr>
              <w:t>1．始终把长江生态修复放在首位，坚持共抓大保护、不搞大开发，引导长江流域产业转型升级和布局优化调整，实现科学发展、有序发展、高质量发展。</w:t>
            </w:r>
          </w:p>
          <w:p w14:paraId="470ADF7D">
            <w:pPr>
              <w:widowControl/>
              <w:spacing w:line="240" w:lineRule="auto"/>
              <w:ind w:firstLine="0" w:firstLineChars="0"/>
              <w:jc w:val="center"/>
              <w:rPr>
                <w:color w:val="auto"/>
                <w:kern w:val="0"/>
                <w:sz w:val="21"/>
                <w:szCs w:val="21"/>
              </w:rPr>
            </w:pPr>
            <w:r>
              <w:rPr>
                <w:color w:val="auto"/>
                <w:kern w:val="0"/>
                <w:sz w:val="21"/>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072C928F">
            <w:pPr>
              <w:widowControl/>
              <w:spacing w:line="240" w:lineRule="auto"/>
              <w:ind w:firstLine="0" w:firstLineChars="0"/>
              <w:jc w:val="center"/>
              <w:rPr>
                <w:color w:val="auto"/>
                <w:kern w:val="0"/>
                <w:sz w:val="21"/>
                <w:szCs w:val="21"/>
              </w:rPr>
            </w:pPr>
            <w:r>
              <w:rPr>
                <w:color w:val="auto"/>
                <w:kern w:val="0"/>
                <w:sz w:val="21"/>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53FF2AC0">
            <w:pPr>
              <w:widowControl/>
              <w:spacing w:line="240" w:lineRule="auto"/>
              <w:ind w:firstLine="0" w:firstLineChars="0"/>
              <w:jc w:val="center"/>
              <w:rPr>
                <w:color w:val="auto"/>
                <w:kern w:val="0"/>
                <w:sz w:val="21"/>
                <w:szCs w:val="21"/>
              </w:rPr>
            </w:pPr>
            <w:r>
              <w:rPr>
                <w:color w:val="auto"/>
                <w:kern w:val="0"/>
                <w:sz w:val="21"/>
                <w:szCs w:val="21"/>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7F17E76E">
            <w:pPr>
              <w:widowControl/>
              <w:spacing w:line="240" w:lineRule="auto"/>
              <w:ind w:firstLine="0" w:firstLineChars="0"/>
              <w:jc w:val="center"/>
              <w:rPr>
                <w:color w:val="auto"/>
                <w:kern w:val="0"/>
                <w:sz w:val="21"/>
                <w:szCs w:val="21"/>
              </w:rPr>
            </w:pPr>
            <w:r>
              <w:rPr>
                <w:color w:val="auto"/>
                <w:kern w:val="0"/>
                <w:sz w:val="21"/>
                <w:szCs w:val="21"/>
              </w:rPr>
              <w:t>5．禁止新建独立焦化项目。</w:t>
            </w:r>
          </w:p>
        </w:tc>
        <w:tc>
          <w:tcPr>
            <w:tcW w:w="1968" w:type="pct"/>
            <w:tcBorders>
              <w:tl2br w:val="nil"/>
              <w:tr2bl w:val="nil"/>
            </w:tcBorders>
            <w:vAlign w:val="center"/>
          </w:tcPr>
          <w:p w14:paraId="53166570">
            <w:pPr>
              <w:widowControl/>
              <w:spacing w:line="240" w:lineRule="auto"/>
              <w:ind w:firstLine="0" w:firstLineChars="0"/>
              <w:jc w:val="center"/>
              <w:rPr>
                <w:color w:val="auto"/>
                <w:kern w:val="0"/>
                <w:sz w:val="21"/>
                <w:szCs w:val="21"/>
              </w:rPr>
            </w:pPr>
            <w:r>
              <w:rPr>
                <w:rFonts w:hint="eastAsia"/>
                <w:color w:val="auto"/>
                <w:sz w:val="21"/>
                <w:szCs w:val="21"/>
              </w:rPr>
              <w:t>拟建</w:t>
            </w:r>
            <w:r>
              <w:rPr>
                <w:color w:val="auto"/>
                <w:sz w:val="21"/>
                <w:szCs w:val="21"/>
              </w:rPr>
              <w:t>项目位于启东生命健康产业园，为</w:t>
            </w:r>
            <w:r>
              <w:rPr>
                <w:rFonts w:hint="eastAsia"/>
                <w:bCs/>
                <w:color w:val="auto"/>
                <w:sz w:val="21"/>
                <w:szCs w:val="21"/>
              </w:rPr>
              <w:t>无机盐</w:t>
            </w:r>
            <w:r>
              <w:rPr>
                <w:bCs/>
                <w:color w:val="auto"/>
                <w:sz w:val="21"/>
                <w:szCs w:val="21"/>
              </w:rPr>
              <w:t>制剂制造</w:t>
            </w:r>
            <w:r>
              <w:rPr>
                <w:color w:val="auto"/>
                <w:sz w:val="21"/>
                <w:szCs w:val="21"/>
              </w:rPr>
              <w:t>项目，不属于新建</w:t>
            </w:r>
            <w:r>
              <w:rPr>
                <w:color w:val="auto"/>
                <w:kern w:val="0"/>
                <w:sz w:val="21"/>
                <w:szCs w:val="21"/>
              </w:rPr>
              <w:t>危化品码头项目、独立焦化项目</w:t>
            </w:r>
            <w:r>
              <w:rPr>
                <w:color w:val="auto"/>
                <w:sz w:val="21"/>
                <w:szCs w:val="21"/>
              </w:rPr>
              <w:t>，亦不涉及生态保护红线及永久基本农田，项目不涉及</w:t>
            </w:r>
            <w:r>
              <w:rPr>
                <w:color w:val="auto"/>
                <w:kern w:val="0"/>
                <w:sz w:val="21"/>
                <w:szCs w:val="21"/>
              </w:rPr>
              <w:t>港口、</w:t>
            </w:r>
            <w:r>
              <w:rPr>
                <w:color w:val="auto"/>
                <w:sz w:val="21"/>
                <w:szCs w:val="21"/>
              </w:rPr>
              <w:t>码头</w:t>
            </w:r>
            <w:r>
              <w:rPr>
                <w:color w:val="auto"/>
                <w:kern w:val="0"/>
                <w:sz w:val="21"/>
                <w:szCs w:val="21"/>
              </w:rPr>
              <w:t>、过江干线通道。项目所在地不在沿江1km范围内。</w:t>
            </w:r>
          </w:p>
        </w:tc>
      </w:tr>
      <w:tr w14:paraId="6D1061A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50" w:type="pct"/>
            <w:tcBorders>
              <w:tl2br w:val="nil"/>
              <w:tr2bl w:val="nil"/>
            </w:tcBorders>
            <w:vAlign w:val="center"/>
          </w:tcPr>
          <w:p w14:paraId="7E980B5D">
            <w:pPr>
              <w:widowControl/>
              <w:spacing w:line="240" w:lineRule="auto"/>
              <w:ind w:firstLine="0" w:firstLineChars="0"/>
              <w:jc w:val="center"/>
              <w:rPr>
                <w:color w:val="auto"/>
                <w:kern w:val="0"/>
                <w:sz w:val="21"/>
                <w:szCs w:val="21"/>
              </w:rPr>
            </w:pPr>
            <w:r>
              <w:rPr>
                <w:color w:val="auto"/>
                <w:kern w:val="0"/>
                <w:sz w:val="21"/>
                <w:szCs w:val="21"/>
              </w:rPr>
              <w:t>污染物排放管控</w:t>
            </w:r>
          </w:p>
        </w:tc>
        <w:tc>
          <w:tcPr>
            <w:tcW w:w="2481" w:type="pct"/>
            <w:tcBorders>
              <w:tl2br w:val="nil"/>
              <w:tr2bl w:val="nil"/>
            </w:tcBorders>
            <w:vAlign w:val="center"/>
          </w:tcPr>
          <w:p w14:paraId="29F8DAC2">
            <w:pPr>
              <w:widowControl/>
              <w:spacing w:line="240" w:lineRule="auto"/>
              <w:ind w:firstLine="0" w:firstLineChars="0"/>
              <w:jc w:val="center"/>
              <w:rPr>
                <w:color w:val="auto"/>
                <w:kern w:val="0"/>
                <w:sz w:val="21"/>
                <w:szCs w:val="21"/>
              </w:rPr>
            </w:pPr>
            <w:r>
              <w:rPr>
                <w:color w:val="auto"/>
                <w:kern w:val="0"/>
                <w:sz w:val="21"/>
                <w:szCs w:val="21"/>
              </w:rPr>
              <w:t>1．根据《江苏省长江水污染防治条例》实施污染物总量控制制度。</w:t>
            </w:r>
          </w:p>
          <w:p w14:paraId="4AED1493">
            <w:pPr>
              <w:widowControl/>
              <w:spacing w:line="240" w:lineRule="auto"/>
              <w:ind w:firstLine="0" w:firstLineChars="0"/>
              <w:jc w:val="center"/>
              <w:rPr>
                <w:color w:val="auto"/>
                <w:kern w:val="0"/>
                <w:sz w:val="21"/>
                <w:szCs w:val="21"/>
              </w:rPr>
            </w:pPr>
            <w:r>
              <w:rPr>
                <w:color w:val="auto"/>
                <w:kern w:val="0"/>
                <w:sz w:val="21"/>
                <w:szCs w:val="21"/>
              </w:rPr>
              <w:t>2．全面加强和规范长江入河排污口管理，有效管控入河污染物排放，形成权责清晰、监控到位、管理规范的长江入河排污口监管体系，加快改善长江水环境质量。</w:t>
            </w:r>
          </w:p>
        </w:tc>
        <w:tc>
          <w:tcPr>
            <w:tcW w:w="1968" w:type="pct"/>
            <w:tcBorders>
              <w:tl2br w:val="nil"/>
              <w:tr2bl w:val="nil"/>
            </w:tcBorders>
            <w:vAlign w:val="center"/>
          </w:tcPr>
          <w:p w14:paraId="043B2BEA">
            <w:pPr>
              <w:widowControl/>
              <w:spacing w:line="240" w:lineRule="auto"/>
              <w:ind w:firstLine="0" w:firstLineChars="0"/>
              <w:jc w:val="center"/>
              <w:rPr>
                <w:color w:val="auto"/>
                <w:kern w:val="0"/>
                <w:sz w:val="21"/>
                <w:szCs w:val="21"/>
              </w:rPr>
            </w:pPr>
            <w:r>
              <w:rPr>
                <w:rFonts w:hint="eastAsia"/>
                <w:color w:val="auto"/>
                <w:sz w:val="21"/>
                <w:szCs w:val="21"/>
              </w:rPr>
              <w:t>拟建</w:t>
            </w:r>
            <w:r>
              <w:rPr>
                <w:color w:val="auto"/>
                <w:sz w:val="21"/>
                <w:szCs w:val="21"/>
              </w:rPr>
              <w:t>项目建成后将实施污染物总量控制。</w:t>
            </w:r>
            <w:r>
              <w:rPr>
                <w:rFonts w:hint="eastAsia"/>
                <w:color w:val="auto"/>
                <w:sz w:val="21"/>
                <w:szCs w:val="21"/>
              </w:rPr>
              <w:t>拟建</w:t>
            </w:r>
            <w:r>
              <w:rPr>
                <w:color w:val="auto"/>
                <w:sz w:val="21"/>
                <w:szCs w:val="21"/>
              </w:rPr>
              <w:t>项目不涉及新设立入河排污口。</w:t>
            </w:r>
            <w:r>
              <w:rPr>
                <w:rFonts w:hint="eastAsia"/>
                <w:color w:val="auto"/>
                <w:sz w:val="21"/>
                <w:szCs w:val="21"/>
              </w:rPr>
              <w:t>拟建</w:t>
            </w:r>
            <w:r>
              <w:rPr>
                <w:color w:val="auto"/>
                <w:sz w:val="21"/>
                <w:szCs w:val="21"/>
              </w:rPr>
              <w:t>项目废水经厂内</w:t>
            </w:r>
            <w:r>
              <w:rPr>
                <w:rFonts w:hint="eastAsia"/>
                <w:color w:val="auto"/>
                <w:sz w:val="21"/>
                <w:szCs w:val="21"/>
              </w:rPr>
              <w:t>现有1</w:t>
            </w:r>
            <w:r>
              <w:rPr>
                <w:color w:val="auto"/>
                <w:sz w:val="21"/>
                <w:szCs w:val="21"/>
              </w:rPr>
              <w:t>#污水处理站处理后接管至联合环境水务</w:t>
            </w:r>
            <w:r>
              <w:rPr>
                <w:rFonts w:hint="eastAsia"/>
                <w:color w:val="auto"/>
                <w:sz w:val="21"/>
                <w:szCs w:val="21"/>
              </w:rPr>
              <w:t>（</w:t>
            </w:r>
            <w:r>
              <w:rPr>
                <w:color w:val="auto"/>
                <w:sz w:val="21"/>
                <w:szCs w:val="21"/>
              </w:rPr>
              <w:t>启东</w:t>
            </w:r>
            <w:r>
              <w:rPr>
                <w:rFonts w:hint="eastAsia"/>
                <w:color w:val="auto"/>
                <w:sz w:val="21"/>
                <w:szCs w:val="21"/>
              </w:rPr>
              <w:t>）</w:t>
            </w:r>
            <w:r>
              <w:rPr>
                <w:color w:val="auto"/>
                <w:sz w:val="21"/>
                <w:szCs w:val="21"/>
              </w:rPr>
              <w:t>有限公司。</w:t>
            </w:r>
          </w:p>
        </w:tc>
      </w:tr>
      <w:tr w14:paraId="35E1797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50" w:type="pct"/>
            <w:tcBorders>
              <w:tl2br w:val="nil"/>
              <w:tr2bl w:val="nil"/>
            </w:tcBorders>
            <w:vAlign w:val="center"/>
          </w:tcPr>
          <w:p w14:paraId="288060D3">
            <w:pPr>
              <w:widowControl/>
              <w:spacing w:line="240" w:lineRule="auto"/>
              <w:ind w:firstLine="0" w:firstLineChars="0"/>
              <w:jc w:val="center"/>
              <w:rPr>
                <w:color w:val="auto"/>
                <w:kern w:val="0"/>
                <w:sz w:val="21"/>
                <w:szCs w:val="21"/>
              </w:rPr>
            </w:pPr>
            <w:r>
              <w:rPr>
                <w:color w:val="auto"/>
                <w:kern w:val="0"/>
                <w:sz w:val="21"/>
                <w:szCs w:val="21"/>
              </w:rPr>
              <w:t>环境风险防控</w:t>
            </w:r>
          </w:p>
        </w:tc>
        <w:tc>
          <w:tcPr>
            <w:tcW w:w="2481" w:type="pct"/>
            <w:tcBorders>
              <w:tl2br w:val="nil"/>
              <w:tr2bl w:val="nil"/>
            </w:tcBorders>
            <w:vAlign w:val="center"/>
          </w:tcPr>
          <w:p w14:paraId="600F4801">
            <w:pPr>
              <w:widowControl/>
              <w:spacing w:line="240" w:lineRule="auto"/>
              <w:ind w:firstLine="0" w:firstLineChars="0"/>
              <w:jc w:val="center"/>
              <w:rPr>
                <w:color w:val="auto"/>
                <w:kern w:val="0"/>
                <w:sz w:val="21"/>
                <w:szCs w:val="21"/>
              </w:rPr>
            </w:pPr>
            <w:r>
              <w:rPr>
                <w:color w:val="auto"/>
                <w:kern w:val="0"/>
                <w:sz w:val="21"/>
                <w:szCs w:val="21"/>
              </w:rPr>
              <w:t>1．防范沿江环境风险。深化沿江石化、化工、医药、纺织、印染、化纤、危化品和石油类仓储、涉重金属和危险废物处置等重点企业环境风险防控。</w:t>
            </w:r>
          </w:p>
          <w:p w14:paraId="454A47E6">
            <w:pPr>
              <w:widowControl/>
              <w:spacing w:line="240" w:lineRule="auto"/>
              <w:ind w:firstLine="0" w:firstLineChars="0"/>
              <w:jc w:val="center"/>
              <w:rPr>
                <w:color w:val="auto"/>
                <w:kern w:val="0"/>
                <w:sz w:val="21"/>
                <w:szCs w:val="21"/>
              </w:rPr>
            </w:pPr>
            <w:r>
              <w:rPr>
                <w:color w:val="auto"/>
                <w:kern w:val="0"/>
                <w:sz w:val="21"/>
                <w:szCs w:val="21"/>
              </w:rPr>
              <w:t>2．加强饮用水水源保护。优化水源保护区划定，推动饮用水水源地规范化建设。</w:t>
            </w:r>
          </w:p>
        </w:tc>
        <w:tc>
          <w:tcPr>
            <w:tcW w:w="1968" w:type="pct"/>
            <w:tcBorders>
              <w:tl2br w:val="nil"/>
              <w:tr2bl w:val="nil"/>
            </w:tcBorders>
            <w:vAlign w:val="center"/>
          </w:tcPr>
          <w:p w14:paraId="4DB50DDB">
            <w:pPr>
              <w:widowControl/>
              <w:spacing w:line="240" w:lineRule="auto"/>
              <w:ind w:firstLine="0" w:firstLineChars="0"/>
              <w:jc w:val="center"/>
              <w:rPr>
                <w:color w:val="auto"/>
                <w:kern w:val="0"/>
                <w:sz w:val="21"/>
                <w:szCs w:val="21"/>
              </w:rPr>
            </w:pPr>
            <w:r>
              <w:rPr>
                <w:rFonts w:hint="eastAsia"/>
                <w:color w:val="auto"/>
                <w:kern w:val="0"/>
                <w:sz w:val="21"/>
                <w:szCs w:val="21"/>
              </w:rPr>
              <w:t>启东亚太已针对现有项目制定环境事件应急预案并于2026年4月10日进行了备案，配备环境应急物资，并纳入园区应急体系，实现环境风险联防联控，以能满足环境风险防控的相关要求</w:t>
            </w:r>
            <w:r>
              <w:rPr>
                <w:color w:val="auto"/>
                <w:kern w:val="0"/>
                <w:sz w:val="21"/>
                <w:szCs w:val="21"/>
              </w:rPr>
              <w:t>。</w:t>
            </w:r>
          </w:p>
        </w:tc>
      </w:tr>
      <w:tr w14:paraId="6308B6B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50" w:type="pct"/>
            <w:tcBorders>
              <w:tl2br w:val="nil"/>
              <w:tr2bl w:val="nil"/>
            </w:tcBorders>
            <w:vAlign w:val="center"/>
          </w:tcPr>
          <w:p w14:paraId="25FD2A63">
            <w:pPr>
              <w:widowControl/>
              <w:spacing w:line="240" w:lineRule="auto"/>
              <w:ind w:firstLine="0" w:firstLineChars="0"/>
              <w:jc w:val="center"/>
              <w:rPr>
                <w:color w:val="auto"/>
                <w:kern w:val="0"/>
                <w:sz w:val="21"/>
                <w:szCs w:val="21"/>
              </w:rPr>
            </w:pPr>
            <w:r>
              <w:rPr>
                <w:color w:val="auto"/>
                <w:kern w:val="0"/>
                <w:sz w:val="21"/>
                <w:szCs w:val="21"/>
              </w:rPr>
              <w:t>资源利用效率要求</w:t>
            </w:r>
          </w:p>
        </w:tc>
        <w:tc>
          <w:tcPr>
            <w:tcW w:w="2481" w:type="pct"/>
            <w:tcBorders>
              <w:tl2br w:val="nil"/>
              <w:tr2bl w:val="nil"/>
            </w:tcBorders>
            <w:vAlign w:val="center"/>
          </w:tcPr>
          <w:p w14:paraId="7C4FEA3C">
            <w:pPr>
              <w:widowControl/>
              <w:spacing w:line="240" w:lineRule="auto"/>
              <w:ind w:firstLine="0" w:firstLineChars="0"/>
              <w:jc w:val="center"/>
              <w:rPr>
                <w:color w:val="auto"/>
                <w:kern w:val="0"/>
                <w:sz w:val="21"/>
                <w:szCs w:val="21"/>
              </w:rPr>
            </w:pPr>
            <w:r>
              <w:rPr>
                <w:color w:val="auto"/>
                <w:kern w:val="0"/>
                <w:sz w:val="21"/>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968" w:type="pct"/>
            <w:tcBorders>
              <w:tl2br w:val="nil"/>
              <w:tr2bl w:val="nil"/>
            </w:tcBorders>
            <w:vAlign w:val="center"/>
          </w:tcPr>
          <w:p w14:paraId="20D9EA92">
            <w:pPr>
              <w:widowControl/>
              <w:spacing w:line="240" w:lineRule="auto"/>
              <w:ind w:firstLine="0" w:firstLineChars="0"/>
              <w:jc w:val="center"/>
              <w:rPr>
                <w:color w:val="auto"/>
                <w:kern w:val="0"/>
                <w:sz w:val="21"/>
                <w:szCs w:val="21"/>
              </w:rPr>
            </w:pPr>
            <w:r>
              <w:rPr>
                <w:rFonts w:hint="eastAsia"/>
                <w:color w:val="auto"/>
                <w:sz w:val="21"/>
                <w:szCs w:val="21"/>
              </w:rPr>
              <w:t>拟建</w:t>
            </w:r>
            <w:r>
              <w:rPr>
                <w:color w:val="auto"/>
                <w:sz w:val="21"/>
                <w:szCs w:val="21"/>
              </w:rPr>
              <w:t>项目为</w:t>
            </w:r>
            <w:r>
              <w:rPr>
                <w:rFonts w:hint="eastAsia"/>
                <w:bCs/>
                <w:color w:val="auto"/>
                <w:sz w:val="21"/>
                <w:szCs w:val="21"/>
              </w:rPr>
              <w:t>无机盐</w:t>
            </w:r>
            <w:r>
              <w:rPr>
                <w:bCs/>
                <w:color w:val="auto"/>
                <w:sz w:val="21"/>
                <w:szCs w:val="21"/>
              </w:rPr>
              <w:t>制造</w:t>
            </w:r>
            <w:r>
              <w:rPr>
                <w:color w:val="auto"/>
                <w:sz w:val="21"/>
                <w:szCs w:val="21"/>
              </w:rPr>
              <w:t>项目，</w:t>
            </w:r>
            <w:r>
              <w:rPr>
                <w:rFonts w:hint="eastAsia"/>
                <w:color w:val="auto"/>
                <w:sz w:val="21"/>
                <w:szCs w:val="21"/>
              </w:rPr>
              <w:t>属于危险化学品衍生加工为普通化学品，降低化学品储存风险，提升产品价值的技改类化工项目，</w:t>
            </w:r>
            <w:r>
              <w:rPr>
                <w:color w:val="auto"/>
                <w:sz w:val="21"/>
                <w:szCs w:val="21"/>
              </w:rPr>
              <w:t>不属于</w:t>
            </w:r>
            <w:r>
              <w:rPr>
                <w:color w:val="auto"/>
                <w:kern w:val="0"/>
                <w:sz w:val="21"/>
                <w:szCs w:val="21"/>
              </w:rPr>
              <w:t>尾矿库项目。</w:t>
            </w:r>
          </w:p>
        </w:tc>
      </w:tr>
    </w:tbl>
    <w:p w14:paraId="60572003">
      <w:pPr>
        <w:adjustRightInd/>
        <w:snapToGrid/>
        <w:ind w:firstLine="480"/>
        <w:rPr>
          <w:color w:val="auto"/>
          <w:kern w:val="0"/>
          <w:szCs w:val="20"/>
          <w:lang w:val="zh-CN"/>
        </w:rPr>
      </w:pPr>
      <w:r>
        <w:rPr>
          <w:rFonts w:hint="eastAsia"/>
          <w:color w:val="auto"/>
          <w:kern w:val="0"/>
          <w:szCs w:val="20"/>
          <w:lang w:val="zh-CN"/>
        </w:rPr>
        <w:t>根据上述分析，</w:t>
      </w:r>
      <w:r>
        <w:rPr>
          <w:rFonts w:hint="eastAsia"/>
          <w:color w:val="auto"/>
          <w:kern w:val="0"/>
          <w:szCs w:val="20"/>
        </w:rPr>
        <w:t>拟建</w:t>
      </w:r>
      <w:r>
        <w:rPr>
          <w:rFonts w:hint="eastAsia"/>
          <w:color w:val="auto"/>
          <w:kern w:val="0"/>
          <w:szCs w:val="20"/>
          <w:lang w:val="zh-CN"/>
        </w:rPr>
        <w:t>项目的建设与《江苏省2023年度生态环境分区管控动态更新成果》要求相符。</w:t>
      </w:r>
    </w:p>
    <w:p w14:paraId="09740B81">
      <w:pPr>
        <w:pStyle w:val="5"/>
        <w:spacing w:before="156"/>
        <w:rPr>
          <w:color w:val="auto"/>
        </w:rPr>
      </w:pPr>
      <w:r>
        <w:rPr>
          <w:rFonts w:hint="eastAsia"/>
          <w:color w:val="auto"/>
        </w:rPr>
        <w:t>1.4.4.4</w:t>
      </w:r>
      <w:r>
        <w:rPr>
          <w:color w:val="auto"/>
        </w:rPr>
        <w:t>与《南通市生态环境分区管控方案动态更新成果(2023年)》相符性分析</w:t>
      </w:r>
    </w:p>
    <w:p w14:paraId="43EA035E">
      <w:pPr>
        <w:spacing w:line="500" w:lineRule="atLeast"/>
        <w:ind w:firstLine="480"/>
        <w:rPr>
          <w:color w:val="auto"/>
          <w:szCs w:val="22"/>
          <w:lang w:val="zh-CN"/>
        </w:rPr>
      </w:pPr>
      <w:r>
        <w:rPr>
          <w:rFonts w:hint="eastAsia"/>
          <w:color w:val="auto"/>
          <w:szCs w:val="22"/>
          <w:lang w:val="zh-CN"/>
        </w:rPr>
        <w:t>拟建与《南通市生态环境分区管控方案动态更新成果(2023年)》相符性分析见表1.4</w:t>
      </w:r>
      <w:r>
        <w:rPr>
          <w:rFonts w:hint="eastAsia"/>
          <w:color w:val="auto"/>
          <w:szCs w:val="22"/>
        </w:rPr>
        <w:t>-11</w:t>
      </w:r>
      <w:r>
        <w:rPr>
          <w:rFonts w:hint="eastAsia"/>
          <w:color w:val="auto"/>
          <w:szCs w:val="22"/>
          <w:lang w:val="zh-CN"/>
        </w:rPr>
        <w:t>。</w:t>
      </w:r>
    </w:p>
    <w:p w14:paraId="03900D23">
      <w:pPr>
        <w:pStyle w:val="49"/>
        <w:rPr>
          <w:color w:val="auto"/>
        </w:rPr>
      </w:pPr>
      <w:r>
        <w:rPr>
          <w:color w:val="auto"/>
        </w:rPr>
        <w:t>表1.</w:t>
      </w:r>
      <w:r>
        <w:rPr>
          <w:rFonts w:hint="eastAsia"/>
          <w:color w:val="auto"/>
        </w:rPr>
        <w:t>4-11</w:t>
      </w:r>
      <w:r>
        <w:rPr>
          <w:color w:val="auto"/>
        </w:rPr>
        <w:t xml:space="preserve">  与《南通市生态环境分区管控方案动态更新成果(2023年)》相符性分析</w:t>
      </w:r>
    </w:p>
    <w:tbl>
      <w:tblPr>
        <w:tblStyle w:val="24"/>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29"/>
        <w:gridCol w:w="6035"/>
        <w:gridCol w:w="2990"/>
      </w:tblGrid>
      <w:tr w14:paraId="315ECAA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tblHeader/>
          <w:jc w:val="center"/>
        </w:trPr>
        <w:tc>
          <w:tcPr>
            <w:tcW w:w="421" w:type="pct"/>
            <w:tcBorders>
              <w:tl2br w:val="nil"/>
              <w:tr2bl w:val="nil"/>
            </w:tcBorders>
            <w:vAlign w:val="center"/>
          </w:tcPr>
          <w:p w14:paraId="48549EFA">
            <w:pPr>
              <w:widowControl/>
              <w:spacing w:line="240" w:lineRule="auto"/>
              <w:ind w:firstLine="0" w:firstLineChars="0"/>
              <w:jc w:val="center"/>
              <w:rPr>
                <w:b/>
                <w:color w:val="auto"/>
                <w:kern w:val="0"/>
                <w:sz w:val="21"/>
                <w:szCs w:val="21"/>
              </w:rPr>
            </w:pPr>
            <w:r>
              <w:rPr>
                <w:b/>
                <w:color w:val="auto"/>
                <w:kern w:val="0"/>
                <w:sz w:val="21"/>
                <w:szCs w:val="21"/>
              </w:rPr>
              <w:t>管控类别</w:t>
            </w:r>
          </w:p>
        </w:tc>
        <w:tc>
          <w:tcPr>
            <w:tcW w:w="3062" w:type="pct"/>
            <w:tcBorders>
              <w:tl2br w:val="nil"/>
              <w:tr2bl w:val="nil"/>
            </w:tcBorders>
            <w:vAlign w:val="center"/>
          </w:tcPr>
          <w:p w14:paraId="7163BD8D">
            <w:pPr>
              <w:widowControl/>
              <w:spacing w:line="240" w:lineRule="auto"/>
              <w:ind w:firstLine="0" w:firstLineChars="0"/>
              <w:jc w:val="center"/>
              <w:rPr>
                <w:b/>
                <w:color w:val="auto"/>
                <w:kern w:val="0"/>
                <w:sz w:val="21"/>
                <w:szCs w:val="21"/>
              </w:rPr>
            </w:pPr>
            <w:r>
              <w:rPr>
                <w:b/>
                <w:color w:val="auto"/>
                <w:kern w:val="0"/>
                <w:sz w:val="21"/>
                <w:szCs w:val="21"/>
              </w:rPr>
              <w:t>重点管控要求</w:t>
            </w:r>
          </w:p>
        </w:tc>
        <w:tc>
          <w:tcPr>
            <w:tcW w:w="1517" w:type="pct"/>
            <w:tcBorders>
              <w:tl2br w:val="nil"/>
              <w:tr2bl w:val="nil"/>
            </w:tcBorders>
            <w:vAlign w:val="center"/>
          </w:tcPr>
          <w:p w14:paraId="1A6BB72C">
            <w:pPr>
              <w:widowControl/>
              <w:spacing w:line="240" w:lineRule="auto"/>
              <w:ind w:firstLine="0" w:firstLineChars="0"/>
              <w:jc w:val="center"/>
              <w:rPr>
                <w:b/>
                <w:color w:val="auto"/>
                <w:kern w:val="0"/>
                <w:sz w:val="21"/>
                <w:szCs w:val="21"/>
              </w:rPr>
            </w:pPr>
            <w:r>
              <w:rPr>
                <w:rFonts w:hint="eastAsia"/>
                <w:b/>
                <w:color w:val="auto"/>
                <w:kern w:val="0"/>
                <w:sz w:val="21"/>
                <w:szCs w:val="21"/>
              </w:rPr>
              <w:t>拟建</w:t>
            </w:r>
          </w:p>
        </w:tc>
      </w:tr>
      <w:tr w14:paraId="304A394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21" w:type="pct"/>
            <w:tcBorders>
              <w:tl2br w:val="nil"/>
              <w:tr2bl w:val="nil"/>
            </w:tcBorders>
            <w:vAlign w:val="center"/>
          </w:tcPr>
          <w:p w14:paraId="1C91674D">
            <w:pPr>
              <w:widowControl/>
              <w:spacing w:line="240" w:lineRule="auto"/>
              <w:ind w:firstLine="0" w:firstLineChars="0"/>
              <w:jc w:val="center"/>
              <w:rPr>
                <w:color w:val="auto"/>
                <w:kern w:val="0"/>
                <w:sz w:val="21"/>
                <w:szCs w:val="21"/>
              </w:rPr>
            </w:pPr>
            <w:r>
              <w:rPr>
                <w:color w:val="auto"/>
                <w:kern w:val="0"/>
                <w:sz w:val="21"/>
                <w:szCs w:val="21"/>
              </w:rPr>
              <w:t>空间布局约束</w:t>
            </w:r>
          </w:p>
        </w:tc>
        <w:tc>
          <w:tcPr>
            <w:tcW w:w="3062" w:type="pct"/>
            <w:tcBorders>
              <w:tl2br w:val="nil"/>
              <w:tr2bl w:val="nil"/>
            </w:tcBorders>
            <w:vAlign w:val="center"/>
          </w:tcPr>
          <w:p w14:paraId="1134A767">
            <w:pPr>
              <w:widowControl/>
              <w:spacing w:line="240" w:lineRule="auto"/>
              <w:ind w:firstLine="0" w:firstLineChars="0"/>
              <w:jc w:val="center"/>
              <w:rPr>
                <w:color w:val="auto"/>
                <w:kern w:val="0"/>
                <w:sz w:val="21"/>
                <w:szCs w:val="21"/>
              </w:rPr>
            </w:pPr>
            <w:r>
              <w:rPr>
                <w:color w:val="auto"/>
                <w:kern w:val="0"/>
                <w:sz w:val="21"/>
                <w:szCs w:val="21"/>
              </w:rPr>
              <w:t>1.落实国土空间总体规划，严守生态保护红线，陆域生态保护红线53.4917平方公里，海洋生态保护红线2480.777平方公里。南通市生态空间管控区域面积1532.87平方公里。</w:t>
            </w:r>
          </w:p>
          <w:p w14:paraId="2C06D743">
            <w:pPr>
              <w:widowControl/>
              <w:spacing w:line="240" w:lineRule="auto"/>
              <w:ind w:firstLine="0" w:firstLineChars="0"/>
              <w:jc w:val="center"/>
              <w:rPr>
                <w:color w:val="auto"/>
                <w:kern w:val="0"/>
                <w:sz w:val="21"/>
                <w:szCs w:val="21"/>
              </w:rPr>
            </w:pPr>
            <w:r>
              <w:rPr>
                <w:color w:val="auto"/>
                <w:kern w:val="0"/>
                <w:sz w:val="21"/>
                <w:szCs w:val="21"/>
              </w:rPr>
              <w:t>2.严格执行《(长江经济带发展负面清单指南)江苏省实施细则(试行)》；禁止引进列入《南通市工业结构调整指导目录》淘汰类的产业、列入《南通市工业产业技术改造负面清单》严格禁止的技术改造工艺装备及产品。</w:t>
            </w:r>
          </w:p>
          <w:p w14:paraId="1D7CEBB3">
            <w:pPr>
              <w:widowControl/>
              <w:spacing w:line="240" w:lineRule="auto"/>
              <w:ind w:firstLine="0" w:firstLineChars="0"/>
              <w:jc w:val="center"/>
              <w:rPr>
                <w:color w:val="auto"/>
                <w:kern w:val="0"/>
                <w:sz w:val="21"/>
                <w:szCs w:val="21"/>
              </w:rPr>
            </w:pPr>
            <w:r>
              <w:rPr>
                <w:color w:val="auto"/>
                <w:kern w:val="0"/>
                <w:sz w:val="21"/>
                <w:szCs w:val="21"/>
              </w:rPr>
              <w:t>3.根据《省政府关于加强全省化工园区化工集中区规范化管理的通知》(苏政发[2020]94号)，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不再新上医药中间体、农药中间体、染料中间体项目(具有自主知识产权的关键中间体及高产出、低污染项目除外，分别由科技部门和环保部门认定)。沿江化工园区不再新增农药、染料化工企业。</w:t>
            </w:r>
          </w:p>
          <w:p w14:paraId="5C6AFB02">
            <w:pPr>
              <w:widowControl/>
              <w:spacing w:line="240" w:lineRule="auto"/>
              <w:ind w:firstLine="0" w:firstLineChars="0"/>
              <w:jc w:val="center"/>
              <w:rPr>
                <w:color w:val="auto"/>
                <w:kern w:val="0"/>
                <w:sz w:val="21"/>
                <w:szCs w:val="21"/>
              </w:rPr>
            </w:pPr>
            <w:r>
              <w:rPr>
                <w:color w:val="auto"/>
                <w:kern w:val="0"/>
                <w:sz w:val="21"/>
                <w:szCs w:val="21"/>
              </w:rPr>
              <w:t>4.落实《市政府办公室印发&lt;关于进一步促进全市乡镇工业集聚区高质量发展的实施意见&gt;的通知》(通政办发[2022]70号)，严格控制新增集聚区，推动园区外企业入园进区。除保障农村一二三产业融合发展所需项目外，对招商中不符合规划的项目实行一票否决，各地不得为项目随意调整规划。</w:t>
            </w:r>
          </w:p>
          <w:p w14:paraId="0F2C526C">
            <w:pPr>
              <w:widowControl/>
              <w:spacing w:line="240" w:lineRule="auto"/>
              <w:ind w:firstLine="0" w:firstLineChars="0"/>
              <w:jc w:val="center"/>
              <w:rPr>
                <w:color w:val="auto"/>
                <w:kern w:val="0"/>
                <w:sz w:val="21"/>
                <w:szCs w:val="21"/>
              </w:rPr>
            </w:pPr>
            <w:r>
              <w:rPr>
                <w:color w:val="auto"/>
                <w:kern w:val="0"/>
                <w:sz w:val="21"/>
                <w:szCs w:val="21"/>
              </w:rPr>
              <w:t>5.落实《市政府办公室关于印发南通市减污降碳协同增效三年行动计划(2023-2025年)的通知》(通政办发[2023]24号)，实施“两高”项目清单化管理，推进沿江产业转型和沿海钢铁石化产业布局，推动落后和过剩产能退出。加快工业领域低碳工艺革新，全面提升船舶海工、新材料、建筑等重点行业数字化水平。推动生态环保产业与5G、人工智能、区块链等创新技术融合发展，构建自主可控、安全可靠的绿色产业链。</w:t>
            </w:r>
          </w:p>
          <w:p w14:paraId="3262B2C8">
            <w:pPr>
              <w:widowControl/>
              <w:spacing w:line="240" w:lineRule="auto"/>
              <w:ind w:firstLine="0" w:firstLineChars="0"/>
              <w:jc w:val="center"/>
              <w:rPr>
                <w:color w:val="auto"/>
                <w:kern w:val="0"/>
                <w:sz w:val="21"/>
                <w:szCs w:val="21"/>
              </w:rPr>
            </w:pPr>
            <w:r>
              <w:rPr>
                <w:color w:val="auto"/>
                <w:kern w:val="0"/>
                <w:sz w:val="21"/>
                <w:szCs w:val="21"/>
              </w:rPr>
              <w:t>6.落实《自然资源部国家发展改革委农业农村部关于保障和规范农村一二三产业融合发展用地的通知》(自然资发[2021]16号)要求，引导农村产业在县域范围内统筹布局，规模较大、工业化程度高、分散布局配套设施成本高的产业项目要进产业园区；具有一定规模的农产品加工要向县城或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的配套设施建设，可在不占用永久基本农田和生态保护红线、不突破国土空间规划建设用地指标等约束条件、不破坏生态环境和乡村风貌的前提下，在村庄建设边界外安排少量建设用地，实行比例和面积控制，并依法办理农用地转用审批和供地手续。</w:t>
            </w:r>
          </w:p>
        </w:tc>
        <w:tc>
          <w:tcPr>
            <w:tcW w:w="1517" w:type="pct"/>
            <w:tcBorders>
              <w:tl2br w:val="nil"/>
              <w:tr2bl w:val="nil"/>
            </w:tcBorders>
            <w:vAlign w:val="center"/>
          </w:tcPr>
          <w:p w14:paraId="0F716951">
            <w:pPr>
              <w:widowControl/>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拟建</w:t>
            </w:r>
            <w:r>
              <w:rPr>
                <w:color w:val="auto"/>
                <w:kern w:val="0"/>
                <w:sz w:val="21"/>
                <w:szCs w:val="21"/>
              </w:rPr>
              <w:t>项目不占用生态红线和生态空间管控区域。</w:t>
            </w:r>
          </w:p>
          <w:p w14:paraId="0CE206EB">
            <w:pPr>
              <w:widowControl/>
              <w:spacing w:line="240" w:lineRule="auto"/>
              <w:ind w:firstLine="0" w:firstLineChars="0"/>
              <w:jc w:val="center"/>
              <w:rPr>
                <w:color w:val="auto"/>
                <w:kern w:val="0"/>
                <w:sz w:val="21"/>
                <w:szCs w:val="21"/>
              </w:rPr>
            </w:pPr>
            <w:r>
              <w:rPr>
                <w:color w:val="auto"/>
                <w:kern w:val="0"/>
                <w:sz w:val="21"/>
                <w:szCs w:val="21"/>
              </w:rPr>
              <w:t>2、</w:t>
            </w:r>
            <w:r>
              <w:rPr>
                <w:rFonts w:hint="eastAsia"/>
                <w:color w:val="auto"/>
                <w:kern w:val="0"/>
                <w:sz w:val="21"/>
                <w:szCs w:val="21"/>
              </w:rPr>
              <w:t>拟建</w:t>
            </w:r>
            <w:r>
              <w:rPr>
                <w:color w:val="auto"/>
                <w:kern w:val="0"/>
                <w:sz w:val="21"/>
                <w:szCs w:val="21"/>
              </w:rPr>
              <w:t>项目与《关于印发&lt;长江经济带发展负面清单指南(试行，2022年版)&gt;江苏省实施细则的通知》(苏长江办发</w:t>
            </w:r>
            <w:r>
              <w:rPr>
                <w:bCs/>
                <w:color w:val="auto"/>
                <w:kern w:val="0"/>
                <w:sz w:val="21"/>
                <w:szCs w:val="21"/>
              </w:rPr>
              <w:t>[2022]</w:t>
            </w:r>
            <w:r>
              <w:rPr>
                <w:color w:val="auto"/>
                <w:kern w:val="0"/>
                <w:sz w:val="21"/>
                <w:szCs w:val="21"/>
              </w:rPr>
              <w:t>55号)文件要求相符，不属于《南通市工业结构调整指导目录》淘汰类产业，不涉及《南通市工业产业技术改造负面清单》中禁止的技术改造工艺装备及产品。</w:t>
            </w:r>
          </w:p>
          <w:p w14:paraId="56302B94">
            <w:pPr>
              <w:widowControl/>
              <w:spacing w:line="240" w:lineRule="auto"/>
              <w:ind w:firstLine="0" w:firstLineChars="0"/>
              <w:jc w:val="center"/>
              <w:rPr>
                <w:color w:val="auto"/>
                <w:kern w:val="0"/>
                <w:sz w:val="21"/>
                <w:szCs w:val="21"/>
              </w:rPr>
            </w:pPr>
            <w:r>
              <w:rPr>
                <w:color w:val="auto"/>
                <w:kern w:val="0"/>
                <w:sz w:val="21"/>
                <w:szCs w:val="21"/>
              </w:rPr>
              <w:t>3、</w:t>
            </w:r>
            <w:r>
              <w:rPr>
                <w:rFonts w:hint="eastAsia"/>
                <w:color w:val="auto"/>
                <w:kern w:val="0"/>
                <w:sz w:val="21"/>
                <w:szCs w:val="21"/>
              </w:rPr>
              <w:t>拟建</w:t>
            </w:r>
            <w:r>
              <w:rPr>
                <w:color w:val="auto"/>
                <w:kern w:val="0"/>
                <w:sz w:val="21"/>
                <w:szCs w:val="21"/>
              </w:rPr>
              <w:t>项目距离长江干流约1.23km，</w:t>
            </w:r>
            <w:r>
              <w:rPr>
                <w:rFonts w:hint="eastAsia"/>
                <w:color w:val="auto"/>
                <w:kern w:val="0"/>
                <w:sz w:val="21"/>
                <w:szCs w:val="21"/>
              </w:rPr>
              <w:t>属于危险化学品衍生加工为普通化学品，降低化学品储存风险，提升产品价值的技改类化工项目</w:t>
            </w:r>
            <w:r>
              <w:rPr>
                <w:color w:val="auto"/>
                <w:kern w:val="0"/>
                <w:sz w:val="21"/>
                <w:szCs w:val="21"/>
              </w:rPr>
              <w:t>，不属于医药中间体、农药中间体、染料中间体项目，不属于农药、染料项目。</w:t>
            </w:r>
          </w:p>
          <w:p w14:paraId="1104AE2D">
            <w:pPr>
              <w:widowControl/>
              <w:spacing w:line="240" w:lineRule="auto"/>
              <w:ind w:firstLine="0" w:firstLineChars="0"/>
              <w:jc w:val="center"/>
              <w:rPr>
                <w:color w:val="auto"/>
                <w:kern w:val="0"/>
                <w:sz w:val="21"/>
                <w:szCs w:val="21"/>
              </w:rPr>
            </w:pPr>
            <w:r>
              <w:rPr>
                <w:color w:val="auto"/>
                <w:kern w:val="0"/>
                <w:sz w:val="21"/>
                <w:szCs w:val="21"/>
              </w:rPr>
              <w:t>4、</w:t>
            </w:r>
            <w:r>
              <w:rPr>
                <w:rFonts w:hint="eastAsia"/>
                <w:color w:val="auto"/>
                <w:kern w:val="0"/>
                <w:sz w:val="21"/>
                <w:szCs w:val="21"/>
              </w:rPr>
              <w:t>拟建</w:t>
            </w:r>
            <w:r>
              <w:rPr>
                <w:color w:val="auto"/>
                <w:kern w:val="0"/>
                <w:sz w:val="21"/>
                <w:szCs w:val="21"/>
              </w:rPr>
              <w:t>项目位于</w:t>
            </w:r>
            <w:r>
              <w:rPr>
                <w:color w:val="auto"/>
                <w:sz w:val="21"/>
                <w:szCs w:val="21"/>
              </w:rPr>
              <w:t>启东生命健康产业园</w:t>
            </w:r>
            <w:r>
              <w:rPr>
                <w:color w:val="auto"/>
                <w:kern w:val="0"/>
                <w:sz w:val="21"/>
                <w:szCs w:val="21"/>
              </w:rPr>
              <w:t>内，不属于园区外项目。</w:t>
            </w:r>
          </w:p>
          <w:p w14:paraId="7B9AACEA">
            <w:pPr>
              <w:widowControl/>
              <w:spacing w:line="240" w:lineRule="auto"/>
              <w:ind w:firstLine="0" w:firstLineChars="0"/>
              <w:jc w:val="center"/>
              <w:rPr>
                <w:color w:val="auto"/>
                <w:kern w:val="0"/>
                <w:sz w:val="21"/>
                <w:szCs w:val="21"/>
              </w:rPr>
            </w:pPr>
            <w:r>
              <w:rPr>
                <w:color w:val="auto"/>
                <w:kern w:val="0"/>
                <w:sz w:val="21"/>
                <w:szCs w:val="21"/>
              </w:rPr>
              <w:t>5、</w:t>
            </w:r>
            <w:r>
              <w:rPr>
                <w:rFonts w:hint="eastAsia"/>
                <w:color w:val="auto"/>
                <w:kern w:val="0"/>
                <w:sz w:val="21"/>
                <w:szCs w:val="21"/>
              </w:rPr>
              <w:t>拟建</w:t>
            </w:r>
            <w:r>
              <w:rPr>
                <w:color w:val="auto"/>
                <w:kern w:val="0"/>
                <w:sz w:val="21"/>
                <w:szCs w:val="21"/>
              </w:rPr>
              <w:t>项目不属于“两高”项目，符合产业政策。</w:t>
            </w:r>
          </w:p>
          <w:p w14:paraId="77E89287">
            <w:pPr>
              <w:widowControl/>
              <w:spacing w:line="240" w:lineRule="auto"/>
              <w:ind w:firstLine="0" w:firstLineChars="0"/>
              <w:jc w:val="center"/>
              <w:rPr>
                <w:color w:val="auto"/>
                <w:kern w:val="0"/>
                <w:sz w:val="21"/>
                <w:szCs w:val="21"/>
              </w:rPr>
            </w:pPr>
            <w:r>
              <w:rPr>
                <w:color w:val="auto"/>
                <w:kern w:val="0"/>
                <w:sz w:val="21"/>
                <w:szCs w:val="21"/>
              </w:rPr>
              <w:t>6、</w:t>
            </w:r>
            <w:r>
              <w:rPr>
                <w:rFonts w:hint="eastAsia"/>
                <w:color w:val="auto"/>
                <w:kern w:val="0"/>
                <w:sz w:val="21"/>
                <w:szCs w:val="21"/>
              </w:rPr>
              <w:t>拟建</w:t>
            </w:r>
            <w:r>
              <w:rPr>
                <w:color w:val="auto"/>
                <w:kern w:val="0"/>
                <w:sz w:val="21"/>
                <w:szCs w:val="21"/>
              </w:rPr>
              <w:t>项目选址于</w:t>
            </w:r>
            <w:r>
              <w:rPr>
                <w:color w:val="auto"/>
                <w:sz w:val="21"/>
                <w:szCs w:val="21"/>
              </w:rPr>
              <w:t>启东生命健康产业园</w:t>
            </w:r>
            <w:r>
              <w:rPr>
                <w:color w:val="auto"/>
                <w:kern w:val="0"/>
                <w:sz w:val="21"/>
                <w:szCs w:val="21"/>
              </w:rPr>
              <w:t>内，不属于园区外项目。不占用基本农田、生态红线和生态空间管控区域。</w:t>
            </w:r>
          </w:p>
        </w:tc>
      </w:tr>
      <w:tr w14:paraId="2A5DD01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21" w:type="pct"/>
            <w:tcBorders>
              <w:tl2br w:val="nil"/>
              <w:tr2bl w:val="nil"/>
            </w:tcBorders>
            <w:vAlign w:val="center"/>
          </w:tcPr>
          <w:p w14:paraId="2A836854">
            <w:pPr>
              <w:widowControl/>
              <w:spacing w:line="240" w:lineRule="auto"/>
              <w:ind w:firstLine="0" w:firstLineChars="0"/>
              <w:jc w:val="center"/>
              <w:rPr>
                <w:color w:val="auto"/>
                <w:kern w:val="0"/>
                <w:sz w:val="21"/>
                <w:szCs w:val="21"/>
              </w:rPr>
            </w:pPr>
            <w:r>
              <w:rPr>
                <w:color w:val="auto"/>
                <w:kern w:val="0"/>
                <w:sz w:val="21"/>
                <w:szCs w:val="21"/>
              </w:rPr>
              <w:t>污染物排放管控</w:t>
            </w:r>
          </w:p>
        </w:tc>
        <w:tc>
          <w:tcPr>
            <w:tcW w:w="3062" w:type="pct"/>
            <w:tcBorders>
              <w:tl2br w:val="nil"/>
              <w:tr2bl w:val="nil"/>
            </w:tcBorders>
            <w:vAlign w:val="center"/>
          </w:tcPr>
          <w:p w14:paraId="0E461FB5">
            <w:pPr>
              <w:widowControl/>
              <w:spacing w:line="240" w:lineRule="auto"/>
              <w:ind w:firstLine="0" w:firstLineChars="0"/>
              <w:jc w:val="center"/>
              <w:rPr>
                <w:color w:val="auto"/>
                <w:kern w:val="0"/>
                <w:sz w:val="21"/>
                <w:szCs w:val="21"/>
              </w:rPr>
            </w:pPr>
            <w:r>
              <w:rPr>
                <w:color w:val="auto"/>
                <w:kern w:val="0"/>
                <w:sz w:val="21"/>
                <w:szCs w:val="21"/>
              </w:rPr>
              <w:t>1.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14:paraId="333B1748">
            <w:pPr>
              <w:widowControl/>
              <w:spacing w:line="240" w:lineRule="auto"/>
              <w:ind w:firstLine="0" w:firstLineChars="0"/>
              <w:jc w:val="center"/>
              <w:rPr>
                <w:color w:val="auto"/>
                <w:kern w:val="0"/>
                <w:sz w:val="21"/>
                <w:szCs w:val="21"/>
              </w:rPr>
            </w:pPr>
            <w:r>
              <w:rPr>
                <w:color w:val="auto"/>
                <w:kern w:val="0"/>
                <w:sz w:val="21"/>
                <w:szCs w:val="21"/>
              </w:rPr>
              <w:t>2.用于建设项目的“可替代总量指标”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2.5)年平均浓度不达标的地区，二氧化硫、氮氧化物、烟粉尘、挥发性有机物四项污染物均需进行2倍削减替代(燃煤发电机组大气污染物排放浓度基本达到燃气轮机组排放限值的除外)。</w:t>
            </w:r>
          </w:p>
          <w:p w14:paraId="7CF8E54B">
            <w:pPr>
              <w:widowControl/>
              <w:spacing w:line="240" w:lineRule="auto"/>
              <w:ind w:firstLine="0" w:firstLineChars="0"/>
              <w:jc w:val="center"/>
              <w:rPr>
                <w:color w:val="auto"/>
                <w:kern w:val="0"/>
                <w:sz w:val="21"/>
                <w:szCs w:val="21"/>
              </w:rPr>
            </w:pPr>
            <w:r>
              <w:rPr>
                <w:color w:val="auto"/>
                <w:kern w:val="0"/>
                <w:sz w:val="21"/>
                <w:szCs w:val="21"/>
              </w:rPr>
              <w:t>3.落实《省政府办公厅关于印发江苏省排污权有偿使用和交易管理暂行办法的通知》(苏政办发[2017]115号)及配套的实施细则中，关于新、改扩建项目获得排污权指标的相关要求。</w:t>
            </w:r>
          </w:p>
          <w:p w14:paraId="73815AAA">
            <w:pPr>
              <w:widowControl/>
              <w:spacing w:line="240" w:lineRule="auto"/>
              <w:ind w:firstLine="0" w:firstLineChars="0"/>
              <w:jc w:val="center"/>
              <w:rPr>
                <w:color w:val="auto"/>
                <w:kern w:val="0"/>
                <w:sz w:val="21"/>
                <w:szCs w:val="21"/>
              </w:rPr>
            </w:pPr>
            <w:r>
              <w:rPr>
                <w:color w:val="auto"/>
                <w:kern w:val="0"/>
                <w:sz w:val="21"/>
                <w:szCs w:val="21"/>
              </w:rPr>
              <w:t>4.落实《南通市减污降碳协同增效三年行动计划(2023-2025年)》(通政办发[2023]24号)，升级产业结构，健全绿色交通运输体系，单位GDP二氧化碳排放下降率力争超额完成省定目标。完善园区排污总量与环境质量挂钩的动态分配机制，构建市、县、园区三级总量管理体系，促进排污指标优化配置，差异化保障市级以上重大项目，实施污染物排放浓度和总量“双控”。</w:t>
            </w:r>
          </w:p>
        </w:tc>
        <w:tc>
          <w:tcPr>
            <w:tcW w:w="1517" w:type="pct"/>
            <w:tcBorders>
              <w:tl2br w:val="nil"/>
              <w:tr2bl w:val="nil"/>
            </w:tcBorders>
            <w:vAlign w:val="center"/>
          </w:tcPr>
          <w:p w14:paraId="448025AB">
            <w:pPr>
              <w:widowControl/>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拟建</w:t>
            </w:r>
            <w:r>
              <w:rPr>
                <w:color w:val="auto"/>
                <w:kern w:val="0"/>
                <w:sz w:val="21"/>
                <w:szCs w:val="21"/>
              </w:rPr>
              <w:t>项目严格落实污染物排放总量控制制度，新增的主要废气污染物排放总量指标在</w:t>
            </w:r>
            <w:r>
              <w:rPr>
                <w:rFonts w:hint="eastAsia"/>
                <w:color w:val="auto"/>
                <w:kern w:val="0"/>
                <w:sz w:val="21"/>
                <w:szCs w:val="21"/>
              </w:rPr>
              <w:t>现有排放总量内平衡</w:t>
            </w:r>
            <w:r>
              <w:rPr>
                <w:color w:val="auto"/>
                <w:kern w:val="0"/>
                <w:sz w:val="21"/>
                <w:szCs w:val="21"/>
              </w:rPr>
              <w:t>。</w:t>
            </w:r>
          </w:p>
          <w:p w14:paraId="0331D8FB">
            <w:pPr>
              <w:widowControl/>
              <w:spacing w:line="240" w:lineRule="auto"/>
              <w:ind w:firstLine="0" w:firstLineChars="0"/>
              <w:jc w:val="center"/>
              <w:rPr>
                <w:color w:val="auto"/>
                <w:kern w:val="0"/>
                <w:sz w:val="21"/>
                <w:szCs w:val="21"/>
              </w:rPr>
            </w:pPr>
            <w:r>
              <w:rPr>
                <w:color w:val="auto"/>
                <w:kern w:val="0"/>
                <w:sz w:val="21"/>
                <w:szCs w:val="21"/>
              </w:rPr>
              <w:t>2、</w:t>
            </w:r>
            <w:r>
              <w:rPr>
                <w:rFonts w:hint="eastAsia"/>
                <w:color w:val="auto"/>
                <w:kern w:val="0"/>
                <w:sz w:val="21"/>
                <w:szCs w:val="21"/>
              </w:rPr>
              <w:t>拟建</w:t>
            </w:r>
            <w:r>
              <w:rPr>
                <w:color w:val="auto"/>
                <w:kern w:val="0"/>
                <w:sz w:val="21"/>
                <w:szCs w:val="21"/>
              </w:rPr>
              <w:t>项目废水污染物纳入联合环境水务</w:t>
            </w:r>
            <w:r>
              <w:rPr>
                <w:rFonts w:hint="eastAsia"/>
                <w:color w:val="auto"/>
                <w:kern w:val="0"/>
                <w:sz w:val="21"/>
                <w:szCs w:val="21"/>
              </w:rPr>
              <w:t>（</w:t>
            </w:r>
            <w:r>
              <w:rPr>
                <w:color w:val="auto"/>
                <w:kern w:val="0"/>
                <w:sz w:val="21"/>
                <w:szCs w:val="21"/>
              </w:rPr>
              <w:t>启东</w:t>
            </w:r>
            <w:r>
              <w:rPr>
                <w:rFonts w:hint="eastAsia"/>
                <w:color w:val="auto"/>
                <w:kern w:val="0"/>
                <w:sz w:val="21"/>
                <w:szCs w:val="21"/>
              </w:rPr>
              <w:t>）</w:t>
            </w:r>
            <w:r>
              <w:rPr>
                <w:color w:val="auto"/>
                <w:kern w:val="0"/>
                <w:sz w:val="21"/>
                <w:szCs w:val="21"/>
              </w:rPr>
              <w:t>有限公司总量控制指标中。</w:t>
            </w:r>
          </w:p>
        </w:tc>
      </w:tr>
      <w:tr w14:paraId="465E6EC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21" w:type="pct"/>
            <w:tcBorders>
              <w:tl2br w:val="nil"/>
              <w:tr2bl w:val="nil"/>
            </w:tcBorders>
            <w:vAlign w:val="center"/>
          </w:tcPr>
          <w:p w14:paraId="6C046043">
            <w:pPr>
              <w:widowControl/>
              <w:spacing w:line="240" w:lineRule="auto"/>
              <w:ind w:firstLine="0" w:firstLineChars="0"/>
              <w:jc w:val="center"/>
              <w:rPr>
                <w:color w:val="auto"/>
                <w:kern w:val="0"/>
                <w:sz w:val="21"/>
                <w:szCs w:val="21"/>
              </w:rPr>
            </w:pPr>
            <w:r>
              <w:rPr>
                <w:color w:val="auto"/>
                <w:kern w:val="0"/>
                <w:sz w:val="21"/>
                <w:szCs w:val="21"/>
              </w:rPr>
              <w:t>环境风险防控</w:t>
            </w:r>
          </w:p>
        </w:tc>
        <w:tc>
          <w:tcPr>
            <w:tcW w:w="3062" w:type="pct"/>
            <w:tcBorders>
              <w:tl2br w:val="nil"/>
              <w:tr2bl w:val="nil"/>
            </w:tcBorders>
            <w:vAlign w:val="center"/>
          </w:tcPr>
          <w:p w14:paraId="7EEDE8BE">
            <w:pPr>
              <w:widowControl/>
              <w:spacing w:line="240" w:lineRule="auto"/>
              <w:ind w:firstLine="0" w:firstLineChars="0"/>
              <w:jc w:val="center"/>
              <w:rPr>
                <w:color w:val="auto"/>
                <w:kern w:val="0"/>
                <w:sz w:val="21"/>
                <w:szCs w:val="21"/>
              </w:rPr>
            </w:pPr>
            <w:r>
              <w:rPr>
                <w:color w:val="auto"/>
                <w:kern w:val="0"/>
                <w:sz w:val="21"/>
                <w:szCs w:val="21"/>
              </w:rPr>
              <w:t>1.落实《南通市突发环境事件应急预案(2020年修订版)》(通政办发[2020]46号)。</w:t>
            </w:r>
          </w:p>
          <w:p w14:paraId="0806AB5A">
            <w:pPr>
              <w:widowControl/>
              <w:spacing w:line="240" w:lineRule="auto"/>
              <w:ind w:firstLine="0" w:firstLineChars="0"/>
              <w:jc w:val="center"/>
              <w:rPr>
                <w:color w:val="auto"/>
                <w:kern w:val="0"/>
                <w:sz w:val="21"/>
                <w:szCs w:val="21"/>
              </w:rPr>
            </w:pPr>
            <w:r>
              <w:rPr>
                <w:color w:val="auto"/>
                <w:kern w:val="0"/>
                <w:sz w:val="21"/>
                <w:szCs w:val="21"/>
              </w:rPr>
              <w:t>2.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p w14:paraId="02E84596">
            <w:pPr>
              <w:widowControl/>
              <w:spacing w:line="240" w:lineRule="auto"/>
              <w:ind w:firstLine="0" w:firstLineChars="0"/>
              <w:jc w:val="center"/>
              <w:rPr>
                <w:color w:val="auto"/>
                <w:kern w:val="0"/>
                <w:sz w:val="21"/>
                <w:szCs w:val="21"/>
              </w:rPr>
            </w:pPr>
            <w:r>
              <w:rPr>
                <w:color w:val="auto"/>
                <w:kern w:val="0"/>
                <w:sz w:val="21"/>
                <w:szCs w:val="21"/>
              </w:rPr>
              <w:t>3.落实《市政府办公室关于印发南通市减污降碳协同增效三年行动计划(2023-2025年)的通知》(通政办发[2023]24号)，完善空气质量异常预警管控、重污染天气应急管控机制，严格落实应急减排措施清单化管理，基于环境绩效推动重点行业企业错峰生产，确保污染缩时削峰。推进土壤污染重点监管单位隐患排查，严格防范关闭搬迁化工企业拆除活动可能造成的土壤污染风险。</w:t>
            </w:r>
          </w:p>
        </w:tc>
        <w:tc>
          <w:tcPr>
            <w:tcW w:w="1517" w:type="pct"/>
            <w:tcBorders>
              <w:tl2br w:val="nil"/>
              <w:tr2bl w:val="nil"/>
            </w:tcBorders>
            <w:vAlign w:val="center"/>
          </w:tcPr>
          <w:p w14:paraId="1EFA3C24">
            <w:pPr>
              <w:widowControl/>
              <w:spacing w:line="240" w:lineRule="auto"/>
              <w:ind w:firstLine="0" w:firstLineChars="0"/>
              <w:jc w:val="center"/>
              <w:rPr>
                <w:color w:val="auto"/>
                <w:kern w:val="0"/>
                <w:sz w:val="21"/>
                <w:szCs w:val="21"/>
              </w:rPr>
            </w:pPr>
            <w:r>
              <w:rPr>
                <w:rFonts w:hint="eastAsia"/>
                <w:color w:val="auto"/>
                <w:kern w:val="0"/>
                <w:sz w:val="21"/>
                <w:szCs w:val="21"/>
              </w:rPr>
              <w:t>启启东亚太已针对现有项目制定环境事件应急预案并于2026年4月10日进行了备案；</w:t>
            </w:r>
          </w:p>
          <w:p w14:paraId="6B4D406A">
            <w:pPr>
              <w:widowControl/>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项目位于</w:t>
            </w:r>
            <w:r>
              <w:rPr>
                <w:color w:val="auto"/>
                <w:sz w:val="21"/>
                <w:szCs w:val="21"/>
              </w:rPr>
              <w:t>启东生命健康产业园</w:t>
            </w:r>
            <w:r>
              <w:rPr>
                <w:color w:val="auto"/>
                <w:kern w:val="0"/>
                <w:sz w:val="21"/>
                <w:szCs w:val="21"/>
              </w:rPr>
              <w:t>内，不属于钢铁项目</w:t>
            </w:r>
            <w:r>
              <w:rPr>
                <w:rFonts w:hint="eastAsia"/>
                <w:color w:val="auto"/>
                <w:kern w:val="0"/>
                <w:sz w:val="21"/>
                <w:szCs w:val="21"/>
              </w:rPr>
              <w:t>；</w:t>
            </w:r>
          </w:p>
          <w:p w14:paraId="0DAD2483">
            <w:pPr>
              <w:widowControl/>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项目制定了污染物排放监测计划和环境质量监测计划，定期对</w:t>
            </w:r>
            <w:r>
              <w:rPr>
                <w:rFonts w:hint="eastAsia"/>
                <w:color w:val="auto"/>
                <w:kern w:val="0"/>
                <w:sz w:val="21"/>
                <w:szCs w:val="21"/>
              </w:rPr>
              <w:t>拟建</w:t>
            </w:r>
            <w:r>
              <w:rPr>
                <w:color w:val="auto"/>
                <w:kern w:val="0"/>
                <w:sz w:val="21"/>
                <w:szCs w:val="21"/>
              </w:rPr>
              <w:t>项目污染物排放情况进行检测，并对项目所在地土壤环境质量进行检测。</w:t>
            </w:r>
          </w:p>
        </w:tc>
      </w:tr>
      <w:tr w14:paraId="582A7B3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21" w:type="pct"/>
            <w:tcBorders>
              <w:tl2br w:val="nil"/>
              <w:tr2bl w:val="nil"/>
            </w:tcBorders>
            <w:vAlign w:val="center"/>
          </w:tcPr>
          <w:p w14:paraId="2FCBF905">
            <w:pPr>
              <w:widowControl/>
              <w:spacing w:line="240" w:lineRule="auto"/>
              <w:ind w:firstLine="0" w:firstLineChars="0"/>
              <w:jc w:val="center"/>
              <w:rPr>
                <w:color w:val="auto"/>
                <w:kern w:val="0"/>
                <w:sz w:val="21"/>
                <w:szCs w:val="21"/>
              </w:rPr>
            </w:pPr>
            <w:r>
              <w:rPr>
                <w:color w:val="auto"/>
                <w:kern w:val="0"/>
                <w:sz w:val="21"/>
                <w:szCs w:val="21"/>
              </w:rPr>
              <w:t>资源利用效率要求</w:t>
            </w:r>
          </w:p>
        </w:tc>
        <w:tc>
          <w:tcPr>
            <w:tcW w:w="3062" w:type="pct"/>
            <w:tcBorders>
              <w:tl2br w:val="nil"/>
              <w:tr2bl w:val="nil"/>
            </w:tcBorders>
            <w:vAlign w:val="center"/>
          </w:tcPr>
          <w:p w14:paraId="3F1D07EA">
            <w:pPr>
              <w:widowControl/>
              <w:spacing w:line="240" w:lineRule="auto"/>
              <w:ind w:firstLine="0" w:firstLineChars="0"/>
              <w:jc w:val="center"/>
              <w:rPr>
                <w:color w:val="auto"/>
                <w:kern w:val="0"/>
                <w:sz w:val="21"/>
                <w:szCs w:val="21"/>
              </w:rPr>
            </w:pPr>
            <w:r>
              <w:rPr>
                <w:color w:val="auto"/>
                <w:kern w:val="0"/>
                <w:sz w:val="21"/>
                <w:szCs w:val="21"/>
              </w:rPr>
              <w:t>1.根据《中华人民共和国大气污染防治法》，禁燃区禁止新建、扩建燃用高污染燃料的项目和设施，已建成的应逐步或依法限期改用天然气、电或者其他清洁能源。</w:t>
            </w:r>
          </w:p>
          <w:p w14:paraId="57C56057">
            <w:pPr>
              <w:widowControl/>
              <w:spacing w:line="240" w:lineRule="auto"/>
              <w:ind w:firstLine="0" w:firstLineChars="0"/>
              <w:jc w:val="center"/>
              <w:rPr>
                <w:color w:val="auto"/>
                <w:kern w:val="0"/>
                <w:sz w:val="21"/>
                <w:szCs w:val="21"/>
              </w:rPr>
            </w:pPr>
            <w:r>
              <w:rPr>
                <w:color w:val="auto"/>
                <w:kern w:val="0"/>
                <w:sz w:val="21"/>
                <w:szCs w:val="21"/>
              </w:rPr>
              <w:t>2.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14:paraId="4A0DDC9F">
            <w:pPr>
              <w:widowControl/>
              <w:spacing w:line="240" w:lineRule="auto"/>
              <w:ind w:firstLine="0" w:firstLineChars="0"/>
              <w:jc w:val="center"/>
              <w:rPr>
                <w:color w:val="auto"/>
                <w:kern w:val="0"/>
                <w:sz w:val="21"/>
                <w:szCs w:val="21"/>
              </w:rPr>
            </w:pPr>
            <w:r>
              <w:rPr>
                <w:color w:val="auto"/>
                <w:kern w:val="0"/>
                <w:sz w:val="21"/>
                <w:szCs w:val="21"/>
              </w:rPr>
              <w:t>3.严格控制地下水开采。落实《江苏省地下水超采区划分方案》(苏政复[2013]59号)，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p w14:paraId="10D592A3">
            <w:pPr>
              <w:widowControl/>
              <w:spacing w:line="240" w:lineRule="auto"/>
              <w:ind w:firstLine="0" w:firstLineChars="0"/>
              <w:jc w:val="center"/>
              <w:rPr>
                <w:color w:val="auto"/>
                <w:kern w:val="0"/>
                <w:sz w:val="21"/>
                <w:szCs w:val="21"/>
              </w:rPr>
            </w:pPr>
            <w:r>
              <w:rPr>
                <w:color w:val="auto"/>
                <w:kern w:val="0"/>
                <w:sz w:val="21"/>
                <w:szCs w:val="21"/>
              </w:rPr>
              <w:t>4.落实《市政府办公室印发&lt;关于进一步促进全市乡镇工业集聚区高质量发展的实施意见&gt;的通知》(通政办发[2022]70号)，原则上，集聚区新上工业项目的亩均固定资产投资一般不低于250万元，亩均税收一般不低于15万元。结合国土空间总体规划及产业发展规划，进一步优化配置土地资源，对不符合产业政策、位于城镇开发边界外较为碎片化的散乱污、低效产业、僵尸企业用地实施有计划盘活，归并入园区统筹利用，实现布局优化、“化零为整”。</w:t>
            </w:r>
          </w:p>
          <w:p w14:paraId="6C6726A4">
            <w:pPr>
              <w:widowControl/>
              <w:spacing w:line="240" w:lineRule="auto"/>
              <w:ind w:firstLine="0" w:firstLineChars="0"/>
              <w:jc w:val="center"/>
              <w:rPr>
                <w:color w:val="auto"/>
                <w:kern w:val="0"/>
                <w:sz w:val="21"/>
                <w:szCs w:val="21"/>
              </w:rPr>
            </w:pPr>
            <w:r>
              <w:rPr>
                <w:color w:val="auto"/>
                <w:kern w:val="0"/>
                <w:sz w:val="21"/>
                <w:szCs w:val="21"/>
              </w:rPr>
              <w:t>5.落实《市政府办公室关于印发南通市减污降碳协同增效三年行动计划(2023—2025年)的通知》(通政办发[2023]24号)，加强岸线动态监管，严禁工贸和港口企业无序占用港口岸线。严控煤炭消费总量，严禁新(扩)建燃煤自备电厂，新建燃煤发电机组达到煤炭清洁高效利用标杆水平，2025年底前现有机组达到标杆水平。</w:t>
            </w:r>
          </w:p>
          <w:p w14:paraId="4C4260F5">
            <w:pPr>
              <w:widowControl/>
              <w:spacing w:line="240" w:lineRule="auto"/>
              <w:ind w:firstLine="0" w:firstLineChars="0"/>
              <w:jc w:val="center"/>
              <w:rPr>
                <w:color w:val="auto"/>
                <w:kern w:val="0"/>
                <w:sz w:val="21"/>
                <w:szCs w:val="21"/>
              </w:rPr>
            </w:pPr>
            <w:r>
              <w:rPr>
                <w:color w:val="auto"/>
                <w:kern w:val="0"/>
                <w:sz w:val="21"/>
                <w:szCs w:val="21"/>
              </w:rPr>
              <w:t>6.根据《省最严格水资源管理考核和节约用水工作联席会议办公室关于下达2023年度实行最严格水资源管理制度目标任务的通知》(苏水办资联[2023]2号)，2023年南通市地下水用水总量为2800万立方米。</w:t>
            </w:r>
          </w:p>
        </w:tc>
        <w:tc>
          <w:tcPr>
            <w:tcW w:w="1517" w:type="pct"/>
            <w:tcBorders>
              <w:tl2br w:val="nil"/>
              <w:tr2bl w:val="nil"/>
            </w:tcBorders>
            <w:vAlign w:val="center"/>
          </w:tcPr>
          <w:p w14:paraId="298E68C1">
            <w:pPr>
              <w:widowControl/>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项目不使用高污染燃料</w:t>
            </w:r>
            <w:r>
              <w:rPr>
                <w:rFonts w:hint="eastAsia"/>
                <w:color w:val="auto"/>
                <w:kern w:val="0"/>
                <w:sz w:val="21"/>
                <w:szCs w:val="21"/>
              </w:rPr>
              <w:t>；拟建</w:t>
            </w:r>
            <w:r>
              <w:rPr>
                <w:color w:val="auto"/>
                <w:kern w:val="0"/>
                <w:sz w:val="21"/>
                <w:szCs w:val="21"/>
              </w:rPr>
              <w:t>项目</w:t>
            </w:r>
            <w:r>
              <w:rPr>
                <w:rFonts w:hint="eastAsia"/>
                <w:color w:val="auto"/>
                <w:kern w:val="0"/>
                <w:sz w:val="21"/>
                <w:szCs w:val="21"/>
              </w:rPr>
              <w:t>属于危险化学品衍生加工为普通化学品，降低化学品储存风险，提升产品价值的技改类化工项目，且各装置均依托现有工艺技术和装备，其生产技术及工艺、水耗物耗能耗、产排污情况及环境管理等方面清洁生产水平在国内处于先进水平。；</w:t>
            </w:r>
          </w:p>
          <w:p w14:paraId="57556E1B">
            <w:pPr>
              <w:widowControl/>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w:t>
            </w:r>
            <w:r>
              <w:rPr>
                <w:color w:val="auto"/>
                <w:sz w:val="21"/>
                <w:szCs w:val="21"/>
              </w:rPr>
              <w:t>用水使用地下水及地表水，已取得地下水、地表水取水许可证，取水量分别为10万m</w:t>
            </w:r>
            <w:r>
              <w:rPr>
                <w:color w:val="auto"/>
                <w:sz w:val="21"/>
                <w:szCs w:val="21"/>
                <w:vertAlign w:val="superscript"/>
              </w:rPr>
              <w:t>3</w:t>
            </w:r>
            <w:r>
              <w:rPr>
                <w:color w:val="auto"/>
                <w:sz w:val="21"/>
                <w:szCs w:val="21"/>
              </w:rPr>
              <w:t>/a、30万m</w:t>
            </w:r>
            <w:r>
              <w:rPr>
                <w:color w:val="auto"/>
                <w:sz w:val="21"/>
                <w:szCs w:val="21"/>
                <w:vertAlign w:val="superscript"/>
              </w:rPr>
              <w:t>3</w:t>
            </w:r>
            <w:r>
              <w:rPr>
                <w:color w:val="auto"/>
                <w:sz w:val="21"/>
                <w:szCs w:val="21"/>
              </w:rPr>
              <w:t>/a，</w:t>
            </w:r>
            <w:r>
              <w:rPr>
                <w:rFonts w:hint="eastAsia"/>
                <w:color w:val="auto"/>
                <w:sz w:val="21"/>
                <w:szCs w:val="21"/>
              </w:rPr>
              <w:t>拟建</w:t>
            </w:r>
            <w:r>
              <w:rPr>
                <w:color w:val="auto"/>
                <w:sz w:val="21"/>
                <w:szCs w:val="21"/>
              </w:rPr>
              <w:t>建成后全厂地下水、地表水用水量分别为</w:t>
            </w:r>
            <w:r>
              <w:rPr>
                <w:rFonts w:hint="eastAsia"/>
                <w:color w:val="auto"/>
                <w:sz w:val="21"/>
                <w:szCs w:val="21"/>
              </w:rPr>
              <w:t>71085.779</w:t>
            </w:r>
            <w:r>
              <w:rPr>
                <w:color w:val="auto"/>
                <w:sz w:val="21"/>
                <w:szCs w:val="21"/>
              </w:rPr>
              <w:t>m</w:t>
            </w:r>
            <w:r>
              <w:rPr>
                <w:color w:val="auto"/>
                <w:sz w:val="21"/>
                <w:szCs w:val="21"/>
                <w:vertAlign w:val="superscript"/>
              </w:rPr>
              <w:t>3</w:t>
            </w:r>
            <w:r>
              <w:rPr>
                <w:color w:val="auto"/>
                <w:sz w:val="21"/>
                <w:szCs w:val="21"/>
              </w:rPr>
              <w:t>/a、</w:t>
            </w:r>
            <w:r>
              <w:rPr>
                <w:rFonts w:hint="eastAsia"/>
                <w:color w:val="auto"/>
                <w:sz w:val="21"/>
                <w:szCs w:val="21"/>
              </w:rPr>
              <w:t>156010.939</w:t>
            </w:r>
            <w:r>
              <w:rPr>
                <w:color w:val="auto"/>
                <w:sz w:val="21"/>
                <w:szCs w:val="21"/>
              </w:rPr>
              <w:t>m</w:t>
            </w:r>
            <w:r>
              <w:rPr>
                <w:color w:val="auto"/>
                <w:sz w:val="21"/>
                <w:szCs w:val="21"/>
                <w:vertAlign w:val="superscript"/>
              </w:rPr>
              <w:t>3</w:t>
            </w:r>
            <w:r>
              <w:rPr>
                <w:color w:val="auto"/>
                <w:sz w:val="21"/>
                <w:szCs w:val="21"/>
              </w:rPr>
              <w:t>/a，未超过许可取水规模</w:t>
            </w:r>
            <w:r>
              <w:rPr>
                <w:color w:val="auto"/>
                <w:kern w:val="0"/>
                <w:sz w:val="21"/>
                <w:szCs w:val="21"/>
              </w:rPr>
              <w:t>。</w:t>
            </w:r>
          </w:p>
          <w:p w14:paraId="036DF248">
            <w:pPr>
              <w:widowControl/>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项目位于</w:t>
            </w:r>
            <w:r>
              <w:rPr>
                <w:color w:val="auto"/>
                <w:sz w:val="21"/>
                <w:szCs w:val="21"/>
              </w:rPr>
              <w:t>启东生命健康产业园</w:t>
            </w:r>
            <w:r>
              <w:rPr>
                <w:color w:val="auto"/>
                <w:kern w:val="0"/>
                <w:sz w:val="21"/>
                <w:szCs w:val="21"/>
              </w:rPr>
              <w:t>内，不占用基本农田、生态红线和生态空间管控区域</w:t>
            </w:r>
            <w:r>
              <w:rPr>
                <w:rFonts w:hint="eastAsia"/>
                <w:color w:val="auto"/>
                <w:kern w:val="0"/>
                <w:sz w:val="21"/>
                <w:szCs w:val="21"/>
              </w:rPr>
              <w:t>；</w:t>
            </w:r>
          </w:p>
          <w:p w14:paraId="2BF459EC">
            <w:pPr>
              <w:widowControl/>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项目不涉及占用港口岸线，不使用煤炭。</w:t>
            </w:r>
          </w:p>
        </w:tc>
      </w:tr>
    </w:tbl>
    <w:p w14:paraId="70C4D313">
      <w:pPr>
        <w:ind w:firstLine="480"/>
        <w:rPr>
          <w:bCs/>
          <w:color w:val="auto"/>
          <w:kern w:val="0"/>
        </w:rPr>
      </w:pPr>
      <w:r>
        <w:rPr>
          <w:rFonts w:hint="eastAsia"/>
          <w:bCs/>
          <w:color w:val="auto"/>
          <w:kern w:val="0"/>
        </w:rPr>
        <w:t>拟建位于启东生命健康产业园，属于重点管控单元。</w:t>
      </w:r>
    </w:p>
    <w:p w14:paraId="49E27CA8">
      <w:pPr>
        <w:pStyle w:val="49"/>
        <w:rPr>
          <w:color w:val="auto"/>
        </w:rPr>
      </w:pPr>
      <w:r>
        <w:rPr>
          <w:color w:val="auto"/>
        </w:rPr>
        <w:t>表1.4</w:t>
      </w:r>
      <w:r>
        <w:rPr>
          <w:rFonts w:hint="eastAsia"/>
          <w:color w:val="auto"/>
        </w:rPr>
        <w:t>-12</w:t>
      </w:r>
      <w:r>
        <w:rPr>
          <w:color w:val="auto"/>
        </w:rPr>
        <w:t xml:space="preserve"> </w:t>
      </w:r>
      <w:r>
        <w:rPr>
          <w:rFonts w:hint="eastAsia"/>
          <w:color w:val="auto"/>
        </w:rPr>
        <w:t xml:space="preserve"> 拟建</w:t>
      </w:r>
      <w:r>
        <w:rPr>
          <w:color w:val="auto"/>
        </w:rPr>
        <w:t>项目与启东生命健康产业园相关管控要求相符性分析</w:t>
      </w:r>
    </w:p>
    <w:tbl>
      <w:tblPr>
        <w:tblStyle w:val="32"/>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75"/>
        <w:gridCol w:w="4840"/>
        <w:gridCol w:w="3539"/>
      </w:tblGrid>
      <w:tr w14:paraId="7F0F5EF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48" w:type="pct"/>
            <w:tcBorders>
              <w:tl2br w:val="nil"/>
              <w:tr2bl w:val="nil"/>
            </w:tcBorders>
            <w:vAlign w:val="center"/>
          </w:tcPr>
          <w:p w14:paraId="10D52382">
            <w:pPr>
              <w:spacing w:line="240" w:lineRule="auto"/>
              <w:ind w:firstLine="0" w:firstLineChars="0"/>
              <w:jc w:val="center"/>
              <w:rPr>
                <w:b/>
                <w:color w:val="auto"/>
                <w:kern w:val="0"/>
                <w:sz w:val="21"/>
                <w:szCs w:val="21"/>
              </w:rPr>
            </w:pPr>
            <w:r>
              <w:rPr>
                <w:b/>
                <w:color w:val="auto"/>
                <w:kern w:val="0"/>
                <w:sz w:val="21"/>
                <w:szCs w:val="21"/>
              </w:rPr>
              <w:t>管控类别</w:t>
            </w:r>
          </w:p>
        </w:tc>
        <w:tc>
          <w:tcPr>
            <w:tcW w:w="2455" w:type="pct"/>
            <w:tcBorders>
              <w:tl2br w:val="nil"/>
              <w:tr2bl w:val="nil"/>
            </w:tcBorders>
            <w:vAlign w:val="center"/>
          </w:tcPr>
          <w:p w14:paraId="5BBFE9F9">
            <w:pPr>
              <w:spacing w:line="240" w:lineRule="auto"/>
              <w:ind w:firstLine="0" w:firstLineChars="0"/>
              <w:jc w:val="center"/>
              <w:rPr>
                <w:b/>
                <w:color w:val="auto"/>
                <w:kern w:val="0"/>
                <w:sz w:val="21"/>
                <w:szCs w:val="21"/>
              </w:rPr>
            </w:pPr>
            <w:r>
              <w:rPr>
                <w:b/>
                <w:color w:val="auto"/>
                <w:kern w:val="0"/>
                <w:sz w:val="21"/>
                <w:szCs w:val="21"/>
              </w:rPr>
              <w:t>重点管控要求</w:t>
            </w:r>
          </w:p>
        </w:tc>
        <w:tc>
          <w:tcPr>
            <w:tcW w:w="1795" w:type="pct"/>
            <w:tcBorders>
              <w:tl2br w:val="nil"/>
              <w:tr2bl w:val="nil"/>
            </w:tcBorders>
            <w:vAlign w:val="center"/>
          </w:tcPr>
          <w:p w14:paraId="6C7FD4B0">
            <w:pPr>
              <w:spacing w:line="240" w:lineRule="auto"/>
              <w:ind w:firstLine="0" w:firstLineChars="0"/>
              <w:jc w:val="center"/>
              <w:rPr>
                <w:b/>
                <w:color w:val="auto"/>
                <w:kern w:val="0"/>
                <w:sz w:val="21"/>
                <w:szCs w:val="21"/>
              </w:rPr>
            </w:pPr>
            <w:r>
              <w:rPr>
                <w:b/>
                <w:color w:val="auto"/>
                <w:kern w:val="0"/>
                <w:sz w:val="21"/>
                <w:szCs w:val="21"/>
              </w:rPr>
              <w:t>相符性分析</w:t>
            </w:r>
          </w:p>
        </w:tc>
      </w:tr>
      <w:tr w14:paraId="7FE5490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48" w:type="pct"/>
            <w:tcBorders>
              <w:tl2br w:val="nil"/>
              <w:tr2bl w:val="nil"/>
            </w:tcBorders>
            <w:vAlign w:val="center"/>
          </w:tcPr>
          <w:p w14:paraId="0BBB33D4">
            <w:pPr>
              <w:spacing w:line="240" w:lineRule="auto"/>
              <w:ind w:firstLine="0" w:firstLineChars="0"/>
              <w:jc w:val="center"/>
              <w:rPr>
                <w:color w:val="auto"/>
                <w:kern w:val="0"/>
                <w:sz w:val="21"/>
                <w:szCs w:val="21"/>
              </w:rPr>
            </w:pPr>
            <w:r>
              <w:rPr>
                <w:color w:val="auto"/>
                <w:kern w:val="0"/>
                <w:sz w:val="21"/>
                <w:szCs w:val="21"/>
              </w:rPr>
              <w:t>空间布局约束</w:t>
            </w:r>
          </w:p>
        </w:tc>
        <w:tc>
          <w:tcPr>
            <w:tcW w:w="2455" w:type="pct"/>
            <w:tcBorders>
              <w:tl2br w:val="nil"/>
              <w:tr2bl w:val="nil"/>
            </w:tcBorders>
            <w:vAlign w:val="center"/>
          </w:tcPr>
          <w:p w14:paraId="27BFF680">
            <w:pPr>
              <w:spacing w:line="240" w:lineRule="auto"/>
              <w:ind w:firstLine="0" w:firstLineChars="0"/>
              <w:jc w:val="center"/>
              <w:rPr>
                <w:color w:val="auto"/>
                <w:kern w:val="0"/>
                <w:sz w:val="21"/>
                <w:szCs w:val="21"/>
              </w:rPr>
            </w:pPr>
            <w:r>
              <w:rPr>
                <w:color w:val="auto"/>
                <w:kern w:val="0"/>
                <w:sz w:val="21"/>
                <w:szCs w:val="21"/>
              </w:rPr>
              <w:t>1.主导产业为生物医药、新材料产业，禁止引入列入国家、省和南通市禁止类、淘汰类生产工艺、产品的项目；禁止引入列入《环境保护综合名录》中的“双高”项目；禁止引入生产和使用高VOCs 含量的溶剂型涂料、油墨、胶粘剂等项目。</w:t>
            </w:r>
          </w:p>
          <w:p w14:paraId="0A6065F8">
            <w:pPr>
              <w:spacing w:line="240" w:lineRule="auto"/>
              <w:ind w:firstLine="0" w:firstLineChars="0"/>
              <w:jc w:val="center"/>
              <w:rPr>
                <w:color w:val="auto"/>
                <w:kern w:val="0"/>
                <w:sz w:val="21"/>
                <w:szCs w:val="21"/>
              </w:rPr>
            </w:pPr>
            <w:r>
              <w:rPr>
                <w:color w:val="auto"/>
                <w:kern w:val="0"/>
                <w:sz w:val="21"/>
                <w:szCs w:val="21"/>
              </w:rPr>
              <w:t>2.生物医药产业禁止建设使用P3、P4实验室；禁止引入耗水量大、危险废弃物当地无法有效处置的、生产过程产生多种副产盐的医药中间体项目；禁止引入使用尚未规模化种植或养殖的濒危动植物药材的项目。</w:t>
            </w:r>
          </w:p>
          <w:p w14:paraId="2F3489ED">
            <w:pPr>
              <w:spacing w:line="240" w:lineRule="auto"/>
              <w:ind w:firstLine="0" w:firstLineChars="0"/>
              <w:jc w:val="center"/>
              <w:rPr>
                <w:color w:val="auto"/>
                <w:kern w:val="0"/>
                <w:sz w:val="21"/>
                <w:szCs w:val="21"/>
              </w:rPr>
            </w:pPr>
            <w:r>
              <w:rPr>
                <w:color w:val="auto"/>
                <w:kern w:val="0"/>
                <w:sz w:val="21"/>
                <w:szCs w:val="21"/>
              </w:rPr>
              <w:t>3.新材料产业禁止引入化工新材料项目(物理复配新材料除外)；禁止引入水泥、平板玻璃等高污染或不符合国家产能置换要求的产能过剩项目；禁止引入涉及重点重金属污染的项目。</w:t>
            </w:r>
          </w:p>
        </w:tc>
        <w:tc>
          <w:tcPr>
            <w:tcW w:w="1795" w:type="pct"/>
            <w:tcBorders>
              <w:tl2br w:val="nil"/>
              <w:tr2bl w:val="nil"/>
            </w:tcBorders>
            <w:vAlign w:val="center"/>
          </w:tcPr>
          <w:p w14:paraId="0D9C10BC">
            <w:pPr>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拟建项目为无机盐制造项目，属于危险化学品衍生加工为普通化学品，降低化学品储存风险，提升产品价值的技改类化工项目</w:t>
            </w:r>
            <w:r>
              <w:rPr>
                <w:color w:val="auto"/>
                <w:kern w:val="0"/>
                <w:sz w:val="21"/>
                <w:szCs w:val="21"/>
              </w:rPr>
              <w:t>，</w:t>
            </w:r>
            <w:r>
              <w:rPr>
                <w:rFonts w:hint="eastAsia"/>
                <w:color w:val="auto"/>
                <w:kern w:val="0"/>
                <w:sz w:val="21"/>
                <w:szCs w:val="21"/>
              </w:rPr>
              <w:t>且启东亚太是园区保留的化工企业；拟建</w:t>
            </w:r>
            <w:r>
              <w:rPr>
                <w:color w:val="auto"/>
                <w:kern w:val="0"/>
                <w:sz w:val="21"/>
                <w:szCs w:val="21"/>
              </w:rPr>
              <w:t>项目不属于国家、江苏省和南通市相关产业政策中淘汰、禁止类生产工艺、产品的项目；不属于列入《环境保护综合名录》(2021年版)中的“双高”项目；不属于生产和使用高VOCs含量的溶剂型涂料、油墨、胶粘剂等项目；</w:t>
            </w:r>
          </w:p>
          <w:p w14:paraId="373AA249">
            <w:pPr>
              <w:spacing w:line="240" w:lineRule="auto"/>
              <w:ind w:firstLine="0" w:firstLineChars="0"/>
              <w:jc w:val="center"/>
              <w:rPr>
                <w:color w:val="auto"/>
                <w:kern w:val="0"/>
                <w:sz w:val="21"/>
                <w:szCs w:val="21"/>
              </w:rPr>
            </w:pPr>
            <w:r>
              <w:rPr>
                <w:color w:val="auto"/>
                <w:kern w:val="0"/>
                <w:sz w:val="21"/>
                <w:szCs w:val="21"/>
              </w:rPr>
              <w:t>2、</w:t>
            </w:r>
            <w:r>
              <w:rPr>
                <w:rFonts w:hint="eastAsia"/>
                <w:color w:val="auto"/>
                <w:kern w:val="0"/>
                <w:sz w:val="21"/>
                <w:szCs w:val="21"/>
              </w:rPr>
              <w:t>拟建</w:t>
            </w:r>
            <w:r>
              <w:rPr>
                <w:color w:val="auto"/>
                <w:kern w:val="0"/>
                <w:sz w:val="21"/>
                <w:szCs w:val="21"/>
              </w:rPr>
              <w:t>项目不涉及建设P3、P4实验室；不属于耗水量大、危险废物当地无法有效处置的、生产过程产生多种副产盐的医药中间体项目，不属于使用尚未规模化种植或养殖的濒危动植物药材的项目；</w:t>
            </w:r>
          </w:p>
          <w:p w14:paraId="5F70A7E1">
            <w:pPr>
              <w:spacing w:line="240" w:lineRule="auto"/>
              <w:ind w:firstLine="0" w:firstLineChars="0"/>
              <w:jc w:val="center"/>
              <w:rPr>
                <w:color w:val="auto"/>
                <w:kern w:val="0"/>
                <w:sz w:val="21"/>
                <w:szCs w:val="21"/>
              </w:rPr>
            </w:pPr>
            <w:r>
              <w:rPr>
                <w:color w:val="auto"/>
                <w:kern w:val="0"/>
                <w:sz w:val="21"/>
                <w:szCs w:val="21"/>
              </w:rPr>
              <w:t>3、</w:t>
            </w:r>
            <w:r>
              <w:rPr>
                <w:rFonts w:hint="eastAsia"/>
                <w:color w:val="auto"/>
                <w:kern w:val="0"/>
                <w:sz w:val="21"/>
                <w:szCs w:val="21"/>
              </w:rPr>
              <w:t>拟建项目为无机盐制造项目，属于危险化学品衍生加工为普通化学品，降低化学品储存风险，提升产品价值的技改类化工项目，</w:t>
            </w:r>
            <w:r>
              <w:rPr>
                <w:color w:val="auto"/>
                <w:kern w:val="0"/>
                <w:sz w:val="21"/>
                <w:szCs w:val="21"/>
              </w:rPr>
              <w:t>不属于化工新材料项目，不属于水泥、平板玻璃等高污染或不符合国家产能置换要求的产能过剩项目，不属于涉及重点重金属污染的项目。</w:t>
            </w:r>
          </w:p>
        </w:tc>
      </w:tr>
      <w:tr w14:paraId="4EA5F6C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48" w:type="pct"/>
            <w:tcBorders>
              <w:tl2br w:val="nil"/>
              <w:tr2bl w:val="nil"/>
            </w:tcBorders>
            <w:vAlign w:val="center"/>
          </w:tcPr>
          <w:p w14:paraId="1A2EF5F9">
            <w:pPr>
              <w:spacing w:line="240" w:lineRule="auto"/>
              <w:ind w:firstLine="0" w:firstLineChars="0"/>
              <w:jc w:val="center"/>
              <w:rPr>
                <w:color w:val="auto"/>
                <w:kern w:val="0"/>
                <w:sz w:val="21"/>
                <w:szCs w:val="21"/>
              </w:rPr>
            </w:pPr>
            <w:r>
              <w:rPr>
                <w:color w:val="auto"/>
                <w:kern w:val="0"/>
                <w:sz w:val="21"/>
                <w:szCs w:val="21"/>
              </w:rPr>
              <w:t>污染物排放管控</w:t>
            </w:r>
          </w:p>
        </w:tc>
        <w:tc>
          <w:tcPr>
            <w:tcW w:w="2455" w:type="pct"/>
            <w:tcBorders>
              <w:tl2br w:val="nil"/>
              <w:tr2bl w:val="nil"/>
            </w:tcBorders>
            <w:vAlign w:val="center"/>
          </w:tcPr>
          <w:p w14:paraId="169F0AEE">
            <w:pPr>
              <w:spacing w:line="240" w:lineRule="auto"/>
              <w:ind w:firstLine="0" w:firstLineChars="0"/>
              <w:jc w:val="center"/>
              <w:rPr>
                <w:color w:val="auto"/>
                <w:kern w:val="0"/>
                <w:sz w:val="21"/>
                <w:szCs w:val="21"/>
              </w:rPr>
            </w:pPr>
            <w:r>
              <w:rPr>
                <w:color w:val="auto"/>
                <w:kern w:val="0"/>
                <w:sz w:val="21"/>
                <w:szCs w:val="21"/>
              </w:rPr>
              <w:t>以规划环评(跟踪评价)及批复文件为准。落实工业园区(集中区)污染物排放限值限量管理要求，实行园区主要污染物排放浓度、排放总量双控。</w:t>
            </w:r>
          </w:p>
        </w:tc>
        <w:tc>
          <w:tcPr>
            <w:tcW w:w="1795" w:type="pct"/>
            <w:tcBorders>
              <w:tl2br w:val="nil"/>
              <w:tr2bl w:val="nil"/>
            </w:tcBorders>
            <w:vAlign w:val="center"/>
          </w:tcPr>
          <w:p w14:paraId="6E730C26">
            <w:pPr>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项目所在地上一年度环境空气质量为达标区。建成后将实施污染物总量控制。</w:t>
            </w:r>
            <w:r>
              <w:rPr>
                <w:rFonts w:hint="eastAsia"/>
                <w:color w:val="auto"/>
                <w:kern w:val="0"/>
                <w:sz w:val="21"/>
                <w:szCs w:val="21"/>
              </w:rPr>
              <w:t>拟建</w:t>
            </w:r>
            <w:r>
              <w:rPr>
                <w:color w:val="auto"/>
                <w:spacing w:val="-10"/>
                <w:sz w:val="21"/>
                <w:szCs w:val="21"/>
              </w:rPr>
              <w:t>项目废气中新增的</w:t>
            </w:r>
            <w:r>
              <w:rPr>
                <w:rFonts w:hint="eastAsia"/>
                <w:color w:val="auto"/>
                <w:spacing w:val="-10"/>
                <w:sz w:val="21"/>
                <w:szCs w:val="21"/>
              </w:rPr>
              <w:t>氨气、</w:t>
            </w:r>
            <w:r>
              <w:rPr>
                <w:color w:val="auto"/>
                <w:spacing w:val="-10"/>
                <w:sz w:val="21"/>
                <w:szCs w:val="21"/>
              </w:rPr>
              <w:t>二氧化硫</w:t>
            </w:r>
            <w:r>
              <w:rPr>
                <w:rFonts w:hint="eastAsia"/>
                <w:color w:val="auto"/>
                <w:spacing w:val="-10"/>
                <w:sz w:val="21"/>
                <w:szCs w:val="21"/>
              </w:rPr>
              <w:t>和</w:t>
            </w:r>
            <w:r>
              <w:rPr>
                <w:color w:val="auto"/>
                <w:spacing w:val="-10"/>
                <w:sz w:val="21"/>
                <w:szCs w:val="21"/>
              </w:rPr>
              <w:t>颗粒物总量</w:t>
            </w:r>
            <w:r>
              <w:rPr>
                <w:rFonts w:hint="eastAsia"/>
                <w:color w:val="auto"/>
                <w:spacing w:val="-10"/>
                <w:sz w:val="21"/>
                <w:szCs w:val="21"/>
              </w:rPr>
              <w:t>通过“以新带老”</w:t>
            </w:r>
            <w:r>
              <w:rPr>
                <w:color w:val="auto"/>
                <w:spacing w:val="-10"/>
                <w:sz w:val="21"/>
                <w:szCs w:val="21"/>
              </w:rPr>
              <w:t>在</w:t>
            </w:r>
            <w:r>
              <w:rPr>
                <w:rFonts w:hint="eastAsia"/>
                <w:color w:val="auto"/>
                <w:spacing w:val="-10"/>
                <w:sz w:val="21"/>
                <w:szCs w:val="21"/>
              </w:rPr>
              <w:t>厂区</w:t>
            </w:r>
            <w:r>
              <w:rPr>
                <w:color w:val="auto"/>
                <w:spacing w:val="-10"/>
                <w:sz w:val="21"/>
                <w:szCs w:val="21"/>
              </w:rPr>
              <w:t>内平衡，在达标排放的基础上，按照实际排放总量进行控制。</w:t>
            </w:r>
            <w:r>
              <w:rPr>
                <w:rFonts w:hint="eastAsia"/>
                <w:color w:val="auto"/>
                <w:kern w:val="0"/>
                <w:sz w:val="21"/>
                <w:szCs w:val="21"/>
              </w:rPr>
              <w:t>拟建</w:t>
            </w:r>
            <w:r>
              <w:rPr>
                <w:color w:val="auto"/>
                <w:kern w:val="0"/>
                <w:sz w:val="21"/>
                <w:szCs w:val="21"/>
              </w:rPr>
              <w:t>项目废水中新增的COD、氨氮、总氮、总磷总量纳入联合环境水务</w:t>
            </w:r>
            <w:r>
              <w:rPr>
                <w:rFonts w:hint="eastAsia"/>
                <w:color w:val="auto"/>
                <w:kern w:val="0"/>
                <w:sz w:val="21"/>
                <w:szCs w:val="21"/>
              </w:rPr>
              <w:t>（</w:t>
            </w:r>
            <w:r>
              <w:rPr>
                <w:color w:val="auto"/>
                <w:kern w:val="0"/>
                <w:sz w:val="21"/>
                <w:szCs w:val="21"/>
              </w:rPr>
              <w:t>启东</w:t>
            </w:r>
            <w:r>
              <w:rPr>
                <w:rFonts w:hint="eastAsia"/>
                <w:color w:val="auto"/>
                <w:kern w:val="0"/>
                <w:sz w:val="21"/>
                <w:szCs w:val="21"/>
              </w:rPr>
              <w:t>）</w:t>
            </w:r>
            <w:r>
              <w:rPr>
                <w:color w:val="auto"/>
                <w:kern w:val="0"/>
                <w:sz w:val="21"/>
                <w:szCs w:val="21"/>
              </w:rPr>
              <w:t>有限公司总量范围内。</w:t>
            </w:r>
          </w:p>
        </w:tc>
      </w:tr>
      <w:tr w14:paraId="1350102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48" w:type="pct"/>
            <w:tcBorders>
              <w:tl2br w:val="nil"/>
              <w:tr2bl w:val="nil"/>
            </w:tcBorders>
            <w:vAlign w:val="center"/>
          </w:tcPr>
          <w:p w14:paraId="4FF91C90">
            <w:pPr>
              <w:spacing w:line="240" w:lineRule="auto"/>
              <w:ind w:firstLine="0" w:firstLineChars="0"/>
              <w:jc w:val="center"/>
              <w:rPr>
                <w:color w:val="auto"/>
                <w:kern w:val="0"/>
                <w:sz w:val="21"/>
                <w:szCs w:val="21"/>
              </w:rPr>
            </w:pPr>
            <w:r>
              <w:rPr>
                <w:color w:val="auto"/>
                <w:kern w:val="0"/>
                <w:sz w:val="21"/>
                <w:szCs w:val="21"/>
              </w:rPr>
              <w:t>环境风险防控</w:t>
            </w:r>
          </w:p>
        </w:tc>
        <w:tc>
          <w:tcPr>
            <w:tcW w:w="2455" w:type="pct"/>
            <w:tcBorders>
              <w:tl2br w:val="nil"/>
              <w:tr2bl w:val="nil"/>
            </w:tcBorders>
            <w:vAlign w:val="center"/>
          </w:tcPr>
          <w:p w14:paraId="22C9AC36">
            <w:pPr>
              <w:spacing w:line="240" w:lineRule="auto"/>
              <w:ind w:firstLine="0" w:firstLineChars="0"/>
              <w:jc w:val="center"/>
              <w:rPr>
                <w:color w:val="auto"/>
                <w:kern w:val="0"/>
                <w:sz w:val="21"/>
                <w:szCs w:val="21"/>
              </w:rPr>
            </w:pPr>
            <w:r>
              <w:rPr>
                <w:color w:val="auto"/>
                <w:kern w:val="0"/>
                <w:sz w:val="21"/>
                <w:szCs w:val="21"/>
              </w:rPr>
              <w:t>1.建立健全区域环境风险防范体系和生态安全保障体系，建立应急响应联动机制，完善应急预案，提升园区环境风险防控和应急响应能力，保障区域环境安全。居民区等敏感点与工业企业之间要预留足够的卫生防护距离。2.做好环境空气、地表水、地下水、土壤等环境要素的长期跟踪监测与管理。3.强化对危险废物的收集、储存和处置的监督管理，实现危险废物管理无盲区、无死角。</w:t>
            </w:r>
          </w:p>
        </w:tc>
        <w:tc>
          <w:tcPr>
            <w:tcW w:w="1795" w:type="pct"/>
            <w:tcBorders>
              <w:tl2br w:val="nil"/>
              <w:tr2bl w:val="nil"/>
            </w:tcBorders>
            <w:vAlign w:val="center"/>
          </w:tcPr>
          <w:p w14:paraId="2DE05CAC">
            <w:pPr>
              <w:widowControl/>
              <w:spacing w:line="240" w:lineRule="auto"/>
              <w:ind w:firstLine="0" w:firstLineChars="0"/>
              <w:jc w:val="center"/>
              <w:rPr>
                <w:color w:val="auto"/>
                <w:kern w:val="0"/>
                <w:sz w:val="21"/>
                <w:szCs w:val="21"/>
              </w:rPr>
            </w:pPr>
            <w:r>
              <w:rPr>
                <w:rFonts w:hint="eastAsia"/>
                <w:color w:val="auto"/>
                <w:kern w:val="0"/>
                <w:sz w:val="21"/>
                <w:szCs w:val="21"/>
              </w:rPr>
              <w:t>启东</w:t>
            </w:r>
            <w:r>
              <w:rPr>
                <w:color w:val="auto"/>
                <w:kern w:val="0"/>
                <w:sz w:val="21"/>
                <w:szCs w:val="21"/>
              </w:rPr>
              <w:t>亚太已针对现有项目制定环境事件应急预案并备案，</w:t>
            </w:r>
            <w:r>
              <w:rPr>
                <w:rFonts w:hint="eastAsia"/>
                <w:color w:val="auto"/>
                <w:kern w:val="0"/>
                <w:sz w:val="21"/>
                <w:szCs w:val="21"/>
              </w:rPr>
              <w:t>拟建</w:t>
            </w:r>
            <w:r>
              <w:rPr>
                <w:color w:val="auto"/>
                <w:kern w:val="0"/>
                <w:sz w:val="21"/>
                <w:szCs w:val="21"/>
              </w:rPr>
              <w:t>建成后将修订相关环境风险应急预案并进行备案。亚太药业现有项目以厂界为边界设置500m卫生防护距离，</w:t>
            </w:r>
            <w:r>
              <w:rPr>
                <w:rFonts w:hint="eastAsia"/>
                <w:color w:val="auto"/>
                <w:kern w:val="0"/>
                <w:sz w:val="21"/>
                <w:szCs w:val="21"/>
              </w:rPr>
              <w:t>拟建</w:t>
            </w:r>
            <w:r>
              <w:rPr>
                <w:color w:val="auto"/>
                <w:kern w:val="0"/>
                <w:sz w:val="21"/>
                <w:szCs w:val="21"/>
              </w:rPr>
              <w:t>项目建成后仍按照原环评批复要求以厂界为边界设置500m卫生防护距离，卫生防护距离内无居民等环境敏感目标。</w:t>
            </w:r>
            <w:r>
              <w:rPr>
                <w:rFonts w:hint="eastAsia"/>
                <w:color w:val="auto"/>
                <w:kern w:val="0"/>
                <w:sz w:val="21"/>
                <w:szCs w:val="21"/>
              </w:rPr>
              <w:t>拟建</w:t>
            </w:r>
            <w:r>
              <w:rPr>
                <w:color w:val="auto"/>
                <w:kern w:val="0"/>
                <w:sz w:val="21"/>
                <w:szCs w:val="21"/>
              </w:rPr>
              <w:t>项目制定了环境监测计划，定期对项目所在地环境空气、地表水、地下水、土壤等进行检测。</w:t>
            </w:r>
            <w:r>
              <w:rPr>
                <w:rFonts w:hint="eastAsia"/>
                <w:color w:val="auto"/>
                <w:kern w:val="0"/>
                <w:sz w:val="21"/>
                <w:szCs w:val="21"/>
              </w:rPr>
              <w:t>拟建</w:t>
            </w:r>
            <w:r>
              <w:rPr>
                <w:color w:val="auto"/>
                <w:kern w:val="0"/>
                <w:sz w:val="21"/>
                <w:szCs w:val="21"/>
              </w:rPr>
              <w:t>将严格落实危险废物收集、储存和处置的监督管理，实现危险废物管理无盲区、无死角。</w:t>
            </w:r>
          </w:p>
        </w:tc>
      </w:tr>
      <w:tr w14:paraId="678EB6B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48" w:type="pct"/>
            <w:tcBorders>
              <w:tl2br w:val="nil"/>
              <w:tr2bl w:val="nil"/>
            </w:tcBorders>
            <w:vAlign w:val="center"/>
          </w:tcPr>
          <w:p w14:paraId="0188373C">
            <w:pPr>
              <w:spacing w:line="240" w:lineRule="auto"/>
              <w:ind w:firstLine="0" w:firstLineChars="0"/>
              <w:jc w:val="center"/>
              <w:rPr>
                <w:color w:val="auto"/>
                <w:kern w:val="0"/>
                <w:sz w:val="21"/>
                <w:szCs w:val="21"/>
              </w:rPr>
            </w:pPr>
            <w:r>
              <w:rPr>
                <w:color w:val="auto"/>
                <w:kern w:val="0"/>
                <w:sz w:val="21"/>
                <w:szCs w:val="21"/>
              </w:rPr>
              <w:t>资源开发效率要求</w:t>
            </w:r>
          </w:p>
        </w:tc>
        <w:tc>
          <w:tcPr>
            <w:tcW w:w="2455" w:type="pct"/>
            <w:tcBorders>
              <w:tl2br w:val="nil"/>
              <w:tr2bl w:val="nil"/>
            </w:tcBorders>
            <w:vAlign w:val="center"/>
          </w:tcPr>
          <w:p w14:paraId="61BB9977">
            <w:pPr>
              <w:spacing w:line="240" w:lineRule="auto"/>
              <w:ind w:firstLine="0" w:firstLineChars="0"/>
              <w:jc w:val="center"/>
              <w:rPr>
                <w:color w:val="auto"/>
                <w:kern w:val="0"/>
                <w:sz w:val="21"/>
                <w:szCs w:val="21"/>
              </w:rPr>
            </w:pPr>
            <w:r>
              <w:rPr>
                <w:color w:val="auto"/>
                <w:kern w:val="0"/>
                <w:sz w:val="21"/>
                <w:szCs w:val="21"/>
              </w:rPr>
              <w:t>1.强化工业废水的综合利用，采取节水措施，提高工业水循环利用率。2.禁止新建、改扩建采用高污染燃料的项目和设施。</w:t>
            </w:r>
          </w:p>
        </w:tc>
        <w:tc>
          <w:tcPr>
            <w:tcW w:w="1795" w:type="pct"/>
            <w:tcBorders>
              <w:tl2br w:val="nil"/>
              <w:tr2bl w:val="nil"/>
            </w:tcBorders>
            <w:vAlign w:val="center"/>
          </w:tcPr>
          <w:p w14:paraId="74FB4B90">
            <w:pPr>
              <w:spacing w:line="240" w:lineRule="auto"/>
              <w:ind w:firstLine="0" w:firstLineChars="0"/>
              <w:jc w:val="center"/>
              <w:rPr>
                <w:color w:val="auto"/>
                <w:kern w:val="0"/>
                <w:sz w:val="21"/>
                <w:szCs w:val="21"/>
              </w:rPr>
            </w:pPr>
            <w:r>
              <w:rPr>
                <w:rFonts w:hint="eastAsia"/>
                <w:color w:val="auto"/>
                <w:kern w:val="0"/>
                <w:sz w:val="21"/>
                <w:szCs w:val="21"/>
              </w:rPr>
              <w:t>拟建</w:t>
            </w:r>
            <w:r>
              <w:rPr>
                <w:color w:val="auto"/>
                <w:kern w:val="0"/>
                <w:sz w:val="21"/>
                <w:szCs w:val="21"/>
              </w:rPr>
              <w:t>项目采取了节水措施，蒸汽冷凝水回用于循环冷却系统补水。</w:t>
            </w:r>
            <w:r>
              <w:rPr>
                <w:rFonts w:hint="eastAsia"/>
                <w:color w:val="auto"/>
                <w:kern w:val="0"/>
                <w:sz w:val="21"/>
                <w:szCs w:val="21"/>
              </w:rPr>
              <w:t>拟建</w:t>
            </w:r>
            <w:r>
              <w:rPr>
                <w:color w:val="auto"/>
                <w:kern w:val="0"/>
                <w:sz w:val="21"/>
                <w:szCs w:val="21"/>
              </w:rPr>
              <w:t>项目不使用高污染燃料。</w:t>
            </w:r>
          </w:p>
        </w:tc>
      </w:tr>
    </w:tbl>
    <w:p w14:paraId="6905725C">
      <w:pPr>
        <w:ind w:firstLine="480"/>
        <w:rPr>
          <w:color w:val="auto"/>
        </w:rPr>
      </w:pPr>
      <w:r>
        <w:rPr>
          <w:rFonts w:hint="eastAsia"/>
          <w:color w:val="auto"/>
        </w:rPr>
        <w:t>综上分析，拟建的建设符合《南通市生态环境分区管控方案动态更新成果（2023）》的相关要求。</w:t>
      </w:r>
    </w:p>
    <w:p w14:paraId="1EE57285">
      <w:pPr>
        <w:pStyle w:val="5"/>
        <w:numPr>
          <w:ilvl w:val="3"/>
          <w:numId w:val="0"/>
        </w:numPr>
        <w:spacing w:before="156"/>
        <w:rPr>
          <w:color w:val="auto"/>
        </w:rPr>
      </w:pPr>
      <w:r>
        <w:rPr>
          <w:rFonts w:hint="eastAsia"/>
          <w:color w:val="auto"/>
        </w:rPr>
        <w:t>1.4.4.5</w:t>
      </w:r>
      <w:r>
        <w:rPr>
          <w:color w:val="auto"/>
        </w:rPr>
        <w:t>与《南通市关于加强减污降碳协同推进重点行业绿色发展的指导意见》(通办[2024]6号)相符性分析</w:t>
      </w:r>
    </w:p>
    <w:p w14:paraId="63672950">
      <w:pPr>
        <w:ind w:firstLine="480"/>
        <w:rPr>
          <w:color w:val="auto"/>
        </w:rPr>
      </w:pPr>
      <w:r>
        <w:rPr>
          <w:rFonts w:hint="eastAsia"/>
          <w:color w:val="auto"/>
        </w:rPr>
        <w:t>拟建项目与《南通市关于加强减污降碳协同推进重点行业绿色发展的指导意见》(通办[2024]6号)相关要求相符性分析见表1.4-13。</w:t>
      </w:r>
    </w:p>
    <w:p w14:paraId="07A8C978">
      <w:pPr>
        <w:pStyle w:val="49"/>
        <w:rPr>
          <w:color w:val="auto"/>
        </w:rPr>
      </w:pPr>
      <w:r>
        <w:rPr>
          <w:color w:val="auto"/>
        </w:rPr>
        <w:t>表1.4</w:t>
      </w:r>
      <w:r>
        <w:rPr>
          <w:rFonts w:hint="eastAsia"/>
          <w:color w:val="auto"/>
        </w:rPr>
        <w:t>-13</w:t>
      </w:r>
      <w:r>
        <w:rPr>
          <w:color w:val="auto"/>
        </w:rPr>
        <w:t xml:space="preserve">  </w:t>
      </w:r>
      <w:r>
        <w:rPr>
          <w:rFonts w:hint="eastAsia"/>
          <w:color w:val="auto"/>
        </w:rPr>
        <w:t>拟建</w:t>
      </w:r>
      <w:r>
        <w:rPr>
          <w:color w:val="auto"/>
        </w:rPr>
        <w:t>项目与通办[2024]6号文相关条款相符性分析</w:t>
      </w:r>
    </w:p>
    <w:tbl>
      <w:tblPr>
        <w:tblStyle w:val="24"/>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11"/>
        <w:gridCol w:w="4722"/>
        <w:gridCol w:w="4121"/>
      </w:tblGrid>
      <w:tr w14:paraId="0CCDACD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tblHeader/>
          <w:jc w:val="center"/>
        </w:trPr>
        <w:tc>
          <w:tcPr>
            <w:tcW w:w="513" w:type="pct"/>
            <w:tcBorders>
              <w:tl2br w:val="nil"/>
              <w:tr2bl w:val="nil"/>
            </w:tcBorders>
            <w:vAlign w:val="center"/>
          </w:tcPr>
          <w:p w14:paraId="7145A72E">
            <w:pPr>
              <w:spacing w:line="240" w:lineRule="auto"/>
              <w:ind w:firstLine="0" w:firstLineChars="0"/>
              <w:jc w:val="center"/>
              <w:rPr>
                <w:b/>
                <w:bCs/>
                <w:color w:val="auto"/>
                <w:sz w:val="21"/>
                <w:szCs w:val="21"/>
              </w:rPr>
            </w:pPr>
            <w:r>
              <w:rPr>
                <w:b/>
                <w:bCs/>
                <w:color w:val="auto"/>
                <w:sz w:val="21"/>
                <w:szCs w:val="21"/>
              </w:rPr>
              <w:t>序号</w:t>
            </w:r>
          </w:p>
        </w:tc>
        <w:tc>
          <w:tcPr>
            <w:tcW w:w="2395" w:type="pct"/>
            <w:tcBorders>
              <w:tl2br w:val="nil"/>
              <w:tr2bl w:val="nil"/>
            </w:tcBorders>
            <w:vAlign w:val="center"/>
          </w:tcPr>
          <w:p w14:paraId="182B7E75">
            <w:pPr>
              <w:spacing w:line="240" w:lineRule="auto"/>
              <w:ind w:firstLine="0" w:firstLineChars="0"/>
              <w:jc w:val="center"/>
              <w:rPr>
                <w:b/>
                <w:bCs/>
                <w:color w:val="auto"/>
                <w:sz w:val="21"/>
                <w:szCs w:val="21"/>
              </w:rPr>
            </w:pPr>
            <w:r>
              <w:rPr>
                <w:b/>
                <w:bCs/>
                <w:color w:val="auto"/>
                <w:sz w:val="21"/>
                <w:szCs w:val="21"/>
              </w:rPr>
              <w:t>文件要求</w:t>
            </w:r>
          </w:p>
        </w:tc>
        <w:tc>
          <w:tcPr>
            <w:tcW w:w="2090" w:type="pct"/>
            <w:tcBorders>
              <w:tl2br w:val="nil"/>
              <w:tr2bl w:val="nil"/>
            </w:tcBorders>
            <w:vAlign w:val="center"/>
          </w:tcPr>
          <w:p w14:paraId="579F13F6">
            <w:pPr>
              <w:spacing w:line="240" w:lineRule="auto"/>
              <w:ind w:firstLine="0" w:firstLineChars="0"/>
              <w:jc w:val="center"/>
              <w:rPr>
                <w:b/>
                <w:bCs/>
                <w:color w:val="auto"/>
                <w:sz w:val="21"/>
                <w:szCs w:val="21"/>
              </w:rPr>
            </w:pPr>
            <w:r>
              <w:rPr>
                <w:b/>
                <w:bCs/>
                <w:color w:val="auto"/>
                <w:sz w:val="21"/>
                <w:szCs w:val="21"/>
              </w:rPr>
              <w:t>对照分析</w:t>
            </w:r>
          </w:p>
        </w:tc>
      </w:tr>
      <w:tr w14:paraId="5AD14ED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13" w:type="pct"/>
            <w:vMerge w:val="restart"/>
            <w:tcBorders>
              <w:tl2br w:val="nil"/>
              <w:tr2bl w:val="nil"/>
            </w:tcBorders>
            <w:vAlign w:val="center"/>
          </w:tcPr>
          <w:p w14:paraId="496BAFB5">
            <w:pPr>
              <w:spacing w:line="240" w:lineRule="auto"/>
              <w:ind w:firstLine="0" w:firstLineChars="0"/>
              <w:jc w:val="center"/>
              <w:rPr>
                <w:color w:val="auto"/>
                <w:sz w:val="21"/>
                <w:szCs w:val="21"/>
              </w:rPr>
            </w:pPr>
            <w:r>
              <w:rPr>
                <w:color w:val="auto"/>
                <w:sz w:val="21"/>
                <w:szCs w:val="21"/>
              </w:rPr>
              <w:t>四、主要任务</w:t>
            </w:r>
          </w:p>
        </w:tc>
        <w:tc>
          <w:tcPr>
            <w:tcW w:w="2395" w:type="pct"/>
            <w:tcBorders>
              <w:tl2br w:val="nil"/>
              <w:tr2bl w:val="nil"/>
            </w:tcBorders>
            <w:vAlign w:val="center"/>
          </w:tcPr>
          <w:p w14:paraId="43408E2B">
            <w:pPr>
              <w:spacing w:line="240" w:lineRule="auto"/>
              <w:ind w:firstLine="0" w:firstLineChars="0"/>
              <w:jc w:val="center"/>
              <w:rPr>
                <w:color w:val="auto"/>
                <w:sz w:val="21"/>
                <w:szCs w:val="21"/>
              </w:rPr>
            </w:pPr>
            <w:r>
              <w:rPr>
                <w:color w:val="auto"/>
                <w:sz w:val="21"/>
                <w:szCs w:val="21"/>
              </w:rPr>
              <w:t>(四)推行清洁生产</w:t>
            </w:r>
          </w:p>
          <w:p w14:paraId="1E9AD22D">
            <w:pPr>
              <w:spacing w:line="240" w:lineRule="auto"/>
              <w:ind w:firstLine="0" w:firstLineChars="0"/>
              <w:jc w:val="center"/>
              <w:rPr>
                <w:color w:val="auto"/>
                <w:sz w:val="21"/>
                <w:szCs w:val="21"/>
              </w:rPr>
            </w:pPr>
            <w:r>
              <w:rPr>
                <w:color w:val="auto"/>
                <w:sz w:val="21"/>
                <w:szCs w:val="21"/>
              </w:rPr>
              <w:t>在重点行业现有企业全面推行强制性清洁生产审核，提高精细化管理水平，推广节水技术，改进生产工艺，降低能耗、减少污染排放。</w:t>
            </w:r>
          </w:p>
        </w:tc>
        <w:tc>
          <w:tcPr>
            <w:tcW w:w="2090" w:type="pct"/>
            <w:tcBorders>
              <w:tl2br w:val="nil"/>
              <w:tr2bl w:val="nil"/>
            </w:tcBorders>
            <w:vAlign w:val="center"/>
          </w:tcPr>
          <w:p w14:paraId="347DD7EC">
            <w:pPr>
              <w:spacing w:line="240" w:lineRule="auto"/>
              <w:ind w:firstLine="0" w:firstLineChars="0"/>
              <w:jc w:val="center"/>
              <w:rPr>
                <w:color w:val="auto"/>
                <w:sz w:val="21"/>
                <w:szCs w:val="21"/>
              </w:rPr>
            </w:pPr>
            <w:r>
              <w:rPr>
                <w:rFonts w:hint="eastAsia"/>
                <w:color w:val="auto"/>
                <w:sz w:val="21"/>
                <w:szCs w:val="21"/>
              </w:rPr>
              <w:t>拟建</w:t>
            </w:r>
            <w:r>
              <w:rPr>
                <w:color w:val="auto"/>
                <w:sz w:val="21"/>
                <w:szCs w:val="21"/>
              </w:rPr>
              <w:t>项目采用行业先进生产工艺，生产过程密闭化、自动化、智能化；采用节水装置，减少水资源消耗；废气污染物通过有效收集后经废气处理装置处理达标后排放，减少了污染物排放。项目建成后将积极开展清洁生产审核，持续提升清洁生产水平。</w:t>
            </w:r>
          </w:p>
        </w:tc>
      </w:tr>
      <w:tr w14:paraId="78BA49D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13" w:type="pct"/>
            <w:vMerge w:val="continue"/>
            <w:tcBorders>
              <w:tl2br w:val="nil"/>
              <w:tr2bl w:val="nil"/>
            </w:tcBorders>
            <w:vAlign w:val="center"/>
          </w:tcPr>
          <w:p w14:paraId="2AC9E98B">
            <w:pPr>
              <w:spacing w:line="240" w:lineRule="auto"/>
              <w:ind w:firstLine="0" w:firstLineChars="0"/>
              <w:jc w:val="center"/>
              <w:rPr>
                <w:color w:val="auto"/>
                <w:sz w:val="21"/>
                <w:szCs w:val="21"/>
              </w:rPr>
            </w:pPr>
          </w:p>
        </w:tc>
        <w:tc>
          <w:tcPr>
            <w:tcW w:w="2395" w:type="pct"/>
            <w:tcBorders>
              <w:tl2br w:val="nil"/>
              <w:tr2bl w:val="nil"/>
            </w:tcBorders>
            <w:vAlign w:val="center"/>
          </w:tcPr>
          <w:p w14:paraId="1F113AC3">
            <w:pPr>
              <w:spacing w:line="240" w:lineRule="auto"/>
              <w:ind w:firstLine="0" w:firstLineChars="0"/>
              <w:jc w:val="center"/>
              <w:rPr>
                <w:color w:val="auto"/>
                <w:sz w:val="21"/>
                <w:szCs w:val="21"/>
              </w:rPr>
            </w:pPr>
            <w:r>
              <w:rPr>
                <w:color w:val="auto"/>
                <w:sz w:val="21"/>
                <w:szCs w:val="21"/>
              </w:rPr>
              <w:t>(五)严守准入门槛</w:t>
            </w:r>
          </w:p>
          <w:p w14:paraId="73080655">
            <w:pPr>
              <w:spacing w:line="240" w:lineRule="auto"/>
              <w:ind w:firstLine="0" w:firstLineChars="0"/>
              <w:jc w:val="center"/>
              <w:rPr>
                <w:color w:val="auto"/>
                <w:sz w:val="21"/>
                <w:szCs w:val="21"/>
              </w:rPr>
            </w:pPr>
            <w:r>
              <w:rPr>
                <w:color w:val="auto"/>
                <w:sz w:val="21"/>
                <w:szCs w:val="21"/>
              </w:rPr>
              <w:t>全面深化生态环境分区管控方案、细化管控单元及行业准入条件，建立重点产业项目准入机制，优化产业发展。严格执行《长江经济带发展负面清单指南(试行，2022年版)》及江苏省实施细则，严守国家生态保护红线及江苏省生态空间管控区域。……强化项目可研、环评、安评、能评、稳评等许可(备案)联动，严控高能耗高排放建设、严禁高污染不安全项目落地，坚决杜绝未批先建违法行为。</w:t>
            </w:r>
          </w:p>
        </w:tc>
        <w:tc>
          <w:tcPr>
            <w:tcW w:w="2090" w:type="pct"/>
            <w:tcBorders>
              <w:tl2br w:val="nil"/>
              <w:tr2bl w:val="nil"/>
            </w:tcBorders>
            <w:vAlign w:val="center"/>
          </w:tcPr>
          <w:p w14:paraId="15E7CD43">
            <w:pPr>
              <w:spacing w:line="240" w:lineRule="auto"/>
              <w:ind w:firstLine="0" w:firstLineChars="0"/>
              <w:jc w:val="center"/>
              <w:rPr>
                <w:color w:val="auto"/>
                <w:sz w:val="21"/>
                <w:szCs w:val="21"/>
              </w:rPr>
            </w:pPr>
            <w:r>
              <w:rPr>
                <w:rFonts w:hint="eastAsia"/>
                <w:color w:val="auto"/>
                <w:sz w:val="21"/>
                <w:szCs w:val="21"/>
              </w:rPr>
              <w:t>拟建</w:t>
            </w:r>
            <w:r>
              <w:rPr>
                <w:color w:val="auto"/>
                <w:sz w:val="21"/>
                <w:szCs w:val="21"/>
              </w:rPr>
              <w:t>项目不在规划的生态红线范围之内，亦不在生态空间管控区域内；项目所在区域环境质量现状总体可以满足项目建设需要；</w:t>
            </w:r>
            <w:r>
              <w:rPr>
                <w:rFonts w:hint="eastAsia"/>
                <w:color w:val="auto"/>
                <w:sz w:val="21"/>
                <w:szCs w:val="21"/>
              </w:rPr>
              <w:t>拟建</w:t>
            </w:r>
            <w:r>
              <w:rPr>
                <w:color w:val="auto"/>
                <w:sz w:val="21"/>
                <w:szCs w:val="21"/>
              </w:rPr>
              <w:t>供电等由园区统一供给，不会破坏当地自然资源利用上限；经分析，</w:t>
            </w:r>
            <w:r>
              <w:rPr>
                <w:rFonts w:hint="eastAsia"/>
                <w:color w:val="auto"/>
                <w:sz w:val="21"/>
                <w:szCs w:val="21"/>
              </w:rPr>
              <w:t>拟建</w:t>
            </w:r>
            <w:r>
              <w:rPr>
                <w:color w:val="auto"/>
                <w:sz w:val="21"/>
                <w:szCs w:val="21"/>
              </w:rPr>
              <w:t>项目符合</w:t>
            </w:r>
            <w:r>
              <w:rPr>
                <w:bCs/>
                <w:color w:val="auto"/>
                <w:sz w:val="21"/>
                <w:szCs w:val="21"/>
              </w:rPr>
              <w:t>《关于印发&lt;长江经济带发展负面清单指南</w:t>
            </w:r>
            <w:r>
              <w:rPr>
                <w:color w:val="auto"/>
                <w:sz w:val="21"/>
                <w:szCs w:val="21"/>
              </w:rPr>
              <w:t>(</w:t>
            </w:r>
            <w:r>
              <w:rPr>
                <w:bCs/>
                <w:color w:val="auto"/>
                <w:sz w:val="21"/>
                <w:szCs w:val="21"/>
              </w:rPr>
              <w:t>试行，2022年版</w:t>
            </w:r>
            <w:r>
              <w:rPr>
                <w:color w:val="auto"/>
                <w:sz w:val="21"/>
                <w:szCs w:val="21"/>
              </w:rPr>
              <w:t>)</w:t>
            </w:r>
            <w:r>
              <w:rPr>
                <w:bCs/>
                <w:color w:val="auto"/>
                <w:sz w:val="21"/>
                <w:szCs w:val="21"/>
              </w:rPr>
              <w:t>&gt;的通知》(长江办[2022]7号)、</w:t>
            </w:r>
            <w:r>
              <w:rPr>
                <w:color w:val="auto"/>
                <w:sz w:val="21"/>
                <w:szCs w:val="21"/>
              </w:rPr>
              <w:t>《关于印发&lt;长江经济带发展负面清单指南(试行，2022年版)&gt;江苏省实施细则的通知》(苏长江办发</w:t>
            </w:r>
            <w:r>
              <w:rPr>
                <w:bCs/>
                <w:color w:val="auto"/>
                <w:sz w:val="21"/>
                <w:szCs w:val="21"/>
              </w:rPr>
              <w:t>[2022]</w:t>
            </w:r>
            <w:r>
              <w:rPr>
                <w:color w:val="auto"/>
                <w:sz w:val="21"/>
                <w:szCs w:val="21"/>
              </w:rPr>
              <w:t>55号)、生态保护红线及生态空间管控区域规划要求。经现场踏勘，</w:t>
            </w:r>
            <w:r>
              <w:rPr>
                <w:rFonts w:hint="eastAsia"/>
                <w:color w:val="auto"/>
                <w:sz w:val="21"/>
                <w:szCs w:val="21"/>
              </w:rPr>
              <w:t>拟建</w:t>
            </w:r>
            <w:r>
              <w:rPr>
                <w:color w:val="auto"/>
                <w:sz w:val="21"/>
                <w:szCs w:val="21"/>
              </w:rPr>
              <w:t>项目未开工，不存在未批先建违法行为。</w:t>
            </w:r>
          </w:p>
        </w:tc>
      </w:tr>
      <w:tr w14:paraId="0A8C52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13" w:type="pct"/>
            <w:vMerge w:val="continue"/>
            <w:tcBorders>
              <w:tl2br w:val="nil"/>
              <w:tr2bl w:val="nil"/>
            </w:tcBorders>
            <w:vAlign w:val="center"/>
          </w:tcPr>
          <w:p w14:paraId="1DAFE0C0">
            <w:pPr>
              <w:spacing w:line="240" w:lineRule="auto"/>
              <w:ind w:firstLine="0" w:firstLineChars="0"/>
              <w:jc w:val="center"/>
              <w:rPr>
                <w:color w:val="auto"/>
                <w:sz w:val="21"/>
                <w:szCs w:val="21"/>
              </w:rPr>
            </w:pPr>
          </w:p>
        </w:tc>
        <w:tc>
          <w:tcPr>
            <w:tcW w:w="2395" w:type="pct"/>
            <w:tcBorders>
              <w:tl2br w:val="nil"/>
              <w:tr2bl w:val="nil"/>
            </w:tcBorders>
            <w:vAlign w:val="center"/>
          </w:tcPr>
          <w:p w14:paraId="7F4DF432">
            <w:pPr>
              <w:spacing w:line="240" w:lineRule="auto"/>
              <w:ind w:firstLine="0" w:firstLineChars="0"/>
              <w:jc w:val="center"/>
              <w:rPr>
                <w:color w:val="auto"/>
                <w:sz w:val="21"/>
                <w:szCs w:val="21"/>
              </w:rPr>
            </w:pPr>
            <w:r>
              <w:rPr>
                <w:color w:val="auto"/>
                <w:sz w:val="21"/>
                <w:szCs w:val="21"/>
              </w:rPr>
              <w:t>(九)加强统计监测能力</w:t>
            </w:r>
          </w:p>
          <w:p w14:paraId="6C9E292F">
            <w:pPr>
              <w:spacing w:line="240" w:lineRule="auto"/>
              <w:ind w:firstLine="0" w:firstLineChars="0"/>
              <w:jc w:val="center"/>
              <w:rPr>
                <w:color w:val="auto"/>
                <w:sz w:val="21"/>
                <w:szCs w:val="21"/>
              </w:rPr>
            </w:pPr>
            <w:r>
              <w:rPr>
                <w:color w:val="auto"/>
                <w:sz w:val="21"/>
                <w:szCs w:val="21"/>
              </w:rPr>
              <w:t>……健全固定污染源监测监控体系，推进排污单位自动监测监控联网全覆盖……</w:t>
            </w:r>
          </w:p>
        </w:tc>
        <w:tc>
          <w:tcPr>
            <w:tcW w:w="2090" w:type="pct"/>
            <w:tcBorders>
              <w:tl2br w:val="nil"/>
              <w:tr2bl w:val="nil"/>
            </w:tcBorders>
            <w:vAlign w:val="center"/>
          </w:tcPr>
          <w:p w14:paraId="0A9ED634">
            <w:pPr>
              <w:spacing w:line="240" w:lineRule="auto"/>
              <w:ind w:firstLine="0" w:firstLineChars="0"/>
              <w:jc w:val="center"/>
              <w:rPr>
                <w:color w:val="auto"/>
                <w:sz w:val="21"/>
                <w:szCs w:val="21"/>
              </w:rPr>
            </w:pPr>
            <w:r>
              <w:rPr>
                <w:rFonts w:hint="eastAsia"/>
                <w:color w:val="auto"/>
                <w:sz w:val="21"/>
                <w:szCs w:val="21"/>
              </w:rPr>
              <w:t>启东</w:t>
            </w:r>
            <w:r>
              <w:rPr>
                <w:color w:val="auto"/>
                <w:sz w:val="21"/>
                <w:szCs w:val="21"/>
              </w:rPr>
              <w:t>亚太已在废水总排口处安装废水在线监测，监测因子为流量、pH、COD、氨氮、总磷。雨水排口处安装在线监测，监测因子为COD。在线监测已和生态环境部门联网。</w:t>
            </w:r>
          </w:p>
        </w:tc>
      </w:tr>
    </w:tbl>
    <w:p w14:paraId="24CA1EE8">
      <w:pPr>
        <w:ind w:firstLine="480"/>
        <w:rPr>
          <w:color w:val="auto"/>
        </w:rPr>
      </w:pPr>
      <w:r>
        <w:rPr>
          <w:rFonts w:hint="eastAsia"/>
          <w:color w:val="auto"/>
        </w:rPr>
        <w:t>由上表可知，拟建项目符合《南通市关于加强减污降碳协同推进重点行业绿色发展的指导意见》（通办[2024]6号）的要求。</w:t>
      </w:r>
    </w:p>
    <w:p w14:paraId="4D2960E0">
      <w:pPr>
        <w:pStyle w:val="5"/>
        <w:spacing w:before="156"/>
        <w:rPr>
          <w:color w:val="auto"/>
        </w:rPr>
      </w:pPr>
      <w:r>
        <w:rPr>
          <w:rFonts w:hint="eastAsia"/>
          <w:color w:val="auto"/>
        </w:rPr>
        <w:t>1.4.4.6与《关于加强全省化工园区化工集中区外化工生产企业规范化管理的通知》(苏化治[2021]4号)相符性分析</w:t>
      </w:r>
    </w:p>
    <w:p w14:paraId="34EE96EB">
      <w:pPr>
        <w:ind w:firstLine="480"/>
        <w:rPr>
          <w:color w:val="auto"/>
        </w:rPr>
      </w:pPr>
      <w:r>
        <w:rPr>
          <w:rFonts w:hint="eastAsia"/>
          <w:color w:val="auto"/>
        </w:rPr>
        <w:t>根据苏化治[2021]4号：</w:t>
      </w:r>
    </w:p>
    <w:p w14:paraId="43C2F9FB">
      <w:pPr>
        <w:ind w:firstLine="480"/>
        <w:rPr>
          <w:color w:val="auto"/>
        </w:rPr>
      </w:pPr>
      <w:r>
        <w:rPr>
          <w:rFonts w:hint="eastAsia"/>
          <w:color w:val="auto"/>
        </w:rPr>
        <w:t>（四）鼓励化工重点监测点企业通过信息化改造,依靠技术支撑实现安全风险的常态化、智慧化管控。鼓励企业在不新增供地和主要污染物排放总量的情况下,实施产业政策鼓励类、允许类的技术改造项目，但不得新建、扩建《环保综合名录》等文件明确的高污染项日。</w:t>
      </w:r>
    </w:p>
    <w:p w14:paraId="2CDDC145">
      <w:pPr>
        <w:ind w:firstLine="480"/>
        <w:rPr>
          <w:color w:val="auto"/>
        </w:rPr>
      </w:pPr>
      <w:r>
        <w:rPr>
          <w:rFonts w:hint="eastAsia"/>
          <w:color w:val="auto"/>
        </w:rPr>
        <w:t>（十三）取消化工定位园区要进一步压减化工生产企业数量，不得新增化工生产企业、新建扩建化工生产项目（第四条、第八条所涉化工重点监测项目和复配类企业项目除外）。可优先承接医药原料药、电子化学品等涉及化工工艺的非化工类别企业和项目,建设特色产品集聚区。</w:t>
      </w:r>
    </w:p>
    <w:p w14:paraId="0ECA27F8">
      <w:pPr>
        <w:ind w:firstLine="482"/>
        <w:rPr>
          <w:b/>
          <w:bCs/>
          <w:color w:val="auto"/>
        </w:rPr>
      </w:pPr>
      <w:r>
        <w:rPr>
          <w:rFonts w:hint="eastAsia"/>
          <w:b/>
          <w:bCs/>
          <w:color w:val="auto"/>
        </w:rPr>
        <w:t>根据《关于公布南通市化工重点监测点名单（第一批）的通知》（通化治办[2021]2号）启东亚太属于化工重点监测点企业，拟建项日在启东亚太现有厂区1#和2#车间区域内生产，属于技改项且，不新增用地，废气、废水污染物在现有批复总量内平衡，不新增总量，项目符合产业政策要求，不属于《环保综合名录》中高污染项目，符合文件要求。</w:t>
      </w:r>
    </w:p>
    <w:p w14:paraId="52370AAC">
      <w:pPr>
        <w:pStyle w:val="5"/>
        <w:spacing w:before="156"/>
        <w:rPr>
          <w:color w:val="auto"/>
        </w:rPr>
      </w:pPr>
      <w:r>
        <w:rPr>
          <w:rFonts w:hint="eastAsia"/>
          <w:color w:val="auto"/>
        </w:rPr>
        <w:t>1.4.4.7与《南通市关于加大污染减排力度推进重点行业绿色发展的指导意见》的通知（通办[2021159号）、《启东市推进重点行业绿色发展实施方案》（）启办12022]44号相符性分析</w:t>
      </w:r>
    </w:p>
    <w:p w14:paraId="7EF0F09E">
      <w:pPr>
        <w:ind w:firstLine="480"/>
        <w:rPr>
          <w:color w:val="auto"/>
        </w:rPr>
      </w:pPr>
      <w:r>
        <w:rPr>
          <w:rFonts w:hint="eastAsia"/>
          <w:color w:val="auto"/>
        </w:rPr>
        <w:t>根据通办[2021]59号、启办[2022]44号：新建化工企业(项目)亩均税收≥35万元/亩,工艺、装备、清洁生产水平基本达到国际先进水平。2021年底前组织各化工园区(集中区)编制或修订完善产业发展规划，关闭退出沿江1公里范围内园区外化工生产企业；以化学需氧量排放强度≤0.1kg万元、挥发性有机物排放强度≤0.1kg/万元为标准提标改造,2023年底前整治不达标企业全部退出到位。</w:t>
      </w:r>
    </w:p>
    <w:p w14:paraId="4BEB67EE">
      <w:pPr>
        <w:ind w:firstLine="482"/>
        <w:rPr>
          <w:b/>
          <w:bCs/>
          <w:color w:val="auto"/>
        </w:rPr>
      </w:pPr>
      <w:r>
        <w:rPr>
          <w:rFonts w:hint="eastAsia"/>
          <w:b/>
          <w:bCs/>
          <w:color w:val="auto"/>
        </w:rPr>
        <w:t>拟建项目属于技改化工项目，不在沿江1km范围内，不排放挥发性有机物，化学需氧量排放强度满足要求，符合文件要求。</w:t>
      </w:r>
    </w:p>
    <w:p w14:paraId="5D28AA03">
      <w:pPr>
        <w:pStyle w:val="5"/>
        <w:spacing w:before="156"/>
        <w:rPr>
          <w:color w:val="auto"/>
        </w:rPr>
      </w:pPr>
      <w:r>
        <w:rPr>
          <w:color w:val="auto"/>
        </w:rPr>
        <w:t>1.4.4.</w:t>
      </w:r>
      <w:r>
        <w:rPr>
          <w:rFonts w:hint="eastAsia"/>
          <w:color w:val="auto"/>
        </w:rPr>
        <w:t>8</w:t>
      </w:r>
      <w:r>
        <w:rPr>
          <w:color w:val="auto"/>
        </w:rPr>
        <w:t>与《国务院关于印发〈空气质量持续改善行动计划〉的通知》（国发〔2023〕24号）相符性分析</w:t>
      </w:r>
    </w:p>
    <w:p w14:paraId="7C0F11C6">
      <w:pPr>
        <w:spacing w:line="500" w:lineRule="atLeast"/>
        <w:ind w:firstLine="480"/>
        <w:rPr>
          <w:color w:val="auto"/>
          <w:kern w:val="24"/>
          <w:szCs w:val="22"/>
        </w:rPr>
      </w:pPr>
      <w:r>
        <w:rPr>
          <w:color w:val="auto"/>
          <w:kern w:val="24"/>
          <w:szCs w:val="22"/>
        </w:rPr>
        <w:t>根据《国务院关于印发〈空气质量持续改善行动计划〉的通知》，发展目标：到2025年，全国地级及以上城市PM</w:t>
      </w:r>
      <w:r>
        <w:rPr>
          <w:color w:val="auto"/>
          <w:kern w:val="24"/>
          <w:szCs w:val="22"/>
          <w:vertAlign w:val="subscript"/>
        </w:rPr>
        <w:t>2.5</w:t>
      </w:r>
      <w:r>
        <w:rPr>
          <w:color w:val="auto"/>
          <w:kern w:val="24"/>
          <w:szCs w:val="22"/>
        </w:rPr>
        <w:t>浓度比2020年下降10%，重度及以上污染天数比率控制在1%以内；氮氧化物和VOCs排放总量比2020年分别下降10%以上。拟建项目产品与该文件相符性分析，见下表。</w:t>
      </w:r>
    </w:p>
    <w:p w14:paraId="6929CD37">
      <w:pPr>
        <w:pStyle w:val="49"/>
        <w:rPr>
          <w:color w:val="auto"/>
        </w:rPr>
      </w:pPr>
      <w:r>
        <w:rPr>
          <w:color w:val="auto"/>
        </w:rPr>
        <w:t>表1.4</w:t>
      </w:r>
      <w:r>
        <w:rPr>
          <w:rFonts w:hint="eastAsia"/>
          <w:color w:val="auto"/>
        </w:rPr>
        <w:t xml:space="preserve">-14  </w:t>
      </w:r>
      <w:r>
        <w:rPr>
          <w:color w:val="auto"/>
        </w:rPr>
        <w:t>拟建项目与国发〔2023〕24号通知相符性分析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24"/>
        <w:gridCol w:w="4750"/>
        <w:gridCol w:w="3375"/>
        <w:gridCol w:w="889"/>
      </w:tblGrid>
      <w:tr w14:paraId="342A43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4" w:type="pct"/>
            <w:tcBorders>
              <w:tl2br w:val="nil"/>
              <w:tr2bl w:val="nil"/>
            </w:tcBorders>
            <w:tcMar>
              <w:left w:w="0" w:type="dxa"/>
              <w:right w:w="0" w:type="dxa"/>
            </w:tcMar>
            <w:vAlign w:val="center"/>
          </w:tcPr>
          <w:p w14:paraId="03B2B397">
            <w:pPr>
              <w:spacing w:line="240" w:lineRule="auto"/>
              <w:ind w:firstLine="0" w:firstLineChars="0"/>
              <w:jc w:val="center"/>
              <w:rPr>
                <w:b/>
                <w:bCs/>
                <w:color w:val="auto"/>
                <w:sz w:val="21"/>
                <w:szCs w:val="21"/>
              </w:rPr>
            </w:pPr>
            <w:r>
              <w:rPr>
                <w:b/>
                <w:bCs/>
                <w:color w:val="auto"/>
                <w:sz w:val="21"/>
                <w:szCs w:val="21"/>
              </w:rPr>
              <w:t>序号</w:t>
            </w:r>
          </w:p>
        </w:tc>
        <w:tc>
          <w:tcPr>
            <w:tcW w:w="2463" w:type="pct"/>
            <w:tcBorders>
              <w:tl2br w:val="nil"/>
              <w:tr2bl w:val="nil"/>
            </w:tcBorders>
            <w:tcMar>
              <w:left w:w="0" w:type="dxa"/>
              <w:right w:w="0" w:type="dxa"/>
            </w:tcMar>
            <w:vAlign w:val="center"/>
          </w:tcPr>
          <w:p w14:paraId="79A05DF3">
            <w:pPr>
              <w:spacing w:line="240" w:lineRule="auto"/>
              <w:ind w:firstLine="0" w:firstLineChars="0"/>
              <w:jc w:val="center"/>
              <w:rPr>
                <w:b/>
                <w:bCs/>
                <w:color w:val="auto"/>
                <w:sz w:val="21"/>
                <w:szCs w:val="21"/>
              </w:rPr>
            </w:pPr>
            <w:r>
              <w:rPr>
                <w:b/>
                <w:bCs/>
                <w:color w:val="auto"/>
                <w:sz w:val="21"/>
                <w:szCs w:val="21"/>
              </w:rPr>
              <w:t>文件要求</w:t>
            </w:r>
          </w:p>
        </w:tc>
        <w:tc>
          <w:tcPr>
            <w:tcW w:w="1750" w:type="pct"/>
            <w:tcBorders>
              <w:tl2br w:val="nil"/>
              <w:tr2bl w:val="nil"/>
            </w:tcBorders>
            <w:tcMar>
              <w:left w:w="0" w:type="dxa"/>
              <w:right w:w="0" w:type="dxa"/>
            </w:tcMar>
            <w:vAlign w:val="center"/>
          </w:tcPr>
          <w:p w14:paraId="18413907">
            <w:pPr>
              <w:spacing w:line="240" w:lineRule="auto"/>
              <w:ind w:firstLine="0" w:firstLineChars="0"/>
              <w:jc w:val="center"/>
              <w:rPr>
                <w:b/>
                <w:bCs/>
                <w:color w:val="auto"/>
                <w:sz w:val="21"/>
                <w:szCs w:val="21"/>
              </w:rPr>
            </w:pPr>
            <w:r>
              <w:rPr>
                <w:b/>
                <w:bCs/>
                <w:color w:val="auto"/>
                <w:sz w:val="21"/>
                <w:szCs w:val="21"/>
              </w:rPr>
              <w:t>拟建项目情况</w:t>
            </w:r>
          </w:p>
        </w:tc>
        <w:tc>
          <w:tcPr>
            <w:tcW w:w="461" w:type="pct"/>
            <w:tcBorders>
              <w:tl2br w:val="nil"/>
              <w:tr2bl w:val="nil"/>
            </w:tcBorders>
            <w:tcMar>
              <w:left w:w="0" w:type="dxa"/>
              <w:right w:w="0" w:type="dxa"/>
            </w:tcMar>
            <w:vAlign w:val="center"/>
          </w:tcPr>
          <w:p w14:paraId="19357DDD">
            <w:pPr>
              <w:spacing w:line="240" w:lineRule="auto"/>
              <w:ind w:firstLine="0" w:firstLineChars="0"/>
              <w:jc w:val="center"/>
              <w:rPr>
                <w:b/>
                <w:bCs/>
                <w:color w:val="auto"/>
                <w:sz w:val="21"/>
                <w:szCs w:val="21"/>
              </w:rPr>
            </w:pPr>
            <w:r>
              <w:rPr>
                <w:b/>
                <w:bCs/>
                <w:color w:val="auto"/>
                <w:sz w:val="21"/>
                <w:szCs w:val="21"/>
              </w:rPr>
              <w:t>相符性</w:t>
            </w:r>
          </w:p>
        </w:tc>
      </w:tr>
      <w:tr w14:paraId="144917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24" w:type="pct"/>
            <w:tcBorders>
              <w:tl2br w:val="nil"/>
              <w:tr2bl w:val="nil"/>
            </w:tcBorders>
            <w:tcMar>
              <w:left w:w="0" w:type="dxa"/>
              <w:right w:w="0" w:type="dxa"/>
            </w:tcMar>
            <w:vAlign w:val="center"/>
          </w:tcPr>
          <w:p w14:paraId="5461EDE6">
            <w:pPr>
              <w:spacing w:line="240" w:lineRule="auto"/>
              <w:ind w:firstLine="0" w:firstLineChars="0"/>
              <w:jc w:val="center"/>
              <w:rPr>
                <w:color w:val="auto"/>
                <w:sz w:val="21"/>
                <w:szCs w:val="21"/>
              </w:rPr>
            </w:pPr>
            <w:r>
              <w:rPr>
                <w:color w:val="auto"/>
                <w:sz w:val="21"/>
                <w:szCs w:val="21"/>
              </w:rPr>
              <w:t>1</w:t>
            </w:r>
          </w:p>
        </w:tc>
        <w:tc>
          <w:tcPr>
            <w:tcW w:w="2463" w:type="pct"/>
            <w:tcBorders>
              <w:tl2br w:val="nil"/>
              <w:tr2bl w:val="nil"/>
            </w:tcBorders>
            <w:tcMar>
              <w:left w:w="0" w:type="dxa"/>
              <w:right w:w="0" w:type="dxa"/>
            </w:tcMar>
            <w:vAlign w:val="center"/>
          </w:tcPr>
          <w:p w14:paraId="4BF064A0">
            <w:pPr>
              <w:spacing w:line="240" w:lineRule="auto"/>
              <w:ind w:firstLine="0" w:firstLineChars="0"/>
              <w:jc w:val="center"/>
              <w:rPr>
                <w:color w:val="auto"/>
                <w:sz w:val="21"/>
                <w:szCs w:val="21"/>
              </w:rPr>
            </w:pPr>
            <w:r>
              <w:rPr>
                <w:color w:val="auto"/>
                <w:sz w:val="21"/>
                <w:szCs w:val="21"/>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750" w:type="pct"/>
            <w:tcBorders>
              <w:tl2br w:val="nil"/>
              <w:tr2bl w:val="nil"/>
            </w:tcBorders>
            <w:tcMar>
              <w:left w:w="0" w:type="dxa"/>
              <w:right w:w="0" w:type="dxa"/>
            </w:tcMar>
            <w:vAlign w:val="center"/>
          </w:tcPr>
          <w:p w14:paraId="60512052">
            <w:pPr>
              <w:spacing w:line="240" w:lineRule="auto"/>
              <w:ind w:firstLine="0" w:firstLineChars="0"/>
              <w:jc w:val="center"/>
              <w:rPr>
                <w:color w:val="auto"/>
                <w:sz w:val="21"/>
                <w:szCs w:val="21"/>
              </w:rPr>
            </w:pPr>
            <w:r>
              <w:rPr>
                <w:color w:val="auto"/>
                <w:sz w:val="21"/>
                <w:szCs w:val="21"/>
              </w:rPr>
              <w:t>拟建项目所在地位于</w:t>
            </w:r>
            <w:r>
              <w:rPr>
                <w:rFonts w:hint="eastAsia"/>
                <w:color w:val="auto"/>
                <w:kern w:val="0"/>
                <w:sz w:val="21"/>
                <w:szCs w:val="21"/>
              </w:rPr>
              <w:t>启东生命健康产业园</w:t>
            </w:r>
            <w:r>
              <w:rPr>
                <w:color w:val="auto"/>
                <w:sz w:val="21"/>
                <w:szCs w:val="21"/>
              </w:rPr>
              <w:t>，拟建项目符合园区的产业定位与生态准入要求，建设项目能耗及污染物排放强度均满足园区要求；满足《南通市</w:t>
            </w:r>
            <w:r>
              <w:rPr>
                <w:rFonts w:hint="eastAsia"/>
                <w:color w:val="auto"/>
                <w:sz w:val="21"/>
                <w:szCs w:val="21"/>
              </w:rPr>
              <w:t>“</w:t>
            </w:r>
            <w:r>
              <w:rPr>
                <w:color w:val="auto"/>
                <w:sz w:val="21"/>
                <w:szCs w:val="21"/>
              </w:rPr>
              <w:t>三线一单</w:t>
            </w:r>
            <w:r>
              <w:rPr>
                <w:rFonts w:hint="eastAsia"/>
                <w:color w:val="auto"/>
                <w:sz w:val="21"/>
                <w:szCs w:val="21"/>
              </w:rPr>
              <w:t>”</w:t>
            </w:r>
            <w:r>
              <w:rPr>
                <w:color w:val="auto"/>
                <w:sz w:val="21"/>
                <w:szCs w:val="21"/>
              </w:rPr>
              <w:t>生态环境分区管控方案》生态环境总体准入管控要求；满足园区规划要求。拟建项目正在办理项目环评手续，拟建项目不涉及产能置换。</w:t>
            </w:r>
          </w:p>
        </w:tc>
        <w:tc>
          <w:tcPr>
            <w:tcW w:w="461" w:type="pct"/>
            <w:tcBorders>
              <w:tl2br w:val="nil"/>
              <w:tr2bl w:val="nil"/>
            </w:tcBorders>
            <w:tcMar>
              <w:left w:w="0" w:type="dxa"/>
              <w:right w:w="0" w:type="dxa"/>
            </w:tcMar>
            <w:vAlign w:val="center"/>
          </w:tcPr>
          <w:p w14:paraId="2351CD98">
            <w:pPr>
              <w:spacing w:line="240" w:lineRule="auto"/>
              <w:ind w:firstLine="0" w:firstLineChars="0"/>
              <w:jc w:val="center"/>
              <w:rPr>
                <w:color w:val="auto"/>
                <w:sz w:val="21"/>
                <w:szCs w:val="21"/>
              </w:rPr>
            </w:pPr>
            <w:r>
              <w:rPr>
                <w:color w:val="auto"/>
                <w:sz w:val="21"/>
                <w:szCs w:val="21"/>
              </w:rPr>
              <w:t>相符</w:t>
            </w:r>
          </w:p>
        </w:tc>
      </w:tr>
      <w:tr w14:paraId="6E2EC7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24" w:type="pct"/>
            <w:tcBorders>
              <w:tl2br w:val="nil"/>
              <w:tr2bl w:val="nil"/>
            </w:tcBorders>
            <w:tcMar>
              <w:left w:w="0" w:type="dxa"/>
              <w:right w:w="0" w:type="dxa"/>
            </w:tcMar>
            <w:vAlign w:val="center"/>
          </w:tcPr>
          <w:p w14:paraId="532906BE">
            <w:pPr>
              <w:spacing w:line="240" w:lineRule="auto"/>
              <w:ind w:firstLine="0" w:firstLineChars="0"/>
              <w:jc w:val="center"/>
              <w:rPr>
                <w:color w:val="auto"/>
                <w:sz w:val="21"/>
                <w:szCs w:val="21"/>
              </w:rPr>
            </w:pPr>
            <w:r>
              <w:rPr>
                <w:color w:val="auto"/>
                <w:sz w:val="21"/>
                <w:szCs w:val="21"/>
              </w:rPr>
              <w:t>2</w:t>
            </w:r>
          </w:p>
        </w:tc>
        <w:tc>
          <w:tcPr>
            <w:tcW w:w="2463" w:type="pct"/>
            <w:tcBorders>
              <w:tl2br w:val="nil"/>
              <w:tr2bl w:val="nil"/>
            </w:tcBorders>
            <w:tcMar>
              <w:left w:w="0" w:type="dxa"/>
              <w:right w:w="0" w:type="dxa"/>
            </w:tcMar>
            <w:vAlign w:val="center"/>
          </w:tcPr>
          <w:p w14:paraId="67F480B6">
            <w:pPr>
              <w:spacing w:line="240" w:lineRule="auto"/>
              <w:ind w:firstLine="0" w:firstLineChars="0"/>
              <w:jc w:val="center"/>
              <w:rPr>
                <w:color w:val="auto"/>
                <w:sz w:val="21"/>
                <w:szCs w:val="21"/>
              </w:rPr>
            </w:pPr>
            <w:r>
              <w:rPr>
                <w:color w:val="auto"/>
                <w:sz w:val="21"/>
                <w:szCs w:val="21"/>
              </w:rPr>
              <w:t>（九）大力发展新能源和清洁能源。到2025年，非化石能源消费比重达20%左右，电能占终端能源消费比重达30%左右。持续增加天然气生产供应，新增天然气优先保障居民生活和清洁取暖需求。</w:t>
            </w:r>
          </w:p>
        </w:tc>
        <w:tc>
          <w:tcPr>
            <w:tcW w:w="1750" w:type="pct"/>
            <w:tcBorders>
              <w:tl2br w:val="nil"/>
              <w:tr2bl w:val="nil"/>
            </w:tcBorders>
            <w:tcMar>
              <w:left w:w="0" w:type="dxa"/>
              <w:right w:w="0" w:type="dxa"/>
            </w:tcMar>
            <w:vAlign w:val="center"/>
          </w:tcPr>
          <w:p w14:paraId="29FAB038">
            <w:pPr>
              <w:spacing w:line="240" w:lineRule="auto"/>
              <w:ind w:firstLine="0" w:firstLineChars="0"/>
              <w:jc w:val="center"/>
              <w:rPr>
                <w:color w:val="auto"/>
                <w:sz w:val="21"/>
                <w:szCs w:val="21"/>
              </w:rPr>
            </w:pPr>
            <w:r>
              <w:rPr>
                <w:color w:val="auto"/>
                <w:sz w:val="21"/>
                <w:szCs w:val="21"/>
              </w:rPr>
              <w:t>拟建项目无高污染燃料的使用。</w:t>
            </w:r>
          </w:p>
        </w:tc>
        <w:tc>
          <w:tcPr>
            <w:tcW w:w="461" w:type="pct"/>
            <w:tcBorders>
              <w:tl2br w:val="nil"/>
              <w:tr2bl w:val="nil"/>
            </w:tcBorders>
            <w:tcMar>
              <w:left w:w="0" w:type="dxa"/>
              <w:right w:w="0" w:type="dxa"/>
            </w:tcMar>
            <w:vAlign w:val="center"/>
          </w:tcPr>
          <w:p w14:paraId="11470F9D">
            <w:pPr>
              <w:spacing w:line="240" w:lineRule="auto"/>
              <w:ind w:firstLine="0" w:firstLineChars="0"/>
              <w:jc w:val="center"/>
              <w:rPr>
                <w:color w:val="auto"/>
                <w:sz w:val="21"/>
                <w:szCs w:val="21"/>
              </w:rPr>
            </w:pPr>
            <w:r>
              <w:rPr>
                <w:color w:val="auto"/>
                <w:sz w:val="21"/>
                <w:szCs w:val="21"/>
              </w:rPr>
              <w:t>相符</w:t>
            </w:r>
          </w:p>
        </w:tc>
      </w:tr>
      <w:tr w14:paraId="7DF1CC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24" w:type="pct"/>
            <w:tcBorders>
              <w:tl2br w:val="nil"/>
              <w:tr2bl w:val="nil"/>
            </w:tcBorders>
            <w:tcMar>
              <w:left w:w="0" w:type="dxa"/>
              <w:right w:w="0" w:type="dxa"/>
            </w:tcMar>
            <w:vAlign w:val="center"/>
          </w:tcPr>
          <w:p w14:paraId="13A8BF63">
            <w:pPr>
              <w:spacing w:line="240" w:lineRule="auto"/>
              <w:ind w:firstLine="0" w:firstLineChars="0"/>
              <w:jc w:val="center"/>
              <w:rPr>
                <w:color w:val="auto"/>
                <w:sz w:val="21"/>
                <w:szCs w:val="21"/>
              </w:rPr>
            </w:pPr>
            <w:r>
              <w:rPr>
                <w:color w:val="auto"/>
                <w:sz w:val="21"/>
                <w:szCs w:val="21"/>
              </w:rPr>
              <w:t>3</w:t>
            </w:r>
          </w:p>
        </w:tc>
        <w:tc>
          <w:tcPr>
            <w:tcW w:w="2463" w:type="pct"/>
            <w:tcBorders>
              <w:tl2br w:val="nil"/>
              <w:tr2bl w:val="nil"/>
            </w:tcBorders>
            <w:tcMar>
              <w:left w:w="0" w:type="dxa"/>
              <w:right w:w="0" w:type="dxa"/>
            </w:tcMar>
            <w:vAlign w:val="center"/>
          </w:tcPr>
          <w:p w14:paraId="4BC307DD">
            <w:pPr>
              <w:spacing w:line="240" w:lineRule="auto"/>
              <w:ind w:firstLine="0" w:firstLineChars="0"/>
              <w:jc w:val="center"/>
              <w:rPr>
                <w:color w:val="auto"/>
                <w:sz w:val="21"/>
                <w:szCs w:val="21"/>
              </w:rPr>
            </w:pPr>
            <w:r>
              <w:rPr>
                <w:color w:val="auto"/>
                <w:sz w:val="21"/>
                <w:szCs w:val="21"/>
              </w:rPr>
              <w:t>（二十一）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治理设施。</w:t>
            </w:r>
          </w:p>
        </w:tc>
        <w:tc>
          <w:tcPr>
            <w:tcW w:w="1750" w:type="pct"/>
            <w:tcBorders>
              <w:tl2br w:val="nil"/>
              <w:tr2bl w:val="nil"/>
            </w:tcBorders>
            <w:tcMar>
              <w:left w:w="0" w:type="dxa"/>
              <w:right w:w="0" w:type="dxa"/>
            </w:tcMar>
            <w:vAlign w:val="center"/>
          </w:tcPr>
          <w:p w14:paraId="14118D64">
            <w:pPr>
              <w:spacing w:line="240" w:lineRule="auto"/>
              <w:ind w:firstLine="0" w:firstLineChars="0"/>
              <w:jc w:val="center"/>
              <w:rPr>
                <w:color w:val="auto"/>
                <w:sz w:val="21"/>
                <w:szCs w:val="21"/>
              </w:rPr>
            </w:pPr>
            <w:r>
              <w:rPr>
                <w:color w:val="auto"/>
                <w:sz w:val="21"/>
                <w:szCs w:val="21"/>
              </w:rPr>
              <w:t>拟建项目属于</w:t>
            </w:r>
            <w:r>
              <w:rPr>
                <w:rFonts w:hint="eastAsia"/>
                <w:color w:val="auto"/>
                <w:sz w:val="21"/>
                <w:szCs w:val="21"/>
              </w:rPr>
              <w:t>无机盐</w:t>
            </w:r>
            <w:r>
              <w:rPr>
                <w:color w:val="auto"/>
                <w:sz w:val="21"/>
                <w:szCs w:val="21"/>
              </w:rPr>
              <w:t>制造项目，生产过程中尽可能采用自动进料、出料方式，针对各生产环节产生的废气均采用有效收集方式，罐区、污水处理设施的废气集中区域也设计了收集装置，并将上述收集后的废气送入废气治理设施进一步处置。拟建项目根据厂内有机废气特点，分类分质处理，针对非正常工况可能产生的废气也并入废气治理设施处置。</w:t>
            </w:r>
            <w:r>
              <w:rPr>
                <w:rFonts w:hint="eastAsia"/>
                <w:color w:val="auto"/>
                <w:sz w:val="21"/>
                <w:szCs w:val="21"/>
              </w:rPr>
              <w:t>拟建项目不产生</w:t>
            </w:r>
            <w:r>
              <w:rPr>
                <w:color w:val="auto"/>
                <w:sz w:val="21"/>
                <w:szCs w:val="21"/>
              </w:rPr>
              <w:t>VOCs废气。</w:t>
            </w:r>
          </w:p>
        </w:tc>
        <w:tc>
          <w:tcPr>
            <w:tcW w:w="461" w:type="pct"/>
            <w:tcBorders>
              <w:tl2br w:val="nil"/>
              <w:tr2bl w:val="nil"/>
            </w:tcBorders>
            <w:tcMar>
              <w:left w:w="0" w:type="dxa"/>
              <w:right w:w="0" w:type="dxa"/>
            </w:tcMar>
            <w:vAlign w:val="center"/>
          </w:tcPr>
          <w:p w14:paraId="006A0295">
            <w:pPr>
              <w:spacing w:line="240" w:lineRule="auto"/>
              <w:ind w:firstLine="0" w:firstLineChars="0"/>
              <w:jc w:val="center"/>
              <w:rPr>
                <w:color w:val="auto"/>
                <w:sz w:val="21"/>
                <w:szCs w:val="21"/>
              </w:rPr>
            </w:pPr>
            <w:r>
              <w:rPr>
                <w:color w:val="auto"/>
                <w:sz w:val="21"/>
                <w:szCs w:val="21"/>
              </w:rPr>
              <w:t>相符</w:t>
            </w:r>
          </w:p>
        </w:tc>
      </w:tr>
    </w:tbl>
    <w:p w14:paraId="402CB702">
      <w:pPr>
        <w:pStyle w:val="5"/>
        <w:spacing w:before="156"/>
        <w:rPr>
          <w:color w:val="auto"/>
        </w:rPr>
      </w:pPr>
      <w:r>
        <w:rPr>
          <w:color w:val="auto"/>
        </w:rPr>
        <w:t>1.4.4.</w:t>
      </w:r>
      <w:r>
        <w:rPr>
          <w:rFonts w:hint="eastAsia"/>
          <w:color w:val="auto"/>
        </w:rPr>
        <w:t>9</w:t>
      </w:r>
      <w:r>
        <w:rPr>
          <w:color w:val="auto"/>
        </w:rPr>
        <w:t>与《省生态环境厅关于做好〈危险废物贮存污染控制标准〉等标准规范实施后危险废物环境管理衔接工作的通知》（苏环办〔2023〕154号）相符性分析</w:t>
      </w:r>
    </w:p>
    <w:p w14:paraId="0E758BD7">
      <w:pPr>
        <w:spacing w:line="500" w:lineRule="atLeast"/>
        <w:ind w:firstLine="480"/>
        <w:rPr>
          <w:color w:val="auto"/>
          <w:kern w:val="24"/>
          <w:szCs w:val="22"/>
          <w:lang w:val="zh-CN"/>
        </w:rPr>
      </w:pPr>
      <w:r>
        <w:rPr>
          <w:color w:val="auto"/>
          <w:kern w:val="24"/>
          <w:szCs w:val="22"/>
        </w:rPr>
        <w:t>文件要求：</w:t>
      </w:r>
      <w:r>
        <w:rPr>
          <w:color w:val="auto"/>
          <w:kern w:val="24"/>
          <w:szCs w:val="22"/>
          <w:lang w:val="zh-CN"/>
        </w:rPr>
        <w:t>《标准》实施之日前已建成投入使用或环境影响评价文件已通过审批的贮存设施，应对照《标准》要求，从危险废物贮存设施类型选择、选址、建设到危险废物包装、分类贮存、污染防治设施运行等方面进行自评，不满足要求的应立即制定整改方案并于2024年1月1日前完成整改，整改过程需注意妥善安置现存的危险废物和整改过程产生的固体废物；新改扩建贮存设施应严格按照《标准》要求执行。危险废物贮存设施（含贮存点）应按照</w:t>
      </w:r>
      <w:r>
        <w:rPr>
          <w:color w:val="auto"/>
          <w:lang w:val="zh-CN"/>
        </w:rPr>
        <w:t>《省生态环境厅关于印发〈江苏省固体废物全过程环境监管工作意见〉的通知》（苏环办〔</w:t>
      </w:r>
      <w:r>
        <w:rPr>
          <w:color w:val="auto"/>
        </w:rPr>
        <w:t>2024</w:t>
      </w:r>
      <w:r>
        <w:rPr>
          <w:color w:val="auto"/>
          <w:lang w:val="zh-CN"/>
        </w:rPr>
        <w:t>〕</w:t>
      </w:r>
      <w:r>
        <w:rPr>
          <w:color w:val="auto"/>
        </w:rPr>
        <w:t>16</w:t>
      </w:r>
      <w:r>
        <w:rPr>
          <w:color w:val="auto"/>
          <w:lang w:val="zh-CN"/>
        </w:rPr>
        <w:t>号）</w:t>
      </w:r>
      <w:r>
        <w:rPr>
          <w:color w:val="auto"/>
          <w:kern w:val="24"/>
          <w:szCs w:val="22"/>
          <w:lang w:val="zh-CN"/>
        </w:rPr>
        <w:t>、《省生态环境厅关于做好江苏省危险废物全生命周期监控系统上线运行工作的通知》（苏环办〔2020〕401号）等文件要求设置视频监控，并与中控室联网，视频监控应确保监控画面清晰，视频记录保存时间至少为3个月。</w:t>
      </w:r>
    </w:p>
    <w:p w14:paraId="6E8FF987">
      <w:pPr>
        <w:ind w:firstLine="482"/>
        <w:rPr>
          <w:color w:val="auto"/>
        </w:rPr>
      </w:pPr>
      <w:r>
        <w:rPr>
          <w:rFonts w:hint="eastAsia"/>
          <w:b/>
          <w:bCs/>
          <w:color w:val="auto"/>
          <w:kern w:val="24"/>
          <w:szCs w:val="22"/>
        </w:rPr>
        <w:t>拟建项目危废暂存场所内已分区、分类贮存；满足防雨、防火、防雷、防扬散要求。危废暂存场所地面及墙角满足重点防渗区要求，四周已设置导流槽，设置渗滤液收集池，表面无裂缝。现有危废仓库设置气体收集装置及废气处理装置，包装容器符合盛装要求。现有危废暂存场所符合《标准》要求。根据上文，现有危废暂存场所出入口、内部、危废运输道路均已设置视频监控装置，与中控室联网，视频记录保存3个月以上，符合《省生态环境厅关于做好江苏省危险废物全生命周期监控系统上线运行工作的通知》（苏环办〔2020〕401号）要求。</w:t>
      </w:r>
    </w:p>
    <w:p w14:paraId="7CE3806D">
      <w:pPr>
        <w:pStyle w:val="5"/>
        <w:spacing w:before="156"/>
        <w:rPr>
          <w:color w:val="auto"/>
        </w:rPr>
      </w:pPr>
      <w:r>
        <w:rPr>
          <w:color w:val="auto"/>
        </w:rPr>
        <w:t>1.4.4.1</w:t>
      </w:r>
      <w:r>
        <w:rPr>
          <w:rFonts w:hint="eastAsia"/>
          <w:color w:val="auto"/>
        </w:rPr>
        <w:t>0</w:t>
      </w:r>
      <w:r>
        <w:rPr>
          <w:color w:val="auto"/>
        </w:rPr>
        <w:t>与《省生态环境厅关于印发〈江苏省固体废物全过程环境监管工作意见〉的通知》（苏环办〔2024〕16号）相符性分析</w:t>
      </w:r>
    </w:p>
    <w:p w14:paraId="3EC2D0A1">
      <w:pPr>
        <w:overflowPunct w:val="0"/>
        <w:spacing w:line="500" w:lineRule="atLeast"/>
        <w:ind w:firstLine="480"/>
        <w:rPr>
          <w:color w:val="auto"/>
          <w:sz w:val="28"/>
          <w:szCs w:val="28"/>
        </w:rPr>
      </w:pPr>
      <w:r>
        <w:rPr>
          <w:color w:val="auto"/>
          <w:kern w:val="24"/>
          <w:szCs w:val="22"/>
        </w:rPr>
        <w:t>建设项目与《省生态环境厅关于印发〈江苏省固体废物全过程环境监管工作意见〉的通知》（苏环办〔2024〕16号）相关条款相符性分析见下表。经分析，拟建项目建设与苏环办〔2024〕16号文的相关要求相符。</w:t>
      </w:r>
    </w:p>
    <w:p w14:paraId="52CA9438">
      <w:pPr>
        <w:pStyle w:val="49"/>
        <w:rPr>
          <w:color w:val="auto"/>
        </w:rPr>
      </w:pPr>
      <w:r>
        <w:rPr>
          <w:color w:val="auto"/>
        </w:rPr>
        <w:t>表1.4</w:t>
      </w:r>
      <w:r>
        <w:rPr>
          <w:rFonts w:hint="eastAsia"/>
          <w:color w:val="auto"/>
        </w:rPr>
        <w:t>-15  拟建</w:t>
      </w:r>
      <w:r>
        <w:rPr>
          <w:color w:val="auto"/>
        </w:rPr>
        <w:t>项目与苏环办〔2024〕16号文相关要求相符性分析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553"/>
        <w:gridCol w:w="5255"/>
        <w:gridCol w:w="3830"/>
      </w:tblGrid>
      <w:tr w14:paraId="74C615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tblHeader/>
          <w:jc w:val="center"/>
        </w:trPr>
        <w:tc>
          <w:tcPr>
            <w:tcW w:w="287" w:type="pct"/>
            <w:tcBorders>
              <w:tl2br w:val="nil"/>
              <w:tr2bl w:val="nil"/>
            </w:tcBorders>
            <w:vAlign w:val="center"/>
          </w:tcPr>
          <w:p w14:paraId="40A4F91E">
            <w:pPr>
              <w:spacing w:line="240" w:lineRule="auto"/>
              <w:ind w:firstLine="0" w:firstLineChars="0"/>
              <w:jc w:val="center"/>
              <w:rPr>
                <w:b/>
                <w:bCs/>
                <w:color w:val="auto"/>
                <w:sz w:val="21"/>
                <w:szCs w:val="21"/>
              </w:rPr>
            </w:pPr>
            <w:r>
              <w:rPr>
                <w:b/>
                <w:bCs/>
                <w:color w:val="auto"/>
                <w:sz w:val="21"/>
                <w:szCs w:val="21"/>
              </w:rPr>
              <w:t>序号</w:t>
            </w:r>
          </w:p>
        </w:tc>
        <w:tc>
          <w:tcPr>
            <w:tcW w:w="2725" w:type="pct"/>
            <w:tcBorders>
              <w:tl2br w:val="nil"/>
              <w:tr2bl w:val="nil"/>
            </w:tcBorders>
            <w:vAlign w:val="center"/>
          </w:tcPr>
          <w:p w14:paraId="13F5C666">
            <w:pPr>
              <w:spacing w:line="240" w:lineRule="auto"/>
              <w:ind w:firstLine="0" w:firstLineChars="0"/>
              <w:jc w:val="center"/>
              <w:rPr>
                <w:b/>
                <w:bCs/>
                <w:color w:val="auto"/>
                <w:sz w:val="21"/>
                <w:szCs w:val="21"/>
              </w:rPr>
            </w:pPr>
            <w:r>
              <w:rPr>
                <w:b/>
                <w:bCs/>
                <w:color w:val="auto"/>
                <w:sz w:val="21"/>
                <w:szCs w:val="21"/>
              </w:rPr>
              <w:t>文件要求</w:t>
            </w:r>
          </w:p>
        </w:tc>
        <w:tc>
          <w:tcPr>
            <w:tcW w:w="1986" w:type="pct"/>
            <w:tcBorders>
              <w:tl2br w:val="nil"/>
              <w:tr2bl w:val="nil"/>
            </w:tcBorders>
            <w:vAlign w:val="center"/>
          </w:tcPr>
          <w:p w14:paraId="56C8EA01">
            <w:pPr>
              <w:spacing w:line="240" w:lineRule="auto"/>
              <w:ind w:firstLine="0" w:firstLineChars="0"/>
              <w:jc w:val="center"/>
              <w:rPr>
                <w:b/>
                <w:bCs/>
                <w:color w:val="auto"/>
                <w:sz w:val="21"/>
                <w:szCs w:val="21"/>
              </w:rPr>
            </w:pPr>
            <w:r>
              <w:rPr>
                <w:b/>
                <w:bCs/>
                <w:color w:val="auto"/>
                <w:sz w:val="21"/>
                <w:szCs w:val="21"/>
              </w:rPr>
              <w:t>对照分析</w:t>
            </w:r>
          </w:p>
        </w:tc>
      </w:tr>
      <w:tr w14:paraId="13CCD4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jc w:val="center"/>
        </w:trPr>
        <w:tc>
          <w:tcPr>
            <w:tcW w:w="287" w:type="pct"/>
            <w:tcBorders>
              <w:tl2br w:val="nil"/>
              <w:tr2bl w:val="nil"/>
            </w:tcBorders>
            <w:vAlign w:val="center"/>
          </w:tcPr>
          <w:p w14:paraId="6E46346B">
            <w:pPr>
              <w:spacing w:line="240" w:lineRule="auto"/>
              <w:ind w:firstLine="0" w:firstLineChars="0"/>
              <w:jc w:val="center"/>
              <w:rPr>
                <w:color w:val="auto"/>
                <w:sz w:val="21"/>
                <w:szCs w:val="21"/>
              </w:rPr>
            </w:pPr>
            <w:r>
              <w:rPr>
                <w:color w:val="auto"/>
                <w:sz w:val="21"/>
                <w:szCs w:val="21"/>
              </w:rPr>
              <w:t>1</w:t>
            </w:r>
          </w:p>
        </w:tc>
        <w:tc>
          <w:tcPr>
            <w:tcW w:w="2725" w:type="pct"/>
            <w:tcBorders>
              <w:tl2br w:val="nil"/>
              <w:tr2bl w:val="nil"/>
            </w:tcBorders>
            <w:vAlign w:val="center"/>
          </w:tcPr>
          <w:p w14:paraId="1655DEFD">
            <w:pPr>
              <w:spacing w:line="240" w:lineRule="auto"/>
              <w:ind w:firstLine="0" w:firstLineChars="0"/>
              <w:jc w:val="center"/>
              <w:rPr>
                <w:color w:val="auto"/>
                <w:sz w:val="21"/>
                <w:szCs w:val="21"/>
              </w:rPr>
            </w:pPr>
            <w:r>
              <w:rPr>
                <w:color w:val="auto"/>
                <w:sz w:val="21"/>
                <w:szCs w:val="21"/>
              </w:rPr>
              <w:t>2.规范项目环评审批。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GB34330、HJ1091等标准的产物认定为</w:t>
            </w:r>
            <w:r>
              <w:rPr>
                <w:rFonts w:hint="eastAsia"/>
                <w:color w:val="auto"/>
                <w:sz w:val="21"/>
                <w:szCs w:val="21"/>
              </w:rPr>
              <w:t>“</w:t>
            </w:r>
            <w:r>
              <w:rPr>
                <w:color w:val="auto"/>
                <w:sz w:val="21"/>
                <w:szCs w:val="21"/>
              </w:rPr>
              <w:t>再生产品</w:t>
            </w:r>
            <w:r>
              <w:rPr>
                <w:rFonts w:hint="eastAsia"/>
                <w:color w:val="auto"/>
                <w:sz w:val="21"/>
                <w:szCs w:val="21"/>
              </w:rPr>
              <w:t>”</w:t>
            </w:r>
            <w:r>
              <w:rPr>
                <w:color w:val="auto"/>
                <w:sz w:val="21"/>
                <w:szCs w:val="21"/>
              </w:rPr>
              <w:t>，不得出现</w:t>
            </w:r>
            <w:r>
              <w:rPr>
                <w:rFonts w:hint="eastAsia"/>
                <w:color w:val="auto"/>
                <w:sz w:val="21"/>
                <w:szCs w:val="21"/>
              </w:rPr>
              <w:t>“</w:t>
            </w:r>
            <w:r>
              <w:rPr>
                <w:color w:val="auto"/>
                <w:sz w:val="21"/>
                <w:szCs w:val="21"/>
              </w:rPr>
              <w:t>中间产物</w:t>
            </w:r>
            <w:r>
              <w:rPr>
                <w:rFonts w:hint="eastAsia"/>
                <w:color w:val="auto"/>
                <w:sz w:val="21"/>
                <w:szCs w:val="21"/>
              </w:rPr>
              <w:t>”“</w:t>
            </w:r>
            <w:r>
              <w:rPr>
                <w:color w:val="auto"/>
                <w:sz w:val="21"/>
                <w:szCs w:val="21"/>
              </w:rPr>
              <w:t>再生产物</w:t>
            </w:r>
            <w:r>
              <w:rPr>
                <w:rFonts w:hint="eastAsia"/>
                <w:color w:val="auto"/>
                <w:sz w:val="21"/>
                <w:szCs w:val="21"/>
              </w:rPr>
              <w:t>”</w:t>
            </w:r>
            <w:r>
              <w:rPr>
                <w:color w:val="auto"/>
                <w:sz w:val="21"/>
                <w:szCs w:val="21"/>
              </w:rPr>
              <w:t>等不规范表述，严禁以</w:t>
            </w:r>
            <w:r>
              <w:rPr>
                <w:rFonts w:hint="eastAsia"/>
                <w:color w:val="auto"/>
                <w:sz w:val="21"/>
                <w:szCs w:val="21"/>
              </w:rPr>
              <w:t>“</w:t>
            </w:r>
            <w:r>
              <w:rPr>
                <w:color w:val="auto"/>
                <w:sz w:val="21"/>
                <w:szCs w:val="21"/>
              </w:rPr>
              <w:t>副产品</w:t>
            </w:r>
            <w:r>
              <w:rPr>
                <w:rFonts w:hint="eastAsia"/>
                <w:color w:val="auto"/>
                <w:sz w:val="21"/>
                <w:szCs w:val="21"/>
              </w:rPr>
              <w:t>”</w:t>
            </w:r>
            <w:r>
              <w:rPr>
                <w:color w:val="auto"/>
                <w:sz w:val="21"/>
                <w:szCs w:val="21"/>
              </w:rPr>
              <w:t>名义逃避监管。不能排除危险特性的固体废物，须在环评文件中明确具体鉴别方案，鉴别前按危险废物管理，鉴别后根据结论按一般固废或危险废物管理……</w:t>
            </w:r>
          </w:p>
        </w:tc>
        <w:tc>
          <w:tcPr>
            <w:tcW w:w="1986" w:type="pct"/>
            <w:tcBorders>
              <w:tl2br w:val="nil"/>
              <w:tr2bl w:val="nil"/>
            </w:tcBorders>
            <w:vAlign w:val="center"/>
          </w:tcPr>
          <w:p w14:paraId="77585BF6">
            <w:pPr>
              <w:spacing w:line="240" w:lineRule="auto"/>
              <w:ind w:firstLine="0" w:firstLineChars="0"/>
              <w:jc w:val="center"/>
              <w:rPr>
                <w:color w:val="auto"/>
                <w:sz w:val="21"/>
                <w:szCs w:val="21"/>
              </w:rPr>
            </w:pPr>
            <w:r>
              <w:rPr>
                <w:color w:val="auto"/>
                <w:sz w:val="21"/>
                <w:szCs w:val="21"/>
              </w:rPr>
              <w:t>拟建项目环评评价了产生的固体废物种类、数量、来源和属性，论述了贮存、转移和利用处置方式合规性、合理性，提出了切实可行的污染防治对策措施。</w:t>
            </w:r>
          </w:p>
        </w:tc>
      </w:tr>
      <w:tr w14:paraId="657765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jc w:val="center"/>
        </w:trPr>
        <w:tc>
          <w:tcPr>
            <w:tcW w:w="287" w:type="pct"/>
            <w:tcBorders>
              <w:tl2br w:val="nil"/>
              <w:tr2bl w:val="nil"/>
            </w:tcBorders>
            <w:vAlign w:val="center"/>
          </w:tcPr>
          <w:p w14:paraId="33F638E5">
            <w:pPr>
              <w:spacing w:line="240" w:lineRule="auto"/>
              <w:ind w:firstLine="0" w:firstLineChars="0"/>
              <w:jc w:val="center"/>
              <w:rPr>
                <w:color w:val="auto"/>
                <w:sz w:val="21"/>
                <w:szCs w:val="21"/>
              </w:rPr>
            </w:pPr>
            <w:r>
              <w:rPr>
                <w:color w:val="auto"/>
                <w:sz w:val="21"/>
                <w:szCs w:val="21"/>
              </w:rPr>
              <w:t>2</w:t>
            </w:r>
          </w:p>
        </w:tc>
        <w:tc>
          <w:tcPr>
            <w:tcW w:w="2725" w:type="pct"/>
            <w:tcBorders>
              <w:tl2br w:val="nil"/>
              <w:tr2bl w:val="nil"/>
            </w:tcBorders>
            <w:vAlign w:val="center"/>
          </w:tcPr>
          <w:p w14:paraId="07F166C9">
            <w:pPr>
              <w:spacing w:line="240" w:lineRule="auto"/>
              <w:ind w:firstLine="0" w:firstLineChars="0"/>
              <w:jc w:val="center"/>
              <w:rPr>
                <w:color w:val="auto"/>
                <w:sz w:val="21"/>
                <w:szCs w:val="21"/>
              </w:rPr>
            </w:pPr>
            <w:r>
              <w:rPr>
                <w:color w:val="auto"/>
                <w:sz w:val="21"/>
                <w:szCs w:val="21"/>
              </w:rPr>
              <w:t>3.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tc>
        <w:tc>
          <w:tcPr>
            <w:tcW w:w="1986" w:type="pct"/>
            <w:tcBorders>
              <w:tl2br w:val="nil"/>
              <w:tr2bl w:val="nil"/>
            </w:tcBorders>
            <w:vAlign w:val="center"/>
          </w:tcPr>
          <w:p w14:paraId="5300EC55">
            <w:pPr>
              <w:spacing w:line="240" w:lineRule="auto"/>
              <w:ind w:firstLine="0" w:firstLineChars="0"/>
              <w:jc w:val="center"/>
              <w:rPr>
                <w:color w:val="auto"/>
                <w:sz w:val="21"/>
                <w:szCs w:val="21"/>
              </w:rPr>
            </w:pPr>
            <w:r>
              <w:rPr>
                <w:rFonts w:hint="eastAsia"/>
                <w:color w:val="auto"/>
                <w:sz w:val="21"/>
                <w:szCs w:val="21"/>
              </w:rPr>
              <w:t>企业已</w:t>
            </w:r>
            <w:r>
              <w:rPr>
                <w:color w:val="auto"/>
                <w:sz w:val="21"/>
                <w:szCs w:val="21"/>
              </w:rPr>
              <w:t>落实排污许可制度，将在排污许可管理系统中全面、准确申报工业固体废物产生种类，以及贮存设施和利用处置等相关情况，并对其真实性负责。拟建项目实施后实际产生、转移、贮存和利用处置情况对照项目环评若发生变动，将根据变动情况及时采取重新报批环评、纳入环境保护竣工验收等手续，并及时变更排污许可。</w:t>
            </w:r>
          </w:p>
        </w:tc>
      </w:tr>
      <w:tr w14:paraId="5E7859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jc w:val="center"/>
        </w:trPr>
        <w:tc>
          <w:tcPr>
            <w:tcW w:w="287" w:type="pct"/>
            <w:tcBorders>
              <w:tl2br w:val="nil"/>
              <w:tr2bl w:val="nil"/>
            </w:tcBorders>
            <w:vAlign w:val="center"/>
          </w:tcPr>
          <w:p w14:paraId="3078EE51">
            <w:pPr>
              <w:spacing w:line="240" w:lineRule="auto"/>
              <w:ind w:firstLine="0" w:firstLineChars="0"/>
              <w:jc w:val="center"/>
              <w:rPr>
                <w:color w:val="auto"/>
                <w:sz w:val="21"/>
                <w:szCs w:val="21"/>
              </w:rPr>
            </w:pPr>
            <w:r>
              <w:rPr>
                <w:color w:val="auto"/>
                <w:sz w:val="21"/>
                <w:szCs w:val="21"/>
              </w:rPr>
              <w:t>3</w:t>
            </w:r>
          </w:p>
        </w:tc>
        <w:tc>
          <w:tcPr>
            <w:tcW w:w="2725" w:type="pct"/>
            <w:tcBorders>
              <w:tl2br w:val="nil"/>
              <w:tr2bl w:val="nil"/>
            </w:tcBorders>
            <w:vAlign w:val="center"/>
          </w:tcPr>
          <w:p w14:paraId="2A5B561F">
            <w:pPr>
              <w:spacing w:line="240" w:lineRule="auto"/>
              <w:ind w:firstLine="0" w:firstLineChars="0"/>
              <w:jc w:val="center"/>
              <w:rPr>
                <w:color w:val="auto"/>
                <w:sz w:val="21"/>
                <w:szCs w:val="21"/>
              </w:rPr>
            </w:pPr>
            <w:r>
              <w:rPr>
                <w:color w:val="auto"/>
                <w:sz w:val="21"/>
                <w:szCs w:val="21"/>
              </w:rPr>
              <w:t>6.规范贮存管理要求。根据</w:t>
            </w:r>
            <w:r>
              <w:rPr>
                <w:rFonts w:hint="eastAsia"/>
                <w:color w:val="auto"/>
                <w:sz w:val="21"/>
                <w:szCs w:val="21"/>
              </w:rPr>
              <w:t>《危险废物贮存污染控制标准》（GB18597-2023）</w:t>
            </w:r>
            <w:r>
              <w:rPr>
                <w:color w:val="auto"/>
                <w:sz w:val="21"/>
                <w:szCs w:val="21"/>
              </w:rPr>
              <w:t>，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w:t>
            </w:r>
            <w:r>
              <w:rPr>
                <w:rFonts w:hint="eastAsia"/>
                <w:color w:val="auto"/>
                <w:sz w:val="21"/>
                <w:szCs w:val="21"/>
              </w:rPr>
              <w:t>Ⅱ级</w:t>
            </w:r>
            <w:r>
              <w:rPr>
                <w:color w:val="auto"/>
                <w:sz w:val="21"/>
                <w:szCs w:val="21"/>
              </w:rPr>
              <w:t>、</w:t>
            </w:r>
            <w:r>
              <w:rPr>
                <w:rFonts w:hint="eastAsia"/>
                <w:color w:val="auto"/>
                <w:sz w:val="21"/>
                <w:szCs w:val="21"/>
              </w:rPr>
              <w:t>Ⅲ级</w:t>
            </w:r>
            <w:r>
              <w:rPr>
                <w:color w:val="auto"/>
                <w:sz w:val="21"/>
                <w:szCs w:val="21"/>
              </w:rPr>
              <w:t>危险废物贮存时间分别不得超过30天、60天、90天，最大贮存量不得超过1吨。</w:t>
            </w:r>
          </w:p>
        </w:tc>
        <w:tc>
          <w:tcPr>
            <w:tcW w:w="1986" w:type="pct"/>
            <w:tcBorders>
              <w:tl2br w:val="nil"/>
              <w:tr2bl w:val="nil"/>
            </w:tcBorders>
            <w:vAlign w:val="center"/>
          </w:tcPr>
          <w:p w14:paraId="0D039BB0">
            <w:pPr>
              <w:spacing w:line="240" w:lineRule="auto"/>
              <w:ind w:firstLine="0" w:firstLineChars="0"/>
              <w:jc w:val="center"/>
              <w:rPr>
                <w:color w:val="auto"/>
                <w:sz w:val="21"/>
                <w:szCs w:val="21"/>
              </w:rPr>
            </w:pPr>
            <w:r>
              <w:rPr>
                <w:rFonts w:hint="eastAsia"/>
                <w:color w:val="auto"/>
                <w:sz w:val="21"/>
                <w:szCs w:val="21"/>
              </w:rPr>
              <w:t>企业现有危废暂存库</w:t>
            </w:r>
            <w:r>
              <w:rPr>
                <w:color w:val="auto"/>
                <w:sz w:val="21"/>
                <w:szCs w:val="21"/>
              </w:rPr>
              <w:t>根据</w:t>
            </w:r>
            <w:r>
              <w:rPr>
                <w:rFonts w:hint="eastAsia"/>
                <w:color w:val="auto"/>
                <w:sz w:val="21"/>
                <w:szCs w:val="21"/>
              </w:rPr>
              <w:t>《危险废物贮存污染控制标准》（GB18597-2023）</w:t>
            </w:r>
            <w:r>
              <w:rPr>
                <w:color w:val="auto"/>
                <w:sz w:val="21"/>
                <w:szCs w:val="21"/>
              </w:rPr>
              <w:t>等文件相关要求建设、运行。</w:t>
            </w:r>
          </w:p>
        </w:tc>
      </w:tr>
      <w:tr w14:paraId="28348D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jc w:val="center"/>
        </w:trPr>
        <w:tc>
          <w:tcPr>
            <w:tcW w:w="287" w:type="pct"/>
            <w:tcBorders>
              <w:tl2br w:val="nil"/>
              <w:tr2bl w:val="nil"/>
            </w:tcBorders>
            <w:vAlign w:val="center"/>
          </w:tcPr>
          <w:p w14:paraId="4A19BD0D">
            <w:pPr>
              <w:spacing w:line="240" w:lineRule="auto"/>
              <w:ind w:firstLine="0" w:firstLineChars="0"/>
              <w:jc w:val="center"/>
              <w:rPr>
                <w:color w:val="auto"/>
                <w:sz w:val="21"/>
                <w:szCs w:val="21"/>
              </w:rPr>
            </w:pPr>
            <w:r>
              <w:rPr>
                <w:color w:val="auto"/>
                <w:sz w:val="21"/>
                <w:szCs w:val="21"/>
              </w:rPr>
              <w:t>4</w:t>
            </w:r>
          </w:p>
        </w:tc>
        <w:tc>
          <w:tcPr>
            <w:tcW w:w="2725" w:type="pct"/>
            <w:tcBorders>
              <w:tl2br w:val="nil"/>
              <w:tr2bl w:val="nil"/>
            </w:tcBorders>
            <w:vAlign w:val="center"/>
          </w:tcPr>
          <w:p w14:paraId="587682AC">
            <w:pPr>
              <w:spacing w:line="240" w:lineRule="auto"/>
              <w:ind w:firstLine="0" w:firstLineChars="0"/>
              <w:jc w:val="center"/>
              <w:rPr>
                <w:color w:val="auto"/>
                <w:sz w:val="21"/>
                <w:szCs w:val="21"/>
              </w:rPr>
            </w:pPr>
            <w:r>
              <w:rPr>
                <w:color w:val="auto"/>
                <w:sz w:val="21"/>
                <w:szCs w:val="21"/>
              </w:rPr>
              <w:t>8.强化转移过程管理。全面落实危险废物转移电子联单制度，实行省内全域扫描</w:t>
            </w:r>
            <w:r>
              <w:rPr>
                <w:rFonts w:hint="eastAsia"/>
                <w:color w:val="auto"/>
                <w:sz w:val="21"/>
                <w:szCs w:val="21"/>
              </w:rPr>
              <w:t>“</w:t>
            </w:r>
            <w:r>
              <w:rPr>
                <w:color w:val="auto"/>
                <w:sz w:val="21"/>
                <w:szCs w:val="21"/>
              </w:rPr>
              <w:t>二维码</w:t>
            </w:r>
            <w:r>
              <w:rPr>
                <w:rFonts w:hint="eastAsia"/>
                <w:color w:val="auto"/>
                <w:sz w:val="21"/>
                <w:szCs w:val="21"/>
              </w:rPr>
              <w:t>”</w:t>
            </w:r>
            <w:r>
              <w:rPr>
                <w:color w:val="auto"/>
                <w:sz w:val="21"/>
                <w:szCs w:val="21"/>
              </w:rPr>
              <w:t>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w:t>
            </w:r>
            <w:r>
              <w:rPr>
                <w:rFonts w:hint="eastAsia"/>
                <w:color w:val="auto"/>
                <w:sz w:val="21"/>
                <w:szCs w:val="21"/>
              </w:rPr>
              <w:t>“</w:t>
            </w:r>
            <w:r>
              <w:rPr>
                <w:color w:val="auto"/>
                <w:sz w:val="21"/>
                <w:szCs w:val="21"/>
              </w:rPr>
              <w:t>空转</w:t>
            </w:r>
            <w:r>
              <w:rPr>
                <w:rFonts w:hint="eastAsia"/>
                <w:color w:val="auto"/>
                <w:sz w:val="21"/>
                <w:szCs w:val="21"/>
              </w:rPr>
              <w:t>”</w:t>
            </w:r>
            <w:r>
              <w:rPr>
                <w:color w:val="auto"/>
                <w:sz w:val="21"/>
                <w:szCs w:val="21"/>
              </w:rPr>
              <w:t>二维码。积极推行一般工业固体废物转移电子联单制度，优先选择环境风险较大的污泥、矿渣等固体废物试行。</w:t>
            </w:r>
          </w:p>
        </w:tc>
        <w:tc>
          <w:tcPr>
            <w:tcW w:w="1986" w:type="pct"/>
            <w:tcBorders>
              <w:tl2br w:val="nil"/>
              <w:tr2bl w:val="nil"/>
            </w:tcBorders>
            <w:vAlign w:val="center"/>
          </w:tcPr>
          <w:p w14:paraId="557FF05A">
            <w:pPr>
              <w:spacing w:line="240" w:lineRule="auto"/>
              <w:ind w:firstLine="0" w:firstLineChars="0"/>
              <w:jc w:val="center"/>
              <w:rPr>
                <w:color w:val="auto"/>
                <w:sz w:val="21"/>
                <w:szCs w:val="21"/>
              </w:rPr>
            </w:pPr>
            <w:r>
              <w:rPr>
                <w:rFonts w:hint="eastAsia"/>
                <w:color w:val="auto"/>
                <w:sz w:val="21"/>
                <w:szCs w:val="21"/>
              </w:rPr>
              <w:t>企业已</w:t>
            </w:r>
            <w:r>
              <w:rPr>
                <w:color w:val="auto"/>
                <w:sz w:val="21"/>
                <w:szCs w:val="21"/>
              </w:rPr>
              <w:t>全面落实危险废物转移电子联单制度，将依法核实经营单位主体资格和技术能力，直接签订委托合同，并向经营单位提供相关危险废物产生工艺、具体成分，以及是否易燃易爆等信息。</w:t>
            </w:r>
          </w:p>
        </w:tc>
      </w:tr>
      <w:tr w14:paraId="05E8F5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jc w:val="center"/>
        </w:trPr>
        <w:tc>
          <w:tcPr>
            <w:tcW w:w="287" w:type="pct"/>
            <w:tcBorders>
              <w:tl2br w:val="nil"/>
              <w:tr2bl w:val="nil"/>
            </w:tcBorders>
            <w:vAlign w:val="center"/>
          </w:tcPr>
          <w:p w14:paraId="0330DAE7">
            <w:pPr>
              <w:spacing w:line="240" w:lineRule="auto"/>
              <w:ind w:firstLine="0" w:firstLineChars="0"/>
              <w:jc w:val="center"/>
              <w:rPr>
                <w:color w:val="auto"/>
                <w:sz w:val="21"/>
                <w:szCs w:val="21"/>
              </w:rPr>
            </w:pPr>
            <w:r>
              <w:rPr>
                <w:color w:val="auto"/>
                <w:sz w:val="21"/>
                <w:szCs w:val="21"/>
              </w:rPr>
              <w:t>5</w:t>
            </w:r>
          </w:p>
        </w:tc>
        <w:tc>
          <w:tcPr>
            <w:tcW w:w="2725" w:type="pct"/>
            <w:tcBorders>
              <w:tl2br w:val="nil"/>
              <w:tr2bl w:val="nil"/>
            </w:tcBorders>
            <w:vAlign w:val="center"/>
          </w:tcPr>
          <w:p w14:paraId="044A72D7">
            <w:pPr>
              <w:spacing w:line="240" w:lineRule="auto"/>
              <w:ind w:firstLine="0" w:firstLineChars="0"/>
              <w:jc w:val="center"/>
              <w:rPr>
                <w:color w:val="auto"/>
                <w:sz w:val="21"/>
                <w:szCs w:val="21"/>
              </w:rPr>
            </w:pPr>
            <w:r>
              <w:rPr>
                <w:color w:val="auto"/>
                <w:sz w:val="21"/>
                <w:szCs w:val="21"/>
              </w:rPr>
              <w:t>9.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tc>
        <w:tc>
          <w:tcPr>
            <w:tcW w:w="1986" w:type="pct"/>
            <w:tcBorders>
              <w:tl2br w:val="nil"/>
              <w:tr2bl w:val="nil"/>
            </w:tcBorders>
            <w:vAlign w:val="center"/>
          </w:tcPr>
          <w:p w14:paraId="372447F3">
            <w:pPr>
              <w:spacing w:line="240" w:lineRule="auto"/>
              <w:ind w:firstLine="0" w:firstLineChars="0"/>
              <w:jc w:val="center"/>
              <w:rPr>
                <w:color w:val="auto"/>
                <w:sz w:val="21"/>
                <w:szCs w:val="21"/>
              </w:rPr>
            </w:pPr>
            <w:r>
              <w:rPr>
                <w:rFonts w:hint="eastAsia"/>
                <w:color w:val="auto"/>
                <w:sz w:val="21"/>
                <w:szCs w:val="21"/>
              </w:rPr>
              <w:t>企业已</w:t>
            </w:r>
            <w:r>
              <w:rPr>
                <w:color w:val="auto"/>
                <w:sz w:val="21"/>
                <w:szCs w:val="21"/>
              </w:rPr>
              <w:t>通过设立公开栏、标志牌等方式，主动公开危险废物产生和利用处置等有关信息。</w:t>
            </w:r>
          </w:p>
        </w:tc>
      </w:tr>
      <w:tr w14:paraId="413C98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jc w:val="center"/>
        </w:trPr>
        <w:tc>
          <w:tcPr>
            <w:tcW w:w="287" w:type="pct"/>
            <w:tcBorders>
              <w:tl2br w:val="nil"/>
              <w:tr2bl w:val="nil"/>
            </w:tcBorders>
            <w:vAlign w:val="center"/>
          </w:tcPr>
          <w:p w14:paraId="5518940C">
            <w:pPr>
              <w:spacing w:line="240" w:lineRule="auto"/>
              <w:ind w:firstLine="0" w:firstLineChars="0"/>
              <w:jc w:val="center"/>
              <w:rPr>
                <w:color w:val="auto"/>
                <w:sz w:val="21"/>
                <w:szCs w:val="21"/>
              </w:rPr>
            </w:pPr>
            <w:r>
              <w:rPr>
                <w:color w:val="auto"/>
                <w:sz w:val="21"/>
                <w:szCs w:val="21"/>
              </w:rPr>
              <w:t>6</w:t>
            </w:r>
          </w:p>
        </w:tc>
        <w:tc>
          <w:tcPr>
            <w:tcW w:w="2725" w:type="pct"/>
            <w:tcBorders>
              <w:tl2br w:val="nil"/>
              <w:tr2bl w:val="nil"/>
            </w:tcBorders>
            <w:vAlign w:val="center"/>
          </w:tcPr>
          <w:p w14:paraId="2AF465DB">
            <w:pPr>
              <w:spacing w:line="240" w:lineRule="auto"/>
              <w:ind w:firstLine="0" w:firstLineChars="0"/>
              <w:jc w:val="center"/>
              <w:rPr>
                <w:color w:val="auto"/>
                <w:sz w:val="21"/>
                <w:szCs w:val="21"/>
              </w:rPr>
            </w:pPr>
            <w:r>
              <w:rPr>
                <w:color w:val="auto"/>
                <w:sz w:val="21"/>
                <w:szCs w:val="21"/>
              </w:rPr>
              <w:t>12.推进固废就近利用处置。各地要提请属地政府，根据实际需求统筹推进本地危险废物利用处置能力建设。依托固废管理信息系统就近利用处置提醒功能，及时引导企业合理选择利用处置去向，实现危险废物市内消纳率逐步提升，防范长距离运输带来的环境风险。</w:t>
            </w:r>
          </w:p>
        </w:tc>
        <w:tc>
          <w:tcPr>
            <w:tcW w:w="1986" w:type="pct"/>
            <w:tcBorders>
              <w:tl2br w:val="nil"/>
              <w:tr2bl w:val="nil"/>
            </w:tcBorders>
            <w:vAlign w:val="center"/>
          </w:tcPr>
          <w:p w14:paraId="7CF43FB2">
            <w:pPr>
              <w:spacing w:line="240" w:lineRule="auto"/>
              <w:ind w:firstLine="0" w:firstLineChars="0"/>
              <w:jc w:val="center"/>
              <w:rPr>
                <w:color w:val="auto"/>
                <w:sz w:val="21"/>
                <w:szCs w:val="21"/>
              </w:rPr>
            </w:pPr>
            <w:r>
              <w:rPr>
                <w:color w:val="auto"/>
                <w:sz w:val="21"/>
                <w:szCs w:val="21"/>
              </w:rPr>
              <w:t>拟建项目委外处置的危险废物类别均可在南通市范围找到对应的危废处置单位，且处置能力满足拟建项目的需要。拟建项目实施后将根据实际需要合理选择就近利用处置去向。</w:t>
            </w:r>
          </w:p>
        </w:tc>
      </w:tr>
      <w:tr w14:paraId="65129E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 w:hRule="atLeast"/>
          <w:jc w:val="center"/>
        </w:trPr>
        <w:tc>
          <w:tcPr>
            <w:tcW w:w="287" w:type="pct"/>
            <w:tcBorders>
              <w:tl2br w:val="nil"/>
              <w:tr2bl w:val="nil"/>
            </w:tcBorders>
            <w:vAlign w:val="center"/>
          </w:tcPr>
          <w:p w14:paraId="4CA9FAE9">
            <w:pPr>
              <w:spacing w:line="240" w:lineRule="auto"/>
              <w:ind w:firstLine="0" w:firstLineChars="0"/>
              <w:jc w:val="center"/>
              <w:rPr>
                <w:color w:val="auto"/>
                <w:sz w:val="21"/>
                <w:szCs w:val="21"/>
              </w:rPr>
            </w:pPr>
            <w:r>
              <w:rPr>
                <w:color w:val="auto"/>
                <w:sz w:val="21"/>
                <w:szCs w:val="21"/>
              </w:rPr>
              <w:t>7</w:t>
            </w:r>
          </w:p>
        </w:tc>
        <w:tc>
          <w:tcPr>
            <w:tcW w:w="2725" w:type="pct"/>
            <w:tcBorders>
              <w:tl2br w:val="nil"/>
              <w:tr2bl w:val="nil"/>
            </w:tcBorders>
            <w:vAlign w:val="center"/>
          </w:tcPr>
          <w:p w14:paraId="300B9BCE">
            <w:pPr>
              <w:spacing w:line="240" w:lineRule="auto"/>
              <w:ind w:firstLine="0" w:firstLineChars="0"/>
              <w:jc w:val="center"/>
              <w:rPr>
                <w:color w:val="auto"/>
                <w:sz w:val="21"/>
                <w:szCs w:val="21"/>
              </w:rPr>
            </w:pPr>
            <w:r>
              <w:rPr>
                <w:color w:val="auto"/>
                <w:sz w:val="21"/>
                <w:szCs w:val="21"/>
              </w:rPr>
              <w:t>15.规范一般工业固废管理。企业需按照《一般工业固体废物管理台账制定指南（试行）》（生态环境部2021年第82号公告）要求，建立一般工业固废台账……</w:t>
            </w:r>
          </w:p>
        </w:tc>
        <w:tc>
          <w:tcPr>
            <w:tcW w:w="1986" w:type="pct"/>
            <w:tcBorders>
              <w:tl2br w:val="nil"/>
              <w:tr2bl w:val="nil"/>
            </w:tcBorders>
            <w:vAlign w:val="center"/>
          </w:tcPr>
          <w:p w14:paraId="4864FB89">
            <w:pPr>
              <w:spacing w:line="240" w:lineRule="auto"/>
              <w:ind w:firstLine="0" w:firstLineChars="0"/>
              <w:jc w:val="center"/>
              <w:rPr>
                <w:color w:val="auto"/>
                <w:sz w:val="21"/>
                <w:szCs w:val="21"/>
              </w:rPr>
            </w:pPr>
            <w:r>
              <w:rPr>
                <w:rFonts w:hint="eastAsia"/>
                <w:color w:val="auto"/>
                <w:sz w:val="21"/>
                <w:szCs w:val="21"/>
              </w:rPr>
              <w:t>企业已</w:t>
            </w:r>
            <w:r>
              <w:rPr>
                <w:color w:val="auto"/>
                <w:sz w:val="21"/>
                <w:szCs w:val="21"/>
              </w:rPr>
              <w:t>按照《一般工业固体废物管理台账制定指南（试行）》（生态环境部2021年第82号公告）要求，建立一般工业固废台账。</w:t>
            </w:r>
          </w:p>
        </w:tc>
      </w:tr>
    </w:tbl>
    <w:p w14:paraId="5680B0E6">
      <w:pPr>
        <w:pStyle w:val="5"/>
        <w:spacing w:before="156"/>
        <w:rPr>
          <w:color w:val="auto"/>
        </w:rPr>
      </w:pPr>
      <w:r>
        <w:rPr>
          <w:rFonts w:hint="eastAsia"/>
          <w:color w:val="auto"/>
        </w:rPr>
        <w:t>1.4.4.11</w:t>
      </w:r>
      <w:r>
        <w:rPr>
          <w:color w:val="auto"/>
        </w:rPr>
        <w:t>与《南通市地表水工业特征污染物专项整治工作实施方案》（通环办〔2023〕48号）相符性分析</w:t>
      </w:r>
    </w:p>
    <w:p w14:paraId="343BDCE9">
      <w:pPr>
        <w:pStyle w:val="49"/>
        <w:rPr>
          <w:color w:val="auto"/>
        </w:rPr>
      </w:pPr>
      <w:r>
        <w:rPr>
          <w:color w:val="auto"/>
        </w:rPr>
        <w:t>表1.4</w:t>
      </w:r>
      <w:r>
        <w:rPr>
          <w:rFonts w:hint="eastAsia"/>
          <w:color w:val="auto"/>
        </w:rPr>
        <w:t>-</w:t>
      </w:r>
      <w:r>
        <w:rPr>
          <w:color w:val="auto"/>
        </w:rPr>
        <w:t>1</w:t>
      </w:r>
      <w:r>
        <w:rPr>
          <w:rFonts w:hint="eastAsia"/>
          <w:color w:val="auto"/>
        </w:rPr>
        <w:t xml:space="preserve">6 </w:t>
      </w:r>
      <w:r>
        <w:rPr>
          <w:color w:val="auto"/>
        </w:rPr>
        <w:t xml:space="preserve"> </w:t>
      </w:r>
      <w:r>
        <w:rPr>
          <w:rFonts w:hint="eastAsia"/>
          <w:color w:val="auto"/>
        </w:rPr>
        <w:t>拟建</w:t>
      </w:r>
      <w:r>
        <w:rPr>
          <w:color w:val="auto"/>
        </w:rPr>
        <w:t>项目与通环办[2023]48号文相符性</w:t>
      </w:r>
    </w:p>
    <w:tbl>
      <w:tblPr>
        <w:tblStyle w:val="25"/>
        <w:tblW w:w="4998"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6022"/>
        <w:gridCol w:w="2858"/>
        <w:gridCol w:w="754"/>
      </w:tblGrid>
      <w:tr w14:paraId="72E4AAA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c>
          <w:tcPr>
            <w:tcW w:w="3125" w:type="pct"/>
            <w:tcBorders>
              <w:tl2br w:val="nil"/>
              <w:tr2bl w:val="nil"/>
            </w:tcBorders>
            <w:vAlign w:val="center"/>
          </w:tcPr>
          <w:p w14:paraId="7796A95D">
            <w:pPr>
              <w:spacing w:line="240" w:lineRule="auto"/>
              <w:ind w:firstLine="0" w:firstLineChars="0"/>
              <w:jc w:val="center"/>
              <w:rPr>
                <w:b/>
                <w:bCs/>
                <w:color w:val="auto"/>
                <w:sz w:val="21"/>
                <w:szCs w:val="21"/>
              </w:rPr>
            </w:pPr>
            <w:r>
              <w:rPr>
                <w:b/>
                <w:bCs/>
                <w:color w:val="auto"/>
                <w:sz w:val="21"/>
                <w:szCs w:val="21"/>
              </w:rPr>
              <w:t>文件要求</w:t>
            </w:r>
          </w:p>
        </w:tc>
        <w:tc>
          <w:tcPr>
            <w:tcW w:w="1483" w:type="pct"/>
            <w:tcBorders>
              <w:tl2br w:val="nil"/>
              <w:tr2bl w:val="nil"/>
            </w:tcBorders>
            <w:vAlign w:val="center"/>
          </w:tcPr>
          <w:p w14:paraId="69EC4301">
            <w:pPr>
              <w:spacing w:line="240" w:lineRule="auto"/>
              <w:ind w:firstLine="0" w:firstLineChars="0"/>
              <w:jc w:val="center"/>
              <w:rPr>
                <w:b/>
                <w:bCs/>
                <w:color w:val="auto"/>
                <w:sz w:val="21"/>
                <w:szCs w:val="21"/>
              </w:rPr>
            </w:pPr>
            <w:r>
              <w:rPr>
                <w:rFonts w:hint="eastAsia"/>
                <w:b/>
                <w:bCs/>
                <w:color w:val="auto"/>
                <w:sz w:val="21"/>
                <w:szCs w:val="21"/>
              </w:rPr>
              <w:t>拟建</w:t>
            </w:r>
            <w:r>
              <w:rPr>
                <w:b/>
                <w:bCs/>
                <w:color w:val="auto"/>
                <w:sz w:val="21"/>
                <w:szCs w:val="21"/>
              </w:rPr>
              <w:t>情况</w:t>
            </w:r>
          </w:p>
        </w:tc>
        <w:tc>
          <w:tcPr>
            <w:tcW w:w="391" w:type="pct"/>
            <w:tcBorders>
              <w:tl2br w:val="nil"/>
              <w:tr2bl w:val="nil"/>
            </w:tcBorders>
            <w:vAlign w:val="center"/>
          </w:tcPr>
          <w:p w14:paraId="27D35EB2">
            <w:pPr>
              <w:spacing w:line="240" w:lineRule="auto"/>
              <w:ind w:firstLine="0" w:firstLineChars="0"/>
              <w:jc w:val="center"/>
              <w:rPr>
                <w:b/>
                <w:bCs/>
                <w:color w:val="auto"/>
                <w:sz w:val="21"/>
                <w:szCs w:val="21"/>
              </w:rPr>
            </w:pPr>
            <w:r>
              <w:rPr>
                <w:b/>
                <w:bCs/>
                <w:color w:val="auto"/>
                <w:sz w:val="21"/>
                <w:szCs w:val="21"/>
              </w:rPr>
              <w:t>相符性</w:t>
            </w:r>
          </w:p>
        </w:tc>
      </w:tr>
      <w:tr w14:paraId="1F9E6CA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c>
          <w:tcPr>
            <w:tcW w:w="3125" w:type="pct"/>
            <w:tcBorders>
              <w:tl2br w:val="nil"/>
              <w:tr2bl w:val="nil"/>
            </w:tcBorders>
            <w:vAlign w:val="center"/>
          </w:tcPr>
          <w:p w14:paraId="4972C5C5">
            <w:pPr>
              <w:spacing w:line="240" w:lineRule="auto"/>
              <w:ind w:firstLine="0" w:firstLineChars="0"/>
              <w:jc w:val="center"/>
              <w:rPr>
                <w:color w:val="auto"/>
                <w:sz w:val="21"/>
                <w:szCs w:val="21"/>
              </w:rPr>
            </w:pPr>
            <w:r>
              <w:rPr>
                <w:color w:val="auto"/>
                <w:sz w:val="21"/>
                <w:szCs w:val="21"/>
              </w:rPr>
              <w:t>4、严格项目准入。强化项目环评与规划环评、现有项目环境管理、区域环境质量联动的“三挂钩”机制，新建涉及工业特征污染物的企业原则上不得设置入河入海排污口。</w:t>
            </w:r>
          </w:p>
        </w:tc>
        <w:tc>
          <w:tcPr>
            <w:tcW w:w="1483" w:type="pct"/>
            <w:tcBorders>
              <w:tl2br w:val="nil"/>
              <w:tr2bl w:val="nil"/>
            </w:tcBorders>
            <w:vAlign w:val="center"/>
          </w:tcPr>
          <w:p w14:paraId="5319E3F7">
            <w:pPr>
              <w:spacing w:line="240" w:lineRule="auto"/>
              <w:ind w:firstLine="0" w:firstLineChars="0"/>
              <w:jc w:val="center"/>
              <w:rPr>
                <w:color w:val="auto"/>
                <w:sz w:val="21"/>
                <w:szCs w:val="21"/>
              </w:rPr>
            </w:pPr>
            <w:r>
              <w:rPr>
                <w:rFonts w:hint="eastAsia"/>
                <w:color w:val="auto"/>
                <w:sz w:val="21"/>
                <w:szCs w:val="21"/>
              </w:rPr>
              <w:t>拟建</w:t>
            </w:r>
            <w:r>
              <w:rPr>
                <w:color w:val="auto"/>
                <w:sz w:val="21"/>
                <w:szCs w:val="21"/>
              </w:rPr>
              <w:t>项目属于</w:t>
            </w:r>
            <w:r>
              <w:rPr>
                <w:rFonts w:hint="eastAsia"/>
                <w:color w:val="auto"/>
                <w:sz w:val="21"/>
                <w:szCs w:val="21"/>
              </w:rPr>
              <w:t>改</w:t>
            </w:r>
            <w:r>
              <w:rPr>
                <w:color w:val="auto"/>
                <w:sz w:val="21"/>
                <w:szCs w:val="21"/>
              </w:rPr>
              <w:t>扩建项目，不设置入河、入海排污口。</w:t>
            </w:r>
          </w:p>
        </w:tc>
        <w:tc>
          <w:tcPr>
            <w:tcW w:w="391" w:type="pct"/>
            <w:tcBorders>
              <w:tl2br w:val="nil"/>
              <w:tr2bl w:val="nil"/>
            </w:tcBorders>
            <w:vAlign w:val="center"/>
          </w:tcPr>
          <w:p w14:paraId="234B6CEC">
            <w:pPr>
              <w:spacing w:line="240" w:lineRule="auto"/>
              <w:ind w:firstLine="0" w:firstLineChars="0"/>
              <w:jc w:val="center"/>
              <w:rPr>
                <w:color w:val="auto"/>
                <w:sz w:val="21"/>
                <w:szCs w:val="21"/>
              </w:rPr>
            </w:pPr>
            <w:r>
              <w:rPr>
                <w:color w:val="auto"/>
                <w:sz w:val="21"/>
                <w:szCs w:val="21"/>
              </w:rPr>
              <w:t>相符</w:t>
            </w:r>
          </w:p>
        </w:tc>
      </w:tr>
      <w:tr w14:paraId="534368C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c>
          <w:tcPr>
            <w:tcW w:w="3125" w:type="pct"/>
            <w:tcBorders>
              <w:tl2br w:val="nil"/>
              <w:tr2bl w:val="nil"/>
            </w:tcBorders>
            <w:vAlign w:val="center"/>
          </w:tcPr>
          <w:p w14:paraId="1BBC2BFA">
            <w:pPr>
              <w:spacing w:line="240" w:lineRule="auto"/>
              <w:ind w:firstLine="0" w:firstLineChars="0"/>
              <w:jc w:val="center"/>
              <w:rPr>
                <w:color w:val="auto"/>
                <w:sz w:val="21"/>
                <w:szCs w:val="21"/>
              </w:rPr>
            </w:pPr>
            <w:r>
              <w:rPr>
                <w:color w:val="auto"/>
                <w:sz w:val="21"/>
                <w:szCs w:val="21"/>
              </w:rPr>
              <w:t>5、完善基础设施。涉及工业特征污染物企业应做到“雨污分流、清污分流”，鼓励企业采用“一企一管，明管(专管)输送”的收集方式。加快推进涉及工业特征污染物的废水与生活污水分类收集、分质处理。新建企业涉及工业特征污染物的废水不得接入城镇污水处理设施，现有企业已接管城镇污水集中收集处理设施的须组织排查评估，认定不能接入的限期退出，认定可以接入的须经预处理达标后方可接入。</w:t>
            </w:r>
          </w:p>
        </w:tc>
        <w:tc>
          <w:tcPr>
            <w:tcW w:w="1483" w:type="pct"/>
            <w:tcBorders>
              <w:tl2br w:val="nil"/>
              <w:tr2bl w:val="nil"/>
            </w:tcBorders>
            <w:vAlign w:val="center"/>
          </w:tcPr>
          <w:p w14:paraId="1CEFC45A">
            <w:pPr>
              <w:spacing w:line="240" w:lineRule="auto"/>
              <w:ind w:firstLine="0" w:firstLineChars="0"/>
              <w:jc w:val="center"/>
              <w:rPr>
                <w:color w:val="auto"/>
                <w:sz w:val="21"/>
                <w:szCs w:val="21"/>
              </w:rPr>
            </w:pPr>
            <w:r>
              <w:rPr>
                <w:rFonts w:hint="eastAsia"/>
                <w:color w:val="auto"/>
                <w:sz w:val="21"/>
                <w:szCs w:val="21"/>
              </w:rPr>
              <w:t>拟建</w:t>
            </w:r>
            <w:r>
              <w:rPr>
                <w:color w:val="auto"/>
                <w:sz w:val="21"/>
                <w:szCs w:val="21"/>
              </w:rPr>
              <w:t>项目属于扩建项目，采取“雨污分流、清污分流”，</w:t>
            </w:r>
            <w:r>
              <w:rPr>
                <w:rFonts w:hint="eastAsia"/>
                <w:color w:val="auto"/>
                <w:sz w:val="21"/>
                <w:szCs w:val="21"/>
              </w:rPr>
              <w:t>依托厂区现有1</w:t>
            </w:r>
            <w:r>
              <w:rPr>
                <w:color w:val="auto"/>
                <w:sz w:val="21"/>
                <w:szCs w:val="21"/>
              </w:rPr>
              <w:t>#污水处理站用于</w:t>
            </w:r>
            <w:r>
              <w:rPr>
                <w:rFonts w:hint="eastAsia"/>
                <w:color w:val="auto"/>
                <w:sz w:val="21"/>
                <w:szCs w:val="21"/>
              </w:rPr>
              <w:t>拟建</w:t>
            </w:r>
            <w:r>
              <w:rPr>
                <w:color w:val="auto"/>
                <w:sz w:val="21"/>
                <w:szCs w:val="21"/>
              </w:rPr>
              <w:t>项目废水处理，废水分类收集，分质处理后接管至联合环境水务(启东)有限公司处理。亚太药业不属于限期退出企业。</w:t>
            </w:r>
          </w:p>
        </w:tc>
        <w:tc>
          <w:tcPr>
            <w:tcW w:w="391" w:type="pct"/>
            <w:tcBorders>
              <w:tl2br w:val="nil"/>
              <w:tr2bl w:val="nil"/>
            </w:tcBorders>
            <w:vAlign w:val="center"/>
          </w:tcPr>
          <w:p w14:paraId="354C82D1">
            <w:pPr>
              <w:spacing w:line="240" w:lineRule="auto"/>
              <w:ind w:firstLine="0" w:firstLineChars="0"/>
              <w:jc w:val="center"/>
              <w:rPr>
                <w:color w:val="auto"/>
                <w:sz w:val="21"/>
                <w:szCs w:val="21"/>
              </w:rPr>
            </w:pPr>
            <w:r>
              <w:rPr>
                <w:color w:val="auto"/>
                <w:sz w:val="21"/>
                <w:szCs w:val="21"/>
              </w:rPr>
              <w:t>相符</w:t>
            </w:r>
          </w:p>
        </w:tc>
      </w:tr>
      <w:tr w14:paraId="3BEDE67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c>
          <w:tcPr>
            <w:tcW w:w="3125" w:type="pct"/>
            <w:tcBorders>
              <w:tl2br w:val="nil"/>
              <w:tr2bl w:val="nil"/>
            </w:tcBorders>
            <w:vAlign w:val="center"/>
          </w:tcPr>
          <w:p w14:paraId="5C16DCB3">
            <w:pPr>
              <w:spacing w:line="240" w:lineRule="auto"/>
              <w:ind w:firstLine="0" w:firstLineChars="0"/>
              <w:jc w:val="center"/>
              <w:rPr>
                <w:color w:val="auto"/>
                <w:sz w:val="21"/>
                <w:szCs w:val="21"/>
              </w:rPr>
            </w:pPr>
            <w:r>
              <w:rPr>
                <w:color w:val="auto"/>
                <w:sz w:val="21"/>
                <w:szCs w:val="21"/>
              </w:rPr>
              <w:t>6、强化排污许可。完善申报及核发要求，将工业特征污染物纳入总量许可范围。结合排污许可管理有关要求，督促企业依法申领排污许可证或填写排污登记表，并在其中载明执行的污染控制标准要求及采取的污染控制措施。</w:t>
            </w:r>
          </w:p>
        </w:tc>
        <w:tc>
          <w:tcPr>
            <w:tcW w:w="1483" w:type="pct"/>
            <w:tcBorders>
              <w:tl2br w:val="nil"/>
              <w:tr2bl w:val="nil"/>
            </w:tcBorders>
            <w:vAlign w:val="center"/>
          </w:tcPr>
          <w:p w14:paraId="741DB363">
            <w:pPr>
              <w:spacing w:line="240" w:lineRule="auto"/>
              <w:ind w:firstLine="0" w:firstLineChars="0"/>
              <w:jc w:val="center"/>
              <w:rPr>
                <w:color w:val="auto"/>
                <w:sz w:val="21"/>
                <w:szCs w:val="21"/>
              </w:rPr>
            </w:pPr>
            <w:r>
              <w:rPr>
                <w:rFonts w:hint="eastAsia"/>
                <w:color w:val="auto"/>
                <w:sz w:val="21"/>
                <w:szCs w:val="21"/>
              </w:rPr>
              <w:t>拟建</w:t>
            </w:r>
            <w:r>
              <w:rPr>
                <w:color w:val="auto"/>
                <w:sz w:val="21"/>
                <w:szCs w:val="21"/>
              </w:rPr>
              <w:t>项目建成后将按照要求重新申领排污许可证。</w:t>
            </w:r>
          </w:p>
        </w:tc>
        <w:tc>
          <w:tcPr>
            <w:tcW w:w="391" w:type="pct"/>
            <w:tcBorders>
              <w:tl2br w:val="nil"/>
              <w:tr2bl w:val="nil"/>
            </w:tcBorders>
            <w:vAlign w:val="center"/>
          </w:tcPr>
          <w:p w14:paraId="3277E08A">
            <w:pPr>
              <w:spacing w:line="240" w:lineRule="auto"/>
              <w:ind w:firstLine="0" w:firstLineChars="0"/>
              <w:jc w:val="center"/>
              <w:rPr>
                <w:color w:val="auto"/>
                <w:sz w:val="21"/>
                <w:szCs w:val="21"/>
              </w:rPr>
            </w:pPr>
            <w:r>
              <w:rPr>
                <w:color w:val="auto"/>
                <w:sz w:val="21"/>
                <w:szCs w:val="21"/>
              </w:rPr>
              <w:t>相符</w:t>
            </w:r>
          </w:p>
        </w:tc>
      </w:tr>
      <w:tr w14:paraId="14F30C9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c>
          <w:tcPr>
            <w:tcW w:w="3125" w:type="pct"/>
            <w:tcBorders>
              <w:tl2br w:val="nil"/>
              <w:tr2bl w:val="nil"/>
            </w:tcBorders>
            <w:vAlign w:val="center"/>
          </w:tcPr>
          <w:p w14:paraId="30AF8FB7">
            <w:pPr>
              <w:spacing w:line="240" w:lineRule="auto"/>
              <w:ind w:firstLine="0" w:firstLineChars="0"/>
              <w:jc w:val="center"/>
              <w:rPr>
                <w:color w:val="auto"/>
                <w:sz w:val="21"/>
                <w:szCs w:val="21"/>
              </w:rPr>
            </w:pPr>
            <w:r>
              <w:rPr>
                <w:color w:val="auto"/>
                <w:sz w:val="21"/>
                <w:szCs w:val="21"/>
              </w:rPr>
              <w:t>7、加强监测监控。结合工业园区限值限量管理，逐步实行工业特征污染物排放浓度和总量“双控”。积极推进涉及工业特征污染物的污水处理厂及重点工业企业雨水污水排放口、部分重点国省考断面安装工业特征污染物自动监控系统，并与市生态环境大数据平台联网，实时监控。</w:t>
            </w:r>
          </w:p>
        </w:tc>
        <w:tc>
          <w:tcPr>
            <w:tcW w:w="1483" w:type="pct"/>
            <w:tcBorders>
              <w:tl2br w:val="nil"/>
              <w:tr2bl w:val="nil"/>
            </w:tcBorders>
            <w:vAlign w:val="center"/>
          </w:tcPr>
          <w:p w14:paraId="5A293E90">
            <w:pPr>
              <w:spacing w:line="240" w:lineRule="auto"/>
              <w:ind w:firstLine="0" w:firstLineChars="0"/>
              <w:jc w:val="center"/>
              <w:rPr>
                <w:color w:val="auto"/>
                <w:sz w:val="21"/>
                <w:szCs w:val="21"/>
              </w:rPr>
            </w:pPr>
            <w:r>
              <w:rPr>
                <w:rFonts w:hint="eastAsia"/>
                <w:color w:val="auto"/>
                <w:sz w:val="21"/>
                <w:szCs w:val="21"/>
              </w:rPr>
              <w:t>企业已</w:t>
            </w:r>
            <w:r>
              <w:rPr>
                <w:color w:val="auto"/>
                <w:sz w:val="21"/>
                <w:szCs w:val="21"/>
              </w:rPr>
              <w:t>在污水总排放口设置COD、氨氮、总磷、pH、流量在线监测装置。</w:t>
            </w:r>
          </w:p>
        </w:tc>
        <w:tc>
          <w:tcPr>
            <w:tcW w:w="391" w:type="pct"/>
            <w:tcBorders>
              <w:tl2br w:val="nil"/>
              <w:tr2bl w:val="nil"/>
            </w:tcBorders>
            <w:vAlign w:val="center"/>
          </w:tcPr>
          <w:p w14:paraId="7B520768">
            <w:pPr>
              <w:spacing w:line="240" w:lineRule="auto"/>
              <w:ind w:firstLine="0" w:firstLineChars="0"/>
              <w:jc w:val="center"/>
              <w:rPr>
                <w:color w:val="auto"/>
                <w:sz w:val="21"/>
                <w:szCs w:val="21"/>
              </w:rPr>
            </w:pPr>
            <w:r>
              <w:rPr>
                <w:color w:val="auto"/>
                <w:sz w:val="21"/>
                <w:szCs w:val="21"/>
              </w:rPr>
              <w:t>相符</w:t>
            </w:r>
          </w:p>
        </w:tc>
      </w:tr>
    </w:tbl>
    <w:p w14:paraId="490B368D">
      <w:pPr>
        <w:adjustRightInd/>
        <w:snapToGrid/>
        <w:ind w:firstLine="480"/>
        <w:rPr>
          <w:color w:val="auto"/>
          <w:kern w:val="0"/>
          <w:szCs w:val="20"/>
          <w:lang w:val="zh-CN"/>
        </w:rPr>
      </w:pPr>
      <w:r>
        <w:rPr>
          <w:rFonts w:hint="eastAsia"/>
          <w:color w:val="auto"/>
          <w:kern w:val="0"/>
          <w:szCs w:val="20"/>
          <w:lang w:val="zh-CN"/>
        </w:rPr>
        <w:t>根据上述分析，</w:t>
      </w:r>
      <w:r>
        <w:rPr>
          <w:rFonts w:hint="eastAsia"/>
          <w:color w:val="auto"/>
          <w:kern w:val="0"/>
          <w:szCs w:val="20"/>
        </w:rPr>
        <w:t>拟建</w:t>
      </w:r>
      <w:r>
        <w:rPr>
          <w:rFonts w:hint="eastAsia"/>
          <w:color w:val="auto"/>
          <w:kern w:val="0"/>
          <w:szCs w:val="20"/>
          <w:lang w:val="zh-CN"/>
        </w:rPr>
        <w:t>项目符合《南通市地表水工业特征污染物整治工作实施方案》（通环办[2023]48号）相关要求。</w:t>
      </w:r>
    </w:p>
    <w:p w14:paraId="3777B781">
      <w:pPr>
        <w:pStyle w:val="5"/>
        <w:spacing w:before="156"/>
        <w:rPr>
          <w:color w:val="auto"/>
        </w:rPr>
      </w:pPr>
      <w:r>
        <w:rPr>
          <w:rFonts w:hint="eastAsia"/>
          <w:color w:val="auto"/>
        </w:rPr>
        <w:t>1.4.4.12与《省政府关于加快推动化工产业高质量发展的意见》（苏政规[2024]9号）相符性</w:t>
      </w:r>
    </w:p>
    <w:p w14:paraId="521CB310">
      <w:pPr>
        <w:adjustRightInd/>
        <w:snapToGrid/>
        <w:ind w:firstLine="480"/>
        <w:rPr>
          <w:color w:val="auto"/>
          <w:kern w:val="0"/>
          <w:szCs w:val="20"/>
          <w:lang w:val="zh-CN"/>
        </w:rPr>
      </w:pPr>
      <w:r>
        <w:rPr>
          <w:rFonts w:hint="eastAsia"/>
          <w:color w:val="auto"/>
          <w:kern w:val="0"/>
          <w:szCs w:val="20"/>
          <w:lang w:val="zh-CN"/>
        </w:rPr>
        <w:t>文件要求：支持企业提质升级。化工园区外企业搬迁入园确有困难的，可以通过提升安全环保管理和技术创新能力认定为化工重点监测点。化工重点监测点可以在不新增供地、不增加主要污染物排放总量的情况下新建、改建、扩建化工项目；确需增加主要污染物排放总量的，由设区市人民政府研究后在县级行政区域内调剂平衡。园区外其他企业（非化工重点监测点）在不新增产品类别、不增加主要污染物排放总量、提升本质安全环保水平的前提下，可以实施提升改造项目。</w:t>
      </w:r>
    </w:p>
    <w:p w14:paraId="648ED5BB">
      <w:pPr>
        <w:ind w:firstLine="482"/>
        <w:rPr>
          <w:b/>
          <w:bCs/>
          <w:color w:val="auto"/>
          <w:lang w:val="zh-CN"/>
        </w:rPr>
      </w:pPr>
      <w:r>
        <w:rPr>
          <w:rFonts w:hint="eastAsia"/>
          <w:b/>
          <w:bCs/>
          <w:color w:val="auto"/>
        </w:rPr>
        <w:t>启东亚太于2021年被南通市化治办认定为南通市化工重点监测点，现有项目生产未突破原环评批复总量。拟建项目位于亚太药业现有厂区内，属于无机盐制造项目，拟建项目不涉及新增供地，且污染物排放总量不新增，属于危险化学品衍生加工为普通化学品，降低化学品储存风险，提升产品价值的技改类化工项目。与文件要求相符。</w:t>
      </w:r>
    </w:p>
    <w:p w14:paraId="55AB1A5D">
      <w:pPr>
        <w:pStyle w:val="5"/>
        <w:spacing w:before="156"/>
        <w:rPr>
          <w:color w:val="auto"/>
        </w:rPr>
      </w:pPr>
      <w:r>
        <w:rPr>
          <w:rFonts w:hint="eastAsia"/>
          <w:color w:val="auto"/>
        </w:rPr>
        <w:t>1.4.4.13</w:t>
      </w:r>
      <w:r>
        <w:rPr>
          <w:color w:val="auto"/>
        </w:rPr>
        <w:t>与《江苏省“无废园区”(化工园区)建设工作方案(试行)》(苏环办[2023]109号)相符性分析</w:t>
      </w:r>
    </w:p>
    <w:p w14:paraId="201F3BC7">
      <w:pPr>
        <w:adjustRightInd/>
        <w:snapToGrid/>
        <w:ind w:firstLine="480"/>
        <w:rPr>
          <w:color w:val="auto"/>
          <w:kern w:val="0"/>
          <w:szCs w:val="20"/>
          <w:lang w:val="zh-CN"/>
        </w:rPr>
      </w:pPr>
      <w:r>
        <w:rPr>
          <w:rFonts w:hint="eastAsia"/>
          <w:color w:val="auto"/>
          <w:kern w:val="0"/>
          <w:szCs w:val="20"/>
          <w:lang w:val="zh-CN"/>
        </w:rPr>
        <w:t>《江苏省“无废园区”(化工园区)建设工作方案(试行)》(苏环办[2023]109号)文中提出主要任务：</w:t>
      </w:r>
    </w:p>
    <w:p w14:paraId="6944FA89">
      <w:pPr>
        <w:adjustRightInd/>
        <w:snapToGrid/>
        <w:ind w:firstLine="480"/>
        <w:rPr>
          <w:color w:val="auto"/>
          <w:kern w:val="0"/>
          <w:szCs w:val="20"/>
          <w:lang w:val="zh-CN"/>
        </w:rPr>
      </w:pPr>
      <w:r>
        <w:rPr>
          <w:rFonts w:hint="eastAsia"/>
          <w:color w:val="auto"/>
          <w:kern w:val="0"/>
          <w:szCs w:val="20"/>
          <w:lang w:val="zh-CN"/>
        </w:rPr>
        <w:t>（</w:t>
      </w:r>
      <w:r>
        <w:rPr>
          <w:rFonts w:hint="eastAsia"/>
          <w:color w:val="auto"/>
          <w:kern w:val="0"/>
          <w:szCs w:val="20"/>
        </w:rPr>
        <w:t>一</w:t>
      </w:r>
      <w:r>
        <w:rPr>
          <w:rFonts w:hint="eastAsia"/>
          <w:color w:val="auto"/>
          <w:kern w:val="0"/>
          <w:szCs w:val="20"/>
          <w:lang w:val="zh-CN"/>
        </w:rPr>
        <w:t>）科学推进源头减量替代</w:t>
      </w:r>
    </w:p>
    <w:p w14:paraId="164C5148">
      <w:pPr>
        <w:adjustRightInd/>
        <w:snapToGrid/>
        <w:ind w:firstLine="480"/>
        <w:rPr>
          <w:color w:val="auto"/>
          <w:kern w:val="0"/>
          <w:szCs w:val="20"/>
          <w:lang w:val="zh-CN"/>
        </w:rPr>
      </w:pPr>
      <w:r>
        <w:rPr>
          <w:rFonts w:hint="eastAsia"/>
          <w:color w:val="auto"/>
          <w:kern w:val="0"/>
          <w:szCs w:val="20"/>
          <w:lang w:val="zh-CN"/>
        </w:rPr>
        <w:t>1.统筹园区产业布局。加强固体废物治理与园区规划、项目引进、产业结构优化等内容深度融合，对于危险废物产量大、园区内无配套利用处置能力或设区市无法平衡解决的项目严格环境准入。支持削减的主要污染物排放总量和碳排放指标可按一定比例用于园区重大项目建设，健全完善产业链，促进项目协同发展。到2025年，园区工业固体废物产生强度逐年下降。</w:t>
      </w:r>
    </w:p>
    <w:p w14:paraId="08D70622">
      <w:pPr>
        <w:adjustRightInd/>
        <w:snapToGrid/>
        <w:ind w:firstLine="480"/>
        <w:rPr>
          <w:color w:val="auto"/>
          <w:kern w:val="0"/>
          <w:szCs w:val="20"/>
          <w:lang w:val="zh-CN"/>
        </w:rPr>
      </w:pPr>
      <w:r>
        <w:rPr>
          <w:rFonts w:hint="eastAsia"/>
          <w:color w:val="auto"/>
          <w:kern w:val="0"/>
          <w:szCs w:val="20"/>
          <w:lang w:val="zh-CN"/>
        </w:rPr>
        <w:t>2.深入推行清洁生产。结合我省碳达峰实施方案相关要求，推动园区内主要行业企业实施清洁生产，不断采取工艺改进、清洁能源和原料替代、数字化和智能化技术提升等措施，促进废有机溶剂、废酸等高值固体废物分质回用及杂盐、混盐等难处置固体废物源头分类收集，降低工业固体废物产生强度和危害性。到2025年，园区内重点行业企业清洁生产审核实现100%覆盖。</w:t>
      </w:r>
    </w:p>
    <w:p w14:paraId="3C130B10">
      <w:pPr>
        <w:adjustRightInd/>
        <w:snapToGrid/>
        <w:ind w:firstLine="480"/>
        <w:rPr>
          <w:color w:val="auto"/>
          <w:kern w:val="0"/>
          <w:szCs w:val="20"/>
          <w:lang w:val="zh-CN"/>
        </w:rPr>
      </w:pPr>
      <w:r>
        <w:rPr>
          <w:rFonts w:hint="eastAsia"/>
          <w:color w:val="auto"/>
          <w:kern w:val="0"/>
          <w:szCs w:val="20"/>
          <w:lang w:val="zh-CN"/>
        </w:rPr>
        <w:t>3.推动企业高质量发展。引导企业开展“绿色工厂、无废工厂”等多形式建设活动，健全完善企业内部固体废物管理制度，支持行业龙头企业参与行业、地方、团体标准制定，推广减废、替废等先进适用技术。</w:t>
      </w:r>
    </w:p>
    <w:p w14:paraId="419C2DF1">
      <w:pPr>
        <w:adjustRightInd/>
        <w:snapToGrid/>
        <w:ind w:firstLine="480"/>
        <w:rPr>
          <w:color w:val="auto"/>
          <w:kern w:val="0"/>
          <w:szCs w:val="20"/>
          <w:lang w:val="zh-CN"/>
        </w:rPr>
      </w:pPr>
      <w:r>
        <w:rPr>
          <w:rFonts w:hint="eastAsia"/>
          <w:color w:val="auto"/>
          <w:kern w:val="0"/>
          <w:szCs w:val="20"/>
          <w:lang w:val="zh-CN"/>
        </w:rPr>
        <w:t>（</w:t>
      </w:r>
      <w:r>
        <w:rPr>
          <w:rFonts w:hint="eastAsia"/>
          <w:color w:val="auto"/>
          <w:kern w:val="0"/>
          <w:szCs w:val="20"/>
        </w:rPr>
        <w:t>二</w:t>
      </w:r>
      <w:r>
        <w:rPr>
          <w:rFonts w:hint="eastAsia"/>
          <w:color w:val="auto"/>
          <w:kern w:val="0"/>
          <w:szCs w:val="20"/>
          <w:lang w:val="zh-CN"/>
        </w:rPr>
        <w:t>）持续完善收贮运体系</w:t>
      </w:r>
    </w:p>
    <w:p w14:paraId="1F9B5B2F">
      <w:pPr>
        <w:adjustRightInd/>
        <w:snapToGrid/>
        <w:ind w:firstLine="480"/>
        <w:rPr>
          <w:color w:val="auto"/>
          <w:kern w:val="0"/>
          <w:szCs w:val="20"/>
          <w:lang w:val="zh-CN"/>
        </w:rPr>
      </w:pPr>
      <w:r>
        <w:rPr>
          <w:rFonts w:hint="eastAsia"/>
          <w:color w:val="auto"/>
          <w:kern w:val="0"/>
          <w:szCs w:val="20"/>
          <w:lang w:val="zh-CN"/>
        </w:rPr>
        <w:t>4.提升收集服务能力。鼓励园区根据危险废物的产生数量、危险特性、环境风险等因素，依托经营单位借助数字化手段探索建立智能共享包装体系，并与园区信息化管理平台联网。完善实验室废物等小量、特殊类别危险废物收集体系，对具有反应性、易燃性、剧毒性等高危险性废物在源头分类、包装形式等方面实行差异化收集和管理。</w:t>
      </w:r>
    </w:p>
    <w:p w14:paraId="2605CB61">
      <w:pPr>
        <w:adjustRightInd/>
        <w:snapToGrid/>
        <w:ind w:firstLine="480"/>
        <w:rPr>
          <w:color w:val="auto"/>
          <w:kern w:val="0"/>
          <w:szCs w:val="20"/>
          <w:lang w:val="zh-CN"/>
        </w:rPr>
      </w:pPr>
      <w:r>
        <w:rPr>
          <w:rFonts w:hint="eastAsia"/>
          <w:color w:val="auto"/>
          <w:kern w:val="0"/>
          <w:szCs w:val="20"/>
          <w:lang w:val="zh-CN"/>
        </w:rPr>
        <w:t>5.配套集中贮存设施。将一般工业固体废物集中收集贮存项目纳入省环境基础设施“绿岛”支持范围，推动建设符合国家及地方标准的固体废物集中贮存场所、分拣中心，建立健全规范化分类贮存管理体系，以精准化分类、规模化运维优势，促进废有机溶剂、废酸、拆除设备等可回收固体废物高值化利用。到2025年，园区一般工业固体废物收运体系覆盖率达到100%、收集率达到80%以上。</w:t>
      </w:r>
    </w:p>
    <w:p w14:paraId="47580FA5">
      <w:pPr>
        <w:adjustRightInd/>
        <w:snapToGrid/>
        <w:ind w:firstLine="480"/>
        <w:rPr>
          <w:color w:val="auto"/>
          <w:kern w:val="0"/>
          <w:szCs w:val="20"/>
          <w:lang w:val="zh-CN"/>
        </w:rPr>
      </w:pPr>
      <w:r>
        <w:rPr>
          <w:rFonts w:hint="eastAsia"/>
          <w:color w:val="auto"/>
          <w:kern w:val="0"/>
          <w:szCs w:val="20"/>
          <w:lang w:val="zh-CN"/>
        </w:rPr>
        <w:t>（</w:t>
      </w:r>
      <w:r>
        <w:rPr>
          <w:rFonts w:hint="eastAsia"/>
          <w:color w:val="auto"/>
          <w:kern w:val="0"/>
          <w:szCs w:val="20"/>
        </w:rPr>
        <w:t>四</w:t>
      </w:r>
      <w:r>
        <w:rPr>
          <w:rFonts w:hint="eastAsia"/>
          <w:color w:val="auto"/>
          <w:kern w:val="0"/>
          <w:szCs w:val="20"/>
          <w:lang w:val="zh-CN"/>
        </w:rPr>
        <w:t>）统筹优化利用处置能力</w:t>
      </w:r>
    </w:p>
    <w:p w14:paraId="185D0AC1">
      <w:pPr>
        <w:adjustRightInd/>
        <w:snapToGrid/>
        <w:ind w:firstLine="480"/>
        <w:rPr>
          <w:color w:val="auto"/>
          <w:kern w:val="0"/>
          <w:szCs w:val="20"/>
          <w:lang w:val="zh-CN"/>
        </w:rPr>
      </w:pPr>
      <w:r>
        <w:rPr>
          <w:rFonts w:hint="eastAsia"/>
          <w:color w:val="auto"/>
          <w:kern w:val="0"/>
          <w:szCs w:val="20"/>
          <w:lang w:val="zh-CN"/>
        </w:rPr>
        <w:t>10.推动园区能力匹配。加强固体废物产生量与利用处置能力匹配情况评估，重点聚焦园区内飞灰、废盐等难处理、资源化能力缺失的固体废物，实施现有设施升级改造与能力提升，建成一批与产生情况基本匹配的利用处置设施，降低跨园区转移风险。到2025年，焚烧处置的危险废物在园区内消纳率原则上应达到60%以上，焚烧填埋处置的危险废物在设区市内消纳率原则上应达到80%以上，飞灰、化工废盐综合利用率显著增长。</w:t>
      </w:r>
    </w:p>
    <w:p w14:paraId="44725179">
      <w:pPr>
        <w:adjustRightInd/>
        <w:snapToGrid/>
        <w:ind w:firstLine="482"/>
        <w:rPr>
          <w:rFonts w:eastAsia="仿宋_GB2312"/>
          <w:color w:val="auto"/>
          <w:sz w:val="28"/>
          <w:szCs w:val="28"/>
        </w:rPr>
      </w:pPr>
      <w:r>
        <w:rPr>
          <w:rFonts w:hint="eastAsia"/>
          <w:b/>
          <w:bCs/>
          <w:color w:val="auto"/>
          <w:kern w:val="0"/>
          <w:szCs w:val="20"/>
        </w:rPr>
        <w:t>拟建</w:t>
      </w:r>
      <w:r>
        <w:rPr>
          <w:rFonts w:hint="eastAsia"/>
          <w:b/>
          <w:bCs/>
          <w:color w:val="auto"/>
          <w:kern w:val="0"/>
          <w:szCs w:val="20"/>
          <w:lang w:val="zh-CN"/>
        </w:rPr>
        <w:t>项目为</w:t>
      </w:r>
      <w:r>
        <w:rPr>
          <w:rFonts w:hint="eastAsia"/>
          <w:b/>
          <w:bCs/>
          <w:color w:val="auto"/>
          <w:kern w:val="0"/>
          <w:szCs w:val="20"/>
        </w:rPr>
        <w:t>无机盐制造</w:t>
      </w:r>
      <w:r>
        <w:rPr>
          <w:rFonts w:hint="eastAsia"/>
          <w:b/>
          <w:bCs/>
          <w:color w:val="auto"/>
          <w:kern w:val="0"/>
          <w:szCs w:val="20"/>
          <w:lang w:val="zh-CN"/>
        </w:rPr>
        <w:t>项目，属于危险化学品衍生加工为普通化学品，降低化学品储存风险，提升产品价值的技改类化工项目，且各装置均依托现有工艺技术和装备，其生产技术及工艺、水耗物耗能耗、产排污情况及环境管理等方面清洁生产水平在国内处于先进水平。亚太药业为化工重点监测点。项目所在园区为启东市生命健康产业园，根据《启东生命健康产业园开发建设规划环境影响报告书》，</w:t>
      </w:r>
      <w:r>
        <w:rPr>
          <w:rFonts w:hint="eastAsia"/>
          <w:b/>
          <w:bCs/>
          <w:color w:val="auto"/>
          <w:kern w:val="0"/>
          <w:szCs w:val="20"/>
        </w:rPr>
        <w:t>本</w:t>
      </w:r>
      <w:r>
        <w:rPr>
          <w:rFonts w:hint="eastAsia"/>
          <w:b/>
          <w:bCs/>
          <w:color w:val="auto"/>
          <w:kern w:val="0"/>
          <w:szCs w:val="20"/>
          <w:lang w:val="zh-CN"/>
        </w:rPr>
        <w:t>园区设有2座危废集中处置单位，分别为南通润启环保服务有限公司和南通国启环保科技有限公司，危废处置能力达5万吨/年。未来启东市生命健康产业园将按照江苏省“无废园区”（化工园区）建设工作方案进行园区建设，实现“无废园区”。</w:t>
      </w:r>
    </w:p>
    <w:p w14:paraId="154C9FAD">
      <w:pPr>
        <w:pStyle w:val="5"/>
        <w:spacing w:before="156"/>
        <w:rPr>
          <w:color w:val="auto"/>
        </w:rPr>
      </w:pPr>
      <w:r>
        <w:rPr>
          <w:rFonts w:hint="eastAsia"/>
          <w:color w:val="auto"/>
        </w:rPr>
        <w:t>1.4.4.14</w:t>
      </w:r>
      <w:r>
        <w:rPr>
          <w:color w:val="auto"/>
        </w:rPr>
        <w:t>与</w:t>
      </w:r>
      <w:r>
        <w:rPr>
          <w:rFonts w:hint="eastAsia"/>
          <w:color w:val="auto"/>
        </w:rPr>
        <w:t>《南通市空气质量持续改善行动计划实施方案》（通政发〔2024〕24号）71号）</w:t>
      </w:r>
      <w:r>
        <w:rPr>
          <w:color w:val="auto"/>
        </w:rPr>
        <w:t>的相符性分析</w:t>
      </w:r>
    </w:p>
    <w:p w14:paraId="596BD0F6">
      <w:pPr>
        <w:pStyle w:val="49"/>
        <w:rPr>
          <w:color w:val="auto"/>
        </w:rPr>
      </w:pPr>
      <w:r>
        <w:rPr>
          <w:rFonts w:hint="eastAsia"/>
          <w:color w:val="auto"/>
        </w:rPr>
        <w:t>表1.4-17  拟建项目与通政发〔2024〕24号）71号相符性分析</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73"/>
        <w:gridCol w:w="5372"/>
        <w:gridCol w:w="1929"/>
        <w:gridCol w:w="716"/>
      </w:tblGrid>
      <w:tr w14:paraId="406BC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634" w:type="pct"/>
            <w:gridSpan w:val="2"/>
            <w:tcBorders>
              <w:tl2br w:val="nil"/>
              <w:tr2bl w:val="nil"/>
            </w:tcBorders>
            <w:vAlign w:val="center"/>
          </w:tcPr>
          <w:p w14:paraId="183C50F3">
            <w:pPr>
              <w:spacing w:line="240" w:lineRule="auto"/>
              <w:ind w:firstLine="0" w:firstLineChars="0"/>
              <w:jc w:val="center"/>
              <w:rPr>
                <w:b/>
                <w:color w:val="auto"/>
                <w:sz w:val="21"/>
                <w:szCs w:val="21"/>
              </w:rPr>
            </w:pPr>
            <w:r>
              <w:rPr>
                <w:rFonts w:hint="eastAsia"/>
                <w:b/>
                <w:color w:val="auto"/>
                <w:sz w:val="21"/>
                <w:szCs w:val="21"/>
              </w:rPr>
              <w:t>相关要求</w:t>
            </w:r>
          </w:p>
        </w:tc>
        <w:tc>
          <w:tcPr>
            <w:tcW w:w="995" w:type="pct"/>
            <w:tcBorders>
              <w:tl2br w:val="nil"/>
              <w:tr2bl w:val="nil"/>
            </w:tcBorders>
            <w:vAlign w:val="center"/>
          </w:tcPr>
          <w:p w14:paraId="5CFA3D1D">
            <w:pPr>
              <w:spacing w:line="240" w:lineRule="auto"/>
              <w:ind w:firstLine="0" w:firstLineChars="0"/>
              <w:jc w:val="center"/>
              <w:rPr>
                <w:b/>
                <w:color w:val="auto"/>
                <w:sz w:val="21"/>
                <w:szCs w:val="21"/>
              </w:rPr>
            </w:pPr>
            <w:r>
              <w:rPr>
                <w:rFonts w:hint="eastAsia"/>
                <w:b/>
                <w:color w:val="auto"/>
                <w:sz w:val="21"/>
                <w:szCs w:val="21"/>
              </w:rPr>
              <w:t>项目情况</w:t>
            </w:r>
          </w:p>
        </w:tc>
        <w:tc>
          <w:tcPr>
            <w:tcW w:w="369" w:type="pct"/>
            <w:tcBorders>
              <w:tl2br w:val="nil"/>
              <w:tr2bl w:val="nil"/>
            </w:tcBorders>
            <w:vAlign w:val="center"/>
          </w:tcPr>
          <w:p w14:paraId="07075C47">
            <w:pPr>
              <w:spacing w:line="240" w:lineRule="auto"/>
              <w:ind w:firstLine="0" w:firstLineChars="0"/>
              <w:jc w:val="center"/>
              <w:rPr>
                <w:b/>
                <w:color w:val="auto"/>
                <w:sz w:val="21"/>
                <w:szCs w:val="21"/>
              </w:rPr>
            </w:pPr>
            <w:r>
              <w:rPr>
                <w:rFonts w:hint="eastAsia"/>
                <w:b/>
                <w:color w:val="auto"/>
                <w:sz w:val="21"/>
                <w:szCs w:val="21"/>
              </w:rPr>
              <w:t>相符性</w:t>
            </w:r>
          </w:p>
        </w:tc>
      </w:tr>
      <w:tr w14:paraId="155B3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3" w:type="pct"/>
            <w:vMerge w:val="restart"/>
            <w:tcBorders>
              <w:tl2br w:val="nil"/>
              <w:tr2bl w:val="nil"/>
            </w:tcBorders>
            <w:vAlign w:val="center"/>
          </w:tcPr>
          <w:p w14:paraId="00FE21F1">
            <w:pPr>
              <w:spacing w:line="240" w:lineRule="auto"/>
              <w:ind w:firstLine="0" w:firstLineChars="0"/>
              <w:jc w:val="center"/>
              <w:rPr>
                <w:color w:val="auto"/>
                <w:sz w:val="21"/>
                <w:szCs w:val="21"/>
              </w:rPr>
            </w:pPr>
            <w:r>
              <w:rPr>
                <w:rFonts w:hint="eastAsia"/>
                <w:color w:val="auto"/>
                <w:sz w:val="21"/>
                <w:szCs w:val="21"/>
              </w:rPr>
              <w:t>优化产业结构，促进产业产品绿色升级</w:t>
            </w:r>
          </w:p>
        </w:tc>
        <w:tc>
          <w:tcPr>
            <w:tcW w:w="2771" w:type="pct"/>
            <w:tcBorders>
              <w:tl2br w:val="nil"/>
              <w:tr2bl w:val="nil"/>
            </w:tcBorders>
            <w:vAlign w:val="center"/>
          </w:tcPr>
          <w:p w14:paraId="3068C6E9">
            <w:pPr>
              <w:spacing w:line="240" w:lineRule="auto"/>
              <w:ind w:firstLine="0" w:firstLineChars="0"/>
              <w:jc w:val="center"/>
              <w:rPr>
                <w:color w:val="auto"/>
                <w:sz w:val="21"/>
                <w:szCs w:val="21"/>
              </w:rPr>
            </w:pPr>
            <w:r>
              <w:rPr>
                <w:rFonts w:hint="eastAsia"/>
                <w:color w:val="auto"/>
                <w:sz w:val="21"/>
                <w:szCs w:val="21"/>
              </w:rPr>
              <w:t>坚决遏制“两高一低”项目盲目上马。按照省统一部署，落实“两高”项目管理目录，对“两高一低”项目实行清单管理、分类处置、动态监控。严禁核准或备案焦化、电解铝、水泥（熟料）、平板玻璃（不含光伏平板玻璃）和炼化（纳入国家产业规划除外）等行业新增产能的项目，严格钢铁冶炼项目备案管理。</w:t>
            </w:r>
          </w:p>
        </w:tc>
        <w:tc>
          <w:tcPr>
            <w:tcW w:w="995" w:type="pct"/>
            <w:tcBorders>
              <w:tl2br w:val="nil"/>
              <w:tr2bl w:val="nil"/>
            </w:tcBorders>
            <w:vAlign w:val="center"/>
          </w:tcPr>
          <w:p w14:paraId="3EA3A081">
            <w:pPr>
              <w:spacing w:line="240" w:lineRule="auto"/>
              <w:ind w:firstLine="0" w:firstLineChars="0"/>
              <w:jc w:val="center"/>
              <w:rPr>
                <w:color w:val="auto"/>
                <w:sz w:val="21"/>
                <w:szCs w:val="21"/>
              </w:rPr>
            </w:pPr>
            <w:r>
              <w:rPr>
                <w:rFonts w:hint="eastAsia"/>
                <w:color w:val="auto"/>
                <w:sz w:val="21"/>
                <w:szCs w:val="21"/>
              </w:rPr>
              <w:t>拟建项目不属于上述两高行业。</w:t>
            </w:r>
          </w:p>
        </w:tc>
        <w:tc>
          <w:tcPr>
            <w:tcW w:w="369" w:type="pct"/>
            <w:tcBorders>
              <w:tl2br w:val="nil"/>
              <w:tr2bl w:val="nil"/>
            </w:tcBorders>
            <w:vAlign w:val="center"/>
          </w:tcPr>
          <w:p w14:paraId="26513B43">
            <w:pPr>
              <w:spacing w:line="240" w:lineRule="auto"/>
              <w:ind w:firstLine="0" w:firstLineChars="0"/>
              <w:jc w:val="center"/>
              <w:rPr>
                <w:color w:val="auto"/>
                <w:sz w:val="21"/>
                <w:szCs w:val="21"/>
              </w:rPr>
            </w:pPr>
            <w:r>
              <w:rPr>
                <w:rFonts w:hint="eastAsia"/>
                <w:color w:val="auto"/>
                <w:sz w:val="21"/>
                <w:szCs w:val="21"/>
              </w:rPr>
              <w:t>符合</w:t>
            </w:r>
          </w:p>
        </w:tc>
      </w:tr>
      <w:tr w14:paraId="657E0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3" w:type="pct"/>
            <w:vMerge w:val="continue"/>
            <w:tcBorders>
              <w:tl2br w:val="nil"/>
              <w:tr2bl w:val="nil"/>
            </w:tcBorders>
            <w:vAlign w:val="center"/>
          </w:tcPr>
          <w:p w14:paraId="66B075A3">
            <w:pPr>
              <w:spacing w:line="240" w:lineRule="auto"/>
              <w:ind w:firstLine="0" w:firstLineChars="0"/>
              <w:jc w:val="center"/>
              <w:rPr>
                <w:color w:val="auto"/>
                <w:sz w:val="21"/>
                <w:szCs w:val="21"/>
              </w:rPr>
            </w:pPr>
          </w:p>
        </w:tc>
        <w:tc>
          <w:tcPr>
            <w:tcW w:w="2771" w:type="pct"/>
            <w:tcBorders>
              <w:tl2br w:val="nil"/>
              <w:tr2bl w:val="nil"/>
            </w:tcBorders>
            <w:vAlign w:val="center"/>
          </w:tcPr>
          <w:p w14:paraId="1A9DE38E">
            <w:pPr>
              <w:spacing w:line="240" w:lineRule="auto"/>
              <w:ind w:firstLine="0" w:firstLineChars="0"/>
              <w:jc w:val="center"/>
              <w:rPr>
                <w:color w:val="auto"/>
                <w:sz w:val="21"/>
                <w:szCs w:val="21"/>
              </w:rPr>
            </w:pPr>
            <w:r>
              <w:rPr>
                <w:rFonts w:hint="eastAsia"/>
                <w:color w:val="auto"/>
                <w:sz w:val="21"/>
                <w:szCs w:val="21"/>
              </w:rPr>
              <w:t>加快退出重点行业落后产能。落实国家《产业结构调整指导目录 (2024年本）》，依法依规关停退出淘汰类落后生产工艺装备，推进全市每小时2蒸吨及以下生物质锅炉尽快淘汰。</w:t>
            </w:r>
          </w:p>
        </w:tc>
        <w:tc>
          <w:tcPr>
            <w:tcW w:w="995" w:type="pct"/>
            <w:tcBorders>
              <w:tl2br w:val="nil"/>
              <w:tr2bl w:val="nil"/>
            </w:tcBorders>
            <w:vAlign w:val="center"/>
          </w:tcPr>
          <w:p w14:paraId="362F834C">
            <w:pPr>
              <w:spacing w:line="240" w:lineRule="auto"/>
              <w:ind w:firstLine="0" w:firstLineChars="0"/>
              <w:jc w:val="center"/>
              <w:rPr>
                <w:color w:val="auto"/>
                <w:sz w:val="21"/>
                <w:szCs w:val="21"/>
              </w:rPr>
            </w:pPr>
            <w:r>
              <w:rPr>
                <w:rFonts w:hint="eastAsia"/>
                <w:color w:val="auto"/>
                <w:sz w:val="21"/>
                <w:szCs w:val="21"/>
              </w:rPr>
              <w:t>对照《产业结构调整指导目录（2024年本）》，拟建不属于落后淘汰工艺。</w:t>
            </w:r>
          </w:p>
        </w:tc>
        <w:tc>
          <w:tcPr>
            <w:tcW w:w="369" w:type="pct"/>
            <w:tcBorders>
              <w:tl2br w:val="nil"/>
              <w:tr2bl w:val="nil"/>
            </w:tcBorders>
            <w:vAlign w:val="center"/>
          </w:tcPr>
          <w:p w14:paraId="57CCC3BD">
            <w:pPr>
              <w:spacing w:line="240" w:lineRule="auto"/>
              <w:ind w:firstLine="0" w:firstLineChars="0"/>
              <w:jc w:val="center"/>
              <w:rPr>
                <w:color w:val="auto"/>
                <w:sz w:val="21"/>
                <w:szCs w:val="21"/>
              </w:rPr>
            </w:pPr>
            <w:r>
              <w:rPr>
                <w:rFonts w:hint="eastAsia"/>
                <w:color w:val="auto"/>
                <w:sz w:val="21"/>
                <w:szCs w:val="21"/>
              </w:rPr>
              <w:t>符合</w:t>
            </w:r>
          </w:p>
        </w:tc>
      </w:tr>
      <w:tr w14:paraId="781CD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3" w:type="pct"/>
            <w:vMerge w:val="continue"/>
            <w:tcBorders>
              <w:tl2br w:val="nil"/>
              <w:tr2bl w:val="nil"/>
            </w:tcBorders>
            <w:vAlign w:val="center"/>
          </w:tcPr>
          <w:p w14:paraId="2FF7048D">
            <w:pPr>
              <w:spacing w:line="240" w:lineRule="auto"/>
              <w:ind w:firstLine="0" w:firstLineChars="0"/>
              <w:jc w:val="center"/>
              <w:rPr>
                <w:color w:val="auto"/>
                <w:sz w:val="21"/>
                <w:szCs w:val="21"/>
              </w:rPr>
            </w:pPr>
          </w:p>
        </w:tc>
        <w:tc>
          <w:tcPr>
            <w:tcW w:w="2771" w:type="pct"/>
            <w:tcBorders>
              <w:tl2br w:val="nil"/>
              <w:tr2bl w:val="nil"/>
            </w:tcBorders>
            <w:vAlign w:val="center"/>
          </w:tcPr>
          <w:p w14:paraId="32765CA1">
            <w:pPr>
              <w:spacing w:line="240" w:lineRule="auto"/>
              <w:ind w:firstLine="0" w:firstLineChars="0"/>
              <w:jc w:val="center"/>
              <w:rPr>
                <w:color w:val="auto"/>
                <w:sz w:val="21"/>
                <w:szCs w:val="21"/>
              </w:rPr>
            </w:pPr>
            <w:r>
              <w:rPr>
                <w:rFonts w:hint="eastAsia"/>
                <w:color w:val="auto"/>
                <w:sz w:val="21"/>
                <w:szCs w:val="21"/>
              </w:rPr>
              <w:t>优化含VOCs原辅材料和产品结构。严格控制生产和使用高VOCs含量涂料、油墨、胶粘剂、清洗剂等项目。在家具、汽车零部件、工程机械、钢结构、船舶制造等工业涂装、包装印刷和电子等行业工艺环节中，大力推广使用低VOCs含量涂料鼓励和推进全市汽车4S店、大型汽修厂实施全水性涂料替代。</w:t>
            </w:r>
          </w:p>
        </w:tc>
        <w:tc>
          <w:tcPr>
            <w:tcW w:w="995" w:type="pct"/>
            <w:tcBorders>
              <w:tl2br w:val="nil"/>
              <w:tr2bl w:val="nil"/>
            </w:tcBorders>
            <w:vAlign w:val="center"/>
          </w:tcPr>
          <w:p w14:paraId="01CC6A4D">
            <w:pPr>
              <w:spacing w:line="240" w:lineRule="auto"/>
              <w:ind w:firstLine="0" w:firstLineChars="0"/>
              <w:jc w:val="center"/>
              <w:rPr>
                <w:color w:val="auto"/>
                <w:sz w:val="21"/>
                <w:szCs w:val="21"/>
              </w:rPr>
            </w:pPr>
            <w:r>
              <w:rPr>
                <w:rFonts w:hint="eastAsia"/>
                <w:color w:val="auto"/>
                <w:sz w:val="21"/>
                <w:szCs w:val="21"/>
              </w:rPr>
              <w:t>拟建项目原辅材料和产品均不含VOCs。</w:t>
            </w:r>
          </w:p>
        </w:tc>
        <w:tc>
          <w:tcPr>
            <w:tcW w:w="369" w:type="pct"/>
            <w:tcBorders>
              <w:tl2br w:val="nil"/>
              <w:tr2bl w:val="nil"/>
            </w:tcBorders>
            <w:vAlign w:val="center"/>
          </w:tcPr>
          <w:p w14:paraId="1A16CF56">
            <w:pPr>
              <w:spacing w:line="240" w:lineRule="auto"/>
              <w:ind w:firstLine="0" w:firstLineChars="0"/>
              <w:jc w:val="center"/>
              <w:rPr>
                <w:color w:val="auto"/>
                <w:sz w:val="21"/>
                <w:szCs w:val="21"/>
              </w:rPr>
            </w:pPr>
            <w:r>
              <w:rPr>
                <w:rFonts w:hint="eastAsia"/>
                <w:color w:val="auto"/>
                <w:sz w:val="21"/>
                <w:szCs w:val="21"/>
              </w:rPr>
              <w:t>符合</w:t>
            </w:r>
          </w:p>
        </w:tc>
      </w:tr>
      <w:tr w14:paraId="2E699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3" w:type="pct"/>
            <w:vMerge w:val="restart"/>
            <w:tcBorders>
              <w:tl2br w:val="nil"/>
              <w:tr2bl w:val="nil"/>
            </w:tcBorders>
            <w:vAlign w:val="center"/>
          </w:tcPr>
          <w:p w14:paraId="05258CFF">
            <w:pPr>
              <w:spacing w:line="240" w:lineRule="auto"/>
              <w:ind w:firstLine="0" w:firstLineChars="0"/>
              <w:jc w:val="center"/>
              <w:rPr>
                <w:color w:val="auto"/>
                <w:sz w:val="21"/>
                <w:szCs w:val="21"/>
              </w:rPr>
            </w:pPr>
            <w:r>
              <w:rPr>
                <w:rFonts w:hint="eastAsia"/>
                <w:color w:val="auto"/>
                <w:sz w:val="21"/>
                <w:szCs w:val="21"/>
              </w:rPr>
              <w:t>优化能源结构，加速能源清洁低碳高效发展</w:t>
            </w:r>
          </w:p>
        </w:tc>
        <w:tc>
          <w:tcPr>
            <w:tcW w:w="2771" w:type="pct"/>
            <w:tcBorders>
              <w:tl2br w:val="nil"/>
              <w:tr2bl w:val="nil"/>
            </w:tcBorders>
            <w:vAlign w:val="center"/>
          </w:tcPr>
          <w:p w14:paraId="0C9EB422">
            <w:pPr>
              <w:spacing w:line="240" w:lineRule="auto"/>
              <w:ind w:firstLine="0" w:firstLineChars="0"/>
              <w:jc w:val="center"/>
              <w:rPr>
                <w:color w:val="auto"/>
                <w:sz w:val="21"/>
                <w:szCs w:val="21"/>
              </w:rPr>
            </w:pPr>
            <w:r>
              <w:rPr>
                <w:rFonts w:hint="eastAsia"/>
                <w:color w:val="auto"/>
                <w:sz w:val="21"/>
                <w:szCs w:val="21"/>
              </w:rPr>
              <w:t>严格合理控制煤炭消费总量。合理控制煤炭消费增长鼓励发电向高效、清洁机组倾斜。到2025年，全市煤炭消费占比55%左右。原则上不再新增自备燃煤机组，支持自备燃煤机组实施清洁能源替代。</w:t>
            </w:r>
          </w:p>
        </w:tc>
        <w:tc>
          <w:tcPr>
            <w:tcW w:w="995" w:type="pct"/>
            <w:tcBorders>
              <w:tl2br w:val="nil"/>
              <w:tr2bl w:val="nil"/>
            </w:tcBorders>
            <w:vAlign w:val="center"/>
          </w:tcPr>
          <w:p w14:paraId="3F71373F">
            <w:pPr>
              <w:spacing w:line="240" w:lineRule="auto"/>
              <w:ind w:firstLine="0" w:firstLineChars="0"/>
              <w:jc w:val="center"/>
              <w:rPr>
                <w:color w:val="auto"/>
                <w:sz w:val="21"/>
                <w:szCs w:val="21"/>
              </w:rPr>
            </w:pPr>
            <w:r>
              <w:rPr>
                <w:rFonts w:hint="eastAsia"/>
                <w:color w:val="auto"/>
                <w:sz w:val="21"/>
                <w:szCs w:val="21"/>
              </w:rPr>
              <w:t>拟建项目不涉及煤炭使用。</w:t>
            </w:r>
          </w:p>
        </w:tc>
        <w:tc>
          <w:tcPr>
            <w:tcW w:w="369" w:type="pct"/>
            <w:tcBorders>
              <w:tl2br w:val="nil"/>
              <w:tr2bl w:val="nil"/>
            </w:tcBorders>
            <w:vAlign w:val="center"/>
          </w:tcPr>
          <w:p w14:paraId="75613CE2">
            <w:pPr>
              <w:spacing w:line="240" w:lineRule="auto"/>
              <w:ind w:firstLine="0" w:firstLineChars="0"/>
              <w:jc w:val="center"/>
              <w:rPr>
                <w:color w:val="auto"/>
                <w:sz w:val="21"/>
                <w:szCs w:val="21"/>
              </w:rPr>
            </w:pPr>
            <w:r>
              <w:rPr>
                <w:rFonts w:hint="eastAsia"/>
                <w:color w:val="auto"/>
                <w:sz w:val="21"/>
                <w:szCs w:val="21"/>
              </w:rPr>
              <w:t>符合</w:t>
            </w:r>
          </w:p>
        </w:tc>
      </w:tr>
      <w:tr w14:paraId="610B6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3" w:type="pct"/>
            <w:vMerge w:val="continue"/>
            <w:tcBorders>
              <w:tl2br w:val="nil"/>
              <w:tr2bl w:val="nil"/>
            </w:tcBorders>
            <w:vAlign w:val="center"/>
          </w:tcPr>
          <w:p w14:paraId="22FFCED1">
            <w:pPr>
              <w:spacing w:line="240" w:lineRule="auto"/>
              <w:ind w:firstLine="0" w:firstLineChars="0"/>
              <w:jc w:val="center"/>
              <w:rPr>
                <w:color w:val="auto"/>
                <w:sz w:val="21"/>
                <w:szCs w:val="21"/>
              </w:rPr>
            </w:pPr>
          </w:p>
        </w:tc>
        <w:tc>
          <w:tcPr>
            <w:tcW w:w="2771" w:type="pct"/>
            <w:tcBorders>
              <w:tl2br w:val="nil"/>
              <w:tr2bl w:val="nil"/>
            </w:tcBorders>
            <w:vAlign w:val="center"/>
          </w:tcPr>
          <w:p w14:paraId="4AADF04E">
            <w:pPr>
              <w:spacing w:line="240" w:lineRule="auto"/>
              <w:ind w:firstLine="0" w:firstLineChars="0"/>
              <w:jc w:val="center"/>
              <w:rPr>
                <w:color w:val="auto"/>
                <w:sz w:val="21"/>
                <w:szCs w:val="21"/>
              </w:rPr>
            </w:pPr>
            <w:r>
              <w:rPr>
                <w:rFonts w:hint="eastAsia"/>
                <w:color w:val="auto"/>
                <w:sz w:val="21"/>
                <w:szCs w:val="21"/>
              </w:rPr>
              <w:t>推进燃煤锅炉关系整合和工业炉窑清洁能源替代。全面开展锅炉和工业炉密简易低效污染治理设施排查，通过清洁能源替代、升级改造、整合退出等方式分类处置。到2025年，淘汰每小时35蒸吨及以下的燃煤锅炉，基本淘汰茶水炉、经营性炉灶、储粮烘干设备、农产品加工等燃煤设施。原则上不再新建除集中供暖外的燃煤锅炉，不再新增燃料类煤气发生炉。</w:t>
            </w:r>
          </w:p>
        </w:tc>
        <w:tc>
          <w:tcPr>
            <w:tcW w:w="995" w:type="pct"/>
            <w:tcBorders>
              <w:tl2br w:val="nil"/>
              <w:tr2bl w:val="nil"/>
            </w:tcBorders>
            <w:vAlign w:val="center"/>
          </w:tcPr>
          <w:p w14:paraId="0DE8CC03">
            <w:pPr>
              <w:spacing w:line="240" w:lineRule="auto"/>
              <w:ind w:firstLine="0" w:firstLineChars="0"/>
              <w:jc w:val="center"/>
              <w:rPr>
                <w:color w:val="auto"/>
                <w:sz w:val="21"/>
                <w:szCs w:val="21"/>
              </w:rPr>
            </w:pPr>
            <w:r>
              <w:rPr>
                <w:rFonts w:hint="eastAsia"/>
                <w:color w:val="auto"/>
                <w:sz w:val="21"/>
                <w:szCs w:val="21"/>
              </w:rPr>
              <w:t>拟建项目不涉及锅炉。</w:t>
            </w:r>
          </w:p>
        </w:tc>
        <w:tc>
          <w:tcPr>
            <w:tcW w:w="369" w:type="pct"/>
            <w:tcBorders>
              <w:tl2br w:val="nil"/>
              <w:tr2bl w:val="nil"/>
            </w:tcBorders>
            <w:vAlign w:val="center"/>
          </w:tcPr>
          <w:p w14:paraId="36E7433E">
            <w:pPr>
              <w:spacing w:line="240" w:lineRule="auto"/>
              <w:ind w:firstLine="0" w:firstLineChars="0"/>
              <w:jc w:val="center"/>
              <w:rPr>
                <w:color w:val="auto"/>
                <w:sz w:val="21"/>
                <w:szCs w:val="21"/>
              </w:rPr>
            </w:pPr>
            <w:r>
              <w:rPr>
                <w:rFonts w:hint="eastAsia"/>
                <w:color w:val="auto"/>
                <w:sz w:val="21"/>
                <w:szCs w:val="21"/>
              </w:rPr>
              <w:t>符合</w:t>
            </w:r>
          </w:p>
        </w:tc>
      </w:tr>
      <w:tr w14:paraId="638E1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3" w:type="pct"/>
            <w:tcBorders>
              <w:tl2br w:val="nil"/>
              <w:tr2bl w:val="nil"/>
            </w:tcBorders>
            <w:vAlign w:val="center"/>
          </w:tcPr>
          <w:p w14:paraId="0D3596BE">
            <w:pPr>
              <w:spacing w:line="240" w:lineRule="auto"/>
              <w:ind w:firstLine="0" w:firstLineChars="0"/>
              <w:jc w:val="center"/>
              <w:rPr>
                <w:color w:val="auto"/>
                <w:sz w:val="21"/>
                <w:szCs w:val="21"/>
              </w:rPr>
            </w:pPr>
            <w:r>
              <w:rPr>
                <w:rFonts w:hint="eastAsia"/>
                <w:color w:val="auto"/>
                <w:sz w:val="21"/>
                <w:szCs w:val="21"/>
              </w:rPr>
              <w:t>强化多污染物 减排，切实降低排放强度</w:t>
            </w:r>
          </w:p>
        </w:tc>
        <w:tc>
          <w:tcPr>
            <w:tcW w:w="2771" w:type="pct"/>
            <w:tcBorders>
              <w:tl2br w:val="nil"/>
              <w:tr2bl w:val="nil"/>
            </w:tcBorders>
            <w:vAlign w:val="center"/>
          </w:tcPr>
          <w:p w14:paraId="5BE4A241">
            <w:pPr>
              <w:spacing w:line="240" w:lineRule="auto"/>
              <w:ind w:firstLine="0" w:firstLineChars="0"/>
              <w:jc w:val="center"/>
              <w:rPr>
                <w:color w:val="auto"/>
                <w:sz w:val="21"/>
                <w:szCs w:val="21"/>
              </w:rPr>
            </w:pPr>
            <w:r>
              <w:rPr>
                <w:rFonts w:hint="eastAsia"/>
                <w:color w:val="auto"/>
                <w:sz w:val="21"/>
                <w:szCs w:val="21"/>
              </w:rPr>
              <w:t>推进重点行业超低排放与提标改造。有序推进铸造垃圾焚烧发电、玻璃、有色、砖瓦、水泥等行业深度治理。到2024年底，全市水泥和焦化企业基本完成超低排放改造。实施重点行业绩效等级提升行动。推进燃气锅炉低氮燃烧改造。</w:t>
            </w:r>
          </w:p>
        </w:tc>
        <w:tc>
          <w:tcPr>
            <w:tcW w:w="995" w:type="pct"/>
            <w:tcBorders>
              <w:tl2br w:val="nil"/>
              <w:tr2bl w:val="nil"/>
            </w:tcBorders>
            <w:vAlign w:val="center"/>
          </w:tcPr>
          <w:p w14:paraId="6D319065">
            <w:pPr>
              <w:spacing w:line="240" w:lineRule="auto"/>
              <w:ind w:firstLine="0" w:firstLineChars="0"/>
              <w:jc w:val="center"/>
              <w:rPr>
                <w:color w:val="auto"/>
                <w:sz w:val="21"/>
                <w:szCs w:val="21"/>
              </w:rPr>
            </w:pPr>
            <w:r>
              <w:rPr>
                <w:rFonts w:hint="eastAsia"/>
                <w:color w:val="auto"/>
                <w:sz w:val="21"/>
                <w:szCs w:val="21"/>
              </w:rPr>
              <w:t>拟建项目不涉及锅炉。</w:t>
            </w:r>
          </w:p>
        </w:tc>
        <w:tc>
          <w:tcPr>
            <w:tcW w:w="369" w:type="pct"/>
            <w:tcBorders>
              <w:tl2br w:val="nil"/>
              <w:tr2bl w:val="nil"/>
            </w:tcBorders>
            <w:vAlign w:val="center"/>
          </w:tcPr>
          <w:p w14:paraId="217D6B67">
            <w:pPr>
              <w:spacing w:line="240" w:lineRule="auto"/>
              <w:ind w:firstLine="0" w:firstLineChars="0"/>
              <w:jc w:val="center"/>
              <w:rPr>
                <w:color w:val="auto"/>
                <w:sz w:val="21"/>
                <w:szCs w:val="21"/>
              </w:rPr>
            </w:pPr>
            <w:r>
              <w:rPr>
                <w:rFonts w:hint="eastAsia"/>
                <w:color w:val="auto"/>
                <w:sz w:val="21"/>
                <w:szCs w:val="21"/>
              </w:rPr>
              <w:t>符合</w:t>
            </w:r>
          </w:p>
        </w:tc>
      </w:tr>
    </w:tbl>
    <w:p w14:paraId="2AB32F6E">
      <w:pPr>
        <w:pStyle w:val="5"/>
        <w:spacing w:before="156"/>
        <w:rPr>
          <w:color w:val="auto"/>
        </w:rPr>
      </w:pPr>
      <w:r>
        <w:rPr>
          <w:rFonts w:hint="eastAsia"/>
          <w:color w:val="auto"/>
        </w:rPr>
        <w:t>1.4.4.15</w:t>
      </w:r>
      <w:r>
        <w:rPr>
          <w:color w:val="auto"/>
        </w:rPr>
        <w:t>与《关于做好生态环境和应急管理部门联动工作的意见》（苏环办[2020]101号）相符性分析</w:t>
      </w:r>
    </w:p>
    <w:p w14:paraId="484F5152">
      <w:pPr>
        <w:ind w:firstLine="480"/>
        <w:rPr>
          <w:color w:val="auto"/>
        </w:rPr>
      </w:pPr>
      <w:r>
        <w:rPr>
          <w:rFonts w:hint="eastAsia"/>
          <w:color w:val="auto"/>
        </w:rPr>
        <w:t>文件要求：</w:t>
      </w:r>
      <w:r>
        <w:rPr>
          <w:color w:val="auto"/>
        </w:rPr>
        <w:t>二、建立危险废物监管联动机制</w:t>
      </w:r>
    </w:p>
    <w:p w14:paraId="40D84755">
      <w:pPr>
        <w:ind w:firstLine="480"/>
        <w:rPr>
          <w:color w:val="auto"/>
        </w:rPr>
      </w:pPr>
      <w:r>
        <w:rPr>
          <w:color w:val="auto"/>
        </w:rPr>
        <w:t>2、企业法定代表人和实际控制人是企业废弃危险化学品等危险废物安全环保全过程管理的第一责任人，企业要切实履行好从危险废物产生、收集、储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p w14:paraId="3A135165">
      <w:pPr>
        <w:ind w:firstLine="482"/>
        <w:rPr>
          <w:b/>
          <w:bCs/>
          <w:color w:val="auto"/>
        </w:rPr>
      </w:pPr>
      <w:r>
        <w:rPr>
          <w:rFonts w:hint="eastAsia"/>
          <w:b/>
          <w:bCs/>
          <w:color w:val="auto"/>
        </w:rPr>
        <w:t>拟建</w:t>
      </w:r>
      <w:r>
        <w:rPr>
          <w:b/>
          <w:bCs/>
          <w:color w:val="auto"/>
        </w:rPr>
        <w:t>项目建成后将严格执行危险固废管理制度，设置安全环保全过程管理的第一责任人，制定危险废物管理计划并报属地生态环境部门备案。</w:t>
      </w:r>
    </w:p>
    <w:p w14:paraId="1708736B">
      <w:pPr>
        <w:ind w:firstLine="480"/>
        <w:rPr>
          <w:color w:val="auto"/>
        </w:rPr>
      </w:pPr>
      <w:r>
        <w:rPr>
          <w:color w:val="auto"/>
        </w:rPr>
        <w:t>3、生态环境部门依法对危险废物的收集、储存、处置等进行监督管理。收到企业废弃危险化学品等危险废物管理计划后，对符合备案要求的，纳入危险废物管理。生态环境部门要将危险废物管理计划备案情况及时通报应急管理部门。</w:t>
      </w:r>
    </w:p>
    <w:p w14:paraId="616E3C54">
      <w:pPr>
        <w:ind w:firstLine="482"/>
        <w:rPr>
          <w:b/>
          <w:bCs/>
          <w:color w:val="auto"/>
        </w:rPr>
      </w:pPr>
      <w:r>
        <w:rPr>
          <w:rFonts w:hint="eastAsia"/>
          <w:b/>
          <w:bCs/>
          <w:color w:val="auto"/>
        </w:rPr>
        <w:t>拟建</w:t>
      </w:r>
      <w:r>
        <w:rPr>
          <w:b/>
          <w:bCs/>
          <w:color w:val="auto"/>
        </w:rPr>
        <w:t>项目建成后，企业将按要求制定危险废物管理计划并报属地生态环境部门备案。</w:t>
      </w:r>
    </w:p>
    <w:p w14:paraId="055208C0">
      <w:pPr>
        <w:ind w:firstLine="480"/>
        <w:rPr>
          <w:color w:val="auto"/>
        </w:rPr>
      </w:pPr>
      <w:r>
        <w:rPr>
          <w:color w:val="auto"/>
        </w:rPr>
        <w:t>4、应急管理部门要督促企业加强安全生产工作，加强危险化学品企业中间产品、最终产品以及拟废弃危险化学品的安全管理。</w:t>
      </w:r>
    </w:p>
    <w:p w14:paraId="57B4A753">
      <w:pPr>
        <w:ind w:firstLine="482"/>
        <w:rPr>
          <w:b/>
          <w:bCs/>
          <w:color w:val="auto"/>
        </w:rPr>
      </w:pPr>
      <w:r>
        <w:rPr>
          <w:rFonts w:hint="eastAsia"/>
          <w:b/>
          <w:bCs/>
          <w:color w:val="auto"/>
        </w:rPr>
        <w:t>拟建</w:t>
      </w:r>
      <w:r>
        <w:rPr>
          <w:b/>
          <w:bCs/>
          <w:color w:val="auto"/>
        </w:rPr>
        <w:t>项目</w:t>
      </w:r>
      <w:r>
        <w:rPr>
          <w:rFonts w:hint="eastAsia"/>
          <w:b/>
          <w:bCs/>
          <w:color w:val="auto"/>
        </w:rPr>
        <w:t>产生的各类</w:t>
      </w:r>
      <w:r>
        <w:rPr>
          <w:b/>
          <w:bCs/>
          <w:color w:val="auto"/>
        </w:rPr>
        <w:t>固体废物</w:t>
      </w:r>
      <w:r>
        <w:rPr>
          <w:rFonts w:hint="eastAsia"/>
          <w:b/>
          <w:bCs/>
          <w:color w:val="auto"/>
        </w:rPr>
        <w:t>严格</w:t>
      </w:r>
      <w:r>
        <w:rPr>
          <w:b/>
          <w:bCs/>
          <w:color w:val="auto"/>
        </w:rPr>
        <w:t>按照HJ1091-2020</w:t>
      </w:r>
      <w:r>
        <w:rPr>
          <w:rFonts w:hint="eastAsia"/>
          <w:b/>
          <w:bCs/>
          <w:color w:val="auto"/>
        </w:rPr>
        <w:t>相关</w:t>
      </w:r>
      <w:r>
        <w:rPr>
          <w:b/>
          <w:bCs/>
          <w:color w:val="auto"/>
        </w:rPr>
        <w:t>要求进行合法合规处置。</w:t>
      </w:r>
    </w:p>
    <w:p w14:paraId="7787F636">
      <w:pPr>
        <w:ind w:firstLine="480"/>
        <w:rPr>
          <w:color w:val="auto"/>
        </w:rPr>
      </w:pPr>
      <w:r>
        <w:rPr>
          <w:color w:val="auto"/>
        </w:rPr>
        <w:t>三、建立环境治理设施监管联动机制</w:t>
      </w:r>
    </w:p>
    <w:p w14:paraId="70074B37">
      <w:pPr>
        <w:ind w:firstLine="480"/>
        <w:rPr>
          <w:color w:val="auto"/>
        </w:rPr>
      </w:pPr>
      <w:r>
        <w:rPr>
          <w:color w:val="auto"/>
        </w:rPr>
        <w:t>6、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4D0BCF87">
      <w:pPr>
        <w:ind w:firstLine="480"/>
        <w:rPr>
          <w:color w:val="auto"/>
        </w:rPr>
      </w:pPr>
      <w:r>
        <w:rPr>
          <w:color w:val="auto"/>
        </w:rPr>
        <w:t>7、生态环境部门在上述六类环境治理设施的环评审批过程中，要督促企业开展安全风险辨识，并将已审批的环境治理设施项目及时通报应急管理部门。生态环境部门在日常环境监管中，将发现的安全隐患线索及时移送应急管理部门</w:t>
      </w:r>
    </w:p>
    <w:p w14:paraId="026327F6">
      <w:pPr>
        <w:ind w:firstLine="480"/>
        <w:rPr>
          <w:color w:val="auto"/>
        </w:rPr>
      </w:pPr>
      <w:r>
        <w:rPr>
          <w:color w:val="auto"/>
        </w:rPr>
        <w:t>8、应急管理部门应当将上述六类环境治理设施纳入安全监管范围，推进企业安全生产标准化体系建设。对生态环境部门发现移送的安全隐患线索进行核查，督促企业进行整改，消除安全隐患。</w:t>
      </w:r>
    </w:p>
    <w:p w14:paraId="16F04305">
      <w:pPr>
        <w:ind w:firstLine="482"/>
        <w:rPr>
          <w:b/>
          <w:bCs/>
          <w:color w:val="auto"/>
        </w:rPr>
      </w:pPr>
      <w:r>
        <w:rPr>
          <w:rFonts w:hint="eastAsia"/>
          <w:b/>
          <w:bCs/>
          <w:color w:val="auto"/>
        </w:rPr>
        <w:t>拟建</w:t>
      </w:r>
      <w:r>
        <w:rPr>
          <w:b/>
          <w:bCs/>
          <w:color w:val="auto"/>
        </w:rPr>
        <w:t>项目</w:t>
      </w:r>
      <w:r>
        <w:rPr>
          <w:rFonts w:hint="eastAsia"/>
          <w:b/>
          <w:bCs/>
          <w:color w:val="auto"/>
        </w:rPr>
        <w:t>涉及氨气、SO</w:t>
      </w:r>
      <w:r>
        <w:rPr>
          <w:rFonts w:hint="eastAsia"/>
          <w:b/>
          <w:bCs/>
          <w:color w:val="auto"/>
          <w:vertAlign w:val="subscript"/>
        </w:rPr>
        <w:t>2</w:t>
      </w:r>
      <w:r>
        <w:rPr>
          <w:rFonts w:hint="eastAsia"/>
          <w:b/>
          <w:bCs/>
          <w:color w:val="auto"/>
        </w:rPr>
        <w:t>和颗粒物等废气与</w:t>
      </w:r>
      <w:r>
        <w:rPr>
          <w:b/>
          <w:bCs/>
          <w:color w:val="auto"/>
        </w:rPr>
        <w:t>污水处理等</w:t>
      </w:r>
      <w:r>
        <w:rPr>
          <w:rFonts w:hint="eastAsia"/>
          <w:b/>
          <w:bCs/>
          <w:color w:val="auto"/>
        </w:rPr>
        <w:t>环境</w:t>
      </w:r>
      <w:r>
        <w:rPr>
          <w:b/>
          <w:bCs/>
          <w:color w:val="auto"/>
        </w:rPr>
        <w:t>治理设施，此次项目环境影响评价针对上述内容开展了风险辨识</w:t>
      </w:r>
      <w:r>
        <w:rPr>
          <w:rFonts w:hint="eastAsia"/>
          <w:b/>
          <w:bCs/>
          <w:color w:val="auto"/>
        </w:rPr>
        <w:t>。同时启东亚太已在2026年4月</w:t>
      </w:r>
      <w:r>
        <w:rPr>
          <w:b/>
          <w:bCs/>
          <w:color w:val="auto"/>
        </w:rPr>
        <w:t>编制</w:t>
      </w:r>
      <w:r>
        <w:rPr>
          <w:rFonts w:hint="eastAsia"/>
          <w:b/>
          <w:bCs/>
          <w:color w:val="auto"/>
        </w:rPr>
        <w:t>更新突发环境事件</w:t>
      </w:r>
      <w:r>
        <w:rPr>
          <w:b/>
          <w:bCs/>
          <w:color w:val="auto"/>
        </w:rPr>
        <w:t>应急预案</w:t>
      </w:r>
      <w:r>
        <w:rPr>
          <w:rFonts w:hint="eastAsia"/>
          <w:b/>
          <w:bCs/>
          <w:color w:val="auto"/>
        </w:rPr>
        <w:t>并于2026年4月10日进行了备案（备案号：320681-2026-033-M）</w:t>
      </w:r>
      <w:r>
        <w:rPr>
          <w:b/>
          <w:bCs/>
          <w:color w:val="auto"/>
        </w:rPr>
        <w:t>，制定污染防治设施稳定运行和管理责任制度，相关操作人员做到培训上岗。</w:t>
      </w:r>
    </w:p>
    <w:p w14:paraId="74436533">
      <w:pPr>
        <w:ind w:firstLine="482"/>
        <w:rPr>
          <w:b/>
          <w:bCs/>
          <w:color w:val="auto"/>
        </w:rPr>
      </w:pPr>
      <w:r>
        <w:rPr>
          <w:rFonts w:hint="eastAsia"/>
          <w:b/>
          <w:bCs/>
          <w:color w:val="auto"/>
        </w:rPr>
        <w:t>综上，拟建项目建设与</w:t>
      </w:r>
      <w:r>
        <w:rPr>
          <w:b/>
          <w:bCs/>
          <w:color w:val="auto"/>
        </w:rPr>
        <w:t>《关于做好生态环境和应急管理部门联动工作的意见》（苏环办[2020]101号）相符</w:t>
      </w:r>
      <w:r>
        <w:rPr>
          <w:rFonts w:hint="eastAsia"/>
          <w:b/>
          <w:bCs/>
          <w:color w:val="auto"/>
        </w:rPr>
        <w:t>。</w:t>
      </w:r>
    </w:p>
    <w:p w14:paraId="426CE99E">
      <w:pPr>
        <w:pStyle w:val="5"/>
        <w:spacing w:before="156"/>
        <w:rPr>
          <w:color w:val="auto"/>
        </w:rPr>
      </w:pPr>
      <w:r>
        <w:rPr>
          <w:rFonts w:hint="eastAsia"/>
          <w:color w:val="auto"/>
        </w:rPr>
        <w:t>1.4.4.16</w:t>
      </w:r>
      <w:r>
        <w:rPr>
          <w:color w:val="auto"/>
        </w:rPr>
        <w:t>与《省政府关于加快推进化工产业高质量发展的意见》(苏环办[2024]9号)相符性分析</w:t>
      </w:r>
    </w:p>
    <w:p w14:paraId="674B1887">
      <w:pPr>
        <w:adjustRightInd/>
        <w:snapToGrid/>
        <w:ind w:firstLine="480"/>
        <w:rPr>
          <w:rFonts w:eastAsia="仿宋_GB2312"/>
          <w:color w:val="auto"/>
          <w:sz w:val="28"/>
          <w:szCs w:val="28"/>
        </w:rPr>
      </w:pPr>
      <w:r>
        <w:rPr>
          <w:rFonts w:hint="eastAsia"/>
          <w:bCs/>
          <w:color w:val="auto"/>
          <w:szCs w:val="22"/>
        </w:rPr>
        <w:t>拟建为医药项目，不属于化工项目，亚太药业为化工重点监测点，现有项目为化工项目。亚太药业</w:t>
      </w:r>
      <w:r>
        <w:rPr>
          <w:bCs/>
          <w:color w:val="auto"/>
          <w:szCs w:val="22"/>
        </w:rPr>
        <w:t>与《省政府关于加快推进化工产业高质量发展的意见》(苏环办[2024]109号)中相关要求相符性分析如下表1.</w:t>
      </w:r>
      <w:r>
        <w:rPr>
          <w:rFonts w:hint="eastAsia"/>
          <w:bCs/>
          <w:color w:val="auto"/>
          <w:szCs w:val="22"/>
        </w:rPr>
        <w:t>4-18</w:t>
      </w:r>
      <w:r>
        <w:rPr>
          <w:bCs/>
          <w:color w:val="auto"/>
          <w:szCs w:val="22"/>
        </w:rPr>
        <w:t>。</w:t>
      </w:r>
    </w:p>
    <w:p w14:paraId="46F8F3D8">
      <w:pPr>
        <w:pStyle w:val="49"/>
        <w:rPr>
          <w:color w:val="auto"/>
        </w:rPr>
      </w:pPr>
      <w:r>
        <w:rPr>
          <w:color w:val="auto"/>
        </w:rPr>
        <w:t>表1.4</w:t>
      </w:r>
      <w:r>
        <w:rPr>
          <w:rFonts w:hint="eastAsia"/>
          <w:color w:val="auto"/>
        </w:rPr>
        <w:t>-18</w:t>
      </w:r>
      <w:r>
        <w:rPr>
          <w:color w:val="auto"/>
        </w:rPr>
        <w:t xml:space="preserve">  与苏环办[2023]109号相符性分析</w:t>
      </w:r>
    </w:p>
    <w:tbl>
      <w:tblPr>
        <w:tblStyle w:val="25"/>
        <w:tblW w:w="4999"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56"/>
        <w:gridCol w:w="4764"/>
        <w:gridCol w:w="3380"/>
        <w:gridCol w:w="736"/>
      </w:tblGrid>
      <w:tr w14:paraId="5FD7F91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2863" w:type="pct"/>
            <w:gridSpan w:val="2"/>
            <w:tcBorders>
              <w:tl2br w:val="nil"/>
              <w:tr2bl w:val="nil"/>
            </w:tcBorders>
            <w:vAlign w:val="center"/>
          </w:tcPr>
          <w:p w14:paraId="57AF8886">
            <w:pPr>
              <w:overflowPunct w:val="0"/>
              <w:adjustRightInd/>
              <w:snapToGrid/>
              <w:spacing w:line="240" w:lineRule="auto"/>
              <w:ind w:firstLine="0" w:firstLineChars="0"/>
              <w:jc w:val="center"/>
              <w:rPr>
                <w:b/>
                <w:color w:val="auto"/>
                <w:sz w:val="21"/>
                <w:szCs w:val="21"/>
              </w:rPr>
            </w:pPr>
            <w:r>
              <w:rPr>
                <w:b/>
                <w:color w:val="auto"/>
                <w:sz w:val="21"/>
                <w:szCs w:val="21"/>
              </w:rPr>
              <w:t>文件要求</w:t>
            </w:r>
          </w:p>
        </w:tc>
        <w:tc>
          <w:tcPr>
            <w:tcW w:w="1753" w:type="pct"/>
            <w:tcBorders>
              <w:tl2br w:val="nil"/>
              <w:tr2bl w:val="nil"/>
            </w:tcBorders>
            <w:vAlign w:val="center"/>
          </w:tcPr>
          <w:p w14:paraId="04155B78">
            <w:pPr>
              <w:overflowPunct w:val="0"/>
              <w:adjustRightInd/>
              <w:snapToGrid/>
              <w:spacing w:line="240" w:lineRule="auto"/>
              <w:ind w:firstLine="0" w:firstLineChars="0"/>
              <w:jc w:val="center"/>
              <w:rPr>
                <w:b/>
                <w:color w:val="auto"/>
                <w:sz w:val="21"/>
                <w:szCs w:val="21"/>
              </w:rPr>
            </w:pPr>
            <w:r>
              <w:rPr>
                <w:rFonts w:hint="eastAsia"/>
                <w:b/>
                <w:color w:val="auto"/>
                <w:sz w:val="21"/>
                <w:szCs w:val="21"/>
              </w:rPr>
              <w:t>拟建</w:t>
            </w:r>
            <w:r>
              <w:rPr>
                <w:b/>
                <w:color w:val="auto"/>
                <w:sz w:val="21"/>
                <w:szCs w:val="21"/>
              </w:rPr>
              <w:t>情况</w:t>
            </w:r>
          </w:p>
        </w:tc>
        <w:tc>
          <w:tcPr>
            <w:tcW w:w="382" w:type="pct"/>
            <w:tcBorders>
              <w:tl2br w:val="nil"/>
              <w:tr2bl w:val="nil"/>
            </w:tcBorders>
            <w:vAlign w:val="center"/>
          </w:tcPr>
          <w:p w14:paraId="4262B574">
            <w:pPr>
              <w:overflowPunct w:val="0"/>
              <w:adjustRightInd/>
              <w:snapToGrid/>
              <w:spacing w:line="240" w:lineRule="auto"/>
              <w:ind w:firstLine="0" w:firstLineChars="0"/>
              <w:jc w:val="center"/>
              <w:rPr>
                <w:b/>
                <w:color w:val="auto"/>
                <w:sz w:val="21"/>
                <w:szCs w:val="21"/>
              </w:rPr>
            </w:pPr>
            <w:r>
              <w:rPr>
                <w:b/>
                <w:color w:val="auto"/>
                <w:sz w:val="21"/>
                <w:szCs w:val="21"/>
              </w:rPr>
              <w:t>相符性</w:t>
            </w:r>
          </w:p>
        </w:tc>
      </w:tr>
      <w:tr w14:paraId="1D34502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392" w:type="pct"/>
            <w:tcBorders>
              <w:tl2br w:val="nil"/>
              <w:tr2bl w:val="nil"/>
            </w:tcBorders>
            <w:vAlign w:val="center"/>
          </w:tcPr>
          <w:p w14:paraId="7B7B8194">
            <w:pPr>
              <w:overflowPunct w:val="0"/>
              <w:adjustRightInd/>
              <w:snapToGrid/>
              <w:spacing w:line="240" w:lineRule="auto"/>
              <w:ind w:firstLine="0" w:firstLineChars="0"/>
              <w:jc w:val="center"/>
              <w:rPr>
                <w:color w:val="auto"/>
                <w:sz w:val="21"/>
                <w:szCs w:val="21"/>
              </w:rPr>
            </w:pPr>
            <w:r>
              <w:rPr>
                <w:color w:val="auto"/>
                <w:sz w:val="21"/>
                <w:szCs w:val="21"/>
              </w:rPr>
              <w:t>推进产业结构调整</w:t>
            </w:r>
          </w:p>
        </w:tc>
        <w:tc>
          <w:tcPr>
            <w:tcW w:w="2471" w:type="pct"/>
            <w:tcBorders>
              <w:tl2br w:val="nil"/>
              <w:tr2bl w:val="nil"/>
            </w:tcBorders>
            <w:vAlign w:val="center"/>
          </w:tcPr>
          <w:p w14:paraId="4C26FAA2">
            <w:pPr>
              <w:overflowPunct w:val="0"/>
              <w:adjustRightInd/>
              <w:snapToGrid/>
              <w:spacing w:line="240" w:lineRule="auto"/>
              <w:ind w:firstLine="0" w:firstLineChars="0"/>
              <w:jc w:val="center"/>
              <w:rPr>
                <w:color w:val="auto"/>
                <w:sz w:val="21"/>
                <w:szCs w:val="21"/>
              </w:rPr>
            </w:pPr>
            <w:r>
              <w:rPr>
                <w:color w:val="auto"/>
                <w:sz w:val="21"/>
                <w:szCs w:val="21"/>
              </w:rPr>
              <w:t>支持企业提质升级。化工园区外企业搬迁入园确有困难的，可以通过提升安全环保管理和技术创新能力认定为化工重点监测点。化工重点监测点可以在不新增供地、不增加主要污染物排放总量的情况下新建、改建、扩建化工项目；确需增加主要污染物排放总量的，由设区市人民政府研究后在县级行政区域内调剂平衡。园区外其他企业(非化工重点监测点)在不新增产品类别、不增加主要污染物排放总量、提升本质安全环保水平的前提下，可以实施提升改造项目。</w:t>
            </w:r>
          </w:p>
        </w:tc>
        <w:tc>
          <w:tcPr>
            <w:tcW w:w="1753" w:type="pct"/>
            <w:tcBorders>
              <w:tl2br w:val="nil"/>
              <w:tr2bl w:val="nil"/>
            </w:tcBorders>
            <w:vAlign w:val="center"/>
          </w:tcPr>
          <w:p w14:paraId="0E69FA09">
            <w:pPr>
              <w:widowControl/>
              <w:spacing w:line="240" w:lineRule="auto"/>
              <w:ind w:firstLine="0" w:firstLineChars="0"/>
              <w:jc w:val="center"/>
              <w:rPr>
                <w:color w:val="auto"/>
                <w:sz w:val="21"/>
                <w:szCs w:val="21"/>
              </w:rPr>
            </w:pPr>
            <w:r>
              <w:rPr>
                <w:rFonts w:hint="eastAsia"/>
                <w:color w:val="auto"/>
                <w:sz w:val="21"/>
                <w:szCs w:val="21"/>
              </w:rPr>
              <w:t>启东亚太</w:t>
            </w:r>
            <w:r>
              <w:rPr>
                <w:color w:val="auto"/>
                <w:sz w:val="21"/>
                <w:szCs w:val="21"/>
              </w:rPr>
              <w:t>于2021年被南通市化治办认定为南通市化工重点监测点，</w:t>
            </w:r>
            <w:r>
              <w:rPr>
                <w:rFonts w:hint="eastAsia"/>
                <w:color w:val="auto"/>
                <w:sz w:val="21"/>
                <w:szCs w:val="21"/>
              </w:rPr>
              <w:t>拟建项目不新增用地，污染物排放总量指标将在现有排放总量内平衡。</w:t>
            </w:r>
          </w:p>
        </w:tc>
        <w:tc>
          <w:tcPr>
            <w:tcW w:w="382" w:type="pct"/>
            <w:tcBorders>
              <w:tl2br w:val="nil"/>
              <w:tr2bl w:val="nil"/>
            </w:tcBorders>
            <w:vAlign w:val="center"/>
          </w:tcPr>
          <w:p w14:paraId="12A9F54D">
            <w:pPr>
              <w:overflowPunct w:val="0"/>
              <w:adjustRightInd/>
              <w:snapToGrid/>
              <w:spacing w:line="240" w:lineRule="auto"/>
              <w:ind w:firstLine="0" w:firstLineChars="0"/>
              <w:jc w:val="center"/>
              <w:rPr>
                <w:color w:val="auto"/>
                <w:sz w:val="21"/>
                <w:szCs w:val="21"/>
              </w:rPr>
            </w:pPr>
            <w:r>
              <w:rPr>
                <w:color w:val="auto"/>
                <w:sz w:val="21"/>
                <w:szCs w:val="21"/>
              </w:rPr>
              <w:t>相符</w:t>
            </w:r>
          </w:p>
        </w:tc>
      </w:tr>
    </w:tbl>
    <w:p w14:paraId="0976AB90">
      <w:pPr>
        <w:adjustRightInd/>
        <w:snapToGrid/>
        <w:ind w:firstLine="480"/>
        <w:rPr>
          <w:bCs/>
          <w:color w:val="auto"/>
          <w:szCs w:val="22"/>
        </w:rPr>
      </w:pPr>
      <w:r>
        <w:rPr>
          <w:bCs/>
          <w:color w:val="auto"/>
          <w:szCs w:val="22"/>
        </w:rPr>
        <w:t>根据上表分析，</w:t>
      </w:r>
      <w:r>
        <w:rPr>
          <w:rFonts w:hint="eastAsia"/>
          <w:bCs/>
          <w:color w:val="auto"/>
          <w:szCs w:val="22"/>
        </w:rPr>
        <w:t>拟建</w:t>
      </w:r>
      <w:r>
        <w:rPr>
          <w:bCs/>
          <w:color w:val="auto"/>
          <w:szCs w:val="22"/>
        </w:rPr>
        <w:t>建设符合《省政府关于加快推进化工产业高质量发展的意见》</w:t>
      </w:r>
      <w:r>
        <w:rPr>
          <w:rFonts w:hint="eastAsia"/>
          <w:bCs/>
          <w:color w:val="auto"/>
          <w:szCs w:val="22"/>
        </w:rPr>
        <w:t>（</w:t>
      </w:r>
      <w:r>
        <w:rPr>
          <w:bCs/>
          <w:color w:val="auto"/>
          <w:szCs w:val="22"/>
        </w:rPr>
        <w:t>苏环办[204]9号</w:t>
      </w:r>
      <w:r>
        <w:rPr>
          <w:rFonts w:hint="eastAsia"/>
          <w:bCs/>
          <w:color w:val="auto"/>
          <w:szCs w:val="22"/>
        </w:rPr>
        <w:t>）</w:t>
      </w:r>
      <w:r>
        <w:rPr>
          <w:bCs/>
          <w:color w:val="auto"/>
          <w:szCs w:val="22"/>
        </w:rPr>
        <w:t>中相关要求。</w:t>
      </w:r>
    </w:p>
    <w:p w14:paraId="3A6AFD9B">
      <w:pPr>
        <w:pStyle w:val="5"/>
        <w:spacing w:before="156"/>
        <w:rPr>
          <w:color w:val="auto"/>
        </w:rPr>
      </w:pPr>
      <w:r>
        <w:rPr>
          <w:rFonts w:hint="eastAsia"/>
          <w:color w:val="auto"/>
        </w:rPr>
        <w:t>1.4.4.17与《关于加强重点行业涉新污染物建设项目环境影响评价工作的意见》（环环评〔2025〕28号）相符性分析</w:t>
      </w:r>
    </w:p>
    <w:p w14:paraId="358FE76B">
      <w:pPr>
        <w:spacing w:line="500" w:lineRule="atLeast"/>
        <w:ind w:firstLine="480"/>
        <w:rPr>
          <w:bCs/>
          <w:color w:val="auto"/>
          <w:szCs w:val="22"/>
        </w:rPr>
      </w:pPr>
      <w:r>
        <w:rPr>
          <w:bCs/>
          <w:color w:val="auto"/>
          <w:szCs w:val="22"/>
        </w:rPr>
        <w:t>根据《关于加强重点行业涉新污染物建设项目环境影响评价工作的意见》：重点关注重点管控新污染物清单、有毒有害污染物名录、优先控制化学品名录以及《关于持久性有机污染物的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6CADD1FB">
      <w:pPr>
        <w:spacing w:line="500" w:lineRule="atLeast"/>
        <w:ind w:firstLine="480"/>
        <w:rPr>
          <w:bCs/>
          <w:color w:val="auto"/>
          <w:szCs w:val="22"/>
        </w:rPr>
      </w:pPr>
      <w:r>
        <w:rPr>
          <w:rFonts w:hint="eastAsia"/>
          <w:bCs/>
          <w:color w:val="auto"/>
          <w:szCs w:val="22"/>
        </w:rPr>
        <w:t>拟建项目对照《重点管控新污染物清单（2023年版）》，拟建项目不涉及其中新污染物；对照《有毒有害大气污染物名录（2018年）》，拟建项目不涉及其中新污染物；对照《有毒有害水污染物名录》（第一批、第二批），拟建项目不涉及其中新污染物；对照《优先控制化学品名录》（第一批、第二批、第三批），拟建项目不涉及其中新污染物；对照《关于持久性有机污染物的斯德哥尔摩公约》，拟建项目不涉及其中污染物，详见下表。</w:t>
      </w:r>
    </w:p>
    <w:p w14:paraId="5965C07C">
      <w:pPr>
        <w:pStyle w:val="49"/>
        <w:rPr>
          <w:color w:val="auto"/>
        </w:rPr>
      </w:pPr>
    </w:p>
    <w:p w14:paraId="635D696A">
      <w:pPr>
        <w:pStyle w:val="49"/>
        <w:rPr>
          <w:color w:val="auto"/>
        </w:rPr>
      </w:pPr>
      <w:r>
        <w:rPr>
          <w:rFonts w:hint="eastAsia"/>
          <w:color w:val="auto"/>
        </w:rPr>
        <w:t>表1.4-19  拟建项目与</w:t>
      </w:r>
      <w:r>
        <w:rPr>
          <w:color w:val="auto"/>
        </w:rPr>
        <w:t>《重点管控新污染物清单（2023年版）》</w:t>
      </w:r>
      <w:r>
        <w:rPr>
          <w:rFonts w:hint="eastAsia"/>
          <w:color w:val="auto"/>
        </w:rPr>
        <w:t>对照</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61"/>
        <w:gridCol w:w="1296"/>
        <w:gridCol w:w="3315"/>
        <w:gridCol w:w="2497"/>
        <w:gridCol w:w="1585"/>
      </w:tblGrid>
      <w:tr w14:paraId="55BD9F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11A2029E">
            <w:pPr>
              <w:spacing w:line="240" w:lineRule="auto"/>
              <w:ind w:firstLine="0" w:firstLineChars="0"/>
              <w:jc w:val="center"/>
              <w:rPr>
                <w:b/>
                <w:color w:val="auto"/>
                <w:sz w:val="21"/>
                <w:szCs w:val="21"/>
              </w:rPr>
            </w:pPr>
            <w:r>
              <w:rPr>
                <w:b/>
                <w:color w:val="auto"/>
                <w:sz w:val="21"/>
                <w:szCs w:val="21"/>
              </w:rPr>
              <w:t>序号</w:t>
            </w:r>
          </w:p>
        </w:tc>
        <w:tc>
          <w:tcPr>
            <w:tcW w:w="2338" w:type="pct"/>
            <w:gridSpan w:val="2"/>
            <w:tcBorders>
              <w:tl2br w:val="nil"/>
              <w:tr2bl w:val="nil"/>
            </w:tcBorders>
            <w:vAlign w:val="center"/>
          </w:tcPr>
          <w:p w14:paraId="0F4B2B96">
            <w:pPr>
              <w:spacing w:line="240" w:lineRule="auto"/>
              <w:ind w:firstLine="0" w:firstLineChars="0"/>
              <w:jc w:val="center"/>
              <w:rPr>
                <w:b/>
                <w:color w:val="auto"/>
                <w:sz w:val="21"/>
                <w:szCs w:val="21"/>
              </w:rPr>
            </w:pPr>
            <w:r>
              <w:rPr>
                <w:b/>
                <w:color w:val="auto"/>
                <w:sz w:val="21"/>
                <w:szCs w:val="21"/>
              </w:rPr>
              <w:t>新污染物名称</w:t>
            </w:r>
          </w:p>
        </w:tc>
        <w:tc>
          <w:tcPr>
            <w:tcW w:w="1266" w:type="pct"/>
            <w:tcBorders>
              <w:tl2br w:val="nil"/>
              <w:tr2bl w:val="nil"/>
            </w:tcBorders>
            <w:vAlign w:val="center"/>
          </w:tcPr>
          <w:p w14:paraId="51D3D835">
            <w:pPr>
              <w:spacing w:line="240" w:lineRule="auto"/>
              <w:ind w:firstLine="0" w:firstLineChars="0"/>
              <w:jc w:val="center"/>
              <w:rPr>
                <w:b/>
                <w:color w:val="auto"/>
                <w:sz w:val="21"/>
                <w:szCs w:val="21"/>
              </w:rPr>
            </w:pPr>
            <w:r>
              <w:rPr>
                <w:b/>
                <w:color w:val="auto"/>
                <w:sz w:val="21"/>
                <w:szCs w:val="21"/>
              </w:rPr>
              <w:t>CAS号</w:t>
            </w:r>
          </w:p>
        </w:tc>
        <w:tc>
          <w:tcPr>
            <w:tcW w:w="804" w:type="pct"/>
            <w:tcBorders>
              <w:tl2br w:val="nil"/>
              <w:tr2bl w:val="nil"/>
            </w:tcBorders>
            <w:vAlign w:val="center"/>
          </w:tcPr>
          <w:p w14:paraId="471A445E">
            <w:pPr>
              <w:spacing w:line="240" w:lineRule="auto"/>
              <w:ind w:firstLine="0" w:firstLineChars="0"/>
              <w:jc w:val="center"/>
              <w:rPr>
                <w:b/>
                <w:color w:val="auto"/>
                <w:sz w:val="21"/>
                <w:szCs w:val="21"/>
              </w:rPr>
            </w:pPr>
            <w:r>
              <w:rPr>
                <w:rFonts w:hint="eastAsia"/>
                <w:b/>
                <w:color w:val="auto"/>
                <w:sz w:val="21"/>
                <w:szCs w:val="21"/>
              </w:rPr>
              <w:t>拟建项目</w:t>
            </w:r>
            <w:r>
              <w:rPr>
                <w:b/>
                <w:color w:val="auto"/>
                <w:sz w:val="21"/>
                <w:szCs w:val="21"/>
              </w:rPr>
              <w:t>情况</w:t>
            </w:r>
          </w:p>
        </w:tc>
      </w:tr>
      <w:tr w14:paraId="40F321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6690FADB">
            <w:pPr>
              <w:spacing w:line="240" w:lineRule="auto"/>
              <w:ind w:firstLine="0" w:firstLineChars="0"/>
              <w:jc w:val="center"/>
              <w:rPr>
                <w:color w:val="auto"/>
                <w:sz w:val="21"/>
                <w:szCs w:val="21"/>
              </w:rPr>
            </w:pPr>
            <w:r>
              <w:rPr>
                <w:color w:val="auto"/>
                <w:sz w:val="21"/>
                <w:szCs w:val="21"/>
              </w:rPr>
              <w:t>1</w:t>
            </w:r>
          </w:p>
        </w:tc>
        <w:tc>
          <w:tcPr>
            <w:tcW w:w="2338" w:type="pct"/>
            <w:gridSpan w:val="2"/>
            <w:tcBorders>
              <w:tl2br w:val="nil"/>
              <w:tr2bl w:val="nil"/>
            </w:tcBorders>
            <w:vAlign w:val="center"/>
          </w:tcPr>
          <w:p w14:paraId="62F49E84">
            <w:pPr>
              <w:spacing w:line="240" w:lineRule="auto"/>
              <w:ind w:firstLine="0" w:firstLineChars="0"/>
              <w:jc w:val="center"/>
              <w:rPr>
                <w:color w:val="auto"/>
                <w:sz w:val="21"/>
                <w:szCs w:val="21"/>
              </w:rPr>
            </w:pPr>
            <w:r>
              <w:rPr>
                <w:color w:val="auto"/>
                <w:sz w:val="21"/>
                <w:szCs w:val="21"/>
              </w:rPr>
              <w:t>全氟辛基磺酸及其盐类和全氟辛基磺酰氟</w:t>
            </w:r>
          </w:p>
          <w:p w14:paraId="5D720A90">
            <w:pPr>
              <w:spacing w:line="240" w:lineRule="auto"/>
              <w:ind w:firstLine="0" w:firstLineChars="0"/>
              <w:jc w:val="center"/>
              <w:rPr>
                <w:color w:val="auto"/>
                <w:sz w:val="21"/>
                <w:szCs w:val="21"/>
              </w:rPr>
            </w:pPr>
            <w:r>
              <w:rPr>
                <w:color w:val="auto"/>
                <w:sz w:val="21"/>
                <w:szCs w:val="21"/>
              </w:rPr>
              <w:t>（PFOS类）</w:t>
            </w:r>
          </w:p>
        </w:tc>
        <w:tc>
          <w:tcPr>
            <w:tcW w:w="1266" w:type="pct"/>
            <w:tcBorders>
              <w:tl2br w:val="nil"/>
              <w:tr2bl w:val="nil"/>
            </w:tcBorders>
            <w:vAlign w:val="center"/>
          </w:tcPr>
          <w:p w14:paraId="7B0C23A1">
            <w:pPr>
              <w:spacing w:line="240" w:lineRule="auto"/>
              <w:ind w:firstLine="0" w:firstLineChars="0"/>
              <w:jc w:val="center"/>
              <w:rPr>
                <w:color w:val="auto"/>
                <w:sz w:val="21"/>
                <w:szCs w:val="21"/>
              </w:rPr>
            </w:pPr>
            <w:r>
              <w:rPr>
                <w:color w:val="auto"/>
                <w:sz w:val="21"/>
                <w:szCs w:val="21"/>
              </w:rPr>
              <w:t>例如：</w:t>
            </w:r>
          </w:p>
          <w:p w14:paraId="1BBFD838">
            <w:pPr>
              <w:spacing w:line="240" w:lineRule="auto"/>
              <w:ind w:firstLine="0" w:firstLineChars="0"/>
              <w:jc w:val="center"/>
              <w:rPr>
                <w:color w:val="auto"/>
                <w:sz w:val="21"/>
                <w:szCs w:val="21"/>
              </w:rPr>
            </w:pPr>
            <w:r>
              <w:rPr>
                <w:color w:val="auto"/>
                <w:sz w:val="21"/>
                <w:szCs w:val="21"/>
              </w:rPr>
              <w:t>1763-23-1</w:t>
            </w:r>
          </w:p>
          <w:p w14:paraId="29D69238">
            <w:pPr>
              <w:spacing w:line="240" w:lineRule="auto"/>
              <w:ind w:firstLine="0" w:firstLineChars="0"/>
              <w:jc w:val="center"/>
              <w:rPr>
                <w:color w:val="auto"/>
                <w:sz w:val="21"/>
                <w:szCs w:val="21"/>
              </w:rPr>
            </w:pPr>
            <w:r>
              <w:rPr>
                <w:color w:val="auto"/>
                <w:sz w:val="21"/>
                <w:szCs w:val="21"/>
              </w:rPr>
              <w:t>307-35-7</w:t>
            </w:r>
          </w:p>
          <w:p w14:paraId="27B438D3">
            <w:pPr>
              <w:spacing w:line="240" w:lineRule="auto"/>
              <w:ind w:firstLine="0" w:firstLineChars="0"/>
              <w:jc w:val="center"/>
              <w:rPr>
                <w:color w:val="auto"/>
                <w:sz w:val="21"/>
                <w:szCs w:val="21"/>
              </w:rPr>
            </w:pPr>
            <w:r>
              <w:rPr>
                <w:color w:val="auto"/>
                <w:sz w:val="21"/>
                <w:szCs w:val="21"/>
              </w:rPr>
              <w:t>2795-39-3</w:t>
            </w:r>
          </w:p>
          <w:p w14:paraId="47F4BF42">
            <w:pPr>
              <w:spacing w:line="240" w:lineRule="auto"/>
              <w:ind w:firstLine="0" w:firstLineChars="0"/>
              <w:jc w:val="center"/>
              <w:rPr>
                <w:color w:val="auto"/>
                <w:sz w:val="21"/>
                <w:szCs w:val="21"/>
              </w:rPr>
            </w:pPr>
            <w:r>
              <w:rPr>
                <w:color w:val="auto"/>
                <w:sz w:val="21"/>
                <w:szCs w:val="21"/>
              </w:rPr>
              <w:t>29457-72-5</w:t>
            </w:r>
          </w:p>
          <w:p w14:paraId="135A2131">
            <w:pPr>
              <w:spacing w:line="240" w:lineRule="auto"/>
              <w:ind w:firstLine="0" w:firstLineChars="0"/>
              <w:jc w:val="center"/>
              <w:rPr>
                <w:color w:val="auto"/>
                <w:sz w:val="21"/>
                <w:szCs w:val="21"/>
              </w:rPr>
            </w:pPr>
            <w:r>
              <w:rPr>
                <w:color w:val="auto"/>
                <w:sz w:val="21"/>
                <w:szCs w:val="21"/>
              </w:rPr>
              <w:t>29081-56-9</w:t>
            </w:r>
          </w:p>
          <w:p w14:paraId="03B822F4">
            <w:pPr>
              <w:spacing w:line="240" w:lineRule="auto"/>
              <w:ind w:firstLine="0" w:firstLineChars="0"/>
              <w:jc w:val="center"/>
              <w:rPr>
                <w:color w:val="auto"/>
                <w:sz w:val="21"/>
                <w:szCs w:val="21"/>
              </w:rPr>
            </w:pPr>
            <w:r>
              <w:rPr>
                <w:color w:val="auto"/>
                <w:sz w:val="21"/>
                <w:szCs w:val="21"/>
              </w:rPr>
              <w:t>70225-14-8</w:t>
            </w:r>
          </w:p>
          <w:p w14:paraId="4A21AF6D">
            <w:pPr>
              <w:spacing w:line="240" w:lineRule="auto"/>
              <w:ind w:firstLine="0" w:firstLineChars="0"/>
              <w:jc w:val="center"/>
              <w:rPr>
                <w:color w:val="auto"/>
                <w:sz w:val="21"/>
                <w:szCs w:val="21"/>
              </w:rPr>
            </w:pPr>
            <w:r>
              <w:rPr>
                <w:color w:val="auto"/>
                <w:sz w:val="21"/>
                <w:szCs w:val="21"/>
              </w:rPr>
              <w:t>56773-42-3</w:t>
            </w:r>
          </w:p>
          <w:p w14:paraId="0953B8B3">
            <w:pPr>
              <w:spacing w:line="240" w:lineRule="auto"/>
              <w:ind w:firstLine="0" w:firstLineChars="0"/>
              <w:jc w:val="center"/>
              <w:rPr>
                <w:color w:val="auto"/>
                <w:sz w:val="21"/>
                <w:szCs w:val="21"/>
              </w:rPr>
            </w:pPr>
            <w:r>
              <w:rPr>
                <w:color w:val="auto"/>
                <w:sz w:val="21"/>
                <w:szCs w:val="21"/>
              </w:rPr>
              <w:t>251099-16-8</w:t>
            </w:r>
          </w:p>
        </w:tc>
        <w:tc>
          <w:tcPr>
            <w:tcW w:w="804" w:type="pct"/>
            <w:tcBorders>
              <w:tl2br w:val="nil"/>
              <w:tr2bl w:val="nil"/>
            </w:tcBorders>
            <w:vAlign w:val="center"/>
          </w:tcPr>
          <w:p w14:paraId="6BE1652B">
            <w:pPr>
              <w:spacing w:line="240" w:lineRule="auto"/>
              <w:ind w:firstLine="0" w:firstLineChars="0"/>
              <w:jc w:val="center"/>
              <w:rPr>
                <w:color w:val="auto"/>
                <w:sz w:val="21"/>
                <w:szCs w:val="21"/>
              </w:rPr>
            </w:pPr>
            <w:r>
              <w:rPr>
                <w:color w:val="auto"/>
                <w:sz w:val="21"/>
                <w:szCs w:val="21"/>
              </w:rPr>
              <w:t>不涉及</w:t>
            </w:r>
          </w:p>
        </w:tc>
      </w:tr>
      <w:tr w14:paraId="09F01E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4A46CD81">
            <w:pPr>
              <w:spacing w:line="240" w:lineRule="auto"/>
              <w:ind w:firstLine="0" w:firstLineChars="0"/>
              <w:jc w:val="center"/>
              <w:rPr>
                <w:color w:val="auto"/>
                <w:sz w:val="21"/>
                <w:szCs w:val="21"/>
              </w:rPr>
            </w:pPr>
            <w:r>
              <w:rPr>
                <w:color w:val="auto"/>
                <w:sz w:val="21"/>
                <w:szCs w:val="21"/>
              </w:rPr>
              <w:t>2</w:t>
            </w:r>
          </w:p>
        </w:tc>
        <w:tc>
          <w:tcPr>
            <w:tcW w:w="2338" w:type="pct"/>
            <w:gridSpan w:val="2"/>
            <w:tcBorders>
              <w:tl2br w:val="nil"/>
              <w:tr2bl w:val="nil"/>
            </w:tcBorders>
            <w:vAlign w:val="center"/>
          </w:tcPr>
          <w:p w14:paraId="19469E0A">
            <w:pPr>
              <w:spacing w:line="240" w:lineRule="auto"/>
              <w:ind w:firstLine="0" w:firstLineChars="0"/>
              <w:jc w:val="center"/>
              <w:rPr>
                <w:color w:val="auto"/>
                <w:sz w:val="21"/>
                <w:szCs w:val="21"/>
              </w:rPr>
            </w:pPr>
            <w:r>
              <w:rPr>
                <w:color w:val="auto"/>
                <w:sz w:val="21"/>
                <w:szCs w:val="21"/>
              </w:rPr>
              <w:t>全氟辛酸及其盐类和相关化合物</w:t>
            </w:r>
          </w:p>
          <w:p w14:paraId="4529A6BF">
            <w:pPr>
              <w:spacing w:line="240" w:lineRule="auto"/>
              <w:ind w:firstLine="0" w:firstLineChars="0"/>
              <w:jc w:val="center"/>
              <w:rPr>
                <w:color w:val="auto"/>
                <w:sz w:val="21"/>
                <w:szCs w:val="21"/>
              </w:rPr>
            </w:pPr>
            <w:r>
              <w:rPr>
                <w:color w:val="auto"/>
                <w:sz w:val="21"/>
                <w:szCs w:val="21"/>
              </w:rPr>
              <w:t>（PFOA 类）</w:t>
            </w:r>
          </w:p>
        </w:tc>
        <w:tc>
          <w:tcPr>
            <w:tcW w:w="1266" w:type="pct"/>
            <w:tcBorders>
              <w:tl2br w:val="nil"/>
              <w:tr2bl w:val="nil"/>
            </w:tcBorders>
            <w:vAlign w:val="center"/>
          </w:tcPr>
          <w:p w14:paraId="69EEC14E">
            <w:pPr>
              <w:spacing w:line="240" w:lineRule="auto"/>
              <w:ind w:firstLine="0" w:firstLineChars="0"/>
              <w:jc w:val="center"/>
              <w:rPr>
                <w:color w:val="auto"/>
                <w:sz w:val="21"/>
                <w:szCs w:val="21"/>
              </w:rPr>
            </w:pPr>
            <w:r>
              <w:rPr>
                <w:color w:val="auto"/>
                <w:sz w:val="21"/>
                <w:szCs w:val="21"/>
              </w:rPr>
              <w:t>/</w:t>
            </w:r>
          </w:p>
        </w:tc>
        <w:tc>
          <w:tcPr>
            <w:tcW w:w="804" w:type="pct"/>
            <w:tcBorders>
              <w:tl2br w:val="nil"/>
              <w:tr2bl w:val="nil"/>
            </w:tcBorders>
            <w:vAlign w:val="center"/>
          </w:tcPr>
          <w:p w14:paraId="077AB7F6">
            <w:pPr>
              <w:spacing w:line="240" w:lineRule="auto"/>
              <w:ind w:firstLine="0" w:firstLineChars="0"/>
              <w:jc w:val="center"/>
              <w:rPr>
                <w:color w:val="auto"/>
                <w:sz w:val="21"/>
                <w:szCs w:val="21"/>
              </w:rPr>
            </w:pPr>
            <w:r>
              <w:rPr>
                <w:color w:val="auto"/>
                <w:sz w:val="21"/>
                <w:szCs w:val="21"/>
              </w:rPr>
              <w:t>不涉及</w:t>
            </w:r>
          </w:p>
        </w:tc>
      </w:tr>
      <w:tr w14:paraId="772B0E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5BBDAFB7">
            <w:pPr>
              <w:spacing w:line="240" w:lineRule="auto"/>
              <w:ind w:firstLine="0" w:firstLineChars="0"/>
              <w:jc w:val="center"/>
              <w:rPr>
                <w:color w:val="auto"/>
                <w:sz w:val="21"/>
                <w:szCs w:val="21"/>
              </w:rPr>
            </w:pPr>
            <w:r>
              <w:rPr>
                <w:color w:val="auto"/>
                <w:sz w:val="21"/>
                <w:szCs w:val="21"/>
              </w:rPr>
              <w:t>3</w:t>
            </w:r>
          </w:p>
        </w:tc>
        <w:tc>
          <w:tcPr>
            <w:tcW w:w="2338" w:type="pct"/>
            <w:gridSpan w:val="2"/>
            <w:tcBorders>
              <w:tl2br w:val="nil"/>
              <w:tr2bl w:val="nil"/>
            </w:tcBorders>
            <w:vAlign w:val="center"/>
          </w:tcPr>
          <w:p w14:paraId="170AD4E7">
            <w:pPr>
              <w:spacing w:line="240" w:lineRule="auto"/>
              <w:ind w:firstLine="0" w:firstLineChars="0"/>
              <w:jc w:val="center"/>
              <w:rPr>
                <w:color w:val="auto"/>
                <w:sz w:val="21"/>
                <w:szCs w:val="21"/>
              </w:rPr>
            </w:pPr>
            <w:r>
              <w:rPr>
                <w:color w:val="auto"/>
                <w:sz w:val="21"/>
                <w:szCs w:val="21"/>
              </w:rPr>
              <w:t>十溴二苯醚</w:t>
            </w:r>
          </w:p>
        </w:tc>
        <w:tc>
          <w:tcPr>
            <w:tcW w:w="1266" w:type="pct"/>
            <w:tcBorders>
              <w:tl2br w:val="nil"/>
              <w:tr2bl w:val="nil"/>
            </w:tcBorders>
            <w:vAlign w:val="center"/>
          </w:tcPr>
          <w:p w14:paraId="15965818">
            <w:pPr>
              <w:spacing w:line="240" w:lineRule="auto"/>
              <w:ind w:firstLine="0" w:firstLineChars="0"/>
              <w:jc w:val="center"/>
              <w:rPr>
                <w:color w:val="auto"/>
                <w:sz w:val="21"/>
                <w:szCs w:val="21"/>
              </w:rPr>
            </w:pPr>
            <w:r>
              <w:rPr>
                <w:color w:val="auto"/>
                <w:sz w:val="21"/>
                <w:szCs w:val="21"/>
              </w:rPr>
              <w:t>1163-19-5</w:t>
            </w:r>
          </w:p>
        </w:tc>
        <w:tc>
          <w:tcPr>
            <w:tcW w:w="804" w:type="pct"/>
            <w:tcBorders>
              <w:tl2br w:val="nil"/>
              <w:tr2bl w:val="nil"/>
            </w:tcBorders>
            <w:vAlign w:val="center"/>
          </w:tcPr>
          <w:p w14:paraId="43BE50B5">
            <w:pPr>
              <w:spacing w:line="240" w:lineRule="auto"/>
              <w:ind w:firstLine="0" w:firstLineChars="0"/>
              <w:jc w:val="center"/>
              <w:rPr>
                <w:color w:val="auto"/>
                <w:sz w:val="21"/>
                <w:szCs w:val="21"/>
              </w:rPr>
            </w:pPr>
            <w:r>
              <w:rPr>
                <w:color w:val="auto"/>
                <w:sz w:val="21"/>
                <w:szCs w:val="21"/>
              </w:rPr>
              <w:t>不涉及</w:t>
            </w:r>
          </w:p>
        </w:tc>
      </w:tr>
      <w:tr w14:paraId="76DA21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49CE15DF">
            <w:pPr>
              <w:spacing w:line="240" w:lineRule="auto"/>
              <w:ind w:firstLine="0" w:firstLineChars="0"/>
              <w:jc w:val="center"/>
              <w:rPr>
                <w:color w:val="auto"/>
                <w:sz w:val="21"/>
                <w:szCs w:val="21"/>
              </w:rPr>
            </w:pPr>
            <w:r>
              <w:rPr>
                <w:color w:val="auto"/>
                <w:sz w:val="21"/>
                <w:szCs w:val="21"/>
              </w:rPr>
              <w:t>4</w:t>
            </w:r>
          </w:p>
        </w:tc>
        <w:tc>
          <w:tcPr>
            <w:tcW w:w="2338" w:type="pct"/>
            <w:gridSpan w:val="2"/>
            <w:tcBorders>
              <w:tl2br w:val="nil"/>
              <w:tr2bl w:val="nil"/>
            </w:tcBorders>
            <w:vAlign w:val="center"/>
          </w:tcPr>
          <w:p w14:paraId="0229F271">
            <w:pPr>
              <w:spacing w:line="240" w:lineRule="auto"/>
              <w:ind w:firstLine="0" w:firstLineChars="0"/>
              <w:jc w:val="center"/>
              <w:rPr>
                <w:color w:val="auto"/>
                <w:sz w:val="21"/>
                <w:szCs w:val="21"/>
              </w:rPr>
            </w:pPr>
            <w:r>
              <w:rPr>
                <w:color w:val="auto"/>
                <w:sz w:val="21"/>
                <w:szCs w:val="21"/>
              </w:rPr>
              <w:t>短链氯化石蜡</w:t>
            </w:r>
          </w:p>
        </w:tc>
        <w:tc>
          <w:tcPr>
            <w:tcW w:w="1266" w:type="pct"/>
            <w:tcBorders>
              <w:tl2br w:val="nil"/>
              <w:tr2bl w:val="nil"/>
            </w:tcBorders>
            <w:vAlign w:val="center"/>
          </w:tcPr>
          <w:p w14:paraId="1E469825">
            <w:pPr>
              <w:spacing w:line="240" w:lineRule="auto"/>
              <w:ind w:firstLine="0" w:firstLineChars="0"/>
              <w:jc w:val="center"/>
              <w:rPr>
                <w:color w:val="auto"/>
                <w:sz w:val="21"/>
                <w:szCs w:val="21"/>
              </w:rPr>
            </w:pPr>
            <w:r>
              <w:rPr>
                <w:color w:val="auto"/>
                <w:sz w:val="21"/>
                <w:szCs w:val="21"/>
              </w:rPr>
              <w:t>例如：</w:t>
            </w:r>
          </w:p>
          <w:p w14:paraId="154774AD">
            <w:pPr>
              <w:spacing w:line="240" w:lineRule="auto"/>
              <w:ind w:firstLine="0" w:firstLineChars="0"/>
              <w:jc w:val="center"/>
              <w:rPr>
                <w:color w:val="auto"/>
                <w:sz w:val="21"/>
                <w:szCs w:val="21"/>
              </w:rPr>
            </w:pPr>
            <w:r>
              <w:rPr>
                <w:color w:val="auto"/>
                <w:sz w:val="21"/>
                <w:szCs w:val="21"/>
              </w:rPr>
              <w:t>85535-84-8</w:t>
            </w:r>
          </w:p>
          <w:p w14:paraId="7153C1EC">
            <w:pPr>
              <w:spacing w:line="240" w:lineRule="auto"/>
              <w:ind w:firstLine="0" w:firstLineChars="0"/>
              <w:jc w:val="center"/>
              <w:rPr>
                <w:color w:val="auto"/>
                <w:sz w:val="21"/>
                <w:szCs w:val="21"/>
              </w:rPr>
            </w:pPr>
            <w:r>
              <w:rPr>
                <w:color w:val="auto"/>
                <w:sz w:val="21"/>
                <w:szCs w:val="21"/>
              </w:rPr>
              <w:t>68920-70-7</w:t>
            </w:r>
          </w:p>
          <w:p w14:paraId="354379F7">
            <w:pPr>
              <w:spacing w:line="240" w:lineRule="auto"/>
              <w:ind w:firstLine="0" w:firstLineChars="0"/>
              <w:jc w:val="center"/>
              <w:rPr>
                <w:color w:val="auto"/>
                <w:sz w:val="21"/>
                <w:szCs w:val="21"/>
              </w:rPr>
            </w:pPr>
            <w:r>
              <w:rPr>
                <w:color w:val="auto"/>
                <w:sz w:val="21"/>
                <w:szCs w:val="21"/>
              </w:rPr>
              <w:t>71011-12-6</w:t>
            </w:r>
          </w:p>
          <w:p w14:paraId="78AABCB0">
            <w:pPr>
              <w:spacing w:line="240" w:lineRule="auto"/>
              <w:ind w:firstLine="0" w:firstLineChars="0"/>
              <w:jc w:val="center"/>
              <w:rPr>
                <w:color w:val="auto"/>
                <w:sz w:val="21"/>
                <w:szCs w:val="21"/>
              </w:rPr>
            </w:pPr>
            <w:r>
              <w:rPr>
                <w:color w:val="auto"/>
                <w:sz w:val="21"/>
                <w:szCs w:val="21"/>
              </w:rPr>
              <w:t>85536-22-7</w:t>
            </w:r>
          </w:p>
          <w:p w14:paraId="4915A279">
            <w:pPr>
              <w:spacing w:line="240" w:lineRule="auto"/>
              <w:ind w:firstLine="0" w:firstLineChars="0"/>
              <w:jc w:val="center"/>
              <w:rPr>
                <w:color w:val="auto"/>
                <w:sz w:val="21"/>
                <w:szCs w:val="21"/>
              </w:rPr>
            </w:pPr>
            <w:r>
              <w:rPr>
                <w:color w:val="auto"/>
                <w:sz w:val="21"/>
                <w:szCs w:val="21"/>
              </w:rPr>
              <w:t>85681-73-8</w:t>
            </w:r>
          </w:p>
          <w:p w14:paraId="5E06E395">
            <w:pPr>
              <w:spacing w:line="240" w:lineRule="auto"/>
              <w:ind w:firstLine="0" w:firstLineChars="0"/>
              <w:jc w:val="center"/>
              <w:rPr>
                <w:color w:val="auto"/>
                <w:sz w:val="21"/>
                <w:szCs w:val="21"/>
              </w:rPr>
            </w:pPr>
            <w:r>
              <w:rPr>
                <w:color w:val="auto"/>
                <w:sz w:val="21"/>
                <w:szCs w:val="21"/>
              </w:rPr>
              <w:t>108171-26-2</w:t>
            </w:r>
          </w:p>
        </w:tc>
        <w:tc>
          <w:tcPr>
            <w:tcW w:w="804" w:type="pct"/>
            <w:tcBorders>
              <w:tl2br w:val="nil"/>
              <w:tr2bl w:val="nil"/>
            </w:tcBorders>
            <w:vAlign w:val="center"/>
          </w:tcPr>
          <w:p w14:paraId="4955ACFC">
            <w:pPr>
              <w:spacing w:line="240" w:lineRule="auto"/>
              <w:ind w:firstLine="0" w:firstLineChars="0"/>
              <w:jc w:val="center"/>
              <w:rPr>
                <w:color w:val="auto"/>
                <w:sz w:val="21"/>
                <w:szCs w:val="21"/>
              </w:rPr>
            </w:pPr>
            <w:r>
              <w:rPr>
                <w:color w:val="auto"/>
                <w:sz w:val="21"/>
                <w:szCs w:val="21"/>
              </w:rPr>
              <w:t>不涉及</w:t>
            </w:r>
          </w:p>
        </w:tc>
      </w:tr>
      <w:tr w14:paraId="31BDF4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29546DE5">
            <w:pPr>
              <w:spacing w:line="240" w:lineRule="auto"/>
              <w:ind w:firstLine="0" w:firstLineChars="0"/>
              <w:jc w:val="center"/>
              <w:rPr>
                <w:color w:val="auto"/>
                <w:sz w:val="21"/>
                <w:szCs w:val="21"/>
              </w:rPr>
            </w:pPr>
            <w:r>
              <w:rPr>
                <w:color w:val="auto"/>
                <w:sz w:val="21"/>
                <w:szCs w:val="21"/>
              </w:rPr>
              <w:t>5</w:t>
            </w:r>
          </w:p>
        </w:tc>
        <w:tc>
          <w:tcPr>
            <w:tcW w:w="2338" w:type="pct"/>
            <w:gridSpan w:val="2"/>
            <w:tcBorders>
              <w:tl2br w:val="nil"/>
              <w:tr2bl w:val="nil"/>
            </w:tcBorders>
            <w:vAlign w:val="center"/>
          </w:tcPr>
          <w:p w14:paraId="2708BA24">
            <w:pPr>
              <w:spacing w:line="240" w:lineRule="auto"/>
              <w:ind w:firstLine="0" w:firstLineChars="0"/>
              <w:jc w:val="center"/>
              <w:rPr>
                <w:color w:val="auto"/>
                <w:sz w:val="21"/>
                <w:szCs w:val="21"/>
              </w:rPr>
            </w:pPr>
            <w:r>
              <w:rPr>
                <w:color w:val="auto"/>
                <w:sz w:val="21"/>
                <w:szCs w:val="21"/>
              </w:rPr>
              <w:t>六氯丁二烯</w:t>
            </w:r>
          </w:p>
        </w:tc>
        <w:tc>
          <w:tcPr>
            <w:tcW w:w="1266" w:type="pct"/>
            <w:tcBorders>
              <w:tl2br w:val="nil"/>
              <w:tr2bl w:val="nil"/>
            </w:tcBorders>
            <w:vAlign w:val="center"/>
          </w:tcPr>
          <w:p w14:paraId="14D9C9A7">
            <w:pPr>
              <w:tabs>
                <w:tab w:val="left" w:pos="735"/>
              </w:tabs>
              <w:spacing w:line="240" w:lineRule="auto"/>
              <w:ind w:firstLine="0" w:firstLineChars="0"/>
              <w:jc w:val="center"/>
              <w:rPr>
                <w:color w:val="auto"/>
                <w:sz w:val="21"/>
                <w:szCs w:val="21"/>
              </w:rPr>
            </w:pPr>
            <w:r>
              <w:rPr>
                <w:color w:val="auto"/>
                <w:sz w:val="21"/>
                <w:szCs w:val="21"/>
              </w:rPr>
              <w:t>87-68-3</w:t>
            </w:r>
          </w:p>
        </w:tc>
        <w:tc>
          <w:tcPr>
            <w:tcW w:w="804" w:type="pct"/>
            <w:tcBorders>
              <w:tl2br w:val="nil"/>
              <w:tr2bl w:val="nil"/>
            </w:tcBorders>
            <w:vAlign w:val="center"/>
          </w:tcPr>
          <w:p w14:paraId="0219C597">
            <w:pPr>
              <w:spacing w:line="240" w:lineRule="auto"/>
              <w:ind w:firstLine="0" w:firstLineChars="0"/>
              <w:jc w:val="center"/>
              <w:rPr>
                <w:color w:val="auto"/>
                <w:sz w:val="21"/>
                <w:szCs w:val="21"/>
              </w:rPr>
            </w:pPr>
            <w:r>
              <w:rPr>
                <w:color w:val="auto"/>
                <w:sz w:val="21"/>
                <w:szCs w:val="21"/>
              </w:rPr>
              <w:t>不涉及</w:t>
            </w:r>
          </w:p>
        </w:tc>
      </w:tr>
      <w:tr w14:paraId="49A715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5F6C8486">
            <w:pPr>
              <w:spacing w:line="240" w:lineRule="auto"/>
              <w:ind w:firstLine="0" w:firstLineChars="0"/>
              <w:jc w:val="center"/>
              <w:rPr>
                <w:color w:val="auto"/>
                <w:sz w:val="21"/>
                <w:szCs w:val="21"/>
              </w:rPr>
            </w:pPr>
            <w:r>
              <w:rPr>
                <w:color w:val="auto"/>
                <w:sz w:val="21"/>
                <w:szCs w:val="21"/>
              </w:rPr>
              <w:t>6</w:t>
            </w:r>
          </w:p>
        </w:tc>
        <w:tc>
          <w:tcPr>
            <w:tcW w:w="2338" w:type="pct"/>
            <w:gridSpan w:val="2"/>
            <w:tcBorders>
              <w:tl2br w:val="nil"/>
              <w:tr2bl w:val="nil"/>
            </w:tcBorders>
            <w:vAlign w:val="center"/>
          </w:tcPr>
          <w:p w14:paraId="6124E7C3">
            <w:pPr>
              <w:spacing w:line="240" w:lineRule="auto"/>
              <w:ind w:firstLine="0" w:firstLineChars="0"/>
              <w:jc w:val="center"/>
              <w:rPr>
                <w:color w:val="auto"/>
                <w:sz w:val="21"/>
                <w:szCs w:val="21"/>
              </w:rPr>
            </w:pPr>
            <w:r>
              <w:rPr>
                <w:color w:val="auto"/>
                <w:sz w:val="21"/>
                <w:szCs w:val="21"/>
              </w:rPr>
              <w:t>五氯苯酚及其盐类和酯类</w:t>
            </w:r>
          </w:p>
        </w:tc>
        <w:tc>
          <w:tcPr>
            <w:tcW w:w="1266" w:type="pct"/>
            <w:tcBorders>
              <w:tl2br w:val="nil"/>
              <w:tr2bl w:val="nil"/>
            </w:tcBorders>
            <w:vAlign w:val="center"/>
          </w:tcPr>
          <w:p w14:paraId="5FDC10EF">
            <w:pPr>
              <w:spacing w:line="240" w:lineRule="auto"/>
              <w:ind w:firstLine="0" w:firstLineChars="0"/>
              <w:jc w:val="center"/>
              <w:rPr>
                <w:color w:val="auto"/>
                <w:sz w:val="21"/>
                <w:szCs w:val="21"/>
              </w:rPr>
            </w:pPr>
            <w:r>
              <w:rPr>
                <w:color w:val="auto"/>
                <w:sz w:val="21"/>
                <w:szCs w:val="21"/>
              </w:rPr>
              <w:t>87-86-5</w:t>
            </w:r>
          </w:p>
          <w:p w14:paraId="18828CA6">
            <w:pPr>
              <w:spacing w:line="240" w:lineRule="auto"/>
              <w:ind w:firstLine="0" w:firstLineChars="0"/>
              <w:jc w:val="center"/>
              <w:rPr>
                <w:color w:val="auto"/>
                <w:sz w:val="21"/>
                <w:szCs w:val="21"/>
              </w:rPr>
            </w:pPr>
            <w:r>
              <w:rPr>
                <w:color w:val="auto"/>
                <w:sz w:val="21"/>
                <w:szCs w:val="21"/>
              </w:rPr>
              <w:t>131-52-2</w:t>
            </w:r>
          </w:p>
          <w:p w14:paraId="635A7E64">
            <w:pPr>
              <w:spacing w:line="240" w:lineRule="auto"/>
              <w:ind w:firstLine="0" w:firstLineChars="0"/>
              <w:jc w:val="center"/>
              <w:rPr>
                <w:color w:val="auto"/>
                <w:sz w:val="21"/>
                <w:szCs w:val="21"/>
              </w:rPr>
            </w:pPr>
            <w:r>
              <w:rPr>
                <w:color w:val="auto"/>
                <w:sz w:val="21"/>
                <w:szCs w:val="21"/>
              </w:rPr>
              <w:t>27735-64-4</w:t>
            </w:r>
          </w:p>
          <w:p w14:paraId="21AFA41D">
            <w:pPr>
              <w:spacing w:line="240" w:lineRule="auto"/>
              <w:ind w:firstLine="0" w:firstLineChars="0"/>
              <w:jc w:val="center"/>
              <w:rPr>
                <w:color w:val="auto"/>
                <w:sz w:val="21"/>
                <w:szCs w:val="21"/>
              </w:rPr>
            </w:pPr>
            <w:r>
              <w:rPr>
                <w:color w:val="auto"/>
                <w:sz w:val="21"/>
                <w:szCs w:val="21"/>
              </w:rPr>
              <w:t>3772-94-9</w:t>
            </w:r>
          </w:p>
          <w:p w14:paraId="6A37A195">
            <w:pPr>
              <w:spacing w:line="240" w:lineRule="auto"/>
              <w:ind w:firstLine="0" w:firstLineChars="0"/>
              <w:jc w:val="center"/>
              <w:rPr>
                <w:color w:val="auto"/>
                <w:sz w:val="21"/>
                <w:szCs w:val="21"/>
              </w:rPr>
            </w:pPr>
            <w:r>
              <w:rPr>
                <w:color w:val="auto"/>
                <w:sz w:val="21"/>
                <w:szCs w:val="21"/>
              </w:rPr>
              <w:t>1825-21-4</w:t>
            </w:r>
          </w:p>
        </w:tc>
        <w:tc>
          <w:tcPr>
            <w:tcW w:w="804" w:type="pct"/>
            <w:tcBorders>
              <w:tl2br w:val="nil"/>
              <w:tr2bl w:val="nil"/>
            </w:tcBorders>
            <w:vAlign w:val="center"/>
          </w:tcPr>
          <w:p w14:paraId="733EC20B">
            <w:pPr>
              <w:spacing w:line="240" w:lineRule="auto"/>
              <w:ind w:firstLine="0" w:firstLineChars="0"/>
              <w:jc w:val="center"/>
              <w:rPr>
                <w:color w:val="auto"/>
                <w:sz w:val="21"/>
                <w:szCs w:val="21"/>
              </w:rPr>
            </w:pPr>
            <w:r>
              <w:rPr>
                <w:color w:val="auto"/>
                <w:sz w:val="21"/>
                <w:szCs w:val="21"/>
              </w:rPr>
              <w:t>不涉及</w:t>
            </w:r>
          </w:p>
        </w:tc>
      </w:tr>
      <w:tr w14:paraId="387F4D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2A014811">
            <w:pPr>
              <w:spacing w:line="240" w:lineRule="auto"/>
              <w:ind w:firstLine="0" w:firstLineChars="0"/>
              <w:jc w:val="center"/>
              <w:rPr>
                <w:color w:val="auto"/>
                <w:sz w:val="21"/>
                <w:szCs w:val="21"/>
              </w:rPr>
            </w:pPr>
            <w:r>
              <w:rPr>
                <w:color w:val="auto"/>
                <w:sz w:val="21"/>
                <w:szCs w:val="21"/>
              </w:rPr>
              <w:t>7</w:t>
            </w:r>
          </w:p>
        </w:tc>
        <w:tc>
          <w:tcPr>
            <w:tcW w:w="2338" w:type="pct"/>
            <w:gridSpan w:val="2"/>
            <w:tcBorders>
              <w:tl2br w:val="nil"/>
              <w:tr2bl w:val="nil"/>
            </w:tcBorders>
            <w:vAlign w:val="center"/>
          </w:tcPr>
          <w:p w14:paraId="0E3690A4">
            <w:pPr>
              <w:spacing w:line="240" w:lineRule="auto"/>
              <w:ind w:firstLine="0" w:firstLineChars="0"/>
              <w:jc w:val="center"/>
              <w:rPr>
                <w:color w:val="auto"/>
                <w:sz w:val="21"/>
                <w:szCs w:val="21"/>
              </w:rPr>
            </w:pPr>
            <w:r>
              <w:rPr>
                <w:color w:val="auto"/>
                <w:sz w:val="21"/>
                <w:szCs w:val="21"/>
              </w:rPr>
              <w:t>三氯杀螨醇</w:t>
            </w:r>
          </w:p>
        </w:tc>
        <w:tc>
          <w:tcPr>
            <w:tcW w:w="1266" w:type="pct"/>
            <w:tcBorders>
              <w:tl2br w:val="nil"/>
              <w:tr2bl w:val="nil"/>
            </w:tcBorders>
            <w:vAlign w:val="center"/>
          </w:tcPr>
          <w:p w14:paraId="5E579C99">
            <w:pPr>
              <w:spacing w:line="240" w:lineRule="auto"/>
              <w:ind w:firstLine="0" w:firstLineChars="0"/>
              <w:jc w:val="center"/>
              <w:rPr>
                <w:color w:val="auto"/>
                <w:sz w:val="21"/>
                <w:szCs w:val="21"/>
              </w:rPr>
            </w:pPr>
            <w:r>
              <w:rPr>
                <w:color w:val="auto"/>
                <w:sz w:val="21"/>
                <w:szCs w:val="21"/>
              </w:rPr>
              <w:t>115-32-2</w:t>
            </w:r>
          </w:p>
          <w:p w14:paraId="621F7C30">
            <w:pPr>
              <w:spacing w:line="240" w:lineRule="auto"/>
              <w:ind w:firstLine="0" w:firstLineChars="0"/>
              <w:jc w:val="center"/>
              <w:rPr>
                <w:color w:val="auto"/>
                <w:sz w:val="21"/>
                <w:szCs w:val="21"/>
              </w:rPr>
            </w:pPr>
            <w:r>
              <w:rPr>
                <w:color w:val="auto"/>
                <w:sz w:val="21"/>
                <w:szCs w:val="21"/>
              </w:rPr>
              <w:t>10606-46-9</w:t>
            </w:r>
          </w:p>
        </w:tc>
        <w:tc>
          <w:tcPr>
            <w:tcW w:w="804" w:type="pct"/>
            <w:tcBorders>
              <w:tl2br w:val="nil"/>
              <w:tr2bl w:val="nil"/>
            </w:tcBorders>
            <w:vAlign w:val="center"/>
          </w:tcPr>
          <w:p w14:paraId="6CEC18C6">
            <w:pPr>
              <w:spacing w:line="240" w:lineRule="auto"/>
              <w:ind w:firstLine="0" w:firstLineChars="0"/>
              <w:jc w:val="center"/>
              <w:rPr>
                <w:color w:val="auto"/>
                <w:sz w:val="21"/>
                <w:szCs w:val="21"/>
              </w:rPr>
            </w:pPr>
            <w:r>
              <w:rPr>
                <w:color w:val="auto"/>
                <w:sz w:val="21"/>
                <w:szCs w:val="21"/>
              </w:rPr>
              <w:t>不涉及</w:t>
            </w:r>
          </w:p>
        </w:tc>
      </w:tr>
      <w:tr w14:paraId="150307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06DB8496">
            <w:pPr>
              <w:spacing w:line="240" w:lineRule="auto"/>
              <w:ind w:firstLine="0" w:firstLineChars="0"/>
              <w:jc w:val="center"/>
              <w:rPr>
                <w:color w:val="auto"/>
                <w:sz w:val="21"/>
                <w:szCs w:val="21"/>
              </w:rPr>
            </w:pPr>
            <w:r>
              <w:rPr>
                <w:color w:val="auto"/>
                <w:sz w:val="21"/>
                <w:szCs w:val="21"/>
              </w:rPr>
              <w:t>8</w:t>
            </w:r>
          </w:p>
        </w:tc>
        <w:tc>
          <w:tcPr>
            <w:tcW w:w="2338" w:type="pct"/>
            <w:gridSpan w:val="2"/>
            <w:tcBorders>
              <w:tl2br w:val="nil"/>
              <w:tr2bl w:val="nil"/>
            </w:tcBorders>
            <w:vAlign w:val="center"/>
          </w:tcPr>
          <w:p w14:paraId="2E7A2BC9">
            <w:pPr>
              <w:spacing w:line="240" w:lineRule="auto"/>
              <w:ind w:firstLine="0" w:firstLineChars="0"/>
              <w:jc w:val="center"/>
              <w:rPr>
                <w:color w:val="auto"/>
                <w:sz w:val="21"/>
                <w:szCs w:val="21"/>
              </w:rPr>
            </w:pPr>
            <w:r>
              <w:rPr>
                <w:color w:val="auto"/>
                <w:sz w:val="21"/>
                <w:szCs w:val="21"/>
              </w:rPr>
              <w:t>全氟己基磺酸及其盐类 和其相关化合物</w:t>
            </w:r>
          </w:p>
          <w:p w14:paraId="1FEE87D4">
            <w:pPr>
              <w:spacing w:line="240" w:lineRule="auto"/>
              <w:ind w:firstLine="0" w:firstLineChars="0"/>
              <w:jc w:val="center"/>
              <w:rPr>
                <w:color w:val="auto"/>
                <w:sz w:val="21"/>
                <w:szCs w:val="21"/>
              </w:rPr>
            </w:pPr>
            <w:r>
              <w:rPr>
                <w:color w:val="auto"/>
                <w:sz w:val="21"/>
                <w:szCs w:val="21"/>
              </w:rPr>
              <w:t>（PFHxS 类）</w:t>
            </w:r>
          </w:p>
        </w:tc>
        <w:tc>
          <w:tcPr>
            <w:tcW w:w="1266" w:type="pct"/>
            <w:tcBorders>
              <w:tl2br w:val="nil"/>
              <w:tr2bl w:val="nil"/>
            </w:tcBorders>
            <w:vAlign w:val="center"/>
          </w:tcPr>
          <w:p w14:paraId="1CDD8046">
            <w:pPr>
              <w:spacing w:line="240" w:lineRule="auto"/>
              <w:ind w:firstLine="0" w:firstLineChars="0"/>
              <w:jc w:val="center"/>
              <w:rPr>
                <w:color w:val="auto"/>
                <w:sz w:val="21"/>
                <w:szCs w:val="21"/>
              </w:rPr>
            </w:pPr>
            <w:r>
              <w:rPr>
                <w:color w:val="auto"/>
                <w:sz w:val="21"/>
                <w:szCs w:val="21"/>
              </w:rPr>
              <w:t>/</w:t>
            </w:r>
          </w:p>
        </w:tc>
        <w:tc>
          <w:tcPr>
            <w:tcW w:w="804" w:type="pct"/>
            <w:tcBorders>
              <w:tl2br w:val="nil"/>
              <w:tr2bl w:val="nil"/>
            </w:tcBorders>
            <w:vAlign w:val="center"/>
          </w:tcPr>
          <w:p w14:paraId="788EB001">
            <w:pPr>
              <w:spacing w:line="240" w:lineRule="auto"/>
              <w:ind w:firstLine="0" w:firstLineChars="0"/>
              <w:jc w:val="center"/>
              <w:rPr>
                <w:color w:val="auto"/>
                <w:sz w:val="21"/>
                <w:szCs w:val="21"/>
              </w:rPr>
            </w:pPr>
            <w:r>
              <w:rPr>
                <w:color w:val="auto"/>
                <w:sz w:val="21"/>
                <w:szCs w:val="21"/>
              </w:rPr>
              <w:t>不涉及</w:t>
            </w:r>
          </w:p>
        </w:tc>
      </w:tr>
      <w:tr w14:paraId="0F8281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3043C47E">
            <w:pPr>
              <w:spacing w:line="240" w:lineRule="auto"/>
              <w:ind w:firstLine="0" w:firstLineChars="0"/>
              <w:jc w:val="center"/>
              <w:rPr>
                <w:color w:val="auto"/>
                <w:sz w:val="21"/>
                <w:szCs w:val="21"/>
              </w:rPr>
            </w:pPr>
            <w:r>
              <w:rPr>
                <w:color w:val="auto"/>
                <w:sz w:val="21"/>
                <w:szCs w:val="21"/>
              </w:rPr>
              <w:t>9</w:t>
            </w:r>
          </w:p>
        </w:tc>
        <w:tc>
          <w:tcPr>
            <w:tcW w:w="2338" w:type="pct"/>
            <w:gridSpan w:val="2"/>
            <w:tcBorders>
              <w:tl2br w:val="nil"/>
              <w:tr2bl w:val="nil"/>
            </w:tcBorders>
            <w:vAlign w:val="center"/>
          </w:tcPr>
          <w:p w14:paraId="32D5ED71">
            <w:pPr>
              <w:spacing w:line="240" w:lineRule="auto"/>
              <w:ind w:firstLine="0" w:firstLineChars="0"/>
              <w:jc w:val="center"/>
              <w:rPr>
                <w:color w:val="auto"/>
                <w:sz w:val="21"/>
                <w:szCs w:val="21"/>
              </w:rPr>
            </w:pPr>
            <w:r>
              <w:rPr>
                <w:color w:val="auto"/>
                <w:sz w:val="21"/>
                <w:szCs w:val="21"/>
              </w:rPr>
              <w:t>得克隆及其顺式异构体和反式异构体</w:t>
            </w:r>
          </w:p>
        </w:tc>
        <w:tc>
          <w:tcPr>
            <w:tcW w:w="1266" w:type="pct"/>
            <w:tcBorders>
              <w:tl2br w:val="nil"/>
              <w:tr2bl w:val="nil"/>
            </w:tcBorders>
            <w:vAlign w:val="center"/>
          </w:tcPr>
          <w:p w14:paraId="5402CF75">
            <w:pPr>
              <w:spacing w:line="240" w:lineRule="auto"/>
              <w:ind w:firstLine="0" w:firstLineChars="0"/>
              <w:jc w:val="center"/>
              <w:rPr>
                <w:color w:val="auto"/>
                <w:sz w:val="21"/>
                <w:szCs w:val="21"/>
              </w:rPr>
            </w:pPr>
            <w:r>
              <w:rPr>
                <w:color w:val="auto"/>
                <w:sz w:val="21"/>
                <w:szCs w:val="21"/>
              </w:rPr>
              <w:t>13560-89-9</w:t>
            </w:r>
          </w:p>
          <w:p w14:paraId="0ADD9951">
            <w:pPr>
              <w:spacing w:line="240" w:lineRule="auto"/>
              <w:ind w:firstLine="0" w:firstLineChars="0"/>
              <w:jc w:val="center"/>
              <w:rPr>
                <w:color w:val="auto"/>
                <w:sz w:val="21"/>
                <w:szCs w:val="21"/>
              </w:rPr>
            </w:pPr>
            <w:r>
              <w:rPr>
                <w:color w:val="auto"/>
                <w:sz w:val="21"/>
                <w:szCs w:val="21"/>
              </w:rPr>
              <w:t>135821-03-3</w:t>
            </w:r>
          </w:p>
          <w:p w14:paraId="724F7BC9">
            <w:pPr>
              <w:spacing w:line="240" w:lineRule="auto"/>
              <w:ind w:firstLine="0" w:firstLineChars="0"/>
              <w:jc w:val="center"/>
              <w:rPr>
                <w:color w:val="auto"/>
                <w:sz w:val="21"/>
                <w:szCs w:val="21"/>
              </w:rPr>
            </w:pPr>
            <w:r>
              <w:rPr>
                <w:color w:val="auto"/>
                <w:sz w:val="21"/>
                <w:szCs w:val="21"/>
              </w:rPr>
              <w:t>135821-74-8</w:t>
            </w:r>
          </w:p>
        </w:tc>
        <w:tc>
          <w:tcPr>
            <w:tcW w:w="804" w:type="pct"/>
            <w:tcBorders>
              <w:tl2br w:val="nil"/>
              <w:tr2bl w:val="nil"/>
            </w:tcBorders>
            <w:vAlign w:val="center"/>
          </w:tcPr>
          <w:p w14:paraId="6E4CB32C">
            <w:pPr>
              <w:spacing w:line="240" w:lineRule="auto"/>
              <w:ind w:firstLine="0" w:firstLineChars="0"/>
              <w:jc w:val="center"/>
              <w:rPr>
                <w:color w:val="auto"/>
                <w:sz w:val="21"/>
                <w:szCs w:val="21"/>
              </w:rPr>
            </w:pPr>
            <w:r>
              <w:rPr>
                <w:color w:val="auto"/>
                <w:sz w:val="21"/>
                <w:szCs w:val="21"/>
              </w:rPr>
              <w:t>不涉及</w:t>
            </w:r>
          </w:p>
        </w:tc>
      </w:tr>
      <w:tr w14:paraId="6FA8E1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1CA3F9EB">
            <w:pPr>
              <w:spacing w:line="240" w:lineRule="auto"/>
              <w:ind w:firstLine="0" w:firstLineChars="0"/>
              <w:jc w:val="center"/>
              <w:rPr>
                <w:color w:val="auto"/>
                <w:sz w:val="21"/>
                <w:szCs w:val="21"/>
              </w:rPr>
            </w:pPr>
            <w:r>
              <w:rPr>
                <w:color w:val="auto"/>
                <w:sz w:val="21"/>
                <w:szCs w:val="21"/>
              </w:rPr>
              <w:t>10</w:t>
            </w:r>
          </w:p>
        </w:tc>
        <w:tc>
          <w:tcPr>
            <w:tcW w:w="2338" w:type="pct"/>
            <w:gridSpan w:val="2"/>
            <w:tcBorders>
              <w:tl2br w:val="nil"/>
              <w:tr2bl w:val="nil"/>
            </w:tcBorders>
            <w:vAlign w:val="center"/>
          </w:tcPr>
          <w:p w14:paraId="59B7652A">
            <w:pPr>
              <w:spacing w:line="240" w:lineRule="auto"/>
              <w:ind w:firstLine="0" w:firstLineChars="0"/>
              <w:jc w:val="center"/>
              <w:rPr>
                <w:color w:val="auto"/>
                <w:sz w:val="21"/>
                <w:szCs w:val="21"/>
              </w:rPr>
            </w:pPr>
            <w:r>
              <w:rPr>
                <w:color w:val="auto"/>
                <w:sz w:val="21"/>
                <w:szCs w:val="21"/>
              </w:rPr>
              <w:t>二氯甲烷</w:t>
            </w:r>
          </w:p>
        </w:tc>
        <w:tc>
          <w:tcPr>
            <w:tcW w:w="1266" w:type="pct"/>
            <w:tcBorders>
              <w:tl2br w:val="nil"/>
              <w:tr2bl w:val="nil"/>
            </w:tcBorders>
            <w:vAlign w:val="center"/>
          </w:tcPr>
          <w:p w14:paraId="6BB0F052">
            <w:pPr>
              <w:spacing w:line="240" w:lineRule="auto"/>
              <w:ind w:firstLine="0" w:firstLineChars="0"/>
              <w:jc w:val="center"/>
              <w:rPr>
                <w:color w:val="auto"/>
                <w:sz w:val="21"/>
                <w:szCs w:val="21"/>
              </w:rPr>
            </w:pPr>
            <w:r>
              <w:rPr>
                <w:color w:val="auto"/>
                <w:sz w:val="21"/>
                <w:szCs w:val="21"/>
              </w:rPr>
              <w:t>75-09-2</w:t>
            </w:r>
          </w:p>
        </w:tc>
        <w:tc>
          <w:tcPr>
            <w:tcW w:w="804" w:type="pct"/>
            <w:tcBorders>
              <w:tl2br w:val="nil"/>
              <w:tr2bl w:val="nil"/>
            </w:tcBorders>
            <w:vAlign w:val="center"/>
          </w:tcPr>
          <w:p w14:paraId="7E00617D">
            <w:pPr>
              <w:spacing w:line="240" w:lineRule="auto"/>
              <w:ind w:firstLine="0" w:firstLineChars="0"/>
              <w:jc w:val="center"/>
              <w:rPr>
                <w:color w:val="auto"/>
                <w:sz w:val="21"/>
                <w:szCs w:val="21"/>
              </w:rPr>
            </w:pPr>
            <w:r>
              <w:rPr>
                <w:color w:val="auto"/>
                <w:sz w:val="21"/>
                <w:szCs w:val="21"/>
              </w:rPr>
              <w:t>不涉及</w:t>
            </w:r>
          </w:p>
        </w:tc>
      </w:tr>
      <w:tr w14:paraId="785F07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3CD59922">
            <w:pPr>
              <w:spacing w:line="240" w:lineRule="auto"/>
              <w:ind w:firstLine="0" w:firstLineChars="0"/>
              <w:jc w:val="center"/>
              <w:rPr>
                <w:color w:val="auto"/>
                <w:sz w:val="21"/>
                <w:szCs w:val="21"/>
              </w:rPr>
            </w:pPr>
            <w:r>
              <w:rPr>
                <w:color w:val="auto"/>
                <w:sz w:val="21"/>
                <w:szCs w:val="21"/>
              </w:rPr>
              <w:t>11</w:t>
            </w:r>
          </w:p>
        </w:tc>
        <w:tc>
          <w:tcPr>
            <w:tcW w:w="2338" w:type="pct"/>
            <w:gridSpan w:val="2"/>
            <w:tcBorders>
              <w:tl2br w:val="nil"/>
              <w:tr2bl w:val="nil"/>
            </w:tcBorders>
            <w:vAlign w:val="center"/>
          </w:tcPr>
          <w:p w14:paraId="69607B33">
            <w:pPr>
              <w:spacing w:line="240" w:lineRule="auto"/>
              <w:ind w:firstLine="0" w:firstLineChars="0"/>
              <w:jc w:val="center"/>
              <w:rPr>
                <w:color w:val="auto"/>
                <w:sz w:val="21"/>
                <w:szCs w:val="21"/>
              </w:rPr>
            </w:pPr>
            <w:r>
              <w:rPr>
                <w:color w:val="auto"/>
                <w:sz w:val="21"/>
                <w:szCs w:val="21"/>
              </w:rPr>
              <w:t>三氯甲烷</w:t>
            </w:r>
          </w:p>
        </w:tc>
        <w:tc>
          <w:tcPr>
            <w:tcW w:w="1266" w:type="pct"/>
            <w:tcBorders>
              <w:tl2br w:val="nil"/>
              <w:tr2bl w:val="nil"/>
            </w:tcBorders>
            <w:vAlign w:val="center"/>
          </w:tcPr>
          <w:p w14:paraId="3563492A">
            <w:pPr>
              <w:spacing w:line="240" w:lineRule="auto"/>
              <w:ind w:firstLine="0" w:firstLineChars="0"/>
              <w:jc w:val="center"/>
              <w:rPr>
                <w:color w:val="auto"/>
                <w:sz w:val="21"/>
                <w:szCs w:val="21"/>
              </w:rPr>
            </w:pPr>
            <w:r>
              <w:rPr>
                <w:color w:val="auto"/>
                <w:sz w:val="21"/>
                <w:szCs w:val="21"/>
              </w:rPr>
              <w:t>67-66-3</w:t>
            </w:r>
          </w:p>
        </w:tc>
        <w:tc>
          <w:tcPr>
            <w:tcW w:w="804" w:type="pct"/>
            <w:tcBorders>
              <w:tl2br w:val="nil"/>
              <w:tr2bl w:val="nil"/>
            </w:tcBorders>
            <w:vAlign w:val="center"/>
          </w:tcPr>
          <w:p w14:paraId="3CFAB0D7">
            <w:pPr>
              <w:spacing w:line="240" w:lineRule="auto"/>
              <w:ind w:firstLine="0" w:firstLineChars="0"/>
              <w:jc w:val="center"/>
              <w:rPr>
                <w:color w:val="auto"/>
                <w:sz w:val="21"/>
                <w:szCs w:val="21"/>
              </w:rPr>
            </w:pPr>
            <w:r>
              <w:rPr>
                <w:color w:val="auto"/>
                <w:sz w:val="21"/>
                <w:szCs w:val="21"/>
              </w:rPr>
              <w:t>不涉及</w:t>
            </w:r>
          </w:p>
        </w:tc>
      </w:tr>
      <w:tr w14:paraId="2FEDCB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70A0C9A9">
            <w:pPr>
              <w:spacing w:line="240" w:lineRule="auto"/>
              <w:ind w:firstLine="0" w:firstLineChars="0"/>
              <w:jc w:val="center"/>
              <w:rPr>
                <w:color w:val="auto"/>
                <w:sz w:val="21"/>
                <w:szCs w:val="21"/>
              </w:rPr>
            </w:pPr>
            <w:r>
              <w:rPr>
                <w:color w:val="auto"/>
                <w:sz w:val="21"/>
                <w:szCs w:val="21"/>
              </w:rPr>
              <w:t>12</w:t>
            </w:r>
          </w:p>
        </w:tc>
        <w:tc>
          <w:tcPr>
            <w:tcW w:w="2338" w:type="pct"/>
            <w:gridSpan w:val="2"/>
            <w:tcBorders>
              <w:tl2br w:val="nil"/>
              <w:tr2bl w:val="nil"/>
            </w:tcBorders>
            <w:vAlign w:val="center"/>
          </w:tcPr>
          <w:p w14:paraId="63654869">
            <w:pPr>
              <w:spacing w:line="240" w:lineRule="auto"/>
              <w:ind w:firstLine="0" w:firstLineChars="0"/>
              <w:jc w:val="center"/>
              <w:rPr>
                <w:color w:val="auto"/>
                <w:sz w:val="21"/>
                <w:szCs w:val="21"/>
              </w:rPr>
            </w:pPr>
            <w:r>
              <w:rPr>
                <w:color w:val="auto"/>
                <w:sz w:val="21"/>
                <w:szCs w:val="21"/>
              </w:rPr>
              <w:t>壬基酚</w:t>
            </w:r>
          </w:p>
        </w:tc>
        <w:tc>
          <w:tcPr>
            <w:tcW w:w="1266" w:type="pct"/>
            <w:tcBorders>
              <w:tl2br w:val="nil"/>
              <w:tr2bl w:val="nil"/>
            </w:tcBorders>
            <w:vAlign w:val="center"/>
          </w:tcPr>
          <w:p w14:paraId="3F97D343">
            <w:pPr>
              <w:spacing w:line="240" w:lineRule="auto"/>
              <w:ind w:firstLine="0" w:firstLineChars="0"/>
              <w:jc w:val="center"/>
              <w:rPr>
                <w:color w:val="auto"/>
                <w:sz w:val="21"/>
                <w:szCs w:val="21"/>
              </w:rPr>
            </w:pPr>
            <w:r>
              <w:rPr>
                <w:color w:val="auto"/>
                <w:sz w:val="21"/>
                <w:szCs w:val="21"/>
              </w:rPr>
              <w:t>25154-52-3</w:t>
            </w:r>
          </w:p>
          <w:p w14:paraId="3E90997E">
            <w:pPr>
              <w:spacing w:line="240" w:lineRule="auto"/>
              <w:ind w:firstLine="0" w:firstLineChars="0"/>
              <w:jc w:val="center"/>
              <w:rPr>
                <w:color w:val="auto"/>
                <w:sz w:val="21"/>
                <w:szCs w:val="21"/>
              </w:rPr>
            </w:pPr>
            <w:r>
              <w:rPr>
                <w:color w:val="auto"/>
                <w:sz w:val="21"/>
                <w:szCs w:val="21"/>
              </w:rPr>
              <w:t>84852-15-3</w:t>
            </w:r>
          </w:p>
        </w:tc>
        <w:tc>
          <w:tcPr>
            <w:tcW w:w="804" w:type="pct"/>
            <w:tcBorders>
              <w:tl2br w:val="nil"/>
              <w:tr2bl w:val="nil"/>
            </w:tcBorders>
            <w:vAlign w:val="center"/>
          </w:tcPr>
          <w:p w14:paraId="4C5D3CAE">
            <w:pPr>
              <w:spacing w:line="240" w:lineRule="auto"/>
              <w:ind w:firstLine="0" w:firstLineChars="0"/>
              <w:jc w:val="center"/>
              <w:rPr>
                <w:color w:val="auto"/>
                <w:sz w:val="21"/>
                <w:szCs w:val="21"/>
              </w:rPr>
            </w:pPr>
            <w:r>
              <w:rPr>
                <w:color w:val="auto"/>
                <w:sz w:val="21"/>
                <w:szCs w:val="21"/>
              </w:rPr>
              <w:t>不涉及</w:t>
            </w:r>
          </w:p>
        </w:tc>
      </w:tr>
      <w:tr w14:paraId="0C70CE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tcBorders>
              <w:tl2br w:val="nil"/>
              <w:tr2bl w:val="nil"/>
            </w:tcBorders>
            <w:vAlign w:val="center"/>
          </w:tcPr>
          <w:p w14:paraId="5095BA3A">
            <w:pPr>
              <w:spacing w:line="240" w:lineRule="auto"/>
              <w:ind w:firstLine="0" w:firstLineChars="0"/>
              <w:jc w:val="center"/>
              <w:rPr>
                <w:color w:val="auto"/>
                <w:sz w:val="21"/>
                <w:szCs w:val="21"/>
              </w:rPr>
            </w:pPr>
            <w:r>
              <w:rPr>
                <w:color w:val="auto"/>
                <w:sz w:val="21"/>
                <w:szCs w:val="21"/>
              </w:rPr>
              <w:t>13</w:t>
            </w:r>
          </w:p>
        </w:tc>
        <w:tc>
          <w:tcPr>
            <w:tcW w:w="2338" w:type="pct"/>
            <w:gridSpan w:val="2"/>
            <w:tcBorders>
              <w:tl2br w:val="nil"/>
              <w:tr2bl w:val="nil"/>
            </w:tcBorders>
            <w:vAlign w:val="center"/>
          </w:tcPr>
          <w:p w14:paraId="1B1620BC">
            <w:pPr>
              <w:spacing w:line="240" w:lineRule="auto"/>
              <w:ind w:firstLine="0" w:firstLineChars="0"/>
              <w:jc w:val="center"/>
              <w:rPr>
                <w:color w:val="auto"/>
                <w:sz w:val="21"/>
                <w:szCs w:val="21"/>
              </w:rPr>
            </w:pPr>
            <w:r>
              <w:rPr>
                <w:color w:val="auto"/>
                <w:sz w:val="21"/>
                <w:szCs w:val="21"/>
              </w:rPr>
              <w:t>抗生素</w:t>
            </w:r>
          </w:p>
        </w:tc>
        <w:tc>
          <w:tcPr>
            <w:tcW w:w="1266" w:type="pct"/>
            <w:tcBorders>
              <w:tl2br w:val="nil"/>
              <w:tr2bl w:val="nil"/>
            </w:tcBorders>
            <w:vAlign w:val="center"/>
          </w:tcPr>
          <w:p w14:paraId="3AF281B9">
            <w:pPr>
              <w:spacing w:line="240" w:lineRule="auto"/>
              <w:ind w:firstLine="0" w:firstLineChars="0"/>
              <w:jc w:val="center"/>
              <w:rPr>
                <w:color w:val="auto"/>
                <w:sz w:val="21"/>
                <w:szCs w:val="21"/>
              </w:rPr>
            </w:pPr>
            <w:r>
              <w:rPr>
                <w:color w:val="auto"/>
                <w:sz w:val="21"/>
                <w:szCs w:val="21"/>
              </w:rPr>
              <w:t>/</w:t>
            </w:r>
          </w:p>
        </w:tc>
        <w:tc>
          <w:tcPr>
            <w:tcW w:w="804" w:type="pct"/>
            <w:tcBorders>
              <w:tl2br w:val="nil"/>
              <w:tr2bl w:val="nil"/>
            </w:tcBorders>
            <w:vAlign w:val="center"/>
          </w:tcPr>
          <w:p w14:paraId="04675D3E">
            <w:pPr>
              <w:spacing w:line="240" w:lineRule="auto"/>
              <w:ind w:firstLine="0" w:firstLineChars="0"/>
              <w:jc w:val="center"/>
              <w:rPr>
                <w:color w:val="auto"/>
                <w:sz w:val="21"/>
                <w:szCs w:val="21"/>
              </w:rPr>
            </w:pPr>
            <w:r>
              <w:rPr>
                <w:color w:val="auto"/>
                <w:sz w:val="21"/>
                <w:szCs w:val="21"/>
              </w:rPr>
              <w:t>不涉及</w:t>
            </w:r>
          </w:p>
        </w:tc>
      </w:tr>
      <w:tr w14:paraId="32883B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vMerge w:val="restart"/>
            <w:tcBorders>
              <w:tl2br w:val="nil"/>
              <w:tr2bl w:val="nil"/>
            </w:tcBorders>
            <w:vAlign w:val="center"/>
          </w:tcPr>
          <w:p w14:paraId="5EAE8FBD">
            <w:pPr>
              <w:spacing w:line="240" w:lineRule="auto"/>
              <w:ind w:firstLine="0" w:firstLineChars="0"/>
              <w:jc w:val="center"/>
              <w:rPr>
                <w:color w:val="auto"/>
                <w:sz w:val="21"/>
                <w:szCs w:val="21"/>
              </w:rPr>
            </w:pPr>
            <w:r>
              <w:rPr>
                <w:color w:val="auto"/>
                <w:sz w:val="21"/>
                <w:szCs w:val="21"/>
              </w:rPr>
              <w:t>14</w:t>
            </w:r>
          </w:p>
        </w:tc>
        <w:tc>
          <w:tcPr>
            <w:tcW w:w="657" w:type="pct"/>
            <w:vMerge w:val="restart"/>
            <w:tcBorders>
              <w:tl2br w:val="nil"/>
              <w:tr2bl w:val="nil"/>
            </w:tcBorders>
            <w:vAlign w:val="center"/>
          </w:tcPr>
          <w:p w14:paraId="69CD28F0">
            <w:pPr>
              <w:spacing w:line="240" w:lineRule="auto"/>
              <w:ind w:firstLine="0" w:firstLineChars="0"/>
              <w:jc w:val="center"/>
              <w:rPr>
                <w:color w:val="auto"/>
                <w:sz w:val="21"/>
                <w:szCs w:val="21"/>
              </w:rPr>
            </w:pPr>
            <w:r>
              <w:rPr>
                <w:color w:val="auto"/>
                <w:sz w:val="21"/>
                <w:szCs w:val="21"/>
              </w:rPr>
              <w:t>已淘汰类</w:t>
            </w:r>
          </w:p>
        </w:tc>
        <w:tc>
          <w:tcPr>
            <w:tcW w:w="1681" w:type="pct"/>
            <w:tcBorders>
              <w:tl2br w:val="nil"/>
              <w:tr2bl w:val="nil"/>
            </w:tcBorders>
            <w:vAlign w:val="center"/>
          </w:tcPr>
          <w:p w14:paraId="7EA872E0">
            <w:pPr>
              <w:spacing w:line="240" w:lineRule="auto"/>
              <w:ind w:firstLine="0" w:firstLineChars="0"/>
              <w:jc w:val="center"/>
              <w:rPr>
                <w:color w:val="auto"/>
                <w:sz w:val="21"/>
                <w:szCs w:val="21"/>
              </w:rPr>
            </w:pPr>
            <w:r>
              <w:rPr>
                <w:color w:val="auto"/>
                <w:spacing w:val="-2"/>
                <w:sz w:val="21"/>
                <w:szCs w:val="21"/>
              </w:rPr>
              <w:t>六溴环十二烷</w:t>
            </w:r>
          </w:p>
        </w:tc>
        <w:tc>
          <w:tcPr>
            <w:tcW w:w="1266" w:type="pct"/>
            <w:tcBorders>
              <w:tl2br w:val="nil"/>
              <w:tr2bl w:val="nil"/>
            </w:tcBorders>
            <w:vAlign w:val="center"/>
          </w:tcPr>
          <w:p w14:paraId="1F4BE69A">
            <w:pPr>
              <w:widowControl/>
              <w:spacing w:before="63" w:line="240" w:lineRule="auto"/>
              <w:ind w:firstLine="0" w:firstLineChars="0"/>
              <w:jc w:val="center"/>
              <w:textAlignment w:val="baseline"/>
              <w:rPr>
                <w:snapToGrid w:val="0"/>
                <w:color w:val="auto"/>
                <w:kern w:val="0"/>
                <w:sz w:val="21"/>
                <w:szCs w:val="21"/>
                <w:lang w:eastAsia="en-US"/>
              </w:rPr>
            </w:pPr>
            <w:r>
              <w:rPr>
                <w:snapToGrid w:val="0"/>
                <w:color w:val="auto"/>
                <w:spacing w:val="-2"/>
                <w:kern w:val="0"/>
                <w:sz w:val="21"/>
                <w:szCs w:val="21"/>
                <w:lang w:eastAsia="en-US"/>
              </w:rPr>
              <w:t>25637-99-4</w:t>
            </w:r>
          </w:p>
          <w:p w14:paraId="3DDA52B9">
            <w:pPr>
              <w:widowControl/>
              <w:spacing w:before="63" w:line="240" w:lineRule="auto"/>
              <w:ind w:firstLine="0" w:firstLineChars="0"/>
              <w:jc w:val="center"/>
              <w:textAlignment w:val="baseline"/>
              <w:rPr>
                <w:snapToGrid w:val="0"/>
                <w:color w:val="auto"/>
                <w:kern w:val="0"/>
                <w:sz w:val="21"/>
                <w:szCs w:val="21"/>
                <w:lang w:eastAsia="en-US"/>
              </w:rPr>
            </w:pPr>
            <w:r>
              <w:rPr>
                <w:snapToGrid w:val="0"/>
                <w:color w:val="auto"/>
                <w:spacing w:val="-2"/>
                <w:kern w:val="0"/>
                <w:sz w:val="21"/>
                <w:szCs w:val="21"/>
                <w:lang w:eastAsia="en-US"/>
              </w:rPr>
              <w:t>3194-55-6</w:t>
            </w:r>
          </w:p>
          <w:p w14:paraId="7BA4668F">
            <w:pPr>
              <w:widowControl/>
              <w:spacing w:before="63" w:line="240" w:lineRule="auto"/>
              <w:ind w:firstLine="0" w:firstLineChars="0"/>
              <w:jc w:val="center"/>
              <w:textAlignment w:val="baseline"/>
              <w:rPr>
                <w:snapToGrid w:val="0"/>
                <w:color w:val="auto"/>
                <w:kern w:val="0"/>
                <w:sz w:val="21"/>
                <w:szCs w:val="21"/>
                <w:lang w:eastAsia="en-US"/>
              </w:rPr>
            </w:pPr>
            <w:r>
              <w:rPr>
                <w:snapToGrid w:val="0"/>
                <w:color w:val="auto"/>
                <w:spacing w:val="-3"/>
                <w:kern w:val="0"/>
                <w:sz w:val="21"/>
                <w:szCs w:val="21"/>
                <w:lang w:eastAsia="en-US"/>
              </w:rPr>
              <w:t>134237-50-6</w:t>
            </w:r>
          </w:p>
          <w:p w14:paraId="6CFF769B">
            <w:pPr>
              <w:widowControl/>
              <w:spacing w:before="63" w:line="240" w:lineRule="auto"/>
              <w:ind w:firstLine="0" w:firstLineChars="0"/>
              <w:jc w:val="center"/>
              <w:textAlignment w:val="baseline"/>
              <w:rPr>
                <w:snapToGrid w:val="0"/>
                <w:color w:val="auto"/>
                <w:kern w:val="0"/>
                <w:sz w:val="21"/>
                <w:szCs w:val="21"/>
                <w:lang w:eastAsia="en-US"/>
              </w:rPr>
            </w:pPr>
            <w:r>
              <w:rPr>
                <w:snapToGrid w:val="0"/>
                <w:color w:val="auto"/>
                <w:spacing w:val="-3"/>
                <w:kern w:val="0"/>
                <w:sz w:val="21"/>
                <w:szCs w:val="21"/>
                <w:lang w:eastAsia="en-US"/>
              </w:rPr>
              <w:t>134237-51-7</w:t>
            </w:r>
          </w:p>
          <w:p w14:paraId="1F75FF7D">
            <w:pPr>
              <w:spacing w:line="240" w:lineRule="auto"/>
              <w:ind w:firstLine="0" w:firstLineChars="0"/>
              <w:jc w:val="center"/>
              <w:rPr>
                <w:color w:val="auto"/>
                <w:sz w:val="21"/>
                <w:szCs w:val="21"/>
              </w:rPr>
            </w:pPr>
            <w:r>
              <w:rPr>
                <w:color w:val="auto"/>
                <w:spacing w:val="-3"/>
                <w:sz w:val="21"/>
                <w:szCs w:val="21"/>
              </w:rPr>
              <w:t>134237-52-8</w:t>
            </w:r>
          </w:p>
        </w:tc>
        <w:tc>
          <w:tcPr>
            <w:tcW w:w="804" w:type="pct"/>
            <w:tcBorders>
              <w:tl2br w:val="nil"/>
              <w:tr2bl w:val="nil"/>
            </w:tcBorders>
            <w:vAlign w:val="center"/>
          </w:tcPr>
          <w:p w14:paraId="0CD71689">
            <w:pPr>
              <w:spacing w:line="240" w:lineRule="auto"/>
              <w:ind w:firstLine="0" w:firstLineChars="0"/>
              <w:jc w:val="center"/>
              <w:rPr>
                <w:color w:val="auto"/>
                <w:sz w:val="21"/>
                <w:szCs w:val="21"/>
              </w:rPr>
            </w:pPr>
            <w:r>
              <w:rPr>
                <w:color w:val="auto"/>
                <w:sz w:val="21"/>
                <w:szCs w:val="21"/>
              </w:rPr>
              <w:t>不涉及</w:t>
            </w:r>
          </w:p>
        </w:tc>
      </w:tr>
      <w:tr w14:paraId="406593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vMerge w:val="continue"/>
            <w:tcBorders>
              <w:tl2br w:val="nil"/>
              <w:tr2bl w:val="nil"/>
            </w:tcBorders>
            <w:vAlign w:val="center"/>
          </w:tcPr>
          <w:p w14:paraId="2F50D454">
            <w:pPr>
              <w:spacing w:line="240" w:lineRule="auto"/>
              <w:ind w:firstLine="0" w:firstLineChars="0"/>
              <w:jc w:val="center"/>
              <w:rPr>
                <w:color w:val="auto"/>
                <w:sz w:val="21"/>
                <w:szCs w:val="21"/>
              </w:rPr>
            </w:pPr>
          </w:p>
        </w:tc>
        <w:tc>
          <w:tcPr>
            <w:tcW w:w="657" w:type="pct"/>
            <w:vMerge w:val="continue"/>
            <w:tcBorders>
              <w:tl2br w:val="nil"/>
              <w:tr2bl w:val="nil"/>
            </w:tcBorders>
            <w:vAlign w:val="center"/>
          </w:tcPr>
          <w:p w14:paraId="4AEE599B">
            <w:pPr>
              <w:spacing w:line="240" w:lineRule="auto"/>
              <w:ind w:firstLine="0" w:firstLineChars="0"/>
              <w:jc w:val="center"/>
              <w:rPr>
                <w:color w:val="auto"/>
                <w:sz w:val="21"/>
                <w:szCs w:val="21"/>
              </w:rPr>
            </w:pPr>
          </w:p>
        </w:tc>
        <w:tc>
          <w:tcPr>
            <w:tcW w:w="1681" w:type="pct"/>
            <w:tcBorders>
              <w:tl2br w:val="nil"/>
              <w:tr2bl w:val="nil"/>
            </w:tcBorders>
            <w:vAlign w:val="center"/>
          </w:tcPr>
          <w:p w14:paraId="34F066E7">
            <w:pPr>
              <w:spacing w:line="240" w:lineRule="auto"/>
              <w:ind w:firstLine="0" w:firstLineChars="0"/>
              <w:jc w:val="center"/>
              <w:rPr>
                <w:color w:val="auto"/>
                <w:sz w:val="21"/>
                <w:szCs w:val="21"/>
              </w:rPr>
            </w:pPr>
            <w:r>
              <w:rPr>
                <w:color w:val="auto"/>
                <w:spacing w:val="-3"/>
                <w:sz w:val="21"/>
                <w:szCs w:val="21"/>
              </w:rPr>
              <w:t>氯丹</w:t>
            </w:r>
          </w:p>
        </w:tc>
        <w:tc>
          <w:tcPr>
            <w:tcW w:w="1266" w:type="pct"/>
            <w:tcBorders>
              <w:tl2br w:val="nil"/>
              <w:tr2bl w:val="nil"/>
            </w:tcBorders>
            <w:vAlign w:val="center"/>
          </w:tcPr>
          <w:p w14:paraId="05A86C5C">
            <w:pPr>
              <w:spacing w:line="240" w:lineRule="auto"/>
              <w:ind w:firstLine="0" w:firstLineChars="0"/>
              <w:jc w:val="center"/>
              <w:rPr>
                <w:color w:val="auto"/>
                <w:sz w:val="21"/>
                <w:szCs w:val="21"/>
              </w:rPr>
            </w:pPr>
            <w:r>
              <w:rPr>
                <w:color w:val="auto"/>
                <w:spacing w:val="-2"/>
                <w:sz w:val="21"/>
                <w:szCs w:val="21"/>
              </w:rPr>
              <w:t>57-74-9</w:t>
            </w:r>
          </w:p>
        </w:tc>
        <w:tc>
          <w:tcPr>
            <w:tcW w:w="804" w:type="pct"/>
            <w:tcBorders>
              <w:tl2br w:val="nil"/>
              <w:tr2bl w:val="nil"/>
            </w:tcBorders>
            <w:vAlign w:val="center"/>
          </w:tcPr>
          <w:p w14:paraId="2951C0FE">
            <w:pPr>
              <w:spacing w:line="240" w:lineRule="auto"/>
              <w:ind w:firstLine="0" w:firstLineChars="0"/>
              <w:jc w:val="center"/>
              <w:rPr>
                <w:color w:val="auto"/>
                <w:sz w:val="21"/>
                <w:szCs w:val="21"/>
              </w:rPr>
            </w:pPr>
            <w:r>
              <w:rPr>
                <w:color w:val="auto"/>
                <w:sz w:val="21"/>
                <w:szCs w:val="21"/>
              </w:rPr>
              <w:t>不涉及</w:t>
            </w:r>
          </w:p>
        </w:tc>
      </w:tr>
      <w:tr w14:paraId="695045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vMerge w:val="continue"/>
            <w:tcBorders>
              <w:tl2br w:val="nil"/>
              <w:tr2bl w:val="nil"/>
            </w:tcBorders>
            <w:vAlign w:val="center"/>
          </w:tcPr>
          <w:p w14:paraId="13CF33A8">
            <w:pPr>
              <w:spacing w:line="240" w:lineRule="auto"/>
              <w:ind w:firstLine="0" w:firstLineChars="0"/>
              <w:jc w:val="center"/>
              <w:rPr>
                <w:color w:val="auto"/>
                <w:sz w:val="21"/>
                <w:szCs w:val="21"/>
              </w:rPr>
            </w:pPr>
          </w:p>
        </w:tc>
        <w:tc>
          <w:tcPr>
            <w:tcW w:w="657" w:type="pct"/>
            <w:vMerge w:val="continue"/>
            <w:tcBorders>
              <w:tl2br w:val="nil"/>
              <w:tr2bl w:val="nil"/>
            </w:tcBorders>
            <w:vAlign w:val="center"/>
          </w:tcPr>
          <w:p w14:paraId="0EFD5DFF">
            <w:pPr>
              <w:spacing w:line="240" w:lineRule="auto"/>
              <w:ind w:firstLine="0" w:firstLineChars="0"/>
              <w:jc w:val="center"/>
              <w:rPr>
                <w:color w:val="auto"/>
                <w:sz w:val="21"/>
                <w:szCs w:val="21"/>
              </w:rPr>
            </w:pPr>
          </w:p>
        </w:tc>
        <w:tc>
          <w:tcPr>
            <w:tcW w:w="1681" w:type="pct"/>
            <w:tcBorders>
              <w:tl2br w:val="nil"/>
              <w:tr2bl w:val="nil"/>
            </w:tcBorders>
            <w:vAlign w:val="center"/>
          </w:tcPr>
          <w:p w14:paraId="290BA853">
            <w:pPr>
              <w:spacing w:line="240" w:lineRule="auto"/>
              <w:ind w:firstLine="0" w:firstLineChars="0"/>
              <w:jc w:val="center"/>
              <w:rPr>
                <w:color w:val="auto"/>
                <w:sz w:val="21"/>
                <w:szCs w:val="21"/>
              </w:rPr>
            </w:pPr>
            <w:r>
              <w:rPr>
                <w:color w:val="auto"/>
                <w:spacing w:val="-3"/>
                <w:sz w:val="21"/>
                <w:szCs w:val="21"/>
              </w:rPr>
              <w:t>灭蚁灵</w:t>
            </w:r>
          </w:p>
        </w:tc>
        <w:tc>
          <w:tcPr>
            <w:tcW w:w="1266" w:type="pct"/>
            <w:tcBorders>
              <w:tl2br w:val="nil"/>
              <w:tr2bl w:val="nil"/>
            </w:tcBorders>
            <w:vAlign w:val="center"/>
          </w:tcPr>
          <w:p w14:paraId="3F4543D5">
            <w:pPr>
              <w:spacing w:line="240" w:lineRule="auto"/>
              <w:ind w:firstLine="0" w:firstLineChars="0"/>
              <w:jc w:val="center"/>
              <w:rPr>
                <w:color w:val="auto"/>
                <w:sz w:val="21"/>
                <w:szCs w:val="21"/>
              </w:rPr>
            </w:pPr>
            <w:r>
              <w:rPr>
                <w:color w:val="auto"/>
                <w:spacing w:val="-2"/>
                <w:sz w:val="21"/>
                <w:szCs w:val="21"/>
              </w:rPr>
              <w:t>2385-85-5</w:t>
            </w:r>
          </w:p>
        </w:tc>
        <w:tc>
          <w:tcPr>
            <w:tcW w:w="804" w:type="pct"/>
            <w:tcBorders>
              <w:tl2br w:val="nil"/>
              <w:tr2bl w:val="nil"/>
            </w:tcBorders>
            <w:vAlign w:val="center"/>
          </w:tcPr>
          <w:p w14:paraId="5F480763">
            <w:pPr>
              <w:spacing w:line="240" w:lineRule="auto"/>
              <w:ind w:firstLine="0" w:firstLineChars="0"/>
              <w:jc w:val="center"/>
              <w:rPr>
                <w:color w:val="auto"/>
                <w:sz w:val="21"/>
                <w:szCs w:val="21"/>
              </w:rPr>
            </w:pPr>
            <w:r>
              <w:rPr>
                <w:color w:val="auto"/>
                <w:sz w:val="21"/>
                <w:szCs w:val="21"/>
              </w:rPr>
              <w:t>不涉及</w:t>
            </w:r>
          </w:p>
        </w:tc>
      </w:tr>
      <w:tr w14:paraId="7C89FD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vMerge w:val="continue"/>
            <w:tcBorders>
              <w:tl2br w:val="nil"/>
              <w:tr2bl w:val="nil"/>
            </w:tcBorders>
            <w:vAlign w:val="center"/>
          </w:tcPr>
          <w:p w14:paraId="47990F3D">
            <w:pPr>
              <w:spacing w:line="240" w:lineRule="auto"/>
              <w:ind w:firstLine="0" w:firstLineChars="0"/>
              <w:jc w:val="center"/>
              <w:rPr>
                <w:color w:val="auto"/>
                <w:sz w:val="21"/>
                <w:szCs w:val="21"/>
              </w:rPr>
            </w:pPr>
          </w:p>
        </w:tc>
        <w:tc>
          <w:tcPr>
            <w:tcW w:w="657" w:type="pct"/>
            <w:vMerge w:val="continue"/>
            <w:tcBorders>
              <w:tl2br w:val="nil"/>
              <w:tr2bl w:val="nil"/>
            </w:tcBorders>
            <w:vAlign w:val="center"/>
          </w:tcPr>
          <w:p w14:paraId="55EA7053">
            <w:pPr>
              <w:spacing w:line="240" w:lineRule="auto"/>
              <w:ind w:firstLine="0" w:firstLineChars="0"/>
              <w:jc w:val="center"/>
              <w:rPr>
                <w:color w:val="auto"/>
                <w:sz w:val="21"/>
                <w:szCs w:val="21"/>
              </w:rPr>
            </w:pPr>
          </w:p>
        </w:tc>
        <w:tc>
          <w:tcPr>
            <w:tcW w:w="1681" w:type="pct"/>
            <w:tcBorders>
              <w:tl2br w:val="nil"/>
              <w:tr2bl w:val="nil"/>
            </w:tcBorders>
            <w:vAlign w:val="center"/>
          </w:tcPr>
          <w:p w14:paraId="1DE3FFD7">
            <w:pPr>
              <w:spacing w:line="240" w:lineRule="auto"/>
              <w:ind w:firstLine="0" w:firstLineChars="0"/>
              <w:jc w:val="center"/>
              <w:rPr>
                <w:color w:val="auto"/>
                <w:sz w:val="21"/>
                <w:szCs w:val="21"/>
              </w:rPr>
            </w:pPr>
            <w:r>
              <w:rPr>
                <w:color w:val="auto"/>
                <w:spacing w:val="-3"/>
                <w:sz w:val="21"/>
                <w:szCs w:val="21"/>
              </w:rPr>
              <w:t>六氯苯</w:t>
            </w:r>
          </w:p>
        </w:tc>
        <w:tc>
          <w:tcPr>
            <w:tcW w:w="1266" w:type="pct"/>
            <w:tcBorders>
              <w:tl2br w:val="nil"/>
              <w:tr2bl w:val="nil"/>
            </w:tcBorders>
            <w:vAlign w:val="center"/>
          </w:tcPr>
          <w:p w14:paraId="4EDA8CDB">
            <w:pPr>
              <w:spacing w:line="240" w:lineRule="auto"/>
              <w:ind w:firstLine="0" w:firstLineChars="0"/>
              <w:jc w:val="center"/>
              <w:rPr>
                <w:color w:val="auto"/>
                <w:sz w:val="21"/>
                <w:szCs w:val="21"/>
              </w:rPr>
            </w:pPr>
            <w:r>
              <w:rPr>
                <w:color w:val="auto"/>
                <w:spacing w:val="-3"/>
                <w:sz w:val="21"/>
                <w:szCs w:val="21"/>
              </w:rPr>
              <w:t>118-74-1</w:t>
            </w:r>
          </w:p>
        </w:tc>
        <w:tc>
          <w:tcPr>
            <w:tcW w:w="804" w:type="pct"/>
            <w:tcBorders>
              <w:tl2br w:val="nil"/>
              <w:tr2bl w:val="nil"/>
            </w:tcBorders>
            <w:vAlign w:val="center"/>
          </w:tcPr>
          <w:p w14:paraId="315A9EC7">
            <w:pPr>
              <w:spacing w:line="240" w:lineRule="auto"/>
              <w:ind w:firstLine="0" w:firstLineChars="0"/>
              <w:jc w:val="center"/>
              <w:rPr>
                <w:color w:val="auto"/>
                <w:sz w:val="21"/>
                <w:szCs w:val="21"/>
              </w:rPr>
            </w:pPr>
            <w:r>
              <w:rPr>
                <w:color w:val="auto"/>
                <w:sz w:val="21"/>
                <w:szCs w:val="21"/>
              </w:rPr>
              <w:t>不涉及</w:t>
            </w:r>
          </w:p>
        </w:tc>
      </w:tr>
      <w:tr w14:paraId="60E15A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vMerge w:val="continue"/>
            <w:tcBorders>
              <w:tl2br w:val="nil"/>
              <w:tr2bl w:val="nil"/>
            </w:tcBorders>
            <w:vAlign w:val="center"/>
          </w:tcPr>
          <w:p w14:paraId="54CA37D9">
            <w:pPr>
              <w:spacing w:line="240" w:lineRule="auto"/>
              <w:ind w:firstLine="0" w:firstLineChars="0"/>
              <w:jc w:val="center"/>
              <w:rPr>
                <w:color w:val="auto"/>
                <w:sz w:val="21"/>
                <w:szCs w:val="21"/>
              </w:rPr>
            </w:pPr>
          </w:p>
        </w:tc>
        <w:tc>
          <w:tcPr>
            <w:tcW w:w="657" w:type="pct"/>
            <w:vMerge w:val="continue"/>
            <w:tcBorders>
              <w:tl2br w:val="nil"/>
              <w:tr2bl w:val="nil"/>
            </w:tcBorders>
            <w:vAlign w:val="center"/>
          </w:tcPr>
          <w:p w14:paraId="6CCD4FEE">
            <w:pPr>
              <w:spacing w:line="240" w:lineRule="auto"/>
              <w:ind w:firstLine="0" w:firstLineChars="0"/>
              <w:jc w:val="center"/>
              <w:rPr>
                <w:color w:val="auto"/>
                <w:sz w:val="21"/>
                <w:szCs w:val="21"/>
              </w:rPr>
            </w:pPr>
          </w:p>
        </w:tc>
        <w:tc>
          <w:tcPr>
            <w:tcW w:w="1681" w:type="pct"/>
            <w:tcBorders>
              <w:tl2br w:val="nil"/>
              <w:tr2bl w:val="nil"/>
            </w:tcBorders>
            <w:vAlign w:val="center"/>
          </w:tcPr>
          <w:p w14:paraId="1B803DF9">
            <w:pPr>
              <w:spacing w:line="240" w:lineRule="auto"/>
              <w:ind w:firstLine="0" w:firstLineChars="0"/>
              <w:jc w:val="center"/>
              <w:rPr>
                <w:color w:val="auto"/>
                <w:sz w:val="21"/>
                <w:szCs w:val="21"/>
              </w:rPr>
            </w:pPr>
            <w:r>
              <w:rPr>
                <w:color w:val="auto"/>
                <w:spacing w:val="-3"/>
                <w:sz w:val="21"/>
                <w:szCs w:val="21"/>
              </w:rPr>
              <w:t>滴滴涕</w:t>
            </w:r>
          </w:p>
        </w:tc>
        <w:tc>
          <w:tcPr>
            <w:tcW w:w="1266" w:type="pct"/>
            <w:tcBorders>
              <w:tl2br w:val="nil"/>
              <w:tr2bl w:val="nil"/>
            </w:tcBorders>
            <w:vAlign w:val="center"/>
          </w:tcPr>
          <w:p w14:paraId="21D62B23">
            <w:pPr>
              <w:spacing w:line="240" w:lineRule="auto"/>
              <w:ind w:firstLine="0" w:firstLineChars="0"/>
              <w:jc w:val="center"/>
              <w:rPr>
                <w:color w:val="auto"/>
                <w:sz w:val="21"/>
                <w:szCs w:val="21"/>
              </w:rPr>
            </w:pPr>
            <w:r>
              <w:rPr>
                <w:color w:val="auto"/>
                <w:spacing w:val="-2"/>
                <w:sz w:val="21"/>
                <w:szCs w:val="21"/>
              </w:rPr>
              <w:t>50-29-3</w:t>
            </w:r>
          </w:p>
        </w:tc>
        <w:tc>
          <w:tcPr>
            <w:tcW w:w="804" w:type="pct"/>
            <w:tcBorders>
              <w:tl2br w:val="nil"/>
              <w:tr2bl w:val="nil"/>
            </w:tcBorders>
            <w:vAlign w:val="center"/>
          </w:tcPr>
          <w:p w14:paraId="3041A19A">
            <w:pPr>
              <w:spacing w:line="240" w:lineRule="auto"/>
              <w:ind w:firstLine="0" w:firstLineChars="0"/>
              <w:jc w:val="center"/>
              <w:rPr>
                <w:color w:val="auto"/>
                <w:sz w:val="21"/>
                <w:szCs w:val="21"/>
              </w:rPr>
            </w:pPr>
            <w:r>
              <w:rPr>
                <w:color w:val="auto"/>
                <w:sz w:val="21"/>
                <w:szCs w:val="21"/>
              </w:rPr>
              <w:t>不涉及</w:t>
            </w:r>
          </w:p>
        </w:tc>
      </w:tr>
      <w:tr w14:paraId="330823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vMerge w:val="continue"/>
            <w:tcBorders>
              <w:tl2br w:val="nil"/>
              <w:tr2bl w:val="nil"/>
            </w:tcBorders>
            <w:vAlign w:val="center"/>
          </w:tcPr>
          <w:p w14:paraId="404C4F67">
            <w:pPr>
              <w:spacing w:line="240" w:lineRule="auto"/>
              <w:ind w:firstLine="0" w:firstLineChars="0"/>
              <w:jc w:val="center"/>
              <w:rPr>
                <w:color w:val="auto"/>
                <w:sz w:val="21"/>
                <w:szCs w:val="21"/>
              </w:rPr>
            </w:pPr>
          </w:p>
        </w:tc>
        <w:tc>
          <w:tcPr>
            <w:tcW w:w="657" w:type="pct"/>
            <w:vMerge w:val="continue"/>
            <w:tcBorders>
              <w:tl2br w:val="nil"/>
              <w:tr2bl w:val="nil"/>
            </w:tcBorders>
            <w:vAlign w:val="center"/>
          </w:tcPr>
          <w:p w14:paraId="4A8EF5F6">
            <w:pPr>
              <w:spacing w:line="240" w:lineRule="auto"/>
              <w:ind w:firstLine="0" w:firstLineChars="0"/>
              <w:jc w:val="center"/>
              <w:rPr>
                <w:color w:val="auto"/>
                <w:sz w:val="21"/>
                <w:szCs w:val="21"/>
              </w:rPr>
            </w:pPr>
          </w:p>
        </w:tc>
        <w:tc>
          <w:tcPr>
            <w:tcW w:w="1681" w:type="pct"/>
            <w:tcBorders>
              <w:tl2br w:val="nil"/>
              <w:tr2bl w:val="nil"/>
            </w:tcBorders>
            <w:vAlign w:val="center"/>
          </w:tcPr>
          <w:p w14:paraId="697ECC82">
            <w:pPr>
              <w:spacing w:line="240" w:lineRule="auto"/>
              <w:ind w:firstLine="0" w:firstLineChars="0"/>
              <w:jc w:val="center"/>
              <w:rPr>
                <w:color w:val="auto"/>
                <w:sz w:val="21"/>
                <w:szCs w:val="21"/>
              </w:rPr>
            </w:pPr>
            <w:r>
              <w:rPr>
                <w:color w:val="auto"/>
                <w:spacing w:val="-8"/>
                <w:sz w:val="21"/>
                <w:szCs w:val="21"/>
              </w:rPr>
              <w:t>α-六氯环己烷</w:t>
            </w:r>
          </w:p>
        </w:tc>
        <w:tc>
          <w:tcPr>
            <w:tcW w:w="1266" w:type="pct"/>
            <w:tcBorders>
              <w:tl2br w:val="nil"/>
              <w:tr2bl w:val="nil"/>
            </w:tcBorders>
            <w:vAlign w:val="center"/>
          </w:tcPr>
          <w:p w14:paraId="407897E1">
            <w:pPr>
              <w:spacing w:line="240" w:lineRule="auto"/>
              <w:ind w:firstLine="0" w:firstLineChars="0"/>
              <w:jc w:val="center"/>
              <w:rPr>
                <w:color w:val="auto"/>
                <w:sz w:val="21"/>
                <w:szCs w:val="21"/>
              </w:rPr>
            </w:pPr>
            <w:r>
              <w:rPr>
                <w:color w:val="auto"/>
                <w:spacing w:val="-2"/>
                <w:sz w:val="21"/>
                <w:szCs w:val="21"/>
              </w:rPr>
              <w:t>319-84-6</w:t>
            </w:r>
          </w:p>
        </w:tc>
        <w:tc>
          <w:tcPr>
            <w:tcW w:w="804" w:type="pct"/>
            <w:tcBorders>
              <w:tl2br w:val="nil"/>
              <w:tr2bl w:val="nil"/>
            </w:tcBorders>
            <w:vAlign w:val="center"/>
          </w:tcPr>
          <w:p w14:paraId="6D6767DB">
            <w:pPr>
              <w:spacing w:line="240" w:lineRule="auto"/>
              <w:ind w:firstLine="0" w:firstLineChars="0"/>
              <w:jc w:val="center"/>
              <w:rPr>
                <w:color w:val="auto"/>
                <w:sz w:val="21"/>
                <w:szCs w:val="21"/>
              </w:rPr>
            </w:pPr>
            <w:r>
              <w:rPr>
                <w:color w:val="auto"/>
                <w:sz w:val="21"/>
                <w:szCs w:val="21"/>
              </w:rPr>
              <w:t>不涉及</w:t>
            </w:r>
          </w:p>
        </w:tc>
      </w:tr>
      <w:tr w14:paraId="0B7876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vMerge w:val="continue"/>
            <w:tcBorders>
              <w:tl2br w:val="nil"/>
              <w:tr2bl w:val="nil"/>
            </w:tcBorders>
            <w:vAlign w:val="center"/>
          </w:tcPr>
          <w:p w14:paraId="5A4A020A">
            <w:pPr>
              <w:spacing w:line="240" w:lineRule="auto"/>
              <w:ind w:firstLine="0" w:firstLineChars="0"/>
              <w:jc w:val="center"/>
              <w:rPr>
                <w:color w:val="auto"/>
                <w:sz w:val="21"/>
                <w:szCs w:val="21"/>
              </w:rPr>
            </w:pPr>
          </w:p>
        </w:tc>
        <w:tc>
          <w:tcPr>
            <w:tcW w:w="657" w:type="pct"/>
            <w:vMerge w:val="continue"/>
            <w:tcBorders>
              <w:tl2br w:val="nil"/>
              <w:tr2bl w:val="nil"/>
            </w:tcBorders>
            <w:vAlign w:val="center"/>
          </w:tcPr>
          <w:p w14:paraId="643D1D96">
            <w:pPr>
              <w:spacing w:line="240" w:lineRule="auto"/>
              <w:ind w:firstLine="0" w:firstLineChars="0"/>
              <w:jc w:val="center"/>
              <w:rPr>
                <w:color w:val="auto"/>
                <w:sz w:val="21"/>
                <w:szCs w:val="21"/>
              </w:rPr>
            </w:pPr>
          </w:p>
        </w:tc>
        <w:tc>
          <w:tcPr>
            <w:tcW w:w="1681" w:type="pct"/>
            <w:tcBorders>
              <w:tl2br w:val="nil"/>
              <w:tr2bl w:val="nil"/>
            </w:tcBorders>
            <w:vAlign w:val="center"/>
          </w:tcPr>
          <w:p w14:paraId="17A4E92C">
            <w:pPr>
              <w:spacing w:line="240" w:lineRule="auto"/>
              <w:ind w:firstLine="0" w:firstLineChars="0"/>
              <w:jc w:val="center"/>
              <w:rPr>
                <w:color w:val="auto"/>
                <w:sz w:val="21"/>
                <w:szCs w:val="21"/>
              </w:rPr>
            </w:pPr>
            <w:r>
              <w:rPr>
                <w:color w:val="auto"/>
                <w:spacing w:val="-8"/>
                <w:sz w:val="21"/>
                <w:szCs w:val="21"/>
              </w:rPr>
              <w:t>β-六氯环己烷</w:t>
            </w:r>
          </w:p>
        </w:tc>
        <w:tc>
          <w:tcPr>
            <w:tcW w:w="1266" w:type="pct"/>
            <w:tcBorders>
              <w:tl2br w:val="nil"/>
              <w:tr2bl w:val="nil"/>
            </w:tcBorders>
            <w:vAlign w:val="center"/>
          </w:tcPr>
          <w:p w14:paraId="2C92031E">
            <w:pPr>
              <w:spacing w:line="240" w:lineRule="auto"/>
              <w:ind w:firstLine="0" w:firstLineChars="0"/>
              <w:jc w:val="center"/>
              <w:rPr>
                <w:color w:val="auto"/>
                <w:sz w:val="21"/>
                <w:szCs w:val="21"/>
              </w:rPr>
            </w:pPr>
            <w:r>
              <w:rPr>
                <w:color w:val="auto"/>
                <w:spacing w:val="-2"/>
                <w:sz w:val="21"/>
                <w:szCs w:val="21"/>
              </w:rPr>
              <w:t>319-85-7</w:t>
            </w:r>
          </w:p>
        </w:tc>
        <w:tc>
          <w:tcPr>
            <w:tcW w:w="804" w:type="pct"/>
            <w:tcBorders>
              <w:tl2br w:val="nil"/>
              <w:tr2bl w:val="nil"/>
            </w:tcBorders>
            <w:vAlign w:val="center"/>
          </w:tcPr>
          <w:p w14:paraId="788E7055">
            <w:pPr>
              <w:spacing w:line="240" w:lineRule="auto"/>
              <w:ind w:firstLine="0" w:firstLineChars="0"/>
              <w:jc w:val="center"/>
              <w:rPr>
                <w:color w:val="auto"/>
                <w:sz w:val="21"/>
                <w:szCs w:val="21"/>
              </w:rPr>
            </w:pPr>
            <w:r>
              <w:rPr>
                <w:color w:val="auto"/>
                <w:sz w:val="21"/>
                <w:szCs w:val="21"/>
              </w:rPr>
              <w:t>不涉及</w:t>
            </w:r>
          </w:p>
        </w:tc>
      </w:tr>
      <w:tr w14:paraId="3EE498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vMerge w:val="continue"/>
            <w:tcBorders>
              <w:tl2br w:val="nil"/>
              <w:tr2bl w:val="nil"/>
            </w:tcBorders>
            <w:vAlign w:val="center"/>
          </w:tcPr>
          <w:p w14:paraId="275F208C">
            <w:pPr>
              <w:spacing w:line="240" w:lineRule="auto"/>
              <w:ind w:firstLine="0" w:firstLineChars="0"/>
              <w:jc w:val="center"/>
              <w:rPr>
                <w:color w:val="auto"/>
                <w:sz w:val="21"/>
                <w:szCs w:val="21"/>
              </w:rPr>
            </w:pPr>
          </w:p>
        </w:tc>
        <w:tc>
          <w:tcPr>
            <w:tcW w:w="657" w:type="pct"/>
            <w:vMerge w:val="continue"/>
            <w:tcBorders>
              <w:tl2br w:val="nil"/>
              <w:tr2bl w:val="nil"/>
            </w:tcBorders>
            <w:vAlign w:val="center"/>
          </w:tcPr>
          <w:p w14:paraId="077053A9">
            <w:pPr>
              <w:spacing w:line="240" w:lineRule="auto"/>
              <w:ind w:firstLine="0" w:firstLineChars="0"/>
              <w:jc w:val="center"/>
              <w:rPr>
                <w:color w:val="auto"/>
                <w:sz w:val="21"/>
                <w:szCs w:val="21"/>
              </w:rPr>
            </w:pPr>
          </w:p>
        </w:tc>
        <w:tc>
          <w:tcPr>
            <w:tcW w:w="1681" w:type="pct"/>
            <w:tcBorders>
              <w:tl2br w:val="nil"/>
              <w:tr2bl w:val="nil"/>
            </w:tcBorders>
            <w:vAlign w:val="center"/>
          </w:tcPr>
          <w:p w14:paraId="7B4621BB">
            <w:pPr>
              <w:spacing w:line="240" w:lineRule="auto"/>
              <w:ind w:firstLine="0" w:firstLineChars="0"/>
              <w:jc w:val="center"/>
              <w:rPr>
                <w:color w:val="auto"/>
                <w:sz w:val="21"/>
                <w:szCs w:val="21"/>
              </w:rPr>
            </w:pPr>
            <w:r>
              <w:rPr>
                <w:color w:val="auto"/>
                <w:spacing w:val="-3"/>
                <w:sz w:val="21"/>
                <w:szCs w:val="21"/>
              </w:rPr>
              <w:t>林丹</w:t>
            </w:r>
          </w:p>
        </w:tc>
        <w:tc>
          <w:tcPr>
            <w:tcW w:w="1266" w:type="pct"/>
            <w:tcBorders>
              <w:tl2br w:val="nil"/>
              <w:tr2bl w:val="nil"/>
            </w:tcBorders>
            <w:vAlign w:val="center"/>
          </w:tcPr>
          <w:p w14:paraId="4C88EAA2">
            <w:pPr>
              <w:spacing w:line="240" w:lineRule="auto"/>
              <w:ind w:firstLine="0" w:firstLineChars="0"/>
              <w:jc w:val="center"/>
              <w:rPr>
                <w:color w:val="auto"/>
                <w:sz w:val="21"/>
                <w:szCs w:val="21"/>
              </w:rPr>
            </w:pPr>
            <w:r>
              <w:rPr>
                <w:color w:val="auto"/>
                <w:spacing w:val="-2"/>
                <w:sz w:val="21"/>
                <w:szCs w:val="21"/>
              </w:rPr>
              <w:t>58-89-9</w:t>
            </w:r>
          </w:p>
        </w:tc>
        <w:tc>
          <w:tcPr>
            <w:tcW w:w="804" w:type="pct"/>
            <w:tcBorders>
              <w:tl2br w:val="nil"/>
              <w:tr2bl w:val="nil"/>
            </w:tcBorders>
            <w:vAlign w:val="center"/>
          </w:tcPr>
          <w:p w14:paraId="3B9E31AD">
            <w:pPr>
              <w:spacing w:line="240" w:lineRule="auto"/>
              <w:ind w:firstLine="0" w:firstLineChars="0"/>
              <w:jc w:val="center"/>
              <w:rPr>
                <w:color w:val="auto"/>
                <w:sz w:val="21"/>
                <w:szCs w:val="21"/>
              </w:rPr>
            </w:pPr>
            <w:r>
              <w:rPr>
                <w:color w:val="auto"/>
                <w:sz w:val="21"/>
                <w:szCs w:val="21"/>
              </w:rPr>
              <w:t>不涉及</w:t>
            </w:r>
          </w:p>
        </w:tc>
      </w:tr>
      <w:tr w14:paraId="1E8557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vMerge w:val="continue"/>
            <w:tcBorders>
              <w:tl2br w:val="nil"/>
              <w:tr2bl w:val="nil"/>
            </w:tcBorders>
            <w:vAlign w:val="center"/>
          </w:tcPr>
          <w:p w14:paraId="62AC30FA">
            <w:pPr>
              <w:spacing w:line="240" w:lineRule="auto"/>
              <w:ind w:firstLine="0" w:firstLineChars="0"/>
              <w:jc w:val="center"/>
              <w:rPr>
                <w:color w:val="auto"/>
                <w:sz w:val="21"/>
                <w:szCs w:val="21"/>
              </w:rPr>
            </w:pPr>
          </w:p>
        </w:tc>
        <w:tc>
          <w:tcPr>
            <w:tcW w:w="657" w:type="pct"/>
            <w:vMerge w:val="continue"/>
            <w:tcBorders>
              <w:tl2br w:val="nil"/>
              <w:tr2bl w:val="nil"/>
            </w:tcBorders>
            <w:vAlign w:val="center"/>
          </w:tcPr>
          <w:p w14:paraId="02DFD99D">
            <w:pPr>
              <w:spacing w:line="240" w:lineRule="auto"/>
              <w:ind w:firstLine="0" w:firstLineChars="0"/>
              <w:jc w:val="center"/>
              <w:rPr>
                <w:color w:val="auto"/>
                <w:sz w:val="21"/>
                <w:szCs w:val="21"/>
              </w:rPr>
            </w:pPr>
          </w:p>
        </w:tc>
        <w:tc>
          <w:tcPr>
            <w:tcW w:w="1681" w:type="pct"/>
            <w:tcBorders>
              <w:tl2br w:val="nil"/>
              <w:tr2bl w:val="nil"/>
            </w:tcBorders>
            <w:vAlign w:val="center"/>
          </w:tcPr>
          <w:p w14:paraId="60AC1A00">
            <w:pPr>
              <w:spacing w:line="240" w:lineRule="auto"/>
              <w:ind w:firstLine="0" w:firstLineChars="0"/>
              <w:jc w:val="center"/>
              <w:rPr>
                <w:color w:val="auto"/>
                <w:sz w:val="21"/>
                <w:szCs w:val="21"/>
              </w:rPr>
            </w:pPr>
            <w:r>
              <w:rPr>
                <w:color w:val="auto"/>
                <w:spacing w:val="5"/>
                <w:sz w:val="21"/>
                <w:szCs w:val="21"/>
              </w:rPr>
              <w:t>硫丹原药及其相关</w:t>
            </w:r>
            <w:r>
              <w:rPr>
                <w:color w:val="auto"/>
                <w:spacing w:val="-3"/>
                <w:sz w:val="21"/>
                <w:szCs w:val="21"/>
              </w:rPr>
              <w:t>异构体</w:t>
            </w:r>
          </w:p>
        </w:tc>
        <w:tc>
          <w:tcPr>
            <w:tcW w:w="1266" w:type="pct"/>
            <w:tcBorders>
              <w:tl2br w:val="nil"/>
              <w:tr2bl w:val="nil"/>
            </w:tcBorders>
            <w:vAlign w:val="center"/>
          </w:tcPr>
          <w:p w14:paraId="456E5429">
            <w:pPr>
              <w:widowControl/>
              <w:spacing w:before="73" w:line="240" w:lineRule="auto"/>
              <w:ind w:firstLine="0" w:firstLineChars="0"/>
              <w:jc w:val="center"/>
              <w:textAlignment w:val="baseline"/>
              <w:rPr>
                <w:snapToGrid w:val="0"/>
                <w:color w:val="auto"/>
                <w:kern w:val="0"/>
                <w:sz w:val="21"/>
                <w:szCs w:val="21"/>
                <w:lang w:eastAsia="en-US"/>
              </w:rPr>
            </w:pPr>
            <w:r>
              <w:rPr>
                <w:snapToGrid w:val="0"/>
                <w:color w:val="auto"/>
                <w:spacing w:val="-3"/>
                <w:kern w:val="0"/>
                <w:sz w:val="21"/>
                <w:szCs w:val="21"/>
                <w:lang w:eastAsia="en-US"/>
              </w:rPr>
              <w:t>115-29-7</w:t>
            </w:r>
          </w:p>
          <w:p w14:paraId="349F716D">
            <w:pPr>
              <w:widowControl/>
              <w:spacing w:before="64" w:line="240" w:lineRule="auto"/>
              <w:ind w:firstLine="0" w:firstLineChars="0"/>
              <w:jc w:val="center"/>
              <w:textAlignment w:val="baseline"/>
              <w:rPr>
                <w:snapToGrid w:val="0"/>
                <w:color w:val="auto"/>
                <w:kern w:val="0"/>
                <w:sz w:val="21"/>
                <w:szCs w:val="21"/>
                <w:lang w:eastAsia="en-US"/>
              </w:rPr>
            </w:pPr>
            <w:r>
              <w:rPr>
                <w:snapToGrid w:val="0"/>
                <w:color w:val="auto"/>
                <w:spacing w:val="-2"/>
                <w:kern w:val="0"/>
                <w:sz w:val="21"/>
                <w:szCs w:val="21"/>
                <w:lang w:eastAsia="en-US"/>
              </w:rPr>
              <w:t>959-98-8</w:t>
            </w:r>
          </w:p>
          <w:p w14:paraId="63CF35D7">
            <w:pPr>
              <w:widowControl/>
              <w:spacing w:before="63" w:line="240" w:lineRule="auto"/>
              <w:ind w:firstLine="0" w:firstLineChars="0"/>
              <w:jc w:val="center"/>
              <w:textAlignment w:val="baseline"/>
              <w:rPr>
                <w:snapToGrid w:val="0"/>
                <w:color w:val="auto"/>
                <w:kern w:val="0"/>
                <w:sz w:val="21"/>
                <w:szCs w:val="21"/>
                <w:lang w:eastAsia="en-US"/>
              </w:rPr>
            </w:pPr>
            <w:r>
              <w:rPr>
                <w:snapToGrid w:val="0"/>
                <w:color w:val="auto"/>
                <w:spacing w:val="-2"/>
                <w:kern w:val="0"/>
                <w:sz w:val="21"/>
                <w:szCs w:val="21"/>
                <w:lang w:eastAsia="en-US"/>
              </w:rPr>
              <w:t>33213-65-9</w:t>
            </w:r>
          </w:p>
          <w:p w14:paraId="1F5171BE">
            <w:pPr>
              <w:spacing w:line="240" w:lineRule="auto"/>
              <w:ind w:firstLine="0" w:firstLineChars="0"/>
              <w:jc w:val="center"/>
              <w:rPr>
                <w:color w:val="auto"/>
                <w:sz w:val="21"/>
                <w:szCs w:val="21"/>
              </w:rPr>
            </w:pPr>
            <w:r>
              <w:rPr>
                <w:color w:val="auto"/>
                <w:spacing w:val="-3"/>
                <w:sz w:val="21"/>
                <w:szCs w:val="21"/>
              </w:rPr>
              <w:t>1031-07-8</w:t>
            </w:r>
          </w:p>
        </w:tc>
        <w:tc>
          <w:tcPr>
            <w:tcW w:w="804" w:type="pct"/>
            <w:tcBorders>
              <w:tl2br w:val="nil"/>
              <w:tr2bl w:val="nil"/>
            </w:tcBorders>
            <w:vAlign w:val="center"/>
          </w:tcPr>
          <w:p w14:paraId="12854A70">
            <w:pPr>
              <w:spacing w:line="240" w:lineRule="auto"/>
              <w:ind w:firstLine="0" w:firstLineChars="0"/>
              <w:jc w:val="center"/>
              <w:rPr>
                <w:color w:val="auto"/>
                <w:sz w:val="21"/>
                <w:szCs w:val="21"/>
              </w:rPr>
            </w:pPr>
            <w:r>
              <w:rPr>
                <w:color w:val="auto"/>
                <w:sz w:val="21"/>
                <w:szCs w:val="21"/>
              </w:rPr>
              <w:t>不涉及</w:t>
            </w:r>
          </w:p>
        </w:tc>
      </w:tr>
      <w:tr w14:paraId="060BAD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pct"/>
            <w:vMerge w:val="continue"/>
            <w:tcBorders>
              <w:tl2br w:val="nil"/>
              <w:tr2bl w:val="nil"/>
            </w:tcBorders>
            <w:vAlign w:val="center"/>
          </w:tcPr>
          <w:p w14:paraId="7C8BADA9">
            <w:pPr>
              <w:spacing w:line="240" w:lineRule="auto"/>
              <w:ind w:firstLine="0" w:firstLineChars="0"/>
              <w:jc w:val="center"/>
              <w:rPr>
                <w:color w:val="auto"/>
                <w:sz w:val="21"/>
                <w:szCs w:val="21"/>
              </w:rPr>
            </w:pPr>
          </w:p>
        </w:tc>
        <w:tc>
          <w:tcPr>
            <w:tcW w:w="657" w:type="pct"/>
            <w:vMerge w:val="continue"/>
            <w:tcBorders>
              <w:tl2br w:val="nil"/>
              <w:tr2bl w:val="nil"/>
            </w:tcBorders>
            <w:vAlign w:val="center"/>
          </w:tcPr>
          <w:p w14:paraId="159228EE">
            <w:pPr>
              <w:spacing w:line="240" w:lineRule="auto"/>
              <w:ind w:firstLine="0" w:firstLineChars="0"/>
              <w:jc w:val="center"/>
              <w:rPr>
                <w:color w:val="auto"/>
                <w:sz w:val="21"/>
                <w:szCs w:val="21"/>
              </w:rPr>
            </w:pPr>
          </w:p>
        </w:tc>
        <w:tc>
          <w:tcPr>
            <w:tcW w:w="1681" w:type="pct"/>
            <w:tcBorders>
              <w:tl2br w:val="nil"/>
              <w:tr2bl w:val="nil"/>
            </w:tcBorders>
            <w:vAlign w:val="center"/>
          </w:tcPr>
          <w:p w14:paraId="2338E1BE">
            <w:pPr>
              <w:spacing w:line="240" w:lineRule="auto"/>
              <w:ind w:firstLine="0" w:firstLineChars="0"/>
              <w:jc w:val="center"/>
              <w:rPr>
                <w:color w:val="auto"/>
                <w:sz w:val="21"/>
                <w:szCs w:val="21"/>
              </w:rPr>
            </w:pPr>
            <w:r>
              <w:rPr>
                <w:color w:val="auto"/>
                <w:spacing w:val="-4"/>
                <w:sz w:val="21"/>
                <w:szCs w:val="21"/>
              </w:rPr>
              <w:t>多氯联苯</w:t>
            </w:r>
          </w:p>
        </w:tc>
        <w:tc>
          <w:tcPr>
            <w:tcW w:w="1266" w:type="pct"/>
            <w:tcBorders>
              <w:tl2br w:val="nil"/>
              <w:tr2bl w:val="nil"/>
            </w:tcBorders>
            <w:vAlign w:val="center"/>
          </w:tcPr>
          <w:p w14:paraId="5839011A">
            <w:pPr>
              <w:spacing w:line="240" w:lineRule="auto"/>
              <w:ind w:firstLine="0" w:firstLineChars="0"/>
              <w:jc w:val="center"/>
              <w:rPr>
                <w:color w:val="auto"/>
                <w:sz w:val="21"/>
                <w:szCs w:val="21"/>
              </w:rPr>
            </w:pPr>
            <w:r>
              <w:rPr>
                <w:color w:val="auto"/>
                <w:sz w:val="21"/>
                <w:szCs w:val="21"/>
              </w:rPr>
              <w:t>/</w:t>
            </w:r>
          </w:p>
        </w:tc>
        <w:tc>
          <w:tcPr>
            <w:tcW w:w="804" w:type="pct"/>
            <w:tcBorders>
              <w:tl2br w:val="nil"/>
              <w:tr2bl w:val="nil"/>
            </w:tcBorders>
            <w:vAlign w:val="center"/>
          </w:tcPr>
          <w:p w14:paraId="1DEC1C70">
            <w:pPr>
              <w:spacing w:line="240" w:lineRule="auto"/>
              <w:ind w:firstLine="0" w:firstLineChars="0"/>
              <w:jc w:val="center"/>
              <w:rPr>
                <w:color w:val="auto"/>
                <w:sz w:val="21"/>
                <w:szCs w:val="21"/>
              </w:rPr>
            </w:pPr>
            <w:r>
              <w:rPr>
                <w:color w:val="auto"/>
                <w:sz w:val="21"/>
                <w:szCs w:val="21"/>
              </w:rPr>
              <w:t>不涉及</w:t>
            </w:r>
          </w:p>
        </w:tc>
      </w:tr>
    </w:tbl>
    <w:p w14:paraId="091C7AFA">
      <w:pPr>
        <w:pStyle w:val="49"/>
        <w:rPr>
          <w:color w:val="auto"/>
        </w:rPr>
      </w:pPr>
      <w:r>
        <w:rPr>
          <w:rFonts w:hint="eastAsia"/>
          <w:color w:val="auto"/>
        </w:rPr>
        <w:t>表1.4-20  与《有毒有害大气污染物名录（2018年）》对照</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120"/>
        <w:gridCol w:w="3587"/>
        <w:gridCol w:w="3147"/>
      </w:tblGrid>
      <w:tr w14:paraId="42F39B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24A6716F">
            <w:pPr>
              <w:spacing w:line="240" w:lineRule="auto"/>
              <w:ind w:firstLine="0" w:firstLineChars="0"/>
              <w:jc w:val="center"/>
              <w:rPr>
                <w:b/>
                <w:bCs/>
                <w:color w:val="auto"/>
                <w:sz w:val="21"/>
                <w:szCs w:val="21"/>
              </w:rPr>
            </w:pPr>
            <w:r>
              <w:rPr>
                <w:b/>
                <w:bCs/>
                <w:color w:val="auto"/>
                <w:sz w:val="21"/>
                <w:szCs w:val="21"/>
              </w:rPr>
              <w:t>序号</w:t>
            </w:r>
          </w:p>
        </w:tc>
        <w:tc>
          <w:tcPr>
            <w:tcW w:w="1820" w:type="pct"/>
            <w:tcBorders>
              <w:tl2br w:val="nil"/>
              <w:tr2bl w:val="nil"/>
            </w:tcBorders>
            <w:vAlign w:val="center"/>
          </w:tcPr>
          <w:p w14:paraId="205A7409">
            <w:pPr>
              <w:spacing w:line="240" w:lineRule="auto"/>
              <w:ind w:firstLine="0" w:firstLineChars="0"/>
              <w:jc w:val="center"/>
              <w:rPr>
                <w:b/>
                <w:bCs/>
                <w:color w:val="auto"/>
                <w:sz w:val="21"/>
                <w:szCs w:val="21"/>
              </w:rPr>
            </w:pPr>
            <w:r>
              <w:rPr>
                <w:b/>
                <w:bCs/>
                <w:color w:val="auto"/>
                <w:sz w:val="21"/>
                <w:szCs w:val="21"/>
              </w:rPr>
              <w:t>污染物名称</w:t>
            </w:r>
          </w:p>
        </w:tc>
        <w:tc>
          <w:tcPr>
            <w:tcW w:w="1597" w:type="pct"/>
            <w:tcBorders>
              <w:tl2br w:val="nil"/>
              <w:tr2bl w:val="nil"/>
            </w:tcBorders>
            <w:vAlign w:val="center"/>
          </w:tcPr>
          <w:p w14:paraId="49224666">
            <w:pPr>
              <w:spacing w:line="240" w:lineRule="auto"/>
              <w:ind w:firstLine="0" w:firstLineChars="0"/>
              <w:jc w:val="center"/>
              <w:rPr>
                <w:b/>
                <w:bCs/>
                <w:color w:val="auto"/>
                <w:sz w:val="21"/>
                <w:szCs w:val="21"/>
              </w:rPr>
            </w:pPr>
            <w:r>
              <w:rPr>
                <w:rFonts w:hint="eastAsia"/>
                <w:b/>
                <w:bCs/>
                <w:color w:val="auto"/>
                <w:sz w:val="21"/>
                <w:szCs w:val="21"/>
              </w:rPr>
              <w:t>拟建项目</w:t>
            </w:r>
            <w:r>
              <w:rPr>
                <w:b/>
                <w:bCs/>
                <w:color w:val="auto"/>
                <w:sz w:val="21"/>
                <w:szCs w:val="21"/>
              </w:rPr>
              <w:t>情况</w:t>
            </w:r>
          </w:p>
        </w:tc>
      </w:tr>
      <w:tr w14:paraId="0A12E1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16A8603E">
            <w:pPr>
              <w:spacing w:line="240" w:lineRule="auto"/>
              <w:ind w:firstLine="0" w:firstLineChars="0"/>
              <w:jc w:val="center"/>
              <w:rPr>
                <w:color w:val="auto"/>
                <w:sz w:val="21"/>
                <w:szCs w:val="21"/>
              </w:rPr>
            </w:pPr>
            <w:r>
              <w:rPr>
                <w:color w:val="auto"/>
                <w:sz w:val="21"/>
                <w:szCs w:val="21"/>
              </w:rPr>
              <w:t>1</w:t>
            </w:r>
          </w:p>
        </w:tc>
        <w:tc>
          <w:tcPr>
            <w:tcW w:w="1820" w:type="pct"/>
            <w:tcBorders>
              <w:tl2br w:val="nil"/>
              <w:tr2bl w:val="nil"/>
            </w:tcBorders>
            <w:vAlign w:val="center"/>
          </w:tcPr>
          <w:p w14:paraId="5480F1EE">
            <w:pPr>
              <w:spacing w:line="240" w:lineRule="auto"/>
              <w:ind w:firstLine="0" w:firstLineChars="0"/>
              <w:jc w:val="center"/>
              <w:rPr>
                <w:color w:val="auto"/>
                <w:sz w:val="21"/>
                <w:szCs w:val="21"/>
              </w:rPr>
            </w:pPr>
            <w:r>
              <w:rPr>
                <w:color w:val="auto"/>
                <w:sz w:val="21"/>
                <w:szCs w:val="21"/>
              </w:rPr>
              <w:t>二氯甲烷</w:t>
            </w:r>
          </w:p>
        </w:tc>
        <w:tc>
          <w:tcPr>
            <w:tcW w:w="1597" w:type="pct"/>
            <w:tcBorders>
              <w:tl2br w:val="nil"/>
              <w:tr2bl w:val="nil"/>
            </w:tcBorders>
            <w:vAlign w:val="center"/>
          </w:tcPr>
          <w:p w14:paraId="71CE1545">
            <w:pPr>
              <w:spacing w:line="240" w:lineRule="auto"/>
              <w:ind w:firstLine="0" w:firstLineChars="0"/>
              <w:jc w:val="center"/>
              <w:rPr>
                <w:color w:val="auto"/>
                <w:sz w:val="21"/>
                <w:szCs w:val="21"/>
              </w:rPr>
            </w:pPr>
            <w:r>
              <w:rPr>
                <w:color w:val="auto"/>
                <w:sz w:val="21"/>
                <w:szCs w:val="21"/>
              </w:rPr>
              <w:t>不涉及</w:t>
            </w:r>
          </w:p>
        </w:tc>
      </w:tr>
      <w:tr w14:paraId="5DA4AF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116CE79D">
            <w:pPr>
              <w:spacing w:line="240" w:lineRule="auto"/>
              <w:ind w:firstLine="0" w:firstLineChars="0"/>
              <w:jc w:val="center"/>
              <w:rPr>
                <w:color w:val="auto"/>
                <w:sz w:val="21"/>
                <w:szCs w:val="21"/>
              </w:rPr>
            </w:pPr>
            <w:r>
              <w:rPr>
                <w:color w:val="auto"/>
                <w:sz w:val="21"/>
                <w:szCs w:val="21"/>
              </w:rPr>
              <w:t>2</w:t>
            </w:r>
          </w:p>
        </w:tc>
        <w:tc>
          <w:tcPr>
            <w:tcW w:w="1820" w:type="pct"/>
            <w:tcBorders>
              <w:tl2br w:val="nil"/>
              <w:tr2bl w:val="nil"/>
            </w:tcBorders>
            <w:vAlign w:val="center"/>
          </w:tcPr>
          <w:p w14:paraId="19FE34B9">
            <w:pPr>
              <w:spacing w:line="240" w:lineRule="auto"/>
              <w:ind w:firstLine="0" w:firstLineChars="0"/>
              <w:jc w:val="center"/>
              <w:rPr>
                <w:color w:val="auto"/>
                <w:sz w:val="21"/>
                <w:szCs w:val="21"/>
              </w:rPr>
            </w:pPr>
            <w:r>
              <w:rPr>
                <w:color w:val="auto"/>
                <w:sz w:val="21"/>
                <w:szCs w:val="21"/>
              </w:rPr>
              <w:t>甲醛</w:t>
            </w:r>
          </w:p>
        </w:tc>
        <w:tc>
          <w:tcPr>
            <w:tcW w:w="1597" w:type="pct"/>
            <w:tcBorders>
              <w:tl2br w:val="nil"/>
              <w:tr2bl w:val="nil"/>
            </w:tcBorders>
            <w:vAlign w:val="center"/>
          </w:tcPr>
          <w:p w14:paraId="48396A02">
            <w:pPr>
              <w:spacing w:line="240" w:lineRule="auto"/>
              <w:ind w:firstLine="0" w:firstLineChars="0"/>
              <w:jc w:val="center"/>
              <w:rPr>
                <w:color w:val="auto"/>
                <w:sz w:val="21"/>
                <w:szCs w:val="21"/>
              </w:rPr>
            </w:pPr>
            <w:r>
              <w:rPr>
                <w:color w:val="auto"/>
                <w:sz w:val="21"/>
                <w:szCs w:val="21"/>
              </w:rPr>
              <w:t>不涉及</w:t>
            </w:r>
          </w:p>
        </w:tc>
      </w:tr>
      <w:tr w14:paraId="2EA281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11EEE853">
            <w:pPr>
              <w:spacing w:line="240" w:lineRule="auto"/>
              <w:ind w:firstLine="0" w:firstLineChars="0"/>
              <w:jc w:val="center"/>
              <w:rPr>
                <w:color w:val="auto"/>
                <w:sz w:val="21"/>
                <w:szCs w:val="21"/>
              </w:rPr>
            </w:pPr>
            <w:r>
              <w:rPr>
                <w:color w:val="auto"/>
                <w:sz w:val="21"/>
                <w:szCs w:val="21"/>
              </w:rPr>
              <w:t>3</w:t>
            </w:r>
          </w:p>
        </w:tc>
        <w:tc>
          <w:tcPr>
            <w:tcW w:w="1820" w:type="pct"/>
            <w:tcBorders>
              <w:tl2br w:val="nil"/>
              <w:tr2bl w:val="nil"/>
            </w:tcBorders>
            <w:vAlign w:val="center"/>
          </w:tcPr>
          <w:p w14:paraId="15536B8E">
            <w:pPr>
              <w:spacing w:line="240" w:lineRule="auto"/>
              <w:ind w:firstLine="0" w:firstLineChars="0"/>
              <w:jc w:val="center"/>
              <w:rPr>
                <w:color w:val="auto"/>
                <w:sz w:val="21"/>
                <w:szCs w:val="21"/>
              </w:rPr>
            </w:pPr>
            <w:r>
              <w:rPr>
                <w:color w:val="auto"/>
                <w:sz w:val="21"/>
                <w:szCs w:val="21"/>
              </w:rPr>
              <w:t>三氯甲烷</w:t>
            </w:r>
          </w:p>
        </w:tc>
        <w:tc>
          <w:tcPr>
            <w:tcW w:w="1597" w:type="pct"/>
            <w:tcBorders>
              <w:tl2br w:val="nil"/>
              <w:tr2bl w:val="nil"/>
            </w:tcBorders>
            <w:vAlign w:val="center"/>
          </w:tcPr>
          <w:p w14:paraId="3C51F14A">
            <w:pPr>
              <w:spacing w:line="240" w:lineRule="auto"/>
              <w:ind w:firstLine="0" w:firstLineChars="0"/>
              <w:jc w:val="center"/>
              <w:rPr>
                <w:color w:val="auto"/>
                <w:sz w:val="21"/>
                <w:szCs w:val="21"/>
              </w:rPr>
            </w:pPr>
            <w:r>
              <w:rPr>
                <w:color w:val="auto"/>
                <w:sz w:val="21"/>
                <w:szCs w:val="21"/>
              </w:rPr>
              <w:t>不涉及</w:t>
            </w:r>
          </w:p>
        </w:tc>
      </w:tr>
      <w:tr w14:paraId="43FB9A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2B4ACD8B">
            <w:pPr>
              <w:spacing w:line="240" w:lineRule="auto"/>
              <w:ind w:firstLine="0" w:firstLineChars="0"/>
              <w:jc w:val="center"/>
              <w:rPr>
                <w:color w:val="auto"/>
                <w:sz w:val="21"/>
                <w:szCs w:val="21"/>
              </w:rPr>
            </w:pPr>
            <w:r>
              <w:rPr>
                <w:color w:val="auto"/>
                <w:sz w:val="21"/>
                <w:szCs w:val="21"/>
              </w:rPr>
              <w:t>4</w:t>
            </w:r>
          </w:p>
        </w:tc>
        <w:tc>
          <w:tcPr>
            <w:tcW w:w="1820" w:type="pct"/>
            <w:tcBorders>
              <w:tl2br w:val="nil"/>
              <w:tr2bl w:val="nil"/>
            </w:tcBorders>
            <w:vAlign w:val="center"/>
          </w:tcPr>
          <w:p w14:paraId="6FBC1CC5">
            <w:pPr>
              <w:spacing w:line="240" w:lineRule="auto"/>
              <w:ind w:firstLine="0" w:firstLineChars="0"/>
              <w:jc w:val="center"/>
              <w:rPr>
                <w:color w:val="auto"/>
                <w:sz w:val="21"/>
                <w:szCs w:val="21"/>
              </w:rPr>
            </w:pPr>
            <w:r>
              <w:rPr>
                <w:color w:val="auto"/>
                <w:sz w:val="21"/>
                <w:szCs w:val="21"/>
              </w:rPr>
              <w:t>三氯乙烯</w:t>
            </w:r>
          </w:p>
        </w:tc>
        <w:tc>
          <w:tcPr>
            <w:tcW w:w="1597" w:type="pct"/>
            <w:tcBorders>
              <w:tl2br w:val="nil"/>
              <w:tr2bl w:val="nil"/>
            </w:tcBorders>
            <w:vAlign w:val="center"/>
          </w:tcPr>
          <w:p w14:paraId="1EA89227">
            <w:pPr>
              <w:spacing w:line="240" w:lineRule="auto"/>
              <w:ind w:firstLine="0" w:firstLineChars="0"/>
              <w:jc w:val="center"/>
              <w:rPr>
                <w:color w:val="auto"/>
                <w:sz w:val="21"/>
                <w:szCs w:val="21"/>
              </w:rPr>
            </w:pPr>
            <w:r>
              <w:rPr>
                <w:color w:val="auto"/>
                <w:sz w:val="21"/>
                <w:szCs w:val="21"/>
              </w:rPr>
              <w:t>不涉及</w:t>
            </w:r>
          </w:p>
        </w:tc>
      </w:tr>
      <w:tr w14:paraId="2909C1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2671E390">
            <w:pPr>
              <w:spacing w:line="240" w:lineRule="auto"/>
              <w:ind w:firstLine="0" w:firstLineChars="0"/>
              <w:jc w:val="center"/>
              <w:rPr>
                <w:color w:val="auto"/>
                <w:sz w:val="21"/>
                <w:szCs w:val="21"/>
              </w:rPr>
            </w:pPr>
            <w:r>
              <w:rPr>
                <w:color w:val="auto"/>
                <w:sz w:val="21"/>
                <w:szCs w:val="21"/>
              </w:rPr>
              <w:t>5</w:t>
            </w:r>
          </w:p>
        </w:tc>
        <w:tc>
          <w:tcPr>
            <w:tcW w:w="1820" w:type="pct"/>
            <w:tcBorders>
              <w:tl2br w:val="nil"/>
              <w:tr2bl w:val="nil"/>
            </w:tcBorders>
            <w:vAlign w:val="center"/>
          </w:tcPr>
          <w:p w14:paraId="7A33D0C5">
            <w:pPr>
              <w:spacing w:line="240" w:lineRule="auto"/>
              <w:ind w:firstLine="0" w:firstLineChars="0"/>
              <w:jc w:val="center"/>
              <w:rPr>
                <w:color w:val="auto"/>
                <w:sz w:val="21"/>
                <w:szCs w:val="21"/>
              </w:rPr>
            </w:pPr>
            <w:r>
              <w:rPr>
                <w:color w:val="auto"/>
                <w:sz w:val="21"/>
                <w:szCs w:val="21"/>
              </w:rPr>
              <w:t>四氯乙烯</w:t>
            </w:r>
          </w:p>
        </w:tc>
        <w:tc>
          <w:tcPr>
            <w:tcW w:w="1597" w:type="pct"/>
            <w:tcBorders>
              <w:tl2br w:val="nil"/>
              <w:tr2bl w:val="nil"/>
            </w:tcBorders>
            <w:vAlign w:val="center"/>
          </w:tcPr>
          <w:p w14:paraId="30DCFE05">
            <w:pPr>
              <w:spacing w:line="240" w:lineRule="auto"/>
              <w:ind w:firstLine="0" w:firstLineChars="0"/>
              <w:jc w:val="center"/>
              <w:rPr>
                <w:color w:val="auto"/>
                <w:sz w:val="21"/>
                <w:szCs w:val="21"/>
              </w:rPr>
            </w:pPr>
            <w:r>
              <w:rPr>
                <w:color w:val="auto"/>
                <w:sz w:val="21"/>
                <w:szCs w:val="21"/>
              </w:rPr>
              <w:t>不涉及</w:t>
            </w:r>
          </w:p>
        </w:tc>
      </w:tr>
      <w:tr w14:paraId="2D8F7D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764CB5F3">
            <w:pPr>
              <w:spacing w:line="240" w:lineRule="auto"/>
              <w:ind w:firstLine="0" w:firstLineChars="0"/>
              <w:jc w:val="center"/>
              <w:rPr>
                <w:color w:val="auto"/>
                <w:sz w:val="21"/>
                <w:szCs w:val="21"/>
              </w:rPr>
            </w:pPr>
            <w:r>
              <w:rPr>
                <w:color w:val="auto"/>
                <w:sz w:val="21"/>
                <w:szCs w:val="21"/>
              </w:rPr>
              <w:t>6</w:t>
            </w:r>
          </w:p>
        </w:tc>
        <w:tc>
          <w:tcPr>
            <w:tcW w:w="1820" w:type="pct"/>
            <w:tcBorders>
              <w:tl2br w:val="nil"/>
              <w:tr2bl w:val="nil"/>
            </w:tcBorders>
            <w:vAlign w:val="center"/>
          </w:tcPr>
          <w:p w14:paraId="77ED13F3">
            <w:pPr>
              <w:spacing w:line="240" w:lineRule="auto"/>
              <w:ind w:firstLine="0" w:firstLineChars="0"/>
              <w:jc w:val="center"/>
              <w:rPr>
                <w:color w:val="auto"/>
                <w:sz w:val="21"/>
                <w:szCs w:val="21"/>
              </w:rPr>
            </w:pPr>
            <w:r>
              <w:rPr>
                <w:color w:val="auto"/>
                <w:sz w:val="21"/>
                <w:szCs w:val="21"/>
              </w:rPr>
              <w:t>乙醛</w:t>
            </w:r>
          </w:p>
        </w:tc>
        <w:tc>
          <w:tcPr>
            <w:tcW w:w="1597" w:type="pct"/>
            <w:tcBorders>
              <w:tl2br w:val="nil"/>
              <w:tr2bl w:val="nil"/>
            </w:tcBorders>
            <w:vAlign w:val="center"/>
          </w:tcPr>
          <w:p w14:paraId="5D23480A">
            <w:pPr>
              <w:spacing w:line="240" w:lineRule="auto"/>
              <w:ind w:firstLine="0" w:firstLineChars="0"/>
              <w:jc w:val="center"/>
              <w:rPr>
                <w:color w:val="auto"/>
                <w:sz w:val="21"/>
                <w:szCs w:val="21"/>
              </w:rPr>
            </w:pPr>
            <w:r>
              <w:rPr>
                <w:color w:val="auto"/>
                <w:sz w:val="21"/>
                <w:szCs w:val="21"/>
              </w:rPr>
              <w:t>不涉及</w:t>
            </w:r>
          </w:p>
        </w:tc>
      </w:tr>
      <w:tr w14:paraId="07CD80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74D71718">
            <w:pPr>
              <w:spacing w:line="240" w:lineRule="auto"/>
              <w:ind w:firstLine="0" w:firstLineChars="0"/>
              <w:jc w:val="center"/>
              <w:rPr>
                <w:color w:val="auto"/>
                <w:sz w:val="21"/>
                <w:szCs w:val="21"/>
              </w:rPr>
            </w:pPr>
            <w:r>
              <w:rPr>
                <w:color w:val="auto"/>
                <w:sz w:val="21"/>
                <w:szCs w:val="21"/>
              </w:rPr>
              <w:t>7</w:t>
            </w:r>
          </w:p>
        </w:tc>
        <w:tc>
          <w:tcPr>
            <w:tcW w:w="1820" w:type="pct"/>
            <w:tcBorders>
              <w:tl2br w:val="nil"/>
              <w:tr2bl w:val="nil"/>
            </w:tcBorders>
            <w:vAlign w:val="center"/>
          </w:tcPr>
          <w:p w14:paraId="7A9DDB57">
            <w:pPr>
              <w:spacing w:line="240" w:lineRule="auto"/>
              <w:ind w:firstLine="0" w:firstLineChars="0"/>
              <w:jc w:val="center"/>
              <w:rPr>
                <w:color w:val="auto"/>
                <w:sz w:val="21"/>
                <w:szCs w:val="21"/>
              </w:rPr>
            </w:pPr>
            <w:r>
              <w:rPr>
                <w:color w:val="auto"/>
                <w:sz w:val="21"/>
                <w:szCs w:val="21"/>
              </w:rPr>
              <w:t>镉及其化合物</w:t>
            </w:r>
          </w:p>
        </w:tc>
        <w:tc>
          <w:tcPr>
            <w:tcW w:w="1597" w:type="pct"/>
            <w:tcBorders>
              <w:tl2br w:val="nil"/>
              <w:tr2bl w:val="nil"/>
            </w:tcBorders>
            <w:vAlign w:val="center"/>
          </w:tcPr>
          <w:p w14:paraId="14F4A0E7">
            <w:pPr>
              <w:spacing w:line="240" w:lineRule="auto"/>
              <w:ind w:firstLine="0" w:firstLineChars="0"/>
              <w:jc w:val="center"/>
              <w:rPr>
                <w:color w:val="auto"/>
                <w:sz w:val="21"/>
                <w:szCs w:val="21"/>
              </w:rPr>
            </w:pPr>
            <w:r>
              <w:rPr>
                <w:color w:val="auto"/>
                <w:sz w:val="21"/>
                <w:szCs w:val="21"/>
              </w:rPr>
              <w:t>不涉及</w:t>
            </w:r>
          </w:p>
        </w:tc>
      </w:tr>
      <w:tr w14:paraId="617F61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71D9E676">
            <w:pPr>
              <w:spacing w:line="240" w:lineRule="auto"/>
              <w:ind w:firstLine="0" w:firstLineChars="0"/>
              <w:jc w:val="center"/>
              <w:rPr>
                <w:color w:val="auto"/>
                <w:sz w:val="21"/>
                <w:szCs w:val="21"/>
              </w:rPr>
            </w:pPr>
            <w:r>
              <w:rPr>
                <w:color w:val="auto"/>
                <w:sz w:val="21"/>
                <w:szCs w:val="21"/>
              </w:rPr>
              <w:t>8</w:t>
            </w:r>
          </w:p>
        </w:tc>
        <w:tc>
          <w:tcPr>
            <w:tcW w:w="1820" w:type="pct"/>
            <w:tcBorders>
              <w:tl2br w:val="nil"/>
              <w:tr2bl w:val="nil"/>
            </w:tcBorders>
            <w:vAlign w:val="center"/>
          </w:tcPr>
          <w:p w14:paraId="4F6B2F6F">
            <w:pPr>
              <w:spacing w:line="240" w:lineRule="auto"/>
              <w:ind w:firstLine="0" w:firstLineChars="0"/>
              <w:jc w:val="center"/>
              <w:rPr>
                <w:color w:val="auto"/>
                <w:sz w:val="21"/>
                <w:szCs w:val="21"/>
              </w:rPr>
            </w:pPr>
            <w:r>
              <w:rPr>
                <w:color w:val="auto"/>
                <w:sz w:val="21"/>
                <w:szCs w:val="21"/>
              </w:rPr>
              <w:t>铬及其化合物</w:t>
            </w:r>
          </w:p>
        </w:tc>
        <w:tc>
          <w:tcPr>
            <w:tcW w:w="1597" w:type="pct"/>
            <w:tcBorders>
              <w:tl2br w:val="nil"/>
              <w:tr2bl w:val="nil"/>
            </w:tcBorders>
            <w:vAlign w:val="center"/>
          </w:tcPr>
          <w:p w14:paraId="5E0784D2">
            <w:pPr>
              <w:spacing w:line="240" w:lineRule="auto"/>
              <w:ind w:firstLine="0" w:firstLineChars="0"/>
              <w:jc w:val="center"/>
              <w:rPr>
                <w:color w:val="auto"/>
                <w:sz w:val="21"/>
                <w:szCs w:val="21"/>
              </w:rPr>
            </w:pPr>
            <w:r>
              <w:rPr>
                <w:color w:val="auto"/>
                <w:sz w:val="21"/>
                <w:szCs w:val="21"/>
              </w:rPr>
              <w:t>不涉及</w:t>
            </w:r>
          </w:p>
        </w:tc>
      </w:tr>
      <w:tr w14:paraId="68F005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6ED6E1F0">
            <w:pPr>
              <w:spacing w:line="240" w:lineRule="auto"/>
              <w:ind w:firstLine="0" w:firstLineChars="0"/>
              <w:jc w:val="center"/>
              <w:rPr>
                <w:color w:val="auto"/>
                <w:sz w:val="21"/>
                <w:szCs w:val="21"/>
              </w:rPr>
            </w:pPr>
            <w:r>
              <w:rPr>
                <w:color w:val="auto"/>
                <w:sz w:val="21"/>
                <w:szCs w:val="21"/>
              </w:rPr>
              <w:t>9</w:t>
            </w:r>
          </w:p>
        </w:tc>
        <w:tc>
          <w:tcPr>
            <w:tcW w:w="1820" w:type="pct"/>
            <w:tcBorders>
              <w:tl2br w:val="nil"/>
              <w:tr2bl w:val="nil"/>
            </w:tcBorders>
            <w:vAlign w:val="center"/>
          </w:tcPr>
          <w:p w14:paraId="44A69B70">
            <w:pPr>
              <w:spacing w:line="240" w:lineRule="auto"/>
              <w:ind w:firstLine="0" w:firstLineChars="0"/>
              <w:jc w:val="center"/>
              <w:rPr>
                <w:color w:val="auto"/>
                <w:sz w:val="21"/>
                <w:szCs w:val="21"/>
              </w:rPr>
            </w:pPr>
            <w:r>
              <w:rPr>
                <w:color w:val="auto"/>
                <w:sz w:val="21"/>
                <w:szCs w:val="21"/>
              </w:rPr>
              <w:t>汞及其化合物</w:t>
            </w:r>
          </w:p>
        </w:tc>
        <w:tc>
          <w:tcPr>
            <w:tcW w:w="1597" w:type="pct"/>
            <w:tcBorders>
              <w:tl2br w:val="nil"/>
              <w:tr2bl w:val="nil"/>
            </w:tcBorders>
            <w:vAlign w:val="center"/>
          </w:tcPr>
          <w:p w14:paraId="46A5FD37">
            <w:pPr>
              <w:spacing w:line="240" w:lineRule="auto"/>
              <w:ind w:firstLine="0" w:firstLineChars="0"/>
              <w:jc w:val="center"/>
              <w:rPr>
                <w:color w:val="auto"/>
                <w:sz w:val="21"/>
                <w:szCs w:val="21"/>
              </w:rPr>
            </w:pPr>
            <w:r>
              <w:rPr>
                <w:color w:val="auto"/>
                <w:sz w:val="21"/>
                <w:szCs w:val="21"/>
              </w:rPr>
              <w:t>不涉及</w:t>
            </w:r>
          </w:p>
        </w:tc>
      </w:tr>
      <w:tr w14:paraId="316E78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5B1161D0">
            <w:pPr>
              <w:spacing w:line="240" w:lineRule="auto"/>
              <w:ind w:firstLine="0" w:firstLineChars="0"/>
              <w:jc w:val="center"/>
              <w:rPr>
                <w:color w:val="auto"/>
                <w:sz w:val="21"/>
                <w:szCs w:val="21"/>
              </w:rPr>
            </w:pPr>
            <w:r>
              <w:rPr>
                <w:color w:val="auto"/>
                <w:sz w:val="21"/>
                <w:szCs w:val="21"/>
              </w:rPr>
              <w:t>10</w:t>
            </w:r>
          </w:p>
        </w:tc>
        <w:tc>
          <w:tcPr>
            <w:tcW w:w="1820" w:type="pct"/>
            <w:tcBorders>
              <w:tl2br w:val="nil"/>
              <w:tr2bl w:val="nil"/>
            </w:tcBorders>
            <w:vAlign w:val="center"/>
          </w:tcPr>
          <w:p w14:paraId="44E24ADE">
            <w:pPr>
              <w:spacing w:line="240" w:lineRule="auto"/>
              <w:ind w:firstLine="0" w:firstLineChars="0"/>
              <w:jc w:val="center"/>
              <w:rPr>
                <w:color w:val="auto"/>
                <w:sz w:val="21"/>
                <w:szCs w:val="21"/>
              </w:rPr>
            </w:pPr>
            <w:r>
              <w:rPr>
                <w:color w:val="auto"/>
                <w:sz w:val="21"/>
                <w:szCs w:val="21"/>
              </w:rPr>
              <w:t>铅及其化合物</w:t>
            </w:r>
          </w:p>
        </w:tc>
        <w:tc>
          <w:tcPr>
            <w:tcW w:w="1597" w:type="pct"/>
            <w:tcBorders>
              <w:tl2br w:val="nil"/>
              <w:tr2bl w:val="nil"/>
            </w:tcBorders>
            <w:vAlign w:val="center"/>
          </w:tcPr>
          <w:p w14:paraId="385F0C7A">
            <w:pPr>
              <w:spacing w:line="240" w:lineRule="auto"/>
              <w:ind w:firstLine="0" w:firstLineChars="0"/>
              <w:jc w:val="center"/>
              <w:rPr>
                <w:color w:val="auto"/>
                <w:sz w:val="21"/>
                <w:szCs w:val="21"/>
              </w:rPr>
            </w:pPr>
            <w:r>
              <w:rPr>
                <w:color w:val="auto"/>
                <w:sz w:val="21"/>
                <w:szCs w:val="21"/>
              </w:rPr>
              <w:t>不涉及</w:t>
            </w:r>
          </w:p>
        </w:tc>
      </w:tr>
      <w:tr w14:paraId="238B05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3" w:type="pct"/>
            <w:tcBorders>
              <w:tl2br w:val="nil"/>
              <w:tr2bl w:val="nil"/>
            </w:tcBorders>
            <w:vAlign w:val="center"/>
          </w:tcPr>
          <w:p w14:paraId="760D6686">
            <w:pPr>
              <w:spacing w:line="240" w:lineRule="auto"/>
              <w:ind w:firstLine="0" w:firstLineChars="0"/>
              <w:jc w:val="center"/>
              <w:rPr>
                <w:color w:val="auto"/>
                <w:sz w:val="21"/>
                <w:szCs w:val="21"/>
              </w:rPr>
            </w:pPr>
            <w:r>
              <w:rPr>
                <w:color w:val="auto"/>
                <w:sz w:val="21"/>
                <w:szCs w:val="21"/>
              </w:rPr>
              <w:t>11</w:t>
            </w:r>
          </w:p>
        </w:tc>
        <w:tc>
          <w:tcPr>
            <w:tcW w:w="1820" w:type="pct"/>
            <w:tcBorders>
              <w:tl2br w:val="nil"/>
              <w:tr2bl w:val="nil"/>
            </w:tcBorders>
            <w:vAlign w:val="center"/>
          </w:tcPr>
          <w:p w14:paraId="7B23067B">
            <w:pPr>
              <w:spacing w:line="240" w:lineRule="auto"/>
              <w:ind w:firstLine="0" w:firstLineChars="0"/>
              <w:jc w:val="center"/>
              <w:rPr>
                <w:color w:val="auto"/>
                <w:sz w:val="21"/>
                <w:szCs w:val="21"/>
              </w:rPr>
            </w:pPr>
            <w:r>
              <w:rPr>
                <w:color w:val="auto"/>
                <w:sz w:val="21"/>
                <w:szCs w:val="21"/>
              </w:rPr>
              <w:t>砷及其化合物</w:t>
            </w:r>
          </w:p>
        </w:tc>
        <w:tc>
          <w:tcPr>
            <w:tcW w:w="1597" w:type="pct"/>
            <w:tcBorders>
              <w:tl2br w:val="nil"/>
              <w:tr2bl w:val="nil"/>
            </w:tcBorders>
            <w:vAlign w:val="center"/>
          </w:tcPr>
          <w:p w14:paraId="09BC9ACB">
            <w:pPr>
              <w:spacing w:line="240" w:lineRule="auto"/>
              <w:ind w:firstLine="0" w:firstLineChars="0"/>
              <w:jc w:val="center"/>
              <w:rPr>
                <w:color w:val="auto"/>
                <w:sz w:val="21"/>
                <w:szCs w:val="21"/>
              </w:rPr>
            </w:pPr>
            <w:r>
              <w:rPr>
                <w:color w:val="auto"/>
                <w:sz w:val="21"/>
                <w:szCs w:val="21"/>
              </w:rPr>
              <w:t>不涉及</w:t>
            </w:r>
          </w:p>
        </w:tc>
      </w:tr>
    </w:tbl>
    <w:p w14:paraId="276B9D0A">
      <w:pPr>
        <w:pStyle w:val="49"/>
        <w:rPr>
          <w:color w:val="auto"/>
        </w:rPr>
      </w:pPr>
      <w:r>
        <w:rPr>
          <w:rFonts w:hint="eastAsia"/>
          <w:color w:val="auto"/>
        </w:rPr>
        <w:t>表1.4-21  与《有毒有害水污染物名录（第一批）》对照</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103"/>
        <w:gridCol w:w="3618"/>
        <w:gridCol w:w="3133"/>
      </w:tblGrid>
      <w:tr w14:paraId="16C708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6674483F">
            <w:pPr>
              <w:spacing w:line="240" w:lineRule="auto"/>
              <w:ind w:firstLine="0" w:firstLineChars="0"/>
              <w:jc w:val="center"/>
              <w:rPr>
                <w:b/>
                <w:bCs/>
                <w:color w:val="auto"/>
                <w:sz w:val="21"/>
                <w:szCs w:val="21"/>
              </w:rPr>
            </w:pPr>
            <w:r>
              <w:rPr>
                <w:b/>
                <w:bCs/>
                <w:color w:val="auto"/>
                <w:sz w:val="21"/>
                <w:szCs w:val="21"/>
              </w:rPr>
              <w:t>序号</w:t>
            </w:r>
          </w:p>
        </w:tc>
        <w:tc>
          <w:tcPr>
            <w:tcW w:w="1835" w:type="pct"/>
            <w:tcBorders>
              <w:tl2br w:val="nil"/>
              <w:tr2bl w:val="nil"/>
            </w:tcBorders>
            <w:vAlign w:val="center"/>
          </w:tcPr>
          <w:p w14:paraId="16047AE5">
            <w:pPr>
              <w:spacing w:line="240" w:lineRule="auto"/>
              <w:ind w:firstLine="0" w:firstLineChars="0"/>
              <w:jc w:val="center"/>
              <w:rPr>
                <w:b/>
                <w:bCs/>
                <w:color w:val="auto"/>
                <w:sz w:val="21"/>
                <w:szCs w:val="21"/>
              </w:rPr>
            </w:pPr>
            <w:r>
              <w:rPr>
                <w:b/>
                <w:bCs/>
                <w:color w:val="auto"/>
                <w:sz w:val="21"/>
                <w:szCs w:val="21"/>
              </w:rPr>
              <w:t>污染物名称</w:t>
            </w:r>
          </w:p>
        </w:tc>
        <w:tc>
          <w:tcPr>
            <w:tcW w:w="1589" w:type="pct"/>
            <w:tcBorders>
              <w:tl2br w:val="nil"/>
              <w:tr2bl w:val="nil"/>
            </w:tcBorders>
            <w:vAlign w:val="center"/>
          </w:tcPr>
          <w:p w14:paraId="44EB6D25">
            <w:pPr>
              <w:spacing w:line="240" w:lineRule="auto"/>
              <w:ind w:firstLine="0" w:firstLineChars="0"/>
              <w:jc w:val="center"/>
              <w:rPr>
                <w:b/>
                <w:bCs/>
                <w:color w:val="auto"/>
                <w:sz w:val="21"/>
                <w:szCs w:val="21"/>
              </w:rPr>
            </w:pPr>
            <w:r>
              <w:rPr>
                <w:rFonts w:hint="eastAsia"/>
                <w:b/>
                <w:bCs/>
                <w:color w:val="auto"/>
                <w:sz w:val="21"/>
                <w:szCs w:val="21"/>
              </w:rPr>
              <w:t>拟建项目</w:t>
            </w:r>
            <w:r>
              <w:rPr>
                <w:b/>
                <w:bCs/>
                <w:color w:val="auto"/>
                <w:sz w:val="21"/>
                <w:szCs w:val="21"/>
              </w:rPr>
              <w:t>情况</w:t>
            </w:r>
          </w:p>
        </w:tc>
      </w:tr>
      <w:tr w14:paraId="29F12D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6CB0EF55">
            <w:pPr>
              <w:spacing w:line="240" w:lineRule="auto"/>
              <w:ind w:firstLine="0" w:firstLineChars="0"/>
              <w:jc w:val="center"/>
              <w:rPr>
                <w:color w:val="auto"/>
                <w:sz w:val="21"/>
                <w:szCs w:val="21"/>
              </w:rPr>
            </w:pPr>
            <w:r>
              <w:rPr>
                <w:color w:val="auto"/>
                <w:sz w:val="21"/>
                <w:szCs w:val="21"/>
              </w:rPr>
              <w:t>1</w:t>
            </w:r>
          </w:p>
        </w:tc>
        <w:tc>
          <w:tcPr>
            <w:tcW w:w="1835" w:type="pct"/>
            <w:tcBorders>
              <w:tl2br w:val="nil"/>
              <w:tr2bl w:val="nil"/>
            </w:tcBorders>
            <w:vAlign w:val="center"/>
          </w:tcPr>
          <w:p w14:paraId="5ADA81C5">
            <w:pPr>
              <w:spacing w:line="240" w:lineRule="auto"/>
              <w:ind w:firstLine="0" w:firstLineChars="0"/>
              <w:jc w:val="center"/>
              <w:rPr>
                <w:color w:val="auto"/>
                <w:sz w:val="21"/>
                <w:szCs w:val="21"/>
              </w:rPr>
            </w:pPr>
            <w:r>
              <w:rPr>
                <w:color w:val="auto"/>
                <w:sz w:val="21"/>
                <w:szCs w:val="21"/>
              </w:rPr>
              <w:t>二氯甲烷</w:t>
            </w:r>
          </w:p>
        </w:tc>
        <w:tc>
          <w:tcPr>
            <w:tcW w:w="1589" w:type="pct"/>
            <w:tcBorders>
              <w:tl2br w:val="nil"/>
              <w:tr2bl w:val="nil"/>
            </w:tcBorders>
            <w:vAlign w:val="center"/>
          </w:tcPr>
          <w:p w14:paraId="0BB14001">
            <w:pPr>
              <w:spacing w:line="240" w:lineRule="auto"/>
              <w:ind w:firstLine="0" w:firstLineChars="0"/>
              <w:jc w:val="center"/>
              <w:rPr>
                <w:color w:val="auto"/>
                <w:sz w:val="21"/>
                <w:szCs w:val="21"/>
              </w:rPr>
            </w:pPr>
            <w:r>
              <w:rPr>
                <w:color w:val="auto"/>
                <w:sz w:val="21"/>
                <w:szCs w:val="21"/>
              </w:rPr>
              <w:t>不涉及</w:t>
            </w:r>
          </w:p>
        </w:tc>
      </w:tr>
      <w:tr w14:paraId="62A9CC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24619D49">
            <w:pPr>
              <w:spacing w:line="240" w:lineRule="auto"/>
              <w:ind w:firstLine="0" w:firstLineChars="0"/>
              <w:jc w:val="center"/>
              <w:rPr>
                <w:color w:val="auto"/>
                <w:sz w:val="21"/>
                <w:szCs w:val="21"/>
              </w:rPr>
            </w:pPr>
            <w:r>
              <w:rPr>
                <w:color w:val="auto"/>
                <w:sz w:val="21"/>
                <w:szCs w:val="21"/>
              </w:rPr>
              <w:t>2</w:t>
            </w:r>
          </w:p>
        </w:tc>
        <w:tc>
          <w:tcPr>
            <w:tcW w:w="1835" w:type="pct"/>
            <w:tcBorders>
              <w:tl2br w:val="nil"/>
              <w:tr2bl w:val="nil"/>
            </w:tcBorders>
            <w:vAlign w:val="center"/>
          </w:tcPr>
          <w:p w14:paraId="4FDBB35D">
            <w:pPr>
              <w:spacing w:line="240" w:lineRule="auto"/>
              <w:ind w:firstLine="0" w:firstLineChars="0"/>
              <w:jc w:val="center"/>
              <w:rPr>
                <w:color w:val="auto"/>
                <w:sz w:val="21"/>
                <w:szCs w:val="21"/>
              </w:rPr>
            </w:pPr>
            <w:r>
              <w:rPr>
                <w:color w:val="auto"/>
                <w:sz w:val="21"/>
                <w:szCs w:val="21"/>
              </w:rPr>
              <w:t>三氯甲烷</w:t>
            </w:r>
          </w:p>
        </w:tc>
        <w:tc>
          <w:tcPr>
            <w:tcW w:w="1589" w:type="pct"/>
            <w:tcBorders>
              <w:tl2br w:val="nil"/>
              <w:tr2bl w:val="nil"/>
            </w:tcBorders>
            <w:vAlign w:val="center"/>
          </w:tcPr>
          <w:p w14:paraId="3A7CD951">
            <w:pPr>
              <w:spacing w:line="240" w:lineRule="auto"/>
              <w:ind w:firstLine="0" w:firstLineChars="0"/>
              <w:jc w:val="center"/>
              <w:rPr>
                <w:color w:val="auto"/>
                <w:sz w:val="21"/>
                <w:szCs w:val="21"/>
              </w:rPr>
            </w:pPr>
            <w:r>
              <w:rPr>
                <w:color w:val="auto"/>
                <w:sz w:val="21"/>
                <w:szCs w:val="21"/>
              </w:rPr>
              <w:t>不涉及</w:t>
            </w:r>
          </w:p>
        </w:tc>
      </w:tr>
      <w:tr w14:paraId="6734EA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272275D1">
            <w:pPr>
              <w:spacing w:line="240" w:lineRule="auto"/>
              <w:ind w:firstLine="0" w:firstLineChars="0"/>
              <w:jc w:val="center"/>
              <w:rPr>
                <w:color w:val="auto"/>
                <w:sz w:val="21"/>
                <w:szCs w:val="21"/>
              </w:rPr>
            </w:pPr>
            <w:r>
              <w:rPr>
                <w:color w:val="auto"/>
                <w:sz w:val="21"/>
                <w:szCs w:val="21"/>
              </w:rPr>
              <w:t>3</w:t>
            </w:r>
          </w:p>
        </w:tc>
        <w:tc>
          <w:tcPr>
            <w:tcW w:w="1835" w:type="pct"/>
            <w:tcBorders>
              <w:tl2br w:val="nil"/>
              <w:tr2bl w:val="nil"/>
            </w:tcBorders>
            <w:vAlign w:val="center"/>
          </w:tcPr>
          <w:p w14:paraId="700EA63E">
            <w:pPr>
              <w:spacing w:line="240" w:lineRule="auto"/>
              <w:ind w:firstLine="0" w:firstLineChars="0"/>
              <w:jc w:val="center"/>
              <w:rPr>
                <w:color w:val="auto"/>
                <w:sz w:val="21"/>
                <w:szCs w:val="21"/>
              </w:rPr>
            </w:pPr>
            <w:r>
              <w:rPr>
                <w:color w:val="auto"/>
                <w:sz w:val="21"/>
                <w:szCs w:val="21"/>
              </w:rPr>
              <w:t>三氯乙烯</w:t>
            </w:r>
          </w:p>
        </w:tc>
        <w:tc>
          <w:tcPr>
            <w:tcW w:w="1589" w:type="pct"/>
            <w:tcBorders>
              <w:tl2br w:val="nil"/>
              <w:tr2bl w:val="nil"/>
            </w:tcBorders>
            <w:vAlign w:val="center"/>
          </w:tcPr>
          <w:p w14:paraId="7D0C981F">
            <w:pPr>
              <w:spacing w:line="240" w:lineRule="auto"/>
              <w:ind w:firstLine="0" w:firstLineChars="0"/>
              <w:jc w:val="center"/>
              <w:rPr>
                <w:color w:val="auto"/>
                <w:sz w:val="21"/>
                <w:szCs w:val="21"/>
              </w:rPr>
            </w:pPr>
            <w:r>
              <w:rPr>
                <w:color w:val="auto"/>
                <w:sz w:val="21"/>
                <w:szCs w:val="21"/>
              </w:rPr>
              <w:t>不涉及</w:t>
            </w:r>
          </w:p>
        </w:tc>
      </w:tr>
      <w:tr w14:paraId="315AC1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740F59BB">
            <w:pPr>
              <w:spacing w:line="240" w:lineRule="auto"/>
              <w:ind w:firstLine="0" w:firstLineChars="0"/>
              <w:jc w:val="center"/>
              <w:rPr>
                <w:color w:val="auto"/>
                <w:sz w:val="21"/>
                <w:szCs w:val="21"/>
              </w:rPr>
            </w:pPr>
            <w:r>
              <w:rPr>
                <w:color w:val="auto"/>
                <w:sz w:val="21"/>
                <w:szCs w:val="21"/>
              </w:rPr>
              <w:t>4</w:t>
            </w:r>
          </w:p>
        </w:tc>
        <w:tc>
          <w:tcPr>
            <w:tcW w:w="1835" w:type="pct"/>
            <w:tcBorders>
              <w:tl2br w:val="nil"/>
              <w:tr2bl w:val="nil"/>
            </w:tcBorders>
            <w:vAlign w:val="center"/>
          </w:tcPr>
          <w:p w14:paraId="0BF24F60">
            <w:pPr>
              <w:spacing w:line="240" w:lineRule="auto"/>
              <w:ind w:firstLine="0" w:firstLineChars="0"/>
              <w:jc w:val="center"/>
              <w:rPr>
                <w:color w:val="auto"/>
                <w:sz w:val="21"/>
                <w:szCs w:val="21"/>
              </w:rPr>
            </w:pPr>
            <w:r>
              <w:rPr>
                <w:color w:val="auto"/>
                <w:sz w:val="21"/>
                <w:szCs w:val="21"/>
              </w:rPr>
              <w:t>四氯乙烯</w:t>
            </w:r>
          </w:p>
        </w:tc>
        <w:tc>
          <w:tcPr>
            <w:tcW w:w="1589" w:type="pct"/>
            <w:tcBorders>
              <w:tl2br w:val="nil"/>
              <w:tr2bl w:val="nil"/>
            </w:tcBorders>
            <w:vAlign w:val="center"/>
          </w:tcPr>
          <w:p w14:paraId="69DBD3D7">
            <w:pPr>
              <w:spacing w:line="240" w:lineRule="auto"/>
              <w:ind w:firstLine="0" w:firstLineChars="0"/>
              <w:jc w:val="center"/>
              <w:rPr>
                <w:color w:val="auto"/>
                <w:sz w:val="21"/>
                <w:szCs w:val="21"/>
              </w:rPr>
            </w:pPr>
            <w:r>
              <w:rPr>
                <w:color w:val="auto"/>
                <w:sz w:val="21"/>
                <w:szCs w:val="21"/>
              </w:rPr>
              <w:t>不涉及</w:t>
            </w:r>
          </w:p>
        </w:tc>
      </w:tr>
      <w:tr w14:paraId="12CC23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01B4FF3C">
            <w:pPr>
              <w:spacing w:line="240" w:lineRule="auto"/>
              <w:ind w:firstLine="0" w:firstLineChars="0"/>
              <w:jc w:val="center"/>
              <w:rPr>
                <w:color w:val="auto"/>
                <w:sz w:val="21"/>
                <w:szCs w:val="21"/>
              </w:rPr>
            </w:pPr>
            <w:r>
              <w:rPr>
                <w:color w:val="auto"/>
                <w:sz w:val="21"/>
                <w:szCs w:val="21"/>
              </w:rPr>
              <w:t>5</w:t>
            </w:r>
          </w:p>
        </w:tc>
        <w:tc>
          <w:tcPr>
            <w:tcW w:w="1835" w:type="pct"/>
            <w:tcBorders>
              <w:tl2br w:val="nil"/>
              <w:tr2bl w:val="nil"/>
            </w:tcBorders>
            <w:vAlign w:val="center"/>
          </w:tcPr>
          <w:p w14:paraId="17B056BF">
            <w:pPr>
              <w:spacing w:line="240" w:lineRule="auto"/>
              <w:ind w:firstLine="0" w:firstLineChars="0"/>
              <w:jc w:val="center"/>
              <w:rPr>
                <w:color w:val="auto"/>
                <w:sz w:val="21"/>
                <w:szCs w:val="21"/>
              </w:rPr>
            </w:pPr>
            <w:r>
              <w:rPr>
                <w:color w:val="auto"/>
                <w:sz w:val="21"/>
                <w:szCs w:val="21"/>
              </w:rPr>
              <w:t>甲醛</w:t>
            </w:r>
          </w:p>
        </w:tc>
        <w:tc>
          <w:tcPr>
            <w:tcW w:w="1589" w:type="pct"/>
            <w:tcBorders>
              <w:tl2br w:val="nil"/>
              <w:tr2bl w:val="nil"/>
            </w:tcBorders>
            <w:vAlign w:val="center"/>
          </w:tcPr>
          <w:p w14:paraId="62FCAED6">
            <w:pPr>
              <w:spacing w:line="240" w:lineRule="auto"/>
              <w:ind w:firstLine="0" w:firstLineChars="0"/>
              <w:jc w:val="center"/>
              <w:rPr>
                <w:color w:val="auto"/>
                <w:sz w:val="21"/>
                <w:szCs w:val="21"/>
              </w:rPr>
            </w:pPr>
            <w:r>
              <w:rPr>
                <w:color w:val="auto"/>
                <w:sz w:val="21"/>
                <w:szCs w:val="21"/>
              </w:rPr>
              <w:t>不涉及</w:t>
            </w:r>
          </w:p>
        </w:tc>
      </w:tr>
      <w:tr w14:paraId="21712E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3C705FF5">
            <w:pPr>
              <w:spacing w:line="240" w:lineRule="auto"/>
              <w:ind w:firstLine="0" w:firstLineChars="0"/>
              <w:jc w:val="center"/>
              <w:rPr>
                <w:color w:val="auto"/>
                <w:sz w:val="21"/>
                <w:szCs w:val="21"/>
              </w:rPr>
            </w:pPr>
            <w:r>
              <w:rPr>
                <w:color w:val="auto"/>
                <w:sz w:val="21"/>
                <w:szCs w:val="21"/>
              </w:rPr>
              <w:t>6</w:t>
            </w:r>
          </w:p>
        </w:tc>
        <w:tc>
          <w:tcPr>
            <w:tcW w:w="1835" w:type="pct"/>
            <w:tcBorders>
              <w:tl2br w:val="nil"/>
              <w:tr2bl w:val="nil"/>
            </w:tcBorders>
            <w:vAlign w:val="center"/>
          </w:tcPr>
          <w:p w14:paraId="3E1E0575">
            <w:pPr>
              <w:spacing w:line="240" w:lineRule="auto"/>
              <w:ind w:firstLine="0" w:firstLineChars="0"/>
              <w:jc w:val="center"/>
              <w:rPr>
                <w:color w:val="auto"/>
                <w:sz w:val="21"/>
                <w:szCs w:val="21"/>
              </w:rPr>
            </w:pPr>
            <w:r>
              <w:rPr>
                <w:color w:val="auto"/>
                <w:sz w:val="21"/>
                <w:szCs w:val="21"/>
              </w:rPr>
              <w:t>镉及镉化合物</w:t>
            </w:r>
          </w:p>
        </w:tc>
        <w:tc>
          <w:tcPr>
            <w:tcW w:w="1589" w:type="pct"/>
            <w:tcBorders>
              <w:tl2br w:val="nil"/>
              <w:tr2bl w:val="nil"/>
            </w:tcBorders>
            <w:vAlign w:val="center"/>
          </w:tcPr>
          <w:p w14:paraId="20C42FF9">
            <w:pPr>
              <w:spacing w:line="240" w:lineRule="auto"/>
              <w:ind w:firstLine="0" w:firstLineChars="0"/>
              <w:jc w:val="center"/>
              <w:rPr>
                <w:color w:val="auto"/>
                <w:sz w:val="21"/>
                <w:szCs w:val="21"/>
              </w:rPr>
            </w:pPr>
            <w:r>
              <w:rPr>
                <w:color w:val="auto"/>
                <w:sz w:val="21"/>
                <w:szCs w:val="21"/>
              </w:rPr>
              <w:t>不涉及</w:t>
            </w:r>
          </w:p>
        </w:tc>
      </w:tr>
      <w:tr w14:paraId="4C8A5A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0E1037E4">
            <w:pPr>
              <w:spacing w:line="240" w:lineRule="auto"/>
              <w:ind w:firstLine="0" w:firstLineChars="0"/>
              <w:jc w:val="center"/>
              <w:rPr>
                <w:color w:val="auto"/>
                <w:sz w:val="21"/>
                <w:szCs w:val="21"/>
              </w:rPr>
            </w:pPr>
            <w:r>
              <w:rPr>
                <w:color w:val="auto"/>
                <w:sz w:val="21"/>
                <w:szCs w:val="21"/>
              </w:rPr>
              <w:t>7</w:t>
            </w:r>
          </w:p>
        </w:tc>
        <w:tc>
          <w:tcPr>
            <w:tcW w:w="1835" w:type="pct"/>
            <w:tcBorders>
              <w:tl2br w:val="nil"/>
              <w:tr2bl w:val="nil"/>
            </w:tcBorders>
            <w:vAlign w:val="center"/>
          </w:tcPr>
          <w:p w14:paraId="1F3CE332">
            <w:pPr>
              <w:spacing w:line="240" w:lineRule="auto"/>
              <w:ind w:firstLine="0" w:firstLineChars="0"/>
              <w:jc w:val="center"/>
              <w:rPr>
                <w:color w:val="auto"/>
                <w:sz w:val="21"/>
                <w:szCs w:val="21"/>
              </w:rPr>
            </w:pPr>
            <w:r>
              <w:rPr>
                <w:color w:val="auto"/>
                <w:sz w:val="21"/>
                <w:szCs w:val="21"/>
              </w:rPr>
              <w:t>汞及汞化合物</w:t>
            </w:r>
          </w:p>
        </w:tc>
        <w:tc>
          <w:tcPr>
            <w:tcW w:w="1589" w:type="pct"/>
            <w:tcBorders>
              <w:tl2br w:val="nil"/>
              <w:tr2bl w:val="nil"/>
            </w:tcBorders>
            <w:vAlign w:val="center"/>
          </w:tcPr>
          <w:p w14:paraId="7DE4C5EF">
            <w:pPr>
              <w:spacing w:line="240" w:lineRule="auto"/>
              <w:ind w:firstLine="0" w:firstLineChars="0"/>
              <w:jc w:val="center"/>
              <w:rPr>
                <w:color w:val="auto"/>
                <w:sz w:val="21"/>
                <w:szCs w:val="21"/>
              </w:rPr>
            </w:pPr>
            <w:r>
              <w:rPr>
                <w:color w:val="auto"/>
                <w:sz w:val="21"/>
                <w:szCs w:val="21"/>
              </w:rPr>
              <w:t>不涉及</w:t>
            </w:r>
          </w:p>
        </w:tc>
      </w:tr>
      <w:tr w14:paraId="30D905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72C5C4F6">
            <w:pPr>
              <w:spacing w:line="240" w:lineRule="auto"/>
              <w:ind w:firstLine="0" w:firstLineChars="0"/>
              <w:jc w:val="center"/>
              <w:rPr>
                <w:color w:val="auto"/>
                <w:sz w:val="21"/>
                <w:szCs w:val="21"/>
              </w:rPr>
            </w:pPr>
            <w:r>
              <w:rPr>
                <w:color w:val="auto"/>
                <w:sz w:val="21"/>
                <w:szCs w:val="21"/>
              </w:rPr>
              <w:t>8</w:t>
            </w:r>
          </w:p>
        </w:tc>
        <w:tc>
          <w:tcPr>
            <w:tcW w:w="1835" w:type="pct"/>
            <w:tcBorders>
              <w:tl2br w:val="nil"/>
              <w:tr2bl w:val="nil"/>
            </w:tcBorders>
            <w:vAlign w:val="center"/>
          </w:tcPr>
          <w:p w14:paraId="282205F5">
            <w:pPr>
              <w:spacing w:line="240" w:lineRule="auto"/>
              <w:ind w:firstLine="0" w:firstLineChars="0"/>
              <w:jc w:val="center"/>
              <w:rPr>
                <w:color w:val="auto"/>
                <w:sz w:val="21"/>
                <w:szCs w:val="21"/>
              </w:rPr>
            </w:pPr>
            <w:r>
              <w:rPr>
                <w:color w:val="auto"/>
                <w:sz w:val="21"/>
                <w:szCs w:val="21"/>
              </w:rPr>
              <w:t>六价铬化合物</w:t>
            </w:r>
          </w:p>
        </w:tc>
        <w:tc>
          <w:tcPr>
            <w:tcW w:w="1589" w:type="pct"/>
            <w:tcBorders>
              <w:tl2br w:val="nil"/>
              <w:tr2bl w:val="nil"/>
            </w:tcBorders>
            <w:vAlign w:val="center"/>
          </w:tcPr>
          <w:p w14:paraId="3C4B53C2">
            <w:pPr>
              <w:spacing w:line="240" w:lineRule="auto"/>
              <w:ind w:firstLine="0" w:firstLineChars="0"/>
              <w:jc w:val="center"/>
              <w:rPr>
                <w:color w:val="auto"/>
                <w:sz w:val="21"/>
                <w:szCs w:val="21"/>
              </w:rPr>
            </w:pPr>
            <w:r>
              <w:rPr>
                <w:color w:val="auto"/>
                <w:sz w:val="21"/>
                <w:szCs w:val="21"/>
              </w:rPr>
              <w:t>不涉及</w:t>
            </w:r>
          </w:p>
        </w:tc>
      </w:tr>
      <w:tr w14:paraId="38B707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10B31407">
            <w:pPr>
              <w:spacing w:line="240" w:lineRule="auto"/>
              <w:ind w:firstLine="0" w:firstLineChars="0"/>
              <w:jc w:val="center"/>
              <w:rPr>
                <w:color w:val="auto"/>
                <w:sz w:val="21"/>
                <w:szCs w:val="21"/>
              </w:rPr>
            </w:pPr>
            <w:r>
              <w:rPr>
                <w:color w:val="auto"/>
                <w:sz w:val="21"/>
                <w:szCs w:val="21"/>
              </w:rPr>
              <w:t>9</w:t>
            </w:r>
          </w:p>
        </w:tc>
        <w:tc>
          <w:tcPr>
            <w:tcW w:w="1835" w:type="pct"/>
            <w:tcBorders>
              <w:tl2br w:val="nil"/>
              <w:tr2bl w:val="nil"/>
            </w:tcBorders>
            <w:vAlign w:val="center"/>
          </w:tcPr>
          <w:p w14:paraId="4113FEB3">
            <w:pPr>
              <w:spacing w:line="240" w:lineRule="auto"/>
              <w:ind w:firstLine="0" w:firstLineChars="0"/>
              <w:jc w:val="center"/>
              <w:rPr>
                <w:color w:val="auto"/>
                <w:sz w:val="21"/>
                <w:szCs w:val="21"/>
              </w:rPr>
            </w:pPr>
            <w:r>
              <w:rPr>
                <w:color w:val="auto"/>
                <w:sz w:val="21"/>
                <w:szCs w:val="21"/>
              </w:rPr>
              <w:t>铅及铅化合物</w:t>
            </w:r>
          </w:p>
        </w:tc>
        <w:tc>
          <w:tcPr>
            <w:tcW w:w="1589" w:type="pct"/>
            <w:tcBorders>
              <w:tl2br w:val="nil"/>
              <w:tr2bl w:val="nil"/>
            </w:tcBorders>
            <w:vAlign w:val="center"/>
          </w:tcPr>
          <w:p w14:paraId="371EEEAC">
            <w:pPr>
              <w:spacing w:line="240" w:lineRule="auto"/>
              <w:ind w:firstLine="0" w:firstLineChars="0"/>
              <w:jc w:val="center"/>
              <w:rPr>
                <w:color w:val="auto"/>
                <w:sz w:val="21"/>
                <w:szCs w:val="21"/>
              </w:rPr>
            </w:pPr>
            <w:r>
              <w:rPr>
                <w:color w:val="auto"/>
                <w:sz w:val="21"/>
                <w:szCs w:val="21"/>
              </w:rPr>
              <w:t>不涉及</w:t>
            </w:r>
          </w:p>
        </w:tc>
      </w:tr>
      <w:tr w14:paraId="39E331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60A9F94D">
            <w:pPr>
              <w:spacing w:line="240" w:lineRule="auto"/>
              <w:ind w:firstLine="0" w:firstLineChars="0"/>
              <w:jc w:val="center"/>
              <w:rPr>
                <w:color w:val="auto"/>
                <w:sz w:val="21"/>
                <w:szCs w:val="21"/>
              </w:rPr>
            </w:pPr>
            <w:r>
              <w:rPr>
                <w:color w:val="auto"/>
                <w:sz w:val="21"/>
                <w:szCs w:val="21"/>
              </w:rPr>
              <w:t>10</w:t>
            </w:r>
          </w:p>
        </w:tc>
        <w:tc>
          <w:tcPr>
            <w:tcW w:w="1835" w:type="pct"/>
            <w:tcBorders>
              <w:tl2br w:val="nil"/>
              <w:tr2bl w:val="nil"/>
            </w:tcBorders>
            <w:vAlign w:val="center"/>
          </w:tcPr>
          <w:p w14:paraId="73CDDE94">
            <w:pPr>
              <w:spacing w:line="240" w:lineRule="auto"/>
              <w:ind w:firstLine="0" w:firstLineChars="0"/>
              <w:jc w:val="center"/>
              <w:rPr>
                <w:color w:val="auto"/>
                <w:sz w:val="21"/>
                <w:szCs w:val="21"/>
              </w:rPr>
            </w:pPr>
            <w:r>
              <w:rPr>
                <w:color w:val="auto"/>
                <w:sz w:val="21"/>
                <w:szCs w:val="21"/>
              </w:rPr>
              <w:t>砷及砷化合物</w:t>
            </w:r>
          </w:p>
        </w:tc>
        <w:tc>
          <w:tcPr>
            <w:tcW w:w="1589" w:type="pct"/>
            <w:tcBorders>
              <w:tl2br w:val="nil"/>
              <w:tr2bl w:val="nil"/>
            </w:tcBorders>
            <w:vAlign w:val="center"/>
          </w:tcPr>
          <w:p w14:paraId="3BE0CB47">
            <w:pPr>
              <w:spacing w:line="240" w:lineRule="auto"/>
              <w:ind w:firstLine="0" w:firstLineChars="0"/>
              <w:jc w:val="center"/>
              <w:rPr>
                <w:color w:val="auto"/>
                <w:sz w:val="21"/>
                <w:szCs w:val="21"/>
              </w:rPr>
            </w:pPr>
            <w:r>
              <w:rPr>
                <w:color w:val="auto"/>
                <w:sz w:val="21"/>
                <w:szCs w:val="21"/>
              </w:rPr>
              <w:t>不涉及</w:t>
            </w:r>
          </w:p>
        </w:tc>
      </w:tr>
    </w:tbl>
    <w:p w14:paraId="5BFBF725">
      <w:pPr>
        <w:pStyle w:val="49"/>
        <w:rPr>
          <w:color w:val="auto"/>
        </w:rPr>
      </w:pPr>
      <w:r>
        <w:rPr>
          <w:rFonts w:hint="eastAsia"/>
          <w:color w:val="auto"/>
        </w:rPr>
        <w:t>表1.4-22  与《有毒有害水污染物名录（第二批）》对照</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103"/>
        <w:gridCol w:w="3617"/>
        <w:gridCol w:w="3134"/>
      </w:tblGrid>
      <w:tr w14:paraId="73D86C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6C4531D0">
            <w:pPr>
              <w:spacing w:line="240" w:lineRule="auto"/>
              <w:ind w:firstLine="0" w:firstLineChars="0"/>
              <w:jc w:val="center"/>
              <w:rPr>
                <w:b/>
                <w:bCs/>
                <w:color w:val="auto"/>
                <w:sz w:val="21"/>
                <w:szCs w:val="21"/>
              </w:rPr>
            </w:pPr>
            <w:r>
              <w:rPr>
                <w:b/>
                <w:bCs/>
                <w:color w:val="auto"/>
                <w:sz w:val="21"/>
                <w:szCs w:val="21"/>
              </w:rPr>
              <w:t>序号</w:t>
            </w:r>
          </w:p>
        </w:tc>
        <w:tc>
          <w:tcPr>
            <w:tcW w:w="1835" w:type="pct"/>
            <w:tcBorders>
              <w:tl2br w:val="nil"/>
              <w:tr2bl w:val="nil"/>
            </w:tcBorders>
            <w:vAlign w:val="center"/>
          </w:tcPr>
          <w:p w14:paraId="3594DD91">
            <w:pPr>
              <w:spacing w:line="240" w:lineRule="auto"/>
              <w:ind w:firstLine="0" w:firstLineChars="0"/>
              <w:jc w:val="center"/>
              <w:rPr>
                <w:b/>
                <w:bCs/>
                <w:color w:val="auto"/>
                <w:sz w:val="21"/>
                <w:szCs w:val="21"/>
              </w:rPr>
            </w:pPr>
            <w:r>
              <w:rPr>
                <w:b/>
                <w:bCs/>
                <w:color w:val="auto"/>
                <w:sz w:val="21"/>
                <w:szCs w:val="21"/>
              </w:rPr>
              <w:t>污染物名称</w:t>
            </w:r>
          </w:p>
        </w:tc>
        <w:tc>
          <w:tcPr>
            <w:tcW w:w="1590" w:type="pct"/>
            <w:tcBorders>
              <w:tl2br w:val="nil"/>
              <w:tr2bl w:val="nil"/>
            </w:tcBorders>
            <w:vAlign w:val="center"/>
          </w:tcPr>
          <w:p w14:paraId="2B04D7D2">
            <w:pPr>
              <w:spacing w:line="240" w:lineRule="auto"/>
              <w:ind w:firstLine="0" w:firstLineChars="0"/>
              <w:jc w:val="center"/>
              <w:rPr>
                <w:b/>
                <w:bCs/>
                <w:color w:val="auto"/>
                <w:sz w:val="21"/>
                <w:szCs w:val="21"/>
              </w:rPr>
            </w:pPr>
            <w:r>
              <w:rPr>
                <w:rFonts w:hint="eastAsia"/>
                <w:b/>
                <w:bCs/>
                <w:color w:val="auto"/>
                <w:sz w:val="21"/>
                <w:szCs w:val="21"/>
              </w:rPr>
              <w:t>拟建项目</w:t>
            </w:r>
            <w:r>
              <w:rPr>
                <w:b/>
                <w:bCs/>
                <w:color w:val="auto"/>
                <w:sz w:val="21"/>
                <w:szCs w:val="21"/>
              </w:rPr>
              <w:t>情况</w:t>
            </w:r>
          </w:p>
        </w:tc>
      </w:tr>
      <w:tr w14:paraId="472C85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50C57DD3">
            <w:pPr>
              <w:spacing w:line="240" w:lineRule="auto"/>
              <w:ind w:firstLine="0" w:firstLineChars="0"/>
              <w:jc w:val="center"/>
              <w:rPr>
                <w:color w:val="auto"/>
                <w:sz w:val="21"/>
                <w:szCs w:val="21"/>
              </w:rPr>
            </w:pPr>
            <w:r>
              <w:rPr>
                <w:color w:val="auto"/>
                <w:sz w:val="21"/>
                <w:szCs w:val="21"/>
              </w:rPr>
              <w:t>1</w:t>
            </w:r>
          </w:p>
        </w:tc>
        <w:tc>
          <w:tcPr>
            <w:tcW w:w="1835" w:type="pct"/>
            <w:tcBorders>
              <w:tl2br w:val="nil"/>
              <w:tr2bl w:val="nil"/>
            </w:tcBorders>
            <w:vAlign w:val="center"/>
          </w:tcPr>
          <w:p w14:paraId="4378DFD8">
            <w:pPr>
              <w:spacing w:line="240" w:lineRule="auto"/>
              <w:ind w:firstLine="0" w:firstLineChars="0"/>
              <w:jc w:val="center"/>
              <w:rPr>
                <w:color w:val="auto"/>
                <w:sz w:val="21"/>
                <w:szCs w:val="21"/>
              </w:rPr>
            </w:pPr>
            <w:r>
              <w:rPr>
                <w:rFonts w:hint="eastAsia"/>
                <w:color w:val="auto"/>
                <w:sz w:val="21"/>
                <w:szCs w:val="21"/>
              </w:rPr>
              <w:t>铊及铊化合物</w:t>
            </w:r>
          </w:p>
        </w:tc>
        <w:tc>
          <w:tcPr>
            <w:tcW w:w="1590" w:type="pct"/>
            <w:tcBorders>
              <w:tl2br w:val="nil"/>
              <w:tr2bl w:val="nil"/>
            </w:tcBorders>
            <w:vAlign w:val="center"/>
          </w:tcPr>
          <w:p w14:paraId="0F30334B">
            <w:pPr>
              <w:spacing w:line="240" w:lineRule="auto"/>
              <w:ind w:firstLine="0" w:firstLineChars="0"/>
              <w:jc w:val="center"/>
              <w:rPr>
                <w:color w:val="auto"/>
                <w:sz w:val="21"/>
                <w:szCs w:val="21"/>
              </w:rPr>
            </w:pPr>
            <w:r>
              <w:rPr>
                <w:color w:val="auto"/>
                <w:sz w:val="21"/>
                <w:szCs w:val="21"/>
              </w:rPr>
              <w:t>不涉及</w:t>
            </w:r>
          </w:p>
        </w:tc>
      </w:tr>
      <w:tr w14:paraId="7484EA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11FF2E9A">
            <w:pPr>
              <w:spacing w:line="240" w:lineRule="auto"/>
              <w:ind w:firstLine="0" w:firstLineChars="0"/>
              <w:jc w:val="center"/>
              <w:rPr>
                <w:color w:val="auto"/>
                <w:sz w:val="21"/>
                <w:szCs w:val="21"/>
              </w:rPr>
            </w:pPr>
            <w:r>
              <w:rPr>
                <w:color w:val="auto"/>
                <w:sz w:val="21"/>
                <w:szCs w:val="21"/>
              </w:rPr>
              <w:t>2</w:t>
            </w:r>
          </w:p>
        </w:tc>
        <w:tc>
          <w:tcPr>
            <w:tcW w:w="1835" w:type="pct"/>
            <w:tcBorders>
              <w:tl2br w:val="nil"/>
              <w:tr2bl w:val="nil"/>
            </w:tcBorders>
            <w:vAlign w:val="center"/>
          </w:tcPr>
          <w:p w14:paraId="05AB9673">
            <w:pPr>
              <w:spacing w:line="240" w:lineRule="auto"/>
              <w:ind w:firstLine="0" w:firstLineChars="0"/>
              <w:jc w:val="center"/>
              <w:rPr>
                <w:color w:val="auto"/>
                <w:sz w:val="21"/>
                <w:szCs w:val="21"/>
              </w:rPr>
            </w:pPr>
            <w:r>
              <w:rPr>
                <w:rFonts w:hint="eastAsia"/>
                <w:color w:val="auto"/>
                <w:sz w:val="21"/>
                <w:szCs w:val="21"/>
              </w:rPr>
              <w:t>氰化物（易释放氰化物）</w:t>
            </w:r>
          </w:p>
        </w:tc>
        <w:tc>
          <w:tcPr>
            <w:tcW w:w="1590" w:type="pct"/>
            <w:tcBorders>
              <w:tl2br w:val="nil"/>
              <w:tr2bl w:val="nil"/>
            </w:tcBorders>
            <w:vAlign w:val="center"/>
          </w:tcPr>
          <w:p w14:paraId="22B77EB7">
            <w:pPr>
              <w:spacing w:line="240" w:lineRule="auto"/>
              <w:ind w:firstLine="0" w:firstLineChars="0"/>
              <w:jc w:val="center"/>
              <w:rPr>
                <w:color w:val="auto"/>
                <w:sz w:val="21"/>
                <w:szCs w:val="21"/>
              </w:rPr>
            </w:pPr>
            <w:r>
              <w:rPr>
                <w:color w:val="auto"/>
                <w:sz w:val="21"/>
                <w:szCs w:val="21"/>
              </w:rPr>
              <w:t>不涉及</w:t>
            </w:r>
          </w:p>
        </w:tc>
      </w:tr>
      <w:tr w14:paraId="3A358F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2A17B26F">
            <w:pPr>
              <w:spacing w:line="240" w:lineRule="auto"/>
              <w:ind w:firstLine="0" w:firstLineChars="0"/>
              <w:jc w:val="center"/>
              <w:rPr>
                <w:color w:val="auto"/>
                <w:sz w:val="21"/>
                <w:szCs w:val="21"/>
              </w:rPr>
            </w:pPr>
            <w:r>
              <w:rPr>
                <w:color w:val="auto"/>
                <w:sz w:val="21"/>
                <w:szCs w:val="21"/>
              </w:rPr>
              <w:t>3</w:t>
            </w:r>
          </w:p>
        </w:tc>
        <w:tc>
          <w:tcPr>
            <w:tcW w:w="1835" w:type="pct"/>
            <w:tcBorders>
              <w:tl2br w:val="nil"/>
              <w:tr2bl w:val="nil"/>
            </w:tcBorders>
            <w:vAlign w:val="center"/>
          </w:tcPr>
          <w:p w14:paraId="6A252543">
            <w:pPr>
              <w:spacing w:line="240" w:lineRule="auto"/>
              <w:ind w:firstLine="0" w:firstLineChars="0"/>
              <w:jc w:val="center"/>
              <w:rPr>
                <w:color w:val="auto"/>
                <w:sz w:val="21"/>
                <w:szCs w:val="21"/>
              </w:rPr>
            </w:pPr>
            <w:r>
              <w:rPr>
                <w:rFonts w:hint="eastAsia"/>
                <w:color w:val="auto"/>
                <w:sz w:val="21"/>
                <w:szCs w:val="21"/>
              </w:rPr>
              <w:t>五氯酚及五氯酚钠</w:t>
            </w:r>
          </w:p>
        </w:tc>
        <w:tc>
          <w:tcPr>
            <w:tcW w:w="1590" w:type="pct"/>
            <w:tcBorders>
              <w:tl2br w:val="nil"/>
              <w:tr2bl w:val="nil"/>
            </w:tcBorders>
            <w:vAlign w:val="center"/>
          </w:tcPr>
          <w:p w14:paraId="2E136C7C">
            <w:pPr>
              <w:spacing w:line="240" w:lineRule="auto"/>
              <w:ind w:firstLine="0" w:firstLineChars="0"/>
              <w:jc w:val="center"/>
              <w:rPr>
                <w:color w:val="auto"/>
                <w:sz w:val="21"/>
                <w:szCs w:val="21"/>
              </w:rPr>
            </w:pPr>
            <w:r>
              <w:rPr>
                <w:color w:val="auto"/>
                <w:sz w:val="21"/>
                <w:szCs w:val="21"/>
              </w:rPr>
              <w:t>不涉及</w:t>
            </w:r>
          </w:p>
        </w:tc>
      </w:tr>
      <w:tr w14:paraId="3F4EE0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33C207FD">
            <w:pPr>
              <w:spacing w:line="240" w:lineRule="auto"/>
              <w:ind w:firstLine="0" w:firstLineChars="0"/>
              <w:jc w:val="center"/>
              <w:rPr>
                <w:color w:val="auto"/>
                <w:sz w:val="21"/>
                <w:szCs w:val="21"/>
              </w:rPr>
            </w:pPr>
            <w:r>
              <w:rPr>
                <w:color w:val="auto"/>
                <w:sz w:val="21"/>
                <w:szCs w:val="21"/>
              </w:rPr>
              <w:t>4</w:t>
            </w:r>
          </w:p>
        </w:tc>
        <w:tc>
          <w:tcPr>
            <w:tcW w:w="1835" w:type="pct"/>
            <w:tcBorders>
              <w:tl2br w:val="nil"/>
              <w:tr2bl w:val="nil"/>
            </w:tcBorders>
            <w:vAlign w:val="center"/>
          </w:tcPr>
          <w:p w14:paraId="35B9448F">
            <w:pPr>
              <w:spacing w:line="240" w:lineRule="auto"/>
              <w:ind w:firstLine="0" w:firstLineChars="0"/>
              <w:jc w:val="center"/>
              <w:rPr>
                <w:color w:val="auto"/>
                <w:sz w:val="21"/>
                <w:szCs w:val="21"/>
              </w:rPr>
            </w:pPr>
            <w:r>
              <w:rPr>
                <w:rFonts w:hint="eastAsia"/>
                <w:color w:val="auto"/>
                <w:sz w:val="21"/>
                <w:szCs w:val="21"/>
              </w:rPr>
              <w:t>苯</w:t>
            </w:r>
          </w:p>
        </w:tc>
        <w:tc>
          <w:tcPr>
            <w:tcW w:w="1590" w:type="pct"/>
            <w:tcBorders>
              <w:tl2br w:val="nil"/>
              <w:tr2bl w:val="nil"/>
            </w:tcBorders>
            <w:vAlign w:val="center"/>
          </w:tcPr>
          <w:p w14:paraId="1F87FF03">
            <w:pPr>
              <w:spacing w:line="240" w:lineRule="auto"/>
              <w:ind w:firstLine="0" w:firstLineChars="0"/>
              <w:jc w:val="center"/>
              <w:rPr>
                <w:color w:val="auto"/>
                <w:sz w:val="21"/>
                <w:szCs w:val="21"/>
              </w:rPr>
            </w:pPr>
            <w:r>
              <w:rPr>
                <w:color w:val="auto"/>
                <w:sz w:val="21"/>
                <w:szCs w:val="21"/>
              </w:rPr>
              <w:t>不涉及</w:t>
            </w:r>
          </w:p>
        </w:tc>
      </w:tr>
      <w:tr w14:paraId="01A1A3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500729C6">
            <w:pPr>
              <w:spacing w:line="240" w:lineRule="auto"/>
              <w:ind w:firstLine="0" w:firstLineChars="0"/>
              <w:jc w:val="center"/>
              <w:rPr>
                <w:color w:val="auto"/>
                <w:sz w:val="21"/>
                <w:szCs w:val="21"/>
              </w:rPr>
            </w:pPr>
            <w:r>
              <w:rPr>
                <w:color w:val="auto"/>
                <w:sz w:val="21"/>
                <w:szCs w:val="21"/>
              </w:rPr>
              <w:t>5</w:t>
            </w:r>
          </w:p>
        </w:tc>
        <w:tc>
          <w:tcPr>
            <w:tcW w:w="1835" w:type="pct"/>
            <w:tcBorders>
              <w:tl2br w:val="nil"/>
              <w:tr2bl w:val="nil"/>
            </w:tcBorders>
            <w:vAlign w:val="center"/>
          </w:tcPr>
          <w:p w14:paraId="3DDA6F44">
            <w:pPr>
              <w:spacing w:line="240" w:lineRule="auto"/>
              <w:ind w:firstLine="0" w:firstLineChars="0"/>
              <w:jc w:val="center"/>
              <w:rPr>
                <w:color w:val="auto"/>
                <w:sz w:val="21"/>
                <w:szCs w:val="21"/>
              </w:rPr>
            </w:pPr>
            <w:r>
              <w:rPr>
                <w:rFonts w:hint="eastAsia"/>
                <w:color w:val="auto"/>
                <w:sz w:val="21"/>
                <w:szCs w:val="21"/>
              </w:rPr>
              <w:t>甲苯</w:t>
            </w:r>
          </w:p>
        </w:tc>
        <w:tc>
          <w:tcPr>
            <w:tcW w:w="1590" w:type="pct"/>
            <w:tcBorders>
              <w:tl2br w:val="nil"/>
              <w:tr2bl w:val="nil"/>
            </w:tcBorders>
            <w:vAlign w:val="center"/>
          </w:tcPr>
          <w:p w14:paraId="7FEB517A">
            <w:pPr>
              <w:spacing w:line="240" w:lineRule="auto"/>
              <w:ind w:firstLine="0" w:firstLineChars="0"/>
              <w:jc w:val="center"/>
              <w:rPr>
                <w:color w:val="auto"/>
                <w:sz w:val="21"/>
                <w:szCs w:val="21"/>
              </w:rPr>
            </w:pPr>
            <w:r>
              <w:rPr>
                <w:color w:val="auto"/>
                <w:sz w:val="21"/>
                <w:szCs w:val="21"/>
              </w:rPr>
              <w:t>不涉及</w:t>
            </w:r>
          </w:p>
        </w:tc>
      </w:tr>
      <w:tr w14:paraId="7F231B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311D05B1">
            <w:pPr>
              <w:spacing w:line="240" w:lineRule="auto"/>
              <w:ind w:firstLine="0" w:firstLineChars="0"/>
              <w:jc w:val="center"/>
              <w:rPr>
                <w:color w:val="auto"/>
                <w:sz w:val="21"/>
                <w:szCs w:val="21"/>
              </w:rPr>
            </w:pPr>
            <w:r>
              <w:rPr>
                <w:color w:val="auto"/>
                <w:sz w:val="21"/>
                <w:szCs w:val="21"/>
              </w:rPr>
              <w:t>6</w:t>
            </w:r>
          </w:p>
        </w:tc>
        <w:tc>
          <w:tcPr>
            <w:tcW w:w="1835" w:type="pct"/>
            <w:tcBorders>
              <w:tl2br w:val="nil"/>
              <w:tr2bl w:val="nil"/>
            </w:tcBorders>
            <w:vAlign w:val="center"/>
          </w:tcPr>
          <w:p w14:paraId="4170168B">
            <w:pPr>
              <w:spacing w:line="240" w:lineRule="auto"/>
              <w:ind w:firstLine="0" w:firstLineChars="0"/>
              <w:jc w:val="center"/>
              <w:rPr>
                <w:color w:val="auto"/>
                <w:sz w:val="21"/>
                <w:szCs w:val="21"/>
              </w:rPr>
            </w:pPr>
            <w:r>
              <w:rPr>
                <w:rFonts w:hint="eastAsia"/>
                <w:color w:val="auto"/>
                <w:sz w:val="21"/>
                <w:szCs w:val="21"/>
              </w:rPr>
              <w:t>硝基苯类物质（2,4-二硝基甲苯）</w:t>
            </w:r>
          </w:p>
        </w:tc>
        <w:tc>
          <w:tcPr>
            <w:tcW w:w="1590" w:type="pct"/>
            <w:tcBorders>
              <w:tl2br w:val="nil"/>
              <w:tr2bl w:val="nil"/>
            </w:tcBorders>
            <w:vAlign w:val="center"/>
          </w:tcPr>
          <w:p w14:paraId="041D9D2B">
            <w:pPr>
              <w:spacing w:line="240" w:lineRule="auto"/>
              <w:ind w:firstLine="0" w:firstLineChars="0"/>
              <w:jc w:val="center"/>
              <w:rPr>
                <w:color w:val="auto"/>
                <w:sz w:val="21"/>
                <w:szCs w:val="21"/>
              </w:rPr>
            </w:pPr>
            <w:r>
              <w:rPr>
                <w:color w:val="auto"/>
                <w:sz w:val="21"/>
                <w:szCs w:val="21"/>
              </w:rPr>
              <w:t>不涉及</w:t>
            </w:r>
          </w:p>
        </w:tc>
      </w:tr>
      <w:tr w14:paraId="1C8A9D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00D5077A">
            <w:pPr>
              <w:spacing w:line="240" w:lineRule="auto"/>
              <w:ind w:firstLine="0" w:firstLineChars="0"/>
              <w:jc w:val="center"/>
              <w:rPr>
                <w:color w:val="auto"/>
                <w:sz w:val="21"/>
                <w:szCs w:val="21"/>
              </w:rPr>
            </w:pPr>
            <w:r>
              <w:rPr>
                <w:color w:val="auto"/>
                <w:sz w:val="21"/>
                <w:szCs w:val="21"/>
              </w:rPr>
              <w:t>7</w:t>
            </w:r>
          </w:p>
        </w:tc>
        <w:tc>
          <w:tcPr>
            <w:tcW w:w="1835" w:type="pct"/>
            <w:tcBorders>
              <w:tl2br w:val="nil"/>
              <w:tr2bl w:val="nil"/>
            </w:tcBorders>
            <w:vAlign w:val="center"/>
          </w:tcPr>
          <w:p w14:paraId="078C8D3E">
            <w:pPr>
              <w:spacing w:line="240" w:lineRule="auto"/>
              <w:ind w:firstLine="0" w:firstLineChars="0"/>
              <w:jc w:val="center"/>
              <w:rPr>
                <w:color w:val="auto"/>
                <w:sz w:val="21"/>
                <w:szCs w:val="21"/>
              </w:rPr>
            </w:pPr>
            <w:r>
              <w:rPr>
                <w:rFonts w:hint="eastAsia"/>
                <w:color w:val="auto"/>
                <w:sz w:val="21"/>
                <w:szCs w:val="21"/>
              </w:rPr>
              <w:t>苯胺类物质（邻甲苯胺）</w:t>
            </w:r>
          </w:p>
        </w:tc>
        <w:tc>
          <w:tcPr>
            <w:tcW w:w="1590" w:type="pct"/>
            <w:tcBorders>
              <w:tl2br w:val="nil"/>
              <w:tr2bl w:val="nil"/>
            </w:tcBorders>
            <w:vAlign w:val="center"/>
          </w:tcPr>
          <w:p w14:paraId="361346A9">
            <w:pPr>
              <w:spacing w:line="240" w:lineRule="auto"/>
              <w:ind w:firstLine="0" w:firstLineChars="0"/>
              <w:jc w:val="center"/>
              <w:rPr>
                <w:color w:val="auto"/>
                <w:sz w:val="21"/>
                <w:szCs w:val="21"/>
              </w:rPr>
            </w:pPr>
            <w:r>
              <w:rPr>
                <w:color w:val="auto"/>
                <w:sz w:val="21"/>
                <w:szCs w:val="21"/>
              </w:rPr>
              <w:t>不涉及</w:t>
            </w:r>
          </w:p>
        </w:tc>
      </w:tr>
      <w:tr w14:paraId="421DCA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0CBB6B36">
            <w:pPr>
              <w:spacing w:line="240" w:lineRule="auto"/>
              <w:ind w:firstLine="0" w:firstLineChars="0"/>
              <w:jc w:val="center"/>
              <w:rPr>
                <w:color w:val="auto"/>
                <w:sz w:val="21"/>
                <w:szCs w:val="21"/>
              </w:rPr>
            </w:pPr>
            <w:r>
              <w:rPr>
                <w:color w:val="auto"/>
                <w:sz w:val="21"/>
                <w:szCs w:val="21"/>
              </w:rPr>
              <w:t>8</w:t>
            </w:r>
          </w:p>
        </w:tc>
        <w:tc>
          <w:tcPr>
            <w:tcW w:w="1835" w:type="pct"/>
            <w:tcBorders>
              <w:tl2br w:val="nil"/>
              <w:tr2bl w:val="nil"/>
            </w:tcBorders>
            <w:vAlign w:val="center"/>
          </w:tcPr>
          <w:p w14:paraId="0D0CB722">
            <w:pPr>
              <w:spacing w:line="240" w:lineRule="auto"/>
              <w:ind w:firstLine="0" w:firstLineChars="0"/>
              <w:jc w:val="center"/>
              <w:rPr>
                <w:color w:val="auto"/>
                <w:sz w:val="21"/>
                <w:szCs w:val="21"/>
              </w:rPr>
            </w:pPr>
            <w:r>
              <w:rPr>
                <w:rFonts w:hint="eastAsia"/>
                <w:color w:val="auto"/>
                <w:sz w:val="21"/>
                <w:szCs w:val="21"/>
              </w:rPr>
              <w:t>1,1-二氯乙烯</w:t>
            </w:r>
          </w:p>
        </w:tc>
        <w:tc>
          <w:tcPr>
            <w:tcW w:w="1590" w:type="pct"/>
            <w:tcBorders>
              <w:tl2br w:val="nil"/>
              <w:tr2bl w:val="nil"/>
            </w:tcBorders>
            <w:vAlign w:val="center"/>
          </w:tcPr>
          <w:p w14:paraId="3BDA55E3">
            <w:pPr>
              <w:spacing w:line="240" w:lineRule="auto"/>
              <w:ind w:firstLine="0" w:firstLineChars="0"/>
              <w:jc w:val="center"/>
              <w:rPr>
                <w:color w:val="auto"/>
                <w:sz w:val="21"/>
                <w:szCs w:val="21"/>
              </w:rPr>
            </w:pPr>
            <w:r>
              <w:rPr>
                <w:color w:val="auto"/>
                <w:sz w:val="21"/>
                <w:szCs w:val="21"/>
              </w:rPr>
              <w:t>不涉及</w:t>
            </w:r>
          </w:p>
        </w:tc>
      </w:tr>
      <w:tr w14:paraId="62D5BF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tcBorders>
              <w:tl2br w:val="nil"/>
              <w:tr2bl w:val="nil"/>
            </w:tcBorders>
            <w:vAlign w:val="center"/>
          </w:tcPr>
          <w:p w14:paraId="0BF5D15B">
            <w:pPr>
              <w:spacing w:line="240" w:lineRule="auto"/>
              <w:ind w:firstLine="0" w:firstLineChars="0"/>
              <w:jc w:val="center"/>
              <w:rPr>
                <w:color w:val="auto"/>
                <w:sz w:val="21"/>
                <w:szCs w:val="21"/>
              </w:rPr>
            </w:pPr>
            <w:r>
              <w:rPr>
                <w:color w:val="auto"/>
                <w:sz w:val="21"/>
                <w:szCs w:val="21"/>
              </w:rPr>
              <w:t>9</w:t>
            </w:r>
          </w:p>
        </w:tc>
        <w:tc>
          <w:tcPr>
            <w:tcW w:w="1835" w:type="pct"/>
            <w:tcBorders>
              <w:tl2br w:val="nil"/>
              <w:tr2bl w:val="nil"/>
            </w:tcBorders>
            <w:vAlign w:val="center"/>
          </w:tcPr>
          <w:p w14:paraId="706D367F">
            <w:pPr>
              <w:spacing w:line="240" w:lineRule="auto"/>
              <w:ind w:firstLine="0" w:firstLineChars="0"/>
              <w:jc w:val="center"/>
              <w:rPr>
                <w:color w:val="auto"/>
                <w:sz w:val="21"/>
                <w:szCs w:val="21"/>
              </w:rPr>
            </w:pPr>
            <w:r>
              <w:rPr>
                <w:rFonts w:hint="eastAsia"/>
                <w:color w:val="auto"/>
                <w:sz w:val="21"/>
                <w:szCs w:val="21"/>
              </w:rPr>
              <w:t>六氯丁二烯</w:t>
            </w:r>
          </w:p>
        </w:tc>
        <w:tc>
          <w:tcPr>
            <w:tcW w:w="1590" w:type="pct"/>
            <w:tcBorders>
              <w:tl2br w:val="nil"/>
              <w:tr2bl w:val="nil"/>
            </w:tcBorders>
            <w:vAlign w:val="center"/>
          </w:tcPr>
          <w:p w14:paraId="28D086F2">
            <w:pPr>
              <w:spacing w:line="240" w:lineRule="auto"/>
              <w:ind w:firstLine="0" w:firstLineChars="0"/>
              <w:jc w:val="center"/>
              <w:rPr>
                <w:color w:val="auto"/>
                <w:sz w:val="21"/>
                <w:szCs w:val="21"/>
              </w:rPr>
            </w:pPr>
            <w:r>
              <w:rPr>
                <w:color w:val="auto"/>
                <w:sz w:val="21"/>
                <w:szCs w:val="21"/>
              </w:rPr>
              <w:t>不涉及</w:t>
            </w:r>
          </w:p>
        </w:tc>
      </w:tr>
      <w:tr w14:paraId="2AB89D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restart"/>
            <w:tcBorders>
              <w:tl2br w:val="nil"/>
              <w:tr2bl w:val="nil"/>
            </w:tcBorders>
            <w:vAlign w:val="center"/>
          </w:tcPr>
          <w:p w14:paraId="3D1F11FF">
            <w:pPr>
              <w:spacing w:line="240" w:lineRule="auto"/>
              <w:ind w:firstLine="0" w:firstLineChars="0"/>
              <w:jc w:val="center"/>
              <w:rPr>
                <w:color w:val="auto"/>
                <w:sz w:val="21"/>
                <w:szCs w:val="21"/>
              </w:rPr>
            </w:pPr>
            <w:r>
              <w:rPr>
                <w:color w:val="auto"/>
                <w:sz w:val="21"/>
                <w:szCs w:val="21"/>
              </w:rPr>
              <w:t>10</w:t>
            </w:r>
          </w:p>
        </w:tc>
        <w:tc>
          <w:tcPr>
            <w:tcW w:w="3425" w:type="pct"/>
            <w:gridSpan w:val="2"/>
            <w:tcBorders>
              <w:tl2br w:val="nil"/>
              <w:tr2bl w:val="nil"/>
            </w:tcBorders>
            <w:vAlign w:val="center"/>
          </w:tcPr>
          <w:p w14:paraId="6C022E56">
            <w:pPr>
              <w:spacing w:line="240" w:lineRule="auto"/>
              <w:ind w:firstLine="0" w:firstLineChars="0"/>
              <w:jc w:val="center"/>
              <w:rPr>
                <w:color w:val="auto"/>
                <w:sz w:val="21"/>
                <w:szCs w:val="21"/>
              </w:rPr>
            </w:pPr>
            <w:r>
              <w:rPr>
                <w:rFonts w:hint="eastAsia"/>
                <w:color w:val="auto"/>
                <w:sz w:val="21"/>
                <w:szCs w:val="21"/>
              </w:rPr>
              <w:t>多环芳烃类物质，包括：</w:t>
            </w:r>
          </w:p>
        </w:tc>
      </w:tr>
      <w:tr w14:paraId="22CFAB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continue"/>
            <w:tcBorders>
              <w:tl2br w:val="nil"/>
              <w:tr2bl w:val="nil"/>
            </w:tcBorders>
            <w:vAlign w:val="center"/>
          </w:tcPr>
          <w:p w14:paraId="077055C1">
            <w:pPr>
              <w:spacing w:line="240" w:lineRule="auto"/>
              <w:ind w:firstLine="0" w:firstLineChars="0"/>
              <w:jc w:val="center"/>
              <w:rPr>
                <w:color w:val="auto"/>
                <w:sz w:val="21"/>
                <w:szCs w:val="21"/>
              </w:rPr>
            </w:pPr>
          </w:p>
        </w:tc>
        <w:tc>
          <w:tcPr>
            <w:tcW w:w="1835" w:type="pct"/>
            <w:tcBorders>
              <w:tl2br w:val="nil"/>
              <w:tr2bl w:val="nil"/>
            </w:tcBorders>
            <w:vAlign w:val="center"/>
          </w:tcPr>
          <w:p w14:paraId="7B967605">
            <w:pPr>
              <w:spacing w:line="240" w:lineRule="auto"/>
              <w:ind w:firstLine="0" w:firstLineChars="0"/>
              <w:jc w:val="center"/>
              <w:rPr>
                <w:color w:val="auto"/>
                <w:sz w:val="21"/>
                <w:szCs w:val="21"/>
              </w:rPr>
            </w:pPr>
            <w:r>
              <w:rPr>
                <w:rFonts w:hint="eastAsia"/>
                <w:color w:val="auto"/>
                <w:sz w:val="21"/>
                <w:szCs w:val="21"/>
              </w:rPr>
              <w:t>苯并[a]蒽</w:t>
            </w:r>
          </w:p>
        </w:tc>
        <w:tc>
          <w:tcPr>
            <w:tcW w:w="1590" w:type="pct"/>
            <w:tcBorders>
              <w:tl2br w:val="nil"/>
              <w:tr2bl w:val="nil"/>
            </w:tcBorders>
            <w:vAlign w:val="center"/>
          </w:tcPr>
          <w:p w14:paraId="563AA4C3">
            <w:pPr>
              <w:spacing w:line="240" w:lineRule="auto"/>
              <w:ind w:firstLine="0" w:firstLineChars="0"/>
              <w:jc w:val="center"/>
              <w:rPr>
                <w:color w:val="auto"/>
                <w:sz w:val="21"/>
                <w:szCs w:val="21"/>
              </w:rPr>
            </w:pPr>
            <w:r>
              <w:rPr>
                <w:color w:val="auto"/>
                <w:sz w:val="21"/>
                <w:szCs w:val="21"/>
              </w:rPr>
              <w:t>不涉及</w:t>
            </w:r>
          </w:p>
        </w:tc>
      </w:tr>
      <w:tr w14:paraId="64A648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continue"/>
            <w:tcBorders>
              <w:tl2br w:val="nil"/>
              <w:tr2bl w:val="nil"/>
            </w:tcBorders>
            <w:vAlign w:val="center"/>
          </w:tcPr>
          <w:p w14:paraId="140369D5">
            <w:pPr>
              <w:spacing w:line="240" w:lineRule="auto"/>
              <w:ind w:firstLine="0" w:firstLineChars="0"/>
              <w:jc w:val="center"/>
              <w:rPr>
                <w:color w:val="auto"/>
                <w:sz w:val="21"/>
                <w:szCs w:val="21"/>
              </w:rPr>
            </w:pPr>
          </w:p>
        </w:tc>
        <w:tc>
          <w:tcPr>
            <w:tcW w:w="1835" w:type="pct"/>
            <w:tcBorders>
              <w:tl2br w:val="nil"/>
              <w:tr2bl w:val="nil"/>
            </w:tcBorders>
            <w:vAlign w:val="center"/>
          </w:tcPr>
          <w:p w14:paraId="61FFD5D6">
            <w:pPr>
              <w:spacing w:line="240" w:lineRule="auto"/>
              <w:ind w:firstLine="0" w:firstLineChars="0"/>
              <w:jc w:val="center"/>
              <w:rPr>
                <w:color w:val="auto"/>
                <w:sz w:val="21"/>
                <w:szCs w:val="21"/>
              </w:rPr>
            </w:pPr>
            <w:r>
              <w:rPr>
                <w:rFonts w:hint="eastAsia"/>
                <w:color w:val="auto"/>
                <w:sz w:val="21"/>
                <w:szCs w:val="21"/>
              </w:rPr>
              <w:t>苯并[a]菲</w:t>
            </w:r>
          </w:p>
        </w:tc>
        <w:tc>
          <w:tcPr>
            <w:tcW w:w="1590" w:type="pct"/>
            <w:tcBorders>
              <w:tl2br w:val="nil"/>
              <w:tr2bl w:val="nil"/>
            </w:tcBorders>
            <w:vAlign w:val="center"/>
          </w:tcPr>
          <w:p w14:paraId="2EBB5B32">
            <w:pPr>
              <w:spacing w:line="240" w:lineRule="auto"/>
              <w:ind w:firstLine="0" w:firstLineChars="0"/>
              <w:jc w:val="center"/>
              <w:rPr>
                <w:color w:val="auto"/>
                <w:sz w:val="21"/>
                <w:szCs w:val="21"/>
              </w:rPr>
            </w:pPr>
            <w:r>
              <w:rPr>
                <w:color w:val="auto"/>
                <w:sz w:val="21"/>
                <w:szCs w:val="21"/>
              </w:rPr>
              <w:t>不涉及</w:t>
            </w:r>
          </w:p>
        </w:tc>
      </w:tr>
      <w:tr w14:paraId="352A3D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continue"/>
            <w:tcBorders>
              <w:tl2br w:val="nil"/>
              <w:tr2bl w:val="nil"/>
            </w:tcBorders>
            <w:vAlign w:val="center"/>
          </w:tcPr>
          <w:p w14:paraId="5A3B578A">
            <w:pPr>
              <w:spacing w:line="240" w:lineRule="auto"/>
              <w:ind w:firstLine="0" w:firstLineChars="0"/>
              <w:jc w:val="center"/>
              <w:rPr>
                <w:color w:val="auto"/>
                <w:sz w:val="21"/>
                <w:szCs w:val="21"/>
              </w:rPr>
            </w:pPr>
          </w:p>
        </w:tc>
        <w:tc>
          <w:tcPr>
            <w:tcW w:w="1835" w:type="pct"/>
            <w:tcBorders>
              <w:tl2br w:val="nil"/>
              <w:tr2bl w:val="nil"/>
            </w:tcBorders>
            <w:vAlign w:val="center"/>
          </w:tcPr>
          <w:p w14:paraId="319A3A0D">
            <w:pPr>
              <w:spacing w:line="240" w:lineRule="auto"/>
              <w:ind w:firstLine="0" w:firstLineChars="0"/>
              <w:jc w:val="center"/>
              <w:rPr>
                <w:color w:val="auto"/>
                <w:sz w:val="21"/>
                <w:szCs w:val="21"/>
              </w:rPr>
            </w:pPr>
            <w:r>
              <w:rPr>
                <w:rFonts w:hint="eastAsia"/>
                <w:color w:val="auto"/>
                <w:sz w:val="21"/>
                <w:szCs w:val="21"/>
              </w:rPr>
              <w:t>苯并[a]芘</w:t>
            </w:r>
          </w:p>
        </w:tc>
        <w:tc>
          <w:tcPr>
            <w:tcW w:w="1590" w:type="pct"/>
            <w:tcBorders>
              <w:tl2br w:val="nil"/>
              <w:tr2bl w:val="nil"/>
            </w:tcBorders>
            <w:vAlign w:val="center"/>
          </w:tcPr>
          <w:p w14:paraId="04B1D44D">
            <w:pPr>
              <w:spacing w:line="240" w:lineRule="auto"/>
              <w:ind w:firstLine="0" w:firstLineChars="0"/>
              <w:jc w:val="center"/>
              <w:rPr>
                <w:color w:val="auto"/>
                <w:sz w:val="21"/>
                <w:szCs w:val="21"/>
              </w:rPr>
            </w:pPr>
            <w:r>
              <w:rPr>
                <w:color w:val="auto"/>
                <w:sz w:val="21"/>
                <w:szCs w:val="21"/>
              </w:rPr>
              <w:t>不涉及</w:t>
            </w:r>
          </w:p>
        </w:tc>
      </w:tr>
      <w:tr w14:paraId="6C9EF2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continue"/>
            <w:tcBorders>
              <w:tl2br w:val="nil"/>
              <w:tr2bl w:val="nil"/>
            </w:tcBorders>
            <w:vAlign w:val="center"/>
          </w:tcPr>
          <w:p w14:paraId="308DF0EB">
            <w:pPr>
              <w:spacing w:line="240" w:lineRule="auto"/>
              <w:ind w:firstLine="0" w:firstLineChars="0"/>
              <w:jc w:val="center"/>
              <w:rPr>
                <w:color w:val="auto"/>
                <w:sz w:val="21"/>
                <w:szCs w:val="21"/>
              </w:rPr>
            </w:pPr>
          </w:p>
        </w:tc>
        <w:tc>
          <w:tcPr>
            <w:tcW w:w="1835" w:type="pct"/>
            <w:tcBorders>
              <w:tl2br w:val="nil"/>
              <w:tr2bl w:val="nil"/>
            </w:tcBorders>
            <w:vAlign w:val="center"/>
          </w:tcPr>
          <w:p w14:paraId="506028A2">
            <w:pPr>
              <w:spacing w:line="240" w:lineRule="auto"/>
              <w:ind w:firstLine="0" w:firstLineChars="0"/>
              <w:jc w:val="center"/>
              <w:rPr>
                <w:color w:val="auto"/>
                <w:sz w:val="21"/>
                <w:szCs w:val="21"/>
              </w:rPr>
            </w:pPr>
            <w:r>
              <w:rPr>
                <w:rFonts w:hint="eastAsia"/>
                <w:color w:val="auto"/>
                <w:sz w:val="21"/>
                <w:szCs w:val="21"/>
              </w:rPr>
              <w:t>苯并[b]荧蒽</w:t>
            </w:r>
          </w:p>
        </w:tc>
        <w:tc>
          <w:tcPr>
            <w:tcW w:w="1590" w:type="pct"/>
            <w:tcBorders>
              <w:tl2br w:val="nil"/>
              <w:tr2bl w:val="nil"/>
            </w:tcBorders>
            <w:vAlign w:val="center"/>
          </w:tcPr>
          <w:p w14:paraId="1403B0B6">
            <w:pPr>
              <w:spacing w:line="240" w:lineRule="auto"/>
              <w:ind w:firstLine="0" w:firstLineChars="0"/>
              <w:jc w:val="center"/>
              <w:rPr>
                <w:color w:val="auto"/>
                <w:sz w:val="21"/>
                <w:szCs w:val="21"/>
              </w:rPr>
            </w:pPr>
            <w:r>
              <w:rPr>
                <w:color w:val="auto"/>
                <w:sz w:val="21"/>
                <w:szCs w:val="21"/>
              </w:rPr>
              <w:t>不涉及</w:t>
            </w:r>
          </w:p>
        </w:tc>
      </w:tr>
      <w:tr w14:paraId="70AD13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continue"/>
            <w:tcBorders>
              <w:tl2br w:val="nil"/>
              <w:tr2bl w:val="nil"/>
            </w:tcBorders>
            <w:vAlign w:val="center"/>
          </w:tcPr>
          <w:p w14:paraId="28BBEF26">
            <w:pPr>
              <w:spacing w:line="240" w:lineRule="auto"/>
              <w:ind w:firstLine="0" w:firstLineChars="0"/>
              <w:jc w:val="center"/>
              <w:rPr>
                <w:color w:val="auto"/>
                <w:sz w:val="21"/>
                <w:szCs w:val="21"/>
              </w:rPr>
            </w:pPr>
          </w:p>
        </w:tc>
        <w:tc>
          <w:tcPr>
            <w:tcW w:w="1835" w:type="pct"/>
            <w:tcBorders>
              <w:tl2br w:val="nil"/>
              <w:tr2bl w:val="nil"/>
            </w:tcBorders>
            <w:vAlign w:val="center"/>
          </w:tcPr>
          <w:p w14:paraId="4CD254C1">
            <w:pPr>
              <w:spacing w:line="240" w:lineRule="auto"/>
              <w:ind w:firstLine="0" w:firstLineChars="0"/>
              <w:jc w:val="center"/>
              <w:rPr>
                <w:color w:val="auto"/>
                <w:sz w:val="21"/>
                <w:szCs w:val="21"/>
              </w:rPr>
            </w:pPr>
            <w:r>
              <w:rPr>
                <w:rFonts w:hint="eastAsia"/>
                <w:color w:val="auto"/>
                <w:sz w:val="21"/>
                <w:szCs w:val="21"/>
              </w:rPr>
              <w:t>苯并[k]荧蒽</w:t>
            </w:r>
          </w:p>
        </w:tc>
        <w:tc>
          <w:tcPr>
            <w:tcW w:w="1590" w:type="pct"/>
            <w:tcBorders>
              <w:tl2br w:val="nil"/>
              <w:tr2bl w:val="nil"/>
            </w:tcBorders>
            <w:vAlign w:val="center"/>
          </w:tcPr>
          <w:p w14:paraId="3C0A42AF">
            <w:pPr>
              <w:spacing w:line="240" w:lineRule="auto"/>
              <w:ind w:firstLine="0" w:firstLineChars="0"/>
              <w:jc w:val="center"/>
              <w:rPr>
                <w:color w:val="auto"/>
                <w:sz w:val="21"/>
                <w:szCs w:val="21"/>
              </w:rPr>
            </w:pPr>
            <w:r>
              <w:rPr>
                <w:color w:val="auto"/>
                <w:sz w:val="21"/>
                <w:szCs w:val="21"/>
              </w:rPr>
              <w:t>不涉及</w:t>
            </w:r>
          </w:p>
        </w:tc>
      </w:tr>
      <w:tr w14:paraId="4A4A41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continue"/>
            <w:tcBorders>
              <w:tl2br w:val="nil"/>
              <w:tr2bl w:val="nil"/>
            </w:tcBorders>
            <w:vAlign w:val="center"/>
          </w:tcPr>
          <w:p w14:paraId="3ADFA20F">
            <w:pPr>
              <w:spacing w:line="240" w:lineRule="auto"/>
              <w:ind w:firstLine="0" w:firstLineChars="0"/>
              <w:jc w:val="center"/>
              <w:rPr>
                <w:color w:val="auto"/>
                <w:sz w:val="21"/>
                <w:szCs w:val="21"/>
              </w:rPr>
            </w:pPr>
          </w:p>
        </w:tc>
        <w:tc>
          <w:tcPr>
            <w:tcW w:w="1835" w:type="pct"/>
            <w:tcBorders>
              <w:tl2br w:val="nil"/>
              <w:tr2bl w:val="nil"/>
            </w:tcBorders>
            <w:vAlign w:val="center"/>
          </w:tcPr>
          <w:p w14:paraId="3058E9B3">
            <w:pPr>
              <w:spacing w:line="240" w:lineRule="auto"/>
              <w:ind w:firstLine="0" w:firstLineChars="0"/>
              <w:jc w:val="center"/>
              <w:rPr>
                <w:color w:val="auto"/>
                <w:sz w:val="21"/>
                <w:szCs w:val="21"/>
              </w:rPr>
            </w:pPr>
            <w:r>
              <w:rPr>
                <w:rFonts w:hint="eastAsia"/>
                <w:color w:val="auto"/>
                <w:sz w:val="21"/>
                <w:szCs w:val="21"/>
              </w:rPr>
              <w:t>蒽</w:t>
            </w:r>
          </w:p>
        </w:tc>
        <w:tc>
          <w:tcPr>
            <w:tcW w:w="1590" w:type="pct"/>
            <w:tcBorders>
              <w:tl2br w:val="nil"/>
              <w:tr2bl w:val="nil"/>
            </w:tcBorders>
            <w:vAlign w:val="center"/>
          </w:tcPr>
          <w:p w14:paraId="5E0A401B">
            <w:pPr>
              <w:spacing w:line="240" w:lineRule="auto"/>
              <w:ind w:firstLine="0" w:firstLineChars="0"/>
              <w:jc w:val="center"/>
              <w:rPr>
                <w:color w:val="auto"/>
                <w:sz w:val="21"/>
                <w:szCs w:val="21"/>
              </w:rPr>
            </w:pPr>
            <w:r>
              <w:rPr>
                <w:color w:val="auto"/>
                <w:sz w:val="21"/>
                <w:szCs w:val="21"/>
              </w:rPr>
              <w:t>不涉及</w:t>
            </w:r>
          </w:p>
        </w:tc>
      </w:tr>
      <w:tr w14:paraId="7D40D6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continue"/>
            <w:tcBorders>
              <w:tl2br w:val="nil"/>
              <w:tr2bl w:val="nil"/>
            </w:tcBorders>
            <w:vAlign w:val="center"/>
          </w:tcPr>
          <w:p w14:paraId="1DD1B218">
            <w:pPr>
              <w:spacing w:line="240" w:lineRule="auto"/>
              <w:ind w:firstLine="0" w:firstLineChars="0"/>
              <w:jc w:val="center"/>
              <w:rPr>
                <w:color w:val="auto"/>
                <w:sz w:val="21"/>
                <w:szCs w:val="21"/>
              </w:rPr>
            </w:pPr>
          </w:p>
        </w:tc>
        <w:tc>
          <w:tcPr>
            <w:tcW w:w="1835" w:type="pct"/>
            <w:tcBorders>
              <w:tl2br w:val="nil"/>
              <w:tr2bl w:val="nil"/>
            </w:tcBorders>
            <w:vAlign w:val="center"/>
          </w:tcPr>
          <w:p w14:paraId="10AA04E2">
            <w:pPr>
              <w:spacing w:line="240" w:lineRule="auto"/>
              <w:ind w:firstLine="0" w:firstLineChars="0"/>
              <w:jc w:val="center"/>
              <w:rPr>
                <w:color w:val="auto"/>
                <w:sz w:val="21"/>
                <w:szCs w:val="21"/>
              </w:rPr>
            </w:pPr>
            <w:r>
              <w:rPr>
                <w:rFonts w:hint="eastAsia"/>
                <w:color w:val="auto"/>
                <w:sz w:val="21"/>
                <w:szCs w:val="21"/>
              </w:rPr>
              <w:t>二苯并[a,h]蒽</w:t>
            </w:r>
          </w:p>
        </w:tc>
        <w:tc>
          <w:tcPr>
            <w:tcW w:w="1590" w:type="pct"/>
            <w:tcBorders>
              <w:tl2br w:val="nil"/>
              <w:tr2bl w:val="nil"/>
            </w:tcBorders>
            <w:vAlign w:val="center"/>
          </w:tcPr>
          <w:p w14:paraId="658A147C">
            <w:pPr>
              <w:spacing w:line="240" w:lineRule="auto"/>
              <w:ind w:firstLine="0" w:firstLineChars="0"/>
              <w:jc w:val="center"/>
              <w:rPr>
                <w:color w:val="auto"/>
                <w:sz w:val="21"/>
                <w:szCs w:val="21"/>
              </w:rPr>
            </w:pPr>
            <w:r>
              <w:rPr>
                <w:color w:val="auto"/>
                <w:sz w:val="21"/>
                <w:szCs w:val="21"/>
              </w:rPr>
              <w:t>不涉及</w:t>
            </w:r>
          </w:p>
        </w:tc>
      </w:tr>
      <w:tr w14:paraId="11C8D2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restart"/>
            <w:tcBorders>
              <w:tl2br w:val="nil"/>
              <w:tr2bl w:val="nil"/>
            </w:tcBorders>
            <w:vAlign w:val="center"/>
          </w:tcPr>
          <w:p w14:paraId="3B798252">
            <w:pPr>
              <w:spacing w:line="240" w:lineRule="auto"/>
              <w:ind w:firstLine="0" w:firstLineChars="0"/>
              <w:jc w:val="center"/>
              <w:rPr>
                <w:color w:val="auto"/>
                <w:sz w:val="21"/>
                <w:szCs w:val="21"/>
              </w:rPr>
            </w:pPr>
            <w:r>
              <w:rPr>
                <w:rFonts w:hint="eastAsia"/>
                <w:color w:val="auto"/>
                <w:sz w:val="21"/>
                <w:szCs w:val="21"/>
              </w:rPr>
              <w:t>11</w:t>
            </w:r>
          </w:p>
        </w:tc>
        <w:tc>
          <w:tcPr>
            <w:tcW w:w="3425" w:type="pct"/>
            <w:gridSpan w:val="2"/>
            <w:tcBorders>
              <w:tl2br w:val="nil"/>
              <w:tr2bl w:val="nil"/>
            </w:tcBorders>
            <w:vAlign w:val="center"/>
          </w:tcPr>
          <w:p w14:paraId="3F894FD7">
            <w:pPr>
              <w:spacing w:line="240" w:lineRule="auto"/>
              <w:ind w:firstLine="0" w:firstLineChars="0"/>
              <w:jc w:val="center"/>
              <w:rPr>
                <w:color w:val="auto"/>
                <w:sz w:val="21"/>
                <w:szCs w:val="21"/>
              </w:rPr>
            </w:pPr>
            <w:r>
              <w:rPr>
                <w:rFonts w:hint="eastAsia"/>
                <w:color w:val="auto"/>
                <w:sz w:val="21"/>
                <w:szCs w:val="21"/>
              </w:rPr>
              <w:t>二噁英类物质，包括：</w:t>
            </w:r>
          </w:p>
        </w:tc>
      </w:tr>
      <w:tr w14:paraId="0B37C8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continue"/>
            <w:tcBorders>
              <w:tl2br w:val="nil"/>
              <w:tr2bl w:val="nil"/>
            </w:tcBorders>
            <w:vAlign w:val="center"/>
          </w:tcPr>
          <w:p w14:paraId="6051D166">
            <w:pPr>
              <w:spacing w:line="240" w:lineRule="auto"/>
              <w:ind w:firstLine="0" w:firstLineChars="0"/>
              <w:jc w:val="center"/>
              <w:rPr>
                <w:color w:val="auto"/>
                <w:sz w:val="21"/>
                <w:szCs w:val="21"/>
              </w:rPr>
            </w:pPr>
          </w:p>
        </w:tc>
        <w:tc>
          <w:tcPr>
            <w:tcW w:w="1835" w:type="pct"/>
            <w:tcBorders>
              <w:tl2br w:val="nil"/>
              <w:tr2bl w:val="nil"/>
            </w:tcBorders>
            <w:vAlign w:val="center"/>
          </w:tcPr>
          <w:p w14:paraId="3DDB3270">
            <w:pPr>
              <w:spacing w:line="240" w:lineRule="auto"/>
              <w:ind w:firstLine="0" w:firstLineChars="0"/>
              <w:jc w:val="center"/>
              <w:rPr>
                <w:color w:val="auto"/>
                <w:sz w:val="21"/>
                <w:szCs w:val="21"/>
              </w:rPr>
            </w:pPr>
            <w:r>
              <w:rPr>
                <w:rFonts w:hint="eastAsia"/>
                <w:color w:val="auto"/>
                <w:sz w:val="21"/>
                <w:szCs w:val="21"/>
              </w:rPr>
              <w:t>多氯二苯并对二噁英</w:t>
            </w:r>
          </w:p>
        </w:tc>
        <w:tc>
          <w:tcPr>
            <w:tcW w:w="1590" w:type="pct"/>
            <w:tcBorders>
              <w:tl2br w:val="nil"/>
              <w:tr2bl w:val="nil"/>
            </w:tcBorders>
            <w:vAlign w:val="center"/>
          </w:tcPr>
          <w:p w14:paraId="1D2ABA3F">
            <w:pPr>
              <w:spacing w:line="240" w:lineRule="auto"/>
              <w:ind w:firstLine="0" w:firstLineChars="0"/>
              <w:jc w:val="center"/>
              <w:rPr>
                <w:color w:val="auto"/>
                <w:sz w:val="21"/>
                <w:szCs w:val="21"/>
              </w:rPr>
            </w:pPr>
            <w:r>
              <w:rPr>
                <w:color w:val="auto"/>
                <w:sz w:val="21"/>
                <w:szCs w:val="21"/>
              </w:rPr>
              <w:t>不涉及</w:t>
            </w:r>
          </w:p>
        </w:tc>
      </w:tr>
      <w:tr w14:paraId="1578AC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4" w:type="pct"/>
            <w:vMerge w:val="continue"/>
            <w:tcBorders>
              <w:tl2br w:val="nil"/>
              <w:tr2bl w:val="nil"/>
            </w:tcBorders>
            <w:vAlign w:val="center"/>
          </w:tcPr>
          <w:p w14:paraId="760AE08C">
            <w:pPr>
              <w:spacing w:line="240" w:lineRule="auto"/>
              <w:ind w:firstLine="0" w:firstLineChars="0"/>
              <w:jc w:val="center"/>
              <w:rPr>
                <w:color w:val="auto"/>
                <w:sz w:val="21"/>
                <w:szCs w:val="21"/>
              </w:rPr>
            </w:pPr>
          </w:p>
        </w:tc>
        <w:tc>
          <w:tcPr>
            <w:tcW w:w="1835" w:type="pct"/>
            <w:tcBorders>
              <w:tl2br w:val="nil"/>
              <w:tr2bl w:val="nil"/>
            </w:tcBorders>
            <w:vAlign w:val="center"/>
          </w:tcPr>
          <w:p w14:paraId="1A5540C4">
            <w:pPr>
              <w:spacing w:line="240" w:lineRule="auto"/>
              <w:ind w:firstLine="0" w:firstLineChars="0"/>
              <w:jc w:val="center"/>
              <w:rPr>
                <w:color w:val="auto"/>
                <w:sz w:val="21"/>
                <w:szCs w:val="21"/>
              </w:rPr>
            </w:pPr>
            <w:r>
              <w:rPr>
                <w:rFonts w:hint="eastAsia"/>
                <w:color w:val="auto"/>
                <w:sz w:val="21"/>
                <w:szCs w:val="21"/>
              </w:rPr>
              <w:t>多氯二苯并呋喃</w:t>
            </w:r>
          </w:p>
        </w:tc>
        <w:tc>
          <w:tcPr>
            <w:tcW w:w="1590" w:type="pct"/>
            <w:tcBorders>
              <w:tl2br w:val="nil"/>
              <w:tr2bl w:val="nil"/>
            </w:tcBorders>
            <w:vAlign w:val="center"/>
          </w:tcPr>
          <w:p w14:paraId="53A253E0">
            <w:pPr>
              <w:spacing w:line="240" w:lineRule="auto"/>
              <w:ind w:firstLine="0" w:firstLineChars="0"/>
              <w:jc w:val="center"/>
              <w:rPr>
                <w:color w:val="auto"/>
                <w:sz w:val="21"/>
                <w:szCs w:val="21"/>
              </w:rPr>
            </w:pPr>
            <w:r>
              <w:rPr>
                <w:color w:val="auto"/>
                <w:sz w:val="21"/>
                <w:szCs w:val="21"/>
              </w:rPr>
              <w:t>不涉及</w:t>
            </w:r>
          </w:p>
        </w:tc>
      </w:tr>
    </w:tbl>
    <w:p w14:paraId="0F0A5F11">
      <w:pPr>
        <w:spacing w:line="500" w:lineRule="atLeast"/>
        <w:ind w:firstLine="482"/>
        <w:jc w:val="center"/>
        <w:rPr>
          <w:b/>
          <w:color w:val="auto"/>
          <w:kern w:val="0"/>
          <w:szCs w:val="22"/>
        </w:rPr>
      </w:pPr>
    </w:p>
    <w:p w14:paraId="518A8BBE">
      <w:pPr>
        <w:pStyle w:val="49"/>
        <w:rPr>
          <w:color w:val="auto"/>
        </w:rPr>
      </w:pPr>
      <w:r>
        <w:rPr>
          <w:rFonts w:hint="eastAsia"/>
          <w:color w:val="auto"/>
        </w:rPr>
        <w:t>表1.4-23  与《优先控制化学品名录》对照</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00"/>
        <w:gridCol w:w="926"/>
        <w:gridCol w:w="4663"/>
        <w:gridCol w:w="2201"/>
        <w:gridCol w:w="1364"/>
      </w:tblGrid>
      <w:tr w14:paraId="33BF76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4B1FCC3E">
            <w:pPr>
              <w:spacing w:line="240" w:lineRule="auto"/>
              <w:ind w:firstLine="0" w:firstLineChars="0"/>
              <w:jc w:val="center"/>
              <w:rPr>
                <w:b/>
                <w:bCs/>
                <w:color w:val="auto"/>
                <w:sz w:val="21"/>
                <w:szCs w:val="21"/>
              </w:rPr>
            </w:pPr>
            <w:r>
              <w:rPr>
                <w:b/>
                <w:bCs/>
                <w:color w:val="auto"/>
                <w:sz w:val="21"/>
                <w:szCs w:val="21"/>
              </w:rPr>
              <w:t>序号</w:t>
            </w:r>
          </w:p>
        </w:tc>
        <w:tc>
          <w:tcPr>
            <w:tcW w:w="2836" w:type="pct"/>
            <w:gridSpan w:val="2"/>
            <w:tcBorders>
              <w:tl2br w:val="nil"/>
              <w:tr2bl w:val="nil"/>
            </w:tcBorders>
            <w:vAlign w:val="center"/>
          </w:tcPr>
          <w:p w14:paraId="1DEB46A9">
            <w:pPr>
              <w:spacing w:line="240" w:lineRule="auto"/>
              <w:ind w:firstLine="0" w:firstLineChars="0"/>
              <w:jc w:val="center"/>
              <w:rPr>
                <w:b/>
                <w:bCs/>
                <w:color w:val="auto"/>
                <w:sz w:val="21"/>
                <w:szCs w:val="21"/>
              </w:rPr>
            </w:pPr>
            <w:r>
              <w:rPr>
                <w:b/>
                <w:bCs/>
                <w:color w:val="auto"/>
                <w:sz w:val="21"/>
                <w:szCs w:val="21"/>
              </w:rPr>
              <w:t>污染物名称</w:t>
            </w:r>
          </w:p>
        </w:tc>
        <w:tc>
          <w:tcPr>
            <w:tcW w:w="1117" w:type="pct"/>
            <w:tcBorders>
              <w:tl2br w:val="nil"/>
              <w:tr2bl w:val="nil"/>
            </w:tcBorders>
            <w:vAlign w:val="center"/>
          </w:tcPr>
          <w:p w14:paraId="66027697">
            <w:pPr>
              <w:spacing w:line="240" w:lineRule="auto"/>
              <w:ind w:firstLine="0" w:firstLineChars="0"/>
              <w:jc w:val="center"/>
              <w:rPr>
                <w:b/>
                <w:bCs/>
                <w:color w:val="auto"/>
                <w:sz w:val="21"/>
                <w:szCs w:val="21"/>
              </w:rPr>
            </w:pPr>
            <w:r>
              <w:rPr>
                <w:b/>
                <w:bCs/>
                <w:color w:val="auto"/>
                <w:sz w:val="21"/>
                <w:szCs w:val="21"/>
              </w:rPr>
              <w:t>CAS号</w:t>
            </w:r>
          </w:p>
        </w:tc>
        <w:tc>
          <w:tcPr>
            <w:tcW w:w="690" w:type="pct"/>
            <w:tcBorders>
              <w:tl2br w:val="nil"/>
              <w:tr2bl w:val="nil"/>
            </w:tcBorders>
            <w:vAlign w:val="center"/>
          </w:tcPr>
          <w:p w14:paraId="078C7DB6">
            <w:pPr>
              <w:spacing w:line="240" w:lineRule="auto"/>
              <w:ind w:firstLine="0" w:firstLineChars="0"/>
              <w:jc w:val="center"/>
              <w:rPr>
                <w:b/>
                <w:bCs/>
                <w:color w:val="auto"/>
                <w:sz w:val="21"/>
                <w:szCs w:val="21"/>
              </w:rPr>
            </w:pPr>
            <w:r>
              <w:rPr>
                <w:rFonts w:hint="eastAsia"/>
                <w:b/>
                <w:bCs/>
                <w:color w:val="auto"/>
                <w:sz w:val="21"/>
                <w:szCs w:val="21"/>
              </w:rPr>
              <w:t>拟建项目</w:t>
            </w:r>
            <w:r>
              <w:rPr>
                <w:b/>
                <w:bCs/>
                <w:color w:val="auto"/>
                <w:sz w:val="21"/>
                <w:szCs w:val="21"/>
              </w:rPr>
              <w:t>情况</w:t>
            </w:r>
          </w:p>
        </w:tc>
      </w:tr>
      <w:tr w14:paraId="712ECB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532FF09E">
            <w:pPr>
              <w:spacing w:line="240" w:lineRule="auto"/>
              <w:ind w:firstLine="0" w:firstLineChars="0"/>
              <w:jc w:val="center"/>
              <w:rPr>
                <w:b/>
                <w:bCs/>
                <w:color w:val="auto"/>
                <w:sz w:val="21"/>
                <w:szCs w:val="21"/>
              </w:rPr>
            </w:pPr>
            <w:r>
              <w:rPr>
                <w:b/>
                <w:bCs/>
                <w:color w:val="auto"/>
                <w:sz w:val="21"/>
                <w:szCs w:val="21"/>
              </w:rPr>
              <w:t>第一批</w:t>
            </w:r>
          </w:p>
        </w:tc>
      </w:tr>
      <w:tr w14:paraId="02967C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B37EE4E">
            <w:pPr>
              <w:spacing w:line="240" w:lineRule="auto"/>
              <w:ind w:firstLine="0" w:firstLineChars="0"/>
              <w:jc w:val="center"/>
              <w:rPr>
                <w:color w:val="auto"/>
                <w:sz w:val="21"/>
                <w:szCs w:val="21"/>
              </w:rPr>
            </w:pPr>
            <w:r>
              <w:rPr>
                <w:color w:val="auto"/>
                <w:sz w:val="21"/>
                <w:szCs w:val="21"/>
              </w:rPr>
              <w:t>1</w:t>
            </w:r>
          </w:p>
        </w:tc>
        <w:tc>
          <w:tcPr>
            <w:tcW w:w="2836" w:type="pct"/>
            <w:gridSpan w:val="2"/>
            <w:tcBorders>
              <w:tl2br w:val="nil"/>
              <w:tr2bl w:val="nil"/>
            </w:tcBorders>
            <w:vAlign w:val="center"/>
          </w:tcPr>
          <w:p w14:paraId="1BBDE5A7">
            <w:pPr>
              <w:spacing w:line="240" w:lineRule="auto"/>
              <w:ind w:firstLine="0" w:firstLineChars="0"/>
              <w:jc w:val="center"/>
              <w:rPr>
                <w:color w:val="auto"/>
                <w:sz w:val="21"/>
                <w:szCs w:val="21"/>
              </w:rPr>
            </w:pPr>
            <w:r>
              <w:rPr>
                <w:color w:val="auto"/>
                <w:sz w:val="21"/>
                <w:szCs w:val="21"/>
              </w:rPr>
              <w:t>1,2,4-三氯苯</w:t>
            </w:r>
          </w:p>
        </w:tc>
        <w:tc>
          <w:tcPr>
            <w:tcW w:w="1117" w:type="pct"/>
            <w:tcBorders>
              <w:tl2br w:val="nil"/>
              <w:tr2bl w:val="nil"/>
            </w:tcBorders>
            <w:vAlign w:val="center"/>
          </w:tcPr>
          <w:p w14:paraId="5F1FFDCD">
            <w:pPr>
              <w:spacing w:line="240" w:lineRule="auto"/>
              <w:ind w:firstLine="0" w:firstLineChars="0"/>
              <w:jc w:val="center"/>
              <w:rPr>
                <w:color w:val="auto"/>
                <w:sz w:val="21"/>
                <w:szCs w:val="21"/>
              </w:rPr>
            </w:pPr>
            <w:r>
              <w:rPr>
                <w:color w:val="auto"/>
                <w:sz w:val="21"/>
                <w:szCs w:val="21"/>
              </w:rPr>
              <w:t>120-82-1</w:t>
            </w:r>
          </w:p>
        </w:tc>
        <w:tc>
          <w:tcPr>
            <w:tcW w:w="690" w:type="pct"/>
            <w:tcBorders>
              <w:tl2br w:val="nil"/>
              <w:tr2bl w:val="nil"/>
            </w:tcBorders>
            <w:vAlign w:val="center"/>
          </w:tcPr>
          <w:p w14:paraId="69587BE9">
            <w:pPr>
              <w:spacing w:line="240" w:lineRule="auto"/>
              <w:ind w:firstLine="0" w:firstLineChars="0"/>
              <w:jc w:val="center"/>
              <w:rPr>
                <w:color w:val="auto"/>
                <w:sz w:val="21"/>
                <w:szCs w:val="21"/>
              </w:rPr>
            </w:pPr>
            <w:r>
              <w:rPr>
                <w:color w:val="auto"/>
                <w:sz w:val="21"/>
                <w:szCs w:val="21"/>
              </w:rPr>
              <w:t>不涉及</w:t>
            </w:r>
          </w:p>
        </w:tc>
      </w:tr>
      <w:tr w14:paraId="414F27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23ABDCF">
            <w:pPr>
              <w:spacing w:line="240" w:lineRule="auto"/>
              <w:ind w:firstLine="0" w:firstLineChars="0"/>
              <w:jc w:val="center"/>
              <w:rPr>
                <w:color w:val="auto"/>
                <w:sz w:val="21"/>
                <w:szCs w:val="21"/>
              </w:rPr>
            </w:pPr>
            <w:r>
              <w:rPr>
                <w:color w:val="auto"/>
                <w:sz w:val="21"/>
                <w:szCs w:val="21"/>
              </w:rPr>
              <w:t>2</w:t>
            </w:r>
          </w:p>
        </w:tc>
        <w:tc>
          <w:tcPr>
            <w:tcW w:w="2836" w:type="pct"/>
            <w:gridSpan w:val="2"/>
            <w:tcBorders>
              <w:tl2br w:val="nil"/>
              <w:tr2bl w:val="nil"/>
            </w:tcBorders>
            <w:vAlign w:val="center"/>
          </w:tcPr>
          <w:p w14:paraId="0290A5CB">
            <w:pPr>
              <w:spacing w:line="240" w:lineRule="auto"/>
              <w:ind w:firstLine="0" w:firstLineChars="0"/>
              <w:jc w:val="center"/>
              <w:rPr>
                <w:color w:val="auto"/>
                <w:sz w:val="21"/>
                <w:szCs w:val="21"/>
              </w:rPr>
            </w:pPr>
            <w:r>
              <w:rPr>
                <w:color w:val="auto"/>
                <w:sz w:val="21"/>
                <w:szCs w:val="21"/>
              </w:rPr>
              <w:t>1,3-丁二烯</w:t>
            </w:r>
          </w:p>
        </w:tc>
        <w:tc>
          <w:tcPr>
            <w:tcW w:w="1117" w:type="pct"/>
            <w:tcBorders>
              <w:tl2br w:val="nil"/>
              <w:tr2bl w:val="nil"/>
            </w:tcBorders>
            <w:vAlign w:val="center"/>
          </w:tcPr>
          <w:p w14:paraId="0234FCF8">
            <w:pPr>
              <w:spacing w:line="240" w:lineRule="auto"/>
              <w:ind w:firstLine="0" w:firstLineChars="0"/>
              <w:jc w:val="center"/>
              <w:rPr>
                <w:color w:val="auto"/>
                <w:sz w:val="21"/>
                <w:szCs w:val="21"/>
              </w:rPr>
            </w:pPr>
            <w:r>
              <w:rPr>
                <w:color w:val="auto"/>
                <w:sz w:val="21"/>
                <w:szCs w:val="21"/>
              </w:rPr>
              <w:t>106-99-0</w:t>
            </w:r>
          </w:p>
        </w:tc>
        <w:tc>
          <w:tcPr>
            <w:tcW w:w="690" w:type="pct"/>
            <w:tcBorders>
              <w:tl2br w:val="nil"/>
              <w:tr2bl w:val="nil"/>
            </w:tcBorders>
            <w:vAlign w:val="center"/>
          </w:tcPr>
          <w:p w14:paraId="45D96D9E">
            <w:pPr>
              <w:spacing w:line="240" w:lineRule="auto"/>
              <w:ind w:firstLine="0" w:firstLineChars="0"/>
              <w:jc w:val="center"/>
              <w:rPr>
                <w:color w:val="auto"/>
                <w:sz w:val="21"/>
                <w:szCs w:val="21"/>
              </w:rPr>
            </w:pPr>
            <w:r>
              <w:rPr>
                <w:color w:val="auto"/>
                <w:sz w:val="21"/>
                <w:szCs w:val="21"/>
              </w:rPr>
              <w:t>不涉及</w:t>
            </w:r>
          </w:p>
        </w:tc>
      </w:tr>
      <w:tr w14:paraId="37ED2F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14B3DAE5">
            <w:pPr>
              <w:spacing w:line="240" w:lineRule="auto"/>
              <w:ind w:firstLine="0" w:firstLineChars="0"/>
              <w:jc w:val="center"/>
              <w:rPr>
                <w:color w:val="auto"/>
                <w:sz w:val="21"/>
                <w:szCs w:val="21"/>
              </w:rPr>
            </w:pPr>
            <w:r>
              <w:rPr>
                <w:color w:val="auto"/>
                <w:sz w:val="21"/>
                <w:szCs w:val="21"/>
              </w:rPr>
              <w:t>3</w:t>
            </w:r>
          </w:p>
        </w:tc>
        <w:tc>
          <w:tcPr>
            <w:tcW w:w="2836" w:type="pct"/>
            <w:gridSpan w:val="2"/>
            <w:tcBorders>
              <w:tl2br w:val="nil"/>
              <w:tr2bl w:val="nil"/>
            </w:tcBorders>
            <w:vAlign w:val="center"/>
          </w:tcPr>
          <w:p w14:paraId="52E1523D">
            <w:pPr>
              <w:spacing w:line="240" w:lineRule="auto"/>
              <w:ind w:firstLine="0" w:firstLineChars="0"/>
              <w:jc w:val="center"/>
              <w:rPr>
                <w:color w:val="auto"/>
                <w:sz w:val="21"/>
                <w:szCs w:val="21"/>
              </w:rPr>
            </w:pPr>
            <w:r>
              <w:rPr>
                <w:color w:val="auto"/>
                <w:sz w:val="21"/>
                <w:szCs w:val="21"/>
              </w:rPr>
              <w:t>5-叔丁基-2,4,6-三硝基间二甲苯（二甲苯麝香）</w:t>
            </w:r>
          </w:p>
        </w:tc>
        <w:tc>
          <w:tcPr>
            <w:tcW w:w="1117" w:type="pct"/>
            <w:tcBorders>
              <w:tl2br w:val="nil"/>
              <w:tr2bl w:val="nil"/>
            </w:tcBorders>
            <w:vAlign w:val="center"/>
          </w:tcPr>
          <w:p w14:paraId="291CE034">
            <w:pPr>
              <w:spacing w:line="240" w:lineRule="auto"/>
              <w:ind w:firstLine="0" w:firstLineChars="0"/>
              <w:jc w:val="center"/>
              <w:rPr>
                <w:color w:val="auto"/>
                <w:sz w:val="21"/>
                <w:szCs w:val="21"/>
              </w:rPr>
            </w:pPr>
            <w:r>
              <w:rPr>
                <w:color w:val="auto"/>
                <w:sz w:val="21"/>
                <w:szCs w:val="21"/>
              </w:rPr>
              <w:t>81-15-2</w:t>
            </w:r>
          </w:p>
        </w:tc>
        <w:tc>
          <w:tcPr>
            <w:tcW w:w="690" w:type="pct"/>
            <w:tcBorders>
              <w:tl2br w:val="nil"/>
              <w:tr2bl w:val="nil"/>
            </w:tcBorders>
            <w:vAlign w:val="center"/>
          </w:tcPr>
          <w:p w14:paraId="53D1EFE6">
            <w:pPr>
              <w:spacing w:line="240" w:lineRule="auto"/>
              <w:ind w:firstLine="0" w:firstLineChars="0"/>
              <w:jc w:val="center"/>
              <w:rPr>
                <w:color w:val="auto"/>
                <w:sz w:val="21"/>
                <w:szCs w:val="21"/>
              </w:rPr>
            </w:pPr>
            <w:r>
              <w:rPr>
                <w:color w:val="auto"/>
                <w:sz w:val="21"/>
                <w:szCs w:val="21"/>
              </w:rPr>
              <w:t>不涉及</w:t>
            </w:r>
          </w:p>
        </w:tc>
      </w:tr>
      <w:tr w14:paraId="4FCBC3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1465519">
            <w:pPr>
              <w:spacing w:line="240" w:lineRule="auto"/>
              <w:ind w:firstLine="0" w:firstLineChars="0"/>
              <w:jc w:val="center"/>
              <w:rPr>
                <w:color w:val="auto"/>
                <w:sz w:val="21"/>
                <w:szCs w:val="21"/>
              </w:rPr>
            </w:pPr>
            <w:r>
              <w:rPr>
                <w:color w:val="auto"/>
                <w:sz w:val="21"/>
                <w:szCs w:val="21"/>
              </w:rPr>
              <w:t>4</w:t>
            </w:r>
          </w:p>
        </w:tc>
        <w:tc>
          <w:tcPr>
            <w:tcW w:w="2836" w:type="pct"/>
            <w:gridSpan w:val="2"/>
            <w:tcBorders>
              <w:tl2br w:val="nil"/>
              <w:tr2bl w:val="nil"/>
            </w:tcBorders>
            <w:vAlign w:val="center"/>
          </w:tcPr>
          <w:p w14:paraId="223B52E3">
            <w:pPr>
              <w:spacing w:line="240" w:lineRule="auto"/>
              <w:ind w:firstLine="0" w:firstLineChars="0"/>
              <w:jc w:val="center"/>
              <w:rPr>
                <w:color w:val="auto"/>
                <w:sz w:val="21"/>
                <w:szCs w:val="21"/>
              </w:rPr>
            </w:pPr>
            <w:r>
              <w:rPr>
                <w:color w:val="auto"/>
                <w:sz w:val="21"/>
                <w:szCs w:val="21"/>
              </w:rPr>
              <w:t>N,N'-二甲苯基-对苯二胺</w:t>
            </w:r>
          </w:p>
        </w:tc>
        <w:tc>
          <w:tcPr>
            <w:tcW w:w="1117" w:type="pct"/>
            <w:tcBorders>
              <w:tl2br w:val="nil"/>
              <w:tr2bl w:val="nil"/>
            </w:tcBorders>
            <w:vAlign w:val="center"/>
          </w:tcPr>
          <w:p w14:paraId="58E787C9">
            <w:pPr>
              <w:spacing w:line="240" w:lineRule="auto"/>
              <w:ind w:firstLine="0" w:firstLineChars="0"/>
              <w:jc w:val="center"/>
              <w:rPr>
                <w:color w:val="auto"/>
                <w:sz w:val="21"/>
                <w:szCs w:val="21"/>
              </w:rPr>
            </w:pPr>
            <w:r>
              <w:rPr>
                <w:color w:val="auto"/>
                <w:sz w:val="21"/>
                <w:szCs w:val="21"/>
              </w:rPr>
              <w:t>27417-40-9</w:t>
            </w:r>
          </w:p>
        </w:tc>
        <w:tc>
          <w:tcPr>
            <w:tcW w:w="690" w:type="pct"/>
            <w:tcBorders>
              <w:tl2br w:val="nil"/>
              <w:tr2bl w:val="nil"/>
            </w:tcBorders>
            <w:vAlign w:val="center"/>
          </w:tcPr>
          <w:p w14:paraId="45510223">
            <w:pPr>
              <w:spacing w:line="240" w:lineRule="auto"/>
              <w:ind w:firstLine="0" w:firstLineChars="0"/>
              <w:jc w:val="center"/>
              <w:rPr>
                <w:color w:val="auto"/>
                <w:sz w:val="21"/>
                <w:szCs w:val="21"/>
              </w:rPr>
            </w:pPr>
            <w:r>
              <w:rPr>
                <w:color w:val="auto"/>
                <w:sz w:val="21"/>
                <w:szCs w:val="21"/>
              </w:rPr>
              <w:t>不涉及</w:t>
            </w:r>
          </w:p>
        </w:tc>
      </w:tr>
      <w:tr w14:paraId="064DE5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71A7D1F">
            <w:pPr>
              <w:spacing w:line="240" w:lineRule="auto"/>
              <w:ind w:firstLine="0" w:firstLineChars="0"/>
              <w:jc w:val="center"/>
              <w:rPr>
                <w:color w:val="auto"/>
                <w:sz w:val="21"/>
                <w:szCs w:val="21"/>
              </w:rPr>
            </w:pPr>
            <w:r>
              <w:rPr>
                <w:color w:val="auto"/>
                <w:sz w:val="21"/>
                <w:szCs w:val="21"/>
              </w:rPr>
              <w:t>5</w:t>
            </w:r>
          </w:p>
        </w:tc>
        <w:tc>
          <w:tcPr>
            <w:tcW w:w="2836" w:type="pct"/>
            <w:gridSpan w:val="2"/>
            <w:tcBorders>
              <w:tl2br w:val="nil"/>
              <w:tr2bl w:val="nil"/>
            </w:tcBorders>
            <w:vAlign w:val="center"/>
          </w:tcPr>
          <w:p w14:paraId="2E3EFA3C">
            <w:pPr>
              <w:spacing w:line="240" w:lineRule="auto"/>
              <w:ind w:firstLine="0" w:firstLineChars="0"/>
              <w:jc w:val="center"/>
              <w:rPr>
                <w:color w:val="auto"/>
                <w:sz w:val="21"/>
                <w:szCs w:val="21"/>
              </w:rPr>
            </w:pPr>
            <w:r>
              <w:rPr>
                <w:color w:val="auto"/>
                <w:sz w:val="21"/>
                <w:szCs w:val="21"/>
              </w:rPr>
              <w:t>短链氯化石蜡</w:t>
            </w:r>
          </w:p>
        </w:tc>
        <w:tc>
          <w:tcPr>
            <w:tcW w:w="1117" w:type="pct"/>
            <w:tcBorders>
              <w:tl2br w:val="nil"/>
              <w:tr2bl w:val="nil"/>
            </w:tcBorders>
            <w:vAlign w:val="center"/>
          </w:tcPr>
          <w:p w14:paraId="41129FD2">
            <w:pPr>
              <w:spacing w:line="240" w:lineRule="auto"/>
              <w:ind w:firstLine="0" w:firstLineChars="0"/>
              <w:jc w:val="center"/>
              <w:rPr>
                <w:color w:val="auto"/>
                <w:sz w:val="21"/>
                <w:szCs w:val="21"/>
              </w:rPr>
            </w:pPr>
            <w:r>
              <w:rPr>
                <w:color w:val="auto"/>
                <w:sz w:val="21"/>
                <w:szCs w:val="21"/>
              </w:rPr>
              <w:t>85535-84-8</w:t>
            </w:r>
            <w:r>
              <w:rPr>
                <w:color w:val="auto"/>
                <w:sz w:val="21"/>
                <w:szCs w:val="21"/>
              </w:rPr>
              <w:br w:type="textWrapping"/>
            </w:r>
            <w:r>
              <w:rPr>
                <w:color w:val="auto"/>
                <w:sz w:val="21"/>
                <w:szCs w:val="21"/>
              </w:rPr>
              <w:t>68920-70-7</w:t>
            </w:r>
            <w:r>
              <w:rPr>
                <w:color w:val="auto"/>
                <w:sz w:val="21"/>
                <w:szCs w:val="21"/>
              </w:rPr>
              <w:br w:type="textWrapping"/>
            </w:r>
            <w:r>
              <w:rPr>
                <w:color w:val="auto"/>
                <w:sz w:val="21"/>
                <w:szCs w:val="21"/>
              </w:rPr>
              <w:t>71011-12-6</w:t>
            </w:r>
            <w:r>
              <w:rPr>
                <w:color w:val="auto"/>
                <w:sz w:val="21"/>
                <w:szCs w:val="21"/>
              </w:rPr>
              <w:br w:type="textWrapping"/>
            </w:r>
            <w:r>
              <w:rPr>
                <w:color w:val="auto"/>
                <w:sz w:val="21"/>
                <w:szCs w:val="21"/>
              </w:rPr>
              <w:t>85536-22-7</w:t>
            </w:r>
            <w:r>
              <w:rPr>
                <w:color w:val="auto"/>
                <w:sz w:val="21"/>
                <w:szCs w:val="21"/>
              </w:rPr>
              <w:br w:type="textWrapping"/>
            </w:r>
            <w:r>
              <w:rPr>
                <w:color w:val="auto"/>
                <w:sz w:val="21"/>
                <w:szCs w:val="21"/>
              </w:rPr>
              <w:t>85681-73-8</w:t>
            </w:r>
            <w:r>
              <w:rPr>
                <w:color w:val="auto"/>
                <w:sz w:val="21"/>
                <w:szCs w:val="21"/>
              </w:rPr>
              <w:br w:type="textWrapping"/>
            </w:r>
            <w:r>
              <w:rPr>
                <w:color w:val="auto"/>
                <w:sz w:val="21"/>
                <w:szCs w:val="21"/>
              </w:rPr>
              <w:t>108171-26-2</w:t>
            </w:r>
          </w:p>
        </w:tc>
        <w:tc>
          <w:tcPr>
            <w:tcW w:w="690" w:type="pct"/>
            <w:tcBorders>
              <w:tl2br w:val="nil"/>
              <w:tr2bl w:val="nil"/>
            </w:tcBorders>
            <w:vAlign w:val="center"/>
          </w:tcPr>
          <w:p w14:paraId="028A14D5">
            <w:pPr>
              <w:spacing w:line="240" w:lineRule="auto"/>
              <w:ind w:firstLine="0" w:firstLineChars="0"/>
              <w:jc w:val="center"/>
              <w:rPr>
                <w:color w:val="auto"/>
                <w:sz w:val="21"/>
                <w:szCs w:val="21"/>
              </w:rPr>
            </w:pPr>
            <w:r>
              <w:rPr>
                <w:color w:val="auto"/>
                <w:sz w:val="21"/>
                <w:szCs w:val="21"/>
              </w:rPr>
              <w:t>不涉及</w:t>
            </w:r>
          </w:p>
        </w:tc>
      </w:tr>
      <w:tr w14:paraId="5F528E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55DD939">
            <w:pPr>
              <w:spacing w:line="240" w:lineRule="auto"/>
              <w:ind w:firstLine="0" w:firstLineChars="0"/>
              <w:jc w:val="center"/>
              <w:rPr>
                <w:color w:val="auto"/>
                <w:sz w:val="21"/>
                <w:szCs w:val="21"/>
              </w:rPr>
            </w:pPr>
            <w:r>
              <w:rPr>
                <w:color w:val="auto"/>
                <w:sz w:val="21"/>
                <w:szCs w:val="21"/>
              </w:rPr>
              <w:t>6</w:t>
            </w:r>
          </w:p>
        </w:tc>
        <w:tc>
          <w:tcPr>
            <w:tcW w:w="2836" w:type="pct"/>
            <w:gridSpan w:val="2"/>
            <w:tcBorders>
              <w:tl2br w:val="nil"/>
              <w:tr2bl w:val="nil"/>
            </w:tcBorders>
            <w:vAlign w:val="center"/>
          </w:tcPr>
          <w:p w14:paraId="2C63436E">
            <w:pPr>
              <w:spacing w:line="240" w:lineRule="auto"/>
              <w:ind w:firstLine="0" w:firstLineChars="0"/>
              <w:jc w:val="center"/>
              <w:rPr>
                <w:color w:val="auto"/>
                <w:sz w:val="21"/>
                <w:szCs w:val="21"/>
              </w:rPr>
            </w:pPr>
            <w:r>
              <w:rPr>
                <w:color w:val="auto"/>
                <w:sz w:val="21"/>
                <w:szCs w:val="21"/>
              </w:rPr>
              <w:t>二氯甲烷</w:t>
            </w:r>
          </w:p>
        </w:tc>
        <w:tc>
          <w:tcPr>
            <w:tcW w:w="1117" w:type="pct"/>
            <w:tcBorders>
              <w:tl2br w:val="nil"/>
              <w:tr2bl w:val="nil"/>
            </w:tcBorders>
            <w:vAlign w:val="center"/>
          </w:tcPr>
          <w:p w14:paraId="771E9485">
            <w:pPr>
              <w:spacing w:line="240" w:lineRule="auto"/>
              <w:ind w:firstLine="0" w:firstLineChars="0"/>
              <w:jc w:val="center"/>
              <w:rPr>
                <w:color w:val="auto"/>
                <w:sz w:val="21"/>
                <w:szCs w:val="21"/>
              </w:rPr>
            </w:pPr>
            <w:r>
              <w:rPr>
                <w:color w:val="auto"/>
                <w:sz w:val="21"/>
                <w:szCs w:val="21"/>
              </w:rPr>
              <w:t>75-09-2</w:t>
            </w:r>
          </w:p>
        </w:tc>
        <w:tc>
          <w:tcPr>
            <w:tcW w:w="690" w:type="pct"/>
            <w:tcBorders>
              <w:tl2br w:val="nil"/>
              <w:tr2bl w:val="nil"/>
            </w:tcBorders>
            <w:vAlign w:val="center"/>
          </w:tcPr>
          <w:p w14:paraId="6B34B00B">
            <w:pPr>
              <w:spacing w:line="240" w:lineRule="auto"/>
              <w:ind w:firstLine="0" w:firstLineChars="0"/>
              <w:jc w:val="center"/>
              <w:rPr>
                <w:color w:val="auto"/>
                <w:sz w:val="21"/>
                <w:szCs w:val="21"/>
              </w:rPr>
            </w:pPr>
            <w:r>
              <w:rPr>
                <w:color w:val="auto"/>
                <w:sz w:val="21"/>
                <w:szCs w:val="21"/>
              </w:rPr>
              <w:t>不涉及</w:t>
            </w:r>
          </w:p>
        </w:tc>
      </w:tr>
      <w:tr w14:paraId="466AF3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D2E01B8">
            <w:pPr>
              <w:spacing w:line="240" w:lineRule="auto"/>
              <w:ind w:firstLine="0" w:firstLineChars="0"/>
              <w:jc w:val="center"/>
              <w:rPr>
                <w:color w:val="auto"/>
                <w:sz w:val="21"/>
                <w:szCs w:val="21"/>
              </w:rPr>
            </w:pPr>
            <w:r>
              <w:rPr>
                <w:color w:val="auto"/>
                <w:sz w:val="21"/>
                <w:szCs w:val="21"/>
              </w:rPr>
              <w:t>7</w:t>
            </w:r>
          </w:p>
        </w:tc>
        <w:tc>
          <w:tcPr>
            <w:tcW w:w="2836" w:type="pct"/>
            <w:gridSpan w:val="2"/>
            <w:tcBorders>
              <w:tl2br w:val="nil"/>
              <w:tr2bl w:val="nil"/>
            </w:tcBorders>
            <w:vAlign w:val="center"/>
          </w:tcPr>
          <w:p w14:paraId="6904FD28">
            <w:pPr>
              <w:spacing w:line="240" w:lineRule="auto"/>
              <w:ind w:firstLine="0" w:firstLineChars="0"/>
              <w:jc w:val="center"/>
              <w:rPr>
                <w:color w:val="auto"/>
                <w:sz w:val="21"/>
                <w:szCs w:val="21"/>
              </w:rPr>
            </w:pPr>
            <w:r>
              <w:rPr>
                <w:color w:val="auto"/>
                <w:sz w:val="21"/>
                <w:szCs w:val="21"/>
              </w:rPr>
              <w:t>镉及镉化合物</w:t>
            </w:r>
          </w:p>
        </w:tc>
        <w:tc>
          <w:tcPr>
            <w:tcW w:w="1117" w:type="pct"/>
            <w:tcBorders>
              <w:tl2br w:val="nil"/>
              <w:tr2bl w:val="nil"/>
            </w:tcBorders>
            <w:vAlign w:val="center"/>
          </w:tcPr>
          <w:p w14:paraId="7F70D78C">
            <w:pPr>
              <w:spacing w:line="240" w:lineRule="auto"/>
              <w:ind w:firstLine="0" w:firstLineChars="0"/>
              <w:jc w:val="center"/>
              <w:rPr>
                <w:color w:val="auto"/>
                <w:sz w:val="21"/>
                <w:szCs w:val="21"/>
              </w:rPr>
            </w:pPr>
            <w:r>
              <w:rPr>
                <w:color w:val="auto"/>
                <w:sz w:val="21"/>
                <w:szCs w:val="21"/>
              </w:rPr>
              <w:t>7440-43-9</w:t>
            </w:r>
            <w:r>
              <w:rPr>
                <w:rFonts w:hint="eastAsia"/>
                <w:color w:val="auto"/>
                <w:sz w:val="21"/>
                <w:szCs w:val="21"/>
              </w:rPr>
              <w:t>（</w:t>
            </w:r>
            <w:r>
              <w:rPr>
                <w:color w:val="auto"/>
                <w:sz w:val="21"/>
                <w:szCs w:val="21"/>
              </w:rPr>
              <w:t>镉</w:t>
            </w:r>
            <w:r>
              <w:rPr>
                <w:rFonts w:hint="eastAsia"/>
                <w:color w:val="auto"/>
                <w:sz w:val="21"/>
                <w:szCs w:val="21"/>
              </w:rPr>
              <w:t>）</w:t>
            </w:r>
          </w:p>
        </w:tc>
        <w:tc>
          <w:tcPr>
            <w:tcW w:w="690" w:type="pct"/>
            <w:tcBorders>
              <w:tl2br w:val="nil"/>
              <w:tr2bl w:val="nil"/>
            </w:tcBorders>
            <w:vAlign w:val="center"/>
          </w:tcPr>
          <w:p w14:paraId="270A04E8">
            <w:pPr>
              <w:spacing w:line="240" w:lineRule="auto"/>
              <w:ind w:firstLine="0" w:firstLineChars="0"/>
              <w:jc w:val="center"/>
              <w:rPr>
                <w:color w:val="auto"/>
                <w:sz w:val="21"/>
                <w:szCs w:val="21"/>
              </w:rPr>
            </w:pPr>
            <w:r>
              <w:rPr>
                <w:color w:val="auto"/>
                <w:sz w:val="21"/>
                <w:szCs w:val="21"/>
              </w:rPr>
              <w:t>不涉及</w:t>
            </w:r>
          </w:p>
        </w:tc>
      </w:tr>
      <w:tr w14:paraId="5B48D2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1002B638">
            <w:pPr>
              <w:spacing w:line="240" w:lineRule="auto"/>
              <w:ind w:firstLine="0" w:firstLineChars="0"/>
              <w:jc w:val="center"/>
              <w:rPr>
                <w:color w:val="auto"/>
                <w:sz w:val="21"/>
                <w:szCs w:val="21"/>
              </w:rPr>
            </w:pPr>
            <w:r>
              <w:rPr>
                <w:color w:val="auto"/>
                <w:sz w:val="21"/>
                <w:szCs w:val="21"/>
              </w:rPr>
              <w:t>8</w:t>
            </w:r>
          </w:p>
        </w:tc>
        <w:tc>
          <w:tcPr>
            <w:tcW w:w="2836" w:type="pct"/>
            <w:gridSpan w:val="2"/>
            <w:tcBorders>
              <w:tl2br w:val="nil"/>
              <w:tr2bl w:val="nil"/>
            </w:tcBorders>
            <w:vAlign w:val="center"/>
          </w:tcPr>
          <w:p w14:paraId="53153F42">
            <w:pPr>
              <w:spacing w:line="240" w:lineRule="auto"/>
              <w:ind w:firstLine="0" w:firstLineChars="0"/>
              <w:jc w:val="center"/>
              <w:rPr>
                <w:color w:val="auto"/>
                <w:sz w:val="21"/>
                <w:szCs w:val="21"/>
              </w:rPr>
            </w:pPr>
            <w:r>
              <w:rPr>
                <w:color w:val="auto"/>
                <w:sz w:val="21"/>
                <w:szCs w:val="21"/>
              </w:rPr>
              <w:t>汞及汞化合物</w:t>
            </w:r>
          </w:p>
        </w:tc>
        <w:tc>
          <w:tcPr>
            <w:tcW w:w="1117" w:type="pct"/>
            <w:tcBorders>
              <w:tl2br w:val="nil"/>
              <w:tr2bl w:val="nil"/>
            </w:tcBorders>
            <w:vAlign w:val="center"/>
          </w:tcPr>
          <w:p w14:paraId="7128BAAA">
            <w:pPr>
              <w:spacing w:line="240" w:lineRule="auto"/>
              <w:ind w:firstLine="0" w:firstLineChars="0"/>
              <w:jc w:val="center"/>
              <w:rPr>
                <w:color w:val="auto"/>
                <w:sz w:val="21"/>
                <w:szCs w:val="21"/>
              </w:rPr>
            </w:pPr>
            <w:r>
              <w:rPr>
                <w:color w:val="auto"/>
                <w:sz w:val="21"/>
                <w:szCs w:val="21"/>
              </w:rPr>
              <w:t>7439-97-6</w:t>
            </w:r>
            <w:r>
              <w:rPr>
                <w:rFonts w:hint="eastAsia"/>
                <w:color w:val="auto"/>
                <w:sz w:val="21"/>
                <w:szCs w:val="21"/>
              </w:rPr>
              <w:t>（</w:t>
            </w:r>
            <w:r>
              <w:rPr>
                <w:color w:val="auto"/>
                <w:sz w:val="21"/>
                <w:szCs w:val="21"/>
              </w:rPr>
              <w:t>汞</w:t>
            </w:r>
            <w:r>
              <w:rPr>
                <w:rFonts w:hint="eastAsia"/>
                <w:color w:val="auto"/>
                <w:sz w:val="21"/>
                <w:szCs w:val="21"/>
              </w:rPr>
              <w:t>）</w:t>
            </w:r>
          </w:p>
        </w:tc>
        <w:tc>
          <w:tcPr>
            <w:tcW w:w="690" w:type="pct"/>
            <w:tcBorders>
              <w:tl2br w:val="nil"/>
              <w:tr2bl w:val="nil"/>
            </w:tcBorders>
            <w:vAlign w:val="center"/>
          </w:tcPr>
          <w:p w14:paraId="428DF6FB">
            <w:pPr>
              <w:spacing w:line="240" w:lineRule="auto"/>
              <w:ind w:firstLine="0" w:firstLineChars="0"/>
              <w:jc w:val="center"/>
              <w:rPr>
                <w:color w:val="auto"/>
                <w:sz w:val="21"/>
                <w:szCs w:val="21"/>
              </w:rPr>
            </w:pPr>
            <w:r>
              <w:rPr>
                <w:color w:val="auto"/>
                <w:sz w:val="21"/>
                <w:szCs w:val="21"/>
              </w:rPr>
              <w:t>不涉及</w:t>
            </w:r>
          </w:p>
        </w:tc>
      </w:tr>
      <w:tr w14:paraId="7DEC2A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13B99D83">
            <w:pPr>
              <w:spacing w:line="240" w:lineRule="auto"/>
              <w:ind w:firstLine="0" w:firstLineChars="0"/>
              <w:jc w:val="center"/>
              <w:rPr>
                <w:color w:val="auto"/>
                <w:sz w:val="21"/>
                <w:szCs w:val="21"/>
              </w:rPr>
            </w:pPr>
            <w:r>
              <w:rPr>
                <w:color w:val="auto"/>
                <w:sz w:val="21"/>
                <w:szCs w:val="21"/>
              </w:rPr>
              <w:t>9</w:t>
            </w:r>
          </w:p>
        </w:tc>
        <w:tc>
          <w:tcPr>
            <w:tcW w:w="2836" w:type="pct"/>
            <w:gridSpan w:val="2"/>
            <w:tcBorders>
              <w:tl2br w:val="nil"/>
              <w:tr2bl w:val="nil"/>
            </w:tcBorders>
            <w:vAlign w:val="center"/>
          </w:tcPr>
          <w:p w14:paraId="52DC5885">
            <w:pPr>
              <w:spacing w:line="240" w:lineRule="auto"/>
              <w:ind w:firstLine="0" w:firstLineChars="0"/>
              <w:jc w:val="center"/>
              <w:rPr>
                <w:color w:val="auto"/>
                <w:sz w:val="21"/>
                <w:szCs w:val="21"/>
              </w:rPr>
            </w:pPr>
            <w:r>
              <w:rPr>
                <w:color w:val="auto"/>
                <w:sz w:val="21"/>
                <w:szCs w:val="21"/>
              </w:rPr>
              <w:t>甲醛</w:t>
            </w:r>
          </w:p>
        </w:tc>
        <w:tc>
          <w:tcPr>
            <w:tcW w:w="1117" w:type="pct"/>
            <w:tcBorders>
              <w:tl2br w:val="nil"/>
              <w:tr2bl w:val="nil"/>
            </w:tcBorders>
            <w:vAlign w:val="center"/>
          </w:tcPr>
          <w:p w14:paraId="6A3CCD6A">
            <w:pPr>
              <w:spacing w:line="240" w:lineRule="auto"/>
              <w:ind w:firstLine="0" w:firstLineChars="0"/>
              <w:jc w:val="center"/>
              <w:rPr>
                <w:color w:val="auto"/>
                <w:sz w:val="21"/>
                <w:szCs w:val="21"/>
              </w:rPr>
            </w:pPr>
            <w:r>
              <w:rPr>
                <w:color w:val="auto"/>
                <w:sz w:val="21"/>
                <w:szCs w:val="21"/>
              </w:rPr>
              <w:t>50-00-0</w:t>
            </w:r>
          </w:p>
        </w:tc>
        <w:tc>
          <w:tcPr>
            <w:tcW w:w="690" w:type="pct"/>
            <w:tcBorders>
              <w:tl2br w:val="nil"/>
              <w:tr2bl w:val="nil"/>
            </w:tcBorders>
            <w:vAlign w:val="center"/>
          </w:tcPr>
          <w:p w14:paraId="39A15950">
            <w:pPr>
              <w:spacing w:line="240" w:lineRule="auto"/>
              <w:ind w:firstLine="0" w:firstLineChars="0"/>
              <w:jc w:val="center"/>
              <w:rPr>
                <w:color w:val="auto"/>
                <w:sz w:val="21"/>
                <w:szCs w:val="21"/>
              </w:rPr>
            </w:pPr>
            <w:r>
              <w:rPr>
                <w:color w:val="auto"/>
                <w:sz w:val="21"/>
                <w:szCs w:val="21"/>
              </w:rPr>
              <w:t>不涉及</w:t>
            </w:r>
          </w:p>
        </w:tc>
      </w:tr>
      <w:tr w14:paraId="355B28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837B045">
            <w:pPr>
              <w:spacing w:line="240" w:lineRule="auto"/>
              <w:ind w:firstLine="0" w:firstLineChars="0"/>
              <w:jc w:val="center"/>
              <w:rPr>
                <w:color w:val="auto"/>
                <w:sz w:val="21"/>
                <w:szCs w:val="21"/>
              </w:rPr>
            </w:pPr>
            <w:r>
              <w:rPr>
                <w:color w:val="auto"/>
                <w:sz w:val="21"/>
                <w:szCs w:val="21"/>
              </w:rPr>
              <w:t>10</w:t>
            </w:r>
          </w:p>
        </w:tc>
        <w:tc>
          <w:tcPr>
            <w:tcW w:w="2836" w:type="pct"/>
            <w:gridSpan w:val="2"/>
            <w:tcBorders>
              <w:tl2br w:val="nil"/>
              <w:tr2bl w:val="nil"/>
            </w:tcBorders>
            <w:vAlign w:val="center"/>
          </w:tcPr>
          <w:p w14:paraId="3B722FBE">
            <w:pPr>
              <w:spacing w:line="240" w:lineRule="auto"/>
              <w:ind w:firstLine="0" w:firstLineChars="0"/>
              <w:jc w:val="center"/>
              <w:rPr>
                <w:color w:val="auto"/>
                <w:sz w:val="21"/>
                <w:szCs w:val="21"/>
              </w:rPr>
            </w:pPr>
            <w:r>
              <w:rPr>
                <w:color w:val="auto"/>
                <w:sz w:val="21"/>
                <w:szCs w:val="21"/>
              </w:rPr>
              <w:t>六价铬化合物</w:t>
            </w:r>
          </w:p>
        </w:tc>
        <w:tc>
          <w:tcPr>
            <w:tcW w:w="1117" w:type="pct"/>
            <w:tcBorders>
              <w:tl2br w:val="nil"/>
              <w:tr2bl w:val="nil"/>
            </w:tcBorders>
            <w:vAlign w:val="center"/>
          </w:tcPr>
          <w:p w14:paraId="269E5C59">
            <w:pPr>
              <w:spacing w:line="240" w:lineRule="auto"/>
              <w:ind w:firstLine="0" w:firstLineChars="0"/>
              <w:jc w:val="center"/>
              <w:rPr>
                <w:color w:val="auto"/>
                <w:sz w:val="21"/>
                <w:szCs w:val="21"/>
              </w:rPr>
            </w:pPr>
            <w:r>
              <w:rPr>
                <w:color w:val="auto"/>
                <w:sz w:val="21"/>
                <w:szCs w:val="21"/>
              </w:rPr>
              <w:t>/</w:t>
            </w:r>
          </w:p>
        </w:tc>
        <w:tc>
          <w:tcPr>
            <w:tcW w:w="690" w:type="pct"/>
            <w:tcBorders>
              <w:tl2br w:val="nil"/>
              <w:tr2bl w:val="nil"/>
            </w:tcBorders>
            <w:vAlign w:val="center"/>
          </w:tcPr>
          <w:p w14:paraId="24499162">
            <w:pPr>
              <w:spacing w:line="240" w:lineRule="auto"/>
              <w:ind w:firstLine="0" w:firstLineChars="0"/>
              <w:jc w:val="center"/>
              <w:rPr>
                <w:color w:val="auto"/>
                <w:sz w:val="21"/>
                <w:szCs w:val="21"/>
              </w:rPr>
            </w:pPr>
            <w:r>
              <w:rPr>
                <w:color w:val="auto"/>
                <w:sz w:val="21"/>
                <w:szCs w:val="21"/>
              </w:rPr>
              <w:t>不涉及</w:t>
            </w:r>
          </w:p>
        </w:tc>
      </w:tr>
      <w:tr w14:paraId="7D19D2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525172B">
            <w:pPr>
              <w:spacing w:line="240" w:lineRule="auto"/>
              <w:ind w:firstLine="0" w:firstLineChars="0"/>
              <w:jc w:val="center"/>
              <w:rPr>
                <w:color w:val="auto"/>
                <w:sz w:val="21"/>
                <w:szCs w:val="21"/>
              </w:rPr>
            </w:pPr>
            <w:r>
              <w:rPr>
                <w:color w:val="auto"/>
                <w:sz w:val="21"/>
                <w:szCs w:val="21"/>
              </w:rPr>
              <w:t>11</w:t>
            </w:r>
          </w:p>
        </w:tc>
        <w:tc>
          <w:tcPr>
            <w:tcW w:w="2836" w:type="pct"/>
            <w:gridSpan w:val="2"/>
            <w:tcBorders>
              <w:tl2br w:val="nil"/>
              <w:tr2bl w:val="nil"/>
            </w:tcBorders>
            <w:vAlign w:val="center"/>
          </w:tcPr>
          <w:p w14:paraId="7AF68B42">
            <w:pPr>
              <w:spacing w:line="240" w:lineRule="auto"/>
              <w:ind w:firstLine="0" w:firstLineChars="0"/>
              <w:jc w:val="center"/>
              <w:rPr>
                <w:color w:val="auto"/>
                <w:sz w:val="21"/>
                <w:szCs w:val="21"/>
              </w:rPr>
            </w:pPr>
            <w:r>
              <w:rPr>
                <w:color w:val="auto"/>
                <w:sz w:val="21"/>
                <w:szCs w:val="21"/>
              </w:rPr>
              <w:t>六氯代-1,3-环戊二烯</w:t>
            </w:r>
          </w:p>
        </w:tc>
        <w:tc>
          <w:tcPr>
            <w:tcW w:w="1117" w:type="pct"/>
            <w:tcBorders>
              <w:tl2br w:val="nil"/>
              <w:tr2bl w:val="nil"/>
            </w:tcBorders>
            <w:vAlign w:val="center"/>
          </w:tcPr>
          <w:p w14:paraId="5F495D7C">
            <w:pPr>
              <w:spacing w:line="240" w:lineRule="auto"/>
              <w:ind w:firstLine="0" w:firstLineChars="0"/>
              <w:jc w:val="center"/>
              <w:rPr>
                <w:color w:val="auto"/>
                <w:sz w:val="21"/>
                <w:szCs w:val="21"/>
              </w:rPr>
            </w:pPr>
            <w:r>
              <w:rPr>
                <w:color w:val="auto"/>
                <w:sz w:val="21"/>
                <w:szCs w:val="21"/>
              </w:rPr>
              <w:t>77-47-4</w:t>
            </w:r>
          </w:p>
        </w:tc>
        <w:tc>
          <w:tcPr>
            <w:tcW w:w="690" w:type="pct"/>
            <w:tcBorders>
              <w:tl2br w:val="nil"/>
              <w:tr2bl w:val="nil"/>
            </w:tcBorders>
            <w:vAlign w:val="center"/>
          </w:tcPr>
          <w:p w14:paraId="1C94374A">
            <w:pPr>
              <w:spacing w:line="240" w:lineRule="auto"/>
              <w:ind w:firstLine="0" w:firstLineChars="0"/>
              <w:jc w:val="center"/>
              <w:rPr>
                <w:color w:val="auto"/>
                <w:sz w:val="21"/>
                <w:szCs w:val="21"/>
              </w:rPr>
            </w:pPr>
            <w:r>
              <w:rPr>
                <w:color w:val="auto"/>
                <w:sz w:val="21"/>
                <w:szCs w:val="21"/>
              </w:rPr>
              <w:t>不涉及</w:t>
            </w:r>
          </w:p>
        </w:tc>
      </w:tr>
      <w:tr w14:paraId="7B4A3C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2A0B5FA">
            <w:pPr>
              <w:spacing w:line="240" w:lineRule="auto"/>
              <w:ind w:firstLine="0" w:firstLineChars="0"/>
              <w:jc w:val="center"/>
              <w:rPr>
                <w:color w:val="auto"/>
                <w:sz w:val="21"/>
                <w:szCs w:val="21"/>
              </w:rPr>
            </w:pPr>
            <w:r>
              <w:rPr>
                <w:color w:val="auto"/>
                <w:sz w:val="21"/>
                <w:szCs w:val="21"/>
              </w:rPr>
              <w:t>12</w:t>
            </w:r>
          </w:p>
        </w:tc>
        <w:tc>
          <w:tcPr>
            <w:tcW w:w="2836" w:type="pct"/>
            <w:gridSpan w:val="2"/>
            <w:tcBorders>
              <w:tl2br w:val="nil"/>
              <w:tr2bl w:val="nil"/>
            </w:tcBorders>
            <w:vAlign w:val="center"/>
          </w:tcPr>
          <w:p w14:paraId="4A72297C">
            <w:pPr>
              <w:spacing w:line="240" w:lineRule="auto"/>
              <w:ind w:firstLine="0" w:firstLineChars="0"/>
              <w:jc w:val="center"/>
              <w:rPr>
                <w:color w:val="auto"/>
                <w:sz w:val="21"/>
                <w:szCs w:val="21"/>
              </w:rPr>
            </w:pPr>
            <w:r>
              <w:rPr>
                <w:color w:val="auto"/>
                <w:sz w:val="21"/>
                <w:szCs w:val="21"/>
              </w:rPr>
              <w:t>六溴环十二烷</w:t>
            </w:r>
          </w:p>
        </w:tc>
        <w:tc>
          <w:tcPr>
            <w:tcW w:w="1117" w:type="pct"/>
            <w:tcBorders>
              <w:tl2br w:val="nil"/>
              <w:tr2bl w:val="nil"/>
            </w:tcBorders>
            <w:vAlign w:val="center"/>
          </w:tcPr>
          <w:p w14:paraId="18AE68F2">
            <w:pPr>
              <w:spacing w:line="240" w:lineRule="auto"/>
              <w:ind w:firstLine="0" w:firstLineChars="0"/>
              <w:jc w:val="center"/>
              <w:rPr>
                <w:color w:val="auto"/>
                <w:sz w:val="21"/>
                <w:szCs w:val="21"/>
              </w:rPr>
            </w:pPr>
            <w:r>
              <w:rPr>
                <w:color w:val="auto"/>
                <w:sz w:val="21"/>
                <w:szCs w:val="21"/>
              </w:rPr>
              <w:t>25637-99-4</w:t>
            </w:r>
            <w:r>
              <w:rPr>
                <w:color w:val="auto"/>
                <w:sz w:val="21"/>
                <w:szCs w:val="21"/>
              </w:rPr>
              <w:br w:type="textWrapping"/>
            </w:r>
            <w:r>
              <w:rPr>
                <w:color w:val="auto"/>
                <w:sz w:val="21"/>
                <w:szCs w:val="21"/>
              </w:rPr>
              <w:t>3194-55-6</w:t>
            </w:r>
            <w:r>
              <w:rPr>
                <w:color w:val="auto"/>
                <w:sz w:val="21"/>
                <w:szCs w:val="21"/>
              </w:rPr>
              <w:br w:type="textWrapping"/>
            </w:r>
            <w:r>
              <w:rPr>
                <w:color w:val="auto"/>
                <w:sz w:val="21"/>
                <w:szCs w:val="21"/>
              </w:rPr>
              <w:t>134237-50-6</w:t>
            </w:r>
            <w:r>
              <w:rPr>
                <w:color w:val="auto"/>
                <w:sz w:val="21"/>
                <w:szCs w:val="21"/>
              </w:rPr>
              <w:br w:type="textWrapping"/>
            </w:r>
            <w:r>
              <w:rPr>
                <w:color w:val="auto"/>
                <w:sz w:val="21"/>
                <w:szCs w:val="21"/>
              </w:rPr>
              <w:t>134237-51-7</w:t>
            </w:r>
            <w:r>
              <w:rPr>
                <w:color w:val="auto"/>
                <w:sz w:val="21"/>
                <w:szCs w:val="21"/>
              </w:rPr>
              <w:br w:type="textWrapping"/>
            </w:r>
            <w:r>
              <w:rPr>
                <w:color w:val="auto"/>
                <w:sz w:val="21"/>
                <w:szCs w:val="21"/>
              </w:rPr>
              <w:t>134237-52-8</w:t>
            </w:r>
          </w:p>
        </w:tc>
        <w:tc>
          <w:tcPr>
            <w:tcW w:w="690" w:type="pct"/>
            <w:tcBorders>
              <w:tl2br w:val="nil"/>
              <w:tr2bl w:val="nil"/>
            </w:tcBorders>
            <w:vAlign w:val="center"/>
          </w:tcPr>
          <w:p w14:paraId="75FCB8CB">
            <w:pPr>
              <w:spacing w:line="240" w:lineRule="auto"/>
              <w:ind w:firstLine="0" w:firstLineChars="0"/>
              <w:jc w:val="center"/>
              <w:rPr>
                <w:color w:val="auto"/>
                <w:sz w:val="21"/>
                <w:szCs w:val="21"/>
              </w:rPr>
            </w:pPr>
            <w:r>
              <w:rPr>
                <w:color w:val="auto"/>
                <w:sz w:val="21"/>
                <w:szCs w:val="21"/>
              </w:rPr>
              <w:t>不涉及</w:t>
            </w:r>
          </w:p>
        </w:tc>
      </w:tr>
      <w:tr w14:paraId="6D62EA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9FB4029">
            <w:pPr>
              <w:spacing w:line="240" w:lineRule="auto"/>
              <w:ind w:firstLine="0" w:firstLineChars="0"/>
              <w:jc w:val="center"/>
              <w:rPr>
                <w:color w:val="auto"/>
                <w:sz w:val="21"/>
                <w:szCs w:val="21"/>
              </w:rPr>
            </w:pPr>
            <w:r>
              <w:rPr>
                <w:color w:val="auto"/>
                <w:sz w:val="21"/>
                <w:szCs w:val="21"/>
              </w:rPr>
              <w:t>13</w:t>
            </w:r>
          </w:p>
        </w:tc>
        <w:tc>
          <w:tcPr>
            <w:tcW w:w="2836" w:type="pct"/>
            <w:gridSpan w:val="2"/>
            <w:tcBorders>
              <w:tl2br w:val="nil"/>
              <w:tr2bl w:val="nil"/>
            </w:tcBorders>
            <w:vAlign w:val="center"/>
          </w:tcPr>
          <w:p w14:paraId="66D94686">
            <w:pPr>
              <w:spacing w:line="240" w:lineRule="auto"/>
              <w:ind w:firstLine="0" w:firstLineChars="0"/>
              <w:jc w:val="center"/>
              <w:rPr>
                <w:color w:val="auto"/>
                <w:sz w:val="21"/>
                <w:szCs w:val="21"/>
              </w:rPr>
            </w:pPr>
            <w:r>
              <w:rPr>
                <w:color w:val="auto"/>
                <w:sz w:val="21"/>
                <w:szCs w:val="21"/>
              </w:rPr>
              <w:t>萘</w:t>
            </w:r>
          </w:p>
        </w:tc>
        <w:tc>
          <w:tcPr>
            <w:tcW w:w="1117" w:type="pct"/>
            <w:tcBorders>
              <w:tl2br w:val="nil"/>
              <w:tr2bl w:val="nil"/>
            </w:tcBorders>
            <w:vAlign w:val="center"/>
          </w:tcPr>
          <w:p w14:paraId="38737685">
            <w:pPr>
              <w:spacing w:line="240" w:lineRule="auto"/>
              <w:ind w:firstLine="0" w:firstLineChars="0"/>
              <w:jc w:val="center"/>
              <w:rPr>
                <w:color w:val="auto"/>
                <w:sz w:val="21"/>
                <w:szCs w:val="21"/>
              </w:rPr>
            </w:pPr>
            <w:r>
              <w:rPr>
                <w:color w:val="auto"/>
                <w:sz w:val="21"/>
                <w:szCs w:val="21"/>
              </w:rPr>
              <w:t>91-20-3</w:t>
            </w:r>
          </w:p>
        </w:tc>
        <w:tc>
          <w:tcPr>
            <w:tcW w:w="690" w:type="pct"/>
            <w:tcBorders>
              <w:tl2br w:val="nil"/>
              <w:tr2bl w:val="nil"/>
            </w:tcBorders>
            <w:vAlign w:val="center"/>
          </w:tcPr>
          <w:p w14:paraId="40969F1D">
            <w:pPr>
              <w:spacing w:line="240" w:lineRule="auto"/>
              <w:ind w:firstLine="0" w:firstLineChars="0"/>
              <w:jc w:val="center"/>
              <w:rPr>
                <w:color w:val="auto"/>
                <w:sz w:val="21"/>
                <w:szCs w:val="21"/>
              </w:rPr>
            </w:pPr>
            <w:r>
              <w:rPr>
                <w:color w:val="auto"/>
                <w:sz w:val="21"/>
                <w:szCs w:val="21"/>
              </w:rPr>
              <w:t>不涉及</w:t>
            </w:r>
          </w:p>
        </w:tc>
      </w:tr>
      <w:tr w14:paraId="65FF83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6C5A890">
            <w:pPr>
              <w:spacing w:line="240" w:lineRule="auto"/>
              <w:ind w:firstLine="0" w:firstLineChars="0"/>
              <w:jc w:val="center"/>
              <w:rPr>
                <w:color w:val="auto"/>
                <w:sz w:val="21"/>
                <w:szCs w:val="21"/>
              </w:rPr>
            </w:pPr>
            <w:r>
              <w:rPr>
                <w:color w:val="auto"/>
                <w:sz w:val="21"/>
                <w:szCs w:val="21"/>
              </w:rPr>
              <w:t>14</w:t>
            </w:r>
          </w:p>
        </w:tc>
        <w:tc>
          <w:tcPr>
            <w:tcW w:w="2836" w:type="pct"/>
            <w:gridSpan w:val="2"/>
            <w:tcBorders>
              <w:tl2br w:val="nil"/>
              <w:tr2bl w:val="nil"/>
            </w:tcBorders>
            <w:vAlign w:val="center"/>
          </w:tcPr>
          <w:p w14:paraId="67E04765">
            <w:pPr>
              <w:spacing w:line="240" w:lineRule="auto"/>
              <w:ind w:firstLine="0" w:firstLineChars="0"/>
              <w:jc w:val="center"/>
              <w:rPr>
                <w:color w:val="auto"/>
                <w:sz w:val="21"/>
                <w:szCs w:val="21"/>
              </w:rPr>
            </w:pPr>
            <w:r>
              <w:rPr>
                <w:color w:val="auto"/>
                <w:sz w:val="21"/>
                <w:szCs w:val="21"/>
              </w:rPr>
              <w:t>铅化合物</w:t>
            </w:r>
          </w:p>
        </w:tc>
        <w:tc>
          <w:tcPr>
            <w:tcW w:w="1117" w:type="pct"/>
            <w:tcBorders>
              <w:tl2br w:val="nil"/>
              <w:tr2bl w:val="nil"/>
            </w:tcBorders>
            <w:vAlign w:val="center"/>
          </w:tcPr>
          <w:p w14:paraId="221FD88B">
            <w:pPr>
              <w:spacing w:line="240" w:lineRule="auto"/>
              <w:ind w:firstLine="0" w:firstLineChars="0"/>
              <w:jc w:val="center"/>
              <w:rPr>
                <w:color w:val="auto"/>
                <w:sz w:val="21"/>
                <w:szCs w:val="21"/>
              </w:rPr>
            </w:pPr>
            <w:r>
              <w:rPr>
                <w:color w:val="auto"/>
                <w:sz w:val="21"/>
                <w:szCs w:val="21"/>
              </w:rPr>
              <w:t>/</w:t>
            </w:r>
          </w:p>
        </w:tc>
        <w:tc>
          <w:tcPr>
            <w:tcW w:w="690" w:type="pct"/>
            <w:tcBorders>
              <w:tl2br w:val="nil"/>
              <w:tr2bl w:val="nil"/>
            </w:tcBorders>
            <w:vAlign w:val="center"/>
          </w:tcPr>
          <w:p w14:paraId="3AC300B9">
            <w:pPr>
              <w:spacing w:line="240" w:lineRule="auto"/>
              <w:ind w:firstLine="0" w:firstLineChars="0"/>
              <w:jc w:val="center"/>
              <w:rPr>
                <w:color w:val="auto"/>
                <w:sz w:val="21"/>
                <w:szCs w:val="21"/>
              </w:rPr>
            </w:pPr>
            <w:r>
              <w:rPr>
                <w:color w:val="auto"/>
                <w:sz w:val="21"/>
                <w:szCs w:val="21"/>
              </w:rPr>
              <w:t>不涉及</w:t>
            </w:r>
          </w:p>
        </w:tc>
      </w:tr>
      <w:tr w14:paraId="1004D9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16717F4A">
            <w:pPr>
              <w:spacing w:line="240" w:lineRule="auto"/>
              <w:ind w:firstLine="0" w:firstLineChars="0"/>
              <w:jc w:val="center"/>
              <w:rPr>
                <w:color w:val="auto"/>
                <w:sz w:val="21"/>
                <w:szCs w:val="21"/>
              </w:rPr>
            </w:pPr>
            <w:r>
              <w:rPr>
                <w:color w:val="auto"/>
                <w:sz w:val="21"/>
                <w:szCs w:val="21"/>
              </w:rPr>
              <w:t>15</w:t>
            </w:r>
          </w:p>
        </w:tc>
        <w:tc>
          <w:tcPr>
            <w:tcW w:w="2836" w:type="pct"/>
            <w:gridSpan w:val="2"/>
            <w:tcBorders>
              <w:tl2br w:val="nil"/>
              <w:tr2bl w:val="nil"/>
            </w:tcBorders>
            <w:vAlign w:val="center"/>
          </w:tcPr>
          <w:p w14:paraId="1B2CE57E">
            <w:pPr>
              <w:spacing w:line="240" w:lineRule="auto"/>
              <w:ind w:firstLine="0" w:firstLineChars="0"/>
              <w:jc w:val="center"/>
              <w:rPr>
                <w:color w:val="auto"/>
                <w:sz w:val="21"/>
                <w:szCs w:val="21"/>
              </w:rPr>
            </w:pPr>
            <w:r>
              <w:rPr>
                <w:color w:val="auto"/>
                <w:sz w:val="21"/>
                <w:szCs w:val="21"/>
              </w:rPr>
              <w:t>全氟辛基磺酸及其盐类和全氟辛基磺酰氟</w:t>
            </w:r>
          </w:p>
        </w:tc>
        <w:tc>
          <w:tcPr>
            <w:tcW w:w="1117" w:type="pct"/>
            <w:tcBorders>
              <w:tl2br w:val="nil"/>
              <w:tr2bl w:val="nil"/>
            </w:tcBorders>
            <w:vAlign w:val="center"/>
          </w:tcPr>
          <w:p w14:paraId="246CE1AD">
            <w:pPr>
              <w:spacing w:line="240" w:lineRule="auto"/>
              <w:ind w:firstLine="0" w:firstLineChars="0"/>
              <w:jc w:val="center"/>
              <w:rPr>
                <w:color w:val="auto"/>
                <w:sz w:val="21"/>
                <w:szCs w:val="21"/>
              </w:rPr>
            </w:pPr>
            <w:r>
              <w:rPr>
                <w:color w:val="auto"/>
                <w:sz w:val="21"/>
                <w:szCs w:val="21"/>
              </w:rPr>
              <w:t>1763-23-1</w:t>
            </w:r>
            <w:r>
              <w:rPr>
                <w:color w:val="auto"/>
                <w:sz w:val="21"/>
                <w:szCs w:val="21"/>
              </w:rPr>
              <w:br w:type="textWrapping"/>
            </w:r>
            <w:r>
              <w:rPr>
                <w:color w:val="auto"/>
                <w:sz w:val="21"/>
                <w:szCs w:val="21"/>
              </w:rPr>
              <w:t>307-35-7</w:t>
            </w:r>
            <w:r>
              <w:rPr>
                <w:color w:val="auto"/>
                <w:sz w:val="21"/>
                <w:szCs w:val="21"/>
              </w:rPr>
              <w:br w:type="textWrapping"/>
            </w:r>
            <w:r>
              <w:rPr>
                <w:color w:val="auto"/>
                <w:sz w:val="21"/>
                <w:szCs w:val="21"/>
              </w:rPr>
              <w:t>2795-39-3</w:t>
            </w:r>
            <w:r>
              <w:rPr>
                <w:color w:val="auto"/>
                <w:sz w:val="21"/>
                <w:szCs w:val="21"/>
              </w:rPr>
              <w:br w:type="textWrapping"/>
            </w:r>
            <w:r>
              <w:rPr>
                <w:color w:val="auto"/>
                <w:sz w:val="21"/>
                <w:szCs w:val="21"/>
              </w:rPr>
              <w:t>29457-72-5</w:t>
            </w:r>
            <w:r>
              <w:rPr>
                <w:color w:val="auto"/>
                <w:sz w:val="21"/>
                <w:szCs w:val="21"/>
              </w:rPr>
              <w:br w:type="textWrapping"/>
            </w:r>
            <w:r>
              <w:rPr>
                <w:color w:val="auto"/>
                <w:sz w:val="21"/>
                <w:szCs w:val="21"/>
              </w:rPr>
              <w:t>29081-56-9</w:t>
            </w:r>
            <w:r>
              <w:rPr>
                <w:color w:val="auto"/>
                <w:sz w:val="21"/>
                <w:szCs w:val="21"/>
              </w:rPr>
              <w:br w:type="textWrapping"/>
            </w:r>
            <w:r>
              <w:rPr>
                <w:color w:val="auto"/>
                <w:sz w:val="21"/>
                <w:szCs w:val="21"/>
              </w:rPr>
              <w:t>70225-14-8</w:t>
            </w:r>
            <w:r>
              <w:rPr>
                <w:color w:val="auto"/>
                <w:sz w:val="21"/>
                <w:szCs w:val="21"/>
              </w:rPr>
              <w:br w:type="textWrapping"/>
            </w:r>
            <w:r>
              <w:rPr>
                <w:color w:val="auto"/>
                <w:sz w:val="21"/>
                <w:szCs w:val="21"/>
              </w:rPr>
              <w:t>56773-42-3</w:t>
            </w:r>
            <w:r>
              <w:rPr>
                <w:color w:val="auto"/>
                <w:sz w:val="21"/>
                <w:szCs w:val="21"/>
              </w:rPr>
              <w:br w:type="textWrapping"/>
            </w:r>
            <w:r>
              <w:rPr>
                <w:color w:val="auto"/>
                <w:sz w:val="21"/>
                <w:szCs w:val="21"/>
              </w:rPr>
              <w:t>251099-16-8</w:t>
            </w:r>
          </w:p>
        </w:tc>
        <w:tc>
          <w:tcPr>
            <w:tcW w:w="690" w:type="pct"/>
            <w:tcBorders>
              <w:tl2br w:val="nil"/>
              <w:tr2bl w:val="nil"/>
            </w:tcBorders>
            <w:vAlign w:val="center"/>
          </w:tcPr>
          <w:p w14:paraId="001A6798">
            <w:pPr>
              <w:spacing w:line="240" w:lineRule="auto"/>
              <w:ind w:firstLine="0" w:firstLineChars="0"/>
              <w:jc w:val="center"/>
              <w:rPr>
                <w:color w:val="auto"/>
                <w:sz w:val="21"/>
                <w:szCs w:val="21"/>
              </w:rPr>
            </w:pPr>
            <w:r>
              <w:rPr>
                <w:color w:val="auto"/>
                <w:sz w:val="21"/>
                <w:szCs w:val="21"/>
              </w:rPr>
              <w:t>不涉及</w:t>
            </w:r>
          </w:p>
        </w:tc>
      </w:tr>
      <w:tr w14:paraId="0C6E2E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509C511">
            <w:pPr>
              <w:spacing w:line="240" w:lineRule="auto"/>
              <w:ind w:firstLine="0" w:firstLineChars="0"/>
              <w:jc w:val="center"/>
              <w:rPr>
                <w:color w:val="auto"/>
                <w:sz w:val="21"/>
                <w:szCs w:val="21"/>
              </w:rPr>
            </w:pPr>
            <w:r>
              <w:rPr>
                <w:color w:val="auto"/>
                <w:sz w:val="21"/>
                <w:szCs w:val="21"/>
              </w:rPr>
              <w:t>16</w:t>
            </w:r>
          </w:p>
        </w:tc>
        <w:tc>
          <w:tcPr>
            <w:tcW w:w="2836" w:type="pct"/>
            <w:gridSpan w:val="2"/>
            <w:tcBorders>
              <w:tl2br w:val="nil"/>
              <w:tr2bl w:val="nil"/>
            </w:tcBorders>
            <w:vAlign w:val="center"/>
          </w:tcPr>
          <w:p w14:paraId="02D9E05F">
            <w:pPr>
              <w:spacing w:line="240" w:lineRule="auto"/>
              <w:ind w:firstLine="0" w:firstLineChars="0"/>
              <w:jc w:val="center"/>
              <w:rPr>
                <w:color w:val="auto"/>
                <w:sz w:val="21"/>
                <w:szCs w:val="21"/>
              </w:rPr>
            </w:pPr>
            <w:r>
              <w:rPr>
                <w:color w:val="auto"/>
                <w:sz w:val="21"/>
                <w:szCs w:val="21"/>
              </w:rPr>
              <w:t>壬基酚及壬基酚聚氧乙烯醚</w:t>
            </w:r>
          </w:p>
        </w:tc>
        <w:tc>
          <w:tcPr>
            <w:tcW w:w="1117" w:type="pct"/>
            <w:tcBorders>
              <w:tl2br w:val="nil"/>
              <w:tr2bl w:val="nil"/>
            </w:tcBorders>
            <w:vAlign w:val="center"/>
          </w:tcPr>
          <w:p w14:paraId="7B81553B">
            <w:pPr>
              <w:spacing w:line="240" w:lineRule="auto"/>
              <w:ind w:firstLine="0" w:firstLineChars="0"/>
              <w:jc w:val="center"/>
              <w:rPr>
                <w:color w:val="auto"/>
                <w:sz w:val="21"/>
                <w:szCs w:val="21"/>
              </w:rPr>
            </w:pPr>
            <w:r>
              <w:rPr>
                <w:color w:val="auto"/>
                <w:sz w:val="21"/>
                <w:szCs w:val="21"/>
              </w:rPr>
              <w:t>25154-52-3</w:t>
            </w:r>
            <w:r>
              <w:rPr>
                <w:color w:val="auto"/>
                <w:sz w:val="21"/>
                <w:szCs w:val="21"/>
              </w:rPr>
              <w:br w:type="textWrapping"/>
            </w:r>
            <w:r>
              <w:rPr>
                <w:color w:val="auto"/>
                <w:sz w:val="21"/>
                <w:szCs w:val="21"/>
              </w:rPr>
              <w:t>84852-15-3</w:t>
            </w:r>
            <w:r>
              <w:rPr>
                <w:color w:val="auto"/>
                <w:sz w:val="21"/>
                <w:szCs w:val="21"/>
              </w:rPr>
              <w:br w:type="textWrapping"/>
            </w:r>
            <w:r>
              <w:rPr>
                <w:color w:val="auto"/>
                <w:sz w:val="21"/>
                <w:szCs w:val="21"/>
              </w:rPr>
              <w:t>9016-45-9</w:t>
            </w:r>
          </w:p>
        </w:tc>
        <w:tc>
          <w:tcPr>
            <w:tcW w:w="690" w:type="pct"/>
            <w:tcBorders>
              <w:tl2br w:val="nil"/>
              <w:tr2bl w:val="nil"/>
            </w:tcBorders>
            <w:vAlign w:val="center"/>
          </w:tcPr>
          <w:p w14:paraId="2BAFA588">
            <w:pPr>
              <w:spacing w:line="240" w:lineRule="auto"/>
              <w:ind w:firstLine="0" w:firstLineChars="0"/>
              <w:jc w:val="center"/>
              <w:rPr>
                <w:color w:val="auto"/>
                <w:sz w:val="21"/>
                <w:szCs w:val="21"/>
              </w:rPr>
            </w:pPr>
            <w:r>
              <w:rPr>
                <w:color w:val="auto"/>
                <w:sz w:val="21"/>
                <w:szCs w:val="21"/>
              </w:rPr>
              <w:t>不涉及</w:t>
            </w:r>
          </w:p>
        </w:tc>
      </w:tr>
      <w:tr w14:paraId="765301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A0BB9E6">
            <w:pPr>
              <w:spacing w:line="240" w:lineRule="auto"/>
              <w:ind w:firstLine="0" w:firstLineChars="0"/>
              <w:jc w:val="center"/>
              <w:rPr>
                <w:color w:val="auto"/>
                <w:sz w:val="21"/>
                <w:szCs w:val="21"/>
              </w:rPr>
            </w:pPr>
            <w:r>
              <w:rPr>
                <w:color w:val="auto"/>
                <w:sz w:val="21"/>
                <w:szCs w:val="21"/>
              </w:rPr>
              <w:t>17</w:t>
            </w:r>
          </w:p>
        </w:tc>
        <w:tc>
          <w:tcPr>
            <w:tcW w:w="2836" w:type="pct"/>
            <w:gridSpan w:val="2"/>
            <w:tcBorders>
              <w:tl2br w:val="nil"/>
              <w:tr2bl w:val="nil"/>
            </w:tcBorders>
            <w:vAlign w:val="center"/>
          </w:tcPr>
          <w:p w14:paraId="2EE7B167">
            <w:pPr>
              <w:spacing w:line="240" w:lineRule="auto"/>
              <w:ind w:firstLine="0" w:firstLineChars="0"/>
              <w:jc w:val="center"/>
              <w:rPr>
                <w:color w:val="auto"/>
                <w:sz w:val="21"/>
                <w:szCs w:val="21"/>
              </w:rPr>
            </w:pPr>
            <w:r>
              <w:rPr>
                <w:color w:val="auto"/>
                <w:sz w:val="21"/>
                <w:szCs w:val="21"/>
              </w:rPr>
              <w:t>三氯甲烷</w:t>
            </w:r>
          </w:p>
        </w:tc>
        <w:tc>
          <w:tcPr>
            <w:tcW w:w="1117" w:type="pct"/>
            <w:tcBorders>
              <w:tl2br w:val="nil"/>
              <w:tr2bl w:val="nil"/>
            </w:tcBorders>
            <w:vAlign w:val="center"/>
          </w:tcPr>
          <w:p w14:paraId="098D9835">
            <w:pPr>
              <w:spacing w:line="240" w:lineRule="auto"/>
              <w:ind w:firstLine="0" w:firstLineChars="0"/>
              <w:jc w:val="center"/>
              <w:rPr>
                <w:color w:val="auto"/>
                <w:sz w:val="21"/>
                <w:szCs w:val="21"/>
              </w:rPr>
            </w:pPr>
            <w:r>
              <w:rPr>
                <w:color w:val="auto"/>
                <w:sz w:val="21"/>
                <w:szCs w:val="21"/>
              </w:rPr>
              <w:t>67-66-3</w:t>
            </w:r>
          </w:p>
        </w:tc>
        <w:tc>
          <w:tcPr>
            <w:tcW w:w="690" w:type="pct"/>
            <w:tcBorders>
              <w:tl2br w:val="nil"/>
              <w:tr2bl w:val="nil"/>
            </w:tcBorders>
            <w:vAlign w:val="center"/>
          </w:tcPr>
          <w:p w14:paraId="1814F04A">
            <w:pPr>
              <w:spacing w:line="240" w:lineRule="auto"/>
              <w:ind w:firstLine="0" w:firstLineChars="0"/>
              <w:jc w:val="center"/>
              <w:rPr>
                <w:color w:val="auto"/>
                <w:sz w:val="21"/>
                <w:szCs w:val="21"/>
              </w:rPr>
            </w:pPr>
            <w:r>
              <w:rPr>
                <w:color w:val="auto"/>
                <w:sz w:val="21"/>
                <w:szCs w:val="21"/>
              </w:rPr>
              <w:t>不涉及</w:t>
            </w:r>
          </w:p>
        </w:tc>
      </w:tr>
      <w:tr w14:paraId="2D1C0F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97AE029">
            <w:pPr>
              <w:spacing w:line="240" w:lineRule="auto"/>
              <w:ind w:firstLine="0" w:firstLineChars="0"/>
              <w:jc w:val="center"/>
              <w:rPr>
                <w:color w:val="auto"/>
                <w:sz w:val="21"/>
                <w:szCs w:val="21"/>
              </w:rPr>
            </w:pPr>
            <w:r>
              <w:rPr>
                <w:color w:val="auto"/>
                <w:sz w:val="21"/>
                <w:szCs w:val="21"/>
              </w:rPr>
              <w:t>18</w:t>
            </w:r>
          </w:p>
        </w:tc>
        <w:tc>
          <w:tcPr>
            <w:tcW w:w="2836" w:type="pct"/>
            <w:gridSpan w:val="2"/>
            <w:tcBorders>
              <w:tl2br w:val="nil"/>
              <w:tr2bl w:val="nil"/>
            </w:tcBorders>
            <w:vAlign w:val="center"/>
          </w:tcPr>
          <w:p w14:paraId="29F66853">
            <w:pPr>
              <w:spacing w:line="240" w:lineRule="auto"/>
              <w:ind w:firstLine="0" w:firstLineChars="0"/>
              <w:jc w:val="center"/>
              <w:rPr>
                <w:color w:val="auto"/>
                <w:sz w:val="21"/>
                <w:szCs w:val="21"/>
              </w:rPr>
            </w:pPr>
            <w:r>
              <w:rPr>
                <w:color w:val="auto"/>
                <w:sz w:val="21"/>
                <w:szCs w:val="21"/>
              </w:rPr>
              <w:t>三氯乙烯</w:t>
            </w:r>
          </w:p>
        </w:tc>
        <w:tc>
          <w:tcPr>
            <w:tcW w:w="1117" w:type="pct"/>
            <w:tcBorders>
              <w:tl2br w:val="nil"/>
              <w:tr2bl w:val="nil"/>
            </w:tcBorders>
            <w:vAlign w:val="center"/>
          </w:tcPr>
          <w:p w14:paraId="6D0D136A">
            <w:pPr>
              <w:spacing w:line="240" w:lineRule="auto"/>
              <w:ind w:firstLine="0" w:firstLineChars="0"/>
              <w:jc w:val="center"/>
              <w:rPr>
                <w:color w:val="auto"/>
                <w:sz w:val="21"/>
                <w:szCs w:val="21"/>
              </w:rPr>
            </w:pPr>
            <w:r>
              <w:rPr>
                <w:color w:val="auto"/>
                <w:sz w:val="21"/>
                <w:szCs w:val="21"/>
              </w:rPr>
              <w:t>79-01-6</w:t>
            </w:r>
          </w:p>
        </w:tc>
        <w:tc>
          <w:tcPr>
            <w:tcW w:w="690" w:type="pct"/>
            <w:tcBorders>
              <w:tl2br w:val="nil"/>
              <w:tr2bl w:val="nil"/>
            </w:tcBorders>
            <w:vAlign w:val="center"/>
          </w:tcPr>
          <w:p w14:paraId="29AEAC7D">
            <w:pPr>
              <w:spacing w:line="240" w:lineRule="auto"/>
              <w:ind w:firstLine="0" w:firstLineChars="0"/>
              <w:jc w:val="center"/>
              <w:rPr>
                <w:color w:val="auto"/>
                <w:sz w:val="21"/>
                <w:szCs w:val="21"/>
              </w:rPr>
            </w:pPr>
            <w:r>
              <w:rPr>
                <w:color w:val="auto"/>
                <w:sz w:val="21"/>
                <w:szCs w:val="21"/>
              </w:rPr>
              <w:t>不涉及</w:t>
            </w:r>
          </w:p>
        </w:tc>
      </w:tr>
      <w:tr w14:paraId="5C2021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883D949">
            <w:pPr>
              <w:spacing w:line="240" w:lineRule="auto"/>
              <w:ind w:firstLine="0" w:firstLineChars="0"/>
              <w:jc w:val="center"/>
              <w:rPr>
                <w:color w:val="auto"/>
                <w:sz w:val="21"/>
                <w:szCs w:val="21"/>
              </w:rPr>
            </w:pPr>
            <w:r>
              <w:rPr>
                <w:color w:val="auto"/>
                <w:sz w:val="21"/>
                <w:szCs w:val="21"/>
              </w:rPr>
              <w:t>19</w:t>
            </w:r>
          </w:p>
        </w:tc>
        <w:tc>
          <w:tcPr>
            <w:tcW w:w="2836" w:type="pct"/>
            <w:gridSpan w:val="2"/>
            <w:tcBorders>
              <w:tl2br w:val="nil"/>
              <w:tr2bl w:val="nil"/>
            </w:tcBorders>
            <w:vAlign w:val="center"/>
          </w:tcPr>
          <w:p w14:paraId="653396F7">
            <w:pPr>
              <w:spacing w:line="240" w:lineRule="auto"/>
              <w:ind w:firstLine="0" w:firstLineChars="0"/>
              <w:jc w:val="center"/>
              <w:rPr>
                <w:color w:val="auto"/>
                <w:sz w:val="21"/>
                <w:szCs w:val="21"/>
              </w:rPr>
            </w:pPr>
            <w:r>
              <w:rPr>
                <w:color w:val="auto"/>
                <w:sz w:val="21"/>
                <w:szCs w:val="21"/>
              </w:rPr>
              <w:t>砷及砷化合物</w:t>
            </w:r>
          </w:p>
        </w:tc>
        <w:tc>
          <w:tcPr>
            <w:tcW w:w="1117" w:type="pct"/>
            <w:tcBorders>
              <w:tl2br w:val="nil"/>
              <w:tr2bl w:val="nil"/>
            </w:tcBorders>
            <w:vAlign w:val="center"/>
          </w:tcPr>
          <w:p w14:paraId="07336C95">
            <w:pPr>
              <w:spacing w:line="240" w:lineRule="auto"/>
              <w:ind w:firstLine="0" w:firstLineChars="0"/>
              <w:jc w:val="center"/>
              <w:rPr>
                <w:color w:val="auto"/>
                <w:sz w:val="21"/>
                <w:szCs w:val="21"/>
              </w:rPr>
            </w:pPr>
            <w:r>
              <w:rPr>
                <w:color w:val="auto"/>
                <w:sz w:val="21"/>
                <w:szCs w:val="21"/>
              </w:rPr>
              <w:t>7440-38-2</w:t>
            </w:r>
            <w:r>
              <w:rPr>
                <w:rFonts w:hint="eastAsia"/>
                <w:color w:val="auto"/>
                <w:sz w:val="21"/>
                <w:szCs w:val="21"/>
              </w:rPr>
              <w:t>（</w:t>
            </w:r>
            <w:r>
              <w:rPr>
                <w:color w:val="auto"/>
                <w:sz w:val="21"/>
                <w:szCs w:val="21"/>
              </w:rPr>
              <w:t>砷</w:t>
            </w:r>
            <w:r>
              <w:rPr>
                <w:rFonts w:hint="eastAsia"/>
                <w:color w:val="auto"/>
                <w:sz w:val="21"/>
                <w:szCs w:val="21"/>
              </w:rPr>
              <w:t>）</w:t>
            </w:r>
          </w:p>
        </w:tc>
        <w:tc>
          <w:tcPr>
            <w:tcW w:w="690" w:type="pct"/>
            <w:tcBorders>
              <w:tl2br w:val="nil"/>
              <w:tr2bl w:val="nil"/>
            </w:tcBorders>
            <w:vAlign w:val="center"/>
          </w:tcPr>
          <w:p w14:paraId="5AD9445A">
            <w:pPr>
              <w:spacing w:line="240" w:lineRule="auto"/>
              <w:ind w:firstLine="0" w:firstLineChars="0"/>
              <w:jc w:val="center"/>
              <w:rPr>
                <w:color w:val="auto"/>
                <w:sz w:val="21"/>
                <w:szCs w:val="21"/>
              </w:rPr>
            </w:pPr>
            <w:r>
              <w:rPr>
                <w:color w:val="auto"/>
                <w:sz w:val="21"/>
                <w:szCs w:val="21"/>
              </w:rPr>
              <w:t>不涉及</w:t>
            </w:r>
          </w:p>
        </w:tc>
      </w:tr>
      <w:tr w14:paraId="0451F3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7B9337B">
            <w:pPr>
              <w:spacing w:line="240" w:lineRule="auto"/>
              <w:ind w:firstLine="0" w:firstLineChars="0"/>
              <w:jc w:val="center"/>
              <w:rPr>
                <w:color w:val="auto"/>
                <w:sz w:val="21"/>
                <w:szCs w:val="21"/>
              </w:rPr>
            </w:pPr>
            <w:r>
              <w:rPr>
                <w:color w:val="auto"/>
                <w:sz w:val="21"/>
                <w:szCs w:val="21"/>
              </w:rPr>
              <w:t>20</w:t>
            </w:r>
          </w:p>
        </w:tc>
        <w:tc>
          <w:tcPr>
            <w:tcW w:w="2836" w:type="pct"/>
            <w:gridSpan w:val="2"/>
            <w:tcBorders>
              <w:tl2br w:val="nil"/>
              <w:tr2bl w:val="nil"/>
            </w:tcBorders>
            <w:vAlign w:val="center"/>
          </w:tcPr>
          <w:p w14:paraId="76F8C7A7">
            <w:pPr>
              <w:spacing w:line="240" w:lineRule="auto"/>
              <w:ind w:firstLine="0" w:firstLineChars="0"/>
              <w:jc w:val="center"/>
              <w:rPr>
                <w:color w:val="auto"/>
                <w:sz w:val="21"/>
                <w:szCs w:val="21"/>
              </w:rPr>
            </w:pPr>
            <w:r>
              <w:rPr>
                <w:color w:val="auto"/>
                <w:sz w:val="21"/>
                <w:szCs w:val="21"/>
              </w:rPr>
              <w:t>十溴二苯醚</w:t>
            </w:r>
          </w:p>
        </w:tc>
        <w:tc>
          <w:tcPr>
            <w:tcW w:w="1117" w:type="pct"/>
            <w:tcBorders>
              <w:tl2br w:val="nil"/>
              <w:tr2bl w:val="nil"/>
            </w:tcBorders>
            <w:vAlign w:val="center"/>
          </w:tcPr>
          <w:p w14:paraId="411046EE">
            <w:pPr>
              <w:spacing w:line="240" w:lineRule="auto"/>
              <w:ind w:firstLine="0" w:firstLineChars="0"/>
              <w:jc w:val="center"/>
              <w:rPr>
                <w:color w:val="auto"/>
                <w:sz w:val="21"/>
                <w:szCs w:val="21"/>
              </w:rPr>
            </w:pPr>
            <w:r>
              <w:rPr>
                <w:color w:val="auto"/>
                <w:sz w:val="21"/>
                <w:szCs w:val="21"/>
              </w:rPr>
              <w:t>1163-19-5</w:t>
            </w:r>
          </w:p>
        </w:tc>
        <w:tc>
          <w:tcPr>
            <w:tcW w:w="690" w:type="pct"/>
            <w:tcBorders>
              <w:tl2br w:val="nil"/>
              <w:tr2bl w:val="nil"/>
            </w:tcBorders>
            <w:vAlign w:val="center"/>
          </w:tcPr>
          <w:p w14:paraId="287DFCA4">
            <w:pPr>
              <w:spacing w:line="240" w:lineRule="auto"/>
              <w:ind w:firstLine="0" w:firstLineChars="0"/>
              <w:jc w:val="center"/>
              <w:rPr>
                <w:color w:val="auto"/>
                <w:sz w:val="21"/>
                <w:szCs w:val="21"/>
              </w:rPr>
            </w:pPr>
            <w:r>
              <w:rPr>
                <w:color w:val="auto"/>
                <w:sz w:val="21"/>
                <w:szCs w:val="21"/>
              </w:rPr>
              <w:t>不涉及</w:t>
            </w:r>
          </w:p>
        </w:tc>
      </w:tr>
      <w:tr w14:paraId="0C2ED7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702B93E">
            <w:pPr>
              <w:spacing w:line="240" w:lineRule="auto"/>
              <w:ind w:firstLine="0" w:firstLineChars="0"/>
              <w:jc w:val="center"/>
              <w:rPr>
                <w:color w:val="auto"/>
                <w:sz w:val="21"/>
                <w:szCs w:val="21"/>
              </w:rPr>
            </w:pPr>
            <w:r>
              <w:rPr>
                <w:color w:val="auto"/>
                <w:sz w:val="21"/>
                <w:szCs w:val="21"/>
              </w:rPr>
              <w:t>21</w:t>
            </w:r>
          </w:p>
        </w:tc>
        <w:tc>
          <w:tcPr>
            <w:tcW w:w="2836" w:type="pct"/>
            <w:gridSpan w:val="2"/>
            <w:tcBorders>
              <w:tl2br w:val="nil"/>
              <w:tr2bl w:val="nil"/>
            </w:tcBorders>
            <w:vAlign w:val="center"/>
          </w:tcPr>
          <w:p w14:paraId="1E895B17">
            <w:pPr>
              <w:spacing w:line="240" w:lineRule="auto"/>
              <w:ind w:firstLine="0" w:firstLineChars="0"/>
              <w:jc w:val="center"/>
              <w:rPr>
                <w:color w:val="auto"/>
                <w:sz w:val="21"/>
                <w:szCs w:val="21"/>
              </w:rPr>
            </w:pPr>
            <w:r>
              <w:rPr>
                <w:color w:val="auto"/>
                <w:sz w:val="21"/>
                <w:szCs w:val="21"/>
              </w:rPr>
              <w:t>四氯乙烯</w:t>
            </w:r>
          </w:p>
        </w:tc>
        <w:tc>
          <w:tcPr>
            <w:tcW w:w="1117" w:type="pct"/>
            <w:tcBorders>
              <w:tl2br w:val="nil"/>
              <w:tr2bl w:val="nil"/>
            </w:tcBorders>
            <w:vAlign w:val="center"/>
          </w:tcPr>
          <w:p w14:paraId="1678337C">
            <w:pPr>
              <w:spacing w:line="240" w:lineRule="auto"/>
              <w:ind w:firstLine="0" w:firstLineChars="0"/>
              <w:jc w:val="center"/>
              <w:rPr>
                <w:color w:val="auto"/>
                <w:sz w:val="21"/>
                <w:szCs w:val="21"/>
              </w:rPr>
            </w:pPr>
            <w:r>
              <w:rPr>
                <w:color w:val="auto"/>
                <w:sz w:val="21"/>
                <w:szCs w:val="21"/>
              </w:rPr>
              <w:t>127-18-4</w:t>
            </w:r>
          </w:p>
        </w:tc>
        <w:tc>
          <w:tcPr>
            <w:tcW w:w="690" w:type="pct"/>
            <w:tcBorders>
              <w:tl2br w:val="nil"/>
              <w:tr2bl w:val="nil"/>
            </w:tcBorders>
            <w:vAlign w:val="center"/>
          </w:tcPr>
          <w:p w14:paraId="1C5BE362">
            <w:pPr>
              <w:spacing w:line="240" w:lineRule="auto"/>
              <w:ind w:firstLine="0" w:firstLineChars="0"/>
              <w:jc w:val="center"/>
              <w:rPr>
                <w:color w:val="auto"/>
                <w:sz w:val="21"/>
                <w:szCs w:val="21"/>
              </w:rPr>
            </w:pPr>
            <w:r>
              <w:rPr>
                <w:color w:val="auto"/>
                <w:sz w:val="21"/>
                <w:szCs w:val="21"/>
              </w:rPr>
              <w:t>不涉及</w:t>
            </w:r>
          </w:p>
        </w:tc>
      </w:tr>
      <w:tr w14:paraId="78C67F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BFE081B">
            <w:pPr>
              <w:spacing w:line="240" w:lineRule="auto"/>
              <w:ind w:firstLine="0" w:firstLineChars="0"/>
              <w:jc w:val="center"/>
              <w:rPr>
                <w:color w:val="auto"/>
                <w:sz w:val="21"/>
                <w:szCs w:val="21"/>
              </w:rPr>
            </w:pPr>
            <w:r>
              <w:rPr>
                <w:color w:val="auto"/>
                <w:sz w:val="21"/>
                <w:szCs w:val="21"/>
              </w:rPr>
              <w:t>22</w:t>
            </w:r>
          </w:p>
        </w:tc>
        <w:tc>
          <w:tcPr>
            <w:tcW w:w="2836" w:type="pct"/>
            <w:gridSpan w:val="2"/>
            <w:tcBorders>
              <w:tl2br w:val="nil"/>
              <w:tr2bl w:val="nil"/>
            </w:tcBorders>
            <w:vAlign w:val="center"/>
          </w:tcPr>
          <w:p w14:paraId="5B89FEF3">
            <w:pPr>
              <w:spacing w:line="240" w:lineRule="auto"/>
              <w:ind w:firstLine="0" w:firstLineChars="0"/>
              <w:jc w:val="center"/>
              <w:rPr>
                <w:color w:val="auto"/>
                <w:sz w:val="21"/>
                <w:szCs w:val="21"/>
              </w:rPr>
            </w:pPr>
            <w:r>
              <w:rPr>
                <w:color w:val="auto"/>
                <w:sz w:val="21"/>
                <w:szCs w:val="21"/>
              </w:rPr>
              <w:t>乙醛</w:t>
            </w:r>
          </w:p>
        </w:tc>
        <w:tc>
          <w:tcPr>
            <w:tcW w:w="1117" w:type="pct"/>
            <w:tcBorders>
              <w:tl2br w:val="nil"/>
              <w:tr2bl w:val="nil"/>
            </w:tcBorders>
            <w:vAlign w:val="center"/>
          </w:tcPr>
          <w:p w14:paraId="580695F4">
            <w:pPr>
              <w:spacing w:line="240" w:lineRule="auto"/>
              <w:ind w:firstLine="0" w:firstLineChars="0"/>
              <w:jc w:val="center"/>
              <w:rPr>
                <w:color w:val="auto"/>
                <w:sz w:val="21"/>
                <w:szCs w:val="21"/>
              </w:rPr>
            </w:pPr>
            <w:r>
              <w:rPr>
                <w:color w:val="auto"/>
                <w:sz w:val="21"/>
                <w:szCs w:val="21"/>
              </w:rPr>
              <w:t>75-07-0</w:t>
            </w:r>
          </w:p>
        </w:tc>
        <w:tc>
          <w:tcPr>
            <w:tcW w:w="690" w:type="pct"/>
            <w:tcBorders>
              <w:tl2br w:val="nil"/>
              <w:tr2bl w:val="nil"/>
            </w:tcBorders>
            <w:vAlign w:val="center"/>
          </w:tcPr>
          <w:p w14:paraId="0FB39E24">
            <w:pPr>
              <w:spacing w:line="240" w:lineRule="auto"/>
              <w:ind w:firstLine="0" w:firstLineChars="0"/>
              <w:jc w:val="center"/>
              <w:rPr>
                <w:color w:val="auto"/>
                <w:sz w:val="21"/>
                <w:szCs w:val="21"/>
              </w:rPr>
            </w:pPr>
            <w:r>
              <w:rPr>
                <w:color w:val="auto"/>
                <w:sz w:val="21"/>
                <w:szCs w:val="21"/>
              </w:rPr>
              <w:t>不涉及</w:t>
            </w:r>
          </w:p>
        </w:tc>
      </w:tr>
      <w:tr w14:paraId="59420F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7208DE38">
            <w:pPr>
              <w:spacing w:line="240" w:lineRule="auto"/>
              <w:ind w:firstLine="0" w:firstLineChars="0"/>
              <w:jc w:val="center"/>
              <w:rPr>
                <w:b/>
                <w:bCs/>
                <w:color w:val="auto"/>
                <w:sz w:val="21"/>
                <w:szCs w:val="21"/>
              </w:rPr>
            </w:pPr>
            <w:r>
              <w:rPr>
                <w:b/>
                <w:bCs/>
                <w:color w:val="auto"/>
                <w:sz w:val="21"/>
                <w:szCs w:val="21"/>
              </w:rPr>
              <w:t>第二批</w:t>
            </w:r>
          </w:p>
        </w:tc>
      </w:tr>
      <w:tr w14:paraId="783125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65EE5D0">
            <w:pPr>
              <w:spacing w:line="240" w:lineRule="auto"/>
              <w:ind w:firstLine="0" w:firstLineChars="0"/>
              <w:jc w:val="center"/>
              <w:rPr>
                <w:color w:val="auto"/>
                <w:sz w:val="21"/>
                <w:szCs w:val="21"/>
              </w:rPr>
            </w:pPr>
            <w:r>
              <w:rPr>
                <w:color w:val="auto"/>
                <w:sz w:val="21"/>
                <w:szCs w:val="21"/>
              </w:rPr>
              <w:t>23</w:t>
            </w:r>
          </w:p>
        </w:tc>
        <w:tc>
          <w:tcPr>
            <w:tcW w:w="2836" w:type="pct"/>
            <w:gridSpan w:val="2"/>
            <w:tcBorders>
              <w:tl2br w:val="nil"/>
              <w:tr2bl w:val="nil"/>
            </w:tcBorders>
            <w:vAlign w:val="center"/>
          </w:tcPr>
          <w:p w14:paraId="11A3313C">
            <w:pPr>
              <w:spacing w:line="240" w:lineRule="auto"/>
              <w:ind w:firstLine="0" w:firstLineChars="0"/>
              <w:jc w:val="center"/>
              <w:rPr>
                <w:color w:val="auto"/>
                <w:sz w:val="21"/>
                <w:szCs w:val="21"/>
              </w:rPr>
            </w:pPr>
            <w:r>
              <w:rPr>
                <w:color w:val="auto"/>
                <w:sz w:val="21"/>
                <w:szCs w:val="21"/>
              </w:rPr>
              <w:t>1,1-二氯乙烯</w:t>
            </w:r>
          </w:p>
        </w:tc>
        <w:tc>
          <w:tcPr>
            <w:tcW w:w="1117" w:type="pct"/>
            <w:tcBorders>
              <w:tl2br w:val="nil"/>
              <w:tr2bl w:val="nil"/>
            </w:tcBorders>
            <w:vAlign w:val="center"/>
          </w:tcPr>
          <w:p w14:paraId="3CA48804">
            <w:pPr>
              <w:spacing w:line="240" w:lineRule="auto"/>
              <w:ind w:firstLine="0" w:firstLineChars="0"/>
              <w:jc w:val="center"/>
              <w:rPr>
                <w:color w:val="auto"/>
                <w:sz w:val="21"/>
                <w:szCs w:val="21"/>
              </w:rPr>
            </w:pPr>
            <w:r>
              <w:rPr>
                <w:color w:val="auto"/>
                <w:spacing w:val="-3"/>
                <w:sz w:val="21"/>
                <w:szCs w:val="21"/>
              </w:rPr>
              <w:t>75-35-4</w:t>
            </w:r>
          </w:p>
        </w:tc>
        <w:tc>
          <w:tcPr>
            <w:tcW w:w="690" w:type="pct"/>
            <w:tcBorders>
              <w:tl2br w:val="nil"/>
              <w:tr2bl w:val="nil"/>
            </w:tcBorders>
            <w:vAlign w:val="center"/>
          </w:tcPr>
          <w:p w14:paraId="0F02C44B">
            <w:pPr>
              <w:spacing w:line="240" w:lineRule="auto"/>
              <w:ind w:firstLine="0" w:firstLineChars="0"/>
              <w:jc w:val="center"/>
              <w:rPr>
                <w:color w:val="auto"/>
                <w:sz w:val="21"/>
                <w:szCs w:val="21"/>
              </w:rPr>
            </w:pPr>
            <w:r>
              <w:rPr>
                <w:color w:val="auto"/>
                <w:sz w:val="21"/>
                <w:szCs w:val="21"/>
              </w:rPr>
              <w:t>不涉及</w:t>
            </w:r>
          </w:p>
        </w:tc>
      </w:tr>
      <w:tr w14:paraId="13F493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107D1D55">
            <w:pPr>
              <w:spacing w:line="240" w:lineRule="auto"/>
              <w:ind w:firstLine="0" w:firstLineChars="0"/>
              <w:jc w:val="center"/>
              <w:rPr>
                <w:color w:val="auto"/>
                <w:sz w:val="21"/>
                <w:szCs w:val="21"/>
              </w:rPr>
            </w:pPr>
            <w:r>
              <w:rPr>
                <w:color w:val="auto"/>
                <w:sz w:val="21"/>
                <w:szCs w:val="21"/>
              </w:rPr>
              <w:t>24</w:t>
            </w:r>
          </w:p>
        </w:tc>
        <w:tc>
          <w:tcPr>
            <w:tcW w:w="2836" w:type="pct"/>
            <w:gridSpan w:val="2"/>
            <w:tcBorders>
              <w:tl2br w:val="nil"/>
              <w:tr2bl w:val="nil"/>
            </w:tcBorders>
            <w:vAlign w:val="center"/>
          </w:tcPr>
          <w:p w14:paraId="2ADAEDF8">
            <w:pPr>
              <w:spacing w:line="240" w:lineRule="auto"/>
              <w:ind w:firstLine="0" w:firstLineChars="0"/>
              <w:jc w:val="center"/>
              <w:rPr>
                <w:color w:val="auto"/>
                <w:sz w:val="21"/>
                <w:szCs w:val="21"/>
              </w:rPr>
            </w:pPr>
            <w:r>
              <w:rPr>
                <w:color w:val="auto"/>
                <w:sz w:val="21"/>
                <w:szCs w:val="21"/>
              </w:rPr>
              <w:t>1,2-二氯丙烷</w:t>
            </w:r>
          </w:p>
        </w:tc>
        <w:tc>
          <w:tcPr>
            <w:tcW w:w="1117" w:type="pct"/>
            <w:tcBorders>
              <w:tl2br w:val="nil"/>
              <w:tr2bl w:val="nil"/>
            </w:tcBorders>
            <w:vAlign w:val="center"/>
          </w:tcPr>
          <w:p w14:paraId="2BE7FD64">
            <w:pPr>
              <w:spacing w:line="240" w:lineRule="auto"/>
              <w:ind w:firstLine="0" w:firstLineChars="0"/>
              <w:jc w:val="center"/>
              <w:rPr>
                <w:color w:val="auto"/>
                <w:sz w:val="21"/>
                <w:szCs w:val="21"/>
              </w:rPr>
            </w:pPr>
            <w:r>
              <w:rPr>
                <w:color w:val="auto"/>
                <w:spacing w:val="-3"/>
                <w:sz w:val="21"/>
                <w:szCs w:val="21"/>
              </w:rPr>
              <w:t>78-87-5</w:t>
            </w:r>
          </w:p>
        </w:tc>
        <w:tc>
          <w:tcPr>
            <w:tcW w:w="690" w:type="pct"/>
            <w:tcBorders>
              <w:tl2br w:val="nil"/>
              <w:tr2bl w:val="nil"/>
            </w:tcBorders>
            <w:vAlign w:val="center"/>
          </w:tcPr>
          <w:p w14:paraId="7DF0A4F0">
            <w:pPr>
              <w:spacing w:line="240" w:lineRule="auto"/>
              <w:ind w:firstLine="0" w:firstLineChars="0"/>
              <w:jc w:val="center"/>
              <w:rPr>
                <w:color w:val="auto"/>
                <w:sz w:val="21"/>
                <w:szCs w:val="21"/>
              </w:rPr>
            </w:pPr>
            <w:r>
              <w:rPr>
                <w:color w:val="auto"/>
                <w:sz w:val="21"/>
                <w:szCs w:val="21"/>
              </w:rPr>
              <w:t>不涉及</w:t>
            </w:r>
          </w:p>
        </w:tc>
      </w:tr>
      <w:tr w14:paraId="62A3CD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8CD9EE8">
            <w:pPr>
              <w:spacing w:line="240" w:lineRule="auto"/>
              <w:ind w:firstLine="0" w:firstLineChars="0"/>
              <w:jc w:val="center"/>
              <w:rPr>
                <w:color w:val="auto"/>
                <w:sz w:val="21"/>
                <w:szCs w:val="21"/>
              </w:rPr>
            </w:pPr>
            <w:r>
              <w:rPr>
                <w:color w:val="auto"/>
                <w:sz w:val="21"/>
                <w:szCs w:val="21"/>
              </w:rPr>
              <w:t>25</w:t>
            </w:r>
          </w:p>
        </w:tc>
        <w:tc>
          <w:tcPr>
            <w:tcW w:w="2836" w:type="pct"/>
            <w:gridSpan w:val="2"/>
            <w:tcBorders>
              <w:tl2br w:val="nil"/>
              <w:tr2bl w:val="nil"/>
            </w:tcBorders>
            <w:vAlign w:val="center"/>
          </w:tcPr>
          <w:p w14:paraId="7355E878">
            <w:pPr>
              <w:spacing w:line="240" w:lineRule="auto"/>
              <w:ind w:firstLine="0" w:firstLineChars="0"/>
              <w:jc w:val="center"/>
              <w:rPr>
                <w:color w:val="auto"/>
                <w:sz w:val="21"/>
                <w:szCs w:val="21"/>
              </w:rPr>
            </w:pPr>
            <w:r>
              <w:rPr>
                <w:color w:val="auto"/>
                <w:sz w:val="21"/>
                <w:szCs w:val="21"/>
              </w:rPr>
              <w:t>2,4-二硝基甲苯</w:t>
            </w:r>
          </w:p>
        </w:tc>
        <w:tc>
          <w:tcPr>
            <w:tcW w:w="1117" w:type="pct"/>
            <w:tcBorders>
              <w:tl2br w:val="nil"/>
              <w:tr2bl w:val="nil"/>
            </w:tcBorders>
            <w:vAlign w:val="center"/>
          </w:tcPr>
          <w:p w14:paraId="41C43AA8">
            <w:pPr>
              <w:spacing w:line="240" w:lineRule="auto"/>
              <w:ind w:firstLine="0" w:firstLineChars="0"/>
              <w:jc w:val="center"/>
              <w:rPr>
                <w:color w:val="auto"/>
                <w:sz w:val="21"/>
                <w:szCs w:val="21"/>
              </w:rPr>
            </w:pPr>
            <w:r>
              <w:rPr>
                <w:color w:val="auto"/>
                <w:spacing w:val="-4"/>
                <w:sz w:val="21"/>
                <w:szCs w:val="21"/>
              </w:rPr>
              <w:t>121-14-2</w:t>
            </w:r>
          </w:p>
        </w:tc>
        <w:tc>
          <w:tcPr>
            <w:tcW w:w="690" w:type="pct"/>
            <w:tcBorders>
              <w:tl2br w:val="nil"/>
              <w:tr2bl w:val="nil"/>
            </w:tcBorders>
            <w:vAlign w:val="center"/>
          </w:tcPr>
          <w:p w14:paraId="200B0AA3">
            <w:pPr>
              <w:spacing w:line="240" w:lineRule="auto"/>
              <w:ind w:firstLine="0" w:firstLineChars="0"/>
              <w:jc w:val="center"/>
              <w:rPr>
                <w:color w:val="auto"/>
                <w:sz w:val="21"/>
                <w:szCs w:val="21"/>
              </w:rPr>
            </w:pPr>
            <w:r>
              <w:rPr>
                <w:color w:val="auto"/>
                <w:sz w:val="21"/>
                <w:szCs w:val="21"/>
              </w:rPr>
              <w:t>不涉及</w:t>
            </w:r>
          </w:p>
        </w:tc>
      </w:tr>
      <w:tr w14:paraId="179208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41061FBD">
            <w:pPr>
              <w:spacing w:line="240" w:lineRule="auto"/>
              <w:ind w:firstLine="0" w:firstLineChars="0"/>
              <w:jc w:val="center"/>
              <w:rPr>
                <w:color w:val="auto"/>
                <w:sz w:val="21"/>
                <w:szCs w:val="21"/>
              </w:rPr>
            </w:pPr>
            <w:r>
              <w:rPr>
                <w:color w:val="auto"/>
                <w:sz w:val="21"/>
                <w:szCs w:val="21"/>
              </w:rPr>
              <w:t>26</w:t>
            </w:r>
          </w:p>
        </w:tc>
        <w:tc>
          <w:tcPr>
            <w:tcW w:w="2836" w:type="pct"/>
            <w:gridSpan w:val="2"/>
            <w:tcBorders>
              <w:tl2br w:val="nil"/>
              <w:tr2bl w:val="nil"/>
            </w:tcBorders>
            <w:vAlign w:val="center"/>
          </w:tcPr>
          <w:p w14:paraId="22FC696F">
            <w:pPr>
              <w:spacing w:line="240" w:lineRule="auto"/>
              <w:ind w:firstLine="0" w:firstLineChars="0"/>
              <w:jc w:val="center"/>
              <w:rPr>
                <w:color w:val="auto"/>
                <w:sz w:val="21"/>
                <w:szCs w:val="21"/>
              </w:rPr>
            </w:pPr>
            <w:r>
              <w:rPr>
                <w:color w:val="auto"/>
                <w:sz w:val="21"/>
                <w:szCs w:val="21"/>
              </w:rPr>
              <w:t>2,4,6-三叔丁基苯酚</w:t>
            </w:r>
          </w:p>
        </w:tc>
        <w:tc>
          <w:tcPr>
            <w:tcW w:w="1117" w:type="pct"/>
            <w:tcBorders>
              <w:tl2br w:val="nil"/>
              <w:tr2bl w:val="nil"/>
            </w:tcBorders>
            <w:vAlign w:val="center"/>
          </w:tcPr>
          <w:p w14:paraId="48657DA6">
            <w:pPr>
              <w:spacing w:line="240" w:lineRule="auto"/>
              <w:ind w:firstLine="0" w:firstLineChars="0"/>
              <w:jc w:val="center"/>
              <w:rPr>
                <w:color w:val="auto"/>
                <w:sz w:val="21"/>
                <w:szCs w:val="21"/>
              </w:rPr>
            </w:pPr>
            <w:r>
              <w:rPr>
                <w:color w:val="auto"/>
                <w:spacing w:val="-2"/>
                <w:sz w:val="21"/>
                <w:szCs w:val="21"/>
              </w:rPr>
              <w:t>732-26-3</w:t>
            </w:r>
          </w:p>
        </w:tc>
        <w:tc>
          <w:tcPr>
            <w:tcW w:w="690" w:type="pct"/>
            <w:tcBorders>
              <w:tl2br w:val="nil"/>
              <w:tr2bl w:val="nil"/>
            </w:tcBorders>
            <w:vAlign w:val="center"/>
          </w:tcPr>
          <w:p w14:paraId="7892173A">
            <w:pPr>
              <w:spacing w:line="240" w:lineRule="auto"/>
              <w:ind w:firstLine="0" w:firstLineChars="0"/>
              <w:jc w:val="center"/>
              <w:rPr>
                <w:color w:val="auto"/>
                <w:sz w:val="21"/>
                <w:szCs w:val="21"/>
              </w:rPr>
            </w:pPr>
            <w:r>
              <w:rPr>
                <w:color w:val="auto"/>
                <w:sz w:val="21"/>
                <w:szCs w:val="21"/>
              </w:rPr>
              <w:t>不涉及</w:t>
            </w:r>
          </w:p>
        </w:tc>
      </w:tr>
      <w:tr w14:paraId="019D05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863B162">
            <w:pPr>
              <w:spacing w:line="240" w:lineRule="auto"/>
              <w:ind w:firstLine="0" w:firstLineChars="0"/>
              <w:jc w:val="center"/>
              <w:rPr>
                <w:color w:val="auto"/>
                <w:sz w:val="21"/>
                <w:szCs w:val="21"/>
              </w:rPr>
            </w:pPr>
            <w:r>
              <w:rPr>
                <w:color w:val="auto"/>
                <w:sz w:val="21"/>
                <w:szCs w:val="21"/>
              </w:rPr>
              <w:t>27</w:t>
            </w:r>
          </w:p>
        </w:tc>
        <w:tc>
          <w:tcPr>
            <w:tcW w:w="2836" w:type="pct"/>
            <w:gridSpan w:val="2"/>
            <w:tcBorders>
              <w:tl2br w:val="nil"/>
              <w:tr2bl w:val="nil"/>
            </w:tcBorders>
            <w:vAlign w:val="center"/>
          </w:tcPr>
          <w:p w14:paraId="0398E2F5">
            <w:pPr>
              <w:spacing w:line="240" w:lineRule="auto"/>
              <w:ind w:firstLine="0" w:firstLineChars="0"/>
              <w:jc w:val="center"/>
              <w:rPr>
                <w:color w:val="auto"/>
                <w:sz w:val="21"/>
                <w:szCs w:val="21"/>
              </w:rPr>
            </w:pPr>
            <w:r>
              <w:rPr>
                <w:color w:val="auto"/>
                <w:sz w:val="21"/>
                <w:szCs w:val="21"/>
              </w:rPr>
              <w:t>苯</w:t>
            </w:r>
          </w:p>
        </w:tc>
        <w:tc>
          <w:tcPr>
            <w:tcW w:w="1117" w:type="pct"/>
            <w:tcBorders>
              <w:tl2br w:val="nil"/>
              <w:tr2bl w:val="nil"/>
            </w:tcBorders>
            <w:vAlign w:val="center"/>
          </w:tcPr>
          <w:p w14:paraId="1B478921">
            <w:pPr>
              <w:spacing w:line="240" w:lineRule="auto"/>
              <w:ind w:firstLine="0" w:firstLineChars="0"/>
              <w:jc w:val="center"/>
              <w:rPr>
                <w:color w:val="auto"/>
                <w:sz w:val="21"/>
                <w:szCs w:val="21"/>
              </w:rPr>
            </w:pPr>
            <w:r>
              <w:rPr>
                <w:color w:val="auto"/>
                <w:spacing w:val="-3"/>
                <w:sz w:val="21"/>
                <w:szCs w:val="21"/>
              </w:rPr>
              <w:t>71-43-2</w:t>
            </w:r>
          </w:p>
        </w:tc>
        <w:tc>
          <w:tcPr>
            <w:tcW w:w="690" w:type="pct"/>
            <w:tcBorders>
              <w:tl2br w:val="nil"/>
              <w:tr2bl w:val="nil"/>
            </w:tcBorders>
            <w:vAlign w:val="center"/>
          </w:tcPr>
          <w:p w14:paraId="22646C57">
            <w:pPr>
              <w:spacing w:line="240" w:lineRule="auto"/>
              <w:ind w:firstLine="0" w:firstLineChars="0"/>
              <w:jc w:val="center"/>
              <w:rPr>
                <w:color w:val="auto"/>
                <w:sz w:val="21"/>
                <w:szCs w:val="21"/>
              </w:rPr>
            </w:pPr>
            <w:r>
              <w:rPr>
                <w:color w:val="auto"/>
                <w:sz w:val="21"/>
                <w:szCs w:val="21"/>
              </w:rPr>
              <w:t>不涉及</w:t>
            </w:r>
          </w:p>
        </w:tc>
      </w:tr>
      <w:tr w14:paraId="0B9DFE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restart"/>
            <w:tcBorders>
              <w:tl2br w:val="nil"/>
              <w:tr2bl w:val="nil"/>
            </w:tcBorders>
            <w:vAlign w:val="center"/>
          </w:tcPr>
          <w:p w14:paraId="7FEF5692">
            <w:pPr>
              <w:spacing w:line="240" w:lineRule="auto"/>
              <w:ind w:firstLine="0" w:firstLineChars="0"/>
              <w:jc w:val="center"/>
              <w:rPr>
                <w:color w:val="auto"/>
                <w:sz w:val="21"/>
                <w:szCs w:val="21"/>
              </w:rPr>
            </w:pPr>
            <w:r>
              <w:rPr>
                <w:color w:val="auto"/>
                <w:sz w:val="21"/>
                <w:szCs w:val="21"/>
              </w:rPr>
              <w:t>28</w:t>
            </w:r>
          </w:p>
        </w:tc>
        <w:tc>
          <w:tcPr>
            <w:tcW w:w="2836" w:type="pct"/>
            <w:gridSpan w:val="2"/>
            <w:tcBorders>
              <w:tl2br w:val="nil"/>
              <w:tr2bl w:val="nil"/>
            </w:tcBorders>
            <w:vAlign w:val="center"/>
          </w:tcPr>
          <w:p w14:paraId="1BD91CFF">
            <w:pPr>
              <w:spacing w:line="240" w:lineRule="auto"/>
              <w:ind w:firstLine="0" w:firstLineChars="0"/>
              <w:jc w:val="center"/>
              <w:rPr>
                <w:color w:val="auto"/>
                <w:sz w:val="21"/>
                <w:szCs w:val="21"/>
              </w:rPr>
            </w:pPr>
            <w:r>
              <w:rPr>
                <w:color w:val="auto"/>
                <w:sz w:val="21"/>
                <w:szCs w:val="21"/>
              </w:rPr>
              <w:t>多环芳烃类物质，包括：</w:t>
            </w:r>
          </w:p>
        </w:tc>
        <w:tc>
          <w:tcPr>
            <w:tcW w:w="1117" w:type="pct"/>
            <w:tcBorders>
              <w:tl2br w:val="nil"/>
              <w:tr2bl w:val="nil"/>
            </w:tcBorders>
            <w:vAlign w:val="center"/>
          </w:tcPr>
          <w:p w14:paraId="733A2EB0">
            <w:pPr>
              <w:spacing w:line="240" w:lineRule="auto"/>
              <w:ind w:firstLine="0" w:firstLineChars="0"/>
              <w:jc w:val="center"/>
              <w:rPr>
                <w:color w:val="auto"/>
                <w:sz w:val="21"/>
                <w:szCs w:val="21"/>
              </w:rPr>
            </w:pPr>
            <w:r>
              <w:rPr>
                <w:color w:val="auto"/>
                <w:sz w:val="21"/>
                <w:szCs w:val="21"/>
              </w:rPr>
              <w:t>/</w:t>
            </w:r>
          </w:p>
        </w:tc>
        <w:tc>
          <w:tcPr>
            <w:tcW w:w="690" w:type="pct"/>
            <w:tcBorders>
              <w:tl2br w:val="nil"/>
              <w:tr2bl w:val="nil"/>
            </w:tcBorders>
            <w:vAlign w:val="center"/>
          </w:tcPr>
          <w:p w14:paraId="1A1DFDCA">
            <w:pPr>
              <w:spacing w:line="240" w:lineRule="auto"/>
              <w:ind w:firstLine="0" w:firstLineChars="0"/>
              <w:jc w:val="center"/>
              <w:rPr>
                <w:color w:val="auto"/>
                <w:sz w:val="21"/>
                <w:szCs w:val="21"/>
              </w:rPr>
            </w:pPr>
            <w:r>
              <w:rPr>
                <w:color w:val="auto"/>
                <w:sz w:val="21"/>
                <w:szCs w:val="21"/>
              </w:rPr>
              <w:t>不涉及</w:t>
            </w:r>
          </w:p>
        </w:tc>
      </w:tr>
      <w:tr w14:paraId="2AE905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continue"/>
            <w:tcBorders>
              <w:tl2br w:val="nil"/>
              <w:tr2bl w:val="nil"/>
            </w:tcBorders>
            <w:vAlign w:val="center"/>
          </w:tcPr>
          <w:p w14:paraId="4749D46A">
            <w:pPr>
              <w:spacing w:line="240" w:lineRule="auto"/>
              <w:ind w:firstLine="0" w:firstLineChars="0"/>
              <w:jc w:val="center"/>
              <w:rPr>
                <w:color w:val="auto"/>
                <w:sz w:val="21"/>
                <w:szCs w:val="21"/>
              </w:rPr>
            </w:pPr>
          </w:p>
        </w:tc>
        <w:tc>
          <w:tcPr>
            <w:tcW w:w="2836" w:type="pct"/>
            <w:gridSpan w:val="2"/>
            <w:tcBorders>
              <w:tl2br w:val="nil"/>
              <w:tr2bl w:val="nil"/>
            </w:tcBorders>
            <w:vAlign w:val="center"/>
          </w:tcPr>
          <w:p w14:paraId="7666CC2F">
            <w:pPr>
              <w:spacing w:line="240" w:lineRule="auto"/>
              <w:ind w:firstLine="0" w:firstLineChars="0"/>
              <w:jc w:val="center"/>
              <w:rPr>
                <w:color w:val="auto"/>
                <w:sz w:val="21"/>
                <w:szCs w:val="21"/>
              </w:rPr>
            </w:pPr>
            <w:r>
              <w:rPr>
                <w:color w:val="auto"/>
                <w:sz w:val="21"/>
                <w:szCs w:val="21"/>
              </w:rPr>
              <w:t>苯并[a]蒽</w:t>
            </w:r>
          </w:p>
        </w:tc>
        <w:tc>
          <w:tcPr>
            <w:tcW w:w="1117" w:type="pct"/>
            <w:tcBorders>
              <w:tl2br w:val="nil"/>
              <w:tr2bl w:val="nil"/>
            </w:tcBorders>
            <w:vAlign w:val="center"/>
          </w:tcPr>
          <w:p w14:paraId="60B41392">
            <w:pPr>
              <w:spacing w:line="240" w:lineRule="auto"/>
              <w:ind w:firstLine="0" w:firstLineChars="0"/>
              <w:jc w:val="center"/>
              <w:rPr>
                <w:color w:val="auto"/>
                <w:sz w:val="21"/>
                <w:szCs w:val="21"/>
              </w:rPr>
            </w:pPr>
            <w:r>
              <w:rPr>
                <w:color w:val="auto"/>
                <w:spacing w:val="-2"/>
                <w:sz w:val="21"/>
                <w:szCs w:val="21"/>
              </w:rPr>
              <w:t>56-55-3</w:t>
            </w:r>
          </w:p>
        </w:tc>
        <w:tc>
          <w:tcPr>
            <w:tcW w:w="690" w:type="pct"/>
            <w:tcBorders>
              <w:tl2br w:val="nil"/>
              <w:tr2bl w:val="nil"/>
            </w:tcBorders>
            <w:vAlign w:val="center"/>
          </w:tcPr>
          <w:p w14:paraId="775FA279">
            <w:pPr>
              <w:spacing w:line="240" w:lineRule="auto"/>
              <w:ind w:firstLine="0" w:firstLineChars="0"/>
              <w:jc w:val="center"/>
              <w:rPr>
                <w:color w:val="auto"/>
                <w:sz w:val="21"/>
                <w:szCs w:val="21"/>
              </w:rPr>
            </w:pPr>
            <w:r>
              <w:rPr>
                <w:color w:val="auto"/>
                <w:sz w:val="21"/>
                <w:szCs w:val="21"/>
              </w:rPr>
              <w:t>不涉及</w:t>
            </w:r>
          </w:p>
        </w:tc>
      </w:tr>
      <w:tr w14:paraId="538037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continue"/>
            <w:tcBorders>
              <w:tl2br w:val="nil"/>
              <w:tr2bl w:val="nil"/>
            </w:tcBorders>
            <w:vAlign w:val="center"/>
          </w:tcPr>
          <w:p w14:paraId="488012CF">
            <w:pPr>
              <w:spacing w:line="240" w:lineRule="auto"/>
              <w:ind w:firstLine="0" w:firstLineChars="0"/>
              <w:jc w:val="center"/>
              <w:rPr>
                <w:color w:val="auto"/>
                <w:sz w:val="21"/>
                <w:szCs w:val="21"/>
              </w:rPr>
            </w:pPr>
          </w:p>
        </w:tc>
        <w:tc>
          <w:tcPr>
            <w:tcW w:w="2836" w:type="pct"/>
            <w:gridSpan w:val="2"/>
            <w:tcBorders>
              <w:tl2br w:val="nil"/>
              <w:tr2bl w:val="nil"/>
            </w:tcBorders>
            <w:vAlign w:val="center"/>
          </w:tcPr>
          <w:p w14:paraId="745E6E5B">
            <w:pPr>
              <w:spacing w:line="240" w:lineRule="auto"/>
              <w:ind w:firstLine="0" w:firstLineChars="0"/>
              <w:jc w:val="center"/>
              <w:rPr>
                <w:color w:val="auto"/>
                <w:sz w:val="21"/>
                <w:szCs w:val="21"/>
              </w:rPr>
            </w:pPr>
            <w:r>
              <w:rPr>
                <w:color w:val="auto"/>
                <w:spacing w:val="-4"/>
                <w:sz w:val="21"/>
                <w:szCs w:val="21"/>
              </w:rPr>
              <w:t>苯并[</w:t>
            </w:r>
            <w:r>
              <w:rPr>
                <w:i/>
                <w:iCs/>
                <w:color w:val="auto"/>
                <w:spacing w:val="-4"/>
                <w:sz w:val="21"/>
                <w:szCs w:val="21"/>
              </w:rPr>
              <w:t>a</w:t>
            </w:r>
            <w:r>
              <w:rPr>
                <w:color w:val="auto"/>
                <w:spacing w:val="-4"/>
                <w:sz w:val="21"/>
                <w:szCs w:val="21"/>
              </w:rPr>
              <w:t>]菲</w:t>
            </w:r>
          </w:p>
        </w:tc>
        <w:tc>
          <w:tcPr>
            <w:tcW w:w="1117" w:type="pct"/>
            <w:tcBorders>
              <w:tl2br w:val="nil"/>
              <w:tr2bl w:val="nil"/>
            </w:tcBorders>
            <w:vAlign w:val="center"/>
          </w:tcPr>
          <w:p w14:paraId="65BC8D1F">
            <w:pPr>
              <w:spacing w:line="240" w:lineRule="auto"/>
              <w:ind w:firstLine="0" w:firstLineChars="0"/>
              <w:jc w:val="center"/>
              <w:rPr>
                <w:color w:val="auto"/>
                <w:sz w:val="21"/>
                <w:szCs w:val="21"/>
              </w:rPr>
            </w:pPr>
            <w:r>
              <w:rPr>
                <w:color w:val="auto"/>
                <w:spacing w:val="-2"/>
                <w:sz w:val="21"/>
                <w:szCs w:val="21"/>
              </w:rPr>
              <w:t>218-01-9</w:t>
            </w:r>
          </w:p>
        </w:tc>
        <w:tc>
          <w:tcPr>
            <w:tcW w:w="690" w:type="pct"/>
            <w:tcBorders>
              <w:tl2br w:val="nil"/>
              <w:tr2bl w:val="nil"/>
            </w:tcBorders>
            <w:vAlign w:val="center"/>
          </w:tcPr>
          <w:p w14:paraId="0D7EC60A">
            <w:pPr>
              <w:spacing w:line="240" w:lineRule="auto"/>
              <w:ind w:firstLine="0" w:firstLineChars="0"/>
              <w:jc w:val="center"/>
              <w:rPr>
                <w:color w:val="auto"/>
                <w:sz w:val="21"/>
                <w:szCs w:val="21"/>
              </w:rPr>
            </w:pPr>
            <w:r>
              <w:rPr>
                <w:color w:val="auto"/>
                <w:sz w:val="21"/>
                <w:szCs w:val="21"/>
              </w:rPr>
              <w:t>不涉及</w:t>
            </w:r>
          </w:p>
        </w:tc>
      </w:tr>
      <w:tr w14:paraId="19ED73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continue"/>
            <w:tcBorders>
              <w:tl2br w:val="nil"/>
              <w:tr2bl w:val="nil"/>
            </w:tcBorders>
            <w:vAlign w:val="center"/>
          </w:tcPr>
          <w:p w14:paraId="78CD3AF3">
            <w:pPr>
              <w:spacing w:line="240" w:lineRule="auto"/>
              <w:ind w:firstLine="0" w:firstLineChars="0"/>
              <w:jc w:val="center"/>
              <w:rPr>
                <w:color w:val="auto"/>
                <w:sz w:val="21"/>
                <w:szCs w:val="21"/>
              </w:rPr>
            </w:pPr>
          </w:p>
        </w:tc>
        <w:tc>
          <w:tcPr>
            <w:tcW w:w="2836" w:type="pct"/>
            <w:gridSpan w:val="2"/>
            <w:tcBorders>
              <w:tl2br w:val="nil"/>
              <w:tr2bl w:val="nil"/>
            </w:tcBorders>
            <w:vAlign w:val="center"/>
          </w:tcPr>
          <w:p w14:paraId="745B69D2">
            <w:pPr>
              <w:spacing w:line="240" w:lineRule="auto"/>
              <w:ind w:firstLine="0" w:firstLineChars="0"/>
              <w:jc w:val="center"/>
              <w:rPr>
                <w:color w:val="auto"/>
                <w:sz w:val="21"/>
                <w:szCs w:val="21"/>
              </w:rPr>
            </w:pPr>
            <w:r>
              <w:rPr>
                <w:color w:val="auto"/>
                <w:spacing w:val="-4"/>
                <w:sz w:val="21"/>
                <w:szCs w:val="21"/>
              </w:rPr>
              <w:t>苯并[</w:t>
            </w:r>
            <w:r>
              <w:rPr>
                <w:i/>
                <w:iCs/>
                <w:color w:val="auto"/>
                <w:spacing w:val="-4"/>
                <w:sz w:val="21"/>
                <w:szCs w:val="21"/>
              </w:rPr>
              <w:t>a</w:t>
            </w:r>
            <w:r>
              <w:rPr>
                <w:color w:val="auto"/>
                <w:spacing w:val="-4"/>
                <w:sz w:val="21"/>
                <w:szCs w:val="21"/>
              </w:rPr>
              <w:t>]芘</w:t>
            </w:r>
          </w:p>
        </w:tc>
        <w:tc>
          <w:tcPr>
            <w:tcW w:w="1117" w:type="pct"/>
            <w:tcBorders>
              <w:tl2br w:val="nil"/>
              <w:tr2bl w:val="nil"/>
            </w:tcBorders>
            <w:vAlign w:val="center"/>
          </w:tcPr>
          <w:p w14:paraId="71F78CB4">
            <w:pPr>
              <w:spacing w:line="240" w:lineRule="auto"/>
              <w:ind w:firstLine="0" w:firstLineChars="0"/>
              <w:jc w:val="center"/>
              <w:rPr>
                <w:color w:val="auto"/>
                <w:sz w:val="21"/>
                <w:szCs w:val="21"/>
              </w:rPr>
            </w:pPr>
            <w:r>
              <w:rPr>
                <w:color w:val="auto"/>
                <w:spacing w:val="-2"/>
                <w:sz w:val="21"/>
                <w:szCs w:val="21"/>
              </w:rPr>
              <w:t>50-32-8</w:t>
            </w:r>
          </w:p>
        </w:tc>
        <w:tc>
          <w:tcPr>
            <w:tcW w:w="690" w:type="pct"/>
            <w:tcBorders>
              <w:tl2br w:val="nil"/>
              <w:tr2bl w:val="nil"/>
            </w:tcBorders>
            <w:vAlign w:val="center"/>
          </w:tcPr>
          <w:p w14:paraId="40DDD97D">
            <w:pPr>
              <w:spacing w:line="240" w:lineRule="auto"/>
              <w:ind w:firstLine="0" w:firstLineChars="0"/>
              <w:jc w:val="center"/>
              <w:rPr>
                <w:color w:val="auto"/>
                <w:sz w:val="21"/>
                <w:szCs w:val="21"/>
              </w:rPr>
            </w:pPr>
            <w:r>
              <w:rPr>
                <w:color w:val="auto"/>
                <w:sz w:val="21"/>
                <w:szCs w:val="21"/>
              </w:rPr>
              <w:t>不涉及</w:t>
            </w:r>
          </w:p>
        </w:tc>
      </w:tr>
      <w:tr w14:paraId="1F9DAF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continue"/>
            <w:tcBorders>
              <w:tl2br w:val="nil"/>
              <w:tr2bl w:val="nil"/>
            </w:tcBorders>
            <w:vAlign w:val="center"/>
          </w:tcPr>
          <w:p w14:paraId="456ADB67">
            <w:pPr>
              <w:spacing w:line="240" w:lineRule="auto"/>
              <w:ind w:firstLine="0" w:firstLineChars="0"/>
              <w:jc w:val="center"/>
              <w:rPr>
                <w:color w:val="auto"/>
                <w:sz w:val="21"/>
                <w:szCs w:val="21"/>
              </w:rPr>
            </w:pPr>
          </w:p>
        </w:tc>
        <w:tc>
          <w:tcPr>
            <w:tcW w:w="2836" w:type="pct"/>
            <w:gridSpan w:val="2"/>
            <w:tcBorders>
              <w:tl2br w:val="nil"/>
              <w:tr2bl w:val="nil"/>
            </w:tcBorders>
            <w:vAlign w:val="center"/>
          </w:tcPr>
          <w:p w14:paraId="2F6FDC01">
            <w:pPr>
              <w:spacing w:line="240" w:lineRule="auto"/>
              <w:ind w:firstLine="0" w:firstLineChars="0"/>
              <w:jc w:val="center"/>
              <w:rPr>
                <w:color w:val="auto"/>
                <w:sz w:val="21"/>
                <w:szCs w:val="21"/>
              </w:rPr>
            </w:pPr>
            <w:r>
              <w:rPr>
                <w:color w:val="auto"/>
                <w:spacing w:val="-4"/>
                <w:sz w:val="21"/>
                <w:szCs w:val="21"/>
              </w:rPr>
              <w:t>苯并[</w:t>
            </w:r>
            <w:r>
              <w:rPr>
                <w:i/>
                <w:iCs/>
                <w:color w:val="auto"/>
                <w:spacing w:val="-4"/>
                <w:sz w:val="21"/>
                <w:szCs w:val="21"/>
              </w:rPr>
              <w:t>b</w:t>
            </w:r>
            <w:r>
              <w:rPr>
                <w:color w:val="auto"/>
                <w:spacing w:val="-4"/>
                <w:sz w:val="21"/>
                <w:szCs w:val="21"/>
              </w:rPr>
              <w:t>]荧蒽</w:t>
            </w:r>
          </w:p>
        </w:tc>
        <w:tc>
          <w:tcPr>
            <w:tcW w:w="1117" w:type="pct"/>
            <w:tcBorders>
              <w:tl2br w:val="nil"/>
              <w:tr2bl w:val="nil"/>
            </w:tcBorders>
            <w:vAlign w:val="center"/>
          </w:tcPr>
          <w:p w14:paraId="7157E72E">
            <w:pPr>
              <w:spacing w:line="240" w:lineRule="auto"/>
              <w:ind w:firstLine="0" w:firstLineChars="0"/>
              <w:jc w:val="center"/>
              <w:rPr>
                <w:color w:val="auto"/>
                <w:sz w:val="21"/>
                <w:szCs w:val="21"/>
              </w:rPr>
            </w:pPr>
            <w:r>
              <w:rPr>
                <w:color w:val="auto"/>
                <w:spacing w:val="-2"/>
                <w:sz w:val="21"/>
                <w:szCs w:val="21"/>
              </w:rPr>
              <w:t>205-99-2</w:t>
            </w:r>
          </w:p>
        </w:tc>
        <w:tc>
          <w:tcPr>
            <w:tcW w:w="690" w:type="pct"/>
            <w:tcBorders>
              <w:tl2br w:val="nil"/>
              <w:tr2bl w:val="nil"/>
            </w:tcBorders>
            <w:vAlign w:val="center"/>
          </w:tcPr>
          <w:p w14:paraId="544CC13A">
            <w:pPr>
              <w:spacing w:line="240" w:lineRule="auto"/>
              <w:ind w:firstLine="0" w:firstLineChars="0"/>
              <w:jc w:val="center"/>
              <w:rPr>
                <w:color w:val="auto"/>
                <w:sz w:val="21"/>
                <w:szCs w:val="21"/>
              </w:rPr>
            </w:pPr>
            <w:r>
              <w:rPr>
                <w:color w:val="auto"/>
                <w:sz w:val="21"/>
                <w:szCs w:val="21"/>
              </w:rPr>
              <w:t>不涉及</w:t>
            </w:r>
          </w:p>
        </w:tc>
      </w:tr>
      <w:tr w14:paraId="479D04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continue"/>
            <w:tcBorders>
              <w:tl2br w:val="nil"/>
              <w:tr2bl w:val="nil"/>
            </w:tcBorders>
            <w:vAlign w:val="center"/>
          </w:tcPr>
          <w:p w14:paraId="7F535AE6">
            <w:pPr>
              <w:spacing w:line="240" w:lineRule="auto"/>
              <w:ind w:firstLine="0" w:firstLineChars="0"/>
              <w:jc w:val="center"/>
              <w:rPr>
                <w:color w:val="auto"/>
                <w:sz w:val="21"/>
                <w:szCs w:val="21"/>
              </w:rPr>
            </w:pPr>
          </w:p>
        </w:tc>
        <w:tc>
          <w:tcPr>
            <w:tcW w:w="2836" w:type="pct"/>
            <w:gridSpan w:val="2"/>
            <w:tcBorders>
              <w:tl2br w:val="nil"/>
              <w:tr2bl w:val="nil"/>
            </w:tcBorders>
            <w:vAlign w:val="center"/>
          </w:tcPr>
          <w:p w14:paraId="3BD31D52">
            <w:pPr>
              <w:spacing w:line="240" w:lineRule="auto"/>
              <w:ind w:firstLine="0" w:firstLineChars="0"/>
              <w:jc w:val="center"/>
              <w:rPr>
                <w:color w:val="auto"/>
                <w:sz w:val="21"/>
                <w:szCs w:val="21"/>
              </w:rPr>
            </w:pPr>
            <w:r>
              <w:rPr>
                <w:color w:val="auto"/>
                <w:spacing w:val="-4"/>
                <w:sz w:val="21"/>
                <w:szCs w:val="21"/>
              </w:rPr>
              <w:t>苯并[</w:t>
            </w:r>
            <w:r>
              <w:rPr>
                <w:i/>
                <w:iCs/>
                <w:color w:val="auto"/>
                <w:spacing w:val="-4"/>
                <w:sz w:val="21"/>
                <w:szCs w:val="21"/>
              </w:rPr>
              <w:t>k</w:t>
            </w:r>
            <w:r>
              <w:rPr>
                <w:color w:val="auto"/>
                <w:spacing w:val="-4"/>
                <w:sz w:val="21"/>
                <w:szCs w:val="21"/>
              </w:rPr>
              <w:t>]荧蒽</w:t>
            </w:r>
          </w:p>
        </w:tc>
        <w:tc>
          <w:tcPr>
            <w:tcW w:w="1117" w:type="pct"/>
            <w:tcBorders>
              <w:tl2br w:val="nil"/>
              <w:tr2bl w:val="nil"/>
            </w:tcBorders>
            <w:vAlign w:val="center"/>
          </w:tcPr>
          <w:p w14:paraId="2D189EB1">
            <w:pPr>
              <w:spacing w:line="240" w:lineRule="auto"/>
              <w:ind w:firstLine="0" w:firstLineChars="0"/>
              <w:jc w:val="center"/>
              <w:rPr>
                <w:color w:val="auto"/>
                <w:sz w:val="21"/>
                <w:szCs w:val="21"/>
              </w:rPr>
            </w:pPr>
            <w:r>
              <w:rPr>
                <w:color w:val="auto"/>
                <w:spacing w:val="-2"/>
                <w:sz w:val="21"/>
                <w:szCs w:val="21"/>
              </w:rPr>
              <w:t>207-08-9</w:t>
            </w:r>
          </w:p>
        </w:tc>
        <w:tc>
          <w:tcPr>
            <w:tcW w:w="690" w:type="pct"/>
            <w:tcBorders>
              <w:tl2br w:val="nil"/>
              <w:tr2bl w:val="nil"/>
            </w:tcBorders>
            <w:vAlign w:val="center"/>
          </w:tcPr>
          <w:p w14:paraId="248CC637">
            <w:pPr>
              <w:spacing w:line="240" w:lineRule="auto"/>
              <w:ind w:firstLine="0" w:firstLineChars="0"/>
              <w:jc w:val="center"/>
              <w:rPr>
                <w:color w:val="auto"/>
                <w:sz w:val="21"/>
                <w:szCs w:val="21"/>
              </w:rPr>
            </w:pPr>
            <w:r>
              <w:rPr>
                <w:color w:val="auto"/>
                <w:sz w:val="21"/>
                <w:szCs w:val="21"/>
              </w:rPr>
              <w:t>不涉及</w:t>
            </w:r>
          </w:p>
        </w:tc>
      </w:tr>
      <w:tr w14:paraId="289ECB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continue"/>
            <w:tcBorders>
              <w:tl2br w:val="nil"/>
              <w:tr2bl w:val="nil"/>
            </w:tcBorders>
            <w:vAlign w:val="center"/>
          </w:tcPr>
          <w:p w14:paraId="6DC71D07">
            <w:pPr>
              <w:spacing w:line="240" w:lineRule="auto"/>
              <w:ind w:firstLine="0" w:firstLineChars="0"/>
              <w:jc w:val="center"/>
              <w:rPr>
                <w:color w:val="auto"/>
                <w:sz w:val="21"/>
                <w:szCs w:val="21"/>
              </w:rPr>
            </w:pPr>
          </w:p>
        </w:tc>
        <w:tc>
          <w:tcPr>
            <w:tcW w:w="2836" w:type="pct"/>
            <w:gridSpan w:val="2"/>
            <w:tcBorders>
              <w:tl2br w:val="nil"/>
              <w:tr2bl w:val="nil"/>
            </w:tcBorders>
            <w:vAlign w:val="center"/>
          </w:tcPr>
          <w:p w14:paraId="0AB18A82">
            <w:pPr>
              <w:spacing w:line="240" w:lineRule="auto"/>
              <w:ind w:firstLine="0" w:firstLineChars="0"/>
              <w:jc w:val="center"/>
              <w:rPr>
                <w:color w:val="auto"/>
                <w:sz w:val="21"/>
                <w:szCs w:val="21"/>
              </w:rPr>
            </w:pPr>
            <w:r>
              <w:rPr>
                <w:color w:val="auto"/>
                <w:sz w:val="21"/>
                <w:szCs w:val="21"/>
              </w:rPr>
              <w:t>蒽</w:t>
            </w:r>
          </w:p>
        </w:tc>
        <w:tc>
          <w:tcPr>
            <w:tcW w:w="1117" w:type="pct"/>
            <w:tcBorders>
              <w:tl2br w:val="nil"/>
              <w:tr2bl w:val="nil"/>
            </w:tcBorders>
            <w:vAlign w:val="center"/>
          </w:tcPr>
          <w:p w14:paraId="581B6588">
            <w:pPr>
              <w:spacing w:line="240" w:lineRule="auto"/>
              <w:ind w:firstLine="0" w:firstLineChars="0"/>
              <w:jc w:val="center"/>
              <w:rPr>
                <w:color w:val="auto"/>
                <w:sz w:val="21"/>
                <w:szCs w:val="21"/>
              </w:rPr>
            </w:pPr>
            <w:r>
              <w:rPr>
                <w:color w:val="auto"/>
                <w:spacing w:val="-4"/>
                <w:sz w:val="21"/>
                <w:szCs w:val="21"/>
              </w:rPr>
              <w:t>120-12-7</w:t>
            </w:r>
          </w:p>
        </w:tc>
        <w:tc>
          <w:tcPr>
            <w:tcW w:w="690" w:type="pct"/>
            <w:tcBorders>
              <w:tl2br w:val="nil"/>
              <w:tr2bl w:val="nil"/>
            </w:tcBorders>
            <w:vAlign w:val="center"/>
          </w:tcPr>
          <w:p w14:paraId="2E12F71C">
            <w:pPr>
              <w:spacing w:line="240" w:lineRule="auto"/>
              <w:ind w:firstLine="0" w:firstLineChars="0"/>
              <w:jc w:val="center"/>
              <w:rPr>
                <w:color w:val="auto"/>
                <w:sz w:val="21"/>
                <w:szCs w:val="21"/>
              </w:rPr>
            </w:pPr>
            <w:r>
              <w:rPr>
                <w:color w:val="auto"/>
                <w:sz w:val="21"/>
                <w:szCs w:val="21"/>
              </w:rPr>
              <w:t>不涉及</w:t>
            </w:r>
          </w:p>
        </w:tc>
      </w:tr>
      <w:tr w14:paraId="21618A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continue"/>
            <w:tcBorders>
              <w:tl2br w:val="nil"/>
              <w:tr2bl w:val="nil"/>
            </w:tcBorders>
            <w:vAlign w:val="center"/>
          </w:tcPr>
          <w:p w14:paraId="6EFD877B">
            <w:pPr>
              <w:spacing w:line="240" w:lineRule="auto"/>
              <w:ind w:firstLine="0" w:firstLineChars="0"/>
              <w:jc w:val="center"/>
              <w:rPr>
                <w:color w:val="auto"/>
                <w:sz w:val="21"/>
                <w:szCs w:val="21"/>
              </w:rPr>
            </w:pPr>
          </w:p>
        </w:tc>
        <w:tc>
          <w:tcPr>
            <w:tcW w:w="2836" w:type="pct"/>
            <w:gridSpan w:val="2"/>
            <w:tcBorders>
              <w:tl2br w:val="nil"/>
              <w:tr2bl w:val="nil"/>
            </w:tcBorders>
            <w:vAlign w:val="center"/>
          </w:tcPr>
          <w:p w14:paraId="0F437E3C">
            <w:pPr>
              <w:spacing w:line="240" w:lineRule="auto"/>
              <w:ind w:firstLine="0" w:firstLineChars="0"/>
              <w:jc w:val="center"/>
              <w:rPr>
                <w:color w:val="auto"/>
                <w:sz w:val="21"/>
                <w:szCs w:val="21"/>
              </w:rPr>
            </w:pPr>
            <w:r>
              <w:rPr>
                <w:color w:val="auto"/>
                <w:spacing w:val="-5"/>
                <w:sz w:val="21"/>
                <w:szCs w:val="21"/>
              </w:rPr>
              <w:t>二苯并[</w:t>
            </w:r>
            <w:r>
              <w:rPr>
                <w:i/>
                <w:iCs/>
                <w:color w:val="auto"/>
                <w:spacing w:val="-5"/>
                <w:sz w:val="21"/>
                <w:szCs w:val="21"/>
              </w:rPr>
              <w:t>a,h</w:t>
            </w:r>
            <w:r>
              <w:rPr>
                <w:color w:val="auto"/>
                <w:spacing w:val="-5"/>
                <w:sz w:val="21"/>
                <w:szCs w:val="21"/>
              </w:rPr>
              <w:t>]蒽</w:t>
            </w:r>
          </w:p>
        </w:tc>
        <w:tc>
          <w:tcPr>
            <w:tcW w:w="1117" w:type="pct"/>
            <w:tcBorders>
              <w:tl2br w:val="nil"/>
              <w:tr2bl w:val="nil"/>
            </w:tcBorders>
            <w:vAlign w:val="center"/>
          </w:tcPr>
          <w:p w14:paraId="2B4E83B6">
            <w:pPr>
              <w:spacing w:line="240" w:lineRule="auto"/>
              <w:ind w:firstLine="0" w:firstLineChars="0"/>
              <w:jc w:val="center"/>
              <w:rPr>
                <w:color w:val="auto"/>
                <w:sz w:val="21"/>
                <w:szCs w:val="21"/>
              </w:rPr>
            </w:pPr>
            <w:r>
              <w:rPr>
                <w:color w:val="auto"/>
                <w:spacing w:val="-2"/>
                <w:sz w:val="21"/>
                <w:szCs w:val="21"/>
              </w:rPr>
              <w:t>53-70-3</w:t>
            </w:r>
          </w:p>
        </w:tc>
        <w:tc>
          <w:tcPr>
            <w:tcW w:w="690" w:type="pct"/>
            <w:tcBorders>
              <w:tl2br w:val="nil"/>
              <w:tr2bl w:val="nil"/>
            </w:tcBorders>
            <w:vAlign w:val="center"/>
          </w:tcPr>
          <w:p w14:paraId="7E1FB4A1">
            <w:pPr>
              <w:spacing w:line="240" w:lineRule="auto"/>
              <w:ind w:firstLine="0" w:firstLineChars="0"/>
              <w:jc w:val="center"/>
              <w:rPr>
                <w:color w:val="auto"/>
                <w:sz w:val="21"/>
                <w:szCs w:val="21"/>
              </w:rPr>
            </w:pPr>
            <w:r>
              <w:rPr>
                <w:color w:val="auto"/>
                <w:sz w:val="21"/>
                <w:szCs w:val="21"/>
              </w:rPr>
              <w:t>不涉及</w:t>
            </w:r>
          </w:p>
        </w:tc>
      </w:tr>
      <w:tr w14:paraId="29FC68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361241B4">
            <w:pPr>
              <w:spacing w:line="240" w:lineRule="auto"/>
              <w:ind w:firstLine="0" w:firstLineChars="0"/>
              <w:jc w:val="center"/>
              <w:rPr>
                <w:color w:val="auto"/>
                <w:sz w:val="21"/>
                <w:szCs w:val="21"/>
              </w:rPr>
            </w:pPr>
            <w:r>
              <w:rPr>
                <w:color w:val="auto"/>
                <w:sz w:val="21"/>
                <w:szCs w:val="21"/>
              </w:rPr>
              <w:t>29</w:t>
            </w:r>
          </w:p>
        </w:tc>
        <w:tc>
          <w:tcPr>
            <w:tcW w:w="2836" w:type="pct"/>
            <w:gridSpan w:val="2"/>
            <w:tcBorders>
              <w:tl2br w:val="nil"/>
              <w:tr2bl w:val="nil"/>
            </w:tcBorders>
            <w:vAlign w:val="center"/>
          </w:tcPr>
          <w:p w14:paraId="756F5FF8">
            <w:pPr>
              <w:spacing w:line="240" w:lineRule="auto"/>
              <w:ind w:firstLine="0" w:firstLineChars="0"/>
              <w:jc w:val="center"/>
              <w:rPr>
                <w:color w:val="auto"/>
                <w:sz w:val="21"/>
                <w:szCs w:val="21"/>
              </w:rPr>
            </w:pPr>
            <w:r>
              <w:rPr>
                <w:color w:val="auto"/>
                <w:spacing w:val="-2"/>
                <w:sz w:val="21"/>
                <w:szCs w:val="21"/>
              </w:rPr>
              <w:t>多氯二苯并对二噁英和多氯二苯并呋喃</w:t>
            </w:r>
          </w:p>
        </w:tc>
        <w:tc>
          <w:tcPr>
            <w:tcW w:w="1117" w:type="pct"/>
            <w:tcBorders>
              <w:tl2br w:val="nil"/>
              <w:tr2bl w:val="nil"/>
            </w:tcBorders>
            <w:vAlign w:val="center"/>
          </w:tcPr>
          <w:p w14:paraId="4CC1952B">
            <w:pPr>
              <w:spacing w:line="240" w:lineRule="auto"/>
              <w:ind w:firstLine="0" w:firstLineChars="0"/>
              <w:jc w:val="center"/>
              <w:rPr>
                <w:color w:val="auto"/>
                <w:sz w:val="21"/>
                <w:szCs w:val="21"/>
              </w:rPr>
            </w:pPr>
            <w:r>
              <w:rPr>
                <w:color w:val="auto"/>
                <w:sz w:val="21"/>
                <w:szCs w:val="21"/>
              </w:rPr>
              <w:t>/</w:t>
            </w:r>
          </w:p>
        </w:tc>
        <w:tc>
          <w:tcPr>
            <w:tcW w:w="690" w:type="pct"/>
            <w:tcBorders>
              <w:tl2br w:val="nil"/>
              <w:tr2bl w:val="nil"/>
            </w:tcBorders>
            <w:vAlign w:val="center"/>
          </w:tcPr>
          <w:p w14:paraId="39847800">
            <w:pPr>
              <w:spacing w:line="240" w:lineRule="auto"/>
              <w:ind w:firstLine="0" w:firstLineChars="0"/>
              <w:jc w:val="center"/>
              <w:rPr>
                <w:color w:val="auto"/>
                <w:sz w:val="21"/>
                <w:szCs w:val="21"/>
              </w:rPr>
            </w:pPr>
            <w:r>
              <w:rPr>
                <w:color w:val="auto"/>
                <w:sz w:val="21"/>
                <w:szCs w:val="21"/>
              </w:rPr>
              <w:t>不涉及</w:t>
            </w:r>
          </w:p>
        </w:tc>
      </w:tr>
      <w:tr w14:paraId="4DAB17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34686AF">
            <w:pPr>
              <w:spacing w:line="240" w:lineRule="auto"/>
              <w:ind w:firstLine="0" w:firstLineChars="0"/>
              <w:jc w:val="center"/>
              <w:rPr>
                <w:color w:val="auto"/>
                <w:sz w:val="21"/>
                <w:szCs w:val="21"/>
              </w:rPr>
            </w:pPr>
            <w:r>
              <w:rPr>
                <w:color w:val="auto"/>
                <w:sz w:val="21"/>
                <w:szCs w:val="21"/>
              </w:rPr>
              <w:t>30</w:t>
            </w:r>
          </w:p>
        </w:tc>
        <w:tc>
          <w:tcPr>
            <w:tcW w:w="2836" w:type="pct"/>
            <w:gridSpan w:val="2"/>
            <w:tcBorders>
              <w:tl2br w:val="nil"/>
              <w:tr2bl w:val="nil"/>
            </w:tcBorders>
            <w:vAlign w:val="center"/>
          </w:tcPr>
          <w:p w14:paraId="53A9C921">
            <w:pPr>
              <w:spacing w:line="240" w:lineRule="auto"/>
              <w:ind w:firstLine="0" w:firstLineChars="0"/>
              <w:jc w:val="center"/>
              <w:rPr>
                <w:color w:val="auto"/>
                <w:sz w:val="21"/>
                <w:szCs w:val="21"/>
              </w:rPr>
            </w:pPr>
            <w:r>
              <w:rPr>
                <w:color w:val="auto"/>
                <w:spacing w:val="-12"/>
                <w:sz w:val="21"/>
                <w:szCs w:val="21"/>
              </w:rPr>
              <w:t>甲苯</w:t>
            </w:r>
          </w:p>
        </w:tc>
        <w:tc>
          <w:tcPr>
            <w:tcW w:w="1117" w:type="pct"/>
            <w:tcBorders>
              <w:tl2br w:val="nil"/>
              <w:tr2bl w:val="nil"/>
            </w:tcBorders>
            <w:vAlign w:val="center"/>
          </w:tcPr>
          <w:p w14:paraId="3395E3DC">
            <w:pPr>
              <w:spacing w:line="240" w:lineRule="auto"/>
              <w:ind w:firstLine="0" w:firstLineChars="0"/>
              <w:jc w:val="center"/>
              <w:rPr>
                <w:color w:val="auto"/>
                <w:sz w:val="21"/>
                <w:szCs w:val="21"/>
              </w:rPr>
            </w:pPr>
            <w:r>
              <w:rPr>
                <w:color w:val="auto"/>
                <w:spacing w:val="-4"/>
                <w:sz w:val="21"/>
                <w:szCs w:val="21"/>
              </w:rPr>
              <w:t>108-88-3</w:t>
            </w:r>
          </w:p>
        </w:tc>
        <w:tc>
          <w:tcPr>
            <w:tcW w:w="690" w:type="pct"/>
            <w:tcBorders>
              <w:tl2br w:val="nil"/>
              <w:tr2bl w:val="nil"/>
            </w:tcBorders>
            <w:vAlign w:val="center"/>
          </w:tcPr>
          <w:p w14:paraId="185345D7">
            <w:pPr>
              <w:spacing w:line="240" w:lineRule="auto"/>
              <w:ind w:firstLine="0" w:firstLineChars="0"/>
              <w:jc w:val="center"/>
              <w:rPr>
                <w:color w:val="auto"/>
                <w:sz w:val="21"/>
                <w:szCs w:val="21"/>
              </w:rPr>
            </w:pPr>
            <w:r>
              <w:rPr>
                <w:color w:val="auto"/>
                <w:sz w:val="21"/>
                <w:szCs w:val="21"/>
              </w:rPr>
              <w:t>不涉及</w:t>
            </w:r>
          </w:p>
        </w:tc>
      </w:tr>
      <w:tr w14:paraId="28394D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37B3833F">
            <w:pPr>
              <w:spacing w:line="240" w:lineRule="auto"/>
              <w:ind w:firstLine="0" w:firstLineChars="0"/>
              <w:jc w:val="center"/>
              <w:rPr>
                <w:color w:val="auto"/>
                <w:sz w:val="21"/>
                <w:szCs w:val="21"/>
              </w:rPr>
            </w:pPr>
            <w:r>
              <w:rPr>
                <w:color w:val="auto"/>
                <w:sz w:val="21"/>
                <w:szCs w:val="21"/>
              </w:rPr>
              <w:t>31</w:t>
            </w:r>
          </w:p>
        </w:tc>
        <w:tc>
          <w:tcPr>
            <w:tcW w:w="2836" w:type="pct"/>
            <w:gridSpan w:val="2"/>
            <w:tcBorders>
              <w:tl2br w:val="nil"/>
              <w:tr2bl w:val="nil"/>
            </w:tcBorders>
            <w:vAlign w:val="center"/>
          </w:tcPr>
          <w:p w14:paraId="7CBEC77F">
            <w:pPr>
              <w:spacing w:line="240" w:lineRule="auto"/>
              <w:ind w:firstLine="0" w:firstLineChars="0"/>
              <w:jc w:val="center"/>
              <w:rPr>
                <w:color w:val="auto"/>
                <w:sz w:val="21"/>
                <w:szCs w:val="21"/>
              </w:rPr>
            </w:pPr>
            <w:r>
              <w:rPr>
                <w:color w:val="auto"/>
                <w:spacing w:val="-3"/>
                <w:sz w:val="21"/>
                <w:szCs w:val="21"/>
              </w:rPr>
              <w:t>邻甲苯胺</w:t>
            </w:r>
          </w:p>
        </w:tc>
        <w:tc>
          <w:tcPr>
            <w:tcW w:w="1117" w:type="pct"/>
            <w:tcBorders>
              <w:tl2br w:val="nil"/>
              <w:tr2bl w:val="nil"/>
            </w:tcBorders>
            <w:vAlign w:val="center"/>
          </w:tcPr>
          <w:p w14:paraId="3DF85B82">
            <w:pPr>
              <w:spacing w:line="240" w:lineRule="auto"/>
              <w:ind w:firstLine="0" w:firstLineChars="0"/>
              <w:jc w:val="center"/>
              <w:rPr>
                <w:color w:val="auto"/>
                <w:sz w:val="21"/>
                <w:szCs w:val="21"/>
              </w:rPr>
            </w:pPr>
            <w:r>
              <w:rPr>
                <w:color w:val="auto"/>
                <w:spacing w:val="-2"/>
                <w:sz w:val="21"/>
                <w:szCs w:val="21"/>
              </w:rPr>
              <w:t>95-53-4</w:t>
            </w:r>
          </w:p>
        </w:tc>
        <w:tc>
          <w:tcPr>
            <w:tcW w:w="690" w:type="pct"/>
            <w:tcBorders>
              <w:tl2br w:val="nil"/>
              <w:tr2bl w:val="nil"/>
            </w:tcBorders>
            <w:vAlign w:val="center"/>
          </w:tcPr>
          <w:p w14:paraId="7BDB542D">
            <w:pPr>
              <w:spacing w:line="240" w:lineRule="auto"/>
              <w:ind w:firstLine="0" w:firstLineChars="0"/>
              <w:jc w:val="center"/>
              <w:rPr>
                <w:color w:val="auto"/>
                <w:sz w:val="21"/>
                <w:szCs w:val="21"/>
              </w:rPr>
            </w:pPr>
            <w:r>
              <w:rPr>
                <w:color w:val="auto"/>
                <w:sz w:val="21"/>
                <w:szCs w:val="21"/>
              </w:rPr>
              <w:t>不涉及</w:t>
            </w:r>
          </w:p>
        </w:tc>
      </w:tr>
      <w:tr w14:paraId="2E752B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3955FA8D">
            <w:pPr>
              <w:spacing w:line="240" w:lineRule="auto"/>
              <w:ind w:firstLine="0" w:firstLineChars="0"/>
              <w:jc w:val="center"/>
              <w:rPr>
                <w:color w:val="auto"/>
                <w:sz w:val="21"/>
                <w:szCs w:val="21"/>
              </w:rPr>
            </w:pPr>
            <w:r>
              <w:rPr>
                <w:color w:val="auto"/>
                <w:sz w:val="21"/>
                <w:szCs w:val="21"/>
              </w:rPr>
              <w:t>32</w:t>
            </w:r>
          </w:p>
        </w:tc>
        <w:tc>
          <w:tcPr>
            <w:tcW w:w="2836" w:type="pct"/>
            <w:gridSpan w:val="2"/>
            <w:tcBorders>
              <w:tl2br w:val="nil"/>
              <w:tr2bl w:val="nil"/>
            </w:tcBorders>
            <w:vAlign w:val="center"/>
          </w:tcPr>
          <w:p w14:paraId="3279CCB0">
            <w:pPr>
              <w:spacing w:line="240" w:lineRule="auto"/>
              <w:ind w:firstLine="0" w:firstLineChars="0"/>
              <w:jc w:val="center"/>
              <w:rPr>
                <w:color w:val="auto"/>
                <w:sz w:val="21"/>
                <w:szCs w:val="21"/>
              </w:rPr>
            </w:pPr>
            <w:r>
              <w:rPr>
                <w:color w:val="auto"/>
                <w:spacing w:val="-2"/>
                <w:sz w:val="21"/>
                <w:szCs w:val="21"/>
              </w:rPr>
              <w:t>磷酸三</w:t>
            </w:r>
            <w:r>
              <w:rPr>
                <w:rFonts w:hint="eastAsia"/>
                <w:color w:val="auto"/>
                <w:spacing w:val="-2"/>
                <w:sz w:val="21"/>
                <w:szCs w:val="21"/>
              </w:rPr>
              <w:t>（</w:t>
            </w:r>
            <w:r>
              <w:rPr>
                <w:color w:val="auto"/>
                <w:spacing w:val="-2"/>
                <w:sz w:val="21"/>
                <w:szCs w:val="21"/>
              </w:rPr>
              <w:t>2-氯乙基</w:t>
            </w:r>
            <w:r>
              <w:rPr>
                <w:rFonts w:hint="eastAsia"/>
                <w:color w:val="auto"/>
                <w:spacing w:val="-2"/>
                <w:sz w:val="21"/>
                <w:szCs w:val="21"/>
              </w:rPr>
              <w:t>）</w:t>
            </w:r>
            <w:r>
              <w:rPr>
                <w:color w:val="auto"/>
                <w:spacing w:val="-2"/>
                <w:sz w:val="21"/>
                <w:szCs w:val="21"/>
              </w:rPr>
              <w:t>酯</w:t>
            </w:r>
          </w:p>
        </w:tc>
        <w:tc>
          <w:tcPr>
            <w:tcW w:w="1117" w:type="pct"/>
            <w:tcBorders>
              <w:tl2br w:val="nil"/>
              <w:tr2bl w:val="nil"/>
            </w:tcBorders>
            <w:vAlign w:val="center"/>
          </w:tcPr>
          <w:p w14:paraId="05AE5123">
            <w:pPr>
              <w:spacing w:line="240" w:lineRule="auto"/>
              <w:ind w:firstLine="0" w:firstLineChars="0"/>
              <w:jc w:val="center"/>
              <w:rPr>
                <w:color w:val="auto"/>
                <w:sz w:val="21"/>
                <w:szCs w:val="21"/>
              </w:rPr>
            </w:pPr>
            <w:r>
              <w:rPr>
                <w:color w:val="auto"/>
                <w:spacing w:val="-4"/>
                <w:sz w:val="21"/>
                <w:szCs w:val="21"/>
              </w:rPr>
              <w:t>115-96-8</w:t>
            </w:r>
          </w:p>
        </w:tc>
        <w:tc>
          <w:tcPr>
            <w:tcW w:w="690" w:type="pct"/>
            <w:tcBorders>
              <w:tl2br w:val="nil"/>
              <w:tr2bl w:val="nil"/>
            </w:tcBorders>
            <w:vAlign w:val="center"/>
          </w:tcPr>
          <w:p w14:paraId="0B6B4CFD">
            <w:pPr>
              <w:spacing w:line="240" w:lineRule="auto"/>
              <w:ind w:firstLine="0" w:firstLineChars="0"/>
              <w:jc w:val="center"/>
              <w:rPr>
                <w:color w:val="auto"/>
                <w:sz w:val="21"/>
                <w:szCs w:val="21"/>
              </w:rPr>
            </w:pPr>
            <w:r>
              <w:rPr>
                <w:color w:val="auto"/>
                <w:sz w:val="21"/>
                <w:szCs w:val="21"/>
              </w:rPr>
              <w:t>不涉及</w:t>
            </w:r>
          </w:p>
        </w:tc>
      </w:tr>
      <w:tr w14:paraId="3269BE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021F3EA">
            <w:pPr>
              <w:spacing w:line="240" w:lineRule="auto"/>
              <w:ind w:firstLine="0" w:firstLineChars="0"/>
              <w:jc w:val="center"/>
              <w:rPr>
                <w:color w:val="auto"/>
                <w:sz w:val="21"/>
                <w:szCs w:val="21"/>
              </w:rPr>
            </w:pPr>
            <w:r>
              <w:rPr>
                <w:color w:val="auto"/>
                <w:sz w:val="21"/>
                <w:szCs w:val="21"/>
              </w:rPr>
              <w:t>33</w:t>
            </w:r>
          </w:p>
        </w:tc>
        <w:tc>
          <w:tcPr>
            <w:tcW w:w="2836" w:type="pct"/>
            <w:gridSpan w:val="2"/>
            <w:tcBorders>
              <w:tl2br w:val="nil"/>
              <w:tr2bl w:val="nil"/>
            </w:tcBorders>
            <w:vAlign w:val="center"/>
          </w:tcPr>
          <w:p w14:paraId="11973E4A">
            <w:pPr>
              <w:spacing w:line="240" w:lineRule="auto"/>
              <w:ind w:firstLine="0" w:firstLineChars="0"/>
              <w:jc w:val="center"/>
              <w:rPr>
                <w:color w:val="auto"/>
                <w:sz w:val="21"/>
                <w:szCs w:val="21"/>
              </w:rPr>
            </w:pPr>
            <w:r>
              <w:rPr>
                <w:color w:val="auto"/>
                <w:spacing w:val="-3"/>
                <w:sz w:val="21"/>
                <w:szCs w:val="21"/>
              </w:rPr>
              <w:t>六氯丁二烯</w:t>
            </w:r>
          </w:p>
        </w:tc>
        <w:tc>
          <w:tcPr>
            <w:tcW w:w="1117" w:type="pct"/>
            <w:tcBorders>
              <w:tl2br w:val="nil"/>
              <w:tr2bl w:val="nil"/>
            </w:tcBorders>
            <w:vAlign w:val="center"/>
          </w:tcPr>
          <w:p w14:paraId="723D4E08">
            <w:pPr>
              <w:spacing w:line="240" w:lineRule="auto"/>
              <w:ind w:firstLine="0" w:firstLineChars="0"/>
              <w:jc w:val="center"/>
              <w:rPr>
                <w:color w:val="auto"/>
                <w:sz w:val="21"/>
                <w:szCs w:val="21"/>
              </w:rPr>
            </w:pPr>
            <w:r>
              <w:rPr>
                <w:color w:val="auto"/>
                <w:spacing w:val="-2"/>
                <w:sz w:val="21"/>
                <w:szCs w:val="21"/>
              </w:rPr>
              <w:t>87-68-3</w:t>
            </w:r>
          </w:p>
        </w:tc>
        <w:tc>
          <w:tcPr>
            <w:tcW w:w="690" w:type="pct"/>
            <w:tcBorders>
              <w:tl2br w:val="nil"/>
              <w:tr2bl w:val="nil"/>
            </w:tcBorders>
            <w:vAlign w:val="center"/>
          </w:tcPr>
          <w:p w14:paraId="34E78F1B">
            <w:pPr>
              <w:spacing w:line="240" w:lineRule="auto"/>
              <w:ind w:firstLine="0" w:firstLineChars="0"/>
              <w:jc w:val="center"/>
              <w:rPr>
                <w:color w:val="auto"/>
                <w:sz w:val="21"/>
                <w:szCs w:val="21"/>
              </w:rPr>
            </w:pPr>
            <w:r>
              <w:rPr>
                <w:color w:val="auto"/>
                <w:sz w:val="21"/>
                <w:szCs w:val="21"/>
              </w:rPr>
              <w:t>不涉及</w:t>
            </w:r>
          </w:p>
        </w:tc>
      </w:tr>
      <w:tr w14:paraId="40447B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restart"/>
            <w:tcBorders>
              <w:tl2br w:val="nil"/>
              <w:tr2bl w:val="nil"/>
            </w:tcBorders>
            <w:vAlign w:val="center"/>
          </w:tcPr>
          <w:p w14:paraId="1DC0D6FC">
            <w:pPr>
              <w:spacing w:line="240" w:lineRule="auto"/>
              <w:ind w:firstLine="0" w:firstLineChars="0"/>
              <w:jc w:val="center"/>
              <w:rPr>
                <w:color w:val="auto"/>
                <w:sz w:val="21"/>
                <w:szCs w:val="21"/>
              </w:rPr>
            </w:pPr>
            <w:r>
              <w:rPr>
                <w:color w:val="auto"/>
                <w:sz w:val="21"/>
                <w:szCs w:val="21"/>
              </w:rPr>
              <w:t>34</w:t>
            </w:r>
          </w:p>
        </w:tc>
        <w:tc>
          <w:tcPr>
            <w:tcW w:w="2836" w:type="pct"/>
            <w:gridSpan w:val="2"/>
            <w:tcBorders>
              <w:tl2br w:val="nil"/>
              <w:tr2bl w:val="nil"/>
            </w:tcBorders>
            <w:vAlign w:val="center"/>
          </w:tcPr>
          <w:p w14:paraId="0A044343">
            <w:pPr>
              <w:spacing w:line="240" w:lineRule="auto"/>
              <w:ind w:firstLine="0" w:firstLineChars="0"/>
              <w:jc w:val="center"/>
              <w:rPr>
                <w:color w:val="auto"/>
                <w:sz w:val="21"/>
                <w:szCs w:val="21"/>
              </w:rPr>
            </w:pPr>
            <w:r>
              <w:rPr>
                <w:color w:val="auto"/>
                <w:spacing w:val="-8"/>
                <w:sz w:val="21"/>
                <w:szCs w:val="21"/>
              </w:rPr>
              <w:t>氯苯类物质，包括：</w:t>
            </w:r>
          </w:p>
        </w:tc>
        <w:tc>
          <w:tcPr>
            <w:tcW w:w="1117" w:type="pct"/>
            <w:tcBorders>
              <w:tl2br w:val="nil"/>
              <w:tr2bl w:val="nil"/>
            </w:tcBorders>
            <w:vAlign w:val="center"/>
          </w:tcPr>
          <w:p w14:paraId="60952047">
            <w:pPr>
              <w:spacing w:line="240" w:lineRule="auto"/>
              <w:ind w:firstLine="0" w:firstLineChars="0"/>
              <w:jc w:val="center"/>
              <w:rPr>
                <w:color w:val="auto"/>
                <w:sz w:val="21"/>
                <w:szCs w:val="21"/>
              </w:rPr>
            </w:pPr>
            <w:r>
              <w:rPr>
                <w:color w:val="auto"/>
                <w:sz w:val="21"/>
                <w:szCs w:val="21"/>
              </w:rPr>
              <w:t>/</w:t>
            </w:r>
          </w:p>
        </w:tc>
        <w:tc>
          <w:tcPr>
            <w:tcW w:w="690" w:type="pct"/>
            <w:tcBorders>
              <w:tl2br w:val="nil"/>
              <w:tr2bl w:val="nil"/>
            </w:tcBorders>
            <w:vAlign w:val="center"/>
          </w:tcPr>
          <w:p w14:paraId="540433CF">
            <w:pPr>
              <w:spacing w:line="240" w:lineRule="auto"/>
              <w:ind w:firstLine="0" w:firstLineChars="0"/>
              <w:jc w:val="center"/>
              <w:rPr>
                <w:color w:val="auto"/>
                <w:sz w:val="21"/>
                <w:szCs w:val="21"/>
              </w:rPr>
            </w:pPr>
            <w:r>
              <w:rPr>
                <w:color w:val="auto"/>
                <w:sz w:val="21"/>
                <w:szCs w:val="21"/>
              </w:rPr>
              <w:t>不涉及</w:t>
            </w:r>
          </w:p>
        </w:tc>
      </w:tr>
      <w:tr w14:paraId="0575BA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continue"/>
            <w:tcBorders>
              <w:tl2br w:val="nil"/>
              <w:tr2bl w:val="nil"/>
            </w:tcBorders>
            <w:vAlign w:val="center"/>
          </w:tcPr>
          <w:p w14:paraId="1E38DAB5">
            <w:pPr>
              <w:spacing w:line="240" w:lineRule="auto"/>
              <w:ind w:firstLine="0" w:firstLineChars="0"/>
              <w:jc w:val="center"/>
              <w:rPr>
                <w:color w:val="auto"/>
                <w:sz w:val="21"/>
                <w:szCs w:val="21"/>
              </w:rPr>
            </w:pPr>
          </w:p>
        </w:tc>
        <w:tc>
          <w:tcPr>
            <w:tcW w:w="2836" w:type="pct"/>
            <w:gridSpan w:val="2"/>
            <w:tcBorders>
              <w:tl2br w:val="nil"/>
              <w:tr2bl w:val="nil"/>
            </w:tcBorders>
            <w:vAlign w:val="center"/>
          </w:tcPr>
          <w:p w14:paraId="062B1BC9">
            <w:pPr>
              <w:spacing w:line="240" w:lineRule="auto"/>
              <w:ind w:firstLine="0" w:firstLineChars="0"/>
              <w:jc w:val="center"/>
              <w:rPr>
                <w:color w:val="auto"/>
                <w:sz w:val="21"/>
                <w:szCs w:val="21"/>
              </w:rPr>
            </w:pPr>
            <w:r>
              <w:rPr>
                <w:color w:val="auto"/>
                <w:spacing w:val="-5"/>
                <w:sz w:val="21"/>
                <w:szCs w:val="21"/>
              </w:rPr>
              <w:t>五氯苯</w:t>
            </w:r>
          </w:p>
        </w:tc>
        <w:tc>
          <w:tcPr>
            <w:tcW w:w="1117" w:type="pct"/>
            <w:tcBorders>
              <w:tl2br w:val="nil"/>
              <w:tr2bl w:val="nil"/>
            </w:tcBorders>
            <w:vAlign w:val="center"/>
          </w:tcPr>
          <w:p w14:paraId="3ED5B32E">
            <w:pPr>
              <w:spacing w:line="240" w:lineRule="auto"/>
              <w:ind w:firstLine="0" w:firstLineChars="0"/>
              <w:jc w:val="center"/>
              <w:rPr>
                <w:color w:val="auto"/>
                <w:sz w:val="21"/>
                <w:szCs w:val="21"/>
              </w:rPr>
            </w:pPr>
            <w:r>
              <w:rPr>
                <w:color w:val="auto"/>
                <w:spacing w:val="-2"/>
                <w:sz w:val="21"/>
                <w:szCs w:val="21"/>
              </w:rPr>
              <w:t>608-93-5</w:t>
            </w:r>
          </w:p>
        </w:tc>
        <w:tc>
          <w:tcPr>
            <w:tcW w:w="690" w:type="pct"/>
            <w:tcBorders>
              <w:tl2br w:val="nil"/>
              <w:tr2bl w:val="nil"/>
            </w:tcBorders>
            <w:vAlign w:val="center"/>
          </w:tcPr>
          <w:p w14:paraId="2747B84A">
            <w:pPr>
              <w:spacing w:line="240" w:lineRule="auto"/>
              <w:ind w:firstLine="0" w:firstLineChars="0"/>
              <w:jc w:val="center"/>
              <w:rPr>
                <w:color w:val="auto"/>
                <w:sz w:val="21"/>
                <w:szCs w:val="21"/>
              </w:rPr>
            </w:pPr>
            <w:r>
              <w:rPr>
                <w:color w:val="auto"/>
                <w:sz w:val="21"/>
                <w:szCs w:val="21"/>
              </w:rPr>
              <w:t>不涉及</w:t>
            </w:r>
          </w:p>
        </w:tc>
      </w:tr>
      <w:tr w14:paraId="374007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vMerge w:val="continue"/>
            <w:tcBorders>
              <w:tl2br w:val="nil"/>
              <w:tr2bl w:val="nil"/>
            </w:tcBorders>
            <w:vAlign w:val="center"/>
          </w:tcPr>
          <w:p w14:paraId="108B8AF0">
            <w:pPr>
              <w:spacing w:line="240" w:lineRule="auto"/>
              <w:ind w:firstLine="0" w:firstLineChars="0"/>
              <w:jc w:val="center"/>
              <w:rPr>
                <w:color w:val="auto"/>
                <w:sz w:val="21"/>
                <w:szCs w:val="21"/>
              </w:rPr>
            </w:pPr>
          </w:p>
        </w:tc>
        <w:tc>
          <w:tcPr>
            <w:tcW w:w="2836" w:type="pct"/>
            <w:gridSpan w:val="2"/>
            <w:tcBorders>
              <w:tl2br w:val="nil"/>
              <w:tr2bl w:val="nil"/>
            </w:tcBorders>
            <w:vAlign w:val="center"/>
          </w:tcPr>
          <w:p w14:paraId="545DCB77">
            <w:pPr>
              <w:spacing w:line="240" w:lineRule="auto"/>
              <w:ind w:firstLine="0" w:firstLineChars="0"/>
              <w:jc w:val="center"/>
              <w:rPr>
                <w:color w:val="auto"/>
                <w:sz w:val="21"/>
                <w:szCs w:val="21"/>
              </w:rPr>
            </w:pPr>
            <w:r>
              <w:rPr>
                <w:color w:val="auto"/>
                <w:spacing w:val="-4"/>
                <w:sz w:val="21"/>
                <w:szCs w:val="21"/>
              </w:rPr>
              <w:t>六氯苯</w:t>
            </w:r>
          </w:p>
        </w:tc>
        <w:tc>
          <w:tcPr>
            <w:tcW w:w="1117" w:type="pct"/>
            <w:tcBorders>
              <w:tl2br w:val="nil"/>
              <w:tr2bl w:val="nil"/>
            </w:tcBorders>
            <w:vAlign w:val="center"/>
          </w:tcPr>
          <w:p w14:paraId="2D536980">
            <w:pPr>
              <w:spacing w:line="240" w:lineRule="auto"/>
              <w:ind w:firstLine="0" w:firstLineChars="0"/>
              <w:jc w:val="center"/>
              <w:rPr>
                <w:color w:val="auto"/>
                <w:sz w:val="21"/>
                <w:szCs w:val="21"/>
              </w:rPr>
            </w:pPr>
            <w:r>
              <w:rPr>
                <w:color w:val="auto"/>
                <w:spacing w:val="-4"/>
                <w:sz w:val="21"/>
                <w:szCs w:val="21"/>
              </w:rPr>
              <w:t>118-74-1</w:t>
            </w:r>
          </w:p>
        </w:tc>
        <w:tc>
          <w:tcPr>
            <w:tcW w:w="690" w:type="pct"/>
            <w:tcBorders>
              <w:tl2br w:val="nil"/>
              <w:tr2bl w:val="nil"/>
            </w:tcBorders>
            <w:vAlign w:val="center"/>
          </w:tcPr>
          <w:p w14:paraId="74032219">
            <w:pPr>
              <w:spacing w:line="240" w:lineRule="auto"/>
              <w:ind w:firstLine="0" w:firstLineChars="0"/>
              <w:jc w:val="center"/>
              <w:rPr>
                <w:color w:val="auto"/>
                <w:sz w:val="21"/>
                <w:szCs w:val="21"/>
              </w:rPr>
            </w:pPr>
            <w:r>
              <w:rPr>
                <w:color w:val="auto"/>
                <w:sz w:val="21"/>
                <w:szCs w:val="21"/>
              </w:rPr>
              <w:t>不涉及</w:t>
            </w:r>
          </w:p>
        </w:tc>
      </w:tr>
      <w:tr w14:paraId="59038E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E735596">
            <w:pPr>
              <w:spacing w:line="240" w:lineRule="auto"/>
              <w:ind w:firstLine="0" w:firstLineChars="0"/>
              <w:jc w:val="center"/>
              <w:rPr>
                <w:color w:val="auto"/>
                <w:sz w:val="21"/>
                <w:szCs w:val="21"/>
              </w:rPr>
            </w:pPr>
            <w:r>
              <w:rPr>
                <w:color w:val="auto"/>
                <w:sz w:val="21"/>
                <w:szCs w:val="21"/>
              </w:rPr>
              <w:t>35</w:t>
            </w:r>
          </w:p>
        </w:tc>
        <w:tc>
          <w:tcPr>
            <w:tcW w:w="2836" w:type="pct"/>
            <w:gridSpan w:val="2"/>
            <w:tcBorders>
              <w:tl2br w:val="nil"/>
              <w:tr2bl w:val="nil"/>
            </w:tcBorders>
            <w:vAlign w:val="center"/>
          </w:tcPr>
          <w:p w14:paraId="19A717E3">
            <w:pPr>
              <w:spacing w:line="240" w:lineRule="auto"/>
              <w:ind w:firstLine="0" w:firstLineChars="0"/>
              <w:jc w:val="center"/>
              <w:rPr>
                <w:color w:val="auto"/>
                <w:sz w:val="21"/>
                <w:szCs w:val="21"/>
              </w:rPr>
            </w:pPr>
            <w:r>
              <w:rPr>
                <w:color w:val="auto"/>
                <w:spacing w:val="-2"/>
                <w:sz w:val="21"/>
                <w:szCs w:val="21"/>
              </w:rPr>
              <w:t>全氟辛酸（PFOA）及其盐类和相关化合物</w:t>
            </w:r>
          </w:p>
        </w:tc>
        <w:tc>
          <w:tcPr>
            <w:tcW w:w="1117" w:type="pct"/>
            <w:tcBorders>
              <w:tl2br w:val="nil"/>
              <w:tr2bl w:val="nil"/>
            </w:tcBorders>
            <w:vAlign w:val="center"/>
          </w:tcPr>
          <w:p w14:paraId="3A4C2260">
            <w:pPr>
              <w:spacing w:line="240" w:lineRule="auto"/>
              <w:ind w:firstLine="0" w:firstLineChars="0"/>
              <w:jc w:val="center"/>
              <w:rPr>
                <w:color w:val="auto"/>
                <w:sz w:val="21"/>
                <w:szCs w:val="21"/>
              </w:rPr>
            </w:pPr>
            <w:r>
              <w:rPr>
                <w:color w:val="auto"/>
                <w:spacing w:val="-2"/>
                <w:sz w:val="21"/>
                <w:szCs w:val="21"/>
              </w:rPr>
              <w:t>335-67-1</w:t>
            </w:r>
            <w:r>
              <w:rPr>
                <w:color w:val="auto"/>
                <w:sz w:val="21"/>
                <w:szCs w:val="21"/>
              </w:rPr>
              <w:t xml:space="preserve"> </w:t>
            </w:r>
            <w:r>
              <w:rPr>
                <w:rFonts w:hint="eastAsia"/>
                <w:color w:val="auto"/>
                <w:sz w:val="21"/>
                <w:szCs w:val="21"/>
              </w:rPr>
              <w:t>（</w:t>
            </w:r>
            <w:r>
              <w:rPr>
                <w:color w:val="auto"/>
                <w:spacing w:val="-9"/>
                <w:sz w:val="21"/>
                <w:szCs w:val="21"/>
              </w:rPr>
              <w:t>全氟辛酸</w:t>
            </w:r>
            <w:r>
              <w:rPr>
                <w:rFonts w:hint="eastAsia"/>
                <w:color w:val="auto"/>
                <w:spacing w:val="-9"/>
                <w:sz w:val="21"/>
                <w:szCs w:val="21"/>
              </w:rPr>
              <w:t>）</w:t>
            </w:r>
          </w:p>
        </w:tc>
        <w:tc>
          <w:tcPr>
            <w:tcW w:w="690" w:type="pct"/>
            <w:tcBorders>
              <w:tl2br w:val="nil"/>
              <w:tr2bl w:val="nil"/>
            </w:tcBorders>
            <w:vAlign w:val="center"/>
          </w:tcPr>
          <w:p w14:paraId="15CF9E96">
            <w:pPr>
              <w:spacing w:line="240" w:lineRule="auto"/>
              <w:ind w:firstLine="0" w:firstLineChars="0"/>
              <w:jc w:val="center"/>
              <w:rPr>
                <w:color w:val="auto"/>
                <w:sz w:val="21"/>
                <w:szCs w:val="21"/>
              </w:rPr>
            </w:pPr>
            <w:r>
              <w:rPr>
                <w:color w:val="auto"/>
                <w:sz w:val="21"/>
                <w:szCs w:val="21"/>
              </w:rPr>
              <w:t>不涉及</w:t>
            </w:r>
          </w:p>
        </w:tc>
      </w:tr>
      <w:tr w14:paraId="0269AA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8816C13">
            <w:pPr>
              <w:spacing w:line="240" w:lineRule="auto"/>
              <w:ind w:firstLine="0" w:firstLineChars="0"/>
              <w:jc w:val="center"/>
              <w:rPr>
                <w:color w:val="auto"/>
                <w:sz w:val="21"/>
                <w:szCs w:val="21"/>
              </w:rPr>
            </w:pPr>
            <w:r>
              <w:rPr>
                <w:color w:val="auto"/>
                <w:sz w:val="21"/>
                <w:szCs w:val="21"/>
              </w:rPr>
              <w:t>36</w:t>
            </w:r>
          </w:p>
        </w:tc>
        <w:tc>
          <w:tcPr>
            <w:tcW w:w="2836" w:type="pct"/>
            <w:gridSpan w:val="2"/>
            <w:tcBorders>
              <w:tl2br w:val="nil"/>
              <w:tr2bl w:val="nil"/>
            </w:tcBorders>
            <w:vAlign w:val="center"/>
          </w:tcPr>
          <w:p w14:paraId="181C0A78">
            <w:pPr>
              <w:spacing w:line="240" w:lineRule="auto"/>
              <w:ind w:firstLine="0" w:firstLineChars="0"/>
              <w:jc w:val="center"/>
              <w:rPr>
                <w:color w:val="auto"/>
                <w:sz w:val="21"/>
                <w:szCs w:val="21"/>
              </w:rPr>
            </w:pPr>
            <w:r>
              <w:rPr>
                <w:color w:val="auto"/>
                <w:spacing w:val="-7"/>
                <w:sz w:val="21"/>
                <w:szCs w:val="21"/>
              </w:rPr>
              <w:t>氰化物</w:t>
            </w:r>
          </w:p>
        </w:tc>
        <w:tc>
          <w:tcPr>
            <w:tcW w:w="1117" w:type="pct"/>
            <w:tcBorders>
              <w:tl2br w:val="nil"/>
              <w:tr2bl w:val="nil"/>
            </w:tcBorders>
            <w:vAlign w:val="center"/>
          </w:tcPr>
          <w:p w14:paraId="06CA50EC">
            <w:pPr>
              <w:spacing w:line="240" w:lineRule="auto"/>
              <w:ind w:firstLine="0" w:firstLineChars="0"/>
              <w:jc w:val="center"/>
              <w:rPr>
                <w:color w:val="auto"/>
                <w:sz w:val="21"/>
                <w:szCs w:val="21"/>
              </w:rPr>
            </w:pPr>
            <w:r>
              <w:rPr>
                <w:color w:val="auto"/>
                <w:sz w:val="21"/>
                <w:szCs w:val="21"/>
              </w:rPr>
              <w:t>/</w:t>
            </w:r>
          </w:p>
        </w:tc>
        <w:tc>
          <w:tcPr>
            <w:tcW w:w="690" w:type="pct"/>
            <w:tcBorders>
              <w:tl2br w:val="nil"/>
              <w:tr2bl w:val="nil"/>
            </w:tcBorders>
            <w:vAlign w:val="center"/>
          </w:tcPr>
          <w:p w14:paraId="1A8F3179">
            <w:pPr>
              <w:spacing w:line="240" w:lineRule="auto"/>
              <w:ind w:firstLine="0" w:firstLineChars="0"/>
              <w:jc w:val="center"/>
              <w:rPr>
                <w:color w:val="auto"/>
                <w:sz w:val="21"/>
                <w:szCs w:val="21"/>
              </w:rPr>
            </w:pPr>
            <w:r>
              <w:rPr>
                <w:color w:val="auto"/>
                <w:sz w:val="21"/>
                <w:szCs w:val="21"/>
              </w:rPr>
              <w:t>不涉及</w:t>
            </w:r>
          </w:p>
        </w:tc>
      </w:tr>
      <w:tr w14:paraId="6ADF04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AB4408C">
            <w:pPr>
              <w:spacing w:line="240" w:lineRule="auto"/>
              <w:ind w:firstLine="0" w:firstLineChars="0"/>
              <w:jc w:val="center"/>
              <w:rPr>
                <w:color w:val="auto"/>
                <w:sz w:val="21"/>
                <w:szCs w:val="21"/>
              </w:rPr>
            </w:pPr>
            <w:r>
              <w:rPr>
                <w:color w:val="auto"/>
                <w:sz w:val="21"/>
                <w:szCs w:val="21"/>
              </w:rPr>
              <w:t>37</w:t>
            </w:r>
          </w:p>
        </w:tc>
        <w:tc>
          <w:tcPr>
            <w:tcW w:w="2836" w:type="pct"/>
            <w:gridSpan w:val="2"/>
            <w:tcBorders>
              <w:tl2br w:val="nil"/>
              <w:tr2bl w:val="nil"/>
            </w:tcBorders>
            <w:vAlign w:val="center"/>
          </w:tcPr>
          <w:p w14:paraId="601D0DA8">
            <w:pPr>
              <w:spacing w:line="240" w:lineRule="auto"/>
              <w:ind w:firstLine="0" w:firstLineChars="0"/>
              <w:jc w:val="center"/>
              <w:rPr>
                <w:color w:val="auto"/>
                <w:sz w:val="21"/>
                <w:szCs w:val="21"/>
              </w:rPr>
            </w:pPr>
            <w:r>
              <w:rPr>
                <w:color w:val="auto"/>
                <w:spacing w:val="-3"/>
                <w:sz w:val="21"/>
                <w:szCs w:val="21"/>
              </w:rPr>
              <w:t>铊及铊化合物</w:t>
            </w:r>
          </w:p>
        </w:tc>
        <w:tc>
          <w:tcPr>
            <w:tcW w:w="1117" w:type="pct"/>
            <w:tcBorders>
              <w:tl2br w:val="nil"/>
              <w:tr2bl w:val="nil"/>
            </w:tcBorders>
            <w:vAlign w:val="center"/>
          </w:tcPr>
          <w:p w14:paraId="55A1CBDC">
            <w:pPr>
              <w:spacing w:line="240" w:lineRule="auto"/>
              <w:ind w:firstLine="0" w:firstLineChars="0"/>
              <w:jc w:val="center"/>
              <w:rPr>
                <w:color w:val="auto"/>
                <w:sz w:val="21"/>
                <w:szCs w:val="21"/>
              </w:rPr>
            </w:pPr>
            <w:r>
              <w:rPr>
                <w:color w:val="auto"/>
                <w:sz w:val="21"/>
                <w:szCs w:val="21"/>
              </w:rPr>
              <w:t>7440-28-0（铊）</w:t>
            </w:r>
          </w:p>
        </w:tc>
        <w:tc>
          <w:tcPr>
            <w:tcW w:w="690" w:type="pct"/>
            <w:tcBorders>
              <w:tl2br w:val="nil"/>
              <w:tr2bl w:val="nil"/>
            </w:tcBorders>
            <w:vAlign w:val="center"/>
          </w:tcPr>
          <w:p w14:paraId="3B168AFE">
            <w:pPr>
              <w:spacing w:line="240" w:lineRule="auto"/>
              <w:ind w:firstLine="0" w:firstLineChars="0"/>
              <w:jc w:val="center"/>
              <w:rPr>
                <w:color w:val="auto"/>
                <w:sz w:val="21"/>
                <w:szCs w:val="21"/>
              </w:rPr>
            </w:pPr>
            <w:r>
              <w:rPr>
                <w:color w:val="auto"/>
                <w:sz w:val="21"/>
                <w:szCs w:val="21"/>
              </w:rPr>
              <w:t>不涉及</w:t>
            </w:r>
          </w:p>
        </w:tc>
      </w:tr>
      <w:tr w14:paraId="12A3FE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8BB5367">
            <w:pPr>
              <w:spacing w:line="240" w:lineRule="auto"/>
              <w:ind w:firstLine="0" w:firstLineChars="0"/>
              <w:jc w:val="center"/>
              <w:rPr>
                <w:color w:val="auto"/>
                <w:sz w:val="21"/>
                <w:szCs w:val="21"/>
              </w:rPr>
            </w:pPr>
            <w:r>
              <w:rPr>
                <w:color w:val="auto"/>
                <w:sz w:val="21"/>
                <w:szCs w:val="21"/>
              </w:rPr>
              <w:t>38</w:t>
            </w:r>
          </w:p>
        </w:tc>
        <w:tc>
          <w:tcPr>
            <w:tcW w:w="2836" w:type="pct"/>
            <w:gridSpan w:val="2"/>
            <w:tcBorders>
              <w:tl2br w:val="nil"/>
              <w:tr2bl w:val="nil"/>
            </w:tcBorders>
            <w:vAlign w:val="center"/>
          </w:tcPr>
          <w:p w14:paraId="157B47CC">
            <w:pPr>
              <w:spacing w:line="240" w:lineRule="auto"/>
              <w:ind w:firstLine="0" w:firstLineChars="0"/>
              <w:jc w:val="center"/>
              <w:rPr>
                <w:color w:val="auto"/>
                <w:sz w:val="21"/>
                <w:szCs w:val="21"/>
              </w:rPr>
            </w:pPr>
            <w:r>
              <w:rPr>
                <w:color w:val="auto"/>
                <w:sz w:val="21"/>
                <w:szCs w:val="21"/>
              </w:rPr>
              <w:t>五氯苯酚及其盐类和酯类</w:t>
            </w:r>
          </w:p>
        </w:tc>
        <w:tc>
          <w:tcPr>
            <w:tcW w:w="1117" w:type="pct"/>
            <w:tcBorders>
              <w:tl2br w:val="nil"/>
              <w:tr2bl w:val="nil"/>
            </w:tcBorders>
            <w:vAlign w:val="center"/>
          </w:tcPr>
          <w:p w14:paraId="357E2B7C">
            <w:pPr>
              <w:spacing w:line="240" w:lineRule="auto"/>
              <w:ind w:firstLine="0" w:firstLineChars="0"/>
              <w:jc w:val="center"/>
              <w:rPr>
                <w:color w:val="auto"/>
                <w:sz w:val="21"/>
                <w:szCs w:val="21"/>
              </w:rPr>
            </w:pPr>
            <w:r>
              <w:rPr>
                <w:color w:val="auto"/>
                <w:sz w:val="21"/>
                <w:szCs w:val="21"/>
              </w:rPr>
              <w:t>87-86-5</w:t>
            </w:r>
          </w:p>
          <w:p w14:paraId="44570DBC">
            <w:pPr>
              <w:spacing w:line="240" w:lineRule="auto"/>
              <w:ind w:firstLine="0" w:firstLineChars="0"/>
              <w:jc w:val="center"/>
              <w:rPr>
                <w:color w:val="auto"/>
                <w:sz w:val="21"/>
                <w:szCs w:val="21"/>
              </w:rPr>
            </w:pPr>
            <w:r>
              <w:rPr>
                <w:color w:val="auto"/>
                <w:sz w:val="21"/>
                <w:szCs w:val="21"/>
              </w:rPr>
              <w:t>131-52-2</w:t>
            </w:r>
          </w:p>
          <w:p w14:paraId="5AB6CF65">
            <w:pPr>
              <w:spacing w:line="240" w:lineRule="auto"/>
              <w:ind w:firstLine="0" w:firstLineChars="0"/>
              <w:jc w:val="center"/>
              <w:rPr>
                <w:color w:val="auto"/>
                <w:sz w:val="21"/>
                <w:szCs w:val="21"/>
              </w:rPr>
            </w:pPr>
            <w:r>
              <w:rPr>
                <w:color w:val="auto"/>
                <w:sz w:val="21"/>
                <w:szCs w:val="21"/>
              </w:rPr>
              <w:t>27735-64-4</w:t>
            </w:r>
          </w:p>
          <w:p w14:paraId="323F3753">
            <w:pPr>
              <w:spacing w:line="240" w:lineRule="auto"/>
              <w:ind w:firstLine="0" w:firstLineChars="0"/>
              <w:jc w:val="center"/>
              <w:rPr>
                <w:color w:val="auto"/>
                <w:sz w:val="21"/>
                <w:szCs w:val="21"/>
              </w:rPr>
            </w:pPr>
            <w:r>
              <w:rPr>
                <w:color w:val="auto"/>
                <w:sz w:val="21"/>
                <w:szCs w:val="21"/>
              </w:rPr>
              <w:t>3772-94-9</w:t>
            </w:r>
          </w:p>
          <w:p w14:paraId="3E3A38A1">
            <w:pPr>
              <w:spacing w:line="240" w:lineRule="auto"/>
              <w:ind w:firstLine="0" w:firstLineChars="0"/>
              <w:jc w:val="center"/>
              <w:rPr>
                <w:color w:val="auto"/>
                <w:sz w:val="21"/>
                <w:szCs w:val="21"/>
              </w:rPr>
            </w:pPr>
            <w:r>
              <w:rPr>
                <w:color w:val="auto"/>
                <w:sz w:val="21"/>
                <w:szCs w:val="21"/>
              </w:rPr>
              <w:t>1825-21-4</w:t>
            </w:r>
          </w:p>
        </w:tc>
        <w:tc>
          <w:tcPr>
            <w:tcW w:w="690" w:type="pct"/>
            <w:tcBorders>
              <w:tl2br w:val="nil"/>
              <w:tr2bl w:val="nil"/>
            </w:tcBorders>
            <w:vAlign w:val="center"/>
          </w:tcPr>
          <w:p w14:paraId="5A9B4B48">
            <w:pPr>
              <w:spacing w:line="240" w:lineRule="auto"/>
              <w:ind w:firstLine="0" w:firstLineChars="0"/>
              <w:jc w:val="center"/>
              <w:rPr>
                <w:color w:val="auto"/>
                <w:sz w:val="21"/>
                <w:szCs w:val="21"/>
              </w:rPr>
            </w:pPr>
            <w:r>
              <w:rPr>
                <w:color w:val="auto"/>
                <w:sz w:val="21"/>
                <w:szCs w:val="21"/>
              </w:rPr>
              <w:t>不涉及</w:t>
            </w:r>
          </w:p>
        </w:tc>
      </w:tr>
      <w:tr w14:paraId="3BE7C3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3861531B">
            <w:pPr>
              <w:spacing w:line="240" w:lineRule="auto"/>
              <w:ind w:firstLine="0" w:firstLineChars="0"/>
              <w:jc w:val="center"/>
              <w:rPr>
                <w:color w:val="auto"/>
                <w:sz w:val="21"/>
                <w:szCs w:val="21"/>
              </w:rPr>
            </w:pPr>
            <w:r>
              <w:rPr>
                <w:color w:val="auto"/>
                <w:sz w:val="21"/>
                <w:szCs w:val="21"/>
              </w:rPr>
              <w:t>39</w:t>
            </w:r>
          </w:p>
        </w:tc>
        <w:tc>
          <w:tcPr>
            <w:tcW w:w="2836" w:type="pct"/>
            <w:gridSpan w:val="2"/>
            <w:tcBorders>
              <w:tl2br w:val="nil"/>
              <w:tr2bl w:val="nil"/>
            </w:tcBorders>
            <w:vAlign w:val="center"/>
          </w:tcPr>
          <w:p w14:paraId="08BE042F">
            <w:pPr>
              <w:spacing w:line="240" w:lineRule="auto"/>
              <w:ind w:firstLine="0" w:firstLineChars="0"/>
              <w:jc w:val="center"/>
              <w:rPr>
                <w:color w:val="auto"/>
                <w:sz w:val="21"/>
                <w:szCs w:val="21"/>
              </w:rPr>
            </w:pPr>
            <w:r>
              <w:rPr>
                <w:color w:val="auto"/>
                <w:spacing w:val="-4"/>
                <w:sz w:val="21"/>
                <w:szCs w:val="21"/>
              </w:rPr>
              <w:t>五氯苯硫酚</w:t>
            </w:r>
          </w:p>
        </w:tc>
        <w:tc>
          <w:tcPr>
            <w:tcW w:w="1117" w:type="pct"/>
            <w:tcBorders>
              <w:tl2br w:val="nil"/>
              <w:tr2bl w:val="nil"/>
            </w:tcBorders>
            <w:vAlign w:val="center"/>
          </w:tcPr>
          <w:p w14:paraId="7CB33C96">
            <w:pPr>
              <w:spacing w:line="240" w:lineRule="auto"/>
              <w:ind w:firstLine="0" w:firstLineChars="0"/>
              <w:jc w:val="center"/>
              <w:rPr>
                <w:color w:val="auto"/>
                <w:sz w:val="21"/>
                <w:szCs w:val="21"/>
              </w:rPr>
            </w:pPr>
            <w:r>
              <w:rPr>
                <w:color w:val="auto"/>
                <w:spacing w:val="-4"/>
                <w:sz w:val="21"/>
                <w:szCs w:val="21"/>
              </w:rPr>
              <w:t>133-49-3</w:t>
            </w:r>
          </w:p>
        </w:tc>
        <w:tc>
          <w:tcPr>
            <w:tcW w:w="690" w:type="pct"/>
            <w:tcBorders>
              <w:tl2br w:val="nil"/>
              <w:tr2bl w:val="nil"/>
            </w:tcBorders>
            <w:vAlign w:val="center"/>
          </w:tcPr>
          <w:p w14:paraId="03284B92">
            <w:pPr>
              <w:spacing w:line="240" w:lineRule="auto"/>
              <w:ind w:firstLine="0" w:firstLineChars="0"/>
              <w:jc w:val="center"/>
              <w:rPr>
                <w:color w:val="auto"/>
                <w:sz w:val="21"/>
                <w:szCs w:val="21"/>
              </w:rPr>
            </w:pPr>
            <w:r>
              <w:rPr>
                <w:color w:val="auto"/>
                <w:sz w:val="21"/>
                <w:szCs w:val="21"/>
              </w:rPr>
              <w:t>不涉及</w:t>
            </w:r>
          </w:p>
        </w:tc>
      </w:tr>
      <w:tr w14:paraId="7B7588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45545B87">
            <w:pPr>
              <w:spacing w:line="240" w:lineRule="auto"/>
              <w:ind w:firstLine="0" w:firstLineChars="0"/>
              <w:jc w:val="center"/>
              <w:rPr>
                <w:color w:val="auto"/>
                <w:sz w:val="21"/>
                <w:szCs w:val="21"/>
              </w:rPr>
            </w:pPr>
            <w:r>
              <w:rPr>
                <w:color w:val="auto"/>
                <w:sz w:val="21"/>
                <w:szCs w:val="21"/>
              </w:rPr>
              <w:t>40</w:t>
            </w:r>
          </w:p>
        </w:tc>
        <w:tc>
          <w:tcPr>
            <w:tcW w:w="2836" w:type="pct"/>
            <w:gridSpan w:val="2"/>
            <w:tcBorders>
              <w:tl2br w:val="nil"/>
              <w:tr2bl w:val="nil"/>
            </w:tcBorders>
            <w:vAlign w:val="center"/>
          </w:tcPr>
          <w:p w14:paraId="50482142">
            <w:pPr>
              <w:spacing w:line="240" w:lineRule="auto"/>
              <w:ind w:firstLine="0" w:firstLineChars="0"/>
              <w:jc w:val="center"/>
              <w:rPr>
                <w:color w:val="auto"/>
                <w:sz w:val="21"/>
                <w:szCs w:val="21"/>
              </w:rPr>
            </w:pPr>
            <w:r>
              <w:rPr>
                <w:color w:val="auto"/>
                <w:spacing w:val="-2"/>
                <w:sz w:val="21"/>
                <w:szCs w:val="21"/>
              </w:rPr>
              <w:t>异丙基苯酚磷酸酯</w:t>
            </w:r>
          </w:p>
        </w:tc>
        <w:tc>
          <w:tcPr>
            <w:tcW w:w="1117" w:type="pct"/>
            <w:tcBorders>
              <w:tl2br w:val="nil"/>
              <w:tr2bl w:val="nil"/>
            </w:tcBorders>
            <w:vAlign w:val="center"/>
          </w:tcPr>
          <w:p w14:paraId="7A30CB4C">
            <w:pPr>
              <w:spacing w:line="240" w:lineRule="auto"/>
              <w:ind w:firstLine="0" w:firstLineChars="0"/>
              <w:jc w:val="center"/>
              <w:rPr>
                <w:color w:val="auto"/>
                <w:sz w:val="21"/>
                <w:szCs w:val="21"/>
              </w:rPr>
            </w:pPr>
            <w:r>
              <w:rPr>
                <w:color w:val="auto"/>
                <w:spacing w:val="-2"/>
                <w:sz w:val="21"/>
                <w:szCs w:val="21"/>
              </w:rPr>
              <w:t>68937-41-7</w:t>
            </w:r>
          </w:p>
        </w:tc>
        <w:tc>
          <w:tcPr>
            <w:tcW w:w="690" w:type="pct"/>
            <w:tcBorders>
              <w:tl2br w:val="nil"/>
              <w:tr2bl w:val="nil"/>
            </w:tcBorders>
            <w:vAlign w:val="center"/>
          </w:tcPr>
          <w:p w14:paraId="3CF41925">
            <w:pPr>
              <w:spacing w:line="240" w:lineRule="auto"/>
              <w:ind w:firstLine="0" w:firstLineChars="0"/>
              <w:jc w:val="center"/>
              <w:rPr>
                <w:color w:val="auto"/>
                <w:sz w:val="21"/>
                <w:szCs w:val="21"/>
              </w:rPr>
            </w:pPr>
            <w:r>
              <w:rPr>
                <w:color w:val="auto"/>
                <w:sz w:val="21"/>
                <w:szCs w:val="21"/>
              </w:rPr>
              <w:t>不涉及</w:t>
            </w:r>
          </w:p>
        </w:tc>
      </w:tr>
      <w:tr w14:paraId="66ACD3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66F1D608">
            <w:pPr>
              <w:spacing w:line="240" w:lineRule="auto"/>
              <w:ind w:firstLine="0" w:firstLineChars="0"/>
              <w:jc w:val="center"/>
              <w:rPr>
                <w:color w:val="auto"/>
                <w:sz w:val="21"/>
                <w:szCs w:val="21"/>
              </w:rPr>
            </w:pPr>
            <w:r>
              <w:rPr>
                <w:b/>
                <w:bCs/>
                <w:color w:val="auto"/>
                <w:sz w:val="21"/>
                <w:szCs w:val="21"/>
              </w:rPr>
              <w:t>第</w:t>
            </w:r>
            <w:r>
              <w:rPr>
                <w:rFonts w:hint="eastAsia"/>
                <w:b/>
                <w:bCs/>
                <w:color w:val="auto"/>
                <w:sz w:val="21"/>
                <w:szCs w:val="21"/>
              </w:rPr>
              <w:t>三</w:t>
            </w:r>
            <w:r>
              <w:rPr>
                <w:b/>
                <w:bCs/>
                <w:color w:val="auto"/>
                <w:sz w:val="21"/>
                <w:szCs w:val="21"/>
              </w:rPr>
              <w:t>批</w:t>
            </w:r>
          </w:p>
        </w:tc>
      </w:tr>
      <w:tr w14:paraId="6B603C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F38440F">
            <w:pPr>
              <w:spacing w:line="240" w:lineRule="auto"/>
              <w:ind w:firstLine="0" w:firstLineChars="0"/>
              <w:jc w:val="center"/>
              <w:rPr>
                <w:color w:val="auto"/>
                <w:sz w:val="21"/>
                <w:szCs w:val="21"/>
              </w:rPr>
            </w:pPr>
            <w:r>
              <w:rPr>
                <w:rFonts w:hint="eastAsia"/>
                <w:color w:val="auto"/>
                <w:sz w:val="21"/>
                <w:szCs w:val="21"/>
              </w:rPr>
              <w:t>41</w:t>
            </w:r>
          </w:p>
        </w:tc>
        <w:tc>
          <w:tcPr>
            <w:tcW w:w="2836" w:type="pct"/>
            <w:gridSpan w:val="2"/>
            <w:tcBorders>
              <w:tl2br w:val="nil"/>
              <w:tr2bl w:val="nil"/>
            </w:tcBorders>
            <w:vAlign w:val="center"/>
          </w:tcPr>
          <w:p w14:paraId="7C97BB27">
            <w:pPr>
              <w:spacing w:line="240" w:lineRule="auto"/>
              <w:ind w:firstLine="0" w:firstLineChars="0"/>
              <w:jc w:val="center"/>
              <w:rPr>
                <w:color w:val="auto"/>
                <w:sz w:val="21"/>
                <w:szCs w:val="21"/>
                <w:lang w:val="en-AU" w:eastAsia="en-US"/>
              </w:rPr>
            </w:pPr>
            <w:r>
              <w:rPr>
                <w:color w:val="auto"/>
                <w:sz w:val="21"/>
                <w:szCs w:val="21"/>
              </w:rPr>
              <w:t>1,1,2,2-四氯乙烷</w:t>
            </w:r>
          </w:p>
        </w:tc>
        <w:tc>
          <w:tcPr>
            <w:tcW w:w="1117" w:type="pct"/>
            <w:tcBorders>
              <w:tl2br w:val="nil"/>
              <w:tr2bl w:val="nil"/>
            </w:tcBorders>
            <w:vAlign w:val="center"/>
          </w:tcPr>
          <w:p w14:paraId="63F3C0DA">
            <w:pPr>
              <w:spacing w:line="240" w:lineRule="auto"/>
              <w:ind w:firstLine="0" w:firstLineChars="0"/>
              <w:jc w:val="center"/>
              <w:rPr>
                <w:color w:val="auto"/>
                <w:sz w:val="21"/>
                <w:szCs w:val="21"/>
                <w:lang w:val="en-AU" w:eastAsia="en-US"/>
              </w:rPr>
            </w:pPr>
            <w:r>
              <w:rPr>
                <w:color w:val="auto"/>
                <w:sz w:val="21"/>
                <w:szCs w:val="21"/>
              </w:rPr>
              <w:t>79-34-5</w:t>
            </w:r>
          </w:p>
        </w:tc>
        <w:tc>
          <w:tcPr>
            <w:tcW w:w="690" w:type="pct"/>
            <w:tcBorders>
              <w:tl2br w:val="nil"/>
              <w:tr2bl w:val="nil"/>
            </w:tcBorders>
            <w:vAlign w:val="center"/>
          </w:tcPr>
          <w:p w14:paraId="193A4470">
            <w:pPr>
              <w:spacing w:line="240" w:lineRule="auto"/>
              <w:ind w:firstLine="0" w:firstLineChars="0"/>
              <w:jc w:val="center"/>
              <w:rPr>
                <w:color w:val="auto"/>
                <w:sz w:val="21"/>
                <w:szCs w:val="21"/>
              </w:rPr>
            </w:pPr>
            <w:r>
              <w:rPr>
                <w:color w:val="auto"/>
                <w:sz w:val="21"/>
                <w:szCs w:val="21"/>
              </w:rPr>
              <w:t>不涉及</w:t>
            </w:r>
          </w:p>
        </w:tc>
      </w:tr>
      <w:tr w14:paraId="2EEE65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61016D0">
            <w:pPr>
              <w:spacing w:line="240" w:lineRule="auto"/>
              <w:ind w:firstLine="0" w:firstLineChars="0"/>
              <w:jc w:val="center"/>
              <w:rPr>
                <w:color w:val="auto"/>
                <w:sz w:val="21"/>
                <w:szCs w:val="21"/>
              </w:rPr>
            </w:pPr>
            <w:r>
              <w:rPr>
                <w:rFonts w:hint="eastAsia"/>
                <w:color w:val="auto"/>
                <w:sz w:val="21"/>
                <w:szCs w:val="21"/>
              </w:rPr>
              <w:t>42</w:t>
            </w:r>
          </w:p>
        </w:tc>
        <w:tc>
          <w:tcPr>
            <w:tcW w:w="2836" w:type="pct"/>
            <w:gridSpan w:val="2"/>
            <w:tcBorders>
              <w:tl2br w:val="nil"/>
              <w:tr2bl w:val="nil"/>
            </w:tcBorders>
            <w:vAlign w:val="center"/>
          </w:tcPr>
          <w:p w14:paraId="12481B3B">
            <w:pPr>
              <w:spacing w:line="240" w:lineRule="auto"/>
              <w:ind w:firstLine="0" w:firstLineChars="0"/>
              <w:jc w:val="center"/>
              <w:rPr>
                <w:color w:val="auto"/>
                <w:sz w:val="21"/>
                <w:szCs w:val="21"/>
                <w:lang w:val="en-AU" w:eastAsia="en-US"/>
              </w:rPr>
            </w:pPr>
            <w:r>
              <w:rPr>
                <w:color w:val="auto"/>
                <w:sz w:val="21"/>
                <w:szCs w:val="21"/>
              </w:rPr>
              <w:t>1,2-二氯乙烷</w:t>
            </w:r>
          </w:p>
        </w:tc>
        <w:tc>
          <w:tcPr>
            <w:tcW w:w="1117" w:type="pct"/>
            <w:tcBorders>
              <w:tl2br w:val="nil"/>
              <w:tr2bl w:val="nil"/>
            </w:tcBorders>
            <w:vAlign w:val="center"/>
          </w:tcPr>
          <w:p w14:paraId="73496EF6">
            <w:pPr>
              <w:spacing w:line="240" w:lineRule="auto"/>
              <w:ind w:firstLine="0" w:firstLineChars="0"/>
              <w:jc w:val="center"/>
              <w:rPr>
                <w:color w:val="auto"/>
                <w:sz w:val="21"/>
                <w:szCs w:val="21"/>
                <w:lang w:val="en-AU" w:eastAsia="en-US"/>
              </w:rPr>
            </w:pPr>
            <w:r>
              <w:rPr>
                <w:color w:val="auto"/>
                <w:sz w:val="21"/>
                <w:szCs w:val="21"/>
              </w:rPr>
              <w:t>107-06-2</w:t>
            </w:r>
          </w:p>
        </w:tc>
        <w:tc>
          <w:tcPr>
            <w:tcW w:w="690" w:type="pct"/>
            <w:tcBorders>
              <w:tl2br w:val="nil"/>
              <w:tr2bl w:val="nil"/>
            </w:tcBorders>
            <w:vAlign w:val="center"/>
          </w:tcPr>
          <w:p w14:paraId="6332CCF9">
            <w:pPr>
              <w:spacing w:line="240" w:lineRule="auto"/>
              <w:ind w:firstLine="0" w:firstLineChars="0"/>
              <w:jc w:val="center"/>
              <w:rPr>
                <w:color w:val="auto"/>
                <w:sz w:val="21"/>
                <w:szCs w:val="21"/>
              </w:rPr>
            </w:pPr>
            <w:r>
              <w:rPr>
                <w:color w:val="auto"/>
                <w:sz w:val="21"/>
                <w:szCs w:val="21"/>
              </w:rPr>
              <w:t>不涉及</w:t>
            </w:r>
          </w:p>
        </w:tc>
      </w:tr>
      <w:tr w14:paraId="63CE92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AABEE01">
            <w:pPr>
              <w:spacing w:line="240" w:lineRule="auto"/>
              <w:ind w:firstLine="0" w:firstLineChars="0"/>
              <w:jc w:val="center"/>
              <w:rPr>
                <w:color w:val="auto"/>
                <w:sz w:val="21"/>
                <w:szCs w:val="21"/>
              </w:rPr>
            </w:pPr>
            <w:r>
              <w:rPr>
                <w:rFonts w:hint="eastAsia"/>
                <w:color w:val="auto"/>
                <w:sz w:val="21"/>
                <w:szCs w:val="21"/>
              </w:rPr>
              <w:t>43</w:t>
            </w:r>
          </w:p>
        </w:tc>
        <w:tc>
          <w:tcPr>
            <w:tcW w:w="2836" w:type="pct"/>
            <w:gridSpan w:val="2"/>
            <w:tcBorders>
              <w:tl2br w:val="nil"/>
              <w:tr2bl w:val="nil"/>
            </w:tcBorders>
            <w:vAlign w:val="center"/>
          </w:tcPr>
          <w:p w14:paraId="00D64581">
            <w:pPr>
              <w:spacing w:line="240" w:lineRule="auto"/>
              <w:ind w:firstLine="0" w:firstLineChars="0"/>
              <w:jc w:val="center"/>
              <w:rPr>
                <w:color w:val="auto"/>
                <w:sz w:val="21"/>
                <w:szCs w:val="21"/>
                <w:lang w:val="en-AU" w:eastAsia="en-US"/>
              </w:rPr>
            </w:pPr>
            <w:r>
              <w:rPr>
                <w:color w:val="auto"/>
                <w:sz w:val="21"/>
                <w:szCs w:val="21"/>
              </w:rPr>
              <w:t>1,4-二氯苯</w:t>
            </w:r>
          </w:p>
        </w:tc>
        <w:tc>
          <w:tcPr>
            <w:tcW w:w="1117" w:type="pct"/>
            <w:tcBorders>
              <w:tl2br w:val="nil"/>
              <w:tr2bl w:val="nil"/>
            </w:tcBorders>
            <w:vAlign w:val="center"/>
          </w:tcPr>
          <w:p w14:paraId="37350EA0">
            <w:pPr>
              <w:spacing w:line="240" w:lineRule="auto"/>
              <w:ind w:firstLine="0" w:firstLineChars="0"/>
              <w:jc w:val="center"/>
              <w:rPr>
                <w:color w:val="auto"/>
                <w:sz w:val="21"/>
                <w:szCs w:val="21"/>
                <w:lang w:val="en-AU" w:eastAsia="en-US"/>
              </w:rPr>
            </w:pPr>
            <w:r>
              <w:rPr>
                <w:color w:val="auto"/>
                <w:sz w:val="21"/>
                <w:szCs w:val="21"/>
              </w:rPr>
              <w:t>106-46-7</w:t>
            </w:r>
          </w:p>
        </w:tc>
        <w:tc>
          <w:tcPr>
            <w:tcW w:w="690" w:type="pct"/>
            <w:tcBorders>
              <w:tl2br w:val="nil"/>
              <w:tr2bl w:val="nil"/>
            </w:tcBorders>
            <w:vAlign w:val="center"/>
          </w:tcPr>
          <w:p w14:paraId="097EE2C7">
            <w:pPr>
              <w:spacing w:line="240" w:lineRule="auto"/>
              <w:ind w:firstLine="0" w:firstLineChars="0"/>
              <w:jc w:val="center"/>
              <w:rPr>
                <w:color w:val="auto"/>
                <w:sz w:val="21"/>
                <w:szCs w:val="21"/>
              </w:rPr>
            </w:pPr>
            <w:r>
              <w:rPr>
                <w:color w:val="auto"/>
                <w:sz w:val="21"/>
                <w:szCs w:val="21"/>
              </w:rPr>
              <w:t>不涉及</w:t>
            </w:r>
          </w:p>
        </w:tc>
      </w:tr>
      <w:tr w14:paraId="35F97F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6CEB185">
            <w:pPr>
              <w:spacing w:line="240" w:lineRule="auto"/>
              <w:ind w:firstLine="0" w:firstLineChars="0"/>
              <w:jc w:val="center"/>
              <w:rPr>
                <w:color w:val="auto"/>
                <w:sz w:val="21"/>
                <w:szCs w:val="21"/>
              </w:rPr>
            </w:pPr>
            <w:r>
              <w:rPr>
                <w:rFonts w:hint="eastAsia"/>
                <w:color w:val="auto"/>
                <w:sz w:val="21"/>
                <w:szCs w:val="21"/>
              </w:rPr>
              <w:t>44</w:t>
            </w:r>
          </w:p>
        </w:tc>
        <w:tc>
          <w:tcPr>
            <w:tcW w:w="2836" w:type="pct"/>
            <w:gridSpan w:val="2"/>
            <w:tcBorders>
              <w:tl2br w:val="nil"/>
              <w:tr2bl w:val="nil"/>
            </w:tcBorders>
            <w:vAlign w:val="center"/>
          </w:tcPr>
          <w:p w14:paraId="427CFB3B">
            <w:pPr>
              <w:spacing w:line="240" w:lineRule="auto"/>
              <w:ind w:firstLine="0" w:firstLineChars="0"/>
              <w:jc w:val="center"/>
              <w:rPr>
                <w:color w:val="auto"/>
                <w:sz w:val="21"/>
                <w:szCs w:val="21"/>
                <w:lang w:val="en-AU" w:eastAsia="en-US"/>
              </w:rPr>
            </w:pPr>
            <w:r>
              <w:rPr>
                <w:color w:val="auto"/>
                <w:sz w:val="21"/>
                <w:szCs w:val="21"/>
              </w:rPr>
              <w:t>2,6-二</w:t>
            </w:r>
            <w:r>
              <w:rPr>
                <w:rFonts w:hint="eastAsia"/>
                <w:color w:val="auto"/>
                <w:sz w:val="21"/>
                <w:szCs w:val="21"/>
              </w:rPr>
              <w:t>（</w:t>
            </w:r>
            <w:r>
              <w:rPr>
                <w:color w:val="auto"/>
                <w:sz w:val="21"/>
                <w:szCs w:val="21"/>
              </w:rPr>
              <w:t>1,1-二甲基乙基</w:t>
            </w:r>
            <w:r>
              <w:rPr>
                <w:rFonts w:hint="eastAsia"/>
                <w:color w:val="auto"/>
                <w:sz w:val="21"/>
                <w:szCs w:val="21"/>
              </w:rPr>
              <w:t>）</w:t>
            </w:r>
            <w:r>
              <w:rPr>
                <w:color w:val="auto"/>
                <w:sz w:val="21"/>
                <w:szCs w:val="21"/>
              </w:rPr>
              <w:t>-4-(1-甲基丙基</w:t>
            </w:r>
            <w:r>
              <w:rPr>
                <w:rFonts w:hint="eastAsia"/>
                <w:color w:val="auto"/>
                <w:sz w:val="21"/>
                <w:szCs w:val="21"/>
              </w:rPr>
              <w:t>）</w:t>
            </w:r>
            <w:r>
              <w:rPr>
                <w:color w:val="auto"/>
                <w:sz w:val="21"/>
                <w:szCs w:val="21"/>
              </w:rPr>
              <w:t>苯酚</w:t>
            </w:r>
          </w:p>
        </w:tc>
        <w:tc>
          <w:tcPr>
            <w:tcW w:w="1117" w:type="pct"/>
            <w:tcBorders>
              <w:tl2br w:val="nil"/>
              <w:tr2bl w:val="nil"/>
            </w:tcBorders>
            <w:vAlign w:val="center"/>
          </w:tcPr>
          <w:p w14:paraId="4FBEDDF3">
            <w:pPr>
              <w:spacing w:line="240" w:lineRule="auto"/>
              <w:ind w:firstLine="0" w:firstLineChars="0"/>
              <w:jc w:val="center"/>
              <w:rPr>
                <w:color w:val="auto"/>
                <w:sz w:val="21"/>
                <w:szCs w:val="21"/>
                <w:lang w:val="en-AU" w:eastAsia="en-US"/>
              </w:rPr>
            </w:pPr>
            <w:r>
              <w:rPr>
                <w:color w:val="auto"/>
                <w:sz w:val="21"/>
                <w:szCs w:val="21"/>
              </w:rPr>
              <w:t>17540-75-9</w:t>
            </w:r>
          </w:p>
        </w:tc>
        <w:tc>
          <w:tcPr>
            <w:tcW w:w="690" w:type="pct"/>
            <w:tcBorders>
              <w:tl2br w:val="nil"/>
              <w:tr2bl w:val="nil"/>
            </w:tcBorders>
            <w:vAlign w:val="center"/>
          </w:tcPr>
          <w:p w14:paraId="6855931C">
            <w:pPr>
              <w:spacing w:line="240" w:lineRule="auto"/>
              <w:ind w:firstLine="0" w:firstLineChars="0"/>
              <w:jc w:val="center"/>
              <w:rPr>
                <w:color w:val="auto"/>
                <w:sz w:val="21"/>
                <w:szCs w:val="21"/>
              </w:rPr>
            </w:pPr>
            <w:r>
              <w:rPr>
                <w:color w:val="auto"/>
                <w:sz w:val="21"/>
                <w:szCs w:val="21"/>
              </w:rPr>
              <w:t>不涉及</w:t>
            </w:r>
          </w:p>
        </w:tc>
      </w:tr>
      <w:tr w14:paraId="0DEB1C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3F9296AF">
            <w:pPr>
              <w:spacing w:line="240" w:lineRule="auto"/>
              <w:ind w:firstLine="0" w:firstLineChars="0"/>
              <w:jc w:val="center"/>
              <w:rPr>
                <w:color w:val="auto"/>
                <w:sz w:val="21"/>
                <w:szCs w:val="21"/>
              </w:rPr>
            </w:pPr>
            <w:r>
              <w:rPr>
                <w:rFonts w:hint="eastAsia"/>
                <w:color w:val="auto"/>
                <w:sz w:val="21"/>
                <w:szCs w:val="21"/>
              </w:rPr>
              <w:t>45</w:t>
            </w:r>
          </w:p>
        </w:tc>
        <w:tc>
          <w:tcPr>
            <w:tcW w:w="2836" w:type="pct"/>
            <w:gridSpan w:val="2"/>
            <w:tcBorders>
              <w:tl2br w:val="nil"/>
              <w:tr2bl w:val="nil"/>
            </w:tcBorders>
            <w:vAlign w:val="center"/>
          </w:tcPr>
          <w:p w14:paraId="75AB7D68">
            <w:pPr>
              <w:spacing w:line="240" w:lineRule="auto"/>
              <w:ind w:firstLine="0" w:firstLineChars="0"/>
              <w:jc w:val="center"/>
              <w:rPr>
                <w:color w:val="auto"/>
                <w:sz w:val="21"/>
                <w:szCs w:val="21"/>
                <w:lang w:val="en-AU"/>
              </w:rPr>
            </w:pPr>
            <w:r>
              <w:rPr>
                <w:color w:val="auto"/>
                <w:sz w:val="21"/>
                <w:szCs w:val="21"/>
              </w:rPr>
              <w:t>3,4,5,6-四溴-1,2-苯二羧酸双</w:t>
            </w:r>
            <w:r>
              <w:rPr>
                <w:rFonts w:hint="eastAsia"/>
                <w:color w:val="auto"/>
                <w:sz w:val="21"/>
                <w:szCs w:val="21"/>
              </w:rPr>
              <w:t>（</w:t>
            </w:r>
            <w:r>
              <w:rPr>
                <w:color w:val="auto"/>
                <w:sz w:val="21"/>
                <w:szCs w:val="21"/>
              </w:rPr>
              <w:t>2-乙基己基</w:t>
            </w:r>
            <w:r>
              <w:rPr>
                <w:rFonts w:hint="eastAsia"/>
                <w:color w:val="auto"/>
                <w:sz w:val="21"/>
                <w:szCs w:val="21"/>
              </w:rPr>
              <w:t>）</w:t>
            </w:r>
            <w:r>
              <w:rPr>
                <w:color w:val="auto"/>
                <w:sz w:val="21"/>
                <w:szCs w:val="21"/>
              </w:rPr>
              <w:t>酯</w:t>
            </w:r>
          </w:p>
        </w:tc>
        <w:tc>
          <w:tcPr>
            <w:tcW w:w="1117" w:type="pct"/>
            <w:tcBorders>
              <w:tl2br w:val="nil"/>
              <w:tr2bl w:val="nil"/>
            </w:tcBorders>
            <w:vAlign w:val="center"/>
          </w:tcPr>
          <w:p w14:paraId="4EF6E3B6">
            <w:pPr>
              <w:spacing w:line="240" w:lineRule="auto"/>
              <w:ind w:firstLine="0" w:firstLineChars="0"/>
              <w:jc w:val="center"/>
              <w:rPr>
                <w:color w:val="auto"/>
                <w:sz w:val="21"/>
                <w:szCs w:val="21"/>
                <w:lang w:val="en-AU" w:eastAsia="en-US"/>
              </w:rPr>
            </w:pPr>
            <w:r>
              <w:rPr>
                <w:color w:val="auto"/>
                <w:sz w:val="21"/>
                <w:szCs w:val="21"/>
              </w:rPr>
              <w:t>26040-51-7</w:t>
            </w:r>
          </w:p>
        </w:tc>
        <w:tc>
          <w:tcPr>
            <w:tcW w:w="690" w:type="pct"/>
            <w:tcBorders>
              <w:tl2br w:val="nil"/>
              <w:tr2bl w:val="nil"/>
            </w:tcBorders>
            <w:vAlign w:val="center"/>
          </w:tcPr>
          <w:p w14:paraId="708A8A5E">
            <w:pPr>
              <w:spacing w:line="240" w:lineRule="auto"/>
              <w:ind w:firstLine="0" w:firstLineChars="0"/>
              <w:jc w:val="center"/>
              <w:rPr>
                <w:color w:val="auto"/>
                <w:sz w:val="21"/>
                <w:szCs w:val="21"/>
              </w:rPr>
            </w:pPr>
            <w:r>
              <w:rPr>
                <w:color w:val="auto"/>
                <w:sz w:val="21"/>
                <w:szCs w:val="21"/>
              </w:rPr>
              <w:t>不涉及</w:t>
            </w:r>
          </w:p>
        </w:tc>
      </w:tr>
      <w:tr w14:paraId="34EF6A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FAD76C2">
            <w:pPr>
              <w:spacing w:line="240" w:lineRule="auto"/>
              <w:ind w:firstLine="0" w:firstLineChars="0"/>
              <w:jc w:val="center"/>
              <w:rPr>
                <w:color w:val="auto"/>
                <w:sz w:val="21"/>
                <w:szCs w:val="21"/>
              </w:rPr>
            </w:pPr>
            <w:r>
              <w:rPr>
                <w:rFonts w:hint="eastAsia"/>
                <w:color w:val="auto"/>
                <w:sz w:val="21"/>
                <w:szCs w:val="21"/>
              </w:rPr>
              <w:t>46</w:t>
            </w:r>
          </w:p>
        </w:tc>
        <w:tc>
          <w:tcPr>
            <w:tcW w:w="2836" w:type="pct"/>
            <w:gridSpan w:val="2"/>
            <w:tcBorders>
              <w:tl2br w:val="nil"/>
              <w:tr2bl w:val="nil"/>
            </w:tcBorders>
            <w:vAlign w:val="center"/>
          </w:tcPr>
          <w:p w14:paraId="0CB1B411">
            <w:pPr>
              <w:spacing w:line="240" w:lineRule="auto"/>
              <w:ind w:firstLine="0" w:firstLineChars="0"/>
              <w:jc w:val="center"/>
              <w:rPr>
                <w:color w:val="auto"/>
                <w:sz w:val="21"/>
                <w:szCs w:val="21"/>
                <w:lang w:val="en-AU"/>
              </w:rPr>
            </w:pPr>
            <w:r>
              <w:rPr>
                <w:color w:val="auto"/>
                <w:sz w:val="21"/>
                <w:szCs w:val="21"/>
              </w:rPr>
              <w:t>4-(2-苯并噻唑硫基</w:t>
            </w:r>
            <w:r>
              <w:rPr>
                <w:rFonts w:hint="eastAsia"/>
                <w:color w:val="auto"/>
                <w:sz w:val="21"/>
                <w:szCs w:val="21"/>
              </w:rPr>
              <w:t>）</w:t>
            </w:r>
            <w:r>
              <w:rPr>
                <w:color w:val="auto"/>
                <w:sz w:val="21"/>
                <w:szCs w:val="21"/>
              </w:rPr>
              <w:t>吗啉（别名：N-氧联二(1,2-亚乙基)-2-苯并噻唑次磺酰胺；橡胶硫化促进剂NOBS）</w:t>
            </w:r>
          </w:p>
        </w:tc>
        <w:tc>
          <w:tcPr>
            <w:tcW w:w="1117" w:type="pct"/>
            <w:tcBorders>
              <w:tl2br w:val="nil"/>
              <w:tr2bl w:val="nil"/>
            </w:tcBorders>
            <w:vAlign w:val="center"/>
          </w:tcPr>
          <w:p w14:paraId="18559D83">
            <w:pPr>
              <w:spacing w:line="240" w:lineRule="auto"/>
              <w:ind w:firstLine="0" w:firstLineChars="0"/>
              <w:jc w:val="center"/>
              <w:rPr>
                <w:color w:val="auto"/>
                <w:sz w:val="21"/>
                <w:szCs w:val="21"/>
                <w:lang w:val="en-AU" w:eastAsia="en-US"/>
              </w:rPr>
            </w:pPr>
            <w:r>
              <w:rPr>
                <w:color w:val="auto"/>
                <w:sz w:val="21"/>
                <w:szCs w:val="21"/>
              </w:rPr>
              <w:t>102-77-2</w:t>
            </w:r>
          </w:p>
        </w:tc>
        <w:tc>
          <w:tcPr>
            <w:tcW w:w="690" w:type="pct"/>
            <w:tcBorders>
              <w:tl2br w:val="nil"/>
              <w:tr2bl w:val="nil"/>
            </w:tcBorders>
            <w:vAlign w:val="center"/>
          </w:tcPr>
          <w:p w14:paraId="278859F2">
            <w:pPr>
              <w:spacing w:line="240" w:lineRule="auto"/>
              <w:ind w:firstLine="0" w:firstLineChars="0"/>
              <w:jc w:val="center"/>
              <w:rPr>
                <w:color w:val="auto"/>
                <w:sz w:val="21"/>
                <w:szCs w:val="21"/>
              </w:rPr>
            </w:pPr>
            <w:r>
              <w:rPr>
                <w:color w:val="auto"/>
                <w:sz w:val="21"/>
                <w:szCs w:val="21"/>
              </w:rPr>
              <w:t>不涉及</w:t>
            </w:r>
          </w:p>
        </w:tc>
      </w:tr>
      <w:tr w14:paraId="4DF1BF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FE7353C">
            <w:pPr>
              <w:spacing w:line="240" w:lineRule="auto"/>
              <w:ind w:firstLine="0" w:firstLineChars="0"/>
              <w:jc w:val="center"/>
              <w:rPr>
                <w:color w:val="auto"/>
                <w:sz w:val="21"/>
                <w:szCs w:val="21"/>
              </w:rPr>
            </w:pPr>
            <w:r>
              <w:rPr>
                <w:rFonts w:hint="eastAsia"/>
                <w:color w:val="auto"/>
                <w:sz w:val="21"/>
                <w:szCs w:val="21"/>
              </w:rPr>
              <w:t>47</w:t>
            </w:r>
          </w:p>
        </w:tc>
        <w:tc>
          <w:tcPr>
            <w:tcW w:w="2836" w:type="pct"/>
            <w:gridSpan w:val="2"/>
            <w:tcBorders>
              <w:tl2br w:val="nil"/>
              <w:tr2bl w:val="nil"/>
            </w:tcBorders>
            <w:vAlign w:val="center"/>
          </w:tcPr>
          <w:p w14:paraId="43F21EC8">
            <w:pPr>
              <w:spacing w:line="240" w:lineRule="auto"/>
              <w:ind w:firstLine="0" w:firstLineChars="0"/>
              <w:jc w:val="center"/>
              <w:rPr>
                <w:color w:val="auto"/>
                <w:sz w:val="21"/>
                <w:szCs w:val="21"/>
                <w:lang w:val="en-AU" w:eastAsia="en-US"/>
              </w:rPr>
            </w:pPr>
            <w:r>
              <w:rPr>
                <w:color w:val="auto"/>
                <w:sz w:val="21"/>
                <w:szCs w:val="21"/>
              </w:rPr>
              <w:t>4-叔辛基苯酚</w:t>
            </w:r>
          </w:p>
        </w:tc>
        <w:tc>
          <w:tcPr>
            <w:tcW w:w="1117" w:type="pct"/>
            <w:tcBorders>
              <w:tl2br w:val="nil"/>
              <w:tr2bl w:val="nil"/>
            </w:tcBorders>
            <w:vAlign w:val="center"/>
          </w:tcPr>
          <w:p w14:paraId="3A93AC48">
            <w:pPr>
              <w:spacing w:line="240" w:lineRule="auto"/>
              <w:ind w:firstLine="0" w:firstLineChars="0"/>
              <w:jc w:val="center"/>
              <w:rPr>
                <w:color w:val="auto"/>
                <w:sz w:val="21"/>
                <w:szCs w:val="21"/>
                <w:lang w:val="en-AU" w:eastAsia="en-US"/>
              </w:rPr>
            </w:pPr>
            <w:r>
              <w:rPr>
                <w:color w:val="auto"/>
                <w:sz w:val="21"/>
                <w:szCs w:val="21"/>
              </w:rPr>
              <w:t>140-66-9</w:t>
            </w:r>
          </w:p>
        </w:tc>
        <w:tc>
          <w:tcPr>
            <w:tcW w:w="690" w:type="pct"/>
            <w:tcBorders>
              <w:tl2br w:val="nil"/>
              <w:tr2bl w:val="nil"/>
            </w:tcBorders>
            <w:vAlign w:val="center"/>
          </w:tcPr>
          <w:p w14:paraId="4E4526E3">
            <w:pPr>
              <w:spacing w:line="240" w:lineRule="auto"/>
              <w:ind w:firstLine="0" w:firstLineChars="0"/>
              <w:jc w:val="center"/>
              <w:rPr>
                <w:color w:val="auto"/>
                <w:sz w:val="21"/>
                <w:szCs w:val="21"/>
              </w:rPr>
            </w:pPr>
            <w:r>
              <w:rPr>
                <w:color w:val="auto"/>
                <w:sz w:val="21"/>
                <w:szCs w:val="21"/>
              </w:rPr>
              <w:t>不涉及</w:t>
            </w:r>
          </w:p>
        </w:tc>
      </w:tr>
      <w:tr w14:paraId="098266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4E48FD07">
            <w:pPr>
              <w:spacing w:line="240" w:lineRule="auto"/>
              <w:ind w:firstLine="0" w:firstLineChars="0"/>
              <w:jc w:val="center"/>
              <w:rPr>
                <w:color w:val="auto"/>
                <w:sz w:val="21"/>
                <w:szCs w:val="21"/>
              </w:rPr>
            </w:pPr>
            <w:r>
              <w:rPr>
                <w:rFonts w:hint="eastAsia"/>
                <w:color w:val="auto"/>
                <w:sz w:val="21"/>
                <w:szCs w:val="21"/>
              </w:rPr>
              <w:t>48</w:t>
            </w:r>
          </w:p>
        </w:tc>
        <w:tc>
          <w:tcPr>
            <w:tcW w:w="2836" w:type="pct"/>
            <w:gridSpan w:val="2"/>
            <w:tcBorders>
              <w:tl2br w:val="nil"/>
              <w:tr2bl w:val="nil"/>
            </w:tcBorders>
            <w:vAlign w:val="center"/>
          </w:tcPr>
          <w:p w14:paraId="611FE63C">
            <w:pPr>
              <w:spacing w:line="240" w:lineRule="auto"/>
              <w:ind w:firstLine="0" w:firstLineChars="0"/>
              <w:jc w:val="center"/>
              <w:rPr>
                <w:color w:val="auto"/>
                <w:sz w:val="21"/>
                <w:szCs w:val="21"/>
                <w:lang w:val="en-AU"/>
              </w:rPr>
            </w:pPr>
            <w:r>
              <w:rPr>
                <w:color w:val="auto"/>
                <w:sz w:val="21"/>
                <w:szCs w:val="21"/>
              </w:rPr>
              <w:t>N'-(4-氯-2-甲基苯基</w:t>
            </w:r>
            <w:r>
              <w:rPr>
                <w:rFonts w:hint="eastAsia"/>
                <w:color w:val="auto"/>
                <w:sz w:val="21"/>
                <w:szCs w:val="21"/>
              </w:rPr>
              <w:t>）</w:t>
            </w:r>
            <w:r>
              <w:rPr>
                <w:color w:val="auto"/>
                <w:sz w:val="21"/>
                <w:szCs w:val="21"/>
              </w:rPr>
              <w:t>-N,N-二甲基甲亚氨酰胺（别名：杀虫脒）</w:t>
            </w:r>
          </w:p>
        </w:tc>
        <w:tc>
          <w:tcPr>
            <w:tcW w:w="1117" w:type="pct"/>
            <w:tcBorders>
              <w:tl2br w:val="nil"/>
              <w:tr2bl w:val="nil"/>
            </w:tcBorders>
            <w:vAlign w:val="center"/>
          </w:tcPr>
          <w:p w14:paraId="1FD06CD5">
            <w:pPr>
              <w:spacing w:line="240" w:lineRule="auto"/>
              <w:ind w:firstLine="0" w:firstLineChars="0"/>
              <w:jc w:val="center"/>
              <w:rPr>
                <w:color w:val="auto"/>
                <w:sz w:val="21"/>
                <w:szCs w:val="21"/>
                <w:lang w:val="en-AU" w:eastAsia="en-US"/>
              </w:rPr>
            </w:pPr>
            <w:r>
              <w:rPr>
                <w:color w:val="auto"/>
                <w:sz w:val="21"/>
                <w:szCs w:val="21"/>
              </w:rPr>
              <w:t>6164-98-3</w:t>
            </w:r>
          </w:p>
        </w:tc>
        <w:tc>
          <w:tcPr>
            <w:tcW w:w="690" w:type="pct"/>
            <w:tcBorders>
              <w:tl2br w:val="nil"/>
              <w:tr2bl w:val="nil"/>
            </w:tcBorders>
            <w:vAlign w:val="center"/>
          </w:tcPr>
          <w:p w14:paraId="19EBE379">
            <w:pPr>
              <w:spacing w:line="240" w:lineRule="auto"/>
              <w:ind w:firstLine="0" w:firstLineChars="0"/>
              <w:jc w:val="center"/>
              <w:rPr>
                <w:color w:val="auto"/>
                <w:sz w:val="21"/>
                <w:szCs w:val="21"/>
              </w:rPr>
            </w:pPr>
            <w:r>
              <w:rPr>
                <w:color w:val="auto"/>
                <w:sz w:val="21"/>
                <w:szCs w:val="21"/>
              </w:rPr>
              <w:t>不涉及</w:t>
            </w:r>
          </w:p>
        </w:tc>
      </w:tr>
      <w:tr w14:paraId="57C6A9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A9DA33F">
            <w:pPr>
              <w:spacing w:line="240" w:lineRule="auto"/>
              <w:ind w:firstLine="0" w:firstLineChars="0"/>
              <w:jc w:val="center"/>
              <w:rPr>
                <w:color w:val="auto"/>
                <w:sz w:val="21"/>
                <w:szCs w:val="21"/>
              </w:rPr>
            </w:pPr>
            <w:r>
              <w:rPr>
                <w:rFonts w:hint="eastAsia"/>
                <w:color w:val="auto"/>
                <w:sz w:val="21"/>
                <w:szCs w:val="21"/>
              </w:rPr>
              <w:t>49</w:t>
            </w:r>
          </w:p>
        </w:tc>
        <w:tc>
          <w:tcPr>
            <w:tcW w:w="2836" w:type="pct"/>
            <w:gridSpan w:val="2"/>
            <w:tcBorders>
              <w:tl2br w:val="nil"/>
              <w:tr2bl w:val="nil"/>
            </w:tcBorders>
            <w:vAlign w:val="center"/>
          </w:tcPr>
          <w:p w14:paraId="3C8CA132">
            <w:pPr>
              <w:spacing w:line="240" w:lineRule="auto"/>
              <w:ind w:firstLine="0" w:firstLineChars="0"/>
              <w:jc w:val="center"/>
              <w:rPr>
                <w:color w:val="auto"/>
                <w:sz w:val="21"/>
                <w:szCs w:val="21"/>
                <w:lang w:val="en-AU"/>
              </w:rPr>
            </w:pPr>
            <w:r>
              <w:rPr>
                <w:color w:val="auto"/>
                <w:sz w:val="21"/>
                <w:szCs w:val="21"/>
              </w:rPr>
              <w:t>N-苯基-2-萘胺（别名：橡胶防老剂D）</w:t>
            </w:r>
          </w:p>
        </w:tc>
        <w:tc>
          <w:tcPr>
            <w:tcW w:w="1117" w:type="pct"/>
            <w:tcBorders>
              <w:tl2br w:val="nil"/>
              <w:tr2bl w:val="nil"/>
            </w:tcBorders>
            <w:vAlign w:val="center"/>
          </w:tcPr>
          <w:p w14:paraId="7A10D7EC">
            <w:pPr>
              <w:spacing w:line="240" w:lineRule="auto"/>
              <w:ind w:firstLine="0" w:firstLineChars="0"/>
              <w:jc w:val="center"/>
              <w:rPr>
                <w:color w:val="auto"/>
                <w:sz w:val="21"/>
                <w:szCs w:val="21"/>
                <w:lang w:val="en-AU" w:eastAsia="en-US"/>
              </w:rPr>
            </w:pPr>
            <w:r>
              <w:rPr>
                <w:color w:val="auto"/>
                <w:sz w:val="21"/>
                <w:szCs w:val="21"/>
              </w:rPr>
              <w:t>135-88-6</w:t>
            </w:r>
          </w:p>
        </w:tc>
        <w:tc>
          <w:tcPr>
            <w:tcW w:w="690" w:type="pct"/>
            <w:tcBorders>
              <w:tl2br w:val="nil"/>
              <w:tr2bl w:val="nil"/>
            </w:tcBorders>
            <w:vAlign w:val="center"/>
          </w:tcPr>
          <w:p w14:paraId="733873FD">
            <w:pPr>
              <w:spacing w:line="240" w:lineRule="auto"/>
              <w:ind w:firstLine="0" w:firstLineChars="0"/>
              <w:jc w:val="center"/>
              <w:rPr>
                <w:color w:val="auto"/>
                <w:sz w:val="21"/>
                <w:szCs w:val="21"/>
              </w:rPr>
            </w:pPr>
            <w:r>
              <w:rPr>
                <w:color w:val="auto"/>
                <w:sz w:val="21"/>
                <w:szCs w:val="21"/>
              </w:rPr>
              <w:t>不涉及</w:t>
            </w:r>
          </w:p>
        </w:tc>
      </w:tr>
      <w:tr w14:paraId="76F767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B604478">
            <w:pPr>
              <w:spacing w:line="240" w:lineRule="auto"/>
              <w:ind w:firstLine="0" w:firstLineChars="0"/>
              <w:jc w:val="center"/>
              <w:rPr>
                <w:color w:val="auto"/>
                <w:sz w:val="21"/>
                <w:szCs w:val="21"/>
              </w:rPr>
            </w:pPr>
            <w:r>
              <w:rPr>
                <w:rFonts w:hint="eastAsia"/>
                <w:color w:val="auto"/>
                <w:sz w:val="21"/>
                <w:szCs w:val="21"/>
              </w:rPr>
              <w:t>50</w:t>
            </w:r>
          </w:p>
        </w:tc>
        <w:tc>
          <w:tcPr>
            <w:tcW w:w="2836" w:type="pct"/>
            <w:gridSpan w:val="2"/>
            <w:tcBorders>
              <w:tl2br w:val="nil"/>
              <w:tr2bl w:val="nil"/>
            </w:tcBorders>
            <w:vAlign w:val="center"/>
          </w:tcPr>
          <w:p w14:paraId="372FB4AB">
            <w:pPr>
              <w:spacing w:line="240" w:lineRule="auto"/>
              <w:ind w:firstLine="0" w:firstLineChars="0"/>
              <w:jc w:val="center"/>
              <w:rPr>
                <w:color w:val="auto"/>
                <w:sz w:val="21"/>
                <w:szCs w:val="21"/>
                <w:lang w:val="en-AU"/>
              </w:rPr>
            </w:pPr>
            <w:r>
              <w:rPr>
                <w:color w:val="auto"/>
                <w:sz w:val="21"/>
                <w:szCs w:val="21"/>
              </w:rPr>
              <w:t>对二氨基联苯（别名：联苯胺；4,4'-二氨基联苯）</w:t>
            </w:r>
          </w:p>
        </w:tc>
        <w:tc>
          <w:tcPr>
            <w:tcW w:w="1117" w:type="pct"/>
            <w:tcBorders>
              <w:tl2br w:val="nil"/>
              <w:tr2bl w:val="nil"/>
            </w:tcBorders>
            <w:vAlign w:val="center"/>
          </w:tcPr>
          <w:p w14:paraId="3C32CE60">
            <w:pPr>
              <w:spacing w:line="240" w:lineRule="auto"/>
              <w:ind w:firstLine="0" w:firstLineChars="0"/>
              <w:jc w:val="center"/>
              <w:rPr>
                <w:color w:val="auto"/>
                <w:sz w:val="21"/>
                <w:szCs w:val="21"/>
                <w:lang w:val="en-AU" w:eastAsia="en-US"/>
              </w:rPr>
            </w:pPr>
            <w:r>
              <w:rPr>
                <w:color w:val="auto"/>
                <w:sz w:val="21"/>
                <w:szCs w:val="21"/>
              </w:rPr>
              <w:t>92-87-5</w:t>
            </w:r>
          </w:p>
        </w:tc>
        <w:tc>
          <w:tcPr>
            <w:tcW w:w="690" w:type="pct"/>
            <w:tcBorders>
              <w:tl2br w:val="nil"/>
              <w:tr2bl w:val="nil"/>
            </w:tcBorders>
            <w:vAlign w:val="center"/>
          </w:tcPr>
          <w:p w14:paraId="042412F1">
            <w:pPr>
              <w:spacing w:line="240" w:lineRule="auto"/>
              <w:ind w:firstLine="0" w:firstLineChars="0"/>
              <w:jc w:val="center"/>
              <w:rPr>
                <w:color w:val="auto"/>
                <w:sz w:val="21"/>
                <w:szCs w:val="21"/>
              </w:rPr>
            </w:pPr>
            <w:r>
              <w:rPr>
                <w:color w:val="auto"/>
                <w:sz w:val="21"/>
                <w:szCs w:val="21"/>
              </w:rPr>
              <w:t>不涉及</w:t>
            </w:r>
          </w:p>
        </w:tc>
      </w:tr>
      <w:tr w14:paraId="60DECC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C54973C">
            <w:pPr>
              <w:spacing w:line="240" w:lineRule="auto"/>
              <w:ind w:firstLine="0" w:firstLineChars="0"/>
              <w:jc w:val="center"/>
              <w:rPr>
                <w:color w:val="auto"/>
                <w:sz w:val="21"/>
                <w:szCs w:val="21"/>
              </w:rPr>
            </w:pPr>
            <w:r>
              <w:rPr>
                <w:rFonts w:hint="eastAsia"/>
                <w:color w:val="auto"/>
                <w:sz w:val="21"/>
                <w:szCs w:val="21"/>
              </w:rPr>
              <w:t>51</w:t>
            </w:r>
          </w:p>
        </w:tc>
        <w:tc>
          <w:tcPr>
            <w:tcW w:w="2836" w:type="pct"/>
            <w:gridSpan w:val="2"/>
            <w:tcBorders>
              <w:tl2br w:val="nil"/>
              <w:tr2bl w:val="nil"/>
            </w:tcBorders>
            <w:vAlign w:val="center"/>
          </w:tcPr>
          <w:p w14:paraId="243A81C9">
            <w:pPr>
              <w:spacing w:line="240" w:lineRule="auto"/>
              <w:ind w:firstLine="0" w:firstLineChars="0"/>
              <w:jc w:val="center"/>
              <w:rPr>
                <w:color w:val="auto"/>
                <w:sz w:val="21"/>
                <w:szCs w:val="21"/>
              </w:rPr>
            </w:pPr>
            <w:r>
              <w:rPr>
                <w:color w:val="auto"/>
                <w:sz w:val="21"/>
                <w:szCs w:val="21"/>
              </w:rPr>
              <w:t>对羟基苯甲酸丁酯（别名：尼泊金丁酯）</w:t>
            </w:r>
          </w:p>
        </w:tc>
        <w:tc>
          <w:tcPr>
            <w:tcW w:w="1117" w:type="pct"/>
            <w:tcBorders>
              <w:tl2br w:val="nil"/>
              <w:tr2bl w:val="nil"/>
            </w:tcBorders>
            <w:vAlign w:val="center"/>
          </w:tcPr>
          <w:p w14:paraId="7391BD34">
            <w:pPr>
              <w:spacing w:line="240" w:lineRule="auto"/>
              <w:ind w:firstLine="0" w:firstLineChars="0"/>
              <w:jc w:val="center"/>
              <w:rPr>
                <w:color w:val="auto"/>
                <w:sz w:val="21"/>
                <w:szCs w:val="21"/>
                <w:lang w:val="en-AU" w:eastAsia="en-US"/>
              </w:rPr>
            </w:pPr>
            <w:r>
              <w:rPr>
                <w:color w:val="auto"/>
                <w:sz w:val="21"/>
                <w:szCs w:val="21"/>
              </w:rPr>
              <w:t>94-26-8</w:t>
            </w:r>
          </w:p>
        </w:tc>
        <w:tc>
          <w:tcPr>
            <w:tcW w:w="690" w:type="pct"/>
            <w:tcBorders>
              <w:tl2br w:val="nil"/>
              <w:tr2bl w:val="nil"/>
            </w:tcBorders>
            <w:vAlign w:val="center"/>
          </w:tcPr>
          <w:p w14:paraId="39147525">
            <w:pPr>
              <w:spacing w:line="240" w:lineRule="auto"/>
              <w:ind w:firstLine="0" w:firstLineChars="0"/>
              <w:jc w:val="center"/>
              <w:rPr>
                <w:color w:val="auto"/>
                <w:sz w:val="21"/>
                <w:szCs w:val="21"/>
              </w:rPr>
            </w:pPr>
            <w:r>
              <w:rPr>
                <w:color w:val="auto"/>
                <w:sz w:val="21"/>
                <w:szCs w:val="21"/>
              </w:rPr>
              <w:t>不涉及</w:t>
            </w:r>
          </w:p>
        </w:tc>
      </w:tr>
      <w:tr w14:paraId="5126A3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E5E160E">
            <w:pPr>
              <w:spacing w:line="240" w:lineRule="auto"/>
              <w:ind w:firstLine="0" w:firstLineChars="0"/>
              <w:jc w:val="center"/>
              <w:rPr>
                <w:color w:val="auto"/>
                <w:sz w:val="21"/>
                <w:szCs w:val="21"/>
              </w:rPr>
            </w:pPr>
            <w:r>
              <w:rPr>
                <w:rFonts w:hint="eastAsia"/>
                <w:color w:val="auto"/>
                <w:sz w:val="21"/>
                <w:szCs w:val="21"/>
              </w:rPr>
              <w:t>52</w:t>
            </w:r>
          </w:p>
        </w:tc>
        <w:tc>
          <w:tcPr>
            <w:tcW w:w="2836" w:type="pct"/>
            <w:gridSpan w:val="2"/>
            <w:tcBorders>
              <w:tl2br w:val="nil"/>
              <w:tr2bl w:val="nil"/>
            </w:tcBorders>
            <w:vAlign w:val="center"/>
          </w:tcPr>
          <w:p w14:paraId="5A810CCC">
            <w:pPr>
              <w:spacing w:line="240" w:lineRule="auto"/>
              <w:ind w:firstLine="0" w:firstLineChars="0"/>
              <w:jc w:val="center"/>
              <w:rPr>
                <w:color w:val="auto"/>
                <w:sz w:val="21"/>
                <w:szCs w:val="21"/>
              </w:rPr>
            </w:pPr>
            <w:r>
              <w:rPr>
                <w:color w:val="auto"/>
                <w:sz w:val="21"/>
                <w:szCs w:val="21"/>
              </w:rPr>
              <w:t>氟乙酸钠</w:t>
            </w:r>
          </w:p>
        </w:tc>
        <w:tc>
          <w:tcPr>
            <w:tcW w:w="1117" w:type="pct"/>
            <w:tcBorders>
              <w:tl2br w:val="nil"/>
              <w:tr2bl w:val="nil"/>
            </w:tcBorders>
            <w:vAlign w:val="center"/>
          </w:tcPr>
          <w:p w14:paraId="23D4D5AA">
            <w:pPr>
              <w:spacing w:line="240" w:lineRule="auto"/>
              <w:ind w:firstLine="0" w:firstLineChars="0"/>
              <w:jc w:val="center"/>
              <w:rPr>
                <w:color w:val="auto"/>
                <w:sz w:val="21"/>
                <w:szCs w:val="21"/>
                <w:lang w:val="en-AU" w:eastAsia="en-US"/>
              </w:rPr>
            </w:pPr>
            <w:r>
              <w:rPr>
                <w:color w:val="auto"/>
                <w:sz w:val="21"/>
                <w:szCs w:val="21"/>
              </w:rPr>
              <w:t>62-74-8</w:t>
            </w:r>
          </w:p>
        </w:tc>
        <w:tc>
          <w:tcPr>
            <w:tcW w:w="690" w:type="pct"/>
            <w:tcBorders>
              <w:tl2br w:val="nil"/>
              <w:tr2bl w:val="nil"/>
            </w:tcBorders>
            <w:vAlign w:val="center"/>
          </w:tcPr>
          <w:p w14:paraId="37158F49">
            <w:pPr>
              <w:spacing w:line="240" w:lineRule="auto"/>
              <w:ind w:firstLine="0" w:firstLineChars="0"/>
              <w:jc w:val="center"/>
              <w:rPr>
                <w:color w:val="auto"/>
                <w:sz w:val="21"/>
                <w:szCs w:val="21"/>
              </w:rPr>
            </w:pPr>
            <w:r>
              <w:rPr>
                <w:color w:val="auto"/>
                <w:sz w:val="21"/>
                <w:szCs w:val="21"/>
              </w:rPr>
              <w:t>不涉及</w:t>
            </w:r>
          </w:p>
        </w:tc>
      </w:tr>
      <w:tr w14:paraId="00D00E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2615074">
            <w:pPr>
              <w:spacing w:line="240" w:lineRule="auto"/>
              <w:ind w:firstLine="0" w:firstLineChars="0"/>
              <w:jc w:val="center"/>
              <w:rPr>
                <w:color w:val="auto"/>
                <w:sz w:val="21"/>
                <w:szCs w:val="21"/>
              </w:rPr>
            </w:pPr>
            <w:r>
              <w:rPr>
                <w:rFonts w:hint="eastAsia"/>
                <w:color w:val="auto"/>
                <w:sz w:val="21"/>
                <w:szCs w:val="21"/>
              </w:rPr>
              <w:t>53</w:t>
            </w:r>
          </w:p>
        </w:tc>
        <w:tc>
          <w:tcPr>
            <w:tcW w:w="2836" w:type="pct"/>
            <w:gridSpan w:val="2"/>
            <w:tcBorders>
              <w:tl2br w:val="nil"/>
              <w:tr2bl w:val="nil"/>
            </w:tcBorders>
            <w:vAlign w:val="center"/>
          </w:tcPr>
          <w:p w14:paraId="7A58459C">
            <w:pPr>
              <w:spacing w:line="240" w:lineRule="auto"/>
              <w:ind w:firstLine="0" w:firstLineChars="0"/>
              <w:jc w:val="center"/>
              <w:rPr>
                <w:color w:val="auto"/>
                <w:sz w:val="21"/>
                <w:szCs w:val="21"/>
              </w:rPr>
            </w:pPr>
            <w:r>
              <w:rPr>
                <w:color w:val="auto"/>
                <w:sz w:val="21"/>
                <w:szCs w:val="21"/>
              </w:rPr>
              <w:t>邻苯二甲酸丁苄酯</w:t>
            </w:r>
          </w:p>
        </w:tc>
        <w:tc>
          <w:tcPr>
            <w:tcW w:w="1117" w:type="pct"/>
            <w:tcBorders>
              <w:tl2br w:val="nil"/>
              <w:tr2bl w:val="nil"/>
            </w:tcBorders>
            <w:vAlign w:val="center"/>
          </w:tcPr>
          <w:p w14:paraId="277358DA">
            <w:pPr>
              <w:spacing w:line="240" w:lineRule="auto"/>
              <w:ind w:firstLine="0" w:firstLineChars="0"/>
              <w:jc w:val="center"/>
              <w:rPr>
                <w:color w:val="auto"/>
                <w:sz w:val="21"/>
                <w:szCs w:val="21"/>
                <w:lang w:val="en-AU" w:eastAsia="en-US"/>
              </w:rPr>
            </w:pPr>
            <w:r>
              <w:rPr>
                <w:color w:val="auto"/>
                <w:sz w:val="21"/>
                <w:szCs w:val="21"/>
              </w:rPr>
              <w:t>85-68-7</w:t>
            </w:r>
          </w:p>
        </w:tc>
        <w:tc>
          <w:tcPr>
            <w:tcW w:w="690" w:type="pct"/>
            <w:tcBorders>
              <w:tl2br w:val="nil"/>
              <w:tr2bl w:val="nil"/>
            </w:tcBorders>
            <w:vAlign w:val="center"/>
          </w:tcPr>
          <w:p w14:paraId="0F245B52">
            <w:pPr>
              <w:spacing w:line="240" w:lineRule="auto"/>
              <w:ind w:firstLine="0" w:firstLineChars="0"/>
              <w:jc w:val="center"/>
              <w:rPr>
                <w:color w:val="auto"/>
                <w:sz w:val="21"/>
                <w:szCs w:val="21"/>
              </w:rPr>
            </w:pPr>
            <w:r>
              <w:rPr>
                <w:color w:val="auto"/>
                <w:sz w:val="21"/>
                <w:szCs w:val="21"/>
              </w:rPr>
              <w:t>不涉及</w:t>
            </w:r>
          </w:p>
        </w:tc>
      </w:tr>
      <w:tr w14:paraId="7B4311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48BB3B24">
            <w:pPr>
              <w:spacing w:line="240" w:lineRule="auto"/>
              <w:ind w:firstLine="0" w:firstLineChars="0"/>
              <w:jc w:val="center"/>
              <w:rPr>
                <w:color w:val="auto"/>
                <w:sz w:val="21"/>
                <w:szCs w:val="21"/>
              </w:rPr>
            </w:pPr>
            <w:r>
              <w:rPr>
                <w:rFonts w:hint="eastAsia"/>
                <w:color w:val="auto"/>
                <w:sz w:val="21"/>
                <w:szCs w:val="21"/>
              </w:rPr>
              <w:t>54</w:t>
            </w:r>
          </w:p>
        </w:tc>
        <w:tc>
          <w:tcPr>
            <w:tcW w:w="2836" w:type="pct"/>
            <w:gridSpan w:val="2"/>
            <w:tcBorders>
              <w:tl2br w:val="nil"/>
              <w:tr2bl w:val="nil"/>
            </w:tcBorders>
            <w:vAlign w:val="center"/>
          </w:tcPr>
          <w:p w14:paraId="51D8B988">
            <w:pPr>
              <w:spacing w:line="240" w:lineRule="auto"/>
              <w:ind w:firstLine="0" w:firstLineChars="0"/>
              <w:jc w:val="center"/>
              <w:rPr>
                <w:color w:val="auto"/>
                <w:sz w:val="21"/>
                <w:szCs w:val="21"/>
                <w:lang w:val="en-AU"/>
              </w:rPr>
            </w:pPr>
            <w:r>
              <w:rPr>
                <w:color w:val="auto"/>
                <w:sz w:val="21"/>
                <w:szCs w:val="21"/>
              </w:rPr>
              <w:t>邻苯二甲酸二</w:t>
            </w:r>
            <w:r>
              <w:rPr>
                <w:rFonts w:hint="eastAsia"/>
                <w:color w:val="auto"/>
                <w:sz w:val="21"/>
                <w:szCs w:val="21"/>
              </w:rPr>
              <w:t>（</w:t>
            </w:r>
            <w:r>
              <w:rPr>
                <w:color w:val="auto"/>
                <w:sz w:val="21"/>
                <w:szCs w:val="21"/>
              </w:rPr>
              <w:t>2-乙基己基</w:t>
            </w:r>
            <w:r>
              <w:rPr>
                <w:rFonts w:hint="eastAsia"/>
                <w:color w:val="auto"/>
                <w:sz w:val="21"/>
                <w:szCs w:val="21"/>
              </w:rPr>
              <w:t>）</w:t>
            </w:r>
            <w:r>
              <w:rPr>
                <w:color w:val="auto"/>
                <w:sz w:val="21"/>
                <w:szCs w:val="21"/>
              </w:rPr>
              <w:t>酯</w:t>
            </w:r>
          </w:p>
        </w:tc>
        <w:tc>
          <w:tcPr>
            <w:tcW w:w="1117" w:type="pct"/>
            <w:tcBorders>
              <w:tl2br w:val="nil"/>
              <w:tr2bl w:val="nil"/>
            </w:tcBorders>
            <w:vAlign w:val="center"/>
          </w:tcPr>
          <w:p w14:paraId="02527977">
            <w:pPr>
              <w:spacing w:line="240" w:lineRule="auto"/>
              <w:ind w:firstLine="0" w:firstLineChars="0"/>
              <w:jc w:val="center"/>
              <w:rPr>
                <w:color w:val="auto"/>
                <w:sz w:val="21"/>
                <w:szCs w:val="21"/>
                <w:lang w:val="en-AU" w:eastAsia="en-US"/>
              </w:rPr>
            </w:pPr>
            <w:r>
              <w:rPr>
                <w:color w:val="auto"/>
                <w:sz w:val="21"/>
                <w:szCs w:val="21"/>
              </w:rPr>
              <w:t>117-81-7</w:t>
            </w:r>
          </w:p>
        </w:tc>
        <w:tc>
          <w:tcPr>
            <w:tcW w:w="690" w:type="pct"/>
            <w:tcBorders>
              <w:tl2br w:val="nil"/>
              <w:tr2bl w:val="nil"/>
            </w:tcBorders>
            <w:vAlign w:val="center"/>
          </w:tcPr>
          <w:p w14:paraId="310A82A7">
            <w:pPr>
              <w:spacing w:line="240" w:lineRule="auto"/>
              <w:ind w:firstLine="0" w:firstLineChars="0"/>
              <w:jc w:val="center"/>
              <w:rPr>
                <w:color w:val="auto"/>
                <w:sz w:val="21"/>
                <w:szCs w:val="21"/>
              </w:rPr>
            </w:pPr>
            <w:r>
              <w:rPr>
                <w:color w:val="auto"/>
                <w:sz w:val="21"/>
                <w:szCs w:val="21"/>
              </w:rPr>
              <w:t>不涉及</w:t>
            </w:r>
          </w:p>
        </w:tc>
      </w:tr>
      <w:tr w14:paraId="3BDF8F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71244C6">
            <w:pPr>
              <w:spacing w:line="240" w:lineRule="auto"/>
              <w:ind w:firstLine="0" w:firstLineChars="0"/>
              <w:jc w:val="center"/>
              <w:rPr>
                <w:color w:val="auto"/>
                <w:sz w:val="21"/>
                <w:szCs w:val="21"/>
              </w:rPr>
            </w:pPr>
            <w:r>
              <w:rPr>
                <w:rFonts w:hint="eastAsia"/>
                <w:color w:val="auto"/>
                <w:sz w:val="21"/>
                <w:szCs w:val="21"/>
              </w:rPr>
              <w:t>55</w:t>
            </w:r>
          </w:p>
        </w:tc>
        <w:tc>
          <w:tcPr>
            <w:tcW w:w="2836" w:type="pct"/>
            <w:gridSpan w:val="2"/>
            <w:tcBorders>
              <w:tl2br w:val="nil"/>
              <w:tr2bl w:val="nil"/>
            </w:tcBorders>
            <w:vAlign w:val="center"/>
          </w:tcPr>
          <w:p w14:paraId="72E53DF6">
            <w:pPr>
              <w:spacing w:line="240" w:lineRule="auto"/>
              <w:ind w:firstLine="0" w:firstLineChars="0"/>
              <w:jc w:val="center"/>
              <w:rPr>
                <w:color w:val="auto"/>
                <w:sz w:val="21"/>
                <w:szCs w:val="21"/>
              </w:rPr>
            </w:pPr>
            <w:r>
              <w:rPr>
                <w:color w:val="auto"/>
                <w:sz w:val="21"/>
                <w:szCs w:val="21"/>
              </w:rPr>
              <w:t>邻苯二甲酸二丁酯</w:t>
            </w:r>
          </w:p>
        </w:tc>
        <w:tc>
          <w:tcPr>
            <w:tcW w:w="1117" w:type="pct"/>
            <w:tcBorders>
              <w:tl2br w:val="nil"/>
              <w:tr2bl w:val="nil"/>
            </w:tcBorders>
            <w:vAlign w:val="center"/>
          </w:tcPr>
          <w:p w14:paraId="5F8704FF">
            <w:pPr>
              <w:spacing w:line="240" w:lineRule="auto"/>
              <w:ind w:firstLine="0" w:firstLineChars="0"/>
              <w:jc w:val="center"/>
              <w:rPr>
                <w:color w:val="auto"/>
                <w:sz w:val="21"/>
                <w:szCs w:val="21"/>
                <w:lang w:val="en-AU" w:eastAsia="en-US"/>
              </w:rPr>
            </w:pPr>
            <w:r>
              <w:rPr>
                <w:color w:val="auto"/>
                <w:sz w:val="21"/>
                <w:szCs w:val="21"/>
              </w:rPr>
              <w:t>84-74-2</w:t>
            </w:r>
          </w:p>
        </w:tc>
        <w:tc>
          <w:tcPr>
            <w:tcW w:w="690" w:type="pct"/>
            <w:tcBorders>
              <w:tl2br w:val="nil"/>
              <w:tr2bl w:val="nil"/>
            </w:tcBorders>
            <w:vAlign w:val="center"/>
          </w:tcPr>
          <w:p w14:paraId="59D78393">
            <w:pPr>
              <w:spacing w:line="240" w:lineRule="auto"/>
              <w:ind w:firstLine="0" w:firstLineChars="0"/>
              <w:jc w:val="center"/>
              <w:rPr>
                <w:color w:val="auto"/>
                <w:sz w:val="21"/>
                <w:szCs w:val="21"/>
              </w:rPr>
            </w:pPr>
            <w:r>
              <w:rPr>
                <w:color w:val="auto"/>
                <w:sz w:val="21"/>
                <w:szCs w:val="21"/>
              </w:rPr>
              <w:t>不涉及</w:t>
            </w:r>
          </w:p>
        </w:tc>
      </w:tr>
      <w:tr w14:paraId="53EB16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A92ABFB">
            <w:pPr>
              <w:spacing w:line="240" w:lineRule="auto"/>
              <w:ind w:firstLine="0" w:firstLineChars="0"/>
              <w:jc w:val="center"/>
              <w:rPr>
                <w:color w:val="auto"/>
                <w:sz w:val="21"/>
                <w:szCs w:val="21"/>
              </w:rPr>
            </w:pPr>
            <w:r>
              <w:rPr>
                <w:rFonts w:hint="eastAsia"/>
                <w:color w:val="auto"/>
                <w:sz w:val="21"/>
                <w:szCs w:val="21"/>
              </w:rPr>
              <w:t>56</w:t>
            </w:r>
          </w:p>
        </w:tc>
        <w:tc>
          <w:tcPr>
            <w:tcW w:w="2836" w:type="pct"/>
            <w:gridSpan w:val="2"/>
            <w:tcBorders>
              <w:tl2br w:val="nil"/>
              <w:tr2bl w:val="nil"/>
            </w:tcBorders>
            <w:vAlign w:val="center"/>
          </w:tcPr>
          <w:p w14:paraId="37DC5F8D">
            <w:pPr>
              <w:spacing w:line="240" w:lineRule="auto"/>
              <w:ind w:firstLine="0" w:firstLineChars="0"/>
              <w:jc w:val="center"/>
              <w:rPr>
                <w:color w:val="auto"/>
                <w:sz w:val="21"/>
                <w:szCs w:val="21"/>
              </w:rPr>
            </w:pPr>
            <w:r>
              <w:rPr>
                <w:color w:val="auto"/>
                <w:sz w:val="21"/>
                <w:szCs w:val="21"/>
              </w:rPr>
              <w:t>邻苯二甲酸二异丁酯</w:t>
            </w:r>
          </w:p>
        </w:tc>
        <w:tc>
          <w:tcPr>
            <w:tcW w:w="1117" w:type="pct"/>
            <w:tcBorders>
              <w:tl2br w:val="nil"/>
              <w:tr2bl w:val="nil"/>
            </w:tcBorders>
            <w:vAlign w:val="center"/>
          </w:tcPr>
          <w:p w14:paraId="1C4A73E0">
            <w:pPr>
              <w:spacing w:line="240" w:lineRule="auto"/>
              <w:ind w:firstLine="0" w:firstLineChars="0"/>
              <w:jc w:val="center"/>
              <w:rPr>
                <w:color w:val="auto"/>
                <w:sz w:val="21"/>
                <w:szCs w:val="21"/>
                <w:lang w:val="en-AU" w:eastAsia="en-US"/>
              </w:rPr>
            </w:pPr>
            <w:r>
              <w:rPr>
                <w:color w:val="auto"/>
                <w:sz w:val="21"/>
                <w:szCs w:val="21"/>
              </w:rPr>
              <w:t>84-69-5</w:t>
            </w:r>
          </w:p>
        </w:tc>
        <w:tc>
          <w:tcPr>
            <w:tcW w:w="690" w:type="pct"/>
            <w:tcBorders>
              <w:tl2br w:val="nil"/>
              <w:tr2bl w:val="nil"/>
            </w:tcBorders>
            <w:vAlign w:val="center"/>
          </w:tcPr>
          <w:p w14:paraId="6F4C0F12">
            <w:pPr>
              <w:spacing w:line="240" w:lineRule="auto"/>
              <w:ind w:firstLine="0" w:firstLineChars="0"/>
              <w:jc w:val="center"/>
              <w:rPr>
                <w:color w:val="auto"/>
                <w:sz w:val="21"/>
                <w:szCs w:val="21"/>
              </w:rPr>
            </w:pPr>
            <w:r>
              <w:rPr>
                <w:color w:val="auto"/>
                <w:sz w:val="21"/>
                <w:szCs w:val="21"/>
              </w:rPr>
              <w:t>不涉及</w:t>
            </w:r>
          </w:p>
        </w:tc>
      </w:tr>
      <w:tr w14:paraId="67434E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CC39668">
            <w:pPr>
              <w:spacing w:line="240" w:lineRule="auto"/>
              <w:ind w:firstLine="0" w:firstLineChars="0"/>
              <w:jc w:val="center"/>
              <w:rPr>
                <w:color w:val="auto"/>
                <w:sz w:val="21"/>
                <w:szCs w:val="21"/>
              </w:rPr>
            </w:pPr>
            <w:r>
              <w:rPr>
                <w:rFonts w:hint="eastAsia"/>
                <w:color w:val="auto"/>
                <w:sz w:val="21"/>
                <w:szCs w:val="21"/>
              </w:rPr>
              <w:t>57</w:t>
            </w:r>
          </w:p>
        </w:tc>
        <w:tc>
          <w:tcPr>
            <w:tcW w:w="2836" w:type="pct"/>
            <w:gridSpan w:val="2"/>
            <w:tcBorders>
              <w:tl2br w:val="nil"/>
              <w:tr2bl w:val="nil"/>
            </w:tcBorders>
            <w:vAlign w:val="center"/>
          </w:tcPr>
          <w:p w14:paraId="766E1F72">
            <w:pPr>
              <w:spacing w:line="240" w:lineRule="auto"/>
              <w:ind w:firstLine="0" w:firstLineChars="0"/>
              <w:jc w:val="center"/>
              <w:rPr>
                <w:color w:val="auto"/>
                <w:sz w:val="21"/>
                <w:szCs w:val="21"/>
                <w:lang w:val="en-AU"/>
              </w:rPr>
            </w:pPr>
            <w:r>
              <w:rPr>
                <w:color w:val="auto"/>
                <w:sz w:val="21"/>
                <w:szCs w:val="21"/>
              </w:rPr>
              <w:t>三</w:t>
            </w:r>
            <w:r>
              <w:rPr>
                <w:rFonts w:hint="eastAsia"/>
                <w:color w:val="auto"/>
                <w:sz w:val="21"/>
                <w:szCs w:val="21"/>
              </w:rPr>
              <w:t>（</w:t>
            </w:r>
            <w:r>
              <w:rPr>
                <w:color w:val="auto"/>
                <w:sz w:val="21"/>
                <w:szCs w:val="21"/>
              </w:rPr>
              <w:t>2,3-二溴丙基</w:t>
            </w:r>
            <w:r>
              <w:rPr>
                <w:rFonts w:hint="eastAsia"/>
                <w:color w:val="auto"/>
                <w:sz w:val="21"/>
                <w:szCs w:val="21"/>
              </w:rPr>
              <w:t>）</w:t>
            </w:r>
            <w:r>
              <w:rPr>
                <w:color w:val="auto"/>
                <w:sz w:val="21"/>
                <w:szCs w:val="21"/>
              </w:rPr>
              <w:t>磷酸酯（别名：磷酸三(2,3-二溴丙基)酯）</w:t>
            </w:r>
          </w:p>
        </w:tc>
        <w:tc>
          <w:tcPr>
            <w:tcW w:w="1117" w:type="pct"/>
            <w:tcBorders>
              <w:tl2br w:val="nil"/>
              <w:tr2bl w:val="nil"/>
            </w:tcBorders>
            <w:vAlign w:val="center"/>
          </w:tcPr>
          <w:p w14:paraId="79B9486E">
            <w:pPr>
              <w:spacing w:line="240" w:lineRule="auto"/>
              <w:ind w:firstLine="0" w:firstLineChars="0"/>
              <w:jc w:val="center"/>
              <w:rPr>
                <w:color w:val="auto"/>
                <w:sz w:val="21"/>
                <w:szCs w:val="21"/>
                <w:lang w:val="en-AU" w:eastAsia="en-US"/>
              </w:rPr>
            </w:pPr>
            <w:r>
              <w:rPr>
                <w:color w:val="auto"/>
                <w:sz w:val="21"/>
                <w:szCs w:val="21"/>
              </w:rPr>
              <w:t>126-72-7</w:t>
            </w:r>
          </w:p>
        </w:tc>
        <w:tc>
          <w:tcPr>
            <w:tcW w:w="690" w:type="pct"/>
            <w:tcBorders>
              <w:tl2br w:val="nil"/>
              <w:tr2bl w:val="nil"/>
            </w:tcBorders>
            <w:vAlign w:val="center"/>
          </w:tcPr>
          <w:p w14:paraId="541C9314">
            <w:pPr>
              <w:spacing w:line="240" w:lineRule="auto"/>
              <w:ind w:firstLine="0" w:firstLineChars="0"/>
              <w:jc w:val="center"/>
              <w:rPr>
                <w:color w:val="auto"/>
                <w:sz w:val="21"/>
                <w:szCs w:val="21"/>
              </w:rPr>
            </w:pPr>
            <w:r>
              <w:rPr>
                <w:color w:val="auto"/>
                <w:sz w:val="21"/>
                <w:szCs w:val="21"/>
              </w:rPr>
              <w:t>不涉及</w:t>
            </w:r>
          </w:p>
        </w:tc>
      </w:tr>
      <w:tr w14:paraId="13BE50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1C2704A7">
            <w:pPr>
              <w:spacing w:line="240" w:lineRule="auto"/>
              <w:ind w:firstLine="0" w:firstLineChars="0"/>
              <w:jc w:val="center"/>
              <w:rPr>
                <w:color w:val="auto"/>
                <w:sz w:val="21"/>
                <w:szCs w:val="21"/>
              </w:rPr>
            </w:pPr>
            <w:r>
              <w:rPr>
                <w:rFonts w:hint="eastAsia"/>
                <w:color w:val="auto"/>
                <w:sz w:val="21"/>
                <w:szCs w:val="21"/>
              </w:rPr>
              <w:t>58</w:t>
            </w:r>
          </w:p>
        </w:tc>
        <w:tc>
          <w:tcPr>
            <w:tcW w:w="2836" w:type="pct"/>
            <w:gridSpan w:val="2"/>
            <w:tcBorders>
              <w:tl2br w:val="nil"/>
              <w:tr2bl w:val="nil"/>
            </w:tcBorders>
            <w:vAlign w:val="center"/>
          </w:tcPr>
          <w:p w14:paraId="1FEA3C15">
            <w:pPr>
              <w:spacing w:line="240" w:lineRule="auto"/>
              <w:ind w:firstLine="0" w:firstLineChars="0"/>
              <w:jc w:val="center"/>
              <w:rPr>
                <w:color w:val="auto"/>
                <w:sz w:val="21"/>
                <w:szCs w:val="21"/>
              </w:rPr>
            </w:pPr>
            <w:r>
              <w:rPr>
                <w:color w:val="auto"/>
                <w:sz w:val="21"/>
                <w:szCs w:val="21"/>
              </w:rPr>
              <w:t>氯甲基甲醚</w:t>
            </w:r>
          </w:p>
        </w:tc>
        <w:tc>
          <w:tcPr>
            <w:tcW w:w="1117" w:type="pct"/>
            <w:tcBorders>
              <w:tl2br w:val="nil"/>
              <w:tr2bl w:val="nil"/>
            </w:tcBorders>
            <w:vAlign w:val="center"/>
          </w:tcPr>
          <w:p w14:paraId="780FBB0E">
            <w:pPr>
              <w:spacing w:line="240" w:lineRule="auto"/>
              <w:ind w:firstLine="0" w:firstLineChars="0"/>
              <w:jc w:val="center"/>
              <w:rPr>
                <w:color w:val="auto"/>
                <w:sz w:val="21"/>
                <w:szCs w:val="21"/>
                <w:lang w:val="en-AU" w:eastAsia="en-US"/>
              </w:rPr>
            </w:pPr>
            <w:r>
              <w:rPr>
                <w:color w:val="auto"/>
                <w:sz w:val="21"/>
                <w:szCs w:val="21"/>
              </w:rPr>
              <w:t>107-30-2</w:t>
            </w:r>
          </w:p>
        </w:tc>
        <w:tc>
          <w:tcPr>
            <w:tcW w:w="690" w:type="pct"/>
            <w:tcBorders>
              <w:tl2br w:val="nil"/>
              <w:tr2bl w:val="nil"/>
            </w:tcBorders>
            <w:vAlign w:val="center"/>
          </w:tcPr>
          <w:p w14:paraId="0E880897">
            <w:pPr>
              <w:spacing w:line="240" w:lineRule="auto"/>
              <w:ind w:firstLine="0" w:firstLineChars="0"/>
              <w:jc w:val="center"/>
              <w:rPr>
                <w:color w:val="auto"/>
                <w:sz w:val="21"/>
                <w:szCs w:val="21"/>
              </w:rPr>
            </w:pPr>
            <w:r>
              <w:rPr>
                <w:color w:val="auto"/>
                <w:sz w:val="21"/>
                <w:szCs w:val="21"/>
              </w:rPr>
              <w:t>不涉及</w:t>
            </w:r>
          </w:p>
        </w:tc>
      </w:tr>
      <w:tr w14:paraId="19033B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714386A">
            <w:pPr>
              <w:spacing w:line="240" w:lineRule="auto"/>
              <w:ind w:firstLine="0" w:firstLineChars="0"/>
              <w:jc w:val="center"/>
              <w:rPr>
                <w:color w:val="auto"/>
                <w:sz w:val="21"/>
                <w:szCs w:val="21"/>
              </w:rPr>
            </w:pPr>
            <w:r>
              <w:rPr>
                <w:rFonts w:hint="eastAsia"/>
                <w:color w:val="auto"/>
                <w:sz w:val="21"/>
                <w:szCs w:val="21"/>
              </w:rPr>
              <w:t>59</w:t>
            </w:r>
          </w:p>
        </w:tc>
        <w:tc>
          <w:tcPr>
            <w:tcW w:w="2836" w:type="pct"/>
            <w:gridSpan w:val="2"/>
            <w:tcBorders>
              <w:tl2br w:val="nil"/>
              <w:tr2bl w:val="nil"/>
            </w:tcBorders>
            <w:vAlign w:val="center"/>
          </w:tcPr>
          <w:p w14:paraId="2DC4DFC0">
            <w:pPr>
              <w:spacing w:line="240" w:lineRule="auto"/>
              <w:ind w:firstLine="0" w:firstLineChars="0"/>
              <w:jc w:val="center"/>
              <w:rPr>
                <w:color w:val="auto"/>
                <w:sz w:val="21"/>
                <w:szCs w:val="21"/>
                <w:lang w:val="en-AU"/>
              </w:rPr>
            </w:pPr>
            <w:r>
              <w:rPr>
                <w:color w:val="auto"/>
                <w:sz w:val="21"/>
                <w:szCs w:val="21"/>
              </w:rPr>
              <w:t>三</w:t>
            </w:r>
            <w:r>
              <w:rPr>
                <w:rFonts w:hint="eastAsia"/>
                <w:color w:val="auto"/>
                <w:sz w:val="21"/>
                <w:szCs w:val="21"/>
              </w:rPr>
              <w:t>（</w:t>
            </w:r>
            <w:r>
              <w:rPr>
                <w:color w:val="auto"/>
                <w:sz w:val="21"/>
                <w:szCs w:val="21"/>
              </w:rPr>
              <w:t>4-壬基苯酚</w:t>
            </w:r>
            <w:r>
              <w:rPr>
                <w:rFonts w:hint="eastAsia"/>
                <w:color w:val="auto"/>
                <w:sz w:val="21"/>
                <w:szCs w:val="21"/>
              </w:rPr>
              <w:t>）</w:t>
            </w:r>
            <w:r>
              <w:rPr>
                <w:color w:val="auto"/>
                <w:sz w:val="21"/>
                <w:szCs w:val="21"/>
              </w:rPr>
              <w:t>亚磷酸酯</w:t>
            </w:r>
          </w:p>
        </w:tc>
        <w:tc>
          <w:tcPr>
            <w:tcW w:w="1117" w:type="pct"/>
            <w:tcBorders>
              <w:tl2br w:val="nil"/>
              <w:tr2bl w:val="nil"/>
            </w:tcBorders>
            <w:vAlign w:val="center"/>
          </w:tcPr>
          <w:p w14:paraId="74C886CA">
            <w:pPr>
              <w:spacing w:line="240" w:lineRule="auto"/>
              <w:ind w:firstLine="0" w:firstLineChars="0"/>
              <w:jc w:val="center"/>
              <w:rPr>
                <w:color w:val="auto"/>
                <w:sz w:val="21"/>
                <w:szCs w:val="21"/>
                <w:lang w:val="en-AU" w:eastAsia="en-US"/>
              </w:rPr>
            </w:pPr>
            <w:r>
              <w:rPr>
                <w:color w:val="auto"/>
                <w:sz w:val="21"/>
                <w:szCs w:val="21"/>
              </w:rPr>
              <w:t>3050-88-2</w:t>
            </w:r>
          </w:p>
        </w:tc>
        <w:tc>
          <w:tcPr>
            <w:tcW w:w="690" w:type="pct"/>
            <w:tcBorders>
              <w:tl2br w:val="nil"/>
              <w:tr2bl w:val="nil"/>
            </w:tcBorders>
            <w:vAlign w:val="center"/>
          </w:tcPr>
          <w:p w14:paraId="4BE7DC82">
            <w:pPr>
              <w:spacing w:line="240" w:lineRule="auto"/>
              <w:ind w:firstLine="0" w:firstLineChars="0"/>
              <w:jc w:val="center"/>
              <w:rPr>
                <w:color w:val="auto"/>
                <w:sz w:val="21"/>
                <w:szCs w:val="21"/>
              </w:rPr>
            </w:pPr>
            <w:r>
              <w:rPr>
                <w:color w:val="auto"/>
                <w:sz w:val="21"/>
                <w:szCs w:val="21"/>
              </w:rPr>
              <w:t>不涉及</w:t>
            </w:r>
          </w:p>
        </w:tc>
      </w:tr>
      <w:tr w14:paraId="53C0C5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BFE0532">
            <w:pPr>
              <w:spacing w:line="240" w:lineRule="auto"/>
              <w:ind w:firstLine="0" w:firstLineChars="0"/>
              <w:jc w:val="center"/>
              <w:rPr>
                <w:color w:val="auto"/>
                <w:sz w:val="21"/>
                <w:szCs w:val="21"/>
              </w:rPr>
            </w:pPr>
            <w:r>
              <w:rPr>
                <w:rFonts w:hint="eastAsia"/>
                <w:color w:val="auto"/>
                <w:sz w:val="21"/>
                <w:szCs w:val="21"/>
              </w:rPr>
              <w:t>60</w:t>
            </w:r>
          </w:p>
        </w:tc>
        <w:tc>
          <w:tcPr>
            <w:tcW w:w="2836" w:type="pct"/>
            <w:gridSpan w:val="2"/>
            <w:tcBorders>
              <w:tl2br w:val="nil"/>
              <w:tr2bl w:val="nil"/>
            </w:tcBorders>
            <w:vAlign w:val="center"/>
          </w:tcPr>
          <w:p w14:paraId="4B1A18F8">
            <w:pPr>
              <w:spacing w:line="240" w:lineRule="auto"/>
              <w:ind w:firstLine="0" w:firstLineChars="0"/>
              <w:jc w:val="center"/>
              <w:rPr>
                <w:color w:val="auto"/>
                <w:sz w:val="21"/>
                <w:szCs w:val="21"/>
                <w:lang w:val="en-AU" w:eastAsia="en-US"/>
              </w:rPr>
            </w:pPr>
            <w:r>
              <w:rPr>
                <w:color w:val="auto"/>
                <w:sz w:val="21"/>
                <w:szCs w:val="21"/>
              </w:rPr>
              <w:t>双酚A</w:t>
            </w:r>
          </w:p>
        </w:tc>
        <w:tc>
          <w:tcPr>
            <w:tcW w:w="1117" w:type="pct"/>
            <w:tcBorders>
              <w:tl2br w:val="nil"/>
              <w:tr2bl w:val="nil"/>
            </w:tcBorders>
            <w:vAlign w:val="center"/>
          </w:tcPr>
          <w:p w14:paraId="433CB8B6">
            <w:pPr>
              <w:spacing w:line="240" w:lineRule="auto"/>
              <w:ind w:firstLine="0" w:firstLineChars="0"/>
              <w:jc w:val="center"/>
              <w:rPr>
                <w:color w:val="auto"/>
                <w:sz w:val="21"/>
                <w:szCs w:val="21"/>
                <w:lang w:val="en-AU" w:eastAsia="en-US"/>
              </w:rPr>
            </w:pPr>
            <w:r>
              <w:rPr>
                <w:color w:val="auto"/>
                <w:sz w:val="21"/>
                <w:szCs w:val="21"/>
              </w:rPr>
              <w:t>80-05-7</w:t>
            </w:r>
          </w:p>
        </w:tc>
        <w:tc>
          <w:tcPr>
            <w:tcW w:w="690" w:type="pct"/>
            <w:tcBorders>
              <w:tl2br w:val="nil"/>
              <w:tr2bl w:val="nil"/>
            </w:tcBorders>
            <w:vAlign w:val="center"/>
          </w:tcPr>
          <w:p w14:paraId="0B86F710">
            <w:pPr>
              <w:spacing w:line="240" w:lineRule="auto"/>
              <w:ind w:firstLine="0" w:firstLineChars="0"/>
              <w:jc w:val="center"/>
              <w:rPr>
                <w:color w:val="auto"/>
                <w:sz w:val="21"/>
                <w:szCs w:val="21"/>
              </w:rPr>
            </w:pPr>
            <w:r>
              <w:rPr>
                <w:color w:val="auto"/>
                <w:sz w:val="21"/>
                <w:szCs w:val="21"/>
              </w:rPr>
              <w:t>不涉及</w:t>
            </w:r>
          </w:p>
        </w:tc>
      </w:tr>
      <w:tr w14:paraId="3EC84D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55B268D">
            <w:pPr>
              <w:spacing w:line="240" w:lineRule="auto"/>
              <w:ind w:firstLine="0" w:firstLineChars="0"/>
              <w:jc w:val="center"/>
              <w:rPr>
                <w:color w:val="auto"/>
                <w:sz w:val="21"/>
                <w:szCs w:val="21"/>
              </w:rPr>
            </w:pPr>
            <w:r>
              <w:rPr>
                <w:rFonts w:hint="eastAsia"/>
                <w:color w:val="auto"/>
                <w:sz w:val="21"/>
                <w:szCs w:val="21"/>
              </w:rPr>
              <w:t>61</w:t>
            </w:r>
          </w:p>
        </w:tc>
        <w:tc>
          <w:tcPr>
            <w:tcW w:w="2836" w:type="pct"/>
            <w:gridSpan w:val="2"/>
            <w:tcBorders>
              <w:tl2br w:val="nil"/>
              <w:tr2bl w:val="nil"/>
            </w:tcBorders>
            <w:vAlign w:val="center"/>
          </w:tcPr>
          <w:p w14:paraId="34E2B8F4">
            <w:pPr>
              <w:spacing w:line="240" w:lineRule="auto"/>
              <w:ind w:firstLine="0" w:firstLineChars="0"/>
              <w:jc w:val="center"/>
              <w:rPr>
                <w:color w:val="auto"/>
                <w:sz w:val="21"/>
                <w:szCs w:val="21"/>
              </w:rPr>
            </w:pPr>
            <w:r>
              <w:rPr>
                <w:color w:val="auto"/>
                <w:sz w:val="21"/>
                <w:szCs w:val="21"/>
              </w:rPr>
              <w:t>五溴苯酚</w:t>
            </w:r>
          </w:p>
        </w:tc>
        <w:tc>
          <w:tcPr>
            <w:tcW w:w="1117" w:type="pct"/>
            <w:tcBorders>
              <w:tl2br w:val="nil"/>
              <w:tr2bl w:val="nil"/>
            </w:tcBorders>
            <w:vAlign w:val="center"/>
          </w:tcPr>
          <w:p w14:paraId="78DE3849">
            <w:pPr>
              <w:spacing w:line="240" w:lineRule="auto"/>
              <w:ind w:firstLine="0" w:firstLineChars="0"/>
              <w:jc w:val="center"/>
              <w:rPr>
                <w:color w:val="auto"/>
                <w:sz w:val="21"/>
                <w:szCs w:val="21"/>
                <w:lang w:val="en-AU" w:eastAsia="en-US"/>
              </w:rPr>
            </w:pPr>
            <w:r>
              <w:rPr>
                <w:color w:val="auto"/>
                <w:sz w:val="21"/>
                <w:szCs w:val="21"/>
              </w:rPr>
              <w:t>608-71-9</w:t>
            </w:r>
          </w:p>
        </w:tc>
        <w:tc>
          <w:tcPr>
            <w:tcW w:w="690" w:type="pct"/>
            <w:tcBorders>
              <w:tl2br w:val="nil"/>
              <w:tr2bl w:val="nil"/>
            </w:tcBorders>
            <w:vAlign w:val="center"/>
          </w:tcPr>
          <w:p w14:paraId="00224BF3">
            <w:pPr>
              <w:spacing w:line="240" w:lineRule="auto"/>
              <w:ind w:firstLine="0" w:firstLineChars="0"/>
              <w:jc w:val="center"/>
              <w:rPr>
                <w:color w:val="auto"/>
                <w:sz w:val="21"/>
                <w:szCs w:val="21"/>
              </w:rPr>
            </w:pPr>
            <w:r>
              <w:rPr>
                <w:color w:val="auto"/>
                <w:sz w:val="21"/>
                <w:szCs w:val="21"/>
              </w:rPr>
              <w:t>不涉及</w:t>
            </w:r>
          </w:p>
        </w:tc>
      </w:tr>
      <w:tr w14:paraId="74E465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550C42C">
            <w:pPr>
              <w:spacing w:line="240" w:lineRule="auto"/>
              <w:ind w:firstLine="0" w:firstLineChars="0"/>
              <w:jc w:val="center"/>
              <w:rPr>
                <w:color w:val="auto"/>
                <w:sz w:val="21"/>
                <w:szCs w:val="21"/>
              </w:rPr>
            </w:pPr>
            <w:r>
              <w:rPr>
                <w:rFonts w:hint="eastAsia"/>
                <w:color w:val="auto"/>
                <w:sz w:val="21"/>
                <w:szCs w:val="21"/>
              </w:rPr>
              <w:t>62</w:t>
            </w:r>
          </w:p>
        </w:tc>
        <w:tc>
          <w:tcPr>
            <w:tcW w:w="2836" w:type="pct"/>
            <w:gridSpan w:val="2"/>
            <w:tcBorders>
              <w:tl2br w:val="nil"/>
              <w:tr2bl w:val="nil"/>
            </w:tcBorders>
            <w:vAlign w:val="center"/>
          </w:tcPr>
          <w:p w14:paraId="26828A1A">
            <w:pPr>
              <w:spacing w:line="240" w:lineRule="auto"/>
              <w:ind w:firstLine="0" w:firstLineChars="0"/>
              <w:jc w:val="center"/>
              <w:rPr>
                <w:color w:val="auto"/>
                <w:sz w:val="21"/>
                <w:szCs w:val="21"/>
                <w:lang w:val="en-AU"/>
              </w:rPr>
            </w:pPr>
            <w:r>
              <w:rPr>
                <w:color w:val="auto"/>
                <w:sz w:val="21"/>
                <w:szCs w:val="21"/>
              </w:rPr>
              <w:t>氧代二氯甲烷（别名：二(氯甲基)醚）</w:t>
            </w:r>
          </w:p>
        </w:tc>
        <w:tc>
          <w:tcPr>
            <w:tcW w:w="1117" w:type="pct"/>
            <w:tcBorders>
              <w:tl2br w:val="nil"/>
              <w:tr2bl w:val="nil"/>
            </w:tcBorders>
            <w:vAlign w:val="center"/>
          </w:tcPr>
          <w:p w14:paraId="78F8D12C">
            <w:pPr>
              <w:spacing w:line="240" w:lineRule="auto"/>
              <w:ind w:firstLine="0" w:firstLineChars="0"/>
              <w:jc w:val="center"/>
              <w:rPr>
                <w:color w:val="auto"/>
                <w:sz w:val="21"/>
                <w:szCs w:val="21"/>
                <w:lang w:val="en-AU" w:eastAsia="en-US"/>
              </w:rPr>
            </w:pPr>
            <w:r>
              <w:rPr>
                <w:color w:val="auto"/>
                <w:sz w:val="21"/>
                <w:szCs w:val="21"/>
              </w:rPr>
              <w:t>542-88-1</w:t>
            </w:r>
          </w:p>
        </w:tc>
        <w:tc>
          <w:tcPr>
            <w:tcW w:w="690" w:type="pct"/>
            <w:tcBorders>
              <w:tl2br w:val="nil"/>
              <w:tr2bl w:val="nil"/>
            </w:tcBorders>
            <w:vAlign w:val="center"/>
          </w:tcPr>
          <w:p w14:paraId="7C7D7AFE">
            <w:pPr>
              <w:spacing w:line="240" w:lineRule="auto"/>
              <w:ind w:firstLine="0" w:firstLineChars="0"/>
              <w:jc w:val="center"/>
              <w:rPr>
                <w:color w:val="auto"/>
                <w:sz w:val="21"/>
                <w:szCs w:val="21"/>
              </w:rPr>
            </w:pPr>
            <w:r>
              <w:rPr>
                <w:color w:val="auto"/>
                <w:sz w:val="21"/>
                <w:szCs w:val="21"/>
              </w:rPr>
              <w:t>不涉及</w:t>
            </w:r>
          </w:p>
        </w:tc>
      </w:tr>
      <w:tr w14:paraId="1FCFC9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9212E60">
            <w:pPr>
              <w:spacing w:line="240" w:lineRule="auto"/>
              <w:ind w:firstLine="0" w:firstLineChars="0"/>
              <w:jc w:val="center"/>
              <w:rPr>
                <w:color w:val="auto"/>
                <w:sz w:val="21"/>
                <w:szCs w:val="21"/>
              </w:rPr>
            </w:pPr>
            <w:r>
              <w:rPr>
                <w:rFonts w:hint="eastAsia"/>
                <w:color w:val="auto"/>
                <w:sz w:val="21"/>
                <w:szCs w:val="21"/>
              </w:rPr>
              <w:t>63</w:t>
            </w:r>
          </w:p>
        </w:tc>
        <w:tc>
          <w:tcPr>
            <w:tcW w:w="2836" w:type="pct"/>
            <w:gridSpan w:val="2"/>
            <w:tcBorders>
              <w:tl2br w:val="nil"/>
              <w:tr2bl w:val="nil"/>
            </w:tcBorders>
            <w:vAlign w:val="center"/>
          </w:tcPr>
          <w:p w14:paraId="08FD03CD">
            <w:pPr>
              <w:spacing w:line="240" w:lineRule="auto"/>
              <w:ind w:firstLine="0" w:firstLineChars="0"/>
              <w:jc w:val="center"/>
              <w:rPr>
                <w:color w:val="auto"/>
                <w:sz w:val="21"/>
                <w:szCs w:val="21"/>
                <w:lang w:val="en-AU" w:eastAsia="en-US"/>
              </w:rPr>
            </w:pPr>
            <w:r>
              <w:rPr>
                <w:color w:val="auto"/>
                <w:sz w:val="21"/>
                <w:szCs w:val="21"/>
              </w:rPr>
              <w:t>全氟和多氟烷基物质（PFASs），包括：</w:t>
            </w:r>
          </w:p>
        </w:tc>
        <w:tc>
          <w:tcPr>
            <w:tcW w:w="1117" w:type="pct"/>
            <w:tcBorders>
              <w:tl2br w:val="nil"/>
              <w:tr2bl w:val="nil"/>
            </w:tcBorders>
            <w:vAlign w:val="center"/>
          </w:tcPr>
          <w:p w14:paraId="6D878ABD">
            <w:pPr>
              <w:spacing w:line="240" w:lineRule="auto"/>
              <w:ind w:firstLine="0" w:firstLineChars="0"/>
              <w:jc w:val="center"/>
              <w:rPr>
                <w:color w:val="auto"/>
                <w:sz w:val="21"/>
                <w:szCs w:val="21"/>
              </w:rPr>
            </w:pPr>
          </w:p>
        </w:tc>
        <w:tc>
          <w:tcPr>
            <w:tcW w:w="690" w:type="pct"/>
            <w:tcBorders>
              <w:tl2br w:val="nil"/>
              <w:tr2bl w:val="nil"/>
            </w:tcBorders>
            <w:vAlign w:val="center"/>
          </w:tcPr>
          <w:p w14:paraId="03E26881">
            <w:pPr>
              <w:spacing w:line="240" w:lineRule="auto"/>
              <w:ind w:firstLine="0" w:firstLineChars="0"/>
              <w:jc w:val="center"/>
              <w:rPr>
                <w:color w:val="auto"/>
                <w:sz w:val="21"/>
                <w:szCs w:val="21"/>
              </w:rPr>
            </w:pPr>
            <w:r>
              <w:rPr>
                <w:color w:val="auto"/>
                <w:sz w:val="21"/>
                <w:szCs w:val="21"/>
              </w:rPr>
              <w:t>不涉及</w:t>
            </w:r>
          </w:p>
        </w:tc>
      </w:tr>
      <w:tr w14:paraId="1CD97A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16FF72E">
            <w:pPr>
              <w:spacing w:line="240" w:lineRule="auto"/>
              <w:ind w:firstLine="0" w:firstLineChars="0"/>
              <w:jc w:val="center"/>
              <w:rPr>
                <w:color w:val="auto"/>
                <w:sz w:val="21"/>
                <w:szCs w:val="21"/>
              </w:rPr>
            </w:pPr>
            <w:r>
              <w:rPr>
                <w:rFonts w:hint="eastAsia"/>
                <w:color w:val="auto"/>
                <w:sz w:val="21"/>
                <w:szCs w:val="21"/>
              </w:rPr>
              <w:t>64</w:t>
            </w:r>
          </w:p>
        </w:tc>
        <w:tc>
          <w:tcPr>
            <w:tcW w:w="2836" w:type="pct"/>
            <w:gridSpan w:val="2"/>
            <w:tcBorders>
              <w:tl2br w:val="nil"/>
              <w:tr2bl w:val="nil"/>
            </w:tcBorders>
            <w:vAlign w:val="center"/>
          </w:tcPr>
          <w:p w14:paraId="3F6A4E3E">
            <w:pPr>
              <w:spacing w:line="240" w:lineRule="auto"/>
              <w:ind w:firstLine="0" w:firstLineChars="0"/>
              <w:jc w:val="center"/>
              <w:rPr>
                <w:color w:val="auto"/>
                <w:sz w:val="21"/>
                <w:szCs w:val="21"/>
                <w:lang w:val="en-AU"/>
              </w:rPr>
            </w:pPr>
            <w:r>
              <w:rPr>
                <w:color w:val="auto"/>
                <w:sz w:val="21"/>
                <w:szCs w:val="21"/>
              </w:rPr>
              <w:t>- 长链全氟羧酸及其盐类和其相关化合物（LC-PFCAs）</w:t>
            </w:r>
          </w:p>
        </w:tc>
        <w:tc>
          <w:tcPr>
            <w:tcW w:w="1117" w:type="pct"/>
            <w:tcBorders>
              <w:tl2br w:val="nil"/>
              <w:tr2bl w:val="nil"/>
            </w:tcBorders>
            <w:vAlign w:val="center"/>
          </w:tcPr>
          <w:p w14:paraId="6C4872A5">
            <w:pPr>
              <w:spacing w:line="240" w:lineRule="auto"/>
              <w:ind w:firstLine="0" w:firstLineChars="0"/>
              <w:jc w:val="center"/>
              <w:rPr>
                <w:color w:val="auto"/>
                <w:sz w:val="21"/>
                <w:szCs w:val="21"/>
                <w:lang w:val="en-AU" w:eastAsia="en-US"/>
              </w:rPr>
            </w:pPr>
            <w:r>
              <w:rPr>
                <w:color w:val="auto"/>
                <w:sz w:val="21"/>
                <w:szCs w:val="21"/>
              </w:rPr>
              <w:t>-</w:t>
            </w:r>
          </w:p>
        </w:tc>
        <w:tc>
          <w:tcPr>
            <w:tcW w:w="690" w:type="pct"/>
            <w:tcBorders>
              <w:tl2br w:val="nil"/>
              <w:tr2bl w:val="nil"/>
            </w:tcBorders>
            <w:vAlign w:val="center"/>
          </w:tcPr>
          <w:p w14:paraId="32630C3E">
            <w:pPr>
              <w:spacing w:line="240" w:lineRule="auto"/>
              <w:ind w:firstLine="0" w:firstLineChars="0"/>
              <w:jc w:val="center"/>
              <w:rPr>
                <w:color w:val="auto"/>
                <w:sz w:val="21"/>
                <w:szCs w:val="21"/>
              </w:rPr>
            </w:pPr>
            <w:r>
              <w:rPr>
                <w:color w:val="auto"/>
                <w:sz w:val="21"/>
                <w:szCs w:val="21"/>
              </w:rPr>
              <w:t>不涉及</w:t>
            </w:r>
          </w:p>
        </w:tc>
      </w:tr>
      <w:tr w14:paraId="093D2E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E384BCD">
            <w:pPr>
              <w:spacing w:line="240" w:lineRule="auto"/>
              <w:ind w:firstLine="0" w:firstLineChars="0"/>
              <w:jc w:val="center"/>
              <w:rPr>
                <w:color w:val="auto"/>
                <w:sz w:val="21"/>
                <w:szCs w:val="21"/>
              </w:rPr>
            </w:pPr>
            <w:r>
              <w:rPr>
                <w:rFonts w:hint="eastAsia"/>
                <w:color w:val="auto"/>
                <w:sz w:val="21"/>
                <w:szCs w:val="21"/>
              </w:rPr>
              <w:t>65</w:t>
            </w:r>
          </w:p>
        </w:tc>
        <w:tc>
          <w:tcPr>
            <w:tcW w:w="2836" w:type="pct"/>
            <w:gridSpan w:val="2"/>
            <w:tcBorders>
              <w:tl2br w:val="nil"/>
              <w:tr2bl w:val="nil"/>
            </w:tcBorders>
            <w:vAlign w:val="center"/>
          </w:tcPr>
          <w:p w14:paraId="30C0E7A4">
            <w:pPr>
              <w:spacing w:line="240" w:lineRule="auto"/>
              <w:ind w:firstLine="0" w:firstLineChars="0"/>
              <w:jc w:val="center"/>
              <w:rPr>
                <w:color w:val="auto"/>
                <w:sz w:val="21"/>
                <w:szCs w:val="21"/>
                <w:lang w:val="en-AU"/>
              </w:rPr>
            </w:pPr>
            <w:r>
              <w:rPr>
                <w:color w:val="auto"/>
                <w:sz w:val="21"/>
                <w:szCs w:val="21"/>
              </w:rPr>
              <w:t>- 其他类全氟和多氟烷基物质</w:t>
            </w:r>
          </w:p>
        </w:tc>
        <w:tc>
          <w:tcPr>
            <w:tcW w:w="1117" w:type="pct"/>
            <w:tcBorders>
              <w:tl2br w:val="nil"/>
              <w:tr2bl w:val="nil"/>
            </w:tcBorders>
            <w:vAlign w:val="center"/>
          </w:tcPr>
          <w:p w14:paraId="73835531">
            <w:pPr>
              <w:spacing w:line="240" w:lineRule="auto"/>
              <w:ind w:firstLine="0" w:firstLineChars="0"/>
              <w:jc w:val="center"/>
              <w:rPr>
                <w:color w:val="auto"/>
                <w:sz w:val="21"/>
                <w:szCs w:val="21"/>
              </w:rPr>
            </w:pPr>
          </w:p>
        </w:tc>
        <w:tc>
          <w:tcPr>
            <w:tcW w:w="690" w:type="pct"/>
            <w:tcBorders>
              <w:tl2br w:val="nil"/>
              <w:tr2bl w:val="nil"/>
            </w:tcBorders>
            <w:vAlign w:val="center"/>
          </w:tcPr>
          <w:p w14:paraId="1068381B">
            <w:pPr>
              <w:spacing w:line="240" w:lineRule="auto"/>
              <w:ind w:firstLine="0" w:firstLineChars="0"/>
              <w:jc w:val="center"/>
              <w:rPr>
                <w:color w:val="auto"/>
                <w:sz w:val="21"/>
                <w:szCs w:val="21"/>
              </w:rPr>
            </w:pPr>
            <w:r>
              <w:rPr>
                <w:color w:val="auto"/>
                <w:sz w:val="21"/>
                <w:szCs w:val="21"/>
              </w:rPr>
              <w:t>不涉及</w:t>
            </w:r>
          </w:p>
        </w:tc>
      </w:tr>
      <w:tr w14:paraId="7BECCE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B33F4D8">
            <w:pPr>
              <w:spacing w:line="240" w:lineRule="auto"/>
              <w:ind w:firstLine="0" w:firstLineChars="0"/>
              <w:jc w:val="center"/>
              <w:rPr>
                <w:color w:val="auto"/>
                <w:sz w:val="21"/>
                <w:szCs w:val="21"/>
              </w:rPr>
            </w:pPr>
            <w:r>
              <w:rPr>
                <w:rFonts w:hint="eastAsia"/>
                <w:color w:val="auto"/>
                <w:sz w:val="21"/>
                <w:szCs w:val="21"/>
              </w:rPr>
              <w:t>66</w:t>
            </w:r>
          </w:p>
        </w:tc>
        <w:tc>
          <w:tcPr>
            <w:tcW w:w="470" w:type="pct"/>
            <w:tcBorders>
              <w:tl2br w:val="nil"/>
              <w:tr2bl w:val="nil"/>
            </w:tcBorders>
            <w:vAlign w:val="center"/>
          </w:tcPr>
          <w:p w14:paraId="6344C813">
            <w:pPr>
              <w:spacing w:line="240" w:lineRule="auto"/>
              <w:ind w:firstLine="0" w:firstLineChars="0"/>
              <w:jc w:val="center"/>
              <w:rPr>
                <w:color w:val="auto"/>
                <w:sz w:val="21"/>
                <w:szCs w:val="21"/>
                <w:lang w:val="en-AU" w:eastAsia="en-US"/>
              </w:rPr>
            </w:pPr>
            <w:r>
              <w:rPr>
                <w:color w:val="auto"/>
                <w:sz w:val="21"/>
                <w:szCs w:val="21"/>
              </w:rPr>
              <w:t>（1）</w:t>
            </w:r>
          </w:p>
        </w:tc>
        <w:tc>
          <w:tcPr>
            <w:tcW w:w="2365" w:type="pct"/>
            <w:tcBorders>
              <w:tl2br w:val="nil"/>
              <w:tr2bl w:val="nil"/>
            </w:tcBorders>
            <w:vAlign w:val="center"/>
          </w:tcPr>
          <w:p w14:paraId="60BC774A">
            <w:pPr>
              <w:spacing w:line="240" w:lineRule="auto"/>
              <w:ind w:firstLine="0" w:firstLineChars="0"/>
              <w:jc w:val="center"/>
              <w:rPr>
                <w:color w:val="auto"/>
                <w:sz w:val="21"/>
                <w:szCs w:val="21"/>
                <w:lang w:val="en-AU"/>
              </w:rPr>
            </w:pPr>
            <w:r>
              <w:rPr>
                <w:rFonts w:hint="eastAsia"/>
                <w:color w:val="auto"/>
                <w:sz w:val="21"/>
                <w:szCs w:val="21"/>
              </w:rPr>
              <w:t>（</w:t>
            </w:r>
            <w:r>
              <w:rPr>
                <w:color w:val="auto"/>
                <w:sz w:val="21"/>
                <w:szCs w:val="21"/>
              </w:rPr>
              <w:t>三氟甲基</w:t>
            </w:r>
            <w:r>
              <w:rPr>
                <w:rFonts w:hint="eastAsia"/>
                <w:color w:val="auto"/>
                <w:sz w:val="21"/>
                <w:szCs w:val="21"/>
              </w:rPr>
              <w:t>）</w:t>
            </w:r>
            <w:r>
              <w:rPr>
                <w:color w:val="auto"/>
                <w:sz w:val="21"/>
                <w:szCs w:val="21"/>
              </w:rPr>
              <w:t>-2,2,3,3,4,4,5,5,6,6-十氟-1-环己基磺酸钾（别名：(三氟甲基)十氟环己基磺酸钾）</w:t>
            </w:r>
          </w:p>
        </w:tc>
        <w:tc>
          <w:tcPr>
            <w:tcW w:w="1117" w:type="pct"/>
            <w:tcBorders>
              <w:tl2br w:val="nil"/>
              <w:tr2bl w:val="nil"/>
            </w:tcBorders>
            <w:vAlign w:val="center"/>
          </w:tcPr>
          <w:p w14:paraId="39392B6C">
            <w:pPr>
              <w:spacing w:line="240" w:lineRule="auto"/>
              <w:ind w:firstLine="0" w:firstLineChars="0"/>
              <w:jc w:val="center"/>
              <w:rPr>
                <w:color w:val="auto"/>
                <w:sz w:val="21"/>
                <w:szCs w:val="21"/>
                <w:lang w:val="en-AU" w:eastAsia="en-US"/>
              </w:rPr>
            </w:pPr>
            <w:r>
              <w:rPr>
                <w:color w:val="auto"/>
                <w:sz w:val="21"/>
                <w:szCs w:val="21"/>
              </w:rPr>
              <w:t>68156-07-0</w:t>
            </w:r>
          </w:p>
        </w:tc>
        <w:tc>
          <w:tcPr>
            <w:tcW w:w="690" w:type="pct"/>
            <w:tcBorders>
              <w:tl2br w:val="nil"/>
              <w:tr2bl w:val="nil"/>
            </w:tcBorders>
            <w:vAlign w:val="center"/>
          </w:tcPr>
          <w:p w14:paraId="6143AA65">
            <w:pPr>
              <w:spacing w:line="240" w:lineRule="auto"/>
              <w:ind w:firstLine="0" w:firstLineChars="0"/>
              <w:jc w:val="center"/>
              <w:rPr>
                <w:color w:val="auto"/>
                <w:sz w:val="21"/>
                <w:szCs w:val="21"/>
              </w:rPr>
            </w:pPr>
            <w:r>
              <w:rPr>
                <w:color w:val="auto"/>
                <w:sz w:val="21"/>
                <w:szCs w:val="21"/>
              </w:rPr>
              <w:t>不涉及</w:t>
            </w:r>
          </w:p>
        </w:tc>
      </w:tr>
      <w:tr w14:paraId="60C0C4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46BD5D67">
            <w:pPr>
              <w:spacing w:line="240" w:lineRule="auto"/>
              <w:ind w:firstLine="0" w:firstLineChars="0"/>
              <w:jc w:val="center"/>
              <w:rPr>
                <w:color w:val="auto"/>
                <w:sz w:val="21"/>
                <w:szCs w:val="21"/>
              </w:rPr>
            </w:pPr>
            <w:r>
              <w:rPr>
                <w:rFonts w:hint="eastAsia"/>
                <w:color w:val="auto"/>
                <w:sz w:val="21"/>
                <w:szCs w:val="21"/>
              </w:rPr>
              <w:t>67</w:t>
            </w:r>
          </w:p>
        </w:tc>
        <w:tc>
          <w:tcPr>
            <w:tcW w:w="470" w:type="pct"/>
            <w:tcBorders>
              <w:tl2br w:val="nil"/>
              <w:tr2bl w:val="nil"/>
            </w:tcBorders>
            <w:vAlign w:val="center"/>
          </w:tcPr>
          <w:p w14:paraId="69B51241">
            <w:pPr>
              <w:spacing w:line="240" w:lineRule="auto"/>
              <w:ind w:firstLine="0" w:firstLineChars="0"/>
              <w:jc w:val="center"/>
              <w:rPr>
                <w:color w:val="auto"/>
                <w:sz w:val="21"/>
                <w:szCs w:val="21"/>
                <w:lang w:val="en-AU" w:eastAsia="en-US"/>
              </w:rPr>
            </w:pPr>
            <w:r>
              <w:rPr>
                <w:color w:val="auto"/>
                <w:sz w:val="21"/>
                <w:szCs w:val="21"/>
              </w:rPr>
              <w:t>（2）</w:t>
            </w:r>
          </w:p>
        </w:tc>
        <w:tc>
          <w:tcPr>
            <w:tcW w:w="2365" w:type="pct"/>
            <w:tcBorders>
              <w:tl2br w:val="nil"/>
              <w:tr2bl w:val="nil"/>
            </w:tcBorders>
            <w:vAlign w:val="center"/>
          </w:tcPr>
          <w:p w14:paraId="628A3FA6">
            <w:pPr>
              <w:spacing w:line="240" w:lineRule="auto"/>
              <w:ind w:firstLine="0" w:firstLineChars="0"/>
              <w:jc w:val="center"/>
              <w:rPr>
                <w:color w:val="auto"/>
                <w:sz w:val="21"/>
                <w:szCs w:val="21"/>
                <w:lang w:val="en-AU"/>
              </w:rPr>
            </w:pPr>
            <w:r>
              <w:rPr>
                <w:color w:val="auto"/>
                <w:sz w:val="21"/>
                <w:szCs w:val="21"/>
              </w:rPr>
              <w:t>1,1,1,2,2,3,3-七氟-3-甲氧基丙烷（别名：全氟丙基甲基醚）</w:t>
            </w:r>
          </w:p>
        </w:tc>
        <w:tc>
          <w:tcPr>
            <w:tcW w:w="1117" w:type="pct"/>
            <w:tcBorders>
              <w:tl2br w:val="nil"/>
              <w:tr2bl w:val="nil"/>
            </w:tcBorders>
            <w:vAlign w:val="center"/>
          </w:tcPr>
          <w:p w14:paraId="6CB89CB1">
            <w:pPr>
              <w:spacing w:line="240" w:lineRule="auto"/>
              <w:ind w:firstLine="0" w:firstLineChars="0"/>
              <w:jc w:val="center"/>
              <w:rPr>
                <w:color w:val="auto"/>
                <w:sz w:val="21"/>
                <w:szCs w:val="21"/>
                <w:lang w:val="en-AU" w:eastAsia="en-US"/>
              </w:rPr>
            </w:pPr>
            <w:r>
              <w:rPr>
                <w:color w:val="auto"/>
                <w:sz w:val="21"/>
                <w:szCs w:val="21"/>
              </w:rPr>
              <w:t>375-03-1</w:t>
            </w:r>
          </w:p>
        </w:tc>
        <w:tc>
          <w:tcPr>
            <w:tcW w:w="690" w:type="pct"/>
            <w:tcBorders>
              <w:tl2br w:val="nil"/>
              <w:tr2bl w:val="nil"/>
            </w:tcBorders>
            <w:vAlign w:val="center"/>
          </w:tcPr>
          <w:p w14:paraId="016026E5">
            <w:pPr>
              <w:spacing w:line="240" w:lineRule="auto"/>
              <w:ind w:firstLine="0" w:firstLineChars="0"/>
              <w:jc w:val="center"/>
              <w:rPr>
                <w:color w:val="auto"/>
                <w:sz w:val="21"/>
                <w:szCs w:val="21"/>
              </w:rPr>
            </w:pPr>
            <w:r>
              <w:rPr>
                <w:color w:val="auto"/>
                <w:sz w:val="21"/>
                <w:szCs w:val="21"/>
              </w:rPr>
              <w:t>不涉及</w:t>
            </w:r>
          </w:p>
        </w:tc>
      </w:tr>
      <w:tr w14:paraId="138D25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E42541B">
            <w:pPr>
              <w:spacing w:line="240" w:lineRule="auto"/>
              <w:ind w:firstLine="0" w:firstLineChars="0"/>
              <w:jc w:val="center"/>
              <w:rPr>
                <w:color w:val="auto"/>
                <w:sz w:val="21"/>
                <w:szCs w:val="21"/>
              </w:rPr>
            </w:pPr>
            <w:r>
              <w:rPr>
                <w:rFonts w:hint="eastAsia"/>
                <w:color w:val="auto"/>
                <w:sz w:val="21"/>
                <w:szCs w:val="21"/>
              </w:rPr>
              <w:t>68</w:t>
            </w:r>
          </w:p>
        </w:tc>
        <w:tc>
          <w:tcPr>
            <w:tcW w:w="470" w:type="pct"/>
            <w:tcBorders>
              <w:tl2br w:val="nil"/>
              <w:tr2bl w:val="nil"/>
            </w:tcBorders>
            <w:vAlign w:val="center"/>
          </w:tcPr>
          <w:p w14:paraId="31A17C28">
            <w:pPr>
              <w:spacing w:line="240" w:lineRule="auto"/>
              <w:ind w:firstLine="0" w:firstLineChars="0"/>
              <w:jc w:val="center"/>
              <w:rPr>
                <w:color w:val="auto"/>
                <w:sz w:val="21"/>
                <w:szCs w:val="21"/>
                <w:lang w:val="en-AU" w:eastAsia="en-US"/>
              </w:rPr>
            </w:pPr>
            <w:r>
              <w:rPr>
                <w:color w:val="auto"/>
                <w:sz w:val="21"/>
                <w:szCs w:val="21"/>
              </w:rPr>
              <w:t>（3）</w:t>
            </w:r>
          </w:p>
        </w:tc>
        <w:tc>
          <w:tcPr>
            <w:tcW w:w="2365" w:type="pct"/>
            <w:tcBorders>
              <w:tl2br w:val="nil"/>
              <w:tr2bl w:val="nil"/>
            </w:tcBorders>
            <w:vAlign w:val="center"/>
          </w:tcPr>
          <w:p w14:paraId="1B24D709">
            <w:pPr>
              <w:spacing w:line="240" w:lineRule="auto"/>
              <w:ind w:firstLine="0" w:firstLineChars="0"/>
              <w:jc w:val="center"/>
              <w:rPr>
                <w:color w:val="auto"/>
                <w:sz w:val="21"/>
                <w:szCs w:val="21"/>
                <w:lang w:val="en-AU" w:eastAsia="en-US"/>
              </w:rPr>
            </w:pPr>
            <w:r>
              <w:rPr>
                <w:color w:val="auto"/>
                <w:sz w:val="21"/>
                <w:szCs w:val="21"/>
              </w:rPr>
              <w:t>1,1,1,2,2,3,4,5,5,5-十氟-3-甲氧基-4-三氟甲基戊烷</w:t>
            </w:r>
          </w:p>
        </w:tc>
        <w:tc>
          <w:tcPr>
            <w:tcW w:w="1117" w:type="pct"/>
            <w:tcBorders>
              <w:tl2br w:val="nil"/>
              <w:tr2bl w:val="nil"/>
            </w:tcBorders>
            <w:vAlign w:val="center"/>
          </w:tcPr>
          <w:p w14:paraId="6F5A3933">
            <w:pPr>
              <w:spacing w:line="240" w:lineRule="auto"/>
              <w:ind w:firstLine="0" w:firstLineChars="0"/>
              <w:jc w:val="center"/>
              <w:rPr>
                <w:color w:val="auto"/>
                <w:sz w:val="21"/>
                <w:szCs w:val="21"/>
                <w:lang w:val="en-AU" w:eastAsia="en-US"/>
              </w:rPr>
            </w:pPr>
            <w:r>
              <w:rPr>
                <w:color w:val="auto"/>
                <w:sz w:val="21"/>
                <w:szCs w:val="21"/>
              </w:rPr>
              <w:t>132182-92-4</w:t>
            </w:r>
          </w:p>
        </w:tc>
        <w:tc>
          <w:tcPr>
            <w:tcW w:w="690" w:type="pct"/>
            <w:tcBorders>
              <w:tl2br w:val="nil"/>
              <w:tr2bl w:val="nil"/>
            </w:tcBorders>
            <w:vAlign w:val="center"/>
          </w:tcPr>
          <w:p w14:paraId="73515DEC">
            <w:pPr>
              <w:spacing w:line="240" w:lineRule="auto"/>
              <w:ind w:firstLine="0" w:firstLineChars="0"/>
              <w:jc w:val="center"/>
              <w:rPr>
                <w:color w:val="auto"/>
                <w:sz w:val="21"/>
                <w:szCs w:val="21"/>
              </w:rPr>
            </w:pPr>
            <w:r>
              <w:rPr>
                <w:color w:val="auto"/>
                <w:sz w:val="21"/>
                <w:szCs w:val="21"/>
              </w:rPr>
              <w:t>不涉及</w:t>
            </w:r>
          </w:p>
        </w:tc>
      </w:tr>
      <w:tr w14:paraId="69B62C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8E21986">
            <w:pPr>
              <w:spacing w:line="240" w:lineRule="auto"/>
              <w:ind w:firstLine="0" w:firstLineChars="0"/>
              <w:jc w:val="center"/>
              <w:rPr>
                <w:color w:val="auto"/>
                <w:sz w:val="21"/>
                <w:szCs w:val="21"/>
              </w:rPr>
            </w:pPr>
            <w:r>
              <w:rPr>
                <w:rFonts w:hint="eastAsia"/>
                <w:color w:val="auto"/>
                <w:sz w:val="21"/>
                <w:szCs w:val="21"/>
              </w:rPr>
              <w:t>69</w:t>
            </w:r>
          </w:p>
        </w:tc>
        <w:tc>
          <w:tcPr>
            <w:tcW w:w="470" w:type="pct"/>
            <w:tcBorders>
              <w:tl2br w:val="nil"/>
              <w:tr2bl w:val="nil"/>
            </w:tcBorders>
            <w:vAlign w:val="center"/>
          </w:tcPr>
          <w:p w14:paraId="04F9E95F">
            <w:pPr>
              <w:spacing w:line="240" w:lineRule="auto"/>
              <w:ind w:firstLine="0" w:firstLineChars="0"/>
              <w:jc w:val="center"/>
              <w:rPr>
                <w:color w:val="auto"/>
                <w:sz w:val="21"/>
                <w:szCs w:val="21"/>
                <w:lang w:val="en-AU" w:eastAsia="en-US"/>
              </w:rPr>
            </w:pPr>
            <w:r>
              <w:rPr>
                <w:color w:val="auto"/>
                <w:sz w:val="21"/>
                <w:szCs w:val="21"/>
              </w:rPr>
              <w:t>（4）</w:t>
            </w:r>
          </w:p>
        </w:tc>
        <w:tc>
          <w:tcPr>
            <w:tcW w:w="2365" w:type="pct"/>
            <w:tcBorders>
              <w:tl2br w:val="nil"/>
              <w:tr2bl w:val="nil"/>
            </w:tcBorders>
            <w:vAlign w:val="center"/>
          </w:tcPr>
          <w:p w14:paraId="027AA421">
            <w:pPr>
              <w:spacing w:line="240" w:lineRule="auto"/>
              <w:ind w:firstLine="0" w:firstLineChars="0"/>
              <w:jc w:val="center"/>
              <w:rPr>
                <w:color w:val="auto"/>
                <w:sz w:val="21"/>
                <w:szCs w:val="21"/>
                <w:lang w:val="en-AU" w:eastAsia="en-US"/>
              </w:rPr>
            </w:pPr>
            <w:r>
              <w:rPr>
                <w:color w:val="auto"/>
                <w:sz w:val="21"/>
                <w:szCs w:val="21"/>
              </w:rPr>
              <w:t>1,1,1,2,4,4,5,5,6,6,6-十一氟-2-三氟甲基-3-己酮</w:t>
            </w:r>
          </w:p>
        </w:tc>
        <w:tc>
          <w:tcPr>
            <w:tcW w:w="1117" w:type="pct"/>
            <w:tcBorders>
              <w:tl2br w:val="nil"/>
              <w:tr2bl w:val="nil"/>
            </w:tcBorders>
            <w:vAlign w:val="center"/>
          </w:tcPr>
          <w:p w14:paraId="35F72576">
            <w:pPr>
              <w:spacing w:line="240" w:lineRule="auto"/>
              <w:ind w:firstLine="0" w:firstLineChars="0"/>
              <w:jc w:val="center"/>
              <w:rPr>
                <w:color w:val="auto"/>
                <w:sz w:val="21"/>
                <w:szCs w:val="21"/>
                <w:lang w:val="en-AU" w:eastAsia="en-US"/>
              </w:rPr>
            </w:pPr>
            <w:r>
              <w:rPr>
                <w:color w:val="auto"/>
                <w:sz w:val="21"/>
                <w:szCs w:val="21"/>
              </w:rPr>
              <w:t>813-45-6</w:t>
            </w:r>
          </w:p>
        </w:tc>
        <w:tc>
          <w:tcPr>
            <w:tcW w:w="690" w:type="pct"/>
            <w:tcBorders>
              <w:tl2br w:val="nil"/>
              <w:tr2bl w:val="nil"/>
            </w:tcBorders>
            <w:vAlign w:val="center"/>
          </w:tcPr>
          <w:p w14:paraId="6564DE6F">
            <w:pPr>
              <w:spacing w:line="240" w:lineRule="auto"/>
              <w:ind w:firstLine="0" w:firstLineChars="0"/>
              <w:jc w:val="center"/>
              <w:rPr>
                <w:color w:val="auto"/>
                <w:sz w:val="21"/>
                <w:szCs w:val="21"/>
              </w:rPr>
            </w:pPr>
            <w:r>
              <w:rPr>
                <w:color w:val="auto"/>
                <w:sz w:val="21"/>
                <w:szCs w:val="21"/>
              </w:rPr>
              <w:t>不涉及</w:t>
            </w:r>
          </w:p>
        </w:tc>
      </w:tr>
      <w:tr w14:paraId="0B6013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CD62516">
            <w:pPr>
              <w:spacing w:line="240" w:lineRule="auto"/>
              <w:ind w:firstLine="0" w:firstLineChars="0"/>
              <w:jc w:val="center"/>
              <w:rPr>
                <w:color w:val="auto"/>
                <w:sz w:val="21"/>
                <w:szCs w:val="21"/>
              </w:rPr>
            </w:pPr>
            <w:r>
              <w:rPr>
                <w:rFonts w:hint="eastAsia"/>
                <w:color w:val="auto"/>
                <w:sz w:val="21"/>
                <w:szCs w:val="21"/>
              </w:rPr>
              <w:t>70</w:t>
            </w:r>
          </w:p>
        </w:tc>
        <w:tc>
          <w:tcPr>
            <w:tcW w:w="470" w:type="pct"/>
            <w:tcBorders>
              <w:tl2br w:val="nil"/>
              <w:tr2bl w:val="nil"/>
            </w:tcBorders>
            <w:vAlign w:val="center"/>
          </w:tcPr>
          <w:p w14:paraId="0E5976C4">
            <w:pPr>
              <w:spacing w:line="240" w:lineRule="auto"/>
              <w:ind w:firstLine="0" w:firstLineChars="0"/>
              <w:jc w:val="center"/>
              <w:rPr>
                <w:color w:val="auto"/>
                <w:sz w:val="21"/>
                <w:szCs w:val="21"/>
                <w:lang w:val="en-AU" w:eastAsia="en-US"/>
              </w:rPr>
            </w:pPr>
            <w:r>
              <w:rPr>
                <w:color w:val="auto"/>
                <w:sz w:val="21"/>
                <w:szCs w:val="21"/>
              </w:rPr>
              <w:t>（5）</w:t>
            </w:r>
          </w:p>
        </w:tc>
        <w:tc>
          <w:tcPr>
            <w:tcW w:w="2365" w:type="pct"/>
            <w:tcBorders>
              <w:tl2br w:val="nil"/>
              <w:tr2bl w:val="nil"/>
            </w:tcBorders>
            <w:vAlign w:val="center"/>
          </w:tcPr>
          <w:p w14:paraId="192DF268">
            <w:pPr>
              <w:spacing w:line="240" w:lineRule="auto"/>
              <w:ind w:firstLine="0" w:firstLineChars="0"/>
              <w:jc w:val="center"/>
              <w:rPr>
                <w:color w:val="auto"/>
                <w:sz w:val="21"/>
                <w:szCs w:val="21"/>
                <w:lang w:val="en-AU"/>
              </w:rPr>
            </w:pPr>
            <w:r>
              <w:rPr>
                <w:color w:val="auto"/>
                <w:sz w:val="21"/>
                <w:szCs w:val="21"/>
              </w:rPr>
              <w:t>1,1,1,2,4,5,5,5-八氟-2,4-双</w:t>
            </w:r>
            <w:r>
              <w:rPr>
                <w:rFonts w:hint="eastAsia"/>
                <w:color w:val="auto"/>
                <w:sz w:val="21"/>
                <w:szCs w:val="21"/>
              </w:rPr>
              <w:t>（</w:t>
            </w:r>
            <w:r>
              <w:rPr>
                <w:color w:val="auto"/>
                <w:sz w:val="21"/>
                <w:szCs w:val="21"/>
              </w:rPr>
              <w:t>三氟甲基</w:t>
            </w:r>
            <w:r>
              <w:rPr>
                <w:rFonts w:hint="eastAsia"/>
                <w:color w:val="auto"/>
                <w:sz w:val="21"/>
                <w:szCs w:val="21"/>
              </w:rPr>
              <w:t>）</w:t>
            </w:r>
            <w:r>
              <w:rPr>
                <w:color w:val="auto"/>
                <w:sz w:val="21"/>
                <w:szCs w:val="21"/>
              </w:rPr>
              <w:t>-3-戊酮</w:t>
            </w:r>
          </w:p>
        </w:tc>
        <w:tc>
          <w:tcPr>
            <w:tcW w:w="1117" w:type="pct"/>
            <w:tcBorders>
              <w:tl2br w:val="nil"/>
              <w:tr2bl w:val="nil"/>
            </w:tcBorders>
            <w:vAlign w:val="center"/>
          </w:tcPr>
          <w:p w14:paraId="12B931E9">
            <w:pPr>
              <w:spacing w:line="240" w:lineRule="auto"/>
              <w:ind w:firstLine="0" w:firstLineChars="0"/>
              <w:jc w:val="center"/>
              <w:rPr>
                <w:color w:val="auto"/>
                <w:sz w:val="21"/>
                <w:szCs w:val="21"/>
                <w:lang w:val="en-AU" w:eastAsia="en-US"/>
              </w:rPr>
            </w:pPr>
            <w:r>
              <w:rPr>
                <w:color w:val="auto"/>
                <w:sz w:val="21"/>
                <w:szCs w:val="21"/>
              </w:rPr>
              <w:t>813-44-5</w:t>
            </w:r>
          </w:p>
        </w:tc>
        <w:tc>
          <w:tcPr>
            <w:tcW w:w="690" w:type="pct"/>
            <w:tcBorders>
              <w:tl2br w:val="nil"/>
              <w:tr2bl w:val="nil"/>
            </w:tcBorders>
            <w:vAlign w:val="center"/>
          </w:tcPr>
          <w:p w14:paraId="65BC7EF9">
            <w:pPr>
              <w:spacing w:line="240" w:lineRule="auto"/>
              <w:ind w:firstLine="0" w:firstLineChars="0"/>
              <w:jc w:val="center"/>
              <w:rPr>
                <w:color w:val="auto"/>
                <w:sz w:val="21"/>
                <w:szCs w:val="21"/>
              </w:rPr>
            </w:pPr>
            <w:r>
              <w:rPr>
                <w:color w:val="auto"/>
                <w:sz w:val="21"/>
                <w:szCs w:val="21"/>
              </w:rPr>
              <w:t>不涉及</w:t>
            </w:r>
          </w:p>
        </w:tc>
      </w:tr>
      <w:tr w14:paraId="1479D8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FDF283C">
            <w:pPr>
              <w:spacing w:line="240" w:lineRule="auto"/>
              <w:ind w:firstLine="0" w:firstLineChars="0"/>
              <w:jc w:val="center"/>
              <w:rPr>
                <w:color w:val="auto"/>
                <w:sz w:val="21"/>
                <w:szCs w:val="21"/>
              </w:rPr>
            </w:pPr>
            <w:r>
              <w:rPr>
                <w:rFonts w:hint="eastAsia"/>
                <w:color w:val="auto"/>
                <w:sz w:val="21"/>
                <w:szCs w:val="21"/>
              </w:rPr>
              <w:t>71</w:t>
            </w:r>
          </w:p>
        </w:tc>
        <w:tc>
          <w:tcPr>
            <w:tcW w:w="470" w:type="pct"/>
            <w:tcBorders>
              <w:tl2br w:val="nil"/>
              <w:tr2bl w:val="nil"/>
            </w:tcBorders>
            <w:vAlign w:val="center"/>
          </w:tcPr>
          <w:p w14:paraId="2F1790F1">
            <w:pPr>
              <w:spacing w:line="240" w:lineRule="auto"/>
              <w:ind w:firstLine="0" w:firstLineChars="0"/>
              <w:jc w:val="center"/>
              <w:rPr>
                <w:color w:val="auto"/>
                <w:sz w:val="21"/>
                <w:szCs w:val="21"/>
                <w:lang w:val="en-AU" w:eastAsia="en-US"/>
              </w:rPr>
            </w:pPr>
            <w:r>
              <w:rPr>
                <w:color w:val="auto"/>
                <w:sz w:val="21"/>
                <w:szCs w:val="21"/>
              </w:rPr>
              <w:t>（6）</w:t>
            </w:r>
          </w:p>
        </w:tc>
        <w:tc>
          <w:tcPr>
            <w:tcW w:w="2365" w:type="pct"/>
            <w:tcBorders>
              <w:tl2br w:val="nil"/>
              <w:tr2bl w:val="nil"/>
            </w:tcBorders>
            <w:vAlign w:val="center"/>
          </w:tcPr>
          <w:p w14:paraId="36202CDE">
            <w:pPr>
              <w:spacing w:line="240" w:lineRule="auto"/>
              <w:ind w:firstLine="0" w:firstLineChars="0"/>
              <w:jc w:val="center"/>
              <w:rPr>
                <w:color w:val="auto"/>
                <w:sz w:val="21"/>
                <w:szCs w:val="21"/>
                <w:lang w:val="en-AU"/>
              </w:rPr>
            </w:pPr>
            <w:r>
              <w:rPr>
                <w:color w:val="auto"/>
                <w:sz w:val="21"/>
                <w:szCs w:val="21"/>
              </w:rPr>
              <w:t>1,1,2,2,3,3,4,4,4-九氟-1-丁基磺酸铵（别名：全氟丁基磺酸铵）</w:t>
            </w:r>
          </w:p>
        </w:tc>
        <w:tc>
          <w:tcPr>
            <w:tcW w:w="1117" w:type="pct"/>
            <w:tcBorders>
              <w:tl2br w:val="nil"/>
              <w:tr2bl w:val="nil"/>
            </w:tcBorders>
            <w:vAlign w:val="center"/>
          </w:tcPr>
          <w:p w14:paraId="0B6606C9">
            <w:pPr>
              <w:spacing w:line="240" w:lineRule="auto"/>
              <w:ind w:firstLine="0" w:firstLineChars="0"/>
              <w:jc w:val="center"/>
              <w:rPr>
                <w:color w:val="auto"/>
                <w:sz w:val="21"/>
                <w:szCs w:val="21"/>
                <w:lang w:val="en-AU" w:eastAsia="en-US"/>
              </w:rPr>
            </w:pPr>
            <w:r>
              <w:rPr>
                <w:color w:val="auto"/>
                <w:sz w:val="21"/>
                <w:szCs w:val="21"/>
              </w:rPr>
              <w:t>68259-10-9</w:t>
            </w:r>
          </w:p>
        </w:tc>
        <w:tc>
          <w:tcPr>
            <w:tcW w:w="690" w:type="pct"/>
            <w:tcBorders>
              <w:tl2br w:val="nil"/>
              <w:tr2bl w:val="nil"/>
            </w:tcBorders>
            <w:vAlign w:val="center"/>
          </w:tcPr>
          <w:p w14:paraId="641F0118">
            <w:pPr>
              <w:spacing w:line="240" w:lineRule="auto"/>
              <w:ind w:firstLine="0" w:firstLineChars="0"/>
              <w:jc w:val="center"/>
              <w:rPr>
                <w:color w:val="auto"/>
                <w:sz w:val="21"/>
                <w:szCs w:val="21"/>
              </w:rPr>
            </w:pPr>
            <w:r>
              <w:rPr>
                <w:color w:val="auto"/>
                <w:sz w:val="21"/>
                <w:szCs w:val="21"/>
              </w:rPr>
              <w:t>不涉及</w:t>
            </w:r>
          </w:p>
        </w:tc>
      </w:tr>
      <w:tr w14:paraId="7EE63A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17E02B7">
            <w:pPr>
              <w:spacing w:line="240" w:lineRule="auto"/>
              <w:ind w:firstLine="0" w:firstLineChars="0"/>
              <w:jc w:val="center"/>
              <w:rPr>
                <w:color w:val="auto"/>
                <w:sz w:val="21"/>
                <w:szCs w:val="21"/>
              </w:rPr>
            </w:pPr>
            <w:r>
              <w:rPr>
                <w:rFonts w:hint="eastAsia"/>
                <w:color w:val="auto"/>
                <w:sz w:val="21"/>
                <w:szCs w:val="21"/>
              </w:rPr>
              <w:t>72</w:t>
            </w:r>
          </w:p>
        </w:tc>
        <w:tc>
          <w:tcPr>
            <w:tcW w:w="470" w:type="pct"/>
            <w:tcBorders>
              <w:tl2br w:val="nil"/>
              <w:tr2bl w:val="nil"/>
            </w:tcBorders>
            <w:vAlign w:val="center"/>
          </w:tcPr>
          <w:p w14:paraId="7A3AF7B3">
            <w:pPr>
              <w:spacing w:line="240" w:lineRule="auto"/>
              <w:ind w:firstLine="0" w:firstLineChars="0"/>
              <w:jc w:val="center"/>
              <w:rPr>
                <w:color w:val="auto"/>
                <w:sz w:val="21"/>
                <w:szCs w:val="21"/>
                <w:lang w:val="en-AU" w:eastAsia="en-US"/>
              </w:rPr>
            </w:pPr>
            <w:r>
              <w:rPr>
                <w:color w:val="auto"/>
                <w:sz w:val="21"/>
                <w:szCs w:val="21"/>
              </w:rPr>
              <w:t>（7）</w:t>
            </w:r>
          </w:p>
        </w:tc>
        <w:tc>
          <w:tcPr>
            <w:tcW w:w="2365" w:type="pct"/>
            <w:tcBorders>
              <w:tl2br w:val="nil"/>
              <w:tr2bl w:val="nil"/>
            </w:tcBorders>
            <w:vAlign w:val="center"/>
          </w:tcPr>
          <w:p w14:paraId="433D8A55">
            <w:pPr>
              <w:spacing w:line="240" w:lineRule="auto"/>
              <w:ind w:firstLine="0" w:firstLineChars="0"/>
              <w:jc w:val="center"/>
              <w:rPr>
                <w:color w:val="auto"/>
                <w:sz w:val="21"/>
                <w:szCs w:val="21"/>
                <w:lang w:val="en-AU"/>
              </w:rPr>
            </w:pPr>
            <w:r>
              <w:rPr>
                <w:color w:val="auto"/>
                <w:sz w:val="21"/>
                <w:szCs w:val="21"/>
              </w:rPr>
              <w:t>1,1,2,2,3,3,4,4,4-九氟-1-丁基磺酸钾（别名：全氟丁基磺酸钾）</w:t>
            </w:r>
          </w:p>
        </w:tc>
        <w:tc>
          <w:tcPr>
            <w:tcW w:w="1117" w:type="pct"/>
            <w:tcBorders>
              <w:tl2br w:val="nil"/>
              <w:tr2bl w:val="nil"/>
            </w:tcBorders>
            <w:vAlign w:val="center"/>
          </w:tcPr>
          <w:p w14:paraId="2AF0C5E8">
            <w:pPr>
              <w:spacing w:line="240" w:lineRule="auto"/>
              <w:ind w:firstLine="0" w:firstLineChars="0"/>
              <w:jc w:val="center"/>
              <w:rPr>
                <w:color w:val="auto"/>
                <w:sz w:val="21"/>
                <w:szCs w:val="21"/>
                <w:lang w:val="en-AU" w:eastAsia="en-US"/>
              </w:rPr>
            </w:pPr>
            <w:r>
              <w:rPr>
                <w:color w:val="auto"/>
                <w:sz w:val="21"/>
                <w:szCs w:val="21"/>
              </w:rPr>
              <w:t>29420-49-3</w:t>
            </w:r>
          </w:p>
        </w:tc>
        <w:tc>
          <w:tcPr>
            <w:tcW w:w="690" w:type="pct"/>
            <w:tcBorders>
              <w:tl2br w:val="nil"/>
              <w:tr2bl w:val="nil"/>
            </w:tcBorders>
            <w:vAlign w:val="center"/>
          </w:tcPr>
          <w:p w14:paraId="71E525C0">
            <w:pPr>
              <w:spacing w:line="240" w:lineRule="auto"/>
              <w:ind w:firstLine="0" w:firstLineChars="0"/>
              <w:jc w:val="center"/>
              <w:rPr>
                <w:color w:val="auto"/>
                <w:sz w:val="21"/>
                <w:szCs w:val="21"/>
              </w:rPr>
            </w:pPr>
            <w:r>
              <w:rPr>
                <w:color w:val="auto"/>
                <w:sz w:val="21"/>
                <w:szCs w:val="21"/>
              </w:rPr>
              <w:t>不涉及</w:t>
            </w:r>
          </w:p>
        </w:tc>
      </w:tr>
      <w:tr w14:paraId="1A2746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14FBAF4">
            <w:pPr>
              <w:spacing w:line="240" w:lineRule="auto"/>
              <w:ind w:firstLine="0" w:firstLineChars="0"/>
              <w:jc w:val="center"/>
              <w:rPr>
                <w:color w:val="auto"/>
                <w:sz w:val="21"/>
                <w:szCs w:val="21"/>
              </w:rPr>
            </w:pPr>
            <w:r>
              <w:rPr>
                <w:rFonts w:hint="eastAsia"/>
                <w:color w:val="auto"/>
                <w:sz w:val="21"/>
                <w:szCs w:val="21"/>
              </w:rPr>
              <w:t>73</w:t>
            </w:r>
          </w:p>
        </w:tc>
        <w:tc>
          <w:tcPr>
            <w:tcW w:w="470" w:type="pct"/>
            <w:tcBorders>
              <w:tl2br w:val="nil"/>
              <w:tr2bl w:val="nil"/>
            </w:tcBorders>
            <w:vAlign w:val="center"/>
          </w:tcPr>
          <w:p w14:paraId="4AC415CE">
            <w:pPr>
              <w:spacing w:line="240" w:lineRule="auto"/>
              <w:ind w:firstLine="0" w:firstLineChars="0"/>
              <w:jc w:val="center"/>
              <w:rPr>
                <w:color w:val="auto"/>
                <w:sz w:val="21"/>
                <w:szCs w:val="21"/>
                <w:lang w:val="en-AU" w:eastAsia="en-US"/>
              </w:rPr>
            </w:pPr>
            <w:r>
              <w:rPr>
                <w:color w:val="auto"/>
                <w:sz w:val="21"/>
                <w:szCs w:val="21"/>
              </w:rPr>
              <w:t>（8）</w:t>
            </w:r>
          </w:p>
        </w:tc>
        <w:tc>
          <w:tcPr>
            <w:tcW w:w="2365" w:type="pct"/>
            <w:tcBorders>
              <w:tl2br w:val="nil"/>
              <w:tr2bl w:val="nil"/>
            </w:tcBorders>
            <w:vAlign w:val="center"/>
          </w:tcPr>
          <w:p w14:paraId="5F8560A4">
            <w:pPr>
              <w:spacing w:line="240" w:lineRule="auto"/>
              <w:ind w:firstLine="0" w:firstLineChars="0"/>
              <w:jc w:val="center"/>
              <w:rPr>
                <w:color w:val="auto"/>
                <w:sz w:val="21"/>
                <w:szCs w:val="21"/>
                <w:lang w:val="en-AU"/>
              </w:rPr>
            </w:pPr>
            <w:r>
              <w:rPr>
                <w:color w:val="auto"/>
                <w:sz w:val="21"/>
                <w:szCs w:val="21"/>
              </w:rPr>
              <w:t>1,1,2,2,3,3,4,4,4-九氟-1-丁基磺酰氟（别名：全氟丁基磺酰氟）</w:t>
            </w:r>
          </w:p>
        </w:tc>
        <w:tc>
          <w:tcPr>
            <w:tcW w:w="1117" w:type="pct"/>
            <w:tcBorders>
              <w:tl2br w:val="nil"/>
              <w:tr2bl w:val="nil"/>
            </w:tcBorders>
            <w:vAlign w:val="center"/>
          </w:tcPr>
          <w:p w14:paraId="1AD9677F">
            <w:pPr>
              <w:spacing w:line="240" w:lineRule="auto"/>
              <w:ind w:firstLine="0" w:firstLineChars="0"/>
              <w:jc w:val="center"/>
              <w:rPr>
                <w:color w:val="auto"/>
                <w:sz w:val="21"/>
                <w:szCs w:val="21"/>
                <w:lang w:val="en-AU" w:eastAsia="en-US"/>
              </w:rPr>
            </w:pPr>
            <w:r>
              <w:rPr>
                <w:color w:val="auto"/>
                <w:sz w:val="21"/>
                <w:szCs w:val="21"/>
              </w:rPr>
              <w:t>375-72-4</w:t>
            </w:r>
          </w:p>
        </w:tc>
        <w:tc>
          <w:tcPr>
            <w:tcW w:w="690" w:type="pct"/>
            <w:tcBorders>
              <w:tl2br w:val="nil"/>
              <w:tr2bl w:val="nil"/>
            </w:tcBorders>
            <w:vAlign w:val="center"/>
          </w:tcPr>
          <w:p w14:paraId="2164268A">
            <w:pPr>
              <w:spacing w:line="240" w:lineRule="auto"/>
              <w:ind w:firstLine="0" w:firstLineChars="0"/>
              <w:jc w:val="center"/>
              <w:rPr>
                <w:color w:val="auto"/>
                <w:sz w:val="21"/>
                <w:szCs w:val="21"/>
              </w:rPr>
            </w:pPr>
            <w:r>
              <w:rPr>
                <w:color w:val="auto"/>
                <w:sz w:val="21"/>
                <w:szCs w:val="21"/>
              </w:rPr>
              <w:t>不涉及</w:t>
            </w:r>
          </w:p>
        </w:tc>
      </w:tr>
      <w:tr w14:paraId="2ACE85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FD55D40">
            <w:pPr>
              <w:spacing w:line="240" w:lineRule="auto"/>
              <w:ind w:firstLine="0" w:firstLineChars="0"/>
              <w:jc w:val="center"/>
              <w:rPr>
                <w:color w:val="auto"/>
                <w:sz w:val="21"/>
                <w:szCs w:val="21"/>
              </w:rPr>
            </w:pPr>
            <w:r>
              <w:rPr>
                <w:rFonts w:hint="eastAsia"/>
                <w:color w:val="auto"/>
                <w:sz w:val="21"/>
                <w:szCs w:val="21"/>
              </w:rPr>
              <w:t>74</w:t>
            </w:r>
          </w:p>
        </w:tc>
        <w:tc>
          <w:tcPr>
            <w:tcW w:w="470" w:type="pct"/>
            <w:tcBorders>
              <w:tl2br w:val="nil"/>
              <w:tr2bl w:val="nil"/>
            </w:tcBorders>
            <w:vAlign w:val="center"/>
          </w:tcPr>
          <w:p w14:paraId="67675476">
            <w:pPr>
              <w:spacing w:line="240" w:lineRule="auto"/>
              <w:ind w:firstLine="0" w:firstLineChars="0"/>
              <w:jc w:val="center"/>
              <w:rPr>
                <w:color w:val="auto"/>
                <w:sz w:val="21"/>
                <w:szCs w:val="21"/>
                <w:lang w:val="en-AU" w:eastAsia="en-US"/>
              </w:rPr>
            </w:pPr>
            <w:r>
              <w:rPr>
                <w:color w:val="auto"/>
                <w:sz w:val="21"/>
                <w:szCs w:val="21"/>
              </w:rPr>
              <w:t>（9）</w:t>
            </w:r>
          </w:p>
        </w:tc>
        <w:tc>
          <w:tcPr>
            <w:tcW w:w="2365" w:type="pct"/>
            <w:tcBorders>
              <w:tl2br w:val="nil"/>
              <w:tr2bl w:val="nil"/>
            </w:tcBorders>
            <w:vAlign w:val="center"/>
          </w:tcPr>
          <w:p w14:paraId="02202895">
            <w:pPr>
              <w:spacing w:line="240" w:lineRule="auto"/>
              <w:ind w:firstLine="0" w:firstLineChars="0"/>
              <w:jc w:val="center"/>
              <w:rPr>
                <w:color w:val="auto"/>
                <w:sz w:val="21"/>
                <w:szCs w:val="21"/>
                <w:lang w:val="en-AU"/>
              </w:rPr>
            </w:pPr>
            <w:r>
              <w:rPr>
                <w:color w:val="auto"/>
                <w:sz w:val="21"/>
                <w:szCs w:val="21"/>
              </w:rPr>
              <w:t>1,1,2,2,3,3,4,4,4-九氟-N-(2-羟乙基</w:t>
            </w:r>
            <w:r>
              <w:rPr>
                <w:rFonts w:hint="eastAsia"/>
                <w:color w:val="auto"/>
                <w:sz w:val="21"/>
                <w:szCs w:val="21"/>
              </w:rPr>
              <w:t>）</w:t>
            </w:r>
            <w:r>
              <w:rPr>
                <w:color w:val="auto"/>
                <w:sz w:val="21"/>
                <w:szCs w:val="21"/>
              </w:rPr>
              <w:t>-1-丁基磺酰胺的单铵盐</w:t>
            </w:r>
          </w:p>
        </w:tc>
        <w:tc>
          <w:tcPr>
            <w:tcW w:w="1117" w:type="pct"/>
            <w:tcBorders>
              <w:tl2br w:val="nil"/>
              <w:tr2bl w:val="nil"/>
            </w:tcBorders>
            <w:vAlign w:val="center"/>
          </w:tcPr>
          <w:p w14:paraId="26C19D52">
            <w:pPr>
              <w:spacing w:line="240" w:lineRule="auto"/>
              <w:ind w:firstLine="0" w:firstLineChars="0"/>
              <w:jc w:val="center"/>
              <w:rPr>
                <w:color w:val="auto"/>
                <w:sz w:val="21"/>
                <w:szCs w:val="21"/>
                <w:lang w:val="en-AU" w:eastAsia="en-US"/>
              </w:rPr>
            </w:pPr>
            <w:r>
              <w:rPr>
                <w:color w:val="auto"/>
                <w:sz w:val="21"/>
                <w:szCs w:val="21"/>
              </w:rPr>
              <w:t>484024-67-1</w:t>
            </w:r>
          </w:p>
        </w:tc>
        <w:tc>
          <w:tcPr>
            <w:tcW w:w="690" w:type="pct"/>
            <w:tcBorders>
              <w:tl2br w:val="nil"/>
              <w:tr2bl w:val="nil"/>
            </w:tcBorders>
            <w:vAlign w:val="center"/>
          </w:tcPr>
          <w:p w14:paraId="6CBD0750">
            <w:pPr>
              <w:spacing w:line="240" w:lineRule="auto"/>
              <w:ind w:firstLine="0" w:firstLineChars="0"/>
              <w:jc w:val="center"/>
              <w:rPr>
                <w:color w:val="auto"/>
                <w:sz w:val="21"/>
                <w:szCs w:val="21"/>
              </w:rPr>
            </w:pPr>
            <w:r>
              <w:rPr>
                <w:color w:val="auto"/>
                <w:sz w:val="21"/>
                <w:szCs w:val="21"/>
              </w:rPr>
              <w:t>不涉及</w:t>
            </w:r>
          </w:p>
        </w:tc>
      </w:tr>
      <w:tr w14:paraId="1D84D4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4FE6EF1B">
            <w:pPr>
              <w:spacing w:line="240" w:lineRule="auto"/>
              <w:ind w:firstLine="0" w:firstLineChars="0"/>
              <w:jc w:val="center"/>
              <w:rPr>
                <w:color w:val="auto"/>
                <w:sz w:val="21"/>
                <w:szCs w:val="21"/>
              </w:rPr>
            </w:pPr>
            <w:r>
              <w:rPr>
                <w:rFonts w:hint="eastAsia"/>
                <w:color w:val="auto"/>
                <w:sz w:val="21"/>
                <w:szCs w:val="21"/>
              </w:rPr>
              <w:t>75</w:t>
            </w:r>
          </w:p>
        </w:tc>
        <w:tc>
          <w:tcPr>
            <w:tcW w:w="470" w:type="pct"/>
            <w:tcBorders>
              <w:tl2br w:val="nil"/>
              <w:tr2bl w:val="nil"/>
            </w:tcBorders>
            <w:vAlign w:val="center"/>
          </w:tcPr>
          <w:p w14:paraId="696FBA12">
            <w:pPr>
              <w:spacing w:line="240" w:lineRule="auto"/>
              <w:ind w:firstLine="0" w:firstLineChars="0"/>
              <w:jc w:val="center"/>
              <w:rPr>
                <w:color w:val="auto"/>
                <w:sz w:val="21"/>
                <w:szCs w:val="21"/>
                <w:lang w:val="en-AU" w:eastAsia="en-US"/>
              </w:rPr>
            </w:pPr>
            <w:r>
              <w:rPr>
                <w:color w:val="auto"/>
                <w:sz w:val="21"/>
                <w:szCs w:val="21"/>
              </w:rPr>
              <w:t>（10）</w:t>
            </w:r>
          </w:p>
        </w:tc>
        <w:tc>
          <w:tcPr>
            <w:tcW w:w="2365" w:type="pct"/>
            <w:tcBorders>
              <w:tl2br w:val="nil"/>
              <w:tr2bl w:val="nil"/>
            </w:tcBorders>
            <w:vAlign w:val="center"/>
          </w:tcPr>
          <w:p w14:paraId="7E422784">
            <w:pPr>
              <w:spacing w:line="240" w:lineRule="auto"/>
              <w:ind w:firstLine="0" w:firstLineChars="0"/>
              <w:jc w:val="center"/>
              <w:rPr>
                <w:color w:val="auto"/>
                <w:sz w:val="21"/>
                <w:szCs w:val="21"/>
                <w:lang w:val="en-AU"/>
              </w:rPr>
            </w:pPr>
            <w:r>
              <w:rPr>
                <w:color w:val="auto"/>
                <w:sz w:val="21"/>
                <w:szCs w:val="21"/>
              </w:rPr>
              <w:t>1,1,2,2,3,3,4,4,5,5,5-十一氟-1-戊基磺酸铵（别名：全氟戊基磺酸铵）</w:t>
            </w:r>
          </w:p>
        </w:tc>
        <w:tc>
          <w:tcPr>
            <w:tcW w:w="1117" w:type="pct"/>
            <w:tcBorders>
              <w:tl2br w:val="nil"/>
              <w:tr2bl w:val="nil"/>
            </w:tcBorders>
            <w:vAlign w:val="center"/>
          </w:tcPr>
          <w:p w14:paraId="4AF2F122">
            <w:pPr>
              <w:spacing w:line="240" w:lineRule="auto"/>
              <w:ind w:firstLine="0" w:firstLineChars="0"/>
              <w:jc w:val="center"/>
              <w:rPr>
                <w:color w:val="auto"/>
                <w:sz w:val="21"/>
                <w:szCs w:val="21"/>
                <w:lang w:val="en-AU" w:eastAsia="en-US"/>
              </w:rPr>
            </w:pPr>
            <w:r>
              <w:rPr>
                <w:color w:val="auto"/>
                <w:sz w:val="21"/>
                <w:szCs w:val="21"/>
              </w:rPr>
              <w:t>68259-09-6</w:t>
            </w:r>
          </w:p>
        </w:tc>
        <w:tc>
          <w:tcPr>
            <w:tcW w:w="690" w:type="pct"/>
            <w:tcBorders>
              <w:tl2br w:val="nil"/>
              <w:tr2bl w:val="nil"/>
            </w:tcBorders>
            <w:vAlign w:val="center"/>
          </w:tcPr>
          <w:p w14:paraId="65197AB1">
            <w:pPr>
              <w:spacing w:line="240" w:lineRule="auto"/>
              <w:ind w:firstLine="0" w:firstLineChars="0"/>
              <w:jc w:val="center"/>
              <w:rPr>
                <w:color w:val="auto"/>
                <w:sz w:val="21"/>
                <w:szCs w:val="21"/>
              </w:rPr>
            </w:pPr>
            <w:r>
              <w:rPr>
                <w:color w:val="auto"/>
                <w:sz w:val="21"/>
                <w:szCs w:val="21"/>
              </w:rPr>
              <w:t>不涉及</w:t>
            </w:r>
          </w:p>
        </w:tc>
      </w:tr>
      <w:tr w14:paraId="5D20F3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BCEC5E9">
            <w:pPr>
              <w:spacing w:line="240" w:lineRule="auto"/>
              <w:ind w:firstLine="0" w:firstLineChars="0"/>
              <w:jc w:val="center"/>
              <w:rPr>
                <w:color w:val="auto"/>
                <w:sz w:val="21"/>
                <w:szCs w:val="21"/>
              </w:rPr>
            </w:pPr>
            <w:r>
              <w:rPr>
                <w:rFonts w:hint="eastAsia"/>
                <w:color w:val="auto"/>
                <w:sz w:val="21"/>
                <w:szCs w:val="21"/>
              </w:rPr>
              <w:t>76</w:t>
            </w:r>
          </w:p>
        </w:tc>
        <w:tc>
          <w:tcPr>
            <w:tcW w:w="470" w:type="pct"/>
            <w:tcBorders>
              <w:tl2br w:val="nil"/>
              <w:tr2bl w:val="nil"/>
            </w:tcBorders>
            <w:vAlign w:val="center"/>
          </w:tcPr>
          <w:p w14:paraId="168B3365">
            <w:pPr>
              <w:spacing w:line="240" w:lineRule="auto"/>
              <w:ind w:firstLine="0" w:firstLineChars="0"/>
              <w:jc w:val="center"/>
              <w:rPr>
                <w:color w:val="auto"/>
                <w:sz w:val="21"/>
                <w:szCs w:val="21"/>
                <w:lang w:val="en-AU" w:eastAsia="en-US"/>
              </w:rPr>
            </w:pPr>
            <w:r>
              <w:rPr>
                <w:color w:val="auto"/>
                <w:sz w:val="21"/>
                <w:szCs w:val="21"/>
              </w:rPr>
              <w:t>（11）</w:t>
            </w:r>
          </w:p>
        </w:tc>
        <w:tc>
          <w:tcPr>
            <w:tcW w:w="2365" w:type="pct"/>
            <w:tcBorders>
              <w:tl2br w:val="nil"/>
              <w:tr2bl w:val="nil"/>
            </w:tcBorders>
            <w:vAlign w:val="center"/>
          </w:tcPr>
          <w:p w14:paraId="753F628F">
            <w:pPr>
              <w:spacing w:line="240" w:lineRule="auto"/>
              <w:ind w:firstLine="0" w:firstLineChars="0"/>
              <w:jc w:val="center"/>
              <w:rPr>
                <w:color w:val="auto"/>
                <w:sz w:val="21"/>
                <w:szCs w:val="21"/>
                <w:lang w:val="en-AU"/>
              </w:rPr>
            </w:pPr>
            <w:r>
              <w:rPr>
                <w:color w:val="auto"/>
                <w:sz w:val="21"/>
                <w:szCs w:val="21"/>
              </w:rPr>
              <w:t>1,1,2,2,3,3,4,4,5,5,5-十一氟-1-戊基磺酸钾（别名：全氟戊基磺酸钾）</w:t>
            </w:r>
          </w:p>
        </w:tc>
        <w:tc>
          <w:tcPr>
            <w:tcW w:w="1117" w:type="pct"/>
            <w:tcBorders>
              <w:tl2br w:val="nil"/>
              <w:tr2bl w:val="nil"/>
            </w:tcBorders>
            <w:vAlign w:val="center"/>
          </w:tcPr>
          <w:p w14:paraId="1BB502FC">
            <w:pPr>
              <w:spacing w:line="240" w:lineRule="auto"/>
              <w:ind w:firstLine="0" w:firstLineChars="0"/>
              <w:jc w:val="center"/>
              <w:rPr>
                <w:color w:val="auto"/>
                <w:sz w:val="21"/>
                <w:szCs w:val="21"/>
                <w:lang w:val="en-AU" w:eastAsia="en-US"/>
              </w:rPr>
            </w:pPr>
            <w:r>
              <w:rPr>
                <w:color w:val="auto"/>
                <w:sz w:val="21"/>
                <w:szCs w:val="21"/>
              </w:rPr>
              <w:t>3872-25-1</w:t>
            </w:r>
          </w:p>
        </w:tc>
        <w:tc>
          <w:tcPr>
            <w:tcW w:w="690" w:type="pct"/>
            <w:tcBorders>
              <w:tl2br w:val="nil"/>
              <w:tr2bl w:val="nil"/>
            </w:tcBorders>
            <w:vAlign w:val="center"/>
          </w:tcPr>
          <w:p w14:paraId="0A403AEB">
            <w:pPr>
              <w:spacing w:line="240" w:lineRule="auto"/>
              <w:ind w:firstLine="0" w:firstLineChars="0"/>
              <w:jc w:val="center"/>
              <w:rPr>
                <w:color w:val="auto"/>
                <w:sz w:val="21"/>
                <w:szCs w:val="21"/>
              </w:rPr>
            </w:pPr>
            <w:r>
              <w:rPr>
                <w:color w:val="auto"/>
                <w:sz w:val="21"/>
                <w:szCs w:val="21"/>
              </w:rPr>
              <w:t>不涉及</w:t>
            </w:r>
          </w:p>
        </w:tc>
      </w:tr>
      <w:tr w14:paraId="2D6FF6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54351227">
            <w:pPr>
              <w:spacing w:line="240" w:lineRule="auto"/>
              <w:ind w:firstLine="0" w:firstLineChars="0"/>
              <w:jc w:val="center"/>
              <w:rPr>
                <w:color w:val="auto"/>
                <w:sz w:val="21"/>
                <w:szCs w:val="21"/>
              </w:rPr>
            </w:pPr>
            <w:r>
              <w:rPr>
                <w:rFonts w:hint="eastAsia"/>
                <w:color w:val="auto"/>
                <w:sz w:val="21"/>
                <w:szCs w:val="21"/>
              </w:rPr>
              <w:t>77</w:t>
            </w:r>
          </w:p>
        </w:tc>
        <w:tc>
          <w:tcPr>
            <w:tcW w:w="470" w:type="pct"/>
            <w:tcBorders>
              <w:tl2br w:val="nil"/>
              <w:tr2bl w:val="nil"/>
            </w:tcBorders>
            <w:vAlign w:val="center"/>
          </w:tcPr>
          <w:p w14:paraId="13063B7C">
            <w:pPr>
              <w:spacing w:line="240" w:lineRule="auto"/>
              <w:ind w:firstLine="0" w:firstLineChars="0"/>
              <w:jc w:val="center"/>
              <w:rPr>
                <w:color w:val="auto"/>
                <w:sz w:val="21"/>
                <w:szCs w:val="21"/>
                <w:lang w:val="en-AU" w:eastAsia="en-US"/>
              </w:rPr>
            </w:pPr>
            <w:r>
              <w:rPr>
                <w:color w:val="auto"/>
                <w:sz w:val="21"/>
                <w:szCs w:val="21"/>
              </w:rPr>
              <w:t>（12）</w:t>
            </w:r>
          </w:p>
        </w:tc>
        <w:tc>
          <w:tcPr>
            <w:tcW w:w="2365" w:type="pct"/>
            <w:tcBorders>
              <w:tl2br w:val="nil"/>
              <w:tr2bl w:val="nil"/>
            </w:tcBorders>
            <w:vAlign w:val="center"/>
          </w:tcPr>
          <w:p w14:paraId="7124CB4D">
            <w:pPr>
              <w:spacing w:line="240" w:lineRule="auto"/>
              <w:ind w:firstLine="0" w:firstLineChars="0"/>
              <w:jc w:val="center"/>
              <w:rPr>
                <w:color w:val="auto"/>
                <w:sz w:val="21"/>
                <w:szCs w:val="21"/>
                <w:lang w:val="en-AU"/>
              </w:rPr>
            </w:pPr>
            <w:r>
              <w:rPr>
                <w:color w:val="auto"/>
                <w:sz w:val="21"/>
                <w:szCs w:val="21"/>
              </w:rPr>
              <w:t>1,1,2,2,3,3,4,4,5,5,6,6,7,7,7-十五氟-1-庚基磺酸铵（别名：全氟庚基磺酸铵）</w:t>
            </w:r>
          </w:p>
        </w:tc>
        <w:tc>
          <w:tcPr>
            <w:tcW w:w="1117" w:type="pct"/>
            <w:tcBorders>
              <w:tl2br w:val="nil"/>
              <w:tr2bl w:val="nil"/>
            </w:tcBorders>
            <w:vAlign w:val="center"/>
          </w:tcPr>
          <w:p w14:paraId="2B983F36">
            <w:pPr>
              <w:spacing w:line="240" w:lineRule="auto"/>
              <w:ind w:firstLine="0" w:firstLineChars="0"/>
              <w:jc w:val="center"/>
              <w:rPr>
                <w:color w:val="auto"/>
                <w:sz w:val="21"/>
                <w:szCs w:val="21"/>
                <w:lang w:val="en-AU" w:eastAsia="en-US"/>
              </w:rPr>
            </w:pPr>
            <w:r>
              <w:rPr>
                <w:color w:val="auto"/>
                <w:sz w:val="21"/>
                <w:szCs w:val="21"/>
              </w:rPr>
              <w:t>68259-07-4</w:t>
            </w:r>
          </w:p>
        </w:tc>
        <w:tc>
          <w:tcPr>
            <w:tcW w:w="690" w:type="pct"/>
            <w:tcBorders>
              <w:tl2br w:val="nil"/>
              <w:tr2bl w:val="nil"/>
            </w:tcBorders>
            <w:vAlign w:val="center"/>
          </w:tcPr>
          <w:p w14:paraId="0ABDC660">
            <w:pPr>
              <w:spacing w:line="240" w:lineRule="auto"/>
              <w:ind w:firstLine="0" w:firstLineChars="0"/>
              <w:jc w:val="center"/>
              <w:rPr>
                <w:color w:val="auto"/>
                <w:sz w:val="21"/>
                <w:szCs w:val="21"/>
              </w:rPr>
            </w:pPr>
            <w:r>
              <w:rPr>
                <w:color w:val="auto"/>
                <w:sz w:val="21"/>
                <w:szCs w:val="21"/>
              </w:rPr>
              <w:t>不涉及</w:t>
            </w:r>
          </w:p>
        </w:tc>
      </w:tr>
      <w:tr w14:paraId="280FB8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3B4FFA4B">
            <w:pPr>
              <w:spacing w:line="240" w:lineRule="auto"/>
              <w:ind w:firstLine="0" w:firstLineChars="0"/>
              <w:jc w:val="center"/>
              <w:rPr>
                <w:color w:val="auto"/>
                <w:sz w:val="21"/>
                <w:szCs w:val="21"/>
              </w:rPr>
            </w:pPr>
            <w:r>
              <w:rPr>
                <w:rFonts w:hint="eastAsia"/>
                <w:color w:val="auto"/>
                <w:sz w:val="21"/>
                <w:szCs w:val="21"/>
              </w:rPr>
              <w:t>78</w:t>
            </w:r>
          </w:p>
        </w:tc>
        <w:tc>
          <w:tcPr>
            <w:tcW w:w="470" w:type="pct"/>
            <w:tcBorders>
              <w:tl2br w:val="nil"/>
              <w:tr2bl w:val="nil"/>
            </w:tcBorders>
            <w:vAlign w:val="center"/>
          </w:tcPr>
          <w:p w14:paraId="0641E3C5">
            <w:pPr>
              <w:spacing w:line="240" w:lineRule="auto"/>
              <w:ind w:firstLine="0" w:firstLineChars="0"/>
              <w:jc w:val="center"/>
              <w:rPr>
                <w:color w:val="auto"/>
                <w:sz w:val="21"/>
                <w:szCs w:val="21"/>
                <w:lang w:val="en-AU" w:eastAsia="en-US"/>
              </w:rPr>
            </w:pPr>
            <w:r>
              <w:rPr>
                <w:color w:val="auto"/>
                <w:sz w:val="21"/>
                <w:szCs w:val="21"/>
              </w:rPr>
              <w:t>（13）</w:t>
            </w:r>
          </w:p>
        </w:tc>
        <w:tc>
          <w:tcPr>
            <w:tcW w:w="2365" w:type="pct"/>
            <w:tcBorders>
              <w:tl2br w:val="nil"/>
              <w:tr2bl w:val="nil"/>
            </w:tcBorders>
            <w:vAlign w:val="center"/>
          </w:tcPr>
          <w:p w14:paraId="28CBABD9">
            <w:pPr>
              <w:spacing w:line="240" w:lineRule="auto"/>
              <w:ind w:firstLine="0" w:firstLineChars="0"/>
              <w:jc w:val="center"/>
              <w:rPr>
                <w:color w:val="auto"/>
                <w:sz w:val="21"/>
                <w:szCs w:val="21"/>
                <w:lang w:val="en-AU"/>
              </w:rPr>
            </w:pPr>
            <w:r>
              <w:rPr>
                <w:color w:val="auto"/>
                <w:sz w:val="21"/>
                <w:szCs w:val="21"/>
              </w:rPr>
              <w:t>1,1,2,2,3,3,4,4,5,5,6,6,7,7,7-十五氟-1-庚基磺酸钾（别名：全氟庚基磺酸钾）</w:t>
            </w:r>
          </w:p>
        </w:tc>
        <w:tc>
          <w:tcPr>
            <w:tcW w:w="1117" w:type="pct"/>
            <w:tcBorders>
              <w:tl2br w:val="nil"/>
              <w:tr2bl w:val="nil"/>
            </w:tcBorders>
            <w:vAlign w:val="center"/>
          </w:tcPr>
          <w:p w14:paraId="288C6EE9">
            <w:pPr>
              <w:spacing w:line="240" w:lineRule="auto"/>
              <w:ind w:firstLine="0" w:firstLineChars="0"/>
              <w:jc w:val="center"/>
              <w:rPr>
                <w:color w:val="auto"/>
                <w:sz w:val="21"/>
                <w:szCs w:val="21"/>
                <w:lang w:val="en-AU" w:eastAsia="en-US"/>
              </w:rPr>
            </w:pPr>
            <w:r>
              <w:rPr>
                <w:color w:val="auto"/>
                <w:sz w:val="21"/>
                <w:szCs w:val="21"/>
              </w:rPr>
              <w:t>60270-55-5</w:t>
            </w:r>
          </w:p>
        </w:tc>
        <w:tc>
          <w:tcPr>
            <w:tcW w:w="690" w:type="pct"/>
            <w:tcBorders>
              <w:tl2br w:val="nil"/>
              <w:tr2bl w:val="nil"/>
            </w:tcBorders>
            <w:vAlign w:val="center"/>
          </w:tcPr>
          <w:p w14:paraId="2E87BAA3">
            <w:pPr>
              <w:spacing w:line="240" w:lineRule="auto"/>
              <w:ind w:firstLine="0" w:firstLineChars="0"/>
              <w:jc w:val="center"/>
              <w:rPr>
                <w:color w:val="auto"/>
                <w:sz w:val="21"/>
                <w:szCs w:val="21"/>
              </w:rPr>
            </w:pPr>
            <w:r>
              <w:rPr>
                <w:color w:val="auto"/>
                <w:sz w:val="21"/>
                <w:szCs w:val="21"/>
              </w:rPr>
              <w:t>不涉及</w:t>
            </w:r>
          </w:p>
        </w:tc>
      </w:tr>
      <w:tr w14:paraId="445C77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E245803">
            <w:pPr>
              <w:spacing w:line="240" w:lineRule="auto"/>
              <w:ind w:firstLine="0" w:firstLineChars="0"/>
              <w:jc w:val="center"/>
              <w:rPr>
                <w:color w:val="auto"/>
                <w:sz w:val="21"/>
                <w:szCs w:val="21"/>
              </w:rPr>
            </w:pPr>
            <w:r>
              <w:rPr>
                <w:rFonts w:hint="eastAsia"/>
                <w:color w:val="auto"/>
                <w:sz w:val="21"/>
                <w:szCs w:val="21"/>
              </w:rPr>
              <w:t>79</w:t>
            </w:r>
          </w:p>
        </w:tc>
        <w:tc>
          <w:tcPr>
            <w:tcW w:w="470" w:type="pct"/>
            <w:tcBorders>
              <w:tl2br w:val="nil"/>
              <w:tr2bl w:val="nil"/>
            </w:tcBorders>
            <w:vAlign w:val="center"/>
          </w:tcPr>
          <w:p w14:paraId="5351606D">
            <w:pPr>
              <w:spacing w:line="240" w:lineRule="auto"/>
              <w:ind w:firstLine="0" w:firstLineChars="0"/>
              <w:jc w:val="center"/>
              <w:rPr>
                <w:color w:val="auto"/>
                <w:sz w:val="21"/>
                <w:szCs w:val="21"/>
                <w:lang w:val="en-AU" w:eastAsia="en-US"/>
              </w:rPr>
            </w:pPr>
            <w:r>
              <w:rPr>
                <w:color w:val="auto"/>
                <w:sz w:val="21"/>
                <w:szCs w:val="21"/>
              </w:rPr>
              <w:t>（14）</w:t>
            </w:r>
          </w:p>
        </w:tc>
        <w:tc>
          <w:tcPr>
            <w:tcW w:w="2365" w:type="pct"/>
            <w:tcBorders>
              <w:tl2br w:val="nil"/>
              <w:tr2bl w:val="nil"/>
            </w:tcBorders>
            <w:vAlign w:val="center"/>
          </w:tcPr>
          <w:p w14:paraId="73ED20D1">
            <w:pPr>
              <w:spacing w:line="240" w:lineRule="auto"/>
              <w:ind w:firstLine="0" w:firstLineChars="0"/>
              <w:jc w:val="center"/>
              <w:rPr>
                <w:color w:val="auto"/>
                <w:sz w:val="21"/>
                <w:szCs w:val="21"/>
                <w:lang w:val="en-AU"/>
              </w:rPr>
            </w:pPr>
            <w:r>
              <w:rPr>
                <w:color w:val="auto"/>
                <w:sz w:val="21"/>
                <w:szCs w:val="21"/>
              </w:rPr>
              <w:t>1,1,2,2,3,3,4,4,5,5,6,6,7,7,7-十五氟-1-庚基磺酸锂（别名：全氟庚基磺酸锂）</w:t>
            </w:r>
          </w:p>
        </w:tc>
        <w:tc>
          <w:tcPr>
            <w:tcW w:w="1117" w:type="pct"/>
            <w:tcBorders>
              <w:tl2br w:val="nil"/>
              <w:tr2bl w:val="nil"/>
            </w:tcBorders>
            <w:vAlign w:val="center"/>
          </w:tcPr>
          <w:p w14:paraId="6B10EF5A">
            <w:pPr>
              <w:spacing w:line="240" w:lineRule="auto"/>
              <w:ind w:firstLine="0" w:firstLineChars="0"/>
              <w:jc w:val="center"/>
              <w:rPr>
                <w:color w:val="auto"/>
                <w:sz w:val="21"/>
                <w:szCs w:val="21"/>
                <w:lang w:val="en-AU" w:eastAsia="en-US"/>
              </w:rPr>
            </w:pPr>
            <w:r>
              <w:rPr>
                <w:color w:val="auto"/>
                <w:sz w:val="21"/>
                <w:szCs w:val="21"/>
              </w:rPr>
              <w:t>117806-54-9</w:t>
            </w:r>
          </w:p>
        </w:tc>
        <w:tc>
          <w:tcPr>
            <w:tcW w:w="690" w:type="pct"/>
            <w:tcBorders>
              <w:tl2br w:val="nil"/>
              <w:tr2bl w:val="nil"/>
            </w:tcBorders>
            <w:vAlign w:val="center"/>
          </w:tcPr>
          <w:p w14:paraId="03BB5299">
            <w:pPr>
              <w:spacing w:line="240" w:lineRule="auto"/>
              <w:ind w:firstLine="0" w:firstLineChars="0"/>
              <w:jc w:val="center"/>
              <w:rPr>
                <w:color w:val="auto"/>
                <w:sz w:val="21"/>
                <w:szCs w:val="21"/>
              </w:rPr>
            </w:pPr>
            <w:r>
              <w:rPr>
                <w:color w:val="auto"/>
                <w:sz w:val="21"/>
                <w:szCs w:val="21"/>
              </w:rPr>
              <w:t>不涉及</w:t>
            </w:r>
          </w:p>
        </w:tc>
      </w:tr>
      <w:tr w14:paraId="4841A6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A66DA65">
            <w:pPr>
              <w:spacing w:line="240" w:lineRule="auto"/>
              <w:ind w:firstLine="0" w:firstLineChars="0"/>
              <w:jc w:val="center"/>
              <w:rPr>
                <w:color w:val="auto"/>
                <w:sz w:val="21"/>
                <w:szCs w:val="21"/>
              </w:rPr>
            </w:pPr>
            <w:r>
              <w:rPr>
                <w:rFonts w:hint="eastAsia"/>
                <w:color w:val="auto"/>
                <w:sz w:val="21"/>
                <w:szCs w:val="21"/>
              </w:rPr>
              <w:t>80</w:t>
            </w:r>
          </w:p>
        </w:tc>
        <w:tc>
          <w:tcPr>
            <w:tcW w:w="470" w:type="pct"/>
            <w:tcBorders>
              <w:tl2br w:val="nil"/>
              <w:tr2bl w:val="nil"/>
            </w:tcBorders>
            <w:vAlign w:val="center"/>
          </w:tcPr>
          <w:p w14:paraId="46D52C48">
            <w:pPr>
              <w:spacing w:line="240" w:lineRule="auto"/>
              <w:ind w:firstLine="0" w:firstLineChars="0"/>
              <w:jc w:val="center"/>
              <w:rPr>
                <w:color w:val="auto"/>
                <w:sz w:val="21"/>
                <w:szCs w:val="21"/>
                <w:lang w:val="en-AU" w:eastAsia="en-US"/>
              </w:rPr>
            </w:pPr>
            <w:r>
              <w:rPr>
                <w:color w:val="auto"/>
                <w:sz w:val="21"/>
                <w:szCs w:val="21"/>
              </w:rPr>
              <w:t>（15）</w:t>
            </w:r>
          </w:p>
        </w:tc>
        <w:tc>
          <w:tcPr>
            <w:tcW w:w="2365" w:type="pct"/>
            <w:tcBorders>
              <w:tl2br w:val="nil"/>
              <w:tr2bl w:val="nil"/>
            </w:tcBorders>
            <w:vAlign w:val="center"/>
          </w:tcPr>
          <w:p w14:paraId="7B10ACF4">
            <w:pPr>
              <w:spacing w:line="240" w:lineRule="auto"/>
              <w:ind w:firstLine="0" w:firstLineChars="0"/>
              <w:jc w:val="center"/>
              <w:rPr>
                <w:color w:val="auto"/>
                <w:sz w:val="21"/>
                <w:szCs w:val="21"/>
                <w:lang w:val="en-AU"/>
              </w:rPr>
            </w:pPr>
            <w:r>
              <w:rPr>
                <w:color w:val="auto"/>
                <w:sz w:val="21"/>
                <w:szCs w:val="21"/>
              </w:rPr>
              <w:t>1,1,2,2,3,3,4,4,5,5,6,6,7,7,7-十五氟-1-庚基磺酰氟（别名：全氟庚基磺酰氟）</w:t>
            </w:r>
          </w:p>
        </w:tc>
        <w:tc>
          <w:tcPr>
            <w:tcW w:w="1117" w:type="pct"/>
            <w:tcBorders>
              <w:tl2br w:val="nil"/>
              <w:tr2bl w:val="nil"/>
            </w:tcBorders>
            <w:vAlign w:val="center"/>
          </w:tcPr>
          <w:p w14:paraId="49C814EF">
            <w:pPr>
              <w:spacing w:line="240" w:lineRule="auto"/>
              <w:ind w:firstLine="0" w:firstLineChars="0"/>
              <w:jc w:val="center"/>
              <w:rPr>
                <w:color w:val="auto"/>
                <w:sz w:val="21"/>
                <w:szCs w:val="21"/>
                <w:lang w:val="en-AU" w:eastAsia="en-US"/>
              </w:rPr>
            </w:pPr>
            <w:r>
              <w:rPr>
                <w:color w:val="auto"/>
                <w:sz w:val="21"/>
                <w:szCs w:val="21"/>
              </w:rPr>
              <w:t>335-71-7</w:t>
            </w:r>
          </w:p>
        </w:tc>
        <w:tc>
          <w:tcPr>
            <w:tcW w:w="690" w:type="pct"/>
            <w:tcBorders>
              <w:tl2br w:val="nil"/>
              <w:tr2bl w:val="nil"/>
            </w:tcBorders>
            <w:vAlign w:val="center"/>
          </w:tcPr>
          <w:p w14:paraId="1BD7FE40">
            <w:pPr>
              <w:spacing w:line="240" w:lineRule="auto"/>
              <w:ind w:firstLine="0" w:firstLineChars="0"/>
              <w:jc w:val="center"/>
              <w:rPr>
                <w:color w:val="auto"/>
                <w:sz w:val="21"/>
                <w:szCs w:val="21"/>
              </w:rPr>
            </w:pPr>
            <w:r>
              <w:rPr>
                <w:color w:val="auto"/>
                <w:sz w:val="21"/>
                <w:szCs w:val="21"/>
              </w:rPr>
              <w:t>不涉及</w:t>
            </w:r>
          </w:p>
        </w:tc>
      </w:tr>
      <w:tr w14:paraId="3F5021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199E7B9C">
            <w:pPr>
              <w:spacing w:line="240" w:lineRule="auto"/>
              <w:ind w:firstLine="0" w:firstLineChars="0"/>
              <w:jc w:val="center"/>
              <w:rPr>
                <w:color w:val="auto"/>
                <w:sz w:val="21"/>
                <w:szCs w:val="21"/>
              </w:rPr>
            </w:pPr>
            <w:r>
              <w:rPr>
                <w:rFonts w:hint="eastAsia"/>
                <w:color w:val="auto"/>
                <w:sz w:val="21"/>
                <w:szCs w:val="21"/>
              </w:rPr>
              <w:t>81</w:t>
            </w:r>
          </w:p>
        </w:tc>
        <w:tc>
          <w:tcPr>
            <w:tcW w:w="470" w:type="pct"/>
            <w:tcBorders>
              <w:tl2br w:val="nil"/>
              <w:tr2bl w:val="nil"/>
            </w:tcBorders>
            <w:vAlign w:val="center"/>
          </w:tcPr>
          <w:p w14:paraId="6FF8DF18">
            <w:pPr>
              <w:spacing w:line="240" w:lineRule="auto"/>
              <w:ind w:firstLine="0" w:firstLineChars="0"/>
              <w:jc w:val="center"/>
              <w:rPr>
                <w:color w:val="auto"/>
                <w:sz w:val="21"/>
                <w:szCs w:val="21"/>
                <w:lang w:val="en-AU" w:eastAsia="en-US"/>
              </w:rPr>
            </w:pPr>
            <w:r>
              <w:rPr>
                <w:color w:val="auto"/>
                <w:sz w:val="21"/>
                <w:szCs w:val="21"/>
              </w:rPr>
              <w:t>（16）</w:t>
            </w:r>
          </w:p>
        </w:tc>
        <w:tc>
          <w:tcPr>
            <w:tcW w:w="2365" w:type="pct"/>
            <w:tcBorders>
              <w:tl2br w:val="nil"/>
              <w:tr2bl w:val="nil"/>
            </w:tcBorders>
            <w:vAlign w:val="center"/>
          </w:tcPr>
          <w:p w14:paraId="39938A3D">
            <w:pPr>
              <w:spacing w:line="240" w:lineRule="auto"/>
              <w:ind w:firstLine="0" w:firstLineChars="0"/>
              <w:jc w:val="center"/>
              <w:rPr>
                <w:color w:val="auto"/>
                <w:sz w:val="21"/>
                <w:szCs w:val="21"/>
                <w:lang w:val="en-AU"/>
              </w:rPr>
            </w:pPr>
            <w:r>
              <w:rPr>
                <w:color w:val="auto"/>
                <w:sz w:val="21"/>
                <w:szCs w:val="21"/>
              </w:rPr>
              <w:t>1,2,2,3,3,4,4,5,5,6,6-十一氟-1-环己基磺酸钾（别名：全氟环己基磺酸钾）</w:t>
            </w:r>
          </w:p>
        </w:tc>
        <w:tc>
          <w:tcPr>
            <w:tcW w:w="1117" w:type="pct"/>
            <w:tcBorders>
              <w:tl2br w:val="nil"/>
              <w:tr2bl w:val="nil"/>
            </w:tcBorders>
            <w:vAlign w:val="center"/>
          </w:tcPr>
          <w:p w14:paraId="6C2B1D00">
            <w:pPr>
              <w:spacing w:line="240" w:lineRule="auto"/>
              <w:ind w:firstLine="0" w:firstLineChars="0"/>
              <w:jc w:val="center"/>
              <w:rPr>
                <w:color w:val="auto"/>
                <w:sz w:val="21"/>
                <w:szCs w:val="21"/>
                <w:lang w:val="en-AU" w:eastAsia="en-US"/>
              </w:rPr>
            </w:pPr>
            <w:r>
              <w:rPr>
                <w:color w:val="auto"/>
                <w:sz w:val="21"/>
                <w:szCs w:val="21"/>
              </w:rPr>
              <w:t>3107-18-4</w:t>
            </w:r>
          </w:p>
        </w:tc>
        <w:tc>
          <w:tcPr>
            <w:tcW w:w="690" w:type="pct"/>
            <w:tcBorders>
              <w:tl2br w:val="nil"/>
              <w:tr2bl w:val="nil"/>
            </w:tcBorders>
            <w:vAlign w:val="center"/>
          </w:tcPr>
          <w:p w14:paraId="4D0476D8">
            <w:pPr>
              <w:spacing w:line="240" w:lineRule="auto"/>
              <w:ind w:firstLine="0" w:firstLineChars="0"/>
              <w:jc w:val="center"/>
              <w:rPr>
                <w:color w:val="auto"/>
                <w:sz w:val="21"/>
                <w:szCs w:val="21"/>
              </w:rPr>
            </w:pPr>
            <w:r>
              <w:rPr>
                <w:color w:val="auto"/>
                <w:sz w:val="21"/>
                <w:szCs w:val="21"/>
              </w:rPr>
              <w:t>不涉及</w:t>
            </w:r>
          </w:p>
        </w:tc>
      </w:tr>
      <w:tr w14:paraId="549EE7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01E133C">
            <w:pPr>
              <w:spacing w:line="240" w:lineRule="auto"/>
              <w:ind w:firstLine="0" w:firstLineChars="0"/>
              <w:jc w:val="center"/>
              <w:rPr>
                <w:color w:val="auto"/>
                <w:sz w:val="21"/>
                <w:szCs w:val="21"/>
              </w:rPr>
            </w:pPr>
            <w:r>
              <w:rPr>
                <w:rFonts w:hint="eastAsia"/>
                <w:color w:val="auto"/>
                <w:sz w:val="21"/>
                <w:szCs w:val="21"/>
              </w:rPr>
              <w:t>81</w:t>
            </w:r>
          </w:p>
        </w:tc>
        <w:tc>
          <w:tcPr>
            <w:tcW w:w="470" w:type="pct"/>
            <w:tcBorders>
              <w:tl2br w:val="nil"/>
              <w:tr2bl w:val="nil"/>
            </w:tcBorders>
            <w:vAlign w:val="center"/>
          </w:tcPr>
          <w:p w14:paraId="1CD49BB9">
            <w:pPr>
              <w:spacing w:line="240" w:lineRule="auto"/>
              <w:ind w:firstLine="0" w:firstLineChars="0"/>
              <w:jc w:val="center"/>
              <w:rPr>
                <w:color w:val="auto"/>
                <w:sz w:val="21"/>
                <w:szCs w:val="21"/>
                <w:lang w:val="en-AU" w:eastAsia="en-US"/>
              </w:rPr>
            </w:pPr>
            <w:r>
              <w:rPr>
                <w:color w:val="auto"/>
                <w:sz w:val="21"/>
                <w:szCs w:val="21"/>
              </w:rPr>
              <w:t>（17）</w:t>
            </w:r>
          </w:p>
        </w:tc>
        <w:tc>
          <w:tcPr>
            <w:tcW w:w="2365" w:type="pct"/>
            <w:tcBorders>
              <w:tl2br w:val="nil"/>
              <w:tr2bl w:val="nil"/>
            </w:tcBorders>
            <w:vAlign w:val="center"/>
          </w:tcPr>
          <w:p w14:paraId="2366C128">
            <w:pPr>
              <w:spacing w:line="240" w:lineRule="auto"/>
              <w:ind w:firstLine="0" w:firstLineChars="0"/>
              <w:jc w:val="center"/>
              <w:rPr>
                <w:color w:val="auto"/>
                <w:sz w:val="21"/>
                <w:szCs w:val="21"/>
                <w:lang w:val="en-AU"/>
              </w:rPr>
            </w:pPr>
            <w:r>
              <w:rPr>
                <w:color w:val="auto"/>
                <w:sz w:val="21"/>
                <w:szCs w:val="21"/>
              </w:rPr>
              <w:t>2,2,3,3,4,4,4-七氟丁酸（别名：全氟丁酸）</w:t>
            </w:r>
          </w:p>
        </w:tc>
        <w:tc>
          <w:tcPr>
            <w:tcW w:w="1117" w:type="pct"/>
            <w:tcBorders>
              <w:tl2br w:val="nil"/>
              <w:tr2bl w:val="nil"/>
            </w:tcBorders>
            <w:vAlign w:val="center"/>
          </w:tcPr>
          <w:p w14:paraId="380CDF31">
            <w:pPr>
              <w:spacing w:line="240" w:lineRule="auto"/>
              <w:ind w:firstLine="0" w:firstLineChars="0"/>
              <w:jc w:val="center"/>
              <w:rPr>
                <w:color w:val="auto"/>
                <w:sz w:val="21"/>
                <w:szCs w:val="21"/>
                <w:lang w:val="en-AU" w:eastAsia="en-US"/>
              </w:rPr>
            </w:pPr>
            <w:r>
              <w:rPr>
                <w:color w:val="auto"/>
                <w:sz w:val="21"/>
                <w:szCs w:val="21"/>
              </w:rPr>
              <w:t>375-22-4</w:t>
            </w:r>
          </w:p>
        </w:tc>
        <w:tc>
          <w:tcPr>
            <w:tcW w:w="690" w:type="pct"/>
            <w:tcBorders>
              <w:tl2br w:val="nil"/>
              <w:tr2bl w:val="nil"/>
            </w:tcBorders>
            <w:vAlign w:val="center"/>
          </w:tcPr>
          <w:p w14:paraId="60DB3576">
            <w:pPr>
              <w:spacing w:line="240" w:lineRule="auto"/>
              <w:ind w:firstLine="0" w:firstLineChars="0"/>
              <w:jc w:val="center"/>
              <w:rPr>
                <w:color w:val="auto"/>
                <w:sz w:val="21"/>
                <w:szCs w:val="21"/>
              </w:rPr>
            </w:pPr>
            <w:r>
              <w:rPr>
                <w:color w:val="auto"/>
                <w:sz w:val="21"/>
                <w:szCs w:val="21"/>
              </w:rPr>
              <w:t>不涉及</w:t>
            </w:r>
          </w:p>
        </w:tc>
      </w:tr>
      <w:tr w14:paraId="442898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F30826F">
            <w:pPr>
              <w:spacing w:line="240" w:lineRule="auto"/>
              <w:ind w:firstLine="0" w:firstLineChars="0"/>
              <w:jc w:val="center"/>
              <w:rPr>
                <w:color w:val="auto"/>
                <w:sz w:val="21"/>
                <w:szCs w:val="21"/>
              </w:rPr>
            </w:pPr>
            <w:r>
              <w:rPr>
                <w:rFonts w:hint="eastAsia"/>
                <w:color w:val="auto"/>
                <w:sz w:val="21"/>
                <w:szCs w:val="21"/>
              </w:rPr>
              <w:t>82</w:t>
            </w:r>
          </w:p>
        </w:tc>
        <w:tc>
          <w:tcPr>
            <w:tcW w:w="470" w:type="pct"/>
            <w:tcBorders>
              <w:tl2br w:val="nil"/>
              <w:tr2bl w:val="nil"/>
            </w:tcBorders>
            <w:vAlign w:val="center"/>
          </w:tcPr>
          <w:p w14:paraId="3308D509">
            <w:pPr>
              <w:spacing w:line="240" w:lineRule="auto"/>
              <w:ind w:firstLine="0" w:firstLineChars="0"/>
              <w:jc w:val="center"/>
              <w:rPr>
                <w:color w:val="auto"/>
                <w:sz w:val="21"/>
                <w:szCs w:val="21"/>
                <w:lang w:val="en-AU" w:eastAsia="en-US"/>
              </w:rPr>
            </w:pPr>
            <w:r>
              <w:rPr>
                <w:color w:val="auto"/>
                <w:sz w:val="21"/>
                <w:szCs w:val="21"/>
              </w:rPr>
              <w:t>（18）</w:t>
            </w:r>
          </w:p>
        </w:tc>
        <w:tc>
          <w:tcPr>
            <w:tcW w:w="2365" w:type="pct"/>
            <w:tcBorders>
              <w:tl2br w:val="nil"/>
              <w:tr2bl w:val="nil"/>
            </w:tcBorders>
            <w:vAlign w:val="center"/>
          </w:tcPr>
          <w:p w14:paraId="74E185B8">
            <w:pPr>
              <w:spacing w:line="240" w:lineRule="auto"/>
              <w:ind w:firstLine="0" w:firstLineChars="0"/>
              <w:jc w:val="center"/>
              <w:rPr>
                <w:color w:val="auto"/>
                <w:sz w:val="21"/>
                <w:szCs w:val="21"/>
                <w:lang w:val="en-AU"/>
              </w:rPr>
            </w:pPr>
            <w:r>
              <w:rPr>
                <w:color w:val="auto"/>
                <w:sz w:val="21"/>
                <w:szCs w:val="21"/>
              </w:rPr>
              <w:t>2,2,3,3,4,4,5,5,6,6,6-十一氟己酸铵（别名：全氟己酸铵）</w:t>
            </w:r>
          </w:p>
        </w:tc>
        <w:tc>
          <w:tcPr>
            <w:tcW w:w="1117" w:type="pct"/>
            <w:tcBorders>
              <w:tl2br w:val="nil"/>
              <w:tr2bl w:val="nil"/>
            </w:tcBorders>
            <w:vAlign w:val="center"/>
          </w:tcPr>
          <w:p w14:paraId="0AD3E0AE">
            <w:pPr>
              <w:spacing w:line="240" w:lineRule="auto"/>
              <w:ind w:firstLine="0" w:firstLineChars="0"/>
              <w:jc w:val="center"/>
              <w:rPr>
                <w:color w:val="auto"/>
                <w:sz w:val="21"/>
                <w:szCs w:val="21"/>
                <w:lang w:val="en-AU" w:eastAsia="en-US"/>
              </w:rPr>
            </w:pPr>
            <w:r>
              <w:rPr>
                <w:color w:val="auto"/>
                <w:sz w:val="21"/>
                <w:szCs w:val="21"/>
              </w:rPr>
              <w:t>21615-47-4</w:t>
            </w:r>
          </w:p>
        </w:tc>
        <w:tc>
          <w:tcPr>
            <w:tcW w:w="690" w:type="pct"/>
            <w:tcBorders>
              <w:tl2br w:val="nil"/>
              <w:tr2bl w:val="nil"/>
            </w:tcBorders>
            <w:vAlign w:val="center"/>
          </w:tcPr>
          <w:p w14:paraId="7D5F17FF">
            <w:pPr>
              <w:spacing w:line="240" w:lineRule="auto"/>
              <w:ind w:firstLine="0" w:firstLineChars="0"/>
              <w:jc w:val="center"/>
              <w:rPr>
                <w:color w:val="auto"/>
                <w:sz w:val="21"/>
                <w:szCs w:val="21"/>
              </w:rPr>
            </w:pPr>
            <w:r>
              <w:rPr>
                <w:color w:val="auto"/>
                <w:sz w:val="21"/>
                <w:szCs w:val="21"/>
              </w:rPr>
              <w:t>不涉及</w:t>
            </w:r>
          </w:p>
        </w:tc>
      </w:tr>
      <w:tr w14:paraId="207ACA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6480CAA4">
            <w:pPr>
              <w:spacing w:line="240" w:lineRule="auto"/>
              <w:ind w:firstLine="0" w:firstLineChars="0"/>
              <w:jc w:val="center"/>
              <w:rPr>
                <w:color w:val="auto"/>
                <w:sz w:val="21"/>
                <w:szCs w:val="21"/>
              </w:rPr>
            </w:pPr>
            <w:r>
              <w:rPr>
                <w:rFonts w:hint="eastAsia"/>
                <w:color w:val="auto"/>
                <w:sz w:val="21"/>
                <w:szCs w:val="21"/>
              </w:rPr>
              <w:t>83</w:t>
            </w:r>
          </w:p>
        </w:tc>
        <w:tc>
          <w:tcPr>
            <w:tcW w:w="470" w:type="pct"/>
            <w:tcBorders>
              <w:tl2br w:val="nil"/>
              <w:tr2bl w:val="nil"/>
            </w:tcBorders>
            <w:vAlign w:val="center"/>
          </w:tcPr>
          <w:p w14:paraId="3BEAD50A">
            <w:pPr>
              <w:spacing w:line="240" w:lineRule="auto"/>
              <w:ind w:firstLine="0" w:firstLineChars="0"/>
              <w:jc w:val="center"/>
              <w:rPr>
                <w:color w:val="auto"/>
                <w:sz w:val="21"/>
                <w:szCs w:val="21"/>
                <w:lang w:val="en-AU" w:eastAsia="en-US"/>
              </w:rPr>
            </w:pPr>
            <w:r>
              <w:rPr>
                <w:color w:val="auto"/>
                <w:sz w:val="21"/>
                <w:szCs w:val="21"/>
              </w:rPr>
              <w:t>（19）</w:t>
            </w:r>
          </w:p>
        </w:tc>
        <w:tc>
          <w:tcPr>
            <w:tcW w:w="2365" w:type="pct"/>
            <w:tcBorders>
              <w:tl2br w:val="nil"/>
              <w:tr2bl w:val="nil"/>
            </w:tcBorders>
            <w:vAlign w:val="center"/>
          </w:tcPr>
          <w:p w14:paraId="3AFBA3D8">
            <w:pPr>
              <w:spacing w:line="240" w:lineRule="auto"/>
              <w:ind w:firstLine="0" w:firstLineChars="0"/>
              <w:jc w:val="center"/>
              <w:rPr>
                <w:color w:val="auto"/>
                <w:sz w:val="21"/>
                <w:szCs w:val="21"/>
                <w:lang w:val="en-AU"/>
              </w:rPr>
            </w:pPr>
            <w:r>
              <w:rPr>
                <w:color w:val="auto"/>
                <w:sz w:val="21"/>
                <w:szCs w:val="21"/>
              </w:rPr>
              <w:t>2,2,3,3,4,4,5,5,6,6,6-十一氟己酸钠（别名：全氟己酸钠）</w:t>
            </w:r>
          </w:p>
        </w:tc>
        <w:tc>
          <w:tcPr>
            <w:tcW w:w="1117" w:type="pct"/>
            <w:tcBorders>
              <w:tl2br w:val="nil"/>
              <w:tr2bl w:val="nil"/>
            </w:tcBorders>
            <w:vAlign w:val="center"/>
          </w:tcPr>
          <w:p w14:paraId="62C96CAF">
            <w:pPr>
              <w:spacing w:line="240" w:lineRule="auto"/>
              <w:ind w:firstLine="0" w:firstLineChars="0"/>
              <w:jc w:val="center"/>
              <w:rPr>
                <w:color w:val="auto"/>
                <w:sz w:val="21"/>
                <w:szCs w:val="21"/>
                <w:lang w:val="en-AU" w:eastAsia="en-US"/>
              </w:rPr>
            </w:pPr>
            <w:r>
              <w:rPr>
                <w:color w:val="auto"/>
                <w:sz w:val="21"/>
                <w:szCs w:val="21"/>
              </w:rPr>
              <w:t>2923-26-4</w:t>
            </w:r>
          </w:p>
        </w:tc>
        <w:tc>
          <w:tcPr>
            <w:tcW w:w="690" w:type="pct"/>
            <w:tcBorders>
              <w:tl2br w:val="nil"/>
              <w:tr2bl w:val="nil"/>
            </w:tcBorders>
            <w:vAlign w:val="center"/>
          </w:tcPr>
          <w:p w14:paraId="645B5FE5">
            <w:pPr>
              <w:spacing w:line="240" w:lineRule="auto"/>
              <w:ind w:firstLine="0" w:firstLineChars="0"/>
              <w:jc w:val="center"/>
              <w:rPr>
                <w:color w:val="auto"/>
                <w:sz w:val="21"/>
                <w:szCs w:val="21"/>
              </w:rPr>
            </w:pPr>
            <w:r>
              <w:rPr>
                <w:color w:val="auto"/>
                <w:sz w:val="21"/>
                <w:szCs w:val="21"/>
              </w:rPr>
              <w:t>不涉及</w:t>
            </w:r>
          </w:p>
        </w:tc>
      </w:tr>
      <w:tr w14:paraId="736802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21C0290C">
            <w:pPr>
              <w:spacing w:line="240" w:lineRule="auto"/>
              <w:ind w:firstLine="0" w:firstLineChars="0"/>
              <w:jc w:val="center"/>
              <w:rPr>
                <w:color w:val="auto"/>
                <w:sz w:val="21"/>
                <w:szCs w:val="21"/>
              </w:rPr>
            </w:pPr>
            <w:r>
              <w:rPr>
                <w:rFonts w:hint="eastAsia"/>
                <w:color w:val="auto"/>
                <w:sz w:val="21"/>
                <w:szCs w:val="21"/>
              </w:rPr>
              <w:t>84</w:t>
            </w:r>
          </w:p>
        </w:tc>
        <w:tc>
          <w:tcPr>
            <w:tcW w:w="470" w:type="pct"/>
            <w:tcBorders>
              <w:tl2br w:val="nil"/>
              <w:tr2bl w:val="nil"/>
            </w:tcBorders>
            <w:vAlign w:val="center"/>
          </w:tcPr>
          <w:p w14:paraId="63F38547">
            <w:pPr>
              <w:spacing w:line="240" w:lineRule="auto"/>
              <w:ind w:firstLine="0" w:firstLineChars="0"/>
              <w:jc w:val="center"/>
              <w:rPr>
                <w:color w:val="auto"/>
                <w:sz w:val="21"/>
                <w:szCs w:val="21"/>
                <w:lang w:val="en-AU" w:eastAsia="en-US"/>
              </w:rPr>
            </w:pPr>
            <w:r>
              <w:rPr>
                <w:color w:val="auto"/>
                <w:sz w:val="21"/>
                <w:szCs w:val="21"/>
              </w:rPr>
              <w:t>（20）</w:t>
            </w:r>
          </w:p>
        </w:tc>
        <w:tc>
          <w:tcPr>
            <w:tcW w:w="2365" w:type="pct"/>
            <w:tcBorders>
              <w:tl2br w:val="nil"/>
              <w:tr2bl w:val="nil"/>
            </w:tcBorders>
            <w:vAlign w:val="center"/>
          </w:tcPr>
          <w:p w14:paraId="104CDF6B">
            <w:pPr>
              <w:spacing w:line="240" w:lineRule="auto"/>
              <w:ind w:firstLine="0" w:firstLineChars="0"/>
              <w:jc w:val="center"/>
              <w:rPr>
                <w:color w:val="auto"/>
                <w:sz w:val="21"/>
                <w:szCs w:val="21"/>
                <w:lang w:val="en-AU"/>
              </w:rPr>
            </w:pPr>
            <w:r>
              <w:rPr>
                <w:color w:val="auto"/>
                <w:sz w:val="21"/>
                <w:szCs w:val="21"/>
              </w:rPr>
              <w:t>2,2,3,3,4,4,5,5,6,6,7,7,7-十三氟庚酸铵（别名：全氟庚酸铵）</w:t>
            </w:r>
          </w:p>
        </w:tc>
        <w:tc>
          <w:tcPr>
            <w:tcW w:w="1117" w:type="pct"/>
            <w:tcBorders>
              <w:tl2br w:val="nil"/>
              <w:tr2bl w:val="nil"/>
            </w:tcBorders>
            <w:vAlign w:val="center"/>
          </w:tcPr>
          <w:p w14:paraId="7023D18D">
            <w:pPr>
              <w:spacing w:line="240" w:lineRule="auto"/>
              <w:ind w:firstLine="0" w:firstLineChars="0"/>
              <w:jc w:val="center"/>
              <w:rPr>
                <w:color w:val="auto"/>
                <w:sz w:val="21"/>
                <w:szCs w:val="21"/>
                <w:lang w:val="en-AU" w:eastAsia="en-US"/>
              </w:rPr>
            </w:pPr>
            <w:r>
              <w:rPr>
                <w:color w:val="auto"/>
                <w:sz w:val="21"/>
                <w:szCs w:val="21"/>
              </w:rPr>
              <w:t>6130-43-4</w:t>
            </w:r>
          </w:p>
        </w:tc>
        <w:tc>
          <w:tcPr>
            <w:tcW w:w="690" w:type="pct"/>
            <w:tcBorders>
              <w:tl2br w:val="nil"/>
              <w:tr2bl w:val="nil"/>
            </w:tcBorders>
            <w:vAlign w:val="center"/>
          </w:tcPr>
          <w:p w14:paraId="292B0B94">
            <w:pPr>
              <w:spacing w:line="240" w:lineRule="auto"/>
              <w:ind w:firstLine="0" w:firstLineChars="0"/>
              <w:jc w:val="center"/>
              <w:rPr>
                <w:color w:val="auto"/>
                <w:sz w:val="21"/>
                <w:szCs w:val="21"/>
              </w:rPr>
            </w:pPr>
            <w:r>
              <w:rPr>
                <w:color w:val="auto"/>
                <w:sz w:val="21"/>
                <w:szCs w:val="21"/>
              </w:rPr>
              <w:t>不涉及</w:t>
            </w:r>
          </w:p>
        </w:tc>
      </w:tr>
      <w:tr w14:paraId="097964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82B817A">
            <w:pPr>
              <w:spacing w:line="240" w:lineRule="auto"/>
              <w:ind w:firstLine="0" w:firstLineChars="0"/>
              <w:jc w:val="center"/>
              <w:rPr>
                <w:color w:val="auto"/>
                <w:sz w:val="21"/>
                <w:szCs w:val="21"/>
              </w:rPr>
            </w:pPr>
            <w:r>
              <w:rPr>
                <w:rFonts w:hint="eastAsia"/>
                <w:color w:val="auto"/>
                <w:sz w:val="21"/>
                <w:szCs w:val="21"/>
              </w:rPr>
              <w:t>85</w:t>
            </w:r>
          </w:p>
        </w:tc>
        <w:tc>
          <w:tcPr>
            <w:tcW w:w="470" w:type="pct"/>
            <w:tcBorders>
              <w:tl2br w:val="nil"/>
              <w:tr2bl w:val="nil"/>
            </w:tcBorders>
            <w:vAlign w:val="center"/>
          </w:tcPr>
          <w:p w14:paraId="38132DEA">
            <w:pPr>
              <w:spacing w:line="240" w:lineRule="auto"/>
              <w:ind w:firstLine="0" w:firstLineChars="0"/>
              <w:jc w:val="center"/>
              <w:rPr>
                <w:color w:val="auto"/>
                <w:sz w:val="21"/>
                <w:szCs w:val="21"/>
                <w:lang w:val="en-AU" w:eastAsia="en-US"/>
              </w:rPr>
            </w:pPr>
            <w:r>
              <w:rPr>
                <w:color w:val="auto"/>
                <w:sz w:val="21"/>
                <w:szCs w:val="21"/>
              </w:rPr>
              <w:t>（21）</w:t>
            </w:r>
          </w:p>
        </w:tc>
        <w:tc>
          <w:tcPr>
            <w:tcW w:w="2365" w:type="pct"/>
            <w:tcBorders>
              <w:tl2br w:val="nil"/>
              <w:tr2bl w:val="nil"/>
            </w:tcBorders>
            <w:vAlign w:val="center"/>
          </w:tcPr>
          <w:p w14:paraId="52D548F1">
            <w:pPr>
              <w:spacing w:line="240" w:lineRule="auto"/>
              <w:ind w:firstLine="0" w:firstLineChars="0"/>
              <w:jc w:val="center"/>
              <w:rPr>
                <w:color w:val="auto"/>
                <w:sz w:val="21"/>
                <w:szCs w:val="21"/>
                <w:lang w:val="en-AU"/>
              </w:rPr>
            </w:pPr>
            <w:r>
              <w:rPr>
                <w:color w:val="auto"/>
                <w:sz w:val="21"/>
                <w:szCs w:val="21"/>
              </w:rPr>
              <w:t>2,2,3,3,4,4,5,5,6,6,7,7,7-十三氟庚酸钠（别名：全氟庚酸钠）</w:t>
            </w:r>
          </w:p>
        </w:tc>
        <w:tc>
          <w:tcPr>
            <w:tcW w:w="1117" w:type="pct"/>
            <w:tcBorders>
              <w:tl2br w:val="nil"/>
              <w:tr2bl w:val="nil"/>
            </w:tcBorders>
            <w:vAlign w:val="center"/>
          </w:tcPr>
          <w:p w14:paraId="5B5C24B5">
            <w:pPr>
              <w:spacing w:line="240" w:lineRule="auto"/>
              <w:ind w:firstLine="0" w:firstLineChars="0"/>
              <w:jc w:val="center"/>
              <w:rPr>
                <w:color w:val="auto"/>
                <w:sz w:val="21"/>
                <w:szCs w:val="21"/>
                <w:lang w:val="en-AU" w:eastAsia="en-US"/>
              </w:rPr>
            </w:pPr>
            <w:r>
              <w:rPr>
                <w:color w:val="auto"/>
                <w:sz w:val="21"/>
                <w:szCs w:val="21"/>
              </w:rPr>
              <w:t>20109-59-5</w:t>
            </w:r>
          </w:p>
        </w:tc>
        <w:tc>
          <w:tcPr>
            <w:tcW w:w="690" w:type="pct"/>
            <w:tcBorders>
              <w:tl2br w:val="nil"/>
              <w:tr2bl w:val="nil"/>
            </w:tcBorders>
            <w:vAlign w:val="center"/>
          </w:tcPr>
          <w:p w14:paraId="78F927D1">
            <w:pPr>
              <w:spacing w:line="240" w:lineRule="auto"/>
              <w:ind w:firstLine="0" w:firstLineChars="0"/>
              <w:jc w:val="center"/>
              <w:rPr>
                <w:color w:val="auto"/>
                <w:sz w:val="21"/>
                <w:szCs w:val="21"/>
              </w:rPr>
            </w:pPr>
            <w:r>
              <w:rPr>
                <w:color w:val="auto"/>
                <w:sz w:val="21"/>
                <w:szCs w:val="21"/>
              </w:rPr>
              <w:t>不涉及</w:t>
            </w:r>
          </w:p>
        </w:tc>
      </w:tr>
      <w:tr w14:paraId="64FE9D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111636F4">
            <w:pPr>
              <w:spacing w:line="240" w:lineRule="auto"/>
              <w:ind w:firstLine="0" w:firstLineChars="0"/>
              <w:jc w:val="center"/>
              <w:rPr>
                <w:color w:val="auto"/>
                <w:sz w:val="21"/>
                <w:szCs w:val="21"/>
              </w:rPr>
            </w:pPr>
            <w:r>
              <w:rPr>
                <w:rFonts w:hint="eastAsia"/>
                <w:color w:val="auto"/>
                <w:sz w:val="21"/>
                <w:szCs w:val="21"/>
              </w:rPr>
              <w:t>86</w:t>
            </w:r>
          </w:p>
        </w:tc>
        <w:tc>
          <w:tcPr>
            <w:tcW w:w="470" w:type="pct"/>
            <w:tcBorders>
              <w:tl2br w:val="nil"/>
              <w:tr2bl w:val="nil"/>
            </w:tcBorders>
            <w:vAlign w:val="center"/>
          </w:tcPr>
          <w:p w14:paraId="1C46E68A">
            <w:pPr>
              <w:spacing w:line="240" w:lineRule="auto"/>
              <w:ind w:firstLine="0" w:firstLineChars="0"/>
              <w:jc w:val="center"/>
              <w:rPr>
                <w:color w:val="auto"/>
                <w:sz w:val="21"/>
                <w:szCs w:val="21"/>
                <w:lang w:val="en-AU" w:eastAsia="en-US"/>
              </w:rPr>
            </w:pPr>
            <w:r>
              <w:rPr>
                <w:color w:val="auto"/>
                <w:sz w:val="21"/>
                <w:szCs w:val="21"/>
              </w:rPr>
              <w:t>（22）</w:t>
            </w:r>
          </w:p>
        </w:tc>
        <w:tc>
          <w:tcPr>
            <w:tcW w:w="2365" w:type="pct"/>
            <w:tcBorders>
              <w:tl2br w:val="nil"/>
              <w:tr2bl w:val="nil"/>
            </w:tcBorders>
            <w:vAlign w:val="center"/>
          </w:tcPr>
          <w:p w14:paraId="670702F0">
            <w:pPr>
              <w:spacing w:line="240" w:lineRule="auto"/>
              <w:ind w:firstLine="0" w:firstLineChars="0"/>
              <w:jc w:val="center"/>
              <w:rPr>
                <w:color w:val="auto"/>
                <w:sz w:val="21"/>
                <w:szCs w:val="21"/>
                <w:lang w:val="en-AU"/>
              </w:rPr>
            </w:pPr>
            <w:r>
              <w:rPr>
                <w:color w:val="auto"/>
                <w:sz w:val="21"/>
                <w:szCs w:val="21"/>
              </w:rPr>
              <w:t>2,2,3,3,4,4,5,5-八氟四氢呋喃（别名：全氟四氢呋喃）</w:t>
            </w:r>
          </w:p>
        </w:tc>
        <w:tc>
          <w:tcPr>
            <w:tcW w:w="1117" w:type="pct"/>
            <w:tcBorders>
              <w:tl2br w:val="nil"/>
              <w:tr2bl w:val="nil"/>
            </w:tcBorders>
            <w:vAlign w:val="center"/>
          </w:tcPr>
          <w:p w14:paraId="1308A3FB">
            <w:pPr>
              <w:spacing w:line="240" w:lineRule="auto"/>
              <w:ind w:firstLine="0" w:firstLineChars="0"/>
              <w:jc w:val="center"/>
              <w:rPr>
                <w:color w:val="auto"/>
                <w:sz w:val="21"/>
                <w:szCs w:val="21"/>
                <w:lang w:val="en-AU" w:eastAsia="en-US"/>
              </w:rPr>
            </w:pPr>
            <w:r>
              <w:rPr>
                <w:color w:val="auto"/>
                <w:sz w:val="21"/>
                <w:szCs w:val="21"/>
              </w:rPr>
              <w:t>773-14-8</w:t>
            </w:r>
          </w:p>
        </w:tc>
        <w:tc>
          <w:tcPr>
            <w:tcW w:w="690" w:type="pct"/>
            <w:tcBorders>
              <w:tl2br w:val="nil"/>
              <w:tr2bl w:val="nil"/>
            </w:tcBorders>
            <w:vAlign w:val="center"/>
          </w:tcPr>
          <w:p w14:paraId="4D879226">
            <w:pPr>
              <w:spacing w:line="240" w:lineRule="auto"/>
              <w:ind w:firstLine="0" w:firstLineChars="0"/>
              <w:jc w:val="center"/>
              <w:rPr>
                <w:color w:val="auto"/>
                <w:sz w:val="21"/>
                <w:szCs w:val="21"/>
              </w:rPr>
            </w:pPr>
            <w:r>
              <w:rPr>
                <w:color w:val="auto"/>
                <w:sz w:val="21"/>
                <w:szCs w:val="21"/>
              </w:rPr>
              <w:t>不涉及</w:t>
            </w:r>
          </w:p>
        </w:tc>
      </w:tr>
      <w:tr w14:paraId="7AFE06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16FEBE43">
            <w:pPr>
              <w:spacing w:line="240" w:lineRule="auto"/>
              <w:ind w:firstLine="0" w:firstLineChars="0"/>
              <w:jc w:val="center"/>
              <w:rPr>
                <w:color w:val="auto"/>
                <w:sz w:val="21"/>
                <w:szCs w:val="21"/>
              </w:rPr>
            </w:pPr>
            <w:r>
              <w:rPr>
                <w:rFonts w:hint="eastAsia"/>
                <w:color w:val="auto"/>
                <w:sz w:val="21"/>
                <w:szCs w:val="21"/>
              </w:rPr>
              <w:t>87</w:t>
            </w:r>
          </w:p>
        </w:tc>
        <w:tc>
          <w:tcPr>
            <w:tcW w:w="470" w:type="pct"/>
            <w:tcBorders>
              <w:tl2br w:val="nil"/>
              <w:tr2bl w:val="nil"/>
            </w:tcBorders>
            <w:vAlign w:val="center"/>
          </w:tcPr>
          <w:p w14:paraId="45D5C64A">
            <w:pPr>
              <w:spacing w:line="240" w:lineRule="auto"/>
              <w:ind w:firstLine="0" w:firstLineChars="0"/>
              <w:jc w:val="center"/>
              <w:rPr>
                <w:color w:val="auto"/>
                <w:sz w:val="21"/>
                <w:szCs w:val="21"/>
                <w:lang w:val="en-AU" w:eastAsia="en-US"/>
              </w:rPr>
            </w:pPr>
            <w:r>
              <w:rPr>
                <w:color w:val="auto"/>
                <w:sz w:val="21"/>
                <w:szCs w:val="21"/>
              </w:rPr>
              <w:t>（23）</w:t>
            </w:r>
          </w:p>
        </w:tc>
        <w:tc>
          <w:tcPr>
            <w:tcW w:w="2365" w:type="pct"/>
            <w:tcBorders>
              <w:tl2br w:val="nil"/>
              <w:tr2bl w:val="nil"/>
            </w:tcBorders>
            <w:vAlign w:val="center"/>
          </w:tcPr>
          <w:p w14:paraId="3524D655">
            <w:pPr>
              <w:spacing w:line="240" w:lineRule="auto"/>
              <w:ind w:firstLine="0" w:firstLineChars="0"/>
              <w:jc w:val="center"/>
              <w:rPr>
                <w:color w:val="auto"/>
                <w:sz w:val="21"/>
                <w:szCs w:val="21"/>
                <w:lang w:val="en-AU"/>
              </w:rPr>
            </w:pPr>
            <w:r>
              <w:rPr>
                <w:color w:val="auto"/>
                <w:sz w:val="21"/>
                <w:szCs w:val="21"/>
              </w:rPr>
              <w:t>2,3,3,3-四氟-2-</w:t>
            </w:r>
            <w:r>
              <w:rPr>
                <w:rFonts w:hint="eastAsia"/>
                <w:color w:val="auto"/>
                <w:sz w:val="21"/>
                <w:szCs w:val="21"/>
              </w:rPr>
              <w:t>（</w:t>
            </w:r>
            <w:r>
              <w:rPr>
                <w:color w:val="auto"/>
                <w:sz w:val="21"/>
                <w:szCs w:val="21"/>
              </w:rPr>
              <w:t>七氟丙氧基</w:t>
            </w:r>
            <w:r>
              <w:rPr>
                <w:rFonts w:hint="eastAsia"/>
                <w:color w:val="auto"/>
                <w:sz w:val="21"/>
                <w:szCs w:val="21"/>
              </w:rPr>
              <w:t>）</w:t>
            </w:r>
            <w:r>
              <w:rPr>
                <w:color w:val="auto"/>
                <w:sz w:val="21"/>
                <w:szCs w:val="21"/>
              </w:rPr>
              <w:t>丙酸钾</w:t>
            </w:r>
          </w:p>
        </w:tc>
        <w:tc>
          <w:tcPr>
            <w:tcW w:w="1117" w:type="pct"/>
            <w:tcBorders>
              <w:tl2br w:val="nil"/>
              <w:tr2bl w:val="nil"/>
            </w:tcBorders>
            <w:vAlign w:val="center"/>
          </w:tcPr>
          <w:p w14:paraId="613F3F5D">
            <w:pPr>
              <w:spacing w:line="240" w:lineRule="auto"/>
              <w:ind w:firstLine="0" w:firstLineChars="0"/>
              <w:jc w:val="center"/>
              <w:rPr>
                <w:color w:val="auto"/>
                <w:sz w:val="21"/>
                <w:szCs w:val="21"/>
                <w:lang w:val="en-AU" w:eastAsia="en-US"/>
              </w:rPr>
            </w:pPr>
            <w:r>
              <w:rPr>
                <w:color w:val="auto"/>
                <w:sz w:val="21"/>
                <w:szCs w:val="21"/>
              </w:rPr>
              <w:t>67118-55-2</w:t>
            </w:r>
          </w:p>
        </w:tc>
        <w:tc>
          <w:tcPr>
            <w:tcW w:w="690" w:type="pct"/>
            <w:tcBorders>
              <w:tl2br w:val="nil"/>
              <w:tr2bl w:val="nil"/>
            </w:tcBorders>
            <w:vAlign w:val="center"/>
          </w:tcPr>
          <w:p w14:paraId="526EAD5F">
            <w:pPr>
              <w:spacing w:line="240" w:lineRule="auto"/>
              <w:ind w:firstLine="0" w:firstLineChars="0"/>
              <w:jc w:val="center"/>
              <w:rPr>
                <w:color w:val="auto"/>
                <w:sz w:val="21"/>
                <w:szCs w:val="21"/>
              </w:rPr>
            </w:pPr>
            <w:r>
              <w:rPr>
                <w:color w:val="auto"/>
                <w:sz w:val="21"/>
                <w:szCs w:val="21"/>
              </w:rPr>
              <w:t>不涉及</w:t>
            </w:r>
          </w:p>
        </w:tc>
      </w:tr>
      <w:tr w14:paraId="2CD39F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E4C5967">
            <w:pPr>
              <w:spacing w:line="240" w:lineRule="auto"/>
              <w:ind w:firstLine="0" w:firstLineChars="0"/>
              <w:jc w:val="center"/>
              <w:rPr>
                <w:color w:val="auto"/>
                <w:sz w:val="21"/>
                <w:szCs w:val="21"/>
              </w:rPr>
            </w:pPr>
            <w:r>
              <w:rPr>
                <w:rFonts w:hint="eastAsia"/>
                <w:color w:val="auto"/>
                <w:sz w:val="21"/>
                <w:szCs w:val="21"/>
              </w:rPr>
              <w:t>88</w:t>
            </w:r>
          </w:p>
        </w:tc>
        <w:tc>
          <w:tcPr>
            <w:tcW w:w="470" w:type="pct"/>
            <w:tcBorders>
              <w:tl2br w:val="nil"/>
              <w:tr2bl w:val="nil"/>
            </w:tcBorders>
            <w:vAlign w:val="center"/>
          </w:tcPr>
          <w:p w14:paraId="520EBCD4">
            <w:pPr>
              <w:spacing w:line="240" w:lineRule="auto"/>
              <w:ind w:firstLine="0" w:firstLineChars="0"/>
              <w:jc w:val="center"/>
              <w:rPr>
                <w:color w:val="auto"/>
                <w:sz w:val="21"/>
                <w:szCs w:val="21"/>
                <w:lang w:val="en-AU" w:eastAsia="en-US"/>
              </w:rPr>
            </w:pPr>
            <w:r>
              <w:rPr>
                <w:color w:val="auto"/>
                <w:sz w:val="21"/>
                <w:szCs w:val="21"/>
              </w:rPr>
              <w:t>（24）</w:t>
            </w:r>
          </w:p>
        </w:tc>
        <w:tc>
          <w:tcPr>
            <w:tcW w:w="2365" w:type="pct"/>
            <w:tcBorders>
              <w:tl2br w:val="nil"/>
              <w:tr2bl w:val="nil"/>
            </w:tcBorders>
            <w:vAlign w:val="center"/>
          </w:tcPr>
          <w:p w14:paraId="1A6EE6F6">
            <w:pPr>
              <w:spacing w:line="240" w:lineRule="auto"/>
              <w:ind w:firstLine="0" w:firstLineChars="0"/>
              <w:jc w:val="center"/>
              <w:rPr>
                <w:color w:val="auto"/>
                <w:sz w:val="21"/>
                <w:szCs w:val="21"/>
                <w:lang w:val="en-AU"/>
              </w:rPr>
            </w:pPr>
            <w:r>
              <w:rPr>
                <w:color w:val="auto"/>
                <w:sz w:val="21"/>
                <w:szCs w:val="21"/>
              </w:rPr>
              <w:t>N-甲基-1,1,2,2,3,3,4,4,5,5,5-十一氟-1-戊基磺酰胺（别名：N-甲基-全氟戊基磺酰胺）</w:t>
            </w:r>
          </w:p>
        </w:tc>
        <w:tc>
          <w:tcPr>
            <w:tcW w:w="1117" w:type="pct"/>
            <w:tcBorders>
              <w:tl2br w:val="nil"/>
              <w:tr2bl w:val="nil"/>
            </w:tcBorders>
            <w:vAlign w:val="center"/>
          </w:tcPr>
          <w:p w14:paraId="2B9F2BF5">
            <w:pPr>
              <w:spacing w:line="240" w:lineRule="auto"/>
              <w:ind w:firstLine="0" w:firstLineChars="0"/>
              <w:jc w:val="center"/>
              <w:rPr>
                <w:color w:val="auto"/>
                <w:sz w:val="21"/>
                <w:szCs w:val="21"/>
                <w:lang w:val="en-AU" w:eastAsia="en-US"/>
              </w:rPr>
            </w:pPr>
            <w:r>
              <w:rPr>
                <w:color w:val="auto"/>
                <w:sz w:val="21"/>
                <w:szCs w:val="21"/>
              </w:rPr>
              <w:t>68298-13-5</w:t>
            </w:r>
          </w:p>
        </w:tc>
        <w:tc>
          <w:tcPr>
            <w:tcW w:w="690" w:type="pct"/>
            <w:tcBorders>
              <w:tl2br w:val="nil"/>
              <w:tr2bl w:val="nil"/>
            </w:tcBorders>
            <w:vAlign w:val="center"/>
          </w:tcPr>
          <w:p w14:paraId="14661F83">
            <w:pPr>
              <w:spacing w:line="240" w:lineRule="auto"/>
              <w:ind w:firstLine="0" w:firstLineChars="0"/>
              <w:jc w:val="center"/>
              <w:rPr>
                <w:color w:val="auto"/>
                <w:sz w:val="21"/>
                <w:szCs w:val="21"/>
              </w:rPr>
            </w:pPr>
            <w:r>
              <w:rPr>
                <w:color w:val="auto"/>
                <w:sz w:val="21"/>
                <w:szCs w:val="21"/>
              </w:rPr>
              <w:t>不涉及</w:t>
            </w:r>
          </w:p>
        </w:tc>
      </w:tr>
      <w:tr w14:paraId="27BC80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4D94694D">
            <w:pPr>
              <w:spacing w:line="240" w:lineRule="auto"/>
              <w:ind w:firstLine="0" w:firstLineChars="0"/>
              <w:jc w:val="center"/>
              <w:rPr>
                <w:color w:val="auto"/>
                <w:sz w:val="21"/>
                <w:szCs w:val="21"/>
              </w:rPr>
            </w:pPr>
            <w:r>
              <w:rPr>
                <w:rFonts w:hint="eastAsia"/>
                <w:color w:val="auto"/>
                <w:sz w:val="21"/>
                <w:szCs w:val="21"/>
              </w:rPr>
              <w:t>89</w:t>
            </w:r>
          </w:p>
        </w:tc>
        <w:tc>
          <w:tcPr>
            <w:tcW w:w="470" w:type="pct"/>
            <w:tcBorders>
              <w:tl2br w:val="nil"/>
              <w:tr2bl w:val="nil"/>
            </w:tcBorders>
            <w:vAlign w:val="center"/>
          </w:tcPr>
          <w:p w14:paraId="51989E9D">
            <w:pPr>
              <w:spacing w:line="240" w:lineRule="auto"/>
              <w:ind w:firstLine="0" w:firstLineChars="0"/>
              <w:jc w:val="center"/>
              <w:rPr>
                <w:color w:val="auto"/>
                <w:sz w:val="21"/>
                <w:szCs w:val="21"/>
                <w:lang w:val="en-AU" w:eastAsia="en-US"/>
              </w:rPr>
            </w:pPr>
            <w:r>
              <w:rPr>
                <w:color w:val="auto"/>
                <w:sz w:val="21"/>
                <w:szCs w:val="21"/>
              </w:rPr>
              <w:t>（25）</w:t>
            </w:r>
          </w:p>
        </w:tc>
        <w:tc>
          <w:tcPr>
            <w:tcW w:w="2365" w:type="pct"/>
            <w:tcBorders>
              <w:tl2br w:val="nil"/>
              <w:tr2bl w:val="nil"/>
            </w:tcBorders>
            <w:vAlign w:val="center"/>
          </w:tcPr>
          <w:p w14:paraId="6709DF99">
            <w:pPr>
              <w:spacing w:line="240" w:lineRule="auto"/>
              <w:ind w:firstLine="0" w:firstLineChars="0"/>
              <w:jc w:val="center"/>
              <w:rPr>
                <w:color w:val="auto"/>
                <w:sz w:val="21"/>
                <w:szCs w:val="21"/>
                <w:lang w:val="en-AU"/>
              </w:rPr>
            </w:pPr>
            <w:r>
              <w:rPr>
                <w:color w:val="auto"/>
                <w:sz w:val="21"/>
                <w:szCs w:val="21"/>
              </w:rPr>
              <w:t>N-甲基-1,1,2,2,3,3,4,4,5,5,6,6,7,7,7-十五氟-1-庚基磺酰胺（别名：N-甲基-全氟庚基磺酰胺）</w:t>
            </w:r>
          </w:p>
        </w:tc>
        <w:tc>
          <w:tcPr>
            <w:tcW w:w="1117" w:type="pct"/>
            <w:tcBorders>
              <w:tl2br w:val="nil"/>
              <w:tr2bl w:val="nil"/>
            </w:tcBorders>
            <w:vAlign w:val="center"/>
          </w:tcPr>
          <w:p w14:paraId="00D3E660">
            <w:pPr>
              <w:spacing w:line="240" w:lineRule="auto"/>
              <w:ind w:firstLine="0" w:firstLineChars="0"/>
              <w:jc w:val="center"/>
              <w:rPr>
                <w:color w:val="auto"/>
                <w:sz w:val="21"/>
                <w:szCs w:val="21"/>
                <w:lang w:val="en-AU" w:eastAsia="en-US"/>
              </w:rPr>
            </w:pPr>
            <w:r>
              <w:rPr>
                <w:color w:val="auto"/>
                <w:sz w:val="21"/>
                <w:szCs w:val="21"/>
              </w:rPr>
              <w:t>68259-14-3</w:t>
            </w:r>
          </w:p>
        </w:tc>
        <w:tc>
          <w:tcPr>
            <w:tcW w:w="690" w:type="pct"/>
            <w:tcBorders>
              <w:tl2br w:val="nil"/>
              <w:tr2bl w:val="nil"/>
            </w:tcBorders>
            <w:vAlign w:val="center"/>
          </w:tcPr>
          <w:p w14:paraId="5C3992AB">
            <w:pPr>
              <w:spacing w:line="240" w:lineRule="auto"/>
              <w:ind w:firstLine="0" w:firstLineChars="0"/>
              <w:jc w:val="center"/>
              <w:rPr>
                <w:color w:val="auto"/>
                <w:sz w:val="21"/>
                <w:szCs w:val="21"/>
              </w:rPr>
            </w:pPr>
            <w:r>
              <w:rPr>
                <w:color w:val="auto"/>
                <w:sz w:val="21"/>
                <w:szCs w:val="21"/>
              </w:rPr>
              <w:t>不涉及</w:t>
            </w:r>
          </w:p>
        </w:tc>
      </w:tr>
      <w:tr w14:paraId="5E0D01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05A976CF">
            <w:pPr>
              <w:spacing w:line="240" w:lineRule="auto"/>
              <w:ind w:firstLine="0" w:firstLineChars="0"/>
              <w:jc w:val="center"/>
              <w:rPr>
                <w:color w:val="auto"/>
                <w:sz w:val="21"/>
                <w:szCs w:val="21"/>
              </w:rPr>
            </w:pPr>
            <w:r>
              <w:rPr>
                <w:rFonts w:hint="eastAsia"/>
                <w:color w:val="auto"/>
                <w:sz w:val="21"/>
                <w:szCs w:val="21"/>
              </w:rPr>
              <w:t>90</w:t>
            </w:r>
          </w:p>
        </w:tc>
        <w:tc>
          <w:tcPr>
            <w:tcW w:w="470" w:type="pct"/>
            <w:tcBorders>
              <w:tl2br w:val="nil"/>
              <w:tr2bl w:val="nil"/>
            </w:tcBorders>
            <w:vAlign w:val="center"/>
          </w:tcPr>
          <w:p w14:paraId="513F9DB8">
            <w:pPr>
              <w:spacing w:line="240" w:lineRule="auto"/>
              <w:ind w:firstLine="0" w:firstLineChars="0"/>
              <w:jc w:val="center"/>
              <w:rPr>
                <w:color w:val="auto"/>
                <w:sz w:val="21"/>
                <w:szCs w:val="21"/>
                <w:lang w:val="en-AU" w:eastAsia="en-US"/>
              </w:rPr>
            </w:pPr>
            <w:r>
              <w:rPr>
                <w:color w:val="auto"/>
                <w:sz w:val="21"/>
                <w:szCs w:val="21"/>
              </w:rPr>
              <w:t>（26）</w:t>
            </w:r>
          </w:p>
        </w:tc>
        <w:tc>
          <w:tcPr>
            <w:tcW w:w="2365" w:type="pct"/>
            <w:tcBorders>
              <w:tl2br w:val="nil"/>
              <w:tr2bl w:val="nil"/>
            </w:tcBorders>
            <w:vAlign w:val="center"/>
          </w:tcPr>
          <w:p w14:paraId="1092705E">
            <w:pPr>
              <w:spacing w:line="240" w:lineRule="auto"/>
              <w:ind w:firstLine="0" w:firstLineChars="0"/>
              <w:jc w:val="center"/>
              <w:rPr>
                <w:color w:val="auto"/>
                <w:sz w:val="21"/>
                <w:szCs w:val="21"/>
                <w:lang w:val="en-AU"/>
              </w:rPr>
            </w:pPr>
            <w:r>
              <w:rPr>
                <w:color w:val="auto"/>
                <w:sz w:val="21"/>
                <w:szCs w:val="21"/>
              </w:rPr>
              <w:t>二甲基苯基锍与1,1,2,2,3,3,4,4,4-九氟-1-丁基磺酸的盐</w:t>
            </w:r>
            <w:r>
              <w:rPr>
                <w:rFonts w:hint="eastAsia"/>
                <w:color w:val="auto"/>
                <w:sz w:val="21"/>
                <w:szCs w:val="21"/>
              </w:rPr>
              <w:t>（</w:t>
            </w:r>
            <w:r>
              <w:rPr>
                <w:color w:val="auto"/>
                <w:sz w:val="21"/>
                <w:szCs w:val="21"/>
              </w:rPr>
              <w:t>1:1</w:t>
            </w:r>
            <w:r>
              <w:rPr>
                <w:rFonts w:hint="eastAsia"/>
                <w:color w:val="auto"/>
                <w:sz w:val="21"/>
                <w:szCs w:val="21"/>
              </w:rPr>
              <w:t>）</w:t>
            </w:r>
          </w:p>
        </w:tc>
        <w:tc>
          <w:tcPr>
            <w:tcW w:w="1117" w:type="pct"/>
            <w:tcBorders>
              <w:tl2br w:val="nil"/>
              <w:tr2bl w:val="nil"/>
            </w:tcBorders>
            <w:vAlign w:val="center"/>
          </w:tcPr>
          <w:p w14:paraId="5CED756D">
            <w:pPr>
              <w:spacing w:line="240" w:lineRule="auto"/>
              <w:ind w:firstLine="0" w:firstLineChars="0"/>
              <w:jc w:val="center"/>
              <w:rPr>
                <w:color w:val="auto"/>
                <w:sz w:val="21"/>
                <w:szCs w:val="21"/>
                <w:lang w:val="en-AU" w:eastAsia="en-US"/>
              </w:rPr>
            </w:pPr>
            <w:r>
              <w:rPr>
                <w:color w:val="auto"/>
                <w:sz w:val="21"/>
                <w:szCs w:val="21"/>
              </w:rPr>
              <w:t>220133-51-7</w:t>
            </w:r>
          </w:p>
        </w:tc>
        <w:tc>
          <w:tcPr>
            <w:tcW w:w="690" w:type="pct"/>
            <w:tcBorders>
              <w:tl2br w:val="nil"/>
              <w:tr2bl w:val="nil"/>
            </w:tcBorders>
            <w:vAlign w:val="center"/>
          </w:tcPr>
          <w:p w14:paraId="1CBEC80B">
            <w:pPr>
              <w:spacing w:line="240" w:lineRule="auto"/>
              <w:ind w:firstLine="0" w:firstLineChars="0"/>
              <w:jc w:val="center"/>
              <w:rPr>
                <w:color w:val="auto"/>
                <w:sz w:val="21"/>
                <w:szCs w:val="21"/>
              </w:rPr>
            </w:pPr>
            <w:r>
              <w:rPr>
                <w:color w:val="auto"/>
                <w:sz w:val="21"/>
                <w:szCs w:val="21"/>
              </w:rPr>
              <w:t>不涉及</w:t>
            </w:r>
          </w:p>
        </w:tc>
      </w:tr>
      <w:tr w14:paraId="1250FD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3404105F">
            <w:pPr>
              <w:spacing w:line="240" w:lineRule="auto"/>
              <w:ind w:firstLine="0" w:firstLineChars="0"/>
              <w:jc w:val="center"/>
              <w:rPr>
                <w:color w:val="auto"/>
                <w:sz w:val="21"/>
                <w:szCs w:val="21"/>
              </w:rPr>
            </w:pPr>
            <w:r>
              <w:rPr>
                <w:rFonts w:hint="eastAsia"/>
                <w:color w:val="auto"/>
                <w:sz w:val="21"/>
                <w:szCs w:val="21"/>
              </w:rPr>
              <w:t>91</w:t>
            </w:r>
          </w:p>
        </w:tc>
        <w:tc>
          <w:tcPr>
            <w:tcW w:w="470" w:type="pct"/>
            <w:tcBorders>
              <w:tl2br w:val="nil"/>
              <w:tr2bl w:val="nil"/>
            </w:tcBorders>
            <w:vAlign w:val="center"/>
          </w:tcPr>
          <w:p w14:paraId="1AF4DDA9">
            <w:pPr>
              <w:spacing w:line="240" w:lineRule="auto"/>
              <w:ind w:firstLine="0" w:firstLineChars="0"/>
              <w:jc w:val="center"/>
              <w:rPr>
                <w:color w:val="auto"/>
                <w:sz w:val="21"/>
                <w:szCs w:val="21"/>
                <w:lang w:val="en-AU" w:eastAsia="en-US"/>
              </w:rPr>
            </w:pPr>
            <w:r>
              <w:rPr>
                <w:color w:val="auto"/>
                <w:sz w:val="21"/>
                <w:szCs w:val="21"/>
              </w:rPr>
              <w:t>（27）</w:t>
            </w:r>
          </w:p>
        </w:tc>
        <w:tc>
          <w:tcPr>
            <w:tcW w:w="2365" w:type="pct"/>
            <w:tcBorders>
              <w:tl2br w:val="nil"/>
              <w:tr2bl w:val="nil"/>
            </w:tcBorders>
            <w:vAlign w:val="center"/>
          </w:tcPr>
          <w:p w14:paraId="3EE86B5F">
            <w:pPr>
              <w:spacing w:line="240" w:lineRule="auto"/>
              <w:ind w:firstLine="0" w:firstLineChars="0"/>
              <w:jc w:val="center"/>
              <w:rPr>
                <w:color w:val="auto"/>
                <w:sz w:val="21"/>
                <w:szCs w:val="21"/>
                <w:lang w:val="en-AU"/>
              </w:rPr>
            </w:pPr>
            <w:r>
              <w:rPr>
                <w:color w:val="auto"/>
                <w:sz w:val="21"/>
                <w:szCs w:val="21"/>
              </w:rPr>
              <w:t>三苯基锍与1,1,2,2,3,3,4,4,4-九氟-1-丁基磺酸的盐</w:t>
            </w:r>
            <w:r>
              <w:rPr>
                <w:rFonts w:hint="eastAsia"/>
                <w:color w:val="auto"/>
                <w:sz w:val="21"/>
                <w:szCs w:val="21"/>
              </w:rPr>
              <w:t>（</w:t>
            </w:r>
            <w:r>
              <w:rPr>
                <w:color w:val="auto"/>
                <w:sz w:val="21"/>
                <w:szCs w:val="21"/>
              </w:rPr>
              <w:t>1:1</w:t>
            </w:r>
            <w:r>
              <w:rPr>
                <w:rFonts w:hint="eastAsia"/>
                <w:color w:val="auto"/>
                <w:sz w:val="21"/>
                <w:szCs w:val="21"/>
              </w:rPr>
              <w:t>）</w:t>
            </w:r>
          </w:p>
        </w:tc>
        <w:tc>
          <w:tcPr>
            <w:tcW w:w="1117" w:type="pct"/>
            <w:tcBorders>
              <w:tl2br w:val="nil"/>
              <w:tr2bl w:val="nil"/>
            </w:tcBorders>
            <w:vAlign w:val="center"/>
          </w:tcPr>
          <w:p w14:paraId="756BE038">
            <w:pPr>
              <w:spacing w:line="240" w:lineRule="auto"/>
              <w:ind w:firstLine="0" w:firstLineChars="0"/>
              <w:jc w:val="center"/>
              <w:rPr>
                <w:color w:val="auto"/>
                <w:sz w:val="21"/>
                <w:szCs w:val="21"/>
                <w:lang w:val="en-AU" w:eastAsia="en-US"/>
              </w:rPr>
            </w:pPr>
            <w:r>
              <w:rPr>
                <w:color w:val="auto"/>
                <w:sz w:val="21"/>
                <w:szCs w:val="21"/>
              </w:rPr>
              <w:t>144317-44-2</w:t>
            </w:r>
          </w:p>
        </w:tc>
        <w:tc>
          <w:tcPr>
            <w:tcW w:w="690" w:type="pct"/>
            <w:tcBorders>
              <w:tl2br w:val="nil"/>
              <w:tr2bl w:val="nil"/>
            </w:tcBorders>
            <w:vAlign w:val="center"/>
          </w:tcPr>
          <w:p w14:paraId="4685B3D6">
            <w:pPr>
              <w:spacing w:line="240" w:lineRule="auto"/>
              <w:ind w:firstLine="0" w:firstLineChars="0"/>
              <w:jc w:val="center"/>
              <w:rPr>
                <w:color w:val="auto"/>
                <w:sz w:val="21"/>
                <w:szCs w:val="21"/>
              </w:rPr>
            </w:pPr>
            <w:r>
              <w:rPr>
                <w:color w:val="auto"/>
                <w:sz w:val="21"/>
                <w:szCs w:val="21"/>
              </w:rPr>
              <w:t>不涉及</w:t>
            </w:r>
          </w:p>
        </w:tc>
      </w:tr>
      <w:tr w14:paraId="39E8DF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4814FD2D">
            <w:pPr>
              <w:spacing w:line="240" w:lineRule="auto"/>
              <w:ind w:firstLine="0" w:firstLineChars="0"/>
              <w:jc w:val="center"/>
              <w:rPr>
                <w:color w:val="auto"/>
                <w:sz w:val="21"/>
                <w:szCs w:val="21"/>
              </w:rPr>
            </w:pPr>
            <w:r>
              <w:rPr>
                <w:rFonts w:hint="eastAsia"/>
                <w:color w:val="auto"/>
                <w:sz w:val="21"/>
                <w:szCs w:val="21"/>
              </w:rPr>
              <w:t>92</w:t>
            </w:r>
          </w:p>
        </w:tc>
        <w:tc>
          <w:tcPr>
            <w:tcW w:w="470" w:type="pct"/>
            <w:tcBorders>
              <w:tl2br w:val="nil"/>
              <w:tr2bl w:val="nil"/>
            </w:tcBorders>
            <w:vAlign w:val="center"/>
          </w:tcPr>
          <w:p w14:paraId="6841951E">
            <w:pPr>
              <w:spacing w:line="240" w:lineRule="auto"/>
              <w:ind w:firstLine="0" w:firstLineChars="0"/>
              <w:jc w:val="center"/>
              <w:rPr>
                <w:color w:val="auto"/>
                <w:sz w:val="21"/>
                <w:szCs w:val="21"/>
                <w:lang w:val="en-AU" w:eastAsia="en-US"/>
              </w:rPr>
            </w:pPr>
            <w:r>
              <w:rPr>
                <w:color w:val="auto"/>
                <w:sz w:val="21"/>
                <w:szCs w:val="21"/>
              </w:rPr>
              <w:t>（28）</w:t>
            </w:r>
          </w:p>
        </w:tc>
        <w:tc>
          <w:tcPr>
            <w:tcW w:w="2365" w:type="pct"/>
            <w:tcBorders>
              <w:tl2br w:val="nil"/>
              <w:tr2bl w:val="nil"/>
            </w:tcBorders>
            <w:vAlign w:val="center"/>
          </w:tcPr>
          <w:p w14:paraId="37027DB6">
            <w:pPr>
              <w:spacing w:line="240" w:lineRule="auto"/>
              <w:ind w:firstLine="0" w:firstLineChars="0"/>
              <w:jc w:val="center"/>
              <w:rPr>
                <w:color w:val="auto"/>
                <w:sz w:val="21"/>
                <w:szCs w:val="21"/>
                <w:lang w:val="en-AU"/>
              </w:rPr>
            </w:pPr>
            <w:r>
              <w:rPr>
                <w:color w:val="auto"/>
                <w:sz w:val="21"/>
                <w:szCs w:val="21"/>
              </w:rPr>
              <w:t>双[4(1,1-二甲基乙基</w:t>
            </w:r>
            <w:r>
              <w:rPr>
                <w:rFonts w:hint="eastAsia"/>
                <w:color w:val="auto"/>
                <w:sz w:val="21"/>
                <w:szCs w:val="21"/>
              </w:rPr>
              <w:t>）</w:t>
            </w:r>
            <w:r>
              <w:rPr>
                <w:color w:val="auto"/>
                <w:sz w:val="21"/>
                <w:szCs w:val="21"/>
              </w:rPr>
              <w:t>苯基]碘鎓与1,1,2,2,3,3,4,4,4-九氟-1-丁基磺酸的盐</w:t>
            </w:r>
          </w:p>
        </w:tc>
        <w:tc>
          <w:tcPr>
            <w:tcW w:w="1117" w:type="pct"/>
            <w:tcBorders>
              <w:tl2br w:val="nil"/>
              <w:tr2bl w:val="nil"/>
            </w:tcBorders>
            <w:vAlign w:val="center"/>
          </w:tcPr>
          <w:p w14:paraId="759D727A">
            <w:pPr>
              <w:spacing w:line="240" w:lineRule="auto"/>
              <w:ind w:firstLine="0" w:firstLineChars="0"/>
              <w:jc w:val="center"/>
              <w:rPr>
                <w:color w:val="auto"/>
                <w:sz w:val="21"/>
                <w:szCs w:val="21"/>
                <w:lang w:val="en-AU" w:eastAsia="en-US"/>
              </w:rPr>
            </w:pPr>
            <w:r>
              <w:rPr>
                <w:color w:val="auto"/>
                <w:sz w:val="21"/>
                <w:szCs w:val="21"/>
              </w:rPr>
              <w:t>194999-85-4</w:t>
            </w:r>
          </w:p>
        </w:tc>
        <w:tc>
          <w:tcPr>
            <w:tcW w:w="690" w:type="pct"/>
            <w:tcBorders>
              <w:tl2br w:val="nil"/>
              <w:tr2bl w:val="nil"/>
            </w:tcBorders>
            <w:vAlign w:val="center"/>
          </w:tcPr>
          <w:p w14:paraId="343D9779">
            <w:pPr>
              <w:spacing w:line="240" w:lineRule="auto"/>
              <w:ind w:firstLine="0" w:firstLineChars="0"/>
              <w:jc w:val="center"/>
              <w:rPr>
                <w:color w:val="auto"/>
                <w:sz w:val="21"/>
                <w:szCs w:val="21"/>
              </w:rPr>
            </w:pPr>
            <w:r>
              <w:rPr>
                <w:color w:val="auto"/>
                <w:sz w:val="21"/>
                <w:szCs w:val="21"/>
              </w:rPr>
              <w:t>不涉及</w:t>
            </w:r>
          </w:p>
        </w:tc>
      </w:tr>
    </w:tbl>
    <w:p w14:paraId="5DF45CAC">
      <w:pPr>
        <w:spacing w:line="500" w:lineRule="atLeast"/>
        <w:ind w:firstLine="482"/>
        <w:jc w:val="center"/>
        <w:rPr>
          <w:b/>
          <w:color w:val="auto"/>
          <w:kern w:val="0"/>
          <w:szCs w:val="22"/>
        </w:rPr>
      </w:pPr>
    </w:p>
    <w:p w14:paraId="35C7134C">
      <w:pPr>
        <w:pStyle w:val="49"/>
        <w:rPr>
          <w:color w:val="auto"/>
        </w:rPr>
      </w:pPr>
      <w:r>
        <w:rPr>
          <w:rFonts w:hint="eastAsia"/>
          <w:color w:val="auto"/>
        </w:rPr>
        <w:t>表1.4-24  与《关于持久性有机污染物的斯德哥尔摩公约》对照</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198"/>
        <w:gridCol w:w="4913"/>
        <w:gridCol w:w="2743"/>
      </w:tblGrid>
      <w:tr w14:paraId="6F0DE5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313C22CD">
            <w:pPr>
              <w:spacing w:line="240" w:lineRule="auto"/>
              <w:ind w:firstLine="0" w:firstLineChars="0"/>
              <w:jc w:val="center"/>
              <w:rPr>
                <w:b/>
                <w:bCs/>
                <w:color w:val="auto"/>
                <w:sz w:val="21"/>
                <w:szCs w:val="21"/>
              </w:rPr>
            </w:pPr>
            <w:r>
              <w:rPr>
                <w:b/>
                <w:bCs/>
                <w:color w:val="auto"/>
                <w:sz w:val="21"/>
                <w:szCs w:val="21"/>
              </w:rPr>
              <w:t>序号</w:t>
            </w:r>
          </w:p>
        </w:tc>
        <w:tc>
          <w:tcPr>
            <w:tcW w:w="2492" w:type="pct"/>
            <w:tcBorders>
              <w:tl2br w:val="nil"/>
              <w:tr2bl w:val="nil"/>
            </w:tcBorders>
            <w:vAlign w:val="center"/>
          </w:tcPr>
          <w:p w14:paraId="6B0FE44B">
            <w:pPr>
              <w:spacing w:line="240" w:lineRule="auto"/>
              <w:ind w:firstLine="0" w:firstLineChars="0"/>
              <w:jc w:val="center"/>
              <w:rPr>
                <w:b/>
                <w:bCs/>
                <w:color w:val="auto"/>
                <w:sz w:val="21"/>
                <w:szCs w:val="21"/>
              </w:rPr>
            </w:pPr>
            <w:r>
              <w:rPr>
                <w:b/>
                <w:bCs/>
                <w:color w:val="auto"/>
                <w:sz w:val="21"/>
                <w:szCs w:val="21"/>
              </w:rPr>
              <w:t>污染物名称</w:t>
            </w:r>
          </w:p>
        </w:tc>
        <w:tc>
          <w:tcPr>
            <w:tcW w:w="1391" w:type="pct"/>
            <w:tcBorders>
              <w:tl2br w:val="nil"/>
              <w:tr2bl w:val="nil"/>
            </w:tcBorders>
            <w:vAlign w:val="center"/>
          </w:tcPr>
          <w:p w14:paraId="5BB5F892">
            <w:pPr>
              <w:spacing w:line="240" w:lineRule="auto"/>
              <w:ind w:firstLine="0" w:firstLineChars="0"/>
              <w:jc w:val="center"/>
              <w:rPr>
                <w:b/>
                <w:bCs/>
                <w:color w:val="auto"/>
                <w:sz w:val="21"/>
                <w:szCs w:val="21"/>
              </w:rPr>
            </w:pPr>
            <w:r>
              <w:rPr>
                <w:rFonts w:hint="eastAsia"/>
                <w:b/>
                <w:bCs/>
                <w:color w:val="auto"/>
                <w:sz w:val="21"/>
                <w:szCs w:val="21"/>
              </w:rPr>
              <w:t>拟建项目</w:t>
            </w:r>
            <w:r>
              <w:rPr>
                <w:b/>
                <w:bCs/>
                <w:color w:val="auto"/>
                <w:sz w:val="21"/>
                <w:szCs w:val="21"/>
              </w:rPr>
              <w:t>情况</w:t>
            </w:r>
          </w:p>
        </w:tc>
      </w:tr>
      <w:tr w14:paraId="07738D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0328B357">
            <w:pPr>
              <w:spacing w:line="240" w:lineRule="auto"/>
              <w:ind w:firstLine="0" w:firstLineChars="0"/>
              <w:contextualSpacing/>
              <w:jc w:val="center"/>
              <w:rPr>
                <w:color w:val="auto"/>
                <w:sz w:val="21"/>
                <w:szCs w:val="21"/>
              </w:rPr>
            </w:pPr>
            <w:r>
              <w:rPr>
                <w:rFonts w:hint="eastAsia"/>
                <w:color w:val="auto"/>
                <w:sz w:val="21"/>
                <w:szCs w:val="21"/>
              </w:rPr>
              <w:t>1</w:t>
            </w:r>
          </w:p>
        </w:tc>
        <w:tc>
          <w:tcPr>
            <w:tcW w:w="2492" w:type="pct"/>
            <w:tcBorders>
              <w:tl2br w:val="nil"/>
              <w:tr2bl w:val="nil"/>
            </w:tcBorders>
            <w:vAlign w:val="center"/>
          </w:tcPr>
          <w:p w14:paraId="4B74D191">
            <w:pPr>
              <w:spacing w:line="240" w:lineRule="auto"/>
              <w:ind w:firstLine="0" w:firstLineChars="0"/>
              <w:jc w:val="center"/>
              <w:rPr>
                <w:color w:val="auto"/>
                <w:sz w:val="21"/>
                <w:szCs w:val="21"/>
              </w:rPr>
            </w:pPr>
            <w:r>
              <w:rPr>
                <w:color w:val="auto"/>
                <w:kern w:val="0"/>
                <w:sz w:val="21"/>
                <w:szCs w:val="21"/>
              </w:rPr>
              <w:t>艾氏剂</w:t>
            </w:r>
          </w:p>
        </w:tc>
        <w:tc>
          <w:tcPr>
            <w:tcW w:w="1391" w:type="pct"/>
            <w:tcBorders>
              <w:tl2br w:val="nil"/>
              <w:tr2bl w:val="nil"/>
            </w:tcBorders>
            <w:vAlign w:val="center"/>
          </w:tcPr>
          <w:p w14:paraId="5B989406">
            <w:pPr>
              <w:spacing w:line="240" w:lineRule="auto"/>
              <w:ind w:firstLine="0" w:firstLineChars="0"/>
              <w:jc w:val="center"/>
              <w:rPr>
                <w:color w:val="auto"/>
                <w:sz w:val="21"/>
                <w:szCs w:val="21"/>
              </w:rPr>
            </w:pPr>
            <w:r>
              <w:rPr>
                <w:color w:val="auto"/>
                <w:sz w:val="21"/>
                <w:szCs w:val="21"/>
              </w:rPr>
              <w:t>不涉及</w:t>
            </w:r>
          </w:p>
        </w:tc>
      </w:tr>
      <w:tr w14:paraId="01F360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770F54CD">
            <w:pPr>
              <w:spacing w:line="240" w:lineRule="auto"/>
              <w:ind w:firstLine="0" w:firstLineChars="0"/>
              <w:contextualSpacing/>
              <w:jc w:val="center"/>
              <w:rPr>
                <w:color w:val="auto"/>
                <w:sz w:val="21"/>
                <w:szCs w:val="21"/>
              </w:rPr>
            </w:pPr>
            <w:r>
              <w:rPr>
                <w:rFonts w:hint="eastAsia"/>
                <w:color w:val="auto"/>
                <w:sz w:val="21"/>
                <w:szCs w:val="21"/>
              </w:rPr>
              <w:t>2</w:t>
            </w:r>
          </w:p>
        </w:tc>
        <w:tc>
          <w:tcPr>
            <w:tcW w:w="2492" w:type="pct"/>
            <w:tcBorders>
              <w:tl2br w:val="nil"/>
              <w:tr2bl w:val="nil"/>
            </w:tcBorders>
            <w:vAlign w:val="center"/>
          </w:tcPr>
          <w:p w14:paraId="223541B3">
            <w:pPr>
              <w:spacing w:line="240" w:lineRule="auto"/>
              <w:ind w:firstLine="0" w:firstLineChars="0"/>
              <w:jc w:val="center"/>
              <w:rPr>
                <w:color w:val="auto"/>
                <w:sz w:val="21"/>
                <w:szCs w:val="21"/>
              </w:rPr>
            </w:pPr>
            <w:r>
              <w:rPr>
                <w:color w:val="auto"/>
                <w:kern w:val="0"/>
                <w:sz w:val="21"/>
                <w:szCs w:val="21"/>
              </w:rPr>
              <w:t>氯丹</w:t>
            </w:r>
          </w:p>
        </w:tc>
        <w:tc>
          <w:tcPr>
            <w:tcW w:w="1391" w:type="pct"/>
            <w:tcBorders>
              <w:tl2br w:val="nil"/>
              <w:tr2bl w:val="nil"/>
            </w:tcBorders>
            <w:vAlign w:val="center"/>
          </w:tcPr>
          <w:p w14:paraId="70262200">
            <w:pPr>
              <w:spacing w:line="240" w:lineRule="auto"/>
              <w:ind w:firstLine="0" w:firstLineChars="0"/>
              <w:jc w:val="center"/>
              <w:rPr>
                <w:color w:val="auto"/>
                <w:sz w:val="21"/>
                <w:szCs w:val="21"/>
              </w:rPr>
            </w:pPr>
            <w:r>
              <w:rPr>
                <w:color w:val="auto"/>
                <w:sz w:val="21"/>
                <w:szCs w:val="21"/>
              </w:rPr>
              <w:t>不涉及</w:t>
            </w:r>
          </w:p>
        </w:tc>
      </w:tr>
      <w:tr w14:paraId="777C4D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70BB647E">
            <w:pPr>
              <w:spacing w:line="240" w:lineRule="auto"/>
              <w:ind w:firstLine="0" w:firstLineChars="0"/>
              <w:contextualSpacing/>
              <w:jc w:val="center"/>
              <w:rPr>
                <w:color w:val="auto"/>
                <w:sz w:val="21"/>
                <w:szCs w:val="21"/>
              </w:rPr>
            </w:pPr>
            <w:r>
              <w:rPr>
                <w:rFonts w:hint="eastAsia"/>
                <w:color w:val="auto"/>
                <w:sz w:val="21"/>
                <w:szCs w:val="21"/>
              </w:rPr>
              <w:t>3</w:t>
            </w:r>
          </w:p>
        </w:tc>
        <w:tc>
          <w:tcPr>
            <w:tcW w:w="2492" w:type="pct"/>
            <w:tcBorders>
              <w:tl2br w:val="nil"/>
              <w:tr2bl w:val="nil"/>
            </w:tcBorders>
            <w:vAlign w:val="center"/>
          </w:tcPr>
          <w:p w14:paraId="600B30CE">
            <w:pPr>
              <w:spacing w:line="240" w:lineRule="auto"/>
              <w:ind w:firstLine="0" w:firstLineChars="0"/>
              <w:jc w:val="center"/>
              <w:rPr>
                <w:color w:val="auto"/>
                <w:kern w:val="0"/>
                <w:sz w:val="21"/>
                <w:szCs w:val="21"/>
              </w:rPr>
            </w:pPr>
            <w:r>
              <w:rPr>
                <w:color w:val="auto"/>
                <w:kern w:val="0"/>
                <w:sz w:val="21"/>
                <w:szCs w:val="21"/>
              </w:rPr>
              <w:t>滴滴涕</w:t>
            </w:r>
          </w:p>
        </w:tc>
        <w:tc>
          <w:tcPr>
            <w:tcW w:w="1391" w:type="pct"/>
            <w:tcBorders>
              <w:tl2br w:val="nil"/>
              <w:tr2bl w:val="nil"/>
            </w:tcBorders>
            <w:vAlign w:val="center"/>
          </w:tcPr>
          <w:p w14:paraId="285C497F">
            <w:pPr>
              <w:spacing w:line="240" w:lineRule="auto"/>
              <w:ind w:firstLine="0" w:firstLineChars="0"/>
              <w:jc w:val="center"/>
              <w:rPr>
                <w:color w:val="auto"/>
                <w:sz w:val="21"/>
                <w:szCs w:val="21"/>
              </w:rPr>
            </w:pPr>
            <w:r>
              <w:rPr>
                <w:color w:val="auto"/>
                <w:sz w:val="21"/>
                <w:szCs w:val="21"/>
              </w:rPr>
              <w:t>不涉及</w:t>
            </w:r>
          </w:p>
        </w:tc>
      </w:tr>
      <w:tr w14:paraId="48626B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76C461D0">
            <w:pPr>
              <w:spacing w:line="240" w:lineRule="auto"/>
              <w:ind w:firstLine="0" w:firstLineChars="0"/>
              <w:contextualSpacing/>
              <w:jc w:val="center"/>
              <w:rPr>
                <w:color w:val="auto"/>
                <w:sz w:val="21"/>
                <w:szCs w:val="21"/>
              </w:rPr>
            </w:pPr>
            <w:r>
              <w:rPr>
                <w:rFonts w:hint="eastAsia"/>
                <w:color w:val="auto"/>
                <w:sz w:val="21"/>
                <w:szCs w:val="21"/>
              </w:rPr>
              <w:t>4</w:t>
            </w:r>
          </w:p>
        </w:tc>
        <w:tc>
          <w:tcPr>
            <w:tcW w:w="2492" w:type="pct"/>
            <w:tcBorders>
              <w:tl2br w:val="nil"/>
              <w:tr2bl w:val="nil"/>
            </w:tcBorders>
            <w:vAlign w:val="center"/>
          </w:tcPr>
          <w:p w14:paraId="66E967DD">
            <w:pPr>
              <w:spacing w:line="240" w:lineRule="auto"/>
              <w:ind w:firstLine="0" w:firstLineChars="0"/>
              <w:jc w:val="center"/>
              <w:rPr>
                <w:color w:val="auto"/>
                <w:sz w:val="21"/>
                <w:szCs w:val="21"/>
              </w:rPr>
            </w:pPr>
            <w:r>
              <w:rPr>
                <w:color w:val="auto"/>
                <w:kern w:val="0"/>
                <w:sz w:val="21"/>
                <w:szCs w:val="21"/>
              </w:rPr>
              <w:t>狄氏剂</w:t>
            </w:r>
          </w:p>
        </w:tc>
        <w:tc>
          <w:tcPr>
            <w:tcW w:w="1391" w:type="pct"/>
            <w:tcBorders>
              <w:tl2br w:val="nil"/>
              <w:tr2bl w:val="nil"/>
            </w:tcBorders>
            <w:vAlign w:val="center"/>
          </w:tcPr>
          <w:p w14:paraId="23427A81">
            <w:pPr>
              <w:spacing w:line="240" w:lineRule="auto"/>
              <w:ind w:firstLine="0" w:firstLineChars="0"/>
              <w:jc w:val="center"/>
              <w:rPr>
                <w:color w:val="auto"/>
                <w:sz w:val="21"/>
                <w:szCs w:val="21"/>
              </w:rPr>
            </w:pPr>
            <w:r>
              <w:rPr>
                <w:color w:val="auto"/>
                <w:sz w:val="21"/>
                <w:szCs w:val="21"/>
              </w:rPr>
              <w:t>不涉及</w:t>
            </w:r>
          </w:p>
        </w:tc>
      </w:tr>
      <w:tr w14:paraId="7EFEDB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02D40EE4">
            <w:pPr>
              <w:spacing w:line="240" w:lineRule="auto"/>
              <w:ind w:firstLine="0" w:firstLineChars="0"/>
              <w:contextualSpacing/>
              <w:jc w:val="center"/>
              <w:rPr>
                <w:color w:val="auto"/>
                <w:sz w:val="21"/>
                <w:szCs w:val="21"/>
              </w:rPr>
            </w:pPr>
            <w:r>
              <w:rPr>
                <w:rFonts w:hint="eastAsia"/>
                <w:color w:val="auto"/>
                <w:sz w:val="21"/>
                <w:szCs w:val="21"/>
              </w:rPr>
              <w:t>5</w:t>
            </w:r>
          </w:p>
        </w:tc>
        <w:tc>
          <w:tcPr>
            <w:tcW w:w="2492" w:type="pct"/>
            <w:tcBorders>
              <w:tl2br w:val="nil"/>
              <w:tr2bl w:val="nil"/>
            </w:tcBorders>
            <w:vAlign w:val="center"/>
          </w:tcPr>
          <w:p w14:paraId="1C4BEA7E">
            <w:pPr>
              <w:spacing w:line="240" w:lineRule="auto"/>
              <w:ind w:firstLine="0" w:firstLineChars="0"/>
              <w:jc w:val="center"/>
              <w:rPr>
                <w:color w:val="auto"/>
                <w:sz w:val="21"/>
                <w:szCs w:val="21"/>
              </w:rPr>
            </w:pPr>
            <w:r>
              <w:rPr>
                <w:color w:val="auto"/>
                <w:kern w:val="0"/>
                <w:sz w:val="21"/>
                <w:szCs w:val="21"/>
              </w:rPr>
              <w:t>异狄氏剂</w:t>
            </w:r>
          </w:p>
        </w:tc>
        <w:tc>
          <w:tcPr>
            <w:tcW w:w="1391" w:type="pct"/>
            <w:tcBorders>
              <w:tl2br w:val="nil"/>
              <w:tr2bl w:val="nil"/>
            </w:tcBorders>
            <w:vAlign w:val="center"/>
          </w:tcPr>
          <w:p w14:paraId="276F96F4">
            <w:pPr>
              <w:spacing w:line="240" w:lineRule="auto"/>
              <w:ind w:firstLine="0" w:firstLineChars="0"/>
              <w:jc w:val="center"/>
              <w:rPr>
                <w:color w:val="auto"/>
                <w:sz w:val="21"/>
                <w:szCs w:val="21"/>
              </w:rPr>
            </w:pPr>
            <w:r>
              <w:rPr>
                <w:color w:val="auto"/>
                <w:sz w:val="21"/>
                <w:szCs w:val="21"/>
              </w:rPr>
              <w:t>不涉及</w:t>
            </w:r>
          </w:p>
        </w:tc>
      </w:tr>
      <w:tr w14:paraId="318735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12355EDC">
            <w:pPr>
              <w:spacing w:line="240" w:lineRule="auto"/>
              <w:ind w:firstLine="0" w:firstLineChars="0"/>
              <w:contextualSpacing/>
              <w:jc w:val="center"/>
              <w:rPr>
                <w:color w:val="auto"/>
                <w:sz w:val="21"/>
                <w:szCs w:val="21"/>
              </w:rPr>
            </w:pPr>
            <w:r>
              <w:rPr>
                <w:rFonts w:hint="eastAsia"/>
                <w:color w:val="auto"/>
                <w:sz w:val="21"/>
                <w:szCs w:val="21"/>
              </w:rPr>
              <w:t>6</w:t>
            </w:r>
          </w:p>
        </w:tc>
        <w:tc>
          <w:tcPr>
            <w:tcW w:w="2492" w:type="pct"/>
            <w:tcBorders>
              <w:tl2br w:val="nil"/>
              <w:tr2bl w:val="nil"/>
            </w:tcBorders>
            <w:vAlign w:val="center"/>
          </w:tcPr>
          <w:p w14:paraId="2484EB7A">
            <w:pPr>
              <w:spacing w:line="240" w:lineRule="auto"/>
              <w:ind w:firstLine="0" w:firstLineChars="0"/>
              <w:jc w:val="center"/>
              <w:rPr>
                <w:color w:val="auto"/>
                <w:sz w:val="21"/>
                <w:szCs w:val="21"/>
              </w:rPr>
            </w:pPr>
            <w:r>
              <w:rPr>
                <w:color w:val="auto"/>
                <w:kern w:val="0"/>
                <w:sz w:val="21"/>
                <w:szCs w:val="21"/>
              </w:rPr>
              <w:t>七氯</w:t>
            </w:r>
          </w:p>
        </w:tc>
        <w:tc>
          <w:tcPr>
            <w:tcW w:w="1391" w:type="pct"/>
            <w:tcBorders>
              <w:tl2br w:val="nil"/>
              <w:tr2bl w:val="nil"/>
            </w:tcBorders>
            <w:vAlign w:val="center"/>
          </w:tcPr>
          <w:p w14:paraId="1A4A5AB9">
            <w:pPr>
              <w:spacing w:line="240" w:lineRule="auto"/>
              <w:ind w:firstLine="0" w:firstLineChars="0"/>
              <w:jc w:val="center"/>
              <w:rPr>
                <w:color w:val="auto"/>
                <w:sz w:val="21"/>
                <w:szCs w:val="21"/>
              </w:rPr>
            </w:pPr>
            <w:r>
              <w:rPr>
                <w:color w:val="auto"/>
                <w:sz w:val="21"/>
                <w:szCs w:val="21"/>
              </w:rPr>
              <w:t>不涉及</w:t>
            </w:r>
          </w:p>
        </w:tc>
      </w:tr>
      <w:tr w14:paraId="092190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2B2C0928">
            <w:pPr>
              <w:spacing w:line="240" w:lineRule="auto"/>
              <w:ind w:firstLine="0" w:firstLineChars="0"/>
              <w:contextualSpacing/>
              <w:jc w:val="center"/>
              <w:rPr>
                <w:color w:val="auto"/>
                <w:sz w:val="21"/>
                <w:szCs w:val="21"/>
              </w:rPr>
            </w:pPr>
            <w:r>
              <w:rPr>
                <w:rFonts w:hint="eastAsia"/>
                <w:color w:val="auto"/>
                <w:sz w:val="21"/>
                <w:szCs w:val="21"/>
              </w:rPr>
              <w:t>7</w:t>
            </w:r>
          </w:p>
        </w:tc>
        <w:tc>
          <w:tcPr>
            <w:tcW w:w="2492" w:type="pct"/>
            <w:tcBorders>
              <w:tl2br w:val="nil"/>
              <w:tr2bl w:val="nil"/>
            </w:tcBorders>
            <w:vAlign w:val="center"/>
          </w:tcPr>
          <w:p w14:paraId="53681162">
            <w:pPr>
              <w:spacing w:line="240" w:lineRule="auto"/>
              <w:ind w:firstLine="0" w:firstLineChars="0"/>
              <w:jc w:val="center"/>
              <w:rPr>
                <w:color w:val="auto"/>
                <w:sz w:val="21"/>
                <w:szCs w:val="21"/>
              </w:rPr>
            </w:pPr>
            <w:r>
              <w:rPr>
                <w:color w:val="auto"/>
              </w:rPr>
              <w:fldChar w:fldCharType="begin"/>
            </w:r>
            <w:r>
              <w:rPr>
                <w:color w:val="auto"/>
              </w:rPr>
              <w:instrText xml:space="preserve"> HYPERLINK "https://baike.baidu.com/item/%E7%81%AD%E8%9A%81%E7%81%B5/8688452?fromModule=lemma_inlink" \o "https://baike.baidu.com/item/%E7%81%AD%E8%9A%81%E7%81%B5/8688452?fromModule=lemma_inlink" </w:instrText>
            </w:r>
            <w:r>
              <w:rPr>
                <w:color w:val="auto"/>
              </w:rPr>
              <w:fldChar w:fldCharType="separate"/>
            </w:r>
            <w:r>
              <w:rPr>
                <w:color w:val="auto"/>
                <w:kern w:val="0"/>
                <w:sz w:val="21"/>
                <w:szCs w:val="21"/>
              </w:rPr>
              <w:t>灭蚁灵</w:t>
            </w:r>
            <w:r>
              <w:rPr>
                <w:color w:val="auto"/>
                <w:kern w:val="0"/>
                <w:sz w:val="21"/>
                <w:szCs w:val="21"/>
              </w:rPr>
              <w:fldChar w:fldCharType="end"/>
            </w:r>
          </w:p>
        </w:tc>
        <w:tc>
          <w:tcPr>
            <w:tcW w:w="1391" w:type="pct"/>
            <w:tcBorders>
              <w:tl2br w:val="nil"/>
              <w:tr2bl w:val="nil"/>
            </w:tcBorders>
            <w:vAlign w:val="center"/>
          </w:tcPr>
          <w:p w14:paraId="5A6FABE0">
            <w:pPr>
              <w:spacing w:line="240" w:lineRule="auto"/>
              <w:ind w:firstLine="0" w:firstLineChars="0"/>
              <w:jc w:val="center"/>
              <w:rPr>
                <w:color w:val="auto"/>
                <w:sz w:val="21"/>
                <w:szCs w:val="21"/>
              </w:rPr>
            </w:pPr>
            <w:r>
              <w:rPr>
                <w:color w:val="auto"/>
                <w:sz w:val="21"/>
                <w:szCs w:val="21"/>
              </w:rPr>
              <w:t>不涉及</w:t>
            </w:r>
          </w:p>
        </w:tc>
      </w:tr>
      <w:tr w14:paraId="723DFD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67C2E603">
            <w:pPr>
              <w:spacing w:line="240" w:lineRule="auto"/>
              <w:ind w:firstLine="0" w:firstLineChars="0"/>
              <w:contextualSpacing/>
              <w:jc w:val="center"/>
              <w:rPr>
                <w:color w:val="auto"/>
                <w:sz w:val="21"/>
                <w:szCs w:val="21"/>
              </w:rPr>
            </w:pPr>
            <w:r>
              <w:rPr>
                <w:rFonts w:hint="eastAsia"/>
                <w:color w:val="auto"/>
                <w:sz w:val="21"/>
                <w:szCs w:val="21"/>
              </w:rPr>
              <w:t>8</w:t>
            </w:r>
          </w:p>
        </w:tc>
        <w:tc>
          <w:tcPr>
            <w:tcW w:w="2492" w:type="pct"/>
            <w:tcBorders>
              <w:tl2br w:val="nil"/>
              <w:tr2bl w:val="nil"/>
            </w:tcBorders>
            <w:vAlign w:val="center"/>
          </w:tcPr>
          <w:p w14:paraId="3AFEE738">
            <w:pPr>
              <w:spacing w:line="240" w:lineRule="auto"/>
              <w:ind w:firstLine="0" w:firstLineChars="0"/>
              <w:jc w:val="center"/>
              <w:rPr>
                <w:color w:val="auto"/>
                <w:sz w:val="21"/>
                <w:szCs w:val="21"/>
              </w:rPr>
            </w:pPr>
            <w:r>
              <w:rPr>
                <w:color w:val="auto"/>
                <w:kern w:val="0"/>
                <w:sz w:val="21"/>
                <w:szCs w:val="21"/>
              </w:rPr>
              <w:t>毒杀芬</w:t>
            </w:r>
          </w:p>
        </w:tc>
        <w:tc>
          <w:tcPr>
            <w:tcW w:w="1391" w:type="pct"/>
            <w:tcBorders>
              <w:tl2br w:val="nil"/>
              <w:tr2bl w:val="nil"/>
            </w:tcBorders>
            <w:vAlign w:val="center"/>
          </w:tcPr>
          <w:p w14:paraId="5FF918EC">
            <w:pPr>
              <w:spacing w:line="240" w:lineRule="auto"/>
              <w:ind w:firstLine="0" w:firstLineChars="0"/>
              <w:jc w:val="center"/>
              <w:rPr>
                <w:color w:val="auto"/>
                <w:sz w:val="21"/>
                <w:szCs w:val="21"/>
              </w:rPr>
            </w:pPr>
            <w:r>
              <w:rPr>
                <w:color w:val="auto"/>
                <w:sz w:val="21"/>
                <w:szCs w:val="21"/>
              </w:rPr>
              <w:t>不涉及</w:t>
            </w:r>
          </w:p>
        </w:tc>
      </w:tr>
      <w:tr w14:paraId="3F88E2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4F3ED380">
            <w:pPr>
              <w:spacing w:line="240" w:lineRule="auto"/>
              <w:ind w:firstLine="0" w:firstLineChars="0"/>
              <w:contextualSpacing/>
              <w:jc w:val="center"/>
              <w:rPr>
                <w:color w:val="auto"/>
                <w:sz w:val="21"/>
                <w:szCs w:val="21"/>
              </w:rPr>
            </w:pPr>
            <w:r>
              <w:rPr>
                <w:rFonts w:hint="eastAsia"/>
                <w:color w:val="auto"/>
                <w:sz w:val="21"/>
                <w:szCs w:val="21"/>
              </w:rPr>
              <w:t>9</w:t>
            </w:r>
          </w:p>
        </w:tc>
        <w:tc>
          <w:tcPr>
            <w:tcW w:w="2492" w:type="pct"/>
            <w:tcBorders>
              <w:tl2br w:val="nil"/>
              <w:tr2bl w:val="nil"/>
            </w:tcBorders>
            <w:vAlign w:val="center"/>
          </w:tcPr>
          <w:p w14:paraId="3844C585">
            <w:pPr>
              <w:spacing w:line="240" w:lineRule="auto"/>
              <w:ind w:firstLine="0" w:firstLineChars="0"/>
              <w:jc w:val="center"/>
              <w:rPr>
                <w:color w:val="auto"/>
                <w:kern w:val="0"/>
                <w:sz w:val="21"/>
                <w:szCs w:val="21"/>
              </w:rPr>
            </w:pPr>
            <w:r>
              <w:rPr>
                <w:color w:val="auto"/>
                <w:kern w:val="0"/>
                <w:sz w:val="21"/>
                <w:szCs w:val="21"/>
              </w:rPr>
              <w:t>六氯代苯</w:t>
            </w:r>
          </w:p>
        </w:tc>
        <w:tc>
          <w:tcPr>
            <w:tcW w:w="1391" w:type="pct"/>
            <w:tcBorders>
              <w:tl2br w:val="nil"/>
              <w:tr2bl w:val="nil"/>
            </w:tcBorders>
            <w:vAlign w:val="center"/>
          </w:tcPr>
          <w:p w14:paraId="415A47FF">
            <w:pPr>
              <w:spacing w:line="240" w:lineRule="auto"/>
              <w:ind w:firstLine="0" w:firstLineChars="0"/>
              <w:jc w:val="center"/>
              <w:rPr>
                <w:color w:val="auto"/>
                <w:sz w:val="21"/>
                <w:szCs w:val="21"/>
              </w:rPr>
            </w:pPr>
            <w:r>
              <w:rPr>
                <w:color w:val="auto"/>
                <w:sz w:val="21"/>
                <w:szCs w:val="21"/>
              </w:rPr>
              <w:t>不涉及</w:t>
            </w:r>
          </w:p>
        </w:tc>
      </w:tr>
      <w:tr w14:paraId="353010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01725C53">
            <w:pPr>
              <w:spacing w:line="240" w:lineRule="auto"/>
              <w:ind w:firstLine="0" w:firstLineChars="0"/>
              <w:contextualSpacing/>
              <w:jc w:val="center"/>
              <w:rPr>
                <w:color w:val="auto"/>
                <w:sz w:val="21"/>
                <w:szCs w:val="21"/>
              </w:rPr>
            </w:pPr>
            <w:r>
              <w:rPr>
                <w:rFonts w:hint="eastAsia"/>
                <w:color w:val="auto"/>
                <w:sz w:val="21"/>
                <w:szCs w:val="21"/>
              </w:rPr>
              <w:t>10</w:t>
            </w:r>
          </w:p>
        </w:tc>
        <w:tc>
          <w:tcPr>
            <w:tcW w:w="2492" w:type="pct"/>
            <w:tcBorders>
              <w:tl2br w:val="nil"/>
              <w:tr2bl w:val="nil"/>
            </w:tcBorders>
            <w:vAlign w:val="center"/>
          </w:tcPr>
          <w:p w14:paraId="1B4C7AF3">
            <w:pPr>
              <w:spacing w:line="240" w:lineRule="auto"/>
              <w:ind w:firstLine="0" w:firstLineChars="0"/>
              <w:jc w:val="center"/>
              <w:rPr>
                <w:color w:val="auto"/>
                <w:sz w:val="21"/>
                <w:szCs w:val="21"/>
              </w:rPr>
            </w:pPr>
            <w:r>
              <w:rPr>
                <w:color w:val="auto"/>
                <w:kern w:val="0"/>
                <w:sz w:val="21"/>
                <w:szCs w:val="21"/>
              </w:rPr>
              <w:t>多氯联苯</w:t>
            </w:r>
          </w:p>
        </w:tc>
        <w:tc>
          <w:tcPr>
            <w:tcW w:w="1391" w:type="pct"/>
            <w:tcBorders>
              <w:tl2br w:val="nil"/>
              <w:tr2bl w:val="nil"/>
            </w:tcBorders>
            <w:vAlign w:val="center"/>
          </w:tcPr>
          <w:p w14:paraId="601588DB">
            <w:pPr>
              <w:spacing w:line="240" w:lineRule="auto"/>
              <w:ind w:firstLine="0" w:firstLineChars="0"/>
              <w:jc w:val="center"/>
              <w:rPr>
                <w:color w:val="auto"/>
                <w:sz w:val="21"/>
                <w:szCs w:val="21"/>
              </w:rPr>
            </w:pPr>
            <w:r>
              <w:rPr>
                <w:color w:val="auto"/>
                <w:sz w:val="21"/>
                <w:szCs w:val="21"/>
              </w:rPr>
              <w:t>不涉及</w:t>
            </w:r>
          </w:p>
        </w:tc>
      </w:tr>
      <w:tr w14:paraId="7E5CFF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100795F8">
            <w:pPr>
              <w:spacing w:line="240" w:lineRule="auto"/>
              <w:ind w:firstLine="0" w:firstLineChars="0"/>
              <w:contextualSpacing/>
              <w:jc w:val="center"/>
              <w:rPr>
                <w:color w:val="auto"/>
                <w:sz w:val="21"/>
                <w:szCs w:val="21"/>
              </w:rPr>
            </w:pPr>
            <w:r>
              <w:rPr>
                <w:rFonts w:hint="eastAsia"/>
                <w:color w:val="auto"/>
                <w:sz w:val="21"/>
                <w:szCs w:val="21"/>
              </w:rPr>
              <w:t>11</w:t>
            </w:r>
          </w:p>
        </w:tc>
        <w:tc>
          <w:tcPr>
            <w:tcW w:w="2492" w:type="pct"/>
            <w:tcBorders>
              <w:tl2br w:val="nil"/>
              <w:tr2bl w:val="nil"/>
            </w:tcBorders>
            <w:vAlign w:val="center"/>
          </w:tcPr>
          <w:p w14:paraId="0E111474">
            <w:pPr>
              <w:spacing w:line="240" w:lineRule="auto"/>
              <w:ind w:firstLine="0" w:firstLineChars="0"/>
              <w:jc w:val="center"/>
              <w:rPr>
                <w:color w:val="auto"/>
                <w:kern w:val="0"/>
                <w:sz w:val="21"/>
                <w:szCs w:val="21"/>
              </w:rPr>
            </w:pPr>
            <w:r>
              <w:rPr>
                <w:color w:val="auto"/>
                <w:kern w:val="0"/>
                <w:sz w:val="21"/>
                <w:szCs w:val="21"/>
              </w:rPr>
              <w:t>多氯二苯并二噁英和多氯二苯并呋喃</w:t>
            </w:r>
          </w:p>
        </w:tc>
        <w:tc>
          <w:tcPr>
            <w:tcW w:w="1391" w:type="pct"/>
            <w:tcBorders>
              <w:tl2br w:val="nil"/>
              <w:tr2bl w:val="nil"/>
            </w:tcBorders>
            <w:vAlign w:val="center"/>
          </w:tcPr>
          <w:p w14:paraId="404A52F3">
            <w:pPr>
              <w:spacing w:line="240" w:lineRule="auto"/>
              <w:ind w:firstLine="0" w:firstLineChars="0"/>
              <w:jc w:val="center"/>
              <w:rPr>
                <w:color w:val="auto"/>
                <w:sz w:val="21"/>
                <w:szCs w:val="21"/>
              </w:rPr>
            </w:pPr>
            <w:r>
              <w:rPr>
                <w:color w:val="auto"/>
                <w:sz w:val="21"/>
                <w:szCs w:val="21"/>
              </w:rPr>
              <w:t>不涉及</w:t>
            </w:r>
          </w:p>
        </w:tc>
      </w:tr>
      <w:tr w14:paraId="57D7B19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50C5BFA9">
            <w:pPr>
              <w:spacing w:line="240" w:lineRule="auto"/>
              <w:ind w:firstLine="0" w:firstLineChars="0"/>
              <w:contextualSpacing/>
              <w:jc w:val="center"/>
              <w:rPr>
                <w:color w:val="auto"/>
                <w:sz w:val="21"/>
                <w:szCs w:val="21"/>
              </w:rPr>
            </w:pPr>
            <w:r>
              <w:rPr>
                <w:rFonts w:hint="eastAsia"/>
                <w:color w:val="auto"/>
                <w:sz w:val="21"/>
                <w:szCs w:val="21"/>
              </w:rPr>
              <w:t>12</w:t>
            </w:r>
          </w:p>
        </w:tc>
        <w:tc>
          <w:tcPr>
            <w:tcW w:w="2492" w:type="pct"/>
            <w:tcBorders>
              <w:tl2br w:val="nil"/>
              <w:tr2bl w:val="nil"/>
            </w:tcBorders>
            <w:vAlign w:val="center"/>
          </w:tcPr>
          <w:p w14:paraId="4D5689A4">
            <w:pPr>
              <w:spacing w:line="240" w:lineRule="auto"/>
              <w:ind w:firstLine="0" w:firstLineChars="0"/>
              <w:jc w:val="center"/>
              <w:rPr>
                <w:color w:val="auto"/>
                <w:sz w:val="21"/>
                <w:szCs w:val="21"/>
              </w:rPr>
            </w:pPr>
            <w:r>
              <w:rPr>
                <w:color w:val="auto"/>
                <w:sz w:val="21"/>
                <w:szCs w:val="21"/>
              </w:rPr>
              <w:t>α-六氯环己烷</w:t>
            </w:r>
          </w:p>
        </w:tc>
        <w:tc>
          <w:tcPr>
            <w:tcW w:w="1391" w:type="pct"/>
            <w:tcBorders>
              <w:tl2br w:val="nil"/>
              <w:tr2bl w:val="nil"/>
            </w:tcBorders>
            <w:vAlign w:val="center"/>
          </w:tcPr>
          <w:p w14:paraId="0BEB2ADA">
            <w:pPr>
              <w:spacing w:line="240" w:lineRule="auto"/>
              <w:ind w:firstLine="0" w:firstLineChars="0"/>
              <w:jc w:val="center"/>
              <w:rPr>
                <w:color w:val="auto"/>
                <w:sz w:val="21"/>
                <w:szCs w:val="21"/>
              </w:rPr>
            </w:pPr>
            <w:r>
              <w:rPr>
                <w:color w:val="auto"/>
                <w:sz w:val="21"/>
                <w:szCs w:val="21"/>
              </w:rPr>
              <w:t>不涉及</w:t>
            </w:r>
          </w:p>
        </w:tc>
      </w:tr>
      <w:tr w14:paraId="7E81D0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08C55AEF">
            <w:pPr>
              <w:spacing w:line="240" w:lineRule="auto"/>
              <w:ind w:firstLine="0" w:firstLineChars="0"/>
              <w:contextualSpacing/>
              <w:jc w:val="center"/>
              <w:rPr>
                <w:color w:val="auto"/>
                <w:sz w:val="21"/>
                <w:szCs w:val="21"/>
              </w:rPr>
            </w:pPr>
            <w:r>
              <w:rPr>
                <w:rFonts w:hint="eastAsia"/>
                <w:color w:val="auto"/>
                <w:sz w:val="21"/>
                <w:szCs w:val="21"/>
              </w:rPr>
              <w:t>13</w:t>
            </w:r>
          </w:p>
        </w:tc>
        <w:tc>
          <w:tcPr>
            <w:tcW w:w="2492" w:type="pct"/>
            <w:tcBorders>
              <w:tl2br w:val="nil"/>
              <w:tr2bl w:val="nil"/>
            </w:tcBorders>
            <w:vAlign w:val="center"/>
          </w:tcPr>
          <w:p w14:paraId="163E2B37">
            <w:pPr>
              <w:spacing w:line="240" w:lineRule="auto"/>
              <w:ind w:firstLine="0" w:firstLineChars="0"/>
              <w:jc w:val="center"/>
              <w:rPr>
                <w:color w:val="auto"/>
                <w:sz w:val="21"/>
                <w:szCs w:val="21"/>
              </w:rPr>
            </w:pPr>
            <w:r>
              <w:rPr>
                <w:color w:val="auto"/>
                <w:sz w:val="21"/>
                <w:szCs w:val="21"/>
              </w:rPr>
              <w:t>β-六氯环己烷</w:t>
            </w:r>
          </w:p>
        </w:tc>
        <w:tc>
          <w:tcPr>
            <w:tcW w:w="1391" w:type="pct"/>
            <w:tcBorders>
              <w:tl2br w:val="nil"/>
              <w:tr2bl w:val="nil"/>
            </w:tcBorders>
            <w:vAlign w:val="center"/>
          </w:tcPr>
          <w:p w14:paraId="6A0C8CC8">
            <w:pPr>
              <w:spacing w:line="240" w:lineRule="auto"/>
              <w:ind w:firstLine="0" w:firstLineChars="0"/>
              <w:jc w:val="center"/>
              <w:rPr>
                <w:color w:val="auto"/>
                <w:sz w:val="21"/>
                <w:szCs w:val="21"/>
              </w:rPr>
            </w:pPr>
            <w:r>
              <w:rPr>
                <w:color w:val="auto"/>
                <w:sz w:val="21"/>
                <w:szCs w:val="21"/>
              </w:rPr>
              <w:t>不涉及</w:t>
            </w:r>
          </w:p>
        </w:tc>
      </w:tr>
      <w:tr w14:paraId="4E06CE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55291518">
            <w:pPr>
              <w:spacing w:line="240" w:lineRule="auto"/>
              <w:ind w:firstLine="0" w:firstLineChars="0"/>
              <w:contextualSpacing/>
              <w:jc w:val="center"/>
              <w:rPr>
                <w:color w:val="auto"/>
                <w:sz w:val="21"/>
                <w:szCs w:val="21"/>
              </w:rPr>
            </w:pPr>
            <w:r>
              <w:rPr>
                <w:rFonts w:hint="eastAsia"/>
                <w:color w:val="auto"/>
                <w:sz w:val="21"/>
                <w:szCs w:val="21"/>
              </w:rPr>
              <w:t>14</w:t>
            </w:r>
          </w:p>
        </w:tc>
        <w:tc>
          <w:tcPr>
            <w:tcW w:w="2492" w:type="pct"/>
            <w:tcBorders>
              <w:tl2br w:val="nil"/>
              <w:tr2bl w:val="nil"/>
            </w:tcBorders>
            <w:vAlign w:val="center"/>
          </w:tcPr>
          <w:p w14:paraId="241B1BF4">
            <w:pPr>
              <w:spacing w:line="240" w:lineRule="auto"/>
              <w:ind w:firstLine="0" w:firstLineChars="0"/>
              <w:jc w:val="center"/>
              <w:rPr>
                <w:color w:val="auto"/>
                <w:kern w:val="0"/>
                <w:sz w:val="21"/>
                <w:szCs w:val="21"/>
              </w:rPr>
            </w:pPr>
            <w:r>
              <w:rPr>
                <w:color w:val="auto"/>
                <w:kern w:val="0"/>
                <w:sz w:val="21"/>
                <w:szCs w:val="21"/>
              </w:rPr>
              <w:t>六溴联苯</w:t>
            </w:r>
          </w:p>
        </w:tc>
        <w:tc>
          <w:tcPr>
            <w:tcW w:w="1391" w:type="pct"/>
            <w:tcBorders>
              <w:tl2br w:val="nil"/>
              <w:tr2bl w:val="nil"/>
            </w:tcBorders>
            <w:vAlign w:val="center"/>
          </w:tcPr>
          <w:p w14:paraId="3F0C1823">
            <w:pPr>
              <w:spacing w:line="240" w:lineRule="auto"/>
              <w:ind w:firstLine="0" w:firstLineChars="0"/>
              <w:jc w:val="center"/>
              <w:rPr>
                <w:color w:val="auto"/>
                <w:sz w:val="21"/>
                <w:szCs w:val="21"/>
              </w:rPr>
            </w:pPr>
            <w:r>
              <w:rPr>
                <w:color w:val="auto"/>
                <w:sz w:val="21"/>
                <w:szCs w:val="21"/>
              </w:rPr>
              <w:t>不涉及</w:t>
            </w:r>
          </w:p>
        </w:tc>
      </w:tr>
      <w:tr w14:paraId="28BE12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763C6C1A">
            <w:pPr>
              <w:spacing w:line="240" w:lineRule="auto"/>
              <w:ind w:firstLine="0" w:firstLineChars="0"/>
              <w:contextualSpacing/>
              <w:jc w:val="center"/>
              <w:rPr>
                <w:color w:val="auto"/>
                <w:sz w:val="21"/>
                <w:szCs w:val="21"/>
              </w:rPr>
            </w:pPr>
            <w:r>
              <w:rPr>
                <w:rFonts w:hint="eastAsia"/>
                <w:color w:val="auto"/>
                <w:sz w:val="21"/>
                <w:szCs w:val="21"/>
              </w:rPr>
              <w:t>15</w:t>
            </w:r>
          </w:p>
        </w:tc>
        <w:tc>
          <w:tcPr>
            <w:tcW w:w="2492" w:type="pct"/>
            <w:tcBorders>
              <w:tl2br w:val="nil"/>
              <w:tr2bl w:val="nil"/>
            </w:tcBorders>
            <w:vAlign w:val="center"/>
          </w:tcPr>
          <w:p w14:paraId="070C08C6">
            <w:pPr>
              <w:spacing w:line="240" w:lineRule="auto"/>
              <w:ind w:firstLine="0" w:firstLineChars="0"/>
              <w:jc w:val="center"/>
              <w:rPr>
                <w:color w:val="auto"/>
                <w:kern w:val="0"/>
                <w:sz w:val="21"/>
                <w:szCs w:val="21"/>
              </w:rPr>
            </w:pPr>
            <w:r>
              <w:rPr>
                <w:color w:val="auto"/>
                <w:kern w:val="0"/>
                <w:sz w:val="21"/>
                <w:szCs w:val="21"/>
              </w:rPr>
              <w:t>林丹</w:t>
            </w:r>
          </w:p>
        </w:tc>
        <w:tc>
          <w:tcPr>
            <w:tcW w:w="1391" w:type="pct"/>
            <w:tcBorders>
              <w:tl2br w:val="nil"/>
              <w:tr2bl w:val="nil"/>
            </w:tcBorders>
            <w:vAlign w:val="center"/>
          </w:tcPr>
          <w:p w14:paraId="73B959FC">
            <w:pPr>
              <w:spacing w:line="240" w:lineRule="auto"/>
              <w:ind w:firstLine="0" w:firstLineChars="0"/>
              <w:jc w:val="center"/>
              <w:rPr>
                <w:color w:val="auto"/>
                <w:sz w:val="21"/>
                <w:szCs w:val="21"/>
              </w:rPr>
            </w:pPr>
            <w:r>
              <w:rPr>
                <w:color w:val="auto"/>
                <w:sz w:val="21"/>
                <w:szCs w:val="21"/>
              </w:rPr>
              <w:t>不涉及</w:t>
            </w:r>
          </w:p>
        </w:tc>
      </w:tr>
      <w:tr w14:paraId="2AACE1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1ED3FA91">
            <w:pPr>
              <w:spacing w:line="240" w:lineRule="auto"/>
              <w:ind w:firstLine="0" w:firstLineChars="0"/>
              <w:contextualSpacing/>
              <w:jc w:val="center"/>
              <w:rPr>
                <w:color w:val="auto"/>
                <w:sz w:val="21"/>
                <w:szCs w:val="21"/>
              </w:rPr>
            </w:pPr>
            <w:r>
              <w:rPr>
                <w:rFonts w:hint="eastAsia"/>
                <w:color w:val="auto"/>
                <w:sz w:val="21"/>
                <w:szCs w:val="21"/>
              </w:rPr>
              <w:t>16</w:t>
            </w:r>
          </w:p>
        </w:tc>
        <w:tc>
          <w:tcPr>
            <w:tcW w:w="2492" w:type="pct"/>
            <w:tcBorders>
              <w:tl2br w:val="nil"/>
              <w:tr2bl w:val="nil"/>
            </w:tcBorders>
            <w:vAlign w:val="center"/>
          </w:tcPr>
          <w:p w14:paraId="454052A9">
            <w:pPr>
              <w:spacing w:line="240" w:lineRule="auto"/>
              <w:ind w:firstLine="0" w:firstLineChars="0"/>
              <w:jc w:val="center"/>
              <w:rPr>
                <w:color w:val="auto"/>
                <w:kern w:val="0"/>
                <w:sz w:val="21"/>
                <w:szCs w:val="21"/>
              </w:rPr>
            </w:pPr>
            <w:r>
              <w:rPr>
                <w:color w:val="auto"/>
                <w:kern w:val="0"/>
                <w:sz w:val="21"/>
                <w:szCs w:val="21"/>
              </w:rPr>
              <w:t>五氯苯</w:t>
            </w:r>
          </w:p>
        </w:tc>
        <w:tc>
          <w:tcPr>
            <w:tcW w:w="1391" w:type="pct"/>
            <w:tcBorders>
              <w:tl2br w:val="nil"/>
              <w:tr2bl w:val="nil"/>
            </w:tcBorders>
            <w:vAlign w:val="center"/>
          </w:tcPr>
          <w:p w14:paraId="4FAFE9E5">
            <w:pPr>
              <w:spacing w:line="240" w:lineRule="auto"/>
              <w:ind w:firstLine="0" w:firstLineChars="0"/>
              <w:jc w:val="center"/>
              <w:rPr>
                <w:color w:val="auto"/>
                <w:sz w:val="21"/>
                <w:szCs w:val="21"/>
              </w:rPr>
            </w:pPr>
            <w:r>
              <w:rPr>
                <w:color w:val="auto"/>
                <w:sz w:val="21"/>
                <w:szCs w:val="21"/>
              </w:rPr>
              <w:t>不涉及</w:t>
            </w:r>
          </w:p>
        </w:tc>
      </w:tr>
      <w:tr w14:paraId="4C8162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45535672">
            <w:pPr>
              <w:spacing w:line="240" w:lineRule="auto"/>
              <w:ind w:firstLine="0" w:firstLineChars="0"/>
              <w:contextualSpacing/>
              <w:jc w:val="center"/>
              <w:rPr>
                <w:color w:val="auto"/>
                <w:sz w:val="21"/>
                <w:szCs w:val="21"/>
              </w:rPr>
            </w:pPr>
            <w:r>
              <w:rPr>
                <w:rFonts w:hint="eastAsia"/>
                <w:color w:val="auto"/>
                <w:sz w:val="21"/>
                <w:szCs w:val="21"/>
              </w:rPr>
              <w:t>17</w:t>
            </w:r>
          </w:p>
        </w:tc>
        <w:tc>
          <w:tcPr>
            <w:tcW w:w="2492" w:type="pct"/>
            <w:tcBorders>
              <w:tl2br w:val="nil"/>
              <w:tr2bl w:val="nil"/>
            </w:tcBorders>
            <w:vAlign w:val="center"/>
          </w:tcPr>
          <w:p w14:paraId="29282BAE">
            <w:pPr>
              <w:spacing w:line="240" w:lineRule="auto"/>
              <w:ind w:firstLine="0" w:firstLineChars="0"/>
              <w:jc w:val="center"/>
              <w:rPr>
                <w:color w:val="auto"/>
                <w:kern w:val="0"/>
                <w:sz w:val="21"/>
                <w:szCs w:val="21"/>
              </w:rPr>
            </w:pPr>
            <w:r>
              <w:rPr>
                <w:color w:val="auto"/>
                <w:kern w:val="0"/>
                <w:sz w:val="21"/>
                <w:szCs w:val="21"/>
              </w:rPr>
              <w:t>全氟辛烷磺酸及其盐类和全氟辛基磺酰氟</w:t>
            </w:r>
          </w:p>
        </w:tc>
        <w:tc>
          <w:tcPr>
            <w:tcW w:w="1391" w:type="pct"/>
            <w:tcBorders>
              <w:tl2br w:val="nil"/>
              <w:tr2bl w:val="nil"/>
            </w:tcBorders>
            <w:vAlign w:val="center"/>
          </w:tcPr>
          <w:p w14:paraId="05208B01">
            <w:pPr>
              <w:spacing w:line="240" w:lineRule="auto"/>
              <w:ind w:firstLine="0" w:firstLineChars="0"/>
              <w:jc w:val="center"/>
              <w:rPr>
                <w:color w:val="auto"/>
                <w:sz w:val="21"/>
                <w:szCs w:val="21"/>
              </w:rPr>
            </w:pPr>
            <w:r>
              <w:rPr>
                <w:color w:val="auto"/>
                <w:sz w:val="21"/>
                <w:szCs w:val="21"/>
              </w:rPr>
              <w:t>不涉及</w:t>
            </w:r>
          </w:p>
        </w:tc>
      </w:tr>
      <w:tr w14:paraId="0B9580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1AA1519D">
            <w:pPr>
              <w:spacing w:line="240" w:lineRule="auto"/>
              <w:ind w:firstLine="0" w:firstLineChars="0"/>
              <w:contextualSpacing/>
              <w:jc w:val="center"/>
              <w:rPr>
                <w:color w:val="auto"/>
                <w:sz w:val="21"/>
                <w:szCs w:val="21"/>
              </w:rPr>
            </w:pPr>
            <w:r>
              <w:rPr>
                <w:rFonts w:hint="eastAsia"/>
                <w:color w:val="auto"/>
                <w:sz w:val="21"/>
                <w:szCs w:val="21"/>
              </w:rPr>
              <w:t>18</w:t>
            </w:r>
          </w:p>
        </w:tc>
        <w:tc>
          <w:tcPr>
            <w:tcW w:w="2492" w:type="pct"/>
            <w:tcBorders>
              <w:tl2br w:val="nil"/>
              <w:tr2bl w:val="nil"/>
            </w:tcBorders>
            <w:vAlign w:val="center"/>
          </w:tcPr>
          <w:p w14:paraId="39C4BD04">
            <w:pPr>
              <w:spacing w:line="240" w:lineRule="auto"/>
              <w:ind w:firstLine="0" w:firstLineChars="0"/>
              <w:jc w:val="center"/>
              <w:rPr>
                <w:color w:val="auto"/>
                <w:kern w:val="0"/>
                <w:sz w:val="21"/>
                <w:szCs w:val="21"/>
              </w:rPr>
            </w:pPr>
            <w:r>
              <w:rPr>
                <w:color w:val="auto"/>
                <w:kern w:val="0"/>
                <w:sz w:val="21"/>
                <w:szCs w:val="21"/>
              </w:rPr>
              <w:t>十氯酮</w:t>
            </w:r>
          </w:p>
        </w:tc>
        <w:tc>
          <w:tcPr>
            <w:tcW w:w="1391" w:type="pct"/>
            <w:tcBorders>
              <w:tl2br w:val="nil"/>
              <w:tr2bl w:val="nil"/>
            </w:tcBorders>
            <w:vAlign w:val="center"/>
          </w:tcPr>
          <w:p w14:paraId="4B941925">
            <w:pPr>
              <w:spacing w:line="240" w:lineRule="auto"/>
              <w:ind w:firstLine="0" w:firstLineChars="0"/>
              <w:jc w:val="center"/>
              <w:rPr>
                <w:color w:val="auto"/>
                <w:sz w:val="21"/>
                <w:szCs w:val="21"/>
              </w:rPr>
            </w:pPr>
            <w:r>
              <w:rPr>
                <w:color w:val="auto"/>
                <w:sz w:val="21"/>
                <w:szCs w:val="21"/>
              </w:rPr>
              <w:t>不涉及</w:t>
            </w:r>
          </w:p>
        </w:tc>
      </w:tr>
      <w:tr w14:paraId="7F744B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0169C35B">
            <w:pPr>
              <w:spacing w:line="240" w:lineRule="auto"/>
              <w:ind w:firstLine="0" w:firstLineChars="0"/>
              <w:contextualSpacing/>
              <w:jc w:val="center"/>
              <w:rPr>
                <w:color w:val="auto"/>
                <w:sz w:val="21"/>
                <w:szCs w:val="21"/>
              </w:rPr>
            </w:pPr>
            <w:r>
              <w:rPr>
                <w:rFonts w:hint="eastAsia"/>
                <w:color w:val="auto"/>
                <w:sz w:val="21"/>
                <w:szCs w:val="21"/>
              </w:rPr>
              <w:t>19</w:t>
            </w:r>
          </w:p>
        </w:tc>
        <w:tc>
          <w:tcPr>
            <w:tcW w:w="2492" w:type="pct"/>
            <w:tcBorders>
              <w:tl2br w:val="nil"/>
              <w:tr2bl w:val="nil"/>
            </w:tcBorders>
            <w:vAlign w:val="center"/>
          </w:tcPr>
          <w:p w14:paraId="5178388C">
            <w:pPr>
              <w:spacing w:line="240" w:lineRule="auto"/>
              <w:ind w:firstLine="0" w:firstLineChars="0"/>
              <w:jc w:val="center"/>
              <w:rPr>
                <w:color w:val="auto"/>
                <w:kern w:val="0"/>
                <w:sz w:val="21"/>
                <w:szCs w:val="21"/>
              </w:rPr>
            </w:pPr>
            <w:r>
              <w:rPr>
                <w:color w:val="auto"/>
                <w:kern w:val="0"/>
                <w:sz w:val="21"/>
                <w:szCs w:val="21"/>
              </w:rPr>
              <w:t>四溴二苯醚和五溴二苯醚</w:t>
            </w:r>
          </w:p>
        </w:tc>
        <w:tc>
          <w:tcPr>
            <w:tcW w:w="1391" w:type="pct"/>
            <w:tcBorders>
              <w:tl2br w:val="nil"/>
              <w:tr2bl w:val="nil"/>
            </w:tcBorders>
            <w:vAlign w:val="center"/>
          </w:tcPr>
          <w:p w14:paraId="0C1E3F6F">
            <w:pPr>
              <w:spacing w:line="240" w:lineRule="auto"/>
              <w:ind w:firstLine="0" w:firstLineChars="0"/>
              <w:jc w:val="center"/>
              <w:rPr>
                <w:color w:val="auto"/>
                <w:sz w:val="21"/>
                <w:szCs w:val="21"/>
              </w:rPr>
            </w:pPr>
            <w:r>
              <w:rPr>
                <w:color w:val="auto"/>
                <w:sz w:val="21"/>
                <w:szCs w:val="21"/>
              </w:rPr>
              <w:t>不涉及</w:t>
            </w:r>
          </w:p>
        </w:tc>
      </w:tr>
      <w:tr w14:paraId="3CC6D8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2B8E014C">
            <w:pPr>
              <w:spacing w:line="240" w:lineRule="auto"/>
              <w:ind w:firstLine="0" w:firstLineChars="0"/>
              <w:contextualSpacing/>
              <w:jc w:val="center"/>
              <w:rPr>
                <w:color w:val="auto"/>
                <w:sz w:val="21"/>
                <w:szCs w:val="21"/>
              </w:rPr>
            </w:pPr>
            <w:r>
              <w:rPr>
                <w:rFonts w:hint="eastAsia"/>
                <w:color w:val="auto"/>
                <w:sz w:val="21"/>
                <w:szCs w:val="21"/>
              </w:rPr>
              <w:t>20</w:t>
            </w:r>
          </w:p>
        </w:tc>
        <w:tc>
          <w:tcPr>
            <w:tcW w:w="2492" w:type="pct"/>
            <w:tcBorders>
              <w:tl2br w:val="nil"/>
              <w:tr2bl w:val="nil"/>
            </w:tcBorders>
            <w:vAlign w:val="center"/>
          </w:tcPr>
          <w:p w14:paraId="01D48F10">
            <w:pPr>
              <w:spacing w:line="240" w:lineRule="auto"/>
              <w:ind w:firstLine="0" w:firstLineChars="0"/>
              <w:jc w:val="center"/>
              <w:rPr>
                <w:color w:val="auto"/>
                <w:kern w:val="0"/>
                <w:sz w:val="21"/>
                <w:szCs w:val="21"/>
              </w:rPr>
            </w:pPr>
            <w:r>
              <w:rPr>
                <w:color w:val="auto"/>
                <w:kern w:val="0"/>
                <w:sz w:val="21"/>
                <w:szCs w:val="21"/>
              </w:rPr>
              <w:t>六溴二苯醚和七溴二苯醚</w:t>
            </w:r>
          </w:p>
        </w:tc>
        <w:tc>
          <w:tcPr>
            <w:tcW w:w="1391" w:type="pct"/>
            <w:tcBorders>
              <w:tl2br w:val="nil"/>
              <w:tr2bl w:val="nil"/>
            </w:tcBorders>
            <w:vAlign w:val="center"/>
          </w:tcPr>
          <w:p w14:paraId="5281131B">
            <w:pPr>
              <w:spacing w:line="240" w:lineRule="auto"/>
              <w:ind w:firstLine="0" w:firstLineChars="0"/>
              <w:jc w:val="center"/>
              <w:rPr>
                <w:color w:val="auto"/>
                <w:sz w:val="21"/>
                <w:szCs w:val="21"/>
              </w:rPr>
            </w:pPr>
            <w:r>
              <w:rPr>
                <w:color w:val="auto"/>
                <w:sz w:val="21"/>
                <w:szCs w:val="21"/>
              </w:rPr>
              <w:t>不涉及</w:t>
            </w:r>
          </w:p>
        </w:tc>
      </w:tr>
      <w:tr w14:paraId="5904A4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33779008">
            <w:pPr>
              <w:spacing w:line="240" w:lineRule="auto"/>
              <w:ind w:firstLine="0" w:firstLineChars="0"/>
              <w:contextualSpacing/>
              <w:jc w:val="center"/>
              <w:rPr>
                <w:color w:val="auto"/>
                <w:sz w:val="21"/>
                <w:szCs w:val="21"/>
              </w:rPr>
            </w:pPr>
            <w:r>
              <w:rPr>
                <w:rFonts w:hint="eastAsia"/>
                <w:color w:val="auto"/>
                <w:sz w:val="21"/>
                <w:szCs w:val="21"/>
              </w:rPr>
              <w:t>21</w:t>
            </w:r>
          </w:p>
        </w:tc>
        <w:tc>
          <w:tcPr>
            <w:tcW w:w="2492" w:type="pct"/>
            <w:tcBorders>
              <w:tl2br w:val="nil"/>
              <w:tr2bl w:val="nil"/>
            </w:tcBorders>
            <w:vAlign w:val="center"/>
          </w:tcPr>
          <w:p w14:paraId="0CDD43CC">
            <w:pPr>
              <w:spacing w:line="240" w:lineRule="auto"/>
              <w:ind w:firstLine="0" w:firstLineChars="0"/>
              <w:jc w:val="center"/>
              <w:rPr>
                <w:color w:val="auto"/>
                <w:kern w:val="0"/>
                <w:sz w:val="21"/>
                <w:szCs w:val="21"/>
              </w:rPr>
            </w:pPr>
            <w:r>
              <w:rPr>
                <w:color w:val="auto"/>
                <w:kern w:val="0"/>
                <w:sz w:val="21"/>
                <w:szCs w:val="21"/>
              </w:rPr>
              <w:t>商用十溴二苯醚中的十溴二苯醚</w:t>
            </w:r>
          </w:p>
        </w:tc>
        <w:tc>
          <w:tcPr>
            <w:tcW w:w="1391" w:type="pct"/>
            <w:tcBorders>
              <w:tl2br w:val="nil"/>
              <w:tr2bl w:val="nil"/>
            </w:tcBorders>
            <w:vAlign w:val="center"/>
          </w:tcPr>
          <w:p w14:paraId="1F7EA820">
            <w:pPr>
              <w:spacing w:line="240" w:lineRule="auto"/>
              <w:ind w:firstLine="0" w:firstLineChars="0"/>
              <w:jc w:val="center"/>
              <w:rPr>
                <w:color w:val="auto"/>
                <w:sz w:val="21"/>
                <w:szCs w:val="21"/>
              </w:rPr>
            </w:pPr>
            <w:r>
              <w:rPr>
                <w:color w:val="auto"/>
                <w:sz w:val="21"/>
                <w:szCs w:val="21"/>
              </w:rPr>
              <w:t>不涉及</w:t>
            </w:r>
          </w:p>
        </w:tc>
      </w:tr>
      <w:tr w14:paraId="120953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221DEFD0">
            <w:pPr>
              <w:spacing w:line="240" w:lineRule="auto"/>
              <w:ind w:firstLine="0" w:firstLineChars="0"/>
              <w:contextualSpacing/>
              <w:jc w:val="center"/>
              <w:rPr>
                <w:color w:val="auto"/>
                <w:sz w:val="21"/>
                <w:szCs w:val="21"/>
              </w:rPr>
            </w:pPr>
            <w:r>
              <w:rPr>
                <w:rFonts w:hint="eastAsia"/>
                <w:color w:val="auto"/>
                <w:sz w:val="21"/>
                <w:szCs w:val="21"/>
              </w:rPr>
              <w:t>22</w:t>
            </w:r>
          </w:p>
        </w:tc>
        <w:tc>
          <w:tcPr>
            <w:tcW w:w="2492" w:type="pct"/>
            <w:tcBorders>
              <w:tl2br w:val="nil"/>
              <w:tr2bl w:val="nil"/>
            </w:tcBorders>
            <w:vAlign w:val="center"/>
          </w:tcPr>
          <w:p w14:paraId="7185B9C1">
            <w:pPr>
              <w:spacing w:line="240" w:lineRule="auto"/>
              <w:ind w:firstLine="0" w:firstLineChars="0"/>
              <w:jc w:val="center"/>
              <w:rPr>
                <w:color w:val="auto"/>
                <w:kern w:val="0"/>
                <w:sz w:val="21"/>
                <w:szCs w:val="21"/>
              </w:rPr>
            </w:pPr>
            <w:r>
              <w:rPr>
                <w:color w:val="auto"/>
                <w:kern w:val="0"/>
                <w:sz w:val="21"/>
                <w:szCs w:val="21"/>
              </w:rPr>
              <w:t>硫丹</w:t>
            </w:r>
          </w:p>
        </w:tc>
        <w:tc>
          <w:tcPr>
            <w:tcW w:w="1391" w:type="pct"/>
            <w:tcBorders>
              <w:tl2br w:val="nil"/>
              <w:tr2bl w:val="nil"/>
            </w:tcBorders>
            <w:vAlign w:val="center"/>
          </w:tcPr>
          <w:p w14:paraId="32340DFC">
            <w:pPr>
              <w:spacing w:line="240" w:lineRule="auto"/>
              <w:ind w:firstLine="0" w:firstLineChars="0"/>
              <w:jc w:val="center"/>
              <w:rPr>
                <w:color w:val="auto"/>
                <w:sz w:val="21"/>
                <w:szCs w:val="21"/>
              </w:rPr>
            </w:pPr>
            <w:r>
              <w:rPr>
                <w:color w:val="auto"/>
                <w:sz w:val="21"/>
                <w:szCs w:val="21"/>
              </w:rPr>
              <w:t>不涉及</w:t>
            </w:r>
          </w:p>
        </w:tc>
      </w:tr>
      <w:tr w14:paraId="65B5B2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0AD6AA8E">
            <w:pPr>
              <w:spacing w:line="240" w:lineRule="auto"/>
              <w:ind w:firstLine="0" w:firstLineChars="0"/>
              <w:contextualSpacing/>
              <w:jc w:val="center"/>
              <w:rPr>
                <w:color w:val="auto"/>
                <w:sz w:val="21"/>
                <w:szCs w:val="21"/>
              </w:rPr>
            </w:pPr>
            <w:r>
              <w:rPr>
                <w:rFonts w:hint="eastAsia"/>
                <w:color w:val="auto"/>
                <w:sz w:val="21"/>
                <w:szCs w:val="21"/>
              </w:rPr>
              <w:t>23</w:t>
            </w:r>
          </w:p>
        </w:tc>
        <w:tc>
          <w:tcPr>
            <w:tcW w:w="2492" w:type="pct"/>
            <w:tcBorders>
              <w:tl2br w:val="nil"/>
              <w:tr2bl w:val="nil"/>
            </w:tcBorders>
            <w:vAlign w:val="center"/>
          </w:tcPr>
          <w:p w14:paraId="6859BFC2">
            <w:pPr>
              <w:spacing w:line="240" w:lineRule="auto"/>
              <w:ind w:firstLine="0" w:firstLineChars="0"/>
              <w:jc w:val="center"/>
              <w:rPr>
                <w:color w:val="auto"/>
                <w:kern w:val="0"/>
                <w:sz w:val="21"/>
                <w:szCs w:val="21"/>
              </w:rPr>
            </w:pPr>
            <w:r>
              <w:rPr>
                <w:color w:val="auto"/>
                <w:kern w:val="0"/>
                <w:sz w:val="21"/>
                <w:szCs w:val="21"/>
              </w:rPr>
              <w:t>六溴环十二烷</w:t>
            </w:r>
          </w:p>
        </w:tc>
        <w:tc>
          <w:tcPr>
            <w:tcW w:w="1391" w:type="pct"/>
            <w:tcBorders>
              <w:tl2br w:val="nil"/>
              <w:tr2bl w:val="nil"/>
            </w:tcBorders>
            <w:vAlign w:val="center"/>
          </w:tcPr>
          <w:p w14:paraId="561E5BD4">
            <w:pPr>
              <w:spacing w:line="240" w:lineRule="auto"/>
              <w:ind w:firstLine="0" w:firstLineChars="0"/>
              <w:jc w:val="center"/>
              <w:rPr>
                <w:color w:val="auto"/>
                <w:sz w:val="21"/>
                <w:szCs w:val="21"/>
              </w:rPr>
            </w:pPr>
            <w:r>
              <w:rPr>
                <w:color w:val="auto"/>
                <w:sz w:val="21"/>
                <w:szCs w:val="21"/>
              </w:rPr>
              <w:t>不涉及</w:t>
            </w:r>
          </w:p>
        </w:tc>
      </w:tr>
      <w:tr w14:paraId="0E6E84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068DB437">
            <w:pPr>
              <w:spacing w:line="240" w:lineRule="auto"/>
              <w:ind w:firstLine="0" w:firstLineChars="0"/>
              <w:contextualSpacing/>
              <w:jc w:val="center"/>
              <w:rPr>
                <w:color w:val="auto"/>
                <w:sz w:val="21"/>
                <w:szCs w:val="21"/>
              </w:rPr>
            </w:pPr>
            <w:r>
              <w:rPr>
                <w:rFonts w:hint="eastAsia"/>
                <w:color w:val="auto"/>
                <w:sz w:val="21"/>
                <w:szCs w:val="21"/>
              </w:rPr>
              <w:t>24</w:t>
            </w:r>
          </w:p>
        </w:tc>
        <w:tc>
          <w:tcPr>
            <w:tcW w:w="2492" w:type="pct"/>
            <w:tcBorders>
              <w:tl2br w:val="nil"/>
              <w:tr2bl w:val="nil"/>
            </w:tcBorders>
            <w:vAlign w:val="center"/>
          </w:tcPr>
          <w:p w14:paraId="0547620C">
            <w:pPr>
              <w:spacing w:line="240" w:lineRule="auto"/>
              <w:ind w:firstLine="0" w:firstLineChars="0"/>
              <w:jc w:val="center"/>
              <w:rPr>
                <w:color w:val="auto"/>
                <w:kern w:val="0"/>
                <w:sz w:val="21"/>
                <w:szCs w:val="21"/>
              </w:rPr>
            </w:pPr>
            <w:r>
              <w:rPr>
                <w:color w:val="auto"/>
                <w:kern w:val="0"/>
                <w:sz w:val="21"/>
                <w:szCs w:val="21"/>
              </w:rPr>
              <w:t>多氯萘</w:t>
            </w:r>
          </w:p>
        </w:tc>
        <w:tc>
          <w:tcPr>
            <w:tcW w:w="1391" w:type="pct"/>
            <w:tcBorders>
              <w:tl2br w:val="nil"/>
              <w:tr2bl w:val="nil"/>
            </w:tcBorders>
            <w:vAlign w:val="center"/>
          </w:tcPr>
          <w:p w14:paraId="1E892574">
            <w:pPr>
              <w:spacing w:line="240" w:lineRule="auto"/>
              <w:ind w:firstLine="0" w:firstLineChars="0"/>
              <w:jc w:val="center"/>
              <w:rPr>
                <w:color w:val="auto"/>
                <w:sz w:val="21"/>
                <w:szCs w:val="21"/>
              </w:rPr>
            </w:pPr>
            <w:r>
              <w:rPr>
                <w:color w:val="auto"/>
                <w:sz w:val="21"/>
                <w:szCs w:val="21"/>
              </w:rPr>
              <w:t>不涉及</w:t>
            </w:r>
          </w:p>
        </w:tc>
      </w:tr>
      <w:tr w14:paraId="0CA08A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40D8F0F3">
            <w:pPr>
              <w:spacing w:line="240" w:lineRule="auto"/>
              <w:ind w:firstLine="0" w:firstLineChars="0"/>
              <w:contextualSpacing/>
              <w:jc w:val="center"/>
              <w:rPr>
                <w:color w:val="auto"/>
                <w:sz w:val="21"/>
                <w:szCs w:val="21"/>
              </w:rPr>
            </w:pPr>
            <w:r>
              <w:rPr>
                <w:rFonts w:hint="eastAsia"/>
                <w:color w:val="auto"/>
                <w:sz w:val="21"/>
                <w:szCs w:val="21"/>
              </w:rPr>
              <w:t>25</w:t>
            </w:r>
          </w:p>
        </w:tc>
        <w:tc>
          <w:tcPr>
            <w:tcW w:w="2492" w:type="pct"/>
            <w:tcBorders>
              <w:tl2br w:val="nil"/>
              <w:tr2bl w:val="nil"/>
            </w:tcBorders>
            <w:vAlign w:val="center"/>
          </w:tcPr>
          <w:p w14:paraId="5DA07C35">
            <w:pPr>
              <w:spacing w:line="240" w:lineRule="auto"/>
              <w:ind w:firstLine="0" w:firstLineChars="0"/>
              <w:jc w:val="center"/>
              <w:rPr>
                <w:color w:val="auto"/>
                <w:kern w:val="0"/>
                <w:sz w:val="21"/>
                <w:szCs w:val="21"/>
              </w:rPr>
            </w:pPr>
            <w:r>
              <w:rPr>
                <w:color w:val="auto"/>
                <w:kern w:val="0"/>
                <w:sz w:val="21"/>
                <w:szCs w:val="21"/>
              </w:rPr>
              <w:t>三氯杀螨醇</w:t>
            </w:r>
          </w:p>
        </w:tc>
        <w:tc>
          <w:tcPr>
            <w:tcW w:w="1391" w:type="pct"/>
            <w:tcBorders>
              <w:tl2br w:val="nil"/>
              <w:tr2bl w:val="nil"/>
            </w:tcBorders>
            <w:vAlign w:val="center"/>
          </w:tcPr>
          <w:p w14:paraId="70C9E69A">
            <w:pPr>
              <w:spacing w:line="240" w:lineRule="auto"/>
              <w:ind w:firstLine="0" w:firstLineChars="0"/>
              <w:jc w:val="center"/>
              <w:rPr>
                <w:color w:val="auto"/>
                <w:sz w:val="21"/>
                <w:szCs w:val="21"/>
              </w:rPr>
            </w:pPr>
            <w:r>
              <w:rPr>
                <w:color w:val="auto"/>
                <w:sz w:val="21"/>
                <w:szCs w:val="21"/>
              </w:rPr>
              <w:t>不涉及</w:t>
            </w:r>
          </w:p>
        </w:tc>
      </w:tr>
      <w:tr w14:paraId="5A7A20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05F2C62A">
            <w:pPr>
              <w:spacing w:line="240" w:lineRule="auto"/>
              <w:ind w:firstLine="0" w:firstLineChars="0"/>
              <w:contextualSpacing/>
              <w:jc w:val="center"/>
              <w:rPr>
                <w:color w:val="auto"/>
                <w:sz w:val="21"/>
                <w:szCs w:val="21"/>
              </w:rPr>
            </w:pPr>
            <w:r>
              <w:rPr>
                <w:rFonts w:hint="eastAsia"/>
                <w:color w:val="auto"/>
                <w:sz w:val="21"/>
                <w:szCs w:val="21"/>
              </w:rPr>
              <w:t>26</w:t>
            </w:r>
          </w:p>
        </w:tc>
        <w:tc>
          <w:tcPr>
            <w:tcW w:w="2492" w:type="pct"/>
            <w:tcBorders>
              <w:tl2br w:val="nil"/>
              <w:tr2bl w:val="nil"/>
            </w:tcBorders>
            <w:vAlign w:val="center"/>
          </w:tcPr>
          <w:p w14:paraId="4DA8E8E9">
            <w:pPr>
              <w:spacing w:line="240" w:lineRule="auto"/>
              <w:ind w:firstLine="0" w:firstLineChars="0"/>
              <w:jc w:val="center"/>
              <w:rPr>
                <w:color w:val="auto"/>
                <w:kern w:val="0"/>
                <w:sz w:val="21"/>
                <w:szCs w:val="21"/>
              </w:rPr>
            </w:pPr>
            <w:r>
              <w:rPr>
                <w:color w:val="auto"/>
                <w:kern w:val="0"/>
                <w:sz w:val="21"/>
                <w:szCs w:val="21"/>
              </w:rPr>
              <w:t>全氟辛酸及其盐类和相关化合物</w:t>
            </w:r>
          </w:p>
        </w:tc>
        <w:tc>
          <w:tcPr>
            <w:tcW w:w="1391" w:type="pct"/>
            <w:tcBorders>
              <w:tl2br w:val="nil"/>
              <w:tr2bl w:val="nil"/>
            </w:tcBorders>
            <w:vAlign w:val="center"/>
          </w:tcPr>
          <w:p w14:paraId="63FC2090">
            <w:pPr>
              <w:spacing w:line="240" w:lineRule="auto"/>
              <w:ind w:firstLine="0" w:firstLineChars="0"/>
              <w:jc w:val="center"/>
              <w:rPr>
                <w:color w:val="auto"/>
                <w:sz w:val="21"/>
                <w:szCs w:val="21"/>
              </w:rPr>
            </w:pPr>
            <w:r>
              <w:rPr>
                <w:color w:val="auto"/>
                <w:sz w:val="21"/>
                <w:szCs w:val="21"/>
              </w:rPr>
              <w:t>不涉及</w:t>
            </w:r>
          </w:p>
        </w:tc>
      </w:tr>
      <w:tr w14:paraId="4A349E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1A2CC0EF">
            <w:pPr>
              <w:spacing w:line="240" w:lineRule="auto"/>
              <w:ind w:firstLine="0" w:firstLineChars="0"/>
              <w:contextualSpacing/>
              <w:jc w:val="center"/>
              <w:rPr>
                <w:color w:val="auto"/>
                <w:sz w:val="21"/>
                <w:szCs w:val="21"/>
              </w:rPr>
            </w:pPr>
            <w:r>
              <w:rPr>
                <w:rFonts w:hint="eastAsia"/>
                <w:color w:val="auto"/>
                <w:sz w:val="21"/>
                <w:szCs w:val="21"/>
              </w:rPr>
              <w:t>27</w:t>
            </w:r>
          </w:p>
        </w:tc>
        <w:tc>
          <w:tcPr>
            <w:tcW w:w="2492" w:type="pct"/>
            <w:tcBorders>
              <w:tl2br w:val="nil"/>
              <w:tr2bl w:val="nil"/>
            </w:tcBorders>
            <w:vAlign w:val="center"/>
          </w:tcPr>
          <w:p w14:paraId="41F2505D">
            <w:pPr>
              <w:spacing w:line="240" w:lineRule="auto"/>
              <w:ind w:firstLine="0" w:firstLineChars="0"/>
              <w:jc w:val="center"/>
              <w:rPr>
                <w:color w:val="auto"/>
                <w:kern w:val="0"/>
                <w:sz w:val="21"/>
                <w:szCs w:val="21"/>
              </w:rPr>
            </w:pPr>
            <w:r>
              <w:rPr>
                <w:color w:val="auto"/>
                <w:kern w:val="0"/>
                <w:sz w:val="21"/>
                <w:szCs w:val="21"/>
              </w:rPr>
              <w:t>六氯丁二烯</w:t>
            </w:r>
          </w:p>
        </w:tc>
        <w:tc>
          <w:tcPr>
            <w:tcW w:w="1391" w:type="pct"/>
            <w:tcBorders>
              <w:tl2br w:val="nil"/>
              <w:tr2bl w:val="nil"/>
            </w:tcBorders>
            <w:vAlign w:val="center"/>
          </w:tcPr>
          <w:p w14:paraId="0801DAD4">
            <w:pPr>
              <w:spacing w:line="240" w:lineRule="auto"/>
              <w:ind w:firstLine="0" w:firstLineChars="0"/>
              <w:jc w:val="center"/>
              <w:rPr>
                <w:color w:val="auto"/>
                <w:sz w:val="21"/>
                <w:szCs w:val="21"/>
              </w:rPr>
            </w:pPr>
            <w:r>
              <w:rPr>
                <w:color w:val="auto"/>
                <w:sz w:val="21"/>
                <w:szCs w:val="21"/>
              </w:rPr>
              <w:t>不涉及</w:t>
            </w:r>
          </w:p>
        </w:tc>
      </w:tr>
      <w:tr w14:paraId="34081C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5FBA29BF">
            <w:pPr>
              <w:spacing w:line="240" w:lineRule="auto"/>
              <w:ind w:firstLine="0" w:firstLineChars="0"/>
              <w:contextualSpacing/>
              <w:jc w:val="center"/>
              <w:rPr>
                <w:color w:val="auto"/>
                <w:sz w:val="21"/>
                <w:szCs w:val="21"/>
              </w:rPr>
            </w:pPr>
            <w:r>
              <w:rPr>
                <w:rFonts w:hint="eastAsia"/>
                <w:color w:val="auto"/>
                <w:sz w:val="21"/>
                <w:szCs w:val="21"/>
              </w:rPr>
              <w:t>28</w:t>
            </w:r>
          </w:p>
        </w:tc>
        <w:tc>
          <w:tcPr>
            <w:tcW w:w="2492" w:type="pct"/>
            <w:tcBorders>
              <w:tl2br w:val="nil"/>
              <w:tr2bl w:val="nil"/>
            </w:tcBorders>
            <w:vAlign w:val="center"/>
          </w:tcPr>
          <w:p w14:paraId="03E07EF9">
            <w:pPr>
              <w:spacing w:line="240" w:lineRule="auto"/>
              <w:ind w:firstLine="0" w:firstLineChars="0"/>
              <w:jc w:val="center"/>
              <w:rPr>
                <w:color w:val="auto"/>
                <w:kern w:val="0"/>
                <w:sz w:val="21"/>
                <w:szCs w:val="21"/>
              </w:rPr>
            </w:pPr>
            <w:r>
              <w:rPr>
                <w:color w:val="auto"/>
                <w:kern w:val="0"/>
                <w:sz w:val="21"/>
                <w:szCs w:val="21"/>
              </w:rPr>
              <w:t>五氯苯酚及其盐类和酯类</w:t>
            </w:r>
          </w:p>
        </w:tc>
        <w:tc>
          <w:tcPr>
            <w:tcW w:w="1391" w:type="pct"/>
            <w:tcBorders>
              <w:tl2br w:val="nil"/>
              <w:tr2bl w:val="nil"/>
            </w:tcBorders>
            <w:vAlign w:val="center"/>
          </w:tcPr>
          <w:p w14:paraId="5673D03A">
            <w:pPr>
              <w:spacing w:line="240" w:lineRule="auto"/>
              <w:ind w:firstLine="0" w:firstLineChars="0"/>
              <w:jc w:val="center"/>
              <w:rPr>
                <w:color w:val="auto"/>
                <w:sz w:val="21"/>
                <w:szCs w:val="21"/>
              </w:rPr>
            </w:pPr>
            <w:r>
              <w:rPr>
                <w:color w:val="auto"/>
                <w:sz w:val="21"/>
                <w:szCs w:val="21"/>
              </w:rPr>
              <w:t>不涉及</w:t>
            </w:r>
          </w:p>
        </w:tc>
      </w:tr>
      <w:tr w14:paraId="1FD95F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15" w:type="pct"/>
            <w:tcBorders>
              <w:tl2br w:val="nil"/>
              <w:tr2bl w:val="nil"/>
            </w:tcBorders>
            <w:vAlign w:val="center"/>
          </w:tcPr>
          <w:p w14:paraId="363F4B58">
            <w:pPr>
              <w:spacing w:line="240" w:lineRule="auto"/>
              <w:ind w:firstLine="0" w:firstLineChars="0"/>
              <w:contextualSpacing/>
              <w:jc w:val="center"/>
              <w:rPr>
                <w:color w:val="auto"/>
                <w:sz w:val="21"/>
                <w:szCs w:val="21"/>
              </w:rPr>
            </w:pPr>
            <w:r>
              <w:rPr>
                <w:rFonts w:hint="eastAsia"/>
                <w:color w:val="auto"/>
                <w:sz w:val="21"/>
                <w:szCs w:val="21"/>
              </w:rPr>
              <w:t>29</w:t>
            </w:r>
          </w:p>
        </w:tc>
        <w:tc>
          <w:tcPr>
            <w:tcW w:w="2492" w:type="pct"/>
            <w:tcBorders>
              <w:tl2br w:val="nil"/>
              <w:tr2bl w:val="nil"/>
            </w:tcBorders>
            <w:vAlign w:val="center"/>
          </w:tcPr>
          <w:p w14:paraId="353A364D">
            <w:pPr>
              <w:spacing w:line="240" w:lineRule="auto"/>
              <w:ind w:firstLine="0" w:firstLineChars="0"/>
              <w:jc w:val="center"/>
              <w:rPr>
                <w:color w:val="auto"/>
                <w:kern w:val="0"/>
                <w:sz w:val="21"/>
                <w:szCs w:val="21"/>
              </w:rPr>
            </w:pPr>
            <w:r>
              <w:rPr>
                <w:color w:val="auto"/>
                <w:kern w:val="0"/>
                <w:sz w:val="21"/>
                <w:szCs w:val="21"/>
              </w:rPr>
              <w:t>短链氯化石蜡</w:t>
            </w:r>
          </w:p>
        </w:tc>
        <w:tc>
          <w:tcPr>
            <w:tcW w:w="1391" w:type="pct"/>
            <w:tcBorders>
              <w:tl2br w:val="nil"/>
              <w:tr2bl w:val="nil"/>
            </w:tcBorders>
            <w:vAlign w:val="center"/>
          </w:tcPr>
          <w:p w14:paraId="1541FED1">
            <w:pPr>
              <w:spacing w:line="240" w:lineRule="auto"/>
              <w:ind w:firstLine="0" w:firstLineChars="0"/>
              <w:jc w:val="center"/>
              <w:rPr>
                <w:color w:val="auto"/>
                <w:sz w:val="21"/>
                <w:szCs w:val="21"/>
              </w:rPr>
            </w:pPr>
            <w:r>
              <w:rPr>
                <w:color w:val="auto"/>
                <w:sz w:val="21"/>
                <w:szCs w:val="21"/>
              </w:rPr>
              <w:t>不涉及</w:t>
            </w:r>
          </w:p>
        </w:tc>
      </w:tr>
    </w:tbl>
    <w:p w14:paraId="0B0F12D5">
      <w:pPr>
        <w:ind w:firstLine="480"/>
        <w:rPr>
          <w:bCs/>
          <w:color w:val="auto"/>
          <w:szCs w:val="22"/>
        </w:rPr>
        <w:sectPr>
          <w:footerReference r:id="rId6" w:type="default"/>
          <w:pgSz w:w="11906" w:h="16838"/>
          <w:pgMar w:top="1134" w:right="1134" w:bottom="1134" w:left="1134" w:header="851" w:footer="992" w:gutter="0"/>
          <w:pgNumType w:start="1"/>
          <w:cols w:space="425" w:num="1"/>
          <w:docGrid w:type="lines" w:linePitch="312" w:charSpace="0"/>
        </w:sectPr>
      </w:pPr>
      <w:r>
        <w:rPr>
          <w:rFonts w:hint="eastAsia"/>
          <w:bCs/>
          <w:color w:val="auto"/>
          <w:szCs w:val="22"/>
        </w:rPr>
        <w:t>综上</w:t>
      </w:r>
      <w:r>
        <w:rPr>
          <w:bCs/>
          <w:color w:val="auto"/>
          <w:szCs w:val="22"/>
        </w:rPr>
        <w:t>，</w:t>
      </w:r>
      <w:r>
        <w:rPr>
          <w:rFonts w:hint="eastAsia"/>
          <w:bCs/>
          <w:color w:val="auto"/>
          <w:szCs w:val="22"/>
        </w:rPr>
        <w:t>拟建</w:t>
      </w:r>
      <w:r>
        <w:rPr>
          <w:bCs/>
          <w:color w:val="auto"/>
          <w:szCs w:val="22"/>
        </w:rPr>
        <w:t>项目</w:t>
      </w:r>
      <w:r>
        <w:rPr>
          <w:rFonts w:hint="eastAsia"/>
          <w:bCs/>
          <w:color w:val="auto"/>
          <w:szCs w:val="22"/>
        </w:rPr>
        <w:t>不</w:t>
      </w:r>
      <w:r>
        <w:rPr>
          <w:bCs/>
          <w:color w:val="auto"/>
          <w:szCs w:val="22"/>
        </w:rPr>
        <w:t>涉及《关于加强重点行业涉新污染物建设项目环境影响评价工作的意见》中提及的新污染物。</w:t>
      </w:r>
    </w:p>
    <w:p w14:paraId="1ED3CC71">
      <w:pPr>
        <w:keepNext/>
        <w:keepLines/>
        <w:numPr>
          <w:ilvl w:val="0"/>
          <w:numId w:val="1"/>
        </w:numPr>
        <w:spacing w:before="312" w:beforeLines="100" w:after="312" w:afterLines="100" w:line="460" w:lineRule="exact"/>
        <w:ind w:left="0" w:firstLine="0" w:firstLineChars="0"/>
        <w:outlineLvl w:val="0"/>
        <w:rPr>
          <w:rFonts w:hint="eastAsia" w:ascii="宋体" w:hAnsi="宋体" w:cs="宋体"/>
          <w:b/>
          <w:bCs/>
          <w:color w:val="auto"/>
          <w:kern w:val="44"/>
          <w:sz w:val="32"/>
          <w:szCs w:val="44"/>
        </w:rPr>
      </w:pPr>
      <w:bookmarkStart w:id="23" w:name="_Toc7954"/>
      <w:bookmarkStart w:id="24" w:name="_Toc2096"/>
      <w:bookmarkStart w:id="25" w:name="_Toc20870"/>
      <w:r>
        <w:rPr>
          <w:rFonts w:hint="eastAsia" w:ascii="宋体" w:hAnsi="宋体" w:cs="宋体"/>
          <w:b/>
          <w:bCs/>
          <w:color w:val="auto"/>
          <w:kern w:val="44"/>
          <w:sz w:val="32"/>
          <w:szCs w:val="44"/>
        </w:rPr>
        <w:t>总则</w:t>
      </w:r>
      <w:bookmarkEnd w:id="23"/>
      <w:bookmarkEnd w:id="24"/>
      <w:bookmarkEnd w:id="25"/>
    </w:p>
    <w:p w14:paraId="3E56BAEE">
      <w:pPr>
        <w:keepNext/>
        <w:keepLines/>
        <w:spacing w:before="312" w:beforeLines="100" w:after="312" w:afterLines="100"/>
        <w:ind w:firstLine="0" w:firstLineChars="0"/>
        <w:outlineLvl w:val="1"/>
        <w:rPr>
          <w:b/>
          <w:bCs/>
          <w:color w:val="auto"/>
          <w:sz w:val="30"/>
          <w:szCs w:val="32"/>
        </w:rPr>
      </w:pPr>
      <w:bookmarkStart w:id="26" w:name="_Toc25635"/>
      <w:bookmarkStart w:id="27" w:name="_Toc6001"/>
      <w:bookmarkStart w:id="28" w:name="_Toc13255"/>
      <w:r>
        <w:rPr>
          <w:b/>
          <w:bCs/>
          <w:color w:val="auto"/>
          <w:sz w:val="30"/>
          <w:szCs w:val="32"/>
        </w:rPr>
        <w:t>2.1编制依据</w:t>
      </w:r>
      <w:bookmarkEnd w:id="26"/>
      <w:bookmarkEnd w:id="27"/>
      <w:bookmarkEnd w:id="28"/>
    </w:p>
    <w:p w14:paraId="204E18ED">
      <w:pPr>
        <w:snapToGrid/>
        <w:spacing w:before="156" w:beforeLines="50" w:after="156" w:afterLines="50"/>
        <w:ind w:firstLine="0" w:firstLineChars="0"/>
        <w:jc w:val="left"/>
        <w:outlineLvl w:val="2"/>
        <w:rPr>
          <w:b/>
          <w:bCs/>
          <w:color w:val="auto"/>
        </w:rPr>
      </w:pPr>
      <w:bookmarkStart w:id="29" w:name="_Toc28999"/>
      <w:bookmarkStart w:id="30" w:name="_Toc23071"/>
      <w:r>
        <w:rPr>
          <w:b/>
          <w:bCs/>
          <w:color w:val="auto"/>
        </w:rPr>
        <w:t>2.1.1国家有关法律法规</w:t>
      </w:r>
      <w:bookmarkEnd w:id="29"/>
      <w:bookmarkEnd w:id="30"/>
    </w:p>
    <w:p w14:paraId="6F1EF51E">
      <w:pPr>
        <w:numPr>
          <w:ilvl w:val="0"/>
          <w:numId w:val="2"/>
        </w:numPr>
        <w:ind w:left="0" w:firstLine="480"/>
        <w:rPr>
          <w:color w:val="auto"/>
        </w:rPr>
      </w:pPr>
      <w:r>
        <w:rPr>
          <w:color w:val="auto"/>
        </w:rPr>
        <w:t>《中华人民共和国环境保护法》(2014.4.24修订)；</w:t>
      </w:r>
    </w:p>
    <w:p w14:paraId="11AE6282">
      <w:pPr>
        <w:numPr>
          <w:ilvl w:val="0"/>
          <w:numId w:val="2"/>
        </w:numPr>
        <w:ind w:left="0" w:firstLine="480"/>
        <w:rPr>
          <w:color w:val="auto"/>
        </w:rPr>
      </w:pPr>
      <w:r>
        <w:rPr>
          <w:color w:val="auto"/>
        </w:rPr>
        <w:t>《中华人民共和国环境影响评价法》(2018.12.29修正)；</w:t>
      </w:r>
    </w:p>
    <w:p w14:paraId="6A05CA33">
      <w:pPr>
        <w:numPr>
          <w:ilvl w:val="0"/>
          <w:numId w:val="2"/>
        </w:numPr>
        <w:ind w:left="0" w:firstLine="480"/>
        <w:rPr>
          <w:color w:val="auto"/>
        </w:rPr>
      </w:pPr>
      <w:r>
        <w:rPr>
          <w:color w:val="auto"/>
        </w:rPr>
        <w:t>《中华人民共和国大气污染防治法》(2018.10.26修正)；</w:t>
      </w:r>
    </w:p>
    <w:p w14:paraId="7B2AF079">
      <w:pPr>
        <w:numPr>
          <w:ilvl w:val="0"/>
          <w:numId w:val="2"/>
        </w:numPr>
        <w:ind w:left="0" w:firstLine="480"/>
        <w:rPr>
          <w:color w:val="auto"/>
        </w:rPr>
      </w:pPr>
      <w:r>
        <w:rPr>
          <w:color w:val="auto"/>
        </w:rPr>
        <w:t>《中华人民共和国水污染防治法》(2017.6.27修正)；</w:t>
      </w:r>
    </w:p>
    <w:p w14:paraId="39584C04">
      <w:pPr>
        <w:numPr>
          <w:ilvl w:val="0"/>
          <w:numId w:val="2"/>
        </w:numPr>
        <w:ind w:left="0" w:firstLine="480"/>
        <w:rPr>
          <w:color w:val="auto"/>
        </w:rPr>
      </w:pPr>
      <w:r>
        <w:rPr>
          <w:color w:val="auto"/>
        </w:rPr>
        <w:t>《中华人民共和国水法》(2016.7.2修订)；</w:t>
      </w:r>
    </w:p>
    <w:p w14:paraId="0B690B40">
      <w:pPr>
        <w:numPr>
          <w:ilvl w:val="0"/>
          <w:numId w:val="2"/>
        </w:numPr>
        <w:ind w:left="0" w:firstLine="480"/>
        <w:rPr>
          <w:color w:val="auto"/>
        </w:rPr>
      </w:pPr>
      <w:r>
        <w:rPr>
          <w:color w:val="auto"/>
        </w:rPr>
        <w:t>《中华人民共和国噪声污染防治法》(2022.6.5起施行)；</w:t>
      </w:r>
    </w:p>
    <w:p w14:paraId="57E148E7">
      <w:pPr>
        <w:numPr>
          <w:ilvl w:val="0"/>
          <w:numId w:val="2"/>
        </w:numPr>
        <w:ind w:left="0" w:firstLine="480"/>
        <w:rPr>
          <w:color w:val="auto"/>
        </w:rPr>
      </w:pPr>
      <w:r>
        <w:rPr>
          <w:color w:val="auto"/>
        </w:rPr>
        <w:t>《中华人民共和国固体废物污染环境防治法》(2020.04.29修订)；</w:t>
      </w:r>
    </w:p>
    <w:p w14:paraId="78B697A9">
      <w:pPr>
        <w:numPr>
          <w:ilvl w:val="0"/>
          <w:numId w:val="2"/>
        </w:numPr>
        <w:ind w:left="0" w:firstLine="480"/>
        <w:rPr>
          <w:color w:val="auto"/>
        </w:rPr>
      </w:pPr>
      <w:r>
        <w:rPr>
          <w:color w:val="auto"/>
        </w:rPr>
        <w:t>《中华人民共和国土壤污染防治法》(2019.1.1施行)；</w:t>
      </w:r>
    </w:p>
    <w:p w14:paraId="0FE5351E">
      <w:pPr>
        <w:numPr>
          <w:ilvl w:val="0"/>
          <w:numId w:val="2"/>
        </w:numPr>
        <w:ind w:left="0" w:firstLine="480"/>
        <w:rPr>
          <w:color w:val="auto"/>
        </w:rPr>
      </w:pPr>
      <w:r>
        <w:rPr>
          <w:color w:val="auto"/>
        </w:rPr>
        <w:t>《中华人民共和国长江保护法》(2021.3.1施行)；</w:t>
      </w:r>
    </w:p>
    <w:p w14:paraId="67338A26">
      <w:pPr>
        <w:numPr>
          <w:ilvl w:val="0"/>
          <w:numId w:val="2"/>
        </w:numPr>
        <w:ind w:left="0" w:firstLine="480"/>
        <w:rPr>
          <w:color w:val="auto"/>
        </w:rPr>
      </w:pPr>
      <w:r>
        <w:rPr>
          <w:color w:val="auto"/>
        </w:rPr>
        <w:t>《地下水管理条例》(国令第748号，2021.12.1起施行)；</w:t>
      </w:r>
    </w:p>
    <w:p w14:paraId="3F47D43B">
      <w:pPr>
        <w:numPr>
          <w:ilvl w:val="0"/>
          <w:numId w:val="2"/>
        </w:numPr>
        <w:ind w:left="0" w:firstLine="480"/>
        <w:rPr>
          <w:color w:val="auto"/>
        </w:rPr>
      </w:pPr>
      <w:r>
        <w:rPr>
          <w:color w:val="auto"/>
        </w:rPr>
        <w:t>《建设项目环境保护管理条例》(2017.10.1起施行)；</w:t>
      </w:r>
    </w:p>
    <w:p w14:paraId="41A5C203">
      <w:pPr>
        <w:numPr>
          <w:ilvl w:val="0"/>
          <w:numId w:val="2"/>
        </w:numPr>
        <w:ind w:left="0" w:firstLine="480"/>
        <w:rPr>
          <w:color w:val="auto"/>
        </w:rPr>
      </w:pPr>
      <w:r>
        <w:rPr>
          <w:color w:val="auto"/>
        </w:rPr>
        <w:t>《空气质量持续改善行动计划》(国发[2023]24号)；</w:t>
      </w:r>
    </w:p>
    <w:p w14:paraId="0F10BA1F">
      <w:pPr>
        <w:numPr>
          <w:ilvl w:val="0"/>
          <w:numId w:val="2"/>
        </w:numPr>
        <w:ind w:left="0" w:firstLine="480"/>
        <w:rPr>
          <w:color w:val="auto"/>
        </w:rPr>
      </w:pPr>
      <w:r>
        <w:rPr>
          <w:color w:val="auto"/>
        </w:rPr>
        <w:t>《长江经济带发展负面清单指南(试行，2022年版)》(长江办[2022]7号)；</w:t>
      </w:r>
    </w:p>
    <w:p w14:paraId="0FC0E040">
      <w:pPr>
        <w:numPr>
          <w:ilvl w:val="0"/>
          <w:numId w:val="2"/>
        </w:numPr>
        <w:ind w:left="0" w:firstLine="480"/>
        <w:rPr>
          <w:color w:val="auto"/>
        </w:rPr>
      </w:pPr>
      <w:r>
        <w:rPr>
          <w:color w:val="auto"/>
        </w:rPr>
        <w:t>《中共中央 国务院关于深入打好污染防治攻坚战的意见》(2021年11月2日)；</w:t>
      </w:r>
    </w:p>
    <w:p w14:paraId="7567B86F">
      <w:pPr>
        <w:numPr>
          <w:ilvl w:val="0"/>
          <w:numId w:val="2"/>
        </w:numPr>
        <w:ind w:left="0" w:firstLine="480"/>
        <w:rPr>
          <w:color w:val="auto"/>
        </w:rPr>
      </w:pPr>
      <w:r>
        <w:rPr>
          <w:color w:val="auto"/>
        </w:rPr>
        <w:t>《国家危险废物名录(2025年版)》；</w:t>
      </w:r>
    </w:p>
    <w:p w14:paraId="271B7B94">
      <w:pPr>
        <w:numPr>
          <w:ilvl w:val="0"/>
          <w:numId w:val="2"/>
        </w:numPr>
        <w:ind w:left="0" w:firstLine="480"/>
        <w:rPr>
          <w:color w:val="auto"/>
        </w:rPr>
      </w:pPr>
      <w:r>
        <w:rPr>
          <w:color w:val="auto"/>
        </w:rPr>
        <w:t>《建设项目环境影响评价分类管理名录(2021年版)》；</w:t>
      </w:r>
    </w:p>
    <w:p w14:paraId="64609CFA">
      <w:pPr>
        <w:numPr>
          <w:ilvl w:val="0"/>
          <w:numId w:val="2"/>
        </w:numPr>
        <w:ind w:left="0" w:firstLine="480"/>
        <w:rPr>
          <w:color w:val="auto"/>
        </w:rPr>
      </w:pPr>
      <w:r>
        <w:rPr>
          <w:color w:val="auto"/>
        </w:rPr>
        <w:t>《排污许可管理条例》(国务院令2021第736号，2021.3.1起施行)；</w:t>
      </w:r>
    </w:p>
    <w:p w14:paraId="69731635">
      <w:pPr>
        <w:numPr>
          <w:ilvl w:val="0"/>
          <w:numId w:val="2"/>
        </w:numPr>
        <w:ind w:left="0" w:firstLine="480"/>
        <w:rPr>
          <w:color w:val="auto"/>
        </w:rPr>
      </w:pPr>
      <w:r>
        <w:rPr>
          <w:color w:val="auto"/>
        </w:rPr>
        <w:t>《关于推进危险废物环境管理信息化有关工作的通知》(环办固体函[2020]733号)；</w:t>
      </w:r>
    </w:p>
    <w:p w14:paraId="7F27E4F6">
      <w:pPr>
        <w:numPr>
          <w:ilvl w:val="0"/>
          <w:numId w:val="2"/>
        </w:numPr>
        <w:ind w:left="0" w:firstLine="480"/>
        <w:rPr>
          <w:color w:val="auto"/>
        </w:rPr>
      </w:pPr>
      <w:r>
        <w:rPr>
          <w:color w:val="auto"/>
        </w:rPr>
        <w:t>《关于提升危险废物环境监管能力、利用处置能力和环境风险防范能力的指导意见》(环固体[2019]92号)；</w:t>
      </w:r>
    </w:p>
    <w:p w14:paraId="3887BF48">
      <w:pPr>
        <w:numPr>
          <w:ilvl w:val="0"/>
          <w:numId w:val="2"/>
        </w:numPr>
        <w:ind w:left="0" w:firstLine="480"/>
        <w:rPr>
          <w:color w:val="auto"/>
        </w:rPr>
      </w:pPr>
      <w:r>
        <w:rPr>
          <w:color w:val="auto"/>
        </w:rPr>
        <w:t>《关于印发地下水污染防治实施方案的通知》(环土壤[2019]25号)；</w:t>
      </w:r>
    </w:p>
    <w:p w14:paraId="4AC20832">
      <w:pPr>
        <w:numPr>
          <w:ilvl w:val="0"/>
          <w:numId w:val="2"/>
        </w:numPr>
        <w:ind w:left="0" w:firstLine="480"/>
        <w:rPr>
          <w:color w:val="auto"/>
        </w:rPr>
      </w:pPr>
      <w:r>
        <w:rPr>
          <w:color w:val="auto"/>
        </w:rPr>
        <w:t>《关于强化建设项目环境影响评价事中事后监管的实施意见》(环环评[2018]11号)；</w:t>
      </w:r>
    </w:p>
    <w:p w14:paraId="10C1343E">
      <w:pPr>
        <w:numPr>
          <w:ilvl w:val="0"/>
          <w:numId w:val="2"/>
        </w:numPr>
        <w:ind w:left="0" w:firstLine="480"/>
        <w:rPr>
          <w:color w:val="auto"/>
        </w:rPr>
      </w:pPr>
      <w:r>
        <w:rPr>
          <w:color w:val="auto"/>
        </w:rPr>
        <w:t>《关于做好环境影响评价制度与排污许可制衔接相关工作的通知》(环办环评[2017]84号)；</w:t>
      </w:r>
    </w:p>
    <w:p w14:paraId="5EFDEC56">
      <w:pPr>
        <w:numPr>
          <w:ilvl w:val="0"/>
          <w:numId w:val="2"/>
        </w:numPr>
        <w:ind w:left="0" w:firstLine="480"/>
        <w:rPr>
          <w:color w:val="auto"/>
        </w:rPr>
      </w:pPr>
      <w:r>
        <w:rPr>
          <w:color w:val="auto"/>
        </w:rPr>
        <w:t>《建设项目危险废物环境影响评价指南》(环境保护部公告2017年第43号)；</w:t>
      </w:r>
    </w:p>
    <w:p w14:paraId="4E6099D3">
      <w:pPr>
        <w:numPr>
          <w:ilvl w:val="0"/>
          <w:numId w:val="2"/>
        </w:numPr>
        <w:ind w:left="0" w:firstLine="480"/>
        <w:rPr>
          <w:color w:val="auto"/>
        </w:rPr>
      </w:pPr>
      <w:r>
        <w:rPr>
          <w:color w:val="auto"/>
        </w:rPr>
        <w:t>《关于以改善环境质量为核心加强环境影响评价管理的通知》(环环评[2016]150号)；</w:t>
      </w:r>
    </w:p>
    <w:p w14:paraId="6AFA13C8">
      <w:pPr>
        <w:numPr>
          <w:ilvl w:val="0"/>
          <w:numId w:val="2"/>
        </w:numPr>
        <w:ind w:left="0" w:firstLine="480"/>
        <w:rPr>
          <w:color w:val="auto"/>
        </w:rPr>
      </w:pPr>
      <w:r>
        <w:rPr>
          <w:color w:val="auto"/>
        </w:rPr>
        <w:t>《关于加强高耗能、高排放建设项目生态环境源头防控的指导意见》(环环评[2021]45号)；</w:t>
      </w:r>
    </w:p>
    <w:p w14:paraId="16D5E196">
      <w:pPr>
        <w:numPr>
          <w:ilvl w:val="0"/>
          <w:numId w:val="2"/>
        </w:numPr>
        <w:ind w:left="0" w:firstLine="480"/>
        <w:rPr>
          <w:color w:val="auto"/>
        </w:rPr>
      </w:pPr>
      <w:r>
        <w:rPr>
          <w:color w:val="auto"/>
        </w:rPr>
        <w:t>《关于加快建立健全绿色低碳循环发展经济体系的指导意见》(国发[2021]4号)；</w:t>
      </w:r>
    </w:p>
    <w:p w14:paraId="263BE9C5">
      <w:pPr>
        <w:numPr>
          <w:ilvl w:val="0"/>
          <w:numId w:val="2"/>
        </w:numPr>
        <w:ind w:left="0" w:firstLine="480"/>
        <w:rPr>
          <w:color w:val="auto"/>
        </w:rPr>
      </w:pPr>
      <w:r>
        <w:rPr>
          <w:color w:val="auto"/>
        </w:rPr>
        <w:t>《关于进一步推进危险废物环境管理信息化有关工作的通知》(环办固体函[2022]230号)</w:t>
      </w:r>
      <w:r>
        <w:rPr>
          <w:rFonts w:hint="eastAsia"/>
          <w:color w:val="auto"/>
        </w:rPr>
        <w:t>；</w:t>
      </w:r>
    </w:p>
    <w:p w14:paraId="57BF69C1">
      <w:pPr>
        <w:numPr>
          <w:ilvl w:val="0"/>
          <w:numId w:val="2"/>
        </w:numPr>
        <w:ind w:left="0" w:firstLine="480"/>
        <w:rPr>
          <w:rFonts w:hint="eastAsia"/>
          <w:color w:val="auto"/>
        </w:rPr>
      </w:pPr>
      <w:r>
        <w:rPr>
          <w:rFonts w:hint="eastAsia"/>
          <w:color w:val="auto"/>
        </w:rPr>
        <w:t>《中华人民共和国生态环境法典》（</w:t>
      </w:r>
      <w:r>
        <w:rPr>
          <w:color w:val="auto"/>
        </w:rPr>
        <w:t>2026年8月15日起施行</w:t>
      </w:r>
      <w:r>
        <w:rPr>
          <w:rFonts w:hint="eastAsia"/>
          <w:color w:val="auto"/>
        </w:rPr>
        <w:t>）。</w:t>
      </w:r>
    </w:p>
    <w:p w14:paraId="6383FFD5">
      <w:pPr>
        <w:snapToGrid/>
        <w:spacing w:before="156" w:beforeLines="50" w:after="156" w:afterLines="50"/>
        <w:ind w:firstLine="0" w:firstLineChars="0"/>
        <w:jc w:val="left"/>
        <w:outlineLvl w:val="2"/>
        <w:rPr>
          <w:b/>
          <w:bCs/>
          <w:color w:val="auto"/>
        </w:rPr>
      </w:pPr>
      <w:bookmarkStart w:id="31" w:name="_Toc9360"/>
      <w:r>
        <w:rPr>
          <w:rFonts w:hint="eastAsia"/>
          <w:b/>
          <w:bCs/>
          <w:color w:val="auto"/>
        </w:rPr>
        <w:t>2.1.2地方法规与政策</w:t>
      </w:r>
      <w:bookmarkEnd w:id="31"/>
    </w:p>
    <w:p w14:paraId="59FA8357">
      <w:pPr>
        <w:numPr>
          <w:ilvl w:val="0"/>
          <w:numId w:val="3"/>
        </w:numPr>
        <w:ind w:firstLine="480"/>
        <w:rPr>
          <w:color w:val="auto"/>
        </w:rPr>
      </w:pPr>
      <w:r>
        <w:rPr>
          <w:color w:val="auto"/>
        </w:rPr>
        <w:t>《江苏省生态环境保护条例》(2024年6月5日起施行)；</w:t>
      </w:r>
    </w:p>
    <w:p w14:paraId="7A8D8F32">
      <w:pPr>
        <w:numPr>
          <w:ilvl w:val="0"/>
          <w:numId w:val="3"/>
        </w:numPr>
        <w:ind w:firstLine="480"/>
        <w:rPr>
          <w:color w:val="auto"/>
        </w:rPr>
      </w:pPr>
      <w:r>
        <w:rPr>
          <w:color w:val="auto"/>
        </w:rPr>
        <w:t>《江苏省土壤污染防治条例》(2022.9.1施行)；</w:t>
      </w:r>
    </w:p>
    <w:p w14:paraId="23BB7544">
      <w:pPr>
        <w:numPr>
          <w:ilvl w:val="0"/>
          <w:numId w:val="3"/>
        </w:numPr>
        <w:ind w:firstLine="480"/>
        <w:rPr>
          <w:color w:val="auto"/>
        </w:rPr>
      </w:pPr>
      <w:r>
        <w:rPr>
          <w:color w:val="auto"/>
        </w:rPr>
        <w:t>《江苏省水污染防治条例》(2021.9.29修正)；</w:t>
      </w:r>
    </w:p>
    <w:p w14:paraId="698E6E2B">
      <w:pPr>
        <w:numPr>
          <w:ilvl w:val="0"/>
          <w:numId w:val="3"/>
        </w:numPr>
        <w:ind w:firstLine="480"/>
        <w:rPr>
          <w:color w:val="auto"/>
        </w:rPr>
      </w:pPr>
      <w:r>
        <w:rPr>
          <w:color w:val="auto"/>
        </w:rPr>
        <w:t>《江苏省大气污染防治条例》(2018.3.28修订)；</w:t>
      </w:r>
    </w:p>
    <w:p w14:paraId="182557DE">
      <w:pPr>
        <w:numPr>
          <w:ilvl w:val="0"/>
          <w:numId w:val="3"/>
        </w:numPr>
        <w:ind w:firstLine="480"/>
        <w:rPr>
          <w:color w:val="auto"/>
        </w:rPr>
      </w:pPr>
      <w:r>
        <w:rPr>
          <w:color w:val="auto"/>
        </w:rPr>
        <w:t>《江苏省地下水管理条例》(2025.3.1实施)；</w:t>
      </w:r>
    </w:p>
    <w:p w14:paraId="6BA896DE">
      <w:pPr>
        <w:numPr>
          <w:ilvl w:val="0"/>
          <w:numId w:val="3"/>
        </w:numPr>
        <w:ind w:firstLine="480"/>
        <w:rPr>
          <w:color w:val="auto"/>
        </w:rPr>
      </w:pPr>
      <w:r>
        <w:rPr>
          <w:color w:val="auto"/>
        </w:rPr>
        <w:t>《江苏省固体废物污染环境防治条例》(2024.11.28修正)；</w:t>
      </w:r>
    </w:p>
    <w:p w14:paraId="3DB0BDD5">
      <w:pPr>
        <w:numPr>
          <w:ilvl w:val="0"/>
          <w:numId w:val="3"/>
        </w:numPr>
        <w:ind w:firstLine="480"/>
        <w:rPr>
          <w:color w:val="auto"/>
        </w:rPr>
      </w:pPr>
      <w:r>
        <w:rPr>
          <w:color w:val="auto"/>
        </w:rPr>
        <w:t>《江苏省长江水污染防治条例》(2018.3.28修正)；</w:t>
      </w:r>
    </w:p>
    <w:p w14:paraId="406F5F88">
      <w:pPr>
        <w:numPr>
          <w:ilvl w:val="0"/>
          <w:numId w:val="3"/>
        </w:numPr>
        <w:ind w:firstLine="480"/>
        <w:rPr>
          <w:color w:val="auto"/>
        </w:rPr>
      </w:pPr>
      <w:r>
        <w:rPr>
          <w:color w:val="auto"/>
        </w:rPr>
        <w:t>《江苏省环境噪声污染防治条例》(2018.3.28修订)；</w:t>
      </w:r>
    </w:p>
    <w:p w14:paraId="0BB0C55E">
      <w:pPr>
        <w:numPr>
          <w:ilvl w:val="0"/>
          <w:numId w:val="3"/>
        </w:numPr>
        <w:ind w:firstLine="480"/>
        <w:rPr>
          <w:color w:val="auto"/>
        </w:rPr>
      </w:pPr>
      <w:r>
        <w:rPr>
          <w:color w:val="auto"/>
        </w:rPr>
        <w:t>《江苏省地表水(环境)功能区划(2021-2030年)》(苏环办[2022]82号)；</w:t>
      </w:r>
    </w:p>
    <w:p w14:paraId="17905C47">
      <w:pPr>
        <w:numPr>
          <w:ilvl w:val="0"/>
          <w:numId w:val="3"/>
        </w:numPr>
        <w:ind w:firstLine="480"/>
        <w:rPr>
          <w:color w:val="auto"/>
        </w:rPr>
      </w:pPr>
      <w:r>
        <w:rPr>
          <w:color w:val="auto"/>
        </w:rPr>
        <w:t>《江苏省排污口设置及规范化整治管理办法》(苏环控[1997]122号)；</w:t>
      </w:r>
    </w:p>
    <w:p w14:paraId="1830BAF4">
      <w:pPr>
        <w:numPr>
          <w:ilvl w:val="0"/>
          <w:numId w:val="3"/>
        </w:numPr>
        <w:ind w:firstLine="480"/>
        <w:rPr>
          <w:color w:val="auto"/>
        </w:rPr>
      </w:pPr>
      <w:r>
        <w:rPr>
          <w:color w:val="auto"/>
        </w:rPr>
        <w:t>《省政府关于印发江苏省空气质量持续改善行动计划实施方案的通知》(苏政发[2024]53号)；</w:t>
      </w:r>
    </w:p>
    <w:p w14:paraId="2080EE18">
      <w:pPr>
        <w:numPr>
          <w:ilvl w:val="0"/>
          <w:numId w:val="3"/>
        </w:numPr>
        <w:ind w:firstLine="480"/>
        <w:rPr>
          <w:color w:val="auto"/>
        </w:rPr>
      </w:pPr>
      <w:r>
        <w:rPr>
          <w:color w:val="auto"/>
        </w:rPr>
        <w:t>《江苏省固体废物全过程环境监管工作意见》(苏环办[2024]16号)；</w:t>
      </w:r>
    </w:p>
    <w:p w14:paraId="0D3AE530">
      <w:pPr>
        <w:numPr>
          <w:ilvl w:val="0"/>
          <w:numId w:val="3"/>
        </w:numPr>
        <w:ind w:firstLine="480"/>
        <w:rPr>
          <w:color w:val="auto"/>
        </w:rPr>
      </w:pPr>
      <w:r>
        <w:rPr>
          <w:color w:val="auto"/>
        </w:rPr>
        <w:t>《全省生态环境安全与应急管理“强基提能”三年行动计划》(苏环发[2023]5号)；</w:t>
      </w:r>
    </w:p>
    <w:p w14:paraId="27772D71">
      <w:pPr>
        <w:numPr>
          <w:ilvl w:val="0"/>
          <w:numId w:val="3"/>
        </w:numPr>
        <w:ind w:firstLine="480"/>
        <w:rPr>
          <w:color w:val="auto"/>
        </w:rPr>
      </w:pPr>
      <w:r>
        <w:rPr>
          <w:color w:val="auto"/>
        </w:rPr>
        <w:t>《省生态环境厅关于进一步加强重点园区环境应急能力建设的通知》(苏环办[2023]145号)；</w:t>
      </w:r>
    </w:p>
    <w:p w14:paraId="22171B13">
      <w:pPr>
        <w:numPr>
          <w:ilvl w:val="0"/>
          <w:numId w:val="3"/>
        </w:numPr>
        <w:ind w:firstLine="480"/>
        <w:rPr>
          <w:color w:val="auto"/>
        </w:rPr>
      </w:pPr>
      <w:r>
        <w:rPr>
          <w:color w:val="auto"/>
        </w:rPr>
        <w:t>《江苏省工业领域及重点行业碳达峰实施方案》(苏工信节能[2023]16号)；</w:t>
      </w:r>
    </w:p>
    <w:p w14:paraId="6B766544">
      <w:pPr>
        <w:numPr>
          <w:ilvl w:val="0"/>
          <w:numId w:val="3"/>
        </w:numPr>
        <w:ind w:firstLine="480"/>
        <w:rPr>
          <w:color w:val="auto"/>
        </w:rPr>
      </w:pPr>
      <w:r>
        <w:rPr>
          <w:color w:val="auto"/>
        </w:rPr>
        <w:t>《省政府关于南通市海门区、如东县、启东市、如皋市、海安市国土空间总体规划(2021-2035年)的批复》(苏政复[2023]43号)；</w:t>
      </w:r>
    </w:p>
    <w:p w14:paraId="3817D8D7">
      <w:pPr>
        <w:numPr>
          <w:ilvl w:val="0"/>
          <w:numId w:val="3"/>
        </w:numPr>
        <w:ind w:firstLine="480"/>
        <w:rPr>
          <w:color w:val="auto"/>
        </w:rPr>
      </w:pPr>
      <w:r>
        <w:rPr>
          <w:color w:val="auto"/>
        </w:rPr>
        <w:t>《省生态环境厅关于做好&lt;危险废物贮存污染控制标准&gt;等标准规范实施后危险废物环境管理衔接工作的通知》(苏环办[2023]154号)；</w:t>
      </w:r>
    </w:p>
    <w:p w14:paraId="05E682C1">
      <w:pPr>
        <w:numPr>
          <w:ilvl w:val="0"/>
          <w:numId w:val="3"/>
        </w:numPr>
        <w:ind w:firstLine="480"/>
        <w:rPr>
          <w:color w:val="auto"/>
        </w:rPr>
      </w:pPr>
      <w:r>
        <w:rPr>
          <w:color w:val="auto"/>
        </w:rPr>
        <w:t>《省生态环境厅关于开展全省生态环境安全隐患排查整治工作的通知》(苏环办[2022]134号)；</w:t>
      </w:r>
    </w:p>
    <w:p w14:paraId="7732E700">
      <w:pPr>
        <w:numPr>
          <w:ilvl w:val="0"/>
          <w:numId w:val="3"/>
        </w:numPr>
        <w:ind w:firstLine="480"/>
        <w:rPr>
          <w:color w:val="auto"/>
        </w:rPr>
      </w:pPr>
      <w:r>
        <w:rPr>
          <w:color w:val="auto"/>
        </w:rPr>
        <w:t>《国务院安委会办公室生态环境部应急管理部关于进一步加强环保设备设施安全生产工作的通知》(安委办明电[2022]17号)；</w:t>
      </w:r>
    </w:p>
    <w:p w14:paraId="5D4AE9EF">
      <w:pPr>
        <w:numPr>
          <w:ilvl w:val="0"/>
          <w:numId w:val="3"/>
        </w:numPr>
        <w:ind w:firstLine="480"/>
        <w:rPr>
          <w:color w:val="auto"/>
        </w:rPr>
      </w:pPr>
      <w:r>
        <w:rPr>
          <w:color w:val="auto"/>
        </w:rPr>
        <w:t>《江苏省污染源自动监测监控管理办法(2022修订)》(苏环发[2022]5号)；</w:t>
      </w:r>
    </w:p>
    <w:p w14:paraId="1DFD67CB">
      <w:pPr>
        <w:numPr>
          <w:ilvl w:val="0"/>
          <w:numId w:val="3"/>
        </w:numPr>
        <w:ind w:firstLine="480"/>
        <w:rPr>
          <w:color w:val="auto"/>
        </w:rPr>
      </w:pPr>
      <w:r>
        <w:rPr>
          <w:color w:val="auto"/>
        </w:rPr>
        <w:t>《省生态环境厅关于印发江苏省环境影响评价文件环境应急相关内容编制要点的通知》(苏环办[2022]338号)；</w:t>
      </w:r>
    </w:p>
    <w:p w14:paraId="1D8394CA">
      <w:pPr>
        <w:numPr>
          <w:ilvl w:val="0"/>
          <w:numId w:val="3"/>
        </w:numPr>
        <w:ind w:firstLine="480"/>
        <w:rPr>
          <w:color w:val="auto"/>
        </w:rPr>
      </w:pPr>
      <w:r>
        <w:rPr>
          <w:color w:val="auto"/>
        </w:rPr>
        <w:t>《</w:t>
      </w:r>
      <w:bookmarkStart w:id="32" w:name="OLE_LINK7"/>
      <w:r>
        <w:rPr>
          <w:color w:val="auto"/>
        </w:rPr>
        <w:t>省委省政府关于深入打好污染防治攻坚战的实施意见</w:t>
      </w:r>
      <w:bookmarkEnd w:id="32"/>
      <w:r>
        <w:rPr>
          <w:color w:val="auto"/>
        </w:rPr>
        <w:t>》(2022.1.24)；</w:t>
      </w:r>
    </w:p>
    <w:p w14:paraId="5BEFCC24">
      <w:pPr>
        <w:numPr>
          <w:ilvl w:val="0"/>
          <w:numId w:val="3"/>
        </w:numPr>
        <w:ind w:firstLine="480"/>
        <w:rPr>
          <w:color w:val="auto"/>
        </w:rPr>
      </w:pPr>
      <w:r>
        <w:rPr>
          <w:color w:val="auto"/>
        </w:rPr>
        <w:t>《江苏省重点行业工业企业雨水排放环境管理办法(试行)》(苏污防攻坚指办[2023]71号)；</w:t>
      </w:r>
    </w:p>
    <w:p w14:paraId="078BB544">
      <w:pPr>
        <w:numPr>
          <w:ilvl w:val="0"/>
          <w:numId w:val="3"/>
        </w:numPr>
        <w:ind w:firstLine="480"/>
        <w:rPr>
          <w:color w:val="auto"/>
        </w:rPr>
      </w:pPr>
      <w:r>
        <w:rPr>
          <w:color w:val="auto"/>
        </w:rPr>
        <w:t>《省政府关于印发江苏省生态空间管控区域规划的通知》(苏政发[2020]1号)；</w:t>
      </w:r>
    </w:p>
    <w:p w14:paraId="15B5A196">
      <w:pPr>
        <w:numPr>
          <w:ilvl w:val="0"/>
          <w:numId w:val="3"/>
        </w:numPr>
        <w:ind w:firstLine="480"/>
        <w:rPr>
          <w:color w:val="auto"/>
        </w:rPr>
      </w:pPr>
      <w:r>
        <w:rPr>
          <w:color w:val="auto"/>
        </w:rPr>
        <w:t>《关于做好生态环境和应急管理部门联动工作的意见》(苏环办[2020]101号)；</w:t>
      </w:r>
    </w:p>
    <w:p w14:paraId="7404AD96">
      <w:pPr>
        <w:numPr>
          <w:ilvl w:val="0"/>
          <w:numId w:val="3"/>
        </w:numPr>
        <w:ind w:firstLine="480"/>
        <w:rPr>
          <w:color w:val="auto"/>
        </w:rPr>
      </w:pPr>
      <w:r>
        <w:rPr>
          <w:color w:val="auto"/>
        </w:rPr>
        <w:t>《省生态环境厅关于印发江苏省危险废物贮存规范化管理专项整治行动方案的通知》(苏环办[2019]149号)；</w:t>
      </w:r>
    </w:p>
    <w:p w14:paraId="7284593D">
      <w:pPr>
        <w:numPr>
          <w:ilvl w:val="0"/>
          <w:numId w:val="3"/>
        </w:numPr>
        <w:ind w:firstLine="480"/>
        <w:rPr>
          <w:color w:val="auto"/>
        </w:rPr>
      </w:pPr>
      <w:r>
        <w:rPr>
          <w:color w:val="auto"/>
        </w:rPr>
        <w:t>《固体废物分类与代码目录》(生态环境部公告 2024年 第4号)</w:t>
      </w:r>
    </w:p>
    <w:p w14:paraId="5A605BD7">
      <w:pPr>
        <w:numPr>
          <w:ilvl w:val="0"/>
          <w:numId w:val="3"/>
        </w:numPr>
        <w:ind w:firstLine="480"/>
        <w:rPr>
          <w:color w:val="auto"/>
        </w:rPr>
      </w:pPr>
      <w:r>
        <w:rPr>
          <w:color w:val="auto"/>
        </w:rPr>
        <w:t>《省政府关于印发江苏省国家级生态保护红线规划的通知》(苏政发[2018]74号)；</w:t>
      </w:r>
    </w:p>
    <w:p w14:paraId="3DB0297D">
      <w:pPr>
        <w:numPr>
          <w:ilvl w:val="0"/>
          <w:numId w:val="3"/>
        </w:numPr>
        <w:ind w:firstLine="480"/>
        <w:rPr>
          <w:color w:val="auto"/>
        </w:rPr>
      </w:pPr>
      <w:r>
        <w:rPr>
          <w:color w:val="auto"/>
        </w:rPr>
        <w:t>《省政府关于印发江苏省土壤污染防治工作方案的通知》(苏政发[2016]169号)；</w:t>
      </w:r>
    </w:p>
    <w:p w14:paraId="2A3466D8">
      <w:pPr>
        <w:numPr>
          <w:ilvl w:val="0"/>
          <w:numId w:val="3"/>
        </w:numPr>
        <w:ind w:firstLine="480"/>
        <w:rPr>
          <w:color w:val="auto"/>
        </w:rPr>
      </w:pPr>
      <w:r>
        <w:rPr>
          <w:color w:val="auto"/>
        </w:rPr>
        <w:t>《南通市空气质量持续改善行动计划实施方案》(通政发[2024]24号)；</w:t>
      </w:r>
    </w:p>
    <w:p w14:paraId="375A3C6B">
      <w:pPr>
        <w:numPr>
          <w:ilvl w:val="0"/>
          <w:numId w:val="3"/>
        </w:numPr>
        <w:ind w:firstLine="480"/>
        <w:rPr>
          <w:color w:val="auto"/>
        </w:rPr>
      </w:pPr>
      <w:r>
        <w:rPr>
          <w:color w:val="auto"/>
        </w:rPr>
        <w:t>《南通市地表水工业特征污染物专项整治工作实施方案》(通环办[2023]48号)；</w:t>
      </w:r>
    </w:p>
    <w:p w14:paraId="1BCCA772">
      <w:pPr>
        <w:numPr>
          <w:ilvl w:val="0"/>
          <w:numId w:val="3"/>
        </w:numPr>
        <w:ind w:firstLine="480"/>
        <w:rPr>
          <w:color w:val="auto"/>
        </w:rPr>
      </w:pPr>
      <w:r>
        <w:rPr>
          <w:color w:val="auto"/>
        </w:rPr>
        <w:t>《南通市关于加强减污降碳协同推进重点行业绿色发展的指导意见》(通办[2024]6号)；</w:t>
      </w:r>
    </w:p>
    <w:p w14:paraId="15407A56">
      <w:pPr>
        <w:numPr>
          <w:ilvl w:val="0"/>
          <w:numId w:val="3"/>
        </w:numPr>
        <w:ind w:firstLine="480"/>
        <w:rPr>
          <w:color w:val="auto"/>
        </w:rPr>
      </w:pPr>
      <w:r>
        <w:rPr>
          <w:color w:val="auto"/>
        </w:rPr>
        <w:t>《关于进一步优化建设项目排污总量指标管理提升环评审批效能的意见(试行)》(通环办[2023]132号)；</w:t>
      </w:r>
    </w:p>
    <w:p w14:paraId="11C2717D">
      <w:pPr>
        <w:numPr>
          <w:ilvl w:val="0"/>
          <w:numId w:val="3"/>
        </w:numPr>
        <w:ind w:firstLine="480"/>
        <w:rPr>
          <w:color w:val="auto"/>
        </w:rPr>
      </w:pPr>
      <w:r>
        <w:rPr>
          <w:color w:val="auto"/>
        </w:rPr>
        <w:t>《关于印发&lt;南通市挥发性有机物清洁原料替代实施方案&gt;的通知》(通大气办[2021]6号)；</w:t>
      </w:r>
    </w:p>
    <w:p w14:paraId="6B88907D">
      <w:pPr>
        <w:numPr>
          <w:ilvl w:val="0"/>
          <w:numId w:val="3"/>
        </w:numPr>
        <w:ind w:firstLine="480"/>
        <w:rPr>
          <w:color w:val="auto"/>
        </w:rPr>
      </w:pPr>
      <w:r>
        <w:rPr>
          <w:color w:val="auto"/>
        </w:rPr>
        <w:t>《关于进一步规范建设项目主要污染物排放总量指标审核、管理及排污权交易的工作方案》(通环办[2021]23号)；</w:t>
      </w:r>
    </w:p>
    <w:p w14:paraId="711C0192">
      <w:pPr>
        <w:numPr>
          <w:ilvl w:val="0"/>
          <w:numId w:val="3"/>
        </w:numPr>
        <w:ind w:firstLine="480"/>
        <w:rPr>
          <w:color w:val="auto"/>
        </w:rPr>
      </w:pPr>
      <w:r>
        <w:rPr>
          <w:color w:val="auto"/>
        </w:rPr>
        <w:t>《关于进一步做好危险废物处置专项整治等风险隐患排查工作的通知》(通环办[2020]1号)；</w:t>
      </w:r>
    </w:p>
    <w:p w14:paraId="5A75291C">
      <w:pPr>
        <w:numPr>
          <w:ilvl w:val="0"/>
          <w:numId w:val="3"/>
        </w:numPr>
        <w:ind w:firstLine="480"/>
        <w:rPr>
          <w:color w:val="auto"/>
        </w:rPr>
      </w:pPr>
      <w:r>
        <w:rPr>
          <w:color w:val="auto"/>
        </w:rPr>
        <w:t>《南通市废气活性炭吸附设施专项整治实施方案》；</w:t>
      </w:r>
    </w:p>
    <w:p w14:paraId="5BB706BD">
      <w:pPr>
        <w:numPr>
          <w:ilvl w:val="0"/>
          <w:numId w:val="3"/>
        </w:numPr>
        <w:ind w:firstLine="480"/>
        <w:rPr>
          <w:color w:val="auto"/>
        </w:rPr>
      </w:pPr>
      <w:r>
        <w:rPr>
          <w:color w:val="auto"/>
        </w:rPr>
        <w:t>《江苏省自然资源厅关于启东市生态空间管控区域调整方案的复函》(苏自然资函[2021]1250号)；</w:t>
      </w:r>
    </w:p>
    <w:p w14:paraId="3467F386">
      <w:pPr>
        <w:numPr>
          <w:ilvl w:val="0"/>
          <w:numId w:val="3"/>
        </w:numPr>
        <w:ind w:firstLine="480"/>
        <w:rPr>
          <w:color w:val="auto"/>
        </w:rPr>
      </w:pPr>
      <w:r>
        <w:rPr>
          <w:color w:val="auto"/>
        </w:rPr>
        <w:t>《市政府关于调整城市区域环境噪声标准适用区域划分的公告》(启政发[2019]53号)。</w:t>
      </w:r>
    </w:p>
    <w:p w14:paraId="12F62377">
      <w:pPr>
        <w:snapToGrid/>
        <w:spacing w:before="156" w:beforeLines="50" w:after="156" w:afterLines="50"/>
        <w:ind w:firstLine="0" w:firstLineChars="0"/>
        <w:jc w:val="left"/>
        <w:outlineLvl w:val="2"/>
        <w:rPr>
          <w:bCs/>
          <w:color w:val="auto"/>
          <w:lang w:val="zh-CN"/>
        </w:rPr>
      </w:pPr>
      <w:bookmarkStart w:id="33" w:name="_Toc3135"/>
      <w:r>
        <w:rPr>
          <w:rFonts w:hint="eastAsia"/>
          <w:b/>
          <w:bCs/>
          <w:color w:val="auto"/>
        </w:rPr>
        <w:t>2.1.3</w:t>
      </w:r>
      <w:r>
        <w:rPr>
          <w:b/>
          <w:bCs/>
          <w:color w:val="auto"/>
          <w:lang w:val="zh-CN"/>
        </w:rPr>
        <w:t>产业政策与行业管理规定</w:t>
      </w:r>
      <w:bookmarkEnd w:id="33"/>
    </w:p>
    <w:p w14:paraId="07BB4029">
      <w:pPr>
        <w:numPr>
          <w:ilvl w:val="0"/>
          <w:numId w:val="4"/>
        </w:numPr>
        <w:ind w:firstLine="480"/>
        <w:rPr>
          <w:bCs/>
          <w:color w:val="auto"/>
        </w:rPr>
      </w:pPr>
      <w:r>
        <w:rPr>
          <w:bCs/>
          <w:color w:val="auto"/>
        </w:rPr>
        <w:t>《市场准入负面清单》(202</w:t>
      </w:r>
      <w:r>
        <w:rPr>
          <w:rFonts w:hint="eastAsia"/>
          <w:bCs/>
          <w:color w:val="auto"/>
        </w:rPr>
        <w:t>5</w:t>
      </w:r>
      <w:r>
        <w:rPr>
          <w:bCs/>
          <w:color w:val="auto"/>
        </w:rPr>
        <w:t>年版)；</w:t>
      </w:r>
    </w:p>
    <w:p w14:paraId="359913A7">
      <w:pPr>
        <w:numPr>
          <w:ilvl w:val="0"/>
          <w:numId w:val="4"/>
        </w:numPr>
        <w:ind w:firstLine="480"/>
        <w:rPr>
          <w:bCs/>
          <w:color w:val="auto"/>
        </w:rPr>
      </w:pPr>
      <w:r>
        <w:rPr>
          <w:bCs/>
          <w:color w:val="auto"/>
        </w:rPr>
        <w:t>《产业结构调整指导目录》(2024年本)；</w:t>
      </w:r>
    </w:p>
    <w:p w14:paraId="4C93AE55">
      <w:pPr>
        <w:numPr>
          <w:ilvl w:val="0"/>
          <w:numId w:val="4"/>
        </w:numPr>
        <w:ind w:firstLine="480"/>
        <w:rPr>
          <w:bCs/>
          <w:color w:val="auto"/>
        </w:rPr>
      </w:pPr>
      <w:r>
        <w:rPr>
          <w:bCs/>
          <w:color w:val="auto"/>
        </w:rPr>
        <w:t>《江苏省</w:t>
      </w:r>
      <w:r>
        <w:rPr>
          <w:rFonts w:hint="eastAsia"/>
          <w:bCs/>
          <w:color w:val="auto"/>
        </w:rPr>
        <w:t>化工</w:t>
      </w:r>
      <w:r>
        <w:rPr>
          <w:bCs/>
          <w:color w:val="auto"/>
        </w:rPr>
        <w:t>产业结构调整限制</w:t>
      </w:r>
      <w:r>
        <w:rPr>
          <w:rFonts w:hint="eastAsia"/>
          <w:bCs/>
          <w:color w:val="auto"/>
        </w:rPr>
        <w:t>和</w:t>
      </w:r>
      <w:r>
        <w:rPr>
          <w:bCs/>
          <w:color w:val="auto"/>
        </w:rPr>
        <w:t>淘汰目录》</w:t>
      </w:r>
      <w:r>
        <w:rPr>
          <w:rFonts w:hint="eastAsia"/>
          <w:bCs/>
          <w:color w:val="auto"/>
        </w:rPr>
        <w:t>（2025年本）</w:t>
      </w:r>
      <w:r>
        <w:rPr>
          <w:bCs/>
          <w:color w:val="auto"/>
        </w:rPr>
        <w:t>；</w:t>
      </w:r>
    </w:p>
    <w:p w14:paraId="5893C35A">
      <w:pPr>
        <w:numPr>
          <w:ilvl w:val="0"/>
          <w:numId w:val="4"/>
        </w:numPr>
        <w:ind w:firstLine="480"/>
        <w:rPr>
          <w:bCs/>
          <w:color w:val="auto"/>
        </w:rPr>
      </w:pPr>
      <w:r>
        <w:rPr>
          <w:bCs/>
          <w:color w:val="auto"/>
        </w:rPr>
        <w:t>《部分工业行业淘汰落后生产工艺装备和产品指导目录(2010年本)》(工产业[2010]第122号)；</w:t>
      </w:r>
    </w:p>
    <w:p w14:paraId="37BA30AF">
      <w:pPr>
        <w:numPr>
          <w:ilvl w:val="0"/>
          <w:numId w:val="4"/>
        </w:numPr>
        <w:ind w:firstLine="480"/>
        <w:rPr>
          <w:bCs/>
          <w:color w:val="auto"/>
        </w:rPr>
      </w:pPr>
      <w:r>
        <w:rPr>
          <w:bCs/>
          <w:color w:val="auto"/>
        </w:rPr>
        <w:t>《南通市重点产业布局指导意见》(通政发[2013]13号)；</w:t>
      </w:r>
    </w:p>
    <w:p w14:paraId="7CEA6D02">
      <w:pPr>
        <w:numPr>
          <w:ilvl w:val="0"/>
          <w:numId w:val="4"/>
        </w:numPr>
        <w:ind w:firstLine="480"/>
        <w:rPr>
          <w:bCs/>
          <w:color w:val="auto"/>
        </w:rPr>
      </w:pPr>
      <w:r>
        <w:rPr>
          <w:bCs/>
          <w:color w:val="auto"/>
        </w:rPr>
        <w:t>《南通市工业结构调整指导目录(2007年本)》；</w:t>
      </w:r>
    </w:p>
    <w:p w14:paraId="4864D1D9">
      <w:pPr>
        <w:numPr>
          <w:ilvl w:val="0"/>
          <w:numId w:val="4"/>
        </w:numPr>
        <w:ind w:firstLine="480"/>
        <w:rPr>
          <w:bCs/>
          <w:color w:val="auto"/>
        </w:rPr>
      </w:pPr>
      <w:r>
        <w:rPr>
          <w:bCs/>
          <w:color w:val="auto"/>
        </w:rPr>
        <w:t>《市政府办公室关于印发&lt;南通市危险化学品建设项目禁止、限制和控制目录(2023年本)&gt;的通知》(通政办规[2023]2号)。</w:t>
      </w:r>
    </w:p>
    <w:p w14:paraId="5ED34FDE">
      <w:pPr>
        <w:snapToGrid/>
        <w:spacing w:before="156" w:beforeLines="50" w:after="156" w:afterLines="50"/>
        <w:ind w:firstLine="0" w:firstLineChars="0"/>
        <w:jc w:val="left"/>
        <w:outlineLvl w:val="2"/>
        <w:rPr>
          <w:b/>
          <w:bCs/>
          <w:color w:val="auto"/>
        </w:rPr>
      </w:pPr>
      <w:bookmarkStart w:id="34" w:name="_Toc23456"/>
      <w:r>
        <w:rPr>
          <w:rFonts w:hint="eastAsia"/>
          <w:b/>
          <w:bCs/>
          <w:color w:val="auto"/>
        </w:rPr>
        <w:t>2.1.4环评技术导则</w:t>
      </w:r>
      <w:bookmarkEnd w:id="34"/>
    </w:p>
    <w:p w14:paraId="6BABCFE9">
      <w:pPr>
        <w:numPr>
          <w:ilvl w:val="0"/>
          <w:numId w:val="5"/>
        </w:numPr>
        <w:ind w:firstLine="480"/>
        <w:rPr>
          <w:color w:val="auto"/>
        </w:rPr>
      </w:pPr>
      <w:r>
        <w:rPr>
          <w:color w:val="auto"/>
        </w:rPr>
        <w:t>《建设项目环境影响评价技术导则 总纲》(HJ2.1-2016)；</w:t>
      </w:r>
    </w:p>
    <w:p w14:paraId="39541CCC">
      <w:pPr>
        <w:numPr>
          <w:ilvl w:val="0"/>
          <w:numId w:val="5"/>
        </w:numPr>
        <w:ind w:firstLine="480"/>
        <w:rPr>
          <w:color w:val="auto"/>
        </w:rPr>
      </w:pPr>
      <w:r>
        <w:rPr>
          <w:color w:val="auto"/>
        </w:rPr>
        <w:t>《环境影响评价技术导则 大气环境》(HJ2.2-2018)；</w:t>
      </w:r>
    </w:p>
    <w:p w14:paraId="6AE1A163">
      <w:pPr>
        <w:numPr>
          <w:ilvl w:val="0"/>
          <w:numId w:val="5"/>
        </w:numPr>
        <w:ind w:firstLine="480"/>
        <w:rPr>
          <w:color w:val="auto"/>
        </w:rPr>
      </w:pPr>
      <w:r>
        <w:rPr>
          <w:color w:val="auto"/>
        </w:rPr>
        <w:t>《环境影响评价技术导则 地表水环境》(HJ2.3-2018)；</w:t>
      </w:r>
    </w:p>
    <w:p w14:paraId="6CF946A7">
      <w:pPr>
        <w:numPr>
          <w:ilvl w:val="0"/>
          <w:numId w:val="5"/>
        </w:numPr>
        <w:ind w:firstLine="480"/>
        <w:rPr>
          <w:color w:val="auto"/>
        </w:rPr>
      </w:pPr>
      <w:r>
        <w:rPr>
          <w:color w:val="auto"/>
        </w:rPr>
        <w:t>《环境影响评价技术导则 声环境》(HJ2.4-2021)；</w:t>
      </w:r>
    </w:p>
    <w:p w14:paraId="32185FE4">
      <w:pPr>
        <w:numPr>
          <w:ilvl w:val="0"/>
          <w:numId w:val="5"/>
        </w:numPr>
        <w:ind w:firstLine="480"/>
        <w:rPr>
          <w:color w:val="auto"/>
        </w:rPr>
      </w:pPr>
      <w:r>
        <w:rPr>
          <w:color w:val="auto"/>
        </w:rPr>
        <w:t>《环境影响评价技术导则 生态影响》(HJ19-2022)；</w:t>
      </w:r>
    </w:p>
    <w:p w14:paraId="6C2384F8">
      <w:pPr>
        <w:numPr>
          <w:ilvl w:val="0"/>
          <w:numId w:val="5"/>
        </w:numPr>
        <w:ind w:firstLine="480"/>
        <w:rPr>
          <w:color w:val="auto"/>
        </w:rPr>
      </w:pPr>
      <w:r>
        <w:rPr>
          <w:color w:val="auto"/>
        </w:rPr>
        <w:t>《建设项目环境风险评价技术导则》(HJ169-2018)；</w:t>
      </w:r>
    </w:p>
    <w:p w14:paraId="29B10173">
      <w:pPr>
        <w:numPr>
          <w:ilvl w:val="0"/>
          <w:numId w:val="5"/>
        </w:numPr>
        <w:ind w:firstLine="480"/>
        <w:rPr>
          <w:color w:val="auto"/>
        </w:rPr>
      </w:pPr>
      <w:r>
        <w:rPr>
          <w:color w:val="auto"/>
        </w:rPr>
        <w:t>《环境影响评价技术导则 地下水环境》(HJ610-2016)；</w:t>
      </w:r>
    </w:p>
    <w:p w14:paraId="06916D3A">
      <w:pPr>
        <w:numPr>
          <w:ilvl w:val="0"/>
          <w:numId w:val="5"/>
        </w:numPr>
        <w:ind w:firstLine="480"/>
        <w:rPr>
          <w:color w:val="auto"/>
        </w:rPr>
      </w:pPr>
      <w:r>
        <w:rPr>
          <w:color w:val="auto"/>
        </w:rPr>
        <w:t>《环境影响评价技术导则 土壤环境(试行)》(HJ964-2018)；</w:t>
      </w:r>
    </w:p>
    <w:p w14:paraId="75BA68CC">
      <w:pPr>
        <w:numPr>
          <w:ilvl w:val="0"/>
          <w:numId w:val="5"/>
        </w:numPr>
        <w:ind w:firstLine="480"/>
        <w:rPr>
          <w:color w:val="auto"/>
        </w:rPr>
      </w:pPr>
      <w:r>
        <w:rPr>
          <w:color w:val="auto"/>
        </w:rPr>
        <w:t>《建设项目危险废物环境影响评价指南》(环境保护部公告2017年第43号)；</w:t>
      </w:r>
    </w:p>
    <w:p w14:paraId="0B535A17">
      <w:pPr>
        <w:numPr>
          <w:ilvl w:val="0"/>
          <w:numId w:val="5"/>
        </w:numPr>
        <w:ind w:firstLine="480"/>
        <w:rPr>
          <w:color w:val="auto"/>
        </w:rPr>
      </w:pPr>
      <w:r>
        <w:rPr>
          <w:color w:val="auto"/>
        </w:rPr>
        <w:t>《固体废物鉴别标准 通则》(GB34330-2017)；</w:t>
      </w:r>
    </w:p>
    <w:p w14:paraId="17B3E120">
      <w:pPr>
        <w:numPr>
          <w:ilvl w:val="0"/>
          <w:numId w:val="5"/>
        </w:numPr>
        <w:ind w:firstLine="480"/>
        <w:rPr>
          <w:color w:val="auto"/>
        </w:rPr>
      </w:pPr>
      <w:r>
        <w:rPr>
          <w:color w:val="auto"/>
        </w:rPr>
        <w:t>《大气污染治理工程技术导则》(HJ 2000-2010)；</w:t>
      </w:r>
    </w:p>
    <w:p w14:paraId="6AD04803">
      <w:pPr>
        <w:numPr>
          <w:ilvl w:val="0"/>
          <w:numId w:val="5"/>
        </w:numPr>
        <w:ind w:firstLine="480"/>
        <w:rPr>
          <w:color w:val="auto"/>
        </w:rPr>
      </w:pPr>
      <w:r>
        <w:rPr>
          <w:color w:val="auto"/>
        </w:rPr>
        <w:t>《排污许可证申请与核发技术规范 总则》(HJ942-2018)；</w:t>
      </w:r>
    </w:p>
    <w:p w14:paraId="53678E8E">
      <w:pPr>
        <w:numPr>
          <w:ilvl w:val="0"/>
          <w:numId w:val="5"/>
        </w:numPr>
        <w:ind w:firstLine="480"/>
        <w:rPr>
          <w:color w:val="auto"/>
        </w:rPr>
      </w:pPr>
      <w:r>
        <w:rPr>
          <w:color w:val="auto"/>
        </w:rPr>
        <w:t>《排污许可证申请与核发技术规范 工业噪声》(HJ1301-2023)；</w:t>
      </w:r>
    </w:p>
    <w:p w14:paraId="46D4B3FA">
      <w:pPr>
        <w:numPr>
          <w:ilvl w:val="0"/>
          <w:numId w:val="5"/>
        </w:numPr>
        <w:ind w:firstLine="480"/>
        <w:rPr>
          <w:color w:val="auto"/>
        </w:rPr>
      </w:pPr>
      <w:r>
        <w:rPr>
          <w:color w:val="auto"/>
        </w:rPr>
        <w:t>《排污许可证申请与核发技术规范</w:t>
      </w:r>
      <w:r>
        <w:rPr>
          <w:rFonts w:hint="eastAsia"/>
          <w:color w:val="auto"/>
        </w:rPr>
        <w:t xml:space="preserve"> 无机化学工业</w:t>
      </w:r>
      <w:r>
        <w:rPr>
          <w:color w:val="auto"/>
        </w:rPr>
        <w:t>》(HJ</w:t>
      </w:r>
      <w:r>
        <w:rPr>
          <w:rFonts w:hint="eastAsia"/>
          <w:color w:val="auto"/>
        </w:rPr>
        <w:t>1035-2019</w:t>
      </w:r>
      <w:r>
        <w:rPr>
          <w:color w:val="auto"/>
        </w:rPr>
        <w:t>)；</w:t>
      </w:r>
    </w:p>
    <w:p w14:paraId="1AC28F68">
      <w:pPr>
        <w:numPr>
          <w:ilvl w:val="0"/>
          <w:numId w:val="5"/>
        </w:numPr>
        <w:ind w:firstLine="480"/>
        <w:rPr>
          <w:color w:val="auto"/>
        </w:rPr>
      </w:pPr>
      <w:r>
        <w:rPr>
          <w:color w:val="auto"/>
        </w:rPr>
        <w:t>《排污单位自行监测技术指南</w:t>
      </w:r>
      <w:r>
        <w:rPr>
          <w:rFonts w:hint="eastAsia"/>
          <w:color w:val="auto"/>
        </w:rPr>
        <w:t xml:space="preserve"> 无机化学</w:t>
      </w:r>
      <w:r>
        <w:rPr>
          <w:color w:val="auto"/>
        </w:rPr>
        <w:t>工业》(HJ</w:t>
      </w:r>
      <w:r>
        <w:rPr>
          <w:rFonts w:hint="eastAsia"/>
          <w:color w:val="auto"/>
        </w:rPr>
        <w:t>1138-</w:t>
      </w:r>
      <w:r>
        <w:rPr>
          <w:color w:val="auto"/>
        </w:rPr>
        <w:t>20</w:t>
      </w:r>
      <w:r>
        <w:rPr>
          <w:rFonts w:hint="eastAsia"/>
          <w:color w:val="auto"/>
        </w:rPr>
        <w:t>20</w:t>
      </w:r>
      <w:r>
        <w:rPr>
          <w:color w:val="auto"/>
        </w:rPr>
        <w:t>)。</w:t>
      </w:r>
    </w:p>
    <w:p w14:paraId="350436B7">
      <w:pPr>
        <w:snapToGrid/>
        <w:spacing w:before="156" w:beforeLines="50" w:after="156" w:afterLines="50"/>
        <w:ind w:firstLine="0" w:firstLineChars="0"/>
        <w:jc w:val="left"/>
        <w:outlineLvl w:val="2"/>
        <w:rPr>
          <w:b/>
          <w:bCs/>
          <w:color w:val="auto"/>
        </w:rPr>
      </w:pPr>
      <w:bookmarkStart w:id="35" w:name="_Toc2015"/>
      <w:r>
        <w:rPr>
          <w:b/>
          <w:bCs/>
          <w:color w:val="auto"/>
        </w:rPr>
        <w:t>2.1.5项目有关文件、资料</w:t>
      </w:r>
      <w:bookmarkEnd w:id="35"/>
    </w:p>
    <w:p w14:paraId="7DB3CB37">
      <w:pPr>
        <w:ind w:firstLine="480"/>
        <w:rPr>
          <w:color w:val="auto"/>
        </w:rPr>
      </w:pPr>
      <w:r>
        <w:rPr>
          <w:rFonts w:hint="eastAsia"/>
          <w:color w:val="auto"/>
        </w:rPr>
        <w:t>（1）</w:t>
      </w:r>
      <w:r>
        <w:rPr>
          <w:color w:val="auto"/>
        </w:rPr>
        <w:t>环境影响评价委托书；</w:t>
      </w:r>
    </w:p>
    <w:p w14:paraId="7587FAC8">
      <w:pPr>
        <w:ind w:firstLine="480"/>
        <w:rPr>
          <w:color w:val="auto"/>
        </w:rPr>
      </w:pPr>
      <w:r>
        <w:rPr>
          <w:rFonts w:hint="eastAsia"/>
          <w:color w:val="auto"/>
        </w:rPr>
        <w:t>（2）</w:t>
      </w:r>
      <w:r>
        <w:rPr>
          <w:color w:val="auto"/>
        </w:rPr>
        <w:t>建设项目可行性研究报告；</w:t>
      </w:r>
    </w:p>
    <w:p w14:paraId="7CACC9F5">
      <w:pPr>
        <w:ind w:firstLine="480"/>
        <w:rPr>
          <w:color w:val="auto"/>
        </w:rPr>
      </w:pPr>
      <w:r>
        <w:rPr>
          <w:rFonts w:hint="eastAsia"/>
          <w:color w:val="auto"/>
        </w:rPr>
        <w:t>（3）</w:t>
      </w:r>
      <w:r>
        <w:rPr>
          <w:color w:val="auto"/>
        </w:rPr>
        <w:t>启东亚太药业有限公司提供的其他资料。</w:t>
      </w:r>
    </w:p>
    <w:p w14:paraId="0BCCAD39">
      <w:pPr>
        <w:keepNext/>
        <w:keepLines/>
        <w:spacing w:before="312" w:beforeLines="100" w:after="312" w:afterLines="100"/>
        <w:ind w:firstLine="0" w:firstLineChars="0"/>
        <w:outlineLvl w:val="1"/>
        <w:rPr>
          <w:b/>
          <w:bCs/>
          <w:color w:val="auto"/>
          <w:sz w:val="30"/>
          <w:szCs w:val="32"/>
        </w:rPr>
      </w:pPr>
      <w:bookmarkStart w:id="36" w:name="_Toc27376"/>
      <w:r>
        <w:rPr>
          <w:rFonts w:hint="eastAsia"/>
          <w:b/>
          <w:bCs/>
          <w:color w:val="auto"/>
          <w:sz w:val="30"/>
          <w:szCs w:val="32"/>
        </w:rPr>
        <w:t>2.2环境影响因素识别与评价因子筛选</w:t>
      </w:r>
      <w:bookmarkEnd w:id="36"/>
    </w:p>
    <w:p w14:paraId="461E28DE">
      <w:pPr>
        <w:snapToGrid/>
        <w:spacing w:before="156" w:beforeLines="50" w:after="156" w:afterLines="50"/>
        <w:ind w:firstLine="0" w:firstLineChars="0"/>
        <w:jc w:val="left"/>
        <w:outlineLvl w:val="2"/>
        <w:rPr>
          <w:b/>
          <w:bCs/>
          <w:color w:val="auto"/>
        </w:rPr>
      </w:pPr>
      <w:bookmarkStart w:id="37" w:name="_Toc9605"/>
      <w:r>
        <w:rPr>
          <w:rFonts w:hint="eastAsia"/>
          <w:b/>
          <w:bCs/>
          <w:color w:val="auto"/>
        </w:rPr>
        <w:t>2.2.1环境影响因素识别</w:t>
      </w:r>
      <w:bookmarkEnd w:id="37"/>
    </w:p>
    <w:p w14:paraId="0E12993B">
      <w:pPr>
        <w:ind w:firstLine="480"/>
        <w:rPr>
          <w:color w:val="auto"/>
        </w:rPr>
      </w:pPr>
      <w:r>
        <w:rPr>
          <w:color w:val="auto"/>
        </w:rPr>
        <w:t>根据《建设项目环境影响评价技术导则 总纲》(HJ2.1-2016)，本项目涉及的环境影响因素见表2.</w:t>
      </w:r>
      <w:r>
        <w:rPr>
          <w:rFonts w:hint="eastAsia"/>
          <w:color w:val="auto"/>
        </w:rPr>
        <w:t>2</w:t>
      </w:r>
      <w:r>
        <w:rPr>
          <w:color w:val="auto"/>
        </w:rPr>
        <w:t>-1。</w:t>
      </w:r>
    </w:p>
    <w:p w14:paraId="7A8D11F8">
      <w:pPr>
        <w:ind w:firstLine="480"/>
        <w:rPr>
          <w:color w:val="auto"/>
        </w:rPr>
        <w:sectPr>
          <w:pgSz w:w="11906" w:h="16838"/>
          <w:pgMar w:top="1134" w:right="1134" w:bottom="1134" w:left="1134" w:header="851" w:footer="992" w:gutter="0"/>
          <w:cols w:space="425" w:num="1"/>
          <w:docGrid w:type="lines" w:linePitch="312" w:charSpace="0"/>
        </w:sectPr>
      </w:pPr>
    </w:p>
    <w:p w14:paraId="10F75760">
      <w:pPr>
        <w:ind w:firstLine="480"/>
        <w:rPr>
          <w:color w:val="auto"/>
        </w:rPr>
      </w:pPr>
    </w:p>
    <w:p w14:paraId="7BDFB026">
      <w:pPr>
        <w:pStyle w:val="49"/>
        <w:rPr>
          <w:color w:val="auto"/>
        </w:rPr>
      </w:pPr>
      <w:r>
        <w:rPr>
          <w:rFonts w:hint="eastAsia"/>
          <w:color w:val="auto"/>
        </w:rPr>
        <w:t>表2.2-1 环境影响因素识别表</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27"/>
        <w:gridCol w:w="1530"/>
        <w:gridCol w:w="1454"/>
        <w:gridCol w:w="1454"/>
        <w:gridCol w:w="1454"/>
        <w:gridCol w:w="1454"/>
        <w:gridCol w:w="1463"/>
        <w:gridCol w:w="1271"/>
        <w:gridCol w:w="1271"/>
        <w:gridCol w:w="1273"/>
        <w:gridCol w:w="1419"/>
      </w:tblGrid>
      <w:tr w14:paraId="37176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blHeader/>
          <w:jc w:val="center"/>
        </w:trPr>
        <w:tc>
          <w:tcPr>
            <w:tcW w:w="705" w:type="pct"/>
            <w:gridSpan w:val="2"/>
            <w:vMerge w:val="restart"/>
            <w:tcBorders>
              <w:top w:val="single" w:color="auto" w:sz="12" w:space="0"/>
              <w:left w:val="nil"/>
              <w:bottom w:val="single" w:color="auto" w:sz="4" w:space="0"/>
              <w:right w:val="single" w:color="auto" w:sz="4" w:space="0"/>
              <w:tl2br w:val="single" w:color="auto" w:sz="8" w:space="0"/>
            </w:tcBorders>
            <w:vAlign w:val="center"/>
          </w:tcPr>
          <w:p w14:paraId="4F759D70">
            <w:pPr>
              <w:widowControl/>
              <w:spacing w:line="240" w:lineRule="auto"/>
              <w:ind w:firstLine="0" w:firstLineChars="0"/>
              <w:jc w:val="right"/>
              <w:rPr>
                <w:b/>
                <w:bCs/>
                <w:color w:val="auto"/>
                <w:kern w:val="0"/>
                <w:sz w:val="21"/>
                <w:szCs w:val="21"/>
              </w:rPr>
            </w:pPr>
            <w:r>
              <w:rPr>
                <w:b/>
                <w:bCs/>
                <w:color w:val="auto"/>
                <w:kern w:val="0"/>
                <w:sz w:val="21"/>
                <w:szCs w:val="21"/>
              </w:rPr>
              <w:t xml:space="preserve">   影响受体</w:t>
            </w:r>
          </w:p>
          <w:p w14:paraId="6E25A06F">
            <w:pPr>
              <w:widowControl/>
              <w:spacing w:line="240" w:lineRule="auto"/>
              <w:ind w:firstLine="0" w:firstLineChars="0"/>
              <w:rPr>
                <w:b/>
                <w:bCs/>
                <w:color w:val="auto"/>
                <w:kern w:val="0"/>
                <w:sz w:val="21"/>
                <w:szCs w:val="21"/>
              </w:rPr>
            </w:pPr>
            <w:r>
              <w:rPr>
                <w:b/>
                <w:bCs/>
                <w:color w:val="auto"/>
                <w:kern w:val="0"/>
                <w:sz w:val="21"/>
                <w:szCs w:val="21"/>
              </w:rPr>
              <w:t>影响因素</w:t>
            </w:r>
          </w:p>
        </w:tc>
        <w:tc>
          <w:tcPr>
            <w:tcW w:w="2498" w:type="pct"/>
            <w:gridSpan w:val="5"/>
            <w:tcBorders>
              <w:top w:val="single" w:color="auto" w:sz="12" w:space="0"/>
              <w:left w:val="single" w:color="auto" w:sz="4" w:space="0"/>
              <w:bottom w:val="single" w:color="auto" w:sz="4" w:space="0"/>
              <w:right w:val="single" w:color="auto" w:sz="4" w:space="0"/>
            </w:tcBorders>
            <w:vAlign w:val="center"/>
          </w:tcPr>
          <w:p w14:paraId="3488BEDB">
            <w:pPr>
              <w:widowControl/>
              <w:spacing w:line="240" w:lineRule="auto"/>
              <w:ind w:firstLine="0" w:firstLineChars="0"/>
              <w:jc w:val="center"/>
              <w:rPr>
                <w:b/>
                <w:bCs/>
                <w:color w:val="auto"/>
                <w:kern w:val="0"/>
                <w:sz w:val="21"/>
                <w:szCs w:val="21"/>
              </w:rPr>
            </w:pPr>
            <w:r>
              <w:rPr>
                <w:b/>
                <w:bCs/>
                <w:color w:val="auto"/>
                <w:kern w:val="0"/>
                <w:sz w:val="21"/>
                <w:szCs w:val="21"/>
              </w:rPr>
              <w:t>自然环境</w:t>
            </w:r>
          </w:p>
        </w:tc>
        <w:tc>
          <w:tcPr>
            <w:tcW w:w="1797" w:type="pct"/>
            <w:gridSpan w:val="4"/>
            <w:tcBorders>
              <w:top w:val="single" w:color="auto" w:sz="12" w:space="0"/>
              <w:left w:val="single" w:color="auto" w:sz="4" w:space="0"/>
              <w:bottom w:val="single" w:color="auto" w:sz="4" w:space="0"/>
              <w:right w:val="nil"/>
            </w:tcBorders>
            <w:vAlign w:val="center"/>
          </w:tcPr>
          <w:p w14:paraId="7D0EAD33">
            <w:pPr>
              <w:widowControl/>
              <w:spacing w:line="240" w:lineRule="auto"/>
              <w:ind w:firstLine="0" w:firstLineChars="0"/>
              <w:jc w:val="center"/>
              <w:rPr>
                <w:b/>
                <w:bCs/>
                <w:color w:val="auto"/>
                <w:kern w:val="0"/>
                <w:sz w:val="21"/>
                <w:szCs w:val="21"/>
              </w:rPr>
            </w:pPr>
            <w:r>
              <w:rPr>
                <w:b/>
                <w:bCs/>
                <w:color w:val="auto"/>
                <w:kern w:val="0"/>
                <w:sz w:val="21"/>
                <w:szCs w:val="21"/>
              </w:rPr>
              <w:t>生态环境</w:t>
            </w:r>
          </w:p>
        </w:tc>
      </w:tr>
      <w:tr w14:paraId="4E7C4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blHeader/>
          <w:jc w:val="center"/>
        </w:trPr>
        <w:tc>
          <w:tcPr>
            <w:tcW w:w="705" w:type="pct"/>
            <w:gridSpan w:val="2"/>
            <w:vMerge w:val="continue"/>
            <w:tcBorders>
              <w:top w:val="single" w:color="auto" w:sz="4" w:space="0"/>
              <w:left w:val="nil"/>
              <w:bottom w:val="single" w:color="auto" w:sz="4" w:space="0"/>
              <w:right w:val="single" w:color="auto" w:sz="4" w:space="0"/>
            </w:tcBorders>
            <w:vAlign w:val="center"/>
          </w:tcPr>
          <w:p w14:paraId="1908FA3C">
            <w:pPr>
              <w:widowControl/>
              <w:spacing w:line="240" w:lineRule="auto"/>
              <w:ind w:firstLine="0" w:firstLineChars="0"/>
              <w:jc w:val="center"/>
              <w:rPr>
                <w:b/>
                <w:bCs/>
                <w:color w:val="auto"/>
                <w:kern w:val="0"/>
                <w:sz w:val="21"/>
                <w:szCs w:val="21"/>
              </w:rPr>
            </w:pPr>
          </w:p>
        </w:tc>
        <w:tc>
          <w:tcPr>
            <w:tcW w:w="499" w:type="pct"/>
            <w:tcBorders>
              <w:top w:val="single" w:color="auto" w:sz="4" w:space="0"/>
              <w:left w:val="single" w:color="auto" w:sz="4" w:space="0"/>
              <w:bottom w:val="single" w:color="auto" w:sz="4" w:space="0"/>
              <w:right w:val="single" w:color="auto" w:sz="4" w:space="0"/>
            </w:tcBorders>
            <w:vAlign w:val="center"/>
          </w:tcPr>
          <w:p w14:paraId="087496FC">
            <w:pPr>
              <w:widowControl/>
              <w:spacing w:line="240" w:lineRule="auto"/>
              <w:ind w:firstLine="0" w:firstLineChars="0"/>
              <w:jc w:val="center"/>
              <w:rPr>
                <w:b/>
                <w:bCs/>
                <w:color w:val="auto"/>
                <w:kern w:val="0"/>
                <w:sz w:val="21"/>
                <w:szCs w:val="21"/>
              </w:rPr>
            </w:pPr>
            <w:r>
              <w:rPr>
                <w:b/>
                <w:bCs/>
                <w:color w:val="auto"/>
                <w:kern w:val="0"/>
                <w:sz w:val="21"/>
                <w:szCs w:val="21"/>
              </w:rPr>
              <w:t>环境</w:t>
            </w:r>
          </w:p>
          <w:p w14:paraId="7BD0E416">
            <w:pPr>
              <w:widowControl/>
              <w:spacing w:line="240" w:lineRule="auto"/>
              <w:ind w:firstLine="0" w:firstLineChars="0"/>
              <w:jc w:val="center"/>
              <w:rPr>
                <w:b/>
                <w:bCs/>
                <w:color w:val="auto"/>
                <w:kern w:val="0"/>
                <w:sz w:val="21"/>
                <w:szCs w:val="21"/>
              </w:rPr>
            </w:pPr>
            <w:r>
              <w:rPr>
                <w:b/>
                <w:bCs/>
                <w:color w:val="auto"/>
                <w:kern w:val="0"/>
                <w:sz w:val="21"/>
                <w:szCs w:val="21"/>
              </w:rPr>
              <w:t>空气</w:t>
            </w:r>
          </w:p>
        </w:tc>
        <w:tc>
          <w:tcPr>
            <w:tcW w:w="499" w:type="pct"/>
            <w:tcBorders>
              <w:top w:val="single" w:color="auto" w:sz="4" w:space="0"/>
              <w:left w:val="single" w:color="auto" w:sz="4" w:space="0"/>
              <w:bottom w:val="single" w:color="auto" w:sz="4" w:space="0"/>
              <w:right w:val="single" w:color="auto" w:sz="4" w:space="0"/>
            </w:tcBorders>
            <w:vAlign w:val="center"/>
          </w:tcPr>
          <w:p w14:paraId="17CB1615">
            <w:pPr>
              <w:widowControl/>
              <w:spacing w:line="240" w:lineRule="auto"/>
              <w:ind w:firstLine="0" w:firstLineChars="0"/>
              <w:jc w:val="center"/>
              <w:rPr>
                <w:b/>
                <w:bCs/>
                <w:color w:val="auto"/>
                <w:kern w:val="0"/>
                <w:sz w:val="21"/>
                <w:szCs w:val="21"/>
              </w:rPr>
            </w:pPr>
            <w:r>
              <w:rPr>
                <w:b/>
                <w:bCs/>
                <w:color w:val="auto"/>
                <w:kern w:val="0"/>
                <w:sz w:val="21"/>
                <w:szCs w:val="21"/>
              </w:rPr>
              <w:t>地表水</w:t>
            </w:r>
          </w:p>
          <w:p w14:paraId="651AE14B">
            <w:pPr>
              <w:widowControl/>
              <w:spacing w:line="240" w:lineRule="auto"/>
              <w:ind w:firstLine="0" w:firstLineChars="0"/>
              <w:jc w:val="center"/>
              <w:rPr>
                <w:b/>
                <w:bCs/>
                <w:color w:val="auto"/>
                <w:kern w:val="0"/>
                <w:sz w:val="21"/>
                <w:szCs w:val="21"/>
              </w:rPr>
            </w:pPr>
            <w:r>
              <w:rPr>
                <w:b/>
                <w:bCs/>
                <w:color w:val="auto"/>
                <w:kern w:val="0"/>
                <w:sz w:val="21"/>
                <w:szCs w:val="21"/>
              </w:rPr>
              <w:t>环境</w:t>
            </w:r>
          </w:p>
        </w:tc>
        <w:tc>
          <w:tcPr>
            <w:tcW w:w="499" w:type="pct"/>
            <w:tcBorders>
              <w:top w:val="single" w:color="auto" w:sz="4" w:space="0"/>
              <w:left w:val="single" w:color="auto" w:sz="4" w:space="0"/>
              <w:bottom w:val="single" w:color="auto" w:sz="4" w:space="0"/>
              <w:right w:val="single" w:color="auto" w:sz="4" w:space="0"/>
            </w:tcBorders>
            <w:vAlign w:val="center"/>
          </w:tcPr>
          <w:p w14:paraId="5341E6E4">
            <w:pPr>
              <w:widowControl/>
              <w:spacing w:line="240" w:lineRule="auto"/>
              <w:ind w:firstLine="0" w:firstLineChars="0"/>
              <w:jc w:val="center"/>
              <w:rPr>
                <w:b/>
                <w:bCs/>
                <w:color w:val="auto"/>
                <w:kern w:val="0"/>
                <w:sz w:val="21"/>
                <w:szCs w:val="21"/>
              </w:rPr>
            </w:pPr>
            <w:r>
              <w:rPr>
                <w:b/>
                <w:bCs/>
                <w:color w:val="auto"/>
                <w:kern w:val="0"/>
                <w:sz w:val="21"/>
                <w:szCs w:val="21"/>
              </w:rPr>
              <w:t>地下水</w:t>
            </w:r>
          </w:p>
          <w:p w14:paraId="2243A135">
            <w:pPr>
              <w:widowControl/>
              <w:spacing w:line="240" w:lineRule="auto"/>
              <w:ind w:firstLine="0" w:firstLineChars="0"/>
              <w:jc w:val="center"/>
              <w:rPr>
                <w:b/>
                <w:bCs/>
                <w:color w:val="auto"/>
                <w:kern w:val="0"/>
                <w:sz w:val="21"/>
                <w:szCs w:val="21"/>
              </w:rPr>
            </w:pPr>
            <w:r>
              <w:rPr>
                <w:b/>
                <w:bCs/>
                <w:color w:val="auto"/>
                <w:kern w:val="0"/>
                <w:sz w:val="21"/>
                <w:szCs w:val="21"/>
              </w:rPr>
              <w:t>环境</w:t>
            </w:r>
          </w:p>
        </w:tc>
        <w:tc>
          <w:tcPr>
            <w:tcW w:w="499" w:type="pct"/>
            <w:tcBorders>
              <w:top w:val="single" w:color="auto" w:sz="4" w:space="0"/>
              <w:left w:val="single" w:color="auto" w:sz="4" w:space="0"/>
              <w:bottom w:val="single" w:color="auto" w:sz="4" w:space="0"/>
              <w:right w:val="single" w:color="auto" w:sz="4" w:space="0"/>
            </w:tcBorders>
            <w:vAlign w:val="center"/>
          </w:tcPr>
          <w:p w14:paraId="178C22B5">
            <w:pPr>
              <w:widowControl/>
              <w:spacing w:line="240" w:lineRule="auto"/>
              <w:ind w:firstLine="0" w:firstLineChars="0"/>
              <w:jc w:val="center"/>
              <w:rPr>
                <w:b/>
                <w:bCs/>
                <w:color w:val="auto"/>
                <w:kern w:val="0"/>
                <w:sz w:val="21"/>
                <w:szCs w:val="21"/>
              </w:rPr>
            </w:pPr>
            <w:r>
              <w:rPr>
                <w:b/>
                <w:bCs/>
                <w:color w:val="auto"/>
                <w:kern w:val="0"/>
                <w:sz w:val="21"/>
                <w:szCs w:val="21"/>
              </w:rPr>
              <w:t>土壤</w:t>
            </w:r>
          </w:p>
          <w:p w14:paraId="761C32EC">
            <w:pPr>
              <w:widowControl/>
              <w:spacing w:line="240" w:lineRule="auto"/>
              <w:ind w:firstLine="0" w:firstLineChars="0"/>
              <w:jc w:val="center"/>
              <w:rPr>
                <w:b/>
                <w:bCs/>
                <w:color w:val="auto"/>
                <w:kern w:val="0"/>
                <w:sz w:val="21"/>
                <w:szCs w:val="21"/>
              </w:rPr>
            </w:pPr>
            <w:r>
              <w:rPr>
                <w:b/>
                <w:bCs/>
                <w:color w:val="auto"/>
                <w:kern w:val="0"/>
                <w:sz w:val="21"/>
                <w:szCs w:val="21"/>
              </w:rPr>
              <w:t>环境</w:t>
            </w:r>
          </w:p>
        </w:tc>
        <w:tc>
          <w:tcPr>
            <w:tcW w:w="500" w:type="pct"/>
            <w:tcBorders>
              <w:top w:val="single" w:color="auto" w:sz="4" w:space="0"/>
              <w:left w:val="single" w:color="auto" w:sz="4" w:space="0"/>
              <w:bottom w:val="single" w:color="auto" w:sz="4" w:space="0"/>
              <w:right w:val="single" w:color="auto" w:sz="4" w:space="0"/>
            </w:tcBorders>
            <w:vAlign w:val="center"/>
          </w:tcPr>
          <w:p w14:paraId="32DA7847">
            <w:pPr>
              <w:widowControl/>
              <w:spacing w:line="240" w:lineRule="auto"/>
              <w:ind w:firstLine="0" w:firstLineChars="0"/>
              <w:jc w:val="center"/>
              <w:rPr>
                <w:b/>
                <w:bCs/>
                <w:color w:val="auto"/>
                <w:kern w:val="0"/>
                <w:sz w:val="21"/>
                <w:szCs w:val="21"/>
              </w:rPr>
            </w:pPr>
            <w:r>
              <w:rPr>
                <w:b/>
                <w:bCs/>
                <w:color w:val="auto"/>
                <w:kern w:val="0"/>
                <w:sz w:val="21"/>
                <w:szCs w:val="21"/>
              </w:rPr>
              <w:t>声环</w:t>
            </w:r>
          </w:p>
          <w:p w14:paraId="02450F0B">
            <w:pPr>
              <w:widowControl/>
              <w:spacing w:line="240" w:lineRule="auto"/>
              <w:ind w:firstLine="0" w:firstLineChars="0"/>
              <w:jc w:val="center"/>
              <w:rPr>
                <w:b/>
                <w:bCs/>
                <w:color w:val="auto"/>
                <w:kern w:val="0"/>
                <w:sz w:val="21"/>
                <w:szCs w:val="21"/>
              </w:rPr>
            </w:pPr>
            <w:r>
              <w:rPr>
                <w:b/>
                <w:bCs/>
                <w:color w:val="auto"/>
                <w:kern w:val="0"/>
                <w:sz w:val="21"/>
                <w:szCs w:val="21"/>
              </w:rPr>
              <w:t>境</w:t>
            </w:r>
          </w:p>
        </w:tc>
        <w:tc>
          <w:tcPr>
            <w:tcW w:w="436" w:type="pct"/>
            <w:tcBorders>
              <w:top w:val="single" w:color="auto" w:sz="4" w:space="0"/>
              <w:left w:val="single" w:color="auto" w:sz="4" w:space="0"/>
              <w:bottom w:val="single" w:color="auto" w:sz="4" w:space="0"/>
              <w:right w:val="single" w:color="auto" w:sz="4" w:space="0"/>
            </w:tcBorders>
            <w:vAlign w:val="center"/>
          </w:tcPr>
          <w:p w14:paraId="2E5EC4E8">
            <w:pPr>
              <w:widowControl/>
              <w:spacing w:line="240" w:lineRule="auto"/>
              <w:ind w:firstLine="0" w:firstLineChars="0"/>
              <w:jc w:val="center"/>
              <w:rPr>
                <w:b/>
                <w:bCs/>
                <w:color w:val="auto"/>
                <w:kern w:val="0"/>
                <w:sz w:val="21"/>
                <w:szCs w:val="21"/>
              </w:rPr>
            </w:pPr>
            <w:r>
              <w:rPr>
                <w:b/>
                <w:bCs/>
                <w:color w:val="auto"/>
                <w:kern w:val="0"/>
                <w:sz w:val="21"/>
                <w:szCs w:val="21"/>
              </w:rPr>
              <w:t>陆域</w:t>
            </w:r>
          </w:p>
          <w:p w14:paraId="04B4BCB2">
            <w:pPr>
              <w:widowControl/>
              <w:spacing w:line="240" w:lineRule="auto"/>
              <w:ind w:firstLine="0" w:firstLineChars="0"/>
              <w:jc w:val="center"/>
              <w:rPr>
                <w:b/>
                <w:bCs/>
                <w:color w:val="auto"/>
                <w:kern w:val="0"/>
                <w:sz w:val="21"/>
                <w:szCs w:val="21"/>
              </w:rPr>
            </w:pPr>
            <w:r>
              <w:rPr>
                <w:b/>
                <w:bCs/>
                <w:color w:val="auto"/>
                <w:kern w:val="0"/>
                <w:sz w:val="21"/>
                <w:szCs w:val="21"/>
              </w:rPr>
              <w:t>环境</w:t>
            </w:r>
          </w:p>
        </w:tc>
        <w:tc>
          <w:tcPr>
            <w:tcW w:w="436" w:type="pct"/>
            <w:tcBorders>
              <w:top w:val="single" w:color="auto" w:sz="4" w:space="0"/>
              <w:left w:val="single" w:color="auto" w:sz="4" w:space="0"/>
              <w:bottom w:val="single" w:color="auto" w:sz="4" w:space="0"/>
              <w:right w:val="single" w:color="auto" w:sz="4" w:space="0"/>
            </w:tcBorders>
            <w:vAlign w:val="center"/>
          </w:tcPr>
          <w:p w14:paraId="24B7BCED">
            <w:pPr>
              <w:widowControl/>
              <w:spacing w:line="240" w:lineRule="auto"/>
              <w:ind w:firstLine="0" w:firstLineChars="0"/>
              <w:jc w:val="center"/>
              <w:rPr>
                <w:b/>
                <w:bCs/>
                <w:color w:val="auto"/>
                <w:kern w:val="0"/>
                <w:sz w:val="21"/>
                <w:szCs w:val="21"/>
              </w:rPr>
            </w:pPr>
            <w:r>
              <w:rPr>
                <w:b/>
                <w:bCs/>
                <w:color w:val="auto"/>
                <w:kern w:val="0"/>
                <w:sz w:val="21"/>
                <w:szCs w:val="21"/>
              </w:rPr>
              <w:t>水生</w:t>
            </w:r>
          </w:p>
          <w:p w14:paraId="37D795C8">
            <w:pPr>
              <w:widowControl/>
              <w:spacing w:line="240" w:lineRule="auto"/>
              <w:ind w:firstLine="0" w:firstLineChars="0"/>
              <w:jc w:val="center"/>
              <w:rPr>
                <w:b/>
                <w:bCs/>
                <w:color w:val="auto"/>
                <w:kern w:val="0"/>
                <w:sz w:val="21"/>
                <w:szCs w:val="21"/>
              </w:rPr>
            </w:pPr>
            <w:r>
              <w:rPr>
                <w:b/>
                <w:bCs/>
                <w:color w:val="auto"/>
                <w:kern w:val="0"/>
                <w:sz w:val="21"/>
                <w:szCs w:val="21"/>
              </w:rPr>
              <w:t>生物</w:t>
            </w:r>
          </w:p>
        </w:tc>
        <w:tc>
          <w:tcPr>
            <w:tcW w:w="437" w:type="pct"/>
            <w:tcBorders>
              <w:top w:val="single" w:color="auto" w:sz="4" w:space="0"/>
              <w:left w:val="single" w:color="auto" w:sz="4" w:space="0"/>
              <w:bottom w:val="single" w:color="auto" w:sz="4" w:space="0"/>
              <w:right w:val="single" w:color="auto" w:sz="4" w:space="0"/>
            </w:tcBorders>
            <w:vAlign w:val="center"/>
          </w:tcPr>
          <w:p w14:paraId="6499F0A5">
            <w:pPr>
              <w:widowControl/>
              <w:spacing w:line="240" w:lineRule="auto"/>
              <w:ind w:firstLine="0" w:firstLineChars="0"/>
              <w:jc w:val="center"/>
              <w:rPr>
                <w:b/>
                <w:bCs/>
                <w:color w:val="auto"/>
                <w:kern w:val="0"/>
                <w:sz w:val="21"/>
                <w:szCs w:val="21"/>
              </w:rPr>
            </w:pPr>
            <w:r>
              <w:rPr>
                <w:b/>
                <w:bCs/>
                <w:color w:val="auto"/>
                <w:kern w:val="0"/>
                <w:sz w:val="21"/>
                <w:szCs w:val="21"/>
              </w:rPr>
              <w:t>渔业</w:t>
            </w:r>
          </w:p>
          <w:p w14:paraId="00B1E5BA">
            <w:pPr>
              <w:widowControl/>
              <w:spacing w:line="240" w:lineRule="auto"/>
              <w:ind w:firstLine="0" w:firstLineChars="0"/>
              <w:jc w:val="center"/>
              <w:rPr>
                <w:b/>
                <w:bCs/>
                <w:color w:val="auto"/>
                <w:kern w:val="0"/>
                <w:sz w:val="21"/>
                <w:szCs w:val="21"/>
              </w:rPr>
            </w:pPr>
            <w:r>
              <w:rPr>
                <w:b/>
                <w:bCs/>
                <w:color w:val="auto"/>
                <w:kern w:val="0"/>
                <w:sz w:val="21"/>
                <w:szCs w:val="21"/>
              </w:rPr>
              <w:t>资源</w:t>
            </w:r>
          </w:p>
        </w:tc>
        <w:tc>
          <w:tcPr>
            <w:tcW w:w="488" w:type="pct"/>
            <w:tcBorders>
              <w:top w:val="single" w:color="auto" w:sz="4" w:space="0"/>
              <w:left w:val="single" w:color="auto" w:sz="4" w:space="0"/>
              <w:bottom w:val="single" w:color="auto" w:sz="4" w:space="0"/>
              <w:right w:val="nil"/>
            </w:tcBorders>
            <w:vAlign w:val="center"/>
          </w:tcPr>
          <w:p w14:paraId="43C6C6BE">
            <w:pPr>
              <w:widowControl/>
              <w:spacing w:line="240" w:lineRule="auto"/>
              <w:ind w:firstLine="0" w:firstLineChars="0"/>
              <w:jc w:val="center"/>
              <w:rPr>
                <w:b/>
                <w:bCs/>
                <w:color w:val="auto"/>
                <w:kern w:val="0"/>
                <w:sz w:val="21"/>
                <w:szCs w:val="21"/>
              </w:rPr>
            </w:pPr>
            <w:r>
              <w:rPr>
                <w:b/>
                <w:bCs/>
                <w:color w:val="auto"/>
                <w:kern w:val="0"/>
                <w:sz w:val="21"/>
                <w:szCs w:val="21"/>
              </w:rPr>
              <w:t>主要生态</w:t>
            </w:r>
          </w:p>
          <w:p w14:paraId="3BC34D61">
            <w:pPr>
              <w:widowControl/>
              <w:spacing w:line="240" w:lineRule="auto"/>
              <w:ind w:firstLine="0" w:firstLineChars="0"/>
              <w:jc w:val="center"/>
              <w:rPr>
                <w:b/>
                <w:bCs/>
                <w:color w:val="auto"/>
                <w:kern w:val="0"/>
                <w:sz w:val="21"/>
                <w:szCs w:val="21"/>
              </w:rPr>
            </w:pPr>
            <w:r>
              <w:rPr>
                <w:b/>
                <w:bCs/>
                <w:color w:val="auto"/>
                <w:kern w:val="0"/>
                <w:sz w:val="21"/>
                <w:szCs w:val="21"/>
              </w:rPr>
              <w:t>保护区域</w:t>
            </w:r>
          </w:p>
        </w:tc>
      </w:tr>
      <w:tr w14:paraId="30000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jc w:val="center"/>
        </w:trPr>
        <w:tc>
          <w:tcPr>
            <w:tcW w:w="181" w:type="pct"/>
            <w:vMerge w:val="restart"/>
            <w:tcBorders>
              <w:top w:val="single" w:color="auto" w:sz="4" w:space="0"/>
              <w:left w:val="nil"/>
              <w:bottom w:val="single" w:color="auto" w:sz="4" w:space="0"/>
              <w:right w:val="single" w:color="auto" w:sz="4" w:space="0"/>
            </w:tcBorders>
            <w:textDirection w:val="tbRlV"/>
            <w:vAlign w:val="center"/>
          </w:tcPr>
          <w:p w14:paraId="108F835A">
            <w:pPr>
              <w:widowControl/>
              <w:spacing w:line="240" w:lineRule="auto"/>
              <w:ind w:firstLine="0" w:firstLineChars="0"/>
              <w:jc w:val="center"/>
              <w:rPr>
                <w:color w:val="auto"/>
                <w:kern w:val="0"/>
                <w:sz w:val="21"/>
                <w:szCs w:val="21"/>
              </w:rPr>
            </w:pPr>
            <w:r>
              <w:rPr>
                <w:color w:val="auto"/>
                <w:kern w:val="0"/>
                <w:sz w:val="21"/>
                <w:szCs w:val="21"/>
              </w:rPr>
              <w:t>施工期</w:t>
            </w:r>
          </w:p>
        </w:tc>
        <w:tc>
          <w:tcPr>
            <w:tcW w:w="525" w:type="pct"/>
            <w:tcBorders>
              <w:top w:val="single" w:color="auto" w:sz="4" w:space="0"/>
              <w:left w:val="single" w:color="auto" w:sz="4" w:space="0"/>
              <w:bottom w:val="single" w:color="auto" w:sz="4" w:space="0"/>
              <w:right w:val="single" w:color="auto" w:sz="4" w:space="0"/>
            </w:tcBorders>
            <w:vAlign w:val="center"/>
          </w:tcPr>
          <w:p w14:paraId="6CAEC30C">
            <w:pPr>
              <w:widowControl/>
              <w:spacing w:line="240" w:lineRule="auto"/>
              <w:ind w:firstLine="0" w:firstLineChars="0"/>
              <w:jc w:val="center"/>
              <w:rPr>
                <w:color w:val="auto"/>
                <w:kern w:val="0"/>
                <w:sz w:val="21"/>
                <w:szCs w:val="21"/>
              </w:rPr>
            </w:pPr>
            <w:r>
              <w:rPr>
                <w:color w:val="auto"/>
                <w:kern w:val="0"/>
                <w:sz w:val="21"/>
                <w:szCs w:val="21"/>
              </w:rPr>
              <w:t>施工废水</w:t>
            </w:r>
          </w:p>
        </w:tc>
        <w:tc>
          <w:tcPr>
            <w:tcW w:w="499" w:type="pct"/>
            <w:tcBorders>
              <w:top w:val="single" w:color="auto" w:sz="4" w:space="0"/>
              <w:left w:val="single" w:color="auto" w:sz="4" w:space="0"/>
              <w:bottom w:val="single" w:color="auto" w:sz="4" w:space="0"/>
              <w:right w:val="single" w:color="auto" w:sz="4" w:space="0"/>
            </w:tcBorders>
            <w:vAlign w:val="center"/>
          </w:tcPr>
          <w:p w14:paraId="077D9BC6">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78CDAA82">
            <w:pPr>
              <w:widowControl/>
              <w:spacing w:line="240" w:lineRule="auto"/>
              <w:ind w:firstLine="0" w:firstLineChars="0"/>
              <w:jc w:val="center"/>
              <w:rPr>
                <w:color w:val="auto"/>
                <w:kern w:val="0"/>
                <w:sz w:val="21"/>
                <w:szCs w:val="21"/>
              </w:rPr>
            </w:pPr>
            <w:r>
              <w:rPr>
                <w:color w:val="auto"/>
                <w:kern w:val="0"/>
                <w:sz w:val="21"/>
                <w:szCs w:val="21"/>
              </w:rPr>
              <w:t>-1SRDNC</w:t>
            </w:r>
          </w:p>
        </w:tc>
        <w:tc>
          <w:tcPr>
            <w:tcW w:w="499" w:type="pct"/>
            <w:tcBorders>
              <w:top w:val="single" w:color="auto" w:sz="4" w:space="0"/>
              <w:left w:val="single" w:color="auto" w:sz="4" w:space="0"/>
              <w:bottom w:val="single" w:color="auto" w:sz="4" w:space="0"/>
              <w:right w:val="single" w:color="auto" w:sz="4" w:space="0"/>
            </w:tcBorders>
            <w:vAlign w:val="center"/>
          </w:tcPr>
          <w:p w14:paraId="0513242F">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4A5FC25D">
            <w:pPr>
              <w:widowControl/>
              <w:spacing w:line="240" w:lineRule="auto"/>
              <w:ind w:firstLine="0" w:firstLineChars="0"/>
              <w:jc w:val="center"/>
              <w:rPr>
                <w:color w:val="auto"/>
                <w:kern w:val="0"/>
                <w:sz w:val="21"/>
                <w:szCs w:val="21"/>
              </w:rPr>
            </w:pPr>
            <w:r>
              <w:rPr>
                <w:color w:val="auto"/>
                <w:kern w:val="0"/>
                <w:sz w:val="21"/>
                <w:szCs w:val="21"/>
              </w:rPr>
              <w:t>/</w:t>
            </w:r>
          </w:p>
        </w:tc>
        <w:tc>
          <w:tcPr>
            <w:tcW w:w="500" w:type="pct"/>
            <w:tcBorders>
              <w:top w:val="single" w:color="auto" w:sz="4" w:space="0"/>
              <w:left w:val="single" w:color="auto" w:sz="4" w:space="0"/>
              <w:bottom w:val="single" w:color="auto" w:sz="4" w:space="0"/>
              <w:right w:val="single" w:color="auto" w:sz="4" w:space="0"/>
            </w:tcBorders>
            <w:vAlign w:val="center"/>
          </w:tcPr>
          <w:p w14:paraId="56B058D4">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464C9E33">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045DD48F">
            <w:pPr>
              <w:widowControl/>
              <w:spacing w:line="240" w:lineRule="auto"/>
              <w:ind w:firstLine="0" w:firstLineChars="0"/>
              <w:jc w:val="center"/>
              <w:rPr>
                <w:color w:val="auto"/>
                <w:kern w:val="0"/>
                <w:sz w:val="21"/>
                <w:szCs w:val="21"/>
              </w:rPr>
            </w:pPr>
            <w:r>
              <w:rPr>
                <w:color w:val="auto"/>
                <w:kern w:val="0"/>
                <w:sz w:val="21"/>
                <w:szCs w:val="21"/>
              </w:rPr>
              <w:t>/</w:t>
            </w:r>
          </w:p>
        </w:tc>
        <w:tc>
          <w:tcPr>
            <w:tcW w:w="437" w:type="pct"/>
            <w:tcBorders>
              <w:top w:val="single" w:color="auto" w:sz="4" w:space="0"/>
              <w:left w:val="single" w:color="auto" w:sz="4" w:space="0"/>
              <w:bottom w:val="single" w:color="auto" w:sz="4" w:space="0"/>
              <w:right w:val="single" w:color="auto" w:sz="4" w:space="0"/>
            </w:tcBorders>
            <w:vAlign w:val="center"/>
          </w:tcPr>
          <w:p w14:paraId="1EB0371C">
            <w:pPr>
              <w:widowControl/>
              <w:spacing w:line="240" w:lineRule="auto"/>
              <w:ind w:firstLine="0" w:firstLineChars="0"/>
              <w:jc w:val="center"/>
              <w:rPr>
                <w:color w:val="auto"/>
                <w:kern w:val="0"/>
                <w:sz w:val="21"/>
                <w:szCs w:val="21"/>
              </w:rPr>
            </w:pPr>
            <w:r>
              <w:rPr>
                <w:color w:val="auto"/>
                <w:kern w:val="0"/>
                <w:sz w:val="21"/>
                <w:szCs w:val="21"/>
              </w:rPr>
              <w:t>/</w:t>
            </w:r>
          </w:p>
        </w:tc>
        <w:tc>
          <w:tcPr>
            <w:tcW w:w="488" w:type="pct"/>
            <w:tcBorders>
              <w:top w:val="single" w:color="auto" w:sz="4" w:space="0"/>
              <w:left w:val="single" w:color="auto" w:sz="4" w:space="0"/>
              <w:bottom w:val="single" w:color="auto" w:sz="4" w:space="0"/>
              <w:right w:val="nil"/>
            </w:tcBorders>
            <w:vAlign w:val="center"/>
          </w:tcPr>
          <w:p w14:paraId="693EF9BF">
            <w:pPr>
              <w:widowControl/>
              <w:spacing w:line="240" w:lineRule="auto"/>
              <w:ind w:firstLine="0" w:firstLineChars="0"/>
              <w:jc w:val="center"/>
              <w:rPr>
                <w:color w:val="auto"/>
                <w:kern w:val="0"/>
                <w:sz w:val="21"/>
                <w:szCs w:val="21"/>
              </w:rPr>
            </w:pPr>
            <w:r>
              <w:rPr>
                <w:color w:val="auto"/>
                <w:kern w:val="0"/>
                <w:sz w:val="21"/>
                <w:szCs w:val="21"/>
              </w:rPr>
              <w:t>/</w:t>
            </w:r>
          </w:p>
        </w:tc>
      </w:tr>
      <w:tr w14:paraId="59FC1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jc w:val="center"/>
        </w:trPr>
        <w:tc>
          <w:tcPr>
            <w:tcW w:w="181" w:type="pct"/>
            <w:vMerge w:val="continue"/>
            <w:tcBorders>
              <w:top w:val="single" w:color="auto" w:sz="4" w:space="0"/>
              <w:left w:val="nil"/>
              <w:bottom w:val="single" w:color="auto" w:sz="4" w:space="0"/>
              <w:right w:val="single" w:color="auto" w:sz="4" w:space="0"/>
            </w:tcBorders>
            <w:vAlign w:val="center"/>
          </w:tcPr>
          <w:p w14:paraId="0C0C0E96">
            <w:pPr>
              <w:widowControl/>
              <w:spacing w:line="240" w:lineRule="auto"/>
              <w:ind w:firstLine="0" w:firstLineChars="0"/>
              <w:jc w:val="center"/>
              <w:rPr>
                <w:color w:val="auto"/>
                <w:kern w:val="0"/>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14:paraId="459842C5">
            <w:pPr>
              <w:widowControl/>
              <w:spacing w:line="240" w:lineRule="auto"/>
              <w:ind w:firstLine="0" w:firstLineChars="0"/>
              <w:jc w:val="center"/>
              <w:rPr>
                <w:color w:val="auto"/>
                <w:kern w:val="0"/>
                <w:sz w:val="21"/>
                <w:szCs w:val="21"/>
              </w:rPr>
            </w:pPr>
            <w:r>
              <w:rPr>
                <w:color w:val="auto"/>
                <w:kern w:val="0"/>
                <w:sz w:val="21"/>
                <w:szCs w:val="21"/>
              </w:rPr>
              <w:t>施工扬尘</w:t>
            </w:r>
          </w:p>
        </w:tc>
        <w:tc>
          <w:tcPr>
            <w:tcW w:w="499" w:type="pct"/>
            <w:tcBorders>
              <w:top w:val="single" w:color="auto" w:sz="4" w:space="0"/>
              <w:left w:val="single" w:color="auto" w:sz="4" w:space="0"/>
              <w:bottom w:val="single" w:color="auto" w:sz="4" w:space="0"/>
              <w:right w:val="single" w:color="auto" w:sz="4" w:space="0"/>
            </w:tcBorders>
            <w:vAlign w:val="center"/>
          </w:tcPr>
          <w:p w14:paraId="7D4654D5">
            <w:pPr>
              <w:widowControl/>
              <w:spacing w:line="240" w:lineRule="auto"/>
              <w:ind w:firstLine="0" w:firstLineChars="0"/>
              <w:jc w:val="center"/>
              <w:rPr>
                <w:color w:val="auto"/>
                <w:kern w:val="0"/>
                <w:sz w:val="21"/>
                <w:szCs w:val="21"/>
              </w:rPr>
            </w:pPr>
            <w:r>
              <w:rPr>
                <w:color w:val="auto"/>
                <w:kern w:val="0"/>
                <w:sz w:val="21"/>
                <w:szCs w:val="21"/>
              </w:rPr>
              <w:t>-1SRDNC</w:t>
            </w:r>
          </w:p>
        </w:tc>
        <w:tc>
          <w:tcPr>
            <w:tcW w:w="499" w:type="pct"/>
            <w:tcBorders>
              <w:top w:val="single" w:color="auto" w:sz="4" w:space="0"/>
              <w:left w:val="single" w:color="auto" w:sz="4" w:space="0"/>
              <w:bottom w:val="single" w:color="auto" w:sz="4" w:space="0"/>
              <w:right w:val="single" w:color="auto" w:sz="4" w:space="0"/>
            </w:tcBorders>
            <w:vAlign w:val="center"/>
          </w:tcPr>
          <w:p w14:paraId="0E316458">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17E34C47">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05F1FE23">
            <w:pPr>
              <w:widowControl/>
              <w:spacing w:line="240" w:lineRule="auto"/>
              <w:ind w:firstLine="0" w:firstLineChars="0"/>
              <w:jc w:val="center"/>
              <w:rPr>
                <w:color w:val="auto"/>
                <w:kern w:val="0"/>
                <w:sz w:val="21"/>
                <w:szCs w:val="21"/>
              </w:rPr>
            </w:pPr>
            <w:r>
              <w:rPr>
                <w:color w:val="auto"/>
                <w:kern w:val="0"/>
                <w:sz w:val="21"/>
                <w:szCs w:val="21"/>
              </w:rPr>
              <w:t>/</w:t>
            </w:r>
          </w:p>
        </w:tc>
        <w:tc>
          <w:tcPr>
            <w:tcW w:w="500" w:type="pct"/>
            <w:tcBorders>
              <w:top w:val="single" w:color="auto" w:sz="4" w:space="0"/>
              <w:left w:val="single" w:color="auto" w:sz="4" w:space="0"/>
              <w:bottom w:val="single" w:color="auto" w:sz="4" w:space="0"/>
              <w:right w:val="single" w:color="auto" w:sz="4" w:space="0"/>
            </w:tcBorders>
            <w:vAlign w:val="center"/>
          </w:tcPr>
          <w:p w14:paraId="2FAF3CFD">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70C37931">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160D515A">
            <w:pPr>
              <w:widowControl/>
              <w:spacing w:line="240" w:lineRule="auto"/>
              <w:ind w:firstLine="0" w:firstLineChars="0"/>
              <w:jc w:val="center"/>
              <w:rPr>
                <w:color w:val="auto"/>
                <w:kern w:val="0"/>
                <w:sz w:val="21"/>
                <w:szCs w:val="21"/>
              </w:rPr>
            </w:pPr>
            <w:r>
              <w:rPr>
                <w:color w:val="auto"/>
                <w:kern w:val="0"/>
                <w:sz w:val="21"/>
                <w:szCs w:val="21"/>
              </w:rPr>
              <w:t>/</w:t>
            </w:r>
          </w:p>
        </w:tc>
        <w:tc>
          <w:tcPr>
            <w:tcW w:w="437" w:type="pct"/>
            <w:tcBorders>
              <w:top w:val="single" w:color="auto" w:sz="4" w:space="0"/>
              <w:left w:val="single" w:color="auto" w:sz="4" w:space="0"/>
              <w:bottom w:val="single" w:color="auto" w:sz="4" w:space="0"/>
              <w:right w:val="single" w:color="auto" w:sz="4" w:space="0"/>
            </w:tcBorders>
            <w:vAlign w:val="center"/>
          </w:tcPr>
          <w:p w14:paraId="17F6A99D">
            <w:pPr>
              <w:widowControl/>
              <w:spacing w:line="240" w:lineRule="auto"/>
              <w:ind w:firstLine="0" w:firstLineChars="0"/>
              <w:jc w:val="center"/>
              <w:rPr>
                <w:color w:val="auto"/>
                <w:kern w:val="0"/>
                <w:sz w:val="21"/>
                <w:szCs w:val="21"/>
              </w:rPr>
            </w:pPr>
            <w:r>
              <w:rPr>
                <w:color w:val="auto"/>
                <w:kern w:val="0"/>
                <w:sz w:val="21"/>
                <w:szCs w:val="21"/>
              </w:rPr>
              <w:t>/</w:t>
            </w:r>
          </w:p>
        </w:tc>
        <w:tc>
          <w:tcPr>
            <w:tcW w:w="488" w:type="pct"/>
            <w:tcBorders>
              <w:top w:val="single" w:color="auto" w:sz="4" w:space="0"/>
              <w:left w:val="single" w:color="auto" w:sz="4" w:space="0"/>
              <w:bottom w:val="single" w:color="auto" w:sz="4" w:space="0"/>
              <w:right w:val="nil"/>
            </w:tcBorders>
            <w:vAlign w:val="center"/>
          </w:tcPr>
          <w:p w14:paraId="6CD59D30">
            <w:pPr>
              <w:widowControl/>
              <w:spacing w:line="240" w:lineRule="auto"/>
              <w:ind w:firstLine="0" w:firstLineChars="0"/>
              <w:jc w:val="center"/>
              <w:rPr>
                <w:color w:val="auto"/>
                <w:kern w:val="0"/>
                <w:sz w:val="21"/>
                <w:szCs w:val="21"/>
              </w:rPr>
            </w:pPr>
            <w:r>
              <w:rPr>
                <w:color w:val="auto"/>
                <w:kern w:val="0"/>
                <w:sz w:val="21"/>
                <w:szCs w:val="21"/>
              </w:rPr>
              <w:t>/</w:t>
            </w:r>
          </w:p>
        </w:tc>
      </w:tr>
      <w:tr w14:paraId="51C53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jc w:val="center"/>
        </w:trPr>
        <w:tc>
          <w:tcPr>
            <w:tcW w:w="181" w:type="pct"/>
            <w:vMerge w:val="continue"/>
            <w:tcBorders>
              <w:top w:val="single" w:color="auto" w:sz="4" w:space="0"/>
              <w:left w:val="nil"/>
              <w:bottom w:val="single" w:color="auto" w:sz="4" w:space="0"/>
              <w:right w:val="single" w:color="auto" w:sz="4" w:space="0"/>
            </w:tcBorders>
            <w:vAlign w:val="center"/>
          </w:tcPr>
          <w:p w14:paraId="3788AF32">
            <w:pPr>
              <w:widowControl/>
              <w:spacing w:line="240" w:lineRule="auto"/>
              <w:ind w:firstLine="0" w:firstLineChars="0"/>
              <w:jc w:val="center"/>
              <w:rPr>
                <w:color w:val="auto"/>
                <w:kern w:val="0"/>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14:paraId="11B5DABF">
            <w:pPr>
              <w:widowControl/>
              <w:spacing w:line="240" w:lineRule="auto"/>
              <w:ind w:firstLine="0" w:firstLineChars="0"/>
              <w:jc w:val="center"/>
              <w:rPr>
                <w:color w:val="auto"/>
                <w:kern w:val="0"/>
                <w:sz w:val="21"/>
                <w:szCs w:val="21"/>
              </w:rPr>
            </w:pPr>
            <w:r>
              <w:rPr>
                <w:color w:val="auto"/>
                <w:kern w:val="0"/>
                <w:sz w:val="21"/>
                <w:szCs w:val="21"/>
              </w:rPr>
              <w:t>施工噪声</w:t>
            </w:r>
          </w:p>
        </w:tc>
        <w:tc>
          <w:tcPr>
            <w:tcW w:w="499" w:type="pct"/>
            <w:tcBorders>
              <w:top w:val="single" w:color="auto" w:sz="4" w:space="0"/>
              <w:left w:val="single" w:color="auto" w:sz="4" w:space="0"/>
              <w:bottom w:val="single" w:color="auto" w:sz="4" w:space="0"/>
              <w:right w:val="single" w:color="auto" w:sz="4" w:space="0"/>
            </w:tcBorders>
            <w:vAlign w:val="center"/>
          </w:tcPr>
          <w:p w14:paraId="0895931A">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6D390B62">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40769E9F">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21B00285">
            <w:pPr>
              <w:widowControl/>
              <w:spacing w:line="240" w:lineRule="auto"/>
              <w:ind w:firstLine="0" w:firstLineChars="0"/>
              <w:jc w:val="center"/>
              <w:rPr>
                <w:color w:val="auto"/>
                <w:kern w:val="0"/>
                <w:sz w:val="21"/>
                <w:szCs w:val="21"/>
              </w:rPr>
            </w:pPr>
            <w:r>
              <w:rPr>
                <w:color w:val="auto"/>
                <w:kern w:val="0"/>
                <w:sz w:val="21"/>
                <w:szCs w:val="21"/>
              </w:rPr>
              <w:t>/</w:t>
            </w:r>
          </w:p>
        </w:tc>
        <w:tc>
          <w:tcPr>
            <w:tcW w:w="500" w:type="pct"/>
            <w:tcBorders>
              <w:top w:val="single" w:color="auto" w:sz="4" w:space="0"/>
              <w:left w:val="single" w:color="auto" w:sz="4" w:space="0"/>
              <w:bottom w:val="single" w:color="auto" w:sz="4" w:space="0"/>
              <w:right w:val="single" w:color="auto" w:sz="4" w:space="0"/>
            </w:tcBorders>
            <w:vAlign w:val="center"/>
          </w:tcPr>
          <w:p w14:paraId="785D6A1A">
            <w:pPr>
              <w:widowControl/>
              <w:spacing w:line="240" w:lineRule="auto"/>
              <w:ind w:firstLine="0" w:firstLineChars="0"/>
              <w:jc w:val="center"/>
              <w:rPr>
                <w:color w:val="auto"/>
                <w:kern w:val="0"/>
                <w:sz w:val="21"/>
                <w:szCs w:val="21"/>
              </w:rPr>
            </w:pPr>
            <w:r>
              <w:rPr>
                <w:color w:val="auto"/>
                <w:kern w:val="0"/>
                <w:sz w:val="21"/>
                <w:szCs w:val="21"/>
              </w:rPr>
              <w:t>-2SRDNC</w:t>
            </w:r>
          </w:p>
        </w:tc>
        <w:tc>
          <w:tcPr>
            <w:tcW w:w="436" w:type="pct"/>
            <w:tcBorders>
              <w:top w:val="single" w:color="auto" w:sz="4" w:space="0"/>
              <w:left w:val="single" w:color="auto" w:sz="4" w:space="0"/>
              <w:bottom w:val="single" w:color="auto" w:sz="4" w:space="0"/>
              <w:right w:val="single" w:color="auto" w:sz="4" w:space="0"/>
            </w:tcBorders>
            <w:vAlign w:val="center"/>
          </w:tcPr>
          <w:p w14:paraId="32BC53B8">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7DE47F73">
            <w:pPr>
              <w:widowControl/>
              <w:spacing w:line="240" w:lineRule="auto"/>
              <w:ind w:firstLine="0" w:firstLineChars="0"/>
              <w:jc w:val="center"/>
              <w:rPr>
                <w:color w:val="auto"/>
                <w:kern w:val="0"/>
                <w:sz w:val="21"/>
                <w:szCs w:val="21"/>
              </w:rPr>
            </w:pPr>
            <w:r>
              <w:rPr>
                <w:color w:val="auto"/>
                <w:kern w:val="0"/>
                <w:sz w:val="21"/>
                <w:szCs w:val="21"/>
              </w:rPr>
              <w:t>/</w:t>
            </w:r>
          </w:p>
        </w:tc>
        <w:tc>
          <w:tcPr>
            <w:tcW w:w="437" w:type="pct"/>
            <w:tcBorders>
              <w:top w:val="single" w:color="auto" w:sz="4" w:space="0"/>
              <w:left w:val="single" w:color="auto" w:sz="4" w:space="0"/>
              <w:bottom w:val="single" w:color="auto" w:sz="4" w:space="0"/>
              <w:right w:val="single" w:color="auto" w:sz="4" w:space="0"/>
            </w:tcBorders>
            <w:vAlign w:val="center"/>
          </w:tcPr>
          <w:p w14:paraId="41FA552A">
            <w:pPr>
              <w:widowControl/>
              <w:spacing w:line="240" w:lineRule="auto"/>
              <w:ind w:firstLine="0" w:firstLineChars="0"/>
              <w:jc w:val="center"/>
              <w:rPr>
                <w:color w:val="auto"/>
                <w:kern w:val="0"/>
                <w:sz w:val="21"/>
                <w:szCs w:val="21"/>
              </w:rPr>
            </w:pPr>
            <w:r>
              <w:rPr>
                <w:color w:val="auto"/>
                <w:kern w:val="0"/>
                <w:sz w:val="21"/>
                <w:szCs w:val="21"/>
              </w:rPr>
              <w:t>/</w:t>
            </w:r>
          </w:p>
        </w:tc>
        <w:tc>
          <w:tcPr>
            <w:tcW w:w="488" w:type="pct"/>
            <w:tcBorders>
              <w:top w:val="single" w:color="auto" w:sz="4" w:space="0"/>
              <w:left w:val="single" w:color="auto" w:sz="4" w:space="0"/>
              <w:bottom w:val="single" w:color="auto" w:sz="4" w:space="0"/>
              <w:right w:val="nil"/>
            </w:tcBorders>
            <w:vAlign w:val="center"/>
          </w:tcPr>
          <w:p w14:paraId="3BA205CC">
            <w:pPr>
              <w:widowControl/>
              <w:spacing w:line="240" w:lineRule="auto"/>
              <w:ind w:firstLine="0" w:firstLineChars="0"/>
              <w:jc w:val="center"/>
              <w:rPr>
                <w:color w:val="auto"/>
                <w:kern w:val="0"/>
                <w:sz w:val="21"/>
                <w:szCs w:val="21"/>
              </w:rPr>
            </w:pPr>
            <w:r>
              <w:rPr>
                <w:color w:val="auto"/>
                <w:kern w:val="0"/>
                <w:sz w:val="21"/>
                <w:szCs w:val="21"/>
              </w:rPr>
              <w:t>/</w:t>
            </w:r>
          </w:p>
        </w:tc>
      </w:tr>
      <w:tr w14:paraId="04F2B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jc w:val="center"/>
        </w:trPr>
        <w:tc>
          <w:tcPr>
            <w:tcW w:w="181" w:type="pct"/>
            <w:vMerge w:val="continue"/>
            <w:tcBorders>
              <w:top w:val="single" w:color="auto" w:sz="4" w:space="0"/>
              <w:left w:val="nil"/>
              <w:bottom w:val="single" w:color="auto" w:sz="4" w:space="0"/>
              <w:right w:val="single" w:color="auto" w:sz="4" w:space="0"/>
            </w:tcBorders>
            <w:vAlign w:val="center"/>
          </w:tcPr>
          <w:p w14:paraId="171923F1">
            <w:pPr>
              <w:widowControl/>
              <w:spacing w:line="240" w:lineRule="auto"/>
              <w:ind w:firstLine="0" w:firstLineChars="0"/>
              <w:jc w:val="center"/>
              <w:rPr>
                <w:color w:val="auto"/>
                <w:kern w:val="0"/>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14:paraId="3A84A147">
            <w:pPr>
              <w:widowControl/>
              <w:spacing w:line="240" w:lineRule="auto"/>
              <w:ind w:firstLine="0" w:firstLineChars="0"/>
              <w:jc w:val="center"/>
              <w:rPr>
                <w:color w:val="auto"/>
                <w:kern w:val="0"/>
                <w:sz w:val="21"/>
                <w:szCs w:val="21"/>
              </w:rPr>
            </w:pPr>
            <w:r>
              <w:rPr>
                <w:color w:val="auto"/>
                <w:kern w:val="0"/>
                <w:sz w:val="21"/>
                <w:szCs w:val="21"/>
              </w:rPr>
              <w:t>施工废渣</w:t>
            </w:r>
          </w:p>
        </w:tc>
        <w:tc>
          <w:tcPr>
            <w:tcW w:w="499" w:type="pct"/>
            <w:tcBorders>
              <w:top w:val="single" w:color="auto" w:sz="4" w:space="0"/>
              <w:left w:val="single" w:color="auto" w:sz="4" w:space="0"/>
              <w:bottom w:val="single" w:color="auto" w:sz="4" w:space="0"/>
              <w:right w:val="single" w:color="auto" w:sz="4" w:space="0"/>
            </w:tcBorders>
            <w:vAlign w:val="center"/>
          </w:tcPr>
          <w:p w14:paraId="0D2BFAA3">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6B3AEA85">
            <w:pPr>
              <w:widowControl/>
              <w:spacing w:line="240" w:lineRule="auto"/>
              <w:ind w:firstLine="0" w:firstLineChars="0"/>
              <w:jc w:val="center"/>
              <w:rPr>
                <w:color w:val="auto"/>
                <w:kern w:val="0"/>
                <w:sz w:val="21"/>
                <w:szCs w:val="21"/>
              </w:rPr>
            </w:pPr>
            <w:r>
              <w:rPr>
                <w:color w:val="auto"/>
                <w:kern w:val="0"/>
                <w:sz w:val="21"/>
                <w:szCs w:val="21"/>
              </w:rPr>
              <w:t>-1SRDNC</w:t>
            </w:r>
          </w:p>
        </w:tc>
        <w:tc>
          <w:tcPr>
            <w:tcW w:w="499" w:type="pct"/>
            <w:tcBorders>
              <w:top w:val="single" w:color="auto" w:sz="4" w:space="0"/>
              <w:left w:val="single" w:color="auto" w:sz="4" w:space="0"/>
              <w:bottom w:val="single" w:color="auto" w:sz="4" w:space="0"/>
              <w:right w:val="single" w:color="auto" w:sz="4" w:space="0"/>
            </w:tcBorders>
            <w:vAlign w:val="center"/>
          </w:tcPr>
          <w:p w14:paraId="4E43F012">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1F5DB0D7">
            <w:pPr>
              <w:widowControl/>
              <w:spacing w:line="240" w:lineRule="auto"/>
              <w:ind w:firstLine="0" w:firstLineChars="0"/>
              <w:jc w:val="center"/>
              <w:rPr>
                <w:color w:val="auto"/>
                <w:kern w:val="0"/>
                <w:sz w:val="21"/>
                <w:szCs w:val="21"/>
              </w:rPr>
            </w:pPr>
            <w:r>
              <w:rPr>
                <w:color w:val="auto"/>
                <w:kern w:val="0"/>
                <w:sz w:val="21"/>
                <w:szCs w:val="21"/>
              </w:rPr>
              <w:t>-1SRDNC</w:t>
            </w:r>
          </w:p>
        </w:tc>
        <w:tc>
          <w:tcPr>
            <w:tcW w:w="500" w:type="pct"/>
            <w:tcBorders>
              <w:top w:val="single" w:color="auto" w:sz="4" w:space="0"/>
              <w:left w:val="single" w:color="auto" w:sz="4" w:space="0"/>
              <w:bottom w:val="single" w:color="auto" w:sz="4" w:space="0"/>
              <w:right w:val="single" w:color="auto" w:sz="4" w:space="0"/>
            </w:tcBorders>
            <w:vAlign w:val="center"/>
          </w:tcPr>
          <w:p w14:paraId="6855FAD3">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45845EDF">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02387246">
            <w:pPr>
              <w:widowControl/>
              <w:spacing w:line="240" w:lineRule="auto"/>
              <w:ind w:firstLine="0" w:firstLineChars="0"/>
              <w:jc w:val="center"/>
              <w:rPr>
                <w:color w:val="auto"/>
                <w:kern w:val="0"/>
                <w:sz w:val="21"/>
                <w:szCs w:val="21"/>
              </w:rPr>
            </w:pPr>
            <w:r>
              <w:rPr>
                <w:color w:val="auto"/>
                <w:kern w:val="0"/>
                <w:sz w:val="21"/>
                <w:szCs w:val="21"/>
              </w:rPr>
              <w:t>/</w:t>
            </w:r>
          </w:p>
        </w:tc>
        <w:tc>
          <w:tcPr>
            <w:tcW w:w="437" w:type="pct"/>
            <w:tcBorders>
              <w:top w:val="single" w:color="auto" w:sz="4" w:space="0"/>
              <w:left w:val="single" w:color="auto" w:sz="4" w:space="0"/>
              <w:bottom w:val="single" w:color="auto" w:sz="4" w:space="0"/>
              <w:right w:val="single" w:color="auto" w:sz="4" w:space="0"/>
            </w:tcBorders>
            <w:vAlign w:val="center"/>
          </w:tcPr>
          <w:p w14:paraId="4A849210">
            <w:pPr>
              <w:widowControl/>
              <w:spacing w:line="240" w:lineRule="auto"/>
              <w:ind w:firstLine="0" w:firstLineChars="0"/>
              <w:jc w:val="center"/>
              <w:rPr>
                <w:color w:val="auto"/>
                <w:kern w:val="0"/>
                <w:sz w:val="21"/>
                <w:szCs w:val="21"/>
              </w:rPr>
            </w:pPr>
            <w:r>
              <w:rPr>
                <w:color w:val="auto"/>
                <w:kern w:val="0"/>
                <w:sz w:val="21"/>
                <w:szCs w:val="21"/>
              </w:rPr>
              <w:t>/</w:t>
            </w:r>
          </w:p>
        </w:tc>
        <w:tc>
          <w:tcPr>
            <w:tcW w:w="488" w:type="pct"/>
            <w:tcBorders>
              <w:top w:val="single" w:color="auto" w:sz="4" w:space="0"/>
              <w:left w:val="single" w:color="auto" w:sz="4" w:space="0"/>
              <w:bottom w:val="single" w:color="auto" w:sz="4" w:space="0"/>
              <w:right w:val="nil"/>
            </w:tcBorders>
            <w:vAlign w:val="center"/>
          </w:tcPr>
          <w:p w14:paraId="5AE45737">
            <w:pPr>
              <w:widowControl/>
              <w:spacing w:line="240" w:lineRule="auto"/>
              <w:ind w:firstLine="0" w:firstLineChars="0"/>
              <w:jc w:val="center"/>
              <w:rPr>
                <w:color w:val="auto"/>
                <w:kern w:val="0"/>
                <w:sz w:val="21"/>
                <w:szCs w:val="21"/>
              </w:rPr>
            </w:pPr>
            <w:r>
              <w:rPr>
                <w:color w:val="auto"/>
                <w:kern w:val="0"/>
                <w:sz w:val="21"/>
                <w:szCs w:val="21"/>
              </w:rPr>
              <w:t>/</w:t>
            </w:r>
          </w:p>
        </w:tc>
      </w:tr>
      <w:tr w14:paraId="232AB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jc w:val="center"/>
        </w:trPr>
        <w:tc>
          <w:tcPr>
            <w:tcW w:w="181" w:type="pct"/>
            <w:vMerge w:val="restart"/>
            <w:tcBorders>
              <w:top w:val="single" w:color="auto" w:sz="4" w:space="0"/>
              <w:left w:val="nil"/>
              <w:bottom w:val="single" w:color="auto" w:sz="4" w:space="0"/>
              <w:right w:val="single" w:color="auto" w:sz="4" w:space="0"/>
            </w:tcBorders>
            <w:textDirection w:val="tbRlV"/>
            <w:vAlign w:val="center"/>
          </w:tcPr>
          <w:p w14:paraId="6F470280">
            <w:pPr>
              <w:widowControl/>
              <w:spacing w:line="240" w:lineRule="auto"/>
              <w:ind w:firstLine="0" w:firstLineChars="0"/>
              <w:jc w:val="center"/>
              <w:rPr>
                <w:color w:val="auto"/>
                <w:kern w:val="0"/>
                <w:sz w:val="21"/>
                <w:szCs w:val="21"/>
              </w:rPr>
            </w:pPr>
            <w:r>
              <w:rPr>
                <w:color w:val="auto"/>
                <w:kern w:val="0"/>
                <w:sz w:val="21"/>
                <w:szCs w:val="21"/>
              </w:rPr>
              <w:t>运行期</w:t>
            </w:r>
          </w:p>
        </w:tc>
        <w:tc>
          <w:tcPr>
            <w:tcW w:w="525" w:type="pct"/>
            <w:tcBorders>
              <w:top w:val="single" w:color="auto" w:sz="4" w:space="0"/>
              <w:left w:val="single" w:color="auto" w:sz="4" w:space="0"/>
              <w:bottom w:val="single" w:color="auto" w:sz="4" w:space="0"/>
              <w:right w:val="single" w:color="auto" w:sz="4" w:space="0"/>
            </w:tcBorders>
            <w:vAlign w:val="center"/>
          </w:tcPr>
          <w:p w14:paraId="1237D500">
            <w:pPr>
              <w:widowControl/>
              <w:spacing w:line="240" w:lineRule="auto"/>
              <w:ind w:firstLine="0" w:firstLineChars="0"/>
              <w:jc w:val="center"/>
              <w:rPr>
                <w:color w:val="auto"/>
                <w:kern w:val="0"/>
                <w:sz w:val="21"/>
                <w:szCs w:val="21"/>
              </w:rPr>
            </w:pPr>
            <w:r>
              <w:rPr>
                <w:color w:val="auto"/>
                <w:kern w:val="0"/>
                <w:sz w:val="21"/>
                <w:szCs w:val="21"/>
              </w:rPr>
              <w:t>废水排放</w:t>
            </w:r>
          </w:p>
        </w:tc>
        <w:tc>
          <w:tcPr>
            <w:tcW w:w="499" w:type="pct"/>
            <w:tcBorders>
              <w:top w:val="single" w:color="auto" w:sz="4" w:space="0"/>
              <w:left w:val="single" w:color="auto" w:sz="4" w:space="0"/>
              <w:bottom w:val="single" w:color="auto" w:sz="4" w:space="0"/>
              <w:right w:val="single" w:color="auto" w:sz="4" w:space="0"/>
            </w:tcBorders>
            <w:vAlign w:val="center"/>
          </w:tcPr>
          <w:p w14:paraId="02F31514">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427C5CF5">
            <w:pPr>
              <w:widowControl/>
              <w:spacing w:line="240" w:lineRule="auto"/>
              <w:ind w:firstLine="0" w:firstLineChars="0"/>
              <w:jc w:val="center"/>
              <w:rPr>
                <w:color w:val="auto"/>
                <w:kern w:val="0"/>
                <w:sz w:val="21"/>
                <w:szCs w:val="21"/>
              </w:rPr>
            </w:pPr>
            <w:r>
              <w:rPr>
                <w:color w:val="auto"/>
                <w:kern w:val="0"/>
                <w:sz w:val="21"/>
                <w:szCs w:val="21"/>
              </w:rPr>
              <w:t>-1LRDC</w:t>
            </w:r>
          </w:p>
        </w:tc>
        <w:tc>
          <w:tcPr>
            <w:tcW w:w="499" w:type="pct"/>
            <w:tcBorders>
              <w:top w:val="single" w:color="auto" w:sz="4" w:space="0"/>
              <w:left w:val="single" w:color="auto" w:sz="4" w:space="0"/>
              <w:bottom w:val="single" w:color="auto" w:sz="4" w:space="0"/>
              <w:right w:val="single" w:color="auto" w:sz="4" w:space="0"/>
            </w:tcBorders>
            <w:vAlign w:val="center"/>
          </w:tcPr>
          <w:p w14:paraId="380701CB">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7FDC8A9B">
            <w:pPr>
              <w:widowControl/>
              <w:spacing w:line="240" w:lineRule="auto"/>
              <w:ind w:firstLine="0" w:firstLineChars="0"/>
              <w:jc w:val="center"/>
              <w:rPr>
                <w:color w:val="auto"/>
                <w:kern w:val="0"/>
                <w:sz w:val="21"/>
                <w:szCs w:val="21"/>
              </w:rPr>
            </w:pPr>
            <w:r>
              <w:rPr>
                <w:color w:val="auto"/>
                <w:kern w:val="0"/>
                <w:sz w:val="21"/>
                <w:szCs w:val="21"/>
              </w:rPr>
              <w:t>/</w:t>
            </w:r>
          </w:p>
        </w:tc>
        <w:tc>
          <w:tcPr>
            <w:tcW w:w="500" w:type="pct"/>
            <w:tcBorders>
              <w:top w:val="single" w:color="auto" w:sz="4" w:space="0"/>
              <w:left w:val="single" w:color="auto" w:sz="4" w:space="0"/>
              <w:bottom w:val="single" w:color="auto" w:sz="4" w:space="0"/>
              <w:right w:val="single" w:color="auto" w:sz="4" w:space="0"/>
            </w:tcBorders>
            <w:vAlign w:val="center"/>
          </w:tcPr>
          <w:p w14:paraId="4ABE4F8C">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01FE95CA">
            <w:pPr>
              <w:widowControl/>
              <w:spacing w:line="240" w:lineRule="auto"/>
              <w:ind w:firstLine="0" w:firstLineChars="0"/>
              <w:jc w:val="center"/>
              <w:rPr>
                <w:color w:val="auto"/>
                <w:kern w:val="0"/>
                <w:sz w:val="21"/>
                <w:szCs w:val="21"/>
              </w:rPr>
            </w:pPr>
            <w:r>
              <w:rPr>
                <w:color w:val="auto"/>
                <w:kern w:val="0"/>
                <w:sz w:val="21"/>
                <w:szCs w:val="21"/>
              </w:rPr>
              <w:t>-1LRDC</w:t>
            </w:r>
          </w:p>
        </w:tc>
        <w:tc>
          <w:tcPr>
            <w:tcW w:w="436" w:type="pct"/>
            <w:tcBorders>
              <w:top w:val="single" w:color="auto" w:sz="4" w:space="0"/>
              <w:left w:val="single" w:color="auto" w:sz="4" w:space="0"/>
              <w:bottom w:val="single" w:color="auto" w:sz="4" w:space="0"/>
              <w:right w:val="single" w:color="auto" w:sz="4" w:space="0"/>
            </w:tcBorders>
            <w:vAlign w:val="center"/>
          </w:tcPr>
          <w:p w14:paraId="1EC51763">
            <w:pPr>
              <w:widowControl/>
              <w:spacing w:line="240" w:lineRule="auto"/>
              <w:ind w:firstLine="0" w:firstLineChars="0"/>
              <w:jc w:val="center"/>
              <w:rPr>
                <w:color w:val="auto"/>
                <w:kern w:val="0"/>
                <w:sz w:val="21"/>
                <w:szCs w:val="21"/>
              </w:rPr>
            </w:pPr>
            <w:r>
              <w:rPr>
                <w:color w:val="auto"/>
                <w:kern w:val="0"/>
                <w:sz w:val="21"/>
                <w:szCs w:val="21"/>
              </w:rPr>
              <w:t>-1LRDC</w:t>
            </w:r>
          </w:p>
        </w:tc>
        <w:tc>
          <w:tcPr>
            <w:tcW w:w="437" w:type="pct"/>
            <w:tcBorders>
              <w:top w:val="single" w:color="auto" w:sz="4" w:space="0"/>
              <w:left w:val="single" w:color="auto" w:sz="4" w:space="0"/>
              <w:bottom w:val="single" w:color="auto" w:sz="4" w:space="0"/>
              <w:right w:val="single" w:color="auto" w:sz="4" w:space="0"/>
            </w:tcBorders>
            <w:vAlign w:val="center"/>
          </w:tcPr>
          <w:p w14:paraId="0A1F02DE">
            <w:pPr>
              <w:widowControl/>
              <w:spacing w:line="240" w:lineRule="auto"/>
              <w:ind w:firstLine="0" w:firstLineChars="0"/>
              <w:jc w:val="center"/>
              <w:rPr>
                <w:color w:val="auto"/>
                <w:kern w:val="0"/>
                <w:sz w:val="21"/>
                <w:szCs w:val="21"/>
              </w:rPr>
            </w:pPr>
            <w:r>
              <w:rPr>
                <w:color w:val="auto"/>
                <w:kern w:val="0"/>
                <w:sz w:val="21"/>
                <w:szCs w:val="21"/>
              </w:rPr>
              <w:t>-1LRDC</w:t>
            </w:r>
          </w:p>
        </w:tc>
        <w:tc>
          <w:tcPr>
            <w:tcW w:w="488" w:type="pct"/>
            <w:tcBorders>
              <w:top w:val="single" w:color="auto" w:sz="4" w:space="0"/>
              <w:left w:val="single" w:color="auto" w:sz="4" w:space="0"/>
              <w:bottom w:val="single" w:color="auto" w:sz="4" w:space="0"/>
              <w:right w:val="nil"/>
            </w:tcBorders>
            <w:vAlign w:val="center"/>
          </w:tcPr>
          <w:p w14:paraId="62BDB738">
            <w:pPr>
              <w:widowControl/>
              <w:spacing w:line="240" w:lineRule="auto"/>
              <w:ind w:firstLine="0" w:firstLineChars="0"/>
              <w:jc w:val="center"/>
              <w:rPr>
                <w:color w:val="auto"/>
                <w:kern w:val="0"/>
                <w:sz w:val="21"/>
                <w:szCs w:val="21"/>
              </w:rPr>
            </w:pPr>
            <w:r>
              <w:rPr>
                <w:color w:val="auto"/>
                <w:kern w:val="0"/>
                <w:sz w:val="21"/>
                <w:szCs w:val="21"/>
              </w:rPr>
              <w:t>-1LRDC</w:t>
            </w:r>
          </w:p>
        </w:tc>
      </w:tr>
      <w:tr w14:paraId="595BD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81" w:type="pct"/>
            <w:vMerge w:val="continue"/>
            <w:tcBorders>
              <w:top w:val="single" w:color="auto" w:sz="4" w:space="0"/>
              <w:left w:val="nil"/>
              <w:bottom w:val="single" w:color="auto" w:sz="4" w:space="0"/>
              <w:right w:val="single" w:color="auto" w:sz="4" w:space="0"/>
            </w:tcBorders>
            <w:vAlign w:val="center"/>
          </w:tcPr>
          <w:p w14:paraId="39DB2891">
            <w:pPr>
              <w:widowControl/>
              <w:spacing w:line="240" w:lineRule="auto"/>
              <w:ind w:firstLine="0" w:firstLineChars="0"/>
              <w:jc w:val="center"/>
              <w:rPr>
                <w:color w:val="auto"/>
                <w:kern w:val="0"/>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14:paraId="27B00404">
            <w:pPr>
              <w:widowControl/>
              <w:spacing w:line="240" w:lineRule="auto"/>
              <w:ind w:firstLine="0" w:firstLineChars="0"/>
              <w:jc w:val="center"/>
              <w:rPr>
                <w:color w:val="auto"/>
                <w:kern w:val="0"/>
                <w:sz w:val="21"/>
                <w:szCs w:val="21"/>
              </w:rPr>
            </w:pPr>
            <w:r>
              <w:rPr>
                <w:color w:val="auto"/>
                <w:kern w:val="0"/>
                <w:sz w:val="21"/>
                <w:szCs w:val="21"/>
              </w:rPr>
              <w:t>废气排放</w:t>
            </w:r>
          </w:p>
        </w:tc>
        <w:tc>
          <w:tcPr>
            <w:tcW w:w="499" w:type="pct"/>
            <w:tcBorders>
              <w:top w:val="single" w:color="auto" w:sz="4" w:space="0"/>
              <w:left w:val="single" w:color="auto" w:sz="4" w:space="0"/>
              <w:bottom w:val="single" w:color="auto" w:sz="4" w:space="0"/>
              <w:right w:val="single" w:color="auto" w:sz="4" w:space="0"/>
            </w:tcBorders>
            <w:vAlign w:val="center"/>
          </w:tcPr>
          <w:p w14:paraId="2696CFEB">
            <w:pPr>
              <w:widowControl/>
              <w:spacing w:line="240" w:lineRule="auto"/>
              <w:ind w:firstLine="0" w:firstLineChars="0"/>
              <w:jc w:val="center"/>
              <w:rPr>
                <w:color w:val="auto"/>
                <w:kern w:val="0"/>
                <w:sz w:val="21"/>
                <w:szCs w:val="21"/>
              </w:rPr>
            </w:pPr>
            <w:r>
              <w:rPr>
                <w:color w:val="auto"/>
                <w:kern w:val="0"/>
                <w:sz w:val="21"/>
                <w:szCs w:val="21"/>
              </w:rPr>
              <w:t>-1LRDC</w:t>
            </w:r>
          </w:p>
        </w:tc>
        <w:tc>
          <w:tcPr>
            <w:tcW w:w="499" w:type="pct"/>
            <w:tcBorders>
              <w:top w:val="single" w:color="auto" w:sz="4" w:space="0"/>
              <w:left w:val="single" w:color="auto" w:sz="4" w:space="0"/>
              <w:bottom w:val="single" w:color="auto" w:sz="4" w:space="0"/>
              <w:right w:val="single" w:color="auto" w:sz="4" w:space="0"/>
            </w:tcBorders>
            <w:vAlign w:val="center"/>
          </w:tcPr>
          <w:p w14:paraId="02B32246">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2D3677E0">
            <w:pPr>
              <w:widowControl/>
              <w:spacing w:line="240" w:lineRule="auto"/>
              <w:ind w:firstLine="0" w:firstLineChars="0"/>
              <w:jc w:val="center"/>
              <w:rPr>
                <w:color w:val="auto"/>
                <w:kern w:val="0"/>
                <w:sz w:val="21"/>
                <w:szCs w:val="21"/>
              </w:rPr>
            </w:pPr>
            <w:r>
              <w:rPr>
                <w:color w:val="auto"/>
                <w:kern w:val="0"/>
                <w:sz w:val="21"/>
                <w:szCs w:val="21"/>
              </w:rPr>
              <w:t>-1LRIDC</w:t>
            </w:r>
          </w:p>
        </w:tc>
        <w:tc>
          <w:tcPr>
            <w:tcW w:w="499" w:type="pct"/>
            <w:tcBorders>
              <w:top w:val="single" w:color="auto" w:sz="4" w:space="0"/>
              <w:left w:val="single" w:color="auto" w:sz="4" w:space="0"/>
              <w:bottom w:val="single" w:color="auto" w:sz="4" w:space="0"/>
              <w:right w:val="single" w:color="auto" w:sz="4" w:space="0"/>
            </w:tcBorders>
            <w:vAlign w:val="center"/>
          </w:tcPr>
          <w:p w14:paraId="1DA198CE">
            <w:pPr>
              <w:widowControl/>
              <w:spacing w:line="240" w:lineRule="auto"/>
              <w:ind w:firstLine="0" w:firstLineChars="0"/>
              <w:jc w:val="center"/>
              <w:rPr>
                <w:color w:val="auto"/>
                <w:kern w:val="0"/>
                <w:sz w:val="21"/>
                <w:szCs w:val="21"/>
              </w:rPr>
            </w:pPr>
            <w:r>
              <w:rPr>
                <w:color w:val="auto"/>
                <w:kern w:val="0"/>
                <w:sz w:val="21"/>
                <w:szCs w:val="21"/>
              </w:rPr>
              <w:t>-1LRDC</w:t>
            </w:r>
          </w:p>
        </w:tc>
        <w:tc>
          <w:tcPr>
            <w:tcW w:w="500" w:type="pct"/>
            <w:tcBorders>
              <w:top w:val="single" w:color="auto" w:sz="4" w:space="0"/>
              <w:left w:val="single" w:color="auto" w:sz="4" w:space="0"/>
              <w:bottom w:val="single" w:color="auto" w:sz="4" w:space="0"/>
              <w:right w:val="single" w:color="auto" w:sz="4" w:space="0"/>
            </w:tcBorders>
            <w:vAlign w:val="center"/>
          </w:tcPr>
          <w:p w14:paraId="5B6FEBCE">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6FB616EC">
            <w:pPr>
              <w:widowControl/>
              <w:spacing w:line="240" w:lineRule="auto"/>
              <w:ind w:firstLine="0" w:firstLineChars="0"/>
              <w:jc w:val="center"/>
              <w:rPr>
                <w:color w:val="auto"/>
                <w:kern w:val="0"/>
                <w:sz w:val="21"/>
                <w:szCs w:val="21"/>
              </w:rPr>
            </w:pPr>
            <w:r>
              <w:rPr>
                <w:color w:val="auto"/>
                <w:kern w:val="0"/>
                <w:sz w:val="21"/>
                <w:szCs w:val="21"/>
              </w:rPr>
              <w:t>-1LRDC</w:t>
            </w:r>
          </w:p>
        </w:tc>
        <w:tc>
          <w:tcPr>
            <w:tcW w:w="436" w:type="pct"/>
            <w:tcBorders>
              <w:top w:val="single" w:color="auto" w:sz="4" w:space="0"/>
              <w:left w:val="single" w:color="auto" w:sz="4" w:space="0"/>
              <w:bottom w:val="single" w:color="auto" w:sz="4" w:space="0"/>
              <w:right w:val="single" w:color="auto" w:sz="4" w:space="0"/>
            </w:tcBorders>
            <w:vAlign w:val="center"/>
          </w:tcPr>
          <w:p w14:paraId="379A5AD0">
            <w:pPr>
              <w:widowControl/>
              <w:spacing w:line="240" w:lineRule="auto"/>
              <w:ind w:firstLine="0" w:firstLineChars="0"/>
              <w:jc w:val="center"/>
              <w:rPr>
                <w:color w:val="auto"/>
                <w:kern w:val="0"/>
                <w:sz w:val="21"/>
                <w:szCs w:val="21"/>
              </w:rPr>
            </w:pPr>
            <w:r>
              <w:rPr>
                <w:color w:val="auto"/>
                <w:kern w:val="0"/>
                <w:sz w:val="21"/>
                <w:szCs w:val="21"/>
              </w:rPr>
              <w:t>/</w:t>
            </w:r>
          </w:p>
        </w:tc>
        <w:tc>
          <w:tcPr>
            <w:tcW w:w="437" w:type="pct"/>
            <w:tcBorders>
              <w:top w:val="single" w:color="auto" w:sz="4" w:space="0"/>
              <w:left w:val="single" w:color="auto" w:sz="4" w:space="0"/>
              <w:bottom w:val="single" w:color="auto" w:sz="4" w:space="0"/>
              <w:right w:val="single" w:color="auto" w:sz="4" w:space="0"/>
            </w:tcBorders>
            <w:vAlign w:val="center"/>
          </w:tcPr>
          <w:p w14:paraId="379AB9CD">
            <w:pPr>
              <w:widowControl/>
              <w:spacing w:line="240" w:lineRule="auto"/>
              <w:ind w:firstLine="0" w:firstLineChars="0"/>
              <w:jc w:val="center"/>
              <w:rPr>
                <w:color w:val="auto"/>
                <w:kern w:val="0"/>
                <w:sz w:val="21"/>
                <w:szCs w:val="21"/>
              </w:rPr>
            </w:pPr>
            <w:r>
              <w:rPr>
                <w:color w:val="auto"/>
                <w:kern w:val="0"/>
                <w:sz w:val="21"/>
                <w:szCs w:val="21"/>
              </w:rPr>
              <w:t>/</w:t>
            </w:r>
          </w:p>
        </w:tc>
        <w:tc>
          <w:tcPr>
            <w:tcW w:w="488" w:type="pct"/>
            <w:tcBorders>
              <w:top w:val="single" w:color="auto" w:sz="4" w:space="0"/>
              <w:left w:val="single" w:color="auto" w:sz="4" w:space="0"/>
              <w:bottom w:val="single" w:color="auto" w:sz="4" w:space="0"/>
              <w:right w:val="nil"/>
            </w:tcBorders>
            <w:vAlign w:val="center"/>
          </w:tcPr>
          <w:p w14:paraId="45D6B7F4">
            <w:pPr>
              <w:widowControl/>
              <w:spacing w:line="240" w:lineRule="auto"/>
              <w:ind w:firstLine="0" w:firstLineChars="0"/>
              <w:jc w:val="center"/>
              <w:rPr>
                <w:color w:val="auto"/>
                <w:kern w:val="0"/>
                <w:sz w:val="21"/>
                <w:szCs w:val="21"/>
              </w:rPr>
            </w:pPr>
            <w:r>
              <w:rPr>
                <w:color w:val="auto"/>
                <w:kern w:val="0"/>
                <w:sz w:val="21"/>
                <w:szCs w:val="21"/>
              </w:rPr>
              <w:t>-1LRDC</w:t>
            </w:r>
          </w:p>
        </w:tc>
      </w:tr>
      <w:tr w14:paraId="43EC3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jc w:val="center"/>
        </w:trPr>
        <w:tc>
          <w:tcPr>
            <w:tcW w:w="181" w:type="pct"/>
            <w:vMerge w:val="continue"/>
            <w:tcBorders>
              <w:top w:val="single" w:color="auto" w:sz="4" w:space="0"/>
              <w:left w:val="nil"/>
              <w:bottom w:val="single" w:color="auto" w:sz="4" w:space="0"/>
              <w:right w:val="single" w:color="auto" w:sz="4" w:space="0"/>
            </w:tcBorders>
            <w:vAlign w:val="center"/>
          </w:tcPr>
          <w:p w14:paraId="32EA4F1A">
            <w:pPr>
              <w:widowControl/>
              <w:spacing w:line="240" w:lineRule="auto"/>
              <w:ind w:firstLine="0" w:firstLineChars="0"/>
              <w:jc w:val="center"/>
              <w:rPr>
                <w:color w:val="auto"/>
                <w:kern w:val="0"/>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14:paraId="61E96698">
            <w:pPr>
              <w:widowControl/>
              <w:spacing w:line="240" w:lineRule="auto"/>
              <w:ind w:firstLine="0" w:firstLineChars="0"/>
              <w:jc w:val="center"/>
              <w:rPr>
                <w:color w:val="auto"/>
                <w:kern w:val="0"/>
                <w:sz w:val="21"/>
                <w:szCs w:val="21"/>
              </w:rPr>
            </w:pPr>
            <w:r>
              <w:rPr>
                <w:color w:val="auto"/>
                <w:kern w:val="0"/>
                <w:sz w:val="21"/>
                <w:szCs w:val="21"/>
              </w:rPr>
              <w:t>噪声排放</w:t>
            </w:r>
          </w:p>
        </w:tc>
        <w:tc>
          <w:tcPr>
            <w:tcW w:w="499" w:type="pct"/>
            <w:tcBorders>
              <w:top w:val="single" w:color="auto" w:sz="4" w:space="0"/>
              <w:left w:val="single" w:color="auto" w:sz="4" w:space="0"/>
              <w:bottom w:val="single" w:color="auto" w:sz="4" w:space="0"/>
              <w:right w:val="single" w:color="auto" w:sz="4" w:space="0"/>
            </w:tcBorders>
            <w:vAlign w:val="center"/>
          </w:tcPr>
          <w:p w14:paraId="5211C05E">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0E0DA640">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3CAF9F65">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3882BDBC">
            <w:pPr>
              <w:widowControl/>
              <w:spacing w:line="240" w:lineRule="auto"/>
              <w:ind w:firstLine="0" w:firstLineChars="0"/>
              <w:jc w:val="center"/>
              <w:rPr>
                <w:color w:val="auto"/>
                <w:kern w:val="0"/>
                <w:sz w:val="21"/>
                <w:szCs w:val="21"/>
              </w:rPr>
            </w:pPr>
            <w:r>
              <w:rPr>
                <w:color w:val="auto"/>
                <w:kern w:val="0"/>
                <w:sz w:val="21"/>
                <w:szCs w:val="21"/>
              </w:rPr>
              <w:t>/</w:t>
            </w:r>
          </w:p>
        </w:tc>
        <w:tc>
          <w:tcPr>
            <w:tcW w:w="500" w:type="pct"/>
            <w:tcBorders>
              <w:top w:val="single" w:color="auto" w:sz="4" w:space="0"/>
              <w:left w:val="single" w:color="auto" w:sz="4" w:space="0"/>
              <w:bottom w:val="single" w:color="auto" w:sz="4" w:space="0"/>
              <w:right w:val="single" w:color="auto" w:sz="4" w:space="0"/>
            </w:tcBorders>
            <w:vAlign w:val="center"/>
          </w:tcPr>
          <w:p w14:paraId="0AB5992F">
            <w:pPr>
              <w:widowControl/>
              <w:spacing w:line="240" w:lineRule="auto"/>
              <w:ind w:firstLine="0" w:firstLineChars="0"/>
              <w:jc w:val="center"/>
              <w:rPr>
                <w:color w:val="auto"/>
                <w:kern w:val="0"/>
                <w:sz w:val="21"/>
                <w:szCs w:val="21"/>
              </w:rPr>
            </w:pPr>
            <w:r>
              <w:rPr>
                <w:color w:val="auto"/>
                <w:kern w:val="0"/>
                <w:sz w:val="21"/>
                <w:szCs w:val="21"/>
              </w:rPr>
              <w:t>-1LRDNC</w:t>
            </w:r>
          </w:p>
        </w:tc>
        <w:tc>
          <w:tcPr>
            <w:tcW w:w="436" w:type="pct"/>
            <w:tcBorders>
              <w:top w:val="single" w:color="auto" w:sz="4" w:space="0"/>
              <w:left w:val="single" w:color="auto" w:sz="4" w:space="0"/>
              <w:bottom w:val="single" w:color="auto" w:sz="4" w:space="0"/>
              <w:right w:val="single" w:color="auto" w:sz="4" w:space="0"/>
            </w:tcBorders>
            <w:vAlign w:val="center"/>
          </w:tcPr>
          <w:p w14:paraId="73C26947">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044DB465">
            <w:pPr>
              <w:widowControl/>
              <w:spacing w:line="240" w:lineRule="auto"/>
              <w:ind w:firstLine="0" w:firstLineChars="0"/>
              <w:jc w:val="center"/>
              <w:rPr>
                <w:color w:val="auto"/>
                <w:kern w:val="0"/>
                <w:sz w:val="21"/>
                <w:szCs w:val="21"/>
              </w:rPr>
            </w:pPr>
            <w:r>
              <w:rPr>
                <w:color w:val="auto"/>
                <w:kern w:val="0"/>
                <w:sz w:val="21"/>
                <w:szCs w:val="21"/>
              </w:rPr>
              <w:t>/</w:t>
            </w:r>
          </w:p>
        </w:tc>
        <w:tc>
          <w:tcPr>
            <w:tcW w:w="437" w:type="pct"/>
            <w:tcBorders>
              <w:top w:val="single" w:color="auto" w:sz="4" w:space="0"/>
              <w:left w:val="single" w:color="auto" w:sz="4" w:space="0"/>
              <w:bottom w:val="single" w:color="auto" w:sz="4" w:space="0"/>
              <w:right w:val="single" w:color="auto" w:sz="4" w:space="0"/>
            </w:tcBorders>
            <w:vAlign w:val="center"/>
          </w:tcPr>
          <w:p w14:paraId="340E33E0">
            <w:pPr>
              <w:widowControl/>
              <w:spacing w:line="240" w:lineRule="auto"/>
              <w:ind w:firstLine="0" w:firstLineChars="0"/>
              <w:jc w:val="center"/>
              <w:rPr>
                <w:color w:val="auto"/>
                <w:kern w:val="0"/>
                <w:sz w:val="21"/>
                <w:szCs w:val="21"/>
              </w:rPr>
            </w:pPr>
            <w:r>
              <w:rPr>
                <w:color w:val="auto"/>
                <w:kern w:val="0"/>
                <w:sz w:val="21"/>
                <w:szCs w:val="21"/>
              </w:rPr>
              <w:t>/</w:t>
            </w:r>
          </w:p>
        </w:tc>
        <w:tc>
          <w:tcPr>
            <w:tcW w:w="488" w:type="pct"/>
            <w:tcBorders>
              <w:top w:val="single" w:color="auto" w:sz="4" w:space="0"/>
              <w:left w:val="single" w:color="auto" w:sz="4" w:space="0"/>
              <w:bottom w:val="single" w:color="auto" w:sz="4" w:space="0"/>
              <w:right w:val="nil"/>
            </w:tcBorders>
            <w:vAlign w:val="center"/>
          </w:tcPr>
          <w:p w14:paraId="1FE8E029">
            <w:pPr>
              <w:widowControl/>
              <w:spacing w:line="240" w:lineRule="auto"/>
              <w:ind w:firstLine="0" w:firstLineChars="0"/>
              <w:jc w:val="center"/>
              <w:rPr>
                <w:color w:val="auto"/>
                <w:kern w:val="0"/>
                <w:sz w:val="21"/>
                <w:szCs w:val="21"/>
              </w:rPr>
            </w:pPr>
            <w:r>
              <w:rPr>
                <w:color w:val="auto"/>
                <w:kern w:val="0"/>
                <w:sz w:val="21"/>
                <w:szCs w:val="21"/>
              </w:rPr>
              <w:t>/</w:t>
            </w:r>
          </w:p>
        </w:tc>
      </w:tr>
      <w:tr w14:paraId="42455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jc w:val="center"/>
        </w:trPr>
        <w:tc>
          <w:tcPr>
            <w:tcW w:w="181" w:type="pct"/>
            <w:vMerge w:val="continue"/>
            <w:tcBorders>
              <w:top w:val="single" w:color="auto" w:sz="4" w:space="0"/>
              <w:left w:val="nil"/>
              <w:bottom w:val="single" w:color="auto" w:sz="4" w:space="0"/>
              <w:right w:val="single" w:color="auto" w:sz="4" w:space="0"/>
            </w:tcBorders>
            <w:vAlign w:val="center"/>
          </w:tcPr>
          <w:p w14:paraId="584CA568">
            <w:pPr>
              <w:widowControl/>
              <w:spacing w:line="240" w:lineRule="auto"/>
              <w:ind w:firstLine="0" w:firstLineChars="0"/>
              <w:jc w:val="center"/>
              <w:rPr>
                <w:color w:val="auto"/>
                <w:kern w:val="0"/>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14:paraId="0F726DD0">
            <w:pPr>
              <w:widowControl/>
              <w:spacing w:line="240" w:lineRule="auto"/>
              <w:ind w:firstLine="0" w:firstLineChars="0"/>
              <w:jc w:val="center"/>
              <w:rPr>
                <w:color w:val="auto"/>
                <w:kern w:val="0"/>
                <w:sz w:val="21"/>
                <w:szCs w:val="21"/>
              </w:rPr>
            </w:pPr>
            <w:r>
              <w:rPr>
                <w:color w:val="auto"/>
                <w:kern w:val="0"/>
                <w:sz w:val="21"/>
                <w:szCs w:val="21"/>
              </w:rPr>
              <w:t>固体废物</w:t>
            </w:r>
          </w:p>
        </w:tc>
        <w:tc>
          <w:tcPr>
            <w:tcW w:w="499" w:type="pct"/>
            <w:tcBorders>
              <w:top w:val="single" w:color="auto" w:sz="4" w:space="0"/>
              <w:left w:val="single" w:color="auto" w:sz="4" w:space="0"/>
              <w:bottom w:val="single" w:color="auto" w:sz="4" w:space="0"/>
              <w:right w:val="single" w:color="auto" w:sz="4" w:space="0"/>
            </w:tcBorders>
            <w:vAlign w:val="center"/>
          </w:tcPr>
          <w:p w14:paraId="33EB6EAC">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6A019978">
            <w:pPr>
              <w:widowControl/>
              <w:spacing w:line="240" w:lineRule="auto"/>
              <w:ind w:firstLine="0" w:firstLineChars="0"/>
              <w:jc w:val="center"/>
              <w:rPr>
                <w:color w:val="auto"/>
                <w:kern w:val="0"/>
                <w:sz w:val="21"/>
                <w:szCs w:val="21"/>
              </w:rPr>
            </w:pPr>
            <w:r>
              <w:rPr>
                <w:color w:val="auto"/>
                <w:kern w:val="0"/>
                <w:sz w:val="21"/>
                <w:szCs w:val="21"/>
              </w:rPr>
              <w:t>/</w:t>
            </w:r>
          </w:p>
        </w:tc>
        <w:tc>
          <w:tcPr>
            <w:tcW w:w="499" w:type="pct"/>
            <w:tcBorders>
              <w:top w:val="single" w:color="auto" w:sz="4" w:space="0"/>
              <w:left w:val="single" w:color="auto" w:sz="4" w:space="0"/>
              <w:bottom w:val="single" w:color="auto" w:sz="4" w:space="0"/>
              <w:right w:val="single" w:color="auto" w:sz="4" w:space="0"/>
            </w:tcBorders>
            <w:vAlign w:val="center"/>
          </w:tcPr>
          <w:p w14:paraId="5A697A64">
            <w:pPr>
              <w:widowControl/>
              <w:spacing w:line="240" w:lineRule="auto"/>
              <w:ind w:firstLine="0" w:firstLineChars="0"/>
              <w:jc w:val="center"/>
              <w:rPr>
                <w:color w:val="auto"/>
                <w:kern w:val="0"/>
                <w:sz w:val="21"/>
                <w:szCs w:val="21"/>
              </w:rPr>
            </w:pPr>
            <w:r>
              <w:rPr>
                <w:color w:val="auto"/>
                <w:kern w:val="0"/>
                <w:sz w:val="21"/>
                <w:szCs w:val="21"/>
              </w:rPr>
              <w:t>-1LIRIDC</w:t>
            </w:r>
          </w:p>
        </w:tc>
        <w:tc>
          <w:tcPr>
            <w:tcW w:w="499" w:type="pct"/>
            <w:tcBorders>
              <w:top w:val="single" w:color="auto" w:sz="4" w:space="0"/>
              <w:left w:val="single" w:color="auto" w:sz="4" w:space="0"/>
              <w:bottom w:val="single" w:color="auto" w:sz="4" w:space="0"/>
              <w:right w:val="single" w:color="auto" w:sz="4" w:space="0"/>
            </w:tcBorders>
            <w:vAlign w:val="center"/>
          </w:tcPr>
          <w:p w14:paraId="1B893A74">
            <w:pPr>
              <w:widowControl/>
              <w:spacing w:line="240" w:lineRule="auto"/>
              <w:ind w:firstLine="0" w:firstLineChars="0"/>
              <w:jc w:val="center"/>
              <w:rPr>
                <w:color w:val="auto"/>
                <w:kern w:val="0"/>
                <w:sz w:val="21"/>
                <w:szCs w:val="21"/>
              </w:rPr>
            </w:pPr>
            <w:r>
              <w:rPr>
                <w:color w:val="auto"/>
                <w:kern w:val="0"/>
                <w:sz w:val="21"/>
                <w:szCs w:val="21"/>
              </w:rPr>
              <w:t>-1LIRIDC</w:t>
            </w:r>
          </w:p>
        </w:tc>
        <w:tc>
          <w:tcPr>
            <w:tcW w:w="500" w:type="pct"/>
            <w:tcBorders>
              <w:top w:val="single" w:color="auto" w:sz="4" w:space="0"/>
              <w:left w:val="single" w:color="auto" w:sz="4" w:space="0"/>
              <w:bottom w:val="single" w:color="auto" w:sz="4" w:space="0"/>
              <w:right w:val="single" w:color="auto" w:sz="4" w:space="0"/>
            </w:tcBorders>
            <w:vAlign w:val="center"/>
          </w:tcPr>
          <w:p w14:paraId="7A942BBC">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4" w:space="0"/>
              <w:right w:val="single" w:color="auto" w:sz="4" w:space="0"/>
            </w:tcBorders>
            <w:vAlign w:val="center"/>
          </w:tcPr>
          <w:p w14:paraId="215EC2F6">
            <w:pPr>
              <w:widowControl/>
              <w:spacing w:line="240" w:lineRule="auto"/>
              <w:ind w:firstLine="0" w:firstLineChars="0"/>
              <w:jc w:val="center"/>
              <w:rPr>
                <w:color w:val="auto"/>
                <w:kern w:val="0"/>
                <w:sz w:val="21"/>
                <w:szCs w:val="21"/>
              </w:rPr>
            </w:pPr>
            <w:r>
              <w:rPr>
                <w:color w:val="auto"/>
                <w:kern w:val="0"/>
                <w:sz w:val="21"/>
                <w:szCs w:val="21"/>
              </w:rPr>
              <w:t>-1LRDC</w:t>
            </w:r>
          </w:p>
        </w:tc>
        <w:tc>
          <w:tcPr>
            <w:tcW w:w="436" w:type="pct"/>
            <w:tcBorders>
              <w:top w:val="single" w:color="auto" w:sz="4" w:space="0"/>
              <w:left w:val="single" w:color="auto" w:sz="4" w:space="0"/>
              <w:bottom w:val="single" w:color="auto" w:sz="4" w:space="0"/>
              <w:right w:val="single" w:color="auto" w:sz="4" w:space="0"/>
            </w:tcBorders>
            <w:vAlign w:val="center"/>
          </w:tcPr>
          <w:p w14:paraId="4B6A0DFD">
            <w:pPr>
              <w:widowControl/>
              <w:spacing w:line="240" w:lineRule="auto"/>
              <w:ind w:firstLine="0" w:firstLineChars="0"/>
              <w:jc w:val="center"/>
              <w:rPr>
                <w:color w:val="auto"/>
                <w:kern w:val="0"/>
                <w:sz w:val="21"/>
                <w:szCs w:val="21"/>
              </w:rPr>
            </w:pPr>
            <w:r>
              <w:rPr>
                <w:color w:val="auto"/>
                <w:kern w:val="0"/>
                <w:sz w:val="21"/>
                <w:szCs w:val="21"/>
              </w:rPr>
              <w:t>/</w:t>
            </w:r>
          </w:p>
        </w:tc>
        <w:tc>
          <w:tcPr>
            <w:tcW w:w="437" w:type="pct"/>
            <w:tcBorders>
              <w:top w:val="single" w:color="auto" w:sz="4" w:space="0"/>
              <w:left w:val="single" w:color="auto" w:sz="4" w:space="0"/>
              <w:bottom w:val="single" w:color="auto" w:sz="4" w:space="0"/>
              <w:right w:val="single" w:color="auto" w:sz="4" w:space="0"/>
            </w:tcBorders>
            <w:vAlign w:val="center"/>
          </w:tcPr>
          <w:p w14:paraId="3EA78CB6">
            <w:pPr>
              <w:widowControl/>
              <w:spacing w:line="240" w:lineRule="auto"/>
              <w:ind w:firstLine="0" w:firstLineChars="0"/>
              <w:jc w:val="center"/>
              <w:rPr>
                <w:color w:val="auto"/>
                <w:kern w:val="0"/>
                <w:sz w:val="21"/>
                <w:szCs w:val="21"/>
              </w:rPr>
            </w:pPr>
            <w:r>
              <w:rPr>
                <w:color w:val="auto"/>
                <w:kern w:val="0"/>
                <w:sz w:val="21"/>
                <w:szCs w:val="21"/>
              </w:rPr>
              <w:t>/</w:t>
            </w:r>
          </w:p>
        </w:tc>
        <w:tc>
          <w:tcPr>
            <w:tcW w:w="488" w:type="pct"/>
            <w:tcBorders>
              <w:top w:val="single" w:color="auto" w:sz="4" w:space="0"/>
              <w:left w:val="single" w:color="auto" w:sz="4" w:space="0"/>
              <w:bottom w:val="single" w:color="auto" w:sz="4" w:space="0"/>
              <w:right w:val="nil"/>
            </w:tcBorders>
            <w:vAlign w:val="center"/>
          </w:tcPr>
          <w:p w14:paraId="3CCDE7E0">
            <w:pPr>
              <w:widowControl/>
              <w:spacing w:line="240" w:lineRule="auto"/>
              <w:ind w:firstLine="0" w:firstLineChars="0"/>
              <w:jc w:val="center"/>
              <w:rPr>
                <w:color w:val="auto"/>
                <w:kern w:val="0"/>
                <w:sz w:val="21"/>
                <w:szCs w:val="21"/>
              </w:rPr>
            </w:pPr>
            <w:r>
              <w:rPr>
                <w:color w:val="auto"/>
                <w:kern w:val="0"/>
                <w:sz w:val="21"/>
                <w:szCs w:val="21"/>
              </w:rPr>
              <w:t>/</w:t>
            </w:r>
          </w:p>
        </w:tc>
      </w:tr>
      <w:tr w14:paraId="3930D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 w:hRule="atLeast"/>
          <w:jc w:val="center"/>
        </w:trPr>
        <w:tc>
          <w:tcPr>
            <w:tcW w:w="181" w:type="pct"/>
            <w:vMerge w:val="continue"/>
            <w:tcBorders>
              <w:top w:val="single" w:color="auto" w:sz="4" w:space="0"/>
              <w:left w:val="nil"/>
              <w:bottom w:val="single" w:color="auto" w:sz="12" w:space="0"/>
              <w:right w:val="single" w:color="auto" w:sz="4" w:space="0"/>
            </w:tcBorders>
            <w:vAlign w:val="center"/>
          </w:tcPr>
          <w:p w14:paraId="79A76689">
            <w:pPr>
              <w:widowControl/>
              <w:spacing w:line="240" w:lineRule="auto"/>
              <w:ind w:firstLine="0" w:firstLineChars="0"/>
              <w:jc w:val="center"/>
              <w:rPr>
                <w:color w:val="auto"/>
                <w:kern w:val="0"/>
                <w:sz w:val="21"/>
                <w:szCs w:val="21"/>
              </w:rPr>
            </w:pPr>
          </w:p>
        </w:tc>
        <w:tc>
          <w:tcPr>
            <w:tcW w:w="525" w:type="pct"/>
            <w:tcBorders>
              <w:top w:val="single" w:color="auto" w:sz="4" w:space="0"/>
              <w:left w:val="single" w:color="auto" w:sz="4" w:space="0"/>
              <w:bottom w:val="single" w:color="auto" w:sz="12" w:space="0"/>
              <w:right w:val="single" w:color="auto" w:sz="4" w:space="0"/>
            </w:tcBorders>
            <w:vAlign w:val="center"/>
          </w:tcPr>
          <w:p w14:paraId="2615990C">
            <w:pPr>
              <w:widowControl/>
              <w:spacing w:line="240" w:lineRule="auto"/>
              <w:ind w:firstLine="0" w:firstLineChars="0"/>
              <w:jc w:val="center"/>
              <w:rPr>
                <w:color w:val="auto"/>
                <w:kern w:val="0"/>
                <w:sz w:val="21"/>
                <w:szCs w:val="21"/>
              </w:rPr>
            </w:pPr>
            <w:r>
              <w:rPr>
                <w:color w:val="auto"/>
                <w:kern w:val="0"/>
                <w:sz w:val="21"/>
                <w:szCs w:val="21"/>
              </w:rPr>
              <w:t>事故风险</w:t>
            </w:r>
          </w:p>
        </w:tc>
        <w:tc>
          <w:tcPr>
            <w:tcW w:w="499" w:type="pct"/>
            <w:tcBorders>
              <w:top w:val="single" w:color="auto" w:sz="4" w:space="0"/>
              <w:left w:val="single" w:color="auto" w:sz="4" w:space="0"/>
              <w:bottom w:val="single" w:color="auto" w:sz="12" w:space="0"/>
              <w:right w:val="single" w:color="auto" w:sz="4" w:space="0"/>
            </w:tcBorders>
            <w:vAlign w:val="center"/>
          </w:tcPr>
          <w:p w14:paraId="259D1DD4">
            <w:pPr>
              <w:widowControl/>
              <w:spacing w:line="240" w:lineRule="auto"/>
              <w:ind w:firstLine="0" w:firstLineChars="0"/>
              <w:jc w:val="center"/>
              <w:rPr>
                <w:color w:val="auto"/>
                <w:kern w:val="0"/>
                <w:sz w:val="21"/>
                <w:szCs w:val="21"/>
              </w:rPr>
            </w:pPr>
            <w:r>
              <w:rPr>
                <w:color w:val="auto"/>
                <w:kern w:val="0"/>
                <w:sz w:val="21"/>
                <w:szCs w:val="21"/>
              </w:rPr>
              <w:t>-3SRDC</w:t>
            </w:r>
          </w:p>
        </w:tc>
        <w:tc>
          <w:tcPr>
            <w:tcW w:w="499" w:type="pct"/>
            <w:tcBorders>
              <w:top w:val="single" w:color="auto" w:sz="4" w:space="0"/>
              <w:left w:val="single" w:color="auto" w:sz="4" w:space="0"/>
              <w:bottom w:val="single" w:color="auto" w:sz="12" w:space="0"/>
              <w:right w:val="single" w:color="auto" w:sz="4" w:space="0"/>
            </w:tcBorders>
            <w:vAlign w:val="center"/>
          </w:tcPr>
          <w:p w14:paraId="178E17E6">
            <w:pPr>
              <w:widowControl/>
              <w:spacing w:line="240" w:lineRule="auto"/>
              <w:ind w:firstLine="0" w:firstLineChars="0"/>
              <w:jc w:val="center"/>
              <w:rPr>
                <w:color w:val="auto"/>
                <w:kern w:val="0"/>
                <w:sz w:val="21"/>
                <w:szCs w:val="21"/>
              </w:rPr>
            </w:pPr>
            <w:r>
              <w:rPr>
                <w:color w:val="auto"/>
                <w:kern w:val="0"/>
                <w:sz w:val="21"/>
                <w:szCs w:val="21"/>
              </w:rPr>
              <w:t>-3SRDC</w:t>
            </w:r>
          </w:p>
        </w:tc>
        <w:tc>
          <w:tcPr>
            <w:tcW w:w="499" w:type="pct"/>
            <w:tcBorders>
              <w:top w:val="single" w:color="auto" w:sz="4" w:space="0"/>
              <w:left w:val="single" w:color="auto" w:sz="4" w:space="0"/>
              <w:bottom w:val="single" w:color="auto" w:sz="12" w:space="0"/>
              <w:right w:val="single" w:color="auto" w:sz="4" w:space="0"/>
            </w:tcBorders>
            <w:vAlign w:val="center"/>
          </w:tcPr>
          <w:p w14:paraId="413789C7">
            <w:pPr>
              <w:widowControl/>
              <w:spacing w:line="240" w:lineRule="auto"/>
              <w:ind w:firstLine="0" w:firstLineChars="0"/>
              <w:jc w:val="center"/>
              <w:rPr>
                <w:color w:val="auto"/>
                <w:kern w:val="0"/>
                <w:sz w:val="21"/>
                <w:szCs w:val="21"/>
              </w:rPr>
            </w:pPr>
            <w:r>
              <w:rPr>
                <w:color w:val="auto"/>
                <w:kern w:val="0"/>
                <w:sz w:val="21"/>
                <w:szCs w:val="21"/>
              </w:rPr>
              <w:t>-3SIRDC</w:t>
            </w:r>
          </w:p>
        </w:tc>
        <w:tc>
          <w:tcPr>
            <w:tcW w:w="499" w:type="pct"/>
            <w:tcBorders>
              <w:top w:val="single" w:color="auto" w:sz="4" w:space="0"/>
              <w:left w:val="single" w:color="auto" w:sz="4" w:space="0"/>
              <w:bottom w:val="single" w:color="auto" w:sz="12" w:space="0"/>
              <w:right w:val="single" w:color="auto" w:sz="4" w:space="0"/>
            </w:tcBorders>
            <w:vAlign w:val="center"/>
          </w:tcPr>
          <w:p w14:paraId="0AAD6C1E">
            <w:pPr>
              <w:widowControl/>
              <w:spacing w:line="240" w:lineRule="auto"/>
              <w:ind w:firstLine="0" w:firstLineChars="0"/>
              <w:jc w:val="center"/>
              <w:rPr>
                <w:color w:val="auto"/>
                <w:kern w:val="0"/>
                <w:sz w:val="21"/>
                <w:szCs w:val="21"/>
              </w:rPr>
            </w:pPr>
            <w:r>
              <w:rPr>
                <w:color w:val="auto"/>
                <w:kern w:val="0"/>
                <w:sz w:val="21"/>
                <w:szCs w:val="21"/>
              </w:rPr>
              <w:t>-3SIRDC</w:t>
            </w:r>
          </w:p>
        </w:tc>
        <w:tc>
          <w:tcPr>
            <w:tcW w:w="500" w:type="pct"/>
            <w:tcBorders>
              <w:top w:val="single" w:color="auto" w:sz="4" w:space="0"/>
              <w:left w:val="single" w:color="auto" w:sz="4" w:space="0"/>
              <w:bottom w:val="single" w:color="auto" w:sz="12" w:space="0"/>
              <w:right w:val="single" w:color="auto" w:sz="4" w:space="0"/>
            </w:tcBorders>
            <w:vAlign w:val="center"/>
          </w:tcPr>
          <w:p w14:paraId="3A195FB0">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12" w:space="0"/>
              <w:right w:val="single" w:color="auto" w:sz="4" w:space="0"/>
            </w:tcBorders>
            <w:vAlign w:val="center"/>
          </w:tcPr>
          <w:p w14:paraId="7A78C3E4">
            <w:pPr>
              <w:widowControl/>
              <w:spacing w:line="240" w:lineRule="auto"/>
              <w:ind w:firstLine="0" w:firstLineChars="0"/>
              <w:jc w:val="center"/>
              <w:rPr>
                <w:color w:val="auto"/>
                <w:kern w:val="0"/>
                <w:sz w:val="21"/>
                <w:szCs w:val="21"/>
              </w:rPr>
            </w:pPr>
            <w:r>
              <w:rPr>
                <w:color w:val="auto"/>
                <w:kern w:val="0"/>
                <w:sz w:val="21"/>
                <w:szCs w:val="21"/>
              </w:rPr>
              <w:t>/</w:t>
            </w:r>
          </w:p>
        </w:tc>
        <w:tc>
          <w:tcPr>
            <w:tcW w:w="436" w:type="pct"/>
            <w:tcBorders>
              <w:top w:val="single" w:color="auto" w:sz="4" w:space="0"/>
              <w:left w:val="single" w:color="auto" w:sz="4" w:space="0"/>
              <w:bottom w:val="single" w:color="auto" w:sz="12" w:space="0"/>
              <w:right w:val="single" w:color="auto" w:sz="4" w:space="0"/>
            </w:tcBorders>
            <w:vAlign w:val="center"/>
          </w:tcPr>
          <w:p w14:paraId="060003AF">
            <w:pPr>
              <w:widowControl/>
              <w:spacing w:line="240" w:lineRule="auto"/>
              <w:ind w:firstLine="0" w:firstLineChars="0"/>
              <w:jc w:val="center"/>
              <w:rPr>
                <w:color w:val="auto"/>
                <w:kern w:val="0"/>
                <w:sz w:val="21"/>
                <w:szCs w:val="21"/>
              </w:rPr>
            </w:pPr>
            <w:r>
              <w:rPr>
                <w:color w:val="auto"/>
                <w:kern w:val="0"/>
                <w:sz w:val="21"/>
                <w:szCs w:val="21"/>
              </w:rPr>
              <w:t>-3SIRDC</w:t>
            </w:r>
          </w:p>
        </w:tc>
        <w:tc>
          <w:tcPr>
            <w:tcW w:w="437" w:type="pct"/>
            <w:tcBorders>
              <w:top w:val="single" w:color="auto" w:sz="4" w:space="0"/>
              <w:left w:val="single" w:color="auto" w:sz="4" w:space="0"/>
              <w:bottom w:val="single" w:color="auto" w:sz="12" w:space="0"/>
              <w:right w:val="single" w:color="auto" w:sz="4" w:space="0"/>
            </w:tcBorders>
            <w:vAlign w:val="center"/>
          </w:tcPr>
          <w:p w14:paraId="4999FBCF">
            <w:pPr>
              <w:widowControl/>
              <w:spacing w:line="240" w:lineRule="auto"/>
              <w:ind w:firstLine="0" w:firstLineChars="0"/>
              <w:jc w:val="center"/>
              <w:rPr>
                <w:color w:val="auto"/>
                <w:kern w:val="0"/>
                <w:sz w:val="21"/>
                <w:szCs w:val="21"/>
              </w:rPr>
            </w:pPr>
            <w:r>
              <w:rPr>
                <w:color w:val="auto"/>
                <w:kern w:val="0"/>
                <w:sz w:val="21"/>
                <w:szCs w:val="21"/>
              </w:rPr>
              <w:t>/</w:t>
            </w:r>
          </w:p>
        </w:tc>
        <w:tc>
          <w:tcPr>
            <w:tcW w:w="488" w:type="pct"/>
            <w:tcBorders>
              <w:top w:val="single" w:color="auto" w:sz="4" w:space="0"/>
              <w:left w:val="single" w:color="auto" w:sz="4" w:space="0"/>
              <w:bottom w:val="single" w:color="auto" w:sz="12" w:space="0"/>
              <w:right w:val="nil"/>
            </w:tcBorders>
            <w:vAlign w:val="center"/>
          </w:tcPr>
          <w:p w14:paraId="335E069F">
            <w:pPr>
              <w:widowControl/>
              <w:spacing w:line="240" w:lineRule="auto"/>
              <w:ind w:firstLine="0" w:firstLineChars="0"/>
              <w:jc w:val="center"/>
              <w:rPr>
                <w:color w:val="auto"/>
                <w:kern w:val="0"/>
                <w:sz w:val="21"/>
                <w:szCs w:val="21"/>
              </w:rPr>
            </w:pPr>
            <w:r>
              <w:rPr>
                <w:color w:val="auto"/>
                <w:kern w:val="0"/>
                <w:sz w:val="21"/>
                <w:szCs w:val="21"/>
              </w:rPr>
              <w:t>-1SRDNC</w:t>
            </w:r>
          </w:p>
        </w:tc>
      </w:tr>
    </w:tbl>
    <w:p w14:paraId="2146018D">
      <w:pPr>
        <w:spacing w:line="240" w:lineRule="auto"/>
        <w:ind w:firstLine="0" w:firstLineChars="0"/>
        <w:rPr>
          <w:color w:val="auto"/>
          <w:sz w:val="21"/>
          <w:szCs w:val="21"/>
        </w:rPr>
      </w:pPr>
      <w:r>
        <w:rPr>
          <w:b/>
          <w:bCs/>
          <w:color w:val="auto"/>
          <w:sz w:val="21"/>
          <w:szCs w:val="21"/>
        </w:rPr>
        <w:t>*说明：“+”、“-”分别表示有利、不利影响；“L”、“S”分别表示长期、短期影响；“0”、“1”、“2”、“3”数值分别表示无影响、轻微影响、中等影响和重大影响；“R” 、“IR”分别表示可逆、不可逆影响；“D”、“ID”分别表示直接与间接影响；“C”、“NC”分别表示累积与非累积影响。</w:t>
      </w:r>
    </w:p>
    <w:p w14:paraId="15B64DB9">
      <w:pPr>
        <w:ind w:firstLine="480"/>
        <w:rPr>
          <w:color w:val="auto"/>
        </w:rPr>
        <w:sectPr>
          <w:pgSz w:w="16838" w:h="11906" w:orient="landscape"/>
          <w:pgMar w:top="1134" w:right="1134" w:bottom="1134" w:left="1134" w:header="851" w:footer="992" w:gutter="0"/>
          <w:cols w:space="425" w:num="1"/>
          <w:docGrid w:type="lines" w:linePitch="312" w:charSpace="0"/>
        </w:sectPr>
      </w:pPr>
    </w:p>
    <w:p w14:paraId="0DD08156">
      <w:pPr>
        <w:snapToGrid/>
        <w:spacing w:before="156" w:beforeLines="50" w:after="156" w:afterLines="50"/>
        <w:ind w:firstLine="0" w:firstLineChars="0"/>
        <w:jc w:val="left"/>
        <w:outlineLvl w:val="2"/>
        <w:rPr>
          <w:b/>
          <w:bCs/>
          <w:color w:val="auto"/>
        </w:rPr>
      </w:pPr>
      <w:bookmarkStart w:id="38" w:name="_Toc14555"/>
      <w:r>
        <w:rPr>
          <w:rFonts w:hint="eastAsia"/>
          <w:b/>
          <w:bCs/>
          <w:color w:val="auto"/>
        </w:rPr>
        <w:t>2.2.2评价因子筛选</w:t>
      </w:r>
      <w:bookmarkEnd w:id="38"/>
    </w:p>
    <w:p w14:paraId="12FE6C87">
      <w:pPr>
        <w:ind w:firstLine="480"/>
        <w:rPr>
          <w:color w:val="auto"/>
        </w:rPr>
      </w:pPr>
      <w:r>
        <w:rPr>
          <w:color w:val="auto"/>
        </w:rPr>
        <w:t>本项目现状评价因子、影响预测评价因子和总量控制因子见表2.</w:t>
      </w:r>
      <w:r>
        <w:rPr>
          <w:rFonts w:hint="eastAsia"/>
          <w:color w:val="auto"/>
        </w:rPr>
        <w:t>2-2</w:t>
      </w:r>
      <w:r>
        <w:rPr>
          <w:color w:val="auto"/>
        </w:rPr>
        <w:t>。</w:t>
      </w:r>
    </w:p>
    <w:p w14:paraId="459637EE">
      <w:pPr>
        <w:pStyle w:val="49"/>
        <w:rPr>
          <w:color w:val="auto"/>
        </w:rPr>
      </w:pPr>
      <w:r>
        <w:rPr>
          <w:rFonts w:hint="eastAsia"/>
          <w:color w:val="auto"/>
        </w:rPr>
        <w:t>表2.2-2 本项目评价因子一览表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21"/>
        <w:gridCol w:w="4661"/>
        <w:gridCol w:w="1820"/>
        <w:gridCol w:w="2136"/>
      </w:tblGrid>
      <w:tr w14:paraId="5B81C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530" w:type="pct"/>
            <w:vAlign w:val="center"/>
          </w:tcPr>
          <w:p w14:paraId="2EEC8AD7">
            <w:pPr>
              <w:widowControl/>
              <w:spacing w:line="240" w:lineRule="auto"/>
              <w:ind w:firstLine="0" w:firstLineChars="0"/>
              <w:jc w:val="center"/>
              <w:rPr>
                <w:b/>
                <w:bCs/>
                <w:color w:val="auto"/>
                <w:kern w:val="0"/>
                <w:sz w:val="21"/>
                <w:szCs w:val="21"/>
              </w:rPr>
            </w:pPr>
            <w:bookmarkStart w:id="39" w:name="_Hlk47453756"/>
            <w:r>
              <w:rPr>
                <w:b/>
                <w:bCs/>
                <w:color w:val="auto"/>
                <w:kern w:val="0"/>
                <w:sz w:val="21"/>
                <w:szCs w:val="21"/>
              </w:rPr>
              <w:t>环境类别</w:t>
            </w:r>
          </w:p>
        </w:tc>
        <w:tc>
          <w:tcPr>
            <w:tcW w:w="2418" w:type="pct"/>
            <w:vAlign w:val="center"/>
          </w:tcPr>
          <w:p w14:paraId="43972ABA">
            <w:pPr>
              <w:widowControl/>
              <w:spacing w:line="240" w:lineRule="auto"/>
              <w:ind w:firstLine="0" w:firstLineChars="0"/>
              <w:jc w:val="center"/>
              <w:rPr>
                <w:b/>
                <w:bCs/>
                <w:color w:val="auto"/>
                <w:kern w:val="0"/>
                <w:sz w:val="21"/>
                <w:szCs w:val="21"/>
              </w:rPr>
            </w:pPr>
            <w:r>
              <w:rPr>
                <w:b/>
                <w:bCs/>
                <w:color w:val="auto"/>
                <w:kern w:val="0"/>
                <w:sz w:val="21"/>
                <w:szCs w:val="21"/>
              </w:rPr>
              <w:t>现状评价因子</w:t>
            </w:r>
          </w:p>
        </w:tc>
        <w:tc>
          <w:tcPr>
            <w:tcW w:w="944" w:type="pct"/>
            <w:vAlign w:val="center"/>
          </w:tcPr>
          <w:p w14:paraId="194F0C7F">
            <w:pPr>
              <w:widowControl/>
              <w:spacing w:line="240" w:lineRule="auto"/>
              <w:ind w:firstLine="0" w:firstLineChars="0"/>
              <w:jc w:val="center"/>
              <w:rPr>
                <w:b/>
                <w:bCs/>
                <w:color w:val="auto"/>
                <w:kern w:val="0"/>
                <w:sz w:val="21"/>
                <w:szCs w:val="21"/>
              </w:rPr>
            </w:pPr>
            <w:r>
              <w:rPr>
                <w:b/>
                <w:bCs/>
                <w:color w:val="auto"/>
                <w:kern w:val="0"/>
                <w:sz w:val="21"/>
                <w:szCs w:val="21"/>
              </w:rPr>
              <w:t>影响评价因子</w:t>
            </w:r>
          </w:p>
        </w:tc>
        <w:tc>
          <w:tcPr>
            <w:tcW w:w="1108" w:type="pct"/>
            <w:vAlign w:val="center"/>
          </w:tcPr>
          <w:p w14:paraId="089F1F55">
            <w:pPr>
              <w:widowControl/>
              <w:spacing w:line="240" w:lineRule="auto"/>
              <w:ind w:firstLine="0" w:firstLineChars="0"/>
              <w:jc w:val="center"/>
              <w:rPr>
                <w:b/>
                <w:bCs/>
                <w:color w:val="auto"/>
                <w:kern w:val="0"/>
                <w:sz w:val="21"/>
                <w:szCs w:val="21"/>
              </w:rPr>
            </w:pPr>
            <w:r>
              <w:rPr>
                <w:b/>
                <w:bCs/>
                <w:color w:val="auto"/>
                <w:kern w:val="0"/>
                <w:sz w:val="21"/>
                <w:szCs w:val="21"/>
              </w:rPr>
              <w:t>总量控制因子</w:t>
            </w:r>
          </w:p>
        </w:tc>
      </w:tr>
      <w:tr w14:paraId="2C7BF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530" w:type="pct"/>
            <w:vAlign w:val="center"/>
          </w:tcPr>
          <w:p w14:paraId="1CA49AE2">
            <w:pPr>
              <w:widowControl/>
              <w:spacing w:line="240" w:lineRule="auto"/>
              <w:ind w:firstLine="0" w:firstLineChars="0"/>
              <w:jc w:val="center"/>
              <w:rPr>
                <w:color w:val="auto"/>
                <w:kern w:val="0"/>
                <w:sz w:val="21"/>
                <w:szCs w:val="21"/>
              </w:rPr>
            </w:pPr>
            <w:r>
              <w:rPr>
                <w:color w:val="auto"/>
                <w:kern w:val="0"/>
                <w:sz w:val="21"/>
                <w:szCs w:val="21"/>
              </w:rPr>
              <w:t>大气</w:t>
            </w:r>
          </w:p>
        </w:tc>
        <w:tc>
          <w:tcPr>
            <w:tcW w:w="2418" w:type="pct"/>
            <w:vAlign w:val="center"/>
          </w:tcPr>
          <w:p w14:paraId="71D69E8C">
            <w:pPr>
              <w:widowControl/>
              <w:spacing w:line="240" w:lineRule="auto"/>
              <w:ind w:firstLine="0" w:firstLineChars="0"/>
              <w:jc w:val="center"/>
              <w:rPr>
                <w:color w:val="auto"/>
                <w:kern w:val="0"/>
                <w:sz w:val="21"/>
                <w:szCs w:val="21"/>
              </w:rPr>
            </w:pPr>
            <w:r>
              <w:rPr>
                <w:color w:val="auto"/>
                <w:kern w:val="0"/>
                <w:sz w:val="21"/>
                <w:szCs w:val="21"/>
              </w:rPr>
              <w:t>SO</w:t>
            </w:r>
            <w:r>
              <w:rPr>
                <w:color w:val="auto"/>
                <w:kern w:val="0"/>
                <w:sz w:val="21"/>
                <w:szCs w:val="21"/>
                <w:vertAlign w:val="subscript"/>
              </w:rPr>
              <w:t>2</w:t>
            </w:r>
            <w:r>
              <w:rPr>
                <w:color w:val="auto"/>
                <w:kern w:val="0"/>
                <w:sz w:val="21"/>
                <w:szCs w:val="21"/>
              </w:rPr>
              <w:t>、NO</w:t>
            </w:r>
            <w:r>
              <w:rPr>
                <w:color w:val="auto"/>
                <w:kern w:val="0"/>
                <w:sz w:val="21"/>
                <w:szCs w:val="21"/>
                <w:vertAlign w:val="subscript"/>
              </w:rPr>
              <w:t>2</w:t>
            </w:r>
            <w:r>
              <w:rPr>
                <w:color w:val="auto"/>
                <w:kern w:val="0"/>
                <w:sz w:val="21"/>
                <w:szCs w:val="21"/>
              </w:rPr>
              <w:t>、PM</w:t>
            </w:r>
            <w:r>
              <w:rPr>
                <w:color w:val="auto"/>
                <w:kern w:val="0"/>
                <w:sz w:val="21"/>
                <w:szCs w:val="21"/>
                <w:vertAlign w:val="subscript"/>
              </w:rPr>
              <w:t>10</w:t>
            </w:r>
            <w:r>
              <w:rPr>
                <w:color w:val="auto"/>
                <w:kern w:val="0"/>
                <w:sz w:val="21"/>
                <w:szCs w:val="21"/>
              </w:rPr>
              <w:t>、PM</w:t>
            </w:r>
            <w:r>
              <w:rPr>
                <w:color w:val="auto"/>
                <w:kern w:val="0"/>
                <w:sz w:val="21"/>
                <w:szCs w:val="21"/>
                <w:vertAlign w:val="subscript"/>
              </w:rPr>
              <w:t>2.5</w:t>
            </w:r>
            <w:r>
              <w:rPr>
                <w:color w:val="auto"/>
                <w:kern w:val="0"/>
                <w:sz w:val="21"/>
                <w:szCs w:val="21"/>
              </w:rPr>
              <w:t>、CO、O</w:t>
            </w:r>
            <w:r>
              <w:rPr>
                <w:color w:val="auto"/>
                <w:kern w:val="0"/>
                <w:sz w:val="21"/>
                <w:szCs w:val="21"/>
                <w:vertAlign w:val="subscript"/>
              </w:rPr>
              <w:t>3</w:t>
            </w:r>
            <w:r>
              <w:rPr>
                <w:color w:val="auto"/>
                <w:kern w:val="0"/>
                <w:sz w:val="21"/>
                <w:szCs w:val="21"/>
              </w:rPr>
              <w:t>、氨、硫化氢、臭气浓度</w:t>
            </w:r>
          </w:p>
        </w:tc>
        <w:tc>
          <w:tcPr>
            <w:tcW w:w="944" w:type="pct"/>
            <w:vAlign w:val="center"/>
          </w:tcPr>
          <w:p w14:paraId="518D67E1">
            <w:pPr>
              <w:widowControl/>
              <w:spacing w:line="240" w:lineRule="auto"/>
              <w:ind w:firstLine="0" w:firstLineChars="0"/>
              <w:jc w:val="center"/>
              <w:rPr>
                <w:color w:val="auto"/>
                <w:kern w:val="0"/>
                <w:sz w:val="21"/>
                <w:szCs w:val="21"/>
              </w:rPr>
            </w:pPr>
            <w:r>
              <w:rPr>
                <w:color w:val="auto"/>
                <w:kern w:val="0"/>
                <w:sz w:val="21"/>
                <w:szCs w:val="21"/>
              </w:rPr>
              <w:t>二氧化硫、氨、</w:t>
            </w:r>
            <w:r>
              <w:rPr>
                <w:rFonts w:hint="eastAsia"/>
                <w:color w:val="auto"/>
                <w:kern w:val="0"/>
                <w:sz w:val="21"/>
                <w:szCs w:val="21"/>
              </w:rPr>
              <w:t>PM</w:t>
            </w:r>
            <w:r>
              <w:rPr>
                <w:rFonts w:hint="eastAsia"/>
                <w:color w:val="auto"/>
                <w:kern w:val="0"/>
                <w:sz w:val="21"/>
                <w:szCs w:val="21"/>
                <w:vertAlign w:val="subscript"/>
              </w:rPr>
              <w:t>10</w:t>
            </w:r>
          </w:p>
        </w:tc>
        <w:tc>
          <w:tcPr>
            <w:tcW w:w="1108" w:type="pct"/>
            <w:vAlign w:val="center"/>
          </w:tcPr>
          <w:p w14:paraId="38D708DE">
            <w:pPr>
              <w:widowControl/>
              <w:spacing w:line="240" w:lineRule="auto"/>
              <w:ind w:firstLine="0" w:firstLineChars="0"/>
              <w:jc w:val="center"/>
              <w:rPr>
                <w:color w:val="auto"/>
                <w:kern w:val="0"/>
                <w:sz w:val="21"/>
                <w:szCs w:val="21"/>
              </w:rPr>
            </w:pPr>
            <w:r>
              <w:rPr>
                <w:color w:val="auto"/>
                <w:kern w:val="0"/>
                <w:sz w:val="21"/>
                <w:szCs w:val="21"/>
              </w:rPr>
              <w:t>二氧化硫</w:t>
            </w:r>
            <w:r>
              <w:rPr>
                <w:rFonts w:hint="eastAsia"/>
                <w:color w:val="auto"/>
                <w:kern w:val="0"/>
                <w:sz w:val="21"/>
                <w:szCs w:val="21"/>
              </w:rPr>
              <w:t>、颗粒物</w:t>
            </w:r>
          </w:p>
        </w:tc>
      </w:tr>
      <w:tr w14:paraId="68390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530" w:type="pct"/>
            <w:vAlign w:val="center"/>
          </w:tcPr>
          <w:p w14:paraId="2AA1F726">
            <w:pPr>
              <w:widowControl/>
              <w:spacing w:line="240" w:lineRule="auto"/>
              <w:ind w:firstLine="0" w:firstLineChars="0"/>
              <w:jc w:val="center"/>
              <w:rPr>
                <w:color w:val="auto"/>
                <w:kern w:val="0"/>
                <w:sz w:val="21"/>
                <w:szCs w:val="21"/>
              </w:rPr>
            </w:pPr>
            <w:r>
              <w:rPr>
                <w:color w:val="auto"/>
                <w:kern w:val="0"/>
                <w:sz w:val="21"/>
                <w:szCs w:val="21"/>
              </w:rPr>
              <w:t>地表水</w:t>
            </w:r>
          </w:p>
        </w:tc>
        <w:tc>
          <w:tcPr>
            <w:tcW w:w="2418" w:type="pct"/>
            <w:tcMar>
              <w:left w:w="0" w:type="dxa"/>
              <w:right w:w="0" w:type="dxa"/>
            </w:tcMar>
            <w:vAlign w:val="center"/>
          </w:tcPr>
          <w:p w14:paraId="22932BBF">
            <w:pPr>
              <w:widowControl/>
              <w:spacing w:line="240" w:lineRule="auto"/>
              <w:ind w:firstLine="0" w:firstLineChars="0"/>
              <w:jc w:val="center"/>
              <w:rPr>
                <w:color w:val="auto"/>
                <w:kern w:val="0"/>
                <w:sz w:val="21"/>
                <w:szCs w:val="21"/>
              </w:rPr>
            </w:pPr>
            <w:r>
              <w:rPr>
                <w:rFonts w:hint="eastAsia"/>
                <w:color w:val="auto"/>
                <w:kern w:val="0"/>
                <w:sz w:val="21"/>
                <w:szCs w:val="21"/>
              </w:rPr>
              <w:t>水温、</w:t>
            </w:r>
            <w:r>
              <w:rPr>
                <w:color w:val="auto"/>
                <w:kern w:val="0"/>
                <w:sz w:val="21"/>
                <w:szCs w:val="21"/>
              </w:rPr>
              <w:t>pH、COD、BOD</w:t>
            </w:r>
            <w:r>
              <w:rPr>
                <w:color w:val="auto"/>
                <w:kern w:val="0"/>
                <w:sz w:val="21"/>
                <w:szCs w:val="21"/>
                <w:vertAlign w:val="subscript"/>
              </w:rPr>
              <w:t>5</w:t>
            </w:r>
            <w:r>
              <w:rPr>
                <w:color w:val="auto"/>
                <w:kern w:val="0"/>
                <w:sz w:val="21"/>
                <w:szCs w:val="21"/>
              </w:rPr>
              <w:t>、氨氮、总磷、石油类</w:t>
            </w:r>
          </w:p>
        </w:tc>
        <w:tc>
          <w:tcPr>
            <w:tcW w:w="944" w:type="pct"/>
            <w:vAlign w:val="center"/>
          </w:tcPr>
          <w:p w14:paraId="0302080C">
            <w:pPr>
              <w:widowControl/>
              <w:spacing w:line="240" w:lineRule="auto"/>
              <w:ind w:firstLine="0" w:firstLineChars="0"/>
              <w:jc w:val="center"/>
              <w:rPr>
                <w:color w:val="auto"/>
                <w:kern w:val="0"/>
                <w:sz w:val="21"/>
                <w:szCs w:val="21"/>
              </w:rPr>
            </w:pPr>
            <w:r>
              <w:rPr>
                <w:color w:val="auto"/>
                <w:kern w:val="0"/>
                <w:sz w:val="21"/>
                <w:szCs w:val="21"/>
              </w:rPr>
              <w:t>/</w:t>
            </w:r>
          </w:p>
        </w:tc>
        <w:tc>
          <w:tcPr>
            <w:tcW w:w="1108" w:type="pct"/>
            <w:vAlign w:val="center"/>
          </w:tcPr>
          <w:p w14:paraId="7FFB56AC">
            <w:pPr>
              <w:widowControl/>
              <w:spacing w:line="240" w:lineRule="auto"/>
              <w:ind w:firstLine="0" w:firstLineChars="0"/>
              <w:jc w:val="center"/>
              <w:rPr>
                <w:color w:val="auto"/>
                <w:kern w:val="0"/>
                <w:sz w:val="21"/>
                <w:szCs w:val="21"/>
              </w:rPr>
            </w:pPr>
            <w:r>
              <w:rPr>
                <w:color w:val="auto"/>
                <w:kern w:val="0"/>
                <w:sz w:val="21"/>
                <w:szCs w:val="21"/>
              </w:rPr>
              <w:t>COD、氨氮、总氮、总磷</w:t>
            </w:r>
          </w:p>
        </w:tc>
      </w:tr>
      <w:tr w14:paraId="1FCE2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0" w:type="pct"/>
            <w:vAlign w:val="center"/>
          </w:tcPr>
          <w:p w14:paraId="6F8F6FF0">
            <w:pPr>
              <w:widowControl/>
              <w:spacing w:line="240" w:lineRule="auto"/>
              <w:ind w:firstLine="0" w:firstLineChars="0"/>
              <w:jc w:val="center"/>
              <w:rPr>
                <w:color w:val="auto"/>
                <w:kern w:val="0"/>
                <w:sz w:val="21"/>
                <w:szCs w:val="21"/>
              </w:rPr>
            </w:pPr>
            <w:r>
              <w:rPr>
                <w:color w:val="auto"/>
                <w:kern w:val="0"/>
                <w:sz w:val="21"/>
                <w:szCs w:val="21"/>
              </w:rPr>
              <w:t>地下水</w:t>
            </w:r>
          </w:p>
        </w:tc>
        <w:tc>
          <w:tcPr>
            <w:tcW w:w="2418" w:type="pct"/>
            <w:tcMar>
              <w:left w:w="0" w:type="dxa"/>
              <w:right w:w="0" w:type="dxa"/>
            </w:tcMar>
            <w:vAlign w:val="center"/>
          </w:tcPr>
          <w:p w14:paraId="6CC62CA4">
            <w:pPr>
              <w:widowControl/>
              <w:spacing w:line="240" w:lineRule="auto"/>
              <w:ind w:firstLine="0" w:firstLineChars="0"/>
              <w:jc w:val="center"/>
              <w:rPr>
                <w:color w:val="auto"/>
                <w:kern w:val="0"/>
                <w:sz w:val="21"/>
                <w:szCs w:val="21"/>
              </w:rPr>
            </w:pPr>
            <w:r>
              <w:rPr>
                <w:color w:val="auto"/>
                <w:kern w:val="0"/>
                <w:sz w:val="21"/>
                <w:szCs w:val="21"/>
              </w:rPr>
              <w:t>K</w:t>
            </w:r>
            <w:r>
              <w:rPr>
                <w:color w:val="auto"/>
                <w:kern w:val="0"/>
                <w:sz w:val="21"/>
                <w:szCs w:val="21"/>
                <w:vertAlign w:val="superscript"/>
              </w:rPr>
              <w:t>+</w:t>
            </w:r>
            <w:r>
              <w:rPr>
                <w:color w:val="auto"/>
                <w:kern w:val="0"/>
                <w:sz w:val="21"/>
                <w:szCs w:val="21"/>
              </w:rPr>
              <w:t>、Na</w:t>
            </w:r>
            <w:r>
              <w:rPr>
                <w:color w:val="auto"/>
                <w:kern w:val="0"/>
                <w:sz w:val="21"/>
                <w:szCs w:val="21"/>
                <w:vertAlign w:val="superscript"/>
              </w:rPr>
              <w:t>+</w:t>
            </w:r>
            <w:r>
              <w:rPr>
                <w:color w:val="auto"/>
                <w:kern w:val="0"/>
                <w:sz w:val="21"/>
                <w:szCs w:val="21"/>
              </w:rPr>
              <w:t>、Ca</w:t>
            </w:r>
            <w:r>
              <w:rPr>
                <w:color w:val="auto"/>
                <w:kern w:val="0"/>
                <w:sz w:val="21"/>
                <w:szCs w:val="21"/>
                <w:vertAlign w:val="superscript"/>
              </w:rPr>
              <w:t>2+</w:t>
            </w:r>
            <w:r>
              <w:rPr>
                <w:color w:val="auto"/>
                <w:kern w:val="0"/>
                <w:sz w:val="21"/>
                <w:szCs w:val="21"/>
              </w:rPr>
              <w:t>、Mg</w:t>
            </w:r>
            <w:r>
              <w:rPr>
                <w:color w:val="auto"/>
                <w:kern w:val="0"/>
                <w:sz w:val="21"/>
                <w:szCs w:val="21"/>
                <w:vertAlign w:val="superscript"/>
              </w:rPr>
              <w:t>2+</w:t>
            </w:r>
            <w:r>
              <w:rPr>
                <w:color w:val="auto"/>
                <w:kern w:val="0"/>
                <w:sz w:val="21"/>
                <w:szCs w:val="21"/>
              </w:rPr>
              <w:t>、CO</w:t>
            </w:r>
            <w:r>
              <w:rPr>
                <w:color w:val="auto"/>
                <w:kern w:val="0"/>
                <w:sz w:val="21"/>
                <w:szCs w:val="21"/>
                <w:vertAlign w:val="subscript"/>
              </w:rPr>
              <w:t>3</w:t>
            </w:r>
            <w:r>
              <w:rPr>
                <w:color w:val="auto"/>
                <w:kern w:val="0"/>
                <w:sz w:val="21"/>
                <w:szCs w:val="21"/>
                <w:vertAlign w:val="superscript"/>
              </w:rPr>
              <w:t>2-</w:t>
            </w:r>
            <w:r>
              <w:rPr>
                <w:color w:val="auto"/>
                <w:kern w:val="0"/>
                <w:sz w:val="21"/>
                <w:szCs w:val="21"/>
              </w:rPr>
              <w:t>、HCO</w:t>
            </w:r>
            <w:r>
              <w:rPr>
                <w:color w:val="auto"/>
                <w:kern w:val="0"/>
                <w:sz w:val="21"/>
                <w:szCs w:val="21"/>
                <w:vertAlign w:val="subscript"/>
              </w:rPr>
              <w:t>3</w:t>
            </w:r>
            <w:r>
              <w:rPr>
                <w:color w:val="auto"/>
                <w:kern w:val="0"/>
                <w:sz w:val="21"/>
                <w:szCs w:val="21"/>
                <w:vertAlign w:val="superscript"/>
              </w:rPr>
              <w:t>-</w:t>
            </w:r>
            <w:r>
              <w:rPr>
                <w:color w:val="auto"/>
                <w:kern w:val="0"/>
                <w:sz w:val="21"/>
                <w:szCs w:val="21"/>
              </w:rPr>
              <w:t>、Cl</w:t>
            </w:r>
            <w:r>
              <w:rPr>
                <w:color w:val="auto"/>
                <w:kern w:val="0"/>
                <w:sz w:val="21"/>
                <w:szCs w:val="21"/>
                <w:vertAlign w:val="superscript"/>
              </w:rPr>
              <w:t>-</w:t>
            </w:r>
            <w:r>
              <w:rPr>
                <w:color w:val="auto"/>
                <w:kern w:val="0"/>
                <w:sz w:val="21"/>
                <w:szCs w:val="21"/>
              </w:rPr>
              <w:t>、SO</w:t>
            </w:r>
            <w:r>
              <w:rPr>
                <w:color w:val="auto"/>
                <w:kern w:val="0"/>
                <w:sz w:val="21"/>
                <w:szCs w:val="21"/>
                <w:vertAlign w:val="subscript"/>
              </w:rPr>
              <w:t>4</w:t>
            </w:r>
            <w:r>
              <w:rPr>
                <w:color w:val="auto"/>
                <w:kern w:val="0"/>
                <w:sz w:val="21"/>
                <w:szCs w:val="21"/>
                <w:vertAlign w:val="superscript"/>
              </w:rPr>
              <w:t>2-</w:t>
            </w:r>
            <w:r>
              <w:rPr>
                <w:color w:val="auto"/>
                <w:kern w:val="0"/>
                <w:sz w:val="21"/>
                <w:szCs w:val="21"/>
              </w:rPr>
              <w:t>、pH、氨氮、硝酸盐、亚硝酸盐、挥发性酚、氰化物、砷、汞、铬(六价)、总硬度、镍、铅、氟化物、镉、铁、锰、铜、溶解性总固体、高锰酸盐指数、硫化物、总大肠菌群、细菌总数、石油类、阴离子表面活性剂</w:t>
            </w:r>
          </w:p>
        </w:tc>
        <w:tc>
          <w:tcPr>
            <w:tcW w:w="944" w:type="pct"/>
            <w:vAlign w:val="center"/>
          </w:tcPr>
          <w:p w14:paraId="09AB837F">
            <w:pPr>
              <w:widowControl/>
              <w:spacing w:line="240" w:lineRule="auto"/>
              <w:ind w:firstLine="0" w:firstLineChars="0"/>
              <w:jc w:val="center"/>
              <w:rPr>
                <w:color w:val="auto"/>
                <w:kern w:val="0"/>
                <w:sz w:val="21"/>
                <w:szCs w:val="21"/>
              </w:rPr>
            </w:pPr>
            <w:r>
              <w:rPr>
                <w:color w:val="auto"/>
                <w:kern w:val="0"/>
                <w:sz w:val="21"/>
                <w:szCs w:val="21"/>
              </w:rPr>
              <w:t>高锰酸盐指数</w:t>
            </w:r>
          </w:p>
        </w:tc>
        <w:tc>
          <w:tcPr>
            <w:tcW w:w="1108" w:type="pct"/>
            <w:vAlign w:val="center"/>
          </w:tcPr>
          <w:p w14:paraId="13E0529E">
            <w:pPr>
              <w:widowControl/>
              <w:spacing w:line="240" w:lineRule="auto"/>
              <w:ind w:firstLine="0" w:firstLineChars="0"/>
              <w:jc w:val="center"/>
              <w:rPr>
                <w:color w:val="auto"/>
                <w:kern w:val="0"/>
                <w:sz w:val="21"/>
                <w:szCs w:val="21"/>
              </w:rPr>
            </w:pPr>
            <w:r>
              <w:rPr>
                <w:color w:val="auto"/>
                <w:kern w:val="0"/>
                <w:sz w:val="21"/>
                <w:szCs w:val="21"/>
              </w:rPr>
              <w:t>/</w:t>
            </w:r>
          </w:p>
        </w:tc>
      </w:tr>
      <w:tr w14:paraId="676E8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0" w:type="pct"/>
            <w:vAlign w:val="center"/>
          </w:tcPr>
          <w:p w14:paraId="42165325">
            <w:pPr>
              <w:widowControl/>
              <w:spacing w:line="240" w:lineRule="auto"/>
              <w:ind w:firstLine="0" w:firstLineChars="0"/>
              <w:jc w:val="center"/>
              <w:rPr>
                <w:color w:val="auto"/>
                <w:kern w:val="0"/>
                <w:sz w:val="21"/>
                <w:szCs w:val="21"/>
              </w:rPr>
            </w:pPr>
            <w:r>
              <w:rPr>
                <w:color w:val="auto"/>
                <w:kern w:val="0"/>
                <w:sz w:val="21"/>
                <w:szCs w:val="21"/>
              </w:rPr>
              <w:t>声环境</w:t>
            </w:r>
          </w:p>
        </w:tc>
        <w:tc>
          <w:tcPr>
            <w:tcW w:w="2418" w:type="pct"/>
            <w:vAlign w:val="center"/>
          </w:tcPr>
          <w:p w14:paraId="6D8080AA">
            <w:pPr>
              <w:widowControl/>
              <w:spacing w:line="240" w:lineRule="auto"/>
              <w:ind w:firstLine="0" w:firstLineChars="0"/>
              <w:jc w:val="center"/>
              <w:rPr>
                <w:color w:val="auto"/>
                <w:kern w:val="0"/>
                <w:sz w:val="21"/>
                <w:szCs w:val="21"/>
              </w:rPr>
            </w:pPr>
            <w:r>
              <w:rPr>
                <w:color w:val="auto"/>
                <w:kern w:val="0"/>
                <w:sz w:val="21"/>
                <w:szCs w:val="21"/>
              </w:rPr>
              <w:t>等效连续A声级</w:t>
            </w:r>
          </w:p>
        </w:tc>
        <w:tc>
          <w:tcPr>
            <w:tcW w:w="944" w:type="pct"/>
            <w:vAlign w:val="center"/>
          </w:tcPr>
          <w:p w14:paraId="75D4EBDF">
            <w:pPr>
              <w:widowControl/>
              <w:spacing w:line="240" w:lineRule="auto"/>
              <w:ind w:firstLine="0" w:firstLineChars="0"/>
              <w:jc w:val="center"/>
              <w:rPr>
                <w:color w:val="auto"/>
                <w:kern w:val="0"/>
                <w:sz w:val="21"/>
                <w:szCs w:val="21"/>
              </w:rPr>
            </w:pPr>
            <w:r>
              <w:rPr>
                <w:color w:val="auto"/>
                <w:kern w:val="0"/>
                <w:sz w:val="21"/>
                <w:szCs w:val="21"/>
              </w:rPr>
              <w:t>等效连续A声级</w:t>
            </w:r>
          </w:p>
        </w:tc>
        <w:tc>
          <w:tcPr>
            <w:tcW w:w="1108" w:type="pct"/>
            <w:vAlign w:val="center"/>
          </w:tcPr>
          <w:p w14:paraId="0469BC6E">
            <w:pPr>
              <w:widowControl/>
              <w:spacing w:line="240" w:lineRule="auto"/>
              <w:ind w:firstLine="0" w:firstLineChars="0"/>
              <w:jc w:val="center"/>
              <w:rPr>
                <w:color w:val="auto"/>
                <w:kern w:val="0"/>
                <w:sz w:val="21"/>
                <w:szCs w:val="21"/>
              </w:rPr>
            </w:pPr>
            <w:r>
              <w:rPr>
                <w:color w:val="auto"/>
                <w:kern w:val="0"/>
                <w:sz w:val="21"/>
                <w:szCs w:val="21"/>
              </w:rPr>
              <w:t>/</w:t>
            </w:r>
          </w:p>
        </w:tc>
      </w:tr>
      <w:tr w14:paraId="42839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0" w:type="pct"/>
            <w:vAlign w:val="center"/>
          </w:tcPr>
          <w:p w14:paraId="169EB10D">
            <w:pPr>
              <w:widowControl/>
              <w:spacing w:line="240" w:lineRule="auto"/>
              <w:ind w:firstLine="0" w:firstLineChars="0"/>
              <w:jc w:val="center"/>
              <w:rPr>
                <w:color w:val="auto"/>
                <w:kern w:val="0"/>
                <w:sz w:val="21"/>
                <w:szCs w:val="21"/>
              </w:rPr>
            </w:pPr>
            <w:r>
              <w:rPr>
                <w:color w:val="auto"/>
                <w:kern w:val="0"/>
                <w:sz w:val="21"/>
                <w:szCs w:val="21"/>
              </w:rPr>
              <w:t>固体废物</w:t>
            </w:r>
          </w:p>
        </w:tc>
        <w:tc>
          <w:tcPr>
            <w:tcW w:w="2418" w:type="pct"/>
            <w:vAlign w:val="center"/>
          </w:tcPr>
          <w:p w14:paraId="60FAEB41">
            <w:pPr>
              <w:widowControl/>
              <w:spacing w:line="240" w:lineRule="auto"/>
              <w:ind w:firstLine="0" w:firstLineChars="0"/>
              <w:jc w:val="center"/>
              <w:rPr>
                <w:color w:val="auto"/>
                <w:kern w:val="0"/>
                <w:sz w:val="21"/>
                <w:szCs w:val="21"/>
              </w:rPr>
            </w:pPr>
            <w:r>
              <w:rPr>
                <w:color w:val="auto"/>
                <w:kern w:val="0"/>
                <w:sz w:val="21"/>
                <w:szCs w:val="21"/>
              </w:rPr>
              <w:t>/</w:t>
            </w:r>
          </w:p>
        </w:tc>
        <w:tc>
          <w:tcPr>
            <w:tcW w:w="944" w:type="pct"/>
            <w:tcMar>
              <w:left w:w="0" w:type="dxa"/>
              <w:right w:w="0" w:type="dxa"/>
            </w:tcMar>
            <w:vAlign w:val="center"/>
          </w:tcPr>
          <w:p w14:paraId="15200AE9">
            <w:pPr>
              <w:widowControl/>
              <w:spacing w:line="240" w:lineRule="auto"/>
              <w:ind w:firstLine="0" w:firstLineChars="0"/>
              <w:jc w:val="center"/>
              <w:rPr>
                <w:color w:val="auto"/>
                <w:kern w:val="0"/>
                <w:sz w:val="21"/>
                <w:szCs w:val="21"/>
              </w:rPr>
            </w:pPr>
            <w:r>
              <w:rPr>
                <w:color w:val="auto"/>
                <w:kern w:val="0"/>
                <w:sz w:val="21"/>
                <w:szCs w:val="21"/>
              </w:rPr>
              <w:t>工业固体废物</w:t>
            </w:r>
          </w:p>
        </w:tc>
        <w:tc>
          <w:tcPr>
            <w:tcW w:w="1108" w:type="pct"/>
            <w:vAlign w:val="center"/>
          </w:tcPr>
          <w:p w14:paraId="094F4E83">
            <w:pPr>
              <w:widowControl/>
              <w:spacing w:line="240" w:lineRule="auto"/>
              <w:ind w:firstLine="0" w:firstLineChars="0"/>
              <w:jc w:val="center"/>
              <w:rPr>
                <w:color w:val="auto"/>
                <w:kern w:val="0"/>
                <w:sz w:val="21"/>
                <w:szCs w:val="21"/>
              </w:rPr>
            </w:pPr>
            <w:r>
              <w:rPr>
                <w:color w:val="auto"/>
                <w:kern w:val="0"/>
                <w:sz w:val="21"/>
                <w:szCs w:val="21"/>
              </w:rPr>
              <w:t>固体废物排放量</w:t>
            </w:r>
          </w:p>
        </w:tc>
      </w:tr>
      <w:tr w14:paraId="4C549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0" w:type="pct"/>
            <w:vAlign w:val="center"/>
          </w:tcPr>
          <w:p w14:paraId="4E553338">
            <w:pPr>
              <w:widowControl/>
              <w:spacing w:line="240" w:lineRule="auto"/>
              <w:ind w:firstLine="0" w:firstLineChars="0"/>
              <w:jc w:val="center"/>
              <w:rPr>
                <w:color w:val="auto"/>
                <w:kern w:val="0"/>
                <w:sz w:val="21"/>
                <w:szCs w:val="21"/>
              </w:rPr>
            </w:pPr>
            <w:r>
              <w:rPr>
                <w:color w:val="auto"/>
                <w:kern w:val="0"/>
                <w:sz w:val="21"/>
                <w:szCs w:val="21"/>
              </w:rPr>
              <w:t>土壤环境</w:t>
            </w:r>
          </w:p>
        </w:tc>
        <w:tc>
          <w:tcPr>
            <w:tcW w:w="2418" w:type="pct"/>
            <w:vAlign w:val="center"/>
          </w:tcPr>
          <w:p w14:paraId="359ADB23">
            <w:pPr>
              <w:widowControl/>
              <w:spacing w:line="240" w:lineRule="auto"/>
              <w:ind w:firstLine="0" w:firstLineChars="0"/>
              <w:jc w:val="center"/>
              <w:rPr>
                <w:color w:val="auto"/>
                <w:kern w:val="0"/>
                <w:sz w:val="21"/>
                <w:szCs w:val="21"/>
              </w:rPr>
            </w:pPr>
            <w:r>
              <w:rPr>
                <w:color w:val="auto"/>
                <w:kern w:val="0"/>
                <w:sz w:val="21"/>
                <w:szCs w:val="21"/>
              </w:rPr>
              <w:t>砷、镉、铬(六价)、铜、铅、汞、镍、</w:t>
            </w:r>
            <w:r>
              <w:rPr>
                <w:rFonts w:hint="eastAsia"/>
                <w:color w:val="auto"/>
                <w:kern w:val="0"/>
                <w:sz w:val="21"/>
                <w:szCs w:val="21"/>
              </w:rPr>
              <w:t>锌</w:t>
            </w:r>
            <w:r>
              <w:rPr>
                <w:color w:val="auto"/>
                <w:kern w:val="0"/>
                <w:sz w:val="21"/>
                <w:szCs w:val="21"/>
              </w:rPr>
              <w:t>四氯化碳、氯仿、氯甲烷、1,1-二氯乙烷、1,2-二氯乙烷、1,1-二氯乙烯、顺-1,2-二氯乙烯、反-1,2-二氯乙烯、二氯甲烷、1,2-二氯丙烷、1,1,1,2-四氯乙烷、1,1,1,2-四氯乙烷、四氯乙烯、1,1,1-三氯乙烷、1,1,2-三氯乙烷、三氯乙烯、1,2,3-三氯丙烷、氯乙烯、苯、氯苯、1,2-二氯苯、1,4-二氯苯、乙苯、苯乙烯、甲苯、间二甲苯、对二甲苯、邻二甲苯、硝基苯、苯胺、2-氯酚、苯并[a]蒽、苯并[a]芘、苯并[b]荧蒽、苯并[k]荧蒽、</w:t>
            </w:r>
            <w:r>
              <w:rPr>
                <w:color w:val="auto"/>
                <w:sz w:val="21"/>
                <w:szCs w:val="21"/>
              </w:rPr>
              <w:t>䓛</w:t>
            </w:r>
            <w:r>
              <w:rPr>
                <w:color w:val="auto"/>
                <w:kern w:val="0"/>
                <w:sz w:val="21"/>
                <w:szCs w:val="21"/>
              </w:rPr>
              <w:t>、二苯并[a,h]蒽、茚并[1,2,3-cd]芘、萘、石油烃(C</w:t>
            </w:r>
            <w:r>
              <w:rPr>
                <w:color w:val="auto"/>
                <w:kern w:val="0"/>
                <w:sz w:val="21"/>
                <w:szCs w:val="21"/>
                <w:vertAlign w:val="subscript"/>
              </w:rPr>
              <w:t>10</w:t>
            </w:r>
            <w:r>
              <w:rPr>
                <w:color w:val="auto"/>
                <w:kern w:val="0"/>
                <w:sz w:val="21"/>
                <w:szCs w:val="21"/>
              </w:rPr>
              <w:t>-C</w:t>
            </w:r>
            <w:r>
              <w:rPr>
                <w:color w:val="auto"/>
                <w:kern w:val="0"/>
                <w:sz w:val="21"/>
                <w:szCs w:val="21"/>
                <w:vertAlign w:val="subscript"/>
              </w:rPr>
              <w:t>40</w:t>
            </w:r>
            <w:r>
              <w:rPr>
                <w:color w:val="auto"/>
                <w:kern w:val="0"/>
                <w:sz w:val="21"/>
                <w:szCs w:val="21"/>
              </w:rPr>
              <w:t>)</w:t>
            </w:r>
          </w:p>
        </w:tc>
        <w:tc>
          <w:tcPr>
            <w:tcW w:w="944" w:type="pct"/>
            <w:tcMar>
              <w:left w:w="0" w:type="dxa"/>
              <w:right w:w="0" w:type="dxa"/>
            </w:tcMar>
            <w:vAlign w:val="center"/>
          </w:tcPr>
          <w:p w14:paraId="10D5A7DB">
            <w:pPr>
              <w:widowControl/>
              <w:spacing w:line="240" w:lineRule="auto"/>
              <w:ind w:firstLine="0" w:firstLineChars="0"/>
              <w:jc w:val="center"/>
              <w:rPr>
                <w:color w:val="auto"/>
                <w:kern w:val="0"/>
                <w:sz w:val="21"/>
                <w:szCs w:val="21"/>
              </w:rPr>
            </w:pPr>
            <w:r>
              <w:rPr>
                <w:color w:val="auto"/>
                <w:kern w:val="0"/>
                <w:sz w:val="21"/>
                <w:szCs w:val="21"/>
              </w:rPr>
              <w:t>COD</w:t>
            </w:r>
          </w:p>
        </w:tc>
        <w:tc>
          <w:tcPr>
            <w:tcW w:w="1108" w:type="pct"/>
            <w:vAlign w:val="center"/>
          </w:tcPr>
          <w:p w14:paraId="6F9543BD">
            <w:pPr>
              <w:widowControl/>
              <w:spacing w:line="240" w:lineRule="auto"/>
              <w:ind w:firstLine="0" w:firstLineChars="0"/>
              <w:jc w:val="center"/>
              <w:rPr>
                <w:color w:val="auto"/>
                <w:kern w:val="0"/>
                <w:sz w:val="21"/>
                <w:szCs w:val="21"/>
              </w:rPr>
            </w:pPr>
            <w:r>
              <w:rPr>
                <w:color w:val="auto"/>
                <w:kern w:val="0"/>
                <w:sz w:val="21"/>
                <w:szCs w:val="21"/>
              </w:rPr>
              <w:t>/</w:t>
            </w:r>
          </w:p>
        </w:tc>
      </w:tr>
      <w:tr w14:paraId="620E2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0" w:type="pct"/>
            <w:vAlign w:val="center"/>
          </w:tcPr>
          <w:p w14:paraId="647BB242">
            <w:pPr>
              <w:widowControl/>
              <w:spacing w:line="240" w:lineRule="auto"/>
              <w:ind w:firstLine="0" w:firstLineChars="0"/>
              <w:jc w:val="center"/>
              <w:rPr>
                <w:color w:val="auto"/>
                <w:kern w:val="0"/>
                <w:sz w:val="21"/>
                <w:szCs w:val="21"/>
              </w:rPr>
            </w:pPr>
            <w:r>
              <w:rPr>
                <w:rFonts w:hint="eastAsia"/>
                <w:color w:val="auto"/>
                <w:kern w:val="0"/>
                <w:sz w:val="21"/>
                <w:szCs w:val="21"/>
              </w:rPr>
              <w:t>包气带</w:t>
            </w:r>
          </w:p>
        </w:tc>
        <w:tc>
          <w:tcPr>
            <w:tcW w:w="2418" w:type="pct"/>
            <w:vAlign w:val="center"/>
          </w:tcPr>
          <w:p w14:paraId="787278F9">
            <w:pPr>
              <w:widowControl/>
              <w:spacing w:line="240" w:lineRule="auto"/>
              <w:ind w:firstLine="0" w:firstLineChars="0"/>
              <w:jc w:val="center"/>
              <w:rPr>
                <w:color w:val="auto"/>
                <w:kern w:val="0"/>
                <w:sz w:val="21"/>
                <w:szCs w:val="21"/>
              </w:rPr>
            </w:pPr>
            <w:r>
              <w:rPr>
                <w:color w:val="auto"/>
                <w:kern w:val="0"/>
                <w:sz w:val="21"/>
                <w:szCs w:val="21"/>
              </w:rPr>
              <w:t>pH、高锰酸盐指数、石油类</w:t>
            </w:r>
            <w:r>
              <w:rPr>
                <w:rFonts w:hint="eastAsia"/>
                <w:color w:val="auto"/>
                <w:kern w:val="0"/>
                <w:sz w:val="21"/>
                <w:szCs w:val="21"/>
              </w:rPr>
              <w:t>、氨氮、硫化物</w:t>
            </w:r>
          </w:p>
        </w:tc>
        <w:tc>
          <w:tcPr>
            <w:tcW w:w="944" w:type="pct"/>
            <w:tcMar>
              <w:left w:w="0" w:type="dxa"/>
              <w:right w:w="0" w:type="dxa"/>
            </w:tcMar>
            <w:vAlign w:val="center"/>
          </w:tcPr>
          <w:p w14:paraId="5A97D0FB">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1108" w:type="pct"/>
            <w:vAlign w:val="center"/>
          </w:tcPr>
          <w:p w14:paraId="0D391603">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26DB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0" w:type="pct"/>
            <w:vAlign w:val="center"/>
          </w:tcPr>
          <w:p w14:paraId="544738B7">
            <w:pPr>
              <w:widowControl/>
              <w:spacing w:line="240" w:lineRule="auto"/>
              <w:ind w:firstLine="0" w:firstLineChars="0"/>
              <w:jc w:val="center"/>
              <w:rPr>
                <w:color w:val="auto"/>
                <w:kern w:val="0"/>
                <w:sz w:val="21"/>
                <w:szCs w:val="21"/>
              </w:rPr>
            </w:pPr>
            <w:r>
              <w:rPr>
                <w:rFonts w:hint="eastAsia"/>
                <w:color w:val="auto"/>
                <w:kern w:val="0"/>
                <w:sz w:val="21"/>
                <w:szCs w:val="21"/>
              </w:rPr>
              <w:t>生态</w:t>
            </w:r>
          </w:p>
        </w:tc>
        <w:tc>
          <w:tcPr>
            <w:tcW w:w="2418" w:type="pct"/>
            <w:vAlign w:val="center"/>
          </w:tcPr>
          <w:p w14:paraId="4B57B745">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944" w:type="pct"/>
            <w:tcMar>
              <w:left w:w="0" w:type="dxa"/>
              <w:right w:w="0" w:type="dxa"/>
            </w:tcMar>
            <w:vAlign w:val="center"/>
          </w:tcPr>
          <w:p w14:paraId="7F1EB664">
            <w:pPr>
              <w:widowControl/>
              <w:spacing w:line="240" w:lineRule="auto"/>
              <w:ind w:firstLine="0" w:firstLineChars="0"/>
              <w:jc w:val="center"/>
              <w:rPr>
                <w:color w:val="auto"/>
                <w:kern w:val="0"/>
                <w:sz w:val="21"/>
                <w:szCs w:val="21"/>
              </w:rPr>
            </w:pPr>
            <w:r>
              <w:rPr>
                <w:rFonts w:hint="eastAsia"/>
                <w:color w:val="auto"/>
                <w:kern w:val="0"/>
                <w:sz w:val="21"/>
                <w:szCs w:val="21"/>
              </w:rPr>
              <w:t>陆生、水生动植物</w:t>
            </w:r>
          </w:p>
        </w:tc>
        <w:tc>
          <w:tcPr>
            <w:tcW w:w="1108" w:type="pct"/>
            <w:vAlign w:val="center"/>
          </w:tcPr>
          <w:p w14:paraId="584822D9">
            <w:pPr>
              <w:widowControl/>
              <w:spacing w:line="240" w:lineRule="auto"/>
              <w:ind w:firstLine="0" w:firstLineChars="0"/>
              <w:jc w:val="center"/>
              <w:rPr>
                <w:color w:val="auto"/>
                <w:kern w:val="0"/>
                <w:sz w:val="21"/>
                <w:szCs w:val="21"/>
              </w:rPr>
            </w:pPr>
            <w:r>
              <w:rPr>
                <w:rFonts w:hint="eastAsia"/>
                <w:color w:val="auto"/>
                <w:kern w:val="0"/>
                <w:sz w:val="21"/>
                <w:szCs w:val="21"/>
              </w:rPr>
              <w:t>/</w:t>
            </w:r>
          </w:p>
        </w:tc>
      </w:tr>
      <w:bookmarkEnd w:id="39"/>
    </w:tbl>
    <w:p w14:paraId="260D7343">
      <w:pPr>
        <w:keepNext/>
        <w:keepLines/>
        <w:spacing w:before="312" w:beforeLines="100" w:after="312" w:afterLines="100"/>
        <w:ind w:firstLine="0" w:firstLineChars="0"/>
        <w:outlineLvl w:val="1"/>
        <w:rPr>
          <w:b/>
          <w:bCs/>
          <w:color w:val="auto"/>
          <w:sz w:val="30"/>
          <w:szCs w:val="32"/>
        </w:rPr>
      </w:pPr>
      <w:bookmarkStart w:id="40" w:name="_Toc10824"/>
      <w:r>
        <w:rPr>
          <w:rFonts w:hint="eastAsia"/>
          <w:b/>
          <w:bCs/>
          <w:color w:val="auto"/>
          <w:sz w:val="30"/>
          <w:szCs w:val="32"/>
        </w:rPr>
        <w:t>2.3评价等级、评价范围和环境保护目标</w:t>
      </w:r>
      <w:bookmarkEnd w:id="40"/>
    </w:p>
    <w:p w14:paraId="6D0B9A8B">
      <w:pPr>
        <w:snapToGrid/>
        <w:spacing w:before="156" w:beforeLines="50" w:after="156" w:afterLines="50"/>
        <w:ind w:firstLine="0" w:firstLineChars="0"/>
        <w:jc w:val="left"/>
        <w:outlineLvl w:val="2"/>
        <w:rPr>
          <w:b/>
          <w:bCs/>
          <w:color w:val="auto"/>
        </w:rPr>
      </w:pPr>
      <w:bookmarkStart w:id="41" w:name="_Toc13730"/>
      <w:r>
        <w:rPr>
          <w:rFonts w:hint="eastAsia"/>
          <w:b/>
          <w:bCs/>
          <w:color w:val="auto"/>
        </w:rPr>
        <w:t>2.3.1评价等级</w:t>
      </w:r>
      <w:bookmarkEnd w:id="41"/>
    </w:p>
    <w:p w14:paraId="7134B217">
      <w:pPr>
        <w:keepNext/>
        <w:keepLines/>
        <w:ind w:firstLine="0" w:firstLineChars="0"/>
        <w:outlineLvl w:val="3"/>
        <w:rPr>
          <w:b/>
          <w:color w:val="auto"/>
        </w:rPr>
      </w:pPr>
      <w:r>
        <w:rPr>
          <w:rFonts w:hint="eastAsia"/>
          <w:b/>
          <w:color w:val="auto"/>
        </w:rPr>
        <w:t>2.3.1.1大气环境影响评价等级</w:t>
      </w:r>
    </w:p>
    <w:p w14:paraId="0DA11644">
      <w:pPr>
        <w:ind w:firstLine="480"/>
        <w:rPr>
          <w:color w:val="auto"/>
        </w:rPr>
      </w:pPr>
      <w:r>
        <w:rPr>
          <w:color w:val="auto"/>
        </w:rPr>
        <w:t>按照《环境影响评价技术导则 大气环境》(HJ2.2-2018)，选择项目污染源正常排放的主要污染物及排放参数，采用估算模型分别计算项目污染源的最大环境影响，然后按评价工作分级判据进行分级。</w:t>
      </w:r>
    </w:p>
    <w:p w14:paraId="77DFF68E">
      <w:pPr>
        <w:ind w:firstLine="480"/>
        <w:rPr>
          <w:color w:val="auto"/>
        </w:rPr>
      </w:pPr>
      <w:r>
        <w:rPr>
          <w:color w:val="auto"/>
        </w:rPr>
        <w:t>根据项目污染源初步调查结果，分别计算项目排放主要污染物的最大地面空气质量浓度占标率P</w:t>
      </w:r>
      <w:r>
        <w:rPr>
          <w:color w:val="auto"/>
          <w:vertAlign w:val="subscript"/>
        </w:rPr>
        <w:t>i</w:t>
      </w:r>
      <w:r>
        <w:rPr>
          <w:color w:val="auto"/>
        </w:rPr>
        <w:t>(第i个污染物)及第i个污染物的地面空气质量浓度达标准限值10%时所对应的最远距离D10%，其中P</w:t>
      </w:r>
      <w:r>
        <w:rPr>
          <w:color w:val="auto"/>
          <w:vertAlign w:val="subscript"/>
        </w:rPr>
        <w:t>i</w:t>
      </w:r>
      <w:r>
        <w:rPr>
          <w:color w:val="auto"/>
        </w:rPr>
        <w:t>定义为：</w:t>
      </w:r>
    </w:p>
    <w:p w14:paraId="6602AD34">
      <w:pPr>
        <w:ind w:firstLine="480"/>
        <w:rPr>
          <w:color w:val="auto"/>
        </w:rPr>
      </w:pPr>
      <w:r>
        <w:rPr>
          <w:color w:val="auto"/>
        </w:rPr>
        <w:t>P</w:t>
      </w:r>
      <w:r>
        <w:rPr>
          <w:color w:val="auto"/>
          <w:vertAlign w:val="subscript"/>
        </w:rPr>
        <w:t>i</w:t>
      </w:r>
      <w:r>
        <w:rPr>
          <w:color w:val="auto"/>
        </w:rPr>
        <w:t>＝(C</w:t>
      </w:r>
      <w:r>
        <w:rPr>
          <w:color w:val="auto"/>
          <w:vertAlign w:val="subscript"/>
        </w:rPr>
        <w:t>i</w:t>
      </w:r>
      <w:r>
        <w:rPr>
          <w:color w:val="auto"/>
        </w:rPr>
        <w:t>/C</w:t>
      </w:r>
      <w:r>
        <w:rPr>
          <w:color w:val="auto"/>
          <w:vertAlign w:val="subscript"/>
        </w:rPr>
        <w:t>0i</w:t>
      </w:r>
      <w:r>
        <w:rPr>
          <w:color w:val="auto"/>
        </w:rPr>
        <w:t>)×100%</w:t>
      </w:r>
    </w:p>
    <w:p w14:paraId="0FBB9B68">
      <w:pPr>
        <w:ind w:firstLine="480"/>
        <w:rPr>
          <w:color w:val="auto"/>
        </w:rPr>
      </w:pPr>
      <w:r>
        <w:rPr>
          <w:color w:val="auto"/>
        </w:rPr>
        <w:t>式中：P</w:t>
      </w:r>
      <w:r>
        <w:rPr>
          <w:color w:val="auto"/>
          <w:vertAlign w:val="subscript"/>
        </w:rPr>
        <w:t>i</w:t>
      </w:r>
      <w:r>
        <w:rPr>
          <w:color w:val="auto"/>
        </w:rPr>
        <w:t>－第i个污染物的最大地面空气质量浓度占标率，%；</w:t>
      </w:r>
    </w:p>
    <w:p w14:paraId="2B458D65">
      <w:pPr>
        <w:ind w:firstLine="480"/>
        <w:rPr>
          <w:color w:val="auto"/>
        </w:rPr>
      </w:pPr>
      <w:r>
        <w:rPr>
          <w:color w:val="auto"/>
        </w:rPr>
        <w:t>C</w:t>
      </w:r>
      <w:r>
        <w:rPr>
          <w:color w:val="auto"/>
          <w:vertAlign w:val="subscript"/>
        </w:rPr>
        <w:t>i</w:t>
      </w:r>
      <w:r>
        <w:rPr>
          <w:color w:val="auto"/>
        </w:rPr>
        <w:t>－采用估算模型计算出的第i个污染物的最大1h地面空气质量浓度，mg/m</w:t>
      </w:r>
      <w:r>
        <w:rPr>
          <w:color w:val="auto"/>
          <w:vertAlign w:val="superscript"/>
        </w:rPr>
        <w:t>3</w:t>
      </w:r>
      <w:r>
        <w:rPr>
          <w:color w:val="auto"/>
        </w:rPr>
        <w:t>；</w:t>
      </w:r>
    </w:p>
    <w:p w14:paraId="264E2067">
      <w:pPr>
        <w:ind w:firstLine="480"/>
        <w:rPr>
          <w:color w:val="auto"/>
        </w:rPr>
      </w:pPr>
      <w:r>
        <w:rPr>
          <w:color w:val="auto"/>
        </w:rPr>
        <w:t>C</w:t>
      </w:r>
      <w:r>
        <w:rPr>
          <w:color w:val="auto"/>
          <w:vertAlign w:val="subscript"/>
        </w:rPr>
        <w:t>0i</w:t>
      </w:r>
      <w:r>
        <w:rPr>
          <w:color w:val="auto"/>
        </w:rPr>
        <w:t>－第i个污染物的环境空气质量标准，mg/m</w:t>
      </w:r>
      <w:r>
        <w:rPr>
          <w:color w:val="auto"/>
          <w:vertAlign w:val="superscript"/>
        </w:rPr>
        <w:t>3</w:t>
      </w:r>
      <w:r>
        <w:rPr>
          <w:color w:val="auto"/>
        </w:rPr>
        <w:t>；</w:t>
      </w:r>
    </w:p>
    <w:p w14:paraId="1E3DD88D">
      <w:pPr>
        <w:ind w:firstLine="480"/>
        <w:rPr>
          <w:color w:val="auto"/>
        </w:rPr>
      </w:pPr>
      <w:r>
        <w:rPr>
          <w:color w:val="auto"/>
        </w:rPr>
        <w:t>C</w:t>
      </w:r>
      <w:r>
        <w:rPr>
          <w:color w:val="auto"/>
          <w:vertAlign w:val="subscript"/>
        </w:rPr>
        <w:t>0i</w:t>
      </w:r>
      <w:r>
        <w:rPr>
          <w:color w:val="auto"/>
        </w:rPr>
        <w:t>一般选用GB 3095中1h平均质量浓度的二级浓度限值，对该标准中未包含的污染物，使用导则5.2中确定的各评价因子1h平均质量浓度限值。对仅有8h平均质量浓度限值、日平均质量浓度限值或年平均质量浓度限值的，可分别按2倍、3倍、6倍折算为1h平均质量浓度限值。</w:t>
      </w:r>
    </w:p>
    <w:p w14:paraId="45A9577D">
      <w:pPr>
        <w:ind w:firstLine="480"/>
        <w:rPr>
          <w:color w:val="auto"/>
        </w:rPr>
      </w:pPr>
      <w:r>
        <w:rPr>
          <w:rFonts w:hint="eastAsia" w:cs="宋体"/>
          <w:color w:val="auto"/>
          <w:lang w:bidi="ar"/>
        </w:rPr>
        <w:t>评价等级按下表的分级判据进行划分。最大地面空气质量浓度占标率</w:t>
      </w:r>
      <w:r>
        <w:rPr>
          <w:color w:val="auto"/>
          <w:lang w:bidi="ar"/>
        </w:rPr>
        <w:t>P</w:t>
      </w:r>
      <w:r>
        <w:rPr>
          <w:color w:val="auto"/>
          <w:vertAlign w:val="subscript"/>
          <w:lang w:bidi="ar"/>
        </w:rPr>
        <w:t>i</w:t>
      </w:r>
      <w:r>
        <w:rPr>
          <w:rFonts w:hint="eastAsia" w:cs="宋体"/>
          <w:color w:val="auto"/>
          <w:lang w:bidi="ar"/>
        </w:rPr>
        <w:t>按上式计算。如污染物数</w:t>
      </w:r>
      <w:r>
        <w:rPr>
          <w:color w:val="auto"/>
          <w:lang w:bidi="ar"/>
        </w:rPr>
        <w:t>i</w:t>
      </w:r>
      <w:r>
        <w:rPr>
          <w:rFonts w:hint="eastAsia" w:cs="宋体"/>
          <w:color w:val="auto"/>
          <w:lang w:bidi="ar"/>
        </w:rPr>
        <w:t>大于</w:t>
      </w:r>
      <w:r>
        <w:rPr>
          <w:color w:val="auto"/>
          <w:lang w:bidi="ar"/>
        </w:rPr>
        <w:t>1</w:t>
      </w:r>
      <w:r>
        <w:rPr>
          <w:rFonts w:hint="eastAsia" w:cs="宋体"/>
          <w:color w:val="auto"/>
          <w:lang w:bidi="ar"/>
        </w:rPr>
        <w:t>，取</w:t>
      </w:r>
      <w:r>
        <w:rPr>
          <w:color w:val="auto"/>
          <w:lang w:bidi="ar"/>
        </w:rPr>
        <w:t>P</w:t>
      </w:r>
      <w:r>
        <w:rPr>
          <w:rFonts w:hint="eastAsia" w:cs="宋体"/>
          <w:color w:val="auto"/>
          <w:lang w:bidi="ar"/>
        </w:rPr>
        <w:t>值中最大者</w:t>
      </w:r>
      <w:r>
        <w:rPr>
          <w:color w:val="auto"/>
          <w:lang w:bidi="ar"/>
        </w:rPr>
        <w:t>Pmax</w:t>
      </w:r>
      <w:r>
        <w:rPr>
          <w:rFonts w:hint="eastAsia" w:cs="宋体"/>
          <w:color w:val="auto"/>
          <w:lang w:bidi="ar"/>
        </w:rPr>
        <w:t>。</w:t>
      </w:r>
    </w:p>
    <w:p w14:paraId="0C8E2E14">
      <w:pPr>
        <w:pStyle w:val="49"/>
        <w:rPr>
          <w:color w:val="auto"/>
        </w:rPr>
      </w:pPr>
      <w:r>
        <w:rPr>
          <w:rFonts w:hint="eastAsia"/>
          <w:color w:val="auto"/>
        </w:rPr>
        <w:t>表</w:t>
      </w:r>
      <w:r>
        <w:rPr>
          <w:color w:val="auto"/>
        </w:rPr>
        <w:t>2.3-</w:t>
      </w:r>
      <w:r>
        <w:rPr>
          <w:rFonts w:hint="eastAsia"/>
          <w:color w:val="auto"/>
        </w:rPr>
        <w:t>1</w:t>
      </w:r>
      <w:r>
        <w:rPr>
          <w:color w:val="auto"/>
        </w:rPr>
        <w:t xml:space="preserve">  </w:t>
      </w:r>
      <w:r>
        <w:rPr>
          <w:rFonts w:hint="eastAsia"/>
          <w:color w:val="auto"/>
        </w:rPr>
        <w:t>大气环境影响评价</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92"/>
        <w:gridCol w:w="6962"/>
      </w:tblGrid>
      <w:tr w14:paraId="0FC11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7" w:type="pct"/>
            <w:tcBorders>
              <w:top w:val="single" w:color="auto" w:sz="12" w:space="0"/>
              <w:left w:val="nil"/>
              <w:bottom w:val="single" w:color="auto" w:sz="4" w:space="0"/>
              <w:right w:val="single" w:color="auto" w:sz="4" w:space="0"/>
            </w:tcBorders>
            <w:vAlign w:val="center"/>
          </w:tcPr>
          <w:p w14:paraId="458A7CAC">
            <w:pPr>
              <w:widowControl/>
              <w:spacing w:line="240" w:lineRule="auto"/>
              <w:ind w:firstLine="0" w:firstLineChars="0"/>
              <w:jc w:val="center"/>
              <w:rPr>
                <w:b/>
                <w:color w:val="auto"/>
                <w:kern w:val="0"/>
                <w:sz w:val="21"/>
                <w:szCs w:val="21"/>
              </w:rPr>
            </w:pPr>
            <w:r>
              <w:rPr>
                <w:rFonts w:hint="eastAsia" w:cs="宋体"/>
                <w:b/>
                <w:color w:val="auto"/>
                <w:kern w:val="0"/>
                <w:sz w:val="21"/>
                <w:szCs w:val="21"/>
                <w:lang w:bidi="ar"/>
              </w:rPr>
              <w:t>评价工作等级</w:t>
            </w:r>
          </w:p>
        </w:tc>
        <w:tc>
          <w:tcPr>
            <w:tcW w:w="3531" w:type="pct"/>
            <w:tcBorders>
              <w:top w:val="single" w:color="auto" w:sz="12" w:space="0"/>
              <w:left w:val="single" w:color="auto" w:sz="4" w:space="0"/>
              <w:bottom w:val="single" w:color="auto" w:sz="4" w:space="0"/>
              <w:right w:val="nil"/>
            </w:tcBorders>
            <w:vAlign w:val="center"/>
          </w:tcPr>
          <w:p w14:paraId="6CDDB04B">
            <w:pPr>
              <w:widowControl/>
              <w:spacing w:line="240" w:lineRule="auto"/>
              <w:ind w:firstLine="0" w:firstLineChars="0"/>
              <w:jc w:val="center"/>
              <w:rPr>
                <w:b/>
                <w:color w:val="auto"/>
                <w:kern w:val="0"/>
                <w:sz w:val="21"/>
                <w:szCs w:val="21"/>
              </w:rPr>
            </w:pPr>
            <w:r>
              <w:rPr>
                <w:rFonts w:hint="eastAsia" w:cs="宋体"/>
                <w:b/>
                <w:color w:val="auto"/>
                <w:kern w:val="0"/>
                <w:sz w:val="21"/>
                <w:szCs w:val="21"/>
                <w:lang w:bidi="ar"/>
              </w:rPr>
              <w:t>评价工作分级判据</w:t>
            </w:r>
          </w:p>
        </w:tc>
      </w:tr>
      <w:tr w14:paraId="7B166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7" w:type="pct"/>
            <w:tcBorders>
              <w:top w:val="single" w:color="auto" w:sz="4" w:space="0"/>
              <w:left w:val="nil"/>
              <w:bottom w:val="single" w:color="auto" w:sz="4" w:space="0"/>
              <w:right w:val="single" w:color="auto" w:sz="4" w:space="0"/>
            </w:tcBorders>
            <w:vAlign w:val="center"/>
          </w:tcPr>
          <w:p w14:paraId="7D9B0D52">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一级评价</w:t>
            </w:r>
          </w:p>
        </w:tc>
        <w:tc>
          <w:tcPr>
            <w:tcW w:w="3531" w:type="pct"/>
            <w:tcBorders>
              <w:top w:val="single" w:color="auto" w:sz="4" w:space="0"/>
              <w:left w:val="single" w:color="auto" w:sz="4" w:space="0"/>
              <w:bottom w:val="single" w:color="auto" w:sz="4" w:space="0"/>
              <w:right w:val="nil"/>
            </w:tcBorders>
            <w:vAlign w:val="center"/>
          </w:tcPr>
          <w:p w14:paraId="405AEBD7">
            <w:pPr>
              <w:widowControl/>
              <w:spacing w:line="240" w:lineRule="auto"/>
              <w:ind w:firstLine="0" w:firstLineChars="0"/>
              <w:jc w:val="center"/>
              <w:rPr>
                <w:color w:val="auto"/>
                <w:kern w:val="0"/>
                <w:sz w:val="21"/>
                <w:szCs w:val="21"/>
              </w:rPr>
            </w:pPr>
            <w:r>
              <w:rPr>
                <w:color w:val="auto"/>
                <w:kern w:val="0"/>
                <w:sz w:val="21"/>
                <w:szCs w:val="21"/>
                <w:lang w:bidi="ar"/>
              </w:rPr>
              <w:t>Pmax≥10%</w:t>
            </w:r>
          </w:p>
        </w:tc>
      </w:tr>
      <w:tr w14:paraId="7E105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7" w:type="pct"/>
            <w:tcBorders>
              <w:top w:val="single" w:color="auto" w:sz="4" w:space="0"/>
              <w:left w:val="nil"/>
              <w:bottom w:val="single" w:color="auto" w:sz="4" w:space="0"/>
              <w:right w:val="single" w:color="auto" w:sz="4" w:space="0"/>
            </w:tcBorders>
            <w:vAlign w:val="center"/>
          </w:tcPr>
          <w:p w14:paraId="25095BD5">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二级评价</w:t>
            </w:r>
          </w:p>
        </w:tc>
        <w:tc>
          <w:tcPr>
            <w:tcW w:w="3531" w:type="pct"/>
            <w:tcBorders>
              <w:top w:val="single" w:color="auto" w:sz="4" w:space="0"/>
              <w:left w:val="single" w:color="auto" w:sz="4" w:space="0"/>
              <w:bottom w:val="single" w:color="auto" w:sz="4" w:space="0"/>
              <w:right w:val="nil"/>
            </w:tcBorders>
            <w:vAlign w:val="center"/>
          </w:tcPr>
          <w:p w14:paraId="7314BFD6">
            <w:pPr>
              <w:widowControl/>
              <w:spacing w:line="240" w:lineRule="auto"/>
              <w:ind w:firstLine="0" w:firstLineChars="0"/>
              <w:jc w:val="center"/>
              <w:rPr>
                <w:color w:val="auto"/>
                <w:kern w:val="0"/>
                <w:sz w:val="21"/>
                <w:szCs w:val="21"/>
              </w:rPr>
            </w:pPr>
            <w:r>
              <w:rPr>
                <w:color w:val="auto"/>
                <w:kern w:val="0"/>
                <w:sz w:val="21"/>
                <w:szCs w:val="21"/>
                <w:lang w:bidi="ar"/>
              </w:rPr>
              <w:t>1%≤Pmax</w:t>
            </w:r>
            <w:r>
              <w:rPr>
                <w:rFonts w:hint="eastAsia" w:cs="宋体"/>
                <w:color w:val="auto"/>
                <w:kern w:val="0"/>
                <w:sz w:val="21"/>
                <w:szCs w:val="21"/>
                <w:lang w:bidi="ar"/>
              </w:rPr>
              <w:t>＜</w:t>
            </w:r>
            <w:r>
              <w:rPr>
                <w:color w:val="auto"/>
                <w:kern w:val="0"/>
                <w:sz w:val="21"/>
                <w:szCs w:val="21"/>
                <w:lang w:bidi="ar"/>
              </w:rPr>
              <w:t>10%</w:t>
            </w:r>
          </w:p>
        </w:tc>
      </w:tr>
      <w:tr w14:paraId="2A62F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7" w:type="pct"/>
            <w:tcBorders>
              <w:top w:val="single" w:color="auto" w:sz="4" w:space="0"/>
              <w:left w:val="nil"/>
              <w:bottom w:val="single" w:color="auto" w:sz="12" w:space="0"/>
              <w:right w:val="single" w:color="auto" w:sz="4" w:space="0"/>
            </w:tcBorders>
            <w:vAlign w:val="center"/>
          </w:tcPr>
          <w:p w14:paraId="54D402BB">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三级评价</w:t>
            </w:r>
          </w:p>
        </w:tc>
        <w:tc>
          <w:tcPr>
            <w:tcW w:w="3531" w:type="pct"/>
            <w:tcBorders>
              <w:top w:val="single" w:color="auto" w:sz="4" w:space="0"/>
              <w:left w:val="single" w:color="auto" w:sz="4" w:space="0"/>
              <w:bottom w:val="single" w:color="auto" w:sz="12" w:space="0"/>
              <w:right w:val="nil"/>
            </w:tcBorders>
            <w:vAlign w:val="center"/>
          </w:tcPr>
          <w:p w14:paraId="6479A95B">
            <w:pPr>
              <w:widowControl/>
              <w:spacing w:line="240" w:lineRule="auto"/>
              <w:ind w:firstLine="0" w:firstLineChars="0"/>
              <w:jc w:val="center"/>
              <w:rPr>
                <w:color w:val="auto"/>
                <w:kern w:val="0"/>
                <w:sz w:val="21"/>
                <w:szCs w:val="21"/>
              </w:rPr>
            </w:pPr>
            <w:r>
              <w:rPr>
                <w:color w:val="auto"/>
                <w:kern w:val="0"/>
                <w:sz w:val="21"/>
                <w:szCs w:val="21"/>
                <w:lang w:bidi="ar"/>
              </w:rPr>
              <w:t>Pmax</w:t>
            </w:r>
            <w:r>
              <w:rPr>
                <w:rFonts w:hint="eastAsia" w:cs="宋体"/>
                <w:color w:val="auto"/>
                <w:kern w:val="0"/>
                <w:sz w:val="21"/>
                <w:szCs w:val="21"/>
                <w:lang w:bidi="ar"/>
              </w:rPr>
              <w:t>＜</w:t>
            </w:r>
            <w:r>
              <w:rPr>
                <w:color w:val="auto"/>
                <w:kern w:val="0"/>
                <w:sz w:val="21"/>
                <w:szCs w:val="21"/>
                <w:lang w:bidi="ar"/>
              </w:rPr>
              <w:t>1%</w:t>
            </w:r>
          </w:p>
        </w:tc>
      </w:tr>
    </w:tbl>
    <w:p w14:paraId="31C58098">
      <w:pPr>
        <w:ind w:firstLine="480"/>
        <w:rPr>
          <w:color w:val="auto"/>
        </w:rPr>
      </w:pPr>
      <w:r>
        <w:rPr>
          <w:color w:val="auto"/>
        </w:rPr>
        <w:t>估算模型参数见</w:t>
      </w:r>
      <w:r>
        <w:rPr>
          <w:rFonts w:hint="eastAsia"/>
          <w:color w:val="auto"/>
        </w:rPr>
        <w:t>下表</w:t>
      </w:r>
      <w:r>
        <w:rPr>
          <w:color w:val="auto"/>
        </w:rPr>
        <w:t>。</w:t>
      </w:r>
    </w:p>
    <w:p w14:paraId="00E316A6">
      <w:pPr>
        <w:pStyle w:val="49"/>
        <w:rPr>
          <w:color w:val="auto"/>
        </w:rPr>
      </w:pPr>
      <w:r>
        <w:rPr>
          <w:rFonts w:hint="eastAsia"/>
          <w:color w:val="auto"/>
        </w:rPr>
        <w:t>表2.3-2 估算模型参数表</w:t>
      </w:r>
    </w:p>
    <w:tbl>
      <w:tblPr>
        <w:tblStyle w:val="24"/>
        <w:tblW w:w="498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2719"/>
        <w:gridCol w:w="3635"/>
        <w:gridCol w:w="3470"/>
      </w:tblGrid>
      <w:tr w14:paraId="755E183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3234" w:type="pct"/>
            <w:gridSpan w:val="2"/>
            <w:shd w:val="clear" w:color="auto" w:fill="FFFFFF"/>
            <w:vAlign w:val="center"/>
          </w:tcPr>
          <w:p w14:paraId="22E88019">
            <w:pPr>
              <w:widowControl/>
              <w:spacing w:line="240" w:lineRule="auto"/>
              <w:ind w:firstLine="0" w:firstLineChars="0"/>
              <w:jc w:val="center"/>
              <w:rPr>
                <w:b/>
                <w:color w:val="auto"/>
                <w:kern w:val="0"/>
                <w:sz w:val="21"/>
                <w:szCs w:val="21"/>
              </w:rPr>
            </w:pPr>
            <w:r>
              <w:rPr>
                <w:rFonts w:hint="eastAsia" w:cs="宋体"/>
                <w:b/>
                <w:color w:val="auto"/>
                <w:kern w:val="0"/>
                <w:sz w:val="21"/>
                <w:szCs w:val="21"/>
                <w:lang w:bidi="ar"/>
              </w:rPr>
              <w:t>参数</w:t>
            </w:r>
          </w:p>
        </w:tc>
        <w:tc>
          <w:tcPr>
            <w:tcW w:w="1766" w:type="pct"/>
            <w:shd w:val="clear" w:color="auto" w:fill="FFFFFF"/>
            <w:vAlign w:val="center"/>
          </w:tcPr>
          <w:p w14:paraId="4C8715DA">
            <w:pPr>
              <w:widowControl/>
              <w:spacing w:line="240" w:lineRule="auto"/>
              <w:ind w:firstLine="0" w:firstLineChars="0"/>
              <w:jc w:val="center"/>
              <w:rPr>
                <w:b/>
                <w:color w:val="auto"/>
                <w:kern w:val="0"/>
                <w:sz w:val="21"/>
                <w:szCs w:val="21"/>
              </w:rPr>
            </w:pPr>
            <w:r>
              <w:rPr>
                <w:rFonts w:hint="eastAsia" w:cs="宋体"/>
                <w:b/>
                <w:color w:val="auto"/>
                <w:kern w:val="0"/>
                <w:sz w:val="21"/>
                <w:szCs w:val="21"/>
                <w:lang w:bidi="ar"/>
              </w:rPr>
              <w:t>取值</w:t>
            </w:r>
          </w:p>
        </w:tc>
      </w:tr>
      <w:tr w14:paraId="6BD9EB9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1384" w:type="pct"/>
            <w:vMerge w:val="restart"/>
            <w:shd w:val="clear" w:color="auto" w:fill="FFFFFF"/>
            <w:vAlign w:val="center"/>
          </w:tcPr>
          <w:p w14:paraId="35D3A0D7">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城市</w:t>
            </w:r>
            <w:r>
              <w:rPr>
                <w:color w:val="auto"/>
                <w:kern w:val="0"/>
                <w:sz w:val="21"/>
                <w:szCs w:val="21"/>
                <w:lang w:bidi="ar"/>
              </w:rPr>
              <w:t>/</w:t>
            </w:r>
            <w:r>
              <w:rPr>
                <w:rFonts w:hint="eastAsia" w:cs="宋体"/>
                <w:color w:val="auto"/>
                <w:kern w:val="0"/>
                <w:sz w:val="21"/>
                <w:szCs w:val="21"/>
                <w:lang w:bidi="ar"/>
              </w:rPr>
              <w:t>农村选项</w:t>
            </w:r>
          </w:p>
        </w:tc>
        <w:tc>
          <w:tcPr>
            <w:tcW w:w="1850" w:type="pct"/>
            <w:shd w:val="clear" w:color="auto" w:fill="FFFFFF"/>
            <w:vAlign w:val="center"/>
          </w:tcPr>
          <w:p w14:paraId="12CE2E0D">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城市</w:t>
            </w:r>
            <w:r>
              <w:rPr>
                <w:color w:val="auto"/>
                <w:kern w:val="0"/>
                <w:sz w:val="21"/>
                <w:szCs w:val="21"/>
                <w:lang w:bidi="ar"/>
              </w:rPr>
              <w:t>/</w:t>
            </w:r>
            <w:r>
              <w:rPr>
                <w:rFonts w:hint="eastAsia" w:cs="宋体"/>
                <w:color w:val="auto"/>
                <w:kern w:val="0"/>
                <w:sz w:val="21"/>
                <w:szCs w:val="21"/>
                <w:lang w:bidi="ar"/>
              </w:rPr>
              <w:t>农村</w:t>
            </w:r>
          </w:p>
        </w:tc>
        <w:tc>
          <w:tcPr>
            <w:tcW w:w="1766" w:type="pct"/>
            <w:shd w:val="clear" w:color="auto" w:fill="FFFFFF"/>
            <w:vAlign w:val="center"/>
          </w:tcPr>
          <w:p w14:paraId="0AC96950">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城市</w:t>
            </w:r>
          </w:p>
        </w:tc>
      </w:tr>
      <w:tr w14:paraId="550D80F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1384" w:type="pct"/>
            <w:vMerge w:val="continue"/>
            <w:shd w:val="clear" w:color="auto" w:fill="FFFFFF"/>
            <w:vAlign w:val="center"/>
          </w:tcPr>
          <w:p w14:paraId="222EFAC9">
            <w:pPr>
              <w:spacing w:line="240" w:lineRule="auto"/>
              <w:ind w:firstLine="0" w:firstLineChars="0"/>
              <w:rPr>
                <w:color w:val="auto"/>
                <w:sz w:val="21"/>
                <w:szCs w:val="21"/>
              </w:rPr>
            </w:pPr>
          </w:p>
        </w:tc>
        <w:tc>
          <w:tcPr>
            <w:tcW w:w="1850" w:type="pct"/>
            <w:shd w:val="clear" w:color="auto" w:fill="FFFFFF"/>
            <w:vAlign w:val="center"/>
          </w:tcPr>
          <w:p w14:paraId="7F57B414">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人口数（城市选项时）</w:t>
            </w:r>
          </w:p>
        </w:tc>
        <w:tc>
          <w:tcPr>
            <w:tcW w:w="1766" w:type="pct"/>
            <w:shd w:val="clear" w:color="auto" w:fill="FFFFFF"/>
            <w:vAlign w:val="center"/>
          </w:tcPr>
          <w:p w14:paraId="62A452E8">
            <w:pPr>
              <w:widowControl/>
              <w:spacing w:line="240" w:lineRule="auto"/>
              <w:ind w:firstLine="0" w:firstLineChars="0"/>
              <w:jc w:val="center"/>
              <w:rPr>
                <w:color w:val="auto"/>
                <w:kern w:val="0"/>
                <w:sz w:val="21"/>
                <w:szCs w:val="21"/>
              </w:rPr>
            </w:pPr>
            <w:r>
              <w:rPr>
                <w:rFonts w:hint="eastAsia"/>
                <w:color w:val="auto"/>
                <w:kern w:val="0"/>
                <w:sz w:val="21"/>
                <w:szCs w:val="21"/>
                <w:lang w:bidi="ar"/>
              </w:rPr>
              <w:t>105</w:t>
            </w:r>
            <w:r>
              <w:rPr>
                <w:rFonts w:hint="eastAsia" w:cs="宋体"/>
                <w:color w:val="auto"/>
                <w:kern w:val="0"/>
                <w:sz w:val="21"/>
                <w:szCs w:val="21"/>
                <w:lang w:bidi="ar"/>
              </w:rPr>
              <w:t>万</w:t>
            </w:r>
          </w:p>
        </w:tc>
      </w:tr>
      <w:tr w14:paraId="054D7F8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3234" w:type="pct"/>
            <w:gridSpan w:val="2"/>
            <w:shd w:val="clear" w:color="auto" w:fill="FFFFFF"/>
            <w:vAlign w:val="center"/>
          </w:tcPr>
          <w:p w14:paraId="021A9400">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最高环境温度</w:t>
            </w:r>
            <w:r>
              <w:rPr>
                <w:color w:val="auto"/>
                <w:kern w:val="0"/>
                <w:sz w:val="21"/>
                <w:szCs w:val="21"/>
                <w:lang w:bidi="ar"/>
              </w:rPr>
              <w:t>/℃</w:t>
            </w:r>
          </w:p>
        </w:tc>
        <w:tc>
          <w:tcPr>
            <w:tcW w:w="1766" w:type="pct"/>
            <w:shd w:val="clear" w:color="auto" w:fill="FFFFFF"/>
            <w:vAlign w:val="center"/>
          </w:tcPr>
          <w:p w14:paraId="50AC83EA">
            <w:pPr>
              <w:widowControl/>
              <w:spacing w:line="240" w:lineRule="auto"/>
              <w:ind w:firstLine="0" w:firstLineChars="0"/>
              <w:jc w:val="center"/>
              <w:rPr>
                <w:color w:val="auto"/>
                <w:kern w:val="0"/>
                <w:sz w:val="21"/>
                <w:szCs w:val="21"/>
              </w:rPr>
            </w:pPr>
            <w:r>
              <w:rPr>
                <w:rFonts w:hint="eastAsia"/>
                <w:color w:val="auto"/>
                <w:kern w:val="0"/>
                <w:sz w:val="21"/>
                <w:szCs w:val="21"/>
                <w:lang w:bidi="ar"/>
              </w:rPr>
              <w:t>39.3</w:t>
            </w:r>
          </w:p>
        </w:tc>
      </w:tr>
      <w:tr w14:paraId="083092F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3234" w:type="pct"/>
            <w:gridSpan w:val="2"/>
            <w:shd w:val="clear" w:color="auto" w:fill="FFFFFF"/>
            <w:vAlign w:val="center"/>
          </w:tcPr>
          <w:p w14:paraId="09222E85">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最低环境温度</w:t>
            </w:r>
            <w:r>
              <w:rPr>
                <w:color w:val="auto"/>
                <w:kern w:val="0"/>
                <w:sz w:val="21"/>
                <w:szCs w:val="21"/>
                <w:lang w:bidi="ar"/>
              </w:rPr>
              <w:t>/℃</w:t>
            </w:r>
          </w:p>
        </w:tc>
        <w:tc>
          <w:tcPr>
            <w:tcW w:w="1766" w:type="pct"/>
            <w:shd w:val="clear" w:color="auto" w:fill="FFFFFF"/>
            <w:vAlign w:val="center"/>
          </w:tcPr>
          <w:p w14:paraId="7F5F5AF0">
            <w:pPr>
              <w:widowControl/>
              <w:spacing w:line="240" w:lineRule="auto"/>
              <w:ind w:firstLine="0" w:firstLineChars="0"/>
              <w:jc w:val="center"/>
              <w:rPr>
                <w:color w:val="auto"/>
                <w:kern w:val="0"/>
                <w:sz w:val="21"/>
                <w:szCs w:val="21"/>
              </w:rPr>
            </w:pPr>
            <w:r>
              <w:rPr>
                <w:color w:val="auto"/>
                <w:kern w:val="0"/>
                <w:sz w:val="21"/>
                <w:szCs w:val="21"/>
                <w:lang w:bidi="ar"/>
              </w:rPr>
              <w:t>-</w:t>
            </w:r>
            <w:r>
              <w:rPr>
                <w:rFonts w:hint="eastAsia"/>
                <w:color w:val="auto"/>
                <w:kern w:val="0"/>
                <w:sz w:val="21"/>
                <w:szCs w:val="21"/>
                <w:lang w:bidi="ar"/>
              </w:rPr>
              <w:t>8.2</w:t>
            </w:r>
          </w:p>
        </w:tc>
      </w:tr>
      <w:tr w14:paraId="76C0FDE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3234" w:type="pct"/>
            <w:gridSpan w:val="2"/>
            <w:shd w:val="clear" w:color="auto" w:fill="FFFFFF"/>
            <w:vAlign w:val="center"/>
          </w:tcPr>
          <w:p w14:paraId="4A83B9AB">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土地利用类型</w:t>
            </w:r>
          </w:p>
        </w:tc>
        <w:tc>
          <w:tcPr>
            <w:tcW w:w="1766" w:type="pct"/>
            <w:shd w:val="clear" w:color="auto" w:fill="FFFFFF"/>
            <w:vAlign w:val="center"/>
          </w:tcPr>
          <w:p w14:paraId="3A76B315">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城市</w:t>
            </w:r>
          </w:p>
        </w:tc>
      </w:tr>
      <w:tr w14:paraId="71EC64D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3234" w:type="pct"/>
            <w:gridSpan w:val="2"/>
            <w:shd w:val="clear" w:color="auto" w:fill="FFFFFF"/>
            <w:vAlign w:val="center"/>
          </w:tcPr>
          <w:p w14:paraId="64DA4A02">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区域湿度条件</w:t>
            </w:r>
          </w:p>
        </w:tc>
        <w:tc>
          <w:tcPr>
            <w:tcW w:w="1766" w:type="pct"/>
            <w:shd w:val="clear" w:color="auto" w:fill="FFFFFF"/>
            <w:vAlign w:val="center"/>
          </w:tcPr>
          <w:p w14:paraId="2556118F">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潮湿气候</w:t>
            </w:r>
          </w:p>
        </w:tc>
      </w:tr>
      <w:tr w14:paraId="1E1025E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1384" w:type="pct"/>
            <w:vMerge w:val="restart"/>
            <w:shd w:val="clear" w:color="auto" w:fill="FFFFFF"/>
            <w:vAlign w:val="center"/>
          </w:tcPr>
          <w:p w14:paraId="14E4F69B">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是否考虑地形</w:t>
            </w:r>
          </w:p>
        </w:tc>
        <w:tc>
          <w:tcPr>
            <w:tcW w:w="1850" w:type="pct"/>
            <w:shd w:val="clear" w:color="auto" w:fill="FFFFFF"/>
            <w:vAlign w:val="center"/>
          </w:tcPr>
          <w:p w14:paraId="2ED546D7">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考虑地形</w:t>
            </w:r>
          </w:p>
        </w:tc>
        <w:tc>
          <w:tcPr>
            <w:tcW w:w="1766" w:type="pct"/>
            <w:shd w:val="clear" w:color="auto" w:fill="FFFFFF"/>
            <w:vAlign w:val="center"/>
          </w:tcPr>
          <w:p w14:paraId="470B783A">
            <w:pPr>
              <w:widowControl/>
              <w:spacing w:line="240" w:lineRule="auto"/>
              <w:ind w:firstLine="0" w:firstLineChars="0"/>
              <w:jc w:val="center"/>
              <w:rPr>
                <w:color w:val="auto"/>
                <w:kern w:val="0"/>
                <w:sz w:val="21"/>
                <w:szCs w:val="21"/>
              </w:rPr>
            </w:pPr>
            <w:r>
              <w:rPr>
                <w:color w:val="auto"/>
                <w:kern w:val="0"/>
                <w:sz w:val="21"/>
                <w:szCs w:val="21"/>
                <w:lang w:bidi="ar"/>
              </w:rPr>
              <w:t>√</w:t>
            </w:r>
            <w:r>
              <w:rPr>
                <w:rFonts w:hint="eastAsia" w:cs="宋体"/>
                <w:color w:val="auto"/>
                <w:kern w:val="0"/>
                <w:sz w:val="21"/>
                <w:szCs w:val="21"/>
                <w:lang w:bidi="ar"/>
              </w:rPr>
              <w:t>是</w:t>
            </w:r>
            <w:r>
              <w:rPr>
                <w:color w:val="auto"/>
                <w:kern w:val="0"/>
                <w:sz w:val="21"/>
                <w:szCs w:val="21"/>
                <w:lang w:bidi="ar"/>
              </w:rPr>
              <w:t xml:space="preserve">  □ </w:t>
            </w:r>
            <w:r>
              <w:rPr>
                <w:rFonts w:hint="eastAsia" w:cs="宋体"/>
                <w:color w:val="auto"/>
                <w:kern w:val="0"/>
                <w:sz w:val="21"/>
                <w:szCs w:val="21"/>
                <w:lang w:bidi="ar"/>
              </w:rPr>
              <w:t>否</w:t>
            </w:r>
          </w:p>
        </w:tc>
      </w:tr>
      <w:tr w14:paraId="5C51148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1384" w:type="pct"/>
            <w:vMerge w:val="continue"/>
            <w:shd w:val="clear" w:color="auto" w:fill="FFFFFF"/>
            <w:vAlign w:val="center"/>
          </w:tcPr>
          <w:p w14:paraId="6C8B1124">
            <w:pPr>
              <w:spacing w:line="240" w:lineRule="auto"/>
              <w:ind w:firstLine="0" w:firstLineChars="0"/>
              <w:rPr>
                <w:color w:val="auto"/>
                <w:sz w:val="21"/>
                <w:szCs w:val="21"/>
              </w:rPr>
            </w:pPr>
          </w:p>
        </w:tc>
        <w:tc>
          <w:tcPr>
            <w:tcW w:w="1850" w:type="pct"/>
            <w:shd w:val="clear" w:color="auto" w:fill="FFFFFF"/>
            <w:vAlign w:val="center"/>
          </w:tcPr>
          <w:p w14:paraId="2E1D8671">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地形数据分辨率</w:t>
            </w:r>
            <w:r>
              <w:rPr>
                <w:color w:val="auto"/>
                <w:kern w:val="0"/>
                <w:sz w:val="21"/>
                <w:szCs w:val="21"/>
                <w:lang w:bidi="ar"/>
              </w:rPr>
              <w:t>/m</w:t>
            </w:r>
          </w:p>
        </w:tc>
        <w:tc>
          <w:tcPr>
            <w:tcW w:w="1766" w:type="pct"/>
            <w:shd w:val="clear" w:color="auto" w:fill="FFFFFF"/>
            <w:vAlign w:val="center"/>
          </w:tcPr>
          <w:p w14:paraId="3DBB7A56">
            <w:pPr>
              <w:widowControl/>
              <w:spacing w:line="240" w:lineRule="auto"/>
              <w:ind w:firstLine="0" w:firstLineChars="0"/>
              <w:jc w:val="center"/>
              <w:rPr>
                <w:color w:val="auto"/>
                <w:kern w:val="0"/>
                <w:sz w:val="21"/>
                <w:szCs w:val="21"/>
              </w:rPr>
            </w:pPr>
            <w:r>
              <w:rPr>
                <w:color w:val="auto"/>
                <w:kern w:val="0"/>
                <w:sz w:val="21"/>
                <w:szCs w:val="21"/>
                <w:lang w:bidi="ar"/>
              </w:rPr>
              <w:t>90</w:t>
            </w:r>
          </w:p>
        </w:tc>
      </w:tr>
      <w:tr w14:paraId="64907BC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1384" w:type="pct"/>
            <w:vMerge w:val="restart"/>
            <w:shd w:val="clear" w:color="auto" w:fill="FFFFFF"/>
            <w:vAlign w:val="center"/>
          </w:tcPr>
          <w:p w14:paraId="2D8E40DD">
            <w:pPr>
              <w:spacing w:line="240" w:lineRule="auto"/>
              <w:ind w:firstLine="0" w:firstLineChars="0"/>
              <w:jc w:val="center"/>
              <w:rPr>
                <w:color w:val="auto"/>
                <w:kern w:val="0"/>
                <w:sz w:val="21"/>
                <w:szCs w:val="21"/>
              </w:rPr>
            </w:pPr>
            <w:r>
              <w:rPr>
                <w:rFonts w:hint="eastAsia" w:cs="宋体"/>
                <w:color w:val="auto"/>
                <w:kern w:val="0"/>
                <w:sz w:val="21"/>
                <w:szCs w:val="21"/>
                <w:lang w:bidi="ar"/>
              </w:rPr>
              <w:t>是否考虑岸线熏烟</w:t>
            </w:r>
          </w:p>
        </w:tc>
        <w:tc>
          <w:tcPr>
            <w:tcW w:w="1850" w:type="pct"/>
            <w:shd w:val="clear" w:color="auto" w:fill="FFFFFF"/>
            <w:vAlign w:val="center"/>
          </w:tcPr>
          <w:p w14:paraId="455B1761">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考虑岸线熏烟</w:t>
            </w:r>
          </w:p>
        </w:tc>
        <w:tc>
          <w:tcPr>
            <w:tcW w:w="1766" w:type="pct"/>
            <w:shd w:val="clear" w:color="auto" w:fill="FFFFFF"/>
            <w:vAlign w:val="center"/>
          </w:tcPr>
          <w:p w14:paraId="529CCDD0">
            <w:pPr>
              <w:widowControl/>
              <w:spacing w:line="240" w:lineRule="auto"/>
              <w:ind w:firstLine="0" w:firstLineChars="0"/>
              <w:jc w:val="center"/>
              <w:rPr>
                <w:color w:val="auto"/>
                <w:kern w:val="0"/>
                <w:sz w:val="21"/>
                <w:szCs w:val="21"/>
              </w:rPr>
            </w:pPr>
            <w:r>
              <w:rPr>
                <w:color w:val="auto"/>
                <w:kern w:val="0"/>
                <w:sz w:val="21"/>
                <w:szCs w:val="21"/>
                <w:lang w:bidi="ar"/>
              </w:rPr>
              <w:t>□</w:t>
            </w:r>
            <w:r>
              <w:rPr>
                <w:rFonts w:hint="eastAsia" w:cs="宋体"/>
                <w:color w:val="auto"/>
                <w:kern w:val="0"/>
                <w:sz w:val="21"/>
                <w:szCs w:val="21"/>
                <w:lang w:bidi="ar"/>
              </w:rPr>
              <w:t>是</w:t>
            </w:r>
            <w:r>
              <w:rPr>
                <w:color w:val="auto"/>
                <w:kern w:val="0"/>
                <w:sz w:val="21"/>
                <w:szCs w:val="21"/>
                <w:lang w:bidi="ar"/>
              </w:rPr>
              <w:t xml:space="preserve">  √</w:t>
            </w:r>
            <w:r>
              <w:rPr>
                <w:rFonts w:hint="eastAsia" w:cs="宋体"/>
                <w:color w:val="auto"/>
                <w:kern w:val="0"/>
                <w:sz w:val="21"/>
                <w:szCs w:val="21"/>
                <w:lang w:bidi="ar"/>
              </w:rPr>
              <w:t>否</w:t>
            </w:r>
          </w:p>
        </w:tc>
      </w:tr>
      <w:tr w14:paraId="1D897FE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1384" w:type="pct"/>
            <w:vMerge w:val="continue"/>
            <w:shd w:val="clear" w:color="auto" w:fill="FFFFFF"/>
            <w:vAlign w:val="center"/>
          </w:tcPr>
          <w:p w14:paraId="15E96B9E">
            <w:pPr>
              <w:spacing w:line="240" w:lineRule="auto"/>
              <w:ind w:firstLine="0" w:firstLineChars="0"/>
              <w:rPr>
                <w:color w:val="auto"/>
                <w:sz w:val="21"/>
                <w:szCs w:val="21"/>
              </w:rPr>
            </w:pPr>
          </w:p>
        </w:tc>
        <w:tc>
          <w:tcPr>
            <w:tcW w:w="1850" w:type="pct"/>
            <w:shd w:val="clear" w:color="auto" w:fill="FFFFFF"/>
            <w:vAlign w:val="center"/>
          </w:tcPr>
          <w:p w14:paraId="36D25C93">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岸线距离</w:t>
            </w:r>
            <w:r>
              <w:rPr>
                <w:color w:val="auto"/>
                <w:kern w:val="0"/>
                <w:sz w:val="21"/>
                <w:szCs w:val="21"/>
                <w:lang w:bidi="ar"/>
              </w:rPr>
              <w:t>/</w:t>
            </w:r>
            <w:r>
              <w:rPr>
                <w:rFonts w:hint="eastAsia"/>
                <w:color w:val="auto"/>
                <w:kern w:val="0"/>
                <w:sz w:val="21"/>
                <w:szCs w:val="21"/>
                <w:lang w:bidi="ar"/>
              </w:rPr>
              <w:t>k</w:t>
            </w:r>
            <w:r>
              <w:rPr>
                <w:color w:val="auto"/>
                <w:kern w:val="0"/>
                <w:sz w:val="21"/>
                <w:szCs w:val="21"/>
                <w:lang w:bidi="ar"/>
              </w:rPr>
              <w:t>m</w:t>
            </w:r>
          </w:p>
        </w:tc>
        <w:tc>
          <w:tcPr>
            <w:tcW w:w="1766" w:type="pct"/>
            <w:shd w:val="clear" w:color="auto" w:fill="FFFFFF"/>
            <w:vAlign w:val="center"/>
          </w:tcPr>
          <w:p w14:paraId="3F363484">
            <w:pPr>
              <w:widowControl/>
              <w:spacing w:line="240" w:lineRule="auto"/>
              <w:ind w:firstLine="0" w:firstLineChars="0"/>
              <w:jc w:val="center"/>
              <w:rPr>
                <w:color w:val="auto"/>
                <w:kern w:val="0"/>
                <w:sz w:val="21"/>
                <w:szCs w:val="21"/>
              </w:rPr>
            </w:pPr>
            <w:r>
              <w:rPr>
                <w:rFonts w:hint="eastAsia"/>
                <w:color w:val="auto"/>
                <w:kern w:val="0"/>
                <w:sz w:val="21"/>
                <w:szCs w:val="21"/>
                <w:lang w:bidi="ar"/>
              </w:rPr>
              <w:t>/</w:t>
            </w:r>
          </w:p>
        </w:tc>
      </w:tr>
      <w:tr w14:paraId="2DACC04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1384" w:type="pct"/>
            <w:vMerge w:val="continue"/>
            <w:shd w:val="clear" w:color="auto" w:fill="FFFFFF"/>
            <w:vAlign w:val="center"/>
          </w:tcPr>
          <w:p w14:paraId="3EFB78A3">
            <w:pPr>
              <w:spacing w:line="240" w:lineRule="auto"/>
              <w:ind w:firstLine="0" w:firstLineChars="0"/>
              <w:rPr>
                <w:color w:val="auto"/>
                <w:sz w:val="21"/>
                <w:szCs w:val="21"/>
              </w:rPr>
            </w:pPr>
          </w:p>
        </w:tc>
        <w:tc>
          <w:tcPr>
            <w:tcW w:w="1850" w:type="pct"/>
            <w:shd w:val="clear" w:color="auto" w:fill="FFFFFF"/>
            <w:vAlign w:val="center"/>
          </w:tcPr>
          <w:p w14:paraId="504FCAE6">
            <w:pPr>
              <w:widowControl/>
              <w:spacing w:line="240" w:lineRule="auto"/>
              <w:ind w:firstLine="0" w:firstLineChars="0"/>
              <w:jc w:val="center"/>
              <w:rPr>
                <w:color w:val="auto"/>
                <w:kern w:val="0"/>
                <w:sz w:val="21"/>
                <w:szCs w:val="21"/>
              </w:rPr>
            </w:pPr>
            <w:r>
              <w:rPr>
                <w:rFonts w:hint="eastAsia" w:cs="宋体"/>
                <w:color w:val="auto"/>
                <w:kern w:val="0"/>
                <w:sz w:val="21"/>
                <w:szCs w:val="21"/>
                <w:lang w:bidi="ar"/>
              </w:rPr>
              <w:t>岸线方向</w:t>
            </w:r>
            <w:r>
              <w:rPr>
                <w:color w:val="auto"/>
                <w:kern w:val="0"/>
                <w:sz w:val="21"/>
                <w:szCs w:val="21"/>
                <w:lang w:bidi="ar"/>
              </w:rPr>
              <w:t>/°</w:t>
            </w:r>
          </w:p>
        </w:tc>
        <w:tc>
          <w:tcPr>
            <w:tcW w:w="1766" w:type="pct"/>
            <w:shd w:val="clear" w:color="auto" w:fill="FFFFFF"/>
            <w:vAlign w:val="center"/>
          </w:tcPr>
          <w:p w14:paraId="2027B08C">
            <w:pPr>
              <w:widowControl/>
              <w:spacing w:line="240" w:lineRule="auto"/>
              <w:ind w:firstLine="0" w:firstLineChars="0"/>
              <w:jc w:val="center"/>
              <w:rPr>
                <w:color w:val="auto"/>
                <w:kern w:val="0"/>
                <w:sz w:val="21"/>
                <w:szCs w:val="21"/>
              </w:rPr>
            </w:pPr>
            <w:r>
              <w:rPr>
                <w:rFonts w:hint="eastAsia"/>
                <w:color w:val="auto"/>
                <w:kern w:val="0"/>
                <w:sz w:val="21"/>
                <w:szCs w:val="21"/>
                <w:lang w:bidi="ar"/>
              </w:rPr>
              <w:t>/</w:t>
            </w:r>
          </w:p>
        </w:tc>
      </w:tr>
    </w:tbl>
    <w:p w14:paraId="57594054">
      <w:pPr>
        <w:ind w:firstLine="480"/>
        <w:rPr>
          <w:color w:val="auto"/>
        </w:rPr>
      </w:pPr>
      <w:r>
        <w:rPr>
          <w:rFonts w:hint="eastAsia"/>
          <w:color w:val="auto"/>
        </w:rPr>
        <w:t>采用估算模式计算二氧化硫、氨、PM</w:t>
      </w:r>
      <w:r>
        <w:rPr>
          <w:rFonts w:hint="eastAsia"/>
          <w:color w:val="auto"/>
          <w:vertAlign w:val="subscript"/>
        </w:rPr>
        <w:t>10</w:t>
      </w:r>
      <w:r>
        <w:rPr>
          <w:rFonts w:hint="eastAsia"/>
          <w:color w:val="auto"/>
        </w:rPr>
        <w:t>等污染物的最大地面浓度和占标率，并按照上式计算各污染因子的</w:t>
      </w:r>
      <w:r>
        <w:rPr>
          <w:color w:val="auto"/>
        </w:rPr>
        <w:t>Pi</w:t>
      </w:r>
      <w:r>
        <w:rPr>
          <w:rFonts w:hint="eastAsia"/>
          <w:color w:val="auto"/>
        </w:rPr>
        <w:t>值，确定评级等级，并取评价级别最高者作为项目的评价等级，项目有组织废气排放和无组织废气排放估算结果见下表。</w:t>
      </w:r>
    </w:p>
    <w:p w14:paraId="1605BCDF">
      <w:pPr>
        <w:pStyle w:val="49"/>
        <w:rPr>
          <w:color w:val="auto"/>
        </w:rPr>
      </w:pPr>
      <w:r>
        <w:rPr>
          <w:rFonts w:hint="eastAsia"/>
          <w:color w:val="auto"/>
        </w:rPr>
        <w:t>表2.3-3 估算模式计算结果表</w:t>
      </w:r>
    </w:p>
    <w:tbl>
      <w:tblPr>
        <w:tblStyle w:val="24"/>
        <w:tblW w:w="5000"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64"/>
        <w:gridCol w:w="1949"/>
        <w:gridCol w:w="1878"/>
        <w:gridCol w:w="1791"/>
        <w:gridCol w:w="1386"/>
        <w:gridCol w:w="1386"/>
      </w:tblGrid>
      <w:tr w14:paraId="42876830">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43" w:type="pct"/>
            <w:vAlign w:val="center"/>
          </w:tcPr>
          <w:p w14:paraId="752B6F21">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污染源</w:t>
            </w:r>
          </w:p>
        </w:tc>
        <w:tc>
          <w:tcPr>
            <w:tcW w:w="989" w:type="pct"/>
            <w:vAlign w:val="center"/>
          </w:tcPr>
          <w:p w14:paraId="1E534711">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污染物</w:t>
            </w:r>
          </w:p>
        </w:tc>
        <w:tc>
          <w:tcPr>
            <w:tcW w:w="953" w:type="pct"/>
            <w:vAlign w:val="center"/>
          </w:tcPr>
          <w:p w14:paraId="7BDA173C">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最大地面浓度</w:t>
            </w:r>
            <w:r>
              <w:rPr>
                <w:rFonts w:hint="eastAsia"/>
                <w:b/>
                <w:bCs/>
                <w:color w:val="auto"/>
                <w:kern w:val="0"/>
                <w:sz w:val="21"/>
                <w:szCs w:val="21"/>
                <w:lang w:bidi="ar"/>
              </w:rPr>
              <w:t>（</w:t>
            </w:r>
            <w:r>
              <w:rPr>
                <w:b/>
                <w:bCs/>
                <w:color w:val="auto"/>
                <w:kern w:val="0"/>
                <w:sz w:val="21"/>
                <w:szCs w:val="21"/>
                <w:lang w:bidi="ar"/>
              </w:rPr>
              <w:t>mg/m</w:t>
            </w:r>
            <w:r>
              <w:rPr>
                <w:b/>
                <w:bCs/>
                <w:color w:val="auto"/>
                <w:kern w:val="0"/>
                <w:sz w:val="21"/>
                <w:szCs w:val="21"/>
                <w:vertAlign w:val="superscript"/>
                <w:lang w:bidi="ar"/>
              </w:rPr>
              <w:t>3</w:t>
            </w:r>
            <w:r>
              <w:rPr>
                <w:rFonts w:hint="eastAsia"/>
                <w:b/>
                <w:bCs/>
                <w:color w:val="auto"/>
                <w:kern w:val="0"/>
                <w:sz w:val="21"/>
                <w:szCs w:val="21"/>
                <w:lang w:bidi="ar"/>
              </w:rPr>
              <w:t>）</w:t>
            </w:r>
          </w:p>
        </w:tc>
        <w:tc>
          <w:tcPr>
            <w:tcW w:w="909" w:type="pct"/>
            <w:vAlign w:val="center"/>
          </w:tcPr>
          <w:p w14:paraId="78BA649C">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环境质量标准</w:t>
            </w:r>
            <w:r>
              <w:rPr>
                <w:rFonts w:hint="eastAsia"/>
                <w:b/>
                <w:bCs/>
                <w:color w:val="auto"/>
                <w:kern w:val="0"/>
                <w:sz w:val="21"/>
                <w:szCs w:val="21"/>
                <w:lang w:bidi="ar"/>
              </w:rPr>
              <w:t>（</w:t>
            </w:r>
            <w:r>
              <w:rPr>
                <w:b/>
                <w:bCs/>
                <w:color w:val="auto"/>
                <w:kern w:val="0"/>
                <w:sz w:val="21"/>
                <w:szCs w:val="21"/>
                <w:lang w:bidi="ar"/>
              </w:rPr>
              <w:t>mg/m</w:t>
            </w:r>
            <w:r>
              <w:rPr>
                <w:b/>
                <w:bCs/>
                <w:color w:val="auto"/>
                <w:kern w:val="0"/>
                <w:sz w:val="21"/>
                <w:szCs w:val="21"/>
                <w:vertAlign w:val="superscript"/>
                <w:lang w:bidi="ar"/>
              </w:rPr>
              <w:t>3</w:t>
            </w:r>
            <w:r>
              <w:rPr>
                <w:rFonts w:hint="eastAsia"/>
                <w:b/>
                <w:bCs/>
                <w:color w:val="auto"/>
                <w:kern w:val="0"/>
                <w:sz w:val="21"/>
                <w:szCs w:val="21"/>
                <w:lang w:bidi="ar"/>
              </w:rPr>
              <w:t>）</w:t>
            </w:r>
          </w:p>
        </w:tc>
        <w:tc>
          <w:tcPr>
            <w:tcW w:w="703" w:type="pct"/>
            <w:vAlign w:val="center"/>
          </w:tcPr>
          <w:p w14:paraId="21B2B2C7">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占标率</w:t>
            </w:r>
            <w:r>
              <w:rPr>
                <w:b/>
                <w:bCs/>
                <w:color w:val="auto"/>
                <w:kern w:val="0"/>
                <w:sz w:val="21"/>
                <w:szCs w:val="21"/>
                <w:lang w:bidi="ar"/>
              </w:rPr>
              <w:t>P</w:t>
            </w:r>
            <w:r>
              <w:rPr>
                <w:color w:val="auto"/>
                <w:sz w:val="21"/>
                <w:szCs w:val="21"/>
                <w:lang w:bidi="ar"/>
              </w:rPr>
              <w:t>i</w:t>
            </w:r>
          </w:p>
          <w:p w14:paraId="5F814ABE">
            <w:pPr>
              <w:spacing w:line="240" w:lineRule="auto"/>
              <w:ind w:firstLine="0" w:firstLineChars="0"/>
              <w:jc w:val="center"/>
              <w:textAlignment w:val="center"/>
              <w:rPr>
                <w:rFonts w:cs="宋体"/>
                <w:b/>
                <w:bCs/>
                <w:color w:val="auto"/>
                <w:sz w:val="21"/>
                <w:szCs w:val="21"/>
              </w:rPr>
            </w:pPr>
            <w:r>
              <w:rPr>
                <w:rFonts w:hint="eastAsia"/>
                <w:b/>
                <w:bCs/>
                <w:color w:val="auto"/>
                <w:kern w:val="0"/>
                <w:sz w:val="21"/>
                <w:szCs w:val="21"/>
                <w:lang w:bidi="ar"/>
              </w:rPr>
              <w:t>（</w:t>
            </w:r>
            <w:r>
              <w:rPr>
                <w:b/>
                <w:bCs/>
                <w:color w:val="auto"/>
                <w:kern w:val="0"/>
                <w:sz w:val="21"/>
                <w:szCs w:val="21"/>
                <w:lang w:bidi="ar"/>
              </w:rPr>
              <w:t>%</w:t>
            </w:r>
            <w:r>
              <w:rPr>
                <w:rFonts w:hint="eastAsia"/>
                <w:b/>
                <w:bCs/>
                <w:color w:val="auto"/>
                <w:kern w:val="0"/>
                <w:sz w:val="21"/>
                <w:szCs w:val="21"/>
                <w:lang w:bidi="ar"/>
              </w:rPr>
              <w:t>）</w:t>
            </w:r>
          </w:p>
        </w:tc>
        <w:tc>
          <w:tcPr>
            <w:tcW w:w="703" w:type="pct"/>
            <w:vAlign w:val="center"/>
          </w:tcPr>
          <w:p w14:paraId="7E1D3BAD">
            <w:pPr>
              <w:spacing w:line="240" w:lineRule="auto"/>
              <w:ind w:firstLine="0" w:firstLineChars="0"/>
              <w:jc w:val="center"/>
              <w:textAlignment w:val="center"/>
              <w:rPr>
                <w:b/>
                <w:bCs/>
                <w:color w:val="auto"/>
                <w:kern w:val="0"/>
                <w:sz w:val="21"/>
                <w:szCs w:val="21"/>
                <w:lang w:bidi="ar"/>
              </w:rPr>
            </w:pPr>
            <w:r>
              <w:rPr>
                <w:rFonts w:hint="eastAsia"/>
                <w:b/>
                <w:bCs/>
                <w:color w:val="auto"/>
                <w:kern w:val="0"/>
                <w:sz w:val="21"/>
                <w:szCs w:val="21"/>
                <w:lang w:bidi="ar"/>
              </w:rPr>
              <w:t>D10%最远距离（m）</w:t>
            </w:r>
          </w:p>
        </w:tc>
      </w:tr>
      <w:tr w14:paraId="2AF2EB2C">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43" w:type="pct"/>
            <w:vAlign w:val="center"/>
          </w:tcPr>
          <w:p w14:paraId="5FB4DB84">
            <w:pPr>
              <w:spacing w:line="240" w:lineRule="auto"/>
              <w:ind w:firstLine="0" w:firstLineChars="0"/>
              <w:jc w:val="center"/>
              <w:textAlignment w:val="center"/>
              <w:rPr>
                <w:color w:val="auto"/>
                <w:sz w:val="21"/>
                <w:szCs w:val="21"/>
              </w:rPr>
            </w:pPr>
            <w:r>
              <w:rPr>
                <w:rFonts w:hint="eastAsia"/>
                <w:color w:val="auto"/>
                <w:sz w:val="21"/>
                <w:szCs w:val="21"/>
              </w:rPr>
              <w:t>DA001</w:t>
            </w:r>
          </w:p>
        </w:tc>
        <w:tc>
          <w:tcPr>
            <w:tcW w:w="989" w:type="pct"/>
            <w:vAlign w:val="center"/>
          </w:tcPr>
          <w:p w14:paraId="38564E3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氨</w:t>
            </w:r>
          </w:p>
        </w:tc>
        <w:tc>
          <w:tcPr>
            <w:tcW w:w="953" w:type="pct"/>
            <w:vAlign w:val="center"/>
          </w:tcPr>
          <w:p w14:paraId="62045A9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8.84E-04</w:t>
            </w:r>
          </w:p>
        </w:tc>
        <w:tc>
          <w:tcPr>
            <w:tcW w:w="909" w:type="pct"/>
            <w:vAlign w:val="center"/>
          </w:tcPr>
          <w:p w14:paraId="5C144A4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0.2</w:t>
            </w:r>
          </w:p>
        </w:tc>
        <w:tc>
          <w:tcPr>
            <w:tcW w:w="703" w:type="pct"/>
            <w:vAlign w:val="center"/>
          </w:tcPr>
          <w:p w14:paraId="1172E74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0.44</w:t>
            </w:r>
          </w:p>
        </w:tc>
        <w:tc>
          <w:tcPr>
            <w:tcW w:w="703" w:type="pct"/>
            <w:vAlign w:val="center"/>
          </w:tcPr>
          <w:p w14:paraId="001E717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r w14:paraId="57F3304D">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43" w:type="pct"/>
            <w:vMerge w:val="restart"/>
            <w:vAlign w:val="center"/>
          </w:tcPr>
          <w:p w14:paraId="4434B8C6">
            <w:pPr>
              <w:spacing w:line="240" w:lineRule="auto"/>
              <w:ind w:firstLine="0" w:firstLineChars="0"/>
              <w:jc w:val="center"/>
              <w:textAlignment w:val="center"/>
              <w:rPr>
                <w:color w:val="auto"/>
                <w:sz w:val="21"/>
                <w:szCs w:val="21"/>
              </w:rPr>
            </w:pPr>
            <w:r>
              <w:rPr>
                <w:rFonts w:hint="eastAsia"/>
                <w:color w:val="auto"/>
                <w:sz w:val="21"/>
                <w:szCs w:val="21"/>
              </w:rPr>
              <w:t>DA002</w:t>
            </w:r>
          </w:p>
        </w:tc>
        <w:tc>
          <w:tcPr>
            <w:tcW w:w="989" w:type="pct"/>
            <w:vAlign w:val="center"/>
          </w:tcPr>
          <w:p w14:paraId="35A1583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二氧化硫</w:t>
            </w:r>
          </w:p>
        </w:tc>
        <w:tc>
          <w:tcPr>
            <w:tcW w:w="953" w:type="pct"/>
            <w:vAlign w:val="center"/>
          </w:tcPr>
          <w:p w14:paraId="09C269D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2.76E-03</w:t>
            </w:r>
          </w:p>
        </w:tc>
        <w:tc>
          <w:tcPr>
            <w:tcW w:w="909" w:type="pct"/>
            <w:vAlign w:val="center"/>
          </w:tcPr>
          <w:p w14:paraId="026201A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0.5</w:t>
            </w:r>
          </w:p>
        </w:tc>
        <w:tc>
          <w:tcPr>
            <w:tcW w:w="703" w:type="pct"/>
            <w:vAlign w:val="center"/>
          </w:tcPr>
          <w:p w14:paraId="04E5C97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0.55</w:t>
            </w:r>
          </w:p>
        </w:tc>
        <w:tc>
          <w:tcPr>
            <w:tcW w:w="703" w:type="pct"/>
            <w:vAlign w:val="center"/>
          </w:tcPr>
          <w:p w14:paraId="7E6DDE3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r w14:paraId="20D502D2">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43" w:type="pct"/>
            <w:vMerge w:val="continue"/>
            <w:vAlign w:val="center"/>
          </w:tcPr>
          <w:p w14:paraId="2790D16A">
            <w:pPr>
              <w:spacing w:line="240" w:lineRule="auto"/>
              <w:ind w:firstLine="0" w:firstLineChars="0"/>
              <w:jc w:val="center"/>
              <w:textAlignment w:val="center"/>
              <w:rPr>
                <w:color w:val="auto"/>
                <w:sz w:val="21"/>
                <w:szCs w:val="21"/>
              </w:rPr>
            </w:pPr>
          </w:p>
        </w:tc>
        <w:tc>
          <w:tcPr>
            <w:tcW w:w="989" w:type="pct"/>
            <w:vAlign w:val="center"/>
          </w:tcPr>
          <w:p w14:paraId="79BEA85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953" w:type="pct"/>
            <w:vAlign w:val="center"/>
          </w:tcPr>
          <w:p w14:paraId="224E2EB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2.76E-03</w:t>
            </w:r>
          </w:p>
        </w:tc>
        <w:tc>
          <w:tcPr>
            <w:tcW w:w="909" w:type="pct"/>
            <w:vAlign w:val="center"/>
          </w:tcPr>
          <w:p w14:paraId="2C61D84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0.36</w:t>
            </w:r>
          </w:p>
        </w:tc>
        <w:tc>
          <w:tcPr>
            <w:tcW w:w="703" w:type="pct"/>
            <w:vAlign w:val="center"/>
          </w:tcPr>
          <w:p w14:paraId="40B1DF9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0.77</w:t>
            </w:r>
          </w:p>
        </w:tc>
        <w:tc>
          <w:tcPr>
            <w:tcW w:w="703" w:type="pct"/>
            <w:vAlign w:val="center"/>
          </w:tcPr>
          <w:p w14:paraId="02DAD97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r w14:paraId="643798CF">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43" w:type="pct"/>
            <w:vAlign w:val="center"/>
          </w:tcPr>
          <w:p w14:paraId="26D9F74D">
            <w:pPr>
              <w:spacing w:line="240" w:lineRule="auto"/>
              <w:ind w:firstLine="0" w:firstLineChars="0"/>
              <w:jc w:val="center"/>
              <w:textAlignment w:val="center"/>
              <w:rPr>
                <w:color w:val="auto"/>
                <w:sz w:val="21"/>
                <w:szCs w:val="21"/>
              </w:rPr>
            </w:pPr>
            <w:r>
              <w:rPr>
                <w:rFonts w:hint="eastAsia"/>
                <w:color w:val="auto"/>
                <w:sz w:val="21"/>
                <w:szCs w:val="21"/>
              </w:rPr>
              <w:t>1#戊类罐区</w:t>
            </w:r>
          </w:p>
        </w:tc>
        <w:tc>
          <w:tcPr>
            <w:tcW w:w="989" w:type="pct"/>
            <w:vAlign w:val="center"/>
          </w:tcPr>
          <w:p w14:paraId="12F11A9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氨</w:t>
            </w:r>
          </w:p>
        </w:tc>
        <w:tc>
          <w:tcPr>
            <w:tcW w:w="953" w:type="pct"/>
            <w:vAlign w:val="center"/>
          </w:tcPr>
          <w:p w14:paraId="4696EA7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6.89E-04</w:t>
            </w:r>
          </w:p>
        </w:tc>
        <w:tc>
          <w:tcPr>
            <w:tcW w:w="909" w:type="pct"/>
            <w:vAlign w:val="center"/>
          </w:tcPr>
          <w:p w14:paraId="26AE245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0.2</w:t>
            </w:r>
          </w:p>
        </w:tc>
        <w:tc>
          <w:tcPr>
            <w:tcW w:w="703" w:type="pct"/>
            <w:vAlign w:val="center"/>
          </w:tcPr>
          <w:p w14:paraId="01B3CA5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0.34</w:t>
            </w:r>
          </w:p>
        </w:tc>
        <w:tc>
          <w:tcPr>
            <w:tcW w:w="703" w:type="pct"/>
            <w:vAlign w:val="center"/>
          </w:tcPr>
          <w:p w14:paraId="696509D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bl>
    <w:p w14:paraId="693A9DC8">
      <w:pPr>
        <w:ind w:firstLine="480"/>
        <w:rPr>
          <w:color w:val="auto"/>
        </w:rPr>
      </w:pPr>
      <w:r>
        <w:rPr>
          <w:rFonts w:hint="eastAsia"/>
          <w:color w:val="auto"/>
        </w:rPr>
        <w:t>根据初步估算结果，最大占标率P＜</w:t>
      </w:r>
      <w:r>
        <w:rPr>
          <w:color w:val="auto"/>
        </w:rPr>
        <w:t>1%</w:t>
      </w:r>
      <w:r>
        <w:rPr>
          <w:rFonts w:hint="eastAsia"/>
          <w:color w:val="auto"/>
        </w:rPr>
        <w:t>。本项目属于编制环境影响报告书的化工项目，评价等级提高一级，因此本项目大气评价等级为二级评价。</w:t>
      </w:r>
    </w:p>
    <w:p w14:paraId="08C3DDD2">
      <w:pPr>
        <w:keepNext/>
        <w:keepLines/>
        <w:ind w:firstLine="0" w:firstLineChars="0"/>
        <w:outlineLvl w:val="3"/>
        <w:rPr>
          <w:b/>
          <w:color w:val="auto"/>
        </w:rPr>
      </w:pPr>
      <w:r>
        <w:rPr>
          <w:rFonts w:hint="eastAsia"/>
          <w:b/>
          <w:color w:val="auto"/>
        </w:rPr>
        <w:t>2.3.1.2地表水环境影响评价等级</w:t>
      </w:r>
    </w:p>
    <w:p w14:paraId="5D2184CC">
      <w:pPr>
        <w:ind w:firstLine="480"/>
        <w:rPr>
          <w:color w:val="auto"/>
        </w:rPr>
      </w:pPr>
      <w:r>
        <w:rPr>
          <w:color w:val="auto"/>
        </w:rPr>
        <w:t>本项目废水经厂区内新建</w:t>
      </w:r>
      <w:r>
        <w:rPr>
          <w:rFonts w:hint="eastAsia"/>
          <w:color w:val="auto"/>
          <w:lang w:val="en-US" w:eastAsia="zh-CN"/>
        </w:rPr>
        <w:t>1</w:t>
      </w:r>
      <w:r>
        <w:rPr>
          <w:color w:val="auto"/>
        </w:rPr>
        <w:t>#污水处理站处理达接管标准后接管至联合环境水务(启东)有限公司进行深度处理，尾水达标排入长江。本项目为水污染影响型建设项目，废水采用间接排放方式，判定本项目地表水环境影响评价工作等级为三级B。</w:t>
      </w:r>
    </w:p>
    <w:p w14:paraId="69F07932">
      <w:pPr>
        <w:pStyle w:val="49"/>
        <w:rPr>
          <w:color w:val="auto"/>
        </w:rPr>
      </w:pPr>
      <w:r>
        <w:rPr>
          <w:rFonts w:hint="eastAsia"/>
          <w:color w:val="auto"/>
        </w:rPr>
        <w:t>表2.3-4 水污染影响型建设项目评价等级判定表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2256"/>
        <w:gridCol w:w="5954"/>
      </w:tblGrid>
      <w:tr w14:paraId="03938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pct"/>
            <w:vMerge w:val="restart"/>
            <w:tcBorders>
              <w:top w:val="single" w:color="auto" w:sz="12" w:space="0"/>
              <w:left w:val="nil"/>
              <w:bottom w:val="single" w:color="auto" w:sz="4" w:space="0"/>
              <w:right w:val="single" w:color="auto" w:sz="4" w:space="0"/>
            </w:tcBorders>
            <w:vAlign w:val="center"/>
          </w:tcPr>
          <w:p w14:paraId="4966735E">
            <w:pPr>
              <w:spacing w:line="240" w:lineRule="auto"/>
              <w:ind w:firstLine="0" w:firstLineChars="0"/>
              <w:jc w:val="center"/>
              <w:rPr>
                <w:b/>
                <w:bCs/>
                <w:color w:val="auto"/>
                <w:sz w:val="21"/>
                <w:szCs w:val="21"/>
              </w:rPr>
            </w:pPr>
            <w:r>
              <w:rPr>
                <w:rFonts w:hint="eastAsia" w:cs="宋体"/>
                <w:b/>
                <w:bCs/>
                <w:color w:val="auto"/>
                <w:kern w:val="0"/>
                <w:sz w:val="21"/>
                <w:szCs w:val="21"/>
                <w:lang w:bidi="ar"/>
              </w:rPr>
              <w:t>评价等级</w:t>
            </w:r>
          </w:p>
        </w:tc>
        <w:tc>
          <w:tcPr>
            <w:tcW w:w="4164" w:type="pct"/>
            <w:gridSpan w:val="2"/>
            <w:tcBorders>
              <w:top w:val="single" w:color="auto" w:sz="12" w:space="0"/>
              <w:left w:val="single" w:color="auto" w:sz="4" w:space="0"/>
              <w:bottom w:val="single" w:color="auto" w:sz="4" w:space="0"/>
              <w:right w:val="nil"/>
            </w:tcBorders>
            <w:vAlign w:val="center"/>
          </w:tcPr>
          <w:p w14:paraId="7A64AED1">
            <w:pPr>
              <w:spacing w:line="240" w:lineRule="auto"/>
              <w:ind w:firstLine="0" w:firstLineChars="0"/>
              <w:jc w:val="center"/>
              <w:rPr>
                <w:b/>
                <w:bCs/>
                <w:color w:val="auto"/>
                <w:sz w:val="21"/>
                <w:szCs w:val="21"/>
              </w:rPr>
            </w:pPr>
            <w:r>
              <w:rPr>
                <w:rFonts w:hint="eastAsia" w:cs="宋体"/>
                <w:b/>
                <w:bCs/>
                <w:color w:val="auto"/>
                <w:kern w:val="0"/>
                <w:sz w:val="21"/>
                <w:szCs w:val="21"/>
                <w:lang w:bidi="ar"/>
              </w:rPr>
              <w:t>判定依据</w:t>
            </w:r>
          </w:p>
        </w:tc>
      </w:tr>
      <w:tr w14:paraId="6FB2F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pct"/>
            <w:vMerge w:val="continue"/>
            <w:tcBorders>
              <w:top w:val="single" w:color="auto" w:sz="12" w:space="0"/>
              <w:left w:val="nil"/>
              <w:bottom w:val="single" w:color="auto" w:sz="4" w:space="0"/>
              <w:right w:val="single" w:color="auto" w:sz="4" w:space="0"/>
            </w:tcBorders>
            <w:vAlign w:val="center"/>
          </w:tcPr>
          <w:p w14:paraId="4DC8EC83">
            <w:pPr>
              <w:spacing w:line="240" w:lineRule="auto"/>
              <w:ind w:firstLine="0" w:firstLineChars="0"/>
              <w:rPr>
                <w:color w:val="auto"/>
                <w:sz w:val="21"/>
                <w:szCs w:val="21"/>
              </w:rPr>
            </w:pPr>
          </w:p>
        </w:tc>
        <w:tc>
          <w:tcPr>
            <w:tcW w:w="1144" w:type="pct"/>
            <w:tcBorders>
              <w:top w:val="single" w:color="auto" w:sz="4" w:space="0"/>
              <w:left w:val="single" w:color="auto" w:sz="4" w:space="0"/>
              <w:bottom w:val="single" w:color="auto" w:sz="4" w:space="0"/>
              <w:right w:val="single" w:color="auto" w:sz="4" w:space="0"/>
            </w:tcBorders>
            <w:vAlign w:val="center"/>
          </w:tcPr>
          <w:p w14:paraId="30263050">
            <w:pPr>
              <w:spacing w:line="240" w:lineRule="auto"/>
              <w:ind w:firstLine="0" w:firstLineChars="0"/>
              <w:jc w:val="center"/>
              <w:rPr>
                <w:b/>
                <w:bCs/>
                <w:color w:val="auto"/>
                <w:sz w:val="21"/>
                <w:szCs w:val="21"/>
              </w:rPr>
            </w:pPr>
            <w:r>
              <w:rPr>
                <w:rFonts w:hint="eastAsia" w:cs="宋体"/>
                <w:b/>
                <w:bCs/>
                <w:color w:val="auto"/>
                <w:kern w:val="0"/>
                <w:sz w:val="21"/>
                <w:szCs w:val="21"/>
                <w:lang w:bidi="ar"/>
              </w:rPr>
              <w:t>排放方式</w:t>
            </w:r>
          </w:p>
        </w:tc>
        <w:tc>
          <w:tcPr>
            <w:tcW w:w="3020" w:type="pct"/>
            <w:tcBorders>
              <w:top w:val="single" w:color="auto" w:sz="4" w:space="0"/>
              <w:left w:val="single" w:color="auto" w:sz="4" w:space="0"/>
              <w:bottom w:val="single" w:color="auto" w:sz="4" w:space="0"/>
              <w:right w:val="nil"/>
            </w:tcBorders>
            <w:vAlign w:val="center"/>
          </w:tcPr>
          <w:p w14:paraId="441834EB">
            <w:pPr>
              <w:spacing w:line="240" w:lineRule="auto"/>
              <w:ind w:firstLine="0" w:firstLineChars="0"/>
              <w:jc w:val="center"/>
              <w:rPr>
                <w:b/>
                <w:bCs/>
                <w:color w:val="auto"/>
                <w:sz w:val="21"/>
                <w:szCs w:val="21"/>
              </w:rPr>
            </w:pPr>
            <w:r>
              <w:rPr>
                <w:rFonts w:hint="eastAsia" w:cs="宋体"/>
                <w:b/>
                <w:bCs/>
                <w:color w:val="auto"/>
                <w:kern w:val="0"/>
                <w:sz w:val="21"/>
                <w:szCs w:val="21"/>
                <w:lang w:bidi="ar"/>
              </w:rPr>
              <w:t>废水排放量</w:t>
            </w:r>
            <w:r>
              <w:rPr>
                <w:b/>
                <w:bCs/>
                <w:color w:val="auto"/>
                <w:kern w:val="0"/>
                <w:sz w:val="21"/>
                <w:szCs w:val="21"/>
                <w:lang w:bidi="ar"/>
              </w:rPr>
              <w:t>Q/</w:t>
            </w:r>
            <w:r>
              <w:rPr>
                <w:rFonts w:hint="eastAsia" w:cs="宋体"/>
                <w:b/>
                <w:bCs/>
                <w:color w:val="auto"/>
                <w:kern w:val="0"/>
                <w:sz w:val="21"/>
                <w:szCs w:val="21"/>
                <w:lang w:bidi="ar"/>
              </w:rPr>
              <w:t>（</w:t>
            </w:r>
            <w:r>
              <w:rPr>
                <w:b/>
                <w:bCs/>
                <w:color w:val="auto"/>
                <w:kern w:val="0"/>
                <w:sz w:val="21"/>
                <w:szCs w:val="21"/>
                <w:lang w:bidi="ar"/>
              </w:rPr>
              <w:t>m</w:t>
            </w:r>
            <w:r>
              <w:rPr>
                <w:b/>
                <w:bCs/>
                <w:color w:val="auto"/>
                <w:kern w:val="0"/>
                <w:sz w:val="21"/>
                <w:szCs w:val="21"/>
                <w:vertAlign w:val="superscript"/>
                <w:lang w:bidi="ar"/>
              </w:rPr>
              <w:t>3</w:t>
            </w:r>
            <w:r>
              <w:rPr>
                <w:b/>
                <w:bCs/>
                <w:color w:val="auto"/>
                <w:kern w:val="0"/>
                <w:sz w:val="21"/>
                <w:szCs w:val="21"/>
                <w:lang w:bidi="ar"/>
              </w:rPr>
              <w:t>/d</w:t>
            </w:r>
            <w:r>
              <w:rPr>
                <w:rFonts w:hint="eastAsia" w:cs="宋体"/>
                <w:b/>
                <w:bCs/>
                <w:color w:val="auto"/>
                <w:kern w:val="0"/>
                <w:sz w:val="21"/>
                <w:szCs w:val="21"/>
                <w:lang w:bidi="ar"/>
              </w:rPr>
              <w:t>）；水污染物当量数</w:t>
            </w:r>
            <w:r>
              <w:rPr>
                <w:b/>
                <w:bCs/>
                <w:color w:val="auto"/>
                <w:kern w:val="0"/>
                <w:sz w:val="21"/>
                <w:szCs w:val="21"/>
                <w:lang w:bidi="ar"/>
              </w:rPr>
              <w:t>W/</w:t>
            </w:r>
            <w:r>
              <w:rPr>
                <w:rFonts w:hint="eastAsia" w:cs="宋体"/>
                <w:b/>
                <w:bCs/>
                <w:color w:val="auto"/>
                <w:kern w:val="0"/>
                <w:sz w:val="21"/>
                <w:szCs w:val="21"/>
                <w:lang w:bidi="ar"/>
              </w:rPr>
              <w:t>（无量纲）</w:t>
            </w:r>
          </w:p>
        </w:tc>
      </w:tr>
      <w:tr w14:paraId="2250E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pct"/>
            <w:tcBorders>
              <w:top w:val="single" w:color="auto" w:sz="4" w:space="0"/>
              <w:left w:val="nil"/>
              <w:bottom w:val="single" w:color="auto" w:sz="4" w:space="0"/>
              <w:right w:val="single" w:color="auto" w:sz="4" w:space="0"/>
            </w:tcBorders>
            <w:vAlign w:val="center"/>
          </w:tcPr>
          <w:p w14:paraId="40927D7C">
            <w:pPr>
              <w:spacing w:line="240" w:lineRule="auto"/>
              <w:ind w:firstLine="0" w:firstLineChars="0"/>
              <w:jc w:val="center"/>
              <w:rPr>
                <w:color w:val="auto"/>
                <w:sz w:val="21"/>
                <w:szCs w:val="21"/>
              </w:rPr>
            </w:pPr>
            <w:r>
              <w:rPr>
                <w:rFonts w:hint="eastAsia" w:cs="宋体"/>
                <w:color w:val="auto"/>
                <w:kern w:val="0"/>
                <w:sz w:val="21"/>
                <w:szCs w:val="21"/>
                <w:lang w:bidi="ar"/>
              </w:rPr>
              <w:t>一级</w:t>
            </w:r>
          </w:p>
        </w:tc>
        <w:tc>
          <w:tcPr>
            <w:tcW w:w="1144" w:type="pct"/>
            <w:tcBorders>
              <w:top w:val="single" w:color="auto" w:sz="4" w:space="0"/>
              <w:left w:val="single" w:color="auto" w:sz="4" w:space="0"/>
              <w:bottom w:val="single" w:color="auto" w:sz="4" w:space="0"/>
              <w:right w:val="single" w:color="auto" w:sz="4" w:space="0"/>
            </w:tcBorders>
            <w:vAlign w:val="center"/>
          </w:tcPr>
          <w:p w14:paraId="4EE4E586">
            <w:pPr>
              <w:spacing w:line="240" w:lineRule="auto"/>
              <w:ind w:firstLine="0" w:firstLineChars="0"/>
              <w:jc w:val="center"/>
              <w:rPr>
                <w:color w:val="auto"/>
                <w:sz w:val="21"/>
                <w:szCs w:val="21"/>
              </w:rPr>
            </w:pPr>
            <w:r>
              <w:rPr>
                <w:rFonts w:hint="eastAsia" w:cs="宋体"/>
                <w:color w:val="auto"/>
                <w:kern w:val="0"/>
                <w:sz w:val="21"/>
                <w:szCs w:val="21"/>
                <w:lang w:bidi="ar"/>
              </w:rPr>
              <w:t>直接排放</w:t>
            </w:r>
          </w:p>
        </w:tc>
        <w:tc>
          <w:tcPr>
            <w:tcW w:w="3020" w:type="pct"/>
            <w:tcBorders>
              <w:top w:val="single" w:color="auto" w:sz="4" w:space="0"/>
              <w:left w:val="single" w:color="auto" w:sz="4" w:space="0"/>
              <w:bottom w:val="single" w:color="auto" w:sz="4" w:space="0"/>
              <w:right w:val="nil"/>
            </w:tcBorders>
            <w:vAlign w:val="center"/>
          </w:tcPr>
          <w:p w14:paraId="3E46199A">
            <w:pPr>
              <w:spacing w:line="240" w:lineRule="auto"/>
              <w:ind w:firstLine="0" w:firstLineChars="0"/>
              <w:jc w:val="center"/>
              <w:rPr>
                <w:color w:val="auto"/>
                <w:sz w:val="21"/>
                <w:szCs w:val="21"/>
              </w:rPr>
            </w:pPr>
            <w:r>
              <w:rPr>
                <w:color w:val="auto"/>
                <w:kern w:val="0"/>
                <w:sz w:val="21"/>
                <w:szCs w:val="21"/>
                <w:lang w:bidi="ar"/>
              </w:rPr>
              <w:t>Q≥20000</w:t>
            </w:r>
            <w:r>
              <w:rPr>
                <w:rFonts w:hint="eastAsia" w:cs="宋体"/>
                <w:color w:val="auto"/>
                <w:kern w:val="0"/>
                <w:sz w:val="21"/>
                <w:szCs w:val="21"/>
                <w:lang w:bidi="ar"/>
              </w:rPr>
              <w:t>或</w:t>
            </w:r>
            <w:r>
              <w:rPr>
                <w:color w:val="auto"/>
                <w:kern w:val="0"/>
                <w:sz w:val="21"/>
                <w:szCs w:val="21"/>
                <w:lang w:bidi="ar"/>
              </w:rPr>
              <w:t>W≥600000</w:t>
            </w:r>
          </w:p>
        </w:tc>
      </w:tr>
      <w:tr w14:paraId="5D442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pct"/>
            <w:tcBorders>
              <w:top w:val="single" w:color="auto" w:sz="4" w:space="0"/>
              <w:left w:val="nil"/>
              <w:bottom w:val="single" w:color="auto" w:sz="4" w:space="0"/>
              <w:right w:val="single" w:color="auto" w:sz="4" w:space="0"/>
            </w:tcBorders>
            <w:vAlign w:val="center"/>
          </w:tcPr>
          <w:p w14:paraId="15A8CFF1">
            <w:pPr>
              <w:spacing w:line="240" w:lineRule="auto"/>
              <w:ind w:firstLine="0" w:firstLineChars="0"/>
              <w:jc w:val="center"/>
              <w:rPr>
                <w:color w:val="auto"/>
                <w:sz w:val="21"/>
                <w:szCs w:val="21"/>
              </w:rPr>
            </w:pPr>
            <w:r>
              <w:rPr>
                <w:rFonts w:hint="eastAsia" w:cs="宋体"/>
                <w:color w:val="auto"/>
                <w:kern w:val="0"/>
                <w:sz w:val="21"/>
                <w:szCs w:val="21"/>
                <w:lang w:bidi="ar"/>
              </w:rPr>
              <w:t>二级</w:t>
            </w:r>
          </w:p>
        </w:tc>
        <w:tc>
          <w:tcPr>
            <w:tcW w:w="1144" w:type="pct"/>
            <w:tcBorders>
              <w:top w:val="single" w:color="auto" w:sz="4" w:space="0"/>
              <w:left w:val="single" w:color="auto" w:sz="4" w:space="0"/>
              <w:bottom w:val="single" w:color="auto" w:sz="4" w:space="0"/>
              <w:right w:val="single" w:color="auto" w:sz="4" w:space="0"/>
            </w:tcBorders>
            <w:vAlign w:val="center"/>
          </w:tcPr>
          <w:p w14:paraId="083E012F">
            <w:pPr>
              <w:spacing w:line="240" w:lineRule="auto"/>
              <w:ind w:firstLine="0" w:firstLineChars="0"/>
              <w:jc w:val="center"/>
              <w:rPr>
                <w:color w:val="auto"/>
                <w:sz w:val="21"/>
                <w:szCs w:val="21"/>
              </w:rPr>
            </w:pPr>
            <w:r>
              <w:rPr>
                <w:rFonts w:hint="eastAsia" w:cs="宋体"/>
                <w:color w:val="auto"/>
                <w:kern w:val="0"/>
                <w:sz w:val="21"/>
                <w:szCs w:val="21"/>
                <w:lang w:bidi="ar"/>
              </w:rPr>
              <w:t>直接排放</w:t>
            </w:r>
          </w:p>
        </w:tc>
        <w:tc>
          <w:tcPr>
            <w:tcW w:w="3020" w:type="pct"/>
            <w:tcBorders>
              <w:top w:val="single" w:color="auto" w:sz="4" w:space="0"/>
              <w:left w:val="single" w:color="auto" w:sz="4" w:space="0"/>
              <w:bottom w:val="single" w:color="auto" w:sz="4" w:space="0"/>
              <w:right w:val="nil"/>
            </w:tcBorders>
            <w:vAlign w:val="center"/>
          </w:tcPr>
          <w:p w14:paraId="4DC01721">
            <w:pPr>
              <w:spacing w:line="240" w:lineRule="auto"/>
              <w:ind w:firstLine="0" w:firstLineChars="0"/>
              <w:jc w:val="center"/>
              <w:rPr>
                <w:color w:val="auto"/>
                <w:sz w:val="21"/>
                <w:szCs w:val="21"/>
              </w:rPr>
            </w:pPr>
            <w:r>
              <w:rPr>
                <w:rFonts w:hint="eastAsia" w:cs="宋体"/>
                <w:color w:val="auto"/>
                <w:kern w:val="0"/>
                <w:sz w:val="21"/>
                <w:szCs w:val="21"/>
                <w:lang w:bidi="ar"/>
              </w:rPr>
              <w:t>其他</w:t>
            </w:r>
          </w:p>
        </w:tc>
      </w:tr>
      <w:tr w14:paraId="43B59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pct"/>
            <w:tcBorders>
              <w:top w:val="single" w:color="auto" w:sz="4" w:space="0"/>
              <w:left w:val="nil"/>
              <w:bottom w:val="single" w:color="auto" w:sz="4" w:space="0"/>
              <w:right w:val="single" w:color="auto" w:sz="4" w:space="0"/>
            </w:tcBorders>
            <w:vAlign w:val="center"/>
          </w:tcPr>
          <w:p w14:paraId="1AF9E009">
            <w:pPr>
              <w:spacing w:line="240" w:lineRule="auto"/>
              <w:ind w:firstLine="0" w:firstLineChars="0"/>
              <w:jc w:val="center"/>
              <w:rPr>
                <w:color w:val="auto"/>
                <w:sz w:val="21"/>
                <w:szCs w:val="21"/>
              </w:rPr>
            </w:pPr>
            <w:r>
              <w:rPr>
                <w:rFonts w:hint="eastAsia" w:cs="宋体"/>
                <w:color w:val="auto"/>
                <w:kern w:val="0"/>
                <w:sz w:val="21"/>
                <w:szCs w:val="21"/>
                <w:lang w:bidi="ar"/>
              </w:rPr>
              <w:t>三级</w:t>
            </w:r>
            <w:r>
              <w:rPr>
                <w:color w:val="auto"/>
                <w:kern w:val="0"/>
                <w:sz w:val="21"/>
                <w:szCs w:val="21"/>
                <w:lang w:bidi="ar"/>
              </w:rPr>
              <w:t>A</w:t>
            </w:r>
          </w:p>
        </w:tc>
        <w:tc>
          <w:tcPr>
            <w:tcW w:w="1144" w:type="pct"/>
            <w:tcBorders>
              <w:top w:val="single" w:color="auto" w:sz="4" w:space="0"/>
              <w:left w:val="single" w:color="auto" w:sz="4" w:space="0"/>
              <w:bottom w:val="single" w:color="auto" w:sz="4" w:space="0"/>
              <w:right w:val="single" w:color="auto" w:sz="4" w:space="0"/>
            </w:tcBorders>
            <w:vAlign w:val="center"/>
          </w:tcPr>
          <w:p w14:paraId="7F147163">
            <w:pPr>
              <w:spacing w:line="240" w:lineRule="auto"/>
              <w:ind w:firstLine="0" w:firstLineChars="0"/>
              <w:jc w:val="center"/>
              <w:rPr>
                <w:color w:val="auto"/>
                <w:sz w:val="21"/>
                <w:szCs w:val="21"/>
              </w:rPr>
            </w:pPr>
            <w:r>
              <w:rPr>
                <w:rFonts w:hint="eastAsia" w:cs="宋体"/>
                <w:color w:val="auto"/>
                <w:kern w:val="0"/>
                <w:sz w:val="21"/>
                <w:szCs w:val="21"/>
                <w:lang w:bidi="ar"/>
              </w:rPr>
              <w:t>直接排放</w:t>
            </w:r>
          </w:p>
        </w:tc>
        <w:tc>
          <w:tcPr>
            <w:tcW w:w="3020" w:type="pct"/>
            <w:tcBorders>
              <w:top w:val="single" w:color="auto" w:sz="4" w:space="0"/>
              <w:left w:val="single" w:color="auto" w:sz="4" w:space="0"/>
              <w:bottom w:val="single" w:color="auto" w:sz="4" w:space="0"/>
              <w:right w:val="nil"/>
            </w:tcBorders>
            <w:vAlign w:val="center"/>
          </w:tcPr>
          <w:p w14:paraId="4E4EE50A">
            <w:pPr>
              <w:spacing w:line="240" w:lineRule="auto"/>
              <w:ind w:firstLine="0" w:firstLineChars="0"/>
              <w:jc w:val="center"/>
              <w:rPr>
                <w:color w:val="auto"/>
                <w:sz w:val="21"/>
                <w:szCs w:val="21"/>
              </w:rPr>
            </w:pPr>
            <w:r>
              <w:rPr>
                <w:color w:val="auto"/>
                <w:kern w:val="0"/>
                <w:sz w:val="21"/>
                <w:szCs w:val="21"/>
                <w:lang w:bidi="ar"/>
              </w:rPr>
              <w:t>Q</w:t>
            </w:r>
            <w:r>
              <w:rPr>
                <w:rFonts w:hint="eastAsia" w:cs="宋体"/>
                <w:color w:val="auto"/>
                <w:kern w:val="0"/>
                <w:sz w:val="21"/>
                <w:szCs w:val="21"/>
                <w:lang w:bidi="ar"/>
              </w:rPr>
              <w:t>＜</w:t>
            </w:r>
            <w:r>
              <w:rPr>
                <w:color w:val="auto"/>
                <w:kern w:val="0"/>
                <w:sz w:val="21"/>
                <w:szCs w:val="21"/>
                <w:lang w:bidi="ar"/>
              </w:rPr>
              <w:t>200</w:t>
            </w:r>
            <w:r>
              <w:rPr>
                <w:rFonts w:hint="eastAsia" w:cs="宋体"/>
                <w:color w:val="auto"/>
                <w:kern w:val="0"/>
                <w:sz w:val="21"/>
                <w:szCs w:val="21"/>
                <w:lang w:bidi="ar"/>
              </w:rPr>
              <w:t>且</w:t>
            </w:r>
            <w:r>
              <w:rPr>
                <w:color w:val="auto"/>
                <w:kern w:val="0"/>
                <w:sz w:val="21"/>
                <w:szCs w:val="21"/>
                <w:lang w:bidi="ar"/>
              </w:rPr>
              <w:t>W</w:t>
            </w:r>
            <w:r>
              <w:rPr>
                <w:rFonts w:hint="eastAsia" w:cs="宋体"/>
                <w:color w:val="auto"/>
                <w:kern w:val="0"/>
                <w:sz w:val="21"/>
                <w:szCs w:val="21"/>
                <w:lang w:bidi="ar"/>
              </w:rPr>
              <w:t>＜</w:t>
            </w:r>
            <w:r>
              <w:rPr>
                <w:color w:val="auto"/>
                <w:kern w:val="0"/>
                <w:sz w:val="21"/>
                <w:szCs w:val="21"/>
                <w:lang w:bidi="ar"/>
              </w:rPr>
              <w:t>6000</w:t>
            </w:r>
          </w:p>
        </w:tc>
      </w:tr>
      <w:tr w14:paraId="2F6E6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pct"/>
            <w:tcBorders>
              <w:top w:val="single" w:color="auto" w:sz="4" w:space="0"/>
              <w:left w:val="nil"/>
              <w:bottom w:val="single" w:color="auto" w:sz="12" w:space="0"/>
              <w:right w:val="single" w:color="auto" w:sz="4" w:space="0"/>
            </w:tcBorders>
            <w:shd w:val="clear" w:color="auto" w:fill="D9D9D9"/>
            <w:vAlign w:val="center"/>
          </w:tcPr>
          <w:p w14:paraId="2870FFE7">
            <w:pPr>
              <w:spacing w:line="240" w:lineRule="auto"/>
              <w:ind w:firstLine="0" w:firstLineChars="0"/>
              <w:jc w:val="center"/>
              <w:rPr>
                <w:color w:val="auto"/>
                <w:sz w:val="21"/>
                <w:szCs w:val="21"/>
              </w:rPr>
            </w:pPr>
            <w:r>
              <w:rPr>
                <w:rFonts w:hint="eastAsia" w:cs="宋体"/>
                <w:color w:val="auto"/>
                <w:kern w:val="0"/>
                <w:sz w:val="21"/>
                <w:szCs w:val="21"/>
                <w:lang w:bidi="ar"/>
              </w:rPr>
              <w:t>三级</w:t>
            </w:r>
            <w:r>
              <w:rPr>
                <w:color w:val="auto"/>
                <w:kern w:val="0"/>
                <w:sz w:val="21"/>
                <w:szCs w:val="21"/>
                <w:lang w:bidi="ar"/>
              </w:rPr>
              <w:t>B</w:t>
            </w:r>
          </w:p>
        </w:tc>
        <w:tc>
          <w:tcPr>
            <w:tcW w:w="1144" w:type="pct"/>
            <w:tcBorders>
              <w:top w:val="single" w:color="auto" w:sz="4" w:space="0"/>
              <w:left w:val="single" w:color="auto" w:sz="4" w:space="0"/>
              <w:bottom w:val="single" w:color="auto" w:sz="12" w:space="0"/>
              <w:right w:val="single" w:color="auto" w:sz="4" w:space="0"/>
            </w:tcBorders>
            <w:shd w:val="clear" w:color="auto" w:fill="D9D9D9"/>
            <w:vAlign w:val="center"/>
          </w:tcPr>
          <w:p w14:paraId="12161883">
            <w:pPr>
              <w:spacing w:line="240" w:lineRule="auto"/>
              <w:ind w:firstLine="0" w:firstLineChars="0"/>
              <w:jc w:val="center"/>
              <w:rPr>
                <w:color w:val="auto"/>
                <w:sz w:val="21"/>
                <w:szCs w:val="21"/>
              </w:rPr>
            </w:pPr>
            <w:r>
              <w:rPr>
                <w:rFonts w:hint="eastAsia" w:cs="宋体"/>
                <w:color w:val="auto"/>
                <w:kern w:val="0"/>
                <w:sz w:val="21"/>
                <w:szCs w:val="21"/>
                <w:lang w:bidi="ar"/>
              </w:rPr>
              <w:t>间接排放</w:t>
            </w:r>
          </w:p>
        </w:tc>
        <w:tc>
          <w:tcPr>
            <w:tcW w:w="3020" w:type="pct"/>
            <w:tcBorders>
              <w:top w:val="single" w:color="auto" w:sz="4" w:space="0"/>
              <w:left w:val="single" w:color="auto" w:sz="4" w:space="0"/>
              <w:bottom w:val="single" w:color="auto" w:sz="12" w:space="0"/>
              <w:right w:val="nil"/>
            </w:tcBorders>
            <w:shd w:val="clear" w:color="auto" w:fill="D9D9D9"/>
            <w:vAlign w:val="center"/>
          </w:tcPr>
          <w:p w14:paraId="74B71A06">
            <w:pPr>
              <w:spacing w:line="240" w:lineRule="auto"/>
              <w:ind w:firstLine="0" w:firstLineChars="0"/>
              <w:jc w:val="center"/>
              <w:rPr>
                <w:color w:val="auto"/>
                <w:sz w:val="21"/>
                <w:szCs w:val="21"/>
              </w:rPr>
            </w:pPr>
            <w:r>
              <w:rPr>
                <w:color w:val="auto"/>
                <w:kern w:val="0"/>
                <w:sz w:val="21"/>
                <w:szCs w:val="21"/>
                <w:lang w:bidi="ar"/>
              </w:rPr>
              <w:t>--</w:t>
            </w:r>
          </w:p>
        </w:tc>
      </w:tr>
    </w:tbl>
    <w:p w14:paraId="3877EB62">
      <w:pPr>
        <w:keepNext/>
        <w:keepLines/>
        <w:ind w:firstLine="0" w:firstLineChars="0"/>
        <w:outlineLvl w:val="3"/>
        <w:rPr>
          <w:b/>
          <w:color w:val="auto"/>
        </w:rPr>
      </w:pPr>
      <w:r>
        <w:rPr>
          <w:rFonts w:hint="eastAsia"/>
          <w:b/>
          <w:color w:val="auto"/>
        </w:rPr>
        <w:t>2.3.1.3声环境影响评价等级</w:t>
      </w:r>
    </w:p>
    <w:p w14:paraId="6B8DD7E1">
      <w:pPr>
        <w:ind w:firstLine="480"/>
        <w:rPr>
          <w:color w:val="auto"/>
        </w:rPr>
      </w:pPr>
      <w:r>
        <w:rPr>
          <w:color w:val="auto"/>
        </w:rPr>
        <w:t>本项目选址于启东生命健康产业园亚太药业现有厂区内，属于工业区。根据《启东生命健康产业园开发建设规划环境影响报告书》环境功能区划分，项目所在地为工业区，执行《声环境质量标准》(GB3096-2008)中的3类标准，且声环境影响评价范围内无居民等声环境敏感目标，项目建设前后受影响人口数量变化不大。根据《环境影响评价技术导则 声环境》(HJ2.4-2021)规定，判定本项目声环境影响评价工作等级为三级。</w:t>
      </w:r>
    </w:p>
    <w:p w14:paraId="3B9FC54E">
      <w:pPr>
        <w:keepNext/>
        <w:keepLines/>
        <w:ind w:firstLine="0" w:firstLineChars="0"/>
        <w:outlineLvl w:val="3"/>
        <w:rPr>
          <w:b/>
          <w:color w:val="auto"/>
        </w:rPr>
      </w:pPr>
      <w:r>
        <w:rPr>
          <w:rFonts w:hint="eastAsia"/>
          <w:b/>
          <w:color w:val="auto"/>
        </w:rPr>
        <w:t>2.3.1.4地下水环境影响评价等级</w:t>
      </w:r>
    </w:p>
    <w:p w14:paraId="7B6110D5">
      <w:pPr>
        <w:ind w:firstLine="480"/>
        <w:rPr>
          <w:color w:val="auto"/>
        </w:rPr>
      </w:pPr>
      <w:r>
        <w:rPr>
          <w:color w:val="auto"/>
        </w:rPr>
        <w:t>根据《环境影响评价技术导则 地下水环境》(HJ610-2016)附录A，本项目行业类别属于“</w:t>
      </w:r>
      <w:r>
        <w:rPr>
          <w:rFonts w:hint="eastAsia"/>
          <w:color w:val="auto"/>
        </w:rPr>
        <w:t>L石化、化工85</w:t>
      </w:r>
      <w:r>
        <w:rPr>
          <w:color w:val="auto"/>
        </w:rPr>
        <w:t>、</w:t>
      </w:r>
      <w:r>
        <w:rPr>
          <w:rFonts w:hint="eastAsia"/>
          <w:color w:val="auto"/>
        </w:rPr>
        <w:t>基本化学原料</w:t>
      </w:r>
      <w:r>
        <w:rPr>
          <w:color w:val="auto"/>
        </w:rPr>
        <w:t>制造”，根据该分类确定本项目为I类项目。项目选址于亚太药业现有厂区内，项目周边无集中式饮用水源、特殊地下资源等，因此，拟建项目位于不敏感区，确定地下水环境影响评价等级为二级。本项目地下水环境影响评价等级具体判定依据</w:t>
      </w:r>
      <w:r>
        <w:rPr>
          <w:rFonts w:hint="eastAsia"/>
          <w:color w:val="auto"/>
        </w:rPr>
        <w:t>如下</w:t>
      </w:r>
      <w:r>
        <w:rPr>
          <w:color w:val="auto"/>
        </w:rPr>
        <w:t>。</w:t>
      </w:r>
    </w:p>
    <w:p w14:paraId="55CFB0DE">
      <w:pPr>
        <w:pStyle w:val="49"/>
        <w:rPr>
          <w:color w:val="auto"/>
        </w:rPr>
      </w:pPr>
      <w:r>
        <w:rPr>
          <w:rFonts w:hint="eastAsia"/>
          <w:color w:val="auto"/>
        </w:rPr>
        <w:t>表2.3-5 地下水环境敏感程度分级</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8569"/>
      </w:tblGrid>
      <w:tr w14:paraId="0DF68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2" w:type="pct"/>
            <w:vAlign w:val="center"/>
          </w:tcPr>
          <w:p w14:paraId="1BC1074C">
            <w:pPr>
              <w:widowControl/>
              <w:spacing w:line="240" w:lineRule="auto"/>
              <w:ind w:firstLine="0" w:firstLineChars="0"/>
              <w:jc w:val="center"/>
              <w:rPr>
                <w:b/>
                <w:bCs/>
                <w:color w:val="auto"/>
                <w:kern w:val="0"/>
                <w:sz w:val="21"/>
                <w:szCs w:val="21"/>
              </w:rPr>
            </w:pPr>
            <w:r>
              <w:rPr>
                <w:b/>
                <w:bCs/>
                <w:color w:val="auto"/>
                <w:kern w:val="0"/>
                <w:sz w:val="21"/>
                <w:szCs w:val="21"/>
              </w:rPr>
              <w:t>敏感程度</w:t>
            </w:r>
          </w:p>
        </w:tc>
        <w:tc>
          <w:tcPr>
            <w:tcW w:w="4348" w:type="pct"/>
            <w:vAlign w:val="center"/>
          </w:tcPr>
          <w:p w14:paraId="5741AF7F">
            <w:pPr>
              <w:widowControl/>
              <w:spacing w:line="240" w:lineRule="auto"/>
              <w:ind w:firstLine="0" w:firstLineChars="0"/>
              <w:jc w:val="center"/>
              <w:rPr>
                <w:b/>
                <w:bCs/>
                <w:color w:val="auto"/>
                <w:kern w:val="0"/>
                <w:sz w:val="21"/>
                <w:szCs w:val="21"/>
              </w:rPr>
            </w:pPr>
            <w:r>
              <w:rPr>
                <w:b/>
                <w:bCs/>
                <w:color w:val="auto"/>
                <w:kern w:val="0"/>
                <w:sz w:val="21"/>
                <w:szCs w:val="21"/>
              </w:rPr>
              <w:t>地下水环境敏感特征</w:t>
            </w:r>
          </w:p>
        </w:tc>
      </w:tr>
      <w:tr w14:paraId="45571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44AD1893">
            <w:pPr>
              <w:widowControl/>
              <w:spacing w:line="240" w:lineRule="auto"/>
              <w:ind w:firstLine="0" w:firstLineChars="0"/>
              <w:jc w:val="center"/>
              <w:rPr>
                <w:color w:val="auto"/>
                <w:kern w:val="0"/>
                <w:sz w:val="21"/>
                <w:szCs w:val="21"/>
              </w:rPr>
            </w:pPr>
            <w:r>
              <w:rPr>
                <w:color w:val="auto"/>
                <w:kern w:val="0"/>
                <w:sz w:val="21"/>
                <w:szCs w:val="21"/>
              </w:rPr>
              <w:t>敏感</w:t>
            </w:r>
          </w:p>
        </w:tc>
        <w:tc>
          <w:tcPr>
            <w:tcW w:w="4348" w:type="pct"/>
            <w:vAlign w:val="center"/>
          </w:tcPr>
          <w:p w14:paraId="3F94AA53">
            <w:pPr>
              <w:widowControl/>
              <w:spacing w:line="240" w:lineRule="auto"/>
              <w:ind w:firstLine="0" w:firstLineChars="0"/>
              <w:jc w:val="center"/>
              <w:rPr>
                <w:color w:val="auto"/>
                <w:kern w:val="0"/>
                <w:sz w:val="21"/>
                <w:szCs w:val="21"/>
              </w:rPr>
            </w:pPr>
            <w:r>
              <w:rPr>
                <w:color w:val="auto"/>
                <w:kern w:val="0"/>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504D2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389BF3A0">
            <w:pPr>
              <w:widowControl/>
              <w:spacing w:line="240" w:lineRule="auto"/>
              <w:ind w:firstLine="0" w:firstLineChars="0"/>
              <w:jc w:val="center"/>
              <w:rPr>
                <w:color w:val="auto"/>
                <w:kern w:val="0"/>
                <w:sz w:val="21"/>
                <w:szCs w:val="21"/>
              </w:rPr>
            </w:pPr>
            <w:r>
              <w:rPr>
                <w:color w:val="auto"/>
                <w:kern w:val="0"/>
                <w:sz w:val="21"/>
                <w:szCs w:val="21"/>
              </w:rPr>
              <w:t>较敏感</w:t>
            </w:r>
          </w:p>
        </w:tc>
        <w:tc>
          <w:tcPr>
            <w:tcW w:w="4348" w:type="pct"/>
            <w:vAlign w:val="center"/>
          </w:tcPr>
          <w:p w14:paraId="51DE180B">
            <w:pPr>
              <w:widowControl/>
              <w:spacing w:line="240" w:lineRule="auto"/>
              <w:ind w:firstLine="0" w:firstLineChars="0"/>
              <w:jc w:val="center"/>
              <w:rPr>
                <w:color w:val="auto"/>
                <w:kern w:val="0"/>
                <w:sz w:val="21"/>
                <w:szCs w:val="21"/>
              </w:rPr>
            </w:pPr>
            <w:r>
              <w:rPr>
                <w:color w:val="auto"/>
                <w:kern w:val="0"/>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14:paraId="5360E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shd w:val="clear" w:color="auto" w:fill="CFCDCD"/>
            <w:vAlign w:val="center"/>
          </w:tcPr>
          <w:p w14:paraId="3BAEF212">
            <w:pPr>
              <w:widowControl/>
              <w:spacing w:line="240" w:lineRule="auto"/>
              <w:ind w:firstLine="0" w:firstLineChars="0"/>
              <w:jc w:val="center"/>
              <w:rPr>
                <w:color w:val="auto"/>
                <w:kern w:val="0"/>
                <w:sz w:val="21"/>
                <w:szCs w:val="21"/>
              </w:rPr>
            </w:pPr>
            <w:r>
              <w:rPr>
                <w:color w:val="auto"/>
                <w:kern w:val="0"/>
                <w:sz w:val="21"/>
                <w:szCs w:val="21"/>
              </w:rPr>
              <w:t>不敏感</w:t>
            </w:r>
          </w:p>
        </w:tc>
        <w:tc>
          <w:tcPr>
            <w:tcW w:w="4348" w:type="pct"/>
            <w:shd w:val="clear" w:color="auto" w:fill="CFCDCD"/>
            <w:vAlign w:val="center"/>
          </w:tcPr>
          <w:p w14:paraId="41898284">
            <w:pPr>
              <w:widowControl/>
              <w:spacing w:line="240" w:lineRule="auto"/>
              <w:ind w:firstLine="0" w:firstLineChars="0"/>
              <w:jc w:val="center"/>
              <w:rPr>
                <w:color w:val="auto"/>
                <w:kern w:val="0"/>
                <w:sz w:val="21"/>
                <w:szCs w:val="21"/>
              </w:rPr>
            </w:pPr>
            <w:r>
              <w:rPr>
                <w:color w:val="auto"/>
                <w:kern w:val="0"/>
                <w:sz w:val="21"/>
                <w:szCs w:val="21"/>
              </w:rPr>
              <w:t>上述地区以外的其他地区。</w:t>
            </w:r>
          </w:p>
        </w:tc>
      </w:tr>
      <w:tr w14:paraId="36961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47161E52">
            <w:pPr>
              <w:widowControl/>
              <w:spacing w:line="240" w:lineRule="auto"/>
              <w:ind w:firstLine="0" w:firstLineChars="0"/>
              <w:rPr>
                <w:color w:val="auto"/>
                <w:kern w:val="0"/>
                <w:sz w:val="21"/>
                <w:szCs w:val="21"/>
              </w:rPr>
            </w:pPr>
            <w:r>
              <w:rPr>
                <w:color w:val="auto"/>
                <w:kern w:val="0"/>
                <w:sz w:val="21"/>
                <w:szCs w:val="21"/>
              </w:rPr>
              <w:t>注：a“环境敏感区”是指《建设项目环境影响评价分类管理名录》中所界定的涉及地下水的环境敏感区。</w:t>
            </w:r>
          </w:p>
        </w:tc>
      </w:tr>
    </w:tbl>
    <w:p w14:paraId="369744AB">
      <w:pPr>
        <w:ind w:firstLine="0" w:firstLineChars="0"/>
        <w:jc w:val="center"/>
        <w:rPr>
          <w:b/>
          <w:bCs/>
          <w:color w:val="auto"/>
        </w:rPr>
      </w:pPr>
      <w:r>
        <w:rPr>
          <w:rFonts w:hint="eastAsia"/>
          <w:b/>
          <w:bCs/>
          <w:color w:val="auto"/>
        </w:rPr>
        <w:t>表2.3-6 地下水评价等级判定表</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2658"/>
        <w:gridCol w:w="2471"/>
        <w:gridCol w:w="2307"/>
        <w:gridCol w:w="2202"/>
      </w:tblGrid>
      <w:tr w14:paraId="05061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379" w:type="pct"/>
            <w:tcBorders>
              <w:top w:val="single" w:color="auto" w:sz="12" w:space="0"/>
              <w:left w:val="nil"/>
              <w:bottom w:val="single" w:color="auto" w:sz="4" w:space="0"/>
              <w:right w:val="single" w:color="auto" w:sz="4" w:space="0"/>
              <w:tl2br w:val="single" w:color="auto" w:sz="4" w:space="0"/>
            </w:tcBorders>
            <w:vAlign w:val="center"/>
          </w:tcPr>
          <w:p w14:paraId="64321FA6">
            <w:pPr>
              <w:widowControl/>
              <w:spacing w:line="240" w:lineRule="auto"/>
              <w:ind w:firstLine="0" w:firstLineChars="0"/>
              <w:jc w:val="center"/>
              <w:rPr>
                <w:b/>
                <w:bCs/>
                <w:color w:val="auto"/>
                <w:kern w:val="0"/>
                <w:sz w:val="21"/>
                <w:szCs w:val="21"/>
              </w:rPr>
            </w:pPr>
            <w:r>
              <w:rPr>
                <w:b/>
                <w:bCs/>
                <w:color w:val="auto"/>
                <w:kern w:val="0"/>
                <w:sz w:val="21"/>
                <w:szCs w:val="21"/>
              </w:rPr>
              <w:t xml:space="preserve">            项目类别</w:t>
            </w:r>
          </w:p>
          <w:p w14:paraId="71F500BD">
            <w:pPr>
              <w:widowControl/>
              <w:spacing w:line="240" w:lineRule="auto"/>
              <w:ind w:firstLine="0" w:firstLineChars="0"/>
              <w:rPr>
                <w:b/>
                <w:bCs/>
                <w:color w:val="auto"/>
                <w:kern w:val="0"/>
                <w:sz w:val="21"/>
                <w:szCs w:val="21"/>
              </w:rPr>
            </w:pPr>
            <w:r>
              <w:rPr>
                <w:b/>
                <w:bCs/>
                <w:color w:val="auto"/>
                <w:kern w:val="0"/>
                <w:sz w:val="21"/>
                <w:szCs w:val="21"/>
              </w:rPr>
              <w:t>环境敏感程度</w:t>
            </w:r>
          </w:p>
        </w:tc>
        <w:tc>
          <w:tcPr>
            <w:tcW w:w="1282" w:type="pct"/>
            <w:tcBorders>
              <w:top w:val="single" w:color="auto" w:sz="12" w:space="0"/>
              <w:left w:val="single" w:color="auto" w:sz="4" w:space="0"/>
              <w:bottom w:val="single" w:color="auto" w:sz="4" w:space="0"/>
              <w:right w:val="single" w:color="auto" w:sz="4" w:space="0"/>
            </w:tcBorders>
            <w:vAlign w:val="center"/>
          </w:tcPr>
          <w:p w14:paraId="5F2A3FE7">
            <w:pPr>
              <w:widowControl/>
              <w:spacing w:line="240" w:lineRule="auto"/>
              <w:ind w:firstLine="0" w:firstLineChars="0"/>
              <w:jc w:val="center"/>
              <w:rPr>
                <w:b/>
                <w:bCs/>
                <w:color w:val="auto"/>
                <w:kern w:val="0"/>
                <w:sz w:val="21"/>
                <w:szCs w:val="21"/>
              </w:rPr>
            </w:pPr>
            <w:r>
              <w:rPr>
                <w:b/>
                <w:bCs/>
                <w:color w:val="auto"/>
                <w:kern w:val="0"/>
                <w:sz w:val="21"/>
                <w:szCs w:val="21"/>
              </w:rPr>
              <w:t>Ⅰ类项目</w:t>
            </w:r>
          </w:p>
        </w:tc>
        <w:tc>
          <w:tcPr>
            <w:tcW w:w="1197" w:type="pct"/>
            <w:tcBorders>
              <w:top w:val="single" w:color="auto" w:sz="12" w:space="0"/>
              <w:left w:val="single" w:color="auto" w:sz="4" w:space="0"/>
              <w:bottom w:val="single" w:color="auto" w:sz="4" w:space="0"/>
              <w:right w:val="single" w:color="auto" w:sz="4" w:space="0"/>
            </w:tcBorders>
            <w:vAlign w:val="center"/>
          </w:tcPr>
          <w:p w14:paraId="72E27AD3">
            <w:pPr>
              <w:widowControl/>
              <w:spacing w:line="240" w:lineRule="auto"/>
              <w:ind w:firstLine="0" w:firstLineChars="0"/>
              <w:jc w:val="center"/>
              <w:rPr>
                <w:b/>
                <w:bCs/>
                <w:color w:val="auto"/>
                <w:kern w:val="0"/>
                <w:sz w:val="21"/>
                <w:szCs w:val="21"/>
              </w:rPr>
            </w:pPr>
            <w:r>
              <w:rPr>
                <w:b/>
                <w:bCs/>
                <w:color w:val="auto"/>
                <w:kern w:val="0"/>
                <w:sz w:val="21"/>
                <w:szCs w:val="21"/>
              </w:rPr>
              <w:t>Ⅱ类项目</w:t>
            </w:r>
          </w:p>
        </w:tc>
        <w:tc>
          <w:tcPr>
            <w:tcW w:w="1142" w:type="pct"/>
            <w:tcBorders>
              <w:top w:val="single" w:color="auto" w:sz="12" w:space="0"/>
              <w:left w:val="single" w:color="auto" w:sz="4" w:space="0"/>
              <w:bottom w:val="single" w:color="auto" w:sz="4" w:space="0"/>
              <w:right w:val="nil"/>
            </w:tcBorders>
            <w:vAlign w:val="center"/>
          </w:tcPr>
          <w:p w14:paraId="758EDECB">
            <w:pPr>
              <w:widowControl/>
              <w:spacing w:line="240" w:lineRule="auto"/>
              <w:ind w:firstLine="0" w:firstLineChars="0"/>
              <w:jc w:val="center"/>
              <w:rPr>
                <w:b/>
                <w:bCs/>
                <w:color w:val="auto"/>
                <w:kern w:val="0"/>
                <w:sz w:val="21"/>
                <w:szCs w:val="21"/>
              </w:rPr>
            </w:pPr>
            <w:r>
              <w:rPr>
                <w:b/>
                <w:bCs/>
                <w:color w:val="auto"/>
                <w:kern w:val="0"/>
                <w:sz w:val="21"/>
                <w:szCs w:val="21"/>
              </w:rPr>
              <w:t>Ⅲ类项目</w:t>
            </w:r>
          </w:p>
        </w:tc>
      </w:tr>
      <w:tr w14:paraId="2925F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379" w:type="pct"/>
            <w:tcBorders>
              <w:top w:val="single" w:color="auto" w:sz="4" w:space="0"/>
              <w:left w:val="nil"/>
              <w:bottom w:val="single" w:color="auto" w:sz="4" w:space="0"/>
              <w:right w:val="single" w:color="auto" w:sz="4" w:space="0"/>
            </w:tcBorders>
            <w:vAlign w:val="center"/>
          </w:tcPr>
          <w:p w14:paraId="550267FD">
            <w:pPr>
              <w:widowControl/>
              <w:spacing w:line="240" w:lineRule="auto"/>
              <w:ind w:firstLine="0" w:firstLineChars="0"/>
              <w:jc w:val="center"/>
              <w:rPr>
                <w:color w:val="auto"/>
                <w:kern w:val="0"/>
                <w:sz w:val="21"/>
                <w:szCs w:val="21"/>
              </w:rPr>
            </w:pPr>
            <w:r>
              <w:rPr>
                <w:color w:val="auto"/>
                <w:kern w:val="0"/>
                <w:sz w:val="21"/>
                <w:szCs w:val="21"/>
              </w:rPr>
              <w:t>敏感</w:t>
            </w:r>
          </w:p>
        </w:tc>
        <w:tc>
          <w:tcPr>
            <w:tcW w:w="1282" w:type="pct"/>
            <w:tcBorders>
              <w:top w:val="single" w:color="auto" w:sz="4" w:space="0"/>
              <w:left w:val="single" w:color="auto" w:sz="4" w:space="0"/>
              <w:bottom w:val="single" w:color="auto" w:sz="4" w:space="0"/>
              <w:right w:val="single" w:color="auto" w:sz="4" w:space="0"/>
            </w:tcBorders>
            <w:vAlign w:val="center"/>
          </w:tcPr>
          <w:p w14:paraId="585C3AA9">
            <w:pPr>
              <w:widowControl/>
              <w:spacing w:line="240" w:lineRule="auto"/>
              <w:ind w:firstLine="0" w:firstLineChars="0"/>
              <w:jc w:val="center"/>
              <w:rPr>
                <w:color w:val="auto"/>
                <w:kern w:val="0"/>
                <w:sz w:val="21"/>
                <w:szCs w:val="21"/>
              </w:rPr>
            </w:pPr>
            <w:r>
              <w:rPr>
                <w:color w:val="auto"/>
                <w:kern w:val="0"/>
                <w:sz w:val="21"/>
                <w:szCs w:val="21"/>
              </w:rPr>
              <w:t>一</w:t>
            </w:r>
          </w:p>
        </w:tc>
        <w:tc>
          <w:tcPr>
            <w:tcW w:w="1197" w:type="pct"/>
            <w:tcBorders>
              <w:top w:val="single" w:color="auto" w:sz="4" w:space="0"/>
              <w:left w:val="single" w:color="auto" w:sz="4" w:space="0"/>
              <w:bottom w:val="single" w:color="auto" w:sz="4" w:space="0"/>
              <w:right w:val="single" w:color="auto" w:sz="4" w:space="0"/>
            </w:tcBorders>
            <w:vAlign w:val="center"/>
          </w:tcPr>
          <w:p w14:paraId="654358DB">
            <w:pPr>
              <w:widowControl/>
              <w:spacing w:line="240" w:lineRule="auto"/>
              <w:ind w:firstLine="0" w:firstLineChars="0"/>
              <w:jc w:val="center"/>
              <w:rPr>
                <w:color w:val="auto"/>
                <w:kern w:val="0"/>
                <w:sz w:val="21"/>
                <w:szCs w:val="21"/>
              </w:rPr>
            </w:pPr>
            <w:r>
              <w:rPr>
                <w:color w:val="auto"/>
                <w:kern w:val="0"/>
                <w:sz w:val="21"/>
                <w:szCs w:val="21"/>
              </w:rPr>
              <w:t>一</w:t>
            </w:r>
          </w:p>
        </w:tc>
        <w:tc>
          <w:tcPr>
            <w:tcW w:w="1142" w:type="pct"/>
            <w:tcBorders>
              <w:top w:val="single" w:color="auto" w:sz="4" w:space="0"/>
              <w:left w:val="single" w:color="auto" w:sz="4" w:space="0"/>
              <w:bottom w:val="single" w:color="auto" w:sz="4" w:space="0"/>
              <w:right w:val="nil"/>
            </w:tcBorders>
            <w:vAlign w:val="center"/>
          </w:tcPr>
          <w:p w14:paraId="63B4C63D">
            <w:pPr>
              <w:widowControl/>
              <w:spacing w:line="240" w:lineRule="auto"/>
              <w:ind w:firstLine="0" w:firstLineChars="0"/>
              <w:jc w:val="center"/>
              <w:rPr>
                <w:color w:val="auto"/>
                <w:kern w:val="0"/>
                <w:sz w:val="21"/>
                <w:szCs w:val="21"/>
              </w:rPr>
            </w:pPr>
            <w:r>
              <w:rPr>
                <w:color w:val="auto"/>
                <w:kern w:val="0"/>
                <w:sz w:val="21"/>
                <w:szCs w:val="21"/>
              </w:rPr>
              <w:t>二</w:t>
            </w:r>
          </w:p>
        </w:tc>
      </w:tr>
      <w:tr w14:paraId="69E8E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379" w:type="pct"/>
            <w:tcBorders>
              <w:top w:val="single" w:color="auto" w:sz="4" w:space="0"/>
              <w:left w:val="nil"/>
              <w:bottom w:val="single" w:color="auto" w:sz="4" w:space="0"/>
              <w:right w:val="single" w:color="auto" w:sz="4" w:space="0"/>
            </w:tcBorders>
            <w:vAlign w:val="center"/>
          </w:tcPr>
          <w:p w14:paraId="304B7D1F">
            <w:pPr>
              <w:widowControl/>
              <w:spacing w:line="240" w:lineRule="auto"/>
              <w:ind w:firstLine="0" w:firstLineChars="0"/>
              <w:jc w:val="center"/>
              <w:rPr>
                <w:color w:val="auto"/>
                <w:kern w:val="0"/>
                <w:sz w:val="21"/>
                <w:szCs w:val="21"/>
              </w:rPr>
            </w:pPr>
            <w:r>
              <w:rPr>
                <w:color w:val="auto"/>
                <w:kern w:val="0"/>
                <w:sz w:val="21"/>
                <w:szCs w:val="21"/>
              </w:rPr>
              <w:t>较敏感</w:t>
            </w:r>
          </w:p>
        </w:tc>
        <w:tc>
          <w:tcPr>
            <w:tcW w:w="1282" w:type="pct"/>
            <w:tcBorders>
              <w:top w:val="single" w:color="auto" w:sz="4" w:space="0"/>
              <w:left w:val="single" w:color="auto" w:sz="4" w:space="0"/>
              <w:bottom w:val="single" w:color="auto" w:sz="4" w:space="0"/>
              <w:right w:val="single" w:color="auto" w:sz="4" w:space="0"/>
            </w:tcBorders>
            <w:vAlign w:val="center"/>
          </w:tcPr>
          <w:p w14:paraId="5B0BCAE1">
            <w:pPr>
              <w:widowControl/>
              <w:spacing w:line="240" w:lineRule="auto"/>
              <w:ind w:firstLine="0" w:firstLineChars="0"/>
              <w:jc w:val="center"/>
              <w:rPr>
                <w:color w:val="auto"/>
                <w:kern w:val="0"/>
                <w:sz w:val="21"/>
                <w:szCs w:val="21"/>
              </w:rPr>
            </w:pPr>
            <w:r>
              <w:rPr>
                <w:color w:val="auto"/>
                <w:kern w:val="0"/>
                <w:sz w:val="21"/>
                <w:szCs w:val="21"/>
              </w:rPr>
              <w:t>一</w:t>
            </w:r>
          </w:p>
        </w:tc>
        <w:tc>
          <w:tcPr>
            <w:tcW w:w="1197" w:type="pct"/>
            <w:tcBorders>
              <w:top w:val="single" w:color="auto" w:sz="4" w:space="0"/>
              <w:left w:val="single" w:color="auto" w:sz="4" w:space="0"/>
              <w:bottom w:val="single" w:color="auto" w:sz="4" w:space="0"/>
              <w:right w:val="single" w:color="auto" w:sz="4" w:space="0"/>
            </w:tcBorders>
            <w:vAlign w:val="center"/>
          </w:tcPr>
          <w:p w14:paraId="6E72F18D">
            <w:pPr>
              <w:widowControl/>
              <w:spacing w:line="240" w:lineRule="auto"/>
              <w:ind w:firstLine="0" w:firstLineChars="0"/>
              <w:jc w:val="center"/>
              <w:rPr>
                <w:color w:val="auto"/>
                <w:kern w:val="0"/>
                <w:sz w:val="21"/>
                <w:szCs w:val="21"/>
              </w:rPr>
            </w:pPr>
            <w:r>
              <w:rPr>
                <w:color w:val="auto"/>
                <w:kern w:val="0"/>
                <w:sz w:val="21"/>
                <w:szCs w:val="21"/>
              </w:rPr>
              <w:t>二</w:t>
            </w:r>
          </w:p>
        </w:tc>
        <w:tc>
          <w:tcPr>
            <w:tcW w:w="1142" w:type="pct"/>
            <w:tcBorders>
              <w:top w:val="single" w:color="auto" w:sz="4" w:space="0"/>
              <w:left w:val="single" w:color="auto" w:sz="4" w:space="0"/>
              <w:bottom w:val="single" w:color="auto" w:sz="4" w:space="0"/>
              <w:right w:val="nil"/>
            </w:tcBorders>
            <w:vAlign w:val="center"/>
          </w:tcPr>
          <w:p w14:paraId="4AA9A9EE">
            <w:pPr>
              <w:widowControl/>
              <w:spacing w:line="240" w:lineRule="auto"/>
              <w:ind w:firstLine="0" w:firstLineChars="0"/>
              <w:jc w:val="center"/>
              <w:rPr>
                <w:color w:val="auto"/>
                <w:kern w:val="0"/>
                <w:sz w:val="21"/>
                <w:szCs w:val="21"/>
              </w:rPr>
            </w:pPr>
            <w:r>
              <w:rPr>
                <w:color w:val="auto"/>
                <w:kern w:val="0"/>
                <w:sz w:val="21"/>
                <w:szCs w:val="21"/>
              </w:rPr>
              <w:t>三</w:t>
            </w:r>
          </w:p>
        </w:tc>
      </w:tr>
      <w:tr w14:paraId="3E47D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379" w:type="pct"/>
            <w:tcBorders>
              <w:top w:val="single" w:color="auto" w:sz="4" w:space="0"/>
              <w:left w:val="nil"/>
              <w:bottom w:val="single" w:color="auto" w:sz="12" w:space="0"/>
              <w:right w:val="single" w:color="auto" w:sz="4" w:space="0"/>
            </w:tcBorders>
            <w:vAlign w:val="center"/>
          </w:tcPr>
          <w:p w14:paraId="26AA07E3">
            <w:pPr>
              <w:widowControl/>
              <w:spacing w:line="240" w:lineRule="auto"/>
              <w:ind w:firstLine="0" w:firstLineChars="0"/>
              <w:jc w:val="center"/>
              <w:rPr>
                <w:color w:val="auto"/>
                <w:kern w:val="0"/>
                <w:sz w:val="21"/>
                <w:szCs w:val="21"/>
              </w:rPr>
            </w:pPr>
            <w:r>
              <w:rPr>
                <w:color w:val="auto"/>
                <w:kern w:val="0"/>
                <w:sz w:val="21"/>
                <w:szCs w:val="21"/>
              </w:rPr>
              <w:t>不敏感</w:t>
            </w:r>
          </w:p>
        </w:tc>
        <w:tc>
          <w:tcPr>
            <w:tcW w:w="1282" w:type="pct"/>
            <w:tcBorders>
              <w:top w:val="single" w:color="auto" w:sz="4" w:space="0"/>
              <w:left w:val="single" w:color="auto" w:sz="4" w:space="0"/>
              <w:bottom w:val="single" w:color="auto" w:sz="12" w:space="0"/>
              <w:right w:val="single" w:color="auto" w:sz="4" w:space="0"/>
            </w:tcBorders>
            <w:shd w:val="clear" w:color="auto" w:fill="BEBEBE" w:themeFill="background1" w:themeFillShade="BF"/>
            <w:vAlign w:val="center"/>
          </w:tcPr>
          <w:p w14:paraId="63FD6974">
            <w:pPr>
              <w:widowControl/>
              <w:spacing w:line="240" w:lineRule="auto"/>
              <w:ind w:firstLine="0" w:firstLineChars="0"/>
              <w:jc w:val="center"/>
              <w:rPr>
                <w:color w:val="auto"/>
                <w:kern w:val="0"/>
                <w:sz w:val="21"/>
                <w:szCs w:val="21"/>
              </w:rPr>
            </w:pPr>
            <w:r>
              <w:rPr>
                <w:color w:val="auto"/>
                <w:kern w:val="0"/>
                <w:sz w:val="21"/>
                <w:szCs w:val="21"/>
              </w:rPr>
              <w:t>二</w:t>
            </w:r>
          </w:p>
        </w:tc>
        <w:tc>
          <w:tcPr>
            <w:tcW w:w="1197" w:type="pct"/>
            <w:tcBorders>
              <w:top w:val="single" w:color="auto" w:sz="4" w:space="0"/>
              <w:left w:val="single" w:color="auto" w:sz="4" w:space="0"/>
              <w:bottom w:val="single" w:color="auto" w:sz="12" w:space="0"/>
              <w:right w:val="single" w:color="auto" w:sz="4" w:space="0"/>
            </w:tcBorders>
            <w:vAlign w:val="center"/>
          </w:tcPr>
          <w:p w14:paraId="0BC366C1">
            <w:pPr>
              <w:widowControl/>
              <w:spacing w:line="240" w:lineRule="auto"/>
              <w:ind w:firstLine="0" w:firstLineChars="0"/>
              <w:jc w:val="center"/>
              <w:rPr>
                <w:color w:val="auto"/>
                <w:kern w:val="0"/>
                <w:sz w:val="21"/>
                <w:szCs w:val="21"/>
              </w:rPr>
            </w:pPr>
            <w:r>
              <w:rPr>
                <w:color w:val="auto"/>
                <w:kern w:val="0"/>
                <w:sz w:val="21"/>
                <w:szCs w:val="21"/>
              </w:rPr>
              <w:t>三</w:t>
            </w:r>
          </w:p>
        </w:tc>
        <w:tc>
          <w:tcPr>
            <w:tcW w:w="1142" w:type="pct"/>
            <w:tcBorders>
              <w:top w:val="single" w:color="auto" w:sz="4" w:space="0"/>
              <w:left w:val="single" w:color="auto" w:sz="4" w:space="0"/>
              <w:bottom w:val="single" w:color="auto" w:sz="12" w:space="0"/>
              <w:right w:val="nil"/>
            </w:tcBorders>
            <w:vAlign w:val="center"/>
          </w:tcPr>
          <w:p w14:paraId="6249A4E5">
            <w:pPr>
              <w:widowControl/>
              <w:spacing w:line="240" w:lineRule="auto"/>
              <w:ind w:firstLine="0" w:firstLineChars="0"/>
              <w:jc w:val="center"/>
              <w:rPr>
                <w:color w:val="auto"/>
                <w:kern w:val="0"/>
                <w:sz w:val="21"/>
                <w:szCs w:val="21"/>
              </w:rPr>
            </w:pPr>
            <w:r>
              <w:rPr>
                <w:color w:val="auto"/>
                <w:kern w:val="0"/>
                <w:sz w:val="21"/>
                <w:szCs w:val="21"/>
              </w:rPr>
              <w:t>三</w:t>
            </w:r>
          </w:p>
        </w:tc>
      </w:tr>
    </w:tbl>
    <w:p w14:paraId="6597581D">
      <w:pPr>
        <w:keepNext/>
        <w:keepLines/>
        <w:ind w:firstLine="0" w:firstLineChars="0"/>
        <w:outlineLvl w:val="3"/>
        <w:rPr>
          <w:b/>
          <w:color w:val="auto"/>
        </w:rPr>
      </w:pPr>
      <w:r>
        <w:rPr>
          <w:rFonts w:hint="eastAsia"/>
          <w:b/>
          <w:color w:val="auto"/>
        </w:rPr>
        <w:t>2.3.1.5环境风险影响评价等级</w:t>
      </w:r>
    </w:p>
    <w:p w14:paraId="7A1C4006">
      <w:pPr>
        <w:ind w:firstLine="480"/>
        <w:rPr>
          <w:color w:val="auto"/>
        </w:rPr>
      </w:pPr>
      <w:r>
        <w:rPr>
          <w:color w:val="auto"/>
        </w:rPr>
        <w:t>(1)危险物质及工艺系统危险性(P)的分级确定</w:t>
      </w:r>
    </w:p>
    <w:p w14:paraId="28D1312C">
      <w:pPr>
        <w:ind w:firstLine="480"/>
        <w:rPr>
          <w:color w:val="auto"/>
        </w:rPr>
      </w:pPr>
      <w:r>
        <w:rPr>
          <w:rFonts w:hint="eastAsia"/>
          <w:color w:val="auto"/>
        </w:rPr>
        <w:t>①</w:t>
      </w:r>
      <w:r>
        <w:rPr>
          <w:color w:val="auto"/>
        </w:rPr>
        <w:t>危险物质数量与临界量比值(Q)</w:t>
      </w:r>
    </w:p>
    <w:p w14:paraId="7C583CB9">
      <w:pPr>
        <w:ind w:firstLine="480"/>
        <w:rPr>
          <w:color w:val="auto"/>
        </w:rPr>
      </w:pPr>
      <w:r>
        <w:rPr>
          <w:color w:val="auto"/>
        </w:rPr>
        <w:t>根据本项目涉及的每种危险物质在厂界内的最大存在总量与《建设项目环境风险评价技术导则》(HJ169-2018)附录B中对应临界量的比值Q，按式(C.1)计算物质总量与其临界量比值(Q)：</w:t>
      </w:r>
    </w:p>
    <w:p w14:paraId="601E79F2">
      <w:pPr>
        <w:spacing w:line="240" w:lineRule="auto"/>
        <w:ind w:firstLine="480"/>
        <w:rPr>
          <w:color w:val="auto"/>
        </w:rPr>
      </w:pPr>
      <w:r>
        <w:rPr>
          <w:color w:val="auto"/>
        </w:rPr>
        <w:drawing>
          <wp:inline distT="0" distB="0" distL="0" distR="0">
            <wp:extent cx="2694305" cy="400685"/>
            <wp:effectExtent l="0" t="0" r="10795" b="18415"/>
            <wp:docPr id="10567760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76099"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94305" cy="400685"/>
                    </a:xfrm>
                    <a:prstGeom prst="rect">
                      <a:avLst/>
                    </a:prstGeom>
                    <a:noFill/>
                    <a:ln>
                      <a:noFill/>
                    </a:ln>
                  </pic:spPr>
                </pic:pic>
              </a:graphicData>
            </a:graphic>
          </wp:inline>
        </w:drawing>
      </w:r>
    </w:p>
    <w:p w14:paraId="0C3912C2">
      <w:pPr>
        <w:ind w:firstLine="480"/>
        <w:rPr>
          <w:color w:val="auto"/>
        </w:rPr>
      </w:pPr>
      <w:r>
        <w:rPr>
          <w:color w:val="auto"/>
        </w:rPr>
        <w:t>式中，q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--每种危险物质的最大存在总量，t。</w:t>
      </w:r>
    </w:p>
    <w:p w14:paraId="049147CA">
      <w:pPr>
        <w:ind w:firstLine="480"/>
        <w:rPr>
          <w:color w:val="auto"/>
        </w:rPr>
      </w:pPr>
      <w:r>
        <w:rPr>
          <w:color w:val="auto"/>
        </w:rPr>
        <w:tab/>
      </w:r>
      <w:r>
        <w:rPr>
          <w:color w:val="auto"/>
        </w:rPr>
        <w:tab/>
      </w: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—每种危险物质的临界量，t。</w:t>
      </w:r>
    </w:p>
    <w:p w14:paraId="547BC368">
      <w:pPr>
        <w:ind w:firstLine="480"/>
        <w:rPr>
          <w:color w:val="auto"/>
        </w:rPr>
      </w:pPr>
      <w:r>
        <w:rPr>
          <w:color w:val="auto"/>
        </w:rPr>
        <w:t>当Q＜1时，该项目环境风险潜势为Ⅰ。</w:t>
      </w:r>
    </w:p>
    <w:p w14:paraId="2B04615F">
      <w:pPr>
        <w:ind w:firstLine="480"/>
        <w:rPr>
          <w:color w:val="auto"/>
        </w:rPr>
      </w:pPr>
      <w:r>
        <w:rPr>
          <w:color w:val="auto"/>
        </w:rPr>
        <w:t>当Q≥1时，将Q值划分为：(1)1≤Q＜10；(2)10≤Q＜100；(3)Q≥100。</w:t>
      </w:r>
    </w:p>
    <w:p w14:paraId="62184543">
      <w:pPr>
        <w:ind w:firstLine="480"/>
        <w:rPr>
          <w:color w:val="auto"/>
        </w:rPr>
      </w:pPr>
      <w:r>
        <w:rPr>
          <w:color w:val="auto"/>
        </w:rPr>
        <w:t>本项目涉及危险物质q/Q值计算见</w:t>
      </w:r>
      <w:r>
        <w:rPr>
          <w:rFonts w:hint="eastAsia"/>
          <w:color w:val="auto"/>
        </w:rPr>
        <w:t>下表</w:t>
      </w:r>
      <w:r>
        <w:rPr>
          <w:color w:val="auto"/>
        </w:rPr>
        <w:t>。</w:t>
      </w:r>
    </w:p>
    <w:p w14:paraId="58260DAE">
      <w:pPr>
        <w:pStyle w:val="49"/>
        <w:rPr>
          <w:color w:val="auto"/>
        </w:rPr>
      </w:pPr>
      <w:r>
        <w:rPr>
          <w:color w:val="auto"/>
        </w:rPr>
        <w:t>表2.3-7  本项目建成后涉及危险物质q/Q值计算</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70"/>
        <w:gridCol w:w="1835"/>
        <w:gridCol w:w="1831"/>
        <w:gridCol w:w="1573"/>
        <w:gridCol w:w="1628"/>
      </w:tblGrid>
      <w:tr w14:paraId="52704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5" w:type="pct"/>
            <w:vAlign w:val="center"/>
          </w:tcPr>
          <w:p w14:paraId="46E7AD18">
            <w:pPr>
              <w:spacing w:line="240" w:lineRule="auto"/>
              <w:ind w:firstLine="0" w:firstLineChars="0"/>
              <w:jc w:val="center"/>
              <w:rPr>
                <w:b/>
                <w:bCs/>
                <w:color w:val="auto"/>
                <w:sz w:val="21"/>
                <w:szCs w:val="21"/>
              </w:rPr>
            </w:pPr>
            <w:r>
              <w:rPr>
                <w:b/>
                <w:bCs/>
                <w:color w:val="auto"/>
                <w:sz w:val="21"/>
                <w:szCs w:val="21"/>
              </w:rPr>
              <w:t>序号</w:t>
            </w:r>
          </w:p>
        </w:tc>
        <w:tc>
          <w:tcPr>
            <w:tcW w:w="1101" w:type="pct"/>
            <w:vAlign w:val="center"/>
          </w:tcPr>
          <w:p w14:paraId="29DB67CE">
            <w:pPr>
              <w:spacing w:line="240" w:lineRule="auto"/>
              <w:ind w:firstLine="0" w:firstLineChars="0"/>
              <w:jc w:val="center"/>
              <w:rPr>
                <w:b/>
                <w:bCs/>
                <w:color w:val="auto"/>
                <w:sz w:val="21"/>
                <w:szCs w:val="21"/>
              </w:rPr>
            </w:pPr>
            <w:r>
              <w:rPr>
                <w:b/>
                <w:bCs/>
                <w:color w:val="auto"/>
                <w:sz w:val="21"/>
                <w:szCs w:val="21"/>
              </w:rPr>
              <w:t>物质名称</w:t>
            </w:r>
          </w:p>
        </w:tc>
        <w:tc>
          <w:tcPr>
            <w:tcW w:w="931" w:type="pct"/>
            <w:vAlign w:val="center"/>
          </w:tcPr>
          <w:p w14:paraId="612A14EA">
            <w:pPr>
              <w:spacing w:line="240" w:lineRule="auto"/>
              <w:ind w:firstLine="0" w:firstLineChars="0"/>
              <w:jc w:val="center"/>
              <w:rPr>
                <w:b/>
                <w:bCs/>
                <w:color w:val="auto"/>
                <w:sz w:val="21"/>
                <w:szCs w:val="21"/>
              </w:rPr>
            </w:pPr>
            <w:r>
              <w:rPr>
                <w:b/>
                <w:bCs/>
                <w:color w:val="auto"/>
                <w:sz w:val="21"/>
                <w:szCs w:val="21"/>
              </w:rPr>
              <w:t>CAS号</w:t>
            </w:r>
          </w:p>
        </w:tc>
        <w:tc>
          <w:tcPr>
            <w:tcW w:w="929" w:type="pct"/>
            <w:vAlign w:val="center"/>
          </w:tcPr>
          <w:p w14:paraId="26712F00">
            <w:pPr>
              <w:spacing w:line="240" w:lineRule="auto"/>
              <w:ind w:firstLine="0" w:firstLineChars="0"/>
              <w:jc w:val="center"/>
              <w:rPr>
                <w:b/>
                <w:bCs/>
                <w:color w:val="auto"/>
                <w:sz w:val="21"/>
                <w:szCs w:val="21"/>
              </w:rPr>
            </w:pPr>
            <w:r>
              <w:rPr>
                <w:b/>
                <w:bCs/>
                <w:color w:val="auto"/>
                <w:sz w:val="21"/>
                <w:szCs w:val="21"/>
              </w:rPr>
              <w:t>最大存在量(t)</w:t>
            </w:r>
          </w:p>
        </w:tc>
        <w:tc>
          <w:tcPr>
            <w:tcW w:w="798" w:type="pct"/>
            <w:vAlign w:val="center"/>
          </w:tcPr>
          <w:p w14:paraId="5F24CC3E">
            <w:pPr>
              <w:spacing w:line="240" w:lineRule="auto"/>
              <w:ind w:firstLine="0" w:firstLineChars="0"/>
              <w:jc w:val="center"/>
              <w:rPr>
                <w:b/>
                <w:bCs/>
                <w:color w:val="auto"/>
                <w:sz w:val="21"/>
                <w:szCs w:val="21"/>
              </w:rPr>
            </w:pPr>
            <w:r>
              <w:rPr>
                <w:b/>
                <w:bCs/>
                <w:color w:val="auto"/>
                <w:sz w:val="21"/>
                <w:szCs w:val="21"/>
              </w:rPr>
              <w:t>临界量(t)</w:t>
            </w:r>
          </w:p>
        </w:tc>
        <w:tc>
          <w:tcPr>
            <w:tcW w:w="826" w:type="pct"/>
            <w:vAlign w:val="center"/>
          </w:tcPr>
          <w:p w14:paraId="21BC5E09">
            <w:pPr>
              <w:spacing w:line="240" w:lineRule="auto"/>
              <w:ind w:firstLine="0" w:firstLineChars="0"/>
              <w:jc w:val="center"/>
              <w:rPr>
                <w:b/>
                <w:bCs/>
                <w:color w:val="auto"/>
                <w:sz w:val="21"/>
                <w:szCs w:val="21"/>
              </w:rPr>
            </w:pPr>
            <w:r>
              <w:rPr>
                <w:b/>
                <w:bCs/>
                <w:color w:val="auto"/>
                <w:sz w:val="21"/>
                <w:szCs w:val="21"/>
              </w:rPr>
              <w:t>q/Q</w:t>
            </w:r>
          </w:p>
        </w:tc>
      </w:tr>
      <w:tr w14:paraId="24004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5" w:type="pct"/>
            <w:vAlign w:val="center"/>
          </w:tcPr>
          <w:p w14:paraId="39768B99">
            <w:pPr>
              <w:spacing w:line="240" w:lineRule="auto"/>
              <w:ind w:firstLine="0" w:firstLineChars="0"/>
              <w:jc w:val="center"/>
              <w:rPr>
                <w:color w:val="auto"/>
                <w:sz w:val="21"/>
                <w:szCs w:val="21"/>
              </w:rPr>
            </w:pPr>
            <w:bookmarkStart w:id="42" w:name="OLE_LINK70" w:colFirst="5" w:colLast="7"/>
            <w:r>
              <w:rPr>
                <w:color w:val="auto"/>
                <w:sz w:val="21"/>
                <w:szCs w:val="21"/>
              </w:rPr>
              <w:t>1</w:t>
            </w:r>
          </w:p>
        </w:tc>
        <w:tc>
          <w:tcPr>
            <w:tcW w:w="1101" w:type="pct"/>
            <w:vAlign w:val="center"/>
          </w:tcPr>
          <w:p w14:paraId="1BD76BC0">
            <w:pPr>
              <w:spacing w:line="240" w:lineRule="auto"/>
              <w:ind w:firstLine="0" w:firstLineChars="0"/>
              <w:jc w:val="center"/>
              <w:rPr>
                <w:color w:val="auto"/>
                <w:sz w:val="21"/>
                <w:szCs w:val="21"/>
              </w:rPr>
            </w:pPr>
            <w:r>
              <w:rPr>
                <w:rFonts w:hint="eastAsia"/>
                <w:color w:val="auto"/>
                <w:sz w:val="21"/>
                <w:szCs w:val="21"/>
              </w:rPr>
              <w:t>氨水</w:t>
            </w:r>
          </w:p>
        </w:tc>
        <w:tc>
          <w:tcPr>
            <w:tcW w:w="931" w:type="pct"/>
            <w:vAlign w:val="center"/>
          </w:tcPr>
          <w:p w14:paraId="324D560E">
            <w:pPr>
              <w:spacing w:line="240" w:lineRule="auto"/>
              <w:ind w:firstLine="0" w:firstLineChars="0"/>
              <w:jc w:val="center"/>
              <w:rPr>
                <w:color w:val="auto"/>
                <w:sz w:val="21"/>
                <w:szCs w:val="21"/>
              </w:rPr>
            </w:pPr>
            <w:r>
              <w:rPr>
                <w:rFonts w:hint="eastAsia"/>
                <w:color w:val="auto"/>
                <w:sz w:val="21"/>
                <w:szCs w:val="21"/>
              </w:rPr>
              <w:t>1336-21-6</w:t>
            </w:r>
          </w:p>
        </w:tc>
        <w:tc>
          <w:tcPr>
            <w:tcW w:w="929" w:type="pct"/>
            <w:vAlign w:val="center"/>
          </w:tcPr>
          <w:p w14:paraId="5BEB1E7E">
            <w:pPr>
              <w:spacing w:line="240" w:lineRule="auto"/>
              <w:ind w:firstLine="0" w:firstLineChars="0"/>
              <w:jc w:val="center"/>
              <w:rPr>
                <w:color w:val="auto"/>
                <w:sz w:val="21"/>
                <w:szCs w:val="21"/>
              </w:rPr>
            </w:pPr>
            <w:r>
              <w:rPr>
                <w:rFonts w:hint="eastAsia"/>
                <w:color w:val="auto"/>
                <w:sz w:val="21"/>
                <w:szCs w:val="21"/>
              </w:rPr>
              <w:t>245</w:t>
            </w:r>
          </w:p>
        </w:tc>
        <w:tc>
          <w:tcPr>
            <w:tcW w:w="798" w:type="pct"/>
            <w:vAlign w:val="center"/>
          </w:tcPr>
          <w:p w14:paraId="65FDA595">
            <w:pPr>
              <w:spacing w:line="240" w:lineRule="auto"/>
              <w:ind w:firstLine="0" w:firstLineChars="0"/>
              <w:jc w:val="center"/>
              <w:rPr>
                <w:color w:val="auto"/>
                <w:sz w:val="21"/>
                <w:szCs w:val="21"/>
              </w:rPr>
            </w:pPr>
            <w:r>
              <w:rPr>
                <w:rFonts w:hint="eastAsia"/>
                <w:color w:val="auto"/>
                <w:sz w:val="21"/>
                <w:szCs w:val="21"/>
              </w:rPr>
              <w:t>10</w:t>
            </w:r>
          </w:p>
        </w:tc>
        <w:tc>
          <w:tcPr>
            <w:tcW w:w="826" w:type="pct"/>
            <w:vAlign w:val="center"/>
          </w:tcPr>
          <w:p w14:paraId="4EC62EDA">
            <w:pPr>
              <w:spacing w:line="240" w:lineRule="auto"/>
              <w:ind w:firstLine="0" w:firstLineChars="0"/>
              <w:jc w:val="center"/>
              <w:rPr>
                <w:color w:val="auto"/>
                <w:sz w:val="21"/>
                <w:szCs w:val="21"/>
              </w:rPr>
            </w:pPr>
            <w:r>
              <w:rPr>
                <w:rFonts w:hint="eastAsia"/>
                <w:color w:val="auto"/>
                <w:sz w:val="21"/>
                <w:szCs w:val="21"/>
              </w:rPr>
              <w:t>24.5</w:t>
            </w:r>
          </w:p>
        </w:tc>
      </w:tr>
      <w:tr w14:paraId="3FEC0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5" w:type="pct"/>
            <w:vAlign w:val="center"/>
          </w:tcPr>
          <w:p w14:paraId="3997A66A">
            <w:pPr>
              <w:spacing w:line="240" w:lineRule="auto"/>
              <w:ind w:firstLine="0" w:firstLineChars="0"/>
              <w:jc w:val="center"/>
              <w:rPr>
                <w:color w:val="auto"/>
                <w:sz w:val="21"/>
                <w:szCs w:val="21"/>
              </w:rPr>
            </w:pPr>
            <w:r>
              <w:rPr>
                <w:color w:val="auto"/>
                <w:sz w:val="21"/>
                <w:szCs w:val="21"/>
              </w:rPr>
              <w:t>2</w:t>
            </w:r>
          </w:p>
        </w:tc>
        <w:tc>
          <w:tcPr>
            <w:tcW w:w="1101" w:type="pct"/>
            <w:vAlign w:val="center"/>
          </w:tcPr>
          <w:p w14:paraId="3EBBB965">
            <w:pPr>
              <w:spacing w:line="240" w:lineRule="auto"/>
              <w:ind w:firstLine="0" w:firstLineChars="0"/>
              <w:jc w:val="center"/>
              <w:rPr>
                <w:color w:val="auto"/>
                <w:sz w:val="21"/>
                <w:szCs w:val="21"/>
              </w:rPr>
            </w:pPr>
            <w:r>
              <w:rPr>
                <w:rFonts w:hint="eastAsia"/>
                <w:color w:val="auto"/>
                <w:sz w:val="21"/>
                <w:szCs w:val="21"/>
              </w:rPr>
              <w:t>液氨</w:t>
            </w:r>
          </w:p>
        </w:tc>
        <w:tc>
          <w:tcPr>
            <w:tcW w:w="931" w:type="pct"/>
            <w:vAlign w:val="center"/>
          </w:tcPr>
          <w:p w14:paraId="42C428C4">
            <w:pPr>
              <w:spacing w:line="240" w:lineRule="auto"/>
              <w:ind w:firstLine="0" w:firstLineChars="0"/>
              <w:jc w:val="center"/>
              <w:rPr>
                <w:color w:val="auto"/>
                <w:sz w:val="21"/>
                <w:szCs w:val="21"/>
              </w:rPr>
            </w:pPr>
            <w:r>
              <w:rPr>
                <w:rFonts w:hint="eastAsia"/>
                <w:color w:val="auto"/>
                <w:sz w:val="21"/>
                <w:szCs w:val="21"/>
              </w:rPr>
              <w:t>7664-41-7</w:t>
            </w:r>
          </w:p>
        </w:tc>
        <w:tc>
          <w:tcPr>
            <w:tcW w:w="929" w:type="pct"/>
            <w:vAlign w:val="center"/>
          </w:tcPr>
          <w:p w14:paraId="7A5CAF35">
            <w:pPr>
              <w:spacing w:line="240" w:lineRule="auto"/>
              <w:ind w:firstLine="0" w:firstLineChars="0"/>
              <w:jc w:val="center"/>
              <w:rPr>
                <w:color w:val="auto"/>
                <w:sz w:val="21"/>
                <w:szCs w:val="21"/>
              </w:rPr>
            </w:pPr>
            <w:r>
              <w:rPr>
                <w:rFonts w:hint="eastAsia"/>
                <w:color w:val="auto"/>
                <w:sz w:val="21"/>
                <w:szCs w:val="21"/>
              </w:rPr>
              <w:t>9.54</w:t>
            </w:r>
          </w:p>
        </w:tc>
        <w:tc>
          <w:tcPr>
            <w:tcW w:w="798" w:type="pct"/>
            <w:vAlign w:val="center"/>
          </w:tcPr>
          <w:p w14:paraId="50BA7372">
            <w:pPr>
              <w:spacing w:line="240" w:lineRule="auto"/>
              <w:ind w:firstLine="0" w:firstLineChars="0"/>
              <w:jc w:val="center"/>
              <w:rPr>
                <w:color w:val="auto"/>
                <w:sz w:val="21"/>
                <w:szCs w:val="21"/>
              </w:rPr>
            </w:pPr>
            <w:r>
              <w:rPr>
                <w:rFonts w:hint="eastAsia"/>
                <w:color w:val="auto"/>
                <w:sz w:val="21"/>
                <w:szCs w:val="21"/>
              </w:rPr>
              <w:t>5</w:t>
            </w:r>
          </w:p>
        </w:tc>
        <w:tc>
          <w:tcPr>
            <w:tcW w:w="826" w:type="pct"/>
            <w:vAlign w:val="center"/>
          </w:tcPr>
          <w:p w14:paraId="1BEBCB89">
            <w:pPr>
              <w:spacing w:line="240" w:lineRule="auto"/>
              <w:ind w:firstLine="0" w:firstLineChars="0"/>
              <w:jc w:val="center"/>
              <w:rPr>
                <w:color w:val="auto"/>
                <w:sz w:val="21"/>
                <w:szCs w:val="21"/>
              </w:rPr>
            </w:pPr>
            <w:r>
              <w:rPr>
                <w:rFonts w:hint="eastAsia"/>
                <w:color w:val="auto"/>
                <w:sz w:val="21"/>
                <w:szCs w:val="21"/>
              </w:rPr>
              <w:t>1.908</w:t>
            </w:r>
          </w:p>
        </w:tc>
      </w:tr>
      <w:tr w14:paraId="14E21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5" w:type="pct"/>
            <w:vAlign w:val="center"/>
          </w:tcPr>
          <w:p w14:paraId="5D111BDB">
            <w:pPr>
              <w:spacing w:line="240" w:lineRule="auto"/>
              <w:ind w:firstLine="0" w:firstLineChars="0"/>
              <w:jc w:val="center"/>
              <w:rPr>
                <w:color w:val="auto"/>
                <w:sz w:val="21"/>
                <w:szCs w:val="21"/>
              </w:rPr>
            </w:pPr>
            <w:r>
              <w:rPr>
                <w:color w:val="auto"/>
                <w:sz w:val="21"/>
                <w:szCs w:val="21"/>
              </w:rPr>
              <w:t>3</w:t>
            </w:r>
          </w:p>
        </w:tc>
        <w:tc>
          <w:tcPr>
            <w:tcW w:w="1101" w:type="pct"/>
            <w:vAlign w:val="center"/>
          </w:tcPr>
          <w:p w14:paraId="1D272D90">
            <w:pPr>
              <w:spacing w:line="240" w:lineRule="auto"/>
              <w:ind w:firstLine="0" w:firstLineChars="0"/>
              <w:jc w:val="center"/>
              <w:rPr>
                <w:color w:val="auto"/>
                <w:sz w:val="21"/>
                <w:szCs w:val="21"/>
              </w:rPr>
            </w:pPr>
            <w:r>
              <w:rPr>
                <w:rFonts w:hint="eastAsia"/>
                <w:color w:val="auto"/>
                <w:sz w:val="21"/>
                <w:szCs w:val="21"/>
              </w:rPr>
              <w:t>液硫</w:t>
            </w:r>
          </w:p>
        </w:tc>
        <w:tc>
          <w:tcPr>
            <w:tcW w:w="931" w:type="pct"/>
            <w:vAlign w:val="center"/>
          </w:tcPr>
          <w:p w14:paraId="030BA4B0">
            <w:pPr>
              <w:spacing w:line="240" w:lineRule="auto"/>
              <w:ind w:firstLine="0" w:firstLineChars="0"/>
              <w:jc w:val="center"/>
              <w:rPr>
                <w:color w:val="auto"/>
                <w:sz w:val="21"/>
                <w:szCs w:val="21"/>
              </w:rPr>
            </w:pPr>
            <w:r>
              <w:rPr>
                <w:rFonts w:hint="eastAsia"/>
                <w:color w:val="auto"/>
                <w:sz w:val="21"/>
                <w:szCs w:val="21"/>
              </w:rPr>
              <w:t>63705-05-5</w:t>
            </w:r>
          </w:p>
        </w:tc>
        <w:tc>
          <w:tcPr>
            <w:tcW w:w="929" w:type="pct"/>
            <w:vAlign w:val="center"/>
          </w:tcPr>
          <w:p w14:paraId="70B9B054">
            <w:pPr>
              <w:spacing w:line="240" w:lineRule="auto"/>
              <w:ind w:firstLine="0" w:firstLineChars="0"/>
              <w:jc w:val="center"/>
              <w:rPr>
                <w:color w:val="auto"/>
                <w:sz w:val="21"/>
                <w:szCs w:val="21"/>
              </w:rPr>
            </w:pPr>
            <w:r>
              <w:rPr>
                <w:rFonts w:hint="eastAsia"/>
                <w:color w:val="auto"/>
                <w:sz w:val="21"/>
                <w:szCs w:val="21"/>
              </w:rPr>
              <w:t>150</w:t>
            </w:r>
          </w:p>
        </w:tc>
        <w:tc>
          <w:tcPr>
            <w:tcW w:w="798" w:type="pct"/>
            <w:vAlign w:val="center"/>
          </w:tcPr>
          <w:p w14:paraId="1EAE6FCB">
            <w:pPr>
              <w:spacing w:line="240" w:lineRule="auto"/>
              <w:ind w:firstLine="0" w:firstLineChars="0"/>
              <w:jc w:val="center"/>
              <w:rPr>
                <w:color w:val="auto"/>
                <w:sz w:val="21"/>
                <w:szCs w:val="21"/>
              </w:rPr>
            </w:pPr>
            <w:r>
              <w:rPr>
                <w:rFonts w:hint="eastAsia"/>
                <w:color w:val="auto"/>
                <w:sz w:val="21"/>
                <w:szCs w:val="21"/>
              </w:rPr>
              <w:t>10</w:t>
            </w:r>
          </w:p>
        </w:tc>
        <w:tc>
          <w:tcPr>
            <w:tcW w:w="826" w:type="pct"/>
            <w:vAlign w:val="center"/>
          </w:tcPr>
          <w:p w14:paraId="25039118">
            <w:pPr>
              <w:spacing w:line="240" w:lineRule="auto"/>
              <w:ind w:firstLine="0" w:firstLineChars="0"/>
              <w:jc w:val="center"/>
              <w:rPr>
                <w:color w:val="auto"/>
                <w:sz w:val="21"/>
                <w:szCs w:val="21"/>
              </w:rPr>
            </w:pPr>
            <w:r>
              <w:rPr>
                <w:rFonts w:hint="eastAsia"/>
                <w:color w:val="auto"/>
                <w:sz w:val="21"/>
                <w:szCs w:val="21"/>
              </w:rPr>
              <w:t>15</w:t>
            </w:r>
          </w:p>
        </w:tc>
      </w:tr>
      <w:tr w14:paraId="047E3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4" w:type="pct"/>
            <w:gridSpan w:val="5"/>
            <w:vAlign w:val="center"/>
          </w:tcPr>
          <w:p w14:paraId="77F75DB0">
            <w:pPr>
              <w:spacing w:line="240" w:lineRule="auto"/>
              <w:ind w:firstLine="0" w:firstLineChars="0"/>
              <w:jc w:val="center"/>
              <w:rPr>
                <w:color w:val="auto"/>
                <w:sz w:val="21"/>
                <w:szCs w:val="21"/>
              </w:rPr>
            </w:pPr>
            <w:r>
              <w:rPr>
                <w:color w:val="auto"/>
                <w:sz w:val="21"/>
                <w:szCs w:val="21"/>
              </w:rPr>
              <w:t>∑q/Q</w:t>
            </w:r>
          </w:p>
        </w:tc>
        <w:tc>
          <w:tcPr>
            <w:tcW w:w="826" w:type="pct"/>
            <w:vAlign w:val="center"/>
          </w:tcPr>
          <w:p w14:paraId="67D22910">
            <w:pPr>
              <w:spacing w:line="240" w:lineRule="auto"/>
              <w:ind w:firstLine="0" w:firstLineChars="0"/>
              <w:jc w:val="center"/>
              <w:rPr>
                <w:color w:val="auto"/>
                <w:sz w:val="21"/>
                <w:szCs w:val="21"/>
              </w:rPr>
            </w:pPr>
            <w:r>
              <w:rPr>
                <w:rFonts w:hint="eastAsia"/>
                <w:color w:val="auto"/>
                <w:sz w:val="21"/>
                <w:szCs w:val="21"/>
              </w:rPr>
              <w:t>41.408</w:t>
            </w:r>
          </w:p>
        </w:tc>
      </w:tr>
      <w:bookmarkEnd w:id="42"/>
    </w:tbl>
    <w:p w14:paraId="79D1C3FD">
      <w:pPr>
        <w:ind w:firstLine="480"/>
        <w:rPr>
          <w:color w:val="auto"/>
        </w:rPr>
      </w:pPr>
      <w:r>
        <w:rPr>
          <w:color w:val="auto"/>
        </w:rPr>
        <w:t>由上表计算可知，本项目Q值属于10≤Q＜100范围。</w:t>
      </w:r>
    </w:p>
    <w:p w14:paraId="7F58ACE1">
      <w:pPr>
        <w:ind w:firstLine="480"/>
        <w:rPr>
          <w:color w:val="auto"/>
        </w:rPr>
      </w:pPr>
      <w:r>
        <w:rPr>
          <w:rFonts w:hint="eastAsia"/>
          <w:color w:val="auto"/>
        </w:rPr>
        <w:t>②</w:t>
      </w:r>
      <w:r>
        <w:rPr>
          <w:color w:val="auto"/>
        </w:rPr>
        <w:t>行业及生产工艺(M)</w:t>
      </w:r>
    </w:p>
    <w:p w14:paraId="07ED2A34">
      <w:pPr>
        <w:ind w:firstLine="480"/>
        <w:rPr>
          <w:color w:val="auto"/>
        </w:rPr>
      </w:pPr>
      <w:r>
        <w:rPr>
          <w:color w:val="auto"/>
        </w:rPr>
        <w:t>分析项目所属行业及生产工艺特点，按照《建设项目环境风险评价技术导则》(HJ169-2018)中表C1评估生产工艺情况。具有多套工艺单元的企业，对每套生产工艺分别评分并求和。将M划分为M＞20、10＜M≤20、5＜M≤10、M=5，分别以M1、M2、M3、M4表示。</w:t>
      </w:r>
    </w:p>
    <w:p w14:paraId="3078C71C">
      <w:pPr>
        <w:ind w:firstLine="482"/>
        <w:jc w:val="center"/>
        <w:rPr>
          <w:b/>
          <w:bCs/>
          <w:color w:val="auto"/>
        </w:rPr>
      </w:pPr>
      <w:r>
        <w:rPr>
          <w:b/>
          <w:bCs/>
          <w:color w:val="auto"/>
        </w:rPr>
        <w:t>表2.3-8  行业及生产工艺一览表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71"/>
        <w:gridCol w:w="3734"/>
        <w:gridCol w:w="1237"/>
        <w:gridCol w:w="1099"/>
        <w:gridCol w:w="1953"/>
      </w:tblGrid>
      <w:tr w14:paraId="220BB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862" w:type="pct"/>
            <w:tcMar>
              <w:top w:w="28" w:type="dxa"/>
              <w:left w:w="28" w:type="dxa"/>
              <w:bottom w:w="28" w:type="dxa"/>
              <w:right w:w="28" w:type="dxa"/>
            </w:tcMar>
            <w:vAlign w:val="center"/>
          </w:tcPr>
          <w:p w14:paraId="247B5C2F">
            <w:pPr>
              <w:spacing w:line="240" w:lineRule="auto"/>
              <w:ind w:firstLine="0" w:firstLineChars="0"/>
              <w:jc w:val="center"/>
              <w:rPr>
                <w:b/>
                <w:bCs/>
                <w:color w:val="auto"/>
                <w:sz w:val="21"/>
                <w:szCs w:val="21"/>
              </w:rPr>
            </w:pPr>
            <w:r>
              <w:rPr>
                <w:b/>
                <w:bCs/>
                <w:color w:val="auto"/>
                <w:sz w:val="21"/>
                <w:szCs w:val="21"/>
              </w:rPr>
              <w:t>行业</w:t>
            </w:r>
          </w:p>
        </w:tc>
        <w:tc>
          <w:tcPr>
            <w:tcW w:w="1926" w:type="pct"/>
            <w:tcMar>
              <w:top w:w="28" w:type="dxa"/>
              <w:left w:w="28" w:type="dxa"/>
              <w:bottom w:w="28" w:type="dxa"/>
              <w:right w:w="28" w:type="dxa"/>
            </w:tcMar>
            <w:vAlign w:val="center"/>
          </w:tcPr>
          <w:p w14:paraId="2B8C36D7">
            <w:pPr>
              <w:spacing w:line="240" w:lineRule="auto"/>
              <w:ind w:firstLine="0" w:firstLineChars="0"/>
              <w:jc w:val="center"/>
              <w:rPr>
                <w:b/>
                <w:bCs/>
                <w:color w:val="auto"/>
                <w:sz w:val="21"/>
                <w:szCs w:val="21"/>
              </w:rPr>
            </w:pPr>
            <w:r>
              <w:rPr>
                <w:b/>
                <w:bCs/>
                <w:color w:val="auto"/>
                <w:sz w:val="21"/>
                <w:szCs w:val="21"/>
              </w:rPr>
              <w:t>评估依据</w:t>
            </w:r>
          </w:p>
        </w:tc>
        <w:tc>
          <w:tcPr>
            <w:tcW w:w="638" w:type="pct"/>
            <w:tcMar>
              <w:top w:w="28" w:type="dxa"/>
              <w:left w:w="28" w:type="dxa"/>
              <w:bottom w:w="28" w:type="dxa"/>
              <w:right w:w="28" w:type="dxa"/>
            </w:tcMar>
            <w:vAlign w:val="center"/>
          </w:tcPr>
          <w:p w14:paraId="3D209FB0">
            <w:pPr>
              <w:spacing w:line="240" w:lineRule="auto"/>
              <w:ind w:firstLine="0" w:firstLineChars="0"/>
              <w:jc w:val="center"/>
              <w:rPr>
                <w:b/>
                <w:bCs/>
                <w:color w:val="auto"/>
                <w:sz w:val="21"/>
                <w:szCs w:val="21"/>
              </w:rPr>
            </w:pPr>
            <w:r>
              <w:rPr>
                <w:b/>
                <w:bCs/>
                <w:color w:val="auto"/>
                <w:sz w:val="21"/>
                <w:szCs w:val="21"/>
              </w:rPr>
              <w:t>分值</w:t>
            </w:r>
          </w:p>
        </w:tc>
        <w:tc>
          <w:tcPr>
            <w:tcW w:w="567" w:type="pct"/>
            <w:tcMar>
              <w:top w:w="28" w:type="dxa"/>
              <w:left w:w="28" w:type="dxa"/>
              <w:bottom w:w="28" w:type="dxa"/>
              <w:right w:w="28" w:type="dxa"/>
            </w:tcMar>
            <w:vAlign w:val="center"/>
          </w:tcPr>
          <w:p w14:paraId="279AE4A7">
            <w:pPr>
              <w:spacing w:line="240" w:lineRule="auto"/>
              <w:ind w:firstLine="0" w:firstLineChars="0"/>
              <w:jc w:val="center"/>
              <w:rPr>
                <w:b/>
                <w:bCs/>
                <w:color w:val="auto"/>
                <w:sz w:val="21"/>
                <w:szCs w:val="21"/>
              </w:rPr>
            </w:pPr>
            <w:r>
              <w:rPr>
                <w:b/>
                <w:bCs/>
                <w:color w:val="auto"/>
                <w:sz w:val="21"/>
                <w:szCs w:val="21"/>
              </w:rPr>
              <w:t>得分情况</w:t>
            </w:r>
          </w:p>
        </w:tc>
        <w:tc>
          <w:tcPr>
            <w:tcW w:w="1007" w:type="pct"/>
            <w:tcMar>
              <w:top w:w="28" w:type="dxa"/>
              <w:left w:w="28" w:type="dxa"/>
              <w:bottom w:w="28" w:type="dxa"/>
              <w:right w:w="28" w:type="dxa"/>
            </w:tcMar>
            <w:vAlign w:val="center"/>
          </w:tcPr>
          <w:p w14:paraId="7C42999B">
            <w:pPr>
              <w:spacing w:line="240" w:lineRule="auto"/>
              <w:ind w:firstLine="0" w:firstLineChars="0"/>
              <w:jc w:val="center"/>
              <w:rPr>
                <w:b/>
                <w:bCs/>
                <w:color w:val="auto"/>
                <w:sz w:val="21"/>
                <w:szCs w:val="21"/>
              </w:rPr>
            </w:pPr>
            <w:r>
              <w:rPr>
                <w:b/>
                <w:bCs/>
                <w:color w:val="auto"/>
                <w:sz w:val="21"/>
                <w:szCs w:val="21"/>
              </w:rPr>
              <w:t>备注</w:t>
            </w:r>
          </w:p>
        </w:tc>
      </w:tr>
      <w:tr w14:paraId="3987D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62" w:type="pct"/>
            <w:vMerge w:val="restart"/>
            <w:tcMar>
              <w:top w:w="28" w:type="dxa"/>
              <w:left w:w="28" w:type="dxa"/>
              <w:bottom w:w="28" w:type="dxa"/>
              <w:right w:w="28" w:type="dxa"/>
            </w:tcMar>
            <w:vAlign w:val="center"/>
          </w:tcPr>
          <w:p w14:paraId="37B7C246">
            <w:pPr>
              <w:spacing w:line="240" w:lineRule="auto"/>
              <w:ind w:firstLine="0" w:firstLineChars="0"/>
              <w:jc w:val="center"/>
              <w:rPr>
                <w:color w:val="auto"/>
                <w:sz w:val="21"/>
                <w:szCs w:val="21"/>
              </w:rPr>
            </w:pPr>
            <w:r>
              <w:rPr>
                <w:color w:val="auto"/>
                <w:sz w:val="21"/>
                <w:szCs w:val="21"/>
              </w:rPr>
              <w:t>石化、化工、医药、轻工、化纤、有色冶炼等</w:t>
            </w:r>
          </w:p>
        </w:tc>
        <w:tc>
          <w:tcPr>
            <w:tcW w:w="1926" w:type="pct"/>
            <w:tcMar>
              <w:top w:w="28" w:type="dxa"/>
              <w:left w:w="28" w:type="dxa"/>
              <w:bottom w:w="28" w:type="dxa"/>
              <w:right w:w="28" w:type="dxa"/>
            </w:tcMar>
            <w:vAlign w:val="center"/>
          </w:tcPr>
          <w:p w14:paraId="1FA4B938">
            <w:pPr>
              <w:spacing w:line="240" w:lineRule="auto"/>
              <w:ind w:firstLine="0" w:firstLineChars="0"/>
              <w:jc w:val="center"/>
              <w:rPr>
                <w:color w:val="auto"/>
                <w:sz w:val="21"/>
                <w:szCs w:val="21"/>
              </w:rPr>
            </w:pPr>
            <w:r>
              <w:rPr>
                <w:color w:val="auto"/>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38" w:type="pct"/>
            <w:tcMar>
              <w:top w:w="28" w:type="dxa"/>
              <w:left w:w="28" w:type="dxa"/>
              <w:bottom w:w="28" w:type="dxa"/>
              <w:right w:w="28" w:type="dxa"/>
            </w:tcMar>
            <w:vAlign w:val="center"/>
          </w:tcPr>
          <w:p w14:paraId="0D625F41">
            <w:pPr>
              <w:spacing w:line="240" w:lineRule="auto"/>
              <w:ind w:firstLine="0" w:firstLineChars="0"/>
              <w:jc w:val="center"/>
              <w:rPr>
                <w:color w:val="auto"/>
                <w:sz w:val="21"/>
                <w:szCs w:val="21"/>
              </w:rPr>
            </w:pPr>
            <w:r>
              <w:rPr>
                <w:color w:val="auto"/>
                <w:sz w:val="21"/>
                <w:szCs w:val="21"/>
              </w:rPr>
              <w:t>10/套</w:t>
            </w:r>
          </w:p>
        </w:tc>
        <w:tc>
          <w:tcPr>
            <w:tcW w:w="567" w:type="pct"/>
            <w:tcMar>
              <w:top w:w="28" w:type="dxa"/>
              <w:left w:w="28" w:type="dxa"/>
              <w:bottom w:w="28" w:type="dxa"/>
              <w:right w:w="28" w:type="dxa"/>
            </w:tcMar>
            <w:vAlign w:val="center"/>
          </w:tcPr>
          <w:p w14:paraId="11ED0626">
            <w:pPr>
              <w:spacing w:line="240" w:lineRule="auto"/>
              <w:ind w:firstLine="0" w:firstLineChars="0"/>
              <w:jc w:val="center"/>
              <w:rPr>
                <w:color w:val="auto"/>
                <w:sz w:val="21"/>
                <w:szCs w:val="21"/>
              </w:rPr>
            </w:pPr>
            <w:r>
              <w:rPr>
                <w:color w:val="auto"/>
                <w:sz w:val="21"/>
                <w:szCs w:val="21"/>
              </w:rPr>
              <w:t>0</w:t>
            </w:r>
          </w:p>
        </w:tc>
        <w:tc>
          <w:tcPr>
            <w:tcW w:w="1007" w:type="pct"/>
            <w:tcMar>
              <w:top w:w="28" w:type="dxa"/>
              <w:left w:w="28" w:type="dxa"/>
              <w:bottom w:w="28" w:type="dxa"/>
              <w:right w:w="28" w:type="dxa"/>
            </w:tcMar>
            <w:vAlign w:val="center"/>
          </w:tcPr>
          <w:p w14:paraId="4D11A8DC">
            <w:pPr>
              <w:spacing w:line="240" w:lineRule="auto"/>
              <w:ind w:firstLine="0" w:firstLineChars="0"/>
              <w:jc w:val="center"/>
              <w:rPr>
                <w:color w:val="auto"/>
                <w:sz w:val="21"/>
                <w:szCs w:val="21"/>
              </w:rPr>
            </w:pPr>
            <w:r>
              <w:rPr>
                <w:color w:val="auto"/>
                <w:sz w:val="21"/>
                <w:szCs w:val="21"/>
              </w:rPr>
              <w:t>不涉及</w:t>
            </w:r>
          </w:p>
        </w:tc>
      </w:tr>
      <w:tr w14:paraId="36770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62" w:type="pct"/>
            <w:vMerge w:val="continue"/>
            <w:tcMar>
              <w:top w:w="28" w:type="dxa"/>
              <w:left w:w="28" w:type="dxa"/>
              <w:bottom w:w="28" w:type="dxa"/>
              <w:right w:w="28" w:type="dxa"/>
            </w:tcMar>
            <w:vAlign w:val="center"/>
          </w:tcPr>
          <w:p w14:paraId="2C4C78EB">
            <w:pPr>
              <w:spacing w:line="240" w:lineRule="auto"/>
              <w:ind w:firstLine="0" w:firstLineChars="0"/>
              <w:jc w:val="center"/>
              <w:rPr>
                <w:color w:val="auto"/>
                <w:sz w:val="21"/>
                <w:szCs w:val="21"/>
              </w:rPr>
            </w:pPr>
          </w:p>
        </w:tc>
        <w:tc>
          <w:tcPr>
            <w:tcW w:w="1926" w:type="pct"/>
            <w:tcMar>
              <w:top w:w="28" w:type="dxa"/>
              <w:left w:w="28" w:type="dxa"/>
              <w:bottom w:w="28" w:type="dxa"/>
              <w:right w:w="28" w:type="dxa"/>
            </w:tcMar>
            <w:vAlign w:val="center"/>
          </w:tcPr>
          <w:p w14:paraId="0CC79668">
            <w:pPr>
              <w:spacing w:line="240" w:lineRule="auto"/>
              <w:ind w:firstLine="0" w:firstLineChars="0"/>
              <w:jc w:val="center"/>
              <w:rPr>
                <w:color w:val="auto"/>
                <w:sz w:val="21"/>
                <w:szCs w:val="21"/>
              </w:rPr>
            </w:pPr>
            <w:r>
              <w:rPr>
                <w:color w:val="auto"/>
                <w:sz w:val="21"/>
                <w:szCs w:val="21"/>
              </w:rPr>
              <w:t>无机酸制酸、焦化工艺。</w:t>
            </w:r>
          </w:p>
        </w:tc>
        <w:tc>
          <w:tcPr>
            <w:tcW w:w="638" w:type="pct"/>
            <w:tcMar>
              <w:top w:w="28" w:type="dxa"/>
              <w:left w:w="28" w:type="dxa"/>
              <w:bottom w:w="28" w:type="dxa"/>
              <w:right w:w="28" w:type="dxa"/>
            </w:tcMar>
            <w:vAlign w:val="center"/>
          </w:tcPr>
          <w:p w14:paraId="5FE1CEC0">
            <w:pPr>
              <w:spacing w:line="240" w:lineRule="auto"/>
              <w:ind w:firstLine="0" w:firstLineChars="0"/>
              <w:jc w:val="center"/>
              <w:rPr>
                <w:color w:val="auto"/>
                <w:sz w:val="21"/>
                <w:szCs w:val="21"/>
              </w:rPr>
            </w:pPr>
            <w:r>
              <w:rPr>
                <w:color w:val="auto"/>
                <w:sz w:val="21"/>
                <w:szCs w:val="21"/>
              </w:rPr>
              <w:t>5/套</w:t>
            </w:r>
          </w:p>
        </w:tc>
        <w:tc>
          <w:tcPr>
            <w:tcW w:w="567" w:type="pct"/>
            <w:tcMar>
              <w:top w:w="28" w:type="dxa"/>
              <w:left w:w="28" w:type="dxa"/>
              <w:bottom w:w="28" w:type="dxa"/>
              <w:right w:w="28" w:type="dxa"/>
            </w:tcMar>
            <w:vAlign w:val="center"/>
          </w:tcPr>
          <w:p w14:paraId="74C573B7">
            <w:pPr>
              <w:spacing w:line="240" w:lineRule="auto"/>
              <w:ind w:firstLine="0" w:firstLineChars="0"/>
              <w:jc w:val="center"/>
              <w:rPr>
                <w:color w:val="auto"/>
                <w:sz w:val="21"/>
                <w:szCs w:val="21"/>
              </w:rPr>
            </w:pPr>
            <w:r>
              <w:rPr>
                <w:color w:val="auto"/>
                <w:sz w:val="21"/>
                <w:szCs w:val="21"/>
              </w:rPr>
              <w:t>0</w:t>
            </w:r>
          </w:p>
        </w:tc>
        <w:tc>
          <w:tcPr>
            <w:tcW w:w="1007" w:type="pct"/>
            <w:tcMar>
              <w:top w:w="28" w:type="dxa"/>
              <w:left w:w="28" w:type="dxa"/>
              <w:bottom w:w="28" w:type="dxa"/>
              <w:right w:w="28" w:type="dxa"/>
            </w:tcMar>
            <w:vAlign w:val="center"/>
          </w:tcPr>
          <w:p w14:paraId="55F516C2">
            <w:pPr>
              <w:spacing w:line="240" w:lineRule="auto"/>
              <w:ind w:firstLine="0" w:firstLineChars="0"/>
              <w:jc w:val="center"/>
              <w:rPr>
                <w:color w:val="auto"/>
                <w:sz w:val="21"/>
                <w:szCs w:val="21"/>
              </w:rPr>
            </w:pPr>
            <w:r>
              <w:rPr>
                <w:color w:val="auto"/>
                <w:sz w:val="21"/>
                <w:szCs w:val="21"/>
              </w:rPr>
              <w:t>不涉及</w:t>
            </w:r>
          </w:p>
        </w:tc>
      </w:tr>
      <w:tr w14:paraId="3DF26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62" w:type="pct"/>
            <w:vMerge w:val="continue"/>
            <w:tcMar>
              <w:top w:w="28" w:type="dxa"/>
              <w:left w:w="28" w:type="dxa"/>
              <w:bottom w:w="28" w:type="dxa"/>
              <w:right w:w="28" w:type="dxa"/>
            </w:tcMar>
            <w:vAlign w:val="center"/>
          </w:tcPr>
          <w:p w14:paraId="0EEA8A5B">
            <w:pPr>
              <w:spacing w:line="240" w:lineRule="auto"/>
              <w:ind w:firstLine="0" w:firstLineChars="0"/>
              <w:jc w:val="center"/>
              <w:rPr>
                <w:color w:val="auto"/>
                <w:sz w:val="21"/>
                <w:szCs w:val="21"/>
              </w:rPr>
            </w:pPr>
          </w:p>
        </w:tc>
        <w:tc>
          <w:tcPr>
            <w:tcW w:w="1926" w:type="pct"/>
            <w:tcMar>
              <w:top w:w="28" w:type="dxa"/>
              <w:left w:w="28" w:type="dxa"/>
              <w:bottom w:w="28" w:type="dxa"/>
              <w:right w:w="28" w:type="dxa"/>
            </w:tcMar>
            <w:vAlign w:val="center"/>
          </w:tcPr>
          <w:p w14:paraId="56CA71A4">
            <w:pPr>
              <w:spacing w:line="240" w:lineRule="auto"/>
              <w:ind w:firstLine="0" w:firstLineChars="0"/>
              <w:jc w:val="center"/>
              <w:rPr>
                <w:color w:val="auto"/>
                <w:sz w:val="21"/>
                <w:szCs w:val="21"/>
              </w:rPr>
            </w:pPr>
            <w:r>
              <w:rPr>
                <w:color w:val="auto"/>
                <w:sz w:val="21"/>
                <w:szCs w:val="21"/>
              </w:rPr>
              <w:t>其他高温或高压，且涉及危险物质的工艺过程</w:t>
            </w:r>
            <w:r>
              <w:rPr>
                <w:color w:val="auto"/>
                <w:sz w:val="21"/>
                <w:szCs w:val="21"/>
                <w:vertAlign w:val="superscript"/>
              </w:rPr>
              <w:t>a</w:t>
            </w:r>
            <w:r>
              <w:rPr>
                <w:color w:val="auto"/>
                <w:sz w:val="21"/>
                <w:szCs w:val="21"/>
              </w:rPr>
              <w:t>、危险物质贮存罐区。</w:t>
            </w:r>
          </w:p>
        </w:tc>
        <w:tc>
          <w:tcPr>
            <w:tcW w:w="638" w:type="pct"/>
            <w:tcMar>
              <w:top w:w="28" w:type="dxa"/>
              <w:left w:w="28" w:type="dxa"/>
              <w:bottom w:w="28" w:type="dxa"/>
              <w:right w:w="28" w:type="dxa"/>
            </w:tcMar>
            <w:vAlign w:val="center"/>
          </w:tcPr>
          <w:p w14:paraId="2F767D57">
            <w:pPr>
              <w:spacing w:line="240" w:lineRule="auto"/>
              <w:ind w:firstLine="0" w:firstLineChars="0"/>
              <w:jc w:val="center"/>
              <w:rPr>
                <w:color w:val="auto"/>
                <w:sz w:val="21"/>
                <w:szCs w:val="21"/>
              </w:rPr>
            </w:pPr>
            <w:r>
              <w:rPr>
                <w:color w:val="auto"/>
                <w:sz w:val="21"/>
                <w:szCs w:val="21"/>
              </w:rPr>
              <w:t>5/套(罐区)</w:t>
            </w:r>
          </w:p>
        </w:tc>
        <w:tc>
          <w:tcPr>
            <w:tcW w:w="567" w:type="pct"/>
            <w:tcMar>
              <w:top w:w="28" w:type="dxa"/>
              <w:left w:w="28" w:type="dxa"/>
              <w:bottom w:w="28" w:type="dxa"/>
              <w:right w:w="28" w:type="dxa"/>
            </w:tcMar>
            <w:vAlign w:val="center"/>
          </w:tcPr>
          <w:p w14:paraId="6FB3477F">
            <w:pPr>
              <w:spacing w:line="240" w:lineRule="auto"/>
              <w:ind w:firstLine="0" w:firstLineChars="0"/>
              <w:jc w:val="center"/>
              <w:rPr>
                <w:color w:val="auto"/>
                <w:sz w:val="21"/>
                <w:szCs w:val="21"/>
              </w:rPr>
            </w:pPr>
            <w:r>
              <w:rPr>
                <w:rFonts w:hint="eastAsia"/>
                <w:color w:val="auto"/>
                <w:sz w:val="21"/>
                <w:szCs w:val="21"/>
              </w:rPr>
              <w:t>10</w:t>
            </w:r>
          </w:p>
        </w:tc>
        <w:tc>
          <w:tcPr>
            <w:tcW w:w="1007" w:type="pct"/>
            <w:tcMar>
              <w:top w:w="28" w:type="dxa"/>
              <w:left w:w="28" w:type="dxa"/>
              <w:bottom w:w="28" w:type="dxa"/>
              <w:right w:w="28" w:type="dxa"/>
            </w:tcMar>
            <w:vAlign w:val="center"/>
          </w:tcPr>
          <w:p w14:paraId="4BCACB9F">
            <w:pPr>
              <w:spacing w:line="240" w:lineRule="auto"/>
              <w:ind w:firstLine="0" w:firstLineChars="0"/>
              <w:jc w:val="center"/>
              <w:rPr>
                <w:color w:val="auto"/>
                <w:sz w:val="21"/>
                <w:szCs w:val="21"/>
              </w:rPr>
            </w:pPr>
            <w:r>
              <w:rPr>
                <w:color w:val="auto"/>
                <w:sz w:val="21"/>
                <w:szCs w:val="21"/>
              </w:rPr>
              <w:t>本项目涉及</w:t>
            </w:r>
            <w:r>
              <w:rPr>
                <w:rFonts w:hint="eastAsia"/>
                <w:color w:val="auto"/>
                <w:sz w:val="21"/>
                <w:szCs w:val="21"/>
              </w:rPr>
              <w:t>焚硫工序、液氨储罐</w:t>
            </w:r>
          </w:p>
        </w:tc>
      </w:tr>
      <w:tr w14:paraId="0FFCC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62" w:type="pct"/>
            <w:tcMar>
              <w:top w:w="28" w:type="dxa"/>
              <w:left w:w="28" w:type="dxa"/>
              <w:bottom w:w="28" w:type="dxa"/>
              <w:right w:w="28" w:type="dxa"/>
            </w:tcMar>
            <w:vAlign w:val="center"/>
          </w:tcPr>
          <w:p w14:paraId="18B01C72">
            <w:pPr>
              <w:spacing w:line="240" w:lineRule="auto"/>
              <w:ind w:firstLine="0" w:firstLineChars="0"/>
              <w:jc w:val="center"/>
              <w:rPr>
                <w:color w:val="auto"/>
                <w:sz w:val="21"/>
                <w:szCs w:val="21"/>
              </w:rPr>
            </w:pPr>
            <w:r>
              <w:rPr>
                <w:color w:val="auto"/>
                <w:sz w:val="21"/>
                <w:szCs w:val="21"/>
              </w:rPr>
              <w:t>管道、港口/码头等</w:t>
            </w:r>
          </w:p>
        </w:tc>
        <w:tc>
          <w:tcPr>
            <w:tcW w:w="1926" w:type="pct"/>
            <w:tcMar>
              <w:top w:w="28" w:type="dxa"/>
              <w:left w:w="28" w:type="dxa"/>
              <w:bottom w:w="28" w:type="dxa"/>
              <w:right w:w="28" w:type="dxa"/>
            </w:tcMar>
            <w:vAlign w:val="center"/>
          </w:tcPr>
          <w:p w14:paraId="37400F6A">
            <w:pPr>
              <w:spacing w:line="240" w:lineRule="auto"/>
              <w:ind w:firstLine="0" w:firstLineChars="0"/>
              <w:jc w:val="center"/>
              <w:rPr>
                <w:color w:val="auto"/>
                <w:sz w:val="21"/>
                <w:szCs w:val="21"/>
              </w:rPr>
            </w:pPr>
            <w:r>
              <w:rPr>
                <w:color w:val="auto"/>
                <w:sz w:val="21"/>
                <w:szCs w:val="21"/>
              </w:rPr>
              <w:t>涉及危险物质管道运输项目、港口/码头等。</w:t>
            </w:r>
          </w:p>
        </w:tc>
        <w:tc>
          <w:tcPr>
            <w:tcW w:w="638" w:type="pct"/>
            <w:tcMar>
              <w:top w:w="28" w:type="dxa"/>
              <w:left w:w="28" w:type="dxa"/>
              <w:bottom w:w="28" w:type="dxa"/>
              <w:right w:w="28" w:type="dxa"/>
            </w:tcMar>
            <w:vAlign w:val="center"/>
          </w:tcPr>
          <w:p w14:paraId="2F9C32B8">
            <w:pPr>
              <w:spacing w:line="240" w:lineRule="auto"/>
              <w:ind w:firstLine="0" w:firstLineChars="0"/>
              <w:jc w:val="center"/>
              <w:rPr>
                <w:color w:val="auto"/>
                <w:sz w:val="21"/>
                <w:szCs w:val="21"/>
              </w:rPr>
            </w:pPr>
            <w:r>
              <w:rPr>
                <w:color w:val="auto"/>
                <w:sz w:val="21"/>
                <w:szCs w:val="21"/>
              </w:rPr>
              <w:t>10/套</w:t>
            </w:r>
          </w:p>
        </w:tc>
        <w:tc>
          <w:tcPr>
            <w:tcW w:w="567" w:type="pct"/>
            <w:tcMar>
              <w:top w:w="28" w:type="dxa"/>
              <w:left w:w="28" w:type="dxa"/>
              <w:bottom w:w="28" w:type="dxa"/>
              <w:right w:w="28" w:type="dxa"/>
            </w:tcMar>
            <w:vAlign w:val="center"/>
          </w:tcPr>
          <w:p w14:paraId="16529530">
            <w:pPr>
              <w:spacing w:line="240" w:lineRule="auto"/>
              <w:ind w:firstLine="0" w:firstLineChars="0"/>
              <w:jc w:val="center"/>
              <w:rPr>
                <w:color w:val="auto"/>
                <w:sz w:val="21"/>
                <w:szCs w:val="21"/>
              </w:rPr>
            </w:pPr>
            <w:r>
              <w:rPr>
                <w:color w:val="auto"/>
                <w:sz w:val="21"/>
                <w:szCs w:val="21"/>
              </w:rPr>
              <w:t>0</w:t>
            </w:r>
          </w:p>
        </w:tc>
        <w:tc>
          <w:tcPr>
            <w:tcW w:w="1007" w:type="pct"/>
            <w:tcMar>
              <w:top w:w="28" w:type="dxa"/>
              <w:left w:w="28" w:type="dxa"/>
              <w:bottom w:w="28" w:type="dxa"/>
              <w:right w:w="28" w:type="dxa"/>
            </w:tcMar>
            <w:vAlign w:val="center"/>
          </w:tcPr>
          <w:p w14:paraId="79320BD4">
            <w:pPr>
              <w:spacing w:line="240" w:lineRule="auto"/>
              <w:ind w:firstLine="0" w:firstLineChars="0"/>
              <w:jc w:val="center"/>
              <w:rPr>
                <w:color w:val="auto"/>
                <w:sz w:val="21"/>
                <w:szCs w:val="21"/>
              </w:rPr>
            </w:pPr>
            <w:r>
              <w:rPr>
                <w:color w:val="auto"/>
                <w:sz w:val="21"/>
                <w:szCs w:val="21"/>
              </w:rPr>
              <w:t>不涉及</w:t>
            </w:r>
          </w:p>
        </w:tc>
      </w:tr>
      <w:tr w14:paraId="1C1A7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62" w:type="pct"/>
            <w:tcMar>
              <w:top w:w="28" w:type="dxa"/>
              <w:left w:w="28" w:type="dxa"/>
              <w:bottom w:w="28" w:type="dxa"/>
              <w:right w:w="28" w:type="dxa"/>
            </w:tcMar>
            <w:vAlign w:val="center"/>
          </w:tcPr>
          <w:p w14:paraId="6FC9A109">
            <w:pPr>
              <w:spacing w:line="240" w:lineRule="auto"/>
              <w:ind w:firstLine="0" w:firstLineChars="0"/>
              <w:jc w:val="center"/>
              <w:rPr>
                <w:color w:val="auto"/>
                <w:sz w:val="21"/>
                <w:szCs w:val="21"/>
              </w:rPr>
            </w:pPr>
            <w:r>
              <w:rPr>
                <w:color w:val="auto"/>
                <w:sz w:val="21"/>
                <w:szCs w:val="21"/>
              </w:rPr>
              <w:t>石油天然气</w:t>
            </w:r>
          </w:p>
        </w:tc>
        <w:tc>
          <w:tcPr>
            <w:tcW w:w="1926" w:type="pct"/>
            <w:tcMar>
              <w:top w:w="28" w:type="dxa"/>
              <w:left w:w="28" w:type="dxa"/>
              <w:bottom w:w="28" w:type="dxa"/>
              <w:right w:w="28" w:type="dxa"/>
            </w:tcMar>
            <w:vAlign w:val="center"/>
          </w:tcPr>
          <w:p w14:paraId="2533C910">
            <w:pPr>
              <w:spacing w:line="240" w:lineRule="auto"/>
              <w:ind w:firstLine="0" w:firstLineChars="0"/>
              <w:jc w:val="center"/>
              <w:rPr>
                <w:color w:val="auto"/>
                <w:sz w:val="21"/>
                <w:szCs w:val="21"/>
              </w:rPr>
            </w:pPr>
            <w:r>
              <w:rPr>
                <w:color w:val="auto"/>
                <w:sz w:val="21"/>
                <w:szCs w:val="21"/>
              </w:rPr>
              <w:t>石油、天然气、页岩气开采、气库、油库、油气管线。</w:t>
            </w:r>
          </w:p>
        </w:tc>
        <w:tc>
          <w:tcPr>
            <w:tcW w:w="638" w:type="pct"/>
            <w:tcMar>
              <w:top w:w="28" w:type="dxa"/>
              <w:left w:w="28" w:type="dxa"/>
              <w:bottom w:w="28" w:type="dxa"/>
              <w:right w:w="28" w:type="dxa"/>
            </w:tcMar>
            <w:vAlign w:val="center"/>
          </w:tcPr>
          <w:p w14:paraId="4EB528C7">
            <w:pPr>
              <w:spacing w:line="240" w:lineRule="auto"/>
              <w:ind w:firstLine="0" w:firstLineChars="0"/>
              <w:jc w:val="center"/>
              <w:rPr>
                <w:color w:val="auto"/>
                <w:sz w:val="21"/>
                <w:szCs w:val="21"/>
              </w:rPr>
            </w:pPr>
            <w:r>
              <w:rPr>
                <w:color w:val="auto"/>
                <w:sz w:val="21"/>
                <w:szCs w:val="21"/>
              </w:rPr>
              <w:t>10</w:t>
            </w:r>
          </w:p>
        </w:tc>
        <w:tc>
          <w:tcPr>
            <w:tcW w:w="567" w:type="pct"/>
            <w:tcMar>
              <w:top w:w="28" w:type="dxa"/>
              <w:left w:w="28" w:type="dxa"/>
              <w:bottom w:w="28" w:type="dxa"/>
              <w:right w:w="28" w:type="dxa"/>
            </w:tcMar>
            <w:vAlign w:val="center"/>
          </w:tcPr>
          <w:p w14:paraId="16EA3C74">
            <w:pPr>
              <w:spacing w:line="240" w:lineRule="auto"/>
              <w:ind w:firstLine="0" w:firstLineChars="0"/>
              <w:jc w:val="center"/>
              <w:rPr>
                <w:color w:val="auto"/>
                <w:sz w:val="21"/>
                <w:szCs w:val="21"/>
              </w:rPr>
            </w:pPr>
            <w:r>
              <w:rPr>
                <w:color w:val="auto"/>
                <w:sz w:val="21"/>
                <w:szCs w:val="21"/>
              </w:rPr>
              <w:t>0</w:t>
            </w:r>
          </w:p>
        </w:tc>
        <w:tc>
          <w:tcPr>
            <w:tcW w:w="1007" w:type="pct"/>
            <w:tcMar>
              <w:top w:w="28" w:type="dxa"/>
              <w:left w:w="28" w:type="dxa"/>
              <w:bottom w:w="28" w:type="dxa"/>
              <w:right w:w="28" w:type="dxa"/>
            </w:tcMar>
            <w:vAlign w:val="center"/>
          </w:tcPr>
          <w:p w14:paraId="331DDFAB">
            <w:pPr>
              <w:spacing w:line="240" w:lineRule="auto"/>
              <w:ind w:firstLine="0" w:firstLineChars="0"/>
              <w:jc w:val="center"/>
              <w:rPr>
                <w:color w:val="auto"/>
                <w:sz w:val="21"/>
                <w:szCs w:val="21"/>
              </w:rPr>
            </w:pPr>
            <w:r>
              <w:rPr>
                <w:color w:val="auto"/>
                <w:sz w:val="21"/>
                <w:szCs w:val="21"/>
              </w:rPr>
              <w:t>不涉及</w:t>
            </w:r>
          </w:p>
        </w:tc>
      </w:tr>
      <w:tr w14:paraId="416BE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62" w:type="pct"/>
            <w:tcMar>
              <w:top w:w="28" w:type="dxa"/>
              <w:left w:w="28" w:type="dxa"/>
              <w:bottom w:w="28" w:type="dxa"/>
              <w:right w:w="28" w:type="dxa"/>
            </w:tcMar>
            <w:vAlign w:val="center"/>
          </w:tcPr>
          <w:p w14:paraId="3F9796C6">
            <w:pPr>
              <w:spacing w:line="240" w:lineRule="auto"/>
              <w:ind w:firstLine="0" w:firstLineChars="0"/>
              <w:jc w:val="center"/>
              <w:rPr>
                <w:color w:val="auto"/>
                <w:sz w:val="21"/>
                <w:szCs w:val="21"/>
              </w:rPr>
            </w:pPr>
            <w:r>
              <w:rPr>
                <w:color w:val="auto"/>
                <w:sz w:val="21"/>
                <w:szCs w:val="21"/>
              </w:rPr>
              <w:t>其他</w:t>
            </w:r>
          </w:p>
        </w:tc>
        <w:tc>
          <w:tcPr>
            <w:tcW w:w="1926" w:type="pct"/>
            <w:tcMar>
              <w:top w:w="28" w:type="dxa"/>
              <w:left w:w="28" w:type="dxa"/>
              <w:bottom w:w="28" w:type="dxa"/>
              <w:right w:w="28" w:type="dxa"/>
            </w:tcMar>
            <w:vAlign w:val="center"/>
          </w:tcPr>
          <w:p w14:paraId="357FEE6A">
            <w:pPr>
              <w:spacing w:line="240" w:lineRule="auto"/>
              <w:ind w:firstLine="0" w:firstLineChars="0"/>
              <w:jc w:val="center"/>
              <w:rPr>
                <w:color w:val="auto"/>
                <w:sz w:val="21"/>
                <w:szCs w:val="21"/>
              </w:rPr>
            </w:pPr>
            <w:r>
              <w:rPr>
                <w:color w:val="auto"/>
                <w:sz w:val="21"/>
                <w:szCs w:val="21"/>
              </w:rPr>
              <w:t>涉及危险物质使用、贮存的项目。</w:t>
            </w:r>
          </w:p>
        </w:tc>
        <w:tc>
          <w:tcPr>
            <w:tcW w:w="638" w:type="pct"/>
            <w:tcMar>
              <w:top w:w="28" w:type="dxa"/>
              <w:left w:w="28" w:type="dxa"/>
              <w:bottom w:w="28" w:type="dxa"/>
              <w:right w:w="28" w:type="dxa"/>
            </w:tcMar>
            <w:vAlign w:val="center"/>
          </w:tcPr>
          <w:p w14:paraId="07EA331A">
            <w:pPr>
              <w:spacing w:line="240" w:lineRule="auto"/>
              <w:ind w:firstLine="0" w:firstLineChars="0"/>
              <w:jc w:val="center"/>
              <w:rPr>
                <w:color w:val="auto"/>
                <w:sz w:val="21"/>
                <w:szCs w:val="21"/>
              </w:rPr>
            </w:pPr>
            <w:r>
              <w:rPr>
                <w:color w:val="auto"/>
                <w:sz w:val="21"/>
                <w:szCs w:val="21"/>
              </w:rPr>
              <w:t>5</w:t>
            </w:r>
          </w:p>
        </w:tc>
        <w:tc>
          <w:tcPr>
            <w:tcW w:w="567" w:type="pct"/>
            <w:tcMar>
              <w:top w:w="28" w:type="dxa"/>
              <w:left w:w="28" w:type="dxa"/>
              <w:bottom w:w="28" w:type="dxa"/>
              <w:right w:w="28" w:type="dxa"/>
            </w:tcMar>
            <w:vAlign w:val="center"/>
          </w:tcPr>
          <w:p w14:paraId="3EB710B6">
            <w:pPr>
              <w:spacing w:line="240" w:lineRule="auto"/>
              <w:ind w:firstLine="0" w:firstLineChars="0"/>
              <w:jc w:val="center"/>
              <w:rPr>
                <w:color w:val="auto"/>
                <w:sz w:val="21"/>
                <w:szCs w:val="21"/>
              </w:rPr>
            </w:pPr>
            <w:r>
              <w:rPr>
                <w:rFonts w:hint="eastAsia"/>
                <w:color w:val="auto"/>
                <w:sz w:val="21"/>
                <w:szCs w:val="21"/>
              </w:rPr>
              <w:t>0</w:t>
            </w:r>
          </w:p>
        </w:tc>
        <w:tc>
          <w:tcPr>
            <w:tcW w:w="1007" w:type="pct"/>
            <w:tcMar>
              <w:top w:w="28" w:type="dxa"/>
              <w:left w:w="28" w:type="dxa"/>
              <w:bottom w:w="28" w:type="dxa"/>
              <w:right w:w="28" w:type="dxa"/>
            </w:tcMar>
            <w:vAlign w:val="center"/>
          </w:tcPr>
          <w:p w14:paraId="1008ECAA">
            <w:pPr>
              <w:spacing w:line="240" w:lineRule="auto"/>
              <w:ind w:firstLine="0" w:firstLineChars="0"/>
              <w:jc w:val="center"/>
              <w:rPr>
                <w:color w:val="auto"/>
                <w:sz w:val="21"/>
                <w:szCs w:val="21"/>
              </w:rPr>
            </w:pPr>
            <w:r>
              <w:rPr>
                <w:rFonts w:hint="eastAsia"/>
                <w:color w:val="auto"/>
                <w:sz w:val="21"/>
                <w:szCs w:val="21"/>
              </w:rPr>
              <w:t>不涉及</w:t>
            </w:r>
          </w:p>
        </w:tc>
      </w:tr>
      <w:tr w14:paraId="53A28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pct"/>
            <w:gridSpan w:val="5"/>
            <w:tcMar>
              <w:top w:w="28" w:type="dxa"/>
              <w:left w:w="28" w:type="dxa"/>
              <w:bottom w:w="28" w:type="dxa"/>
              <w:right w:w="28" w:type="dxa"/>
            </w:tcMar>
            <w:vAlign w:val="center"/>
          </w:tcPr>
          <w:p w14:paraId="62B1A20C">
            <w:pPr>
              <w:spacing w:line="240" w:lineRule="auto"/>
              <w:ind w:firstLine="0" w:firstLineChars="0"/>
              <w:jc w:val="center"/>
              <w:rPr>
                <w:color w:val="auto"/>
                <w:sz w:val="21"/>
                <w:szCs w:val="21"/>
              </w:rPr>
            </w:pPr>
            <w:r>
              <w:rPr>
                <w:color w:val="auto"/>
                <w:sz w:val="21"/>
                <w:szCs w:val="21"/>
                <w:vertAlign w:val="superscript"/>
              </w:rPr>
              <w:t>a</w:t>
            </w:r>
            <w:r>
              <w:rPr>
                <w:color w:val="auto"/>
                <w:sz w:val="21"/>
                <w:szCs w:val="21"/>
              </w:rPr>
              <w:t>高温指工艺温度≥300℃，高压指压力容器的设计压力(P)≥10.0MPa</w:t>
            </w:r>
          </w:p>
        </w:tc>
      </w:tr>
      <w:tr w14:paraId="3E618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62" w:type="pct"/>
            <w:tcMar>
              <w:top w:w="28" w:type="dxa"/>
              <w:left w:w="28" w:type="dxa"/>
              <w:bottom w:w="28" w:type="dxa"/>
              <w:right w:w="28" w:type="dxa"/>
            </w:tcMar>
            <w:vAlign w:val="center"/>
          </w:tcPr>
          <w:p w14:paraId="1DA6C47C">
            <w:pPr>
              <w:spacing w:line="240" w:lineRule="auto"/>
              <w:ind w:firstLine="0" w:firstLineChars="0"/>
              <w:jc w:val="center"/>
              <w:rPr>
                <w:color w:val="auto"/>
                <w:sz w:val="21"/>
                <w:szCs w:val="21"/>
              </w:rPr>
            </w:pPr>
            <w:r>
              <w:rPr>
                <w:color w:val="auto"/>
                <w:sz w:val="21"/>
                <w:szCs w:val="21"/>
              </w:rPr>
              <w:t>M(分值合计)</w:t>
            </w:r>
          </w:p>
        </w:tc>
        <w:tc>
          <w:tcPr>
            <w:tcW w:w="4138" w:type="pct"/>
            <w:gridSpan w:val="4"/>
            <w:vAlign w:val="center"/>
          </w:tcPr>
          <w:p w14:paraId="21CC86F1">
            <w:pPr>
              <w:spacing w:line="240" w:lineRule="auto"/>
              <w:ind w:firstLine="0" w:firstLineChars="0"/>
              <w:jc w:val="center"/>
              <w:rPr>
                <w:color w:val="auto"/>
                <w:sz w:val="21"/>
                <w:szCs w:val="21"/>
              </w:rPr>
            </w:pPr>
            <w:r>
              <w:rPr>
                <w:rFonts w:hint="eastAsia"/>
                <w:color w:val="auto"/>
                <w:sz w:val="21"/>
                <w:szCs w:val="21"/>
              </w:rPr>
              <w:t>10</w:t>
            </w:r>
          </w:p>
        </w:tc>
      </w:tr>
    </w:tbl>
    <w:p w14:paraId="3D86BEE3">
      <w:pPr>
        <w:ind w:firstLine="480"/>
        <w:rPr>
          <w:color w:val="auto"/>
        </w:rPr>
      </w:pPr>
      <w:r>
        <w:rPr>
          <w:color w:val="auto"/>
        </w:rPr>
        <w:t>由上表计算可知，本项目M=1</w:t>
      </w:r>
      <w:r>
        <w:rPr>
          <w:rFonts w:hint="eastAsia"/>
          <w:color w:val="auto"/>
        </w:rPr>
        <w:t>0</w:t>
      </w:r>
      <w:r>
        <w:rPr>
          <w:color w:val="auto"/>
        </w:rPr>
        <w:t>，以M</w:t>
      </w:r>
      <w:r>
        <w:rPr>
          <w:rFonts w:hint="eastAsia"/>
          <w:color w:val="auto"/>
        </w:rPr>
        <w:t>3</w:t>
      </w:r>
      <w:r>
        <w:rPr>
          <w:color w:val="auto"/>
        </w:rPr>
        <w:t>表示。</w:t>
      </w:r>
    </w:p>
    <w:p w14:paraId="7555E666">
      <w:pPr>
        <w:ind w:firstLine="480"/>
        <w:rPr>
          <w:color w:val="auto"/>
        </w:rPr>
      </w:pPr>
      <w:r>
        <w:rPr>
          <w:rFonts w:hint="eastAsia"/>
          <w:color w:val="auto"/>
        </w:rPr>
        <w:t>③</w:t>
      </w:r>
      <w:r>
        <w:rPr>
          <w:color w:val="auto"/>
        </w:rPr>
        <w:t>危险物质及工艺系统危险性(P)分级</w:t>
      </w:r>
    </w:p>
    <w:p w14:paraId="7B74D262">
      <w:pPr>
        <w:ind w:firstLine="480"/>
        <w:rPr>
          <w:color w:val="auto"/>
        </w:rPr>
      </w:pPr>
      <w:r>
        <w:rPr>
          <w:color w:val="auto"/>
        </w:rPr>
        <w:t>根据危险物质数量与临界量比值(Q)和行业及生产工艺(M)确定危险物质及工艺系统危险性(P)。</w:t>
      </w:r>
    </w:p>
    <w:p w14:paraId="4BB7F934">
      <w:pPr>
        <w:ind w:firstLine="482"/>
        <w:jc w:val="center"/>
        <w:rPr>
          <w:b/>
          <w:bCs/>
          <w:color w:val="auto"/>
        </w:rPr>
      </w:pPr>
      <w:r>
        <w:rPr>
          <w:b/>
          <w:bCs/>
          <w:color w:val="auto"/>
        </w:rPr>
        <w:t>表2.3-9  危险物质及工艺系统危险性等级判断(P)</w:t>
      </w:r>
    </w:p>
    <w:tbl>
      <w:tblPr>
        <w:tblStyle w:val="24"/>
        <w:tblW w:w="501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77"/>
        <w:gridCol w:w="1845"/>
        <w:gridCol w:w="1845"/>
        <w:gridCol w:w="1845"/>
        <w:gridCol w:w="1845"/>
      </w:tblGrid>
      <w:tr w14:paraId="6C9BF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 w:hRule="atLeast"/>
          <w:tblHeader/>
          <w:jc w:val="center"/>
        </w:trPr>
        <w:tc>
          <w:tcPr>
            <w:tcW w:w="1179" w:type="pct"/>
            <w:vMerge w:val="restart"/>
            <w:vAlign w:val="center"/>
          </w:tcPr>
          <w:p w14:paraId="6BE0269D">
            <w:pPr>
              <w:spacing w:line="240" w:lineRule="auto"/>
              <w:ind w:firstLine="0" w:firstLineChars="0"/>
              <w:jc w:val="center"/>
              <w:rPr>
                <w:b/>
                <w:bCs/>
                <w:color w:val="auto"/>
                <w:sz w:val="21"/>
                <w:szCs w:val="21"/>
              </w:rPr>
            </w:pPr>
            <w:r>
              <w:rPr>
                <w:b/>
                <w:bCs/>
                <w:color w:val="auto"/>
                <w:sz w:val="21"/>
                <w:szCs w:val="21"/>
              </w:rPr>
              <w:t>危险物质数量与临界量比值(Q)</w:t>
            </w:r>
          </w:p>
        </w:tc>
        <w:tc>
          <w:tcPr>
            <w:tcW w:w="3820" w:type="pct"/>
            <w:gridSpan w:val="4"/>
            <w:vAlign w:val="center"/>
          </w:tcPr>
          <w:p w14:paraId="1136565D">
            <w:pPr>
              <w:spacing w:line="240" w:lineRule="auto"/>
              <w:ind w:firstLine="0" w:firstLineChars="0"/>
              <w:jc w:val="center"/>
              <w:rPr>
                <w:b/>
                <w:bCs/>
                <w:color w:val="auto"/>
                <w:sz w:val="21"/>
                <w:szCs w:val="21"/>
              </w:rPr>
            </w:pPr>
            <w:r>
              <w:rPr>
                <w:b/>
                <w:bCs/>
                <w:color w:val="auto"/>
                <w:sz w:val="21"/>
                <w:szCs w:val="21"/>
              </w:rPr>
              <w:t>行业及生产工艺(M)</w:t>
            </w:r>
          </w:p>
        </w:tc>
      </w:tr>
      <w:tr w14:paraId="548C2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tblHeader/>
          <w:jc w:val="center"/>
        </w:trPr>
        <w:tc>
          <w:tcPr>
            <w:tcW w:w="0" w:type="auto"/>
            <w:vMerge w:val="continue"/>
            <w:vAlign w:val="center"/>
          </w:tcPr>
          <w:p w14:paraId="361476DF">
            <w:pPr>
              <w:spacing w:line="240" w:lineRule="auto"/>
              <w:ind w:firstLine="0" w:firstLineChars="0"/>
              <w:jc w:val="center"/>
              <w:rPr>
                <w:b/>
                <w:bCs/>
                <w:color w:val="auto"/>
                <w:sz w:val="21"/>
                <w:szCs w:val="21"/>
              </w:rPr>
            </w:pPr>
          </w:p>
        </w:tc>
        <w:tc>
          <w:tcPr>
            <w:tcW w:w="955" w:type="pct"/>
            <w:vAlign w:val="center"/>
          </w:tcPr>
          <w:p w14:paraId="4A2114C4">
            <w:pPr>
              <w:spacing w:line="240" w:lineRule="auto"/>
              <w:ind w:firstLine="0" w:firstLineChars="0"/>
              <w:jc w:val="center"/>
              <w:rPr>
                <w:b/>
                <w:bCs/>
                <w:color w:val="auto"/>
                <w:sz w:val="21"/>
                <w:szCs w:val="21"/>
              </w:rPr>
            </w:pPr>
            <w:r>
              <w:rPr>
                <w:b/>
                <w:bCs/>
                <w:color w:val="auto"/>
                <w:sz w:val="21"/>
                <w:szCs w:val="21"/>
              </w:rPr>
              <w:t>M1</w:t>
            </w:r>
          </w:p>
        </w:tc>
        <w:tc>
          <w:tcPr>
            <w:tcW w:w="955" w:type="pct"/>
            <w:vAlign w:val="center"/>
          </w:tcPr>
          <w:p w14:paraId="72266F2D">
            <w:pPr>
              <w:spacing w:line="240" w:lineRule="auto"/>
              <w:ind w:firstLine="0" w:firstLineChars="0"/>
              <w:jc w:val="center"/>
              <w:rPr>
                <w:b/>
                <w:bCs/>
                <w:color w:val="auto"/>
                <w:sz w:val="21"/>
                <w:szCs w:val="21"/>
              </w:rPr>
            </w:pPr>
            <w:r>
              <w:rPr>
                <w:b/>
                <w:bCs/>
                <w:color w:val="auto"/>
                <w:sz w:val="21"/>
                <w:szCs w:val="21"/>
              </w:rPr>
              <w:t>M2</w:t>
            </w:r>
          </w:p>
        </w:tc>
        <w:tc>
          <w:tcPr>
            <w:tcW w:w="955" w:type="pct"/>
            <w:vAlign w:val="center"/>
          </w:tcPr>
          <w:p w14:paraId="47841898">
            <w:pPr>
              <w:spacing w:line="240" w:lineRule="auto"/>
              <w:ind w:firstLine="0" w:firstLineChars="0"/>
              <w:jc w:val="center"/>
              <w:rPr>
                <w:b/>
                <w:bCs/>
                <w:color w:val="auto"/>
                <w:sz w:val="21"/>
                <w:szCs w:val="21"/>
              </w:rPr>
            </w:pPr>
            <w:r>
              <w:rPr>
                <w:b/>
                <w:bCs/>
                <w:color w:val="auto"/>
                <w:sz w:val="21"/>
                <w:szCs w:val="21"/>
              </w:rPr>
              <w:t>M3</w:t>
            </w:r>
          </w:p>
        </w:tc>
        <w:tc>
          <w:tcPr>
            <w:tcW w:w="955" w:type="pct"/>
            <w:vAlign w:val="center"/>
          </w:tcPr>
          <w:p w14:paraId="31B053D0">
            <w:pPr>
              <w:spacing w:line="240" w:lineRule="auto"/>
              <w:ind w:firstLine="0" w:firstLineChars="0"/>
              <w:jc w:val="center"/>
              <w:rPr>
                <w:b/>
                <w:bCs/>
                <w:color w:val="auto"/>
                <w:sz w:val="21"/>
                <w:szCs w:val="21"/>
              </w:rPr>
            </w:pPr>
            <w:r>
              <w:rPr>
                <w:b/>
                <w:bCs/>
                <w:color w:val="auto"/>
                <w:sz w:val="21"/>
                <w:szCs w:val="21"/>
              </w:rPr>
              <w:t>M4</w:t>
            </w:r>
          </w:p>
        </w:tc>
      </w:tr>
      <w:tr w14:paraId="4119D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79" w:type="pct"/>
            <w:vAlign w:val="center"/>
          </w:tcPr>
          <w:p w14:paraId="20FA984F">
            <w:pPr>
              <w:spacing w:line="240" w:lineRule="auto"/>
              <w:ind w:firstLine="0" w:firstLineChars="0"/>
              <w:jc w:val="center"/>
              <w:rPr>
                <w:color w:val="auto"/>
                <w:sz w:val="21"/>
                <w:szCs w:val="21"/>
              </w:rPr>
            </w:pPr>
            <w:r>
              <w:rPr>
                <w:color w:val="auto"/>
                <w:sz w:val="21"/>
                <w:szCs w:val="21"/>
              </w:rPr>
              <w:t>Q≥100</w:t>
            </w:r>
          </w:p>
        </w:tc>
        <w:tc>
          <w:tcPr>
            <w:tcW w:w="955" w:type="pct"/>
            <w:vAlign w:val="center"/>
          </w:tcPr>
          <w:p w14:paraId="48B1C2B3">
            <w:pPr>
              <w:spacing w:line="240" w:lineRule="auto"/>
              <w:ind w:firstLine="0" w:firstLineChars="0"/>
              <w:jc w:val="center"/>
              <w:rPr>
                <w:color w:val="auto"/>
                <w:sz w:val="21"/>
                <w:szCs w:val="21"/>
              </w:rPr>
            </w:pPr>
            <w:r>
              <w:rPr>
                <w:color w:val="auto"/>
                <w:sz w:val="21"/>
                <w:szCs w:val="21"/>
              </w:rPr>
              <w:t>P1</w:t>
            </w:r>
          </w:p>
        </w:tc>
        <w:tc>
          <w:tcPr>
            <w:tcW w:w="955" w:type="pct"/>
            <w:vAlign w:val="center"/>
          </w:tcPr>
          <w:p w14:paraId="6687291D">
            <w:pPr>
              <w:spacing w:line="240" w:lineRule="auto"/>
              <w:ind w:firstLine="0" w:firstLineChars="0"/>
              <w:jc w:val="center"/>
              <w:rPr>
                <w:color w:val="auto"/>
                <w:sz w:val="21"/>
                <w:szCs w:val="21"/>
              </w:rPr>
            </w:pPr>
            <w:r>
              <w:rPr>
                <w:color w:val="auto"/>
                <w:sz w:val="21"/>
                <w:szCs w:val="21"/>
              </w:rPr>
              <w:t>P1</w:t>
            </w:r>
          </w:p>
        </w:tc>
        <w:tc>
          <w:tcPr>
            <w:tcW w:w="955" w:type="pct"/>
            <w:vAlign w:val="center"/>
          </w:tcPr>
          <w:p w14:paraId="6A412070">
            <w:pPr>
              <w:spacing w:line="240" w:lineRule="auto"/>
              <w:ind w:firstLine="0" w:firstLineChars="0"/>
              <w:jc w:val="center"/>
              <w:rPr>
                <w:color w:val="auto"/>
                <w:sz w:val="21"/>
                <w:szCs w:val="21"/>
              </w:rPr>
            </w:pPr>
            <w:r>
              <w:rPr>
                <w:color w:val="auto"/>
                <w:sz w:val="21"/>
                <w:szCs w:val="21"/>
              </w:rPr>
              <w:t>P2</w:t>
            </w:r>
          </w:p>
        </w:tc>
        <w:tc>
          <w:tcPr>
            <w:tcW w:w="955" w:type="pct"/>
            <w:vAlign w:val="center"/>
          </w:tcPr>
          <w:p w14:paraId="5F865FE6">
            <w:pPr>
              <w:spacing w:line="240" w:lineRule="auto"/>
              <w:ind w:firstLine="0" w:firstLineChars="0"/>
              <w:jc w:val="center"/>
              <w:rPr>
                <w:color w:val="auto"/>
                <w:sz w:val="21"/>
                <w:szCs w:val="21"/>
              </w:rPr>
            </w:pPr>
            <w:r>
              <w:rPr>
                <w:color w:val="auto"/>
                <w:sz w:val="21"/>
                <w:szCs w:val="21"/>
              </w:rPr>
              <w:t>P3</w:t>
            </w:r>
          </w:p>
        </w:tc>
      </w:tr>
      <w:tr w14:paraId="70FC1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79" w:type="pct"/>
            <w:vAlign w:val="center"/>
          </w:tcPr>
          <w:p w14:paraId="16E79903">
            <w:pPr>
              <w:spacing w:line="240" w:lineRule="auto"/>
              <w:ind w:firstLine="0" w:firstLineChars="0"/>
              <w:jc w:val="center"/>
              <w:rPr>
                <w:color w:val="auto"/>
                <w:sz w:val="21"/>
                <w:szCs w:val="21"/>
              </w:rPr>
            </w:pPr>
            <w:r>
              <w:rPr>
                <w:color w:val="auto"/>
                <w:sz w:val="21"/>
                <w:szCs w:val="21"/>
              </w:rPr>
              <w:t>10≤Q＜100</w:t>
            </w:r>
          </w:p>
        </w:tc>
        <w:tc>
          <w:tcPr>
            <w:tcW w:w="955" w:type="pct"/>
            <w:vAlign w:val="center"/>
          </w:tcPr>
          <w:p w14:paraId="4DE5CFB9">
            <w:pPr>
              <w:spacing w:line="240" w:lineRule="auto"/>
              <w:ind w:firstLine="0" w:firstLineChars="0"/>
              <w:jc w:val="center"/>
              <w:rPr>
                <w:color w:val="auto"/>
                <w:sz w:val="21"/>
                <w:szCs w:val="21"/>
              </w:rPr>
            </w:pPr>
            <w:r>
              <w:rPr>
                <w:color w:val="auto"/>
                <w:sz w:val="21"/>
                <w:szCs w:val="21"/>
              </w:rPr>
              <w:t>P1</w:t>
            </w:r>
          </w:p>
        </w:tc>
        <w:tc>
          <w:tcPr>
            <w:tcW w:w="955" w:type="pct"/>
            <w:vAlign w:val="center"/>
          </w:tcPr>
          <w:p w14:paraId="045EB890">
            <w:pPr>
              <w:spacing w:line="240" w:lineRule="auto"/>
              <w:ind w:firstLine="0" w:firstLineChars="0"/>
              <w:jc w:val="center"/>
              <w:rPr>
                <w:color w:val="auto"/>
                <w:sz w:val="21"/>
                <w:szCs w:val="21"/>
              </w:rPr>
            </w:pPr>
            <w:r>
              <w:rPr>
                <w:color w:val="auto"/>
                <w:sz w:val="21"/>
                <w:szCs w:val="21"/>
              </w:rPr>
              <w:t>P2</w:t>
            </w:r>
          </w:p>
        </w:tc>
        <w:tc>
          <w:tcPr>
            <w:tcW w:w="955" w:type="pct"/>
            <w:shd w:val="clear" w:color="auto" w:fill="D8D8D8" w:themeFill="background1" w:themeFillShade="D9"/>
            <w:vAlign w:val="center"/>
          </w:tcPr>
          <w:p w14:paraId="40DB234F">
            <w:pPr>
              <w:spacing w:line="240" w:lineRule="auto"/>
              <w:ind w:firstLine="0" w:firstLineChars="0"/>
              <w:jc w:val="center"/>
              <w:rPr>
                <w:color w:val="auto"/>
                <w:sz w:val="21"/>
                <w:szCs w:val="21"/>
              </w:rPr>
            </w:pPr>
            <w:r>
              <w:rPr>
                <w:color w:val="auto"/>
                <w:sz w:val="21"/>
                <w:szCs w:val="21"/>
              </w:rPr>
              <w:t>P3</w:t>
            </w:r>
          </w:p>
        </w:tc>
        <w:tc>
          <w:tcPr>
            <w:tcW w:w="955" w:type="pct"/>
            <w:vAlign w:val="center"/>
          </w:tcPr>
          <w:p w14:paraId="31E673FA">
            <w:pPr>
              <w:spacing w:line="240" w:lineRule="auto"/>
              <w:ind w:firstLine="0" w:firstLineChars="0"/>
              <w:jc w:val="center"/>
              <w:rPr>
                <w:color w:val="auto"/>
                <w:sz w:val="21"/>
                <w:szCs w:val="21"/>
              </w:rPr>
            </w:pPr>
            <w:r>
              <w:rPr>
                <w:color w:val="auto"/>
                <w:sz w:val="21"/>
                <w:szCs w:val="21"/>
              </w:rPr>
              <w:t>P4</w:t>
            </w:r>
          </w:p>
        </w:tc>
      </w:tr>
      <w:tr w14:paraId="1D953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79" w:type="pct"/>
            <w:vAlign w:val="center"/>
          </w:tcPr>
          <w:p w14:paraId="11CB6414">
            <w:pPr>
              <w:spacing w:line="240" w:lineRule="auto"/>
              <w:ind w:firstLine="0" w:firstLineChars="0"/>
              <w:jc w:val="center"/>
              <w:rPr>
                <w:color w:val="auto"/>
                <w:sz w:val="21"/>
                <w:szCs w:val="21"/>
              </w:rPr>
            </w:pPr>
            <w:r>
              <w:rPr>
                <w:color w:val="auto"/>
                <w:sz w:val="21"/>
                <w:szCs w:val="21"/>
              </w:rPr>
              <w:t>1≤Q＜10</w:t>
            </w:r>
          </w:p>
        </w:tc>
        <w:tc>
          <w:tcPr>
            <w:tcW w:w="955" w:type="pct"/>
            <w:vAlign w:val="center"/>
          </w:tcPr>
          <w:p w14:paraId="42CB1308">
            <w:pPr>
              <w:spacing w:line="240" w:lineRule="auto"/>
              <w:ind w:firstLine="0" w:firstLineChars="0"/>
              <w:jc w:val="center"/>
              <w:rPr>
                <w:color w:val="auto"/>
                <w:sz w:val="21"/>
                <w:szCs w:val="21"/>
              </w:rPr>
            </w:pPr>
            <w:r>
              <w:rPr>
                <w:color w:val="auto"/>
                <w:sz w:val="21"/>
                <w:szCs w:val="21"/>
              </w:rPr>
              <w:t>P2</w:t>
            </w:r>
          </w:p>
        </w:tc>
        <w:tc>
          <w:tcPr>
            <w:tcW w:w="955" w:type="pct"/>
            <w:vAlign w:val="center"/>
          </w:tcPr>
          <w:p w14:paraId="03A5E37D">
            <w:pPr>
              <w:spacing w:line="240" w:lineRule="auto"/>
              <w:ind w:firstLine="0" w:firstLineChars="0"/>
              <w:jc w:val="center"/>
              <w:rPr>
                <w:color w:val="auto"/>
                <w:sz w:val="21"/>
                <w:szCs w:val="21"/>
              </w:rPr>
            </w:pPr>
            <w:r>
              <w:rPr>
                <w:color w:val="auto"/>
                <w:sz w:val="21"/>
                <w:szCs w:val="21"/>
              </w:rPr>
              <w:t>P3</w:t>
            </w:r>
          </w:p>
        </w:tc>
        <w:tc>
          <w:tcPr>
            <w:tcW w:w="955" w:type="pct"/>
            <w:vAlign w:val="center"/>
          </w:tcPr>
          <w:p w14:paraId="0E14F420">
            <w:pPr>
              <w:spacing w:line="240" w:lineRule="auto"/>
              <w:ind w:firstLine="0" w:firstLineChars="0"/>
              <w:jc w:val="center"/>
              <w:rPr>
                <w:color w:val="auto"/>
                <w:sz w:val="21"/>
                <w:szCs w:val="21"/>
              </w:rPr>
            </w:pPr>
            <w:r>
              <w:rPr>
                <w:color w:val="auto"/>
                <w:sz w:val="21"/>
                <w:szCs w:val="21"/>
              </w:rPr>
              <w:t>P4</w:t>
            </w:r>
          </w:p>
        </w:tc>
        <w:tc>
          <w:tcPr>
            <w:tcW w:w="955" w:type="pct"/>
            <w:vAlign w:val="center"/>
          </w:tcPr>
          <w:p w14:paraId="54E62E90">
            <w:pPr>
              <w:spacing w:line="240" w:lineRule="auto"/>
              <w:ind w:firstLine="0" w:firstLineChars="0"/>
              <w:jc w:val="center"/>
              <w:rPr>
                <w:color w:val="auto"/>
                <w:sz w:val="21"/>
                <w:szCs w:val="21"/>
              </w:rPr>
            </w:pPr>
            <w:r>
              <w:rPr>
                <w:color w:val="auto"/>
                <w:sz w:val="21"/>
                <w:szCs w:val="21"/>
              </w:rPr>
              <w:t>P4</w:t>
            </w:r>
          </w:p>
        </w:tc>
      </w:tr>
    </w:tbl>
    <w:p w14:paraId="00EB9790">
      <w:pPr>
        <w:ind w:firstLine="480"/>
        <w:rPr>
          <w:color w:val="auto"/>
        </w:rPr>
      </w:pPr>
      <w:r>
        <w:rPr>
          <w:color w:val="auto"/>
        </w:rPr>
        <w:t>本项目10≤Q＜100、M</w:t>
      </w:r>
      <w:r>
        <w:rPr>
          <w:rFonts w:hint="eastAsia"/>
          <w:color w:val="auto"/>
        </w:rPr>
        <w:t>3</w:t>
      </w:r>
      <w:r>
        <w:rPr>
          <w:color w:val="auto"/>
        </w:rPr>
        <w:t>，因而危险物质及工艺系统危险性等级判定为P</w:t>
      </w:r>
      <w:r>
        <w:rPr>
          <w:rFonts w:hint="eastAsia"/>
          <w:color w:val="auto"/>
        </w:rPr>
        <w:t>3</w:t>
      </w:r>
      <w:r>
        <w:rPr>
          <w:color w:val="auto"/>
        </w:rPr>
        <w:t>。</w:t>
      </w:r>
    </w:p>
    <w:p w14:paraId="69222A21">
      <w:pPr>
        <w:ind w:firstLine="480"/>
        <w:rPr>
          <w:color w:val="auto"/>
        </w:rPr>
      </w:pPr>
      <w:r>
        <w:rPr>
          <w:color w:val="auto"/>
        </w:rPr>
        <w:t>(2)环境敏感程度(E)的分级确定</w:t>
      </w:r>
    </w:p>
    <w:p w14:paraId="5EB72461">
      <w:pPr>
        <w:ind w:firstLine="480"/>
        <w:rPr>
          <w:color w:val="auto"/>
        </w:rPr>
      </w:pPr>
      <w:r>
        <w:rPr>
          <w:color w:val="auto"/>
        </w:rPr>
        <w:t>本项目环境敏感特征</w:t>
      </w:r>
      <w:r>
        <w:rPr>
          <w:rFonts w:hint="eastAsia"/>
          <w:color w:val="auto"/>
        </w:rPr>
        <w:t>如下</w:t>
      </w:r>
      <w:r>
        <w:rPr>
          <w:color w:val="auto"/>
        </w:rPr>
        <w:t>。</w:t>
      </w:r>
    </w:p>
    <w:p w14:paraId="32FB943A">
      <w:pPr>
        <w:ind w:firstLine="482"/>
        <w:jc w:val="center"/>
        <w:rPr>
          <w:b/>
          <w:bCs/>
          <w:color w:val="auto"/>
        </w:rPr>
      </w:pPr>
      <w:r>
        <w:rPr>
          <w:b/>
          <w:bCs/>
          <w:color w:val="auto"/>
        </w:rPr>
        <w:t>表2.3-10  大气环境敏感程度分级</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47"/>
        <w:gridCol w:w="8591"/>
      </w:tblGrid>
      <w:tr w14:paraId="62900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blHeader/>
          <w:jc w:val="center"/>
        </w:trPr>
        <w:tc>
          <w:tcPr>
            <w:tcW w:w="543" w:type="pct"/>
            <w:vAlign w:val="center"/>
          </w:tcPr>
          <w:p w14:paraId="787239A0">
            <w:pPr>
              <w:spacing w:line="240" w:lineRule="auto"/>
              <w:ind w:firstLine="0" w:firstLineChars="0"/>
              <w:jc w:val="center"/>
              <w:rPr>
                <w:b/>
                <w:bCs/>
                <w:color w:val="auto"/>
                <w:sz w:val="21"/>
                <w:szCs w:val="21"/>
              </w:rPr>
            </w:pPr>
            <w:r>
              <w:rPr>
                <w:b/>
                <w:bCs/>
                <w:color w:val="auto"/>
                <w:sz w:val="21"/>
                <w:szCs w:val="21"/>
              </w:rPr>
              <w:t>分级</w:t>
            </w:r>
          </w:p>
        </w:tc>
        <w:tc>
          <w:tcPr>
            <w:tcW w:w="4457" w:type="pct"/>
            <w:vAlign w:val="center"/>
          </w:tcPr>
          <w:p w14:paraId="5119B70B">
            <w:pPr>
              <w:spacing w:line="240" w:lineRule="auto"/>
              <w:ind w:firstLine="0" w:firstLineChars="0"/>
              <w:jc w:val="center"/>
              <w:rPr>
                <w:b/>
                <w:bCs/>
                <w:color w:val="auto"/>
                <w:sz w:val="21"/>
                <w:szCs w:val="21"/>
              </w:rPr>
            </w:pPr>
            <w:r>
              <w:rPr>
                <w:b/>
                <w:bCs/>
                <w:color w:val="auto"/>
                <w:sz w:val="21"/>
                <w:szCs w:val="21"/>
              </w:rPr>
              <w:t>大气环境敏感性</w:t>
            </w:r>
          </w:p>
        </w:tc>
      </w:tr>
      <w:tr w14:paraId="51A68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3" w:type="pct"/>
            <w:vAlign w:val="center"/>
          </w:tcPr>
          <w:p w14:paraId="4B76944E">
            <w:pPr>
              <w:spacing w:line="240" w:lineRule="auto"/>
              <w:ind w:firstLine="0" w:firstLineChars="0"/>
              <w:jc w:val="center"/>
              <w:rPr>
                <w:color w:val="auto"/>
                <w:sz w:val="21"/>
                <w:szCs w:val="21"/>
              </w:rPr>
            </w:pPr>
            <w:r>
              <w:rPr>
                <w:color w:val="auto"/>
                <w:sz w:val="21"/>
                <w:szCs w:val="21"/>
              </w:rPr>
              <w:t>E1</w:t>
            </w:r>
          </w:p>
        </w:tc>
        <w:tc>
          <w:tcPr>
            <w:tcW w:w="4457" w:type="pct"/>
            <w:vAlign w:val="center"/>
          </w:tcPr>
          <w:p w14:paraId="1F2460E9">
            <w:pPr>
              <w:spacing w:line="240" w:lineRule="auto"/>
              <w:ind w:firstLine="0" w:firstLineChars="0"/>
              <w:jc w:val="center"/>
              <w:rPr>
                <w:color w:val="auto"/>
                <w:sz w:val="21"/>
                <w:szCs w:val="21"/>
              </w:rPr>
            </w:pPr>
            <w:r>
              <w:rPr>
                <w:color w:val="auto"/>
                <w:sz w:val="21"/>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359E8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3" w:type="pct"/>
            <w:shd w:val="clear" w:color="auto" w:fill="CFCECE" w:themeFill="background2" w:themeFillShade="E5"/>
            <w:vAlign w:val="center"/>
          </w:tcPr>
          <w:p w14:paraId="7C638FDE">
            <w:pPr>
              <w:spacing w:line="240" w:lineRule="auto"/>
              <w:ind w:firstLine="0" w:firstLineChars="0"/>
              <w:jc w:val="center"/>
              <w:rPr>
                <w:color w:val="auto"/>
                <w:sz w:val="21"/>
                <w:szCs w:val="21"/>
              </w:rPr>
            </w:pPr>
            <w:r>
              <w:rPr>
                <w:color w:val="auto"/>
                <w:sz w:val="21"/>
                <w:szCs w:val="21"/>
              </w:rPr>
              <w:t>E2</w:t>
            </w:r>
          </w:p>
        </w:tc>
        <w:tc>
          <w:tcPr>
            <w:tcW w:w="4457" w:type="pct"/>
            <w:shd w:val="clear" w:color="auto" w:fill="CFCECE" w:themeFill="background2" w:themeFillShade="E5"/>
            <w:vAlign w:val="center"/>
          </w:tcPr>
          <w:p w14:paraId="12933D2C">
            <w:pPr>
              <w:spacing w:line="240" w:lineRule="auto"/>
              <w:ind w:firstLine="0" w:firstLineChars="0"/>
              <w:jc w:val="center"/>
              <w:rPr>
                <w:color w:val="auto"/>
                <w:sz w:val="21"/>
                <w:szCs w:val="21"/>
              </w:rPr>
            </w:pPr>
            <w:r>
              <w:rPr>
                <w:color w:val="auto"/>
                <w:sz w:val="21"/>
                <w:szCs w:val="21"/>
              </w:rPr>
              <w:t>周边5km范围内居住区、医疗卫生、文化教育、科研、行政办公等机构人口总数大于1万人，小于5万人；或周边500 m范围内人口总数大于500人，小于1000人；油气、化学品输送管线管段周边200m范围内，每千米管段人口数大于100人，小于200人</w:t>
            </w:r>
          </w:p>
        </w:tc>
      </w:tr>
      <w:tr w14:paraId="3B71F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3" w:type="pct"/>
            <w:vAlign w:val="center"/>
          </w:tcPr>
          <w:p w14:paraId="1EDA7705">
            <w:pPr>
              <w:spacing w:line="240" w:lineRule="auto"/>
              <w:ind w:firstLine="0" w:firstLineChars="0"/>
              <w:jc w:val="center"/>
              <w:rPr>
                <w:color w:val="auto"/>
                <w:sz w:val="21"/>
                <w:szCs w:val="21"/>
              </w:rPr>
            </w:pPr>
            <w:r>
              <w:rPr>
                <w:color w:val="auto"/>
                <w:sz w:val="21"/>
                <w:szCs w:val="21"/>
              </w:rPr>
              <w:t>E3</w:t>
            </w:r>
          </w:p>
        </w:tc>
        <w:tc>
          <w:tcPr>
            <w:tcW w:w="4457" w:type="pct"/>
            <w:vAlign w:val="center"/>
          </w:tcPr>
          <w:p w14:paraId="3E14B509">
            <w:pPr>
              <w:spacing w:line="240" w:lineRule="auto"/>
              <w:ind w:firstLine="0" w:firstLineChars="0"/>
              <w:jc w:val="center"/>
              <w:rPr>
                <w:color w:val="auto"/>
                <w:sz w:val="21"/>
                <w:szCs w:val="21"/>
              </w:rPr>
            </w:pPr>
            <w:r>
              <w:rPr>
                <w:color w:val="auto"/>
                <w:sz w:val="21"/>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14:paraId="1E74FEEC">
      <w:pPr>
        <w:ind w:firstLine="0" w:firstLineChars="0"/>
        <w:jc w:val="center"/>
        <w:rPr>
          <w:b/>
          <w:bCs/>
          <w:color w:val="auto"/>
        </w:rPr>
      </w:pPr>
      <w:r>
        <w:rPr>
          <w:b/>
          <w:bCs/>
          <w:color w:val="auto"/>
        </w:rPr>
        <w:t>表2.3-1</w:t>
      </w:r>
      <w:r>
        <w:rPr>
          <w:rFonts w:hint="eastAsia"/>
          <w:b/>
          <w:bCs/>
          <w:color w:val="auto"/>
        </w:rPr>
        <w:t>1</w:t>
      </w:r>
      <w:r>
        <w:rPr>
          <w:b/>
          <w:bCs/>
          <w:color w:val="auto"/>
        </w:rPr>
        <w:t xml:space="preserve">  地表水功能敏感性分级</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088"/>
        <w:gridCol w:w="7550"/>
      </w:tblGrid>
      <w:tr w14:paraId="7C6DE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1083" w:type="pct"/>
            <w:vAlign w:val="center"/>
          </w:tcPr>
          <w:p w14:paraId="09646D51">
            <w:pPr>
              <w:spacing w:line="240" w:lineRule="auto"/>
              <w:ind w:firstLine="0" w:firstLineChars="0"/>
              <w:jc w:val="center"/>
              <w:rPr>
                <w:b/>
                <w:bCs/>
                <w:color w:val="auto"/>
                <w:sz w:val="21"/>
                <w:szCs w:val="21"/>
              </w:rPr>
            </w:pPr>
            <w:r>
              <w:rPr>
                <w:b/>
                <w:bCs/>
                <w:color w:val="auto"/>
                <w:sz w:val="21"/>
                <w:szCs w:val="21"/>
              </w:rPr>
              <w:t>敏感性</w:t>
            </w:r>
          </w:p>
        </w:tc>
        <w:tc>
          <w:tcPr>
            <w:tcW w:w="3917" w:type="pct"/>
            <w:vAlign w:val="center"/>
          </w:tcPr>
          <w:p w14:paraId="6CC27E23">
            <w:pPr>
              <w:spacing w:line="240" w:lineRule="auto"/>
              <w:ind w:firstLine="0" w:firstLineChars="0"/>
              <w:jc w:val="center"/>
              <w:rPr>
                <w:b/>
                <w:bCs/>
                <w:color w:val="auto"/>
                <w:sz w:val="21"/>
                <w:szCs w:val="21"/>
              </w:rPr>
            </w:pPr>
            <w:r>
              <w:rPr>
                <w:b/>
                <w:bCs/>
                <w:color w:val="auto"/>
                <w:sz w:val="21"/>
                <w:szCs w:val="21"/>
              </w:rPr>
              <w:t>地表水环境敏感特征</w:t>
            </w:r>
          </w:p>
        </w:tc>
      </w:tr>
      <w:tr w14:paraId="37B94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83" w:type="pct"/>
            <w:vAlign w:val="center"/>
          </w:tcPr>
          <w:p w14:paraId="1FB78B79">
            <w:pPr>
              <w:spacing w:line="240" w:lineRule="auto"/>
              <w:ind w:firstLine="0" w:firstLineChars="0"/>
              <w:jc w:val="center"/>
              <w:rPr>
                <w:color w:val="auto"/>
                <w:sz w:val="21"/>
                <w:szCs w:val="21"/>
              </w:rPr>
            </w:pPr>
            <w:r>
              <w:rPr>
                <w:color w:val="auto"/>
                <w:sz w:val="21"/>
                <w:szCs w:val="21"/>
              </w:rPr>
              <w:t>敏感F1</w:t>
            </w:r>
          </w:p>
        </w:tc>
        <w:tc>
          <w:tcPr>
            <w:tcW w:w="3917" w:type="pct"/>
            <w:vAlign w:val="center"/>
          </w:tcPr>
          <w:p w14:paraId="5F6E69B6">
            <w:pPr>
              <w:spacing w:line="240" w:lineRule="auto"/>
              <w:ind w:firstLine="0" w:firstLineChars="0"/>
              <w:jc w:val="center"/>
              <w:rPr>
                <w:color w:val="auto"/>
                <w:sz w:val="21"/>
                <w:szCs w:val="21"/>
              </w:rPr>
            </w:pPr>
            <w:r>
              <w:rPr>
                <w:color w:val="auto"/>
                <w:sz w:val="21"/>
                <w:szCs w:val="21"/>
              </w:rPr>
              <w:t>排放点进入地表水水域环境功能为II类及以上，或海水水质分类第一类；</w:t>
            </w:r>
          </w:p>
          <w:p w14:paraId="29DA5345">
            <w:pPr>
              <w:spacing w:line="240" w:lineRule="auto"/>
              <w:ind w:firstLine="0" w:firstLineChars="0"/>
              <w:jc w:val="center"/>
              <w:rPr>
                <w:color w:val="auto"/>
                <w:sz w:val="21"/>
                <w:szCs w:val="21"/>
              </w:rPr>
            </w:pPr>
            <w:r>
              <w:rPr>
                <w:color w:val="auto"/>
                <w:sz w:val="21"/>
                <w:szCs w:val="21"/>
              </w:rPr>
              <w:t>或以发生事故时，危险物质泄漏到水体的排放点算起，排放进入受纳河流最大流速时，24h流经范围内涉跨国界的</w:t>
            </w:r>
          </w:p>
        </w:tc>
      </w:tr>
      <w:tr w14:paraId="7EE3A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83" w:type="pct"/>
            <w:shd w:val="clear" w:color="auto" w:fill="AEAAAA" w:themeFill="background2" w:themeFillShade="BF"/>
            <w:vAlign w:val="center"/>
          </w:tcPr>
          <w:p w14:paraId="5971935A">
            <w:pPr>
              <w:spacing w:line="240" w:lineRule="auto"/>
              <w:ind w:firstLine="0" w:firstLineChars="0"/>
              <w:jc w:val="center"/>
              <w:rPr>
                <w:color w:val="auto"/>
                <w:sz w:val="21"/>
                <w:szCs w:val="21"/>
              </w:rPr>
            </w:pPr>
            <w:r>
              <w:rPr>
                <w:color w:val="auto"/>
                <w:sz w:val="21"/>
                <w:szCs w:val="21"/>
              </w:rPr>
              <w:t>敏感F2</w:t>
            </w:r>
          </w:p>
        </w:tc>
        <w:tc>
          <w:tcPr>
            <w:tcW w:w="3917" w:type="pct"/>
            <w:shd w:val="clear" w:color="auto" w:fill="AEAAAA" w:themeFill="background2" w:themeFillShade="BF"/>
            <w:vAlign w:val="center"/>
          </w:tcPr>
          <w:p w14:paraId="752ED31C">
            <w:pPr>
              <w:spacing w:line="240" w:lineRule="auto"/>
              <w:ind w:firstLine="0" w:firstLineChars="0"/>
              <w:jc w:val="center"/>
              <w:rPr>
                <w:color w:val="auto"/>
                <w:sz w:val="21"/>
                <w:szCs w:val="21"/>
              </w:rPr>
            </w:pPr>
            <w:r>
              <w:rPr>
                <w:color w:val="auto"/>
                <w:sz w:val="21"/>
                <w:szCs w:val="21"/>
              </w:rPr>
              <w:t>排放点进入地表水水域环境功能为III类，或海水水质分类第二类；</w:t>
            </w:r>
          </w:p>
          <w:p w14:paraId="2065DD33">
            <w:pPr>
              <w:spacing w:line="240" w:lineRule="auto"/>
              <w:ind w:firstLine="0" w:firstLineChars="0"/>
              <w:jc w:val="center"/>
              <w:rPr>
                <w:color w:val="auto"/>
                <w:sz w:val="21"/>
                <w:szCs w:val="21"/>
              </w:rPr>
            </w:pPr>
            <w:r>
              <w:rPr>
                <w:color w:val="auto"/>
                <w:sz w:val="21"/>
                <w:szCs w:val="21"/>
              </w:rPr>
              <w:t>或以发生事故时，危险物质泄漏到水体的排放点算起，排放进入受纳河流最大流速时，24h流经范围内涉跨省界的</w:t>
            </w:r>
          </w:p>
        </w:tc>
      </w:tr>
      <w:tr w14:paraId="4299A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83" w:type="pct"/>
            <w:vAlign w:val="center"/>
          </w:tcPr>
          <w:p w14:paraId="7DF4F169">
            <w:pPr>
              <w:spacing w:line="240" w:lineRule="auto"/>
              <w:ind w:firstLine="0" w:firstLineChars="0"/>
              <w:jc w:val="center"/>
              <w:rPr>
                <w:color w:val="auto"/>
                <w:sz w:val="21"/>
                <w:szCs w:val="21"/>
              </w:rPr>
            </w:pPr>
            <w:r>
              <w:rPr>
                <w:color w:val="auto"/>
                <w:sz w:val="21"/>
                <w:szCs w:val="21"/>
              </w:rPr>
              <w:t>敏感F3</w:t>
            </w:r>
          </w:p>
        </w:tc>
        <w:tc>
          <w:tcPr>
            <w:tcW w:w="3917" w:type="pct"/>
            <w:vAlign w:val="center"/>
          </w:tcPr>
          <w:p w14:paraId="38DE48C0">
            <w:pPr>
              <w:spacing w:line="240" w:lineRule="auto"/>
              <w:ind w:firstLine="0" w:firstLineChars="0"/>
              <w:jc w:val="center"/>
              <w:rPr>
                <w:color w:val="auto"/>
                <w:sz w:val="21"/>
                <w:szCs w:val="21"/>
              </w:rPr>
            </w:pPr>
            <w:r>
              <w:rPr>
                <w:color w:val="auto"/>
                <w:sz w:val="21"/>
                <w:szCs w:val="21"/>
              </w:rPr>
              <w:t>上述地区之外的其他地区</w:t>
            </w:r>
          </w:p>
        </w:tc>
      </w:tr>
    </w:tbl>
    <w:p w14:paraId="1CB96980">
      <w:pPr>
        <w:ind w:firstLine="0" w:firstLineChars="0"/>
        <w:jc w:val="center"/>
        <w:rPr>
          <w:b/>
          <w:bCs/>
          <w:color w:val="auto"/>
        </w:rPr>
      </w:pPr>
      <w:r>
        <w:rPr>
          <w:b/>
          <w:bCs/>
          <w:color w:val="auto"/>
        </w:rPr>
        <w:t>表2.3-1</w:t>
      </w:r>
      <w:r>
        <w:rPr>
          <w:rFonts w:hint="eastAsia"/>
          <w:b/>
          <w:bCs/>
          <w:color w:val="auto"/>
        </w:rPr>
        <w:t>2</w:t>
      </w:r>
      <w:r>
        <w:rPr>
          <w:b/>
          <w:bCs/>
          <w:color w:val="auto"/>
        </w:rPr>
        <w:t xml:space="preserve">  地表水环境敏感目标分级</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44"/>
        <w:gridCol w:w="8294"/>
      </w:tblGrid>
      <w:tr w14:paraId="77EFF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97" w:type="pct"/>
            <w:vAlign w:val="center"/>
          </w:tcPr>
          <w:p w14:paraId="10111A9C">
            <w:pPr>
              <w:spacing w:line="240" w:lineRule="auto"/>
              <w:ind w:firstLine="0" w:firstLineChars="0"/>
              <w:jc w:val="center"/>
              <w:rPr>
                <w:b/>
                <w:bCs/>
                <w:color w:val="auto"/>
                <w:sz w:val="21"/>
                <w:szCs w:val="21"/>
              </w:rPr>
            </w:pPr>
            <w:r>
              <w:rPr>
                <w:b/>
                <w:bCs/>
                <w:color w:val="auto"/>
                <w:sz w:val="21"/>
                <w:szCs w:val="21"/>
              </w:rPr>
              <w:t>分级</w:t>
            </w:r>
          </w:p>
        </w:tc>
        <w:tc>
          <w:tcPr>
            <w:tcW w:w="4303" w:type="pct"/>
            <w:vAlign w:val="center"/>
          </w:tcPr>
          <w:p w14:paraId="7B36949B">
            <w:pPr>
              <w:spacing w:line="240" w:lineRule="auto"/>
              <w:ind w:firstLine="0" w:firstLineChars="0"/>
              <w:jc w:val="center"/>
              <w:rPr>
                <w:b/>
                <w:bCs/>
                <w:color w:val="auto"/>
                <w:sz w:val="21"/>
                <w:szCs w:val="21"/>
              </w:rPr>
            </w:pPr>
            <w:r>
              <w:rPr>
                <w:b/>
                <w:bCs/>
                <w:color w:val="auto"/>
                <w:sz w:val="21"/>
                <w:szCs w:val="21"/>
              </w:rPr>
              <w:t>环境敏感目标</w:t>
            </w:r>
          </w:p>
        </w:tc>
      </w:tr>
      <w:tr w14:paraId="7D1CC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97" w:type="pct"/>
            <w:vAlign w:val="center"/>
          </w:tcPr>
          <w:p w14:paraId="4C1DC3AF">
            <w:pPr>
              <w:spacing w:line="240" w:lineRule="auto"/>
              <w:ind w:firstLine="0" w:firstLineChars="0"/>
              <w:jc w:val="center"/>
              <w:rPr>
                <w:color w:val="auto"/>
                <w:sz w:val="21"/>
                <w:szCs w:val="21"/>
              </w:rPr>
            </w:pPr>
            <w:r>
              <w:rPr>
                <w:color w:val="auto"/>
                <w:sz w:val="21"/>
                <w:szCs w:val="21"/>
              </w:rPr>
              <w:t>S1</w:t>
            </w:r>
          </w:p>
        </w:tc>
        <w:tc>
          <w:tcPr>
            <w:tcW w:w="4303" w:type="pct"/>
            <w:vAlign w:val="center"/>
          </w:tcPr>
          <w:p w14:paraId="2CE8E16C">
            <w:pPr>
              <w:spacing w:line="240" w:lineRule="auto"/>
              <w:ind w:firstLine="0" w:firstLineChars="0"/>
              <w:jc w:val="center"/>
              <w:rPr>
                <w:color w:val="auto"/>
                <w:sz w:val="21"/>
                <w:szCs w:val="21"/>
              </w:rPr>
            </w:pPr>
            <w:r>
              <w:rPr>
                <w:color w:val="auto"/>
                <w:sz w:val="21"/>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57AA4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97" w:type="pct"/>
            <w:vAlign w:val="center"/>
          </w:tcPr>
          <w:p w14:paraId="53D93938">
            <w:pPr>
              <w:spacing w:line="240" w:lineRule="auto"/>
              <w:ind w:firstLine="0" w:firstLineChars="0"/>
              <w:jc w:val="center"/>
              <w:rPr>
                <w:color w:val="auto"/>
                <w:sz w:val="21"/>
                <w:szCs w:val="21"/>
              </w:rPr>
            </w:pPr>
            <w:r>
              <w:rPr>
                <w:color w:val="auto"/>
                <w:sz w:val="21"/>
                <w:szCs w:val="21"/>
              </w:rPr>
              <w:t>S2</w:t>
            </w:r>
          </w:p>
        </w:tc>
        <w:tc>
          <w:tcPr>
            <w:tcW w:w="4303" w:type="pct"/>
            <w:vAlign w:val="center"/>
          </w:tcPr>
          <w:p w14:paraId="4F75076A">
            <w:pPr>
              <w:spacing w:line="240" w:lineRule="auto"/>
              <w:ind w:firstLine="0" w:firstLineChars="0"/>
              <w:jc w:val="center"/>
              <w:rPr>
                <w:color w:val="auto"/>
                <w:sz w:val="21"/>
                <w:szCs w:val="21"/>
              </w:rPr>
            </w:pPr>
            <w:r>
              <w:rPr>
                <w:color w:val="auto"/>
                <w:sz w:val="21"/>
                <w:szCs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6FA9E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97" w:type="pct"/>
            <w:shd w:val="clear" w:color="auto" w:fill="CFCECE" w:themeFill="background2" w:themeFillShade="E5"/>
            <w:vAlign w:val="center"/>
          </w:tcPr>
          <w:p w14:paraId="3985DE42">
            <w:pPr>
              <w:spacing w:line="240" w:lineRule="auto"/>
              <w:ind w:firstLine="0" w:firstLineChars="0"/>
              <w:jc w:val="center"/>
              <w:rPr>
                <w:color w:val="auto"/>
                <w:sz w:val="21"/>
                <w:szCs w:val="21"/>
              </w:rPr>
            </w:pPr>
            <w:r>
              <w:rPr>
                <w:color w:val="auto"/>
                <w:sz w:val="21"/>
                <w:szCs w:val="21"/>
              </w:rPr>
              <w:t>S3</w:t>
            </w:r>
          </w:p>
        </w:tc>
        <w:tc>
          <w:tcPr>
            <w:tcW w:w="4303" w:type="pct"/>
            <w:shd w:val="clear" w:color="auto" w:fill="CFCECE" w:themeFill="background2" w:themeFillShade="E5"/>
            <w:vAlign w:val="center"/>
          </w:tcPr>
          <w:p w14:paraId="5FAC4A43">
            <w:pPr>
              <w:spacing w:line="240" w:lineRule="auto"/>
              <w:ind w:firstLine="0" w:firstLineChars="0"/>
              <w:jc w:val="center"/>
              <w:rPr>
                <w:color w:val="auto"/>
                <w:sz w:val="21"/>
                <w:szCs w:val="21"/>
              </w:rPr>
            </w:pPr>
            <w:r>
              <w:rPr>
                <w:color w:val="auto"/>
                <w:sz w:val="21"/>
                <w:szCs w:val="21"/>
              </w:rPr>
              <w:t>排放点下游(顺水流向)10km范围、近岸海域一个潮周期水质点可能达到的最大水平距离的两倍范围内无上述类型1和类型2包括的敏感保护目标</w:t>
            </w:r>
          </w:p>
        </w:tc>
      </w:tr>
    </w:tbl>
    <w:p w14:paraId="64042C41">
      <w:pPr>
        <w:ind w:firstLine="482"/>
        <w:jc w:val="center"/>
        <w:rPr>
          <w:b/>
          <w:bCs/>
          <w:color w:val="auto"/>
        </w:rPr>
      </w:pPr>
      <w:r>
        <w:rPr>
          <w:b/>
          <w:bCs/>
          <w:color w:val="auto"/>
        </w:rPr>
        <w:t>表2.3-1</w:t>
      </w:r>
      <w:r>
        <w:rPr>
          <w:rFonts w:hint="eastAsia"/>
          <w:b/>
          <w:bCs/>
          <w:color w:val="auto"/>
        </w:rPr>
        <w:t>3</w:t>
      </w:r>
      <w:r>
        <w:rPr>
          <w:b/>
          <w:bCs/>
          <w:color w:val="auto"/>
        </w:rPr>
        <w:t xml:space="preserve">  地表水环境敏感程度分级</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67"/>
        <w:gridCol w:w="2633"/>
        <w:gridCol w:w="2462"/>
        <w:gridCol w:w="2876"/>
      </w:tblGrid>
      <w:tr w14:paraId="0218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865" w:type="pct"/>
            <w:vMerge w:val="restart"/>
            <w:tcBorders>
              <w:top w:val="single" w:color="auto" w:sz="12" w:space="0"/>
              <w:left w:val="nil"/>
              <w:bottom w:val="double" w:color="000000" w:sz="6" w:space="0"/>
            </w:tcBorders>
            <w:vAlign w:val="center"/>
          </w:tcPr>
          <w:p w14:paraId="0F22A18B">
            <w:pPr>
              <w:spacing w:line="240" w:lineRule="auto"/>
              <w:ind w:firstLine="0" w:firstLineChars="0"/>
              <w:jc w:val="center"/>
              <w:rPr>
                <w:b/>
                <w:bCs/>
                <w:color w:val="auto"/>
                <w:sz w:val="21"/>
                <w:szCs w:val="21"/>
              </w:rPr>
            </w:pPr>
            <w:r>
              <w:rPr>
                <w:b/>
                <w:bCs/>
                <w:color w:val="auto"/>
                <w:sz w:val="21"/>
                <w:szCs w:val="21"/>
              </w:rPr>
              <w:t>环境敏感目标</w:t>
            </w:r>
          </w:p>
        </w:tc>
        <w:tc>
          <w:tcPr>
            <w:tcW w:w="4135" w:type="pct"/>
            <w:gridSpan w:val="3"/>
            <w:tcBorders>
              <w:top w:val="single" w:color="auto" w:sz="12" w:space="0"/>
              <w:bottom w:val="single" w:color="auto" w:sz="4" w:space="0"/>
              <w:right w:val="nil"/>
            </w:tcBorders>
            <w:vAlign w:val="center"/>
          </w:tcPr>
          <w:p w14:paraId="3E9C0280">
            <w:pPr>
              <w:spacing w:line="240" w:lineRule="auto"/>
              <w:ind w:firstLine="0" w:firstLineChars="0"/>
              <w:jc w:val="center"/>
              <w:rPr>
                <w:b/>
                <w:bCs/>
                <w:color w:val="auto"/>
                <w:sz w:val="21"/>
                <w:szCs w:val="21"/>
              </w:rPr>
            </w:pPr>
            <w:r>
              <w:rPr>
                <w:b/>
                <w:bCs/>
                <w:color w:val="auto"/>
                <w:sz w:val="21"/>
                <w:szCs w:val="21"/>
              </w:rPr>
              <w:t>地表水功能敏感性</w:t>
            </w:r>
          </w:p>
        </w:tc>
      </w:tr>
      <w:tr w14:paraId="6171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865" w:type="pct"/>
            <w:vMerge w:val="continue"/>
            <w:tcBorders>
              <w:left w:val="nil"/>
            </w:tcBorders>
            <w:vAlign w:val="center"/>
          </w:tcPr>
          <w:p w14:paraId="09B3A2FD">
            <w:pPr>
              <w:spacing w:line="240" w:lineRule="auto"/>
              <w:ind w:firstLine="0" w:firstLineChars="0"/>
              <w:jc w:val="center"/>
              <w:rPr>
                <w:color w:val="auto"/>
                <w:sz w:val="21"/>
                <w:szCs w:val="21"/>
              </w:rPr>
            </w:pPr>
          </w:p>
        </w:tc>
        <w:tc>
          <w:tcPr>
            <w:tcW w:w="1366" w:type="pct"/>
            <w:tcBorders>
              <w:top w:val="single" w:color="auto" w:sz="4" w:space="0"/>
            </w:tcBorders>
            <w:vAlign w:val="center"/>
          </w:tcPr>
          <w:p w14:paraId="4B8085C6">
            <w:pPr>
              <w:spacing w:line="240" w:lineRule="auto"/>
              <w:ind w:firstLine="0" w:firstLineChars="0"/>
              <w:jc w:val="center"/>
              <w:rPr>
                <w:color w:val="auto"/>
                <w:sz w:val="21"/>
                <w:szCs w:val="21"/>
              </w:rPr>
            </w:pPr>
            <w:r>
              <w:rPr>
                <w:color w:val="auto"/>
                <w:sz w:val="21"/>
                <w:szCs w:val="21"/>
              </w:rPr>
              <w:t>F1</w:t>
            </w:r>
          </w:p>
        </w:tc>
        <w:tc>
          <w:tcPr>
            <w:tcW w:w="1277" w:type="pct"/>
            <w:tcBorders>
              <w:top w:val="single" w:color="auto" w:sz="4" w:space="0"/>
            </w:tcBorders>
            <w:vAlign w:val="center"/>
          </w:tcPr>
          <w:p w14:paraId="1C98E0CD">
            <w:pPr>
              <w:spacing w:line="240" w:lineRule="auto"/>
              <w:ind w:firstLine="0" w:firstLineChars="0"/>
              <w:jc w:val="center"/>
              <w:rPr>
                <w:color w:val="auto"/>
                <w:sz w:val="21"/>
                <w:szCs w:val="21"/>
              </w:rPr>
            </w:pPr>
            <w:r>
              <w:rPr>
                <w:color w:val="auto"/>
                <w:sz w:val="21"/>
                <w:szCs w:val="21"/>
              </w:rPr>
              <w:t>F2</w:t>
            </w:r>
          </w:p>
        </w:tc>
        <w:tc>
          <w:tcPr>
            <w:tcW w:w="1491" w:type="pct"/>
            <w:tcBorders>
              <w:top w:val="single" w:color="auto" w:sz="4" w:space="0"/>
              <w:right w:val="nil"/>
            </w:tcBorders>
            <w:vAlign w:val="center"/>
          </w:tcPr>
          <w:p w14:paraId="2FF4E7E6">
            <w:pPr>
              <w:spacing w:line="240" w:lineRule="auto"/>
              <w:ind w:firstLine="0" w:firstLineChars="0"/>
              <w:jc w:val="center"/>
              <w:rPr>
                <w:color w:val="auto"/>
                <w:sz w:val="21"/>
                <w:szCs w:val="21"/>
              </w:rPr>
            </w:pPr>
            <w:r>
              <w:rPr>
                <w:color w:val="auto"/>
                <w:sz w:val="21"/>
                <w:szCs w:val="21"/>
              </w:rPr>
              <w:t>F3</w:t>
            </w:r>
          </w:p>
        </w:tc>
      </w:tr>
      <w:tr w14:paraId="2EEB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65" w:type="pct"/>
            <w:tcBorders>
              <w:left w:val="nil"/>
            </w:tcBorders>
            <w:vAlign w:val="center"/>
          </w:tcPr>
          <w:p w14:paraId="4D805EE2">
            <w:pPr>
              <w:spacing w:line="240" w:lineRule="auto"/>
              <w:ind w:firstLine="0" w:firstLineChars="0"/>
              <w:jc w:val="center"/>
              <w:rPr>
                <w:color w:val="auto"/>
                <w:sz w:val="21"/>
                <w:szCs w:val="21"/>
              </w:rPr>
            </w:pPr>
            <w:r>
              <w:rPr>
                <w:color w:val="auto"/>
                <w:sz w:val="21"/>
                <w:szCs w:val="21"/>
              </w:rPr>
              <w:t>S1</w:t>
            </w:r>
          </w:p>
        </w:tc>
        <w:tc>
          <w:tcPr>
            <w:tcW w:w="1366" w:type="pct"/>
            <w:vAlign w:val="center"/>
          </w:tcPr>
          <w:p w14:paraId="50C4EAFA">
            <w:pPr>
              <w:spacing w:line="240" w:lineRule="auto"/>
              <w:ind w:firstLine="0" w:firstLineChars="0"/>
              <w:jc w:val="center"/>
              <w:rPr>
                <w:color w:val="auto"/>
                <w:sz w:val="21"/>
                <w:szCs w:val="21"/>
              </w:rPr>
            </w:pPr>
            <w:r>
              <w:rPr>
                <w:color w:val="auto"/>
                <w:sz w:val="21"/>
                <w:szCs w:val="21"/>
              </w:rPr>
              <w:t>E1</w:t>
            </w:r>
          </w:p>
        </w:tc>
        <w:tc>
          <w:tcPr>
            <w:tcW w:w="1277" w:type="pct"/>
            <w:vAlign w:val="center"/>
          </w:tcPr>
          <w:p w14:paraId="2D7761B9">
            <w:pPr>
              <w:spacing w:line="240" w:lineRule="auto"/>
              <w:ind w:firstLine="0" w:firstLineChars="0"/>
              <w:jc w:val="center"/>
              <w:rPr>
                <w:color w:val="auto"/>
                <w:sz w:val="21"/>
                <w:szCs w:val="21"/>
              </w:rPr>
            </w:pPr>
            <w:r>
              <w:rPr>
                <w:color w:val="auto"/>
                <w:sz w:val="21"/>
                <w:szCs w:val="21"/>
              </w:rPr>
              <w:t>E1</w:t>
            </w:r>
          </w:p>
        </w:tc>
        <w:tc>
          <w:tcPr>
            <w:tcW w:w="1491" w:type="pct"/>
            <w:tcBorders>
              <w:right w:val="nil"/>
            </w:tcBorders>
            <w:vAlign w:val="center"/>
          </w:tcPr>
          <w:p w14:paraId="57ECB512">
            <w:pPr>
              <w:spacing w:line="240" w:lineRule="auto"/>
              <w:ind w:firstLine="0" w:firstLineChars="0"/>
              <w:jc w:val="center"/>
              <w:rPr>
                <w:color w:val="auto"/>
                <w:sz w:val="21"/>
                <w:szCs w:val="21"/>
              </w:rPr>
            </w:pPr>
            <w:r>
              <w:rPr>
                <w:color w:val="auto"/>
                <w:sz w:val="21"/>
                <w:szCs w:val="21"/>
              </w:rPr>
              <w:t>E2</w:t>
            </w:r>
          </w:p>
        </w:tc>
      </w:tr>
      <w:tr w14:paraId="3C0D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65" w:type="pct"/>
            <w:tcBorders>
              <w:left w:val="nil"/>
            </w:tcBorders>
            <w:vAlign w:val="center"/>
          </w:tcPr>
          <w:p w14:paraId="164BD9A9">
            <w:pPr>
              <w:spacing w:line="240" w:lineRule="auto"/>
              <w:ind w:firstLine="0" w:firstLineChars="0"/>
              <w:jc w:val="center"/>
              <w:rPr>
                <w:color w:val="auto"/>
                <w:sz w:val="21"/>
                <w:szCs w:val="21"/>
              </w:rPr>
            </w:pPr>
            <w:r>
              <w:rPr>
                <w:color w:val="auto"/>
                <w:sz w:val="21"/>
                <w:szCs w:val="21"/>
              </w:rPr>
              <w:t>S2</w:t>
            </w:r>
          </w:p>
        </w:tc>
        <w:tc>
          <w:tcPr>
            <w:tcW w:w="1366" w:type="pct"/>
            <w:vAlign w:val="center"/>
          </w:tcPr>
          <w:p w14:paraId="76E9E2D6">
            <w:pPr>
              <w:spacing w:line="240" w:lineRule="auto"/>
              <w:ind w:firstLine="0" w:firstLineChars="0"/>
              <w:jc w:val="center"/>
              <w:rPr>
                <w:color w:val="auto"/>
                <w:sz w:val="21"/>
                <w:szCs w:val="21"/>
              </w:rPr>
            </w:pPr>
            <w:r>
              <w:rPr>
                <w:color w:val="auto"/>
                <w:sz w:val="21"/>
                <w:szCs w:val="21"/>
              </w:rPr>
              <w:t>E1</w:t>
            </w:r>
          </w:p>
        </w:tc>
        <w:tc>
          <w:tcPr>
            <w:tcW w:w="1277" w:type="pct"/>
            <w:vAlign w:val="center"/>
          </w:tcPr>
          <w:p w14:paraId="05B01FA9">
            <w:pPr>
              <w:spacing w:line="240" w:lineRule="auto"/>
              <w:ind w:firstLine="0" w:firstLineChars="0"/>
              <w:jc w:val="center"/>
              <w:rPr>
                <w:color w:val="auto"/>
                <w:sz w:val="21"/>
                <w:szCs w:val="21"/>
              </w:rPr>
            </w:pPr>
            <w:r>
              <w:rPr>
                <w:color w:val="auto"/>
                <w:sz w:val="21"/>
                <w:szCs w:val="21"/>
              </w:rPr>
              <w:t>E2</w:t>
            </w:r>
          </w:p>
        </w:tc>
        <w:tc>
          <w:tcPr>
            <w:tcW w:w="1491" w:type="pct"/>
            <w:tcBorders>
              <w:right w:val="nil"/>
            </w:tcBorders>
            <w:vAlign w:val="center"/>
          </w:tcPr>
          <w:p w14:paraId="50BB49DF">
            <w:pPr>
              <w:spacing w:line="240" w:lineRule="auto"/>
              <w:ind w:firstLine="0" w:firstLineChars="0"/>
              <w:jc w:val="center"/>
              <w:rPr>
                <w:color w:val="auto"/>
                <w:sz w:val="21"/>
                <w:szCs w:val="21"/>
              </w:rPr>
            </w:pPr>
            <w:r>
              <w:rPr>
                <w:color w:val="auto"/>
                <w:sz w:val="21"/>
                <w:szCs w:val="21"/>
              </w:rPr>
              <w:t>E3</w:t>
            </w:r>
          </w:p>
        </w:tc>
      </w:tr>
      <w:tr w14:paraId="4EFD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65" w:type="pct"/>
            <w:tcBorders>
              <w:left w:val="nil"/>
              <w:bottom w:val="single" w:color="auto" w:sz="12" w:space="0"/>
            </w:tcBorders>
            <w:vAlign w:val="center"/>
          </w:tcPr>
          <w:p w14:paraId="76CC2FF6">
            <w:pPr>
              <w:spacing w:line="240" w:lineRule="auto"/>
              <w:ind w:firstLine="0" w:firstLineChars="0"/>
              <w:jc w:val="center"/>
              <w:rPr>
                <w:color w:val="auto"/>
                <w:sz w:val="21"/>
                <w:szCs w:val="21"/>
              </w:rPr>
            </w:pPr>
            <w:r>
              <w:rPr>
                <w:color w:val="auto"/>
                <w:sz w:val="21"/>
                <w:szCs w:val="21"/>
              </w:rPr>
              <w:t>S3</w:t>
            </w:r>
          </w:p>
        </w:tc>
        <w:tc>
          <w:tcPr>
            <w:tcW w:w="1366" w:type="pct"/>
            <w:tcBorders>
              <w:bottom w:val="single" w:color="auto" w:sz="12" w:space="0"/>
            </w:tcBorders>
            <w:vAlign w:val="center"/>
          </w:tcPr>
          <w:p w14:paraId="1258E4F5">
            <w:pPr>
              <w:spacing w:line="240" w:lineRule="auto"/>
              <w:ind w:firstLine="0" w:firstLineChars="0"/>
              <w:jc w:val="center"/>
              <w:rPr>
                <w:color w:val="auto"/>
                <w:sz w:val="21"/>
                <w:szCs w:val="21"/>
              </w:rPr>
            </w:pPr>
            <w:r>
              <w:rPr>
                <w:color w:val="auto"/>
                <w:sz w:val="21"/>
                <w:szCs w:val="21"/>
              </w:rPr>
              <w:t>E1</w:t>
            </w:r>
          </w:p>
        </w:tc>
        <w:tc>
          <w:tcPr>
            <w:tcW w:w="1277" w:type="pct"/>
            <w:tcBorders>
              <w:bottom w:val="single" w:color="auto" w:sz="12" w:space="0"/>
            </w:tcBorders>
            <w:shd w:val="clear" w:color="auto" w:fill="AEAAAA" w:themeFill="background2" w:themeFillShade="BF"/>
            <w:vAlign w:val="center"/>
          </w:tcPr>
          <w:p w14:paraId="775456C1">
            <w:pPr>
              <w:spacing w:line="240" w:lineRule="auto"/>
              <w:ind w:firstLine="0" w:firstLineChars="0"/>
              <w:jc w:val="center"/>
              <w:rPr>
                <w:color w:val="auto"/>
                <w:sz w:val="21"/>
                <w:szCs w:val="21"/>
              </w:rPr>
            </w:pPr>
            <w:r>
              <w:rPr>
                <w:color w:val="auto"/>
                <w:sz w:val="21"/>
                <w:szCs w:val="21"/>
              </w:rPr>
              <w:t>E2</w:t>
            </w:r>
          </w:p>
        </w:tc>
        <w:tc>
          <w:tcPr>
            <w:tcW w:w="1491" w:type="pct"/>
            <w:tcBorders>
              <w:bottom w:val="single" w:color="auto" w:sz="12" w:space="0"/>
              <w:right w:val="nil"/>
            </w:tcBorders>
            <w:vAlign w:val="center"/>
          </w:tcPr>
          <w:p w14:paraId="79911C73">
            <w:pPr>
              <w:spacing w:line="240" w:lineRule="auto"/>
              <w:ind w:firstLine="0" w:firstLineChars="0"/>
              <w:jc w:val="center"/>
              <w:rPr>
                <w:color w:val="auto"/>
                <w:sz w:val="21"/>
                <w:szCs w:val="21"/>
              </w:rPr>
            </w:pPr>
            <w:r>
              <w:rPr>
                <w:color w:val="auto"/>
                <w:sz w:val="21"/>
                <w:szCs w:val="21"/>
              </w:rPr>
              <w:t>E3</w:t>
            </w:r>
          </w:p>
        </w:tc>
      </w:tr>
    </w:tbl>
    <w:p w14:paraId="6B9ECD83">
      <w:pPr>
        <w:ind w:firstLine="482"/>
        <w:jc w:val="center"/>
        <w:rPr>
          <w:b/>
          <w:bCs/>
          <w:color w:val="auto"/>
        </w:rPr>
      </w:pPr>
      <w:r>
        <w:rPr>
          <w:b/>
          <w:bCs/>
          <w:color w:val="auto"/>
        </w:rPr>
        <w:t>表2.3-1</w:t>
      </w:r>
      <w:r>
        <w:rPr>
          <w:rFonts w:hint="eastAsia"/>
          <w:b/>
          <w:bCs/>
          <w:color w:val="auto"/>
        </w:rPr>
        <w:t>4</w:t>
      </w:r>
      <w:r>
        <w:rPr>
          <w:b/>
          <w:bCs/>
          <w:color w:val="auto"/>
        </w:rPr>
        <w:t xml:space="preserve">  地下水功能敏感性分区</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80"/>
        <w:gridCol w:w="8158"/>
      </w:tblGrid>
      <w:tr w14:paraId="168F0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68" w:type="pct"/>
            <w:vAlign w:val="center"/>
          </w:tcPr>
          <w:p w14:paraId="463F1553">
            <w:pPr>
              <w:spacing w:line="240" w:lineRule="auto"/>
              <w:ind w:firstLine="0" w:firstLineChars="0"/>
              <w:jc w:val="center"/>
              <w:rPr>
                <w:b/>
                <w:bCs/>
                <w:color w:val="auto"/>
                <w:sz w:val="21"/>
                <w:szCs w:val="21"/>
              </w:rPr>
            </w:pPr>
            <w:r>
              <w:rPr>
                <w:b/>
                <w:bCs/>
                <w:color w:val="auto"/>
                <w:sz w:val="21"/>
                <w:szCs w:val="21"/>
              </w:rPr>
              <w:t>敏感性</w:t>
            </w:r>
          </w:p>
        </w:tc>
        <w:tc>
          <w:tcPr>
            <w:tcW w:w="4232" w:type="pct"/>
            <w:vAlign w:val="center"/>
          </w:tcPr>
          <w:p w14:paraId="7D21D901">
            <w:pPr>
              <w:spacing w:line="240" w:lineRule="auto"/>
              <w:ind w:firstLine="0" w:firstLineChars="0"/>
              <w:jc w:val="center"/>
              <w:rPr>
                <w:b/>
                <w:bCs/>
                <w:color w:val="auto"/>
                <w:sz w:val="21"/>
                <w:szCs w:val="21"/>
              </w:rPr>
            </w:pPr>
            <w:r>
              <w:rPr>
                <w:b/>
                <w:bCs/>
                <w:color w:val="auto"/>
                <w:sz w:val="21"/>
                <w:szCs w:val="21"/>
              </w:rPr>
              <w:t>地下水环境敏感特征</w:t>
            </w:r>
          </w:p>
        </w:tc>
      </w:tr>
      <w:tr w14:paraId="43144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8" w:type="pct"/>
            <w:vAlign w:val="center"/>
          </w:tcPr>
          <w:p w14:paraId="07724EB3">
            <w:pPr>
              <w:spacing w:line="240" w:lineRule="auto"/>
              <w:ind w:firstLine="0" w:firstLineChars="0"/>
              <w:jc w:val="center"/>
              <w:rPr>
                <w:color w:val="auto"/>
                <w:sz w:val="21"/>
                <w:szCs w:val="21"/>
              </w:rPr>
            </w:pPr>
            <w:r>
              <w:rPr>
                <w:color w:val="auto"/>
                <w:sz w:val="21"/>
                <w:szCs w:val="21"/>
              </w:rPr>
              <w:t>敏感G1</w:t>
            </w:r>
          </w:p>
        </w:tc>
        <w:tc>
          <w:tcPr>
            <w:tcW w:w="4232" w:type="pct"/>
            <w:vAlign w:val="center"/>
          </w:tcPr>
          <w:p w14:paraId="4741D1A3">
            <w:pPr>
              <w:spacing w:line="240" w:lineRule="auto"/>
              <w:ind w:firstLine="0" w:firstLineChars="0"/>
              <w:jc w:val="center"/>
              <w:rPr>
                <w:color w:val="auto"/>
                <w:sz w:val="21"/>
                <w:szCs w:val="21"/>
              </w:rPr>
            </w:pPr>
            <w:r>
              <w:rPr>
                <w:color w:val="auto"/>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74573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8" w:type="pct"/>
            <w:vAlign w:val="center"/>
          </w:tcPr>
          <w:p w14:paraId="7BB2F102">
            <w:pPr>
              <w:spacing w:line="240" w:lineRule="auto"/>
              <w:ind w:firstLine="0" w:firstLineChars="0"/>
              <w:jc w:val="center"/>
              <w:rPr>
                <w:color w:val="auto"/>
                <w:sz w:val="21"/>
                <w:szCs w:val="21"/>
              </w:rPr>
            </w:pPr>
            <w:r>
              <w:rPr>
                <w:color w:val="auto"/>
                <w:sz w:val="21"/>
                <w:szCs w:val="21"/>
              </w:rPr>
              <w:t>较敏感G2</w:t>
            </w:r>
          </w:p>
        </w:tc>
        <w:tc>
          <w:tcPr>
            <w:tcW w:w="4232" w:type="pct"/>
            <w:vAlign w:val="center"/>
          </w:tcPr>
          <w:p w14:paraId="1AD4E4B9">
            <w:pPr>
              <w:spacing w:line="240" w:lineRule="auto"/>
              <w:ind w:firstLine="0" w:firstLineChars="0"/>
              <w:jc w:val="center"/>
              <w:rPr>
                <w:color w:val="auto"/>
                <w:sz w:val="21"/>
                <w:szCs w:val="21"/>
              </w:rPr>
            </w:pPr>
            <w:r>
              <w:rPr>
                <w:color w:val="auto"/>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p>
        </w:tc>
      </w:tr>
      <w:tr w14:paraId="6E543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8" w:type="pct"/>
            <w:shd w:val="clear" w:color="auto" w:fill="CFCECE" w:themeFill="background2" w:themeFillShade="E5"/>
            <w:vAlign w:val="center"/>
          </w:tcPr>
          <w:p w14:paraId="5208CEDE">
            <w:pPr>
              <w:spacing w:line="240" w:lineRule="auto"/>
              <w:ind w:firstLine="0" w:firstLineChars="0"/>
              <w:jc w:val="center"/>
              <w:rPr>
                <w:color w:val="auto"/>
                <w:sz w:val="21"/>
                <w:szCs w:val="21"/>
              </w:rPr>
            </w:pPr>
            <w:r>
              <w:rPr>
                <w:color w:val="auto"/>
                <w:sz w:val="21"/>
                <w:szCs w:val="21"/>
              </w:rPr>
              <w:t>不敏感G3</w:t>
            </w:r>
          </w:p>
        </w:tc>
        <w:tc>
          <w:tcPr>
            <w:tcW w:w="4232" w:type="pct"/>
            <w:shd w:val="clear" w:color="auto" w:fill="CFCECE" w:themeFill="background2" w:themeFillShade="E5"/>
            <w:vAlign w:val="center"/>
          </w:tcPr>
          <w:p w14:paraId="36F4F47D">
            <w:pPr>
              <w:spacing w:line="240" w:lineRule="auto"/>
              <w:ind w:firstLine="0" w:firstLineChars="0"/>
              <w:jc w:val="center"/>
              <w:rPr>
                <w:color w:val="auto"/>
                <w:sz w:val="21"/>
                <w:szCs w:val="21"/>
              </w:rPr>
            </w:pPr>
            <w:r>
              <w:rPr>
                <w:color w:val="auto"/>
                <w:sz w:val="21"/>
                <w:szCs w:val="21"/>
              </w:rPr>
              <w:t>上述地区之外的其他地区</w:t>
            </w:r>
          </w:p>
        </w:tc>
      </w:tr>
      <w:tr w14:paraId="26FEA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pct"/>
            <w:gridSpan w:val="2"/>
            <w:vAlign w:val="center"/>
          </w:tcPr>
          <w:p w14:paraId="2EEBCC05">
            <w:pPr>
              <w:spacing w:line="240" w:lineRule="auto"/>
              <w:ind w:firstLine="0" w:firstLineChars="0"/>
              <w:rPr>
                <w:color w:val="auto"/>
                <w:sz w:val="21"/>
                <w:szCs w:val="21"/>
              </w:rPr>
            </w:pPr>
            <w:r>
              <w:rPr>
                <w:color w:val="auto"/>
                <w:sz w:val="21"/>
                <w:szCs w:val="21"/>
              </w:rPr>
              <w:t>a“环境敏感区”是指《建设项目环境影响评价分类管理名录》中所界定的涉及地下水的环境敏感区</w:t>
            </w:r>
          </w:p>
        </w:tc>
      </w:tr>
    </w:tbl>
    <w:p w14:paraId="12D1139F">
      <w:pPr>
        <w:ind w:firstLine="480"/>
        <w:rPr>
          <w:color w:val="auto"/>
        </w:rPr>
      </w:pPr>
      <w:r>
        <w:rPr>
          <w:bCs/>
          <w:color w:val="auto"/>
        </w:rPr>
        <w:t>根据《启东生命健康产业园开发建设规划修编(2023-2035年)环境影响报告书》中“地下水类型及空间分布特征章节”，所在区域包气带岩(土)层单层厚度Mb≥1.0m，且分布连续、稳定，</w:t>
      </w:r>
      <w:r>
        <w:rPr>
          <w:color w:val="auto"/>
        </w:rPr>
        <w:t>根据本项目所在地2022年10月10日双环渗水试验结果，该层垂向渗透系数为8.04×10</w:t>
      </w:r>
      <w:r>
        <w:rPr>
          <w:color w:val="auto"/>
          <w:vertAlign w:val="superscript"/>
        </w:rPr>
        <w:t>-5</w:t>
      </w:r>
      <w:r>
        <w:rPr>
          <w:color w:val="auto"/>
        </w:rPr>
        <w:t>cm/s，因此包气带防污性能分级为D2。</w:t>
      </w:r>
    </w:p>
    <w:p w14:paraId="17C68777">
      <w:pPr>
        <w:ind w:firstLine="482"/>
        <w:jc w:val="center"/>
        <w:rPr>
          <w:b/>
          <w:bCs/>
          <w:color w:val="auto"/>
        </w:rPr>
      </w:pPr>
    </w:p>
    <w:p w14:paraId="79EA829D">
      <w:pPr>
        <w:pStyle w:val="49"/>
        <w:rPr>
          <w:color w:val="auto"/>
        </w:rPr>
      </w:pPr>
      <w:r>
        <w:rPr>
          <w:color w:val="auto"/>
        </w:rPr>
        <w:t>表2.3-1</w:t>
      </w:r>
      <w:r>
        <w:rPr>
          <w:rFonts w:hint="eastAsia"/>
          <w:color w:val="auto"/>
        </w:rPr>
        <w:t>5</w:t>
      </w:r>
      <w:r>
        <w:rPr>
          <w:color w:val="auto"/>
        </w:rPr>
        <w:t xml:space="preserve"> 包气带防污性能分级</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44"/>
        <w:gridCol w:w="8294"/>
      </w:tblGrid>
      <w:tr w14:paraId="17430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97" w:type="pct"/>
            <w:vAlign w:val="center"/>
          </w:tcPr>
          <w:p w14:paraId="34A1C8A8">
            <w:pPr>
              <w:spacing w:line="240" w:lineRule="auto"/>
              <w:ind w:firstLine="0" w:firstLineChars="0"/>
              <w:jc w:val="center"/>
              <w:rPr>
                <w:b/>
                <w:bCs/>
                <w:color w:val="auto"/>
                <w:sz w:val="21"/>
                <w:szCs w:val="21"/>
              </w:rPr>
            </w:pPr>
            <w:r>
              <w:rPr>
                <w:b/>
                <w:bCs/>
                <w:color w:val="auto"/>
                <w:sz w:val="21"/>
                <w:szCs w:val="21"/>
              </w:rPr>
              <w:t>分级</w:t>
            </w:r>
          </w:p>
        </w:tc>
        <w:tc>
          <w:tcPr>
            <w:tcW w:w="4303" w:type="pct"/>
            <w:vAlign w:val="center"/>
          </w:tcPr>
          <w:p w14:paraId="3D9BA62E">
            <w:pPr>
              <w:spacing w:line="240" w:lineRule="auto"/>
              <w:ind w:firstLine="0" w:firstLineChars="0"/>
              <w:jc w:val="center"/>
              <w:rPr>
                <w:b/>
                <w:bCs/>
                <w:color w:val="auto"/>
                <w:sz w:val="21"/>
                <w:szCs w:val="21"/>
              </w:rPr>
            </w:pPr>
            <w:r>
              <w:rPr>
                <w:b/>
                <w:bCs/>
                <w:color w:val="auto"/>
                <w:sz w:val="21"/>
                <w:szCs w:val="21"/>
              </w:rPr>
              <w:t>包气带岩土的渗透性能</w:t>
            </w:r>
          </w:p>
        </w:tc>
      </w:tr>
      <w:tr w14:paraId="42483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97" w:type="pct"/>
            <w:vAlign w:val="center"/>
          </w:tcPr>
          <w:p w14:paraId="00A481A7">
            <w:pPr>
              <w:spacing w:line="240" w:lineRule="auto"/>
              <w:ind w:firstLine="0" w:firstLineChars="0"/>
              <w:jc w:val="center"/>
              <w:rPr>
                <w:color w:val="auto"/>
                <w:sz w:val="21"/>
                <w:szCs w:val="21"/>
              </w:rPr>
            </w:pPr>
            <w:r>
              <w:rPr>
                <w:color w:val="auto"/>
                <w:sz w:val="21"/>
                <w:szCs w:val="21"/>
              </w:rPr>
              <w:t>D3</w:t>
            </w:r>
          </w:p>
        </w:tc>
        <w:tc>
          <w:tcPr>
            <w:tcW w:w="4303" w:type="pct"/>
            <w:vAlign w:val="center"/>
          </w:tcPr>
          <w:p w14:paraId="420E866F">
            <w:pPr>
              <w:spacing w:line="240" w:lineRule="auto"/>
              <w:ind w:firstLine="0" w:firstLineChars="0"/>
              <w:jc w:val="center"/>
              <w:rPr>
                <w:color w:val="auto"/>
                <w:sz w:val="21"/>
                <w:szCs w:val="21"/>
              </w:rPr>
            </w:pPr>
            <w:r>
              <w:rPr>
                <w:color w:val="auto"/>
                <w:sz w:val="21"/>
                <w:szCs w:val="21"/>
              </w:rPr>
              <w:t>Mb≥1.0m，K≤1.0×10</w:t>
            </w:r>
            <w:r>
              <w:rPr>
                <w:color w:val="auto"/>
                <w:sz w:val="21"/>
                <w:szCs w:val="21"/>
                <w:vertAlign w:val="superscript"/>
              </w:rPr>
              <w:t>-6</w:t>
            </w:r>
            <w:r>
              <w:rPr>
                <w:color w:val="auto"/>
                <w:sz w:val="21"/>
                <w:szCs w:val="21"/>
              </w:rPr>
              <w:t>cm/s，且分布连续、稳定</w:t>
            </w:r>
          </w:p>
        </w:tc>
      </w:tr>
      <w:tr w14:paraId="438AB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97" w:type="pct"/>
            <w:shd w:val="clear" w:color="auto" w:fill="CFCECE" w:themeFill="background2" w:themeFillShade="E5"/>
            <w:vAlign w:val="center"/>
          </w:tcPr>
          <w:p w14:paraId="672457C5">
            <w:pPr>
              <w:spacing w:line="240" w:lineRule="auto"/>
              <w:ind w:firstLine="0" w:firstLineChars="0"/>
              <w:jc w:val="center"/>
              <w:rPr>
                <w:color w:val="auto"/>
                <w:sz w:val="21"/>
                <w:szCs w:val="21"/>
              </w:rPr>
            </w:pPr>
            <w:r>
              <w:rPr>
                <w:color w:val="auto"/>
                <w:sz w:val="21"/>
                <w:szCs w:val="21"/>
              </w:rPr>
              <w:t>D2</w:t>
            </w:r>
          </w:p>
        </w:tc>
        <w:tc>
          <w:tcPr>
            <w:tcW w:w="4303" w:type="pct"/>
            <w:shd w:val="clear" w:color="auto" w:fill="CFCECE" w:themeFill="background2" w:themeFillShade="E5"/>
            <w:vAlign w:val="center"/>
          </w:tcPr>
          <w:p w14:paraId="78480651">
            <w:pPr>
              <w:spacing w:line="240" w:lineRule="auto"/>
              <w:ind w:firstLine="0" w:firstLineChars="0"/>
              <w:jc w:val="center"/>
              <w:rPr>
                <w:color w:val="auto"/>
                <w:sz w:val="21"/>
                <w:szCs w:val="21"/>
              </w:rPr>
            </w:pPr>
            <w:r>
              <w:rPr>
                <w:color w:val="auto"/>
                <w:sz w:val="21"/>
                <w:szCs w:val="21"/>
              </w:rPr>
              <w:t>0.5m≤Mb&lt;1.0m，K≤1.0×10</w:t>
            </w:r>
            <w:r>
              <w:rPr>
                <w:color w:val="auto"/>
                <w:sz w:val="21"/>
                <w:szCs w:val="21"/>
                <w:vertAlign w:val="superscript"/>
              </w:rPr>
              <w:t>-6</w:t>
            </w:r>
            <w:r>
              <w:rPr>
                <w:color w:val="auto"/>
                <w:sz w:val="21"/>
                <w:szCs w:val="21"/>
              </w:rPr>
              <w:t>cm/s，且分布连续、稳定</w:t>
            </w:r>
          </w:p>
          <w:p w14:paraId="7E2744E3">
            <w:pPr>
              <w:spacing w:line="240" w:lineRule="auto"/>
              <w:ind w:firstLine="0" w:firstLineChars="0"/>
              <w:jc w:val="center"/>
              <w:rPr>
                <w:color w:val="auto"/>
                <w:sz w:val="21"/>
                <w:szCs w:val="21"/>
              </w:rPr>
            </w:pPr>
            <w:r>
              <w:rPr>
                <w:color w:val="auto"/>
                <w:sz w:val="21"/>
                <w:szCs w:val="21"/>
              </w:rPr>
              <w:t>Mb≥1.0m，1.0×10</w:t>
            </w:r>
            <w:r>
              <w:rPr>
                <w:color w:val="auto"/>
                <w:sz w:val="21"/>
                <w:szCs w:val="21"/>
                <w:vertAlign w:val="superscript"/>
              </w:rPr>
              <w:t>-6</w:t>
            </w:r>
            <w:r>
              <w:rPr>
                <w:color w:val="auto"/>
                <w:sz w:val="21"/>
                <w:szCs w:val="21"/>
              </w:rPr>
              <w:t>cm/s＜K≤1.0×10</w:t>
            </w:r>
            <w:r>
              <w:rPr>
                <w:color w:val="auto"/>
                <w:sz w:val="21"/>
                <w:szCs w:val="21"/>
                <w:vertAlign w:val="superscript"/>
              </w:rPr>
              <w:t>-4</w:t>
            </w:r>
            <w:r>
              <w:rPr>
                <w:color w:val="auto"/>
                <w:sz w:val="21"/>
                <w:szCs w:val="21"/>
              </w:rPr>
              <w:t>cm/s，且分布连续、稳定</w:t>
            </w:r>
          </w:p>
        </w:tc>
      </w:tr>
      <w:tr w14:paraId="17A96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97" w:type="pct"/>
            <w:vAlign w:val="center"/>
          </w:tcPr>
          <w:p w14:paraId="3B570FD1">
            <w:pPr>
              <w:spacing w:line="240" w:lineRule="auto"/>
              <w:ind w:firstLine="0" w:firstLineChars="0"/>
              <w:jc w:val="center"/>
              <w:rPr>
                <w:color w:val="auto"/>
                <w:sz w:val="21"/>
                <w:szCs w:val="21"/>
              </w:rPr>
            </w:pPr>
            <w:r>
              <w:rPr>
                <w:color w:val="auto"/>
                <w:sz w:val="21"/>
                <w:szCs w:val="21"/>
              </w:rPr>
              <w:t>D1</w:t>
            </w:r>
          </w:p>
        </w:tc>
        <w:tc>
          <w:tcPr>
            <w:tcW w:w="4303" w:type="pct"/>
            <w:vAlign w:val="center"/>
          </w:tcPr>
          <w:p w14:paraId="1606A30A">
            <w:pPr>
              <w:spacing w:line="240" w:lineRule="auto"/>
              <w:ind w:firstLine="0" w:firstLineChars="0"/>
              <w:jc w:val="center"/>
              <w:rPr>
                <w:color w:val="auto"/>
                <w:sz w:val="21"/>
                <w:szCs w:val="21"/>
              </w:rPr>
            </w:pPr>
            <w:r>
              <w:rPr>
                <w:color w:val="auto"/>
                <w:sz w:val="21"/>
                <w:szCs w:val="21"/>
              </w:rPr>
              <w:t>岩(土)层不满足上述“D2”和“D3”条件</w:t>
            </w:r>
          </w:p>
        </w:tc>
      </w:tr>
      <w:tr w14:paraId="37E15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pct"/>
            <w:gridSpan w:val="2"/>
            <w:vAlign w:val="center"/>
          </w:tcPr>
          <w:p w14:paraId="5A277C88">
            <w:pPr>
              <w:spacing w:line="240" w:lineRule="auto"/>
              <w:ind w:firstLine="0" w:firstLineChars="0"/>
              <w:jc w:val="center"/>
              <w:rPr>
                <w:color w:val="auto"/>
                <w:sz w:val="21"/>
                <w:szCs w:val="21"/>
              </w:rPr>
            </w:pPr>
            <w:r>
              <w:rPr>
                <w:color w:val="auto"/>
                <w:sz w:val="21"/>
                <w:szCs w:val="21"/>
              </w:rPr>
              <w:t>Mb：岩土层的单层厚度。K：渗透系数。</w:t>
            </w:r>
          </w:p>
        </w:tc>
      </w:tr>
    </w:tbl>
    <w:p w14:paraId="59ECBCBF">
      <w:pPr>
        <w:pStyle w:val="49"/>
        <w:rPr>
          <w:color w:val="auto"/>
        </w:rPr>
      </w:pPr>
      <w:r>
        <w:rPr>
          <w:color w:val="auto"/>
        </w:rPr>
        <w:t>表2.3-1</w:t>
      </w:r>
      <w:r>
        <w:rPr>
          <w:rFonts w:hint="eastAsia"/>
          <w:color w:val="auto"/>
        </w:rPr>
        <w:t>6</w:t>
      </w:r>
      <w:r>
        <w:rPr>
          <w:color w:val="auto"/>
        </w:rPr>
        <w:t xml:space="preserve">  地下水环境敏感程度分级</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10"/>
        <w:gridCol w:w="3019"/>
        <w:gridCol w:w="1937"/>
        <w:gridCol w:w="2872"/>
      </w:tblGrid>
      <w:tr w14:paraId="2FF73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39" w:type="pct"/>
            <w:vMerge w:val="restart"/>
            <w:vAlign w:val="center"/>
          </w:tcPr>
          <w:p w14:paraId="6A11C61F">
            <w:pPr>
              <w:spacing w:line="240" w:lineRule="auto"/>
              <w:ind w:firstLine="0" w:firstLineChars="0"/>
              <w:jc w:val="center"/>
              <w:rPr>
                <w:b/>
                <w:bCs/>
                <w:color w:val="auto"/>
                <w:sz w:val="21"/>
                <w:szCs w:val="21"/>
              </w:rPr>
            </w:pPr>
            <w:r>
              <w:rPr>
                <w:b/>
                <w:bCs/>
                <w:color w:val="auto"/>
                <w:sz w:val="21"/>
                <w:szCs w:val="21"/>
              </w:rPr>
              <w:t>包气带防污性能</w:t>
            </w:r>
          </w:p>
        </w:tc>
        <w:tc>
          <w:tcPr>
            <w:tcW w:w="4061" w:type="pct"/>
            <w:gridSpan w:val="3"/>
            <w:vAlign w:val="center"/>
          </w:tcPr>
          <w:p w14:paraId="46EA9231">
            <w:pPr>
              <w:spacing w:line="240" w:lineRule="auto"/>
              <w:ind w:firstLine="0" w:firstLineChars="0"/>
              <w:jc w:val="center"/>
              <w:rPr>
                <w:b/>
                <w:bCs/>
                <w:color w:val="auto"/>
                <w:sz w:val="21"/>
                <w:szCs w:val="21"/>
              </w:rPr>
            </w:pPr>
            <w:r>
              <w:rPr>
                <w:b/>
                <w:bCs/>
                <w:color w:val="auto"/>
                <w:sz w:val="21"/>
                <w:szCs w:val="21"/>
              </w:rPr>
              <w:t>地下水功能敏感性</w:t>
            </w:r>
          </w:p>
        </w:tc>
      </w:tr>
      <w:tr w14:paraId="74FE5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39" w:type="pct"/>
            <w:vMerge w:val="continue"/>
            <w:vAlign w:val="center"/>
          </w:tcPr>
          <w:p w14:paraId="38FD282B">
            <w:pPr>
              <w:spacing w:line="240" w:lineRule="auto"/>
              <w:ind w:firstLine="0" w:firstLineChars="0"/>
              <w:jc w:val="center"/>
              <w:rPr>
                <w:color w:val="auto"/>
                <w:sz w:val="21"/>
                <w:szCs w:val="21"/>
              </w:rPr>
            </w:pPr>
          </w:p>
        </w:tc>
        <w:tc>
          <w:tcPr>
            <w:tcW w:w="1566" w:type="pct"/>
            <w:vAlign w:val="center"/>
          </w:tcPr>
          <w:p w14:paraId="62FAC17A">
            <w:pPr>
              <w:spacing w:line="240" w:lineRule="auto"/>
              <w:ind w:firstLine="0" w:firstLineChars="0"/>
              <w:jc w:val="center"/>
              <w:rPr>
                <w:color w:val="auto"/>
                <w:sz w:val="21"/>
                <w:szCs w:val="21"/>
              </w:rPr>
            </w:pPr>
            <w:r>
              <w:rPr>
                <w:color w:val="auto"/>
                <w:sz w:val="21"/>
                <w:szCs w:val="21"/>
              </w:rPr>
              <w:t>G1</w:t>
            </w:r>
          </w:p>
        </w:tc>
        <w:tc>
          <w:tcPr>
            <w:tcW w:w="1005" w:type="pct"/>
            <w:vAlign w:val="center"/>
          </w:tcPr>
          <w:p w14:paraId="48DD4694">
            <w:pPr>
              <w:spacing w:line="240" w:lineRule="auto"/>
              <w:ind w:firstLine="0" w:firstLineChars="0"/>
              <w:jc w:val="center"/>
              <w:rPr>
                <w:color w:val="auto"/>
                <w:sz w:val="21"/>
                <w:szCs w:val="21"/>
              </w:rPr>
            </w:pPr>
            <w:r>
              <w:rPr>
                <w:color w:val="auto"/>
                <w:sz w:val="21"/>
                <w:szCs w:val="21"/>
              </w:rPr>
              <w:t>G2</w:t>
            </w:r>
          </w:p>
        </w:tc>
        <w:tc>
          <w:tcPr>
            <w:tcW w:w="1490" w:type="pct"/>
            <w:vAlign w:val="center"/>
          </w:tcPr>
          <w:p w14:paraId="6BE96CC3">
            <w:pPr>
              <w:spacing w:line="240" w:lineRule="auto"/>
              <w:ind w:firstLine="0" w:firstLineChars="0"/>
              <w:jc w:val="center"/>
              <w:rPr>
                <w:color w:val="auto"/>
                <w:sz w:val="21"/>
                <w:szCs w:val="21"/>
              </w:rPr>
            </w:pPr>
            <w:r>
              <w:rPr>
                <w:color w:val="auto"/>
                <w:sz w:val="21"/>
                <w:szCs w:val="21"/>
              </w:rPr>
              <w:t>G3</w:t>
            </w:r>
          </w:p>
        </w:tc>
      </w:tr>
      <w:tr w14:paraId="4A704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39" w:type="pct"/>
            <w:vAlign w:val="center"/>
          </w:tcPr>
          <w:p w14:paraId="5D258379">
            <w:pPr>
              <w:spacing w:line="240" w:lineRule="auto"/>
              <w:ind w:firstLine="0" w:firstLineChars="0"/>
              <w:jc w:val="center"/>
              <w:rPr>
                <w:color w:val="auto"/>
                <w:sz w:val="21"/>
                <w:szCs w:val="21"/>
              </w:rPr>
            </w:pPr>
            <w:r>
              <w:rPr>
                <w:color w:val="auto"/>
                <w:sz w:val="21"/>
                <w:szCs w:val="21"/>
              </w:rPr>
              <w:t>D1</w:t>
            </w:r>
          </w:p>
        </w:tc>
        <w:tc>
          <w:tcPr>
            <w:tcW w:w="1566" w:type="pct"/>
            <w:vAlign w:val="center"/>
          </w:tcPr>
          <w:p w14:paraId="0331A7C8">
            <w:pPr>
              <w:spacing w:line="240" w:lineRule="auto"/>
              <w:ind w:firstLine="0" w:firstLineChars="0"/>
              <w:jc w:val="center"/>
              <w:rPr>
                <w:color w:val="auto"/>
                <w:sz w:val="21"/>
                <w:szCs w:val="21"/>
              </w:rPr>
            </w:pPr>
            <w:r>
              <w:rPr>
                <w:color w:val="auto"/>
                <w:sz w:val="21"/>
                <w:szCs w:val="21"/>
              </w:rPr>
              <w:t>E1</w:t>
            </w:r>
          </w:p>
        </w:tc>
        <w:tc>
          <w:tcPr>
            <w:tcW w:w="1005" w:type="pct"/>
            <w:vAlign w:val="center"/>
          </w:tcPr>
          <w:p w14:paraId="22FE4992">
            <w:pPr>
              <w:spacing w:line="240" w:lineRule="auto"/>
              <w:ind w:firstLine="0" w:firstLineChars="0"/>
              <w:jc w:val="center"/>
              <w:rPr>
                <w:color w:val="auto"/>
                <w:sz w:val="21"/>
                <w:szCs w:val="21"/>
              </w:rPr>
            </w:pPr>
            <w:r>
              <w:rPr>
                <w:color w:val="auto"/>
                <w:sz w:val="21"/>
                <w:szCs w:val="21"/>
              </w:rPr>
              <w:t>E1</w:t>
            </w:r>
          </w:p>
        </w:tc>
        <w:tc>
          <w:tcPr>
            <w:tcW w:w="1490" w:type="pct"/>
            <w:vAlign w:val="center"/>
          </w:tcPr>
          <w:p w14:paraId="10593C70">
            <w:pPr>
              <w:spacing w:line="240" w:lineRule="auto"/>
              <w:ind w:firstLine="0" w:firstLineChars="0"/>
              <w:jc w:val="center"/>
              <w:rPr>
                <w:color w:val="auto"/>
                <w:sz w:val="21"/>
                <w:szCs w:val="21"/>
              </w:rPr>
            </w:pPr>
            <w:r>
              <w:rPr>
                <w:color w:val="auto"/>
                <w:sz w:val="21"/>
                <w:szCs w:val="21"/>
              </w:rPr>
              <w:t>E2</w:t>
            </w:r>
          </w:p>
        </w:tc>
      </w:tr>
      <w:tr w14:paraId="793DC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39" w:type="pct"/>
            <w:vAlign w:val="center"/>
          </w:tcPr>
          <w:p w14:paraId="50BB42DC">
            <w:pPr>
              <w:spacing w:line="240" w:lineRule="auto"/>
              <w:ind w:firstLine="0" w:firstLineChars="0"/>
              <w:jc w:val="center"/>
              <w:rPr>
                <w:color w:val="auto"/>
                <w:sz w:val="21"/>
                <w:szCs w:val="21"/>
              </w:rPr>
            </w:pPr>
            <w:r>
              <w:rPr>
                <w:color w:val="auto"/>
                <w:sz w:val="21"/>
                <w:szCs w:val="21"/>
              </w:rPr>
              <w:t>D2</w:t>
            </w:r>
          </w:p>
        </w:tc>
        <w:tc>
          <w:tcPr>
            <w:tcW w:w="1566" w:type="pct"/>
            <w:vAlign w:val="center"/>
          </w:tcPr>
          <w:p w14:paraId="3B00D61A">
            <w:pPr>
              <w:spacing w:line="240" w:lineRule="auto"/>
              <w:ind w:firstLine="0" w:firstLineChars="0"/>
              <w:jc w:val="center"/>
              <w:rPr>
                <w:color w:val="auto"/>
                <w:sz w:val="21"/>
                <w:szCs w:val="21"/>
              </w:rPr>
            </w:pPr>
            <w:r>
              <w:rPr>
                <w:color w:val="auto"/>
                <w:sz w:val="21"/>
                <w:szCs w:val="21"/>
              </w:rPr>
              <w:t>E1</w:t>
            </w:r>
          </w:p>
        </w:tc>
        <w:tc>
          <w:tcPr>
            <w:tcW w:w="1005" w:type="pct"/>
            <w:vAlign w:val="center"/>
          </w:tcPr>
          <w:p w14:paraId="2A2277AB">
            <w:pPr>
              <w:spacing w:line="240" w:lineRule="auto"/>
              <w:ind w:firstLine="0" w:firstLineChars="0"/>
              <w:jc w:val="center"/>
              <w:rPr>
                <w:color w:val="auto"/>
                <w:sz w:val="21"/>
                <w:szCs w:val="21"/>
              </w:rPr>
            </w:pPr>
            <w:r>
              <w:rPr>
                <w:color w:val="auto"/>
                <w:sz w:val="21"/>
                <w:szCs w:val="21"/>
              </w:rPr>
              <w:t>E2</w:t>
            </w:r>
          </w:p>
        </w:tc>
        <w:tc>
          <w:tcPr>
            <w:tcW w:w="1490" w:type="pct"/>
            <w:shd w:val="clear" w:color="auto" w:fill="AEAAAA" w:themeFill="background2" w:themeFillShade="BF"/>
            <w:vAlign w:val="center"/>
          </w:tcPr>
          <w:p w14:paraId="075594E5">
            <w:pPr>
              <w:spacing w:line="240" w:lineRule="auto"/>
              <w:ind w:firstLine="0" w:firstLineChars="0"/>
              <w:jc w:val="center"/>
              <w:rPr>
                <w:color w:val="auto"/>
                <w:sz w:val="21"/>
                <w:szCs w:val="21"/>
              </w:rPr>
            </w:pPr>
            <w:r>
              <w:rPr>
                <w:color w:val="auto"/>
                <w:sz w:val="21"/>
                <w:szCs w:val="21"/>
              </w:rPr>
              <w:t>E3</w:t>
            </w:r>
          </w:p>
        </w:tc>
      </w:tr>
      <w:tr w14:paraId="4EA2A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39" w:type="pct"/>
            <w:vAlign w:val="center"/>
          </w:tcPr>
          <w:p w14:paraId="528A36D1">
            <w:pPr>
              <w:spacing w:line="240" w:lineRule="auto"/>
              <w:ind w:firstLine="0" w:firstLineChars="0"/>
              <w:jc w:val="center"/>
              <w:rPr>
                <w:color w:val="auto"/>
                <w:sz w:val="21"/>
                <w:szCs w:val="21"/>
              </w:rPr>
            </w:pPr>
            <w:r>
              <w:rPr>
                <w:color w:val="auto"/>
                <w:sz w:val="21"/>
                <w:szCs w:val="21"/>
              </w:rPr>
              <w:t>D3</w:t>
            </w:r>
          </w:p>
        </w:tc>
        <w:tc>
          <w:tcPr>
            <w:tcW w:w="1566" w:type="pct"/>
            <w:vAlign w:val="center"/>
          </w:tcPr>
          <w:p w14:paraId="1B65DDB3">
            <w:pPr>
              <w:spacing w:line="240" w:lineRule="auto"/>
              <w:ind w:firstLine="0" w:firstLineChars="0"/>
              <w:jc w:val="center"/>
              <w:rPr>
                <w:color w:val="auto"/>
                <w:sz w:val="21"/>
                <w:szCs w:val="21"/>
              </w:rPr>
            </w:pPr>
            <w:r>
              <w:rPr>
                <w:color w:val="auto"/>
                <w:sz w:val="21"/>
                <w:szCs w:val="21"/>
              </w:rPr>
              <w:t>E2</w:t>
            </w:r>
          </w:p>
        </w:tc>
        <w:tc>
          <w:tcPr>
            <w:tcW w:w="1005" w:type="pct"/>
            <w:vAlign w:val="center"/>
          </w:tcPr>
          <w:p w14:paraId="2DF6D37A">
            <w:pPr>
              <w:spacing w:line="240" w:lineRule="auto"/>
              <w:ind w:firstLine="0" w:firstLineChars="0"/>
              <w:jc w:val="center"/>
              <w:rPr>
                <w:color w:val="auto"/>
                <w:sz w:val="21"/>
                <w:szCs w:val="21"/>
              </w:rPr>
            </w:pPr>
            <w:r>
              <w:rPr>
                <w:color w:val="auto"/>
                <w:sz w:val="21"/>
                <w:szCs w:val="21"/>
              </w:rPr>
              <w:t>E3</w:t>
            </w:r>
          </w:p>
        </w:tc>
        <w:tc>
          <w:tcPr>
            <w:tcW w:w="1490" w:type="pct"/>
            <w:vAlign w:val="center"/>
          </w:tcPr>
          <w:p w14:paraId="711BB2AE">
            <w:pPr>
              <w:spacing w:line="240" w:lineRule="auto"/>
              <w:ind w:firstLine="0" w:firstLineChars="0"/>
              <w:jc w:val="center"/>
              <w:rPr>
                <w:color w:val="auto"/>
                <w:sz w:val="21"/>
                <w:szCs w:val="21"/>
              </w:rPr>
            </w:pPr>
            <w:r>
              <w:rPr>
                <w:color w:val="auto"/>
                <w:sz w:val="21"/>
                <w:szCs w:val="21"/>
              </w:rPr>
              <w:t>E3</w:t>
            </w:r>
          </w:p>
        </w:tc>
      </w:tr>
    </w:tbl>
    <w:p w14:paraId="503BAC04">
      <w:pPr>
        <w:pStyle w:val="49"/>
        <w:rPr>
          <w:color w:val="auto"/>
        </w:rPr>
      </w:pPr>
      <w:r>
        <w:rPr>
          <w:color w:val="auto"/>
        </w:rPr>
        <w:t>表2.3-17  环境敏感</w:t>
      </w:r>
      <w:r>
        <w:rPr>
          <w:rFonts w:hint="eastAsia"/>
          <w:color w:val="auto"/>
        </w:rPr>
        <w:t>特征</w:t>
      </w:r>
      <w:r>
        <w:rPr>
          <w:color w:val="auto"/>
        </w:rPr>
        <w:t>表</w:t>
      </w:r>
    </w:p>
    <w:tbl>
      <w:tblPr>
        <w:tblStyle w:val="24"/>
        <w:tblW w:w="511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99"/>
        <w:gridCol w:w="834"/>
        <w:gridCol w:w="1678"/>
        <w:gridCol w:w="463"/>
        <w:gridCol w:w="937"/>
        <w:gridCol w:w="1181"/>
        <w:gridCol w:w="268"/>
        <w:gridCol w:w="992"/>
        <w:gridCol w:w="446"/>
        <w:gridCol w:w="779"/>
        <w:gridCol w:w="1383"/>
      </w:tblGrid>
      <w:tr w14:paraId="4D6F8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456" w:type="pct"/>
            <w:vAlign w:val="center"/>
          </w:tcPr>
          <w:p w14:paraId="1C42F451">
            <w:pPr>
              <w:spacing w:line="240" w:lineRule="auto"/>
              <w:ind w:firstLine="0" w:firstLineChars="0"/>
              <w:jc w:val="center"/>
              <w:rPr>
                <w:b/>
                <w:bCs/>
                <w:color w:val="auto"/>
                <w:sz w:val="21"/>
                <w:szCs w:val="21"/>
              </w:rPr>
            </w:pPr>
            <w:r>
              <w:rPr>
                <w:b/>
                <w:bCs/>
                <w:color w:val="auto"/>
                <w:sz w:val="21"/>
                <w:szCs w:val="21"/>
              </w:rPr>
              <w:t>类别</w:t>
            </w:r>
          </w:p>
        </w:tc>
        <w:tc>
          <w:tcPr>
            <w:tcW w:w="4544" w:type="pct"/>
            <w:gridSpan w:val="10"/>
            <w:vAlign w:val="center"/>
          </w:tcPr>
          <w:p w14:paraId="4FA37941">
            <w:pPr>
              <w:spacing w:line="240" w:lineRule="auto"/>
              <w:ind w:firstLine="0" w:firstLineChars="0"/>
              <w:jc w:val="center"/>
              <w:rPr>
                <w:b/>
                <w:bCs/>
                <w:color w:val="auto"/>
                <w:sz w:val="21"/>
                <w:szCs w:val="21"/>
              </w:rPr>
            </w:pPr>
            <w:r>
              <w:rPr>
                <w:b/>
                <w:bCs/>
                <w:color w:val="auto"/>
                <w:sz w:val="21"/>
                <w:szCs w:val="21"/>
              </w:rPr>
              <w:t>环境敏感特征</w:t>
            </w:r>
          </w:p>
        </w:tc>
      </w:tr>
      <w:tr w14:paraId="42B41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6" w:type="pct"/>
            <w:vMerge w:val="restart"/>
            <w:vAlign w:val="center"/>
          </w:tcPr>
          <w:p w14:paraId="4A387DA6">
            <w:pPr>
              <w:spacing w:line="240" w:lineRule="auto"/>
              <w:ind w:firstLine="0" w:firstLineChars="0"/>
              <w:jc w:val="center"/>
              <w:rPr>
                <w:color w:val="auto"/>
                <w:sz w:val="21"/>
                <w:szCs w:val="21"/>
              </w:rPr>
            </w:pPr>
            <w:r>
              <w:rPr>
                <w:color w:val="auto"/>
                <w:sz w:val="21"/>
                <w:szCs w:val="21"/>
              </w:rPr>
              <w:t>环</w:t>
            </w:r>
          </w:p>
          <w:p w14:paraId="743935A6">
            <w:pPr>
              <w:spacing w:line="240" w:lineRule="auto"/>
              <w:ind w:firstLine="0" w:firstLineChars="0"/>
              <w:jc w:val="center"/>
              <w:rPr>
                <w:color w:val="auto"/>
                <w:sz w:val="21"/>
                <w:szCs w:val="21"/>
              </w:rPr>
            </w:pPr>
            <w:r>
              <w:rPr>
                <w:color w:val="auto"/>
                <w:sz w:val="21"/>
                <w:szCs w:val="21"/>
              </w:rPr>
              <w:t>境</w:t>
            </w:r>
          </w:p>
          <w:p w14:paraId="51CC142B">
            <w:pPr>
              <w:spacing w:line="240" w:lineRule="auto"/>
              <w:ind w:firstLine="0" w:firstLineChars="0"/>
              <w:jc w:val="center"/>
              <w:rPr>
                <w:color w:val="auto"/>
                <w:sz w:val="21"/>
                <w:szCs w:val="21"/>
              </w:rPr>
            </w:pPr>
            <w:r>
              <w:rPr>
                <w:color w:val="auto"/>
                <w:sz w:val="21"/>
                <w:szCs w:val="21"/>
              </w:rPr>
              <w:t>空</w:t>
            </w:r>
          </w:p>
          <w:p w14:paraId="1D2EA0FF">
            <w:pPr>
              <w:spacing w:line="240" w:lineRule="auto"/>
              <w:ind w:firstLine="0" w:firstLineChars="0"/>
              <w:jc w:val="center"/>
              <w:rPr>
                <w:color w:val="auto"/>
                <w:sz w:val="21"/>
                <w:szCs w:val="21"/>
              </w:rPr>
            </w:pPr>
            <w:r>
              <w:rPr>
                <w:color w:val="auto"/>
                <w:sz w:val="21"/>
                <w:szCs w:val="21"/>
              </w:rPr>
              <w:t>气</w:t>
            </w:r>
          </w:p>
        </w:tc>
        <w:tc>
          <w:tcPr>
            <w:tcW w:w="4544" w:type="pct"/>
            <w:gridSpan w:val="10"/>
            <w:vAlign w:val="center"/>
          </w:tcPr>
          <w:p w14:paraId="20E31547">
            <w:pPr>
              <w:spacing w:line="240" w:lineRule="auto"/>
              <w:ind w:firstLine="0" w:firstLineChars="0"/>
              <w:jc w:val="center"/>
              <w:rPr>
                <w:color w:val="auto"/>
                <w:sz w:val="21"/>
                <w:szCs w:val="21"/>
              </w:rPr>
            </w:pPr>
            <w:r>
              <w:rPr>
                <w:color w:val="auto"/>
                <w:sz w:val="21"/>
                <w:szCs w:val="21"/>
              </w:rPr>
              <w:t>厂址周边5km范围内</w:t>
            </w:r>
          </w:p>
        </w:tc>
      </w:tr>
      <w:tr w14:paraId="40755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122D885B">
            <w:pPr>
              <w:spacing w:line="240" w:lineRule="auto"/>
              <w:ind w:firstLine="0" w:firstLineChars="0"/>
              <w:jc w:val="center"/>
              <w:rPr>
                <w:color w:val="auto"/>
                <w:sz w:val="21"/>
                <w:szCs w:val="21"/>
              </w:rPr>
            </w:pPr>
          </w:p>
        </w:tc>
        <w:tc>
          <w:tcPr>
            <w:tcW w:w="423" w:type="pct"/>
            <w:vAlign w:val="center"/>
          </w:tcPr>
          <w:p w14:paraId="77D4C460">
            <w:pPr>
              <w:spacing w:line="240" w:lineRule="auto"/>
              <w:ind w:firstLine="0" w:firstLineChars="0"/>
              <w:jc w:val="center"/>
              <w:rPr>
                <w:b/>
                <w:bCs/>
                <w:color w:val="auto"/>
                <w:sz w:val="21"/>
                <w:szCs w:val="21"/>
              </w:rPr>
            </w:pPr>
            <w:r>
              <w:rPr>
                <w:b/>
                <w:bCs/>
                <w:color w:val="auto"/>
                <w:sz w:val="21"/>
                <w:szCs w:val="21"/>
              </w:rPr>
              <w:t>序号</w:t>
            </w:r>
          </w:p>
        </w:tc>
        <w:tc>
          <w:tcPr>
            <w:tcW w:w="1086" w:type="pct"/>
            <w:gridSpan w:val="2"/>
            <w:vAlign w:val="center"/>
          </w:tcPr>
          <w:p w14:paraId="387E955B">
            <w:pPr>
              <w:spacing w:line="240" w:lineRule="auto"/>
              <w:ind w:firstLine="0" w:firstLineChars="0"/>
              <w:jc w:val="center"/>
              <w:rPr>
                <w:b/>
                <w:bCs/>
                <w:color w:val="auto"/>
                <w:sz w:val="21"/>
                <w:szCs w:val="21"/>
              </w:rPr>
            </w:pPr>
            <w:r>
              <w:rPr>
                <w:b/>
                <w:bCs/>
                <w:color w:val="auto"/>
                <w:sz w:val="21"/>
                <w:szCs w:val="21"/>
              </w:rPr>
              <w:t>敏感目标名称</w:t>
            </w:r>
          </w:p>
        </w:tc>
        <w:tc>
          <w:tcPr>
            <w:tcW w:w="475" w:type="pct"/>
            <w:vAlign w:val="center"/>
          </w:tcPr>
          <w:p w14:paraId="6B348EE9">
            <w:pPr>
              <w:spacing w:line="240" w:lineRule="auto"/>
              <w:ind w:firstLine="0" w:firstLineChars="0"/>
              <w:jc w:val="center"/>
              <w:rPr>
                <w:b/>
                <w:bCs/>
                <w:color w:val="auto"/>
                <w:sz w:val="21"/>
                <w:szCs w:val="21"/>
              </w:rPr>
            </w:pPr>
            <w:r>
              <w:rPr>
                <w:b/>
                <w:bCs/>
                <w:color w:val="auto"/>
                <w:sz w:val="21"/>
                <w:szCs w:val="21"/>
              </w:rPr>
              <w:t>相对方位</w:t>
            </w:r>
          </w:p>
        </w:tc>
        <w:tc>
          <w:tcPr>
            <w:tcW w:w="735" w:type="pct"/>
            <w:gridSpan w:val="2"/>
            <w:vAlign w:val="center"/>
          </w:tcPr>
          <w:p w14:paraId="5A5B6C17">
            <w:pPr>
              <w:spacing w:line="240" w:lineRule="auto"/>
              <w:ind w:firstLine="0" w:firstLineChars="0"/>
              <w:jc w:val="center"/>
              <w:rPr>
                <w:b/>
                <w:bCs/>
                <w:color w:val="auto"/>
                <w:sz w:val="21"/>
                <w:szCs w:val="21"/>
              </w:rPr>
            </w:pPr>
            <w:r>
              <w:rPr>
                <w:b/>
                <w:bCs/>
                <w:color w:val="auto"/>
                <w:sz w:val="21"/>
                <w:szCs w:val="21"/>
              </w:rPr>
              <w:t>距离/m</w:t>
            </w:r>
          </w:p>
        </w:tc>
        <w:tc>
          <w:tcPr>
            <w:tcW w:w="503" w:type="pct"/>
            <w:vAlign w:val="center"/>
          </w:tcPr>
          <w:p w14:paraId="004E9A7B">
            <w:pPr>
              <w:spacing w:line="240" w:lineRule="auto"/>
              <w:ind w:firstLine="0" w:firstLineChars="0"/>
              <w:jc w:val="center"/>
              <w:rPr>
                <w:b/>
                <w:bCs/>
                <w:color w:val="auto"/>
                <w:sz w:val="21"/>
                <w:szCs w:val="21"/>
              </w:rPr>
            </w:pPr>
            <w:r>
              <w:rPr>
                <w:b/>
                <w:bCs/>
                <w:color w:val="auto"/>
                <w:sz w:val="21"/>
                <w:szCs w:val="21"/>
              </w:rPr>
              <w:t>属性</w:t>
            </w:r>
          </w:p>
        </w:tc>
        <w:tc>
          <w:tcPr>
            <w:tcW w:w="1322" w:type="pct"/>
            <w:gridSpan w:val="3"/>
            <w:vAlign w:val="center"/>
          </w:tcPr>
          <w:p w14:paraId="62891847">
            <w:pPr>
              <w:spacing w:line="240" w:lineRule="auto"/>
              <w:ind w:firstLine="0" w:firstLineChars="0"/>
              <w:jc w:val="center"/>
              <w:rPr>
                <w:b/>
                <w:bCs/>
                <w:color w:val="auto"/>
                <w:sz w:val="21"/>
                <w:szCs w:val="21"/>
              </w:rPr>
            </w:pPr>
            <w:r>
              <w:rPr>
                <w:b/>
                <w:bCs/>
                <w:color w:val="auto"/>
                <w:sz w:val="21"/>
                <w:szCs w:val="21"/>
              </w:rPr>
              <w:t>人口数</w:t>
            </w:r>
          </w:p>
        </w:tc>
      </w:tr>
      <w:tr w14:paraId="14E96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700F746F">
            <w:pPr>
              <w:spacing w:line="240" w:lineRule="auto"/>
              <w:ind w:firstLine="0" w:firstLineChars="0"/>
              <w:jc w:val="center"/>
              <w:rPr>
                <w:color w:val="auto"/>
                <w:sz w:val="21"/>
                <w:szCs w:val="21"/>
              </w:rPr>
            </w:pPr>
          </w:p>
        </w:tc>
        <w:tc>
          <w:tcPr>
            <w:tcW w:w="423" w:type="pct"/>
            <w:vAlign w:val="center"/>
          </w:tcPr>
          <w:p w14:paraId="1BF2CABA">
            <w:pPr>
              <w:spacing w:line="240" w:lineRule="auto"/>
              <w:ind w:firstLine="0" w:firstLineChars="0"/>
              <w:jc w:val="center"/>
              <w:rPr>
                <w:color w:val="auto"/>
                <w:sz w:val="21"/>
                <w:szCs w:val="21"/>
              </w:rPr>
            </w:pPr>
            <w:r>
              <w:rPr>
                <w:color w:val="auto"/>
                <w:sz w:val="21"/>
                <w:szCs w:val="21"/>
              </w:rPr>
              <w:t>1</w:t>
            </w:r>
          </w:p>
        </w:tc>
        <w:tc>
          <w:tcPr>
            <w:tcW w:w="1086" w:type="pct"/>
            <w:gridSpan w:val="2"/>
            <w:vAlign w:val="center"/>
          </w:tcPr>
          <w:p w14:paraId="4C57F38C">
            <w:pPr>
              <w:spacing w:line="240" w:lineRule="auto"/>
              <w:ind w:firstLine="0" w:firstLineChars="0"/>
              <w:jc w:val="center"/>
              <w:rPr>
                <w:color w:val="auto"/>
                <w:sz w:val="21"/>
                <w:szCs w:val="21"/>
              </w:rPr>
            </w:pPr>
            <w:r>
              <w:rPr>
                <w:color w:val="auto"/>
                <w:sz w:val="21"/>
                <w:szCs w:val="21"/>
              </w:rPr>
              <w:t>北新镇</w:t>
            </w:r>
          </w:p>
        </w:tc>
        <w:tc>
          <w:tcPr>
            <w:tcW w:w="475" w:type="pct"/>
            <w:vAlign w:val="center"/>
          </w:tcPr>
          <w:p w14:paraId="6527219E">
            <w:pPr>
              <w:spacing w:line="240" w:lineRule="auto"/>
              <w:ind w:firstLine="0" w:firstLineChars="0"/>
              <w:jc w:val="center"/>
              <w:rPr>
                <w:color w:val="auto"/>
                <w:sz w:val="21"/>
                <w:szCs w:val="21"/>
              </w:rPr>
            </w:pPr>
            <w:r>
              <w:rPr>
                <w:color w:val="auto"/>
                <w:sz w:val="21"/>
                <w:szCs w:val="21"/>
              </w:rPr>
              <w:t>NE</w:t>
            </w:r>
          </w:p>
        </w:tc>
        <w:tc>
          <w:tcPr>
            <w:tcW w:w="735" w:type="pct"/>
            <w:gridSpan w:val="2"/>
            <w:vAlign w:val="center"/>
          </w:tcPr>
          <w:p w14:paraId="2941897C">
            <w:pPr>
              <w:spacing w:line="240" w:lineRule="auto"/>
              <w:ind w:firstLine="0" w:firstLineChars="0"/>
              <w:jc w:val="center"/>
              <w:rPr>
                <w:color w:val="auto"/>
                <w:sz w:val="21"/>
                <w:szCs w:val="21"/>
              </w:rPr>
            </w:pPr>
            <w:r>
              <w:rPr>
                <w:color w:val="auto"/>
                <w:sz w:val="21"/>
                <w:szCs w:val="21"/>
              </w:rPr>
              <w:t>520</w:t>
            </w:r>
          </w:p>
        </w:tc>
        <w:tc>
          <w:tcPr>
            <w:tcW w:w="503" w:type="pct"/>
            <w:vMerge w:val="restart"/>
            <w:vAlign w:val="center"/>
          </w:tcPr>
          <w:p w14:paraId="524420C7">
            <w:pPr>
              <w:spacing w:line="240" w:lineRule="auto"/>
              <w:ind w:firstLine="0" w:firstLineChars="0"/>
              <w:jc w:val="center"/>
              <w:rPr>
                <w:color w:val="auto"/>
                <w:sz w:val="21"/>
                <w:szCs w:val="21"/>
              </w:rPr>
            </w:pPr>
            <w:r>
              <w:rPr>
                <w:color w:val="auto"/>
                <w:sz w:val="21"/>
                <w:szCs w:val="21"/>
              </w:rPr>
              <w:t>居住区</w:t>
            </w:r>
          </w:p>
        </w:tc>
        <w:tc>
          <w:tcPr>
            <w:tcW w:w="1322" w:type="pct"/>
            <w:gridSpan w:val="3"/>
            <w:vAlign w:val="center"/>
          </w:tcPr>
          <w:p w14:paraId="1AAA5E1E">
            <w:pPr>
              <w:spacing w:line="240" w:lineRule="auto"/>
              <w:ind w:firstLine="0" w:firstLineChars="0"/>
              <w:jc w:val="center"/>
              <w:rPr>
                <w:color w:val="auto"/>
                <w:sz w:val="21"/>
                <w:szCs w:val="21"/>
              </w:rPr>
            </w:pPr>
            <w:r>
              <w:rPr>
                <w:color w:val="auto"/>
                <w:sz w:val="21"/>
                <w:szCs w:val="21"/>
              </w:rPr>
              <w:t>6000人</w:t>
            </w:r>
          </w:p>
        </w:tc>
      </w:tr>
      <w:tr w14:paraId="5F7F6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5920B354">
            <w:pPr>
              <w:spacing w:line="240" w:lineRule="auto"/>
              <w:ind w:firstLine="0" w:firstLineChars="0"/>
              <w:jc w:val="center"/>
              <w:rPr>
                <w:color w:val="auto"/>
                <w:sz w:val="21"/>
                <w:szCs w:val="21"/>
              </w:rPr>
            </w:pPr>
          </w:p>
        </w:tc>
        <w:tc>
          <w:tcPr>
            <w:tcW w:w="423" w:type="pct"/>
            <w:vAlign w:val="center"/>
          </w:tcPr>
          <w:p w14:paraId="568C78ED">
            <w:pPr>
              <w:spacing w:line="240" w:lineRule="auto"/>
              <w:ind w:firstLine="0" w:firstLineChars="0"/>
              <w:jc w:val="center"/>
              <w:rPr>
                <w:color w:val="auto"/>
                <w:sz w:val="21"/>
                <w:szCs w:val="21"/>
              </w:rPr>
            </w:pPr>
            <w:r>
              <w:rPr>
                <w:color w:val="auto"/>
                <w:sz w:val="21"/>
                <w:szCs w:val="21"/>
              </w:rPr>
              <w:t>2</w:t>
            </w:r>
          </w:p>
        </w:tc>
        <w:tc>
          <w:tcPr>
            <w:tcW w:w="1086" w:type="pct"/>
            <w:gridSpan w:val="2"/>
            <w:vAlign w:val="center"/>
          </w:tcPr>
          <w:p w14:paraId="66080D03">
            <w:pPr>
              <w:spacing w:line="240" w:lineRule="auto"/>
              <w:ind w:firstLine="0" w:firstLineChars="0"/>
              <w:jc w:val="center"/>
              <w:rPr>
                <w:color w:val="auto"/>
                <w:sz w:val="21"/>
                <w:szCs w:val="21"/>
              </w:rPr>
            </w:pPr>
            <w:r>
              <w:rPr>
                <w:color w:val="auto"/>
                <w:sz w:val="21"/>
                <w:szCs w:val="21"/>
              </w:rPr>
              <w:t>富民村</w:t>
            </w:r>
          </w:p>
        </w:tc>
        <w:tc>
          <w:tcPr>
            <w:tcW w:w="475" w:type="pct"/>
            <w:vAlign w:val="center"/>
          </w:tcPr>
          <w:p w14:paraId="5DE82207">
            <w:pPr>
              <w:spacing w:line="240" w:lineRule="auto"/>
              <w:ind w:firstLine="0" w:firstLineChars="0"/>
              <w:jc w:val="center"/>
              <w:rPr>
                <w:color w:val="auto"/>
                <w:sz w:val="21"/>
                <w:szCs w:val="21"/>
              </w:rPr>
            </w:pPr>
            <w:r>
              <w:rPr>
                <w:color w:val="auto"/>
                <w:sz w:val="21"/>
                <w:szCs w:val="21"/>
              </w:rPr>
              <w:t>N</w:t>
            </w:r>
          </w:p>
        </w:tc>
        <w:tc>
          <w:tcPr>
            <w:tcW w:w="735" w:type="pct"/>
            <w:gridSpan w:val="2"/>
            <w:vAlign w:val="center"/>
          </w:tcPr>
          <w:p w14:paraId="2D6E3CA3">
            <w:pPr>
              <w:spacing w:line="240" w:lineRule="auto"/>
              <w:ind w:firstLine="0" w:firstLineChars="0"/>
              <w:jc w:val="center"/>
              <w:rPr>
                <w:color w:val="auto"/>
                <w:sz w:val="21"/>
                <w:szCs w:val="21"/>
              </w:rPr>
            </w:pPr>
            <w:r>
              <w:rPr>
                <w:color w:val="auto"/>
                <w:sz w:val="21"/>
                <w:szCs w:val="21"/>
              </w:rPr>
              <w:t>600</w:t>
            </w:r>
          </w:p>
        </w:tc>
        <w:tc>
          <w:tcPr>
            <w:tcW w:w="503" w:type="pct"/>
            <w:vMerge w:val="continue"/>
            <w:vAlign w:val="center"/>
          </w:tcPr>
          <w:p w14:paraId="791907BD">
            <w:pPr>
              <w:spacing w:line="240" w:lineRule="auto"/>
              <w:ind w:firstLine="0" w:firstLineChars="0"/>
              <w:jc w:val="center"/>
              <w:rPr>
                <w:color w:val="auto"/>
                <w:sz w:val="21"/>
                <w:szCs w:val="21"/>
              </w:rPr>
            </w:pPr>
          </w:p>
        </w:tc>
        <w:tc>
          <w:tcPr>
            <w:tcW w:w="1322" w:type="pct"/>
            <w:gridSpan w:val="3"/>
            <w:vAlign w:val="center"/>
          </w:tcPr>
          <w:p w14:paraId="504AC549">
            <w:pPr>
              <w:spacing w:line="240" w:lineRule="auto"/>
              <w:ind w:firstLine="0" w:firstLineChars="0"/>
              <w:jc w:val="center"/>
              <w:rPr>
                <w:color w:val="auto"/>
                <w:sz w:val="21"/>
                <w:szCs w:val="21"/>
              </w:rPr>
            </w:pPr>
            <w:r>
              <w:rPr>
                <w:color w:val="auto"/>
                <w:sz w:val="21"/>
                <w:szCs w:val="21"/>
              </w:rPr>
              <w:t>500人</w:t>
            </w:r>
          </w:p>
        </w:tc>
      </w:tr>
      <w:tr w14:paraId="2065C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35171C21">
            <w:pPr>
              <w:spacing w:line="240" w:lineRule="auto"/>
              <w:ind w:firstLine="0" w:firstLineChars="0"/>
              <w:jc w:val="center"/>
              <w:rPr>
                <w:color w:val="auto"/>
                <w:sz w:val="21"/>
                <w:szCs w:val="21"/>
              </w:rPr>
            </w:pPr>
          </w:p>
        </w:tc>
        <w:tc>
          <w:tcPr>
            <w:tcW w:w="423" w:type="pct"/>
            <w:vAlign w:val="center"/>
          </w:tcPr>
          <w:p w14:paraId="529EE04D">
            <w:pPr>
              <w:spacing w:line="240" w:lineRule="auto"/>
              <w:ind w:firstLine="0" w:firstLineChars="0"/>
              <w:jc w:val="center"/>
              <w:rPr>
                <w:color w:val="auto"/>
                <w:sz w:val="21"/>
                <w:szCs w:val="21"/>
              </w:rPr>
            </w:pPr>
            <w:r>
              <w:rPr>
                <w:color w:val="auto"/>
                <w:sz w:val="21"/>
                <w:szCs w:val="21"/>
              </w:rPr>
              <w:t>3</w:t>
            </w:r>
          </w:p>
        </w:tc>
        <w:tc>
          <w:tcPr>
            <w:tcW w:w="1086" w:type="pct"/>
            <w:gridSpan w:val="2"/>
            <w:vAlign w:val="center"/>
          </w:tcPr>
          <w:p w14:paraId="340FBA4C">
            <w:pPr>
              <w:spacing w:line="240" w:lineRule="auto"/>
              <w:ind w:firstLine="0" w:firstLineChars="0"/>
              <w:jc w:val="center"/>
              <w:rPr>
                <w:color w:val="auto"/>
                <w:sz w:val="21"/>
                <w:szCs w:val="21"/>
              </w:rPr>
            </w:pPr>
            <w:r>
              <w:rPr>
                <w:color w:val="auto"/>
                <w:sz w:val="21"/>
                <w:szCs w:val="21"/>
              </w:rPr>
              <w:t>三和村</w:t>
            </w:r>
          </w:p>
        </w:tc>
        <w:tc>
          <w:tcPr>
            <w:tcW w:w="475" w:type="pct"/>
            <w:vAlign w:val="center"/>
          </w:tcPr>
          <w:p w14:paraId="5A6AC4A8">
            <w:pPr>
              <w:spacing w:line="240" w:lineRule="auto"/>
              <w:ind w:firstLine="0" w:firstLineChars="0"/>
              <w:jc w:val="center"/>
              <w:rPr>
                <w:color w:val="auto"/>
                <w:sz w:val="21"/>
                <w:szCs w:val="21"/>
              </w:rPr>
            </w:pPr>
            <w:r>
              <w:rPr>
                <w:color w:val="auto"/>
                <w:sz w:val="21"/>
                <w:szCs w:val="21"/>
              </w:rPr>
              <w:t>E</w:t>
            </w:r>
          </w:p>
        </w:tc>
        <w:tc>
          <w:tcPr>
            <w:tcW w:w="735" w:type="pct"/>
            <w:gridSpan w:val="2"/>
            <w:vAlign w:val="center"/>
          </w:tcPr>
          <w:p w14:paraId="4D075312">
            <w:pPr>
              <w:spacing w:line="240" w:lineRule="auto"/>
              <w:ind w:firstLine="0" w:firstLineChars="0"/>
              <w:jc w:val="center"/>
              <w:rPr>
                <w:color w:val="auto"/>
                <w:sz w:val="21"/>
                <w:szCs w:val="21"/>
              </w:rPr>
            </w:pPr>
            <w:r>
              <w:rPr>
                <w:color w:val="auto"/>
                <w:sz w:val="21"/>
                <w:szCs w:val="21"/>
              </w:rPr>
              <w:t>1160</w:t>
            </w:r>
          </w:p>
        </w:tc>
        <w:tc>
          <w:tcPr>
            <w:tcW w:w="503" w:type="pct"/>
            <w:vMerge w:val="continue"/>
            <w:vAlign w:val="center"/>
          </w:tcPr>
          <w:p w14:paraId="2D0AC4EA">
            <w:pPr>
              <w:spacing w:line="240" w:lineRule="auto"/>
              <w:ind w:firstLine="0" w:firstLineChars="0"/>
              <w:jc w:val="center"/>
              <w:rPr>
                <w:color w:val="auto"/>
                <w:sz w:val="21"/>
                <w:szCs w:val="21"/>
              </w:rPr>
            </w:pPr>
          </w:p>
        </w:tc>
        <w:tc>
          <w:tcPr>
            <w:tcW w:w="1322" w:type="pct"/>
            <w:gridSpan w:val="3"/>
            <w:vAlign w:val="center"/>
          </w:tcPr>
          <w:p w14:paraId="113103A7">
            <w:pPr>
              <w:spacing w:line="240" w:lineRule="auto"/>
              <w:ind w:firstLine="0" w:firstLineChars="0"/>
              <w:jc w:val="center"/>
              <w:rPr>
                <w:color w:val="auto"/>
                <w:sz w:val="21"/>
                <w:szCs w:val="21"/>
              </w:rPr>
            </w:pPr>
            <w:r>
              <w:rPr>
                <w:color w:val="auto"/>
                <w:sz w:val="21"/>
                <w:szCs w:val="21"/>
              </w:rPr>
              <w:t>400人</w:t>
            </w:r>
          </w:p>
        </w:tc>
      </w:tr>
      <w:tr w14:paraId="7ADA6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7C3AD3F0">
            <w:pPr>
              <w:spacing w:line="240" w:lineRule="auto"/>
              <w:ind w:firstLine="0" w:firstLineChars="0"/>
              <w:jc w:val="center"/>
              <w:rPr>
                <w:color w:val="auto"/>
                <w:sz w:val="21"/>
                <w:szCs w:val="21"/>
              </w:rPr>
            </w:pPr>
          </w:p>
        </w:tc>
        <w:tc>
          <w:tcPr>
            <w:tcW w:w="423" w:type="pct"/>
            <w:vAlign w:val="center"/>
          </w:tcPr>
          <w:p w14:paraId="77E1A43B">
            <w:pPr>
              <w:spacing w:line="240" w:lineRule="auto"/>
              <w:ind w:firstLine="0" w:firstLineChars="0"/>
              <w:jc w:val="center"/>
              <w:rPr>
                <w:color w:val="auto"/>
                <w:sz w:val="21"/>
                <w:szCs w:val="21"/>
              </w:rPr>
            </w:pPr>
            <w:r>
              <w:rPr>
                <w:color w:val="auto"/>
                <w:sz w:val="21"/>
                <w:szCs w:val="21"/>
              </w:rPr>
              <w:t>4</w:t>
            </w:r>
          </w:p>
        </w:tc>
        <w:tc>
          <w:tcPr>
            <w:tcW w:w="1086" w:type="pct"/>
            <w:gridSpan w:val="2"/>
            <w:vAlign w:val="center"/>
          </w:tcPr>
          <w:p w14:paraId="266669FD">
            <w:pPr>
              <w:spacing w:line="240" w:lineRule="auto"/>
              <w:ind w:firstLine="0" w:firstLineChars="0"/>
              <w:jc w:val="center"/>
              <w:rPr>
                <w:color w:val="auto"/>
                <w:sz w:val="21"/>
                <w:szCs w:val="21"/>
              </w:rPr>
            </w:pPr>
            <w:r>
              <w:rPr>
                <w:color w:val="auto"/>
                <w:sz w:val="21"/>
                <w:szCs w:val="21"/>
              </w:rPr>
              <w:t>灯杆村</w:t>
            </w:r>
          </w:p>
        </w:tc>
        <w:tc>
          <w:tcPr>
            <w:tcW w:w="475" w:type="pct"/>
            <w:vAlign w:val="center"/>
          </w:tcPr>
          <w:p w14:paraId="41FCE0CF">
            <w:pPr>
              <w:spacing w:line="240" w:lineRule="auto"/>
              <w:ind w:firstLine="0" w:firstLineChars="0"/>
              <w:jc w:val="center"/>
              <w:rPr>
                <w:color w:val="auto"/>
                <w:sz w:val="21"/>
                <w:szCs w:val="21"/>
              </w:rPr>
            </w:pPr>
            <w:r>
              <w:rPr>
                <w:color w:val="auto"/>
                <w:sz w:val="21"/>
                <w:szCs w:val="21"/>
              </w:rPr>
              <w:t>NW</w:t>
            </w:r>
          </w:p>
        </w:tc>
        <w:tc>
          <w:tcPr>
            <w:tcW w:w="735" w:type="pct"/>
            <w:gridSpan w:val="2"/>
            <w:vAlign w:val="center"/>
          </w:tcPr>
          <w:p w14:paraId="1D492D22">
            <w:pPr>
              <w:spacing w:line="240" w:lineRule="auto"/>
              <w:ind w:firstLine="0" w:firstLineChars="0"/>
              <w:jc w:val="center"/>
              <w:rPr>
                <w:color w:val="auto"/>
                <w:sz w:val="21"/>
                <w:szCs w:val="21"/>
              </w:rPr>
            </w:pPr>
            <w:r>
              <w:rPr>
                <w:color w:val="auto"/>
                <w:sz w:val="21"/>
                <w:szCs w:val="21"/>
              </w:rPr>
              <w:t>1700</w:t>
            </w:r>
          </w:p>
        </w:tc>
        <w:tc>
          <w:tcPr>
            <w:tcW w:w="503" w:type="pct"/>
            <w:vMerge w:val="continue"/>
            <w:vAlign w:val="center"/>
          </w:tcPr>
          <w:p w14:paraId="1B553337">
            <w:pPr>
              <w:spacing w:line="240" w:lineRule="auto"/>
              <w:ind w:firstLine="0" w:firstLineChars="0"/>
              <w:jc w:val="center"/>
              <w:rPr>
                <w:color w:val="auto"/>
                <w:sz w:val="21"/>
                <w:szCs w:val="21"/>
              </w:rPr>
            </w:pPr>
          </w:p>
        </w:tc>
        <w:tc>
          <w:tcPr>
            <w:tcW w:w="1322" w:type="pct"/>
            <w:gridSpan w:val="3"/>
            <w:vAlign w:val="center"/>
          </w:tcPr>
          <w:p w14:paraId="2E9A91DC">
            <w:pPr>
              <w:spacing w:line="240" w:lineRule="auto"/>
              <w:ind w:firstLine="0" w:firstLineChars="0"/>
              <w:jc w:val="center"/>
              <w:rPr>
                <w:color w:val="auto"/>
                <w:sz w:val="21"/>
                <w:szCs w:val="21"/>
              </w:rPr>
            </w:pPr>
            <w:r>
              <w:rPr>
                <w:color w:val="auto"/>
                <w:sz w:val="21"/>
                <w:szCs w:val="21"/>
              </w:rPr>
              <w:t>1000人</w:t>
            </w:r>
          </w:p>
        </w:tc>
      </w:tr>
      <w:tr w14:paraId="34E76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2794BAAC">
            <w:pPr>
              <w:spacing w:line="240" w:lineRule="auto"/>
              <w:ind w:firstLine="0" w:firstLineChars="0"/>
              <w:jc w:val="center"/>
              <w:rPr>
                <w:color w:val="auto"/>
                <w:sz w:val="21"/>
                <w:szCs w:val="21"/>
              </w:rPr>
            </w:pPr>
          </w:p>
        </w:tc>
        <w:tc>
          <w:tcPr>
            <w:tcW w:w="423" w:type="pct"/>
            <w:vAlign w:val="center"/>
          </w:tcPr>
          <w:p w14:paraId="0FCA32A0">
            <w:pPr>
              <w:spacing w:line="240" w:lineRule="auto"/>
              <w:ind w:firstLine="0" w:firstLineChars="0"/>
              <w:jc w:val="center"/>
              <w:rPr>
                <w:color w:val="auto"/>
                <w:sz w:val="21"/>
                <w:szCs w:val="21"/>
              </w:rPr>
            </w:pPr>
            <w:r>
              <w:rPr>
                <w:color w:val="auto"/>
                <w:sz w:val="21"/>
                <w:szCs w:val="21"/>
              </w:rPr>
              <w:t>5</w:t>
            </w:r>
          </w:p>
        </w:tc>
        <w:tc>
          <w:tcPr>
            <w:tcW w:w="1086" w:type="pct"/>
            <w:gridSpan w:val="2"/>
            <w:vAlign w:val="center"/>
          </w:tcPr>
          <w:p w14:paraId="5B04EB4E">
            <w:pPr>
              <w:spacing w:line="240" w:lineRule="auto"/>
              <w:ind w:firstLine="0" w:firstLineChars="0"/>
              <w:jc w:val="center"/>
              <w:rPr>
                <w:color w:val="auto"/>
                <w:sz w:val="21"/>
                <w:szCs w:val="21"/>
              </w:rPr>
            </w:pPr>
            <w:r>
              <w:rPr>
                <w:color w:val="auto"/>
                <w:sz w:val="21"/>
                <w:szCs w:val="21"/>
              </w:rPr>
              <w:t>光卫村</w:t>
            </w:r>
          </w:p>
        </w:tc>
        <w:tc>
          <w:tcPr>
            <w:tcW w:w="475" w:type="pct"/>
            <w:vAlign w:val="center"/>
          </w:tcPr>
          <w:p w14:paraId="66C3FE9A">
            <w:pPr>
              <w:spacing w:line="240" w:lineRule="auto"/>
              <w:ind w:firstLine="0" w:firstLineChars="0"/>
              <w:jc w:val="center"/>
              <w:rPr>
                <w:color w:val="auto"/>
                <w:sz w:val="21"/>
                <w:szCs w:val="21"/>
              </w:rPr>
            </w:pPr>
            <w:r>
              <w:rPr>
                <w:color w:val="auto"/>
                <w:sz w:val="21"/>
                <w:szCs w:val="21"/>
              </w:rPr>
              <w:t>NE</w:t>
            </w:r>
          </w:p>
        </w:tc>
        <w:tc>
          <w:tcPr>
            <w:tcW w:w="735" w:type="pct"/>
            <w:gridSpan w:val="2"/>
            <w:vAlign w:val="center"/>
          </w:tcPr>
          <w:p w14:paraId="080B5009">
            <w:pPr>
              <w:spacing w:line="240" w:lineRule="auto"/>
              <w:ind w:firstLine="0" w:firstLineChars="0"/>
              <w:jc w:val="center"/>
              <w:rPr>
                <w:color w:val="auto"/>
                <w:sz w:val="21"/>
                <w:szCs w:val="21"/>
              </w:rPr>
            </w:pPr>
            <w:r>
              <w:rPr>
                <w:color w:val="auto"/>
                <w:sz w:val="21"/>
                <w:szCs w:val="21"/>
              </w:rPr>
              <w:t>1800</w:t>
            </w:r>
          </w:p>
        </w:tc>
        <w:tc>
          <w:tcPr>
            <w:tcW w:w="503" w:type="pct"/>
            <w:vMerge w:val="continue"/>
            <w:vAlign w:val="center"/>
          </w:tcPr>
          <w:p w14:paraId="350A26F0">
            <w:pPr>
              <w:spacing w:line="240" w:lineRule="auto"/>
              <w:ind w:firstLine="0" w:firstLineChars="0"/>
              <w:jc w:val="center"/>
              <w:rPr>
                <w:color w:val="auto"/>
                <w:sz w:val="21"/>
                <w:szCs w:val="21"/>
              </w:rPr>
            </w:pPr>
          </w:p>
        </w:tc>
        <w:tc>
          <w:tcPr>
            <w:tcW w:w="1322" w:type="pct"/>
            <w:gridSpan w:val="3"/>
            <w:vAlign w:val="center"/>
          </w:tcPr>
          <w:p w14:paraId="61848B78">
            <w:pPr>
              <w:spacing w:line="240" w:lineRule="auto"/>
              <w:ind w:firstLine="0" w:firstLineChars="0"/>
              <w:jc w:val="center"/>
              <w:rPr>
                <w:color w:val="auto"/>
                <w:sz w:val="21"/>
                <w:szCs w:val="21"/>
              </w:rPr>
            </w:pPr>
            <w:r>
              <w:rPr>
                <w:color w:val="auto"/>
                <w:sz w:val="21"/>
                <w:szCs w:val="21"/>
              </w:rPr>
              <w:t>600人</w:t>
            </w:r>
          </w:p>
        </w:tc>
      </w:tr>
      <w:tr w14:paraId="24C1A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2BCC9EE9">
            <w:pPr>
              <w:spacing w:line="240" w:lineRule="auto"/>
              <w:ind w:firstLine="0" w:firstLineChars="0"/>
              <w:jc w:val="center"/>
              <w:rPr>
                <w:color w:val="auto"/>
                <w:sz w:val="21"/>
                <w:szCs w:val="21"/>
              </w:rPr>
            </w:pPr>
          </w:p>
        </w:tc>
        <w:tc>
          <w:tcPr>
            <w:tcW w:w="423" w:type="pct"/>
            <w:vAlign w:val="center"/>
          </w:tcPr>
          <w:p w14:paraId="63F909D0">
            <w:pPr>
              <w:spacing w:line="240" w:lineRule="auto"/>
              <w:ind w:firstLine="0" w:firstLineChars="0"/>
              <w:jc w:val="center"/>
              <w:rPr>
                <w:color w:val="auto"/>
                <w:sz w:val="21"/>
                <w:szCs w:val="21"/>
              </w:rPr>
            </w:pPr>
            <w:r>
              <w:rPr>
                <w:color w:val="auto"/>
                <w:sz w:val="21"/>
                <w:szCs w:val="21"/>
              </w:rPr>
              <w:t>6</w:t>
            </w:r>
          </w:p>
        </w:tc>
        <w:tc>
          <w:tcPr>
            <w:tcW w:w="1086" w:type="pct"/>
            <w:gridSpan w:val="2"/>
            <w:vAlign w:val="center"/>
          </w:tcPr>
          <w:p w14:paraId="63FA611A">
            <w:pPr>
              <w:spacing w:line="240" w:lineRule="auto"/>
              <w:ind w:firstLine="0" w:firstLineChars="0"/>
              <w:jc w:val="center"/>
              <w:rPr>
                <w:color w:val="auto"/>
                <w:sz w:val="21"/>
                <w:szCs w:val="21"/>
              </w:rPr>
            </w:pPr>
            <w:r>
              <w:rPr>
                <w:color w:val="auto"/>
                <w:sz w:val="21"/>
                <w:szCs w:val="21"/>
              </w:rPr>
              <w:t>建西村</w:t>
            </w:r>
          </w:p>
        </w:tc>
        <w:tc>
          <w:tcPr>
            <w:tcW w:w="475" w:type="pct"/>
            <w:vAlign w:val="center"/>
          </w:tcPr>
          <w:p w14:paraId="176C1BE8">
            <w:pPr>
              <w:spacing w:line="240" w:lineRule="auto"/>
              <w:ind w:firstLine="0" w:firstLineChars="0"/>
              <w:jc w:val="center"/>
              <w:rPr>
                <w:color w:val="auto"/>
                <w:sz w:val="21"/>
                <w:szCs w:val="21"/>
              </w:rPr>
            </w:pPr>
            <w:r>
              <w:rPr>
                <w:color w:val="auto"/>
                <w:sz w:val="21"/>
                <w:szCs w:val="21"/>
              </w:rPr>
              <w:t>NE</w:t>
            </w:r>
          </w:p>
        </w:tc>
        <w:tc>
          <w:tcPr>
            <w:tcW w:w="735" w:type="pct"/>
            <w:gridSpan w:val="2"/>
            <w:vAlign w:val="center"/>
          </w:tcPr>
          <w:p w14:paraId="2977579E">
            <w:pPr>
              <w:spacing w:line="240" w:lineRule="auto"/>
              <w:ind w:firstLine="0" w:firstLineChars="0"/>
              <w:jc w:val="center"/>
              <w:rPr>
                <w:color w:val="auto"/>
                <w:sz w:val="21"/>
                <w:szCs w:val="21"/>
              </w:rPr>
            </w:pPr>
            <w:r>
              <w:rPr>
                <w:color w:val="auto"/>
                <w:sz w:val="21"/>
                <w:szCs w:val="21"/>
              </w:rPr>
              <w:t>2100</w:t>
            </w:r>
          </w:p>
        </w:tc>
        <w:tc>
          <w:tcPr>
            <w:tcW w:w="503" w:type="pct"/>
            <w:vMerge w:val="continue"/>
            <w:vAlign w:val="center"/>
          </w:tcPr>
          <w:p w14:paraId="6269150C">
            <w:pPr>
              <w:spacing w:line="240" w:lineRule="auto"/>
              <w:ind w:firstLine="0" w:firstLineChars="0"/>
              <w:jc w:val="center"/>
              <w:rPr>
                <w:color w:val="auto"/>
                <w:sz w:val="21"/>
                <w:szCs w:val="21"/>
              </w:rPr>
            </w:pPr>
          </w:p>
        </w:tc>
        <w:tc>
          <w:tcPr>
            <w:tcW w:w="1322" w:type="pct"/>
            <w:gridSpan w:val="3"/>
            <w:vAlign w:val="center"/>
          </w:tcPr>
          <w:p w14:paraId="74596697">
            <w:pPr>
              <w:spacing w:line="240" w:lineRule="auto"/>
              <w:ind w:firstLine="0" w:firstLineChars="0"/>
              <w:jc w:val="center"/>
              <w:rPr>
                <w:color w:val="auto"/>
                <w:sz w:val="21"/>
                <w:szCs w:val="21"/>
              </w:rPr>
            </w:pPr>
            <w:r>
              <w:rPr>
                <w:color w:val="auto"/>
                <w:sz w:val="21"/>
                <w:szCs w:val="21"/>
              </w:rPr>
              <w:t>400人</w:t>
            </w:r>
          </w:p>
        </w:tc>
      </w:tr>
      <w:tr w14:paraId="3A832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34CA6B2E">
            <w:pPr>
              <w:spacing w:line="240" w:lineRule="auto"/>
              <w:ind w:firstLine="0" w:firstLineChars="0"/>
              <w:jc w:val="center"/>
              <w:rPr>
                <w:color w:val="auto"/>
                <w:sz w:val="21"/>
                <w:szCs w:val="21"/>
              </w:rPr>
            </w:pPr>
          </w:p>
        </w:tc>
        <w:tc>
          <w:tcPr>
            <w:tcW w:w="423" w:type="pct"/>
            <w:vAlign w:val="center"/>
          </w:tcPr>
          <w:p w14:paraId="547E9C6D">
            <w:pPr>
              <w:spacing w:line="240" w:lineRule="auto"/>
              <w:ind w:firstLine="0" w:firstLineChars="0"/>
              <w:jc w:val="center"/>
              <w:rPr>
                <w:color w:val="auto"/>
                <w:sz w:val="21"/>
                <w:szCs w:val="21"/>
              </w:rPr>
            </w:pPr>
            <w:r>
              <w:rPr>
                <w:color w:val="auto"/>
                <w:sz w:val="21"/>
                <w:szCs w:val="21"/>
              </w:rPr>
              <w:t>7</w:t>
            </w:r>
          </w:p>
        </w:tc>
        <w:tc>
          <w:tcPr>
            <w:tcW w:w="1086" w:type="pct"/>
            <w:gridSpan w:val="2"/>
            <w:vAlign w:val="center"/>
          </w:tcPr>
          <w:p w14:paraId="1843DDD6">
            <w:pPr>
              <w:spacing w:line="240" w:lineRule="auto"/>
              <w:ind w:firstLine="0" w:firstLineChars="0"/>
              <w:jc w:val="center"/>
              <w:rPr>
                <w:color w:val="auto"/>
                <w:sz w:val="21"/>
                <w:szCs w:val="21"/>
              </w:rPr>
            </w:pPr>
            <w:r>
              <w:rPr>
                <w:color w:val="auto"/>
                <w:sz w:val="21"/>
                <w:szCs w:val="21"/>
              </w:rPr>
              <w:t>介英村</w:t>
            </w:r>
          </w:p>
        </w:tc>
        <w:tc>
          <w:tcPr>
            <w:tcW w:w="475" w:type="pct"/>
            <w:vAlign w:val="center"/>
          </w:tcPr>
          <w:p w14:paraId="7EA22538">
            <w:pPr>
              <w:spacing w:line="240" w:lineRule="auto"/>
              <w:ind w:firstLine="0" w:firstLineChars="0"/>
              <w:jc w:val="center"/>
              <w:rPr>
                <w:color w:val="auto"/>
                <w:sz w:val="21"/>
                <w:szCs w:val="21"/>
              </w:rPr>
            </w:pPr>
            <w:r>
              <w:rPr>
                <w:color w:val="auto"/>
                <w:sz w:val="21"/>
                <w:szCs w:val="21"/>
              </w:rPr>
              <w:t>NW</w:t>
            </w:r>
          </w:p>
        </w:tc>
        <w:tc>
          <w:tcPr>
            <w:tcW w:w="735" w:type="pct"/>
            <w:gridSpan w:val="2"/>
            <w:vAlign w:val="center"/>
          </w:tcPr>
          <w:p w14:paraId="2D7AC450">
            <w:pPr>
              <w:spacing w:line="240" w:lineRule="auto"/>
              <w:ind w:firstLine="0" w:firstLineChars="0"/>
              <w:jc w:val="center"/>
              <w:rPr>
                <w:color w:val="auto"/>
                <w:sz w:val="21"/>
                <w:szCs w:val="21"/>
              </w:rPr>
            </w:pPr>
            <w:r>
              <w:rPr>
                <w:color w:val="auto"/>
                <w:sz w:val="21"/>
                <w:szCs w:val="21"/>
              </w:rPr>
              <w:t>2800</w:t>
            </w:r>
          </w:p>
        </w:tc>
        <w:tc>
          <w:tcPr>
            <w:tcW w:w="503" w:type="pct"/>
            <w:vMerge w:val="continue"/>
            <w:vAlign w:val="center"/>
          </w:tcPr>
          <w:p w14:paraId="59CA0B5A">
            <w:pPr>
              <w:spacing w:line="240" w:lineRule="auto"/>
              <w:ind w:firstLine="0" w:firstLineChars="0"/>
              <w:jc w:val="center"/>
              <w:rPr>
                <w:color w:val="auto"/>
                <w:sz w:val="21"/>
                <w:szCs w:val="21"/>
              </w:rPr>
            </w:pPr>
          </w:p>
        </w:tc>
        <w:tc>
          <w:tcPr>
            <w:tcW w:w="1322" w:type="pct"/>
            <w:gridSpan w:val="3"/>
            <w:vAlign w:val="center"/>
          </w:tcPr>
          <w:p w14:paraId="372250D1">
            <w:pPr>
              <w:spacing w:line="240" w:lineRule="auto"/>
              <w:ind w:firstLine="0" w:firstLineChars="0"/>
              <w:jc w:val="center"/>
              <w:rPr>
                <w:color w:val="auto"/>
                <w:sz w:val="21"/>
                <w:szCs w:val="21"/>
              </w:rPr>
            </w:pPr>
            <w:r>
              <w:rPr>
                <w:color w:val="auto"/>
                <w:sz w:val="21"/>
                <w:szCs w:val="21"/>
              </w:rPr>
              <w:t>600人</w:t>
            </w:r>
          </w:p>
        </w:tc>
      </w:tr>
      <w:tr w14:paraId="7E371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53D2CB54">
            <w:pPr>
              <w:spacing w:line="240" w:lineRule="auto"/>
              <w:ind w:firstLine="0" w:firstLineChars="0"/>
              <w:jc w:val="center"/>
              <w:rPr>
                <w:color w:val="auto"/>
                <w:sz w:val="21"/>
                <w:szCs w:val="21"/>
              </w:rPr>
            </w:pPr>
          </w:p>
        </w:tc>
        <w:tc>
          <w:tcPr>
            <w:tcW w:w="423" w:type="pct"/>
            <w:vAlign w:val="center"/>
          </w:tcPr>
          <w:p w14:paraId="58CF3280">
            <w:pPr>
              <w:spacing w:line="240" w:lineRule="auto"/>
              <w:ind w:firstLine="0" w:firstLineChars="0"/>
              <w:jc w:val="center"/>
              <w:rPr>
                <w:color w:val="auto"/>
                <w:sz w:val="21"/>
                <w:szCs w:val="21"/>
              </w:rPr>
            </w:pPr>
            <w:r>
              <w:rPr>
                <w:color w:val="auto"/>
                <w:sz w:val="21"/>
                <w:szCs w:val="21"/>
              </w:rPr>
              <w:t>8</w:t>
            </w:r>
          </w:p>
        </w:tc>
        <w:tc>
          <w:tcPr>
            <w:tcW w:w="1086" w:type="pct"/>
            <w:gridSpan w:val="2"/>
            <w:vAlign w:val="center"/>
          </w:tcPr>
          <w:p w14:paraId="1FD1424D">
            <w:pPr>
              <w:spacing w:line="240" w:lineRule="auto"/>
              <w:ind w:firstLine="0" w:firstLineChars="0"/>
              <w:jc w:val="center"/>
              <w:rPr>
                <w:color w:val="auto"/>
                <w:sz w:val="21"/>
                <w:szCs w:val="21"/>
              </w:rPr>
            </w:pPr>
            <w:r>
              <w:rPr>
                <w:color w:val="auto"/>
                <w:sz w:val="21"/>
                <w:szCs w:val="21"/>
              </w:rPr>
              <w:t>远兴村</w:t>
            </w:r>
          </w:p>
        </w:tc>
        <w:tc>
          <w:tcPr>
            <w:tcW w:w="475" w:type="pct"/>
            <w:vAlign w:val="center"/>
          </w:tcPr>
          <w:p w14:paraId="39E949BB">
            <w:pPr>
              <w:spacing w:line="240" w:lineRule="auto"/>
              <w:ind w:firstLine="0" w:firstLineChars="0"/>
              <w:jc w:val="center"/>
              <w:rPr>
                <w:color w:val="auto"/>
                <w:sz w:val="21"/>
                <w:szCs w:val="21"/>
              </w:rPr>
            </w:pPr>
            <w:r>
              <w:rPr>
                <w:color w:val="auto"/>
                <w:sz w:val="21"/>
                <w:szCs w:val="21"/>
              </w:rPr>
              <w:t>NW</w:t>
            </w:r>
          </w:p>
        </w:tc>
        <w:tc>
          <w:tcPr>
            <w:tcW w:w="735" w:type="pct"/>
            <w:gridSpan w:val="2"/>
            <w:vAlign w:val="center"/>
          </w:tcPr>
          <w:p w14:paraId="45BE68E5">
            <w:pPr>
              <w:spacing w:line="240" w:lineRule="auto"/>
              <w:ind w:firstLine="0" w:firstLineChars="0"/>
              <w:jc w:val="center"/>
              <w:rPr>
                <w:color w:val="auto"/>
                <w:sz w:val="21"/>
                <w:szCs w:val="21"/>
              </w:rPr>
            </w:pPr>
            <w:r>
              <w:rPr>
                <w:color w:val="auto"/>
                <w:sz w:val="21"/>
                <w:szCs w:val="21"/>
              </w:rPr>
              <w:t>4100</w:t>
            </w:r>
          </w:p>
        </w:tc>
        <w:tc>
          <w:tcPr>
            <w:tcW w:w="503" w:type="pct"/>
            <w:vMerge w:val="continue"/>
            <w:vAlign w:val="center"/>
          </w:tcPr>
          <w:p w14:paraId="34CAEA7D">
            <w:pPr>
              <w:spacing w:line="240" w:lineRule="auto"/>
              <w:ind w:firstLine="0" w:firstLineChars="0"/>
              <w:jc w:val="center"/>
              <w:rPr>
                <w:color w:val="auto"/>
                <w:sz w:val="21"/>
                <w:szCs w:val="21"/>
              </w:rPr>
            </w:pPr>
          </w:p>
        </w:tc>
        <w:tc>
          <w:tcPr>
            <w:tcW w:w="1322" w:type="pct"/>
            <w:gridSpan w:val="3"/>
            <w:vAlign w:val="center"/>
          </w:tcPr>
          <w:p w14:paraId="67929A52">
            <w:pPr>
              <w:spacing w:line="240" w:lineRule="auto"/>
              <w:ind w:firstLine="0" w:firstLineChars="0"/>
              <w:jc w:val="center"/>
              <w:rPr>
                <w:color w:val="auto"/>
                <w:sz w:val="21"/>
                <w:szCs w:val="21"/>
              </w:rPr>
            </w:pPr>
            <w:r>
              <w:rPr>
                <w:color w:val="auto"/>
                <w:sz w:val="21"/>
                <w:szCs w:val="21"/>
              </w:rPr>
              <w:t>500人</w:t>
            </w:r>
          </w:p>
        </w:tc>
      </w:tr>
      <w:tr w14:paraId="2E9D6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239E83A5">
            <w:pPr>
              <w:spacing w:line="240" w:lineRule="auto"/>
              <w:ind w:firstLine="0" w:firstLineChars="0"/>
              <w:jc w:val="center"/>
              <w:rPr>
                <w:color w:val="auto"/>
                <w:sz w:val="21"/>
                <w:szCs w:val="21"/>
              </w:rPr>
            </w:pPr>
          </w:p>
        </w:tc>
        <w:tc>
          <w:tcPr>
            <w:tcW w:w="423" w:type="pct"/>
            <w:vAlign w:val="center"/>
          </w:tcPr>
          <w:p w14:paraId="132D0851">
            <w:pPr>
              <w:spacing w:line="240" w:lineRule="auto"/>
              <w:ind w:firstLine="0" w:firstLineChars="0"/>
              <w:jc w:val="center"/>
              <w:rPr>
                <w:color w:val="auto"/>
                <w:sz w:val="21"/>
                <w:szCs w:val="21"/>
              </w:rPr>
            </w:pPr>
            <w:r>
              <w:rPr>
                <w:color w:val="auto"/>
                <w:sz w:val="21"/>
                <w:szCs w:val="21"/>
              </w:rPr>
              <w:t>9</w:t>
            </w:r>
          </w:p>
        </w:tc>
        <w:tc>
          <w:tcPr>
            <w:tcW w:w="1086" w:type="pct"/>
            <w:gridSpan w:val="2"/>
            <w:vAlign w:val="center"/>
          </w:tcPr>
          <w:p w14:paraId="41A4C7D1">
            <w:pPr>
              <w:spacing w:line="240" w:lineRule="auto"/>
              <w:ind w:firstLine="0" w:firstLineChars="0"/>
              <w:jc w:val="center"/>
              <w:rPr>
                <w:color w:val="auto"/>
                <w:sz w:val="21"/>
                <w:szCs w:val="21"/>
              </w:rPr>
            </w:pPr>
            <w:r>
              <w:rPr>
                <w:color w:val="auto"/>
                <w:sz w:val="21"/>
                <w:szCs w:val="21"/>
              </w:rPr>
              <w:t>希圣村</w:t>
            </w:r>
          </w:p>
        </w:tc>
        <w:tc>
          <w:tcPr>
            <w:tcW w:w="475" w:type="pct"/>
            <w:vAlign w:val="center"/>
          </w:tcPr>
          <w:p w14:paraId="69928633">
            <w:pPr>
              <w:spacing w:line="240" w:lineRule="auto"/>
              <w:ind w:firstLine="0" w:firstLineChars="0"/>
              <w:jc w:val="center"/>
              <w:rPr>
                <w:color w:val="auto"/>
                <w:sz w:val="21"/>
                <w:szCs w:val="21"/>
              </w:rPr>
            </w:pPr>
            <w:r>
              <w:rPr>
                <w:color w:val="auto"/>
                <w:sz w:val="21"/>
                <w:szCs w:val="21"/>
              </w:rPr>
              <w:t>NW</w:t>
            </w:r>
          </w:p>
        </w:tc>
        <w:tc>
          <w:tcPr>
            <w:tcW w:w="735" w:type="pct"/>
            <w:gridSpan w:val="2"/>
            <w:vAlign w:val="center"/>
          </w:tcPr>
          <w:p w14:paraId="3533343C">
            <w:pPr>
              <w:spacing w:line="240" w:lineRule="auto"/>
              <w:ind w:firstLine="0" w:firstLineChars="0"/>
              <w:jc w:val="center"/>
              <w:rPr>
                <w:color w:val="auto"/>
                <w:sz w:val="21"/>
                <w:szCs w:val="21"/>
              </w:rPr>
            </w:pPr>
            <w:r>
              <w:rPr>
                <w:color w:val="auto"/>
                <w:sz w:val="21"/>
                <w:szCs w:val="21"/>
              </w:rPr>
              <w:t>4400</w:t>
            </w:r>
          </w:p>
        </w:tc>
        <w:tc>
          <w:tcPr>
            <w:tcW w:w="503" w:type="pct"/>
            <w:vMerge w:val="continue"/>
            <w:vAlign w:val="center"/>
          </w:tcPr>
          <w:p w14:paraId="0867B63F">
            <w:pPr>
              <w:spacing w:line="240" w:lineRule="auto"/>
              <w:ind w:firstLine="0" w:firstLineChars="0"/>
              <w:jc w:val="center"/>
              <w:rPr>
                <w:color w:val="auto"/>
                <w:sz w:val="21"/>
                <w:szCs w:val="21"/>
              </w:rPr>
            </w:pPr>
          </w:p>
        </w:tc>
        <w:tc>
          <w:tcPr>
            <w:tcW w:w="1322" w:type="pct"/>
            <w:gridSpan w:val="3"/>
            <w:vAlign w:val="center"/>
          </w:tcPr>
          <w:p w14:paraId="0DC73734">
            <w:pPr>
              <w:spacing w:line="240" w:lineRule="auto"/>
              <w:ind w:firstLine="0" w:firstLineChars="0"/>
              <w:jc w:val="center"/>
              <w:rPr>
                <w:color w:val="auto"/>
                <w:sz w:val="21"/>
                <w:szCs w:val="21"/>
              </w:rPr>
            </w:pPr>
            <w:r>
              <w:rPr>
                <w:color w:val="auto"/>
                <w:sz w:val="21"/>
                <w:szCs w:val="21"/>
              </w:rPr>
              <w:t>400人</w:t>
            </w:r>
          </w:p>
        </w:tc>
      </w:tr>
      <w:tr w14:paraId="2DA1F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68ADAF2F">
            <w:pPr>
              <w:spacing w:line="240" w:lineRule="auto"/>
              <w:ind w:firstLine="0" w:firstLineChars="0"/>
              <w:jc w:val="center"/>
              <w:rPr>
                <w:color w:val="auto"/>
                <w:sz w:val="21"/>
                <w:szCs w:val="21"/>
              </w:rPr>
            </w:pPr>
          </w:p>
        </w:tc>
        <w:tc>
          <w:tcPr>
            <w:tcW w:w="423" w:type="pct"/>
            <w:vAlign w:val="center"/>
          </w:tcPr>
          <w:p w14:paraId="6A268134">
            <w:pPr>
              <w:spacing w:line="240" w:lineRule="auto"/>
              <w:ind w:firstLine="0" w:firstLineChars="0"/>
              <w:jc w:val="center"/>
              <w:rPr>
                <w:color w:val="auto"/>
                <w:sz w:val="21"/>
                <w:szCs w:val="21"/>
              </w:rPr>
            </w:pPr>
            <w:r>
              <w:rPr>
                <w:color w:val="auto"/>
                <w:sz w:val="21"/>
                <w:szCs w:val="21"/>
              </w:rPr>
              <w:t>10</w:t>
            </w:r>
          </w:p>
        </w:tc>
        <w:tc>
          <w:tcPr>
            <w:tcW w:w="1086" w:type="pct"/>
            <w:gridSpan w:val="2"/>
            <w:vAlign w:val="center"/>
          </w:tcPr>
          <w:p w14:paraId="62378DA4">
            <w:pPr>
              <w:spacing w:line="240" w:lineRule="auto"/>
              <w:ind w:firstLine="0" w:firstLineChars="0"/>
              <w:jc w:val="center"/>
              <w:rPr>
                <w:color w:val="auto"/>
                <w:sz w:val="21"/>
                <w:szCs w:val="21"/>
              </w:rPr>
            </w:pPr>
            <w:r>
              <w:rPr>
                <w:color w:val="auto"/>
                <w:sz w:val="21"/>
                <w:szCs w:val="21"/>
              </w:rPr>
              <w:t>轶昌村</w:t>
            </w:r>
          </w:p>
        </w:tc>
        <w:tc>
          <w:tcPr>
            <w:tcW w:w="475" w:type="pct"/>
            <w:vAlign w:val="center"/>
          </w:tcPr>
          <w:p w14:paraId="0841C00C">
            <w:pPr>
              <w:spacing w:line="240" w:lineRule="auto"/>
              <w:ind w:firstLine="0" w:firstLineChars="0"/>
              <w:jc w:val="center"/>
              <w:rPr>
                <w:color w:val="auto"/>
                <w:sz w:val="21"/>
                <w:szCs w:val="21"/>
              </w:rPr>
            </w:pPr>
            <w:r>
              <w:rPr>
                <w:color w:val="auto"/>
                <w:sz w:val="21"/>
                <w:szCs w:val="21"/>
              </w:rPr>
              <w:t>N</w:t>
            </w:r>
          </w:p>
        </w:tc>
        <w:tc>
          <w:tcPr>
            <w:tcW w:w="735" w:type="pct"/>
            <w:gridSpan w:val="2"/>
            <w:vAlign w:val="center"/>
          </w:tcPr>
          <w:p w14:paraId="5D713C50">
            <w:pPr>
              <w:spacing w:line="240" w:lineRule="auto"/>
              <w:ind w:firstLine="0" w:firstLineChars="0"/>
              <w:jc w:val="center"/>
              <w:rPr>
                <w:color w:val="auto"/>
                <w:sz w:val="21"/>
                <w:szCs w:val="21"/>
              </w:rPr>
            </w:pPr>
            <w:r>
              <w:rPr>
                <w:color w:val="auto"/>
                <w:sz w:val="21"/>
                <w:szCs w:val="21"/>
              </w:rPr>
              <w:t>4700</w:t>
            </w:r>
          </w:p>
        </w:tc>
        <w:tc>
          <w:tcPr>
            <w:tcW w:w="503" w:type="pct"/>
            <w:vMerge w:val="continue"/>
            <w:vAlign w:val="center"/>
          </w:tcPr>
          <w:p w14:paraId="5C23AC7E">
            <w:pPr>
              <w:spacing w:line="240" w:lineRule="auto"/>
              <w:ind w:firstLine="0" w:firstLineChars="0"/>
              <w:jc w:val="center"/>
              <w:rPr>
                <w:color w:val="auto"/>
                <w:sz w:val="21"/>
                <w:szCs w:val="21"/>
              </w:rPr>
            </w:pPr>
          </w:p>
        </w:tc>
        <w:tc>
          <w:tcPr>
            <w:tcW w:w="1322" w:type="pct"/>
            <w:gridSpan w:val="3"/>
            <w:vAlign w:val="center"/>
          </w:tcPr>
          <w:p w14:paraId="5F9D3909">
            <w:pPr>
              <w:spacing w:line="240" w:lineRule="auto"/>
              <w:ind w:firstLine="0" w:firstLineChars="0"/>
              <w:jc w:val="center"/>
              <w:rPr>
                <w:color w:val="auto"/>
                <w:sz w:val="21"/>
                <w:szCs w:val="21"/>
              </w:rPr>
            </w:pPr>
            <w:r>
              <w:rPr>
                <w:color w:val="auto"/>
                <w:sz w:val="21"/>
                <w:szCs w:val="21"/>
              </w:rPr>
              <w:t>500人</w:t>
            </w:r>
          </w:p>
        </w:tc>
      </w:tr>
      <w:tr w14:paraId="7BF89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38B0FC11">
            <w:pPr>
              <w:spacing w:line="240" w:lineRule="auto"/>
              <w:ind w:firstLine="0" w:firstLineChars="0"/>
              <w:jc w:val="center"/>
              <w:rPr>
                <w:color w:val="auto"/>
                <w:sz w:val="21"/>
                <w:szCs w:val="21"/>
              </w:rPr>
            </w:pPr>
          </w:p>
        </w:tc>
        <w:tc>
          <w:tcPr>
            <w:tcW w:w="423" w:type="pct"/>
            <w:vAlign w:val="center"/>
          </w:tcPr>
          <w:p w14:paraId="78C2ED84">
            <w:pPr>
              <w:spacing w:line="240" w:lineRule="auto"/>
              <w:ind w:firstLine="0" w:firstLineChars="0"/>
              <w:jc w:val="center"/>
              <w:rPr>
                <w:color w:val="auto"/>
                <w:sz w:val="21"/>
                <w:szCs w:val="21"/>
              </w:rPr>
            </w:pPr>
            <w:r>
              <w:rPr>
                <w:color w:val="auto"/>
                <w:sz w:val="21"/>
                <w:szCs w:val="21"/>
              </w:rPr>
              <w:t>11</w:t>
            </w:r>
          </w:p>
        </w:tc>
        <w:tc>
          <w:tcPr>
            <w:tcW w:w="1086" w:type="pct"/>
            <w:gridSpan w:val="2"/>
            <w:vAlign w:val="center"/>
          </w:tcPr>
          <w:p w14:paraId="691EDCE2">
            <w:pPr>
              <w:spacing w:line="240" w:lineRule="auto"/>
              <w:ind w:firstLine="0" w:firstLineChars="0"/>
              <w:jc w:val="center"/>
              <w:rPr>
                <w:color w:val="auto"/>
                <w:sz w:val="21"/>
                <w:szCs w:val="21"/>
              </w:rPr>
            </w:pPr>
            <w:r>
              <w:rPr>
                <w:color w:val="auto"/>
                <w:sz w:val="21"/>
                <w:szCs w:val="21"/>
              </w:rPr>
              <w:t>双仙村</w:t>
            </w:r>
          </w:p>
        </w:tc>
        <w:tc>
          <w:tcPr>
            <w:tcW w:w="475" w:type="pct"/>
            <w:vAlign w:val="center"/>
          </w:tcPr>
          <w:p w14:paraId="600CB4B9">
            <w:pPr>
              <w:spacing w:line="240" w:lineRule="auto"/>
              <w:ind w:firstLine="0" w:firstLineChars="0"/>
              <w:jc w:val="center"/>
              <w:rPr>
                <w:color w:val="auto"/>
                <w:sz w:val="21"/>
                <w:szCs w:val="21"/>
              </w:rPr>
            </w:pPr>
            <w:r>
              <w:rPr>
                <w:color w:val="auto"/>
                <w:sz w:val="21"/>
                <w:szCs w:val="21"/>
              </w:rPr>
              <w:t>NE</w:t>
            </w:r>
          </w:p>
        </w:tc>
        <w:tc>
          <w:tcPr>
            <w:tcW w:w="735" w:type="pct"/>
            <w:gridSpan w:val="2"/>
            <w:vAlign w:val="center"/>
          </w:tcPr>
          <w:p w14:paraId="627E0940">
            <w:pPr>
              <w:spacing w:line="240" w:lineRule="auto"/>
              <w:ind w:firstLine="0" w:firstLineChars="0"/>
              <w:jc w:val="center"/>
              <w:rPr>
                <w:color w:val="auto"/>
                <w:sz w:val="21"/>
                <w:szCs w:val="21"/>
              </w:rPr>
            </w:pPr>
            <w:r>
              <w:rPr>
                <w:color w:val="auto"/>
                <w:sz w:val="21"/>
                <w:szCs w:val="21"/>
              </w:rPr>
              <w:t>4400</w:t>
            </w:r>
          </w:p>
        </w:tc>
        <w:tc>
          <w:tcPr>
            <w:tcW w:w="503" w:type="pct"/>
            <w:vMerge w:val="continue"/>
            <w:vAlign w:val="center"/>
          </w:tcPr>
          <w:p w14:paraId="1835D99C">
            <w:pPr>
              <w:spacing w:line="240" w:lineRule="auto"/>
              <w:ind w:firstLine="0" w:firstLineChars="0"/>
              <w:jc w:val="center"/>
              <w:rPr>
                <w:color w:val="auto"/>
                <w:sz w:val="21"/>
                <w:szCs w:val="21"/>
              </w:rPr>
            </w:pPr>
          </w:p>
        </w:tc>
        <w:tc>
          <w:tcPr>
            <w:tcW w:w="1322" w:type="pct"/>
            <w:gridSpan w:val="3"/>
            <w:vAlign w:val="center"/>
          </w:tcPr>
          <w:p w14:paraId="64E9E4BA">
            <w:pPr>
              <w:spacing w:line="240" w:lineRule="auto"/>
              <w:ind w:firstLine="0" w:firstLineChars="0"/>
              <w:jc w:val="center"/>
              <w:rPr>
                <w:color w:val="auto"/>
                <w:sz w:val="21"/>
                <w:szCs w:val="21"/>
              </w:rPr>
            </w:pPr>
            <w:r>
              <w:rPr>
                <w:color w:val="auto"/>
                <w:sz w:val="21"/>
                <w:szCs w:val="21"/>
              </w:rPr>
              <w:t>450人</w:t>
            </w:r>
          </w:p>
        </w:tc>
      </w:tr>
      <w:tr w14:paraId="60671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09BD422A">
            <w:pPr>
              <w:spacing w:line="240" w:lineRule="auto"/>
              <w:ind w:firstLine="0" w:firstLineChars="0"/>
              <w:jc w:val="center"/>
              <w:rPr>
                <w:color w:val="auto"/>
                <w:sz w:val="21"/>
                <w:szCs w:val="21"/>
              </w:rPr>
            </w:pPr>
          </w:p>
        </w:tc>
        <w:tc>
          <w:tcPr>
            <w:tcW w:w="423" w:type="pct"/>
            <w:vAlign w:val="center"/>
          </w:tcPr>
          <w:p w14:paraId="3C9FFD88">
            <w:pPr>
              <w:spacing w:line="240" w:lineRule="auto"/>
              <w:ind w:firstLine="0" w:firstLineChars="0"/>
              <w:jc w:val="center"/>
              <w:rPr>
                <w:color w:val="auto"/>
                <w:sz w:val="21"/>
                <w:szCs w:val="21"/>
              </w:rPr>
            </w:pPr>
            <w:r>
              <w:rPr>
                <w:color w:val="auto"/>
                <w:sz w:val="21"/>
                <w:szCs w:val="21"/>
              </w:rPr>
              <w:t>12</w:t>
            </w:r>
          </w:p>
        </w:tc>
        <w:tc>
          <w:tcPr>
            <w:tcW w:w="1086" w:type="pct"/>
            <w:gridSpan w:val="2"/>
            <w:vAlign w:val="center"/>
          </w:tcPr>
          <w:p w14:paraId="60CE0DB1">
            <w:pPr>
              <w:spacing w:line="240" w:lineRule="auto"/>
              <w:ind w:firstLine="0" w:firstLineChars="0"/>
              <w:jc w:val="center"/>
              <w:rPr>
                <w:color w:val="auto"/>
                <w:sz w:val="21"/>
                <w:szCs w:val="21"/>
              </w:rPr>
            </w:pPr>
            <w:r>
              <w:rPr>
                <w:color w:val="auto"/>
                <w:sz w:val="21"/>
                <w:szCs w:val="21"/>
              </w:rPr>
              <w:t>元北村</w:t>
            </w:r>
          </w:p>
        </w:tc>
        <w:tc>
          <w:tcPr>
            <w:tcW w:w="475" w:type="pct"/>
            <w:vAlign w:val="center"/>
          </w:tcPr>
          <w:p w14:paraId="5BF01D7C">
            <w:pPr>
              <w:spacing w:line="240" w:lineRule="auto"/>
              <w:ind w:firstLine="0" w:firstLineChars="0"/>
              <w:jc w:val="center"/>
              <w:rPr>
                <w:color w:val="auto"/>
                <w:sz w:val="21"/>
                <w:szCs w:val="21"/>
              </w:rPr>
            </w:pPr>
            <w:r>
              <w:rPr>
                <w:color w:val="auto"/>
                <w:sz w:val="21"/>
                <w:szCs w:val="21"/>
              </w:rPr>
              <w:t>NE</w:t>
            </w:r>
          </w:p>
        </w:tc>
        <w:tc>
          <w:tcPr>
            <w:tcW w:w="735" w:type="pct"/>
            <w:gridSpan w:val="2"/>
            <w:vAlign w:val="center"/>
          </w:tcPr>
          <w:p w14:paraId="25A80440">
            <w:pPr>
              <w:spacing w:line="240" w:lineRule="auto"/>
              <w:ind w:firstLine="0" w:firstLineChars="0"/>
              <w:jc w:val="center"/>
              <w:rPr>
                <w:color w:val="auto"/>
                <w:sz w:val="21"/>
                <w:szCs w:val="21"/>
              </w:rPr>
            </w:pPr>
            <w:r>
              <w:rPr>
                <w:color w:val="auto"/>
                <w:sz w:val="21"/>
                <w:szCs w:val="21"/>
              </w:rPr>
              <w:t>4200</w:t>
            </w:r>
          </w:p>
        </w:tc>
        <w:tc>
          <w:tcPr>
            <w:tcW w:w="503" w:type="pct"/>
            <w:vMerge w:val="continue"/>
            <w:vAlign w:val="center"/>
          </w:tcPr>
          <w:p w14:paraId="39B7DBCC">
            <w:pPr>
              <w:spacing w:line="240" w:lineRule="auto"/>
              <w:ind w:firstLine="0" w:firstLineChars="0"/>
              <w:jc w:val="center"/>
              <w:rPr>
                <w:color w:val="auto"/>
                <w:sz w:val="21"/>
                <w:szCs w:val="21"/>
              </w:rPr>
            </w:pPr>
          </w:p>
        </w:tc>
        <w:tc>
          <w:tcPr>
            <w:tcW w:w="1322" w:type="pct"/>
            <w:gridSpan w:val="3"/>
            <w:vAlign w:val="center"/>
          </w:tcPr>
          <w:p w14:paraId="5D780510">
            <w:pPr>
              <w:spacing w:line="240" w:lineRule="auto"/>
              <w:ind w:firstLine="0" w:firstLineChars="0"/>
              <w:jc w:val="center"/>
              <w:rPr>
                <w:color w:val="auto"/>
                <w:sz w:val="21"/>
                <w:szCs w:val="21"/>
              </w:rPr>
            </w:pPr>
            <w:r>
              <w:rPr>
                <w:color w:val="auto"/>
                <w:sz w:val="21"/>
                <w:szCs w:val="21"/>
              </w:rPr>
              <w:t>300人</w:t>
            </w:r>
          </w:p>
        </w:tc>
      </w:tr>
      <w:tr w14:paraId="47FAA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6EBCD3E7">
            <w:pPr>
              <w:spacing w:line="240" w:lineRule="auto"/>
              <w:ind w:firstLine="0" w:firstLineChars="0"/>
              <w:jc w:val="center"/>
              <w:rPr>
                <w:color w:val="auto"/>
                <w:sz w:val="21"/>
                <w:szCs w:val="21"/>
              </w:rPr>
            </w:pPr>
          </w:p>
        </w:tc>
        <w:tc>
          <w:tcPr>
            <w:tcW w:w="423" w:type="pct"/>
            <w:vAlign w:val="center"/>
          </w:tcPr>
          <w:p w14:paraId="5D1A45B8">
            <w:pPr>
              <w:spacing w:line="240" w:lineRule="auto"/>
              <w:ind w:firstLine="0" w:firstLineChars="0"/>
              <w:jc w:val="center"/>
              <w:rPr>
                <w:color w:val="auto"/>
                <w:sz w:val="21"/>
                <w:szCs w:val="21"/>
              </w:rPr>
            </w:pPr>
            <w:r>
              <w:rPr>
                <w:color w:val="auto"/>
                <w:sz w:val="21"/>
                <w:szCs w:val="21"/>
              </w:rPr>
              <w:t>13</w:t>
            </w:r>
          </w:p>
        </w:tc>
        <w:tc>
          <w:tcPr>
            <w:tcW w:w="1086" w:type="pct"/>
            <w:gridSpan w:val="2"/>
            <w:vAlign w:val="center"/>
          </w:tcPr>
          <w:p w14:paraId="53F186F9">
            <w:pPr>
              <w:spacing w:line="240" w:lineRule="auto"/>
              <w:ind w:firstLine="0" w:firstLineChars="0"/>
              <w:jc w:val="center"/>
              <w:rPr>
                <w:color w:val="auto"/>
                <w:sz w:val="21"/>
                <w:szCs w:val="21"/>
              </w:rPr>
            </w:pPr>
            <w:r>
              <w:rPr>
                <w:color w:val="auto"/>
                <w:sz w:val="21"/>
                <w:szCs w:val="21"/>
              </w:rPr>
              <w:t>元东村</w:t>
            </w:r>
          </w:p>
        </w:tc>
        <w:tc>
          <w:tcPr>
            <w:tcW w:w="475" w:type="pct"/>
            <w:vAlign w:val="center"/>
          </w:tcPr>
          <w:p w14:paraId="73D3E435">
            <w:pPr>
              <w:spacing w:line="240" w:lineRule="auto"/>
              <w:ind w:firstLine="0" w:firstLineChars="0"/>
              <w:jc w:val="center"/>
              <w:rPr>
                <w:color w:val="auto"/>
                <w:sz w:val="21"/>
                <w:szCs w:val="21"/>
              </w:rPr>
            </w:pPr>
            <w:r>
              <w:rPr>
                <w:color w:val="auto"/>
                <w:sz w:val="21"/>
                <w:szCs w:val="21"/>
              </w:rPr>
              <w:t>NE</w:t>
            </w:r>
          </w:p>
        </w:tc>
        <w:tc>
          <w:tcPr>
            <w:tcW w:w="735" w:type="pct"/>
            <w:gridSpan w:val="2"/>
            <w:vAlign w:val="center"/>
          </w:tcPr>
          <w:p w14:paraId="22E6B8B8">
            <w:pPr>
              <w:spacing w:line="240" w:lineRule="auto"/>
              <w:ind w:firstLine="0" w:firstLineChars="0"/>
              <w:jc w:val="center"/>
              <w:rPr>
                <w:color w:val="auto"/>
                <w:sz w:val="21"/>
                <w:szCs w:val="21"/>
              </w:rPr>
            </w:pPr>
            <w:r>
              <w:rPr>
                <w:color w:val="auto"/>
                <w:sz w:val="21"/>
                <w:szCs w:val="21"/>
              </w:rPr>
              <w:t>4100</w:t>
            </w:r>
          </w:p>
        </w:tc>
        <w:tc>
          <w:tcPr>
            <w:tcW w:w="503" w:type="pct"/>
            <w:vMerge w:val="continue"/>
            <w:vAlign w:val="center"/>
          </w:tcPr>
          <w:p w14:paraId="0849413D">
            <w:pPr>
              <w:spacing w:line="240" w:lineRule="auto"/>
              <w:ind w:firstLine="0" w:firstLineChars="0"/>
              <w:jc w:val="center"/>
              <w:rPr>
                <w:color w:val="auto"/>
                <w:sz w:val="21"/>
                <w:szCs w:val="21"/>
              </w:rPr>
            </w:pPr>
          </w:p>
        </w:tc>
        <w:tc>
          <w:tcPr>
            <w:tcW w:w="1322" w:type="pct"/>
            <w:gridSpan w:val="3"/>
            <w:vAlign w:val="center"/>
          </w:tcPr>
          <w:p w14:paraId="7D588531">
            <w:pPr>
              <w:spacing w:line="240" w:lineRule="auto"/>
              <w:ind w:firstLine="0" w:firstLineChars="0"/>
              <w:jc w:val="center"/>
              <w:rPr>
                <w:color w:val="auto"/>
                <w:sz w:val="21"/>
                <w:szCs w:val="21"/>
              </w:rPr>
            </w:pPr>
            <w:r>
              <w:rPr>
                <w:color w:val="auto"/>
                <w:sz w:val="21"/>
                <w:szCs w:val="21"/>
              </w:rPr>
              <w:t>400人</w:t>
            </w:r>
          </w:p>
        </w:tc>
      </w:tr>
      <w:tr w14:paraId="74F0F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75CAE1C3">
            <w:pPr>
              <w:spacing w:line="240" w:lineRule="auto"/>
              <w:ind w:firstLine="0" w:firstLineChars="0"/>
              <w:jc w:val="center"/>
              <w:rPr>
                <w:color w:val="auto"/>
                <w:sz w:val="21"/>
                <w:szCs w:val="21"/>
              </w:rPr>
            </w:pPr>
          </w:p>
        </w:tc>
        <w:tc>
          <w:tcPr>
            <w:tcW w:w="423" w:type="pct"/>
            <w:vAlign w:val="center"/>
          </w:tcPr>
          <w:p w14:paraId="0343F778">
            <w:pPr>
              <w:spacing w:line="240" w:lineRule="auto"/>
              <w:ind w:firstLine="0" w:firstLineChars="0"/>
              <w:jc w:val="center"/>
              <w:rPr>
                <w:color w:val="auto"/>
                <w:sz w:val="21"/>
                <w:szCs w:val="21"/>
              </w:rPr>
            </w:pPr>
            <w:r>
              <w:rPr>
                <w:color w:val="auto"/>
                <w:sz w:val="21"/>
                <w:szCs w:val="21"/>
              </w:rPr>
              <w:t>14</w:t>
            </w:r>
          </w:p>
        </w:tc>
        <w:tc>
          <w:tcPr>
            <w:tcW w:w="1086" w:type="pct"/>
            <w:gridSpan w:val="2"/>
            <w:vAlign w:val="center"/>
          </w:tcPr>
          <w:p w14:paraId="6179735C">
            <w:pPr>
              <w:spacing w:line="240" w:lineRule="auto"/>
              <w:ind w:firstLine="0" w:firstLineChars="0"/>
              <w:jc w:val="center"/>
              <w:rPr>
                <w:color w:val="auto"/>
                <w:sz w:val="21"/>
                <w:szCs w:val="21"/>
              </w:rPr>
            </w:pPr>
            <w:r>
              <w:rPr>
                <w:color w:val="auto"/>
                <w:sz w:val="21"/>
                <w:szCs w:val="21"/>
              </w:rPr>
              <w:t>建新村</w:t>
            </w:r>
          </w:p>
        </w:tc>
        <w:tc>
          <w:tcPr>
            <w:tcW w:w="475" w:type="pct"/>
            <w:vAlign w:val="center"/>
          </w:tcPr>
          <w:p w14:paraId="0B4B762E">
            <w:pPr>
              <w:spacing w:line="240" w:lineRule="auto"/>
              <w:ind w:firstLine="0" w:firstLineChars="0"/>
              <w:jc w:val="center"/>
              <w:rPr>
                <w:color w:val="auto"/>
                <w:sz w:val="21"/>
                <w:szCs w:val="21"/>
              </w:rPr>
            </w:pPr>
            <w:r>
              <w:rPr>
                <w:color w:val="auto"/>
                <w:sz w:val="21"/>
                <w:szCs w:val="21"/>
              </w:rPr>
              <w:t>E</w:t>
            </w:r>
          </w:p>
        </w:tc>
        <w:tc>
          <w:tcPr>
            <w:tcW w:w="735" w:type="pct"/>
            <w:gridSpan w:val="2"/>
            <w:vAlign w:val="center"/>
          </w:tcPr>
          <w:p w14:paraId="69018073">
            <w:pPr>
              <w:spacing w:line="240" w:lineRule="auto"/>
              <w:ind w:firstLine="0" w:firstLineChars="0"/>
              <w:jc w:val="center"/>
              <w:rPr>
                <w:color w:val="auto"/>
                <w:sz w:val="21"/>
                <w:szCs w:val="21"/>
              </w:rPr>
            </w:pPr>
            <w:r>
              <w:rPr>
                <w:color w:val="auto"/>
                <w:sz w:val="21"/>
                <w:szCs w:val="21"/>
              </w:rPr>
              <w:t>3100</w:t>
            </w:r>
          </w:p>
        </w:tc>
        <w:tc>
          <w:tcPr>
            <w:tcW w:w="503" w:type="pct"/>
            <w:vMerge w:val="continue"/>
            <w:vAlign w:val="center"/>
          </w:tcPr>
          <w:p w14:paraId="79A9AF63">
            <w:pPr>
              <w:spacing w:line="240" w:lineRule="auto"/>
              <w:ind w:firstLine="0" w:firstLineChars="0"/>
              <w:jc w:val="center"/>
              <w:rPr>
                <w:color w:val="auto"/>
                <w:sz w:val="21"/>
                <w:szCs w:val="21"/>
              </w:rPr>
            </w:pPr>
          </w:p>
        </w:tc>
        <w:tc>
          <w:tcPr>
            <w:tcW w:w="1322" w:type="pct"/>
            <w:gridSpan w:val="3"/>
            <w:vAlign w:val="center"/>
          </w:tcPr>
          <w:p w14:paraId="7DBA7394">
            <w:pPr>
              <w:spacing w:line="240" w:lineRule="auto"/>
              <w:ind w:firstLine="0" w:firstLineChars="0"/>
              <w:jc w:val="center"/>
              <w:rPr>
                <w:color w:val="auto"/>
                <w:sz w:val="21"/>
                <w:szCs w:val="21"/>
              </w:rPr>
            </w:pPr>
            <w:r>
              <w:rPr>
                <w:color w:val="auto"/>
                <w:sz w:val="21"/>
                <w:szCs w:val="21"/>
              </w:rPr>
              <w:t>500人</w:t>
            </w:r>
          </w:p>
        </w:tc>
      </w:tr>
      <w:tr w14:paraId="27E47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5B2C1D41">
            <w:pPr>
              <w:spacing w:line="240" w:lineRule="auto"/>
              <w:ind w:firstLine="0" w:firstLineChars="0"/>
              <w:jc w:val="center"/>
              <w:rPr>
                <w:color w:val="auto"/>
                <w:sz w:val="21"/>
                <w:szCs w:val="21"/>
              </w:rPr>
            </w:pPr>
          </w:p>
        </w:tc>
        <w:tc>
          <w:tcPr>
            <w:tcW w:w="423" w:type="pct"/>
            <w:vAlign w:val="center"/>
          </w:tcPr>
          <w:p w14:paraId="466B215A">
            <w:pPr>
              <w:spacing w:line="240" w:lineRule="auto"/>
              <w:ind w:firstLine="0" w:firstLineChars="0"/>
              <w:jc w:val="center"/>
              <w:rPr>
                <w:color w:val="auto"/>
                <w:sz w:val="21"/>
                <w:szCs w:val="21"/>
              </w:rPr>
            </w:pPr>
            <w:r>
              <w:rPr>
                <w:color w:val="auto"/>
                <w:sz w:val="21"/>
                <w:szCs w:val="21"/>
              </w:rPr>
              <w:t>15</w:t>
            </w:r>
          </w:p>
        </w:tc>
        <w:tc>
          <w:tcPr>
            <w:tcW w:w="1086" w:type="pct"/>
            <w:gridSpan w:val="2"/>
            <w:vAlign w:val="center"/>
          </w:tcPr>
          <w:p w14:paraId="16EB5243">
            <w:pPr>
              <w:spacing w:line="240" w:lineRule="auto"/>
              <w:ind w:firstLine="0" w:firstLineChars="0"/>
              <w:jc w:val="center"/>
              <w:rPr>
                <w:color w:val="auto"/>
                <w:sz w:val="21"/>
                <w:szCs w:val="21"/>
              </w:rPr>
            </w:pPr>
            <w:r>
              <w:rPr>
                <w:color w:val="auto"/>
                <w:sz w:val="21"/>
                <w:szCs w:val="21"/>
              </w:rPr>
              <w:t>安联村</w:t>
            </w:r>
          </w:p>
        </w:tc>
        <w:tc>
          <w:tcPr>
            <w:tcW w:w="475" w:type="pct"/>
            <w:vAlign w:val="center"/>
          </w:tcPr>
          <w:p w14:paraId="5CBFA2A3">
            <w:pPr>
              <w:spacing w:line="240" w:lineRule="auto"/>
              <w:ind w:firstLine="0" w:firstLineChars="0"/>
              <w:jc w:val="center"/>
              <w:rPr>
                <w:color w:val="auto"/>
                <w:sz w:val="21"/>
                <w:szCs w:val="21"/>
              </w:rPr>
            </w:pPr>
            <w:r>
              <w:rPr>
                <w:color w:val="auto"/>
                <w:sz w:val="21"/>
                <w:szCs w:val="21"/>
              </w:rPr>
              <w:t>E</w:t>
            </w:r>
          </w:p>
        </w:tc>
        <w:tc>
          <w:tcPr>
            <w:tcW w:w="735" w:type="pct"/>
            <w:gridSpan w:val="2"/>
            <w:vAlign w:val="center"/>
          </w:tcPr>
          <w:p w14:paraId="3ECF404D">
            <w:pPr>
              <w:spacing w:line="240" w:lineRule="auto"/>
              <w:ind w:firstLine="0" w:firstLineChars="0"/>
              <w:jc w:val="center"/>
              <w:rPr>
                <w:color w:val="auto"/>
                <w:sz w:val="21"/>
                <w:szCs w:val="21"/>
              </w:rPr>
            </w:pPr>
            <w:r>
              <w:rPr>
                <w:color w:val="auto"/>
                <w:sz w:val="21"/>
                <w:szCs w:val="21"/>
              </w:rPr>
              <w:t>2800</w:t>
            </w:r>
          </w:p>
        </w:tc>
        <w:tc>
          <w:tcPr>
            <w:tcW w:w="503" w:type="pct"/>
            <w:vMerge w:val="continue"/>
            <w:vAlign w:val="center"/>
          </w:tcPr>
          <w:p w14:paraId="2FE291D5">
            <w:pPr>
              <w:spacing w:line="240" w:lineRule="auto"/>
              <w:ind w:firstLine="0" w:firstLineChars="0"/>
              <w:jc w:val="center"/>
              <w:rPr>
                <w:color w:val="auto"/>
                <w:sz w:val="21"/>
                <w:szCs w:val="21"/>
              </w:rPr>
            </w:pPr>
          </w:p>
        </w:tc>
        <w:tc>
          <w:tcPr>
            <w:tcW w:w="1322" w:type="pct"/>
            <w:gridSpan w:val="3"/>
            <w:vAlign w:val="center"/>
          </w:tcPr>
          <w:p w14:paraId="22015346">
            <w:pPr>
              <w:spacing w:line="240" w:lineRule="auto"/>
              <w:ind w:firstLine="0" w:firstLineChars="0"/>
              <w:jc w:val="center"/>
              <w:rPr>
                <w:color w:val="auto"/>
                <w:sz w:val="21"/>
                <w:szCs w:val="21"/>
              </w:rPr>
            </w:pPr>
            <w:r>
              <w:rPr>
                <w:color w:val="auto"/>
                <w:sz w:val="21"/>
                <w:szCs w:val="21"/>
              </w:rPr>
              <w:t>400人</w:t>
            </w:r>
          </w:p>
        </w:tc>
      </w:tr>
      <w:tr w14:paraId="75A9F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0279BE01">
            <w:pPr>
              <w:spacing w:line="240" w:lineRule="auto"/>
              <w:ind w:firstLine="0" w:firstLineChars="0"/>
              <w:jc w:val="center"/>
              <w:rPr>
                <w:color w:val="auto"/>
                <w:sz w:val="21"/>
                <w:szCs w:val="21"/>
              </w:rPr>
            </w:pPr>
          </w:p>
        </w:tc>
        <w:tc>
          <w:tcPr>
            <w:tcW w:w="3222" w:type="pct"/>
            <w:gridSpan w:val="7"/>
            <w:vAlign w:val="center"/>
          </w:tcPr>
          <w:p w14:paraId="137AD2F4">
            <w:pPr>
              <w:spacing w:line="240" w:lineRule="auto"/>
              <w:ind w:firstLine="0" w:firstLineChars="0"/>
              <w:jc w:val="center"/>
              <w:rPr>
                <w:color w:val="auto"/>
                <w:sz w:val="21"/>
                <w:szCs w:val="21"/>
              </w:rPr>
            </w:pPr>
            <w:r>
              <w:rPr>
                <w:color w:val="auto"/>
                <w:sz w:val="21"/>
                <w:szCs w:val="21"/>
              </w:rPr>
              <w:t>厂址周边500m范围内人口数小计</w:t>
            </w:r>
          </w:p>
        </w:tc>
        <w:tc>
          <w:tcPr>
            <w:tcW w:w="1322" w:type="pct"/>
            <w:gridSpan w:val="3"/>
            <w:vAlign w:val="center"/>
          </w:tcPr>
          <w:p w14:paraId="69FBA305">
            <w:pPr>
              <w:spacing w:line="240" w:lineRule="auto"/>
              <w:ind w:firstLine="0" w:firstLineChars="0"/>
              <w:jc w:val="center"/>
              <w:rPr>
                <w:color w:val="auto"/>
                <w:sz w:val="21"/>
                <w:szCs w:val="21"/>
              </w:rPr>
            </w:pPr>
            <w:r>
              <w:rPr>
                <w:color w:val="auto"/>
                <w:sz w:val="21"/>
                <w:szCs w:val="21"/>
              </w:rPr>
              <w:t>周边职工约600人</w:t>
            </w:r>
          </w:p>
        </w:tc>
      </w:tr>
      <w:tr w14:paraId="369C2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14D52839">
            <w:pPr>
              <w:spacing w:line="240" w:lineRule="auto"/>
              <w:ind w:firstLine="0" w:firstLineChars="0"/>
              <w:jc w:val="center"/>
              <w:rPr>
                <w:color w:val="auto"/>
                <w:sz w:val="21"/>
                <w:szCs w:val="21"/>
              </w:rPr>
            </w:pPr>
          </w:p>
        </w:tc>
        <w:tc>
          <w:tcPr>
            <w:tcW w:w="3222" w:type="pct"/>
            <w:gridSpan w:val="7"/>
            <w:vAlign w:val="center"/>
          </w:tcPr>
          <w:p w14:paraId="5074D744">
            <w:pPr>
              <w:spacing w:line="240" w:lineRule="auto"/>
              <w:ind w:firstLine="0" w:firstLineChars="0"/>
              <w:jc w:val="center"/>
              <w:rPr>
                <w:color w:val="auto"/>
                <w:sz w:val="21"/>
                <w:szCs w:val="21"/>
              </w:rPr>
            </w:pPr>
            <w:r>
              <w:rPr>
                <w:color w:val="auto"/>
                <w:sz w:val="21"/>
                <w:szCs w:val="21"/>
              </w:rPr>
              <w:t>厂址周边5km范围内人口数小计</w:t>
            </w:r>
          </w:p>
        </w:tc>
        <w:tc>
          <w:tcPr>
            <w:tcW w:w="1322" w:type="pct"/>
            <w:gridSpan w:val="3"/>
            <w:vAlign w:val="center"/>
          </w:tcPr>
          <w:p w14:paraId="2D732D43">
            <w:pPr>
              <w:spacing w:line="240" w:lineRule="auto"/>
              <w:ind w:firstLine="0" w:firstLineChars="0"/>
              <w:jc w:val="center"/>
              <w:rPr>
                <w:color w:val="auto"/>
                <w:sz w:val="21"/>
                <w:szCs w:val="21"/>
              </w:rPr>
            </w:pPr>
            <w:r>
              <w:rPr>
                <w:color w:val="auto"/>
                <w:sz w:val="21"/>
                <w:szCs w:val="21"/>
              </w:rPr>
              <w:t>13550</w:t>
            </w:r>
          </w:p>
        </w:tc>
      </w:tr>
      <w:tr w14:paraId="7126B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1FFE40C0">
            <w:pPr>
              <w:spacing w:line="240" w:lineRule="auto"/>
              <w:ind w:firstLine="0" w:firstLineChars="0"/>
              <w:jc w:val="center"/>
              <w:rPr>
                <w:color w:val="auto"/>
                <w:sz w:val="21"/>
                <w:szCs w:val="21"/>
              </w:rPr>
            </w:pPr>
          </w:p>
        </w:tc>
        <w:tc>
          <w:tcPr>
            <w:tcW w:w="3222" w:type="pct"/>
            <w:gridSpan w:val="7"/>
            <w:vAlign w:val="center"/>
          </w:tcPr>
          <w:p w14:paraId="7806D432">
            <w:pPr>
              <w:spacing w:line="240" w:lineRule="auto"/>
              <w:ind w:firstLine="0" w:firstLineChars="0"/>
              <w:jc w:val="center"/>
              <w:rPr>
                <w:b/>
                <w:bCs/>
                <w:color w:val="auto"/>
                <w:sz w:val="21"/>
                <w:szCs w:val="21"/>
              </w:rPr>
            </w:pPr>
            <w:r>
              <w:rPr>
                <w:b/>
                <w:bCs/>
                <w:color w:val="auto"/>
                <w:sz w:val="21"/>
                <w:szCs w:val="21"/>
              </w:rPr>
              <w:t>大气环境敏感程度E值</w:t>
            </w:r>
          </w:p>
        </w:tc>
        <w:tc>
          <w:tcPr>
            <w:tcW w:w="1322" w:type="pct"/>
            <w:gridSpan w:val="3"/>
            <w:vAlign w:val="center"/>
          </w:tcPr>
          <w:p w14:paraId="39078930">
            <w:pPr>
              <w:spacing w:line="240" w:lineRule="auto"/>
              <w:ind w:firstLine="0" w:firstLineChars="0"/>
              <w:jc w:val="center"/>
              <w:rPr>
                <w:b/>
                <w:bCs/>
                <w:color w:val="auto"/>
                <w:sz w:val="21"/>
                <w:szCs w:val="21"/>
              </w:rPr>
            </w:pPr>
            <w:r>
              <w:rPr>
                <w:b/>
                <w:bCs/>
                <w:color w:val="auto"/>
                <w:sz w:val="21"/>
                <w:szCs w:val="21"/>
              </w:rPr>
              <w:t>E2</w:t>
            </w:r>
          </w:p>
        </w:tc>
      </w:tr>
      <w:tr w14:paraId="61747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6" w:type="pct"/>
            <w:vMerge w:val="restart"/>
            <w:vAlign w:val="center"/>
          </w:tcPr>
          <w:p w14:paraId="7528B278">
            <w:pPr>
              <w:spacing w:line="240" w:lineRule="auto"/>
              <w:ind w:firstLine="0" w:firstLineChars="0"/>
              <w:jc w:val="center"/>
              <w:rPr>
                <w:b/>
                <w:bCs/>
                <w:color w:val="auto"/>
                <w:sz w:val="21"/>
                <w:szCs w:val="21"/>
              </w:rPr>
            </w:pPr>
            <w:r>
              <w:rPr>
                <w:b/>
                <w:bCs/>
                <w:color w:val="auto"/>
                <w:sz w:val="21"/>
                <w:szCs w:val="21"/>
              </w:rPr>
              <w:t>地表水</w:t>
            </w:r>
          </w:p>
        </w:tc>
        <w:tc>
          <w:tcPr>
            <w:tcW w:w="4544" w:type="pct"/>
            <w:gridSpan w:val="10"/>
            <w:vAlign w:val="center"/>
          </w:tcPr>
          <w:p w14:paraId="35538DD2">
            <w:pPr>
              <w:spacing w:line="240" w:lineRule="auto"/>
              <w:ind w:firstLine="0" w:firstLineChars="0"/>
              <w:jc w:val="center"/>
              <w:rPr>
                <w:b/>
                <w:bCs/>
                <w:color w:val="auto"/>
                <w:sz w:val="21"/>
                <w:szCs w:val="21"/>
              </w:rPr>
            </w:pPr>
            <w:r>
              <w:rPr>
                <w:b/>
                <w:bCs/>
                <w:color w:val="auto"/>
                <w:sz w:val="21"/>
                <w:szCs w:val="21"/>
              </w:rPr>
              <w:t>受纳水体</w:t>
            </w:r>
          </w:p>
        </w:tc>
      </w:tr>
      <w:tr w14:paraId="43735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6" w:type="pct"/>
            <w:vMerge w:val="continue"/>
            <w:vAlign w:val="center"/>
          </w:tcPr>
          <w:p w14:paraId="4D1BD8E7">
            <w:pPr>
              <w:spacing w:line="240" w:lineRule="auto"/>
              <w:ind w:firstLine="0" w:firstLineChars="0"/>
              <w:jc w:val="center"/>
              <w:rPr>
                <w:b/>
                <w:bCs/>
                <w:color w:val="auto"/>
                <w:sz w:val="21"/>
                <w:szCs w:val="21"/>
              </w:rPr>
            </w:pPr>
          </w:p>
        </w:tc>
        <w:tc>
          <w:tcPr>
            <w:tcW w:w="423" w:type="pct"/>
            <w:vAlign w:val="center"/>
          </w:tcPr>
          <w:p w14:paraId="405D0197">
            <w:pPr>
              <w:spacing w:line="240" w:lineRule="auto"/>
              <w:ind w:firstLine="0" w:firstLineChars="0"/>
              <w:jc w:val="center"/>
              <w:rPr>
                <w:b/>
                <w:bCs/>
                <w:color w:val="auto"/>
                <w:sz w:val="21"/>
                <w:szCs w:val="21"/>
              </w:rPr>
            </w:pPr>
            <w:r>
              <w:rPr>
                <w:b/>
                <w:bCs/>
                <w:color w:val="auto"/>
                <w:sz w:val="21"/>
                <w:szCs w:val="21"/>
              </w:rPr>
              <w:t>序号</w:t>
            </w:r>
          </w:p>
        </w:tc>
        <w:tc>
          <w:tcPr>
            <w:tcW w:w="851" w:type="pct"/>
            <w:vAlign w:val="center"/>
          </w:tcPr>
          <w:p w14:paraId="4B12D85E">
            <w:pPr>
              <w:spacing w:line="240" w:lineRule="auto"/>
              <w:ind w:firstLine="0" w:firstLineChars="0"/>
              <w:jc w:val="center"/>
              <w:rPr>
                <w:b/>
                <w:bCs/>
                <w:color w:val="auto"/>
                <w:sz w:val="21"/>
                <w:szCs w:val="21"/>
              </w:rPr>
            </w:pPr>
            <w:r>
              <w:rPr>
                <w:b/>
                <w:bCs/>
                <w:color w:val="auto"/>
                <w:sz w:val="21"/>
                <w:szCs w:val="21"/>
              </w:rPr>
              <w:t>受纳水体名称</w:t>
            </w:r>
          </w:p>
        </w:tc>
        <w:tc>
          <w:tcPr>
            <w:tcW w:w="1445" w:type="pct"/>
            <w:gridSpan w:val="4"/>
            <w:vAlign w:val="center"/>
          </w:tcPr>
          <w:p w14:paraId="2D03782C">
            <w:pPr>
              <w:spacing w:line="240" w:lineRule="auto"/>
              <w:ind w:firstLine="0" w:firstLineChars="0"/>
              <w:jc w:val="center"/>
              <w:rPr>
                <w:b/>
                <w:bCs/>
                <w:color w:val="auto"/>
                <w:sz w:val="21"/>
                <w:szCs w:val="21"/>
              </w:rPr>
            </w:pPr>
            <w:r>
              <w:rPr>
                <w:b/>
                <w:bCs/>
                <w:color w:val="auto"/>
                <w:sz w:val="21"/>
                <w:szCs w:val="21"/>
              </w:rPr>
              <w:t>排放点水域环境功能</w:t>
            </w:r>
          </w:p>
        </w:tc>
        <w:tc>
          <w:tcPr>
            <w:tcW w:w="1825" w:type="pct"/>
            <w:gridSpan w:val="4"/>
            <w:vAlign w:val="center"/>
          </w:tcPr>
          <w:p w14:paraId="79260AA5">
            <w:pPr>
              <w:spacing w:line="240" w:lineRule="auto"/>
              <w:ind w:firstLine="0" w:firstLineChars="0"/>
              <w:jc w:val="center"/>
              <w:rPr>
                <w:b/>
                <w:bCs/>
                <w:color w:val="auto"/>
                <w:sz w:val="21"/>
                <w:szCs w:val="21"/>
              </w:rPr>
            </w:pPr>
            <w:r>
              <w:rPr>
                <w:b/>
                <w:bCs/>
                <w:color w:val="auto"/>
                <w:sz w:val="21"/>
                <w:szCs w:val="21"/>
              </w:rPr>
              <w:t>24h内流经范围/km</w:t>
            </w:r>
          </w:p>
        </w:tc>
      </w:tr>
      <w:tr w14:paraId="3DAF8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6" w:type="pct"/>
            <w:vMerge w:val="continue"/>
            <w:vAlign w:val="center"/>
          </w:tcPr>
          <w:p w14:paraId="3A66976A">
            <w:pPr>
              <w:spacing w:line="240" w:lineRule="auto"/>
              <w:ind w:firstLine="0" w:firstLineChars="0"/>
              <w:jc w:val="center"/>
              <w:rPr>
                <w:color w:val="auto"/>
                <w:sz w:val="21"/>
                <w:szCs w:val="21"/>
              </w:rPr>
            </w:pPr>
          </w:p>
        </w:tc>
        <w:tc>
          <w:tcPr>
            <w:tcW w:w="423" w:type="pct"/>
            <w:vAlign w:val="center"/>
          </w:tcPr>
          <w:p w14:paraId="0CCB96D3">
            <w:pPr>
              <w:spacing w:line="240" w:lineRule="auto"/>
              <w:ind w:firstLine="0" w:firstLineChars="0"/>
              <w:jc w:val="center"/>
              <w:rPr>
                <w:color w:val="auto"/>
                <w:sz w:val="21"/>
                <w:szCs w:val="21"/>
              </w:rPr>
            </w:pPr>
            <w:r>
              <w:rPr>
                <w:color w:val="auto"/>
                <w:sz w:val="21"/>
                <w:szCs w:val="21"/>
              </w:rPr>
              <w:t>1</w:t>
            </w:r>
          </w:p>
        </w:tc>
        <w:tc>
          <w:tcPr>
            <w:tcW w:w="851" w:type="pct"/>
            <w:vAlign w:val="center"/>
          </w:tcPr>
          <w:p w14:paraId="7965E3E8">
            <w:pPr>
              <w:spacing w:line="240" w:lineRule="auto"/>
              <w:ind w:firstLine="0" w:firstLineChars="0"/>
              <w:jc w:val="center"/>
              <w:rPr>
                <w:color w:val="auto"/>
                <w:sz w:val="21"/>
                <w:szCs w:val="21"/>
              </w:rPr>
            </w:pPr>
            <w:r>
              <w:rPr>
                <w:color w:val="auto"/>
                <w:sz w:val="21"/>
                <w:szCs w:val="21"/>
              </w:rPr>
              <w:t>长江启东段</w:t>
            </w:r>
          </w:p>
        </w:tc>
        <w:tc>
          <w:tcPr>
            <w:tcW w:w="1445" w:type="pct"/>
            <w:gridSpan w:val="4"/>
            <w:vAlign w:val="center"/>
          </w:tcPr>
          <w:p w14:paraId="54E53184">
            <w:pPr>
              <w:spacing w:line="240" w:lineRule="auto"/>
              <w:ind w:firstLine="0" w:firstLineChars="0"/>
              <w:jc w:val="center"/>
              <w:rPr>
                <w:color w:val="auto"/>
                <w:sz w:val="21"/>
                <w:szCs w:val="21"/>
              </w:rPr>
            </w:pPr>
            <w:r>
              <w:rPr>
                <w:color w:val="auto"/>
                <w:sz w:val="21"/>
                <w:szCs w:val="21"/>
              </w:rPr>
              <w:t>《地表水环境质量标准》(GB3838-2002)中泓Ⅱ类、近岸Ⅲ类</w:t>
            </w:r>
          </w:p>
        </w:tc>
        <w:tc>
          <w:tcPr>
            <w:tcW w:w="1825" w:type="pct"/>
            <w:gridSpan w:val="4"/>
            <w:vMerge w:val="restart"/>
            <w:vAlign w:val="center"/>
          </w:tcPr>
          <w:p w14:paraId="77A98711">
            <w:pPr>
              <w:spacing w:line="240" w:lineRule="auto"/>
              <w:ind w:firstLine="0" w:firstLineChars="0"/>
              <w:jc w:val="center"/>
              <w:rPr>
                <w:color w:val="auto"/>
                <w:sz w:val="21"/>
                <w:szCs w:val="21"/>
              </w:rPr>
            </w:pPr>
            <w:r>
              <w:rPr>
                <w:color w:val="auto"/>
                <w:sz w:val="21"/>
                <w:szCs w:val="21"/>
              </w:rPr>
              <w:t>暴雨时期江风河以0.3m/s计，汛期长江最大流速以3m/s计，24小时流经范围超过200km，跨过了省界</w:t>
            </w:r>
          </w:p>
        </w:tc>
      </w:tr>
      <w:tr w14:paraId="6D2A4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6" w:type="pct"/>
            <w:vMerge w:val="continue"/>
            <w:vAlign w:val="center"/>
          </w:tcPr>
          <w:p w14:paraId="123B6DFD">
            <w:pPr>
              <w:spacing w:line="240" w:lineRule="auto"/>
              <w:ind w:firstLine="0" w:firstLineChars="0"/>
              <w:jc w:val="center"/>
              <w:rPr>
                <w:color w:val="auto"/>
                <w:sz w:val="21"/>
                <w:szCs w:val="21"/>
              </w:rPr>
            </w:pPr>
          </w:p>
        </w:tc>
        <w:tc>
          <w:tcPr>
            <w:tcW w:w="423" w:type="pct"/>
            <w:vAlign w:val="center"/>
          </w:tcPr>
          <w:p w14:paraId="0CF73F02">
            <w:pPr>
              <w:spacing w:line="240" w:lineRule="auto"/>
              <w:ind w:firstLine="0" w:firstLineChars="0"/>
              <w:jc w:val="center"/>
              <w:rPr>
                <w:color w:val="auto"/>
                <w:sz w:val="21"/>
                <w:szCs w:val="21"/>
              </w:rPr>
            </w:pPr>
            <w:r>
              <w:rPr>
                <w:color w:val="auto"/>
                <w:sz w:val="21"/>
                <w:szCs w:val="21"/>
              </w:rPr>
              <w:t>2</w:t>
            </w:r>
          </w:p>
        </w:tc>
        <w:tc>
          <w:tcPr>
            <w:tcW w:w="851" w:type="pct"/>
            <w:vAlign w:val="center"/>
          </w:tcPr>
          <w:p w14:paraId="0438D6C5">
            <w:pPr>
              <w:spacing w:line="240" w:lineRule="auto"/>
              <w:ind w:firstLine="0" w:firstLineChars="0"/>
              <w:jc w:val="center"/>
              <w:rPr>
                <w:color w:val="auto"/>
                <w:sz w:val="21"/>
                <w:szCs w:val="21"/>
              </w:rPr>
            </w:pPr>
            <w:r>
              <w:rPr>
                <w:color w:val="auto"/>
                <w:sz w:val="21"/>
                <w:szCs w:val="21"/>
              </w:rPr>
              <w:t>江风河</w:t>
            </w:r>
          </w:p>
        </w:tc>
        <w:tc>
          <w:tcPr>
            <w:tcW w:w="1445" w:type="pct"/>
            <w:gridSpan w:val="4"/>
            <w:vAlign w:val="center"/>
          </w:tcPr>
          <w:p w14:paraId="1393E909">
            <w:pPr>
              <w:spacing w:line="240" w:lineRule="auto"/>
              <w:ind w:firstLine="0" w:firstLineChars="0"/>
              <w:jc w:val="center"/>
              <w:rPr>
                <w:color w:val="auto"/>
                <w:sz w:val="21"/>
                <w:szCs w:val="21"/>
              </w:rPr>
            </w:pPr>
            <w:r>
              <w:rPr>
                <w:color w:val="auto"/>
                <w:sz w:val="21"/>
                <w:szCs w:val="21"/>
              </w:rPr>
              <w:t>《地表水环境质量标准》(GB3838-2002)III类</w:t>
            </w:r>
          </w:p>
        </w:tc>
        <w:tc>
          <w:tcPr>
            <w:tcW w:w="1825" w:type="pct"/>
            <w:gridSpan w:val="4"/>
            <w:vMerge w:val="continue"/>
            <w:vAlign w:val="center"/>
          </w:tcPr>
          <w:p w14:paraId="2C5FAADA">
            <w:pPr>
              <w:spacing w:line="240" w:lineRule="auto"/>
              <w:ind w:firstLine="0" w:firstLineChars="0"/>
              <w:jc w:val="center"/>
              <w:rPr>
                <w:color w:val="auto"/>
                <w:sz w:val="21"/>
                <w:szCs w:val="21"/>
              </w:rPr>
            </w:pPr>
          </w:p>
        </w:tc>
      </w:tr>
      <w:tr w14:paraId="788DB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6" w:type="pct"/>
            <w:vMerge w:val="continue"/>
            <w:vAlign w:val="center"/>
          </w:tcPr>
          <w:p w14:paraId="0A6410E7">
            <w:pPr>
              <w:spacing w:line="240" w:lineRule="auto"/>
              <w:ind w:firstLine="0" w:firstLineChars="0"/>
              <w:jc w:val="center"/>
              <w:rPr>
                <w:color w:val="auto"/>
                <w:sz w:val="21"/>
                <w:szCs w:val="21"/>
              </w:rPr>
            </w:pPr>
          </w:p>
        </w:tc>
        <w:tc>
          <w:tcPr>
            <w:tcW w:w="4544" w:type="pct"/>
            <w:gridSpan w:val="10"/>
            <w:vAlign w:val="center"/>
          </w:tcPr>
          <w:p w14:paraId="3BE919C0">
            <w:pPr>
              <w:spacing w:line="240" w:lineRule="auto"/>
              <w:ind w:firstLine="0" w:firstLineChars="0"/>
              <w:jc w:val="center"/>
              <w:rPr>
                <w:color w:val="auto"/>
                <w:sz w:val="21"/>
                <w:szCs w:val="21"/>
              </w:rPr>
            </w:pPr>
            <w:r>
              <w:rPr>
                <w:color w:val="auto"/>
                <w:sz w:val="21"/>
                <w:szCs w:val="21"/>
              </w:rPr>
              <w:t>内陆水体排放点下游10km(近岸海域一个潮周期最大水平距离两倍)范围内敏感目标</w:t>
            </w:r>
          </w:p>
        </w:tc>
      </w:tr>
      <w:tr w14:paraId="40F96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6" w:type="pct"/>
            <w:vMerge w:val="continue"/>
            <w:vAlign w:val="center"/>
          </w:tcPr>
          <w:p w14:paraId="70D42553">
            <w:pPr>
              <w:spacing w:line="240" w:lineRule="auto"/>
              <w:ind w:firstLine="0" w:firstLineChars="0"/>
              <w:jc w:val="center"/>
              <w:rPr>
                <w:color w:val="auto"/>
                <w:sz w:val="21"/>
                <w:szCs w:val="21"/>
              </w:rPr>
            </w:pPr>
          </w:p>
        </w:tc>
        <w:tc>
          <w:tcPr>
            <w:tcW w:w="423" w:type="pct"/>
            <w:vAlign w:val="center"/>
          </w:tcPr>
          <w:p w14:paraId="15A8D5F8">
            <w:pPr>
              <w:spacing w:line="240" w:lineRule="auto"/>
              <w:ind w:firstLine="0" w:firstLineChars="0"/>
              <w:jc w:val="center"/>
              <w:rPr>
                <w:b/>
                <w:bCs/>
                <w:color w:val="auto"/>
                <w:sz w:val="21"/>
                <w:szCs w:val="21"/>
              </w:rPr>
            </w:pPr>
            <w:r>
              <w:rPr>
                <w:b/>
                <w:bCs/>
                <w:color w:val="auto"/>
                <w:sz w:val="21"/>
                <w:szCs w:val="21"/>
              </w:rPr>
              <w:t>序号</w:t>
            </w:r>
          </w:p>
        </w:tc>
        <w:tc>
          <w:tcPr>
            <w:tcW w:w="851" w:type="pct"/>
            <w:vAlign w:val="center"/>
          </w:tcPr>
          <w:p w14:paraId="09254577">
            <w:pPr>
              <w:spacing w:line="240" w:lineRule="auto"/>
              <w:ind w:firstLine="0" w:firstLineChars="0"/>
              <w:jc w:val="center"/>
              <w:rPr>
                <w:b/>
                <w:bCs/>
                <w:color w:val="auto"/>
                <w:sz w:val="21"/>
                <w:szCs w:val="21"/>
              </w:rPr>
            </w:pPr>
            <w:r>
              <w:rPr>
                <w:b/>
                <w:bCs/>
                <w:color w:val="auto"/>
                <w:sz w:val="21"/>
                <w:szCs w:val="21"/>
              </w:rPr>
              <w:t>敏感目标名称</w:t>
            </w:r>
          </w:p>
        </w:tc>
        <w:tc>
          <w:tcPr>
            <w:tcW w:w="1445" w:type="pct"/>
            <w:gridSpan w:val="4"/>
            <w:vAlign w:val="center"/>
          </w:tcPr>
          <w:p w14:paraId="75E6ACCF">
            <w:pPr>
              <w:spacing w:line="240" w:lineRule="auto"/>
              <w:ind w:firstLine="0" w:firstLineChars="0"/>
              <w:jc w:val="center"/>
              <w:rPr>
                <w:b/>
                <w:bCs/>
                <w:color w:val="auto"/>
                <w:sz w:val="21"/>
                <w:szCs w:val="21"/>
              </w:rPr>
            </w:pPr>
            <w:r>
              <w:rPr>
                <w:b/>
                <w:bCs/>
                <w:color w:val="auto"/>
                <w:sz w:val="21"/>
                <w:szCs w:val="21"/>
              </w:rPr>
              <w:t>环境敏感特征</w:t>
            </w:r>
          </w:p>
        </w:tc>
        <w:tc>
          <w:tcPr>
            <w:tcW w:w="729" w:type="pct"/>
            <w:gridSpan w:val="2"/>
            <w:vAlign w:val="center"/>
          </w:tcPr>
          <w:p w14:paraId="2D808573">
            <w:pPr>
              <w:spacing w:line="240" w:lineRule="auto"/>
              <w:ind w:firstLine="0" w:firstLineChars="0"/>
              <w:jc w:val="center"/>
              <w:rPr>
                <w:b/>
                <w:bCs/>
                <w:color w:val="auto"/>
                <w:sz w:val="21"/>
                <w:szCs w:val="21"/>
              </w:rPr>
            </w:pPr>
            <w:r>
              <w:rPr>
                <w:b/>
                <w:bCs/>
                <w:color w:val="auto"/>
                <w:sz w:val="21"/>
                <w:szCs w:val="21"/>
              </w:rPr>
              <w:t>水质目标</w:t>
            </w:r>
          </w:p>
        </w:tc>
        <w:tc>
          <w:tcPr>
            <w:tcW w:w="1096" w:type="pct"/>
            <w:gridSpan w:val="2"/>
            <w:vAlign w:val="center"/>
          </w:tcPr>
          <w:p w14:paraId="368C572F">
            <w:pPr>
              <w:spacing w:line="240" w:lineRule="auto"/>
              <w:ind w:firstLine="0" w:firstLineChars="0"/>
              <w:jc w:val="center"/>
              <w:rPr>
                <w:b/>
                <w:bCs/>
                <w:color w:val="auto"/>
                <w:sz w:val="21"/>
                <w:szCs w:val="21"/>
              </w:rPr>
            </w:pPr>
            <w:r>
              <w:rPr>
                <w:b/>
                <w:bCs/>
                <w:color w:val="auto"/>
                <w:sz w:val="21"/>
                <w:szCs w:val="21"/>
              </w:rPr>
              <w:t>与排放点距离/m</w:t>
            </w:r>
          </w:p>
        </w:tc>
      </w:tr>
      <w:tr w14:paraId="6A660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456" w:type="pct"/>
            <w:vMerge w:val="continue"/>
            <w:vAlign w:val="center"/>
          </w:tcPr>
          <w:p w14:paraId="3B0C8F74">
            <w:pPr>
              <w:spacing w:line="240" w:lineRule="auto"/>
              <w:ind w:firstLine="0" w:firstLineChars="0"/>
              <w:jc w:val="center"/>
              <w:rPr>
                <w:color w:val="auto"/>
                <w:sz w:val="21"/>
                <w:szCs w:val="21"/>
              </w:rPr>
            </w:pPr>
          </w:p>
        </w:tc>
        <w:tc>
          <w:tcPr>
            <w:tcW w:w="423" w:type="pct"/>
            <w:vAlign w:val="center"/>
          </w:tcPr>
          <w:p w14:paraId="6BE822EA">
            <w:pPr>
              <w:spacing w:line="240" w:lineRule="auto"/>
              <w:ind w:firstLine="0" w:firstLineChars="0"/>
              <w:jc w:val="center"/>
              <w:rPr>
                <w:color w:val="auto"/>
                <w:sz w:val="21"/>
                <w:szCs w:val="21"/>
              </w:rPr>
            </w:pPr>
            <w:r>
              <w:rPr>
                <w:color w:val="auto"/>
                <w:sz w:val="21"/>
                <w:szCs w:val="21"/>
              </w:rPr>
              <w:t>1</w:t>
            </w:r>
          </w:p>
        </w:tc>
        <w:tc>
          <w:tcPr>
            <w:tcW w:w="851" w:type="pct"/>
            <w:vAlign w:val="center"/>
          </w:tcPr>
          <w:p w14:paraId="439059AD">
            <w:pPr>
              <w:spacing w:line="240" w:lineRule="auto"/>
              <w:ind w:firstLine="0" w:firstLineChars="0"/>
              <w:jc w:val="center"/>
              <w:rPr>
                <w:color w:val="auto"/>
                <w:sz w:val="21"/>
                <w:szCs w:val="21"/>
              </w:rPr>
            </w:pPr>
            <w:r>
              <w:rPr>
                <w:color w:val="auto"/>
                <w:sz w:val="21"/>
                <w:szCs w:val="21"/>
              </w:rPr>
              <w:t>长江启东段</w:t>
            </w:r>
          </w:p>
        </w:tc>
        <w:tc>
          <w:tcPr>
            <w:tcW w:w="1445" w:type="pct"/>
            <w:gridSpan w:val="4"/>
            <w:vAlign w:val="center"/>
          </w:tcPr>
          <w:p w14:paraId="13CD26A1">
            <w:pPr>
              <w:spacing w:line="240" w:lineRule="auto"/>
              <w:ind w:firstLine="0" w:firstLineChars="0"/>
              <w:jc w:val="center"/>
              <w:rPr>
                <w:color w:val="auto"/>
                <w:sz w:val="21"/>
                <w:szCs w:val="21"/>
              </w:rPr>
            </w:pPr>
            <w:r>
              <w:rPr>
                <w:color w:val="auto"/>
                <w:sz w:val="21"/>
                <w:szCs w:val="21"/>
              </w:rPr>
              <w:t>中泓Ⅱ类、近岸Ⅲ类</w:t>
            </w:r>
          </w:p>
        </w:tc>
        <w:tc>
          <w:tcPr>
            <w:tcW w:w="729" w:type="pct"/>
            <w:gridSpan w:val="2"/>
            <w:vAlign w:val="center"/>
          </w:tcPr>
          <w:p w14:paraId="404FADBA">
            <w:pPr>
              <w:spacing w:line="240" w:lineRule="auto"/>
              <w:ind w:firstLine="0" w:firstLineChars="0"/>
              <w:jc w:val="center"/>
              <w:rPr>
                <w:color w:val="auto"/>
                <w:sz w:val="21"/>
                <w:szCs w:val="21"/>
              </w:rPr>
            </w:pPr>
            <w:r>
              <w:rPr>
                <w:color w:val="auto"/>
                <w:sz w:val="21"/>
                <w:szCs w:val="21"/>
              </w:rPr>
              <w:t>中泓Ⅱ类、近岸Ⅲ类</w:t>
            </w:r>
          </w:p>
        </w:tc>
        <w:tc>
          <w:tcPr>
            <w:tcW w:w="1096" w:type="pct"/>
            <w:gridSpan w:val="2"/>
            <w:vAlign w:val="center"/>
          </w:tcPr>
          <w:p w14:paraId="4BC89E19">
            <w:pPr>
              <w:spacing w:line="240" w:lineRule="auto"/>
              <w:ind w:firstLine="0" w:firstLineChars="0"/>
              <w:jc w:val="center"/>
              <w:rPr>
                <w:color w:val="auto"/>
                <w:sz w:val="21"/>
                <w:szCs w:val="21"/>
              </w:rPr>
            </w:pPr>
            <w:r>
              <w:rPr>
                <w:color w:val="auto"/>
                <w:sz w:val="21"/>
                <w:szCs w:val="21"/>
              </w:rPr>
              <w:t>1230</w:t>
            </w:r>
          </w:p>
        </w:tc>
      </w:tr>
      <w:tr w14:paraId="48D47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6" w:type="pct"/>
            <w:vMerge w:val="continue"/>
            <w:vAlign w:val="center"/>
          </w:tcPr>
          <w:p w14:paraId="66A68D42">
            <w:pPr>
              <w:spacing w:line="240" w:lineRule="auto"/>
              <w:ind w:firstLine="0" w:firstLineChars="0"/>
              <w:jc w:val="center"/>
              <w:rPr>
                <w:color w:val="auto"/>
                <w:sz w:val="21"/>
                <w:szCs w:val="21"/>
              </w:rPr>
            </w:pPr>
          </w:p>
        </w:tc>
        <w:tc>
          <w:tcPr>
            <w:tcW w:w="423" w:type="pct"/>
            <w:vAlign w:val="center"/>
          </w:tcPr>
          <w:p w14:paraId="1E85FF49">
            <w:pPr>
              <w:spacing w:line="240" w:lineRule="auto"/>
              <w:ind w:firstLine="0" w:firstLineChars="0"/>
              <w:jc w:val="center"/>
              <w:rPr>
                <w:color w:val="auto"/>
                <w:sz w:val="21"/>
                <w:szCs w:val="21"/>
              </w:rPr>
            </w:pPr>
            <w:r>
              <w:rPr>
                <w:color w:val="auto"/>
                <w:sz w:val="21"/>
                <w:szCs w:val="21"/>
              </w:rPr>
              <w:t>2</w:t>
            </w:r>
          </w:p>
        </w:tc>
        <w:tc>
          <w:tcPr>
            <w:tcW w:w="851" w:type="pct"/>
            <w:vAlign w:val="center"/>
          </w:tcPr>
          <w:p w14:paraId="159F52FD">
            <w:pPr>
              <w:spacing w:line="240" w:lineRule="auto"/>
              <w:ind w:firstLine="0" w:firstLineChars="0"/>
              <w:jc w:val="center"/>
              <w:rPr>
                <w:color w:val="auto"/>
                <w:sz w:val="21"/>
                <w:szCs w:val="21"/>
              </w:rPr>
            </w:pPr>
            <w:r>
              <w:rPr>
                <w:color w:val="auto"/>
                <w:sz w:val="21"/>
                <w:szCs w:val="21"/>
              </w:rPr>
              <w:t>江风河</w:t>
            </w:r>
          </w:p>
        </w:tc>
        <w:tc>
          <w:tcPr>
            <w:tcW w:w="1445" w:type="pct"/>
            <w:gridSpan w:val="4"/>
            <w:vAlign w:val="center"/>
          </w:tcPr>
          <w:p w14:paraId="1C3F619E">
            <w:pPr>
              <w:spacing w:line="240" w:lineRule="auto"/>
              <w:ind w:firstLine="0" w:firstLineChars="0"/>
              <w:jc w:val="center"/>
              <w:rPr>
                <w:color w:val="auto"/>
                <w:sz w:val="21"/>
                <w:szCs w:val="21"/>
              </w:rPr>
            </w:pPr>
            <w:r>
              <w:rPr>
                <w:color w:val="auto"/>
                <w:sz w:val="21"/>
                <w:szCs w:val="21"/>
              </w:rPr>
              <w:t>III类</w:t>
            </w:r>
          </w:p>
        </w:tc>
        <w:tc>
          <w:tcPr>
            <w:tcW w:w="729" w:type="pct"/>
            <w:gridSpan w:val="2"/>
            <w:vAlign w:val="center"/>
          </w:tcPr>
          <w:p w14:paraId="4690BC98">
            <w:pPr>
              <w:spacing w:line="240" w:lineRule="auto"/>
              <w:ind w:firstLine="0" w:firstLineChars="0"/>
              <w:jc w:val="center"/>
              <w:rPr>
                <w:color w:val="auto"/>
                <w:sz w:val="21"/>
                <w:szCs w:val="21"/>
              </w:rPr>
            </w:pPr>
            <w:r>
              <w:rPr>
                <w:color w:val="auto"/>
                <w:sz w:val="21"/>
                <w:szCs w:val="21"/>
              </w:rPr>
              <w:t>III类</w:t>
            </w:r>
          </w:p>
        </w:tc>
        <w:tc>
          <w:tcPr>
            <w:tcW w:w="1096" w:type="pct"/>
            <w:gridSpan w:val="2"/>
            <w:vAlign w:val="center"/>
          </w:tcPr>
          <w:p w14:paraId="399FF706">
            <w:pPr>
              <w:spacing w:line="240" w:lineRule="auto"/>
              <w:ind w:firstLine="0" w:firstLineChars="0"/>
              <w:jc w:val="center"/>
              <w:rPr>
                <w:color w:val="auto"/>
                <w:sz w:val="21"/>
                <w:szCs w:val="21"/>
              </w:rPr>
            </w:pPr>
            <w:r>
              <w:rPr>
                <w:color w:val="auto"/>
                <w:sz w:val="21"/>
                <w:szCs w:val="21"/>
              </w:rPr>
              <w:t>365</w:t>
            </w:r>
          </w:p>
        </w:tc>
      </w:tr>
      <w:tr w14:paraId="34D43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Align w:val="center"/>
          </w:tcPr>
          <w:p w14:paraId="1A2FC41D">
            <w:pPr>
              <w:spacing w:line="240" w:lineRule="auto"/>
              <w:ind w:firstLine="0" w:firstLineChars="0"/>
              <w:jc w:val="center"/>
              <w:rPr>
                <w:b/>
                <w:bCs/>
                <w:color w:val="auto"/>
                <w:sz w:val="21"/>
                <w:szCs w:val="21"/>
              </w:rPr>
            </w:pPr>
          </w:p>
        </w:tc>
        <w:tc>
          <w:tcPr>
            <w:tcW w:w="3843" w:type="pct"/>
            <w:gridSpan w:val="9"/>
            <w:vAlign w:val="center"/>
          </w:tcPr>
          <w:p w14:paraId="35833FDD">
            <w:pPr>
              <w:spacing w:line="240" w:lineRule="auto"/>
              <w:ind w:firstLine="0" w:firstLineChars="0"/>
              <w:jc w:val="center"/>
              <w:rPr>
                <w:b/>
                <w:bCs/>
                <w:color w:val="auto"/>
                <w:sz w:val="21"/>
                <w:szCs w:val="21"/>
              </w:rPr>
            </w:pPr>
            <w:r>
              <w:rPr>
                <w:b/>
                <w:bCs/>
                <w:color w:val="auto"/>
                <w:sz w:val="21"/>
                <w:szCs w:val="21"/>
              </w:rPr>
              <w:t>地表水环境敏感程度E值</w:t>
            </w:r>
          </w:p>
        </w:tc>
        <w:tc>
          <w:tcPr>
            <w:tcW w:w="701" w:type="pct"/>
            <w:vAlign w:val="center"/>
          </w:tcPr>
          <w:p w14:paraId="0735C506">
            <w:pPr>
              <w:spacing w:line="240" w:lineRule="auto"/>
              <w:ind w:firstLine="0" w:firstLineChars="0"/>
              <w:jc w:val="center"/>
              <w:rPr>
                <w:b/>
                <w:bCs/>
                <w:color w:val="auto"/>
                <w:sz w:val="21"/>
                <w:szCs w:val="21"/>
              </w:rPr>
            </w:pPr>
            <w:r>
              <w:rPr>
                <w:b/>
                <w:bCs/>
                <w:color w:val="auto"/>
                <w:sz w:val="21"/>
                <w:szCs w:val="21"/>
              </w:rPr>
              <w:t>E2</w:t>
            </w:r>
          </w:p>
        </w:tc>
      </w:tr>
      <w:tr w14:paraId="40E90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6" w:type="pct"/>
            <w:vMerge w:val="restart"/>
            <w:vAlign w:val="center"/>
          </w:tcPr>
          <w:p w14:paraId="4BA03341">
            <w:pPr>
              <w:spacing w:line="240" w:lineRule="auto"/>
              <w:ind w:firstLine="0" w:firstLineChars="0"/>
              <w:jc w:val="center"/>
              <w:rPr>
                <w:color w:val="auto"/>
                <w:sz w:val="21"/>
                <w:szCs w:val="21"/>
              </w:rPr>
            </w:pPr>
            <w:r>
              <w:rPr>
                <w:color w:val="auto"/>
                <w:sz w:val="21"/>
                <w:szCs w:val="21"/>
              </w:rPr>
              <w:t>地下水</w:t>
            </w:r>
          </w:p>
        </w:tc>
        <w:tc>
          <w:tcPr>
            <w:tcW w:w="423" w:type="pct"/>
            <w:vAlign w:val="center"/>
          </w:tcPr>
          <w:p w14:paraId="5BDB1768">
            <w:pPr>
              <w:spacing w:line="240" w:lineRule="auto"/>
              <w:ind w:firstLine="0" w:firstLineChars="0"/>
              <w:jc w:val="center"/>
              <w:rPr>
                <w:b/>
                <w:bCs/>
                <w:color w:val="auto"/>
                <w:sz w:val="21"/>
                <w:szCs w:val="21"/>
              </w:rPr>
            </w:pPr>
            <w:r>
              <w:rPr>
                <w:b/>
                <w:bCs/>
                <w:color w:val="auto"/>
                <w:sz w:val="21"/>
                <w:szCs w:val="21"/>
              </w:rPr>
              <w:t>序号</w:t>
            </w:r>
          </w:p>
        </w:tc>
        <w:tc>
          <w:tcPr>
            <w:tcW w:w="851" w:type="pct"/>
            <w:vAlign w:val="center"/>
          </w:tcPr>
          <w:p w14:paraId="7F1DE5F7">
            <w:pPr>
              <w:spacing w:line="240" w:lineRule="auto"/>
              <w:ind w:firstLine="0" w:firstLineChars="0"/>
              <w:jc w:val="center"/>
              <w:rPr>
                <w:b/>
                <w:bCs/>
                <w:color w:val="auto"/>
                <w:sz w:val="21"/>
                <w:szCs w:val="21"/>
              </w:rPr>
            </w:pPr>
            <w:r>
              <w:rPr>
                <w:b/>
                <w:bCs/>
                <w:color w:val="auto"/>
                <w:sz w:val="21"/>
                <w:szCs w:val="21"/>
              </w:rPr>
              <w:t>环境敏感区名称</w:t>
            </w:r>
          </w:p>
        </w:tc>
        <w:tc>
          <w:tcPr>
            <w:tcW w:w="710" w:type="pct"/>
            <w:gridSpan w:val="2"/>
            <w:vAlign w:val="center"/>
          </w:tcPr>
          <w:p w14:paraId="390C383B">
            <w:pPr>
              <w:spacing w:line="240" w:lineRule="auto"/>
              <w:ind w:firstLine="0" w:firstLineChars="0"/>
              <w:jc w:val="center"/>
              <w:rPr>
                <w:b/>
                <w:bCs/>
                <w:color w:val="auto"/>
                <w:sz w:val="21"/>
                <w:szCs w:val="21"/>
              </w:rPr>
            </w:pPr>
            <w:r>
              <w:rPr>
                <w:b/>
                <w:bCs/>
                <w:color w:val="auto"/>
                <w:sz w:val="21"/>
                <w:szCs w:val="21"/>
              </w:rPr>
              <w:t>环境敏感特征</w:t>
            </w:r>
          </w:p>
        </w:tc>
        <w:tc>
          <w:tcPr>
            <w:tcW w:w="599" w:type="pct"/>
            <w:vAlign w:val="center"/>
          </w:tcPr>
          <w:p w14:paraId="24D600E2">
            <w:pPr>
              <w:spacing w:line="240" w:lineRule="auto"/>
              <w:ind w:firstLine="0" w:firstLineChars="0"/>
              <w:jc w:val="center"/>
              <w:rPr>
                <w:b/>
                <w:bCs/>
                <w:color w:val="auto"/>
                <w:sz w:val="21"/>
                <w:szCs w:val="21"/>
              </w:rPr>
            </w:pPr>
            <w:r>
              <w:rPr>
                <w:b/>
                <w:bCs/>
                <w:color w:val="auto"/>
                <w:sz w:val="21"/>
                <w:szCs w:val="21"/>
              </w:rPr>
              <w:t>水质目标</w:t>
            </w:r>
          </w:p>
        </w:tc>
        <w:tc>
          <w:tcPr>
            <w:tcW w:w="1260" w:type="pct"/>
            <w:gridSpan w:val="4"/>
            <w:vAlign w:val="center"/>
          </w:tcPr>
          <w:p w14:paraId="40ECA296">
            <w:pPr>
              <w:spacing w:line="240" w:lineRule="auto"/>
              <w:ind w:firstLine="0" w:firstLineChars="0"/>
              <w:jc w:val="center"/>
              <w:rPr>
                <w:b/>
                <w:bCs/>
                <w:color w:val="auto"/>
                <w:sz w:val="21"/>
                <w:szCs w:val="21"/>
              </w:rPr>
            </w:pPr>
            <w:r>
              <w:rPr>
                <w:b/>
                <w:bCs/>
                <w:color w:val="auto"/>
                <w:sz w:val="21"/>
                <w:szCs w:val="21"/>
              </w:rPr>
              <w:t>包气带防污性能</w:t>
            </w:r>
          </w:p>
        </w:tc>
        <w:tc>
          <w:tcPr>
            <w:tcW w:w="701" w:type="pct"/>
            <w:vAlign w:val="center"/>
          </w:tcPr>
          <w:p w14:paraId="51262F14">
            <w:pPr>
              <w:spacing w:line="240" w:lineRule="auto"/>
              <w:ind w:firstLine="0" w:firstLineChars="0"/>
              <w:jc w:val="center"/>
              <w:rPr>
                <w:b/>
                <w:bCs/>
                <w:color w:val="auto"/>
                <w:sz w:val="21"/>
                <w:szCs w:val="21"/>
              </w:rPr>
            </w:pPr>
            <w:r>
              <w:rPr>
                <w:b/>
                <w:bCs/>
                <w:color w:val="auto"/>
                <w:sz w:val="21"/>
                <w:szCs w:val="21"/>
              </w:rPr>
              <w:t>与下游厂界距离/m</w:t>
            </w:r>
          </w:p>
        </w:tc>
      </w:tr>
      <w:tr w14:paraId="7888D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462ED185">
            <w:pPr>
              <w:spacing w:line="240" w:lineRule="auto"/>
              <w:ind w:firstLine="0" w:firstLineChars="0"/>
              <w:jc w:val="center"/>
              <w:rPr>
                <w:color w:val="auto"/>
                <w:sz w:val="21"/>
                <w:szCs w:val="21"/>
              </w:rPr>
            </w:pPr>
          </w:p>
        </w:tc>
        <w:tc>
          <w:tcPr>
            <w:tcW w:w="423" w:type="pct"/>
            <w:vAlign w:val="center"/>
          </w:tcPr>
          <w:p w14:paraId="0D28AD4B">
            <w:pPr>
              <w:spacing w:line="240" w:lineRule="auto"/>
              <w:ind w:firstLine="0" w:firstLineChars="0"/>
              <w:jc w:val="center"/>
              <w:rPr>
                <w:color w:val="auto"/>
                <w:sz w:val="21"/>
                <w:szCs w:val="21"/>
              </w:rPr>
            </w:pPr>
            <w:r>
              <w:rPr>
                <w:color w:val="auto"/>
                <w:sz w:val="21"/>
                <w:szCs w:val="21"/>
              </w:rPr>
              <w:t>1</w:t>
            </w:r>
          </w:p>
        </w:tc>
        <w:tc>
          <w:tcPr>
            <w:tcW w:w="851" w:type="pct"/>
            <w:vAlign w:val="center"/>
          </w:tcPr>
          <w:p w14:paraId="6C8CBEC8">
            <w:pPr>
              <w:spacing w:line="240" w:lineRule="auto"/>
              <w:ind w:firstLine="0" w:firstLineChars="0"/>
              <w:jc w:val="center"/>
              <w:rPr>
                <w:color w:val="auto"/>
                <w:sz w:val="21"/>
                <w:szCs w:val="21"/>
              </w:rPr>
            </w:pPr>
            <w:r>
              <w:rPr>
                <w:color w:val="auto"/>
                <w:sz w:val="21"/>
                <w:szCs w:val="21"/>
              </w:rPr>
              <w:t>本项目不在集中式饮用水源准保护区等地下水环境敏感区范围内</w:t>
            </w:r>
          </w:p>
        </w:tc>
        <w:tc>
          <w:tcPr>
            <w:tcW w:w="710" w:type="pct"/>
            <w:gridSpan w:val="2"/>
            <w:vAlign w:val="center"/>
          </w:tcPr>
          <w:p w14:paraId="6E7FE2C2">
            <w:pPr>
              <w:spacing w:line="240" w:lineRule="auto"/>
              <w:ind w:firstLine="0" w:firstLineChars="0"/>
              <w:jc w:val="center"/>
              <w:rPr>
                <w:color w:val="auto"/>
                <w:sz w:val="21"/>
                <w:szCs w:val="21"/>
              </w:rPr>
            </w:pPr>
            <w:r>
              <w:rPr>
                <w:color w:val="auto"/>
                <w:sz w:val="21"/>
                <w:szCs w:val="21"/>
              </w:rPr>
              <w:t>/</w:t>
            </w:r>
          </w:p>
        </w:tc>
        <w:tc>
          <w:tcPr>
            <w:tcW w:w="599" w:type="pct"/>
            <w:vAlign w:val="center"/>
          </w:tcPr>
          <w:p w14:paraId="3B2B2017">
            <w:pPr>
              <w:spacing w:line="240" w:lineRule="auto"/>
              <w:ind w:firstLine="0" w:firstLineChars="0"/>
              <w:jc w:val="center"/>
              <w:rPr>
                <w:color w:val="auto"/>
                <w:sz w:val="21"/>
                <w:szCs w:val="21"/>
              </w:rPr>
            </w:pPr>
            <w:r>
              <w:rPr>
                <w:color w:val="auto"/>
                <w:sz w:val="21"/>
                <w:szCs w:val="21"/>
              </w:rPr>
              <w:t>/</w:t>
            </w:r>
          </w:p>
        </w:tc>
        <w:tc>
          <w:tcPr>
            <w:tcW w:w="1260" w:type="pct"/>
            <w:gridSpan w:val="4"/>
            <w:vAlign w:val="center"/>
          </w:tcPr>
          <w:p w14:paraId="007AF6B0">
            <w:pPr>
              <w:spacing w:line="240" w:lineRule="auto"/>
              <w:ind w:firstLine="0" w:firstLineChars="0"/>
              <w:jc w:val="center"/>
              <w:rPr>
                <w:color w:val="auto"/>
                <w:sz w:val="21"/>
                <w:szCs w:val="21"/>
              </w:rPr>
            </w:pPr>
            <w:bookmarkStart w:id="43" w:name="_Hlk119568752"/>
            <w:r>
              <w:rPr>
                <w:color w:val="auto"/>
                <w:sz w:val="21"/>
                <w:szCs w:val="21"/>
              </w:rPr>
              <w:t>据场地附近的岩土工程勘察资料，区域场地包气带岩(土)层单层厚度Mb≥1.0m，且分布连续、稳定；根据场地的渗水试验结果，该层垂向渗透系数为8.04×10</w:t>
            </w:r>
            <w:r>
              <w:rPr>
                <w:color w:val="auto"/>
                <w:sz w:val="21"/>
                <w:szCs w:val="21"/>
                <w:vertAlign w:val="superscript"/>
              </w:rPr>
              <w:t>-5</w:t>
            </w:r>
            <w:r>
              <w:rPr>
                <w:color w:val="auto"/>
                <w:sz w:val="21"/>
                <w:szCs w:val="21"/>
              </w:rPr>
              <w:t>cm/s，因此为D</w:t>
            </w:r>
            <w:bookmarkEnd w:id="43"/>
            <w:r>
              <w:rPr>
                <w:color w:val="auto"/>
                <w:sz w:val="21"/>
                <w:szCs w:val="21"/>
              </w:rPr>
              <w:t>2</w:t>
            </w:r>
          </w:p>
        </w:tc>
        <w:tc>
          <w:tcPr>
            <w:tcW w:w="701" w:type="pct"/>
            <w:vAlign w:val="center"/>
          </w:tcPr>
          <w:p w14:paraId="085679BC">
            <w:pPr>
              <w:spacing w:line="240" w:lineRule="auto"/>
              <w:ind w:firstLine="0" w:firstLineChars="0"/>
              <w:jc w:val="center"/>
              <w:rPr>
                <w:color w:val="auto"/>
                <w:sz w:val="21"/>
                <w:szCs w:val="21"/>
              </w:rPr>
            </w:pPr>
            <w:r>
              <w:rPr>
                <w:color w:val="auto"/>
                <w:sz w:val="21"/>
                <w:szCs w:val="21"/>
              </w:rPr>
              <w:t>/</w:t>
            </w:r>
          </w:p>
        </w:tc>
      </w:tr>
      <w:tr w14:paraId="66751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vAlign w:val="center"/>
          </w:tcPr>
          <w:p w14:paraId="340CD077">
            <w:pPr>
              <w:spacing w:line="240" w:lineRule="auto"/>
              <w:ind w:firstLine="0" w:firstLineChars="0"/>
              <w:jc w:val="center"/>
              <w:rPr>
                <w:color w:val="auto"/>
                <w:sz w:val="21"/>
                <w:szCs w:val="21"/>
              </w:rPr>
            </w:pPr>
          </w:p>
        </w:tc>
        <w:tc>
          <w:tcPr>
            <w:tcW w:w="3843" w:type="pct"/>
            <w:gridSpan w:val="9"/>
            <w:vAlign w:val="center"/>
          </w:tcPr>
          <w:p w14:paraId="6AA6455C">
            <w:pPr>
              <w:spacing w:line="240" w:lineRule="auto"/>
              <w:ind w:firstLine="0" w:firstLineChars="0"/>
              <w:jc w:val="center"/>
              <w:rPr>
                <w:b/>
                <w:bCs/>
                <w:color w:val="auto"/>
                <w:sz w:val="21"/>
                <w:szCs w:val="21"/>
              </w:rPr>
            </w:pPr>
            <w:r>
              <w:rPr>
                <w:b/>
                <w:bCs/>
                <w:color w:val="auto"/>
                <w:sz w:val="21"/>
                <w:szCs w:val="21"/>
              </w:rPr>
              <w:t>地下水环境敏感程度E值</w:t>
            </w:r>
          </w:p>
        </w:tc>
        <w:tc>
          <w:tcPr>
            <w:tcW w:w="701" w:type="pct"/>
            <w:vAlign w:val="center"/>
          </w:tcPr>
          <w:p w14:paraId="07BFDC5A">
            <w:pPr>
              <w:spacing w:line="240" w:lineRule="auto"/>
              <w:ind w:firstLine="0" w:firstLineChars="0"/>
              <w:jc w:val="center"/>
              <w:rPr>
                <w:b/>
                <w:bCs/>
                <w:color w:val="auto"/>
                <w:sz w:val="21"/>
                <w:szCs w:val="21"/>
              </w:rPr>
            </w:pPr>
            <w:r>
              <w:rPr>
                <w:b/>
                <w:bCs/>
                <w:color w:val="auto"/>
                <w:sz w:val="21"/>
                <w:szCs w:val="21"/>
              </w:rPr>
              <w:t>E3</w:t>
            </w:r>
          </w:p>
        </w:tc>
      </w:tr>
    </w:tbl>
    <w:p w14:paraId="3592D7FC">
      <w:pPr>
        <w:ind w:firstLine="480"/>
        <w:rPr>
          <w:color w:val="auto"/>
        </w:rPr>
      </w:pPr>
      <w:r>
        <w:rPr>
          <w:color w:val="auto"/>
        </w:rPr>
        <w:t>(3)环境风险潜势判定</w:t>
      </w:r>
    </w:p>
    <w:p w14:paraId="5D74B563">
      <w:pPr>
        <w:ind w:firstLine="480"/>
        <w:rPr>
          <w:color w:val="auto"/>
        </w:rPr>
      </w:pPr>
      <w:r>
        <w:rPr>
          <w:color w:val="auto"/>
        </w:rPr>
        <w:t>环境风险潜势判定详见表2.3-18。</w:t>
      </w:r>
    </w:p>
    <w:p w14:paraId="615F84CF">
      <w:pPr>
        <w:pStyle w:val="49"/>
        <w:rPr>
          <w:color w:val="auto"/>
        </w:rPr>
      </w:pPr>
      <w:r>
        <w:rPr>
          <w:color w:val="auto"/>
        </w:rPr>
        <w:t>表2.3-18  环境风险潜势判定</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571"/>
        <w:gridCol w:w="1665"/>
        <w:gridCol w:w="1719"/>
        <w:gridCol w:w="1841"/>
        <w:gridCol w:w="1842"/>
      </w:tblGrid>
      <w:tr w14:paraId="5F8D0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blHeader/>
          <w:jc w:val="center"/>
        </w:trPr>
        <w:tc>
          <w:tcPr>
            <w:tcW w:w="1334" w:type="pct"/>
            <w:vMerge w:val="restart"/>
            <w:vAlign w:val="center"/>
          </w:tcPr>
          <w:p w14:paraId="2876DDFB">
            <w:pPr>
              <w:spacing w:line="240" w:lineRule="auto"/>
              <w:ind w:firstLine="0" w:firstLineChars="0"/>
              <w:jc w:val="center"/>
              <w:rPr>
                <w:b/>
                <w:bCs/>
                <w:color w:val="auto"/>
                <w:sz w:val="21"/>
                <w:szCs w:val="21"/>
              </w:rPr>
            </w:pPr>
            <w:r>
              <w:rPr>
                <w:b/>
                <w:bCs/>
                <w:color w:val="auto"/>
                <w:sz w:val="21"/>
                <w:szCs w:val="21"/>
              </w:rPr>
              <w:t>环境敏感程度(E)</w:t>
            </w:r>
          </w:p>
        </w:tc>
        <w:tc>
          <w:tcPr>
            <w:tcW w:w="3666" w:type="pct"/>
            <w:gridSpan w:val="4"/>
            <w:vAlign w:val="center"/>
          </w:tcPr>
          <w:p w14:paraId="732EA56C">
            <w:pPr>
              <w:spacing w:line="240" w:lineRule="auto"/>
              <w:ind w:firstLine="0" w:firstLineChars="0"/>
              <w:jc w:val="center"/>
              <w:rPr>
                <w:b/>
                <w:bCs/>
                <w:color w:val="auto"/>
                <w:sz w:val="21"/>
                <w:szCs w:val="21"/>
              </w:rPr>
            </w:pPr>
            <w:r>
              <w:rPr>
                <w:b/>
                <w:bCs/>
                <w:color w:val="auto"/>
                <w:sz w:val="21"/>
                <w:szCs w:val="21"/>
              </w:rPr>
              <w:t>危险物质及工艺系统危险性(P)</w:t>
            </w:r>
          </w:p>
        </w:tc>
      </w:tr>
      <w:tr w14:paraId="64B13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blHeader/>
          <w:jc w:val="center"/>
        </w:trPr>
        <w:tc>
          <w:tcPr>
            <w:tcW w:w="1334" w:type="pct"/>
            <w:vMerge w:val="continue"/>
            <w:vAlign w:val="center"/>
          </w:tcPr>
          <w:p w14:paraId="4022E879">
            <w:pPr>
              <w:spacing w:line="240" w:lineRule="auto"/>
              <w:ind w:firstLine="0" w:firstLineChars="0"/>
              <w:jc w:val="center"/>
              <w:rPr>
                <w:b/>
                <w:bCs/>
                <w:color w:val="auto"/>
                <w:sz w:val="21"/>
                <w:szCs w:val="21"/>
              </w:rPr>
            </w:pPr>
          </w:p>
        </w:tc>
        <w:tc>
          <w:tcPr>
            <w:tcW w:w="864" w:type="pct"/>
            <w:vAlign w:val="center"/>
          </w:tcPr>
          <w:p w14:paraId="163D539C">
            <w:pPr>
              <w:spacing w:line="240" w:lineRule="auto"/>
              <w:ind w:firstLine="0" w:firstLineChars="0"/>
              <w:jc w:val="center"/>
              <w:rPr>
                <w:b/>
                <w:bCs/>
                <w:color w:val="auto"/>
                <w:sz w:val="21"/>
                <w:szCs w:val="21"/>
              </w:rPr>
            </w:pPr>
            <w:r>
              <w:rPr>
                <w:b/>
                <w:bCs/>
                <w:color w:val="auto"/>
                <w:sz w:val="21"/>
                <w:szCs w:val="21"/>
              </w:rPr>
              <w:t>极高危害(P1)</w:t>
            </w:r>
          </w:p>
        </w:tc>
        <w:tc>
          <w:tcPr>
            <w:tcW w:w="892" w:type="pct"/>
            <w:vAlign w:val="center"/>
          </w:tcPr>
          <w:p w14:paraId="49BD3F7E">
            <w:pPr>
              <w:spacing w:line="240" w:lineRule="auto"/>
              <w:ind w:firstLine="0" w:firstLineChars="0"/>
              <w:jc w:val="center"/>
              <w:rPr>
                <w:b/>
                <w:bCs/>
                <w:color w:val="auto"/>
                <w:sz w:val="21"/>
                <w:szCs w:val="21"/>
              </w:rPr>
            </w:pPr>
            <w:r>
              <w:rPr>
                <w:b/>
                <w:bCs/>
                <w:color w:val="auto"/>
                <w:sz w:val="21"/>
                <w:szCs w:val="21"/>
              </w:rPr>
              <w:t>高度危害(P2)</w:t>
            </w:r>
          </w:p>
        </w:tc>
        <w:tc>
          <w:tcPr>
            <w:tcW w:w="955" w:type="pct"/>
            <w:vAlign w:val="center"/>
          </w:tcPr>
          <w:p w14:paraId="7C39AAF9">
            <w:pPr>
              <w:spacing w:line="240" w:lineRule="auto"/>
              <w:ind w:firstLine="0" w:firstLineChars="0"/>
              <w:jc w:val="center"/>
              <w:rPr>
                <w:b/>
                <w:bCs/>
                <w:color w:val="auto"/>
                <w:sz w:val="21"/>
                <w:szCs w:val="21"/>
              </w:rPr>
            </w:pPr>
            <w:r>
              <w:rPr>
                <w:b/>
                <w:bCs/>
                <w:color w:val="auto"/>
                <w:sz w:val="21"/>
                <w:szCs w:val="21"/>
              </w:rPr>
              <w:t>中度危害(P3)</w:t>
            </w:r>
          </w:p>
        </w:tc>
        <w:tc>
          <w:tcPr>
            <w:tcW w:w="955" w:type="pct"/>
            <w:vAlign w:val="center"/>
          </w:tcPr>
          <w:p w14:paraId="4B61095E">
            <w:pPr>
              <w:spacing w:line="240" w:lineRule="auto"/>
              <w:ind w:firstLine="0" w:firstLineChars="0"/>
              <w:jc w:val="center"/>
              <w:rPr>
                <w:b/>
                <w:bCs/>
                <w:color w:val="auto"/>
                <w:sz w:val="21"/>
                <w:szCs w:val="21"/>
              </w:rPr>
            </w:pPr>
            <w:r>
              <w:rPr>
                <w:b/>
                <w:bCs/>
                <w:color w:val="auto"/>
                <w:sz w:val="21"/>
                <w:szCs w:val="21"/>
              </w:rPr>
              <w:t>轻度危害(P4)</w:t>
            </w:r>
          </w:p>
        </w:tc>
      </w:tr>
      <w:tr w14:paraId="05F22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334" w:type="pct"/>
            <w:vAlign w:val="center"/>
          </w:tcPr>
          <w:p w14:paraId="7ED18DFD">
            <w:pPr>
              <w:spacing w:line="240" w:lineRule="auto"/>
              <w:ind w:firstLine="0" w:firstLineChars="0"/>
              <w:jc w:val="center"/>
              <w:rPr>
                <w:color w:val="auto"/>
                <w:sz w:val="21"/>
                <w:szCs w:val="21"/>
              </w:rPr>
            </w:pPr>
            <w:r>
              <w:rPr>
                <w:color w:val="auto"/>
                <w:sz w:val="21"/>
                <w:szCs w:val="21"/>
              </w:rPr>
              <w:t>环境高度敏感区(E1)</w:t>
            </w:r>
          </w:p>
        </w:tc>
        <w:tc>
          <w:tcPr>
            <w:tcW w:w="864" w:type="pct"/>
            <w:vAlign w:val="center"/>
          </w:tcPr>
          <w:p w14:paraId="484131A6">
            <w:pPr>
              <w:spacing w:line="240" w:lineRule="auto"/>
              <w:ind w:firstLine="0" w:firstLineChars="0"/>
              <w:jc w:val="center"/>
              <w:rPr>
                <w:color w:val="auto"/>
                <w:sz w:val="21"/>
                <w:szCs w:val="21"/>
              </w:rPr>
            </w:pPr>
            <w:r>
              <w:rPr>
                <w:color w:val="auto"/>
                <w:sz w:val="21"/>
                <w:szCs w:val="21"/>
              </w:rPr>
              <w:t>Ⅳ</w:t>
            </w:r>
            <w:r>
              <w:rPr>
                <w:color w:val="auto"/>
                <w:sz w:val="21"/>
                <w:szCs w:val="21"/>
                <w:vertAlign w:val="superscript"/>
              </w:rPr>
              <w:t>+</w:t>
            </w:r>
          </w:p>
        </w:tc>
        <w:tc>
          <w:tcPr>
            <w:tcW w:w="892" w:type="pct"/>
            <w:vAlign w:val="center"/>
          </w:tcPr>
          <w:p w14:paraId="081A8832">
            <w:pPr>
              <w:spacing w:line="240" w:lineRule="auto"/>
              <w:ind w:firstLine="0" w:firstLineChars="0"/>
              <w:jc w:val="center"/>
              <w:rPr>
                <w:color w:val="auto"/>
                <w:sz w:val="21"/>
                <w:szCs w:val="21"/>
              </w:rPr>
            </w:pPr>
            <w:r>
              <w:rPr>
                <w:color w:val="auto"/>
                <w:sz w:val="21"/>
                <w:szCs w:val="21"/>
              </w:rPr>
              <w:t>Ⅳ</w:t>
            </w:r>
          </w:p>
        </w:tc>
        <w:tc>
          <w:tcPr>
            <w:tcW w:w="955" w:type="pct"/>
            <w:vAlign w:val="center"/>
          </w:tcPr>
          <w:p w14:paraId="7CE7A64D">
            <w:pPr>
              <w:spacing w:line="240" w:lineRule="auto"/>
              <w:ind w:firstLine="0" w:firstLineChars="0"/>
              <w:jc w:val="center"/>
              <w:rPr>
                <w:color w:val="auto"/>
                <w:sz w:val="21"/>
                <w:szCs w:val="21"/>
              </w:rPr>
            </w:pPr>
            <w:r>
              <w:rPr>
                <w:color w:val="auto"/>
                <w:sz w:val="21"/>
                <w:szCs w:val="21"/>
              </w:rPr>
              <w:t>Ⅲ</w:t>
            </w:r>
          </w:p>
        </w:tc>
        <w:tc>
          <w:tcPr>
            <w:tcW w:w="955" w:type="pct"/>
            <w:vAlign w:val="center"/>
          </w:tcPr>
          <w:p w14:paraId="5DE3C464">
            <w:pPr>
              <w:spacing w:line="240" w:lineRule="auto"/>
              <w:ind w:firstLine="0" w:firstLineChars="0"/>
              <w:jc w:val="center"/>
              <w:rPr>
                <w:color w:val="auto"/>
                <w:sz w:val="21"/>
                <w:szCs w:val="21"/>
              </w:rPr>
            </w:pPr>
            <w:r>
              <w:rPr>
                <w:color w:val="auto"/>
                <w:sz w:val="21"/>
                <w:szCs w:val="21"/>
              </w:rPr>
              <w:t>Ⅲ</w:t>
            </w:r>
          </w:p>
        </w:tc>
      </w:tr>
      <w:tr w14:paraId="3BC41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334" w:type="pct"/>
            <w:vAlign w:val="center"/>
          </w:tcPr>
          <w:p w14:paraId="364B2DF1">
            <w:pPr>
              <w:spacing w:line="240" w:lineRule="auto"/>
              <w:ind w:firstLine="0" w:firstLineChars="0"/>
              <w:jc w:val="center"/>
              <w:rPr>
                <w:color w:val="auto"/>
                <w:sz w:val="21"/>
                <w:szCs w:val="21"/>
              </w:rPr>
            </w:pPr>
            <w:r>
              <w:rPr>
                <w:color w:val="auto"/>
                <w:sz w:val="21"/>
                <w:szCs w:val="21"/>
              </w:rPr>
              <w:t>环境中度敏感区(E2)</w:t>
            </w:r>
          </w:p>
        </w:tc>
        <w:tc>
          <w:tcPr>
            <w:tcW w:w="864" w:type="pct"/>
            <w:vAlign w:val="center"/>
          </w:tcPr>
          <w:p w14:paraId="7D2E50D6">
            <w:pPr>
              <w:spacing w:line="240" w:lineRule="auto"/>
              <w:ind w:firstLine="0" w:firstLineChars="0"/>
              <w:jc w:val="center"/>
              <w:rPr>
                <w:color w:val="auto"/>
                <w:sz w:val="21"/>
                <w:szCs w:val="21"/>
              </w:rPr>
            </w:pPr>
            <w:r>
              <w:rPr>
                <w:color w:val="auto"/>
                <w:sz w:val="21"/>
                <w:szCs w:val="21"/>
              </w:rPr>
              <w:t>Ⅳ</w:t>
            </w:r>
          </w:p>
        </w:tc>
        <w:tc>
          <w:tcPr>
            <w:tcW w:w="892" w:type="pct"/>
            <w:vAlign w:val="center"/>
          </w:tcPr>
          <w:p w14:paraId="74E01D39">
            <w:pPr>
              <w:spacing w:line="240" w:lineRule="auto"/>
              <w:ind w:firstLine="0" w:firstLineChars="0"/>
              <w:jc w:val="center"/>
              <w:rPr>
                <w:color w:val="auto"/>
                <w:sz w:val="21"/>
                <w:szCs w:val="21"/>
              </w:rPr>
            </w:pPr>
            <w:r>
              <w:rPr>
                <w:color w:val="auto"/>
                <w:sz w:val="21"/>
                <w:szCs w:val="21"/>
              </w:rPr>
              <w:t>Ⅲ</w:t>
            </w:r>
          </w:p>
        </w:tc>
        <w:tc>
          <w:tcPr>
            <w:tcW w:w="955" w:type="pct"/>
            <w:shd w:val="clear" w:color="auto" w:fill="BEBEBE" w:themeFill="background1" w:themeFillShade="BF"/>
            <w:vAlign w:val="center"/>
          </w:tcPr>
          <w:p w14:paraId="54CDFABC">
            <w:pPr>
              <w:spacing w:line="240" w:lineRule="auto"/>
              <w:ind w:firstLine="0" w:firstLineChars="0"/>
              <w:jc w:val="center"/>
              <w:rPr>
                <w:color w:val="auto"/>
                <w:sz w:val="21"/>
                <w:szCs w:val="21"/>
              </w:rPr>
            </w:pPr>
            <w:r>
              <w:rPr>
                <w:color w:val="auto"/>
                <w:sz w:val="21"/>
                <w:szCs w:val="21"/>
              </w:rPr>
              <w:t>Ⅲ</w:t>
            </w:r>
          </w:p>
        </w:tc>
        <w:tc>
          <w:tcPr>
            <w:tcW w:w="955" w:type="pct"/>
            <w:vAlign w:val="center"/>
          </w:tcPr>
          <w:p w14:paraId="7D18CED7">
            <w:pPr>
              <w:spacing w:line="240" w:lineRule="auto"/>
              <w:ind w:firstLine="0" w:firstLineChars="0"/>
              <w:jc w:val="center"/>
              <w:rPr>
                <w:color w:val="auto"/>
                <w:sz w:val="21"/>
                <w:szCs w:val="21"/>
              </w:rPr>
            </w:pPr>
            <w:r>
              <w:rPr>
                <w:color w:val="auto"/>
                <w:sz w:val="21"/>
                <w:szCs w:val="21"/>
              </w:rPr>
              <w:t>Ⅱ</w:t>
            </w:r>
          </w:p>
        </w:tc>
      </w:tr>
      <w:tr w14:paraId="2FFA1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34" w:type="pct"/>
            <w:vAlign w:val="center"/>
          </w:tcPr>
          <w:p w14:paraId="6CE9CD0F">
            <w:pPr>
              <w:spacing w:line="240" w:lineRule="auto"/>
              <w:ind w:firstLine="0" w:firstLineChars="0"/>
              <w:jc w:val="center"/>
              <w:rPr>
                <w:color w:val="auto"/>
                <w:sz w:val="21"/>
                <w:szCs w:val="21"/>
              </w:rPr>
            </w:pPr>
            <w:r>
              <w:rPr>
                <w:color w:val="auto"/>
                <w:sz w:val="21"/>
                <w:szCs w:val="21"/>
              </w:rPr>
              <w:t>环境低度敏感区(E3)</w:t>
            </w:r>
          </w:p>
        </w:tc>
        <w:tc>
          <w:tcPr>
            <w:tcW w:w="864" w:type="pct"/>
            <w:vAlign w:val="center"/>
          </w:tcPr>
          <w:p w14:paraId="606CB2E1">
            <w:pPr>
              <w:spacing w:line="240" w:lineRule="auto"/>
              <w:ind w:firstLine="0" w:firstLineChars="0"/>
              <w:jc w:val="center"/>
              <w:rPr>
                <w:color w:val="auto"/>
                <w:sz w:val="21"/>
                <w:szCs w:val="21"/>
              </w:rPr>
            </w:pPr>
            <w:r>
              <w:rPr>
                <w:color w:val="auto"/>
                <w:sz w:val="21"/>
                <w:szCs w:val="21"/>
              </w:rPr>
              <w:t>Ⅲ</w:t>
            </w:r>
          </w:p>
        </w:tc>
        <w:tc>
          <w:tcPr>
            <w:tcW w:w="892" w:type="pct"/>
            <w:vAlign w:val="center"/>
          </w:tcPr>
          <w:p w14:paraId="45175A73">
            <w:pPr>
              <w:spacing w:line="240" w:lineRule="auto"/>
              <w:ind w:firstLine="0" w:firstLineChars="0"/>
              <w:jc w:val="center"/>
              <w:rPr>
                <w:color w:val="auto"/>
                <w:sz w:val="21"/>
                <w:szCs w:val="21"/>
              </w:rPr>
            </w:pPr>
            <w:r>
              <w:rPr>
                <w:color w:val="auto"/>
                <w:sz w:val="21"/>
                <w:szCs w:val="21"/>
              </w:rPr>
              <w:t>Ⅲ</w:t>
            </w:r>
          </w:p>
        </w:tc>
        <w:tc>
          <w:tcPr>
            <w:tcW w:w="955" w:type="pct"/>
            <w:shd w:val="clear" w:color="auto" w:fill="BEBEBE" w:themeFill="background1" w:themeFillShade="BF"/>
            <w:vAlign w:val="center"/>
          </w:tcPr>
          <w:p w14:paraId="2BF5B928">
            <w:pPr>
              <w:spacing w:line="240" w:lineRule="auto"/>
              <w:ind w:firstLine="0" w:firstLineChars="0"/>
              <w:jc w:val="center"/>
              <w:rPr>
                <w:color w:val="auto"/>
                <w:sz w:val="21"/>
                <w:szCs w:val="21"/>
              </w:rPr>
            </w:pPr>
            <w:r>
              <w:rPr>
                <w:color w:val="auto"/>
                <w:sz w:val="21"/>
                <w:szCs w:val="21"/>
              </w:rPr>
              <w:t>Ⅱ</w:t>
            </w:r>
          </w:p>
        </w:tc>
        <w:tc>
          <w:tcPr>
            <w:tcW w:w="955" w:type="pct"/>
            <w:vAlign w:val="center"/>
          </w:tcPr>
          <w:p w14:paraId="0CCD0309">
            <w:pPr>
              <w:spacing w:line="240" w:lineRule="auto"/>
              <w:ind w:firstLine="0" w:firstLineChars="0"/>
              <w:jc w:val="center"/>
              <w:rPr>
                <w:color w:val="auto"/>
                <w:sz w:val="21"/>
                <w:szCs w:val="21"/>
              </w:rPr>
            </w:pPr>
            <w:r>
              <w:rPr>
                <w:color w:val="auto"/>
                <w:sz w:val="21"/>
                <w:szCs w:val="21"/>
              </w:rPr>
              <w:t>Ⅰ</w:t>
            </w:r>
          </w:p>
        </w:tc>
      </w:tr>
      <w:tr w14:paraId="7ACA7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vAlign w:val="center"/>
          </w:tcPr>
          <w:p w14:paraId="289F1A8E">
            <w:pPr>
              <w:spacing w:line="240" w:lineRule="auto"/>
              <w:ind w:firstLine="0" w:firstLineChars="0"/>
              <w:rPr>
                <w:color w:val="auto"/>
                <w:sz w:val="21"/>
                <w:szCs w:val="21"/>
              </w:rPr>
            </w:pPr>
            <w:r>
              <w:rPr>
                <w:color w:val="auto"/>
                <w:sz w:val="21"/>
                <w:szCs w:val="21"/>
              </w:rPr>
              <w:t>注：Ⅳ</w:t>
            </w:r>
            <w:r>
              <w:rPr>
                <w:color w:val="auto"/>
                <w:sz w:val="21"/>
                <w:szCs w:val="21"/>
                <w:vertAlign w:val="superscript"/>
              </w:rPr>
              <w:t>+</w:t>
            </w:r>
            <w:r>
              <w:rPr>
                <w:color w:val="auto"/>
                <w:sz w:val="21"/>
                <w:szCs w:val="21"/>
              </w:rPr>
              <w:t>为极高环境风险。</w:t>
            </w:r>
          </w:p>
        </w:tc>
      </w:tr>
    </w:tbl>
    <w:p w14:paraId="44C95956">
      <w:pPr>
        <w:ind w:firstLine="480"/>
        <w:rPr>
          <w:color w:val="auto"/>
        </w:rPr>
      </w:pPr>
      <w:r>
        <w:rPr>
          <w:color w:val="auto"/>
        </w:rPr>
        <w:t>本项目危险物质及工艺系统危险性等级判定为P</w:t>
      </w:r>
      <w:r>
        <w:rPr>
          <w:rFonts w:hint="eastAsia"/>
          <w:color w:val="auto"/>
        </w:rPr>
        <w:t>3</w:t>
      </w:r>
      <w:r>
        <w:rPr>
          <w:color w:val="auto"/>
        </w:rPr>
        <w:t>，各要素环境风险潜势判定如下：</w:t>
      </w:r>
    </w:p>
    <w:p w14:paraId="7B7508F0">
      <w:pPr>
        <w:ind w:firstLine="480"/>
        <w:rPr>
          <w:color w:val="auto"/>
        </w:rPr>
      </w:pPr>
      <w:r>
        <w:rPr>
          <w:rFonts w:hint="eastAsia"/>
          <w:color w:val="auto"/>
        </w:rPr>
        <w:t>①</w:t>
      </w:r>
      <w:r>
        <w:rPr>
          <w:color w:val="auto"/>
        </w:rPr>
        <w:t>大气环境敏感程度为E2，环境风险潜势为III。</w:t>
      </w:r>
    </w:p>
    <w:p w14:paraId="53E4D114">
      <w:pPr>
        <w:ind w:firstLine="480"/>
        <w:rPr>
          <w:color w:val="auto"/>
        </w:rPr>
      </w:pPr>
      <w:r>
        <w:rPr>
          <w:rFonts w:hint="eastAsia"/>
          <w:color w:val="auto"/>
        </w:rPr>
        <w:t>②</w:t>
      </w:r>
      <w:r>
        <w:rPr>
          <w:color w:val="auto"/>
        </w:rPr>
        <w:t>地表水环境敏感程度为E2，环境风险潜势为III。</w:t>
      </w:r>
    </w:p>
    <w:p w14:paraId="0C35C9B4">
      <w:pPr>
        <w:ind w:firstLine="480"/>
        <w:rPr>
          <w:color w:val="auto"/>
        </w:rPr>
      </w:pPr>
      <w:r>
        <w:rPr>
          <w:rFonts w:hint="eastAsia"/>
          <w:color w:val="auto"/>
        </w:rPr>
        <w:t>③</w:t>
      </w:r>
      <w:r>
        <w:rPr>
          <w:color w:val="auto"/>
        </w:rPr>
        <w:t>地下水环境敏感程度为E3，环境风险潜势为II。</w:t>
      </w:r>
    </w:p>
    <w:p w14:paraId="0687C547">
      <w:pPr>
        <w:ind w:firstLine="480"/>
        <w:rPr>
          <w:color w:val="auto"/>
        </w:rPr>
      </w:pPr>
      <w:r>
        <w:rPr>
          <w:color w:val="auto"/>
        </w:rPr>
        <w:t>因而，本项目环境风险潜势综合等级为III。</w:t>
      </w:r>
    </w:p>
    <w:p w14:paraId="21A7E1D4">
      <w:pPr>
        <w:ind w:firstLine="480"/>
        <w:rPr>
          <w:color w:val="auto"/>
        </w:rPr>
      </w:pPr>
      <w:r>
        <w:rPr>
          <w:color w:val="auto"/>
        </w:rPr>
        <w:t>(4)评价工作等级划分</w:t>
      </w:r>
    </w:p>
    <w:p w14:paraId="408F3BDC">
      <w:pPr>
        <w:ind w:firstLine="480"/>
        <w:rPr>
          <w:color w:val="auto"/>
        </w:rPr>
      </w:pPr>
      <w:r>
        <w:rPr>
          <w:color w:val="auto"/>
        </w:rPr>
        <w:t>评价工作等级划分详见表2.3.1-19。</w:t>
      </w:r>
    </w:p>
    <w:p w14:paraId="51F84974">
      <w:pPr>
        <w:pStyle w:val="49"/>
        <w:rPr>
          <w:color w:val="auto"/>
        </w:rPr>
      </w:pPr>
      <w:r>
        <w:rPr>
          <w:color w:val="auto"/>
        </w:rPr>
        <w:t>表2.3-19  评价工作等级划分</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74"/>
        <w:gridCol w:w="1841"/>
        <w:gridCol w:w="1841"/>
        <w:gridCol w:w="1841"/>
        <w:gridCol w:w="1841"/>
      </w:tblGrid>
      <w:tr w14:paraId="3065D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180" w:type="pct"/>
            <w:vAlign w:val="center"/>
          </w:tcPr>
          <w:p w14:paraId="3D26BB83">
            <w:pPr>
              <w:spacing w:line="240" w:lineRule="auto"/>
              <w:ind w:firstLine="0" w:firstLineChars="0"/>
              <w:jc w:val="center"/>
              <w:rPr>
                <w:b/>
                <w:bCs/>
                <w:color w:val="auto"/>
                <w:sz w:val="21"/>
                <w:szCs w:val="21"/>
              </w:rPr>
            </w:pPr>
            <w:r>
              <w:rPr>
                <w:b/>
                <w:bCs/>
                <w:color w:val="auto"/>
                <w:sz w:val="21"/>
                <w:szCs w:val="21"/>
              </w:rPr>
              <w:t>环境风险潜势</w:t>
            </w:r>
          </w:p>
        </w:tc>
        <w:tc>
          <w:tcPr>
            <w:tcW w:w="955" w:type="pct"/>
            <w:vAlign w:val="center"/>
          </w:tcPr>
          <w:p w14:paraId="11F4584D">
            <w:pPr>
              <w:spacing w:line="240" w:lineRule="auto"/>
              <w:ind w:firstLine="0" w:firstLineChars="0"/>
              <w:jc w:val="center"/>
              <w:rPr>
                <w:b/>
                <w:bCs/>
                <w:color w:val="auto"/>
                <w:sz w:val="21"/>
                <w:szCs w:val="21"/>
              </w:rPr>
            </w:pPr>
            <w:r>
              <w:rPr>
                <w:b/>
                <w:bCs/>
                <w:color w:val="auto"/>
                <w:sz w:val="21"/>
                <w:szCs w:val="21"/>
              </w:rPr>
              <w:t>Ⅳ、Ⅳ</w:t>
            </w:r>
            <w:r>
              <w:rPr>
                <w:b/>
                <w:bCs/>
                <w:color w:val="auto"/>
                <w:sz w:val="21"/>
                <w:szCs w:val="21"/>
                <w:vertAlign w:val="superscript"/>
              </w:rPr>
              <w:t>+</w:t>
            </w:r>
          </w:p>
        </w:tc>
        <w:tc>
          <w:tcPr>
            <w:tcW w:w="955" w:type="pct"/>
            <w:vAlign w:val="center"/>
          </w:tcPr>
          <w:p w14:paraId="65EC2EED">
            <w:pPr>
              <w:spacing w:line="240" w:lineRule="auto"/>
              <w:ind w:firstLine="0" w:firstLineChars="0"/>
              <w:jc w:val="center"/>
              <w:rPr>
                <w:b/>
                <w:bCs/>
                <w:color w:val="auto"/>
                <w:sz w:val="21"/>
                <w:szCs w:val="21"/>
              </w:rPr>
            </w:pPr>
            <w:r>
              <w:rPr>
                <w:b/>
                <w:bCs/>
                <w:color w:val="auto"/>
                <w:sz w:val="21"/>
                <w:szCs w:val="21"/>
              </w:rPr>
              <w:t>Ⅲ</w:t>
            </w:r>
          </w:p>
        </w:tc>
        <w:tc>
          <w:tcPr>
            <w:tcW w:w="955" w:type="pct"/>
            <w:vAlign w:val="center"/>
          </w:tcPr>
          <w:p w14:paraId="30D139B4">
            <w:pPr>
              <w:spacing w:line="240" w:lineRule="auto"/>
              <w:ind w:firstLine="0" w:firstLineChars="0"/>
              <w:jc w:val="center"/>
              <w:rPr>
                <w:b/>
                <w:bCs/>
                <w:color w:val="auto"/>
                <w:sz w:val="21"/>
                <w:szCs w:val="21"/>
              </w:rPr>
            </w:pPr>
            <w:r>
              <w:rPr>
                <w:b/>
                <w:bCs/>
                <w:color w:val="auto"/>
                <w:sz w:val="21"/>
                <w:szCs w:val="21"/>
              </w:rPr>
              <w:t>Ⅱ</w:t>
            </w:r>
          </w:p>
        </w:tc>
        <w:tc>
          <w:tcPr>
            <w:tcW w:w="955" w:type="pct"/>
            <w:vAlign w:val="center"/>
          </w:tcPr>
          <w:p w14:paraId="659F6EAD">
            <w:pPr>
              <w:spacing w:line="240" w:lineRule="auto"/>
              <w:ind w:firstLine="0" w:firstLineChars="0"/>
              <w:jc w:val="center"/>
              <w:rPr>
                <w:b/>
                <w:bCs/>
                <w:color w:val="auto"/>
                <w:sz w:val="21"/>
                <w:szCs w:val="21"/>
              </w:rPr>
            </w:pPr>
            <w:r>
              <w:rPr>
                <w:b/>
                <w:bCs/>
                <w:color w:val="auto"/>
                <w:sz w:val="21"/>
                <w:szCs w:val="21"/>
              </w:rPr>
              <w:t>Ⅰ</w:t>
            </w:r>
          </w:p>
        </w:tc>
      </w:tr>
      <w:tr w14:paraId="7FAF3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80" w:type="pct"/>
            <w:vAlign w:val="center"/>
          </w:tcPr>
          <w:p w14:paraId="4EE4057B">
            <w:pPr>
              <w:spacing w:line="240" w:lineRule="auto"/>
              <w:ind w:firstLine="0" w:firstLineChars="0"/>
              <w:jc w:val="center"/>
              <w:rPr>
                <w:color w:val="auto"/>
                <w:sz w:val="21"/>
                <w:szCs w:val="21"/>
              </w:rPr>
            </w:pPr>
            <w:r>
              <w:rPr>
                <w:color w:val="auto"/>
                <w:sz w:val="21"/>
                <w:szCs w:val="21"/>
              </w:rPr>
              <w:t>评价工作等级</w:t>
            </w:r>
          </w:p>
        </w:tc>
        <w:tc>
          <w:tcPr>
            <w:tcW w:w="955" w:type="pct"/>
            <w:vAlign w:val="center"/>
          </w:tcPr>
          <w:p w14:paraId="1CB3279D">
            <w:pPr>
              <w:spacing w:line="240" w:lineRule="auto"/>
              <w:ind w:firstLine="0" w:firstLineChars="0"/>
              <w:jc w:val="center"/>
              <w:rPr>
                <w:color w:val="auto"/>
                <w:sz w:val="21"/>
                <w:szCs w:val="21"/>
              </w:rPr>
            </w:pPr>
            <w:r>
              <w:rPr>
                <w:color w:val="auto"/>
                <w:sz w:val="21"/>
                <w:szCs w:val="21"/>
              </w:rPr>
              <w:t>一</w:t>
            </w:r>
          </w:p>
        </w:tc>
        <w:tc>
          <w:tcPr>
            <w:tcW w:w="955" w:type="pct"/>
            <w:vAlign w:val="center"/>
          </w:tcPr>
          <w:p w14:paraId="2003630A">
            <w:pPr>
              <w:spacing w:line="240" w:lineRule="auto"/>
              <w:ind w:firstLine="0" w:firstLineChars="0"/>
              <w:jc w:val="center"/>
              <w:rPr>
                <w:color w:val="auto"/>
                <w:sz w:val="21"/>
                <w:szCs w:val="21"/>
              </w:rPr>
            </w:pPr>
            <w:r>
              <w:rPr>
                <w:color w:val="auto"/>
                <w:sz w:val="21"/>
                <w:szCs w:val="21"/>
              </w:rPr>
              <w:t>二</w:t>
            </w:r>
          </w:p>
        </w:tc>
        <w:tc>
          <w:tcPr>
            <w:tcW w:w="955" w:type="pct"/>
            <w:vAlign w:val="center"/>
          </w:tcPr>
          <w:p w14:paraId="3CFB4888">
            <w:pPr>
              <w:spacing w:line="240" w:lineRule="auto"/>
              <w:ind w:firstLine="0" w:firstLineChars="0"/>
              <w:jc w:val="center"/>
              <w:rPr>
                <w:color w:val="auto"/>
                <w:sz w:val="21"/>
                <w:szCs w:val="21"/>
              </w:rPr>
            </w:pPr>
            <w:r>
              <w:rPr>
                <w:color w:val="auto"/>
                <w:sz w:val="21"/>
                <w:szCs w:val="21"/>
              </w:rPr>
              <w:t>三</w:t>
            </w:r>
          </w:p>
        </w:tc>
        <w:tc>
          <w:tcPr>
            <w:tcW w:w="955" w:type="pct"/>
            <w:vAlign w:val="center"/>
          </w:tcPr>
          <w:p w14:paraId="0F1A5157">
            <w:pPr>
              <w:spacing w:line="240" w:lineRule="auto"/>
              <w:ind w:firstLine="0" w:firstLineChars="0"/>
              <w:jc w:val="center"/>
              <w:rPr>
                <w:color w:val="auto"/>
                <w:sz w:val="21"/>
                <w:szCs w:val="21"/>
              </w:rPr>
            </w:pPr>
            <w:r>
              <w:rPr>
                <w:color w:val="auto"/>
                <w:sz w:val="21"/>
                <w:szCs w:val="21"/>
              </w:rPr>
              <w:t>简单分析</w:t>
            </w:r>
            <w:r>
              <w:rPr>
                <w:color w:val="auto"/>
                <w:sz w:val="21"/>
                <w:szCs w:val="21"/>
                <w:vertAlign w:val="superscript"/>
              </w:rPr>
              <w:t>a</w:t>
            </w:r>
          </w:p>
        </w:tc>
      </w:tr>
      <w:tr w14:paraId="6BE88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vAlign w:val="center"/>
          </w:tcPr>
          <w:p w14:paraId="00162079">
            <w:pPr>
              <w:spacing w:line="240" w:lineRule="auto"/>
              <w:ind w:firstLine="0" w:firstLineChars="0"/>
              <w:rPr>
                <w:color w:val="auto"/>
                <w:sz w:val="21"/>
                <w:szCs w:val="21"/>
              </w:rPr>
            </w:pPr>
            <w:r>
              <w:rPr>
                <w:color w:val="auto"/>
                <w:sz w:val="21"/>
                <w:szCs w:val="21"/>
              </w:rPr>
              <w:t>a是相对与详细评价工作内容而言，在描述危险物质、环境影响途径、环境危害后果、风险防范措施等方面给出定性的说明。见附录A。</w:t>
            </w:r>
          </w:p>
        </w:tc>
      </w:tr>
    </w:tbl>
    <w:p w14:paraId="520A5CAF">
      <w:pPr>
        <w:ind w:firstLine="480"/>
        <w:rPr>
          <w:color w:val="auto"/>
        </w:rPr>
      </w:pPr>
      <w:r>
        <w:rPr>
          <w:color w:val="auto"/>
        </w:rPr>
        <w:t>本项目各要素评价工作等级判定如下：</w:t>
      </w:r>
    </w:p>
    <w:p w14:paraId="72928541">
      <w:pPr>
        <w:ind w:firstLine="480"/>
        <w:rPr>
          <w:color w:val="auto"/>
        </w:rPr>
      </w:pPr>
      <w:r>
        <w:rPr>
          <w:rFonts w:hint="eastAsia"/>
          <w:color w:val="auto"/>
        </w:rPr>
        <w:t>①</w:t>
      </w:r>
      <w:r>
        <w:rPr>
          <w:color w:val="auto"/>
        </w:rPr>
        <w:t>大气环境风险潜势为III，评价等级为二级。</w:t>
      </w:r>
    </w:p>
    <w:p w14:paraId="7A0F0D17">
      <w:pPr>
        <w:ind w:firstLine="480"/>
        <w:rPr>
          <w:color w:val="auto"/>
        </w:rPr>
      </w:pPr>
      <w:r>
        <w:rPr>
          <w:rFonts w:hint="eastAsia"/>
          <w:color w:val="auto"/>
        </w:rPr>
        <w:t>②</w:t>
      </w:r>
      <w:r>
        <w:rPr>
          <w:color w:val="auto"/>
        </w:rPr>
        <w:t>地表水环境风险潜势为III，评价等级为二级。</w:t>
      </w:r>
    </w:p>
    <w:p w14:paraId="2E761C93">
      <w:pPr>
        <w:ind w:firstLine="480"/>
        <w:rPr>
          <w:color w:val="auto"/>
        </w:rPr>
      </w:pPr>
      <w:r>
        <w:rPr>
          <w:rFonts w:hint="eastAsia"/>
          <w:color w:val="auto"/>
        </w:rPr>
        <w:t>③</w:t>
      </w:r>
      <w:r>
        <w:rPr>
          <w:color w:val="auto"/>
        </w:rPr>
        <w:t>地下水环境风险潜势为II，评价等级为</w:t>
      </w:r>
      <w:r>
        <w:rPr>
          <w:rFonts w:hint="eastAsia"/>
          <w:color w:val="auto"/>
        </w:rPr>
        <w:t>三</w:t>
      </w:r>
      <w:r>
        <w:rPr>
          <w:color w:val="auto"/>
        </w:rPr>
        <w:t>级。</w:t>
      </w:r>
    </w:p>
    <w:p w14:paraId="0432F891">
      <w:pPr>
        <w:keepNext/>
        <w:keepLines/>
        <w:ind w:firstLine="0" w:firstLineChars="0"/>
        <w:outlineLvl w:val="3"/>
        <w:rPr>
          <w:b/>
          <w:color w:val="auto"/>
        </w:rPr>
      </w:pPr>
      <w:r>
        <w:rPr>
          <w:rFonts w:hint="eastAsia"/>
          <w:b/>
          <w:color w:val="auto"/>
        </w:rPr>
        <w:t>2.3.1.6生态环境影响评价等级</w:t>
      </w:r>
    </w:p>
    <w:p w14:paraId="327678E4">
      <w:pPr>
        <w:ind w:firstLine="480"/>
        <w:rPr>
          <w:color w:val="auto"/>
        </w:rPr>
      </w:pPr>
      <w:r>
        <w:rPr>
          <w:color w:val="auto"/>
        </w:rPr>
        <w:t>本项目在现有亚太药业厂区内建设，根据《环境影响评价技术导则 生态影响》(HJ19-2022)，“符合生态环境分区管控要求且位于原厂界范围内的污染影响类改扩建项目，位于已批准规划环评的产业园区内且符合规划环评要求、不涉及生态敏感区的污染影响类建设项目，可不确定评价等级，直接进行生态影响简单分析”。本项目位于启东生命健康产业园，园区规划环评</w:t>
      </w:r>
      <w:r>
        <w:rPr>
          <w:rFonts w:hint="eastAsia"/>
          <w:color w:val="auto"/>
        </w:rPr>
        <w:t>已</w:t>
      </w:r>
      <w:r>
        <w:rPr>
          <w:color w:val="auto"/>
        </w:rPr>
        <w:t>通过南通市启东生态环境局的审查(通启东环[2023]35号)，本项目属于符合规划环评要求、不涉及生态敏感区</w:t>
      </w:r>
      <w:r>
        <w:rPr>
          <w:rFonts w:hint="eastAsia"/>
          <w:color w:val="auto"/>
        </w:rPr>
        <w:t>、</w:t>
      </w:r>
      <w:r>
        <w:rPr>
          <w:color w:val="auto"/>
        </w:rPr>
        <w:t>符合生态环境分区管控要求且位于原厂界范围内的污染影响类建设项目，故判定本项目进行生态影响简单分析。</w:t>
      </w:r>
    </w:p>
    <w:p w14:paraId="06088EBC">
      <w:pPr>
        <w:keepNext/>
        <w:keepLines/>
        <w:ind w:firstLine="0" w:firstLineChars="0"/>
        <w:outlineLvl w:val="3"/>
        <w:rPr>
          <w:b/>
          <w:color w:val="auto"/>
        </w:rPr>
      </w:pPr>
      <w:r>
        <w:rPr>
          <w:rFonts w:hint="eastAsia"/>
          <w:b/>
          <w:color w:val="auto"/>
        </w:rPr>
        <w:t>2.3.1.7土壤环境影响评价等级</w:t>
      </w:r>
    </w:p>
    <w:p w14:paraId="115875DA">
      <w:pPr>
        <w:ind w:firstLine="480"/>
        <w:rPr>
          <w:color w:val="auto"/>
        </w:rPr>
      </w:pPr>
      <w:r>
        <w:rPr>
          <w:color w:val="auto"/>
        </w:rPr>
        <w:t>根据《环境影响评价技术导则 土壤环境(试行)》(HJ964-2018)附录A，本项目属于“石油、化工 I类 化学</w:t>
      </w:r>
      <w:r>
        <w:rPr>
          <w:rFonts w:hint="eastAsia"/>
          <w:color w:val="auto"/>
        </w:rPr>
        <w:t>原料和化学制品</w:t>
      </w:r>
      <w:r>
        <w:rPr>
          <w:color w:val="auto"/>
        </w:rPr>
        <w:t>制造”项目，厂区总占地面积约为7.15hm</w:t>
      </w:r>
      <w:r>
        <w:rPr>
          <w:color w:val="auto"/>
          <w:vertAlign w:val="superscript"/>
        </w:rPr>
        <w:t>2</w:t>
      </w:r>
      <w:r>
        <w:rPr>
          <w:color w:val="auto"/>
        </w:rPr>
        <w:t>，属于中型(5~50hm</w:t>
      </w:r>
      <w:r>
        <w:rPr>
          <w:color w:val="auto"/>
          <w:vertAlign w:val="superscript"/>
        </w:rPr>
        <w:t>2</w:t>
      </w:r>
      <w:r>
        <w:rPr>
          <w:color w:val="auto"/>
        </w:rPr>
        <w:t>)，本项目厂外北侧50m处存在耕地，本项目所在地周边土壤环境敏感程度为敏感，确定项目土壤环境影响评价等级为一级。根据《环境影响评价技术导则 土壤环境(试行)》(HJ964-2018)，本项目土壤环境现状调查范围为周边1km。</w:t>
      </w:r>
    </w:p>
    <w:p w14:paraId="09ADDE7A">
      <w:pPr>
        <w:ind w:firstLine="480"/>
        <w:rPr>
          <w:color w:val="auto"/>
        </w:rPr>
      </w:pPr>
      <w:r>
        <w:rPr>
          <w:color w:val="auto"/>
        </w:rPr>
        <w:t>本项目土壤环境影响评价等级具体判定依据</w:t>
      </w:r>
      <w:r>
        <w:rPr>
          <w:rFonts w:hint="eastAsia"/>
          <w:color w:val="auto"/>
        </w:rPr>
        <w:t>如下</w:t>
      </w:r>
      <w:r>
        <w:rPr>
          <w:color w:val="auto"/>
        </w:rPr>
        <w:t>。</w:t>
      </w:r>
    </w:p>
    <w:p w14:paraId="6E3C9D39">
      <w:pPr>
        <w:pStyle w:val="49"/>
        <w:rPr>
          <w:color w:val="auto"/>
        </w:rPr>
      </w:pPr>
      <w:r>
        <w:rPr>
          <w:color w:val="auto"/>
        </w:rPr>
        <w:t>表2.3-20  污染影响型敏感程度分级表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8581"/>
      </w:tblGrid>
      <w:tr w14:paraId="7DBB8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6" w:type="pct"/>
            <w:vAlign w:val="center"/>
          </w:tcPr>
          <w:p w14:paraId="266888AC">
            <w:pPr>
              <w:spacing w:line="240" w:lineRule="auto"/>
              <w:ind w:firstLine="0" w:firstLineChars="0"/>
              <w:jc w:val="center"/>
              <w:rPr>
                <w:b/>
                <w:bCs/>
                <w:color w:val="auto"/>
                <w:sz w:val="21"/>
                <w:szCs w:val="21"/>
              </w:rPr>
            </w:pPr>
            <w:r>
              <w:rPr>
                <w:b/>
                <w:bCs/>
                <w:color w:val="auto"/>
                <w:sz w:val="21"/>
                <w:szCs w:val="21"/>
              </w:rPr>
              <w:t>敏感程度</w:t>
            </w:r>
          </w:p>
        </w:tc>
        <w:tc>
          <w:tcPr>
            <w:tcW w:w="4354" w:type="pct"/>
            <w:vAlign w:val="center"/>
          </w:tcPr>
          <w:p w14:paraId="134FF6CB">
            <w:pPr>
              <w:spacing w:line="240" w:lineRule="auto"/>
              <w:ind w:firstLine="0" w:firstLineChars="0"/>
              <w:jc w:val="center"/>
              <w:rPr>
                <w:b/>
                <w:bCs/>
                <w:color w:val="auto"/>
                <w:sz w:val="21"/>
                <w:szCs w:val="21"/>
              </w:rPr>
            </w:pPr>
            <w:r>
              <w:rPr>
                <w:b/>
                <w:bCs/>
                <w:color w:val="auto"/>
                <w:sz w:val="21"/>
                <w:szCs w:val="21"/>
              </w:rPr>
              <w:t>判别依据</w:t>
            </w:r>
          </w:p>
        </w:tc>
      </w:tr>
      <w:tr w14:paraId="04E28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46" w:type="pct"/>
            <w:shd w:val="clear" w:color="auto" w:fill="CFCECE" w:themeFill="background2" w:themeFillShade="E5"/>
            <w:vAlign w:val="center"/>
          </w:tcPr>
          <w:p w14:paraId="1E6092A1">
            <w:pPr>
              <w:spacing w:line="240" w:lineRule="auto"/>
              <w:ind w:firstLine="0" w:firstLineChars="0"/>
              <w:jc w:val="center"/>
              <w:rPr>
                <w:color w:val="auto"/>
                <w:sz w:val="21"/>
                <w:szCs w:val="21"/>
              </w:rPr>
            </w:pPr>
            <w:r>
              <w:rPr>
                <w:color w:val="auto"/>
                <w:sz w:val="21"/>
                <w:szCs w:val="21"/>
              </w:rPr>
              <w:t>敏感</w:t>
            </w:r>
          </w:p>
        </w:tc>
        <w:tc>
          <w:tcPr>
            <w:tcW w:w="4354" w:type="pct"/>
            <w:shd w:val="clear" w:color="auto" w:fill="CFCECE" w:themeFill="background2" w:themeFillShade="E5"/>
            <w:vAlign w:val="center"/>
          </w:tcPr>
          <w:p w14:paraId="79E5EDD8">
            <w:pPr>
              <w:spacing w:line="240" w:lineRule="auto"/>
              <w:ind w:firstLine="0" w:firstLineChars="0"/>
              <w:jc w:val="center"/>
              <w:rPr>
                <w:color w:val="auto"/>
                <w:sz w:val="21"/>
                <w:szCs w:val="21"/>
              </w:rPr>
            </w:pPr>
            <w:r>
              <w:rPr>
                <w:color w:val="auto"/>
                <w:sz w:val="21"/>
                <w:szCs w:val="21"/>
              </w:rPr>
              <w:t>建设项目周边存在耕地、园地、牧草地、饮用水水源地或居民区、学校、医院、疗养院、养老院等土壤环境敏感目标的</w:t>
            </w:r>
          </w:p>
        </w:tc>
      </w:tr>
      <w:tr w14:paraId="5D6C1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14:paraId="00C7DFC8">
            <w:pPr>
              <w:spacing w:line="240" w:lineRule="auto"/>
              <w:ind w:firstLine="0" w:firstLineChars="0"/>
              <w:jc w:val="center"/>
              <w:rPr>
                <w:color w:val="auto"/>
                <w:sz w:val="21"/>
                <w:szCs w:val="21"/>
              </w:rPr>
            </w:pPr>
            <w:r>
              <w:rPr>
                <w:color w:val="auto"/>
                <w:sz w:val="21"/>
                <w:szCs w:val="21"/>
              </w:rPr>
              <w:t>较敏感</w:t>
            </w:r>
          </w:p>
        </w:tc>
        <w:tc>
          <w:tcPr>
            <w:tcW w:w="4354" w:type="pct"/>
            <w:vAlign w:val="center"/>
          </w:tcPr>
          <w:p w14:paraId="0EE0B428">
            <w:pPr>
              <w:spacing w:line="240" w:lineRule="auto"/>
              <w:ind w:firstLine="0" w:firstLineChars="0"/>
              <w:jc w:val="center"/>
              <w:rPr>
                <w:color w:val="auto"/>
                <w:sz w:val="21"/>
                <w:szCs w:val="21"/>
              </w:rPr>
            </w:pPr>
            <w:r>
              <w:rPr>
                <w:color w:val="auto"/>
                <w:sz w:val="21"/>
                <w:szCs w:val="21"/>
              </w:rPr>
              <w:t>建设项目周边存在其他土壤环境敏感目标的</w:t>
            </w:r>
          </w:p>
        </w:tc>
      </w:tr>
      <w:tr w14:paraId="2CC96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14:paraId="1655EABF">
            <w:pPr>
              <w:spacing w:line="240" w:lineRule="auto"/>
              <w:ind w:firstLine="0" w:firstLineChars="0"/>
              <w:jc w:val="center"/>
              <w:rPr>
                <w:color w:val="auto"/>
                <w:sz w:val="21"/>
                <w:szCs w:val="21"/>
              </w:rPr>
            </w:pPr>
            <w:r>
              <w:rPr>
                <w:color w:val="auto"/>
                <w:sz w:val="21"/>
                <w:szCs w:val="21"/>
              </w:rPr>
              <w:t>不敏感</w:t>
            </w:r>
          </w:p>
        </w:tc>
        <w:tc>
          <w:tcPr>
            <w:tcW w:w="4354" w:type="pct"/>
            <w:vAlign w:val="center"/>
          </w:tcPr>
          <w:p w14:paraId="791B70F5">
            <w:pPr>
              <w:spacing w:line="240" w:lineRule="auto"/>
              <w:ind w:firstLine="0" w:firstLineChars="0"/>
              <w:jc w:val="center"/>
              <w:rPr>
                <w:color w:val="auto"/>
                <w:sz w:val="21"/>
                <w:szCs w:val="21"/>
              </w:rPr>
            </w:pPr>
            <w:r>
              <w:rPr>
                <w:color w:val="auto"/>
                <w:sz w:val="21"/>
                <w:szCs w:val="21"/>
              </w:rPr>
              <w:t>其他情况</w:t>
            </w:r>
          </w:p>
        </w:tc>
      </w:tr>
    </w:tbl>
    <w:p w14:paraId="44F97478">
      <w:pPr>
        <w:pStyle w:val="49"/>
        <w:rPr>
          <w:color w:val="auto"/>
        </w:rPr>
      </w:pPr>
      <w:r>
        <w:rPr>
          <w:color w:val="auto"/>
        </w:rPr>
        <w:t>表2.3-21  污染影响型评价工作等级划分表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871"/>
        <w:gridCol w:w="871"/>
        <w:gridCol w:w="871"/>
        <w:gridCol w:w="871"/>
        <w:gridCol w:w="871"/>
        <w:gridCol w:w="871"/>
        <w:gridCol w:w="871"/>
        <w:gridCol w:w="871"/>
        <w:gridCol w:w="866"/>
      </w:tblGrid>
      <w:tr w14:paraId="483AE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025" w:type="pct"/>
            <w:vMerge w:val="restart"/>
            <w:vAlign w:val="center"/>
          </w:tcPr>
          <w:p w14:paraId="30F5E7D3">
            <w:pPr>
              <w:spacing w:line="240" w:lineRule="auto"/>
              <w:ind w:firstLine="0" w:firstLineChars="0"/>
              <w:jc w:val="center"/>
              <w:rPr>
                <w:b/>
                <w:bCs/>
                <w:color w:val="auto"/>
                <w:sz w:val="21"/>
                <w:szCs w:val="21"/>
              </w:rPr>
            </w:pPr>
            <w:r>
              <w:rPr>
                <w:b/>
                <w:bCs/>
                <w:color w:val="auto"/>
                <w:sz w:val="21"/>
                <w:szCs w:val="21"/>
              </w:rPr>
              <w:t>评价工作等级</w:t>
            </w:r>
          </w:p>
        </w:tc>
        <w:tc>
          <w:tcPr>
            <w:tcW w:w="1325" w:type="pct"/>
            <w:gridSpan w:val="3"/>
            <w:vAlign w:val="center"/>
          </w:tcPr>
          <w:p w14:paraId="64CB6763">
            <w:pPr>
              <w:spacing w:line="240" w:lineRule="auto"/>
              <w:ind w:firstLine="0" w:firstLineChars="0"/>
              <w:jc w:val="center"/>
              <w:rPr>
                <w:b/>
                <w:bCs/>
                <w:color w:val="auto"/>
                <w:sz w:val="21"/>
                <w:szCs w:val="21"/>
              </w:rPr>
            </w:pPr>
            <w:r>
              <w:rPr>
                <w:b/>
                <w:bCs/>
                <w:color w:val="auto"/>
                <w:sz w:val="21"/>
                <w:szCs w:val="21"/>
              </w:rPr>
              <w:t>I类</w:t>
            </w:r>
          </w:p>
        </w:tc>
        <w:tc>
          <w:tcPr>
            <w:tcW w:w="1325" w:type="pct"/>
            <w:gridSpan w:val="3"/>
            <w:vAlign w:val="center"/>
          </w:tcPr>
          <w:p w14:paraId="6A4A23B8">
            <w:pPr>
              <w:spacing w:line="240" w:lineRule="auto"/>
              <w:ind w:firstLine="0" w:firstLineChars="0"/>
              <w:jc w:val="center"/>
              <w:rPr>
                <w:b/>
                <w:bCs/>
                <w:color w:val="auto"/>
                <w:sz w:val="21"/>
                <w:szCs w:val="21"/>
              </w:rPr>
            </w:pPr>
            <w:r>
              <w:rPr>
                <w:b/>
                <w:bCs/>
                <w:color w:val="auto"/>
                <w:sz w:val="21"/>
                <w:szCs w:val="21"/>
              </w:rPr>
              <w:t>II类</w:t>
            </w:r>
          </w:p>
        </w:tc>
        <w:tc>
          <w:tcPr>
            <w:tcW w:w="1325" w:type="pct"/>
            <w:gridSpan w:val="3"/>
            <w:vAlign w:val="center"/>
          </w:tcPr>
          <w:p w14:paraId="3949331E">
            <w:pPr>
              <w:spacing w:line="240" w:lineRule="auto"/>
              <w:ind w:firstLine="0" w:firstLineChars="0"/>
              <w:jc w:val="center"/>
              <w:rPr>
                <w:b/>
                <w:bCs/>
                <w:color w:val="auto"/>
                <w:sz w:val="21"/>
                <w:szCs w:val="21"/>
              </w:rPr>
            </w:pPr>
            <w:r>
              <w:rPr>
                <w:b/>
                <w:bCs/>
                <w:color w:val="auto"/>
                <w:sz w:val="21"/>
                <w:szCs w:val="21"/>
              </w:rPr>
              <w:t>III类</w:t>
            </w:r>
          </w:p>
        </w:tc>
      </w:tr>
      <w:tr w14:paraId="16E6F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5" w:type="pct"/>
            <w:vMerge w:val="continue"/>
            <w:vAlign w:val="center"/>
          </w:tcPr>
          <w:p w14:paraId="16D3F9C1">
            <w:pPr>
              <w:spacing w:line="240" w:lineRule="auto"/>
              <w:ind w:firstLine="0" w:firstLineChars="0"/>
              <w:jc w:val="center"/>
              <w:rPr>
                <w:b/>
                <w:bCs/>
                <w:color w:val="auto"/>
                <w:sz w:val="21"/>
                <w:szCs w:val="21"/>
              </w:rPr>
            </w:pPr>
          </w:p>
        </w:tc>
        <w:tc>
          <w:tcPr>
            <w:tcW w:w="442" w:type="pct"/>
            <w:vAlign w:val="center"/>
          </w:tcPr>
          <w:p w14:paraId="5D212FC9">
            <w:pPr>
              <w:spacing w:line="240" w:lineRule="auto"/>
              <w:ind w:firstLine="0" w:firstLineChars="0"/>
              <w:jc w:val="center"/>
              <w:rPr>
                <w:b/>
                <w:bCs/>
                <w:color w:val="auto"/>
                <w:sz w:val="21"/>
                <w:szCs w:val="21"/>
              </w:rPr>
            </w:pPr>
            <w:r>
              <w:rPr>
                <w:b/>
                <w:bCs/>
                <w:color w:val="auto"/>
                <w:sz w:val="21"/>
                <w:szCs w:val="21"/>
              </w:rPr>
              <w:t>大</w:t>
            </w:r>
          </w:p>
        </w:tc>
        <w:tc>
          <w:tcPr>
            <w:tcW w:w="442" w:type="pct"/>
            <w:vAlign w:val="center"/>
          </w:tcPr>
          <w:p w14:paraId="5D332795">
            <w:pPr>
              <w:spacing w:line="240" w:lineRule="auto"/>
              <w:ind w:firstLine="0" w:firstLineChars="0"/>
              <w:jc w:val="center"/>
              <w:rPr>
                <w:b/>
                <w:bCs/>
                <w:color w:val="auto"/>
                <w:sz w:val="21"/>
                <w:szCs w:val="21"/>
              </w:rPr>
            </w:pPr>
            <w:r>
              <w:rPr>
                <w:b/>
                <w:bCs/>
                <w:color w:val="auto"/>
                <w:sz w:val="21"/>
                <w:szCs w:val="21"/>
              </w:rPr>
              <w:t>中</w:t>
            </w:r>
          </w:p>
        </w:tc>
        <w:tc>
          <w:tcPr>
            <w:tcW w:w="442" w:type="pct"/>
            <w:vAlign w:val="center"/>
          </w:tcPr>
          <w:p w14:paraId="0E8258BF">
            <w:pPr>
              <w:spacing w:line="240" w:lineRule="auto"/>
              <w:ind w:firstLine="0" w:firstLineChars="0"/>
              <w:jc w:val="center"/>
              <w:rPr>
                <w:b/>
                <w:bCs/>
                <w:color w:val="auto"/>
                <w:sz w:val="21"/>
                <w:szCs w:val="21"/>
              </w:rPr>
            </w:pPr>
            <w:r>
              <w:rPr>
                <w:b/>
                <w:bCs/>
                <w:color w:val="auto"/>
                <w:sz w:val="21"/>
                <w:szCs w:val="21"/>
              </w:rPr>
              <w:t>小</w:t>
            </w:r>
          </w:p>
        </w:tc>
        <w:tc>
          <w:tcPr>
            <w:tcW w:w="442" w:type="pct"/>
            <w:vAlign w:val="center"/>
          </w:tcPr>
          <w:p w14:paraId="39935427">
            <w:pPr>
              <w:spacing w:line="240" w:lineRule="auto"/>
              <w:ind w:firstLine="0" w:firstLineChars="0"/>
              <w:jc w:val="center"/>
              <w:rPr>
                <w:b/>
                <w:bCs/>
                <w:color w:val="auto"/>
                <w:sz w:val="21"/>
                <w:szCs w:val="21"/>
              </w:rPr>
            </w:pPr>
            <w:r>
              <w:rPr>
                <w:b/>
                <w:bCs/>
                <w:color w:val="auto"/>
                <w:sz w:val="21"/>
                <w:szCs w:val="21"/>
              </w:rPr>
              <w:t>大</w:t>
            </w:r>
          </w:p>
        </w:tc>
        <w:tc>
          <w:tcPr>
            <w:tcW w:w="442" w:type="pct"/>
            <w:vAlign w:val="center"/>
          </w:tcPr>
          <w:p w14:paraId="641041EB">
            <w:pPr>
              <w:spacing w:line="240" w:lineRule="auto"/>
              <w:ind w:firstLine="0" w:firstLineChars="0"/>
              <w:jc w:val="center"/>
              <w:rPr>
                <w:b/>
                <w:bCs/>
                <w:color w:val="auto"/>
                <w:sz w:val="21"/>
                <w:szCs w:val="21"/>
              </w:rPr>
            </w:pPr>
            <w:r>
              <w:rPr>
                <w:b/>
                <w:bCs/>
                <w:color w:val="auto"/>
                <w:sz w:val="21"/>
                <w:szCs w:val="21"/>
              </w:rPr>
              <w:t>中</w:t>
            </w:r>
          </w:p>
        </w:tc>
        <w:tc>
          <w:tcPr>
            <w:tcW w:w="442" w:type="pct"/>
            <w:vAlign w:val="center"/>
          </w:tcPr>
          <w:p w14:paraId="5EBDC7D6">
            <w:pPr>
              <w:spacing w:line="240" w:lineRule="auto"/>
              <w:ind w:firstLine="0" w:firstLineChars="0"/>
              <w:jc w:val="center"/>
              <w:rPr>
                <w:b/>
                <w:bCs/>
                <w:color w:val="auto"/>
                <w:sz w:val="21"/>
                <w:szCs w:val="21"/>
              </w:rPr>
            </w:pPr>
            <w:r>
              <w:rPr>
                <w:b/>
                <w:bCs/>
                <w:color w:val="auto"/>
                <w:sz w:val="21"/>
                <w:szCs w:val="21"/>
              </w:rPr>
              <w:t>小</w:t>
            </w:r>
          </w:p>
        </w:tc>
        <w:tc>
          <w:tcPr>
            <w:tcW w:w="442" w:type="pct"/>
            <w:vAlign w:val="center"/>
          </w:tcPr>
          <w:p w14:paraId="31A83310">
            <w:pPr>
              <w:spacing w:line="240" w:lineRule="auto"/>
              <w:ind w:firstLine="0" w:firstLineChars="0"/>
              <w:jc w:val="center"/>
              <w:rPr>
                <w:b/>
                <w:bCs/>
                <w:color w:val="auto"/>
                <w:sz w:val="21"/>
                <w:szCs w:val="21"/>
              </w:rPr>
            </w:pPr>
            <w:r>
              <w:rPr>
                <w:b/>
                <w:bCs/>
                <w:color w:val="auto"/>
                <w:sz w:val="21"/>
                <w:szCs w:val="21"/>
              </w:rPr>
              <w:t>大</w:t>
            </w:r>
          </w:p>
        </w:tc>
        <w:tc>
          <w:tcPr>
            <w:tcW w:w="442" w:type="pct"/>
            <w:vAlign w:val="center"/>
          </w:tcPr>
          <w:p w14:paraId="1CBBA9E2">
            <w:pPr>
              <w:spacing w:line="240" w:lineRule="auto"/>
              <w:ind w:firstLine="0" w:firstLineChars="0"/>
              <w:jc w:val="center"/>
              <w:rPr>
                <w:b/>
                <w:bCs/>
                <w:color w:val="auto"/>
                <w:sz w:val="21"/>
                <w:szCs w:val="21"/>
              </w:rPr>
            </w:pPr>
            <w:r>
              <w:rPr>
                <w:b/>
                <w:bCs/>
                <w:color w:val="auto"/>
                <w:sz w:val="21"/>
                <w:szCs w:val="21"/>
              </w:rPr>
              <w:t>中</w:t>
            </w:r>
          </w:p>
        </w:tc>
        <w:tc>
          <w:tcPr>
            <w:tcW w:w="442" w:type="pct"/>
            <w:vAlign w:val="center"/>
          </w:tcPr>
          <w:p w14:paraId="6670F800">
            <w:pPr>
              <w:spacing w:line="240" w:lineRule="auto"/>
              <w:ind w:firstLine="0" w:firstLineChars="0"/>
              <w:jc w:val="center"/>
              <w:rPr>
                <w:b/>
                <w:bCs/>
                <w:color w:val="auto"/>
                <w:sz w:val="21"/>
                <w:szCs w:val="21"/>
              </w:rPr>
            </w:pPr>
            <w:r>
              <w:rPr>
                <w:b/>
                <w:bCs/>
                <w:color w:val="auto"/>
                <w:sz w:val="21"/>
                <w:szCs w:val="21"/>
              </w:rPr>
              <w:t>小</w:t>
            </w:r>
          </w:p>
        </w:tc>
      </w:tr>
      <w:tr w14:paraId="30A8F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5" w:type="pct"/>
            <w:vAlign w:val="center"/>
          </w:tcPr>
          <w:p w14:paraId="36374700">
            <w:pPr>
              <w:spacing w:line="240" w:lineRule="auto"/>
              <w:ind w:firstLine="0" w:firstLineChars="0"/>
              <w:jc w:val="center"/>
              <w:rPr>
                <w:color w:val="auto"/>
                <w:sz w:val="21"/>
                <w:szCs w:val="21"/>
              </w:rPr>
            </w:pPr>
            <w:r>
              <w:rPr>
                <w:color w:val="auto"/>
                <w:sz w:val="21"/>
                <w:szCs w:val="21"/>
              </w:rPr>
              <w:t>敏感</w:t>
            </w:r>
          </w:p>
        </w:tc>
        <w:tc>
          <w:tcPr>
            <w:tcW w:w="442" w:type="pct"/>
            <w:vAlign w:val="center"/>
          </w:tcPr>
          <w:p w14:paraId="01ABA059">
            <w:pPr>
              <w:spacing w:line="240" w:lineRule="auto"/>
              <w:ind w:firstLine="0" w:firstLineChars="0"/>
              <w:jc w:val="center"/>
              <w:rPr>
                <w:color w:val="auto"/>
                <w:sz w:val="21"/>
                <w:szCs w:val="21"/>
              </w:rPr>
            </w:pPr>
            <w:r>
              <w:rPr>
                <w:color w:val="auto"/>
                <w:sz w:val="21"/>
                <w:szCs w:val="21"/>
              </w:rPr>
              <w:t>一级</w:t>
            </w:r>
          </w:p>
        </w:tc>
        <w:tc>
          <w:tcPr>
            <w:tcW w:w="442" w:type="pct"/>
            <w:shd w:val="clear" w:color="auto" w:fill="AEAAAA" w:themeFill="background2" w:themeFillShade="BF"/>
            <w:vAlign w:val="center"/>
          </w:tcPr>
          <w:p w14:paraId="3033258A">
            <w:pPr>
              <w:spacing w:line="240" w:lineRule="auto"/>
              <w:ind w:firstLine="0" w:firstLineChars="0"/>
              <w:jc w:val="center"/>
              <w:rPr>
                <w:color w:val="auto"/>
                <w:sz w:val="21"/>
                <w:szCs w:val="21"/>
              </w:rPr>
            </w:pPr>
            <w:r>
              <w:rPr>
                <w:color w:val="auto"/>
                <w:sz w:val="21"/>
                <w:szCs w:val="21"/>
              </w:rPr>
              <w:t>一级</w:t>
            </w:r>
          </w:p>
        </w:tc>
        <w:tc>
          <w:tcPr>
            <w:tcW w:w="442" w:type="pct"/>
            <w:vAlign w:val="center"/>
          </w:tcPr>
          <w:p w14:paraId="3533E33F">
            <w:pPr>
              <w:spacing w:line="240" w:lineRule="auto"/>
              <w:ind w:firstLine="0" w:firstLineChars="0"/>
              <w:jc w:val="center"/>
              <w:rPr>
                <w:color w:val="auto"/>
                <w:sz w:val="21"/>
                <w:szCs w:val="21"/>
              </w:rPr>
            </w:pPr>
            <w:r>
              <w:rPr>
                <w:color w:val="auto"/>
                <w:sz w:val="21"/>
                <w:szCs w:val="21"/>
              </w:rPr>
              <w:t>一级</w:t>
            </w:r>
          </w:p>
        </w:tc>
        <w:tc>
          <w:tcPr>
            <w:tcW w:w="442" w:type="pct"/>
            <w:vAlign w:val="center"/>
          </w:tcPr>
          <w:p w14:paraId="22A1B6A3">
            <w:pPr>
              <w:spacing w:line="240" w:lineRule="auto"/>
              <w:ind w:firstLine="0" w:firstLineChars="0"/>
              <w:jc w:val="center"/>
              <w:rPr>
                <w:color w:val="auto"/>
                <w:sz w:val="21"/>
                <w:szCs w:val="21"/>
              </w:rPr>
            </w:pPr>
            <w:r>
              <w:rPr>
                <w:color w:val="auto"/>
                <w:sz w:val="21"/>
                <w:szCs w:val="21"/>
              </w:rPr>
              <w:t>二级</w:t>
            </w:r>
          </w:p>
        </w:tc>
        <w:tc>
          <w:tcPr>
            <w:tcW w:w="442" w:type="pct"/>
            <w:vAlign w:val="center"/>
          </w:tcPr>
          <w:p w14:paraId="30E86162">
            <w:pPr>
              <w:spacing w:line="240" w:lineRule="auto"/>
              <w:ind w:firstLine="0" w:firstLineChars="0"/>
              <w:jc w:val="center"/>
              <w:rPr>
                <w:color w:val="auto"/>
                <w:sz w:val="21"/>
                <w:szCs w:val="21"/>
              </w:rPr>
            </w:pPr>
            <w:r>
              <w:rPr>
                <w:color w:val="auto"/>
                <w:sz w:val="21"/>
                <w:szCs w:val="21"/>
              </w:rPr>
              <w:t>二级</w:t>
            </w:r>
          </w:p>
        </w:tc>
        <w:tc>
          <w:tcPr>
            <w:tcW w:w="442" w:type="pct"/>
            <w:vAlign w:val="center"/>
          </w:tcPr>
          <w:p w14:paraId="5DECC218">
            <w:pPr>
              <w:spacing w:line="240" w:lineRule="auto"/>
              <w:ind w:firstLine="0" w:firstLineChars="0"/>
              <w:jc w:val="center"/>
              <w:rPr>
                <w:color w:val="auto"/>
                <w:sz w:val="21"/>
                <w:szCs w:val="21"/>
              </w:rPr>
            </w:pPr>
            <w:r>
              <w:rPr>
                <w:color w:val="auto"/>
                <w:sz w:val="21"/>
                <w:szCs w:val="21"/>
              </w:rPr>
              <w:t>二级</w:t>
            </w:r>
          </w:p>
        </w:tc>
        <w:tc>
          <w:tcPr>
            <w:tcW w:w="442" w:type="pct"/>
            <w:vAlign w:val="center"/>
          </w:tcPr>
          <w:p w14:paraId="5EDEF639">
            <w:pPr>
              <w:spacing w:line="240" w:lineRule="auto"/>
              <w:ind w:firstLine="0" w:firstLineChars="0"/>
              <w:jc w:val="center"/>
              <w:rPr>
                <w:color w:val="auto"/>
                <w:sz w:val="21"/>
                <w:szCs w:val="21"/>
              </w:rPr>
            </w:pPr>
            <w:r>
              <w:rPr>
                <w:color w:val="auto"/>
                <w:sz w:val="21"/>
                <w:szCs w:val="21"/>
              </w:rPr>
              <w:t>三级</w:t>
            </w:r>
          </w:p>
        </w:tc>
        <w:tc>
          <w:tcPr>
            <w:tcW w:w="442" w:type="pct"/>
            <w:vAlign w:val="center"/>
          </w:tcPr>
          <w:p w14:paraId="2A98CAF1">
            <w:pPr>
              <w:spacing w:line="240" w:lineRule="auto"/>
              <w:ind w:firstLine="0" w:firstLineChars="0"/>
              <w:jc w:val="center"/>
              <w:rPr>
                <w:color w:val="auto"/>
                <w:sz w:val="21"/>
                <w:szCs w:val="21"/>
              </w:rPr>
            </w:pPr>
            <w:r>
              <w:rPr>
                <w:color w:val="auto"/>
                <w:sz w:val="21"/>
                <w:szCs w:val="21"/>
              </w:rPr>
              <w:t>三级</w:t>
            </w:r>
          </w:p>
        </w:tc>
        <w:tc>
          <w:tcPr>
            <w:tcW w:w="442" w:type="pct"/>
            <w:vAlign w:val="center"/>
          </w:tcPr>
          <w:p w14:paraId="42AE380C">
            <w:pPr>
              <w:spacing w:line="240" w:lineRule="auto"/>
              <w:ind w:firstLine="0" w:firstLineChars="0"/>
              <w:jc w:val="center"/>
              <w:rPr>
                <w:color w:val="auto"/>
                <w:sz w:val="21"/>
                <w:szCs w:val="21"/>
              </w:rPr>
            </w:pPr>
            <w:r>
              <w:rPr>
                <w:color w:val="auto"/>
                <w:sz w:val="21"/>
                <w:szCs w:val="21"/>
              </w:rPr>
              <w:t>三级</w:t>
            </w:r>
          </w:p>
        </w:tc>
      </w:tr>
      <w:tr w14:paraId="72E80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5" w:type="pct"/>
            <w:vAlign w:val="center"/>
          </w:tcPr>
          <w:p w14:paraId="5DED7F0B">
            <w:pPr>
              <w:spacing w:line="240" w:lineRule="auto"/>
              <w:ind w:firstLine="0" w:firstLineChars="0"/>
              <w:jc w:val="center"/>
              <w:rPr>
                <w:color w:val="auto"/>
                <w:sz w:val="21"/>
                <w:szCs w:val="21"/>
              </w:rPr>
            </w:pPr>
            <w:r>
              <w:rPr>
                <w:color w:val="auto"/>
                <w:sz w:val="21"/>
                <w:szCs w:val="21"/>
              </w:rPr>
              <w:t>较敏感</w:t>
            </w:r>
          </w:p>
        </w:tc>
        <w:tc>
          <w:tcPr>
            <w:tcW w:w="442" w:type="pct"/>
            <w:vAlign w:val="center"/>
          </w:tcPr>
          <w:p w14:paraId="7B2FB052">
            <w:pPr>
              <w:spacing w:line="240" w:lineRule="auto"/>
              <w:ind w:firstLine="0" w:firstLineChars="0"/>
              <w:jc w:val="center"/>
              <w:rPr>
                <w:color w:val="auto"/>
                <w:sz w:val="21"/>
                <w:szCs w:val="21"/>
              </w:rPr>
            </w:pPr>
            <w:r>
              <w:rPr>
                <w:color w:val="auto"/>
                <w:sz w:val="21"/>
                <w:szCs w:val="21"/>
              </w:rPr>
              <w:t>一级</w:t>
            </w:r>
          </w:p>
        </w:tc>
        <w:tc>
          <w:tcPr>
            <w:tcW w:w="442" w:type="pct"/>
            <w:vAlign w:val="center"/>
          </w:tcPr>
          <w:p w14:paraId="6F8C2622">
            <w:pPr>
              <w:spacing w:line="240" w:lineRule="auto"/>
              <w:ind w:firstLine="0" w:firstLineChars="0"/>
              <w:jc w:val="center"/>
              <w:rPr>
                <w:color w:val="auto"/>
                <w:sz w:val="21"/>
                <w:szCs w:val="21"/>
              </w:rPr>
            </w:pPr>
            <w:r>
              <w:rPr>
                <w:color w:val="auto"/>
                <w:sz w:val="21"/>
                <w:szCs w:val="21"/>
              </w:rPr>
              <w:t>一级</w:t>
            </w:r>
          </w:p>
        </w:tc>
        <w:tc>
          <w:tcPr>
            <w:tcW w:w="442" w:type="pct"/>
            <w:vAlign w:val="center"/>
          </w:tcPr>
          <w:p w14:paraId="6E9FD95D">
            <w:pPr>
              <w:spacing w:line="240" w:lineRule="auto"/>
              <w:ind w:firstLine="0" w:firstLineChars="0"/>
              <w:jc w:val="center"/>
              <w:rPr>
                <w:color w:val="auto"/>
                <w:sz w:val="21"/>
                <w:szCs w:val="21"/>
              </w:rPr>
            </w:pPr>
            <w:r>
              <w:rPr>
                <w:color w:val="auto"/>
                <w:sz w:val="21"/>
                <w:szCs w:val="21"/>
              </w:rPr>
              <w:t>二级</w:t>
            </w:r>
          </w:p>
        </w:tc>
        <w:tc>
          <w:tcPr>
            <w:tcW w:w="442" w:type="pct"/>
            <w:vAlign w:val="center"/>
          </w:tcPr>
          <w:p w14:paraId="0562BE19">
            <w:pPr>
              <w:spacing w:line="240" w:lineRule="auto"/>
              <w:ind w:firstLine="0" w:firstLineChars="0"/>
              <w:jc w:val="center"/>
              <w:rPr>
                <w:color w:val="auto"/>
                <w:sz w:val="21"/>
                <w:szCs w:val="21"/>
              </w:rPr>
            </w:pPr>
            <w:r>
              <w:rPr>
                <w:color w:val="auto"/>
                <w:sz w:val="21"/>
                <w:szCs w:val="21"/>
              </w:rPr>
              <w:t>二级</w:t>
            </w:r>
          </w:p>
        </w:tc>
        <w:tc>
          <w:tcPr>
            <w:tcW w:w="442" w:type="pct"/>
            <w:vAlign w:val="center"/>
          </w:tcPr>
          <w:p w14:paraId="38237B8E">
            <w:pPr>
              <w:spacing w:line="240" w:lineRule="auto"/>
              <w:ind w:firstLine="0" w:firstLineChars="0"/>
              <w:jc w:val="center"/>
              <w:rPr>
                <w:color w:val="auto"/>
                <w:sz w:val="21"/>
                <w:szCs w:val="21"/>
              </w:rPr>
            </w:pPr>
            <w:r>
              <w:rPr>
                <w:color w:val="auto"/>
                <w:sz w:val="21"/>
                <w:szCs w:val="21"/>
              </w:rPr>
              <w:t>二级</w:t>
            </w:r>
          </w:p>
        </w:tc>
        <w:tc>
          <w:tcPr>
            <w:tcW w:w="442" w:type="pct"/>
            <w:vAlign w:val="center"/>
          </w:tcPr>
          <w:p w14:paraId="4447D273">
            <w:pPr>
              <w:spacing w:line="240" w:lineRule="auto"/>
              <w:ind w:firstLine="0" w:firstLineChars="0"/>
              <w:jc w:val="center"/>
              <w:rPr>
                <w:color w:val="auto"/>
                <w:sz w:val="21"/>
                <w:szCs w:val="21"/>
              </w:rPr>
            </w:pPr>
            <w:r>
              <w:rPr>
                <w:color w:val="auto"/>
                <w:sz w:val="21"/>
                <w:szCs w:val="21"/>
              </w:rPr>
              <w:t>三级</w:t>
            </w:r>
          </w:p>
        </w:tc>
        <w:tc>
          <w:tcPr>
            <w:tcW w:w="442" w:type="pct"/>
            <w:vAlign w:val="center"/>
          </w:tcPr>
          <w:p w14:paraId="126153C8">
            <w:pPr>
              <w:spacing w:line="240" w:lineRule="auto"/>
              <w:ind w:firstLine="0" w:firstLineChars="0"/>
              <w:jc w:val="center"/>
              <w:rPr>
                <w:color w:val="auto"/>
                <w:sz w:val="21"/>
                <w:szCs w:val="21"/>
              </w:rPr>
            </w:pPr>
            <w:r>
              <w:rPr>
                <w:color w:val="auto"/>
                <w:sz w:val="21"/>
                <w:szCs w:val="21"/>
              </w:rPr>
              <w:t>三级</w:t>
            </w:r>
          </w:p>
        </w:tc>
        <w:tc>
          <w:tcPr>
            <w:tcW w:w="442" w:type="pct"/>
            <w:vAlign w:val="center"/>
          </w:tcPr>
          <w:p w14:paraId="3AD7D681">
            <w:pPr>
              <w:spacing w:line="240" w:lineRule="auto"/>
              <w:ind w:firstLine="0" w:firstLineChars="0"/>
              <w:jc w:val="center"/>
              <w:rPr>
                <w:color w:val="auto"/>
                <w:sz w:val="21"/>
                <w:szCs w:val="21"/>
              </w:rPr>
            </w:pPr>
            <w:r>
              <w:rPr>
                <w:color w:val="auto"/>
                <w:sz w:val="21"/>
                <w:szCs w:val="21"/>
              </w:rPr>
              <w:t>三级</w:t>
            </w:r>
          </w:p>
        </w:tc>
        <w:tc>
          <w:tcPr>
            <w:tcW w:w="442" w:type="pct"/>
            <w:vAlign w:val="center"/>
          </w:tcPr>
          <w:p w14:paraId="054CEB35">
            <w:pPr>
              <w:spacing w:line="240" w:lineRule="auto"/>
              <w:ind w:firstLine="0" w:firstLineChars="0"/>
              <w:jc w:val="center"/>
              <w:rPr>
                <w:color w:val="auto"/>
                <w:sz w:val="21"/>
                <w:szCs w:val="21"/>
              </w:rPr>
            </w:pPr>
            <w:r>
              <w:rPr>
                <w:color w:val="auto"/>
                <w:sz w:val="21"/>
                <w:szCs w:val="21"/>
              </w:rPr>
              <w:t>-</w:t>
            </w:r>
          </w:p>
        </w:tc>
      </w:tr>
      <w:tr w14:paraId="3FF10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5" w:type="pct"/>
            <w:vAlign w:val="center"/>
          </w:tcPr>
          <w:p w14:paraId="4AC70463">
            <w:pPr>
              <w:spacing w:line="240" w:lineRule="auto"/>
              <w:ind w:firstLine="0" w:firstLineChars="0"/>
              <w:jc w:val="center"/>
              <w:rPr>
                <w:color w:val="auto"/>
                <w:sz w:val="21"/>
                <w:szCs w:val="21"/>
              </w:rPr>
            </w:pPr>
            <w:r>
              <w:rPr>
                <w:color w:val="auto"/>
                <w:sz w:val="21"/>
                <w:szCs w:val="21"/>
              </w:rPr>
              <w:t>不敏感</w:t>
            </w:r>
          </w:p>
        </w:tc>
        <w:tc>
          <w:tcPr>
            <w:tcW w:w="442" w:type="pct"/>
            <w:vAlign w:val="center"/>
          </w:tcPr>
          <w:p w14:paraId="50003722">
            <w:pPr>
              <w:spacing w:line="240" w:lineRule="auto"/>
              <w:ind w:firstLine="0" w:firstLineChars="0"/>
              <w:jc w:val="center"/>
              <w:rPr>
                <w:color w:val="auto"/>
                <w:sz w:val="21"/>
                <w:szCs w:val="21"/>
              </w:rPr>
            </w:pPr>
            <w:r>
              <w:rPr>
                <w:color w:val="auto"/>
                <w:sz w:val="21"/>
                <w:szCs w:val="21"/>
              </w:rPr>
              <w:t>一级</w:t>
            </w:r>
          </w:p>
        </w:tc>
        <w:tc>
          <w:tcPr>
            <w:tcW w:w="442" w:type="pct"/>
            <w:vAlign w:val="center"/>
          </w:tcPr>
          <w:p w14:paraId="33500625">
            <w:pPr>
              <w:spacing w:line="240" w:lineRule="auto"/>
              <w:ind w:firstLine="0" w:firstLineChars="0"/>
              <w:jc w:val="center"/>
              <w:rPr>
                <w:color w:val="auto"/>
                <w:sz w:val="21"/>
                <w:szCs w:val="21"/>
              </w:rPr>
            </w:pPr>
            <w:r>
              <w:rPr>
                <w:color w:val="auto"/>
                <w:sz w:val="21"/>
                <w:szCs w:val="21"/>
              </w:rPr>
              <w:t>二级</w:t>
            </w:r>
          </w:p>
        </w:tc>
        <w:tc>
          <w:tcPr>
            <w:tcW w:w="442" w:type="pct"/>
            <w:vAlign w:val="center"/>
          </w:tcPr>
          <w:p w14:paraId="20087769">
            <w:pPr>
              <w:spacing w:line="240" w:lineRule="auto"/>
              <w:ind w:firstLine="0" w:firstLineChars="0"/>
              <w:jc w:val="center"/>
              <w:rPr>
                <w:color w:val="auto"/>
                <w:sz w:val="21"/>
                <w:szCs w:val="21"/>
              </w:rPr>
            </w:pPr>
            <w:r>
              <w:rPr>
                <w:color w:val="auto"/>
                <w:sz w:val="21"/>
                <w:szCs w:val="21"/>
              </w:rPr>
              <w:t>二级</w:t>
            </w:r>
          </w:p>
        </w:tc>
        <w:tc>
          <w:tcPr>
            <w:tcW w:w="442" w:type="pct"/>
            <w:vAlign w:val="center"/>
          </w:tcPr>
          <w:p w14:paraId="7FD9B2EF">
            <w:pPr>
              <w:spacing w:line="240" w:lineRule="auto"/>
              <w:ind w:firstLine="0" w:firstLineChars="0"/>
              <w:jc w:val="center"/>
              <w:rPr>
                <w:color w:val="auto"/>
                <w:sz w:val="21"/>
                <w:szCs w:val="21"/>
              </w:rPr>
            </w:pPr>
            <w:r>
              <w:rPr>
                <w:color w:val="auto"/>
                <w:sz w:val="21"/>
                <w:szCs w:val="21"/>
              </w:rPr>
              <w:t>二级</w:t>
            </w:r>
          </w:p>
        </w:tc>
        <w:tc>
          <w:tcPr>
            <w:tcW w:w="442" w:type="pct"/>
            <w:vAlign w:val="center"/>
          </w:tcPr>
          <w:p w14:paraId="5DB27914">
            <w:pPr>
              <w:spacing w:line="240" w:lineRule="auto"/>
              <w:ind w:firstLine="0" w:firstLineChars="0"/>
              <w:jc w:val="center"/>
              <w:rPr>
                <w:color w:val="auto"/>
                <w:sz w:val="21"/>
                <w:szCs w:val="21"/>
              </w:rPr>
            </w:pPr>
            <w:r>
              <w:rPr>
                <w:color w:val="auto"/>
                <w:sz w:val="21"/>
                <w:szCs w:val="21"/>
              </w:rPr>
              <w:t>三级</w:t>
            </w:r>
          </w:p>
        </w:tc>
        <w:tc>
          <w:tcPr>
            <w:tcW w:w="442" w:type="pct"/>
            <w:vAlign w:val="center"/>
          </w:tcPr>
          <w:p w14:paraId="22DBD0A8">
            <w:pPr>
              <w:spacing w:line="240" w:lineRule="auto"/>
              <w:ind w:firstLine="0" w:firstLineChars="0"/>
              <w:jc w:val="center"/>
              <w:rPr>
                <w:color w:val="auto"/>
                <w:sz w:val="21"/>
                <w:szCs w:val="21"/>
              </w:rPr>
            </w:pPr>
            <w:r>
              <w:rPr>
                <w:color w:val="auto"/>
                <w:sz w:val="21"/>
                <w:szCs w:val="21"/>
              </w:rPr>
              <w:t>三级</w:t>
            </w:r>
          </w:p>
        </w:tc>
        <w:tc>
          <w:tcPr>
            <w:tcW w:w="442" w:type="pct"/>
            <w:vAlign w:val="center"/>
          </w:tcPr>
          <w:p w14:paraId="65E06F15">
            <w:pPr>
              <w:spacing w:line="240" w:lineRule="auto"/>
              <w:ind w:firstLine="0" w:firstLineChars="0"/>
              <w:jc w:val="center"/>
              <w:rPr>
                <w:color w:val="auto"/>
                <w:sz w:val="21"/>
                <w:szCs w:val="21"/>
              </w:rPr>
            </w:pPr>
            <w:r>
              <w:rPr>
                <w:color w:val="auto"/>
                <w:sz w:val="21"/>
                <w:szCs w:val="21"/>
              </w:rPr>
              <w:t>三级</w:t>
            </w:r>
          </w:p>
        </w:tc>
        <w:tc>
          <w:tcPr>
            <w:tcW w:w="442" w:type="pct"/>
            <w:vAlign w:val="center"/>
          </w:tcPr>
          <w:p w14:paraId="6E125F5A">
            <w:pPr>
              <w:spacing w:line="240" w:lineRule="auto"/>
              <w:ind w:firstLine="0" w:firstLineChars="0"/>
              <w:jc w:val="center"/>
              <w:rPr>
                <w:color w:val="auto"/>
                <w:sz w:val="21"/>
                <w:szCs w:val="21"/>
              </w:rPr>
            </w:pPr>
            <w:r>
              <w:rPr>
                <w:color w:val="auto"/>
                <w:sz w:val="21"/>
                <w:szCs w:val="21"/>
              </w:rPr>
              <w:t>-</w:t>
            </w:r>
          </w:p>
        </w:tc>
        <w:tc>
          <w:tcPr>
            <w:tcW w:w="442" w:type="pct"/>
            <w:vAlign w:val="center"/>
          </w:tcPr>
          <w:p w14:paraId="51E10105">
            <w:pPr>
              <w:spacing w:line="240" w:lineRule="auto"/>
              <w:ind w:firstLine="0" w:firstLineChars="0"/>
              <w:jc w:val="center"/>
              <w:rPr>
                <w:color w:val="auto"/>
                <w:sz w:val="21"/>
                <w:szCs w:val="21"/>
              </w:rPr>
            </w:pPr>
            <w:r>
              <w:rPr>
                <w:color w:val="auto"/>
                <w:sz w:val="21"/>
                <w:szCs w:val="21"/>
              </w:rPr>
              <w:t>-</w:t>
            </w:r>
          </w:p>
        </w:tc>
      </w:tr>
      <w:tr w14:paraId="78157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vAlign w:val="center"/>
          </w:tcPr>
          <w:p w14:paraId="1D2A3A90">
            <w:pPr>
              <w:spacing w:line="240" w:lineRule="auto"/>
              <w:ind w:firstLine="0" w:firstLineChars="0"/>
              <w:rPr>
                <w:color w:val="auto"/>
                <w:sz w:val="21"/>
                <w:szCs w:val="21"/>
              </w:rPr>
            </w:pPr>
            <w:r>
              <w:rPr>
                <w:color w:val="auto"/>
                <w:sz w:val="21"/>
                <w:szCs w:val="21"/>
              </w:rPr>
              <w:t>注：“-”表示可不开展土壤环境影响评价工作。</w:t>
            </w:r>
          </w:p>
        </w:tc>
      </w:tr>
    </w:tbl>
    <w:p w14:paraId="69C00269">
      <w:pPr>
        <w:snapToGrid/>
        <w:spacing w:before="156" w:beforeLines="50" w:after="156" w:afterLines="50"/>
        <w:ind w:firstLine="0" w:firstLineChars="0"/>
        <w:jc w:val="left"/>
        <w:outlineLvl w:val="2"/>
        <w:rPr>
          <w:b/>
          <w:bCs/>
          <w:color w:val="auto"/>
        </w:rPr>
      </w:pPr>
      <w:bookmarkStart w:id="44" w:name="_Toc3810"/>
      <w:r>
        <w:rPr>
          <w:rFonts w:hint="eastAsia"/>
          <w:b/>
          <w:bCs/>
          <w:color w:val="auto"/>
        </w:rPr>
        <w:t>2.3.2评价范围</w:t>
      </w:r>
      <w:bookmarkEnd w:id="44"/>
    </w:p>
    <w:p w14:paraId="06295F46">
      <w:pPr>
        <w:ind w:firstLine="480"/>
        <w:rPr>
          <w:color w:val="auto"/>
        </w:rPr>
      </w:pPr>
      <w:r>
        <w:rPr>
          <w:color w:val="auto"/>
        </w:rPr>
        <w:t>根据本项目污染物排放特点及当地气象条件、自然环境状况，确定各环境要素评价范围见表2.3.2-1。</w:t>
      </w:r>
    </w:p>
    <w:p w14:paraId="7C38ADD5">
      <w:pPr>
        <w:pStyle w:val="49"/>
        <w:rPr>
          <w:color w:val="auto"/>
        </w:rPr>
      </w:pPr>
      <w:r>
        <w:rPr>
          <w:rFonts w:hint="eastAsia"/>
          <w:color w:val="auto"/>
        </w:rPr>
        <w:t>表2.3-22  评价范围表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84"/>
        <w:gridCol w:w="7270"/>
      </w:tblGrid>
      <w:tr w14:paraId="2CEB7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1311" w:type="pct"/>
            <w:vAlign w:val="center"/>
          </w:tcPr>
          <w:p w14:paraId="2571C76E">
            <w:pPr>
              <w:widowControl/>
              <w:spacing w:line="240" w:lineRule="auto"/>
              <w:ind w:firstLine="0" w:firstLineChars="0"/>
              <w:jc w:val="center"/>
              <w:rPr>
                <w:b/>
                <w:bCs/>
                <w:color w:val="auto"/>
                <w:kern w:val="0"/>
                <w:sz w:val="21"/>
                <w:szCs w:val="21"/>
              </w:rPr>
            </w:pPr>
            <w:r>
              <w:rPr>
                <w:b/>
                <w:bCs/>
                <w:color w:val="auto"/>
                <w:kern w:val="0"/>
                <w:sz w:val="21"/>
                <w:szCs w:val="21"/>
              </w:rPr>
              <w:t>评价内容</w:t>
            </w:r>
          </w:p>
        </w:tc>
        <w:tc>
          <w:tcPr>
            <w:tcW w:w="3689" w:type="pct"/>
            <w:vAlign w:val="center"/>
          </w:tcPr>
          <w:p w14:paraId="18FC94F7">
            <w:pPr>
              <w:widowControl/>
              <w:spacing w:line="240" w:lineRule="auto"/>
              <w:ind w:firstLine="0" w:firstLineChars="0"/>
              <w:jc w:val="center"/>
              <w:rPr>
                <w:b/>
                <w:bCs/>
                <w:color w:val="auto"/>
                <w:kern w:val="0"/>
                <w:sz w:val="21"/>
                <w:szCs w:val="21"/>
              </w:rPr>
            </w:pPr>
            <w:r>
              <w:rPr>
                <w:b/>
                <w:bCs/>
                <w:color w:val="auto"/>
                <w:kern w:val="0"/>
                <w:sz w:val="21"/>
                <w:szCs w:val="21"/>
              </w:rPr>
              <w:t>评价范围</w:t>
            </w:r>
          </w:p>
        </w:tc>
      </w:tr>
      <w:tr w14:paraId="4C212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311" w:type="pct"/>
            <w:vAlign w:val="center"/>
          </w:tcPr>
          <w:p w14:paraId="6163CC1B">
            <w:pPr>
              <w:widowControl/>
              <w:spacing w:line="240" w:lineRule="auto"/>
              <w:ind w:firstLine="0" w:firstLineChars="0"/>
              <w:jc w:val="center"/>
              <w:rPr>
                <w:color w:val="auto"/>
                <w:kern w:val="0"/>
                <w:sz w:val="21"/>
                <w:szCs w:val="21"/>
              </w:rPr>
            </w:pPr>
            <w:r>
              <w:rPr>
                <w:color w:val="auto"/>
                <w:kern w:val="0"/>
                <w:sz w:val="21"/>
                <w:szCs w:val="21"/>
              </w:rPr>
              <w:t>大气</w:t>
            </w:r>
          </w:p>
        </w:tc>
        <w:tc>
          <w:tcPr>
            <w:tcW w:w="3689" w:type="pct"/>
            <w:vAlign w:val="center"/>
          </w:tcPr>
          <w:p w14:paraId="4C9A0791">
            <w:pPr>
              <w:widowControl/>
              <w:spacing w:line="240" w:lineRule="auto"/>
              <w:ind w:firstLine="0" w:firstLineChars="0"/>
              <w:jc w:val="center"/>
              <w:rPr>
                <w:color w:val="auto"/>
                <w:kern w:val="0"/>
                <w:sz w:val="21"/>
                <w:szCs w:val="21"/>
              </w:rPr>
            </w:pPr>
            <w:r>
              <w:rPr>
                <w:color w:val="auto"/>
                <w:kern w:val="0"/>
                <w:sz w:val="21"/>
                <w:szCs w:val="21"/>
              </w:rPr>
              <w:t>本项目厂界为中心外延，边长5km的矩形区域</w:t>
            </w:r>
          </w:p>
        </w:tc>
      </w:tr>
      <w:tr w14:paraId="441BE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311" w:type="pct"/>
            <w:vAlign w:val="center"/>
          </w:tcPr>
          <w:p w14:paraId="2E8C1393">
            <w:pPr>
              <w:widowControl/>
              <w:spacing w:line="240" w:lineRule="auto"/>
              <w:ind w:firstLine="0" w:firstLineChars="0"/>
              <w:jc w:val="center"/>
              <w:rPr>
                <w:color w:val="auto"/>
                <w:kern w:val="0"/>
                <w:sz w:val="21"/>
                <w:szCs w:val="21"/>
              </w:rPr>
            </w:pPr>
            <w:r>
              <w:rPr>
                <w:rFonts w:hint="eastAsia"/>
                <w:color w:val="auto"/>
                <w:kern w:val="0"/>
                <w:sz w:val="21"/>
                <w:szCs w:val="21"/>
              </w:rPr>
              <w:t>地表水</w:t>
            </w:r>
          </w:p>
        </w:tc>
        <w:tc>
          <w:tcPr>
            <w:tcW w:w="3689" w:type="pct"/>
            <w:vAlign w:val="center"/>
          </w:tcPr>
          <w:p w14:paraId="4ED7B3DC">
            <w:pPr>
              <w:widowControl/>
              <w:spacing w:line="240" w:lineRule="auto"/>
              <w:ind w:firstLine="0" w:firstLineChars="0"/>
              <w:jc w:val="center"/>
              <w:rPr>
                <w:color w:val="auto"/>
                <w:kern w:val="0"/>
                <w:sz w:val="21"/>
                <w:szCs w:val="21"/>
              </w:rPr>
            </w:pPr>
            <w:bookmarkStart w:id="45" w:name="_Hlk190237715"/>
            <w:r>
              <w:rPr>
                <w:rFonts w:hint="eastAsia"/>
                <w:color w:val="auto"/>
                <w:kern w:val="0"/>
                <w:sz w:val="21"/>
                <w:szCs w:val="21"/>
              </w:rPr>
              <w:t>对依托污水处理设施的可行性进行评价，以及覆盖地表水环境风险影响范围所及的水环境保护目标水域（江风河）。</w:t>
            </w:r>
            <w:bookmarkEnd w:id="45"/>
          </w:p>
        </w:tc>
      </w:tr>
      <w:tr w14:paraId="3BEAE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311" w:type="pct"/>
            <w:vAlign w:val="center"/>
          </w:tcPr>
          <w:p w14:paraId="7D88094A">
            <w:pPr>
              <w:widowControl/>
              <w:spacing w:line="240" w:lineRule="auto"/>
              <w:ind w:firstLine="0" w:firstLineChars="0"/>
              <w:jc w:val="center"/>
              <w:rPr>
                <w:color w:val="auto"/>
                <w:kern w:val="0"/>
                <w:sz w:val="21"/>
                <w:szCs w:val="21"/>
              </w:rPr>
            </w:pPr>
            <w:r>
              <w:rPr>
                <w:color w:val="auto"/>
                <w:kern w:val="0"/>
                <w:sz w:val="21"/>
                <w:szCs w:val="21"/>
              </w:rPr>
              <w:t>声</w:t>
            </w:r>
          </w:p>
        </w:tc>
        <w:tc>
          <w:tcPr>
            <w:tcW w:w="3689" w:type="pct"/>
            <w:vAlign w:val="center"/>
          </w:tcPr>
          <w:p w14:paraId="66D95DA8">
            <w:pPr>
              <w:widowControl/>
              <w:spacing w:line="240" w:lineRule="auto"/>
              <w:ind w:firstLine="0" w:firstLineChars="0"/>
              <w:jc w:val="center"/>
              <w:rPr>
                <w:color w:val="auto"/>
                <w:kern w:val="0"/>
                <w:sz w:val="21"/>
                <w:szCs w:val="21"/>
              </w:rPr>
            </w:pPr>
            <w:r>
              <w:rPr>
                <w:color w:val="auto"/>
                <w:kern w:val="0"/>
                <w:sz w:val="21"/>
                <w:szCs w:val="21"/>
              </w:rPr>
              <w:t>项目厂界外200m范围内</w:t>
            </w:r>
          </w:p>
        </w:tc>
      </w:tr>
      <w:tr w14:paraId="34C70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311" w:type="pct"/>
            <w:vAlign w:val="center"/>
          </w:tcPr>
          <w:p w14:paraId="3DAAC7DA">
            <w:pPr>
              <w:widowControl/>
              <w:spacing w:line="240" w:lineRule="auto"/>
              <w:ind w:firstLine="0" w:firstLineChars="0"/>
              <w:jc w:val="center"/>
              <w:rPr>
                <w:color w:val="auto"/>
                <w:kern w:val="0"/>
                <w:sz w:val="21"/>
                <w:szCs w:val="21"/>
              </w:rPr>
            </w:pPr>
            <w:r>
              <w:rPr>
                <w:color w:val="auto"/>
                <w:kern w:val="0"/>
                <w:sz w:val="21"/>
                <w:szCs w:val="21"/>
              </w:rPr>
              <w:t>风险评价</w:t>
            </w:r>
          </w:p>
        </w:tc>
        <w:tc>
          <w:tcPr>
            <w:tcW w:w="3689" w:type="pct"/>
            <w:vAlign w:val="center"/>
          </w:tcPr>
          <w:p w14:paraId="5BC1CC49">
            <w:pPr>
              <w:widowControl/>
              <w:spacing w:line="240" w:lineRule="auto"/>
              <w:ind w:firstLine="0" w:firstLineChars="0"/>
              <w:jc w:val="center"/>
              <w:rPr>
                <w:color w:val="auto"/>
                <w:kern w:val="0"/>
                <w:sz w:val="21"/>
                <w:szCs w:val="21"/>
              </w:rPr>
            </w:pPr>
            <w:r>
              <w:rPr>
                <w:color w:val="auto"/>
                <w:kern w:val="0"/>
                <w:sz w:val="21"/>
                <w:szCs w:val="21"/>
              </w:rPr>
              <w:t>大气风险评价范围以本项目厂界外扩5km范围内；地下水风险评价范围同地下水评价范围</w:t>
            </w:r>
            <w:r>
              <w:rPr>
                <w:rFonts w:hint="eastAsia"/>
                <w:color w:val="auto"/>
                <w:kern w:val="0"/>
                <w:sz w:val="21"/>
                <w:szCs w:val="21"/>
              </w:rPr>
              <w:t>；地表水风险评价范围同地表水影响评价范围。</w:t>
            </w:r>
          </w:p>
        </w:tc>
      </w:tr>
      <w:tr w14:paraId="1678B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1311" w:type="pct"/>
            <w:vAlign w:val="center"/>
          </w:tcPr>
          <w:p w14:paraId="518DDA68">
            <w:pPr>
              <w:widowControl/>
              <w:spacing w:line="240" w:lineRule="auto"/>
              <w:ind w:firstLine="0" w:firstLineChars="0"/>
              <w:jc w:val="center"/>
              <w:rPr>
                <w:color w:val="auto"/>
                <w:kern w:val="0"/>
                <w:sz w:val="21"/>
                <w:szCs w:val="21"/>
              </w:rPr>
            </w:pPr>
            <w:r>
              <w:rPr>
                <w:color w:val="auto"/>
                <w:kern w:val="0"/>
                <w:sz w:val="21"/>
                <w:szCs w:val="21"/>
              </w:rPr>
              <w:t>地下水</w:t>
            </w:r>
          </w:p>
        </w:tc>
        <w:tc>
          <w:tcPr>
            <w:tcW w:w="3689" w:type="pct"/>
            <w:vAlign w:val="center"/>
          </w:tcPr>
          <w:p w14:paraId="4A00A9A3">
            <w:pPr>
              <w:widowControl/>
              <w:spacing w:line="240" w:lineRule="auto"/>
              <w:ind w:firstLine="0" w:firstLineChars="0"/>
              <w:jc w:val="center"/>
              <w:rPr>
                <w:color w:val="auto"/>
                <w:kern w:val="0"/>
                <w:sz w:val="21"/>
                <w:szCs w:val="21"/>
              </w:rPr>
            </w:pPr>
            <w:r>
              <w:rPr>
                <w:color w:val="auto"/>
                <w:kern w:val="0"/>
                <w:sz w:val="21"/>
                <w:szCs w:val="21"/>
              </w:rPr>
              <w:t>东部以北新河、江风河为界，西部以灯杆港为界，南部以长江为界，北部以南引河为界，评价范围约为11.76 km</w:t>
            </w:r>
            <w:r>
              <w:rPr>
                <w:color w:val="auto"/>
                <w:kern w:val="0"/>
                <w:sz w:val="21"/>
                <w:szCs w:val="21"/>
                <w:vertAlign w:val="superscript"/>
              </w:rPr>
              <w:t>2</w:t>
            </w:r>
            <w:r>
              <w:rPr>
                <w:color w:val="auto"/>
                <w:kern w:val="0"/>
                <w:sz w:val="21"/>
                <w:szCs w:val="21"/>
              </w:rPr>
              <w:t>。</w:t>
            </w:r>
          </w:p>
        </w:tc>
      </w:tr>
      <w:tr w14:paraId="7C793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311" w:type="pct"/>
            <w:vAlign w:val="center"/>
          </w:tcPr>
          <w:p w14:paraId="2FB51804">
            <w:pPr>
              <w:widowControl/>
              <w:spacing w:line="240" w:lineRule="auto"/>
              <w:ind w:firstLine="0" w:firstLineChars="0"/>
              <w:jc w:val="center"/>
              <w:rPr>
                <w:color w:val="auto"/>
                <w:kern w:val="0"/>
                <w:sz w:val="21"/>
                <w:szCs w:val="21"/>
              </w:rPr>
            </w:pPr>
            <w:r>
              <w:rPr>
                <w:color w:val="auto"/>
                <w:kern w:val="0"/>
                <w:sz w:val="21"/>
                <w:szCs w:val="21"/>
              </w:rPr>
              <w:t>土壤</w:t>
            </w:r>
          </w:p>
        </w:tc>
        <w:tc>
          <w:tcPr>
            <w:tcW w:w="3689" w:type="pct"/>
            <w:vAlign w:val="center"/>
          </w:tcPr>
          <w:p w14:paraId="51672167">
            <w:pPr>
              <w:widowControl/>
              <w:spacing w:line="240" w:lineRule="auto"/>
              <w:ind w:firstLine="0" w:firstLineChars="0"/>
              <w:jc w:val="center"/>
              <w:rPr>
                <w:color w:val="auto"/>
                <w:kern w:val="0"/>
                <w:sz w:val="21"/>
                <w:szCs w:val="21"/>
              </w:rPr>
            </w:pPr>
            <w:r>
              <w:rPr>
                <w:color w:val="auto"/>
                <w:kern w:val="44"/>
                <w:sz w:val="21"/>
                <w:szCs w:val="21"/>
              </w:rPr>
              <w:t>项目厂界内及厂界外1000m范围</w:t>
            </w:r>
          </w:p>
        </w:tc>
      </w:tr>
    </w:tbl>
    <w:p w14:paraId="52725031">
      <w:pPr>
        <w:snapToGrid/>
        <w:spacing w:before="156" w:beforeLines="50" w:after="156" w:afterLines="50"/>
        <w:ind w:firstLine="0" w:firstLineChars="0"/>
        <w:jc w:val="left"/>
        <w:outlineLvl w:val="2"/>
        <w:rPr>
          <w:b/>
          <w:bCs/>
          <w:color w:val="auto"/>
        </w:rPr>
      </w:pPr>
      <w:bookmarkStart w:id="46" w:name="_Toc681"/>
      <w:r>
        <w:rPr>
          <w:rFonts w:hint="eastAsia"/>
          <w:b/>
          <w:bCs/>
          <w:color w:val="auto"/>
        </w:rPr>
        <w:t>2.3.3环境敏感保护目标</w:t>
      </w:r>
      <w:bookmarkEnd w:id="46"/>
    </w:p>
    <w:p w14:paraId="067B5161">
      <w:pPr>
        <w:ind w:firstLine="480"/>
        <w:rPr>
          <w:color w:val="auto"/>
        </w:rPr>
      </w:pPr>
      <w:r>
        <w:rPr>
          <w:color w:val="auto"/>
        </w:rPr>
        <w:t>本项目大气评价范围内环境空气保护目标情况见图2.3.3-1、表2.3.3-1，地表水环境保护目标见表2.3.3-2，其他环境要素环境保护目标见表2.3.3-3。</w:t>
      </w:r>
    </w:p>
    <w:p w14:paraId="43EDA717">
      <w:pPr>
        <w:pStyle w:val="49"/>
        <w:rPr>
          <w:color w:val="auto"/>
        </w:rPr>
      </w:pPr>
      <w:r>
        <w:rPr>
          <w:color w:val="auto"/>
        </w:rPr>
        <w:t>表2.3</w:t>
      </w:r>
      <w:r>
        <w:rPr>
          <w:rFonts w:hint="eastAsia"/>
          <w:color w:val="auto"/>
        </w:rPr>
        <w:t>-23</w:t>
      </w:r>
      <w:r>
        <w:rPr>
          <w:color w:val="auto"/>
        </w:rPr>
        <w:t xml:space="preserve">  大气评价范围内环境空气保护目标情况表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356"/>
        <w:gridCol w:w="1145"/>
        <w:gridCol w:w="1147"/>
        <w:gridCol w:w="972"/>
        <w:gridCol w:w="1324"/>
        <w:gridCol w:w="983"/>
        <w:gridCol w:w="983"/>
        <w:gridCol w:w="1369"/>
      </w:tblGrid>
      <w:tr w14:paraId="0AD97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92" w:type="pct"/>
            <w:vMerge w:val="restart"/>
            <w:vAlign w:val="center"/>
          </w:tcPr>
          <w:p w14:paraId="0F3007AF">
            <w:pPr>
              <w:spacing w:line="240" w:lineRule="auto"/>
              <w:ind w:firstLine="0" w:firstLineChars="0"/>
              <w:jc w:val="center"/>
              <w:rPr>
                <w:b/>
                <w:color w:val="auto"/>
                <w:sz w:val="21"/>
                <w:szCs w:val="21"/>
              </w:rPr>
            </w:pPr>
            <w:r>
              <w:rPr>
                <w:b/>
                <w:color w:val="auto"/>
                <w:sz w:val="21"/>
                <w:szCs w:val="21"/>
              </w:rPr>
              <w:t>环境要素</w:t>
            </w:r>
          </w:p>
        </w:tc>
        <w:tc>
          <w:tcPr>
            <w:tcW w:w="688" w:type="pct"/>
            <w:vMerge w:val="restart"/>
            <w:vAlign w:val="center"/>
          </w:tcPr>
          <w:p w14:paraId="40A36E62">
            <w:pPr>
              <w:spacing w:line="240" w:lineRule="auto"/>
              <w:ind w:firstLine="0" w:firstLineChars="0"/>
              <w:jc w:val="center"/>
              <w:rPr>
                <w:b/>
                <w:color w:val="auto"/>
                <w:sz w:val="21"/>
                <w:szCs w:val="21"/>
              </w:rPr>
            </w:pPr>
            <w:r>
              <w:rPr>
                <w:b/>
                <w:color w:val="auto"/>
                <w:sz w:val="21"/>
                <w:szCs w:val="21"/>
              </w:rPr>
              <w:t>名称</w:t>
            </w:r>
          </w:p>
        </w:tc>
        <w:tc>
          <w:tcPr>
            <w:tcW w:w="1163" w:type="pct"/>
            <w:gridSpan w:val="2"/>
            <w:vAlign w:val="center"/>
          </w:tcPr>
          <w:p w14:paraId="58CE8D14">
            <w:pPr>
              <w:spacing w:line="240" w:lineRule="auto"/>
              <w:ind w:firstLine="0" w:firstLineChars="0"/>
              <w:jc w:val="center"/>
              <w:rPr>
                <w:b/>
                <w:color w:val="auto"/>
                <w:sz w:val="21"/>
                <w:szCs w:val="21"/>
              </w:rPr>
            </w:pPr>
            <w:r>
              <w:rPr>
                <w:b/>
                <w:color w:val="auto"/>
                <w:sz w:val="21"/>
                <w:szCs w:val="21"/>
              </w:rPr>
              <w:t>坐标/m</w:t>
            </w:r>
          </w:p>
          <w:p w14:paraId="07070C30">
            <w:pPr>
              <w:spacing w:line="240" w:lineRule="auto"/>
              <w:ind w:firstLine="0" w:firstLineChars="0"/>
              <w:jc w:val="center"/>
              <w:rPr>
                <w:b/>
                <w:color w:val="auto"/>
                <w:sz w:val="21"/>
                <w:szCs w:val="21"/>
              </w:rPr>
            </w:pPr>
            <w:r>
              <w:rPr>
                <w:b/>
                <w:color w:val="auto"/>
                <w:sz w:val="21"/>
                <w:szCs w:val="21"/>
              </w:rPr>
              <w:t>(UTM坐标)</w:t>
            </w:r>
          </w:p>
        </w:tc>
        <w:tc>
          <w:tcPr>
            <w:tcW w:w="493" w:type="pct"/>
            <w:vMerge w:val="restart"/>
            <w:vAlign w:val="center"/>
          </w:tcPr>
          <w:p w14:paraId="346B51B3">
            <w:pPr>
              <w:spacing w:line="240" w:lineRule="auto"/>
              <w:ind w:firstLine="0" w:firstLineChars="0"/>
              <w:jc w:val="center"/>
              <w:rPr>
                <w:b/>
                <w:color w:val="auto"/>
                <w:sz w:val="21"/>
                <w:szCs w:val="21"/>
              </w:rPr>
            </w:pPr>
            <w:r>
              <w:rPr>
                <w:b/>
                <w:color w:val="auto"/>
                <w:sz w:val="21"/>
                <w:szCs w:val="21"/>
              </w:rPr>
              <w:t>保护对象</w:t>
            </w:r>
          </w:p>
        </w:tc>
        <w:tc>
          <w:tcPr>
            <w:tcW w:w="672" w:type="pct"/>
            <w:vMerge w:val="restart"/>
            <w:vAlign w:val="center"/>
          </w:tcPr>
          <w:p w14:paraId="142A05B7">
            <w:pPr>
              <w:spacing w:line="240" w:lineRule="auto"/>
              <w:ind w:firstLine="0" w:firstLineChars="0"/>
              <w:jc w:val="center"/>
              <w:rPr>
                <w:b/>
                <w:color w:val="auto"/>
                <w:sz w:val="21"/>
                <w:szCs w:val="21"/>
              </w:rPr>
            </w:pPr>
            <w:r>
              <w:rPr>
                <w:b/>
                <w:color w:val="auto"/>
                <w:sz w:val="21"/>
                <w:szCs w:val="21"/>
              </w:rPr>
              <w:t>保护内容</w:t>
            </w:r>
          </w:p>
        </w:tc>
        <w:tc>
          <w:tcPr>
            <w:tcW w:w="499" w:type="pct"/>
            <w:vMerge w:val="restart"/>
            <w:vAlign w:val="center"/>
          </w:tcPr>
          <w:p w14:paraId="2B29EE1C">
            <w:pPr>
              <w:spacing w:line="240" w:lineRule="auto"/>
              <w:ind w:firstLine="0" w:firstLineChars="0"/>
              <w:jc w:val="center"/>
              <w:rPr>
                <w:b/>
                <w:color w:val="auto"/>
                <w:sz w:val="21"/>
                <w:szCs w:val="21"/>
              </w:rPr>
            </w:pPr>
            <w:r>
              <w:rPr>
                <w:b/>
                <w:color w:val="auto"/>
                <w:sz w:val="21"/>
                <w:szCs w:val="21"/>
              </w:rPr>
              <w:t>环境功能区</w:t>
            </w:r>
          </w:p>
        </w:tc>
        <w:tc>
          <w:tcPr>
            <w:tcW w:w="499" w:type="pct"/>
            <w:vMerge w:val="restart"/>
            <w:vAlign w:val="center"/>
          </w:tcPr>
          <w:p w14:paraId="02A07D98">
            <w:pPr>
              <w:spacing w:line="240" w:lineRule="auto"/>
              <w:ind w:firstLine="0" w:firstLineChars="0"/>
              <w:jc w:val="center"/>
              <w:rPr>
                <w:b/>
                <w:color w:val="auto"/>
                <w:sz w:val="21"/>
                <w:szCs w:val="21"/>
              </w:rPr>
            </w:pPr>
            <w:r>
              <w:rPr>
                <w:b/>
                <w:color w:val="auto"/>
                <w:sz w:val="21"/>
                <w:szCs w:val="21"/>
              </w:rPr>
              <w:t>相对厂址方位</w:t>
            </w:r>
          </w:p>
        </w:tc>
        <w:tc>
          <w:tcPr>
            <w:tcW w:w="695" w:type="pct"/>
            <w:vMerge w:val="restart"/>
            <w:vAlign w:val="center"/>
          </w:tcPr>
          <w:p w14:paraId="61FEE664">
            <w:pPr>
              <w:spacing w:line="240" w:lineRule="auto"/>
              <w:ind w:firstLine="0" w:firstLineChars="0"/>
              <w:jc w:val="center"/>
              <w:rPr>
                <w:b/>
                <w:color w:val="auto"/>
                <w:sz w:val="21"/>
                <w:szCs w:val="21"/>
              </w:rPr>
            </w:pPr>
            <w:r>
              <w:rPr>
                <w:b/>
                <w:color w:val="auto"/>
                <w:sz w:val="21"/>
                <w:szCs w:val="21"/>
              </w:rPr>
              <w:t>相对距离/m</w:t>
            </w:r>
          </w:p>
        </w:tc>
      </w:tr>
      <w:tr w14:paraId="737F7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92" w:type="pct"/>
            <w:vMerge w:val="continue"/>
            <w:vAlign w:val="center"/>
          </w:tcPr>
          <w:p w14:paraId="52C4B8B3">
            <w:pPr>
              <w:spacing w:line="240" w:lineRule="auto"/>
              <w:ind w:firstLine="0" w:firstLineChars="0"/>
              <w:jc w:val="center"/>
              <w:rPr>
                <w:b/>
                <w:color w:val="auto"/>
                <w:sz w:val="21"/>
                <w:szCs w:val="21"/>
              </w:rPr>
            </w:pPr>
          </w:p>
        </w:tc>
        <w:tc>
          <w:tcPr>
            <w:tcW w:w="688" w:type="pct"/>
            <w:vMerge w:val="continue"/>
            <w:vAlign w:val="center"/>
          </w:tcPr>
          <w:p w14:paraId="5FEE7DAC">
            <w:pPr>
              <w:spacing w:line="240" w:lineRule="auto"/>
              <w:ind w:firstLine="0" w:firstLineChars="0"/>
              <w:jc w:val="center"/>
              <w:rPr>
                <w:b/>
                <w:color w:val="auto"/>
                <w:sz w:val="21"/>
                <w:szCs w:val="21"/>
              </w:rPr>
            </w:pPr>
          </w:p>
        </w:tc>
        <w:tc>
          <w:tcPr>
            <w:tcW w:w="581" w:type="pct"/>
            <w:vAlign w:val="center"/>
          </w:tcPr>
          <w:p w14:paraId="5B5816BC">
            <w:pPr>
              <w:spacing w:line="240" w:lineRule="auto"/>
              <w:ind w:firstLine="0" w:firstLineChars="0"/>
              <w:jc w:val="center"/>
              <w:rPr>
                <w:b/>
                <w:color w:val="auto"/>
                <w:sz w:val="21"/>
                <w:szCs w:val="21"/>
              </w:rPr>
            </w:pPr>
            <w:r>
              <w:rPr>
                <w:b/>
                <w:color w:val="auto"/>
                <w:sz w:val="21"/>
                <w:szCs w:val="21"/>
              </w:rPr>
              <w:t>X</w:t>
            </w:r>
          </w:p>
        </w:tc>
        <w:tc>
          <w:tcPr>
            <w:tcW w:w="582" w:type="pct"/>
            <w:vAlign w:val="center"/>
          </w:tcPr>
          <w:p w14:paraId="5D6D0FAC">
            <w:pPr>
              <w:spacing w:line="240" w:lineRule="auto"/>
              <w:ind w:firstLine="0" w:firstLineChars="0"/>
              <w:jc w:val="center"/>
              <w:rPr>
                <w:b/>
                <w:color w:val="auto"/>
                <w:sz w:val="21"/>
                <w:szCs w:val="21"/>
              </w:rPr>
            </w:pPr>
            <w:r>
              <w:rPr>
                <w:b/>
                <w:color w:val="auto"/>
                <w:sz w:val="21"/>
                <w:szCs w:val="21"/>
              </w:rPr>
              <w:t>Y</w:t>
            </w:r>
          </w:p>
        </w:tc>
        <w:tc>
          <w:tcPr>
            <w:tcW w:w="493" w:type="pct"/>
            <w:vMerge w:val="continue"/>
            <w:vAlign w:val="center"/>
          </w:tcPr>
          <w:p w14:paraId="3BFF3079">
            <w:pPr>
              <w:spacing w:line="240" w:lineRule="auto"/>
              <w:ind w:firstLine="0" w:firstLineChars="0"/>
              <w:jc w:val="center"/>
              <w:rPr>
                <w:b/>
                <w:color w:val="auto"/>
                <w:sz w:val="21"/>
                <w:szCs w:val="21"/>
              </w:rPr>
            </w:pPr>
          </w:p>
        </w:tc>
        <w:tc>
          <w:tcPr>
            <w:tcW w:w="672" w:type="pct"/>
            <w:vMerge w:val="continue"/>
            <w:vAlign w:val="center"/>
          </w:tcPr>
          <w:p w14:paraId="47F35684">
            <w:pPr>
              <w:spacing w:line="240" w:lineRule="auto"/>
              <w:ind w:firstLine="0" w:firstLineChars="0"/>
              <w:jc w:val="center"/>
              <w:rPr>
                <w:b/>
                <w:color w:val="auto"/>
                <w:sz w:val="21"/>
                <w:szCs w:val="21"/>
              </w:rPr>
            </w:pPr>
          </w:p>
        </w:tc>
        <w:tc>
          <w:tcPr>
            <w:tcW w:w="499" w:type="pct"/>
            <w:vMerge w:val="continue"/>
            <w:vAlign w:val="center"/>
          </w:tcPr>
          <w:p w14:paraId="5D4AE782">
            <w:pPr>
              <w:spacing w:line="240" w:lineRule="auto"/>
              <w:ind w:firstLine="0" w:firstLineChars="0"/>
              <w:jc w:val="center"/>
              <w:rPr>
                <w:b/>
                <w:color w:val="auto"/>
                <w:sz w:val="21"/>
                <w:szCs w:val="21"/>
              </w:rPr>
            </w:pPr>
          </w:p>
        </w:tc>
        <w:tc>
          <w:tcPr>
            <w:tcW w:w="499" w:type="pct"/>
            <w:vMerge w:val="continue"/>
            <w:vAlign w:val="center"/>
          </w:tcPr>
          <w:p w14:paraId="1DA0531A">
            <w:pPr>
              <w:spacing w:line="240" w:lineRule="auto"/>
              <w:ind w:firstLine="0" w:firstLineChars="0"/>
              <w:jc w:val="center"/>
              <w:rPr>
                <w:b/>
                <w:color w:val="auto"/>
                <w:sz w:val="21"/>
                <w:szCs w:val="21"/>
              </w:rPr>
            </w:pPr>
          </w:p>
        </w:tc>
        <w:tc>
          <w:tcPr>
            <w:tcW w:w="695" w:type="pct"/>
            <w:vMerge w:val="continue"/>
            <w:vAlign w:val="center"/>
          </w:tcPr>
          <w:p w14:paraId="2AA0BD00">
            <w:pPr>
              <w:spacing w:line="240" w:lineRule="auto"/>
              <w:ind w:firstLine="0" w:firstLineChars="0"/>
              <w:jc w:val="center"/>
              <w:rPr>
                <w:b/>
                <w:color w:val="auto"/>
                <w:sz w:val="21"/>
                <w:szCs w:val="21"/>
              </w:rPr>
            </w:pPr>
          </w:p>
        </w:tc>
      </w:tr>
      <w:tr w14:paraId="27C8D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Merge w:val="restart"/>
            <w:vAlign w:val="center"/>
          </w:tcPr>
          <w:p w14:paraId="7C16576E">
            <w:pPr>
              <w:spacing w:line="240" w:lineRule="auto"/>
              <w:ind w:firstLine="0" w:firstLineChars="0"/>
              <w:jc w:val="center"/>
              <w:rPr>
                <w:color w:val="auto"/>
                <w:sz w:val="21"/>
                <w:szCs w:val="21"/>
              </w:rPr>
            </w:pPr>
            <w:r>
              <w:rPr>
                <w:color w:val="auto"/>
                <w:sz w:val="21"/>
                <w:szCs w:val="21"/>
              </w:rPr>
              <w:t>大气环境</w:t>
            </w:r>
          </w:p>
        </w:tc>
        <w:tc>
          <w:tcPr>
            <w:tcW w:w="688" w:type="pct"/>
            <w:vAlign w:val="center"/>
          </w:tcPr>
          <w:p w14:paraId="00252375">
            <w:pPr>
              <w:spacing w:line="240" w:lineRule="auto"/>
              <w:ind w:firstLine="0" w:firstLineChars="0"/>
              <w:jc w:val="center"/>
              <w:rPr>
                <w:color w:val="auto"/>
                <w:sz w:val="21"/>
                <w:szCs w:val="21"/>
              </w:rPr>
            </w:pPr>
            <w:r>
              <w:rPr>
                <w:color w:val="auto"/>
                <w:sz w:val="21"/>
                <w:szCs w:val="21"/>
              </w:rPr>
              <w:t>北新镇</w:t>
            </w:r>
          </w:p>
        </w:tc>
        <w:tc>
          <w:tcPr>
            <w:tcW w:w="581" w:type="pct"/>
            <w:vAlign w:val="center"/>
          </w:tcPr>
          <w:p w14:paraId="2BCDE2CC">
            <w:pPr>
              <w:spacing w:line="240" w:lineRule="auto"/>
              <w:ind w:firstLine="0" w:firstLineChars="0"/>
              <w:jc w:val="center"/>
              <w:rPr>
                <w:color w:val="auto"/>
                <w:sz w:val="21"/>
                <w:szCs w:val="21"/>
              </w:rPr>
            </w:pPr>
            <w:r>
              <w:rPr>
                <w:color w:val="auto"/>
                <w:sz w:val="21"/>
                <w:szCs w:val="21"/>
              </w:rPr>
              <w:t>357968</w:t>
            </w:r>
          </w:p>
        </w:tc>
        <w:tc>
          <w:tcPr>
            <w:tcW w:w="582" w:type="pct"/>
            <w:vAlign w:val="center"/>
          </w:tcPr>
          <w:p w14:paraId="148274CB">
            <w:pPr>
              <w:spacing w:line="240" w:lineRule="auto"/>
              <w:ind w:firstLine="0" w:firstLineChars="0"/>
              <w:jc w:val="center"/>
              <w:rPr>
                <w:color w:val="auto"/>
                <w:sz w:val="21"/>
                <w:szCs w:val="21"/>
              </w:rPr>
            </w:pPr>
            <w:r>
              <w:rPr>
                <w:color w:val="auto"/>
                <w:sz w:val="21"/>
                <w:szCs w:val="21"/>
              </w:rPr>
              <w:t>3521363</w:t>
            </w:r>
          </w:p>
        </w:tc>
        <w:tc>
          <w:tcPr>
            <w:tcW w:w="493" w:type="pct"/>
            <w:vMerge w:val="restart"/>
            <w:vAlign w:val="center"/>
          </w:tcPr>
          <w:p w14:paraId="6BC758F3">
            <w:pPr>
              <w:spacing w:line="240" w:lineRule="auto"/>
              <w:ind w:firstLine="0" w:firstLineChars="0"/>
              <w:jc w:val="center"/>
              <w:rPr>
                <w:color w:val="auto"/>
                <w:sz w:val="21"/>
                <w:szCs w:val="21"/>
              </w:rPr>
            </w:pPr>
            <w:r>
              <w:rPr>
                <w:color w:val="auto"/>
                <w:sz w:val="21"/>
                <w:szCs w:val="21"/>
              </w:rPr>
              <w:t>居民</w:t>
            </w:r>
          </w:p>
        </w:tc>
        <w:tc>
          <w:tcPr>
            <w:tcW w:w="672" w:type="pct"/>
            <w:vMerge w:val="restart"/>
            <w:vAlign w:val="center"/>
          </w:tcPr>
          <w:p w14:paraId="59AC4DE0">
            <w:pPr>
              <w:spacing w:line="240" w:lineRule="auto"/>
              <w:ind w:firstLine="0" w:firstLineChars="0"/>
              <w:jc w:val="center"/>
              <w:rPr>
                <w:color w:val="auto"/>
                <w:sz w:val="21"/>
                <w:szCs w:val="21"/>
              </w:rPr>
            </w:pPr>
            <w:r>
              <w:rPr>
                <w:color w:val="auto"/>
                <w:sz w:val="21"/>
                <w:szCs w:val="21"/>
              </w:rPr>
              <w:t>满足相应环境质量标准</w:t>
            </w:r>
          </w:p>
        </w:tc>
        <w:tc>
          <w:tcPr>
            <w:tcW w:w="499" w:type="pct"/>
            <w:vMerge w:val="restart"/>
            <w:vAlign w:val="center"/>
          </w:tcPr>
          <w:p w14:paraId="42345DEC">
            <w:pPr>
              <w:spacing w:line="240" w:lineRule="auto"/>
              <w:ind w:firstLine="0" w:firstLineChars="0"/>
              <w:jc w:val="center"/>
              <w:rPr>
                <w:color w:val="auto"/>
                <w:sz w:val="21"/>
                <w:szCs w:val="21"/>
              </w:rPr>
            </w:pPr>
            <w:r>
              <w:rPr>
                <w:color w:val="auto"/>
                <w:sz w:val="21"/>
                <w:szCs w:val="21"/>
              </w:rPr>
              <w:t>二类区</w:t>
            </w:r>
          </w:p>
        </w:tc>
        <w:tc>
          <w:tcPr>
            <w:tcW w:w="499" w:type="pct"/>
            <w:vAlign w:val="center"/>
          </w:tcPr>
          <w:p w14:paraId="6E03EE83">
            <w:pPr>
              <w:spacing w:line="240" w:lineRule="auto"/>
              <w:ind w:firstLine="0" w:firstLineChars="0"/>
              <w:jc w:val="center"/>
              <w:rPr>
                <w:color w:val="auto"/>
                <w:sz w:val="21"/>
                <w:szCs w:val="21"/>
              </w:rPr>
            </w:pPr>
            <w:r>
              <w:rPr>
                <w:color w:val="auto"/>
                <w:sz w:val="21"/>
                <w:szCs w:val="21"/>
              </w:rPr>
              <w:t>NE</w:t>
            </w:r>
          </w:p>
        </w:tc>
        <w:tc>
          <w:tcPr>
            <w:tcW w:w="695" w:type="pct"/>
            <w:vAlign w:val="center"/>
          </w:tcPr>
          <w:p w14:paraId="27E2183E">
            <w:pPr>
              <w:spacing w:line="240" w:lineRule="auto"/>
              <w:ind w:firstLine="0" w:firstLineChars="0"/>
              <w:jc w:val="center"/>
              <w:rPr>
                <w:color w:val="auto"/>
                <w:sz w:val="21"/>
                <w:szCs w:val="21"/>
              </w:rPr>
            </w:pPr>
            <w:r>
              <w:rPr>
                <w:color w:val="auto"/>
                <w:sz w:val="21"/>
                <w:szCs w:val="21"/>
              </w:rPr>
              <w:t>520</w:t>
            </w:r>
          </w:p>
        </w:tc>
      </w:tr>
      <w:tr w14:paraId="2AFD4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Merge w:val="continue"/>
            <w:vAlign w:val="center"/>
          </w:tcPr>
          <w:p w14:paraId="5F087579">
            <w:pPr>
              <w:spacing w:line="240" w:lineRule="auto"/>
              <w:ind w:firstLine="0" w:firstLineChars="0"/>
              <w:jc w:val="center"/>
              <w:rPr>
                <w:color w:val="auto"/>
                <w:sz w:val="21"/>
                <w:szCs w:val="21"/>
              </w:rPr>
            </w:pPr>
          </w:p>
        </w:tc>
        <w:tc>
          <w:tcPr>
            <w:tcW w:w="688" w:type="pct"/>
            <w:vAlign w:val="center"/>
          </w:tcPr>
          <w:p w14:paraId="628F95AC">
            <w:pPr>
              <w:spacing w:line="240" w:lineRule="auto"/>
              <w:ind w:firstLine="0" w:firstLineChars="0"/>
              <w:jc w:val="center"/>
              <w:rPr>
                <w:color w:val="auto"/>
                <w:sz w:val="21"/>
                <w:szCs w:val="21"/>
              </w:rPr>
            </w:pPr>
            <w:r>
              <w:rPr>
                <w:color w:val="auto"/>
                <w:sz w:val="21"/>
                <w:szCs w:val="21"/>
              </w:rPr>
              <w:t>富民村</w:t>
            </w:r>
          </w:p>
        </w:tc>
        <w:tc>
          <w:tcPr>
            <w:tcW w:w="581" w:type="pct"/>
            <w:vAlign w:val="center"/>
          </w:tcPr>
          <w:p w14:paraId="396DC4D9">
            <w:pPr>
              <w:spacing w:line="240" w:lineRule="auto"/>
              <w:ind w:firstLine="0" w:firstLineChars="0"/>
              <w:jc w:val="center"/>
              <w:rPr>
                <w:color w:val="auto"/>
                <w:sz w:val="21"/>
                <w:szCs w:val="21"/>
              </w:rPr>
            </w:pPr>
            <w:r>
              <w:rPr>
                <w:color w:val="auto"/>
                <w:sz w:val="21"/>
                <w:szCs w:val="21"/>
              </w:rPr>
              <w:t>357500</w:t>
            </w:r>
          </w:p>
        </w:tc>
        <w:tc>
          <w:tcPr>
            <w:tcW w:w="582" w:type="pct"/>
            <w:vAlign w:val="center"/>
          </w:tcPr>
          <w:p w14:paraId="432578BF">
            <w:pPr>
              <w:spacing w:line="240" w:lineRule="auto"/>
              <w:ind w:firstLine="0" w:firstLineChars="0"/>
              <w:jc w:val="center"/>
              <w:rPr>
                <w:color w:val="auto"/>
                <w:sz w:val="21"/>
                <w:szCs w:val="21"/>
              </w:rPr>
            </w:pPr>
            <w:r>
              <w:rPr>
                <w:color w:val="auto"/>
                <w:sz w:val="21"/>
                <w:szCs w:val="21"/>
              </w:rPr>
              <w:t>3521829</w:t>
            </w:r>
          </w:p>
        </w:tc>
        <w:tc>
          <w:tcPr>
            <w:tcW w:w="493" w:type="pct"/>
            <w:vMerge w:val="continue"/>
            <w:vAlign w:val="center"/>
          </w:tcPr>
          <w:p w14:paraId="0F960EE8">
            <w:pPr>
              <w:spacing w:line="240" w:lineRule="auto"/>
              <w:ind w:firstLine="0" w:firstLineChars="0"/>
              <w:jc w:val="center"/>
              <w:rPr>
                <w:color w:val="auto"/>
                <w:sz w:val="21"/>
                <w:szCs w:val="21"/>
              </w:rPr>
            </w:pPr>
          </w:p>
        </w:tc>
        <w:tc>
          <w:tcPr>
            <w:tcW w:w="672" w:type="pct"/>
            <w:vMerge w:val="continue"/>
            <w:vAlign w:val="center"/>
          </w:tcPr>
          <w:p w14:paraId="0AC693C1">
            <w:pPr>
              <w:spacing w:line="240" w:lineRule="auto"/>
              <w:ind w:firstLine="0" w:firstLineChars="0"/>
              <w:jc w:val="center"/>
              <w:rPr>
                <w:color w:val="auto"/>
                <w:sz w:val="21"/>
                <w:szCs w:val="21"/>
              </w:rPr>
            </w:pPr>
          </w:p>
        </w:tc>
        <w:tc>
          <w:tcPr>
            <w:tcW w:w="499" w:type="pct"/>
            <w:vMerge w:val="continue"/>
            <w:vAlign w:val="center"/>
          </w:tcPr>
          <w:p w14:paraId="7F1F12CC">
            <w:pPr>
              <w:spacing w:line="240" w:lineRule="auto"/>
              <w:ind w:firstLine="0" w:firstLineChars="0"/>
              <w:jc w:val="center"/>
              <w:rPr>
                <w:color w:val="auto"/>
                <w:sz w:val="21"/>
                <w:szCs w:val="21"/>
              </w:rPr>
            </w:pPr>
          </w:p>
        </w:tc>
        <w:tc>
          <w:tcPr>
            <w:tcW w:w="499" w:type="pct"/>
            <w:vAlign w:val="center"/>
          </w:tcPr>
          <w:p w14:paraId="66212B72">
            <w:pPr>
              <w:spacing w:line="240" w:lineRule="auto"/>
              <w:ind w:firstLine="0" w:firstLineChars="0"/>
              <w:jc w:val="center"/>
              <w:rPr>
                <w:color w:val="auto"/>
                <w:sz w:val="21"/>
                <w:szCs w:val="21"/>
              </w:rPr>
            </w:pPr>
            <w:r>
              <w:rPr>
                <w:color w:val="auto"/>
                <w:sz w:val="21"/>
                <w:szCs w:val="21"/>
              </w:rPr>
              <w:t>N</w:t>
            </w:r>
          </w:p>
        </w:tc>
        <w:tc>
          <w:tcPr>
            <w:tcW w:w="695" w:type="pct"/>
            <w:vAlign w:val="center"/>
          </w:tcPr>
          <w:p w14:paraId="218CA0B0">
            <w:pPr>
              <w:spacing w:line="240" w:lineRule="auto"/>
              <w:ind w:firstLine="0" w:firstLineChars="0"/>
              <w:jc w:val="center"/>
              <w:rPr>
                <w:color w:val="auto"/>
                <w:sz w:val="21"/>
                <w:szCs w:val="21"/>
              </w:rPr>
            </w:pPr>
            <w:r>
              <w:rPr>
                <w:color w:val="auto"/>
                <w:sz w:val="21"/>
                <w:szCs w:val="21"/>
              </w:rPr>
              <w:t>600</w:t>
            </w:r>
          </w:p>
        </w:tc>
      </w:tr>
      <w:tr w14:paraId="0A91C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Merge w:val="continue"/>
            <w:vAlign w:val="center"/>
          </w:tcPr>
          <w:p w14:paraId="515EFC03">
            <w:pPr>
              <w:spacing w:line="240" w:lineRule="auto"/>
              <w:ind w:firstLine="0" w:firstLineChars="0"/>
              <w:jc w:val="center"/>
              <w:rPr>
                <w:color w:val="auto"/>
                <w:sz w:val="21"/>
                <w:szCs w:val="21"/>
              </w:rPr>
            </w:pPr>
          </w:p>
        </w:tc>
        <w:tc>
          <w:tcPr>
            <w:tcW w:w="688" w:type="pct"/>
            <w:vAlign w:val="center"/>
          </w:tcPr>
          <w:p w14:paraId="43F6DCC0">
            <w:pPr>
              <w:spacing w:line="240" w:lineRule="auto"/>
              <w:ind w:firstLine="0" w:firstLineChars="0"/>
              <w:jc w:val="center"/>
              <w:rPr>
                <w:color w:val="auto"/>
                <w:sz w:val="21"/>
                <w:szCs w:val="21"/>
              </w:rPr>
            </w:pPr>
            <w:r>
              <w:rPr>
                <w:color w:val="auto"/>
                <w:sz w:val="21"/>
                <w:szCs w:val="21"/>
              </w:rPr>
              <w:t>三和村</w:t>
            </w:r>
          </w:p>
        </w:tc>
        <w:tc>
          <w:tcPr>
            <w:tcW w:w="581" w:type="pct"/>
            <w:vAlign w:val="center"/>
          </w:tcPr>
          <w:p w14:paraId="707F8D89">
            <w:pPr>
              <w:spacing w:line="240" w:lineRule="auto"/>
              <w:ind w:firstLine="0" w:firstLineChars="0"/>
              <w:jc w:val="center"/>
              <w:rPr>
                <w:color w:val="auto"/>
                <w:sz w:val="21"/>
                <w:szCs w:val="21"/>
              </w:rPr>
            </w:pPr>
            <w:r>
              <w:rPr>
                <w:color w:val="auto"/>
                <w:sz w:val="21"/>
                <w:szCs w:val="21"/>
              </w:rPr>
              <w:t>359115</w:t>
            </w:r>
          </w:p>
        </w:tc>
        <w:tc>
          <w:tcPr>
            <w:tcW w:w="582" w:type="pct"/>
            <w:vAlign w:val="center"/>
          </w:tcPr>
          <w:p w14:paraId="6865AE2A">
            <w:pPr>
              <w:spacing w:line="240" w:lineRule="auto"/>
              <w:ind w:firstLine="0" w:firstLineChars="0"/>
              <w:jc w:val="center"/>
              <w:rPr>
                <w:color w:val="auto"/>
                <w:sz w:val="21"/>
                <w:szCs w:val="21"/>
              </w:rPr>
            </w:pPr>
            <w:r>
              <w:rPr>
                <w:color w:val="auto"/>
                <w:sz w:val="21"/>
                <w:szCs w:val="21"/>
              </w:rPr>
              <w:t>3520261</w:t>
            </w:r>
          </w:p>
        </w:tc>
        <w:tc>
          <w:tcPr>
            <w:tcW w:w="493" w:type="pct"/>
            <w:vMerge w:val="continue"/>
            <w:vAlign w:val="center"/>
          </w:tcPr>
          <w:p w14:paraId="1FD76298">
            <w:pPr>
              <w:spacing w:line="240" w:lineRule="auto"/>
              <w:ind w:firstLine="0" w:firstLineChars="0"/>
              <w:jc w:val="center"/>
              <w:rPr>
                <w:color w:val="auto"/>
                <w:sz w:val="21"/>
                <w:szCs w:val="21"/>
              </w:rPr>
            </w:pPr>
          </w:p>
        </w:tc>
        <w:tc>
          <w:tcPr>
            <w:tcW w:w="672" w:type="pct"/>
            <w:vMerge w:val="continue"/>
            <w:vAlign w:val="center"/>
          </w:tcPr>
          <w:p w14:paraId="24EE12D3">
            <w:pPr>
              <w:spacing w:line="240" w:lineRule="auto"/>
              <w:ind w:firstLine="0" w:firstLineChars="0"/>
              <w:jc w:val="center"/>
              <w:rPr>
                <w:color w:val="auto"/>
                <w:sz w:val="21"/>
                <w:szCs w:val="21"/>
              </w:rPr>
            </w:pPr>
          </w:p>
        </w:tc>
        <w:tc>
          <w:tcPr>
            <w:tcW w:w="499" w:type="pct"/>
            <w:vMerge w:val="continue"/>
            <w:vAlign w:val="center"/>
          </w:tcPr>
          <w:p w14:paraId="5C54E591">
            <w:pPr>
              <w:spacing w:line="240" w:lineRule="auto"/>
              <w:ind w:firstLine="0" w:firstLineChars="0"/>
              <w:jc w:val="center"/>
              <w:rPr>
                <w:color w:val="auto"/>
                <w:sz w:val="21"/>
                <w:szCs w:val="21"/>
              </w:rPr>
            </w:pPr>
          </w:p>
        </w:tc>
        <w:tc>
          <w:tcPr>
            <w:tcW w:w="499" w:type="pct"/>
            <w:vAlign w:val="center"/>
          </w:tcPr>
          <w:p w14:paraId="3FF7DF5E">
            <w:pPr>
              <w:spacing w:line="240" w:lineRule="auto"/>
              <w:ind w:firstLine="0" w:firstLineChars="0"/>
              <w:jc w:val="center"/>
              <w:rPr>
                <w:color w:val="auto"/>
                <w:sz w:val="21"/>
                <w:szCs w:val="21"/>
              </w:rPr>
            </w:pPr>
            <w:r>
              <w:rPr>
                <w:color w:val="auto"/>
                <w:sz w:val="21"/>
                <w:szCs w:val="21"/>
              </w:rPr>
              <w:t>E</w:t>
            </w:r>
          </w:p>
        </w:tc>
        <w:tc>
          <w:tcPr>
            <w:tcW w:w="695" w:type="pct"/>
            <w:vAlign w:val="center"/>
          </w:tcPr>
          <w:p w14:paraId="2340DE02">
            <w:pPr>
              <w:spacing w:line="240" w:lineRule="auto"/>
              <w:ind w:firstLine="0" w:firstLineChars="0"/>
              <w:jc w:val="center"/>
              <w:rPr>
                <w:color w:val="auto"/>
                <w:sz w:val="21"/>
                <w:szCs w:val="21"/>
              </w:rPr>
            </w:pPr>
            <w:r>
              <w:rPr>
                <w:color w:val="auto"/>
                <w:sz w:val="21"/>
                <w:szCs w:val="21"/>
              </w:rPr>
              <w:t>1160</w:t>
            </w:r>
          </w:p>
        </w:tc>
      </w:tr>
      <w:tr w14:paraId="0A49F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Merge w:val="continue"/>
            <w:vAlign w:val="center"/>
          </w:tcPr>
          <w:p w14:paraId="15F74D23">
            <w:pPr>
              <w:spacing w:line="240" w:lineRule="auto"/>
              <w:ind w:firstLine="0" w:firstLineChars="0"/>
              <w:jc w:val="center"/>
              <w:rPr>
                <w:color w:val="auto"/>
                <w:sz w:val="21"/>
                <w:szCs w:val="21"/>
              </w:rPr>
            </w:pPr>
          </w:p>
        </w:tc>
        <w:tc>
          <w:tcPr>
            <w:tcW w:w="688" w:type="pct"/>
            <w:vAlign w:val="center"/>
          </w:tcPr>
          <w:p w14:paraId="4B56E9C4">
            <w:pPr>
              <w:spacing w:line="240" w:lineRule="auto"/>
              <w:ind w:firstLine="0" w:firstLineChars="0"/>
              <w:jc w:val="center"/>
              <w:rPr>
                <w:color w:val="auto"/>
                <w:sz w:val="21"/>
                <w:szCs w:val="21"/>
              </w:rPr>
            </w:pPr>
            <w:r>
              <w:rPr>
                <w:color w:val="auto"/>
                <w:sz w:val="21"/>
                <w:szCs w:val="21"/>
              </w:rPr>
              <w:t>灯杆村</w:t>
            </w:r>
          </w:p>
        </w:tc>
        <w:tc>
          <w:tcPr>
            <w:tcW w:w="581" w:type="pct"/>
            <w:vAlign w:val="center"/>
          </w:tcPr>
          <w:p w14:paraId="6052EAEE">
            <w:pPr>
              <w:spacing w:line="240" w:lineRule="auto"/>
              <w:ind w:firstLine="0" w:firstLineChars="0"/>
              <w:jc w:val="center"/>
              <w:rPr>
                <w:color w:val="auto"/>
                <w:sz w:val="21"/>
                <w:szCs w:val="21"/>
              </w:rPr>
            </w:pPr>
            <w:r>
              <w:rPr>
                <w:color w:val="auto"/>
                <w:sz w:val="21"/>
                <w:szCs w:val="21"/>
              </w:rPr>
              <w:t>356217</w:t>
            </w:r>
          </w:p>
        </w:tc>
        <w:tc>
          <w:tcPr>
            <w:tcW w:w="582" w:type="pct"/>
            <w:vAlign w:val="center"/>
          </w:tcPr>
          <w:p w14:paraId="680B876C">
            <w:pPr>
              <w:spacing w:line="240" w:lineRule="auto"/>
              <w:ind w:firstLine="0" w:firstLineChars="0"/>
              <w:jc w:val="center"/>
              <w:rPr>
                <w:color w:val="auto"/>
                <w:sz w:val="21"/>
                <w:szCs w:val="21"/>
              </w:rPr>
            </w:pPr>
            <w:r>
              <w:rPr>
                <w:color w:val="auto"/>
                <w:sz w:val="21"/>
                <w:szCs w:val="21"/>
              </w:rPr>
              <w:t>3523231</w:t>
            </w:r>
          </w:p>
        </w:tc>
        <w:tc>
          <w:tcPr>
            <w:tcW w:w="493" w:type="pct"/>
            <w:vMerge w:val="continue"/>
            <w:vAlign w:val="center"/>
          </w:tcPr>
          <w:p w14:paraId="1D5727B5">
            <w:pPr>
              <w:spacing w:line="240" w:lineRule="auto"/>
              <w:ind w:firstLine="0" w:firstLineChars="0"/>
              <w:jc w:val="center"/>
              <w:rPr>
                <w:color w:val="auto"/>
                <w:sz w:val="21"/>
                <w:szCs w:val="21"/>
              </w:rPr>
            </w:pPr>
          </w:p>
        </w:tc>
        <w:tc>
          <w:tcPr>
            <w:tcW w:w="672" w:type="pct"/>
            <w:vMerge w:val="continue"/>
            <w:vAlign w:val="center"/>
          </w:tcPr>
          <w:p w14:paraId="339B0CB1">
            <w:pPr>
              <w:spacing w:line="240" w:lineRule="auto"/>
              <w:ind w:firstLine="0" w:firstLineChars="0"/>
              <w:jc w:val="center"/>
              <w:rPr>
                <w:color w:val="auto"/>
                <w:sz w:val="21"/>
                <w:szCs w:val="21"/>
              </w:rPr>
            </w:pPr>
          </w:p>
        </w:tc>
        <w:tc>
          <w:tcPr>
            <w:tcW w:w="499" w:type="pct"/>
            <w:vMerge w:val="continue"/>
            <w:vAlign w:val="center"/>
          </w:tcPr>
          <w:p w14:paraId="5E42B625">
            <w:pPr>
              <w:spacing w:line="240" w:lineRule="auto"/>
              <w:ind w:firstLine="0" w:firstLineChars="0"/>
              <w:jc w:val="center"/>
              <w:rPr>
                <w:color w:val="auto"/>
                <w:sz w:val="21"/>
                <w:szCs w:val="21"/>
              </w:rPr>
            </w:pPr>
          </w:p>
        </w:tc>
        <w:tc>
          <w:tcPr>
            <w:tcW w:w="499" w:type="pct"/>
            <w:vAlign w:val="center"/>
          </w:tcPr>
          <w:p w14:paraId="40528D19">
            <w:pPr>
              <w:spacing w:line="240" w:lineRule="auto"/>
              <w:ind w:firstLine="0" w:firstLineChars="0"/>
              <w:jc w:val="center"/>
              <w:rPr>
                <w:color w:val="auto"/>
                <w:sz w:val="21"/>
                <w:szCs w:val="21"/>
              </w:rPr>
            </w:pPr>
            <w:r>
              <w:rPr>
                <w:color w:val="auto"/>
                <w:sz w:val="21"/>
                <w:szCs w:val="21"/>
              </w:rPr>
              <w:t>NW</w:t>
            </w:r>
          </w:p>
        </w:tc>
        <w:tc>
          <w:tcPr>
            <w:tcW w:w="695" w:type="pct"/>
            <w:vAlign w:val="center"/>
          </w:tcPr>
          <w:p w14:paraId="39FBC1E3">
            <w:pPr>
              <w:spacing w:line="240" w:lineRule="auto"/>
              <w:ind w:firstLine="0" w:firstLineChars="0"/>
              <w:jc w:val="center"/>
              <w:rPr>
                <w:color w:val="auto"/>
                <w:sz w:val="21"/>
                <w:szCs w:val="21"/>
              </w:rPr>
            </w:pPr>
            <w:r>
              <w:rPr>
                <w:color w:val="auto"/>
                <w:sz w:val="21"/>
                <w:szCs w:val="21"/>
              </w:rPr>
              <w:t>1700</w:t>
            </w:r>
          </w:p>
        </w:tc>
      </w:tr>
      <w:tr w14:paraId="31367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Merge w:val="continue"/>
            <w:vAlign w:val="center"/>
          </w:tcPr>
          <w:p w14:paraId="52BF1691">
            <w:pPr>
              <w:spacing w:line="240" w:lineRule="auto"/>
              <w:ind w:firstLine="0" w:firstLineChars="0"/>
              <w:jc w:val="center"/>
              <w:rPr>
                <w:color w:val="auto"/>
                <w:sz w:val="21"/>
                <w:szCs w:val="21"/>
              </w:rPr>
            </w:pPr>
          </w:p>
        </w:tc>
        <w:tc>
          <w:tcPr>
            <w:tcW w:w="688" w:type="pct"/>
            <w:vAlign w:val="center"/>
          </w:tcPr>
          <w:p w14:paraId="07D1A9D2">
            <w:pPr>
              <w:spacing w:line="240" w:lineRule="auto"/>
              <w:ind w:firstLine="0" w:firstLineChars="0"/>
              <w:jc w:val="center"/>
              <w:rPr>
                <w:color w:val="auto"/>
                <w:sz w:val="21"/>
                <w:szCs w:val="21"/>
              </w:rPr>
            </w:pPr>
            <w:r>
              <w:rPr>
                <w:color w:val="auto"/>
                <w:sz w:val="21"/>
                <w:szCs w:val="21"/>
              </w:rPr>
              <w:t>光卫村</w:t>
            </w:r>
          </w:p>
        </w:tc>
        <w:tc>
          <w:tcPr>
            <w:tcW w:w="581" w:type="pct"/>
            <w:vAlign w:val="center"/>
          </w:tcPr>
          <w:p w14:paraId="116C9B68">
            <w:pPr>
              <w:spacing w:line="240" w:lineRule="auto"/>
              <w:ind w:firstLine="0" w:firstLineChars="0"/>
              <w:jc w:val="center"/>
              <w:rPr>
                <w:color w:val="auto"/>
                <w:sz w:val="21"/>
                <w:szCs w:val="21"/>
              </w:rPr>
            </w:pPr>
            <w:r>
              <w:rPr>
                <w:color w:val="auto"/>
                <w:sz w:val="21"/>
                <w:szCs w:val="21"/>
              </w:rPr>
              <w:t>358532</w:t>
            </w:r>
          </w:p>
        </w:tc>
        <w:tc>
          <w:tcPr>
            <w:tcW w:w="582" w:type="pct"/>
            <w:vAlign w:val="center"/>
          </w:tcPr>
          <w:p w14:paraId="0E92AE84">
            <w:pPr>
              <w:spacing w:line="240" w:lineRule="auto"/>
              <w:ind w:firstLine="0" w:firstLineChars="0"/>
              <w:jc w:val="center"/>
              <w:rPr>
                <w:color w:val="auto"/>
                <w:sz w:val="21"/>
                <w:szCs w:val="21"/>
              </w:rPr>
            </w:pPr>
            <w:r>
              <w:rPr>
                <w:color w:val="auto"/>
                <w:sz w:val="21"/>
                <w:szCs w:val="21"/>
              </w:rPr>
              <w:t>3523333</w:t>
            </w:r>
          </w:p>
        </w:tc>
        <w:tc>
          <w:tcPr>
            <w:tcW w:w="493" w:type="pct"/>
            <w:vMerge w:val="continue"/>
            <w:vAlign w:val="center"/>
          </w:tcPr>
          <w:p w14:paraId="2C3DA73D">
            <w:pPr>
              <w:spacing w:line="240" w:lineRule="auto"/>
              <w:ind w:firstLine="0" w:firstLineChars="0"/>
              <w:jc w:val="center"/>
              <w:rPr>
                <w:color w:val="auto"/>
                <w:sz w:val="21"/>
                <w:szCs w:val="21"/>
              </w:rPr>
            </w:pPr>
          </w:p>
        </w:tc>
        <w:tc>
          <w:tcPr>
            <w:tcW w:w="672" w:type="pct"/>
            <w:vMerge w:val="continue"/>
            <w:vAlign w:val="center"/>
          </w:tcPr>
          <w:p w14:paraId="5445AC38">
            <w:pPr>
              <w:spacing w:line="240" w:lineRule="auto"/>
              <w:ind w:firstLine="0" w:firstLineChars="0"/>
              <w:jc w:val="center"/>
              <w:rPr>
                <w:color w:val="auto"/>
                <w:sz w:val="21"/>
                <w:szCs w:val="21"/>
              </w:rPr>
            </w:pPr>
          </w:p>
        </w:tc>
        <w:tc>
          <w:tcPr>
            <w:tcW w:w="499" w:type="pct"/>
            <w:vMerge w:val="continue"/>
            <w:vAlign w:val="center"/>
          </w:tcPr>
          <w:p w14:paraId="0FECD11D">
            <w:pPr>
              <w:spacing w:line="240" w:lineRule="auto"/>
              <w:ind w:firstLine="0" w:firstLineChars="0"/>
              <w:jc w:val="center"/>
              <w:rPr>
                <w:color w:val="auto"/>
                <w:sz w:val="21"/>
                <w:szCs w:val="21"/>
              </w:rPr>
            </w:pPr>
          </w:p>
        </w:tc>
        <w:tc>
          <w:tcPr>
            <w:tcW w:w="499" w:type="pct"/>
            <w:vAlign w:val="center"/>
          </w:tcPr>
          <w:p w14:paraId="0B1F072D">
            <w:pPr>
              <w:spacing w:line="240" w:lineRule="auto"/>
              <w:ind w:firstLine="0" w:firstLineChars="0"/>
              <w:jc w:val="center"/>
              <w:rPr>
                <w:color w:val="auto"/>
                <w:sz w:val="21"/>
                <w:szCs w:val="21"/>
              </w:rPr>
            </w:pPr>
            <w:r>
              <w:rPr>
                <w:color w:val="auto"/>
                <w:sz w:val="21"/>
                <w:szCs w:val="21"/>
              </w:rPr>
              <w:t>NE</w:t>
            </w:r>
          </w:p>
        </w:tc>
        <w:tc>
          <w:tcPr>
            <w:tcW w:w="695" w:type="pct"/>
            <w:vAlign w:val="center"/>
          </w:tcPr>
          <w:p w14:paraId="40630152">
            <w:pPr>
              <w:spacing w:line="240" w:lineRule="auto"/>
              <w:ind w:firstLine="0" w:firstLineChars="0"/>
              <w:jc w:val="center"/>
              <w:rPr>
                <w:color w:val="auto"/>
                <w:sz w:val="21"/>
                <w:szCs w:val="21"/>
              </w:rPr>
            </w:pPr>
            <w:r>
              <w:rPr>
                <w:color w:val="auto"/>
                <w:sz w:val="21"/>
                <w:szCs w:val="21"/>
              </w:rPr>
              <w:t>1800</w:t>
            </w:r>
          </w:p>
        </w:tc>
      </w:tr>
      <w:tr w14:paraId="1278A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Merge w:val="continue"/>
            <w:vAlign w:val="center"/>
          </w:tcPr>
          <w:p w14:paraId="1122A6FC">
            <w:pPr>
              <w:spacing w:line="240" w:lineRule="auto"/>
              <w:ind w:firstLine="0" w:firstLineChars="0"/>
              <w:jc w:val="center"/>
              <w:rPr>
                <w:color w:val="auto"/>
                <w:sz w:val="21"/>
                <w:szCs w:val="21"/>
              </w:rPr>
            </w:pPr>
          </w:p>
        </w:tc>
        <w:tc>
          <w:tcPr>
            <w:tcW w:w="688" w:type="pct"/>
            <w:vAlign w:val="center"/>
          </w:tcPr>
          <w:p w14:paraId="796CCFE2">
            <w:pPr>
              <w:spacing w:line="240" w:lineRule="auto"/>
              <w:ind w:firstLine="0" w:firstLineChars="0"/>
              <w:jc w:val="center"/>
              <w:rPr>
                <w:color w:val="auto"/>
                <w:sz w:val="21"/>
                <w:szCs w:val="21"/>
              </w:rPr>
            </w:pPr>
            <w:r>
              <w:rPr>
                <w:color w:val="auto"/>
                <w:sz w:val="21"/>
                <w:szCs w:val="21"/>
              </w:rPr>
              <w:t>建西村</w:t>
            </w:r>
          </w:p>
        </w:tc>
        <w:tc>
          <w:tcPr>
            <w:tcW w:w="581" w:type="pct"/>
            <w:vAlign w:val="center"/>
          </w:tcPr>
          <w:p w14:paraId="5E701619">
            <w:pPr>
              <w:spacing w:line="240" w:lineRule="auto"/>
              <w:ind w:firstLine="0" w:firstLineChars="0"/>
              <w:jc w:val="center"/>
              <w:rPr>
                <w:color w:val="auto"/>
                <w:sz w:val="21"/>
                <w:szCs w:val="21"/>
              </w:rPr>
            </w:pPr>
            <w:r>
              <w:rPr>
                <w:color w:val="auto"/>
                <w:sz w:val="21"/>
                <w:szCs w:val="21"/>
              </w:rPr>
              <w:t>359390</w:t>
            </w:r>
          </w:p>
        </w:tc>
        <w:tc>
          <w:tcPr>
            <w:tcW w:w="582" w:type="pct"/>
            <w:vAlign w:val="center"/>
          </w:tcPr>
          <w:p w14:paraId="0D0CA6CF">
            <w:pPr>
              <w:spacing w:line="240" w:lineRule="auto"/>
              <w:ind w:firstLine="0" w:firstLineChars="0"/>
              <w:jc w:val="center"/>
              <w:rPr>
                <w:color w:val="auto"/>
                <w:sz w:val="21"/>
                <w:szCs w:val="21"/>
              </w:rPr>
            </w:pPr>
            <w:r>
              <w:rPr>
                <w:color w:val="auto"/>
                <w:sz w:val="21"/>
                <w:szCs w:val="21"/>
              </w:rPr>
              <w:t>3522579</w:t>
            </w:r>
          </w:p>
        </w:tc>
        <w:tc>
          <w:tcPr>
            <w:tcW w:w="493" w:type="pct"/>
            <w:vMerge w:val="continue"/>
            <w:vAlign w:val="center"/>
          </w:tcPr>
          <w:p w14:paraId="396811FD">
            <w:pPr>
              <w:spacing w:line="240" w:lineRule="auto"/>
              <w:ind w:firstLine="0" w:firstLineChars="0"/>
              <w:jc w:val="center"/>
              <w:rPr>
                <w:color w:val="auto"/>
                <w:sz w:val="21"/>
                <w:szCs w:val="21"/>
              </w:rPr>
            </w:pPr>
          </w:p>
        </w:tc>
        <w:tc>
          <w:tcPr>
            <w:tcW w:w="672" w:type="pct"/>
            <w:vMerge w:val="continue"/>
            <w:vAlign w:val="center"/>
          </w:tcPr>
          <w:p w14:paraId="6886F8FD">
            <w:pPr>
              <w:spacing w:line="240" w:lineRule="auto"/>
              <w:ind w:firstLine="0" w:firstLineChars="0"/>
              <w:jc w:val="center"/>
              <w:rPr>
                <w:color w:val="auto"/>
                <w:sz w:val="21"/>
                <w:szCs w:val="21"/>
              </w:rPr>
            </w:pPr>
          </w:p>
        </w:tc>
        <w:tc>
          <w:tcPr>
            <w:tcW w:w="499" w:type="pct"/>
            <w:vMerge w:val="continue"/>
            <w:vAlign w:val="center"/>
          </w:tcPr>
          <w:p w14:paraId="1D0AF933">
            <w:pPr>
              <w:spacing w:line="240" w:lineRule="auto"/>
              <w:ind w:firstLine="0" w:firstLineChars="0"/>
              <w:jc w:val="center"/>
              <w:rPr>
                <w:color w:val="auto"/>
                <w:sz w:val="21"/>
                <w:szCs w:val="21"/>
              </w:rPr>
            </w:pPr>
          </w:p>
        </w:tc>
        <w:tc>
          <w:tcPr>
            <w:tcW w:w="499" w:type="pct"/>
            <w:vAlign w:val="center"/>
          </w:tcPr>
          <w:p w14:paraId="4906D399">
            <w:pPr>
              <w:spacing w:line="240" w:lineRule="auto"/>
              <w:ind w:firstLine="0" w:firstLineChars="0"/>
              <w:jc w:val="center"/>
              <w:rPr>
                <w:color w:val="auto"/>
                <w:sz w:val="21"/>
                <w:szCs w:val="21"/>
              </w:rPr>
            </w:pPr>
            <w:r>
              <w:rPr>
                <w:color w:val="auto"/>
                <w:sz w:val="21"/>
                <w:szCs w:val="21"/>
              </w:rPr>
              <w:t>NE</w:t>
            </w:r>
          </w:p>
        </w:tc>
        <w:tc>
          <w:tcPr>
            <w:tcW w:w="695" w:type="pct"/>
            <w:vAlign w:val="center"/>
          </w:tcPr>
          <w:p w14:paraId="25F065A8">
            <w:pPr>
              <w:spacing w:line="240" w:lineRule="auto"/>
              <w:ind w:firstLine="0" w:firstLineChars="0"/>
              <w:jc w:val="center"/>
              <w:rPr>
                <w:color w:val="auto"/>
                <w:sz w:val="21"/>
                <w:szCs w:val="21"/>
              </w:rPr>
            </w:pPr>
            <w:r>
              <w:rPr>
                <w:color w:val="auto"/>
                <w:sz w:val="21"/>
                <w:szCs w:val="21"/>
              </w:rPr>
              <w:t>2100</w:t>
            </w:r>
          </w:p>
        </w:tc>
      </w:tr>
    </w:tbl>
    <w:p w14:paraId="39869677">
      <w:pPr>
        <w:pStyle w:val="49"/>
        <w:rPr>
          <w:color w:val="auto"/>
        </w:rPr>
      </w:pPr>
      <w:r>
        <w:rPr>
          <w:color w:val="auto"/>
        </w:rPr>
        <w:t>表2.</w:t>
      </w:r>
      <w:r>
        <w:rPr>
          <w:rFonts w:hint="eastAsia"/>
          <w:color w:val="auto"/>
        </w:rPr>
        <w:t>3-24</w:t>
      </w:r>
      <w:r>
        <w:rPr>
          <w:color w:val="auto"/>
        </w:rPr>
        <w:t xml:space="preserve">  地表水环境保护目标情况表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652"/>
        <w:gridCol w:w="1931"/>
        <w:gridCol w:w="2228"/>
        <w:gridCol w:w="2827"/>
      </w:tblGrid>
      <w:tr w14:paraId="39223BF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tblHeader/>
          <w:jc w:val="center"/>
        </w:trPr>
        <w:tc>
          <w:tcPr>
            <w:tcW w:w="1376" w:type="pct"/>
            <w:vAlign w:val="center"/>
          </w:tcPr>
          <w:p w14:paraId="7B471BFC">
            <w:pPr>
              <w:spacing w:line="240" w:lineRule="auto"/>
              <w:ind w:firstLine="0" w:firstLineChars="0"/>
              <w:jc w:val="center"/>
              <w:rPr>
                <w:b/>
                <w:bCs/>
                <w:color w:val="auto"/>
                <w:sz w:val="21"/>
                <w:szCs w:val="21"/>
              </w:rPr>
            </w:pPr>
            <w:r>
              <w:rPr>
                <w:b/>
                <w:bCs/>
                <w:color w:val="auto"/>
                <w:sz w:val="21"/>
                <w:szCs w:val="21"/>
              </w:rPr>
              <w:t>名称</w:t>
            </w:r>
          </w:p>
        </w:tc>
        <w:tc>
          <w:tcPr>
            <w:tcW w:w="1002" w:type="pct"/>
            <w:vAlign w:val="center"/>
          </w:tcPr>
          <w:p w14:paraId="72097AB2">
            <w:pPr>
              <w:spacing w:line="240" w:lineRule="auto"/>
              <w:ind w:firstLine="0" w:firstLineChars="0"/>
              <w:jc w:val="center"/>
              <w:rPr>
                <w:b/>
                <w:bCs/>
                <w:color w:val="auto"/>
                <w:sz w:val="21"/>
                <w:szCs w:val="21"/>
              </w:rPr>
            </w:pPr>
            <w:r>
              <w:rPr>
                <w:b/>
                <w:bCs/>
                <w:color w:val="auto"/>
                <w:sz w:val="21"/>
                <w:szCs w:val="21"/>
              </w:rPr>
              <w:t>保护对象</w:t>
            </w:r>
          </w:p>
        </w:tc>
        <w:tc>
          <w:tcPr>
            <w:tcW w:w="1156" w:type="pct"/>
            <w:vAlign w:val="center"/>
          </w:tcPr>
          <w:p w14:paraId="70B4EB15">
            <w:pPr>
              <w:spacing w:line="240" w:lineRule="auto"/>
              <w:ind w:firstLine="0" w:firstLineChars="0"/>
              <w:jc w:val="center"/>
              <w:rPr>
                <w:b/>
                <w:bCs/>
                <w:color w:val="auto"/>
                <w:sz w:val="21"/>
                <w:szCs w:val="21"/>
              </w:rPr>
            </w:pPr>
            <w:r>
              <w:rPr>
                <w:b/>
                <w:bCs/>
                <w:color w:val="auto"/>
                <w:sz w:val="21"/>
                <w:szCs w:val="21"/>
              </w:rPr>
              <w:t>保护内容</w:t>
            </w:r>
          </w:p>
        </w:tc>
        <w:tc>
          <w:tcPr>
            <w:tcW w:w="1466" w:type="pct"/>
            <w:vAlign w:val="center"/>
          </w:tcPr>
          <w:p w14:paraId="67AB7E89">
            <w:pPr>
              <w:spacing w:line="240" w:lineRule="auto"/>
              <w:ind w:firstLine="0" w:firstLineChars="0"/>
              <w:jc w:val="center"/>
              <w:rPr>
                <w:b/>
                <w:bCs/>
                <w:color w:val="auto"/>
                <w:sz w:val="21"/>
                <w:szCs w:val="21"/>
              </w:rPr>
            </w:pPr>
            <w:r>
              <w:rPr>
                <w:b/>
                <w:bCs/>
                <w:color w:val="auto"/>
                <w:sz w:val="21"/>
                <w:szCs w:val="21"/>
              </w:rPr>
              <w:t>相对厂址方位、距离(m)</w:t>
            </w:r>
          </w:p>
        </w:tc>
      </w:tr>
      <w:tr w14:paraId="3A06B0D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376" w:type="pct"/>
            <w:vAlign w:val="center"/>
          </w:tcPr>
          <w:p w14:paraId="71643A2A">
            <w:pPr>
              <w:spacing w:line="240" w:lineRule="auto"/>
              <w:ind w:firstLine="0" w:firstLineChars="0"/>
              <w:jc w:val="center"/>
              <w:rPr>
                <w:color w:val="auto"/>
                <w:sz w:val="21"/>
                <w:szCs w:val="21"/>
              </w:rPr>
            </w:pPr>
            <w:r>
              <w:rPr>
                <w:color w:val="auto"/>
                <w:sz w:val="21"/>
                <w:szCs w:val="21"/>
              </w:rPr>
              <w:t>长江启东段</w:t>
            </w:r>
          </w:p>
        </w:tc>
        <w:tc>
          <w:tcPr>
            <w:tcW w:w="1002" w:type="pct"/>
            <w:vAlign w:val="center"/>
          </w:tcPr>
          <w:p w14:paraId="2D18549F">
            <w:pPr>
              <w:spacing w:line="240" w:lineRule="auto"/>
              <w:ind w:firstLine="0" w:firstLineChars="0"/>
              <w:jc w:val="center"/>
              <w:rPr>
                <w:color w:val="auto"/>
                <w:sz w:val="21"/>
                <w:szCs w:val="21"/>
              </w:rPr>
            </w:pPr>
            <w:r>
              <w:rPr>
                <w:color w:val="auto"/>
                <w:sz w:val="21"/>
                <w:szCs w:val="21"/>
              </w:rPr>
              <w:t>工业</w:t>
            </w:r>
            <w:r>
              <w:rPr>
                <w:rFonts w:hint="eastAsia"/>
                <w:color w:val="auto"/>
                <w:sz w:val="21"/>
                <w:szCs w:val="21"/>
              </w:rPr>
              <w:t>、农业</w:t>
            </w:r>
            <w:r>
              <w:rPr>
                <w:color w:val="auto"/>
                <w:sz w:val="21"/>
                <w:szCs w:val="21"/>
              </w:rPr>
              <w:t>用水</w:t>
            </w:r>
          </w:p>
        </w:tc>
        <w:tc>
          <w:tcPr>
            <w:tcW w:w="1156" w:type="pct"/>
            <w:vMerge w:val="restart"/>
            <w:vAlign w:val="center"/>
          </w:tcPr>
          <w:p w14:paraId="197318E1">
            <w:pPr>
              <w:spacing w:line="240" w:lineRule="auto"/>
              <w:ind w:firstLine="0" w:firstLineChars="0"/>
              <w:jc w:val="center"/>
              <w:rPr>
                <w:color w:val="auto"/>
                <w:sz w:val="21"/>
                <w:szCs w:val="21"/>
              </w:rPr>
            </w:pPr>
            <w:r>
              <w:rPr>
                <w:color w:val="auto"/>
                <w:sz w:val="21"/>
                <w:szCs w:val="21"/>
              </w:rPr>
              <w:t>满足相应环境质量标准及相关要求</w:t>
            </w:r>
          </w:p>
        </w:tc>
        <w:tc>
          <w:tcPr>
            <w:tcW w:w="1466" w:type="pct"/>
            <w:vAlign w:val="center"/>
          </w:tcPr>
          <w:p w14:paraId="6F8E1D4B">
            <w:pPr>
              <w:spacing w:line="240" w:lineRule="auto"/>
              <w:ind w:firstLine="0" w:firstLineChars="0"/>
              <w:jc w:val="center"/>
              <w:rPr>
                <w:color w:val="auto"/>
                <w:sz w:val="21"/>
                <w:szCs w:val="21"/>
              </w:rPr>
            </w:pPr>
            <w:r>
              <w:rPr>
                <w:color w:val="auto"/>
                <w:sz w:val="21"/>
                <w:szCs w:val="21"/>
              </w:rPr>
              <w:t>S，1</w:t>
            </w:r>
            <w:r>
              <w:rPr>
                <w:rFonts w:hint="eastAsia"/>
                <w:color w:val="auto"/>
                <w:sz w:val="21"/>
                <w:szCs w:val="21"/>
              </w:rPr>
              <w:t>230</w:t>
            </w:r>
          </w:p>
        </w:tc>
      </w:tr>
      <w:tr w14:paraId="381DB3C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376" w:type="pct"/>
            <w:vAlign w:val="center"/>
          </w:tcPr>
          <w:p w14:paraId="2DBC20C5">
            <w:pPr>
              <w:spacing w:line="240" w:lineRule="auto"/>
              <w:ind w:firstLine="0" w:firstLineChars="0"/>
              <w:jc w:val="center"/>
              <w:rPr>
                <w:color w:val="auto"/>
                <w:sz w:val="21"/>
                <w:szCs w:val="21"/>
              </w:rPr>
            </w:pPr>
            <w:r>
              <w:rPr>
                <w:color w:val="auto"/>
                <w:sz w:val="21"/>
                <w:szCs w:val="21"/>
              </w:rPr>
              <w:t>江风河</w:t>
            </w:r>
          </w:p>
        </w:tc>
        <w:tc>
          <w:tcPr>
            <w:tcW w:w="1002" w:type="pct"/>
            <w:vAlign w:val="center"/>
          </w:tcPr>
          <w:p w14:paraId="25420387">
            <w:pPr>
              <w:spacing w:line="240" w:lineRule="auto"/>
              <w:ind w:firstLine="0" w:firstLineChars="0"/>
              <w:jc w:val="center"/>
              <w:rPr>
                <w:color w:val="auto"/>
                <w:sz w:val="21"/>
                <w:szCs w:val="21"/>
              </w:rPr>
            </w:pPr>
            <w:r>
              <w:rPr>
                <w:color w:val="auto"/>
                <w:sz w:val="21"/>
                <w:szCs w:val="21"/>
              </w:rPr>
              <w:t>工业用水</w:t>
            </w:r>
          </w:p>
        </w:tc>
        <w:tc>
          <w:tcPr>
            <w:tcW w:w="1156" w:type="pct"/>
            <w:vMerge w:val="continue"/>
            <w:vAlign w:val="center"/>
          </w:tcPr>
          <w:p w14:paraId="708E2356">
            <w:pPr>
              <w:spacing w:line="240" w:lineRule="auto"/>
              <w:ind w:firstLine="0" w:firstLineChars="0"/>
              <w:jc w:val="center"/>
              <w:rPr>
                <w:color w:val="auto"/>
                <w:sz w:val="21"/>
                <w:szCs w:val="21"/>
              </w:rPr>
            </w:pPr>
          </w:p>
        </w:tc>
        <w:tc>
          <w:tcPr>
            <w:tcW w:w="1466" w:type="pct"/>
            <w:vAlign w:val="center"/>
          </w:tcPr>
          <w:p w14:paraId="17EE9D85">
            <w:pPr>
              <w:spacing w:line="240" w:lineRule="auto"/>
              <w:ind w:firstLine="0" w:firstLineChars="0"/>
              <w:jc w:val="center"/>
              <w:rPr>
                <w:color w:val="auto"/>
                <w:sz w:val="21"/>
                <w:szCs w:val="21"/>
              </w:rPr>
            </w:pPr>
            <w:r>
              <w:rPr>
                <w:color w:val="auto"/>
                <w:sz w:val="21"/>
                <w:szCs w:val="21"/>
              </w:rPr>
              <w:t>E，365</w:t>
            </w:r>
          </w:p>
        </w:tc>
      </w:tr>
      <w:tr w14:paraId="2B2983C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376" w:type="pct"/>
            <w:vAlign w:val="center"/>
          </w:tcPr>
          <w:p w14:paraId="6686EFE6">
            <w:pPr>
              <w:spacing w:line="240" w:lineRule="auto"/>
              <w:ind w:firstLine="0" w:firstLineChars="0"/>
              <w:jc w:val="center"/>
              <w:rPr>
                <w:color w:val="auto"/>
                <w:sz w:val="21"/>
                <w:szCs w:val="21"/>
              </w:rPr>
            </w:pPr>
            <w:r>
              <w:rPr>
                <w:color w:val="auto"/>
                <w:sz w:val="21"/>
                <w:szCs w:val="21"/>
              </w:rPr>
              <w:t>长江(海门区)重要湿地</w:t>
            </w:r>
          </w:p>
        </w:tc>
        <w:tc>
          <w:tcPr>
            <w:tcW w:w="1002" w:type="pct"/>
            <w:vAlign w:val="center"/>
          </w:tcPr>
          <w:p w14:paraId="61AE2823">
            <w:pPr>
              <w:spacing w:line="240" w:lineRule="auto"/>
              <w:ind w:firstLine="0" w:firstLineChars="0"/>
              <w:jc w:val="center"/>
              <w:rPr>
                <w:color w:val="auto"/>
                <w:sz w:val="21"/>
                <w:szCs w:val="21"/>
              </w:rPr>
            </w:pPr>
            <w:r>
              <w:rPr>
                <w:color w:val="auto"/>
                <w:sz w:val="21"/>
                <w:szCs w:val="21"/>
              </w:rPr>
              <w:t>湿地生态系统保护</w:t>
            </w:r>
          </w:p>
        </w:tc>
        <w:tc>
          <w:tcPr>
            <w:tcW w:w="1156" w:type="pct"/>
            <w:vMerge w:val="continue"/>
            <w:vAlign w:val="center"/>
          </w:tcPr>
          <w:p w14:paraId="7146C1E5">
            <w:pPr>
              <w:spacing w:line="240" w:lineRule="auto"/>
              <w:ind w:firstLine="0" w:firstLineChars="0"/>
              <w:jc w:val="center"/>
              <w:rPr>
                <w:color w:val="auto"/>
                <w:sz w:val="21"/>
                <w:szCs w:val="21"/>
              </w:rPr>
            </w:pPr>
          </w:p>
        </w:tc>
        <w:tc>
          <w:tcPr>
            <w:tcW w:w="1466" w:type="pct"/>
            <w:vAlign w:val="center"/>
          </w:tcPr>
          <w:p w14:paraId="42895FB5">
            <w:pPr>
              <w:spacing w:line="240" w:lineRule="auto"/>
              <w:ind w:firstLine="0" w:firstLineChars="0"/>
              <w:jc w:val="center"/>
              <w:rPr>
                <w:color w:val="auto"/>
                <w:sz w:val="21"/>
                <w:szCs w:val="21"/>
              </w:rPr>
            </w:pPr>
            <w:r>
              <w:rPr>
                <w:color w:val="auto"/>
                <w:sz w:val="21"/>
                <w:szCs w:val="21"/>
              </w:rPr>
              <w:t>W，</w:t>
            </w:r>
            <w:r>
              <w:rPr>
                <w:rFonts w:hint="eastAsia"/>
                <w:color w:val="auto"/>
                <w:sz w:val="21"/>
                <w:szCs w:val="21"/>
              </w:rPr>
              <w:t>5351</w:t>
            </w:r>
          </w:p>
        </w:tc>
      </w:tr>
    </w:tbl>
    <w:p w14:paraId="72B19879">
      <w:pPr>
        <w:pStyle w:val="49"/>
        <w:rPr>
          <w:color w:val="auto"/>
        </w:rPr>
      </w:pPr>
      <w:r>
        <w:rPr>
          <w:color w:val="auto"/>
        </w:rPr>
        <w:t>表2.</w:t>
      </w:r>
      <w:r>
        <w:rPr>
          <w:rFonts w:hint="eastAsia"/>
          <w:color w:val="auto"/>
        </w:rPr>
        <w:t>3-25</w:t>
      </w:r>
      <w:r>
        <w:rPr>
          <w:color w:val="auto"/>
        </w:rPr>
        <w:t xml:space="preserve">  其他环境保护目标一览表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549"/>
        <w:gridCol w:w="987"/>
        <w:gridCol w:w="1301"/>
        <w:gridCol w:w="2042"/>
        <w:gridCol w:w="2897"/>
      </w:tblGrid>
      <w:tr w14:paraId="3856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jc w:val="center"/>
        </w:trPr>
        <w:tc>
          <w:tcPr>
            <w:tcW w:w="547" w:type="pct"/>
            <w:tcBorders>
              <w:top w:val="single" w:color="auto" w:sz="12" w:space="0"/>
              <w:left w:val="nil"/>
            </w:tcBorders>
            <w:vAlign w:val="center"/>
          </w:tcPr>
          <w:p w14:paraId="22334DB9">
            <w:pPr>
              <w:spacing w:line="240" w:lineRule="auto"/>
              <w:ind w:firstLine="0" w:firstLineChars="0"/>
              <w:jc w:val="center"/>
              <w:rPr>
                <w:b/>
                <w:bCs/>
                <w:color w:val="auto"/>
                <w:sz w:val="21"/>
                <w:szCs w:val="21"/>
              </w:rPr>
            </w:pPr>
            <w:r>
              <w:rPr>
                <w:b/>
                <w:bCs/>
                <w:color w:val="auto"/>
                <w:sz w:val="21"/>
                <w:szCs w:val="21"/>
              </w:rPr>
              <w:t>环境要素</w:t>
            </w:r>
          </w:p>
        </w:tc>
        <w:tc>
          <w:tcPr>
            <w:tcW w:w="786" w:type="pct"/>
            <w:tcBorders>
              <w:top w:val="single" w:color="auto" w:sz="12" w:space="0"/>
            </w:tcBorders>
            <w:vAlign w:val="center"/>
          </w:tcPr>
          <w:p w14:paraId="25397E1D">
            <w:pPr>
              <w:spacing w:line="240" w:lineRule="auto"/>
              <w:ind w:firstLine="0" w:firstLineChars="0"/>
              <w:jc w:val="center"/>
              <w:rPr>
                <w:b/>
                <w:bCs/>
                <w:color w:val="auto"/>
                <w:sz w:val="21"/>
                <w:szCs w:val="21"/>
              </w:rPr>
            </w:pPr>
            <w:r>
              <w:rPr>
                <w:b/>
                <w:bCs/>
                <w:color w:val="auto"/>
                <w:sz w:val="21"/>
                <w:szCs w:val="21"/>
              </w:rPr>
              <w:t>保护目标</w:t>
            </w:r>
          </w:p>
        </w:tc>
        <w:tc>
          <w:tcPr>
            <w:tcW w:w="501" w:type="pct"/>
            <w:tcBorders>
              <w:top w:val="single" w:color="auto" w:sz="12" w:space="0"/>
            </w:tcBorders>
            <w:vAlign w:val="center"/>
          </w:tcPr>
          <w:p w14:paraId="29A7D216">
            <w:pPr>
              <w:spacing w:line="240" w:lineRule="auto"/>
              <w:ind w:firstLine="0" w:firstLineChars="0"/>
              <w:jc w:val="center"/>
              <w:rPr>
                <w:b/>
                <w:bCs/>
                <w:color w:val="auto"/>
                <w:sz w:val="21"/>
                <w:szCs w:val="21"/>
              </w:rPr>
            </w:pPr>
            <w:r>
              <w:rPr>
                <w:b/>
                <w:bCs/>
                <w:color w:val="auto"/>
                <w:sz w:val="21"/>
                <w:szCs w:val="21"/>
              </w:rPr>
              <w:t>方位</w:t>
            </w:r>
          </w:p>
        </w:tc>
        <w:tc>
          <w:tcPr>
            <w:tcW w:w="660" w:type="pct"/>
            <w:tcBorders>
              <w:top w:val="single" w:color="auto" w:sz="12" w:space="0"/>
            </w:tcBorders>
            <w:vAlign w:val="center"/>
          </w:tcPr>
          <w:p w14:paraId="26336EA2">
            <w:pPr>
              <w:spacing w:line="240" w:lineRule="auto"/>
              <w:ind w:firstLine="0" w:firstLineChars="0"/>
              <w:jc w:val="center"/>
              <w:rPr>
                <w:b/>
                <w:bCs/>
                <w:color w:val="auto"/>
                <w:sz w:val="21"/>
                <w:szCs w:val="21"/>
              </w:rPr>
            </w:pPr>
            <w:r>
              <w:rPr>
                <w:b/>
                <w:bCs/>
                <w:color w:val="auto"/>
                <w:sz w:val="21"/>
                <w:szCs w:val="21"/>
              </w:rPr>
              <w:t>最近距离(m)</w:t>
            </w:r>
          </w:p>
        </w:tc>
        <w:tc>
          <w:tcPr>
            <w:tcW w:w="1036" w:type="pct"/>
            <w:tcBorders>
              <w:top w:val="single" w:color="auto" w:sz="12" w:space="0"/>
            </w:tcBorders>
            <w:vAlign w:val="center"/>
          </w:tcPr>
          <w:p w14:paraId="1E28121F">
            <w:pPr>
              <w:spacing w:line="240" w:lineRule="auto"/>
              <w:ind w:firstLine="0" w:firstLineChars="0"/>
              <w:jc w:val="center"/>
              <w:rPr>
                <w:b/>
                <w:bCs/>
                <w:color w:val="auto"/>
                <w:sz w:val="21"/>
                <w:szCs w:val="21"/>
              </w:rPr>
            </w:pPr>
            <w:r>
              <w:rPr>
                <w:b/>
                <w:bCs/>
                <w:color w:val="auto"/>
                <w:sz w:val="21"/>
                <w:szCs w:val="21"/>
              </w:rPr>
              <w:t>规模及功能</w:t>
            </w:r>
          </w:p>
        </w:tc>
        <w:tc>
          <w:tcPr>
            <w:tcW w:w="1470" w:type="pct"/>
            <w:tcBorders>
              <w:top w:val="single" w:color="auto" w:sz="12" w:space="0"/>
              <w:right w:val="nil"/>
            </w:tcBorders>
            <w:vAlign w:val="center"/>
          </w:tcPr>
          <w:p w14:paraId="024BFDDE">
            <w:pPr>
              <w:spacing w:line="240" w:lineRule="auto"/>
              <w:ind w:firstLine="0" w:firstLineChars="0"/>
              <w:jc w:val="center"/>
              <w:rPr>
                <w:b/>
                <w:bCs/>
                <w:color w:val="auto"/>
                <w:sz w:val="21"/>
                <w:szCs w:val="21"/>
              </w:rPr>
            </w:pPr>
            <w:r>
              <w:rPr>
                <w:b/>
                <w:bCs/>
                <w:color w:val="auto"/>
                <w:sz w:val="21"/>
                <w:szCs w:val="21"/>
              </w:rPr>
              <w:t>功能类别</w:t>
            </w:r>
          </w:p>
        </w:tc>
      </w:tr>
      <w:tr w14:paraId="6A6B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tcBorders>
              <w:left w:val="nil"/>
            </w:tcBorders>
            <w:vAlign w:val="center"/>
          </w:tcPr>
          <w:p w14:paraId="7563D8B0">
            <w:pPr>
              <w:spacing w:line="240" w:lineRule="auto"/>
              <w:ind w:firstLine="0" w:firstLineChars="0"/>
              <w:jc w:val="center"/>
              <w:rPr>
                <w:color w:val="auto"/>
                <w:sz w:val="21"/>
                <w:szCs w:val="21"/>
              </w:rPr>
            </w:pPr>
            <w:r>
              <w:rPr>
                <w:color w:val="auto"/>
                <w:sz w:val="21"/>
                <w:szCs w:val="21"/>
              </w:rPr>
              <w:t>声环境</w:t>
            </w:r>
          </w:p>
        </w:tc>
        <w:tc>
          <w:tcPr>
            <w:tcW w:w="786" w:type="pct"/>
            <w:vAlign w:val="center"/>
          </w:tcPr>
          <w:p w14:paraId="127CD1B3">
            <w:pPr>
              <w:spacing w:line="240" w:lineRule="auto"/>
              <w:ind w:firstLine="0" w:firstLineChars="0"/>
              <w:jc w:val="center"/>
              <w:rPr>
                <w:color w:val="auto"/>
                <w:sz w:val="21"/>
                <w:szCs w:val="21"/>
              </w:rPr>
            </w:pPr>
            <w:r>
              <w:rPr>
                <w:color w:val="auto"/>
                <w:sz w:val="21"/>
                <w:szCs w:val="21"/>
              </w:rPr>
              <w:t>厂界200范围内无声环境敏感目标</w:t>
            </w:r>
          </w:p>
        </w:tc>
        <w:tc>
          <w:tcPr>
            <w:tcW w:w="501" w:type="pct"/>
            <w:vAlign w:val="center"/>
          </w:tcPr>
          <w:p w14:paraId="598579F2">
            <w:pPr>
              <w:spacing w:line="240" w:lineRule="auto"/>
              <w:ind w:firstLine="0" w:firstLineChars="0"/>
              <w:jc w:val="center"/>
              <w:rPr>
                <w:color w:val="auto"/>
                <w:sz w:val="21"/>
                <w:szCs w:val="21"/>
              </w:rPr>
            </w:pPr>
            <w:r>
              <w:rPr>
                <w:color w:val="auto"/>
                <w:sz w:val="21"/>
                <w:szCs w:val="21"/>
              </w:rPr>
              <w:t>/</w:t>
            </w:r>
          </w:p>
        </w:tc>
        <w:tc>
          <w:tcPr>
            <w:tcW w:w="660" w:type="pct"/>
            <w:vAlign w:val="center"/>
          </w:tcPr>
          <w:p w14:paraId="70A42269">
            <w:pPr>
              <w:spacing w:line="240" w:lineRule="auto"/>
              <w:ind w:firstLine="0" w:firstLineChars="0"/>
              <w:jc w:val="center"/>
              <w:rPr>
                <w:color w:val="auto"/>
                <w:sz w:val="21"/>
                <w:szCs w:val="21"/>
              </w:rPr>
            </w:pPr>
            <w:r>
              <w:rPr>
                <w:color w:val="auto"/>
                <w:sz w:val="21"/>
                <w:szCs w:val="21"/>
              </w:rPr>
              <w:t>/</w:t>
            </w:r>
          </w:p>
        </w:tc>
        <w:tc>
          <w:tcPr>
            <w:tcW w:w="1036" w:type="pct"/>
            <w:vAlign w:val="center"/>
          </w:tcPr>
          <w:p w14:paraId="63C90CC1">
            <w:pPr>
              <w:spacing w:line="240" w:lineRule="auto"/>
              <w:ind w:firstLine="0" w:firstLineChars="0"/>
              <w:jc w:val="center"/>
              <w:rPr>
                <w:color w:val="auto"/>
                <w:sz w:val="21"/>
                <w:szCs w:val="21"/>
              </w:rPr>
            </w:pPr>
            <w:r>
              <w:rPr>
                <w:color w:val="auto"/>
                <w:sz w:val="21"/>
                <w:szCs w:val="21"/>
              </w:rPr>
              <w:t>/</w:t>
            </w:r>
          </w:p>
        </w:tc>
        <w:tc>
          <w:tcPr>
            <w:tcW w:w="1470" w:type="pct"/>
            <w:tcBorders>
              <w:right w:val="nil"/>
            </w:tcBorders>
            <w:vAlign w:val="center"/>
          </w:tcPr>
          <w:p w14:paraId="32FB36A2">
            <w:pPr>
              <w:spacing w:line="240" w:lineRule="auto"/>
              <w:ind w:firstLine="0" w:firstLineChars="0"/>
              <w:jc w:val="center"/>
              <w:rPr>
                <w:color w:val="auto"/>
                <w:sz w:val="21"/>
                <w:szCs w:val="21"/>
              </w:rPr>
            </w:pPr>
            <w:r>
              <w:rPr>
                <w:color w:val="auto"/>
                <w:sz w:val="21"/>
                <w:szCs w:val="21"/>
              </w:rPr>
              <w:t>《声环境质量标准》(GB3096-2008)3类</w:t>
            </w:r>
          </w:p>
        </w:tc>
      </w:tr>
      <w:tr w14:paraId="3145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tcBorders>
              <w:left w:val="nil"/>
            </w:tcBorders>
            <w:vAlign w:val="center"/>
          </w:tcPr>
          <w:p w14:paraId="42098346">
            <w:pPr>
              <w:spacing w:line="240" w:lineRule="auto"/>
              <w:ind w:firstLine="0" w:firstLineChars="0"/>
              <w:jc w:val="center"/>
              <w:rPr>
                <w:color w:val="auto"/>
                <w:sz w:val="21"/>
                <w:szCs w:val="21"/>
              </w:rPr>
            </w:pPr>
            <w:r>
              <w:rPr>
                <w:color w:val="auto"/>
                <w:sz w:val="21"/>
                <w:szCs w:val="21"/>
              </w:rPr>
              <w:t>地下水环境</w:t>
            </w:r>
          </w:p>
        </w:tc>
        <w:tc>
          <w:tcPr>
            <w:tcW w:w="786" w:type="pct"/>
            <w:vAlign w:val="center"/>
          </w:tcPr>
          <w:p w14:paraId="01FDFD55">
            <w:pPr>
              <w:spacing w:line="240" w:lineRule="auto"/>
              <w:ind w:firstLine="0" w:firstLineChars="0"/>
              <w:jc w:val="center"/>
              <w:rPr>
                <w:color w:val="auto"/>
                <w:sz w:val="21"/>
                <w:szCs w:val="21"/>
              </w:rPr>
            </w:pPr>
            <w:r>
              <w:rPr>
                <w:color w:val="auto"/>
                <w:sz w:val="21"/>
                <w:szCs w:val="21"/>
              </w:rPr>
              <w:t>项目周边潜水含水层</w:t>
            </w:r>
          </w:p>
        </w:tc>
        <w:tc>
          <w:tcPr>
            <w:tcW w:w="501" w:type="pct"/>
            <w:vAlign w:val="center"/>
          </w:tcPr>
          <w:p w14:paraId="07EC64BF">
            <w:pPr>
              <w:spacing w:line="240" w:lineRule="auto"/>
              <w:ind w:firstLine="0" w:firstLineChars="0"/>
              <w:jc w:val="center"/>
              <w:rPr>
                <w:color w:val="auto"/>
                <w:sz w:val="21"/>
                <w:szCs w:val="21"/>
              </w:rPr>
            </w:pPr>
            <w:r>
              <w:rPr>
                <w:color w:val="auto"/>
                <w:sz w:val="21"/>
                <w:szCs w:val="21"/>
              </w:rPr>
              <w:t>/</w:t>
            </w:r>
          </w:p>
        </w:tc>
        <w:tc>
          <w:tcPr>
            <w:tcW w:w="660" w:type="pct"/>
            <w:vAlign w:val="center"/>
          </w:tcPr>
          <w:p w14:paraId="12E1B614">
            <w:pPr>
              <w:spacing w:line="240" w:lineRule="auto"/>
              <w:ind w:firstLine="0" w:firstLineChars="0"/>
              <w:jc w:val="center"/>
              <w:rPr>
                <w:color w:val="auto"/>
                <w:sz w:val="21"/>
                <w:szCs w:val="21"/>
              </w:rPr>
            </w:pPr>
            <w:r>
              <w:rPr>
                <w:color w:val="auto"/>
                <w:sz w:val="21"/>
                <w:szCs w:val="21"/>
              </w:rPr>
              <w:t>/</w:t>
            </w:r>
          </w:p>
        </w:tc>
        <w:tc>
          <w:tcPr>
            <w:tcW w:w="1036" w:type="pct"/>
            <w:vAlign w:val="center"/>
          </w:tcPr>
          <w:p w14:paraId="7812DAB2">
            <w:pPr>
              <w:spacing w:line="240" w:lineRule="auto"/>
              <w:ind w:firstLine="0" w:firstLineChars="0"/>
              <w:jc w:val="center"/>
              <w:rPr>
                <w:color w:val="auto"/>
                <w:sz w:val="21"/>
                <w:szCs w:val="21"/>
              </w:rPr>
            </w:pPr>
            <w:r>
              <w:rPr>
                <w:color w:val="auto"/>
                <w:sz w:val="21"/>
                <w:szCs w:val="21"/>
              </w:rPr>
              <w:t>/</w:t>
            </w:r>
          </w:p>
        </w:tc>
        <w:tc>
          <w:tcPr>
            <w:tcW w:w="1470" w:type="pct"/>
            <w:tcBorders>
              <w:right w:val="nil"/>
            </w:tcBorders>
            <w:vAlign w:val="center"/>
          </w:tcPr>
          <w:p w14:paraId="065CCD86">
            <w:pPr>
              <w:spacing w:line="240" w:lineRule="auto"/>
              <w:ind w:firstLine="0" w:firstLineChars="0"/>
              <w:jc w:val="center"/>
              <w:rPr>
                <w:color w:val="auto"/>
                <w:sz w:val="21"/>
                <w:szCs w:val="21"/>
              </w:rPr>
            </w:pPr>
            <w:r>
              <w:rPr>
                <w:color w:val="auto"/>
                <w:sz w:val="21"/>
                <w:szCs w:val="21"/>
              </w:rPr>
              <w:t>不改变现有功能</w:t>
            </w:r>
          </w:p>
        </w:tc>
      </w:tr>
      <w:tr w14:paraId="0532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restart"/>
            <w:tcBorders>
              <w:left w:val="nil"/>
            </w:tcBorders>
            <w:vAlign w:val="center"/>
          </w:tcPr>
          <w:p w14:paraId="4A401D6D">
            <w:pPr>
              <w:spacing w:line="240" w:lineRule="auto"/>
              <w:ind w:firstLine="0" w:firstLineChars="0"/>
              <w:jc w:val="center"/>
              <w:rPr>
                <w:color w:val="auto"/>
                <w:sz w:val="21"/>
                <w:szCs w:val="21"/>
              </w:rPr>
            </w:pPr>
            <w:r>
              <w:rPr>
                <w:color w:val="auto"/>
                <w:sz w:val="21"/>
                <w:szCs w:val="21"/>
              </w:rPr>
              <w:t>土壤环境</w:t>
            </w:r>
          </w:p>
        </w:tc>
        <w:tc>
          <w:tcPr>
            <w:tcW w:w="786" w:type="pct"/>
            <w:vAlign w:val="center"/>
          </w:tcPr>
          <w:p w14:paraId="18B5B3F2">
            <w:pPr>
              <w:spacing w:line="240" w:lineRule="auto"/>
              <w:ind w:firstLine="0" w:firstLineChars="0"/>
              <w:jc w:val="center"/>
              <w:rPr>
                <w:color w:val="auto"/>
                <w:sz w:val="21"/>
                <w:szCs w:val="21"/>
              </w:rPr>
            </w:pPr>
            <w:r>
              <w:rPr>
                <w:color w:val="auto"/>
                <w:sz w:val="21"/>
                <w:szCs w:val="21"/>
              </w:rPr>
              <w:t>周边耕地</w:t>
            </w:r>
          </w:p>
        </w:tc>
        <w:tc>
          <w:tcPr>
            <w:tcW w:w="501" w:type="pct"/>
            <w:vAlign w:val="center"/>
          </w:tcPr>
          <w:p w14:paraId="0DC4FA1F">
            <w:pPr>
              <w:spacing w:line="240" w:lineRule="auto"/>
              <w:ind w:firstLine="0" w:firstLineChars="0"/>
              <w:jc w:val="center"/>
              <w:rPr>
                <w:color w:val="auto"/>
                <w:sz w:val="21"/>
                <w:szCs w:val="21"/>
              </w:rPr>
            </w:pPr>
            <w:r>
              <w:rPr>
                <w:color w:val="auto"/>
                <w:sz w:val="21"/>
                <w:szCs w:val="21"/>
              </w:rPr>
              <w:t>N、WS</w:t>
            </w:r>
          </w:p>
        </w:tc>
        <w:tc>
          <w:tcPr>
            <w:tcW w:w="660" w:type="pct"/>
            <w:tcBorders>
              <w:top w:val="single" w:color="auto" w:sz="4" w:space="0"/>
              <w:left w:val="single" w:color="auto" w:sz="4" w:space="0"/>
              <w:bottom w:val="single" w:color="auto" w:sz="4" w:space="0"/>
              <w:right w:val="single" w:color="auto" w:sz="4" w:space="0"/>
            </w:tcBorders>
            <w:vAlign w:val="center"/>
          </w:tcPr>
          <w:p w14:paraId="58BC3B5F">
            <w:pPr>
              <w:spacing w:line="240" w:lineRule="auto"/>
              <w:ind w:firstLine="0" w:firstLineChars="0"/>
              <w:jc w:val="center"/>
              <w:rPr>
                <w:color w:val="auto"/>
                <w:sz w:val="21"/>
                <w:szCs w:val="21"/>
              </w:rPr>
            </w:pPr>
            <w:r>
              <w:rPr>
                <w:color w:val="auto"/>
                <w:sz w:val="21"/>
                <w:szCs w:val="21"/>
              </w:rPr>
              <w:t>50</w:t>
            </w:r>
          </w:p>
        </w:tc>
        <w:tc>
          <w:tcPr>
            <w:tcW w:w="1036" w:type="pct"/>
            <w:vAlign w:val="center"/>
          </w:tcPr>
          <w:p w14:paraId="483E899F">
            <w:pPr>
              <w:spacing w:line="240" w:lineRule="auto"/>
              <w:ind w:firstLine="0" w:firstLineChars="0"/>
              <w:jc w:val="center"/>
              <w:rPr>
                <w:color w:val="auto"/>
                <w:sz w:val="21"/>
                <w:szCs w:val="21"/>
              </w:rPr>
            </w:pPr>
            <w:r>
              <w:rPr>
                <w:color w:val="auto"/>
                <w:sz w:val="21"/>
                <w:szCs w:val="21"/>
              </w:rPr>
              <w:t>农用地</w:t>
            </w:r>
          </w:p>
        </w:tc>
        <w:tc>
          <w:tcPr>
            <w:tcW w:w="1470" w:type="pct"/>
            <w:tcBorders>
              <w:right w:val="nil"/>
            </w:tcBorders>
            <w:vAlign w:val="center"/>
          </w:tcPr>
          <w:p w14:paraId="223277FF">
            <w:pPr>
              <w:spacing w:line="240" w:lineRule="auto"/>
              <w:ind w:firstLine="0" w:firstLineChars="0"/>
              <w:jc w:val="center"/>
              <w:rPr>
                <w:color w:val="auto"/>
                <w:sz w:val="21"/>
                <w:szCs w:val="21"/>
              </w:rPr>
            </w:pPr>
            <w:r>
              <w:rPr>
                <w:color w:val="auto"/>
                <w:sz w:val="21"/>
                <w:szCs w:val="21"/>
              </w:rPr>
              <w:t>《土壤环境质量 农用地土壤污染风险管控标准(试行)》(GB15618-2018)风险筛选值</w:t>
            </w:r>
          </w:p>
        </w:tc>
      </w:tr>
      <w:tr w14:paraId="5824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74C001EA">
            <w:pPr>
              <w:spacing w:line="240" w:lineRule="auto"/>
              <w:ind w:firstLine="0" w:firstLineChars="0"/>
              <w:jc w:val="center"/>
              <w:rPr>
                <w:color w:val="auto"/>
                <w:sz w:val="21"/>
                <w:szCs w:val="21"/>
              </w:rPr>
            </w:pPr>
          </w:p>
        </w:tc>
        <w:tc>
          <w:tcPr>
            <w:tcW w:w="786" w:type="pct"/>
            <w:vAlign w:val="center"/>
          </w:tcPr>
          <w:p w14:paraId="05165736">
            <w:pPr>
              <w:spacing w:line="240" w:lineRule="auto"/>
              <w:ind w:firstLine="0" w:firstLineChars="0"/>
              <w:jc w:val="center"/>
              <w:rPr>
                <w:color w:val="auto"/>
                <w:sz w:val="21"/>
                <w:szCs w:val="21"/>
              </w:rPr>
            </w:pPr>
            <w:r>
              <w:rPr>
                <w:color w:val="auto"/>
                <w:sz w:val="21"/>
                <w:szCs w:val="21"/>
              </w:rPr>
              <w:t>北新镇</w:t>
            </w:r>
          </w:p>
        </w:tc>
        <w:tc>
          <w:tcPr>
            <w:tcW w:w="501" w:type="pct"/>
            <w:vAlign w:val="center"/>
          </w:tcPr>
          <w:p w14:paraId="451C66FE">
            <w:pPr>
              <w:spacing w:line="240" w:lineRule="auto"/>
              <w:ind w:firstLine="0" w:firstLineChars="0"/>
              <w:jc w:val="center"/>
              <w:rPr>
                <w:color w:val="auto"/>
                <w:sz w:val="21"/>
                <w:szCs w:val="21"/>
              </w:rPr>
            </w:pPr>
            <w:r>
              <w:rPr>
                <w:color w:val="auto"/>
                <w:sz w:val="21"/>
                <w:szCs w:val="21"/>
              </w:rPr>
              <w:t>NE</w:t>
            </w:r>
          </w:p>
        </w:tc>
        <w:tc>
          <w:tcPr>
            <w:tcW w:w="660" w:type="pct"/>
            <w:tcBorders>
              <w:top w:val="single" w:color="auto" w:sz="4" w:space="0"/>
              <w:left w:val="single" w:color="auto" w:sz="4" w:space="0"/>
              <w:bottom w:val="single" w:color="auto" w:sz="4" w:space="0"/>
              <w:right w:val="single" w:color="auto" w:sz="4" w:space="0"/>
            </w:tcBorders>
            <w:vAlign w:val="center"/>
          </w:tcPr>
          <w:p w14:paraId="6DA7F6D6">
            <w:pPr>
              <w:spacing w:line="240" w:lineRule="auto"/>
              <w:ind w:firstLine="0" w:firstLineChars="0"/>
              <w:jc w:val="center"/>
              <w:rPr>
                <w:color w:val="auto"/>
                <w:sz w:val="21"/>
                <w:szCs w:val="21"/>
              </w:rPr>
            </w:pPr>
            <w:r>
              <w:rPr>
                <w:color w:val="auto"/>
                <w:sz w:val="21"/>
                <w:szCs w:val="21"/>
              </w:rPr>
              <w:t>520</w:t>
            </w:r>
          </w:p>
        </w:tc>
        <w:tc>
          <w:tcPr>
            <w:tcW w:w="1036" w:type="pct"/>
            <w:vAlign w:val="center"/>
          </w:tcPr>
          <w:p w14:paraId="5FB56467">
            <w:pPr>
              <w:spacing w:line="240" w:lineRule="auto"/>
              <w:ind w:firstLine="0" w:firstLineChars="0"/>
              <w:jc w:val="center"/>
              <w:rPr>
                <w:color w:val="auto"/>
                <w:sz w:val="21"/>
                <w:szCs w:val="21"/>
              </w:rPr>
            </w:pPr>
            <w:r>
              <w:rPr>
                <w:color w:val="auto"/>
                <w:sz w:val="21"/>
                <w:szCs w:val="21"/>
              </w:rPr>
              <w:t>居民，6000人</w:t>
            </w:r>
          </w:p>
        </w:tc>
        <w:tc>
          <w:tcPr>
            <w:tcW w:w="1470" w:type="pct"/>
            <w:vMerge w:val="restart"/>
            <w:tcBorders>
              <w:right w:val="nil"/>
            </w:tcBorders>
            <w:vAlign w:val="center"/>
          </w:tcPr>
          <w:p w14:paraId="4CD9BC94">
            <w:pPr>
              <w:spacing w:line="240" w:lineRule="auto"/>
              <w:ind w:firstLine="0" w:firstLineChars="0"/>
              <w:jc w:val="center"/>
              <w:rPr>
                <w:color w:val="auto"/>
                <w:sz w:val="21"/>
                <w:szCs w:val="21"/>
              </w:rPr>
            </w:pPr>
            <w:r>
              <w:rPr>
                <w:color w:val="auto"/>
                <w:sz w:val="21"/>
                <w:szCs w:val="21"/>
              </w:rPr>
              <w:t>《土壤环境质量 建设用地土壤污染风险管控标准(试行)》(GB36600-2018)第一类用地筛选值</w:t>
            </w:r>
          </w:p>
        </w:tc>
      </w:tr>
      <w:tr w14:paraId="45BB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0301A5FF">
            <w:pPr>
              <w:spacing w:line="240" w:lineRule="auto"/>
              <w:ind w:firstLine="0" w:firstLineChars="0"/>
              <w:jc w:val="center"/>
              <w:rPr>
                <w:color w:val="auto"/>
                <w:sz w:val="21"/>
                <w:szCs w:val="21"/>
              </w:rPr>
            </w:pPr>
          </w:p>
        </w:tc>
        <w:tc>
          <w:tcPr>
            <w:tcW w:w="786" w:type="pct"/>
            <w:vAlign w:val="center"/>
          </w:tcPr>
          <w:p w14:paraId="7149D2A5">
            <w:pPr>
              <w:spacing w:line="240" w:lineRule="auto"/>
              <w:ind w:firstLine="0" w:firstLineChars="0"/>
              <w:jc w:val="center"/>
              <w:rPr>
                <w:color w:val="auto"/>
                <w:sz w:val="21"/>
                <w:szCs w:val="21"/>
              </w:rPr>
            </w:pPr>
            <w:r>
              <w:rPr>
                <w:color w:val="auto"/>
                <w:sz w:val="21"/>
                <w:szCs w:val="21"/>
              </w:rPr>
              <w:t>富民村</w:t>
            </w:r>
          </w:p>
        </w:tc>
        <w:tc>
          <w:tcPr>
            <w:tcW w:w="501" w:type="pct"/>
            <w:vAlign w:val="center"/>
          </w:tcPr>
          <w:p w14:paraId="3822E7D3">
            <w:pPr>
              <w:spacing w:line="240" w:lineRule="auto"/>
              <w:ind w:firstLine="0" w:firstLineChars="0"/>
              <w:jc w:val="center"/>
              <w:rPr>
                <w:color w:val="auto"/>
                <w:sz w:val="21"/>
                <w:szCs w:val="21"/>
              </w:rPr>
            </w:pPr>
            <w:r>
              <w:rPr>
                <w:color w:val="auto"/>
                <w:sz w:val="21"/>
                <w:szCs w:val="21"/>
              </w:rPr>
              <w:t>N</w:t>
            </w:r>
          </w:p>
        </w:tc>
        <w:tc>
          <w:tcPr>
            <w:tcW w:w="660" w:type="pct"/>
            <w:tcBorders>
              <w:top w:val="single" w:color="auto" w:sz="4" w:space="0"/>
              <w:left w:val="single" w:color="auto" w:sz="4" w:space="0"/>
              <w:bottom w:val="single" w:color="auto" w:sz="4" w:space="0"/>
              <w:right w:val="single" w:color="auto" w:sz="4" w:space="0"/>
            </w:tcBorders>
            <w:vAlign w:val="center"/>
          </w:tcPr>
          <w:p w14:paraId="2E245901">
            <w:pPr>
              <w:spacing w:line="240" w:lineRule="auto"/>
              <w:ind w:firstLine="0" w:firstLineChars="0"/>
              <w:jc w:val="center"/>
              <w:rPr>
                <w:color w:val="auto"/>
                <w:sz w:val="21"/>
                <w:szCs w:val="21"/>
              </w:rPr>
            </w:pPr>
            <w:r>
              <w:rPr>
                <w:color w:val="auto"/>
                <w:sz w:val="21"/>
                <w:szCs w:val="21"/>
              </w:rPr>
              <w:t>600</w:t>
            </w:r>
          </w:p>
        </w:tc>
        <w:tc>
          <w:tcPr>
            <w:tcW w:w="1036" w:type="pct"/>
            <w:vAlign w:val="center"/>
          </w:tcPr>
          <w:p w14:paraId="43773C8D">
            <w:pPr>
              <w:spacing w:line="240" w:lineRule="auto"/>
              <w:ind w:firstLine="0" w:firstLineChars="0"/>
              <w:jc w:val="center"/>
              <w:rPr>
                <w:color w:val="auto"/>
                <w:sz w:val="21"/>
                <w:szCs w:val="21"/>
              </w:rPr>
            </w:pPr>
            <w:r>
              <w:rPr>
                <w:color w:val="auto"/>
                <w:sz w:val="21"/>
                <w:szCs w:val="21"/>
              </w:rPr>
              <w:t>居民，500人</w:t>
            </w:r>
          </w:p>
        </w:tc>
        <w:tc>
          <w:tcPr>
            <w:tcW w:w="1470" w:type="pct"/>
            <w:vMerge w:val="continue"/>
            <w:tcBorders>
              <w:right w:val="nil"/>
            </w:tcBorders>
            <w:vAlign w:val="center"/>
          </w:tcPr>
          <w:p w14:paraId="505AC81C">
            <w:pPr>
              <w:spacing w:line="240" w:lineRule="auto"/>
              <w:ind w:firstLine="0" w:firstLineChars="0"/>
              <w:jc w:val="center"/>
              <w:rPr>
                <w:color w:val="auto"/>
                <w:sz w:val="21"/>
                <w:szCs w:val="21"/>
              </w:rPr>
            </w:pPr>
          </w:p>
        </w:tc>
      </w:tr>
      <w:tr w14:paraId="08BC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restart"/>
            <w:tcBorders>
              <w:left w:val="nil"/>
            </w:tcBorders>
            <w:vAlign w:val="center"/>
          </w:tcPr>
          <w:p w14:paraId="4EDB72E8">
            <w:pPr>
              <w:spacing w:line="240" w:lineRule="auto"/>
              <w:ind w:firstLine="0" w:firstLineChars="0"/>
              <w:jc w:val="center"/>
              <w:rPr>
                <w:color w:val="auto"/>
                <w:sz w:val="21"/>
                <w:szCs w:val="21"/>
              </w:rPr>
            </w:pPr>
            <w:r>
              <w:rPr>
                <w:color w:val="auto"/>
                <w:sz w:val="21"/>
                <w:szCs w:val="21"/>
              </w:rPr>
              <w:t>生态环境</w:t>
            </w:r>
          </w:p>
        </w:tc>
        <w:tc>
          <w:tcPr>
            <w:tcW w:w="786" w:type="pct"/>
            <w:tcBorders>
              <w:top w:val="single" w:color="000000" w:sz="4" w:space="0"/>
              <w:left w:val="single" w:color="000000" w:sz="4" w:space="0"/>
              <w:bottom w:val="single" w:color="000000" w:sz="4" w:space="0"/>
              <w:right w:val="single" w:color="000000" w:sz="4" w:space="0"/>
            </w:tcBorders>
            <w:vAlign w:val="center"/>
          </w:tcPr>
          <w:p w14:paraId="53D401C0">
            <w:pPr>
              <w:spacing w:line="240" w:lineRule="auto"/>
              <w:ind w:firstLine="0" w:firstLineChars="0"/>
              <w:jc w:val="center"/>
              <w:rPr>
                <w:color w:val="auto"/>
                <w:sz w:val="21"/>
                <w:szCs w:val="21"/>
              </w:rPr>
            </w:pPr>
            <w:r>
              <w:rPr>
                <w:color w:val="auto"/>
                <w:sz w:val="21"/>
                <w:szCs w:val="21"/>
              </w:rPr>
              <w:t>新三和港河清水通道维护区</w:t>
            </w:r>
          </w:p>
        </w:tc>
        <w:tc>
          <w:tcPr>
            <w:tcW w:w="501" w:type="pct"/>
            <w:vAlign w:val="center"/>
          </w:tcPr>
          <w:p w14:paraId="075409EE">
            <w:pPr>
              <w:spacing w:line="240" w:lineRule="auto"/>
              <w:ind w:firstLine="0" w:firstLineChars="0"/>
              <w:jc w:val="center"/>
              <w:rPr>
                <w:color w:val="auto"/>
                <w:sz w:val="21"/>
                <w:szCs w:val="21"/>
              </w:rPr>
            </w:pPr>
            <w:r>
              <w:rPr>
                <w:rFonts w:hint="eastAsia"/>
                <w:color w:val="auto"/>
                <w:sz w:val="21"/>
                <w:szCs w:val="21"/>
              </w:rPr>
              <w:t>E</w:t>
            </w:r>
          </w:p>
        </w:tc>
        <w:tc>
          <w:tcPr>
            <w:tcW w:w="660" w:type="pct"/>
            <w:vAlign w:val="center"/>
          </w:tcPr>
          <w:p w14:paraId="3E0DA782">
            <w:pPr>
              <w:spacing w:line="240" w:lineRule="auto"/>
              <w:ind w:firstLine="0" w:firstLineChars="0"/>
              <w:jc w:val="center"/>
              <w:rPr>
                <w:color w:val="auto"/>
                <w:sz w:val="21"/>
                <w:szCs w:val="21"/>
              </w:rPr>
            </w:pPr>
            <w:r>
              <w:rPr>
                <w:rFonts w:hint="eastAsia"/>
                <w:color w:val="auto"/>
                <w:sz w:val="21"/>
                <w:szCs w:val="21"/>
              </w:rPr>
              <w:t>1790</w:t>
            </w:r>
          </w:p>
        </w:tc>
        <w:tc>
          <w:tcPr>
            <w:tcW w:w="1036" w:type="pct"/>
            <w:vAlign w:val="center"/>
          </w:tcPr>
          <w:p w14:paraId="2CDFFAF9">
            <w:pPr>
              <w:spacing w:line="240" w:lineRule="auto"/>
              <w:ind w:firstLine="0" w:firstLineChars="0"/>
              <w:jc w:val="center"/>
              <w:rPr>
                <w:color w:val="auto"/>
                <w:sz w:val="21"/>
                <w:szCs w:val="21"/>
              </w:rPr>
            </w:pPr>
            <w:r>
              <w:rPr>
                <w:rFonts w:hint="eastAsia"/>
                <w:color w:val="auto"/>
                <w:sz w:val="21"/>
                <w:szCs w:val="21"/>
              </w:rPr>
              <w:t>30.30平方公里</w:t>
            </w:r>
          </w:p>
        </w:tc>
        <w:tc>
          <w:tcPr>
            <w:tcW w:w="1470" w:type="pct"/>
            <w:tcBorders>
              <w:right w:val="nil"/>
            </w:tcBorders>
            <w:vAlign w:val="center"/>
          </w:tcPr>
          <w:p w14:paraId="27ABE6A5">
            <w:pPr>
              <w:spacing w:line="240" w:lineRule="auto"/>
              <w:ind w:firstLine="0" w:firstLineChars="0"/>
              <w:jc w:val="center"/>
              <w:rPr>
                <w:color w:val="auto"/>
                <w:sz w:val="21"/>
                <w:szCs w:val="21"/>
              </w:rPr>
            </w:pPr>
            <w:r>
              <w:rPr>
                <w:color w:val="auto"/>
                <w:sz w:val="21"/>
                <w:szCs w:val="21"/>
              </w:rPr>
              <w:t>水源水质保护</w:t>
            </w:r>
          </w:p>
        </w:tc>
      </w:tr>
      <w:tr w14:paraId="67A1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30583625">
            <w:pPr>
              <w:spacing w:line="240" w:lineRule="auto"/>
              <w:ind w:firstLine="0" w:firstLineChars="0"/>
              <w:jc w:val="center"/>
              <w:rPr>
                <w:color w:val="auto"/>
                <w:sz w:val="21"/>
                <w:szCs w:val="21"/>
              </w:rPr>
            </w:pPr>
          </w:p>
        </w:tc>
        <w:tc>
          <w:tcPr>
            <w:tcW w:w="786" w:type="pct"/>
            <w:tcBorders>
              <w:top w:val="single" w:color="000000" w:sz="4" w:space="0"/>
              <w:left w:val="single" w:color="000000" w:sz="4" w:space="0"/>
              <w:bottom w:val="single" w:color="000000" w:sz="4" w:space="0"/>
              <w:right w:val="single" w:color="000000" w:sz="4" w:space="0"/>
            </w:tcBorders>
            <w:vAlign w:val="center"/>
          </w:tcPr>
          <w:p w14:paraId="4321FE7C">
            <w:pPr>
              <w:spacing w:line="240" w:lineRule="auto"/>
              <w:ind w:firstLine="0" w:firstLineChars="0"/>
              <w:jc w:val="center"/>
              <w:rPr>
                <w:color w:val="auto"/>
                <w:sz w:val="21"/>
                <w:szCs w:val="21"/>
              </w:rPr>
            </w:pPr>
            <w:r>
              <w:rPr>
                <w:color w:val="auto"/>
                <w:sz w:val="21"/>
                <w:szCs w:val="21"/>
              </w:rPr>
              <w:t>启东市饮用水水源保护区</w:t>
            </w:r>
          </w:p>
        </w:tc>
        <w:tc>
          <w:tcPr>
            <w:tcW w:w="501" w:type="pct"/>
            <w:vAlign w:val="center"/>
          </w:tcPr>
          <w:p w14:paraId="0A2CBB1C">
            <w:pPr>
              <w:spacing w:line="240" w:lineRule="auto"/>
              <w:ind w:firstLine="0" w:firstLineChars="0"/>
              <w:jc w:val="center"/>
              <w:rPr>
                <w:color w:val="auto"/>
                <w:sz w:val="21"/>
                <w:szCs w:val="21"/>
              </w:rPr>
            </w:pPr>
            <w:r>
              <w:rPr>
                <w:color w:val="auto"/>
                <w:sz w:val="21"/>
                <w:szCs w:val="21"/>
              </w:rPr>
              <w:t>NE</w:t>
            </w:r>
          </w:p>
        </w:tc>
        <w:tc>
          <w:tcPr>
            <w:tcW w:w="660" w:type="pct"/>
            <w:vAlign w:val="center"/>
          </w:tcPr>
          <w:p w14:paraId="7112CF66">
            <w:pPr>
              <w:spacing w:line="240" w:lineRule="auto"/>
              <w:ind w:firstLine="0" w:firstLineChars="0"/>
              <w:jc w:val="center"/>
              <w:rPr>
                <w:color w:val="auto"/>
                <w:sz w:val="21"/>
                <w:szCs w:val="21"/>
              </w:rPr>
            </w:pPr>
            <w:r>
              <w:rPr>
                <w:color w:val="auto"/>
                <w:sz w:val="21"/>
                <w:szCs w:val="21"/>
              </w:rPr>
              <w:t>14800</w:t>
            </w:r>
          </w:p>
        </w:tc>
        <w:tc>
          <w:tcPr>
            <w:tcW w:w="1036" w:type="pct"/>
            <w:vAlign w:val="center"/>
          </w:tcPr>
          <w:p w14:paraId="79AB7F07">
            <w:pPr>
              <w:spacing w:line="240" w:lineRule="auto"/>
              <w:ind w:firstLine="0" w:firstLineChars="0"/>
              <w:jc w:val="center"/>
              <w:rPr>
                <w:color w:val="auto"/>
                <w:sz w:val="21"/>
                <w:szCs w:val="21"/>
              </w:rPr>
            </w:pPr>
            <w:r>
              <w:rPr>
                <w:color w:val="auto"/>
                <w:sz w:val="21"/>
                <w:szCs w:val="21"/>
              </w:rPr>
              <w:t>1.4</w:t>
            </w:r>
            <w:r>
              <w:rPr>
                <w:rFonts w:hint="eastAsia"/>
                <w:color w:val="auto"/>
                <w:sz w:val="21"/>
                <w:szCs w:val="21"/>
              </w:rPr>
              <w:t>平方公里</w:t>
            </w:r>
          </w:p>
        </w:tc>
        <w:tc>
          <w:tcPr>
            <w:tcW w:w="1470" w:type="pct"/>
            <w:tcBorders>
              <w:right w:val="nil"/>
            </w:tcBorders>
            <w:vAlign w:val="center"/>
          </w:tcPr>
          <w:p w14:paraId="43351CDD">
            <w:pPr>
              <w:spacing w:line="240" w:lineRule="auto"/>
              <w:ind w:firstLine="0" w:firstLineChars="0"/>
              <w:jc w:val="center"/>
              <w:rPr>
                <w:color w:val="auto"/>
                <w:sz w:val="21"/>
                <w:szCs w:val="21"/>
              </w:rPr>
            </w:pPr>
            <w:r>
              <w:rPr>
                <w:color w:val="auto"/>
                <w:sz w:val="21"/>
                <w:szCs w:val="21"/>
              </w:rPr>
              <w:t>水源水质保护</w:t>
            </w:r>
          </w:p>
        </w:tc>
      </w:tr>
      <w:tr w14:paraId="1CCB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2C0AB044">
            <w:pPr>
              <w:spacing w:line="240" w:lineRule="auto"/>
              <w:ind w:firstLine="0" w:firstLineChars="0"/>
              <w:jc w:val="center"/>
              <w:rPr>
                <w:color w:val="auto"/>
                <w:sz w:val="21"/>
                <w:szCs w:val="21"/>
              </w:rPr>
            </w:pPr>
          </w:p>
        </w:tc>
        <w:tc>
          <w:tcPr>
            <w:tcW w:w="786" w:type="pct"/>
            <w:tcBorders>
              <w:top w:val="single" w:color="000000" w:sz="4" w:space="0"/>
              <w:left w:val="single" w:color="000000" w:sz="4" w:space="0"/>
              <w:bottom w:val="single" w:color="000000" w:sz="4" w:space="0"/>
              <w:right w:val="single" w:color="000000" w:sz="4" w:space="0"/>
            </w:tcBorders>
            <w:vAlign w:val="center"/>
          </w:tcPr>
          <w:p w14:paraId="3118D920">
            <w:pPr>
              <w:spacing w:line="240" w:lineRule="auto"/>
              <w:ind w:firstLine="0" w:firstLineChars="0"/>
              <w:jc w:val="center"/>
              <w:rPr>
                <w:color w:val="auto"/>
                <w:sz w:val="21"/>
                <w:szCs w:val="21"/>
              </w:rPr>
            </w:pPr>
            <w:r>
              <w:rPr>
                <w:rFonts w:hint="eastAsia"/>
                <w:color w:val="auto"/>
                <w:sz w:val="21"/>
                <w:szCs w:val="21"/>
              </w:rPr>
              <w:t>海门区沿江堤防生态公益林</w:t>
            </w:r>
          </w:p>
        </w:tc>
        <w:tc>
          <w:tcPr>
            <w:tcW w:w="501" w:type="pct"/>
            <w:vAlign w:val="center"/>
          </w:tcPr>
          <w:p w14:paraId="214E71D9">
            <w:pPr>
              <w:spacing w:line="240" w:lineRule="auto"/>
              <w:ind w:firstLine="0" w:firstLineChars="0"/>
              <w:jc w:val="center"/>
              <w:rPr>
                <w:color w:val="auto"/>
                <w:sz w:val="21"/>
                <w:szCs w:val="21"/>
              </w:rPr>
            </w:pPr>
            <w:r>
              <w:rPr>
                <w:rFonts w:hint="eastAsia"/>
                <w:color w:val="auto"/>
                <w:sz w:val="21"/>
                <w:szCs w:val="21"/>
              </w:rPr>
              <w:t>W</w:t>
            </w:r>
          </w:p>
        </w:tc>
        <w:tc>
          <w:tcPr>
            <w:tcW w:w="660" w:type="pct"/>
            <w:vAlign w:val="center"/>
          </w:tcPr>
          <w:p w14:paraId="597267C6">
            <w:pPr>
              <w:spacing w:line="240" w:lineRule="auto"/>
              <w:ind w:firstLine="0" w:firstLineChars="0"/>
              <w:jc w:val="center"/>
              <w:rPr>
                <w:color w:val="auto"/>
                <w:sz w:val="21"/>
                <w:szCs w:val="21"/>
              </w:rPr>
            </w:pPr>
            <w:r>
              <w:rPr>
                <w:rFonts w:hint="eastAsia"/>
                <w:color w:val="auto"/>
                <w:sz w:val="21"/>
                <w:szCs w:val="21"/>
              </w:rPr>
              <w:t>3414</w:t>
            </w:r>
          </w:p>
        </w:tc>
        <w:tc>
          <w:tcPr>
            <w:tcW w:w="1036" w:type="pct"/>
            <w:vAlign w:val="center"/>
          </w:tcPr>
          <w:p w14:paraId="1503FDE2">
            <w:pPr>
              <w:spacing w:line="240" w:lineRule="auto"/>
              <w:ind w:firstLine="0" w:firstLineChars="0"/>
              <w:jc w:val="center"/>
              <w:rPr>
                <w:color w:val="auto"/>
                <w:sz w:val="21"/>
                <w:szCs w:val="21"/>
              </w:rPr>
            </w:pPr>
            <w:r>
              <w:rPr>
                <w:rFonts w:hint="eastAsia"/>
                <w:color w:val="auto"/>
                <w:sz w:val="21"/>
                <w:szCs w:val="21"/>
              </w:rPr>
              <w:t>3.02平方公里</w:t>
            </w:r>
          </w:p>
        </w:tc>
        <w:tc>
          <w:tcPr>
            <w:tcW w:w="1470" w:type="pct"/>
            <w:tcBorders>
              <w:right w:val="nil"/>
            </w:tcBorders>
            <w:vAlign w:val="center"/>
          </w:tcPr>
          <w:p w14:paraId="552F909B">
            <w:pPr>
              <w:spacing w:line="240" w:lineRule="auto"/>
              <w:ind w:firstLine="0" w:firstLineChars="0"/>
              <w:jc w:val="center"/>
              <w:rPr>
                <w:color w:val="auto"/>
                <w:sz w:val="21"/>
                <w:szCs w:val="21"/>
              </w:rPr>
            </w:pPr>
            <w:r>
              <w:rPr>
                <w:rFonts w:hint="eastAsia"/>
                <w:color w:val="auto"/>
                <w:sz w:val="21"/>
                <w:szCs w:val="21"/>
              </w:rPr>
              <w:t>水土保持</w:t>
            </w:r>
          </w:p>
        </w:tc>
      </w:tr>
      <w:tr w14:paraId="1477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42E4AAEF">
            <w:pPr>
              <w:spacing w:line="240" w:lineRule="auto"/>
              <w:ind w:firstLine="0" w:firstLineChars="0"/>
              <w:jc w:val="center"/>
              <w:rPr>
                <w:color w:val="auto"/>
                <w:sz w:val="21"/>
                <w:szCs w:val="21"/>
              </w:rPr>
            </w:pPr>
          </w:p>
        </w:tc>
        <w:tc>
          <w:tcPr>
            <w:tcW w:w="786" w:type="pct"/>
            <w:tcBorders>
              <w:top w:val="single" w:color="000000" w:sz="4" w:space="0"/>
              <w:left w:val="single" w:color="000000" w:sz="4" w:space="0"/>
              <w:bottom w:val="single" w:color="000000" w:sz="4" w:space="0"/>
              <w:right w:val="single" w:color="000000" w:sz="4" w:space="0"/>
            </w:tcBorders>
            <w:vAlign w:val="center"/>
          </w:tcPr>
          <w:p w14:paraId="597E5C1A">
            <w:pPr>
              <w:spacing w:line="240" w:lineRule="auto"/>
              <w:ind w:firstLine="0" w:firstLineChars="0"/>
              <w:jc w:val="center"/>
              <w:rPr>
                <w:color w:val="auto"/>
                <w:sz w:val="21"/>
                <w:szCs w:val="21"/>
              </w:rPr>
            </w:pPr>
            <w:r>
              <w:rPr>
                <w:rFonts w:hint="eastAsia"/>
                <w:color w:val="auto"/>
                <w:sz w:val="21"/>
                <w:szCs w:val="21"/>
              </w:rPr>
              <w:t>长江（海门区）重要湿地</w:t>
            </w:r>
          </w:p>
        </w:tc>
        <w:tc>
          <w:tcPr>
            <w:tcW w:w="501" w:type="pct"/>
            <w:vAlign w:val="center"/>
          </w:tcPr>
          <w:p w14:paraId="5FA04402">
            <w:pPr>
              <w:spacing w:line="240" w:lineRule="auto"/>
              <w:ind w:firstLine="0" w:firstLineChars="0"/>
              <w:jc w:val="center"/>
              <w:rPr>
                <w:color w:val="auto"/>
                <w:sz w:val="21"/>
                <w:szCs w:val="21"/>
              </w:rPr>
            </w:pPr>
            <w:r>
              <w:rPr>
                <w:rFonts w:hint="eastAsia"/>
                <w:color w:val="auto"/>
                <w:sz w:val="21"/>
                <w:szCs w:val="21"/>
              </w:rPr>
              <w:t>W</w:t>
            </w:r>
          </w:p>
        </w:tc>
        <w:tc>
          <w:tcPr>
            <w:tcW w:w="660" w:type="pct"/>
            <w:vAlign w:val="center"/>
          </w:tcPr>
          <w:p w14:paraId="225DF684">
            <w:pPr>
              <w:spacing w:line="240" w:lineRule="auto"/>
              <w:ind w:firstLine="0" w:firstLineChars="0"/>
              <w:jc w:val="center"/>
              <w:rPr>
                <w:color w:val="auto"/>
                <w:sz w:val="21"/>
                <w:szCs w:val="21"/>
              </w:rPr>
            </w:pPr>
            <w:r>
              <w:rPr>
                <w:rFonts w:hint="eastAsia"/>
                <w:color w:val="auto"/>
                <w:sz w:val="21"/>
                <w:szCs w:val="21"/>
              </w:rPr>
              <w:t>5351</w:t>
            </w:r>
          </w:p>
        </w:tc>
        <w:tc>
          <w:tcPr>
            <w:tcW w:w="1036" w:type="pct"/>
            <w:vAlign w:val="center"/>
          </w:tcPr>
          <w:p w14:paraId="09C6EE1D">
            <w:pPr>
              <w:spacing w:line="240" w:lineRule="auto"/>
              <w:ind w:firstLine="0" w:firstLineChars="0"/>
              <w:jc w:val="center"/>
              <w:rPr>
                <w:color w:val="auto"/>
                <w:sz w:val="21"/>
                <w:szCs w:val="21"/>
              </w:rPr>
            </w:pPr>
            <w:r>
              <w:rPr>
                <w:rFonts w:hint="eastAsia"/>
                <w:color w:val="auto"/>
                <w:sz w:val="21"/>
                <w:szCs w:val="21"/>
              </w:rPr>
              <w:t>11.76平方公里</w:t>
            </w:r>
          </w:p>
        </w:tc>
        <w:tc>
          <w:tcPr>
            <w:tcW w:w="1470" w:type="pct"/>
            <w:tcBorders>
              <w:right w:val="nil"/>
            </w:tcBorders>
            <w:vAlign w:val="center"/>
          </w:tcPr>
          <w:p w14:paraId="2FA97EF1">
            <w:pPr>
              <w:spacing w:line="240" w:lineRule="auto"/>
              <w:ind w:firstLine="0" w:firstLineChars="0"/>
              <w:jc w:val="center"/>
              <w:rPr>
                <w:color w:val="auto"/>
                <w:sz w:val="21"/>
                <w:szCs w:val="21"/>
              </w:rPr>
            </w:pPr>
            <w:r>
              <w:rPr>
                <w:rFonts w:hint="eastAsia"/>
                <w:color w:val="auto"/>
                <w:sz w:val="21"/>
                <w:szCs w:val="21"/>
              </w:rPr>
              <w:t>湿地生态系统保护</w:t>
            </w:r>
          </w:p>
        </w:tc>
      </w:tr>
      <w:tr w14:paraId="1D1A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restart"/>
            <w:tcBorders>
              <w:left w:val="nil"/>
            </w:tcBorders>
            <w:vAlign w:val="center"/>
          </w:tcPr>
          <w:p w14:paraId="4CDDE2B6">
            <w:pPr>
              <w:spacing w:line="240" w:lineRule="auto"/>
              <w:ind w:firstLine="0" w:firstLineChars="0"/>
              <w:jc w:val="center"/>
              <w:rPr>
                <w:color w:val="auto"/>
                <w:sz w:val="21"/>
                <w:szCs w:val="21"/>
              </w:rPr>
            </w:pPr>
            <w:bookmarkStart w:id="47" w:name="_Hlk190095445"/>
            <w:r>
              <w:rPr>
                <w:color w:val="auto"/>
                <w:sz w:val="21"/>
                <w:szCs w:val="21"/>
              </w:rPr>
              <w:t>环境风险</w:t>
            </w:r>
          </w:p>
        </w:tc>
        <w:tc>
          <w:tcPr>
            <w:tcW w:w="786" w:type="pct"/>
            <w:vAlign w:val="center"/>
          </w:tcPr>
          <w:p w14:paraId="774F4558">
            <w:pPr>
              <w:spacing w:line="240" w:lineRule="auto"/>
              <w:ind w:firstLine="0" w:firstLineChars="0"/>
              <w:jc w:val="center"/>
              <w:rPr>
                <w:color w:val="auto"/>
                <w:sz w:val="21"/>
                <w:szCs w:val="21"/>
              </w:rPr>
            </w:pPr>
            <w:r>
              <w:rPr>
                <w:color w:val="auto"/>
                <w:sz w:val="21"/>
                <w:szCs w:val="21"/>
              </w:rPr>
              <w:t>北新镇</w:t>
            </w:r>
          </w:p>
        </w:tc>
        <w:tc>
          <w:tcPr>
            <w:tcW w:w="501" w:type="pct"/>
            <w:vAlign w:val="center"/>
          </w:tcPr>
          <w:p w14:paraId="37242A05">
            <w:pPr>
              <w:spacing w:line="240" w:lineRule="auto"/>
              <w:ind w:firstLine="0" w:firstLineChars="0"/>
              <w:jc w:val="center"/>
              <w:rPr>
                <w:color w:val="auto"/>
                <w:sz w:val="21"/>
                <w:szCs w:val="21"/>
              </w:rPr>
            </w:pPr>
            <w:r>
              <w:rPr>
                <w:color w:val="auto"/>
                <w:sz w:val="21"/>
                <w:szCs w:val="21"/>
              </w:rPr>
              <w:t>NE</w:t>
            </w:r>
          </w:p>
        </w:tc>
        <w:tc>
          <w:tcPr>
            <w:tcW w:w="660" w:type="pct"/>
            <w:vAlign w:val="center"/>
          </w:tcPr>
          <w:p w14:paraId="016CCEC6">
            <w:pPr>
              <w:spacing w:line="240" w:lineRule="auto"/>
              <w:ind w:firstLine="0" w:firstLineChars="0"/>
              <w:jc w:val="center"/>
              <w:rPr>
                <w:color w:val="auto"/>
                <w:sz w:val="21"/>
                <w:szCs w:val="21"/>
              </w:rPr>
            </w:pPr>
            <w:r>
              <w:rPr>
                <w:color w:val="auto"/>
                <w:sz w:val="21"/>
                <w:szCs w:val="21"/>
              </w:rPr>
              <w:t>520</w:t>
            </w:r>
          </w:p>
        </w:tc>
        <w:tc>
          <w:tcPr>
            <w:tcW w:w="1036" w:type="pct"/>
            <w:vAlign w:val="center"/>
          </w:tcPr>
          <w:p w14:paraId="464523F2">
            <w:pPr>
              <w:spacing w:line="240" w:lineRule="auto"/>
              <w:ind w:firstLine="0" w:firstLineChars="0"/>
              <w:jc w:val="center"/>
              <w:rPr>
                <w:color w:val="auto"/>
                <w:sz w:val="21"/>
                <w:szCs w:val="21"/>
              </w:rPr>
            </w:pPr>
            <w:r>
              <w:rPr>
                <w:color w:val="auto"/>
                <w:sz w:val="21"/>
                <w:szCs w:val="21"/>
              </w:rPr>
              <w:t>6000人</w:t>
            </w:r>
          </w:p>
        </w:tc>
        <w:tc>
          <w:tcPr>
            <w:tcW w:w="1470" w:type="pct"/>
            <w:vMerge w:val="restart"/>
            <w:tcBorders>
              <w:right w:val="nil"/>
            </w:tcBorders>
            <w:vAlign w:val="center"/>
          </w:tcPr>
          <w:p w14:paraId="6580E696">
            <w:pPr>
              <w:spacing w:line="240" w:lineRule="auto"/>
              <w:ind w:firstLine="0" w:firstLineChars="0"/>
              <w:jc w:val="center"/>
              <w:rPr>
                <w:color w:val="auto"/>
                <w:sz w:val="21"/>
                <w:szCs w:val="21"/>
              </w:rPr>
            </w:pPr>
            <w:r>
              <w:rPr>
                <w:color w:val="auto"/>
                <w:sz w:val="21"/>
                <w:szCs w:val="21"/>
              </w:rPr>
              <w:t>《环境空气质量标准》(GB3095-20</w:t>
            </w:r>
            <w:r>
              <w:rPr>
                <w:rFonts w:hint="eastAsia"/>
                <w:color w:val="auto"/>
                <w:sz w:val="21"/>
                <w:szCs w:val="21"/>
              </w:rPr>
              <w:t>26</w:t>
            </w:r>
            <w:r>
              <w:rPr>
                <w:color w:val="auto"/>
                <w:sz w:val="21"/>
                <w:szCs w:val="21"/>
              </w:rPr>
              <w:t>)中的二级标准</w:t>
            </w:r>
          </w:p>
        </w:tc>
      </w:tr>
      <w:tr w14:paraId="5068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2D3B539A">
            <w:pPr>
              <w:spacing w:line="240" w:lineRule="auto"/>
              <w:ind w:firstLine="0" w:firstLineChars="0"/>
              <w:jc w:val="center"/>
              <w:rPr>
                <w:color w:val="auto"/>
                <w:sz w:val="21"/>
                <w:szCs w:val="21"/>
              </w:rPr>
            </w:pPr>
          </w:p>
        </w:tc>
        <w:tc>
          <w:tcPr>
            <w:tcW w:w="786" w:type="pct"/>
            <w:vAlign w:val="center"/>
          </w:tcPr>
          <w:p w14:paraId="580304E6">
            <w:pPr>
              <w:spacing w:line="240" w:lineRule="auto"/>
              <w:ind w:firstLine="0" w:firstLineChars="0"/>
              <w:jc w:val="center"/>
              <w:rPr>
                <w:color w:val="auto"/>
                <w:sz w:val="21"/>
                <w:szCs w:val="21"/>
              </w:rPr>
            </w:pPr>
            <w:r>
              <w:rPr>
                <w:color w:val="auto"/>
                <w:sz w:val="21"/>
                <w:szCs w:val="21"/>
              </w:rPr>
              <w:t>富民村</w:t>
            </w:r>
          </w:p>
        </w:tc>
        <w:tc>
          <w:tcPr>
            <w:tcW w:w="501" w:type="pct"/>
            <w:vAlign w:val="center"/>
          </w:tcPr>
          <w:p w14:paraId="06DFD01D">
            <w:pPr>
              <w:spacing w:line="240" w:lineRule="auto"/>
              <w:ind w:firstLine="0" w:firstLineChars="0"/>
              <w:jc w:val="center"/>
              <w:rPr>
                <w:color w:val="auto"/>
                <w:sz w:val="21"/>
                <w:szCs w:val="21"/>
              </w:rPr>
            </w:pPr>
            <w:r>
              <w:rPr>
                <w:color w:val="auto"/>
                <w:sz w:val="21"/>
                <w:szCs w:val="21"/>
              </w:rPr>
              <w:t>N</w:t>
            </w:r>
          </w:p>
        </w:tc>
        <w:tc>
          <w:tcPr>
            <w:tcW w:w="660" w:type="pct"/>
            <w:vAlign w:val="center"/>
          </w:tcPr>
          <w:p w14:paraId="533F92DE">
            <w:pPr>
              <w:spacing w:line="240" w:lineRule="auto"/>
              <w:ind w:firstLine="0" w:firstLineChars="0"/>
              <w:jc w:val="center"/>
              <w:rPr>
                <w:color w:val="auto"/>
                <w:sz w:val="21"/>
                <w:szCs w:val="21"/>
              </w:rPr>
            </w:pPr>
            <w:r>
              <w:rPr>
                <w:color w:val="auto"/>
                <w:sz w:val="21"/>
                <w:szCs w:val="21"/>
              </w:rPr>
              <w:t>600</w:t>
            </w:r>
          </w:p>
        </w:tc>
        <w:tc>
          <w:tcPr>
            <w:tcW w:w="1036" w:type="pct"/>
            <w:vAlign w:val="center"/>
          </w:tcPr>
          <w:p w14:paraId="48F2408A">
            <w:pPr>
              <w:spacing w:line="240" w:lineRule="auto"/>
              <w:ind w:firstLine="0" w:firstLineChars="0"/>
              <w:jc w:val="center"/>
              <w:rPr>
                <w:color w:val="auto"/>
                <w:sz w:val="21"/>
                <w:szCs w:val="21"/>
              </w:rPr>
            </w:pPr>
            <w:r>
              <w:rPr>
                <w:color w:val="auto"/>
                <w:sz w:val="21"/>
                <w:szCs w:val="21"/>
              </w:rPr>
              <w:t>500人</w:t>
            </w:r>
          </w:p>
        </w:tc>
        <w:tc>
          <w:tcPr>
            <w:tcW w:w="1470" w:type="pct"/>
            <w:vMerge w:val="continue"/>
            <w:tcBorders>
              <w:right w:val="nil"/>
            </w:tcBorders>
            <w:vAlign w:val="center"/>
          </w:tcPr>
          <w:p w14:paraId="10A2CB92">
            <w:pPr>
              <w:spacing w:line="240" w:lineRule="auto"/>
              <w:ind w:firstLine="0" w:firstLineChars="0"/>
              <w:jc w:val="center"/>
              <w:rPr>
                <w:color w:val="auto"/>
                <w:sz w:val="21"/>
                <w:szCs w:val="21"/>
              </w:rPr>
            </w:pPr>
          </w:p>
        </w:tc>
      </w:tr>
      <w:tr w14:paraId="7E6D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50413F21">
            <w:pPr>
              <w:spacing w:line="240" w:lineRule="auto"/>
              <w:ind w:firstLine="0" w:firstLineChars="0"/>
              <w:jc w:val="center"/>
              <w:rPr>
                <w:color w:val="auto"/>
                <w:sz w:val="21"/>
                <w:szCs w:val="21"/>
              </w:rPr>
            </w:pPr>
          </w:p>
        </w:tc>
        <w:tc>
          <w:tcPr>
            <w:tcW w:w="786" w:type="pct"/>
            <w:vAlign w:val="center"/>
          </w:tcPr>
          <w:p w14:paraId="721FB532">
            <w:pPr>
              <w:spacing w:line="240" w:lineRule="auto"/>
              <w:ind w:firstLine="0" w:firstLineChars="0"/>
              <w:jc w:val="center"/>
              <w:rPr>
                <w:color w:val="auto"/>
                <w:sz w:val="21"/>
                <w:szCs w:val="21"/>
              </w:rPr>
            </w:pPr>
            <w:r>
              <w:rPr>
                <w:color w:val="auto"/>
                <w:sz w:val="21"/>
                <w:szCs w:val="21"/>
              </w:rPr>
              <w:t>三和村</w:t>
            </w:r>
          </w:p>
        </w:tc>
        <w:tc>
          <w:tcPr>
            <w:tcW w:w="501" w:type="pct"/>
            <w:vAlign w:val="center"/>
          </w:tcPr>
          <w:p w14:paraId="457721B2">
            <w:pPr>
              <w:spacing w:line="240" w:lineRule="auto"/>
              <w:ind w:firstLine="0" w:firstLineChars="0"/>
              <w:jc w:val="center"/>
              <w:rPr>
                <w:color w:val="auto"/>
                <w:sz w:val="21"/>
                <w:szCs w:val="21"/>
              </w:rPr>
            </w:pPr>
            <w:r>
              <w:rPr>
                <w:color w:val="auto"/>
                <w:sz w:val="21"/>
                <w:szCs w:val="21"/>
              </w:rPr>
              <w:t>E</w:t>
            </w:r>
          </w:p>
        </w:tc>
        <w:tc>
          <w:tcPr>
            <w:tcW w:w="660" w:type="pct"/>
            <w:vAlign w:val="center"/>
          </w:tcPr>
          <w:p w14:paraId="06547E1D">
            <w:pPr>
              <w:spacing w:line="240" w:lineRule="auto"/>
              <w:ind w:firstLine="0" w:firstLineChars="0"/>
              <w:jc w:val="center"/>
              <w:rPr>
                <w:color w:val="auto"/>
                <w:sz w:val="21"/>
                <w:szCs w:val="21"/>
              </w:rPr>
            </w:pPr>
            <w:r>
              <w:rPr>
                <w:color w:val="auto"/>
                <w:sz w:val="21"/>
                <w:szCs w:val="21"/>
              </w:rPr>
              <w:t>1160</w:t>
            </w:r>
          </w:p>
        </w:tc>
        <w:tc>
          <w:tcPr>
            <w:tcW w:w="1036" w:type="pct"/>
            <w:vAlign w:val="center"/>
          </w:tcPr>
          <w:p w14:paraId="7276C6D8">
            <w:pPr>
              <w:spacing w:line="240" w:lineRule="auto"/>
              <w:ind w:firstLine="0" w:firstLineChars="0"/>
              <w:jc w:val="center"/>
              <w:rPr>
                <w:color w:val="auto"/>
                <w:sz w:val="21"/>
                <w:szCs w:val="21"/>
              </w:rPr>
            </w:pPr>
            <w:r>
              <w:rPr>
                <w:color w:val="auto"/>
                <w:sz w:val="21"/>
                <w:szCs w:val="21"/>
              </w:rPr>
              <w:t>400人</w:t>
            </w:r>
          </w:p>
        </w:tc>
        <w:tc>
          <w:tcPr>
            <w:tcW w:w="1470" w:type="pct"/>
            <w:vMerge w:val="continue"/>
            <w:tcBorders>
              <w:right w:val="nil"/>
            </w:tcBorders>
            <w:vAlign w:val="center"/>
          </w:tcPr>
          <w:p w14:paraId="51B74208">
            <w:pPr>
              <w:spacing w:line="240" w:lineRule="auto"/>
              <w:ind w:firstLine="0" w:firstLineChars="0"/>
              <w:jc w:val="center"/>
              <w:rPr>
                <w:color w:val="auto"/>
                <w:sz w:val="21"/>
                <w:szCs w:val="21"/>
              </w:rPr>
            </w:pPr>
          </w:p>
        </w:tc>
      </w:tr>
      <w:tr w14:paraId="3336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37A2DF51">
            <w:pPr>
              <w:spacing w:line="240" w:lineRule="auto"/>
              <w:ind w:firstLine="0" w:firstLineChars="0"/>
              <w:jc w:val="center"/>
              <w:rPr>
                <w:color w:val="auto"/>
                <w:sz w:val="21"/>
                <w:szCs w:val="21"/>
              </w:rPr>
            </w:pPr>
          </w:p>
        </w:tc>
        <w:tc>
          <w:tcPr>
            <w:tcW w:w="786" w:type="pct"/>
            <w:vAlign w:val="center"/>
          </w:tcPr>
          <w:p w14:paraId="7E5E080E">
            <w:pPr>
              <w:spacing w:line="240" w:lineRule="auto"/>
              <w:ind w:firstLine="0" w:firstLineChars="0"/>
              <w:jc w:val="center"/>
              <w:rPr>
                <w:color w:val="auto"/>
                <w:sz w:val="21"/>
                <w:szCs w:val="21"/>
              </w:rPr>
            </w:pPr>
            <w:r>
              <w:rPr>
                <w:color w:val="auto"/>
                <w:sz w:val="21"/>
                <w:szCs w:val="21"/>
              </w:rPr>
              <w:t>灯杆村</w:t>
            </w:r>
          </w:p>
        </w:tc>
        <w:tc>
          <w:tcPr>
            <w:tcW w:w="501" w:type="pct"/>
            <w:vAlign w:val="center"/>
          </w:tcPr>
          <w:p w14:paraId="7867F4EC">
            <w:pPr>
              <w:spacing w:line="240" w:lineRule="auto"/>
              <w:ind w:firstLine="0" w:firstLineChars="0"/>
              <w:jc w:val="center"/>
              <w:rPr>
                <w:color w:val="auto"/>
                <w:sz w:val="21"/>
                <w:szCs w:val="21"/>
              </w:rPr>
            </w:pPr>
            <w:r>
              <w:rPr>
                <w:color w:val="auto"/>
                <w:sz w:val="21"/>
                <w:szCs w:val="21"/>
              </w:rPr>
              <w:t>NW</w:t>
            </w:r>
          </w:p>
        </w:tc>
        <w:tc>
          <w:tcPr>
            <w:tcW w:w="660" w:type="pct"/>
            <w:vAlign w:val="center"/>
          </w:tcPr>
          <w:p w14:paraId="472BFB0B">
            <w:pPr>
              <w:spacing w:line="240" w:lineRule="auto"/>
              <w:ind w:firstLine="0" w:firstLineChars="0"/>
              <w:jc w:val="center"/>
              <w:rPr>
                <w:color w:val="auto"/>
                <w:sz w:val="21"/>
                <w:szCs w:val="21"/>
              </w:rPr>
            </w:pPr>
            <w:r>
              <w:rPr>
                <w:color w:val="auto"/>
                <w:sz w:val="21"/>
                <w:szCs w:val="21"/>
              </w:rPr>
              <w:t>1700</w:t>
            </w:r>
          </w:p>
        </w:tc>
        <w:tc>
          <w:tcPr>
            <w:tcW w:w="1036" w:type="pct"/>
            <w:vAlign w:val="center"/>
          </w:tcPr>
          <w:p w14:paraId="7D4AB1D4">
            <w:pPr>
              <w:spacing w:line="240" w:lineRule="auto"/>
              <w:ind w:firstLine="0" w:firstLineChars="0"/>
              <w:jc w:val="center"/>
              <w:rPr>
                <w:color w:val="auto"/>
                <w:sz w:val="21"/>
                <w:szCs w:val="21"/>
              </w:rPr>
            </w:pPr>
            <w:r>
              <w:rPr>
                <w:color w:val="auto"/>
                <w:sz w:val="21"/>
                <w:szCs w:val="21"/>
              </w:rPr>
              <w:t>1000人</w:t>
            </w:r>
          </w:p>
        </w:tc>
        <w:tc>
          <w:tcPr>
            <w:tcW w:w="1470" w:type="pct"/>
            <w:vMerge w:val="continue"/>
            <w:tcBorders>
              <w:right w:val="nil"/>
            </w:tcBorders>
            <w:vAlign w:val="center"/>
          </w:tcPr>
          <w:p w14:paraId="3595143E">
            <w:pPr>
              <w:spacing w:line="240" w:lineRule="auto"/>
              <w:ind w:firstLine="0" w:firstLineChars="0"/>
              <w:jc w:val="center"/>
              <w:rPr>
                <w:color w:val="auto"/>
                <w:sz w:val="21"/>
                <w:szCs w:val="21"/>
              </w:rPr>
            </w:pPr>
          </w:p>
        </w:tc>
      </w:tr>
      <w:tr w14:paraId="2D8E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478E1DA2">
            <w:pPr>
              <w:spacing w:line="240" w:lineRule="auto"/>
              <w:ind w:firstLine="0" w:firstLineChars="0"/>
              <w:jc w:val="center"/>
              <w:rPr>
                <w:color w:val="auto"/>
                <w:sz w:val="21"/>
                <w:szCs w:val="21"/>
              </w:rPr>
            </w:pPr>
          </w:p>
        </w:tc>
        <w:tc>
          <w:tcPr>
            <w:tcW w:w="786" w:type="pct"/>
            <w:vAlign w:val="center"/>
          </w:tcPr>
          <w:p w14:paraId="32139FF3">
            <w:pPr>
              <w:spacing w:line="240" w:lineRule="auto"/>
              <w:ind w:firstLine="0" w:firstLineChars="0"/>
              <w:jc w:val="center"/>
              <w:rPr>
                <w:color w:val="auto"/>
                <w:sz w:val="21"/>
                <w:szCs w:val="21"/>
              </w:rPr>
            </w:pPr>
            <w:r>
              <w:rPr>
                <w:color w:val="auto"/>
                <w:sz w:val="21"/>
                <w:szCs w:val="21"/>
              </w:rPr>
              <w:t>光卫村</w:t>
            </w:r>
          </w:p>
        </w:tc>
        <w:tc>
          <w:tcPr>
            <w:tcW w:w="501" w:type="pct"/>
            <w:vAlign w:val="center"/>
          </w:tcPr>
          <w:p w14:paraId="35EC0DC9">
            <w:pPr>
              <w:spacing w:line="240" w:lineRule="auto"/>
              <w:ind w:firstLine="0" w:firstLineChars="0"/>
              <w:jc w:val="center"/>
              <w:rPr>
                <w:color w:val="auto"/>
                <w:sz w:val="21"/>
                <w:szCs w:val="21"/>
              </w:rPr>
            </w:pPr>
            <w:r>
              <w:rPr>
                <w:color w:val="auto"/>
                <w:sz w:val="21"/>
                <w:szCs w:val="21"/>
              </w:rPr>
              <w:t>NE</w:t>
            </w:r>
          </w:p>
        </w:tc>
        <w:tc>
          <w:tcPr>
            <w:tcW w:w="660" w:type="pct"/>
            <w:vAlign w:val="center"/>
          </w:tcPr>
          <w:p w14:paraId="3BD9B010">
            <w:pPr>
              <w:spacing w:line="240" w:lineRule="auto"/>
              <w:ind w:firstLine="0" w:firstLineChars="0"/>
              <w:jc w:val="center"/>
              <w:rPr>
                <w:color w:val="auto"/>
                <w:sz w:val="21"/>
                <w:szCs w:val="21"/>
              </w:rPr>
            </w:pPr>
            <w:r>
              <w:rPr>
                <w:color w:val="auto"/>
                <w:sz w:val="21"/>
                <w:szCs w:val="21"/>
              </w:rPr>
              <w:t>1800</w:t>
            </w:r>
          </w:p>
        </w:tc>
        <w:tc>
          <w:tcPr>
            <w:tcW w:w="1036" w:type="pct"/>
            <w:vAlign w:val="center"/>
          </w:tcPr>
          <w:p w14:paraId="294419B3">
            <w:pPr>
              <w:spacing w:line="240" w:lineRule="auto"/>
              <w:ind w:firstLine="0" w:firstLineChars="0"/>
              <w:jc w:val="center"/>
              <w:rPr>
                <w:color w:val="auto"/>
                <w:sz w:val="21"/>
                <w:szCs w:val="21"/>
              </w:rPr>
            </w:pPr>
            <w:r>
              <w:rPr>
                <w:color w:val="auto"/>
                <w:sz w:val="21"/>
                <w:szCs w:val="21"/>
              </w:rPr>
              <w:t>600人</w:t>
            </w:r>
          </w:p>
        </w:tc>
        <w:tc>
          <w:tcPr>
            <w:tcW w:w="1470" w:type="pct"/>
            <w:vMerge w:val="continue"/>
            <w:tcBorders>
              <w:right w:val="nil"/>
            </w:tcBorders>
            <w:vAlign w:val="center"/>
          </w:tcPr>
          <w:p w14:paraId="349AB13C">
            <w:pPr>
              <w:spacing w:line="240" w:lineRule="auto"/>
              <w:ind w:firstLine="0" w:firstLineChars="0"/>
              <w:jc w:val="center"/>
              <w:rPr>
                <w:color w:val="auto"/>
                <w:sz w:val="21"/>
                <w:szCs w:val="21"/>
              </w:rPr>
            </w:pPr>
          </w:p>
        </w:tc>
      </w:tr>
      <w:tr w14:paraId="3E90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3E09D674">
            <w:pPr>
              <w:spacing w:line="240" w:lineRule="auto"/>
              <w:ind w:firstLine="0" w:firstLineChars="0"/>
              <w:jc w:val="center"/>
              <w:rPr>
                <w:color w:val="auto"/>
                <w:sz w:val="21"/>
                <w:szCs w:val="21"/>
              </w:rPr>
            </w:pPr>
          </w:p>
        </w:tc>
        <w:tc>
          <w:tcPr>
            <w:tcW w:w="786" w:type="pct"/>
            <w:vAlign w:val="center"/>
          </w:tcPr>
          <w:p w14:paraId="1A74E7ED">
            <w:pPr>
              <w:spacing w:line="240" w:lineRule="auto"/>
              <w:ind w:firstLine="0" w:firstLineChars="0"/>
              <w:jc w:val="center"/>
              <w:rPr>
                <w:color w:val="auto"/>
                <w:sz w:val="21"/>
                <w:szCs w:val="21"/>
              </w:rPr>
            </w:pPr>
            <w:r>
              <w:rPr>
                <w:color w:val="auto"/>
                <w:sz w:val="21"/>
                <w:szCs w:val="21"/>
              </w:rPr>
              <w:t>建西村</w:t>
            </w:r>
          </w:p>
        </w:tc>
        <w:tc>
          <w:tcPr>
            <w:tcW w:w="501" w:type="pct"/>
            <w:vAlign w:val="center"/>
          </w:tcPr>
          <w:p w14:paraId="11F22307">
            <w:pPr>
              <w:spacing w:line="240" w:lineRule="auto"/>
              <w:ind w:firstLine="0" w:firstLineChars="0"/>
              <w:jc w:val="center"/>
              <w:rPr>
                <w:color w:val="auto"/>
                <w:sz w:val="21"/>
                <w:szCs w:val="21"/>
              </w:rPr>
            </w:pPr>
            <w:r>
              <w:rPr>
                <w:color w:val="auto"/>
                <w:sz w:val="21"/>
                <w:szCs w:val="21"/>
              </w:rPr>
              <w:t>NE</w:t>
            </w:r>
          </w:p>
        </w:tc>
        <w:tc>
          <w:tcPr>
            <w:tcW w:w="660" w:type="pct"/>
            <w:vAlign w:val="center"/>
          </w:tcPr>
          <w:p w14:paraId="1136724D">
            <w:pPr>
              <w:spacing w:line="240" w:lineRule="auto"/>
              <w:ind w:firstLine="0" w:firstLineChars="0"/>
              <w:jc w:val="center"/>
              <w:rPr>
                <w:color w:val="auto"/>
                <w:sz w:val="21"/>
                <w:szCs w:val="21"/>
              </w:rPr>
            </w:pPr>
            <w:r>
              <w:rPr>
                <w:color w:val="auto"/>
                <w:sz w:val="21"/>
                <w:szCs w:val="21"/>
              </w:rPr>
              <w:t>2100</w:t>
            </w:r>
          </w:p>
        </w:tc>
        <w:tc>
          <w:tcPr>
            <w:tcW w:w="1036" w:type="pct"/>
            <w:vAlign w:val="center"/>
          </w:tcPr>
          <w:p w14:paraId="70CBB4A2">
            <w:pPr>
              <w:spacing w:line="240" w:lineRule="auto"/>
              <w:ind w:firstLine="0" w:firstLineChars="0"/>
              <w:jc w:val="center"/>
              <w:rPr>
                <w:color w:val="auto"/>
                <w:sz w:val="21"/>
                <w:szCs w:val="21"/>
              </w:rPr>
            </w:pPr>
            <w:r>
              <w:rPr>
                <w:color w:val="auto"/>
                <w:sz w:val="21"/>
                <w:szCs w:val="21"/>
              </w:rPr>
              <w:t>400人</w:t>
            </w:r>
          </w:p>
        </w:tc>
        <w:tc>
          <w:tcPr>
            <w:tcW w:w="1470" w:type="pct"/>
            <w:vMerge w:val="continue"/>
            <w:tcBorders>
              <w:right w:val="nil"/>
            </w:tcBorders>
            <w:vAlign w:val="center"/>
          </w:tcPr>
          <w:p w14:paraId="51DDA1B0">
            <w:pPr>
              <w:spacing w:line="240" w:lineRule="auto"/>
              <w:ind w:firstLine="0" w:firstLineChars="0"/>
              <w:jc w:val="center"/>
              <w:rPr>
                <w:color w:val="auto"/>
                <w:sz w:val="21"/>
                <w:szCs w:val="21"/>
              </w:rPr>
            </w:pPr>
          </w:p>
        </w:tc>
      </w:tr>
      <w:tr w14:paraId="0BDC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513F3C46">
            <w:pPr>
              <w:spacing w:line="240" w:lineRule="auto"/>
              <w:ind w:firstLine="0" w:firstLineChars="0"/>
              <w:jc w:val="center"/>
              <w:rPr>
                <w:color w:val="auto"/>
                <w:sz w:val="21"/>
                <w:szCs w:val="21"/>
              </w:rPr>
            </w:pPr>
          </w:p>
        </w:tc>
        <w:tc>
          <w:tcPr>
            <w:tcW w:w="786" w:type="pct"/>
            <w:vAlign w:val="center"/>
          </w:tcPr>
          <w:p w14:paraId="01F82D50">
            <w:pPr>
              <w:spacing w:line="240" w:lineRule="auto"/>
              <w:ind w:firstLine="0" w:firstLineChars="0"/>
              <w:jc w:val="center"/>
              <w:rPr>
                <w:color w:val="auto"/>
                <w:sz w:val="21"/>
                <w:szCs w:val="21"/>
              </w:rPr>
            </w:pPr>
            <w:r>
              <w:rPr>
                <w:color w:val="auto"/>
                <w:sz w:val="21"/>
                <w:szCs w:val="21"/>
              </w:rPr>
              <w:t>介英村</w:t>
            </w:r>
          </w:p>
        </w:tc>
        <w:tc>
          <w:tcPr>
            <w:tcW w:w="501" w:type="pct"/>
            <w:vAlign w:val="center"/>
          </w:tcPr>
          <w:p w14:paraId="28EF0E69">
            <w:pPr>
              <w:spacing w:line="240" w:lineRule="auto"/>
              <w:ind w:firstLine="0" w:firstLineChars="0"/>
              <w:jc w:val="center"/>
              <w:rPr>
                <w:color w:val="auto"/>
                <w:sz w:val="21"/>
                <w:szCs w:val="21"/>
              </w:rPr>
            </w:pPr>
            <w:r>
              <w:rPr>
                <w:color w:val="auto"/>
                <w:sz w:val="21"/>
                <w:szCs w:val="21"/>
              </w:rPr>
              <w:t>NW</w:t>
            </w:r>
          </w:p>
        </w:tc>
        <w:tc>
          <w:tcPr>
            <w:tcW w:w="660" w:type="pct"/>
            <w:vAlign w:val="center"/>
          </w:tcPr>
          <w:p w14:paraId="76089C66">
            <w:pPr>
              <w:spacing w:line="240" w:lineRule="auto"/>
              <w:ind w:firstLine="0" w:firstLineChars="0"/>
              <w:jc w:val="center"/>
              <w:rPr>
                <w:color w:val="auto"/>
                <w:sz w:val="21"/>
                <w:szCs w:val="21"/>
              </w:rPr>
            </w:pPr>
            <w:r>
              <w:rPr>
                <w:color w:val="auto"/>
                <w:sz w:val="21"/>
                <w:szCs w:val="21"/>
              </w:rPr>
              <w:t>2800</w:t>
            </w:r>
          </w:p>
        </w:tc>
        <w:tc>
          <w:tcPr>
            <w:tcW w:w="1036" w:type="pct"/>
            <w:vAlign w:val="center"/>
          </w:tcPr>
          <w:p w14:paraId="4364E61F">
            <w:pPr>
              <w:spacing w:line="240" w:lineRule="auto"/>
              <w:ind w:firstLine="0" w:firstLineChars="0"/>
              <w:jc w:val="center"/>
              <w:rPr>
                <w:color w:val="auto"/>
                <w:sz w:val="21"/>
                <w:szCs w:val="21"/>
              </w:rPr>
            </w:pPr>
            <w:r>
              <w:rPr>
                <w:color w:val="auto"/>
                <w:sz w:val="21"/>
                <w:szCs w:val="21"/>
              </w:rPr>
              <w:t>600人</w:t>
            </w:r>
          </w:p>
        </w:tc>
        <w:tc>
          <w:tcPr>
            <w:tcW w:w="1470" w:type="pct"/>
            <w:vMerge w:val="continue"/>
            <w:tcBorders>
              <w:right w:val="nil"/>
            </w:tcBorders>
            <w:vAlign w:val="center"/>
          </w:tcPr>
          <w:p w14:paraId="10DD10DA">
            <w:pPr>
              <w:spacing w:line="240" w:lineRule="auto"/>
              <w:ind w:firstLine="0" w:firstLineChars="0"/>
              <w:jc w:val="center"/>
              <w:rPr>
                <w:color w:val="auto"/>
                <w:sz w:val="21"/>
                <w:szCs w:val="21"/>
              </w:rPr>
            </w:pPr>
          </w:p>
        </w:tc>
      </w:tr>
      <w:tr w14:paraId="024F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1836B6D3">
            <w:pPr>
              <w:spacing w:line="240" w:lineRule="auto"/>
              <w:ind w:firstLine="0" w:firstLineChars="0"/>
              <w:jc w:val="center"/>
              <w:rPr>
                <w:color w:val="auto"/>
                <w:sz w:val="21"/>
                <w:szCs w:val="21"/>
              </w:rPr>
            </w:pPr>
          </w:p>
        </w:tc>
        <w:tc>
          <w:tcPr>
            <w:tcW w:w="786" w:type="pct"/>
            <w:vAlign w:val="center"/>
          </w:tcPr>
          <w:p w14:paraId="06107740">
            <w:pPr>
              <w:spacing w:line="240" w:lineRule="auto"/>
              <w:ind w:firstLine="0" w:firstLineChars="0"/>
              <w:jc w:val="center"/>
              <w:rPr>
                <w:color w:val="auto"/>
                <w:sz w:val="21"/>
                <w:szCs w:val="21"/>
              </w:rPr>
            </w:pPr>
            <w:r>
              <w:rPr>
                <w:color w:val="auto"/>
                <w:sz w:val="21"/>
                <w:szCs w:val="21"/>
              </w:rPr>
              <w:t>远兴村</w:t>
            </w:r>
          </w:p>
        </w:tc>
        <w:tc>
          <w:tcPr>
            <w:tcW w:w="501" w:type="pct"/>
            <w:vAlign w:val="center"/>
          </w:tcPr>
          <w:p w14:paraId="40BB8760">
            <w:pPr>
              <w:spacing w:line="240" w:lineRule="auto"/>
              <w:ind w:firstLine="0" w:firstLineChars="0"/>
              <w:jc w:val="center"/>
              <w:rPr>
                <w:color w:val="auto"/>
                <w:sz w:val="21"/>
                <w:szCs w:val="21"/>
              </w:rPr>
            </w:pPr>
            <w:r>
              <w:rPr>
                <w:color w:val="auto"/>
                <w:sz w:val="21"/>
                <w:szCs w:val="21"/>
              </w:rPr>
              <w:t>NW</w:t>
            </w:r>
          </w:p>
        </w:tc>
        <w:tc>
          <w:tcPr>
            <w:tcW w:w="660" w:type="pct"/>
            <w:vAlign w:val="center"/>
          </w:tcPr>
          <w:p w14:paraId="75453F65">
            <w:pPr>
              <w:spacing w:line="240" w:lineRule="auto"/>
              <w:ind w:firstLine="0" w:firstLineChars="0"/>
              <w:jc w:val="center"/>
              <w:rPr>
                <w:color w:val="auto"/>
                <w:sz w:val="21"/>
                <w:szCs w:val="21"/>
              </w:rPr>
            </w:pPr>
            <w:r>
              <w:rPr>
                <w:color w:val="auto"/>
                <w:sz w:val="21"/>
                <w:szCs w:val="21"/>
              </w:rPr>
              <w:t>4100</w:t>
            </w:r>
          </w:p>
        </w:tc>
        <w:tc>
          <w:tcPr>
            <w:tcW w:w="1036" w:type="pct"/>
            <w:vAlign w:val="center"/>
          </w:tcPr>
          <w:p w14:paraId="7C9DF781">
            <w:pPr>
              <w:spacing w:line="240" w:lineRule="auto"/>
              <w:ind w:firstLine="0" w:firstLineChars="0"/>
              <w:jc w:val="center"/>
              <w:rPr>
                <w:color w:val="auto"/>
                <w:sz w:val="21"/>
                <w:szCs w:val="21"/>
              </w:rPr>
            </w:pPr>
            <w:r>
              <w:rPr>
                <w:color w:val="auto"/>
                <w:sz w:val="21"/>
                <w:szCs w:val="21"/>
              </w:rPr>
              <w:t>500人</w:t>
            </w:r>
          </w:p>
        </w:tc>
        <w:tc>
          <w:tcPr>
            <w:tcW w:w="1470" w:type="pct"/>
            <w:vMerge w:val="continue"/>
            <w:tcBorders>
              <w:right w:val="nil"/>
            </w:tcBorders>
            <w:vAlign w:val="center"/>
          </w:tcPr>
          <w:p w14:paraId="532D0CC5">
            <w:pPr>
              <w:spacing w:line="240" w:lineRule="auto"/>
              <w:ind w:firstLine="0" w:firstLineChars="0"/>
              <w:jc w:val="center"/>
              <w:rPr>
                <w:color w:val="auto"/>
                <w:sz w:val="21"/>
                <w:szCs w:val="21"/>
              </w:rPr>
            </w:pPr>
          </w:p>
        </w:tc>
      </w:tr>
      <w:tr w14:paraId="75D3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46AA63E7">
            <w:pPr>
              <w:spacing w:line="240" w:lineRule="auto"/>
              <w:ind w:firstLine="0" w:firstLineChars="0"/>
              <w:jc w:val="center"/>
              <w:rPr>
                <w:color w:val="auto"/>
                <w:sz w:val="21"/>
                <w:szCs w:val="21"/>
              </w:rPr>
            </w:pPr>
          </w:p>
        </w:tc>
        <w:tc>
          <w:tcPr>
            <w:tcW w:w="786" w:type="pct"/>
            <w:vAlign w:val="center"/>
          </w:tcPr>
          <w:p w14:paraId="11C774E8">
            <w:pPr>
              <w:spacing w:line="240" w:lineRule="auto"/>
              <w:ind w:firstLine="0" w:firstLineChars="0"/>
              <w:jc w:val="center"/>
              <w:rPr>
                <w:color w:val="auto"/>
                <w:sz w:val="21"/>
                <w:szCs w:val="21"/>
              </w:rPr>
            </w:pPr>
            <w:r>
              <w:rPr>
                <w:color w:val="auto"/>
                <w:sz w:val="21"/>
                <w:szCs w:val="21"/>
              </w:rPr>
              <w:t>希圣村</w:t>
            </w:r>
          </w:p>
        </w:tc>
        <w:tc>
          <w:tcPr>
            <w:tcW w:w="501" w:type="pct"/>
            <w:vAlign w:val="center"/>
          </w:tcPr>
          <w:p w14:paraId="2BDCA68C">
            <w:pPr>
              <w:spacing w:line="240" w:lineRule="auto"/>
              <w:ind w:firstLine="0" w:firstLineChars="0"/>
              <w:jc w:val="center"/>
              <w:rPr>
                <w:color w:val="auto"/>
                <w:sz w:val="21"/>
                <w:szCs w:val="21"/>
              </w:rPr>
            </w:pPr>
            <w:r>
              <w:rPr>
                <w:color w:val="auto"/>
                <w:sz w:val="21"/>
                <w:szCs w:val="21"/>
              </w:rPr>
              <w:t>NW</w:t>
            </w:r>
          </w:p>
        </w:tc>
        <w:tc>
          <w:tcPr>
            <w:tcW w:w="660" w:type="pct"/>
            <w:vAlign w:val="center"/>
          </w:tcPr>
          <w:p w14:paraId="4AEE2086">
            <w:pPr>
              <w:spacing w:line="240" w:lineRule="auto"/>
              <w:ind w:firstLine="0" w:firstLineChars="0"/>
              <w:jc w:val="center"/>
              <w:rPr>
                <w:color w:val="auto"/>
                <w:sz w:val="21"/>
                <w:szCs w:val="21"/>
              </w:rPr>
            </w:pPr>
            <w:r>
              <w:rPr>
                <w:color w:val="auto"/>
                <w:sz w:val="21"/>
                <w:szCs w:val="21"/>
              </w:rPr>
              <w:t>4400</w:t>
            </w:r>
          </w:p>
        </w:tc>
        <w:tc>
          <w:tcPr>
            <w:tcW w:w="1036" w:type="pct"/>
            <w:vAlign w:val="center"/>
          </w:tcPr>
          <w:p w14:paraId="2C62A273">
            <w:pPr>
              <w:spacing w:line="240" w:lineRule="auto"/>
              <w:ind w:firstLine="0" w:firstLineChars="0"/>
              <w:jc w:val="center"/>
              <w:rPr>
                <w:color w:val="auto"/>
                <w:sz w:val="21"/>
                <w:szCs w:val="21"/>
              </w:rPr>
            </w:pPr>
            <w:r>
              <w:rPr>
                <w:color w:val="auto"/>
                <w:sz w:val="21"/>
                <w:szCs w:val="21"/>
              </w:rPr>
              <w:t>400人</w:t>
            </w:r>
          </w:p>
        </w:tc>
        <w:tc>
          <w:tcPr>
            <w:tcW w:w="1470" w:type="pct"/>
            <w:vMerge w:val="continue"/>
            <w:tcBorders>
              <w:right w:val="nil"/>
            </w:tcBorders>
            <w:vAlign w:val="center"/>
          </w:tcPr>
          <w:p w14:paraId="5EFEF396">
            <w:pPr>
              <w:spacing w:line="240" w:lineRule="auto"/>
              <w:ind w:firstLine="0" w:firstLineChars="0"/>
              <w:jc w:val="center"/>
              <w:rPr>
                <w:color w:val="auto"/>
                <w:sz w:val="21"/>
                <w:szCs w:val="21"/>
              </w:rPr>
            </w:pPr>
          </w:p>
        </w:tc>
      </w:tr>
      <w:tr w14:paraId="591B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545C4222">
            <w:pPr>
              <w:spacing w:line="240" w:lineRule="auto"/>
              <w:ind w:firstLine="0" w:firstLineChars="0"/>
              <w:jc w:val="center"/>
              <w:rPr>
                <w:color w:val="auto"/>
                <w:sz w:val="21"/>
                <w:szCs w:val="21"/>
              </w:rPr>
            </w:pPr>
          </w:p>
        </w:tc>
        <w:tc>
          <w:tcPr>
            <w:tcW w:w="786" w:type="pct"/>
            <w:vAlign w:val="center"/>
          </w:tcPr>
          <w:p w14:paraId="7261F494">
            <w:pPr>
              <w:spacing w:line="240" w:lineRule="auto"/>
              <w:ind w:firstLine="0" w:firstLineChars="0"/>
              <w:jc w:val="center"/>
              <w:rPr>
                <w:color w:val="auto"/>
                <w:sz w:val="21"/>
                <w:szCs w:val="21"/>
              </w:rPr>
            </w:pPr>
            <w:r>
              <w:rPr>
                <w:color w:val="auto"/>
                <w:sz w:val="21"/>
                <w:szCs w:val="21"/>
              </w:rPr>
              <w:t>轶昌村</w:t>
            </w:r>
          </w:p>
        </w:tc>
        <w:tc>
          <w:tcPr>
            <w:tcW w:w="501" w:type="pct"/>
            <w:vAlign w:val="center"/>
          </w:tcPr>
          <w:p w14:paraId="32F0D6FD">
            <w:pPr>
              <w:spacing w:line="240" w:lineRule="auto"/>
              <w:ind w:firstLine="0" w:firstLineChars="0"/>
              <w:jc w:val="center"/>
              <w:rPr>
                <w:color w:val="auto"/>
                <w:sz w:val="21"/>
                <w:szCs w:val="21"/>
              </w:rPr>
            </w:pPr>
            <w:r>
              <w:rPr>
                <w:color w:val="auto"/>
                <w:sz w:val="21"/>
                <w:szCs w:val="21"/>
              </w:rPr>
              <w:t>N</w:t>
            </w:r>
          </w:p>
        </w:tc>
        <w:tc>
          <w:tcPr>
            <w:tcW w:w="660" w:type="pct"/>
            <w:vAlign w:val="center"/>
          </w:tcPr>
          <w:p w14:paraId="5C748040">
            <w:pPr>
              <w:spacing w:line="240" w:lineRule="auto"/>
              <w:ind w:firstLine="0" w:firstLineChars="0"/>
              <w:jc w:val="center"/>
              <w:rPr>
                <w:color w:val="auto"/>
                <w:sz w:val="21"/>
                <w:szCs w:val="21"/>
              </w:rPr>
            </w:pPr>
            <w:r>
              <w:rPr>
                <w:color w:val="auto"/>
                <w:sz w:val="21"/>
                <w:szCs w:val="21"/>
              </w:rPr>
              <w:t>4700</w:t>
            </w:r>
          </w:p>
        </w:tc>
        <w:tc>
          <w:tcPr>
            <w:tcW w:w="1036" w:type="pct"/>
            <w:vAlign w:val="center"/>
          </w:tcPr>
          <w:p w14:paraId="7C68F701">
            <w:pPr>
              <w:spacing w:line="240" w:lineRule="auto"/>
              <w:ind w:firstLine="0" w:firstLineChars="0"/>
              <w:jc w:val="center"/>
              <w:rPr>
                <w:color w:val="auto"/>
                <w:sz w:val="21"/>
                <w:szCs w:val="21"/>
              </w:rPr>
            </w:pPr>
            <w:r>
              <w:rPr>
                <w:color w:val="auto"/>
                <w:sz w:val="21"/>
                <w:szCs w:val="21"/>
              </w:rPr>
              <w:t>500人</w:t>
            </w:r>
          </w:p>
        </w:tc>
        <w:tc>
          <w:tcPr>
            <w:tcW w:w="1470" w:type="pct"/>
            <w:vMerge w:val="continue"/>
            <w:tcBorders>
              <w:right w:val="nil"/>
            </w:tcBorders>
            <w:vAlign w:val="center"/>
          </w:tcPr>
          <w:p w14:paraId="61D8E6CF">
            <w:pPr>
              <w:spacing w:line="240" w:lineRule="auto"/>
              <w:ind w:firstLine="0" w:firstLineChars="0"/>
              <w:jc w:val="center"/>
              <w:rPr>
                <w:color w:val="auto"/>
                <w:sz w:val="21"/>
                <w:szCs w:val="21"/>
              </w:rPr>
            </w:pPr>
          </w:p>
        </w:tc>
      </w:tr>
      <w:tr w14:paraId="64A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0F1888F1">
            <w:pPr>
              <w:spacing w:line="240" w:lineRule="auto"/>
              <w:ind w:firstLine="0" w:firstLineChars="0"/>
              <w:jc w:val="center"/>
              <w:rPr>
                <w:color w:val="auto"/>
                <w:sz w:val="21"/>
                <w:szCs w:val="21"/>
              </w:rPr>
            </w:pPr>
          </w:p>
        </w:tc>
        <w:tc>
          <w:tcPr>
            <w:tcW w:w="786" w:type="pct"/>
            <w:vAlign w:val="center"/>
          </w:tcPr>
          <w:p w14:paraId="3B4A4384">
            <w:pPr>
              <w:spacing w:line="240" w:lineRule="auto"/>
              <w:ind w:firstLine="0" w:firstLineChars="0"/>
              <w:jc w:val="center"/>
              <w:rPr>
                <w:color w:val="auto"/>
                <w:sz w:val="21"/>
                <w:szCs w:val="21"/>
              </w:rPr>
            </w:pPr>
            <w:r>
              <w:rPr>
                <w:color w:val="auto"/>
                <w:sz w:val="21"/>
                <w:szCs w:val="21"/>
              </w:rPr>
              <w:t>双仙村</w:t>
            </w:r>
          </w:p>
        </w:tc>
        <w:tc>
          <w:tcPr>
            <w:tcW w:w="501" w:type="pct"/>
            <w:vAlign w:val="center"/>
          </w:tcPr>
          <w:p w14:paraId="2B0D011C">
            <w:pPr>
              <w:spacing w:line="240" w:lineRule="auto"/>
              <w:ind w:firstLine="0" w:firstLineChars="0"/>
              <w:jc w:val="center"/>
              <w:rPr>
                <w:color w:val="auto"/>
                <w:sz w:val="21"/>
                <w:szCs w:val="21"/>
              </w:rPr>
            </w:pPr>
            <w:r>
              <w:rPr>
                <w:color w:val="auto"/>
                <w:sz w:val="21"/>
                <w:szCs w:val="21"/>
              </w:rPr>
              <w:t>NE</w:t>
            </w:r>
          </w:p>
        </w:tc>
        <w:tc>
          <w:tcPr>
            <w:tcW w:w="660" w:type="pct"/>
            <w:vAlign w:val="center"/>
          </w:tcPr>
          <w:p w14:paraId="2CF06710">
            <w:pPr>
              <w:spacing w:line="240" w:lineRule="auto"/>
              <w:ind w:firstLine="0" w:firstLineChars="0"/>
              <w:jc w:val="center"/>
              <w:rPr>
                <w:color w:val="auto"/>
                <w:sz w:val="21"/>
                <w:szCs w:val="21"/>
              </w:rPr>
            </w:pPr>
            <w:r>
              <w:rPr>
                <w:color w:val="auto"/>
                <w:sz w:val="21"/>
                <w:szCs w:val="21"/>
              </w:rPr>
              <w:t>4400</w:t>
            </w:r>
          </w:p>
        </w:tc>
        <w:tc>
          <w:tcPr>
            <w:tcW w:w="1036" w:type="pct"/>
            <w:vAlign w:val="center"/>
          </w:tcPr>
          <w:p w14:paraId="1DAEAD20">
            <w:pPr>
              <w:spacing w:line="240" w:lineRule="auto"/>
              <w:ind w:firstLine="0" w:firstLineChars="0"/>
              <w:jc w:val="center"/>
              <w:rPr>
                <w:color w:val="auto"/>
                <w:sz w:val="21"/>
                <w:szCs w:val="21"/>
              </w:rPr>
            </w:pPr>
            <w:r>
              <w:rPr>
                <w:color w:val="auto"/>
                <w:sz w:val="21"/>
                <w:szCs w:val="21"/>
              </w:rPr>
              <w:t>450人</w:t>
            </w:r>
          </w:p>
        </w:tc>
        <w:tc>
          <w:tcPr>
            <w:tcW w:w="1470" w:type="pct"/>
            <w:vMerge w:val="continue"/>
            <w:tcBorders>
              <w:right w:val="nil"/>
            </w:tcBorders>
            <w:vAlign w:val="center"/>
          </w:tcPr>
          <w:p w14:paraId="51347612">
            <w:pPr>
              <w:spacing w:line="240" w:lineRule="auto"/>
              <w:ind w:firstLine="0" w:firstLineChars="0"/>
              <w:jc w:val="center"/>
              <w:rPr>
                <w:color w:val="auto"/>
                <w:sz w:val="21"/>
                <w:szCs w:val="21"/>
              </w:rPr>
            </w:pPr>
          </w:p>
        </w:tc>
      </w:tr>
      <w:tr w14:paraId="027D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48645F8E">
            <w:pPr>
              <w:spacing w:line="240" w:lineRule="auto"/>
              <w:ind w:firstLine="0" w:firstLineChars="0"/>
              <w:jc w:val="center"/>
              <w:rPr>
                <w:color w:val="auto"/>
                <w:sz w:val="21"/>
                <w:szCs w:val="21"/>
              </w:rPr>
            </w:pPr>
          </w:p>
        </w:tc>
        <w:tc>
          <w:tcPr>
            <w:tcW w:w="786" w:type="pct"/>
            <w:vAlign w:val="center"/>
          </w:tcPr>
          <w:p w14:paraId="4DB29537">
            <w:pPr>
              <w:spacing w:line="240" w:lineRule="auto"/>
              <w:ind w:firstLine="0" w:firstLineChars="0"/>
              <w:jc w:val="center"/>
              <w:rPr>
                <w:color w:val="auto"/>
                <w:sz w:val="21"/>
                <w:szCs w:val="21"/>
              </w:rPr>
            </w:pPr>
            <w:r>
              <w:rPr>
                <w:color w:val="auto"/>
                <w:sz w:val="21"/>
                <w:szCs w:val="21"/>
              </w:rPr>
              <w:t>元北村</w:t>
            </w:r>
          </w:p>
        </w:tc>
        <w:tc>
          <w:tcPr>
            <w:tcW w:w="501" w:type="pct"/>
            <w:vAlign w:val="center"/>
          </w:tcPr>
          <w:p w14:paraId="57133586">
            <w:pPr>
              <w:spacing w:line="240" w:lineRule="auto"/>
              <w:ind w:firstLine="0" w:firstLineChars="0"/>
              <w:jc w:val="center"/>
              <w:rPr>
                <w:color w:val="auto"/>
                <w:sz w:val="21"/>
                <w:szCs w:val="21"/>
              </w:rPr>
            </w:pPr>
            <w:r>
              <w:rPr>
                <w:color w:val="auto"/>
                <w:sz w:val="21"/>
                <w:szCs w:val="21"/>
              </w:rPr>
              <w:t>NE</w:t>
            </w:r>
          </w:p>
        </w:tc>
        <w:tc>
          <w:tcPr>
            <w:tcW w:w="660" w:type="pct"/>
            <w:vAlign w:val="center"/>
          </w:tcPr>
          <w:p w14:paraId="16F927A7">
            <w:pPr>
              <w:spacing w:line="240" w:lineRule="auto"/>
              <w:ind w:firstLine="0" w:firstLineChars="0"/>
              <w:jc w:val="center"/>
              <w:rPr>
                <w:color w:val="auto"/>
                <w:sz w:val="21"/>
                <w:szCs w:val="21"/>
              </w:rPr>
            </w:pPr>
            <w:r>
              <w:rPr>
                <w:color w:val="auto"/>
                <w:sz w:val="21"/>
                <w:szCs w:val="21"/>
              </w:rPr>
              <w:t>4200</w:t>
            </w:r>
          </w:p>
        </w:tc>
        <w:tc>
          <w:tcPr>
            <w:tcW w:w="1036" w:type="pct"/>
            <w:vAlign w:val="center"/>
          </w:tcPr>
          <w:p w14:paraId="6F730091">
            <w:pPr>
              <w:spacing w:line="240" w:lineRule="auto"/>
              <w:ind w:firstLine="0" w:firstLineChars="0"/>
              <w:jc w:val="center"/>
              <w:rPr>
                <w:color w:val="auto"/>
                <w:sz w:val="21"/>
                <w:szCs w:val="21"/>
              </w:rPr>
            </w:pPr>
            <w:r>
              <w:rPr>
                <w:color w:val="auto"/>
                <w:sz w:val="21"/>
                <w:szCs w:val="21"/>
              </w:rPr>
              <w:t>300人</w:t>
            </w:r>
          </w:p>
        </w:tc>
        <w:tc>
          <w:tcPr>
            <w:tcW w:w="1470" w:type="pct"/>
            <w:vMerge w:val="continue"/>
            <w:tcBorders>
              <w:right w:val="nil"/>
            </w:tcBorders>
            <w:vAlign w:val="center"/>
          </w:tcPr>
          <w:p w14:paraId="29E99EC8">
            <w:pPr>
              <w:spacing w:line="240" w:lineRule="auto"/>
              <w:ind w:firstLine="0" w:firstLineChars="0"/>
              <w:jc w:val="center"/>
              <w:rPr>
                <w:color w:val="auto"/>
                <w:sz w:val="21"/>
                <w:szCs w:val="21"/>
              </w:rPr>
            </w:pPr>
          </w:p>
        </w:tc>
      </w:tr>
      <w:tr w14:paraId="12FC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170A478A">
            <w:pPr>
              <w:spacing w:line="240" w:lineRule="auto"/>
              <w:ind w:firstLine="0" w:firstLineChars="0"/>
              <w:jc w:val="center"/>
              <w:rPr>
                <w:color w:val="auto"/>
                <w:sz w:val="21"/>
                <w:szCs w:val="21"/>
              </w:rPr>
            </w:pPr>
          </w:p>
        </w:tc>
        <w:tc>
          <w:tcPr>
            <w:tcW w:w="786" w:type="pct"/>
            <w:vAlign w:val="center"/>
          </w:tcPr>
          <w:p w14:paraId="00672DF7">
            <w:pPr>
              <w:spacing w:line="240" w:lineRule="auto"/>
              <w:ind w:firstLine="0" w:firstLineChars="0"/>
              <w:jc w:val="center"/>
              <w:rPr>
                <w:color w:val="auto"/>
                <w:sz w:val="21"/>
                <w:szCs w:val="21"/>
              </w:rPr>
            </w:pPr>
            <w:r>
              <w:rPr>
                <w:color w:val="auto"/>
                <w:sz w:val="21"/>
                <w:szCs w:val="21"/>
              </w:rPr>
              <w:t>元东村</w:t>
            </w:r>
          </w:p>
        </w:tc>
        <w:tc>
          <w:tcPr>
            <w:tcW w:w="501" w:type="pct"/>
            <w:vAlign w:val="center"/>
          </w:tcPr>
          <w:p w14:paraId="115B0306">
            <w:pPr>
              <w:spacing w:line="240" w:lineRule="auto"/>
              <w:ind w:firstLine="0" w:firstLineChars="0"/>
              <w:jc w:val="center"/>
              <w:rPr>
                <w:color w:val="auto"/>
                <w:sz w:val="21"/>
                <w:szCs w:val="21"/>
              </w:rPr>
            </w:pPr>
            <w:r>
              <w:rPr>
                <w:color w:val="auto"/>
                <w:sz w:val="21"/>
                <w:szCs w:val="21"/>
              </w:rPr>
              <w:t>NE</w:t>
            </w:r>
          </w:p>
        </w:tc>
        <w:tc>
          <w:tcPr>
            <w:tcW w:w="660" w:type="pct"/>
            <w:vAlign w:val="center"/>
          </w:tcPr>
          <w:p w14:paraId="6B8FA9B0">
            <w:pPr>
              <w:spacing w:line="240" w:lineRule="auto"/>
              <w:ind w:firstLine="0" w:firstLineChars="0"/>
              <w:jc w:val="center"/>
              <w:rPr>
                <w:color w:val="auto"/>
                <w:sz w:val="21"/>
                <w:szCs w:val="21"/>
              </w:rPr>
            </w:pPr>
            <w:r>
              <w:rPr>
                <w:color w:val="auto"/>
                <w:sz w:val="21"/>
                <w:szCs w:val="21"/>
              </w:rPr>
              <w:t>4100</w:t>
            </w:r>
          </w:p>
        </w:tc>
        <w:tc>
          <w:tcPr>
            <w:tcW w:w="1036" w:type="pct"/>
            <w:vAlign w:val="center"/>
          </w:tcPr>
          <w:p w14:paraId="016DA91A">
            <w:pPr>
              <w:spacing w:line="240" w:lineRule="auto"/>
              <w:ind w:firstLine="0" w:firstLineChars="0"/>
              <w:jc w:val="center"/>
              <w:rPr>
                <w:color w:val="auto"/>
                <w:sz w:val="21"/>
                <w:szCs w:val="21"/>
              </w:rPr>
            </w:pPr>
            <w:r>
              <w:rPr>
                <w:color w:val="auto"/>
                <w:sz w:val="21"/>
                <w:szCs w:val="21"/>
              </w:rPr>
              <w:t>400人</w:t>
            </w:r>
          </w:p>
        </w:tc>
        <w:tc>
          <w:tcPr>
            <w:tcW w:w="1470" w:type="pct"/>
            <w:vMerge w:val="continue"/>
            <w:tcBorders>
              <w:right w:val="nil"/>
            </w:tcBorders>
            <w:vAlign w:val="center"/>
          </w:tcPr>
          <w:p w14:paraId="66FD002B">
            <w:pPr>
              <w:spacing w:line="240" w:lineRule="auto"/>
              <w:ind w:firstLine="0" w:firstLineChars="0"/>
              <w:jc w:val="center"/>
              <w:rPr>
                <w:color w:val="auto"/>
                <w:sz w:val="21"/>
                <w:szCs w:val="21"/>
              </w:rPr>
            </w:pPr>
          </w:p>
        </w:tc>
      </w:tr>
      <w:tr w14:paraId="7719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75439B5A">
            <w:pPr>
              <w:spacing w:line="240" w:lineRule="auto"/>
              <w:ind w:firstLine="0" w:firstLineChars="0"/>
              <w:jc w:val="center"/>
              <w:rPr>
                <w:color w:val="auto"/>
                <w:sz w:val="21"/>
                <w:szCs w:val="21"/>
              </w:rPr>
            </w:pPr>
          </w:p>
        </w:tc>
        <w:tc>
          <w:tcPr>
            <w:tcW w:w="786" w:type="pct"/>
            <w:vAlign w:val="center"/>
          </w:tcPr>
          <w:p w14:paraId="3DABC382">
            <w:pPr>
              <w:spacing w:line="240" w:lineRule="auto"/>
              <w:ind w:firstLine="0" w:firstLineChars="0"/>
              <w:jc w:val="center"/>
              <w:rPr>
                <w:color w:val="auto"/>
                <w:sz w:val="21"/>
                <w:szCs w:val="21"/>
              </w:rPr>
            </w:pPr>
            <w:r>
              <w:rPr>
                <w:color w:val="auto"/>
                <w:sz w:val="21"/>
                <w:szCs w:val="21"/>
              </w:rPr>
              <w:t>建新村</w:t>
            </w:r>
          </w:p>
        </w:tc>
        <w:tc>
          <w:tcPr>
            <w:tcW w:w="501" w:type="pct"/>
            <w:vAlign w:val="center"/>
          </w:tcPr>
          <w:p w14:paraId="017816CA">
            <w:pPr>
              <w:spacing w:line="240" w:lineRule="auto"/>
              <w:ind w:firstLine="0" w:firstLineChars="0"/>
              <w:jc w:val="center"/>
              <w:rPr>
                <w:color w:val="auto"/>
                <w:sz w:val="21"/>
                <w:szCs w:val="21"/>
              </w:rPr>
            </w:pPr>
            <w:r>
              <w:rPr>
                <w:color w:val="auto"/>
                <w:sz w:val="21"/>
                <w:szCs w:val="21"/>
              </w:rPr>
              <w:t>E</w:t>
            </w:r>
          </w:p>
        </w:tc>
        <w:tc>
          <w:tcPr>
            <w:tcW w:w="660" w:type="pct"/>
            <w:vAlign w:val="center"/>
          </w:tcPr>
          <w:p w14:paraId="770EFE93">
            <w:pPr>
              <w:spacing w:line="240" w:lineRule="auto"/>
              <w:ind w:firstLine="0" w:firstLineChars="0"/>
              <w:jc w:val="center"/>
              <w:rPr>
                <w:color w:val="auto"/>
                <w:sz w:val="21"/>
                <w:szCs w:val="21"/>
              </w:rPr>
            </w:pPr>
            <w:r>
              <w:rPr>
                <w:color w:val="auto"/>
                <w:sz w:val="21"/>
                <w:szCs w:val="21"/>
              </w:rPr>
              <w:t>3100</w:t>
            </w:r>
          </w:p>
        </w:tc>
        <w:tc>
          <w:tcPr>
            <w:tcW w:w="1036" w:type="pct"/>
            <w:vAlign w:val="center"/>
          </w:tcPr>
          <w:p w14:paraId="15493A47">
            <w:pPr>
              <w:spacing w:line="240" w:lineRule="auto"/>
              <w:ind w:firstLine="0" w:firstLineChars="0"/>
              <w:jc w:val="center"/>
              <w:rPr>
                <w:color w:val="auto"/>
                <w:sz w:val="21"/>
                <w:szCs w:val="21"/>
              </w:rPr>
            </w:pPr>
            <w:r>
              <w:rPr>
                <w:color w:val="auto"/>
                <w:sz w:val="21"/>
                <w:szCs w:val="21"/>
              </w:rPr>
              <w:t>500人</w:t>
            </w:r>
          </w:p>
        </w:tc>
        <w:tc>
          <w:tcPr>
            <w:tcW w:w="1470" w:type="pct"/>
            <w:vMerge w:val="continue"/>
            <w:tcBorders>
              <w:right w:val="nil"/>
            </w:tcBorders>
            <w:vAlign w:val="center"/>
          </w:tcPr>
          <w:p w14:paraId="354D71F6">
            <w:pPr>
              <w:spacing w:line="240" w:lineRule="auto"/>
              <w:ind w:firstLine="0" w:firstLineChars="0"/>
              <w:jc w:val="center"/>
              <w:rPr>
                <w:color w:val="auto"/>
                <w:sz w:val="21"/>
                <w:szCs w:val="21"/>
              </w:rPr>
            </w:pPr>
          </w:p>
        </w:tc>
      </w:tr>
      <w:tr w14:paraId="0B07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31B7205E">
            <w:pPr>
              <w:spacing w:line="240" w:lineRule="auto"/>
              <w:ind w:firstLine="0" w:firstLineChars="0"/>
              <w:jc w:val="center"/>
              <w:rPr>
                <w:color w:val="auto"/>
                <w:sz w:val="21"/>
                <w:szCs w:val="21"/>
              </w:rPr>
            </w:pPr>
          </w:p>
        </w:tc>
        <w:tc>
          <w:tcPr>
            <w:tcW w:w="786" w:type="pct"/>
            <w:vAlign w:val="center"/>
          </w:tcPr>
          <w:p w14:paraId="5961898B">
            <w:pPr>
              <w:spacing w:line="240" w:lineRule="auto"/>
              <w:ind w:firstLine="0" w:firstLineChars="0"/>
              <w:jc w:val="center"/>
              <w:rPr>
                <w:color w:val="auto"/>
                <w:sz w:val="21"/>
                <w:szCs w:val="21"/>
              </w:rPr>
            </w:pPr>
            <w:r>
              <w:rPr>
                <w:color w:val="auto"/>
                <w:sz w:val="21"/>
                <w:szCs w:val="21"/>
              </w:rPr>
              <w:t>安联村</w:t>
            </w:r>
          </w:p>
        </w:tc>
        <w:tc>
          <w:tcPr>
            <w:tcW w:w="501" w:type="pct"/>
            <w:vAlign w:val="center"/>
          </w:tcPr>
          <w:p w14:paraId="0DE679B5">
            <w:pPr>
              <w:spacing w:line="240" w:lineRule="auto"/>
              <w:ind w:firstLine="0" w:firstLineChars="0"/>
              <w:jc w:val="center"/>
              <w:rPr>
                <w:color w:val="auto"/>
                <w:sz w:val="21"/>
                <w:szCs w:val="21"/>
              </w:rPr>
            </w:pPr>
            <w:r>
              <w:rPr>
                <w:color w:val="auto"/>
                <w:sz w:val="21"/>
                <w:szCs w:val="21"/>
              </w:rPr>
              <w:t>E</w:t>
            </w:r>
          </w:p>
        </w:tc>
        <w:tc>
          <w:tcPr>
            <w:tcW w:w="660" w:type="pct"/>
            <w:vAlign w:val="center"/>
          </w:tcPr>
          <w:p w14:paraId="5DD7D0EB">
            <w:pPr>
              <w:spacing w:line="240" w:lineRule="auto"/>
              <w:ind w:firstLine="0" w:firstLineChars="0"/>
              <w:jc w:val="center"/>
              <w:rPr>
                <w:color w:val="auto"/>
                <w:sz w:val="21"/>
                <w:szCs w:val="21"/>
              </w:rPr>
            </w:pPr>
            <w:r>
              <w:rPr>
                <w:color w:val="auto"/>
                <w:sz w:val="21"/>
                <w:szCs w:val="21"/>
              </w:rPr>
              <w:t>2800</w:t>
            </w:r>
          </w:p>
        </w:tc>
        <w:tc>
          <w:tcPr>
            <w:tcW w:w="1036" w:type="pct"/>
            <w:vAlign w:val="center"/>
          </w:tcPr>
          <w:p w14:paraId="3B76C21B">
            <w:pPr>
              <w:spacing w:line="240" w:lineRule="auto"/>
              <w:ind w:firstLine="0" w:firstLineChars="0"/>
              <w:jc w:val="center"/>
              <w:rPr>
                <w:color w:val="auto"/>
                <w:sz w:val="21"/>
                <w:szCs w:val="21"/>
              </w:rPr>
            </w:pPr>
            <w:r>
              <w:rPr>
                <w:color w:val="auto"/>
                <w:sz w:val="21"/>
                <w:szCs w:val="21"/>
              </w:rPr>
              <w:t>400人</w:t>
            </w:r>
          </w:p>
        </w:tc>
        <w:tc>
          <w:tcPr>
            <w:tcW w:w="1470" w:type="pct"/>
            <w:vMerge w:val="continue"/>
            <w:tcBorders>
              <w:right w:val="nil"/>
            </w:tcBorders>
            <w:vAlign w:val="center"/>
          </w:tcPr>
          <w:p w14:paraId="56014D84">
            <w:pPr>
              <w:spacing w:line="240" w:lineRule="auto"/>
              <w:ind w:firstLine="0" w:firstLineChars="0"/>
              <w:jc w:val="center"/>
              <w:rPr>
                <w:color w:val="auto"/>
                <w:sz w:val="21"/>
                <w:szCs w:val="21"/>
              </w:rPr>
            </w:pPr>
          </w:p>
        </w:tc>
      </w:tr>
      <w:bookmarkEnd w:id="47"/>
      <w:tr w14:paraId="0080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3CD01AAB">
            <w:pPr>
              <w:spacing w:line="240" w:lineRule="auto"/>
              <w:ind w:firstLine="0" w:firstLineChars="0"/>
              <w:jc w:val="center"/>
              <w:rPr>
                <w:color w:val="auto"/>
                <w:sz w:val="21"/>
                <w:szCs w:val="21"/>
              </w:rPr>
            </w:pPr>
          </w:p>
        </w:tc>
        <w:tc>
          <w:tcPr>
            <w:tcW w:w="786" w:type="pct"/>
            <w:vAlign w:val="center"/>
          </w:tcPr>
          <w:p w14:paraId="169BF8C7">
            <w:pPr>
              <w:spacing w:line="240" w:lineRule="auto"/>
              <w:ind w:firstLine="0" w:firstLineChars="0"/>
              <w:jc w:val="center"/>
              <w:rPr>
                <w:color w:val="auto"/>
                <w:sz w:val="21"/>
                <w:szCs w:val="21"/>
              </w:rPr>
            </w:pPr>
            <w:r>
              <w:rPr>
                <w:color w:val="auto"/>
                <w:sz w:val="21"/>
                <w:szCs w:val="21"/>
              </w:rPr>
              <w:t>长江启东段</w:t>
            </w:r>
          </w:p>
        </w:tc>
        <w:tc>
          <w:tcPr>
            <w:tcW w:w="501" w:type="pct"/>
            <w:vAlign w:val="center"/>
          </w:tcPr>
          <w:p w14:paraId="78A397EC">
            <w:pPr>
              <w:spacing w:line="240" w:lineRule="auto"/>
              <w:ind w:firstLine="0" w:firstLineChars="0"/>
              <w:jc w:val="center"/>
              <w:rPr>
                <w:color w:val="auto"/>
                <w:sz w:val="21"/>
                <w:szCs w:val="21"/>
              </w:rPr>
            </w:pPr>
            <w:r>
              <w:rPr>
                <w:color w:val="auto"/>
                <w:sz w:val="21"/>
                <w:szCs w:val="21"/>
              </w:rPr>
              <w:t>S</w:t>
            </w:r>
          </w:p>
        </w:tc>
        <w:tc>
          <w:tcPr>
            <w:tcW w:w="660" w:type="pct"/>
            <w:vAlign w:val="center"/>
          </w:tcPr>
          <w:p w14:paraId="37082A54">
            <w:pPr>
              <w:spacing w:line="240" w:lineRule="auto"/>
              <w:ind w:firstLine="0" w:firstLineChars="0"/>
              <w:jc w:val="center"/>
              <w:rPr>
                <w:color w:val="auto"/>
                <w:sz w:val="21"/>
                <w:szCs w:val="21"/>
              </w:rPr>
            </w:pPr>
            <w:r>
              <w:rPr>
                <w:color w:val="auto"/>
                <w:sz w:val="21"/>
                <w:szCs w:val="21"/>
              </w:rPr>
              <w:t>1230</w:t>
            </w:r>
          </w:p>
        </w:tc>
        <w:tc>
          <w:tcPr>
            <w:tcW w:w="1036" w:type="pct"/>
            <w:vAlign w:val="center"/>
          </w:tcPr>
          <w:p w14:paraId="4F4C9A14">
            <w:pPr>
              <w:spacing w:line="240" w:lineRule="auto"/>
              <w:ind w:firstLine="0" w:firstLineChars="0"/>
              <w:jc w:val="center"/>
              <w:rPr>
                <w:color w:val="auto"/>
                <w:sz w:val="21"/>
                <w:szCs w:val="21"/>
              </w:rPr>
            </w:pPr>
            <w:r>
              <w:rPr>
                <w:color w:val="auto"/>
                <w:sz w:val="21"/>
                <w:szCs w:val="21"/>
              </w:rPr>
              <w:t>大河</w:t>
            </w:r>
          </w:p>
        </w:tc>
        <w:tc>
          <w:tcPr>
            <w:tcW w:w="1470" w:type="pct"/>
            <w:tcBorders>
              <w:right w:val="nil"/>
            </w:tcBorders>
            <w:vAlign w:val="center"/>
          </w:tcPr>
          <w:p w14:paraId="48BFC8A2">
            <w:pPr>
              <w:spacing w:line="240" w:lineRule="auto"/>
              <w:ind w:firstLine="0" w:firstLineChars="0"/>
              <w:jc w:val="center"/>
              <w:rPr>
                <w:color w:val="auto"/>
                <w:sz w:val="21"/>
                <w:szCs w:val="21"/>
              </w:rPr>
            </w:pPr>
            <w:r>
              <w:rPr>
                <w:color w:val="auto"/>
                <w:sz w:val="21"/>
                <w:szCs w:val="21"/>
              </w:rPr>
              <w:t>《地表水环境质量标准》(GB3838-2002)中泓Ⅱ类、近岸Ⅲ类</w:t>
            </w:r>
          </w:p>
        </w:tc>
      </w:tr>
      <w:tr w14:paraId="3592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tcBorders>
            <w:vAlign w:val="center"/>
          </w:tcPr>
          <w:p w14:paraId="666F4DAE">
            <w:pPr>
              <w:spacing w:line="240" w:lineRule="auto"/>
              <w:ind w:firstLine="0" w:firstLineChars="0"/>
              <w:jc w:val="center"/>
              <w:rPr>
                <w:color w:val="auto"/>
                <w:sz w:val="21"/>
                <w:szCs w:val="21"/>
              </w:rPr>
            </w:pPr>
          </w:p>
        </w:tc>
        <w:tc>
          <w:tcPr>
            <w:tcW w:w="786" w:type="pct"/>
            <w:vAlign w:val="center"/>
          </w:tcPr>
          <w:p w14:paraId="5703F470">
            <w:pPr>
              <w:spacing w:line="240" w:lineRule="auto"/>
              <w:ind w:firstLine="0" w:firstLineChars="0"/>
              <w:jc w:val="center"/>
              <w:rPr>
                <w:color w:val="auto"/>
                <w:sz w:val="21"/>
                <w:szCs w:val="21"/>
              </w:rPr>
            </w:pPr>
            <w:r>
              <w:rPr>
                <w:color w:val="auto"/>
                <w:sz w:val="21"/>
                <w:szCs w:val="21"/>
              </w:rPr>
              <w:t>江风河</w:t>
            </w:r>
          </w:p>
        </w:tc>
        <w:tc>
          <w:tcPr>
            <w:tcW w:w="501" w:type="pct"/>
            <w:vAlign w:val="center"/>
          </w:tcPr>
          <w:p w14:paraId="4DC54507">
            <w:pPr>
              <w:spacing w:line="240" w:lineRule="auto"/>
              <w:ind w:firstLine="0" w:firstLineChars="0"/>
              <w:jc w:val="center"/>
              <w:rPr>
                <w:color w:val="auto"/>
                <w:sz w:val="21"/>
                <w:szCs w:val="21"/>
              </w:rPr>
            </w:pPr>
            <w:r>
              <w:rPr>
                <w:color w:val="auto"/>
                <w:sz w:val="21"/>
                <w:szCs w:val="21"/>
              </w:rPr>
              <w:t>E</w:t>
            </w:r>
          </w:p>
        </w:tc>
        <w:tc>
          <w:tcPr>
            <w:tcW w:w="660" w:type="pct"/>
            <w:vAlign w:val="center"/>
          </w:tcPr>
          <w:p w14:paraId="23F5FD4E">
            <w:pPr>
              <w:spacing w:line="240" w:lineRule="auto"/>
              <w:ind w:firstLine="0" w:firstLineChars="0"/>
              <w:jc w:val="center"/>
              <w:rPr>
                <w:color w:val="auto"/>
                <w:sz w:val="21"/>
                <w:szCs w:val="21"/>
              </w:rPr>
            </w:pPr>
            <w:r>
              <w:rPr>
                <w:color w:val="auto"/>
                <w:sz w:val="21"/>
                <w:szCs w:val="21"/>
              </w:rPr>
              <w:t>365</w:t>
            </w:r>
          </w:p>
        </w:tc>
        <w:tc>
          <w:tcPr>
            <w:tcW w:w="1036" w:type="pct"/>
            <w:vAlign w:val="center"/>
          </w:tcPr>
          <w:p w14:paraId="2F03520F">
            <w:pPr>
              <w:spacing w:line="240" w:lineRule="auto"/>
              <w:ind w:firstLine="0" w:firstLineChars="0"/>
              <w:jc w:val="center"/>
              <w:rPr>
                <w:color w:val="auto"/>
                <w:sz w:val="21"/>
                <w:szCs w:val="21"/>
              </w:rPr>
            </w:pPr>
            <w:r>
              <w:rPr>
                <w:color w:val="auto"/>
                <w:sz w:val="21"/>
                <w:szCs w:val="21"/>
              </w:rPr>
              <w:t>小河</w:t>
            </w:r>
          </w:p>
        </w:tc>
        <w:tc>
          <w:tcPr>
            <w:tcW w:w="1470" w:type="pct"/>
            <w:tcBorders>
              <w:right w:val="nil"/>
            </w:tcBorders>
            <w:vAlign w:val="center"/>
          </w:tcPr>
          <w:p w14:paraId="2D6FD02F">
            <w:pPr>
              <w:spacing w:line="240" w:lineRule="auto"/>
              <w:ind w:firstLine="0" w:firstLineChars="0"/>
              <w:jc w:val="center"/>
              <w:rPr>
                <w:color w:val="auto"/>
                <w:sz w:val="21"/>
                <w:szCs w:val="21"/>
              </w:rPr>
            </w:pPr>
            <w:r>
              <w:rPr>
                <w:color w:val="auto"/>
                <w:sz w:val="21"/>
                <w:szCs w:val="21"/>
              </w:rPr>
              <w:t>《地表水环境质量标准》(GB3838-2002)Ⅲ类</w:t>
            </w:r>
          </w:p>
        </w:tc>
      </w:tr>
      <w:tr w14:paraId="2129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7" w:type="pct"/>
            <w:vMerge w:val="continue"/>
            <w:tcBorders>
              <w:left w:val="nil"/>
              <w:bottom w:val="single" w:color="auto" w:sz="12" w:space="0"/>
            </w:tcBorders>
            <w:vAlign w:val="center"/>
          </w:tcPr>
          <w:p w14:paraId="4B8E29DB">
            <w:pPr>
              <w:spacing w:line="240" w:lineRule="auto"/>
              <w:ind w:firstLine="0" w:firstLineChars="0"/>
              <w:jc w:val="center"/>
              <w:rPr>
                <w:color w:val="auto"/>
                <w:sz w:val="21"/>
                <w:szCs w:val="21"/>
              </w:rPr>
            </w:pPr>
          </w:p>
        </w:tc>
        <w:tc>
          <w:tcPr>
            <w:tcW w:w="4453" w:type="pct"/>
            <w:gridSpan w:val="5"/>
            <w:tcBorders>
              <w:bottom w:val="single" w:color="auto" w:sz="12" w:space="0"/>
              <w:right w:val="nil"/>
            </w:tcBorders>
            <w:vAlign w:val="center"/>
          </w:tcPr>
          <w:p w14:paraId="27E89858">
            <w:pPr>
              <w:spacing w:line="240" w:lineRule="auto"/>
              <w:ind w:firstLine="0" w:firstLineChars="0"/>
              <w:jc w:val="center"/>
              <w:rPr>
                <w:color w:val="auto"/>
                <w:sz w:val="21"/>
                <w:szCs w:val="21"/>
              </w:rPr>
            </w:pPr>
            <w:r>
              <w:rPr>
                <w:color w:val="auto"/>
                <w:sz w:val="21"/>
                <w:szCs w:val="21"/>
              </w:rPr>
              <w:t>地下水环境风险保护目标与地下水环境保护目标一致</w:t>
            </w:r>
          </w:p>
        </w:tc>
      </w:tr>
    </w:tbl>
    <w:p w14:paraId="414B135F">
      <w:pPr>
        <w:keepNext/>
        <w:keepLines/>
        <w:spacing w:before="312" w:beforeLines="100" w:after="312" w:afterLines="100"/>
        <w:ind w:firstLine="0" w:firstLineChars="0"/>
        <w:outlineLvl w:val="1"/>
        <w:rPr>
          <w:b/>
          <w:bCs/>
          <w:color w:val="auto"/>
          <w:sz w:val="30"/>
          <w:szCs w:val="32"/>
        </w:rPr>
      </w:pPr>
      <w:bookmarkStart w:id="48" w:name="_Toc5230"/>
      <w:r>
        <w:rPr>
          <w:rFonts w:hint="eastAsia"/>
          <w:b/>
          <w:bCs/>
          <w:color w:val="auto"/>
          <w:sz w:val="30"/>
          <w:szCs w:val="32"/>
        </w:rPr>
        <w:t>2.4评价标准</w:t>
      </w:r>
      <w:bookmarkEnd w:id="48"/>
    </w:p>
    <w:p w14:paraId="7832F315">
      <w:pPr>
        <w:snapToGrid/>
        <w:spacing w:before="156" w:beforeLines="50" w:after="156" w:afterLines="50"/>
        <w:ind w:firstLine="0" w:firstLineChars="0"/>
        <w:jc w:val="left"/>
        <w:outlineLvl w:val="2"/>
        <w:rPr>
          <w:b/>
          <w:bCs/>
          <w:color w:val="auto"/>
        </w:rPr>
      </w:pPr>
      <w:bookmarkStart w:id="49" w:name="_Toc5312"/>
      <w:r>
        <w:rPr>
          <w:rFonts w:hint="eastAsia"/>
          <w:b/>
          <w:bCs/>
          <w:color w:val="auto"/>
        </w:rPr>
        <w:t>2.4.1环境质量标准</w:t>
      </w:r>
      <w:bookmarkEnd w:id="49"/>
    </w:p>
    <w:p w14:paraId="55A46915">
      <w:pPr>
        <w:keepNext/>
        <w:keepLines/>
        <w:ind w:firstLine="0" w:firstLineChars="0"/>
        <w:outlineLvl w:val="3"/>
        <w:rPr>
          <w:b/>
          <w:color w:val="auto"/>
        </w:rPr>
      </w:pPr>
      <w:r>
        <w:rPr>
          <w:rFonts w:hint="eastAsia"/>
          <w:b/>
          <w:color w:val="auto"/>
        </w:rPr>
        <w:t>2.4.1.1大气环境质量标准</w:t>
      </w:r>
    </w:p>
    <w:p w14:paraId="1F603F98">
      <w:pPr>
        <w:ind w:firstLine="480"/>
        <w:rPr>
          <w:color w:val="auto"/>
        </w:rPr>
      </w:pPr>
      <w:r>
        <w:rPr>
          <w:color w:val="auto"/>
        </w:rPr>
        <w:t>项目建设地属于环境空气质量功能二类地区，环境空气中SO</w:t>
      </w:r>
      <w:r>
        <w:rPr>
          <w:color w:val="auto"/>
          <w:vertAlign w:val="subscript"/>
        </w:rPr>
        <w:t>2</w:t>
      </w:r>
      <w:r>
        <w:rPr>
          <w:color w:val="auto"/>
        </w:rPr>
        <w:t>、NO</w:t>
      </w:r>
      <w:r>
        <w:rPr>
          <w:color w:val="auto"/>
          <w:vertAlign w:val="subscript"/>
        </w:rPr>
        <w:t>2</w:t>
      </w:r>
      <w:r>
        <w:rPr>
          <w:color w:val="auto"/>
        </w:rPr>
        <w:t>、NO</w:t>
      </w:r>
      <w:r>
        <w:rPr>
          <w:color w:val="auto"/>
          <w:vertAlign w:val="subscript"/>
        </w:rPr>
        <w:t>x</w:t>
      </w:r>
      <w:r>
        <w:rPr>
          <w:color w:val="auto"/>
        </w:rPr>
        <w:t>、PM</w:t>
      </w:r>
      <w:r>
        <w:rPr>
          <w:color w:val="auto"/>
          <w:vertAlign w:val="subscript"/>
        </w:rPr>
        <w:t>10</w:t>
      </w:r>
      <w:r>
        <w:rPr>
          <w:color w:val="auto"/>
        </w:rPr>
        <w:t>、PM</w:t>
      </w:r>
      <w:r>
        <w:rPr>
          <w:color w:val="auto"/>
          <w:vertAlign w:val="subscript"/>
        </w:rPr>
        <w:t>2.5</w:t>
      </w:r>
      <w:r>
        <w:rPr>
          <w:color w:val="auto"/>
        </w:rPr>
        <w:t>、CO、O</w:t>
      </w:r>
      <w:r>
        <w:rPr>
          <w:color w:val="auto"/>
          <w:vertAlign w:val="subscript"/>
        </w:rPr>
        <w:t>3</w:t>
      </w:r>
      <w:r>
        <w:rPr>
          <w:color w:val="auto"/>
        </w:rPr>
        <w:t>执行《环境空气质量标准》(GB3095-20</w:t>
      </w:r>
      <w:r>
        <w:rPr>
          <w:rFonts w:hint="eastAsia"/>
          <w:color w:val="auto"/>
        </w:rPr>
        <w:t>26</w:t>
      </w:r>
      <w:r>
        <w:rPr>
          <w:color w:val="auto"/>
        </w:rPr>
        <w:t>)二级标准；氨、硫化氢执行《环境影响评价技术导则 大气环境》(HJ2.2-2018)附录D中表D.1其他污染物空气质量浓度参考限值；臭气浓度参照执行《恶臭污染物排放标准》(GB14554-93)表1二级标准。</w:t>
      </w:r>
    </w:p>
    <w:p w14:paraId="4A747273">
      <w:pPr>
        <w:pStyle w:val="49"/>
        <w:rPr>
          <w:bCs/>
          <w:color w:val="auto"/>
        </w:rPr>
      </w:pPr>
      <w:r>
        <w:rPr>
          <w:bCs/>
          <w:color w:val="auto"/>
        </w:rPr>
        <w:t>表2.4-1  环境空气质量标准(单位：μg/m</w:t>
      </w:r>
      <w:r>
        <w:rPr>
          <w:bCs/>
          <w:color w:val="auto"/>
          <w:vertAlign w:val="superscript"/>
        </w:rPr>
        <w:t>3</w:t>
      </w:r>
      <w:r>
        <w:rPr>
          <w:bCs/>
          <w:color w:val="auto"/>
        </w:rPr>
        <w:t>)</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625"/>
        <w:gridCol w:w="1638"/>
        <w:gridCol w:w="1803"/>
        <w:gridCol w:w="2517"/>
      </w:tblGrid>
      <w:tr w14:paraId="5414A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restart"/>
            <w:noWrap/>
            <w:vAlign w:val="center"/>
          </w:tcPr>
          <w:p w14:paraId="70578383">
            <w:pPr>
              <w:widowControl/>
              <w:adjustRightInd/>
              <w:snapToGrid/>
              <w:spacing w:line="240" w:lineRule="auto"/>
              <w:ind w:firstLine="0" w:firstLineChars="0"/>
              <w:jc w:val="center"/>
              <w:rPr>
                <w:b/>
                <w:bCs/>
                <w:color w:val="auto"/>
                <w:kern w:val="0"/>
                <w:sz w:val="21"/>
                <w:szCs w:val="21"/>
                <w14:ligatures w14:val="standardContextual"/>
              </w:rPr>
            </w:pPr>
            <w:r>
              <w:rPr>
                <w:b/>
                <w:bCs/>
                <w:color w:val="auto"/>
                <w:kern w:val="0"/>
                <w:sz w:val="21"/>
                <w:szCs w:val="21"/>
                <w14:ligatures w14:val="standardContextual"/>
              </w:rPr>
              <w:t>评价因子</w:t>
            </w:r>
          </w:p>
        </w:tc>
        <w:tc>
          <w:tcPr>
            <w:tcW w:w="1332" w:type="pct"/>
            <w:vMerge w:val="restart"/>
            <w:noWrap/>
            <w:vAlign w:val="center"/>
          </w:tcPr>
          <w:p w14:paraId="685D1B58">
            <w:pPr>
              <w:widowControl/>
              <w:adjustRightInd/>
              <w:snapToGrid/>
              <w:spacing w:line="240" w:lineRule="auto"/>
              <w:ind w:firstLine="0" w:firstLineChars="0"/>
              <w:jc w:val="center"/>
              <w:rPr>
                <w:b/>
                <w:bCs/>
                <w:color w:val="auto"/>
                <w:kern w:val="0"/>
                <w:sz w:val="21"/>
                <w:szCs w:val="21"/>
                <w14:ligatures w14:val="standardContextual"/>
              </w:rPr>
            </w:pPr>
            <w:r>
              <w:rPr>
                <w:b/>
                <w:bCs/>
                <w:color w:val="auto"/>
                <w:kern w:val="0"/>
                <w:sz w:val="21"/>
                <w:szCs w:val="21"/>
                <w14:ligatures w14:val="standardContextual"/>
              </w:rPr>
              <w:t>评价时段</w:t>
            </w:r>
          </w:p>
        </w:tc>
        <w:tc>
          <w:tcPr>
            <w:tcW w:w="1746" w:type="pct"/>
            <w:gridSpan w:val="2"/>
            <w:vAlign w:val="center"/>
          </w:tcPr>
          <w:p w14:paraId="56EEE864">
            <w:pPr>
              <w:widowControl/>
              <w:adjustRightInd/>
              <w:snapToGrid/>
              <w:spacing w:line="240" w:lineRule="auto"/>
              <w:ind w:firstLine="0" w:firstLineChars="0"/>
              <w:jc w:val="center"/>
              <w:rPr>
                <w:b/>
                <w:bCs/>
                <w:color w:val="auto"/>
                <w:kern w:val="0"/>
                <w:sz w:val="21"/>
                <w:szCs w:val="21"/>
                <w14:ligatures w14:val="standardContextual"/>
              </w:rPr>
            </w:pPr>
            <w:r>
              <w:rPr>
                <w:b/>
                <w:bCs/>
                <w:color w:val="auto"/>
                <w:kern w:val="0"/>
                <w:sz w:val="21"/>
                <w:szCs w:val="21"/>
                <w14:ligatures w14:val="standardContextual"/>
              </w:rPr>
              <w:t>（GB3095-2026）</w:t>
            </w:r>
          </w:p>
        </w:tc>
        <w:tc>
          <w:tcPr>
            <w:tcW w:w="1277" w:type="pct"/>
            <w:vMerge w:val="restart"/>
            <w:noWrap/>
            <w:vAlign w:val="center"/>
          </w:tcPr>
          <w:p w14:paraId="265633F9">
            <w:pPr>
              <w:widowControl/>
              <w:adjustRightInd/>
              <w:snapToGrid/>
              <w:spacing w:line="240" w:lineRule="auto"/>
              <w:ind w:firstLine="0" w:firstLineChars="0"/>
              <w:jc w:val="center"/>
              <w:rPr>
                <w:b/>
                <w:bCs/>
                <w:color w:val="auto"/>
                <w:kern w:val="0"/>
                <w:sz w:val="21"/>
                <w:szCs w:val="21"/>
                <w14:ligatures w14:val="standardContextual"/>
              </w:rPr>
            </w:pPr>
            <w:r>
              <w:rPr>
                <w:b/>
                <w:bCs/>
                <w:color w:val="auto"/>
                <w:kern w:val="0"/>
                <w:sz w:val="21"/>
                <w:szCs w:val="21"/>
                <w14:ligatures w14:val="standardContextual"/>
              </w:rPr>
              <w:t>标准来源</w:t>
            </w:r>
          </w:p>
        </w:tc>
      </w:tr>
      <w:tr w14:paraId="3A313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continue"/>
            <w:noWrap/>
            <w:vAlign w:val="center"/>
          </w:tcPr>
          <w:p w14:paraId="36D759D2">
            <w:pPr>
              <w:widowControl/>
              <w:adjustRightInd/>
              <w:snapToGrid/>
              <w:spacing w:line="240" w:lineRule="auto"/>
              <w:ind w:firstLine="0" w:firstLineChars="0"/>
              <w:jc w:val="center"/>
              <w:rPr>
                <w:b/>
                <w:bCs/>
                <w:color w:val="auto"/>
                <w:kern w:val="0"/>
                <w:sz w:val="21"/>
                <w:szCs w:val="21"/>
                <w14:ligatures w14:val="standardContextual"/>
              </w:rPr>
            </w:pPr>
          </w:p>
        </w:tc>
        <w:tc>
          <w:tcPr>
            <w:tcW w:w="1332" w:type="pct"/>
            <w:vMerge w:val="continue"/>
            <w:noWrap/>
            <w:vAlign w:val="center"/>
          </w:tcPr>
          <w:p w14:paraId="7E9D9571">
            <w:pPr>
              <w:widowControl/>
              <w:adjustRightInd/>
              <w:snapToGrid/>
              <w:spacing w:line="240" w:lineRule="auto"/>
              <w:ind w:firstLine="0" w:firstLineChars="0"/>
              <w:jc w:val="center"/>
              <w:rPr>
                <w:b/>
                <w:bCs/>
                <w:color w:val="auto"/>
                <w:kern w:val="0"/>
                <w:sz w:val="21"/>
                <w:szCs w:val="21"/>
                <w14:ligatures w14:val="standardContextual"/>
              </w:rPr>
            </w:pPr>
          </w:p>
        </w:tc>
        <w:tc>
          <w:tcPr>
            <w:tcW w:w="831" w:type="pct"/>
            <w:vAlign w:val="center"/>
          </w:tcPr>
          <w:p w14:paraId="7E7B0D2D">
            <w:pPr>
              <w:widowControl/>
              <w:adjustRightInd/>
              <w:snapToGrid/>
              <w:spacing w:line="240" w:lineRule="auto"/>
              <w:ind w:firstLine="0" w:firstLineChars="0"/>
              <w:jc w:val="center"/>
              <w:rPr>
                <w:b/>
                <w:bCs/>
                <w:color w:val="auto"/>
                <w:kern w:val="0"/>
                <w:sz w:val="21"/>
                <w:szCs w:val="21"/>
                <w14:ligatures w14:val="standardContextual"/>
              </w:rPr>
            </w:pPr>
            <w:r>
              <w:rPr>
                <w:rFonts w:hint="eastAsia"/>
                <w:b/>
                <w:bCs/>
                <w:color w:val="auto"/>
                <w:kern w:val="0"/>
                <w:sz w:val="21"/>
                <w:szCs w:val="21"/>
                <w14:ligatures w14:val="standardContextual"/>
              </w:rPr>
              <w:t>过渡阶段浓度限值</w:t>
            </w:r>
          </w:p>
        </w:tc>
        <w:tc>
          <w:tcPr>
            <w:tcW w:w="915" w:type="pct"/>
            <w:noWrap/>
            <w:vAlign w:val="center"/>
          </w:tcPr>
          <w:p w14:paraId="51B584BD">
            <w:pPr>
              <w:widowControl/>
              <w:adjustRightInd/>
              <w:snapToGrid/>
              <w:spacing w:line="240" w:lineRule="auto"/>
              <w:ind w:firstLine="0" w:firstLineChars="0"/>
              <w:jc w:val="center"/>
              <w:rPr>
                <w:b/>
                <w:bCs/>
                <w:color w:val="auto"/>
                <w:kern w:val="0"/>
                <w:sz w:val="21"/>
                <w:szCs w:val="21"/>
                <w14:ligatures w14:val="standardContextual"/>
              </w:rPr>
            </w:pPr>
            <w:r>
              <w:rPr>
                <w:rFonts w:hint="eastAsia"/>
                <w:b/>
                <w:bCs/>
                <w:color w:val="auto"/>
                <w:kern w:val="0"/>
                <w:sz w:val="21"/>
                <w:szCs w:val="21"/>
                <w14:ligatures w14:val="standardContextual"/>
              </w:rPr>
              <w:t>浓度限</w:t>
            </w:r>
            <w:r>
              <w:rPr>
                <w:b/>
                <w:bCs/>
                <w:color w:val="auto"/>
                <w:kern w:val="0"/>
                <w:sz w:val="21"/>
                <w:szCs w:val="21"/>
                <w14:ligatures w14:val="standardContextual"/>
              </w:rPr>
              <w:t>值</w:t>
            </w:r>
          </w:p>
        </w:tc>
        <w:tc>
          <w:tcPr>
            <w:tcW w:w="1277" w:type="pct"/>
            <w:vMerge w:val="continue"/>
            <w:noWrap/>
            <w:vAlign w:val="center"/>
          </w:tcPr>
          <w:p w14:paraId="3BB21735">
            <w:pPr>
              <w:widowControl/>
              <w:adjustRightInd/>
              <w:snapToGrid/>
              <w:spacing w:line="240" w:lineRule="auto"/>
              <w:ind w:firstLine="0" w:firstLineChars="0"/>
              <w:jc w:val="center"/>
              <w:rPr>
                <w:b/>
                <w:bCs/>
                <w:color w:val="auto"/>
                <w:kern w:val="0"/>
                <w:sz w:val="21"/>
                <w:szCs w:val="21"/>
                <w14:ligatures w14:val="standardContextual"/>
              </w:rPr>
            </w:pPr>
          </w:p>
        </w:tc>
      </w:tr>
      <w:tr w14:paraId="1BFC9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645" w:type="pct"/>
            <w:vMerge w:val="restart"/>
            <w:noWrap/>
            <w:vAlign w:val="center"/>
          </w:tcPr>
          <w:p w14:paraId="0C1346EF">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SO</w:t>
            </w:r>
            <w:r>
              <w:rPr>
                <w:bCs/>
                <w:color w:val="auto"/>
                <w:kern w:val="0"/>
                <w:sz w:val="21"/>
                <w:szCs w:val="21"/>
                <w:vertAlign w:val="subscript"/>
                <w14:ligatures w14:val="standardContextual"/>
              </w:rPr>
              <w:t>2</w:t>
            </w:r>
          </w:p>
        </w:tc>
        <w:tc>
          <w:tcPr>
            <w:tcW w:w="1332" w:type="pct"/>
            <w:noWrap/>
            <w:vAlign w:val="center"/>
          </w:tcPr>
          <w:p w14:paraId="5A9504F5">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年平均</w:t>
            </w:r>
          </w:p>
        </w:tc>
        <w:tc>
          <w:tcPr>
            <w:tcW w:w="831" w:type="pct"/>
            <w:vAlign w:val="center"/>
          </w:tcPr>
          <w:p w14:paraId="21EC0572">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60</w:t>
            </w:r>
          </w:p>
        </w:tc>
        <w:tc>
          <w:tcPr>
            <w:tcW w:w="915" w:type="pct"/>
            <w:noWrap/>
            <w:vAlign w:val="center"/>
          </w:tcPr>
          <w:p w14:paraId="7699A31A">
            <w:pPr>
              <w:widowControl/>
              <w:adjustRightInd/>
              <w:snapToGrid/>
              <w:spacing w:line="240" w:lineRule="auto"/>
              <w:ind w:firstLine="0" w:firstLineChars="0"/>
              <w:jc w:val="center"/>
              <w:rPr>
                <w:color w:val="auto"/>
                <w:kern w:val="0"/>
                <w:sz w:val="21"/>
                <w:szCs w:val="21"/>
                <w14:ligatures w14:val="standardContextual"/>
              </w:rPr>
            </w:pPr>
            <w:r>
              <w:rPr>
                <w:rFonts w:hint="eastAsia"/>
                <w:bCs/>
                <w:color w:val="auto"/>
                <w:kern w:val="0"/>
                <w:sz w:val="21"/>
                <w:szCs w:val="21"/>
                <w14:ligatures w14:val="standardContextual"/>
              </w:rPr>
              <w:t>20</w:t>
            </w:r>
          </w:p>
        </w:tc>
        <w:tc>
          <w:tcPr>
            <w:tcW w:w="1277" w:type="pct"/>
            <w:vMerge w:val="restart"/>
            <w:noWrap/>
            <w:vAlign w:val="center"/>
          </w:tcPr>
          <w:p w14:paraId="7F132197">
            <w:pPr>
              <w:widowControl/>
              <w:adjustRightInd/>
              <w:snapToGrid/>
              <w:spacing w:line="240" w:lineRule="auto"/>
              <w:ind w:firstLine="0" w:firstLineChars="0"/>
              <w:jc w:val="center"/>
              <w:rPr>
                <w:color w:val="auto"/>
                <w:kern w:val="0"/>
                <w:sz w:val="21"/>
                <w:szCs w:val="21"/>
                <w14:ligatures w14:val="standardContextual"/>
              </w:rPr>
            </w:pPr>
            <w:r>
              <w:rPr>
                <w:color w:val="auto"/>
                <w:kern w:val="0"/>
                <w:sz w:val="21"/>
                <w:szCs w:val="21"/>
                <w14:ligatures w14:val="standardContextual"/>
              </w:rPr>
              <w:t>《环境空气质量标准》（GB3095-2026）二级标准</w:t>
            </w:r>
            <w:r>
              <w:rPr>
                <w:rFonts w:hint="eastAsia"/>
                <w:color w:val="auto"/>
                <w:kern w:val="0"/>
                <w:sz w:val="21"/>
                <w:szCs w:val="21"/>
                <w14:ligatures w14:val="standardContextual"/>
              </w:rPr>
              <w:t xml:space="preserve"> </w:t>
            </w:r>
          </w:p>
        </w:tc>
      </w:tr>
      <w:tr w14:paraId="2124C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continue"/>
            <w:noWrap/>
            <w:vAlign w:val="center"/>
          </w:tcPr>
          <w:p w14:paraId="4400C5F0">
            <w:pPr>
              <w:widowControl/>
              <w:adjustRightInd/>
              <w:snapToGrid/>
              <w:spacing w:line="240" w:lineRule="auto"/>
              <w:ind w:firstLine="0" w:firstLineChars="0"/>
              <w:jc w:val="center"/>
              <w:rPr>
                <w:color w:val="auto"/>
                <w:kern w:val="0"/>
                <w:sz w:val="21"/>
                <w:szCs w:val="21"/>
                <w14:ligatures w14:val="standardContextual"/>
              </w:rPr>
            </w:pPr>
          </w:p>
        </w:tc>
        <w:tc>
          <w:tcPr>
            <w:tcW w:w="1332" w:type="pct"/>
            <w:noWrap/>
            <w:vAlign w:val="center"/>
          </w:tcPr>
          <w:p w14:paraId="6CB671FC">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24小时平均</w:t>
            </w:r>
          </w:p>
        </w:tc>
        <w:tc>
          <w:tcPr>
            <w:tcW w:w="831" w:type="pct"/>
            <w:vAlign w:val="center"/>
          </w:tcPr>
          <w:p w14:paraId="2E3FBCAB">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150</w:t>
            </w:r>
          </w:p>
        </w:tc>
        <w:tc>
          <w:tcPr>
            <w:tcW w:w="915" w:type="pct"/>
            <w:noWrap/>
            <w:vAlign w:val="center"/>
          </w:tcPr>
          <w:p w14:paraId="5E35CA28">
            <w:pPr>
              <w:widowControl/>
              <w:adjustRightInd/>
              <w:snapToGrid/>
              <w:spacing w:line="240" w:lineRule="auto"/>
              <w:ind w:firstLine="0" w:firstLineChars="0"/>
              <w:jc w:val="center"/>
              <w:rPr>
                <w:color w:val="auto"/>
                <w:kern w:val="0"/>
                <w:sz w:val="21"/>
                <w:szCs w:val="21"/>
                <w14:ligatures w14:val="standardContextual"/>
              </w:rPr>
            </w:pPr>
            <w:r>
              <w:rPr>
                <w:rFonts w:hint="eastAsia"/>
                <w:bCs/>
                <w:color w:val="auto"/>
                <w:kern w:val="0"/>
                <w:sz w:val="21"/>
                <w:szCs w:val="21"/>
                <w14:ligatures w14:val="standardContextual"/>
              </w:rPr>
              <w:t>50</w:t>
            </w:r>
          </w:p>
        </w:tc>
        <w:tc>
          <w:tcPr>
            <w:tcW w:w="1277" w:type="pct"/>
            <w:vMerge w:val="continue"/>
            <w:noWrap/>
            <w:vAlign w:val="center"/>
          </w:tcPr>
          <w:p w14:paraId="509938CC">
            <w:pPr>
              <w:widowControl/>
              <w:adjustRightInd/>
              <w:snapToGrid/>
              <w:spacing w:line="240" w:lineRule="auto"/>
              <w:ind w:firstLine="0" w:firstLineChars="0"/>
              <w:jc w:val="center"/>
              <w:rPr>
                <w:color w:val="auto"/>
                <w:kern w:val="0"/>
                <w:sz w:val="21"/>
                <w:szCs w:val="21"/>
                <w14:ligatures w14:val="standardContextual"/>
              </w:rPr>
            </w:pPr>
          </w:p>
        </w:tc>
      </w:tr>
      <w:tr w14:paraId="7DBEF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645" w:type="pct"/>
            <w:vMerge w:val="continue"/>
            <w:noWrap/>
            <w:vAlign w:val="center"/>
          </w:tcPr>
          <w:p w14:paraId="1A55D4C3">
            <w:pPr>
              <w:widowControl/>
              <w:adjustRightInd/>
              <w:snapToGrid/>
              <w:spacing w:line="240" w:lineRule="auto"/>
              <w:ind w:firstLine="0" w:firstLineChars="0"/>
              <w:jc w:val="center"/>
              <w:rPr>
                <w:color w:val="auto"/>
                <w:kern w:val="0"/>
                <w:sz w:val="21"/>
                <w:szCs w:val="21"/>
                <w14:ligatures w14:val="standardContextual"/>
              </w:rPr>
            </w:pPr>
          </w:p>
        </w:tc>
        <w:tc>
          <w:tcPr>
            <w:tcW w:w="1332" w:type="pct"/>
            <w:noWrap/>
            <w:vAlign w:val="center"/>
          </w:tcPr>
          <w:p w14:paraId="69D00332">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1小时平均</w:t>
            </w:r>
          </w:p>
        </w:tc>
        <w:tc>
          <w:tcPr>
            <w:tcW w:w="831" w:type="pct"/>
            <w:vAlign w:val="center"/>
          </w:tcPr>
          <w:p w14:paraId="6C178481">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500</w:t>
            </w:r>
          </w:p>
        </w:tc>
        <w:tc>
          <w:tcPr>
            <w:tcW w:w="915" w:type="pct"/>
            <w:noWrap/>
            <w:vAlign w:val="center"/>
          </w:tcPr>
          <w:p w14:paraId="5D4345EB">
            <w:pPr>
              <w:widowControl/>
              <w:adjustRightInd/>
              <w:snapToGrid/>
              <w:spacing w:line="240" w:lineRule="auto"/>
              <w:ind w:firstLine="0" w:firstLineChars="0"/>
              <w:jc w:val="center"/>
              <w:rPr>
                <w:color w:val="auto"/>
                <w:kern w:val="0"/>
                <w:sz w:val="21"/>
                <w:szCs w:val="21"/>
                <w14:ligatures w14:val="standardContextual"/>
              </w:rPr>
            </w:pPr>
            <w:r>
              <w:rPr>
                <w:rFonts w:hint="eastAsia"/>
                <w:bCs/>
                <w:color w:val="auto"/>
                <w:kern w:val="0"/>
                <w:sz w:val="21"/>
                <w:szCs w:val="21"/>
                <w14:ligatures w14:val="standardContextual"/>
              </w:rPr>
              <w:t>150</w:t>
            </w:r>
          </w:p>
        </w:tc>
        <w:tc>
          <w:tcPr>
            <w:tcW w:w="1277" w:type="pct"/>
            <w:vMerge w:val="continue"/>
            <w:noWrap/>
            <w:vAlign w:val="center"/>
          </w:tcPr>
          <w:p w14:paraId="78DE285A">
            <w:pPr>
              <w:widowControl/>
              <w:adjustRightInd/>
              <w:snapToGrid/>
              <w:spacing w:line="240" w:lineRule="auto"/>
              <w:ind w:firstLine="0" w:firstLineChars="0"/>
              <w:jc w:val="center"/>
              <w:rPr>
                <w:color w:val="auto"/>
                <w:kern w:val="0"/>
                <w:sz w:val="21"/>
                <w:szCs w:val="21"/>
                <w14:ligatures w14:val="standardContextual"/>
              </w:rPr>
            </w:pPr>
          </w:p>
        </w:tc>
      </w:tr>
      <w:tr w14:paraId="235DE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restart"/>
            <w:noWrap/>
            <w:vAlign w:val="center"/>
          </w:tcPr>
          <w:p w14:paraId="2257324F">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NO</w:t>
            </w:r>
            <w:r>
              <w:rPr>
                <w:bCs/>
                <w:color w:val="auto"/>
                <w:kern w:val="0"/>
                <w:sz w:val="21"/>
                <w:szCs w:val="21"/>
                <w:vertAlign w:val="subscript"/>
                <w14:ligatures w14:val="standardContextual"/>
              </w:rPr>
              <w:t>2</w:t>
            </w:r>
          </w:p>
        </w:tc>
        <w:tc>
          <w:tcPr>
            <w:tcW w:w="1332" w:type="pct"/>
            <w:noWrap/>
            <w:vAlign w:val="center"/>
          </w:tcPr>
          <w:p w14:paraId="0631C75C">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年平均</w:t>
            </w:r>
          </w:p>
        </w:tc>
        <w:tc>
          <w:tcPr>
            <w:tcW w:w="831" w:type="pct"/>
            <w:vAlign w:val="center"/>
          </w:tcPr>
          <w:p w14:paraId="3EB9D2EA">
            <w:pPr>
              <w:widowControl/>
              <w:adjustRightInd/>
              <w:snapToGrid/>
              <w:spacing w:line="240" w:lineRule="auto"/>
              <w:ind w:firstLine="0" w:firstLineChars="0"/>
              <w:jc w:val="center"/>
              <w:rPr>
                <w:bCs/>
                <w:color w:val="auto"/>
                <w:kern w:val="0"/>
                <w:sz w:val="21"/>
                <w:szCs w:val="21"/>
                <w14:ligatures w14:val="standardContextual"/>
              </w:rPr>
            </w:pPr>
            <w:r>
              <w:rPr>
                <w:bCs/>
                <w:color w:val="auto"/>
                <w:kern w:val="0"/>
                <w:sz w:val="21"/>
                <w:szCs w:val="21"/>
                <w14:ligatures w14:val="standardContextual"/>
              </w:rPr>
              <w:t>40</w:t>
            </w:r>
          </w:p>
        </w:tc>
        <w:tc>
          <w:tcPr>
            <w:tcW w:w="915" w:type="pct"/>
            <w:noWrap/>
            <w:vAlign w:val="center"/>
          </w:tcPr>
          <w:p w14:paraId="79DD2136">
            <w:pPr>
              <w:widowControl/>
              <w:adjustRightInd/>
              <w:snapToGrid/>
              <w:spacing w:line="240" w:lineRule="auto"/>
              <w:ind w:firstLine="0" w:firstLineChars="0"/>
              <w:jc w:val="center"/>
              <w:rPr>
                <w:color w:val="auto"/>
                <w:kern w:val="0"/>
                <w:sz w:val="21"/>
                <w:szCs w:val="21"/>
                <w14:ligatures w14:val="standardContextual"/>
              </w:rPr>
            </w:pPr>
            <w:r>
              <w:rPr>
                <w:rFonts w:hint="eastAsia"/>
                <w:bCs/>
                <w:color w:val="auto"/>
                <w:kern w:val="0"/>
                <w:sz w:val="21"/>
                <w:szCs w:val="21"/>
                <w14:ligatures w14:val="standardContextual"/>
              </w:rPr>
              <w:t>30</w:t>
            </w:r>
          </w:p>
        </w:tc>
        <w:tc>
          <w:tcPr>
            <w:tcW w:w="1277" w:type="pct"/>
            <w:vMerge w:val="continue"/>
            <w:noWrap/>
            <w:vAlign w:val="center"/>
          </w:tcPr>
          <w:p w14:paraId="33501C63">
            <w:pPr>
              <w:widowControl/>
              <w:adjustRightInd/>
              <w:snapToGrid/>
              <w:spacing w:line="240" w:lineRule="auto"/>
              <w:ind w:firstLine="0" w:firstLineChars="0"/>
              <w:jc w:val="center"/>
              <w:rPr>
                <w:color w:val="auto"/>
                <w:kern w:val="0"/>
                <w:sz w:val="21"/>
                <w:szCs w:val="21"/>
                <w14:ligatures w14:val="standardContextual"/>
              </w:rPr>
            </w:pPr>
          </w:p>
        </w:tc>
      </w:tr>
      <w:tr w14:paraId="6E1DE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645" w:type="pct"/>
            <w:vMerge w:val="continue"/>
            <w:noWrap/>
            <w:vAlign w:val="center"/>
          </w:tcPr>
          <w:p w14:paraId="6389B6B6">
            <w:pPr>
              <w:widowControl/>
              <w:adjustRightInd/>
              <w:snapToGrid/>
              <w:spacing w:line="240" w:lineRule="auto"/>
              <w:ind w:firstLine="0" w:firstLineChars="0"/>
              <w:jc w:val="center"/>
              <w:rPr>
                <w:color w:val="auto"/>
                <w:kern w:val="0"/>
                <w:sz w:val="21"/>
                <w:szCs w:val="21"/>
                <w14:ligatures w14:val="standardContextual"/>
              </w:rPr>
            </w:pPr>
          </w:p>
        </w:tc>
        <w:tc>
          <w:tcPr>
            <w:tcW w:w="1332" w:type="pct"/>
            <w:noWrap/>
            <w:vAlign w:val="center"/>
          </w:tcPr>
          <w:p w14:paraId="3533582F">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24小时平均</w:t>
            </w:r>
          </w:p>
        </w:tc>
        <w:tc>
          <w:tcPr>
            <w:tcW w:w="831" w:type="pct"/>
            <w:vAlign w:val="center"/>
          </w:tcPr>
          <w:p w14:paraId="0DCAC46A">
            <w:pPr>
              <w:widowControl/>
              <w:adjustRightInd/>
              <w:snapToGrid/>
              <w:spacing w:line="240" w:lineRule="auto"/>
              <w:ind w:firstLine="0" w:firstLineChars="0"/>
              <w:jc w:val="center"/>
              <w:rPr>
                <w:bCs/>
                <w:color w:val="auto"/>
                <w:kern w:val="0"/>
                <w:sz w:val="21"/>
                <w:szCs w:val="21"/>
                <w14:ligatures w14:val="standardContextual"/>
              </w:rPr>
            </w:pPr>
            <w:r>
              <w:rPr>
                <w:bCs/>
                <w:color w:val="auto"/>
                <w:kern w:val="0"/>
                <w:sz w:val="21"/>
                <w:szCs w:val="21"/>
                <w14:ligatures w14:val="standardContextual"/>
              </w:rPr>
              <w:t>80</w:t>
            </w:r>
          </w:p>
        </w:tc>
        <w:tc>
          <w:tcPr>
            <w:tcW w:w="915" w:type="pct"/>
            <w:noWrap/>
            <w:vAlign w:val="center"/>
          </w:tcPr>
          <w:p w14:paraId="36DDD8F8">
            <w:pPr>
              <w:widowControl/>
              <w:adjustRightInd/>
              <w:snapToGrid/>
              <w:spacing w:line="240" w:lineRule="auto"/>
              <w:ind w:firstLine="0" w:firstLineChars="0"/>
              <w:jc w:val="center"/>
              <w:rPr>
                <w:color w:val="auto"/>
                <w:kern w:val="0"/>
                <w:sz w:val="21"/>
                <w:szCs w:val="21"/>
                <w14:ligatures w14:val="standardContextual"/>
              </w:rPr>
            </w:pPr>
            <w:r>
              <w:rPr>
                <w:rFonts w:hint="eastAsia"/>
                <w:bCs/>
                <w:color w:val="auto"/>
                <w:kern w:val="0"/>
                <w:sz w:val="21"/>
                <w:szCs w:val="21"/>
                <w14:ligatures w14:val="standardContextual"/>
              </w:rPr>
              <w:t>50</w:t>
            </w:r>
          </w:p>
        </w:tc>
        <w:tc>
          <w:tcPr>
            <w:tcW w:w="1277" w:type="pct"/>
            <w:vMerge w:val="continue"/>
            <w:noWrap/>
            <w:vAlign w:val="center"/>
          </w:tcPr>
          <w:p w14:paraId="77D9805A">
            <w:pPr>
              <w:widowControl/>
              <w:adjustRightInd/>
              <w:snapToGrid/>
              <w:spacing w:line="240" w:lineRule="auto"/>
              <w:ind w:firstLine="0" w:firstLineChars="0"/>
              <w:jc w:val="center"/>
              <w:rPr>
                <w:color w:val="auto"/>
                <w:kern w:val="0"/>
                <w:sz w:val="21"/>
                <w:szCs w:val="21"/>
                <w14:ligatures w14:val="standardContextual"/>
              </w:rPr>
            </w:pPr>
          </w:p>
        </w:tc>
      </w:tr>
      <w:tr w14:paraId="262A0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continue"/>
            <w:noWrap/>
            <w:vAlign w:val="center"/>
          </w:tcPr>
          <w:p w14:paraId="0CA1B627">
            <w:pPr>
              <w:widowControl/>
              <w:adjustRightInd/>
              <w:snapToGrid/>
              <w:spacing w:line="240" w:lineRule="auto"/>
              <w:ind w:firstLine="0" w:firstLineChars="0"/>
              <w:jc w:val="center"/>
              <w:rPr>
                <w:color w:val="auto"/>
                <w:kern w:val="0"/>
                <w:sz w:val="21"/>
                <w:szCs w:val="21"/>
                <w14:ligatures w14:val="standardContextual"/>
              </w:rPr>
            </w:pPr>
          </w:p>
        </w:tc>
        <w:tc>
          <w:tcPr>
            <w:tcW w:w="1332" w:type="pct"/>
            <w:noWrap/>
            <w:vAlign w:val="center"/>
          </w:tcPr>
          <w:p w14:paraId="32D5BB2E">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1小时平均</w:t>
            </w:r>
          </w:p>
        </w:tc>
        <w:tc>
          <w:tcPr>
            <w:tcW w:w="831" w:type="pct"/>
            <w:vAlign w:val="center"/>
          </w:tcPr>
          <w:p w14:paraId="4C7A925A">
            <w:pPr>
              <w:widowControl/>
              <w:adjustRightInd/>
              <w:snapToGrid/>
              <w:spacing w:line="240" w:lineRule="auto"/>
              <w:ind w:firstLine="0" w:firstLineChars="0"/>
              <w:jc w:val="center"/>
              <w:rPr>
                <w:bCs/>
                <w:color w:val="auto"/>
                <w:kern w:val="0"/>
                <w:sz w:val="21"/>
                <w:szCs w:val="21"/>
                <w14:ligatures w14:val="standardContextual"/>
              </w:rPr>
            </w:pPr>
            <w:r>
              <w:rPr>
                <w:bCs/>
                <w:color w:val="auto"/>
                <w:kern w:val="0"/>
                <w:sz w:val="21"/>
                <w:szCs w:val="21"/>
                <w14:ligatures w14:val="standardContextual"/>
              </w:rPr>
              <w:t>200</w:t>
            </w:r>
          </w:p>
        </w:tc>
        <w:tc>
          <w:tcPr>
            <w:tcW w:w="915" w:type="pct"/>
            <w:noWrap/>
            <w:vAlign w:val="center"/>
          </w:tcPr>
          <w:p w14:paraId="154D5AD8">
            <w:pPr>
              <w:widowControl/>
              <w:adjustRightInd/>
              <w:snapToGrid/>
              <w:spacing w:line="240" w:lineRule="auto"/>
              <w:ind w:firstLine="0" w:firstLineChars="0"/>
              <w:jc w:val="center"/>
              <w:rPr>
                <w:color w:val="auto"/>
                <w:kern w:val="0"/>
                <w:sz w:val="21"/>
                <w:szCs w:val="21"/>
                <w14:ligatures w14:val="standardContextual"/>
              </w:rPr>
            </w:pPr>
            <w:r>
              <w:rPr>
                <w:rFonts w:hint="eastAsia"/>
                <w:bCs/>
                <w:color w:val="auto"/>
                <w:kern w:val="0"/>
                <w:sz w:val="21"/>
                <w:szCs w:val="21"/>
                <w14:ligatures w14:val="standardContextual"/>
              </w:rPr>
              <w:t>200</w:t>
            </w:r>
          </w:p>
        </w:tc>
        <w:tc>
          <w:tcPr>
            <w:tcW w:w="1277" w:type="pct"/>
            <w:vMerge w:val="continue"/>
            <w:noWrap/>
            <w:vAlign w:val="center"/>
          </w:tcPr>
          <w:p w14:paraId="53A2C345">
            <w:pPr>
              <w:widowControl/>
              <w:adjustRightInd/>
              <w:snapToGrid/>
              <w:spacing w:line="240" w:lineRule="auto"/>
              <w:ind w:firstLine="0" w:firstLineChars="0"/>
              <w:jc w:val="center"/>
              <w:rPr>
                <w:color w:val="auto"/>
                <w:kern w:val="0"/>
                <w:sz w:val="21"/>
                <w:szCs w:val="21"/>
                <w14:ligatures w14:val="standardContextual"/>
              </w:rPr>
            </w:pPr>
          </w:p>
        </w:tc>
      </w:tr>
      <w:tr w14:paraId="0834D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restart"/>
            <w:noWrap/>
            <w:vAlign w:val="center"/>
          </w:tcPr>
          <w:p w14:paraId="365E56DE">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NO</w:t>
            </w:r>
            <w:r>
              <w:rPr>
                <w:bCs/>
                <w:color w:val="auto"/>
                <w:kern w:val="0"/>
                <w:sz w:val="21"/>
                <w:szCs w:val="21"/>
                <w:vertAlign w:val="subscript"/>
                <w14:ligatures w14:val="standardContextual"/>
              </w:rPr>
              <w:t>x</w:t>
            </w:r>
          </w:p>
        </w:tc>
        <w:tc>
          <w:tcPr>
            <w:tcW w:w="1332" w:type="pct"/>
            <w:noWrap/>
            <w:vAlign w:val="center"/>
          </w:tcPr>
          <w:p w14:paraId="5C374D80">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年平均</w:t>
            </w:r>
          </w:p>
        </w:tc>
        <w:tc>
          <w:tcPr>
            <w:tcW w:w="831" w:type="pct"/>
            <w:vAlign w:val="center"/>
          </w:tcPr>
          <w:p w14:paraId="50A512F2">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50</w:t>
            </w:r>
          </w:p>
        </w:tc>
        <w:tc>
          <w:tcPr>
            <w:tcW w:w="915" w:type="pct"/>
            <w:noWrap/>
            <w:vAlign w:val="center"/>
          </w:tcPr>
          <w:p w14:paraId="67D4B9E2">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40</w:t>
            </w:r>
          </w:p>
        </w:tc>
        <w:tc>
          <w:tcPr>
            <w:tcW w:w="1277" w:type="pct"/>
            <w:vMerge w:val="continue"/>
            <w:noWrap/>
            <w:vAlign w:val="center"/>
          </w:tcPr>
          <w:p w14:paraId="66EC097C">
            <w:pPr>
              <w:widowControl/>
              <w:adjustRightInd/>
              <w:snapToGrid/>
              <w:spacing w:line="240" w:lineRule="auto"/>
              <w:ind w:firstLine="0" w:firstLineChars="0"/>
              <w:jc w:val="center"/>
              <w:rPr>
                <w:color w:val="auto"/>
                <w:kern w:val="0"/>
                <w:sz w:val="21"/>
                <w:szCs w:val="21"/>
                <w14:ligatures w14:val="standardContextual"/>
              </w:rPr>
            </w:pPr>
          </w:p>
        </w:tc>
      </w:tr>
      <w:tr w14:paraId="6489A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continue"/>
            <w:noWrap/>
            <w:vAlign w:val="center"/>
          </w:tcPr>
          <w:p w14:paraId="6E9A1B70">
            <w:pPr>
              <w:widowControl/>
              <w:adjustRightInd/>
              <w:snapToGrid/>
              <w:spacing w:line="240" w:lineRule="auto"/>
              <w:ind w:firstLine="0" w:firstLineChars="0"/>
              <w:jc w:val="center"/>
              <w:rPr>
                <w:color w:val="auto"/>
                <w:kern w:val="0"/>
                <w:sz w:val="21"/>
                <w:szCs w:val="21"/>
                <w14:ligatures w14:val="standardContextual"/>
              </w:rPr>
            </w:pPr>
          </w:p>
        </w:tc>
        <w:tc>
          <w:tcPr>
            <w:tcW w:w="1332" w:type="pct"/>
            <w:noWrap/>
            <w:vAlign w:val="center"/>
          </w:tcPr>
          <w:p w14:paraId="291B8190">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24小时平均</w:t>
            </w:r>
          </w:p>
        </w:tc>
        <w:tc>
          <w:tcPr>
            <w:tcW w:w="831" w:type="pct"/>
            <w:vAlign w:val="center"/>
          </w:tcPr>
          <w:p w14:paraId="1F463E1E">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100</w:t>
            </w:r>
          </w:p>
        </w:tc>
        <w:tc>
          <w:tcPr>
            <w:tcW w:w="915" w:type="pct"/>
            <w:noWrap/>
            <w:vAlign w:val="center"/>
          </w:tcPr>
          <w:p w14:paraId="64C9BF57">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70</w:t>
            </w:r>
          </w:p>
        </w:tc>
        <w:tc>
          <w:tcPr>
            <w:tcW w:w="1277" w:type="pct"/>
            <w:vMerge w:val="continue"/>
            <w:noWrap/>
            <w:vAlign w:val="center"/>
          </w:tcPr>
          <w:p w14:paraId="2ABE6085">
            <w:pPr>
              <w:widowControl/>
              <w:adjustRightInd/>
              <w:snapToGrid/>
              <w:spacing w:line="240" w:lineRule="auto"/>
              <w:ind w:firstLine="0" w:firstLineChars="0"/>
              <w:jc w:val="center"/>
              <w:rPr>
                <w:color w:val="auto"/>
                <w:kern w:val="0"/>
                <w:sz w:val="21"/>
                <w:szCs w:val="21"/>
                <w14:ligatures w14:val="standardContextual"/>
              </w:rPr>
            </w:pPr>
          </w:p>
        </w:tc>
      </w:tr>
      <w:tr w14:paraId="17983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continue"/>
            <w:noWrap/>
            <w:vAlign w:val="center"/>
          </w:tcPr>
          <w:p w14:paraId="1001F856">
            <w:pPr>
              <w:widowControl/>
              <w:adjustRightInd/>
              <w:snapToGrid/>
              <w:spacing w:line="240" w:lineRule="auto"/>
              <w:ind w:firstLine="0" w:firstLineChars="0"/>
              <w:jc w:val="center"/>
              <w:rPr>
                <w:color w:val="auto"/>
                <w:kern w:val="0"/>
                <w:sz w:val="21"/>
                <w:szCs w:val="21"/>
                <w14:ligatures w14:val="standardContextual"/>
              </w:rPr>
            </w:pPr>
          </w:p>
        </w:tc>
        <w:tc>
          <w:tcPr>
            <w:tcW w:w="1332" w:type="pct"/>
            <w:noWrap/>
            <w:vAlign w:val="center"/>
          </w:tcPr>
          <w:p w14:paraId="36A0B264">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1小时平均</w:t>
            </w:r>
          </w:p>
        </w:tc>
        <w:tc>
          <w:tcPr>
            <w:tcW w:w="831" w:type="pct"/>
            <w:vAlign w:val="center"/>
          </w:tcPr>
          <w:p w14:paraId="4DE8742E">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250</w:t>
            </w:r>
          </w:p>
        </w:tc>
        <w:tc>
          <w:tcPr>
            <w:tcW w:w="915" w:type="pct"/>
            <w:noWrap/>
            <w:vAlign w:val="center"/>
          </w:tcPr>
          <w:p w14:paraId="69BDD7FC">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250</w:t>
            </w:r>
          </w:p>
        </w:tc>
        <w:tc>
          <w:tcPr>
            <w:tcW w:w="1277" w:type="pct"/>
            <w:vMerge w:val="continue"/>
            <w:noWrap/>
            <w:vAlign w:val="center"/>
          </w:tcPr>
          <w:p w14:paraId="3313BF21">
            <w:pPr>
              <w:widowControl/>
              <w:adjustRightInd/>
              <w:snapToGrid/>
              <w:spacing w:line="240" w:lineRule="auto"/>
              <w:ind w:firstLine="0" w:firstLineChars="0"/>
              <w:jc w:val="center"/>
              <w:rPr>
                <w:color w:val="auto"/>
                <w:kern w:val="0"/>
                <w:sz w:val="21"/>
                <w:szCs w:val="21"/>
                <w14:ligatures w14:val="standardContextual"/>
              </w:rPr>
            </w:pPr>
          </w:p>
        </w:tc>
      </w:tr>
      <w:tr w14:paraId="1077A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645" w:type="pct"/>
            <w:vMerge w:val="restart"/>
            <w:noWrap/>
            <w:vAlign w:val="center"/>
          </w:tcPr>
          <w:p w14:paraId="450FA3C4">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CO</w:t>
            </w:r>
          </w:p>
        </w:tc>
        <w:tc>
          <w:tcPr>
            <w:tcW w:w="1332" w:type="pct"/>
            <w:noWrap/>
            <w:vAlign w:val="center"/>
          </w:tcPr>
          <w:p w14:paraId="040A5FC9">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24小时平均</w:t>
            </w:r>
          </w:p>
        </w:tc>
        <w:tc>
          <w:tcPr>
            <w:tcW w:w="831" w:type="pct"/>
            <w:vAlign w:val="center"/>
          </w:tcPr>
          <w:p w14:paraId="1D0963BC">
            <w:pPr>
              <w:widowControl/>
              <w:adjustRightInd/>
              <w:snapToGrid/>
              <w:spacing w:line="240" w:lineRule="auto"/>
              <w:ind w:firstLine="0" w:firstLineChars="0"/>
              <w:jc w:val="center"/>
              <w:rPr>
                <w:bCs/>
                <w:color w:val="auto"/>
                <w:kern w:val="0"/>
                <w:sz w:val="21"/>
                <w:szCs w:val="21"/>
                <w14:ligatures w14:val="standardContextual"/>
              </w:rPr>
            </w:pPr>
            <w:r>
              <w:rPr>
                <w:bCs/>
                <w:color w:val="auto"/>
                <w:kern w:val="0"/>
                <w:sz w:val="21"/>
                <w:szCs w:val="21"/>
                <w14:ligatures w14:val="standardContextual"/>
              </w:rPr>
              <w:t>4000</w:t>
            </w:r>
          </w:p>
        </w:tc>
        <w:tc>
          <w:tcPr>
            <w:tcW w:w="915" w:type="pct"/>
            <w:noWrap/>
            <w:vAlign w:val="center"/>
          </w:tcPr>
          <w:p w14:paraId="0C43E23D">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4000</w:t>
            </w:r>
          </w:p>
        </w:tc>
        <w:tc>
          <w:tcPr>
            <w:tcW w:w="1277" w:type="pct"/>
            <w:vMerge w:val="continue"/>
            <w:noWrap/>
            <w:vAlign w:val="center"/>
          </w:tcPr>
          <w:p w14:paraId="234B07D1">
            <w:pPr>
              <w:widowControl/>
              <w:adjustRightInd/>
              <w:snapToGrid/>
              <w:spacing w:line="240" w:lineRule="auto"/>
              <w:ind w:firstLine="0" w:firstLineChars="0"/>
              <w:jc w:val="center"/>
              <w:rPr>
                <w:color w:val="auto"/>
                <w:kern w:val="0"/>
                <w:sz w:val="21"/>
                <w:szCs w:val="21"/>
                <w14:ligatures w14:val="standardContextual"/>
              </w:rPr>
            </w:pPr>
          </w:p>
        </w:tc>
      </w:tr>
      <w:tr w14:paraId="16473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continue"/>
            <w:noWrap/>
            <w:vAlign w:val="center"/>
          </w:tcPr>
          <w:p w14:paraId="59190C7D">
            <w:pPr>
              <w:widowControl/>
              <w:adjustRightInd/>
              <w:snapToGrid/>
              <w:spacing w:line="240" w:lineRule="auto"/>
              <w:ind w:firstLine="0" w:firstLineChars="0"/>
              <w:jc w:val="center"/>
              <w:rPr>
                <w:color w:val="auto"/>
                <w:kern w:val="0"/>
                <w:sz w:val="21"/>
                <w:szCs w:val="21"/>
                <w14:ligatures w14:val="standardContextual"/>
              </w:rPr>
            </w:pPr>
          </w:p>
        </w:tc>
        <w:tc>
          <w:tcPr>
            <w:tcW w:w="1332" w:type="pct"/>
            <w:noWrap/>
            <w:vAlign w:val="center"/>
          </w:tcPr>
          <w:p w14:paraId="310107CE">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1小时平均</w:t>
            </w:r>
          </w:p>
        </w:tc>
        <w:tc>
          <w:tcPr>
            <w:tcW w:w="831" w:type="pct"/>
            <w:vAlign w:val="center"/>
          </w:tcPr>
          <w:p w14:paraId="0F952EFF">
            <w:pPr>
              <w:widowControl/>
              <w:adjustRightInd/>
              <w:snapToGrid/>
              <w:spacing w:line="240" w:lineRule="auto"/>
              <w:ind w:firstLine="0" w:firstLineChars="0"/>
              <w:jc w:val="center"/>
              <w:rPr>
                <w:bCs/>
                <w:color w:val="auto"/>
                <w:kern w:val="0"/>
                <w:sz w:val="21"/>
                <w:szCs w:val="21"/>
                <w14:ligatures w14:val="standardContextual"/>
              </w:rPr>
            </w:pPr>
            <w:r>
              <w:rPr>
                <w:bCs/>
                <w:color w:val="auto"/>
                <w:kern w:val="0"/>
                <w:sz w:val="21"/>
                <w:szCs w:val="21"/>
                <w14:ligatures w14:val="standardContextual"/>
              </w:rPr>
              <w:t>10000</w:t>
            </w:r>
          </w:p>
        </w:tc>
        <w:tc>
          <w:tcPr>
            <w:tcW w:w="915" w:type="pct"/>
            <w:noWrap/>
            <w:vAlign w:val="center"/>
          </w:tcPr>
          <w:p w14:paraId="6938B936">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10000</w:t>
            </w:r>
          </w:p>
        </w:tc>
        <w:tc>
          <w:tcPr>
            <w:tcW w:w="1277" w:type="pct"/>
            <w:vMerge w:val="continue"/>
            <w:noWrap/>
            <w:vAlign w:val="center"/>
          </w:tcPr>
          <w:p w14:paraId="40263EE2">
            <w:pPr>
              <w:widowControl/>
              <w:adjustRightInd/>
              <w:snapToGrid/>
              <w:spacing w:line="240" w:lineRule="auto"/>
              <w:ind w:firstLine="0" w:firstLineChars="0"/>
              <w:jc w:val="center"/>
              <w:rPr>
                <w:color w:val="auto"/>
                <w:kern w:val="0"/>
                <w:sz w:val="21"/>
                <w:szCs w:val="21"/>
                <w14:ligatures w14:val="standardContextual"/>
              </w:rPr>
            </w:pPr>
          </w:p>
        </w:tc>
      </w:tr>
      <w:tr w14:paraId="7065A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restart"/>
            <w:noWrap/>
            <w:vAlign w:val="center"/>
          </w:tcPr>
          <w:p w14:paraId="4622F818">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O</w:t>
            </w:r>
            <w:r>
              <w:rPr>
                <w:bCs/>
                <w:color w:val="auto"/>
                <w:kern w:val="0"/>
                <w:sz w:val="21"/>
                <w:szCs w:val="21"/>
                <w:vertAlign w:val="subscript"/>
                <w14:ligatures w14:val="standardContextual"/>
              </w:rPr>
              <w:t>3</w:t>
            </w:r>
          </w:p>
        </w:tc>
        <w:tc>
          <w:tcPr>
            <w:tcW w:w="1332" w:type="pct"/>
            <w:noWrap/>
            <w:vAlign w:val="center"/>
          </w:tcPr>
          <w:p w14:paraId="469485FD">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日最大8小时平均</w:t>
            </w:r>
          </w:p>
        </w:tc>
        <w:tc>
          <w:tcPr>
            <w:tcW w:w="831" w:type="pct"/>
            <w:vAlign w:val="center"/>
          </w:tcPr>
          <w:p w14:paraId="4AE50982">
            <w:pPr>
              <w:widowControl/>
              <w:adjustRightInd/>
              <w:snapToGrid/>
              <w:spacing w:line="240" w:lineRule="auto"/>
              <w:ind w:firstLine="0" w:firstLineChars="0"/>
              <w:jc w:val="center"/>
              <w:rPr>
                <w:bCs/>
                <w:color w:val="auto"/>
                <w:kern w:val="0"/>
                <w:sz w:val="21"/>
                <w:szCs w:val="21"/>
                <w14:ligatures w14:val="standardContextual"/>
              </w:rPr>
            </w:pPr>
            <w:r>
              <w:rPr>
                <w:bCs/>
                <w:color w:val="auto"/>
                <w:kern w:val="0"/>
                <w:sz w:val="21"/>
                <w:szCs w:val="21"/>
                <w14:ligatures w14:val="standardContextual"/>
              </w:rPr>
              <w:t>160</w:t>
            </w:r>
          </w:p>
        </w:tc>
        <w:tc>
          <w:tcPr>
            <w:tcW w:w="915" w:type="pct"/>
            <w:noWrap/>
            <w:vAlign w:val="center"/>
          </w:tcPr>
          <w:p w14:paraId="4FAAAED2">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160</w:t>
            </w:r>
          </w:p>
        </w:tc>
        <w:tc>
          <w:tcPr>
            <w:tcW w:w="1277" w:type="pct"/>
            <w:vMerge w:val="continue"/>
            <w:noWrap/>
            <w:vAlign w:val="center"/>
          </w:tcPr>
          <w:p w14:paraId="62018C06">
            <w:pPr>
              <w:widowControl/>
              <w:adjustRightInd/>
              <w:snapToGrid/>
              <w:spacing w:line="240" w:lineRule="auto"/>
              <w:ind w:firstLine="0" w:firstLineChars="0"/>
              <w:jc w:val="center"/>
              <w:rPr>
                <w:color w:val="auto"/>
                <w:kern w:val="0"/>
                <w:sz w:val="21"/>
                <w:szCs w:val="21"/>
                <w14:ligatures w14:val="standardContextual"/>
              </w:rPr>
            </w:pPr>
          </w:p>
        </w:tc>
      </w:tr>
      <w:tr w14:paraId="7C627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continue"/>
            <w:noWrap/>
            <w:vAlign w:val="center"/>
          </w:tcPr>
          <w:p w14:paraId="06754E1A">
            <w:pPr>
              <w:widowControl/>
              <w:adjustRightInd/>
              <w:snapToGrid/>
              <w:spacing w:line="240" w:lineRule="auto"/>
              <w:ind w:firstLine="0" w:firstLineChars="0"/>
              <w:jc w:val="center"/>
              <w:rPr>
                <w:color w:val="auto"/>
                <w:kern w:val="0"/>
                <w:sz w:val="21"/>
                <w:szCs w:val="21"/>
                <w14:ligatures w14:val="standardContextual"/>
              </w:rPr>
            </w:pPr>
          </w:p>
        </w:tc>
        <w:tc>
          <w:tcPr>
            <w:tcW w:w="1332" w:type="pct"/>
            <w:noWrap/>
            <w:vAlign w:val="center"/>
          </w:tcPr>
          <w:p w14:paraId="5D41F6DD">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1小时平均</w:t>
            </w:r>
          </w:p>
        </w:tc>
        <w:tc>
          <w:tcPr>
            <w:tcW w:w="831" w:type="pct"/>
            <w:vAlign w:val="center"/>
          </w:tcPr>
          <w:p w14:paraId="46A857B3">
            <w:pPr>
              <w:widowControl/>
              <w:adjustRightInd/>
              <w:snapToGrid/>
              <w:spacing w:line="240" w:lineRule="auto"/>
              <w:ind w:firstLine="0" w:firstLineChars="0"/>
              <w:jc w:val="center"/>
              <w:rPr>
                <w:bCs/>
                <w:color w:val="auto"/>
                <w:kern w:val="0"/>
                <w:sz w:val="21"/>
                <w:szCs w:val="21"/>
                <w14:ligatures w14:val="standardContextual"/>
              </w:rPr>
            </w:pPr>
            <w:r>
              <w:rPr>
                <w:bCs/>
                <w:color w:val="auto"/>
                <w:kern w:val="0"/>
                <w:sz w:val="21"/>
                <w:szCs w:val="21"/>
                <w14:ligatures w14:val="standardContextual"/>
              </w:rPr>
              <w:t>200</w:t>
            </w:r>
          </w:p>
        </w:tc>
        <w:tc>
          <w:tcPr>
            <w:tcW w:w="915" w:type="pct"/>
            <w:noWrap/>
            <w:vAlign w:val="center"/>
          </w:tcPr>
          <w:p w14:paraId="43393895">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200</w:t>
            </w:r>
          </w:p>
        </w:tc>
        <w:tc>
          <w:tcPr>
            <w:tcW w:w="1277" w:type="pct"/>
            <w:vMerge w:val="continue"/>
            <w:noWrap/>
            <w:vAlign w:val="center"/>
          </w:tcPr>
          <w:p w14:paraId="053C7BB5">
            <w:pPr>
              <w:widowControl/>
              <w:adjustRightInd/>
              <w:snapToGrid/>
              <w:spacing w:line="240" w:lineRule="auto"/>
              <w:ind w:firstLine="0" w:firstLineChars="0"/>
              <w:jc w:val="center"/>
              <w:rPr>
                <w:color w:val="auto"/>
                <w:kern w:val="0"/>
                <w:sz w:val="21"/>
                <w:szCs w:val="21"/>
                <w14:ligatures w14:val="standardContextual"/>
              </w:rPr>
            </w:pPr>
          </w:p>
        </w:tc>
      </w:tr>
      <w:tr w14:paraId="7F946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restart"/>
            <w:noWrap/>
            <w:vAlign w:val="center"/>
          </w:tcPr>
          <w:p w14:paraId="699B2992">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PM</w:t>
            </w:r>
            <w:r>
              <w:rPr>
                <w:bCs/>
                <w:color w:val="auto"/>
                <w:kern w:val="0"/>
                <w:sz w:val="21"/>
                <w:szCs w:val="21"/>
                <w:vertAlign w:val="subscript"/>
                <w14:ligatures w14:val="standardContextual"/>
              </w:rPr>
              <w:t>10</w:t>
            </w:r>
          </w:p>
        </w:tc>
        <w:tc>
          <w:tcPr>
            <w:tcW w:w="1332" w:type="pct"/>
            <w:noWrap/>
            <w:vAlign w:val="center"/>
          </w:tcPr>
          <w:p w14:paraId="0096ADAB">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年平均</w:t>
            </w:r>
          </w:p>
        </w:tc>
        <w:tc>
          <w:tcPr>
            <w:tcW w:w="831" w:type="pct"/>
            <w:vAlign w:val="center"/>
          </w:tcPr>
          <w:p w14:paraId="2F91349E">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60</w:t>
            </w:r>
          </w:p>
        </w:tc>
        <w:tc>
          <w:tcPr>
            <w:tcW w:w="915" w:type="pct"/>
            <w:noWrap/>
            <w:vAlign w:val="center"/>
          </w:tcPr>
          <w:p w14:paraId="709C4D6A">
            <w:pPr>
              <w:widowControl/>
              <w:adjustRightInd/>
              <w:snapToGrid/>
              <w:spacing w:line="240" w:lineRule="auto"/>
              <w:ind w:firstLine="0" w:firstLineChars="0"/>
              <w:jc w:val="center"/>
              <w:rPr>
                <w:color w:val="auto"/>
                <w:kern w:val="0"/>
                <w:sz w:val="21"/>
                <w:szCs w:val="21"/>
                <w14:ligatures w14:val="standardContextual"/>
              </w:rPr>
            </w:pPr>
            <w:r>
              <w:rPr>
                <w:rFonts w:hint="eastAsia"/>
                <w:bCs/>
                <w:color w:val="auto"/>
                <w:kern w:val="0"/>
                <w:sz w:val="21"/>
                <w:szCs w:val="21"/>
                <w14:ligatures w14:val="standardContextual"/>
              </w:rPr>
              <w:t>50</w:t>
            </w:r>
          </w:p>
        </w:tc>
        <w:tc>
          <w:tcPr>
            <w:tcW w:w="1277" w:type="pct"/>
            <w:vMerge w:val="continue"/>
            <w:noWrap/>
            <w:vAlign w:val="center"/>
          </w:tcPr>
          <w:p w14:paraId="3752D3CE">
            <w:pPr>
              <w:widowControl/>
              <w:adjustRightInd/>
              <w:snapToGrid/>
              <w:spacing w:line="240" w:lineRule="auto"/>
              <w:ind w:firstLine="0" w:firstLineChars="0"/>
              <w:jc w:val="center"/>
              <w:rPr>
                <w:color w:val="auto"/>
                <w:kern w:val="0"/>
                <w:sz w:val="21"/>
                <w:szCs w:val="21"/>
                <w14:ligatures w14:val="standardContextual"/>
              </w:rPr>
            </w:pPr>
          </w:p>
        </w:tc>
      </w:tr>
      <w:tr w14:paraId="15ABF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continue"/>
            <w:noWrap/>
            <w:vAlign w:val="center"/>
          </w:tcPr>
          <w:p w14:paraId="7ADF393D">
            <w:pPr>
              <w:widowControl/>
              <w:adjustRightInd/>
              <w:snapToGrid/>
              <w:spacing w:line="240" w:lineRule="auto"/>
              <w:ind w:firstLine="0" w:firstLineChars="0"/>
              <w:jc w:val="center"/>
              <w:rPr>
                <w:color w:val="auto"/>
                <w:kern w:val="0"/>
                <w:sz w:val="21"/>
                <w:szCs w:val="21"/>
                <w14:ligatures w14:val="standardContextual"/>
              </w:rPr>
            </w:pPr>
          </w:p>
        </w:tc>
        <w:tc>
          <w:tcPr>
            <w:tcW w:w="1332" w:type="pct"/>
            <w:noWrap/>
            <w:vAlign w:val="center"/>
          </w:tcPr>
          <w:p w14:paraId="60A3DDDB">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24小时平均</w:t>
            </w:r>
          </w:p>
        </w:tc>
        <w:tc>
          <w:tcPr>
            <w:tcW w:w="831" w:type="pct"/>
            <w:vAlign w:val="center"/>
          </w:tcPr>
          <w:p w14:paraId="09830EC7">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120</w:t>
            </w:r>
          </w:p>
        </w:tc>
        <w:tc>
          <w:tcPr>
            <w:tcW w:w="915" w:type="pct"/>
            <w:noWrap/>
            <w:vAlign w:val="center"/>
          </w:tcPr>
          <w:p w14:paraId="03DA9135">
            <w:pPr>
              <w:widowControl/>
              <w:adjustRightInd/>
              <w:snapToGrid/>
              <w:spacing w:line="240" w:lineRule="auto"/>
              <w:ind w:firstLine="0" w:firstLineChars="0"/>
              <w:jc w:val="center"/>
              <w:rPr>
                <w:color w:val="auto"/>
                <w:kern w:val="0"/>
                <w:sz w:val="21"/>
                <w:szCs w:val="21"/>
                <w14:ligatures w14:val="standardContextual"/>
              </w:rPr>
            </w:pPr>
            <w:r>
              <w:rPr>
                <w:rFonts w:hint="eastAsia"/>
                <w:bCs/>
                <w:color w:val="auto"/>
                <w:kern w:val="0"/>
                <w:sz w:val="21"/>
                <w:szCs w:val="21"/>
                <w14:ligatures w14:val="standardContextual"/>
              </w:rPr>
              <w:t>100</w:t>
            </w:r>
          </w:p>
        </w:tc>
        <w:tc>
          <w:tcPr>
            <w:tcW w:w="1277" w:type="pct"/>
            <w:vMerge w:val="continue"/>
            <w:noWrap/>
            <w:vAlign w:val="center"/>
          </w:tcPr>
          <w:p w14:paraId="73015878">
            <w:pPr>
              <w:widowControl/>
              <w:adjustRightInd/>
              <w:snapToGrid/>
              <w:spacing w:line="240" w:lineRule="auto"/>
              <w:ind w:firstLine="0" w:firstLineChars="0"/>
              <w:jc w:val="center"/>
              <w:rPr>
                <w:color w:val="auto"/>
                <w:kern w:val="0"/>
                <w:sz w:val="21"/>
                <w:szCs w:val="21"/>
                <w14:ligatures w14:val="standardContextual"/>
              </w:rPr>
            </w:pPr>
          </w:p>
        </w:tc>
      </w:tr>
      <w:tr w14:paraId="4D5F8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restart"/>
            <w:noWrap/>
            <w:vAlign w:val="center"/>
          </w:tcPr>
          <w:p w14:paraId="017B01DD">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PM</w:t>
            </w:r>
            <w:r>
              <w:rPr>
                <w:bCs/>
                <w:color w:val="auto"/>
                <w:kern w:val="0"/>
                <w:sz w:val="21"/>
                <w:szCs w:val="21"/>
                <w:vertAlign w:val="subscript"/>
                <w14:ligatures w14:val="standardContextual"/>
              </w:rPr>
              <w:t>2.5</w:t>
            </w:r>
          </w:p>
        </w:tc>
        <w:tc>
          <w:tcPr>
            <w:tcW w:w="1332" w:type="pct"/>
            <w:noWrap/>
            <w:vAlign w:val="center"/>
          </w:tcPr>
          <w:p w14:paraId="67031E80">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年平均</w:t>
            </w:r>
          </w:p>
        </w:tc>
        <w:tc>
          <w:tcPr>
            <w:tcW w:w="831" w:type="pct"/>
            <w:vAlign w:val="center"/>
          </w:tcPr>
          <w:p w14:paraId="7DB5FC93">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30</w:t>
            </w:r>
          </w:p>
        </w:tc>
        <w:tc>
          <w:tcPr>
            <w:tcW w:w="915" w:type="pct"/>
            <w:noWrap/>
            <w:vAlign w:val="center"/>
          </w:tcPr>
          <w:p w14:paraId="49A7842B">
            <w:pPr>
              <w:widowControl/>
              <w:adjustRightInd/>
              <w:snapToGrid/>
              <w:spacing w:line="240" w:lineRule="auto"/>
              <w:ind w:firstLine="0" w:firstLineChars="0"/>
              <w:jc w:val="center"/>
              <w:rPr>
                <w:color w:val="auto"/>
                <w:kern w:val="0"/>
                <w:sz w:val="21"/>
                <w:szCs w:val="21"/>
                <w14:ligatures w14:val="standardContextual"/>
              </w:rPr>
            </w:pPr>
            <w:r>
              <w:rPr>
                <w:rFonts w:hint="eastAsia"/>
                <w:bCs/>
                <w:color w:val="auto"/>
                <w:kern w:val="0"/>
                <w:sz w:val="21"/>
                <w:szCs w:val="21"/>
                <w14:ligatures w14:val="standardContextual"/>
              </w:rPr>
              <w:t>25</w:t>
            </w:r>
          </w:p>
        </w:tc>
        <w:tc>
          <w:tcPr>
            <w:tcW w:w="1277" w:type="pct"/>
            <w:vMerge w:val="continue"/>
            <w:noWrap/>
            <w:vAlign w:val="center"/>
          </w:tcPr>
          <w:p w14:paraId="3A864DB2">
            <w:pPr>
              <w:widowControl/>
              <w:adjustRightInd/>
              <w:snapToGrid/>
              <w:spacing w:line="240" w:lineRule="auto"/>
              <w:ind w:firstLine="0" w:firstLineChars="0"/>
              <w:jc w:val="center"/>
              <w:rPr>
                <w:color w:val="auto"/>
                <w:kern w:val="0"/>
                <w:sz w:val="21"/>
                <w:szCs w:val="21"/>
                <w14:ligatures w14:val="standardContextual"/>
              </w:rPr>
            </w:pPr>
          </w:p>
        </w:tc>
      </w:tr>
      <w:tr w14:paraId="6B2B2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Merge w:val="continue"/>
            <w:noWrap/>
            <w:vAlign w:val="center"/>
          </w:tcPr>
          <w:p w14:paraId="656315BF">
            <w:pPr>
              <w:widowControl/>
              <w:adjustRightInd/>
              <w:snapToGrid/>
              <w:spacing w:line="240" w:lineRule="auto"/>
              <w:ind w:firstLine="0" w:firstLineChars="0"/>
              <w:jc w:val="center"/>
              <w:rPr>
                <w:color w:val="auto"/>
                <w:kern w:val="0"/>
                <w:sz w:val="21"/>
                <w:szCs w:val="21"/>
                <w14:ligatures w14:val="standardContextual"/>
              </w:rPr>
            </w:pPr>
          </w:p>
        </w:tc>
        <w:tc>
          <w:tcPr>
            <w:tcW w:w="1332" w:type="pct"/>
            <w:noWrap/>
            <w:vAlign w:val="center"/>
          </w:tcPr>
          <w:p w14:paraId="25462F6F">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24小时平均</w:t>
            </w:r>
          </w:p>
        </w:tc>
        <w:tc>
          <w:tcPr>
            <w:tcW w:w="831" w:type="pct"/>
            <w:vAlign w:val="center"/>
          </w:tcPr>
          <w:p w14:paraId="10967025">
            <w:pPr>
              <w:widowControl/>
              <w:adjustRightInd/>
              <w:snapToGrid/>
              <w:spacing w:line="240" w:lineRule="auto"/>
              <w:ind w:firstLine="0" w:firstLineChars="0"/>
              <w:jc w:val="center"/>
              <w:rPr>
                <w:bCs/>
                <w:color w:val="auto"/>
                <w:kern w:val="0"/>
                <w:sz w:val="21"/>
                <w:szCs w:val="21"/>
                <w14:ligatures w14:val="standardContextual"/>
              </w:rPr>
            </w:pPr>
            <w:r>
              <w:rPr>
                <w:rFonts w:hint="eastAsia"/>
                <w:bCs/>
                <w:color w:val="auto"/>
                <w:kern w:val="0"/>
                <w:sz w:val="21"/>
                <w:szCs w:val="21"/>
                <w14:ligatures w14:val="standardContextual"/>
              </w:rPr>
              <w:t>60</w:t>
            </w:r>
          </w:p>
        </w:tc>
        <w:tc>
          <w:tcPr>
            <w:tcW w:w="915" w:type="pct"/>
            <w:noWrap/>
            <w:vAlign w:val="center"/>
          </w:tcPr>
          <w:p w14:paraId="76590578">
            <w:pPr>
              <w:widowControl/>
              <w:adjustRightInd/>
              <w:snapToGrid/>
              <w:spacing w:line="240" w:lineRule="auto"/>
              <w:ind w:firstLine="0" w:firstLineChars="0"/>
              <w:jc w:val="center"/>
              <w:rPr>
                <w:color w:val="auto"/>
                <w:kern w:val="0"/>
                <w:sz w:val="21"/>
                <w:szCs w:val="21"/>
                <w14:ligatures w14:val="standardContextual"/>
              </w:rPr>
            </w:pPr>
            <w:r>
              <w:rPr>
                <w:rFonts w:hint="eastAsia"/>
                <w:bCs/>
                <w:color w:val="auto"/>
                <w:kern w:val="0"/>
                <w:sz w:val="21"/>
                <w:szCs w:val="21"/>
                <w14:ligatures w14:val="standardContextual"/>
              </w:rPr>
              <w:t>50</w:t>
            </w:r>
          </w:p>
        </w:tc>
        <w:tc>
          <w:tcPr>
            <w:tcW w:w="1277" w:type="pct"/>
            <w:vMerge w:val="continue"/>
            <w:noWrap/>
            <w:vAlign w:val="center"/>
          </w:tcPr>
          <w:p w14:paraId="5033B81D">
            <w:pPr>
              <w:widowControl/>
              <w:adjustRightInd/>
              <w:snapToGrid/>
              <w:spacing w:line="240" w:lineRule="auto"/>
              <w:ind w:firstLine="0" w:firstLineChars="0"/>
              <w:jc w:val="center"/>
              <w:rPr>
                <w:color w:val="auto"/>
                <w:kern w:val="0"/>
                <w:sz w:val="21"/>
                <w:szCs w:val="21"/>
                <w14:ligatures w14:val="standardContextual"/>
              </w:rPr>
            </w:pPr>
          </w:p>
        </w:tc>
      </w:tr>
      <w:tr w14:paraId="1B24F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vAlign w:val="center"/>
          </w:tcPr>
          <w:p w14:paraId="70FFAB17">
            <w:pPr>
              <w:widowControl/>
              <w:adjustRightInd/>
              <w:snapToGrid/>
              <w:spacing w:line="240" w:lineRule="auto"/>
              <w:ind w:firstLine="0" w:firstLineChars="0"/>
              <w:jc w:val="center"/>
              <w:rPr>
                <w:color w:val="auto"/>
                <w:kern w:val="0"/>
                <w:sz w:val="21"/>
                <w:szCs w:val="21"/>
                <w14:ligatures w14:val="standardContextual"/>
              </w:rPr>
            </w:pPr>
            <w:r>
              <w:rPr>
                <w:rFonts w:hint="eastAsia"/>
                <w:color w:val="auto"/>
                <w:kern w:val="0"/>
                <w:sz w:val="21"/>
                <w:szCs w:val="21"/>
                <w14:ligatures w14:val="standardContextual"/>
              </w:rPr>
              <w:t>硫化氢</w:t>
            </w:r>
          </w:p>
        </w:tc>
        <w:tc>
          <w:tcPr>
            <w:tcW w:w="1332" w:type="pct"/>
            <w:noWrap/>
            <w:vAlign w:val="center"/>
          </w:tcPr>
          <w:p w14:paraId="1B538DAA">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1小时平均</w:t>
            </w:r>
          </w:p>
        </w:tc>
        <w:tc>
          <w:tcPr>
            <w:tcW w:w="831" w:type="pct"/>
            <w:vAlign w:val="center"/>
          </w:tcPr>
          <w:p w14:paraId="6F6E736B">
            <w:pPr>
              <w:widowControl/>
              <w:adjustRightInd/>
              <w:snapToGrid/>
              <w:spacing w:line="240" w:lineRule="auto"/>
              <w:ind w:firstLine="0" w:firstLineChars="0"/>
              <w:jc w:val="center"/>
              <w:rPr>
                <w:color w:val="auto"/>
                <w:kern w:val="0"/>
                <w:sz w:val="21"/>
                <w:szCs w:val="21"/>
                <w14:ligatures w14:val="standardContextual"/>
              </w:rPr>
            </w:pPr>
            <w:r>
              <w:rPr>
                <w:rFonts w:hint="eastAsia"/>
                <w:color w:val="auto"/>
                <w:kern w:val="0"/>
                <w:sz w:val="21"/>
                <w:szCs w:val="21"/>
                <w14:ligatures w14:val="standardContextual"/>
              </w:rPr>
              <w:t>/</w:t>
            </w:r>
          </w:p>
        </w:tc>
        <w:tc>
          <w:tcPr>
            <w:tcW w:w="915" w:type="pct"/>
            <w:noWrap/>
            <w:vAlign w:val="center"/>
          </w:tcPr>
          <w:p w14:paraId="7B4EC6B4">
            <w:pPr>
              <w:widowControl/>
              <w:adjustRightInd/>
              <w:snapToGrid/>
              <w:spacing w:line="240" w:lineRule="auto"/>
              <w:ind w:firstLine="0" w:firstLineChars="0"/>
              <w:jc w:val="center"/>
              <w:rPr>
                <w:color w:val="auto"/>
                <w:kern w:val="0"/>
                <w:sz w:val="21"/>
                <w:szCs w:val="21"/>
                <w14:ligatures w14:val="standardContextual"/>
              </w:rPr>
            </w:pPr>
            <w:r>
              <w:rPr>
                <w:rFonts w:hint="eastAsia"/>
                <w:color w:val="auto"/>
                <w:kern w:val="0"/>
                <w:sz w:val="21"/>
                <w:szCs w:val="21"/>
                <w14:ligatures w14:val="standardContextual"/>
              </w:rPr>
              <w:t>10</w:t>
            </w:r>
          </w:p>
        </w:tc>
        <w:tc>
          <w:tcPr>
            <w:tcW w:w="1277" w:type="pct"/>
            <w:vMerge w:val="restart"/>
            <w:noWrap/>
            <w:vAlign w:val="center"/>
          </w:tcPr>
          <w:p w14:paraId="1829EAE4">
            <w:pPr>
              <w:adjustRightInd/>
              <w:snapToGrid/>
              <w:spacing w:line="240" w:lineRule="auto"/>
              <w:ind w:firstLine="0" w:firstLineChars="0"/>
              <w:jc w:val="center"/>
              <w:rPr>
                <w:color w:val="auto"/>
                <w:kern w:val="0"/>
                <w:sz w:val="21"/>
                <w:szCs w:val="21"/>
                <w14:ligatures w14:val="standardContextual"/>
              </w:rPr>
            </w:pPr>
            <w:r>
              <w:rPr>
                <w:color w:val="auto"/>
                <w:kern w:val="0"/>
                <w:sz w:val="21"/>
                <w:szCs w:val="21"/>
                <w14:ligatures w14:val="standardContextual"/>
              </w:rPr>
              <w:t>《环境影响评价技术导则 大气环境》（HJ2.2-2018）附录D</w:t>
            </w:r>
          </w:p>
        </w:tc>
      </w:tr>
      <w:tr w14:paraId="4CEAD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noWrap/>
            <w:vAlign w:val="center"/>
          </w:tcPr>
          <w:p w14:paraId="753BAE46">
            <w:pPr>
              <w:widowControl/>
              <w:adjustRightInd/>
              <w:snapToGrid/>
              <w:spacing w:line="240" w:lineRule="auto"/>
              <w:ind w:firstLine="0" w:firstLineChars="0"/>
              <w:jc w:val="center"/>
              <w:rPr>
                <w:color w:val="auto"/>
                <w:kern w:val="0"/>
                <w:sz w:val="21"/>
                <w:szCs w:val="21"/>
                <w14:ligatures w14:val="standardContextual"/>
              </w:rPr>
            </w:pPr>
            <w:r>
              <w:rPr>
                <w:color w:val="auto"/>
                <w:kern w:val="0"/>
                <w:sz w:val="21"/>
                <w:szCs w:val="21"/>
                <w14:ligatures w14:val="standardContextual"/>
              </w:rPr>
              <w:t>氨</w:t>
            </w:r>
          </w:p>
        </w:tc>
        <w:tc>
          <w:tcPr>
            <w:tcW w:w="1332" w:type="pct"/>
            <w:noWrap/>
            <w:vAlign w:val="center"/>
          </w:tcPr>
          <w:p w14:paraId="0D99B462">
            <w:pPr>
              <w:widowControl/>
              <w:adjustRightInd/>
              <w:snapToGrid/>
              <w:spacing w:line="240" w:lineRule="auto"/>
              <w:ind w:firstLine="0" w:firstLineChars="0"/>
              <w:jc w:val="center"/>
              <w:rPr>
                <w:color w:val="auto"/>
                <w:kern w:val="0"/>
                <w:sz w:val="21"/>
                <w:szCs w:val="21"/>
                <w14:ligatures w14:val="standardContextual"/>
              </w:rPr>
            </w:pPr>
            <w:r>
              <w:rPr>
                <w:bCs/>
                <w:color w:val="auto"/>
                <w:kern w:val="0"/>
                <w:sz w:val="21"/>
                <w:szCs w:val="21"/>
                <w14:ligatures w14:val="standardContextual"/>
              </w:rPr>
              <w:t>1小时平均</w:t>
            </w:r>
          </w:p>
        </w:tc>
        <w:tc>
          <w:tcPr>
            <w:tcW w:w="831" w:type="pct"/>
            <w:vAlign w:val="center"/>
          </w:tcPr>
          <w:p w14:paraId="5CA9DE4E">
            <w:pPr>
              <w:widowControl/>
              <w:adjustRightInd/>
              <w:snapToGrid/>
              <w:spacing w:line="240" w:lineRule="auto"/>
              <w:ind w:firstLine="0" w:firstLineChars="0"/>
              <w:jc w:val="center"/>
              <w:rPr>
                <w:color w:val="auto"/>
                <w:kern w:val="0"/>
                <w:sz w:val="21"/>
                <w:szCs w:val="21"/>
                <w14:ligatures w14:val="standardContextual"/>
              </w:rPr>
            </w:pPr>
            <w:r>
              <w:rPr>
                <w:rFonts w:hint="eastAsia"/>
                <w:color w:val="auto"/>
                <w:kern w:val="0"/>
                <w:sz w:val="21"/>
                <w:szCs w:val="21"/>
                <w14:ligatures w14:val="standardContextual"/>
              </w:rPr>
              <w:t>/</w:t>
            </w:r>
          </w:p>
        </w:tc>
        <w:tc>
          <w:tcPr>
            <w:tcW w:w="915" w:type="pct"/>
            <w:noWrap/>
            <w:vAlign w:val="center"/>
          </w:tcPr>
          <w:p w14:paraId="7BC233D8">
            <w:pPr>
              <w:widowControl/>
              <w:adjustRightInd/>
              <w:snapToGrid/>
              <w:spacing w:line="240" w:lineRule="auto"/>
              <w:ind w:firstLine="0" w:firstLineChars="0"/>
              <w:jc w:val="center"/>
              <w:rPr>
                <w:color w:val="auto"/>
                <w:kern w:val="0"/>
                <w:sz w:val="21"/>
                <w:szCs w:val="21"/>
                <w14:ligatures w14:val="standardContextual"/>
              </w:rPr>
            </w:pPr>
            <w:r>
              <w:rPr>
                <w:color w:val="auto"/>
                <w:kern w:val="0"/>
                <w:sz w:val="21"/>
                <w:szCs w:val="21"/>
                <w14:ligatures w14:val="standardContextual"/>
              </w:rPr>
              <w:t>200</w:t>
            </w:r>
          </w:p>
        </w:tc>
        <w:tc>
          <w:tcPr>
            <w:tcW w:w="1277" w:type="pct"/>
            <w:vMerge w:val="continue"/>
            <w:noWrap/>
            <w:vAlign w:val="center"/>
          </w:tcPr>
          <w:p w14:paraId="644BD9AE">
            <w:pPr>
              <w:widowControl/>
              <w:adjustRightInd/>
              <w:snapToGrid/>
              <w:spacing w:line="240" w:lineRule="auto"/>
              <w:ind w:firstLine="0" w:firstLineChars="0"/>
              <w:jc w:val="center"/>
              <w:rPr>
                <w:color w:val="auto"/>
                <w:kern w:val="0"/>
                <w:sz w:val="21"/>
                <w:szCs w:val="21"/>
                <w14:ligatures w14:val="standardContextual"/>
              </w:rPr>
            </w:pPr>
          </w:p>
        </w:tc>
      </w:tr>
      <w:tr w14:paraId="7352C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5" w:type="pct"/>
            <w:noWrap/>
            <w:vAlign w:val="center"/>
          </w:tcPr>
          <w:p w14:paraId="69508E48">
            <w:pPr>
              <w:widowControl/>
              <w:adjustRightInd/>
              <w:snapToGrid/>
              <w:spacing w:line="240" w:lineRule="auto"/>
              <w:ind w:firstLine="0" w:firstLineChars="0"/>
              <w:jc w:val="center"/>
              <w:rPr>
                <w:color w:val="auto"/>
                <w:kern w:val="0"/>
                <w:sz w:val="21"/>
                <w:szCs w:val="21"/>
                <w14:ligatures w14:val="standardContextual"/>
              </w:rPr>
            </w:pPr>
            <w:r>
              <w:rPr>
                <w:rFonts w:hint="eastAsia"/>
                <w:color w:val="auto"/>
                <w:kern w:val="0"/>
                <w:sz w:val="21"/>
                <w:szCs w:val="21"/>
                <w14:ligatures w14:val="standardContextual"/>
              </w:rPr>
              <w:t>臭气浓度</w:t>
            </w:r>
          </w:p>
        </w:tc>
        <w:tc>
          <w:tcPr>
            <w:tcW w:w="1332" w:type="pct"/>
            <w:noWrap/>
            <w:vAlign w:val="center"/>
          </w:tcPr>
          <w:p w14:paraId="526F6168">
            <w:pPr>
              <w:widowControl/>
              <w:adjustRightInd/>
              <w:snapToGrid/>
              <w:spacing w:line="240" w:lineRule="auto"/>
              <w:ind w:firstLine="0" w:firstLineChars="0"/>
              <w:jc w:val="center"/>
              <w:rPr>
                <w:bCs/>
                <w:color w:val="auto"/>
                <w:kern w:val="0"/>
                <w:sz w:val="21"/>
                <w:szCs w:val="21"/>
                <w14:ligatures w14:val="standardContextual"/>
              </w:rPr>
            </w:pPr>
            <w:r>
              <w:rPr>
                <w:bCs/>
                <w:color w:val="auto"/>
                <w:kern w:val="0"/>
                <w:sz w:val="21"/>
                <w:szCs w:val="21"/>
                <w14:ligatures w14:val="standardContextual"/>
              </w:rPr>
              <w:t>1小时平均</w:t>
            </w:r>
          </w:p>
        </w:tc>
        <w:tc>
          <w:tcPr>
            <w:tcW w:w="831" w:type="pct"/>
            <w:vAlign w:val="center"/>
          </w:tcPr>
          <w:p w14:paraId="15F8B949">
            <w:pPr>
              <w:widowControl/>
              <w:adjustRightInd/>
              <w:snapToGrid/>
              <w:spacing w:line="240" w:lineRule="auto"/>
              <w:ind w:firstLine="0" w:firstLineChars="0"/>
              <w:jc w:val="center"/>
              <w:rPr>
                <w:color w:val="auto"/>
                <w:kern w:val="0"/>
                <w:sz w:val="21"/>
                <w:szCs w:val="21"/>
                <w14:ligatures w14:val="standardContextual"/>
              </w:rPr>
            </w:pPr>
            <w:r>
              <w:rPr>
                <w:rFonts w:hint="eastAsia"/>
                <w:color w:val="auto"/>
                <w:kern w:val="0"/>
                <w:sz w:val="21"/>
                <w:szCs w:val="21"/>
                <w14:ligatures w14:val="standardContextual"/>
              </w:rPr>
              <w:t>/</w:t>
            </w:r>
          </w:p>
        </w:tc>
        <w:tc>
          <w:tcPr>
            <w:tcW w:w="915" w:type="pct"/>
            <w:noWrap/>
            <w:vAlign w:val="center"/>
          </w:tcPr>
          <w:p w14:paraId="01E8EB95">
            <w:pPr>
              <w:widowControl/>
              <w:adjustRightInd/>
              <w:snapToGrid/>
              <w:spacing w:line="240" w:lineRule="auto"/>
              <w:ind w:firstLine="0" w:firstLineChars="0"/>
              <w:jc w:val="center"/>
              <w:rPr>
                <w:color w:val="auto"/>
                <w:kern w:val="0"/>
                <w:sz w:val="21"/>
                <w:szCs w:val="21"/>
                <w14:ligatures w14:val="standardContextual"/>
              </w:rPr>
            </w:pPr>
            <w:r>
              <w:rPr>
                <w:rFonts w:hint="eastAsia"/>
                <w:color w:val="auto"/>
                <w:kern w:val="0"/>
                <w:sz w:val="21"/>
                <w:szCs w:val="21"/>
                <w14:ligatures w14:val="standardContextual"/>
              </w:rPr>
              <w:t>20（无量纲）</w:t>
            </w:r>
          </w:p>
        </w:tc>
        <w:tc>
          <w:tcPr>
            <w:tcW w:w="1277" w:type="pct"/>
            <w:noWrap/>
            <w:vAlign w:val="center"/>
          </w:tcPr>
          <w:p w14:paraId="5FA2603C">
            <w:pPr>
              <w:widowControl/>
              <w:adjustRightInd/>
              <w:snapToGrid/>
              <w:spacing w:line="240" w:lineRule="auto"/>
              <w:ind w:firstLine="0" w:firstLineChars="0"/>
              <w:jc w:val="center"/>
              <w:rPr>
                <w:color w:val="auto"/>
                <w:kern w:val="0"/>
                <w:sz w:val="21"/>
                <w:szCs w:val="21"/>
                <w14:ligatures w14:val="standardContextual"/>
              </w:rPr>
            </w:pPr>
            <w:r>
              <w:rPr>
                <w:color w:val="auto"/>
                <w:kern w:val="0"/>
                <w:sz w:val="21"/>
                <w:szCs w:val="21"/>
                <w14:ligatures w14:val="standardContextual"/>
              </w:rPr>
              <w:t>《恶臭污染物排放标准》(GB14554-93)表1二级标准</w:t>
            </w:r>
          </w:p>
        </w:tc>
      </w:tr>
    </w:tbl>
    <w:p w14:paraId="495B79DF">
      <w:pPr>
        <w:ind w:firstLine="0" w:firstLineChars="0"/>
        <w:rPr>
          <w:color w:val="auto"/>
          <w:sz w:val="21"/>
          <w:szCs w:val="21"/>
        </w:rPr>
      </w:pPr>
      <w:r>
        <w:rPr>
          <w:rFonts w:hint="eastAsia"/>
          <w:color w:val="auto"/>
          <w:sz w:val="21"/>
          <w:szCs w:val="21"/>
        </w:rPr>
        <w:t>注：</w:t>
      </w:r>
      <w:r>
        <w:rPr>
          <w:color w:val="auto"/>
          <w:sz w:val="21"/>
          <w:szCs w:val="21"/>
        </w:rPr>
        <w:t>《环境空气质量标准》（GB3095-2026）</w:t>
      </w:r>
      <w:r>
        <w:rPr>
          <w:rFonts w:hint="eastAsia"/>
          <w:color w:val="auto"/>
          <w:sz w:val="21"/>
          <w:szCs w:val="21"/>
        </w:rPr>
        <w:t>于2026年3月1日起实施，自本标准实施之日起至</w:t>
      </w:r>
      <w:r>
        <w:rPr>
          <w:color w:val="auto"/>
          <w:sz w:val="21"/>
          <w:szCs w:val="21"/>
        </w:rPr>
        <w:t>2030</w:t>
      </w:r>
      <w:r>
        <w:rPr>
          <w:rFonts w:hint="eastAsia"/>
          <w:color w:val="auto"/>
          <w:sz w:val="21"/>
          <w:szCs w:val="21"/>
        </w:rPr>
        <w:t>年</w:t>
      </w:r>
      <w:r>
        <w:rPr>
          <w:color w:val="auto"/>
          <w:sz w:val="21"/>
          <w:szCs w:val="21"/>
        </w:rPr>
        <w:t>12</w:t>
      </w:r>
      <w:r>
        <w:rPr>
          <w:rFonts w:hint="eastAsia"/>
          <w:color w:val="auto"/>
          <w:sz w:val="21"/>
          <w:szCs w:val="21"/>
        </w:rPr>
        <w:t>月</w:t>
      </w:r>
      <w:r>
        <w:rPr>
          <w:color w:val="auto"/>
          <w:sz w:val="21"/>
          <w:szCs w:val="21"/>
        </w:rPr>
        <w:t>31</w:t>
      </w:r>
      <w:r>
        <w:rPr>
          <w:rFonts w:hint="eastAsia"/>
          <w:color w:val="auto"/>
          <w:sz w:val="21"/>
          <w:szCs w:val="21"/>
        </w:rPr>
        <w:t>日止，环境空气污染物基本项目实施过渡阶段浓度限值；自2031年1月1日起，在全国范围内实施基本项目浓度限值。</w:t>
      </w:r>
    </w:p>
    <w:p w14:paraId="555F2BC3">
      <w:pPr>
        <w:keepNext/>
        <w:keepLines/>
        <w:ind w:firstLine="0" w:firstLineChars="0"/>
        <w:outlineLvl w:val="3"/>
        <w:rPr>
          <w:b/>
          <w:color w:val="auto"/>
        </w:rPr>
      </w:pPr>
      <w:r>
        <w:rPr>
          <w:rFonts w:hint="eastAsia"/>
          <w:b/>
          <w:color w:val="auto"/>
        </w:rPr>
        <w:t>2.4.1.2地表水环境质量标准</w:t>
      </w:r>
    </w:p>
    <w:p w14:paraId="3F1ECA2E">
      <w:pPr>
        <w:ind w:firstLine="480"/>
        <w:rPr>
          <w:color w:val="auto"/>
        </w:rPr>
      </w:pPr>
      <w:r>
        <w:rPr>
          <w:color w:val="auto"/>
        </w:rPr>
        <w:t>本项目废水经厂区新建</w:t>
      </w:r>
      <w:r>
        <w:rPr>
          <w:rFonts w:hint="eastAsia"/>
          <w:color w:val="auto"/>
          <w:lang w:val="en-US" w:eastAsia="zh-CN"/>
        </w:rPr>
        <w:t>1</w:t>
      </w:r>
      <w:r>
        <w:rPr>
          <w:color w:val="auto"/>
        </w:rPr>
        <w:t>#污水处理站处理达接管标准后接管至联合环境水务(启东)有限公司，尾水排入长江，长江启东段水质执行《地表水环境质量标准》(GB3838-2002)中III类标准，长江中泓执行II类标准。厂区雨水接入园区雨水管网就近排入江风河，江风河水质执行《地表水环境质量标准》(GB3838-2002)III类标准。</w:t>
      </w:r>
    </w:p>
    <w:p w14:paraId="1B3F2799">
      <w:pPr>
        <w:pStyle w:val="49"/>
        <w:rPr>
          <w:color w:val="auto"/>
        </w:rPr>
      </w:pPr>
      <w:r>
        <w:rPr>
          <w:color w:val="auto"/>
        </w:rPr>
        <w:t>表2.4-2 地表水环境质量标准(单位：mg/L、pH值无量纲)</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32"/>
        <w:gridCol w:w="2057"/>
        <w:gridCol w:w="2026"/>
        <w:gridCol w:w="3979"/>
      </w:tblGrid>
      <w:tr w14:paraId="75173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42" w:type="pct"/>
            <w:vAlign w:val="center"/>
          </w:tcPr>
          <w:p w14:paraId="60DEC6BC">
            <w:pPr>
              <w:widowControl/>
              <w:spacing w:line="240" w:lineRule="auto"/>
              <w:ind w:firstLine="0" w:firstLineChars="0"/>
              <w:jc w:val="center"/>
              <w:rPr>
                <w:b/>
                <w:bCs/>
                <w:color w:val="auto"/>
                <w:kern w:val="0"/>
                <w:sz w:val="21"/>
                <w:szCs w:val="21"/>
              </w:rPr>
            </w:pPr>
            <w:r>
              <w:rPr>
                <w:b/>
                <w:bCs/>
                <w:color w:val="auto"/>
                <w:kern w:val="0"/>
                <w:sz w:val="21"/>
                <w:szCs w:val="21"/>
              </w:rPr>
              <w:t>污染物</w:t>
            </w:r>
          </w:p>
        </w:tc>
        <w:tc>
          <w:tcPr>
            <w:tcW w:w="1061" w:type="pct"/>
            <w:vAlign w:val="center"/>
          </w:tcPr>
          <w:p w14:paraId="5D7B164D">
            <w:pPr>
              <w:widowControl/>
              <w:spacing w:line="240" w:lineRule="auto"/>
              <w:ind w:firstLine="0" w:firstLineChars="0"/>
              <w:jc w:val="center"/>
              <w:rPr>
                <w:b/>
                <w:bCs/>
                <w:color w:val="auto"/>
                <w:kern w:val="0"/>
                <w:sz w:val="21"/>
                <w:szCs w:val="21"/>
              </w:rPr>
            </w:pPr>
            <w:r>
              <w:rPr>
                <w:b/>
                <w:bCs/>
                <w:color w:val="auto"/>
                <w:kern w:val="0"/>
                <w:sz w:val="21"/>
                <w:szCs w:val="21"/>
              </w:rPr>
              <w:fldChar w:fldCharType="begin"/>
            </w:r>
            <w:r>
              <w:rPr>
                <w:b/>
                <w:bCs/>
                <w:color w:val="auto"/>
                <w:kern w:val="0"/>
                <w:sz w:val="21"/>
                <w:szCs w:val="21"/>
              </w:rPr>
              <w:instrText xml:space="preserve"> = 3 \* ROMAN </w:instrText>
            </w:r>
            <w:r>
              <w:rPr>
                <w:b/>
                <w:bCs/>
                <w:color w:val="auto"/>
                <w:kern w:val="0"/>
                <w:sz w:val="21"/>
                <w:szCs w:val="21"/>
              </w:rPr>
              <w:fldChar w:fldCharType="separate"/>
            </w:r>
            <w:r>
              <w:rPr>
                <w:b/>
                <w:bCs/>
                <w:color w:val="auto"/>
                <w:kern w:val="0"/>
                <w:sz w:val="21"/>
                <w:szCs w:val="21"/>
              </w:rPr>
              <w:t>II</w:t>
            </w:r>
            <w:r>
              <w:rPr>
                <w:b/>
                <w:bCs/>
                <w:color w:val="auto"/>
                <w:kern w:val="0"/>
                <w:sz w:val="21"/>
                <w:szCs w:val="21"/>
              </w:rPr>
              <w:fldChar w:fldCharType="end"/>
            </w:r>
            <w:r>
              <w:rPr>
                <w:b/>
                <w:bCs/>
                <w:color w:val="auto"/>
                <w:kern w:val="0"/>
                <w:sz w:val="21"/>
                <w:szCs w:val="21"/>
              </w:rPr>
              <w:t>类标准值</w:t>
            </w:r>
          </w:p>
        </w:tc>
        <w:tc>
          <w:tcPr>
            <w:tcW w:w="1045" w:type="pct"/>
            <w:vAlign w:val="center"/>
          </w:tcPr>
          <w:p w14:paraId="5613796A">
            <w:pPr>
              <w:widowControl/>
              <w:spacing w:line="240" w:lineRule="auto"/>
              <w:ind w:firstLine="0" w:firstLineChars="0"/>
              <w:jc w:val="center"/>
              <w:rPr>
                <w:b/>
                <w:bCs/>
                <w:color w:val="auto"/>
                <w:kern w:val="0"/>
                <w:sz w:val="21"/>
                <w:szCs w:val="21"/>
              </w:rPr>
            </w:pPr>
            <w:r>
              <w:rPr>
                <w:b/>
                <w:bCs/>
                <w:color w:val="auto"/>
                <w:kern w:val="0"/>
                <w:sz w:val="21"/>
                <w:szCs w:val="21"/>
              </w:rPr>
              <w:fldChar w:fldCharType="begin"/>
            </w:r>
            <w:r>
              <w:rPr>
                <w:b/>
                <w:bCs/>
                <w:color w:val="auto"/>
                <w:kern w:val="0"/>
                <w:sz w:val="21"/>
                <w:szCs w:val="21"/>
              </w:rPr>
              <w:instrText xml:space="preserve"> = 3 \* ROMAN </w:instrText>
            </w:r>
            <w:r>
              <w:rPr>
                <w:b/>
                <w:bCs/>
                <w:color w:val="auto"/>
                <w:kern w:val="0"/>
                <w:sz w:val="21"/>
                <w:szCs w:val="21"/>
              </w:rPr>
              <w:fldChar w:fldCharType="separate"/>
            </w:r>
            <w:r>
              <w:rPr>
                <w:b/>
                <w:bCs/>
                <w:color w:val="auto"/>
                <w:kern w:val="0"/>
                <w:sz w:val="21"/>
                <w:szCs w:val="21"/>
              </w:rPr>
              <w:t>III</w:t>
            </w:r>
            <w:r>
              <w:rPr>
                <w:b/>
                <w:bCs/>
                <w:color w:val="auto"/>
                <w:kern w:val="0"/>
                <w:sz w:val="21"/>
                <w:szCs w:val="21"/>
              </w:rPr>
              <w:fldChar w:fldCharType="end"/>
            </w:r>
            <w:r>
              <w:rPr>
                <w:b/>
                <w:bCs/>
                <w:color w:val="auto"/>
                <w:kern w:val="0"/>
                <w:sz w:val="21"/>
                <w:szCs w:val="21"/>
              </w:rPr>
              <w:t>类标准值</w:t>
            </w:r>
          </w:p>
        </w:tc>
        <w:tc>
          <w:tcPr>
            <w:tcW w:w="2052" w:type="pct"/>
            <w:vAlign w:val="center"/>
          </w:tcPr>
          <w:p w14:paraId="4425B17F">
            <w:pPr>
              <w:widowControl/>
              <w:spacing w:line="240" w:lineRule="auto"/>
              <w:ind w:firstLine="0" w:firstLineChars="0"/>
              <w:jc w:val="center"/>
              <w:rPr>
                <w:b/>
                <w:bCs/>
                <w:color w:val="auto"/>
                <w:kern w:val="0"/>
                <w:sz w:val="21"/>
                <w:szCs w:val="21"/>
              </w:rPr>
            </w:pPr>
            <w:r>
              <w:rPr>
                <w:b/>
                <w:bCs/>
                <w:color w:val="auto"/>
                <w:kern w:val="0"/>
                <w:sz w:val="21"/>
                <w:szCs w:val="21"/>
              </w:rPr>
              <w:t>标准依据</w:t>
            </w:r>
          </w:p>
        </w:tc>
      </w:tr>
      <w:tr w14:paraId="7C523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42" w:type="pct"/>
            <w:vAlign w:val="center"/>
          </w:tcPr>
          <w:p w14:paraId="164F5489">
            <w:pPr>
              <w:widowControl/>
              <w:spacing w:line="240" w:lineRule="auto"/>
              <w:ind w:firstLine="0" w:firstLineChars="0"/>
              <w:jc w:val="center"/>
              <w:rPr>
                <w:color w:val="auto"/>
                <w:kern w:val="0"/>
                <w:sz w:val="21"/>
                <w:szCs w:val="21"/>
              </w:rPr>
            </w:pPr>
            <w:r>
              <w:rPr>
                <w:color w:val="auto"/>
                <w:kern w:val="0"/>
                <w:sz w:val="21"/>
                <w:szCs w:val="21"/>
              </w:rPr>
              <w:t>pH</w:t>
            </w:r>
          </w:p>
        </w:tc>
        <w:tc>
          <w:tcPr>
            <w:tcW w:w="1061" w:type="pct"/>
            <w:vAlign w:val="center"/>
          </w:tcPr>
          <w:p w14:paraId="7C6ADAD1">
            <w:pPr>
              <w:widowControl/>
              <w:spacing w:line="240" w:lineRule="auto"/>
              <w:ind w:firstLine="0" w:firstLineChars="0"/>
              <w:jc w:val="center"/>
              <w:rPr>
                <w:color w:val="auto"/>
                <w:kern w:val="0"/>
                <w:sz w:val="21"/>
                <w:szCs w:val="21"/>
              </w:rPr>
            </w:pPr>
            <w:r>
              <w:rPr>
                <w:color w:val="auto"/>
                <w:kern w:val="0"/>
                <w:sz w:val="21"/>
                <w:szCs w:val="21"/>
              </w:rPr>
              <w:t>6～9</w:t>
            </w:r>
          </w:p>
        </w:tc>
        <w:tc>
          <w:tcPr>
            <w:tcW w:w="1045" w:type="pct"/>
            <w:vAlign w:val="center"/>
          </w:tcPr>
          <w:p w14:paraId="2A5975F8">
            <w:pPr>
              <w:widowControl/>
              <w:spacing w:line="240" w:lineRule="auto"/>
              <w:ind w:firstLine="0" w:firstLineChars="0"/>
              <w:jc w:val="center"/>
              <w:rPr>
                <w:color w:val="auto"/>
                <w:kern w:val="0"/>
                <w:sz w:val="21"/>
                <w:szCs w:val="21"/>
              </w:rPr>
            </w:pPr>
            <w:r>
              <w:rPr>
                <w:color w:val="auto"/>
                <w:kern w:val="0"/>
                <w:sz w:val="21"/>
                <w:szCs w:val="21"/>
              </w:rPr>
              <w:t>6～9</w:t>
            </w:r>
          </w:p>
        </w:tc>
        <w:tc>
          <w:tcPr>
            <w:tcW w:w="2052" w:type="pct"/>
            <w:vMerge w:val="restart"/>
            <w:vAlign w:val="center"/>
          </w:tcPr>
          <w:p w14:paraId="450F7041">
            <w:pPr>
              <w:widowControl/>
              <w:spacing w:line="240" w:lineRule="auto"/>
              <w:ind w:firstLine="0" w:firstLineChars="0"/>
              <w:jc w:val="center"/>
              <w:rPr>
                <w:color w:val="auto"/>
                <w:kern w:val="0"/>
                <w:sz w:val="21"/>
                <w:szCs w:val="21"/>
              </w:rPr>
            </w:pPr>
            <w:r>
              <w:rPr>
                <w:color w:val="auto"/>
                <w:kern w:val="0"/>
                <w:sz w:val="21"/>
                <w:szCs w:val="21"/>
              </w:rPr>
              <w:t>《地表水环境质量标准》(GB3838-2002)表1标准</w:t>
            </w:r>
          </w:p>
        </w:tc>
      </w:tr>
      <w:tr w14:paraId="49B7C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42" w:type="pct"/>
            <w:vAlign w:val="center"/>
          </w:tcPr>
          <w:p w14:paraId="798F35B3">
            <w:pPr>
              <w:widowControl/>
              <w:spacing w:line="240" w:lineRule="auto"/>
              <w:ind w:firstLine="0" w:firstLineChars="0"/>
              <w:jc w:val="center"/>
              <w:rPr>
                <w:color w:val="auto"/>
                <w:kern w:val="0"/>
                <w:sz w:val="21"/>
                <w:szCs w:val="21"/>
              </w:rPr>
            </w:pPr>
            <w:r>
              <w:rPr>
                <w:color w:val="auto"/>
                <w:kern w:val="0"/>
                <w:sz w:val="21"/>
                <w:szCs w:val="21"/>
              </w:rPr>
              <w:t>COD</w:t>
            </w:r>
          </w:p>
        </w:tc>
        <w:tc>
          <w:tcPr>
            <w:tcW w:w="1061" w:type="pct"/>
            <w:vAlign w:val="center"/>
          </w:tcPr>
          <w:p w14:paraId="060C1462">
            <w:pPr>
              <w:widowControl/>
              <w:spacing w:line="240" w:lineRule="auto"/>
              <w:ind w:firstLine="0" w:firstLineChars="0"/>
              <w:jc w:val="center"/>
              <w:rPr>
                <w:color w:val="auto"/>
                <w:kern w:val="0"/>
                <w:sz w:val="21"/>
                <w:szCs w:val="21"/>
              </w:rPr>
            </w:pPr>
            <w:r>
              <w:rPr>
                <w:color w:val="auto"/>
                <w:kern w:val="0"/>
                <w:sz w:val="21"/>
                <w:szCs w:val="21"/>
              </w:rPr>
              <w:t>15</w:t>
            </w:r>
          </w:p>
        </w:tc>
        <w:tc>
          <w:tcPr>
            <w:tcW w:w="1045" w:type="pct"/>
            <w:vAlign w:val="center"/>
          </w:tcPr>
          <w:p w14:paraId="1876ACED">
            <w:pPr>
              <w:widowControl/>
              <w:spacing w:line="240" w:lineRule="auto"/>
              <w:ind w:firstLine="0" w:firstLineChars="0"/>
              <w:jc w:val="center"/>
              <w:rPr>
                <w:color w:val="auto"/>
                <w:kern w:val="0"/>
                <w:sz w:val="21"/>
                <w:szCs w:val="21"/>
              </w:rPr>
            </w:pPr>
            <w:r>
              <w:rPr>
                <w:color w:val="auto"/>
                <w:kern w:val="0"/>
                <w:sz w:val="21"/>
                <w:szCs w:val="21"/>
              </w:rPr>
              <w:t>20</w:t>
            </w:r>
          </w:p>
        </w:tc>
        <w:tc>
          <w:tcPr>
            <w:tcW w:w="2052" w:type="pct"/>
            <w:vMerge w:val="continue"/>
            <w:vAlign w:val="center"/>
          </w:tcPr>
          <w:p w14:paraId="1BD4B1DA">
            <w:pPr>
              <w:widowControl/>
              <w:spacing w:line="240" w:lineRule="auto"/>
              <w:ind w:firstLine="0" w:firstLineChars="0"/>
              <w:jc w:val="center"/>
              <w:rPr>
                <w:color w:val="auto"/>
                <w:kern w:val="0"/>
                <w:sz w:val="21"/>
                <w:szCs w:val="21"/>
              </w:rPr>
            </w:pPr>
          </w:p>
        </w:tc>
      </w:tr>
      <w:tr w14:paraId="1601B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42" w:type="pct"/>
            <w:vAlign w:val="center"/>
          </w:tcPr>
          <w:p w14:paraId="29C28ECF">
            <w:pPr>
              <w:widowControl/>
              <w:spacing w:line="240" w:lineRule="auto"/>
              <w:ind w:firstLine="0" w:firstLineChars="0"/>
              <w:jc w:val="center"/>
              <w:rPr>
                <w:color w:val="auto"/>
                <w:kern w:val="0"/>
                <w:sz w:val="21"/>
                <w:szCs w:val="21"/>
              </w:rPr>
            </w:pPr>
            <w:r>
              <w:rPr>
                <w:color w:val="auto"/>
                <w:kern w:val="0"/>
                <w:sz w:val="21"/>
                <w:szCs w:val="21"/>
              </w:rPr>
              <w:t>BOD</w:t>
            </w:r>
            <w:r>
              <w:rPr>
                <w:color w:val="auto"/>
                <w:kern w:val="0"/>
                <w:sz w:val="21"/>
                <w:szCs w:val="21"/>
                <w:vertAlign w:val="subscript"/>
              </w:rPr>
              <w:t>5</w:t>
            </w:r>
          </w:p>
        </w:tc>
        <w:tc>
          <w:tcPr>
            <w:tcW w:w="1061" w:type="pct"/>
            <w:vAlign w:val="center"/>
          </w:tcPr>
          <w:p w14:paraId="27ED60CF">
            <w:pPr>
              <w:widowControl/>
              <w:spacing w:line="240" w:lineRule="auto"/>
              <w:ind w:firstLine="0" w:firstLineChars="0"/>
              <w:jc w:val="center"/>
              <w:rPr>
                <w:color w:val="auto"/>
                <w:kern w:val="0"/>
                <w:sz w:val="21"/>
                <w:szCs w:val="21"/>
              </w:rPr>
            </w:pPr>
            <w:r>
              <w:rPr>
                <w:color w:val="auto"/>
                <w:kern w:val="0"/>
                <w:sz w:val="21"/>
                <w:szCs w:val="21"/>
              </w:rPr>
              <w:t>3</w:t>
            </w:r>
          </w:p>
        </w:tc>
        <w:tc>
          <w:tcPr>
            <w:tcW w:w="1045" w:type="pct"/>
            <w:vAlign w:val="center"/>
          </w:tcPr>
          <w:p w14:paraId="58A7B539">
            <w:pPr>
              <w:widowControl/>
              <w:spacing w:line="240" w:lineRule="auto"/>
              <w:ind w:firstLine="0" w:firstLineChars="0"/>
              <w:jc w:val="center"/>
              <w:rPr>
                <w:color w:val="auto"/>
                <w:kern w:val="0"/>
                <w:sz w:val="21"/>
                <w:szCs w:val="21"/>
              </w:rPr>
            </w:pPr>
            <w:r>
              <w:rPr>
                <w:color w:val="auto"/>
                <w:kern w:val="0"/>
                <w:sz w:val="21"/>
                <w:szCs w:val="21"/>
              </w:rPr>
              <w:t>4</w:t>
            </w:r>
          </w:p>
        </w:tc>
        <w:tc>
          <w:tcPr>
            <w:tcW w:w="2052" w:type="pct"/>
            <w:vMerge w:val="continue"/>
            <w:vAlign w:val="center"/>
          </w:tcPr>
          <w:p w14:paraId="34E0253F">
            <w:pPr>
              <w:widowControl/>
              <w:spacing w:line="240" w:lineRule="auto"/>
              <w:ind w:firstLine="0" w:firstLineChars="0"/>
              <w:jc w:val="center"/>
              <w:rPr>
                <w:color w:val="auto"/>
                <w:kern w:val="0"/>
                <w:sz w:val="21"/>
                <w:szCs w:val="21"/>
              </w:rPr>
            </w:pPr>
          </w:p>
        </w:tc>
      </w:tr>
      <w:tr w14:paraId="19A45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42" w:type="pct"/>
            <w:vAlign w:val="center"/>
          </w:tcPr>
          <w:p w14:paraId="5BE4BC3B">
            <w:pPr>
              <w:widowControl/>
              <w:spacing w:line="240" w:lineRule="auto"/>
              <w:ind w:firstLine="0" w:firstLineChars="0"/>
              <w:jc w:val="center"/>
              <w:rPr>
                <w:color w:val="auto"/>
                <w:kern w:val="0"/>
                <w:sz w:val="21"/>
                <w:szCs w:val="21"/>
              </w:rPr>
            </w:pPr>
            <w:r>
              <w:rPr>
                <w:color w:val="auto"/>
                <w:kern w:val="0"/>
                <w:sz w:val="21"/>
                <w:szCs w:val="21"/>
              </w:rPr>
              <w:t>氨氮</w:t>
            </w:r>
          </w:p>
        </w:tc>
        <w:tc>
          <w:tcPr>
            <w:tcW w:w="1061" w:type="pct"/>
            <w:vAlign w:val="center"/>
          </w:tcPr>
          <w:p w14:paraId="71161685">
            <w:pPr>
              <w:widowControl/>
              <w:spacing w:line="240" w:lineRule="auto"/>
              <w:ind w:firstLine="0" w:firstLineChars="0"/>
              <w:jc w:val="center"/>
              <w:rPr>
                <w:color w:val="auto"/>
                <w:kern w:val="0"/>
                <w:sz w:val="21"/>
                <w:szCs w:val="21"/>
              </w:rPr>
            </w:pPr>
            <w:r>
              <w:rPr>
                <w:color w:val="auto"/>
                <w:kern w:val="0"/>
                <w:sz w:val="21"/>
                <w:szCs w:val="21"/>
              </w:rPr>
              <w:t>0.5</w:t>
            </w:r>
          </w:p>
        </w:tc>
        <w:tc>
          <w:tcPr>
            <w:tcW w:w="1045" w:type="pct"/>
            <w:vAlign w:val="center"/>
          </w:tcPr>
          <w:p w14:paraId="776AEC84">
            <w:pPr>
              <w:widowControl/>
              <w:spacing w:line="240" w:lineRule="auto"/>
              <w:ind w:firstLine="0" w:firstLineChars="0"/>
              <w:jc w:val="center"/>
              <w:rPr>
                <w:color w:val="auto"/>
                <w:kern w:val="0"/>
                <w:sz w:val="21"/>
                <w:szCs w:val="21"/>
              </w:rPr>
            </w:pPr>
            <w:r>
              <w:rPr>
                <w:color w:val="auto"/>
                <w:kern w:val="0"/>
                <w:sz w:val="21"/>
                <w:szCs w:val="21"/>
              </w:rPr>
              <w:t>1.0</w:t>
            </w:r>
          </w:p>
        </w:tc>
        <w:tc>
          <w:tcPr>
            <w:tcW w:w="2052" w:type="pct"/>
            <w:vMerge w:val="continue"/>
            <w:vAlign w:val="center"/>
          </w:tcPr>
          <w:p w14:paraId="5C007C10">
            <w:pPr>
              <w:widowControl/>
              <w:spacing w:line="240" w:lineRule="auto"/>
              <w:ind w:firstLine="0" w:firstLineChars="0"/>
              <w:jc w:val="center"/>
              <w:rPr>
                <w:color w:val="auto"/>
                <w:kern w:val="0"/>
                <w:sz w:val="21"/>
                <w:szCs w:val="21"/>
              </w:rPr>
            </w:pPr>
          </w:p>
        </w:tc>
      </w:tr>
      <w:tr w14:paraId="77ADA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42" w:type="pct"/>
            <w:vAlign w:val="center"/>
          </w:tcPr>
          <w:p w14:paraId="4FF40BF5">
            <w:pPr>
              <w:widowControl/>
              <w:spacing w:line="240" w:lineRule="auto"/>
              <w:ind w:firstLine="0" w:firstLineChars="0"/>
              <w:jc w:val="center"/>
              <w:rPr>
                <w:color w:val="auto"/>
                <w:kern w:val="0"/>
                <w:sz w:val="21"/>
                <w:szCs w:val="21"/>
              </w:rPr>
            </w:pPr>
            <w:r>
              <w:rPr>
                <w:color w:val="auto"/>
                <w:kern w:val="0"/>
                <w:sz w:val="21"/>
                <w:szCs w:val="21"/>
              </w:rPr>
              <w:t>总磷</w:t>
            </w:r>
          </w:p>
        </w:tc>
        <w:tc>
          <w:tcPr>
            <w:tcW w:w="1061" w:type="pct"/>
            <w:vAlign w:val="center"/>
          </w:tcPr>
          <w:p w14:paraId="607BA45F">
            <w:pPr>
              <w:widowControl/>
              <w:spacing w:line="240" w:lineRule="auto"/>
              <w:ind w:firstLine="0" w:firstLineChars="0"/>
              <w:jc w:val="center"/>
              <w:rPr>
                <w:color w:val="auto"/>
                <w:kern w:val="0"/>
                <w:sz w:val="21"/>
                <w:szCs w:val="21"/>
              </w:rPr>
            </w:pPr>
            <w:r>
              <w:rPr>
                <w:color w:val="auto"/>
                <w:kern w:val="0"/>
                <w:sz w:val="21"/>
                <w:szCs w:val="21"/>
              </w:rPr>
              <w:t>0.1</w:t>
            </w:r>
          </w:p>
        </w:tc>
        <w:tc>
          <w:tcPr>
            <w:tcW w:w="1045" w:type="pct"/>
            <w:vAlign w:val="center"/>
          </w:tcPr>
          <w:p w14:paraId="025DBFB6">
            <w:pPr>
              <w:widowControl/>
              <w:spacing w:line="240" w:lineRule="auto"/>
              <w:ind w:firstLine="0" w:firstLineChars="0"/>
              <w:jc w:val="center"/>
              <w:rPr>
                <w:color w:val="auto"/>
                <w:kern w:val="0"/>
                <w:sz w:val="21"/>
                <w:szCs w:val="21"/>
              </w:rPr>
            </w:pPr>
            <w:r>
              <w:rPr>
                <w:color w:val="auto"/>
                <w:kern w:val="0"/>
                <w:sz w:val="21"/>
                <w:szCs w:val="21"/>
              </w:rPr>
              <w:t>0.2</w:t>
            </w:r>
          </w:p>
        </w:tc>
        <w:tc>
          <w:tcPr>
            <w:tcW w:w="2052" w:type="pct"/>
            <w:vMerge w:val="continue"/>
            <w:vAlign w:val="center"/>
          </w:tcPr>
          <w:p w14:paraId="61904B82">
            <w:pPr>
              <w:widowControl/>
              <w:spacing w:line="240" w:lineRule="auto"/>
              <w:ind w:firstLine="0" w:firstLineChars="0"/>
              <w:jc w:val="center"/>
              <w:rPr>
                <w:color w:val="auto"/>
                <w:kern w:val="0"/>
                <w:sz w:val="21"/>
                <w:szCs w:val="21"/>
              </w:rPr>
            </w:pPr>
          </w:p>
        </w:tc>
      </w:tr>
      <w:tr w14:paraId="0D86B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42" w:type="pct"/>
            <w:vAlign w:val="center"/>
          </w:tcPr>
          <w:p w14:paraId="5B3B4026">
            <w:pPr>
              <w:widowControl/>
              <w:spacing w:line="240" w:lineRule="auto"/>
              <w:ind w:firstLine="0" w:firstLineChars="0"/>
              <w:jc w:val="center"/>
              <w:rPr>
                <w:color w:val="auto"/>
                <w:kern w:val="0"/>
                <w:sz w:val="21"/>
                <w:szCs w:val="21"/>
              </w:rPr>
            </w:pPr>
            <w:r>
              <w:rPr>
                <w:color w:val="auto"/>
                <w:kern w:val="0"/>
                <w:sz w:val="21"/>
                <w:szCs w:val="21"/>
              </w:rPr>
              <w:t>石油类</w:t>
            </w:r>
          </w:p>
        </w:tc>
        <w:tc>
          <w:tcPr>
            <w:tcW w:w="1061" w:type="pct"/>
            <w:vAlign w:val="center"/>
          </w:tcPr>
          <w:p w14:paraId="0B18D4A3">
            <w:pPr>
              <w:widowControl/>
              <w:spacing w:line="240" w:lineRule="auto"/>
              <w:ind w:firstLine="0" w:firstLineChars="0"/>
              <w:jc w:val="center"/>
              <w:rPr>
                <w:color w:val="auto"/>
                <w:kern w:val="0"/>
                <w:sz w:val="21"/>
                <w:szCs w:val="21"/>
              </w:rPr>
            </w:pPr>
            <w:r>
              <w:rPr>
                <w:color w:val="auto"/>
                <w:kern w:val="0"/>
                <w:sz w:val="21"/>
                <w:szCs w:val="21"/>
              </w:rPr>
              <w:t>0.05</w:t>
            </w:r>
          </w:p>
        </w:tc>
        <w:tc>
          <w:tcPr>
            <w:tcW w:w="1045" w:type="pct"/>
            <w:vAlign w:val="center"/>
          </w:tcPr>
          <w:p w14:paraId="52A23B18">
            <w:pPr>
              <w:widowControl/>
              <w:spacing w:line="240" w:lineRule="auto"/>
              <w:ind w:firstLine="0" w:firstLineChars="0"/>
              <w:jc w:val="center"/>
              <w:rPr>
                <w:color w:val="auto"/>
                <w:kern w:val="0"/>
                <w:sz w:val="21"/>
                <w:szCs w:val="21"/>
              </w:rPr>
            </w:pPr>
            <w:r>
              <w:rPr>
                <w:color w:val="auto"/>
                <w:kern w:val="0"/>
                <w:sz w:val="21"/>
                <w:szCs w:val="21"/>
              </w:rPr>
              <w:t>0.05</w:t>
            </w:r>
          </w:p>
        </w:tc>
        <w:tc>
          <w:tcPr>
            <w:tcW w:w="2052" w:type="pct"/>
            <w:vMerge w:val="continue"/>
            <w:vAlign w:val="center"/>
          </w:tcPr>
          <w:p w14:paraId="34C1E54E">
            <w:pPr>
              <w:widowControl/>
              <w:spacing w:line="240" w:lineRule="auto"/>
              <w:ind w:firstLine="0" w:firstLineChars="0"/>
              <w:jc w:val="center"/>
              <w:rPr>
                <w:color w:val="auto"/>
                <w:kern w:val="0"/>
                <w:sz w:val="21"/>
                <w:szCs w:val="21"/>
              </w:rPr>
            </w:pPr>
          </w:p>
        </w:tc>
      </w:tr>
    </w:tbl>
    <w:p w14:paraId="0406E7B0">
      <w:pPr>
        <w:keepNext/>
        <w:keepLines/>
        <w:ind w:firstLine="0" w:firstLineChars="0"/>
        <w:outlineLvl w:val="3"/>
        <w:rPr>
          <w:b/>
          <w:color w:val="auto"/>
        </w:rPr>
      </w:pPr>
      <w:r>
        <w:rPr>
          <w:rFonts w:hint="eastAsia"/>
          <w:b/>
          <w:color w:val="auto"/>
        </w:rPr>
        <w:t>2.4.1.3声环境质量标准</w:t>
      </w:r>
    </w:p>
    <w:p w14:paraId="17F30589">
      <w:pPr>
        <w:ind w:firstLine="480"/>
        <w:rPr>
          <w:color w:val="auto"/>
        </w:rPr>
      </w:pPr>
      <w:r>
        <w:rPr>
          <w:color w:val="auto"/>
        </w:rPr>
        <w:t>建设项目位于启东生命健康产业园亚太药业现有厂区内，项目所在区域为工业区，厂界声环境质量执行《声环境质量标准》(GB3096-2008)3类区标准，具体标准值见</w:t>
      </w:r>
      <w:r>
        <w:rPr>
          <w:rFonts w:hint="eastAsia"/>
          <w:color w:val="auto"/>
        </w:rPr>
        <w:t>下表</w:t>
      </w:r>
      <w:r>
        <w:rPr>
          <w:color w:val="auto"/>
        </w:rPr>
        <w:t>。</w:t>
      </w:r>
    </w:p>
    <w:p w14:paraId="61280DE4">
      <w:pPr>
        <w:pStyle w:val="49"/>
        <w:rPr>
          <w:color w:val="auto"/>
        </w:rPr>
      </w:pPr>
      <w:r>
        <w:rPr>
          <w:color w:val="auto"/>
        </w:rPr>
        <w:t>表2.4-3  声环境质量标准</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463"/>
        <w:gridCol w:w="2464"/>
        <w:gridCol w:w="2464"/>
      </w:tblGrid>
      <w:tr w14:paraId="43094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50" w:type="pct"/>
            <w:vAlign w:val="center"/>
          </w:tcPr>
          <w:p w14:paraId="58A9DBB6">
            <w:pPr>
              <w:spacing w:line="240" w:lineRule="auto"/>
              <w:ind w:firstLine="0" w:firstLineChars="0"/>
              <w:jc w:val="center"/>
              <w:rPr>
                <w:b/>
                <w:bCs/>
                <w:color w:val="auto"/>
                <w:sz w:val="21"/>
                <w:szCs w:val="21"/>
              </w:rPr>
            </w:pPr>
            <w:r>
              <w:rPr>
                <w:b/>
                <w:bCs/>
                <w:color w:val="auto"/>
                <w:sz w:val="21"/>
                <w:szCs w:val="21"/>
              </w:rPr>
              <w:t>位置</w:t>
            </w:r>
          </w:p>
        </w:tc>
        <w:tc>
          <w:tcPr>
            <w:tcW w:w="1250" w:type="pct"/>
            <w:vAlign w:val="center"/>
          </w:tcPr>
          <w:p w14:paraId="075EC6F0">
            <w:pPr>
              <w:spacing w:line="240" w:lineRule="auto"/>
              <w:ind w:firstLine="0" w:firstLineChars="0"/>
              <w:jc w:val="center"/>
              <w:rPr>
                <w:b/>
                <w:bCs/>
                <w:color w:val="auto"/>
                <w:sz w:val="21"/>
                <w:szCs w:val="21"/>
              </w:rPr>
            </w:pPr>
            <w:r>
              <w:rPr>
                <w:b/>
                <w:bCs/>
                <w:color w:val="auto"/>
                <w:sz w:val="21"/>
                <w:szCs w:val="21"/>
              </w:rPr>
              <w:t>声环境功能区类别</w:t>
            </w:r>
          </w:p>
        </w:tc>
        <w:tc>
          <w:tcPr>
            <w:tcW w:w="1250" w:type="pct"/>
            <w:vAlign w:val="center"/>
          </w:tcPr>
          <w:p w14:paraId="5A02954A">
            <w:pPr>
              <w:spacing w:line="240" w:lineRule="auto"/>
              <w:ind w:firstLine="0" w:firstLineChars="0"/>
              <w:jc w:val="center"/>
              <w:rPr>
                <w:b/>
                <w:bCs/>
                <w:color w:val="auto"/>
                <w:sz w:val="21"/>
                <w:szCs w:val="21"/>
              </w:rPr>
            </w:pPr>
            <w:r>
              <w:rPr>
                <w:b/>
                <w:bCs/>
                <w:color w:val="auto"/>
                <w:sz w:val="21"/>
                <w:szCs w:val="21"/>
              </w:rPr>
              <w:t>昼间dB(A)</w:t>
            </w:r>
          </w:p>
        </w:tc>
        <w:tc>
          <w:tcPr>
            <w:tcW w:w="1250" w:type="pct"/>
            <w:vAlign w:val="center"/>
          </w:tcPr>
          <w:p w14:paraId="30262940">
            <w:pPr>
              <w:spacing w:line="240" w:lineRule="auto"/>
              <w:ind w:firstLine="0" w:firstLineChars="0"/>
              <w:jc w:val="center"/>
              <w:rPr>
                <w:b/>
                <w:bCs/>
                <w:color w:val="auto"/>
                <w:sz w:val="21"/>
                <w:szCs w:val="21"/>
              </w:rPr>
            </w:pPr>
            <w:r>
              <w:rPr>
                <w:b/>
                <w:bCs/>
                <w:color w:val="auto"/>
                <w:sz w:val="21"/>
                <w:szCs w:val="21"/>
              </w:rPr>
              <w:t>夜间dB(A)</w:t>
            </w:r>
          </w:p>
        </w:tc>
      </w:tr>
      <w:tr w14:paraId="6681C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50" w:type="pct"/>
            <w:vAlign w:val="center"/>
          </w:tcPr>
          <w:p w14:paraId="5732EDCB">
            <w:pPr>
              <w:spacing w:line="240" w:lineRule="auto"/>
              <w:ind w:firstLine="0" w:firstLineChars="0"/>
              <w:jc w:val="center"/>
              <w:rPr>
                <w:color w:val="auto"/>
                <w:sz w:val="21"/>
                <w:szCs w:val="21"/>
              </w:rPr>
            </w:pPr>
            <w:r>
              <w:rPr>
                <w:color w:val="auto"/>
                <w:sz w:val="21"/>
                <w:szCs w:val="21"/>
              </w:rPr>
              <w:t>厂界</w:t>
            </w:r>
          </w:p>
        </w:tc>
        <w:tc>
          <w:tcPr>
            <w:tcW w:w="1250" w:type="pct"/>
            <w:vAlign w:val="center"/>
          </w:tcPr>
          <w:p w14:paraId="57D97BE2">
            <w:pPr>
              <w:spacing w:line="240" w:lineRule="auto"/>
              <w:ind w:firstLine="0" w:firstLineChars="0"/>
              <w:jc w:val="center"/>
              <w:rPr>
                <w:color w:val="auto"/>
                <w:sz w:val="21"/>
                <w:szCs w:val="21"/>
              </w:rPr>
            </w:pPr>
            <w:r>
              <w:rPr>
                <w:color w:val="auto"/>
                <w:sz w:val="21"/>
                <w:szCs w:val="21"/>
              </w:rPr>
              <w:t>3类</w:t>
            </w:r>
          </w:p>
        </w:tc>
        <w:tc>
          <w:tcPr>
            <w:tcW w:w="1250" w:type="pct"/>
            <w:vAlign w:val="center"/>
          </w:tcPr>
          <w:p w14:paraId="4D725F99">
            <w:pPr>
              <w:spacing w:line="240" w:lineRule="auto"/>
              <w:ind w:firstLine="0" w:firstLineChars="0"/>
              <w:jc w:val="center"/>
              <w:rPr>
                <w:color w:val="auto"/>
                <w:sz w:val="21"/>
                <w:szCs w:val="21"/>
              </w:rPr>
            </w:pPr>
            <w:r>
              <w:rPr>
                <w:color w:val="auto"/>
                <w:sz w:val="21"/>
                <w:szCs w:val="21"/>
              </w:rPr>
              <w:t>65</w:t>
            </w:r>
          </w:p>
        </w:tc>
        <w:tc>
          <w:tcPr>
            <w:tcW w:w="1250" w:type="pct"/>
            <w:vAlign w:val="center"/>
          </w:tcPr>
          <w:p w14:paraId="37CA49E6">
            <w:pPr>
              <w:spacing w:line="240" w:lineRule="auto"/>
              <w:ind w:firstLine="0" w:firstLineChars="0"/>
              <w:jc w:val="center"/>
              <w:rPr>
                <w:color w:val="auto"/>
                <w:sz w:val="21"/>
                <w:szCs w:val="21"/>
              </w:rPr>
            </w:pPr>
            <w:r>
              <w:rPr>
                <w:color w:val="auto"/>
                <w:sz w:val="21"/>
                <w:szCs w:val="21"/>
              </w:rPr>
              <w:t>55</w:t>
            </w:r>
          </w:p>
        </w:tc>
      </w:tr>
    </w:tbl>
    <w:p w14:paraId="1B41D270">
      <w:pPr>
        <w:keepNext/>
        <w:keepLines/>
        <w:ind w:firstLine="0" w:firstLineChars="0"/>
        <w:outlineLvl w:val="3"/>
        <w:rPr>
          <w:b/>
          <w:color w:val="auto"/>
        </w:rPr>
      </w:pPr>
      <w:r>
        <w:rPr>
          <w:rFonts w:hint="eastAsia"/>
          <w:b/>
          <w:color w:val="auto"/>
        </w:rPr>
        <w:t>2.4.1.4地下水环境质量标准</w:t>
      </w:r>
    </w:p>
    <w:p w14:paraId="4732DE4A">
      <w:pPr>
        <w:ind w:firstLine="480"/>
        <w:rPr>
          <w:color w:val="auto"/>
        </w:rPr>
      </w:pPr>
      <w:r>
        <w:rPr>
          <w:color w:val="auto"/>
        </w:rPr>
        <w:t>本项目所在区域地下水环境质量执行《地下水质量标准》(GB/T14848-2017)。具体标准值见</w:t>
      </w:r>
      <w:r>
        <w:rPr>
          <w:rFonts w:hint="eastAsia"/>
          <w:color w:val="auto"/>
        </w:rPr>
        <w:t>下表</w:t>
      </w:r>
      <w:r>
        <w:rPr>
          <w:color w:val="auto"/>
        </w:rPr>
        <w:t>。</w:t>
      </w:r>
    </w:p>
    <w:p w14:paraId="0586A14A">
      <w:pPr>
        <w:pStyle w:val="49"/>
        <w:rPr>
          <w:color w:val="auto"/>
        </w:rPr>
      </w:pPr>
      <w:r>
        <w:rPr>
          <w:color w:val="auto"/>
        </w:rPr>
        <w:t>表2.4-4  地下水环境质量标准(mg/L，pH无量纲)</w:t>
      </w:r>
    </w:p>
    <w:tbl>
      <w:tblPr>
        <w:tblStyle w:val="24"/>
        <w:tblW w:w="5000" w:type="pct"/>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1472"/>
        <w:gridCol w:w="1149"/>
        <w:gridCol w:w="1315"/>
        <w:gridCol w:w="1892"/>
        <w:gridCol w:w="2097"/>
      </w:tblGrid>
      <w:tr w14:paraId="2BA2BF9D">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9" w:type="pct"/>
            <w:vAlign w:val="center"/>
          </w:tcPr>
          <w:p w14:paraId="18E656A6">
            <w:pPr>
              <w:widowControl/>
              <w:spacing w:line="240" w:lineRule="auto"/>
              <w:ind w:firstLine="0" w:firstLineChars="0"/>
              <w:jc w:val="center"/>
              <w:rPr>
                <w:b/>
                <w:bCs/>
                <w:color w:val="auto"/>
                <w:kern w:val="0"/>
                <w:sz w:val="21"/>
                <w:szCs w:val="21"/>
              </w:rPr>
            </w:pPr>
            <w:bookmarkStart w:id="50" w:name="_Hlk54164966"/>
            <w:r>
              <w:rPr>
                <w:b/>
                <w:bCs/>
                <w:color w:val="auto"/>
                <w:kern w:val="0"/>
                <w:sz w:val="21"/>
                <w:szCs w:val="21"/>
              </w:rPr>
              <w:t>指标</w:t>
            </w:r>
          </w:p>
        </w:tc>
        <w:tc>
          <w:tcPr>
            <w:tcW w:w="747" w:type="pct"/>
            <w:vAlign w:val="center"/>
          </w:tcPr>
          <w:p w14:paraId="5796CBB6">
            <w:pPr>
              <w:widowControl/>
              <w:spacing w:line="240" w:lineRule="auto"/>
              <w:ind w:firstLine="0" w:firstLineChars="0"/>
              <w:jc w:val="center"/>
              <w:rPr>
                <w:b/>
                <w:bCs/>
                <w:color w:val="auto"/>
                <w:kern w:val="0"/>
                <w:sz w:val="21"/>
                <w:szCs w:val="21"/>
              </w:rPr>
            </w:pPr>
            <w:r>
              <w:rPr>
                <w:b/>
                <w:bCs/>
                <w:color w:val="auto"/>
                <w:kern w:val="0"/>
                <w:sz w:val="21"/>
                <w:szCs w:val="21"/>
              </w:rPr>
              <w:t>Ⅰ类</w:t>
            </w:r>
          </w:p>
        </w:tc>
        <w:tc>
          <w:tcPr>
            <w:tcW w:w="583" w:type="pct"/>
            <w:vAlign w:val="center"/>
          </w:tcPr>
          <w:p w14:paraId="4F11E1CE">
            <w:pPr>
              <w:widowControl/>
              <w:spacing w:line="240" w:lineRule="auto"/>
              <w:ind w:firstLine="0" w:firstLineChars="0"/>
              <w:jc w:val="center"/>
              <w:rPr>
                <w:b/>
                <w:bCs/>
                <w:color w:val="auto"/>
                <w:kern w:val="0"/>
                <w:sz w:val="21"/>
                <w:szCs w:val="21"/>
              </w:rPr>
            </w:pPr>
            <w:r>
              <w:rPr>
                <w:b/>
                <w:bCs/>
                <w:color w:val="auto"/>
                <w:kern w:val="0"/>
                <w:sz w:val="21"/>
                <w:szCs w:val="21"/>
              </w:rPr>
              <w:t>Ⅱ类</w:t>
            </w:r>
          </w:p>
        </w:tc>
        <w:tc>
          <w:tcPr>
            <w:tcW w:w="666" w:type="pct"/>
            <w:vAlign w:val="center"/>
          </w:tcPr>
          <w:p w14:paraId="7C1069C2">
            <w:pPr>
              <w:widowControl/>
              <w:spacing w:line="240" w:lineRule="auto"/>
              <w:ind w:firstLine="0" w:firstLineChars="0"/>
              <w:jc w:val="center"/>
              <w:rPr>
                <w:b/>
                <w:bCs/>
                <w:color w:val="auto"/>
                <w:kern w:val="0"/>
                <w:sz w:val="21"/>
                <w:szCs w:val="21"/>
              </w:rPr>
            </w:pPr>
            <w:r>
              <w:rPr>
                <w:b/>
                <w:bCs/>
                <w:color w:val="auto"/>
                <w:kern w:val="0"/>
                <w:sz w:val="21"/>
                <w:szCs w:val="21"/>
              </w:rPr>
              <w:t>Ⅲ类</w:t>
            </w:r>
          </w:p>
        </w:tc>
        <w:tc>
          <w:tcPr>
            <w:tcW w:w="960" w:type="pct"/>
            <w:vAlign w:val="center"/>
          </w:tcPr>
          <w:p w14:paraId="1CB63416">
            <w:pPr>
              <w:widowControl/>
              <w:spacing w:line="240" w:lineRule="auto"/>
              <w:ind w:firstLine="0" w:firstLineChars="0"/>
              <w:jc w:val="center"/>
              <w:rPr>
                <w:b/>
                <w:bCs/>
                <w:color w:val="auto"/>
                <w:kern w:val="0"/>
                <w:sz w:val="21"/>
                <w:szCs w:val="21"/>
              </w:rPr>
            </w:pPr>
            <w:r>
              <w:rPr>
                <w:b/>
                <w:bCs/>
                <w:color w:val="auto"/>
                <w:kern w:val="0"/>
                <w:sz w:val="21"/>
                <w:szCs w:val="21"/>
              </w:rPr>
              <w:t>Ⅳ类</w:t>
            </w:r>
          </w:p>
        </w:tc>
        <w:tc>
          <w:tcPr>
            <w:tcW w:w="1065" w:type="pct"/>
            <w:vAlign w:val="center"/>
          </w:tcPr>
          <w:p w14:paraId="14F8E62B">
            <w:pPr>
              <w:widowControl/>
              <w:spacing w:line="240" w:lineRule="auto"/>
              <w:ind w:firstLine="0" w:firstLineChars="0"/>
              <w:jc w:val="center"/>
              <w:rPr>
                <w:b/>
                <w:bCs/>
                <w:color w:val="auto"/>
                <w:kern w:val="0"/>
                <w:sz w:val="21"/>
                <w:szCs w:val="21"/>
              </w:rPr>
            </w:pPr>
            <w:r>
              <w:rPr>
                <w:b/>
                <w:bCs/>
                <w:color w:val="auto"/>
                <w:kern w:val="0"/>
                <w:sz w:val="21"/>
                <w:szCs w:val="21"/>
              </w:rPr>
              <w:t>Ⅴ类</w:t>
            </w:r>
          </w:p>
        </w:tc>
      </w:tr>
      <w:tr w14:paraId="2847639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1D9DA229">
            <w:pPr>
              <w:widowControl/>
              <w:spacing w:line="240" w:lineRule="auto"/>
              <w:ind w:firstLine="0" w:firstLineChars="0"/>
              <w:jc w:val="center"/>
              <w:rPr>
                <w:color w:val="auto"/>
                <w:kern w:val="0"/>
                <w:sz w:val="21"/>
                <w:szCs w:val="21"/>
              </w:rPr>
            </w:pPr>
            <w:r>
              <w:rPr>
                <w:color w:val="auto"/>
                <w:kern w:val="0"/>
                <w:sz w:val="21"/>
                <w:szCs w:val="21"/>
              </w:rPr>
              <w:t>钠</w:t>
            </w:r>
          </w:p>
        </w:tc>
        <w:tc>
          <w:tcPr>
            <w:tcW w:w="747" w:type="pct"/>
            <w:vAlign w:val="center"/>
          </w:tcPr>
          <w:p w14:paraId="4362B43E">
            <w:pPr>
              <w:widowControl/>
              <w:spacing w:line="240" w:lineRule="auto"/>
              <w:ind w:firstLine="0" w:firstLineChars="0"/>
              <w:jc w:val="center"/>
              <w:rPr>
                <w:color w:val="auto"/>
                <w:kern w:val="0"/>
                <w:sz w:val="21"/>
                <w:szCs w:val="21"/>
              </w:rPr>
            </w:pPr>
            <w:r>
              <w:rPr>
                <w:color w:val="auto"/>
                <w:kern w:val="0"/>
                <w:sz w:val="21"/>
                <w:szCs w:val="21"/>
              </w:rPr>
              <w:t>≤100</w:t>
            </w:r>
          </w:p>
        </w:tc>
        <w:tc>
          <w:tcPr>
            <w:tcW w:w="583" w:type="pct"/>
            <w:vAlign w:val="center"/>
          </w:tcPr>
          <w:p w14:paraId="3CA994F3">
            <w:pPr>
              <w:widowControl/>
              <w:spacing w:line="240" w:lineRule="auto"/>
              <w:ind w:firstLine="0" w:firstLineChars="0"/>
              <w:jc w:val="center"/>
              <w:rPr>
                <w:color w:val="auto"/>
                <w:kern w:val="0"/>
                <w:sz w:val="21"/>
                <w:szCs w:val="21"/>
              </w:rPr>
            </w:pPr>
            <w:r>
              <w:rPr>
                <w:color w:val="auto"/>
                <w:kern w:val="0"/>
                <w:sz w:val="21"/>
                <w:szCs w:val="21"/>
              </w:rPr>
              <w:t>≤150</w:t>
            </w:r>
          </w:p>
        </w:tc>
        <w:tc>
          <w:tcPr>
            <w:tcW w:w="666" w:type="pct"/>
            <w:vAlign w:val="center"/>
          </w:tcPr>
          <w:p w14:paraId="50C413BB">
            <w:pPr>
              <w:widowControl/>
              <w:spacing w:line="240" w:lineRule="auto"/>
              <w:ind w:firstLine="0" w:firstLineChars="0"/>
              <w:jc w:val="center"/>
              <w:rPr>
                <w:color w:val="auto"/>
                <w:kern w:val="0"/>
                <w:sz w:val="21"/>
                <w:szCs w:val="21"/>
              </w:rPr>
            </w:pPr>
            <w:r>
              <w:rPr>
                <w:color w:val="auto"/>
                <w:kern w:val="0"/>
                <w:sz w:val="21"/>
                <w:szCs w:val="21"/>
              </w:rPr>
              <w:t>≤200</w:t>
            </w:r>
          </w:p>
        </w:tc>
        <w:tc>
          <w:tcPr>
            <w:tcW w:w="960" w:type="pct"/>
            <w:vAlign w:val="center"/>
          </w:tcPr>
          <w:p w14:paraId="0D35C487">
            <w:pPr>
              <w:widowControl/>
              <w:spacing w:line="240" w:lineRule="auto"/>
              <w:ind w:firstLine="0" w:firstLineChars="0"/>
              <w:jc w:val="center"/>
              <w:rPr>
                <w:color w:val="auto"/>
                <w:kern w:val="0"/>
                <w:sz w:val="21"/>
                <w:szCs w:val="21"/>
              </w:rPr>
            </w:pPr>
            <w:r>
              <w:rPr>
                <w:color w:val="auto"/>
                <w:kern w:val="0"/>
                <w:sz w:val="21"/>
                <w:szCs w:val="21"/>
              </w:rPr>
              <w:t>≤400</w:t>
            </w:r>
          </w:p>
        </w:tc>
        <w:tc>
          <w:tcPr>
            <w:tcW w:w="1065" w:type="pct"/>
            <w:vAlign w:val="center"/>
          </w:tcPr>
          <w:p w14:paraId="62C12F7B">
            <w:pPr>
              <w:widowControl/>
              <w:spacing w:line="240" w:lineRule="auto"/>
              <w:ind w:firstLine="0" w:firstLineChars="0"/>
              <w:jc w:val="center"/>
              <w:rPr>
                <w:color w:val="auto"/>
                <w:kern w:val="0"/>
                <w:sz w:val="21"/>
                <w:szCs w:val="21"/>
              </w:rPr>
            </w:pPr>
            <w:r>
              <w:rPr>
                <w:color w:val="auto"/>
                <w:kern w:val="0"/>
                <w:sz w:val="21"/>
                <w:szCs w:val="21"/>
              </w:rPr>
              <w:t>＞400</w:t>
            </w:r>
          </w:p>
        </w:tc>
      </w:tr>
      <w:tr w14:paraId="7EEC66F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55C56762">
            <w:pPr>
              <w:widowControl/>
              <w:spacing w:line="240" w:lineRule="auto"/>
              <w:ind w:firstLine="0" w:firstLineChars="0"/>
              <w:jc w:val="center"/>
              <w:rPr>
                <w:color w:val="auto"/>
                <w:kern w:val="0"/>
                <w:sz w:val="21"/>
                <w:szCs w:val="21"/>
              </w:rPr>
            </w:pPr>
            <w:r>
              <w:rPr>
                <w:color w:val="auto"/>
                <w:kern w:val="0"/>
                <w:sz w:val="21"/>
                <w:szCs w:val="21"/>
              </w:rPr>
              <w:t>氯化物</w:t>
            </w:r>
          </w:p>
        </w:tc>
        <w:tc>
          <w:tcPr>
            <w:tcW w:w="747" w:type="pct"/>
            <w:vAlign w:val="center"/>
          </w:tcPr>
          <w:p w14:paraId="111C0348">
            <w:pPr>
              <w:widowControl/>
              <w:spacing w:line="240" w:lineRule="auto"/>
              <w:ind w:firstLine="0" w:firstLineChars="0"/>
              <w:jc w:val="center"/>
              <w:rPr>
                <w:color w:val="auto"/>
                <w:kern w:val="0"/>
                <w:sz w:val="21"/>
                <w:szCs w:val="21"/>
              </w:rPr>
            </w:pPr>
            <w:r>
              <w:rPr>
                <w:color w:val="auto"/>
                <w:kern w:val="0"/>
                <w:sz w:val="21"/>
                <w:szCs w:val="21"/>
              </w:rPr>
              <w:t>≤50</w:t>
            </w:r>
          </w:p>
        </w:tc>
        <w:tc>
          <w:tcPr>
            <w:tcW w:w="583" w:type="pct"/>
            <w:vAlign w:val="center"/>
          </w:tcPr>
          <w:p w14:paraId="7AB68B1D">
            <w:pPr>
              <w:widowControl/>
              <w:spacing w:line="240" w:lineRule="auto"/>
              <w:ind w:firstLine="0" w:firstLineChars="0"/>
              <w:jc w:val="center"/>
              <w:rPr>
                <w:color w:val="auto"/>
                <w:kern w:val="0"/>
                <w:sz w:val="21"/>
                <w:szCs w:val="21"/>
              </w:rPr>
            </w:pPr>
            <w:r>
              <w:rPr>
                <w:color w:val="auto"/>
                <w:kern w:val="0"/>
                <w:sz w:val="21"/>
                <w:szCs w:val="21"/>
              </w:rPr>
              <w:t>≤150</w:t>
            </w:r>
          </w:p>
        </w:tc>
        <w:tc>
          <w:tcPr>
            <w:tcW w:w="666" w:type="pct"/>
            <w:vAlign w:val="center"/>
          </w:tcPr>
          <w:p w14:paraId="4803CCF3">
            <w:pPr>
              <w:widowControl/>
              <w:spacing w:line="240" w:lineRule="auto"/>
              <w:ind w:firstLine="0" w:firstLineChars="0"/>
              <w:jc w:val="center"/>
              <w:rPr>
                <w:color w:val="auto"/>
                <w:kern w:val="0"/>
                <w:sz w:val="21"/>
                <w:szCs w:val="21"/>
              </w:rPr>
            </w:pPr>
            <w:r>
              <w:rPr>
                <w:color w:val="auto"/>
                <w:kern w:val="0"/>
                <w:sz w:val="21"/>
                <w:szCs w:val="21"/>
              </w:rPr>
              <w:t>≤250</w:t>
            </w:r>
          </w:p>
        </w:tc>
        <w:tc>
          <w:tcPr>
            <w:tcW w:w="960" w:type="pct"/>
            <w:vAlign w:val="center"/>
          </w:tcPr>
          <w:p w14:paraId="54DA5207">
            <w:pPr>
              <w:widowControl/>
              <w:spacing w:line="240" w:lineRule="auto"/>
              <w:ind w:firstLine="0" w:firstLineChars="0"/>
              <w:jc w:val="center"/>
              <w:rPr>
                <w:color w:val="auto"/>
                <w:kern w:val="0"/>
                <w:sz w:val="21"/>
                <w:szCs w:val="21"/>
              </w:rPr>
            </w:pPr>
            <w:r>
              <w:rPr>
                <w:color w:val="auto"/>
                <w:kern w:val="0"/>
                <w:sz w:val="21"/>
                <w:szCs w:val="21"/>
              </w:rPr>
              <w:t>≤350</w:t>
            </w:r>
          </w:p>
        </w:tc>
        <w:tc>
          <w:tcPr>
            <w:tcW w:w="1065" w:type="pct"/>
            <w:vAlign w:val="center"/>
          </w:tcPr>
          <w:p w14:paraId="5689C8E2">
            <w:pPr>
              <w:widowControl/>
              <w:spacing w:line="240" w:lineRule="auto"/>
              <w:ind w:firstLine="0" w:firstLineChars="0"/>
              <w:jc w:val="center"/>
              <w:rPr>
                <w:color w:val="auto"/>
                <w:kern w:val="0"/>
                <w:sz w:val="21"/>
                <w:szCs w:val="21"/>
              </w:rPr>
            </w:pPr>
            <w:r>
              <w:rPr>
                <w:color w:val="auto"/>
                <w:kern w:val="0"/>
                <w:sz w:val="21"/>
                <w:szCs w:val="21"/>
              </w:rPr>
              <w:t>＞350</w:t>
            </w:r>
          </w:p>
        </w:tc>
      </w:tr>
      <w:tr w14:paraId="5630EA0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4E37A611">
            <w:pPr>
              <w:widowControl/>
              <w:spacing w:line="240" w:lineRule="auto"/>
              <w:ind w:firstLine="0" w:firstLineChars="0"/>
              <w:jc w:val="center"/>
              <w:rPr>
                <w:color w:val="auto"/>
                <w:kern w:val="0"/>
                <w:sz w:val="21"/>
                <w:szCs w:val="21"/>
              </w:rPr>
            </w:pPr>
            <w:r>
              <w:rPr>
                <w:color w:val="auto"/>
                <w:kern w:val="0"/>
                <w:sz w:val="21"/>
                <w:szCs w:val="21"/>
              </w:rPr>
              <w:t>硫酸盐</w:t>
            </w:r>
          </w:p>
        </w:tc>
        <w:tc>
          <w:tcPr>
            <w:tcW w:w="747" w:type="pct"/>
            <w:vAlign w:val="center"/>
          </w:tcPr>
          <w:p w14:paraId="47EAAFD2">
            <w:pPr>
              <w:widowControl/>
              <w:spacing w:line="240" w:lineRule="auto"/>
              <w:ind w:firstLine="0" w:firstLineChars="0"/>
              <w:jc w:val="center"/>
              <w:rPr>
                <w:color w:val="auto"/>
                <w:kern w:val="0"/>
                <w:sz w:val="21"/>
                <w:szCs w:val="21"/>
              </w:rPr>
            </w:pPr>
            <w:r>
              <w:rPr>
                <w:color w:val="auto"/>
                <w:kern w:val="0"/>
                <w:sz w:val="21"/>
                <w:szCs w:val="21"/>
              </w:rPr>
              <w:t>≤50</w:t>
            </w:r>
          </w:p>
        </w:tc>
        <w:tc>
          <w:tcPr>
            <w:tcW w:w="583" w:type="pct"/>
            <w:vAlign w:val="center"/>
          </w:tcPr>
          <w:p w14:paraId="1167D65F">
            <w:pPr>
              <w:widowControl/>
              <w:spacing w:line="240" w:lineRule="auto"/>
              <w:ind w:firstLine="0" w:firstLineChars="0"/>
              <w:jc w:val="center"/>
              <w:rPr>
                <w:color w:val="auto"/>
                <w:kern w:val="0"/>
                <w:sz w:val="21"/>
                <w:szCs w:val="21"/>
              </w:rPr>
            </w:pPr>
            <w:r>
              <w:rPr>
                <w:color w:val="auto"/>
                <w:kern w:val="0"/>
                <w:sz w:val="21"/>
                <w:szCs w:val="21"/>
              </w:rPr>
              <w:t>≤150</w:t>
            </w:r>
          </w:p>
        </w:tc>
        <w:tc>
          <w:tcPr>
            <w:tcW w:w="666" w:type="pct"/>
            <w:vAlign w:val="center"/>
          </w:tcPr>
          <w:p w14:paraId="5797AE23">
            <w:pPr>
              <w:widowControl/>
              <w:spacing w:line="240" w:lineRule="auto"/>
              <w:ind w:firstLine="0" w:firstLineChars="0"/>
              <w:jc w:val="center"/>
              <w:rPr>
                <w:color w:val="auto"/>
                <w:kern w:val="0"/>
                <w:sz w:val="21"/>
                <w:szCs w:val="21"/>
              </w:rPr>
            </w:pPr>
            <w:r>
              <w:rPr>
                <w:color w:val="auto"/>
                <w:kern w:val="0"/>
                <w:sz w:val="21"/>
                <w:szCs w:val="21"/>
              </w:rPr>
              <w:t>≤250</w:t>
            </w:r>
          </w:p>
        </w:tc>
        <w:tc>
          <w:tcPr>
            <w:tcW w:w="960" w:type="pct"/>
            <w:vAlign w:val="center"/>
          </w:tcPr>
          <w:p w14:paraId="71005452">
            <w:pPr>
              <w:widowControl/>
              <w:spacing w:line="240" w:lineRule="auto"/>
              <w:ind w:firstLine="0" w:firstLineChars="0"/>
              <w:jc w:val="center"/>
              <w:rPr>
                <w:color w:val="auto"/>
                <w:kern w:val="0"/>
                <w:sz w:val="21"/>
                <w:szCs w:val="21"/>
              </w:rPr>
            </w:pPr>
            <w:r>
              <w:rPr>
                <w:color w:val="auto"/>
                <w:kern w:val="0"/>
                <w:sz w:val="21"/>
                <w:szCs w:val="21"/>
              </w:rPr>
              <w:t>≤350</w:t>
            </w:r>
          </w:p>
        </w:tc>
        <w:tc>
          <w:tcPr>
            <w:tcW w:w="1065" w:type="pct"/>
            <w:vAlign w:val="center"/>
          </w:tcPr>
          <w:p w14:paraId="34AFC54D">
            <w:pPr>
              <w:widowControl/>
              <w:spacing w:line="240" w:lineRule="auto"/>
              <w:ind w:firstLine="0" w:firstLineChars="0"/>
              <w:jc w:val="center"/>
              <w:rPr>
                <w:color w:val="auto"/>
                <w:kern w:val="0"/>
                <w:sz w:val="21"/>
                <w:szCs w:val="21"/>
              </w:rPr>
            </w:pPr>
            <w:r>
              <w:rPr>
                <w:color w:val="auto"/>
                <w:kern w:val="0"/>
                <w:sz w:val="21"/>
                <w:szCs w:val="21"/>
              </w:rPr>
              <w:t>＞350</w:t>
            </w:r>
          </w:p>
        </w:tc>
      </w:tr>
      <w:tr w14:paraId="1851B71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2D8EB3DC">
            <w:pPr>
              <w:widowControl/>
              <w:spacing w:line="240" w:lineRule="auto"/>
              <w:ind w:firstLine="0" w:firstLineChars="0"/>
              <w:jc w:val="center"/>
              <w:rPr>
                <w:color w:val="auto"/>
                <w:kern w:val="0"/>
                <w:sz w:val="21"/>
                <w:szCs w:val="21"/>
              </w:rPr>
            </w:pPr>
            <w:r>
              <w:rPr>
                <w:color w:val="auto"/>
                <w:kern w:val="0"/>
                <w:sz w:val="21"/>
                <w:szCs w:val="21"/>
              </w:rPr>
              <w:t>pH</w:t>
            </w:r>
          </w:p>
        </w:tc>
        <w:tc>
          <w:tcPr>
            <w:tcW w:w="1997" w:type="pct"/>
            <w:gridSpan w:val="3"/>
            <w:vAlign w:val="center"/>
          </w:tcPr>
          <w:p w14:paraId="5696C3EE">
            <w:pPr>
              <w:widowControl/>
              <w:spacing w:line="240" w:lineRule="auto"/>
              <w:ind w:firstLine="0" w:firstLineChars="0"/>
              <w:jc w:val="center"/>
              <w:rPr>
                <w:color w:val="auto"/>
                <w:kern w:val="0"/>
                <w:sz w:val="21"/>
                <w:szCs w:val="21"/>
              </w:rPr>
            </w:pPr>
            <w:r>
              <w:rPr>
                <w:color w:val="auto"/>
                <w:kern w:val="0"/>
                <w:sz w:val="21"/>
                <w:szCs w:val="21"/>
              </w:rPr>
              <w:t>6.5≤PH≤8.5</w:t>
            </w:r>
          </w:p>
        </w:tc>
        <w:tc>
          <w:tcPr>
            <w:tcW w:w="960" w:type="pct"/>
            <w:vAlign w:val="center"/>
          </w:tcPr>
          <w:p w14:paraId="70E76676">
            <w:pPr>
              <w:widowControl/>
              <w:spacing w:line="240" w:lineRule="auto"/>
              <w:ind w:firstLine="0" w:firstLineChars="0"/>
              <w:jc w:val="center"/>
              <w:rPr>
                <w:color w:val="auto"/>
                <w:kern w:val="0"/>
                <w:sz w:val="21"/>
                <w:szCs w:val="21"/>
              </w:rPr>
            </w:pPr>
            <w:r>
              <w:rPr>
                <w:color w:val="auto"/>
                <w:kern w:val="0"/>
                <w:sz w:val="21"/>
                <w:szCs w:val="21"/>
              </w:rPr>
              <w:t>5.5≤</w:t>
            </w:r>
            <w:r>
              <w:rPr>
                <w:rFonts w:hint="eastAsia"/>
                <w:color w:val="auto"/>
                <w:kern w:val="0"/>
                <w:sz w:val="21"/>
                <w:szCs w:val="21"/>
              </w:rPr>
              <w:t>p</w:t>
            </w:r>
            <w:r>
              <w:rPr>
                <w:color w:val="auto"/>
                <w:kern w:val="0"/>
                <w:sz w:val="21"/>
                <w:szCs w:val="21"/>
              </w:rPr>
              <w:t>H</w:t>
            </w:r>
            <w:r>
              <w:rPr>
                <w:rFonts w:hint="eastAsia"/>
                <w:color w:val="auto"/>
                <w:kern w:val="0"/>
                <w:sz w:val="21"/>
                <w:szCs w:val="21"/>
              </w:rPr>
              <w:t>＜</w:t>
            </w:r>
            <w:r>
              <w:rPr>
                <w:color w:val="auto"/>
                <w:kern w:val="0"/>
                <w:sz w:val="21"/>
                <w:szCs w:val="21"/>
              </w:rPr>
              <w:t>6.5，8.5</w:t>
            </w:r>
            <w:r>
              <w:rPr>
                <w:rFonts w:hint="eastAsia"/>
                <w:color w:val="auto"/>
                <w:kern w:val="0"/>
                <w:sz w:val="21"/>
                <w:szCs w:val="21"/>
              </w:rPr>
              <w:t>＜p</w:t>
            </w:r>
            <w:r>
              <w:rPr>
                <w:color w:val="auto"/>
                <w:kern w:val="0"/>
                <w:sz w:val="21"/>
                <w:szCs w:val="21"/>
              </w:rPr>
              <w:t>H≤9.0</w:t>
            </w:r>
          </w:p>
        </w:tc>
        <w:tc>
          <w:tcPr>
            <w:tcW w:w="1065" w:type="pct"/>
            <w:vAlign w:val="center"/>
          </w:tcPr>
          <w:p w14:paraId="7852B75F">
            <w:pPr>
              <w:widowControl/>
              <w:spacing w:line="240" w:lineRule="auto"/>
              <w:ind w:firstLine="0" w:firstLineChars="0"/>
              <w:jc w:val="center"/>
              <w:rPr>
                <w:color w:val="auto"/>
                <w:kern w:val="0"/>
                <w:sz w:val="21"/>
                <w:szCs w:val="21"/>
              </w:rPr>
            </w:pPr>
            <w:r>
              <w:rPr>
                <w:rFonts w:hint="eastAsia"/>
                <w:color w:val="auto"/>
                <w:kern w:val="0"/>
                <w:sz w:val="21"/>
                <w:szCs w:val="21"/>
              </w:rPr>
              <w:t>p</w:t>
            </w:r>
            <w:r>
              <w:rPr>
                <w:color w:val="auto"/>
                <w:kern w:val="0"/>
                <w:sz w:val="21"/>
                <w:szCs w:val="21"/>
              </w:rPr>
              <w:t>H＜5.5</w:t>
            </w:r>
            <w:r>
              <w:rPr>
                <w:rFonts w:hint="eastAsia"/>
                <w:color w:val="auto"/>
                <w:kern w:val="0"/>
                <w:sz w:val="21"/>
                <w:szCs w:val="21"/>
              </w:rPr>
              <w:t>或p</w:t>
            </w:r>
            <w:r>
              <w:rPr>
                <w:color w:val="auto"/>
                <w:kern w:val="0"/>
                <w:sz w:val="21"/>
                <w:szCs w:val="21"/>
              </w:rPr>
              <w:t>H＞9.0</w:t>
            </w:r>
          </w:p>
        </w:tc>
      </w:tr>
      <w:tr w14:paraId="4EFFCB4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11EABA44">
            <w:pPr>
              <w:widowControl/>
              <w:spacing w:line="240" w:lineRule="auto"/>
              <w:ind w:firstLine="0" w:firstLineChars="0"/>
              <w:jc w:val="center"/>
              <w:rPr>
                <w:color w:val="auto"/>
                <w:kern w:val="0"/>
                <w:sz w:val="21"/>
                <w:szCs w:val="21"/>
              </w:rPr>
            </w:pPr>
            <w:r>
              <w:rPr>
                <w:color w:val="auto"/>
                <w:kern w:val="0"/>
                <w:sz w:val="21"/>
                <w:szCs w:val="21"/>
              </w:rPr>
              <w:t>氨氮</w:t>
            </w:r>
          </w:p>
        </w:tc>
        <w:tc>
          <w:tcPr>
            <w:tcW w:w="747" w:type="pct"/>
            <w:vAlign w:val="center"/>
          </w:tcPr>
          <w:p w14:paraId="74F8774D">
            <w:pPr>
              <w:widowControl/>
              <w:spacing w:line="240" w:lineRule="auto"/>
              <w:ind w:firstLine="0" w:firstLineChars="0"/>
              <w:jc w:val="center"/>
              <w:rPr>
                <w:color w:val="auto"/>
                <w:kern w:val="0"/>
                <w:sz w:val="21"/>
                <w:szCs w:val="21"/>
              </w:rPr>
            </w:pPr>
            <w:r>
              <w:rPr>
                <w:color w:val="auto"/>
                <w:kern w:val="0"/>
                <w:sz w:val="21"/>
                <w:szCs w:val="21"/>
              </w:rPr>
              <w:t>≤0.02</w:t>
            </w:r>
          </w:p>
        </w:tc>
        <w:tc>
          <w:tcPr>
            <w:tcW w:w="583" w:type="pct"/>
            <w:vAlign w:val="center"/>
          </w:tcPr>
          <w:p w14:paraId="7B05B271">
            <w:pPr>
              <w:widowControl/>
              <w:spacing w:line="240" w:lineRule="auto"/>
              <w:ind w:firstLine="0" w:firstLineChars="0"/>
              <w:jc w:val="center"/>
              <w:rPr>
                <w:color w:val="auto"/>
                <w:kern w:val="0"/>
                <w:sz w:val="21"/>
                <w:szCs w:val="21"/>
              </w:rPr>
            </w:pPr>
            <w:r>
              <w:rPr>
                <w:color w:val="auto"/>
                <w:kern w:val="0"/>
                <w:sz w:val="21"/>
                <w:szCs w:val="21"/>
              </w:rPr>
              <w:t>≤0.10</w:t>
            </w:r>
          </w:p>
        </w:tc>
        <w:tc>
          <w:tcPr>
            <w:tcW w:w="666" w:type="pct"/>
            <w:vAlign w:val="center"/>
          </w:tcPr>
          <w:p w14:paraId="249B816E">
            <w:pPr>
              <w:widowControl/>
              <w:spacing w:line="240" w:lineRule="auto"/>
              <w:ind w:firstLine="0" w:firstLineChars="0"/>
              <w:jc w:val="center"/>
              <w:rPr>
                <w:color w:val="auto"/>
                <w:kern w:val="0"/>
                <w:sz w:val="21"/>
                <w:szCs w:val="21"/>
              </w:rPr>
            </w:pPr>
            <w:r>
              <w:rPr>
                <w:color w:val="auto"/>
                <w:kern w:val="0"/>
                <w:sz w:val="21"/>
                <w:szCs w:val="21"/>
              </w:rPr>
              <w:t>≤0.50</w:t>
            </w:r>
          </w:p>
        </w:tc>
        <w:tc>
          <w:tcPr>
            <w:tcW w:w="960" w:type="pct"/>
            <w:vAlign w:val="center"/>
          </w:tcPr>
          <w:p w14:paraId="7CC10D7B">
            <w:pPr>
              <w:widowControl/>
              <w:spacing w:line="240" w:lineRule="auto"/>
              <w:ind w:firstLine="0" w:firstLineChars="0"/>
              <w:jc w:val="center"/>
              <w:rPr>
                <w:color w:val="auto"/>
                <w:kern w:val="0"/>
                <w:sz w:val="21"/>
                <w:szCs w:val="21"/>
              </w:rPr>
            </w:pPr>
            <w:r>
              <w:rPr>
                <w:color w:val="auto"/>
                <w:kern w:val="0"/>
                <w:sz w:val="21"/>
                <w:szCs w:val="21"/>
              </w:rPr>
              <w:t>≤1.50</w:t>
            </w:r>
          </w:p>
        </w:tc>
        <w:tc>
          <w:tcPr>
            <w:tcW w:w="1065" w:type="pct"/>
            <w:vAlign w:val="center"/>
          </w:tcPr>
          <w:p w14:paraId="152F348D">
            <w:pPr>
              <w:widowControl/>
              <w:spacing w:line="240" w:lineRule="auto"/>
              <w:ind w:firstLine="0" w:firstLineChars="0"/>
              <w:jc w:val="center"/>
              <w:rPr>
                <w:color w:val="auto"/>
                <w:kern w:val="0"/>
                <w:sz w:val="21"/>
                <w:szCs w:val="21"/>
              </w:rPr>
            </w:pPr>
            <w:r>
              <w:rPr>
                <w:color w:val="auto"/>
                <w:kern w:val="0"/>
                <w:sz w:val="21"/>
                <w:szCs w:val="21"/>
              </w:rPr>
              <w:t>＞1.50</w:t>
            </w:r>
          </w:p>
        </w:tc>
      </w:tr>
      <w:tr w14:paraId="68DF800F">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46265CA0">
            <w:pPr>
              <w:widowControl/>
              <w:spacing w:line="240" w:lineRule="auto"/>
              <w:ind w:firstLine="0" w:firstLineChars="0"/>
              <w:jc w:val="center"/>
              <w:rPr>
                <w:color w:val="auto"/>
                <w:kern w:val="0"/>
                <w:sz w:val="21"/>
                <w:szCs w:val="21"/>
              </w:rPr>
            </w:pPr>
            <w:r>
              <w:rPr>
                <w:color w:val="auto"/>
                <w:kern w:val="0"/>
                <w:sz w:val="21"/>
                <w:szCs w:val="21"/>
              </w:rPr>
              <w:t>硝酸盐</w:t>
            </w:r>
          </w:p>
        </w:tc>
        <w:tc>
          <w:tcPr>
            <w:tcW w:w="747" w:type="pct"/>
            <w:vAlign w:val="center"/>
          </w:tcPr>
          <w:p w14:paraId="48BC4D4D">
            <w:pPr>
              <w:widowControl/>
              <w:spacing w:line="240" w:lineRule="auto"/>
              <w:ind w:firstLine="0" w:firstLineChars="0"/>
              <w:jc w:val="center"/>
              <w:rPr>
                <w:color w:val="auto"/>
                <w:kern w:val="0"/>
                <w:sz w:val="21"/>
                <w:szCs w:val="21"/>
              </w:rPr>
            </w:pPr>
            <w:r>
              <w:rPr>
                <w:color w:val="auto"/>
                <w:kern w:val="0"/>
                <w:sz w:val="21"/>
                <w:szCs w:val="21"/>
              </w:rPr>
              <w:t>≤2.0</w:t>
            </w:r>
          </w:p>
        </w:tc>
        <w:tc>
          <w:tcPr>
            <w:tcW w:w="583" w:type="pct"/>
            <w:vAlign w:val="center"/>
          </w:tcPr>
          <w:p w14:paraId="7AEE6161">
            <w:pPr>
              <w:widowControl/>
              <w:spacing w:line="240" w:lineRule="auto"/>
              <w:ind w:firstLine="0" w:firstLineChars="0"/>
              <w:jc w:val="center"/>
              <w:rPr>
                <w:color w:val="auto"/>
                <w:kern w:val="0"/>
                <w:sz w:val="21"/>
                <w:szCs w:val="21"/>
              </w:rPr>
            </w:pPr>
            <w:r>
              <w:rPr>
                <w:color w:val="auto"/>
                <w:kern w:val="0"/>
                <w:sz w:val="21"/>
                <w:szCs w:val="21"/>
              </w:rPr>
              <w:t>≤5.0</w:t>
            </w:r>
          </w:p>
        </w:tc>
        <w:tc>
          <w:tcPr>
            <w:tcW w:w="666" w:type="pct"/>
            <w:vAlign w:val="center"/>
          </w:tcPr>
          <w:p w14:paraId="261AC159">
            <w:pPr>
              <w:widowControl/>
              <w:spacing w:line="240" w:lineRule="auto"/>
              <w:ind w:firstLine="0" w:firstLineChars="0"/>
              <w:jc w:val="center"/>
              <w:rPr>
                <w:color w:val="auto"/>
                <w:kern w:val="0"/>
                <w:sz w:val="21"/>
                <w:szCs w:val="21"/>
              </w:rPr>
            </w:pPr>
            <w:r>
              <w:rPr>
                <w:color w:val="auto"/>
                <w:kern w:val="0"/>
                <w:sz w:val="21"/>
                <w:szCs w:val="21"/>
              </w:rPr>
              <w:t>≤20.0</w:t>
            </w:r>
          </w:p>
        </w:tc>
        <w:tc>
          <w:tcPr>
            <w:tcW w:w="960" w:type="pct"/>
            <w:vAlign w:val="center"/>
          </w:tcPr>
          <w:p w14:paraId="6B783797">
            <w:pPr>
              <w:widowControl/>
              <w:spacing w:line="240" w:lineRule="auto"/>
              <w:ind w:firstLine="0" w:firstLineChars="0"/>
              <w:jc w:val="center"/>
              <w:rPr>
                <w:color w:val="auto"/>
                <w:kern w:val="0"/>
                <w:sz w:val="21"/>
                <w:szCs w:val="21"/>
              </w:rPr>
            </w:pPr>
            <w:r>
              <w:rPr>
                <w:color w:val="auto"/>
                <w:kern w:val="0"/>
                <w:sz w:val="21"/>
                <w:szCs w:val="21"/>
              </w:rPr>
              <w:t>≤30.0</w:t>
            </w:r>
          </w:p>
        </w:tc>
        <w:tc>
          <w:tcPr>
            <w:tcW w:w="1065" w:type="pct"/>
            <w:vAlign w:val="center"/>
          </w:tcPr>
          <w:p w14:paraId="7DF987E6">
            <w:pPr>
              <w:widowControl/>
              <w:spacing w:line="240" w:lineRule="auto"/>
              <w:ind w:firstLine="0" w:firstLineChars="0"/>
              <w:jc w:val="center"/>
              <w:rPr>
                <w:color w:val="auto"/>
                <w:kern w:val="0"/>
                <w:sz w:val="21"/>
                <w:szCs w:val="21"/>
              </w:rPr>
            </w:pPr>
            <w:r>
              <w:rPr>
                <w:color w:val="auto"/>
                <w:kern w:val="0"/>
                <w:sz w:val="21"/>
                <w:szCs w:val="21"/>
              </w:rPr>
              <w:t>＞30.0</w:t>
            </w:r>
          </w:p>
        </w:tc>
      </w:tr>
      <w:tr w14:paraId="4D80343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6140A2E1">
            <w:pPr>
              <w:widowControl/>
              <w:spacing w:line="240" w:lineRule="auto"/>
              <w:ind w:firstLine="0" w:firstLineChars="0"/>
              <w:jc w:val="center"/>
              <w:rPr>
                <w:color w:val="auto"/>
                <w:kern w:val="0"/>
                <w:sz w:val="21"/>
                <w:szCs w:val="21"/>
              </w:rPr>
            </w:pPr>
            <w:r>
              <w:rPr>
                <w:color w:val="auto"/>
                <w:kern w:val="0"/>
                <w:sz w:val="21"/>
                <w:szCs w:val="21"/>
              </w:rPr>
              <w:t>亚硝酸盐</w:t>
            </w:r>
          </w:p>
        </w:tc>
        <w:tc>
          <w:tcPr>
            <w:tcW w:w="747" w:type="pct"/>
            <w:vAlign w:val="center"/>
          </w:tcPr>
          <w:p w14:paraId="07B56D01">
            <w:pPr>
              <w:widowControl/>
              <w:spacing w:line="240" w:lineRule="auto"/>
              <w:ind w:firstLine="0" w:firstLineChars="0"/>
              <w:jc w:val="center"/>
              <w:rPr>
                <w:color w:val="auto"/>
                <w:kern w:val="0"/>
                <w:sz w:val="21"/>
                <w:szCs w:val="21"/>
              </w:rPr>
            </w:pPr>
            <w:r>
              <w:rPr>
                <w:color w:val="auto"/>
                <w:kern w:val="0"/>
                <w:sz w:val="21"/>
                <w:szCs w:val="21"/>
              </w:rPr>
              <w:t>≤0.01</w:t>
            </w:r>
          </w:p>
        </w:tc>
        <w:tc>
          <w:tcPr>
            <w:tcW w:w="583" w:type="pct"/>
            <w:vAlign w:val="center"/>
          </w:tcPr>
          <w:p w14:paraId="56237BFB">
            <w:pPr>
              <w:widowControl/>
              <w:spacing w:line="240" w:lineRule="auto"/>
              <w:ind w:firstLine="0" w:firstLineChars="0"/>
              <w:jc w:val="center"/>
              <w:rPr>
                <w:color w:val="auto"/>
                <w:kern w:val="0"/>
                <w:sz w:val="21"/>
                <w:szCs w:val="21"/>
              </w:rPr>
            </w:pPr>
            <w:r>
              <w:rPr>
                <w:color w:val="auto"/>
                <w:kern w:val="0"/>
                <w:sz w:val="21"/>
                <w:szCs w:val="21"/>
              </w:rPr>
              <w:t>≤0.10</w:t>
            </w:r>
          </w:p>
        </w:tc>
        <w:tc>
          <w:tcPr>
            <w:tcW w:w="666" w:type="pct"/>
            <w:vAlign w:val="center"/>
          </w:tcPr>
          <w:p w14:paraId="2A582400">
            <w:pPr>
              <w:widowControl/>
              <w:spacing w:line="240" w:lineRule="auto"/>
              <w:ind w:firstLine="0" w:firstLineChars="0"/>
              <w:jc w:val="center"/>
              <w:rPr>
                <w:color w:val="auto"/>
                <w:kern w:val="0"/>
                <w:sz w:val="21"/>
                <w:szCs w:val="21"/>
              </w:rPr>
            </w:pPr>
            <w:r>
              <w:rPr>
                <w:color w:val="auto"/>
                <w:kern w:val="0"/>
                <w:sz w:val="21"/>
                <w:szCs w:val="21"/>
              </w:rPr>
              <w:t>≤1.00</w:t>
            </w:r>
          </w:p>
        </w:tc>
        <w:tc>
          <w:tcPr>
            <w:tcW w:w="960" w:type="pct"/>
            <w:vAlign w:val="center"/>
          </w:tcPr>
          <w:p w14:paraId="1269E959">
            <w:pPr>
              <w:widowControl/>
              <w:spacing w:line="240" w:lineRule="auto"/>
              <w:ind w:firstLine="0" w:firstLineChars="0"/>
              <w:jc w:val="center"/>
              <w:rPr>
                <w:color w:val="auto"/>
                <w:kern w:val="0"/>
                <w:sz w:val="21"/>
                <w:szCs w:val="21"/>
              </w:rPr>
            </w:pPr>
            <w:r>
              <w:rPr>
                <w:color w:val="auto"/>
                <w:kern w:val="0"/>
                <w:sz w:val="21"/>
                <w:szCs w:val="21"/>
              </w:rPr>
              <w:t>≤4.80</w:t>
            </w:r>
          </w:p>
        </w:tc>
        <w:tc>
          <w:tcPr>
            <w:tcW w:w="1065" w:type="pct"/>
            <w:vAlign w:val="center"/>
          </w:tcPr>
          <w:p w14:paraId="0429AA8A">
            <w:pPr>
              <w:widowControl/>
              <w:spacing w:line="240" w:lineRule="auto"/>
              <w:ind w:firstLine="0" w:firstLineChars="0"/>
              <w:jc w:val="center"/>
              <w:rPr>
                <w:color w:val="auto"/>
                <w:kern w:val="0"/>
                <w:sz w:val="21"/>
                <w:szCs w:val="21"/>
              </w:rPr>
            </w:pPr>
            <w:r>
              <w:rPr>
                <w:color w:val="auto"/>
                <w:kern w:val="0"/>
                <w:sz w:val="21"/>
                <w:szCs w:val="21"/>
              </w:rPr>
              <w:t>＞4.80</w:t>
            </w:r>
          </w:p>
        </w:tc>
      </w:tr>
      <w:tr w14:paraId="104E9C07">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79" w:type="pct"/>
            <w:vAlign w:val="center"/>
          </w:tcPr>
          <w:p w14:paraId="4A610CA2">
            <w:pPr>
              <w:widowControl/>
              <w:spacing w:line="240" w:lineRule="auto"/>
              <w:ind w:firstLine="0" w:firstLineChars="0"/>
              <w:jc w:val="center"/>
              <w:rPr>
                <w:color w:val="auto"/>
                <w:kern w:val="0"/>
                <w:sz w:val="21"/>
                <w:szCs w:val="21"/>
              </w:rPr>
            </w:pPr>
            <w:r>
              <w:rPr>
                <w:color w:val="auto"/>
                <w:kern w:val="0"/>
                <w:sz w:val="21"/>
                <w:szCs w:val="21"/>
              </w:rPr>
              <w:t>挥发性酚类</w:t>
            </w:r>
          </w:p>
        </w:tc>
        <w:tc>
          <w:tcPr>
            <w:tcW w:w="747" w:type="pct"/>
            <w:vAlign w:val="center"/>
          </w:tcPr>
          <w:p w14:paraId="082E8217">
            <w:pPr>
              <w:widowControl/>
              <w:spacing w:line="240" w:lineRule="auto"/>
              <w:ind w:firstLine="0" w:firstLineChars="0"/>
              <w:jc w:val="center"/>
              <w:rPr>
                <w:color w:val="auto"/>
                <w:kern w:val="0"/>
                <w:sz w:val="21"/>
                <w:szCs w:val="21"/>
              </w:rPr>
            </w:pPr>
            <w:r>
              <w:rPr>
                <w:color w:val="auto"/>
                <w:kern w:val="0"/>
                <w:sz w:val="21"/>
                <w:szCs w:val="21"/>
              </w:rPr>
              <w:t>≤0.001</w:t>
            </w:r>
          </w:p>
        </w:tc>
        <w:tc>
          <w:tcPr>
            <w:tcW w:w="583" w:type="pct"/>
            <w:vAlign w:val="center"/>
          </w:tcPr>
          <w:p w14:paraId="7B415AA8">
            <w:pPr>
              <w:widowControl/>
              <w:spacing w:line="240" w:lineRule="auto"/>
              <w:ind w:firstLine="0" w:firstLineChars="0"/>
              <w:jc w:val="center"/>
              <w:rPr>
                <w:color w:val="auto"/>
                <w:kern w:val="0"/>
                <w:sz w:val="21"/>
                <w:szCs w:val="21"/>
              </w:rPr>
            </w:pPr>
            <w:r>
              <w:rPr>
                <w:color w:val="auto"/>
                <w:kern w:val="0"/>
                <w:sz w:val="21"/>
                <w:szCs w:val="21"/>
              </w:rPr>
              <w:t>≤0.001</w:t>
            </w:r>
          </w:p>
        </w:tc>
        <w:tc>
          <w:tcPr>
            <w:tcW w:w="666" w:type="pct"/>
            <w:vAlign w:val="center"/>
          </w:tcPr>
          <w:p w14:paraId="153FE8FA">
            <w:pPr>
              <w:widowControl/>
              <w:spacing w:line="240" w:lineRule="auto"/>
              <w:ind w:firstLine="0" w:firstLineChars="0"/>
              <w:jc w:val="center"/>
              <w:rPr>
                <w:color w:val="auto"/>
                <w:kern w:val="0"/>
                <w:sz w:val="21"/>
                <w:szCs w:val="21"/>
              </w:rPr>
            </w:pPr>
            <w:r>
              <w:rPr>
                <w:color w:val="auto"/>
                <w:kern w:val="0"/>
                <w:sz w:val="21"/>
                <w:szCs w:val="21"/>
              </w:rPr>
              <w:t>≤0.002</w:t>
            </w:r>
          </w:p>
        </w:tc>
        <w:tc>
          <w:tcPr>
            <w:tcW w:w="960" w:type="pct"/>
            <w:vAlign w:val="center"/>
          </w:tcPr>
          <w:p w14:paraId="4FD981BB">
            <w:pPr>
              <w:widowControl/>
              <w:spacing w:line="240" w:lineRule="auto"/>
              <w:ind w:firstLine="0" w:firstLineChars="0"/>
              <w:jc w:val="center"/>
              <w:rPr>
                <w:color w:val="auto"/>
                <w:kern w:val="0"/>
                <w:sz w:val="21"/>
                <w:szCs w:val="21"/>
              </w:rPr>
            </w:pPr>
            <w:r>
              <w:rPr>
                <w:color w:val="auto"/>
                <w:kern w:val="0"/>
                <w:sz w:val="21"/>
                <w:szCs w:val="21"/>
              </w:rPr>
              <w:t>≤0.01</w:t>
            </w:r>
          </w:p>
        </w:tc>
        <w:tc>
          <w:tcPr>
            <w:tcW w:w="1065" w:type="pct"/>
            <w:vAlign w:val="center"/>
          </w:tcPr>
          <w:p w14:paraId="6652C4A3">
            <w:pPr>
              <w:widowControl/>
              <w:spacing w:line="240" w:lineRule="auto"/>
              <w:ind w:firstLine="0" w:firstLineChars="0"/>
              <w:jc w:val="center"/>
              <w:rPr>
                <w:color w:val="auto"/>
                <w:kern w:val="0"/>
                <w:sz w:val="21"/>
                <w:szCs w:val="21"/>
              </w:rPr>
            </w:pPr>
            <w:r>
              <w:rPr>
                <w:color w:val="auto"/>
                <w:kern w:val="0"/>
                <w:sz w:val="21"/>
                <w:szCs w:val="21"/>
              </w:rPr>
              <w:t>＞0.01</w:t>
            </w:r>
          </w:p>
        </w:tc>
      </w:tr>
      <w:tr w14:paraId="304ACDB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32C460DB">
            <w:pPr>
              <w:widowControl/>
              <w:spacing w:line="240" w:lineRule="auto"/>
              <w:ind w:firstLine="0" w:firstLineChars="0"/>
              <w:jc w:val="center"/>
              <w:rPr>
                <w:color w:val="auto"/>
                <w:kern w:val="0"/>
                <w:sz w:val="21"/>
                <w:szCs w:val="21"/>
              </w:rPr>
            </w:pPr>
            <w:r>
              <w:rPr>
                <w:color w:val="auto"/>
                <w:kern w:val="0"/>
                <w:sz w:val="21"/>
                <w:szCs w:val="21"/>
              </w:rPr>
              <w:t>氰化物</w:t>
            </w:r>
          </w:p>
        </w:tc>
        <w:tc>
          <w:tcPr>
            <w:tcW w:w="747" w:type="pct"/>
            <w:vAlign w:val="center"/>
          </w:tcPr>
          <w:p w14:paraId="32C480C2">
            <w:pPr>
              <w:widowControl/>
              <w:spacing w:line="240" w:lineRule="auto"/>
              <w:ind w:firstLine="0" w:firstLineChars="0"/>
              <w:jc w:val="center"/>
              <w:rPr>
                <w:color w:val="auto"/>
                <w:kern w:val="0"/>
                <w:sz w:val="21"/>
                <w:szCs w:val="21"/>
              </w:rPr>
            </w:pPr>
            <w:r>
              <w:rPr>
                <w:color w:val="auto"/>
                <w:kern w:val="0"/>
                <w:sz w:val="21"/>
                <w:szCs w:val="21"/>
              </w:rPr>
              <w:t>≤0.001</w:t>
            </w:r>
          </w:p>
        </w:tc>
        <w:tc>
          <w:tcPr>
            <w:tcW w:w="583" w:type="pct"/>
            <w:vAlign w:val="center"/>
          </w:tcPr>
          <w:p w14:paraId="378C6C17">
            <w:pPr>
              <w:widowControl/>
              <w:spacing w:line="240" w:lineRule="auto"/>
              <w:ind w:firstLine="0" w:firstLineChars="0"/>
              <w:jc w:val="center"/>
              <w:rPr>
                <w:color w:val="auto"/>
                <w:kern w:val="0"/>
                <w:sz w:val="21"/>
                <w:szCs w:val="21"/>
              </w:rPr>
            </w:pPr>
            <w:r>
              <w:rPr>
                <w:color w:val="auto"/>
                <w:kern w:val="0"/>
                <w:sz w:val="21"/>
                <w:szCs w:val="21"/>
              </w:rPr>
              <w:t>≤0.01</w:t>
            </w:r>
          </w:p>
        </w:tc>
        <w:tc>
          <w:tcPr>
            <w:tcW w:w="666" w:type="pct"/>
            <w:vAlign w:val="center"/>
          </w:tcPr>
          <w:p w14:paraId="211B917D">
            <w:pPr>
              <w:widowControl/>
              <w:spacing w:line="240" w:lineRule="auto"/>
              <w:ind w:firstLine="0" w:firstLineChars="0"/>
              <w:jc w:val="center"/>
              <w:rPr>
                <w:color w:val="auto"/>
                <w:kern w:val="0"/>
                <w:sz w:val="21"/>
                <w:szCs w:val="21"/>
              </w:rPr>
            </w:pPr>
            <w:r>
              <w:rPr>
                <w:color w:val="auto"/>
                <w:kern w:val="0"/>
                <w:sz w:val="21"/>
                <w:szCs w:val="21"/>
              </w:rPr>
              <w:t>≤0.05</w:t>
            </w:r>
          </w:p>
        </w:tc>
        <w:tc>
          <w:tcPr>
            <w:tcW w:w="960" w:type="pct"/>
            <w:vAlign w:val="center"/>
          </w:tcPr>
          <w:p w14:paraId="39A927CD">
            <w:pPr>
              <w:widowControl/>
              <w:spacing w:line="240" w:lineRule="auto"/>
              <w:ind w:firstLine="0" w:firstLineChars="0"/>
              <w:jc w:val="center"/>
              <w:rPr>
                <w:color w:val="auto"/>
                <w:kern w:val="0"/>
                <w:sz w:val="21"/>
                <w:szCs w:val="21"/>
              </w:rPr>
            </w:pPr>
            <w:r>
              <w:rPr>
                <w:color w:val="auto"/>
                <w:kern w:val="0"/>
                <w:sz w:val="21"/>
                <w:szCs w:val="21"/>
              </w:rPr>
              <w:t>≤0.1</w:t>
            </w:r>
          </w:p>
        </w:tc>
        <w:tc>
          <w:tcPr>
            <w:tcW w:w="1065" w:type="pct"/>
            <w:vAlign w:val="center"/>
          </w:tcPr>
          <w:p w14:paraId="2968B093">
            <w:pPr>
              <w:widowControl/>
              <w:spacing w:line="240" w:lineRule="auto"/>
              <w:ind w:firstLine="0" w:firstLineChars="0"/>
              <w:jc w:val="center"/>
              <w:rPr>
                <w:color w:val="auto"/>
                <w:kern w:val="0"/>
                <w:sz w:val="21"/>
                <w:szCs w:val="21"/>
              </w:rPr>
            </w:pPr>
            <w:r>
              <w:rPr>
                <w:color w:val="auto"/>
                <w:kern w:val="0"/>
                <w:sz w:val="21"/>
                <w:szCs w:val="21"/>
              </w:rPr>
              <w:t>＞0.1</w:t>
            </w:r>
          </w:p>
        </w:tc>
      </w:tr>
      <w:tr w14:paraId="2BC4BA1C">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40C2EF46">
            <w:pPr>
              <w:widowControl/>
              <w:spacing w:line="240" w:lineRule="auto"/>
              <w:ind w:firstLine="0" w:firstLineChars="0"/>
              <w:jc w:val="center"/>
              <w:rPr>
                <w:color w:val="auto"/>
                <w:kern w:val="0"/>
                <w:sz w:val="21"/>
                <w:szCs w:val="21"/>
              </w:rPr>
            </w:pPr>
            <w:r>
              <w:rPr>
                <w:color w:val="auto"/>
                <w:kern w:val="0"/>
                <w:sz w:val="21"/>
                <w:szCs w:val="21"/>
              </w:rPr>
              <w:t>砷</w:t>
            </w:r>
          </w:p>
        </w:tc>
        <w:tc>
          <w:tcPr>
            <w:tcW w:w="747" w:type="pct"/>
            <w:vAlign w:val="center"/>
          </w:tcPr>
          <w:p w14:paraId="11622BB2">
            <w:pPr>
              <w:widowControl/>
              <w:spacing w:line="240" w:lineRule="auto"/>
              <w:ind w:firstLine="0" w:firstLineChars="0"/>
              <w:jc w:val="center"/>
              <w:rPr>
                <w:color w:val="auto"/>
                <w:kern w:val="0"/>
                <w:sz w:val="21"/>
                <w:szCs w:val="21"/>
              </w:rPr>
            </w:pPr>
            <w:r>
              <w:rPr>
                <w:color w:val="auto"/>
                <w:kern w:val="0"/>
                <w:sz w:val="21"/>
                <w:szCs w:val="21"/>
              </w:rPr>
              <w:t>≤0.001</w:t>
            </w:r>
          </w:p>
        </w:tc>
        <w:tc>
          <w:tcPr>
            <w:tcW w:w="583" w:type="pct"/>
            <w:vAlign w:val="center"/>
          </w:tcPr>
          <w:p w14:paraId="7E330847">
            <w:pPr>
              <w:widowControl/>
              <w:spacing w:line="240" w:lineRule="auto"/>
              <w:ind w:firstLine="0" w:firstLineChars="0"/>
              <w:jc w:val="center"/>
              <w:rPr>
                <w:color w:val="auto"/>
                <w:kern w:val="0"/>
                <w:sz w:val="21"/>
                <w:szCs w:val="21"/>
              </w:rPr>
            </w:pPr>
            <w:r>
              <w:rPr>
                <w:color w:val="auto"/>
                <w:kern w:val="0"/>
                <w:sz w:val="21"/>
                <w:szCs w:val="21"/>
              </w:rPr>
              <w:t>≤0.001</w:t>
            </w:r>
          </w:p>
        </w:tc>
        <w:tc>
          <w:tcPr>
            <w:tcW w:w="666" w:type="pct"/>
            <w:vAlign w:val="center"/>
          </w:tcPr>
          <w:p w14:paraId="06D189FA">
            <w:pPr>
              <w:widowControl/>
              <w:spacing w:line="240" w:lineRule="auto"/>
              <w:ind w:firstLine="0" w:firstLineChars="0"/>
              <w:jc w:val="center"/>
              <w:rPr>
                <w:color w:val="auto"/>
                <w:kern w:val="0"/>
                <w:sz w:val="21"/>
                <w:szCs w:val="21"/>
              </w:rPr>
            </w:pPr>
            <w:r>
              <w:rPr>
                <w:color w:val="auto"/>
                <w:kern w:val="0"/>
                <w:sz w:val="21"/>
                <w:szCs w:val="21"/>
              </w:rPr>
              <w:t>≤0.01</w:t>
            </w:r>
          </w:p>
        </w:tc>
        <w:tc>
          <w:tcPr>
            <w:tcW w:w="960" w:type="pct"/>
            <w:vAlign w:val="center"/>
          </w:tcPr>
          <w:p w14:paraId="2FA6EACD">
            <w:pPr>
              <w:widowControl/>
              <w:spacing w:line="240" w:lineRule="auto"/>
              <w:ind w:firstLine="0" w:firstLineChars="0"/>
              <w:jc w:val="center"/>
              <w:rPr>
                <w:color w:val="auto"/>
                <w:kern w:val="0"/>
                <w:sz w:val="21"/>
                <w:szCs w:val="21"/>
              </w:rPr>
            </w:pPr>
            <w:r>
              <w:rPr>
                <w:color w:val="auto"/>
                <w:kern w:val="0"/>
                <w:sz w:val="21"/>
                <w:szCs w:val="21"/>
              </w:rPr>
              <w:t>≤0.05</w:t>
            </w:r>
          </w:p>
        </w:tc>
        <w:tc>
          <w:tcPr>
            <w:tcW w:w="1065" w:type="pct"/>
            <w:vAlign w:val="center"/>
          </w:tcPr>
          <w:p w14:paraId="318A900B">
            <w:pPr>
              <w:widowControl/>
              <w:spacing w:line="240" w:lineRule="auto"/>
              <w:ind w:firstLine="0" w:firstLineChars="0"/>
              <w:jc w:val="center"/>
              <w:rPr>
                <w:color w:val="auto"/>
                <w:kern w:val="0"/>
                <w:sz w:val="21"/>
                <w:szCs w:val="21"/>
              </w:rPr>
            </w:pPr>
            <w:r>
              <w:rPr>
                <w:color w:val="auto"/>
                <w:kern w:val="0"/>
                <w:sz w:val="21"/>
                <w:szCs w:val="21"/>
              </w:rPr>
              <w:t>＞0.05</w:t>
            </w:r>
          </w:p>
        </w:tc>
      </w:tr>
      <w:tr w14:paraId="56766043">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35247BEB">
            <w:pPr>
              <w:widowControl/>
              <w:spacing w:line="240" w:lineRule="auto"/>
              <w:ind w:firstLine="0" w:firstLineChars="0"/>
              <w:jc w:val="center"/>
              <w:rPr>
                <w:color w:val="auto"/>
                <w:kern w:val="0"/>
                <w:sz w:val="21"/>
                <w:szCs w:val="21"/>
              </w:rPr>
            </w:pPr>
            <w:r>
              <w:rPr>
                <w:color w:val="auto"/>
                <w:kern w:val="0"/>
                <w:sz w:val="21"/>
                <w:szCs w:val="21"/>
              </w:rPr>
              <w:t>汞</w:t>
            </w:r>
          </w:p>
        </w:tc>
        <w:tc>
          <w:tcPr>
            <w:tcW w:w="747" w:type="pct"/>
            <w:vAlign w:val="center"/>
          </w:tcPr>
          <w:p w14:paraId="53B2C59B">
            <w:pPr>
              <w:widowControl/>
              <w:spacing w:line="240" w:lineRule="auto"/>
              <w:ind w:firstLine="0" w:firstLineChars="0"/>
              <w:jc w:val="center"/>
              <w:rPr>
                <w:color w:val="auto"/>
                <w:kern w:val="0"/>
                <w:sz w:val="21"/>
                <w:szCs w:val="21"/>
              </w:rPr>
            </w:pPr>
            <w:r>
              <w:rPr>
                <w:color w:val="auto"/>
                <w:kern w:val="0"/>
                <w:sz w:val="21"/>
                <w:szCs w:val="21"/>
              </w:rPr>
              <w:t>≤0.0001</w:t>
            </w:r>
          </w:p>
        </w:tc>
        <w:tc>
          <w:tcPr>
            <w:tcW w:w="583" w:type="pct"/>
            <w:vAlign w:val="center"/>
          </w:tcPr>
          <w:p w14:paraId="0C539FFB">
            <w:pPr>
              <w:widowControl/>
              <w:spacing w:line="240" w:lineRule="auto"/>
              <w:ind w:firstLine="0" w:firstLineChars="0"/>
              <w:jc w:val="center"/>
              <w:rPr>
                <w:color w:val="auto"/>
                <w:kern w:val="0"/>
                <w:sz w:val="21"/>
                <w:szCs w:val="21"/>
              </w:rPr>
            </w:pPr>
            <w:r>
              <w:rPr>
                <w:color w:val="auto"/>
                <w:kern w:val="0"/>
                <w:sz w:val="21"/>
                <w:szCs w:val="21"/>
              </w:rPr>
              <w:t>≤0.0001</w:t>
            </w:r>
          </w:p>
        </w:tc>
        <w:tc>
          <w:tcPr>
            <w:tcW w:w="666" w:type="pct"/>
            <w:vAlign w:val="center"/>
          </w:tcPr>
          <w:p w14:paraId="7F2D1D65">
            <w:pPr>
              <w:widowControl/>
              <w:spacing w:line="240" w:lineRule="auto"/>
              <w:ind w:firstLine="0" w:firstLineChars="0"/>
              <w:jc w:val="center"/>
              <w:rPr>
                <w:color w:val="auto"/>
                <w:kern w:val="0"/>
                <w:sz w:val="21"/>
                <w:szCs w:val="21"/>
              </w:rPr>
            </w:pPr>
            <w:r>
              <w:rPr>
                <w:color w:val="auto"/>
                <w:kern w:val="0"/>
                <w:sz w:val="21"/>
                <w:szCs w:val="21"/>
              </w:rPr>
              <w:t>≤0.001</w:t>
            </w:r>
          </w:p>
        </w:tc>
        <w:tc>
          <w:tcPr>
            <w:tcW w:w="960" w:type="pct"/>
            <w:vAlign w:val="center"/>
          </w:tcPr>
          <w:p w14:paraId="00CDBB42">
            <w:pPr>
              <w:widowControl/>
              <w:spacing w:line="240" w:lineRule="auto"/>
              <w:ind w:firstLine="0" w:firstLineChars="0"/>
              <w:jc w:val="center"/>
              <w:rPr>
                <w:color w:val="auto"/>
                <w:kern w:val="0"/>
                <w:sz w:val="21"/>
                <w:szCs w:val="21"/>
              </w:rPr>
            </w:pPr>
            <w:r>
              <w:rPr>
                <w:color w:val="auto"/>
                <w:kern w:val="0"/>
                <w:sz w:val="21"/>
                <w:szCs w:val="21"/>
              </w:rPr>
              <w:t>≤0.002</w:t>
            </w:r>
          </w:p>
        </w:tc>
        <w:tc>
          <w:tcPr>
            <w:tcW w:w="1065" w:type="pct"/>
            <w:vAlign w:val="center"/>
          </w:tcPr>
          <w:p w14:paraId="6F958759">
            <w:pPr>
              <w:widowControl/>
              <w:spacing w:line="240" w:lineRule="auto"/>
              <w:ind w:firstLine="0" w:firstLineChars="0"/>
              <w:jc w:val="center"/>
              <w:rPr>
                <w:color w:val="auto"/>
                <w:kern w:val="0"/>
                <w:sz w:val="21"/>
                <w:szCs w:val="21"/>
              </w:rPr>
            </w:pPr>
            <w:r>
              <w:rPr>
                <w:color w:val="auto"/>
                <w:kern w:val="0"/>
                <w:sz w:val="21"/>
                <w:szCs w:val="21"/>
              </w:rPr>
              <w:t>＞0.002</w:t>
            </w:r>
          </w:p>
        </w:tc>
      </w:tr>
      <w:tr w14:paraId="3DB090BD">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1657C42F">
            <w:pPr>
              <w:widowControl/>
              <w:spacing w:line="240" w:lineRule="auto"/>
              <w:ind w:firstLine="0" w:firstLineChars="0"/>
              <w:jc w:val="center"/>
              <w:rPr>
                <w:color w:val="auto"/>
                <w:kern w:val="0"/>
                <w:sz w:val="21"/>
                <w:szCs w:val="21"/>
              </w:rPr>
            </w:pPr>
            <w:r>
              <w:rPr>
                <w:color w:val="auto"/>
                <w:kern w:val="0"/>
                <w:sz w:val="21"/>
                <w:szCs w:val="21"/>
              </w:rPr>
              <w:t>铬(六价)</w:t>
            </w:r>
          </w:p>
        </w:tc>
        <w:tc>
          <w:tcPr>
            <w:tcW w:w="747" w:type="pct"/>
            <w:vAlign w:val="center"/>
          </w:tcPr>
          <w:p w14:paraId="400DEA62">
            <w:pPr>
              <w:widowControl/>
              <w:spacing w:line="240" w:lineRule="auto"/>
              <w:ind w:firstLine="0" w:firstLineChars="0"/>
              <w:jc w:val="center"/>
              <w:rPr>
                <w:color w:val="auto"/>
                <w:kern w:val="0"/>
                <w:sz w:val="21"/>
                <w:szCs w:val="21"/>
              </w:rPr>
            </w:pPr>
            <w:r>
              <w:rPr>
                <w:color w:val="auto"/>
                <w:kern w:val="0"/>
                <w:sz w:val="21"/>
                <w:szCs w:val="21"/>
              </w:rPr>
              <w:t>≤0.005</w:t>
            </w:r>
          </w:p>
        </w:tc>
        <w:tc>
          <w:tcPr>
            <w:tcW w:w="583" w:type="pct"/>
            <w:vAlign w:val="center"/>
          </w:tcPr>
          <w:p w14:paraId="70E58AFD">
            <w:pPr>
              <w:widowControl/>
              <w:spacing w:line="240" w:lineRule="auto"/>
              <w:ind w:firstLine="0" w:firstLineChars="0"/>
              <w:jc w:val="center"/>
              <w:rPr>
                <w:color w:val="auto"/>
                <w:kern w:val="0"/>
                <w:sz w:val="21"/>
                <w:szCs w:val="21"/>
              </w:rPr>
            </w:pPr>
            <w:r>
              <w:rPr>
                <w:color w:val="auto"/>
                <w:kern w:val="0"/>
                <w:sz w:val="21"/>
                <w:szCs w:val="21"/>
              </w:rPr>
              <w:t>≤0.01</w:t>
            </w:r>
          </w:p>
        </w:tc>
        <w:tc>
          <w:tcPr>
            <w:tcW w:w="666" w:type="pct"/>
            <w:vAlign w:val="center"/>
          </w:tcPr>
          <w:p w14:paraId="31120080">
            <w:pPr>
              <w:widowControl/>
              <w:spacing w:line="240" w:lineRule="auto"/>
              <w:ind w:firstLine="0" w:firstLineChars="0"/>
              <w:jc w:val="center"/>
              <w:rPr>
                <w:color w:val="auto"/>
                <w:kern w:val="0"/>
                <w:sz w:val="21"/>
                <w:szCs w:val="21"/>
              </w:rPr>
            </w:pPr>
            <w:r>
              <w:rPr>
                <w:color w:val="auto"/>
                <w:kern w:val="0"/>
                <w:sz w:val="21"/>
                <w:szCs w:val="21"/>
              </w:rPr>
              <w:t>≤0.05</w:t>
            </w:r>
          </w:p>
        </w:tc>
        <w:tc>
          <w:tcPr>
            <w:tcW w:w="960" w:type="pct"/>
            <w:vAlign w:val="center"/>
          </w:tcPr>
          <w:p w14:paraId="1AA9FA41">
            <w:pPr>
              <w:widowControl/>
              <w:spacing w:line="240" w:lineRule="auto"/>
              <w:ind w:firstLine="0" w:firstLineChars="0"/>
              <w:jc w:val="center"/>
              <w:rPr>
                <w:color w:val="auto"/>
                <w:kern w:val="0"/>
                <w:sz w:val="21"/>
                <w:szCs w:val="21"/>
              </w:rPr>
            </w:pPr>
            <w:r>
              <w:rPr>
                <w:color w:val="auto"/>
                <w:kern w:val="0"/>
                <w:sz w:val="21"/>
                <w:szCs w:val="21"/>
              </w:rPr>
              <w:t>≤0.10</w:t>
            </w:r>
          </w:p>
        </w:tc>
        <w:tc>
          <w:tcPr>
            <w:tcW w:w="1065" w:type="pct"/>
            <w:vAlign w:val="center"/>
          </w:tcPr>
          <w:p w14:paraId="05F25B98">
            <w:pPr>
              <w:widowControl/>
              <w:spacing w:line="240" w:lineRule="auto"/>
              <w:ind w:firstLine="0" w:firstLineChars="0"/>
              <w:jc w:val="center"/>
              <w:rPr>
                <w:color w:val="auto"/>
                <w:kern w:val="0"/>
                <w:sz w:val="21"/>
                <w:szCs w:val="21"/>
              </w:rPr>
            </w:pPr>
            <w:r>
              <w:rPr>
                <w:color w:val="auto"/>
                <w:kern w:val="0"/>
                <w:sz w:val="21"/>
                <w:szCs w:val="21"/>
              </w:rPr>
              <w:t>＞0.10</w:t>
            </w:r>
          </w:p>
        </w:tc>
      </w:tr>
      <w:tr w14:paraId="521D5E3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39AD772E">
            <w:pPr>
              <w:widowControl/>
              <w:spacing w:line="240" w:lineRule="auto"/>
              <w:ind w:firstLine="0" w:firstLineChars="0"/>
              <w:jc w:val="center"/>
              <w:rPr>
                <w:color w:val="auto"/>
                <w:kern w:val="0"/>
                <w:sz w:val="21"/>
                <w:szCs w:val="21"/>
              </w:rPr>
            </w:pPr>
            <w:r>
              <w:rPr>
                <w:color w:val="auto"/>
                <w:kern w:val="0"/>
                <w:sz w:val="21"/>
                <w:szCs w:val="21"/>
              </w:rPr>
              <w:t>总硬度</w:t>
            </w:r>
          </w:p>
        </w:tc>
        <w:tc>
          <w:tcPr>
            <w:tcW w:w="747" w:type="pct"/>
            <w:vAlign w:val="center"/>
          </w:tcPr>
          <w:p w14:paraId="4EC1F55A">
            <w:pPr>
              <w:widowControl/>
              <w:spacing w:line="240" w:lineRule="auto"/>
              <w:ind w:firstLine="0" w:firstLineChars="0"/>
              <w:jc w:val="center"/>
              <w:rPr>
                <w:color w:val="auto"/>
                <w:kern w:val="0"/>
                <w:sz w:val="21"/>
                <w:szCs w:val="21"/>
              </w:rPr>
            </w:pPr>
            <w:r>
              <w:rPr>
                <w:color w:val="auto"/>
                <w:kern w:val="0"/>
                <w:sz w:val="21"/>
                <w:szCs w:val="21"/>
              </w:rPr>
              <w:t>≤150</w:t>
            </w:r>
          </w:p>
        </w:tc>
        <w:tc>
          <w:tcPr>
            <w:tcW w:w="583" w:type="pct"/>
            <w:vAlign w:val="center"/>
          </w:tcPr>
          <w:p w14:paraId="01EE6F24">
            <w:pPr>
              <w:widowControl/>
              <w:spacing w:line="240" w:lineRule="auto"/>
              <w:ind w:firstLine="0" w:firstLineChars="0"/>
              <w:jc w:val="center"/>
              <w:rPr>
                <w:color w:val="auto"/>
                <w:kern w:val="0"/>
                <w:sz w:val="21"/>
                <w:szCs w:val="21"/>
              </w:rPr>
            </w:pPr>
            <w:r>
              <w:rPr>
                <w:color w:val="auto"/>
                <w:kern w:val="0"/>
                <w:sz w:val="21"/>
                <w:szCs w:val="21"/>
              </w:rPr>
              <w:t>≤300</w:t>
            </w:r>
          </w:p>
        </w:tc>
        <w:tc>
          <w:tcPr>
            <w:tcW w:w="666" w:type="pct"/>
            <w:vAlign w:val="center"/>
          </w:tcPr>
          <w:p w14:paraId="332A6BB4">
            <w:pPr>
              <w:widowControl/>
              <w:spacing w:line="240" w:lineRule="auto"/>
              <w:ind w:firstLine="0" w:firstLineChars="0"/>
              <w:jc w:val="center"/>
              <w:rPr>
                <w:color w:val="auto"/>
                <w:kern w:val="0"/>
                <w:sz w:val="21"/>
                <w:szCs w:val="21"/>
              </w:rPr>
            </w:pPr>
            <w:r>
              <w:rPr>
                <w:color w:val="auto"/>
                <w:kern w:val="0"/>
                <w:sz w:val="21"/>
                <w:szCs w:val="21"/>
              </w:rPr>
              <w:t>≤450</w:t>
            </w:r>
          </w:p>
        </w:tc>
        <w:tc>
          <w:tcPr>
            <w:tcW w:w="960" w:type="pct"/>
            <w:vAlign w:val="center"/>
          </w:tcPr>
          <w:p w14:paraId="7D72B7FF">
            <w:pPr>
              <w:widowControl/>
              <w:spacing w:line="240" w:lineRule="auto"/>
              <w:ind w:firstLine="0" w:firstLineChars="0"/>
              <w:jc w:val="center"/>
              <w:rPr>
                <w:color w:val="auto"/>
                <w:kern w:val="0"/>
                <w:sz w:val="21"/>
                <w:szCs w:val="21"/>
              </w:rPr>
            </w:pPr>
            <w:r>
              <w:rPr>
                <w:color w:val="auto"/>
                <w:kern w:val="0"/>
                <w:sz w:val="21"/>
                <w:szCs w:val="21"/>
              </w:rPr>
              <w:t>≤650</w:t>
            </w:r>
          </w:p>
        </w:tc>
        <w:tc>
          <w:tcPr>
            <w:tcW w:w="1065" w:type="pct"/>
            <w:vAlign w:val="center"/>
          </w:tcPr>
          <w:p w14:paraId="3509C027">
            <w:pPr>
              <w:widowControl/>
              <w:spacing w:line="240" w:lineRule="auto"/>
              <w:ind w:firstLine="0" w:firstLineChars="0"/>
              <w:jc w:val="center"/>
              <w:rPr>
                <w:color w:val="auto"/>
                <w:kern w:val="0"/>
                <w:sz w:val="21"/>
                <w:szCs w:val="21"/>
              </w:rPr>
            </w:pPr>
            <w:r>
              <w:rPr>
                <w:color w:val="auto"/>
                <w:kern w:val="0"/>
                <w:sz w:val="21"/>
                <w:szCs w:val="21"/>
              </w:rPr>
              <w:t>＞650</w:t>
            </w:r>
          </w:p>
        </w:tc>
      </w:tr>
      <w:tr w14:paraId="175ED1E0">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4BB4AA8A">
            <w:pPr>
              <w:widowControl/>
              <w:spacing w:line="240" w:lineRule="auto"/>
              <w:ind w:firstLine="0" w:firstLineChars="0"/>
              <w:jc w:val="center"/>
              <w:rPr>
                <w:color w:val="auto"/>
                <w:kern w:val="0"/>
                <w:sz w:val="21"/>
                <w:szCs w:val="21"/>
              </w:rPr>
            </w:pPr>
            <w:r>
              <w:rPr>
                <w:color w:val="auto"/>
                <w:kern w:val="0"/>
                <w:sz w:val="21"/>
                <w:szCs w:val="21"/>
              </w:rPr>
              <w:t>铅</w:t>
            </w:r>
          </w:p>
        </w:tc>
        <w:tc>
          <w:tcPr>
            <w:tcW w:w="747" w:type="pct"/>
            <w:vAlign w:val="center"/>
          </w:tcPr>
          <w:p w14:paraId="6CFF574F">
            <w:pPr>
              <w:widowControl/>
              <w:spacing w:line="240" w:lineRule="auto"/>
              <w:ind w:firstLine="0" w:firstLineChars="0"/>
              <w:jc w:val="center"/>
              <w:rPr>
                <w:color w:val="auto"/>
                <w:kern w:val="0"/>
                <w:sz w:val="21"/>
                <w:szCs w:val="21"/>
              </w:rPr>
            </w:pPr>
            <w:r>
              <w:rPr>
                <w:color w:val="auto"/>
                <w:kern w:val="0"/>
                <w:sz w:val="21"/>
                <w:szCs w:val="21"/>
              </w:rPr>
              <w:t>≤0.005</w:t>
            </w:r>
          </w:p>
        </w:tc>
        <w:tc>
          <w:tcPr>
            <w:tcW w:w="583" w:type="pct"/>
            <w:vAlign w:val="center"/>
          </w:tcPr>
          <w:p w14:paraId="1AC5501D">
            <w:pPr>
              <w:widowControl/>
              <w:spacing w:line="240" w:lineRule="auto"/>
              <w:ind w:firstLine="0" w:firstLineChars="0"/>
              <w:jc w:val="center"/>
              <w:rPr>
                <w:color w:val="auto"/>
                <w:kern w:val="0"/>
                <w:sz w:val="21"/>
                <w:szCs w:val="21"/>
              </w:rPr>
            </w:pPr>
            <w:r>
              <w:rPr>
                <w:color w:val="auto"/>
                <w:kern w:val="0"/>
                <w:sz w:val="21"/>
                <w:szCs w:val="21"/>
              </w:rPr>
              <w:t>≤0.005</w:t>
            </w:r>
          </w:p>
        </w:tc>
        <w:tc>
          <w:tcPr>
            <w:tcW w:w="666" w:type="pct"/>
            <w:vAlign w:val="center"/>
          </w:tcPr>
          <w:p w14:paraId="1E9F16EB">
            <w:pPr>
              <w:widowControl/>
              <w:spacing w:line="240" w:lineRule="auto"/>
              <w:ind w:firstLine="0" w:firstLineChars="0"/>
              <w:jc w:val="center"/>
              <w:rPr>
                <w:color w:val="auto"/>
                <w:kern w:val="0"/>
                <w:sz w:val="21"/>
                <w:szCs w:val="21"/>
              </w:rPr>
            </w:pPr>
            <w:r>
              <w:rPr>
                <w:color w:val="auto"/>
                <w:kern w:val="0"/>
                <w:sz w:val="21"/>
                <w:szCs w:val="21"/>
              </w:rPr>
              <w:t>≤0.01</w:t>
            </w:r>
          </w:p>
        </w:tc>
        <w:tc>
          <w:tcPr>
            <w:tcW w:w="960" w:type="pct"/>
            <w:vAlign w:val="center"/>
          </w:tcPr>
          <w:p w14:paraId="583EF98E">
            <w:pPr>
              <w:widowControl/>
              <w:spacing w:line="240" w:lineRule="auto"/>
              <w:ind w:firstLine="0" w:firstLineChars="0"/>
              <w:jc w:val="center"/>
              <w:rPr>
                <w:color w:val="auto"/>
                <w:kern w:val="0"/>
                <w:sz w:val="21"/>
                <w:szCs w:val="21"/>
              </w:rPr>
            </w:pPr>
            <w:r>
              <w:rPr>
                <w:color w:val="auto"/>
                <w:kern w:val="0"/>
                <w:sz w:val="21"/>
                <w:szCs w:val="21"/>
              </w:rPr>
              <w:t>≤0.10</w:t>
            </w:r>
          </w:p>
        </w:tc>
        <w:tc>
          <w:tcPr>
            <w:tcW w:w="1065" w:type="pct"/>
            <w:vAlign w:val="center"/>
          </w:tcPr>
          <w:p w14:paraId="02F8A1AB">
            <w:pPr>
              <w:widowControl/>
              <w:spacing w:line="240" w:lineRule="auto"/>
              <w:ind w:firstLine="0" w:firstLineChars="0"/>
              <w:jc w:val="center"/>
              <w:rPr>
                <w:color w:val="auto"/>
                <w:kern w:val="0"/>
                <w:sz w:val="21"/>
                <w:szCs w:val="21"/>
              </w:rPr>
            </w:pPr>
            <w:r>
              <w:rPr>
                <w:color w:val="auto"/>
                <w:kern w:val="0"/>
                <w:sz w:val="21"/>
                <w:szCs w:val="21"/>
              </w:rPr>
              <w:t>＞0.10</w:t>
            </w:r>
          </w:p>
        </w:tc>
      </w:tr>
      <w:tr w14:paraId="234338E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2BA62D0F">
            <w:pPr>
              <w:widowControl/>
              <w:spacing w:line="240" w:lineRule="auto"/>
              <w:ind w:firstLine="0" w:firstLineChars="0"/>
              <w:jc w:val="center"/>
              <w:rPr>
                <w:color w:val="auto"/>
                <w:kern w:val="0"/>
                <w:sz w:val="21"/>
                <w:szCs w:val="21"/>
              </w:rPr>
            </w:pPr>
            <w:r>
              <w:rPr>
                <w:color w:val="auto"/>
                <w:kern w:val="0"/>
                <w:sz w:val="21"/>
                <w:szCs w:val="21"/>
              </w:rPr>
              <w:t>氟化物</w:t>
            </w:r>
          </w:p>
        </w:tc>
        <w:tc>
          <w:tcPr>
            <w:tcW w:w="747" w:type="pct"/>
            <w:vAlign w:val="center"/>
          </w:tcPr>
          <w:p w14:paraId="211B6926">
            <w:pPr>
              <w:widowControl/>
              <w:spacing w:line="240" w:lineRule="auto"/>
              <w:ind w:firstLine="0" w:firstLineChars="0"/>
              <w:jc w:val="center"/>
              <w:rPr>
                <w:color w:val="auto"/>
                <w:kern w:val="0"/>
                <w:sz w:val="21"/>
                <w:szCs w:val="21"/>
              </w:rPr>
            </w:pPr>
            <w:r>
              <w:rPr>
                <w:color w:val="auto"/>
                <w:kern w:val="0"/>
                <w:sz w:val="21"/>
                <w:szCs w:val="21"/>
              </w:rPr>
              <w:t>≤1.0</w:t>
            </w:r>
          </w:p>
        </w:tc>
        <w:tc>
          <w:tcPr>
            <w:tcW w:w="583" w:type="pct"/>
            <w:vAlign w:val="center"/>
          </w:tcPr>
          <w:p w14:paraId="339DA255">
            <w:pPr>
              <w:widowControl/>
              <w:spacing w:line="240" w:lineRule="auto"/>
              <w:ind w:firstLine="0" w:firstLineChars="0"/>
              <w:jc w:val="center"/>
              <w:rPr>
                <w:color w:val="auto"/>
                <w:kern w:val="0"/>
                <w:sz w:val="21"/>
                <w:szCs w:val="21"/>
              </w:rPr>
            </w:pPr>
            <w:r>
              <w:rPr>
                <w:color w:val="auto"/>
                <w:kern w:val="0"/>
                <w:sz w:val="21"/>
                <w:szCs w:val="21"/>
              </w:rPr>
              <w:t>≤1.0</w:t>
            </w:r>
          </w:p>
        </w:tc>
        <w:tc>
          <w:tcPr>
            <w:tcW w:w="666" w:type="pct"/>
            <w:vAlign w:val="center"/>
          </w:tcPr>
          <w:p w14:paraId="41697451">
            <w:pPr>
              <w:widowControl/>
              <w:spacing w:line="240" w:lineRule="auto"/>
              <w:ind w:firstLine="0" w:firstLineChars="0"/>
              <w:jc w:val="center"/>
              <w:rPr>
                <w:color w:val="auto"/>
                <w:kern w:val="0"/>
                <w:sz w:val="21"/>
                <w:szCs w:val="21"/>
              </w:rPr>
            </w:pPr>
            <w:r>
              <w:rPr>
                <w:color w:val="auto"/>
                <w:kern w:val="0"/>
                <w:sz w:val="21"/>
                <w:szCs w:val="21"/>
              </w:rPr>
              <w:t>≤1.0</w:t>
            </w:r>
          </w:p>
        </w:tc>
        <w:tc>
          <w:tcPr>
            <w:tcW w:w="960" w:type="pct"/>
            <w:vAlign w:val="center"/>
          </w:tcPr>
          <w:p w14:paraId="05A00E50">
            <w:pPr>
              <w:widowControl/>
              <w:spacing w:line="240" w:lineRule="auto"/>
              <w:ind w:firstLine="0" w:firstLineChars="0"/>
              <w:jc w:val="center"/>
              <w:rPr>
                <w:color w:val="auto"/>
                <w:kern w:val="0"/>
                <w:sz w:val="21"/>
                <w:szCs w:val="21"/>
              </w:rPr>
            </w:pPr>
            <w:r>
              <w:rPr>
                <w:color w:val="auto"/>
                <w:kern w:val="0"/>
                <w:sz w:val="21"/>
                <w:szCs w:val="21"/>
              </w:rPr>
              <w:t>≤2.0</w:t>
            </w:r>
          </w:p>
        </w:tc>
        <w:tc>
          <w:tcPr>
            <w:tcW w:w="1065" w:type="pct"/>
            <w:vAlign w:val="center"/>
          </w:tcPr>
          <w:p w14:paraId="6851C018">
            <w:pPr>
              <w:widowControl/>
              <w:spacing w:line="240" w:lineRule="auto"/>
              <w:ind w:firstLine="0" w:firstLineChars="0"/>
              <w:jc w:val="center"/>
              <w:rPr>
                <w:color w:val="auto"/>
                <w:kern w:val="0"/>
                <w:sz w:val="21"/>
                <w:szCs w:val="21"/>
              </w:rPr>
            </w:pPr>
            <w:r>
              <w:rPr>
                <w:color w:val="auto"/>
                <w:kern w:val="0"/>
                <w:sz w:val="21"/>
                <w:szCs w:val="21"/>
              </w:rPr>
              <w:t>＞2.0</w:t>
            </w:r>
          </w:p>
        </w:tc>
      </w:tr>
      <w:tr w14:paraId="15C1DE9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64EBBEA0">
            <w:pPr>
              <w:widowControl/>
              <w:spacing w:line="240" w:lineRule="auto"/>
              <w:ind w:firstLine="0" w:firstLineChars="0"/>
              <w:jc w:val="center"/>
              <w:rPr>
                <w:color w:val="auto"/>
                <w:kern w:val="0"/>
                <w:sz w:val="21"/>
                <w:szCs w:val="21"/>
              </w:rPr>
            </w:pPr>
            <w:r>
              <w:rPr>
                <w:color w:val="auto"/>
                <w:kern w:val="0"/>
                <w:sz w:val="21"/>
                <w:szCs w:val="21"/>
              </w:rPr>
              <w:t>镉</w:t>
            </w:r>
          </w:p>
        </w:tc>
        <w:tc>
          <w:tcPr>
            <w:tcW w:w="747" w:type="pct"/>
            <w:vAlign w:val="center"/>
          </w:tcPr>
          <w:p w14:paraId="42FCFADC">
            <w:pPr>
              <w:widowControl/>
              <w:spacing w:line="240" w:lineRule="auto"/>
              <w:ind w:firstLine="0" w:firstLineChars="0"/>
              <w:jc w:val="center"/>
              <w:rPr>
                <w:color w:val="auto"/>
                <w:kern w:val="0"/>
                <w:sz w:val="21"/>
                <w:szCs w:val="21"/>
              </w:rPr>
            </w:pPr>
            <w:r>
              <w:rPr>
                <w:color w:val="auto"/>
                <w:kern w:val="0"/>
                <w:sz w:val="21"/>
                <w:szCs w:val="21"/>
              </w:rPr>
              <w:t>≤0.0001</w:t>
            </w:r>
          </w:p>
        </w:tc>
        <w:tc>
          <w:tcPr>
            <w:tcW w:w="583" w:type="pct"/>
            <w:vAlign w:val="center"/>
          </w:tcPr>
          <w:p w14:paraId="7E3091A0">
            <w:pPr>
              <w:widowControl/>
              <w:spacing w:line="240" w:lineRule="auto"/>
              <w:ind w:firstLine="0" w:firstLineChars="0"/>
              <w:jc w:val="center"/>
              <w:rPr>
                <w:color w:val="auto"/>
                <w:kern w:val="0"/>
                <w:sz w:val="21"/>
                <w:szCs w:val="21"/>
              </w:rPr>
            </w:pPr>
            <w:r>
              <w:rPr>
                <w:color w:val="auto"/>
                <w:kern w:val="0"/>
                <w:sz w:val="21"/>
                <w:szCs w:val="21"/>
              </w:rPr>
              <w:t>≤0.001</w:t>
            </w:r>
          </w:p>
        </w:tc>
        <w:tc>
          <w:tcPr>
            <w:tcW w:w="666" w:type="pct"/>
            <w:vAlign w:val="center"/>
          </w:tcPr>
          <w:p w14:paraId="284FA0CF">
            <w:pPr>
              <w:widowControl/>
              <w:spacing w:line="240" w:lineRule="auto"/>
              <w:ind w:firstLine="0" w:firstLineChars="0"/>
              <w:jc w:val="center"/>
              <w:rPr>
                <w:color w:val="auto"/>
                <w:kern w:val="0"/>
                <w:sz w:val="21"/>
                <w:szCs w:val="21"/>
              </w:rPr>
            </w:pPr>
            <w:r>
              <w:rPr>
                <w:color w:val="auto"/>
                <w:kern w:val="0"/>
                <w:sz w:val="21"/>
                <w:szCs w:val="21"/>
              </w:rPr>
              <w:t>≤0.005</w:t>
            </w:r>
          </w:p>
        </w:tc>
        <w:tc>
          <w:tcPr>
            <w:tcW w:w="960" w:type="pct"/>
            <w:vAlign w:val="center"/>
          </w:tcPr>
          <w:p w14:paraId="11D8FE71">
            <w:pPr>
              <w:widowControl/>
              <w:spacing w:line="240" w:lineRule="auto"/>
              <w:ind w:firstLine="0" w:firstLineChars="0"/>
              <w:jc w:val="center"/>
              <w:rPr>
                <w:color w:val="auto"/>
                <w:kern w:val="0"/>
                <w:sz w:val="21"/>
                <w:szCs w:val="21"/>
              </w:rPr>
            </w:pPr>
            <w:r>
              <w:rPr>
                <w:color w:val="auto"/>
                <w:kern w:val="0"/>
                <w:sz w:val="21"/>
                <w:szCs w:val="21"/>
              </w:rPr>
              <w:t>≤0.01</w:t>
            </w:r>
          </w:p>
        </w:tc>
        <w:tc>
          <w:tcPr>
            <w:tcW w:w="1065" w:type="pct"/>
            <w:vAlign w:val="center"/>
          </w:tcPr>
          <w:p w14:paraId="4CA5F557">
            <w:pPr>
              <w:widowControl/>
              <w:spacing w:line="240" w:lineRule="auto"/>
              <w:ind w:firstLine="0" w:firstLineChars="0"/>
              <w:jc w:val="center"/>
              <w:rPr>
                <w:color w:val="auto"/>
                <w:kern w:val="0"/>
                <w:sz w:val="21"/>
                <w:szCs w:val="21"/>
              </w:rPr>
            </w:pPr>
            <w:r>
              <w:rPr>
                <w:color w:val="auto"/>
                <w:kern w:val="0"/>
                <w:sz w:val="21"/>
                <w:szCs w:val="21"/>
              </w:rPr>
              <w:t>＞0.01</w:t>
            </w:r>
          </w:p>
        </w:tc>
      </w:tr>
      <w:tr w14:paraId="149068C2">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4985852C">
            <w:pPr>
              <w:widowControl/>
              <w:spacing w:line="240" w:lineRule="auto"/>
              <w:ind w:firstLine="0" w:firstLineChars="0"/>
              <w:jc w:val="center"/>
              <w:rPr>
                <w:color w:val="auto"/>
                <w:kern w:val="0"/>
                <w:sz w:val="21"/>
                <w:szCs w:val="21"/>
              </w:rPr>
            </w:pPr>
            <w:r>
              <w:rPr>
                <w:color w:val="auto"/>
                <w:kern w:val="0"/>
                <w:sz w:val="21"/>
                <w:szCs w:val="21"/>
              </w:rPr>
              <w:t>铁</w:t>
            </w:r>
          </w:p>
        </w:tc>
        <w:tc>
          <w:tcPr>
            <w:tcW w:w="747" w:type="pct"/>
            <w:vAlign w:val="center"/>
          </w:tcPr>
          <w:p w14:paraId="2252D0E9">
            <w:pPr>
              <w:widowControl/>
              <w:spacing w:line="240" w:lineRule="auto"/>
              <w:ind w:firstLine="0" w:firstLineChars="0"/>
              <w:jc w:val="center"/>
              <w:rPr>
                <w:color w:val="auto"/>
                <w:kern w:val="0"/>
                <w:sz w:val="21"/>
                <w:szCs w:val="21"/>
              </w:rPr>
            </w:pPr>
            <w:r>
              <w:rPr>
                <w:color w:val="auto"/>
                <w:kern w:val="0"/>
                <w:sz w:val="21"/>
                <w:szCs w:val="21"/>
              </w:rPr>
              <w:t>≤0.1</w:t>
            </w:r>
          </w:p>
        </w:tc>
        <w:tc>
          <w:tcPr>
            <w:tcW w:w="583" w:type="pct"/>
            <w:vAlign w:val="center"/>
          </w:tcPr>
          <w:p w14:paraId="5E255202">
            <w:pPr>
              <w:widowControl/>
              <w:spacing w:line="240" w:lineRule="auto"/>
              <w:ind w:firstLine="0" w:firstLineChars="0"/>
              <w:jc w:val="center"/>
              <w:rPr>
                <w:color w:val="auto"/>
                <w:kern w:val="0"/>
                <w:sz w:val="21"/>
                <w:szCs w:val="21"/>
              </w:rPr>
            </w:pPr>
            <w:r>
              <w:rPr>
                <w:color w:val="auto"/>
                <w:kern w:val="0"/>
                <w:sz w:val="21"/>
                <w:szCs w:val="21"/>
              </w:rPr>
              <w:t>≤0.2</w:t>
            </w:r>
          </w:p>
        </w:tc>
        <w:tc>
          <w:tcPr>
            <w:tcW w:w="666" w:type="pct"/>
            <w:vAlign w:val="center"/>
          </w:tcPr>
          <w:p w14:paraId="58C80EFC">
            <w:pPr>
              <w:widowControl/>
              <w:spacing w:line="240" w:lineRule="auto"/>
              <w:ind w:firstLine="0" w:firstLineChars="0"/>
              <w:jc w:val="center"/>
              <w:rPr>
                <w:color w:val="auto"/>
                <w:kern w:val="0"/>
                <w:sz w:val="21"/>
                <w:szCs w:val="21"/>
              </w:rPr>
            </w:pPr>
            <w:r>
              <w:rPr>
                <w:color w:val="auto"/>
                <w:kern w:val="0"/>
                <w:sz w:val="21"/>
                <w:szCs w:val="21"/>
              </w:rPr>
              <w:t>≤0.3</w:t>
            </w:r>
          </w:p>
        </w:tc>
        <w:tc>
          <w:tcPr>
            <w:tcW w:w="960" w:type="pct"/>
            <w:vAlign w:val="center"/>
          </w:tcPr>
          <w:p w14:paraId="0DF3C7D8">
            <w:pPr>
              <w:widowControl/>
              <w:spacing w:line="240" w:lineRule="auto"/>
              <w:ind w:firstLine="0" w:firstLineChars="0"/>
              <w:jc w:val="center"/>
              <w:rPr>
                <w:color w:val="auto"/>
                <w:kern w:val="0"/>
                <w:sz w:val="21"/>
                <w:szCs w:val="21"/>
              </w:rPr>
            </w:pPr>
            <w:r>
              <w:rPr>
                <w:color w:val="auto"/>
                <w:kern w:val="0"/>
                <w:sz w:val="21"/>
                <w:szCs w:val="21"/>
              </w:rPr>
              <w:t>≤2.0</w:t>
            </w:r>
          </w:p>
        </w:tc>
        <w:tc>
          <w:tcPr>
            <w:tcW w:w="1065" w:type="pct"/>
            <w:vAlign w:val="center"/>
          </w:tcPr>
          <w:p w14:paraId="5C466B54">
            <w:pPr>
              <w:widowControl/>
              <w:spacing w:line="240" w:lineRule="auto"/>
              <w:ind w:firstLine="0" w:firstLineChars="0"/>
              <w:jc w:val="center"/>
              <w:rPr>
                <w:color w:val="auto"/>
                <w:kern w:val="0"/>
                <w:sz w:val="21"/>
                <w:szCs w:val="21"/>
              </w:rPr>
            </w:pPr>
            <w:r>
              <w:rPr>
                <w:color w:val="auto"/>
                <w:kern w:val="0"/>
                <w:sz w:val="21"/>
                <w:szCs w:val="21"/>
              </w:rPr>
              <w:t>＞2.0</w:t>
            </w:r>
          </w:p>
        </w:tc>
      </w:tr>
      <w:tr w14:paraId="5CA0C202">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79" w:type="pct"/>
            <w:vAlign w:val="center"/>
          </w:tcPr>
          <w:p w14:paraId="030F9BE5">
            <w:pPr>
              <w:widowControl/>
              <w:spacing w:line="240" w:lineRule="auto"/>
              <w:ind w:firstLine="0" w:firstLineChars="0"/>
              <w:jc w:val="center"/>
              <w:rPr>
                <w:color w:val="auto"/>
                <w:kern w:val="0"/>
                <w:sz w:val="21"/>
                <w:szCs w:val="21"/>
              </w:rPr>
            </w:pPr>
            <w:r>
              <w:rPr>
                <w:color w:val="auto"/>
                <w:kern w:val="0"/>
                <w:sz w:val="21"/>
                <w:szCs w:val="21"/>
              </w:rPr>
              <w:t>锰</w:t>
            </w:r>
          </w:p>
        </w:tc>
        <w:tc>
          <w:tcPr>
            <w:tcW w:w="747" w:type="pct"/>
            <w:vAlign w:val="center"/>
          </w:tcPr>
          <w:p w14:paraId="08DC4343">
            <w:pPr>
              <w:widowControl/>
              <w:spacing w:line="240" w:lineRule="auto"/>
              <w:ind w:firstLine="0" w:firstLineChars="0"/>
              <w:jc w:val="center"/>
              <w:rPr>
                <w:color w:val="auto"/>
                <w:kern w:val="0"/>
                <w:sz w:val="21"/>
                <w:szCs w:val="21"/>
              </w:rPr>
            </w:pPr>
            <w:r>
              <w:rPr>
                <w:color w:val="auto"/>
                <w:kern w:val="0"/>
                <w:sz w:val="21"/>
                <w:szCs w:val="21"/>
              </w:rPr>
              <w:t>≤0.05</w:t>
            </w:r>
          </w:p>
        </w:tc>
        <w:tc>
          <w:tcPr>
            <w:tcW w:w="583" w:type="pct"/>
            <w:vAlign w:val="center"/>
          </w:tcPr>
          <w:p w14:paraId="050D151F">
            <w:pPr>
              <w:widowControl/>
              <w:spacing w:line="240" w:lineRule="auto"/>
              <w:ind w:firstLine="0" w:firstLineChars="0"/>
              <w:jc w:val="center"/>
              <w:rPr>
                <w:color w:val="auto"/>
                <w:kern w:val="0"/>
                <w:sz w:val="21"/>
                <w:szCs w:val="21"/>
              </w:rPr>
            </w:pPr>
            <w:r>
              <w:rPr>
                <w:color w:val="auto"/>
                <w:kern w:val="0"/>
                <w:sz w:val="21"/>
                <w:szCs w:val="21"/>
              </w:rPr>
              <w:t>≤0.05</w:t>
            </w:r>
          </w:p>
        </w:tc>
        <w:tc>
          <w:tcPr>
            <w:tcW w:w="666" w:type="pct"/>
            <w:vAlign w:val="center"/>
          </w:tcPr>
          <w:p w14:paraId="61EFFE12">
            <w:pPr>
              <w:widowControl/>
              <w:spacing w:line="240" w:lineRule="auto"/>
              <w:ind w:firstLine="0" w:firstLineChars="0"/>
              <w:jc w:val="center"/>
              <w:rPr>
                <w:color w:val="auto"/>
                <w:kern w:val="0"/>
                <w:sz w:val="21"/>
                <w:szCs w:val="21"/>
              </w:rPr>
            </w:pPr>
            <w:r>
              <w:rPr>
                <w:color w:val="auto"/>
                <w:kern w:val="0"/>
                <w:sz w:val="21"/>
                <w:szCs w:val="21"/>
              </w:rPr>
              <w:t>≤0.10</w:t>
            </w:r>
          </w:p>
        </w:tc>
        <w:tc>
          <w:tcPr>
            <w:tcW w:w="960" w:type="pct"/>
            <w:vAlign w:val="center"/>
          </w:tcPr>
          <w:p w14:paraId="4EF2F5D9">
            <w:pPr>
              <w:widowControl/>
              <w:spacing w:line="240" w:lineRule="auto"/>
              <w:ind w:firstLine="0" w:firstLineChars="0"/>
              <w:jc w:val="center"/>
              <w:rPr>
                <w:color w:val="auto"/>
                <w:kern w:val="0"/>
                <w:sz w:val="21"/>
                <w:szCs w:val="21"/>
              </w:rPr>
            </w:pPr>
            <w:r>
              <w:rPr>
                <w:color w:val="auto"/>
                <w:kern w:val="0"/>
                <w:sz w:val="21"/>
                <w:szCs w:val="21"/>
              </w:rPr>
              <w:t>≤1.50</w:t>
            </w:r>
          </w:p>
        </w:tc>
        <w:tc>
          <w:tcPr>
            <w:tcW w:w="1065" w:type="pct"/>
            <w:vAlign w:val="center"/>
          </w:tcPr>
          <w:p w14:paraId="59CE5BB3">
            <w:pPr>
              <w:widowControl/>
              <w:spacing w:line="240" w:lineRule="auto"/>
              <w:ind w:firstLine="0" w:firstLineChars="0"/>
              <w:jc w:val="center"/>
              <w:rPr>
                <w:color w:val="auto"/>
                <w:kern w:val="0"/>
                <w:sz w:val="21"/>
                <w:szCs w:val="21"/>
              </w:rPr>
            </w:pPr>
            <w:r>
              <w:rPr>
                <w:color w:val="auto"/>
                <w:kern w:val="0"/>
                <w:sz w:val="21"/>
                <w:szCs w:val="21"/>
              </w:rPr>
              <w:t>＞1.50</w:t>
            </w:r>
          </w:p>
        </w:tc>
      </w:tr>
      <w:tr w14:paraId="151E7C50">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1E3FBAB8">
            <w:pPr>
              <w:widowControl/>
              <w:spacing w:line="240" w:lineRule="auto"/>
              <w:ind w:firstLine="0" w:firstLineChars="0"/>
              <w:jc w:val="center"/>
              <w:rPr>
                <w:color w:val="auto"/>
                <w:kern w:val="0"/>
                <w:sz w:val="21"/>
                <w:szCs w:val="21"/>
              </w:rPr>
            </w:pPr>
            <w:r>
              <w:rPr>
                <w:color w:val="auto"/>
                <w:kern w:val="0"/>
                <w:sz w:val="21"/>
                <w:szCs w:val="21"/>
              </w:rPr>
              <w:t>溶解性总固体</w:t>
            </w:r>
          </w:p>
        </w:tc>
        <w:tc>
          <w:tcPr>
            <w:tcW w:w="747" w:type="pct"/>
            <w:vAlign w:val="center"/>
          </w:tcPr>
          <w:p w14:paraId="0DEADF37">
            <w:pPr>
              <w:widowControl/>
              <w:spacing w:line="240" w:lineRule="auto"/>
              <w:ind w:firstLine="0" w:firstLineChars="0"/>
              <w:jc w:val="center"/>
              <w:rPr>
                <w:color w:val="auto"/>
                <w:kern w:val="0"/>
                <w:sz w:val="21"/>
                <w:szCs w:val="21"/>
              </w:rPr>
            </w:pPr>
            <w:r>
              <w:rPr>
                <w:color w:val="auto"/>
                <w:kern w:val="0"/>
                <w:sz w:val="21"/>
                <w:szCs w:val="21"/>
              </w:rPr>
              <w:t>≤300</w:t>
            </w:r>
          </w:p>
        </w:tc>
        <w:tc>
          <w:tcPr>
            <w:tcW w:w="583" w:type="pct"/>
            <w:vAlign w:val="center"/>
          </w:tcPr>
          <w:p w14:paraId="06820791">
            <w:pPr>
              <w:widowControl/>
              <w:spacing w:line="240" w:lineRule="auto"/>
              <w:ind w:firstLine="0" w:firstLineChars="0"/>
              <w:jc w:val="center"/>
              <w:rPr>
                <w:color w:val="auto"/>
                <w:kern w:val="0"/>
                <w:sz w:val="21"/>
                <w:szCs w:val="21"/>
              </w:rPr>
            </w:pPr>
            <w:r>
              <w:rPr>
                <w:color w:val="auto"/>
                <w:kern w:val="0"/>
                <w:sz w:val="21"/>
                <w:szCs w:val="21"/>
              </w:rPr>
              <w:t>≤500</w:t>
            </w:r>
          </w:p>
        </w:tc>
        <w:tc>
          <w:tcPr>
            <w:tcW w:w="666" w:type="pct"/>
            <w:vAlign w:val="center"/>
          </w:tcPr>
          <w:p w14:paraId="4568FD33">
            <w:pPr>
              <w:widowControl/>
              <w:spacing w:line="240" w:lineRule="auto"/>
              <w:ind w:firstLine="0" w:firstLineChars="0"/>
              <w:jc w:val="center"/>
              <w:rPr>
                <w:color w:val="auto"/>
                <w:kern w:val="0"/>
                <w:sz w:val="21"/>
                <w:szCs w:val="21"/>
              </w:rPr>
            </w:pPr>
            <w:r>
              <w:rPr>
                <w:color w:val="auto"/>
                <w:kern w:val="0"/>
                <w:sz w:val="21"/>
                <w:szCs w:val="21"/>
              </w:rPr>
              <w:t>≤1000</w:t>
            </w:r>
          </w:p>
        </w:tc>
        <w:tc>
          <w:tcPr>
            <w:tcW w:w="960" w:type="pct"/>
            <w:vAlign w:val="center"/>
          </w:tcPr>
          <w:p w14:paraId="67C657DB">
            <w:pPr>
              <w:widowControl/>
              <w:spacing w:line="240" w:lineRule="auto"/>
              <w:ind w:firstLine="0" w:firstLineChars="0"/>
              <w:jc w:val="center"/>
              <w:rPr>
                <w:color w:val="auto"/>
                <w:kern w:val="0"/>
                <w:sz w:val="21"/>
                <w:szCs w:val="21"/>
              </w:rPr>
            </w:pPr>
            <w:r>
              <w:rPr>
                <w:color w:val="auto"/>
                <w:kern w:val="0"/>
                <w:sz w:val="21"/>
                <w:szCs w:val="21"/>
              </w:rPr>
              <w:t>≤2000</w:t>
            </w:r>
          </w:p>
        </w:tc>
        <w:tc>
          <w:tcPr>
            <w:tcW w:w="1065" w:type="pct"/>
            <w:vAlign w:val="center"/>
          </w:tcPr>
          <w:p w14:paraId="3F254D97">
            <w:pPr>
              <w:widowControl/>
              <w:spacing w:line="240" w:lineRule="auto"/>
              <w:ind w:firstLine="0" w:firstLineChars="0"/>
              <w:jc w:val="center"/>
              <w:rPr>
                <w:color w:val="auto"/>
                <w:kern w:val="0"/>
                <w:sz w:val="21"/>
                <w:szCs w:val="21"/>
              </w:rPr>
            </w:pPr>
            <w:r>
              <w:rPr>
                <w:color w:val="auto"/>
                <w:kern w:val="0"/>
                <w:sz w:val="21"/>
                <w:szCs w:val="21"/>
              </w:rPr>
              <w:t>＞2000</w:t>
            </w:r>
          </w:p>
        </w:tc>
      </w:tr>
      <w:tr w14:paraId="0E2E472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4D93D677">
            <w:pPr>
              <w:widowControl/>
              <w:spacing w:line="240" w:lineRule="auto"/>
              <w:ind w:firstLine="0" w:firstLineChars="0"/>
              <w:jc w:val="center"/>
              <w:rPr>
                <w:color w:val="auto"/>
                <w:kern w:val="0"/>
                <w:sz w:val="21"/>
                <w:szCs w:val="21"/>
              </w:rPr>
            </w:pPr>
            <w:r>
              <w:rPr>
                <w:color w:val="auto"/>
                <w:kern w:val="0"/>
                <w:sz w:val="21"/>
                <w:szCs w:val="21"/>
              </w:rPr>
              <w:t>高锰酸盐指数</w:t>
            </w:r>
          </w:p>
        </w:tc>
        <w:tc>
          <w:tcPr>
            <w:tcW w:w="747" w:type="pct"/>
            <w:vAlign w:val="center"/>
          </w:tcPr>
          <w:p w14:paraId="3B975F0F">
            <w:pPr>
              <w:widowControl/>
              <w:spacing w:line="240" w:lineRule="auto"/>
              <w:ind w:firstLine="0" w:firstLineChars="0"/>
              <w:jc w:val="center"/>
              <w:rPr>
                <w:color w:val="auto"/>
                <w:kern w:val="0"/>
                <w:sz w:val="21"/>
                <w:szCs w:val="21"/>
              </w:rPr>
            </w:pPr>
            <w:r>
              <w:rPr>
                <w:color w:val="auto"/>
                <w:kern w:val="0"/>
                <w:sz w:val="21"/>
                <w:szCs w:val="21"/>
              </w:rPr>
              <w:t>≤1.0</w:t>
            </w:r>
          </w:p>
        </w:tc>
        <w:tc>
          <w:tcPr>
            <w:tcW w:w="583" w:type="pct"/>
            <w:vAlign w:val="center"/>
          </w:tcPr>
          <w:p w14:paraId="39269565">
            <w:pPr>
              <w:widowControl/>
              <w:spacing w:line="240" w:lineRule="auto"/>
              <w:ind w:firstLine="0" w:firstLineChars="0"/>
              <w:jc w:val="center"/>
              <w:rPr>
                <w:color w:val="auto"/>
                <w:kern w:val="0"/>
                <w:sz w:val="21"/>
                <w:szCs w:val="21"/>
              </w:rPr>
            </w:pPr>
            <w:r>
              <w:rPr>
                <w:color w:val="auto"/>
                <w:kern w:val="0"/>
                <w:sz w:val="21"/>
                <w:szCs w:val="21"/>
              </w:rPr>
              <w:t>≤2.0</w:t>
            </w:r>
          </w:p>
        </w:tc>
        <w:tc>
          <w:tcPr>
            <w:tcW w:w="666" w:type="pct"/>
            <w:vAlign w:val="center"/>
          </w:tcPr>
          <w:p w14:paraId="183E2075">
            <w:pPr>
              <w:widowControl/>
              <w:spacing w:line="240" w:lineRule="auto"/>
              <w:ind w:firstLine="0" w:firstLineChars="0"/>
              <w:jc w:val="center"/>
              <w:rPr>
                <w:color w:val="auto"/>
                <w:kern w:val="0"/>
                <w:sz w:val="21"/>
                <w:szCs w:val="21"/>
              </w:rPr>
            </w:pPr>
            <w:r>
              <w:rPr>
                <w:color w:val="auto"/>
                <w:kern w:val="0"/>
                <w:sz w:val="21"/>
                <w:szCs w:val="21"/>
              </w:rPr>
              <w:t>≤3.0</w:t>
            </w:r>
          </w:p>
        </w:tc>
        <w:tc>
          <w:tcPr>
            <w:tcW w:w="960" w:type="pct"/>
            <w:vAlign w:val="center"/>
          </w:tcPr>
          <w:p w14:paraId="226FD709">
            <w:pPr>
              <w:widowControl/>
              <w:spacing w:line="240" w:lineRule="auto"/>
              <w:ind w:firstLine="0" w:firstLineChars="0"/>
              <w:jc w:val="center"/>
              <w:rPr>
                <w:color w:val="auto"/>
                <w:kern w:val="0"/>
                <w:sz w:val="21"/>
                <w:szCs w:val="21"/>
              </w:rPr>
            </w:pPr>
            <w:r>
              <w:rPr>
                <w:color w:val="auto"/>
                <w:kern w:val="0"/>
                <w:sz w:val="21"/>
                <w:szCs w:val="21"/>
              </w:rPr>
              <w:t>≤10</w:t>
            </w:r>
          </w:p>
        </w:tc>
        <w:tc>
          <w:tcPr>
            <w:tcW w:w="1065" w:type="pct"/>
            <w:vAlign w:val="center"/>
          </w:tcPr>
          <w:p w14:paraId="37994664">
            <w:pPr>
              <w:widowControl/>
              <w:spacing w:line="240" w:lineRule="auto"/>
              <w:ind w:firstLine="0" w:firstLineChars="0"/>
              <w:jc w:val="center"/>
              <w:rPr>
                <w:color w:val="auto"/>
                <w:kern w:val="0"/>
                <w:sz w:val="21"/>
                <w:szCs w:val="21"/>
              </w:rPr>
            </w:pPr>
            <w:r>
              <w:rPr>
                <w:color w:val="auto"/>
                <w:kern w:val="0"/>
                <w:sz w:val="21"/>
                <w:szCs w:val="21"/>
              </w:rPr>
              <w:t>＞10</w:t>
            </w:r>
          </w:p>
        </w:tc>
      </w:tr>
      <w:tr w14:paraId="6C01589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206CF21F">
            <w:pPr>
              <w:widowControl/>
              <w:spacing w:line="240" w:lineRule="auto"/>
              <w:ind w:firstLine="0" w:firstLineChars="0"/>
              <w:jc w:val="center"/>
              <w:rPr>
                <w:color w:val="auto"/>
                <w:kern w:val="0"/>
                <w:sz w:val="21"/>
                <w:szCs w:val="21"/>
              </w:rPr>
            </w:pPr>
            <w:r>
              <w:rPr>
                <w:color w:val="auto"/>
                <w:kern w:val="0"/>
                <w:sz w:val="21"/>
                <w:szCs w:val="21"/>
              </w:rPr>
              <w:t>总大肠菌群</w:t>
            </w:r>
          </w:p>
        </w:tc>
        <w:tc>
          <w:tcPr>
            <w:tcW w:w="747" w:type="pct"/>
            <w:vAlign w:val="center"/>
          </w:tcPr>
          <w:p w14:paraId="0E915D44">
            <w:pPr>
              <w:widowControl/>
              <w:spacing w:line="240" w:lineRule="auto"/>
              <w:ind w:firstLine="0" w:firstLineChars="0"/>
              <w:jc w:val="center"/>
              <w:rPr>
                <w:color w:val="auto"/>
                <w:kern w:val="0"/>
                <w:sz w:val="21"/>
                <w:szCs w:val="21"/>
              </w:rPr>
            </w:pPr>
            <w:r>
              <w:rPr>
                <w:color w:val="auto"/>
                <w:kern w:val="0"/>
                <w:sz w:val="21"/>
                <w:szCs w:val="21"/>
              </w:rPr>
              <w:t>≤3.0</w:t>
            </w:r>
          </w:p>
        </w:tc>
        <w:tc>
          <w:tcPr>
            <w:tcW w:w="583" w:type="pct"/>
            <w:vAlign w:val="center"/>
          </w:tcPr>
          <w:p w14:paraId="79B3B08C">
            <w:pPr>
              <w:widowControl/>
              <w:spacing w:line="240" w:lineRule="auto"/>
              <w:ind w:firstLine="0" w:firstLineChars="0"/>
              <w:jc w:val="center"/>
              <w:rPr>
                <w:color w:val="auto"/>
                <w:kern w:val="0"/>
                <w:sz w:val="21"/>
                <w:szCs w:val="21"/>
              </w:rPr>
            </w:pPr>
            <w:r>
              <w:rPr>
                <w:color w:val="auto"/>
                <w:kern w:val="0"/>
                <w:sz w:val="21"/>
                <w:szCs w:val="21"/>
              </w:rPr>
              <w:t>≤3.0</w:t>
            </w:r>
          </w:p>
        </w:tc>
        <w:tc>
          <w:tcPr>
            <w:tcW w:w="666" w:type="pct"/>
            <w:vAlign w:val="center"/>
          </w:tcPr>
          <w:p w14:paraId="7D88E98F">
            <w:pPr>
              <w:widowControl/>
              <w:spacing w:line="240" w:lineRule="auto"/>
              <w:ind w:firstLine="0" w:firstLineChars="0"/>
              <w:jc w:val="center"/>
              <w:rPr>
                <w:color w:val="auto"/>
                <w:kern w:val="0"/>
                <w:sz w:val="21"/>
                <w:szCs w:val="21"/>
              </w:rPr>
            </w:pPr>
            <w:r>
              <w:rPr>
                <w:color w:val="auto"/>
                <w:kern w:val="0"/>
                <w:sz w:val="21"/>
                <w:szCs w:val="21"/>
              </w:rPr>
              <w:t>≤3.0</w:t>
            </w:r>
          </w:p>
        </w:tc>
        <w:tc>
          <w:tcPr>
            <w:tcW w:w="960" w:type="pct"/>
            <w:vAlign w:val="center"/>
          </w:tcPr>
          <w:p w14:paraId="08751926">
            <w:pPr>
              <w:widowControl/>
              <w:spacing w:line="240" w:lineRule="auto"/>
              <w:ind w:firstLine="0" w:firstLineChars="0"/>
              <w:jc w:val="center"/>
              <w:rPr>
                <w:color w:val="auto"/>
                <w:kern w:val="0"/>
                <w:sz w:val="21"/>
                <w:szCs w:val="21"/>
              </w:rPr>
            </w:pPr>
            <w:r>
              <w:rPr>
                <w:color w:val="auto"/>
                <w:kern w:val="0"/>
                <w:sz w:val="21"/>
                <w:szCs w:val="21"/>
              </w:rPr>
              <w:t>≤100</w:t>
            </w:r>
          </w:p>
        </w:tc>
        <w:tc>
          <w:tcPr>
            <w:tcW w:w="1065" w:type="pct"/>
            <w:vAlign w:val="center"/>
          </w:tcPr>
          <w:p w14:paraId="0F528692">
            <w:pPr>
              <w:widowControl/>
              <w:spacing w:line="240" w:lineRule="auto"/>
              <w:ind w:firstLine="0" w:firstLineChars="0"/>
              <w:jc w:val="center"/>
              <w:rPr>
                <w:color w:val="auto"/>
                <w:kern w:val="0"/>
                <w:sz w:val="21"/>
                <w:szCs w:val="21"/>
              </w:rPr>
            </w:pPr>
            <w:r>
              <w:rPr>
                <w:color w:val="auto"/>
                <w:kern w:val="0"/>
                <w:sz w:val="21"/>
                <w:szCs w:val="21"/>
              </w:rPr>
              <w:t>＞100</w:t>
            </w:r>
          </w:p>
        </w:tc>
      </w:tr>
      <w:tr w14:paraId="4707E58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0AB18D7A">
            <w:pPr>
              <w:widowControl/>
              <w:spacing w:line="240" w:lineRule="auto"/>
              <w:ind w:firstLine="0" w:firstLineChars="0"/>
              <w:jc w:val="center"/>
              <w:rPr>
                <w:color w:val="auto"/>
                <w:kern w:val="0"/>
                <w:sz w:val="21"/>
                <w:szCs w:val="21"/>
              </w:rPr>
            </w:pPr>
            <w:r>
              <w:rPr>
                <w:color w:val="auto"/>
                <w:kern w:val="0"/>
                <w:sz w:val="21"/>
                <w:szCs w:val="21"/>
              </w:rPr>
              <w:t>菌落总数</w:t>
            </w:r>
          </w:p>
        </w:tc>
        <w:tc>
          <w:tcPr>
            <w:tcW w:w="747" w:type="pct"/>
            <w:vAlign w:val="center"/>
          </w:tcPr>
          <w:p w14:paraId="588D4055">
            <w:pPr>
              <w:widowControl/>
              <w:spacing w:line="240" w:lineRule="auto"/>
              <w:ind w:firstLine="0" w:firstLineChars="0"/>
              <w:jc w:val="center"/>
              <w:rPr>
                <w:color w:val="auto"/>
                <w:kern w:val="0"/>
                <w:sz w:val="21"/>
                <w:szCs w:val="21"/>
              </w:rPr>
            </w:pPr>
            <w:r>
              <w:rPr>
                <w:color w:val="auto"/>
                <w:kern w:val="0"/>
                <w:sz w:val="21"/>
                <w:szCs w:val="21"/>
              </w:rPr>
              <w:t>≤100</w:t>
            </w:r>
          </w:p>
        </w:tc>
        <w:tc>
          <w:tcPr>
            <w:tcW w:w="583" w:type="pct"/>
            <w:vAlign w:val="center"/>
          </w:tcPr>
          <w:p w14:paraId="3DE9F3DE">
            <w:pPr>
              <w:widowControl/>
              <w:spacing w:line="240" w:lineRule="auto"/>
              <w:ind w:firstLine="0" w:firstLineChars="0"/>
              <w:jc w:val="center"/>
              <w:rPr>
                <w:color w:val="auto"/>
                <w:kern w:val="0"/>
                <w:sz w:val="21"/>
                <w:szCs w:val="21"/>
              </w:rPr>
            </w:pPr>
            <w:r>
              <w:rPr>
                <w:color w:val="auto"/>
                <w:kern w:val="0"/>
                <w:sz w:val="21"/>
                <w:szCs w:val="21"/>
              </w:rPr>
              <w:t>≤100</w:t>
            </w:r>
          </w:p>
        </w:tc>
        <w:tc>
          <w:tcPr>
            <w:tcW w:w="666" w:type="pct"/>
            <w:vAlign w:val="center"/>
          </w:tcPr>
          <w:p w14:paraId="533D5035">
            <w:pPr>
              <w:widowControl/>
              <w:spacing w:line="240" w:lineRule="auto"/>
              <w:ind w:firstLine="0" w:firstLineChars="0"/>
              <w:jc w:val="center"/>
              <w:rPr>
                <w:color w:val="auto"/>
                <w:kern w:val="0"/>
                <w:sz w:val="21"/>
                <w:szCs w:val="21"/>
              </w:rPr>
            </w:pPr>
            <w:r>
              <w:rPr>
                <w:color w:val="auto"/>
                <w:kern w:val="0"/>
                <w:sz w:val="21"/>
                <w:szCs w:val="21"/>
              </w:rPr>
              <w:t>≤100</w:t>
            </w:r>
          </w:p>
        </w:tc>
        <w:tc>
          <w:tcPr>
            <w:tcW w:w="960" w:type="pct"/>
            <w:vAlign w:val="center"/>
          </w:tcPr>
          <w:p w14:paraId="723AE2CF">
            <w:pPr>
              <w:widowControl/>
              <w:spacing w:line="240" w:lineRule="auto"/>
              <w:ind w:firstLine="0" w:firstLineChars="0"/>
              <w:jc w:val="center"/>
              <w:rPr>
                <w:color w:val="auto"/>
                <w:kern w:val="0"/>
                <w:sz w:val="21"/>
                <w:szCs w:val="21"/>
              </w:rPr>
            </w:pPr>
            <w:r>
              <w:rPr>
                <w:color w:val="auto"/>
                <w:kern w:val="0"/>
                <w:sz w:val="21"/>
                <w:szCs w:val="21"/>
              </w:rPr>
              <w:t>≤1000</w:t>
            </w:r>
          </w:p>
        </w:tc>
        <w:tc>
          <w:tcPr>
            <w:tcW w:w="1065" w:type="pct"/>
            <w:vAlign w:val="center"/>
          </w:tcPr>
          <w:p w14:paraId="581C0C12">
            <w:pPr>
              <w:widowControl/>
              <w:spacing w:line="240" w:lineRule="auto"/>
              <w:ind w:firstLine="0" w:firstLineChars="0"/>
              <w:jc w:val="center"/>
              <w:rPr>
                <w:color w:val="auto"/>
                <w:kern w:val="0"/>
                <w:sz w:val="21"/>
                <w:szCs w:val="21"/>
              </w:rPr>
            </w:pPr>
            <w:r>
              <w:rPr>
                <w:color w:val="auto"/>
                <w:kern w:val="0"/>
                <w:sz w:val="21"/>
                <w:szCs w:val="21"/>
              </w:rPr>
              <w:t>＞1000</w:t>
            </w:r>
          </w:p>
        </w:tc>
      </w:tr>
      <w:tr w14:paraId="21BEEB2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14FD67D4">
            <w:pPr>
              <w:widowControl/>
              <w:spacing w:line="240" w:lineRule="auto"/>
              <w:ind w:firstLine="0" w:firstLineChars="0"/>
              <w:jc w:val="center"/>
              <w:rPr>
                <w:color w:val="auto"/>
                <w:kern w:val="0"/>
                <w:sz w:val="21"/>
                <w:szCs w:val="21"/>
              </w:rPr>
            </w:pPr>
            <w:r>
              <w:rPr>
                <w:color w:val="auto"/>
                <w:kern w:val="0"/>
                <w:sz w:val="21"/>
                <w:szCs w:val="21"/>
              </w:rPr>
              <w:t>阴离子表面活性剂</w:t>
            </w:r>
          </w:p>
        </w:tc>
        <w:tc>
          <w:tcPr>
            <w:tcW w:w="747" w:type="pct"/>
            <w:vAlign w:val="center"/>
          </w:tcPr>
          <w:p w14:paraId="5884E630">
            <w:pPr>
              <w:widowControl/>
              <w:spacing w:line="240" w:lineRule="auto"/>
              <w:ind w:firstLine="0" w:firstLineChars="0"/>
              <w:jc w:val="center"/>
              <w:rPr>
                <w:color w:val="auto"/>
                <w:kern w:val="0"/>
                <w:sz w:val="21"/>
                <w:szCs w:val="21"/>
              </w:rPr>
            </w:pPr>
            <w:r>
              <w:rPr>
                <w:color w:val="auto"/>
                <w:kern w:val="0"/>
                <w:sz w:val="21"/>
                <w:szCs w:val="21"/>
              </w:rPr>
              <w:t>不得检出</w:t>
            </w:r>
          </w:p>
        </w:tc>
        <w:tc>
          <w:tcPr>
            <w:tcW w:w="583" w:type="pct"/>
            <w:vAlign w:val="center"/>
          </w:tcPr>
          <w:p w14:paraId="7D7FA5C9">
            <w:pPr>
              <w:widowControl/>
              <w:spacing w:line="240" w:lineRule="auto"/>
              <w:ind w:firstLine="0" w:firstLineChars="0"/>
              <w:jc w:val="center"/>
              <w:rPr>
                <w:color w:val="auto"/>
                <w:kern w:val="0"/>
                <w:sz w:val="21"/>
                <w:szCs w:val="21"/>
              </w:rPr>
            </w:pPr>
            <w:r>
              <w:rPr>
                <w:color w:val="auto"/>
                <w:kern w:val="0"/>
                <w:sz w:val="21"/>
                <w:szCs w:val="21"/>
              </w:rPr>
              <w:t>≤0.1</w:t>
            </w:r>
          </w:p>
        </w:tc>
        <w:tc>
          <w:tcPr>
            <w:tcW w:w="666" w:type="pct"/>
            <w:vAlign w:val="center"/>
          </w:tcPr>
          <w:p w14:paraId="250814DF">
            <w:pPr>
              <w:widowControl/>
              <w:spacing w:line="240" w:lineRule="auto"/>
              <w:ind w:firstLine="0" w:firstLineChars="0"/>
              <w:jc w:val="center"/>
              <w:rPr>
                <w:color w:val="auto"/>
                <w:kern w:val="0"/>
                <w:sz w:val="21"/>
                <w:szCs w:val="21"/>
              </w:rPr>
            </w:pPr>
            <w:r>
              <w:rPr>
                <w:color w:val="auto"/>
                <w:kern w:val="0"/>
                <w:sz w:val="21"/>
                <w:szCs w:val="21"/>
              </w:rPr>
              <w:t>≤0.3</w:t>
            </w:r>
          </w:p>
        </w:tc>
        <w:tc>
          <w:tcPr>
            <w:tcW w:w="960" w:type="pct"/>
            <w:vAlign w:val="center"/>
          </w:tcPr>
          <w:p w14:paraId="42156470">
            <w:pPr>
              <w:widowControl/>
              <w:spacing w:line="240" w:lineRule="auto"/>
              <w:ind w:firstLine="0" w:firstLineChars="0"/>
              <w:jc w:val="center"/>
              <w:rPr>
                <w:color w:val="auto"/>
                <w:kern w:val="0"/>
                <w:sz w:val="21"/>
                <w:szCs w:val="21"/>
              </w:rPr>
            </w:pPr>
            <w:r>
              <w:rPr>
                <w:color w:val="auto"/>
                <w:kern w:val="0"/>
                <w:sz w:val="21"/>
                <w:szCs w:val="21"/>
              </w:rPr>
              <w:t>≤0.3</w:t>
            </w:r>
          </w:p>
        </w:tc>
        <w:tc>
          <w:tcPr>
            <w:tcW w:w="1065" w:type="pct"/>
            <w:vAlign w:val="center"/>
          </w:tcPr>
          <w:p w14:paraId="49BAE3B8">
            <w:pPr>
              <w:widowControl/>
              <w:spacing w:line="240" w:lineRule="auto"/>
              <w:ind w:firstLine="0" w:firstLineChars="0"/>
              <w:jc w:val="center"/>
              <w:rPr>
                <w:color w:val="auto"/>
                <w:kern w:val="0"/>
                <w:sz w:val="21"/>
                <w:szCs w:val="21"/>
              </w:rPr>
            </w:pPr>
            <w:r>
              <w:rPr>
                <w:color w:val="auto"/>
                <w:kern w:val="0"/>
                <w:sz w:val="21"/>
                <w:szCs w:val="21"/>
              </w:rPr>
              <w:t>＞0.3</w:t>
            </w:r>
          </w:p>
        </w:tc>
      </w:tr>
      <w:tr w14:paraId="377B6813">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3450F551">
            <w:pPr>
              <w:widowControl/>
              <w:spacing w:line="240" w:lineRule="auto"/>
              <w:ind w:firstLine="0" w:firstLineChars="0"/>
              <w:jc w:val="center"/>
              <w:rPr>
                <w:color w:val="auto"/>
                <w:kern w:val="0"/>
                <w:sz w:val="21"/>
                <w:szCs w:val="21"/>
              </w:rPr>
            </w:pPr>
            <w:r>
              <w:rPr>
                <w:color w:val="auto"/>
                <w:kern w:val="0"/>
                <w:sz w:val="21"/>
                <w:szCs w:val="21"/>
              </w:rPr>
              <w:t>硫化物</w:t>
            </w:r>
          </w:p>
        </w:tc>
        <w:tc>
          <w:tcPr>
            <w:tcW w:w="747" w:type="pct"/>
            <w:vAlign w:val="center"/>
          </w:tcPr>
          <w:p w14:paraId="20DFE158">
            <w:pPr>
              <w:widowControl/>
              <w:spacing w:line="240" w:lineRule="auto"/>
              <w:ind w:firstLine="0" w:firstLineChars="0"/>
              <w:jc w:val="center"/>
              <w:rPr>
                <w:color w:val="auto"/>
                <w:kern w:val="0"/>
                <w:sz w:val="21"/>
                <w:szCs w:val="21"/>
              </w:rPr>
            </w:pPr>
            <w:r>
              <w:rPr>
                <w:color w:val="auto"/>
                <w:kern w:val="0"/>
                <w:sz w:val="21"/>
                <w:szCs w:val="21"/>
              </w:rPr>
              <w:t>≤0.005</w:t>
            </w:r>
          </w:p>
        </w:tc>
        <w:tc>
          <w:tcPr>
            <w:tcW w:w="583" w:type="pct"/>
            <w:vAlign w:val="center"/>
          </w:tcPr>
          <w:p w14:paraId="47D4BA4B">
            <w:pPr>
              <w:widowControl/>
              <w:spacing w:line="240" w:lineRule="auto"/>
              <w:ind w:firstLine="0" w:firstLineChars="0"/>
              <w:jc w:val="center"/>
              <w:rPr>
                <w:color w:val="auto"/>
                <w:kern w:val="0"/>
                <w:sz w:val="21"/>
                <w:szCs w:val="21"/>
              </w:rPr>
            </w:pPr>
            <w:r>
              <w:rPr>
                <w:color w:val="auto"/>
                <w:kern w:val="0"/>
                <w:sz w:val="21"/>
                <w:szCs w:val="21"/>
              </w:rPr>
              <w:t>≤0.01</w:t>
            </w:r>
          </w:p>
        </w:tc>
        <w:tc>
          <w:tcPr>
            <w:tcW w:w="666" w:type="pct"/>
            <w:vAlign w:val="center"/>
          </w:tcPr>
          <w:p w14:paraId="46FBBA78">
            <w:pPr>
              <w:widowControl/>
              <w:spacing w:line="240" w:lineRule="auto"/>
              <w:ind w:firstLine="0" w:firstLineChars="0"/>
              <w:jc w:val="center"/>
              <w:rPr>
                <w:color w:val="auto"/>
                <w:kern w:val="0"/>
                <w:sz w:val="21"/>
                <w:szCs w:val="21"/>
              </w:rPr>
            </w:pPr>
            <w:r>
              <w:rPr>
                <w:color w:val="auto"/>
                <w:kern w:val="0"/>
                <w:sz w:val="21"/>
                <w:szCs w:val="21"/>
              </w:rPr>
              <w:t>≤0.02</w:t>
            </w:r>
          </w:p>
        </w:tc>
        <w:tc>
          <w:tcPr>
            <w:tcW w:w="960" w:type="pct"/>
            <w:vAlign w:val="center"/>
          </w:tcPr>
          <w:p w14:paraId="422D64A9">
            <w:pPr>
              <w:widowControl/>
              <w:spacing w:line="240" w:lineRule="auto"/>
              <w:ind w:firstLine="0" w:firstLineChars="0"/>
              <w:jc w:val="center"/>
              <w:rPr>
                <w:color w:val="auto"/>
                <w:kern w:val="0"/>
                <w:sz w:val="21"/>
                <w:szCs w:val="21"/>
              </w:rPr>
            </w:pPr>
            <w:r>
              <w:rPr>
                <w:color w:val="auto"/>
                <w:kern w:val="0"/>
                <w:sz w:val="21"/>
                <w:szCs w:val="21"/>
              </w:rPr>
              <w:t>≤0.10</w:t>
            </w:r>
          </w:p>
        </w:tc>
        <w:tc>
          <w:tcPr>
            <w:tcW w:w="1065" w:type="pct"/>
            <w:vAlign w:val="center"/>
          </w:tcPr>
          <w:p w14:paraId="627B83C8">
            <w:pPr>
              <w:widowControl/>
              <w:spacing w:line="240" w:lineRule="auto"/>
              <w:ind w:firstLine="0" w:firstLineChars="0"/>
              <w:jc w:val="center"/>
              <w:rPr>
                <w:color w:val="auto"/>
                <w:kern w:val="0"/>
                <w:sz w:val="21"/>
                <w:szCs w:val="21"/>
              </w:rPr>
            </w:pPr>
            <w:r>
              <w:rPr>
                <w:color w:val="auto"/>
                <w:kern w:val="0"/>
                <w:sz w:val="21"/>
                <w:szCs w:val="21"/>
              </w:rPr>
              <w:t>＞0.10</w:t>
            </w:r>
          </w:p>
        </w:tc>
      </w:tr>
      <w:tr w14:paraId="00F7103C">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14546145">
            <w:pPr>
              <w:widowControl/>
              <w:spacing w:line="240" w:lineRule="auto"/>
              <w:ind w:firstLine="0" w:firstLineChars="0"/>
              <w:jc w:val="center"/>
              <w:rPr>
                <w:color w:val="auto"/>
                <w:kern w:val="0"/>
                <w:sz w:val="21"/>
                <w:szCs w:val="21"/>
              </w:rPr>
            </w:pPr>
            <w:r>
              <w:rPr>
                <w:color w:val="auto"/>
                <w:kern w:val="0"/>
                <w:sz w:val="21"/>
                <w:szCs w:val="21"/>
              </w:rPr>
              <w:t>铜</w:t>
            </w:r>
          </w:p>
        </w:tc>
        <w:tc>
          <w:tcPr>
            <w:tcW w:w="747" w:type="pct"/>
            <w:vAlign w:val="center"/>
          </w:tcPr>
          <w:p w14:paraId="042448AC">
            <w:pPr>
              <w:widowControl/>
              <w:spacing w:line="240" w:lineRule="auto"/>
              <w:ind w:firstLine="0" w:firstLineChars="0"/>
              <w:jc w:val="center"/>
              <w:rPr>
                <w:color w:val="auto"/>
                <w:kern w:val="0"/>
                <w:sz w:val="21"/>
                <w:szCs w:val="21"/>
              </w:rPr>
            </w:pPr>
            <w:r>
              <w:rPr>
                <w:color w:val="auto"/>
                <w:kern w:val="0"/>
                <w:sz w:val="21"/>
                <w:szCs w:val="21"/>
              </w:rPr>
              <w:t>≤0.01</w:t>
            </w:r>
          </w:p>
        </w:tc>
        <w:tc>
          <w:tcPr>
            <w:tcW w:w="583" w:type="pct"/>
            <w:vAlign w:val="center"/>
          </w:tcPr>
          <w:p w14:paraId="7F048F39">
            <w:pPr>
              <w:widowControl/>
              <w:spacing w:line="240" w:lineRule="auto"/>
              <w:ind w:firstLine="0" w:firstLineChars="0"/>
              <w:jc w:val="center"/>
              <w:rPr>
                <w:color w:val="auto"/>
                <w:kern w:val="0"/>
                <w:sz w:val="21"/>
                <w:szCs w:val="21"/>
              </w:rPr>
            </w:pPr>
            <w:r>
              <w:rPr>
                <w:color w:val="auto"/>
                <w:kern w:val="0"/>
                <w:sz w:val="21"/>
                <w:szCs w:val="21"/>
              </w:rPr>
              <w:t>≤0.05</w:t>
            </w:r>
          </w:p>
        </w:tc>
        <w:tc>
          <w:tcPr>
            <w:tcW w:w="666" w:type="pct"/>
            <w:vAlign w:val="center"/>
          </w:tcPr>
          <w:p w14:paraId="6CF78C5E">
            <w:pPr>
              <w:widowControl/>
              <w:spacing w:line="240" w:lineRule="auto"/>
              <w:ind w:firstLine="0" w:firstLineChars="0"/>
              <w:jc w:val="center"/>
              <w:rPr>
                <w:color w:val="auto"/>
                <w:kern w:val="0"/>
                <w:sz w:val="21"/>
                <w:szCs w:val="21"/>
              </w:rPr>
            </w:pPr>
            <w:r>
              <w:rPr>
                <w:color w:val="auto"/>
                <w:kern w:val="0"/>
                <w:sz w:val="21"/>
                <w:szCs w:val="21"/>
              </w:rPr>
              <w:t>≤1.00</w:t>
            </w:r>
          </w:p>
        </w:tc>
        <w:tc>
          <w:tcPr>
            <w:tcW w:w="960" w:type="pct"/>
            <w:vAlign w:val="center"/>
          </w:tcPr>
          <w:p w14:paraId="6FD0EC5B">
            <w:pPr>
              <w:widowControl/>
              <w:spacing w:line="240" w:lineRule="auto"/>
              <w:ind w:firstLine="0" w:firstLineChars="0"/>
              <w:jc w:val="center"/>
              <w:rPr>
                <w:color w:val="auto"/>
                <w:kern w:val="0"/>
                <w:sz w:val="21"/>
                <w:szCs w:val="21"/>
              </w:rPr>
            </w:pPr>
            <w:r>
              <w:rPr>
                <w:color w:val="auto"/>
                <w:kern w:val="0"/>
                <w:sz w:val="21"/>
                <w:szCs w:val="21"/>
              </w:rPr>
              <w:t>≤1.50</w:t>
            </w:r>
          </w:p>
        </w:tc>
        <w:tc>
          <w:tcPr>
            <w:tcW w:w="1065" w:type="pct"/>
            <w:vAlign w:val="center"/>
          </w:tcPr>
          <w:p w14:paraId="3D0842CA">
            <w:pPr>
              <w:widowControl/>
              <w:spacing w:line="240" w:lineRule="auto"/>
              <w:ind w:firstLine="0" w:firstLineChars="0"/>
              <w:jc w:val="center"/>
              <w:rPr>
                <w:color w:val="auto"/>
                <w:kern w:val="0"/>
                <w:sz w:val="21"/>
                <w:szCs w:val="21"/>
              </w:rPr>
            </w:pPr>
            <w:r>
              <w:rPr>
                <w:color w:val="auto"/>
                <w:kern w:val="0"/>
                <w:sz w:val="21"/>
                <w:szCs w:val="21"/>
              </w:rPr>
              <w:t>＞1.50</w:t>
            </w:r>
          </w:p>
        </w:tc>
      </w:tr>
      <w:tr w14:paraId="74EFC25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Align w:val="center"/>
          </w:tcPr>
          <w:p w14:paraId="213680E6">
            <w:pPr>
              <w:widowControl/>
              <w:spacing w:line="240" w:lineRule="auto"/>
              <w:ind w:firstLine="0" w:firstLineChars="0"/>
              <w:jc w:val="center"/>
              <w:rPr>
                <w:color w:val="auto"/>
                <w:kern w:val="0"/>
                <w:sz w:val="21"/>
                <w:szCs w:val="21"/>
              </w:rPr>
            </w:pPr>
            <w:r>
              <w:rPr>
                <w:color w:val="auto"/>
                <w:kern w:val="0"/>
                <w:sz w:val="21"/>
                <w:szCs w:val="21"/>
              </w:rPr>
              <w:t>锌</w:t>
            </w:r>
          </w:p>
        </w:tc>
        <w:tc>
          <w:tcPr>
            <w:tcW w:w="747" w:type="pct"/>
            <w:vAlign w:val="center"/>
          </w:tcPr>
          <w:p w14:paraId="42FBCCC0">
            <w:pPr>
              <w:widowControl/>
              <w:spacing w:line="240" w:lineRule="auto"/>
              <w:ind w:firstLine="0" w:firstLineChars="0"/>
              <w:jc w:val="center"/>
              <w:rPr>
                <w:color w:val="auto"/>
                <w:kern w:val="0"/>
                <w:sz w:val="21"/>
                <w:szCs w:val="21"/>
              </w:rPr>
            </w:pPr>
            <w:r>
              <w:rPr>
                <w:color w:val="auto"/>
                <w:kern w:val="0"/>
                <w:sz w:val="21"/>
                <w:szCs w:val="21"/>
              </w:rPr>
              <w:t>≤0.05</w:t>
            </w:r>
          </w:p>
        </w:tc>
        <w:tc>
          <w:tcPr>
            <w:tcW w:w="583" w:type="pct"/>
            <w:vAlign w:val="center"/>
          </w:tcPr>
          <w:p w14:paraId="50EAB4E2">
            <w:pPr>
              <w:widowControl/>
              <w:spacing w:line="240" w:lineRule="auto"/>
              <w:ind w:firstLine="0" w:firstLineChars="0"/>
              <w:jc w:val="center"/>
              <w:rPr>
                <w:color w:val="auto"/>
                <w:kern w:val="0"/>
                <w:sz w:val="21"/>
                <w:szCs w:val="21"/>
              </w:rPr>
            </w:pPr>
            <w:r>
              <w:rPr>
                <w:color w:val="auto"/>
                <w:kern w:val="0"/>
                <w:sz w:val="21"/>
                <w:szCs w:val="21"/>
              </w:rPr>
              <w:t>≤0.5</w:t>
            </w:r>
          </w:p>
        </w:tc>
        <w:tc>
          <w:tcPr>
            <w:tcW w:w="666" w:type="pct"/>
            <w:vAlign w:val="center"/>
          </w:tcPr>
          <w:p w14:paraId="572A1D10">
            <w:pPr>
              <w:widowControl/>
              <w:spacing w:line="240" w:lineRule="auto"/>
              <w:ind w:firstLine="0" w:firstLineChars="0"/>
              <w:jc w:val="center"/>
              <w:rPr>
                <w:color w:val="auto"/>
                <w:kern w:val="0"/>
                <w:sz w:val="21"/>
                <w:szCs w:val="21"/>
              </w:rPr>
            </w:pPr>
            <w:r>
              <w:rPr>
                <w:color w:val="auto"/>
                <w:kern w:val="0"/>
                <w:sz w:val="21"/>
                <w:szCs w:val="21"/>
              </w:rPr>
              <w:t>≤1.00</w:t>
            </w:r>
          </w:p>
        </w:tc>
        <w:tc>
          <w:tcPr>
            <w:tcW w:w="960" w:type="pct"/>
            <w:vAlign w:val="center"/>
          </w:tcPr>
          <w:p w14:paraId="05A9DC49">
            <w:pPr>
              <w:widowControl/>
              <w:spacing w:line="240" w:lineRule="auto"/>
              <w:ind w:firstLine="0" w:firstLineChars="0"/>
              <w:jc w:val="center"/>
              <w:rPr>
                <w:color w:val="auto"/>
                <w:kern w:val="0"/>
                <w:sz w:val="21"/>
                <w:szCs w:val="21"/>
              </w:rPr>
            </w:pPr>
            <w:r>
              <w:rPr>
                <w:color w:val="auto"/>
                <w:kern w:val="0"/>
                <w:sz w:val="21"/>
                <w:szCs w:val="21"/>
              </w:rPr>
              <w:t>≤5.00</w:t>
            </w:r>
          </w:p>
        </w:tc>
        <w:tc>
          <w:tcPr>
            <w:tcW w:w="1065" w:type="pct"/>
            <w:vAlign w:val="center"/>
          </w:tcPr>
          <w:p w14:paraId="60749E74">
            <w:pPr>
              <w:widowControl/>
              <w:spacing w:line="240" w:lineRule="auto"/>
              <w:ind w:firstLine="0" w:firstLineChars="0"/>
              <w:jc w:val="center"/>
              <w:rPr>
                <w:color w:val="auto"/>
                <w:kern w:val="0"/>
                <w:sz w:val="21"/>
                <w:szCs w:val="21"/>
              </w:rPr>
            </w:pPr>
            <w:r>
              <w:rPr>
                <w:color w:val="auto"/>
                <w:kern w:val="0"/>
                <w:sz w:val="21"/>
                <w:szCs w:val="21"/>
              </w:rPr>
              <w:t>＞5.00</w:t>
            </w:r>
          </w:p>
        </w:tc>
      </w:tr>
      <w:bookmarkEnd w:id="50"/>
    </w:tbl>
    <w:p w14:paraId="2CFFB3FD">
      <w:pPr>
        <w:keepNext/>
        <w:keepLines/>
        <w:ind w:firstLine="0" w:firstLineChars="0"/>
        <w:outlineLvl w:val="3"/>
        <w:rPr>
          <w:b/>
          <w:color w:val="auto"/>
        </w:rPr>
      </w:pPr>
      <w:r>
        <w:rPr>
          <w:rFonts w:hint="eastAsia"/>
          <w:b/>
          <w:color w:val="auto"/>
        </w:rPr>
        <w:t>2.4.1.5土壤环境质量标准</w:t>
      </w:r>
    </w:p>
    <w:p w14:paraId="68A8BADD">
      <w:pPr>
        <w:ind w:firstLine="480"/>
        <w:rPr>
          <w:color w:val="auto"/>
        </w:rPr>
      </w:pPr>
      <w:r>
        <w:rPr>
          <w:color w:val="auto"/>
        </w:rPr>
        <w:t>本项目所在区域为工业区，厂内及园区工业用地土壤环境执行《土壤环境质量 建设用地土壤污染风险管控标准》(GB36600-2018)中第二类</w:t>
      </w:r>
      <w:r>
        <w:rPr>
          <w:rFonts w:hint="eastAsia"/>
          <w:color w:val="auto"/>
        </w:rPr>
        <w:t>用地标准</w:t>
      </w:r>
      <w:r>
        <w:rPr>
          <w:color w:val="auto"/>
        </w:rPr>
        <w:t>，具体标准值见表2.4.1-5。</w:t>
      </w:r>
    </w:p>
    <w:p w14:paraId="2C1594D7">
      <w:pPr>
        <w:ind w:firstLine="480"/>
        <w:rPr>
          <w:color w:val="auto"/>
        </w:rPr>
      </w:pPr>
      <w:r>
        <w:rPr>
          <w:color w:val="auto"/>
        </w:rPr>
        <w:t>园区周边农用地执行《土壤环境质量 农用地土壤污染风险管控标准(试行)》(GB15618-2018)表1中“其他”农用地风险筛选值及表3风险管制值标准要求，具体标准值见表2.4.1-6。</w:t>
      </w:r>
    </w:p>
    <w:p w14:paraId="52FBCCCD">
      <w:pPr>
        <w:pStyle w:val="49"/>
        <w:rPr>
          <w:color w:val="auto"/>
        </w:rPr>
      </w:pPr>
      <w:r>
        <w:rPr>
          <w:color w:val="auto"/>
        </w:rPr>
        <w:t>表2.4-5  建设用地土壤环境质量标准(单位：mg/kg)</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973"/>
        <w:gridCol w:w="3130"/>
        <w:gridCol w:w="1837"/>
        <w:gridCol w:w="1892"/>
        <w:gridCol w:w="2022"/>
      </w:tblGrid>
      <w:tr w14:paraId="3B15F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tblHeader/>
          <w:jc w:val="center"/>
        </w:trPr>
        <w:tc>
          <w:tcPr>
            <w:tcW w:w="494" w:type="pct"/>
            <w:vMerge w:val="restart"/>
            <w:shd w:val="clear" w:color="auto" w:fill="FFFFFF" w:themeFill="background1"/>
            <w:vAlign w:val="center"/>
          </w:tcPr>
          <w:p w14:paraId="20ECC65E">
            <w:pPr>
              <w:widowControl/>
              <w:spacing w:line="240" w:lineRule="auto"/>
              <w:ind w:firstLine="0" w:firstLineChars="0"/>
              <w:jc w:val="center"/>
              <w:rPr>
                <w:b/>
                <w:bCs/>
                <w:color w:val="auto"/>
                <w:kern w:val="0"/>
                <w:sz w:val="21"/>
                <w:szCs w:val="21"/>
              </w:rPr>
            </w:pPr>
            <w:r>
              <w:rPr>
                <w:b/>
                <w:bCs/>
                <w:color w:val="auto"/>
                <w:kern w:val="0"/>
                <w:sz w:val="21"/>
                <w:szCs w:val="21"/>
              </w:rPr>
              <w:t>序号</w:t>
            </w:r>
          </w:p>
        </w:tc>
        <w:tc>
          <w:tcPr>
            <w:tcW w:w="1588" w:type="pct"/>
            <w:vMerge w:val="restart"/>
            <w:shd w:val="clear" w:color="auto" w:fill="FFFFFF" w:themeFill="background1"/>
            <w:vAlign w:val="center"/>
          </w:tcPr>
          <w:p w14:paraId="3682BB39">
            <w:pPr>
              <w:widowControl/>
              <w:spacing w:line="240" w:lineRule="auto"/>
              <w:ind w:firstLine="0" w:firstLineChars="0"/>
              <w:jc w:val="center"/>
              <w:rPr>
                <w:b/>
                <w:bCs/>
                <w:color w:val="auto"/>
                <w:kern w:val="0"/>
                <w:sz w:val="21"/>
                <w:szCs w:val="21"/>
              </w:rPr>
            </w:pPr>
            <w:r>
              <w:rPr>
                <w:b/>
                <w:bCs/>
                <w:color w:val="auto"/>
                <w:kern w:val="0"/>
                <w:sz w:val="21"/>
                <w:szCs w:val="21"/>
              </w:rPr>
              <w:t>污染物项目</w:t>
            </w:r>
          </w:p>
        </w:tc>
        <w:tc>
          <w:tcPr>
            <w:tcW w:w="932" w:type="pct"/>
            <w:vMerge w:val="restart"/>
            <w:shd w:val="clear" w:color="auto" w:fill="FFFFFF" w:themeFill="background1"/>
            <w:vAlign w:val="center"/>
          </w:tcPr>
          <w:p w14:paraId="50554097">
            <w:pPr>
              <w:widowControl/>
              <w:spacing w:line="240" w:lineRule="auto"/>
              <w:ind w:firstLine="0" w:firstLineChars="0"/>
              <w:jc w:val="center"/>
              <w:rPr>
                <w:b/>
                <w:bCs/>
                <w:color w:val="auto"/>
                <w:kern w:val="0"/>
                <w:sz w:val="21"/>
                <w:szCs w:val="21"/>
              </w:rPr>
            </w:pPr>
            <w:r>
              <w:rPr>
                <w:b/>
                <w:bCs/>
                <w:color w:val="auto"/>
                <w:kern w:val="0"/>
                <w:sz w:val="21"/>
                <w:szCs w:val="21"/>
              </w:rPr>
              <w:t>CAS 编号</w:t>
            </w:r>
          </w:p>
        </w:tc>
        <w:tc>
          <w:tcPr>
            <w:tcW w:w="960" w:type="pct"/>
            <w:shd w:val="clear" w:color="auto" w:fill="FFFFFF" w:themeFill="background1"/>
            <w:vAlign w:val="center"/>
          </w:tcPr>
          <w:p w14:paraId="719BB43F">
            <w:pPr>
              <w:widowControl/>
              <w:spacing w:line="240" w:lineRule="auto"/>
              <w:ind w:firstLine="0" w:firstLineChars="0"/>
              <w:jc w:val="center"/>
              <w:rPr>
                <w:b/>
                <w:bCs/>
                <w:color w:val="auto"/>
                <w:kern w:val="0"/>
                <w:sz w:val="21"/>
                <w:szCs w:val="21"/>
              </w:rPr>
            </w:pPr>
            <w:r>
              <w:rPr>
                <w:b/>
                <w:bCs/>
                <w:color w:val="auto"/>
                <w:kern w:val="0"/>
                <w:sz w:val="21"/>
                <w:szCs w:val="21"/>
              </w:rPr>
              <w:t>筛选值</w:t>
            </w:r>
          </w:p>
        </w:tc>
        <w:tc>
          <w:tcPr>
            <w:tcW w:w="1026" w:type="pct"/>
            <w:shd w:val="clear" w:color="auto" w:fill="FFFFFF" w:themeFill="background1"/>
            <w:vAlign w:val="center"/>
          </w:tcPr>
          <w:p w14:paraId="7D5EDB74">
            <w:pPr>
              <w:widowControl/>
              <w:spacing w:line="240" w:lineRule="auto"/>
              <w:ind w:firstLine="0" w:firstLineChars="0"/>
              <w:jc w:val="center"/>
              <w:rPr>
                <w:b/>
                <w:bCs/>
                <w:color w:val="auto"/>
                <w:kern w:val="0"/>
                <w:sz w:val="21"/>
                <w:szCs w:val="21"/>
              </w:rPr>
            </w:pPr>
            <w:r>
              <w:rPr>
                <w:b/>
                <w:bCs/>
                <w:color w:val="auto"/>
                <w:kern w:val="0"/>
                <w:sz w:val="21"/>
                <w:szCs w:val="21"/>
              </w:rPr>
              <w:t>管制值</w:t>
            </w:r>
          </w:p>
        </w:tc>
      </w:tr>
      <w:tr w14:paraId="55946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94" w:type="pct"/>
            <w:vMerge w:val="continue"/>
            <w:shd w:val="clear" w:color="auto" w:fill="FFFFFF" w:themeFill="background1"/>
            <w:vAlign w:val="center"/>
          </w:tcPr>
          <w:p w14:paraId="5525FFB6">
            <w:pPr>
              <w:widowControl/>
              <w:spacing w:line="240" w:lineRule="auto"/>
              <w:ind w:firstLine="0" w:firstLineChars="0"/>
              <w:jc w:val="center"/>
              <w:rPr>
                <w:b/>
                <w:bCs/>
                <w:color w:val="auto"/>
                <w:kern w:val="0"/>
                <w:sz w:val="21"/>
                <w:szCs w:val="21"/>
              </w:rPr>
            </w:pPr>
          </w:p>
        </w:tc>
        <w:tc>
          <w:tcPr>
            <w:tcW w:w="1588" w:type="pct"/>
            <w:vMerge w:val="continue"/>
            <w:shd w:val="clear" w:color="auto" w:fill="FFFFFF" w:themeFill="background1"/>
            <w:vAlign w:val="center"/>
          </w:tcPr>
          <w:p w14:paraId="2DCFDE28">
            <w:pPr>
              <w:widowControl/>
              <w:spacing w:line="240" w:lineRule="auto"/>
              <w:ind w:firstLine="0" w:firstLineChars="0"/>
              <w:jc w:val="center"/>
              <w:rPr>
                <w:b/>
                <w:bCs/>
                <w:color w:val="auto"/>
                <w:kern w:val="0"/>
                <w:sz w:val="21"/>
                <w:szCs w:val="21"/>
              </w:rPr>
            </w:pPr>
          </w:p>
        </w:tc>
        <w:tc>
          <w:tcPr>
            <w:tcW w:w="932" w:type="pct"/>
            <w:vMerge w:val="continue"/>
            <w:shd w:val="clear" w:color="auto" w:fill="FFFFFF" w:themeFill="background1"/>
            <w:vAlign w:val="center"/>
          </w:tcPr>
          <w:p w14:paraId="1A8A73BC">
            <w:pPr>
              <w:widowControl/>
              <w:spacing w:line="240" w:lineRule="auto"/>
              <w:ind w:firstLine="0" w:firstLineChars="0"/>
              <w:jc w:val="center"/>
              <w:rPr>
                <w:b/>
                <w:bCs/>
                <w:color w:val="auto"/>
                <w:kern w:val="0"/>
                <w:sz w:val="21"/>
                <w:szCs w:val="21"/>
              </w:rPr>
            </w:pPr>
          </w:p>
        </w:tc>
        <w:tc>
          <w:tcPr>
            <w:tcW w:w="960" w:type="pct"/>
            <w:shd w:val="clear" w:color="auto" w:fill="FFFFFF" w:themeFill="background1"/>
            <w:vAlign w:val="center"/>
          </w:tcPr>
          <w:p w14:paraId="4C86A68C">
            <w:pPr>
              <w:widowControl/>
              <w:spacing w:line="240" w:lineRule="auto"/>
              <w:ind w:firstLine="0" w:firstLineChars="0"/>
              <w:jc w:val="center"/>
              <w:rPr>
                <w:b/>
                <w:bCs/>
                <w:color w:val="auto"/>
                <w:kern w:val="0"/>
                <w:sz w:val="21"/>
                <w:szCs w:val="21"/>
              </w:rPr>
            </w:pPr>
            <w:r>
              <w:rPr>
                <w:b/>
                <w:bCs/>
                <w:color w:val="auto"/>
                <w:kern w:val="0"/>
                <w:sz w:val="21"/>
                <w:szCs w:val="21"/>
              </w:rPr>
              <w:t>第二类用地</w:t>
            </w:r>
          </w:p>
        </w:tc>
        <w:tc>
          <w:tcPr>
            <w:tcW w:w="1026" w:type="pct"/>
            <w:shd w:val="clear" w:color="auto" w:fill="FFFFFF" w:themeFill="background1"/>
            <w:vAlign w:val="center"/>
          </w:tcPr>
          <w:p w14:paraId="64B02BFD">
            <w:pPr>
              <w:widowControl/>
              <w:spacing w:line="240" w:lineRule="auto"/>
              <w:ind w:firstLine="0" w:firstLineChars="0"/>
              <w:jc w:val="center"/>
              <w:rPr>
                <w:b/>
                <w:bCs/>
                <w:color w:val="auto"/>
                <w:kern w:val="0"/>
                <w:sz w:val="21"/>
                <w:szCs w:val="21"/>
              </w:rPr>
            </w:pPr>
            <w:r>
              <w:rPr>
                <w:b/>
                <w:bCs/>
                <w:color w:val="auto"/>
                <w:kern w:val="0"/>
                <w:sz w:val="21"/>
                <w:szCs w:val="21"/>
              </w:rPr>
              <w:t>第二类用地</w:t>
            </w:r>
          </w:p>
        </w:tc>
      </w:tr>
      <w:tr w14:paraId="7F399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shd w:val="clear" w:color="auto" w:fill="FFFFFF" w:themeFill="background1"/>
            <w:vAlign w:val="center"/>
          </w:tcPr>
          <w:p w14:paraId="3A663CDC">
            <w:pPr>
              <w:widowControl/>
              <w:spacing w:line="240" w:lineRule="auto"/>
              <w:ind w:firstLine="0" w:firstLineChars="0"/>
              <w:jc w:val="center"/>
              <w:rPr>
                <w:color w:val="auto"/>
                <w:kern w:val="0"/>
                <w:sz w:val="21"/>
                <w:szCs w:val="21"/>
              </w:rPr>
            </w:pPr>
            <w:r>
              <w:rPr>
                <w:color w:val="auto"/>
                <w:kern w:val="0"/>
                <w:sz w:val="21"/>
                <w:szCs w:val="21"/>
              </w:rPr>
              <w:t>重金属和无机物</w:t>
            </w:r>
          </w:p>
        </w:tc>
      </w:tr>
      <w:tr w14:paraId="30C27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5FDEF997">
            <w:pPr>
              <w:widowControl/>
              <w:spacing w:line="240" w:lineRule="auto"/>
              <w:ind w:firstLine="0" w:firstLineChars="0"/>
              <w:jc w:val="center"/>
              <w:rPr>
                <w:color w:val="auto"/>
                <w:kern w:val="0"/>
                <w:sz w:val="21"/>
                <w:szCs w:val="21"/>
              </w:rPr>
            </w:pPr>
            <w:r>
              <w:rPr>
                <w:color w:val="auto"/>
                <w:kern w:val="0"/>
                <w:sz w:val="21"/>
                <w:szCs w:val="21"/>
              </w:rPr>
              <w:t>1</w:t>
            </w:r>
          </w:p>
        </w:tc>
        <w:tc>
          <w:tcPr>
            <w:tcW w:w="1588" w:type="pct"/>
            <w:shd w:val="clear" w:color="auto" w:fill="FFFFFF" w:themeFill="background1"/>
            <w:vAlign w:val="center"/>
          </w:tcPr>
          <w:p w14:paraId="0819F132">
            <w:pPr>
              <w:widowControl/>
              <w:spacing w:line="240" w:lineRule="auto"/>
              <w:ind w:firstLine="0" w:firstLineChars="0"/>
              <w:jc w:val="center"/>
              <w:rPr>
                <w:color w:val="auto"/>
                <w:kern w:val="0"/>
                <w:sz w:val="21"/>
                <w:szCs w:val="21"/>
              </w:rPr>
            </w:pPr>
            <w:r>
              <w:rPr>
                <w:color w:val="auto"/>
                <w:kern w:val="0"/>
                <w:sz w:val="21"/>
                <w:szCs w:val="21"/>
              </w:rPr>
              <w:t>砷</w:t>
            </w:r>
          </w:p>
        </w:tc>
        <w:tc>
          <w:tcPr>
            <w:tcW w:w="932" w:type="pct"/>
            <w:shd w:val="clear" w:color="auto" w:fill="FFFFFF" w:themeFill="background1"/>
            <w:vAlign w:val="center"/>
          </w:tcPr>
          <w:p w14:paraId="6646CEBF">
            <w:pPr>
              <w:widowControl/>
              <w:spacing w:line="240" w:lineRule="auto"/>
              <w:ind w:firstLine="0" w:firstLineChars="0"/>
              <w:jc w:val="center"/>
              <w:rPr>
                <w:color w:val="auto"/>
                <w:kern w:val="0"/>
                <w:sz w:val="21"/>
                <w:szCs w:val="21"/>
              </w:rPr>
            </w:pPr>
            <w:r>
              <w:rPr>
                <w:color w:val="auto"/>
                <w:kern w:val="0"/>
                <w:sz w:val="21"/>
                <w:szCs w:val="21"/>
              </w:rPr>
              <w:t>7440-38-2</w:t>
            </w:r>
          </w:p>
        </w:tc>
        <w:tc>
          <w:tcPr>
            <w:tcW w:w="960" w:type="pct"/>
            <w:shd w:val="clear" w:color="auto" w:fill="FFFFFF" w:themeFill="background1"/>
            <w:vAlign w:val="center"/>
          </w:tcPr>
          <w:p w14:paraId="45766F72">
            <w:pPr>
              <w:widowControl/>
              <w:spacing w:line="240" w:lineRule="auto"/>
              <w:ind w:firstLine="0" w:firstLineChars="0"/>
              <w:jc w:val="center"/>
              <w:rPr>
                <w:color w:val="auto"/>
                <w:kern w:val="0"/>
                <w:sz w:val="21"/>
                <w:szCs w:val="21"/>
              </w:rPr>
            </w:pPr>
            <w:r>
              <w:rPr>
                <w:color w:val="auto"/>
                <w:kern w:val="0"/>
                <w:sz w:val="21"/>
                <w:szCs w:val="21"/>
              </w:rPr>
              <w:t>60</w:t>
            </w:r>
          </w:p>
        </w:tc>
        <w:tc>
          <w:tcPr>
            <w:tcW w:w="1026" w:type="pct"/>
            <w:shd w:val="clear" w:color="auto" w:fill="FFFFFF" w:themeFill="background1"/>
            <w:vAlign w:val="center"/>
          </w:tcPr>
          <w:p w14:paraId="6B9E3E21">
            <w:pPr>
              <w:widowControl/>
              <w:spacing w:line="240" w:lineRule="auto"/>
              <w:ind w:firstLine="0" w:firstLineChars="0"/>
              <w:jc w:val="center"/>
              <w:rPr>
                <w:color w:val="auto"/>
                <w:kern w:val="0"/>
                <w:sz w:val="21"/>
                <w:szCs w:val="21"/>
              </w:rPr>
            </w:pPr>
            <w:r>
              <w:rPr>
                <w:rFonts w:hint="eastAsia"/>
                <w:color w:val="auto"/>
                <w:kern w:val="0"/>
                <w:sz w:val="21"/>
                <w:szCs w:val="21"/>
              </w:rPr>
              <w:t>140</w:t>
            </w:r>
          </w:p>
        </w:tc>
      </w:tr>
      <w:tr w14:paraId="35E5C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2E5ECF00">
            <w:pPr>
              <w:widowControl/>
              <w:spacing w:line="240" w:lineRule="auto"/>
              <w:ind w:firstLine="0" w:firstLineChars="0"/>
              <w:jc w:val="center"/>
              <w:rPr>
                <w:color w:val="auto"/>
                <w:kern w:val="0"/>
                <w:sz w:val="21"/>
                <w:szCs w:val="21"/>
              </w:rPr>
            </w:pPr>
            <w:r>
              <w:rPr>
                <w:color w:val="auto"/>
                <w:kern w:val="0"/>
                <w:sz w:val="21"/>
                <w:szCs w:val="21"/>
              </w:rPr>
              <w:t>2</w:t>
            </w:r>
          </w:p>
        </w:tc>
        <w:tc>
          <w:tcPr>
            <w:tcW w:w="1588" w:type="pct"/>
            <w:shd w:val="clear" w:color="auto" w:fill="FFFFFF" w:themeFill="background1"/>
            <w:vAlign w:val="center"/>
          </w:tcPr>
          <w:p w14:paraId="0637F398">
            <w:pPr>
              <w:widowControl/>
              <w:spacing w:line="240" w:lineRule="auto"/>
              <w:ind w:firstLine="0" w:firstLineChars="0"/>
              <w:jc w:val="center"/>
              <w:rPr>
                <w:color w:val="auto"/>
                <w:kern w:val="0"/>
                <w:sz w:val="21"/>
                <w:szCs w:val="21"/>
              </w:rPr>
            </w:pPr>
            <w:r>
              <w:rPr>
                <w:color w:val="auto"/>
                <w:kern w:val="0"/>
                <w:sz w:val="21"/>
                <w:szCs w:val="21"/>
              </w:rPr>
              <w:t>镉</w:t>
            </w:r>
          </w:p>
        </w:tc>
        <w:tc>
          <w:tcPr>
            <w:tcW w:w="932" w:type="pct"/>
            <w:shd w:val="clear" w:color="auto" w:fill="FFFFFF" w:themeFill="background1"/>
            <w:vAlign w:val="center"/>
          </w:tcPr>
          <w:p w14:paraId="2B88B15D">
            <w:pPr>
              <w:widowControl/>
              <w:spacing w:line="240" w:lineRule="auto"/>
              <w:ind w:firstLine="0" w:firstLineChars="0"/>
              <w:jc w:val="center"/>
              <w:rPr>
                <w:color w:val="auto"/>
                <w:kern w:val="0"/>
                <w:sz w:val="21"/>
                <w:szCs w:val="21"/>
              </w:rPr>
            </w:pPr>
            <w:r>
              <w:rPr>
                <w:color w:val="auto"/>
                <w:kern w:val="0"/>
                <w:sz w:val="21"/>
                <w:szCs w:val="21"/>
              </w:rPr>
              <w:t>7440-43-9</w:t>
            </w:r>
          </w:p>
        </w:tc>
        <w:tc>
          <w:tcPr>
            <w:tcW w:w="960" w:type="pct"/>
            <w:shd w:val="clear" w:color="auto" w:fill="FFFFFF" w:themeFill="background1"/>
            <w:vAlign w:val="center"/>
          </w:tcPr>
          <w:p w14:paraId="3608F788">
            <w:pPr>
              <w:widowControl/>
              <w:spacing w:line="240" w:lineRule="auto"/>
              <w:ind w:firstLine="0" w:firstLineChars="0"/>
              <w:jc w:val="center"/>
              <w:rPr>
                <w:color w:val="auto"/>
                <w:kern w:val="0"/>
                <w:sz w:val="21"/>
                <w:szCs w:val="21"/>
              </w:rPr>
            </w:pPr>
            <w:r>
              <w:rPr>
                <w:color w:val="auto"/>
                <w:kern w:val="0"/>
                <w:sz w:val="21"/>
                <w:szCs w:val="21"/>
              </w:rPr>
              <w:t>65</w:t>
            </w:r>
          </w:p>
        </w:tc>
        <w:tc>
          <w:tcPr>
            <w:tcW w:w="1026" w:type="pct"/>
            <w:shd w:val="clear" w:color="auto" w:fill="FFFFFF" w:themeFill="background1"/>
            <w:vAlign w:val="center"/>
          </w:tcPr>
          <w:p w14:paraId="110CDF78">
            <w:pPr>
              <w:widowControl/>
              <w:spacing w:line="240" w:lineRule="auto"/>
              <w:ind w:firstLine="0" w:firstLineChars="0"/>
              <w:jc w:val="center"/>
              <w:rPr>
                <w:color w:val="auto"/>
                <w:kern w:val="0"/>
                <w:sz w:val="21"/>
                <w:szCs w:val="21"/>
              </w:rPr>
            </w:pPr>
            <w:r>
              <w:rPr>
                <w:rFonts w:hint="eastAsia"/>
                <w:color w:val="auto"/>
                <w:kern w:val="0"/>
                <w:sz w:val="21"/>
                <w:szCs w:val="21"/>
              </w:rPr>
              <w:t>172</w:t>
            </w:r>
          </w:p>
        </w:tc>
      </w:tr>
      <w:tr w14:paraId="53E07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4B31A894">
            <w:pPr>
              <w:widowControl/>
              <w:spacing w:line="240" w:lineRule="auto"/>
              <w:ind w:firstLine="0" w:firstLineChars="0"/>
              <w:jc w:val="center"/>
              <w:rPr>
                <w:color w:val="auto"/>
                <w:kern w:val="0"/>
                <w:sz w:val="21"/>
                <w:szCs w:val="21"/>
              </w:rPr>
            </w:pPr>
            <w:r>
              <w:rPr>
                <w:color w:val="auto"/>
                <w:kern w:val="0"/>
                <w:sz w:val="21"/>
                <w:szCs w:val="21"/>
              </w:rPr>
              <w:t>3</w:t>
            </w:r>
          </w:p>
        </w:tc>
        <w:tc>
          <w:tcPr>
            <w:tcW w:w="1588" w:type="pct"/>
            <w:shd w:val="clear" w:color="auto" w:fill="FFFFFF" w:themeFill="background1"/>
            <w:vAlign w:val="center"/>
          </w:tcPr>
          <w:p w14:paraId="4B1D0530">
            <w:pPr>
              <w:widowControl/>
              <w:spacing w:line="240" w:lineRule="auto"/>
              <w:ind w:firstLine="0" w:firstLineChars="0"/>
              <w:jc w:val="center"/>
              <w:rPr>
                <w:color w:val="auto"/>
                <w:kern w:val="0"/>
                <w:sz w:val="21"/>
                <w:szCs w:val="21"/>
              </w:rPr>
            </w:pPr>
            <w:r>
              <w:rPr>
                <w:color w:val="auto"/>
                <w:kern w:val="0"/>
                <w:sz w:val="21"/>
                <w:szCs w:val="21"/>
              </w:rPr>
              <w:t>铬(六价)</w:t>
            </w:r>
          </w:p>
        </w:tc>
        <w:tc>
          <w:tcPr>
            <w:tcW w:w="932" w:type="pct"/>
            <w:shd w:val="clear" w:color="auto" w:fill="FFFFFF" w:themeFill="background1"/>
            <w:vAlign w:val="center"/>
          </w:tcPr>
          <w:p w14:paraId="335CF0F5">
            <w:pPr>
              <w:widowControl/>
              <w:spacing w:line="240" w:lineRule="auto"/>
              <w:ind w:firstLine="0" w:firstLineChars="0"/>
              <w:jc w:val="center"/>
              <w:rPr>
                <w:color w:val="auto"/>
                <w:kern w:val="0"/>
                <w:sz w:val="21"/>
                <w:szCs w:val="21"/>
              </w:rPr>
            </w:pPr>
            <w:r>
              <w:rPr>
                <w:color w:val="auto"/>
                <w:kern w:val="0"/>
                <w:sz w:val="21"/>
                <w:szCs w:val="21"/>
              </w:rPr>
              <w:t>18540-29-9</w:t>
            </w:r>
          </w:p>
        </w:tc>
        <w:tc>
          <w:tcPr>
            <w:tcW w:w="960" w:type="pct"/>
            <w:shd w:val="clear" w:color="auto" w:fill="FFFFFF" w:themeFill="background1"/>
            <w:vAlign w:val="center"/>
          </w:tcPr>
          <w:p w14:paraId="0F94BDC6">
            <w:pPr>
              <w:widowControl/>
              <w:spacing w:line="240" w:lineRule="auto"/>
              <w:ind w:firstLine="0" w:firstLineChars="0"/>
              <w:jc w:val="center"/>
              <w:rPr>
                <w:color w:val="auto"/>
                <w:kern w:val="0"/>
                <w:sz w:val="21"/>
                <w:szCs w:val="21"/>
              </w:rPr>
            </w:pPr>
            <w:r>
              <w:rPr>
                <w:color w:val="auto"/>
                <w:kern w:val="0"/>
                <w:sz w:val="21"/>
                <w:szCs w:val="21"/>
              </w:rPr>
              <w:t>5.7</w:t>
            </w:r>
          </w:p>
        </w:tc>
        <w:tc>
          <w:tcPr>
            <w:tcW w:w="1026" w:type="pct"/>
            <w:shd w:val="clear" w:color="auto" w:fill="FFFFFF" w:themeFill="background1"/>
            <w:vAlign w:val="center"/>
          </w:tcPr>
          <w:p w14:paraId="58411571">
            <w:pPr>
              <w:widowControl/>
              <w:spacing w:line="240" w:lineRule="auto"/>
              <w:ind w:firstLine="0" w:firstLineChars="0"/>
              <w:jc w:val="center"/>
              <w:rPr>
                <w:color w:val="auto"/>
                <w:kern w:val="0"/>
                <w:sz w:val="21"/>
                <w:szCs w:val="21"/>
              </w:rPr>
            </w:pPr>
            <w:r>
              <w:rPr>
                <w:rFonts w:hint="eastAsia"/>
                <w:color w:val="auto"/>
                <w:kern w:val="0"/>
                <w:sz w:val="21"/>
                <w:szCs w:val="21"/>
              </w:rPr>
              <w:t>78</w:t>
            </w:r>
          </w:p>
        </w:tc>
      </w:tr>
      <w:tr w14:paraId="09857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658CE781">
            <w:pPr>
              <w:widowControl/>
              <w:spacing w:line="240" w:lineRule="auto"/>
              <w:ind w:firstLine="0" w:firstLineChars="0"/>
              <w:jc w:val="center"/>
              <w:rPr>
                <w:color w:val="auto"/>
                <w:kern w:val="0"/>
                <w:sz w:val="21"/>
                <w:szCs w:val="21"/>
              </w:rPr>
            </w:pPr>
            <w:r>
              <w:rPr>
                <w:color w:val="auto"/>
                <w:kern w:val="0"/>
                <w:sz w:val="21"/>
                <w:szCs w:val="21"/>
              </w:rPr>
              <w:t>4</w:t>
            </w:r>
          </w:p>
        </w:tc>
        <w:tc>
          <w:tcPr>
            <w:tcW w:w="1588" w:type="pct"/>
            <w:shd w:val="clear" w:color="auto" w:fill="FFFFFF" w:themeFill="background1"/>
            <w:vAlign w:val="center"/>
          </w:tcPr>
          <w:p w14:paraId="699A28E9">
            <w:pPr>
              <w:widowControl/>
              <w:spacing w:line="240" w:lineRule="auto"/>
              <w:ind w:firstLine="0" w:firstLineChars="0"/>
              <w:jc w:val="center"/>
              <w:rPr>
                <w:color w:val="auto"/>
                <w:kern w:val="0"/>
                <w:sz w:val="21"/>
                <w:szCs w:val="21"/>
              </w:rPr>
            </w:pPr>
            <w:r>
              <w:rPr>
                <w:color w:val="auto"/>
                <w:kern w:val="0"/>
                <w:sz w:val="21"/>
                <w:szCs w:val="21"/>
              </w:rPr>
              <w:t>铜</w:t>
            </w:r>
          </w:p>
        </w:tc>
        <w:tc>
          <w:tcPr>
            <w:tcW w:w="932" w:type="pct"/>
            <w:shd w:val="clear" w:color="auto" w:fill="FFFFFF" w:themeFill="background1"/>
            <w:vAlign w:val="center"/>
          </w:tcPr>
          <w:p w14:paraId="5A2065CF">
            <w:pPr>
              <w:widowControl/>
              <w:spacing w:line="240" w:lineRule="auto"/>
              <w:ind w:firstLine="0" w:firstLineChars="0"/>
              <w:jc w:val="center"/>
              <w:rPr>
                <w:color w:val="auto"/>
                <w:kern w:val="0"/>
                <w:sz w:val="21"/>
                <w:szCs w:val="21"/>
              </w:rPr>
            </w:pPr>
            <w:r>
              <w:rPr>
                <w:color w:val="auto"/>
                <w:kern w:val="0"/>
                <w:sz w:val="21"/>
                <w:szCs w:val="21"/>
              </w:rPr>
              <w:t>7440-50-8</w:t>
            </w:r>
          </w:p>
        </w:tc>
        <w:tc>
          <w:tcPr>
            <w:tcW w:w="960" w:type="pct"/>
            <w:shd w:val="clear" w:color="auto" w:fill="FFFFFF" w:themeFill="background1"/>
            <w:vAlign w:val="center"/>
          </w:tcPr>
          <w:p w14:paraId="27EE9702">
            <w:pPr>
              <w:widowControl/>
              <w:spacing w:line="240" w:lineRule="auto"/>
              <w:ind w:firstLine="0" w:firstLineChars="0"/>
              <w:jc w:val="center"/>
              <w:rPr>
                <w:color w:val="auto"/>
                <w:kern w:val="0"/>
                <w:sz w:val="21"/>
                <w:szCs w:val="21"/>
              </w:rPr>
            </w:pPr>
            <w:r>
              <w:rPr>
                <w:color w:val="auto"/>
                <w:kern w:val="0"/>
                <w:sz w:val="21"/>
                <w:szCs w:val="21"/>
              </w:rPr>
              <w:t>18000</w:t>
            </w:r>
          </w:p>
        </w:tc>
        <w:tc>
          <w:tcPr>
            <w:tcW w:w="1026" w:type="pct"/>
            <w:shd w:val="clear" w:color="auto" w:fill="FFFFFF" w:themeFill="background1"/>
            <w:vAlign w:val="center"/>
          </w:tcPr>
          <w:p w14:paraId="0723F548">
            <w:pPr>
              <w:widowControl/>
              <w:spacing w:line="240" w:lineRule="auto"/>
              <w:ind w:firstLine="0" w:firstLineChars="0"/>
              <w:jc w:val="center"/>
              <w:rPr>
                <w:color w:val="auto"/>
                <w:kern w:val="0"/>
                <w:sz w:val="21"/>
                <w:szCs w:val="21"/>
              </w:rPr>
            </w:pPr>
            <w:r>
              <w:rPr>
                <w:rFonts w:hint="eastAsia"/>
                <w:color w:val="auto"/>
                <w:kern w:val="0"/>
                <w:sz w:val="21"/>
                <w:szCs w:val="21"/>
              </w:rPr>
              <w:t>36000</w:t>
            </w:r>
          </w:p>
        </w:tc>
      </w:tr>
      <w:tr w14:paraId="77D54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6154FEA7">
            <w:pPr>
              <w:widowControl/>
              <w:spacing w:line="240" w:lineRule="auto"/>
              <w:ind w:firstLine="0" w:firstLineChars="0"/>
              <w:jc w:val="center"/>
              <w:rPr>
                <w:color w:val="auto"/>
                <w:kern w:val="0"/>
                <w:sz w:val="21"/>
                <w:szCs w:val="21"/>
              </w:rPr>
            </w:pPr>
            <w:r>
              <w:rPr>
                <w:color w:val="auto"/>
                <w:kern w:val="0"/>
                <w:sz w:val="21"/>
                <w:szCs w:val="21"/>
              </w:rPr>
              <w:t>5</w:t>
            </w:r>
          </w:p>
        </w:tc>
        <w:tc>
          <w:tcPr>
            <w:tcW w:w="1588" w:type="pct"/>
            <w:shd w:val="clear" w:color="auto" w:fill="FFFFFF" w:themeFill="background1"/>
            <w:vAlign w:val="center"/>
          </w:tcPr>
          <w:p w14:paraId="14BA2A2E">
            <w:pPr>
              <w:widowControl/>
              <w:spacing w:line="240" w:lineRule="auto"/>
              <w:ind w:firstLine="0" w:firstLineChars="0"/>
              <w:jc w:val="center"/>
              <w:rPr>
                <w:color w:val="auto"/>
                <w:kern w:val="0"/>
                <w:sz w:val="21"/>
                <w:szCs w:val="21"/>
              </w:rPr>
            </w:pPr>
            <w:r>
              <w:rPr>
                <w:color w:val="auto"/>
                <w:kern w:val="0"/>
                <w:sz w:val="21"/>
                <w:szCs w:val="21"/>
              </w:rPr>
              <w:t>铅</w:t>
            </w:r>
          </w:p>
        </w:tc>
        <w:tc>
          <w:tcPr>
            <w:tcW w:w="932" w:type="pct"/>
            <w:shd w:val="clear" w:color="auto" w:fill="FFFFFF" w:themeFill="background1"/>
            <w:vAlign w:val="center"/>
          </w:tcPr>
          <w:p w14:paraId="44F0F490">
            <w:pPr>
              <w:widowControl/>
              <w:spacing w:line="240" w:lineRule="auto"/>
              <w:ind w:firstLine="0" w:firstLineChars="0"/>
              <w:jc w:val="center"/>
              <w:rPr>
                <w:color w:val="auto"/>
                <w:kern w:val="0"/>
                <w:sz w:val="21"/>
                <w:szCs w:val="21"/>
              </w:rPr>
            </w:pPr>
            <w:r>
              <w:rPr>
                <w:color w:val="auto"/>
                <w:kern w:val="0"/>
                <w:sz w:val="21"/>
                <w:szCs w:val="21"/>
              </w:rPr>
              <w:t>7439-92-1</w:t>
            </w:r>
          </w:p>
        </w:tc>
        <w:tc>
          <w:tcPr>
            <w:tcW w:w="960" w:type="pct"/>
            <w:shd w:val="clear" w:color="auto" w:fill="FFFFFF" w:themeFill="background1"/>
            <w:vAlign w:val="center"/>
          </w:tcPr>
          <w:p w14:paraId="6AE30796">
            <w:pPr>
              <w:widowControl/>
              <w:spacing w:line="240" w:lineRule="auto"/>
              <w:ind w:firstLine="0" w:firstLineChars="0"/>
              <w:jc w:val="center"/>
              <w:rPr>
                <w:color w:val="auto"/>
                <w:kern w:val="0"/>
                <w:sz w:val="21"/>
                <w:szCs w:val="21"/>
              </w:rPr>
            </w:pPr>
            <w:r>
              <w:rPr>
                <w:color w:val="auto"/>
                <w:kern w:val="0"/>
                <w:sz w:val="21"/>
                <w:szCs w:val="21"/>
              </w:rPr>
              <w:t>800</w:t>
            </w:r>
          </w:p>
        </w:tc>
        <w:tc>
          <w:tcPr>
            <w:tcW w:w="1026" w:type="pct"/>
            <w:shd w:val="clear" w:color="auto" w:fill="FFFFFF" w:themeFill="background1"/>
            <w:vAlign w:val="center"/>
          </w:tcPr>
          <w:p w14:paraId="22A6E614">
            <w:pPr>
              <w:widowControl/>
              <w:spacing w:line="240" w:lineRule="auto"/>
              <w:ind w:firstLine="0" w:firstLineChars="0"/>
              <w:jc w:val="center"/>
              <w:rPr>
                <w:color w:val="auto"/>
                <w:kern w:val="0"/>
                <w:sz w:val="21"/>
                <w:szCs w:val="21"/>
              </w:rPr>
            </w:pPr>
            <w:r>
              <w:rPr>
                <w:rFonts w:hint="eastAsia"/>
                <w:color w:val="auto"/>
                <w:kern w:val="0"/>
                <w:sz w:val="21"/>
                <w:szCs w:val="21"/>
              </w:rPr>
              <w:t>2500</w:t>
            </w:r>
          </w:p>
        </w:tc>
      </w:tr>
      <w:tr w14:paraId="56A62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4BEAC1A4">
            <w:pPr>
              <w:widowControl/>
              <w:spacing w:line="240" w:lineRule="auto"/>
              <w:ind w:firstLine="0" w:firstLineChars="0"/>
              <w:jc w:val="center"/>
              <w:rPr>
                <w:color w:val="auto"/>
                <w:kern w:val="0"/>
                <w:sz w:val="21"/>
                <w:szCs w:val="21"/>
              </w:rPr>
            </w:pPr>
            <w:r>
              <w:rPr>
                <w:color w:val="auto"/>
                <w:kern w:val="0"/>
                <w:sz w:val="21"/>
                <w:szCs w:val="21"/>
              </w:rPr>
              <w:t>6</w:t>
            </w:r>
          </w:p>
        </w:tc>
        <w:tc>
          <w:tcPr>
            <w:tcW w:w="1588" w:type="pct"/>
            <w:shd w:val="clear" w:color="auto" w:fill="FFFFFF" w:themeFill="background1"/>
            <w:vAlign w:val="center"/>
          </w:tcPr>
          <w:p w14:paraId="08139C67">
            <w:pPr>
              <w:widowControl/>
              <w:spacing w:line="240" w:lineRule="auto"/>
              <w:ind w:firstLine="0" w:firstLineChars="0"/>
              <w:jc w:val="center"/>
              <w:rPr>
                <w:color w:val="auto"/>
                <w:kern w:val="0"/>
                <w:sz w:val="21"/>
                <w:szCs w:val="21"/>
              </w:rPr>
            </w:pPr>
            <w:r>
              <w:rPr>
                <w:color w:val="auto"/>
                <w:kern w:val="0"/>
                <w:sz w:val="21"/>
                <w:szCs w:val="21"/>
              </w:rPr>
              <w:t>汞</w:t>
            </w:r>
          </w:p>
        </w:tc>
        <w:tc>
          <w:tcPr>
            <w:tcW w:w="932" w:type="pct"/>
            <w:shd w:val="clear" w:color="auto" w:fill="FFFFFF" w:themeFill="background1"/>
            <w:vAlign w:val="center"/>
          </w:tcPr>
          <w:p w14:paraId="7363DD80">
            <w:pPr>
              <w:widowControl/>
              <w:spacing w:line="240" w:lineRule="auto"/>
              <w:ind w:firstLine="0" w:firstLineChars="0"/>
              <w:jc w:val="center"/>
              <w:rPr>
                <w:color w:val="auto"/>
                <w:kern w:val="0"/>
                <w:sz w:val="21"/>
                <w:szCs w:val="21"/>
              </w:rPr>
            </w:pPr>
            <w:r>
              <w:rPr>
                <w:color w:val="auto"/>
                <w:kern w:val="0"/>
                <w:sz w:val="21"/>
                <w:szCs w:val="21"/>
              </w:rPr>
              <w:t>7439-97-6</w:t>
            </w:r>
          </w:p>
        </w:tc>
        <w:tc>
          <w:tcPr>
            <w:tcW w:w="960" w:type="pct"/>
            <w:shd w:val="clear" w:color="auto" w:fill="FFFFFF" w:themeFill="background1"/>
            <w:vAlign w:val="center"/>
          </w:tcPr>
          <w:p w14:paraId="59357FA5">
            <w:pPr>
              <w:widowControl/>
              <w:spacing w:line="240" w:lineRule="auto"/>
              <w:ind w:firstLine="0" w:firstLineChars="0"/>
              <w:jc w:val="center"/>
              <w:rPr>
                <w:color w:val="auto"/>
                <w:kern w:val="0"/>
                <w:sz w:val="21"/>
                <w:szCs w:val="21"/>
              </w:rPr>
            </w:pPr>
            <w:r>
              <w:rPr>
                <w:color w:val="auto"/>
                <w:kern w:val="0"/>
                <w:sz w:val="21"/>
                <w:szCs w:val="21"/>
              </w:rPr>
              <w:t>38</w:t>
            </w:r>
          </w:p>
        </w:tc>
        <w:tc>
          <w:tcPr>
            <w:tcW w:w="1026" w:type="pct"/>
            <w:shd w:val="clear" w:color="auto" w:fill="FFFFFF" w:themeFill="background1"/>
            <w:vAlign w:val="center"/>
          </w:tcPr>
          <w:p w14:paraId="746EB86D">
            <w:pPr>
              <w:widowControl/>
              <w:spacing w:line="240" w:lineRule="auto"/>
              <w:ind w:firstLine="0" w:firstLineChars="0"/>
              <w:jc w:val="center"/>
              <w:rPr>
                <w:color w:val="auto"/>
                <w:kern w:val="0"/>
                <w:sz w:val="21"/>
                <w:szCs w:val="21"/>
              </w:rPr>
            </w:pPr>
            <w:r>
              <w:rPr>
                <w:rFonts w:hint="eastAsia"/>
                <w:color w:val="auto"/>
                <w:kern w:val="0"/>
                <w:sz w:val="21"/>
                <w:szCs w:val="21"/>
              </w:rPr>
              <w:t>82</w:t>
            </w:r>
          </w:p>
        </w:tc>
      </w:tr>
      <w:tr w14:paraId="70C5C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3EF8D180">
            <w:pPr>
              <w:widowControl/>
              <w:spacing w:line="240" w:lineRule="auto"/>
              <w:ind w:firstLine="0" w:firstLineChars="0"/>
              <w:jc w:val="center"/>
              <w:rPr>
                <w:color w:val="auto"/>
                <w:kern w:val="0"/>
                <w:sz w:val="21"/>
                <w:szCs w:val="21"/>
              </w:rPr>
            </w:pPr>
            <w:r>
              <w:rPr>
                <w:color w:val="auto"/>
                <w:kern w:val="0"/>
                <w:sz w:val="21"/>
                <w:szCs w:val="21"/>
              </w:rPr>
              <w:t>7</w:t>
            </w:r>
          </w:p>
        </w:tc>
        <w:tc>
          <w:tcPr>
            <w:tcW w:w="1588" w:type="pct"/>
            <w:shd w:val="clear" w:color="auto" w:fill="FFFFFF" w:themeFill="background1"/>
            <w:vAlign w:val="center"/>
          </w:tcPr>
          <w:p w14:paraId="6A89F1F7">
            <w:pPr>
              <w:widowControl/>
              <w:spacing w:line="240" w:lineRule="auto"/>
              <w:ind w:firstLine="0" w:firstLineChars="0"/>
              <w:jc w:val="center"/>
              <w:rPr>
                <w:color w:val="auto"/>
                <w:kern w:val="0"/>
                <w:sz w:val="21"/>
                <w:szCs w:val="21"/>
              </w:rPr>
            </w:pPr>
            <w:r>
              <w:rPr>
                <w:color w:val="auto"/>
                <w:kern w:val="0"/>
                <w:sz w:val="21"/>
                <w:szCs w:val="21"/>
              </w:rPr>
              <w:t>镍</w:t>
            </w:r>
          </w:p>
        </w:tc>
        <w:tc>
          <w:tcPr>
            <w:tcW w:w="932" w:type="pct"/>
            <w:shd w:val="clear" w:color="auto" w:fill="FFFFFF" w:themeFill="background1"/>
            <w:vAlign w:val="center"/>
          </w:tcPr>
          <w:p w14:paraId="49148219">
            <w:pPr>
              <w:widowControl/>
              <w:spacing w:line="240" w:lineRule="auto"/>
              <w:ind w:firstLine="0" w:firstLineChars="0"/>
              <w:jc w:val="center"/>
              <w:rPr>
                <w:color w:val="auto"/>
                <w:kern w:val="0"/>
                <w:sz w:val="21"/>
                <w:szCs w:val="21"/>
              </w:rPr>
            </w:pPr>
            <w:r>
              <w:rPr>
                <w:color w:val="auto"/>
                <w:kern w:val="0"/>
                <w:sz w:val="21"/>
                <w:szCs w:val="21"/>
              </w:rPr>
              <w:t>7440-02-0</w:t>
            </w:r>
          </w:p>
        </w:tc>
        <w:tc>
          <w:tcPr>
            <w:tcW w:w="960" w:type="pct"/>
            <w:shd w:val="clear" w:color="auto" w:fill="FFFFFF" w:themeFill="background1"/>
            <w:vAlign w:val="center"/>
          </w:tcPr>
          <w:p w14:paraId="32CFCC1B">
            <w:pPr>
              <w:widowControl/>
              <w:spacing w:line="240" w:lineRule="auto"/>
              <w:ind w:firstLine="0" w:firstLineChars="0"/>
              <w:jc w:val="center"/>
              <w:rPr>
                <w:color w:val="auto"/>
                <w:kern w:val="0"/>
                <w:sz w:val="21"/>
                <w:szCs w:val="21"/>
              </w:rPr>
            </w:pPr>
            <w:r>
              <w:rPr>
                <w:color w:val="auto"/>
                <w:kern w:val="0"/>
                <w:sz w:val="21"/>
                <w:szCs w:val="21"/>
              </w:rPr>
              <w:t>900</w:t>
            </w:r>
          </w:p>
        </w:tc>
        <w:tc>
          <w:tcPr>
            <w:tcW w:w="1026" w:type="pct"/>
            <w:shd w:val="clear" w:color="auto" w:fill="FFFFFF" w:themeFill="background1"/>
            <w:vAlign w:val="center"/>
          </w:tcPr>
          <w:p w14:paraId="68D5E52C">
            <w:pPr>
              <w:widowControl/>
              <w:spacing w:line="240" w:lineRule="auto"/>
              <w:ind w:firstLine="0" w:firstLineChars="0"/>
              <w:jc w:val="center"/>
              <w:rPr>
                <w:color w:val="auto"/>
                <w:kern w:val="0"/>
                <w:sz w:val="21"/>
                <w:szCs w:val="21"/>
              </w:rPr>
            </w:pPr>
            <w:r>
              <w:rPr>
                <w:rFonts w:hint="eastAsia"/>
                <w:color w:val="auto"/>
                <w:kern w:val="0"/>
                <w:sz w:val="21"/>
                <w:szCs w:val="21"/>
              </w:rPr>
              <w:t>2000</w:t>
            </w:r>
          </w:p>
        </w:tc>
      </w:tr>
      <w:tr w14:paraId="522FE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shd w:val="clear" w:color="auto" w:fill="FFFFFF" w:themeFill="background1"/>
            <w:vAlign w:val="center"/>
          </w:tcPr>
          <w:p w14:paraId="6D6837C1">
            <w:pPr>
              <w:widowControl/>
              <w:spacing w:line="240" w:lineRule="auto"/>
              <w:ind w:firstLine="0" w:firstLineChars="0"/>
              <w:jc w:val="center"/>
              <w:rPr>
                <w:color w:val="auto"/>
                <w:kern w:val="0"/>
                <w:sz w:val="21"/>
                <w:szCs w:val="21"/>
              </w:rPr>
            </w:pPr>
            <w:r>
              <w:rPr>
                <w:color w:val="auto"/>
                <w:kern w:val="0"/>
                <w:sz w:val="21"/>
                <w:szCs w:val="21"/>
              </w:rPr>
              <w:t>挥发性有机物</w:t>
            </w:r>
          </w:p>
        </w:tc>
      </w:tr>
      <w:tr w14:paraId="3D713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2B8A0F4">
            <w:pPr>
              <w:widowControl/>
              <w:spacing w:line="240" w:lineRule="auto"/>
              <w:ind w:firstLine="0" w:firstLineChars="0"/>
              <w:jc w:val="center"/>
              <w:rPr>
                <w:color w:val="auto"/>
                <w:kern w:val="0"/>
                <w:sz w:val="21"/>
                <w:szCs w:val="21"/>
              </w:rPr>
            </w:pPr>
            <w:r>
              <w:rPr>
                <w:color w:val="auto"/>
                <w:kern w:val="0"/>
                <w:sz w:val="21"/>
                <w:szCs w:val="21"/>
              </w:rPr>
              <w:t>8</w:t>
            </w:r>
          </w:p>
        </w:tc>
        <w:tc>
          <w:tcPr>
            <w:tcW w:w="1588" w:type="pct"/>
            <w:shd w:val="clear" w:color="auto" w:fill="FFFFFF" w:themeFill="background1"/>
            <w:vAlign w:val="center"/>
          </w:tcPr>
          <w:p w14:paraId="50035CFF">
            <w:pPr>
              <w:widowControl/>
              <w:spacing w:line="240" w:lineRule="auto"/>
              <w:ind w:firstLine="0" w:firstLineChars="0"/>
              <w:jc w:val="center"/>
              <w:rPr>
                <w:color w:val="auto"/>
                <w:kern w:val="0"/>
                <w:sz w:val="21"/>
                <w:szCs w:val="21"/>
              </w:rPr>
            </w:pPr>
            <w:r>
              <w:rPr>
                <w:color w:val="auto"/>
                <w:kern w:val="0"/>
                <w:sz w:val="21"/>
                <w:szCs w:val="21"/>
              </w:rPr>
              <w:t>四氯化碳</w:t>
            </w:r>
          </w:p>
        </w:tc>
        <w:tc>
          <w:tcPr>
            <w:tcW w:w="932" w:type="pct"/>
            <w:shd w:val="clear" w:color="auto" w:fill="FFFFFF" w:themeFill="background1"/>
            <w:vAlign w:val="center"/>
          </w:tcPr>
          <w:p w14:paraId="2C1390DC">
            <w:pPr>
              <w:widowControl/>
              <w:spacing w:line="240" w:lineRule="auto"/>
              <w:ind w:firstLine="0" w:firstLineChars="0"/>
              <w:jc w:val="center"/>
              <w:rPr>
                <w:color w:val="auto"/>
                <w:kern w:val="0"/>
                <w:sz w:val="21"/>
                <w:szCs w:val="21"/>
              </w:rPr>
            </w:pPr>
            <w:r>
              <w:rPr>
                <w:color w:val="auto"/>
                <w:kern w:val="0"/>
                <w:sz w:val="21"/>
                <w:szCs w:val="21"/>
              </w:rPr>
              <w:t>56-23-5</w:t>
            </w:r>
          </w:p>
        </w:tc>
        <w:tc>
          <w:tcPr>
            <w:tcW w:w="960" w:type="pct"/>
            <w:shd w:val="clear" w:color="auto" w:fill="FFFFFF" w:themeFill="background1"/>
            <w:vAlign w:val="center"/>
          </w:tcPr>
          <w:p w14:paraId="05A902D2">
            <w:pPr>
              <w:widowControl/>
              <w:spacing w:line="240" w:lineRule="auto"/>
              <w:ind w:firstLine="0" w:firstLineChars="0"/>
              <w:jc w:val="center"/>
              <w:rPr>
                <w:color w:val="auto"/>
                <w:kern w:val="0"/>
                <w:sz w:val="21"/>
                <w:szCs w:val="21"/>
              </w:rPr>
            </w:pPr>
            <w:r>
              <w:rPr>
                <w:color w:val="auto"/>
                <w:kern w:val="0"/>
                <w:sz w:val="21"/>
                <w:szCs w:val="21"/>
              </w:rPr>
              <w:t>2.8</w:t>
            </w:r>
          </w:p>
        </w:tc>
        <w:tc>
          <w:tcPr>
            <w:tcW w:w="1026" w:type="pct"/>
            <w:shd w:val="clear" w:color="auto" w:fill="FFFFFF" w:themeFill="background1"/>
            <w:vAlign w:val="center"/>
          </w:tcPr>
          <w:p w14:paraId="3FDDDCEC">
            <w:pPr>
              <w:widowControl/>
              <w:spacing w:line="240" w:lineRule="auto"/>
              <w:ind w:firstLine="0" w:firstLineChars="0"/>
              <w:jc w:val="center"/>
              <w:rPr>
                <w:color w:val="auto"/>
                <w:kern w:val="0"/>
                <w:sz w:val="21"/>
                <w:szCs w:val="21"/>
              </w:rPr>
            </w:pPr>
            <w:r>
              <w:rPr>
                <w:rFonts w:hint="eastAsia"/>
                <w:color w:val="auto"/>
                <w:kern w:val="0"/>
                <w:sz w:val="21"/>
                <w:szCs w:val="21"/>
              </w:rPr>
              <w:t>36</w:t>
            </w:r>
          </w:p>
        </w:tc>
      </w:tr>
      <w:tr w14:paraId="2C1B1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3A76D8AB">
            <w:pPr>
              <w:widowControl/>
              <w:spacing w:line="240" w:lineRule="auto"/>
              <w:ind w:firstLine="0" w:firstLineChars="0"/>
              <w:jc w:val="center"/>
              <w:rPr>
                <w:color w:val="auto"/>
                <w:kern w:val="0"/>
                <w:sz w:val="21"/>
                <w:szCs w:val="21"/>
              </w:rPr>
            </w:pPr>
            <w:r>
              <w:rPr>
                <w:color w:val="auto"/>
                <w:kern w:val="0"/>
                <w:sz w:val="21"/>
                <w:szCs w:val="21"/>
              </w:rPr>
              <w:t>9</w:t>
            </w:r>
          </w:p>
        </w:tc>
        <w:tc>
          <w:tcPr>
            <w:tcW w:w="1588" w:type="pct"/>
            <w:shd w:val="clear" w:color="auto" w:fill="FFFFFF" w:themeFill="background1"/>
            <w:vAlign w:val="center"/>
          </w:tcPr>
          <w:p w14:paraId="7C62E080">
            <w:pPr>
              <w:widowControl/>
              <w:spacing w:line="240" w:lineRule="auto"/>
              <w:ind w:firstLine="0" w:firstLineChars="0"/>
              <w:jc w:val="center"/>
              <w:rPr>
                <w:color w:val="auto"/>
                <w:kern w:val="0"/>
                <w:sz w:val="21"/>
                <w:szCs w:val="21"/>
              </w:rPr>
            </w:pPr>
            <w:r>
              <w:rPr>
                <w:color w:val="auto"/>
                <w:kern w:val="0"/>
                <w:sz w:val="21"/>
                <w:szCs w:val="21"/>
              </w:rPr>
              <w:t>氯仿</w:t>
            </w:r>
          </w:p>
        </w:tc>
        <w:tc>
          <w:tcPr>
            <w:tcW w:w="932" w:type="pct"/>
            <w:shd w:val="clear" w:color="auto" w:fill="FFFFFF" w:themeFill="background1"/>
            <w:vAlign w:val="center"/>
          </w:tcPr>
          <w:p w14:paraId="784B7A2B">
            <w:pPr>
              <w:widowControl/>
              <w:spacing w:line="240" w:lineRule="auto"/>
              <w:ind w:firstLine="0" w:firstLineChars="0"/>
              <w:jc w:val="center"/>
              <w:rPr>
                <w:color w:val="auto"/>
                <w:kern w:val="0"/>
                <w:sz w:val="21"/>
                <w:szCs w:val="21"/>
              </w:rPr>
            </w:pPr>
            <w:r>
              <w:rPr>
                <w:color w:val="auto"/>
                <w:kern w:val="0"/>
                <w:sz w:val="21"/>
                <w:szCs w:val="21"/>
              </w:rPr>
              <w:t>67-66-3</w:t>
            </w:r>
          </w:p>
        </w:tc>
        <w:tc>
          <w:tcPr>
            <w:tcW w:w="960" w:type="pct"/>
            <w:shd w:val="clear" w:color="auto" w:fill="FFFFFF" w:themeFill="background1"/>
            <w:vAlign w:val="center"/>
          </w:tcPr>
          <w:p w14:paraId="029AC494">
            <w:pPr>
              <w:widowControl/>
              <w:spacing w:line="240" w:lineRule="auto"/>
              <w:ind w:firstLine="0" w:firstLineChars="0"/>
              <w:jc w:val="center"/>
              <w:rPr>
                <w:color w:val="auto"/>
                <w:kern w:val="0"/>
                <w:sz w:val="21"/>
                <w:szCs w:val="21"/>
              </w:rPr>
            </w:pPr>
            <w:r>
              <w:rPr>
                <w:color w:val="auto"/>
                <w:kern w:val="0"/>
                <w:sz w:val="21"/>
                <w:szCs w:val="21"/>
              </w:rPr>
              <w:t>0.9</w:t>
            </w:r>
          </w:p>
        </w:tc>
        <w:tc>
          <w:tcPr>
            <w:tcW w:w="1026" w:type="pct"/>
            <w:shd w:val="clear" w:color="auto" w:fill="FFFFFF" w:themeFill="background1"/>
            <w:vAlign w:val="center"/>
          </w:tcPr>
          <w:p w14:paraId="0674061C">
            <w:pPr>
              <w:widowControl/>
              <w:spacing w:line="240" w:lineRule="auto"/>
              <w:ind w:firstLine="0" w:firstLineChars="0"/>
              <w:jc w:val="center"/>
              <w:rPr>
                <w:color w:val="auto"/>
                <w:kern w:val="0"/>
                <w:sz w:val="21"/>
                <w:szCs w:val="21"/>
              </w:rPr>
            </w:pPr>
            <w:r>
              <w:rPr>
                <w:rFonts w:hint="eastAsia"/>
                <w:color w:val="auto"/>
                <w:kern w:val="0"/>
                <w:sz w:val="21"/>
                <w:szCs w:val="21"/>
              </w:rPr>
              <w:t>10</w:t>
            </w:r>
          </w:p>
        </w:tc>
      </w:tr>
      <w:tr w14:paraId="3678C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265A89A3">
            <w:pPr>
              <w:widowControl/>
              <w:spacing w:line="240" w:lineRule="auto"/>
              <w:ind w:firstLine="0" w:firstLineChars="0"/>
              <w:jc w:val="center"/>
              <w:rPr>
                <w:color w:val="auto"/>
                <w:kern w:val="0"/>
                <w:sz w:val="21"/>
                <w:szCs w:val="21"/>
              </w:rPr>
            </w:pPr>
            <w:r>
              <w:rPr>
                <w:color w:val="auto"/>
                <w:kern w:val="0"/>
                <w:sz w:val="21"/>
                <w:szCs w:val="21"/>
              </w:rPr>
              <w:t>10</w:t>
            </w:r>
          </w:p>
        </w:tc>
        <w:tc>
          <w:tcPr>
            <w:tcW w:w="1588" w:type="pct"/>
            <w:shd w:val="clear" w:color="auto" w:fill="FFFFFF" w:themeFill="background1"/>
            <w:vAlign w:val="center"/>
          </w:tcPr>
          <w:p w14:paraId="7A5EE92C">
            <w:pPr>
              <w:widowControl/>
              <w:spacing w:line="240" w:lineRule="auto"/>
              <w:ind w:firstLine="0" w:firstLineChars="0"/>
              <w:jc w:val="center"/>
              <w:rPr>
                <w:color w:val="auto"/>
                <w:kern w:val="0"/>
                <w:sz w:val="21"/>
                <w:szCs w:val="21"/>
              </w:rPr>
            </w:pPr>
            <w:r>
              <w:rPr>
                <w:color w:val="auto"/>
                <w:kern w:val="0"/>
                <w:sz w:val="21"/>
                <w:szCs w:val="21"/>
              </w:rPr>
              <w:t>氯甲烷</w:t>
            </w:r>
          </w:p>
        </w:tc>
        <w:tc>
          <w:tcPr>
            <w:tcW w:w="932" w:type="pct"/>
            <w:shd w:val="clear" w:color="auto" w:fill="FFFFFF" w:themeFill="background1"/>
            <w:vAlign w:val="center"/>
          </w:tcPr>
          <w:p w14:paraId="262432F6">
            <w:pPr>
              <w:widowControl/>
              <w:spacing w:line="240" w:lineRule="auto"/>
              <w:ind w:firstLine="0" w:firstLineChars="0"/>
              <w:jc w:val="center"/>
              <w:rPr>
                <w:color w:val="auto"/>
                <w:kern w:val="0"/>
                <w:sz w:val="21"/>
                <w:szCs w:val="21"/>
              </w:rPr>
            </w:pPr>
            <w:r>
              <w:rPr>
                <w:color w:val="auto"/>
                <w:kern w:val="0"/>
                <w:sz w:val="21"/>
                <w:szCs w:val="21"/>
              </w:rPr>
              <w:t>74-87-3</w:t>
            </w:r>
          </w:p>
        </w:tc>
        <w:tc>
          <w:tcPr>
            <w:tcW w:w="960" w:type="pct"/>
            <w:shd w:val="clear" w:color="auto" w:fill="FFFFFF" w:themeFill="background1"/>
            <w:vAlign w:val="center"/>
          </w:tcPr>
          <w:p w14:paraId="55C3CDE0">
            <w:pPr>
              <w:widowControl/>
              <w:spacing w:line="240" w:lineRule="auto"/>
              <w:ind w:firstLine="0" w:firstLineChars="0"/>
              <w:jc w:val="center"/>
              <w:rPr>
                <w:color w:val="auto"/>
                <w:kern w:val="0"/>
                <w:sz w:val="21"/>
                <w:szCs w:val="21"/>
              </w:rPr>
            </w:pPr>
            <w:r>
              <w:rPr>
                <w:color w:val="auto"/>
                <w:kern w:val="0"/>
                <w:sz w:val="21"/>
                <w:szCs w:val="21"/>
              </w:rPr>
              <w:t>37</w:t>
            </w:r>
          </w:p>
        </w:tc>
        <w:tc>
          <w:tcPr>
            <w:tcW w:w="1026" w:type="pct"/>
            <w:shd w:val="clear" w:color="auto" w:fill="FFFFFF" w:themeFill="background1"/>
            <w:vAlign w:val="center"/>
          </w:tcPr>
          <w:p w14:paraId="53BDE14A">
            <w:pPr>
              <w:widowControl/>
              <w:spacing w:line="240" w:lineRule="auto"/>
              <w:ind w:firstLine="0" w:firstLineChars="0"/>
              <w:jc w:val="center"/>
              <w:rPr>
                <w:color w:val="auto"/>
                <w:kern w:val="0"/>
                <w:sz w:val="21"/>
                <w:szCs w:val="21"/>
              </w:rPr>
            </w:pPr>
            <w:r>
              <w:rPr>
                <w:rFonts w:hint="eastAsia"/>
                <w:color w:val="auto"/>
                <w:kern w:val="0"/>
                <w:sz w:val="21"/>
                <w:szCs w:val="21"/>
              </w:rPr>
              <w:t>120</w:t>
            </w:r>
          </w:p>
        </w:tc>
      </w:tr>
      <w:tr w14:paraId="4D0D8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52B83552">
            <w:pPr>
              <w:widowControl/>
              <w:spacing w:line="240" w:lineRule="auto"/>
              <w:ind w:firstLine="0" w:firstLineChars="0"/>
              <w:jc w:val="center"/>
              <w:rPr>
                <w:color w:val="auto"/>
                <w:kern w:val="0"/>
                <w:sz w:val="21"/>
                <w:szCs w:val="21"/>
              </w:rPr>
            </w:pPr>
            <w:r>
              <w:rPr>
                <w:color w:val="auto"/>
                <w:kern w:val="0"/>
                <w:sz w:val="21"/>
                <w:szCs w:val="21"/>
              </w:rPr>
              <w:t>11</w:t>
            </w:r>
          </w:p>
        </w:tc>
        <w:tc>
          <w:tcPr>
            <w:tcW w:w="1588" w:type="pct"/>
            <w:shd w:val="clear" w:color="auto" w:fill="FFFFFF" w:themeFill="background1"/>
            <w:vAlign w:val="center"/>
          </w:tcPr>
          <w:p w14:paraId="7FE270C3">
            <w:pPr>
              <w:widowControl/>
              <w:spacing w:line="240" w:lineRule="auto"/>
              <w:ind w:firstLine="0" w:firstLineChars="0"/>
              <w:jc w:val="center"/>
              <w:rPr>
                <w:color w:val="auto"/>
                <w:kern w:val="0"/>
                <w:sz w:val="21"/>
                <w:szCs w:val="21"/>
              </w:rPr>
            </w:pPr>
            <w:r>
              <w:rPr>
                <w:color w:val="auto"/>
                <w:kern w:val="0"/>
                <w:sz w:val="21"/>
                <w:szCs w:val="21"/>
              </w:rPr>
              <w:t>1,1-二氯乙烷</w:t>
            </w:r>
          </w:p>
        </w:tc>
        <w:tc>
          <w:tcPr>
            <w:tcW w:w="932" w:type="pct"/>
            <w:shd w:val="clear" w:color="auto" w:fill="FFFFFF" w:themeFill="background1"/>
            <w:vAlign w:val="center"/>
          </w:tcPr>
          <w:p w14:paraId="2D0CF136">
            <w:pPr>
              <w:widowControl/>
              <w:spacing w:line="240" w:lineRule="auto"/>
              <w:ind w:firstLine="0" w:firstLineChars="0"/>
              <w:jc w:val="center"/>
              <w:rPr>
                <w:color w:val="auto"/>
                <w:kern w:val="0"/>
                <w:sz w:val="21"/>
                <w:szCs w:val="21"/>
              </w:rPr>
            </w:pPr>
            <w:r>
              <w:rPr>
                <w:color w:val="auto"/>
                <w:kern w:val="0"/>
                <w:sz w:val="21"/>
                <w:szCs w:val="21"/>
              </w:rPr>
              <w:t>75-34-3</w:t>
            </w:r>
          </w:p>
        </w:tc>
        <w:tc>
          <w:tcPr>
            <w:tcW w:w="960" w:type="pct"/>
            <w:shd w:val="clear" w:color="auto" w:fill="FFFFFF" w:themeFill="background1"/>
            <w:vAlign w:val="center"/>
          </w:tcPr>
          <w:p w14:paraId="648E6E92">
            <w:pPr>
              <w:widowControl/>
              <w:spacing w:line="240" w:lineRule="auto"/>
              <w:ind w:firstLine="0" w:firstLineChars="0"/>
              <w:jc w:val="center"/>
              <w:rPr>
                <w:color w:val="auto"/>
                <w:kern w:val="0"/>
                <w:sz w:val="21"/>
                <w:szCs w:val="21"/>
              </w:rPr>
            </w:pPr>
            <w:r>
              <w:rPr>
                <w:color w:val="auto"/>
                <w:kern w:val="0"/>
                <w:sz w:val="21"/>
                <w:szCs w:val="21"/>
              </w:rPr>
              <w:t>9</w:t>
            </w:r>
          </w:p>
        </w:tc>
        <w:tc>
          <w:tcPr>
            <w:tcW w:w="1026" w:type="pct"/>
            <w:shd w:val="clear" w:color="auto" w:fill="FFFFFF" w:themeFill="background1"/>
            <w:vAlign w:val="center"/>
          </w:tcPr>
          <w:p w14:paraId="4734BB98">
            <w:pPr>
              <w:widowControl/>
              <w:spacing w:line="240" w:lineRule="auto"/>
              <w:ind w:firstLine="0" w:firstLineChars="0"/>
              <w:jc w:val="center"/>
              <w:rPr>
                <w:color w:val="auto"/>
                <w:kern w:val="0"/>
                <w:sz w:val="21"/>
                <w:szCs w:val="21"/>
              </w:rPr>
            </w:pPr>
            <w:r>
              <w:rPr>
                <w:rFonts w:hint="eastAsia"/>
                <w:color w:val="auto"/>
                <w:kern w:val="0"/>
                <w:sz w:val="21"/>
                <w:szCs w:val="21"/>
              </w:rPr>
              <w:t>100</w:t>
            </w:r>
          </w:p>
        </w:tc>
      </w:tr>
      <w:tr w14:paraId="5B19B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AFDB0E7">
            <w:pPr>
              <w:widowControl/>
              <w:spacing w:line="240" w:lineRule="auto"/>
              <w:ind w:firstLine="0" w:firstLineChars="0"/>
              <w:jc w:val="center"/>
              <w:rPr>
                <w:color w:val="auto"/>
                <w:kern w:val="0"/>
                <w:sz w:val="21"/>
                <w:szCs w:val="21"/>
              </w:rPr>
            </w:pPr>
            <w:r>
              <w:rPr>
                <w:color w:val="auto"/>
                <w:kern w:val="0"/>
                <w:sz w:val="21"/>
                <w:szCs w:val="21"/>
              </w:rPr>
              <w:t>12</w:t>
            </w:r>
          </w:p>
        </w:tc>
        <w:tc>
          <w:tcPr>
            <w:tcW w:w="1588" w:type="pct"/>
            <w:shd w:val="clear" w:color="auto" w:fill="FFFFFF" w:themeFill="background1"/>
            <w:vAlign w:val="center"/>
          </w:tcPr>
          <w:p w14:paraId="117844FE">
            <w:pPr>
              <w:widowControl/>
              <w:spacing w:line="240" w:lineRule="auto"/>
              <w:ind w:firstLine="0" w:firstLineChars="0"/>
              <w:jc w:val="center"/>
              <w:rPr>
                <w:color w:val="auto"/>
                <w:kern w:val="0"/>
                <w:sz w:val="21"/>
                <w:szCs w:val="21"/>
              </w:rPr>
            </w:pPr>
            <w:r>
              <w:rPr>
                <w:color w:val="auto"/>
                <w:kern w:val="0"/>
                <w:sz w:val="21"/>
                <w:szCs w:val="21"/>
              </w:rPr>
              <w:t>1,2-二氯乙烷</w:t>
            </w:r>
          </w:p>
        </w:tc>
        <w:tc>
          <w:tcPr>
            <w:tcW w:w="932" w:type="pct"/>
            <w:shd w:val="clear" w:color="auto" w:fill="FFFFFF" w:themeFill="background1"/>
            <w:vAlign w:val="center"/>
          </w:tcPr>
          <w:p w14:paraId="4DFB8B28">
            <w:pPr>
              <w:widowControl/>
              <w:spacing w:line="240" w:lineRule="auto"/>
              <w:ind w:firstLine="0" w:firstLineChars="0"/>
              <w:jc w:val="center"/>
              <w:rPr>
                <w:color w:val="auto"/>
                <w:kern w:val="0"/>
                <w:sz w:val="21"/>
                <w:szCs w:val="21"/>
              </w:rPr>
            </w:pPr>
            <w:r>
              <w:rPr>
                <w:color w:val="auto"/>
                <w:kern w:val="0"/>
                <w:sz w:val="21"/>
                <w:szCs w:val="21"/>
              </w:rPr>
              <w:t>107-06-2</w:t>
            </w:r>
          </w:p>
        </w:tc>
        <w:tc>
          <w:tcPr>
            <w:tcW w:w="960" w:type="pct"/>
            <w:shd w:val="clear" w:color="auto" w:fill="FFFFFF" w:themeFill="background1"/>
            <w:vAlign w:val="center"/>
          </w:tcPr>
          <w:p w14:paraId="461650ED">
            <w:pPr>
              <w:widowControl/>
              <w:spacing w:line="240" w:lineRule="auto"/>
              <w:ind w:firstLine="0" w:firstLineChars="0"/>
              <w:jc w:val="center"/>
              <w:rPr>
                <w:color w:val="auto"/>
                <w:kern w:val="0"/>
                <w:sz w:val="21"/>
                <w:szCs w:val="21"/>
              </w:rPr>
            </w:pPr>
            <w:r>
              <w:rPr>
                <w:color w:val="auto"/>
                <w:kern w:val="0"/>
                <w:sz w:val="21"/>
                <w:szCs w:val="21"/>
              </w:rPr>
              <w:t>5</w:t>
            </w:r>
          </w:p>
        </w:tc>
        <w:tc>
          <w:tcPr>
            <w:tcW w:w="1026" w:type="pct"/>
            <w:shd w:val="clear" w:color="auto" w:fill="FFFFFF" w:themeFill="background1"/>
            <w:vAlign w:val="center"/>
          </w:tcPr>
          <w:p w14:paraId="612B744E">
            <w:pPr>
              <w:widowControl/>
              <w:spacing w:line="240" w:lineRule="auto"/>
              <w:ind w:firstLine="0" w:firstLineChars="0"/>
              <w:jc w:val="center"/>
              <w:rPr>
                <w:color w:val="auto"/>
                <w:kern w:val="0"/>
                <w:sz w:val="21"/>
                <w:szCs w:val="21"/>
              </w:rPr>
            </w:pPr>
            <w:r>
              <w:rPr>
                <w:rFonts w:hint="eastAsia"/>
                <w:color w:val="auto"/>
                <w:kern w:val="0"/>
                <w:sz w:val="21"/>
                <w:szCs w:val="21"/>
              </w:rPr>
              <w:t>21</w:t>
            </w:r>
          </w:p>
        </w:tc>
      </w:tr>
      <w:tr w14:paraId="0DA1A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04893706">
            <w:pPr>
              <w:widowControl/>
              <w:spacing w:line="240" w:lineRule="auto"/>
              <w:ind w:firstLine="0" w:firstLineChars="0"/>
              <w:jc w:val="center"/>
              <w:rPr>
                <w:color w:val="auto"/>
                <w:kern w:val="0"/>
                <w:sz w:val="21"/>
                <w:szCs w:val="21"/>
              </w:rPr>
            </w:pPr>
            <w:r>
              <w:rPr>
                <w:color w:val="auto"/>
                <w:kern w:val="0"/>
                <w:sz w:val="21"/>
                <w:szCs w:val="21"/>
              </w:rPr>
              <w:t>13</w:t>
            </w:r>
          </w:p>
        </w:tc>
        <w:tc>
          <w:tcPr>
            <w:tcW w:w="1588" w:type="pct"/>
            <w:shd w:val="clear" w:color="auto" w:fill="FFFFFF" w:themeFill="background1"/>
            <w:vAlign w:val="center"/>
          </w:tcPr>
          <w:p w14:paraId="1F108286">
            <w:pPr>
              <w:widowControl/>
              <w:spacing w:line="240" w:lineRule="auto"/>
              <w:ind w:firstLine="0" w:firstLineChars="0"/>
              <w:jc w:val="center"/>
              <w:rPr>
                <w:color w:val="auto"/>
                <w:kern w:val="0"/>
                <w:sz w:val="21"/>
                <w:szCs w:val="21"/>
              </w:rPr>
            </w:pPr>
            <w:r>
              <w:rPr>
                <w:color w:val="auto"/>
                <w:kern w:val="0"/>
                <w:sz w:val="21"/>
                <w:szCs w:val="21"/>
              </w:rPr>
              <w:t>1,1-二氯乙烯</w:t>
            </w:r>
          </w:p>
        </w:tc>
        <w:tc>
          <w:tcPr>
            <w:tcW w:w="932" w:type="pct"/>
            <w:shd w:val="clear" w:color="auto" w:fill="FFFFFF" w:themeFill="background1"/>
            <w:vAlign w:val="center"/>
          </w:tcPr>
          <w:p w14:paraId="576C2200">
            <w:pPr>
              <w:widowControl/>
              <w:spacing w:line="240" w:lineRule="auto"/>
              <w:ind w:firstLine="0" w:firstLineChars="0"/>
              <w:jc w:val="center"/>
              <w:rPr>
                <w:color w:val="auto"/>
                <w:kern w:val="0"/>
                <w:sz w:val="21"/>
                <w:szCs w:val="21"/>
              </w:rPr>
            </w:pPr>
            <w:r>
              <w:rPr>
                <w:color w:val="auto"/>
                <w:kern w:val="0"/>
                <w:sz w:val="21"/>
                <w:szCs w:val="21"/>
              </w:rPr>
              <w:t>75-35-4</w:t>
            </w:r>
          </w:p>
        </w:tc>
        <w:tc>
          <w:tcPr>
            <w:tcW w:w="960" w:type="pct"/>
            <w:shd w:val="clear" w:color="auto" w:fill="FFFFFF" w:themeFill="background1"/>
            <w:vAlign w:val="center"/>
          </w:tcPr>
          <w:p w14:paraId="6A61333D">
            <w:pPr>
              <w:widowControl/>
              <w:spacing w:line="240" w:lineRule="auto"/>
              <w:ind w:firstLine="0" w:firstLineChars="0"/>
              <w:jc w:val="center"/>
              <w:rPr>
                <w:color w:val="auto"/>
                <w:kern w:val="0"/>
                <w:sz w:val="21"/>
                <w:szCs w:val="21"/>
              </w:rPr>
            </w:pPr>
            <w:r>
              <w:rPr>
                <w:color w:val="auto"/>
                <w:kern w:val="0"/>
                <w:sz w:val="21"/>
                <w:szCs w:val="21"/>
              </w:rPr>
              <w:t>66</w:t>
            </w:r>
          </w:p>
        </w:tc>
        <w:tc>
          <w:tcPr>
            <w:tcW w:w="1026" w:type="pct"/>
            <w:shd w:val="clear" w:color="auto" w:fill="FFFFFF" w:themeFill="background1"/>
            <w:vAlign w:val="center"/>
          </w:tcPr>
          <w:p w14:paraId="2DF791D0">
            <w:pPr>
              <w:widowControl/>
              <w:spacing w:line="240" w:lineRule="auto"/>
              <w:ind w:firstLine="0" w:firstLineChars="0"/>
              <w:jc w:val="center"/>
              <w:rPr>
                <w:color w:val="auto"/>
                <w:kern w:val="0"/>
                <w:sz w:val="21"/>
                <w:szCs w:val="21"/>
              </w:rPr>
            </w:pPr>
            <w:r>
              <w:rPr>
                <w:rFonts w:hint="eastAsia"/>
                <w:color w:val="auto"/>
                <w:kern w:val="0"/>
                <w:sz w:val="21"/>
                <w:szCs w:val="21"/>
              </w:rPr>
              <w:t>200</w:t>
            </w:r>
          </w:p>
        </w:tc>
      </w:tr>
      <w:tr w14:paraId="014E6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0E65B52E">
            <w:pPr>
              <w:widowControl/>
              <w:spacing w:line="240" w:lineRule="auto"/>
              <w:ind w:firstLine="0" w:firstLineChars="0"/>
              <w:jc w:val="center"/>
              <w:rPr>
                <w:color w:val="auto"/>
                <w:kern w:val="0"/>
                <w:sz w:val="21"/>
                <w:szCs w:val="21"/>
              </w:rPr>
            </w:pPr>
            <w:r>
              <w:rPr>
                <w:color w:val="auto"/>
                <w:kern w:val="0"/>
                <w:sz w:val="21"/>
                <w:szCs w:val="21"/>
              </w:rPr>
              <w:t>14</w:t>
            </w:r>
          </w:p>
        </w:tc>
        <w:tc>
          <w:tcPr>
            <w:tcW w:w="1588" w:type="pct"/>
            <w:shd w:val="clear" w:color="auto" w:fill="FFFFFF" w:themeFill="background1"/>
            <w:vAlign w:val="center"/>
          </w:tcPr>
          <w:p w14:paraId="6EE46745">
            <w:pPr>
              <w:widowControl/>
              <w:spacing w:line="240" w:lineRule="auto"/>
              <w:ind w:firstLine="0" w:firstLineChars="0"/>
              <w:jc w:val="center"/>
              <w:rPr>
                <w:color w:val="auto"/>
                <w:kern w:val="0"/>
                <w:sz w:val="21"/>
                <w:szCs w:val="21"/>
              </w:rPr>
            </w:pPr>
            <w:r>
              <w:rPr>
                <w:color w:val="auto"/>
                <w:kern w:val="0"/>
                <w:sz w:val="21"/>
                <w:szCs w:val="21"/>
              </w:rPr>
              <w:t>顺-1,2-二氯乙烯</w:t>
            </w:r>
          </w:p>
        </w:tc>
        <w:tc>
          <w:tcPr>
            <w:tcW w:w="932" w:type="pct"/>
            <w:shd w:val="clear" w:color="auto" w:fill="FFFFFF" w:themeFill="background1"/>
            <w:vAlign w:val="center"/>
          </w:tcPr>
          <w:p w14:paraId="4B5ABFCC">
            <w:pPr>
              <w:widowControl/>
              <w:spacing w:line="240" w:lineRule="auto"/>
              <w:ind w:firstLine="0" w:firstLineChars="0"/>
              <w:jc w:val="center"/>
              <w:rPr>
                <w:color w:val="auto"/>
                <w:kern w:val="0"/>
                <w:sz w:val="21"/>
                <w:szCs w:val="21"/>
              </w:rPr>
            </w:pPr>
            <w:r>
              <w:rPr>
                <w:color w:val="auto"/>
                <w:kern w:val="0"/>
                <w:sz w:val="21"/>
                <w:szCs w:val="21"/>
              </w:rPr>
              <w:t>156-59-2</w:t>
            </w:r>
          </w:p>
        </w:tc>
        <w:tc>
          <w:tcPr>
            <w:tcW w:w="960" w:type="pct"/>
            <w:shd w:val="clear" w:color="auto" w:fill="FFFFFF" w:themeFill="background1"/>
            <w:vAlign w:val="center"/>
          </w:tcPr>
          <w:p w14:paraId="737CC727">
            <w:pPr>
              <w:widowControl/>
              <w:spacing w:line="240" w:lineRule="auto"/>
              <w:ind w:firstLine="0" w:firstLineChars="0"/>
              <w:jc w:val="center"/>
              <w:rPr>
                <w:color w:val="auto"/>
                <w:kern w:val="0"/>
                <w:sz w:val="21"/>
                <w:szCs w:val="21"/>
              </w:rPr>
            </w:pPr>
            <w:r>
              <w:rPr>
                <w:color w:val="auto"/>
                <w:kern w:val="0"/>
                <w:sz w:val="21"/>
                <w:szCs w:val="21"/>
              </w:rPr>
              <w:t>596</w:t>
            </w:r>
          </w:p>
        </w:tc>
        <w:tc>
          <w:tcPr>
            <w:tcW w:w="1026" w:type="pct"/>
            <w:shd w:val="clear" w:color="auto" w:fill="FFFFFF" w:themeFill="background1"/>
            <w:vAlign w:val="center"/>
          </w:tcPr>
          <w:p w14:paraId="14F11F67">
            <w:pPr>
              <w:widowControl/>
              <w:spacing w:line="240" w:lineRule="auto"/>
              <w:ind w:firstLine="0" w:firstLineChars="0"/>
              <w:jc w:val="center"/>
              <w:rPr>
                <w:color w:val="auto"/>
                <w:kern w:val="0"/>
                <w:sz w:val="21"/>
                <w:szCs w:val="21"/>
              </w:rPr>
            </w:pPr>
            <w:r>
              <w:rPr>
                <w:rFonts w:hint="eastAsia"/>
                <w:color w:val="auto"/>
                <w:kern w:val="0"/>
                <w:sz w:val="21"/>
                <w:szCs w:val="21"/>
              </w:rPr>
              <w:t>2000</w:t>
            </w:r>
          </w:p>
        </w:tc>
      </w:tr>
      <w:tr w14:paraId="34EF7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38994900">
            <w:pPr>
              <w:widowControl/>
              <w:spacing w:line="240" w:lineRule="auto"/>
              <w:ind w:firstLine="0" w:firstLineChars="0"/>
              <w:jc w:val="center"/>
              <w:rPr>
                <w:color w:val="auto"/>
                <w:kern w:val="0"/>
                <w:sz w:val="21"/>
                <w:szCs w:val="21"/>
              </w:rPr>
            </w:pPr>
            <w:r>
              <w:rPr>
                <w:color w:val="auto"/>
                <w:kern w:val="0"/>
                <w:sz w:val="21"/>
                <w:szCs w:val="21"/>
              </w:rPr>
              <w:t>15</w:t>
            </w:r>
          </w:p>
        </w:tc>
        <w:tc>
          <w:tcPr>
            <w:tcW w:w="1588" w:type="pct"/>
            <w:shd w:val="clear" w:color="auto" w:fill="FFFFFF" w:themeFill="background1"/>
            <w:vAlign w:val="center"/>
          </w:tcPr>
          <w:p w14:paraId="6B925D7D">
            <w:pPr>
              <w:widowControl/>
              <w:spacing w:line="240" w:lineRule="auto"/>
              <w:ind w:firstLine="0" w:firstLineChars="0"/>
              <w:jc w:val="center"/>
              <w:rPr>
                <w:color w:val="auto"/>
                <w:kern w:val="0"/>
                <w:sz w:val="21"/>
                <w:szCs w:val="21"/>
              </w:rPr>
            </w:pPr>
            <w:r>
              <w:rPr>
                <w:color w:val="auto"/>
                <w:kern w:val="0"/>
                <w:sz w:val="21"/>
                <w:szCs w:val="21"/>
              </w:rPr>
              <w:t>反-1,2-二氯乙烯</w:t>
            </w:r>
          </w:p>
        </w:tc>
        <w:tc>
          <w:tcPr>
            <w:tcW w:w="932" w:type="pct"/>
            <w:shd w:val="clear" w:color="auto" w:fill="FFFFFF" w:themeFill="background1"/>
            <w:vAlign w:val="center"/>
          </w:tcPr>
          <w:p w14:paraId="69197D91">
            <w:pPr>
              <w:widowControl/>
              <w:spacing w:line="240" w:lineRule="auto"/>
              <w:ind w:firstLine="0" w:firstLineChars="0"/>
              <w:jc w:val="center"/>
              <w:rPr>
                <w:color w:val="auto"/>
                <w:kern w:val="0"/>
                <w:sz w:val="21"/>
                <w:szCs w:val="21"/>
              </w:rPr>
            </w:pPr>
            <w:r>
              <w:rPr>
                <w:color w:val="auto"/>
                <w:kern w:val="0"/>
                <w:sz w:val="21"/>
                <w:szCs w:val="21"/>
              </w:rPr>
              <w:t>156-60-5</w:t>
            </w:r>
          </w:p>
        </w:tc>
        <w:tc>
          <w:tcPr>
            <w:tcW w:w="960" w:type="pct"/>
            <w:shd w:val="clear" w:color="auto" w:fill="FFFFFF" w:themeFill="background1"/>
            <w:vAlign w:val="center"/>
          </w:tcPr>
          <w:p w14:paraId="11F318F1">
            <w:pPr>
              <w:widowControl/>
              <w:spacing w:line="240" w:lineRule="auto"/>
              <w:ind w:firstLine="0" w:firstLineChars="0"/>
              <w:jc w:val="center"/>
              <w:rPr>
                <w:color w:val="auto"/>
                <w:kern w:val="0"/>
                <w:sz w:val="21"/>
                <w:szCs w:val="21"/>
              </w:rPr>
            </w:pPr>
            <w:r>
              <w:rPr>
                <w:color w:val="auto"/>
                <w:kern w:val="0"/>
                <w:sz w:val="21"/>
                <w:szCs w:val="21"/>
              </w:rPr>
              <w:t>54</w:t>
            </w:r>
          </w:p>
        </w:tc>
        <w:tc>
          <w:tcPr>
            <w:tcW w:w="1026" w:type="pct"/>
            <w:shd w:val="clear" w:color="auto" w:fill="FFFFFF" w:themeFill="background1"/>
            <w:vAlign w:val="center"/>
          </w:tcPr>
          <w:p w14:paraId="3610934B">
            <w:pPr>
              <w:widowControl/>
              <w:spacing w:line="240" w:lineRule="auto"/>
              <w:ind w:firstLine="0" w:firstLineChars="0"/>
              <w:jc w:val="center"/>
              <w:rPr>
                <w:color w:val="auto"/>
                <w:kern w:val="0"/>
                <w:sz w:val="21"/>
                <w:szCs w:val="21"/>
              </w:rPr>
            </w:pPr>
            <w:r>
              <w:rPr>
                <w:rFonts w:hint="eastAsia"/>
                <w:color w:val="auto"/>
                <w:kern w:val="0"/>
                <w:sz w:val="21"/>
                <w:szCs w:val="21"/>
              </w:rPr>
              <w:t>163</w:t>
            </w:r>
          </w:p>
        </w:tc>
      </w:tr>
      <w:tr w14:paraId="31781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60E1F964">
            <w:pPr>
              <w:widowControl/>
              <w:spacing w:line="240" w:lineRule="auto"/>
              <w:ind w:firstLine="0" w:firstLineChars="0"/>
              <w:jc w:val="center"/>
              <w:rPr>
                <w:color w:val="auto"/>
                <w:kern w:val="0"/>
                <w:sz w:val="21"/>
                <w:szCs w:val="21"/>
              </w:rPr>
            </w:pPr>
            <w:r>
              <w:rPr>
                <w:color w:val="auto"/>
                <w:kern w:val="0"/>
                <w:sz w:val="21"/>
                <w:szCs w:val="21"/>
              </w:rPr>
              <w:t>16</w:t>
            </w:r>
          </w:p>
        </w:tc>
        <w:tc>
          <w:tcPr>
            <w:tcW w:w="1588" w:type="pct"/>
            <w:shd w:val="clear" w:color="auto" w:fill="FFFFFF" w:themeFill="background1"/>
            <w:vAlign w:val="center"/>
          </w:tcPr>
          <w:p w14:paraId="58294C84">
            <w:pPr>
              <w:widowControl/>
              <w:spacing w:line="240" w:lineRule="auto"/>
              <w:ind w:firstLine="0" w:firstLineChars="0"/>
              <w:jc w:val="center"/>
              <w:rPr>
                <w:color w:val="auto"/>
                <w:kern w:val="0"/>
                <w:sz w:val="21"/>
                <w:szCs w:val="21"/>
              </w:rPr>
            </w:pPr>
            <w:r>
              <w:rPr>
                <w:color w:val="auto"/>
                <w:kern w:val="0"/>
                <w:sz w:val="21"/>
                <w:szCs w:val="21"/>
              </w:rPr>
              <w:t>二氯甲烷</w:t>
            </w:r>
          </w:p>
        </w:tc>
        <w:tc>
          <w:tcPr>
            <w:tcW w:w="932" w:type="pct"/>
            <w:shd w:val="clear" w:color="auto" w:fill="FFFFFF" w:themeFill="background1"/>
            <w:vAlign w:val="center"/>
          </w:tcPr>
          <w:p w14:paraId="43693FF7">
            <w:pPr>
              <w:widowControl/>
              <w:spacing w:line="240" w:lineRule="auto"/>
              <w:ind w:firstLine="0" w:firstLineChars="0"/>
              <w:jc w:val="center"/>
              <w:rPr>
                <w:color w:val="auto"/>
                <w:kern w:val="0"/>
                <w:sz w:val="21"/>
                <w:szCs w:val="21"/>
              </w:rPr>
            </w:pPr>
            <w:r>
              <w:rPr>
                <w:color w:val="auto"/>
                <w:kern w:val="0"/>
                <w:sz w:val="21"/>
                <w:szCs w:val="21"/>
              </w:rPr>
              <w:t>75-09-2</w:t>
            </w:r>
          </w:p>
        </w:tc>
        <w:tc>
          <w:tcPr>
            <w:tcW w:w="960" w:type="pct"/>
            <w:shd w:val="clear" w:color="auto" w:fill="FFFFFF" w:themeFill="background1"/>
            <w:vAlign w:val="center"/>
          </w:tcPr>
          <w:p w14:paraId="37C7C2AB">
            <w:pPr>
              <w:widowControl/>
              <w:spacing w:line="240" w:lineRule="auto"/>
              <w:ind w:firstLine="0" w:firstLineChars="0"/>
              <w:jc w:val="center"/>
              <w:rPr>
                <w:color w:val="auto"/>
                <w:kern w:val="0"/>
                <w:sz w:val="21"/>
                <w:szCs w:val="21"/>
              </w:rPr>
            </w:pPr>
            <w:r>
              <w:rPr>
                <w:color w:val="auto"/>
                <w:kern w:val="0"/>
                <w:sz w:val="21"/>
                <w:szCs w:val="21"/>
              </w:rPr>
              <w:t>616</w:t>
            </w:r>
          </w:p>
        </w:tc>
        <w:tc>
          <w:tcPr>
            <w:tcW w:w="1026" w:type="pct"/>
            <w:shd w:val="clear" w:color="auto" w:fill="FFFFFF" w:themeFill="background1"/>
            <w:vAlign w:val="center"/>
          </w:tcPr>
          <w:p w14:paraId="0583EF18">
            <w:pPr>
              <w:widowControl/>
              <w:spacing w:line="240" w:lineRule="auto"/>
              <w:ind w:firstLine="0" w:firstLineChars="0"/>
              <w:jc w:val="center"/>
              <w:rPr>
                <w:color w:val="auto"/>
                <w:kern w:val="0"/>
                <w:sz w:val="21"/>
                <w:szCs w:val="21"/>
              </w:rPr>
            </w:pPr>
            <w:r>
              <w:rPr>
                <w:rFonts w:hint="eastAsia"/>
                <w:color w:val="auto"/>
                <w:kern w:val="0"/>
                <w:sz w:val="21"/>
                <w:szCs w:val="21"/>
              </w:rPr>
              <w:t>2000</w:t>
            </w:r>
          </w:p>
        </w:tc>
      </w:tr>
      <w:tr w14:paraId="58113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6834D421">
            <w:pPr>
              <w:widowControl/>
              <w:spacing w:line="240" w:lineRule="auto"/>
              <w:ind w:firstLine="0" w:firstLineChars="0"/>
              <w:jc w:val="center"/>
              <w:rPr>
                <w:color w:val="auto"/>
                <w:kern w:val="0"/>
                <w:sz w:val="21"/>
                <w:szCs w:val="21"/>
              </w:rPr>
            </w:pPr>
            <w:r>
              <w:rPr>
                <w:color w:val="auto"/>
                <w:kern w:val="0"/>
                <w:sz w:val="21"/>
                <w:szCs w:val="21"/>
              </w:rPr>
              <w:t>17</w:t>
            </w:r>
          </w:p>
        </w:tc>
        <w:tc>
          <w:tcPr>
            <w:tcW w:w="1588" w:type="pct"/>
            <w:shd w:val="clear" w:color="auto" w:fill="FFFFFF" w:themeFill="background1"/>
            <w:vAlign w:val="center"/>
          </w:tcPr>
          <w:p w14:paraId="4DBAD239">
            <w:pPr>
              <w:widowControl/>
              <w:spacing w:line="240" w:lineRule="auto"/>
              <w:ind w:firstLine="0" w:firstLineChars="0"/>
              <w:jc w:val="center"/>
              <w:rPr>
                <w:color w:val="auto"/>
                <w:kern w:val="0"/>
                <w:sz w:val="21"/>
                <w:szCs w:val="21"/>
              </w:rPr>
            </w:pPr>
            <w:r>
              <w:rPr>
                <w:color w:val="auto"/>
                <w:kern w:val="0"/>
                <w:sz w:val="21"/>
                <w:szCs w:val="21"/>
              </w:rPr>
              <w:t>1,2-二氯丙烷</w:t>
            </w:r>
          </w:p>
        </w:tc>
        <w:tc>
          <w:tcPr>
            <w:tcW w:w="932" w:type="pct"/>
            <w:shd w:val="clear" w:color="auto" w:fill="FFFFFF" w:themeFill="background1"/>
            <w:vAlign w:val="center"/>
          </w:tcPr>
          <w:p w14:paraId="131FC58D">
            <w:pPr>
              <w:widowControl/>
              <w:spacing w:line="240" w:lineRule="auto"/>
              <w:ind w:firstLine="0" w:firstLineChars="0"/>
              <w:jc w:val="center"/>
              <w:rPr>
                <w:color w:val="auto"/>
                <w:kern w:val="0"/>
                <w:sz w:val="21"/>
                <w:szCs w:val="21"/>
              </w:rPr>
            </w:pPr>
            <w:r>
              <w:rPr>
                <w:color w:val="auto"/>
                <w:kern w:val="0"/>
                <w:sz w:val="21"/>
                <w:szCs w:val="21"/>
              </w:rPr>
              <w:t>78-87-5</w:t>
            </w:r>
          </w:p>
        </w:tc>
        <w:tc>
          <w:tcPr>
            <w:tcW w:w="960" w:type="pct"/>
            <w:shd w:val="clear" w:color="auto" w:fill="FFFFFF" w:themeFill="background1"/>
            <w:vAlign w:val="center"/>
          </w:tcPr>
          <w:p w14:paraId="44EA7AD4">
            <w:pPr>
              <w:widowControl/>
              <w:spacing w:line="240" w:lineRule="auto"/>
              <w:ind w:firstLine="0" w:firstLineChars="0"/>
              <w:jc w:val="center"/>
              <w:rPr>
                <w:color w:val="auto"/>
                <w:kern w:val="0"/>
                <w:sz w:val="21"/>
                <w:szCs w:val="21"/>
              </w:rPr>
            </w:pPr>
            <w:r>
              <w:rPr>
                <w:color w:val="auto"/>
                <w:kern w:val="0"/>
                <w:sz w:val="21"/>
                <w:szCs w:val="21"/>
              </w:rPr>
              <w:t>5</w:t>
            </w:r>
          </w:p>
        </w:tc>
        <w:tc>
          <w:tcPr>
            <w:tcW w:w="1026" w:type="pct"/>
            <w:shd w:val="clear" w:color="auto" w:fill="FFFFFF" w:themeFill="background1"/>
            <w:vAlign w:val="center"/>
          </w:tcPr>
          <w:p w14:paraId="7276F13A">
            <w:pPr>
              <w:widowControl/>
              <w:spacing w:line="240" w:lineRule="auto"/>
              <w:ind w:firstLine="0" w:firstLineChars="0"/>
              <w:jc w:val="center"/>
              <w:rPr>
                <w:color w:val="auto"/>
                <w:kern w:val="0"/>
                <w:sz w:val="21"/>
                <w:szCs w:val="21"/>
              </w:rPr>
            </w:pPr>
            <w:r>
              <w:rPr>
                <w:rFonts w:hint="eastAsia"/>
                <w:color w:val="auto"/>
                <w:kern w:val="0"/>
                <w:sz w:val="21"/>
                <w:szCs w:val="21"/>
              </w:rPr>
              <w:t>47</w:t>
            </w:r>
          </w:p>
        </w:tc>
      </w:tr>
      <w:tr w14:paraId="323A2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26CE695A">
            <w:pPr>
              <w:widowControl/>
              <w:spacing w:line="240" w:lineRule="auto"/>
              <w:ind w:firstLine="0" w:firstLineChars="0"/>
              <w:jc w:val="center"/>
              <w:rPr>
                <w:color w:val="auto"/>
                <w:kern w:val="0"/>
                <w:sz w:val="21"/>
                <w:szCs w:val="21"/>
              </w:rPr>
            </w:pPr>
            <w:r>
              <w:rPr>
                <w:color w:val="auto"/>
                <w:kern w:val="0"/>
                <w:sz w:val="21"/>
                <w:szCs w:val="21"/>
              </w:rPr>
              <w:t>18</w:t>
            </w:r>
          </w:p>
        </w:tc>
        <w:tc>
          <w:tcPr>
            <w:tcW w:w="1588" w:type="pct"/>
            <w:shd w:val="clear" w:color="auto" w:fill="FFFFFF" w:themeFill="background1"/>
            <w:vAlign w:val="center"/>
          </w:tcPr>
          <w:p w14:paraId="57AC78C3">
            <w:pPr>
              <w:widowControl/>
              <w:spacing w:line="240" w:lineRule="auto"/>
              <w:ind w:firstLine="0" w:firstLineChars="0"/>
              <w:jc w:val="center"/>
              <w:rPr>
                <w:color w:val="auto"/>
                <w:kern w:val="0"/>
                <w:sz w:val="21"/>
                <w:szCs w:val="21"/>
              </w:rPr>
            </w:pPr>
            <w:r>
              <w:rPr>
                <w:color w:val="auto"/>
                <w:kern w:val="0"/>
                <w:sz w:val="21"/>
                <w:szCs w:val="21"/>
              </w:rPr>
              <w:t>1,1,1,2-四氯乙烷</w:t>
            </w:r>
          </w:p>
        </w:tc>
        <w:tc>
          <w:tcPr>
            <w:tcW w:w="932" w:type="pct"/>
            <w:shd w:val="clear" w:color="auto" w:fill="FFFFFF" w:themeFill="background1"/>
            <w:vAlign w:val="center"/>
          </w:tcPr>
          <w:p w14:paraId="0EA1AD3B">
            <w:pPr>
              <w:widowControl/>
              <w:spacing w:line="240" w:lineRule="auto"/>
              <w:ind w:firstLine="0" w:firstLineChars="0"/>
              <w:jc w:val="center"/>
              <w:rPr>
                <w:color w:val="auto"/>
                <w:kern w:val="0"/>
                <w:sz w:val="21"/>
                <w:szCs w:val="21"/>
              </w:rPr>
            </w:pPr>
            <w:r>
              <w:rPr>
                <w:color w:val="auto"/>
                <w:kern w:val="0"/>
                <w:sz w:val="21"/>
                <w:szCs w:val="21"/>
              </w:rPr>
              <w:t>630-20-6</w:t>
            </w:r>
          </w:p>
        </w:tc>
        <w:tc>
          <w:tcPr>
            <w:tcW w:w="960" w:type="pct"/>
            <w:shd w:val="clear" w:color="auto" w:fill="FFFFFF" w:themeFill="background1"/>
            <w:vAlign w:val="center"/>
          </w:tcPr>
          <w:p w14:paraId="6B7F627C">
            <w:pPr>
              <w:widowControl/>
              <w:spacing w:line="240" w:lineRule="auto"/>
              <w:ind w:firstLine="0" w:firstLineChars="0"/>
              <w:jc w:val="center"/>
              <w:rPr>
                <w:color w:val="auto"/>
                <w:kern w:val="0"/>
                <w:sz w:val="21"/>
                <w:szCs w:val="21"/>
              </w:rPr>
            </w:pPr>
            <w:r>
              <w:rPr>
                <w:color w:val="auto"/>
                <w:kern w:val="0"/>
                <w:sz w:val="21"/>
                <w:szCs w:val="21"/>
              </w:rPr>
              <w:t>10</w:t>
            </w:r>
          </w:p>
        </w:tc>
        <w:tc>
          <w:tcPr>
            <w:tcW w:w="1026" w:type="pct"/>
            <w:shd w:val="clear" w:color="auto" w:fill="FFFFFF" w:themeFill="background1"/>
            <w:vAlign w:val="center"/>
          </w:tcPr>
          <w:p w14:paraId="10F215C7">
            <w:pPr>
              <w:widowControl/>
              <w:spacing w:line="240" w:lineRule="auto"/>
              <w:ind w:firstLine="0" w:firstLineChars="0"/>
              <w:jc w:val="center"/>
              <w:rPr>
                <w:color w:val="auto"/>
                <w:kern w:val="0"/>
                <w:sz w:val="21"/>
                <w:szCs w:val="21"/>
              </w:rPr>
            </w:pPr>
            <w:r>
              <w:rPr>
                <w:rFonts w:hint="eastAsia"/>
                <w:color w:val="auto"/>
                <w:kern w:val="0"/>
                <w:sz w:val="21"/>
                <w:szCs w:val="21"/>
              </w:rPr>
              <w:t>100</w:t>
            </w:r>
          </w:p>
        </w:tc>
      </w:tr>
      <w:tr w14:paraId="27F23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7C1C232A">
            <w:pPr>
              <w:widowControl/>
              <w:spacing w:line="240" w:lineRule="auto"/>
              <w:ind w:firstLine="0" w:firstLineChars="0"/>
              <w:jc w:val="center"/>
              <w:rPr>
                <w:color w:val="auto"/>
                <w:kern w:val="0"/>
                <w:sz w:val="21"/>
                <w:szCs w:val="21"/>
              </w:rPr>
            </w:pPr>
            <w:r>
              <w:rPr>
                <w:color w:val="auto"/>
                <w:kern w:val="0"/>
                <w:sz w:val="21"/>
                <w:szCs w:val="21"/>
              </w:rPr>
              <w:t>19</w:t>
            </w:r>
          </w:p>
        </w:tc>
        <w:tc>
          <w:tcPr>
            <w:tcW w:w="1588" w:type="pct"/>
            <w:shd w:val="clear" w:color="auto" w:fill="FFFFFF" w:themeFill="background1"/>
            <w:vAlign w:val="center"/>
          </w:tcPr>
          <w:p w14:paraId="5E7E0CCC">
            <w:pPr>
              <w:widowControl/>
              <w:spacing w:line="240" w:lineRule="auto"/>
              <w:ind w:firstLine="0" w:firstLineChars="0"/>
              <w:jc w:val="center"/>
              <w:rPr>
                <w:color w:val="auto"/>
                <w:kern w:val="0"/>
                <w:sz w:val="21"/>
                <w:szCs w:val="21"/>
              </w:rPr>
            </w:pPr>
            <w:r>
              <w:rPr>
                <w:color w:val="auto"/>
                <w:kern w:val="0"/>
                <w:sz w:val="21"/>
                <w:szCs w:val="21"/>
              </w:rPr>
              <w:t>1,1,2,2-四氯乙烷</w:t>
            </w:r>
          </w:p>
        </w:tc>
        <w:tc>
          <w:tcPr>
            <w:tcW w:w="932" w:type="pct"/>
            <w:shd w:val="clear" w:color="auto" w:fill="FFFFFF" w:themeFill="background1"/>
            <w:vAlign w:val="center"/>
          </w:tcPr>
          <w:p w14:paraId="24BDE8C5">
            <w:pPr>
              <w:widowControl/>
              <w:spacing w:line="240" w:lineRule="auto"/>
              <w:ind w:firstLine="0" w:firstLineChars="0"/>
              <w:jc w:val="center"/>
              <w:rPr>
                <w:color w:val="auto"/>
                <w:kern w:val="0"/>
                <w:sz w:val="21"/>
                <w:szCs w:val="21"/>
              </w:rPr>
            </w:pPr>
            <w:r>
              <w:rPr>
                <w:color w:val="auto"/>
                <w:kern w:val="0"/>
                <w:sz w:val="21"/>
                <w:szCs w:val="21"/>
              </w:rPr>
              <w:t>79-34-5</w:t>
            </w:r>
          </w:p>
        </w:tc>
        <w:tc>
          <w:tcPr>
            <w:tcW w:w="960" w:type="pct"/>
            <w:shd w:val="clear" w:color="auto" w:fill="FFFFFF" w:themeFill="background1"/>
            <w:vAlign w:val="center"/>
          </w:tcPr>
          <w:p w14:paraId="24978E4E">
            <w:pPr>
              <w:widowControl/>
              <w:spacing w:line="240" w:lineRule="auto"/>
              <w:ind w:firstLine="0" w:firstLineChars="0"/>
              <w:jc w:val="center"/>
              <w:rPr>
                <w:color w:val="auto"/>
                <w:kern w:val="0"/>
                <w:sz w:val="21"/>
                <w:szCs w:val="21"/>
              </w:rPr>
            </w:pPr>
            <w:r>
              <w:rPr>
                <w:color w:val="auto"/>
                <w:kern w:val="0"/>
                <w:sz w:val="21"/>
                <w:szCs w:val="21"/>
              </w:rPr>
              <w:t>6.8</w:t>
            </w:r>
          </w:p>
        </w:tc>
        <w:tc>
          <w:tcPr>
            <w:tcW w:w="1026" w:type="pct"/>
            <w:shd w:val="clear" w:color="auto" w:fill="FFFFFF" w:themeFill="background1"/>
            <w:vAlign w:val="center"/>
          </w:tcPr>
          <w:p w14:paraId="653B1DC6">
            <w:pPr>
              <w:widowControl/>
              <w:spacing w:line="240" w:lineRule="auto"/>
              <w:ind w:firstLine="0" w:firstLineChars="0"/>
              <w:jc w:val="center"/>
              <w:rPr>
                <w:color w:val="auto"/>
                <w:kern w:val="0"/>
                <w:sz w:val="21"/>
                <w:szCs w:val="21"/>
              </w:rPr>
            </w:pPr>
            <w:r>
              <w:rPr>
                <w:rFonts w:hint="eastAsia"/>
                <w:color w:val="auto"/>
                <w:kern w:val="0"/>
                <w:sz w:val="21"/>
                <w:szCs w:val="21"/>
              </w:rPr>
              <w:t>50</w:t>
            </w:r>
          </w:p>
        </w:tc>
      </w:tr>
      <w:tr w14:paraId="50421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1C7CCB5">
            <w:pPr>
              <w:widowControl/>
              <w:spacing w:line="240" w:lineRule="auto"/>
              <w:ind w:firstLine="0" w:firstLineChars="0"/>
              <w:jc w:val="center"/>
              <w:rPr>
                <w:color w:val="auto"/>
                <w:kern w:val="0"/>
                <w:sz w:val="21"/>
                <w:szCs w:val="21"/>
              </w:rPr>
            </w:pPr>
            <w:r>
              <w:rPr>
                <w:color w:val="auto"/>
                <w:kern w:val="0"/>
                <w:sz w:val="21"/>
                <w:szCs w:val="21"/>
              </w:rPr>
              <w:t>20</w:t>
            </w:r>
          </w:p>
        </w:tc>
        <w:tc>
          <w:tcPr>
            <w:tcW w:w="1588" w:type="pct"/>
            <w:shd w:val="clear" w:color="auto" w:fill="FFFFFF" w:themeFill="background1"/>
            <w:vAlign w:val="center"/>
          </w:tcPr>
          <w:p w14:paraId="3904FDFE">
            <w:pPr>
              <w:widowControl/>
              <w:spacing w:line="240" w:lineRule="auto"/>
              <w:ind w:firstLine="0" w:firstLineChars="0"/>
              <w:jc w:val="center"/>
              <w:rPr>
                <w:color w:val="auto"/>
                <w:kern w:val="0"/>
                <w:sz w:val="21"/>
                <w:szCs w:val="21"/>
              </w:rPr>
            </w:pPr>
            <w:r>
              <w:rPr>
                <w:color w:val="auto"/>
                <w:kern w:val="0"/>
                <w:sz w:val="21"/>
                <w:szCs w:val="21"/>
              </w:rPr>
              <w:t>四氯乙烯</w:t>
            </w:r>
          </w:p>
        </w:tc>
        <w:tc>
          <w:tcPr>
            <w:tcW w:w="932" w:type="pct"/>
            <w:shd w:val="clear" w:color="auto" w:fill="FFFFFF" w:themeFill="background1"/>
            <w:vAlign w:val="center"/>
          </w:tcPr>
          <w:p w14:paraId="0F90C2A2">
            <w:pPr>
              <w:widowControl/>
              <w:spacing w:line="240" w:lineRule="auto"/>
              <w:ind w:firstLine="0" w:firstLineChars="0"/>
              <w:jc w:val="center"/>
              <w:rPr>
                <w:color w:val="auto"/>
                <w:kern w:val="0"/>
                <w:sz w:val="21"/>
                <w:szCs w:val="21"/>
              </w:rPr>
            </w:pPr>
            <w:r>
              <w:rPr>
                <w:color w:val="auto"/>
                <w:kern w:val="0"/>
                <w:sz w:val="21"/>
                <w:szCs w:val="21"/>
              </w:rPr>
              <w:t>127-18-4</w:t>
            </w:r>
          </w:p>
        </w:tc>
        <w:tc>
          <w:tcPr>
            <w:tcW w:w="960" w:type="pct"/>
            <w:shd w:val="clear" w:color="auto" w:fill="FFFFFF" w:themeFill="background1"/>
            <w:vAlign w:val="center"/>
          </w:tcPr>
          <w:p w14:paraId="3F876DA9">
            <w:pPr>
              <w:widowControl/>
              <w:spacing w:line="240" w:lineRule="auto"/>
              <w:ind w:firstLine="0" w:firstLineChars="0"/>
              <w:jc w:val="center"/>
              <w:rPr>
                <w:color w:val="auto"/>
                <w:kern w:val="0"/>
                <w:sz w:val="21"/>
                <w:szCs w:val="21"/>
              </w:rPr>
            </w:pPr>
            <w:r>
              <w:rPr>
                <w:color w:val="auto"/>
                <w:kern w:val="0"/>
                <w:sz w:val="21"/>
                <w:szCs w:val="21"/>
              </w:rPr>
              <w:t>53</w:t>
            </w:r>
          </w:p>
        </w:tc>
        <w:tc>
          <w:tcPr>
            <w:tcW w:w="1026" w:type="pct"/>
            <w:shd w:val="clear" w:color="auto" w:fill="FFFFFF" w:themeFill="background1"/>
            <w:vAlign w:val="center"/>
          </w:tcPr>
          <w:p w14:paraId="4986B7B2">
            <w:pPr>
              <w:widowControl/>
              <w:spacing w:line="240" w:lineRule="auto"/>
              <w:ind w:firstLine="0" w:firstLineChars="0"/>
              <w:jc w:val="center"/>
              <w:rPr>
                <w:color w:val="auto"/>
                <w:kern w:val="0"/>
                <w:sz w:val="21"/>
                <w:szCs w:val="21"/>
              </w:rPr>
            </w:pPr>
            <w:r>
              <w:rPr>
                <w:rFonts w:hint="eastAsia"/>
                <w:color w:val="auto"/>
                <w:kern w:val="0"/>
                <w:sz w:val="21"/>
                <w:szCs w:val="21"/>
              </w:rPr>
              <w:t>183</w:t>
            </w:r>
          </w:p>
        </w:tc>
      </w:tr>
      <w:tr w14:paraId="5149E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2683F33">
            <w:pPr>
              <w:widowControl/>
              <w:spacing w:line="240" w:lineRule="auto"/>
              <w:ind w:firstLine="0" w:firstLineChars="0"/>
              <w:jc w:val="center"/>
              <w:rPr>
                <w:color w:val="auto"/>
                <w:kern w:val="0"/>
                <w:sz w:val="21"/>
                <w:szCs w:val="21"/>
              </w:rPr>
            </w:pPr>
            <w:r>
              <w:rPr>
                <w:color w:val="auto"/>
                <w:kern w:val="0"/>
                <w:sz w:val="21"/>
                <w:szCs w:val="21"/>
              </w:rPr>
              <w:t>21</w:t>
            </w:r>
          </w:p>
        </w:tc>
        <w:tc>
          <w:tcPr>
            <w:tcW w:w="1588" w:type="pct"/>
            <w:shd w:val="clear" w:color="auto" w:fill="FFFFFF" w:themeFill="background1"/>
            <w:vAlign w:val="center"/>
          </w:tcPr>
          <w:p w14:paraId="444D336F">
            <w:pPr>
              <w:widowControl/>
              <w:spacing w:line="240" w:lineRule="auto"/>
              <w:ind w:firstLine="0" w:firstLineChars="0"/>
              <w:jc w:val="center"/>
              <w:rPr>
                <w:color w:val="auto"/>
                <w:kern w:val="0"/>
                <w:sz w:val="21"/>
                <w:szCs w:val="21"/>
              </w:rPr>
            </w:pPr>
            <w:r>
              <w:rPr>
                <w:color w:val="auto"/>
                <w:kern w:val="0"/>
                <w:sz w:val="21"/>
                <w:szCs w:val="21"/>
              </w:rPr>
              <w:t>1,1,1-三氯乙烷</w:t>
            </w:r>
          </w:p>
        </w:tc>
        <w:tc>
          <w:tcPr>
            <w:tcW w:w="932" w:type="pct"/>
            <w:shd w:val="clear" w:color="auto" w:fill="FFFFFF" w:themeFill="background1"/>
            <w:vAlign w:val="center"/>
          </w:tcPr>
          <w:p w14:paraId="60BB1418">
            <w:pPr>
              <w:widowControl/>
              <w:spacing w:line="240" w:lineRule="auto"/>
              <w:ind w:firstLine="0" w:firstLineChars="0"/>
              <w:jc w:val="center"/>
              <w:rPr>
                <w:color w:val="auto"/>
                <w:kern w:val="0"/>
                <w:sz w:val="21"/>
                <w:szCs w:val="21"/>
              </w:rPr>
            </w:pPr>
            <w:r>
              <w:rPr>
                <w:color w:val="auto"/>
                <w:kern w:val="0"/>
                <w:sz w:val="21"/>
                <w:szCs w:val="21"/>
              </w:rPr>
              <w:t>71-55-6</w:t>
            </w:r>
          </w:p>
        </w:tc>
        <w:tc>
          <w:tcPr>
            <w:tcW w:w="960" w:type="pct"/>
            <w:shd w:val="clear" w:color="auto" w:fill="FFFFFF" w:themeFill="background1"/>
            <w:vAlign w:val="center"/>
          </w:tcPr>
          <w:p w14:paraId="03FED6B5">
            <w:pPr>
              <w:widowControl/>
              <w:spacing w:line="240" w:lineRule="auto"/>
              <w:ind w:firstLine="0" w:firstLineChars="0"/>
              <w:jc w:val="center"/>
              <w:rPr>
                <w:color w:val="auto"/>
                <w:kern w:val="0"/>
                <w:sz w:val="21"/>
                <w:szCs w:val="21"/>
              </w:rPr>
            </w:pPr>
            <w:r>
              <w:rPr>
                <w:color w:val="auto"/>
                <w:kern w:val="0"/>
                <w:sz w:val="21"/>
                <w:szCs w:val="21"/>
              </w:rPr>
              <w:t>840</w:t>
            </w:r>
          </w:p>
        </w:tc>
        <w:tc>
          <w:tcPr>
            <w:tcW w:w="1026" w:type="pct"/>
            <w:shd w:val="clear" w:color="auto" w:fill="FFFFFF" w:themeFill="background1"/>
            <w:vAlign w:val="center"/>
          </w:tcPr>
          <w:p w14:paraId="627F8623">
            <w:pPr>
              <w:widowControl/>
              <w:spacing w:line="240" w:lineRule="auto"/>
              <w:ind w:firstLine="0" w:firstLineChars="0"/>
              <w:jc w:val="center"/>
              <w:rPr>
                <w:color w:val="auto"/>
                <w:kern w:val="0"/>
                <w:sz w:val="21"/>
                <w:szCs w:val="21"/>
              </w:rPr>
            </w:pPr>
            <w:r>
              <w:rPr>
                <w:rFonts w:hint="eastAsia"/>
                <w:color w:val="auto"/>
                <w:kern w:val="0"/>
                <w:sz w:val="21"/>
                <w:szCs w:val="21"/>
              </w:rPr>
              <w:t>840</w:t>
            </w:r>
          </w:p>
        </w:tc>
      </w:tr>
      <w:tr w14:paraId="65EEB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B85EB62">
            <w:pPr>
              <w:widowControl/>
              <w:spacing w:line="240" w:lineRule="auto"/>
              <w:ind w:firstLine="0" w:firstLineChars="0"/>
              <w:jc w:val="center"/>
              <w:rPr>
                <w:color w:val="auto"/>
                <w:kern w:val="0"/>
                <w:sz w:val="21"/>
                <w:szCs w:val="21"/>
              </w:rPr>
            </w:pPr>
            <w:r>
              <w:rPr>
                <w:color w:val="auto"/>
                <w:kern w:val="0"/>
                <w:sz w:val="21"/>
                <w:szCs w:val="21"/>
              </w:rPr>
              <w:t>22</w:t>
            </w:r>
          </w:p>
        </w:tc>
        <w:tc>
          <w:tcPr>
            <w:tcW w:w="1588" w:type="pct"/>
            <w:shd w:val="clear" w:color="auto" w:fill="FFFFFF" w:themeFill="background1"/>
            <w:vAlign w:val="center"/>
          </w:tcPr>
          <w:p w14:paraId="7BA3CBBD">
            <w:pPr>
              <w:widowControl/>
              <w:spacing w:line="240" w:lineRule="auto"/>
              <w:ind w:firstLine="0" w:firstLineChars="0"/>
              <w:jc w:val="center"/>
              <w:rPr>
                <w:color w:val="auto"/>
                <w:kern w:val="0"/>
                <w:sz w:val="21"/>
                <w:szCs w:val="21"/>
              </w:rPr>
            </w:pPr>
            <w:r>
              <w:rPr>
                <w:color w:val="auto"/>
                <w:kern w:val="0"/>
                <w:sz w:val="21"/>
                <w:szCs w:val="21"/>
              </w:rPr>
              <w:t>1,1,2-三氯乙烷</w:t>
            </w:r>
          </w:p>
        </w:tc>
        <w:tc>
          <w:tcPr>
            <w:tcW w:w="932" w:type="pct"/>
            <w:shd w:val="clear" w:color="auto" w:fill="FFFFFF" w:themeFill="background1"/>
            <w:vAlign w:val="center"/>
          </w:tcPr>
          <w:p w14:paraId="55CC1A41">
            <w:pPr>
              <w:widowControl/>
              <w:spacing w:line="240" w:lineRule="auto"/>
              <w:ind w:firstLine="0" w:firstLineChars="0"/>
              <w:jc w:val="center"/>
              <w:rPr>
                <w:color w:val="auto"/>
                <w:kern w:val="0"/>
                <w:sz w:val="21"/>
                <w:szCs w:val="21"/>
              </w:rPr>
            </w:pPr>
            <w:r>
              <w:rPr>
                <w:color w:val="auto"/>
                <w:kern w:val="0"/>
                <w:sz w:val="21"/>
                <w:szCs w:val="21"/>
              </w:rPr>
              <w:t>79-00-5</w:t>
            </w:r>
          </w:p>
        </w:tc>
        <w:tc>
          <w:tcPr>
            <w:tcW w:w="960" w:type="pct"/>
            <w:shd w:val="clear" w:color="auto" w:fill="FFFFFF" w:themeFill="background1"/>
            <w:vAlign w:val="center"/>
          </w:tcPr>
          <w:p w14:paraId="12180E8D">
            <w:pPr>
              <w:widowControl/>
              <w:spacing w:line="240" w:lineRule="auto"/>
              <w:ind w:firstLine="0" w:firstLineChars="0"/>
              <w:jc w:val="center"/>
              <w:rPr>
                <w:color w:val="auto"/>
                <w:kern w:val="0"/>
                <w:sz w:val="21"/>
                <w:szCs w:val="21"/>
              </w:rPr>
            </w:pPr>
            <w:r>
              <w:rPr>
                <w:color w:val="auto"/>
                <w:kern w:val="0"/>
                <w:sz w:val="21"/>
                <w:szCs w:val="21"/>
              </w:rPr>
              <w:t>2.8</w:t>
            </w:r>
          </w:p>
        </w:tc>
        <w:tc>
          <w:tcPr>
            <w:tcW w:w="1026" w:type="pct"/>
            <w:shd w:val="clear" w:color="auto" w:fill="FFFFFF" w:themeFill="background1"/>
            <w:vAlign w:val="center"/>
          </w:tcPr>
          <w:p w14:paraId="3FF2F005">
            <w:pPr>
              <w:widowControl/>
              <w:spacing w:line="240" w:lineRule="auto"/>
              <w:ind w:firstLine="0" w:firstLineChars="0"/>
              <w:jc w:val="center"/>
              <w:rPr>
                <w:color w:val="auto"/>
                <w:kern w:val="0"/>
                <w:sz w:val="21"/>
                <w:szCs w:val="21"/>
              </w:rPr>
            </w:pPr>
            <w:r>
              <w:rPr>
                <w:rFonts w:hint="eastAsia"/>
                <w:color w:val="auto"/>
                <w:kern w:val="0"/>
                <w:sz w:val="21"/>
                <w:szCs w:val="21"/>
              </w:rPr>
              <w:t>15</w:t>
            </w:r>
          </w:p>
        </w:tc>
      </w:tr>
      <w:tr w14:paraId="6523A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2E958A8">
            <w:pPr>
              <w:widowControl/>
              <w:spacing w:line="240" w:lineRule="auto"/>
              <w:ind w:firstLine="0" w:firstLineChars="0"/>
              <w:jc w:val="center"/>
              <w:rPr>
                <w:color w:val="auto"/>
                <w:kern w:val="0"/>
                <w:sz w:val="21"/>
                <w:szCs w:val="21"/>
              </w:rPr>
            </w:pPr>
            <w:r>
              <w:rPr>
                <w:color w:val="auto"/>
                <w:kern w:val="0"/>
                <w:sz w:val="21"/>
                <w:szCs w:val="21"/>
              </w:rPr>
              <w:t>23</w:t>
            </w:r>
          </w:p>
        </w:tc>
        <w:tc>
          <w:tcPr>
            <w:tcW w:w="1588" w:type="pct"/>
            <w:shd w:val="clear" w:color="auto" w:fill="FFFFFF" w:themeFill="background1"/>
            <w:vAlign w:val="center"/>
          </w:tcPr>
          <w:p w14:paraId="1CFAE77F">
            <w:pPr>
              <w:widowControl/>
              <w:spacing w:line="240" w:lineRule="auto"/>
              <w:ind w:firstLine="0" w:firstLineChars="0"/>
              <w:jc w:val="center"/>
              <w:rPr>
                <w:color w:val="auto"/>
                <w:kern w:val="0"/>
                <w:sz w:val="21"/>
                <w:szCs w:val="21"/>
              </w:rPr>
            </w:pPr>
            <w:r>
              <w:rPr>
                <w:color w:val="auto"/>
                <w:kern w:val="0"/>
                <w:sz w:val="21"/>
                <w:szCs w:val="21"/>
              </w:rPr>
              <w:t>三氯乙烯</w:t>
            </w:r>
          </w:p>
        </w:tc>
        <w:tc>
          <w:tcPr>
            <w:tcW w:w="932" w:type="pct"/>
            <w:shd w:val="clear" w:color="auto" w:fill="FFFFFF" w:themeFill="background1"/>
            <w:vAlign w:val="center"/>
          </w:tcPr>
          <w:p w14:paraId="608FAB08">
            <w:pPr>
              <w:widowControl/>
              <w:spacing w:line="240" w:lineRule="auto"/>
              <w:ind w:firstLine="0" w:firstLineChars="0"/>
              <w:jc w:val="center"/>
              <w:rPr>
                <w:color w:val="auto"/>
                <w:kern w:val="0"/>
                <w:sz w:val="21"/>
                <w:szCs w:val="21"/>
              </w:rPr>
            </w:pPr>
            <w:r>
              <w:rPr>
                <w:color w:val="auto"/>
                <w:kern w:val="0"/>
                <w:sz w:val="21"/>
                <w:szCs w:val="21"/>
              </w:rPr>
              <w:t>79-01-6</w:t>
            </w:r>
          </w:p>
        </w:tc>
        <w:tc>
          <w:tcPr>
            <w:tcW w:w="960" w:type="pct"/>
            <w:shd w:val="clear" w:color="auto" w:fill="FFFFFF" w:themeFill="background1"/>
            <w:vAlign w:val="center"/>
          </w:tcPr>
          <w:p w14:paraId="02A13F15">
            <w:pPr>
              <w:widowControl/>
              <w:spacing w:line="240" w:lineRule="auto"/>
              <w:ind w:firstLine="0" w:firstLineChars="0"/>
              <w:jc w:val="center"/>
              <w:rPr>
                <w:color w:val="auto"/>
                <w:kern w:val="0"/>
                <w:sz w:val="21"/>
                <w:szCs w:val="21"/>
              </w:rPr>
            </w:pPr>
            <w:r>
              <w:rPr>
                <w:color w:val="auto"/>
                <w:kern w:val="0"/>
                <w:sz w:val="21"/>
                <w:szCs w:val="21"/>
              </w:rPr>
              <w:t>2.8</w:t>
            </w:r>
          </w:p>
        </w:tc>
        <w:tc>
          <w:tcPr>
            <w:tcW w:w="1026" w:type="pct"/>
            <w:shd w:val="clear" w:color="auto" w:fill="FFFFFF" w:themeFill="background1"/>
            <w:vAlign w:val="center"/>
          </w:tcPr>
          <w:p w14:paraId="7EFDAEB0">
            <w:pPr>
              <w:widowControl/>
              <w:spacing w:line="240" w:lineRule="auto"/>
              <w:ind w:firstLine="0" w:firstLineChars="0"/>
              <w:jc w:val="center"/>
              <w:rPr>
                <w:color w:val="auto"/>
                <w:kern w:val="0"/>
                <w:sz w:val="21"/>
                <w:szCs w:val="21"/>
              </w:rPr>
            </w:pPr>
            <w:r>
              <w:rPr>
                <w:rFonts w:hint="eastAsia"/>
                <w:color w:val="auto"/>
                <w:kern w:val="0"/>
                <w:sz w:val="21"/>
                <w:szCs w:val="21"/>
              </w:rPr>
              <w:t>20</w:t>
            </w:r>
          </w:p>
        </w:tc>
      </w:tr>
      <w:tr w14:paraId="48F94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22D639A6">
            <w:pPr>
              <w:widowControl/>
              <w:spacing w:line="240" w:lineRule="auto"/>
              <w:ind w:firstLine="0" w:firstLineChars="0"/>
              <w:jc w:val="center"/>
              <w:rPr>
                <w:color w:val="auto"/>
                <w:kern w:val="0"/>
                <w:sz w:val="21"/>
                <w:szCs w:val="21"/>
              </w:rPr>
            </w:pPr>
            <w:r>
              <w:rPr>
                <w:color w:val="auto"/>
                <w:kern w:val="0"/>
                <w:sz w:val="21"/>
                <w:szCs w:val="21"/>
              </w:rPr>
              <w:t>24</w:t>
            </w:r>
          </w:p>
        </w:tc>
        <w:tc>
          <w:tcPr>
            <w:tcW w:w="1588" w:type="pct"/>
            <w:shd w:val="clear" w:color="auto" w:fill="FFFFFF" w:themeFill="background1"/>
            <w:vAlign w:val="center"/>
          </w:tcPr>
          <w:p w14:paraId="0F6E6422">
            <w:pPr>
              <w:widowControl/>
              <w:spacing w:line="240" w:lineRule="auto"/>
              <w:ind w:firstLine="0" w:firstLineChars="0"/>
              <w:jc w:val="center"/>
              <w:rPr>
                <w:color w:val="auto"/>
                <w:kern w:val="0"/>
                <w:sz w:val="21"/>
                <w:szCs w:val="21"/>
              </w:rPr>
            </w:pPr>
            <w:r>
              <w:rPr>
                <w:color w:val="auto"/>
                <w:kern w:val="0"/>
                <w:sz w:val="21"/>
                <w:szCs w:val="21"/>
              </w:rPr>
              <w:t>1,2,3-三氯丙烷</w:t>
            </w:r>
          </w:p>
        </w:tc>
        <w:tc>
          <w:tcPr>
            <w:tcW w:w="932" w:type="pct"/>
            <w:shd w:val="clear" w:color="auto" w:fill="FFFFFF" w:themeFill="background1"/>
            <w:vAlign w:val="center"/>
          </w:tcPr>
          <w:p w14:paraId="19042320">
            <w:pPr>
              <w:widowControl/>
              <w:spacing w:line="240" w:lineRule="auto"/>
              <w:ind w:firstLine="0" w:firstLineChars="0"/>
              <w:jc w:val="center"/>
              <w:rPr>
                <w:color w:val="auto"/>
                <w:kern w:val="0"/>
                <w:sz w:val="21"/>
                <w:szCs w:val="21"/>
              </w:rPr>
            </w:pPr>
            <w:r>
              <w:rPr>
                <w:color w:val="auto"/>
                <w:kern w:val="0"/>
                <w:sz w:val="21"/>
                <w:szCs w:val="21"/>
              </w:rPr>
              <w:t>96-18-4</w:t>
            </w:r>
          </w:p>
        </w:tc>
        <w:tc>
          <w:tcPr>
            <w:tcW w:w="960" w:type="pct"/>
            <w:shd w:val="clear" w:color="auto" w:fill="FFFFFF" w:themeFill="background1"/>
            <w:vAlign w:val="center"/>
          </w:tcPr>
          <w:p w14:paraId="4EC453FF">
            <w:pPr>
              <w:widowControl/>
              <w:spacing w:line="240" w:lineRule="auto"/>
              <w:ind w:firstLine="0" w:firstLineChars="0"/>
              <w:jc w:val="center"/>
              <w:rPr>
                <w:color w:val="auto"/>
                <w:kern w:val="0"/>
                <w:sz w:val="21"/>
                <w:szCs w:val="21"/>
              </w:rPr>
            </w:pPr>
            <w:r>
              <w:rPr>
                <w:color w:val="auto"/>
                <w:kern w:val="0"/>
                <w:sz w:val="21"/>
                <w:szCs w:val="21"/>
              </w:rPr>
              <w:t>0.5</w:t>
            </w:r>
          </w:p>
        </w:tc>
        <w:tc>
          <w:tcPr>
            <w:tcW w:w="1026" w:type="pct"/>
            <w:shd w:val="clear" w:color="auto" w:fill="FFFFFF" w:themeFill="background1"/>
            <w:vAlign w:val="center"/>
          </w:tcPr>
          <w:p w14:paraId="5CD74184">
            <w:pPr>
              <w:widowControl/>
              <w:spacing w:line="240" w:lineRule="auto"/>
              <w:ind w:firstLine="0" w:firstLineChars="0"/>
              <w:jc w:val="center"/>
              <w:rPr>
                <w:color w:val="auto"/>
                <w:kern w:val="0"/>
                <w:sz w:val="21"/>
                <w:szCs w:val="21"/>
              </w:rPr>
            </w:pPr>
            <w:r>
              <w:rPr>
                <w:rFonts w:hint="eastAsia"/>
                <w:color w:val="auto"/>
                <w:kern w:val="0"/>
                <w:sz w:val="21"/>
                <w:szCs w:val="21"/>
              </w:rPr>
              <w:t>5</w:t>
            </w:r>
          </w:p>
        </w:tc>
      </w:tr>
      <w:tr w14:paraId="61314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DA59B04">
            <w:pPr>
              <w:widowControl/>
              <w:spacing w:line="240" w:lineRule="auto"/>
              <w:ind w:firstLine="0" w:firstLineChars="0"/>
              <w:jc w:val="center"/>
              <w:rPr>
                <w:color w:val="auto"/>
                <w:kern w:val="0"/>
                <w:sz w:val="21"/>
                <w:szCs w:val="21"/>
              </w:rPr>
            </w:pPr>
            <w:r>
              <w:rPr>
                <w:color w:val="auto"/>
                <w:kern w:val="0"/>
                <w:sz w:val="21"/>
                <w:szCs w:val="21"/>
              </w:rPr>
              <w:t>25</w:t>
            </w:r>
          </w:p>
        </w:tc>
        <w:tc>
          <w:tcPr>
            <w:tcW w:w="1588" w:type="pct"/>
            <w:shd w:val="clear" w:color="auto" w:fill="FFFFFF" w:themeFill="background1"/>
            <w:vAlign w:val="center"/>
          </w:tcPr>
          <w:p w14:paraId="75389C27">
            <w:pPr>
              <w:widowControl/>
              <w:spacing w:line="240" w:lineRule="auto"/>
              <w:ind w:firstLine="0" w:firstLineChars="0"/>
              <w:jc w:val="center"/>
              <w:rPr>
                <w:color w:val="auto"/>
                <w:kern w:val="0"/>
                <w:sz w:val="21"/>
                <w:szCs w:val="21"/>
              </w:rPr>
            </w:pPr>
            <w:r>
              <w:rPr>
                <w:color w:val="auto"/>
                <w:kern w:val="0"/>
                <w:sz w:val="21"/>
                <w:szCs w:val="21"/>
              </w:rPr>
              <w:t>氯乙烯</w:t>
            </w:r>
          </w:p>
        </w:tc>
        <w:tc>
          <w:tcPr>
            <w:tcW w:w="932" w:type="pct"/>
            <w:shd w:val="clear" w:color="auto" w:fill="FFFFFF" w:themeFill="background1"/>
            <w:vAlign w:val="center"/>
          </w:tcPr>
          <w:p w14:paraId="17CB6ABF">
            <w:pPr>
              <w:widowControl/>
              <w:spacing w:line="240" w:lineRule="auto"/>
              <w:ind w:firstLine="0" w:firstLineChars="0"/>
              <w:jc w:val="center"/>
              <w:rPr>
                <w:color w:val="auto"/>
                <w:kern w:val="0"/>
                <w:sz w:val="21"/>
                <w:szCs w:val="21"/>
              </w:rPr>
            </w:pPr>
            <w:r>
              <w:rPr>
                <w:color w:val="auto"/>
                <w:kern w:val="0"/>
                <w:sz w:val="21"/>
                <w:szCs w:val="21"/>
              </w:rPr>
              <w:t>75-01-4</w:t>
            </w:r>
          </w:p>
        </w:tc>
        <w:tc>
          <w:tcPr>
            <w:tcW w:w="960" w:type="pct"/>
            <w:shd w:val="clear" w:color="auto" w:fill="FFFFFF" w:themeFill="background1"/>
            <w:vAlign w:val="center"/>
          </w:tcPr>
          <w:p w14:paraId="71CAEE7C">
            <w:pPr>
              <w:widowControl/>
              <w:spacing w:line="240" w:lineRule="auto"/>
              <w:ind w:firstLine="0" w:firstLineChars="0"/>
              <w:jc w:val="center"/>
              <w:rPr>
                <w:color w:val="auto"/>
                <w:kern w:val="0"/>
                <w:sz w:val="21"/>
                <w:szCs w:val="21"/>
              </w:rPr>
            </w:pPr>
            <w:r>
              <w:rPr>
                <w:color w:val="auto"/>
                <w:kern w:val="0"/>
                <w:sz w:val="21"/>
                <w:szCs w:val="21"/>
              </w:rPr>
              <w:t>0.43</w:t>
            </w:r>
          </w:p>
        </w:tc>
        <w:tc>
          <w:tcPr>
            <w:tcW w:w="1026" w:type="pct"/>
            <w:shd w:val="clear" w:color="auto" w:fill="FFFFFF" w:themeFill="background1"/>
            <w:vAlign w:val="center"/>
          </w:tcPr>
          <w:p w14:paraId="112C07BB">
            <w:pPr>
              <w:widowControl/>
              <w:spacing w:line="240" w:lineRule="auto"/>
              <w:ind w:firstLine="0" w:firstLineChars="0"/>
              <w:jc w:val="center"/>
              <w:rPr>
                <w:color w:val="auto"/>
                <w:kern w:val="0"/>
                <w:sz w:val="21"/>
                <w:szCs w:val="21"/>
              </w:rPr>
            </w:pPr>
            <w:r>
              <w:rPr>
                <w:rFonts w:hint="eastAsia"/>
                <w:color w:val="auto"/>
                <w:kern w:val="0"/>
                <w:sz w:val="21"/>
                <w:szCs w:val="21"/>
              </w:rPr>
              <w:t>4.3</w:t>
            </w:r>
          </w:p>
        </w:tc>
      </w:tr>
      <w:tr w14:paraId="72251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3B8A3143">
            <w:pPr>
              <w:widowControl/>
              <w:spacing w:line="240" w:lineRule="auto"/>
              <w:ind w:firstLine="0" w:firstLineChars="0"/>
              <w:jc w:val="center"/>
              <w:rPr>
                <w:color w:val="auto"/>
                <w:kern w:val="0"/>
                <w:sz w:val="21"/>
                <w:szCs w:val="21"/>
              </w:rPr>
            </w:pPr>
            <w:r>
              <w:rPr>
                <w:color w:val="auto"/>
                <w:kern w:val="0"/>
                <w:sz w:val="21"/>
                <w:szCs w:val="21"/>
              </w:rPr>
              <w:t>26</w:t>
            </w:r>
          </w:p>
        </w:tc>
        <w:tc>
          <w:tcPr>
            <w:tcW w:w="1588" w:type="pct"/>
            <w:shd w:val="clear" w:color="auto" w:fill="FFFFFF" w:themeFill="background1"/>
            <w:vAlign w:val="center"/>
          </w:tcPr>
          <w:p w14:paraId="3F90BA52">
            <w:pPr>
              <w:widowControl/>
              <w:spacing w:line="240" w:lineRule="auto"/>
              <w:ind w:firstLine="0" w:firstLineChars="0"/>
              <w:jc w:val="center"/>
              <w:rPr>
                <w:color w:val="auto"/>
                <w:kern w:val="0"/>
                <w:sz w:val="21"/>
                <w:szCs w:val="21"/>
              </w:rPr>
            </w:pPr>
            <w:r>
              <w:rPr>
                <w:color w:val="auto"/>
                <w:kern w:val="0"/>
                <w:sz w:val="21"/>
                <w:szCs w:val="21"/>
              </w:rPr>
              <w:t>苯</w:t>
            </w:r>
          </w:p>
        </w:tc>
        <w:tc>
          <w:tcPr>
            <w:tcW w:w="932" w:type="pct"/>
            <w:shd w:val="clear" w:color="auto" w:fill="FFFFFF" w:themeFill="background1"/>
            <w:vAlign w:val="center"/>
          </w:tcPr>
          <w:p w14:paraId="2E48B39B">
            <w:pPr>
              <w:widowControl/>
              <w:spacing w:line="240" w:lineRule="auto"/>
              <w:ind w:firstLine="0" w:firstLineChars="0"/>
              <w:jc w:val="center"/>
              <w:rPr>
                <w:color w:val="auto"/>
                <w:kern w:val="0"/>
                <w:sz w:val="21"/>
                <w:szCs w:val="21"/>
              </w:rPr>
            </w:pPr>
            <w:r>
              <w:rPr>
                <w:color w:val="auto"/>
                <w:kern w:val="0"/>
                <w:sz w:val="21"/>
                <w:szCs w:val="21"/>
              </w:rPr>
              <w:t>71-43-2</w:t>
            </w:r>
          </w:p>
        </w:tc>
        <w:tc>
          <w:tcPr>
            <w:tcW w:w="960" w:type="pct"/>
            <w:shd w:val="clear" w:color="auto" w:fill="FFFFFF" w:themeFill="background1"/>
            <w:vAlign w:val="center"/>
          </w:tcPr>
          <w:p w14:paraId="361F16A7">
            <w:pPr>
              <w:widowControl/>
              <w:spacing w:line="240" w:lineRule="auto"/>
              <w:ind w:firstLine="0" w:firstLineChars="0"/>
              <w:jc w:val="center"/>
              <w:rPr>
                <w:color w:val="auto"/>
                <w:kern w:val="0"/>
                <w:sz w:val="21"/>
                <w:szCs w:val="21"/>
              </w:rPr>
            </w:pPr>
            <w:r>
              <w:rPr>
                <w:color w:val="auto"/>
                <w:kern w:val="0"/>
                <w:sz w:val="21"/>
                <w:szCs w:val="21"/>
              </w:rPr>
              <w:t>4</w:t>
            </w:r>
          </w:p>
        </w:tc>
        <w:tc>
          <w:tcPr>
            <w:tcW w:w="1026" w:type="pct"/>
            <w:shd w:val="clear" w:color="auto" w:fill="FFFFFF" w:themeFill="background1"/>
            <w:vAlign w:val="center"/>
          </w:tcPr>
          <w:p w14:paraId="61B4DA3C">
            <w:pPr>
              <w:widowControl/>
              <w:spacing w:line="240" w:lineRule="auto"/>
              <w:ind w:firstLine="0" w:firstLineChars="0"/>
              <w:jc w:val="center"/>
              <w:rPr>
                <w:color w:val="auto"/>
                <w:kern w:val="0"/>
                <w:sz w:val="21"/>
                <w:szCs w:val="21"/>
              </w:rPr>
            </w:pPr>
            <w:r>
              <w:rPr>
                <w:rFonts w:hint="eastAsia"/>
                <w:color w:val="auto"/>
                <w:kern w:val="0"/>
                <w:sz w:val="21"/>
                <w:szCs w:val="21"/>
              </w:rPr>
              <w:t>40</w:t>
            </w:r>
          </w:p>
        </w:tc>
      </w:tr>
      <w:tr w14:paraId="0AF5E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46DA72E">
            <w:pPr>
              <w:widowControl/>
              <w:spacing w:line="240" w:lineRule="auto"/>
              <w:ind w:firstLine="0" w:firstLineChars="0"/>
              <w:jc w:val="center"/>
              <w:rPr>
                <w:color w:val="auto"/>
                <w:kern w:val="0"/>
                <w:sz w:val="21"/>
                <w:szCs w:val="21"/>
              </w:rPr>
            </w:pPr>
            <w:r>
              <w:rPr>
                <w:color w:val="auto"/>
                <w:kern w:val="0"/>
                <w:sz w:val="21"/>
                <w:szCs w:val="21"/>
              </w:rPr>
              <w:t>27</w:t>
            </w:r>
          </w:p>
        </w:tc>
        <w:tc>
          <w:tcPr>
            <w:tcW w:w="1588" w:type="pct"/>
            <w:shd w:val="clear" w:color="auto" w:fill="FFFFFF" w:themeFill="background1"/>
            <w:vAlign w:val="center"/>
          </w:tcPr>
          <w:p w14:paraId="4DB34895">
            <w:pPr>
              <w:widowControl/>
              <w:spacing w:line="240" w:lineRule="auto"/>
              <w:ind w:firstLine="0" w:firstLineChars="0"/>
              <w:jc w:val="center"/>
              <w:rPr>
                <w:color w:val="auto"/>
                <w:kern w:val="0"/>
                <w:sz w:val="21"/>
                <w:szCs w:val="21"/>
              </w:rPr>
            </w:pPr>
            <w:r>
              <w:rPr>
                <w:color w:val="auto"/>
                <w:kern w:val="0"/>
                <w:sz w:val="21"/>
                <w:szCs w:val="21"/>
              </w:rPr>
              <w:t>氯苯</w:t>
            </w:r>
          </w:p>
        </w:tc>
        <w:tc>
          <w:tcPr>
            <w:tcW w:w="932" w:type="pct"/>
            <w:shd w:val="clear" w:color="auto" w:fill="FFFFFF" w:themeFill="background1"/>
            <w:vAlign w:val="center"/>
          </w:tcPr>
          <w:p w14:paraId="71F450CC">
            <w:pPr>
              <w:widowControl/>
              <w:spacing w:line="240" w:lineRule="auto"/>
              <w:ind w:firstLine="0" w:firstLineChars="0"/>
              <w:jc w:val="center"/>
              <w:rPr>
                <w:color w:val="auto"/>
                <w:kern w:val="0"/>
                <w:sz w:val="21"/>
                <w:szCs w:val="21"/>
              </w:rPr>
            </w:pPr>
            <w:r>
              <w:rPr>
                <w:color w:val="auto"/>
                <w:kern w:val="0"/>
                <w:sz w:val="21"/>
                <w:szCs w:val="21"/>
              </w:rPr>
              <w:t>108-90-7</w:t>
            </w:r>
          </w:p>
        </w:tc>
        <w:tc>
          <w:tcPr>
            <w:tcW w:w="960" w:type="pct"/>
            <w:shd w:val="clear" w:color="auto" w:fill="FFFFFF" w:themeFill="background1"/>
            <w:vAlign w:val="center"/>
          </w:tcPr>
          <w:p w14:paraId="44CC85B0">
            <w:pPr>
              <w:widowControl/>
              <w:spacing w:line="240" w:lineRule="auto"/>
              <w:ind w:firstLine="0" w:firstLineChars="0"/>
              <w:jc w:val="center"/>
              <w:rPr>
                <w:color w:val="auto"/>
                <w:kern w:val="0"/>
                <w:sz w:val="21"/>
                <w:szCs w:val="21"/>
              </w:rPr>
            </w:pPr>
            <w:r>
              <w:rPr>
                <w:color w:val="auto"/>
                <w:kern w:val="0"/>
                <w:sz w:val="21"/>
                <w:szCs w:val="21"/>
              </w:rPr>
              <w:t>270</w:t>
            </w:r>
          </w:p>
        </w:tc>
        <w:tc>
          <w:tcPr>
            <w:tcW w:w="1026" w:type="pct"/>
            <w:shd w:val="clear" w:color="auto" w:fill="FFFFFF" w:themeFill="background1"/>
            <w:vAlign w:val="center"/>
          </w:tcPr>
          <w:p w14:paraId="75319A35">
            <w:pPr>
              <w:widowControl/>
              <w:spacing w:line="240" w:lineRule="auto"/>
              <w:ind w:firstLine="0" w:firstLineChars="0"/>
              <w:jc w:val="center"/>
              <w:rPr>
                <w:color w:val="auto"/>
                <w:kern w:val="0"/>
                <w:sz w:val="21"/>
                <w:szCs w:val="21"/>
              </w:rPr>
            </w:pPr>
            <w:r>
              <w:rPr>
                <w:rFonts w:hint="eastAsia"/>
                <w:color w:val="auto"/>
                <w:kern w:val="0"/>
                <w:sz w:val="21"/>
                <w:szCs w:val="21"/>
              </w:rPr>
              <w:t>1000</w:t>
            </w:r>
          </w:p>
        </w:tc>
      </w:tr>
      <w:tr w14:paraId="69F11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751A399">
            <w:pPr>
              <w:widowControl/>
              <w:spacing w:line="240" w:lineRule="auto"/>
              <w:ind w:firstLine="0" w:firstLineChars="0"/>
              <w:jc w:val="center"/>
              <w:rPr>
                <w:color w:val="auto"/>
                <w:kern w:val="0"/>
                <w:sz w:val="21"/>
                <w:szCs w:val="21"/>
              </w:rPr>
            </w:pPr>
            <w:r>
              <w:rPr>
                <w:color w:val="auto"/>
                <w:kern w:val="0"/>
                <w:sz w:val="21"/>
                <w:szCs w:val="21"/>
              </w:rPr>
              <w:t>28</w:t>
            </w:r>
          </w:p>
        </w:tc>
        <w:tc>
          <w:tcPr>
            <w:tcW w:w="1588" w:type="pct"/>
            <w:shd w:val="clear" w:color="auto" w:fill="FFFFFF" w:themeFill="background1"/>
            <w:vAlign w:val="center"/>
          </w:tcPr>
          <w:p w14:paraId="31FDF342">
            <w:pPr>
              <w:widowControl/>
              <w:spacing w:line="240" w:lineRule="auto"/>
              <w:ind w:firstLine="0" w:firstLineChars="0"/>
              <w:jc w:val="center"/>
              <w:rPr>
                <w:color w:val="auto"/>
                <w:kern w:val="0"/>
                <w:sz w:val="21"/>
                <w:szCs w:val="21"/>
              </w:rPr>
            </w:pPr>
            <w:r>
              <w:rPr>
                <w:color w:val="auto"/>
                <w:kern w:val="0"/>
                <w:sz w:val="21"/>
                <w:szCs w:val="21"/>
              </w:rPr>
              <w:t>1,2-二氯苯</w:t>
            </w:r>
          </w:p>
        </w:tc>
        <w:tc>
          <w:tcPr>
            <w:tcW w:w="932" w:type="pct"/>
            <w:shd w:val="clear" w:color="auto" w:fill="FFFFFF" w:themeFill="background1"/>
            <w:vAlign w:val="center"/>
          </w:tcPr>
          <w:p w14:paraId="7669FA2C">
            <w:pPr>
              <w:widowControl/>
              <w:spacing w:line="240" w:lineRule="auto"/>
              <w:ind w:firstLine="0" w:firstLineChars="0"/>
              <w:jc w:val="center"/>
              <w:rPr>
                <w:color w:val="auto"/>
                <w:kern w:val="0"/>
                <w:sz w:val="21"/>
                <w:szCs w:val="21"/>
              </w:rPr>
            </w:pPr>
            <w:r>
              <w:rPr>
                <w:color w:val="auto"/>
                <w:kern w:val="0"/>
                <w:sz w:val="21"/>
                <w:szCs w:val="21"/>
              </w:rPr>
              <w:t>95-50-1</w:t>
            </w:r>
          </w:p>
        </w:tc>
        <w:tc>
          <w:tcPr>
            <w:tcW w:w="960" w:type="pct"/>
            <w:shd w:val="clear" w:color="auto" w:fill="FFFFFF" w:themeFill="background1"/>
            <w:vAlign w:val="center"/>
          </w:tcPr>
          <w:p w14:paraId="5AAF69F6">
            <w:pPr>
              <w:widowControl/>
              <w:spacing w:line="240" w:lineRule="auto"/>
              <w:ind w:firstLine="0" w:firstLineChars="0"/>
              <w:jc w:val="center"/>
              <w:rPr>
                <w:color w:val="auto"/>
                <w:kern w:val="0"/>
                <w:sz w:val="21"/>
                <w:szCs w:val="21"/>
              </w:rPr>
            </w:pPr>
            <w:r>
              <w:rPr>
                <w:color w:val="auto"/>
                <w:kern w:val="0"/>
                <w:sz w:val="21"/>
                <w:szCs w:val="21"/>
              </w:rPr>
              <w:t>560</w:t>
            </w:r>
          </w:p>
        </w:tc>
        <w:tc>
          <w:tcPr>
            <w:tcW w:w="1026" w:type="pct"/>
            <w:shd w:val="clear" w:color="auto" w:fill="FFFFFF" w:themeFill="background1"/>
            <w:vAlign w:val="center"/>
          </w:tcPr>
          <w:p w14:paraId="1680E580">
            <w:pPr>
              <w:widowControl/>
              <w:spacing w:line="240" w:lineRule="auto"/>
              <w:ind w:firstLine="0" w:firstLineChars="0"/>
              <w:jc w:val="center"/>
              <w:rPr>
                <w:color w:val="auto"/>
                <w:kern w:val="0"/>
                <w:sz w:val="21"/>
                <w:szCs w:val="21"/>
              </w:rPr>
            </w:pPr>
            <w:r>
              <w:rPr>
                <w:rFonts w:hint="eastAsia"/>
                <w:color w:val="auto"/>
                <w:kern w:val="0"/>
                <w:sz w:val="21"/>
                <w:szCs w:val="21"/>
              </w:rPr>
              <w:t>560</w:t>
            </w:r>
          </w:p>
        </w:tc>
      </w:tr>
      <w:tr w14:paraId="698E5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623ADDED">
            <w:pPr>
              <w:widowControl/>
              <w:spacing w:line="240" w:lineRule="auto"/>
              <w:ind w:firstLine="0" w:firstLineChars="0"/>
              <w:jc w:val="center"/>
              <w:rPr>
                <w:color w:val="auto"/>
                <w:kern w:val="0"/>
                <w:sz w:val="21"/>
                <w:szCs w:val="21"/>
              </w:rPr>
            </w:pPr>
            <w:r>
              <w:rPr>
                <w:color w:val="auto"/>
                <w:kern w:val="0"/>
                <w:sz w:val="21"/>
                <w:szCs w:val="21"/>
              </w:rPr>
              <w:t>29</w:t>
            </w:r>
          </w:p>
        </w:tc>
        <w:tc>
          <w:tcPr>
            <w:tcW w:w="1588" w:type="pct"/>
            <w:shd w:val="clear" w:color="auto" w:fill="FFFFFF" w:themeFill="background1"/>
            <w:vAlign w:val="center"/>
          </w:tcPr>
          <w:p w14:paraId="0760C9C8">
            <w:pPr>
              <w:widowControl/>
              <w:spacing w:line="240" w:lineRule="auto"/>
              <w:ind w:firstLine="0" w:firstLineChars="0"/>
              <w:jc w:val="center"/>
              <w:rPr>
                <w:color w:val="auto"/>
                <w:kern w:val="0"/>
                <w:sz w:val="21"/>
                <w:szCs w:val="21"/>
              </w:rPr>
            </w:pPr>
            <w:r>
              <w:rPr>
                <w:color w:val="auto"/>
                <w:kern w:val="0"/>
                <w:sz w:val="21"/>
                <w:szCs w:val="21"/>
              </w:rPr>
              <w:t>1,4-二氯苯</w:t>
            </w:r>
          </w:p>
        </w:tc>
        <w:tc>
          <w:tcPr>
            <w:tcW w:w="932" w:type="pct"/>
            <w:shd w:val="clear" w:color="auto" w:fill="FFFFFF" w:themeFill="background1"/>
            <w:vAlign w:val="center"/>
          </w:tcPr>
          <w:p w14:paraId="2729BABA">
            <w:pPr>
              <w:widowControl/>
              <w:spacing w:line="240" w:lineRule="auto"/>
              <w:ind w:firstLine="0" w:firstLineChars="0"/>
              <w:jc w:val="center"/>
              <w:rPr>
                <w:color w:val="auto"/>
                <w:kern w:val="0"/>
                <w:sz w:val="21"/>
                <w:szCs w:val="21"/>
              </w:rPr>
            </w:pPr>
            <w:r>
              <w:rPr>
                <w:color w:val="auto"/>
                <w:kern w:val="0"/>
                <w:sz w:val="21"/>
                <w:szCs w:val="21"/>
              </w:rPr>
              <w:t>106-46-7</w:t>
            </w:r>
          </w:p>
        </w:tc>
        <w:tc>
          <w:tcPr>
            <w:tcW w:w="960" w:type="pct"/>
            <w:shd w:val="clear" w:color="auto" w:fill="FFFFFF" w:themeFill="background1"/>
            <w:vAlign w:val="center"/>
          </w:tcPr>
          <w:p w14:paraId="06ED2679">
            <w:pPr>
              <w:widowControl/>
              <w:spacing w:line="240" w:lineRule="auto"/>
              <w:ind w:firstLine="0" w:firstLineChars="0"/>
              <w:jc w:val="center"/>
              <w:rPr>
                <w:color w:val="auto"/>
                <w:kern w:val="0"/>
                <w:sz w:val="21"/>
                <w:szCs w:val="21"/>
              </w:rPr>
            </w:pPr>
            <w:r>
              <w:rPr>
                <w:color w:val="auto"/>
                <w:kern w:val="0"/>
                <w:sz w:val="21"/>
                <w:szCs w:val="21"/>
              </w:rPr>
              <w:t>20</w:t>
            </w:r>
          </w:p>
        </w:tc>
        <w:tc>
          <w:tcPr>
            <w:tcW w:w="1026" w:type="pct"/>
            <w:shd w:val="clear" w:color="auto" w:fill="FFFFFF" w:themeFill="background1"/>
            <w:vAlign w:val="center"/>
          </w:tcPr>
          <w:p w14:paraId="52E9AC93">
            <w:pPr>
              <w:widowControl/>
              <w:spacing w:line="240" w:lineRule="auto"/>
              <w:ind w:firstLine="0" w:firstLineChars="0"/>
              <w:jc w:val="center"/>
              <w:rPr>
                <w:color w:val="auto"/>
                <w:kern w:val="0"/>
                <w:sz w:val="21"/>
                <w:szCs w:val="21"/>
              </w:rPr>
            </w:pPr>
            <w:r>
              <w:rPr>
                <w:rFonts w:hint="eastAsia"/>
                <w:color w:val="auto"/>
                <w:kern w:val="0"/>
                <w:sz w:val="21"/>
                <w:szCs w:val="21"/>
              </w:rPr>
              <w:t>200</w:t>
            </w:r>
          </w:p>
        </w:tc>
      </w:tr>
      <w:tr w14:paraId="72C8A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54E48B1">
            <w:pPr>
              <w:widowControl/>
              <w:spacing w:line="240" w:lineRule="auto"/>
              <w:ind w:firstLine="0" w:firstLineChars="0"/>
              <w:jc w:val="center"/>
              <w:rPr>
                <w:color w:val="auto"/>
                <w:kern w:val="0"/>
                <w:sz w:val="21"/>
                <w:szCs w:val="21"/>
              </w:rPr>
            </w:pPr>
            <w:r>
              <w:rPr>
                <w:color w:val="auto"/>
                <w:kern w:val="0"/>
                <w:sz w:val="21"/>
                <w:szCs w:val="21"/>
              </w:rPr>
              <w:t>30</w:t>
            </w:r>
          </w:p>
        </w:tc>
        <w:tc>
          <w:tcPr>
            <w:tcW w:w="1588" w:type="pct"/>
            <w:shd w:val="clear" w:color="auto" w:fill="FFFFFF" w:themeFill="background1"/>
            <w:vAlign w:val="center"/>
          </w:tcPr>
          <w:p w14:paraId="77475D81">
            <w:pPr>
              <w:widowControl/>
              <w:spacing w:line="240" w:lineRule="auto"/>
              <w:ind w:firstLine="0" w:firstLineChars="0"/>
              <w:jc w:val="center"/>
              <w:rPr>
                <w:color w:val="auto"/>
                <w:kern w:val="0"/>
                <w:sz w:val="21"/>
                <w:szCs w:val="21"/>
              </w:rPr>
            </w:pPr>
            <w:r>
              <w:rPr>
                <w:color w:val="auto"/>
                <w:kern w:val="0"/>
                <w:sz w:val="21"/>
                <w:szCs w:val="21"/>
              </w:rPr>
              <w:t>乙苯</w:t>
            </w:r>
          </w:p>
        </w:tc>
        <w:tc>
          <w:tcPr>
            <w:tcW w:w="932" w:type="pct"/>
            <w:shd w:val="clear" w:color="auto" w:fill="FFFFFF" w:themeFill="background1"/>
            <w:vAlign w:val="center"/>
          </w:tcPr>
          <w:p w14:paraId="07DB0857">
            <w:pPr>
              <w:widowControl/>
              <w:spacing w:line="240" w:lineRule="auto"/>
              <w:ind w:firstLine="0" w:firstLineChars="0"/>
              <w:jc w:val="center"/>
              <w:rPr>
                <w:color w:val="auto"/>
                <w:kern w:val="0"/>
                <w:sz w:val="21"/>
                <w:szCs w:val="21"/>
              </w:rPr>
            </w:pPr>
            <w:r>
              <w:rPr>
                <w:color w:val="auto"/>
                <w:kern w:val="0"/>
                <w:sz w:val="21"/>
                <w:szCs w:val="21"/>
              </w:rPr>
              <w:t>100-41-4</w:t>
            </w:r>
          </w:p>
        </w:tc>
        <w:tc>
          <w:tcPr>
            <w:tcW w:w="960" w:type="pct"/>
            <w:shd w:val="clear" w:color="auto" w:fill="FFFFFF" w:themeFill="background1"/>
            <w:vAlign w:val="center"/>
          </w:tcPr>
          <w:p w14:paraId="78DBA96D">
            <w:pPr>
              <w:widowControl/>
              <w:spacing w:line="240" w:lineRule="auto"/>
              <w:ind w:firstLine="0" w:firstLineChars="0"/>
              <w:jc w:val="center"/>
              <w:rPr>
                <w:color w:val="auto"/>
                <w:kern w:val="0"/>
                <w:sz w:val="21"/>
                <w:szCs w:val="21"/>
              </w:rPr>
            </w:pPr>
            <w:r>
              <w:rPr>
                <w:color w:val="auto"/>
                <w:kern w:val="0"/>
                <w:sz w:val="21"/>
                <w:szCs w:val="21"/>
              </w:rPr>
              <w:t>28</w:t>
            </w:r>
          </w:p>
        </w:tc>
        <w:tc>
          <w:tcPr>
            <w:tcW w:w="1026" w:type="pct"/>
            <w:shd w:val="clear" w:color="auto" w:fill="FFFFFF" w:themeFill="background1"/>
            <w:vAlign w:val="center"/>
          </w:tcPr>
          <w:p w14:paraId="1DFFA0CD">
            <w:pPr>
              <w:widowControl/>
              <w:spacing w:line="240" w:lineRule="auto"/>
              <w:ind w:firstLine="0" w:firstLineChars="0"/>
              <w:jc w:val="center"/>
              <w:rPr>
                <w:color w:val="auto"/>
                <w:kern w:val="0"/>
                <w:sz w:val="21"/>
                <w:szCs w:val="21"/>
              </w:rPr>
            </w:pPr>
            <w:r>
              <w:rPr>
                <w:rFonts w:hint="eastAsia"/>
                <w:color w:val="auto"/>
                <w:kern w:val="0"/>
                <w:sz w:val="21"/>
                <w:szCs w:val="21"/>
              </w:rPr>
              <w:t>280</w:t>
            </w:r>
          </w:p>
        </w:tc>
      </w:tr>
      <w:tr w14:paraId="4514E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70908C6">
            <w:pPr>
              <w:widowControl/>
              <w:spacing w:line="240" w:lineRule="auto"/>
              <w:ind w:firstLine="0" w:firstLineChars="0"/>
              <w:jc w:val="center"/>
              <w:rPr>
                <w:color w:val="auto"/>
                <w:kern w:val="0"/>
                <w:sz w:val="21"/>
                <w:szCs w:val="21"/>
              </w:rPr>
            </w:pPr>
            <w:r>
              <w:rPr>
                <w:color w:val="auto"/>
                <w:kern w:val="0"/>
                <w:sz w:val="21"/>
                <w:szCs w:val="21"/>
              </w:rPr>
              <w:t>31</w:t>
            </w:r>
          </w:p>
        </w:tc>
        <w:tc>
          <w:tcPr>
            <w:tcW w:w="1588" w:type="pct"/>
            <w:shd w:val="clear" w:color="auto" w:fill="FFFFFF" w:themeFill="background1"/>
            <w:vAlign w:val="center"/>
          </w:tcPr>
          <w:p w14:paraId="50A25365">
            <w:pPr>
              <w:widowControl/>
              <w:spacing w:line="240" w:lineRule="auto"/>
              <w:ind w:firstLine="0" w:firstLineChars="0"/>
              <w:jc w:val="center"/>
              <w:rPr>
                <w:color w:val="auto"/>
                <w:kern w:val="0"/>
                <w:sz w:val="21"/>
                <w:szCs w:val="21"/>
              </w:rPr>
            </w:pPr>
            <w:r>
              <w:rPr>
                <w:color w:val="auto"/>
                <w:kern w:val="0"/>
                <w:sz w:val="21"/>
                <w:szCs w:val="21"/>
              </w:rPr>
              <w:t>苯乙烯</w:t>
            </w:r>
          </w:p>
        </w:tc>
        <w:tc>
          <w:tcPr>
            <w:tcW w:w="932" w:type="pct"/>
            <w:shd w:val="clear" w:color="auto" w:fill="FFFFFF" w:themeFill="background1"/>
            <w:vAlign w:val="center"/>
          </w:tcPr>
          <w:p w14:paraId="7E661DC2">
            <w:pPr>
              <w:widowControl/>
              <w:spacing w:line="240" w:lineRule="auto"/>
              <w:ind w:firstLine="0" w:firstLineChars="0"/>
              <w:jc w:val="center"/>
              <w:rPr>
                <w:color w:val="auto"/>
                <w:kern w:val="0"/>
                <w:sz w:val="21"/>
                <w:szCs w:val="21"/>
              </w:rPr>
            </w:pPr>
            <w:r>
              <w:rPr>
                <w:color w:val="auto"/>
                <w:kern w:val="0"/>
                <w:sz w:val="21"/>
                <w:szCs w:val="21"/>
              </w:rPr>
              <w:t>100-42-5</w:t>
            </w:r>
          </w:p>
        </w:tc>
        <w:tc>
          <w:tcPr>
            <w:tcW w:w="960" w:type="pct"/>
            <w:shd w:val="clear" w:color="auto" w:fill="FFFFFF" w:themeFill="background1"/>
            <w:vAlign w:val="center"/>
          </w:tcPr>
          <w:p w14:paraId="2E90940A">
            <w:pPr>
              <w:widowControl/>
              <w:spacing w:line="240" w:lineRule="auto"/>
              <w:ind w:firstLine="0" w:firstLineChars="0"/>
              <w:jc w:val="center"/>
              <w:rPr>
                <w:color w:val="auto"/>
                <w:kern w:val="0"/>
                <w:sz w:val="21"/>
                <w:szCs w:val="21"/>
              </w:rPr>
            </w:pPr>
            <w:r>
              <w:rPr>
                <w:color w:val="auto"/>
                <w:kern w:val="0"/>
                <w:sz w:val="21"/>
                <w:szCs w:val="21"/>
              </w:rPr>
              <w:t>1290</w:t>
            </w:r>
          </w:p>
        </w:tc>
        <w:tc>
          <w:tcPr>
            <w:tcW w:w="1026" w:type="pct"/>
            <w:shd w:val="clear" w:color="auto" w:fill="FFFFFF" w:themeFill="background1"/>
            <w:vAlign w:val="center"/>
          </w:tcPr>
          <w:p w14:paraId="7B8C0125">
            <w:pPr>
              <w:widowControl/>
              <w:spacing w:line="240" w:lineRule="auto"/>
              <w:ind w:firstLine="0" w:firstLineChars="0"/>
              <w:jc w:val="center"/>
              <w:rPr>
                <w:color w:val="auto"/>
                <w:kern w:val="0"/>
                <w:sz w:val="21"/>
                <w:szCs w:val="21"/>
              </w:rPr>
            </w:pPr>
            <w:r>
              <w:rPr>
                <w:rFonts w:hint="eastAsia"/>
                <w:color w:val="auto"/>
                <w:kern w:val="0"/>
                <w:sz w:val="21"/>
                <w:szCs w:val="21"/>
              </w:rPr>
              <w:t>1290</w:t>
            </w:r>
          </w:p>
        </w:tc>
      </w:tr>
      <w:tr w14:paraId="01E19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4EE8AB35">
            <w:pPr>
              <w:widowControl/>
              <w:spacing w:line="240" w:lineRule="auto"/>
              <w:ind w:firstLine="0" w:firstLineChars="0"/>
              <w:jc w:val="center"/>
              <w:rPr>
                <w:color w:val="auto"/>
                <w:kern w:val="0"/>
                <w:sz w:val="21"/>
                <w:szCs w:val="21"/>
              </w:rPr>
            </w:pPr>
            <w:r>
              <w:rPr>
                <w:color w:val="auto"/>
                <w:kern w:val="0"/>
                <w:sz w:val="21"/>
                <w:szCs w:val="21"/>
              </w:rPr>
              <w:t>32</w:t>
            </w:r>
          </w:p>
        </w:tc>
        <w:tc>
          <w:tcPr>
            <w:tcW w:w="1588" w:type="pct"/>
            <w:shd w:val="clear" w:color="auto" w:fill="FFFFFF" w:themeFill="background1"/>
            <w:vAlign w:val="center"/>
          </w:tcPr>
          <w:p w14:paraId="4EFCEA51">
            <w:pPr>
              <w:widowControl/>
              <w:spacing w:line="240" w:lineRule="auto"/>
              <w:ind w:firstLine="0" w:firstLineChars="0"/>
              <w:jc w:val="center"/>
              <w:rPr>
                <w:color w:val="auto"/>
                <w:kern w:val="0"/>
                <w:sz w:val="21"/>
                <w:szCs w:val="21"/>
              </w:rPr>
            </w:pPr>
            <w:r>
              <w:rPr>
                <w:color w:val="auto"/>
                <w:kern w:val="0"/>
                <w:sz w:val="21"/>
                <w:szCs w:val="21"/>
              </w:rPr>
              <w:t>甲苯</w:t>
            </w:r>
          </w:p>
        </w:tc>
        <w:tc>
          <w:tcPr>
            <w:tcW w:w="932" w:type="pct"/>
            <w:shd w:val="clear" w:color="auto" w:fill="FFFFFF" w:themeFill="background1"/>
            <w:vAlign w:val="center"/>
          </w:tcPr>
          <w:p w14:paraId="57B60C00">
            <w:pPr>
              <w:widowControl/>
              <w:spacing w:line="240" w:lineRule="auto"/>
              <w:ind w:firstLine="0" w:firstLineChars="0"/>
              <w:jc w:val="center"/>
              <w:rPr>
                <w:color w:val="auto"/>
                <w:kern w:val="0"/>
                <w:sz w:val="21"/>
                <w:szCs w:val="21"/>
              </w:rPr>
            </w:pPr>
            <w:r>
              <w:rPr>
                <w:color w:val="auto"/>
                <w:kern w:val="0"/>
                <w:sz w:val="21"/>
                <w:szCs w:val="21"/>
              </w:rPr>
              <w:t>108-88-3</w:t>
            </w:r>
          </w:p>
        </w:tc>
        <w:tc>
          <w:tcPr>
            <w:tcW w:w="960" w:type="pct"/>
            <w:shd w:val="clear" w:color="auto" w:fill="FFFFFF" w:themeFill="background1"/>
            <w:vAlign w:val="center"/>
          </w:tcPr>
          <w:p w14:paraId="7DF74F63">
            <w:pPr>
              <w:widowControl/>
              <w:spacing w:line="240" w:lineRule="auto"/>
              <w:ind w:firstLine="0" w:firstLineChars="0"/>
              <w:jc w:val="center"/>
              <w:rPr>
                <w:color w:val="auto"/>
                <w:kern w:val="0"/>
                <w:sz w:val="21"/>
                <w:szCs w:val="21"/>
              </w:rPr>
            </w:pPr>
            <w:r>
              <w:rPr>
                <w:color w:val="auto"/>
                <w:kern w:val="0"/>
                <w:sz w:val="21"/>
                <w:szCs w:val="21"/>
              </w:rPr>
              <w:t>1200</w:t>
            </w:r>
          </w:p>
        </w:tc>
        <w:tc>
          <w:tcPr>
            <w:tcW w:w="1026" w:type="pct"/>
            <w:shd w:val="clear" w:color="auto" w:fill="FFFFFF" w:themeFill="background1"/>
            <w:vAlign w:val="center"/>
          </w:tcPr>
          <w:p w14:paraId="13AD7EAE">
            <w:pPr>
              <w:widowControl/>
              <w:spacing w:line="240" w:lineRule="auto"/>
              <w:ind w:firstLine="0" w:firstLineChars="0"/>
              <w:jc w:val="center"/>
              <w:rPr>
                <w:color w:val="auto"/>
                <w:kern w:val="0"/>
                <w:sz w:val="21"/>
                <w:szCs w:val="21"/>
              </w:rPr>
            </w:pPr>
            <w:r>
              <w:rPr>
                <w:rFonts w:hint="eastAsia"/>
                <w:color w:val="auto"/>
                <w:kern w:val="0"/>
                <w:sz w:val="21"/>
                <w:szCs w:val="21"/>
              </w:rPr>
              <w:t>1200</w:t>
            </w:r>
          </w:p>
        </w:tc>
      </w:tr>
      <w:tr w14:paraId="0D4DE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46EFF5D0">
            <w:pPr>
              <w:widowControl/>
              <w:spacing w:line="240" w:lineRule="auto"/>
              <w:ind w:firstLine="0" w:firstLineChars="0"/>
              <w:jc w:val="center"/>
              <w:rPr>
                <w:color w:val="auto"/>
                <w:kern w:val="0"/>
                <w:sz w:val="21"/>
                <w:szCs w:val="21"/>
              </w:rPr>
            </w:pPr>
            <w:r>
              <w:rPr>
                <w:color w:val="auto"/>
                <w:kern w:val="0"/>
                <w:sz w:val="21"/>
                <w:szCs w:val="21"/>
              </w:rPr>
              <w:t>33</w:t>
            </w:r>
          </w:p>
        </w:tc>
        <w:tc>
          <w:tcPr>
            <w:tcW w:w="1588" w:type="pct"/>
            <w:shd w:val="clear" w:color="auto" w:fill="FFFFFF" w:themeFill="background1"/>
            <w:vAlign w:val="center"/>
          </w:tcPr>
          <w:p w14:paraId="7EB60EF1">
            <w:pPr>
              <w:widowControl/>
              <w:spacing w:line="240" w:lineRule="auto"/>
              <w:ind w:firstLine="0" w:firstLineChars="0"/>
              <w:jc w:val="center"/>
              <w:rPr>
                <w:color w:val="auto"/>
                <w:kern w:val="0"/>
                <w:sz w:val="21"/>
                <w:szCs w:val="21"/>
              </w:rPr>
            </w:pPr>
            <w:r>
              <w:rPr>
                <w:color w:val="auto"/>
                <w:kern w:val="0"/>
                <w:sz w:val="21"/>
                <w:szCs w:val="21"/>
              </w:rPr>
              <w:t>间二甲苯+对二甲苯</w:t>
            </w:r>
          </w:p>
        </w:tc>
        <w:tc>
          <w:tcPr>
            <w:tcW w:w="932" w:type="pct"/>
            <w:shd w:val="clear" w:color="auto" w:fill="FFFFFF" w:themeFill="background1"/>
            <w:vAlign w:val="center"/>
          </w:tcPr>
          <w:p w14:paraId="2968375A">
            <w:pPr>
              <w:widowControl/>
              <w:spacing w:line="240" w:lineRule="auto"/>
              <w:ind w:firstLine="0" w:firstLineChars="0"/>
              <w:jc w:val="center"/>
              <w:rPr>
                <w:color w:val="auto"/>
                <w:kern w:val="0"/>
                <w:sz w:val="21"/>
                <w:szCs w:val="21"/>
              </w:rPr>
            </w:pPr>
            <w:r>
              <w:rPr>
                <w:color w:val="auto"/>
                <w:kern w:val="0"/>
                <w:sz w:val="21"/>
                <w:szCs w:val="21"/>
              </w:rPr>
              <w:t>108-38-3,</w:t>
            </w:r>
          </w:p>
          <w:p w14:paraId="1E203EA8">
            <w:pPr>
              <w:widowControl/>
              <w:spacing w:line="240" w:lineRule="auto"/>
              <w:ind w:firstLine="0" w:firstLineChars="0"/>
              <w:jc w:val="center"/>
              <w:rPr>
                <w:color w:val="auto"/>
                <w:kern w:val="0"/>
                <w:sz w:val="21"/>
                <w:szCs w:val="21"/>
              </w:rPr>
            </w:pPr>
            <w:r>
              <w:rPr>
                <w:color w:val="auto"/>
                <w:kern w:val="0"/>
                <w:sz w:val="21"/>
                <w:szCs w:val="21"/>
              </w:rPr>
              <w:t>106-42-3</w:t>
            </w:r>
          </w:p>
        </w:tc>
        <w:tc>
          <w:tcPr>
            <w:tcW w:w="960" w:type="pct"/>
            <w:shd w:val="clear" w:color="auto" w:fill="FFFFFF" w:themeFill="background1"/>
            <w:vAlign w:val="center"/>
          </w:tcPr>
          <w:p w14:paraId="56106708">
            <w:pPr>
              <w:widowControl/>
              <w:spacing w:line="240" w:lineRule="auto"/>
              <w:ind w:firstLine="0" w:firstLineChars="0"/>
              <w:jc w:val="center"/>
              <w:rPr>
                <w:color w:val="auto"/>
                <w:kern w:val="0"/>
                <w:sz w:val="21"/>
                <w:szCs w:val="21"/>
              </w:rPr>
            </w:pPr>
            <w:r>
              <w:rPr>
                <w:color w:val="auto"/>
                <w:kern w:val="0"/>
                <w:sz w:val="21"/>
                <w:szCs w:val="21"/>
              </w:rPr>
              <w:t>570</w:t>
            </w:r>
          </w:p>
        </w:tc>
        <w:tc>
          <w:tcPr>
            <w:tcW w:w="1026" w:type="pct"/>
            <w:shd w:val="clear" w:color="auto" w:fill="FFFFFF" w:themeFill="background1"/>
            <w:vAlign w:val="center"/>
          </w:tcPr>
          <w:p w14:paraId="4E4D79FE">
            <w:pPr>
              <w:widowControl/>
              <w:spacing w:line="240" w:lineRule="auto"/>
              <w:ind w:firstLine="0" w:firstLineChars="0"/>
              <w:jc w:val="center"/>
              <w:rPr>
                <w:color w:val="auto"/>
                <w:kern w:val="0"/>
                <w:sz w:val="21"/>
                <w:szCs w:val="21"/>
              </w:rPr>
            </w:pPr>
            <w:r>
              <w:rPr>
                <w:rFonts w:hint="eastAsia"/>
                <w:color w:val="auto"/>
                <w:kern w:val="0"/>
                <w:sz w:val="21"/>
                <w:szCs w:val="21"/>
              </w:rPr>
              <w:t>570</w:t>
            </w:r>
          </w:p>
        </w:tc>
      </w:tr>
      <w:tr w14:paraId="35375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00D0FD90">
            <w:pPr>
              <w:widowControl/>
              <w:spacing w:line="240" w:lineRule="auto"/>
              <w:ind w:firstLine="0" w:firstLineChars="0"/>
              <w:jc w:val="center"/>
              <w:rPr>
                <w:color w:val="auto"/>
                <w:kern w:val="0"/>
                <w:sz w:val="21"/>
                <w:szCs w:val="21"/>
              </w:rPr>
            </w:pPr>
            <w:r>
              <w:rPr>
                <w:color w:val="auto"/>
                <w:kern w:val="0"/>
                <w:sz w:val="21"/>
                <w:szCs w:val="21"/>
              </w:rPr>
              <w:t>34</w:t>
            </w:r>
          </w:p>
        </w:tc>
        <w:tc>
          <w:tcPr>
            <w:tcW w:w="1588" w:type="pct"/>
            <w:shd w:val="clear" w:color="auto" w:fill="FFFFFF" w:themeFill="background1"/>
            <w:vAlign w:val="center"/>
          </w:tcPr>
          <w:p w14:paraId="6C9C3069">
            <w:pPr>
              <w:widowControl/>
              <w:spacing w:line="240" w:lineRule="auto"/>
              <w:ind w:firstLine="0" w:firstLineChars="0"/>
              <w:jc w:val="center"/>
              <w:rPr>
                <w:color w:val="auto"/>
                <w:kern w:val="0"/>
                <w:sz w:val="21"/>
                <w:szCs w:val="21"/>
              </w:rPr>
            </w:pPr>
            <w:r>
              <w:rPr>
                <w:color w:val="auto"/>
                <w:kern w:val="0"/>
                <w:sz w:val="21"/>
                <w:szCs w:val="21"/>
              </w:rPr>
              <w:t>邻二甲苯</w:t>
            </w:r>
          </w:p>
        </w:tc>
        <w:tc>
          <w:tcPr>
            <w:tcW w:w="932" w:type="pct"/>
            <w:shd w:val="clear" w:color="auto" w:fill="FFFFFF" w:themeFill="background1"/>
            <w:vAlign w:val="center"/>
          </w:tcPr>
          <w:p w14:paraId="3EFA27B4">
            <w:pPr>
              <w:widowControl/>
              <w:spacing w:line="240" w:lineRule="auto"/>
              <w:ind w:firstLine="0" w:firstLineChars="0"/>
              <w:jc w:val="center"/>
              <w:rPr>
                <w:color w:val="auto"/>
                <w:kern w:val="0"/>
                <w:sz w:val="21"/>
                <w:szCs w:val="21"/>
              </w:rPr>
            </w:pPr>
            <w:r>
              <w:rPr>
                <w:color w:val="auto"/>
                <w:kern w:val="0"/>
                <w:sz w:val="21"/>
                <w:szCs w:val="21"/>
              </w:rPr>
              <w:t>95-47-6</w:t>
            </w:r>
          </w:p>
        </w:tc>
        <w:tc>
          <w:tcPr>
            <w:tcW w:w="960" w:type="pct"/>
            <w:shd w:val="clear" w:color="auto" w:fill="FFFFFF" w:themeFill="background1"/>
            <w:vAlign w:val="center"/>
          </w:tcPr>
          <w:p w14:paraId="1DD1F7A3">
            <w:pPr>
              <w:widowControl/>
              <w:spacing w:line="240" w:lineRule="auto"/>
              <w:ind w:firstLine="0" w:firstLineChars="0"/>
              <w:jc w:val="center"/>
              <w:rPr>
                <w:color w:val="auto"/>
                <w:kern w:val="0"/>
                <w:sz w:val="21"/>
                <w:szCs w:val="21"/>
              </w:rPr>
            </w:pPr>
            <w:r>
              <w:rPr>
                <w:color w:val="auto"/>
                <w:kern w:val="0"/>
                <w:sz w:val="21"/>
                <w:szCs w:val="21"/>
              </w:rPr>
              <w:t>640</w:t>
            </w:r>
          </w:p>
        </w:tc>
        <w:tc>
          <w:tcPr>
            <w:tcW w:w="1026" w:type="pct"/>
            <w:shd w:val="clear" w:color="auto" w:fill="FFFFFF" w:themeFill="background1"/>
            <w:vAlign w:val="center"/>
          </w:tcPr>
          <w:p w14:paraId="1B15FA7D">
            <w:pPr>
              <w:widowControl/>
              <w:spacing w:line="240" w:lineRule="auto"/>
              <w:ind w:firstLine="0" w:firstLineChars="0"/>
              <w:jc w:val="center"/>
              <w:rPr>
                <w:color w:val="auto"/>
                <w:kern w:val="0"/>
                <w:sz w:val="21"/>
                <w:szCs w:val="21"/>
              </w:rPr>
            </w:pPr>
            <w:r>
              <w:rPr>
                <w:rFonts w:hint="eastAsia"/>
                <w:color w:val="auto"/>
                <w:kern w:val="0"/>
                <w:sz w:val="21"/>
                <w:szCs w:val="21"/>
              </w:rPr>
              <w:t>640</w:t>
            </w:r>
          </w:p>
        </w:tc>
      </w:tr>
      <w:tr w14:paraId="1BA49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shd w:val="clear" w:color="auto" w:fill="FFFFFF" w:themeFill="background1"/>
            <w:vAlign w:val="center"/>
          </w:tcPr>
          <w:p w14:paraId="264AB8E9">
            <w:pPr>
              <w:widowControl/>
              <w:spacing w:line="240" w:lineRule="auto"/>
              <w:ind w:firstLine="0" w:firstLineChars="0"/>
              <w:jc w:val="center"/>
              <w:rPr>
                <w:color w:val="auto"/>
                <w:kern w:val="0"/>
                <w:sz w:val="21"/>
                <w:szCs w:val="21"/>
              </w:rPr>
            </w:pPr>
            <w:r>
              <w:rPr>
                <w:color w:val="auto"/>
                <w:kern w:val="0"/>
                <w:sz w:val="21"/>
                <w:szCs w:val="21"/>
              </w:rPr>
              <w:t>半挥发性有机物</w:t>
            </w:r>
          </w:p>
        </w:tc>
      </w:tr>
      <w:tr w14:paraId="1277F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36AA5DD">
            <w:pPr>
              <w:widowControl/>
              <w:spacing w:line="240" w:lineRule="auto"/>
              <w:ind w:firstLine="0" w:firstLineChars="0"/>
              <w:jc w:val="center"/>
              <w:rPr>
                <w:color w:val="auto"/>
                <w:kern w:val="0"/>
                <w:sz w:val="21"/>
                <w:szCs w:val="21"/>
              </w:rPr>
            </w:pPr>
            <w:r>
              <w:rPr>
                <w:color w:val="auto"/>
                <w:kern w:val="0"/>
                <w:sz w:val="21"/>
                <w:szCs w:val="21"/>
              </w:rPr>
              <w:t>35</w:t>
            </w:r>
          </w:p>
        </w:tc>
        <w:tc>
          <w:tcPr>
            <w:tcW w:w="1588" w:type="pct"/>
            <w:shd w:val="clear" w:color="auto" w:fill="FFFFFF" w:themeFill="background1"/>
            <w:vAlign w:val="center"/>
          </w:tcPr>
          <w:p w14:paraId="7D69BE69">
            <w:pPr>
              <w:widowControl/>
              <w:spacing w:line="240" w:lineRule="auto"/>
              <w:ind w:firstLine="0" w:firstLineChars="0"/>
              <w:jc w:val="center"/>
              <w:rPr>
                <w:color w:val="auto"/>
                <w:kern w:val="0"/>
                <w:sz w:val="21"/>
                <w:szCs w:val="21"/>
              </w:rPr>
            </w:pPr>
            <w:r>
              <w:rPr>
                <w:color w:val="auto"/>
                <w:kern w:val="0"/>
                <w:sz w:val="21"/>
                <w:szCs w:val="21"/>
              </w:rPr>
              <w:t>硝基苯</w:t>
            </w:r>
          </w:p>
        </w:tc>
        <w:tc>
          <w:tcPr>
            <w:tcW w:w="932" w:type="pct"/>
            <w:shd w:val="clear" w:color="auto" w:fill="FFFFFF" w:themeFill="background1"/>
            <w:vAlign w:val="center"/>
          </w:tcPr>
          <w:p w14:paraId="5CBACC03">
            <w:pPr>
              <w:widowControl/>
              <w:spacing w:line="240" w:lineRule="auto"/>
              <w:ind w:firstLine="0" w:firstLineChars="0"/>
              <w:jc w:val="center"/>
              <w:rPr>
                <w:color w:val="auto"/>
                <w:kern w:val="0"/>
                <w:sz w:val="21"/>
                <w:szCs w:val="21"/>
              </w:rPr>
            </w:pPr>
            <w:r>
              <w:rPr>
                <w:color w:val="auto"/>
                <w:kern w:val="0"/>
                <w:sz w:val="21"/>
                <w:szCs w:val="21"/>
              </w:rPr>
              <w:t>98-95-3</w:t>
            </w:r>
          </w:p>
        </w:tc>
        <w:tc>
          <w:tcPr>
            <w:tcW w:w="960" w:type="pct"/>
            <w:shd w:val="clear" w:color="auto" w:fill="FFFFFF" w:themeFill="background1"/>
            <w:vAlign w:val="center"/>
          </w:tcPr>
          <w:p w14:paraId="05317153">
            <w:pPr>
              <w:widowControl/>
              <w:spacing w:line="240" w:lineRule="auto"/>
              <w:ind w:firstLine="0" w:firstLineChars="0"/>
              <w:jc w:val="center"/>
              <w:rPr>
                <w:color w:val="auto"/>
                <w:kern w:val="0"/>
                <w:sz w:val="21"/>
                <w:szCs w:val="21"/>
              </w:rPr>
            </w:pPr>
            <w:r>
              <w:rPr>
                <w:color w:val="auto"/>
                <w:kern w:val="0"/>
                <w:sz w:val="21"/>
                <w:szCs w:val="21"/>
              </w:rPr>
              <w:t>76</w:t>
            </w:r>
          </w:p>
        </w:tc>
        <w:tc>
          <w:tcPr>
            <w:tcW w:w="1026" w:type="pct"/>
            <w:shd w:val="clear" w:color="auto" w:fill="FFFFFF" w:themeFill="background1"/>
            <w:vAlign w:val="center"/>
          </w:tcPr>
          <w:p w14:paraId="54D535A6">
            <w:pPr>
              <w:widowControl/>
              <w:spacing w:line="240" w:lineRule="auto"/>
              <w:ind w:firstLine="0" w:firstLineChars="0"/>
              <w:jc w:val="center"/>
              <w:rPr>
                <w:color w:val="auto"/>
                <w:kern w:val="0"/>
                <w:sz w:val="21"/>
                <w:szCs w:val="21"/>
              </w:rPr>
            </w:pPr>
            <w:r>
              <w:rPr>
                <w:rFonts w:hint="eastAsia"/>
                <w:color w:val="auto"/>
                <w:kern w:val="0"/>
                <w:sz w:val="21"/>
                <w:szCs w:val="21"/>
              </w:rPr>
              <w:t>760</w:t>
            </w:r>
          </w:p>
        </w:tc>
      </w:tr>
      <w:tr w14:paraId="58091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FAB4EF6">
            <w:pPr>
              <w:widowControl/>
              <w:spacing w:line="240" w:lineRule="auto"/>
              <w:ind w:firstLine="0" w:firstLineChars="0"/>
              <w:jc w:val="center"/>
              <w:rPr>
                <w:color w:val="auto"/>
                <w:kern w:val="0"/>
                <w:sz w:val="21"/>
                <w:szCs w:val="21"/>
              </w:rPr>
            </w:pPr>
            <w:r>
              <w:rPr>
                <w:color w:val="auto"/>
                <w:kern w:val="0"/>
                <w:sz w:val="21"/>
                <w:szCs w:val="21"/>
              </w:rPr>
              <w:t>36</w:t>
            </w:r>
          </w:p>
        </w:tc>
        <w:tc>
          <w:tcPr>
            <w:tcW w:w="1588" w:type="pct"/>
            <w:shd w:val="clear" w:color="auto" w:fill="FFFFFF" w:themeFill="background1"/>
            <w:vAlign w:val="center"/>
          </w:tcPr>
          <w:p w14:paraId="0A00F455">
            <w:pPr>
              <w:widowControl/>
              <w:spacing w:line="240" w:lineRule="auto"/>
              <w:ind w:firstLine="0" w:firstLineChars="0"/>
              <w:jc w:val="center"/>
              <w:rPr>
                <w:color w:val="auto"/>
                <w:kern w:val="0"/>
                <w:sz w:val="21"/>
                <w:szCs w:val="21"/>
              </w:rPr>
            </w:pPr>
            <w:r>
              <w:rPr>
                <w:color w:val="auto"/>
                <w:kern w:val="0"/>
                <w:sz w:val="21"/>
                <w:szCs w:val="21"/>
              </w:rPr>
              <w:t>苯胺</w:t>
            </w:r>
          </w:p>
        </w:tc>
        <w:tc>
          <w:tcPr>
            <w:tcW w:w="932" w:type="pct"/>
            <w:shd w:val="clear" w:color="auto" w:fill="FFFFFF" w:themeFill="background1"/>
            <w:vAlign w:val="center"/>
          </w:tcPr>
          <w:p w14:paraId="61AA26DC">
            <w:pPr>
              <w:widowControl/>
              <w:spacing w:line="240" w:lineRule="auto"/>
              <w:ind w:firstLine="0" w:firstLineChars="0"/>
              <w:jc w:val="center"/>
              <w:rPr>
                <w:color w:val="auto"/>
                <w:kern w:val="0"/>
                <w:sz w:val="21"/>
                <w:szCs w:val="21"/>
              </w:rPr>
            </w:pPr>
            <w:r>
              <w:rPr>
                <w:color w:val="auto"/>
                <w:kern w:val="0"/>
                <w:sz w:val="21"/>
                <w:szCs w:val="21"/>
              </w:rPr>
              <w:t>62-53-3</w:t>
            </w:r>
          </w:p>
        </w:tc>
        <w:tc>
          <w:tcPr>
            <w:tcW w:w="960" w:type="pct"/>
            <w:shd w:val="clear" w:color="auto" w:fill="FFFFFF" w:themeFill="background1"/>
            <w:vAlign w:val="center"/>
          </w:tcPr>
          <w:p w14:paraId="57A1B8C9">
            <w:pPr>
              <w:widowControl/>
              <w:spacing w:line="240" w:lineRule="auto"/>
              <w:ind w:firstLine="0" w:firstLineChars="0"/>
              <w:jc w:val="center"/>
              <w:rPr>
                <w:color w:val="auto"/>
                <w:kern w:val="0"/>
                <w:sz w:val="21"/>
                <w:szCs w:val="21"/>
              </w:rPr>
            </w:pPr>
            <w:r>
              <w:rPr>
                <w:color w:val="auto"/>
                <w:kern w:val="0"/>
                <w:sz w:val="21"/>
                <w:szCs w:val="21"/>
              </w:rPr>
              <w:t>260</w:t>
            </w:r>
          </w:p>
        </w:tc>
        <w:tc>
          <w:tcPr>
            <w:tcW w:w="1026" w:type="pct"/>
            <w:shd w:val="clear" w:color="auto" w:fill="FFFFFF" w:themeFill="background1"/>
            <w:vAlign w:val="center"/>
          </w:tcPr>
          <w:p w14:paraId="723AE250">
            <w:pPr>
              <w:widowControl/>
              <w:spacing w:line="240" w:lineRule="auto"/>
              <w:ind w:firstLine="0" w:firstLineChars="0"/>
              <w:jc w:val="center"/>
              <w:rPr>
                <w:color w:val="auto"/>
                <w:kern w:val="0"/>
                <w:sz w:val="21"/>
                <w:szCs w:val="21"/>
              </w:rPr>
            </w:pPr>
            <w:r>
              <w:rPr>
                <w:rFonts w:hint="eastAsia"/>
                <w:color w:val="auto"/>
                <w:kern w:val="0"/>
                <w:sz w:val="21"/>
                <w:szCs w:val="21"/>
              </w:rPr>
              <w:t>663</w:t>
            </w:r>
          </w:p>
        </w:tc>
      </w:tr>
      <w:tr w14:paraId="17C0E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706F5634">
            <w:pPr>
              <w:widowControl/>
              <w:spacing w:line="240" w:lineRule="auto"/>
              <w:ind w:firstLine="0" w:firstLineChars="0"/>
              <w:jc w:val="center"/>
              <w:rPr>
                <w:color w:val="auto"/>
                <w:kern w:val="0"/>
                <w:sz w:val="21"/>
                <w:szCs w:val="21"/>
              </w:rPr>
            </w:pPr>
            <w:r>
              <w:rPr>
                <w:color w:val="auto"/>
                <w:kern w:val="0"/>
                <w:sz w:val="21"/>
                <w:szCs w:val="21"/>
              </w:rPr>
              <w:t>37</w:t>
            </w:r>
          </w:p>
        </w:tc>
        <w:tc>
          <w:tcPr>
            <w:tcW w:w="1588" w:type="pct"/>
            <w:shd w:val="clear" w:color="auto" w:fill="FFFFFF" w:themeFill="background1"/>
            <w:vAlign w:val="center"/>
          </w:tcPr>
          <w:p w14:paraId="7A4B0F02">
            <w:pPr>
              <w:widowControl/>
              <w:spacing w:line="240" w:lineRule="auto"/>
              <w:ind w:firstLine="0" w:firstLineChars="0"/>
              <w:jc w:val="center"/>
              <w:rPr>
                <w:color w:val="auto"/>
                <w:kern w:val="0"/>
                <w:sz w:val="21"/>
                <w:szCs w:val="21"/>
              </w:rPr>
            </w:pPr>
            <w:r>
              <w:rPr>
                <w:color w:val="auto"/>
                <w:kern w:val="0"/>
                <w:sz w:val="21"/>
                <w:szCs w:val="21"/>
              </w:rPr>
              <w:t>2-氯酚</w:t>
            </w:r>
          </w:p>
        </w:tc>
        <w:tc>
          <w:tcPr>
            <w:tcW w:w="932" w:type="pct"/>
            <w:shd w:val="clear" w:color="auto" w:fill="FFFFFF" w:themeFill="background1"/>
            <w:vAlign w:val="center"/>
          </w:tcPr>
          <w:p w14:paraId="2C8BC553">
            <w:pPr>
              <w:widowControl/>
              <w:spacing w:line="240" w:lineRule="auto"/>
              <w:ind w:firstLine="0" w:firstLineChars="0"/>
              <w:jc w:val="center"/>
              <w:rPr>
                <w:color w:val="auto"/>
                <w:kern w:val="0"/>
                <w:sz w:val="21"/>
                <w:szCs w:val="21"/>
              </w:rPr>
            </w:pPr>
            <w:r>
              <w:rPr>
                <w:color w:val="auto"/>
                <w:kern w:val="0"/>
                <w:sz w:val="21"/>
                <w:szCs w:val="21"/>
              </w:rPr>
              <w:t>95-57-8</w:t>
            </w:r>
          </w:p>
        </w:tc>
        <w:tc>
          <w:tcPr>
            <w:tcW w:w="960" w:type="pct"/>
            <w:shd w:val="clear" w:color="auto" w:fill="FFFFFF" w:themeFill="background1"/>
            <w:vAlign w:val="center"/>
          </w:tcPr>
          <w:p w14:paraId="091DD5E6">
            <w:pPr>
              <w:widowControl/>
              <w:spacing w:line="240" w:lineRule="auto"/>
              <w:ind w:firstLine="0" w:firstLineChars="0"/>
              <w:jc w:val="center"/>
              <w:rPr>
                <w:color w:val="auto"/>
                <w:kern w:val="0"/>
                <w:sz w:val="21"/>
                <w:szCs w:val="21"/>
              </w:rPr>
            </w:pPr>
            <w:r>
              <w:rPr>
                <w:color w:val="auto"/>
                <w:kern w:val="0"/>
                <w:sz w:val="21"/>
                <w:szCs w:val="21"/>
              </w:rPr>
              <w:t>2256</w:t>
            </w:r>
          </w:p>
        </w:tc>
        <w:tc>
          <w:tcPr>
            <w:tcW w:w="1026" w:type="pct"/>
            <w:shd w:val="clear" w:color="auto" w:fill="FFFFFF" w:themeFill="background1"/>
            <w:vAlign w:val="center"/>
          </w:tcPr>
          <w:p w14:paraId="58A39CBD">
            <w:pPr>
              <w:widowControl/>
              <w:spacing w:line="240" w:lineRule="auto"/>
              <w:ind w:firstLine="0" w:firstLineChars="0"/>
              <w:jc w:val="center"/>
              <w:rPr>
                <w:color w:val="auto"/>
                <w:kern w:val="0"/>
                <w:sz w:val="21"/>
                <w:szCs w:val="21"/>
              </w:rPr>
            </w:pPr>
            <w:r>
              <w:rPr>
                <w:rFonts w:hint="eastAsia"/>
                <w:color w:val="auto"/>
                <w:kern w:val="0"/>
                <w:sz w:val="21"/>
                <w:szCs w:val="21"/>
              </w:rPr>
              <w:t>4500</w:t>
            </w:r>
          </w:p>
        </w:tc>
      </w:tr>
      <w:tr w14:paraId="47F09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5DEDA4C5">
            <w:pPr>
              <w:widowControl/>
              <w:spacing w:line="240" w:lineRule="auto"/>
              <w:ind w:firstLine="0" w:firstLineChars="0"/>
              <w:jc w:val="center"/>
              <w:rPr>
                <w:color w:val="auto"/>
                <w:kern w:val="0"/>
                <w:sz w:val="21"/>
                <w:szCs w:val="21"/>
              </w:rPr>
            </w:pPr>
            <w:r>
              <w:rPr>
                <w:color w:val="auto"/>
                <w:kern w:val="0"/>
                <w:sz w:val="21"/>
                <w:szCs w:val="21"/>
              </w:rPr>
              <w:t>38</w:t>
            </w:r>
          </w:p>
        </w:tc>
        <w:tc>
          <w:tcPr>
            <w:tcW w:w="1588" w:type="pct"/>
            <w:shd w:val="clear" w:color="auto" w:fill="FFFFFF" w:themeFill="background1"/>
            <w:vAlign w:val="center"/>
          </w:tcPr>
          <w:p w14:paraId="00D714FA">
            <w:pPr>
              <w:widowControl/>
              <w:spacing w:line="240" w:lineRule="auto"/>
              <w:ind w:firstLine="0" w:firstLineChars="0"/>
              <w:jc w:val="center"/>
              <w:rPr>
                <w:color w:val="auto"/>
                <w:kern w:val="0"/>
                <w:sz w:val="21"/>
                <w:szCs w:val="21"/>
              </w:rPr>
            </w:pPr>
            <w:r>
              <w:rPr>
                <w:color w:val="auto"/>
                <w:kern w:val="0"/>
                <w:sz w:val="21"/>
                <w:szCs w:val="21"/>
              </w:rPr>
              <w:t>苯并[a]蒽</w:t>
            </w:r>
          </w:p>
        </w:tc>
        <w:tc>
          <w:tcPr>
            <w:tcW w:w="932" w:type="pct"/>
            <w:shd w:val="clear" w:color="auto" w:fill="FFFFFF" w:themeFill="background1"/>
            <w:vAlign w:val="center"/>
          </w:tcPr>
          <w:p w14:paraId="564C7484">
            <w:pPr>
              <w:widowControl/>
              <w:spacing w:line="240" w:lineRule="auto"/>
              <w:ind w:firstLine="0" w:firstLineChars="0"/>
              <w:jc w:val="center"/>
              <w:rPr>
                <w:color w:val="auto"/>
                <w:kern w:val="0"/>
                <w:sz w:val="21"/>
                <w:szCs w:val="21"/>
              </w:rPr>
            </w:pPr>
            <w:r>
              <w:rPr>
                <w:color w:val="auto"/>
                <w:kern w:val="0"/>
                <w:sz w:val="21"/>
                <w:szCs w:val="21"/>
              </w:rPr>
              <w:t>56-55-3</w:t>
            </w:r>
          </w:p>
        </w:tc>
        <w:tc>
          <w:tcPr>
            <w:tcW w:w="960" w:type="pct"/>
            <w:shd w:val="clear" w:color="auto" w:fill="FFFFFF" w:themeFill="background1"/>
            <w:vAlign w:val="center"/>
          </w:tcPr>
          <w:p w14:paraId="4E1EC08C">
            <w:pPr>
              <w:widowControl/>
              <w:spacing w:line="240" w:lineRule="auto"/>
              <w:ind w:firstLine="0" w:firstLineChars="0"/>
              <w:jc w:val="center"/>
              <w:rPr>
                <w:color w:val="auto"/>
                <w:kern w:val="0"/>
                <w:sz w:val="21"/>
                <w:szCs w:val="21"/>
              </w:rPr>
            </w:pPr>
            <w:r>
              <w:rPr>
                <w:color w:val="auto"/>
                <w:kern w:val="0"/>
                <w:sz w:val="21"/>
                <w:szCs w:val="21"/>
              </w:rPr>
              <w:t>15</w:t>
            </w:r>
          </w:p>
        </w:tc>
        <w:tc>
          <w:tcPr>
            <w:tcW w:w="1026" w:type="pct"/>
            <w:shd w:val="clear" w:color="auto" w:fill="FFFFFF" w:themeFill="background1"/>
            <w:vAlign w:val="center"/>
          </w:tcPr>
          <w:p w14:paraId="0CCDA2F0">
            <w:pPr>
              <w:widowControl/>
              <w:spacing w:line="240" w:lineRule="auto"/>
              <w:ind w:firstLine="0" w:firstLineChars="0"/>
              <w:jc w:val="center"/>
              <w:rPr>
                <w:color w:val="auto"/>
                <w:kern w:val="0"/>
                <w:sz w:val="21"/>
                <w:szCs w:val="21"/>
              </w:rPr>
            </w:pPr>
            <w:r>
              <w:rPr>
                <w:rFonts w:hint="eastAsia"/>
                <w:color w:val="auto"/>
                <w:kern w:val="0"/>
                <w:sz w:val="21"/>
                <w:szCs w:val="21"/>
              </w:rPr>
              <w:t>151</w:t>
            </w:r>
          </w:p>
        </w:tc>
      </w:tr>
      <w:tr w14:paraId="18715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72D60BA4">
            <w:pPr>
              <w:widowControl/>
              <w:spacing w:line="240" w:lineRule="auto"/>
              <w:ind w:firstLine="0" w:firstLineChars="0"/>
              <w:jc w:val="center"/>
              <w:rPr>
                <w:color w:val="auto"/>
                <w:kern w:val="0"/>
                <w:sz w:val="21"/>
                <w:szCs w:val="21"/>
              </w:rPr>
            </w:pPr>
            <w:r>
              <w:rPr>
                <w:color w:val="auto"/>
                <w:kern w:val="0"/>
                <w:sz w:val="21"/>
                <w:szCs w:val="21"/>
              </w:rPr>
              <w:t>39</w:t>
            </w:r>
          </w:p>
        </w:tc>
        <w:tc>
          <w:tcPr>
            <w:tcW w:w="1588" w:type="pct"/>
            <w:shd w:val="clear" w:color="auto" w:fill="FFFFFF" w:themeFill="background1"/>
            <w:vAlign w:val="center"/>
          </w:tcPr>
          <w:p w14:paraId="188981A0">
            <w:pPr>
              <w:widowControl/>
              <w:spacing w:line="240" w:lineRule="auto"/>
              <w:ind w:firstLine="0" w:firstLineChars="0"/>
              <w:jc w:val="center"/>
              <w:rPr>
                <w:color w:val="auto"/>
                <w:kern w:val="0"/>
                <w:sz w:val="21"/>
                <w:szCs w:val="21"/>
              </w:rPr>
            </w:pPr>
            <w:r>
              <w:rPr>
                <w:color w:val="auto"/>
                <w:kern w:val="0"/>
                <w:sz w:val="21"/>
                <w:szCs w:val="21"/>
              </w:rPr>
              <w:t>苯并[a]芘</w:t>
            </w:r>
          </w:p>
        </w:tc>
        <w:tc>
          <w:tcPr>
            <w:tcW w:w="932" w:type="pct"/>
            <w:shd w:val="clear" w:color="auto" w:fill="FFFFFF" w:themeFill="background1"/>
            <w:vAlign w:val="center"/>
          </w:tcPr>
          <w:p w14:paraId="6E3E9217">
            <w:pPr>
              <w:widowControl/>
              <w:spacing w:line="240" w:lineRule="auto"/>
              <w:ind w:firstLine="0" w:firstLineChars="0"/>
              <w:jc w:val="center"/>
              <w:rPr>
                <w:color w:val="auto"/>
                <w:kern w:val="0"/>
                <w:sz w:val="21"/>
                <w:szCs w:val="21"/>
              </w:rPr>
            </w:pPr>
            <w:r>
              <w:rPr>
                <w:color w:val="auto"/>
                <w:kern w:val="0"/>
                <w:sz w:val="21"/>
                <w:szCs w:val="21"/>
              </w:rPr>
              <w:t>50-32-8</w:t>
            </w:r>
          </w:p>
        </w:tc>
        <w:tc>
          <w:tcPr>
            <w:tcW w:w="960" w:type="pct"/>
            <w:shd w:val="clear" w:color="auto" w:fill="FFFFFF" w:themeFill="background1"/>
            <w:vAlign w:val="center"/>
          </w:tcPr>
          <w:p w14:paraId="71777AAF">
            <w:pPr>
              <w:widowControl/>
              <w:spacing w:line="240" w:lineRule="auto"/>
              <w:ind w:firstLine="0" w:firstLineChars="0"/>
              <w:jc w:val="center"/>
              <w:rPr>
                <w:color w:val="auto"/>
                <w:kern w:val="0"/>
                <w:sz w:val="21"/>
                <w:szCs w:val="21"/>
              </w:rPr>
            </w:pPr>
            <w:r>
              <w:rPr>
                <w:color w:val="auto"/>
                <w:kern w:val="0"/>
                <w:sz w:val="21"/>
                <w:szCs w:val="21"/>
              </w:rPr>
              <w:t>1.5</w:t>
            </w:r>
          </w:p>
        </w:tc>
        <w:tc>
          <w:tcPr>
            <w:tcW w:w="1026" w:type="pct"/>
            <w:shd w:val="clear" w:color="auto" w:fill="FFFFFF" w:themeFill="background1"/>
            <w:vAlign w:val="center"/>
          </w:tcPr>
          <w:p w14:paraId="0FAA6F02">
            <w:pPr>
              <w:widowControl/>
              <w:spacing w:line="240" w:lineRule="auto"/>
              <w:ind w:firstLine="0" w:firstLineChars="0"/>
              <w:jc w:val="center"/>
              <w:rPr>
                <w:color w:val="auto"/>
                <w:kern w:val="0"/>
                <w:sz w:val="21"/>
                <w:szCs w:val="21"/>
              </w:rPr>
            </w:pPr>
            <w:r>
              <w:rPr>
                <w:rFonts w:hint="eastAsia"/>
                <w:color w:val="auto"/>
                <w:kern w:val="0"/>
                <w:sz w:val="21"/>
                <w:szCs w:val="21"/>
              </w:rPr>
              <w:t>15</w:t>
            </w:r>
          </w:p>
        </w:tc>
      </w:tr>
      <w:tr w14:paraId="6A216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4ECB40FA">
            <w:pPr>
              <w:widowControl/>
              <w:spacing w:line="240" w:lineRule="auto"/>
              <w:ind w:firstLine="0" w:firstLineChars="0"/>
              <w:jc w:val="center"/>
              <w:rPr>
                <w:color w:val="auto"/>
                <w:kern w:val="0"/>
                <w:sz w:val="21"/>
                <w:szCs w:val="21"/>
              </w:rPr>
            </w:pPr>
            <w:r>
              <w:rPr>
                <w:color w:val="auto"/>
                <w:kern w:val="0"/>
                <w:sz w:val="21"/>
                <w:szCs w:val="21"/>
              </w:rPr>
              <w:t>40</w:t>
            </w:r>
          </w:p>
        </w:tc>
        <w:tc>
          <w:tcPr>
            <w:tcW w:w="1588" w:type="pct"/>
            <w:shd w:val="clear" w:color="auto" w:fill="FFFFFF" w:themeFill="background1"/>
            <w:vAlign w:val="center"/>
          </w:tcPr>
          <w:p w14:paraId="66888A83">
            <w:pPr>
              <w:widowControl/>
              <w:spacing w:line="240" w:lineRule="auto"/>
              <w:ind w:firstLine="0" w:firstLineChars="0"/>
              <w:jc w:val="center"/>
              <w:rPr>
                <w:color w:val="auto"/>
                <w:kern w:val="0"/>
                <w:sz w:val="21"/>
                <w:szCs w:val="21"/>
              </w:rPr>
            </w:pPr>
            <w:r>
              <w:rPr>
                <w:color w:val="auto"/>
                <w:kern w:val="0"/>
                <w:sz w:val="21"/>
                <w:szCs w:val="21"/>
              </w:rPr>
              <w:t>苯并[b]荧蒽</w:t>
            </w:r>
          </w:p>
        </w:tc>
        <w:tc>
          <w:tcPr>
            <w:tcW w:w="932" w:type="pct"/>
            <w:shd w:val="clear" w:color="auto" w:fill="FFFFFF" w:themeFill="background1"/>
            <w:vAlign w:val="center"/>
          </w:tcPr>
          <w:p w14:paraId="1F36BFAC">
            <w:pPr>
              <w:widowControl/>
              <w:spacing w:line="240" w:lineRule="auto"/>
              <w:ind w:firstLine="0" w:firstLineChars="0"/>
              <w:jc w:val="center"/>
              <w:rPr>
                <w:color w:val="auto"/>
                <w:kern w:val="0"/>
                <w:sz w:val="21"/>
                <w:szCs w:val="21"/>
              </w:rPr>
            </w:pPr>
            <w:r>
              <w:rPr>
                <w:color w:val="auto"/>
                <w:kern w:val="0"/>
                <w:sz w:val="21"/>
                <w:szCs w:val="21"/>
              </w:rPr>
              <w:t>205-99-2</w:t>
            </w:r>
          </w:p>
        </w:tc>
        <w:tc>
          <w:tcPr>
            <w:tcW w:w="960" w:type="pct"/>
            <w:shd w:val="clear" w:color="auto" w:fill="FFFFFF" w:themeFill="background1"/>
            <w:vAlign w:val="center"/>
          </w:tcPr>
          <w:p w14:paraId="1263FB89">
            <w:pPr>
              <w:widowControl/>
              <w:spacing w:line="240" w:lineRule="auto"/>
              <w:ind w:firstLine="0" w:firstLineChars="0"/>
              <w:jc w:val="center"/>
              <w:rPr>
                <w:color w:val="auto"/>
                <w:kern w:val="0"/>
                <w:sz w:val="21"/>
                <w:szCs w:val="21"/>
              </w:rPr>
            </w:pPr>
            <w:r>
              <w:rPr>
                <w:color w:val="auto"/>
                <w:kern w:val="0"/>
                <w:sz w:val="21"/>
                <w:szCs w:val="21"/>
              </w:rPr>
              <w:t>15</w:t>
            </w:r>
          </w:p>
        </w:tc>
        <w:tc>
          <w:tcPr>
            <w:tcW w:w="1026" w:type="pct"/>
            <w:shd w:val="clear" w:color="auto" w:fill="FFFFFF" w:themeFill="background1"/>
            <w:vAlign w:val="center"/>
          </w:tcPr>
          <w:p w14:paraId="20B56647">
            <w:pPr>
              <w:widowControl/>
              <w:spacing w:line="240" w:lineRule="auto"/>
              <w:ind w:firstLine="0" w:firstLineChars="0"/>
              <w:jc w:val="center"/>
              <w:rPr>
                <w:color w:val="auto"/>
                <w:kern w:val="0"/>
                <w:sz w:val="21"/>
                <w:szCs w:val="21"/>
              </w:rPr>
            </w:pPr>
            <w:r>
              <w:rPr>
                <w:rFonts w:hint="eastAsia"/>
                <w:color w:val="auto"/>
                <w:kern w:val="0"/>
                <w:sz w:val="21"/>
                <w:szCs w:val="21"/>
              </w:rPr>
              <w:t>151</w:t>
            </w:r>
          </w:p>
        </w:tc>
      </w:tr>
      <w:tr w14:paraId="30DC8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F228F23">
            <w:pPr>
              <w:widowControl/>
              <w:spacing w:line="240" w:lineRule="auto"/>
              <w:ind w:firstLine="0" w:firstLineChars="0"/>
              <w:jc w:val="center"/>
              <w:rPr>
                <w:color w:val="auto"/>
                <w:kern w:val="0"/>
                <w:sz w:val="21"/>
                <w:szCs w:val="21"/>
              </w:rPr>
            </w:pPr>
            <w:r>
              <w:rPr>
                <w:color w:val="auto"/>
                <w:kern w:val="0"/>
                <w:sz w:val="21"/>
                <w:szCs w:val="21"/>
              </w:rPr>
              <w:t>41</w:t>
            </w:r>
          </w:p>
        </w:tc>
        <w:tc>
          <w:tcPr>
            <w:tcW w:w="1588" w:type="pct"/>
            <w:shd w:val="clear" w:color="auto" w:fill="FFFFFF" w:themeFill="background1"/>
            <w:vAlign w:val="center"/>
          </w:tcPr>
          <w:p w14:paraId="0BD9EC16">
            <w:pPr>
              <w:widowControl/>
              <w:spacing w:line="240" w:lineRule="auto"/>
              <w:ind w:firstLine="0" w:firstLineChars="0"/>
              <w:jc w:val="center"/>
              <w:rPr>
                <w:color w:val="auto"/>
                <w:kern w:val="0"/>
                <w:sz w:val="21"/>
                <w:szCs w:val="21"/>
              </w:rPr>
            </w:pPr>
            <w:r>
              <w:rPr>
                <w:color w:val="auto"/>
                <w:kern w:val="0"/>
                <w:sz w:val="21"/>
                <w:szCs w:val="21"/>
              </w:rPr>
              <w:t>苯并[k]荧蒽</w:t>
            </w:r>
          </w:p>
        </w:tc>
        <w:tc>
          <w:tcPr>
            <w:tcW w:w="932" w:type="pct"/>
            <w:shd w:val="clear" w:color="auto" w:fill="FFFFFF" w:themeFill="background1"/>
            <w:vAlign w:val="center"/>
          </w:tcPr>
          <w:p w14:paraId="4242CE93">
            <w:pPr>
              <w:widowControl/>
              <w:spacing w:line="240" w:lineRule="auto"/>
              <w:ind w:firstLine="0" w:firstLineChars="0"/>
              <w:jc w:val="center"/>
              <w:rPr>
                <w:color w:val="auto"/>
                <w:kern w:val="0"/>
                <w:sz w:val="21"/>
                <w:szCs w:val="21"/>
              </w:rPr>
            </w:pPr>
            <w:r>
              <w:rPr>
                <w:color w:val="auto"/>
                <w:kern w:val="0"/>
                <w:sz w:val="21"/>
                <w:szCs w:val="21"/>
              </w:rPr>
              <w:t>207-08-9</w:t>
            </w:r>
          </w:p>
        </w:tc>
        <w:tc>
          <w:tcPr>
            <w:tcW w:w="960" w:type="pct"/>
            <w:shd w:val="clear" w:color="auto" w:fill="FFFFFF" w:themeFill="background1"/>
            <w:vAlign w:val="center"/>
          </w:tcPr>
          <w:p w14:paraId="17FBBB4A">
            <w:pPr>
              <w:widowControl/>
              <w:spacing w:line="240" w:lineRule="auto"/>
              <w:ind w:firstLine="0" w:firstLineChars="0"/>
              <w:jc w:val="center"/>
              <w:rPr>
                <w:color w:val="auto"/>
                <w:kern w:val="0"/>
                <w:sz w:val="21"/>
                <w:szCs w:val="21"/>
              </w:rPr>
            </w:pPr>
            <w:r>
              <w:rPr>
                <w:color w:val="auto"/>
                <w:kern w:val="0"/>
                <w:sz w:val="21"/>
                <w:szCs w:val="21"/>
              </w:rPr>
              <w:t>151</w:t>
            </w:r>
          </w:p>
        </w:tc>
        <w:tc>
          <w:tcPr>
            <w:tcW w:w="1026" w:type="pct"/>
            <w:shd w:val="clear" w:color="auto" w:fill="FFFFFF" w:themeFill="background1"/>
            <w:vAlign w:val="center"/>
          </w:tcPr>
          <w:p w14:paraId="2F4CD037">
            <w:pPr>
              <w:widowControl/>
              <w:spacing w:line="240" w:lineRule="auto"/>
              <w:ind w:firstLine="0" w:firstLineChars="0"/>
              <w:jc w:val="center"/>
              <w:rPr>
                <w:color w:val="auto"/>
                <w:kern w:val="0"/>
                <w:sz w:val="21"/>
                <w:szCs w:val="21"/>
              </w:rPr>
            </w:pPr>
            <w:r>
              <w:rPr>
                <w:rFonts w:hint="eastAsia"/>
                <w:color w:val="auto"/>
                <w:kern w:val="0"/>
                <w:sz w:val="21"/>
                <w:szCs w:val="21"/>
              </w:rPr>
              <w:t>1500</w:t>
            </w:r>
          </w:p>
        </w:tc>
      </w:tr>
      <w:tr w14:paraId="401EA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17732AC3">
            <w:pPr>
              <w:widowControl/>
              <w:spacing w:line="240" w:lineRule="auto"/>
              <w:ind w:firstLine="0" w:firstLineChars="0"/>
              <w:jc w:val="center"/>
              <w:rPr>
                <w:color w:val="auto"/>
                <w:kern w:val="0"/>
                <w:sz w:val="21"/>
                <w:szCs w:val="21"/>
              </w:rPr>
            </w:pPr>
            <w:r>
              <w:rPr>
                <w:color w:val="auto"/>
                <w:kern w:val="0"/>
                <w:sz w:val="21"/>
                <w:szCs w:val="21"/>
              </w:rPr>
              <w:t>42</w:t>
            </w:r>
          </w:p>
        </w:tc>
        <w:tc>
          <w:tcPr>
            <w:tcW w:w="1588" w:type="pct"/>
            <w:shd w:val="clear" w:color="auto" w:fill="FFFFFF" w:themeFill="background1"/>
            <w:vAlign w:val="center"/>
          </w:tcPr>
          <w:p w14:paraId="383C483E">
            <w:pPr>
              <w:widowControl/>
              <w:spacing w:line="240" w:lineRule="auto"/>
              <w:ind w:firstLine="0" w:firstLineChars="0"/>
              <w:jc w:val="center"/>
              <w:rPr>
                <w:color w:val="auto"/>
                <w:kern w:val="0"/>
                <w:sz w:val="21"/>
                <w:szCs w:val="21"/>
              </w:rPr>
            </w:pPr>
            <w:r>
              <w:rPr>
                <w:color w:val="auto"/>
                <w:kern w:val="0"/>
                <w:sz w:val="21"/>
                <w:szCs w:val="21"/>
              </w:rPr>
              <w:t>䓛</w:t>
            </w:r>
          </w:p>
        </w:tc>
        <w:tc>
          <w:tcPr>
            <w:tcW w:w="932" w:type="pct"/>
            <w:shd w:val="clear" w:color="auto" w:fill="FFFFFF" w:themeFill="background1"/>
            <w:vAlign w:val="center"/>
          </w:tcPr>
          <w:p w14:paraId="7BAC3E59">
            <w:pPr>
              <w:widowControl/>
              <w:spacing w:line="240" w:lineRule="auto"/>
              <w:ind w:firstLine="0" w:firstLineChars="0"/>
              <w:jc w:val="center"/>
              <w:rPr>
                <w:color w:val="auto"/>
                <w:kern w:val="0"/>
                <w:sz w:val="21"/>
                <w:szCs w:val="21"/>
              </w:rPr>
            </w:pPr>
            <w:r>
              <w:rPr>
                <w:color w:val="auto"/>
                <w:kern w:val="0"/>
                <w:sz w:val="21"/>
                <w:szCs w:val="21"/>
              </w:rPr>
              <w:t>218-01-9</w:t>
            </w:r>
          </w:p>
        </w:tc>
        <w:tc>
          <w:tcPr>
            <w:tcW w:w="960" w:type="pct"/>
            <w:shd w:val="clear" w:color="auto" w:fill="FFFFFF" w:themeFill="background1"/>
            <w:vAlign w:val="center"/>
          </w:tcPr>
          <w:p w14:paraId="19E0D5A5">
            <w:pPr>
              <w:widowControl/>
              <w:spacing w:line="240" w:lineRule="auto"/>
              <w:ind w:firstLine="0" w:firstLineChars="0"/>
              <w:jc w:val="center"/>
              <w:rPr>
                <w:color w:val="auto"/>
                <w:kern w:val="0"/>
                <w:sz w:val="21"/>
                <w:szCs w:val="21"/>
              </w:rPr>
            </w:pPr>
            <w:r>
              <w:rPr>
                <w:color w:val="auto"/>
                <w:kern w:val="0"/>
                <w:sz w:val="21"/>
                <w:szCs w:val="21"/>
              </w:rPr>
              <w:t>1293</w:t>
            </w:r>
          </w:p>
        </w:tc>
        <w:tc>
          <w:tcPr>
            <w:tcW w:w="1026" w:type="pct"/>
            <w:shd w:val="clear" w:color="auto" w:fill="FFFFFF" w:themeFill="background1"/>
            <w:vAlign w:val="center"/>
          </w:tcPr>
          <w:p w14:paraId="6170D16A">
            <w:pPr>
              <w:widowControl/>
              <w:spacing w:line="240" w:lineRule="auto"/>
              <w:ind w:firstLine="0" w:firstLineChars="0"/>
              <w:jc w:val="center"/>
              <w:rPr>
                <w:color w:val="auto"/>
                <w:kern w:val="0"/>
                <w:sz w:val="21"/>
                <w:szCs w:val="21"/>
              </w:rPr>
            </w:pPr>
            <w:r>
              <w:rPr>
                <w:rFonts w:hint="eastAsia"/>
                <w:color w:val="auto"/>
                <w:kern w:val="0"/>
                <w:sz w:val="21"/>
                <w:szCs w:val="21"/>
              </w:rPr>
              <w:t>12900</w:t>
            </w:r>
          </w:p>
        </w:tc>
      </w:tr>
      <w:tr w14:paraId="3AD72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73A12982">
            <w:pPr>
              <w:widowControl/>
              <w:spacing w:line="240" w:lineRule="auto"/>
              <w:ind w:firstLine="0" w:firstLineChars="0"/>
              <w:jc w:val="center"/>
              <w:rPr>
                <w:color w:val="auto"/>
                <w:kern w:val="0"/>
                <w:sz w:val="21"/>
                <w:szCs w:val="21"/>
              </w:rPr>
            </w:pPr>
            <w:r>
              <w:rPr>
                <w:color w:val="auto"/>
                <w:kern w:val="0"/>
                <w:sz w:val="21"/>
                <w:szCs w:val="21"/>
              </w:rPr>
              <w:t>43</w:t>
            </w:r>
          </w:p>
        </w:tc>
        <w:tc>
          <w:tcPr>
            <w:tcW w:w="1588" w:type="pct"/>
            <w:shd w:val="clear" w:color="auto" w:fill="FFFFFF" w:themeFill="background1"/>
            <w:vAlign w:val="center"/>
          </w:tcPr>
          <w:p w14:paraId="08C263CE">
            <w:pPr>
              <w:widowControl/>
              <w:spacing w:line="240" w:lineRule="auto"/>
              <w:ind w:firstLine="0" w:firstLineChars="0"/>
              <w:jc w:val="center"/>
              <w:rPr>
                <w:color w:val="auto"/>
                <w:kern w:val="0"/>
                <w:sz w:val="21"/>
                <w:szCs w:val="21"/>
              </w:rPr>
            </w:pPr>
            <w:r>
              <w:rPr>
                <w:color w:val="auto"/>
                <w:kern w:val="0"/>
                <w:sz w:val="21"/>
                <w:szCs w:val="21"/>
              </w:rPr>
              <w:t>二苯并[a, h]蒽</w:t>
            </w:r>
          </w:p>
        </w:tc>
        <w:tc>
          <w:tcPr>
            <w:tcW w:w="932" w:type="pct"/>
            <w:shd w:val="clear" w:color="auto" w:fill="FFFFFF" w:themeFill="background1"/>
            <w:vAlign w:val="center"/>
          </w:tcPr>
          <w:p w14:paraId="247B87D1">
            <w:pPr>
              <w:widowControl/>
              <w:spacing w:line="240" w:lineRule="auto"/>
              <w:ind w:firstLine="0" w:firstLineChars="0"/>
              <w:jc w:val="center"/>
              <w:rPr>
                <w:color w:val="auto"/>
                <w:kern w:val="0"/>
                <w:sz w:val="21"/>
                <w:szCs w:val="21"/>
              </w:rPr>
            </w:pPr>
            <w:r>
              <w:rPr>
                <w:color w:val="auto"/>
                <w:kern w:val="0"/>
                <w:sz w:val="21"/>
                <w:szCs w:val="21"/>
              </w:rPr>
              <w:t>53-70-3</w:t>
            </w:r>
          </w:p>
        </w:tc>
        <w:tc>
          <w:tcPr>
            <w:tcW w:w="960" w:type="pct"/>
            <w:shd w:val="clear" w:color="auto" w:fill="FFFFFF" w:themeFill="background1"/>
            <w:vAlign w:val="center"/>
          </w:tcPr>
          <w:p w14:paraId="32161652">
            <w:pPr>
              <w:widowControl/>
              <w:spacing w:line="240" w:lineRule="auto"/>
              <w:ind w:firstLine="0" w:firstLineChars="0"/>
              <w:jc w:val="center"/>
              <w:rPr>
                <w:color w:val="auto"/>
                <w:kern w:val="0"/>
                <w:sz w:val="21"/>
                <w:szCs w:val="21"/>
              </w:rPr>
            </w:pPr>
            <w:r>
              <w:rPr>
                <w:color w:val="auto"/>
                <w:kern w:val="0"/>
                <w:sz w:val="21"/>
                <w:szCs w:val="21"/>
              </w:rPr>
              <w:t>1.5</w:t>
            </w:r>
          </w:p>
        </w:tc>
        <w:tc>
          <w:tcPr>
            <w:tcW w:w="1026" w:type="pct"/>
            <w:shd w:val="clear" w:color="auto" w:fill="FFFFFF" w:themeFill="background1"/>
            <w:vAlign w:val="center"/>
          </w:tcPr>
          <w:p w14:paraId="146326E0">
            <w:pPr>
              <w:widowControl/>
              <w:spacing w:line="240" w:lineRule="auto"/>
              <w:ind w:firstLine="0" w:firstLineChars="0"/>
              <w:jc w:val="center"/>
              <w:rPr>
                <w:color w:val="auto"/>
                <w:kern w:val="0"/>
                <w:sz w:val="21"/>
                <w:szCs w:val="21"/>
              </w:rPr>
            </w:pPr>
            <w:r>
              <w:rPr>
                <w:rFonts w:hint="eastAsia"/>
                <w:color w:val="auto"/>
                <w:kern w:val="0"/>
                <w:sz w:val="21"/>
                <w:szCs w:val="21"/>
              </w:rPr>
              <w:t>15</w:t>
            </w:r>
          </w:p>
        </w:tc>
      </w:tr>
      <w:tr w14:paraId="43D48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6ADDC5A1">
            <w:pPr>
              <w:widowControl/>
              <w:spacing w:line="240" w:lineRule="auto"/>
              <w:ind w:firstLine="0" w:firstLineChars="0"/>
              <w:jc w:val="center"/>
              <w:rPr>
                <w:color w:val="auto"/>
                <w:kern w:val="0"/>
                <w:sz w:val="21"/>
                <w:szCs w:val="21"/>
              </w:rPr>
            </w:pPr>
            <w:r>
              <w:rPr>
                <w:color w:val="auto"/>
                <w:kern w:val="0"/>
                <w:sz w:val="21"/>
                <w:szCs w:val="21"/>
              </w:rPr>
              <w:t>44</w:t>
            </w:r>
          </w:p>
        </w:tc>
        <w:tc>
          <w:tcPr>
            <w:tcW w:w="1588" w:type="pct"/>
            <w:shd w:val="clear" w:color="auto" w:fill="FFFFFF" w:themeFill="background1"/>
            <w:vAlign w:val="center"/>
          </w:tcPr>
          <w:p w14:paraId="58F399F0">
            <w:pPr>
              <w:widowControl/>
              <w:spacing w:line="240" w:lineRule="auto"/>
              <w:ind w:firstLine="0" w:firstLineChars="0"/>
              <w:jc w:val="center"/>
              <w:rPr>
                <w:color w:val="auto"/>
                <w:kern w:val="0"/>
                <w:sz w:val="21"/>
                <w:szCs w:val="21"/>
              </w:rPr>
            </w:pPr>
            <w:r>
              <w:rPr>
                <w:color w:val="auto"/>
                <w:kern w:val="0"/>
                <w:sz w:val="21"/>
                <w:szCs w:val="21"/>
              </w:rPr>
              <w:t>茚并[1,2,3-cd]芘</w:t>
            </w:r>
          </w:p>
        </w:tc>
        <w:tc>
          <w:tcPr>
            <w:tcW w:w="932" w:type="pct"/>
            <w:shd w:val="clear" w:color="auto" w:fill="FFFFFF" w:themeFill="background1"/>
            <w:vAlign w:val="center"/>
          </w:tcPr>
          <w:p w14:paraId="14656E1F">
            <w:pPr>
              <w:widowControl/>
              <w:spacing w:line="240" w:lineRule="auto"/>
              <w:ind w:firstLine="0" w:firstLineChars="0"/>
              <w:jc w:val="center"/>
              <w:rPr>
                <w:color w:val="auto"/>
                <w:kern w:val="0"/>
                <w:sz w:val="21"/>
                <w:szCs w:val="21"/>
              </w:rPr>
            </w:pPr>
            <w:r>
              <w:rPr>
                <w:color w:val="auto"/>
                <w:kern w:val="0"/>
                <w:sz w:val="21"/>
                <w:szCs w:val="21"/>
              </w:rPr>
              <w:t>193-39-5</w:t>
            </w:r>
          </w:p>
        </w:tc>
        <w:tc>
          <w:tcPr>
            <w:tcW w:w="960" w:type="pct"/>
            <w:shd w:val="clear" w:color="auto" w:fill="FFFFFF" w:themeFill="background1"/>
            <w:vAlign w:val="center"/>
          </w:tcPr>
          <w:p w14:paraId="123E5E40">
            <w:pPr>
              <w:widowControl/>
              <w:spacing w:line="240" w:lineRule="auto"/>
              <w:ind w:firstLine="0" w:firstLineChars="0"/>
              <w:jc w:val="center"/>
              <w:rPr>
                <w:color w:val="auto"/>
                <w:kern w:val="0"/>
                <w:sz w:val="21"/>
                <w:szCs w:val="21"/>
              </w:rPr>
            </w:pPr>
            <w:r>
              <w:rPr>
                <w:color w:val="auto"/>
                <w:kern w:val="0"/>
                <w:sz w:val="21"/>
                <w:szCs w:val="21"/>
              </w:rPr>
              <w:t>15</w:t>
            </w:r>
          </w:p>
        </w:tc>
        <w:tc>
          <w:tcPr>
            <w:tcW w:w="1026" w:type="pct"/>
            <w:shd w:val="clear" w:color="auto" w:fill="FFFFFF" w:themeFill="background1"/>
            <w:vAlign w:val="center"/>
          </w:tcPr>
          <w:p w14:paraId="7DB27F8F">
            <w:pPr>
              <w:widowControl/>
              <w:spacing w:line="240" w:lineRule="auto"/>
              <w:ind w:firstLine="0" w:firstLineChars="0"/>
              <w:jc w:val="center"/>
              <w:rPr>
                <w:color w:val="auto"/>
                <w:kern w:val="0"/>
                <w:sz w:val="21"/>
                <w:szCs w:val="21"/>
              </w:rPr>
            </w:pPr>
            <w:r>
              <w:rPr>
                <w:rFonts w:hint="eastAsia"/>
                <w:color w:val="auto"/>
                <w:kern w:val="0"/>
                <w:sz w:val="21"/>
                <w:szCs w:val="21"/>
              </w:rPr>
              <w:t>151</w:t>
            </w:r>
          </w:p>
        </w:tc>
      </w:tr>
      <w:tr w14:paraId="6F7C9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4B644744">
            <w:pPr>
              <w:widowControl/>
              <w:spacing w:line="240" w:lineRule="auto"/>
              <w:ind w:firstLine="0" w:firstLineChars="0"/>
              <w:jc w:val="center"/>
              <w:rPr>
                <w:color w:val="auto"/>
                <w:kern w:val="0"/>
                <w:sz w:val="21"/>
                <w:szCs w:val="21"/>
              </w:rPr>
            </w:pPr>
            <w:r>
              <w:rPr>
                <w:color w:val="auto"/>
                <w:kern w:val="0"/>
                <w:sz w:val="21"/>
                <w:szCs w:val="21"/>
              </w:rPr>
              <w:t>45</w:t>
            </w:r>
          </w:p>
        </w:tc>
        <w:tc>
          <w:tcPr>
            <w:tcW w:w="1588" w:type="pct"/>
            <w:shd w:val="clear" w:color="auto" w:fill="FFFFFF" w:themeFill="background1"/>
            <w:vAlign w:val="center"/>
          </w:tcPr>
          <w:p w14:paraId="610EC761">
            <w:pPr>
              <w:widowControl/>
              <w:spacing w:line="240" w:lineRule="auto"/>
              <w:ind w:firstLine="0" w:firstLineChars="0"/>
              <w:jc w:val="center"/>
              <w:rPr>
                <w:color w:val="auto"/>
                <w:kern w:val="0"/>
                <w:sz w:val="21"/>
                <w:szCs w:val="21"/>
              </w:rPr>
            </w:pPr>
            <w:r>
              <w:rPr>
                <w:color w:val="auto"/>
                <w:kern w:val="0"/>
                <w:sz w:val="21"/>
                <w:szCs w:val="21"/>
              </w:rPr>
              <w:t>萘</w:t>
            </w:r>
          </w:p>
        </w:tc>
        <w:tc>
          <w:tcPr>
            <w:tcW w:w="932" w:type="pct"/>
            <w:shd w:val="clear" w:color="auto" w:fill="FFFFFF" w:themeFill="background1"/>
            <w:vAlign w:val="center"/>
          </w:tcPr>
          <w:p w14:paraId="0F03BF9D">
            <w:pPr>
              <w:widowControl/>
              <w:spacing w:line="240" w:lineRule="auto"/>
              <w:ind w:firstLine="0" w:firstLineChars="0"/>
              <w:jc w:val="center"/>
              <w:rPr>
                <w:color w:val="auto"/>
                <w:kern w:val="0"/>
                <w:sz w:val="21"/>
                <w:szCs w:val="21"/>
              </w:rPr>
            </w:pPr>
            <w:r>
              <w:rPr>
                <w:color w:val="auto"/>
                <w:kern w:val="0"/>
                <w:sz w:val="21"/>
                <w:szCs w:val="21"/>
              </w:rPr>
              <w:t>91-20-3</w:t>
            </w:r>
          </w:p>
        </w:tc>
        <w:tc>
          <w:tcPr>
            <w:tcW w:w="960" w:type="pct"/>
            <w:shd w:val="clear" w:color="auto" w:fill="FFFFFF" w:themeFill="background1"/>
            <w:vAlign w:val="center"/>
          </w:tcPr>
          <w:p w14:paraId="1DDAA8AD">
            <w:pPr>
              <w:widowControl/>
              <w:spacing w:line="240" w:lineRule="auto"/>
              <w:ind w:firstLine="0" w:firstLineChars="0"/>
              <w:jc w:val="center"/>
              <w:rPr>
                <w:color w:val="auto"/>
                <w:kern w:val="0"/>
                <w:sz w:val="21"/>
                <w:szCs w:val="21"/>
              </w:rPr>
            </w:pPr>
            <w:r>
              <w:rPr>
                <w:color w:val="auto"/>
                <w:kern w:val="0"/>
                <w:sz w:val="21"/>
                <w:szCs w:val="21"/>
              </w:rPr>
              <w:t>70</w:t>
            </w:r>
          </w:p>
        </w:tc>
        <w:tc>
          <w:tcPr>
            <w:tcW w:w="1026" w:type="pct"/>
            <w:shd w:val="clear" w:color="auto" w:fill="FFFFFF" w:themeFill="background1"/>
            <w:vAlign w:val="center"/>
          </w:tcPr>
          <w:p w14:paraId="6885C8FD">
            <w:pPr>
              <w:widowControl/>
              <w:spacing w:line="240" w:lineRule="auto"/>
              <w:ind w:firstLine="0" w:firstLineChars="0"/>
              <w:jc w:val="center"/>
              <w:rPr>
                <w:color w:val="auto"/>
                <w:kern w:val="0"/>
                <w:sz w:val="21"/>
                <w:szCs w:val="21"/>
              </w:rPr>
            </w:pPr>
            <w:r>
              <w:rPr>
                <w:rFonts w:hint="eastAsia"/>
                <w:color w:val="auto"/>
                <w:kern w:val="0"/>
                <w:sz w:val="21"/>
                <w:szCs w:val="21"/>
              </w:rPr>
              <w:t>700</w:t>
            </w:r>
          </w:p>
        </w:tc>
      </w:tr>
      <w:tr w14:paraId="0AABF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shd w:val="clear" w:color="auto" w:fill="FFFFFF" w:themeFill="background1"/>
            <w:vAlign w:val="center"/>
          </w:tcPr>
          <w:p w14:paraId="18E45560">
            <w:pPr>
              <w:widowControl/>
              <w:spacing w:line="240" w:lineRule="auto"/>
              <w:ind w:firstLine="0" w:firstLineChars="0"/>
              <w:jc w:val="center"/>
              <w:rPr>
                <w:color w:val="auto"/>
                <w:kern w:val="0"/>
                <w:sz w:val="21"/>
                <w:szCs w:val="21"/>
              </w:rPr>
            </w:pPr>
            <w:r>
              <w:rPr>
                <w:color w:val="auto"/>
                <w:kern w:val="0"/>
                <w:sz w:val="21"/>
                <w:szCs w:val="21"/>
              </w:rPr>
              <w:t>石油烃类</w:t>
            </w:r>
          </w:p>
        </w:tc>
      </w:tr>
      <w:tr w14:paraId="4B639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4" w:type="pct"/>
            <w:shd w:val="clear" w:color="auto" w:fill="FFFFFF" w:themeFill="background1"/>
            <w:vAlign w:val="center"/>
          </w:tcPr>
          <w:p w14:paraId="01FDCC37">
            <w:pPr>
              <w:widowControl/>
              <w:spacing w:line="240" w:lineRule="auto"/>
              <w:ind w:firstLine="0" w:firstLineChars="0"/>
              <w:jc w:val="center"/>
              <w:rPr>
                <w:color w:val="auto"/>
                <w:kern w:val="0"/>
                <w:sz w:val="21"/>
                <w:szCs w:val="21"/>
              </w:rPr>
            </w:pPr>
            <w:r>
              <w:rPr>
                <w:color w:val="auto"/>
                <w:kern w:val="0"/>
                <w:sz w:val="21"/>
                <w:szCs w:val="21"/>
              </w:rPr>
              <w:t>46</w:t>
            </w:r>
          </w:p>
        </w:tc>
        <w:tc>
          <w:tcPr>
            <w:tcW w:w="1588" w:type="pct"/>
            <w:shd w:val="clear" w:color="auto" w:fill="FFFFFF" w:themeFill="background1"/>
            <w:vAlign w:val="center"/>
          </w:tcPr>
          <w:p w14:paraId="00901AF3">
            <w:pPr>
              <w:widowControl/>
              <w:spacing w:line="240" w:lineRule="auto"/>
              <w:ind w:firstLine="0" w:firstLineChars="0"/>
              <w:jc w:val="center"/>
              <w:rPr>
                <w:color w:val="auto"/>
                <w:kern w:val="0"/>
                <w:sz w:val="21"/>
                <w:szCs w:val="21"/>
              </w:rPr>
            </w:pPr>
            <w:r>
              <w:rPr>
                <w:color w:val="auto"/>
                <w:kern w:val="0"/>
                <w:sz w:val="21"/>
                <w:szCs w:val="21"/>
              </w:rPr>
              <w:t>石油烃(C</w:t>
            </w:r>
            <w:r>
              <w:rPr>
                <w:color w:val="auto"/>
                <w:kern w:val="0"/>
                <w:sz w:val="21"/>
                <w:szCs w:val="21"/>
                <w:vertAlign w:val="subscript"/>
              </w:rPr>
              <w:t>10</w:t>
            </w:r>
            <w:r>
              <w:rPr>
                <w:color w:val="auto"/>
                <w:kern w:val="0"/>
                <w:sz w:val="21"/>
                <w:szCs w:val="21"/>
              </w:rPr>
              <w:t>-C</w:t>
            </w:r>
            <w:r>
              <w:rPr>
                <w:color w:val="auto"/>
                <w:kern w:val="0"/>
                <w:sz w:val="21"/>
                <w:szCs w:val="21"/>
                <w:vertAlign w:val="subscript"/>
              </w:rPr>
              <w:t>40</w:t>
            </w:r>
            <w:r>
              <w:rPr>
                <w:color w:val="auto"/>
                <w:kern w:val="0"/>
                <w:sz w:val="21"/>
                <w:szCs w:val="21"/>
              </w:rPr>
              <w:t>)</w:t>
            </w:r>
          </w:p>
        </w:tc>
        <w:tc>
          <w:tcPr>
            <w:tcW w:w="932" w:type="pct"/>
            <w:shd w:val="clear" w:color="auto" w:fill="FFFFFF" w:themeFill="background1"/>
            <w:vAlign w:val="center"/>
          </w:tcPr>
          <w:p w14:paraId="33667BE7">
            <w:pPr>
              <w:widowControl/>
              <w:spacing w:line="240" w:lineRule="auto"/>
              <w:ind w:firstLine="0" w:firstLineChars="0"/>
              <w:jc w:val="center"/>
              <w:rPr>
                <w:color w:val="auto"/>
                <w:kern w:val="0"/>
                <w:sz w:val="21"/>
                <w:szCs w:val="21"/>
              </w:rPr>
            </w:pPr>
            <w:r>
              <w:rPr>
                <w:color w:val="auto"/>
                <w:kern w:val="0"/>
                <w:sz w:val="21"/>
                <w:szCs w:val="21"/>
              </w:rPr>
              <w:t>—</w:t>
            </w:r>
          </w:p>
        </w:tc>
        <w:tc>
          <w:tcPr>
            <w:tcW w:w="960" w:type="pct"/>
            <w:shd w:val="clear" w:color="auto" w:fill="FFFFFF" w:themeFill="background1"/>
            <w:vAlign w:val="center"/>
          </w:tcPr>
          <w:p w14:paraId="7DAC0A0D">
            <w:pPr>
              <w:widowControl/>
              <w:spacing w:line="240" w:lineRule="auto"/>
              <w:ind w:firstLine="0" w:firstLineChars="0"/>
              <w:jc w:val="center"/>
              <w:rPr>
                <w:color w:val="auto"/>
                <w:kern w:val="0"/>
                <w:sz w:val="21"/>
                <w:szCs w:val="21"/>
              </w:rPr>
            </w:pPr>
            <w:r>
              <w:rPr>
                <w:color w:val="auto"/>
                <w:kern w:val="0"/>
                <w:sz w:val="21"/>
                <w:szCs w:val="21"/>
              </w:rPr>
              <w:t>4500</w:t>
            </w:r>
          </w:p>
        </w:tc>
        <w:tc>
          <w:tcPr>
            <w:tcW w:w="1026" w:type="pct"/>
            <w:shd w:val="clear" w:color="auto" w:fill="FFFFFF" w:themeFill="background1"/>
            <w:vAlign w:val="center"/>
          </w:tcPr>
          <w:p w14:paraId="4C0A8A2C">
            <w:pPr>
              <w:widowControl/>
              <w:spacing w:line="240" w:lineRule="auto"/>
              <w:ind w:firstLine="0" w:firstLineChars="0"/>
              <w:jc w:val="center"/>
              <w:rPr>
                <w:color w:val="auto"/>
                <w:kern w:val="0"/>
                <w:sz w:val="21"/>
                <w:szCs w:val="21"/>
              </w:rPr>
            </w:pPr>
            <w:r>
              <w:rPr>
                <w:rFonts w:hint="eastAsia"/>
                <w:color w:val="auto"/>
                <w:kern w:val="0"/>
                <w:sz w:val="21"/>
                <w:szCs w:val="21"/>
              </w:rPr>
              <w:t>900</w:t>
            </w:r>
          </w:p>
        </w:tc>
      </w:tr>
    </w:tbl>
    <w:p w14:paraId="47728895">
      <w:pPr>
        <w:pStyle w:val="49"/>
        <w:rPr>
          <w:color w:val="auto"/>
        </w:rPr>
      </w:pPr>
      <w:r>
        <w:rPr>
          <w:color w:val="auto"/>
        </w:rPr>
        <w:t>表2.5-6  农用地土壤污染风险筛选值(单位：mg/kg)</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7"/>
        <w:gridCol w:w="389"/>
        <w:gridCol w:w="726"/>
        <w:gridCol w:w="968"/>
        <w:gridCol w:w="968"/>
        <w:gridCol w:w="968"/>
        <w:gridCol w:w="796"/>
        <w:gridCol w:w="968"/>
        <w:gridCol w:w="968"/>
        <w:gridCol w:w="968"/>
        <w:gridCol w:w="840"/>
      </w:tblGrid>
      <w:tr w14:paraId="30847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7" w:type="dxa"/>
            <w:vMerge w:val="restart"/>
            <w:vAlign w:val="center"/>
          </w:tcPr>
          <w:p w14:paraId="0FEE8C15">
            <w:pPr>
              <w:widowControl/>
              <w:spacing w:line="240" w:lineRule="auto"/>
              <w:ind w:firstLine="0" w:firstLineChars="0"/>
              <w:jc w:val="center"/>
              <w:rPr>
                <w:b/>
                <w:color w:val="auto"/>
                <w:sz w:val="21"/>
                <w:szCs w:val="21"/>
              </w:rPr>
            </w:pPr>
            <w:r>
              <w:rPr>
                <w:b/>
                <w:color w:val="auto"/>
                <w:sz w:val="21"/>
                <w:szCs w:val="21"/>
              </w:rPr>
              <w:t>序号</w:t>
            </w:r>
          </w:p>
        </w:tc>
        <w:tc>
          <w:tcPr>
            <w:tcW w:w="1115" w:type="dxa"/>
            <w:gridSpan w:val="2"/>
            <w:vMerge w:val="restart"/>
            <w:vAlign w:val="center"/>
          </w:tcPr>
          <w:p w14:paraId="4D80ADD6">
            <w:pPr>
              <w:widowControl/>
              <w:spacing w:line="240" w:lineRule="auto"/>
              <w:ind w:firstLine="0" w:firstLineChars="0"/>
              <w:jc w:val="center"/>
              <w:rPr>
                <w:b/>
                <w:color w:val="auto"/>
                <w:sz w:val="21"/>
                <w:szCs w:val="21"/>
              </w:rPr>
            </w:pPr>
            <w:r>
              <w:rPr>
                <w:b/>
                <w:color w:val="auto"/>
                <w:sz w:val="21"/>
                <w:szCs w:val="21"/>
              </w:rPr>
              <w:t>污染物项目</w:t>
            </w:r>
          </w:p>
        </w:tc>
        <w:tc>
          <w:tcPr>
            <w:tcW w:w="3700" w:type="dxa"/>
            <w:gridSpan w:val="4"/>
            <w:vAlign w:val="center"/>
          </w:tcPr>
          <w:p w14:paraId="5C99CB06">
            <w:pPr>
              <w:widowControl/>
              <w:spacing w:line="240" w:lineRule="auto"/>
              <w:ind w:firstLine="0" w:firstLineChars="0"/>
              <w:jc w:val="center"/>
              <w:rPr>
                <w:b/>
                <w:color w:val="auto"/>
                <w:sz w:val="21"/>
                <w:szCs w:val="21"/>
              </w:rPr>
            </w:pPr>
            <w:r>
              <w:rPr>
                <w:b/>
                <w:color w:val="auto"/>
                <w:sz w:val="21"/>
                <w:szCs w:val="21"/>
              </w:rPr>
              <w:t>筛选值</w:t>
            </w:r>
          </w:p>
        </w:tc>
        <w:tc>
          <w:tcPr>
            <w:tcW w:w="3744" w:type="dxa"/>
            <w:gridSpan w:val="4"/>
            <w:vAlign w:val="center"/>
          </w:tcPr>
          <w:p w14:paraId="130E8EAF">
            <w:pPr>
              <w:widowControl/>
              <w:spacing w:line="240" w:lineRule="auto"/>
              <w:ind w:firstLine="0" w:firstLineChars="0"/>
              <w:jc w:val="center"/>
              <w:rPr>
                <w:b/>
                <w:color w:val="auto"/>
                <w:sz w:val="21"/>
                <w:szCs w:val="21"/>
              </w:rPr>
            </w:pPr>
            <w:r>
              <w:rPr>
                <w:b/>
                <w:color w:val="auto"/>
                <w:sz w:val="21"/>
                <w:szCs w:val="21"/>
              </w:rPr>
              <w:t>管制值</w:t>
            </w:r>
          </w:p>
        </w:tc>
      </w:tr>
      <w:tr w14:paraId="6E6C4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7" w:type="dxa"/>
            <w:vMerge w:val="continue"/>
            <w:vAlign w:val="center"/>
          </w:tcPr>
          <w:p w14:paraId="65346BF2">
            <w:pPr>
              <w:widowControl/>
              <w:adjustRightInd/>
              <w:snapToGrid/>
              <w:spacing w:line="240" w:lineRule="auto"/>
              <w:ind w:firstLine="0" w:firstLineChars="0"/>
              <w:jc w:val="center"/>
              <w:rPr>
                <w:b/>
                <w:color w:val="auto"/>
                <w:sz w:val="21"/>
                <w:szCs w:val="21"/>
              </w:rPr>
            </w:pPr>
          </w:p>
        </w:tc>
        <w:tc>
          <w:tcPr>
            <w:tcW w:w="1115" w:type="dxa"/>
            <w:gridSpan w:val="2"/>
            <w:vMerge w:val="continue"/>
            <w:vAlign w:val="center"/>
          </w:tcPr>
          <w:p w14:paraId="271E1914">
            <w:pPr>
              <w:widowControl/>
              <w:adjustRightInd/>
              <w:snapToGrid/>
              <w:spacing w:line="240" w:lineRule="auto"/>
              <w:ind w:firstLine="0" w:firstLineChars="0"/>
              <w:jc w:val="center"/>
              <w:rPr>
                <w:b/>
                <w:color w:val="auto"/>
                <w:sz w:val="21"/>
                <w:szCs w:val="21"/>
              </w:rPr>
            </w:pPr>
          </w:p>
        </w:tc>
        <w:tc>
          <w:tcPr>
            <w:tcW w:w="968" w:type="dxa"/>
            <w:vAlign w:val="center"/>
          </w:tcPr>
          <w:p w14:paraId="48B4D8E6">
            <w:pPr>
              <w:widowControl/>
              <w:spacing w:line="240" w:lineRule="auto"/>
              <w:ind w:firstLine="0" w:firstLineChars="0"/>
              <w:jc w:val="center"/>
              <w:rPr>
                <w:b/>
                <w:color w:val="auto"/>
                <w:sz w:val="21"/>
                <w:szCs w:val="21"/>
              </w:rPr>
            </w:pPr>
            <w:r>
              <w:rPr>
                <w:b/>
                <w:color w:val="auto"/>
                <w:sz w:val="21"/>
                <w:szCs w:val="21"/>
              </w:rPr>
              <w:t>pH≤5.5</w:t>
            </w:r>
          </w:p>
        </w:tc>
        <w:tc>
          <w:tcPr>
            <w:tcW w:w="968" w:type="dxa"/>
            <w:vAlign w:val="center"/>
          </w:tcPr>
          <w:p w14:paraId="5CF1D814">
            <w:pPr>
              <w:widowControl/>
              <w:spacing w:line="240" w:lineRule="auto"/>
              <w:ind w:firstLine="0" w:firstLineChars="0"/>
              <w:jc w:val="center"/>
              <w:rPr>
                <w:b/>
                <w:color w:val="auto"/>
                <w:sz w:val="21"/>
                <w:szCs w:val="21"/>
              </w:rPr>
            </w:pPr>
            <w:r>
              <w:rPr>
                <w:b/>
                <w:color w:val="auto"/>
                <w:sz w:val="21"/>
                <w:szCs w:val="21"/>
              </w:rPr>
              <w:t>5.5＜pH≤6.5</w:t>
            </w:r>
          </w:p>
        </w:tc>
        <w:tc>
          <w:tcPr>
            <w:tcW w:w="968" w:type="dxa"/>
            <w:vAlign w:val="center"/>
          </w:tcPr>
          <w:p w14:paraId="44FB6004">
            <w:pPr>
              <w:widowControl/>
              <w:spacing w:line="240" w:lineRule="auto"/>
              <w:ind w:firstLine="0" w:firstLineChars="0"/>
              <w:jc w:val="center"/>
              <w:rPr>
                <w:b/>
                <w:color w:val="auto"/>
                <w:sz w:val="21"/>
                <w:szCs w:val="21"/>
              </w:rPr>
            </w:pPr>
            <w:r>
              <w:rPr>
                <w:b/>
                <w:color w:val="auto"/>
                <w:sz w:val="21"/>
                <w:szCs w:val="21"/>
              </w:rPr>
              <w:t>6.5＜pH≤7.5</w:t>
            </w:r>
          </w:p>
        </w:tc>
        <w:tc>
          <w:tcPr>
            <w:tcW w:w="796" w:type="dxa"/>
            <w:vAlign w:val="center"/>
          </w:tcPr>
          <w:p w14:paraId="7A9F50BE">
            <w:pPr>
              <w:widowControl/>
              <w:spacing w:line="240" w:lineRule="auto"/>
              <w:ind w:firstLine="0" w:firstLineChars="0"/>
              <w:jc w:val="center"/>
              <w:rPr>
                <w:b/>
                <w:color w:val="auto"/>
                <w:sz w:val="21"/>
                <w:szCs w:val="21"/>
              </w:rPr>
            </w:pPr>
            <w:r>
              <w:rPr>
                <w:b/>
                <w:color w:val="auto"/>
                <w:sz w:val="21"/>
                <w:szCs w:val="21"/>
              </w:rPr>
              <w:t>pH＞7.5</w:t>
            </w:r>
          </w:p>
        </w:tc>
        <w:tc>
          <w:tcPr>
            <w:tcW w:w="968" w:type="dxa"/>
            <w:vAlign w:val="center"/>
          </w:tcPr>
          <w:p w14:paraId="4CE97A51">
            <w:pPr>
              <w:widowControl/>
              <w:spacing w:line="240" w:lineRule="auto"/>
              <w:ind w:firstLine="0" w:firstLineChars="0"/>
              <w:jc w:val="center"/>
              <w:rPr>
                <w:b/>
                <w:color w:val="auto"/>
                <w:sz w:val="21"/>
                <w:szCs w:val="21"/>
              </w:rPr>
            </w:pPr>
            <w:r>
              <w:rPr>
                <w:b/>
                <w:color w:val="auto"/>
                <w:sz w:val="21"/>
                <w:szCs w:val="21"/>
              </w:rPr>
              <w:t>pH≤5.5</w:t>
            </w:r>
          </w:p>
        </w:tc>
        <w:tc>
          <w:tcPr>
            <w:tcW w:w="968" w:type="dxa"/>
            <w:vAlign w:val="center"/>
          </w:tcPr>
          <w:p w14:paraId="3406417B">
            <w:pPr>
              <w:widowControl/>
              <w:spacing w:line="240" w:lineRule="auto"/>
              <w:ind w:firstLine="0" w:firstLineChars="0"/>
              <w:jc w:val="center"/>
              <w:rPr>
                <w:b/>
                <w:color w:val="auto"/>
                <w:sz w:val="21"/>
                <w:szCs w:val="21"/>
              </w:rPr>
            </w:pPr>
            <w:r>
              <w:rPr>
                <w:b/>
                <w:color w:val="auto"/>
                <w:sz w:val="21"/>
                <w:szCs w:val="21"/>
              </w:rPr>
              <w:t>5.5＜pH≤6.5</w:t>
            </w:r>
          </w:p>
        </w:tc>
        <w:tc>
          <w:tcPr>
            <w:tcW w:w="968" w:type="dxa"/>
            <w:vAlign w:val="center"/>
          </w:tcPr>
          <w:p w14:paraId="6F0ACD2B">
            <w:pPr>
              <w:widowControl/>
              <w:spacing w:line="240" w:lineRule="auto"/>
              <w:ind w:firstLine="0" w:firstLineChars="0"/>
              <w:jc w:val="center"/>
              <w:rPr>
                <w:b/>
                <w:color w:val="auto"/>
                <w:sz w:val="21"/>
                <w:szCs w:val="21"/>
              </w:rPr>
            </w:pPr>
            <w:r>
              <w:rPr>
                <w:b/>
                <w:color w:val="auto"/>
                <w:sz w:val="21"/>
                <w:szCs w:val="21"/>
              </w:rPr>
              <w:t>6.5＜pH≤7.5</w:t>
            </w:r>
          </w:p>
        </w:tc>
        <w:tc>
          <w:tcPr>
            <w:tcW w:w="840" w:type="dxa"/>
            <w:vAlign w:val="center"/>
          </w:tcPr>
          <w:p w14:paraId="0C6DE163">
            <w:pPr>
              <w:widowControl/>
              <w:spacing w:line="240" w:lineRule="auto"/>
              <w:ind w:firstLine="0" w:firstLineChars="0"/>
              <w:jc w:val="center"/>
              <w:rPr>
                <w:b/>
                <w:color w:val="auto"/>
                <w:sz w:val="21"/>
                <w:szCs w:val="21"/>
              </w:rPr>
            </w:pPr>
            <w:r>
              <w:rPr>
                <w:b/>
                <w:color w:val="auto"/>
                <w:sz w:val="21"/>
                <w:szCs w:val="21"/>
              </w:rPr>
              <w:t>pH＞7.5</w:t>
            </w:r>
          </w:p>
        </w:tc>
      </w:tr>
      <w:tr w14:paraId="0E9F8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restart"/>
            <w:vAlign w:val="center"/>
          </w:tcPr>
          <w:p w14:paraId="4A477530">
            <w:pPr>
              <w:widowControl/>
              <w:spacing w:line="240" w:lineRule="auto"/>
              <w:ind w:firstLine="0" w:firstLineChars="0"/>
              <w:jc w:val="center"/>
              <w:rPr>
                <w:color w:val="auto"/>
                <w:kern w:val="44"/>
                <w:sz w:val="21"/>
                <w:szCs w:val="21"/>
              </w:rPr>
            </w:pPr>
            <w:r>
              <w:rPr>
                <w:color w:val="auto"/>
                <w:kern w:val="44"/>
                <w:sz w:val="21"/>
                <w:szCs w:val="21"/>
              </w:rPr>
              <w:t>1</w:t>
            </w:r>
          </w:p>
        </w:tc>
        <w:tc>
          <w:tcPr>
            <w:tcW w:w="389" w:type="dxa"/>
            <w:vMerge w:val="restart"/>
            <w:vAlign w:val="center"/>
          </w:tcPr>
          <w:p w14:paraId="32679A11">
            <w:pPr>
              <w:widowControl/>
              <w:spacing w:line="240" w:lineRule="auto"/>
              <w:ind w:firstLine="0" w:firstLineChars="0"/>
              <w:jc w:val="center"/>
              <w:rPr>
                <w:color w:val="auto"/>
                <w:kern w:val="44"/>
                <w:sz w:val="21"/>
                <w:szCs w:val="21"/>
              </w:rPr>
            </w:pPr>
            <w:r>
              <w:rPr>
                <w:color w:val="auto"/>
                <w:kern w:val="44"/>
                <w:sz w:val="21"/>
                <w:szCs w:val="21"/>
              </w:rPr>
              <w:t>镉</w:t>
            </w:r>
          </w:p>
        </w:tc>
        <w:tc>
          <w:tcPr>
            <w:tcW w:w="726" w:type="dxa"/>
            <w:vAlign w:val="center"/>
          </w:tcPr>
          <w:p w14:paraId="4B8E39AB">
            <w:pPr>
              <w:widowControl/>
              <w:spacing w:line="240" w:lineRule="auto"/>
              <w:ind w:firstLine="0" w:firstLineChars="0"/>
              <w:jc w:val="center"/>
              <w:rPr>
                <w:color w:val="auto"/>
                <w:kern w:val="44"/>
                <w:sz w:val="21"/>
                <w:szCs w:val="21"/>
              </w:rPr>
            </w:pPr>
            <w:r>
              <w:rPr>
                <w:color w:val="auto"/>
                <w:kern w:val="44"/>
                <w:sz w:val="21"/>
                <w:szCs w:val="21"/>
              </w:rPr>
              <w:t>水田</w:t>
            </w:r>
          </w:p>
        </w:tc>
        <w:tc>
          <w:tcPr>
            <w:tcW w:w="968" w:type="dxa"/>
            <w:vAlign w:val="center"/>
          </w:tcPr>
          <w:p w14:paraId="2A473781">
            <w:pPr>
              <w:widowControl/>
              <w:spacing w:line="240" w:lineRule="auto"/>
              <w:ind w:firstLine="0" w:firstLineChars="0"/>
              <w:jc w:val="center"/>
              <w:rPr>
                <w:color w:val="auto"/>
                <w:kern w:val="44"/>
                <w:sz w:val="21"/>
                <w:szCs w:val="21"/>
              </w:rPr>
            </w:pPr>
            <w:r>
              <w:rPr>
                <w:color w:val="auto"/>
                <w:kern w:val="44"/>
                <w:sz w:val="21"/>
                <w:szCs w:val="21"/>
              </w:rPr>
              <w:t>0.3</w:t>
            </w:r>
          </w:p>
        </w:tc>
        <w:tc>
          <w:tcPr>
            <w:tcW w:w="968" w:type="dxa"/>
            <w:vAlign w:val="center"/>
          </w:tcPr>
          <w:p w14:paraId="0929164D">
            <w:pPr>
              <w:widowControl/>
              <w:spacing w:line="240" w:lineRule="auto"/>
              <w:ind w:firstLine="0" w:firstLineChars="0"/>
              <w:jc w:val="center"/>
              <w:rPr>
                <w:color w:val="auto"/>
                <w:kern w:val="44"/>
                <w:sz w:val="21"/>
                <w:szCs w:val="21"/>
              </w:rPr>
            </w:pPr>
            <w:r>
              <w:rPr>
                <w:color w:val="auto"/>
                <w:kern w:val="44"/>
                <w:sz w:val="21"/>
                <w:szCs w:val="21"/>
              </w:rPr>
              <w:t>0.4</w:t>
            </w:r>
          </w:p>
        </w:tc>
        <w:tc>
          <w:tcPr>
            <w:tcW w:w="968" w:type="dxa"/>
            <w:vAlign w:val="center"/>
          </w:tcPr>
          <w:p w14:paraId="08493190">
            <w:pPr>
              <w:widowControl/>
              <w:spacing w:line="240" w:lineRule="auto"/>
              <w:ind w:firstLine="0" w:firstLineChars="0"/>
              <w:jc w:val="center"/>
              <w:rPr>
                <w:color w:val="auto"/>
                <w:kern w:val="44"/>
                <w:sz w:val="21"/>
                <w:szCs w:val="21"/>
              </w:rPr>
            </w:pPr>
            <w:r>
              <w:rPr>
                <w:color w:val="auto"/>
                <w:kern w:val="44"/>
                <w:sz w:val="21"/>
                <w:szCs w:val="21"/>
              </w:rPr>
              <w:t>0.6</w:t>
            </w:r>
          </w:p>
        </w:tc>
        <w:tc>
          <w:tcPr>
            <w:tcW w:w="796" w:type="dxa"/>
            <w:vAlign w:val="center"/>
          </w:tcPr>
          <w:p w14:paraId="7AFF0D84">
            <w:pPr>
              <w:widowControl/>
              <w:spacing w:line="240" w:lineRule="auto"/>
              <w:ind w:firstLine="0" w:firstLineChars="0"/>
              <w:jc w:val="center"/>
              <w:rPr>
                <w:color w:val="auto"/>
                <w:kern w:val="44"/>
                <w:sz w:val="21"/>
                <w:szCs w:val="21"/>
              </w:rPr>
            </w:pPr>
            <w:r>
              <w:rPr>
                <w:color w:val="auto"/>
                <w:kern w:val="44"/>
                <w:sz w:val="21"/>
                <w:szCs w:val="21"/>
              </w:rPr>
              <w:t>0.8</w:t>
            </w:r>
          </w:p>
        </w:tc>
        <w:tc>
          <w:tcPr>
            <w:tcW w:w="968" w:type="dxa"/>
            <w:vMerge w:val="restart"/>
            <w:vAlign w:val="center"/>
          </w:tcPr>
          <w:p w14:paraId="25B6879A">
            <w:pPr>
              <w:widowControl/>
              <w:spacing w:line="240" w:lineRule="auto"/>
              <w:ind w:firstLine="0" w:firstLineChars="0"/>
              <w:jc w:val="center"/>
              <w:rPr>
                <w:color w:val="auto"/>
                <w:kern w:val="44"/>
                <w:sz w:val="21"/>
                <w:szCs w:val="21"/>
              </w:rPr>
            </w:pPr>
            <w:r>
              <w:rPr>
                <w:color w:val="auto"/>
                <w:kern w:val="44"/>
                <w:sz w:val="21"/>
                <w:szCs w:val="21"/>
              </w:rPr>
              <w:t>1.5</w:t>
            </w:r>
          </w:p>
        </w:tc>
        <w:tc>
          <w:tcPr>
            <w:tcW w:w="968" w:type="dxa"/>
            <w:vMerge w:val="restart"/>
            <w:vAlign w:val="center"/>
          </w:tcPr>
          <w:p w14:paraId="667CE227">
            <w:pPr>
              <w:widowControl/>
              <w:spacing w:line="240" w:lineRule="auto"/>
              <w:ind w:firstLine="0" w:firstLineChars="0"/>
              <w:jc w:val="center"/>
              <w:rPr>
                <w:color w:val="auto"/>
                <w:kern w:val="44"/>
                <w:sz w:val="21"/>
                <w:szCs w:val="21"/>
              </w:rPr>
            </w:pPr>
            <w:r>
              <w:rPr>
                <w:color w:val="auto"/>
                <w:kern w:val="44"/>
                <w:sz w:val="21"/>
                <w:szCs w:val="21"/>
              </w:rPr>
              <w:t>2.0</w:t>
            </w:r>
          </w:p>
        </w:tc>
        <w:tc>
          <w:tcPr>
            <w:tcW w:w="968" w:type="dxa"/>
            <w:vMerge w:val="restart"/>
            <w:vAlign w:val="center"/>
          </w:tcPr>
          <w:p w14:paraId="5FFCEFBF">
            <w:pPr>
              <w:widowControl/>
              <w:spacing w:line="240" w:lineRule="auto"/>
              <w:ind w:firstLine="0" w:firstLineChars="0"/>
              <w:jc w:val="center"/>
              <w:rPr>
                <w:color w:val="auto"/>
                <w:kern w:val="44"/>
                <w:sz w:val="21"/>
                <w:szCs w:val="21"/>
              </w:rPr>
            </w:pPr>
            <w:r>
              <w:rPr>
                <w:color w:val="auto"/>
                <w:kern w:val="44"/>
                <w:sz w:val="21"/>
                <w:szCs w:val="21"/>
              </w:rPr>
              <w:t>3.0</w:t>
            </w:r>
          </w:p>
        </w:tc>
        <w:tc>
          <w:tcPr>
            <w:tcW w:w="840" w:type="dxa"/>
            <w:vMerge w:val="restart"/>
            <w:vAlign w:val="center"/>
          </w:tcPr>
          <w:p w14:paraId="05865CB7">
            <w:pPr>
              <w:widowControl/>
              <w:spacing w:line="240" w:lineRule="auto"/>
              <w:ind w:firstLine="0" w:firstLineChars="0"/>
              <w:jc w:val="center"/>
              <w:rPr>
                <w:color w:val="auto"/>
                <w:kern w:val="44"/>
                <w:sz w:val="21"/>
                <w:szCs w:val="21"/>
              </w:rPr>
            </w:pPr>
            <w:r>
              <w:rPr>
                <w:color w:val="auto"/>
                <w:kern w:val="44"/>
                <w:sz w:val="21"/>
                <w:szCs w:val="21"/>
              </w:rPr>
              <w:t>4.0</w:t>
            </w:r>
          </w:p>
        </w:tc>
      </w:tr>
      <w:tr w14:paraId="1D825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vAlign w:val="center"/>
          </w:tcPr>
          <w:p w14:paraId="1856385D">
            <w:pPr>
              <w:widowControl/>
              <w:adjustRightInd/>
              <w:snapToGrid/>
              <w:spacing w:line="240" w:lineRule="auto"/>
              <w:ind w:firstLine="0" w:firstLineChars="0"/>
              <w:jc w:val="center"/>
              <w:rPr>
                <w:color w:val="auto"/>
                <w:kern w:val="44"/>
                <w:sz w:val="21"/>
                <w:szCs w:val="21"/>
              </w:rPr>
            </w:pPr>
          </w:p>
        </w:tc>
        <w:tc>
          <w:tcPr>
            <w:tcW w:w="389" w:type="dxa"/>
            <w:vMerge w:val="continue"/>
            <w:vAlign w:val="center"/>
          </w:tcPr>
          <w:p w14:paraId="3EBCF558">
            <w:pPr>
              <w:widowControl/>
              <w:adjustRightInd/>
              <w:snapToGrid/>
              <w:spacing w:line="240" w:lineRule="auto"/>
              <w:ind w:firstLine="0" w:firstLineChars="0"/>
              <w:jc w:val="center"/>
              <w:rPr>
                <w:color w:val="auto"/>
                <w:kern w:val="44"/>
                <w:sz w:val="21"/>
                <w:szCs w:val="21"/>
              </w:rPr>
            </w:pPr>
          </w:p>
        </w:tc>
        <w:tc>
          <w:tcPr>
            <w:tcW w:w="726" w:type="dxa"/>
            <w:vAlign w:val="center"/>
          </w:tcPr>
          <w:p w14:paraId="721CF53A">
            <w:pPr>
              <w:widowControl/>
              <w:spacing w:line="240" w:lineRule="auto"/>
              <w:ind w:firstLine="0" w:firstLineChars="0"/>
              <w:jc w:val="center"/>
              <w:rPr>
                <w:color w:val="auto"/>
                <w:kern w:val="44"/>
                <w:sz w:val="21"/>
                <w:szCs w:val="21"/>
              </w:rPr>
            </w:pPr>
            <w:r>
              <w:rPr>
                <w:color w:val="auto"/>
                <w:kern w:val="44"/>
                <w:sz w:val="21"/>
                <w:szCs w:val="21"/>
              </w:rPr>
              <w:t>其他</w:t>
            </w:r>
          </w:p>
        </w:tc>
        <w:tc>
          <w:tcPr>
            <w:tcW w:w="968" w:type="dxa"/>
            <w:vAlign w:val="center"/>
          </w:tcPr>
          <w:p w14:paraId="5BF89E1E">
            <w:pPr>
              <w:widowControl/>
              <w:spacing w:line="240" w:lineRule="auto"/>
              <w:ind w:firstLine="0" w:firstLineChars="0"/>
              <w:jc w:val="center"/>
              <w:rPr>
                <w:color w:val="auto"/>
                <w:kern w:val="44"/>
                <w:sz w:val="21"/>
                <w:szCs w:val="21"/>
              </w:rPr>
            </w:pPr>
            <w:r>
              <w:rPr>
                <w:color w:val="auto"/>
                <w:kern w:val="44"/>
                <w:sz w:val="21"/>
                <w:szCs w:val="21"/>
              </w:rPr>
              <w:t>0.3</w:t>
            </w:r>
          </w:p>
        </w:tc>
        <w:tc>
          <w:tcPr>
            <w:tcW w:w="968" w:type="dxa"/>
            <w:vAlign w:val="center"/>
          </w:tcPr>
          <w:p w14:paraId="6BD6BC0A">
            <w:pPr>
              <w:widowControl/>
              <w:spacing w:line="240" w:lineRule="auto"/>
              <w:ind w:firstLine="0" w:firstLineChars="0"/>
              <w:jc w:val="center"/>
              <w:rPr>
                <w:color w:val="auto"/>
                <w:kern w:val="44"/>
                <w:sz w:val="21"/>
                <w:szCs w:val="21"/>
              </w:rPr>
            </w:pPr>
            <w:r>
              <w:rPr>
                <w:color w:val="auto"/>
                <w:kern w:val="44"/>
                <w:sz w:val="21"/>
                <w:szCs w:val="21"/>
              </w:rPr>
              <w:t>0.3</w:t>
            </w:r>
          </w:p>
        </w:tc>
        <w:tc>
          <w:tcPr>
            <w:tcW w:w="968" w:type="dxa"/>
            <w:vAlign w:val="center"/>
          </w:tcPr>
          <w:p w14:paraId="27F8AEFD">
            <w:pPr>
              <w:widowControl/>
              <w:spacing w:line="240" w:lineRule="auto"/>
              <w:ind w:firstLine="0" w:firstLineChars="0"/>
              <w:jc w:val="center"/>
              <w:rPr>
                <w:color w:val="auto"/>
                <w:kern w:val="44"/>
                <w:sz w:val="21"/>
                <w:szCs w:val="21"/>
              </w:rPr>
            </w:pPr>
            <w:r>
              <w:rPr>
                <w:color w:val="auto"/>
                <w:kern w:val="44"/>
                <w:sz w:val="21"/>
                <w:szCs w:val="21"/>
              </w:rPr>
              <w:t>0.3</w:t>
            </w:r>
          </w:p>
        </w:tc>
        <w:tc>
          <w:tcPr>
            <w:tcW w:w="796" w:type="dxa"/>
            <w:vAlign w:val="center"/>
          </w:tcPr>
          <w:p w14:paraId="0A5DF45C">
            <w:pPr>
              <w:widowControl/>
              <w:spacing w:line="240" w:lineRule="auto"/>
              <w:ind w:firstLine="0" w:firstLineChars="0"/>
              <w:jc w:val="center"/>
              <w:rPr>
                <w:color w:val="auto"/>
                <w:kern w:val="44"/>
                <w:sz w:val="21"/>
                <w:szCs w:val="21"/>
              </w:rPr>
            </w:pPr>
            <w:r>
              <w:rPr>
                <w:color w:val="auto"/>
                <w:kern w:val="44"/>
                <w:sz w:val="21"/>
                <w:szCs w:val="21"/>
              </w:rPr>
              <w:t>0.6</w:t>
            </w:r>
          </w:p>
        </w:tc>
        <w:tc>
          <w:tcPr>
            <w:tcW w:w="968" w:type="dxa"/>
            <w:vMerge w:val="continue"/>
            <w:vAlign w:val="center"/>
          </w:tcPr>
          <w:p w14:paraId="517415BC">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6D729C7E">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60EA8DC0">
            <w:pPr>
              <w:widowControl/>
              <w:adjustRightInd/>
              <w:snapToGrid/>
              <w:spacing w:line="240" w:lineRule="auto"/>
              <w:ind w:firstLine="0" w:firstLineChars="0"/>
              <w:jc w:val="center"/>
              <w:rPr>
                <w:color w:val="auto"/>
                <w:kern w:val="44"/>
                <w:sz w:val="21"/>
                <w:szCs w:val="21"/>
              </w:rPr>
            </w:pPr>
          </w:p>
        </w:tc>
        <w:tc>
          <w:tcPr>
            <w:tcW w:w="840" w:type="dxa"/>
            <w:vMerge w:val="continue"/>
            <w:vAlign w:val="center"/>
          </w:tcPr>
          <w:p w14:paraId="214CE1E2">
            <w:pPr>
              <w:widowControl/>
              <w:adjustRightInd/>
              <w:snapToGrid/>
              <w:spacing w:line="240" w:lineRule="auto"/>
              <w:ind w:firstLine="0" w:firstLineChars="0"/>
              <w:jc w:val="center"/>
              <w:rPr>
                <w:color w:val="auto"/>
                <w:kern w:val="44"/>
                <w:sz w:val="21"/>
                <w:szCs w:val="21"/>
              </w:rPr>
            </w:pPr>
          </w:p>
        </w:tc>
      </w:tr>
      <w:tr w14:paraId="2DE85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restart"/>
            <w:vAlign w:val="center"/>
          </w:tcPr>
          <w:p w14:paraId="2CD660E0">
            <w:pPr>
              <w:widowControl/>
              <w:spacing w:line="240" w:lineRule="auto"/>
              <w:ind w:firstLine="0" w:firstLineChars="0"/>
              <w:jc w:val="center"/>
              <w:rPr>
                <w:color w:val="auto"/>
                <w:kern w:val="44"/>
                <w:sz w:val="21"/>
                <w:szCs w:val="21"/>
              </w:rPr>
            </w:pPr>
            <w:r>
              <w:rPr>
                <w:color w:val="auto"/>
                <w:kern w:val="44"/>
                <w:sz w:val="21"/>
                <w:szCs w:val="21"/>
              </w:rPr>
              <w:t>2</w:t>
            </w:r>
          </w:p>
        </w:tc>
        <w:tc>
          <w:tcPr>
            <w:tcW w:w="389" w:type="dxa"/>
            <w:vMerge w:val="restart"/>
            <w:vAlign w:val="center"/>
          </w:tcPr>
          <w:p w14:paraId="374F47B1">
            <w:pPr>
              <w:widowControl/>
              <w:spacing w:line="240" w:lineRule="auto"/>
              <w:ind w:firstLine="0" w:firstLineChars="0"/>
              <w:jc w:val="center"/>
              <w:rPr>
                <w:color w:val="auto"/>
                <w:kern w:val="44"/>
                <w:sz w:val="21"/>
                <w:szCs w:val="21"/>
              </w:rPr>
            </w:pPr>
            <w:r>
              <w:rPr>
                <w:color w:val="auto"/>
                <w:kern w:val="44"/>
                <w:sz w:val="21"/>
                <w:szCs w:val="21"/>
              </w:rPr>
              <w:t>汞</w:t>
            </w:r>
          </w:p>
        </w:tc>
        <w:tc>
          <w:tcPr>
            <w:tcW w:w="726" w:type="dxa"/>
            <w:vAlign w:val="center"/>
          </w:tcPr>
          <w:p w14:paraId="777E34BA">
            <w:pPr>
              <w:widowControl/>
              <w:spacing w:line="240" w:lineRule="auto"/>
              <w:ind w:firstLine="0" w:firstLineChars="0"/>
              <w:jc w:val="center"/>
              <w:rPr>
                <w:color w:val="auto"/>
                <w:kern w:val="44"/>
                <w:sz w:val="21"/>
                <w:szCs w:val="21"/>
              </w:rPr>
            </w:pPr>
            <w:r>
              <w:rPr>
                <w:color w:val="auto"/>
                <w:kern w:val="44"/>
                <w:sz w:val="21"/>
                <w:szCs w:val="21"/>
              </w:rPr>
              <w:t>水田</w:t>
            </w:r>
          </w:p>
        </w:tc>
        <w:tc>
          <w:tcPr>
            <w:tcW w:w="968" w:type="dxa"/>
            <w:vAlign w:val="center"/>
          </w:tcPr>
          <w:p w14:paraId="3FB9C532">
            <w:pPr>
              <w:widowControl/>
              <w:spacing w:line="240" w:lineRule="auto"/>
              <w:ind w:firstLine="0" w:firstLineChars="0"/>
              <w:jc w:val="center"/>
              <w:rPr>
                <w:color w:val="auto"/>
                <w:kern w:val="44"/>
                <w:sz w:val="21"/>
                <w:szCs w:val="21"/>
              </w:rPr>
            </w:pPr>
            <w:r>
              <w:rPr>
                <w:color w:val="auto"/>
                <w:kern w:val="44"/>
                <w:sz w:val="21"/>
                <w:szCs w:val="21"/>
              </w:rPr>
              <w:t>0.5</w:t>
            </w:r>
          </w:p>
        </w:tc>
        <w:tc>
          <w:tcPr>
            <w:tcW w:w="968" w:type="dxa"/>
            <w:vAlign w:val="center"/>
          </w:tcPr>
          <w:p w14:paraId="54CEF24B">
            <w:pPr>
              <w:widowControl/>
              <w:spacing w:line="240" w:lineRule="auto"/>
              <w:ind w:firstLine="0" w:firstLineChars="0"/>
              <w:jc w:val="center"/>
              <w:rPr>
                <w:color w:val="auto"/>
                <w:kern w:val="44"/>
                <w:sz w:val="21"/>
                <w:szCs w:val="21"/>
              </w:rPr>
            </w:pPr>
            <w:r>
              <w:rPr>
                <w:color w:val="auto"/>
                <w:kern w:val="44"/>
                <w:sz w:val="21"/>
                <w:szCs w:val="21"/>
              </w:rPr>
              <w:t>0.5</w:t>
            </w:r>
          </w:p>
        </w:tc>
        <w:tc>
          <w:tcPr>
            <w:tcW w:w="968" w:type="dxa"/>
            <w:vAlign w:val="center"/>
          </w:tcPr>
          <w:p w14:paraId="22320D00">
            <w:pPr>
              <w:widowControl/>
              <w:spacing w:line="240" w:lineRule="auto"/>
              <w:ind w:firstLine="0" w:firstLineChars="0"/>
              <w:jc w:val="center"/>
              <w:rPr>
                <w:color w:val="auto"/>
                <w:kern w:val="44"/>
                <w:sz w:val="21"/>
                <w:szCs w:val="21"/>
              </w:rPr>
            </w:pPr>
            <w:r>
              <w:rPr>
                <w:color w:val="auto"/>
                <w:kern w:val="44"/>
                <w:sz w:val="21"/>
                <w:szCs w:val="21"/>
              </w:rPr>
              <w:t>0.6</w:t>
            </w:r>
          </w:p>
        </w:tc>
        <w:tc>
          <w:tcPr>
            <w:tcW w:w="796" w:type="dxa"/>
            <w:vAlign w:val="center"/>
          </w:tcPr>
          <w:p w14:paraId="75298619">
            <w:pPr>
              <w:widowControl/>
              <w:spacing w:line="240" w:lineRule="auto"/>
              <w:ind w:firstLine="0" w:firstLineChars="0"/>
              <w:jc w:val="center"/>
              <w:rPr>
                <w:color w:val="auto"/>
                <w:kern w:val="44"/>
                <w:sz w:val="21"/>
                <w:szCs w:val="21"/>
              </w:rPr>
            </w:pPr>
            <w:r>
              <w:rPr>
                <w:color w:val="auto"/>
                <w:kern w:val="44"/>
                <w:sz w:val="21"/>
                <w:szCs w:val="21"/>
              </w:rPr>
              <w:t>1.0</w:t>
            </w:r>
          </w:p>
        </w:tc>
        <w:tc>
          <w:tcPr>
            <w:tcW w:w="968" w:type="dxa"/>
            <w:vMerge w:val="restart"/>
            <w:vAlign w:val="center"/>
          </w:tcPr>
          <w:p w14:paraId="550A69C3">
            <w:pPr>
              <w:widowControl/>
              <w:spacing w:line="240" w:lineRule="auto"/>
              <w:ind w:firstLine="0" w:firstLineChars="0"/>
              <w:jc w:val="center"/>
              <w:rPr>
                <w:color w:val="auto"/>
                <w:kern w:val="44"/>
                <w:sz w:val="21"/>
                <w:szCs w:val="21"/>
              </w:rPr>
            </w:pPr>
            <w:r>
              <w:rPr>
                <w:color w:val="auto"/>
                <w:kern w:val="44"/>
                <w:sz w:val="21"/>
                <w:szCs w:val="21"/>
              </w:rPr>
              <w:t>2.0</w:t>
            </w:r>
          </w:p>
        </w:tc>
        <w:tc>
          <w:tcPr>
            <w:tcW w:w="968" w:type="dxa"/>
            <w:vMerge w:val="restart"/>
            <w:vAlign w:val="center"/>
          </w:tcPr>
          <w:p w14:paraId="0B884146">
            <w:pPr>
              <w:widowControl/>
              <w:spacing w:line="240" w:lineRule="auto"/>
              <w:ind w:firstLine="0" w:firstLineChars="0"/>
              <w:jc w:val="center"/>
              <w:rPr>
                <w:color w:val="auto"/>
                <w:kern w:val="44"/>
                <w:sz w:val="21"/>
                <w:szCs w:val="21"/>
              </w:rPr>
            </w:pPr>
            <w:r>
              <w:rPr>
                <w:color w:val="auto"/>
                <w:kern w:val="44"/>
                <w:sz w:val="21"/>
                <w:szCs w:val="21"/>
              </w:rPr>
              <w:t>2.5</w:t>
            </w:r>
          </w:p>
        </w:tc>
        <w:tc>
          <w:tcPr>
            <w:tcW w:w="968" w:type="dxa"/>
            <w:vMerge w:val="restart"/>
            <w:vAlign w:val="center"/>
          </w:tcPr>
          <w:p w14:paraId="053CCF55">
            <w:pPr>
              <w:widowControl/>
              <w:spacing w:line="240" w:lineRule="auto"/>
              <w:ind w:firstLine="0" w:firstLineChars="0"/>
              <w:jc w:val="center"/>
              <w:rPr>
                <w:color w:val="auto"/>
                <w:kern w:val="44"/>
                <w:sz w:val="21"/>
                <w:szCs w:val="21"/>
              </w:rPr>
            </w:pPr>
            <w:r>
              <w:rPr>
                <w:color w:val="auto"/>
                <w:kern w:val="44"/>
                <w:sz w:val="21"/>
                <w:szCs w:val="21"/>
              </w:rPr>
              <w:t>4.0</w:t>
            </w:r>
          </w:p>
        </w:tc>
        <w:tc>
          <w:tcPr>
            <w:tcW w:w="840" w:type="dxa"/>
            <w:vMerge w:val="restart"/>
            <w:vAlign w:val="center"/>
          </w:tcPr>
          <w:p w14:paraId="08EAAC80">
            <w:pPr>
              <w:widowControl/>
              <w:spacing w:line="240" w:lineRule="auto"/>
              <w:ind w:firstLine="0" w:firstLineChars="0"/>
              <w:jc w:val="center"/>
              <w:rPr>
                <w:color w:val="auto"/>
                <w:kern w:val="44"/>
                <w:sz w:val="21"/>
                <w:szCs w:val="21"/>
              </w:rPr>
            </w:pPr>
            <w:r>
              <w:rPr>
                <w:color w:val="auto"/>
                <w:kern w:val="44"/>
                <w:sz w:val="21"/>
                <w:szCs w:val="21"/>
              </w:rPr>
              <w:t>6.0</w:t>
            </w:r>
          </w:p>
        </w:tc>
      </w:tr>
      <w:tr w14:paraId="2CA28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vAlign w:val="center"/>
          </w:tcPr>
          <w:p w14:paraId="461C74FC">
            <w:pPr>
              <w:widowControl/>
              <w:adjustRightInd/>
              <w:snapToGrid/>
              <w:spacing w:line="240" w:lineRule="auto"/>
              <w:ind w:firstLine="0" w:firstLineChars="0"/>
              <w:jc w:val="center"/>
              <w:rPr>
                <w:color w:val="auto"/>
                <w:kern w:val="44"/>
                <w:sz w:val="21"/>
                <w:szCs w:val="21"/>
              </w:rPr>
            </w:pPr>
          </w:p>
        </w:tc>
        <w:tc>
          <w:tcPr>
            <w:tcW w:w="389" w:type="dxa"/>
            <w:vMerge w:val="continue"/>
            <w:vAlign w:val="center"/>
          </w:tcPr>
          <w:p w14:paraId="4CC0BD1D">
            <w:pPr>
              <w:widowControl/>
              <w:adjustRightInd/>
              <w:snapToGrid/>
              <w:spacing w:line="240" w:lineRule="auto"/>
              <w:ind w:firstLine="0" w:firstLineChars="0"/>
              <w:jc w:val="center"/>
              <w:rPr>
                <w:color w:val="auto"/>
                <w:kern w:val="44"/>
                <w:sz w:val="21"/>
                <w:szCs w:val="21"/>
              </w:rPr>
            </w:pPr>
          </w:p>
        </w:tc>
        <w:tc>
          <w:tcPr>
            <w:tcW w:w="726" w:type="dxa"/>
            <w:vAlign w:val="center"/>
          </w:tcPr>
          <w:p w14:paraId="1923EC03">
            <w:pPr>
              <w:widowControl/>
              <w:spacing w:line="240" w:lineRule="auto"/>
              <w:ind w:firstLine="0" w:firstLineChars="0"/>
              <w:jc w:val="center"/>
              <w:rPr>
                <w:color w:val="auto"/>
                <w:kern w:val="44"/>
                <w:sz w:val="21"/>
                <w:szCs w:val="21"/>
              </w:rPr>
            </w:pPr>
            <w:r>
              <w:rPr>
                <w:color w:val="auto"/>
                <w:kern w:val="44"/>
                <w:sz w:val="21"/>
                <w:szCs w:val="21"/>
              </w:rPr>
              <w:t>其他</w:t>
            </w:r>
          </w:p>
        </w:tc>
        <w:tc>
          <w:tcPr>
            <w:tcW w:w="968" w:type="dxa"/>
            <w:vAlign w:val="center"/>
          </w:tcPr>
          <w:p w14:paraId="1221E6D7">
            <w:pPr>
              <w:widowControl/>
              <w:spacing w:line="240" w:lineRule="auto"/>
              <w:ind w:firstLine="0" w:firstLineChars="0"/>
              <w:jc w:val="center"/>
              <w:rPr>
                <w:color w:val="auto"/>
                <w:kern w:val="44"/>
                <w:sz w:val="21"/>
                <w:szCs w:val="21"/>
              </w:rPr>
            </w:pPr>
            <w:r>
              <w:rPr>
                <w:color w:val="auto"/>
                <w:kern w:val="44"/>
                <w:sz w:val="21"/>
                <w:szCs w:val="21"/>
              </w:rPr>
              <w:t>1.3</w:t>
            </w:r>
          </w:p>
        </w:tc>
        <w:tc>
          <w:tcPr>
            <w:tcW w:w="968" w:type="dxa"/>
            <w:vAlign w:val="center"/>
          </w:tcPr>
          <w:p w14:paraId="39A17EFA">
            <w:pPr>
              <w:widowControl/>
              <w:spacing w:line="240" w:lineRule="auto"/>
              <w:ind w:firstLine="0" w:firstLineChars="0"/>
              <w:jc w:val="center"/>
              <w:rPr>
                <w:color w:val="auto"/>
                <w:kern w:val="44"/>
                <w:sz w:val="21"/>
                <w:szCs w:val="21"/>
              </w:rPr>
            </w:pPr>
            <w:r>
              <w:rPr>
                <w:color w:val="auto"/>
                <w:kern w:val="44"/>
                <w:sz w:val="21"/>
                <w:szCs w:val="21"/>
              </w:rPr>
              <w:t>1.8</w:t>
            </w:r>
          </w:p>
        </w:tc>
        <w:tc>
          <w:tcPr>
            <w:tcW w:w="968" w:type="dxa"/>
            <w:vAlign w:val="center"/>
          </w:tcPr>
          <w:p w14:paraId="0391117E">
            <w:pPr>
              <w:widowControl/>
              <w:spacing w:line="240" w:lineRule="auto"/>
              <w:ind w:firstLine="0" w:firstLineChars="0"/>
              <w:jc w:val="center"/>
              <w:rPr>
                <w:color w:val="auto"/>
                <w:kern w:val="44"/>
                <w:sz w:val="21"/>
                <w:szCs w:val="21"/>
              </w:rPr>
            </w:pPr>
            <w:r>
              <w:rPr>
                <w:color w:val="auto"/>
                <w:kern w:val="44"/>
                <w:sz w:val="21"/>
                <w:szCs w:val="21"/>
              </w:rPr>
              <w:t>2.4</w:t>
            </w:r>
          </w:p>
        </w:tc>
        <w:tc>
          <w:tcPr>
            <w:tcW w:w="796" w:type="dxa"/>
            <w:vAlign w:val="center"/>
          </w:tcPr>
          <w:p w14:paraId="6F58CBFD">
            <w:pPr>
              <w:widowControl/>
              <w:spacing w:line="240" w:lineRule="auto"/>
              <w:ind w:firstLine="0" w:firstLineChars="0"/>
              <w:jc w:val="center"/>
              <w:rPr>
                <w:color w:val="auto"/>
                <w:kern w:val="44"/>
                <w:sz w:val="21"/>
                <w:szCs w:val="21"/>
              </w:rPr>
            </w:pPr>
            <w:r>
              <w:rPr>
                <w:color w:val="auto"/>
                <w:kern w:val="44"/>
                <w:sz w:val="21"/>
                <w:szCs w:val="21"/>
              </w:rPr>
              <w:t>3.4</w:t>
            </w:r>
          </w:p>
        </w:tc>
        <w:tc>
          <w:tcPr>
            <w:tcW w:w="968" w:type="dxa"/>
            <w:vMerge w:val="continue"/>
            <w:vAlign w:val="center"/>
          </w:tcPr>
          <w:p w14:paraId="3C96921C">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777016E8">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222BC136">
            <w:pPr>
              <w:widowControl/>
              <w:adjustRightInd/>
              <w:snapToGrid/>
              <w:spacing w:line="240" w:lineRule="auto"/>
              <w:ind w:firstLine="0" w:firstLineChars="0"/>
              <w:jc w:val="center"/>
              <w:rPr>
                <w:color w:val="auto"/>
                <w:kern w:val="44"/>
                <w:sz w:val="21"/>
                <w:szCs w:val="21"/>
              </w:rPr>
            </w:pPr>
          </w:p>
        </w:tc>
        <w:tc>
          <w:tcPr>
            <w:tcW w:w="840" w:type="dxa"/>
            <w:vMerge w:val="continue"/>
            <w:vAlign w:val="center"/>
          </w:tcPr>
          <w:p w14:paraId="03A00312">
            <w:pPr>
              <w:widowControl/>
              <w:adjustRightInd/>
              <w:snapToGrid/>
              <w:spacing w:line="240" w:lineRule="auto"/>
              <w:ind w:firstLine="0" w:firstLineChars="0"/>
              <w:jc w:val="center"/>
              <w:rPr>
                <w:color w:val="auto"/>
                <w:kern w:val="44"/>
                <w:sz w:val="21"/>
                <w:szCs w:val="21"/>
              </w:rPr>
            </w:pPr>
          </w:p>
        </w:tc>
      </w:tr>
      <w:tr w14:paraId="22F7E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restart"/>
            <w:vAlign w:val="center"/>
          </w:tcPr>
          <w:p w14:paraId="71A8685B">
            <w:pPr>
              <w:widowControl/>
              <w:spacing w:line="240" w:lineRule="auto"/>
              <w:ind w:firstLine="0" w:firstLineChars="0"/>
              <w:jc w:val="center"/>
              <w:rPr>
                <w:color w:val="auto"/>
                <w:kern w:val="44"/>
                <w:sz w:val="21"/>
                <w:szCs w:val="21"/>
              </w:rPr>
            </w:pPr>
            <w:r>
              <w:rPr>
                <w:color w:val="auto"/>
                <w:kern w:val="44"/>
                <w:sz w:val="21"/>
                <w:szCs w:val="21"/>
              </w:rPr>
              <w:t>3</w:t>
            </w:r>
          </w:p>
        </w:tc>
        <w:tc>
          <w:tcPr>
            <w:tcW w:w="389" w:type="dxa"/>
            <w:vMerge w:val="restart"/>
            <w:vAlign w:val="center"/>
          </w:tcPr>
          <w:p w14:paraId="64B84D10">
            <w:pPr>
              <w:widowControl/>
              <w:spacing w:line="240" w:lineRule="auto"/>
              <w:ind w:firstLine="0" w:firstLineChars="0"/>
              <w:jc w:val="center"/>
              <w:rPr>
                <w:color w:val="auto"/>
                <w:kern w:val="44"/>
                <w:sz w:val="21"/>
                <w:szCs w:val="21"/>
              </w:rPr>
            </w:pPr>
            <w:r>
              <w:rPr>
                <w:color w:val="auto"/>
                <w:kern w:val="44"/>
                <w:sz w:val="21"/>
                <w:szCs w:val="21"/>
              </w:rPr>
              <w:t>砷</w:t>
            </w:r>
          </w:p>
        </w:tc>
        <w:tc>
          <w:tcPr>
            <w:tcW w:w="726" w:type="dxa"/>
            <w:vAlign w:val="center"/>
          </w:tcPr>
          <w:p w14:paraId="0D714F22">
            <w:pPr>
              <w:widowControl/>
              <w:spacing w:line="240" w:lineRule="auto"/>
              <w:ind w:firstLine="0" w:firstLineChars="0"/>
              <w:jc w:val="center"/>
              <w:rPr>
                <w:color w:val="auto"/>
                <w:kern w:val="44"/>
                <w:sz w:val="21"/>
                <w:szCs w:val="21"/>
              </w:rPr>
            </w:pPr>
            <w:r>
              <w:rPr>
                <w:color w:val="auto"/>
                <w:kern w:val="44"/>
                <w:sz w:val="21"/>
                <w:szCs w:val="21"/>
              </w:rPr>
              <w:t>水田</w:t>
            </w:r>
          </w:p>
        </w:tc>
        <w:tc>
          <w:tcPr>
            <w:tcW w:w="968" w:type="dxa"/>
            <w:vAlign w:val="center"/>
          </w:tcPr>
          <w:p w14:paraId="4EF5898B">
            <w:pPr>
              <w:widowControl/>
              <w:spacing w:line="240" w:lineRule="auto"/>
              <w:ind w:firstLine="0" w:firstLineChars="0"/>
              <w:jc w:val="center"/>
              <w:rPr>
                <w:color w:val="auto"/>
                <w:kern w:val="44"/>
                <w:sz w:val="21"/>
                <w:szCs w:val="21"/>
              </w:rPr>
            </w:pPr>
            <w:r>
              <w:rPr>
                <w:color w:val="auto"/>
                <w:kern w:val="44"/>
                <w:sz w:val="21"/>
                <w:szCs w:val="21"/>
              </w:rPr>
              <w:t>30</w:t>
            </w:r>
          </w:p>
        </w:tc>
        <w:tc>
          <w:tcPr>
            <w:tcW w:w="968" w:type="dxa"/>
            <w:vAlign w:val="center"/>
          </w:tcPr>
          <w:p w14:paraId="3CAA6A32">
            <w:pPr>
              <w:widowControl/>
              <w:spacing w:line="240" w:lineRule="auto"/>
              <w:ind w:firstLine="0" w:firstLineChars="0"/>
              <w:jc w:val="center"/>
              <w:rPr>
                <w:color w:val="auto"/>
                <w:kern w:val="44"/>
                <w:sz w:val="21"/>
                <w:szCs w:val="21"/>
              </w:rPr>
            </w:pPr>
            <w:r>
              <w:rPr>
                <w:color w:val="auto"/>
                <w:kern w:val="44"/>
                <w:sz w:val="21"/>
                <w:szCs w:val="21"/>
              </w:rPr>
              <w:t>30</w:t>
            </w:r>
          </w:p>
        </w:tc>
        <w:tc>
          <w:tcPr>
            <w:tcW w:w="968" w:type="dxa"/>
            <w:vAlign w:val="center"/>
          </w:tcPr>
          <w:p w14:paraId="70B8CBB0">
            <w:pPr>
              <w:widowControl/>
              <w:spacing w:line="240" w:lineRule="auto"/>
              <w:ind w:firstLine="0" w:firstLineChars="0"/>
              <w:jc w:val="center"/>
              <w:rPr>
                <w:color w:val="auto"/>
                <w:kern w:val="44"/>
                <w:sz w:val="21"/>
                <w:szCs w:val="21"/>
              </w:rPr>
            </w:pPr>
            <w:r>
              <w:rPr>
                <w:color w:val="auto"/>
                <w:kern w:val="44"/>
                <w:sz w:val="21"/>
                <w:szCs w:val="21"/>
              </w:rPr>
              <w:t>25</w:t>
            </w:r>
          </w:p>
        </w:tc>
        <w:tc>
          <w:tcPr>
            <w:tcW w:w="796" w:type="dxa"/>
            <w:vAlign w:val="center"/>
          </w:tcPr>
          <w:p w14:paraId="7C6B22BC">
            <w:pPr>
              <w:widowControl/>
              <w:spacing w:line="240" w:lineRule="auto"/>
              <w:ind w:firstLine="0" w:firstLineChars="0"/>
              <w:jc w:val="center"/>
              <w:rPr>
                <w:color w:val="auto"/>
                <w:kern w:val="44"/>
                <w:sz w:val="21"/>
                <w:szCs w:val="21"/>
              </w:rPr>
            </w:pPr>
            <w:r>
              <w:rPr>
                <w:color w:val="auto"/>
                <w:kern w:val="44"/>
                <w:sz w:val="21"/>
                <w:szCs w:val="21"/>
              </w:rPr>
              <w:t>20</w:t>
            </w:r>
          </w:p>
        </w:tc>
        <w:tc>
          <w:tcPr>
            <w:tcW w:w="968" w:type="dxa"/>
            <w:vMerge w:val="restart"/>
            <w:vAlign w:val="center"/>
          </w:tcPr>
          <w:p w14:paraId="3520739E">
            <w:pPr>
              <w:widowControl/>
              <w:spacing w:line="240" w:lineRule="auto"/>
              <w:ind w:firstLine="0" w:firstLineChars="0"/>
              <w:jc w:val="center"/>
              <w:rPr>
                <w:color w:val="auto"/>
                <w:kern w:val="44"/>
                <w:sz w:val="21"/>
                <w:szCs w:val="21"/>
              </w:rPr>
            </w:pPr>
            <w:r>
              <w:rPr>
                <w:color w:val="auto"/>
                <w:kern w:val="44"/>
                <w:sz w:val="21"/>
                <w:szCs w:val="21"/>
              </w:rPr>
              <w:t>200</w:t>
            </w:r>
          </w:p>
        </w:tc>
        <w:tc>
          <w:tcPr>
            <w:tcW w:w="968" w:type="dxa"/>
            <w:vMerge w:val="restart"/>
            <w:vAlign w:val="center"/>
          </w:tcPr>
          <w:p w14:paraId="39004ED6">
            <w:pPr>
              <w:widowControl/>
              <w:spacing w:line="240" w:lineRule="auto"/>
              <w:ind w:firstLine="0" w:firstLineChars="0"/>
              <w:jc w:val="center"/>
              <w:rPr>
                <w:color w:val="auto"/>
                <w:kern w:val="44"/>
                <w:sz w:val="21"/>
                <w:szCs w:val="21"/>
              </w:rPr>
            </w:pPr>
            <w:r>
              <w:rPr>
                <w:color w:val="auto"/>
                <w:kern w:val="44"/>
                <w:sz w:val="21"/>
                <w:szCs w:val="21"/>
              </w:rPr>
              <w:t>150</w:t>
            </w:r>
          </w:p>
        </w:tc>
        <w:tc>
          <w:tcPr>
            <w:tcW w:w="968" w:type="dxa"/>
            <w:vMerge w:val="restart"/>
            <w:vAlign w:val="center"/>
          </w:tcPr>
          <w:p w14:paraId="5BDD4ACC">
            <w:pPr>
              <w:widowControl/>
              <w:spacing w:line="240" w:lineRule="auto"/>
              <w:ind w:firstLine="0" w:firstLineChars="0"/>
              <w:jc w:val="center"/>
              <w:rPr>
                <w:color w:val="auto"/>
                <w:kern w:val="44"/>
                <w:sz w:val="21"/>
                <w:szCs w:val="21"/>
              </w:rPr>
            </w:pPr>
            <w:r>
              <w:rPr>
                <w:color w:val="auto"/>
                <w:kern w:val="44"/>
                <w:sz w:val="21"/>
                <w:szCs w:val="21"/>
              </w:rPr>
              <w:t>120</w:t>
            </w:r>
          </w:p>
        </w:tc>
        <w:tc>
          <w:tcPr>
            <w:tcW w:w="840" w:type="dxa"/>
            <w:vMerge w:val="restart"/>
            <w:vAlign w:val="center"/>
          </w:tcPr>
          <w:p w14:paraId="538B52E5">
            <w:pPr>
              <w:widowControl/>
              <w:spacing w:line="240" w:lineRule="auto"/>
              <w:ind w:firstLine="0" w:firstLineChars="0"/>
              <w:jc w:val="center"/>
              <w:rPr>
                <w:color w:val="auto"/>
                <w:kern w:val="44"/>
                <w:sz w:val="21"/>
                <w:szCs w:val="21"/>
              </w:rPr>
            </w:pPr>
            <w:r>
              <w:rPr>
                <w:color w:val="auto"/>
                <w:kern w:val="44"/>
                <w:sz w:val="21"/>
                <w:szCs w:val="21"/>
              </w:rPr>
              <w:t>100</w:t>
            </w:r>
          </w:p>
        </w:tc>
      </w:tr>
      <w:tr w14:paraId="01227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vAlign w:val="center"/>
          </w:tcPr>
          <w:p w14:paraId="1C357474">
            <w:pPr>
              <w:widowControl/>
              <w:adjustRightInd/>
              <w:snapToGrid/>
              <w:spacing w:line="240" w:lineRule="auto"/>
              <w:ind w:firstLine="0" w:firstLineChars="0"/>
              <w:jc w:val="center"/>
              <w:rPr>
                <w:color w:val="auto"/>
                <w:kern w:val="44"/>
                <w:sz w:val="21"/>
                <w:szCs w:val="21"/>
              </w:rPr>
            </w:pPr>
          </w:p>
        </w:tc>
        <w:tc>
          <w:tcPr>
            <w:tcW w:w="389" w:type="dxa"/>
            <w:vMerge w:val="continue"/>
            <w:vAlign w:val="center"/>
          </w:tcPr>
          <w:p w14:paraId="49C146BB">
            <w:pPr>
              <w:widowControl/>
              <w:adjustRightInd/>
              <w:snapToGrid/>
              <w:spacing w:line="240" w:lineRule="auto"/>
              <w:ind w:firstLine="0" w:firstLineChars="0"/>
              <w:jc w:val="center"/>
              <w:rPr>
                <w:color w:val="auto"/>
                <w:kern w:val="44"/>
                <w:sz w:val="21"/>
                <w:szCs w:val="21"/>
              </w:rPr>
            </w:pPr>
          </w:p>
        </w:tc>
        <w:tc>
          <w:tcPr>
            <w:tcW w:w="726" w:type="dxa"/>
            <w:vAlign w:val="center"/>
          </w:tcPr>
          <w:p w14:paraId="16C33D71">
            <w:pPr>
              <w:widowControl/>
              <w:spacing w:line="240" w:lineRule="auto"/>
              <w:ind w:firstLine="0" w:firstLineChars="0"/>
              <w:jc w:val="center"/>
              <w:rPr>
                <w:color w:val="auto"/>
                <w:kern w:val="44"/>
                <w:sz w:val="21"/>
                <w:szCs w:val="21"/>
              </w:rPr>
            </w:pPr>
            <w:r>
              <w:rPr>
                <w:color w:val="auto"/>
                <w:kern w:val="44"/>
                <w:sz w:val="21"/>
                <w:szCs w:val="21"/>
              </w:rPr>
              <w:t>其他</w:t>
            </w:r>
          </w:p>
        </w:tc>
        <w:tc>
          <w:tcPr>
            <w:tcW w:w="968" w:type="dxa"/>
            <w:vAlign w:val="center"/>
          </w:tcPr>
          <w:p w14:paraId="5B18D2CB">
            <w:pPr>
              <w:widowControl/>
              <w:spacing w:line="240" w:lineRule="auto"/>
              <w:ind w:firstLine="0" w:firstLineChars="0"/>
              <w:jc w:val="center"/>
              <w:rPr>
                <w:color w:val="auto"/>
                <w:kern w:val="44"/>
                <w:sz w:val="21"/>
                <w:szCs w:val="21"/>
              </w:rPr>
            </w:pPr>
            <w:r>
              <w:rPr>
                <w:color w:val="auto"/>
                <w:kern w:val="44"/>
                <w:sz w:val="21"/>
                <w:szCs w:val="21"/>
              </w:rPr>
              <w:t>40</w:t>
            </w:r>
          </w:p>
        </w:tc>
        <w:tc>
          <w:tcPr>
            <w:tcW w:w="968" w:type="dxa"/>
            <w:vAlign w:val="center"/>
          </w:tcPr>
          <w:p w14:paraId="625B9F2B">
            <w:pPr>
              <w:widowControl/>
              <w:spacing w:line="240" w:lineRule="auto"/>
              <w:ind w:firstLine="0" w:firstLineChars="0"/>
              <w:jc w:val="center"/>
              <w:rPr>
                <w:color w:val="auto"/>
                <w:kern w:val="44"/>
                <w:sz w:val="21"/>
                <w:szCs w:val="21"/>
              </w:rPr>
            </w:pPr>
            <w:r>
              <w:rPr>
                <w:color w:val="auto"/>
                <w:kern w:val="44"/>
                <w:sz w:val="21"/>
                <w:szCs w:val="21"/>
              </w:rPr>
              <w:t>40</w:t>
            </w:r>
          </w:p>
        </w:tc>
        <w:tc>
          <w:tcPr>
            <w:tcW w:w="968" w:type="dxa"/>
            <w:vAlign w:val="center"/>
          </w:tcPr>
          <w:p w14:paraId="6FF62443">
            <w:pPr>
              <w:widowControl/>
              <w:spacing w:line="240" w:lineRule="auto"/>
              <w:ind w:firstLine="0" w:firstLineChars="0"/>
              <w:jc w:val="center"/>
              <w:rPr>
                <w:color w:val="auto"/>
                <w:kern w:val="44"/>
                <w:sz w:val="21"/>
                <w:szCs w:val="21"/>
              </w:rPr>
            </w:pPr>
            <w:r>
              <w:rPr>
                <w:color w:val="auto"/>
                <w:kern w:val="44"/>
                <w:sz w:val="21"/>
                <w:szCs w:val="21"/>
              </w:rPr>
              <w:t>30</w:t>
            </w:r>
          </w:p>
        </w:tc>
        <w:tc>
          <w:tcPr>
            <w:tcW w:w="796" w:type="dxa"/>
            <w:vAlign w:val="center"/>
          </w:tcPr>
          <w:p w14:paraId="50DA10E8">
            <w:pPr>
              <w:widowControl/>
              <w:spacing w:line="240" w:lineRule="auto"/>
              <w:ind w:firstLine="0" w:firstLineChars="0"/>
              <w:jc w:val="center"/>
              <w:rPr>
                <w:color w:val="auto"/>
                <w:kern w:val="44"/>
                <w:sz w:val="21"/>
                <w:szCs w:val="21"/>
              </w:rPr>
            </w:pPr>
            <w:r>
              <w:rPr>
                <w:color w:val="auto"/>
                <w:kern w:val="44"/>
                <w:sz w:val="21"/>
                <w:szCs w:val="21"/>
              </w:rPr>
              <w:t>25</w:t>
            </w:r>
          </w:p>
        </w:tc>
        <w:tc>
          <w:tcPr>
            <w:tcW w:w="968" w:type="dxa"/>
            <w:vMerge w:val="continue"/>
            <w:vAlign w:val="center"/>
          </w:tcPr>
          <w:p w14:paraId="58C763C7">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744BBEC7">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18E2D14E">
            <w:pPr>
              <w:widowControl/>
              <w:adjustRightInd/>
              <w:snapToGrid/>
              <w:spacing w:line="240" w:lineRule="auto"/>
              <w:ind w:firstLine="0" w:firstLineChars="0"/>
              <w:jc w:val="center"/>
              <w:rPr>
                <w:color w:val="auto"/>
                <w:kern w:val="44"/>
                <w:sz w:val="21"/>
                <w:szCs w:val="21"/>
              </w:rPr>
            </w:pPr>
          </w:p>
        </w:tc>
        <w:tc>
          <w:tcPr>
            <w:tcW w:w="840" w:type="dxa"/>
            <w:vMerge w:val="continue"/>
            <w:vAlign w:val="center"/>
          </w:tcPr>
          <w:p w14:paraId="50845E4C">
            <w:pPr>
              <w:widowControl/>
              <w:adjustRightInd/>
              <w:snapToGrid/>
              <w:spacing w:line="240" w:lineRule="auto"/>
              <w:ind w:firstLine="0" w:firstLineChars="0"/>
              <w:jc w:val="center"/>
              <w:rPr>
                <w:color w:val="auto"/>
                <w:kern w:val="44"/>
                <w:sz w:val="21"/>
                <w:szCs w:val="21"/>
              </w:rPr>
            </w:pPr>
          </w:p>
        </w:tc>
      </w:tr>
      <w:tr w14:paraId="3BF49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restart"/>
            <w:vAlign w:val="center"/>
          </w:tcPr>
          <w:p w14:paraId="22140482">
            <w:pPr>
              <w:widowControl/>
              <w:spacing w:line="240" w:lineRule="auto"/>
              <w:ind w:firstLine="0" w:firstLineChars="0"/>
              <w:jc w:val="center"/>
              <w:rPr>
                <w:color w:val="auto"/>
                <w:kern w:val="44"/>
                <w:sz w:val="21"/>
                <w:szCs w:val="21"/>
              </w:rPr>
            </w:pPr>
            <w:r>
              <w:rPr>
                <w:color w:val="auto"/>
                <w:kern w:val="44"/>
                <w:sz w:val="21"/>
                <w:szCs w:val="21"/>
              </w:rPr>
              <w:t>4</w:t>
            </w:r>
          </w:p>
        </w:tc>
        <w:tc>
          <w:tcPr>
            <w:tcW w:w="389" w:type="dxa"/>
            <w:vMerge w:val="restart"/>
            <w:vAlign w:val="center"/>
          </w:tcPr>
          <w:p w14:paraId="74FDB429">
            <w:pPr>
              <w:widowControl/>
              <w:spacing w:line="240" w:lineRule="auto"/>
              <w:ind w:firstLine="0" w:firstLineChars="0"/>
              <w:jc w:val="center"/>
              <w:rPr>
                <w:color w:val="auto"/>
                <w:kern w:val="44"/>
                <w:sz w:val="21"/>
                <w:szCs w:val="21"/>
              </w:rPr>
            </w:pPr>
            <w:r>
              <w:rPr>
                <w:color w:val="auto"/>
                <w:kern w:val="44"/>
                <w:sz w:val="21"/>
                <w:szCs w:val="21"/>
              </w:rPr>
              <w:t>铅</w:t>
            </w:r>
          </w:p>
        </w:tc>
        <w:tc>
          <w:tcPr>
            <w:tcW w:w="726" w:type="dxa"/>
            <w:vAlign w:val="center"/>
          </w:tcPr>
          <w:p w14:paraId="43F5726E">
            <w:pPr>
              <w:widowControl/>
              <w:spacing w:line="240" w:lineRule="auto"/>
              <w:ind w:firstLine="0" w:firstLineChars="0"/>
              <w:jc w:val="center"/>
              <w:rPr>
                <w:color w:val="auto"/>
                <w:kern w:val="44"/>
                <w:sz w:val="21"/>
                <w:szCs w:val="21"/>
              </w:rPr>
            </w:pPr>
            <w:r>
              <w:rPr>
                <w:color w:val="auto"/>
                <w:kern w:val="44"/>
                <w:sz w:val="21"/>
                <w:szCs w:val="21"/>
              </w:rPr>
              <w:t>水田</w:t>
            </w:r>
          </w:p>
        </w:tc>
        <w:tc>
          <w:tcPr>
            <w:tcW w:w="968" w:type="dxa"/>
            <w:vAlign w:val="center"/>
          </w:tcPr>
          <w:p w14:paraId="3A33CCFD">
            <w:pPr>
              <w:widowControl/>
              <w:spacing w:line="240" w:lineRule="auto"/>
              <w:ind w:firstLine="0" w:firstLineChars="0"/>
              <w:jc w:val="center"/>
              <w:rPr>
                <w:color w:val="auto"/>
                <w:kern w:val="44"/>
                <w:sz w:val="21"/>
                <w:szCs w:val="21"/>
              </w:rPr>
            </w:pPr>
            <w:r>
              <w:rPr>
                <w:color w:val="auto"/>
                <w:kern w:val="44"/>
                <w:sz w:val="21"/>
                <w:szCs w:val="21"/>
              </w:rPr>
              <w:t>80</w:t>
            </w:r>
          </w:p>
        </w:tc>
        <w:tc>
          <w:tcPr>
            <w:tcW w:w="968" w:type="dxa"/>
            <w:vAlign w:val="center"/>
          </w:tcPr>
          <w:p w14:paraId="704BD661">
            <w:pPr>
              <w:widowControl/>
              <w:spacing w:line="240" w:lineRule="auto"/>
              <w:ind w:firstLine="0" w:firstLineChars="0"/>
              <w:jc w:val="center"/>
              <w:rPr>
                <w:color w:val="auto"/>
                <w:kern w:val="44"/>
                <w:sz w:val="21"/>
                <w:szCs w:val="21"/>
              </w:rPr>
            </w:pPr>
            <w:r>
              <w:rPr>
                <w:color w:val="auto"/>
                <w:kern w:val="44"/>
                <w:sz w:val="21"/>
                <w:szCs w:val="21"/>
              </w:rPr>
              <w:t>100</w:t>
            </w:r>
          </w:p>
        </w:tc>
        <w:tc>
          <w:tcPr>
            <w:tcW w:w="968" w:type="dxa"/>
            <w:vAlign w:val="center"/>
          </w:tcPr>
          <w:p w14:paraId="286C4A97">
            <w:pPr>
              <w:widowControl/>
              <w:spacing w:line="240" w:lineRule="auto"/>
              <w:ind w:firstLine="0" w:firstLineChars="0"/>
              <w:jc w:val="center"/>
              <w:rPr>
                <w:color w:val="auto"/>
                <w:kern w:val="44"/>
                <w:sz w:val="21"/>
                <w:szCs w:val="21"/>
              </w:rPr>
            </w:pPr>
            <w:r>
              <w:rPr>
                <w:color w:val="auto"/>
                <w:kern w:val="44"/>
                <w:sz w:val="21"/>
                <w:szCs w:val="21"/>
              </w:rPr>
              <w:t>140</w:t>
            </w:r>
          </w:p>
        </w:tc>
        <w:tc>
          <w:tcPr>
            <w:tcW w:w="796" w:type="dxa"/>
            <w:vAlign w:val="center"/>
          </w:tcPr>
          <w:p w14:paraId="5D76465D">
            <w:pPr>
              <w:widowControl/>
              <w:spacing w:line="240" w:lineRule="auto"/>
              <w:ind w:firstLine="0" w:firstLineChars="0"/>
              <w:jc w:val="center"/>
              <w:rPr>
                <w:color w:val="auto"/>
                <w:kern w:val="44"/>
                <w:sz w:val="21"/>
                <w:szCs w:val="21"/>
              </w:rPr>
            </w:pPr>
            <w:r>
              <w:rPr>
                <w:color w:val="auto"/>
                <w:kern w:val="44"/>
                <w:sz w:val="21"/>
                <w:szCs w:val="21"/>
              </w:rPr>
              <w:t>240</w:t>
            </w:r>
          </w:p>
        </w:tc>
        <w:tc>
          <w:tcPr>
            <w:tcW w:w="968" w:type="dxa"/>
            <w:vMerge w:val="restart"/>
            <w:vAlign w:val="center"/>
          </w:tcPr>
          <w:p w14:paraId="1D7650E1">
            <w:pPr>
              <w:widowControl/>
              <w:spacing w:line="240" w:lineRule="auto"/>
              <w:ind w:firstLine="0" w:firstLineChars="0"/>
              <w:jc w:val="center"/>
              <w:rPr>
                <w:color w:val="auto"/>
                <w:kern w:val="44"/>
                <w:sz w:val="21"/>
                <w:szCs w:val="21"/>
              </w:rPr>
            </w:pPr>
            <w:r>
              <w:rPr>
                <w:color w:val="auto"/>
                <w:kern w:val="44"/>
                <w:sz w:val="21"/>
                <w:szCs w:val="21"/>
              </w:rPr>
              <w:t>400</w:t>
            </w:r>
          </w:p>
        </w:tc>
        <w:tc>
          <w:tcPr>
            <w:tcW w:w="968" w:type="dxa"/>
            <w:vMerge w:val="restart"/>
            <w:vAlign w:val="center"/>
          </w:tcPr>
          <w:p w14:paraId="5F097B36">
            <w:pPr>
              <w:widowControl/>
              <w:spacing w:line="240" w:lineRule="auto"/>
              <w:ind w:firstLine="0" w:firstLineChars="0"/>
              <w:jc w:val="center"/>
              <w:rPr>
                <w:color w:val="auto"/>
                <w:kern w:val="44"/>
                <w:sz w:val="21"/>
                <w:szCs w:val="21"/>
              </w:rPr>
            </w:pPr>
            <w:r>
              <w:rPr>
                <w:color w:val="auto"/>
                <w:kern w:val="44"/>
                <w:sz w:val="21"/>
                <w:szCs w:val="21"/>
              </w:rPr>
              <w:t>500</w:t>
            </w:r>
          </w:p>
        </w:tc>
        <w:tc>
          <w:tcPr>
            <w:tcW w:w="968" w:type="dxa"/>
            <w:vMerge w:val="restart"/>
            <w:vAlign w:val="center"/>
          </w:tcPr>
          <w:p w14:paraId="09C8BEA8">
            <w:pPr>
              <w:widowControl/>
              <w:spacing w:line="240" w:lineRule="auto"/>
              <w:ind w:firstLine="0" w:firstLineChars="0"/>
              <w:jc w:val="center"/>
              <w:rPr>
                <w:color w:val="auto"/>
                <w:kern w:val="44"/>
                <w:sz w:val="21"/>
                <w:szCs w:val="21"/>
              </w:rPr>
            </w:pPr>
            <w:r>
              <w:rPr>
                <w:color w:val="auto"/>
                <w:kern w:val="44"/>
                <w:sz w:val="21"/>
                <w:szCs w:val="21"/>
              </w:rPr>
              <w:t>700</w:t>
            </w:r>
          </w:p>
        </w:tc>
        <w:tc>
          <w:tcPr>
            <w:tcW w:w="840" w:type="dxa"/>
            <w:vMerge w:val="restart"/>
            <w:vAlign w:val="center"/>
          </w:tcPr>
          <w:p w14:paraId="7546E60E">
            <w:pPr>
              <w:widowControl/>
              <w:spacing w:line="240" w:lineRule="auto"/>
              <w:ind w:firstLine="0" w:firstLineChars="0"/>
              <w:jc w:val="center"/>
              <w:rPr>
                <w:color w:val="auto"/>
                <w:kern w:val="44"/>
                <w:sz w:val="21"/>
                <w:szCs w:val="21"/>
              </w:rPr>
            </w:pPr>
            <w:r>
              <w:rPr>
                <w:color w:val="auto"/>
                <w:kern w:val="44"/>
                <w:sz w:val="21"/>
                <w:szCs w:val="21"/>
              </w:rPr>
              <w:t>1000</w:t>
            </w:r>
          </w:p>
        </w:tc>
      </w:tr>
      <w:tr w14:paraId="46360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vAlign w:val="center"/>
          </w:tcPr>
          <w:p w14:paraId="3205079A">
            <w:pPr>
              <w:widowControl/>
              <w:adjustRightInd/>
              <w:snapToGrid/>
              <w:spacing w:line="240" w:lineRule="auto"/>
              <w:ind w:firstLine="0" w:firstLineChars="0"/>
              <w:jc w:val="center"/>
              <w:rPr>
                <w:color w:val="auto"/>
                <w:kern w:val="44"/>
                <w:sz w:val="21"/>
                <w:szCs w:val="21"/>
              </w:rPr>
            </w:pPr>
          </w:p>
        </w:tc>
        <w:tc>
          <w:tcPr>
            <w:tcW w:w="389" w:type="dxa"/>
            <w:vMerge w:val="continue"/>
            <w:vAlign w:val="center"/>
          </w:tcPr>
          <w:p w14:paraId="06016AED">
            <w:pPr>
              <w:widowControl/>
              <w:adjustRightInd/>
              <w:snapToGrid/>
              <w:spacing w:line="240" w:lineRule="auto"/>
              <w:ind w:firstLine="0" w:firstLineChars="0"/>
              <w:jc w:val="center"/>
              <w:rPr>
                <w:color w:val="auto"/>
                <w:kern w:val="44"/>
                <w:sz w:val="21"/>
                <w:szCs w:val="21"/>
              </w:rPr>
            </w:pPr>
          </w:p>
        </w:tc>
        <w:tc>
          <w:tcPr>
            <w:tcW w:w="726" w:type="dxa"/>
            <w:vAlign w:val="center"/>
          </w:tcPr>
          <w:p w14:paraId="7F6FC09D">
            <w:pPr>
              <w:widowControl/>
              <w:spacing w:line="240" w:lineRule="auto"/>
              <w:ind w:firstLine="0" w:firstLineChars="0"/>
              <w:jc w:val="center"/>
              <w:rPr>
                <w:color w:val="auto"/>
                <w:kern w:val="44"/>
                <w:sz w:val="21"/>
                <w:szCs w:val="21"/>
              </w:rPr>
            </w:pPr>
            <w:r>
              <w:rPr>
                <w:color w:val="auto"/>
                <w:kern w:val="44"/>
                <w:sz w:val="21"/>
                <w:szCs w:val="21"/>
              </w:rPr>
              <w:t>其他</w:t>
            </w:r>
          </w:p>
        </w:tc>
        <w:tc>
          <w:tcPr>
            <w:tcW w:w="968" w:type="dxa"/>
            <w:vAlign w:val="center"/>
          </w:tcPr>
          <w:p w14:paraId="7D3D41EA">
            <w:pPr>
              <w:widowControl/>
              <w:spacing w:line="240" w:lineRule="auto"/>
              <w:ind w:firstLine="0" w:firstLineChars="0"/>
              <w:jc w:val="center"/>
              <w:rPr>
                <w:color w:val="auto"/>
                <w:kern w:val="44"/>
                <w:sz w:val="21"/>
                <w:szCs w:val="21"/>
              </w:rPr>
            </w:pPr>
            <w:r>
              <w:rPr>
                <w:color w:val="auto"/>
                <w:kern w:val="44"/>
                <w:sz w:val="21"/>
                <w:szCs w:val="21"/>
              </w:rPr>
              <w:t>70</w:t>
            </w:r>
          </w:p>
        </w:tc>
        <w:tc>
          <w:tcPr>
            <w:tcW w:w="968" w:type="dxa"/>
            <w:vAlign w:val="center"/>
          </w:tcPr>
          <w:p w14:paraId="3216AA04">
            <w:pPr>
              <w:widowControl/>
              <w:spacing w:line="240" w:lineRule="auto"/>
              <w:ind w:firstLine="0" w:firstLineChars="0"/>
              <w:jc w:val="center"/>
              <w:rPr>
                <w:color w:val="auto"/>
                <w:kern w:val="44"/>
                <w:sz w:val="21"/>
                <w:szCs w:val="21"/>
              </w:rPr>
            </w:pPr>
            <w:r>
              <w:rPr>
                <w:color w:val="auto"/>
                <w:kern w:val="44"/>
                <w:sz w:val="21"/>
                <w:szCs w:val="21"/>
              </w:rPr>
              <w:t>90</w:t>
            </w:r>
          </w:p>
        </w:tc>
        <w:tc>
          <w:tcPr>
            <w:tcW w:w="968" w:type="dxa"/>
            <w:vAlign w:val="center"/>
          </w:tcPr>
          <w:p w14:paraId="2A85269C">
            <w:pPr>
              <w:widowControl/>
              <w:spacing w:line="240" w:lineRule="auto"/>
              <w:ind w:firstLine="0" w:firstLineChars="0"/>
              <w:jc w:val="center"/>
              <w:rPr>
                <w:color w:val="auto"/>
                <w:kern w:val="44"/>
                <w:sz w:val="21"/>
                <w:szCs w:val="21"/>
              </w:rPr>
            </w:pPr>
            <w:r>
              <w:rPr>
                <w:color w:val="auto"/>
                <w:kern w:val="44"/>
                <w:sz w:val="21"/>
                <w:szCs w:val="21"/>
              </w:rPr>
              <w:t>120</w:t>
            </w:r>
          </w:p>
        </w:tc>
        <w:tc>
          <w:tcPr>
            <w:tcW w:w="796" w:type="dxa"/>
            <w:vAlign w:val="center"/>
          </w:tcPr>
          <w:p w14:paraId="5126E944">
            <w:pPr>
              <w:widowControl/>
              <w:spacing w:line="240" w:lineRule="auto"/>
              <w:ind w:firstLine="0" w:firstLineChars="0"/>
              <w:jc w:val="center"/>
              <w:rPr>
                <w:color w:val="auto"/>
                <w:kern w:val="44"/>
                <w:sz w:val="21"/>
                <w:szCs w:val="21"/>
              </w:rPr>
            </w:pPr>
            <w:r>
              <w:rPr>
                <w:color w:val="auto"/>
                <w:kern w:val="44"/>
                <w:sz w:val="21"/>
                <w:szCs w:val="21"/>
              </w:rPr>
              <w:t>170</w:t>
            </w:r>
          </w:p>
        </w:tc>
        <w:tc>
          <w:tcPr>
            <w:tcW w:w="968" w:type="dxa"/>
            <w:vMerge w:val="continue"/>
            <w:vAlign w:val="center"/>
          </w:tcPr>
          <w:p w14:paraId="5CCFB130">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26CD7653">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3341199B">
            <w:pPr>
              <w:widowControl/>
              <w:adjustRightInd/>
              <w:snapToGrid/>
              <w:spacing w:line="240" w:lineRule="auto"/>
              <w:ind w:firstLine="0" w:firstLineChars="0"/>
              <w:jc w:val="center"/>
              <w:rPr>
                <w:color w:val="auto"/>
                <w:kern w:val="44"/>
                <w:sz w:val="21"/>
                <w:szCs w:val="21"/>
              </w:rPr>
            </w:pPr>
          </w:p>
        </w:tc>
        <w:tc>
          <w:tcPr>
            <w:tcW w:w="840" w:type="dxa"/>
            <w:vMerge w:val="continue"/>
            <w:vAlign w:val="center"/>
          </w:tcPr>
          <w:p w14:paraId="638025C6">
            <w:pPr>
              <w:widowControl/>
              <w:adjustRightInd/>
              <w:snapToGrid/>
              <w:spacing w:line="240" w:lineRule="auto"/>
              <w:ind w:firstLine="0" w:firstLineChars="0"/>
              <w:jc w:val="center"/>
              <w:rPr>
                <w:color w:val="auto"/>
                <w:kern w:val="44"/>
                <w:sz w:val="21"/>
                <w:szCs w:val="21"/>
              </w:rPr>
            </w:pPr>
          </w:p>
        </w:tc>
      </w:tr>
      <w:tr w14:paraId="4A9F9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restart"/>
            <w:vAlign w:val="center"/>
          </w:tcPr>
          <w:p w14:paraId="22CF4CA2">
            <w:pPr>
              <w:widowControl/>
              <w:spacing w:line="240" w:lineRule="auto"/>
              <w:ind w:firstLine="0" w:firstLineChars="0"/>
              <w:jc w:val="center"/>
              <w:rPr>
                <w:color w:val="auto"/>
                <w:kern w:val="44"/>
                <w:sz w:val="21"/>
                <w:szCs w:val="21"/>
              </w:rPr>
            </w:pPr>
            <w:r>
              <w:rPr>
                <w:color w:val="auto"/>
                <w:kern w:val="44"/>
                <w:sz w:val="21"/>
                <w:szCs w:val="21"/>
              </w:rPr>
              <w:t>5</w:t>
            </w:r>
          </w:p>
        </w:tc>
        <w:tc>
          <w:tcPr>
            <w:tcW w:w="389" w:type="dxa"/>
            <w:vMerge w:val="restart"/>
            <w:vAlign w:val="center"/>
          </w:tcPr>
          <w:p w14:paraId="05BBA039">
            <w:pPr>
              <w:widowControl/>
              <w:spacing w:line="240" w:lineRule="auto"/>
              <w:ind w:firstLine="0" w:firstLineChars="0"/>
              <w:jc w:val="center"/>
              <w:rPr>
                <w:color w:val="auto"/>
                <w:kern w:val="44"/>
                <w:sz w:val="21"/>
                <w:szCs w:val="21"/>
              </w:rPr>
            </w:pPr>
            <w:r>
              <w:rPr>
                <w:color w:val="auto"/>
                <w:kern w:val="44"/>
                <w:sz w:val="21"/>
                <w:szCs w:val="21"/>
              </w:rPr>
              <w:t>铬</w:t>
            </w:r>
          </w:p>
        </w:tc>
        <w:tc>
          <w:tcPr>
            <w:tcW w:w="726" w:type="dxa"/>
            <w:vAlign w:val="center"/>
          </w:tcPr>
          <w:p w14:paraId="09FE551F">
            <w:pPr>
              <w:widowControl/>
              <w:spacing w:line="240" w:lineRule="auto"/>
              <w:ind w:firstLine="0" w:firstLineChars="0"/>
              <w:jc w:val="center"/>
              <w:rPr>
                <w:color w:val="auto"/>
                <w:kern w:val="44"/>
                <w:sz w:val="21"/>
                <w:szCs w:val="21"/>
              </w:rPr>
            </w:pPr>
            <w:r>
              <w:rPr>
                <w:color w:val="auto"/>
                <w:kern w:val="44"/>
                <w:sz w:val="21"/>
                <w:szCs w:val="21"/>
              </w:rPr>
              <w:t>水田</w:t>
            </w:r>
          </w:p>
        </w:tc>
        <w:tc>
          <w:tcPr>
            <w:tcW w:w="968" w:type="dxa"/>
            <w:vAlign w:val="center"/>
          </w:tcPr>
          <w:p w14:paraId="7D143264">
            <w:pPr>
              <w:widowControl/>
              <w:spacing w:line="240" w:lineRule="auto"/>
              <w:ind w:firstLine="0" w:firstLineChars="0"/>
              <w:jc w:val="center"/>
              <w:rPr>
                <w:color w:val="auto"/>
                <w:kern w:val="44"/>
                <w:sz w:val="21"/>
                <w:szCs w:val="21"/>
              </w:rPr>
            </w:pPr>
            <w:r>
              <w:rPr>
                <w:color w:val="auto"/>
                <w:kern w:val="44"/>
                <w:sz w:val="21"/>
                <w:szCs w:val="21"/>
              </w:rPr>
              <w:t>250</w:t>
            </w:r>
          </w:p>
        </w:tc>
        <w:tc>
          <w:tcPr>
            <w:tcW w:w="968" w:type="dxa"/>
            <w:vAlign w:val="center"/>
          </w:tcPr>
          <w:p w14:paraId="0ADE2602">
            <w:pPr>
              <w:widowControl/>
              <w:spacing w:line="240" w:lineRule="auto"/>
              <w:ind w:firstLine="0" w:firstLineChars="0"/>
              <w:jc w:val="center"/>
              <w:rPr>
                <w:color w:val="auto"/>
                <w:kern w:val="44"/>
                <w:sz w:val="21"/>
                <w:szCs w:val="21"/>
              </w:rPr>
            </w:pPr>
            <w:r>
              <w:rPr>
                <w:color w:val="auto"/>
                <w:kern w:val="44"/>
                <w:sz w:val="21"/>
                <w:szCs w:val="21"/>
              </w:rPr>
              <w:t>250</w:t>
            </w:r>
          </w:p>
        </w:tc>
        <w:tc>
          <w:tcPr>
            <w:tcW w:w="968" w:type="dxa"/>
            <w:vAlign w:val="center"/>
          </w:tcPr>
          <w:p w14:paraId="0764E1FD">
            <w:pPr>
              <w:widowControl/>
              <w:spacing w:line="240" w:lineRule="auto"/>
              <w:ind w:firstLine="0" w:firstLineChars="0"/>
              <w:jc w:val="center"/>
              <w:rPr>
                <w:color w:val="auto"/>
                <w:kern w:val="44"/>
                <w:sz w:val="21"/>
                <w:szCs w:val="21"/>
              </w:rPr>
            </w:pPr>
            <w:r>
              <w:rPr>
                <w:color w:val="auto"/>
                <w:kern w:val="44"/>
                <w:sz w:val="21"/>
                <w:szCs w:val="21"/>
              </w:rPr>
              <w:t>300</w:t>
            </w:r>
          </w:p>
        </w:tc>
        <w:tc>
          <w:tcPr>
            <w:tcW w:w="796" w:type="dxa"/>
            <w:vAlign w:val="center"/>
          </w:tcPr>
          <w:p w14:paraId="443E506C">
            <w:pPr>
              <w:widowControl/>
              <w:spacing w:line="240" w:lineRule="auto"/>
              <w:ind w:firstLine="0" w:firstLineChars="0"/>
              <w:jc w:val="center"/>
              <w:rPr>
                <w:color w:val="auto"/>
                <w:kern w:val="44"/>
                <w:sz w:val="21"/>
                <w:szCs w:val="21"/>
              </w:rPr>
            </w:pPr>
            <w:r>
              <w:rPr>
                <w:color w:val="auto"/>
                <w:kern w:val="44"/>
                <w:sz w:val="21"/>
                <w:szCs w:val="21"/>
              </w:rPr>
              <w:t>350</w:t>
            </w:r>
          </w:p>
        </w:tc>
        <w:tc>
          <w:tcPr>
            <w:tcW w:w="968" w:type="dxa"/>
            <w:vMerge w:val="restart"/>
            <w:vAlign w:val="center"/>
          </w:tcPr>
          <w:p w14:paraId="25A00AD7">
            <w:pPr>
              <w:widowControl/>
              <w:spacing w:line="240" w:lineRule="auto"/>
              <w:ind w:firstLine="0" w:firstLineChars="0"/>
              <w:jc w:val="center"/>
              <w:rPr>
                <w:color w:val="auto"/>
                <w:kern w:val="44"/>
                <w:sz w:val="21"/>
                <w:szCs w:val="21"/>
              </w:rPr>
            </w:pPr>
            <w:r>
              <w:rPr>
                <w:color w:val="auto"/>
                <w:kern w:val="44"/>
                <w:sz w:val="21"/>
                <w:szCs w:val="21"/>
              </w:rPr>
              <w:t>800</w:t>
            </w:r>
          </w:p>
        </w:tc>
        <w:tc>
          <w:tcPr>
            <w:tcW w:w="968" w:type="dxa"/>
            <w:vMerge w:val="restart"/>
            <w:vAlign w:val="center"/>
          </w:tcPr>
          <w:p w14:paraId="07CC9826">
            <w:pPr>
              <w:widowControl/>
              <w:spacing w:line="240" w:lineRule="auto"/>
              <w:ind w:firstLine="0" w:firstLineChars="0"/>
              <w:jc w:val="center"/>
              <w:rPr>
                <w:color w:val="auto"/>
                <w:kern w:val="44"/>
                <w:sz w:val="21"/>
                <w:szCs w:val="21"/>
              </w:rPr>
            </w:pPr>
            <w:r>
              <w:rPr>
                <w:color w:val="auto"/>
                <w:kern w:val="44"/>
                <w:sz w:val="21"/>
                <w:szCs w:val="21"/>
              </w:rPr>
              <w:t>850</w:t>
            </w:r>
          </w:p>
        </w:tc>
        <w:tc>
          <w:tcPr>
            <w:tcW w:w="968" w:type="dxa"/>
            <w:vMerge w:val="restart"/>
            <w:vAlign w:val="center"/>
          </w:tcPr>
          <w:p w14:paraId="4EF5AC91">
            <w:pPr>
              <w:widowControl/>
              <w:spacing w:line="240" w:lineRule="auto"/>
              <w:ind w:firstLine="0" w:firstLineChars="0"/>
              <w:jc w:val="center"/>
              <w:rPr>
                <w:color w:val="auto"/>
                <w:kern w:val="44"/>
                <w:sz w:val="21"/>
                <w:szCs w:val="21"/>
              </w:rPr>
            </w:pPr>
            <w:r>
              <w:rPr>
                <w:color w:val="auto"/>
                <w:kern w:val="44"/>
                <w:sz w:val="21"/>
                <w:szCs w:val="21"/>
              </w:rPr>
              <w:t>1000</w:t>
            </w:r>
          </w:p>
        </w:tc>
        <w:tc>
          <w:tcPr>
            <w:tcW w:w="840" w:type="dxa"/>
            <w:vMerge w:val="restart"/>
            <w:vAlign w:val="center"/>
          </w:tcPr>
          <w:p w14:paraId="41EA0A72">
            <w:pPr>
              <w:widowControl/>
              <w:spacing w:line="240" w:lineRule="auto"/>
              <w:ind w:firstLine="0" w:firstLineChars="0"/>
              <w:jc w:val="center"/>
              <w:rPr>
                <w:color w:val="auto"/>
                <w:kern w:val="44"/>
                <w:sz w:val="21"/>
                <w:szCs w:val="21"/>
              </w:rPr>
            </w:pPr>
            <w:r>
              <w:rPr>
                <w:color w:val="auto"/>
                <w:kern w:val="44"/>
                <w:sz w:val="21"/>
                <w:szCs w:val="21"/>
              </w:rPr>
              <w:t>1300</w:t>
            </w:r>
          </w:p>
        </w:tc>
      </w:tr>
      <w:tr w14:paraId="18616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vAlign w:val="center"/>
          </w:tcPr>
          <w:p w14:paraId="6701775E">
            <w:pPr>
              <w:widowControl/>
              <w:adjustRightInd/>
              <w:snapToGrid/>
              <w:spacing w:line="240" w:lineRule="auto"/>
              <w:ind w:firstLine="0" w:firstLineChars="0"/>
              <w:jc w:val="center"/>
              <w:rPr>
                <w:color w:val="auto"/>
                <w:kern w:val="44"/>
                <w:sz w:val="21"/>
                <w:szCs w:val="21"/>
              </w:rPr>
            </w:pPr>
          </w:p>
        </w:tc>
        <w:tc>
          <w:tcPr>
            <w:tcW w:w="389" w:type="dxa"/>
            <w:vMerge w:val="continue"/>
            <w:vAlign w:val="center"/>
          </w:tcPr>
          <w:p w14:paraId="3E4D4DC1">
            <w:pPr>
              <w:widowControl/>
              <w:adjustRightInd/>
              <w:snapToGrid/>
              <w:spacing w:line="240" w:lineRule="auto"/>
              <w:ind w:firstLine="0" w:firstLineChars="0"/>
              <w:jc w:val="center"/>
              <w:rPr>
                <w:color w:val="auto"/>
                <w:kern w:val="44"/>
                <w:sz w:val="21"/>
                <w:szCs w:val="21"/>
              </w:rPr>
            </w:pPr>
          </w:p>
        </w:tc>
        <w:tc>
          <w:tcPr>
            <w:tcW w:w="726" w:type="dxa"/>
            <w:vAlign w:val="center"/>
          </w:tcPr>
          <w:p w14:paraId="36ACC193">
            <w:pPr>
              <w:widowControl/>
              <w:spacing w:line="240" w:lineRule="auto"/>
              <w:ind w:firstLine="0" w:firstLineChars="0"/>
              <w:jc w:val="center"/>
              <w:rPr>
                <w:color w:val="auto"/>
                <w:kern w:val="44"/>
                <w:sz w:val="21"/>
                <w:szCs w:val="21"/>
              </w:rPr>
            </w:pPr>
            <w:r>
              <w:rPr>
                <w:color w:val="auto"/>
                <w:kern w:val="44"/>
                <w:sz w:val="21"/>
                <w:szCs w:val="21"/>
              </w:rPr>
              <w:t>其他</w:t>
            </w:r>
          </w:p>
        </w:tc>
        <w:tc>
          <w:tcPr>
            <w:tcW w:w="968" w:type="dxa"/>
            <w:vAlign w:val="center"/>
          </w:tcPr>
          <w:p w14:paraId="1C8B03CA">
            <w:pPr>
              <w:widowControl/>
              <w:spacing w:line="240" w:lineRule="auto"/>
              <w:ind w:firstLine="0" w:firstLineChars="0"/>
              <w:jc w:val="center"/>
              <w:rPr>
                <w:color w:val="auto"/>
                <w:kern w:val="44"/>
                <w:sz w:val="21"/>
                <w:szCs w:val="21"/>
              </w:rPr>
            </w:pPr>
            <w:r>
              <w:rPr>
                <w:color w:val="auto"/>
                <w:kern w:val="44"/>
                <w:sz w:val="21"/>
                <w:szCs w:val="21"/>
              </w:rPr>
              <w:t>150</w:t>
            </w:r>
          </w:p>
        </w:tc>
        <w:tc>
          <w:tcPr>
            <w:tcW w:w="968" w:type="dxa"/>
            <w:vAlign w:val="center"/>
          </w:tcPr>
          <w:p w14:paraId="1C1D18A1">
            <w:pPr>
              <w:widowControl/>
              <w:spacing w:line="240" w:lineRule="auto"/>
              <w:ind w:firstLine="0" w:firstLineChars="0"/>
              <w:jc w:val="center"/>
              <w:rPr>
                <w:color w:val="auto"/>
                <w:kern w:val="44"/>
                <w:sz w:val="21"/>
                <w:szCs w:val="21"/>
              </w:rPr>
            </w:pPr>
            <w:r>
              <w:rPr>
                <w:color w:val="auto"/>
                <w:kern w:val="44"/>
                <w:sz w:val="21"/>
                <w:szCs w:val="21"/>
              </w:rPr>
              <w:t>150</w:t>
            </w:r>
          </w:p>
        </w:tc>
        <w:tc>
          <w:tcPr>
            <w:tcW w:w="968" w:type="dxa"/>
            <w:vAlign w:val="center"/>
          </w:tcPr>
          <w:p w14:paraId="23468D77">
            <w:pPr>
              <w:widowControl/>
              <w:spacing w:line="240" w:lineRule="auto"/>
              <w:ind w:firstLine="0" w:firstLineChars="0"/>
              <w:jc w:val="center"/>
              <w:rPr>
                <w:color w:val="auto"/>
                <w:kern w:val="44"/>
                <w:sz w:val="21"/>
                <w:szCs w:val="21"/>
              </w:rPr>
            </w:pPr>
            <w:r>
              <w:rPr>
                <w:color w:val="auto"/>
                <w:kern w:val="44"/>
                <w:sz w:val="21"/>
                <w:szCs w:val="21"/>
              </w:rPr>
              <w:t>200</w:t>
            </w:r>
          </w:p>
        </w:tc>
        <w:tc>
          <w:tcPr>
            <w:tcW w:w="796" w:type="dxa"/>
            <w:vAlign w:val="center"/>
          </w:tcPr>
          <w:p w14:paraId="64ADD1D0">
            <w:pPr>
              <w:widowControl/>
              <w:spacing w:line="240" w:lineRule="auto"/>
              <w:ind w:firstLine="0" w:firstLineChars="0"/>
              <w:jc w:val="center"/>
              <w:rPr>
                <w:color w:val="auto"/>
                <w:kern w:val="44"/>
                <w:sz w:val="21"/>
                <w:szCs w:val="21"/>
              </w:rPr>
            </w:pPr>
            <w:r>
              <w:rPr>
                <w:color w:val="auto"/>
                <w:kern w:val="44"/>
                <w:sz w:val="21"/>
                <w:szCs w:val="21"/>
              </w:rPr>
              <w:t>250</w:t>
            </w:r>
          </w:p>
        </w:tc>
        <w:tc>
          <w:tcPr>
            <w:tcW w:w="968" w:type="dxa"/>
            <w:vMerge w:val="continue"/>
            <w:vAlign w:val="center"/>
          </w:tcPr>
          <w:p w14:paraId="7B57129E">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5672337B">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762DC7BA">
            <w:pPr>
              <w:widowControl/>
              <w:adjustRightInd/>
              <w:snapToGrid/>
              <w:spacing w:line="240" w:lineRule="auto"/>
              <w:ind w:firstLine="0" w:firstLineChars="0"/>
              <w:jc w:val="center"/>
              <w:rPr>
                <w:color w:val="auto"/>
                <w:kern w:val="44"/>
                <w:sz w:val="21"/>
                <w:szCs w:val="21"/>
              </w:rPr>
            </w:pPr>
          </w:p>
        </w:tc>
        <w:tc>
          <w:tcPr>
            <w:tcW w:w="840" w:type="dxa"/>
            <w:vMerge w:val="continue"/>
            <w:vAlign w:val="center"/>
          </w:tcPr>
          <w:p w14:paraId="555426CD">
            <w:pPr>
              <w:widowControl/>
              <w:adjustRightInd/>
              <w:snapToGrid/>
              <w:spacing w:line="240" w:lineRule="auto"/>
              <w:ind w:firstLine="0" w:firstLineChars="0"/>
              <w:jc w:val="center"/>
              <w:rPr>
                <w:color w:val="auto"/>
                <w:kern w:val="44"/>
                <w:sz w:val="21"/>
                <w:szCs w:val="21"/>
              </w:rPr>
            </w:pPr>
          </w:p>
        </w:tc>
      </w:tr>
      <w:tr w14:paraId="0404F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restart"/>
            <w:vAlign w:val="center"/>
          </w:tcPr>
          <w:p w14:paraId="6BAA23DE">
            <w:pPr>
              <w:widowControl/>
              <w:spacing w:line="240" w:lineRule="auto"/>
              <w:ind w:firstLine="0" w:firstLineChars="0"/>
              <w:jc w:val="center"/>
              <w:rPr>
                <w:color w:val="auto"/>
                <w:kern w:val="44"/>
                <w:sz w:val="21"/>
                <w:szCs w:val="21"/>
              </w:rPr>
            </w:pPr>
            <w:r>
              <w:rPr>
                <w:color w:val="auto"/>
                <w:kern w:val="44"/>
                <w:sz w:val="21"/>
                <w:szCs w:val="21"/>
              </w:rPr>
              <w:t>6</w:t>
            </w:r>
          </w:p>
        </w:tc>
        <w:tc>
          <w:tcPr>
            <w:tcW w:w="389" w:type="dxa"/>
            <w:vMerge w:val="restart"/>
            <w:vAlign w:val="center"/>
          </w:tcPr>
          <w:p w14:paraId="792EFA80">
            <w:pPr>
              <w:widowControl/>
              <w:spacing w:line="240" w:lineRule="auto"/>
              <w:ind w:firstLine="0" w:firstLineChars="0"/>
              <w:jc w:val="center"/>
              <w:rPr>
                <w:color w:val="auto"/>
                <w:kern w:val="44"/>
                <w:sz w:val="21"/>
                <w:szCs w:val="21"/>
              </w:rPr>
            </w:pPr>
            <w:r>
              <w:rPr>
                <w:color w:val="auto"/>
                <w:kern w:val="44"/>
                <w:sz w:val="21"/>
                <w:szCs w:val="21"/>
              </w:rPr>
              <w:t>铜</w:t>
            </w:r>
          </w:p>
        </w:tc>
        <w:tc>
          <w:tcPr>
            <w:tcW w:w="726" w:type="dxa"/>
            <w:vAlign w:val="center"/>
          </w:tcPr>
          <w:p w14:paraId="1A4CEE46">
            <w:pPr>
              <w:widowControl/>
              <w:spacing w:line="240" w:lineRule="auto"/>
              <w:ind w:firstLine="0" w:firstLineChars="0"/>
              <w:jc w:val="center"/>
              <w:rPr>
                <w:color w:val="auto"/>
                <w:kern w:val="44"/>
                <w:sz w:val="21"/>
                <w:szCs w:val="21"/>
              </w:rPr>
            </w:pPr>
            <w:r>
              <w:rPr>
                <w:color w:val="auto"/>
                <w:kern w:val="44"/>
                <w:sz w:val="21"/>
                <w:szCs w:val="21"/>
              </w:rPr>
              <w:t>水田</w:t>
            </w:r>
          </w:p>
        </w:tc>
        <w:tc>
          <w:tcPr>
            <w:tcW w:w="968" w:type="dxa"/>
            <w:vAlign w:val="center"/>
          </w:tcPr>
          <w:p w14:paraId="145DAAF4">
            <w:pPr>
              <w:widowControl/>
              <w:spacing w:line="240" w:lineRule="auto"/>
              <w:ind w:firstLine="0" w:firstLineChars="0"/>
              <w:jc w:val="center"/>
              <w:rPr>
                <w:color w:val="auto"/>
                <w:kern w:val="44"/>
                <w:sz w:val="21"/>
                <w:szCs w:val="21"/>
              </w:rPr>
            </w:pPr>
            <w:r>
              <w:rPr>
                <w:color w:val="auto"/>
                <w:kern w:val="44"/>
                <w:sz w:val="21"/>
                <w:szCs w:val="21"/>
              </w:rPr>
              <w:t>150</w:t>
            </w:r>
          </w:p>
        </w:tc>
        <w:tc>
          <w:tcPr>
            <w:tcW w:w="968" w:type="dxa"/>
            <w:vAlign w:val="center"/>
          </w:tcPr>
          <w:p w14:paraId="68741CF8">
            <w:pPr>
              <w:widowControl/>
              <w:spacing w:line="240" w:lineRule="auto"/>
              <w:ind w:firstLine="0" w:firstLineChars="0"/>
              <w:jc w:val="center"/>
              <w:rPr>
                <w:color w:val="auto"/>
                <w:kern w:val="44"/>
                <w:sz w:val="21"/>
                <w:szCs w:val="21"/>
              </w:rPr>
            </w:pPr>
            <w:r>
              <w:rPr>
                <w:color w:val="auto"/>
                <w:kern w:val="44"/>
                <w:sz w:val="21"/>
                <w:szCs w:val="21"/>
              </w:rPr>
              <w:t>150</w:t>
            </w:r>
          </w:p>
        </w:tc>
        <w:tc>
          <w:tcPr>
            <w:tcW w:w="968" w:type="dxa"/>
            <w:vAlign w:val="center"/>
          </w:tcPr>
          <w:p w14:paraId="49883720">
            <w:pPr>
              <w:widowControl/>
              <w:spacing w:line="240" w:lineRule="auto"/>
              <w:ind w:firstLine="0" w:firstLineChars="0"/>
              <w:jc w:val="center"/>
              <w:rPr>
                <w:color w:val="auto"/>
                <w:kern w:val="44"/>
                <w:sz w:val="21"/>
                <w:szCs w:val="21"/>
              </w:rPr>
            </w:pPr>
            <w:r>
              <w:rPr>
                <w:color w:val="auto"/>
                <w:kern w:val="44"/>
                <w:sz w:val="21"/>
                <w:szCs w:val="21"/>
              </w:rPr>
              <w:t>200</w:t>
            </w:r>
          </w:p>
        </w:tc>
        <w:tc>
          <w:tcPr>
            <w:tcW w:w="796" w:type="dxa"/>
            <w:vAlign w:val="center"/>
          </w:tcPr>
          <w:p w14:paraId="09B7A916">
            <w:pPr>
              <w:widowControl/>
              <w:spacing w:line="240" w:lineRule="auto"/>
              <w:ind w:firstLine="0" w:firstLineChars="0"/>
              <w:jc w:val="center"/>
              <w:rPr>
                <w:color w:val="auto"/>
                <w:kern w:val="44"/>
                <w:sz w:val="21"/>
                <w:szCs w:val="21"/>
              </w:rPr>
            </w:pPr>
            <w:r>
              <w:rPr>
                <w:color w:val="auto"/>
                <w:kern w:val="44"/>
                <w:sz w:val="21"/>
                <w:szCs w:val="21"/>
              </w:rPr>
              <w:t>200</w:t>
            </w:r>
          </w:p>
        </w:tc>
        <w:tc>
          <w:tcPr>
            <w:tcW w:w="968" w:type="dxa"/>
            <w:vMerge w:val="restart"/>
            <w:vAlign w:val="center"/>
          </w:tcPr>
          <w:p w14:paraId="65DE5807">
            <w:pPr>
              <w:widowControl/>
              <w:spacing w:line="240" w:lineRule="auto"/>
              <w:ind w:firstLine="0" w:firstLineChars="0"/>
              <w:jc w:val="center"/>
              <w:rPr>
                <w:color w:val="auto"/>
                <w:kern w:val="44"/>
                <w:sz w:val="21"/>
                <w:szCs w:val="21"/>
              </w:rPr>
            </w:pPr>
            <w:r>
              <w:rPr>
                <w:color w:val="auto"/>
                <w:sz w:val="21"/>
                <w:szCs w:val="21"/>
              </w:rPr>
              <w:t>—</w:t>
            </w:r>
          </w:p>
        </w:tc>
        <w:tc>
          <w:tcPr>
            <w:tcW w:w="968" w:type="dxa"/>
            <w:vMerge w:val="restart"/>
            <w:vAlign w:val="center"/>
          </w:tcPr>
          <w:p w14:paraId="1DE3F6BC">
            <w:pPr>
              <w:widowControl/>
              <w:spacing w:line="240" w:lineRule="auto"/>
              <w:ind w:firstLine="0" w:firstLineChars="0"/>
              <w:jc w:val="center"/>
              <w:rPr>
                <w:color w:val="auto"/>
                <w:kern w:val="44"/>
                <w:sz w:val="21"/>
                <w:szCs w:val="21"/>
              </w:rPr>
            </w:pPr>
            <w:r>
              <w:rPr>
                <w:color w:val="auto"/>
                <w:sz w:val="21"/>
                <w:szCs w:val="21"/>
              </w:rPr>
              <w:t>—</w:t>
            </w:r>
          </w:p>
        </w:tc>
        <w:tc>
          <w:tcPr>
            <w:tcW w:w="968" w:type="dxa"/>
            <w:vMerge w:val="restart"/>
            <w:vAlign w:val="center"/>
          </w:tcPr>
          <w:p w14:paraId="4D7D5D3E">
            <w:pPr>
              <w:widowControl/>
              <w:spacing w:line="240" w:lineRule="auto"/>
              <w:ind w:firstLine="0" w:firstLineChars="0"/>
              <w:jc w:val="center"/>
              <w:rPr>
                <w:color w:val="auto"/>
                <w:kern w:val="44"/>
                <w:sz w:val="21"/>
                <w:szCs w:val="21"/>
              </w:rPr>
            </w:pPr>
            <w:r>
              <w:rPr>
                <w:color w:val="auto"/>
                <w:sz w:val="21"/>
                <w:szCs w:val="21"/>
              </w:rPr>
              <w:t>—</w:t>
            </w:r>
          </w:p>
        </w:tc>
        <w:tc>
          <w:tcPr>
            <w:tcW w:w="840" w:type="dxa"/>
            <w:vMerge w:val="restart"/>
            <w:vAlign w:val="center"/>
          </w:tcPr>
          <w:p w14:paraId="5D6EF048">
            <w:pPr>
              <w:widowControl/>
              <w:spacing w:line="240" w:lineRule="auto"/>
              <w:ind w:firstLine="0" w:firstLineChars="0"/>
              <w:jc w:val="center"/>
              <w:rPr>
                <w:color w:val="auto"/>
                <w:kern w:val="44"/>
                <w:sz w:val="21"/>
                <w:szCs w:val="21"/>
              </w:rPr>
            </w:pPr>
            <w:r>
              <w:rPr>
                <w:color w:val="auto"/>
                <w:sz w:val="21"/>
                <w:szCs w:val="21"/>
              </w:rPr>
              <w:t>—</w:t>
            </w:r>
          </w:p>
        </w:tc>
      </w:tr>
      <w:tr w14:paraId="42CDC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vAlign w:val="center"/>
          </w:tcPr>
          <w:p w14:paraId="4D47B5A1">
            <w:pPr>
              <w:widowControl/>
              <w:adjustRightInd/>
              <w:snapToGrid/>
              <w:spacing w:line="240" w:lineRule="auto"/>
              <w:ind w:firstLine="0" w:firstLineChars="0"/>
              <w:jc w:val="center"/>
              <w:rPr>
                <w:color w:val="auto"/>
                <w:kern w:val="44"/>
                <w:sz w:val="21"/>
                <w:szCs w:val="21"/>
              </w:rPr>
            </w:pPr>
          </w:p>
        </w:tc>
        <w:tc>
          <w:tcPr>
            <w:tcW w:w="389" w:type="dxa"/>
            <w:vMerge w:val="continue"/>
            <w:vAlign w:val="center"/>
          </w:tcPr>
          <w:p w14:paraId="530FBE53">
            <w:pPr>
              <w:widowControl/>
              <w:adjustRightInd/>
              <w:snapToGrid/>
              <w:spacing w:line="240" w:lineRule="auto"/>
              <w:ind w:firstLine="0" w:firstLineChars="0"/>
              <w:jc w:val="center"/>
              <w:rPr>
                <w:color w:val="auto"/>
                <w:kern w:val="44"/>
                <w:sz w:val="21"/>
                <w:szCs w:val="21"/>
              </w:rPr>
            </w:pPr>
          </w:p>
        </w:tc>
        <w:tc>
          <w:tcPr>
            <w:tcW w:w="726" w:type="dxa"/>
            <w:vAlign w:val="center"/>
          </w:tcPr>
          <w:p w14:paraId="1E055204">
            <w:pPr>
              <w:widowControl/>
              <w:spacing w:line="240" w:lineRule="auto"/>
              <w:ind w:firstLine="0" w:firstLineChars="0"/>
              <w:jc w:val="center"/>
              <w:rPr>
                <w:color w:val="auto"/>
                <w:kern w:val="44"/>
                <w:sz w:val="21"/>
                <w:szCs w:val="21"/>
              </w:rPr>
            </w:pPr>
            <w:r>
              <w:rPr>
                <w:color w:val="auto"/>
                <w:kern w:val="44"/>
                <w:sz w:val="21"/>
                <w:szCs w:val="21"/>
              </w:rPr>
              <w:t>其他</w:t>
            </w:r>
          </w:p>
        </w:tc>
        <w:tc>
          <w:tcPr>
            <w:tcW w:w="968" w:type="dxa"/>
            <w:vAlign w:val="center"/>
          </w:tcPr>
          <w:p w14:paraId="4D283174">
            <w:pPr>
              <w:widowControl/>
              <w:spacing w:line="240" w:lineRule="auto"/>
              <w:ind w:firstLine="0" w:firstLineChars="0"/>
              <w:jc w:val="center"/>
              <w:rPr>
                <w:color w:val="auto"/>
                <w:kern w:val="44"/>
                <w:sz w:val="21"/>
                <w:szCs w:val="21"/>
              </w:rPr>
            </w:pPr>
            <w:r>
              <w:rPr>
                <w:color w:val="auto"/>
                <w:kern w:val="44"/>
                <w:sz w:val="21"/>
                <w:szCs w:val="21"/>
              </w:rPr>
              <w:t>50</w:t>
            </w:r>
          </w:p>
        </w:tc>
        <w:tc>
          <w:tcPr>
            <w:tcW w:w="968" w:type="dxa"/>
            <w:vAlign w:val="center"/>
          </w:tcPr>
          <w:p w14:paraId="19FE0C5B">
            <w:pPr>
              <w:widowControl/>
              <w:spacing w:line="240" w:lineRule="auto"/>
              <w:ind w:firstLine="0" w:firstLineChars="0"/>
              <w:jc w:val="center"/>
              <w:rPr>
                <w:color w:val="auto"/>
                <w:kern w:val="44"/>
                <w:sz w:val="21"/>
                <w:szCs w:val="21"/>
              </w:rPr>
            </w:pPr>
            <w:r>
              <w:rPr>
                <w:color w:val="auto"/>
                <w:kern w:val="44"/>
                <w:sz w:val="21"/>
                <w:szCs w:val="21"/>
              </w:rPr>
              <w:t>50</w:t>
            </w:r>
          </w:p>
        </w:tc>
        <w:tc>
          <w:tcPr>
            <w:tcW w:w="968" w:type="dxa"/>
            <w:vAlign w:val="center"/>
          </w:tcPr>
          <w:p w14:paraId="422CB109">
            <w:pPr>
              <w:widowControl/>
              <w:spacing w:line="240" w:lineRule="auto"/>
              <w:ind w:firstLine="0" w:firstLineChars="0"/>
              <w:jc w:val="center"/>
              <w:rPr>
                <w:color w:val="auto"/>
                <w:kern w:val="44"/>
                <w:sz w:val="21"/>
                <w:szCs w:val="21"/>
              </w:rPr>
            </w:pPr>
            <w:r>
              <w:rPr>
                <w:color w:val="auto"/>
                <w:kern w:val="44"/>
                <w:sz w:val="21"/>
                <w:szCs w:val="21"/>
              </w:rPr>
              <w:t>100</w:t>
            </w:r>
          </w:p>
        </w:tc>
        <w:tc>
          <w:tcPr>
            <w:tcW w:w="796" w:type="dxa"/>
            <w:vAlign w:val="center"/>
          </w:tcPr>
          <w:p w14:paraId="47908607">
            <w:pPr>
              <w:widowControl/>
              <w:spacing w:line="240" w:lineRule="auto"/>
              <w:ind w:firstLine="0" w:firstLineChars="0"/>
              <w:jc w:val="center"/>
              <w:rPr>
                <w:color w:val="auto"/>
                <w:kern w:val="44"/>
                <w:sz w:val="21"/>
                <w:szCs w:val="21"/>
              </w:rPr>
            </w:pPr>
            <w:r>
              <w:rPr>
                <w:color w:val="auto"/>
                <w:kern w:val="44"/>
                <w:sz w:val="21"/>
                <w:szCs w:val="21"/>
              </w:rPr>
              <w:t>100</w:t>
            </w:r>
          </w:p>
        </w:tc>
        <w:tc>
          <w:tcPr>
            <w:tcW w:w="968" w:type="dxa"/>
            <w:vMerge w:val="continue"/>
            <w:vAlign w:val="center"/>
          </w:tcPr>
          <w:p w14:paraId="0E7299A1">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5D7C7C38">
            <w:pPr>
              <w:widowControl/>
              <w:adjustRightInd/>
              <w:snapToGrid/>
              <w:spacing w:line="240" w:lineRule="auto"/>
              <w:ind w:firstLine="0" w:firstLineChars="0"/>
              <w:jc w:val="center"/>
              <w:rPr>
                <w:color w:val="auto"/>
                <w:kern w:val="44"/>
                <w:sz w:val="21"/>
                <w:szCs w:val="21"/>
              </w:rPr>
            </w:pPr>
          </w:p>
        </w:tc>
        <w:tc>
          <w:tcPr>
            <w:tcW w:w="968" w:type="dxa"/>
            <w:vMerge w:val="continue"/>
            <w:vAlign w:val="center"/>
          </w:tcPr>
          <w:p w14:paraId="0BB65C2B">
            <w:pPr>
              <w:widowControl/>
              <w:adjustRightInd/>
              <w:snapToGrid/>
              <w:spacing w:line="240" w:lineRule="auto"/>
              <w:ind w:firstLine="0" w:firstLineChars="0"/>
              <w:jc w:val="center"/>
              <w:rPr>
                <w:color w:val="auto"/>
                <w:kern w:val="44"/>
                <w:sz w:val="21"/>
                <w:szCs w:val="21"/>
              </w:rPr>
            </w:pPr>
          </w:p>
        </w:tc>
        <w:tc>
          <w:tcPr>
            <w:tcW w:w="840" w:type="dxa"/>
            <w:vMerge w:val="continue"/>
            <w:vAlign w:val="center"/>
          </w:tcPr>
          <w:p w14:paraId="6DFA9FB5">
            <w:pPr>
              <w:widowControl/>
              <w:adjustRightInd/>
              <w:snapToGrid/>
              <w:spacing w:line="240" w:lineRule="auto"/>
              <w:ind w:firstLine="0" w:firstLineChars="0"/>
              <w:jc w:val="center"/>
              <w:rPr>
                <w:color w:val="auto"/>
                <w:kern w:val="44"/>
                <w:sz w:val="21"/>
                <w:szCs w:val="21"/>
              </w:rPr>
            </w:pPr>
          </w:p>
        </w:tc>
      </w:tr>
      <w:tr w14:paraId="5D0E6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Align w:val="center"/>
          </w:tcPr>
          <w:p w14:paraId="6AF99741">
            <w:pPr>
              <w:widowControl/>
              <w:spacing w:line="240" w:lineRule="auto"/>
              <w:ind w:firstLine="0" w:firstLineChars="0"/>
              <w:jc w:val="center"/>
              <w:rPr>
                <w:color w:val="auto"/>
                <w:kern w:val="44"/>
                <w:sz w:val="21"/>
                <w:szCs w:val="21"/>
              </w:rPr>
            </w:pPr>
            <w:r>
              <w:rPr>
                <w:color w:val="auto"/>
                <w:kern w:val="44"/>
                <w:sz w:val="21"/>
                <w:szCs w:val="21"/>
              </w:rPr>
              <w:t>7</w:t>
            </w:r>
          </w:p>
        </w:tc>
        <w:tc>
          <w:tcPr>
            <w:tcW w:w="1115" w:type="dxa"/>
            <w:gridSpan w:val="2"/>
            <w:vAlign w:val="center"/>
          </w:tcPr>
          <w:p w14:paraId="042C9081">
            <w:pPr>
              <w:widowControl/>
              <w:spacing w:line="240" w:lineRule="auto"/>
              <w:ind w:firstLine="0" w:firstLineChars="0"/>
              <w:jc w:val="center"/>
              <w:rPr>
                <w:color w:val="auto"/>
                <w:kern w:val="44"/>
                <w:sz w:val="21"/>
                <w:szCs w:val="21"/>
              </w:rPr>
            </w:pPr>
            <w:r>
              <w:rPr>
                <w:color w:val="auto"/>
                <w:kern w:val="44"/>
                <w:sz w:val="21"/>
                <w:szCs w:val="21"/>
              </w:rPr>
              <w:t>镍</w:t>
            </w:r>
          </w:p>
        </w:tc>
        <w:tc>
          <w:tcPr>
            <w:tcW w:w="968" w:type="dxa"/>
            <w:vAlign w:val="center"/>
          </w:tcPr>
          <w:p w14:paraId="3CB049F4">
            <w:pPr>
              <w:widowControl/>
              <w:spacing w:line="240" w:lineRule="auto"/>
              <w:ind w:firstLine="0" w:firstLineChars="0"/>
              <w:jc w:val="center"/>
              <w:rPr>
                <w:color w:val="auto"/>
                <w:kern w:val="44"/>
                <w:sz w:val="21"/>
                <w:szCs w:val="21"/>
              </w:rPr>
            </w:pPr>
            <w:r>
              <w:rPr>
                <w:color w:val="auto"/>
                <w:kern w:val="44"/>
                <w:sz w:val="21"/>
                <w:szCs w:val="21"/>
              </w:rPr>
              <w:t>60</w:t>
            </w:r>
          </w:p>
        </w:tc>
        <w:tc>
          <w:tcPr>
            <w:tcW w:w="968" w:type="dxa"/>
            <w:vAlign w:val="center"/>
          </w:tcPr>
          <w:p w14:paraId="5211EC1B">
            <w:pPr>
              <w:widowControl/>
              <w:spacing w:line="240" w:lineRule="auto"/>
              <w:ind w:firstLine="0" w:firstLineChars="0"/>
              <w:jc w:val="center"/>
              <w:rPr>
                <w:color w:val="auto"/>
                <w:kern w:val="44"/>
                <w:sz w:val="21"/>
                <w:szCs w:val="21"/>
              </w:rPr>
            </w:pPr>
            <w:r>
              <w:rPr>
                <w:color w:val="auto"/>
                <w:kern w:val="44"/>
                <w:sz w:val="21"/>
                <w:szCs w:val="21"/>
              </w:rPr>
              <w:t>70</w:t>
            </w:r>
          </w:p>
        </w:tc>
        <w:tc>
          <w:tcPr>
            <w:tcW w:w="968" w:type="dxa"/>
            <w:vAlign w:val="center"/>
          </w:tcPr>
          <w:p w14:paraId="149BB92E">
            <w:pPr>
              <w:widowControl/>
              <w:spacing w:line="240" w:lineRule="auto"/>
              <w:ind w:firstLine="0" w:firstLineChars="0"/>
              <w:jc w:val="center"/>
              <w:rPr>
                <w:color w:val="auto"/>
                <w:kern w:val="44"/>
                <w:sz w:val="21"/>
                <w:szCs w:val="21"/>
              </w:rPr>
            </w:pPr>
            <w:r>
              <w:rPr>
                <w:color w:val="auto"/>
                <w:kern w:val="44"/>
                <w:sz w:val="21"/>
                <w:szCs w:val="21"/>
              </w:rPr>
              <w:t>100</w:t>
            </w:r>
          </w:p>
        </w:tc>
        <w:tc>
          <w:tcPr>
            <w:tcW w:w="796" w:type="dxa"/>
            <w:vAlign w:val="center"/>
          </w:tcPr>
          <w:p w14:paraId="351BC65F">
            <w:pPr>
              <w:widowControl/>
              <w:spacing w:line="240" w:lineRule="auto"/>
              <w:ind w:firstLine="0" w:firstLineChars="0"/>
              <w:jc w:val="center"/>
              <w:rPr>
                <w:color w:val="auto"/>
                <w:kern w:val="44"/>
                <w:sz w:val="21"/>
                <w:szCs w:val="21"/>
              </w:rPr>
            </w:pPr>
            <w:r>
              <w:rPr>
                <w:color w:val="auto"/>
                <w:kern w:val="44"/>
                <w:sz w:val="21"/>
                <w:szCs w:val="21"/>
              </w:rPr>
              <w:t>190</w:t>
            </w:r>
          </w:p>
        </w:tc>
        <w:tc>
          <w:tcPr>
            <w:tcW w:w="968" w:type="dxa"/>
            <w:vAlign w:val="center"/>
          </w:tcPr>
          <w:p w14:paraId="0595E7E2">
            <w:pPr>
              <w:widowControl/>
              <w:spacing w:line="240" w:lineRule="auto"/>
              <w:ind w:firstLine="0" w:firstLineChars="0"/>
              <w:jc w:val="center"/>
              <w:rPr>
                <w:color w:val="auto"/>
                <w:kern w:val="44"/>
                <w:sz w:val="21"/>
                <w:szCs w:val="21"/>
              </w:rPr>
            </w:pPr>
            <w:r>
              <w:rPr>
                <w:color w:val="auto"/>
                <w:sz w:val="21"/>
                <w:szCs w:val="21"/>
              </w:rPr>
              <w:t>—</w:t>
            </w:r>
          </w:p>
        </w:tc>
        <w:tc>
          <w:tcPr>
            <w:tcW w:w="968" w:type="dxa"/>
            <w:vAlign w:val="center"/>
          </w:tcPr>
          <w:p w14:paraId="62ED7382">
            <w:pPr>
              <w:widowControl/>
              <w:spacing w:line="240" w:lineRule="auto"/>
              <w:ind w:firstLine="0" w:firstLineChars="0"/>
              <w:jc w:val="center"/>
              <w:rPr>
                <w:color w:val="auto"/>
                <w:kern w:val="44"/>
                <w:sz w:val="21"/>
                <w:szCs w:val="21"/>
              </w:rPr>
            </w:pPr>
            <w:r>
              <w:rPr>
                <w:color w:val="auto"/>
                <w:sz w:val="21"/>
                <w:szCs w:val="21"/>
              </w:rPr>
              <w:t>—</w:t>
            </w:r>
          </w:p>
        </w:tc>
        <w:tc>
          <w:tcPr>
            <w:tcW w:w="968" w:type="dxa"/>
            <w:vAlign w:val="center"/>
          </w:tcPr>
          <w:p w14:paraId="4A753B16">
            <w:pPr>
              <w:widowControl/>
              <w:spacing w:line="240" w:lineRule="auto"/>
              <w:ind w:firstLine="0" w:firstLineChars="0"/>
              <w:jc w:val="center"/>
              <w:rPr>
                <w:color w:val="auto"/>
                <w:kern w:val="44"/>
                <w:sz w:val="21"/>
                <w:szCs w:val="21"/>
              </w:rPr>
            </w:pPr>
            <w:r>
              <w:rPr>
                <w:color w:val="auto"/>
                <w:sz w:val="21"/>
                <w:szCs w:val="21"/>
              </w:rPr>
              <w:t>—</w:t>
            </w:r>
          </w:p>
        </w:tc>
        <w:tc>
          <w:tcPr>
            <w:tcW w:w="840" w:type="dxa"/>
            <w:vAlign w:val="center"/>
          </w:tcPr>
          <w:p w14:paraId="0E68944F">
            <w:pPr>
              <w:widowControl/>
              <w:spacing w:line="240" w:lineRule="auto"/>
              <w:ind w:firstLine="0" w:firstLineChars="0"/>
              <w:jc w:val="center"/>
              <w:rPr>
                <w:color w:val="auto"/>
                <w:kern w:val="44"/>
                <w:sz w:val="21"/>
                <w:szCs w:val="21"/>
              </w:rPr>
            </w:pPr>
            <w:r>
              <w:rPr>
                <w:color w:val="auto"/>
                <w:sz w:val="21"/>
                <w:szCs w:val="21"/>
              </w:rPr>
              <w:t>—</w:t>
            </w:r>
          </w:p>
        </w:tc>
      </w:tr>
      <w:tr w14:paraId="2B3E8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Align w:val="center"/>
          </w:tcPr>
          <w:p w14:paraId="0BD0C3E2">
            <w:pPr>
              <w:widowControl/>
              <w:spacing w:line="240" w:lineRule="auto"/>
              <w:ind w:firstLine="0" w:firstLineChars="0"/>
              <w:jc w:val="center"/>
              <w:rPr>
                <w:color w:val="auto"/>
                <w:kern w:val="44"/>
                <w:sz w:val="21"/>
                <w:szCs w:val="21"/>
              </w:rPr>
            </w:pPr>
            <w:r>
              <w:rPr>
                <w:color w:val="auto"/>
                <w:kern w:val="44"/>
                <w:sz w:val="21"/>
                <w:szCs w:val="21"/>
              </w:rPr>
              <w:t>8</w:t>
            </w:r>
          </w:p>
        </w:tc>
        <w:tc>
          <w:tcPr>
            <w:tcW w:w="1115" w:type="dxa"/>
            <w:gridSpan w:val="2"/>
            <w:vAlign w:val="center"/>
          </w:tcPr>
          <w:p w14:paraId="62F75A57">
            <w:pPr>
              <w:widowControl/>
              <w:spacing w:line="240" w:lineRule="auto"/>
              <w:ind w:firstLine="0" w:firstLineChars="0"/>
              <w:jc w:val="center"/>
              <w:rPr>
                <w:color w:val="auto"/>
                <w:kern w:val="44"/>
                <w:sz w:val="21"/>
                <w:szCs w:val="21"/>
              </w:rPr>
            </w:pPr>
            <w:r>
              <w:rPr>
                <w:color w:val="auto"/>
                <w:kern w:val="44"/>
                <w:sz w:val="21"/>
                <w:szCs w:val="21"/>
              </w:rPr>
              <w:t>锌</w:t>
            </w:r>
          </w:p>
        </w:tc>
        <w:tc>
          <w:tcPr>
            <w:tcW w:w="968" w:type="dxa"/>
            <w:vAlign w:val="center"/>
          </w:tcPr>
          <w:p w14:paraId="4651A002">
            <w:pPr>
              <w:widowControl/>
              <w:spacing w:line="240" w:lineRule="auto"/>
              <w:ind w:firstLine="0" w:firstLineChars="0"/>
              <w:jc w:val="center"/>
              <w:rPr>
                <w:color w:val="auto"/>
                <w:kern w:val="44"/>
                <w:sz w:val="21"/>
                <w:szCs w:val="21"/>
              </w:rPr>
            </w:pPr>
            <w:r>
              <w:rPr>
                <w:color w:val="auto"/>
                <w:kern w:val="44"/>
                <w:sz w:val="21"/>
                <w:szCs w:val="21"/>
              </w:rPr>
              <w:t>200</w:t>
            </w:r>
          </w:p>
        </w:tc>
        <w:tc>
          <w:tcPr>
            <w:tcW w:w="968" w:type="dxa"/>
            <w:vAlign w:val="center"/>
          </w:tcPr>
          <w:p w14:paraId="447455DA">
            <w:pPr>
              <w:widowControl/>
              <w:spacing w:line="240" w:lineRule="auto"/>
              <w:ind w:firstLine="0" w:firstLineChars="0"/>
              <w:jc w:val="center"/>
              <w:rPr>
                <w:color w:val="auto"/>
                <w:kern w:val="44"/>
                <w:sz w:val="21"/>
                <w:szCs w:val="21"/>
              </w:rPr>
            </w:pPr>
            <w:r>
              <w:rPr>
                <w:color w:val="auto"/>
                <w:kern w:val="44"/>
                <w:sz w:val="21"/>
                <w:szCs w:val="21"/>
              </w:rPr>
              <w:t>200</w:t>
            </w:r>
          </w:p>
        </w:tc>
        <w:tc>
          <w:tcPr>
            <w:tcW w:w="968" w:type="dxa"/>
            <w:vAlign w:val="center"/>
          </w:tcPr>
          <w:p w14:paraId="3E0E5FF7">
            <w:pPr>
              <w:widowControl/>
              <w:spacing w:line="240" w:lineRule="auto"/>
              <w:ind w:firstLine="0" w:firstLineChars="0"/>
              <w:jc w:val="center"/>
              <w:rPr>
                <w:color w:val="auto"/>
                <w:kern w:val="44"/>
                <w:sz w:val="21"/>
                <w:szCs w:val="21"/>
              </w:rPr>
            </w:pPr>
            <w:r>
              <w:rPr>
                <w:color w:val="auto"/>
                <w:kern w:val="44"/>
                <w:sz w:val="21"/>
                <w:szCs w:val="21"/>
              </w:rPr>
              <w:t>250</w:t>
            </w:r>
          </w:p>
        </w:tc>
        <w:tc>
          <w:tcPr>
            <w:tcW w:w="796" w:type="dxa"/>
            <w:vAlign w:val="center"/>
          </w:tcPr>
          <w:p w14:paraId="4884636B">
            <w:pPr>
              <w:widowControl/>
              <w:spacing w:line="240" w:lineRule="auto"/>
              <w:ind w:firstLine="0" w:firstLineChars="0"/>
              <w:jc w:val="center"/>
              <w:rPr>
                <w:color w:val="auto"/>
                <w:kern w:val="44"/>
                <w:sz w:val="21"/>
                <w:szCs w:val="21"/>
              </w:rPr>
            </w:pPr>
            <w:r>
              <w:rPr>
                <w:color w:val="auto"/>
                <w:kern w:val="44"/>
                <w:sz w:val="21"/>
                <w:szCs w:val="21"/>
              </w:rPr>
              <w:t>300</w:t>
            </w:r>
          </w:p>
        </w:tc>
        <w:tc>
          <w:tcPr>
            <w:tcW w:w="968" w:type="dxa"/>
            <w:vAlign w:val="center"/>
          </w:tcPr>
          <w:p w14:paraId="19E6CDCD">
            <w:pPr>
              <w:widowControl/>
              <w:spacing w:line="240" w:lineRule="auto"/>
              <w:ind w:firstLine="0" w:firstLineChars="0"/>
              <w:jc w:val="center"/>
              <w:rPr>
                <w:color w:val="auto"/>
                <w:kern w:val="44"/>
                <w:sz w:val="21"/>
                <w:szCs w:val="21"/>
              </w:rPr>
            </w:pPr>
            <w:r>
              <w:rPr>
                <w:color w:val="auto"/>
                <w:sz w:val="21"/>
                <w:szCs w:val="21"/>
              </w:rPr>
              <w:t>—</w:t>
            </w:r>
          </w:p>
        </w:tc>
        <w:tc>
          <w:tcPr>
            <w:tcW w:w="968" w:type="dxa"/>
            <w:vAlign w:val="center"/>
          </w:tcPr>
          <w:p w14:paraId="4671E15A">
            <w:pPr>
              <w:widowControl/>
              <w:spacing w:line="240" w:lineRule="auto"/>
              <w:ind w:firstLine="0" w:firstLineChars="0"/>
              <w:jc w:val="center"/>
              <w:rPr>
                <w:color w:val="auto"/>
                <w:kern w:val="44"/>
                <w:sz w:val="21"/>
                <w:szCs w:val="21"/>
              </w:rPr>
            </w:pPr>
            <w:r>
              <w:rPr>
                <w:color w:val="auto"/>
                <w:sz w:val="21"/>
                <w:szCs w:val="21"/>
              </w:rPr>
              <w:t>—</w:t>
            </w:r>
          </w:p>
        </w:tc>
        <w:tc>
          <w:tcPr>
            <w:tcW w:w="968" w:type="dxa"/>
            <w:vAlign w:val="center"/>
          </w:tcPr>
          <w:p w14:paraId="19DF1629">
            <w:pPr>
              <w:widowControl/>
              <w:spacing w:line="240" w:lineRule="auto"/>
              <w:ind w:firstLine="0" w:firstLineChars="0"/>
              <w:jc w:val="center"/>
              <w:rPr>
                <w:color w:val="auto"/>
                <w:kern w:val="44"/>
                <w:sz w:val="21"/>
                <w:szCs w:val="21"/>
              </w:rPr>
            </w:pPr>
            <w:r>
              <w:rPr>
                <w:color w:val="auto"/>
                <w:sz w:val="21"/>
                <w:szCs w:val="21"/>
              </w:rPr>
              <w:t>—</w:t>
            </w:r>
          </w:p>
        </w:tc>
        <w:tc>
          <w:tcPr>
            <w:tcW w:w="840" w:type="dxa"/>
            <w:vAlign w:val="center"/>
          </w:tcPr>
          <w:p w14:paraId="1E61DBEB">
            <w:pPr>
              <w:widowControl/>
              <w:spacing w:line="240" w:lineRule="auto"/>
              <w:ind w:firstLine="0" w:firstLineChars="0"/>
              <w:jc w:val="center"/>
              <w:rPr>
                <w:color w:val="auto"/>
                <w:kern w:val="44"/>
                <w:sz w:val="21"/>
                <w:szCs w:val="21"/>
              </w:rPr>
            </w:pPr>
            <w:r>
              <w:rPr>
                <w:color w:val="auto"/>
                <w:sz w:val="21"/>
                <w:szCs w:val="21"/>
              </w:rPr>
              <w:t>—</w:t>
            </w:r>
          </w:p>
        </w:tc>
      </w:tr>
    </w:tbl>
    <w:p w14:paraId="18259C60">
      <w:pPr>
        <w:snapToGrid/>
        <w:spacing w:before="156" w:beforeLines="50" w:after="156" w:afterLines="50"/>
        <w:ind w:firstLine="0" w:firstLineChars="0"/>
        <w:jc w:val="left"/>
        <w:outlineLvl w:val="2"/>
        <w:rPr>
          <w:b/>
          <w:bCs/>
          <w:color w:val="auto"/>
        </w:rPr>
      </w:pPr>
      <w:bookmarkStart w:id="51" w:name="_Toc15385"/>
      <w:r>
        <w:rPr>
          <w:rFonts w:hint="eastAsia"/>
          <w:b/>
          <w:bCs/>
          <w:color w:val="auto"/>
        </w:rPr>
        <w:t>2.4.2污染物排放标准</w:t>
      </w:r>
      <w:bookmarkEnd w:id="51"/>
    </w:p>
    <w:p w14:paraId="75ECD275">
      <w:pPr>
        <w:keepNext/>
        <w:keepLines/>
        <w:ind w:firstLine="0" w:firstLineChars="0"/>
        <w:outlineLvl w:val="3"/>
        <w:rPr>
          <w:b/>
          <w:color w:val="auto"/>
        </w:rPr>
      </w:pPr>
      <w:r>
        <w:rPr>
          <w:rFonts w:hint="eastAsia"/>
          <w:b/>
          <w:color w:val="auto"/>
        </w:rPr>
        <w:t>2.4.2.1大气污染物排放标准</w:t>
      </w:r>
    </w:p>
    <w:p w14:paraId="1952CC91">
      <w:pPr>
        <w:ind w:firstLine="480"/>
        <w:rPr>
          <w:color w:val="auto"/>
        </w:rPr>
      </w:pPr>
      <w:r>
        <w:rPr>
          <w:rFonts w:hint="eastAsia"/>
          <w:color w:val="auto"/>
        </w:rPr>
        <w:t>（1）有组织排放</w:t>
      </w:r>
    </w:p>
    <w:p w14:paraId="187E861C">
      <w:pPr>
        <w:ind w:firstLine="480"/>
        <w:rPr>
          <w:color w:val="auto"/>
        </w:rPr>
      </w:pPr>
      <w:r>
        <w:rPr>
          <w:rFonts w:hint="eastAsia"/>
          <w:color w:val="auto"/>
        </w:rPr>
        <w:t>本项目有组织排放的氨、二氧化硫、颗粒物执行《无机化学工业污染物排放标准》（GB31573-2015）表4标准；臭气浓度执行《恶臭污染物排放标准》（GB14554-93）表2标准。</w:t>
      </w:r>
    </w:p>
    <w:p w14:paraId="48EB92D3">
      <w:pPr>
        <w:pStyle w:val="49"/>
        <w:rPr>
          <w:color w:val="auto"/>
        </w:rPr>
      </w:pPr>
      <w:r>
        <w:rPr>
          <w:rFonts w:hint="eastAsia"/>
          <w:color w:val="auto"/>
        </w:rPr>
        <w:t>表2.4-7  废气有组织排放标准</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801"/>
        <w:gridCol w:w="2621"/>
        <w:gridCol w:w="3830"/>
      </w:tblGrid>
      <w:tr w14:paraId="4450A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Align w:val="center"/>
          </w:tcPr>
          <w:p w14:paraId="106C7A67">
            <w:pPr>
              <w:spacing w:line="240" w:lineRule="auto"/>
              <w:ind w:firstLine="0" w:firstLineChars="0"/>
              <w:jc w:val="center"/>
              <w:rPr>
                <w:b/>
                <w:bCs/>
                <w:color w:val="auto"/>
                <w:sz w:val="21"/>
                <w:szCs w:val="21"/>
              </w:rPr>
            </w:pPr>
            <w:r>
              <w:rPr>
                <w:rFonts w:hint="eastAsia"/>
                <w:b/>
                <w:bCs/>
                <w:color w:val="auto"/>
                <w:sz w:val="21"/>
                <w:szCs w:val="21"/>
              </w:rPr>
              <w:t>污染源</w:t>
            </w:r>
          </w:p>
        </w:tc>
        <w:tc>
          <w:tcPr>
            <w:tcW w:w="914" w:type="pct"/>
            <w:vAlign w:val="center"/>
          </w:tcPr>
          <w:p w14:paraId="2CA07B6A">
            <w:pPr>
              <w:spacing w:line="240" w:lineRule="auto"/>
              <w:ind w:firstLine="0" w:firstLineChars="0"/>
              <w:jc w:val="center"/>
              <w:rPr>
                <w:b/>
                <w:bCs/>
                <w:color w:val="auto"/>
                <w:sz w:val="21"/>
                <w:szCs w:val="21"/>
              </w:rPr>
            </w:pPr>
            <w:r>
              <w:rPr>
                <w:rFonts w:hint="eastAsia"/>
                <w:b/>
                <w:bCs/>
                <w:color w:val="auto"/>
                <w:sz w:val="21"/>
                <w:szCs w:val="21"/>
              </w:rPr>
              <w:t>污染物</w:t>
            </w:r>
          </w:p>
        </w:tc>
        <w:tc>
          <w:tcPr>
            <w:tcW w:w="1330" w:type="pct"/>
            <w:vAlign w:val="center"/>
          </w:tcPr>
          <w:p w14:paraId="23AB5B9D">
            <w:pPr>
              <w:spacing w:line="240" w:lineRule="auto"/>
              <w:ind w:firstLine="0" w:firstLineChars="0"/>
              <w:jc w:val="center"/>
              <w:rPr>
                <w:b/>
                <w:bCs/>
                <w:color w:val="auto"/>
                <w:sz w:val="21"/>
                <w:szCs w:val="21"/>
              </w:rPr>
            </w:pPr>
            <w:r>
              <w:rPr>
                <w:rFonts w:hint="eastAsia"/>
                <w:b/>
                <w:bCs/>
                <w:color w:val="auto"/>
                <w:sz w:val="21"/>
                <w:szCs w:val="21"/>
              </w:rPr>
              <w:t>排放限值mg/m</w:t>
            </w:r>
            <w:r>
              <w:rPr>
                <w:rFonts w:hint="eastAsia"/>
                <w:b/>
                <w:bCs/>
                <w:color w:val="auto"/>
                <w:sz w:val="21"/>
                <w:szCs w:val="21"/>
                <w:vertAlign w:val="superscript"/>
              </w:rPr>
              <w:t>3</w:t>
            </w:r>
          </w:p>
        </w:tc>
        <w:tc>
          <w:tcPr>
            <w:tcW w:w="1943" w:type="pct"/>
            <w:vAlign w:val="center"/>
          </w:tcPr>
          <w:p w14:paraId="7FE66229">
            <w:pPr>
              <w:spacing w:line="240" w:lineRule="auto"/>
              <w:ind w:firstLine="0" w:firstLineChars="0"/>
              <w:jc w:val="center"/>
              <w:rPr>
                <w:b/>
                <w:bCs/>
                <w:color w:val="auto"/>
                <w:sz w:val="21"/>
                <w:szCs w:val="21"/>
              </w:rPr>
            </w:pPr>
            <w:r>
              <w:rPr>
                <w:rFonts w:hint="eastAsia"/>
                <w:b/>
                <w:bCs/>
                <w:color w:val="auto"/>
                <w:sz w:val="21"/>
                <w:szCs w:val="21"/>
              </w:rPr>
              <w:t>标准来源</w:t>
            </w:r>
          </w:p>
        </w:tc>
      </w:tr>
      <w:tr w14:paraId="0E657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Align w:val="center"/>
          </w:tcPr>
          <w:p w14:paraId="662511D5">
            <w:pPr>
              <w:spacing w:line="240" w:lineRule="auto"/>
              <w:ind w:firstLine="0" w:firstLineChars="0"/>
              <w:jc w:val="center"/>
              <w:rPr>
                <w:color w:val="auto"/>
                <w:sz w:val="21"/>
                <w:szCs w:val="21"/>
              </w:rPr>
            </w:pPr>
            <w:r>
              <w:rPr>
                <w:color w:val="auto"/>
                <w:sz w:val="21"/>
                <w:szCs w:val="21"/>
              </w:rPr>
              <w:t>DA001</w:t>
            </w:r>
          </w:p>
        </w:tc>
        <w:tc>
          <w:tcPr>
            <w:tcW w:w="914" w:type="pct"/>
            <w:vAlign w:val="center"/>
          </w:tcPr>
          <w:p w14:paraId="3729F5BE">
            <w:pPr>
              <w:spacing w:line="240" w:lineRule="auto"/>
              <w:ind w:firstLine="0" w:firstLineChars="0"/>
              <w:jc w:val="center"/>
              <w:rPr>
                <w:color w:val="auto"/>
                <w:sz w:val="21"/>
                <w:szCs w:val="21"/>
              </w:rPr>
            </w:pPr>
            <w:r>
              <w:rPr>
                <w:color w:val="auto"/>
                <w:sz w:val="21"/>
                <w:szCs w:val="21"/>
              </w:rPr>
              <w:t>氨</w:t>
            </w:r>
          </w:p>
        </w:tc>
        <w:tc>
          <w:tcPr>
            <w:tcW w:w="1330" w:type="pct"/>
            <w:vAlign w:val="center"/>
          </w:tcPr>
          <w:p w14:paraId="5FC539F0">
            <w:pPr>
              <w:spacing w:line="240" w:lineRule="auto"/>
              <w:ind w:firstLine="0" w:firstLineChars="0"/>
              <w:jc w:val="center"/>
              <w:rPr>
                <w:color w:val="auto"/>
                <w:sz w:val="21"/>
                <w:szCs w:val="21"/>
              </w:rPr>
            </w:pPr>
            <w:r>
              <w:rPr>
                <w:rFonts w:hint="eastAsia"/>
                <w:color w:val="auto"/>
                <w:sz w:val="21"/>
                <w:szCs w:val="21"/>
              </w:rPr>
              <w:t>10</w:t>
            </w:r>
          </w:p>
        </w:tc>
        <w:tc>
          <w:tcPr>
            <w:tcW w:w="1943" w:type="pct"/>
            <w:vMerge w:val="restart"/>
            <w:vAlign w:val="center"/>
          </w:tcPr>
          <w:p w14:paraId="2C4C83B5">
            <w:pPr>
              <w:spacing w:line="240" w:lineRule="auto"/>
              <w:ind w:firstLine="0" w:firstLineChars="0"/>
              <w:jc w:val="center"/>
              <w:rPr>
                <w:color w:val="auto"/>
                <w:sz w:val="21"/>
                <w:szCs w:val="21"/>
              </w:rPr>
            </w:pPr>
            <w:r>
              <w:rPr>
                <w:rFonts w:hint="eastAsia"/>
                <w:color w:val="auto"/>
                <w:sz w:val="21"/>
                <w:szCs w:val="21"/>
              </w:rPr>
              <w:t>《无机化学工业污染物排放标准》（GB31573-2015）表4</w:t>
            </w:r>
            <w:r>
              <w:rPr>
                <w:color w:val="auto"/>
                <w:sz w:val="21"/>
                <w:szCs w:val="21"/>
              </w:rPr>
              <w:t>标准</w:t>
            </w:r>
          </w:p>
        </w:tc>
      </w:tr>
      <w:tr w14:paraId="7A518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Merge w:val="restart"/>
            <w:vAlign w:val="center"/>
          </w:tcPr>
          <w:p w14:paraId="648F20C2">
            <w:pPr>
              <w:spacing w:line="240" w:lineRule="auto"/>
              <w:ind w:firstLine="0" w:firstLineChars="0"/>
              <w:jc w:val="center"/>
              <w:rPr>
                <w:color w:val="auto"/>
                <w:sz w:val="21"/>
                <w:szCs w:val="21"/>
              </w:rPr>
            </w:pPr>
            <w:r>
              <w:rPr>
                <w:color w:val="auto"/>
                <w:sz w:val="21"/>
                <w:szCs w:val="21"/>
              </w:rPr>
              <w:t>DA002</w:t>
            </w:r>
          </w:p>
        </w:tc>
        <w:tc>
          <w:tcPr>
            <w:tcW w:w="914" w:type="pct"/>
            <w:vAlign w:val="center"/>
          </w:tcPr>
          <w:p w14:paraId="61E89B73">
            <w:pPr>
              <w:spacing w:line="240" w:lineRule="auto"/>
              <w:ind w:firstLine="0" w:firstLineChars="0"/>
              <w:jc w:val="center"/>
              <w:rPr>
                <w:color w:val="auto"/>
                <w:sz w:val="21"/>
                <w:szCs w:val="21"/>
              </w:rPr>
            </w:pPr>
            <w:r>
              <w:rPr>
                <w:color w:val="auto"/>
                <w:sz w:val="21"/>
                <w:szCs w:val="21"/>
              </w:rPr>
              <w:t>二氧化硫</w:t>
            </w:r>
          </w:p>
        </w:tc>
        <w:tc>
          <w:tcPr>
            <w:tcW w:w="1330" w:type="pct"/>
            <w:vAlign w:val="center"/>
          </w:tcPr>
          <w:p w14:paraId="33A076FA">
            <w:pPr>
              <w:spacing w:line="240" w:lineRule="auto"/>
              <w:ind w:firstLine="0" w:firstLineChars="0"/>
              <w:jc w:val="center"/>
              <w:rPr>
                <w:color w:val="auto"/>
                <w:sz w:val="21"/>
                <w:szCs w:val="21"/>
              </w:rPr>
            </w:pPr>
            <w:r>
              <w:rPr>
                <w:rFonts w:hint="eastAsia"/>
                <w:color w:val="auto"/>
                <w:sz w:val="21"/>
                <w:szCs w:val="21"/>
              </w:rPr>
              <w:t>100</w:t>
            </w:r>
          </w:p>
        </w:tc>
        <w:tc>
          <w:tcPr>
            <w:tcW w:w="1943" w:type="pct"/>
            <w:vMerge w:val="continue"/>
            <w:vAlign w:val="center"/>
          </w:tcPr>
          <w:p w14:paraId="2E011363">
            <w:pPr>
              <w:spacing w:line="240" w:lineRule="auto"/>
              <w:ind w:firstLine="0" w:firstLineChars="0"/>
              <w:jc w:val="center"/>
              <w:rPr>
                <w:color w:val="auto"/>
                <w:sz w:val="21"/>
                <w:szCs w:val="21"/>
              </w:rPr>
            </w:pPr>
          </w:p>
        </w:tc>
      </w:tr>
      <w:tr w14:paraId="0B71F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Merge w:val="continue"/>
            <w:vAlign w:val="center"/>
          </w:tcPr>
          <w:p w14:paraId="252D645E">
            <w:pPr>
              <w:spacing w:line="240" w:lineRule="auto"/>
              <w:ind w:firstLine="0" w:firstLineChars="0"/>
              <w:jc w:val="center"/>
              <w:rPr>
                <w:color w:val="auto"/>
                <w:sz w:val="21"/>
                <w:szCs w:val="21"/>
              </w:rPr>
            </w:pPr>
          </w:p>
        </w:tc>
        <w:tc>
          <w:tcPr>
            <w:tcW w:w="914" w:type="pct"/>
            <w:vAlign w:val="center"/>
          </w:tcPr>
          <w:p w14:paraId="5970232B">
            <w:pPr>
              <w:spacing w:line="240" w:lineRule="auto"/>
              <w:ind w:firstLine="0" w:firstLineChars="0"/>
              <w:jc w:val="center"/>
              <w:rPr>
                <w:color w:val="auto"/>
                <w:sz w:val="21"/>
                <w:szCs w:val="21"/>
              </w:rPr>
            </w:pPr>
            <w:r>
              <w:rPr>
                <w:rFonts w:hint="eastAsia"/>
                <w:color w:val="auto"/>
                <w:sz w:val="21"/>
                <w:szCs w:val="21"/>
              </w:rPr>
              <w:t>颗粒物</w:t>
            </w:r>
          </w:p>
        </w:tc>
        <w:tc>
          <w:tcPr>
            <w:tcW w:w="1330" w:type="pct"/>
            <w:vAlign w:val="center"/>
          </w:tcPr>
          <w:p w14:paraId="3E020B3A">
            <w:pPr>
              <w:spacing w:line="240" w:lineRule="auto"/>
              <w:ind w:firstLine="0" w:firstLineChars="0"/>
              <w:jc w:val="center"/>
              <w:rPr>
                <w:color w:val="auto"/>
                <w:sz w:val="21"/>
                <w:szCs w:val="21"/>
              </w:rPr>
            </w:pPr>
            <w:r>
              <w:rPr>
                <w:rFonts w:hint="eastAsia"/>
                <w:color w:val="auto"/>
                <w:sz w:val="21"/>
                <w:szCs w:val="21"/>
              </w:rPr>
              <w:t>10</w:t>
            </w:r>
          </w:p>
        </w:tc>
        <w:tc>
          <w:tcPr>
            <w:tcW w:w="1943" w:type="pct"/>
            <w:vMerge w:val="continue"/>
            <w:vAlign w:val="center"/>
          </w:tcPr>
          <w:p w14:paraId="6F758B68">
            <w:pPr>
              <w:spacing w:line="240" w:lineRule="auto"/>
              <w:ind w:firstLine="0" w:firstLineChars="0"/>
              <w:jc w:val="center"/>
              <w:rPr>
                <w:color w:val="auto"/>
                <w:sz w:val="21"/>
                <w:szCs w:val="21"/>
              </w:rPr>
            </w:pPr>
          </w:p>
        </w:tc>
      </w:tr>
      <w:tr w14:paraId="0B488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Align w:val="center"/>
          </w:tcPr>
          <w:p w14:paraId="2F461FC8">
            <w:pPr>
              <w:spacing w:line="240" w:lineRule="auto"/>
              <w:ind w:firstLine="0" w:firstLineChars="0"/>
              <w:jc w:val="center"/>
              <w:rPr>
                <w:color w:val="auto"/>
                <w:sz w:val="21"/>
                <w:szCs w:val="21"/>
              </w:rPr>
            </w:pPr>
            <w:r>
              <w:rPr>
                <w:rFonts w:hint="eastAsia"/>
                <w:color w:val="auto"/>
                <w:sz w:val="21"/>
                <w:szCs w:val="21"/>
              </w:rPr>
              <w:t>DA001</w:t>
            </w:r>
          </w:p>
        </w:tc>
        <w:tc>
          <w:tcPr>
            <w:tcW w:w="914" w:type="pct"/>
            <w:vAlign w:val="center"/>
          </w:tcPr>
          <w:p w14:paraId="303DF8F3">
            <w:pPr>
              <w:spacing w:line="240" w:lineRule="auto"/>
              <w:ind w:firstLine="0" w:firstLineChars="0"/>
              <w:jc w:val="center"/>
              <w:rPr>
                <w:color w:val="auto"/>
                <w:sz w:val="21"/>
                <w:szCs w:val="21"/>
              </w:rPr>
            </w:pPr>
            <w:r>
              <w:rPr>
                <w:rFonts w:hint="eastAsia"/>
                <w:color w:val="auto"/>
                <w:sz w:val="21"/>
                <w:szCs w:val="21"/>
              </w:rPr>
              <w:t>臭气浓度</w:t>
            </w:r>
          </w:p>
        </w:tc>
        <w:tc>
          <w:tcPr>
            <w:tcW w:w="1330" w:type="pct"/>
            <w:vAlign w:val="center"/>
          </w:tcPr>
          <w:p w14:paraId="54844C15">
            <w:pPr>
              <w:spacing w:line="240" w:lineRule="auto"/>
              <w:ind w:firstLine="0" w:firstLineChars="0"/>
              <w:jc w:val="center"/>
              <w:rPr>
                <w:color w:val="auto"/>
                <w:sz w:val="21"/>
                <w:szCs w:val="21"/>
              </w:rPr>
            </w:pPr>
            <w:r>
              <w:rPr>
                <w:rFonts w:hint="eastAsia"/>
                <w:color w:val="auto"/>
                <w:sz w:val="21"/>
                <w:szCs w:val="21"/>
              </w:rPr>
              <w:t>15000（无量纲）</w:t>
            </w:r>
          </w:p>
        </w:tc>
        <w:tc>
          <w:tcPr>
            <w:tcW w:w="1943" w:type="pct"/>
            <w:vAlign w:val="center"/>
          </w:tcPr>
          <w:p w14:paraId="7267983E">
            <w:pPr>
              <w:spacing w:line="240" w:lineRule="auto"/>
              <w:ind w:firstLine="0" w:firstLineChars="0"/>
              <w:jc w:val="center"/>
              <w:rPr>
                <w:color w:val="auto"/>
                <w:sz w:val="21"/>
                <w:szCs w:val="21"/>
              </w:rPr>
            </w:pPr>
            <w:r>
              <w:rPr>
                <w:rFonts w:hint="eastAsia"/>
                <w:color w:val="auto"/>
                <w:sz w:val="21"/>
                <w:szCs w:val="21"/>
              </w:rPr>
              <w:t>《恶臭污染物排放标准》（GB14554-93）表2</w:t>
            </w:r>
            <w:r>
              <w:rPr>
                <w:color w:val="auto"/>
                <w:sz w:val="21"/>
                <w:szCs w:val="21"/>
              </w:rPr>
              <w:t>标准</w:t>
            </w:r>
          </w:p>
        </w:tc>
      </w:tr>
    </w:tbl>
    <w:p w14:paraId="77A96CDE">
      <w:pPr>
        <w:ind w:firstLine="480"/>
        <w:rPr>
          <w:color w:val="auto"/>
        </w:rPr>
      </w:pPr>
      <w:r>
        <w:rPr>
          <w:rFonts w:hint="eastAsia"/>
          <w:color w:val="auto"/>
        </w:rPr>
        <w:t>（2）无组织排放</w:t>
      </w:r>
    </w:p>
    <w:p w14:paraId="39C26C19">
      <w:pPr>
        <w:ind w:firstLine="480"/>
        <w:rPr>
          <w:color w:val="auto"/>
        </w:rPr>
      </w:pPr>
      <w:r>
        <w:rPr>
          <w:rFonts w:hint="eastAsia"/>
          <w:color w:val="auto"/>
        </w:rPr>
        <w:t>本项目排放的无组织氨执行《无机化学工业污染物排放标准》（GB31573-2015）表5</w:t>
      </w:r>
      <w:r>
        <w:rPr>
          <w:color w:val="auto"/>
        </w:rPr>
        <w:t>标准</w:t>
      </w:r>
      <w:r>
        <w:rPr>
          <w:rFonts w:hint="eastAsia"/>
          <w:color w:val="auto"/>
        </w:rPr>
        <w:t>；无组织排放的臭气浓度执行《恶臭污染物排放标准》（GB14554-93）表1二级</w:t>
      </w:r>
      <w:r>
        <w:rPr>
          <w:color w:val="auto"/>
        </w:rPr>
        <w:t>标准</w:t>
      </w:r>
      <w:r>
        <w:rPr>
          <w:rFonts w:hint="eastAsia"/>
          <w:color w:val="auto"/>
        </w:rPr>
        <w:t>。</w:t>
      </w:r>
    </w:p>
    <w:p w14:paraId="72B9C0D6">
      <w:pPr>
        <w:pStyle w:val="49"/>
        <w:rPr>
          <w:color w:val="auto"/>
        </w:rPr>
      </w:pPr>
      <w:r>
        <w:rPr>
          <w:rFonts w:hint="eastAsia"/>
          <w:color w:val="auto"/>
        </w:rPr>
        <w:t>表2.4-8  废气无组织排放标准</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3442"/>
        <w:gridCol w:w="4811"/>
      </w:tblGrid>
      <w:tr w14:paraId="2E617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1" w:type="dxa"/>
            <w:vAlign w:val="center"/>
          </w:tcPr>
          <w:p w14:paraId="5B27D610">
            <w:pPr>
              <w:widowControl/>
              <w:overflowPunct w:val="0"/>
              <w:spacing w:line="240" w:lineRule="auto"/>
              <w:ind w:firstLine="0" w:firstLineChars="0"/>
              <w:jc w:val="center"/>
              <w:rPr>
                <w:b/>
                <w:bCs/>
                <w:color w:val="auto"/>
                <w:kern w:val="0"/>
                <w:sz w:val="21"/>
                <w:szCs w:val="21"/>
              </w:rPr>
            </w:pPr>
            <w:r>
              <w:rPr>
                <w:rFonts w:hint="eastAsia" w:cs="宋体"/>
                <w:b/>
                <w:bCs/>
                <w:color w:val="auto"/>
                <w:kern w:val="0"/>
                <w:sz w:val="21"/>
                <w:szCs w:val="21"/>
              </w:rPr>
              <w:t>污染物名称</w:t>
            </w:r>
          </w:p>
        </w:tc>
        <w:tc>
          <w:tcPr>
            <w:tcW w:w="3442" w:type="dxa"/>
            <w:vAlign w:val="center"/>
          </w:tcPr>
          <w:p w14:paraId="224C1BA0">
            <w:pPr>
              <w:widowControl/>
              <w:overflowPunct w:val="0"/>
              <w:spacing w:line="240" w:lineRule="auto"/>
              <w:ind w:firstLine="0" w:firstLineChars="0"/>
              <w:jc w:val="center"/>
              <w:rPr>
                <w:b/>
                <w:bCs/>
                <w:color w:val="auto"/>
                <w:kern w:val="0"/>
                <w:sz w:val="21"/>
                <w:szCs w:val="21"/>
              </w:rPr>
            </w:pPr>
            <w:r>
              <w:rPr>
                <w:rFonts w:hint="eastAsia" w:cs="宋体"/>
                <w:b/>
                <w:bCs/>
                <w:color w:val="auto"/>
                <w:kern w:val="0"/>
                <w:sz w:val="21"/>
                <w:szCs w:val="21"/>
              </w:rPr>
              <w:t>边界大气污染物浓度限值（</w:t>
            </w:r>
            <w:r>
              <w:rPr>
                <w:b/>
                <w:bCs/>
                <w:color w:val="auto"/>
                <w:kern w:val="0"/>
                <w:sz w:val="21"/>
                <w:szCs w:val="21"/>
              </w:rPr>
              <w:t>mg/m</w:t>
            </w:r>
            <w:r>
              <w:rPr>
                <w:b/>
                <w:bCs/>
                <w:color w:val="auto"/>
                <w:kern w:val="0"/>
                <w:sz w:val="21"/>
                <w:szCs w:val="21"/>
                <w:vertAlign w:val="superscript"/>
              </w:rPr>
              <w:t>3</w:t>
            </w:r>
            <w:r>
              <w:rPr>
                <w:rFonts w:hint="eastAsia" w:cs="宋体"/>
                <w:b/>
                <w:bCs/>
                <w:color w:val="auto"/>
                <w:kern w:val="0"/>
                <w:sz w:val="21"/>
                <w:szCs w:val="21"/>
              </w:rPr>
              <w:t>）</w:t>
            </w:r>
          </w:p>
        </w:tc>
        <w:tc>
          <w:tcPr>
            <w:tcW w:w="4811" w:type="dxa"/>
            <w:vAlign w:val="center"/>
          </w:tcPr>
          <w:p w14:paraId="5CCC8D9C">
            <w:pPr>
              <w:widowControl/>
              <w:overflowPunct w:val="0"/>
              <w:spacing w:line="240" w:lineRule="auto"/>
              <w:ind w:firstLine="0" w:firstLineChars="0"/>
              <w:jc w:val="center"/>
              <w:rPr>
                <w:b/>
                <w:bCs/>
                <w:color w:val="auto"/>
                <w:kern w:val="0"/>
                <w:sz w:val="21"/>
                <w:szCs w:val="21"/>
              </w:rPr>
            </w:pPr>
            <w:r>
              <w:rPr>
                <w:rFonts w:hint="eastAsia" w:cs="宋体"/>
                <w:b/>
                <w:bCs/>
                <w:color w:val="auto"/>
                <w:kern w:val="0"/>
                <w:sz w:val="21"/>
                <w:szCs w:val="21"/>
              </w:rPr>
              <w:t>标准来源</w:t>
            </w:r>
          </w:p>
        </w:tc>
      </w:tr>
      <w:tr w14:paraId="6F889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1" w:type="dxa"/>
            <w:vAlign w:val="center"/>
          </w:tcPr>
          <w:p w14:paraId="6BB5F8F7">
            <w:pPr>
              <w:spacing w:line="240" w:lineRule="auto"/>
              <w:ind w:firstLine="0" w:firstLineChars="0"/>
              <w:jc w:val="center"/>
              <w:rPr>
                <w:rFonts w:cs="宋体"/>
                <w:color w:val="auto"/>
                <w:sz w:val="21"/>
                <w:szCs w:val="21"/>
              </w:rPr>
            </w:pPr>
            <w:r>
              <w:rPr>
                <w:rFonts w:hint="eastAsia" w:cs="宋体"/>
                <w:color w:val="auto"/>
                <w:sz w:val="21"/>
                <w:szCs w:val="21"/>
              </w:rPr>
              <w:t>氨</w:t>
            </w:r>
          </w:p>
        </w:tc>
        <w:tc>
          <w:tcPr>
            <w:tcW w:w="3442" w:type="dxa"/>
            <w:vAlign w:val="center"/>
          </w:tcPr>
          <w:p w14:paraId="3F1D18A3">
            <w:pPr>
              <w:spacing w:line="240" w:lineRule="auto"/>
              <w:ind w:firstLine="0" w:firstLineChars="0"/>
              <w:jc w:val="center"/>
              <w:rPr>
                <w:color w:val="auto"/>
                <w:sz w:val="21"/>
                <w:szCs w:val="21"/>
              </w:rPr>
            </w:pPr>
            <w:r>
              <w:rPr>
                <w:rFonts w:hint="eastAsia"/>
                <w:color w:val="auto"/>
                <w:sz w:val="21"/>
                <w:szCs w:val="21"/>
              </w:rPr>
              <w:t>0.3</w:t>
            </w:r>
          </w:p>
        </w:tc>
        <w:tc>
          <w:tcPr>
            <w:tcW w:w="4811" w:type="dxa"/>
            <w:vAlign w:val="center"/>
          </w:tcPr>
          <w:p w14:paraId="5A46F743">
            <w:pPr>
              <w:overflowPunct w:val="0"/>
              <w:spacing w:line="240" w:lineRule="auto"/>
              <w:ind w:firstLine="0" w:firstLineChars="0"/>
              <w:jc w:val="center"/>
              <w:rPr>
                <w:rFonts w:cs="宋体"/>
                <w:color w:val="auto"/>
                <w:sz w:val="21"/>
                <w:szCs w:val="21"/>
              </w:rPr>
            </w:pPr>
            <w:r>
              <w:rPr>
                <w:rFonts w:hint="eastAsia" w:cs="宋体"/>
                <w:color w:val="auto"/>
                <w:sz w:val="21"/>
                <w:szCs w:val="21"/>
              </w:rPr>
              <w:t>《无机化学工业污染物排放标准》（GB31573-2015）表5</w:t>
            </w:r>
            <w:r>
              <w:rPr>
                <w:rFonts w:cs="宋体"/>
                <w:color w:val="auto"/>
                <w:sz w:val="21"/>
                <w:szCs w:val="21"/>
              </w:rPr>
              <w:t>标准</w:t>
            </w:r>
          </w:p>
        </w:tc>
      </w:tr>
      <w:tr w14:paraId="02A39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1" w:type="dxa"/>
            <w:vAlign w:val="center"/>
          </w:tcPr>
          <w:p w14:paraId="66B7203C">
            <w:pPr>
              <w:widowControl/>
              <w:overflowPunct w:val="0"/>
              <w:spacing w:line="240" w:lineRule="auto"/>
              <w:ind w:firstLine="0" w:firstLineChars="0"/>
              <w:jc w:val="center"/>
              <w:rPr>
                <w:rFonts w:cs="宋体"/>
                <w:color w:val="auto"/>
                <w:sz w:val="21"/>
                <w:szCs w:val="21"/>
              </w:rPr>
            </w:pPr>
            <w:r>
              <w:rPr>
                <w:rFonts w:hint="eastAsia" w:cs="宋体"/>
                <w:color w:val="auto"/>
                <w:sz w:val="21"/>
                <w:szCs w:val="21"/>
              </w:rPr>
              <w:t>臭气浓度</w:t>
            </w:r>
          </w:p>
        </w:tc>
        <w:tc>
          <w:tcPr>
            <w:tcW w:w="3442" w:type="dxa"/>
            <w:vAlign w:val="center"/>
          </w:tcPr>
          <w:p w14:paraId="1A5C91DD">
            <w:pPr>
              <w:widowControl/>
              <w:overflowPunct w:val="0"/>
              <w:spacing w:line="240" w:lineRule="auto"/>
              <w:ind w:firstLine="0" w:firstLineChars="0"/>
              <w:jc w:val="center"/>
              <w:rPr>
                <w:color w:val="auto"/>
                <w:sz w:val="21"/>
                <w:szCs w:val="21"/>
              </w:rPr>
            </w:pPr>
            <w:r>
              <w:rPr>
                <w:rFonts w:hint="eastAsia"/>
                <w:color w:val="auto"/>
                <w:sz w:val="21"/>
                <w:szCs w:val="21"/>
              </w:rPr>
              <w:t>20（无量纲）</w:t>
            </w:r>
          </w:p>
        </w:tc>
        <w:tc>
          <w:tcPr>
            <w:tcW w:w="4811" w:type="dxa"/>
            <w:vAlign w:val="center"/>
          </w:tcPr>
          <w:p w14:paraId="6C548C9F">
            <w:pPr>
              <w:widowControl/>
              <w:overflowPunct w:val="0"/>
              <w:spacing w:line="240" w:lineRule="auto"/>
              <w:ind w:firstLine="0" w:firstLineChars="0"/>
              <w:jc w:val="center"/>
              <w:rPr>
                <w:rFonts w:cs="宋体"/>
                <w:color w:val="auto"/>
                <w:kern w:val="0"/>
                <w:sz w:val="21"/>
                <w:szCs w:val="21"/>
              </w:rPr>
            </w:pPr>
            <w:r>
              <w:rPr>
                <w:rFonts w:hint="eastAsia" w:cs="宋体"/>
                <w:color w:val="auto"/>
                <w:kern w:val="0"/>
                <w:sz w:val="21"/>
                <w:szCs w:val="21"/>
              </w:rPr>
              <w:t>《恶臭污染物排放标准》（GB14554-93）</w:t>
            </w:r>
          </w:p>
        </w:tc>
      </w:tr>
    </w:tbl>
    <w:p w14:paraId="592190D3">
      <w:pPr>
        <w:ind w:firstLine="480"/>
        <w:rPr>
          <w:color w:val="auto"/>
        </w:rPr>
      </w:pPr>
    </w:p>
    <w:p w14:paraId="77BDE2CA">
      <w:pPr>
        <w:keepNext/>
        <w:keepLines/>
        <w:ind w:firstLine="0" w:firstLineChars="0"/>
        <w:outlineLvl w:val="3"/>
        <w:rPr>
          <w:b/>
          <w:color w:val="auto"/>
        </w:rPr>
      </w:pPr>
      <w:r>
        <w:rPr>
          <w:rFonts w:hint="eastAsia"/>
          <w:b/>
          <w:color w:val="auto"/>
        </w:rPr>
        <w:t>2.4.2.2水污染物排放标准</w:t>
      </w:r>
    </w:p>
    <w:p w14:paraId="4AB2650E">
      <w:pPr>
        <w:ind w:firstLine="480"/>
        <w:rPr>
          <w:color w:val="auto"/>
        </w:rPr>
      </w:pPr>
      <w:r>
        <w:rPr>
          <w:color w:val="auto"/>
        </w:rPr>
        <w:t>本项目新增废水经新建</w:t>
      </w:r>
      <w:r>
        <w:rPr>
          <w:rFonts w:hint="eastAsia"/>
          <w:color w:val="auto"/>
          <w:lang w:val="en-US" w:eastAsia="zh-CN"/>
        </w:rPr>
        <w:t>1</w:t>
      </w:r>
      <w:r>
        <w:rPr>
          <w:color w:val="auto"/>
        </w:rPr>
        <w:t>#污水处理站处理达接管标准后接管至园区污水处理厂联合环境水务(启东)有限公司，尾水排入长江。本项目生产过程无工艺废水产生，</w:t>
      </w:r>
      <w:r>
        <w:rPr>
          <w:rFonts w:hint="eastAsia"/>
          <w:color w:val="auto"/>
        </w:rPr>
        <w:t>仅产生</w:t>
      </w:r>
      <w:r>
        <w:rPr>
          <w:color w:val="auto"/>
        </w:rPr>
        <w:t>循环冷却系统排水</w:t>
      </w:r>
      <w:r>
        <w:rPr>
          <w:rFonts w:hint="eastAsia"/>
          <w:color w:val="auto"/>
        </w:rPr>
        <w:t>、纯水制备浓水等。</w:t>
      </w:r>
      <w:r>
        <w:rPr>
          <w:color w:val="auto"/>
        </w:rPr>
        <w:t>依据现有项目环评批复亚太药业废水排放不执行《无机化学工业污染物排放标准》(GB31573-2015)。</w:t>
      </w:r>
      <w:r>
        <w:rPr>
          <w:rFonts w:hint="eastAsia"/>
          <w:color w:val="auto"/>
        </w:rPr>
        <w:t>本项目废水接管标准按照与污水处理厂协议标准执行，石油类执行《污水综合排放标准》（GB8978-1996）表4中三级标准。接管标准如下。</w:t>
      </w:r>
    </w:p>
    <w:p w14:paraId="38DBA5B9">
      <w:pPr>
        <w:pStyle w:val="49"/>
        <w:rPr>
          <w:color w:val="auto"/>
        </w:rPr>
      </w:pPr>
      <w:r>
        <w:rPr>
          <w:rFonts w:hint="eastAsia"/>
          <w:color w:val="auto"/>
        </w:rPr>
        <w:t>表2.4-9  废水接管标准</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3311"/>
        <w:gridCol w:w="4050"/>
      </w:tblGrid>
      <w:tr w14:paraId="35CDA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vAlign w:val="center"/>
          </w:tcPr>
          <w:p w14:paraId="5D7189AA">
            <w:pPr>
              <w:spacing w:line="240" w:lineRule="auto"/>
              <w:ind w:firstLine="0" w:firstLineChars="0"/>
              <w:jc w:val="center"/>
              <w:rPr>
                <w:b/>
                <w:bCs/>
                <w:color w:val="auto"/>
                <w:sz w:val="21"/>
                <w:szCs w:val="21"/>
              </w:rPr>
            </w:pPr>
            <w:r>
              <w:rPr>
                <w:b/>
                <w:bCs/>
                <w:color w:val="auto"/>
                <w:sz w:val="21"/>
                <w:szCs w:val="21"/>
              </w:rPr>
              <w:t>序号</w:t>
            </w:r>
          </w:p>
        </w:tc>
        <w:tc>
          <w:tcPr>
            <w:tcW w:w="1680" w:type="pct"/>
            <w:vAlign w:val="center"/>
          </w:tcPr>
          <w:p w14:paraId="67BB2854">
            <w:pPr>
              <w:spacing w:line="240" w:lineRule="auto"/>
              <w:ind w:firstLine="0" w:firstLineChars="0"/>
              <w:jc w:val="center"/>
              <w:rPr>
                <w:b/>
                <w:bCs/>
                <w:color w:val="auto"/>
                <w:sz w:val="21"/>
                <w:szCs w:val="21"/>
              </w:rPr>
            </w:pPr>
            <w:r>
              <w:rPr>
                <w:b/>
                <w:bCs/>
                <w:color w:val="auto"/>
                <w:sz w:val="21"/>
                <w:szCs w:val="21"/>
              </w:rPr>
              <w:t>污染物</w:t>
            </w:r>
          </w:p>
        </w:tc>
        <w:tc>
          <w:tcPr>
            <w:tcW w:w="2055" w:type="pct"/>
            <w:vAlign w:val="center"/>
          </w:tcPr>
          <w:p w14:paraId="12071C19">
            <w:pPr>
              <w:spacing w:line="240" w:lineRule="auto"/>
              <w:ind w:firstLine="0" w:firstLineChars="0"/>
              <w:jc w:val="center"/>
              <w:rPr>
                <w:b/>
                <w:bCs/>
                <w:color w:val="auto"/>
                <w:sz w:val="21"/>
                <w:szCs w:val="21"/>
              </w:rPr>
            </w:pPr>
            <w:r>
              <w:rPr>
                <w:b/>
                <w:bCs/>
                <w:color w:val="auto"/>
                <w:sz w:val="21"/>
                <w:szCs w:val="21"/>
              </w:rPr>
              <w:t>协议接管标准</w:t>
            </w:r>
          </w:p>
        </w:tc>
      </w:tr>
      <w:tr w14:paraId="7B975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vAlign w:val="center"/>
          </w:tcPr>
          <w:p w14:paraId="2EC1092C">
            <w:pPr>
              <w:spacing w:line="240" w:lineRule="auto"/>
              <w:ind w:firstLine="0" w:firstLineChars="0"/>
              <w:jc w:val="center"/>
              <w:rPr>
                <w:color w:val="auto"/>
                <w:sz w:val="21"/>
                <w:szCs w:val="21"/>
              </w:rPr>
            </w:pPr>
            <w:r>
              <w:rPr>
                <w:rFonts w:hint="eastAsia"/>
                <w:color w:val="auto"/>
                <w:sz w:val="21"/>
                <w:szCs w:val="21"/>
              </w:rPr>
              <w:t>1</w:t>
            </w:r>
          </w:p>
        </w:tc>
        <w:tc>
          <w:tcPr>
            <w:tcW w:w="1680" w:type="pct"/>
            <w:vAlign w:val="center"/>
          </w:tcPr>
          <w:p w14:paraId="3E899E19">
            <w:pPr>
              <w:spacing w:line="240" w:lineRule="auto"/>
              <w:ind w:firstLine="0" w:firstLineChars="0"/>
              <w:jc w:val="center"/>
              <w:rPr>
                <w:color w:val="auto"/>
                <w:sz w:val="21"/>
                <w:szCs w:val="21"/>
              </w:rPr>
            </w:pPr>
            <w:r>
              <w:rPr>
                <w:rFonts w:hint="eastAsia"/>
                <w:color w:val="auto"/>
                <w:sz w:val="21"/>
                <w:szCs w:val="21"/>
              </w:rPr>
              <w:t>pH</w:t>
            </w:r>
          </w:p>
        </w:tc>
        <w:tc>
          <w:tcPr>
            <w:tcW w:w="2055" w:type="pct"/>
            <w:vAlign w:val="center"/>
          </w:tcPr>
          <w:p w14:paraId="4082F901">
            <w:pPr>
              <w:spacing w:line="240" w:lineRule="auto"/>
              <w:ind w:firstLine="0" w:firstLineChars="0"/>
              <w:jc w:val="center"/>
              <w:rPr>
                <w:color w:val="auto"/>
                <w:sz w:val="21"/>
                <w:szCs w:val="21"/>
              </w:rPr>
            </w:pPr>
            <w:r>
              <w:rPr>
                <w:rFonts w:hint="eastAsia"/>
                <w:color w:val="auto"/>
                <w:sz w:val="21"/>
                <w:szCs w:val="21"/>
              </w:rPr>
              <w:t>6-9</w:t>
            </w:r>
          </w:p>
        </w:tc>
      </w:tr>
      <w:tr w14:paraId="7F405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265" w:type="pct"/>
            <w:vAlign w:val="center"/>
          </w:tcPr>
          <w:p w14:paraId="793C42CE">
            <w:pPr>
              <w:spacing w:line="240" w:lineRule="auto"/>
              <w:ind w:firstLine="0" w:firstLineChars="0"/>
              <w:jc w:val="center"/>
              <w:rPr>
                <w:color w:val="auto"/>
                <w:sz w:val="21"/>
                <w:szCs w:val="21"/>
              </w:rPr>
            </w:pPr>
            <w:r>
              <w:rPr>
                <w:rFonts w:hint="eastAsia"/>
                <w:color w:val="auto"/>
                <w:sz w:val="21"/>
                <w:szCs w:val="21"/>
              </w:rPr>
              <w:t>2</w:t>
            </w:r>
          </w:p>
        </w:tc>
        <w:tc>
          <w:tcPr>
            <w:tcW w:w="1680" w:type="pct"/>
            <w:vAlign w:val="center"/>
          </w:tcPr>
          <w:p w14:paraId="17DBD658">
            <w:pPr>
              <w:spacing w:line="240" w:lineRule="auto"/>
              <w:ind w:firstLine="0" w:firstLineChars="0"/>
              <w:jc w:val="center"/>
              <w:rPr>
                <w:color w:val="auto"/>
                <w:sz w:val="21"/>
                <w:szCs w:val="21"/>
              </w:rPr>
            </w:pPr>
            <w:r>
              <w:rPr>
                <w:rFonts w:hint="eastAsia"/>
                <w:color w:val="auto"/>
                <w:sz w:val="21"/>
                <w:szCs w:val="21"/>
              </w:rPr>
              <w:t>COD</w:t>
            </w:r>
          </w:p>
        </w:tc>
        <w:tc>
          <w:tcPr>
            <w:tcW w:w="2055" w:type="pct"/>
            <w:vAlign w:val="center"/>
          </w:tcPr>
          <w:p w14:paraId="67BAAB09">
            <w:pPr>
              <w:spacing w:line="240" w:lineRule="auto"/>
              <w:ind w:firstLine="0" w:firstLineChars="0"/>
              <w:jc w:val="center"/>
              <w:rPr>
                <w:color w:val="auto"/>
                <w:sz w:val="21"/>
                <w:szCs w:val="21"/>
              </w:rPr>
            </w:pPr>
            <w:r>
              <w:rPr>
                <w:rFonts w:hint="eastAsia"/>
                <w:color w:val="auto"/>
                <w:sz w:val="21"/>
                <w:szCs w:val="21"/>
              </w:rPr>
              <w:t>500</w:t>
            </w:r>
          </w:p>
        </w:tc>
      </w:tr>
      <w:tr w14:paraId="42970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vAlign w:val="center"/>
          </w:tcPr>
          <w:p w14:paraId="61D16B63">
            <w:pPr>
              <w:spacing w:line="240" w:lineRule="auto"/>
              <w:ind w:firstLine="0" w:firstLineChars="0"/>
              <w:jc w:val="center"/>
              <w:rPr>
                <w:color w:val="auto"/>
                <w:sz w:val="21"/>
                <w:szCs w:val="21"/>
              </w:rPr>
            </w:pPr>
            <w:r>
              <w:rPr>
                <w:rFonts w:hint="eastAsia"/>
                <w:color w:val="auto"/>
                <w:sz w:val="21"/>
                <w:szCs w:val="21"/>
              </w:rPr>
              <w:t>3</w:t>
            </w:r>
          </w:p>
        </w:tc>
        <w:tc>
          <w:tcPr>
            <w:tcW w:w="1680" w:type="pct"/>
            <w:vAlign w:val="center"/>
          </w:tcPr>
          <w:p w14:paraId="3A118CDB">
            <w:pPr>
              <w:spacing w:line="240" w:lineRule="auto"/>
              <w:ind w:firstLine="0" w:firstLineChars="0"/>
              <w:jc w:val="center"/>
              <w:rPr>
                <w:color w:val="auto"/>
                <w:sz w:val="21"/>
                <w:szCs w:val="21"/>
              </w:rPr>
            </w:pPr>
            <w:r>
              <w:rPr>
                <w:rFonts w:hint="eastAsia"/>
                <w:color w:val="auto"/>
                <w:sz w:val="21"/>
                <w:szCs w:val="21"/>
              </w:rPr>
              <w:t>SS</w:t>
            </w:r>
          </w:p>
        </w:tc>
        <w:tc>
          <w:tcPr>
            <w:tcW w:w="2055" w:type="pct"/>
            <w:vAlign w:val="center"/>
          </w:tcPr>
          <w:p w14:paraId="4E5589DF">
            <w:pPr>
              <w:spacing w:line="240" w:lineRule="auto"/>
              <w:ind w:firstLine="0" w:firstLineChars="0"/>
              <w:jc w:val="center"/>
              <w:rPr>
                <w:color w:val="auto"/>
                <w:sz w:val="21"/>
                <w:szCs w:val="21"/>
              </w:rPr>
            </w:pPr>
            <w:r>
              <w:rPr>
                <w:rFonts w:hint="eastAsia"/>
                <w:color w:val="auto"/>
                <w:sz w:val="21"/>
                <w:szCs w:val="21"/>
              </w:rPr>
              <w:t>100</w:t>
            </w:r>
          </w:p>
        </w:tc>
      </w:tr>
      <w:tr w14:paraId="747BD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vAlign w:val="center"/>
          </w:tcPr>
          <w:p w14:paraId="361FD05A">
            <w:pPr>
              <w:spacing w:line="240" w:lineRule="auto"/>
              <w:ind w:firstLine="0" w:firstLineChars="0"/>
              <w:jc w:val="center"/>
              <w:rPr>
                <w:color w:val="auto"/>
                <w:sz w:val="21"/>
                <w:szCs w:val="21"/>
              </w:rPr>
            </w:pPr>
            <w:r>
              <w:rPr>
                <w:rFonts w:hint="eastAsia"/>
                <w:color w:val="auto"/>
                <w:sz w:val="21"/>
                <w:szCs w:val="21"/>
              </w:rPr>
              <w:t>4</w:t>
            </w:r>
          </w:p>
        </w:tc>
        <w:tc>
          <w:tcPr>
            <w:tcW w:w="1680" w:type="pct"/>
            <w:vAlign w:val="center"/>
          </w:tcPr>
          <w:p w14:paraId="7D88E748">
            <w:pPr>
              <w:spacing w:line="240" w:lineRule="auto"/>
              <w:ind w:firstLine="0" w:firstLineChars="0"/>
              <w:jc w:val="center"/>
              <w:rPr>
                <w:color w:val="auto"/>
                <w:sz w:val="21"/>
                <w:szCs w:val="21"/>
              </w:rPr>
            </w:pPr>
            <w:r>
              <w:rPr>
                <w:rFonts w:hint="eastAsia"/>
                <w:color w:val="auto"/>
                <w:sz w:val="21"/>
                <w:szCs w:val="21"/>
              </w:rPr>
              <w:t>氨氮</w:t>
            </w:r>
          </w:p>
        </w:tc>
        <w:tc>
          <w:tcPr>
            <w:tcW w:w="2055" w:type="pct"/>
            <w:vAlign w:val="center"/>
          </w:tcPr>
          <w:p w14:paraId="081DA627">
            <w:pPr>
              <w:spacing w:line="240" w:lineRule="auto"/>
              <w:ind w:firstLine="0" w:firstLineChars="0"/>
              <w:jc w:val="center"/>
              <w:rPr>
                <w:color w:val="auto"/>
                <w:sz w:val="21"/>
                <w:szCs w:val="21"/>
              </w:rPr>
            </w:pPr>
            <w:r>
              <w:rPr>
                <w:rFonts w:hint="eastAsia"/>
                <w:color w:val="auto"/>
                <w:sz w:val="21"/>
                <w:szCs w:val="21"/>
              </w:rPr>
              <w:t>40</w:t>
            </w:r>
          </w:p>
        </w:tc>
      </w:tr>
      <w:tr w14:paraId="460A3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vAlign w:val="center"/>
          </w:tcPr>
          <w:p w14:paraId="4DDAE64E">
            <w:pPr>
              <w:spacing w:line="240" w:lineRule="auto"/>
              <w:ind w:firstLine="0" w:firstLineChars="0"/>
              <w:jc w:val="center"/>
              <w:rPr>
                <w:color w:val="auto"/>
                <w:sz w:val="21"/>
                <w:szCs w:val="21"/>
              </w:rPr>
            </w:pPr>
            <w:r>
              <w:rPr>
                <w:rFonts w:hint="eastAsia"/>
                <w:color w:val="auto"/>
                <w:sz w:val="21"/>
                <w:szCs w:val="21"/>
              </w:rPr>
              <w:t>5</w:t>
            </w:r>
          </w:p>
        </w:tc>
        <w:tc>
          <w:tcPr>
            <w:tcW w:w="1680" w:type="pct"/>
            <w:vAlign w:val="center"/>
          </w:tcPr>
          <w:p w14:paraId="61C20D62">
            <w:pPr>
              <w:spacing w:line="240" w:lineRule="auto"/>
              <w:ind w:firstLine="0" w:firstLineChars="0"/>
              <w:jc w:val="center"/>
              <w:rPr>
                <w:color w:val="auto"/>
                <w:sz w:val="21"/>
                <w:szCs w:val="21"/>
              </w:rPr>
            </w:pPr>
            <w:r>
              <w:rPr>
                <w:rFonts w:hint="eastAsia"/>
                <w:color w:val="auto"/>
                <w:sz w:val="21"/>
                <w:szCs w:val="21"/>
              </w:rPr>
              <w:t>总氮</w:t>
            </w:r>
          </w:p>
        </w:tc>
        <w:tc>
          <w:tcPr>
            <w:tcW w:w="2055" w:type="pct"/>
            <w:vAlign w:val="center"/>
          </w:tcPr>
          <w:p w14:paraId="6C885AA4">
            <w:pPr>
              <w:spacing w:line="240" w:lineRule="auto"/>
              <w:ind w:firstLine="0" w:firstLineChars="0"/>
              <w:jc w:val="center"/>
              <w:rPr>
                <w:color w:val="auto"/>
                <w:sz w:val="21"/>
                <w:szCs w:val="21"/>
              </w:rPr>
            </w:pPr>
            <w:r>
              <w:rPr>
                <w:rFonts w:hint="eastAsia"/>
                <w:color w:val="auto"/>
                <w:sz w:val="21"/>
                <w:szCs w:val="21"/>
              </w:rPr>
              <w:t>45</w:t>
            </w:r>
          </w:p>
        </w:tc>
      </w:tr>
      <w:tr w14:paraId="1E6D2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vAlign w:val="center"/>
          </w:tcPr>
          <w:p w14:paraId="1004BF5C">
            <w:pPr>
              <w:spacing w:line="240" w:lineRule="auto"/>
              <w:ind w:firstLine="0" w:firstLineChars="0"/>
              <w:jc w:val="center"/>
              <w:rPr>
                <w:color w:val="auto"/>
                <w:sz w:val="21"/>
                <w:szCs w:val="21"/>
              </w:rPr>
            </w:pPr>
            <w:r>
              <w:rPr>
                <w:rFonts w:hint="eastAsia"/>
                <w:color w:val="auto"/>
                <w:sz w:val="21"/>
                <w:szCs w:val="21"/>
              </w:rPr>
              <w:t>6</w:t>
            </w:r>
          </w:p>
        </w:tc>
        <w:tc>
          <w:tcPr>
            <w:tcW w:w="1680" w:type="pct"/>
            <w:vAlign w:val="center"/>
          </w:tcPr>
          <w:p w14:paraId="212DE12C">
            <w:pPr>
              <w:spacing w:line="240" w:lineRule="auto"/>
              <w:ind w:firstLine="0" w:firstLineChars="0"/>
              <w:jc w:val="center"/>
              <w:rPr>
                <w:color w:val="auto"/>
                <w:sz w:val="21"/>
                <w:szCs w:val="21"/>
              </w:rPr>
            </w:pPr>
            <w:r>
              <w:rPr>
                <w:rFonts w:hint="eastAsia"/>
                <w:color w:val="auto"/>
                <w:sz w:val="21"/>
                <w:szCs w:val="21"/>
              </w:rPr>
              <w:t>总磷</w:t>
            </w:r>
          </w:p>
        </w:tc>
        <w:tc>
          <w:tcPr>
            <w:tcW w:w="2055" w:type="pct"/>
            <w:vAlign w:val="center"/>
          </w:tcPr>
          <w:p w14:paraId="78242A06">
            <w:pPr>
              <w:spacing w:line="240" w:lineRule="auto"/>
              <w:ind w:firstLine="0" w:firstLineChars="0"/>
              <w:jc w:val="center"/>
              <w:rPr>
                <w:color w:val="auto"/>
                <w:sz w:val="21"/>
                <w:szCs w:val="21"/>
              </w:rPr>
            </w:pPr>
            <w:r>
              <w:rPr>
                <w:rFonts w:hint="eastAsia"/>
                <w:color w:val="auto"/>
                <w:sz w:val="21"/>
                <w:szCs w:val="21"/>
              </w:rPr>
              <w:t>3</w:t>
            </w:r>
          </w:p>
        </w:tc>
      </w:tr>
      <w:tr w14:paraId="7CB02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vAlign w:val="center"/>
          </w:tcPr>
          <w:p w14:paraId="5DA19EB0">
            <w:pPr>
              <w:spacing w:line="240" w:lineRule="auto"/>
              <w:ind w:firstLine="0" w:firstLineChars="0"/>
              <w:jc w:val="center"/>
              <w:rPr>
                <w:color w:val="auto"/>
                <w:sz w:val="21"/>
                <w:szCs w:val="21"/>
              </w:rPr>
            </w:pPr>
            <w:r>
              <w:rPr>
                <w:rFonts w:hint="eastAsia"/>
                <w:color w:val="auto"/>
                <w:sz w:val="21"/>
                <w:szCs w:val="21"/>
              </w:rPr>
              <w:t>7</w:t>
            </w:r>
          </w:p>
        </w:tc>
        <w:tc>
          <w:tcPr>
            <w:tcW w:w="1680" w:type="pct"/>
            <w:vAlign w:val="center"/>
          </w:tcPr>
          <w:p w14:paraId="1C51B07D">
            <w:pPr>
              <w:spacing w:line="240" w:lineRule="auto"/>
              <w:ind w:firstLine="0" w:firstLineChars="0"/>
              <w:jc w:val="center"/>
              <w:rPr>
                <w:color w:val="auto"/>
                <w:sz w:val="21"/>
                <w:szCs w:val="21"/>
              </w:rPr>
            </w:pPr>
            <w:r>
              <w:rPr>
                <w:rFonts w:hint="eastAsia"/>
                <w:color w:val="auto"/>
                <w:sz w:val="21"/>
                <w:szCs w:val="21"/>
              </w:rPr>
              <w:t>石油类</w:t>
            </w:r>
          </w:p>
        </w:tc>
        <w:tc>
          <w:tcPr>
            <w:tcW w:w="2055" w:type="pct"/>
            <w:vAlign w:val="center"/>
          </w:tcPr>
          <w:p w14:paraId="04EC6A21">
            <w:pPr>
              <w:spacing w:line="240" w:lineRule="auto"/>
              <w:ind w:firstLine="0" w:firstLineChars="0"/>
              <w:jc w:val="center"/>
              <w:rPr>
                <w:color w:val="auto"/>
                <w:sz w:val="21"/>
                <w:szCs w:val="21"/>
              </w:rPr>
            </w:pPr>
            <w:r>
              <w:rPr>
                <w:rFonts w:hint="eastAsia"/>
                <w:color w:val="auto"/>
                <w:sz w:val="21"/>
                <w:szCs w:val="21"/>
              </w:rPr>
              <w:t>20</w:t>
            </w:r>
          </w:p>
        </w:tc>
      </w:tr>
    </w:tbl>
    <w:p w14:paraId="0D17AFB5">
      <w:pPr>
        <w:ind w:firstLine="480"/>
        <w:rPr>
          <w:color w:val="auto"/>
        </w:rPr>
      </w:pPr>
      <w:r>
        <w:rPr>
          <w:rFonts w:hint="eastAsia"/>
          <w:color w:val="auto"/>
        </w:rPr>
        <w:t>园区</w:t>
      </w:r>
      <w:r>
        <w:rPr>
          <w:color w:val="auto"/>
        </w:rPr>
        <w:t>污水处理厂尾水排放执行《化学工业水污染物排放标准》(DB32/939-2020)表2标准，未列入指标执行《城镇污水处理厂污染物排放标准》(GB18918-2002)表1中一级A标准，</w:t>
      </w:r>
      <w:r>
        <w:rPr>
          <w:rFonts w:hint="eastAsia"/>
          <w:color w:val="auto"/>
        </w:rPr>
        <w:t>详见下表</w:t>
      </w:r>
      <w:r>
        <w:rPr>
          <w:color w:val="auto"/>
        </w:rPr>
        <w:t>。</w:t>
      </w:r>
    </w:p>
    <w:p w14:paraId="60BC6C86">
      <w:pPr>
        <w:pStyle w:val="49"/>
        <w:rPr>
          <w:color w:val="auto"/>
        </w:rPr>
      </w:pPr>
      <w:r>
        <w:rPr>
          <w:rFonts w:hint="eastAsia"/>
          <w:color w:val="auto"/>
        </w:rPr>
        <w:t>表2.4-10 污水处理厂排放标准</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2858"/>
        <w:gridCol w:w="5838"/>
      </w:tblGrid>
      <w:tr w14:paraId="00EC2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88" w:type="pct"/>
            <w:vAlign w:val="center"/>
          </w:tcPr>
          <w:p w14:paraId="379C2C3E">
            <w:pPr>
              <w:widowControl/>
              <w:spacing w:line="240" w:lineRule="auto"/>
              <w:ind w:firstLine="0" w:firstLineChars="0"/>
              <w:jc w:val="center"/>
              <w:rPr>
                <w:b/>
                <w:bCs/>
                <w:color w:val="auto"/>
                <w:kern w:val="0"/>
                <w:sz w:val="21"/>
                <w:szCs w:val="21"/>
              </w:rPr>
            </w:pPr>
            <w:r>
              <w:rPr>
                <w:b/>
                <w:bCs/>
                <w:color w:val="auto"/>
                <w:kern w:val="0"/>
                <w:sz w:val="21"/>
                <w:szCs w:val="21"/>
              </w:rPr>
              <w:t>序号</w:t>
            </w:r>
          </w:p>
        </w:tc>
        <w:tc>
          <w:tcPr>
            <w:tcW w:w="1450" w:type="pct"/>
            <w:vAlign w:val="center"/>
          </w:tcPr>
          <w:p w14:paraId="7D5A1F03">
            <w:pPr>
              <w:widowControl/>
              <w:spacing w:line="240" w:lineRule="auto"/>
              <w:ind w:firstLine="0" w:firstLineChars="0"/>
              <w:jc w:val="center"/>
              <w:rPr>
                <w:b/>
                <w:bCs/>
                <w:color w:val="auto"/>
                <w:kern w:val="0"/>
                <w:sz w:val="21"/>
                <w:szCs w:val="21"/>
              </w:rPr>
            </w:pPr>
            <w:r>
              <w:rPr>
                <w:b/>
                <w:bCs/>
                <w:color w:val="auto"/>
                <w:kern w:val="0"/>
                <w:sz w:val="21"/>
                <w:szCs w:val="21"/>
              </w:rPr>
              <w:t>污染物名称</w:t>
            </w:r>
          </w:p>
        </w:tc>
        <w:tc>
          <w:tcPr>
            <w:tcW w:w="2962" w:type="pct"/>
            <w:vAlign w:val="center"/>
          </w:tcPr>
          <w:p w14:paraId="0564A3CA">
            <w:pPr>
              <w:widowControl/>
              <w:spacing w:line="240" w:lineRule="auto"/>
              <w:ind w:firstLine="0" w:firstLineChars="0"/>
              <w:jc w:val="center"/>
              <w:rPr>
                <w:b/>
                <w:bCs/>
                <w:color w:val="auto"/>
                <w:kern w:val="0"/>
                <w:sz w:val="21"/>
                <w:szCs w:val="21"/>
              </w:rPr>
            </w:pPr>
            <w:r>
              <w:rPr>
                <w:b/>
                <w:bCs/>
                <w:color w:val="auto"/>
                <w:kern w:val="0"/>
                <w:sz w:val="21"/>
                <w:szCs w:val="21"/>
              </w:rPr>
              <w:t>排放标准(mg/L)</w:t>
            </w:r>
          </w:p>
        </w:tc>
      </w:tr>
      <w:tr w14:paraId="6A84C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8" w:type="pct"/>
            <w:vAlign w:val="center"/>
          </w:tcPr>
          <w:p w14:paraId="7F81E1C3">
            <w:pPr>
              <w:widowControl/>
              <w:spacing w:line="240" w:lineRule="auto"/>
              <w:ind w:firstLine="0" w:firstLineChars="0"/>
              <w:jc w:val="center"/>
              <w:rPr>
                <w:color w:val="auto"/>
                <w:kern w:val="0"/>
                <w:sz w:val="21"/>
                <w:szCs w:val="21"/>
              </w:rPr>
            </w:pPr>
            <w:r>
              <w:rPr>
                <w:color w:val="auto"/>
                <w:kern w:val="0"/>
                <w:sz w:val="21"/>
                <w:szCs w:val="21"/>
              </w:rPr>
              <w:t>1</w:t>
            </w:r>
          </w:p>
        </w:tc>
        <w:tc>
          <w:tcPr>
            <w:tcW w:w="1450" w:type="pct"/>
            <w:vAlign w:val="center"/>
          </w:tcPr>
          <w:p w14:paraId="34BF00FC">
            <w:pPr>
              <w:widowControl/>
              <w:spacing w:line="240" w:lineRule="auto"/>
              <w:ind w:firstLine="0" w:firstLineChars="0"/>
              <w:jc w:val="center"/>
              <w:rPr>
                <w:color w:val="auto"/>
                <w:kern w:val="0"/>
                <w:sz w:val="21"/>
                <w:szCs w:val="21"/>
              </w:rPr>
            </w:pPr>
            <w:r>
              <w:rPr>
                <w:color w:val="auto"/>
                <w:kern w:val="0"/>
                <w:sz w:val="21"/>
                <w:szCs w:val="21"/>
              </w:rPr>
              <w:t>pH</w:t>
            </w:r>
          </w:p>
        </w:tc>
        <w:tc>
          <w:tcPr>
            <w:tcW w:w="2962" w:type="pct"/>
            <w:vAlign w:val="center"/>
          </w:tcPr>
          <w:p w14:paraId="1E958E67">
            <w:pPr>
              <w:widowControl/>
              <w:spacing w:line="240" w:lineRule="auto"/>
              <w:ind w:firstLine="0" w:firstLineChars="0"/>
              <w:jc w:val="center"/>
              <w:rPr>
                <w:color w:val="auto"/>
                <w:kern w:val="0"/>
                <w:sz w:val="21"/>
                <w:szCs w:val="21"/>
              </w:rPr>
            </w:pPr>
            <w:r>
              <w:rPr>
                <w:color w:val="auto"/>
                <w:kern w:val="0"/>
                <w:sz w:val="21"/>
                <w:szCs w:val="21"/>
              </w:rPr>
              <w:t>6~9</w:t>
            </w:r>
          </w:p>
        </w:tc>
      </w:tr>
      <w:tr w14:paraId="19D91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8" w:type="pct"/>
            <w:vAlign w:val="center"/>
          </w:tcPr>
          <w:p w14:paraId="03597C7A">
            <w:pPr>
              <w:widowControl/>
              <w:spacing w:line="240" w:lineRule="auto"/>
              <w:ind w:firstLine="0" w:firstLineChars="0"/>
              <w:jc w:val="center"/>
              <w:rPr>
                <w:color w:val="auto"/>
                <w:kern w:val="0"/>
                <w:sz w:val="21"/>
                <w:szCs w:val="21"/>
              </w:rPr>
            </w:pPr>
            <w:r>
              <w:rPr>
                <w:color w:val="auto"/>
                <w:kern w:val="0"/>
                <w:sz w:val="21"/>
                <w:szCs w:val="21"/>
              </w:rPr>
              <w:t>2</w:t>
            </w:r>
          </w:p>
        </w:tc>
        <w:tc>
          <w:tcPr>
            <w:tcW w:w="1450" w:type="pct"/>
            <w:vAlign w:val="center"/>
          </w:tcPr>
          <w:p w14:paraId="1B08FDFC">
            <w:pPr>
              <w:widowControl/>
              <w:spacing w:line="240" w:lineRule="auto"/>
              <w:ind w:firstLine="0" w:firstLineChars="0"/>
              <w:jc w:val="center"/>
              <w:rPr>
                <w:color w:val="auto"/>
                <w:kern w:val="0"/>
                <w:sz w:val="21"/>
                <w:szCs w:val="21"/>
              </w:rPr>
            </w:pPr>
            <w:r>
              <w:rPr>
                <w:color w:val="auto"/>
                <w:kern w:val="0"/>
                <w:sz w:val="21"/>
                <w:szCs w:val="21"/>
              </w:rPr>
              <w:t>COD</w:t>
            </w:r>
          </w:p>
        </w:tc>
        <w:tc>
          <w:tcPr>
            <w:tcW w:w="2962" w:type="pct"/>
            <w:vAlign w:val="center"/>
          </w:tcPr>
          <w:p w14:paraId="43045FB9">
            <w:pPr>
              <w:widowControl/>
              <w:spacing w:line="240" w:lineRule="auto"/>
              <w:ind w:firstLine="0" w:firstLineChars="0"/>
              <w:jc w:val="center"/>
              <w:rPr>
                <w:color w:val="auto"/>
                <w:kern w:val="0"/>
                <w:sz w:val="21"/>
                <w:szCs w:val="21"/>
              </w:rPr>
            </w:pPr>
            <w:r>
              <w:rPr>
                <w:color w:val="auto"/>
                <w:kern w:val="0"/>
                <w:sz w:val="21"/>
                <w:szCs w:val="21"/>
              </w:rPr>
              <w:t>50</w:t>
            </w:r>
          </w:p>
        </w:tc>
      </w:tr>
      <w:tr w14:paraId="47683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8" w:type="pct"/>
            <w:vAlign w:val="center"/>
          </w:tcPr>
          <w:p w14:paraId="3888B806">
            <w:pPr>
              <w:widowControl/>
              <w:spacing w:line="240" w:lineRule="auto"/>
              <w:ind w:firstLine="0" w:firstLineChars="0"/>
              <w:jc w:val="center"/>
              <w:rPr>
                <w:color w:val="auto"/>
                <w:kern w:val="0"/>
                <w:sz w:val="21"/>
                <w:szCs w:val="21"/>
              </w:rPr>
            </w:pPr>
            <w:r>
              <w:rPr>
                <w:color w:val="auto"/>
                <w:kern w:val="0"/>
                <w:sz w:val="21"/>
                <w:szCs w:val="21"/>
              </w:rPr>
              <w:t>3</w:t>
            </w:r>
          </w:p>
        </w:tc>
        <w:tc>
          <w:tcPr>
            <w:tcW w:w="1450" w:type="pct"/>
            <w:vAlign w:val="center"/>
          </w:tcPr>
          <w:p w14:paraId="70088AE7">
            <w:pPr>
              <w:widowControl/>
              <w:spacing w:line="240" w:lineRule="auto"/>
              <w:ind w:firstLine="0" w:firstLineChars="0"/>
              <w:jc w:val="center"/>
              <w:rPr>
                <w:color w:val="auto"/>
                <w:kern w:val="0"/>
                <w:sz w:val="21"/>
                <w:szCs w:val="21"/>
              </w:rPr>
            </w:pPr>
            <w:r>
              <w:rPr>
                <w:color w:val="auto"/>
                <w:kern w:val="0"/>
                <w:sz w:val="21"/>
                <w:szCs w:val="21"/>
              </w:rPr>
              <w:t>SS</w:t>
            </w:r>
          </w:p>
        </w:tc>
        <w:tc>
          <w:tcPr>
            <w:tcW w:w="2962" w:type="pct"/>
            <w:vAlign w:val="center"/>
          </w:tcPr>
          <w:p w14:paraId="12C5C020">
            <w:pPr>
              <w:widowControl/>
              <w:spacing w:line="240" w:lineRule="auto"/>
              <w:ind w:firstLine="0" w:firstLineChars="0"/>
              <w:jc w:val="center"/>
              <w:rPr>
                <w:color w:val="auto"/>
                <w:kern w:val="0"/>
                <w:sz w:val="21"/>
                <w:szCs w:val="21"/>
              </w:rPr>
            </w:pPr>
            <w:r>
              <w:rPr>
                <w:color w:val="auto"/>
                <w:kern w:val="0"/>
                <w:sz w:val="21"/>
                <w:szCs w:val="21"/>
              </w:rPr>
              <w:t>20</w:t>
            </w:r>
          </w:p>
        </w:tc>
      </w:tr>
      <w:tr w14:paraId="72386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8" w:type="pct"/>
            <w:vAlign w:val="center"/>
          </w:tcPr>
          <w:p w14:paraId="04132817">
            <w:pPr>
              <w:widowControl/>
              <w:spacing w:line="240" w:lineRule="auto"/>
              <w:ind w:firstLine="0" w:firstLineChars="0"/>
              <w:jc w:val="center"/>
              <w:rPr>
                <w:color w:val="auto"/>
                <w:kern w:val="0"/>
                <w:sz w:val="21"/>
                <w:szCs w:val="21"/>
              </w:rPr>
            </w:pPr>
            <w:r>
              <w:rPr>
                <w:color w:val="auto"/>
                <w:kern w:val="0"/>
                <w:sz w:val="21"/>
                <w:szCs w:val="21"/>
              </w:rPr>
              <w:t>4</w:t>
            </w:r>
          </w:p>
        </w:tc>
        <w:tc>
          <w:tcPr>
            <w:tcW w:w="1450" w:type="pct"/>
            <w:vAlign w:val="center"/>
          </w:tcPr>
          <w:p w14:paraId="6DF59E18">
            <w:pPr>
              <w:widowControl/>
              <w:spacing w:line="240" w:lineRule="auto"/>
              <w:ind w:firstLine="0" w:firstLineChars="0"/>
              <w:jc w:val="center"/>
              <w:rPr>
                <w:color w:val="auto"/>
                <w:kern w:val="0"/>
                <w:sz w:val="21"/>
                <w:szCs w:val="21"/>
              </w:rPr>
            </w:pPr>
            <w:r>
              <w:rPr>
                <w:color w:val="auto"/>
                <w:kern w:val="0"/>
                <w:sz w:val="21"/>
                <w:szCs w:val="21"/>
              </w:rPr>
              <w:t>氨氮</w:t>
            </w:r>
          </w:p>
        </w:tc>
        <w:tc>
          <w:tcPr>
            <w:tcW w:w="2962" w:type="pct"/>
            <w:vAlign w:val="center"/>
          </w:tcPr>
          <w:p w14:paraId="02BEF137">
            <w:pPr>
              <w:widowControl/>
              <w:spacing w:line="240" w:lineRule="auto"/>
              <w:ind w:firstLine="0" w:firstLineChars="0"/>
              <w:jc w:val="center"/>
              <w:rPr>
                <w:color w:val="auto"/>
                <w:kern w:val="0"/>
                <w:sz w:val="21"/>
                <w:szCs w:val="21"/>
              </w:rPr>
            </w:pPr>
            <w:r>
              <w:rPr>
                <w:color w:val="auto"/>
                <w:kern w:val="0"/>
                <w:sz w:val="21"/>
                <w:szCs w:val="21"/>
              </w:rPr>
              <w:t>5</w:t>
            </w:r>
          </w:p>
        </w:tc>
      </w:tr>
      <w:tr w14:paraId="476BB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Align w:val="center"/>
          </w:tcPr>
          <w:p w14:paraId="79BD3E2E">
            <w:pPr>
              <w:widowControl/>
              <w:spacing w:line="240" w:lineRule="auto"/>
              <w:ind w:firstLine="0" w:firstLineChars="0"/>
              <w:jc w:val="center"/>
              <w:rPr>
                <w:color w:val="auto"/>
                <w:kern w:val="0"/>
                <w:sz w:val="21"/>
                <w:szCs w:val="21"/>
              </w:rPr>
            </w:pPr>
            <w:r>
              <w:rPr>
                <w:color w:val="auto"/>
                <w:kern w:val="0"/>
                <w:sz w:val="21"/>
                <w:szCs w:val="21"/>
              </w:rPr>
              <w:t>5</w:t>
            </w:r>
          </w:p>
        </w:tc>
        <w:tc>
          <w:tcPr>
            <w:tcW w:w="1450" w:type="pct"/>
            <w:vAlign w:val="center"/>
          </w:tcPr>
          <w:p w14:paraId="6C07582E">
            <w:pPr>
              <w:widowControl/>
              <w:spacing w:line="240" w:lineRule="auto"/>
              <w:ind w:firstLine="0" w:firstLineChars="0"/>
              <w:jc w:val="center"/>
              <w:rPr>
                <w:color w:val="auto"/>
                <w:kern w:val="0"/>
                <w:sz w:val="21"/>
                <w:szCs w:val="21"/>
              </w:rPr>
            </w:pPr>
            <w:r>
              <w:rPr>
                <w:color w:val="auto"/>
                <w:kern w:val="0"/>
                <w:sz w:val="21"/>
                <w:szCs w:val="21"/>
              </w:rPr>
              <w:t>总氮</w:t>
            </w:r>
          </w:p>
        </w:tc>
        <w:tc>
          <w:tcPr>
            <w:tcW w:w="2962" w:type="pct"/>
            <w:vAlign w:val="center"/>
          </w:tcPr>
          <w:p w14:paraId="70CEC515">
            <w:pPr>
              <w:widowControl/>
              <w:spacing w:line="240" w:lineRule="auto"/>
              <w:ind w:firstLine="0" w:firstLineChars="0"/>
              <w:jc w:val="center"/>
              <w:rPr>
                <w:color w:val="auto"/>
                <w:kern w:val="0"/>
                <w:sz w:val="21"/>
                <w:szCs w:val="21"/>
              </w:rPr>
            </w:pPr>
            <w:r>
              <w:rPr>
                <w:color w:val="auto"/>
                <w:kern w:val="0"/>
                <w:sz w:val="21"/>
                <w:szCs w:val="21"/>
              </w:rPr>
              <w:t>15</w:t>
            </w:r>
          </w:p>
        </w:tc>
      </w:tr>
      <w:tr w14:paraId="630C5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8" w:type="pct"/>
            <w:vAlign w:val="center"/>
          </w:tcPr>
          <w:p w14:paraId="0A7A1952">
            <w:pPr>
              <w:widowControl/>
              <w:spacing w:line="240" w:lineRule="auto"/>
              <w:ind w:firstLine="0" w:firstLineChars="0"/>
              <w:jc w:val="center"/>
              <w:rPr>
                <w:color w:val="auto"/>
                <w:kern w:val="0"/>
                <w:sz w:val="21"/>
                <w:szCs w:val="21"/>
              </w:rPr>
            </w:pPr>
            <w:r>
              <w:rPr>
                <w:color w:val="auto"/>
                <w:kern w:val="0"/>
                <w:sz w:val="21"/>
                <w:szCs w:val="21"/>
              </w:rPr>
              <w:t>6</w:t>
            </w:r>
          </w:p>
        </w:tc>
        <w:tc>
          <w:tcPr>
            <w:tcW w:w="1450" w:type="pct"/>
            <w:vAlign w:val="center"/>
          </w:tcPr>
          <w:p w14:paraId="092A0575">
            <w:pPr>
              <w:widowControl/>
              <w:spacing w:line="240" w:lineRule="auto"/>
              <w:ind w:firstLine="0" w:firstLineChars="0"/>
              <w:jc w:val="center"/>
              <w:rPr>
                <w:color w:val="auto"/>
                <w:kern w:val="0"/>
                <w:sz w:val="21"/>
                <w:szCs w:val="21"/>
              </w:rPr>
            </w:pPr>
            <w:r>
              <w:rPr>
                <w:color w:val="auto"/>
                <w:kern w:val="0"/>
                <w:sz w:val="21"/>
                <w:szCs w:val="21"/>
              </w:rPr>
              <w:t>总磷</w:t>
            </w:r>
          </w:p>
        </w:tc>
        <w:tc>
          <w:tcPr>
            <w:tcW w:w="2962" w:type="pct"/>
            <w:vAlign w:val="center"/>
          </w:tcPr>
          <w:p w14:paraId="2C20027E">
            <w:pPr>
              <w:widowControl/>
              <w:spacing w:line="240" w:lineRule="auto"/>
              <w:ind w:firstLine="0" w:firstLineChars="0"/>
              <w:jc w:val="center"/>
              <w:rPr>
                <w:color w:val="auto"/>
                <w:kern w:val="0"/>
                <w:sz w:val="21"/>
                <w:szCs w:val="21"/>
              </w:rPr>
            </w:pPr>
            <w:r>
              <w:rPr>
                <w:color w:val="auto"/>
                <w:kern w:val="0"/>
                <w:sz w:val="21"/>
                <w:szCs w:val="21"/>
              </w:rPr>
              <w:t>0.5</w:t>
            </w:r>
          </w:p>
        </w:tc>
      </w:tr>
      <w:tr w14:paraId="363DB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8" w:type="pct"/>
            <w:vAlign w:val="center"/>
          </w:tcPr>
          <w:p w14:paraId="6C572441">
            <w:pPr>
              <w:widowControl/>
              <w:spacing w:line="240" w:lineRule="auto"/>
              <w:ind w:firstLine="0" w:firstLineChars="0"/>
              <w:jc w:val="center"/>
              <w:rPr>
                <w:color w:val="auto"/>
                <w:kern w:val="0"/>
                <w:sz w:val="21"/>
                <w:szCs w:val="21"/>
              </w:rPr>
            </w:pPr>
            <w:r>
              <w:rPr>
                <w:rFonts w:hint="eastAsia"/>
                <w:color w:val="auto"/>
                <w:kern w:val="0"/>
                <w:sz w:val="21"/>
                <w:szCs w:val="21"/>
              </w:rPr>
              <w:t>7</w:t>
            </w:r>
          </w:p>
        </w:tc>
        <w:tc>
          <w:tcPr>
            <w:tcW w:w="1450" w:type="pct"/>
            <w:vAlign w:val="center"/>
          </w:tcPr>
          <w:p w14:paraId="6616B81D">
            <w:pPr>
              <w:widowControl/>
              <w:spacing w:line="240" w:lineRule="auto"/>
              <w:ind w:firstLine="0" w:firstLineChars="0"/>
              <w:jc w:val="center"/>
              <w:rPr>
                <w:color w:val="auto"/>
                <w:kern w:val="0"/>
                <w:sz w:val="21"/>
                <w:szCs w:val="21"/>
              </w:rPr>
            </w:pPr>
            <w:r>
              <w:rPr>
                <w:rFonts w:hint="eastAsia"/>
                <w:color w:val="auto"/>
                <w:kern w:val="0"/>
                <w:sz w:val="21"/>
                <w:szCs w:val="21"/>
              </w:rPr>
              <w:t>石油类</w:t>
            </w:r>
          </w:p>
        </w:tc>
        <w:tc>
          <w:tcPr>
            <w:tcW w:w="2962" w:type="pct"/>
            <w:vAlign w:val="center"/>
          </w:tcPr>
          <w:p w14:paraId="10A21CF6">
            <w:pPr>
              <w:widowControl/>
              <w:spacing w:line="240" w:lineRule="auto"/>
              <w:ind w:firstLine="0" w:firstLineChars="0"/>
              <w:jc w:val="center"/>
              <w:rPr>
                <w:color w:val="auto"/>
                <w:kern w:val="0"/>
                <w:sz w:val="21"/>
                <w:szCs w:val="21"/>
              </w:rPr>
            </w:pPr>
            <w:r>
              <w:rPr>
                <w:rFonts w:hint="eastAsia"/>
                <w:color w:val="auto"/>
                <w:kern w:val="0"/>
                <w:sz w:val="21"/>
                <w:szCs w:val="21"/>
              </w:rPr>
              <w:t>3</w:t>
            </w:r>
          </w:p>
        </w:tc>
      </w:tr>
    </w:tbl>
    <w:p w14:paraId="788E2721">
      <w:pPr>
        <w:ind w:firstLine="480"/>
        <w:rPr>
          <w:color w:val="auto"/>
        </w:rPr>
      </w:pPr>
      <w:r>
        <w:rPr>
          <w:color w:val="auto"/>
        </w:rPr>
        <w:t>本项目雨水排入江风河，雨水排放</w:t>
      </w:r>
      <w:r>
        <w:rPr>
          <w:rFonts w:hint="eastAsia"/>
          <w:color w:val="auto"/>
        </w:rPr>
        <w:t>水质</w:t>
      </w:r>
      <w:r>
        <w:rPr>
          <w:color w:val="auto"/>
        </w:rPr>
        <w:t>指标</w:t>
      </w:r>
      <w:r>
        <w:rPr>
          <w:rFonts w:hint="eastAsia"/>
          <w:color w:val="auto"/>
        </w:rPr>
        <w:t>应满足《地表水环境质量标准》(GB3838-2002)中III类标准</w:t>
      </w:r>
      <w:r>
        <w:rPr>
          <w:color w:val="auto"/>
        </w:rPr>
        <w:t>。</w:t>
      </w:r>
    </w:p>
    <w:p w14:paraId="008021C4">
      <w:pPr>
        <w:keepNext/>
        <w:keepLines/>
        <w:ind w:firstLine="0" w:firstLineChars="0"/>
        <w:outlineLvl w:val="3"/>
        <w:rPr>
          <w:b/>
          <w:color w:val="auto"/>
        </w:rPr>
      </w:pPr>
      <w:r>
        <w:rPr>
          <w:rFonts w:hint="eastAsia"/>
          <w:b/>
          <w:color w:val="auto"/>
        </w:rPr>
        <w:t>2.4.2.3噪声排放标准</w:t>
      </w:r>
    </w:p>
    <w:p w14:paraId="4E9C0A95">
      <w:pPr>
        <w:ind w:firstLine="480"/>
        <w:rPr>
          <w:color w:val="auto"/>
        </w:rPr>
      </w:pPr>
      <w:r>
        <w:rPr>
          <w:rFonts w:hint="eastAsia"/>
          <w:color w:val="auto"/>
        </w:rPr>
        <w:t>本项目</w:t>
      </w:r>
      <w:r>
        <w:rPr>
          <w:color w:val="auto"/>
        </w:rPr>
        <w:t>营运期各厂界噪声排放执行《工业企业厂界环境噪声排放标准》(GB12348-2008)3类标准。具体标准见</w:t>
      </w:r>
      <w:r>
        <w:rPr>
          <w:rFonts w:hint="eastAsia"/>
          <w:color w:val="auto"/>
        </w:rPr>
        <w:t>下</w:t>
      </w:r>
      <w:r>
        <w:rPr>
          <w:color w:val="auto"/>
        </w:rPr>
        <w:t>表。</w:t>
      </w:r>
    </w:p>
    <w:p w14:paraId="534EE0AD">
      <w:pPr>
        <w:pStyle w:val="49"/>
        <w:rPr>
          <w:color w:val="auto"/>
        </w:rPr>
      </w:pPr>
      <w:r>
        <w:rPr>
          <w:color w:val="auto"/>
        </w:rPr>
        <w:t>表2.4</w:t>
      </w:r>
      <w:r>
        <w:rPr>
          <w:rFonts w:hint="eastAsia"/>
          <w:color w:val="auto"/>
        </w:rPr>
        <w:t>-11</w:t>
      </w:r>
      <w:r>
        <w:rPr>
          <w:color w:val="auto"/>
        </w:rPr>
        <w:t xml:space="preserve">  厂界噪声排放标准(单位：dB(A))</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08"/>
        <w:gridCol w:w="2651"/>
        <w:gridCol w:w="4395"/>
      </w:tblGrid>
      <w:tr w14:paraId="5A283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0" w:type="pct"/>
            <w:gridSpan w:val="2"/>
            <w:vAlign w:val="center"/>
          </w:tcPr>
          <w:p w14:paraId="140E3D65">
            <w:pPr>
              <w:spacing w:line="240" w:lineRule="auto"/>
              <w:ind w:firstLine="0" w:firstLineChars="0"/>
              <w:jc w:val="center"/>
              <w:rPr>
                <w:b/>
                <w:bCs/>
                <w:color w:val="auto"/>
                <w:sz w:val="21"/>
                <w:szCs w:val="21"/>
              </w:rPr>
            </w:pPr>
            <w:r>
              <w:rPr>
                <w:rFonts w:hint="eastAsia"/>
                <w:b/>
                <w:bCs/>
                <w:color w:val="auto"/>
                <w:sz w:val="21"/>
                <w:szCs w:val="21"/>
              </w:rPr>
              <w:t>标准限值</w:t>
            </w:r>
            <w:r>
              <w:rPr>
                <w:b/>
                <w:bCs/>
                <w:color w:val="auto"/>
                <w:sz w:val="21"/>
                <w:szCs w:val="21"/>
              </w:rPr>
              <w:t>dB</w:t>
            </w:r>
            <w:r>
              <w:rPr>
                <w:rFonts w:hint="eastAsia"/>
                <w:b/>
                <w:bCs/>
                <w:color w:val="auto"/>
                <w:sz w:val="21"/>
                <w:szCs w:val="21"/>
              </w:rPr>
              <w:t>（</w:t>
            </w:r>
            <w:r>
              <w:rPr>
                <w:b/>
                <w:bCs/>
                <w:color w:val="auto"/>
                <w:sz w:val="21"/>
                <w:szCs w:val="21"/>
              </w:rPr>
              <w:t>A</w:t>
            </w:r>
            <w:r>
              <w:rPr>
                <w:rFonts w:hint="eastAsia"/>
                <w:b/>
                <w:bCs/>
                <w:color w:val="auto"/>
                <w:sz w:val="21"/>
                <w:szCs w:val="21"/>
              </w:rPr>
              <w:t>）</w:t>
            </w:r>
          </w:p>
        </w:tc>
        <w:tc>
          <w:tcPr>
            <w:tcW w:w="2230" w:type="pct"/>
            <w:vMerge w:val="restart"/>
            <w:vAlign w:val="center"/>
          </w:tcPr>
          <w:p w14:paraId="0155F86E">
            <w:pPr>
              <w:spacing w:line="240" w:lineRule="auto"/>
              <w:ind w:firstLine="0" w:firstLineChars="0"/>
              <w:jc w:val="center"/>
              <w:rPr>
                <w:rFonts w:cs="宋体"/>
                <w:b/>
                <w:bCs/>
                <w:color w:val="auto"/>
                <w:sz w:val="21"/>
                <w:szCs w:val="21"/>
              </w:rPr>
            </w:pPr>
            <w:r>
              <w:rPr>
                <w:rFonts w:hint="eastAsia" w:cs="宋体"/>
                <w:b/>
                <w:bCs/>
                <w:color w:val="auto"/>
                <w:sz w:val="21"/>
                <w:szCs w:val="21"/>
              </w:rPr>
              <w:t>标准来源</w:t>
            </w:r>
          </w:p>
        </w:tc>
      </w:tr>
      <w:tr w14:paraId="0FB88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5" w:type="pct"/>
            <w:vAlign w:val="center"/>
          </w:tcPr>
          <w:p w14:paraId="53106A7A">
            <w:pPr>
              <w:spacing w:line="240" w:lineRule="auto"/>
              <w:ind w:firstLine="0" w:firstLineChars="0"/>
              <w:jc w:val="center"/>
              <w:rPr>
                <w:rFonts w:cs="宋体"/>
                <w:b/>
                <w:bCs/>
                <w:color w:val="auto"/>
                <w:sz w:val="21"/>
                <w:szCs w:val="21"/>
              </w:rPr>
            </w:pPr>
            <w:r>
              <w:rPr>
                <w:rFonts w:hint="eastAsia" w:cs="宋体"/>
                <w:b/>
                <w:bCs/>
                <w:color w:val="auto"/>
                <w:sz w:val="21"/>
                <w:szCs w:val="21"/>
              </w:rPr>
              <w:t>昼间</w:t>
            </w:r>
          </w:p>
        </w:tc>
        <w:tc>
          <w:tcPr>
            <w:tcW w:w="1345" w:type="pct"/>
            <w:vAlign w:val="center"/>
          </w:tcPr>
          <w:p w14:paraId="37D1A8A8">
            <w:pPr>
              <w:spacing w:line="240" w:lineRule="auto"/>
              <w:ind w:firstLine="0" w:firstLineChars="0"/>
              <w:jc w:val="center"/>
              <w:rPr>
                <w:rFonts w:cs="宋体"/>
                <w:b/>
                <w:bCs/>
                <w:color w:val="auto"/>
                <w:sz w:val="21"/>
                <w:szCs w:val="21"/>
              </w:rPr>
            </w:pPr>
            <w:r>
              <w:rPr>
                <w:rFonts w:hint="eastAsia" w:cs="宋体"/>
                <w:b/>
                <w:bCs/>
                <w:color w:val="auto"/>
                <w:sz w:val="21"/>
                <w:szCs w:val="21"/>
              </w:rPr>
              <w:t>夜间</w:t>
            </w:r>
          </w:p>
        </w:tc>
        <w:tc>
          <w:tcPr>
            <w:tcW w:w="2230" w:type="pct"/>
            <w:vMerge w:val="continue"/>
            <w:vAlign w:val="center"/>
          </w:tcPr>
          <w:p w14:paraId="014002D0">
            <w:pPr>
              <w:spacing w:line="240" w:lineRule="auto"/>
              <w:ind w:firstLine="0" w:firstLineChars="0"/>
              <w:jc w:val="center"/>
              <w:rPr>
                <w:rFonts w:cs="宋体"/>
                <w:b/>
                <w:bCs/>
                <w:color w:val="auto"/>
                <w:sz w:val="21"/>
                <w:szCs w:val="21"/>
              </w:rPr>
            </w:pPr>
          </w:p>
        </w:tc>
      </w:tr>
      <w:tr w14:paraId="620FE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5" w:type="pct"/>
            <w:vAlign w:val="center"/>
          </w:tcPr>
          <w:p w14:paraId="35334492">
            <w:pPr>
              <w:spacing w:line="240" w:lineRule="auto"/>
              <w:ind w:firstLine="0" w:firstLineChars="0"/>
              <w:jc w:val="center"/>
              <w:rPr>
                <w:color w:val="auto"/>
                <w:sz w:val="21"/>
                <w:szCs w:val="21"/>
              </w:rPr>
            </w:pPr>
            <w:r>
              <w:rPr>
                <w:rFonts w:hint="eastAsia"/>
                <w:color w:val="auto"/>
                <w:sz w:val="21"/>
                <w:szCs w:val="21"/>
              </w:rPr>
              <w:t>65</w:t>
            </w:r>
          </w:p>
        </w:tc>
        <w:tc>
          <w:tcPr>
            <w:tcW w:w="1345" w:type="pct"/>
            <w:vAlign w:val="center"/>
          </w:tcPr>
          <w:p w14:paraId="0ADA58D1">
            <w:pPr>
              <w:spacing w:line="240" w:lineRule="auto"/>
              <w:ind w:firstLine="0" w:firstLineChars="0"/>
              <w:jc w:val="center"/>
              <w:rPr>
                <w:color w:val="auto"/>
                <w:sz w:val="21"/>
                <w:szCs w:val="21"/>
              </w:rPr>
            </w:pPr>
            <w:r>
              <w:rPr>
                <w:color w:val="auto"/>
                <w:sz w:val="21"/>
                <w:szCs w:val="21"/>
              </w:rPr>
              <w:t>55</w:t>
            </w:r>
          </w:p>
        </w:tc>
        <w:tc>
          <w:tcPr>
            <w:tcW w:w="2230" w:type="pct"/>
            <w:vAlign w:val="center"/>
          </w:tcPr>
          <w:p w14:paraId="758DF57E">
            <w:pPr>
              <w:spacing w:line="240" w:lineRule="auto"/>
              <w:ind w:firstLine="0" w:firstLineChars="0"/>
              <w:jc w:val="center"/>
              <w:rPr>
                <w:color w:val="auto"/>
                <w:sz w:val="21"/>
                <w:szCs w:val="21"/>
              </w:rPr>
            </w:pPr>
            <w:r>
              <w:rPr>
                <w:rFonts w:hint="eastAsia"/>
                <w:color w:val="auto"/>
                <w:sz w:val="21"/>
                <w:szCs w:val="21"/>
              </w:rPr>
              <w:t>《工业企业厂界环境噪声排放标准（</w:t>
            </w:r>
            <w:r>
              <w:rPr>
                <w:color w:val="auto"/>
                <w:sz w:val="21"/>
                <w:szCs w:val="21"/>
              </w:rPr>
              <w:t>GB12348</w:t>
            </w:r>
            <w:r>
              <w:rPr>
                <w:rFonts w:hint="eastAsia"/>
                <w:color w:val="auto"/>
                <w:sz w:val="21"/>
                <w:szCs w:val="21"/>
              </w:rPr>
              <w:t>－</w:t>
            </w:r>
            <w:r>
              <w:rPr>
                <w:color w:val="auto"/>
                <w:sz w:val="21"/>
                <w:szCs w:val="21"/>
              </w:rPr>
              <w:t>2008</w:t>
            </w:r>
            <w:r>
              <w:rPr>
                <w:rFonts w:hint="eastAsia"/>
                <w:color w:val="auto"/>
                <w:sz w:val="21"/>
                <w:szCs w:val="21"/>
              </w:rPr>
              <w:t>）》3类</w:t>
            </w:r>
          </w:p>
        </w:tc>
      </w:tr>
    </w:tbl>
    <w:p w14:paraId="1739EA65">
      <w:pPr>
        <w:keepNext/>
        <w:keepLines/>
        <w:ind w:firstLine="0" w:firstLineChars="0"/>
        <w:outlineLvl w:val="3"/>
        <w:rPr>
          <w:b/>
          <w:color w:val="auto"/>
        </w:rPr>
      </w:pPr>
      <w:r>
        <w:rPr>
          <w:rFonts w:hint="eastAsia"/>
          <w:b/>
          <w:color w:val="auto"/>
        </w:rPr>
        <w:t>2.4.2.4固体废物</w:t>
      </w:r>
    </w:p>
    <w:p w14:paraId="23E1E907">
      <w:pPr>
        <w:ind w:firstLine="480"/>
        <w:rPr>
          <w:color w:val="auto"/>
        </w:rPr>
      </w:pPr>
      <w:r>
        <w:rPr>
          <w:rFonts w:hint="eastAsia"/>
          <w:color w:val="auto"/>
        </w:rPr>
        <w:t>本</w:t>
      </w:r>
      <w:r>
        <w:rPr>
          <w:color w:val="auto"/>
        </w:rPr>
        <w:t>项目产生的一般工业固体废物贮存执行《一般工业固体废物贮存和填埋污染控制标准》（GB 18599-2020）</w:t>
      </w:r>
      <w:r>
        <w:rPr>
          <w:rFonts w:hint="eastAsia"/>
          <w:color w:val="auto"/>
        </w:rPr>
        <w:t>、《关于印发〈一般工业固体废物环境管理工作指南〉的通知》（环办固体函〔2026〕18号）</w:t>
      </w:r>
      <w:r>
        <w:rPr>
          <w:color w:val="auto"/>
        </w:rPr>
        <w:t>要求，危险</w:t>
      </w:r>
      <w:r>
        <w:rPr>
          <w:rFonts w:hint="eastAsia"/>
          <w:color w:val="auto"/>
        </w:rPr>
        <w:t>废物</w:t>
      </w:r>
      <w:r>
        <w:rPr>
          <w:color w:val="auto"/>
        </w:rPr>
        <w:t>应按照《危险废物贮存污染控制标准》（GB18597-2023）</w:t>
      </w:r>
      <w:r>
        <w:rPr>
          <w:rFonts w:hint="eastAsia"/>
          <w:color w:val="auto"/>
        </w:rPr>
        <w:t>、</w:t>
      </w:r>
      <w:r>
        <w:rPr>
          <w:color w:val="auto"/>
        </w:rPr>
        <w:t>《危险废物收集储存运输技术规范》（HJ2025-2012）</w:t>
      </w:r>
      <w:r>
        <w:rPr>
          <w:rFonts w:hint="eastAsia"/>
          <w:color w:val="auto"/>
        </w:rPr>
        <w:t>、</w:t>
      </w:r>
      <w:r>
        <w:rPr>
          <w:rFonts w:hint="eastAsia"/>
          <w:iCs/>
          <w:color w:val="auto"/>
        </w:rPr>
        <w:t>《危险废物转移管理办法》（生态环境部 公安部 交通运输部 部令第23号）</w:t>
      </w:r>
      <w:r>
        <w:rPr>
          <w:color w:val="auto"/>
        </w:rPr>
        <w:t>中相关规定进行危险废物的包装、贮存设施的选址、设计、运行、安全防护、监测等。</w:t>
      </w:r>
    </w:p>
    <w:p w14:paraId="2CB57E32">
      <w:pPr>
        <w:keepNext/>
        <w:keepLines/>
        <w:spacing w:before="312" w:beforeLines="100" w:after="312" w:afterLines="100"/>
        <w:ind w:firstLine="0" w:firstLineChars="0"/>
        <w:outlineLvl w:val="1"/>
        <w:rPr>
          <w:b/>
          <w:bCs/>
          <w:color w:val="auto"/>
          <w:sz w:val="30"/>
          <w:szCs w:val="32"/>
        </w:rPr>
      </w:pPr>
      <w:bookmarkStart w:id="52" w:name="_Toc12690"/>
      <w:r>
        <w:rPr>
          <w:rFonts w:hint="eastAsia"/>
          <w:b/>
          <w:bCs/>
          <w:color w:val="auto"/>
          <w:sz w:val="30"/>
          <w:szCs w:val="32"/>
        </w:rPr>
        <w:t>2.5相关规划及环境功能区划</w:t>
      </w:r>
      <w:bookmarkEnd w:id="52"/>
    </w:p>
    <w:p w14:paraId="49B71709">
      <w:pPr>
        <w:snapToGrid/>
        <w:spacing w:before="156" w:beforeLines="50" w:after="156" w:afterLines="50"/>
        <w:ind w:firstLine="0" w:firstLineChars="0"/>
        <w:jc w:val="left"/>
        <w:outlineLvl w:val="2"/>
        <w:rPr>
          <w:b/>
          <w:bCs/>
          <w:color w:val="auto"/>
        </w:rPr>
      </w:pPr>
      <w:bookmarkStart w:id="53" w:name="_Toc8521"/>
      <w:r>
        <w:rPr>
          <w:rFonts w:hint="eastAsia"/>
          <w:b/>
          <w:bCs/>
          <w:color w:val="auto"/>
        </w:rPr>
        <w:t>2.5.1启东生命健康产业园</w:t>
      </w:r>
      <w:bookmarkEnd w:id="53"/>
    </w:p>
    <w:p w14:paraId="0FFB8A11">
      <w:pPr>
        <w:keepNext/>
        <w:keepLines/>
        <w:ind w:firstLine="0" w:firstLineChars="0"/>
        <w:outlineLvl w:val="3"/>
        <w:rPr>
          <w:b/>
          <w:color w:val="auto"/>
        </w:rPr>
      </w:pPr>
      <w:r>
        <w:rPr>
          <w:rFonts w:hint="eastAsia"/>
          <w:b/>
          <w:color w:val="auto"/>
        </w:rPr>
        <w:t>2.5.1.1园区发展历程</w:t>
      </w:r>
    </w:p>
    <w:p w14:paraId="3FEC60D4">
      <w:pPr>
        <w:ind w:firstLine="480"/>
        <w:rPr>
          <w:color w:val="auto"/>
        </w:rPr>
      </w:pPr>
      <w:r>
        <w:rPr>
          <w:color w:val="auto"/>
        </w:rPr>
        <w:t>启东生命健康产业园前身为江苏省启东经济开发区滨江精细化工园，2020年取消化工定位后更名为启东生命健康产业园。《</w:t>
      </w:r>
      <w:bookmarkStart w:id="54" w:name="_Hlk116130879"/>
      <w:bookmarkStart w:id="55" w:name="_Hlk116130028"/>
      <w:r>
        <w:rPr>
          <w:color w:val="auto"/>
        </w:rPr>
        <w:t>启东生命健康产业园开发建设规划</w:t>
      </w:r>
      <w:bookmarkEnd w:id="54"/>
      <w:r>
        <w:rPr>
          <w:color w:val="auto"/>
        </w:rPr>
        <w:t>(2022-2035)环境影响报告书</w:t>
      </w:r>
      <w:bookmarkEnd w:id="55"/>
      <w:r>
        <w:rPr>
          <w:color w:val="auto"/>
        </w:rPr>
        <w:t>》于2022年11月14日通过南通市启东生态环境局的审查(通启东环[2022]69号)。为转型承接复配类产业，2023年启东生命健康产业园管理办公室委托编制了《启东生命健康产业园开发建设规划修编(2023-2035年)》，并开展《启东生命健康产业园开发建设规划修编(2023-2035年)环境影响报告书》编制，于2023年4月20日取得南通市启东生态环境局的审查意见(通启东环[2023]35号)。</w:t>
      </w:r>
    </w:p>
    <w:p w14:paraId="6A4B76C3">
      <w:pPr>
        <w:keepNext/>
        <w:keepLines/>
        <w:ind w:firstLine="0" w:firstLineChars="0"/>
        <w:outlineLvl w:val="3"/>
        <w:rPr>
          <w:b/>
          <w:color w:val="auto"/>
        </w:rPr>
      </w:pPr>
      <w:r>
        <w:rPr>
          <w:rFonts w:hint="eastAsia"/>
          <w:b/>
          <w:color w:val="auto"/>
        </w:rPr>
        <w:t>2.5.1.2规划范围</w:t>
      </w:r>
    </w:p>
    <w:p w14:paraId="6C17F732">
      <w:pPr>
        <w:ind w:firstLine="480"/>
        <w:rPr>
          <w:color w:val="auto"/>
        </w:rPr>
      </w:pPr>
      <w:r>
        <w:rPr>
          <w:color w:val="auto"/>
        </w:rPr>
        <w:t>启东生命健康产业园规划范围为东至吕北公路，西靠启海河，南侧紧邻外滩路，北至南京河、浙江路、宁波路、南通路所围合的区域，规划总用地面积7.97平方公里。</w:t>
      </w:r>
    </w:p>
    <w:p w14:paraId="6E7329A1">
      <w:pPr>
        <w:keepNext/>
        <w:keepLines/>
        <w:ind w:firstLine="0" w:firstLineChars="0"/>
        <w:outlineLvl w:val="3"/>
        <w:rPr>
          <w:b/>
          <w:color w:val="auto"/>
        </w:rPr>
      </w:pPr>
      <w:r>
        <w:rPr>
          <w:rFonts w:hint="eastAsia"/>
          <w:b/>
          <w:color w:val="auto"/>
        </w:rPr>
        <w:t>2.5.1.3规划期限</w:t>
      </w:r>
    </w:p>
    <w:p w14:paraId="5310F80E">
      <w:pPr>
        <w:ind w:firstLine="480"/>
        <w:rPr>
          <w:color w:val="auto"/>
        </w:rPr>
      </w:pPr>
      <w:r>
        <w:rPr>
          <w:color w:val="auto"/>
        </w:rPr>
        <w:t>规划期限为</w:t>
      </w:r>
      <w:bookmarkStart w:id="56" w:name="_Hlk116134974"/>
      <w:r>
        <w:rPr>
          <w:color w:val="auto"/>
        </w:rPr>
        <w:t>2023-2035年，基准年为2022年，近期2025年，远期2035年</w:t>
      </w:r>
      <w:bookmarkEnd w:id="56"/>
      <w:r>
        <w:rPr>
          <w:color w:val="auto"/>
        </w:rPr>
        <w:t>。</w:t>
      </w:r>
    </w:p>
    <w:p w14:paraId="4D090096">
      <w:pPr>
        <w:keepNext/>
        <w:keepLines/>
        <w:ind w:firstLine="0" w:firstLineChars="0"/>
        <w:outlineLvl w:val="3"/>
        <w:rPr>
          <w:b/>
          <w:color w:val="auto"/>
        </w:rPr>
      </w:pPr>
      <w:r>
        <w:rPr>
          <w:rFonts w:hint="eastAsia"/>
          <w:b/>
          <w:color w:val="auto"/>
        </w:rPr>
        <w:t>2.5.1.4空间布局</w:t>
      </w:r>
    </w:p>
    <w:p w14:paraId="6D68499D">
      <w:pPr>
        <w:ind w:firstLine="480"/>
        <w:rPr>
          <w:color w:val="auto"/>
        </w:rPr>
      </w:pPr>
      <w:r>
        <w:rPr>
          <w:color w:val="auto"/>
        </w:rPr>
        <w:t>总体形成“一心两轴三区四点”的总体布局结构。</w:t>
      </w:r>
    </w:p>
    <w:p w14:paraId="54DD050B">
      <w:pPr>
        <w:ind w:firstLine="480"/>
        <w:rPr>
          <w:color w:val="auto"/>
        </w:rPr>
      </w:pPr>
      <w:r>
        <w:rPr>
          <w:color w:val="auto"/>
        </w:rPr>
        <w:t>“一心”：公共管理中心。在园区中部结合启东生命健康产业园区管委会设置公共管理核心。</w:t>
      </w:r>
    </w:p>
    <w:p w14:paraId="3E175E53">
      <w:pPr>
        <w:ind w:firstLine="480"/>
        <w:rPr>
          <w:color w:val="auto"/>
        </w:rPr>
      </w:pPr>
      <w:r>
        <w:rPr>
          <w:color w:val="auto"/>
        </w:rPr>
        <w:t>“两轴”：沿江苏路形成的由西向东连接整个启东生命健康产业园区的产业发展轴和沿江风路形成的自南向北连接沿江公路等对外交通的综合发展轴。</w:t>
      </w:r>
    </w:p>
    <w:p w14:paraId="218A5C23">
      <w:pPr>
        <w:ind w:firstLine="480"/>
        <w:rPr>
          <w:color w:val="auto"/>
        </w:rPr>
      </w:pPr>
      <w:r>
        <w:rPr>
          <w:color w:val="auto"/>
        </w:rPr>
        <w:t>“三区”：医药产业片区、新材料产业片区和产业拓展片区。</w:t>
      </w:r>
    </w:p>
    <w:p w14:paraId="53FD7737">
      <w:pPr>
        <w:ind w:firstLine="480"/>
        <w:rPr>
          <w:color w:val="auto"/>
        </w:rPr>
      </w:pPr>
      <w:r>
        <w:rPr>
          <w:color w:val="auto"/>
        </w:rPr>
        <w:t>“四点”：为不同的工业组团服务的产业配套服务区和多个绿化景观节点。</w:t>
      </w:r>
    </w:p>
    <w:p w14:paraId="3DD36447">
      <w:pPr>
        <w:ind w:firstLine="480"/>
        <w:rPr>
          <w:color w:val="auto"/>
        </w:rPr>
      </w:pPr>
      <w:r>
        <w:rPr>
          <w:color w:val="auto"/>
        </w:rPr>
        <w:t>本项目位于产业拓展片区，亚太药业属于该片区保留企业。本项目属于</w:t>
      </w:r>
      <w:r>
        <w:rPr>
          <w:rFonts w:hint="eastAsia"/>
          <w:color w:val="auto"/>
        </w:rPr>
        <w:t>无机盐制造</w:t>
      </w:r>
      <w:r>
        <w:rPr>
          <w:color w:val="auto"/>
        </w:rPr>
        <w:t>项目，符合片区“四是鼓励原有保留企业通过投资技改、新上项目淘汰落后产品和工艺，实施“智改数改”，实现“清洁化生产”的发展要求。</w:t>
      </w:r>
    </w:p>
    <w:p w14:paraId="71BAD5D3">
      <w:pPr>
        <w:keepNext/>
        <w:keepLines/>
        <w:ind w:firstLine="0" w:firstLineChars="0"/>
        <w:outlineLvl w:val="3"/>
        <w:rPr>
          <w:b/>
          <w:color w:val="auto"/>
        </w:rPr>
      </w:pPr>
      <w:r>
        <w:rPr>
          <w:rFonts w:hint="eastAsia"/>
          <w:b/>
          <w:color w:val="auto"/>
        </w:rPr>
        <w:t>2.5.1.5产业定位</w:t>
      </w:r>
    </w:p>
    <w:p w14:paraId="27A9FE48">
      <w:pPr>
        <w:ind w:firstLine="480"/>
        <w:rPr>
          <w:color w:val="auto"/>
        </w:rPr>
      </w:pPr>
      <w:r>
        <w:rPr>
          <w:color w:val="auto"/>
        </w:rPr>
        <w:t>园区产业定位为重点发展生物医药、新材料(含物理复配企业)两大产业，保留现有印染企业，涉及化工整治和保留的企业按照省、市相关规定适度有序发展南通市人民政府同意的相关物理复配类产业。</w:t>
      </w:r>
    </w:p>
    <w:p w14:paraId="3F8CE919">
      <w:pPr>
        <w:ind w:firstLine="480"/>
        <w:rPr>
          <w:color w:val="auto"/>
        </w:rPr>
      </w:pPr>
      <w:r>
        <w:rPr>
          <w:color w:val="auto"/>
        </w:rPr>
        <w:t>(1)生物医药产业</w:t>
      </w:r>
    </w:p>
    <w:p w14:paraId="1BD72EDD">
      <w:pPr>
        <w:ind w:firstLine="480"/>
        <w:rPr>
          <w:color w:val="auto"/>
        </w:rPr>
      </w:pPr>
      <w:r>
        <w:rPr>
          <w:color w:val="auto"/>
        </w:rPr>
        <w:t>依托园区生物医药产业现状基础，兼顾南通市及周边地区产业功能定位要求，根据生物医药产业链发展趋势，在严格禁止新(扩)建医药中间体化工项目的基础上，重点发展医药制造(生物医药、原料药或原料药制剂一体化、中成药)、医药研发、医疗器械、医药辅料及包装材料、制药装备、医疗食品、保健品等产业。促进现有原料药生产企业提档升级，向原料药制剂一体化发展，加速引进高附加值、高技术含量的新医药项目，推动与周边地区及启东市内生物医药企业形成上下游匹配，完善启东生物医药产业链，打造生物医药产业集群。落实“双碳”任务，推进生物医药绿色制造集聚区建设，鼓励原有原料药企业投资技改，推进医药产业绿色低碳转型、安全稳定发展。</w:t>
      </w:r>
    </w:p>
    <w:p w14:paraId="292D9267">
      <w:pPr>
        <w:ind w:firstLine="480"/>
        <w:rPr>
          <w:color w:val="auto"/>
        </w:rPr>
      </w:pPr>
      <w:r>
        <w:rPr>
          <w:color w:val="auto"/>
        </w:rPr>
        <w:t>(2)新材料产业</w:t>
      </w:r>
    </w:p>
    <w:p w14:paraId="54564326">
      <w:pPr>
        <w:ind w:firstLine="480"/>
        <w:rPr>
          <w:color w:val="auto"/>
        </w:rPr>
      </w:pPr>
      <w:r>
        <w:rPr>
          <w:color w:val="auto"/>
        </w:rPr>
        <w:t>紧抓“碳达峰”“碳中和”发展机遇，结合南通市先进制造业发展优势，依托园区完备的基础设施条件和良好的新材料产业基础，大力发展市场前景好、安全系数高、环境风险小的新材料企业(项目)。发挥北新新能源、德威涂料等企业龙头带动作用，鼓励企业强链、延链、补链，重点发展新能源材料(锂电材料等)、金属表面处置材料、电子专用材料、光伏新材料、石墨材料、新型功能材料等新材料产业。鼓励启东市内现有复配类新材料企业入园，推动现有纺织纤维材料企业转型升级，实现绿色化、智能化、高端化发展。</w:t>
      </w:r>
    </w:p>
    <w:p w14:paraId="0C5AD875">
      <w:pPr>
        <w:ind w:firstLine="480"/>
        <w:rPr>
          <w:color w:val="auto"/>
        </w:rPr>
      </w:pPr>
      <w:r>
        <w:rPr>
          <w:color w:val="auto"/>
        </w:rPr>
        <w:t>本项目为</w:t>
      </w:r>
      <w:r>
        <w:rPr>
          <w:rFonts w:hint="eastAsia"/>
          <w:color w:val="auto"/>
        </w:rPr>
        <w:t>无机盐制造</w:t>
      </w:r>
      <w:r>
        <w:rPr>
          <w:color w:val="auto"/>
        </w:rPr>
        <w:t>项目，</w:t>
      </w:r>
      <w:r>
        <w:rPr>
          <w:rFonts w:hint="eastAsia"/>
          <w:color w:val="auto"/>
        </w:rPr>
        <w:t>不属于严格禁止的</w:t>
      </w:r>
      <w:r>
        <w:rPr>
          <w:color w:val="auto"/>
        </w:rPr>
        <w:t>新(扩)建医药中间体化工项目</w:t>
      </w:r>
      <w:r>
        <w:rPr>
          <w:rFonts w:hint="eastAsia"/>
          <w:color w:val="auto"/>
        </w:rPr>
        <w:t>；项目生产的硫代硫酸盐、亚硫酸盐</w:t>
      </w:r>
      <w:r>
        <w:rPr>
          <w:color w:val="auto"/>
        </w:rPr>
        <w:t>可作为医药辅料、试剂、生产助剂，用于生物医药研发、药品生产、制剂加工等环节，是生物医药产业链的配套基础原料，可服务园区生物医药产业集群发展，助力完善本地医药上下游配套体系</w:t>
      </w:r>
      <w:r>
        <w:rPr>
          <w:rFonts w:hint="eastAsia"/>
          <w:color w:val="auto"/>
        </w:rPr>
        <w:t>，</w:t>
      </w:r>
      <w:r>
        <w:rPr>
          <w:color w:val="auto"/>
        </w:rPr>
        <w:t>与园区产业定位相符。</w:t>
      </w:r>
    </w:p>
    <w:p w14:paraId="142EB734">
      <w:pPr>
        <w:keepNext/>
        <w:keepLines/>
        <w:ind w:firstLine="0" w:firstLineChars="0"/>
        <w:outlineLvl w:val="3"/>
        <w:rPr>
          <w:b/>
          <w:color w:val="auto"/>
        </w:rPr>
      </w:pPr>
      <w:r>
        <w:rPr>
          <w:rFonts w:hint="eastAsia"/>
          <w:b/>
          <w:color w:val="auto"/>
        </w:rPr>
        <w:t>2.5.1.6区域基础设施现状</w:t>
      </w:r>
    </w:p>
    <w:p w14:paraId="5F37104B">
      <w:pPr>
        <w:ind w:firstLine="480"/>
        <w:rPr>
          <w:color w:val="auto"/>
        </w:rPr>
      </w:pPr>
      <w:r>
        <w:rPr>
          <w:color w:val="auto"/>
        </w:rPr>
        <w:t>(1)给水工程</w:t>
      </w:r>
    </w:p>
    <w:p w14:paraId="5E78F53F">
      <w:pPr>
        <w:ind w:firstLine="480"/>
        <w:rPr>
          <w:color w:val="auto"/>
        </w:rPr>
      </w:pPr>
      <w:r>
        <w:rPr>
          <w:color w:val="auto"/>
        </w:rPr>
        <w:t>园区内工业生产和生活用水，对水质要求不同，现状实施分质供水，生产水与生活水系统相互独立。</w:t>
      </w:r>
    </w:p>
    <w:p w14:paraId="61655038">
      <w:pPr>
        <w:ind w:firstLine="480"/>
        <w:rPr>
          <w:color w:val="auto"/>
        </w:rPr>
      </w:pPr>
      <w:r>
        <w:rPr>
          <w:color w:val="auto"/>
        </w:rPr>
        <w:t>工业用水水厂(启东市滨化供水有限公司)位于园区中心，临近川洪港河，水源引自川洪港地表水，水源充足，经泵站提升至供水处理中心，处理达标后进入园区工业给水管网，现状供水规模为0.55万m</w:t>
      </w:r>
      <w:r>
        <w:rPr>
          <w:color w:val="auto"/>
          <w:vertAlign w:val="superscript"/>
        </w:rPr>
        <w:t>3</w:t>
      </w:r>
      <w:r>
        <w:rPr>
          <w:color w:val="auto"/>
        </w:rPr>
        <w:t>/d。处理工艺为常规的混凝、沉淀、过滤、消毒。目前园区已建成环形供水管网，设置DN1200深水管，专管专网供应产业园内企业使用。</w:t>
      </w:r>
    </w:p>
    <w:p w14:paraId="06C3687D">
      <w:pPr>
        <w:ind w:firstLine="480"/>
        <w:rPr>
          <w:color w:val="auto"/>
        </w:rPr>
      </w:pPr>
      <w:r>
        <w:rPr>
          <w:color w:val="auto"/>
        </w:rPr>
        <w:t>生活用水水源引自南通区域供水管网，由南通洪港水厂供水，其现状供水规模为60万m</w:t>
      </w:r>
      <w:r>
        <w:rPr>
          <w:color w:val="auto"/>
          <w:vertAlign w:val="superscript"/>
        </w:rPr>
        <w:t>3</w:t>
      </w:r>
      <w:r>
        <w:rPr>
          <w:color w:val="auto"/>
        </w:rPr>
        <w:t>/d，由南通洪港水厂直接引至沿江公路DN500给水管，经北新增压泵站增压后沿沿江公路向园区供水。</w:t>
      </w:r>
    </w:p>
    <w:p w14:paraId="118C255B">
      <w:pPr>
        <w:ind w:firstLine="480"/>
        <w:rPr>
          <w:color w:val="auto"/>
        </w:rPr>
      </w:pPr>
      <w:bookmarkStart w:id="57" w:name="_Hlk91685060"/>
      <w:r>
        <w:rPr>
          <w:color w:val="auto"/>
        </w:rPr>
        <w:t>(2)排水工程</w:t>
      </w:r>
    </w:p>
    <w:p w14:paraId="4881D266">
      <w:pPr>
        <w:ind w:firstLine="480"/>
        <w:rPr>
          <w:bCs/>
          <w:color w:val="auto"/>
        </w:rPr>
      </w:pPr>
      <w:r>
        <w:rPr>
          <w:bCs/>
          <w:color w:val="auto"/>
        </w:rPr>
        <w:t>园区排水采用雨污分流、清污分流的排水体制。园区内污水收集现状实行“一企一管”，污水接管率100%，已入区企业专用管网已经铺设到位，各企业废水经各自的专用管网接入联合环境水务(启东)有限公司集中处理，并在污水管网排口设置流量计、COD在线监测仪，监测仪统一安装在污水处理厂内。</w:t>
      </w:r>
    </w:p>
    <w:p w14:paraId="377171B1">
      <w:pPr>
        <w:ind w:firstLine="480"/>
        <w:rPr>
          <w:bCs/>
          <w:color w:val="auto"/>
        </w:rPr>
      </w:pPr>
      <w:r>
        <w:rPr>
          <w:bCs/>
          <w:color w:val="auto"/>
        </w:rPr>
        <w:t>联合环境水务(启东)有限公司主要</w:t>
      </w:r>
      <w:r>
        <w:rPr>
          <w:rFonts w:hint="eastAsia"/>
          <w:bCs/>
          <w:color w:val="auto"/>
        </w:rPr>
        <w:t>处理</w:t>
      </w:r>
      <w:r>
        <w:rPr>
          <w:bCs/>
          <w:color w:val="auto"/>
        </w:rPr>
        <w:t>启东生命健康产业园内工业废水和生活污水</w:t>
      </w:r>
      <w:r>
        <w:rPr>
          <w:rFonts w:hint="eastAsia"/>
          <w:bCs/>
          <w:color w:val="auto"/>
        </w:rPr>
        <w:t>，</w:t>
      </w:r>
      <w:r>
        <w:rPr>
          <w:bCs/>
          <w:color w:val="auto"/>
        </w:rPr>
        <w:t>现状处理能力2万m</w:t>
      </w:r>
      <w:r>
        <w:rPr>
          <w:bCs/>
          <w:color w:val="auto"/>
          <w:vertAlign w:val="superscript"/>
        </w:rPr>
        <w:t>3</w:t>
      </w:r>
      <w:r>
        <w:rPr>
          <w:bCs/>
          <w:color w:val="auto"/>
        </w:rPr>
        <w:t>/d，分三期建设。一期工程规模0.5万m</w:t>
      </w:r>
      <w:r>
        <w:rPr>
          <w:bCs/>
          <w:color w:val="auto"/>
          <w:vertAlign w:val="superscript"/>
        </w:rPr>
        <w:t>3</w:t>
      </w:r>
      <w:r>
        <w:rPr>
          <w:bCs/>
          <w:color w:val="auto"/>
        </w:rPr>
        <w:t>/d，于2007年1月14日通过原南通市环境保护局组织的竣工环保验收；二期工程1.0万m</w:t>
      </w:r>
      <w:r>
        <w:rPr>
          <w:bCs/>
          <w:color w:val="auto"/>
          <w:vertAlign w:val="superscript"/>
        </w:rPr>
        <w:t>3</w:t>
      </w:r>
      <w:r>
        <w:rPr>
          <w:bCs/>
          <w:color w:val="auto"/>
        </w:rPr>
        <w:t>/d于2014年1月28日原南通市环境保护局组织的竣工环保验收(通环验</w:t>
      </w:r>
      <w:r>
        <w:rPr>
          <w:color w:val="auto"/>
        </w:rPr>
        <w:t>[2014]</w:t>
      </w:r>
      <w:r>
        <w:rPr>
          <w:bCs/>
          <w:color w:val="auto"/>
        </w:rPr>
        <w:t>0014号)；三期扩容5000m</w:t>
      </w:r>
      <w:r>
        <w:rPr>
          <w:bCs/>
          <w:color w:val="auto"/>
          <w:vertAlign w:val="superscript"/>
        </w:rPr>
        <w:t>3</w:t>
      </w:r>
      <w:r>
        <w:rPr>
          <w:bCs/>
          <w:color w:val="auto"/>
        </w:rPr>
        <w:t>/d，同时对污水处理线、污泥处理线进行提标改造，将难降解废水和较易降解废水分线处理，尾水达到江苏省《化学工业水污染物排放标准》(DB32/939-2020)表2中标准后排入长江，于2015年8月原启东市环境保护局的批复(启环发</w:t>
      </w:r>
      <w:r>
        <w:rPr>
          <w:color w:val="auto"/>
        </w:rPr>
        <w:t>[2015]</w:t>
      </w:r>
      <w:r>
        <w:rPr>
          <w:bCs/>
          <w:color w:val="auto"/>
        </w:rPr>
        <w:t>149号)，并于2016年12月通过启东市行政审批局组织的竣工环保验收(启行审环验</w:t>
      </w:r>
      <w:r>
        <w:rPr>
          <w:color w:val="auto"/>
        </w:rPr>
        <w:t>[2016]</w:t>
      </w:r>
      <w:r>
        <w:rPr>
          <w:bCs/>
          <w:color w:val="auto"/>
        </w:rPr>
        <w:t>43号)。</w:t>
      </w:r>
    </w:p>
    <w:p w14:paraId="16235697">
      <w:pPr>
        <w:ind w:firstLine="480"/>
        <w:rPr>
          <w:color w:val="auto"/>
        </w:rPr>
      </w:pPr>
      <w:r>
        <w:rPr>
          <w:bCs/>
          <w:color w:val="auto"/>
        </w:rPr>
        <w:t>污水处理厂废水处理工艺为</w:t>
      </w:r>
      <w:r>
        <w:rPr>
          <w:color w:val="auto"/>
        </w:rPr>
        <w:t>：</w:t>
      </w:r>
    </w:p>
    <w:p w14:paraId="3460957E">
      <w:pPr>
        <w:spacing w:line="240" w:lineRule="auto"/>
        <w:ind w:firstLine="0" w:firstLineChars="0"/>
        <w:jc w:val="center"/>
        <w:rPr>
          <w:color w:val="auto"/>
        </w:rPr>
      </w:pPr>
      <w:r>
        <w:rPr>
          <w:color w:val="auto"/>
        </w:rPr>
        <w:object>
          <v:shape id="_x0000_i1025" o:spt="75" type="#_x0000_t75" style="height:121.5pt;width:416.25pt;" o:ole="t" filled="f" o:preferrelative="t" stroked="f" coordsize="21600,21600">
            <v:path/>
            <v:fill on="f" focussize="0,0"/>
            <v:stroke on="f" joinstyle="miter"/>
            <v:imagedata r:id="rId12" o:title=""/>
            <o:lock v:ext="edit" aspectratio="f"/>
            <w10:wrap type="none"/>
            <w10:anchorlock/>
          </v:shape>
          <o:OLEObject Type="Embed" ProgID="Visio.Drawing.15" ShapeID="_x0000_i1025" DrawAspect="Content" ObjectID="_1468075725" r:id="rId11">
            <o:LockedField>false</o:LockedField>
          </o:OLEObject>
        </w:object>
      </w:r>
    </w:p>
    <w:p w14:paraId="64BD96AD">
      <w:pPr>
        <w:pStyle w:val="49"/>
        <w:rPr>
          <w:color w:val="auto"/>
        </w:rPr>
      </w:pPr>
      <w:r>
        <w:rPr>
          <w:color w:val="auto"/>
        </w:rPr>
        <w:t>图2.5.1-1  联合环境水务(启东)有限公司废水处理工艺流程图</w:t>
      </w:r>
    </w:p>
    <w:p w14:paraId="584A510C">
      <w:pPr>
        <w:ind w:firstLine="480"/>
        <w:rPr>
          <w:bCs/>
          <w:color w:val="auto"/>
        </w:rPr>
      </w:pPr>
      <w:r>
        <w:rPr>
          <w:bCs/>
          <w:color w:val="auto"/>
        </w:rPr>
        <w:t>难降解废水(约0.5万m</w:t>
      </w:r>
      <w:r>
        <w:rPr>
          <w:bCs/>
          <w:color w:val="auto"/>
          <w:vertAlign w:val="superscript"/>
        </w:rPr>
        <w:t>3</w:t>
      </w:r>
      <w:r>
        <w:rPr>
          <w:bCs/>
          <w:color w:val="auto"/>
        </w:rPr>
        <w:t>/d)经改造后的一期的“混凝沉淀+芬顿氧化+中和沉淀”处理后，提升至一期的“水解酸化+AAO生化处理系统”，其他废水(约1.5万m</w:t>
      </w:r>
      <w:r>
        <w:rPr>
          <w:bCs/>
          <w:color w:val="auto"/>
          <w:vertAlign w:val="superscript"/>
        </w:rPr>
        <w:t>3</w:t>
      </w:r>
      <w:r>
        <w:rPr>
          <w:bCs/>
          <w:color w:val="auto"/>
        </w:rPr>
        <w:t>/d)经二期的“混凝沉淀”处理后，提升至二期的“水解酸化+AAO生化处理系统”，生化处理后的废水经二期的“膜处理池+臭氧接触+沉淀池+排放池”深度处理后，尾水达《化学工业水污染物排放标准》(DB32/939-2020)表2及表3污染物排放限值后外排至长江。</w:t>
      </w:r>
      <w:bookmarkStart w:id="58" w:name="_Hlk186201818"/>
      <w:r>
        <w:rPr>
          <w:bCs/>
          <w:color w:val="auto"/>
        </w:rPr>
        <w:t>联合</w:t>
      </w:r>
      <w:bookmarkEnd w:id="58"/>
      <w:r>
        <w:rPr>
          <w:bCs/>
          <w:color w:val="auto"/>
        </w:rPr>
        <w:t>环境水务(启东)有限公司目前运行良好，出水能够稳定达标排放。</w:t>
      </w:r>
    </w:p>
    <w:p w14:paraId="36143046">
      <w:pPr>
        <w:ind w:firstLine="480"/>
        <w:rPr>
          <w:bCs/>
          <w:color w:val="auto"/>
        </w:rPr>
      </w:pPr>
      <w:r>
        <w:rPr>
          <w:bCs/>
          <w:color w:val="auto"/>
        </w:rPr>
        <w:t>根据</w:t>
      </w:r>
      <w:bookmarkStart w:id="59" w:name="OLE_LINK16"/>
      <w:r>
        <w:rPr>
          <w:bCs/>
          <w:color w:val="auto"/>
        </w:rPr>
        <w:t>联合环境水务(启东)有限公司</w:t>
      </w:r>
      <w:bookmarkEnd w:id="59"/>
      <w:r>
        <w:rPr>
          <w:bCs/>
          <w:color w:val="auto"/>
        </w:rPr>
        <w:t>提供的2023年全年废水排放报表，COD、NH</w:t>
      </w:r>
      <w:r>
        <w:rPr>
          <w:bCs/>
          <w:color w:val="auto"/>
          <w:vertAlign w:val="subscript"/>
        </w:rPr>
        <w:t>3</w:t>
      </w:r>
      <w:r>
        <w:rPr>
          <w:bCs/>
          <w:color w:val="auto"/>
        </w:rPr>
        <w:t>-N、TN、TP出水水质能够满足江苏省《化学工业水污染物排放标准》(DB32/939-2020)表2中的标准。</w:t>
      </w:r>
    </w:p>
    <w:p w14:paraId="3F8CAB05">
      <w:pPr>
        <w:ind w:firstLine="480"/>
        <w:rPr>
          <w:bCs/>
          <w:color w:val="auto"/>
        </w:rPr>
      </w:pPr>
      <w:r>
        <w:rPr>
          <w:bCs/>
          <w:color w:val="auto"/>
        </w:rPr>
        <w:t>联合环境水务(启东)有限公司目前接入的工业废水及生活污水量约1.2万m</w:t>
      </w:r>
      <w:r>
        <w:rPr>
          <w:bCs/>
          <w:color w:val="auto"/>
          <w:vertAlign w:val="superscript"/>
        </w:rPr>
        <w:t>3</w:t>
      </w:r>
      <w:r>
        <w:rPr>
          <w:bCs/>
          <w:color w:val="auto"/>
        </w:rPr>
        <w:t>/d，尚有约0.8万m</w:t>
      </w:r>
      <w:r>
        <w:rPr>
          <w:bCs/>
          <w:color w:val="auto"/>
          <w:vertAlign w:val="superscript"/>
        </w:rPr>
        <w:t>3</w:t>
      </w:r>
      <w:r>
        <w:rPr>
          <w:bCs/>
          <w:color w:val="auto"/>
        </w:rPr>
        <w:t>/d的余量。</w:t>
      </w:r>
    </w:p>
    <w:p w14:paraId="1289C47F">
      <w:pPr>
        <w:ind w:firstLine="480"/>
        <w:rPr>
          <w:bCs/>
          <w:color w:val="auto"/>
        </w:rPr>
      </w:pPr>
      <w:r>
        <w:rPr>
          <w:bCs/>
          <w:color w:val="auto"/>
        </w:rPr>
        <w:t>本项目废水依托园区污水处理厂，目前联合环境水务(启东)有限公司废水富余量可满足本项目工业废水处理需求。</w:t>
      </w:r>
    </w:p>
    <w:p w14:paraId="4A440245">
      <w:pPr>
        <w:ind w:firstLine="480"/>
        <w:rPr>
          <w:color w:val="auto"/>
        </w:rPr>
      </w:pPr>
      <w:r>
        <w:rPr>
          <w:color w:val="auto"/>
        </w:rPr>
        <w:t>(3)中水回用</w:t>
      </w:r>
    </w:p>
    <w:p w14:paraId="2E17EB82">
      <w:pPr>
        <w:ind w:firstLine="480"/>
        <w:rPr>
          <w:bCs/>
          <w:color w:val="auto"/>
        </w:rPr>
      </w:pPr>
      <w:r>
        <w:rPr>
          <w:bCs/>
          <w:color w:val="auto"/>
        </w:rPr>
        <w:t>园区规划联合环境水务(启东)有限公司实施中水回用工程，近期按处理水量0.91万m</w:t>
      </w:r>
      <w:r>
        <w:rPr>
          <w:bCs/>
          <w:color w:val="auto"/>
          <w:vertAlign w:val="superscript"/>
        </w:rPr>
        <w:t>3</w:t>
      </w:r>
      <w:r>
        <w:rPr>
          <w:bCs/>
          <w:color w:val="auto"/>
        </w:rPr>
        <w:t>/d的10%进行回用，规划回用水量为0.09万m</w:t>
      </w:r>
      <w:r>
        <w:rPr>
          <w:bCs/>
          <w:color w:val="auto"/>
          <w:vertAlign w:val="superscript"/>
        </w:rPr>
        <w:t>3</w:t>
      </w:r>
      <w:r>
        <w:rPr>
          <w:bCs/>
          <w:color w:val="auto"/>
        </w:rPr>
        <w:t>/d；远期按处理水量0.95万m</w:t>
      </w:r>
      <w:r>
        <w:rPr>
          <w:bCs/>
          <w:color w:val="auto"/>
          <w:vertAlign w:val="superscript"/>
        </w:rPr>
        <w:t>3</w:t>
      </w:r>
      <w:r>
        <w:rPr>
          <w:bCs/>
          <w:color w:val="auto"/>
        </w:rPr>
        <w:t>/d的30%进行回用，规划回用水量为0.28万m</w:t>
      </w:r>
      <w:r>
        <w:rPr>
          <w:bCs/>
          <w:color w:val="auto"/>
          <w:vertAlign w:val="superscript"/>
        </w:rPr>
        <w:t>3</w:t>
      </w:r>
      <w:r>
        <w:rPr>
          <w:bCs/>
          <w:color w:val="auto"/>
        </w:rPr>
        <w:t>/d。</w:t>
      </w:r>
    </w:p>
    <w:p w14:paraId="66B296EB">
      <w:pPr>
        <w:ind w:firstLine="480"/>
        <w:rPr>
          <w:bCs/>
          <w:color w:val="auto"/>
        </w:rPr>
      </w:pPr>
      <w:r>
        <w:rPr>
          <w:bCs/>
          <w:color w:val="auto"/>
        </w:rPr>
        <w:t>目前，联合环境水务</w:t>
      </w:r>
      <w:r>
        <w:rPr>
          <w:rFonts w:hint="eastAsia"/>
          <w:bCs/>
          <w:color w:val="auto"/>
        </w:rPr>
        <w:t>尚未</w:t>
      </w:r>
      <w:r>
        <w:rPr>
          <w:bCs/>
          <w:color w:val="auto"/>
        </w:rPr>
        <w:t xml:space="preserve">按要求配套建设中水回用设施。 </w:t>
      </w:r>
    </w:p>
    <w:bookmarkEnd w:id="57"/>
    <w:p w14:paraId="6C549427">
      <w:pPr>
        <w:ind w:firstLine="480"/>
        <w:rPr>
          <w:color w:val="auto"/>
        </w:rPr>
      </w:pPr>
      <w:r>
        <w:rPr>
          <w:color w:val="auto"/>
        </w:rPr>
        <w:t>(4)电力工程</w:t>
      </w:r>
    </w:p>
    <w:p w14:paraId="03C493C2">
      <w:pPr>
        <w:ind w:firstLine="480"/>
        <w:rPr>
          <w:bCs/>
          <w:color w:val="auto"/>
        </w:rPr>
      </w:pPr>
      <w:r>
        <w:rPr>
          <w:bCs/>
          <w:color w:val="auto"/>
        </w:rPr>
        <w:t>园区内有10KV双回路供电系统引入厂区，电源电缆从苏州路分箱接入厂区总配电间，总配电间位置位于厂区东北侧。</w:t>
      </w:r>
    </w:p>
    <w:p w14:paraId="2765290F">
      <w:pPr>
        <w:ind w:firstLine="480"/>
        <w:rPr>
          <w:bCs/>
          <w:color w:val="auto"/>
        </w:rPr>
      </w:pPr>
      <w:r>
        <w:rPr>
          <w:bCs/>
          <w:color w:val="auto"/>
        </w:rPr>
        <w:t>本项目依托园区的供电网络，可满足本项目建设需要。</w:t>
      </w:r>
    </w:p>
    <w:p w14:paraId="6EE4E509">
      <w:pPr>
        <w:ind w:firstLine="480"/>
        <w:rPr>
          <w:color w:val="auto"/>
        </w:rPr>
      </w:pPr>
      <w:bookmarkStart w:id="60" w:name="_Hlk91685569"/>
      <w:r>
        <w:rPr>
          <w:color w:val="auto"/>
        </w:rPr>
        <w:t>(5)供热</w:t>
      </w:r>
    </w:p>
    <w:p w14:paraId="5E337A23">
      <w:pPr>
        <w:ind w:firstLine="480"/>
        <w:rPr>
          <w:color w:val="auto"/>
        </w:rPr>
      </w:pPr>
      <w:r>
        <w:rPr>
          <w:bCs/>
          <w:color w:val="auto"/>
        </w:rPr>
        <w:t>园区现状供热主要由国信启东热电有限公司3×75t/h循环硫化床锅炉(2用1备)集中供热，于2016年7月通过江苏省发展和改革委员会核准，是园区目前唯一热源点，项目于2016年1月获得原江苏省环境保护厅批复(苏环审[2016]5号)，目前供热管网已建成，已通过竣工环保验收。供热热媒采用过热蒸汽，压力参数为0.8MPa，温度参数为250℃，</w:t>
      </w:r>
      <w:r>
        <w:rPr>
          <w:color w:val="auto"/>
        </w:rPr>
        <w:t>园区企业目前用汽量约50t/h，尚有余量100t/h，</w:t>
      </w:r>
      <w:r>
        <w:rPr>
          <w:bCs/>
          <w:color w:val="auto"/>
        </w:rPr>
        <w:t>满足园区企业用热需求。</w:t>
      </w:r>
    </w:p>
    <w:p w14:paraId="77E171E5">
      <w:pPr>
        <w:ind w:firstLine="480"/>
        <w:rPr>
          <w:color w:val="auto"/>
        </w:rPr>
      </w:pPr>
      <w:r>
        <w:rPr>
          <w:rFonts w:hint="eastAsia"/>
          <w:color w:val="auto"/>
        </w:rPr>
        <w:t>企业</w:t>
      </w:r>
      <w:r>
        <w:rPr>
          <w:color w:val="auto"/>
        </w:rPr>
        <w:t>自建焚硫炉，焚硫炉可回收蒸汽约15000吨/年，目前尚有6600吨/年余量可使用，</w:t>
      </w:r>
      <w:r>
        <w:rPr>
          <w:rFonts w:hint="eastAsia"/>
          <w:color w:val="auto"/>
        </w:rPr>
        <w:t>本</w:t>
      </w:r>
      <w:r>
        <w:rPr>
          <w:color w:val="auto"/>
        </w:rPr>
        <w:t>项目拟使用蒸汽5000t/a，可满足项目需求。</w:t>
      </w:r>
    </w:p>
    <w:bookmarkEnd w:id="60"/>
    <w:p w14:paraId="1EDB4E96">
      <w:pPr>
        <w:ind w:firstLine="480"/>
        <w:rPr>
          <w:color w:val="auto"/>
        </w:rPr>
      </w:pPr>
      <w:r>
        <w:rPr>
          <w:color w:val="auto"/>
        </w:rPr>
        <w:t>(6)固体废物处理</w:t>
      </w:r>
    </w:p>
    <w:p w14:paraId="5E6295A6">
      <w:pPr>
        <w:ind w:firstLine="480"/>
        <w:rPr>
          <w:color w:val="auto"/>
        </w:rPr>
      </w:pPr>
      <w:r>
        <w:rPr>
          <w:color w:val="auto"/>
        </w:rPr>
        <w:t>园区内各有关企业都建立了统一的固废收集、贮存、运输、综合利用和安全处置的管理体系。园区内现存危险废物处理、处置中心为南通润启环保服务有限公司。</w:t>
      </w:r>
    </w:p>
    <w:p w14:paraId="0713F440">
      <w:pPr>
        <w:ind w:firstLine="480"/>
        <w:rPr>
          <w:color w:val="auto"/>
        </w:rPr>
      </w:pPr>
      <w:bookmarkStart w:id="61" w:name="OLE_LINK66"/>
      <w:r>
        <w:rPr>
          <w:color w:val="auto"/>
        </w:rPr>
        <w:t>南通润启环保服务有限公司</w:t>
      </w:r>
      <w:bookmarkEnd w:id="61"/>
      <w:r>
        <w:rPr>
          <w:color w:val="auto"/>
        </w:rPr>
        <w:t>(原启东金阳光固废处置有限公司)位于园区常州中路西侧、上海中路南侧，占地面积为2.4ha，焚烧处置25000t/a危废及3000t/a医疗废物。</w:t>
      </w:r>
    </w:p>
    <w:p w14:paraId="238DE0CB">
      <w:pPr>
        <w:ind w:firstLine="480"/>
        <w:rPr>
          <w:color w:val="auto"/>
        </w:rPr>
      </w:pPr>
      <w:r>
        <w:rPr>
          <w:color w:val="auto"/>
        </w:rPr>
        <w:t>危废接收范围：功能定位为工业危险废物的焚烧处置，服务对象为启东、海门地区的工业危险废物和医疗废物，以及南通市域其它地区的危险废物。</w:t>
      </w:r>
    </w:p>
    <w:p w14:paraId="14F57F4D">
      <w:pPr>
        <w:snapToGrid/>
        <w:spacing w:before="156" w:beforeLines="50" w:after="156" w:afterLines="50"/>
        <w:ind w:firstLine="0" w:firstLineChars="0"/>
        <w:jc w:val="left"/>
        <w:outlineLvl w:val="2"/>
        <w:rPr>
          <w:b/>
          <w:bCs/>
          <w:color w:val="auto"/>
        </w:rPr>
      </w:pPr>
      <w:bookmarkStart w:id="62" w:name="_Toc27056"/>
      <w:r>
        <w:rPr>
          <w:rFonts w:hint="eastAsia"/>
          <w:b/>
          <w:bCs/>
          <w:color w:val="auto"/>
        </w:rPr>
        <w:t>2.5.2环境功能区划</w:t>
      </w:r>
      <w:bookmarkEnd w:id="62"/>
    </w:p>
    <w:p w14:paraId="29215F40">
      <w:pPr>
        <w:ind w:firstLine="480"/>
        <w:rPr>
          <w:color w:val="auto"/>
        </w:rPr>
      </w:pPr>
      <w:r>
        <w:rPr>
          <w:color w:val="auto"/>
        </w:rPr>
        <w:t>本项目所在区域水、气、声、土壤环境功能类别划分见表2.5-1。</w:t>
      </w:r>
    </w:p>
    <w:p w14:paraId="004FEF86">
      <w:pPr>
        <w:pStyle w:val="49"/>
        <w:rPr>
          <w:color w:val="auto"/>
        </w:rPr>
      </w:pPr>
      <w:r>
        <w:rPr>
          <w:color w:val="auto"/>
        </w:rPr>
        <w:t>表2.5-1  本项目所在地环境功能区划</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2503"/>
        <w:gridCol w:w="1945"/>
        <w:gridCol w:w="3739"/>
      </w:tblGrid>
      <w:tr w14:paraId="3103B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116" w:type="pct"/>
            <w:gridSpan w:val="2"/>
            <w:vAlign w:val="center"/>
          </w:tcPr>
          <w:p w14:paraId="15A48FEB">
            <w:pPr>
              <w:widowControl/>
              <w:spacing w:line="240" w:lineRule="auto"/>
              <w:ind w:firstLine="0" w:firstLineChars="0"/>
              <w:jc w:val="center"/>
              <w:rPr>
                <w:b/>
                <w:bCs/>
                <w:color w:val="auto"/>
                <w:kern w:val="0"/>
                <w:sz w:val="21"/>
                <w:szCs w:val="21"/>
              </w:rPr>
            </w:pPr>
            <w:r>
              <w:rPr>
                <w:b/>
                <w:bCs/>
                <w:color w:val="auto"/>
                <w:kern w:val="0"/>
                <w:sz w:val="21"/>
                <w:szCs w:val="21"/>
              </w:rPr>
              <w:t>环境要素</w:t>
            </w:r>
          </w:p>
        </w:tc>
        <w:tc>
          <w:tcPr>
            <w:tcW w:w="987" w:type="pct"/>
            <w:vAlign w:val="center"/>
          </w:tcPr>
          <w:p w14:paraId="6531F29A">
            <w:pPr>
              <w:widowControl/>
              <w:spacing w:line="240" w:lineRule="auto"/>
              <w:ind w:firstLine="0" w:firstLineChars="0"/>
              <w:jc w:val="center"/>
              <w:rPr>
                <w:b/>
                <w:bCs/>
                <w:color w:val="auto"/>
                <w:kern w:val="0"/>
                <w:sz w:val="21"/>
                <w:szCs w:val="21"/>
              </w:rPr>
            </w:pPr>
            <w:r>
              <w:rPr>
                <w:b/>
                <w:bCs/>
                <w:color w:val="auto"/>
                <w:kern w:val="0"/>
                <w:sz w:val="21"/>
                <w:szCs w:val="21"/>
              </w:rPr>
              <w:t>功能类别</w:t>
            </w:r>
          </w:p>
        </w:tc>
        <w:tc>
          <w:tcPr>
            <w:tcW w:w="1897" w:type="pct"/>
            <w:vAlign w:val="center"/>
          </w:tcPr>
          <w:p w14:paraId="4834EA0C">
            <w:pPr>
              <w:widowControl/>
              <w:spacing w:line="240" w:lineRule="auto"/>
              <w:ind w:firstLine="0" w:firstLineChars="0"/>
              <w:jc w:val="center"/>
              <w:rPr>
                <w:b/>
                <w:bCs/>
                <w:color w:val="auto"/>
                <w:kern w:val="0"/>
                <w:sz w:val="21"/>
                <w:szCs w:val="21"/>
              </w:rPr>
            </w:pPr>
            <w:r>
              <w:rPr>
                <w:b/>
                <w:bCs/>
                <w:color w:val="auto"/>
                <w:kern w:val="0"/>
                <w:sz w:val="21"/>
                <w:szCs w:val="21"/>
              </w:rPr>
              <w:t>执行标准</w:t>
            </w:r>
          </w:p>
        </w:tc>
      </w:tr>
      <w:tr w14:paraId="2966A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16" w:type="pct"/>
            <w:gridSpan w:val="2"/>
            <w:vAlign w:val="center"/>
          </w:tcPr>
          <w:p w14:paraId="76246981">
            <w:pPr>
              <w:widowControl/>
              <w:spacing w:line="240" w:lineRule="auto"/>
              <w:ind w:firstLine="0" w:firstLineChars="0"/>
              <w:jc w:val="center"/>
              <w:rPr>
                <w:color w:val="auto"/>
                <w:kern w:val="0"/>
                <w:sz w:val="21"/>
                <w:szCs w:val="21"/>
              </w:rPr>
            </w:pPr>
            <w:r>
              <w:rPr>
                <w:color w:val="auto"/>
                <w:kern w:val="0"/>
                <w:sz w:val="21"/>
                <w:szCs w:val="21"/>
              </w:rPr>
              <w:t>大气环境</w:t>
            </w:r>
          </w:p>
        </w:tc>
        <w:tc>
          <w:tcPr>
            <w:tcW w:w="987" w:type="pct"/>
            <w:vAlign w:val="center"/>
          </w:tcPr>
          <w:p w14:paraId="6DF0726C">
            <w:pPr>
              <w:widowControl/>
              <w:spacing w:line="240" w:lineRule="auto"/>
              <w:ind w:firstLine="0" w:firstLineChars="0"/>
              <w:jc w:val="center"/>
              <w:rPr>
                <w:color w:val="auto"/>
                <w:kern w:val="0"/>
                <w:sz w:val="21"/>
                <w:szCs w:val="21"/>
              </w:rPr>
            </w:pPr>
            <w:r>
              <w:rPr>
                <w:color w:val="auto"/>
                <w:kern w:val="0"/>
                <w:sz w:val="21"/>
                <w:szCs w:val="21"/>
              </w:rPr>
              <w:t>二类</w:t>
            </w:r>
          </w:p>
        </w:tc>
        <w:tc>
          <w:tcPr>
            <w:tcW w:w="1897" w:type="pct"/>
            <w:vAlign w:val="center"/>
          </w:tcPr>
          <w:p w14:paraId="3C627D1D">
            <w:pPr>
              <w:widowControl/>
              <w:spacing w:line="240" w:lineRule="auto"/>
              <w:ind w:firstLine="0" w:firstLineChars="0"/>
              <w:jc w:val="center"/>
              <w:rPr>
                <w:color w:val="auto"/>
                <w:kern w:val="0"/>
                <w:sz w:val="21"/>
                <w:szCs w:val="21"/>
              </w:rPr>
            </w:pPr>
            <w:r>
              <w:rPr>
                <w:color w:val="auto"/>
                <w:kern w:val="0"/>
                <w:sz w:val="21"/>
                <w:szCs w:val="21"/>
              </w:rPr>
              <w:t>GB3095-20</w:t>
            </w:r>
            <w:r>
              <w:rPr>
                <w:rFonts w:hint="eastAsia"/>
                <w:color w:val="auto"/>
                <w:kern w:val="0"/>
                <w:sz w:val="21"/>
                <w:szCs w:val="21"/>
              </w:rPr>
              <w:t>26</w:t>
            </w:r>
            <w:r>
              <w:rPr>
                <w:color w:val="auto"/>
                <w:kern w:val="0"/>
                <w:sz w:val="21"/>
                <w:szCs w:val="21"/>
              </w:rPr>
              <w:t>二级</w:t>
            </w:r>
          </w:p>
        </w:tc>
      </w:tr>
      <w:tr w14:paraId="31118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pct"/>
            <w:vMerge w:val="restart"/>
            <w:vAlign w:val="center"/>
          </w:tcPr>
          <w:p w14:paraId="61213B02">
            <w:pPr>
              <w:widowControl/>
              <w:spacing w:line="240" w:lineRule="auto"/>
              <w:ind w:firstLine="0" w:firstLineChars="0"/>
              <w:jc w:val="center"/>
              <w:rPr>
                <w:color w:val="auto"/>
                <w:kern w:val="0"/>
                <w:sz w:val="21"/>
                <w:szCs w:val="21"/>
              </w:rPr>
            </w:pPr>
            <w:r>
              <w:rPr>
                <w:color w:val="auto"/>
                <w:kern w:val="0"/>
                <w:sz w:val="21"/>
                <w:szCs w:val="21"/>
              </w:rPr>
              <w:t>地表水环境</w:t>
            </w:r>
          </w:p>
        </w:tc>
        <w:tc>
          <w:tcPr>
            <w:tcW w:w="1270" w:type="pct"/>
            <w:vAlign w:val="center"/>
          </w:tcPr>
          <w:p w14:paraId="52E1B808">
            <w:pPr>
              <w:widowControl/>
              <w:spacing w:line="240" w:lineRule="auto"/>
              <w:ind w:firstLine="0" w:firstLineChars="0"/>
              <w:jc w:val="center"/>
              <w:rPr>
                <w:color w:val="auto"/>
                <w:kern w:val="0"/>
                <w:sz w:val="21"/>
                <w:szCs w:val="21"/>
              </w:rPr>
            </w:pPr>
            <w:r>
              <w:rPr>
                <w:color w:val="auto"/>
                <w:kern w:val="0"/>
                <w:sz w:val="21"/>
                <w:szCs w:val="21"/>
              </w:rPr>
              <w:t>江风河</w:t>
            </w:r>
          </w:p>
        </w:tc>
        <w:tc>
          <w:tcPr>
            <w:tcW w:w="987" w:type="pct"/>
            <w:vAlign w:val="center"/>
          </w:tcPr>
          <w:p w14:paraId="385DF1DC">
            <w:pPr>
              <w:widowControl/>
              <w:spacing w:line="240" w:lineRule="auto"/>
              <w:ind w:firstLine="0" w:firstLineChars="0"/>
              <w:jc w:val="center"/>
              <w:rPr>
                <w:color w:val="auto"/>
                <w:kern w:val="0"/>
                <w:sz w:val="21"/>
                <w:szCs w:val="21"/>
              </w:rPr>
            </w:pPr>
            <w:r>
              <w:rPr>
                <w:color w:val="auto"/>
                <w:kern w:val="0"/>
                <w:sz w:val="21"/>
                <w:szCs w:val="21"/>
              </w:rPr>
              <w:t>III类</w:t>
            </w:r>
          </w:p>
        </w:tc>
        <w:tc>
          <w:tcPr>
            <w:tcW w:w="1897" w:type="pct"/>
            <w:vAlign w:val="center"/>
          </w:tcPr>
          <w:p w14:paraId="07144E6E">
            <w:pPr>
              <w:widowControl/>
              <w:spacing w:line="240" w:lineRule="auto"/>
              <w:ind w:firstLine="0" w:firstLineChars="0"/>
              <w:jc w:val="center"/>
              <w:rPr>
                <w:color w:val="auto"/>
                <w:kern w:val="0"/>
                <w:sz w:val="21"/>
                <w:szCs w:val="21"/>
              </w:rPr>
            </w:pPr>
            <w:r>
              <w:rPr>
                <w:color w:val="auto"/>
                <w:kern w:val="0"/>
                <w:sz w:val="21"/>
                <w:szCs w:val="21"/>
              </w:rPr>
              <w:t>GB3838-2002III类</w:t>
            </w:r>
          </w:p>
        </w:tc>
      </w:tr>
      <w:tr w14:paraId="39721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pct"/>
            <w:vMerge w:val="continue"/>
            <w:vAlign w:val="center"/>
          </w:tcPr>
          <w:p w14:paraId="094FBED2">
            <w:pPr>
              <w:widowControl/>
              <w:spacing w:line="240" w:lineRule="auto"/>
              <w:ind w:firstLine="0" w:firstLineChars="0"/>
              <w:jc w:val="center"/>
              <w:rPr>
                <w:color w:val="auto"/>
                <w:kern w:val="0"/>
                <w:sz w:val="21"/>
                <w:szCs w:val="21"/>
              </w:rPr>
            </w:pPr>
          </w:p>
        </w:tc>
        <w:tc>
          <w:tcPr>
            <w:tcW w:w="1270" w:type="pct"/>
            <w:vAlign w:val="center"/>
          </w:tcPr>
          <w:p w14:paraId="53582134">
            <w:pPr>
              <w:widowControl/>
              <w:spacing w:line="240" w:lineRule="auto"/>
              <w:ind w:firstLine="0" w:firstLineChars="0"/>
              <w:jc w:val="center"/>
              <w:rPr>
                <w:color w:val="auto"/>
                <w:kern w:val="0"/>
                <w:sz w:val="21"/>
                <w:szCs w:val="21"/>
              </w:rPr>
            </w:pPr>
            <w:r>
              <w:rPr>
                <w:color w:val="auto"/>
                <w:kern w:val="0"/>
                <w:sz w:val="21"/>
                <w:szCs w:val="21"/>
              </w:rPr>
              <w:t>长江(近岸)</w:t>
            </w:r>
          </w:p>
        </w:tc>
        <w:tc>
          <w:tcPr>
            <w:tcW w:w="987" w:type="pct"/>
            <w:vAlign w:val="center"/>
          </w:tcPr>
          <w:p w14:paraId="76FEBA74">
            <w:pPr>
              <w:widowControl/>
              <w:spacing w:line="240" w:lineRule="auto"/>
              <w:ind w:firstLine="0" w:firstLineChars="0"/>
              <w:jc w:val="center"/>
              <w:rPr>
                <w:color w:val="auto"/>
                <w:kern w:val="0"/>
                <w:sz w:val="21"/>
                <w:szCs w:val="21"/>
              </w:rPr>
            </w:pPr>
            <w:r>
              <w:rPr>
                <w:color w:val="auto"/>
                <w:kern w:val="0"/>
                <w:sz w:val="21"/>
                <w:szCs w:val="21"/>
              </w:rPr>
              <w:t>III类</w:t>
            </w:r>
          </w:p>
        </w:tc>
        <w:tc>
          <w:tcPr>
            <w:tcW w:w="1897" w:type="pct"/>
            <w:vAlign w:val="center"/>
          </w:tcPr>
          <w:p w14:paraId="2543E9EE">
            <w:pPr>
              <w:widowControl/>
              <w:spacing w:line="240" w:lineRule="auto"/>
              <w:ind w:firstLine="0" w:firstLineChars="0"/>
              <w:jc w:val="center"/>
              <w:rPr>
                <w:color w:val="auto"/>
                <w:kern w:val="0"/>
                <w:sz w:val="21"/>
                <w:szCs w:val="21"/>
              </w:rPr>
            </w:pPr>
            <w:r>
              <w:rPr>
                <w:color w:val="auto"/>
                <w:kern w:val="0"/>
                <w:sz w:val="21"/>
                <w:szCs w:val="21"/>
              </w:rPr>
              <w:t>GB3838-2002III类</w:t>
            </w:r>
          </w:p>
        </w:tc>
      </w:tr>
      <w:tr w14:paraId="43710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pct"/>
            <w:vMerge w:val="continue"/>
            <w:vAlign w:val="center"/>
          </w:tcPr>
          <w:p w14:paraId="6900DF2A">
            <w:pPr>
              <w:widowControl/>
              <w:spacing w:line="240" w:lineRule="auto"/>
              <w:ind w:firstLine="0" w:firstLineChars="0"/>
              <w:jc w:val="center"/>
              <w:rPr>
                <w:color w:val="auto"/>
                <w:kern w:val="0"/>
                <w:sz w:val="21"/>
                <w:szCs w:val="21"/>
              </w:rPr>
            </w:pPr>
          </w:p>
        </w:tc>
        <w:tc>
          <w:tcPr>
            <w:tcW w:w="1270" w:type="pct"/>
            <w:vAlign w:val="center"/>
          </w:tcPr>
          <w:p w14:paraId="617E3522">
            <w:pPr>
              <w:widowControl/>
              <w:spacing w:line="240" w:lineRule="auto"/>
              <w:ind w:firstLine="0" w:firstLineChars="0"/>
              <w:jc w:val="center"/>
              <w:rPr>
                <w:color w:val="auto"/>
                <w:kern w:val="0"/>
                <w:sz w:val="21"/>
                <w:szCs w:val="21"/>
              </w:rPr>
            </w:pPr>
            <w:r>
              <w:rPr>
                <w:color w:val="auto"/>
                <w:kern w:val="0"/>
                <w:sz w:val="21"/>
                <w:szCs w:val="21"/>
              </w:rPr>
              <w:t>长江(中泓)</w:t>
            </w:r>
          </w:p>
        </w:tc>
        <w:tc>
          <w:tcPr>
            <w:tcW w:w="987" w:type="pct"/>
            <w:vAlign w:val="center"/>
          </w:tcPr>
          <w:p w14:paraId="41C94240">
            <w:pPr>
              <w:widowControl/>
              <w:spacing w:line="240" w:lineRule="auto"/>
              <w:ind w:firstLine="0" w:firstLineChars="0"/>
              <w:jc w:val="center"/>
              <w:rPr>
                <w:color w:val="auto"/>
                <w:kern w:val="0"/>
                <w:sz w:val="21"/>
                <w:szCs w:val="21"/>
              </w:rPr>
            </w:pPr>
            <w:r>
              <w:rPr>
                <w:color w:val="auto"/>
                <w:kern w:val="0"/>
                <w:sz w:val="21"/>
                <w:szCs w:val="21"/>
              </w:rPr>
              <w:t>II类</w:t>
            </w:r>
          </w:p>
        </w:tc>
        <w:tc>
          <w:tcPr>
            <w:tcW w:w="1897" w:type="pct"/>
            <w:vAlign w:val="center"/>
          </w:tcPr>
          <w:p w14:paraId="60FF767A">
            <w:pPr>
              <w:widowControl/>
              <w:spacing w:line="240" w:lineRule="auto"/>
              <w:ind w:firstLine="0" w:firstLineChars="0"/>
              <w:jc w:val="center"/>
              <w:rPr>
                <w:color w:val="auto"/>
                <w:kern w:val="0"/>
                <w:sz w:val="21"/>
                <w:szCs w:val="21"/>
              </w:rPr>
            </w:pPr>
            <w:r>
              <w:rPr>
                <w:color w:val="auto"/>
                <w:kern w:val="0"/>
                <w:sz w:val="21"/>
                <w:szCs w:val="21"/>
              </w:rPr>
              <w:t>GB3838-2002II类</w:t>
            </w:r>
          </w:p>
        </w:tc>
      </w:tr>
      <w:tr w14:paraId="370C4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pct"/>
            <w:vAlign w:val="center"/>
          </w:tcPr>
          <w:p w14:paraId="63677C50">
            <w:pPr>
              <w:widowControl/>
              <w:spacing w:line="240" w:lineRule="auto"/>
              <w:ind w:firstLine="0" w:firstLineChars="0"/>
              <w:jc w:val="center"/>
              <w:rPr>
                <w:color w:val="auto"/>
                <w:kern w:val="0"/>
                <w:sz w:val="21"/>
                <w:szCs w:val="21"/>
              </w:rPr>
            </w:pPr>
            <w:r>
              <w:rPr>
                <w:color w:val="auto"/>
                <w:kern w:val="0"/>
                <w:sz w:val="21"/>
                <w:szCs w:val="21"/>
              </w:rPr>
              <w:t>声环境</w:t>
            </w:r>
          </w:p>
        </w:tc>
        <w:tc>
          <w:tcPr>
            <w:tcW w:w="1270" w:type="pct"/>
            <w:vAlign w:val="center"/>
          </w:tcPr>
          <w:p w14:paraId="1418E9DF">
            <w:pPr>
              <w:widowControl/>
              <w:spacing w:line="240" w:lineRule="auto"/>
              <w:ind w:firstLine="0" w:firstLineChars="0"/>
              <w:jc w:val="center"/>
              <w:rPr>
                <w:color w:val="auto"/>
                <w:kern w:val="0"/>
                <w:sz w:val="21"/>
                <w:szCs w:val="21"/>
              </w:rPr>
            </w:pPr>
            <w:r>
              <w:rPr>
                <w:color w:val="auto"/>
                <w:kern w:val="0"/>
                <w:sz w:val="21"/>
                <w:szCs w:val="21"/>
              </w:rPr>
              <w:t>工业区</w:t>
            </w:r>
          </w:p>
        </w:tc>
        <w:tc>
          <w:tcPr>
            <w:tcW w:w="987" w:type="pct"/>
            <w:vAlign w:val="center"/>
          </w:tcPr>
          <w:p w14:paraId="1AD0DD91">
            <w:pPr>
              <w:widowControl/>
              <w:spacing w:line="240" w:lineRule="auto"/>
              <w:ind w:firstLine="0" w:firstLineChars="0"/>
              <w:jc w:val="center"/>
              <w:rPr>
                <w:color w:val="auto"/>
                <w:kern w:val="0"/>
                <w:sz w:val="21"/>
                <w:szCs w:val="21"/>
              </w:rPr>
            </w:pPr>
            <w:r>
              <w:rPr>
                <w:color w:val="auto"/>
                <w:kern w:val="0"/>
                <w:sz w:val="21"/>
                <w:szCs w:val="21"/>
              </w:rPr>
              <w:t>3类</w:t>
            </w:r>
          </w:p>
        </w:tc>
        <w:tc>
          <w:tcPr>
            <w:tcW w:w="1897" w:type="pct"/>
            <w:vAlign w:val="center"/>
          </w:tcPr>
          <w:p w14:paraId="59D0B713">
            <w:pPr>
              <w:widowControl/>
              <w:spacing w:line="240" w:lineRule="auto"/>
              <w:ind w:firstLine="0" w:firstLineChars="0"/>
              <w:jc w:val="center"/>
              <w:rPr>
                <w:color w:val="auto"/>
                <w:kern w:val="0"/>
                <w:sz w:val="21"/>
                <w:szCs w:val="21"/>
              </w:rPr>
            </w:pPr>
            <w:r>
              <w:rPr>
                <w:color w:val="auto"/>
                <w:kern w:val="0"/>
                <w:sz w:val="21"/>
                <w:szCs w:val="21"/>
              </w:rPr>
              <w:t>GB3096-2008 3类</w:t>
            </w:r>
          </w:p>
        </w:tc>
      </w:tr>
      <w:tr w14:paraId="347C2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pct"/>
            <w:vMerge w:val="restart"/>
            <w:vAlign w:val="center"/>
          </w:tcPr>
          <w:p w14:paraId="6CBEBB9A">
            <w:pPr>
              <w:widowControl/>
              <w:spacing w:line="240" w:lineRule="auto"/>
              <w:ind w:firstLine="0" w:firstLineChars="0"/>
              <w:jc w:val="center"/>
              <w:rPr>
                <w:color w:val="auto"/>
                <w:kern w:val="0"/>
                <w:sz w:val="21"/>
                <w:szCs w:val="21"/>
              </w:rPr>
            </w:pPr>
            <w:r>
              <w:rPr>
                <w:color w:val="auto"/>
                <w:kern w:val="0"/>
                <w:sz w:val="21"/>
                <w:szCs w:val="21"/>
              </w:rPr>
              <w:t>土壤</w:t>
            </w:r>
          </w:p>
        </w:tc>
        <w:tc>
          <w:tcPr>
            <w:tcW w:w="1270" w:type="pct"/>
            <w:vAlign w:val="center"/>
          </w:tcPr>
          <w:p w14:paraId="6C2FF728">
            <w:pPr>
              <w:widowControl/>
              <w:spacing w:line="240" w:lineRule="auto"/>
              <w:ind w:firstLine="0" w:firstLineChars="0"/>
              <w:jc w:val="center"/>
              <w:rPr>
                <w:color w:val="auto"/>
                <w:kern w:val="0"/>
                <w:sz w:val="21"/>
                <w:szCs w:val="21"/>
              </w:rPr>
            </w:pPr>
            <w:r>
              <w:rPr>
                <w:color w:val="auto"/>
                <w:kern w:val="0"/>
                <w:sz w:val="21"/>
                <w:szCs w:val="21"/>
              </w:rPr>
              <w:t>项目所在地工业区</w:t>
            </w:r>
          </w:p>
        </w:tc>
        <w:tc>
          <w:tcPr>
            <w:tcW w:w="987" w:type="pct"/>
            <w:vAlign w:val="center"/>
          </w:tcPr>
          <w:p w14:paraId="0729AF3F">
            <w:pPr>
              <w:widowControl/>
              <w:spacing w:line="240" w:lineRule="auto"/>
              <w:ind w:firstLine="0" w:firstLineChars="0"/>
              <w:jc w:val="center"/>
              <w:rPr>
                <w:color w:val="auto"/>
                <w:kern w:val="0"/>
                <w:sz w:val="21"/>
                <w:szCs w:val="21"/>
              </w:rPr>
            </w:pPr>
            <w:r>
              <w:rPr>
                <w:color w:val="auto"/>
                <w:kern w:val="0"/>
                <w:sz w:val="21"/>
                <w:szCs w:val="21"/>
              </w:rPr>
              <w:t>第二类筛选值</w:t>
            </w:r>
          </w:p>
        </w:tc>
        <w:tc>
          <w:tcPr>
            <w:tcW w:w="1897" w:type="pct"/>
            <w:vAlign w:val="center"/>
          </w:tcPr>
          <w:p w14:paraId="6534C526">
            <w:pPr>
              <w:widowControl/>
              <w:spacing w:line="240" w:lineRule="auto"/>
              <w:ind w:firstLine="0" w:firstLineChars="0"/>
              <w:jc w:val="center"/>
              <w:rPr>
                <w:color w:val="auto"/>
                <w:kern w:val="0"/>
                <w:sz w:val="21"/>
                <w:szCs w:val="21"/>
              </w:rPr>
            </w:pPr>
            <w:r>
              <w:rPr>
                <w:color w:val="auto"/>
                <w:kern w:val="0"/>
                <w:sz w:val="21"/>
                <w:szCs w:val="21"/>
              </w:rPr>
              <w:t>GB36600-2018第二类筛选值</w:t>
            </w:r>
          </w:p>
        </w:tc>
      </w:tr>
      <w:tr w14:paraId="392F9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pct"/>
            <w:vMerge w:val="continue"/>
            <w:vAlign w:val="center"/>
          </w:tcPr>
          <w:p w14:paraId="199749C7">
            <w:pPr>
              <w:widowControl/>
              <w:spacing w:line="240" w:lineRule="auto"/>
              <w:ind w:firstLine="0" w:firstLineChars="0"/>
              <w:jc w:val="center"/>
              <w:rPr>
                <w:color w:val="auto"/>
                <w:kern w:val="0"/>
                <w:sz w:val="21"/>
                <w:szCs w:val="21"/>
              </w:rPr>
            </w:pPr>
          </w:p>
        </w:tc>
        <w:tc>
          <w:tcPr>
            <w:tcW w:w="1270" w:type="pct"/>
            <w:vAlign w:val="center"/>
          </w:tcPr>
          <w:p w14:paraId="5BF61DB9">
            <w:pPr>
              <w:widowControl/>
              <w:spacing w:line="240" w:lineRule="auto"/>
              <w:ind w:firstLine="0" w:firstLineChars="0"/>
              <w:jc w:val="center"/>
              <w:rPr>
                <w:color w:val="auto"/>
                <w:kern w:val="0"/>
                <w:sz w:val="21"/>
                <w:szCs w:val="21"/>
              </w:rPr>
            </w:pPr>
            <w:r>
              <w:rPr>
                <w:color w:val="auto"/>
                <w:kern w:val="0"/>
                <w:sz w:val="21"/>
                <w:szCs w:val="21"/>
              </w:rPr>
              <w:t>评价范围内居民</w:t>
            </w:r>
          </w:p>
        </w:tc>
        <w:tc>
          <w:tcPr>
            <w:tcW w:w="987" w:type="pct"/>
            <w:vAlign w:val="center"/>
          </w:tcPr>
          <w:p w14:paraId="0BDF3886">
            <w:pPr>
              <w:widowControl/>
              <w:spacing w:line="240" w:lineRule="auto"/>
              <w:ind w:firstLine="0" w:firstLineChars="0"/>
              <w:jc w:val="center"/>
              <w:rPr>
                <w:color w:val="auto"/>
                <w:kern w:val="0"/>
                <w:sz w:val="21"/>
                <w:szCs w:val="21"/>
              </w:rPr>
            </w:pPr>
            <w:r>
              <w:rPr>
                <w:color w:val="auto"/>
                <w:kern w:val="0"/>
                <w:sz w:val="21"/>
                <w:szCs w:val="21"/>
              </w:rPr>
              <w:t>第一类筛选值</w:t>
            </w:r>
          </w:p>
        </w:tc>
        <w:tc>
          <w:tcPr>
            <w:tcW w:w="1897" w:type="pct"/>
            <w:vAlign w:val="center"/>
          </w:tcPr>
          <w:p w14:paraId="0D8818E4">
            <w:pPr>
              <w:widowControl/>
              <w:spacing w:line="240" w:lineRule="auto"/>
              <w:ind w:firstLine="0" w:firstLineChars="0"/>
              <w:jc w:val="center"/>
              <w:rPr>
                <w:color w:val="auto"/>
                <w:kern w:val="0"/>
                <w:sz w:val="21"/>
                <w:szCs w:val="21"/>
              </w:rPr>
            </w:pPr>
            <w:r>
              <w:rPr>
                <w:color w:val="auto"/>
                <w:kern w:val="0"/>
                <w:sz w:val="21"/>
                <w:szCs w:val="21"/>
              </w:rPr>
              <w:t>GB36600-2018第一类筛选值</w:t>
            </w:r>
          </w:p>
        </w:tc>
      </w:tr>
      <w:tr w14:paraId="78704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pct"/>
            <w:vMerge w:val="continue"/>
            <w:vAlign w:val="center"/>
          </w:tcPr>
          <w:p w14:paraId="729D34E2">
            <w:pPr>
              <w:widowControl/>
              <w:adjustRightInd/>
              <w:snapToGrid/>
              <w:spacing w:before="163" w:after="163" w:line="240" w:lineRule="auto"/>
              <w:ind w:firstLine="562" w:firstLineChars="0"/>
              <w:jc w:val="center"/>
              <w:rPr>
                <w:snapToGrid w:val="0"/>
                <w:color w:val="auto"/>
                <w:kern w:val="0"/>
                <w:sz w:val="21"/>
                <w:szCs w:val="21"/>
              </w:rPr>
            </w:pPr>
          </w:p>
        </w:tc>
        <w:tc>
          <w:tcPr>
            <w:tcW w:w="1270" w:type="pct"/>
            <w:vAlign w:val="center"/>
          </w:tcPr>
          <w:p w14:paraId="1402B8B7">
            <w:pPr>
              <w:widowControl/>
              <w:spacing w:line="240" w:lineRule="auto"/>
              <w:ind w:firstLine="0" w:firstLineChars="0"/>
              <w:jc w:val="center"/>
              <w:rPr>
                <w:color w:val="auto"/>
                <w:kern w:val="0"/>
                <w:sz w:val="21"/>
                <w:szCs w:val="21"/>
              </w:rPr>
            </w:pPr>
            <w:r>
              <w:rPr>
                <w:color w:val="auto"/>
                <w:kern w:val="0"/>
                <w:sz w:val="21"/>
                <w:szCs w:val="21"/>
              </w:rPr>
              <w:t>周边耕地</w:t>
            </w:r>
          </w:p>
        </w:tc>
        <w:tc>
          <w:tcPr>
            <w:tcW w:w="987" w:type="pct"/>
            <w:vAlign w:val="center"/>
          </w:tcPr>
          <w:p w14:paraId="47750CA3">
            <w:pPr>
              <w:widowControl/>
              <w:spacing w:line="240" w:lineRule="auto"/>
              <w:ind w:firstLine="0" w:firstLineChars="0"/>
              <w:jc w:val="center"/>
              <w:rPr>
                <w:color w:val="auto"/>
                <w:kern w:val="0"/>
                <w:sz w:val="21"/>
                <w:szCs w:val="21"/>
              </w:rPr>
            </w:pPr>
            <w:r>
              <w:rPr>
                <w:color w:val="auto"/>
                <w:kern w:val="0"/>
                <w:sz w:val="21"/>
                <w:szCs w:val="21"/>
              </w:rPr>
              <w:t>风险筛选值</w:t>
            </w:r>
          </w:p>
        </w:tc>
        <w:tc>
          <w:tcPr>
            <w:tcW w:w="1897" w:type="pct"/>
            <w:vAlign w:val="center"/>
          </w:tcPr>
          <w:p w14:paraId="70729FFB">
            <w:pPr>
              <w:widowControl/>
              <w:spacing w:line="240" w:lineRule="auto"/>
              <w:ind w:firstLine="0" w:firstLineChars="0"/>
              <w:jc w:val="center"/>
              <w:rPr>
                <w:color w:val="auto"/>
                <w:kern w:val="0"/>
                <w:sz w:val="21"/>
                <w:szCs w:val="21"/>
              </w:rPr>
            </w:pPr>
            <w:r>
              <w:rPr>
                <w:color w:val="auto"/>
                <w:kern w:val="0"/>
                <w:sz w:val="21"/>
                <w:szCs w:val="21"/>
              </w:rPr>
              <w:t>GB15618-2018风险筛选值</w:t>
            </w:r>
          </w:p>
        </w:tc>
      </w:tr>
    </w:tbl>
    <w:p w14:paraId="0662F36D">
      <w:pPr>
        <w:snapToGrid/>
        <w:spacing w:before="156" w:beforeLines="50" w:after="156" w:afterLines="50"/>
        <w:ind w:firstLine="0" w:firstLineChars="0"/>
        <w:jc w:val="left"/>
        <w:outlineLvl w:val="2"/>
        <w:rPr>
          <w:b/>
          <w:bCs/>
          <w:color w:val="auto"/>
        </w:rPr>
      </w:pPr>
      <w:bookmarkStart w:id="63" w:name="_Toc29189"/>
      <w:r>
        <w:rPr>
          <w:rFonts w:hint="eastAsia"/>
          <w:b/>
          <w:bCs/>
          <w:color w:val="auto"/>
        </w:rPr>
        <w:t>2.5.3江苏省生态空间管控区域规划</w:t>
      </w:r>
      <w:bookmarkEnd w:id="63"/>
    </w:p>
    <w:p w14:paraId="1D216282">
      <w:pPr>
        <w:ind w:firstLine="480"/>
        <w:rPr>
          <w:color w:val="auto"/>
        </w:rPr>
      </w:pPr>
      <w:r>
        <w:rPr>
          <w:color w:val="auto"/>
        </w:rPr>
        <w:t>根据《省政府关于印发&lt;江苏省生态空间管控区域规划&gt;的通知》(苏政发[2020]1号)、《江苏省自然资源厅关于&lt;启东市生态空间管控区域调整方案&gt;的复函》(苏自然资函[2021]1250号)、《江苏省自然资源厅关于&lt;南通市海门区生态空间管控区域调整方案&gt;的复函》(苏自然资函[2021]877号)划定的生态空间保护区域名录，启东市共划定了通吕运河(启东市)清水通道维护区、通启运河(启东市)清水通道维护区、启东市饮用水水源保护区、启东长江口(北支)湿地省级自然保护区、长江(启东市)重要湿地、新三和港河清水通道维护区、蒿枝港河清水通道维护区、头兴港河清水通道维护区、南通圆陀角省级湿地公园等9个生态空间保护区域，距离项目所在地较近的海门</w:t>
      </w:r>
      <w:r>
        <w:rPr>
          <w:rFonts w:hint="eastAsia"/>
          <w:color w:val="auto"/>
        </w:rPr>
        <w:t>区</w:t>
      </w:r>
      <w:r>
        <w:rPr>
          <w:color w:val="auto"/>
        </w:rPr>
        <w:t>生态空间保护区域有：</w:t>
      </w:r>
      <w:bookmarkStart w:id="64" w:name="_Hlk108007638"/>
      <w:r>
        <w:rPr>
          <w:color w:val="auto"/>
        </w:rPr>
        <w:t>海门</w:t>
      </w:r>
      <w:r>
        <w:rPr>
          <w:rFonts w:hint="eastAsia"/>
          <w:color w:val="auto"/>
        </w:rPr>
        <w:t>区</w:t>
      </w:r>
      <w:r>
        <w:rPr>
          <w:color w:val="auto"/>
        </w:rPr>
        <w:t>沿海堤防生态公益林</w:t>
      </w:r>
      <w:bookmarkEnd w:id="64"/>
      <w:r>
        <w:rPr>
          <w:color w:val="auto"/>
        </w:rPr>
        <w:t>、长江(海门区)重要湿地、十八匡河清水通道维护区、灵甸河清水通道维护区、二十匡河清水通道维护区、右汊河清水通道维护区。本项目不在规划的生态空间保护区域范围内，与本项目最近的生态空间管控区域为东侧的新三和港清水通道维护区，距离约为1.79km。</w:t>
      </w:r>
    </w:p>
    <w:p w14:paraId="24CCDAC3">
      <w:pPr>
        <w:snapToGrid/>
        <w:spacing w:before="156" w:beforeLines="50" w:after="156" w:afterLines="50"/>
        <w:ind w:firstLine="0" w:firstLineChars="0"/>
        <w:jc w:val="left"/>
        <w:outlineLvl w:val="2"/>
        <w:rPr>
          <w:b/>
          <w:bCs/>
          <w:color w:val="auto"/>
        </w:rPr>
      </w:pPr>
      <w:bookmarkStart w:id="65" w:name="_Toc31701"/>
      <w:r>
        <w:rPr>
          <w:rFonts w:hint="eastAsia"/>
          <w:b/>
          <w:bCs/>
          <w:color w:val="auto"/>
        </w:rPr>
        <w:t>2.5.4江苏省国家级生态红线保护规划</w:t>
      </w:r>
      <w:bookmarkEnd w:id="65"/>
    </w:p>
    <w:p w14:paraId="7E375C4C">
      <w:pPr>
        <w:ind w:firstLine="480"/>
        <w:rPr>
          <w:color w:val="auto"/>
        </w:rPr>
        <w:sectPr>
          <w:pgSz w:w="11906" w:h="16838"/>
          <w:pgMar w:top="1134" w:right="1134" w:bottom="1134" w:left="1134" w:header="851" w:footer="992" w:gutter="0"/>
          <w:cols w:space="425" w:num="1"/>
          <w:docGrid w:type="lines" w:linePitch="312" w:charSpace="0"/>
        </w:sectPr>
      </w:pPr>
      <w:r>
        <w:rPr>
          <w:color w:val="auto"/>
        </w:rPr>
        <w:t>对照《江苏省国家级生态保护红线规划》(苏政发[2018]74号)、启东市“三区三线”划定成果、《启东市国土空间总体规划(2021-2035年)》，本项目不在规划的生态保护红线内，距离项目最近的生态保护红线为项目东北侧14.8km的启东市饮用水水源保护区</w:t>
      </w:r>
      <w:r>
        <w:rPr>
          <w:rFonts w:hint="eastAsia"/>
          <w:color w:val="auto"/>
        </w:rPr>
        <w:t>。</w:t>
      </w:r>
    </w:p>
    <w:p w14:paraId="4D6D7426">
      <w:pPr>
        <w:pStyle w:val="2"/>
        <w:spacing w:before="312" w:after="312"/>
        <w:rPr>
          <w:rFonts w:hint="eastAsia"/>
          <w:color w:val="auto"/>
        </w:rPr>
      </w:pPr>
      <w:bookmarkStart w:id="66" w:name="_Toc24491"/>
      <w:bookmarkStart w:id="67" w:name="_Toc368309784"/>
      <w:bookmarkStart w:id="68" w:name="_Toc29732"/>
      <w:bookmarkStart w:id="69" w:name="_Toc1770"/>
      <w:bookmarkStart w:id="70" w:name="_Toc387821715"/>
      <w:bookmarkStart w:id="71" w:name="_Toc414206361"/>
      <w:bookmarkStart w:id="72" w:name="_Toc138861938"/>
      <w:bookmarkStart w:id="73" w:name="_Toc757"/>
      <w:bookmarkStart w:id="74" w:name="_Toc123892533"/>
      <w:bookmarkStart w:id="75" w:name="_Toc5394"/>
      <w:r>
        <w:rPr>
          <w:rFonts w:hint="eastAsia"/>
          <w:color w:val="auto"/>
        </w:rPr>
        <w:t>现有项目回顾性评价</w:t>
      </w:r>
      <w:bookmarkEnd w:id="66"/>
    </w:p>
    <w:p w14:paraId="609A366B">
      <w:pPr>
        <w:pStyle w:val="3"/>
        <w:spacing w:before="312"/>
        <w:rPr>
          <w:color w:val="auto"/>
        </w:rPr>
      </w:pPr>
      <w:bookmarkStart w:id="76" w:name="_Toc13132"/>
      <w:r>
        <w:rPr>
          <w:rFonts w:hint="eastAsia"/>
          <w:color w:val="auto"/>
        </w:rPr>
        <w:t>3.1</w:t>
      </w:r>
      <w:bookmarkEnd w:id="67"/>
      <w:r>
        <w:rPr>
          <w:rFonts w:hint="eastAsia"/>
          <w:color w:val="auto"/>
        </w:rPr>
        <w:t>现有项目概况</w:t>
      </w:r>
      <w:bookmarkEnd w:id="68"/>
      <w:bookmarkEnd w:id="69"/>
      <w:bookmarkEnd w:id="70"/>
      <w:bookmarkEnd w:id="71"/>
      <w:bookmarkEnd w:id="72"/>
      <w:bookmarkEnd w:id="73"/>
      <w:bookmarkEnd w:id="74"/>
      <w:bookmarkEnd w:id="75"/>
      <w:bookmarkEnd w:id="76"/>
    </w:p>
    <w:p w14:paraId="676D53F0">
      <w:pPr>
        <w:pStyle w:val="4"/>
        <w:rPr>
          <w:color w:val="auto"/>
        </w:rPr>
      </w:pPr>
      <w:bookmarkStart w:id="481" w:name="_GoBack"/>
      <w:bookmarkEnd w:id="481"/>
      <w:bookmarkStart w:id="77" w:name="_Toc8875"/>
      <w:r>
        <w:rPr>
          <w:rFonts w:hint="eastAsia"/>
          <w:color w:val="auto"/>
        </w:rPr>
        <w:t>3.1.2</w:t>
      </w:r>
      <w:r>
        <w:rPr>
          <w:color w:val="auto"/>
        </w:rPr>
        <w:t>厂区现有项目批建符合情况</w:t>
      </w:r>
      <w:bookmarkEnd w:id="77"/>
    </w:p>
    <w:p w14:paraId="7B731D65">
      <w:pPr>
        <w:spacing w:line="460" w:lineRule="exact"/>
        <w:ind w:firstLine="480"/>
        <w:rPr>
          <w:color w:val="auto"/>
        </w:rPr>
      </w:pPr>
      <w:r>
        <w:rPr>
          <w:color w:val="auto"/>
        </w:rPr>
        <w:t>现有项目建设情况与环评批复基本一致，现有项目实际建设情况与环评批复的符合情况如下。</w:t>
      </w:r>
    </w:p>
    <w:p w14:paraId="5DCB3626">
      <w:pPr>
        <w:spacing w:line="240" w:lineRule="auto"/>
        <w:ind w:firstLine="0" w:firstLineChars="0"/>
        <w:jc w:val="center"/>
        <w:rPr>
          <w:b/>
          <w:bCs/>
          <w:color w:val="auto"/>
        </w:rPr>
      </w:pPr>
      <w:r>
        <w:rPr>
          <w:b/>
          <w:bCs/>
          <w:color w:val="auto"/>
        </w:rPr>
        <w:t>表3.1-</w:t>
      </w:r>
      <w:r>
        <w:rPr>
          <w:rFonts w:hint="eastAsia"/>
          <w:b/>
          <w:bCs/>
          <w:color w:val="auto"/>
        </w:rPr>
        <w:t>2</w:t>
      </w:r>
      <w:r>
        <w:rPr>
          <w:b/>
          <w:bCs/>
          <w:color w:val="auto"/>
        </w:rPr>
        <w:t xml:space="preserve"> </w:t>
      </w:r>
      <w:r>
        <w:rPr>
          <w:rFonts w:hint="eastAsia"/>
          <w:b/>
          <w:bCs/>
          <w:color w:val="auto"/>
        </w:rPr>
        <w:t xml:space="preserve"> </w:t>
      </w:r>
      <w:r>
        <w:rPr>
          <w:b/>
          <w:bCs/>
          <w:color w:val="auto"/>
        </w:rPr>
        <w:t>与</w:t>
      </w:r>
      <w:r>
        <w:rPr>
          <w:rFonts w:hint="eastAsia"/>
          <w:b/>
          <w:bCs/>
          <w:color w:val="auto"/>
        </w:rPr>
        <w:t>通环管[2007]108号</w:t>
      </w:r>
      <w:r>
        <w:rPr>
          <w:b/>
          <w:bCs/>
          <w:color w:val="auto"/>
        </w:rPr>
        <w:t>文的批建相符情况一览表</w:t>
      </w:r>
    </w:p>
    <w:tbl>
      <w:tblPr>
        <w:tblStyle w:val="24"/>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31"/>
        <w:gridCol w:w="4987"/>
        <w:gridCol w:w="4136"/>
      </w:tblGrid>
      <w:tr w14:paraId="054170F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jc w:val="center"/>
        </w:trPr>
        <w:tc>
          <w:tcPr>
            <w:tcW w:w="632" w:type="dxa"/>
            <w:tcBorders>
              <w:tl2br w:val="nil"/>
              <w:tr2bl w:val="nil"/>
            </w:tcBorders>
            <w:vAlign w:val="center"/>
          </w:tcPr>
          <w:p w14:paraId="7E5B022A">
            <w:pPr>
              <w:spacing w:line="240" w:lineRule="auto"/>
              <w:ind w:firstLine="0" w:firstLineChars="0"/>
              <w:jc w:val="center"/>
              <w:rPr>
                <w:b/>
                <w:color w:val="auto"/>
                <w:kern w:val="0"/>
                <w:sz w:val="21"/>
                <w:szCs w:val="18"/>
              </w:rPr>
            </w:pPr>
            <w:r>
              <w:rPr>
                <w:b/>
                <w:bCs/>
                <w:color w:val="auto"/>
                <w:sz w:val="21"/>
                <w:szCs w:val="18"/>
              </w:rPr>
              <w:t>序号</w:t>
            </w:r>
          </w:p>
        </w:tc>
        <w:tc>
          <w:tcPr>
            <w:tcW w:w="4313" w:type="dxa"/>
            <w:tcBorders>
              <w:tl2br w:val="nil"/>
              <w:tr2bl w:val="nil"/>
            </w:tcBorders>
            <w:vAlign w:val="center"/>
          </w:tcPr>
          <w:p w14:paraId="046F143A">
            <w:pPr>
              <w:spacing w:line="240" w:lineRule="auto"/>
              <w:ind w:firstLine="0" w:firstLineChars="0"/>
              <w:jc w:val="center"/>
              <w:rPr>
                <w:b/>
                <w:color w:val="auto"/>
                <w:kern w:val="0"/>
                <w:sz w:val="21"/>
                <w:szCs w:val="18"/>
              </w:rPr>
            </w:pPr>
            <w:r>
              <w:rPr>
                <w:b/>
                <w:bCs/>
                <w:color w:val="auto"/>
                <w:sz w:val="21"/>
                <w:szCs w:val="18"/>
              </w:rPr>
              <w:t>批复内容</w:t>
            </w:r>
          </w:p>
        </w:tc>
        <w:tc>
          <w:tcPr>
            <w:tcW w:w="3577" w:type="dxa"/>
            <w:tcBorders>
              <w:tl2br w:val="nil"/>
              <w:tr2bl w:val="nil"/>
            </w:tcBorders>
            <w:vAlign w:val="center"/>
          </w:tcPr>
          <w:p w14:paraId="34679810">
            <w:pPr>
              <w:spacing w:line="240" w:lineRule="auto"/>
              <w:ind w:firstLine="0" w:firstLineChars="0"/>
              <w:jc w:val="center"/>
              <w:rPr>
                <w:b/>
                <w:color w:val="auto"/>
                <w:kern w:val="0"/>
                <w:sz w:val="21"/>
                <w:szCs w:val="18"/>
              </w:rPr>
            </w:pPr>
            <w:r>
              <w:rPr>
                <w:b/>
                <w:bCs/>
                <w:color w:val="auto"/>
                <w:sz w:val="21"/>
                <w:szCs w:val="18"/>
              </w:rPr>
              <w:t>执行情况</w:t>
            </w:r>
          </w:p>
        </w:tc>
      </w:tr>
      <w:tr w14:paraId="64604F4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3A983EDA">
            <w:pPr>
              <w:widowControl/>
              <w:spacing w:line="240" w:lineRule="auto"/>
              <w:ind w:firstLine="0" w:firstLineChars="0"/>
              <w:jc w:val="center"/>
              <w:rPr>
                <w:color w:val="auto"/>
                <w:kern w:val="0"/>
                <w:sz w:val="21"/>
                <w:szCs w:val="21"/>
              </w:rPr>
            </w:pPr>
            <w:r>
              <w:rPr>
                <w:rFonts w:hint="eastAsia"/>
                <w:color w:val="auto"/>
                <w:kern w:val="0"/>
                <w:sz w:val="21"/>
                <w:szCs w:val="21"/>
              </w:rPr>
              <w:t>1</w:t>
            </w:r>
          </w:p>
        </w:tc>
        <w:tc>
          <w:tcPr>
            <w:tcW w:w="4313" w:type="dxa"/>
            <w:tcBorders>
              <w:tl2br w:val="nil"/>
              <w:tr2bl w:val="nil"/>
            </w:tcBorders>
            <w:vAlign w:val="center"/>
          </w:tcPr>
          <w:p w14:paraId="7DAFF9B9">
            <w:pPr>
              <w:widowControl/>
              <w:spacing w:line="240" w:lineRule="auto"/>
              <w:ind w:firstLine="0" w:firstLineChars="0"/>
              <w:jc w:val="center"/>
              <w:rPr>
                <w:color w:val="auto"/>
                <w:kern w:val="0"/>
                <w:sz w:val="21"/>
                <w:szCs w:val="21"/>
              </w:rPr>
            </w:pPr>
            <w:r>
              <w:rPr>
                <w:color w:val="auto"/>
                <w:kern w:val="0"/>
                <w:sz w:val="21"/>
                <w:szCs w:val="21"/>
              </w:rPr>
              <w:t>按</w:t>
            </w:r>
            <w:r>
              <w:rPr>
                <w:rFonts w:hint="eastAsia"/>
                <w:color w:val="auto"/>
                <w:kern w:val="0"/>
                <w:sz w:val="21"/>
                <w:szCs w:val="21"/>
              </w:rPr>
              <w:t>“</w:t>
            </w:r>
            <w:r>
              <w:rPr>
                <w:color w:val="auto"/>
                <w:kern w:val="0"/>
                <w:sz w:val="21"/>
                <w:szCs w:val="21"/>
              </w:rPr>
              <w:t>清污分流、雨污分流、一水多用、污水分质处理</w:t>
            </w:r>
            <w:r>
              <w:rPr>
                <w:rFonts w:hint="eastAsia"/>
                <w:color w:val="auto"/>
                <w:kern w:val="0"/>
                <w:sz w:val="21"/>
                <w:szCs w:val="21"/>
              </w:rPr>
              <w:t>”</w:t>
            </w:r>
            <w:r>
              <w:rPr>
                <w:color w:val="auto"/>
                <w:kern w:val="0"/>
                <w:sz w:val="21"/>
                <w:szCs w:val="21"/>
              </w:rPr>
              <w:t>的原则规划建设厂区给排水管网，并对现有管道进行整改。各类废水根据水质分类收集，高COD、高盐废水采取树脂吸附法进行预处理，再与其它废水进行生化处理，各类废水符合《污水综合排放标准》(GB8978-1996)表4中三级标准排入园区污水处理厂处理达标后排放。污水处理设施应留有余量，并设置事故排放池。</w:t>
            </w:r>
            <w:r>
              <w:rPr>
                <w:rFonts w:hint="eastAsia"/>
                <w:color w:val="auto"/>
                <w:kern w:val="0"/>
                <w:sz w:val="21"/>
                <w:szCs w:val="21"/>
              </w:rPr>
              <w:t>拟建</w:t>
            </w:r>
            <w:r>
              <w:rPr>
                <w:color w:val="auto"/>
                <w:kern w:val="0"/>
                <w:sz w:val="21"/>
                <w:szCs w:val="21"/>
              </w:rPr>
              <w:t>清下水排口COD须小于40mg/L。</w:t>
            </w:r>
          </w:p>
        </w:tc>
        <w:tc>
          <w:tcPr>
            <w:tcW w:w="3577" w:type="dxa"/>
            <w:tcBorders>
              <w:tl2br w:val="nil"/>
              <w:tr2bl w:val="nil"/>
            </w:tcBorders>
            <w:vAlign w:val="center"/>
          </w:tcPr>
          <w:p w14:paraId="630C27D0">
            <w:pPr>
              <w:widowControl/>
              <w:spacing w:line="240" w:lineRule="auto"/>
              <w:ind w:firstLine="0" w:firstLineChars="0"/>
              <w:jc w:val="center"/>
              <w:rPr>
                <w:color w:val="auto"/>
                <w:kern w:val="0"/>
                <w:sz w:val="21"/>
                <w:szCs w:val="21"/>
              </w:rPr>
            </w:pPr>
            <w:r>
              <w:rPr>
                <w:color w:val="auto"/>
                <w:kern w:val="0"/>
                <w:sz w:val="21"/>
                <w:szCs w:val="21"/>
              </w:rPr>
              <w:t>全厂已实施</w:t>
            </w:r>
            <w:r>
              <w:rPr>
                <w:rFonts w:hint="eastAsia"/>
                <w:color w:val="auto"/>
                <w:kern w:val="0"/>
                <w:sz w:val="21"/>
                <w:szCs w:val="21"/>
              </w:rPr>
              <w:t>“</w:t>
            </w:r>
            <w:r>
              <w:rPr>
                <w:color w:val="auto"/>
                <w:kern w:val="0"/>
                <w:sz w:val="21"/>
                <w:szCs w:val="21"/>
              </w:rPr>
              <w:t>清污分流、雨污分流</w:t>
            </w:r>
            <w:r>
              <w:rPr>
                <w:rFonts w:hint="eastAsia"/>
                <w:color w:val="auto"/>
                <w:kern w:val="0"/>
                <w:sz w:val="21"/>
                <w:szCs w:val="21"/>
              </w:rPr>
              <w:t>”</w:t>
            </w:r>
            <w:r>
              <w:rPr>
                <w:color w:val="auto"/>
                <w:kern w:val="0"/>
                <w:sz w:val="21"/>
                <w:szCs w:val="21"/>
              </w:rPr>
              <w:t>。苯唑醇生产废水经蒸馏、中和预处理，盐酸(硫酸)苯肼、苯肼生产废水经中和处理后利用树脂吸附处理回收盐酸(硫酸)苯肼物料，上述废水同其他废水处理工艺在验收时由生化处理调整为臭氧氧化处理，处理后的废水排入园区污水处理厂集中处理。各类污染物可达标排放。已在厂区南侧设置了770m</w:t>
            </w:r>
            <w:r>
              <w:rPr>
                <w:color w:val="auto"/>
                <w:kern w:val="0"/>
                <w:sz w:val="21"/>
                <w:szCs w:val="21"/>
                <w:vertAlign w:val="superscript"/>
              </w:rPr>
              <w:t>3</w:t>
            </w:r>
            <w:r>
              <w:rPr>
                <w:color w:val="auto"/>
                <w:kern w:val="0"/>
                <w:sz w:val="21"/>
                <w:szCs w:val="21"/>
              </w:rPr>
              <w:t>事故应急池。</w:t>
            </w:r>
          </w:p>
        </w:tc>
      </w:tr>
      <w:tr w14:paraId="598FDFD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5DCDFBCE">
            <w:pPr>
              <w:widowControl/>
              <w:spacing w:line="240" w:lineRule="auto"/>
              <w:ind w:firstLine="0" w:firstLineChars="0"/>
              <w:jc w:val="center"/>
              <w:rPr>
                <w:color w:val="auto"/>
                <w:kern w:val="0"/>
                <w:sz w:val="21"/>
                <w:szCs w:val="21"/>
              </w:rPr>
            </w:pPr>
            <w:r>
              <w:rPr>
                <w:rFonts w:hint="eastAsia"/>
                <w:color w:val="auto"/>
                <w:kern w:val="0"/>
                <w:sz w:val="21"/>
                <w:szCs w:val="21"/>
              </w:rPr>
              <w:t>2</w:t>
            </w:r>
          </w:p>
        </w:tc>
        <w:tc>
          <w:tcPr>
            <w:tcW w:w="4313" w:type="dxa"/>
            <w:tcBorders>
              <w:tl2br w:val="nil"/>
              <w:tr2bl w:val="nil"/>
            </w:tcBorders>
            <w:vAlign w:val="center"/>
          </w:tcPr>
          <w:p w14:paraId="424203B3">
            <w:pPr>
              <w:widowControl/>
              <w:spacing w:line="240" w:lineRule="auto"/>
              <w:ind w:firstLine="0" w:firstLineChars="0"/>
              <w:jc w:val="center"/>
              <w:rPr>
                <w:color w:val="auto"/>
                <w:kern w:val="0"/>
                <w:sz w:val="21"/>
                <w:szCs w:val="21"/>
              </w:rPr>
            </w:pPr>
            <w:r>
              <w:rPr>
                <w:color w:val="auto"/>
                <w:kern w:val="0"/>
                <w:sz w:val="21"/>
                <w:szCs w:val="21"/>
              </w:rPr>
              <w:t>重点强化二氧化硫回收处理，各生产环节二氧化硫、氨气均须进行收集，收集的氨气首先进行液化后再综合利用于对二氧化硫的喷淋吸收。同时强化工艺废气的无组织排放控制，采取防泄漏管阀接头，实行密封生产防止跑冒滴漏，确保所排污染物符合《大气污染物综合排放标准》(GB16297-1996)表2中二级标准及无组织排放限值，恶臭污染物符合《恶臭污染物排放标准》(GB14554-93)表1二级厂界浓度限值和表2相关标准，以上排气筒高度不得低于30米并按环评建议设置。</w:t>
            </w:r>
          </w:p>
        </w:tc>
        <w:tc>
          <w:tcPr>
            <w:tcW w:w="3577" w:type="dxa"/>
            <w:tcBorders>
              <w:tl2br w:val="nil"/>
              <w:tr2bl w:val="nil"/>
            </w:tcBorders>
            <w:vAlign w:val="center"/>
          </w:tcPr>
          <w:p w14:paraId="7994B926">
            <w:pPr>
              <w:widowControl/>
              <w:spacing w:line="240" w:lineRule="auto"/>
              <w:ind w:firstLine="0" w:firstLineChars="0"/>
              <w:jc w:val="center"/>
              <w:rPr>
                <w:color w:val="auto"/>
                <w:kern w:val="0"/>
                <w:sz w:val="21"/>
                <w:szCs w:val="21"/>
              </w:rPr>
            </w:pPr>
            <w:r>
              <w:rPr>
                <w:color w:val="auto"/>
                <w:kern w:val="0"/>
                <w:sz w:val="21"/>
                <w:szCs w:val="21"/>
              </w:rPr>
              <w:t>二氧化硫、氨气均进行收集，盐酸(硫酸)苯肼工艺废气中的二氧化硫、氨、氮氧化物经</w:t>
            </w:r>
            <w:r>
              <w:rPr>
                <w:rFonts w:hint="eastAsia"/>
                <w:color w:val="auto"/>
                <w:kern w:val="0"/>
                <w:sz w:val="21"/>
                <w:szCs w:val="21"/>
              </w:rPr>
              <w:t>“</w:t>
            </w:r>
            <w:r>
              <w:rPr>
                <w:color w:val="auto"/>
                <w:kern w:val="0"/>
                <w:sz w:val="21"/>
                <w:szCs w:val="21"/>
              </w:rPr>
              <w:t>三级碱吸收+一级水喷淋+电除雾</w:t>
            </w:r>
            <w:r>
              <w:rPr>
                <w:rFonts w:hint="eastAsia"/>
                <w:color w:val="auto"/>
                <w:kern w:val="0"/>
                <w:sz w:val="21"/>
                <w:szCs w:val="21"/>
              </w:rPr>
              <w:t>”</w:t>
            </w:r>
            <w:r>
              <w:rPr>
                <w:color w:val="auto"/>
                <w:kern w:val="0"/>
                <w:sz w:val="21"/>
                <w:szCs w:val="21"/>
              </w:rPr>
              <w:t>处理，亚硫酸氢铵工艺废气中的二氧化硫、氨经“氨水吸收+水喷淋+电除雾”处理。现有项目采取防泄漏管阀接头，实行密封生产防止跑冒滴漏。各类废气可达标排放。现有已建排气筒高度分别为35米和40米。</w:t>
            </w:r>
          </w:p>
        </w:tc>
      </w:tr>
      <w:tr w14:paraId="3D0301E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7F8A15E3">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4313" w:type="dxa"/>
            <w:tcBorders>
              <w:tl2br w:val="nil"/>
              <w:tr2bl w:val="nil"/>
            </w:tcBorders>
            <w:vAlign w:val="center"/>
          </w:tcPr>
          <w:p w14:paraId="6F7691CF">
            <w:pPr>
              <w:widowControl/>
              <w:spacing w:line="240" w:lineRule="auto"/>
              <w:ind w:firstLine="0" w:firstLineChars="0"/>
              <w:jc w:val="center"/>
              <w:rPr>
                <w:color w:val="auto"/>
                <w:kern w:val="0"/>
                <w:sz w:val="21"/>
                <w:szCs w:val="21"/>
              </w:rPr>
            </w:pPr>
            <w:r>
              <w:rPr>
                <w:color w:val="auto"/>
                <w:kern w:val="0"/>
                <w:sz w:val="21"/>
                <w:szCs w:val="21"/>
              </w:rPr>
              <w:t>结合该项目技改，对厂方遗留环保问题重点进行整改。主要有：原盐酸苯肼生产线拆除；拆除现有锅炉，利用放热反应提供蒸汽；对高浓废水采取树脂吸附回收处理工艺，并新建污水处理装置，现有装置拆除等。</w:t>
            </w:r>
          </w:p>
        </w:tc>
        <w:tc>
          <w:tcPr>
            <w:tcW w:w="3577" w:type="dxa"/>
            <w:tcBorders>
              <w:tl2br w:val="nil"/>
              <w:tr2bl w:val="nil"/>
            </w:tcBorders>
            <w:vAlign w:val="center"/>
          </w:tcPr>
          <w:p w14:paraId="32C4A537">
            <w:pPr>
              <w:widowControl/>
              <w:spacing w:line="240" w:lineRule="auto"/>
              <w:ind w:firstLine="0" w:firstLineChars="0"/>
              <w:jc w:val="center"/>
              <w:rPr>
                <w:color w:val="auto"/>
                <w:kern w:val="0"/>
                <w:sz w:val="21"/>
                <w:szCs w:val="21"/>
              </w:rPr>
            </w:pPr>
            <w:r>
              <w:rPr>
                <w:color w:val="auto"/>
                <w:kern w:val="0"/>
                <w:sz w:val="21"/>
                <w:szCs w:val="21"/>
              </w:rPr>
              <w:t>原盐酸苯肼生产线已拆除；已利用工艺中放热反应提供部分蒸汽；原有锅炉已停用拆除；建有1#污水处理站，对废水采用</w:t>
            </w:r>
            <w:r>
              <w:rPr>
                <w:rFonts w:hint="eastAsia"/>
                <w:color w:val="auto"/>
                <w:kern w:val="0"/>
                <w:sz w:val="21"/>
                <w:szCs w:val="21"/>
              </w:rPr>
              <w:t>“</w:t>
            </w:r>
            <w:r>
              <w:rPr>
                <w:color w:val="auto"/>
                <w:kern w:val="0"/>
                <w:sz w:val="21"/>
                <w:szCs w:val="21"/>
              </w:rPr>
              <w:t>中和+树脂吸附+臭氧氧化治理</w:t>
            </w:r>
            <w:r>
              <w:rPr>
                <w:rFonts w:hint="eastAsia"/>
                <w:color w:val="auto"/>
                <w:kern w:val="0"/>
                <w:sz w:val="21"/>
                <w:szCs w:val="21"/>
              </w:rPr>
              <w:t>”</w:t>
            </w:r>
            <w:r>
              <w:rPr>
                <w:color w:val="auto"/>
                <w:kern w:val="0"/>
                <w:sz w:val="21"/>
                <w:szCs w:val="21"/>
              </w:rPr>
              <w:t>工艺处理。</w:t>
            </w:r>
          </w:p>
        </w:tc>
      </w:tr>
      <w:tr w14:paraId="79CD9A3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376DBDDC">
            <w:pPr>
              <w:widowControl/>
              <w:spacing w:line="240" w:lineRule="auto"/>
              <w:ind w:firstLine="0" w:firstLineChars="0"/>
              <w:jc w:val="center"/>
              <w:rPr>
                <w:color w:val="auto"/>
                <w:kern w:val="0"/>
                <w:sz w:val="21"/>
                <w:szCs w:val="21"/>
              </w:rPr>
            </w:pPr>
            <w:r>
              <w:rPr>
                <w:rFonts w:hint="eastAsia"/>
                <w:color w:val="auto"/>
                <w:kern w:val="0"/>
                <w:sz w:val="21"/>
                <w:szCs w:val="21"/>
              </w:rPr>
              <w:t>4</w:t>
            </w:r>
          </w:p>
        </w:tc>
        <w:tc>
          <w:tcPr>
            <w:tcW w:w="4313" w:type="dxa"/>
            <w:tcBorders>
              <w:tl2br w:val="nil"/>
              <w:tr2bl w:val="nil"/>
            </w:tcBorders>
            <w:vAlign w:val="center"/>
          </w:tcPr>
          <w:p w14:paraId="081975D2">
            <w:pPr>
              <w:widowControl/>
              <w:spacing w:line="240" w:lineRule="auto"/>
              <w:ind w:firstLine="0" w:firstLineChars="0"/>
              <w:jc w:val="center"/>
              <w:rPr>
                <w:color w:val="auto"/>
                <w:kern w:val="0"/>
                <w:sz w:val="21"/>
                <w:szCs w:val="21"/>
              </w:rPr>
            </w:pPr>
            <w:r>
              <w:rPr>
                <w:color w:val="auto"/>
                <w:kern w:val="0"/>
                <w:sz w:val="21"/>
                <w:szCs w:val="21"/>
              </w:rPr>
              <w:t>合理总平布局，高噪声源应尽量远离厂界，并采取有效隔声降噪措施，确保厂界噪声符合《工业企业厂界噪声标准》(GB12348-90)中Ⅲ类昼夜标准且不扰民。</w:t>
            </w:r>
          </w:p>
        </w:tc>
        <w:tc>
          <w:tcPr>
            <w:tcW w:w="3577" w:type="dxa"/>
            <w:tcBorders>
              <w:tl2br w:val="nil"/>
              <w:tr2bl w:val="nil"/>
            </w:tcBorders>
            <w:vAlign w:val="center"/>
          </w:tcPr>
          <w:p w14:paraId="53C9A50C">
            <w:pPr>
              <w:widowControl/>
              <w:spacing w:line="240" w:lineRule="auto"/>
              <w:ind w:firstLine="0" w:firstLineChars="0"/>
              <w:jc w:val="center"/>
              <w:rPr>
                <w:color w:val="auto"/>
                <w:kern w:val="0"/>
                <w:sz w:val="21"/>
                <w:szCs w:val="21"/>
              </w:rPr>
            </w:pPr>
            <w:r>
              <w:rPr>
                <w:color w:val="auto"/>
                <w:kern w:val="0"/>
                <w:sz w:val="21"/>
                <w:szCs w:val="21"/>
              </w:rPr>
              <w:t>对高噪声设备采取了隔声、减震等措施，厂界昼、夜间达标情况良好。</w:t>
            </w:r>
          </w:p>
        </w:tc>
      </w:tr>
      <w:tr w14:paraId="7690BED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5FA14C06">
            <w:pPr>
              <w:widowControl/>
              <w:spacing w:line="240" w:lineRule="auto"/>
              <w:ind w:firstLine="0" w:firstLineChars="0"/>
              <w:jc w:val="center"/>
              <w:rPr>
                <w:color w:val="auto"/>
                <w:kern w:val="0"/>
                <w:sz w:val="21"/>
                <w:szCs w:val="21"/>
              </w:rPr>
            </w:pPr>
            <w:r>
              <w:rPr>
                <w:rFonts w:hint="eastAsia"/>
                <w:color w:val="auto"/>
                <w:kern w:val="0"/>
                <w:sz w:val="21"/>
                <w:szCs w:val="21"/>
              </w:rPr>
              <w:t>5</w:t>
            </w:r>
          </w:p>
        </w:tc>
        <w:tc>
          <w:tcPr>
            <w:tcW w:w="4313" w:type="dxa"/>
            <w:tcBorders>
              <w:tl2br w:val="nil"/>
              <w:tr2bl w:val="nil"/>
            </w:tcBorders>
            <w:vAlign w:val="center"/>
          </w:tcPr>
          <w:p w14:paraId="49EE76B1">
            <w:pPr>
              <w:widowControl/>
              <w:spacing w:line="240" w:lineRule="auto"/>
              <w:ind w:firstLine="0" w:firstLineChars="0"/>
              <w:jc w:val="center"/>
              <w:rPr>
                <w:color w:val="auto"/>
                <w:kern w:val="0"/>
                <w:sz w:val="21"/>
                <w:szCs w:val="21"/>
              </w:rPr>
            </w:pPr>
            <w:r>
              <w:rPr>
                <w:color w:val="auto"/>
                <w:kern w:val="0"/>
                <w:sz w:val="21"/>
                <w:szCs w:val="21"/>
              </w:rPr>
              <w:t>制定相关环保管理规章制度及事故应急预案，并强化事故防范措施，加强对原料运输储存及原料投料程序的管理，工艺设计采用联动停车装置，关键污染防治设备须一用一备，适当扩大废水调节池容积并兼作事故排放池，主体装置区和易燃易爆及有毒有害物储存区(包括罐区)设置围水堰等。各清、污、雨水管网的布设以及最终排放口应设置消防水收集系统，排放口与外部水体间安装切断设施，防止因事故性排放污染环境。</w:t>
            </w:r>
          </w:p>
        </w:tc>
        <w:tc>
          <w:tcPr>
            <w:tcW w:w="3577" w:type="dxa"/>
            <w:tcBorders>
              <w:tl2br w:val="nil"/>
              <w:tr2bl w:val="nil"/>
            </w:tcBorders>
            <w:vAlign w:val="center"/>
          </w:tcPr>
          <w:p w14:paraId="5C4C4F72">
            <w:pPr>
              <w:widowControl/>
              <w:spacing w:line="240" w:lineRule="auto"/>
              <w:ind w:firstLine="0" w:firstLineChars="0"/>
              <w:jc w:val="center"/>
              <w:rPr>
                <w:color w:val="auto"/>
                <w:kern w:val="0"/>
                <w:sz w:val="21"/>
                <w:szCs w:val="21"/>
              </w:rPr>
            </w:pPr>
            <w:r>
              <w:rPr>
                <w:color w:val="auto"/>
                <w:kern w:val="0"/>
                <w:sz w:val="21"/>
                <w:szCs w:val="21"/>
              </w:rPr>
              <w:t>已制定相关环保管理规章制度及突发环境事件应急预案，设置有770m</w:t>
            </w:r>
            <w:r>
              <w:rPr>
                <w:color w:val="auto"/>
                <w:kern w:val="0"/>
                <w:sz w:val="21"/>
                <w:szCs w:val="21"/>
                <w:vertAlign w:val="superscript"/>
              </w:rPr>
              <w:t>3</w:t>
            </w:r>
            <w:r>
              <w:rPr>
                <w:color w:val="auto"/>
                <w:kern w:val="0"/>
                <w:sz w:val="21"/>
                <w:szCs w:val="21"/>
              </w:rPr>
              <w:t>事故应急池，主体装置区和罐区设置围水堰。各清、污、雨水管网的布设以及最终排放口设置消防水收集系统，排放口与外部水体间安装切断设施。</w:t>
            </w:r>
          </w:p>
        </w:tc>
      </w:tr>
      <w:tr w14:paraId="02524BB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29F777E2">
            <w:pPr>
              <w:widowControl/>
              <w:spacing w:line="240" w:lineRule="auto"/>
              <w:ind w:firstLine="0" w:firstLineChars="0"/>
              <w:jc w:val="center"/>
              <w:rPr>
                <w:color w:val="auto"/>
                <w:kern w:val="0"/>
                <w:sz w:val="21"/>
                <w:szCs w:val="21"/>
              </w:rPr>
            </w:pPr>
            <w:r>
              <w:rPr>
                <w:rFonts w:hint="eastAsia"/>
                <w:color w:val="auto"/>
                <w:kern w:val="0"/>
                <w:sz w:val="21"/>
                <w:szCs w:val="21"/>
              </w:rPr>
              <w:t>6</w:t>
            </w:r>
          </w:p>
        </w:tc>
        <w:tc>
          <w:tcPr>
            <w:tcW w:w="4313" w:type="dxa"/>
            <w:tcBorders>
              <w:tl2br w:val="nil"/>
              <w:tr2bl w:val="nil"/>
            </w:tcBorders>
            <w:vAlign w:val="center"/>
          </w:tcPr>
          <w:p w14:paraId="15BEF125">
            <w:pPr>
              <w:widowControl/>
              <w:spacing w:line="240" w:lineRule="auto"/>
              <w:ind w:firstLine="0" w:firstLineChars="0"/>
              <w:jc w:val="center"/>
              <w:rPr>
                <w:color w:val="auto"/>
                <w:kern w:val="0"/>
                <w:sz w:val="21"/>
                <w:szCs w:val="21"/>
              </w:rPr>
            </w:pPr>
            <w:r>
              <w:rPr>
                <w:color w:val="auto"/>
                <w:kern w:val="0"/>
                <w:sz w:val="21"/>
                <w:szCs w:val="21"/>
              </w:rPr>
              <w:t>废原料桶、废树脂等须至南通市固废管理中心办理相关许可手续，并委托有资质单位妥善处置，防止产生二次污染。</w:t>
            </w:r>
          </w:p>
        </w:tc>
        <w:tc>
          <w:tcPr>
            <w:tcW w:w="3577" w:type="dxa"/>
            <w:tcBorders>
              <w:tl2br w:val="nil"/>
              <w:tr2bl w:val="nil"/>
            </w:tcBorders>
            <w:vAlign w:val="center"/>
          </w:tcPr>
          <w:p w14:paraId="5935DC53">
            <w:pPr>
              <w:widowControl/>
              <w:spacing w:line="240" w:lineRule="auto"/>
              <w:ind w:firstLine="0" w:firstLineChars="0"/>
              <w:jc w:val="center"/>
              <w:rPr>
                <w:color w:val="auto"/>
                <w:kern w:val="0"/>
                <w:sz w:val="21"/>
                <w:szCs w:val="21"/>
              </w:rPr>
            </w:pPr>
            <w:r>
              <w:rPr>
                <w:color w:val="auto"/>
                <w:kern w:val="0"/>
                <w:sz w:val="21"/>
                <w:szCs w:val="21"/>
              </w:rPr>
              <w:t>危废已按规定办理相关手续。</w:t>
            </w:r>
          </w:p>
        </w:tc>
      </w:tr>
      <w:tr w14:paraId="2D92065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2A2FBD71">
            <w:pPr>
              <w:widowControl/>
              <w:spacing w:line="240" w:lineRule="auto"/>
              <w:ind w:firstLine="0" w:firstLineChars="0"/>
              <w:jc w:val="center"/>
              <w:rPr>
                <w:color w:val="auto"/>
                <w:kern w:val="0"/>
                <w:sz w:val="21"/>
                <w:szCs w:val="21"/>
              </w:rPr>
            </w:pPr>
            <w:r>
              <w:rPr>
                <w:rFonts w:hint="eastAsia"/>
                <w:color w:val="auto"/>
                <w:kern w:val="0"/>
                <w:sz w:val="21"/>
                <w:szCs w:val="21"/>
              </w:rPr>
              <w:t>7</w:t>
            </w:r>
          </w:p>
        </w:tc>
        <w:tc>
          <w:tcPr>
            <w:tcW w:w="4313" w:type="dxa"/>
            <w:tcBorders>
              <w:tl2br w:val="nil"/>
              <w:tr2bl w:val="nil"/>
            </w:tcBorders>
            <w:vAlign w:val="center"/>
          </w:tcPr>
          <w:p w14:paraId="04836B9A">
            <w:pPr>
              <w:widowControl/>
              <w:spacing w:line="240" w:lineRule="auto"/>
              <w:ind w:firstLine="0" w:firstLineChars="0"/>
              <w:jc w:val="center"/>
              <w:rPr>
                <w:color w:val="auto"/>
                <w:kern w:val="0"/>
                <w:sz w:val="21"/>
                <w:szCs w:val="21"/>
              </w:rPr>
            </w:pPr>
            <w:r>
              <w:rPr>
                <w:color w:val="auto"/>
                <w:kern w:val="0"/>
                <w:sz w:val="21"/>
                <w:szCs w:val="21"/>
              </w:rPr>
              <w:t>按照《江苏省排污口设置及规范化整治管理办法》要求，规范设置排污口及厂外监控池，安装污水流量计等在线监控设备，排气筒预留采样孔且树立标志牌。</w:t>
            </w:r>
          </w:p>
        </w:tc>
        <w:tc>
          <w:tcPr>
            <w:tcW w:w="3577" w:type="dxa"/>
            <w:tcBorders>
              <w:tl2br w:val="nil"/>
              <w:tr2bl w:val="nil"/>
            </w:tcBorders>
            <w:vAlign w:val="center"/>
          </w:tcPr>
          <w:p w14:paraId="40C3AB5E">
            <w:pPr>
              <w:widowControl/>
              <w:spacing w:line="240" w:lineRule="auto"/>
              <w:ind w:firstLine="0" w:firstLineChars="0"/>
              <w:jc w:val="center"/>
              <w:rPr>
                <w:color w:val="auto"/>
                <w:kern w:val="0"/>
                <w:sz w:val="21"/>
                <w:szCs w:val="21"/>
              </w:rPr>
            </w:pPr>
            <w:r>
              <w:rPr>
                <w:color w:val="auto"/>
                <w:kern w:val="0"/>
                <w:sz w:val="21"/>
                <w:szCs w:val="21"/>
              </w:rPr>
              <w:t>已规范设置排污口，废水排口已安装流量计、pH、COD、氨氮、总磷等在线监控设备。废水、废气排口标志牌已按规定要求树立。</w:t>
            </w:r>
          </w:p>
        </w:tc>
      </w:tr>
      <w:tr w14:paraId="347996D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560B4074">
            <w:pPr>
              <w:widowControl/>
              <w:spacing w:line="240" w:lineRule="auto"/>
              <w:ind w:firstLine="0" w:firstLineChars="0"/>
              <w:jc w:val="center"/>
              <w:rPr>
                <w:color w:val="auto"/>
                <w:kern w:val="0"/>
                <w:sz w:val="21"/>
                <w:szCs w:val="21"/>
              </w:rPr>
            </w:pPr>
            <w:r>
              <w:rPr>
                <w:rFonts w:hint="eastAsia"/>
                <w:color w:val="auto"/>
                <w:kern w:val="0"/>
                <w:sz w:val="21"/>
                <w:szCs w:val="21"/>
              </w:rPr>
              <w:t>8</w:t>
            </w:r>
          </w:p>
        </w:tc>
        <w:tc>
          <w:tcPr>
            <w:tcW w:w="4313" w:type="dxa"/>
            <w:tcBorders>
              <w:tl2br w:val="nil"/>
              <w:tr2bl w:val="nil"/>
            </w:tcBorders>
            <w:vAlign w:val="center"/>
          </w:tcPr>
          <w:p w14:paraId="08B48919">
            <w:pPr>
              <w:widowControl/>
              <w:spacing w:line="240" w:lineRule="auto"/>
              <w:ind w:firstLine="0" w:firstLineChars="0"/>
              <w:jc w:val="center"/>
              <w:rPr>
                <w:color w:val="auto"/>
                <w:kern w:val="0"/>
                <w:sz w:val="21"/>
                <w:szCs w:val="21"/>
              </w:rPr>
            </w:pPr>
            <w:r>
              <w:rPr>
                <w:color w:val="auto"/>
                <w:kern w:val="0"/>
                <w:sz w:val="21"/>
                <w:szCs w:val="21"/>
              </w:rPr>
              <w:t>项目总量考核指标为：废水量78030.6t/a、COD：39.015t/a、悬浮物：31.212t/a、NH</w:t>
            </w:r>
            <w:r>
              <w:rPr>
                <w:color w:val="auto"/>
                <w:kern w:val="0"/>
                <w:sz w:val="21"/>
                <w:szCs w:val="21"/>
                <w:vertAlign w:val="subscript"/>
              </w:rPr>
              <w:t>3</w:t>
            </w:r>
            <w:r>
              <w:rPr>
                <w:color w:val="auto"/>
                <w:kern w:val="0"/>
                <w:sz w:val="21"/>
                <w:szCs w:val="21"/>
              </w:rPr>
              <w:t>-N：0.19t/a、苯胺0.39t/a；大气污染物总量指标为：SO</w:t>
            </w:r>
            <w:r>
              <w:rPr>
                <w:color w:val="auto"/>
                <w:kern w:val="0"/>
                <w:sz w:val="21"/>
                <w:szCs w:val="21"/>
                <w:vertAlign w:val="subscript"/>
              </w:rPr>
              <w:t>2</w:t>
            </w:r>
            <w:r>
              <w:rPr>
                <w:color w:val="auto"/>
                <w:kern w:val="0"/>
                <w:sz w:val="21"/>
                <w:szCs w:val="21"/>
              </w:rPr>
              <w:t>：10.61t/a、氨气：1.08t/a、氮氧化物：31t/a。固体废物排放量为零。</w:t>
            </w:r>
          </w:p>
        </w:tc>
        <w:tc>
          <w:tcPr>
            <w:tcW w:w="3577" w:type="dxa"/>
            <w:tcBorders>
              <w:tl2br w:val="nil"/>
              <w:tr2bl w:val="nil"/>
            </w:tcBorders>
            <w:vAlign w:val="center"/>
          </w:tcPr>
          <w:p w14:paraId="10FC273A">
            <w:pPr>
              <w:widowControl/>
              <w:spacing w:line="240" w:lineRule="auto"/>
              <w:ind w:firstLine="0" w:firstLineChars="0"/>
              <w:jc w:val="center"/>
              <w:rPr>
                <w:color w:val="auto"/>
                <w:kern w:val="0"/>
                <w:sz w:val="21"/>
                <w:szCs w:val="21"/>
              </w:rPr>
            </w:pPr>
            <w:r>
              <w:rPr>
                <w:color w:val="auto"/>
                <w:kern w:val="0"/>
                <w:sz w:val="21"/>
                <w:szCs w:val="21"/>
              </w:rPr>
              <w:t>根据2016年6月启东环境监测站出具的</w:t>
            </w:r>
            <w:r>
              <w:rPr>
                <w:rFonts w:hint="eastAsia"/>
                <w:color w:val="auto"/>
                <w:kern w:val="0"/>
                <w:sz w:val="21"/>
                <w:szCs w:val="21"/>
              </w:rPr>
              <w:t>“</w:t>
            </w:r>
            <w:r>
              <w:rPr>
                <w:color w:val="auto"/>
                <w:kern w:val="0"/>
                <w:sz w:val="21"/>
                <w:szCs w:val="21"/>
              </w:rPr>
              <w:t>年产5000吨盐酸苯肼、1000吨硫酸苯肼、20000吨亚硫酸氢铵项目</w:t>
            </w:r>
            <w:r>
              <w:rPr>
                <w:rFonts w:hint="eastAsia"/>
                <w:color w:val="auto"/>
                <w:kern w:val="0"/>
                <w:sz w:val="21"/>
                <w:szCs w:val="21"/>
              </w:rPr>
              <w:t>”</w:t>
            </w:r>
            <w:r>
              <w:rPr>
                <w:color w:val="auto"/>
                <w:kern w:val="0"/>
                <w:sz w:val="21"/>
                <w:szCs w:val="21"/>
              </w:rPr>
              <w:t>竣工环保验收监测报告(启环监(验)字(2016)第(015)号)，项目废水、废气各污染物均未超过原环评核定的总量控制指标。</w:t>
            </w:r>
          </w:p>
        </w:tc>
      </w:tr>
      <w:tr w14:paraId="3AC56EC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74" w:hRule="atLeast"/>
          <w:jc w:val="center"/>
        </w:trPr>
        <w:tc>
          <w:tcPr>
            <w:tcW w:w="632" w:type="dxa"/>
            <w:tcBorders>
              <w:tl2br w:val="nil"/>
              <w:tr2bl w:val="nil"/>
            </w:tcBorders>
            <w:vAlign w:val="center"/>
          </w:tcPr>
          <w:p w14:paraId="379B92FD">
            <w:pPr>
              <w:widowControl/>
              <w:spacing w:line="240" w:lineRule="auto"/>
              <w:ind w:firstLine="0" w:firstLineChars="0"/>
              <w:jc w:val="center"/>
              <w:rPr>
                <w:color w:val="auto"/>
                <w:kern w:val="0"/>
                <w:sz w:val="21"/>
                <w:szCs w:val="21"/>
              </w:rPr>
            </w:pPr>
            <w:r>
              <w:rPr>
                <w:rFonts w:hint="eastAsia"/>
                <w:color w:val="auto"/>
                <w:kern w:val="0"/>
                <w:sz w:val="21"/>
                <w:szCs w:val="21"/>
              </w:rPr>
              <w:t>9</w:t>
            </w:r>
          </w:p>
        </w:tc>
        <w:tc>
          <w:tcPr>
            <w:tcW w:w="4313" w:type="dxa"/>
            <w:tcBorders>
              <w:tl2br w:val="nil"/>
              <w:tr2bl w:val="nil"/>
            </w:tcBorders>
            <w:vAlign w:val="center"/>
          </w:tcPr>
          <w:p w14:paraId="6662BD30">
            <w:pPr>
              <w:widowControl/>
              <w:spacing w:line="240" w:lineRule="auto"/>
              <w:ind w:firstLine="0" w:firstLineChars="0"/>
              <w:jc w:val="center"/>
              <w:rPr>
                <w:color w:val="auto"/>
                <w:kern w:val="0"/>
                <w:sz w:val="21"/>
                <w:szCs w:val="21"/>
              </w:rPr>
            </w:pPr>
            <w:r>
              <w:rPr>
                <w:color w:val="auto"/>
                <w:kern w:val="0"/>
                <w:sz w:val="21"/>
                <w:szCs w:val="21"/>
              </w:rPr>
              <w:t>该项目建成后卫生防护距离为500米。当地政府应合理规划周边土地利用，不得新建对环境敏感项目。试生产前卫生防护距离内现有居民须拆迁到位。</w:t>
            </w:r>
          </w:p>
        </w:tc>
        <w:tc>
          <w:tcPr>
            <w:tcW w:w="3577" w:type="dxa"/>
            <w:tcBorders>
              <w:tl2br w:val="nil"/>
              <w:tr2bl w:val="nil"/>
            </w:tcBorders>
            <w:vAlign w:val="center"/>
          </w:tcPr>
          <w:p w14:paraId="7500CD00">
            <w:pPr>
              <w:widowControl/>
              <w:spacing w:line="240" w:lineRule="auto"/>
              <w:ind w:firstLine="0" w:firstLineChars="0"/>
              <w:jc w:val="center"/>
              <w:rPr>
                <w:color w:val="auto"/>
                <w:kern w:val="0"/>
                <w:sz w:val="21"/>
                <w:szCs w:val="21"/>
              </w:rPr>
            </w:pPr>
            <w:r>
              <w:rPr>
                <w:color w:val="auto"/>
                <w:kern w:val="0"/>
                <w:sz w:val="21"/>
                <w:szCs w:val="21"/>
              </w:rPr>
              <w:t>500米卫生防护距离范围内居民已拆迁完毕。目前，该卫生防护距离内无居民住宅等环境敏感目标。</w:t>
            </w:r>
          </w:p>
        </w:tc>
      </w:tr>
    </w:tbl>
    <w:p w14:paraId="0669A179">
      <w:pPr>
        <w:spacing w:line="240" w:lineRule="auto"/>
        <w:ind w:firstLine="0" w:firstLineChars="0"/>
        <w:jc w:val="center"/>
        <w:rPr>
          <w:b/>
          <w:bCs/>
          <w:color w:val="auto"/>
        </w:rPr>
      </w:pPr>
      <w:r>
        <w:rPr>
          <w:b/>
          <w:bCs/>
          <w:color w:val="auto"/>
        </w:rPr>
        <w:t>表3.1-</w:t>
      </w:r>
      <w:r>
        <w:rPr>
          <w:rFonts w:hint="eastAsia"/>
          <w:b/>
          <w:bCs/>
          <w:color w:val="auto"/>
        </w:rPr>
        <w:t>3</w:t>
      </w:r>
      <w:r>
        <w:rPr>
          <w:b/>
          <w:bCs/>
          <w:color w:val="auto"/>
        </w:rPr>
        <w:t xml:space="preserve"> </w:t>
      </w:r>
      <w:r>
        <w:rPr>
          <w:rFonts w:hint="eastAsia"/>
          <w:b/>
          <w:bCs/>
          <w:color w:val="auto"/>
        </w:rPr>
        <w:t xml:space="preserve"> </w:t>
      </w:r>
      <w:r>
        <w:rPr>
          <w:b/>
          <w:bCs/>
          <w:color w:val="auto"/>
        </w:rPr>
        <w:t>与</w:t>
      </w:r>
      <w:r>
        <w:rPr>
          <w:rFonts w:hint="eastAsia"/>
          <w:b/>
          <w:bCs/>
          <w:color w:val="auto"/>
        </w:rPr>
        <w:t>通环管[2018]304号</w:t>
      </w:r>
      <w:r>
        <w:rPr>
          <w:b/>
          <w:bCs/>
          <w:color w:val="auto"/>
        </w:rPr>
        <w:t>文的批建相符情况一览表</w:t>
      </w:r>
    </w:p>
    <w:tbl>
      <w:tblPr>
        <w:tblStyle w:val="24"/>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31"/>
        <w:gridCol w:w="4987"/>
        <w:gridCol w:w="4136"/>
      </w:tblGrid>
      <w:tr w14:paraId="0872F0C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jc w:val="center"/>
        </w:trPr>
        <w:tc>
          <w:tcPr>
            <w:tcW w:w="632" w:type="dxa"/>
            <w:tcBorders>
              <w:tl2br w:val="nil"/>
              <w:tr2bl w:val="nil"/>
            </w:tcBorders>
            <w:vAlign w:val="center"/>
          </w:tcPr>
          <w:p w14:paraId="2A617E7F">
            <w:pPr>
              <w:spacing w:line="240" w:lineRule="auto"/>
              <w:ind w:firstLine="0" w:firstLineChars="0"/>
              <w:jc w:val="center"/>
              <w:rPr>
                <w:b/>
                <w:color w:val="auto"/>
                <w:kern w:val="0"/>
                <w:sz w:val="21"/>
                <w:szCs w:val="18"/>
              </w:rPr>
            </w:pPr>
            <w:r>
              <w:rPr>
                <w:b/>
                <w:bCs/>
                <w:color w:val="auto"/>
                <w:sz w:val="21"/>
                <w:szCs w:val="18"/>
              </w:rPr>
              <w:t>序号</w:t>
            </w:r>
          </w:p>
        </w:tc>
        <w:tc>
          <w:tcPr>
            <w:tcW w:w="4313" w:type="dxa"/>
            <w:tcBorders>
              <w:tl2br w:val="nil"/>
              <w:tr2bl w:val="nil"/>
            </w:tcBorders>
            <w:vAlign w:val="center"/>
          </w:tcPr>
          <w:p w14:paraId="2DF3F1F7">
            <w:pPr>
              <w:spacing w:line="240" w:lineRule="auto"/>
              <w:ind w:firstLine="0" w:firstLineChars="0"/>
              <w:jc w:val="center"/>
              <w:rPr>
                <w:b/>
                <w:color w:val="auto"/>
                <w:kern w:val="0"/>
                <w:sz w:val="21"/>
                <w:szCs w:val="18"/>
              </w:rPr>
            </w:pPr>
            <w:r>
              <w:rPr>
                <w:b/>
                <w:bCs/>
                <w:color w:val="auto"/>
                <w:sz w:val="21"/>
                <w:szCs w:val="18"/>
              </w:rPr>
              <w:t>批复内容</w:t>
            </w:r>
          </w:p>
        </w:tc>
        <w:tc>
          <w:tcPr>
            <w:tcW w:w="3577" w:type="dxa"/>
            <w:tcBorders>
              <w:tl2br w:val="nil"/>
              <w:tr2bl w:val="nil"/>
            </w:tcBorders>
            <w:vAlign w:val="center"/>
          </w:tcPr>
          <w:p w14:paraId="00827090">
            <w:pPr>
              <w:spacing w:line="240" w:lineRule="auto"/>
              <w:ind w:firstLine="0" w:firstLineChars="0"/>
              <w:jc w:val="center"/>
              <w:rPr>
                <w:b/>
                <w:color w:val="auto"/>
                <w:kern w:val="0"/>
                <w:sz w:val="21"/>
                <w:szCs w:val="18"/>
              </w:rPr>
            </w:pPr>
            <w:r>
              <w:rPr>
                <w:b/>
                <w:bCs/>
                <w:color w:val="auto"/>
                <w:sz w:val="21"/>
                <w:szCs w:val="18"/>
              </w:rPr>
              <w:t>执行情况</w:t>
            </w:r>
          </w:p>
        </w:tc>
      </w:tr>
      <w:tr w14:paraId="368BD1B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3E642383">
            <w:pPr>
              <w:widowControl/>
              <w:spacing w:line="240" w:lineRule="auto"/>
              <w:ind w:firstLine="0" w:firstLineChars="0"/>
              <w:jc w:val="center"/>
              <w:rPr>
                <w:color w:val="auto"/>
                <w:kern w:val="0"/>
                <w:sz w:val="21"/>
                <w:szCs w:val="21"/>
              </w:rPr>
            </w:pPr>
            <w:r>
              <w:rPr>
                <w:rFonts w:hint="eastAsia"/>
                <w:color w:val="auto"/>
                <w:kern w:val="0"/>
                <w:sz w:val="21"/>
                <w:szCs w:val="21"/>
              </w:rPr>
              <w:t>1</w:t>
            </w:r>
          </w:p>
        </w:tc>
        <w:tc>
          <w:tcPr>
            <w:tcW w:w="4313" w:type="dxa"/>
            <w:tcBorders>
              <w:tl2br w:val="nil"/>
              <w:tr2bl w:val="nil"/>
            </w:tcBorders>
            <w:vAlign w:val="center"/>
          </w:tcPr>
          <w:p w14:paraId="73A15E41">
            <w:pPr>
              <w:widowControl/>
              <w:spacing w:line="240" w:lineRule="auto"/>
              <w:ind w:firstLine="0" w:firstLineChars="0"/>
              <w:jc w:val="center"/>
              <w:rPr>
                <w:color w:val="auto"/>
                <w:kern w:val="0"/>
                <w:sz w:val="21"/>
                <w:szCs w:val="21"/>
              </w:rPr>
            </w:pPr>
            <w:r>
              <w:rPr>
                <w:rFonts w:hint="eastAsia"/>
                <w:color w:val="auto"/>
                <w:kern w:val="0"/>
                <w:sz w:val="21"/>
                <w:szCs w:val="21"/>
              </w:rPr>
              <w:t>全面贯彻循环经济理念和清洁生产原则，选用先进工艺和设备，生产所需设备及生产工艺须符合国家有关产业政策，不得使用淘汰落后的生产设备和工艺。</w:t>
            </w:r>
          </w:p>
        </w:tc>
        <w:tc>
          <w:tcPr>
            <w:tcW w:w="3577" w:type="dxa"/>
            <w:tcBorders>
              <w:tl2br w:val="nil"/>
              <w:tr2bl w:val="nil"/>
            </w:tcBorders>
            <w:vAlign w:val="center"/>
          </w:tcPr>
          <w:p w14:paraId="4A5440FF">
            <w:pPr>
              <w:widowControl/>
              <w:spacing w:line="240" w:lineRule="auto"/>
              <w:ind w:firstLine="0" w:firstLineChars="0"/>
              <w:jc w:val="center"/>
              <w:rPr>
                <w:color w:val="auto"/>
                <w:kern w:val="0"/>
                <w:sz w:val="21"/>
                <w:szCs w:val="21"/>
              </w:rPr>
            </w:pPr>
            <w:r>
              <w:rPr>
                <w:rFonts w:hint="eastAsia"/>
                <w:color w:val="auto"/>
                <w:kern w:val="0"/>
                <w:sz w:val="21"/>
                <w:szCs w:val="21"/>
              </w:rPr>
              <w:t>该项目贯彻循环经济理念和清洁生产原则，产品盐酸苯肼、硫酸苯肼、亚硫酸氢铵、1,3,5-吡唑酮和乙酰丙酮的生产工艺和设备符合国家有关产业政策，工艺先进性主要体现在如下几方面：①采用醋酸裂解法生产乙烯酮，替代传统的丙酮裂解工艺，由此在生产工艺中不再使用恶臭类催化剂二硫化碳，满足江苏省人民政府印发的“苏政办发[2006]121号”的要求。</w:t>
            </w:r>
          </w:p>
          <w:p w14:paraId="5876E30D">
            <w:pPr>
              <w:widowControl/>
              <w:spacing w:line="240" w:lineRule="auto"/>
              <w:ind w:firstLine="0" w:firstLineChars="0"/>
              <w:jc w:val="center"/>
              <w:rPr>
                <w:color w:val="auto"/>
                <w:kern w:val="0"/>
                <w:sz w:val="21"/>
                <w:szCs w:val="21"/>
              </w:rPr>
            </w:pPr>
            <w:r>
              <w:rPr>
                <w:rFonts w:hint="eastAsia"/>
                <w:color w:val="auto"/>
                <w:kern w:val="0"/>
                <w:sz w:val="21"/>
                <w:szCs w:val="21"/>
              </w:rPr>
              <w:t>②拟建采用液硫焚烧生成二氧化硫，与固态硫（硫磺）焚烧产生硫法相比，二氧化硫的生成率大幅度提高，同时也消除了硫磺储运过程中可能产生的恶臭污染和其它危害。</w:t>
            </w:r>
          </w:p>
          <w:p w14:paraId="294990C1">
            <w:pPr>
              <w:widowControl/>
              <w:spacing w:line="240" w:lineRule="auto"/>
              <w:ind w:firstLine="0" w:firstLineChars="0"/>
              <w:jc w:val="center"/>
              <w:rPr>
                <w:color w:val="auto"/>
                <w:kern w:val="0"/>
                <w:sz w:val="21"/>
                <w:szCs w:val="21"/>
              </w:rPr>
            </w:pPr>
            <w:r>
              <w:rPr>
                <w:rFonts w:hint="eastAsia"/>
                <w:color w:val="auto"/>
                <w:kern w:val="0"/>
                <w:sz w:val="21"/>
                <w:szCs w:val="21"/>
              </w:rPr>
              <w:t>③采用大孔树脂吸附处理工艺废水，回收苯肼盐酸盐和硫酸钙，如此既提高经济效益，又大幅度降低了废水污染。</w:t>
            </w:r>
          </w:p>
          <w:p w14:paraId="5638DDA4">
            <w:pPr>
              <w:widowControl/>
              <w:spacing w:line="240" w:lineRule="auto"/>
              <w:ind w:firstLine="0" w:firstLineChars="0"/>
              <w:jc w:val="center"/>
              <w:rPr>
                <w:color w:val="auto"/>
                <w:kern w:val="0"/>
                <w:sz w:val="21"/>
                <w:szCs w:val="21"/>
              </w:rPr>
            </w:pPr>
            <w:r>
              <w:rPr>
                <w:rFonts w:hint="eastAsia"/>
                <w:color w:val="auto"/>
                <w:kern w:val="0"/>
                <w:sz w:val="21"/>
                <w:szCs w:val="21"/>
              </w:rPr>
              <w:t>④拟建盐酸（硫酸）苯肼的生产原料亚硫酸氢铵大部分源于自产，由此大幅度降低了生产成本，同时也给自身产品找到了去向。经济效益可观。</w:t>
            </w:r>
          </w:p>
          <w:p w14:paraId="463223C3">
            <w:pPr>
              <w:widowControl/>
              <w:spacing w:line="240" w:lineRule="auto"/>
              <w:ind w:firstLine="0" w:firstLineChars="0"/>
              <w:jc w:val="center"/>
              <w:rPr>
                <w:color w:val="auto"/>
                <w:kern w:val="0"/>
                <w:sz w:val="21"/>
                <w:szCs w:val="21"/>
              </w:rPr>
            </w:pPr>
            <w:r>
              <w:rPr>
                <w:rFonts w:hint="eastAsia"/>
                <w:color w:val="auto"/>
                <w:kern w:val="0"/>
                <w:sz w:val="21"/>
                <w:szCs w:val="21"/>
              </w:rPr>
              <w:t>⑤废气氨的水吸收和SO</w:t>
            </w:r>
            <w:r>
              <w:rPr>
                <w:rFonts w:hint="eastAsia"/>
                <w:color w:val="auto"/>
                <w:kern w:val="0"/>
                <w:sz w:val="21"/>
                <w:szCs w:val="21"/>
                <w:vertAlign w:val="subscript"/>
              </w:rPr>
              <w:t>2</w:t>
            </w:r>
            <w:r>
              <w:rPr>
                <w:rFonts w:hint="eastAsia"/>
                <w:color w:val="auto"/>
                <w:kern w:val="0"/>
                <w:sz w:val="21"/>
                <w:szCs w:val="21"/>
              </w:rPr>
              <w:t>的氨水回收循环利用工序，二者相互结合，充分做到了物料再循环和废弃物的相互利用。同时还降低生产成本，带来经济效益。真正做到了“变废为宝”的主导思想。</w:t>
            </w:r>
          </w:p>
          <w:p w14:paraId="7D345431">
            <w:pPr>
              <w:widowControl/>
              <w:spacing w:line="240" w:lineRule="auto"/>
              <w:ind w:firstLine="0" w:firstLineChars="0"/>
              <w:jc w:val="center"/>
              <w:rPr>
                <w:color w:val="auto"/>
                <w:kern w:val="0"/>
                <w:sz w:val="21"/>
                <w:szCs w:val="21"/>
              </w:rPr>
            </w:pPr>
            <w:r>
              <w:rPr>
                <w:rFonts w:hint="eastAsia"/>
                <w:color w:val="auto"/>
                <w:kern w:val="0"/>
                <w:sz w:val="21"/>
                <w:szCs w:val="21"/>
              </w:rPr>
              <w:t>⑥1,3,5-吡唑酮生产蒸馏出水回收生产套用设施，如此既大幅度减少了废水及大气污染物的排放量，降低了厂内污水和大气污染处理费用，同时减少小生产原料的使用量，降低了生产成本，充分提高了原料的利用效率，真正做到了清洁生产。</w:t>
            </w:r>
          </w:p>
        </w:tc>
      </w:tr>
      <w:tr w14:paraId="47FEB01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60CECD0B">
            <w:pPr>
              <w:widowControl/>
              <w:spacing w:line="240" w:lineRule="auto"/>
              <w:ind w:firstLine="0" w:firstLineChars="0"/>
              <w:jc w:val="center"/>
              <w:rPr>
                <w:color w:val="auto"/>
                <w:kern w:val="0"/>
                <w:sz w:val="21"/>
                <w:szCs w:val="21"/>
              </w:rPr>
            </w:pPr>
            <w:r>
              <w:rPr>
                <w:rFonts w:hint="eastAsia"/>
                <w:color w:val="auto"/>
                <w:kern w:val="0"/>
                <w:sz w:val="21"/>
                <w:szCs w:val="21"/>
              </w:rPr>
              <w:t>2</w:t>
            </w:r>
          </w:p>
        </w:tc>
        <w:tc>
          <w:tcPr>
            <w:tcW w:w="4313" w:type="dxa"/>
            <w:tcBorders>
              <w:tl2br w:val="nil"/>
              <w:tr2bl w:val="nil"/>
            </w:tcBorders>
            <w:vAlign w:val="center"/>
          </w:tcPr>
          <w:p w14:paraId="1104613B">
            <w:pPr>
              <w:widowControl/>
              <w:spacing w:line="240" w:lineRule="auto"/>
              <w:ind w:firstLine="0" w:firstLineChars="0"/>
              <w:jc w:val="center"/>
              <w:rPr>
                <w:color w:val="auto"/>
                <w:kern w:val="0"/>
                <w:sz w:val="21"/>
                <w:szCs w:val="21"/>
              </w:rPr>
            </w:pPr>
            <w:r>
              <w:rPr>
                <w:rFonts w:hint="eastAsia"/>
                <w:color w:val="auto"/>
                <w:kern w:val="0"/>
                <w:sz w:val="21"/>
                <w:szCs w:val="21"/>
              </w:rPr>
              <w:t>严格按照化工园区环保基础设施建设要求，配建匹配的雨水、污水收集系统，实行清污分流、雨污分流，废水分类收集、分质处理。本次技改将现有废水处理“中和预处理+树脂吸附+臭氧氧化”工艺调整为“中和预处理+大孔树脂吸附+沉淀法脱硫+超重力汽提脱氨+臭氧催化氧化(加载嵌合)+四效顺流蒸发浓缩分离+流化床喷雾造粒”处理工艺，预处理后排放废水通过“一企一管”专用管道纳入园区污水处理厂处理。技改后排放废水接管标准执行《污水综合排放标准》(GB8978-1996)表4三级标准，其中氨氮、总氮、总磷执行《污水排入城镇下水道水质标准》(GB/T31962-2015)表1中B等级标准。后期雨水经动力提升排放园区雨水管网，排放水质须符合COD≤40mg/L、SS≤30mg/L的水质要求，苯胺类特征污染物因子不得检出。</w:t>
            </w:r>
          </w:p>
        </w:tc>
        <w:tc>
          <w:tcPr>
            <w:tcW w:w="3577" w:type="dxa"/>
            <w:tcBorders>
              <w:tl2br w:val="nil"/>
              <w:tr2bl w:val="nil"/>
            </w:tcBorders>
            <w:vAlign w:val="center"/>
          </w:tcPr>
          <w:p w14:paraId="269078E8">
            <w:pPr>
              <w:widowControl/>
              <w:spacing w:line="240" w:lineRule="auto"/>
              <w:ind w:firstLine="0" w:firstLineChars="0"/>
              <w:jc w:val="center"/>
              <w:rPr>
                <w:color w:val="auto"/>
                <w:kern w:val="0"/>
                <w:sz w:val="21"/>
                <w:szCs w:val="21"/>
              </w:rPr>
            </w:pPr>
            <w:r>
              <w:rPr>
                <w:rFonts w:hint="eastAsia"/>
                <w:color w:val="auto"/>
                <w:kern w:val="0"/>
                <w:sz w:val="21"/>
                <w:szCs w:val="21"/>
              </w:rPr>
              <w:t>全厂已实施“清污分流、雨污分流”。根据企业例行监测报告，技改后排放废水中氨氮、总氮、总磷排放均符合《污水排入城镇下水道水质标准》(GB/T31962-2015)表1中B等级标准。后期雨水中COD和SS排放均符合COD≤40mg/L、SS≤30mg/L的水质要求，未检出苯胺类特征污染物因子。</w:t>
            </w:r>
          </w:p>
        </w:tc>
      </w:tr>
      <w:tr w14:paraId="7A80B94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6631E162">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4313" w:type="dxa"/>
            <w:tcBorders>
              <w:tl2br w:val="nil"/>
              <w:tr2bl w:val="nil"/>
            </w:tcBorders>
            <w:vAlign w:val="center"/>
          </w:tcPr>
          <w:p w14:paraId="3826F865">
            <w:pPr>
              <w:widowControl/>
              <w:spacing w:line="240" w:lineRule="auto"/>
              <w:ind w:firstLine="0" w:firstLineChars="0"/>
              <w:jc w:val="center"/>
              <w:rPr>
                <w:color w:val="auto"/>
                <w:kern w:val="0"/>
                <w:sz w:val="21"/>
                <w:szCs w:val="21"/>
              </w:rPr>
            </w:pPr>
            <w:r>
              <w:rPr>
                <w:rFonts w:hint="eastAsia"/>
                <w:color w:val="auto"/>
                <w:kern w:val="0"/>
                <w:sz w:val="21"/>
                <w:szCs w:val="21"/>
              </w:rPr>
              <w:t>严格控制各类无组织废气、粉尘及恶臭气体的产生与排放，优化工艺废气治理方案，确保废气、粉尘污染物治理设施的收集及处理能力与项目产污状况相匹配，并符合安全生产管理相关规定和要求。氨气中和反应工序逸出废气配建三级水喷淋(一级新建，后两级利用盐酸(硫酸)苯肼车间已建废气处理装置)处理设施，处理后废气通过现有1"排气筒排放；石膏干燥工序废气和研磨工序废气经布袋除尘+水喷淋处理后与燃气炉燃烧废气经3#排气简达标排放；氯化钙造粒粉尘经旋风+布袋除尘处理后与燃气炉燃烧废气经4#排气筒达标排放。拟建所用辅助燃料为天然气，废气排气筒高度、废气处理设施的废气收集率、去除率不得低于《报告表》所列要求，技改项目污水处理站产生的氨、SO2、NOx和颗粒物有组织排放执行《无机化学工业污染物排放标准》(GB31573-2015)表4特别排放限值，无组织排放执行《无机化学工业污染物排放标准》(GB31573-2015)表5企业边界大气污染物排放限值、《大气污染物综合排放标准》(DB31/933-2015)表3标准及《大气污染物综合排放标准》(GB16297-1996)表2标准；苯胺类无组织排放执行《江苏省化学工业挥发性有机物排放标准》(DB32/3151-2016)表2标准。</w:t>
            </w:r>
          </w:p>
        </w:tc>
        <w:tc>
          <w:tcPr>
            <w:tcW w:w="3577" w:type="dxa"/>
            <w:tcBorders>
              <w:tl2br w:val="nil"/>
              <w:tr2bl w:val="nil"/>
            </w:tcBorders>
            <w:vAlign w:val="center"/>
          </w:tcPr>
          <w:p w14:paraId="27761955">
            <w:pPr>
              <w:widowControl/>
              <w:spacing w:line="240" w:lineRule="auto"/>
              <w:ind w:firstLine="0" w:firstLineChars="0"/>
              <w:jc w:val="center"/>
              <w:rPr>
                <w:color w:val="auto"/>
                <w:kern w:val="0"/>
                <w:sz w:val="21"/>
                <w:szCs w:val="21"/>
              </w:rPr>
            </w:pPr>
            <w:r>
              <w:rPr>
                <w:rFonts w:hint="eastAsia"/>
                <w:color w:val="auto"/>
                <w:kern w:val="0"/>
                <w:sz w:val="21"/>
                <w:szCs w:val="21"/>
              </w:rPr>
              <w:t>企业对恶臭气体进行了收集处置，确保无组织废气、粉尘及恶臭气体达标排放，并符合安全生产管理相关规定和要求。</w:t>
            </w:r>
          </w:p>
          <w:p w14:paraId="390D9A74">
            <w:pPr>
              <w:widowControl/>
              <w:spacing w:line="240" w:lineRule="auto"/>
              <w:ind w:firstLine="0" w:firstLineChars="0"/>
              <w:jc w:val="center"/>
              <w:rPr>
                <w:color w:val="auto"/>
                <w:kern w:val="0"/>
                <w:sz w:val="21"/>
                <w:szCs w:val="21"/>
              </w:rPr>
            </w:pPr>
            <w:r>
              <w:rPr>
                <w:rFonts w:hint="eastAsia"/>
                <w:color w:val="auto"/>
                <w:kern w:val="0"/>
                <w:sz w:val="21"/>
                <w:szCs w:val="21"/>
              </w:rPr>
              <w:t>石膏干燥工序废气和研磨工序废气经布袋除尘+水喷淋处理后与燃气炉燃烧废气经40m高的3#排气简达标排放；氯化钙造粒粉尘经旋风+布袋除尘处理后与燃气炉燃烧废气经40m高的4#排气筒达标排放，其高度和废气处理设施的废气收集率、去除率均符合《报告表》所列要求。</w:t>
            </w:r>
          </w:p>
          <w:p w14:paraId="048661FA">
            <w:pPr>
              <w:widowControl/>
              <w:spacing w:line="240" w:lineRule="auto"/>
              <w:ind w:firstLine="0" w:firstLineChars="0"/>
              <w:jc w:val="center"/>
              <w:rPr>
                <w:color w:val="auto"/>
                <w:kern w:val="0"/>
                <w:sz w:val="21"/>
                <w:szCs w:val="21"/>
              </w:rPr>
            </w:pPr>
            <w:r>
              <w:rPr>
                <w:color w:val="auto"/>
                <w:kern w:val="0"/>
                <w:sz w:val="21"/>
                <w:szCs w:val="21"/>
              </w:rPr>
              <w:t>根据企业例行监测报告污水处理站产生的氨、SO</w:t>
            </w:r>
            <w:r>
              <w:rPr>
                <w:color w:val="auto"/>
                <w:kern w:val="0"/>
                <w:sz w:val="21"/>
                <w:szCs w:val="21"/>
                <w:vertAlign w:val="subscript"/>
              </w:rPr>
              <w:t>2</w:t>
            </w:r>
            <w:r>
              <w:rPr>
                <w:color w:val="auto"/>
                <w:kern w:val="0"/>
                <w:sz w:val="21"/>
                <w:szCs w:val="21"/>
              </w:rPr>
              <w:t>、NO</w:t>
            </w:r>
            <w:r>
              <w:rPr>
                <w:color w:val="auto"/>
                <w:kern w:val="0"/>
                <w:sz w:val="21"/>
                <w:szCs w:val="21"/>
                <w:vertAlign w:val="subscript"/>
              </w:rPr>
              <w:t>x</w:t>
            </w:r>
            <w:r>
              <w:rPr>
                <w:color w:val="auto"/>
                <w:kern w:val="0"/>
                <w:sz w:val="21"/>
                <w:szCs w:val="21"/>
              </w:rPr>
              <w:t>和颗粒物有组织排放</w:t>
            </w:r>
            <w:r>
              <w:rPr>
                <w:rFonts w:hint="eastAsia"/>
                <w:color w:val="auto"/>
                <w:kern w:val="0"/>
                <w:sz w:val="21"/>
                <w:szCs w:val="21"/>
              </w:rPr>
              <w:t>均符合</w:t>
            </w:r>
            <w:r>
              <w:rPr>
                <w:color w:val="auto"/>
                <w:kern w:val="0"/>
                <w:sz w:val="21"/>
                <w:szCs w:val="21"/>
              </w:rPr>
              <w:t>《无机化学工业污染物排放标准》(GB31573-2015)表4</w:t>
            </w:r>
            <w:r>
              <w:rPr>
                <w:rFonts w:hint="eastAsia"/>
                <w:color w:val="auto"/>
                <w:kern w:val="0"/>
                <w:sz w:val="21"/>
                <w:szCs w:val="21"/>
              </w:rPr>
              <w:t>相关标准</w:t>
            </w:r>
            <w:r>
              <w:rPr>
                <w:color w:val="auto"/>
                <w:kern w:val="0"/>
                <w:sz w:val="21"/>
                <w:szCs w:val="21"/>
              </w:rPr>
              <w:t>，无组织排放</w:t>
            </w:r>
            <w:r>
              <w:rPr>
                <w:rFonts w:hint="eastAsia"/>
                <w:color w:val="auto"/>
                <w:kern w:val="0"/>
                <w:sz w:val="21"/>
                <w:szCs w:val="21"/>
              </w:rPr>
              <w:t>符合</w:t>
            </w:r>
            <w:r>
              <w:rPr>
                <w:color w:val="auto"/>
                <w:kern w:val="0"/>
                <w:sz w:val="21"/>
                <w:szCs w:val="21"/>
              </w:rPr>
              <w:t>《无机化学工业污染物排放标准》(GB31573-2015)表5</w:t>
            </w:r>
            <w:r>
              <w:rPr>
                <w:rFonts w:hint="eastAsia"/>
                <w:color w:val="auto"/>
                <w:kern w:val="0"/>
                <w:sz w:val="21"/>
                <w:szCs w:val="21"/>
              </w:rPr>
              <w:t>相关标准</w:t>
            </w:r>
            <w:r>
              <w:rPr>
                <w:color w:val="auto"/>
                <w:kern w:val="0"/>
                <w:sz w:val="21"/>
                <w:szCs w:val="21"/>
              </w:rPr>
              <w:t>、《大气污染物综合排放标准》(DB31/933-2015)表3标准及《大气污染物综合排放标准》(GB16297-1996)表2标准；苯胺类无组织排放</w:t>
            </w:r>
            <w:r>
              <w:rPr>
                <w:rFonts w:hint="eastAsia"/>
                <w:color w:val="auto"/>
                <w:kern w:val="0"/>
                <w:sz w:val="21"/>
                <w:szCs w:val="21"/>
              </w:rPr>
              <w:t>符合</w:t>
            </w:r>
            <w:r>
              <w:rPr>
                <w:color w:val="auto"/>
                <w:kern w:val="0"/>
                <w:sz w:val="21"/>
                <w:szCs w:val="21"/>
              </w:rPr>
              <w:t>《江苏省化学工业挥发性有机物排放标准》(DB32/3151-2016)表2标准。</w:t>
            </w:r>
          </w:p>
        </w:tc>
      </w:tr>
      <w:tr w14:paraId="1FB674E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0230CEAD">
            <w:pPr>
              <w:widowControl/>
              <w:spacing w:line="240" w:lineRule="auto"/>
              <w:ind w:firstLine="0" w:firstLineChars="0"/>
              <w:jc w:val="center"/>
              <w:rPr>
                <w:color w:val="auto"/>
                <w:kern w:val="0"/>
                <w:sz w:val="21"/>
                <w:szCs w:val="21"/>
              </w:rPr>
            </w:pPr>
            <w:r>
              <w:rPr>
                <w:rFonts w:hint="eastAsia"/>
                <w:color w:val="auto"/>
                <w:kern w:val="0"/>
                <w:sz w:val="21"/>
                <w:szCs w:val="21"/>
              </w:rPr>
              <w:t>4</w:t>
            </w:r>
          </w:p>
        </w:tc>
        <w:tc>
          <w:tcPr>
            <w:tcW w:w="4313" w:type="dxa"/>
            <w:tcBorders>
              <w:tl2br w:val="nil"/>
              <w:tr2bl w:val="nil"/>
            </w:tcBorders>
            <w:vAlign w:val="center"/>
          </w:tcPr>
          <w:p w14:paraId="0A9A4EA5">
            <w:pPr>
              <w:widowControl/>
              <w:spacing w:line="240" w:lineRule="auto"/>
              <w:ind w:firstLine="0" w:firstLineChars="0"/>
              <w:jc w:val="center"/>
              <w:rPr>
                <w:color w:val="auto"/>
                <w:kern w:val="0"/>
                <w:sz w:val="21"/>
                <w:szCs w:val="21"/>
              </w:rPr>
            </w:pPr>
            <w:r>
              <w:rPr>
                <w:rFonts w:hint="eastAsia"/>
                <w:color w:val="auto"/>
                <w:kern w:val="0"/>
                <w:sz w:val="21"/>
                <w:szCs w:val="21"/>
              </w:rPr>
              <w:t>合理总平布局及车间布局，选用低噪声设备，同时采取有效的隔声、吸声、减震等污染治理措施，引风机、空压机、造粒机等高噪声源须远离厂界，确保厂界噪声符合《工业企业厂界环境噪声排放标准》(GB12348-2008)中3类标准。</w:t>
            </w:r>
          </w:p>
        </w:tc>
        <w:tc>
          <w:tcPr>
            <w:tcW w:w="3577" w:type="dxa"/>
            <w:tcBorders>
              <w:tl2br w:val="nil"/>
              <w:tr2bl w:val="nil"/>
            </w:tcBorders>
            <w:vAlign w:val="center"/>
          </w:tcPr>
          <w:p w14:paraId="62503598">
            <w:pPr>
              <w:widowControl/>
              <w:spacing w:line="240" w:lineRule="auto"/>
              <w:ind w:firstLine="0" w:firstLineChars="0"/>
              <w:jc w:val="center"/>
              <w:rPr>
                <w:color w:val="auto"/>
                <w:kern w:val="0"/>
                <w:sz w:val="21"/>
                <w:szCs w:val="21"/>
              </w:rPr>
            </w:pPr>
            <w:r>
              <w:rPr>
                <w:rFonts w:hint="eastAsia"/>
                <w:color w:val="auto"/>
                <w:kern w:val="0"/>
                <w:sz w:val="21"/>
                <w:szCs w:val="21"/>
              </w:rPr>
              <w:t>对高噪声设备采取了隔声、减震等措施，厂界昼、夜间达标情况良好。</w:t>
            </w:r>
          </w:p>
        </w:tc>
      </w:tr>
      <w:tr w14:paraId="3BEC770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13991641">
            <w:pPr>
              <w:widowControl/>
              <w:spacing w:line="240" w:lineRule="auto"/>
              <w:ind w:firstLine="0" w:firstLineChars="0"/>
              <w:jc w:val="center"/>
              <w:rPr>
                <w:color w:val="auto"/>
                <w:kern w:val="0"/>
                <w:sz w:val="21"/>
                <w:szCs w:val="21"/>
              </w:rPr>
            </w:pPr>
            <w:r>
              <w:rPr>
                <w:rFonts w:hint="eastAsia"/>
                <w:color w:val="auto"/>
                <w:kern w:val="0"/>
                <w:sz w:val="21"/>
                <w:szCs w:val="21"/>
              </w:rPr>
              <w:t>5</w:t>
            </w:r>
          </w:p>
        </w:tc>
        <w:tc>
          <w:tcPr>
            <w:tcW w:w="4313" w:type="dxa"/>
            <w:tcBorders>
              <w:tl2br w:val="nil"/>
              <w:tr2bl w:val="nil"/>
            </w:tcBorders>
            <w:vAlign w:val="center"/>
          </w:tcPr>
          <w:p w14:paraId="329FC795">
            <w:pPr>
              <w:widowControl/>
              <w:spacing w:line="240" w:lineRule="auto"/>
              <w:ind w:firstLine="0" w:firstLineChars="0"/>
              <w:jc w:val="center"/>
              <w:rPr>
                <w:color w:val="auto"/>
                <w:kern w:val="0"/>
                <w:sz w:val="21"/>
                <w:szCs w:val="21"/>
              </w:rPr>
            </w:pPr>
            <w:r>
              <w:rPr>
                <w:rFonts w:hint="eastAsia"/>
                <w:color w:val="auto"/>
                <w:kern w:val="0"/>
                <w:sz w:val="21"/>
                <w:szCs w:val="21"/>
              </w:rPr>
              <w:t>生活垃圾、一般固废、危险废物须分类收集、分质处置，按“减量化、资源化、无害化”的处理原则，落实各类固体废物特别是危险废物的收集、处置和综合利用措施，严禁乱投、乱倒或非法转移。生活垃圾收集后由园区环卫部门统一处理；废水处理污泥、废树脂等危险废物须委托有相应资质的单位安全处置。一般工业固废和生活垃圾的贮存处置参照《一般工业固体废物贮存、处置场污染控制标准》(GB18599-2001)标准执行；危险固废暂存场所须符合《危险废物贮存污染控制标准》(GB18597-2001)相关要求。</w:t>
            </w:r>
          </w:p>
        </w:tc>
        <w:tc>
          <w:tcPr>
            <w:tcW w:w="3577" w:type="dxa"/>
            <w:tcBorders>
              <w:tl2br w:val="nil"/>
              <w:tr2bl w:val="nil"/>
            </w:tcBorders>
            <w:vAlign w:val="center"/>
          </w:tcPr>
          <w:p w14:paraId="5175E166">
            <w:pPr>
              <w:widowControl/>
              <w:spacing w:line="240" w:lineRule="auto"/>
              <w:ind w:firstLine="0" w:firstLineChars="0"/>
              <w:jc w:val="center"/>
              <w:rPr>
                <w:color w:val="auto"/>
                <w:kern w:val="0"/>
                <w:sz w:val="21"/>
                <w:szCs w:val="21"/>
              </w:rPr>
            </w:pPr>
            <w:r>
              <w:rPr>
                <w:rFonts w:hint="eastAsia"/>
                <w:color w:val="auto"/>
                <w:kern w:val="0"/>
                <w:sz w:val="21"/>
                <w:szCs w:val="21"/>
              </w:rPr>
              <w:t>企业按“减量化、资源化、无害化”的原则，按《危险废物贮存污染控制标准》(GB18597-2023)要求，落实对各类固体及危废的收集贮存。</w:t>
            </w:r>
          </w:p>
          <w:p w14:paraId="4B6E9AEC">
            <w:pPr>
              <w:widowControl/>
              <w:spacing w:line="240" w:lineRule="auto"/>
              <w:ind w:firstLine="0" w:firstLineChars="0"/>
              <w:jc w:val="center"/>
              <w:rPr>
                <w:color w:val="auto"/>
                <w:kern w:val="0"/>
                <w:sz w:val="21"/>
                <w:szCs w:val="21"/>
              </w:rPr>
            </w:pPr>
            <w:r>
              <w:rPr>
                <w:rFonts w:hint="eastAsia"/>
                <w:color w:val="auto"/>
                <w:kern w:val="0"/>
                <w:sz w:val="21"/>
                <w:szCs w:val="21"/>
              </w:rPr>
              <w:t>项目生产过程中产生的废水处理污泥、废树脂委托南通润启环保服务有限公司处置。</w:t>
            </w:r>
          </w:p>
          <w:p w14:paraId="497EA90F">
            <w:pPr>
              <w:widowControl/>
              <w:spacing w:line="240" w:lineRule="auto"/>
              <w:ind w:firstLine="0" w:firstLineChars="0"/>
              <w:jc w:val="center"/>
              <w:rPr>
                <w:color w:val="auto"/>
                <w:kern w:val="0"/>
                <w:sz w:val="21"/>
                <w:szCs w:val="21"/>
              </w:rPr>
            </w:pPr>
            <w:r>
              <w:rPr>
                <w:rFonts w:hint="eastAsia"/>
                <w:color w:val="auto"/>
                <w:kern w:val="0"/>
                <w:sz w:val="21"/>
                <w:szCs w:val="21"/>
              </w:rPr>
              <w:t>项目利用现有已建的180m</w:t>
            </w:r>
            <w:r>
              <w:rPr>
                <w:rFonts w:hint="eastAsia"/>
                <w:color w:val="auto"/>
                <w:kern w:val="0"/>
                <w:sz w:val="21"/>
                <w:szCs w:val="21"/>
                <w:vertAlign w:val="superscript"/>
              </w:rPr>
              <w:t>2</w:t>
            </w:r>
            <w:r>
              <w:rPr>
                <w:rFonts w:hint="eastAsia"/>
                <w:color w:val="auto"/>
                <w:kern w:val="0"/>
                <w:sz w:val="21"/>
                <w:szCs w:val="21"/>
              </w:rPr>
              <w:t>危险废物暂存库用于贮存生产过程中产生的危险固废，危废堆场须设置标志牌，地面与裙角均采用防渗材料建造，耐腐蚀的硬化地面，确保地面无裂缝，整个危险废物暂存场做到“防风、防雨、防晒”，并由专人管理和维护。同时各类固体废物均按照相关要求分类收集贮存，贮存区域应满足《危险废物贮存污染控制标准》（GB18597-2001）及其修改单的相关要求。</w:t>
            </w:r>
          </w:p>
        </w:tc>
      </w:tr>
      <w:tr w14:paraId="51DF7AB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597CCEBA">
            <w:pPr>
              <w:widowControl/>
              <w:spacing w:line="240" w:lineRule="auto"/>
              <w:ind w:firstLine="0" w:firstLineChars="0"/>
              <w:jc w:val="center"/>
              <w:rPr>
                <w:color w:val="auto"/>
                <w:kern w:val="0"/>
                <w:sz w:val="21"/>
                <w:szCs w:val="21"/>
              </w:rPr>
            </w:pPr>
            <w:r>
              <w:rPr>
                <w:rFonts w:hint="eastAsia"/>
                <w:color w:val="auto"/>
                <w:kern w:val="0"/>
                <w:sz w:val="21"/>
                <w:szCs w:val="21"/>
              </w:rPr>
              <w:t>6</w:t>
            </w:r>
          </w:p>
        </w:tc>
        <w:tc>
          <w:tcPr>
            <w:tcW w:w="4313" w:type="dxa"/>
            <w:tcBorders>
              <w:tl2br w:val="nil"/>
              <w:tr2bl w:val="nil"/>
            </w:tcBorders>
            <w:vAlign w:val="center"/>
          </w:tcPr>
          <w:p w14:paraId="24B4D8D7">
            <w:pPr>
              <w:widowControl/>
              <w:spacing w:line="240" w:lineRule="auto"/>
              <w:ind w:firstLine="0" w:firstLineChars="0"/>
              <w:jc w:val="center"/>
              <w:rPr>
                <w:color w:val="auto"/>
                <w:kern w:val="0"/>
                <w:sz w:val="21"/>
                <w:szCs w:val="21"/>
              </w:rPr>
            </w:pPr>
            <w:r>
              <w:rPr>
                <w:rFonts w:hint="eastAsia"/>
                <w:color w:val="auto"/>
                <w:kern w:val="0"/>
                <w:sz w:val="21"/>
                <w:szCs w:val="21"/>
              </w:rPr>
              <w:t>认真落实《报告表》提出的重点防渗区域土壤、地下水污染防治措施，对高浓废水处置车间、危废仓库、罐区、固废堆场等重点区域采取地面水泥固化、环氧树脂地坪、建设防水隔离层等防治措施，有效防止土壤和地下水污染，确保项目所在地土壤、地下水的环境质量不受影响，土壤环境质量符合《土壤环境质量建设用地土壤污染风险管控标准(试行)》(GB36600-2018)对应标准；地下水环境质量监测因子均应达到《地下水质量标准》(GB/T14848-93)现有各类标准。</w:t>
            </w:r>
          </w:p>
        </w:tc>
        <w:tc>
          <w:tcPr>
            <w:tcW w:w="3577" w:type="dxa"/>
            <w:tcBorders>
              <w:tl2br w:val="nil"/>
              <w:tr2bl w:val="nil"/>
            </w:tcBorders>
            <w:vAlign w:val="center"/>
          </w:tcPr>
          <w:p w14:paraId="1683779E">
            <w:pPr>
              <w:widowControl/>
              <w:spacing w:line="240" w:lineRule="auto"/>
              <w:ind w:firstLine="0" w:firstLineChars="0"/>
              <w:jc w:val="center"/>
              <w:rPr>
                <w:color w:val="auto"/>
                <w:kern w:val="0"/>
                <w:sz w:val="21"/>
                <w:szCs w:val="21"/>
              </w:rPr>
            </w:pPr>
            <w:r>
              <w:rPr>
                <w:rFonts w:hint="eastAsia"/>
                <w:color w:val="auto"/>
                <w:kern w:val="0"/>
                <w:sz w:val="21"/>
                <w:szCs w:val="21"/>
              </w:rPr>
              <w:t>企业对厂区高浓废水处置车间、危废仓库、罐区、固废堆场等重点区域采取了地面水泥固化、环氧树脂地坪、建设防水隔离层等防治措施，有效防止土壤和地下水污染，确保项目所在地土壤、地下水的环境质量不受影响，土壤环境质量符合《土壤环境质量建设用地土壤污染风险管控标准(试行)》(GB36600-2018)对应标准；地下水环境质量监测因子均达到《地下水质量标准》(GB/T14848-93)现有各类标准。</w:t>
            </w:r>
          </w:p>
        </w:tc>
      </w:tr>
      <w:tr w14:paraId="1EAD2AF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0255AE83">
            <w:pPr>
              <w:widowControl/>
              <w:spacing w:line="240" w:lineRule="auto"/>
              <w:ind w:firstLine="0" w:firstLineChars="0"/>
              <w:jc w:val="center"/>
              <w:rPr>
                <w:color w:val="auto"/>
                <w:kern w:val="0"/>
                <w:sz w:val="21"/>
                <w:szCs w:val="21"/>
              </w:rPr>
            </w:pPr>
            <w:r>
              <w:rPr>
                <w:rFonts w:hint="eastAsia"/>
                <w:color w:val="auto"/>
                <w:kern w:val="0"/>
                <w:sz w:val="21"/>
                <w:szCs w:val="21"/>
              </w:rPr>
              <w:t>7</w:t>
            </w:r>
          </w:p>
        </w:tc>
        <w:tc>
          <w:tcPr>
            <w:tcW w:w="4313" w:type="dxa"/>
            <w:tcBorders>
              <w:tl2br w:val="nil"/>
              <w:tr2bl w:val="nil"/>
            </w:tcBorders>
            <w:vAlign w:val="center"/>
          </w:tcPr>
          <w:p w14:paraId="3255C8BC">
            <w:pPr>
              <w:widowControl/>
              <w:spacing w:line="240" w:lineRule="auto"/>
              <w:ind w:firstLine="0" w:firstLineChars="0"/>
              <w:jc w:val="center"/>
              <w:rPr>
                <w:color w:val="auto"/>
                <w:kern w:val="0"/>
                <w:sz w:val="21"/>
                <w:szCs w:val="21"/>
              </w:rPr>
            </w:pPr>
            <w:r>
              <w:rPr>
                <w:rFonts w:hint="eastAsia"/>
                <w:color w:val="auto"/>
                <w:kern w:val="0"/>
                <w:sz w:val="21"/>
                <w:szCs w:val="21"/>
              </w:rPr>
              <w:t>积极推行清洁生产，开展清洁生产审计，提高余热锅炉热能及热能利用控制水平，减少生产过程中产污环节和污染物产生量，尽早完成企业ISO14000环境认证。</w:t>
            </w:r>
          </w:p>
        </w:tc>
        <w:tc>
          <w:tcPr>
            <w:tcW w:w="3577" w:type="dxa"/>
            <w:tcBorders>
              <w:tl2br w:val="nil"/>
              <w:tr2bl w:val="nil"/>
            </w:tcBorders>
            <w:vAlign w:val="center"/>
          </w:tcPr>
          <w:p w14:paraId="121CF73F">
            <w:pPr>
              <w:widowControl/>
              <w:spacing w:line="240" w:lineRule="auto"/>
              <w:ind w:firstLine="0" w:firstLineChars="0"/>
              <w:jc w:val="center"/>
              <w:rPr>
                <w:color w:val="auto"/>
                <w:kern w:val="0"/>
                <w:sz w:val="21"/>
                <w:szCs w:val="21"/>
              </w:rPr>
            </w:pPr>
            <w:r>
              <w:rPr>
                <w:rFonts w:hint="eastAsia"/>
                <w:color w:val="auto"/>
                <w:kern w:val="0"/>
                <w:sz w:val="21"/>
                <w:szCs w:val="21"/>
              </w:rPr>
              <w:t>积极推行清洁生产，企业已完成第三轮清洁生产审核，正在加紧完成企业ISO14000环境认证。</w:t>
            </w:r>
          </w:p>
        </w:tc>
      </w:tr>
      <w:tr w14:paraId="4BF74DF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2" w:type="dxa"/>
            <w:tcBorders>
              <w:tl2br w:val="nil"/>
              <w:tr2bl w:val="nil"/>
            </w:tcBorders>
            <w:vAlign w:val="center"/>
          </w:tcPr>
          <w:p w14:paraId="53AD089A">
            <w:pPr>
              <w:widowControl/>
              <w:spacing w:line="240" w:lineRule="auto"/>
              <w:ind w:firstLine="0" w:firstLineChars="0"/>
              <w:jc w:val="center"/>
              <w:rPr>
                <w:color w:val="auto"/>
                <w:kern w:val="0"/>
                <w:sz w:val="21"/>
                <w:szCs w:val="21"/>
              </w:rPr>
            </w:pPr>
            <w:r>
              <w:rPr>
                <w:rFonts w:hint="eastAsia"/>
                <w:color w:val="auto"/>
                <w:kern w:val="0"/>
                <w:sz w:val="21"/>
                <w:szCs w:val="21"/>
              </w:rPr>
              <w:t>8</w:t>
            </w:r>
          </w:p>
        </w:tc>
        <w:tc>
          <w:tcPr>
            <w:tcW w:w="4313" w:type="dxa"/>
            <w:tcBorders>
              <w:tl2br w:val="nil"/>
              <w:tr2bl w:val="nil"/>
            </w:tcBorders>
            <w:vAlign w:val="center"/>
          </w:tcPr>
          <w:p w14:paraId="61E0AF26">
            <w:pPr>
              <w:widowControl/>
              <w:spacing w:line="240" w:lineRule="auto"/>
              <w:ind w:firstLine="0" w:firstLineChars="0"/>
              <w:jc w:val="center"/>
              <w:rPr>
                <w:color w:val="auto"/>
                <w:kern w:val="0"/>
                <w:sz w:val="21"/>
                <w:szCs w:val="21"/>
              </w:rPr>
            </w:pPr>
            <w:r>
              <w:rPr>
                <w:rFonts w:hint="eastAsia"/>
                <w:color w:val="auto"/>
                <w:kern w:val="0"/>
                <w:sz w:val="21"/>
                <w:szCs w:val="21"/>
              </w:rPr>
              <w:t>严格按照《江苏省排污口设置及规范化整治管理办法》(苏环控[1997]122号)及《排污口规范化整治技术要求》(环监[1996]470号)相关要求，规范化建设废水、废气排放口，标准化设置排放口及固废堆场标识标志。废水排口须安装流量计、COD、氨氮等特征污染物因子在线监测仪，在线监控设施须与环保部门实时联网。污染治理工程须委托有相应资质的单位设计、施工，按《报告表》要求建立健全各项环境保护规章制度，落实企业自我监测计划，定期公开环境信息，配备专职“三废”治理员。</w:t>
            </w:r>
          </w:p>
        </w:tc>
        <w:tc>
          <w:tcPr>
            <w:tcW w:w="3577" w:type="dxa"/>
            <w:tcBorders>
              <w:tl2br w:val="nil"/>
              <w:tr2bl w:val="nil"/>
            </w:tcBorders>
            <w:vAlign w:val="center"/>
          </w:tcPr>
          <w:p w14:paraId="2FBAB6C8">
            <w:pPr>
              <w:widowControl/>
              <w:spacing w:line="240" w:lineRule="auto"/>
              <w:ind w:firstLine="0" w:firstLineChars="0"/>
              <w:jc w:val="center"/>
              <w:rPr>
                <w:color w:val="auto"/>
                <w:kern w:val="0"/>
                <w:sz w:val="21"/>
                <w:szCs w:val="21"/>
              </w:rPr>
            </w:pPr>
            <w:r>
              <w:rPr>
                <w:rFonts w:hint="eastAsia"/>
                <w:color w:val="auto"/>
                <w:kern w:val="0"/>
                <w:sz w:val="21"/>
                <w:szCs w:val="21"/>
              </w:rPr>
              <w:t>企业已按照《江苏省排污口设置及规范化整治管理办法》(苏环控[1997]122号)及《排污口规范化整治技术要求》(环监[1996]470号)相关要求，规范化建设废水、废气排放口，标准化设置排放口及固废堆场标识标志。废水排口已安装流量计、COD、氨氮等特征污染物因子在线监测仪，在线监控设施与环保部门实时联网。污染治理工程须已委托有相应资质的单位设计、施工，按《报告表》要求建立健全各项环境保护规章制度，落实企业自我监测计划，定期公开环境信息，配备了专职“三废”治理员。</w:t>
            </w:r>
          </w:p>
        </w:tc>
      </w:tr>
      <w:tr w14:paraId="29B900F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74" w:hRule="atLeast"/>
          <w:jc w:val="center"/>
        </w:trPr>
        <w:tc>
          <w:tcPr>
            <w:tcW w:w="632" w:type="dxa"/>
            <w:tcBorders>
              <w:tl2br w:val="nil"/>
              <w:tr2bl w:val="nil"/>
            </w:tcBorders>
            <w:vAlign w:val="center"/>
          </w:tcPr>
          <w:p w14:paraId="22471BF8">
            <w:pPr>
              <w:widowControl/>
              <w:spacing w:line="240" w:lineRule="auto"/>
              <w:ind w:firstLine="0" w:firstLineChars="0"/>
              <w:jc w:val="center"/>
              <w:rPr>
                <w:color w:val="auto"/>
                <w:kern w:val="0"/>
                <w:sz w:val="21"/>
                <w:szCs w:val="21"/>
              </w:rPr>
            </w:pPr>
            <w:r>
              <w:rPr>
                <w:rFonts w:hint="eastAsia"/>
                <w:color w:val="auto"/>
                <w:kern w:val="0"/>
                <w:sz w:val="21"/>
                <w:szCs w:val="21"/>
              </w:rPr>
              <w:t>9</w:t>
            </w:r>
          </w:p>
        </w:tc>
        <w:tc>
          <w:tcPr>
            <w:tcW w:w="4313" w:type="dxa"/>
            <w:tcBorders>
              <w:tl2br w:val="nil"/>
              <w:tr2bl w:val="nil"/>
            </w:tcBorders>
            <w:vAlign w:val="center"/>
          </w:tcPr>
          <w:p w14:paraId="0FAF2CE9">
            <w:pPr>
              <w:widowControl/>
              <w:spacing w:line="240" w:lineRule="auto"/>
              <w:ind w:firstLine="0" w:firstLineChars="0"/>
              <w:jc w:val="center"/>
              <w:rPr>
                <w:color w:val="auto"/>
                <w:kern w:val="0"/>
                <w:sz w:val="21"/>
                <w:szCs w:val="21"/>
              </w:rPr>
            </w:pPr>
            <w:r>
              <w:rPr>
                <w:rFonts w:hint="eastAsia"/>
                <w:color w:val="auto"/>
                <w:kern w:val="0"/>
                <w:sz w:val="21"/>
                <w:szCs w:val="21"/>
              </w:rPr>
              <w:t>按《江苏省城市居住区和单位绿化标准》的要求加强厂区及四周绿化，在厂界四周建设绿化隔离带，以减轻废气、粉尘及噪声对周围环境的影响。</w:t>
            </w:r>
          </w:p>
        </w:tc>
        <w:tc>
          <w:tcPr>
            <w:tcW w:w="3577" w:type="dxa"/>
            <w:tcBorders>
              <w:tl2br w:val="nil"/>
              <w:tr2bl w:val="nil"/>
            </w:tcBorders>
            <w:vAlign w:val="center"/>
          </w:tcPr>
          <w:p w14:paraId="6A208976">
            <w:pPr>
              <w:widowControl/>
              <w:spacing w:line="240" w:lineRule="auto"/>
              <w:ind w:firstLine="0" w:firstLineChars="0"/>
              <w:jc w:val="center"/>
              <w:rPr>
                <w:color w:val="auto"/>
                <w:kern w:val="0"/>
                <w:sz w:val="21"/>
                <w:szCs w:val="21"/>
              </w:rPr>
            </w:pPr>
            <w:r>
              <w:rPr>
                <w:rFonts w:hint="eastAsia"/>
                <w:color w:val="auto"/>
                <w:kern w:val="0"/>
                <w:sz w:val="21"/>
                <w:szCs w:val="21"/>
              </w:rPr>
              <w:t>企业已加强厂区绿化，建立绿化隔离带。在厂界周围种植乔灌木绿化围墙，起减轻废气和吸声降噪作用。</w:t>
            </w:r>
          </w:p>
        </w:tc>
      </w:tr>
      <w:tr w14:paraId="60E6798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74" w:hRule="atLeast"/>
          <w:jc w:val="center"/>
        </w:trPr>
        <w:tc>
          <w:tcPr>
            <w:tcW w:w="632" w:type="dxa"/>
            <w:tcBorders>
              <w:tl2br w:val="nil"/>
              <w:tr2bl w:val="nil"/>
            </w:tcBorders>
            <w:vAlign w:val="center"/>
          </w:tcPr>
          <w:p w14:paraId="219FF307">
            <w:pPr>
              <w:widowControl/>
              <w:spacing w:line="240" w:lineRule="auto"/>
              <w:ind w:firstLine="0" w:firstLineChars="0"/>
              <w:jc w:val="center"/>
              <w:rPr>
                <w:color w:val="auto"/>
                <w:kern w:val="0"/>
                <w:sz w:val="21"/>
                <w:szCs w:val="21"/>
              </w:rPr>
            </w:pPr>
            <w:r>
              <w:rPr>
                <w:rFonts w:hint="eastAsia"/>
                <w:color w:val="auto"/>
                <w:kern w:val="0"/>
                <w:sz w:val="21"/>
                <w:szCs w:val="21"/>
              </w:rPr>
              <w:t>10</w:t>
            </w:r>
          </w:p>
        </w:tc>
        <w:tc>
          <w:tcPr>
            <w:tcW w:w="4313" w:type="dxa"/>
            <w:tcBorders>
              <w:tl2br w:val="nil"/>
              <w:tr2bl w:val="nil"/>
            </w:tcBorders>
            <w:vAlign w:val="center"/>
          </w:tcPr>
          <w:p w14:paraId="57758B91">
            <w:pPr>
              <w:widowControl/>
              <w:spacing w:line="240" w:lineRule="auto"/>
              <w:ind w:firstLine="0" w:firstLineChars="0"/>
              <w:jc w:val="center"/>
              <w:rPr>
                <w:color w:val="auto"/>
                <w:kern w:val="0"/>
                <w:sz w:val="21"/>
                <w:szCs w:val="21"/>
              </w:rPr>
            </w:pPr>
            <w:r>
              <w:rPr>
                <w:rFonts w:hint="eastAsia"/>
                <w:color w:val="auto"/>
                <w:kern w:val="0"/>
                <w:sz w:val="21"/>
                <w:szCs w:val="21"/>
              </w:rPr>
              <w:t>拟建项目建成后，全公司厂界外500m卫生防护距离不变，卫生防护距离内现无环境敏感保护目标，滨江精细化工园区应合理规划项目周边用地，确保该范围内不得新建居民点、学校、医院等环境敏感保护目标。</w:t>
            </w:r>
          </w:p>
        </w:tc>
        <w:tc>
          <w:tcPr>
            <w:tcW w:w="3577" w:type="dxa"/>
            <w:tcBorders>
              <w:tl2br w:val="nil"/>
              <w:tr2bl w:val="nil"/>
            </w:tcBorders>
            <w:vAlign w:val="center"/>
          </w:tcPr>
          <w:p w14:paraId="4F46F58B">
            <w:pPr>
              <w:widowControl/>
              <w:spacing w:line="240" w:lineRule="auto"/>
              <w:ind w:firstLine="0" w:firstLineChars="0"/>
              <w:jc w:val="center"/>
              <w:rPr>
                <w:color w:val="auto"/>
                <w:kern w:val="0"/>
                <w:sz w:val="21"/>
                <w:szCs w:val="21"/>
              </w:rPr>
            </w:pPr>
            <w:r>
              <w:rPr>
                <w:rFonts w:hint="eastAsia"/>
                <w:color w:val="auto"/>
                <w:kern w:val="0"/>
                <w:sz w:val="21"/>
                <w:szCs w:val="21"/>
              </w:rPr>
              <w:t>500米卫生防护距离范围内居民已拆迁完毕。目前，该卫生防护距离内无居民住宅等环境敏感目标。</w:t>
            </w:r>
          </w:p>
        </w:tc>
      </w:tr>
      <w:tr w14:paraId="062C5E4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74" w:hRule="atLeast"/>
          <w:jc w:val="center"/>
        </w:trPr>
        <w:tc>
          <w:tcPr>
            <w:tcW w:w="632" w:type="dxa"/>
            <w:tcBorders>
              <w:tl2br w:val="nil"/>
              <w:tr2bl w:val="nil"/>
            </w:tcBorders>
            <w:vAlign w:val="center"/>
          </w:tcPr>
          <w:p w14:paraId="624C16C6">
            <w:pPr>
              <w:widowControl/>
              <w:spacing w:line="240" w:lineRule="auto"/>
              <w:ind w:firstLine="0" w:firstLineChars="0"/>
              <w:jc w:val="center"/>
              <w:rPr>
                <w:color w:val="auto"/>
                <w:kern w:val="0"/>
                <w:sz w:val="21"/>
                <w:szCs w:val="21"/>
              </w:rPr>
            </w:pPr>
            <w:r>
              <w:rPr>
                <w:rFonts w:hint="eastAsia"/>
                <w:color w:val="auto"/>
                <w:kern w:val="0"/>
                <w:sz w:val="21"/>
                <w:szCs w:val="21"/>
              </w:rPr>
              <w:t>11</w:t>
            </w:r>
          </w:p>
        </w:tc>
        <w:tc>
          <w:tcPr>
            <w:tcW w:w="4313" w:type="dxa"/>
            <w:tcBorders>
              <w:tl2br w:val="nil"/>
              <w:tr2bl w:val="nil"/>
            </w:tcBorders>
            <w:vAlign w:val="center"/>
          </w:tcPr>
          <w:p w14:paraId="1796E7D7">
            <w:pPr>
              <w:widowControl/>
              <w:spacing w:line="240" w:lineRule="auto"/>
              <w:ind w:firstLine="0" w:firstLineChars="0"/>
              <w:jc w:val="center"/>
              <w:rPr>
                <w:color w:val="auto"/>
                <w:kern w:val="0"/>
                <w:sz w:val="21"/>
                <w:szCs w:val="21"/>
              </w:rPr>
            </w:pPr>
            <w:r>
              <w:rPr>
                <w:rFonts w:hint="eastAsia"/>
                <w:color w:val="auto"/>
                <w:kern w:val="0"/>
                <w:sz w:val="21"/>
                <w:szCs w:val="21"/>
              </w:rPr>
              <w:t>加强危险品运输、贮存、使用环节及污染物非正常排放情况下的环境风险管理，落实《报告表》提出的各项环境风险防范措施，制定突发性环境污染事故应急处理预案，按照《危险废物转移联单管理办法》相关规定，执行危险废物转移联单制度。根据环评要求，拟建依托利用现有600立方米的事故应急池。严格按照环境保护和安全生产相关管理要求，采取切实可行的工程控制管理措施，加强对危险化学品使用和贮运过程的监控管理，防止发生环境污染和安全生产事故。</w:t>
            </w:r>
          </w:p>
        </w:tc>
        <w:tc>
          <w:tcPr>
            <w:tcW w:w="3577" w:type="dxa"/>
            <w:tcBorders>
              <w:tl2br w:val="nil"/>
              <w:tr2bl w:val="nil"/>
            </w:tcBorders>
            <w:vAlign w:val="center"/>
          </w:tcPr>
          <w:p w14:paraId="60B97BB4">
            <w:pPr>
              <w:widowControl/>
              <w:spacing w:line="240" w:lineRule="auto"/>
              <w:ind w:firstLine="0" w:firstLineChars="0"/>
              <w:jc w:val="center"/>
              <w:rPr>
                <w:color w:val="auto"/>
                <w:kern w:val="0"/>
                <w:sz w:val="21"/>
                <w:szCs w:val="21"/>
              </w:rPr>
            </w:pPr>
            <w:r>
              <w:rPr>
                <w:rFonts w:hint="eastAsia"/>
                <w:color w:val="auto"/>
                <w:kern w:val="0"/>
                <w:sz w:val="21"/>
                <w:szCs w:val="21"/>
              </w:rPr>
              <w:t>企业认真落实环评书中各项防范措施，严格按照有关规定，编制了事故应急预案，并组织演练，建立完善的安全生产管理系统和安全事故的自动化监控系统，加强对原料运输储存及生产过程中的管理，按照《危险废物转移联单管理办法》相关规定，执行危险废物转移联单制度，利用现有600</w:t>
            </w:r>
            <w:r>
              <w:rPr>
                <w:color w:val="auto"/>
                <w:kern w:val="0"/>
                <w:sz w:val="21"/>
                <w:szCs w:val="21"/>
              </w:rPr>
              <w:t>m</w:t>
            </w:r>
            <w:r>
              <w:rPr>
                <w:color w:val="auto"/>
                <w:kern w:val="0"/>
                <w:sz w:val="21"/>
                <w:szCs w:val="21"/>
                <w:vertAlign w:val="superscript"/>
              </w:rPr>
              <w:t>3</w:t>
            </w:r>
            <w:r>
              <w:rPr>
                <w:color w:val="auto"/>
                <w:kern w:val="0"/>
                <w:sz w:val="21"/>
                <w:szCs w:val="21"/>
              </w:rPr>
              <w:t>事故应急池</w:t>
            </w:r>
            <w:r>
              <w:rPr>
                <w:rFonts w:hint="eastAsia"/>
                <w:color w:val="auto"/>
                <w:kern w:val="0"/>
                <w:sz w:val="21"/>
                <w:szCs w:val="21"/>
              </w:rPr>
              <w:t>。</w:t>
            </w:r>
          </w:p>
        </w:tc>
      </w:tr>
      <w:tr w14:paraId="57CDF82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74" w:hRule="atLeast"/>
          <w:jc w:val="center"/>
        </w:trPr>
        <w:tc>
          <w:tcPr>
            <w:tcW w:w="632" w:type="dxa"/>
            <w:tcBorders>
              <w:tl2br w:val="nil"/>
              <w:tr2bl w:val="nil"/>
            </w:tcBorders>
            <w:vAlign w:val="center"/>
          </w:tcPr>
          <w:p w14:paraId="41B9712C">
            <w:pPr>
              <w:widowControl/>
              <w:spacing w:line="240" w:lineRule="auto"/>
              <w:ind w:firstLine="0" w:firstLineChars="0"/>
              <w:jc w:val="center"/>
              <w:rPr>
                <w:color w:val="auto"/>
                <w:kern w:val="0"/>
                <w:sz w:val="21"/>
                <w:szCs w:val="21"/>
              </w:rPr>
            </w:pPr>
            <w:r>
              <w:rPr>
                <w:rFonts w:hint="eastAsia"/>
                <w:color w:val="auto"/>
                <w:kern w:val="0"/>
                <w:sz w:val="21"/>
                <w:szCs w:val="21"/>
              </w:rPr>
              <w:t>12</w:t>
            </w:r>
          </w:p>
        </w:tc>
        <w:tc>
          <w:tcPr>
            <w:tcW w:w="4313" w:type="dxa"/>
            <w:tcBorders>
              <w:tl2br w:val="nil"/>
              <w:tr2bl w:val="nil"/>
            </w:tcBorders>
            <w:vAlign w:val="center"/>
          </w:tcPr>
          <w:p w14:paraId="673D764C">
            <w:pPr>
              <w:widowControl/>
              <w:spacing w:line="240" w:lineRule="auto"/>
              <w:ind w:firstLine="0" w:firstLineChars="0"/>
              <w:jc w:val="center"/>
              <w:rPr>
                <w:color w:val="auto"/>
                <w:kern w:val="0"/>
                <w:sz w:val="21"/>
                <w:szCs w:val="21"/>
              </w:rPr>
            </w:pPr>
            <w:r>
              <w:rPr>
                <w:rFonts w:hint="eastAsia"/>
                <w:color w:val="auto"/>
                <w:kern w:val="0"/>
                <w:sz w:val="21"/>
                <w:szCs w:val="21"/>
              </w:rPr>
              <w:t>拟建建成后，全公司各类污染物排放总量不得突破现有项目已核准的污染物排放总量。</w:t>
            </w:r>
          </w:p>
        </w:tc>
        <w:tc>
          <w:tcPr>
            <w:tcW w:w="3577" w:type="dxa"/>
            <w:tcBorders>
              <w:tl2br w:val="nil"/>
              <w:tr2bl w:val="nil"/>
            </w:tcBorders>
            <w:vAlign w:val="center"/>
          </w:tcPr>
          <w:p w14:paraId="40F816B2">
            <w:pPr>
              <w:widowControl/>
              <w:spacing w:line="240" w:lineRule="auto"/>
              <w:ind w:firstLine="0" w:firstLineChars="0"/>
              <w:jc w:val="center"/>
              <w:rPr>
                <w:color w:val="auto"/>
                <w:kern w:val="0"/>
                <w:sz w:val="21"/>
                <w:szCs w:val="21"/>
              </w:rPr>
            </w:pPr>
            <w:r>
              <w:rPr>
                <w:rFonts w:hint="eastAsia"/>
                <w:color w:val="auto"/>
                <w:kern w:val="0"/>
                <w:sz w:val="21"/>
                <w:szCs w:val="21"/>
              </w:rPr>
              <w:t>验收监测结果表明，全厂各类污染物排放总量未突破现有项目已核准的污染物排放总量。</w:t>
            </w:r>
          </w:p>
        </w:tc>
      </w:tr>
    </w:tbl>
    <w:p w14:paraId="2B32AF60">
      <w:pPr>
        <w:spacing w:line="460" w:lineRule="exact"/>
        <w:ind w:firstLine="480"/>
        <w:rPr>
          <w:color w:val="auto"/>
        </w:rPr>
        <w:sectPr>
          <w:pgSz w:w="11906" w:h="16838"/>
          <w:pgMar w:top="1134" w:right="1134" w:bottom="1134" w:left="1134" w:header="851" w:footer="992" w:gutter="0"/>
          <w:cols w:space="425" w:num="1"/>
          <w:docGrid w:type="lines" w:linePitch="312" w:charSpace="0"/>
        </w:sectPr>
      </w:pPr>
      <w:r>
        <w:rPr>
          <w:rFonts w:hint="eastAsia"/>
          <w:color w:val="auto"/>
        </w:rPr>
        <w:t>年产2000吨硫代硫酸钠原料药、10吨依达拉奉原料药及1亿粒制剂项目暂未建设完成。</w:t>
      </w:r>
    </w:p>
    <w:p w14:paraId="1065A738">
      <w:pPr>
        <w:pStyle w:val="4"/>
        <w:rPr>
          <w:color w:val="auto"/>
        </w:rPr>
      </w:pPr>
      <w:bookmarkStart w:id="78" w:name="_Toc14965"/>
      <w:r>
        <w:rPr>
          <w:rFonts w:hint="eastAsia"/>
          <w:color w:val="auto"/>
        </w:rPr>
        <w:t>3.1.3</w:t>
      </w:r>
      <w:r>
        <w:rPr>
          <w:color w:val="auto"/>
        </w:rPr>
        <w:t>排污许可证申请及应急预案编制情况</w:t>
      </w:r>
      <w:bookmarkEnd w:id="78"/>
    </w:p>
    <w:p w14:paraId="3DD83150">
      <w:pPr>
        <w:spacing w:line="460" w:lineRule="exact"/>
        <w:ind w:firstLine="480"/>
        <w:rPr>
          <w:color w:val="auto"/>
        </w:rPr>
      </w:pPr>
      <w:r>
        <w:rPr>
          <w:rFonts w:hint="eastAsia"/>
          <w:color w:val="auto"/>
        </w:rPr>
        <w:t>亚太药业</w:t>
      </w:r>
      <w:r>
        <w:rPr>
          <w:color w:val="auto"/>
        </w:rPr>
        <w:t>已取得经南通市生态环境局核发的排污许可证（许可证编号：91320681717410322H001R），有效期为2024年12月4日至2029年12月3日。</w:t>
      </w:r>
    </w:p>
    <w:p w14:paraId="125F8148">
      <w:pPr>
        <w:spacing w:line="460" w:lineRule="exact"/>
        <w:ind w:firstLine="480"/>
        <w:rPr>
          <w:color w:val="auto"/>
        </w:rPr>
      </w:pPr>
      <w:r>
        <w:rPr>
          <w:color w:val="auto"/>
        </w:rPr>
        <w:t>全厂核发的污染物年排放量见表3.1-</w:t>
      </w:r>
      <w:r>
        <w:rPr>
          <w:rFonts w:hint="eastAsia"/>
          <w:color w:val="auto"/>
        </w:rPr>
        <w:t>4。</w:t>
      </w:r>
    </w:p>
    <w:p w14:paraId="20573D9D">
      <w:pPr>
        <w:pStyle w:val="49"/>
        <w:rPr>
          <w:color w:val="auto"/>
        </w:rPr>
      </w:pPr>
      <w:r>
        <w:rPr>
          <w:rFonts w:hint="eastAsia"/>
          <w:color w:val="auto"/>
        </w:rPr>
        <w:t>表3.1-4  亚太药业许可排放量一览表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042"/>
        <w:gridCol w:w="1011"/>
        <w:gridCol w:w="1397"/>
        <w:gridCol w:w="1549"/>
        <w:gridCol w:w="1501"/>
        <w:gridCol w:w="1289"/>
        <w:gridCol w:w="1298"/>
      </w:tblGrid>
      <w:tr w14:paraId="3CC77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restart"/>
            <w:vAlign w:val="center"/>
          </w:tcPr>
          <w:p w14:paraId="6E22D13A">
            <w:pPr>
              <w:widowControl/>
              <w:spacing w:line="240" w:lineRule="auto"/>
              <w:ind w:firstLine="0" w:firstLineChars="0"/>
              <w:jc w:val="center"/>
              <w:rPr>
                <w:b/>
                <w:color w:val="auto"/>
                <w:kern w:val="0"/>
                <w:sz w:val="21"/>
                <w:szCs w:val="18"/>
              </w:rPr>
            </w:pPr>
            <w:r>
              <w:rPr>
                <w:b/>
                <w:color w:val="auto"/>
                <w:kern w:val="0"/>
                <w:sz w:val="21"/>
                <w:szCs w:val="18"/>
              </w:rPr>
              <w:t>序号</w:t>
            </w:r>
          </w:p>
        </w:tc>
        <w:tc>
          <w:tcPr>
            <w:tcW w:w="1042" w:type="pct"/>
            <w:gridSpan w:val="2"/>
            <w:vMerge w:val="restart"/>
            <w:vAlign w:val="center"/>
          </w:tcPr>
          <w:p w14:paraId="48C19056">
            <w:pPr>
              <w:widowControl/>
              <w:spacing w:line="240" w:lineRule="auto"/>
              <w:ind w:firstLine="0" w:firstLineChars="0"/>
              <w:jc w:val="center"/>
              <w:rPr>
                <w:b/>
                <w:color w:val="auto"/>
                <w:kern w:val="0"/>
                <w:sz w:val="21"/>
                <w:szCs w:val="18"/>
              </w:rPr>
            </w:pPr>
            <w:r>
              <w:rPr>
                <w:b/>
                <w:color w:val="auto"/>
                <w:kern w:val="0"/>
                <w:sz w:val="21"/>
                <w:szCs w:val="18"/>
              </w:rPr>
              <w:t>污染物种类</w:t>
            </w:r>
          </w:p>
        </w:tc>
        <w:tc>
          <w:tcPr>
            <w:tcW w:w="3570" w:type="pct"/>
            <w:gridSpan w:val="5"/>
            <w:vAlign w:val="center"/>
          </w:tcPr>
          <w:p w14:paraId="44CB0D3B">
            <w:pPr>
              <w:widowControl/>
              <w:spacing w:line="240" w:lineRule="auto"/>
              <w:ind w:firstLine="0" w:firstLineChars="0"/>
              <w:jc w:val="center"/>
              <w:rPr>
                <w:b/>
                <w:color w:val="auto"/>
                <w:kern w:val="0"/>
                <w:sz w:val="21"/>
                <w:szCs w:val="18"/>
              </w:rPr>
            </w:pPr>
            <w:r>
              <w:rPr>
                <w:b/>
                <w:color w:val="auto"/>
                <w:kern w:val="0"/>
                <w:sz w:val="21"/>
                <w:szCs w:val="18"/>
              </w:rPr>
              <w:t>许可排放量限值（t/a）</w:t>
            </w:r>
          </w:p>
        </w:tc>
      </w:tr>
      <w:tr w14:paraId="17AD3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continue"/>
            <w:vAlign w:val="center"/>
          </w:tcPr>
          <w:p w14:paraId="4A222725">
            <w:pPr>
              <w:widowControl/>
              <w:spacing w:line="240" w:lineRule="auto"/>
              <w:ind w:firstLine="0" w:firstLineChars="0"/>
              <w:jc w:val="center"/>
              <w:rPr>
                <w:b/>
                <w:color w:val="auto"/>
                <w:kern w:val="0"/>
                <w:sz w:val="21"/>
                <w:szCs w:val="18"/>
              </w:rPr>
            </w:pPr>
          </w:p>
        </w:tc>
        <w:tc>
          <w:tcPr>
            <w:tcW w:w="1042" w:type="pct"/>
            <w:gridSpan w:val="2"/>
            <w:vMerge w:val="continue"/>
            <w:vAlign w:val="center"/>
          </w:tcPr>
          <w:p w14:paraId="1B44856B">
            <w:pPr>
              <w:widowControl/>
              <w:spacing w:line="240" w:lineRule="auto"/>
              <w:ind w:firstLine="0" w:firstLineChars="0"/>
              <w:jc w:val="center"/>
              <w:rPr>
                <w:b/>
                <w:color w:val="auto"/>
                <w:kern w:val="0"/>
                <w:sz w:val="21"/>
                <w:szCs w:val="18"/>
              </w:rPr>
            </w:pPr>
          </w:p>
        </w:tc>
        <w:tc>
          <w:tcPr>
            <w:tcW w:w="709" w:type="pct"/>
            <w:vAlign w:val="center"/>
          </w:tcPr>
          <w:p w14:paraId="2EBF1E95">
            <w:pPr>
              <w:widowControl/>
              <w:spacing w:line="240" w:lineRule="auto"/>
              <w:ind w:firstLine="0" w:firstLineChars="0"/>
              <w:jc w:val="center"/>
              <w:rPr>
                <w:b/>
                <w:color w:val="auto"/>
                <w:kern w:val="0"/>
                <w:sz w:val="21"/>
                <w:szCs w:val="18"/>
              </w:rPr>
            </w:pPr>
            <w:r>
              <w:rPr>
                <w:b/>
                <w:color w:val="auto"/>
                <w:kern w:val="0"/>
                <w:sz w:val="21"/>
                <w:szCs w:val="18"/>
              </w:rPr>
              <w:t>第一年</w:t>
            </w:r>
          </w:p>
        </w:tc>
        <w:tc>
          <w:tcPr>
            <w:tcW w:w="786" w:type="pct"/>
            <w:vAlign w:val="center"/>
          </w:tcPr>
          <w:p w14:paraId="75050342">
            <w:pPr>
              <w:widowControl/>
              <w:spacing w:line="240" w:lineRule="auto"/>
              <w:ind w:firstLine="0" w:firstLineChars="0"/>
              <w:jc w:val="center"/>
              <w:rPr>
                <w:b/>
                <w:color w:val="auto"/>
                <w:kern w:val="0"/>
                <w:sz w:val="21"/>
                <w:szCs w:val="18"/>
              </w:rPr>
            </w:pPr>
            <w:r>
              <w:rPr>
                <w:b/>
                <w:color w:val="auto"/>
                <w:kern w:val="0"/>
                <w:sz w:val="21"/>
                <w:szCs w:val="18"/>
              </w:rPr>
              <w:t>第二年</w:t>
            </w:r>
          </w:p>
        </w:tc>
        <w:tc>
          <w:tcPr>
            <w:tcW w:w="762" w:type="pct"/>
            <w:vAlign w:val="center"/>
          </w:tcPr>
          <w:p w14:paraId="5C5ADF9B">
            <w:pPr>
              <w:widowControl/>
              <w:spacing w:line="240" w:lineRule="auto"/>
              <w:ind w:firstLine="0" w:firstLineChars="0"/>
              <w:jc w:val="center"/>
              <w:rPr>
                <w:b/>
                <w:color w:val="auto"/>
                <w:kern w:val="0"/>
                <w:sz w:val="21"/>
                <w:szCs w:val="18"/>
              </w:rPr>
            </w:pPr>
            <w:r>
              <w:rPr>
                <w:b/>
                <w:color w:val="auto"/>
                <w:kern w:val="0"/>
                <w:sz w:val="21"/>
                <w:szCs w:val="18"/>
              </w:rPr>
              <w:t>第三年</w:t>
            </w:r>
          </w:p>
        </w:tc>
        <w:tc>
          <w:tcPr>
            <w:tcW w:w="654" w:type="pct"/>
            <w:vAlign w:val="center"/>
          </w:tcPr>
          <w:p w14:paraId="2541150D">
            <w:pPr>
              <w:widowControl/>
              <w:spacing w:line="240" w:lineRule="auto"/>
              <w:ind w:firstLine="0" w:firstLineChars="0"/>
              <w:jc w:val="center"/>
              <w:rPr>
                <w:b/>
                <w:color w:val="auto"/>
                <w:kern w:val="0"/>
                <w:sz w:val="21"/>
                <w:szCs w:val="18"/>
              </w:rPr>
            </w:pPr>
            <w:r>
              <w:rPr>
                <w:b/>
                <w:color w:val="auto"/>
                <w:kern w:val="0"/>
                <w:sz w:val="21"/>
                <w:szCs w:val="18"/>
              </w:rPr>
              <w:t>第四年</w:t>
            </w:r>
          </w:p>
        </w:tc>
        <w:tc>
          <w:tcPr>
            <w:tcW w:w="657" w:type="pct"/>
            <w:vAlign w:val="center"/>
          </w:tcPr>
          <w:p w14:paraId="4CD16219">
            <w:pPr>
              <w:widowControl/>
              <w:spacing w:line="240" w:lineRule="auto"/>
              <w:ind w:firstLine="0" w:firstLineChars="0"/>
              <w:jc w:val="center"/>
              <w:rPr>
                <w:b/>
                <w:color w:val="auto"/>
                <w:kern w:val="0"/>
                <w:sz w:val="21"/>
                <w:szCs w:val="18"/>
              </w:rPr>
            </w:pPr>
            <w:r>
              <w:rPr>
                <w:b/>
                <w:color w:val="auto"/>
                <w:kern w:val="0"/>
                <w:sz w:val="21"/>
                <w:szCs w:val="18"/>
              </w:rPr>
              <w:t>第五年</w:t>
            </w:r>
          </w:p>
        </w:tc>
      </w:tr>
      <w:tr w14:paraId="0C43F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Align w:val="center"/>
          </w:tcPr>
          <w:p w14:paraId="6A8199AA">
            <w:pPr>
              <w:widowControl/>
              <w:spacing w:line="240" w:lineRule="auto"/>
              <w:ind w:firstLine="0" w:firstLineChars="0"/>
              <w:jc w:val="center"/>
              <w:rPr>
                <w:color w:val="auto"/>
                <w:kern w:val="0"/>
                <w:sz w:val="21"/>
                <w:szCs w:val="18"/>
              </w:rPr>
            </w:pPr>
            <w:r>
              <w:rPr>
                <w:color w:val="auto"/>
                <w:kern w:val="0"/>
                <w:sz w:val="21"/>
                <w:szCs w:val="18"/>
              </w:rPr>
              <w:t>1</w:t>
            </w:r>
          </w:p>
        </w:tc>
        <w:tc>
          <w:tcPr>
            <w:tcW w:w="529" w:type="pct"/>
            <w:vMerge w:val="restart"/>
            <w:vAlign w:val="center"/>
          </w:tcPr>
          <w:p w14:paraId="08F0F065">
            <w:pPr>
              <w:widowControl/>
              <w:spacing w:line="240" w:lineRule="auto"/>
              <w:ind w:firstLine="0" w:firstLineChars="0"/>
              <w:jc w:val="center"/>
              <w:rPr>
                <w:color w:val="auto"/>
                <w:kern w:val="0"/>
                <w:sz w:val="21"/>
                <w:szCs w:val="18"/>
              </w:rPr>
            </w:pPr>
            <w:r>
              <w:rPr>
                <w:rFonts w:hint="eastAsia"/>
                <w:color w:val="auto"/>
                <w:kern w:val="0"/>
                <w:sz w:val="21"/>
                <w:szCs w:val="18"/>
              </w:rPr>
              <w:t>有组织</w:t>
            </w:r>
          </w:p>
        </w:tc>
        <w:tc>
          <w:tcPr>
            <w:tcW w:w="512" w:type="pct"/>
            <w:vAlign w:val="center"/>
          </w:tcPr>
          <w:p w14:paraId="54520A4A">
            <w:pPr>
              <w:widowControl/>
              <w:spacing w:line="240" w:lineRule="auto"/>
              <w:ind w:firstLine="0" w:firstLineChars="0"/>
              <w:jc w:val="center"/>
              <w:rPr>
                <w:bCs/>
                <w:color w:val="auto"/>
                <w:kern w:val="0"/>
                <w:sz w:val="21"/>
                <w:szCs w:val="18"/>
              </w:rPr>
            </w:pPr>
            <w:r>
              <w:rPr>
                <w:bCs/>
                <w:color w:val="auto"/>
                <w:kern w:val="0"/>
                <w:sz w:val="21"/>
                <w:szCs w:val="18"/>
              </w:rPr>
              <w:t>颗粒物</w:t>
            </w:r>
          </w:p>
        </w:tc>
        <w:tc>
          <w:tcPr>
            <w:tcW w:w="709" w:type="pct"/>
            <w:vAlign w:val="center"/>
          </w:tcPr>
          <w:p w14:paraId="4C59B312">
            <w:pPr>
              <w:widowControl/>
              <w:spacing w:line="240" w:lineRule="auto"/>
              <w:ind w:firstLine="0" w:firstLineChars="0"/>
              <w:jc w:val="center"/>
              <w:rPr>
                <w:bCs/>
                <w:color w:val="auto"/>
                <w:kern w:val="0"/>
                <w:sz w:val="21"/>
                <w:szCs w:val="18"/>
              </w:rPr>
            </w:pPr>
            <w:r>
              <w:rPr>
                <w:rFonts w:hint="eastAsia"/>
                <w:bCs/>
                <w:color w:val="auto"/>
                <w:kern w:val="0"/>
                <w:sz w:val="21"/>
                <w:szCs w:val="18"/>
              </w:rPr>
              <w:t>3.492</w:t>
            </w:r>
          </w:p>
        </w:tc>
        <w:tc>
          <w:tcPr>
            <w:tcW w:w="786" w:type="pct"/>
            <w:vAlign w:val="center"/>
          </w:tcPr>
          <w:p w14:paraId="0A7626A3">
            <w:pPr>
              <w:widowControl/>
              <w:spacing w:line="240" w:lineRule="auto"/>
              <w:ind w:firstLine="0" w:firstLineChars="0"/>
              <w:jc w:val="center"/>
              <w:rPr>
                <w:bCs/>
                <w:color w:val="auto"/>
                <w:kern w:val="0"/>
                <w:sz w:val="21"/>
                <w:szCs w:val="18"/>
              </w:rPr>
            </w:pPr>
            <w:r>
              <w:rPr>
                <w:rFonts w:hint="eastAsia"/>
                <w:bCs/>
                <w:color w:val="auto"/>
                <w:kern w:val="0"/>
                <w:sz w:val="21"/>
                <w:szCs w:val="18"/>
              </w:rPr>
              <w:t>3.492</w:t>
            </w:r>
          </w:p>
        </w:tc>
        <w:tc>
          <w:tcPr>
            <w:tcW w:w="762" w:type="pct"/>
            <w:vAlign w:val="center"/>
          </w:tcPr>
          <w:p w14:paraId="71B4E3AC">
            <w:pPr>
              <w:widowControl/>
              <w:spacing w:line="240" w:lineRule="auto"/>
              <w:ind w:firstLine="0" w:firstLineChars="0"/>
              <w:jc w:val="center"/>
              <w:rPr>
                <w:bCs/>
                <w:color w:val="auto"/>
                <w:kern w:val="0"/>
                <w:sz w:val="21"/>
                <w:szCs w:val="18"/>
              </w:rPr>
            </w:pPr>
            <w:r>
              <w:rPr>
                <w:rFonts w:hint="eastAsia"/>
                <w:bCs/>
                <w:color w:val="auto"/>
                <w:kern w:val="0"/>
                <w:sz w:val="21"/>
                <w:szCs w:val="18"/>
              </w:rPr>
              <w:t>3.492</w:t>
            </w:r>
          </w:p>
        </w:tc>
        <w:tc>
          <w:tcPr>
            <w:tcW w:w="654" w:type="pct"/>
            <w:vAlign w:val="center"/>
          </w:tcPr>
          <w:p w14:paraId="438F40FC">
            <w:pPr>
              <w:widowControl/>
              <w:spacing w:line="240" w:lineRule="auto"/>
              <w:ind w:firstLine="0" w:firstLineChars="0"/>
              <w:jc w:val="center"/>
              <w:rPr>
                <w:bCs/>
                <w:color w:val="auto"/>
                <w:kern w:val="0"/>
                <w:sz w:val="21"/>
                <w:szCs w:val="18"/>
              </w:rPr>
            </w:pPr>
            <w:r>
              <w:rPr>
                <w:rFonts w:hint="eastAsia"/>
                <w:bCs/>
                <w:color w:val="auto"/>
                <w:kern w:val="0"/>
                <w:sz w:val="21"/>
                <w:szCs w:val="18"/>
              </w:rPr>
              <w:t>3.492</w:t>
            </w:r>
          </w:p>
        </w:tc>
        <w:tc>
          <w:tcPr>
            <w:tcW w:w="657" w:type="pct"/>
            <w:vAlign w:val="center"/>
          </w:tcPr>
          <w:p w14:paraId="69BCD4FE">
            <w:pPr>
              <w:widowControl/>
              <w:spacing w:line="240" w:lineRule="auto"/>
              <w:ind w:firstLine="0" w:firstLineChars="0"/>
              <w:jc w:val="center"/>
              <w:rPr>
                <w:bCs/>
                <w:color w:val="auto"/>
                <w:kern w:val="0"/>
                <w:sz w:val="21"/>
                <w:szCs w:val="18"/>
              </w:rPr>
            </w:pPr>
            <w:r>
              <w:rPr>
                <w:rFonts w:hint="eastAsia"/>
                <w:bCs/>
                <w:color w:val="auto"/>
                <w:kern w:val="0"/>
                <w:sz w:val="21"/>
                <w:szCs w:val="18"/>
              </w:rPr>
              <w:t>3.492</w:t>
            </w:r>
          </w:p>
        </w:tc>
      </w:tr>
      <w:tr w14:paraId="5B20D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Align w:val="center"/>
          </w:tcPr>
          <w:p w14:paraId="279F22DA">
            <w:pPr>
              <w:widowControl/>
              <w:spacing w:line="240" w:lineRule="auto"/>
              <w:ind w:firstLine="0" w:firstLineChars="0"/>
              <w:jc w:val="center"/>
              <w:rPr>
                <w:color w:val="auto"/>
                <w:kern w:val="0"/>
                <w:sz w:val="21"/>
                <w:szCs w:val="18"/>
              </w:rPr>
            </w:pPr>
            <w:r>
              <w:rPr>
                <w:color w:val="auto"/>
                <w:kern w:val="0"/>
                <w:sz w:val="21"/>
                <w:szCs w:val="18"/>
              </w:rPr>
              <w:t>2</w:t>
            </w:r>
          </w:p>
        </w:tc>
        <w:tc>
          <w:tcPr>
            <w:tcW w:w="529" w:type="pct"/>
            <w:vMerge w:val="continue"/>
            <w:vAlign w:val="center"/>
          </w:tcPr>
          <w:p w14:paraId="1F08CFD4">
            <w:pPr>
              <w:widowControl/>
              <w:spacing w:line="240" w:lineRule="auto"/>
              <w:ind w:firstLine="0" w:firstLineChars="0"/>
              <w:jc w:val="center"/>
              <w:rPr>
                <w:color w:val="auto"/>
                <w:kern w:val="0"/>
                <w:sz w:val="21"/>
                <w:szCs w:val="18"/>
              </w:rPr>
            </w:pPr>
          </w:p>
        </w:tc>
        <w:tc>
          <w:tcPr>
            <w:tcW w:w="512" w:type="pct"/>
            <w:vAlign w:val="center"/>
          </w:tcPr>
          <w:p w14:paraId="65EB685E">
            <w:pPr>
              <w:widowControl/>
              <w:spacing w:line="240" w:lineRule="auto"/>
              <w:ind w:firstLine="0" w:firstLineChars="0"/>
              <w:jc w:val="center"/>
              <w:rPr>
                <w:bCs/>
                <w:color w:val="auto"/>
                <w:kern w:val="0"/>
                <w:sz w:val="21"/>
                <w:szCs w:val="18"/>
              </w:rPr>
            </w:pPr>
            <w:r>
              <w:rPr>
                <w:bCs/>
                <w:color w:val="auto"/>
                <w:kern w:val="0"/>
                <w:sz w:val="21"/>
                <w:szCs w:val="18"/>
              </w:rPr>
              <w:t>SO</w:t>
            </w:r>
            <w:r>
              <w:rPr>
                <w:bCs/>
                <w:color w:val="auto"/>
                <w:kern w:val="0"/>
                <w:sz w:val="21"/>
                <w:szCs w:val="18"/>
                <w:vertAlign w:val="subscript"/>
              </w:rPr>
              <w:t>2</w:t>
            </w:r>
          </w:p>
        </w:tc>
        <w:tc>
          <w:tcPr>
            <w:tcW w:w="709" w:type="pct"/>
            <w:vAlign w:val="center"/>
          </w:tcPr>
          <w:p w14:paraId="03E008E7">
            <w:pPr>
              <w:widowControl/>
              <w:spacing w:line="240" w:lineRule="auto"/>
              <w:ind w:firstLine="0" w:firstLineChars="0"/>
              <w:jc w:val="center"/>
              <w:rPr>
                <w:bCs/>
                <w:color w:val="auto"/>
                <w:kern w:val="0"/>
                <w:sz w:val="21"/>
                <w:szCs w:val="18"/>
              </w:rPr>
            </w:pPr>
            <w:r>
              <w:rPr>
                <w:rFonts w:hint="eastAsia"/>
                <w:bCs/>
                <w:color w:val="auto"/>
                <w:kern w:val="0"/>
                <w:sz w:val="21"/>
                <w:szCs w:val="18"/>
              </w:rPr>
              <w:t>10.610</w:t>
            </w:r>
          </w:p>
        </w:tc>
        <w:tc>
          <w:tcPr>
            <w:tcW w:w="786" w:type="pct"/>
            <w:vAlign w:val="center"/>
          </w:tcPr>
          <w:p w14:paraId="63565822">
            <w:pPr>
              <w:widowControl/>
              <w:spacing w:line="240" w:lineRule="auto"/>
              <w:ind w:firstLine="0" w:firstLineChars="0"/>
              <w:jc w:val="center"/>
              <w:rPr>
                <w:bCs/>
                <w:color w:val="auto"/>
                <w:kern w:val="0"/>
                <w:sz w:val="21"/>
                <w:szCs w:val="18"/>
              </w:rPr>
            </w:pPr>
            <w:r>
              <w:rPr>
                <w:rFonts w:hint="eastAsia"/>
                <w:bCs/>
                <w:color w:val="auto"/>
                <w:kern w:val="0"/>
                <w:sz w:val="21"/>
                <w:szCs w:val="18"/>
              </w:rPr>
              <w:t>10.610</w:t>
            </w:r>
          </w:p>
        </w:tc>
        <w:tc>
          <w:tcPr>
            <w:tcW w:w="762" w:type="pct"/>
            <w:vAlign w:val="center"/>
          </w:tcPr>
          <w:p w14:paraId="0280059E">
            <w:pPr>
              <w:widowControl/>
              <w:spacing w:line="240" w:lineRule="auto"/>
              <w:ind w:firstLine="0" w:firstLineChars="0"/>
              <w:jc w:val="center"/>
              <w:rPr>
                <w:bCs/>
                <w:color w:val="auto"/>
                <w:kern w:val="0"/>
                <w:sz w:val="21"/>
                <w:szCs w:val="18"/>
              </w:rPr>
            </w:pPr>
            <w:r>
              <w:rPr>
                <w:rFonts w:hint="eastAsia"/>
                <w:bCs/>
                <w:color w:val="auto"/>
                <w:kern w:val="0"/>
                <w:sz w:val="21"/>
                <w:szCs w:val="18"/>
              </w:rPr>
              <w:t>10.610</w:t>
            </w:r>
          </w:p>
        </w:tc>
        <w:tc>
          <w:tcPr>
            <w:tcW w:w="654" w:type="pct"/>
            <w:vAlign w:val="center"/>
          </w:tcPr>
          <w:p w14:paraId="04643C25">
            <w:pPr>
              <w:widowControl/>
              <w:spacing w:line="240" w:lineRule="auto"/>
              <w:ind w:firstLine="0" w:firstLineChars="0"/>
              <w:jc w:val="center"/>
              <w:rPr>
                <w:bCs/>
                <w:color w:val="auto"/>
                <w:kern w:val="0"/>
                <w:sz w:val="21"/>
                <w:szCs w:val="18"/>
              </w:rPr>
            </w:pPr>
            <w:r>
              <w:rPr>
                <w:rFonts w:hint="eastAsia"/>
                <w:bCs/>
                <w:color w:val="auto"/>
                <w:kern w:val="0"/>
                <w:sz w:val="21"/>
                <w:szCs w:val="18"/>
              </w:rPr>
              <w:t>10.610</w:t>
            </w:r>
          </w:p>
        </w:tc>
        <w:tc>
          <w:tcPr>
            <w:tcW w:w="657" w:type="pct"/>
            <w:vAlign w:val="center"/>
          </w:tcPr>
          <w:p w14:paraId="1463FE56">
            <w:pPr>
              <w:widowControl/>
              <w:spacing w:line="240" w:lineRule="auto"/>
              <w:ind w:firstLine="0" w:firstLineChars="0"/>
              <w:jc w:val="center"/>
              <w:rPr>
                <w:bCs/>
                <w:color w:val="auto"/>
                <w:kern w:val="0"/>
                <w:sz w:val="21"/>
                <w:szCs w:val="18"/>
              </w:rPr>
            </w:pPr>
            <w:r>
              <w:rPr>
                <w:rFonts w:hint="eastAsia"/>
                <w:bCs/>
                <w:color w:val="auto"/>
                <w:kern w:val="0"/>
                <w:sz w:val="21"/>
                <w:szCs w:val="18"/>
              </w:rPr>
              <w:t>10.610</w:t>
            </w:r>
          </w:p>
        </w:tc>
      </w:tr>
      <w:tr w14:paraId="4E772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387" w:type="pct"/>
            <w:vAlign w:val="center"/>
          </w:tcPr>
          <w:p w14:paraId="16023D14">
            <w:pPr>
              <w:widowControl/>
              <w:spacing w:line="240" w:lineRule="auto"/>
              <w:ind w:firstLine="0" w:firstLineChars="0"/>
              <w:jc w:val="center"/>
              <w:rPr>
                <w:color w:val="auto"/>
                <w:kern w:val="0"/>
                <w:sz w:val="21"/>
                <w:szCs w:val="18"/>
              </w:rPr>
            </w:pPr>
            <w:r>
              <w:rPr>
                <w:color w:val="auto"/>
                <w:kern w:val="0"/>
                <w:sz w:val="21"/>
                <w:szCs w:val="18"/>
              </w:rPr>
              <w:t>3</w:t>
            </w:r>
          </w:p>
        </w:tc>
        <w:tc>
          <w:tcPr>
            <w:tcW w:w="529" w:type="pct"/>
            <w:vMerge w:val="continue"/>
            <w:vAlign w:val="center"/>
          </w:tcPr>
          <w:p w14:paraId="6EEDF357">
            <w:pPr>
              <w:widowControl/>
              <w:spacing w:line="240" w:lineRule="auto"/>
              <w:ind w:firstLine="0" w:firstLineChars="0"/>
              <w:jc w:val="center"/>
              <w:rPr>
                <w:color w:val="auto"/>
                <w:kern w:val="0"/>
                <w:sz w:val="21"/>
                <w:szCs w:val="18"/>
              </w:rPr>
            </w:pPr>
          </w:p>
        </w:tc>
        <w:tc>
          <w:tcPr>
            <w:tcW w:w="512" w:type="pct"/>
            <w:vAlign w:val="center"/>
          </w:tcPr>
          <w:p w14:paraId="0DD1D2C2">
            <w:pPr>
              <w:widowControl/>
              <w:spacing w:line="240" w:lineRule="auto"/>
              <w:ind w:firstLine="0" w:firstLineChars="0"/>
              <w:jc w:val="center"/>
              <w:rPr>
                <w:bCs/>
                <w:color w:val="auto"/>
                <w:kern w:val="0"/>
                <w:sz w:val="21"/>
                <w:szCs w:val="18"/>
              </w:rPr>
            </w:pPr>
            <w:r>
              <w:rPr>
                <w:bCs/>
                <w:color w:val="auto"/>
                <w:kern w:val="0"/>
                <w:sz w:val="21"/>
                <w:szCs w:val="18"/>
              </w:rPr>
              <w:t>NO</w:t>
            </w:r>
            <w:r>
              <w:rPr>
                <w:bCs/>
                <w:color w:val="auto"/>
                <w:kern w:val="0"/>
                <w:sz w:val="21"/>
                <w:szCs w:val="18"/>
                <w:vertAlign w:val="subscript"/>
              </w:rPr>
              <w:t>X</w:t>
            </w:r>
          </w:p>
        </w:tc>
        <w:tc>
          <w:tcPr>
            <w:tcW w:w="709" w:type="pct"/>
            <w:vAlign w:val="center"/>
          </w:tcPr>
          <w:p w14:paraId="4986EFD8">
            <w:pPr>
              <w:widowControl/>
              <w:spacing w:line="240" w:lineRule="auto"/>
              <w:ind w:firstLine="0" w:firstLineChars="0"/>
              <w:jc w:val="center"/>
              <w:rPr>
                <w:bCs/>
                <w:color w:val="auto"/>
                <w:kern w:val="0"/>
                <w:sz w:val="21"/>
                <w:szCs w:val="18"/>
              </w:rPr>
            </w:pPr>
            <w:r>
              <w:rPr>
                <w:rFonts w:hint="eastAsia"/>
                <w:bCs/>
                <w:color w:val="auto"/>
                <w:kern w:val="0"/>
                <w:sz w:val="21"/>
                <w:szCs w:val="18"/>
              </w:rPr>
              <w:t>34.92</w:t>
            </w:r>
          </w:p>
        </w:tc>
        <w:tc>
          <w:tcPr>
            <w:tcW w:w="786" w:type="pct"/>
            <w:vAlign w:val="center"/>
          </w:tcPr>
          <w:p w14:paraId="6337A6AF">
            <w:pPr>
              <w:widowControl/>
              <w:spacing w:line="240" w:lineRule="auto"/>
              <w:ind w:firstLine="0" w:firstLineChars="0"/>
              <w:jc w:val="center"/>
              <w:rPr>
                <w:bCs/>
                <w:color w:val="auto"/>
                <w:kern w:val="0"/>
                <w:sz w:val="21"/>
                <w:szCs w:val="18"/>
              </w:rPr>
            </w:pPr>
            <w:r>
              <w:rPr>
                <w:rFonts w:hint="eastAsia"/>
                <w:bCs/>
                <w:color w:val="auto"/>
                <w:kern w:val="0"/>
                <w:sz w:val="21"/>
                <w:szCs w:val="18"/>
              </w:rPr>
              <w:t>34.92</w:t>
            </w:r>
          </w:p>
        </w:tc>
        <w:tc>
          <w:tcPr>
            <w:tcW w:w="762" w:type="pct"/>
            <w:vAlign w:val="center"/>
          </w:tcPr>
          <w:p w14:paraId="6902860D">
            <w:pPr>
              <w:widowControl/>
              <w:spacing w:line="240" w:lineRule="auto"/>
              <w:ind w:firstLine="0" w:firstLineChars="0"/>
              <w:jc w:val="center"/>
              <w:rPr>
                <w:bCs/>
                <w:color w:val="auto"/>
                <w:kern w:val="0"/>
                <w:sz w:val="21"/>
                <w:szCs w:val="18"/>
              </w:rPr>
            </w:pPr>
            <w:r>
              <w:rPr>
                <w:rFonts w:hint="eastAsia"/>
                <w:bCs/>
                <w:color w:val="auto"/>
                <w:kern w:val="0"/>
                <w:sz w:val="21"/>
                <w:szCs w:val="18"/>
              </w:rPr>
              <w:t>34.92</w:t>
            </w:r>
          </w:p>
        </w:tc>
        <w:tc>
          <w:tcPr>
            <w:tcW w:w="654" w:type="pct"/>
            <w:vAlign w:val="center"/>
          </w:tcPr>
          <w:p w14:paraId="20DD91F1">
            <w:pPr>
              <w:widowControl/>
              <w:spacing w:line="240" w:lineRule="auto"/>
              <w:ind w:firstLine="0" w:firstLineChars="0"/>
              <w:jc w:val="center"/>
              <w:rPr>
                <w:bCs/>
                <w:color w:val="auto"/>
                <w:kern w:val="0"/>
                <w:sz w:val="21"/>
                <w:szCs w:val="18"/>
              </w:rPr>
            </w:pPr>
            <w:r>
              <w:rPr>
                <w:rFonts w:hint="eastAsia"/>
                <w:bCs/>
                <w:color w:val="auto"/>
                <w:kern w:val="0"/>
                <w:sz w:val="21"/>
                <w:szCs w:val="18"/>
              </w:rPr>
              <w:t>34.92</w:t>
            </w:r>
          </w:p>
        </w:tc>
        <w:tc>
          <w:tcPr>
            <w:tcW w:w="657" w:type="pct"/>
            <w:vAlign w:val="center"/>
          </w:tcPr>
          <w:p w14:paraId="6F348FA2">
            <w:pPr>
              <w:widowControl/>
              <w:spacing w:line="240" w:lineRule="auto"/>
              <w:ind w:firstLine="0" w:firstLineChars="0"/>
              <w:jc w:val="center"/>
              <w:rPr>
                <w:bCs/>
                <w:color w:val="auto"/>
                <w:kern w:val="0"/>
                <w:sz w:val="21"/>
                <w:szCs w:val="18"/>
              </w:rPr>
            </w:pPr>
            <w:r>
              <w:rPr>
                <w:rFonts w:hint="eastAsia"/>
                <w:bCs/>
                <w:color w:val="auto"/>
                <w:kern w:val="0"/>
                <w:sz w:val="21"/>
                <w:szCs w:val="18"/>
              </w:rPr>
              <w:t>34.92</w:t>
            </w:r>
          </w:p>
        </w:tc>
      </w:tr>
      <w:tr w14:paraId="608E0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Align w:val="center"/>
          </w:tcPr>
          <w:p w14:paraId="4BF2DFC0">
            <w:pPr>
              <w:widowControl/>
              <w:spacing w:line="240" w:lineRule="auto"/>
              <w:ind w:firstLine="0" w:firstLineChars="0"/>
              <w:jc w:val="center"/>
              <w:rPr>
                <w:color w:val="auto"/>
                <w:kern w:val="0"/>
                <w:sz w:val="21"/>
                <w:szCs w:val="18"/>
              </w:rPr>
            </w:pPr>
            <w:r>
              <w:rPr>
                <w:color w:val="auto"/>
                <w:kern w:val="0"/>
                <w:sz w:val="21"/>
                <w:szCs w:val="18"/>
              </w:rPr>
              <w:t>4</w:t>
            </w:r>
          </w:p>
        </w:tc>
        <w:tc>
          <w:tcPr>
            <w:tcW w:w="529" w:type="pct"/>
            <w:vMerge w:val="continue"/>
            <w:vAlign w:val="center"/>
          </w:tcPr>
          <w:p w14:paraId="3F7EA942">
            <w:pPr>
              <w:widowControl/>
              <w:spacing w:line="240" w:lineRule="auto"/>
              <w:ind w:firstLine="0" w:firstLineChars="0"/>
              <w:jc w:val="center"/>
              <w:rPr>
                <w:color w:val="auto"/>
                <w:kern w:val="0"/>
                <w:sz w:val="21"/>
                <w:szCs w:val="18"/>
              </w:rPr>
            </w:pPr>
          </w:p>
        </w:tc>
        <w:tc>
          <w:tcPr>
            <w:tcW w:w="512" w:type="pct"/>
            <w:vAlign w:val="center"/>
          </w:tcPr>
          <w:p w14:paraId="2B384CA7">
            <w:pPr>
              <w:widowControl/>
              <w:spacing w:line="240" w:lineRule="auto"/>
              <w:ind w:firstLine="0" w:firstLineChars="0"/>
              <w:jc w:val="center"/>
              <w:rPr>
                <w:bCs/>
                <w:color w:val="auto"/>
                <w:kern w:val="0"/>
                <w:sz w:val="21"/>
                <w:szCs w:val="18"/>
              </w:rPr>
            </w:pPr>
            <w:r>
              <w:rPr>
                <w:bCs/>
                <w:color w:val="auto"/>
                <w:kern w:val="0"/>
                <w:sz w:val="21"/>
                <w:szCs w:val="18"/>
              </w:rPr>
              <w:t>VOC</w:t>
            </w:r>
            <w:r>
              <w:rPr>
                <w:rFonts w:hint="eastAsia"/>
                <w:bCs/>
                <w:color w:val="auto"/>
                <w:kern w:val="0"/>
                <w:sz w:val="21"/>
                <w:szCs w:val="18"/>
                <w:vertAlign w:val="subscript"/>
              </w:rPr>
              <w:t>S</w:t>
            </w:r>
          </w:p>
        </w:tc>
        <w:tc>
          <w:tcPr>
            <w:tcW w:w="709" w:type="pct"/>
            <w:vAlign w:val="center"/>
          </w:tcPr>
          <w:p w14:paraId="519DCD6D">
            <w:pPr>
              <w:widowControl/>
              <w:spacing w:line="240" w:lineRule="auto"/>
              <w:ind w:firstLine="0" w:firstLineChars="0"/>
              <w:jc w:val="center"/>
              <w:rPr>
                <w:bCs/>
                <w:color w:val="auto"/>
                <w:kern w:val="0"/>
                <w:sz w:val="21"/>
                <w:szCs w:val="18"/>
              </w:rPr>
            </w:pPr>
            <w:r>
              <w:rPr>
                <w:rFonts w:hint="eastAsia"/>
                <w:bCs/>
                <w:color w:val="auto"/>
                <w:kern w:val="0"/>
                <w:sz w:val="21"/>
                <w:szCs w:val="18"/>
              </w:rPr>
              <w:t>12.96</w:t>
            </w:r>
          </w:p>
        </w:tc>
        <w:tc>
          <w:tcPr>
            <w:tcW w:w="786" w:type="pct"/>
            <w:vAlign w:val="center"/>
          </w:tcPr>
          <w:p w14:paraId="466F80B4">
            <w:pPr>
              <w:widowControl/>
              <w:spacing w:line="240" w:lineRule="auto"/>
              <w:ind w:firstLine="0" w:firstLineChars="0"/>
              <w:jc w:val="center"/>
              <w:rPr>
                <w:bCs/>
                <w:color w:val="auto"/>
                <w:kern w:val="0"/>
                <w:sz w:val="21"/>
                <w:szCs w:val="18"/>
              </w:rPr>
            </w:pPr>
            <w:r>
              <w:rPr>
                <w:rFonts w:hint="eastAsia"/>
                <w:bCs/>
                <w:color w:val="auto"/>
                <w:kern w:val="0"/>
                <w:sz w:val="21"/>
                <w:szCs w:val="18"/>
              </w:rPr>
              <w:t>12.96</w:t>
            </w:r>
          </w:p>
        </w:tc>
        <w:tc>
          <w:tcPr>
            <w:tcW w:w="762" w:type="pct"/>
            <w:vAlign w:val="center"/>
          </w:tcPr>
          <w:p w14:paraId="3EA942BF">
            <w:pPr>
              <w:widowControl/>
              <w:spacing w:line="240" w:lineRule="auto"/>
              <w:ind w:firstLine="0" w:firstLineChars="0"/>
              <w:jc w:val="center"/>
              <w:rPr>
                <w:bCs/>
                <w:color w:val="auto"/>
                <w:kern w:val="0"/>
                <w:sz w:val="21"/>
                <w:szCs w:val="18"/>
              </w:rPr>
            </w:pPr>
            <w:r>
              <w:rPr>
                <w:rFonts w:hint="eastAsia"/>
                <w:bCs/>
                <w:color w:val="auto"/>
                <w:kern w:val="0"/>
                <w:sz w:val="21"/>
                <w:szCs w:val="18"/>
              </w:rPr>
              <w:t>12.96</w:t>
            </w:r>
          </w:p>
        </w:tc>
        <w:tc>
          <w:tcPr>
            <w:tcW w:w="654" w:type="pct"/>
            <w:vAlign w:val="center"/>
          </w:tcPr>
          <w:p w14:paraId="7E726C8E">
            <w:pPr>
              <w:widowControl/>
              <w:spacing w:line="240" w:lineRule="auto"/>
              <w:ind w:firstLine="0" w:firstLineChars="0"/>
              <w:jc w:val="center"/>
              <w:rPr>
                <w:bCs/>
                <w:color w:val="auto"/>
                <w:kern w:val="0"/>
                <w:sz w:val="21"/>
                <w:szCs w:val="18"/>
              </w:rPr>
            </w:pPr>
            <w:r>
              <w:rPr>
                <w:rFonts w:hint="eastAsia"/>
                <w:bCs/>
                <w:color w:val="auto"/>
                <w:kern w:val="0"/>
                <w:sz w:val="21"/>
                <w:szCs w:val="18"/>
              </w:rPr>
              <w:t>12.96</w:t>
            </w:r>
          </w:p>
        </w:tc>
        <w:tc>
          <w:tcPr>
            <w:tcW w:w="657" w:type="pct"/>
            <w:vAlign w:val="center"/>
          </w:tcPr>
          <w:p w14:paraId="06BB7542">
            <w:pPr>
              <w:widowControl/>
              <w:spacing w:line="240" w:lineRule="auto"/>
              <w:ind w:firstLine="0" w:firstLineChars="0"/>
              <w:jc w:val="center"/>
              <w:rPr>
                <w:bCs/>
                <w:color w:val="auto"/>
                <w:kern w:val="0"/>
                <w:sz w:val="21"/>
                <w:szCs w:val="18"/>
              </w:rPr>
            </w:pPr>
            <w:r>
              <w:rPr>
                <w:rFonts w:hint="eastAsia"/>
                <w:bCs/>
                <w:color w:val="auto"/>
                <w:kern w:val="0"/>
                <w:sz w:val="21"/>
                <w:szCs w:val="18"/>
              </w:rPr>
              <w:t>12.96</w:t>
            </w:r>
          </w:p>
        </w:tc>
      </w:tr>
      <w:tr w14:paraId="42293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Align w:val="center"/>
          </w:tcPr>
          <w:p w14:paraId="43B7C98F">
            <w:pPr>
              <w:widowControl/>
              <w:spacing w:line="240" w:lineRule="auto"/>
              <w:ind w:firstLine="0" w:firstLineChars="0"/>
              <w:jc w:val="center"/>
              <w:rPr>
                <w:color w:val="auto"/>
                <w:kern w:val="0"/>
                <w:sz w:val="21"/>
                <w:szCs w:val="18"/>
              </w:rPr>
            </w:pPr>
            <w:r>
              <w:rPr>
                <w:color w:val="auto"/>
                <w:kern w:val="0"/>
                <w:sz w:val="21"/>
                <w:szCs w:val="18"/>
              </w:rPr>
              <w:t>5</w:t>
            </w:r>
          </w:p>
        </w:tc>
        <w:tc>
          <w:tcPr>
            <w:tcW w:w="529" w:type="pct"/>
            <w:vMerge w:val="restart"/>
            <w:vAlign w:val="center"/>
          </w:tcPr>
          <w:p w14:paraId="7CBC4119">
            <w:pPr>
              <w:widowControl/>
              <w:spacing w:line="240" w:lineRule="auto"/>
              <w:ind w:firstLine="0" w:firstLineChars="0"/>
              <w:jc w:val="center"/>
              <w:rPr>
                <w:color w:val="auto"/>
                <w:kern w:val="0"/>
                <w:sz w:val="21"/>
                <w:szCs w:val="18"/>
              </w:rPr>
            </w:pPr>
            <w:r>
              <w:rPr>
                <w:rFonts w:hint="eastAsia"/>
                <w:color w:val="auto"/>
                <w:kern w:val="0"/>
                <w:sz w:val="21"/>
                <w:szCs w:val="18"/>
              </w:rPr>
              <w:t>无组织</w:t>
            </w:r>
          </w:p>
        </w:tc>
        <w:tc>
          <w:tcPr>
            <w:tcW w:w="512" w:type="pct"/>
            <w:vAlign w:val="center"/>
          </w:tcPr>
          <w:p w14:paraId="34B86982">
            <w:pPr>
              <w:widowControl/>
              <w:spacing w:line="240" w:lineRule="auto"/>
              <w:ind w:firstLine="0" w:firstLineChars="0"/>
              <w:jc w:val="center"/>
              <w:rPr>
                <w:bCs/>
                <w:color w:val="auto"/>
                <w:kern w:val="0"/>
                <w:sz w:val="21"/>
                <w:szCs w:val="18"/>
              </w:rPr>
            </w:pPr>
            <w:r>
              <w:rPr>
                <w:bCs/>
                <w:color w:val="auto"/>
                <w:kern w:val="0"/>
                <w:sz w:val="21"/>
                <w:szCs w:val="18"/>
              </w:rPr>
              <w:t>颗粒物</w:t>
            </w:r>
          </w:p>
        </w:tc>
        <w:tc>
          <w:tcPr>
            <w:tcW w:w="709" w:type="pct"/>
            <w:vAlign w:val="center"/>
          </w:tcPr>
          <w:p w14:paraId="120700EA">
            <w:pPr>
              <w:widowControl/>
              <w:spacing w:line="240" w:lineRule="auto"/>
              <w:ind w:firstLine="0" w:firstLineChars="0"/>
              <w:jc w:val="center"/>
              <w:rPr>
                <w:bCs/>
                <w:color w:val="auto"/>
                <w:kern w:val="0"/>
                <w:sz w:val="21"/>
                <w:szCs w:val="18"/>
              </w:rPr>
            </w:pPr>
            <w:r>
              <w:rPr>
                <w:rFonts w:hint="eastAsia"/>
                <w:bCs/>
                <w:color w:val="auto"/>
                <w:kern w:val="0"/>
                <w:sz w:val="21"/>
                <w:szCs w:val="18"/>
              </w:rPr>
              <w:t>0.05</w:t>
            </w:r>
          </w:p>
        </w:tc>
        <w:tc>
          <w:tcPr>
            <w:tcW w:w="786" w:type="pct"/>
            <w:vAlign w:val="center"/>
          </w:tcPr>
          <w:p w14:paraId="542B72AE">
            <w:pPr>
              <w:widowControl/>
              <w:spacing w:line="240" w:lineRule="auto"/>
              <w:ind w:firstLine="0" w:firstLineChars="0"/>
              <w:jc w:val="center"/>
              <w:rPr>
                <w:bCs/>
                <w:color w:val="auto"/>
                <w:kern w:val="0"/>
                <w:sz w:val="21"/>
                <w:szCs w:val="18"/>
              </w:rPr>
            </w:pPr>
            <w:r>
              <w:rPr>
                <w:rFonts w:hint="eastAsia"/>
                <w:bCs/>
                <w:color w:val="auto"/>
                <w:kern w:val="0"/>
                <w:sz w:val="21"/>
                <w:szCs w:val="18"/>
              </w:rPr>
              <w:t>0.05</w:t>
            </w:r>
          </w:p>
        </w:tc>
        <w:tc>
          <w:tcPr>
            <w:tcW w:w="762" w:type="pct"/>
            <w:vAlign w:val="center"/>
          </w:tcPr>
          <w:p w14:paraId="21DB6BA8">
            <w:pPr>
              <w:widowControl/>
              <w:spacing w:line="240" w:lineRule="auto"/>
              <w:ind w:firstLine="0" w:firstLineChars="0"/>
              <w:jc w:val="center"/>
              <w:rPr>
                <w:bCs/>
                <w:color w:val="auto"/>
                <w:kern w:val="0"/>
                <w:sz w:val="21"/>
                <w:szCs w:val="18"/>
              </w:rPr>
            </w:pPr>
            <w:r>
              <w:rPr>
                <w:rFonts w:hint="eastAsia"/>
                <w:bCs/>
                <w:color w:val="auto"/>
                <w:kern w:val="0"/>
                <w:sz w:val="21"/>
                <w:szCs w:val="18"/>
              </w:rPr>
              <w:t>0.05</w:t>
            </w:r>
          </w:p>
        </w:tc>
        <w:tc>
          <w:tcPr>
            <w:tcW w:w="654" w:type="pct"/>
            <w:vAlign w:val="center"/>
          </w:tcPr>
          <w:p w14:paraId="79BDDBD4">
            <w:pPr>
              <w:widowControl/>
              <w:spacing w:line="240" w:lineRule="auto"/>
              <w:ind w:firstLine="0" w:firstLineChars="0"/>
              <w:jc w:val="center"/>
              <w:rPr>
                <w:bCs/>
                <w:color w:val="auto"/>
                <w:kern w:val="0"/>
                <w:sz w:val="21"/>
                <w:szCs w:val="18"/>
              </w:rPr>
            </w:pPr>
            <w:r>
              <w:rPr>
                <w:rFonts w:hint="eastAsia"/>
                <w:bCs/>
                <w:color w:val="auto"/>
                <w:kern w:val="0"/>
                <w:sz w:val="21"/>
                <w:szCs w:val="18"/>
              </w:rPr>
              <w:t>0.05</w:t>
            </w:r>
          </w:p>
        </w:tc>
        <w:tc>
          <w:tcPr>
            <w:tcW w:w="657" w:type="pct"/>
            <w:vAlign w:val="center"/>
          </w:tcPr>
          <w:p w14:paraId="03A73F04">
            <w:pPr>
              <w:widowControl/>
              <w:spacing w:line="240" w:lineRule="auto"/>
              <w:ind w:firstLine="0" w:firstLineChars="0"/>
              <w:jc w:val="center"/>
              <w:rPr>
                <w:bCs/>
                <w:color w:val="auto"/>
                <w:kern w:val="0"/>
                <w:sz w:val="21"/>
                <w:szCs w:val="18"/>
              </w:rPr>
            </w:pPr>
            <w:r>
              <w:rPr>
                <w:rFonts w:hint="eastAsia"/>
                <w:bCs/>
                <w:color w:val="auto"/>
                <w:kern w:val="0"/>
                <w:sz w:val="21"/>
                <w:szCs w:val="18"/>
              </w:rPr>
              <w:t>0.05</w:t>
            </w:r>
          </w:p>
        </w:tc>
      </w:tr>
      <w:tr w14:paraId="708CF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Align w:val="center"/>
          </w:tcPr>
          <w:p w14:paraId="4353F5C9">
            <w:pPr>
              <w:widowControl/>
              <w:spacing w:line="240" w:lineRule="auto"/>
              <w:ind w:firstLine="0" w:firstLineChars="0"/>
              <w:jc w:val="center"/>
              <w:rPr>
                <w:color w:val="auto"/>
                <w:kern w:val="0"/>
                <w:sz w:val="21"/>
                <w:szCs w:val="18"/>
              </w:rPr>
            </w:pPr>
            <w:r>
              <w:rPr>
                <w:color w:val="auto"/>
                <w:kern w:val="0"/>
                <w:sz w:val="21"/>
                <w:szCs w:val="18"/>
              </w:rPr>
              <w:t>6</w:t>
            </w:r>
          </w:p>
        </w:tc>
        <w:tc>
          <w:tcPr>
            <w:tcW w:w="529" w:type="pct"/>
            <w:vMerge w:val="continue"/>
            <w:vAlign w:val="center"/>
          </w:tcPr>
          <w:p w14:paraId="0708F751">
            <w:pPr>
              <w:widowControl/>
              <w:spacing w:line="240" w:lineRule="auto"/>
              <w:ind w:firstLine="0" w:firstLineChars="0"/>
              <w:jc w:val="center"/>
              <w:rPr>
                <w:color w:val="auto"/>
                <w:kern w:val="0"/>
                <w:sz w:val="21"/>
                <w:szCs w:val="18"/>
              </w:rPr>
            </w:pPr>
          </w:p>
        </w:tc>
        <w:tc>
          <w:tcPr>
            <w:tcW w:w="512" w:type="pct"/>
            <w:vAlign w:val="center"/>
          </w:tcPr>
          <w:p w14:paraId="43643D9F">
            <w:pPr>
              <w:widowControl/>
              <w:spacing w:line="240" w:lineRule="auto"/>
              <w:ind w:firstLine="0" w:firstLineChars="0"/>
              <w:jc w:val="center"/>
              <w:rPr>
                <w:bCs/>
                <w:color w:val="auto"/>
                <w:kern w:val="0"/>
                <w:sz w:val="21"/>
                <w:szCs w:val="18"/>
              </w:rPr>
            </w:pPr>
            <w:r>
              <w:rPr>
                <w:bCs/>
                <w:color w:val="auto"/>
                <w:kern w:val="0"/>
                <w:sz w:val="21"/>
                <w:szCs w:val="18"/>
              </w:rPr>
              <w:t>SO</w:t>
            </w:r>
            <w:r>
              <w:rPr>
                <w:bCs/>
                <w:color w:val="auto"/>
                <w:kern w:val="0"/>
                <w:sz w:val="21"/>
                <w:szCs w:val="18"/>
                <w:vertAlign w:val="subscript"/>
              </w:rPr>
              <w:t>2</w:t>
            </w:r>
          </w:p>
        </w:tc>
        <w:tc>
          <w:tcPr>
            <w:tcW w:w="709" w:type="pct"/>
            <w:vAlign w:val="center"/>
          </w:tcPr>
          <w:p w14:paraId="79CF9066">
            <w:pPr>
              <w:widowControl/>
              <w:spacing w:line="240" w:lineRule="auto"/>
              <w:ind w:firstLine="0" w:firstLineChars="0"/>
              <w:jc w:val="center"/>
              <w:rPr>
                <w:bCs/>
                <w:color w:val="auto"/>
                <w:kern w:val="0"/>
                <w:sz w:val="21"/>
                <w:szCs w:val="18"/>
              </w:rPr>
            </w:pPr>
            <w:r>
              <w:rPr>
                <w:rFonts w:hint="eastAsia"/>
                <w:bCs/>
                <w:color w:val="auto"/>
                <w:kern w:val="0"/>
                <w:sz w:val="21"/>
                <w:szCs w:val="18"/>
              </w:rPr>
              <w:t>1.2</w:t>
            </w:r>
          </w:p>
        </w:tc>
        <w:tc>
          <w:tcPr>
            <w:tcW w:w="786" w:type="pct"/>
            <w:vAlign w:val="center"/>
          </w:tcPr>
          <w:p w14:paraId="0E221654">
            <w:pPr>
              <w:widowControl/>
              <w:spacing w:line="240" w:lineRule="auto"/>
              <w:ind w:firstLine="0" w:firstLineChars="0"/>
              <w:jc w:val="center"/>
              <w:rPr>
                <w:bCs/>
                <w:color w:val="auto"/>
                <w:kern w:val="0"/>
                <w:sz w:val="21"/>
                <w:szCs w:val="18"/>
              </w:rPr>
            </w:pPr>
            <w:r>
              <w:rPr>
                <w:rFonts w:hint="eastAsia"/>
                <w:bCs/>
                <w:color w:val="auto"/>
                <w:kern w:val="0"/>
                <w:sz w:val="21"/>
                <w:szCs w:val="18"/>
              </w:rPr>
              <w:t>1.2</w:t>
            </w:r>
          </w:p>
        </w:tc>
        <w:tc>
          <w:tcPr>
            <w:tcW w:w="762" w:type="pct"/>
            <w:vAlign w:val="center"/>
          </w:tcPr>
          <w:p w14:paraId="4CBF5614">
            <w:pPr>
              <w:widowControl/>
              <w:spacing w:line="240" w:lineRule="auto"/>
              <w:ind w:firstLine="0" w:firstLineChars="0"/>
              <w:jc w:val="center"/>
              <w:rPr>
                <w:bCs/>
                <w:color w:val="auto"/>
                <w:kern w:val="0"/>
                <w:sz w:val="21"/>
                <w:szCs w:val="18"/>
              </w:rPr>
            </w:pPr>
            <w:r>
              <w:rPr>
                <w:rFonts w:hint="eastAsia"/>
                <w:bCs/>
                <w:color w:val="auto"/>
                <w:kern w:val="0"/>
                <w:sz w:val="21"/>
                <w:szCs w:val="18"/>
              </w:rPr>
              <w:t>1.2</w:t>
            </w:r>
          </w:p>
        </w:tc>
        <w:tc>
          <w:tcPr>
            <w:tcW w:w="654" w:type="pct"/>
            <w:vAlign w:val="center"/>
          </w:tcPr>
          <w:p w14:paraId="635614A1">
            <w:pPr>
              <w:widowControl/>
              <w:spacing w:line="240" w:lineRule="auto"/>
              <w:ind w:firstLine="0" w:firstLineChars="0"/>
              <w:jc w:val="center"/>
              <w:rPr>
                <w:bCs/>
                <w:color w:val="auto"/>
                <w:kern w:val="0"/>
                <w:sz w:val="21"/>
                <w:szCs w:val="18"/>
              </w:rPr>
            </w:pPr>
            <w:r>
              <w:rPr>
                <w:rFonts w:hint="eastAsia"/>
                <w:bCs/>
                <w:color w:val="auto"/>
                <w:kern w:val="0"/>
                <w:sz w:val="21"/>
                <w:szCs w:val="18"/>
              </w:rPr>
              <w:t>1.2</w:t>
            </w:r>
          </w:p>
        </w:tc>
        <w:tc>
          <w:tcPr>
            <w:tcW w:w="657" w:type="pct"/>
            <w:vAlign w:val="center"/>
          </w:tcPr>
          <w:p w14:paraId="78625CBF">
            <w:pPr>
              <w:widowControl/>
              <w:spacing w:line="240" w:lineRule="auto"/>
              <w:ind w:firstLine="0" w:firstLineChars="0"/>
              <w:jc w:val="center"/>
              <w:rPr>
                <w:bCs/>
                <w:color w:val="auto"/>
                <w:kern w:val="0"/>
                <w:sz w:val="21"/>
                <w:szCs w:val="18"/>
              </w:rPr>
            </w:pPr>
            <w:r>
              <w:rPr>
                <w:rFonts w:hint="eastAsia"/>
                <w:bCs/>
                <w:color w:val="auto"/>
                <w:kern w:val="0"/>
                <w:sz w:val="21"/>
                <w:szCs w:val="18"/>
              </w:rPr>
              <w:t>1.2</w:t>
            </w:r>
          </w:p>
        </w:tc>
      </w:tr>
      <w:tr w14:paraId="1466C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Align w:val="center"/>
          </w:tcPr>
          <w:p w14:paraId="6B53706F">
            <w:pPr>
              <w:widowControl/>
              <w:spacing w:line="240" w:lineRule="auto"/>
              <w:ind w:firstLine="0" w:firstLineChars="0"/>
              <w:jc w:val="center"/>
              <w:rPr>
                <w:color w:val="auto"/>
                <w:kern w:val="0"/>
                <w:sz w:val="21"/>
                <w:szCs w:val="18"/>
              </w:rPr>
            </w:pPr>
            <w:r>
              <w:rPr>
                <w:rFonts w:hint="eastAsia"/>
                <w:color w:val="auto"/>
                <w:kern w:val="0"/>
                <w:sz w:val="21"/>
                <w:szCs w:val="18"/>
              </w:rPr>
              <w:t>7</w:t>
            </w:r>
          </w:p>
        </w:tc>
        <w:tc>
          <w:tcPr>
            <w:tcW w:w="529" w:type="pct"/>
            <w:vMerge w:val="continue"/>
            <w:vAlign w:val="center"/>
          </w:tcPr>
          <w:p w14:paraId="7B0D45A3">
            <w:pPr>
              <w:widowControl/>
              <w:spacing w:line="240" w:lineRule="auto"/>
              <w:ind w:firstLine="0" w:firstLineChars="0"/>
              <w:jc w:val="center"/>
              <w:rPr>
                <w:color w:val="auto"/>
                <w:kern w:val="0"/>
                <w:sz w:val="21"/>
                <w:szCs w:val="18"/>
              </w:rPr>
            </w:pPr>
          </w:p>
        </w:tc>
        <w:tc>
          <w:tcPr>
            <w:tcW w:w="512" w:type="pct"/>
            <w:vAlign w:val="center"/>
          </w:tcPr>
          <w:p w14:paraId="6E4D899C">
            <w:pPr>
              <w:widowControl/>
              <w:spacing w:line="240" w:lineRule="auto"/>
              <w:ind w:firstLine="0" w:firstLineChars="0"/>
              <w:jc w:val="center"/>
              <w:rPr>
                <w:bCs/>
                <w:color w:val="auto"/>
                <w:kern w:val="0"/>
                <w:sz w:val="21"/>
                <w:szCs w:val="18"/>
              </w:rPr>
            </w:pPr>
            <w:r>
              <w:rPr>
                <w:bCs/>
                <w:color w:val="auto"/>
                <w:kern w:val="0"/>
                <w:sz w:val="21"/>
                <w:szCs w:val="18"/>
              </w:rPr>
              <w:t>NO</w:t>
            </w:r>
            <w:r>
              <w:rPr>
                <w:bCs/>
                <w:color w:val="auto"/>
                <w:kern w:val="0"/>
                <w:sz w:val="21"/>
                <w:szCs w:val="18"/>
                <w:vertAlign w:val="subscript"/>
              </w:rPr>
              <w:t>X</w:t>
            </w:r>
          </w:p>
        </w:tc>
        <w:tc>
          <w:tcPr>
            <w:tcW w:w="709" w:type="pct"/>
            <w:vAlign w:val="center"/>
          </w:tcPr>
          <w:p w14:paraId="2134EB9D">
            <w:pPr>
              <w:widowControl/>
              <w:spacing w:line="240" w:lineRule="auto"/>
              <w:ind w:firstLine="0" w:firstLineChars="0"/>
              <w:jc w:val="center"/>
              <w:rPr>
                <w:bCs/>
                <w:color w:val="auto"/>
                <w:kern w:val="0"/>
                <w:sz w:val="21"/>
                <w:szCs w:val="18"/>
              </w:rPr>
            </w:pPr>
            <w:r>
              <w:rPr>
                <w:rFonts w:hint="eastAsia"/>
                <w:bCs/>
                <w:color w:val="auto"/>
                <w:kern w:val="0"/>
                <w:sz w:val="21"/>
                <w:szCs w:val="18"/>
              </w:rPr>
              <w:t>/</w:t>
            </w:r>
          </w:p>
        </w:tc>
        <w:tc>
          <w:tcPr>
            <w:tcW w:w="786" w:type="pct"/>
            <w:vAlign w:val="center"/>
          </w:tcPr>
          <w:p w14:paraId="67A4BE9F">
            <w:pPr>
              <w:widowControl/>
              <w:spacing w:line="240" w:lineRule="auto"/>
              <w:ind w:firstLine="0" w:firstLineChars="0"/>
              <w:jc w:val="center"/>
              <w:rPr>
                <w:bCs/>
                <w:color w:val="auto"/>
                <w:kern w:val="0"/>
                <w:sz w:val="21"/>
                <w:szCs w:val="18"/>
              </w:rPr>
            </w:pPr>
            <w:r>
              <w:rPr>
                <w:rFonts w:hint="eastAsia"/>
                <w:bCs/>
                <w:color w:val="auto"/>
                <w:kern w:val="0"/>
                <w:sz w:val="21"/>
                <w:szCs w:val="18"/>
              </w:rPr>
              <w:t>/</w:t>
            </w:r>
          </w:p>
        </w:tc>
        <w:tc>
          <w:tcPr>
            <w:tcW w:w="762" w:type="pct"/>
            <w:vAlign w:val="center"/>
          </w:tcPr>
          <w:p w14:paraId="3631B720">
            <w:pPr>
              <w:widowControl/>
              <w:spacing w:line="240" w:lineRule="auto"/>
              <w:ind w:firstLine="0" w:firstLineChars="0"/>
              <w:jc w:val="center"/>
              <w:rPr>
                <w:bCs/>
                <w:color w:val="auto"/>
                <w:kern w:val="0"/>
                <w:sz w:val="21"/>
                <w:szCs w:val="18"/>
              </w:rPr>
            </w:pPr>
            <w:r>
              <w:rPr>
                <w:rFonts w:hint="eastAsia"/>
                <w:bCs/>
                <w:color w:val="auto"/>
                <w:kern w:val="0"/>
                <w:sz w:val="21"/>
                <w:szCs w:val="18"/>
              </w:rPr>
              <w:t>/</w:t>
            </w:r>
          </w:p>
        </w:tc>
        <w:tc>
          <w:tcPr>
            <w:tcW w:w="654" w:type="pct"/>
            <w:vAlign w:val="center"/>
          </w:tcPr>
          <w:p w14:paraId="2C4B068A">
            <w:pPr>
              <w:widowControl/>
              <w:spacing w:line="240" w:lineRule="auto"/>
              <w:ind w:firstLine="0" w:firstLineChars="0"/>
              <w:jc w:val="center"/>
              <w:rPr>
                <w:bCs/>
                <w:color w:val="auto"/>
                <w:kern w:val="0"/>
                <w:sz w:val="21"/>
                <w:szCs w:val="18"/>
              </w:rPr>
            </w:pPr>
            <w:r>
              <w:rPr>
                <w:rFonts w:hint="eastAsia"/>
                <w:bCs/>
                <w:color w:val="auto"/>
                <w:kern w:val="0"/>
                <w:sz w:val="21"/>
                <w:szCs w:val="18"/>
              </w:rPr>
              <w:t>/</w:t>
            </w:r>
          </w:p>
        </w:tc>
        <w:tc>
          <w:tcPr>
            <w:tcW w:w="657" w:type="pct"/>
            <w:vAlign w:val="center"/>
          </w:tcPr>
          <w:p w14:paraId="5546B3A6">
            <w:pPr>
              <w:widowControl/>
              <w:spacing w:line="240" w:lineRule="auto"/>
              <w:ind w:firstLine="0" w:firstLineChars="0"/>
              <w:jc w:val="center"/>
              <w:rPr>
                <w:bCs/>
                <w:color w:val="auto"/>
                <w:kern w:val="0"/>
                <w:sz w:val="21"/>
                <w:szCs w:val="18"/>
              </w:rPr>
            </w:pPr>
            <w:r>
              <w:rPr>
                <w:rFonts w:hint="eastAsia"/>
                <w:bCs/>
                <w:color w:val="auto"/>
                <w:kern w:val="0"/>
                <w:sz w:val="21"/>
                <w:szCs w:val="18"/>
              </w:rPr>
              <w:t>/</w:t>
            </w:r>
          </w:p>
        </w:tc>
      </w:tr>
      <w:tr w14:paraId="32BAE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Align w:val="center"/>
          </w:tcPr>
          <w:p w14:paraId="45F26FC4">
            <w:pPr>
              <w:widowControl/>
              <w:spacing w:line="240" w:lineRule="auto"/>
              <w:ind w:firstLine="0" w:firstLineChars="0"/>
              <w:jc w:val="center"/>
              <w:rPr>
                <w:color w:val="auto"/>
                <w:kern w:val="0"/>
                <w:sz w:val="21"/>
                <w:szCs w:val="18"/>
              </w:rPr>
            </w:pPr>
            <w:r>
              <w:rPr>
                <w:rFonts w:hint="eastAsia"/>
                <w:color w:val="auto"/>
                <w:kern w:val="0"/>
                <w:sz w:val="21"/>
                <w:szCs w:val="18"/>
              </w:rPr>
              <w:t>8</w:t>
            </w:r>
          </w:p>
        </w:tc>
        <w:tc>
          <w:tcPr>
            <w:tcW w:w="529" w:type="pct"/>
            <w:vMerge w:val="continue"/>
            <w:vAlign w:val="center"/>
          </w:tcPr>
          <w:p w14:paraId="00B69B2F">
            <w:pPr>
              <w:widowControl/>
              <w:spacing w:line="240" w:lineRule="auto"/>
              <w:ind w:firstLine="0" w:firstLineChars="0"/>
              <w:jc w:val="center"/>
              <w:rPr>
                <w:color w:val="auto"/>
                <w:kern w:val="0"/>
                <w:sz w:val="21"/>
                <w:szCs w:val="18"/>
              </w:rPr>
            </w:pPr>
          </w:p>
        </w:tc>
        <w:tc>
          <w:tcPr>
            <w:tcW w:w="512" w:type="pct"/>
            <w:vAlign w:val="center"/>
          </w:tcPr>
          <w:p w14:paraId="5C7C587B">
            <w:pPr>
              <w:widowControl/>
              <w:spacing w:line="240" w:lineRule="auto"/>
              <w:ind w:firstLine="0" w:firstLineChars="0"/>
              <w:jc w:val="center"/>
              <w:rPr>
                <w:bCs/>
                <w:color w:val="auto"/>
                <w:kern w:val="0"/>
                <w:sz w:val="21"/>
                <w:szCs w:val="18"/>
              </w:rPr>
            </w:pPr>
            <w:r>
              <w:rPr>
                <w:bCs/>
                <w:color w:val="auto"/>
                <w:kern w:val="0"/>
                <w:sz w:val="21"/>
                <w:szCs w:val="18"/>
              </w:rPr>
              <w:t>VOC</w:t>
            </w:r>
            <w:r>
              <w:rPr>
                <w:rFonts w:hint="eastAsia"/>
                <w:bCs/>
                <w:color w:val="auto"/>
                <w:kern w:val="0"/>
                <w:sz w:val="21"/>
                <w:szCs w:val="18"/>
                <w:vertAlign w:val="subscript"/>
              </w:rPr>
              <w:t>S</w:t>
            </w:r>
          </w:p>
        </w:tc>
        <w:tc>
          <w:tcPr>
            <w:tcW w:w="709" w:type="pct"/>
            <w:vAlign w:val="center"/>
          </w:tcPr>
          <w:p w14:paraId="37131D18">
            <w:pPr>
              <w:widowControl/>
              <w:spacing w:line="240" w:lineRule="auto"/>
              <w:ind w:firstLine="0" w:firstLineChars="0"/>
              <w:jc w:val="center"/>
              <w:rPr>
                <w:bCs/>
                <w:color w:val="auto"/>
                <w:kern w:val="0"/>
                <w:sz w:val="21"/>
                <w:szCs w:val="18"/>
              </w:rPr>
            </w:pPr>
            <w:r>
              <w:rPr>
                <w:rFonts w:hint="eastAsia"/>
                <w:bCs/>
                <w:color w:val="auto"/>
                <w:kern w:val="0"/>
                <w:sz w:val="21"/>
                <w:szCs w:val="18"/>
              </w:rPr>
              <w:t>0.267</w:t>
            </w:r>
          </w:p>
        </w:tc>
        <w:tc>
          <w:tcPr>
            <w:tcW w:w="786" w:type="pct"/>
            <w:vAlign w:val="center"/>
          </w:tcPr>
          <w:p w14:paraId="61512E6D">
            <w:pPr>
              <w:widowControl/>
              <w:spacing w:line="240" w:lineRule="auto"/>
              <w:ind w:firstLine="0" w:firstLineChars="0"/>
              <w:jc w:val="center"/>
              <w:rPr>
                <w:bCs/>
                <w:color w:val="auto"/>
                <w:kern w:val="0"/>
                <w:sz w:val="21"/>
                <w:szCs w:val="18"/>
              </w:rPr>
            </w:pPr>
            <w:r>
              <w:rPr>
                <w:rFonts w:hint="eastAsia"/>
                <w:bCs/>
                <w:color w:val="auto"/>
                <w:kern w:val="0"/>
                <w:sz w:val="21"/>
                <w:szCs w:val="18"/>
              </w:rPr>
              <w:t>0.267</w:t>
            </w:r>
          </w:p>
        </w:tc>
        <w:tc>
          <w:tcPr>
            <w:tcW w:w="762" w:type="pct"/>
            <w:vAlign w:val="center"/>
          </w:tcPr>
          <w:p w14:paraId="026EE464">
            <w:pPr>
              <w:widowControl/>
              <w:spacing w:line="240" w:lineRule="auto"/>
              <w:ind w:firstLine="0" w:firstLineChars="0"/>
              <w:jc w:val="center"/>
              <w:rPr>
                <w:bCs/>
                <w:color w:val="auto"/>
                <w:kern w:val="0"/>
                <w:sz w:val="21"/>
                <w:szCs w:val="18"/>
              </w:rPr>
            </w:pPr>
            <w:r>
              <w:rPr>
                <w:rFonts w:hint="eastAsia"/>
                <w:bCs/>
                <w:color w:val="auto"/>
                <w:kern w:val="0"/>
                <w:sz w:val="21"/>
                <w:szCs w:val="18"/>
              </w:rPr>
              <w:t>0.267</w:t>
            </w:r>
          </w:p>
        </w:tc>
        <w:tc>
          <w:tcPr>
            <w:tcW w:w="654" w:type="pct"/>
            <w:vAlign w:val="center"/>
          </w:tcPr>
          <w:p w14:paraId="733C8D2B">
            <w:pPr>
              <w:widowControl/>
              <w:spacing w:line="240" w:lineRule="auto"/>
              <w:ind w:firstLine="0" w:firstLineChars="0"/>
              <w:jc w:val="center"/>
              <w:rPr>
                <w:bCs/>
                <w:color w:val="auto"/>
                <w:kern w:val="0"/>
                <w:sz w:val="21"/>
                <w:szCs w:val="18"/>
              </w:rPr>
            </w:pPr>
            <w:r>
              <w:rPr>
                <w:rFonts w:hint="eastAsia"/>
                <w:bCs/>
                <w:color w:val="auto"/>
                <w:kern w:val="0"/>
                <w:sz w:val="21"/>
                <w:szCs w:val="18"/>
              </w:rPr>
              <w:t>0.267</w:t>
            </w:r>
          </w:p>
        </w:tc>
        <w:tc>
          <w:tcPr>
            <w:tcW w:w="657" w:type="pct"/>
            <w:vAlign w:val="center"/>
          </w:tcPr>
          <w:p w14:paraId="75009757">
            <w:pPr>
              <w:widowControl/>
              <w:spacing w:line="240" w:lineRule="auto"/>
              <w:ind w:firstLine="0" w:firstLineChars="0"/>
              <w:jc w:val="center"/>
              <w:rPr>
                <w:bCs/>
                <w:color w:val="auto"/>
                <w:kern w:val="0"/>
                <w:sz w:val="21"/>
                <w:szCs w:val="18"/>
              </w:rPr>
            </w:pPr>
            <w:r>
              <w:rPr>
                <w:rFonts w:hint="eastAsia"/>
                <w:bCs/>
                <w:color w:val="auto"/>
                <w:kern w:val="0"/>
                <w:sz w:val="21"/>
                <w:szCs w:val="18"/>
              </w:rPr>
              <w:t>0.267</w:t>
            </w:r>
          </w:p>
        </w:tc>
      </w:tr>
    </w:tbl>
    <w:p w14:paraId="1B419AA2">
      <w:pPr>
        <w:spacing w:line="460" w:lineRule="exact"/>
        <w:ind w:left="204" w:leftChars="85" w:firstLine="240" w:firstLineChars="100"/>
        <w:rPr>
          <w:color w:val="auto"/>
        </w:rPr>
      </w:pPr>
      <w:r>
        <w:rPr>
          <w:color w:val="auto"/>
        </w:rPr>
        <w:t>企业已委托编制《启东亚太药业有限公司突发环境事件应急预案》，并于</w:t>
      </w:r>
      <w:r>
        <w:rPr>
          <w:rFonts w:hint="eastAsia"/>
          <w:color w:val="auto"/>
        </w:rPr>
        <w:t>2026年4月10日</w:t>
      </w:r>
      <w:r>
        <w:rPr>
          <w:color w:val="auto"/>
        </w:rPr>
        <w:t>在南通市</w:t>
      </w:r>
      <w:r>
        <w:rPr>
          <w:rFonts w:hint="eastAsia"/>
          <w:color w:val="auto"/>
        </w:rPr>
        <w:t>启东</w:t>
      </w:r>
      <w:r>
        <w:rPr>
          <w:color w:val="auto"/>
        </w:rPr>
        <w:t>生态环境局完成备案。备案编号</w:t>
      </w:r>
      <w:r>
        <w:rPr>
          <w:rFonts w:hint="eastAsia"/>
          <w:color w:val="auto"/>
        </w:rPr>
        <w:t>：320681-2026-033-M</w:t>
      </w:r>
      <w:r>
        <w:rPr>
          <w:color w:val="auto"/>
        </w:rPr>
        <w:t>。</w:t>
      </w:r>
    </w:p>
    <w:p w14:paraId="1EE63CD3">
      <w:pPr>
        <w:pStyle w:val="3"/>
        <w:spacing w:before="312"/>
        <w:rPr>
          <w:color w:val="auto"/>
        </w:rPr>
      </w:pPr>
      <w:bookmarkStart w:id="79" w:name="_Toc25919"/>
      <w:r>
        <w:rPr>
          <w:rFonts w:hint="eastAsia"/>
          <w:color w:val="auto"/>
        </w:rPr>
        <w:t>3.2</w:t>
      </w:r>
      <w:r>
        <w:rPr>
          <w:color w:val="auto"/>
        </w:rPr>
        <w:t>现有项目建设内容</w:t>
      </w:r>
      <w:bookmarkEnd w:id="79"/>
    </w:p>
    <w:p w14:paraId="0426BA7F">
      <w:pPr>
        <w:pStyle w:val="4"/>
        <w:rPr>
          <w:color w:val="auto"/>
        </w:rPr>
      </w:pPr>
      <w:bookmarkStart w:id="80" w:name="_Toc1178"/>
      <w:r>
        <w:rPr>
          <w:rFonts w:hint="eastAsia"/>
          <w:color w:val="auto"/>
        </w:rPr>
        <w:t>3.2.1</w:t>
      </w:r>
      <w:r>
        <w:rPr>
          <w:color w:val="auto"/>
        </w:rPr>
        <w:t>平面布置</w:t>
      </w:r>
      <w:bookmarkEnd w:id="80"/>
    </w:p>
    <w:p w14:paraId="65092DB6">
      <w:pPr>
        <w:spacing w:line="460" w:lineRule="exact"/>
        <w:ind w:firstLine="480"/>
        <w:rPr>
          <w:color w:val="auto"/>
        </w:rPr>
      </w:pPr>
      <w:r>
        <w:rPr>
          <w:rFonts w:hint="eastAsia"/>
          <w:color w:val="auto"/>
        </w:rPr>
        <w:t>亚太药业位于</w:t>
      </w:r>
      <w:r>
        <w:rPr>
          <w:color w:val="auto"/>
        </w:rPr>
        <w:t>启东生命健康产业园苏州路58号</w:t>
      </w:r>
      <w:r>
        <w:rPr>
          <w:rFonts w:hint="eastAsia"/>
          <w:color w:val="auto"/>
        </w:rPr>
        <w:t>，厂界东南侧为南通宝凯药业有限公司，南侧和西侧为江苏好收成韦恩农化有限公司，北侧为园区卫生防护带，总占地面积占地71467m</w:t>
      </w:r>
      <w:r>
        <w:rPr>
          <w:rFonts w:hint="eastAsia"/>
          <w:color w:val="auto"/>
          <w:vertAlign w:val="superscript"/>
        </w:rPr>
        <w:t>2</w:t>
      </w:r>
      <w:r>
        <w:rPr>
          <w:rFonts w:hint="eastAsia"/>
          <w:color w:val="auto"/>
        </w:rPr>
        <w:t>。</w:t>
      </w:r>
    </w:p>
    <w:p w14:paraId="57D68F75">
      <w:pPr>
        <w:spacing w:line="460" w:lineRule="exact"/>
        <w:ind w:firstLine="480"/>
        <w:rPr>
          <w:color w:val="auto"/>
        </w:rPr>
      </w:pPr>
      <w:r>
        <w:rPr>
          <w:color w:val="auto"/>
        </w:rPr>
        <w:t>现有项目位于启东生命健康产业园苏州路58号亚太厂区内，建筑面积27472m</w:t>
      </w:r>
      <w:r>
        <w:rPr>
          <w:color w:val="auto"/>
          <w:vertAlign w:val="superscript"/>
        </w:rPr>
        <w:t>2</w:t>
      </w:r>
      <w:r>
        <w:rPr>
          <w:rFonts w:hint="eastAsia"/>
          <w:color w:val="auto"/>
        </w:rPr>
        <w:t>。</w:t>
      </w:r>
      <w:r>
        <w:rPr>
          <w:color w:val="auto"/>
        </w:rPr>
        <w:t>全厂总平</w:t>
      </w:r>
      <w:r>
        <w:rPr>
          <w:rFonts w:hint="eastAsia"/>
          <w:color w:val="auto"/>
        </w:rPr>
        <w:t>面</w:t>
      </w:r>
      <w:r>
        <w:rPr>
          <w:color w:val="auto"/>
        </w:rPr>
        <w:t>布置呈梯形，厂区大门位于西南方向，办公楼位于厂区西南侧，生产装置位于厂区东侧及北侧，厂区内共设两个二道门，分别位于厂区入口的东侧及北侧</w:t>
      </w:r>
      <w:r>
        <w:rPr>
          <w:rFonts w:hint="eastAsia"/>
          <w:color w:val="auto"/>
        </w:rPr>
        <w:t>。车间有</w:t>
      </w:r>
      <w:r>
        <w:rPr>
          <w:color w:val="auto"/>
        </w:rPr>
        <w:t>苯肼/环保车间、2#亚铵车间、3#车间、石膏车间、环保车间二、1#车间、机修车间</w:t>
      </w:r>
      <w:r>
        <w:rPr>
          <w:rFonts w:hint="eastAsia"/>
          <w:color w:val="auto"/>
        </w:rPr>
        <w:t>、精制车间、制剂一体化车间、合成车间、研发车间，其中精制车间、制剂一体化车间、合成车间与研发车间正在建设中。</w:t>
      </w:r>
      <w:r>
        <w:rPr>
          <w:color w:val="auto"/>
        </w:rPr>
        <w:t>仓库</w:t>
      </w:r>
      <w:r>
        <w:rPr>
          <w:rFonts w:hint="eastAsia"/>
          <w:color w:val="auto"/>
        </w:rPr>
        <w:t>有</w:t>
      </w:r>
      <w:r>
        <w:rPr>
          <w:color w:val="auto"/>
        </w:rPr>
        <w:t>乙类仓库、丙类仓库</w:t>
      </w:r>
      <w:r>
        <w:rPr>
          <w:rFonts w:hint="eastAsia"/>
          <w:color w:val="auto"/>
        </w:rPr>
        <w:t>和甲类仓库，甲类仓库正在建设中。</w:t>
      </w:r>
      <w:r>
        <w:rPr>
          <w:color w:val="auto"/>
        </w:rPr>
        <w:t>两个生产辅助装置</w:t>
      </w:r>
      <w:r>
        <w:rPr>
          <w:rFonts w:hint="eastAsia"/>
          <w:color w:val="auto"/>
        </w:rPr>
        <w:t>为</w:t>
      </w:r>
      <w:r>
        <w:rPr>
          <w:color w:val="auto"/>
        </w:rPr>
        <w:t>氨水配制区、制冷间。厂区南侧自西向东依次为机修车间、苯肼/环保车间、环保车间二、应急池、丙类仓库；厂区北侧自西向东依次为：1#戊类罐区、氨水配制区、工具间、配电间、2#戊类罐区、3#戊类罐区、4#戊类罐区、2#污水处理站、甲类罐区</w:t>
      </w:r>
      <w:r>
        <w:rPr>
          <w:rFonts w:hint="eastAsia"/>
          <w:color w:val="auto"/>
        </w:rPr>
        <w:t>，其中2#污水处理站、甲类罐区正在建设中</w:t>
      </w:r>
      <w:r>
        <w:rPr>
          <w:color w:val="auto"/>
        </w:rPr>
        <w:t>。厂区中部自西向东依次为乙类仓库、3#车间、制冷间、2#亚铵车间、1#车间、石膏车间、甲类仓库、精制车间、制剂一体化车间、合成车间、研发车间。厂区建设地周围布置绿地和道路，美化厂区环境。生产区各作业区彼此功能分明，出入口关系明确，道路环通，使用便利，另设有辅助出入口。</w:t>
      </w:r>
      <w:r>
        <w:rPr>
          <w:rFonts w:hint="eastAsia"/>
          <w:color w:val="auto"/>
        </w:rPr>
        <w:t>亚太药业</w:t>
      </w:r>
      <w:r>
        <w:rPr>
          <w:color w:val="auto"/>
        </w:rPr>
        <w:t>厂区主要构筑物情况见表3.</w:t>
      </w:r>
      <w:r>
        <w:rPr>
          <w:rFonts w:hint="eastAsia"/>
          <w:color w:val="auto"/>
        </w:rPr>
        <w:t>2</w:t>
      </w:r>
      <w:r>
        <w:rPr>
          <w:color w:val="auto"/>
        </w:rPr>
        <w:t>-1</w:t>
      </w:r>
      <w:r>
        <w:rPr>
          <w:rFonts w:hint="eastAsia"/>
          <w:color w:val="auto"/>
        </w:rPr>
        <w:t>。</w:t>
      </w:r>
    </w:p>
    <w:p w14:paraId="3A360298">
      <w:pPr>
        <w:pStyle w:val="49"/>
        <w:rPr>
          <w:color w:val="auto"/>
        </w:rPr>
      </w:pPr>
      <w:r>
        <w:rPr>
          <w:color w:val="auto"/>
        </w:rPr>
        <w:t>表3.</w:t>
      </w:r>
      <w:r>
        <w:rPr>
          <w:rFonts w:hint="eastAsia"/>
          <w:color w:val="auto"/>
        </w:rPr>
        <w:t>2</w:t>
      </w:r>
      <w:r>
        <w:rPr>
          <w:color w:val="auto"/>
        </w:rPr>
        <w:t>-</w:t>
      </w:r>
      <w:r>
        <w:rPr>
          <w:rFonts w:hint="eastAsia"/>
          <w:color w:val="auto"/>
        </w:rPr>
        <w:t>1  亚太药业</w:t>
      </w:r>
      <w:r>
        <w:rPr>
          <w:color w:val="auto"/>
        </w:rPr>
        <w:t>建</w:t>
      </w:r>
      <w:r>
        <w:rPr>
          <w:rFonts w:hint="eastAsia"/>
          <w:color w:val="auto"/>
        </w:rPr>
        <w:t>（</w:t>
      </w:r>
      <w:r>
        <w:rPr>
          <w:color w:val="auto"/>
        </w:rPr>
        <w:t>构</w:t>
      </w:r>
      <w:r>
        <w:rPr>
          <w:rFonts w:hint="eastAsia"/>
          <w:color w:val="auto"/>
        </w:rPr>
        <w:t>）</w:t>
      </w:r>
      <w:r>
        <w:rPr>
          <w:color w:val="auto"/>
        </w:rPr>
        <w:t>筑物一览表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65"/>
        <w:gridCol w:w="1625"/>
        <w:gridCol w:w="1130"/>
        <w:gridCol w:w="1130"/>
        <w:gridCol w:w="511"/>
        <w:gridCol w:w="4348"/>
        <w:gridCol w:w="641"/>
      </w:tblGrid>
      <w:tr w14:paraId="12260067">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9" w:hRule="atLeast"/>
          <w:jc w:val="center"/>
        </w:trPr>
        <w:tc>
          <w:tcPr>
            <w:tcW w:w="250" w:type="pct"/>
            <w:vMerge w:val="restart"/>
            <w:tcBorders>
              <w:tl2br w:val="nil"/>
              <w:tr2bl w:val="nil"/>
            </w:tcBorders>
            <w:vAlign w:val="center"/>
          </w:tcPr>
          <w:p w14:paraId="19BD91C8">
            <w:pPr>
              <w:widowControl/>
              <w:spacing w:line="240" w:lineRule="auto"/>
              <w:ind w:firstLine="0" w:firstLineChars="0"/>
              <w:jc w:val="center"/>
              <w:rPr>
                <w:b/>
                <w:color w:val="auto"/>
                <w:kern w:val="0"/>
                <w:sz w:val="21"/>
                <w:szCs w:val="21"/>
              </w:rPr>
            </w:pPr>
            <w:r>
              <w:rPr>
                <w:b/>
                <w:color w:val="auto"/>
                <w:kern w:val="0"/>
                <w:sz w:val="21"/>
                <w:szCs w:val="21"/>
              </w:rPr>
              <w:t>序号</w:t>
            </w:r>
          </w:p>
        </w:tc>
        <w:tc>
          <w:tcPr>
            <w:tcW w:w="838" w:type="pct"/>
            <w:vMerge w:val="restart"/>
            <w:tcBorders>
              <w:tl2br w:val="nil"/>
              <w:tr2bl w:val="nil"/>
            </w:tcBorders>
            <w:vAlign w:val="center"/>
          </w:tcPr>
          <w:p w14:paraId="188E6799">
            <w:pPr>
              <w:widowControl/>
              <w:spacing w:line="240" w:lineRule="auto"/>
              <w:ind w:firstLine="0" w:firstLineChars="0"/>
              <w:jc w:val="center"/>
              <w:rPr>
                <w:b/>
                <w:color w:val="auto"/>
                <w:kern w:val="0"/>
                <w:sz w:val="21"/>
                <w:szCs w:val="21"/>
              </w:rPr>
            </w:pPr>
            <w:r>
              <w:rPr>
                <w:b/>
                <w:color w:val="auto"/>
                <w:kern w:val="0"/>
                <w:sz w:val="21"/>
                <w:szCs w:val="21"/>
              </w:rPr>
              <w:t>建构筑物名称</w:t>
            </w:r>
          </w:p>
        </w:tc>
        <w:tc>
          <w:tcPr>
            <w:tcW w:w="3571" w:type="pct"/>
            <w:gridSpan w:val="4"/>
            <w:tcBorders>
              <w:tl2br w:val="nil"/>
              <w:tr2bl w:val="nil"/>
            </w:tcBorders>
            <w:vAlign w:val="center"/>
          </w:tcPr>
          <w:p w14:paraId="2A290611">
            <w:pPr>
              <w:widowControl/>
              <w:spacing w:line="240" w:lineRule="auto"/>
              <w:ind w:firstLine="0" w:firstLineChars="0"/>
              <w:jc w:val="center"/>
              <w:rPr>
                <w:b/>
                <w:color w:val="auto"/>
                <w:kern w:val="0"/>
                <w:sz w:val="21"/>
                <w:szCs w:val="21"/>
              </w:rPr>
            </w:pPr>
            <w:r>
              <w:rPr>
                <w:b/>
                <w:color w:val="auto"/>
                <w:kern w:val="0"/>
                <w:sz w:val="21"/>
                <w:szCs w:val="21"/>
              </w:rPr>
              <w:t>现有项目内容和规模</w:t>
            </w:r>
          </w:p>
        </w:tc>
        <w:tc>
          <w:tcPr>
            <w:tcW w:w="339" w:type="pct"/>
            <w:vMerge w:val="restart"/>
            <w:tcBorders>
              <w:tl2br w:val="nil"/>
              <w:tr2bl w:val="nil"/>
            </w:tcBorders>
            <w:vAlign w:val="center"/>
          </w:tcPr>
          <w:p w14:paraId="02DA7779">
            <w:pPr>
              <w:widowControl/>
              <w:spacing w:line="240" w:lineRule="auto"/>
              <w:ind w:firstLine="0" w:firstLineChars="0"/>
              <w:jc w:val="center"/>
              <w:rPr>
                <w:bCs/>
                <w:color w:val="auto"/>
                <w:kern w:val="0"/>
                <w:sz w:val="21"/>
                <w:szCs w:val="21"/>
              </w:rPr>
            </w:pPr>
            <w:r>
              <w:rPr>
                <w:b/>
                <w:color w:val="auto"/>
                <w:kern w:val="0"/>
                <w:sz w:val="21"/>
                <w:szCs w:val="21"/>
              </w:rPr>
              <w:t>备注</w:t>
            </w:r>
          </w:p>
        </w:tc>
      </w:tr>
      <w:tr w14:paraId="6397407C">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9" w:hRule="atLeast"/>
          <w:jc w:val="center"/>
        </w:trPr>
        <w:tc>
          <w:tcPr>
            <w:tcW w:w="250" w:type="pct"/>
            <w:vMerge w:val="continue"/>
            <w:tcBorders>
              <w:tl2br w:val="nil"/>
              <w:tr2bl w:val="nil"/>
            </w:tcBorders>
            <w:vAlign w:val="center"/>
          </w:tcPr>
          <w:p w14:paraId="56EA1FAC">
            <w:pPr>
              <w:widowControl/>
              <w:spacing w:line="240" w:lineRule="auto"/>
              <w:ind w:firstLine="0" w:firstLineChars="0"/>
              <w:jc w:val="center"/>
              <w:rPr>
                <w:b/>
                <w:color w:val="auto"/>
                <w:kern w:val="0"/>
                <w:sz w:val="21"/>
                <w:szCs w:val="21"/>
              </w:rPr>
            </w:pPr>
          </w:p>
        </w:tc>
        <w:tc>
          <w:tcPr>
            <w:tcW w:w="838" w:type="pct"/>
            <w:vMerge w:val="continue"/>
            <w:tcBorders>
              <w:tl2br w:val="nil"/>
              <w:tr2bl w:val="nil"/>
            </w:tcBorders>
            <w:vAlign w:val="center"/>
          </w:tcPr>
          <w:p w14:paraId="6ECDF96D">
            <w:pPr>
              <w:widowControl/>
              <w:spacing w:line="240" w:lineRule="auto"/>
              <w:ind w:firstLine="0" w:firstLineChars="0"/>
              <w:jc w:val="center"/>
              <w:rPr>
                <w:b/>
                <w:color w:val="auto"/>
                <w:kern w:val="0"/>
                <w:sz w:val="21"/>
                <w:szCs w:val="21"/>
              </w:rPr>
            </w:pPr>
          </w:p>
        </w:tc>
        <w:tc>
          <w:tcPr>
            <w:tcW w:w="539" w:type="pct"/>
            <w:tcBorders>
              <w:tl2br w:val="nil"/>
              <w:tr2bl w:val="nil"/>
            </w:tcBorders>
            <w:vAlign w:val="center"/>
          </w:tcPr>
          <w:p w14:paraId="6EE6B2AC">
            <w:pPr>
              <w:widowControl/>
              <w:spacing w:line="240" w:lineRule="auto"/>
              <w:ind w:firstLine="0" w:firstLineChars="0"/>
              <w:jc w:val="center"/>
              <w:rPr>
                <w:b/>
                <w:color w:val="auto"/>
                <w:kern w:val="0"/>
                <w:sz w:val="21"/>
                <w:szCs w:val="21"/>
              </w:rPr>
            </w:pPr>
            <w:r>
              <w:rPr>
                <w:b/>
                <w:color w:val="auto"/>
                <w:kern w:val="0"/>
                <w:sz w:val="21"/>
                <w:szCs w:val="21"/>
              </w:rPr>
              <w:t>占地面积</w:t>
            </w:r>
          </w:p>
        </w:tc>
        <w:tc>
          <w:tcPr>
            <w:tcW w:w="539" w:type="pct"/>
            <w:tcBorders>
              <w:tl2br w:val="nil"/>
              <w:tr2bl w:val="nil"/>
            </w:tcBorders>
            <w:vAlign w:val="center"/>
          </w:tcPr>
          <w:p w14:paraId="236155DD">
            <w:pPr>
              <w:widowControl/>
              <w:spacing w:line="240" w:lineRule="auto"/>
              <w:ind w:firstLine="0" w:firstLineChars="0"/>
              <w:jc w:val="center"/>
              <w:rPr>
                <w:b/>
                <w:color w:val="auto"/>
                <w:kern w:val="0"/>
                <w:sz w:val="21"/>
                <w:szCs w:val="21"/>
              </w:rPr>
            </w:pPr>
            <w:r>
              <w:rPr>
                <w:b/>
                <w:color w:val="auto"/>
                <w:kern w:val="0"/>
                <w:sz w:val="21"/>
                <w:szCs w:val="21"/>
              </w:rPr>
              <w:t>建筑面积</w:t>
            </w:r>
          </w:p>
        </w:tc>
        <w:tc>
          <w:tcPr>
            <w:tcW w:w="273" w:type="pct"/>
            <w:tcBorders>
              <w:tl2br w:val="nil"/>
              <w:tr2bl w:val="nil"/>
            </w:tcBorders>
            <w:vAlign w:val="center"/>
          </w:tcPr>
          <w:p w14:paraId="6827CFFB">
            <w:pPr>
              <w:widowControl/>
              <w:spacing w:line="240" w:lineRule="auto"/>
              <w:ind w:firstLine="0" w:firstLineChars="0"/>
              <w:jc w:val="center"/>
              <w:rPr>
                <w:b/>
                <w:color w:val="auto"/>
                <w:kern w:val="0"/>
                <w:sz w:val="21"/>
                <w:szCs w:val="21"/>
              </w:rPr>
            </w:pPr>
            <w:r>
              <w:rPr>
                <w:b/>
                <w:color w:val="auto"/>
                <w:kern w:val="0"/>
                <w:sz w:val="21"/>
                <w:szCs w:val="21"/>
              </w:rPr>
              <w:t>层数</w:t>
            </w:r>
          </w:p>
        </w:tc>
        <w:tc>
          <w:tcPr>
            <w:tcW w:w="2217" w:type="pct"/>
            <w:tcBorders>
              <w:tl2br w:val="nil"/>
              <w:tr2bl w:val="nil"/>
            </w:tcBorders>
            <w:vAlign w:val="center"/>
          </w:tcPr>
          <w:p w14:paraId="5A62C213">
            <w:pPr>
              <w:widowControl/>
              <w:spacing w:line="240" w:lineRule="auto"/>
              <w:ind w:firstLine="0" w:firstLineChars="0"/>
              <w:jc w:val="center"/>
              <w:rPr>
                <w:b/>
                <w:color w:val="auto"/>
                <w:kern w:val="0"/>
                <w:sz w:val="21"/>
                <w:szCs w:val="21"/>
              </w:rPr>
            </w:pPr>
            <w:r>
              <w:rPr>
                <w:b/>
                <w:color w:val="auto"/>
                <w:kern w:val="0"/>
                <w:sz w:val="21"/>
                <w:szCs w:val="21"/>
              </w:rPr>
              <w:t>建设内容</w:t>
            </w:r>
          </w:p>
        </w:tc>
        <w:tc>
          <w:tcPr>
            <w:tcW w:w="339" w:type="pct"/>
            <w:vMerge w:val="continue"/>
            <w:tcBorders>
              <w:tl2br w:val="nil"/>
              <w:tr2bl w:val="nil"/>
            </w:tcBorders>
            <w:vAlign w:val="center"/>
          </w:tcPr>
          <w:p w14:paraId="19BC3057">
            <w:pPr>
              <w:widowControl/>
              <w:spacing w:line="240" w:lineRule="auto"/>
              <w:ind w:firstLine="0" w:firstLineChars="0"/>
              <w:jc w:val="center"/>
              <w:rPr>
                <w:bCs/>
                <w:color w:val="auto"/>
                <w:kern w:val="0"/>
                <w:sz w:val="21"/>
                <w:szCs w:val="21"/>
              </w:rPr>
            </w:pPr>
          </w:p>
        </w:tc>
      </w:tr>
      <w:tr w14:paraId="7B715444">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3C91CECE">
            <w:pPr>
              <w:widowControl/>
              <w:spacing w:line="240" w:lineRule="auto"/>
              <w:ind w:firstLine="0" w:firstLineChars="0"/>
              <w:jc w:val="center"/>
              <w:rPr>
                <w:color w:val="auto"/>
                <w:kern w:val="0"/>
                <w:sz w:val="21"/>
                <w:szCs w:val="21"/>
              </w:rPr>
            </w:pPr>
            <w:r>
              <w:rPr>
                <w:color w:val="auto"/>
                <w:kern w:val="0"/>
                <w:sz w:val="21"/>
                <w:szCs w:val="21"/>
              </w:rPr>
              <w:t>1</w:t>
            </w:r>
          </w:p>
        </w:tc>
        <w:tc>
          <w:tcPr>
            <w:tcW w:w="838" w:type="pct"/>
            <w:tcBorders>
              <w:tl2br w:val="nil"/>
              <w:tr2bl w:val="nil"/>
            </w:tcBorders>
            <w:vAlign w:val="center"/>
          </w:tcPr>
          <w:p w14:paraId="40B7950B">
            <w:pPr>
              <w:widowControl/>
              <w:spacing w:line="240" w:lineRule="auto"/>
              <w:ind w:firstLine="0" w:firstLineChars="0"/>
              <w:jc w:val="center"/>
              <w:rPr>
                <w:color w:val="auto"/>
                <w:kern w:val="0"/>
                <w:sz w:val="21"/>
                <w:szCs w:val="21"/>
              </w:rPr>
            </w:pPr>
            <w:r>
              <w:rPr>
                <w:color w:val="auto"/>
                <w:kern w:val="0"/>
                <w:sz w:val="21"/>
                <w:szCs w:val="21"/>
              </w:rPr>
              <w:t>1#车间</w:t>
            </w:r>
          </w:p>
        </w:tc>
        <w:tc>
          <w:tcPr>
            <w:tcW w:w="539" w:type="pct"/>
            <w:tcBorders>
              <w:tl2br w:val="nil"/>
              <w:tr2bl w:val="nil"/>
            </w:tcBorders>
            <w:vAlign w:val="center"/>
          </w:tcPr>
          <w:p w14:paraId="5DDDA986">
            <w:pPr>
              <w:widowControl/>
              <w:spacing w:line="240" w:lineRule="auto"/>
              <w:ind w:firstLine="0" w:firstLineChars="0"/>
              <w:jc w:val="center"/>
              <w:rPr>
                <w:color w:val="auto"/>
                <w:kern w:val="0"/>
                <w:sz w:val="21"/>
                <w:szCs w:val="21"/>
              </w:rPr>
            </w:pPr>
            <w:r>
              <w:rPr>
                <w:color w:val="auto"/>
                <w:kern w:val="0"/>
                <w:sz w:val="21"/>
                <w:szCs w:val="21"/>
              </w:rPr>
              <w:t>672m</w:t>
            </w:r>
            <w:r>
              <w:rPr>
                <w:color w:val="auto"/>
                <w:kern w:val="0"/>
                <w:sz w:val="21"/>
                <w:szCs w:val="21"/>
                <w:vertAlign w:val="superscript"/>
              </w:rPr>
              <w:t>2</w:t>
            </w:r>
          </w:p>
        </w:tc>
        <w:tc>
          <w:tcPr>
            <w:tcW w:w="539" w:type="pct"/>
            <w:tcBorders>
              <w:tl2br w:val="nil"/>
              <w:tr2bl w:val="nil"/>
            </w:tcBorders>
            <w:vAlign w:val="center"/>
          </w:tcPr>
          <w:p w14:paraId="1BBD746A">
            <w:pPr>
              <w:widowControl/>
              <w:spacing w:line="240" w:lineRule="auto"/>
              <w:ind w:firstLine="0" w:firstLineChars="0"/>
              <w:jc w:val="center"/>
              <w:rPr>
                <w:color w:val="auto"/>
                <w:kern w:val="0"/>
                <w:sz w:val="21"/>
                <w:szCs w:val="21"/>
              </w:rPr>
            </w:pPr>
            <w:r>
              <w:rPr>
                <w:color w:val="auto"/>
                <w:kern w:val="0"/>
                <w:sz w:val="21"/>
                <w:szCs w:val="21"/>
              </w:rPr>
              <w:t>4475m</w:t>
            </w:r>
            <w:r>
              <w:rPr>
                <w:color w:val="auto"/>
                <w:kern w:val="0"/>
                <w:sz w:val="21"/>
                <w:szCs w:val="21"/>
                <w:vertAlign w:val="superscript"/>
              </w:rPr>
              <w:t>2</w:t>
            </w:r>
          </w:p>
        </w:tc>
        <w:tc>
          <w:tcPr>
            <w:tcW w:w="273" w:type="pct"/>
            <w:tcBorders>
              <w:tl2br w:val="nil"/>
              <w:tr2bl w:val="nil"/>
            </w:tcBorders>
            <w:vAlign w:val="center"/>
          </w:tcPr>
          <w:p w14:paraId="4E27CE37">
            <w:pPr>
              <w:widowControl/>
              <w:spacing w:line="240" w:lineRule="auto"/>
              <w:ind w:firstLine="0" w:firstLineChars="0"/>
              <w:jc w:val="center"/>
              <w:rPr>
                <w:color w:val="auto"/>
                <w:kern w:val="0"/>
                <w:sz w:val="21"/>
                <w:szCs w:val="21"/>
              </w:rPr>
            </w:pPr>
            <w:r>
              <w:rPr>
                <w:color w:val="auto"/>
                <w:kern w:val="0"/>
                <w:sz w:val="21"/>
                <w:szCs w:val="21"/>
              </w:rPr>
              <w:t>7层</w:t>
            </w:r>
          </w:p>
        </w:tc>
        <w:tc>
          <w:tcPr>
            <w:tcW w:w="2217" w:type="pct"/>
            <w:tcBorders>
              <w:tl2br w:val="nil"/>
              <w:tr2bl w:val="nil"/>
            </w:tcBorders>
            <w:vAlign w:val="center"/>
          </w:tcPr>
          <w:p w14:paraId="681EE74C">
            <w:pPr>
              <w:widowControl/>
              <w:spacing w:line="240" w:lineRule="auto"/>
              <w:ind w:firstLine="0" w:firstLineChars="0"/>
              <w:jc w:val="center"/>
              <w:rPr>
                <w:color w:val="auto"/>
                <w:kern w:val="0"/>
                <w:sz w:val="21"/>
                <w:szCs w:val="21"/>
              </w:rPr>
            </w:pPr>
            <w:r>
              <w:rPr>
                <w:color w:val="auto"/>
                <w:kern w:val="0"/>
                <w:sz w:val="21"/>
                <w:szCs w:val="21"/>
              </w:rPr>
              <w:t>设置有盐酸(硫酸)苯肼、苯肼生产线</w:t>
            </w:r>
          </w:p>
        </w:tc>
        <w:tc>
          <w:tcPr>
            <w:tcW w:w="339" w:type="pct"/>
            <w:tcBorders>
              <w:tl2br w:val="nil"/>
              <w:tr2bl w:val="nil"/>
            </w:tcBorders>
            <w:vAlign w:val="center"/>
          </w:tcPr>
          <w:p w14:paraId="049C4E37">
            <w:pPr>
              <w:widowControl/>
              <w:spacing w:line="240" w:lineRule="auto"/>
              <w:ind w:firstLine="0" w:firstLineChars="0"/>
              <w:jc w:val="center"/>
              <w:rPr>
                <w:color w:val="auto"/>
                <w:kern w:val="0"/>
                <w:sz w:val="21"/>
                <w:szCs w:val="21"/>
              </w:rPr>
            </w:pPr>
            <w:r>
              <w:rPr>
                <w:color w:val="auto"/>
                <w:kern w:val="0"/>
                <w:sz w:val="21"/>
                <w:szCs w:val="21"/>
              </w:rPr>
              <w:t>已建</w:t>
            </w:r>
          </w:p>
        </w:tc>
      </w:tr>
      <w:tr w14:paraId="44F2603E">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45BAAF10">
            <w:pPr>
              <w:widowControl/>
              <w:spacing w:line="240" w:lineRule="auto"/>
              <w:ind w:firstLine="0" w:firstLineChars="0"/>
              <w:jc w:val="center"/>
              <w:rPr>
                <w:color w:val="auto"/>
                <w:kern w:val="0"/>
                <w:sz w:val="21"/>
                <w:szCs w:val="21"/>
              </w:rPr>
            </w:pPr>
            <w:r>
              <w:rPr>
                <w:color w:val="auto"/>
                <w:kern w:val="0"/>
                <w:sz w:val="21"/>
                <w:szCs w:val="21"/>
              </w:rPr>
              <w:t>2</w:t>
            </w:r>
          </w:p>
        </w:tc>
        <w:tc>
          <w:tcPr>
            <w:tcW w:w="838" w:type="pct"/>
            <w:tcBorders>
              <w:tl2br w:val="nil"/>
              <w:tr2bl w:val="nil"/>
            </w:tcBorders>
            <w:vAlign w:val="center"/>
          </w:tcPr>
          <w:p w14:paraId="25DAC41E">
            <w:pPr>
              <w:widowControl/>
              <w:spacing w:line="240" w:lineRule="auto"/>
              <w:ind w:firstLine="0" w:firstLineChars="0"/>
              <w:jc w:val="center"/>
              <w:rPr>
                <w:color w:val="auto"/>
                <w:kern w:val="0"/>
                <w:sz w:val="21"/>
                <w:szCs w:val="21"/>
              </w:rPr>
            </w:pPr>
            <w:r>
              <w:rPr>
                <w:color w:val="auto"/>
                <w:kern w:val="0"/>
                <w:sz w:val="21"/>
                <w:szCs w:val="21"/>
              </w:rPr>
              <w:t>2#亚铵车间</w:t>
            </w:r>
          </w:p>
        </w:tc>
        <w:tc>
          <w:tcPr>
            <w:tcW w:w="539" w:type="pct"/>
            <w:tcBorders>
              <w:tl2br w:val="nil"/>
              <w:tr2bl w:val="nil"/>
            </w:tcBorders>
            <w:vAlign w:val="center"/>
          </w:tcPr>
          <w:p w14:paraId="54A27B6E">
            <w:pPr>
              <w:widowControl/>
              <w:spacing w:line="240" w:lineRule="auto"/>
              <w:ind w:firstLine="0" w:firstLineChars="0"/>
              <w:jc w:val="center"/>
              <w:rPr>
                <w:color w:val="auto"/>
                <w:kern w:val="0"/>
                <w:sz w:val="21"/>
                <w:szCs w:val="21"/>
              </w:rPr>
            </w:pPr>
            <w:r>
              <w:rPr>
                <w:color w:val="auto"/>
                <w:kern w:val="0"/>
                <w:sz w:val="21"/>
                <w:szCs w:val="21"/>
              </w:rPr>
              <w:t>668m</w:t>
            </w:r>
            <w:r>
              <w:rPr>
                <w:color w:val="auto"/>
                <w:kern w:val="0"/>
                <w:sz w:val="21"/>
                <w:szCs w:val="21"/>
                <w:vertAlign w:val="superscript"/>
              </w:rPr>
              <w:t>2</w:t>
            </w:r>
          </w:p>
        </w:tc>
        <w:tc>
          <w:tcPr>
            <w:tcW w:w="539" w:type="pct"/>
            <w:tcBorders>
              <w:tl2br w:val="nil"/>
              <w:tr2bl w:val="nil"/>
            </w:tcBorders>
            <w:vAlign w:val="center"/>
          </w:tcPr>
          <w:p w14:paraId="7865FE34">
            <w:pPr>
              <w:widowControl/>
              <w:spacing w:line="240" w:lineRule="auto"/>
              <w:ind w:firstLine="0" w:firstLineChars="0"/>
              <w:jc w:val="center"/>
              <w:rPr>
                <w:color w:val="auto"/>
                <w:kern w:val="0"/>
                <w:sz w:val="21"/>
                <w:szCs w:val="21"/>
              </w:rPr>
            </w:pPr>
            <w:r>
              <w:rPr>
                <w:color w:val="auto"/>
                <w:kern w:val="0"/>
                <w:sz w:val="21"/>
                <w:szCs w:val="21"/>
              </w:rPr>
              <w:t>1388m</w:t>
            </w:r>
            <w:r>
              <w:rPr>
                <w:color w:val="auto"/>
                <w:kern w:val="0"/>
                <w:sz w:val="21"/>
                <w:szCs w:val="21"/>
                <w:vertAlign w:val="superscript"/>
              </w:rPr>
              <w:t>2</w:t>
            </w:r>
          </w:p>
        </w:tc>
        <w:tc>
          <w:tcPr>
            <w:tcW w:w="273" w:type="pct"/>
            <w:tcBorders>
              <w:tl2br w:val="nil"/>
              <w:tr2bl w:val="nil"/>
            </w:tcBorders>
            <w:vAlign w:val="center"/>
          </w:tcPr>
          <w:p w14:paraId="7BD60986">
            <w:pPr>
              <w:widowControl/>
              <w:spacing w:line="240" w:lineRule="auto"/>
              <w:ind w:firstLine="0" w:firstLineChars="0"/>
              <w:jc w:val="center"/>
              <w:rPr>
                <w:color w:val="auto"/>
                <w:kern w:val="0"/>
                <w:sz w:val="21"/>
                <w:szCs w:val="21"/>
              </w:rPr>
            </w:pPr>
            <w:r>
              <w:rPr>
                <w:color w:val="auto"/>
                <w:kern w:val="0"/>
                <w:sz w:val="21"/>
                <w:szCs w:val="21"/>
              </w:rPr>
              <w:t>3层</w:t>
            </w:r>
          </w:p>
        </w:tc>
        <w:tc>
          <w:tcPr>
            <w:tcW w:w="2217" w:type="pct"/>
            <w:tcBorders>
              <w:tl2br w:val="nil"/>
              <w:tr2bl w:val="nil"/>
            </w:tcBorders>
            <w:vAlign w:val="center"/>
          </w:tcPr>
          <w:p w14:paraId="5D38449A">
            <w:pPr>
              <w:widowControl/>
              <w:spacing w:line="240" w:lineRule="auto"/>
              <w:ind w:firstLine="0" w:firstLineChars="0"/>
              <w:jc w:val="center"/>
              <w:rPr>
                <w:color w:val="auto"/>
                <w:kern w:val="0"/>
                <w:sz w:val="21"/>
                <w:szCs w:val="21"/>
              </w:rPr>
            </w:pPr>
            <w:r>
              <w:rPr>
                <w:color w:val="auto"/>
                <w:kern w:val="0"/>
                <w:sz w:val="21"/>
                <w:szCs w:val="21"/>
              </w:rPr>
              <w:t>设置有亚硫酸氢铵生产线</w:t>
            </w:r>
          </w:p>
        </w:tc>
        <w:tc>
          <w:tcPr>
            <w:tcW w:w="339" w:type="pct"/>
            <w:tcBorders>
              <w:tl2br w:val="nil"/>
              <w:tr2bl w:val="nil"/>
            </w:tcBorders>
            <w:vAlign w:val="center"/>
          </w:tcPr>
          <w:p w14:paraId="52ACA993">
            <w:pPr>
              <w:widowControl/>
              <w:spacing w:line="240" w:lineRule="auto"/>
              <w:ind w:firstLine="0" w:firstLineChars="0"/>
              <w:jc w:val="center"/>
              <w:rPr>
                <w:color w:val="auto"/>
                <w:kern w:val="0"/>
                <w:sz w:val="21"/>
                <w:szCs w:val="21"/>
              </w:rPr>
            </w:pPr>
            <w:r>
              <w:rPr>
                <w:color w:val="auto"/>
                <w:kern w:val="0"/>
                <w:sz w:val="21"/>
                <w:szCs w:val="21"/>
              </w:rPr>
              <w:t>已建</w:t>
            </w:r>
          </w:p>
        </w:tc>
      </w:tr>
      <w:tr w14:paraId="2FC794A2">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2162FD52">
            <w:pPr>
              <w:widowControl/>
              <w:spacing w:line="240" w:lineRule="auto"/>
              <w:ind w:firstLine="0" w:firstLineChars="0"/>
              <w:jc w:val="center"/>
              <w:rPr>
                <w:color w:val="auto"/>
                <w:kern w:val="0"/>
                <w:sz w:val="21"/>
                <w:szCs w:val="21"/>
              </w:rPr>
            </w:pPr>
            <w:r>
              <w:rPr>
                <w:color w:val="auto"/>
                <w:kern w:val="0"/>
                <w:sz w:val="21"/>
                <w:szCs w:val="21"/>
              </w:rPr>
              <w:t>3</w:t>
            </w:r>
          </w:p>
        </w:tc>
        <w:tc>
          <w:tcPr>
            <w:tcW w:w="838" w:type="pct"/>
            <w:tcBorders>
              <w:tl2br w:val="nil"/>
              <w:tr2bl w:val="nil"/>
            </w:tcBorders>
            <w:vAlign w:val="center"/>
          </w:tcPr>
          <w:p w14:paraId="6D9D019C">
            <w:pPr>
              <w:widowControl/>
              <w:spacing w:line="240" w:lineRule="auto"/>
              <w:ind w:firstLine="0" w:firstLineChars="0"/>
              <w:jc w:val="center"/>
              <w:rPr>
                <w:color w:val="auto"/>
                <w:kern w:val="0"/>
                <w:sz w:val="21"/>
                <w:szCs w:val="21"/>
              </w:rPr>
            </w:pPr>
            <w:r>
              <w:rPr>
                <w:color w:val="auto"/>
                <w:kern w:val="0"/>
                <w:sz w:val="21"/>
                <w:szCs w:val="21"/>
              </w:rPr>
              <w:t>3#车间</w:t>
            </w:r>
          </w:p>
        </w:tc>
        <w:tc>
          <w:tcPr>
            <w:tcW w:w="539" w:type="pct"/>
            <w:tcBorders>
              <w:tl2br w:val="nil"/>
              <w:tr2bl w:val="nil"/>
            </w:tcBorders>
            <w:vAlign w:val="center"/>
          </w:tcPr>
          <w:p w14:paraId="3B53C12C">
            <w:pPr>
              <w:widowControl/>
              <w:spacing w:line="240" w:lineRule="auto"/>
              <w:ind w:firstLine="0" w:firstLineChars="0"/>
              <w:jc w:val="center"/>
              <w:rPr>
                <w:color w:val="auto"/>
                <w:kern w:val="0"/>
                <w:sz w:val="21"/>
                <w:szCs w:val="21"/>
              </w:rPr>
            </w:pPr>
            <w:r>
              <w:rPr>
                <w:color w:val="auto"/>
                <w:kern w:val="0"/>
                <w:sz w:val="21"/>
                <w:szCs w:val="21"/>
              </w:rPr>
              <w:t>1304m</w:t>
            </w:r>
            <w:r>
              <w:rPr>
                <w:color w:val="auto"/>
                <w:kern w:val="0"/>
                <w:sz w:val="21"/>
                <w:szCs w:val="21"/>
                <w:vertAlign w:val="superscript"/>
              </w:rPr>
              <w:t>2</w:t>
            </w:r>
          </w:p>
        </w:tc>
        <w:tc>
          <w:tcPr>
            <w:tcW w:w="539" w:type="pct"/>
            <w:tcBorders>
              <w:tl2br w:val="nil"/>
              <w:tr2bl w:val="nil"/>
            </w:tcBorders>
            <w:vAlign w:val="center"/>
          </w:tcPr>
          <w:p w14:paraId="1726866F">
            <w:pPr>
              <w:widowControl/>
              <w:spacing w:line="240" w:lineRule="auto"/>
              <w:ind w:firstLine="0" w:firstLineChars="0"/>
              <w:jc w:val="center"/>
              <w:rPr>
                <w:color w:val="auto"/>
                <w:kern w:val="0"/>
                <w:sz w:val="21"/>
                <w:szCs w:val="21"/>
              </w:rPr>
            </w:pPr>
            <w:r>
              <w:rPr>
                <w:color w:val="auto"/>
                <w:kern w:val="0"/>
                <w:sz w:val="21"/>
                <w:szCs w:val="21"/>
              </w:rPr>
              <w:t>2790m</w:t>
            </w:r>
            <w:r>
              <w:rPr>
                <w:color w:val="auto"/>
                <w:kern w:val="0"/>
                <w:sz w:val="21"/>
                <w:szCs w:val="21"/>
                <w:vertAlign w:val="superscript"/>
              </w:rPr>
              <w:t>2</w:t>
            </w:r>
          </w:p>
        </w:tc>
        <w:tc>
          <w:tcPr>
            <w:tcW w:w="273" w:type="pct"/>
            <w:tcBorders>
              <w:tl2br w:val="nil"/>
              <w:tr2bl w:val="nil"/>
            </w:tcBorders>
            <w:vAlign w:val="center"/>
          </w:tcPr>
          <w:p w14:paraId="3C0014CF">
            <w:pPr>
              <w:widowControl/>
              <w:spacing w:line="240" w:lineRule="auto"/>
              <w:ind w:firstLine="0" w:firstLineChars="0"/>
              <w:jc w:val="center"/>
              <w:rPr>
                <w:color w:val="auto"/>
                <w:kern w:val="0"/>
                <w:sz w:val="21"/>
                <w:szCs w:val="21"/>
              </w:rPr>
            </w:pPr>
            <w:r>
              <w:rPr>
                <w:color w:val="auto"/>
                <w:kern w:val="0"/>
                <w:sz w:val="21"/>
                <w:szCs w:val="21"/>
              </w:rPr>
              <w:t>3层</w:t>
            </w:r>
          </w:p>
        </w:tc>
        <w:tc>
          <w:tcPr>
            <w:tcW w:w="2217" w:type="pct"/>
            <w:tcBorders>
              <w:tl2br w:val="nil"/>
              <w:tr2bl w:val="nil"/>
            </w:tcBorders>
            <w:vAlign w:val="center"/>
          </w:tcPr>
          <w:p w14:paraId="6A2B23C9">
            <w:pPr>
              <w:widowControl/>
              <w:spacing w:line="240" w:lineRule="auto"/>
              <w:ind w:firstLine="0" w:firstLineChars="0"/>
              <w:jc w:val="center"/>
              <w:rPr>
                <w:color w:val="auto"/>
                <w:kern w:val="0"/>
                <w:sz w:val="21"/>
                <w:szCs w:val="21"/>
              </w:rPr>
            </w:pPr>
            <w:r>
              <w:rPr>
                <w:color w:val="auto"/>
                <w:kern w:val="0"/>
                <w:sz w:val="21"/>
                <w:szCs w:val="21"/>
              </w:rPr>
              <w:t>设置盐酸苯肼、硫酸苯肼、苯唑醇生产线</w:t>
            </w:r>
          </w:p>
        </w:tc>
        <w:tc>
          <w:tcPr>
            <w:tcW w:w="339" w:type="pct"/>
            <w:tcBorders>
              <w:tl2br w:val="nil"/>
              <w:tr2bl w:val="nil"/>
            </w:tcBorders>
            <w:vAlign w:val="center"/>
          </w:tcPr>
          <w:p w14:paraId="1408C704">
            <w:pPr>
              <w:widowControl/>
              <w:spacing w:line="240" w:lineRule="auto"/>
              <w:ind w:firstLine="0" w:firstLineChars="0"/>
              <w:jc w:val="center"/>
              <w:rPr>
                <w:color w:val="auto"/>
                <w:kern w:val="0"/>
                <w:sz w:val="21"/>
                <w:szCs w:val="21"/>
              </w:rPr>
            </w:pPr>
            <w:r>
              <w:rPr>
                <w:color w:val="auto"/>
                <w:kern w:val="0"/>
                <w:sz w:val="21"/>
                <w:szCs w:val="21"/>
              </w:rPr>
              <w:t>已建</w:t>
            </w:r>
          </w:p>
        </w:tc>
      </w:tr>
      <w:tr w14:paraId="568B81F2">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169DDCD3">
            <w:pPr>
              <w:widowControl/>
              <w:spacing w:line="240" w:lineRule="auto"/>
              <w:ind w:firstLine="0" w:firstLineChars="0"/>
              <w:jc w:val="center"/>
              <w:rPr>
                <w:color w:val="auto"/>
                <w:kern w:val="0"/>
                <w:sz w:val="21"/>
                <w:szCs w:val="21"/>
              </w:rPr>
            </w:pPr>
            <w:r>
              <w:rPr>
                <w:color w:val="auto"/>
                <w:kern w:val="0"/>
                <w:sz w:val="21"/>
                <w:szCs w:val="21"/>
              </w:rPr>
              <w:t>4</w:t>
            </w:r>
          </w:p>
        </w:tc>
        <w:tc>
          <w:tcPr>
            <w:tcW w:w="838" w:type="pct"/>
            <w:tcBorders>
              <w:tl2br w:val="nil"/>
              <w:tr2bl w:val="nil"/>
            </w:tcBorders>
            <w:vAlign w:val="center"/>
          </w:tcPr>
          <w:p w14:paraId="412D598D">
            <w:pPr>
              <w:widowControl/>
              <w:spacing w:line="240" w:lineRule="auto"/>
              <w:ind w:firstLine="0" w:firstLineChars="0"/>
              <w:jc w:val="center"/>
              <w:rPr>
                <w:color w:val="auto"/>
                <w:kern w:val="0"/>
                <w:sz w:val="21"/>
                <w:szCs w:val="21"/>
              </w:rPr>
            </w:pPr>
            <w:r>
              <w:rPr>
                <w:color w:val="auto"/>
                <w:kern w:val="0"/>
                <w:sz w:val="21"/>
                <w:szCs w:val="21"/>
              </w:rPr>
              <w:t>甲类车间(闲置)</w:t>
            </w:r>
          </w:p>
        </w:tc>
        <w:tc>
          <w:tcPr>
            <w:tcW w:w="539" w:type="pct"/>
            <w:tcBorders>
              <w:tl2br w:val="nil"/>
              <w:tr2bl w:val="nil"/>
            </w:tcBorders>
            <w:vAlign w:val="center"/>
          </w:tcPr>
          <w:p w14:paraId="03D15A55">
            <w:pPr>
              <w:widowControl/>
              <w:spacing w:line="240" w:lineRule="auto"/>
              <w:ind w:firstLine="0" w:firstLineChars="0"/>
              <w:jc w:val="center"/>
              <w:rPr>
                <w:color w:val="auto"/>
                <w:kern w:val="0"/>
                <w:sz w:val="21"/>
                <w:szCs w:val="21"/>
              </w:rPr>
            </w:pPr>
            <w:r>
              <w:rPr>
                <w:color w:val="auto"/>
                <w:kern w:val="0"/>
                <w:sz w:val="21"/>
                <w:szCs w:val="21"/>
              </w:rPr>
              <w:t>420m</w:t>
            </w:r>
            <w:r>
              <w:rPr>
                <w:color w:val="auto"/>
                <w:kern w:val="0"/>
                <w:sz w:val="21"/>
                <w:szCs w:val="21"/>
                <w:vertAlign w:val="superscript"/>
              </w:rPr>
              <w:t>2</w:t>
            </w:r>
          </w:p>
        </w:tc>
        <w:tc>
          <w:tcPr>
            <w:tcW w:w="539" w:type="pct"/>
            <w:tcBorders>
              <w:tl2br w:val="nil"/>
              <w:tr2bl w:val="nil"/>
            </w:tcBorders>
            <w:vAlign w:val="center"/>
          </w:tcPr>
          <w:p w14:paraId="118315C5">
            <w:pPr>
              <w:widowControl/>
              <w:spacing w:line="240" w:lineRule="auto"/>
              <w:ind w:firstLine="0" w:firstLineChars="0"/>
              <w:jc w:val="center"/>
              <w:rPr>
                <w:color w:val="auto"/>
                <w:kern w:val="0"/>
                <w:sz w:val="21"/>
                <w:szCs w:val="21"/>
              </w:rPr>
            </w:pPr>
            <w:r>
              <w:rPr>
                <w:color w:val="auto"/>
                <w:kern w:val="0"/>
                <w:sz w:val="21"/>
                <w:szCs w:val="21"/>
              </w:rPr>
              <w:t>840m</w:t>
            </w:r>
            <w:r>
              <w:rPr>
                <w:color w:val="auto"/>
                <w:kern w:val="0"/>
                <w:sz w:val="21"/>
                <w:szCs w:val="21"/>
                <w:vertAlign w:val="superscript"/>
              </w:rPr>
              <w:t>2</w:t>
            </w:r>
          </w:p>
        </w:tc>
        <w:tc>
          <w:tcPr>
            <w:tcW w:w="273" w:type="pct"/>
            <w:tcBorders>
              <w:tl2br w:val="nil"/>
              <w:tr2bl w:val="nil"/>
            </w:tcBorders>
            <w:vAlign w:val="center"/>
          </w:tcPr>
          <w:p w14:paraId="6CE6E474">
            <w:pPr>
              <w:widowControl/>
              <w:spacing w:line="240" w:lineRule="auto"/>
              <w:ind w:firstLine="0" w:firstLineChars="0"/>
              <w:jc w:val="center"/>
              <w:rPr>
                <w:color w:val="auto"/>
                <w:kern w:val="0"/>
                <w:sz w:val="21"/>
                <w:szCs w:val="21"/>
              </w:rPr>
            </w:pPr>
            <w:r>
              <w:rPr>
                <w:color w:val="auto"/>
                <w:kern w:val="0"/>
                <w:sz w:val="21"/>
                <w:szCs w:val="21"/>
              </w:rPr>
              <w:t>2层</w:t>
            </w:r>
          </w:p>
        </w:tc>
        <w:tc>
          <w:tcPr>
            <w:tcW w:w="2217" w:type="pct"/>
            <w:tcBorders>
              <w:tl2br w:val="nil"/>
              <w:tr2bl w:val="nil"/>
            </w:tcBorders>
            <w:vAlign w:val="center"/>
          </w:tcPr>
          <w:p w14:paraId="70D737B0">
            <w:pPr>
              <w:widowControl/>
              <w:spacing w:line="240" w:lineRule="auto"/>
              <w:ind w:firstLine="0" w:firstLineChars="0"/>
              <w:jc w:val="center"/>
              <w:rPr>
                <w:color w:val="auto"/>
                <w:kern w:val="0"/>
                <w:sz w:val="21"/>
                <w:szCs w:val="21"/>
              </w:rPr>
            </w:pPr>
            <w:r>
              <w:rPr>
                <w:color w:val="auto"/>
                <w:kern w:val="0"/>
                <w:sz w:val="21"/>
                <w:szCs w:val="21"/>
              </w:rPr>
              <w:t>设置在建1,3,5-吡唑酮、乙酰丙酮生产线</w:t>
            </w:r>
          </w:p>
        </w:tc>
        <w:tc>
          <w:tcPr>
            <w:tcW w:w="339" w:type="pct"/>
            <w:tcBorders>
              <w:tl2br w:val="nil"/>
              <w:tr2bl w:val="nil"/>
            </w:tcBorders>
            <w:vAlign w:val="center"/>
          </w:tcPr>
          <w:p w14:paraId="0B805D64">
            <w:pPr>
              <w:widowControl/>
              <w:spacing w:line="240" w:lineRule="auto"/>
              <w:ind w:firstLine="0" w:firstLineChars="0"/>
              <w:jc w:val="center"/>
              <w:rPr>
                <w:color w:val="auto"/>
                <w:kern w:val="0"/>
                <w:sz w:val="21"/>
                <w:szCs w:val="21"/>
              </w:rPr>
            </w:pPr>
            <w:r>
              <w:rPr>
                <w:color w:val="auto"/>
                <w:kern w:val="0"/>
                <w:sz w:val="21"/>
                <w:szCs w:val="21"/>
              </w:rPr>
              <w:t>已建</w:t>
            </w:r>
          </w:p>
        </w:tc>
      </w:tr>
      <w:tr w14:paraId="24D4C00E">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4104F8BB">
            <w:pPr>
              <w:widowControl/>
              <w:spacing w:line="240" w:lineRule="auto"/>
              <w:ind w:firstLine="0" w:firstLineChars="0"/>
              <w:jc w:val="center"/>
              <w:rPr>
                <w:color w:val="auto"/>
                <w:kern w:val="0"/>
                <w:sz w:val="21"/>
                <w:szCs w:val="21"/>
              </w:rPr>
            </w:pPr>
            <w:r>
              <w:rPr>
                <w:color w:val="auto"/>
                <w:kern w:val="0"/>
                <w:sz w:val="21"/>
                <w:szCs w:val="21"/>
              </w:rPr>
              <w:t>5</w:t>
            </w:r>
          </w:p>
        </w:tc>
        <w:tc>
          <w:tcPr>
            <w:tcW w:w="838" w:type="pct"/>
            <w:tcBorders>
              <w:tl2br w:val="nil"/>
              <w:tr2bl w:val="nil"/>
            </w:tcBorders>
            <w:vAlign w:val="center"/>
          </w:tcPr>
          <w:p w14:paraId="76C6F346">
            <w:pPr>
              <w:widowControl/>
              <w:spacing w:line="240" w:lineRule="auto"/>
              <w:ind w:firstLine="0" w:firstLineChars="0"/>
              <w:jc w:val="center"/>
              <w:rPr>
                <w:color w:val="auto"/>
                <w:kern w:val="0"/>
                <w:sz w:val="21"/>
                <w:szCs w:val="21"/>
              </w:rPr>
            </w:pPr>
            <w:r>
              <w:rPr>
                <w:color w:val="auto"/>
                <w:kern w:val="0"/>
                <w:sz w:val="21"/>
                <w:szCs w:val="21"/>
              </w:rPr>
              <w:t>苯肼/环保车间一</w:t>
            </w:r>
          </w:p>
        </w:tc>
        <w:tc>
          <w:tcPr>
            <w:tcW w:w="539" w:type="pct"/>
            <w:tcBorders>
              <w:tl2br w:val="nil"/>
              <w:tr2bl w:val="nil"/>
            </w:tcBorders>
            <w:vAlign w:val="center"/>
          </w:tcPr>
          <w:p w14:paraId="496FC05C">
            <w:pPr>
              <w:widowControl/>
              <w:spacing w:line="240" w:lineRule="auto"/>
              <w:ind w:firstLine="0" w:firstLineChars="0"/>
              <w:jc w:val="center"/>
              <w:rPr>
                <w:color w:val="auto"/>
                <w:kern w:val="0"/>
                <w:sz w:val="21"/>
                <w:szCs w:val="21"/>
              </w:rPr>
            </w:pPr>
            <w:r>
              <w:rPr>
                <w:color w:val="auto"/>
                <w:kern w:val="0"/>
                <w:sz w:val="21"/>
                <w:szCs w:val="21"/>
              </w:rPr>
              <w:t>768m</w:t>
            </w:r>
            <w:r>
              <w:rPr>
                <w:color w:val="auto"/>
                <w:kern w:val="0"/>
                <w:sz w:val="21"/>
                <w:szCs w:val="21"/>
                <w:vertAlign w:val="superscript"/>
              </w:rPr>
              <w:t>2</w:t>
            </w:r>
          </w:p>
        </w:tc>
        <w:tc>
          <w:tcPr>
            <w:tcW w:w="539" w:type="pct"/>
            <w:tcBorders>
              <w:tl2br w:val="nil"/>
              <w:tr2bl w:val="nil"/>
            </w:tcBorders>
            <w:vAlign w:val="center"/>
          </w:tcPr>
          <w:p w14:paraId="5F33740B">
            <w:pPr>
              <w:widowControl/>
              <w:spacing w:line="240" w:lineRule="auto"/>
              <w:ind w:firstLine="0" w:firstLineChars="0"/>
              <w:jc w:val="center"/>
              <w:rPr>
                <w:color w:val="auto"/>
                <w:kern w:val="0"/>
                <w:sz w:val="21"/>
                <w:szCs w:val="21"/>
              </w:rPr>
            </w:pPr>
            <w:r>
              <w:rPr>
                <w:color w:val="auto"/>
                <w:kern w:val="0"/>
                <w:sz w:val="21"/>
                <w:szCs w:val="21"/>
              </w:rPr>
              <w:t>1368m</w:t>
            </w:r>
            <w:r>
              <w:rPr>
                <w:color w:val="auto"/>
                <w:kern w:val="0"/>
                <w:sz w:val="21"/>
                <w:szCs w:val="21"/>
                <w:vertAlign w:val="superscript"/>
              </w:rPr>
              <w:t>2</w:t>
            </w:r>
          </w:p>
        </w:tc>
        <w:tc>
          <w:tcPr>
            <w:tcW w:w="273" w:type="pct"/>
            <w:tcBorders>
              <w:tl2br w:val="nil"/>
              <w:tr2bl w:val="nil"/>
            </w:tcBorders>
            <w:vAlign w:val="center"/>
          </w:tcPr>
          <w:p w14:paraId="53F7B60B">
            <w:pPr>
              <w:widowControl/>
              <w:spacing w:line="240" w:lineRule="auto"/>
              <w:ind w:firstLine="0" w:firstLineChars="0"/>
              <w:jc w:val="center"/>
              <w:rPr>
                <w:color w:val="auto"/>
                <w:kern w:val="0"/>
                <w:sz w:val="21"/>
                <w:szCs w:val="21"/>
              </w:rPr>
            </w:pPr>
            <w:r>
              <w:rPr>
                <w:color w:val="auto"/>
                <w:kern w:val="0"/>
                <w:sz w:val="21"/>
                <w:szCs w:val="21"/>
              </w:rPr>
              <w:t>3层</w:t>
            </w:r>
          </w:p>
        </w:tc>
        <w:tc>
          <w:tcPr>
            <w:tcW w:w="2217" w:type="pct"/>
            <w:tcBorders>
              <w:tl2br w:val="nil"/>
              <w:tr2bl w:val="nil"/>
            </w:tcBorders>
            <w:vAlign w:val="center"/>
          </w:tcPr>
          <w:p w14:paraId="610F9AFC">
            <w:pPr>
              <w:widowControl/>
              <w:spacing w:line="240" w:lineRule="auto"/>
              <w:ind w:firstLine="0" w:firstLineChars="0"/>
              <w:jc w:val="center"/>
              <w:rPr>
                <w:color w:val="auto"/>
                <w:kern w:val="0"/>
                <w:sz w:val="21"/>
                <w:szCs w:val="21"/>
              </w:rPr>
            </w:pPr>
            <w:r>
              <w:rPr>
                <w:color w:val="auto"/>
                <w:kern w:val="0"/>
                <w:sz w:val="21"/>
                <w:szCs w:val="21"/>
              </w:rPr>
              <w:t>设置有苯肼生产线、厂区废水处理装置等</w:t>
            </w:r>
          </w:p>
        </w:tc>
        <w:tc>
          <w:tcPr>
            <w:tcW w:w="339" w:type="pct"/>
            <w:tcBorders>
              <w:tl2br w:val="nil"/>
              <w:tr2bl w:val="nil"/>
            </w:tcBorders>
            <w:vAlign w:val="center"/>
          </w:tcPr>
          <w:p w14:paraId="2EB9B154">
            <w:pPr>
              <w:widowControl/>
              <w:spacing w:line="240" w:lineRule="auto"/>
              <w:ind w:firstLine="0" w:firstLineChars="0"/>
              <w:jc w:val="center"/>
              <w:rPr>
                <w:color w:val="auto"/>
                <w:kern w:val="0"/>
                <w:sz w:val="21"/>
                <w:szCs w:val="21"/>
              </w:rPr>
            </w:pPr>
            <w:r>
              <w:rPr>
                <w:color w:val="auto"/>
                <w:kern w:val="0"/>
                <w:sz w:val="21"/>
                <w:szCs w:val="21"/>
              </w:rPr>
              <w:t>已建</w:t>
            </w:r>
          </w:p>
        </w:tc>
      </w:tr>
      <w:tr w14:paraId="5E4DF360">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250" w:type="pct"/>
            <w:tcBorders>
              <w:tl2br w:val="nil"/>
              <w:tr2bl w:val="nil"/>
            </w:tcBorders>
            <w:vAlign w:val="center"/>
          </w:tcPr>
          <w:p w14:paraId="10D89914">
            <w:pPr>
              <w:widowControl/>
              <w:spacing w:line="240" w:lineRule="auto"/>
              <w:ind w:firstLine="0" w:firstLineChars="0"/>
              <w:jc w:val="center"/>
              <w:rPr>
                <w:color w:val="auto"/>
                <w:kern w:val="0"/>
                <w:sz w:val="21"/>
                <w:szCs w:val="21"/>
              </w:rPr>
            </w:pPr>
            <w:r>
              <w:rPr>
                <w:color w:val="auto"/>
                <w:kern w:val="0"/>
                <w:sz w:val="21"/>
                <w:szCs w:val="21"/>
              </w:rPr>
              <w:t>6</w:t>
            </w:r>
          </w:p>
        </w:tc>
        <w:tc>
          <w:tcPr>
            <w:tcW w:w="838" w:type="pct"/>
            <w:tcBorders>
              <w:tl2br w:val="nil"/>
              <w:tr2bl w:val="nil"/>
            </w:tcBorders>
            <w:vAlign w:val="center"/>
          </w:tcPr>
          <w:p w14:paraId="60754C63">
            <w:pPr>
              <w:widowControl/>
              <w:spacing w:line="240" w:lineRule="auto"/>
              <w:ind w:firstLine="0" w:firstLineChars="0"/>
              <w:jc w:val="center"/>
              <w:rPr>
                <w:color w:val="auto"/>
                <w:kern w:val="0"/>
                <w:sz w:val="21"/>
                <w:szCs w:val="21"/>
              </w:rPr>
            </w:pPr>
            <w:r>
              <w:rPr>
                <w:color w:val="auto"/>
                <w:kern w:val="0"/>
                <w:sz w:val="21"/>
                <w:szCs w:val="21"/>
              </w:rPr>
              <w:t>环保车间二</w:t>
            </w:r>
          </w:p>
        </w:tc>
        <w:tc>
          <w:tcPr>
            <w:tcW w:w="539" w:type="pct"/>
            <w:tcBorders>
              <w:tl2br w:val="nil"/>
              <w:tr2bl w:val="nil"/>
            </w:tcBorders>
            <w:vAlign w:val="center"/>
          </w:tcPr>
          <w:p w14:paraId="0F004DAE">
            <w:pPr>
              <w:widowControl/>
              <w:spacing w:line="240" w:lineRule="auto"/>
              <w:ind w:firstLine="0" w:firstLineChars="0"/>
              <w:jc w:val="center"/>
              <w:rPr>
                <w:color w:val="auto"/>
                <w:kern w:val="0"/>
                <w:sz w:val="21"/>
                <w:szCs w:val="21"/>
              </w:rPr>
            </w:pPr>
            <w:r>
              <w:rPr>
                <w:color w:val="auto"/>
                <w:kern w:val="0"/>
                <w:sz w:val="21"/>
                <w:szCs w:val="21"/>
              </w:rPr>
              <w:t>432m</w:t>
            </w:r>
            <w:r>
              <w:rPr>
                <w:color w:val="auto"/>
                <w:kern w:val="0"/>
                <w:sz w:val="21"/>
                <w:szCs w:val="21"/>
                <w:vertAlign w:val="superscript"/>
              </w:rPr>
              <w:t>2</w:t>
            </w:r>
          </w:p>
        </w:tc>
        <w:tc>
          <w:tcPr>
            <w:tcW w:w="539" w:type="pct"/>
            <w:tcBorders>
              <w:tl2br w:val="nil"/>
              <w:tr2bl w:val="nil"/>
            </w:tcBorders>
            <w:vAlign w:val="center"/>
          </w:tcPr>
          <w:p w14:paraId="19B0CC47">
            <w:pPr>
              <w:widowControl/>
              <w:spacing w:line="240" w:lineRule="auto"/>
              <w:ind w:firstLine="0" w:firstLineChars="0"/>
              <w:jc w:val="center"/>
              <w:rPr>
                <w:color w:val="auto"/>
                <w:kern w:val="0"/>
                <w:sz w:val="21"/>
                <w:szCs w:val="21"/>
              </w:rPr>
            </w:pPr>
            <w:r>
              <w:rPr>
                <w:color w:val="auto"/>
                <w:kern w:val="0"/>
                <w:sz w:val="21"/>
                <w:szCs w:val="21"/>
              </w:rPr>
              <w:t>1584m</w:t>
            </w:r>
            <w:r>
              <w:rPr>
                <w:color w:val="auto"/>
                <w:kern w:val="0"/>
                <w:sz w:val="21"/>
                <w:szCs w:val="21"/>
                <w:vertAlign w:val="superscript"/>
              </w:rPr>
              <w:t>2</w:t>
            </w:r>
          </w:p>
        </w:tc>
        <w:tc>
          <w:tcPr>
            <w:tcW w:w="273" w:type="pct"/>
            <w:tcBorders>
              <w:tl2br w:val="nil"/>
              <w:tr2bl w:val="nil"/>
            </w:tcBorders>
            <w:vAlign w:val="center"/>
          </w:tcPr>
          <w:p w14:paraId="2E997EE2">
            <w:pPr>
              <w:widowControl/>
              <w:spacing w:line="240" w:lineRule="auto"/>
              <w:ind w:firstLine="0" w:firstLineChars="0"/>
              <w:jc w:val="center"/>
              <w:rPr>
                <w:color w:val="auto"/>
                <w:kern w:val="0"/>
                <w:sz w:val="21"/>
                <w:szCs w:val="21"/>
              </w:rPr>
            </w:pPr>
            <w:r>
              <w:rPr>
                <w:color w:val="auto"/>
                <w:kern w:val="0"/>
                <w:sz w:val="21"/>
                <w:szCs w:val="21"/>
              </w:rPr>
              <w:t>3层</w:t>
            </w:r>
          </w:p>
        </w:tc>
        <w:tc>
          <w:tcPr>
            <w:tcW w:w="2217" w:type="pct"/>
            <w:tcBorders>
              <w:tl2br w:val="nil"/>
              <w:tr2bl w:val="nil"/>
            </w:tcBorders>
            <w:vAlign w:val="center"/>
          </w:tcPr>
          <w:p w14:paraId="51A57BB1">
            <w:pPr>
              <w:widowControl/>
              <w:spacing w:line="240" w:lineRule="auto"/>
              <w:ind w:firstLine="0" w:firstLineChars="0"/>
              <w:jc w:val="center"/>
              <w:rPr>
                <w:color w:val="auto"/>
                <w:kern w:val="0"/>
                <w:sz w:val="21"/>
                <w:szCs w:val="21"/>
              </w:rPr>
            </w:pPr>
            <w:r>
              <w:rPr>
                <w:color w:val="auto"/>
                <w:kern w:val="0"/>
                <w:sz w:val="21"/>
                <w:szCs w:val="21"/>
              </w:rPr>
              <w:t>1#废水处理站，设置有废水脱氮装置等</w:t>
            </w:r>
          </w:p>
        </w:tc>
        <w:tc>
          <w:tcPr>
            <w:tcW w:w="339" w:type="pct"/>
            <w:tcBorders>
              <w:tl2br w:val="nil"/>
              <w:tr2bl w:val="nil"/>
            </w:tcBorders>
            <w:vAlign w:val="center"/>
          </w:tcPr>
          <w:p w14:paraId="54871C1A">
            <w:pPr>
              <w:widowControl/>
              <w:spacing w:line="240" w:lineRule="auto"/>
              <w:ind w:firstLine="0" w:firstLineChars="0"/>
              <w:jc w:val="center"/>
              <w:rPr>
                <w:color w:val="auto"/>
                <w:kern w:val="0"/>
                <w:sz w:val="21"/>
                <w:szCs w:val="21"/>
              </w:rPr>
            </w:pPr>
            <w:r>
              <w:rPr>
                <w:color w:val="auto"/>
                <w:kern w:val="0"/>
                <w:sz w:val="21"/>
                <w:szCs w:val="21"/>
              </w:rPr>
              <w:t>已建</w:t>
            </w:r>
          </w:p>
        </w:tc>
      </w:tr>
      <w:tr w14:paraId="2E898A68">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6F7E9339">
            <w:pPr>
              <w:widowControl/>
              <w:spacing w:line="240" w:lineRule="auto"/>
              <w:ind w:firstLine="0" w:firstLineChars="0"/>
              <w:jc w:val="center"/>
              <w:rPr>
                <w:color w:val="auto"/>
                <w:kern w:val="0"/>
                <w:sz w:val="21"/>
                <w:szCs w:val="21"/>
              </w:rPr>
            </w:pPr>
            <w:r>
              <w:rPr>
                <w:color w:val="auto"/>
                <w:kern w:val="0"/>
                <w:sz w:val="21"/>
                <w:szCs w:val="21"/>
              </w:rPr>
              <w:t>7</w:t>
            </w:r>
          </w:p>
        </w:tc>
        <w:tc>
          <w:tcPr>
            <w:tcW w:w="838" w:type="pct"/>
            <w:tcBorders>
              <w:tl2br w:val="nil"/>
              <w:tr2bl w:val="nil"/>
            </w:tcBorders>
            <w:vAlign w:val="center"/>
          </w:tcPr>
          <w:p w14:paraId="65E2DA61">
            <w:pPr>
              <w:widowControl/>
              <w:spacing w:line="240" w:lineRule="auto"/>
              <w:ind w:firstLine="0" w:firstLineChars="0"/>
              <w:jc w:val="center"/>
              <w:rPr>
                <w:color w:val="auto"/>
                <w:kern w:val="0"/>
                <w:sz w:val="21"/>
                <w:szCs w:val="21"/>
              </w:rPr>
            </w:pPr>
            <w:r>
              <w:rPr>
                <w:color w:val="auto"/>
                <w:kern w:val="0"/>
                <w:sz w:val="21"/>
                <w:szCs w:val="21"/>
              </w:rPr>
              <w:t>石膏车间</w:t>
            </w:r>
          </w:p>
        </w:tc>
        <w:tc>
          <w:tcPr>
            <w:tcW w:w="539" w:type="pct"/>
            <w:tcBorders>
              <w:tl2br w:val="nil"/>
              <w:tr2bl w:val="nil"/>
            </w:tcBorders>
            <w:vAlign w:val="center"/>
          </w:tcPr>
          <w:p w14:paraId="4AE0B200">
            <w:pPr>
              <w:widowControl/>
              <w:spacing w:line="240" w:lineRule="auto"/>
              <w:ind w:firstLine="0" w:firstLineChars="0"/>
              <w:jc w:val="center"/>
              <w:rPr>
                <w:color w:val="auto"/>
                <w:kern w:val="0"/>
                <w:sz w:val="21"/>
                <w:szCs w:val="21"/>
              </w:rPr>
            </w:pPr>
            <w:r>
              <w:rPr>
                <w:color w:val="auto"/>
                <w:kern w:val="0"/>
                <w:sz w:val="21"/>
                <w:szCs w:val="21"/>
              </w:rPr>
              <w:t>1697m</w:t>
            </w:r>
            <w:r>
              <w:rPr>
                <w:color w:val="auto"/>
                <w:kern w:val="0"/>
                <w:sz w:val="21"/>
                <w:szCs w:val="21"/>
                <w:vertAlign w:val="superscript"/>
              </w:rPr>
              <w:t>2</w:t>
            </w:r>
          </w:p>
        </w:tc>
        <w:tc>
          <w:tcPr>
            <w:tcW w:w="539" w:type="pct"/>
            <w:tcBorders>
              <w:tl2br w:val="nil"/>
              <w:tr2bl w:val="nil"/>
            </w:tcBorders>
            <w:vAlign w:val="center"/>
          </w:tcPr>
          <w:p w14:paraId="29198005">
            <w:pPr>
              <w:widowControl/>
              <w:spacing w:line="240" w:lineRule="auto"/>
              <w:ind w:firstLine="0" w:firstLineChars="0"/>
              <w:jc w:val="center"/>
              <w:rPr>
                <w:color w:val="auto"/>
                <w:kern w:val="0"/>
                <w:sz w:val="21"/>
                <w:szCs w:val="21"/>
              </w:rPr>
            </w:pPr>
            <w:r>
              <w:rPr>
                <w:color w:val="auto"/>
                <w:kern w:val="0"/>
                <w:sz w:val="21"/>
                <w:szCs w:val="21"/>
              </w:rPr>
              <w:t>8849m</w:t>
            </w:r>
            <w:r>
              <w:rPr>
                <w:color w:val="auto"/>
                <w:kern w:val="0"/>
                <w:sz w:val="21"/>
                <w:szCs w:val="21"/>
                <w:vertAlign w:val="superscript"/>
              </w:rPr>
              <w:t>2</w:t>
            </w:r>
          </w:p>
        </w:tc>
        <w:tc>
          <w:tcPr>
            <w:tcW w:w="273" w:type="pct"/>
            <w:tcBorders>
              <w:tl2br w:val="nil"/>
              <w:tr2bl w:val="nil"/>
            </w:tcBorders>
            <w:vAlign w:val="center"/>
          </w:tcPr>
          <w:p w14:paraId="5251075F">
            <w:pPr>
              <w:widowControl/>
              <w:spacing w:line="240" w:lineRule="auto"/>
              <w:ind w:firstLine="0" w:firstLineChars="0"/>
              <w:jc w:val="center"/>
              <w:rPr>
                <w:color w:val="auto"/>
                <w:kern w:val="0"/>
                <w:sz w:val="21"/>
                <w:szCs w:val="21"/>
              </w:rPr>
            </w:pPr>
            <w:r>
              <w:rPr>
                <w:color w:val="auto"/>
                <w:kern w:val="0"/>
                <w:sz w:val="21"/>
                <w:szCs w:val="21"/>
              </w:rPr>
              <w:t>5层</w:t>
            </w:r>
          </w:p>
        </w:tc>
        <w:tc>
          <w:tcPr>
            <w:tcW w:w="2217" w:type="pct"/>
            <w:tcBorders>
              <w:tl2br w:val="nil"/>
              <w:tr2bl w:val="nil"/>
            </w:tcBorders>
            <w:vAlign w:val="center"/>
          </w:tcPr>
          <w:p w14:paraId="0994B343">
            <w:pPr>
              <w:widowControl/>
              <w:spacing w:line="240" w:lineRule="auto"/>
              <w:ind w:firstLine="0" w:firstLineChars="0"/>
              <w:jc w:val="center"/>
              <w:rPr>
                <w:color w:val="auto"/>
                <w:kern w:val="0"/>
                <w:sz w:val="21"/>
                <w:szCs w:val="21"/>
              </w:rPr>
            </w:pPr>
            <w:r>
              <w:rPr>
                <w:color w:val="auto"/>
                <w:kern w:val="0"/>
                <w:sz w:val="21"/>
                <w:szCs w:val="21"/>
              </w:rPr>
              <w:t>生产石膏及副产盐</w:t>
            </w:r>
          </w:p>
        </w:tc>
        <w:tc>
          <w:tcPr>
            <w:tcW w:w="339" w:type="pct"/>
            <w:tcBorders>
              <w:tl2br w:val="nil"/>
              <w:tr2bl w:val="nil"/>
            </w:tcBorders>
            <w:vAlign w:val="center"/>
          </w:tcPr>
          <w:p w14:paraId="28ADCC76">
            <w:pPr>
              <w:widowControl/>
              <w:spacing w:line="240" w:lineRule="auto"/>
              <w:ind w:firstLine="0" w:firstLineChars="0"/>
              <w:jc w:val="center"/>
              <w:rPr>
                <w:color w:val="auto"/>
                <w:kern w:val="0"/>
                <w:sz w:val="21"/>
                <w:szCs w:val="21"/>
              </w:rPr>
            </w:pPr>
            <w:r>
              <w:rPr>
                <w:color w:val="auto"/>
                <w:kern w:val="0"/>
                <w:sz w:val="21"/>
                <w:szCs w:val="21"/>
              </w:rPr>
              <w:t>已建</w:t>
            </w:r>
          </w:p>
        </w:tc>
      </w:tr>
      <w:tr w14:paraId="33872570">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6D8F92D1">
            <w:pPr>
              <w:widowControl/>
              <w:spacing w:line="240" w:lineRule="auto"/>
              <w:ind w:firstLine="0" w:firstLineChars="0"/>
              <w:jc w:val="center"/>
              <w:rPr>
                <w:color w:val="auto"/>
                <w:kern w:val="0"/>
                <w:sz w:val="21"/>
                <w:szCs w:val="21"/>
              </w:rPr>
            </w:pPr>
            <w:r>
              <w:rPr>
                <w:color w:val="auto"/>
                <w:kern w:val="0"/>
                <w:sz w:val="21"/>
                <w:szCs w:val="21"/>
              </w:rPr>
              <w:t>8</w:t>
            </w:r>
          </w:p>
        </w:tc>
        <w:tc>
          <w:tcPr>
            <w:tcW w:w="838" w:type="pct"/>
            <w:tcBorders>
              <w:tl2br w:val="nil"/>
              <w:tr2bl w:val="nil"/>
            </w:tcBorders>
            <w:vAlign w:val="center"/>
          </w:tcPr>
          <w:p w14:paraId="3800505D">
            <w:pPr>
              <w:widowControl/>
              <w:spacing w:line="240" w:lineRule="auto"/>
              <w:ind w:firstLine="0" w:firstLineChars="0"/>
              <w:jc w:val="center"/>
              <w:rPr>
                <w:color w:val="auto"/>
                <w:kern w:val="0"/>
                <w:sz w:val="21"/>
                <w:szCs w:val="21"/>
              </w:rPr>
            </w:pPr>
            <w:r>
              <w:rPr>
                <w:color w:val="auto"/>
                <w:kern w:val="0"/>
                <w:sz w:val="21"/>
                <w:szCs w:val="21"/>
              </w:rPr>
              <w:t>氨水配制区</w:t>
            </w:r>
          </w:p>
        </w:tc>
        <w:tc>
          <w:tcPr>
            <w:tcW w:w="539" w:type="pct"/>
            <w:tcBorders>
              <w:tl2br w:val="nil"/>
              <w:tr2bl w:val="nil"/>
            </w:tcBorders>
            <w:vAlign w:val="center"/>
          </w:tcPr>
          <w:p w14:paraId="7F17E41C">
            <w:pPr>
              <w:widowControl/>
              <w:spacing w:line="240" w:lineRule="auto"/>
              <w:ind w:firstLine="0" w:firstLineChars="0"/>
              <w:jc w:val="center"/>
              <w:rPr>
                <w:color w:val="auto"/>
                <w:kern w:val="0"/>
                <w:sz w:val="21"/>
                <w:szCs w:val="21"/>
              </w:rPr>
            </w:pPr>
            <w:r>
              <w:rPr>
                <w:color w:val="auto"/>
                <w:kern w:val="0"/>
                <w:sz w:val="21"/>
                <w:szCs w:val="21"/>
              </w:rPr>
              <w:t>261m</w:t>
            </w:r>
            <w:r>
              <w:rPr>
                <w:color w:val="auto"/>
                <w:kern w:val="0"/>
                <w:sz w:val="21"/>
                <w:szCs w:val="21"/>
                <w:vertAlign w:val="superscript"/>
              </w:rPr>
              <w:t>2</w:t>
            </w:r>
          </w:p>
        </w:tc>
        <w:tc>
          <w:tcPr>
            <w:tcW w:w="539" w:type="pct"/>
            <w:tcBorders>
              <w:tl2br w:val="nil"/>
              <w:tr2bl w:val="nil"/>
            </w:tcBorders>
            <w:vAlign w:val="center"/>
          </w:tcPr>
          <w:p w14:paraId="52970EB1">
            <w:pPr>
              <w:widowControl/>
              <w:spacing w:line="240" w:lineRule="auto"/>
              <w:ind w:firstLine="0" w:firstLineChars="0"/>
              <w:jc w:val="center"/>
              <w:rPr>
                <w:color w:val="auto"/>
                <w:kern w:val="0"/>
                <w:sz w:val="21"/>
                <w:szCs w:val="21"/>
              </w:rPr>
            </w:pPr>
            <w:r>
              <w:rPr>
                <w:color w:val="auto"/>
                <w:kern w:val="0"/>
                <w:sz w:val="21"/>
                <w:szCs w:val="21"/>
              </w:rPr>
              <w:t>196m</w:t>
            </w:r>
            <w:r>
              <w:rPr>
                <w:color w:val="auto"/>
                <w:kern w:val="0"/>
                <w:sz w:val="21"/>
                <w:szCs w:val="21"/>
                <w:vertAlign w:val="superscript"/>
              </w:rPr>
              <w:t>2</w:t>
            </w:r>
          </w:p>
        </w:tc>
        <w:tc>
          <w:tcPr>
            <w:tcW w:w="273" w:type="pct"/>
            <w:tcBorders>
              <w:tl2br w:val="nil"/>
              <w:tr2bl w:val="nil"/>
            </w:tcBorders>
            <w:vAlign w:val="center"/>
          </w:tcPr>
          <w:p w14:paraId="081B7458">
            <w:pPr>
              <w:widowControl/>
              <w:spacing w:line="240" w:lineRule="auto"/>
              <w:ind w:firstLine="0" w:firstLineChars="0"/>
              <w:jc w:val="center"/>
              <w:rPr>
                <w:color w:val="auto"/>
                <w:kern w:val="0"/>
                <w:sz w:val="21"/>
                <w:szCs w:val="21"/>
              </w:rPr>
            </w:pPr>
            <w:r>
              <w:rPr>
                <w:color w:val="auto"/>
                <w:kern w:val="0"/>
                <w:sz w:val="21"/>
                <w:szCs w:val="21"/>
              </w:rPr>
              <w:t>1层</w:t>
            </w:r>
          </w:p>
        </w:tc>
        <w:tc>
          <w:tcPr>
            <w:tcW w:w="2217" w:type="pct"/>
            <w:tcBorders>
              <w:tl2br w:val="nil"/>
              <w:tr2bl w:val="nil"/>
            </w:tcBorders>
            <w:vAlign w:val="center"/>
          </w:tcPr>
          <w:p w14:paraId="204B17DB">
            <w:pPr>
              <w:widowControl/>
              <w:spacing w:line="240" w:lineRule="auto"/>
              <w:ind w:firstLine="0" w:firstLineChars="0"/>
              <w:jc w:val="center"/>
              <w:rPr>
                <w:color w:val="auto"/>
                <w:kern w:val="0"/>
                <w:sz w:val="21"/>
                <w:szCs w:val="21"/>
              </w:rPr>
            </w:pPr>
            <w:r>
              <w:rPr>
                <w:color w:val="auto"/>
                <w:kern w:val="0"/>
                <w:sz w:val="21"/>
                <w:szCs w:val="21"/>
              </w:rPr>
              <w:t>用于生产所需的氨水制备</w:t>
            </w:r>
          </w:p>
        </w:tc>
        <w:tc>
          <w:tcPr>
            <w:tcW w:w="339" w:type="pct"/>
            <w:tcBorders>
              <w:tl2br w:val="nil"/>
              <w:tr2bl w:val="nil"/>
            </w:tcBorders>
            <w:vAlign w:val="center"/>
          </w:tcPr>
          <w:p w14:paraId="7BDEF5C3">
            <w:pPr>
              <w:widowControl/>
              <w:spacing w:line="240" w:lineRule="auto"/>
              <w:ind w:firstLine="0" w:firstLineChars="0"/>
              <w:jc w:val="center"/>
              <w:rPr>
                <w:color w:val="auto"/>
                <w:kern w:val="0"/>
                <w:sz w:val="21"/>
                <w:szCs w:val="21"/>
              </w:rPr>
            </w:pPr>
            <w:r>
              <w:rPr>
                <w:color w:val="auto"/>
                <w:kern w:val="0"/>
                <w:sz w:val="21"/>
                <w:szCs w:val="21"/>
              </w:rPr>
              <w:t>已建</w:t>
            </w:r>
          </w:p>
        </w:tc>
      </w:tr>
      <w:tr w14:paraId="4617B2F0">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62B40D3B">
            <w:pPr>
              <w:widowControl/>
              <w:spacing w:line="240" w:lineRule="auto"/>
              <w:ind w:firstLine="0" w:firstLineChars="0"/>
              <w:jc w:val="center"/>
              <w:rPr>
                <w:color w:val="auto"/>
                <w:kern w:val="0"/>
                <w:sz w:val="21"/>
                <w:szCs w:val="21"/>
              </w:rPr>
            </w:pPr>
            <w:r>
              <w:rPr>
                <w:color w:val="auto"/>
                <w:kern w:val="0"/>
                <w:sz w:val="21"/>
                <w:szCs w:val="21"/>
              </w:rPr>
              <w:t>9</w:t>
            </w:r>
          </w:p>
        </w:tc>
        <w:tc>
          <w:tcPr>
            <w:tcW w:w="838" w:type="pct"/>
            <w:tcBorders>
              <w:tl2br w:val="nil"/>
              <w:tr2bl w:val="nil"/>
            </w:tcBorders>
            <w:vAlign w:val="center"/>
          </w:tcPr>
          <w:p w14:paraId="306C7E94">
            <w:pPr>
              <w:widowControl/>
              <w:spacing w:line="240" w:lineRule="auto"/>
              <w:ind w:firstLine="0" w:firstLineChars="0"/>
              <w:jc w:val="center"/>
              <w:rPr>
                <w:color w:val="auto"/>
                <w:kern w:val="0"/>
                <w:sz w:val="21"/>
                <w:szCs w:val="21"/>
              </w:rPr>
            </w:pPr>
            <w:r>
              <w:rPr>
                <w:color w:val="auto"/>
                <w:kern w:val="0"/>
                <w:sz w:val="21"/>
                <w:szCs w:val="21"/>
              </w:rPr>
              <w:t>制冷间</w:t>
            </w:r>
          </w:p>
        </w:tc>
        <w:tc>
          <w:tcPr>
            <w:tcW w:w="539" w:type="pct"/>
            <w:tcBorders>
              <w:tl2br w:val="nil"/>
              <w:tr2bl w:val="nil"/>
            </w:tcBorders>
            <w:vAlign w:val="center"/>
          </w:tcPr>
          <w:p w14:paraId="4D40CE0E">
            <w:pPr>
              <w:widowControl/>
              <w:spacing w:line="240" w:lineRule="auto"/>
              <w:ind w:firstLine="0" w:firstLineChars="0"/>
              <w:jc w:val="center"/>
              <w:rPr>
                <w:color w:val="auto"/>
                <w:kern w:val="0"/>
                <w:sz w:val="21"/>
                <w:szCs w:val="21"/>
              </w:rPr>
            </w:pPr>
            <w:r>
              <w:rPr>
                <w:color w:val="auto"/>
                <w:kern w:val="0"/>
                <w:sz w:val="21"/>
                <w:szCs w:val="21"/>
              </w:rPr>
              <w:t>399m</w:t>
            </w:r>
            <w:r>
              <w:rPr>
                <w:color w:val="auto"/>
                <w:kern w:val="0"/>
                <w:sz w:val="21"/>
                <w:szCs w:val="21"/>
                <w:vertAlign w:val="superscript"/>
              </w:rPr>
              <w:t>2</w:t>
            </w:r>
          </w:p>
        </w:tc>
        <w:tc>
          <w:tcPr>
            <w:tcW w:w="539" w:type="pct"/>
            <w:tcBorders>
              <w:tl2br w:val="nil"/>
              <w:tr2bl w:val="nil"/>
            </w:tcBorders>
            <w:vAlign w:val="center"/>
          </w:tcPr>
          <w:p w14:paraId="4A2DC434">
            <w:pPr>
              <w:widowControl/>
              <w:spacing w:line="240" w:lineRule="auto"/>
              <w:ind w:firstLine="0" w:firstLineChars="0"/>
              <w:jc w:val="center"/>
              <w:rPr>
                <w:color w:val="auto"/>
                <w:kern w:val="0"/>
                <w:sz w:val="21"/>
                <w:szCs w:val="21"/>
              </w:rPr>
            </w:pPr>
            <w:r>
              <w:rPr>
                <w:color w:val="auto"/>
                <w:kern w:val="0"/>
                <w:sz w:val="21"/>
                <w:szCs w:val="21"/>
              </w:rPr>
              <w:t>501m</w:t>
            </w:r>
            <w:r>
              <w:rPr>
                <w:color w:val="auto"/>
                <w:kern w:val="0"/>
                <w:sz w:val="21"/>
                <w:szCs w:val="21"/>
                <w:vertAlign w:val="superscript"/>
              </w:rPr>
              <w:t>2</w:t>
            </w:r>
          </w:p>
        </w:tc>
        <w:tc>
          <w:tcPr>
            <w:tcW w:w="273" w:type="pct"/>
            <w:tcBorders>
              <w:tl2br w:val="nil"/>
              <w:tr2bl w:val="nil"/>
            </w:tcBorders>
            <w:vAlign w:val="center"/>
          </w:tcPr>
          <w:p w14:paraId="58CCE5EA">
            <w:pPr>
              <w:widowControl/>
              <w:spacing w:line="240" w:lineRule="auto"/>
              <w:ind w:firstLine="0" w:firstLineChars="0"/>
              <w:jc w:val="center"/>
              <w:rPr>
                <w:color w:val="auto"/>
                <w:kern w:val="0"/>
                <w:sz w:val="21"/>
                <w:szCs w:val="21"/>
              </w:rPr>
            </w:pPr>
            <w:r>
              <w:rPr>
                <w:color w:val="auto"/>
                <w:kern w:val="0"/>
                <w:sz w:val="21"/>
                <w:szCs w:val="21"/>
              </w:rPr>
              <w:t>2层</w:t>
            </w:r>
          </w:p>
        </w:tc>
        <w:tc>
          <w:tcPr>
            <w:tcW w:w="2217" w:type="pct"/>
            <w:tcBorders>
              <w:tl2br w:val="nil"/>
              <w:tr2bl w:val="nil"/>
            </w:tcBorders>
            <w:vAlign w:val="center"/>
          </w:tcPr>
          <w:p w14:paraId="479D38D8">
            <w:pPr>
              <w:widowControl/>
              <w:spacing w:line="240" w:lineRule="auto"/>
              <w:ind w:firstLine="0" w:firstLineChars="0"/>
              <w:jc w:val="center"/>
              <w:rPr>
                <w:color w:val="auto"/>
                <w:kern w:val="0"/>
                <w:sz w:val="21"/>
                <w:szCs w:val="21"/>
              </w:rPr>
            </w:pPr>
            <w:r>
              <w:rPr>
                <w:color w:val="auto"/>
                <w:kern w:val="0"/>
                <w:sz w:val="21"/>
                <w:szCs w:val="21"/>
              </w:rPr>
              <w:t>设置3台冷冻机组，供给全厂冷源</w:t>
            </w:r>
          </w:p>
        </w:tc>
        <w:tc>
          <w:tcPr>
            <w:tcW w:w="339" w:type="pct"/>
            <w:tcBorders>
              <w:tl2br w:val="nil"/>
              <w:tr2bl w:val="nil"/>
            </w:tcBorders>
            <w:vAlign w:val="center"/>
          </w:tcPr>
          <w:p w14:paraId="759A9374">
            <w:pPr>
              <w:widowControl/>
              <w:spacing w:line="240" w:lineRule="auto"/>
              <w:ind w:firstLine="0" w:firstLineChars="0"/>
              <w:jc w:val="center"/>
              <w:rPr>
                <w:color w:val="auto"/>
                <w:kern w:val="0"/>
                <w:sz w:val="21"/>
                <w:szCs w:val="21"/>
              </w:rPr>
            </w:pPr>
            <w:r>
              <w:rPr>
                <w:color w:val="auto"/>
                <w:kern w:val="0"/>
                <w:sz w:val="21"/>
                <w:szCs w:val="21"/>
              </w:rPr>
              <w:t>已建</w:t>
            </w:r>
          </w:p>
        </w:tc>
      </w:tr>
      <w:tr w14:paraId="47FA3F38">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16388D50">
            <w:pPr>
              <w:widowControl/>
              <w:spacing w:line="240" w:lineRule="auto"/>
              <w:ind w:firstLine="0" w:firstLineChars="0"/>
              <w:jc w:val="center"/>
              <w:rPr>
                <w:color w:val="auto"/>
                <w:kern w:val="0"/>
                <w:sz w:val="21"/>
                <w:szCs w:val="21"/>
              </w:rPr>
            </w:pPr>
            <w:r>
              <w:rPr>
                <w:color w:val="auto"/>
                <w:kern w:val="0"/>
                <w:sz w:val="21"/>
                <w:szCs w:val="21"/>
              </w:rPr>
              <w:t>10</w:t>
            </w:r>
          </w:p>
        </w:tc>
        <w:tc>
          <w:tcPr>
            <w:tcW w:w="838" w:type="pct"/>
            <w:tcBorders>
              <w:tl2br w:val="nil"/>
              <w:tr2bl w:val="nil"/>
            </w:tcBorders>
            <w:vAlign w:val="center"/>
          </w:tcPr>
          <w:p w14:paraId="1291EDAA">
            <w:pPr>
              <w:widowControl/>
              <w:spacing w:line="240" w:lineRule="auto"/>
              <w:ind w:firstLine="0" w:firstLineChars="0"/>
              <w:jc w:val="center"/>
              <w:rPr>
                <w:color w:val="auto"/>
                <w:kern w:val="0"/>
                <w:sz w:val="21"/>
                <w:szCs w:val="21"/>
              </w:rPr>
            </w:pPr>
            <w:r>
              <w:rPr>
                <w:color w:val="auto"/>
                <w:kern w:val="0"/>
                <w:sz w:val="21"/>
                <w:szCs w:val="21"/>
              </w:rPr>
              <w:t>机修车间</w:t>
            </w:r>
          </w:p>
        </w:tc>
        <w:tc>
          <w:tcPr>
            <w:tcW w:w="539" w:type="pct"/>
            <w:tcBorders>
              <w:tl2br w:val="nil"/>
              <w:tr2bl w:val="nil"/>
            </w:tcBorders>
            <w:vAlign w:val="center"/>
          </w:tcPr>
          <w:p w14:paraId="03573DB2">
            <w:pPr>
              <w:widowControl/>
              <w:spacing w:line="240" w:lineRule="auto"/>
              <w:ind w:firstLine="0" w:firstLineChars="0"/>
              <w:jc w:val="center"/>
              <w:rPr>
                <w:color w:val="auto"/>
                <w:kern w:val="0"/>
                <w:sz w:val="21"/>
                <w:szCs w:val="21"/>
              </w:rPr>
            </w:pPr>
            <w:r>
              <w:rPr>
                <w:color w:val="auto"/>
                <w:kern w:val="0"/>
                <w:sz w:val="21"/>
                <w:szCs w:val="21"/>
              </w:rPr>
              <w:t>1064m</w:t>
            </w:r>
            <w:r>
              <w:rPr>
                <w:color w:val="auto"/>
                <w:kern w:val="0"/>
                <w:sz w:val="21"/>
                <w:szCs w:val="21"/>
                <w:vertAlign w:val="superscript"/>
              </w:rPr>
              <w:t>2</w:t>
            </w:r>
          </w:p>
        </w:tc>
        <w:tc>
          <w:tcPr>
            <w:tcW w:w="539" w:type="pct"/>
            <w:tcBorders>
              <w:tl2br w:val="nil"/>
              <w:tr2bl w:val="nil"/>
            </w:tcBorders>
            <w:vAlign w:val="center"/>
          </w:tcPr>
          <w:p w14:paraId="44E68C36">
            <w:pPr>
              <w:widowControl/>
              <w:spacing w:line="240" w:lineRule="auto"/>
              <w:ind w:firstLine="0" w:firstLineChars="0"/>
              <w:jc w:val="center"/>
              <w:rPr>
                <w:color w:val="auto"/>
                <w:kern w:val="0"/>
                <w:sz w:val="21"/>
                <w:szCs w:val="21"/>
              </w:rPr>
            </w:pPr>
            <w:r>
              <w:rPr>
                <w:color w:val="auto"/>
                <w:kern w:val="0"/>
                <w:sz w:val="21"/>
                <w:szCs w:val="21"/>
              </w:rPr>
              <w:t>2947m</w:t>
            </w:r>
            <w:r>
              <w:rPr>
                <w:color w:val="auto"/>
                <w:kern w:val="0"/>
                <w:sz w:val="21"/>
                <w:szCs w:val="21"/>
                <w:vertAlign w:val="superscript"/>
              </w:rPr>
              <w:t>2</w:t>
            </w:r>
          </w:p>
        </w:tc>
        <w:tc>
          <w:tcPr>
            <w:tcW w:w="273" w:type="pct"/>
            <w:tcBorders>
              <w:tl2br w:val="nil"/>
              <w:tr2bl w:val="nil"/>
            </w:tcBorders>
            <w:vAlign w:val="center"/>
          </w:tcPr>
          <w:p w14:paraId="5B9DD672">
            <w:pPr>
              <w:widowControl/>
              <w:spacing w:line="240" w:lineRule="auto"/>
              <w:ind w:firstLine="0" w:firstLineChars="0"/>
              <w:jc w:val="center"/>
              <w:rPr>
                <w:color w:val="auto"/>
                <w:kern w:val="0"/>
                <w:sz w:val="21"/>
                <w:szCs w:val="21"/>
              </w:rPr>
            </w:pPr>
            <w:r>
              <w:rPr>
                <w:color w:val="auto"/>
                <w:kern w:val="0"/>
                <w:sz w:val="21"/>
                <w:szCs w:val="21"/>
              </w:rPr>
              <w:t>3层</w:t>
            </w:r>
          </w:p>
        </w:tc>
        <w:tc>
          <w:tcPr>
            <w:tcW w:w="2217" w:type="pct"/>
            <w:tcBorders>
              <w:tl2br w:val="nil"/>
              <w:tr2bl w:val="nil"/>
            </w:tcBorders>
            <w:vAlign w:val="center"/>
          </w:tcPr>
          <w:p w14:paraId="5138C3A8">
            <w:pPr>
              <w:widowControl/>
              <w:spacing w:line="240" w:lineRule="auto"/>
              <w:ind w:firstLine="0" w:firstLineChars="0"/>
              <w:jc w:val="center"/>
              <w:rPr>
                <w:color w:val="auto"/>
                <w:kern w:val="0"/>
                <w:sz w:val="21"/>
                <w:szCs w:val="21"/>
              </w:rPr>
            </w:pPr>
            <w:r>
              <w:rPr>
                <w:color w:val="auto"/>
                <w:kern w:val="0"/>
                <w:sz w:val="21"/>
                <w:szCs w:val="21"/>
              </w:rPr>
              <w:t>用于厂区内设备等维修场所</w:t>
            </w:r>
          </w:p>
        </w:tc>
        <w:tc>
          <w:tcPr>
            <w:tcW w:w="339" w:type="pct"/>
            <w:tcBorders>
              <w:tl2br w:val="nil"/>
              <w:tr2bl w:val="nil"/>
            </w:tcBorders>
            <w:vAlign w:val="center"/>
          </w:tcPr>
          <w:p w14:paraId="09B6E19F">
            <w:pPr>
              <w:widowControl/>
              <w:spacing w:line="240" w:lineRule="auto"/>
              <w:ind w:firstLine="0" w:firstLineChars="0"/>
              <w:jc w:val="center"/>
              <w:rPr>
                <w:color w:val="auto"/>
                <w:kern w:val="0"/>
                <w:sz w:val="21"/>
                <w:szCs w:val="21"/>
              </w:rPr>
            </w:pPr>
            <w:r>
              <w:rPr>
                <w:color w:val="auto"/>
                <w:kern w:val="0"/>
                <w:sz w:val="21"/>
                <w:szCs w:val="21"/>
              </w:rPr>
              <w:t>已建</w:t>
            </w:r>
          </w:p>
        </w:tc>
      </w:tr>
      <w:tr w14:paraId="7FFD4B9A">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6658127F">
            <w:pPr>
              <w:widowControl/>
              <w:spacing w:line="240" w:lineRule="auto"/>
              <w:ind w:firstLine="0" w:firstLineChars="0"/>
              <w:jc w:val="center"/>
              <w:rPr>
                <w:color w:val="auto"/>
                <w:kern w:val="0"/>
                <w:sz w:val="21"/>
                <w:szCs w:val="21"/>
              </w:rPr>
            </w:pPr>
            <w:r>
              <w:rPr>
                <w:color w:val="auto"/>
                <w:kern w:val="0"/>
                <w:sz w:val="21"/>
                <w:szCs w:val="21"/>
              </w:rPr>
              <w:t>11</w:t>
            </w:r>
          </w:p>
        </w:tc>
        <w:tc>
          <w:tcPr>
            <w:tcW w:w="838" w:type="pct"/>
            <w:tcBorders>
              <w:tl2br w:val="nil"/>
              <w:tr2bl w:val="nil"/>
            </w:tcBorders>
            <w:vAlign w:val="center"/>
          </w:tcPr>
          <w:p w14:paraId="5BCA7318">
            <w:pPr>
              <w:widowControl/>
              <w:spacing w:line="240" w:lineRule="auto"/>
              <w:ind w:firstLine="0" w:firstLineChars="0"/>
              <w:jc w:val="center"/>
              <w:rPr>
                <w:color w:val="auto"/>
                <w:kern w:val="0"/>
                <w:sz w:val="21"/>
                <w:szCs w:val="21"/>
              </w:rPr>
            </w:pPr>
            <w:r>
              <w:rPr>
                <w:color w:val="auto"/>
                <w:kern w:val="0"/>
                <w:sz w:val="21"/>
                <w:szCs w:val="21"/>
              </w:rPr>
              <w:t>办公楼</w:t>
            </w:r>
          </w:p>
        </w:tc>
        <w:tc>
          <w:tcPr>
            <w:tcW w:w="539" w:type="pct"/>
            <w:tcBorders>
              <w:tl2br w:val="nil"/>
              <w:tr2bl w:val="nil"/>
            </w:tcBorders>
            <w:vAlign w:val="center"/>
          </w:tcPr>
          <w:p w14:paraId="00AE3B36">
            <w:pPr>
              <w:widowControl/>
              <w:spacing w:line="240" w:lineRule="auto"/>
              <w:ind w:firstLine="0" w:firstLineChars="0"/>
              <w:jc w:val="center"/>
              <w:rPr>
                <w:color w:val="auto"/>
                <w:kern w:val="0"/>
                <w:sz w:val="21"/>
                <w:szCs w:val="21"/>
              </w:rPr>
            </w:pPr>
            <w:r>
              <w:rPr>
                <w:color w:val="auto"/>
                <w:kern w:val="0"/>
                <w:sz w:val="21"/>
                <w:szCs w:val="21"/>
              </w:rPr>
              <w:t>250m</w:t>
            </w:r>
            <w:r>
              <w:rPr>
                <w:color w:val="auto"/>
                <w:kern w:val="0"/>
                <w:sz w:val="21"/>
                <w:szCs w:val="21"/>
                <w:vertAlign w:val="superscript"/>
              </w:rPr>
              <w:t>2</w:t>
            </w:r>
          </w:p>
        </w:tc>
        <w:tc>
          <w:tcPr>
            <w:tcW w:w="539" w:type="pct"/>
            <w:tcBorders>
              <w:tl2br w:val="nil"/>
              <w:tr2bl w:val="nil"/>
            </w:tcBorders>
            <w:vAlign w:val="center"/>
          </w:tcPr>
          <w:p w14:paraId="372231C7">
            <w:pPr>
              <w:widowControl/>
              <w:spacing w:line="240" w:lineRule="auto"/>
              <w:ind w:firstLine="0" w:firstLineChars="0"/>
              <w:jc w:val="center"/>
              <w:rPr>
                <w:color w:val="auto"/>
                <w:kern w:val="0"/>
                <w:sz w:val="21"/>
                <w:szCs w:val="21"/>
              </w:rPr>
            </w:pPr>
            <w:r>
              <w:rPr>
                <w:color w:val="auto"/>
                <w:kern w:val="0"/>
                <w:sz w:val="21"/>
                <w:szCs w:val="21"/>
              </w:rPr>
              <w:t>750m</w:t>
            </w:r>
            <w:r>
              <w:rPr>
                <w:color w:val="auto"/>
                <w:kern w:val="0"/>
                <w:sz w:val="21"/>
                <w:szCs w:val="21"/>
                <w:vertAlign w:val="superscript"/>
              </w:rPr>
              <w:t>2</w:t>
            </w:r>
          </w:p>
        </w:tc>
        <w:tc>
          <w:tcPr>
            <w:tcW w:w="273" w:type="pct"/>
            <w:tcBorders>
              <w:tl2br w:val="nil"/>
              <w:tr2bl w:val="nil"/>
            </w:tcBorders>
            <w:vAlign w:val="center"/>
          </w:tcPr>
          <w:p w14:paraId="35DC6ABF">
            <w:pPr>
              <w:widowControl/>
              <w:spacing w:line="240" w:lineRule="auto"/>
              <w:ind w:firstLine="0" w:firstLineChars="0"/>
              <w:jc w:val="center"/>
              <w:rPr>
                <w:color w:val="auto"/>
                <w:kern w:val="0"/>
                <w:sz w:val="21"/>
                <w:szCs w:val="21"/>
              </w:rPr>
            </w:pPr>
            <w:r>
              <w:rPr>
                <w:color w:val="auto"/>
                <w:kern w:val="0"/>
                <w:sz w:val="21"/>
                <w:szCs w:val="21"/>
              </w:rPr>
              <w:t>3层</w:t>
            </w:r>
          </w:p>
        </w:tc>
        <w:tc>
          <w:tcPr>
            <w:tcW w:w="2217" w:type="pct"/>
            <w:tcBorders>
              <w:tl2br w:val="nil"/>
              <w:tr2bl w:val="nil"/>
            </w:tcBorders>
            <w:vAlign w:val="center"/>
          </w:tcPr>
          <w:p w14:paraId="63F80351">
            <w:pPr>
              <w:widowControl/>
              <w:spacing w:line="240" w:lineRule="auto"/>
              <w:ind w:firstLine="0" w:firstLineChars="0"/>
              <w:jc w:val="center"/>
              <w:rPr>
                <w:color w:val="auto"/>
                <w:kern w:val="0"/>
                <w:sz w:val="21"/>
                <w:szCs w:val="21"/>
              </w:rPr>
            </w:pPr>
            <w:r>
              <w:rPr>
                <w:color w:val="auto"/>
                <w:kern w:val="0"/>
                <w:sz w:val="21"/>
                <w:szCs w:val="21"/>
              </w:rPr>
              <w:t>日常办公</w:t>
            </w:r>
          </w:p>
        </w:tc>
        <w:tc>
          <w:tcPr>
            <w:tcW w:w="339" w:type="pct"/>
            <w:tcBorders>
              <w:tl2br w:val="nil"/>
              <w:tr2bl w:val="nil"/>
            </w:tcBorders>
            <w:vAlign w:val="center"/>
          </w:tcPr>
          <w:p w14:paraId="3CA423C7">
            <w:pPr>
              <w:widowControl/>
              <w:spacing w:line="240" w:lineRule="auto"/>
              <w:ind w:firstLine="0" w:firstLineChars="0"/>
              <w:jc w:val="center"/>
              <w:rPr>
                <w:color w:val="auto"/>
                <w:kern w:val="0"/>
                <w:sz w:val="21"/>
                <w:szCs w:val="21"/>
              </w:rPr>
            </w:pPr>
            <w:r>
              <w:rPr>
                <w:color w:val="auto"/>
                <w:kern w:val="0"/>
                <w:sz w:val="21"/>
                <w:szCs w:val="21"/>
              </w:rPr>
              <w:t>已建</w:t>
            </w:r>
          </w:p>
        </w:tc>
      </w:tr>
      <w:tr w14:paraId="6AEAF049">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334A49A2">
            <w:pPr>
              <w:widowControl/>
              <w:spacing w:line="240" w:lineRule="auto"/>
              <w:ind w:firstLine="0" w:firstLineChars="0"/>
              <w:jc w:val="center"/>
              <w:rPr>
                <w:color w:val="auto"/>
                <w:kern w:val="0"/>
                <w:sz w:val="21"/>
                <w:szCs w:val="21"/>
              </w:rPr>
            </w:pPr>
            <w:r>
              <w:rPr>
                <w:color w:val="auto"/>
                <w:kern w:val="0"/>
                <w:sz w:val="21"/>
                <w:szCs w:val="21"/>
              </w:rPr>
              <w:t>12</w:t>
            </w:r>
          </w:p>
        </w:tc>
        <w:tc>
          <w:tcPr>
            <w:tcW w:w="838" w:type="pct"/>
            <w:tcBorders>
              <w:tl2br w:val="nil"/>
              <w:tr2bl w:val="nil"/>
            </w:tcBorders>
            <w:vAlign w:val="center"/>
          </w:tcPr>
          <w:p w14:paraId="43F79AE7">
            <w:pPr>
              <w:widowControl/>
              <w:spacing w:line="240" w:lineRule="auto"/>
              <w:ind w:firstLine="0" w:firstLineChars="0"/>
              <w:jc w:val="center"/>
              <w:rPr>
                <w:color w:val="auto"/>
                <w:kern w:val="0"/>
                <w:sz w:val="21"/>
                <w:szCs w:val="21"/>
              </w:rPr>
            </w:pPr>
            <w:r>
              <w:rPr>
                <w:color w:val="auto"/>
                <w:kern w:val="0"/>
                <w:sz w:val="21"/>
                <w:szCs w:val="21"/>
              </w:rPr>
              <w:t>乙类仓库</w:t>
            </w:r>
          </w:p>
        </w:tc>
        <w:tc>
          <w:tcPr>
            <w:tcW w:w="539" w:type="pct"/>
            <w:tcBorders>
              <w:tl2br w:val="nil"/>
              <w:tr2bl w:val="nil"/>
            </w:tcBorders>
            <w:vAlign w:val="center"/>
          </w:tcPr>
          <w:p w14:paraId="0CFE5B99">
            <w:pPr>
              <w:widowControl/>
              <w:spacing w:line="240" w:lineRule="auto"/>
              <w:ind w:firstLine="0" w:firstLineChars="0"/>
              <w:jc w:val="center"/>
              <w:rPr>
                <w:color w:val="auto"/>
                <w:kern w:val="0"/>
                <w:sz w:val="21"/>
                <w:szCs w:val="21"/>
              </w:rPr>
            </w:pPr>
            <w:r>
              <w:rPr>
                <w:color w:val="auto"/>
                <w:kern w:val="0"/>
                <w:sz w:val="21"/>
                <w:szCs w:val="21"/>
              </w:rPr>
              <w:t>800m</w:t>
            </w:r>
            <w:r>
              <w:rPr>
                <w:color w:val="auto"/>
                <w:kern w:val="0"/>
                <w:sz w:val="21"/>
                <w:szCs w:val="21"/>
                <w:vertAlign w:val="superscript"/>
              </w:rPr>
              <w:t>2</w:t>
            </w:r>
          </w:p>
        </w:tc>
        <w:tc>
          <w:tcPr>
            <w:tcW w:w="539" w:type="pct"/>
            <w:tcBorders>
              <w:tl2br w:val="nil"/>
              <w:tr2bl w:val="nil"/>
            </w:tcBorders>
            <w:vAlign w:val="center"/>
          </w:tcPr>
          <w:p w14:paraId="150CC198">
            <w:pPr>
              <w:widowControl/>
              <w:spacing w:line="240" w:lineRule="auto"/>
              <w:ind w:firstLine="0" w:firstLineChars="0"/>
              <w:jc w:val="center"/>
              <w:rPr>
                <w:color w:val="auto"/>
                <w:kern w:val="0"/>
                <w:sz w:val="21"/>
                <w:szCs w:val="21"/>
              </w:rPr>
            </w:pPr>
            <w:r>
              <w:rPr>
                <w:color w:val="auto"/>
                <w:kern w:val="0"/>
                <w:sz w:val="21"/>
                <w:szCs w:val="21"/>
              </w:rPr>
              <w:t>800m</w:t>
            </w:r>
            <w:r>
              <w:rPr>
                <w:color w:val="auto"/>
                <w:kern w:val="0"/>
                <w:sz w:val="21"/>
                <w:szCs w:val="21"/>
                <w:vertAlign w:val="superscript"/>
              </w:rPr>
              <w:t>2</w:t>
            </w:r>
          </w:p>
        </w:tc>
        <w:tc>
          <w:tcPr>
            <w:tcW w:w="273" w:type="pct"/>
            <w:tcBorders>
              <w:tl2br w:val="nil"/>
              <w:tr2bl w:val="nil"/>
            </w:tcBorders>
            <w:vAlign w:val="center"/>
          </w:tcPr>
          <w:p w14:paraId="256BA2DC">
            <w:pPr>
              <w:widowControl/>
              <w:spacing w:line="240" w:lineRule="auto"/>
              <w:ind w:firstLine="0" w:firstLineChars="0"/>
              <w:jc w:val="center"/>
              <w:rPr>
                <w:color w:val="auto"/>
                <w:kern w:val="0"/>
                <w:sz w:val="21"/>
                <w:szCs w:val="21"/>
              </w:rPr>
            </w:pPr>
            <w:r>
              <w:rPr>
                <w:color w:val="auto"/>
                <w:kern w:val="0"/>
                <w:sz w:val="21"/>
                <w:szCs w:val="21"/>
              </w:rPr>
              <w:t>1层</w:t>
            </w:r>
          </w:p>
        </w:tc>
        <w:tc>
          <w:tcPr>
            <w:tcW w:w="2217" w:type="pct"/>
            <w:tcBorders>
              <w:tl2br w:val="nil"/>
              <w:tr2bl w:val="nil"/>
            </w:tcBorders>
            <w:vAlign w:val="center"/>
          </w:tcPr>
          <w:p w14:paraId="2D53A611">
            <w:pPr>
              <w:widowControl/>
              <w:spacing w:line="240" w:lineRule="auto"/>
              <w:ind w:firstLine="0" w:firstLineChars="0"/>
              <w:jc w:val="center"/>
              <w:rPr>
                <w:color w:val="auto"/>
                <w:kern w:val="0"/>
                <w:sz w:val="21"/>
                <w:szCs w:val="21"/>
              </w:rPr>
            </w:pPr>
            <w:r>
              <w:rPr>
                <w:color w:val="auto"/>
                <w:kern w:val="0"/>
                <w:sz w:val="21"/>
                <w:szCs w:val="21"/>
              </w:rPr>
              <w:t>用于成品及部分原辅料暂存</w:t>
            </w:r>
          </w:p>
        </w:tc>
        <w:tc>
          <w:tcPr>
            <w:tcW w:w="339" w:type="pct"/>
            <w:tcBorders>
              <w:tl2br w:val="nil"/>
              <w:tr2bl w:val="nil"/>
            </w:tcBorders>
            <w:vAlign w:val="center"/>
          </w:tcPr>
          <w:p w14:paraId="7D16B356">
            <w:pPr>
              <w:widowControl/>
              <w:spacing w:line="240" w:lineRule="auto"/>
              <w:ind w:firstLine="0" w:firstLineChars="0"/>
              <w:jc w:val="center"/>
              <w:rPr>
                <w:color w:val="auto"/>
                <w:kern w:val="0"/>
                <w:sz w:val="21"/>
                <w:szCs w:val="21"/>
              </w:rPr>
            </w:pPr>
            <w:r>
              <w:rPr>
                <w:color w:val="auto"/>
                <w:kern w:val="0"/>
                <w:sz w:val="21"/>
                <w:szCs w:val="21"/>
              </w:rPr>
              <w:t>已建</w:t>
            </w:r>
          </w:p>
        </w:tc>
      </w:tr>
      <w:tr w14:paraId="66F927B4">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52111F13">
            <w:pPr>
              <w:widowControl/>
              <w:spacing w:line="240" w:lineRule="auto"/>
              <w:ind w:firstLine="0" w:firstLineChars="0"/>
              <w:jc w:val="center"/>
              <w:rPr>
                <w:color w:val="auto"/>
                <w:kern w:val="0"/>
                <w:sz w:val="21"/>
                <w:szCs w:val="21"/>
              </w:rPr>
            </w:pPr>
            <w:r>
              <w:rPr>
                <w:color w:val="auto"/>
                <w:kern w:val="0"/>
                <w:sz w:val="21"/>
                <w:szCs w:val="21"/>
              </w:rPr>
              <w:t>13</w:t>
            </w:r>
          </w:p>
        </w:tc>
        <w:tc>
          <w:tcPr>
            <w:tcW w:w="838" w:type="pct"/>
            <w:tcBorders>
              <w:tl2br w:val="nil"/>
              <w:tr2bl w:val="nil"/>
            </w:tcBorders>
            <w:vAlign w:val="center"/>
          </w:tcPr>
          <w:p w14:paraId="75E1EDCC">
            <w:pPr>
              <w:widowControl/>
              <w:spacing w:line="240" w:lineRule="auto"/>
              <w:ind w:firstLine="0" w:firstLineChars="0"/>
              <w:jc w:val="center"/>
              <w:rPr>
                <w:color w:val="auto"/>
                <w:kern w:val="0"/>
                <w:sz w:val="21"/>
                <w:szCs w:val="21"/>
              </w:rPr>
            </w:pPr>
            <w:r>
              <w:rPr>
                <w:color w:val="auto"/>
                <w:kern w:val="0"/>
                <w:sz w:val="21"/>
                <w:szCs w:val="21"/>
              </w:rPr>
              <w:t>配电间</w:t>
            </w:r>
          </w:p>
        </w:tc>
        <w:tc>
          <w:tcPr>
            <w:tcW w:w="539" w:type="pct"/>
            <w:tcBorders>
              <w:tl2br w:val="nil"/>
              <w:tr2bl w:val="nil"/>
            </w:tcBorders>
            <w:vAlign w:val="center"/>
          </w:tcPr>
          <w:p w14:paraId="776C9967">
            <w:pPr>
              <w:widowControl/>
              <w:spacing w:line="240" w:lineRule="auto"/>
              <w:ind w:firstLine="0" w:firstLineChars="0"/>
              <w:jc w:val="center"/>
              <w:rPr>
                <w:color w:val="auto"/>
                <w:kern w:val="0"/>
                <w:sz w:val="21"/>
                <w:szCs w:val="21"/>
              </w:rPr>
            </w:pPr>
            <w:r>
              <w:rPr>
                <w:color w:val="auto"/>
                <w:kern w:val="0"/>
                <w:sz w:val="21"/>
                <w:szCs w:val="21"/>
              </w:rPr>
              <w:t>272m</w:t>
            </w:r>
            <w:r>
              <w:rPr>
                <w:color w:val="auto"/>
                <w:kern w:val="0"/>
                <w:sz w:val="21"/>
                <w:szCs w:val="21"/>
                <w:vertAlign w:val="superscript"/>
              </w:rPr>
              <w:t>2</w:t>
            </w:r>
          </w:p>
        </w:tc>
        <w:tc>
          <w:tcPr>
            <w:tcW w:w="539" w:type="pct"/>
            <w:tcBorders>
              <w:tl2br w:val="nil"/>
              <w:tr2bl w:val="nil"/>
            </w:tcBorders>
            <w:vAlign w:val="center"/>
          </w:tcPr>
          <w:p w14:paraId="1C45ECA5">
            <w:pPr>
              <w:widowControl/>
              <w:spacing w:line="240" w:lineRule="auto"/>
              <w:ind w:firstLine="0" w:firstLineChars="0"/>
              <w:jc w:val="center"/>
              <w:rPr>
                <w:color w:val="auto"/>
                <w:kern w:val="0"/>
                <w:sz w:val="21"/>
                <w:szCs w:val="21"/>
              </w:rPr>
            </w:pPr>
            <w:r>
              <w:rPr>
                <w:color w:val="auto"/>
                <w:kern w:val="0"/>
                <w:sz w:val="21"/>
                <w:szCs w:val="21"/>
              </w:rPr>
              <w:t>544m</w:t>
            </w:r>
            <w:r>
              <w:rPr>
                <w:color w:val="auto"/>
                <w:kern w:val="0"/>
                <w:sz w:val="21"/>
                <w:szCs w:val="21"/>
                <w:vertAlign w:val="superscript"/>
              </w:rPr>
              <w:t>2</w:t>
            </w:r>
          </w:p>
        </w:tc>
        <w:tc>
          <w:tcPr>
            <w:tcW w:w="273" w:type="pct"/>
            <w:tcBorders>
              <w:tl2br w:val="nil"/>
              <w:tr2bl w:val="nil"/>
            </w:tcBorders>
            <w:vAlign w:val="center"/>
          </w:tcPr>
          <w:p w14:paraId="419442E5">
            <w:pPr>
              <w:widowControl/>
              <w:spacing w:line="240" w:lineRule="auto"/>
              <w:ind w:firstLine="0" w:firstLineChars="0"/>
              <w:jc w:val="center"/>
              <w:rPr>
                <w:color w:val="auto"/>
                <w:kern w:val="0"/>
                <w:sz w:val="21"/>
                <w:szCs w:val="21"/>
              </w:rPr>
            </w:pPr>
            <w:r>
              <w:rPr>
                <w:color w:val="auto"/>
                <w:kern w:val="0"/>
                <w:sz w:val="21"/>
                <w:szCs w:val="21"/>
              </w:rPr>
              <w:t>2层</w:t>
            </w:r>
          </w:p>
        </w:tc>
        <w:tc>
          <w:tcPr>
            <w:tcW w:w="2217" w:type="pct"/>
            <w:tcBorders>
              <w:tl2br w:val="nil"/>
              <w:tr2bl w:val="nil"/>
            </w:tcBorders>
            <w:vAlign w:val="center"/>
          </w:tcPr>
          <w:p w14:paraId="6FD71392">
            <w:pPr>
              <w:widowControl/>
              <w:spacing w:line="240" w:lineRule="auto"/>
              <w:ind w:firstLine="0" w:firstLineChars="0"/>
              <w:jc w:val="center"/>
              <w:rPr>
                <w:color w:val="auto"/>
                <w:kern w:val="0"/>
                <w:sz w:val="21"/>
                <w:szCs w:val="21"/>
              </w:rPr>
            </w:pPr>
            <w:r>
              <w:rPr>
                <w:color w:val="auto"/>
                <w:kern w:val="0"/>
                <w:sz w:val="21"/>
                <w:szCs w:val="21"/>
              </w:rPr>
              <w:t>/</w:t>
            </w:r>
          </w:p>
        </w:tc>
        <w:tc>
          <w:tcPr>
            <w:tcW w:w="339" w:type="pct"/>
            <w:tcBorders>
              <w:tl2br w:val="nil"/>
              <w:tr2bl w:val="nil"/>
            </w:tcBorders>
            <w:vAlign w:val="center"/>
          </w:tcPr>
          <w:p w14:paraId="2916B3B6">
            <w:pPr>
              <w:widowControl/>
              <w:spacing w:line="240" w:lineRule="auto"/>
              <w:ind w:firstLine="0" w:firstLineChars="0"/>
              <w:jc w:val="center"/>
              <w:rPr>
                <w:color w:val="auto"/>
                <w:kern w:val="0"/>
                <w:sz w:val="21"/>
                <w:szCs w:val="21"/>
              </w:rPr>
            </w:pPr>
            <w:r>
              <w:rPr>
                <w:color w:val="auto"/>
                <w:kern w:val="0"/>
                <w:sz w:val="21"/>
                <w:szCs w:val="21"/>
              </w:rPr>
              <w:t>已建</w:t>
            </w:r>
          </w:p>
        </w:tc>
      </w:tr>
      <w:tr w14:paraId="5BCF3977">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7F751561">
            <w:pPr>
              <w:widowControl/>
              <w:spacing w:line="240" w:lineRule="auto"/>
              <w:ind w:firstLine="0" w:firstLineChars="0"/>
              <w:jc w:val="center"/>
              <w:rPr>
                <w:color w:val="auto"/>
                <w:kern w:val="0"/>
                <w:sz w:val="21"/>
                <w:szCs w:val="21"/>
              </w:rPr>
            </w:pPr>
            <w:r>
              <w:rPr>
                <w:color w:val="auto"/>
                <w:kern w:val="0"/>
                <w:sz w:val="21"/>
                <w:szCs w:val="21"/>
              </w:rPr>
              <w:t>14</w:t>
            </w:r>
          </w:p>
        </w:tc>
        <w:tc>
          <w:tcPr>
            <w:tcW w:w="838" w:type="pct"/>
            <w:tcBorders>
              <w:tl2br w:val="nil"/>
              <w:tr2bl w:val="nil"/>
            </w:tcBorders>
            <w:vAlign w:val="center"/>
          </w:tcPr>
          <w:p w14:paraId="49C22725">
            <w:pPr>
              <w:widowControl/>
              <w:spacing w:line="240" w:lineRule="auto"/>
              <w:ind w:firstLine="0" w:firstLineChars="0"/>
              <w:jc w:val="center"/>
              <w:rPr>
                <w:color w:val="auto"/>
                <w:kern w:val="0"/>
                <w:sz w:val="21"/>
                <w:szCs w:val="21"/>
              </w:rPr>
            </w:pPr>
            <w:r>
              <w:rPr>
                <w:color w:val="auto"/>
                <w:kern w:val="0"/>
                <w:sz w:val="21"/>
                <w:szCs w:val="21"/>
              </w:rPr>
              <w:t>工具间</w:t>
            </w:r>
          </w:p>
        </w:tc>
        <w:tc>
          <w:tcPr>
            <w:tcW w:w="539" w:type="pct"/>
            <w:tcBorders>
              <w:tl2br w:val="nil"/>
              <w:tr2bl w:val="nil"/>
            </w:tcBorders>
            <w:vAlign w:val="center"/>
          </w:tcPr>
          <w:p w14:paraId="3864887D">
            <w:pPr>
              <w:widowControl/>
              <w:spacing w:line="240" w:lineRule="auto"/>
              <w:ind w:firstLine="0" w:firstLineChars="0"/>
              <w:jc w:val="center"/>
              <w:rPr>
                <w:color w:val="auto"/>
                <w:kern w:val="0"/>
                <w:sz w:val="21"/>
                <w:szCs w:val="21"/>
              </w:rPr>
            </w:pPr>
            <w:r>
              <w:rPr>
                <w:color w:val="auto"/>
                <w:kern w:val="0"/>
                <w:sz w:val="21"/>
                <w:szCs w:val="21"/>
              </w:rPr>
              <w:t>205m</w:t>
            </w:r>
            <w:r>
              <w:rPr>
                <w:color w:val="auto"/>
                <w:kern w:val="0"/>
                <w:sz w:val="21"/>
                <w:szCs w:val="21"/>
                <w:vertAlign w:val="superscript"/>
              </w:rPr>
              <w:t>2</w:t>
            </w:r>
          </w:p>
        </w:tc>
        <w:tc>
          <w:tcPr>
            <w:tcW w:w="539" w:type="pct"/>
            <w:tcBorders>
              <w:tl2br w:val="nil"/>
              <w:tr2bl w:val="nil"/>
            </w:tcBorders>
            <w:vAlign w:val="center"/>
          </w:tcPr>
          <w:p w14:paraId="03D4F948">
            <w:pPr>
              <w:widowControl/>
              <w:spacing w:line="240" w:lineRule="auto"/>
              <w:ind w:firstLine="0" w:firstLineChars="0"/>
              <w:jc w:val="center"/>
              <w:rPr>
                <w:color w:val="auto"/>
                <w:kern w:val="0"/>
                <w:sz w:val="21"/>
                <w:szCs w:val="21"/>
              </w:rPr>
            </w:pPr>
            <w:r>
              <w:rPr>
                <w:color w:val="auto"/>
                <w:kern w:val="0"/>
                <w:sz w:val="21"/>
                <w:szCs w:val="21"/>
              </w:rPr>
              <w:t>205m</w:t>
            </w:r>
            <w:r>
              <w:rPr>
                <w:color w:val="auto"/>
                <w:kern w:val="0"/>
                <w:sz w:val="21"/>
                <w:szCs w:val="21"/>
                <w:vertAlign w:val="superscript"/>
              </w:rPr>
              <w:t>2</w:t>
            </w:r>
          </w:p>
        </w:tc>
        <w:tc>
          <w:tcPr>
            <w:tcW w:w="273" w:type="pct"/>
            <w:tcBorders>
              <w:tl2br w:val="nil"/>
              <w:tr2bl w:val="nil"/>
            </w:tcBorders>
            <w:vAlign w:val="center"/>
          </w:tcPr>
          <w:p w14:paraId="1C6BF8C7">
            <w:pPr>
              <w:widowControl/>
              <w:spacing w:line="240" w:lineRule="auto"/>
              <w:ind w:firstLine="0" w:firstLineChars="0"/>
              <w:jc w:val="center"/>
              <w:rPr>
                <w:color w:val="auto"/>
                <w:kern w:val="0"/>
                <w:sz w:val="21"/>
                <w:szCs w:val="21"/>
              </w:rPr>
            </w:pPr>
            <w:r>
              <w:rPr>
                <w:color w:val="auto"/>
                <w:kern w:val="0"/>
                <w:sz w:val="21"/>
                <w:szCs w:val="21"/>
              </w:rPr>
              <w:t>1层</w:t>
            </w:r>
          </w:p>
        </w:tc>
        <w:tc>
          <w:tcPr>
            <w:tcW w:w="2217" w:type="pct"/>
            <w:tcBorders>
              <w:tl2br w:val="nil"/>
              <w:tr2bl w:val="nil"/>
            </w:tcBorders>
            <w:vAlign w:val="center"/>
          </w:tcPr>
          <w:p w14:paraId="7533B7EA">
            <w:pPr>
              <w:widowControl/>
              <w:spacing w:line="240" w:lineRule="auto"/>
              <w:ind w:firstLine="0" w:firstLineChars="0"/>
              <w:jc w:val="center"/>
              <w:rPr>
                <w:color w:val="auto"/>
                <w:kern w:val="0"/>
                <w:sz w:val="21"/>
                <w:szCs w:val="21"/>
              </w:rPr>
            </w:pPr>
            <w:r>
              <w:rPr>
                <w:color w:val="auto"/>
                <w:kern w:val="0"/>
                <w:sz w:val="21"/>
                <w:szCs w:val="21"/>
              </w:rPr>
              <w:t>/</w:t>
            </w:r>
          </w:p>
        </w:tc>
        <w:tc>
          <w:tcPr>
            <w:tcW w:w="339" w:type="pct"/>
            <w:tcBorders>
              <w:tl2br w:val="nil"/>
              <w:tr2bl w:val="nil"/>
            </w:tcBorders>
            <w:vAlign w:val="center"/>
          </w:tcPr>
          <w:p w14:paraId="5C23931A">
            <w:pPr>
              <w:widowControl/>
              <w:spacing w:line="240" w:lineRule="auto"/>
              <w:ind w:firstLine="0" w:firstLineChars="0"/>
              <w:jc w:val="center"/>
              <w:rPr>
                <w:color w:val="auto"/>
                <w:kern w:val="0"/>
                <w:sz w:val="21"/>
                <w:szCs w:val="21"/>
              </w:rPr>
            </w:pPr>
            <w:r>
              <w:rPr>
                <w:color w:val="auto"/>
                <w:kern w:val="0"/>
                <w:sz w:val="21"/>
                <w:szCs w:val="21"/>
              </w:rPr>
              <w:t>已建</w:t>
            </w:r>
          </w:p>
        </w:tc>
      </w:tr>
      <w:tr w14:paraId="76E91C72">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37DC6F16">
            <w:pPr>
              <w:widowControl/>
              <w:spacing w:line="240" w:lineRule="auto"/>
              <w:ind w:firstLine="0" w:firstLineChars="0"/>
              <w:jc w:val="center"/>
              <w:rPr>
                <w:color w:val="auto"/>
                <w:kern w:val="0"/>
                <w:sz w:val="21"/>
                <w:szCs w:val="21"/>
              </w:rPr>
            </w:pPr>
            <w:r>
              <w:rPr>
                <w:color w:val="auto"/>
                <w:kern w:val="0"/>
                <w:sz w:val="21"/>
                <w:szCs w:val="21"/>
              </w:rPr>
              <w:t>15</w:t>
            </w:r>
          </w:p>
        </w:tc>
        <w:tc>
          <w:tcPr>
            <w:tcW w:w="838" w:type="pct"/>
            <w:tcBorders>
              <w:tl2br w:val="nil"/>
              <w:tr2bl w:val="nil"/>
            </w:tcBorders>
            <w:vAlign w:val="center"/>
          </w:tcPr>
          <w:p w14:paraId="1E9E6534">
            <w:pPr>
              <w:widowControl/>
              <w:spacing w:line="240" w:lineRule="auto"/>
              <w:ind w:firstLine="0" w:firstLineChars="0"/>
              <w:jc w:val="center"/>
              <w:rPr>
                <w:color w:val="auto"/>
                <w:kern w:val="0"/>
                <w:sz w:val="21"/>
                <w:szCs w:val="21"/>
              </w:rPr>
            </w:pPr>
            <w:r>
              <w:rPr>
                <w:color w:val="auto"/>
                <w:kern w:val="0"/>
                <w:sz w:val="21"/>
                <w:szCs w:val="21"/>
              </w:rPr>
              <w:t>门卫</w:t>
            </w:r>
          </w:p>
        </w:tc>
        <w:tc>
          <w:tcPr>
            <w:tcW w:w="539" w:type="pct"/>
            <w:tcBorders>
              <w:tl2br w:val="nil"/>
              <w:tr2bl w:val="nil"/>
            </w:tcBorders>
            <w:vAlign w:val="center"/>
          </w:tcPr>
          <w:p w14:paraId="3D9D36EF">
            <w:pPr>
              <w:widowControl/>
              <w:spacing w:line="240" w:lineRule="auto"/>
              <w:ind w:firstLine="0" w:firstLineChars="0"/>
              <w:jc w:val="center"/>
              <w:rPr>
                <w:color w:val="auto"/>
                <w:kern w:val="0"/>
                <w:sz w:val="21"/>
                <w:szCs w:val="21"/>
              </w:rPr>
            </w:pPr>
            <w:r>
              <w:rPr>
                <w:color w:val="auto"/>
                <w:kern w:val="0"/>
                <w:sz w:val="21"/>
                <w:szCs w:val="21"/>
              </w:rPr>
              <w:t>55m</w:t>
            </w:r>
            <w:r>
              <w:rPr>
                <w:color w:val="auto"/>
                <w:kern w:val="0"/>
                <w:sz w:val="21"/>
                <w:szCs w:val="21"/>
                <w:vertAlign w:val="superscript"/>
              </w:rPr>
              <w:t>2</w:t>
            </w:r>
          </w:p>
        </w:tc>
        <w:tc>
          <w:tcPr>
            <w:tcW w:w="539" w:type="pct"/>
            <w:tcBorders>
              <w:tl2br w:val="nil"/>
              <w:tr2bl w:val="nil"/>
            </w:tcBorders>
            <w:vAlign w:val="center"/>
          </w:tcPr>
          <w:p w14:paraId="53514DC2">
            <w:pPr>
              <w:widowControl/>
              <w:spacing w:line="240" w:lineRule="auto"/>
              <w:ind w:firstLine="0" w:firstLineChars="0"/>
              <w:jc w:val="center"/>
              <w:rPr>
                <w:color w:val="auto"/>
                <w:kern w:val="0"/>
                <w:sz w:val="21"/>
                <w:szCs w:val="21"/>
              </w:rPr>
            </w:pPr>
            <w:r>
              <w:rPr>
                <w:color w:val="auto"/>
                <w:kern w:val="0"/>
                <w:sz w:val="21"/>
                <w:szCs w:val="21"/>
              </w:rPr>
              <w:t>55m</w:t>
            </w:r>
            <w:r>
              <w:rPr>
                <w:color w:val="auto"/>
                <w:kern w:val="0"/>
                <w:sz w:val="21"/>
                <w:szCs w:val="21"/>
                <w:vertAlign w:val="superscript"/>
              </w:rPr>
              <w:t>2</w:t>
            </w:r>
          </w:p>
        </w:tc>
        <w:tc>
          <w:tcPr>
            <w:tcW w:w="273" w:type="pct"/>
            <w:tcBorders>
              <w:tl2br w:val="nil"/>
              <w:tr2bl w:val="nil"/>
            </w:tcBorders>
            <w:vAlign w:val="center"/>
          </w:tcPr>
          <w:p w14:paraId="7120EAA2">
            <w:pPr>
              <w:widowControl/>
              <w:spacing w:line="240" w:lineRule="auto"/>
              <w:ind w:firstLine="0" w:firstLineChars="0"/>
              <w:jc w:val="center"/>
              <w:rPr>
                <w:color w:val="auto"/>
                <w:kern w:val="0"/>
                <w:sz w:val="21"/>
                <w:szCs w:val="21"/>
              </w:rPr>
            </w:pPr>
            <w:r>
              <w:rPr>
                <w:color w:val="auto"/>
                <w:kern w:val="0"/>
                <w:sz w:val="21"/>
                <w:szCs w:val="21"/>
              </w:rPr>
              <w:t>1层</w:t>
            </w:r>
          </w:p>
        </w:tc>
        <w:tc>
          <w:tcPr>
            <w:tcW w:w="2217" w:type="pct"/>
            <w:tcBorders>
              <w:tl2br w:val="nil"/>
              <w:tr2bl w:val="nil"/>
            </w:tcBorders>
            <w:vAlign w:val="center"/>
          </w:tcPr>
          <w:p w14:paraId="16D63CEB">
            <w:pPr>
              <w:widowControl/>
              <w:spacing w:line="240" w:lineRule="auto"/>
              <w:ind w:firstLine="0" w:firstLineChars="0"/>
              <w:jc w:val="center"/>
              <w:rPr>
                <w:color w:val="auto"/>
                <w:kern w:val="0"/>
                <w:sz w:val="21"/>
                <w:szCs w:val="21"/>
              </w:rPr>
            </w:pPr>
            <w:r>
              <w:rPr>
                <w:color w:val="auto"/>
                <w:kern w:val="0"/>
                <w:sz w:val="21"/>
                <w:szCs w:val="21"/>
              </w:rPr>
              <w:t>/</w:t>
            </w:r>
          </w:p>
        </w:tc>
        <w:tc>
          <w:tcPr>
            <w:tcW w:w="339" w:type="pct"/>
            <w:tcBorders>
              <w:tl2br w:val="nil"/>
              <w:tr2bl w:val="nil"/>
            </w:tcBorders>
            <w:vAlign w:val="center"/>
          </w:tcPr>
          <w:p w14:paraId="33EBC4C9">
            <w:pPr>
              <w:widowControl/>
              <w:spacing w:line="240" w:lineRule="auto"/>
              <w:ind w:firstLine="0" w:firstLineChars="0"/>
              <w:jc w:val="center"/>
              <w:rPr>
                <w:color w:val="auto"/>
                <w:kern w:val="0"/>
                <w:sz w:val="21"/>
                <w:szCs w:val="21"/>
              </w:rPr>
            </w:pPr>
            <w:r>
              <w:rPr>
                <w:color w:val="auto"/>
                <w:kern w:val="0"/>
                <w:sz w:val="21"/>
                <w:szCs w:val="21"/>
              </w:rPr>
              <w:t>已建</w:t>
            </w:r>
          </w:p>
        </w:tc>
      </w:tr>
      <w:tr w14:paraId="54A1C536">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67F541EA">
            <w:pPr>
              <w:widowControl/>
              <w:spacing w:line="240" w:lineRule="auto"/>
              <w:ind w:firstLine="0" w:firstLineChars="0"/>
              <w:jc w:val="center"/>
              <w:rPr>
                <w:color w:val="auto"/>
                <w:kern w:val="0"/>
                <w:sz w:val="21"/>
                <w:szCs w:val="21"/>
              </w:rPr>
            </w:pPr>
            <w:r>
              <w:rPr>
                <w:color w:val="auto"/>
                <w:kern w:val="0"/>
                <w:sz w:val="21"/>
                <w:szCs w:val="21"/>
              </w:rPr>
              <w:t>16</w:t>
            </w:r>
          </w:p>
        </w:tc>
        <w:tc>
          <w:tcPr>
            <w:tcW w:w="838" w:type="pct"/>
            <w:tcBorders>
              <w:tl2br w:val="nil"/>
              <w:tr2bl w:val="nil"/>
            </w:tcBorders>
            <w:vAlign w:val="center"/>
          </w:tcPr>
          <w:p w14:paraId="46EE9BA1">
            <w:pPr>
              <w:widowControl/>
              <w:spacing w:line="240" w:lineRule="auto"/>
              <w:ind w:firstLine="0" w:firstLineChars="0"/>
              <w:jc w:val="center"/>
              <w:rPr>
                <w:color w:val="auto"/>
                <w:kern w:val="0"/>
                <w:sz w:val="21"/>
                <w:szCs w:val="21"/>
              </w:rPr>
            </w:pPr>
            <w:r>
              <w:rPr>
                <w:color w:val="auto"/>
                <w:kern w:val="0"/>
                <w:sz w:val="21"/>
                <w:szCs w:val="21"/>
              </w:rPr>
              <w:t>危废暂存间</w:t>
            </w:r>
          </w:p>
        </w:tc>
        <w:tc>
          <w:tcPr>
            <w:tcW w:w="539" w:type="pct"/>
            <w:tcBorders>
              <w:tl2br w:val="nil"/>
              <w:tr2bl w:val="nil"/>
            </w:tcBorders>
            <w:vAlign w:val="center"/>
          </w:tcPr>
          <w:p w14:paraId="4AD53F5D">
            <w:pPr>
              <w:widowControl/>
              <w:spacing w:line="240" w:lineRule="auto"/>
              <w:ind w:firstLine="0" w:firstLineChars="0"/>
              <w:jc w:val="center"/>
              <w:rPr>
                <w:color w:val="auto"/>
                <w:kern w:val="0"/>
                <w:sz w:val="21"/>
                <w:szCs w:val="21"/>
              </w:rPr>
            </w:pPr>
            <w:r>
              <w:rPr>
                <w:color w:val="auto"/>
                <w:kern w:val="0"/>
                <w:sz w:val="21"/>
                <w:szCs w:val="21"/>
              </w:rPr>
              <w:t>110m</w:t>
            </w:r>
            <w:r>
              <w:rPr>
                <w:color w:val="auto"/>
                <w:kern w:val="0"/>
                <w:sz w:val="21"/>
                <w:szCs w:val="21"/>
                <w:vertAlign w:val="superscript"/>
              </w:rPr>
              <w:t>2</w:t>
            </w:r>
          </w:p>
        </w:tc>
        <w:tc>
          <w:tcPr>
            <w:tcW w:w="539" w:type="pct"/>
            <w:tcBorders>
              <w:tl2br w:val="nil"/>
              <w:tr2bl w:val="nil"/>
            </w:tcBorders>
            <w:vAlign w:val="center"/>
          </w:tcPr>
          <w:p w14:paraId="71EC9E63">
            <w:pPr>
              <w:widowControl/>
              <w:spacing w:line="240" w:lineRule="auto"/>
              <w:ind w:firstLine="0" w:firstLineChars="0"/>
              <w:jc w:val="center"/>
              <w:rPr>
                <w:color w:val="auto"/>
                <w:kern w:val="0"/>
                <w:sz w:val="21"/>
                <w:szCs w:val="21"/>
              </w:rPr>
            </w:pPr>
            <w:r>
              <w:rPr>
                <w:color w:val="auto"/>
                <w:kern w:val="0"/>
                <w:sz w:val="21"/>
                <w:szCs w:val="21"/>
              </w:rPr>
              <w:t>110m</w:t>
            </w:r>
            <w:r>
              <w:rPr>
                <w:color w:val="auto"/>
                <w:kern w:val="0"/>
                <w:sz w:val="21"/>
                <w:szCs w:val="21"/>
                <w:vertAlign w:val="superscript"/>
              </w:rPr>
              <w:t>2</w:t>
            </w:r>
          </w:p>
        </w:tc>
        <w:tc>
          <w:tcPr>
            <w:tcW w:w="273" w:type="pct"/>
            <w:tcBorders>
              <w:tl2br w:val="nil"/>
              <w:tr2bl w:val="nil"/>
            </w:tcBorders>
            <w:vAlign w:val="center"/>
          </w:tcPr>
          <w:p w14:paraId="1D85205F">
            <w:pPr>
              <w:widowControl/>
              <w:spacing w:line="240" w:lineRule="auto"/>
              <w:ind w:firstLine="0" w:firstLineChars="0"/>
              <w:jc w:val="center"/>
              <w:rPr>
                <w:color w:val="auto"/>
                <w:kern w:val="0"/>
                <w:sz w:val="21"/>
                <w:szCs w:val="21"/>
              </w:rPr>
            </w:pPr>
            <w:r>
              <w:rPr>
                <w:color w:val="auto"/>
                <w:kern w:val="0"/>
                <w:sz w:val="21"/>
                <w:szCs w:val="21"/>
              </w:rPr>
              <w:t>1层</w:t>
            </w:r>
          </w:p>
        </w:tc>
        <w:tc>
          <w:tcPr>
            <w:tcW w:w="2217" w:type="pct"/>
            <w:tcBorders>
              <w:tl2br w:val="nil"/>
              <w:tr2bl w:val="nil"/>
            </w:tcBorders>
            <w:vAlign w:val="center"/>
          </w:tcPr>
          <w:p w14:paraId="17379F47">
            <w:pPr>
              <w:widowControl/>
              <w:spacing w:line="240" w:lineRule="auto"/>
              <w:ind w:firstLine="0" w:firstLineChars="0"/>
              <w:jc w:val="center"/>
              <w:rPr>
                <w:color w:val="auto"/>
                <w:kern w:val="0"/>
                <w:sz w:val="21"/>
                <w:szCs w:val="21"/>
              </w:rPr>
            </w:pPr>
            <w:r>
              <w:rPr>
                <w:color w:val="auto"/>
                <w:kern w:val="0"/>
                <w:sz w:val="21"/>
                <w:szCs w:val="21"/>
              </w:rPr>
              <w:t>危废暂存</w:t>
            </w:r>
          </w:p>
        </w:tc>
        <w:tc>
          <w:tcPr>
            <w:tcW w:w="339" w:type="pct"/>
            <w:tcBorders>
              <w:tl2br w:val="nil"/>
              <w:tr2bl w:val="nil"/>
            </w:tcBorders>
            <w:vAlign w:val="center"/>
          </w:tcPr>
          <w:p w14:paraId="4BE61433">
            <w:pPr>
              <w:widowControl/>
              <w:spacing w:line="240" w:lineRule="auto"/>
              <w:ind w:firstLine="0" w:firstLineChars="0"/>
              <w:jc w:val="center"/>
              <w:rPr>
                <w:color w:val="auto"/>
                <w:kern w:val="0"/>
                <w:sz w:val="21"/>
                <w:szCs w:val="21"/>
              </w:rPr>
            </w:pPr>
            <w:r>
              <w:rPr>
                <w:color w:val="auto"/>
                <w:kern w:val="0"/>
                <w:sz w:val="21"/>
                <w:szCs w:val="21"/>
              </w:rPr>
              <w:t>已建</w:t>
            </w:r>
          </w:p>
        </w:tc>
      </w:tr>
      <w:tr w14:paraId="350A3403">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030C197F">
            <w:pPr>
              <w:widowControl/>
              <w:spacing w:line="240" w:lineRule="auto"/>
              <w:ind w:firstLine="0" w:firstLineChars="0"/>
              <w:jc w:val="center"/>
              <w:rPr>
                <w:color w:val="auto"/>
                <w:kern w:val="0"/>
                <w:sz w:val="21"/>
                <w:szCs w:val="21"/>
              </w:rPr>
            </w:pPr>
            <w:r>
              <w:rPr>
                <w:rFonts w:hint="eastAsia"/>
                <w:color w:val="auto"/>
                <w:kern w:val="0"/>
                <w:sz w:val="21"/>
                <w:szCs w:val="21"/>
              </w:rPr>
              <w:t>17</w:t>
            </w:r>
          </w:p>
        </w:tc>
        <w:tc>
          <w:tcPr>
            <w:tcW w:w="838" w:type="pct"/>
            <w:tcBorders>
              <w:tl2br w:val="nil"/>
              <w:tr2bl w:val="nil"/>
            </w:tcBorders>
            <w:vAlign w:val="center"/>
          </w:tcPr>
          <w:p w14:paraId="1F70DC32">
            <w:pPr>
              <w:widowControl/>
              <w:spacing w:line="240" w:lineRule="auto"/>
              <w:ind w:firstLine="0" w:firstLineChars="0"/>
              <w:jc w:val="center"/>
              <w:rPr>
                <w:color w:val="auto"/>
                <w:kern w:val="0"/>
                <w:sz w:val="21"/>
                <w:szCs w:val="21"/>
              </w:rPr>
            </w:pPr>
            <w:r>
              <w:rPr>
                <w:rFonts w:hint="eastAsia"/>
                <w:color w:val="auto"/>
                <w:kern w:val="0"/>
                <w:sz w:val="21"/>
                <w:szCs w:val="21"/>
              </w:rPr>
              <w:t>甲类仓库</w:t>
            </w:r>
          </w:p>
        </w:tc>
        <w:tc>
          <w:tcPr>
            <w:tcW w:w="539" w:type="pct"/>
            <w:tcBorders>
              <w:tl2br w:val="nil"/>
              <w:tr2bl w:val="nil"/>
            </w:tcBorders>
            <w:vAlign w:val="center"/>
          </w:tcPr>
          <w:p w14:paraId="51FCD508">
            <w:pPr>
              <w:widowControl/>
              <w:spacing w:line="240" w:lineRule="auto"/>
              <w:ind w:firstLine="0" w:firstLineChars="0"/>
              <w:jc w:val="center"/>
              <w:rPr>
                <w:color w:val="auto"/>
                <w:kern w:val="0"/>
                <w:sz w:val="21"/>
                <w:szCs w:val="21"/>
              </w:rPr>
            </w:pPr>
            <w:r>
              <w:rPr>
                <w:rFonts w:hint="eastAsia"/>
                <w:color w:val="auto"/>
                <w:kern w:val="0"/>
                <w:sz w:val="21"/>
                <w:szCs w:val="21"/>
              </w:rPr>
              <w:t>733.6</w:t>
            </w:r>
            <w:r>
              <w:rPr>
                <w:color w:val="auto"/>
                <w:kern w:val="0"/>
                <w:sz w:val="21"/>
                <w:szCs w:val="21"/>
              </w:rPr>
              <w:t>m</w:t>
            </w:r>
            <w:r>
              <w:rPr>
                <w:color w:val="auto"/>
                <w:kern w:val="0"/>
                <w:sz w:val="21"/>
                <w:szCs w:val="21"/>
                <w:vertAlign w:val="superscript"/>
              </w:rPr>
              <w:t>2</w:t>
            </w:r>
          </w:p>
        </w:tc>
        <w:tc>
          <w:tcPr>
            <w:tcW w:w="539" w:type="pct"/>
            <w:tcBorders>
              <w:tl2br w:val="nil"/>
              <w:tr2bl w:val="nil"/>
            </w:tcBorders>
            <w:vAlign w:val="center"/>
          </w:tcPr>
          <w:p w14:paraId="795C6275">
            <w:pPr>
              <w:widowControl/>
              <w:spacing w:line="240" w:lineRule="auto"/>
              <w:ind w:firstLine="0" w:firstLineChars="0"/>
              <w:jc w:val="center"/>
              <w:rPr>
                <w:color w:val="auto"/>
                <w:kern w:val="0"/>
                <w:sz w:val="21"/>
                <w:szCs w:val="21"/>
              </w:rPr>
            </w:pPr>
            <w:r>
              <w:rPr>
                <w:rFonts w:hint="eastAsia"/>
                <w:color w:val="auto"/>
                <w:kern w:val="0"/>
                <w:sz w:val="21"/>
                <w:szCs w:val="21"/>
              </w:rPr>
              <w:t>733.6</w:t>
            </w:r>
            <w:r>
              <w:rPr>
                <w:color w:val="auto"/>
                <w:kern w:val="0"/>
                <w:sz w:val="21"/>
                <w:szCs w:val="21"/>
              </w:rPr>
              <w:t>m</w:t>
            </w:r>
            <w:r>
              <w:rPr>
                <w:color w:val="auto"/>
                <w:kern w:val="0"/>
                <w:sz w:val="21"/>
                <w:szCs w:val="21"/>
                <w:vertAlign w:val="superscript"/>
              </w:rPr>
              <w:t>2</w:t>
            </w:r>
          </w:p>
        </w:tc>
        <w:tc>
          <w:tcPr>
            <w:tcW w:w="273" w:type="pct"/>
            <w:tcBorders>
              <w:tl2br w:val="nil"/>
              <w:tr2bl w:val="nil"/>
            </w:tcBorders>
            <w:vAlign w:val="center"/>
          </w:tcPr>
          <w:p w14:paraId="17404367">
            <w:pPr>
              <w:widowControl/>
              <w:spacing w:line="240" w:lineRule="auto"/>
              <w:ind w:firstLine="0" w:firstLineChars="0"/>
              <w:jc w:val="center"/>
              <w:rPr>
                <w:color w:val="auto"/>
                <w:kern w:val="0"/>
                <w:sz w:val="21"/>
                <w:szCs w:val="21"/>
              </w:rPr>
            </w:pPr>
            <w:r>
              <w:rPr>
                <w:rFonts w:hint="eastAsia"/>
                <w:color w:val="auto"/>
                <w:kern w:val="0"/>
                <w:sz w:val="21"/>
                <w:szCs w:val="21"/>
              </w:rPr>
              <w:t>1层</w:t>
            </w:r>
          </w:p>
        </w:tc>
        <w:tc>
          <w:tcPr>
            <w:tcW w:w="2217" w:type="pct"/>
            <w:tcBorders>
              <w:tl2br w:val="nil"/>
              <w:tr2bl w:val="nil"/>
            </w:tcBorders>
            <w:vAlign w:val="center"/>
          </w:tcPr>
          <w:p w14:paraId="029E3521">
            <w:pPr>
              <w:widowControl/>
              <w:spacing w:line="240" w:lineRule="auto"/>
              <w:ind w:firstLine="0" w:firstLineChars="0"/>
              <w:jc w:val="center"/>
              <w:rPr>
                <w:color w:val="auto"/>
                <w:kern w:val="0"/>
                <w:sz w:val="21"/>
                <w:szCs w:val="21"/>
              </w:rPr>
            </w:pPr>
            <w:r>
              <w:rPr>
                <w:rFonts w:hint="eastAsia"/>
                <w:color w:val="auto"/>
                <w:kern w:val="0"/>
                <w:sz w:val="21"/>
                <w:szCs w:val="21"/>
              </w:rPr>
              <w:t>用于部分原辅料暂存</w:t>
            </w:r>
          </w:p>
        </w:tc>
        <w:tc>
          <w:tcPr>
            <w:tcW w:w="339" w:type="pct"/>
            <w:tcBorders>
              <w:tl2br w:val="nil"/>
              <w:tr2bl w:val="nil"/>
            </w:tcBorders>
            <w:vAlign w:val="center"/>
          </w:tcPr>
          <w:p w14:paraId="392BED74">
            <w:pPr>
              <w:widowControl/>
              <w:spacing w:line="240" w:lineRule="auto"/>
              <w:ind w:firstLine="0" w:firstLineChars="0"/>
              <w:jc w:val="center"/>
              <w:rPr>
                <w:color w:val="auto"/>
                <w:kern w:val="0"/>
                <w:sz w:val="21"/>
                <w:szCs w:val="21"/>
              </w:rPr>
            </w:pPr>
            <w:r>
              <w:rPr>
                <w:rFonts w:hint="eastAsia"/>
                <w:color w:val="auto"/>
                <w:kern w:val="0"/>
                <w:sz w:val="21"/>
                <w:szCs w:val="21"/>
              </w:rPr>
              <w:t>在建</w:t>
            </w:r>
          </w:p>
        </w:tc>
      </w:tr>
      <w:tr w14:paraId="692558EA">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5B131538">
            <w:pPr>
              <w:widowControl/>
              <w:spacing w:line="240" w:lineRule="auto"/>
              <w:ind w:firstLine="0" w:firstLineChars="0"/>
              <w:jc w:val="center"/>
              <w:rPr>
                <w:color w:val="auto"/>
                <w:kern w:val="0"/>
                <w:sz w:val="21"/>
                <w:szCs w:val="21"/>
              </w:rPr>
            </w:pPr>
            <w:r>
              <w:rPr>
                <w:rFonts w:hint="eastAsia"/>
                <w:color w:val="auto"/>
                <w:kern w:val="0"/>
                <w:sz w:val="21"/>
                <w:szCs w:val="21"/>
              </w:rPr>
              <w:t>18</w:t>
            </w:r>
          </w:p>
        </w:tc>
        <w:tc>
          <w:tcPr>
            <w:tcW w:w="838" w:type="pct"/>
            <w:tcBorders>
              <w:tl2br w:val="nil"/>
              <w:tr2bl w:val="nil"/>
            </w:tcBorders>
            <w:vAlign w:val="center"/>
          </w:tcPr>
          <w:p w14:paraId="5995BDCA">
            <w:pPr>
              <w:widowControl/>
              <w:spacing w:line="240" w:lineRule="auto"/>
              <w:ind w:firstLine="0" w:firstLineChars="0"/>
              <w:jc w:val="center"/>
              <w:rPr>
                <w:color w:val="auto"/>
                <w:kern w:val="0"/>
                <w:sz w:val="21"/>
                <w:szCs w:val="21"/>
              </w:rPr>
            </w:pPr>
            <w:r>
              <w:rPr>
                <w:rFonts w:hint="eastAsia"/>
                <w:color w:val="auto"/>
                <w:kern w:val="0"/>
                <w:sz w:val="21"/>
                <w:szCs w:val="21"/>
              </w:rPr>
              <w:t>精制车间</w:t>
            </w:r>
          </w:p>
        </w:tc>
        <w:tc>
          <w:tcPr>
            <w:tcW w:w="539" w:type="pct"/>
            <w:tcBorders>
              <w:tl2br w:val="nil"/>
              <w:tr2bl w:val="nil"/>
            </w:tcBorders>
            <w:vAlign w:val="center"/>
          </w:tcPr>
          <w:p w14:paraId="1BD29BAA">
            <w:pPr>
              <w:widowControl/>
              <w:spacing w:line="240" w:lineRule="auto"/>
              <w:ind w:firstLine="0" w:firstLineChars="0"/>
              <w:jc w:val="center"/>
              <w:rPr>
                <w:color w:val="auto"/>
                <w:kern w:val="0"/>
                <w:sz w:val="21"/>
                <w:szCs w:val="21"/>
              </w:rPr>
            </w:pPr>
            <w:r>
              <w:rPr>
                <w:rFonts w:hint="eastAsia"/>
                <w:color w:val="auto"/>
                <w:kern w:val="0"/>
                <w:sz w:val="21"/>
                <w:szCs w:val="21"/>
              </w:rPr>
              <w:t>1493.4m</w:t>
            </w:r>
            <w:r>
              <w:rPr>
                <w:rFonts w:hint="eastAsia"/>
                <w:color w:val="auto"/>
                <w:kern w:val="0"/>
                <w:sz w:val="21"/>
                <w:szCs w:val="21"/>
                <w:vertAlign w:val="superscript"/>
              </w:rPr>
              <w:t>2</w:t>
            </w:r>
          </w:p>
        </w:tc>
        <w:tc>
          <w:tcPr>
            <w:tcW w:w="539" w:type="pct"/>
            <w:tcBorders>
              <w:tl2br w:val="nil"/>
              <w:tr2bl w:val="nil"/>
            </w:tcBorders>
            <w:vAlign w:val="center"/>
          </w:tcPr>
          <w:p w14:paraId="1E4BC718">
            <w:pPr>
              <w:widowControl/>
              <w:spacing w:line="240" w:lineRule="auto"/>
              <w:ind w:firstLine="0" w:firstLineChars="0"/>
              <w:jc w:val="center"/>
              <w:rPr>
                <w:color w:val="auto"/>
                <w:kern w:val="0"/>
                <w:sz w:val="21"/>
                <w:szCs w:val="21"/>
              </w:rPr>
            </w:pPr>
            <w:r>
              <w:rPr>
                <w:rFonts w:hint="eastAsia"/>
                <w:color w:val="auto"/>
                <w:kern w:val="0"/>
                <w:sz w:val="21"/>
                <w:szCs w:val="21"/>
              </w:rPr>
              <w:t>2986.8m</w:t>
            </w:r>
            <w:r>
              <w:rPr>
                <w:rFonts w:hint="eastAsia"/>
                <w:color w:val="auto"/>
                <w:kern w:val="0"/>
                <w:sz w:val="21"/>
                <w:szCs w:val="21"/>
                <w:vertAlign w:val="superscript"/>
              </w:rPr>
              <w:t>2</w:t>
            </w:r>
          </w:p>
        </w:tc>
        <w:tc>
          <w:tcPr>
            <w:tcW w:w="273" w:type="pct"/>
            <w:tcBorders>
              <w:tl2br w:val="nil"/>
              <w:tr2bl w:val="nil"/>
            </w:tcBorders>
            <w:vAlign w:val="center"/>
          </w:tcPr>
          <w:p w14:paraId="3CA594AE">
            <w:pPr>
              <w:widowControl/>
              <w:spacing w:line="240" w:lineRule="auto"/>
              <w:ind w:firstLine="0" w:firstLineChars="0"/>
              <w:jc w:val="center"/>
              <w:rPr>
                <w:color w:val="auto"/>
                <w:kern w:val="0"/>
                <w:sz w:val="21"/>
                <w:szCs w:val="21"/>
              </w:rPr>
            </w:pPr>
            <w:r>
              <w:rPr>
                <w:rFonts w:hint="eastAsia"/>
                <w:color w:val="auto"/>
                <w:kern w:val="0"/>
                <w:sz w:val="21"/>
                <w:szCs w:val="21"/>
              </w:rPr>
              <w:t>2层</w:t>
            </w:r>
          </w:p>
        </w:tc>
        <w:tc>
          <w:tcPr>
            <w:tcW w:w="2217" w:type="pct"/>
            <w:tcBorders>
              <w:tl2br w:val="nil"/>
              <w:tr2bl w:val="nil"/>
            </w:tcBorders>
            <w:vAlign w:val="center"/>
          </w:tcPr>
          <w:p w14:paraId="05FCCD22">
            <w:pPr>
              <w:widowControl/>
              <w:spacing w:line="240" w:lineRule="auto"/>
              <w:ind w:firstLine="0" w:firstLineChars="0"/>
              <w:jc w:val="center"/>
              <w:rPr>
                <w:color w:val="auto"/>
                <w:kern w:val="0"/>
                <w:sz w:val="21"/>
                <w:szCs w:val="21"/>
              </w:rPr>
            </w:pPr>
            <w:r>
              <w:rPr>
                <w:rFonts w:hint="eastAsia"/>
                <w:color w:val="auto"/>
                <w:kern w:val="0"/>
                <w:sz w:val="21"/>
                <w:szCs w:val="21"/>
              </w:rPr>
              <w:t>设置有重结晶、离心分筛、溶解脱色、冷却结晶、冷凝等装置</w:t>
            </w:r>
          </w:p>
        </w:tc>
        <w:tc>
          <w:tcPr>
            <w:tcW w:w="339" w:type="pct"/>
            <w:tcBorders>
              <w:tl2br w:val="nil"/>
              <w:tr2bl w:val="nil"/>
            </w:tcBorders>
            <w:vAlign w:val="center"/>
          </w:tcPr>
          <w:p w14:paraId="506D23B5">
            <w:pPr>
              <w:widowControl/>
              <w:spacing w:line="240" w:lineRule="auto"/>
              <w:ind w:firstLine="0" w:firstLineChars="0"/>
              <w:jc w:val="center"/>
              <w:rPr>
                <w:color w:val="auto"/>
                <w:kern w:val="0"/>
                <w:sz w:val="21"/>
                <w:szCs w:val="21"/>
              </w:rPr>
            </w:pPr>
            <w:r>
              <w:rPr>
                <w:rFonts w:hint="eastAsia"/>
                <w:color w:val="auto"/>
                <w:kern w:val="0"/>
                <w:sz w:val="21"/>
                <w:szCs w:val="21"/>
              </w:rPr>
              <w:t>在建</w:t>
            </w:r>
          </w:p>
        </w:tc>
      </w:tr>
      <w:tr w14:paraId="6ACDE50C">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6A94D70B">
            <w:pPr>
              <w:widowControl/>
              <w:spacing w:line="240" w:lineRule="auto"/>
              <w:ind w:firstLine="0" w:firstLineChars="0"/>
              <w:jc w:val="center"/>
              <w:rPr>
                <w:color w:val="auto"/>
                <w:kern w:val="0"/>
                <w:sz w:val="21"/>
                <w:szCs w:val="21"/>
              </w:rPr>
            </w:pPr>
            <w:r>
              <w:rPr>
                <w:rFonts w:hint="eastAsia"/>
                <w:color w:val="auto"/>
                <w:kern w:val="0"/>
                <w:sz w:val="21"/>
                <w:szCs w:val="21"/>
              </w:rPr>
              <w:t>19</w:t>
            </w:r>
          </w:p>
        </w:tc>
        <w:tc>
          <w:tcPr>
            <w:tcW w:w="838" w:type="pct"/>
            <w:tcBorders>
              <w:tl2br w:val="nil"/>
              <w:tr2bl w:val="nil"/>
            </w:tcBorders>
            <w:vAlign w:val="center"/>
          </w:tcPr>
          <w:p w14:paraId="17EEC285">
            <w:pPr>
              <w:widowControl/>
              <w:spacing w:line="240" w:lineRule="auto"/>
              <w:ind w:firstLine="0" w:firstLineChars="0"/>
              <w:jc w:val="center"/>
              <w:rPr>
                <w:color w:val="auto"/>
                <w:kern w:val="0"/>
                <w:sz w:val="21"/>
                <w:szCs w:val="21"/>
              </w:rPr>
            </w:pPr>
            <w:r>
              <w:rPr>
                <w:rFonts w:hint="eastAsia"/>
                <w:color w:val="auto"/>
                <w:kern w:val="0"/>
                <w:sz w:val="21"/>
                <w:szCs w:val="21"/>
              </w:rPr>
              <w:t>制剂一体化车间</w:t>
            </w:r>
          </w:p>
        </w:tc>
        <w:tc>
          <w:tcPr>
            <w:tcW w:w="539" w:type="pct"/>
            <w:tcBorders>
              <w:tl2br w:val="nil"/>
              <w:tr2bl w:val="nil"/>
            </w:tcBorders>
            <w:vAlign w:val="center"/>
          </w:tcPr>
          <w:p w14:paraId="1827E05A">
            <w:pPr>
              <w:widowControl/>
              <w:spacing w:line="240" w:lineRule="auto"/>
              <w:ind w:firstLine="0" w:firstLineChars="0"/>
              <w:jc w:val="center"/>
              <w:rPr>
                <w:color w:val="auto"/>
                <w:kern w:val="0"/>
                <w:sz w:val="21"/>
                <w:szCs w:val="21"/>
              </w:rPr>
            </w:pPr>
            <w:r>
              <w:rPr>
                <w:rFonts w:hint="eastAsia"/>
                <w:color w:val="auto"/>
                <w:kern w:val="0"/>
                <w:sz w:val="21"/>
                <w:szCs w:val="21"/>
              </w:rPr>
              <w:t>2117.38m</w:t>
            </w:r>
            <w:r>
              <w:rPr>
                <w:rFonts w:hint="eastAsia"/>
                <w:color w:val="auto"/>
                <w:kern w:val="0"/>
                <w:sz w:val="21"/>
                <w:szCs w:val="21"/>
                <w:vertAlign w:val="superscript"/>
              </w:rPr>
              <w:t>2</w:t>
            </w:r>
          </w:p>
        </w:tc>
        <w:tc>
          <w:tcPr>
            <w:tcW w:w="539" w:type="pct"/>
            <w:tcBorders>
              <w:tl2br w:val="nil"/>
              <w:tr2bl w:val="nil"/>
            </w:tcBorders>
            <w:vAlign w:val="center"/>
          </w:tcPr>
          <w:p w14:paraId="1A889B5E">
            <w:pPr>
              <w:widowControl/>
              <w:spacing w:line="240" w:lineRule="auto"/>
              <w:ind w:firstLine="0" w:firstLineChars="0"/>
              <w:jc w:val="center"/>
              <w:rPr>
                <w:color w:val="auto"/>
                <w:kern w:val="0"/>
                <w:sz w:val="21"/>
                <w:szCs w:val="21"/>
              </w:rPr>
            </w:pPr>
            <w:r>
              <w:rPr>
                <w:rFonts w:hint="eastAsia"/>
                <w:color w:val="auto"/>
                <w:kern w:val="0"/>
                <w:sz w:val="21"/>
                <w:szCs w:val="21"/>
              </w:rPr>
              <w:t>4234.77m</w:t>
            </w:r>
            <w:r>
              <w:rPr>
                <w:rFonts w:hint="eastAsia"/>
                <w:color w:val="auto"/>
                <w:kern w:val="0"/>
                <w:sz w:val="21"/>
                <w:szCs w:val="21"/>
                <w:vertAlign w:val="superscript"/>
              </w:rPr>
              <w:t>2</w:t>
            </w:r>
          </w:p>
        </w:tc>
        <w:tc>
          <w:tcPr>
            <w:tcW w:w="273" w:type="pct"/>
            <w:tcBorders>
              <w:tl2br w:val="nil"/>
              <w:tr2bl w:val="nil"/>
            </w:tcBorders>
            <w:vAlign w:val="center"/>
          </w:tcPr>
          <w:p w14:paraId="1B24A6D4">
            <w:pPr>
              <w:widowControl/>
              <w:spacing w:line="240" w:lineRule="auto"/>
              <w:ind w:firstLine="0" w:firstLineChars="0"/>
              <w:jc w:val="center"/>
              <w:rPr>
                <w:color w:val="auto"/>
                <w:kern w:val="0"/>
                <w:sz w:val="21"/>
                <w:szCs w:val="21"/>
              </w:rPr>
            </w:pPr>
            <w:r>
              <w:rPr>
                <w:rFonts w:hint="eastAsia"/>
                <w:color w:val="auto"/>
                <w:kern w:val="0"/>
                <w:sz w:val="21"/>
                <w:szCs w:val="21"/>
              </w:rPr>
              <w:t>2层</w:t>
            </w:r>
          </w:p>
        </w:tc>
        <w:tc>
          <w:tcPr>
            <w:tcW w:w="2217" w:type="pct"/>
            <w:tcBorders>
              <w:tl2br w:val="nil"/>
              <w:tr2bl w:val="nil"/>
            </w:tcBorders>
            <w:vAlign w:val="center"/>
          </w:tcPr>
          <w:p w14:paraId="34E08255">
            <w:pPr>
              <w:widowControl/>
              <w:spacing w:line="240" w:lineRule="auto"/>
              <w:ind w:firstLine="0" w:firstLineChars="0"/>
              <w:jc w:val="center"/>
              <w:rPr>
                <w:color w:val="auto"/>
                <w:kern w:val="0"/>
                <w:sz w:val="21"/>
                <w:szCs w:val="21"/>
              </w:rPr>
            </w:pPr>
            <w:r>
              <w:rPr>
                <w:rFonts w:hint="eastAsia"/>
                <w:color w:val="auto"/>
                <w:kern w:val="0"/>
                <w:sz w:val="21"/>
                <w:szCs w:val="21"/>
              </w:rPr>
              <w:t>设置有依达拉奉制剂生产线</w:t>
            </w:r>
          </w:p>
        </w:tc>
        <w:tc>
          <w:tcPr>
            <w:tcW w:w="339" w:type="pct"/>
            <w:tcBorders>
              <w:tl2br w:val="nil"/>
              <w:tr2bl w:val="nil"/>
            </w:tcBorders>
            <w:vAlign w:val="center"/>
          </w:tcPr>
          <w:p w14:paraId="617E3AE7">
            <w:pPr>
              <w:widowControl/>
              <w:spacing w:line="240" w:lineRule="auto"/>
              <w:ind w:firstLine="0" w:firstLineChars="0"/>
              <w:jc w:val="center"/>
              <w:rPr>
                <w:color w:val="auto"/>
                <w:kern w:val="0"/>
                <w:sz w:val="21"/>
                <w:szCs w:val="21"/>
              </w:rPr>
            </w:pPr>
            <w:r>
              <w:rPr>
                <w:rFonts w:hint="eastAsia"/>
                <w:color w:val="auto"/>
                <w:kern w:val="0"/>
                <w:sz w:val="21"/>
                <w:szCs w:val="21"/>
              </w:rPr>
              <w:t>在建</w:t>
            </w:r>
          </w:p>
        </w:tc>
      </w:tr>
      <w:tr w14:paraId="1748B92A">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29FF353F">
            <w:pPr>
              <w:widowControl/>
              <w:spacing w:line="240" w:lineRule="auto"/>
              <w:ind w:firstLine="0" w:firstLineChars="0"/>
              <w:jc w:val="center"/>
              <w:rPr>
                <w:color w:val="auto"/>
                <w:kern w:val="0"/>
                <w:sz w:val="21"/>
                <w:szCs w:val="21"/>
              </w:rPr>
            </w:pPr>
            <w:r>
              <w:rPr>
                <w:rFonts w:hint="eastAsia"/>
                <w:color w:val="auto"/>
                <w:kern w:val="0"/>
                <w:sz w:val="21"/>
                <w:szCs w:val="21"/>
              </w:rPr>
              <w:t>20</w:t>
            </w:r>
          </w:p>
        </w:tc>
        <w:tc>
          <w:tcPr>
            <w:tcW w:w="838" w:type="pct"/>
            <w:tcBorders>
              <w:tl2br w:val="nil"/>
              <w:tr2bl w:val="nil"/>
            </w:tcBorders>
            <w:vAlign w:val="center"/>
          </w:tcPr>
          <w:p w14:paraId="34BB8157">
            <w:pPr>
              <w:widowControl/>
              <w:spacing w:line="240" w:lineRule="auto"/>
              <w:ind w:firstLine="0" w:firstLineChars="0"/>
              <w:jc w:val="center"/>
              <w:rPr>
                <w:color w:val="auto"/>
                <w:kern w:val="0"/>
                <w:sz w:val="21"/>
                <w:szCs w:val="21"/>
              </w:rPr>
            </w:pPr>
            <w:r>
              <w:rPr>
                <w:rFonts w:hint="eastAsia"/>
                <w:color w:val="auto"/>
                <w:kern w:val="0"/>
                <w:sz w:val="21"/>
                <w:szCs w:val="21"/>
              </w:rPr>
              <w:t>合成车间</w:t>
            </w:r>
          </w:p>
        </w:tc>
        <w:tc>
          <w:tcPr>
            <w:tcW w:w="539" w:type="pct"/>
            <w:tcBorders>
              <w:tl2br w:val="nil"/>
              <w:tr2bl w:val="nil"/>
            </w:tcBorders>
            <w:vAlign w:val="center"/>
          </w:tcPr>
          <w:p w14:paraId="00C8FE43">
            <w:pPr>
              <w:widowControl/>
              <w:spacing w:line="240" w:lineRule="auto"/>
              <w:ind w:firstLine="0" w:firstLineChars="0"/>
              <w:jc w:val="center"/>
              <w:rPr>
                <w:color w:val="auto"/>
                <w:kern w:val="0"/>
                <w:sz w:val="21"/>
                <w:szCs w:val="21"/>
              </w:rPr>
            </w:pPr>
            <w:r>
              <w:rPr>
                <w:rFonts w:hint="eastAsia"/>
                <w:color w:val="auto"/>
                <w:kern w:val="0"/>
                <w:sz w:val="21"/>
                <w:szCs w:val="21"/>
              </w:rPr>
              <w:t>957.6m</w:t>
            </w:r>
            <w:r>
              <w:rPr>
                <w:rFonts w:hint="eastAsia"/>
                <w:color w:val="auto"/>
                <w:kern w:val="0"/>
                <w:sz w:val="21"/>
                <w:szCs w:val="21"/>
                <w:vertAlign w:val="superscript"/>
              </w:rPr>
              <w:t>2</w:t>
            </w:r>
          </w:p>
        </w:tc>
        <w:tc>
          <w:tcPr>
            <w:tcW w:w="539" w:type="pct"/>
            <w:tcBorders>
              <w:tl2br w:val="nil"/>
              <w:tr2bl w:val="nil"/>
            </w:tcBorders>
            <w:vAlign w:val="center"/>
          </w:tcPr>
          <w:p w14:paraId="5739D285">
            <w:pPr>
              <w:widowControl/>
              <w:spacing w:line="240" w:lineRule="auto"/>
              <w:ind w:firstLine="0" w:firstLineChars="0"/>
              <w:jc w:val="center"/>
              <w:rPr>
                <w:color w:val="auto"/>
                <w:kern w:val="0"/>
                <w:sz w:val="21"/>
                <w:szCs w:val="21"/>
              </w:rPr>
            </w:pPr>
            <w:r>
              <w:rPr>
                <w:rFonts w:hint="eastAsia"/>
                <w:color w:val="auto"/>
                <w:kern w:val="0"/>
                <w:sz w:val="21"/>
                <w:szCs w:val="21"/>
              </w:rPr>
              <w:t>3830.4m</w:t>
            </w:r>
            <w:r>
              <w:rPr>
                <w:rFonts w:hint="eastAsia"/>
                <w:color w:val="auto"/>
                <w:kern w:val="0"/>
                <w:sz w:val="21"/>
                <w:szCs w:val="21"/>
                <w:vertAlign w:val="superscript"/>
              </w:rPr>
              <w:t>2</w:t>
            </w:r>
          </w:p>
        </w:tc>
        <w:tc>
          <w:tcPr>
            <w:tcW w:w="273" w:type="pct"/>
            <w:tcBorders>
              <w:tl2br w:val="nil"/>
              <w:tr2bl w:val="nil"/>
            </w:tcBorders>
            <w:vAlign w:val="center"/>
          </w:tcPr>
          <w:p w14:paraId="23E8E9C7">
            <w:pPr>
              <w:widowControl/>
              <w:spacing w:line="240" w:lineRule="auto"/>
              <w:ind w:firstLine="0" w:firstLineChars="0"/>
              <w:jc w:val="center"/>
              <w:rPr>
                <w:color w:val="auto"/>
                <w:kern w:val="0"/>
                <w:sz w:val="21"/>
                <w:szCs w:val="21"/>
              </w:rPr>
            </w:pPr>
            <w:r>
              <w:rPr>
                <w:rFonts w:hint="eastAsia"/>
                <w:color w:val="auto"/>
                <w:kern w:val="0"/>
                <w:sz w:val="21"/>
                <w:szCs w:val="21"/>
              </w:rPr>
              <w:t>4层</w:t>
            </w:r>
          </w:p>
        </w:tc>
        <w:tc>
          <w:tcPr>
            <w:tcW w:w="2217" w:type="pct"/>
            <w:tcBorders>
              <w:tl2br w:val="nil"/>
              <w:tr2bl w:val="nil"/>
            </w:tcBorders>
            <w:vAlign w:val="center"/>
          </w:tcPr>
          <w:p w14:paraId="24D3C11D">
            <w:pPr>
              <w:widowControl/>
              <w:spacing w:line="240" w:lineRule="auto"/>
              <w:ind w:firstLine="0" w:firstLineChars="0"/>
              <w:jc w:val="center"/>
              <w:rPr>
                <w:color w:val="auto"/>
                <w:kern w:val="0"/>
                <w:sz w:val="21"/>
                <w:szCs w:val="21"/>
              </w:rPr>
            </w:pPr>
            <w:r>
              <w:rPr>
                <w:rFonts w:hint="eastAsia"/>
                <w:color w:val="auto"/>
                <w:kern w:val="0"/>
                <w:sz w:val="21"/>
                <w:szCs w:val="21"/>
              </w:rPr>
              <w:t>仅在建构筑物不涉及具体生产</w:t>
            </w:r>
          </w:p>
        </w:tc>
        <w:tc>
          <w:tcPr>
            <w:tcW w:w="339" w:type="pct"/>
            <w:tcBorders>
              <w:tl2br w:val="nil"/>
              <w:tr2bl w:val="nil"/>
            </w:tcBorders>
            <w:vAlign w:val="center"/>
          </w:tcPr>
          <w:p w14:paraId="69F55C8A">
            <w:pPr>
              <w:widowControl/>
              <w:spacing w:line="240" w:lineRule="auto"/>
              <w:ind w:firstLine="0" w:firstLineChars="0"/>
              <w:jc w:val="center"/>
              <w:rPr>
                <w:color w:val="auto"/>
                <w:kern w:val="0"/>
                <w:sz w:val="21"/>
                <w:szCs w:val="21"/>
              </w:rPr>
            </w:pPr>
            <w:r>
              <w:rPr>
                <w:rFonts w:hint="eastAsia"/>
                <w:color w:val="auto"/>
                <w:kern w:val="0"/>
                <w:sz w:val="21"/>
                <w:szCs w:val="21"/>
              </w:rPr>
              <w:t>在建</w:t>
            </w:r>
          </w:p>
        </w:tc>
      </w:tr>
      <w:tr w14:paraId="747C3C4E">
        <w:tblPrEx>
          <w:tblBorders>
            <w:top w:val="single" w:color="auto" w:sz="12" w:space="0"/>
            <w:left w:val="none" w:color="auto" w:sz="0" w:space="0"/>
            <w:bottom w:val="single" w:color="auto"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0BF1B492">
            <w:pPr>
              <w:widowControl/>
              <w:spacing w:line="240" w:lineRule="auto"/>
              <w:ind w:firstLine="0" w:firstLineChars="0"/>
              <w:jc w:val="center"/>
              <w:rPr>
                <w:color w:val="auto"/>
                <w:kern w:val="0"/>
                <w:sz w:val="21"/>
                <w:szCs w:val="21"/>
              </w:rPr>
            </w:pPr>
            <w:r>
              <w:rPr>
                <w:rFonts w:hint="eastAsia"/>
                <w:color w:val="auto"/>
                <w:kern w:val="0"/>
                <w:sz w:val="21"/>
                <w:szCs w:val="21"/>
              </w:rPr>
              <w:t>21</w:t>
            </w:r>
          </w:p>
        </w:tc>
        <w:tc>
          <w:tcPr>
            <w:tcW w:w="838" w:type="pct"/>
            <w:tcBorders>
              <w:tl2br w:val="nil"/>
              <w:tr2bl w:val="nil"/>
            </w:tcBorders>
            <w:vAlign w:val="center"/>
          </w:tcPr>
          <w:p w14:paraId="49A804C7">
            <w:pPr>
              <w:widowControl/>
              <w:spacing w:line="240" w:lineRule="auto"/>
              <w:ind w:firstLine="0" w:firstLineChars="0"/>
              <w:jc w:val="center"/>
              <w:rPr>
                <w:color w:val="auto"/>
                <w:kern w:val="0"/>
                <w:sz w:val="21"/>
                <w:szCs w:val="21"/>
              </w:rPr>
            </w:pPr>
            <w:r>
              <w:rPr>
                <w:rFonts w:hint="eastAsia"/>
                <w:color w:val="auto"/>
                <w:kern w:val="0"/>
                <w:sz w:val="21"/>
                <w:szCs w:val="21"/>
              </w:rPr>
              <w:t>研发车间</w:t>
            </w:r>
          </w:p>
        </w:tc>
        <w:tc>
          <w:tcPr>
            <w:tcW w:w="539" w:type="pct"/>
            <w:tcBorders>
              <w:tl2br w:val="nil"/>
              <w:tr2bl w:val="nil"/>
            </w:tcBorders>
            <w:vAlign w:val="center"/>
          </w:tcPr>
          <w:p w14:paraId="6AC4543F">
            <w:pPr>
              <w:widowControl/>
              <w:spacing w:line="240" w:lineRule="auto"/>
              <w:ind w:firstLine="0" w:firstLineChars="0"/>
              <w:jc w:val="center"/>
              <w:rPr>
                <w:color w:val="auto"/>
                <w:kern w:val="0"/>
                <w:sz w:val="21"/>
                <w:szCs w:val="21"/>
              </w:rPr>
            </w:pPr>
            <w:r>
              <w:rPr>
                <w:rFonts w:hint="eastAsia"/>
                <w:color w:val="auto"/>
                <w:kern w:val="0"/>
                <w:sz w:val="21"/>
                <w:szCs w:val="21"/>
              </w:rPr>
              <w:t>630.19m</w:t>
            </w:r>
            <w:r>
              <w:rPr>
                <w:rFonts w:hint="eastAsia"/>
                <w:color w:val="auto"/>
                <w:kern w:val="0"/>
                <w:sz w:val="21"/>
                <w:szCs w:val="21"/>
                <w:vertAlign w:val="superscript"/>
              </w:rPr>
              <w:t>2</w:t>
            </w:r>
          </w:p>
        </w:tc>
        <w:tc>
          <w:tcPr>
            <w:tcW w:w="539" w:type="pct"/>
            <w:tcBorders>
              <w:tl2br w:val="nil"/>
              <w:tr2bl w:val="nil"/>
            </w:tcBorders>
            <w:vAlign w:val="center"/>
          </w:tcPr>
          <w:p w14:paraId="7F30D6AF">
            <w:pPr>
              <w:widowControl/>
              <w:spacing w:line="240" w:lineRule="auto"/>
              <w:ind w:firstLine="0" w:firstLineChars="0"/>
              <w:jc w:val="center"/>
              <w:rPr>
                <w:color w:val="auto"/>
                <w:kern w:val="0"/>
                <w:sz w:val="21"/>
                <w:szCs w:val="21"/>
              </w:rPr>
            </w:pPr>
            <w:r>
              <w:rPr>
                <w:rFonts w:hint="eastAsia"/>
                <w:color w:val="auto"/>
                <w:kern w:val="0"/>
                <w:sz w:val="21"/>
                <w:szCs w:val="21"/>
              </w:rPr>
              <w:t>2520.7m</w:t>
            </w:r>
            <w:r>
              <w:rPr>
                <w:rFonts w:hint="eastAsia"/>
                <w:color w:val="auto"/>
                <w:kern w:val="0"/>
                <w:sz w:val="21"/>
                <w:szCs w:val="21"/>
                <w:vertAlign w:val="superscript"/>
              </w:rPr>
              <w:t>2</w:t>
            </w:r>
          </w:p>
        </w:tc>
        <w:tc>
          <w:tcPr>
            <w:tcW w:w="273" w:type="pct"/>
            <w:tcBorders>
              <w:tl2br w:val="nil"/>
              <w:tr2bl w:val="nil"/>
            </w:tcBorders>
            <w:vAlign w:val="center"/>
          </w:tcPr>
          <w:p w14:paraId="2324374F">
            <w:pPr>
              <w:widowControl/>
              <w:spacing w:line="240" w:lineRule="auto"/>
              <w:ind w:firstLine="0" w:firstLineChars="0"/>
              <w:jc w:val="center"/>
              <w:rPr>
                <w:color w:val="auto"/>
                <w:kern w:val="0"/>
                <w:sz w:val="21"/>
                <w:szCs w:val="21"/>
              </w:rPr>
            </w:pPr>
            <w:r>
              <w:rPr>
                <w:rFonts w:hint="eastAsia"/>
                <w:color w:val="auto"/>
                <w:kern w:val="0"/>
                <w:sz w:val="21"/>
                <w:szCs w:val="21"/>
              </w:rPr>
              <w:t>4层</w:t>
            </w:r>
          </w:p>
        </w:tc>
        <w:tc>
          <w:tcPr>
            <w:tcW w:w="2217" w:type="pct"/>
            <w:tcBorders>
              <w:tl2br w:val="nil"/>
              <w:tr2bl w:val="nil"/>
            </w:tcBorders>
            <w:vAlign w:val="center"/>
          </w:tcPr>
          <w:p w14:paraId="38CCDC3E">
            <w:pPr>
              <w:widowControl/>
              <w:spacing w:line="240" w:lineRule="auto"/>
              <w:ind w:firstLine="0" w:firstLineChars="0"/>
              <w:jc w:val="center"/>
              <w:rPr>
                <w:color w:val="auto"/>
                <w:kern w:val="0"/>
                <w:sz w:val="21"/>
                <w:szCs w:val="21"/>
              </w:rPr>
            </w:pPr>
            <w:r>
              <w:rPr>
                <w:rFonts w:hint="eastAsia"/>
                <w:color w:val="auto"/>
                <w:kern w:val="0"/>
                <w:sz w:val="21"/>
                <w:szCs w:val="21"/>
              </w:rPr>
              <w:t>仅在建构筑物不涉及具体生产</w:t>
            </w:r>
          </w:p>
        </w:tc>
        <w:tc>
          <w:tcPr>
            <w:tcW w:w="339" w:type="pct"/>
            <w:tcBorders>
              <w:tl2br w:val="nil"/>
              <w:tr2bl w:val="nil"/>
            </w:tcBorders>
            <w:vAlign w:val="center"/>
          </w:tcPr>
          <w:p w14:paraId="66051B1C">
            <w:pPr>
              <w:widowControl/>
              <w:spacing w:line="240" w:lineRule="auto"/>
              <w:ind w:firstLine="0" w:firstLineChars="0"/>
              <w:jc w:val="center"/>
              <w:rPr>
                <w:color w:val="auto"/>
                <w:kern w:val="0"/>
                <w:sz w:val="21"/>
                <w:szCs w:val="21"/>
              </w:rPr>
            </w:pPr>
            <w:r>
              <w:rPr>
                <w:rFonts w:hint="eastAsia"/>
                <w:color w:val="auto"/>
                <w:kern w:val="0"/>
                <w:sz w:val="21"/>
                <w:szCs w:val="21"/>
              </w:rPr>
              <w:t>在建</w:t>
            </w:r>
          </w:p>
        </w:tc>
      </w:tr>
    </w:tbl>
    <w:p w14:paraId="06ECC70F">
      <w:pPr>
        <w:pStyle w:val="4"/>
        <w:rPr>
          <w:color w:val="auto"/>
        </w:rPr>
      </w:pPr>
      <w:bookmarkStart w:id="81" w:name="_Toc9424"/>
      <w:r>
        <w:rPr>
          <w:rFonts w:hint="eastAsia"/>
          <w:color w:val="auto"/>
        </w:rPr>
        <w:t>3.2.2</w:t>
      </w:r>
      <w:r>
        <w:rPr>
          <w:color w:val="auto"/>
        </w:rPr>
        <w:t>公辅工程</w:t>
      </w:r>
      <w:bookmarkEnd w:id="81"/>
    </w:p>
    <w:p w14:paraId="4F92A0F1">
      <w:pPr>
        <w:spacing w:line="460" w:lineRule="exact"/>
        <w:ind w:firstLine="480"/>
        <w:rPr>
          <w:color w:val="auto"/>
        </w:rPr>
      </w:pPr>
      <w:r>
        <w:rPr>
          <w:color w:val="auto"/>
        </w:rPr>
        <w:t>厂区现有公用及辅助工程见表3.2-2</w:t>
      </w:r>
      <w:r>
        <w:rPr>
          <w:rFonts w:hint="eastAsia"/>
          <w:color w:val="auto"/>
        </w:rPr>
        <w:t>。</w:t>
      </w:r>
    </w:p>
    <w:p w14:paraId="3137191E">
      <w:pPr>
        <w:pStyle w:val="49"/>
        <w:rPr>
          <w:color w:val="auto"/>
        </w:rPr>
      </w:pPr>
      <w:r>
        <w:rPr>
          <w:color w:val="auto"/>
        </w:rPr>
        <w:t>表</w:t>
      </w:r>
      <w:r>
        <w:rPr>
          <w:rFonts w:hint="eastAsia"/>
          <w:color w:val="auto"/>
        </w:rPr>
        <w:t>3.2-2</w:t>
      </w:r>
      <w:r>
        <w:rPr>
          <w:color w:val="auto"/>
        </w:rPr>
        <w:t xml:space="preserve"> </w:t>
      </w:r>
      <w:r>
        <w:rPr>
          <w:rFonts w:hint="eastAsia"/>
          <w:color w:val="auto"/>
        </w:rPr>
        <w:t xml:space="preserve"> </w:t>
      </w:r>
      <w:r>
        <w:rPr>
          <w:color w:val="auto"/>
        </w:rPr>
        <w:t>现有厂区公用及辅助工程</w:t>
      </w:r>
      <w:r>
        <w:rPr>
          <w:rFonts w:hint="eastAsia"/>
          <w:color w:val="auto"/>
        </w:rPr>
        <w:t>表</w:t>
      </w:r>
    </w:p>
    <w:tbl>
      <w:tblPr>
        <w:tblStyle w:val="25"/>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76"/>
        <w:gridCol w:w="1474"/>
        <w:gridCol w:w="3036"/>
        <w:gridCol w:w="2860"/>
        <w:gridCol w:w="1504"/>
      </w:tblGrid>
      <w:tr w14:paraId="5130C96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tcBorders>
              <w:tl2br w:val="nil"/>
              <w:tr2bl w:val="nil"/>
            </w:tcBorders>
            <w:vAlign w:val="center"/>
          </w:tcPr>
          <w:p w14:paraId="49B85064">
            <w:pPr>
              <w:widowControl/>
              <w:spacing w:line="240" w:lineRule="auto"/>
              <w:ind w:firstLine="0" w:firstLineChars="0"/>
              <w:jc w:val="center"/>
              <w:rPr>
                <w:b/>
                <w:bCs/>
                <w:color w:val="auto"/>
                <w:kern w:val="0"/>
                <w:sz w:val="21"/>
                <w:szCs w:val="21"/>
              </w:rPr>
            </w:pPr>
            <w:r>
              <w:rPr>
                <w:b/>
                <w:bCs/>
                <w:color w:val="auto"/>
                <w:kern w:val="0"/>
                <w:sz w:val="21"/>
                <w:szCs w:val="21"/>
              </w:rPr>
              <w:t>类别</w:t>
            </w:r>
          </w:p>
        </w:tc>
        <w:tc>
          <w:tcPr>
            <w:tcW w:w="748" w:type="pct"/>
            <w:tcBorders>
              <w:tl2br w:val="nil"/>
              <w:tr2bl w:val="nil"/>
            </w:tcBorders>
            <w:vAlign w:val="center"/>
          </w:tcPr>
          <w:p w14:paraId="73822119">
            <w:pPr>
              <w:widowControl/>
              <w:spacing w:line="240" w:lineRule="auto"/>
              <w:ind w:firstLine="0" w:firstLineChars="0"/>
              <w:jc w:val="center"/>
              <w:rPr>
                <w:b/>
                <w:bCs/>
                <w:color w:val="auto"/>
                <w:kern w:val="0"/>
                <w:sz w:val="21"/>
                <w:szCs w:val="21"/>
              </w:rPr>
            </w:pPr>
            <w:r>
              <w:rPr>
                <w:b/>
                <w:bCs/>
                <w:color w:val="auto"/>
                <w:kern w:val="0"/>
                <w:sz w:val="21"/>
                <w:szCs w:val="21"/>
              </w:rPr>
              <w:t>建设名称</w:t>
            </w:r>
          </w:p>
        </w:tc>
        <w:tc>
          <w:tcPr>
            <w:tcW w:w="1540" w:type="pct"/>
            <w:tcBorders>
              <w:tl2br w:val="nil"/>
              <w:tr2bl w:val="nil"/>
            </w:tcBorders>
            <w:vAlign w:val="center"/>
          </w:tcPr>
          <w:p w14:paraId="464E2259">
            <w:pPr>
              <w:widowControl/>
              <w:spacing w:line="240" w:lineRule="auto"/>
              <w:ind w:firstLine="0" w:firstLineChars="0"/>
              <w:jc w:val="center"/>
              <w:rPr>
                <w:b/>
                <w:bCs/>
                <w:color w:val="auto"/>
                <w:kern w:val="0"/>
                <w:sz w:val="21"/>
                <w:szCs w:val="21"/>
              </w:rPr>
            </w:pPr>
            <w:r>
              <w:rPr>
                <w:rFonts w:hint="eastAsia"/>
                <w:b/>
                <w:bCs/>
                <w:color w:val="auto"/>
                <w:kern w:val="0"/>
                <w:sz w:val="21"/>
                <w:szCs w:val="21"/>
              </w:rPr>
              <w:t>原环评</w:t>
            </w:r>
            <w:r>
              <w:rPr>
                <w:b/>
                <w:bCs/>
                <w:color w:val="auto"/>
                <w:kern w:val="0"/>
                <w:sz w:val="21"/>
                <w:szCs w:val="21"/>
              </w:rPr>
              <w:t>设计</w:t>
            </w:r>
            <w:r>
              <w:rPr>
                <w:rFonts w:hint="eastAsia"/>
                <w:b/>
                <w:bCs/>
                <w:color w:val="auto"/>
                <w:kern w:val="0"/>
                <w:sz w:val="21"/>
                <w:szCs w:val="21"/>
              </w:rPr>
              <w:t>内容</w:t>
            </w:r>
          </w:p>
        </w:tc>
        <w:tc>
          <w:tcPr>
            <w:tcW w:w="1451" w:type="pct"/>
            <w:tcBorders>
              <w:tl2br w:val="nil"/>
              <w:tr2bl w:val="nil"/>
            </w:tcBorders>
            <w:vAlign w:val="center"/>
          </w:tcPr>
          <w:p w14:paraId="2474FA77">
            <w:pPr>
              <w:widowControl/>
              <w:spacing w:line="240" w:lineRule="auto"/>
              <w:ind w:firstLine="0" w:firstLineChars="0"/>
              <w:jc w:val="center"/>
              <w:rPr>
                <w:b/>
                <w:bCs/>
                <w:color w:val="auto"/>
                <w:kern w:val="0"/>
                <w:sz w:val="21"/>
                <w:szCs w:val="21"/>
              </w:rPr>
            </w:pPr>
            <w:r>
              <w:rPr>
                <w:rFonts w:hint="eastAsia"/>
                <w:b/>
                <w:bCs/>
                <w:color w:val="auto"/>
                <w:kern w:val="0"/>
                <w:sz w:val="21"/>
                <w:szCs w:val="21"/>
              </w:rPr>
              <w:t>实际建设情况</w:t>
            </w:r>
          </w:p>
        </w:tc>
        <w:tc>
          <w:tcPr>
            <w:tcW w:w="763" w:type="pct"/>
            <w:tcBorders>
              <w:tl2br w:val="nil"/>
              <w:tr2bl w:val="nil"/>
            </w:tcBorders>
            <w:vAlign w:val="center"/>
          </w:tcPr>
          <w:p w14:paraId="3B124D90">
            <w:pPr>
              <w:widowControl/>
              <w:spacing w:line="240" w:lineRule="auto"/>
              <w:ind w:firstLine="0" w:firstLineChars="0"/>
              <w:jc w:val="center"/>
              <w:rPr>
                <w:b/>
                <w:bCs/>
                <w:color w:val="auto"/>
                <w:kern w:val="0"/>
                <w:sz w:val="21"/>
                <w:szCs w:val="21"/>
              </w:rPr>
            </w:pPr>
            <w:r>
              <w:rPr>
                <w:b/>
                <w:bCs/>
                <w:color w:val="auto"/>
                <w:kern w:val="0"/>
                <w:sz w:val="21"/>
                <w:szCs w:val="21"/>
              </w:rPr>
              <w:t>备注</w:t>
            </w:r>
          </w:p>
        </w:tc>
      </w:tr>
      <w:tr w14:paraId="18F9812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restart"/>
            <w:tcBorders>
              <w:tl2br w:val="nil"/>
              <w:tr2bl w:val="nil"/>
            </w:tcBorders>
            <w:vAlign w:val="center"/>
          </w:tcPr>
          <w:p w14:paraId="31043454">
            <w:pPr>
              <w:widowControl/>
              <w:spacing w:line="240" w:lineRule="auto"/>
              <w:ind w:firstLine="0" w:firstLineChars="0"/>
              <w:jc w:val="center"/>
              <w:rPr>
                <w:color w:val="auto"/>
                <w:kern w:val="0"/>
                <w:sz w:val="21"/>
                <w:szCs w:val="21"/>
              </w:rPr>
            </w:pPr>
            <w:r>
              <w:rPr>
                <w:rFonts w:hint="eastAsia"/>
                <w:color w:val="auto"/>
                <w:kern w:val="0"/>
                <w:sz w:val="21"/>
                <w:szCs w:val="21"/>
              </w:rPr>
              <w:t>贮运工程</w:t>
            </w:r>
          </w:p>
        </w:tc>
        <w:tc>
          <w:tcPr>
            <w:tcW w:w="748" w:type="pct"/>
            <w:tcBorders>
              <w:tl2br w:val="nil"/>
              <w:tr2bl w:val="nil"/>
            </w:tcBorders>
            <w:vAlign w:val="center"/>
          </w:tcPr>
          <w:p w14:paraId="3356FE73">
            <w:pPr>
              <w:spacing w:line="240" w:lineRule="auto"/>
              <w:ind w:firstLine="0" w:firstLineChars="0"/>
              <w:jc w:val="center"/>
              <w:rPr>
                <w:color w:val="auto"/>
                <w:kern w:val="0"/>
                <w:sz w:val="21"/>
                <w:szCs w:val="21"/>
              </w:rPr>
            </w:pPr>
            <w:r>
              <w:rPr>
                <w:rFonts w:hint="eastAsia"/>
                <w:color w:val="auto"/>
                <w:sz w:val="21"/>
              </w:rPr>
              <w:t>乙类仓库</w:t>
            </w:r>
          </w:p>
        </w:tc>
        <w:tc>
          <w:tcPr>
            <w:tcW w:w="1540" w:type="pct"/>
            <w:tcBorders>
              <w:tl2br w:val="nil"/>
              <w:tr2bl w:val="nil"/>
            </w:tcBorders>
            <w:vAlign w:val="center"/>
          </w:tcPr>
          <w:p w14:paraId="4E00D3D7">
            <w:pPr>
              <w:widowControl/>
              <w:spacing w:line="240" w:lineRule="auto"/>
              <w:ind w:firstLine="0" w:firstLineChars="0"/>
              <w:jc w:val="center"/>
              <w:rPr>
                <w:color w:val="auto"/>
                <w:kern w:val="0"/>
                <w:sz w:val="21"/>
                <w:szCs w:val="21"/>
              </w:rPr>
            </w:pPr>
            <w:r>
              <w:rPr>
                <w:rFonts w:hint="eastAsia"/>
                <w:color w:val="auto"/>
                <w:kern w:val="0"/>
                <w:sz w:val="21"/>
                <w:szCs w:val="21"/>
              </w:rPr>
              <w:t>1层，建筑面积800m</w:t>
            </w:r>
            <w:r>
              <w:rPr>
                <w:rFonts w:hint="eastAsia"/>
                <w:color w:val="auto"/>
                <w:kern w:val="0"/>
                <w:sz w:val="21"/>
                <w:szCs w:val="21"/>
                <w:vertAlign w:val="superscript"/>
              </w:rPr>
              <w:t>2</w:t>
            </w:r>
          </w:p>
        </w:tc>
        <w:tc>
          <w:tcPr>
            <w:tcW w:w="1451" w:type="pct"/>
            <w:tcBorders>
              <w:tl2br w:val="nil"/>
              <w:tr2bl w:val="nil"/>
            </w:tcBorders>
            <w:vAlign w:val="center"/>
          </w:tcPr>
          <w:p w14:paraId="72A67AD1">
            <w:pPr>
              <w:widowControl/>
              <w:spacing w:line="240" w:lineRule="auto"/>
              <w:ind w:firstLine="0" w:firstLineChars="0"/>
              <w:jc w:val="center"/>
              <w:rPr>
                <w:color w:val="auto"/>
                <w:kern w:val="0"/>
                <w:sz w:val="21"/>
                <w:szCs w:val="21"/>
              </w:rPr>
            </w:pPr>
            <w:r>
              <w:rPr>
                <w:rFonts w:hint="eastAsia"/>
                <w:color w:val="auto"/>
                <w:kern w:val="0"/>
                <w:sz w:val="21"/>
                <w:szCs w:val="21"/>
              </w:rPr>
              <w:t>1层，建筑面积800m</w:t>
            </w:r>
            <w:r>
              <w:rPr>
                <w:rFonts w:hint="eastAsia"/>
                <w:color w:val="auto"/>
                <w:kern w:val="0"/>
                <w:sz w:val="21"/>
                <w:szCs w:val="21"/>
                <w:vertAlign w:val="superscript"/>
              </w:rPr>
              <w:t>2</w:t>
            </w:r>
          </w:p>
        </w:tc>
        <w:tc>
          <w:tcPr>
            <w:tcW w:w="763" w:type="pct"/>
            <w:tcBorders>
              <w:tl2br w:val="nil"/>
              <w:tr2bl w:val="nil"/>
            </w:tcBorders>
            <w:vAlign w:val="center"/>
          </w:tcPr>
          <w:p w14:paraId="681D6841">
            <w:pPr>
              <w:widowControl/>
              <w:spacing w:line="240" w:lineRule="auto"/>
              <w:ind w:firstLine="0" w:firstLineChars="0"/>
              <w:jc w:val="center"/>
              <w:rPr>
                <w:color w:val="auto"/>
                <w:kern w:val="0"/>
                <w:sz w:val="21"/>
                <w:szCs w:val="21"/>
              </w:rPr>
            </w:pPr>
            <w:r>
              <w:rPr>
                <w:rFonts w:hint="eastAsia"/>
                <w:color w:val="auto"/>
                <w:kern w:val="0"/>
                <w:sz w:val="21"/>
                <w:szCs w:val="21"/>
              </w:rPr>
              <w:t>依托现有</w:t>
            </w:r>
          </w:p>
        </w:tc>
      </w:tr>
      <w:tr w14:paraId="3328EA1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65781AFE">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34173F58">
            <w:pPr>
              <w:spacing w:line="240" w:lineRule="auto"/>
              <w:ind w:firstLine="0" w:firstLineChars="0"/>
              <w:jc w:val="center"/>
              <w:rPr>
                <w:color w:val="auto"/>
                <w:kern w:val="0"/>
                <w:sz w:val="21"/>
                <w:szCs w:val="21"/>
              </w:rPr>
            </w:pPr>
            <w:r>
              <w:rPr>
                <w:rFonts w:hint="eastAsia"/>
                <w:color w:val="auto"/>
                <w:sz w:val="21"/>
              </w:rPr>
              <w:t>丙类仓库</w:t>
            </w:r>
          </w:p>
        </w:tc>
        <w:tc>
          <w:tcPr>
            <w:tcW w:w="1540" w:type="pct"/>
            <w:tcBorders>
              <w:tl2br w:val="nil"/>
              <w:tr2bl w:val="nil"/>
            </w:tcBorders>
            <w:vAlign w:val="center"/>
          </w:tcPr>
          <w:p w14:paraId="21B64FDE">
            <w:pPr>
              <w:widowControl/>
              <w:spacing w:line="240" w:lineRule="auto"/>
              <w:ind w:firstLine="0" w:firstLineChars="0"/>
              <w:jc w:val="center"/>
              <w:rPr>
                <w:color w:val="auto"/>
                <w:kern w:val="0"/>
                <w:sz w:val="21"/>
                <w:szCs w:val="21"/>
              </w:rPr>
            </w:pPr>
            <w:r>
              <w:rPr>
                <w:rFonts w:hint="eastAsia"/>
                <w:color w:val="auto"/>
                <w:kern w:val="0"/>
                <w:sz w:val="21"/>
                <w:szCs w:val="21"/>
              </w:rPr>
              <w:t>4层，建筑面积4006.98m</w:t>
            </w:r>
            <w:r>
              <w:rPr>
                <w:rFonts w:hint="eastAsia"/>
                <w:color w:val="auto"/>
                <w:kern w:val="0"/>
                <w:sz w:val="21"/>
                <w:szCs w:val="21"/>
                <w:vertAlign w:val="superscript"/>
              </w:rPr>
              <w:t>2</w:t>
            </w:r>
          </w:p>
        </w:tc>
        <w:tc>
          <w:tcPr>
            <w:tcW w:w="1451" w:type="pct"/>
            <w:tcBorders>
              <w:tl2br w:val="nil"/>
              <w:tr2bl w:val="nil"/>
            </w:tcBorders>
            <w:vAlign w:val="center"/>
          </w:tcPr>
          <w:p w14:paraId="0B1A5E52">
            <w:pPr>
              <w:widowControl/>
              <w:spacing w:line="240" w:lineRule="auto"/>
              <w:ind w:firstLine="0" w:firstLineChars="0"/>
              <w:jc w:val="center"/>
              <w:rPr>
                <w:color w:val="auto"/>
                <w:kern w:val="0"/>
                <w:sz w:val="21"/>
                <w:szCs w:val="21"/>
              </w:rPr>
            </w:pPr>
            <w:r>
              <w:rPr>
                <w:rFonts w:hint="eastAsia"/>
                <w:color w:val="auto"/>
                <w:kern w:val="0"/>
                <w:sz w:val="21"/>
                <w:szCs w:val="21"/>
              </w:rPr>
              <w:t>4层，建筑面积4006.98m</w:t>
            </w:r>
            <w:r>
              <w:rPr>
                <w:rFonts w:hint="eastAsia"/>
                <w:color w:val="auto"/>
                <w:kern w:val="0"/>
                <w:sz w:val="21"/>
                <w:szCs w:val="21"/>
                <w:vertAlign w:val="superscript"/>
              </w:rPr>
              <w:t>2</w:t>
            </w:r>
          </w:p>
        </w:tc>
        <w:tc>
          <w:tcPr>
            <w:tcW w:w="763" w:type="pct"/>
            <w:vMerge w:val="restart"/>
            <w:tcBorders>
              <w:tl2br w:val="nil"/>
              <w:tr2bl w:val="nil"/>
            </w:tcBorders>
            <w:vAlign w:val="center"/>
          </w:tcPr>
          <w:p w14:paraId="1BA38201">
            <w:pPr>
              <w:widowControl/>
              <w:spacing w:line="240" w:lineRule="auto"/>
              <w:ind w:firstLine="0" w:firstLineChars="0"/>
              <w:jc w:val="center"/>
              <w:rPr>
                <w:color w:val="auto"/>
                <w:kern w:val="0"/>
                <w:sz w:val="21"/>
                <w:szCs w:val="21"/>
              </w:rPr>
            </w:pPr>
            <w:r>
              <w:rPr>
                <w:rFonts w:hint="eastAsia"/>
                <w:color w:val="auto"/>
                <w:kern w:val="0"/>
                <w:sz w:val="21"/>
                <w:szCs w:val="21"/>
              </w:rPr>
              <w:t>在建</w:t>
            </w:r>
          </w:p>
        </w:tc>
      </w:tr>
      <w:tr w14:paraId="74ED3C9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181BE078">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7D9D2532">
            <w:pPr>
              <w:spacing w:line="240" w:lineRule="auto"/>
              <w:ind w:firstLine="0" w:firstLineChars="0"/>
              <w:jc w:val="center"/>
              <w:rPr>
                <w:color w:val="auto"/>
                <w:kern w:val="0"/>
                <w:sz w:val="21"/>
                <w:szCs w:val="21"/>
              </w:rPr>
            </w:pPr>
            <w:r>
              <w:rPr>
                <w:rFonts w:hint="eastAsia"/>
                <w:color w:val="auto"/>
                <w:sz w:val="21"/>
              </w:rPr>
              <w:t>甲类仓库</w:t>
            </w:r>
          </w:p>
        </w:tc>
        <w:tc>
          <w:tcPr>
            <w:tcW w:w="1540" w:type="pct"/>
            <w:tcBorders>
              <w:tl2br w:val="nil"/>
              <w:tr2bl w:val="nil"/>
            </w:tcBorders>
            <w:vAlign w:val="center"/>
          </w:tcPr>
          <w:p w14:paraId="1D91AF78">
            <w:pPr>
              <w:widowControl/>
              <w:spacing w:line="240" w:lineRule="auto"/>
              <w:ind w:firstLine="0" w:firstLineChars="0"/>
              <w:jc w:val="center"/>
              <w:rPr>
                <w:color w:val="auto"/>
                <w:kern w:val="0"/>
                <w:sz w:val="21"/>
                <w:szCs w:val="21"/>
              </w:rPr>
            </w:pPr>
            <w:r>
              <w:rPr>
                <w:rFonts w:hint="eastAsia"/>
                <w:color w:val="auto"/>
                <w:kern w:val="0"/>
                <w:sz w:val="21"/>
                <w:szCs w:val="21"/>
              </w:rPr>
              <w:t>1层，建筑面积733.6m</w:t>
            </w:r>
            <w:r>
              <w:rPr>
                <w:rFonts w:hint="eastAsia"/>
                <w:color w:val="auto"/>
                <w:kern w:val="0"/>
                <w:sz w:val="21"/>
                <w:szCs w:val="21"/>
                <w:vertAlign w:val="superscript"/>
              </w:rPr>
              <w:t>2</w:t>
            </w:r>
          </w:p>
        </w:tc>
        <w:tc>
          <w:tcPr>
            <w:tcW w:w="1451" w:type="pct"/>
            <w:tcBorders>
              <w:tl2br w:val="nil"/>
              <w:tr2bl w:val="nil"/>
            </w:tcBorders>
            <w:vAlign w:val="center"/>
          </w:tcPr>
          <w:p w14:paraId="773395CA">
            <w:pPr>
              <w:widowControl/>
              <w:spacing w:line="240" w:lineRule="auto"/>
              <w:ind w:firstLine="0" w:firstLineChars="0"/>
              <w:jc w:val="center"/>
              <w:rPr>
                <w:color w:val="auto"/>
                <w:kern w:val="0"/>
                <w:sz w:val="21"/>
                <w:szCs w:val="21"/>
              </w:rPr>
            </w:pPr>
            <w:r>
              <w:rPr>
                <w:rFonts w:hint="eastAsia"/>
                <w:color w:val="auto"/>
                <w:kern w:val="0"/>
                <w:sz w:val="21"/>
                <w:szCs w:val="21"/>
              </w:rPr>
              <w:t>1层，建筑面积733.6m</w:t>
            </w:r>
            <w:r>
              <w:rPr>
                <w:rFonts w:hint="eastAsia"/>
                <w:color w:val="auto"/>
                <w:kern w:val="0"/>
                <w:sz w:val="21"/>
                <w:szCs w:val="21"/>
                <w:vertAlign w:val="superscript"/>
              </w:rPr>
              <w:t>2</w:t>
            </w:r>
          </w:p>
        </w:tc>
        <w:tc>
          <w:tcPr>
            <w:tcW w:w="763" w:type="pct"/>
            <w:vMerge w:val="continue"/>
            <w:tcBorders>
              <w:tl2br w:val="nil"/>
              <w:tr2bl w:val="nil"/>
            </w:tcBorders>
            <w:vAlign w:val="center"/>
          </w:tcPr>
          <w:p w14:paraId="414DDB51">
            <w:pPr>
              <w:widowControl/>
              <w:spacing w:line="240" w:lineRule="auto"/>
              <w:ind w:firstLine="0" w:firstLineChars="0"/>
              <w:jc w:val="center"/>
              <w:rPr>
                <w:color w:val="auto"/>
                <w:kern w:val="0"/>
                <w:sz w:val="21"/>
                <w:szCs w:val="21"/>
              </w:rPr>
            </w:pPr>
          </w:p>
        </w:tc>
      </w:tr>
      <w:tr w14:paraId="7AC9EA9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469B7585">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290EC241">
            <w:pPr>
              <w:spacing w:line="240" w:lineRule="auto"/>
              <w:ind w:firstLine="0" w:firstLineChars="0"/>
              <w:jc w:val="center"/>
              <w:rPr>
                <w:color w:val="auto"/>
                <w:sz w:val="21"/>
              </w:rPr>
            </w:pPr>
            <w:r>
              <w:rPr>
                <w:rFonts w:hint="eastAsia"/>
                <w:color w:val="auto"/>
                <w:sz w:val="21"/>
              </w:rPr>
              <w:t>1#戊类罐区</w:t>
            </w:r>
          </w:p>
        </w:tc>
        <w:tc>
          <w:tcPr>
            <w:tcW w:w="1540" w:type="pct"/>
            <w:tcBorders>
              <w:tl2br w:val="nil"/>
              <w:tr2bl w:val="nil"/>
            </w:tcBorders>
            <w:vAlign w:val="center"/>
          </w:tcPr>
          <w:p w14:paraId="25009750">
            <w:pPr>
              <w:widowControl/>
              <w:spacing w:line="240" w:lineRule="auto"/>
              <w:ind w:firstLine="0" w:firstLineChars="0"/>
              <w:jc w:val="center"/>
              <w:rPr>
                <w:color w:val="auto"/>
                <w:kern w:val="0"/>
                <w:sz w:val="21"/>
                <w:szCs w:val="21"/>
              </w:rPr>
            </w:pPr>
            <w:r>
              <w:rPr>
                <w:rFonts w:hint="eastAsia"/>
                <w:color w:val="auto"/>
                <w:kern w:val="0"/>
                <w:sz w:val="21"/>
                <w:szCs w:val="21"/>
              </w:rPr>
              <w:t>占地面积500m</w:t>
            </w:r>
            <w:r>
              <w:rPr>
                <w:rFonts w:hint="eastAsia"/>
                <w:color w:val="auto"/>
                <w:kern w:val="0"/>
                <w:sz w:val="21"/>
                <w:szCs w:val="21"/>
                <w:vertAlign w:val="superscript"/>
              </w:rPr>
              <w:t>2</w:t>
            </w:r>
          </w:p>
        </w:tc>
        <w:tc>
          <w:tcPr>
            <w:tcW w:w="1451" w:type="pct"/>
            <w:tcBorders>
              <w:tl2br w:val="nil"/>
              <w:tr2bl w:val="nil"/>
            </w:tcBorders>
            <w:vAlign w:val="center"/>
          </w:tcPr>
          <w:p w14:paraId="4E87403D">
            <w:pPr>
              <w:widowControl/>
              <w:spacing w:line="240" w:lineRule="auto"/>
              <w:ind w:firstLine="0" w:firstLineChars="0"/>
              <w:jc w:val="center"/>
              <w:rPr>
                <w:color w:val="auto"/>
                <w:kern w:val="0"/>
                <w:sz w:val="21"/>
                <w:szCs w:val="21"/>
              </w:rPr>
            </w:pPr>
            <w:r>
              <w:rPr>
                <w:rFonts w:hint="eastAsia"/>
                <w:color w:val="auto"/>
                <w:kern w:val="0"/>
                <w:sz w:val="21"/>
                <w:szCs w:val="21"/>
              </w:rPr>
              <w:t>占地面积500m</w:t>
            </w:r>
            <w:r>
              <w:rPr>
                <w:rFonts w:hint="eastAsia"/>
                <w:color w:val="auto"/>
                <w:kern w:val="0"/>
                <w:sz w:val="21"/>
                <w:szCs w:val="21"/>
                <w:vertAlign w:val="superscript"/>
              </w:rPr>
              <w:t>2</w:t>
            </w:r>
          </w:p>
        </w:tc>
        <w:tc>
          <w:tcPr>
            <w:tcW w:w="763" w:type="pct"/>
            <w:vMerge w:val="restart"/>
            <w:tcBorders>
              <w:tl2br w:val="nil"/>
              <w:tr2bl w:val="nil"/>
            </w:tcBorders>
            <w:vAlign w:val="center"/>
          </w:tcPr>
          <w:p w14:paraId="2B9D06DA">
            <w:pPr>
              <w:widowControl/>
              <w:spacing w:line="240" w:lineRule="auto"/>
              <w:ind w:firstLine="0" w:firstLineChars="0"/>
              <w:jc w:val="center"/>
              <w:rPr>
                <w:color w:val="auto"/>
                <w:kern w:val="0"/>
                <w:sz w:val="21"/>
                <w:szCs w:val="21"/>
              </w:rPr>
            </w:pPr>
            <w:r>
              <w:rPr>
                <w:rFonts w:hint="eastAsia"/>
                <w:color w:val="auto"/>
                <w:kern w:val="0"/>
                <w:sz w:val="21"/>
                <w:szCs w:val="21"/>
              </w:rPr>
              <w:t>依托现有</w:t>
            </w:r>
          </w:p>
        </w:tc>
      </w:tr>
      <w:tr w14:paraId="10B4E4F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39444956">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690F03A9">
            <w:pPr>
              <w:spacing w:line="240" w:lineRule="auto"/>
              <w:ind w:firstLine="0" w:firstLineChars="0"/>
              <w:jc w:val="center"/>
              <w:rPr>
                <w:color w:val="auto"/>
                <w:sz w:val="21"/>
              </w:rPr>
            </w:pPr>
            <w:r>
              <w:rPr>
                <w:rFonts w:hint="eastAsia"/>
                <w:color w:val="auto"/>
                <w:sz w:val="21"/>
              </w:rPr>
              <w:t>2#戊类罐区</w:t>
            </w:r>
          </w:p>
        </w:tc>
        <w:tc>
          <w:tcPr>
            <w:tcW w:w="1540" w:type="pct"/>
            <w:tcBorders>
              <w:tl2br w:val="nil"/>
              <w:tr2bl w:val="nil"/>
            </w:tcBorders>
            <w:vAlign w:val="center"/>
          </w:tcPr>
          <w:p w14:paraId="7A30FCEF">
            <w:pPr>
              <w:widowControl/>
              <w:spacing w:line="240" w:lineRule="auto"/>
              <w:ind w:firstLine="0" w:firstLineChars="0"/>
              <w:jc w:val="center"/>
              <w:rPr>
                <w:color w:val="auto"/>
                <w:kern w:val="0"/>
                <w:sz w:val="21"/>
                <w:szCs w:val="21"/>
              </w:rPr>
            </w:pPr>
            <w:r>
              <w:rPr>
                <w:rFonts w:hint="eastAsia"/>
                <w:color w:val="auto"/>
                <w:kern w:val="0"/>
                <w:sz w:val="21"/>
                <w:szCs w:val="21"/>
              </w:rPr>
              <w:t>占地面积343m</w:t>
            </w:r>
            <w:r>
              <w:rPr>
                <w:rFonts w:hint="eastAsia"/>
                <w:color w:val="auto"/>
                <w:kern w:val="0"/>
                <w:sz w:val="21"/>
                <w:szCs w:val="21"/>
                <w:vertAlign w:val="superscript"/>
              </w:rPr>
              <w:t>2</w:t>
            </w:r>
          </w:p>
        </w:tc>
        <w:tc>
          <w:tcPr>
            <w:tcW w:w="1451" w:type="pct"/>
            <w:tcBorders>
              <w:tl2br w:val="nil"/>
              <w:tr2bl w:val="nil"/>
            </w:tcBorders>
            <w:vAlign w:val="center"/>
          </w:tcPr>
          <w:p w14:paraId="40B34453">
            <w:pPr>
              <w:widowControl/>
              <w:spacing w:line="240" w:lineRule="auto"/>
              <w:ind w:firstLine="0" w:firstLineChars="0"/>
              <w:jc w:val="center"/>
              <w:rPr>
                <w:color w:val="auto"/>
                <w:kern w:val="0"/>
                <w:sz w:val="21"/>
                <w:szCs w:val="21"/>
              </w:rPr>
            </w:pPr>
            <w:r>
              <w:rPr>
                <w:rFonts w:hint="eastAsia"/>
                <w:color w:val="auto"/>
                <w:kern w:val="0"/>
                <w:sz w:val="21"/>
                <w:szCs w:val="21"/>
              </w:rPr>
              <w:t>占地面积343m</w:t>
            </w:r>
            <w:r>
              <w:rPr>
                <w:rFonts w:hint="eastAsia"/>
                <w:color w:val="auto"/>
                <w:kern w:val="0"/>
                <w:sz w:val="21"/>
                <w:szCs w:val="21"/>
                <w:vertAlign w:val="superscript"/>
              </w:rPr>
              <w:t>2</w:t>
            </w:r>
          </w:p>
        </w:tc>
        <w:tc>
          <w:tcPr>
            <w:tcW w:w="763" w:type="pct"/>
            <w:vMerge w:val="continue"/>
            <w:tcBorders>
              <w:tl2br w:val="nil"/>
              <w:tr2bl w:val="nil"/>
            </w:tcBorders>
            <w:vAlign w:val="center"/>
          </w:tcPr>
          <w:p w14:paraId="53615BE8">
            <w:pPr>
              <w:widowControl/>
              <w:spacing w:line="240" w:lineRule="auto"/>
              <w:ind w:firstLine="0" w:firstLineChars="0"/>
              <w:jc w:val="center"/>
              <w:rPr>
                <w:color w:val="auto"/>
                <w:kern w:val="0"/>
                <w:sz w:val="21"/>
                <w:szCs w:val="21"/>
              </w:rPr>
            </w:pPr>
          </w:p>
        </w:tc>
      </w:tr>
      <w:tr w14:paraId="1C9E8A5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1287C1D6">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3DF289A4">
            <w:pPr>
              <w:spacing w:line="240" w:lineRule="auto"/>
              <w:ind w:firstLine="0" w:firstLineChars="0"/>
              <w:jc w:val="center"/>
              <w:rPr>
                <w:color w:val="auto"/>
                <w:sz w:val="21"/>
              </w:rPr>
            </w:pPr>
            <w:r>
              <w:rPr>
                <w:rFonts w:hint="eastAsia"/>
                <w:color w:val="auto"/>
                <w:sz w:val="21"/>
              </w:rPr>
              <w:t>3#戊类罐区</w:t>
            </w:r>
          </w:p>
        </w:tc>
        <w:tc>
          <w:tcPr>
            <w:tcW w:w="1540" w:type="pct"/>
            <w:tcBorders>
              <w:tl2br w:val="nil"/>
              <w:tr2bl w:val="nil"/>
            </w:tcBorders>
            <w:vAlign w:val="center"/>
          </w:tcPr>
          <w:p w14:paraId="5E676EC2">
            <w:pPr>
              <w:widowControl/>
              <w:spacing w:line="240" w:lineRule="auto"/>
              <w:ind w:firstLine="0" w:firstLineChars="0"/>
              <w:jc w:val="center"/>
              <w:rPr>
                <w:color w:val="auto"/>
                <w:kern w:val="0"/>
                <w:sz w:val="21"/>
                <w:szCs w:val="21"/>
              </w:rPr>
            </w:pPr>
            <w:r>
              <w:rPr>
                <w:rFonts w:hint="eastAsia"/>
                <w:color w:val="auto"/>
                <w:kern w:val="0"/>
                <w:sz w:val="21"/>
                <w:szCs w:val="21"/>
              </w:rPr>
              <w:t>占地面积167.7m</w:t>
            </w:r>
            <w:r>
              <w:rPr>
                <w:rFonts w:hint="eastAsia"/>
                <w:color w:val="auto"/>
                <w:kern w:val="0"/>
                <w:sz w:val="21"/>
                <w:szCs w:val="21"/>
                <w:vertAlign w:val="superscript"/>
              </w:rPr>
              <w:t>2</w:t>
            </w:r>
          </w:p>
        </w:tc>
        <w:tc>
          <w:tcPr>
            <w:tcW w:w="1451" w:type="pct"/>
            <w:tcBorders>
              <w:tl2br w:val="nil"/>
              <w:tr2bl w:val="nil"/>
            </w:tcBorders>
            <w:vAlign w:val="center"/>
          </w:tcPr>
          <w:p w14:paraId="5F4C94FE">
            <w:pPr>
              <w:widowControl/>
              <w:spacing w:line="240" w:lineRule="auto"/>
              <w:ind w:firstLine="0" w:firstLineChars="0"/>
              <w:jc w:val="center"/>
              <w:rPr>
                <w:color w:val="auto"/>
                <w:kern w:val="0"/>
                <w:sz w:val="21"/>
                <w:szCs w:val="21"/>
              </w:rPr>
            </w:pPr>
            <w:r>
              <w:rPr>
                <w:rFonts w:hint="eastAsia"/>
                <w:color w:val="auto"/>
                <w:kern w:val="0"/>
                <w:sz w:val="21"/>
                <w:szCs w:val="21"/>
              </w:rPr>
              <w:t>占地面积167.7m</w:t>
            </w:r>
            <w:r>
              <w:rPr>
                <w:rFonts w:hint="eastAsia"/>
                <w:color w:val="auto"/>
                <w:kern w:val="0"/>
                <w:sz w:val="21"/>
                <w:szCs w:val="21"/>
                <w:vertAlign w:val="superscript"/>
              </w:rPr>
              <w:t>2</w:t>
            </w:r>
          </w:p>
        </w:tc>
        <w:tc>
          <w:tcPr>
            <w:tcW w:w="763" w:type="pct"/>
            <w:vMerge w:val="continue"/>
            <w:tcBorders>
              <w:tl2br w:val="nil"/>
              <w:tr2bl w:val="nil"/>
            </w:tcBorders>
            <w:vAlign w:val="center"/>
          </w:tcPr>
          <w:p w14:paraId="56F0262C">
            <w:pPr>
              <w:widowControl/>
              <w:spacing w:line="240" w:lineRule="auto"/>
              <w:ind w:firstLine="0" w:firstLineChars="0"/>
              <w:jc w:val="center"/>
              <w:rPr>
                <w:color w:val="auto"/>
                <w:kern w:val="0"/>
                <w:sz w:val="21"/>
                <w:szCs w:val="21"/>
              </w:rPr>
            </w:pPr>
          </w:p>
        </w:tc>
      </w:tr>
      <w:tr w14:paraId="13E5A8F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25E26FED">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4A7C26BD">
            <w:pPr>
              <w:spacing w:line="240" w:lineRule="auto"/>
              <w:ind w:firstLine="0" w:firstLineChars="0"/>
              <w:jc w:val="center"/>
              <w:rPr>
                <w:color w:val="auto"/>
                <w:sz w:val="21"/>
              </w:rPr>
            </w:pPr>
            <w:r>
              <w:rPr>
                <w:rFonts w:hint="eastAsia"/>
                <w:color w:val="auto"/>
                <w:sz w:val="21"/>
              </w:rPr>
              <w:t>4#戊类罐区</w:t>
            </w:r>
          </w:p>
        </w:tc>
        <w:tc>
          <w:tcPr>
            <w:tcW w:w="1540" w:type="pct"/>
            <w:tcBorders>
              <w:tl2br w:val="nil"/>
              <w:tr2bl w:val="nil"/>
            </w:tcBorders>
            <w:vAlign w:val="center"/>
          </w:tcPr>
          <w:p w14:paraId="3CA207EE">
            <w:pPr>
              <w:widowControl/>
              <w:spacing w:line="240" w:lineRule="auto"/>
              <w:ind w:firstLine="0" w:firstLineChars="0"/>
              <w:jc w:val="center"/>
              <w:rPr>
                <w:color w:val="auto"/>
                <w:kern w:val="0"/>
                <w:sz w:val="21"/>
                <w:szCs w:val="21"/>
              </w:rPr>
            </w:pPr>
            <w:r>
              <w:rPr>
                <w:rFonts w:hint="eastAsia"/>
                <w:color w:val="auto"/>
                <w:kern w:val="0"/>
                <w:sz w:val="21"/>
                <w:szCs w:val="21"/>
              </w:rPr>
              <w:t>占地面积167.7m</w:t>
            </w:r>
            <w:r>
              <w:rPr>
                <w:rFonts w:hint="eastAsia"/>
                <w:color w:val="auto"/>
                <w:kern w:val="0"/>
                <w:sz w:val="21"/>
                <w:szCs w:val="21"/>
                <w:vertAlign w:val="superscript"/>
              </w:rPr>
              <w:t>2</w:t>
            </w:r>
          </w:p>
        </w:tc>
        <w:tc>
          <w:tcPr>
            <w:tcW w:w="1451" w:type="pct"/>
            <w:tcBorders>
              <w:tl2br w:val="nil"/>
              <w:tr2bl w:val="nil"/>
            </w:tcBorders>
            <w:vAlign w:val="center"/>
          </w:tcPr>
          <w:p w14:paraId="00A3E265">
            <w:pPr>
              <w:widowControl/>
              <w:spacing w:line="240" w:lineRule="auto"/>
              <w:ind w:firstLine="0" w:firstLineChars="0"/>
              <w:jc w:val="center"/>
              <w:rPr>
                <w:color w:val="auto"/>
                <w:kern w:val="0"/>
                <w:sz w:val="21"/>
                <w:szCs w:val="21"/>
              </w:rPr>
            </w:pPr>
            <w:r>
              <w:rPr>
                <w:rFonts w:hint="eastAsia"/>
                <w:color w:val="auto"/>
                <w:kern w:val="0"/>
                <w:sz w:val="21"/>
                <w:szCs w:val="21"/>
              </w:rPr>
              <w:t>占地面积167.7m</w:t>
            </w:r>
            <w:r>
              <w:rPr>
                <w:rFonts w:hint="eastAsia"/>
                <w:color w:val="auto"/>
                <w:kern w:val="0"/>
                <w:sz w:val="21"/>
                <w:szCs w:val="21"/>
                <w:vertAlign w:val="superscript"/>
              </w:rPr>
              <w:t>2</w:t>
            </w:r>
          </w:p>
        </w:tc>
        <w:tc>
          <w:tcPr>
            <w:tcW w:w="763" w:type="pct"/>
            <w:vMerge w:val="continue"/>
            <w:tcBorders>
              <w:tl2br w:val="nil"/>
              <w:tr2bl w:val="nil"/>
            </w:tcBorders>
            <w:vAlign w:val="center"/>
          </w:tcPr>
          <w:p w14:paraId="059CAEF8">
            <w:pPr>
              <w:widowControl/>
              <w:spacing w:line="240" w:lineRule="auto"/>
              <w:ind w:firstLine="0" w:firstLineChars="0"/>
              <w:jc w:val="center"/>
              <w:rPr>
                <w:color w:val="auto"/>
                <w:kern w:val="0"/>
                <w:sz w:val="21"/>
                <w:szCs w:val="21"/>
              </w:rPr>
            </w:pPr>
          </w:p>
        </w:tc>
      </w:tr>
      <w:tr w14:paraId="2C0B6CB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1C384473">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222F8916">
            <w:pPr>
              <w:spacing w:line="240" w:lineRule="auto"/>
              <w:ind w:firstLine="0" w:firstLineChars="0"/>
              <w:jc w:val="center"/>
              <w:rPr>
                <w:color w:val="auto"/>
                <w:sz w:val="21"/>
              </w:rPr>
            </w:pPr>
            <w:r>
              <w:rPr>
                <w:rFonts w:hint="eastAsia"/>
                <w:color w:val="auto"/>
                <w:sz w:val="21"/>
              </w:rPr>
              <w:t>甲类罐区</w:t>
            </w:r>
          </w:p>
        </w:tc>
        <w:tc>
          <w:tcPr>
            <w:tcW w:w="1540" w:type="pct"/>
            <w:tcBorders>
              <w:tl2br w:val="nil"/>
              <w:tr2bl w:val="nil"/>
            </w:tcBorders>
            <w:vAlign w:val="center"/>
          </w:tcPr>
          <w:p w14:paraId="4F5276FA">
            <w:pPr>
              <w:widowControl/>
              <w:spacing w:line="240" w:lineRule="auto"/>
              <w:ind w:firstLine="0" w:firstLineChars="0"/>
              <w:jc w:val="center"/>
              <w:rPr>
                <w:color w:val="auto"/>
                <w:kern w:val="0"/>
                <w:sz w:val="21"/>
                <w:szCs w:val="21"/>
              </w:rPr>
            </w:pPr>
            <w:r>
              <w:rPr>
                <w:rFonts w:hint="eastAsia"/>
                <w:color w:val="auto"/>
                <w:kern w:val="0"/>
                <w:sz w:val="21"/>
                <w:szCs w:val="21"/>
              </w:rPr>
              <w:t>占地面积216m</w:t>
            </w:r>
            <w:r>
              <w:rPr>
                <w:rFonts w:hint="eastAsia"/>
                <w:color w:val="auto"/>
                <w:kern w:val="0"/>
                <w:sz w:val="21"/>
                <w:szCs w:val="21"/>
                <w:vertAlign w:val="superscript"/>
              </w:rPr>
              <w:t>2</w:t>
            </w:r>
          </w:p>
        </w:tc>
        <w:tc>
          <w:tcPr>
            <w:tcW w:w="1451" w:type="pct"/>
            <w:tcBorders>
              <w:tl2br w:val="nil"/>
              <w:tr2bl w:val="nil"/>
            </w:tcBorders>
            <w:vAlign w:val="center"/>
          </w:tcPr>
          <w:p w14:paraId="6D638647">
            <w:pPr>
              <w:widowControl/>
              <w:spacing w:line="240" w:lineRule="auto"/>
              <w:ind w:firstLine="0" w:firstLineChars="0"/>
              <w:jc w:val="center"/>
              <w:rPr>
                <w:color w:val="auto"/>
                <w:kern w:val="0"/>
                <w:sz w:val="21"/>
                <w:szCs w:val="21"/>
              </w:rPr>
            </w:pPr>
            <w:r>
              <w:rPr>
                <w:rFonts w:hint="eastAsia"/>
                <w:color w:val="auto"/>
                <w:kern w:val="0"/>
                <w:sz w:val="21"/>
                <w:szCs w:val="21"/>
              </w:rPr>
              <w:t>占地面积216m</w:t>
            </w:r>
            <w:r>
              <w:rPr>
                <w:rFonts w:hint="eastAsia"/>
                <w:color w:val="auto"/>
                <w:kern w:val="0"/>
                <w:sz w:val="21"/>
                <w:szCs w:val="21"/>
                <w:vertAlign w:val="superscript"/>
              </w:rPr>
              <w:t>2</w:t>
            </w:r>
          </w:p>
        </w:tc>
        <w:tc>
          <w:tcPr>
            <w:tcW w:w="763" w:type="pct"/>
            <w:tcBorders>
              <w:tl2br w:val="nil"/>
              <w:tr2bl w:val="nil"/>
            </w:tcBorders>
            <w:vAlign w:val="center"/>
          </w:tcPr>
          <w:p w14:paraId="6B23FD94">
            <w:pPr>
              <w:widowControl/>
              <w:spacing w:line="240" w:lineRule="auto"/>
              <w:ind w:firstLine="0" w:firstLineChars="0"/>
              <w:jc w:val="center"/>
              <w:rPr>
                <w:color w:val="auto"/>
                <w:kern w:val="0"/>
                <w:sz w:val="21"/>
                <w:szCs w:val="21"/>
              </w:rPr>
            </w:pPr>
            <w:r>
              <w:rPr>
                <w:rFonts w:hint="eastAsia"/>
                <w:color w:val="auto"/>
                <w:kern w:val="0"/>
                <w:sz w:val="21"/>
                <w:szCs w:val="21"/>
              </w:rPr>
              <w:t>在建</w:t>
            </w:r>
          </w:p>
        </w:tc>
      </w:tr>
      <w:tr w14:paraId="2C93066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restart"/>
            <w:tcBorders>
              <w:tl2br w:val="nil"/>
              <w:tr2bl w:val="nil"/>
            </w:tcBorders>
            <w:vAlign w:val="center"/>
          </w:tcPr>
          <w:p w14:paraId="61E404D5">
            <w:pPr>
              <w:widowControl/>
              <w:spacing w:line="240" w:lineRule="auto"/>
              <w:ind w:firstLine="0" w:firstLineChars="0"/>
              <w:jc w:val="center"/>
              <w:rPr>
                <w:color w:val="auto"/>
                <w:kern w:val="0"/>
                <w:sz w:val="21"/>
                <w:szCs w:val="21"/>
              </w:rPr>
            </w:pPr>
            <w:r>
              <w:rPr>
                <w:rFonts w:hint="eastAsia"/>
                <w:color w:val="auto"/>
                <w:kern w:val="0"/>
                <w:sz w:val="21"/>
                <w:szCs w:val="21"/>
              </w:rPr>
              <w:t>公用工程</w:t>
            </w:r>
          </w:p>
        </w:tc>
        <w:tc>
          <w:tcPr>
            <w:tcW w:w="748" w:type="pct"/>
            <w:tcBorders>
              <w:tl2br w:val="nil"/>
              <w:tr2bl w:val="nil"/>
            </w:tcBorders>
            <w:vAlign w:val="center"/>
          </w:tcPr>
          <w:p w14:paraId="2E18520D">
            <w:pPr>
              <w:widowControl/>
              <w:spacing w:line="240" w:lineRule="auto"/>
              <w:ind w:firstLine="0" w:firstLineChars="0"/>
              <w:jc w:val="center"/>
              <w:rPr>
                <w:color w:val="auto"/>
                <w:kern w:val="0"/>
                <w:sz w:val="21"/>
                <w:szCs w:val="21"/>
              </w:rPr>
            </w:pPr>
            <w:r>
              <w:rPr>
                <w:rFonts w:hint="eastAsia"/>
                <w:color w:val="auto"/>
                <w:kern w:val="0"/>
                <w:sz w:val="21"/>
                <w:szCs w:val="21"/>
              </w:rPr>
              <w:t>供电</w:t>
            </w:r>
          </w:p>
        </w:tc>
        <w:tc>
          <w:tcPr>
            <w:tcW w:w="1540" w:type="pct"/>
            <w:tcBorders>
              <w:tl2br w:val="nil"/>
              <w:tr2bl w:val="nil"/>
            </w:tcBorders>
            <w:vAlign w:val="center"/>
          </w:tcPr>
          <w:p w14:paraId="6DF656EA">
            <w:pPr>
              <w:widowControl/>
              <w:spacing w:line="240" w:lineRule="auto"/>
              <w:ind w:firstLine="0" w:firstLineChars="0"/>
              <w:jc w:val="center"/>
              <w:rPr>
                <w:color w:val="auto"/>
                <w:kern w:val="0"/>
                <w:sz w:val="21"/>
                <w:szCs w:val="21"/>
              </w:rPr>
            </w:pPr>
            <w:r>
              <w:rPr>
                <w:color w:val="auto"/>
                <w:kern w:val="0"/>
                <w:sz w:val="21"/>
                <w:szCs w:val="21"/>
              </w:rPr>
              <w:t>利用园区供电系统</w:t>
            </w:r>
          </w:p>
        </w:tc>
        <w:tc>
          <w:tcPr>
            <w:tcW w:w="1451" w:type="pct"/>
            <w:tcBorders>
              <w:tl2br w:val="nil"/>
              <w:tr2bl w:val="nil"/>
            </w:tcBorders>
            <w:vAlign w:val="center"/>
          </w:tcPr>
          <w:p w14:paraId="1D037A84">
            <w:pPr>
              <w:widowControl/>
              <w:spacing w:line="240" w:lineRule="auto"/>
              <w:ind w:firstLine="0" w:firstLineChars="0"/>
              <w:jc w:val="center"/>
              <w:rPr>
                <w:color w:val="auto"/>
                <w:kern w:val="0"/>
                <w:sz w:val="21"/>
                <w:szCs w:val="21"/>
              </w:rPr>
            </w:pPr>
            <w:r>
              <w:rPr>
                <w:color w:val="auto"/>
                <w:kern w:val="0"/>
                <w:sz w:val="21"/>
                <w:szCs w:val="21"/>
              </w:rPr>
              <w:t>利用园区供电系统</w:t>
            </w:r>
          </w:p>
        </w:tc>
        <w:tc>
          <w:tcPr>
            <w:tcW w:w="763" w:type="pct"/>
            <w:tcBorders>
              <w:tl2br w:val="nil"/>
              <w:tr2bl w:val="nil"/>
            </w:tcBorders>
            <w:vAlign w:val="center"/>
          </w:tcPr>
          <w:p w14:paraId="1C3FC4A4">
            <w:pPr>
              <w:widowControl/>
              <w:spacing w:line="240" w:lineRule="auto"/>
              <w:ind w:firstLine="0" w:firstLineChars="0"/>
              <w:jc w:val="center"/>
              <w:rPr>
                <w:color w:val="auto"/>
                <w:kern w:val="0"/>
                <w:sz w:val="21"/>
                <w:szCs w:val="21"/>
              </w:rPr>
            </w:pPr>
            <w:r>
              <w:rPr>
                <w:color w:val="auto"/>
                <w:kern w:val="0"/>
                <w:sz w:val="21"/>
                <w:szCs w:val="21"/>
              </w:rPr>
              <w:t>利用园区供电系统</w:t>
            </w:r>
          </w:p>
        </w:tc>
      </w:tr>
      <w:tr w14:paraId="595F9CC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6734E662">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25A6AB72">
            <w:pPr>
              <w:widowControl/>
              <w:spacing w:line="240" w:lineRule="auto"/>
              <w:ind w:firstLine="0" w:firstLineChars="0"/>
              <w:jc w:val="center"/>
              <w:rPr>
                <w:color w:val="auto"/>
                <w:kern w:val="0"/>
                <w:sz w:val="21"/>
                <w:szCs w:val="21"/>
              </w:rPr>
            </w:pPr>
            <w:r>
              <w:rPr>
                <w:rFonts w:hint="eastAsia"/>
                <w:color w:val="auto"/>
                <w:kern w:val="0"/>
                <w:sz w:val="21"/>
                <w:szCs w:val="21"/>
              </w:rPr>
              <w:t>供水</w:t>
            </w:r>
          </w:p>
        </w:tc>
        <w:tc>
          <w:tcPr>
            <w:tcW w:w="1540" w:type="pct"/>
            <w:tcBorders>
              <w:tl2br w:val="nil"/>
              <w:tr2bl w:val="nil"/>
            </w:tcBorders>
            <w:vAlign w:val="center"/>
          </w:tcPr>
          <w:p w14:paraId="47A54F9F">
            <w:pPr>
              <w:widowControl/>
              <w:spacing w:line="240" w:lineRule="auto"/>
              <w:ind w:firstLine="0" w:firstLineChars="0"/>
              <w:jc w:val="center"/>
              <w:rPr>
                <w:color w:val="auto"/>
                <w:kern w:val="0"/>
                <w:sz w:val="21"/>
                <w:szCs w:val="21"/>
              </w:rPr>
            </w:pPr>
            <w:r>
              <w:rPr>
                <w:color w:val="auto"/>
                <w:kern w:val="0"/>
                <w:sz w:val="21"/>
                <w:szCs w:val="21"/>
              </w:rPr>
              <w:t>生活用水来自地下水，用水量为1152m</w:t>
            </w:r>
            <w:r>
              <w:rPr>
                <w:color w:val="auto"/>
                <w:kern w:val="0"/>
                <w:sz w:val="21"/>
                <w:szCs w:val="21"/>
                <w:vertAlign w:val="superscript"/>
              </w:rPr>
              <w:t>3</w:t>
            </w:r>
            <w:r>
              <w:rPr>
                <w:color w:val="auto"/>
                <w:kern w:val="0"/>
                <w:sz w:val="21"/>
                <w:szCs w:val="21"/>
              </w:rPr>
              <w:t>/a。生产用水来自地下水、地表水，纯水由纯水机组自制，生产用水量6923.4m</w:t>
            </w:r>
            <w:r>
              <w:rPr>
                <w:color w:val="auto"/>
                <w:kern w:val="0"/>
                <w:sz w:val="21"/>
                <w:szCs w:val="21"/>
                <w:vertAlign w:val="superscript"/>
              </w:rPr>
              <w:t>3</w:t>
            </w:r>
            <w:r>
              <w:rPr>
                <w:color w:val="auto"/>
                <w:kern w:val="0"/>
                <w:sz w:val="21"/>
                <w:szCs w:val="21"/>
              </w:rPr>
              <w:t>/a</w:t>
            </w:r>
          </w:p>
        </w:tc>
        <w:tc>
          <w:tcPr>
            <w:tcW w:w="1451" w:type="pct"/>
            <w:tcBorders>
              <w:tl2br w:val="nil"/>
              <w:tr2bl w:val="nil"/>
            </w:tcBorders>
            <w:vAlign w:val="center"/>
          </w:tcPr>
          <w:p w14:paraId="23896C2C">
            <w:pPr>
              <w:widowControl/>
              <w:spacing w:line="240" w:lineRule="auto"/>
              <w:ind w:firstLine="0" w:firstLineChars="0"/>
              <w:jc w:val="center"/>
              <w:rPr>
                <w:color w:val="auto"/>
                <w:kern w:val="0"/>
                <w:sz w:val="21"/>
                <w:szCs w:val="21"/>
              </w:rPr>
            </w:pPr>
            <w:r>
              <w:rPr>
                <w:color w:val="auto"/>
                <w:kern w:val="0"/>
                <w:sz w:val="21"/>
                <w:szCs w:val="21"/>
              </w:rPr>
              <w:t>生活用水来自地下水，用水量为1152m</w:t>
            </w:r>
            <w:r>
              <w:rPr>
                <w:color w:val="auto"/>
                <w:kern w:val="0"/>
                <w:sz w:val="21"/>
                <w:szCs w:val="21"/>
                <w:vertAlign w:val="superscript"/>
              </w:rPr>
              <w:t>3</w:t>
            </w:r>
            <w:r>
              <w:rPr>
                <w:color w:val="auto"/>
                <w:kern w:val="0"/>
                <w:sz w:val="21"/>
                <w:szCs w:val="21"/>
              </w:rPr>
              <w:t>/a。生产用水来自地下水、地表水，纯水由纯水机组自制，生产用水量6923.4m</w:t>
            </w:r>
            <w:r>
              <w:rPr>
                <w:color w:val="auto"/>
                <w:kern w:val="0"/>
                <w:sz w:val="21"/>
                <w:szCs w:val="21"/>
                <w:vertAlign w:val="superscript"/>
              </w:rPr>
              <w:t>3</w:t>
            </w:r>
            <w:r>
              <w:rPr>
                <w:color w:val="auto"/>
                <w:kern w:val="0"/>
                <w:sz w:val="21"/>
                <w:szCs w:val="21"/>
              </w:rPr>
              <w:t>/a</w:t>
            </w:r>
          </w:p>
        </w:tc>
        <w:tc>
          <w:tcPr>
            <w:tcW w:w="763" w:type="pct"/>
            <w:tcBorders>
              <w:tl2br w:val="nil"/>
              <w:tr2bl w:val="nil"/>
            </w:tcBorders>
            <w:vAlign w:val="center"/>
          </w:tcPr>
          <w:p w14:paraId="5046CA42">
            <w:pPr>
              <w:widowControl/>
              <w:spacing w:line="240" w:lineRule="auto"/>
              <w:ind w:firstLine="0" w:firstLineChars="0"/>
              <w:jc w:val="center"/>
              <w:rPr>
                <w:color w:val="auto"/>
                <w:kern w:val="0"/>
                <w:sz w:val="21"/>
                <w:szCs w:val="21"/>
              </w:rPr>
            </w:pPr>
            <w:r>
              <w:rPr>
                <w:color w:val="auto"/>
                <w:kern w:val="0"/>
                <w:sz w:val="21"/>
                <w:szCs w:val="21"/>
              </w:rPr>
              <w:t>生活用水来自地下水生产用水来自地下水、地表水，纯水由纯水机组自制</w:t>
            </w:r>
          </w:p>
        </w:tc>
      </w:tr>
      <w:tr w14:paraId="248BBE4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124CB86D">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7977DCBF">
            <w:pPr>
              <w:widowControl/>
              <w:spacing w:line="240" w:lineRule="auto"/>
              <w:ind w:firstLine="0" w:firstLineChars="0"/>
              <w:jc w:val="center"/>
              <w:rPr>
                <w:color w:val="auto"/>
                <w:kern w:val="0"/>
                <w:sz w:val="21"/>
                <w:szCs w:val="21"/>
              </w:rPr>
            </w:pPr>
            <w:r>
              <w:rPr>
                <w:rFonts w:hint="eastAsia"/>
                <w:color w:val="auto"/>
                <w:kern w:val="0"/>
                <w:sz w:val="21"/>
                <w:szCs w:val="21"/>
              </w:rPr>
              <w:t>供热</w:t>
            </w:r>
          </w:p>
        </w:tc>
        <w:tc>
          <w:tcPr>
            <w:tcW w:w="1540" w:type="pct"/>
            <w:tcBorders>
              <w:tl2br w:val="nil"/>
              <w:tr2bl w:val="nil"/>
            </w:tcBorders>
            <w:vAlign w:val="center"/>
          </w:tcPr>
          <w:p w14:paraId="4E4D4038">
            <w:pPr>
              <w:widowControl/>
              <w:spacing w:line="240" w:lineRule="auto"/>
              <w:ind w:firstLine="0" w:firstLineChars="0"/>
              <w:jc w:val="center"/>
              <w:rPr>
                <w:color w:val="auto"/>
                <w:kern w:val="0"/>
                <w:sz w:val="21"/>
                <w:szCs w:val="21"/>
              </w:rPr>
            </w:pPr>
            <w:r>
              <w:rPr>
                <w:color w:val="auto"/>
                <w:kern w:val="0"/>
                <w:sz w:val="21"/>
                <w:szCs w:val="21"/>
              </w:rPr>
              <w:t>园区采取集中供热的方式，由国信启东热电有限公司集中供热实施，已建成3×75t/h循环流化床锅炉(2用1备)集中供热，供热管网已覆盖区内企业，供热能力可达到150t/h</w:t>
            </w:r>
          </w:p>
        </w:tc>
        <w:tc>
          <w:tcPr>
            <w:tcW w:w="1451" w:type="pct"/>
            <w:tcBorders>
              <w:tl2br w:val="nil"/>
              <w:tr2bl w:val="nil"/>
            </w:tcBorders>
            <w:vAlign w:val="center"/>
          </w:tcPr>
          <w:p w14:paraId="30F43B4C">
            <w:pPr>
              <w:widowControl/>
              <w:spacing w:line="240" w:lineRule="auto"/>
              <w:ind w:firstLine="0" w:firstLineChars="0"/>
              <w:jc w:val="center"/>
              <w:rPr>
                <w:color w:val="auto"/>
                <w:kern w:val="0"/>
                <w:sz w:val="21"/>
                <w:szCs w:val="21"/>
              </w:rPr>
            </w:pPr>
            <w:r>
              <w:rPr>
                <w:color w:val="auto"/>
                <w:kern w:val="0"/>
                <w:sz w:val="21"/>
                <w:szCs w:val="21"/>
              </w:rPr>
              <w:t>园区采取集中供热的方式，由国信启东热电有限公司集中供热实施，已建成3×75t/h循环流化床锅炉(2用1备)集中供热，供热管网已覆盖区内企业，供热能力可达到150t/h</w:t>
            </w:r>
          </w:p>
        </w:tc>
        <w:tc>
          <w:tcPr>
            <w:tcW w:w="763" w:type="pct"/>
            <w:tcBorders>
              <w:tl2br w:val="nil"/>
              <w:tr2bl w:val="nil"/>
            </w:tcBorders>
            <w:vAlign w:val="center"/>
          </w:tcPr>
          <w:p w14:paraId="69098FA8">
            <w:pPr>
              <w:widowControl/>
              <w:spacing w:line="240" w:lineRule="auto"/>
              <w:ind w:firstLine="0" w:firstLineChars="0"/>
              <w:jc w:val="center"/>
              <w:rPr>
                <w:color w:val="auto"/>
                <w:kern w:val="0"/>
                <w:sz w:val="21"/>
                <w:szCs w:val="21"/>
              </w:rPr>
            </w:pPr>
            <w:r>
              <w:rPr>
                <w:color w:val="auto"/>
                <w:kern w:val="0"/>
                <w:sz w:val="21"/>
                <w:szCs w:val="21"/>
              </w:rPr>
              <w:t>园区集中供热</w:t>
            </w:r>
          </w:p>
        </w:tc>
      </w:tr>
      <w:tr w14:paraId="4BF503C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68933C89">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3675E9FA">
            <w:pPr>
              <w:widowControl/>
              <w:spacing w:line="240" w:lineRule="auto"/>
              <w:ind w:firstLine="0" w:firstLineChars="0"/>
              <w:jc w:val="center"/>
              <w:rPr>
                <w:color w:val="auto"/>
                <w:kern w:val="0"/>
                <w:sz w:val="21"/>
                <w:szCs w:val="21"/>
              </w:rPr>
            </w:pPr>
            <w:r>
              <w:rPr>
                <w:rFonts w:hint="eastAsia"/>
                <w:color w:val="auto"/>
                <w:kern w:val="0"/>
                <w:sz w:val="21"/>
                <w:szCs w:val="21"/>
              </w:rPr>
              <w:t>排水</w:t>
            </w:r>
          </w:p>
        </w:tc>
        <w:tc>
          <w:tcPr>
            <w:tcW w:w="1540" w:type="pct"/>
            <w:tcBorders>
              <w:tl2br w:val="nil"/>
              <w:tr2bl w:val="nil"/>
            </w:tcBorders>
            <w:vAlign w:val="center"/>
          </w:tcPr>
          <w:p w14:paraId="5DE7597E">
            <w:pPr>
              <w:widowControl/>
              <w:spacing w:line="240" w:lineRule="auto"/>
              <w:ind w:firstLine="0" w:firstLineChars="0"/>
              <w:jc w:val="center"/>
              <w:rPr>
                <w:color w:val="auto"/>
                <w:kern w:val="0"/>
                <w:sz w:val="21"/>
                <w:szCs w:val="21"/>
              </w:rPr>
            </w:pPr>
            <w:r>
              <w:rPr>
                <w:color w:val="auto"/>
                <w:kern w:val="0"/>
                <w:sz w:val="21"/>
                <w:szCs w:val="21"/>
              </w:rPr>
              <w:t>现有项目污水排放量为98899.659t/a</w:t>
            </w:r>
          </w:p>
        </w:tc>
        <w:tc>
          <w:tcPr>
            <w:tcW w:w="1451" w:type="pct"/>
            <w:tcBorders>
              <w:tl2br w:val="nil"/>
              <w:tr2bl w:val="nil"/>
            </w:tcBorders>
            <w:vAlign w:val="center"/>
          </w:tcPr>
          <w:p w14:paraId="68B75E74">
            <w:pPr>
              <w:widowControl/>
              <w:spacing w:line="240" w:lineRule="auto"/>
              <w:ind w:firstLine="0" w:firstLineChars="0"/>
              <w:jc w:val="center"/>
              <w:rPr>
                <w:color w:val="auto"/>
                <w:kern w:val="0"/>
                <w:sz w:val="21"/>
                <w:szCs w:val="21"/>
              </w:rPr>
            </w:pPr>
            <w:r>
              <w:rPr>
                <w:color w:val="auto"/>
                <w:kern w:val="0"/>
                <w:sz w:val="21"/>
                <w:szCs w:val="21"/>
              </w:rPr>
              <w:t>现有项目污水排放量为98899.659t/a</w:t>
            </w:r>
          </w:p>
        </w:tc>
        <w:tc>
          <w:tcPr>
            <w:tcW w:w="763" w:type="pct"/>
            <w:tcBorders>
              <w:tl2br w:val="nil"/>
              <w:tr2bl w:val="nil"/>
            </w:tcBorders>
            <w:vAlign w:val="center"/>
          </w:tcPr>
          <w:p w14:paraId="33B52CEE">
            <w:pPr>
              <w:widowControl/>
              <w:spacing w:line="240" w:lineRule="auto"/>
              <w:ind w:firstLine="0" w:firstLineChars="0"/>
              <w:jc w:val="center"/>
              <w:rPr>
                <w:color w:val="auto"/>
                <w:kern w:val="0"/>
                <w:sz w:val="21"/>
                <w:szCs w:val="21"/>
              </w:rPr>
            </w:pPr>
            <w:r>
              <w:rPr>
                <w:rFonts w:hint="eastAsia"/>
                <w:color w:val="auto"/>
                <w:kern w:val="0"/>
                <w:sz w:val="21"/>
                <w:szCs w:val="21"/>
              </w:rPr>
              <w:t>园区污水管网</w:t>
            </w:r>
          </w:p>
        </w:tc>
      </w:tr>
      <w:tr w14:paraId="5A5CC2D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4892F241">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4B39975E">
            <w:pPr>
              <w:widowControl/>
              <w:spacing w:line="240" w:lineRule="auto"/>
              <w:ind w:firstLine="0" w:firstLineChars="0"/>
              <w:jc w:val="center"/>
              <w:rPr>
                <w:color w:val="auto"/>
                <w:kern w:val="0"/>
                <w:sz w:val="21"/>
                <w:szCs w:val="21"/>
              </w:rPr>
            </w:pPr>
            <w:r>
              <w:rPr>
                <w:rFonts w:hint="eastAsia"/>
                <w:color w:val="auto"/>
                <w:kern w:val="0"/>
                <w:sz w:val="21"/>
                <w:szCs w:val="21"/>
              </w:rPr>
              <w:t>冷冻机组</w:t>
            </w:r>
          </w:p>
        </w:tc>
        <w:tc>
          <w:tcPr>
            <w:tcW w:w="1540" w:type="pct"/>
            <w:tcBorders>
              <w:tl2br w:val="nil"/>
              <w:tr2bl w:val="nil"/>
            </w:tcBorders>
            <w:vAlign w:val="center"/>
          </w:tcPr>
          <w:p w14:paraId="24E7053B">
            <w:pPr>
              <w:widowControl/>
              <w:spacing w:line="240" w:lineRule="auto"/>
              <w:ind w:firstLine="0" w:firstLineChars="0"/>
              <w:jc w:val="center"/>
              <w:rPr>
                <w:color w:val="auto"/>
                <w:kern w:val="0"/>
                <w:sz w:val="21"/>
                <w:szCs w:val="21"/>
              </w:rPr>
            </w:pPr>
            <w:r>
              <w:rPr>
                <w:rFonts w:hint="eastAsia"/>
                <w:color w:val="auto"/>
                <w:kern w:val="0"/>
                <w:sz w:val="21"/>
                <w:szCs w:val="21"/>
              </w:rPr>
              <w:t>企业</w:t>
            </w:r>
            <w:r>
              <w:rPr>
                <w:color w:val="auto"/>
                <w:kern w:val="0"/>
                <w:sz w:val="21"/>
                <w:szCs w:val="21"/>
              </w:rPr>
              <w:t>制冷间现有1台38万大卡的冷冻机组、2台55万大卡的制冷机的冷冻机组，目前供冷能力为148万大卡，全厂现有供冷最大需求量80万大卡</w:t>
            </w:r>
          </w:p>
        </w:tc>
        <w:tc>
          <w:tcPr>
            <w:tcW w:w="1451" w:type="pct"/>
            <w:tcBorders>
              <w:tl2br w:val="nil"/>
              <w:tr2bl w:val="nil"/>
            </w:tcBorders>
            <w:vAlign w:val="center"/>
          </w:tcPr>
          <w:p w14:paraId="78E432DF">
            <w:pPr>
              <w:widowControl/>
              <w:spacing w:line="240" w:lineRule="auto"/>
              <w:ind w:firstLine="0" w:firstLineChars="0"/>
              <w:jc w:val="center"/>
              <w:rPr>
                <w:color w:val="auto"/>
                <w:kern w:val="0"/>
                <w:sz w:val="21"/>
                <w:szCs w:val="21"/>
              </w:rPr>
            </w:pPr>
            <w:r>
              <w:rPr>
                <w:rFonts w:hint="eastAsia"/>
                <w:color w:val="auto"/>
                <w:kern w:val="0"/>
                <w:sz w:val="21"/>
                <w:szCs w:val="21"/>
              </w:rPr>
              <w:t>企业</w:t>
            </w:r>
            <w:r>
              <w:rPr>
                <w:color w:val="auto"/>
                <w:kern w:val="0"/>
                <w:sz w:val="21"/>
                <w:szCs w:val="21"/>
              </w:rPr>
              <w:t>制冷间现有1台38万大卡的冷冻机组、2台55万大卡的制冷机的冷冻机组，目前供冷能力为148万大卡，全厂现有供冷最大需求量80万大卡</w:t>
            </w:r>
          </w:p>
        </w:tc>
        <w:tc>
          <w:tcPr>
            <w:tcW w:w="763" w:type="pct"/>
            <w:tcBorders>
              <w:tl2br w:val="nil"/>
              <w:tr2bl w:val="nil"/>
            </w:tcBorders>
            <w:vAlign w:val="center"/>
          </w:tcPr>
          <w:p w14:paraId="2D073C61">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8E2462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31B1C5FB">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5D00FF63">
            <w:pPr>
              <w:widowControl/>
              <w:spacing w:line="240" w:lineRule="auto"/>
              <w:ind w:firstLine="0" w:firstLineChars="0"/>
              <w:jc w:val="center"/>
              <w:rPr>
                <w:color w:val="auto"/>
                <w:kern w:val="0"/>
                <w:sz w:val="21"/>
                <w:szCs w:val="21"/>
              </w:rPr>
            </w:pPr>
            <w:r>
              <w:rPr>
                <w:rFonts w:hint="eastAsia"/>
                <w:color w:val="auto"/>
                <w:kern w:val="0"/>
                <w:sz w:val="21"/>
                <w:szCs w:val="21"/>
              </w:rPr>
              <w:t>压缩空气系统</w:t>
            </w:r>
          </w:p>
        </w:tc>
        <w:tc>
          <w:tcPr>
            <w:tcW w:w="1540" w:type="pct"/>
            <w:tcBorders>
              <w:tl2br w:val="nil"/>
              <w:tr2bl w:val="nil"/>
            </w:tcBorders>
            <w:vAlign w:val="center"/>
          </w:tcPr>
          <w:p w14:paraId="7F2E95E2">
            <w:pPr>
              <w:widowControl/>
              <w:spacing w:line="240" w:lineRule="auto"/>
              <w:ind w:firstLine="0" w:firstLineChars="0"/>
              <w:jc w:val="center"/>
              <w:rPr>
                <w:color w:val="auto"/>
                <w:kern w:val="0"/>
                <w:sz w:val="21"/>
                <w:szCs w:val="21"/>
              </w:rPr>
            </w:pPr>
            <w:r>
              <w:rPr>
                <w:color w:val="auto"/>
                <w:kern w:val="0"/>
                <w:sz w:val="21"/>
                <w:szCs w:val="21"/>
              </w:rPr>
              <w:t>压缩空气实际需求量为4Nm</w:t>
            </w:r>
            <w:r>
              <w:rPr>
                <w:color w:val="auto"/>
                <w:kern w:val="0"/>
                <w:sz w:val="21"/>
                <w:szCs w:val="21"/>
                <w:vertAlign w:val="superscript"/>
              </w:rPr>
              <w:t>3</w:t>
            </w:r>
            <w:r>
              <w:rPr>
                <w:color w:val="auto"/>
                <w:kern w:val="0"/>
                <w:sz w:val="21"/>
                <w:szCs w:val="21"/>
              </w:rPr>
              <w:t>/min，厂区已配置2台8Nm</w:t>
            </w:r>
            <w:r>
              <w:rPr>
                <w:color w:val="auto"/>
                <w:kern w:val="0"/>
                <w:sz w:val="21"/>
                <w:szCs w:val="21"/>
                <w:vertAlign w:val="superscript"/>
              </w:rPr>
              <w:t>3</w:t>
            </w:r>
            <w:r>
              <w:rPr>
                <w:color w:val="auto"/>
                <w:kern w:val="0"/>
                <w:sz w:val="21"/>
                <w:szCs w:val="21"/>
              </w:rPr>
              <w:t>/min的空压机</w:t>
            </w:r>
          </w:p>
        </w:tc>
        <w:tc>
          <w:tcPr>
            <w:tcW w:w="1451" w:type="pct"/>
            <w:tcBorders>
              <w:tl2br w:val="nil"/>
              <w:tr2bl w:val="nil"/>
            </w:tcBorders>
            <w:vAlign w:val="center"/>
          </w:tcPr>
          <w:p w14:paraId="3DA0D139">
            <w:pPr>
              <w:widowControl/>
              <w:spacing w:line="240" w:lineRule="auto"/>
              <w:ind w:firstLine="0" w:firstLineChars="0"/>
              <w:jc w:val="center"/>
              <w:rPr>
                <w:color w:val="auto"/>
                <w:kern w:val="0"/>
                <w:sz w:val="21"/>
                <w:szCs w:val="21"/>
              </w:rPr>
            </w:pPr>
            <w:r>
              <w:rPr>
                <w:color w:val="auto"/>
                <w:kern w:val="0"/>
                <w:sz w:val="21"/>
                <w:szCs w:val="21"/>
              </w:rPr>
              <w:t>压缩空气实际需求量为4Nm</w:t>
            </w:r>
            <w:r>
              <w:rPr>
                <w:color w:val="auto"/>
                <w:kern w:val="0"/>
                <w:sz w:val="21"/>
                <w:szCs w:val="21"/>
                <w:vertAlign w:val="superscript"/>
              </w:rPr>
              <w:t>3</w:t>
            </w:r>
            <w:r>
              <w:rPr>
                <w:color w:val="auto"/>
                <w:kern w:val="0"/>
                <w:sz w:val="21"/>
                <w:szCs w:val="21"/>
              </w:rPr>
              <w:t>/min，厂区已配置2台8Nm</w:t>
            </w:r>
            <w:r>
              <w:rPr>
                <w:color w:val="auto"/>
                <w:kern w:val="0"/>
                <w:sz w:val="21"/>
                <w:szCs w:val="21"/>
                <w:vertAlign w:val="superscript"/>
              </w:rPr>
              <w:t>3</w:t>
            </w:r>
            <w:r>
              <w:rPr>
                <w:color w:val="auto"/>
                <w:kern w:val="0"/>
                <w:sz w:val="21"/>
                <w:szCs w:val="21"/>
              </w:rPr>
              <w:t>/min的空压机</w:t>
            </w:r>
          </w:p>
        </w:tc>
        <w:tc>
          <w:tcPr>
            <w:tcW w:w="763" w:type="pct"/>
            <w:tcBorders>
              <w:tl2br w:val="nil"/>
              <w:tr2bl w:val="nil"/>
            </w:tcBorders>
            <w:vAlign w:val="center"/>
          </w:tcPr>
          <w:p w14:paraId="6F4C8AB4">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E91ABC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restart"/>
            <w:tcBorders>
              <w:tl2br w:val="nil"/>
              <w:tr2bl w:val="nil"/>
            </w:tcBorders>
            <w:vAlign w:val="center"/>
          </w:tcPr>
          <w:p w14:paraId="05F8BDF9">
            <w:pPr>
              <w:widowControl/>
              <w:spacing w:line="240" w:lineRule="auto"/>
              <w:ind w:firstLine="0" w:firstLineChars="0"/>
              <w:jc w:val="center"/>
              <w:rPr>
                <w:color w:val="auto"/>
                <w:kern w:val="0"/>
                <w:sz w:val="21"/>
                <w:szCs w:val="21"/>
              </w:rPr>
            </w:pPr>
            <w:r>
              <w:rPr>
                <w:rFonts w:hint="eastAsia"/>
                <w:color w:val="auto"/>
                <w:kern w:val="0"/>
                <w:sz w:val="21"/>
                <w:szCs w:val="21"/>
              </w:rPr>
              <w:t>环保工程</w:t>
            </w:r>
          </w:p>
        </w:tc>
        <w:tc>
          <w:tcPr>
            <w:tcW w:w="748" w:type="pct"/>
            <w:vMerge w:val="restart"/>
            <w:tcBorders>
              <w:tl2br w:val="nil"/>
              <w:tr2bl w:val="nil"/>
            </w:tcBorders>
            <w:vAlign w:val="center"/>
          </w:tcPr>
          <w:p w14:paraId="73D2D7A5">
            <w:pPr>
              <w:widowControl/>
              <w:spacing w:line="240" w:lineRule="auto"/>
              <w:ind w:firstLine="0" w:firstLineChars="0"/>
              <w:jc w:val="center"/>
              <w:rPr>
                <w:color w:val="auto"/>
                <w:kern w:val="0"/>
                <w:sz w:val="21"/>
                <w:szCs w:val="21"/>
              </w:rPr>
            </w:pPr>
            <w:r>
              <w:rPr>
                <w:rFonts w:hint="eastAsia"/>
                <w:color w:val="auto"/>
                <w:kern w:val="0"/>
                <w:sz w:val="21"/>
                <w:szCs w:val="21"/>
              </w:rPr>
              <w:t>废气处理设施</w:t>
            </w:r>
          </w:p>
        </w:tc>
        <w:tc>
          <w:tcPr>
            <w:tcW w:w="1540" w:type="pct"/>
            <w:tcBorders>
              <w:tl2br w:val="nil"/>
              <w:tr2bl w:val="nil"/>
            </w:tcBorders>
            <w:vAlign w:val="center"/>
          </w:tcPr>
          <w:p w14:paraId="72E63799">
            <w:pPr>
              <w:widowControl/>
              <w:spacing w:line="240" w:lineRule="auto"/>
              <w:ind w:firstLine="0" w:firstLineChars="0"/>
              <w:jc w:val="center"/>
              <w:rPr>
                <w:color w:val="auto"/>
                <w:kern w:val="0"/>
                <w:sz w:val="21"/>
                <w:szCs w:val="21"/>
              </w:rPr>
            </w:pPr>
            <w:r>
              <w:rPr>
                <w:color w:val="auto"/>
                <w:kern w:val="0"/>
                <w:sz w:val="21"/>
                <w:szCs w:val="21"/>
              </w:rPr>
              <w:t>三级碱吸收+一级水喷淋+电除雾</w:t>
            </w:r>
            <w:r>
              <w:rPr>
                <w:rFonts w:hint="eastAsia"/>
                <w:color w:val="auto"/>
                <w:kern w:val="0"/>
                <w:sz w:val="21"/>
                <w:szCs w:val="21"/>
              </w:rPr>
              <w:t>，35mDA001排气筒</w:t>
            </w:r>
          </w:p>
        </w:tc>
        <w:tc>
          <w:tcPr>
            <w:tcW w:w="1451" w:type="pct"/>
            <w:tcBorders>
              <w:tl2br w:val="nil"/>
              <w:tr2bl w:val="nil"/>
            </w:tcBorders>
            <w:vAlign w:val="center"/>
          </w:tcPr>
          <w:p w14:paraId="3A32E4B4">
            <w:pPr>
              <w:widowControl/>
              <w:spacing w:line="240" w:lineRule="auto"/>
              <w:ind w:firstLine="0" w:firstLineChars="0"/>
              <w:jc w:val="center"/>
              <w:rPr>
                <w:color w:val="auto"/>
                <w:kern w:val="0"/>
                <w:sz w:val="21"/>
                <w:szCs w:val="21"/>
              </w:rPr>
            </w:pPr>
            <w:r>
              <w:rPr>
                <w:color w:val="auto"/>
                <w:kern w:val="0"/>
                <w:sz w:val="21"/>
                <w:szCs w:val="21"/>
              </w:rPr>
              <w:t>三级碱吸收+一级水喷淋+电除雾</w:t>
            </w:r>
            <w:r>
              <w:rPr>
                <w:rFonts w:hint="eastAsia"/>
                <w:color w:val="auto"/>
                <w:kern w:val="0"/>
                <w:sz w:val="21"/>
                <w:szCs w:val="21"/>
              </w:rPr>
              <w:t>，35mDA001排气筒</w:t>
            </w:r>
          </w:p>
        </w:tc>
        <w:tc>
          <w:tcPr>
            <w:tcW w:w="763" w:type="pct"/>
            <w:tcBorders>
              <w:tl2br w:val="nil"/>
              <w:tr2bl w:val="nil"/>
            </w:tcBorders>
            <w:vAlign w:val="center"/>
          </w:tcPr>
          <w:p w14:paraId="040C57E8">
            <w:pPr>
              <w:widowControl/>
              <w:spacing w:line="240" w:lineRule="auto"/>
              <w:ind w:firstLine="0" w:firstLineChars="0"/>
              <w:jc w:val="center"/>
              <w:rPr>
                <w:color w:val="auto"/>
                <w:kern w:val="0"/>
                <w:sz w:val="21"/>
                <w:szCs w:val="21"/>
              </w:rPr>
            </w:pPr>
            <w:r>
              <w:rPr>
                <w:rFonts w:hint="eastAsia"/>
                <w:color w:val="auto"/>
                <w:kern w:val="0"/>
                <w:sz w:val="21"/>
                <w:szCs w:val="21"/>
              </w:rPr>
              <w:t>依托</w:t>
            </w:r>
            <w:r>
              <w:rPr>
                <w:color w:val="auto"/>
                <w:kern w:val="0"/>
                <w:sz w:val="21"/>
                <w:szCs w:val="21"/>
              </w:rPr>
              <w:t>1#车间</w:t>
            </w:r>
            <w:r>
              <w:rPr>
                <w:rFonts w:hint="eastAsia"/>
                <w:color w:val="auto"/>
                <w:kern w:val="0"/>
                <w:sz w:val="21"/>
                <w:szCs w:val="21"/>
              </w:rPr>
              <w:t>与</w:t>
            </w:r>
            <w:r>
              <w:rPr>
                <w:color w:val="auto"/>
                <w:kern w:val="0"/>
                <w:sz w:val="21"/>
                <w:szCs w:val="21"/>
              </w:rPr>
              <w:t>3#车间</w:t>
            </w:r>
            <w:r>
              <w:rPr>
                <w:rFonts w:hint="eastAsia"/>
                <w:color w:val="auto"/>
                <w:kern w:val="0"/>
                <w:sz w:val="21"/>
                <w:szCs w:val="21"/>
              </w:rPr>
              <w:t>废气处理设施</w:t>
            </w:r>
          </w:p>
        </w:tc>
      </w:tr>
      <w:tr w14:paraId="5E60223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5018FBCD">
            <w:pPr>
              <w:widowControl/>
              <w:spacing w:line="240" w:lineRule="auto"/>
              <w:ind w:firstLine="0" w:firstLineChars="0"/>
              <w:jc w:val="center"/>
              <w:rPr>
                <w:color w:val="auto"/>
                <w:kern w:val="0"/>
                <w:sz w:val="21"/>
                <w:szCs w:val="21"/>
              </w:rPr>
            </w:pPr>
          </w:p>
        </w:tc>
        <w:tc>
          <w:tcPr>
            <w:tcW w:w="748" w:type="pct"/>
            <w:vMerge w:val="continue"/>
            <w:tcBorders>
              <w:tl2br w:val="nil"/>
              <w:tr2bl w:val="nil"/>
            </w:tcBorders>
            <w:vAlign w:val="center"/>
          </w:tcPr>
          <w:p w14:paraId="686991F5">
            <w:pPr>
              <w:widowControl/>
              <w:spacing w:line="240" w:lineRule="auto"/>
              <w:ind w:firstLine="0" w:firstLineChars="0"/>
              <w:jc w:val="center"/>
              <w:rPr>
                <w:color w:val="auto"/>
                <w:kern w:val="0"/>
                <w:sz w:val="21"/>
                <w:szCs w:val="21"/>
              </w:rPr>
            </w:pPr>
          </w:p>
        </w:tc>
        <w:tc>
          <w:tcPr>
            <w:tcW w:w="1540" w:type="pct"/>
            <w:tcBorders>
              <w:tl2br w:val="nil"/>
              <w:tr2bl w:val="nil"/>
            </w:tcBorders>
            <w:vAlign w:val="center"/>
          </w:tcPr>
          <w:p w14:paraId="7F0ECD5E">
            <w:pPr>
              <w:widowControl/>
              <w:spacing w:line="240" w:lineRule="auto"/>
              <w:ind w:firstLine="0" w:firstLineChars="0"/>
              <w:jc w:val="center"/>
              <w:rPr>
                <w:color w:val="auto"/>
                <w:kern w:val="0"/>
                <w:sz w:val="21"/>
                <w:szCs w:val="21"/>
              </w:rPr>
            </w:pPr>
            <w:r>
              <w:rPr>
                <w:color w:val="auto"/>
                <w:kern w:val="0"/>
                <w:sz w:val="21"/>
                <w:szCs w:val="21"/>
              </w:rPr>
              <w:t>氨水吸收+水喷淋+电除雾</w:t>
            </w:r>
            <w:r>
              <w:rPr>
                <w:rFonts w:hint="eastAsia"/>
                <w:color w:val="auto"/>
                <w:kern w:val="0"/>
                <w:sz w:val="21"/>
                <w:szCs w:val="21"/>
              </w:rPr>
              <w:t>，40mDA002排气筒</w:t>
            </w:r>
          </w:p>
        </w:tc>
        <w:tc>
          <w:tcPr>
            <w:tcW w:w="1451" w:type="pct"/>
            <w:tcBorders>
              <w:tl2br w:val="nil"/>
              <w:tr2bl w:val="nil"/>
            </w:tcBorders>
            <w:vAlign w:val="center"/>
          </w:tcPr>
          <w:p w14:paraId="58E211B7">
            <w:pPr>
              <w:widowControl/>
              <w:spacing w:line="240" w:lineRule="auto"/>
              <w:ind w:firstLine="0" w:firstLineChars="0"/>
              <w:jc w:val="center"/>
              <w:rPr>
                <w:color w:val="auto"/>
                <w:kern w:val="0"/>
                <w:sz w:val="21"/>
                <w:szCs w:val="21"/>
              </w:rPr>
            </w:pPr>
            <w:r>
              <w:rPr>
                <w:color w:val="auto"/>
                <w:kern w:val="0"/>
                <w:sz w:val="21"/>
                <w:szCs w:val="21"/>
              </w:rPr>
              <w:t>氨水吸收+水喷淋+电除雾</w:t>
            </w:r>
            <w:r>
              <w:rPr>
                <w:rFonts w:hint="eastAsia"/>
                <w:color w:val="auto"/>
                <w:kern w:val="0"/>
                <w:sz w:val="21"/>
                <w:szCs w:val="21"/>
              </w:rPr>
              <w:t>，40mDA002排气筒</w:t>
            </w:r>
          </w:p>
        </w:tc>
        <w:tc>
          <w:tcPr>
            <w:tcW w:w="763" w:type="pct"/>
            <w:tcBorders>
              <w:tl2br w:val="nil"/>
              <w:tr2bl w:val="nil"/>
            </w:tcBorders>
            <w:vAlign w:val="center"/>
          </w:tcPr>
          <w:p w14:paraId="6A74B446">
            <w:pPr>
              <w:widowControl/>
              <w:spacing w:line="240" w:lineRule="auto"/>
              <w:ind w:firstLine="0" w:firstLineChars="0"/>
              <w:jc w:val="center"/>
              <w:rPr>
                <w:color w:val="auto"/>
                <w:kern w:val="0"/>
                <w:sz w:val="21"/>
                <w:szCs w:val="21"/>
              </w:rPr>
            </w:pPr>
            <w:r>
              <w:rPr>
                <w:rFonts w:hint="eastAsia"/>
                <w:color w:val="auto"/>
                <w:kern w:val="0"/>
                <w:sz w:val="21"/>
                <w:szCs w:val="21"/>
              </w:rPr>
              <w:t>依托</w:t>
            </w:r>
            <w:r>
              <w:rPr>
                <w:color w:val="auto"/>
                <w:kern w:val="0"/>
                <w:sz w:val="21"/>
                <w:szCs w:val="21"/>
              </w:rPr>
              <w:t>2#亚铵车间</w:t>
            </w:r>
            <w:r>
              <w:rPr>
                <w:rFonts w:hint="eastAsia"/>
                <w:color w:val="auto"/>
                <w:kern w:val="0"/>
                <w:sz w:val="21"/>
                <w:szCs w:val="21"/>
              </w:rPr>
              <w:t>废气处理设施</w:t>
            </w:r>
          </w:p>
        </w:tc>
      </w:tr>
      <w:tr w14:paraId="41D3634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1B64AFD2">
            <w:pPr>
              <w:widowControl/>
              <w:spacing w:line="240" w:lineRule="auto"/>
              <w:ind w:firstLine="0" w:firstLineChars="0"/>
              <w:jc w:val="center"/>
              <w:rPr>
                <w:color w:val="auto"/>
                <w:kern w:val="0"/>
                <w:sz w:val="21"/>
                <w:szCs w:val="21"/>
              </w:rPr>
            </w:pPr>
          </w:p>
        </w:tc>
        <w:tc>
          <w:tcPr>
            <w:tcW w:w="748" w:type="pct"/>
            <w:vMerge w:val="continue"/>
            <w:tcBorders>
              <w:tl2br w:val="nil"/>
              <w:tr2bl w:val="nil"/>
            </w:tcBorders>
            <w:vAlign w:val="center"/>
          </w:tcPr>
          <w:p w14:paraId="26BED85A">
            <w:pPr>
              <w:widowControl/>
              <w:spacing w:line="240" w:lineRule="auto"/>
              <w:ind w:firstLine="0" w:firstLineChars="0"/>
              <w:jc w:val="center"/>
              <w:rPr>
                <w:color w:val="auto"/>
                <w:kern w:val="0"/>
                <w:sz w:val="21"/>
                <w:szCs w:val="21"/>
              </w:rPr>
            </w:pPr>
          </w:p>
        </w:tc>
        <w:tc>
          <w:tcPr>
            <w:tcW w:w="1540" w:type="pct"/>
            <w:tcBorders>
              <w:tl2br w:val="nil"/>
              <w:tr2bl w:val="nil"/>
            </w:tcBorders>
            <w:vAlign w:val="center"/>
          </w:tcPr>
          <w:p w14:paraId="52DD9E4C">
            <w:pPr>
              <w:widowControl/>
              <w:spacing w:line="240" w:lineRule="auto"/>
              <w:ind w:firstLine="0" w:firstLineChars="0"/>
              <w:jc w:val="center"/>
              <w:rPr>
                <w:color w:val="auto"/>
                <w:kern w:val="0"/>
                <w:sz w:val="21"/>
                <w:szCs w:val="21"/>
              </w:rPr>
            </w:pPr>
            <w:r>
              <w:rPr>
                <w:color w:val="auto"/>
                <w:kern w:val="0"/>
                <w:sz w:val="21"/>
                <w:szCs w:val="21"/>
              </w:rPr>
              <w:t>布袋除尘+水喷淋</w:t>
            </w:r>
            <w:r>
              <w:rPr>
                <w:rFonts w:hint="eastAsia"/>
                <w:color w:val="auto"/>
                <w:kern w:val="0"/>
                <w:sz w:val="21"/>
                <w:szCs w:val="21"/>
              </w:rPr>
              <w:t>，40mDA003排气筒；</w:t>
            </w:r>
          </w:p>
          <w:p w14:paraId="1BCBCFA1">
            <w:pPr>
              <w:widowControl/>
              <w:spacing w:line="240" w:lineRule="auto"/>
              <w:ind w:firstLine="0" w:firstLineChars="0"/>
              <w:jc w:val="center"/>
              <w:rPr>
                <w:color w:val="auto"/>
                <w:kern w:val="0"/>
                <w:sz w:val="21"/>
                <w:szCs w:val="21"/>
              </w:rPr>
            </w:pPr>
            <w:r>
              <w:rPr>
                <w:color w:val="auto"/>
                <w:kern w:val="0"/>
                <w:sz w:val="21"/>
                <w:szCs w:val="21"/>
              </w:rPr>
              <w:t>旋风+布袋除尘</w:t>
            </w:r>
            <w:r>
              <w:rPr>
                <w:rFonts w:hint="eastAsia"/>
                <w:color w:val="auto"/>
                <w:kern w:val="0"/>
                <w:sz w:val="21"/>
                <w:szCs w:val="21"/>
              </w:rPr>
              <w:t>，40mDA004排气筒</w:t>
            </w:r>
          </w:p>
        </w:tc>
        <w:tc>
          <w:tcPr>
            <w:tcW w:w="1451" w:type="pct"/>
            <w:tcBorders>
              <w:tl2br w:val="nil"/>
              <w:tr2bl w:val="nil"/>
            </w:tcBorders>
            <w:vAlign w:val="center"/>
          </w:tcPr>
          <w:p w14:paraId="6500649A">
            <w:pPr>
              <w:widowControl/>
              <w:spacing w:line="240" w:lineRule="auto"/>
              <w:ind w:firstLine="0" w:firstLineChars="0"/>
              <w:jc w:val="center"/>
              <w:rPr>
                <w:color w:val="auto"/>
                <w:kern w:val="0"/>
                <w:sz w:val="21"/>
                <w:szCs w:val="21"/>
              </w:rPr>
            </w:pPr>
            <w:r>
              <w:rPr>
                <w:color w:val="auto"/>
                <w:kern w:val="0"/>
                <w:sz w:val="21"/>
                <w:szCs w:val="21"/>
              </w:rPr>
              <w:t>布袋除尘+水喷淋</w:t>
            </w:r>
            <w:r>
              <w:rPr>
                <w:rFonts w:hint="eastAsia"/>
                <w:color w:val="auto"/>
                <w:kern w:val="0"/>
                <w:sz w:val="21"/>
                <w:szCs w:val="21"/>
              </w:rPr>
              <w:t>，40mDA003排气筒；</w:t>
            </w:r>
          </w:p>
          <w:p w14:paraId="6442C109">
            <w:pPr>
              <w:widowControl/>
              <w:spacing w:line="240" w:lineRule="auto"/>
              <w:ind w:firstLine="0" w:firstLineChars="0"/>
              <w:jc w:val="center"/>
              <w:rPr>
                <w:color w:val="auto"/>
                <w:kern w:val="0"/>
                <w:sz w:val="21"/>
                <w:szCs w:val="21"/>
              </w:rPr>
            </w:pPr>
            <w:r>
              <w:rPr>
                <w:color w:val="auto"/>
                <w:kern w:val="0"/>
                <w:sz w:val="21"/>
                <w:szCs w:val="21"/>
              </w:rPr>
              <w:t>旋风+布袋除尘</w:t>
            </w:r>
            <w:r>
              <w:rPr>
                <w:rFonts w:hint="eastAsia"/>
                <w:color w:val="auto"/>
                <w:kern w:val="0"/>
                <w:sz w:val="21"/>
                <w:szCs w:val="21"/>
              </w:rPr>
              <w:t>，40mDA004排气筒</w:t>
            </w:r>
          </w:p>
        </w:tc>
        <w:tc>
          <w:tcPr>
            <w:tcW w:w="763" w:type="pct"/>
            <w:tcBorders>
              <w:tl2br w:val="nil"/>
              <w:tr2bl w:val="nil"/>
            </w:tcBorders>
            <w:vAlign w:val="center"/>
          </w:tcPr>
          <w:p w14:paraId="609D10DB">
            <w:pPr>
              <w:widowControl/>
              <w:spacing w:line="240" w:lineRule="auto"/>
              <w:ind w:firstLine="0" w:firstLineChars="0"/>
              <w:jc w:val="center"/>
              <w:rPr>
                <w:color w:val="auto"/>
                <w:kern w:val="0"/>
                <w:sz w:val="21"/>
                <w:szCs w:val="21"/>
              </w:rPr>
            </w:pPr>
            <w:r>
              <w:rPr>
                <w:rFonts w:hint="eastAsia"/>
                <w:color w:val="auto"/>
                <w:kern w:val="0"/>
                <w:sz w:val="21"/>
                <w:szCs w:val="21"/>
              </w:rPr>
              <w:t>依托石膏</w:t>
            </w:r>
            <w:r>
              <w:rPr>
                <w:color w:val="auto"/>
                <w:kern w:val="0"/>
                <w:sz w:val="21"/>
                <w:szCs w:val="21"/>
              </w:rPr>
              <w:t>车间</w:t>
            </w:r>
            <w:r>
              <w:rPr>
                <w:rFonts w:hint="eastAsia"/>
                <w:color w:val="auto"/>
                <w:kern w:val="0"/>
                <w:sz w:val="21"/>
                <w:szCs w:val="21"/>
              </w:rPr>
              <w:t>废气处理设施</w:t>
            </w:r>
          </w:p>
        </w:tc>
      </w:tr>
      <w:tr w14:paraId="7658BDD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22" w:hRule="atLeast"/>
          <w:jc w:val="center"/>
        </w:trPr>
        <w:tc>
          <w:tcPr>
            <w:tcW w:w="495" w:type="pct"/>
            <w:vMerge w:val="continue"/>
            <w:tcBorders>
              <w:tl2br w:val="nil"/>
              <w:tr2bl w:val="nil"/>
            </w:tcBorders>
            <w:vAlign w:val="center"/>
          </w:tcPr>
          <w:p w14:paraId="7A705492">
            <w:pPr>
              <w:widowControl/>
              <w:spacing w:line="240" w:lineRule="auto"/>
              <w:ind w:firstLine="0" w:firstLineChars="0"/>
              <w:jc w:val="center"/>
              <w:rPr>
                <w:color w:val="auto"/>
                <w:kern w:val="0"/>
                <w:sz w:val="21"/>
                <w:szCs w:val="21"/>
              </w:rPr>
            </w:pPr>
          </w:p>
        </w:tc>
        <w:tc>
          <w:tcPr>
            <w:tcW w:w="748" w:type="pct"/>
            <w:vMerge w:val="continue"/>
            <w:tcBorders>
              <w:tl2br w:val="nil"/>
              <w:tr2bl w:val="nil"/>
            </w:tcBorders>
            <w:vAlign w:val="center"/>
          </w:tcPr>
          <w:p w14:paraId="083DE4F7">
            <w:pPr>
              <w:widowControl/>
              <w:spacing w:line="240" w:lineRule="auto"/>
              <w:ind w:firstLine="0" w:firstLineChars="0"/>
              <w:jc w:val="center"/>
              <w:rPr>
                <w:color w:val="auto"/>
                <w:kern w:val="0"/>
                <w:sz w:val="21"/>
                <w:szCs w:val="21"/>
              </w:rPr>
            </w:pPr>
          </w:p>
        </w:tc>
        <w:tc>
          <w:tcPr>
            <w:tcW w:w="1540" w:type="pct"/>
            <w:tcBorders>
              <w:tl2br w:val="nil"/>
              <w:tr2bl w:val="nil"/>
            </w:tcBorders>
            <w:vAlign w:val="center"/>
          </w:tcPr>
          <w:p w14:paraId="1F0F15BD">
            <w:pPr>
              <w:widowControl/>
              <w:spacing w:line="240" w:lineRule="auto"/>
              <w:ind w:firstLine="0" w:firstLineChars="0"/>
              <w:jc w:val="center"/>
              <w:rPr>
                <w:color w:val="auto"/>
                <w:kern w:val="0"/>
                <w:sz w:val="21"/>
                <w:szCs w:val="21"/>
              </w:rPr>
            </w:pPr>
            <w:r>
              <w:rPr>
                <w:color w:val="auto"/>
                <w:kern w:val="0"/>
                <w:sz w:val="21"/>
                <w:szCs w:val="21"/>
              </w:rPr>
              <w:t>两级水喷淋+一级活性炭吸附</w:t>
            </w:r>
            <w:r>
              <w:rPr>
                <w:rFonts w:hint="eastAsia"/>
                <w:color w:val="auto"/>
                <w:kern w:val="0"/>
                <w:sz w:val="21"/>
                <w:szCs w:val="21"/>
              </w:rPr>
              <w:t>，25mDA005排气筒</w:t>
            </w:r>
          </w:p>
        </w:tc>
        <w:tc>
          <w:tcPr>
            <w:tcW w:w="1451" w:type="pct"/>
            <w:tcBorders>
              <w:tl2br w:val="nil"/>
              <w:tr2bl w:val="nil"/>
            </w:tcBorders>
            <w:vAlign w:val="center"/>
          </w:tcPr>
          <w:p w14:paraId="704251D9">
            <w:pPr>
              <w:widowControl/>
              <w:spacing w:line="240" w:lineRule="auto"/>
              <w:ind w:firstLine="0" w:firstLineChars="0"/>
              <w:jc w:val="center"/>
              <w:rPr>
                <w:color w:val="auto"/>
                <w:kern w:val="0"/>
                <w:sz w:val="21"/>
                <w:szCs w:val="21"/>
              </w:rPr>
            </w:pPr>
            <w:r>
              <w:rPr>
                <w:color w:val="auto"/>
                <w:kern w:val="0"/>
                <w:sz w:val="21"/>
                <w:szCs w:val="21"/>
              </w:rPr>
              <w:t>两级水喷淋+一级活性炭吸附</w:t>
            </w:r>
            <w:r>
              <w:rPr>
                <w:rFonts w:hint="eastAsia"/>
                <w:color w:val="auto"/>
                <w:kern w:val="0"/>
                <w:sz w:val="21"/>
                <w:szCs w:val="21"/>
              </w:rPr>
              <w:t>，25mDA005排气筒</w:t>
            </w:r>
          </w:p>
        </w:tc>
        <w:tc>
          <w:tcPr>
            <w:tcW w:w="763" w:type="pct"/>
            <w:tcBorders>
              <w:tl2br w:val="nil"/>
              <w:tr2bl w:val="nil"/>
            </w:tcBorders>
            <w:vAlign w:val="center"/>
          </w:tcPr>
          <w:p w14:paraId="5D07C2EC">
            <w:pPr>
              <w:widowControl/>
              <w:spacing w:line="240" w:lineRule="auto"/>
              <w:ind w:firstLine="0" w:firstLineChars="0"/>
              <w:jc w:val="center"/>
              <w:rPr>
                <w:color w:val="auto"/>
                <w:kern w:val="0"/>
                <w:sz w:val="21"/>
                <w:szCs w:val="21"/>
              </w:rPr>
            </w:pPr>
            <w:r>
              <w:rPr>
                <w:rFonts w:hint="eastAsia"/>
                <w:color w:val="auto"/>
                <w:kern w:val="0"/>
                <w:sz w:val="21"/>
                <w:szCs w:val="21"/>
              </w:rPr>
              <w:t>在建，甲类车间废气处理设施</w:t>
            </w:r>
          </w:p>
        </w:tc>
      </w:tr>
      <w:tr w14:paraId="619DABD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561431A3">
            <w:pPr>
              <w:widowControl/>
              <w:spacing w:line="240" w:lineRule="auto"/>
              <w:ind w:firstLine="0" w:firstLineChars="0"/>
              <w:jc w:val="center"/>
              <w:rPr>
                <w:color w:val="auto"/>
                <w:kern w:val="0"/>
                <w:sz w:val="21"/>
                <w:szCs w:val="21"/>
              </w:rPr>
            </w:pPr>
          </w:p>
        </w:tc>
        <w:tc>
          <w:tcPr>
            <w:tcW w:w="748" w:type="pct"/>
            <w:vMerge w:val="continue"/>
            <w:tcBorders>
              <w:tl2br w:val="nil"/>
              <w:tr2bl w:val="nil"/>
            </w:tcBorders>
            <w:vAlign w:val="center"/>
          </w:tcPr>
          <w:p w14:paraId="49A05EE8">
            <w:pPr>
              <w:widowControl/>
              <w:spacing w:line="240" w:lineRule="auto"/>
              <w:ind w:firstLine="0" w:firstLineChars="0"/>
              <w:jc w:val="center"/>
              <w:rPr>
                <w:color w:val="auto"/>
                <w:kern w:val="0"/>
                <w:sz w:val="21"/>
                <w:szCs w:val="21"/>
              </w:rPr>
            </w:pPr>
          </w:p>
        </w:tc>
        <w:tc>
          <w:tcPr>
            <w:tcW w:w="1540" w:type="pct"/>
            <w:tcBorders>
              <w:tl2br w:val="nil"/>
              <w:tr2bl w:val="nil"/>
            </w:tcBorders>
            <w:vAlign w:val="center"/>
          </w:tcPr>
          <w:p w14:paraId="2B056568">
            <w:pPr>
              <w:widowControl/>
              <w:spacing w:line="240" w:lineRule="auto"/>
              <w:ind w:firstLine="0" w:firstLineChars="0"/>
              <w:jc w:val="center"/>
              <w:rPr>
                <w:color w:val="auto"/>
                <w:kern w:val="0"/>
                <w:sz w:val="21"/>
                <w:szCs w:val="21"/>
              </w:rPr>
            </w:pPr>
            <w:r>
              <w:rPr>
                <w:color w:val="auto"/>
                <w:kern w:val="0"/>
                <w:sz w:val="21"/>
                <w:szCs w:val="21"/>
              </w:rPr>
              <w:t>两级水喷淋+一级活性炭吸附</w:t>
            </w:r>
            <w:r>
              <w:rPr>
                <w:rFonts w:hint="eastAsia"/>
                <w:color w:val="auto"/>
                <w:kern w:val="0"/>
                <w:sz w:val="21"/>
                <w:szCs w:val="21"/>
              </w:rPr>
              <w:t>，25mDA006排气筒</w:t>
            </w:r>
          </w:p>
        </w:tc>
        <w:tc>
          <w:tcPr>
            <w:tcW w:w="1451" w:type="pct"/>
            <w:tcBorders>
              <w:tl2br w:val="nil"/>
              <w:tr2bl w:val="nil"/>
            </w:tcBorders>
            <w:vAlign w:val="center"/>
          </w:tcPr>
          <w:p w14:paraId="7C1B12D5">
            <w:pPr>
              <w:widowControl/>
              <w:spacing w:line="240" w:lineRule="auto"/>
              <w:ind w:firstLine="0" w:firstLineChars="0"/>
              <w:jc w:val="center"/>
              <w:rPr>
                <w:color w:val="auto"/>
                <w:kern w:val="0"/>
                <w:sz w:val="21"/>
                <w:szCs w:val="21"/>
              </w:rPr>
            </w:pPr>
            <w:r>
              <w:rPr>
                <w:color w:val="auto"/>
                <w:kern w:val="0"/>
                <w:sz w:val="21"/>
                <w:szCs w:val="21"/>
              </w:rPr>
              <w:t>两级水喷淋+一级活性炭吸附</w:t>
            </w:r>
            <w:r>
              <w:rPr>
                <w:rFonts w:hint="eastAsia"/>
                <w:color w:val="auto"/>
                <w:kern w:val="0"/>
                <w:sz w:val="21"/>
                <w:szCs w:val="21"/>
              </w:rPr>
              <w:t>，25mDA006排气筒</w:t>
            </w:r>
          </w:p>
        </w:tc>
        <w:tc>
          <w:tcPr>
            <w:tcW w:w="763" w:type="pct"/>
            <w:tcBorders>
              <w:tl2br w:val="nil"/>
              <w:tr2bl w:val="nil"/>
            </w:tcBorders>
            <w:vAlign w:val="center"/>
          </w:tcPr>
          <w:p w14:paraId="00907AE5">
            <w:pPr>
              <w:widowControl/>
              <w:spacing w:line="240" w:lineRule="auto"/>
              <w:ind w:firstLine="0" w:firstLineChars="0"/>
              <w:jc w:val="center"/>
              <w:rPr>
                <w:color w:val="auto"/>
                <w:kern w:val="0"/>
                <w:sz w:val="21"/>
                <w:szCs w:val="21"/>
              </w:rPr>
            </w:pPr>
            <w:r>
              <w:rPr>
                <w:rFonts w:hint="eastAsia"/>
                <w:color w:val="auto"/>
                <w:kern w:val="0"/>
                <w:sz w:val="21"/>
                <w:szCs w:val="21"/>
              </w:rPr>
              <w:t>在建，精制车间、制剂一体化车间废气处理设施</w:t>
            </w:r>
          </w:p>
        </w:tc>
      </w:tr>
      <w:tr w14:paraId="5C8C49C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45529E67">
            <w:pPr>
              <w:widowControl/>
              <w:spacing w:line="240" w:lineRule="auto"/>
              <w:ind w:firstLine="0" w:firstLineChars="0"/>
              <w:jc w:val="center"/>
              <w:rPr>
                <w:color w:val="auto"/>
                <w:kern w:val="0"/>
                <w:sz w:val="21"/>
                <w:szCs w:val="21"/>
              </w:rPr>
            </w:pPr>
          </w:p>
        </w:tc>
        <w:tc>
          <w:tcPr>
            <w:tcW w:w="748" w:type="pct"/>
            <w:vMerge w:val="continue"/>
            <w:tcBorders>
              <w:tl2br w:val="nil"/>
              <w:tr2bl w:val="nil"/>
            </w:tcBorders>
            <w:vAlign w:val="center"/>
          </w:tcPr>
          <w:p w14:paraId="5B4AC8A5">
            <w:pPr>
              <w:widowControl/>
              <w:spacing w:line="240" w:lineRule="auto"/>
              <w:ind w:firstLine="0" w:firstLineChars="0"/>
              <w:jc w:val="center"/>
              <w:rPr>
                <w:color w:val="auto"/>
                <w:kern w:val="0"/>
                <w:sz w:val="21"/>
                <w:szCs w:val="21"/>
              </w:rPr>
            </w:pPr>
          </w:p>
        </w:tc>
        <w:tc>
          <w:tcPr>
            <w:tcW w:w="1540" w:type="pct"/>
            <w:tcBorders>
              <w:tl2br w:val="nil"/>
              <w:tr2bl w:val="nil"/>
            </w:tcBorders>
            <w:vAlign w:val="center"/>
          </w:tcPr>
          <w:p w14:paraId="44E4A812">
            <w:pPr>
              <w:widowControl/>
              <w:spacing w:line="240" w:lineRule="auto"/>
              <w:ind w:firstLine="0" w:firstLineChars="0"/>
              <w:jc w:val="center"/>
              <w:rPr>
                <w:color w:val="auto"/>
                <w:kern w:val="0"/>
                <w:sz w:val="21"/>
                <w:szCs w:val="21"/>
              </w:rPr>
            </w:pPr>
            <w:r>
              <w:rPr>
                <w:color w:val="auto"/>
                <w:kern w:val="0"/>
                <w:sz w:val="21"/>
                <w:szCs w:val="21"/>
              </w:rPr>
              <w:t>两级水喷淋</w:t>
            </w:r>
            <w:r>
              <w:rPr>
                <w:rFonts w:hint="eastAsia"/>
                <w:color w:val="auto"/>
                <w:kern w:val="0"/>
                <w:sz w:val="21"/>
                <w:szCs w:val="21"/>
              </w:rPr>
              <w:t>，15mDA007排气筒</w:t>
            </w:r>
          </w:p>
        </w:tc>
        <w:tc>
          <w:tcPr>
            <w:tcW w:w="1451" w:type="pct"/>
            <w:tcBorders>
              <w:tl2br w:val="nil"/>
              <w:tr2bl w:val="nil"/>
            </w:tcBorders>
            <w:vAlign w:val="center"/>
          </w:tcPr>
          <w:p w14:paraId="2504341A">
            <w:pPr>
              <w:widowControl/>
              <w:spacing w:line="240" w:lineRule="auto"/>
              <w:ind w:firstLine="0" w:firstLineChars="0"/>
              <w:jc w:val="center"/>
              <w:rPr>
                <w:color w:val="auto"/>
                <w:kern w:val="0"/>
                <w:sz w:val="21"/>
                <w:szCs w:val="21"/>
              </w:rPr>
            </w:pPr>
            <w:r>
              <w:rPr>
                <w:color w:val="auto"/>
                <w:kern w:val="0"/>
                <w:sz w:val="21"/>
                <w:szCs w:val="21"/>
              </w:rPr>
              <w:t>两级水喷淋</w:t>
            </w:r>
            <w:r>
              <w:rPr>
                <w:rFonts w:hint="eastAsia"/>
                <w:color w:val="auto"/>
                <w:kern w:val="0"/>
                <w:sz w:val="21"/>
                <w:szCs w:val="21"/>
              </w:rPr>
              <w:t>，15mDA007排气筒</w:t>
            </w:r>
          </w:p>
        </w:tc>
        <w:tc>
          <w:tcPr>
            <w:tcW w:w="763" w:type="pct"/>
            <w:tcBorders>
              <w:tl2br w:val="nil"/>
              <w:tr2bl w:val="nil"/>
            </w:tcBorders>
            <w:vAlign w:val="center"/>
          </w:tcPr>
          <w:p w14:paraId="2884C80F">
            <w:pPr>
              <w:widowControl/>
              <w:spacing w:line="240" w:lineRule="auto"/>
              <w:ind w:firstLine="0" w:firstLineChars="0"/>
              <w:jc w:val="center"/>
              <w:rPr>
                <w:color w:val="auto"/>
                <w:kern w:val="0"/>
                <w:sz w:val="21"/>
                <w:szCs w:val="21"/>
              </w:rPr>
            </w:pPr>
            <w:r>
              <w:rPr>
                <w:rFonts w:hint="eastAsia"/>
                <w:color w:val="auto"/>
                <w:kern w:val="0"/>
                <w:sz w:val="21"/>
                <w:szCs w:val="21"/>
              </w:rPr>
              <w:t>依托危废暂存间废气处理设施</w:t>
            </w:r>
          </w:p>
        </w:tc>
      </w:tr>
      <w:tr w14:paraId="1F165AC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1" w:hRule="atLeast"/>
          <w:jc w:val="center"/>
        </w:trPr>
        <w:tc>
          <w:tcPr>
            <w:tcW w:w="495" w:type="pct"/>
            <w:vMerge w:val="continue"/>
            <w:tcBorders>
              <w:tl2br w:val="nil"/>
              <w:tr2bl w:val="nil"/>
            </w:tcBorders>
            <w:vAlign w:val="center"/>
          </w:tcPr>
          <w:p w14:paraId="2B546E30">
            <w:pPr>
              <w:widowControl/>
              <w:spacing w:line="240" w:lineRule="auto"/>
              <w:ind w:firstLine="0" w:firstLineChars="0"/>
              <w:jc w:val="center"/>
              <w:rPr>
                <w:color w:val="auto"/>
                <w:kern w:val="0"/>
                <w:sz w:val="21"/>
                <w:szCs w:val="21"/>
              </w:rPr>
            </w:pPr>
          </w:p>
        </w:tc>
        <w:tc>
          <w:tcPr>
            <w:tcW w:w="748" w:type="pct"/>
            <w:vMerge w:val="restart"/>
            <w:tcBorders>
              <w:tl2br w:val="nil"/>
              <w:tr2bl w:val="nil"/>
            </w:tcBorders>
            <w:vAlign w:val="center"/>
          </w:tcPr>
          <w:p w14:paraId="7E3B3E79">
            <w:pPr>
              <w:widowControl/>
              <w:spacing w:line="240" w:lineRule="auto"/>
              <w:ind w:firstLine="0" w:firstLineChars="0"/>
              <w:jc w:val="center"/>
              <w:rPr>
                <w:color w:val="auto"/>
                <w:kern w:val="0"/>
                <w:sz w:val="21"/>
                <w:szCs w:val="21"/>
              </w:rPr>
            </w:pPr>
            <w:r>
              <w:rPr>
                <w:rFonts w:hint="eastAsia"/>
                <w:color w:val="auto"/>
                <w:kern w:val="0"/>
                <w:sz w:val="21"/>
                <w:szCs w:val="21"/>
              </w:rPr>
              <w:t>废水处理措施</w:t>
            </w:r>
          </w:p>
        </w:tc>
        <w:tc>
          <w:tcPr>
            <w:tcW w:w="1540" w:type="pct"/>
            <w:tcBorders>
              <w:tl2br w:val="nil"/>
              <w:tr2bl w:val="nil"/>
            </w:tcBorders>
            <w:vAlign w:val="center"/>
          </w:tcPr>
          <w:p w14:paraId="04E5FC85">
            <w:pPr>
              <w:widowControl/>
              <w:spacing w:line="240" w:lineRule="auto"/>
              <w:ind w:firstLine="0" w:firstLineChars="0"/>
              <w:jc w:val="center"/>
              <w:rPr>
                <w:color w:val="auto"/>
                <w:kern w:val="0"/>
                <w:sz w:val="21"/>
                <w:szCs w:val="21"/>
              </w:rPr>
            </w:pPr>
            <w:r>
              <w:rPr>
                <w:rFonts w:hint="eastAsia"/>
                <w:color w:val="auto"/>
                <w:kern w:val="0"/>
                <w:sz w:val="21"/>
                <w:szCs w:val="21"/>
              </w:rPr>
              <w:t>企业建有2座污水处理站，1#污水站采用“中和+树脂吸附+臭氧氧化治理”工艺处理，达标后排入联合环境水务(启东)有限公司处理。设计处理能力为408m</w:t>
            </w:r>
            <w:r>
              <w:rPr>
                <w:rFonts w:hint="eastAsia"/>
                <w:color w:val="auto"/>
                <w:kern w:val="0"/>
                <w:sz w:val="21"/>
                <w:szCs w:val="21"/>
                <w:vertAlign w:val="superscript"/>
              </w:rPr>
              <w:t>3</w:t>
            </w:r>
            <w:r>
              <w:rPr>
                <w:rFonts w:hint="eastAsia"/>
                <w:color w:val="auto"/>
                <w:kern w:val="0"/>
                <w:sz w:val="21"/>
                <w:szCs w:val="21"/>
              </w:rPr>
              <w:t>/d</w:t>
            </w:r>
          </w:p>
        </w:tc>
        <w:tc>
          <w:tcPr>
            <w:tcW w:w="1451" w:type="pct"/>
            <w:tcBorders>
              <w:tl2br w:val="nil"/>
              <w:tr2bl w:val="nil"/>
            </w:tcBorders>
            <w:vAlign w:val="center"/>
          </w:tcPr>
          <w:p w14:paraId="3719BC5A">
            <w:pPr>
              <w:widowControl/>
              <w:spacing w:line="240" w:lineRule="auto"/>
              <w:ind w:firstLine="0" w:firstLineChars="0"/>
              <w:jc w:val="center"/>
              <w:rPr>
                <w:color w:val="auto"/>
                <w:kern w:val="0"/>
                <w:sz w:val="21"/>
                <w:szCs w:val="21"/>
              </w:rPr>
            </w:pPr>
            <w:r>
              <w:rPr>
                <w:rFonts w:hint="eastAsia"/>
                <w:color w:val="auto"/>
                <w:kern w:val="0"/>
                <w:sz w:val="21"/>
                <w:szCs w:val="21"/>
              </w:rPr>
              <w:t>企业建有2座污水处理站，1#污水站采用“中和+树脂吸附+臭氧氧化治理”工艺处理，达标后排入联合环境水务(启东)有限公司处理。设计处理能力为408m</w:t>
            </w:r>
            <w:r>
              <w:rPr>
                <w:rFonts w:hint="eastAsia"/>
                <w:color w:val="auto"/>
                <w:kern w:val="0"/>
                <w:sz w:val="21"/>
                <w:szCs w:val="21"/>
                <w:vertAlign w:val="superscript"/>
              </w:rPr>
              <w:t>3</w:t>
            </w:r>
            <w:r>
              <w:rPr>
                <w:rFonts w:hint="eastAsia"/>
                <w:color w:val="auto"/>
                <w:kern w:val="0"/>
                <w:sz w:val="21"/>
                <w:szCs w:val="21"/>
              </w:rPr>
              <w:t>/d</w:t>
            </w:r>
          </w:p>
        </w:tc>
        <w:tc>
          <w:tcPr>
            <w:tcW w:w="763" w:type="pct"/>
            <w:tcBorders>
              <w:tl2br w:val="nil"/>
              <w:tr2bl w:val="nil"/>
            </w:tcBorders>
            <w:vAlign w:val="center"/>
          </w:tcPr>
          <w:p w14:paraId="3D1EFD55">
            <w:pPr>
              <w:widowControl/>
              <w:spacing w:line="240" w:lineRule="auto"/>
              <w:ind w:firstLine="0" w:firstLineChars="0"/>
              <w:jc w:val="center"/>
              <w:rPr>
                <w:color w:val="auto"/>
                <w:kern w:val="0"/>
                <w:sz w:val="21"/>
                <w:szCs w:val="21"/>
              </w:rPr>
            </w:pPr>
            <w:r>
              <w:rPr>
                <w:rFonts w:hint="eastAsia"/>
                <w:color w:val="auto"/>
                <w:kern w:val="0"/>
                <w:sz w:val="21"/>
                <w:szCs w:val="21"/>
              </w:rPr>
              <w:t>依托现有</w:t>
            </w:r>
          </w:p>
        </w:tc>
      </w:tr>
      <w:tr w14:paraId="148B3C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1" w:hRule="atLeast"/>
          <w:jc w:val="center"/>
        </w:trPr>
        <w:tc>
          <w:tcPr>
            <w:tcW w:w="495" w:type="pct"/>
            <w:vMerge w:val="continue"/>
            <w:tcBorders>
              <w:tl2br w:val="nil"/>
              <w:tr2bl w:val="nil"/>
            </w:tcBorders>
            <w:vAlign w:val="center"/>
          </w:tcPr>
          <w:p w14:paraId="1048F242">
            <w:pPr>
              <w:widowControl/>
              <w:spacing w:line="240" w:lineRule="auto"/>
              <w:ind w:firstLine="0" w:firstLineChars="0"/>
              <w:jc w:val="center"/>
              <w:rPr>
                <w:color w:val="auto"/>
              </w:rPr>
            </w:pPr>
          </w:p>
        </w:tc>
        <w:tc>
          <w:tcPr>
            <w:tcW w:w="748" w:type="pct"/>
            <w:vMerge w:val="continue"/>
            <w:tcBorders>
              <w:tl2br w:val="nil"/>
              <w:tr2bl w:val="nil"/>
            </w:tcBorders>
            <w:vAlign w:val="center"/>
          </w:tcPr>
          <w:p w14:paraId="5FE4C8A6">
            <w:pPr>
              <w:widowControl/>
              <w:spacing w:line="240" w:lineRule="auto"/>
              <w:ind w:firstLine="0" w:firstLineChars="0"/>
              <w:jc w:val="center"/>
              <w:rPr>
                <w:color w:val="auto"/>
              </w:rPr>
            </w:pPr>
          </w:p>
        </w:tc>
        <w:tc>
          <w:tcPr>
            <w:tcW w:w="1540" w:type="pct"/>
            <w:tcBorders>
              <w:tl2br w:val="nil"/>
              <w:tr2bl w:val="nil"/>
            </w:tcBorders>
            <w:vAlign w:val="center"/>
          </w:tcPr>
          <w:p w14:paraId="6D6A08C4">
            <w:pPr>
              <w:widowControl/>
              <w:spacing w:line="240" w:lineRule="auto"/>
              <w:ind w:firstLine="0" w:firstLineChars="0"/>
              <w:jc w:val="center"/>
              <w:rPr>
                <w:color w:val="auto"/>
              </w:rPr>
            </w:pPr>
            <w:r>
              <w:rPr>
                <w:rFonts w:hint="eastAsia"/>
                <w:color w:val="auto"/>
                <w:kern w:val="0"/>
                <w:sz w:val="21"/>
                <w:szCs w:val="21"/>
              </w:rPr>
              <w:t>2#污水处理站处理，采用“AO生化+混凝沉淀+臭氧催化氧化”工艺，预处理达标后排入联合环境水务(启东)有限公司处理。2#污水站设计处理能力为40m</w:t>
            </w:r>
            <w:r>
              <w:rPr>
                <w:rFonts w:hint="eastAsia"/>
                <w:color w:val="auto"/>
                <w:kern w:val="0"/>
                <w:sz w:val="21"/>
                <w:szCs w:val="21"/>
                <w:vertAlign w:val="superscript"/>
              </w:rPr>
              <w:t>3</w:t>
            </w:r>
            <w:r>
              <w:rPr>
                <w:rFonts w:hint="eastAsia"/>
                <w:color w:val="auto"/>
                <w:kern w:val="0"/>
                <w:sz w:val="21"/>
                <w:szCs w:val="21"/>
              </w:rPr>
              <w:t>/d</w:t>
            </w:r>
          </w:p>
        </w:tc>
        <w:tc>
          <w:tcPr>
            <w:tcW w:w="1451" w:type="pct"/>
            <w:tcBorders>
              <w:tl2br w:val="nil"/>
              <w:tr2bl w:val="nil"/>
            </w:tcBorders>
            <w:vAlign w:val="center"/>
          </w:tcPr>
          <w:p w14:paraId="68999CF7">
            <w:pPr>
              <w:widowControl/>
              <w:spacing w:line="240" w:lineRule="auto"/>
              <w:ind w:firstLine="0" w:firstLineChars="0"/>
              <w:jc w:val="center"/>
              <w:rPr>
                <w:color w:val="auto"/>
              </w:rPr>
            </w:pPr>
            <w:r>
              <w:rPr>
                <w:rFonts w:hint="eastAsia"/>
                <w:color w:val="auto"/>
                <w:kern w:val="0"/>
                <w:sz w:val="21"/>
                <w:szCs w:val="21"/>
              </w:rPr>
              <w:t>2#污水处理站处理，采用“AO生化+混凝沉淀+臭氧催化氧化”工艺，预处理达标后排入联合环境水务(启东)有限公司处理。2#污水站设计处理能力为40m</w:t>
            </w:r>
            <w:r>
              <w:rPr>
                <w:rFonts w:hint="eastAsia"/>
                <w:color w:val="auto"/>
                <w:kern w:val="0"/>
                <w:sz w:val="21"/>
                <w:szCs w:val="21"/>
                <w:vertAlign w:val="superscript"/>
              </w:rPr>
              <w:t>3</w:t>
            </w:r>
            <w:r>
              <w:rPr>
                <w:rFonts w:hint="eastAsia"/>
                <w:color w:val="auto"/>
                <w:kern w:val="0"/>
                <w:sz w:val="21"/>
                <w:szCs w:val="21"/>
              </w:rPr>
              <w:t>/d</w:t>
            </w:r>
          </w:p>
        </w:tc>
        <w:tc>
          <w:tcPr>
            <w:tcW w:w="763" w:type="pct"/>
            <w:tcBorders>
              <w:tl2br w:val="nil"/>
              <w:tr2bl w:val="nil"/>
            </w:tcBorders>
            <w:vAlign w:val="center"/>
          </w:tcPr>
          <w:p w14:paraId="733EE0A6">
            <w:pPr>
              <w:widowControl/>
              <w:spacing w:line="240" w:lineRule="auto"/>
              <w:ind w:firstLine="0" w:firstLineChars="0"/>
              <w:jc w:val="center"/>
              <w:rPr>
                <w:color w:val="auto"/>
                <w:kern w:val="0"/>
                <w:sz w:val="21"/>
                <w:szCs w:val="21"/>
              </w:rPr>
            </w:pPr>
            <w:r>
              <w:rPr>
                <w:rFonts w:hint="eastAsia"/>
                <w:color w:val="auto"/>
                <w:kern w:val="0"/>
                <w:sz w:val="21"/>
                <w:szCs w:val="21"/>
              </w:rPr>
              <w:t>在建</w:t>
            </w:r>
          </w:p>
        </w:tc>
      </w:tr>
      <w:tr w14:paraId="3AFCEFA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7EC96CC6">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6CA67B3A">
            <w:pPr>
              <w:adjustRightInd/>
              <w:snapToGrid/>
              <w:spacing w:line="240" w:lineRule="auto"/>
              <w:ind w:firstLine="0" w:firstLineChars="0"/>
              <w:jc w:val="center"/>
              <w:rPr>
                <w:color w:val="auto"/>
                <w:sz w:val="21"/>
                <w:szCs w:val="21"/>
              </w:rPr>
            </w:pPr>
            <w:r>
              <w:rPr>
                <w:color w:val="auto"/>
                <w:sz w:val="21"/>
                <w:szCs w:val="21"/>
              </w:rPr>
              <w:t>危废</w:t>
            </w:r>
            <w:r>
              <w:rPr>
                <w:rFonts w:hint="eastAsia"/>
                <w:color w:val="auto"/>
                <w:sz w:val="21"/>
                <w:szCs w:val="21"/>
              </w:rPr>
              <w:t>暂存间</w:t>
            </w:r>
          </w:p>
        </w:tc>
        <w:tc>
          <w:tcPr>
            <w:tcW w:w="1540" w:type="pct"/>
            <w:tcBorders>
              <w:tl2br w:val="nil"/>
              <w:tr2bl w:val="nil"/>
            </w:tcBorders>
            <w:vAlign w:val="center"/>
          </w:tcPr>
          <w:p w14:paraId="584E6BC2">
            <w:pPr>
              <w:widowControl/>
              <w:spacing w:line="240" w:lineRule="auto"/>
              <w:ind w:firstLine="0" w:firstLineChars="0"/>
              <w:jc w:val="center"/>
              <w:rPr>
                <w:color w:val="auto"/>
                <w:kern w:val="0"/>
                <w:sz w:val="21"/>
                <w:szCs w:val="21"/>
              </w:rPr>
            </w:pPr>
            <w:r>
              <w:rPr>
                <w:color w:val="auto"/>
                <w:sz w:val="21"/>
              </w:rPr>
              <w:t>110m</w:t>
            </w:r>
            <w:r>
              <w:rPr>
                <w:color w:val="auto"/>
                <w:sz w:val="21"/>
                <w:vertAlign w:val="superscript"/>
              </w:rPr>
              <w:t>2</w:t>
            </w:r>
          </w:p>
        </w:tc>
        <w:tc>
          <w:tcPr>
            <w:tcW w:w="1451" w:type="pct"/>
            <w:tcBorders>
              <w:tl2br w:val="nil"/>
              <w:tr2bl w:val="nil"/>
            </w:tcBorders>
            <w:vAlign w:val="center"/>
          </w:tcPr>
          <w:p w14:paraId="3708B788">
            <w:pPr>
              <w:widowControl/>
              <w:spacing w:line="240" w:lineRule="auto"/>
              <w:ind w:firstLine="0" w:firstLineChars="0"/>
              <w:jc w:val="center"/>
              <w:rPr>
                <w:color w:val="auto"/>
                <w:kern w:val="0"/>
                <w:sz w:val="21"/>
                <w:szCs w:val="21"/>
              </w:rPr>
            </w:pPr>
            <w:r>
              <w:rPr>
                <w:color w:val="auto"/>
                <w:sz w:val="21"/>
              </w:rPr>
              <w:t>110m</w:t>
            </w:r>
            <w:r>
              <w:rPr>
                <w:color w:val="auto"/>
                <w:sz w:val="21"/>
                <w:vertAlign w:val="superscript"/>
              </w:rPr>
              <w:t>2</w:t>
            </w:r>
          </w:p>
        </w:tc>
        <w:tc>
          <w:tcPr>
            <w:tcW w:w="763" w:type="pct"/>
            <w:vMerge w:val="restart"/>
            <w:tcBorders>
              <w:tl2br w:val="nil"/>
              <w:tr2bl w:val="nil"/>
            </w:tcBorders>
            <w:vAlign w:val="center"/>
          </w:tcPr>
          <w:p w14:paraId="4F8C4F6F">
            <w:pPr>
              <w:widowControl/>
              <w:spacing w:line="240" w:lineRule="auto"/>
              <w:ind w:firstLine="0" w:firstLineChars="0"/>
              <w:jc w:val="center"/>
              <w:rPr>
                <w:color w:val="auto"/>
                <w:kern w:val="0"/>
                <w:sz w:val="21"/>
                <w:szCs w:val="21"/>
              </w:rPr>
            </w:pPr>
            <w:r>
              <w:rPr>
                <w:rFonts w:hint="eastAsia"/>
                <w:color w:val="auto"/>
                <w:kern w:val="0"/>
                <w:sz w:val="21"/>
                <w:szCs w:val="21"/>
              </w:rPr>
              <w:t>依托现有</w:t>
            </w:r>
          </w:p>
        </w:tc>
      </w:tr>
      <w:tr w14:paraId="116C719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066C114C">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2B8958BE">
            <w:pPr>
              <w:adjustRightInd/>
              <w:snapToGrid/>
              <w:spacing w:line="240" w:lineRule="auto"/>
              <w:ind w:firstLine="0" w:firstLineChars="0"/>
              <w:jc w:val="center"/>
              <w:rPr>
                <w:color w:val="auto"/>
                <w:sz w:val="21"/>
                <w:szCs w:val="21"/>
              </w:rPr>
            </w:pPr>
            <w:r>
              <w:rPr>
                <w:color w:val="auto"/>
                <w:sz w:val="21"/>
                <w:szCs w:val="21"/>
              </w:rPr>
              <w:t>初期雨水池</w:t>
            </w:r>
          </w:p>
        </w:tc>
        <w:tc>
          <w:tcPr>
            <w:tcW w:w="1540" w:type="pct"/>
            <w:tcBorders>
              <w:tl2br w:val="nil"/>
              <w:tr2bl w:val="nil"/>
            </w:tcBorders>
            <w:vAlign w:val="center"/>
          </w:tcPr>
          <w:p w14:paraId="150A0E23">
            <w:pPr>
              <w:spacing w:line="240" w:lineRule="auto"/>
              <w:ind w:firstLine="0" w:firstLineChars="0"/>
              <w:jc w:val="center"/>
              <w:rPr>
                <w:color w:val="auto"/>
                <w:sz w:val="21"/>
              </w:rPr>
            </w:pPr>
            <w:r>
              <w:rPr>
                <w:rFonts w:hint="eastAsia"/>
                <w:color w:val="auto"/>
                <w:sz w:val="21"/>
              </w:rPr>
              <w:t>350m</w:t>
            </w:r>
            <w:r>
              <w:rPr>
                <w:rFonts w:hint="eastAsia"/>
                <w:color w:val="auto"/>
                <w:sz w:val="21"/>
                <w:vertAlign w:val="superscript"/>
              </w:rPr>
              <w:t>2</w:t>
            </w:r>
          </w:p>
        </w:tc>
        <w:tc>
          <w:tcPr>
            <w:tcW w:w="1451" w:type="pct"/>
            <w:tcBorders>
              <w:tl2br w:val="nil"/>
              <w:tr2bl w:val="nil"/>
            </w:tcBorders>
            <w:vAlign w:val="center"/>
          </w:tcPr>
          <w:p w14:paraId="0E5CDCF2">
            <w:pPr>
              <w:spacing w:line="240" w:lineRule="auto"/>
              <w:ind w:firstLine="0" w:firstLineChars="0"/>
              <w:jc w:val="center"/>
              <w:rPr>
                <w:color w:val="auto"/>
                <w:sz w:val="21"/>
              </w:rPr>
            </w:pPr>
            <w:r>
              <w:rPr>
                <w:rFonts w:hint="eastAsia"/>
                <w:color w:val="auto"/>
                <w:sz w:val="21"/>
              </w:rPr>
              <w:t>350m</w:t>
            </w:r>
            <w:r>
              <w:rPr>
                <w:rFonts w:hint="eastAsia"/>
                <w:color w:val="auto"/>
                <w:sz w:val="21"/>
                <w:vertAlign w:val="superscript"/>
              </w:rPr>
              <w:t>2</w:t>
            </w:r>
          </w:p>
        </w:tc>
        <w:tc>
          <w:tcPr>
            <w:tcW w:w="763" w:type="pct"/>
            <w:vMerge w:val="continue"/>
            <w:tcBorders>
              <w:tl2br w:val="nil"/>
              <w:tr2bl w:val="nil"/>
            </w:tcBorders>
            <w:vAlign w:val="center"/>
          </w:tcPr>
          <w:p w14:paraId="3098811F">
            <w:pPr>
              <w:widowControl/>
              <w:spacing w:line="240" w:lineRule="auto"/>
              <w:ind w:firstLine="0" w:firstLineChars="0"/>
              <w:jc w:val="center"/>
              <w:rPr>
                <w:color w:val="auto"/>
                <w:kern w:val="0"/>
                <w:sz w:val="21"/>
                <w:szCs w:val="21"/>
              </w:rPr>
            </w:pPr>
          </w:p>
        </w:tc>
      </w:tr>
      <w:tr w14:paraId="2ADFC1E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5" w:type="pct"/>
            <w:vMerge w:val="continue"/>
            <w:tcBorders>
              <w:tl2br w:val="nil"/>
              <w:tr2bl w:val="nil"/>
            </w:tcBorders>
            <w:vAlign w:val="center"/>
          </w:tcPr>
          <w:p w14:paraId="4D5709FC">
            <w:pPr>
              <w:widowControl/>
              <w:spacing w:line="240" w:lineRule="auto"/>
              <w:ind w:firstLine="0" w:firstLineChars="0"/>
              <w:jc w:val="center"/>
              <w:rPr>
                <w:color w:val="auto"/>
                <w:kern w:val="0"/>
                <w:sz w:val="21"/>
                <w:szCs w:val="21"/>
              </w:rPr>
            </w:pPr>
          </w:p>
        </w:tc>
        <w:tc>
          <w:tcPr>
            <w:tcW w:w="748" w:type="pct"/>
            <w:tcBorders>
              <w:tl2br w:val="nil"/>
              <w:tr2bl w:val="nil"/>
            </w:tcBorders>
            <w:vAlign w:val="center"/>
          </w:tcPr>
          <w:p w14:paraId="631ECDB8">
            <w:pPr>
              <w:adjustRightInd/>
              <w:snapToGrid/>
              <w:spacing w:line="240" w:lineRule="auto"/>
              <w:ind w:firstLine="0" w:firstLineChars="0"/>
              <w:jc w:val="center"/>
              <w:rPr>
                <w:color w:val="auto"/>
                <w:sz w:val="21"/>
                <w:szCs w:val="21"/>
              </w:rPr>
            </w:pPr>
            <w:r>
              <w:rPr>
                <w:color w:val="auto"/>
                <w:sz w:val="21"/>
                <w:szCs w:val="21"/>
              </w:rPr>
              <w:t>事故应急池</w:t>
            </w:r>
          </w:p>
        </w:tc>
        <w:tc>
          <w:tcPr>
            <w:tcW w:w="1540" w:type="pct"/>
            <w:tcBorders>
              <w:tl2br w:val="nil"/>
              <w:tr2bl w:val="nil"/>
            </w:tcBorders>
            <w:vAlign w:val="center"/>
          </w:tcPr>
          <w:p w14:paraId="109218CD">
            <w:pPr>
              <w:spacing w:line="240" w:lineRule="auto"/>
              <w:ind w:firstLine="0" w:firstLineChars="0"/>
              <w:jc w:val="center"/>
              <w:rPr>
                <w:color w:val="auto"/>
                <w:sz w:val="21"/>
              </w:rPr>
            </w:pPr>
            <w:r>
              <w:rPr>
                <w:rFonts w:hint="eastAsia"/>
                <w:color w:val="auto"/>
                <w:sz w:val="21"/>
              </w:rPr>
              <w:t>770m</w:t>
            </w:r>
            <w:r>
              <w:rPr>
                <w:rFonts w:hint="eastAsia"/>
                <w:color w:val="auto"/>
                <w:sz w:val="21"/>
                <w:vertAlign w:val="superscript"/>
              </w:rPr>
              <w:t>2</w:t>
            </w:r>
          </w:p>
        </w:tc>
        <w:tc>
          <w:tcPr>
            <w:tcW w:w="1451" w:type="pct"/>
            <w:tcBorders>
              <w:tl2br w:val="nil"/>
              <w:tr2bl w:val="nil"/>
            </w:tcBorders>
            <w:vAlign w:val="center"/>
          </w:tcPr>
          <w:p w14:paraId="44AB9FB9">
            <w:pPr>
              <w:spacing w:line="240" w:lineRule="auto"/>
              <w:ind w:firstLine="0" w:firstLineChars="0"/>
              <w:jc w:val="center"/>
              <w:rPr>
                <w:color w:val="auto"/>
                <w:sz w:val="21"/>
              </w:rPr>
            </w:pPr>
            <w:r>
              <w:rPr>
                <w:rFonts w:hint="eastAsia"/>
                <w:color w:val="auto"/>
                <w:sz w:val="21"/>
              </w:rPr>
              <w:t>770m</w:t>
            </w:r>
            <w:r>
              <w:rPr>
                <w:rFonts w:hint="eastAsia"/>
                <w:color w:val="auto"/>
                <w:sz w:val="21"/>
                <w:vertAlign w:val="superscript"/>
              </w:rPr>
              <w:t>2</w:t>
            </w:r>
          </w:p>
        </w:tc>
        <w:tc>
          <w:tcPr>
            <w:tcW w:w="763" w:type="pct"/>
            <w:vMerge w:val="continue"/>
            <w:tcBorders>
              <w:tl2br w:val="nil"/>
              <w:tr2bl w:val="nil"/>
            </w:tcBorders>
            <w:vAlign w:val="center"/>
          </w:tcPr>
          <w:p w14:paraId="40803CF9">
            <w:pPr>
              <w:widowControl/>
              <w:spacing w:line="240" w:lineRule="auto"/>
              <w:ind w:firstLine="0" w:firstLineChars="0"/>
              <w:jc w:val="center"/>
              <w:rPr>
                <w:color w:val="auto"/>
                <w:kern w:val="0"/>
                <w:sz w:val="21"/>
                <w:szCs w:val="21"/>
              </w:rPr>
            </w:pPr>
          </w:p>
        </w:tc>
      </w:tr>
    </w:tbl>
    <w:p w14:paraId="1EF89476">
      <w:pPr>
        <w:pStyle w:val="4"/>
        <w:rPr>
          <w:color w:val="auto"/>
        </w:rPr>
      </w:pPr>
      <w:bookmarkStart w:id="82" w:name="_Toc28939"/>
      <w:r>
        <w:rPr>
          <w:rFonts w:hint="eastAsia"/>
          <w:color w:val="auto"/>
        </w:rPr>
        <w:t>3.2.3主要生产设备</w:t>
      </w:r>
      <w:bookmarkEnd w:id="82"/>
    </w:p>
    <w:p w14:paraId="1358C18D">
      <w:pPr>
        <w:spacing w:line="460" w:lineRule="exact"/>
        <w:ind w:firstLine="480"/>
        <w:rPr>
          <w:color w:val="auto"/>
        </w:rPr>
      </w:pPr>
      <w:r>
        <w:rPr>
          <w:color w:val="auto"/>
        </w:rPr>
        <w:t>厂区现有</w:t>
      </w:r>
      <w:r>
        <w:rPr>
          <w:rFonts w:hint="eastAsia"/>
          <w:color w:val="auto"/>
        </w:rPr>
        <w:t>项目和在建项目主要设备一览表</w:t>
      </w:r>
      <w:r>
        <w:rPr>
          <w:color w:val="auto"/>
        </w:rPr>
        <w:t>见表3.2-</w:t>
      </w:r>
      <w:r>
        <w:rPr>
          <w:rFonts w:hint="eastAsia"/>
          <w:color w:val="auto"/>
        </w:rPr>
        <w:t>3</w:t>
      </w:r>
      <w:r>
        <w:rPr>
          <w:color w:val="auto"/>
        </w:rPr>
        <w:t>。</w:t>
      </w:r>
    </w:p>
    <w:p w14:paraId="7D89FD82">
      <w:pPr>
        <w:pStyle w:val="49"/>
        <w:rPr>
          <w:color w:val="auto"/>
        </w:rPr>
      </w:pPr>
      <w:r>
        <w:rPr>
          <w:color w:val="auto"/>
        </w:rPr>
        <w:t xml:space="preserve">表3.2-3 </w:t>
      </w:r>
      <w:r>
        <w:rPr>
          <w:rFonts w:hint="eastAsia"/>
          <w:color w:val="auto"/>
        </w:rPr>
        <w:t xml:space="preserve"> </w:t>
      </w:r>
      <w:r>
        <w:rPr>
          <w:color w:val="auto"/>
        </w:rPr>
        <w:t>现有项目主要设备一览表</w:t>
      </w:r>
    </w:p>
    <w:tbl>
      <w:tblPr>
        <w:tblStyle w:val="24"/>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91"/>
        <w:gridCol w:w="1493"/>
        <w:gridCol w:w="2238"/>
        <w:gridCol w:w="2065"/>
        <w:gridCol w:w="1074"/>
        <w:gridCol w:w="1302"/>
        <w:gridCol w:w="887"/>
      </w:tblGrid>
      <w:tr w14:paraId="36136CA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1" w:hRule="atLeast"/>
          <w:tblHeader/>
          <w:jc w:val="center"/>
        </w:trPr>
        <w:tc>
          <w:tcPr>
            <w:tcW w:w="402" w:type="pct"/>
            <w:tcBorders>
              <w:tl2br w:val="nil"/>
              <w:tr2bl w:val="nil"/>
            </w:tcBorders>
            <w:vAlign w:val="center"/>
          </w:tcPr>
          <w:p w14:paraId="758D6EC0">
            <w:pPr>
              <w:widowControl/>
              <w:spacing w:line="240" w:lineRule="auto"/>
              <w:ind w:firstLine="0" w:firstLineChars="0"/>
              <w:jc w:val="center"/>
              <w:rPr>
                <w:b/>
                <w:color w:val="auto"/>
                <w:kern w:val="0"/>
                <w:sz w:val="21"/>
                <w:szCs w:val="21"/>
              </w:rPr>
            </w:pPr>
            <w:r>
              <w:rPr>
                <w:b/>
                <w:color w:val="auto"/>
                <w:kern w:val="0"/>
                <w:sz w:val="21"/>
                <w:szCs w:val="21"/>
              </w:rPr>
              <w:t>序号</w:t>
            </w:r>
          </w:p>
        </w:tc>
        <w:tc>
          <w:tcPr>
            <w:tcW w:w="757" w:type="pct"/>
            <w:tcBorders>
              <w:tl2br w:val="nil"/>
              <w:tr2bl w:val="nil"/>
            </w:tcBorders>
            <w:vAlign w:val="center"/>
          </w:tcPr>
          <w:p w14:paraId="7113CFE4">
            <w:pPr>
              <w:widowControl/>
              <w:spacing w:line="240" w:lineRule="auto"/>
              <w:ind w:firstLine="0" w:firstLineChars="0"/>
              <w:jc w:val="center"/>
              <w:rPr>
                <w:b/>
                <w:color w:val="auto"/>
                <w:kern w:val="0"/>
                <w:sz w:val="21"/>
                <w:szCs w:val="21"/>
              </w:rPr>
            </w:pPr>
            <w:r>
              <w:rPr>
                <w:rFonts w:hint="eastAsia"/>
                <w:b/>
                <w:color w:val="auto"/>
                <w:kern w:val="0"/>
                <w:sz w:val="21"/>
                <w:szCs w:val="21"/>
              </w:rPr>
              <w:t>生产线</w:t>
            </w:r>
          </w:p>
        </w:tc>
        <w:tc>
          <w:tcPr>
            <w:tcW w:w="1135" w:type="pct"/>
            <w:tcBorders>
              <w:tl2br w:val="nil"/>
              <w:tr2bl w:val="nil"/>
            </w:tcBorders>
            <w:vAlign w:val="center"/>
          </w:tcPr>
          <w:p w14:paraId="4DDEA6E6">
            <w:pPr>
              <w:widowControl/>
              <w:spacing w:line="240" w:lineRule="auto"/>
              <w:ind w:firstLine="0" w:firstLineChars="0"/>
              <w:jc w:val="center"/>
              <w:rPr>
                <w:b/>
                <w:color w:val="auto"/>
                <w:kern w:val="0"/>
                <w:sz w:val="21"/>
                <w:szCs w:val="21"/>
              </w:rPr>
            </w:pPr>
            <w:r>
              <w:rPr>
                <w:b/>
                <w:color w:val="auto"/>
                <w:kern w:val="0"/>
                <w:sz w:val="21"/>
                <w:szCs w:val="21"/>
              </w:rPr>
              <w:t>设备名称</w:t>
            </w:r>
          </w:p>
        </w:tc>
        <w:tc>
          <w:tcPr>
            <w:tcW w:w="1047" w:type="pct"/>
            <w:tcBorders>
              <w:tl2br w:val="nil"/>
              <w:tr2bl w:val="nil"/>
            </w:tcBorders>
            <w:vAlign w:val="center"/>
          </w:tcPr>
          <w:p w14:paraId="71B595CD">
            <w:pPr>
              <w:widowControl/>
              <w:spacing w:line="240" w:lineRule="auto"/>
              <w:ind w:firstLine="0" w:firstLineChars="0"/>
              <w:jc w:val="center"/>
              <w:rPr>
                <w:b/>
                <w:color w:val="auto"/>
                <w:kern w:val="0"/>
                <w:sz w:val="21"/>
                <w:szCs w:val="21"/>
              </w:rPr>
            </w:pPr>
            <w:r>
              <w:rPr>
                <w:b/>
                <w:color w:val="auto"/>
                <w:kern w:val="0"/>
                <w:sz w:val="21"/>
                <w:szCs w:val="21"/>
              </w:rPr>
              <w:t>规格型号</w:t>
            </w:r>
          </w:p>
        </w:tc>
        <w:tc>
          <w:tcPr>
            <w:tcW w:w="545" w:type="pct"/>
            <w:tcBorders>
              <w:tl2br w:val="nil"/>
              <w:tr2bl w:val="nil"/>
            </w:tcBorders>
            <w:vAlign w:val="center"/>
          </w:tcPr>
          <w:p w14:paraId="5E40C7EA">
            <w:pPr>
              <w:widowControl/>
              <w:spacing w:line="240" w:lineRule="auto"/>
              <w:ind w:firstLine="0" w:firstLineChars="0"/>
              <w:jc w:val="center"/>
              <w:rPr>
                <w:b/>
                <w:color w:val="auto"/>
                <w:kern w:val="0"/>
                <w:sz w:val="21"/>
                <w:szCs w:val="21"/>
              </w:rPr>
            </w:pPr>
            <w:r>
              <w:rPr>
                <w:rFonts w:hint="eastAsia"/>
                <w:b/>
                <w:color w:val="auto"/>
                <w:kern w:val="0"/>
                <w:sz w:val="21"/>
                <w:szCs w:val="21"/>
              </w:rPr>
              <w:t>验收核定数量</w:t>
            </w:r>
            <w:r>
              <w:rPr>
                <w:b/>
                <w:color w:val="auto"/>
                <w:kern w:val="0"/>
                <w:sz w:val="21"/>
                <w:szCs w:val="21"/>
              </w:rPr>
              <w:t>(台/套)</w:t>
            </w:r>
          </w:p>
        </w:tc>
        <w:tc>
          <w:tcPr>
            <w:tcW w:w="660" w:type="pct"/>
            <w:tcBorders>
              <w:tl2br w:val="nil"/>
              <w:tr2bl w:val="nil"/>
            </w:tcBorders>
            <w:vAlign w:val="center"/>
          </w:tcPr>
          <w:p w14:paraId="76425251">
            <w:pPr>
              <w:widowControl/>
              <w:spacing w:line="240" w:lineRule="auto"/>
              <w:ind w:firstLine="0" w:firstLineChars="0"/>
              <w:jc w:val="center"/>
              <w:rPr>
                <w:b/>
                <w:color w:val="auto"/>
                <w:kern w:val="0"/>
                <w:sz w:val="21"/>
                <w:szCs w:val="21"/>
              </w:rPr>
            </w:pPr>
            <w:r>
              <w:rPr>
                <w:rFonts w:hint="eastAsia"/>
                <w:b/>
                <w:color w:val="auto"/>
                <w:kern w:val="0"/>
                <w:sz w:val="21"/>
                <w:szCs w:val="21"/>
              </w:rPr>
              <w:t>实际</w:t>
            </w:r>
            <w:r>
              <w:rPr>
                <w:b/>
                <w:color w:val="auto"/>
                <w:kern w:val="0"/>
                <w:sz w:val="21"/>
                <w:szCs w:val="21"/>
              </w:rPr>
              <w:t>数量(台/套)</w:t>
            </w:r>
          </w:p>
        </w:tc>
        <w:tc>
          <w:tcPr>
            <w:tcW w:w="450" w:type="pct"/>
            <w:tcBorders>
              <w:tl2br w:val="nil"/>
              <w:tr2bl w:val="nil"/>
            </w:tcBorders>
            <w:vAlign w:val="center"/>
          </w:tcPr>
          <w:p w14:paraId="058E19CC">
            <w:pPr>
              <w:widowControl/>
              <w:spacing w:line="240" w:lineRule="auto"/>
              <w:ind w:firstLine="0" w:firstLineChars="0"/>
              <w:jc w:val="center"/>
              <w:rPr>
                <w:b/>
                <w:color w:val="auto"/>
                <w:kern w:val="0"/>
                <w:sz w:val="21"/>
                <w:szCs w:val="21"/>
              </w:rPr>
            </w:pPr>
            <w:r>
              <w:rPr>
                <w:rFonts w:hint="eastAsia"/>
                <w:b/>
                <w:color w:val="auto"/>
                <w:kern w:val="0"/>
                <w:sz w:val="21"/>
                <w:szCs w:val="21"/>
              </w:rPr>
              <w:t>变化量</w:t>
            </w:r>
            <w:r>
              <w:rPr>
                <w:b/>
                <w:color w:val="auto"/>
                <w:kern w:val="0"/>
                <w:sz w:val="21"/>
                <w:szCs w:val="21"/>
              </w:rPr>
              <w:t>(台/套)</w:t>
            </w:r>
          </w:p>
        </w:tc>
      </w:tr>
      <w:tr w14:paraId="5E7FBFA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blHeader/>
          <w:jc w:val="center"/>
        </w:trPr>
        <w:tc>
          <w:tcPr>
            <w:tcW w:w="402" w:type="pct"/>
            <w:tcBorders>
              <w:tl2br w:val="nil"/>
              <w:tr2bl w:val="nil"/>
            </w:tcBorders>
            <w:vAlign w:val="center"/>
          </w:tcPr>
          <w:p w14:paraId="06AC3DFF">
            <w:pPr>
              <w:widowControl/>
              <w:spacing w:line="240" w:lineRule="auto"/>
              <w:ind w:firstLine="0" w:firstLineChars="0"/>
              <w:jc w:val="center"/>
              <w:rPr>
                <w:color w:val="auto"/>
                <w:kern w:val="0"/>
                <w:sz w:val="21"/>
                <w:szCs w:val="21"/>
              </w:rPr>
            </w:pPr>
            <w:r>
              <w:rPr>
                <w:color w:val="auto"/>
                <w:kern w:val="0"/>
                <w:sz w:val="21"/>
                <w:szCs w:val="21"/>
              </w:rPr>
              <w:t>1</w:t>
            </w:r>
          </w:p>
        </w:tc>
        <w:tc>
          <w:tcPr>
            <w:tcW w:w="757" w:type="pct"/>
            <w:vMerge w:val="restart"/>
            <w:tcBorders>
              <w:tl2br w:val="nil"/>
              <w:tr2bl w:val="nil"/>
            </w:tcBorders>
            <w:vAlign w:val="center"/>
          </w:tcPr>
          <w:p w14:paraId="645A853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F9749D0">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C1B0F06">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3D303A5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746906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27A9BD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7773EB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blHeader/>
          <w:jc w:val="center"/>
        </w:trPr>
        <w:tc>
          <w:tcPr>
            <w:tcW w:w="402" w:type="pct"/>
            <w:tcBorders>
              <w:tl2br w:val="nil"/>
              <w:tr2bl w:val="nil"/>
            </w:tcBorders>
            <w:vAlign w:val="center"/>
          </w:tcPr>
          <w:p w14:paraId="1D60B791">
            <w:pPr>
              <w:widowControl/>
              <w:spacing w:line="240" w:lineRule="auto"/>
              <w:ind w:firstLine="0" w:firstLineChars="0"/>
              <w:jc w:val="center"/>
              <w:rPr>
                <w:color w:val="auto"/>
                <w:kern w:val="0"/>
                <w:sz w:val="21"/>
                <w:szCs w:val="21"/>
              </w:rPr>
            </w:pPr>
            <w:r>
              <w:rPr>
                <w:color w:val="auto"/>
                <w:kern w:val="0"/>
                <w:sz w:val="21"/>
                <w:szCs w:val="21"/>
              </w:rPr>
              <w:t>2</w:t>
            </w:r>
          </w:p>
        </w:tc>
        <w:tc>
          <w:tcPr>
            <w:tcW w:w="757" w:type="pct"/>
            <w:vMerge w:val="continue"/>
            <w:tcBorders>
              <w:tl2br w:val="nil"/>
              <w:tr2bl w:val="nil"/>
            </w:tcBorders>
            <w:vAlign w:val="center"/>
          </w:tcPr>
          <w:p w14:paraId="3DA7962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596E4A0">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80AC362">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FBD72CD">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4D75669">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11E35D8">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CC396E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blHeader/>
          <w:jc w:val="center"/>
        </w:trPr>
        <w:tc>
          <w:tcPr>
            <w:tcW w:w="402" w:type="pct"/>
            <w:tcBorders>
              <w:tl2br w:val="nil"/>
              <w:tr2bl w:val="nil"/>
            </w:tcBorders>
            <w:vAlign w:val="center"/>
          </w:tcPr>
          <w:p w14:paraId="52F2D014">
            <w:pPr>
              <w:widowControl/>
              <w:spacing w:line="240" w:lineRule="auto"/>
              <w:ind w:firstLine="0" w:firstLineChars="0"/>
              <w:jc w:val="center"/>
              <w:rPr>
                <w:color w:val="auto"/>
                <w:kern w:val="0"/>
                <w:sz w:val="21"/>
                <w:szCs w:val="21"/>
              </w:rPr>
            </w:pPr>
            <w:r>
              <w:rPr>
                <w:color w:val="auto"/>
                <w:kern w:val="0"/>
                <w:sz w:val="21"/>
                <w:szCs w:val="21"/>
              </w:rPr>
              <w:t>3</w:t>
            </w:r>
          </w:p>
        </w:tc>
        <w:tc>
          <w:tcPr>
            <w:tcW w:w="757" w:type="pct"/>
            <w:vMerge w:val="continue"/>
            <w:tcBorders>
              <w:tl2br w:val="nil"/>
              <w:tr2bl w:val="nil"/>
            </w:tcBorders>
            <w:vAlign w:val="center"/>
          </w:tcPr>
          <w:p w14:paraId="06E68DDE">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9235C3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7A20EA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15008F6">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F5596CC">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DED9E95">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E8413F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blHeader/>
          <w:jc w:val="center"/>
        </w:trPr>
        <w:tc>
          <w:tcPr>
            <w:tcW w:w="402" w:type="pct"/>
            <w:tcBorders>
              <w:tl2br w:val="nil"/>
              <w:tr2bl w:val="nil"/>
            </w:tcBorders>
            <w:vAlign w:val="center"/>
          </w:tcPr>
          <w:p w14:paraId="75209E2E">
            <w:pPr>
              <w:widowControl/>
              <w:spacing w:line="240" w:lineRule="auto"/>
              <w:ind w:firstLine="0" w:firstLineChars="0"/>
              <w:jc w:val="center"/>
              <w:rPr>
                <w:color w:val="auto"/>
                <w:kern w:val="0"/>
                <w:sz w:val="21"/>
                <w:szCs w:val="21"/>
              </w:rPr>
            </w:pPr>
            <w:r>
              <w:rPr>
                <w:color w:val="auto"/>
                <w:kern w:val="0"/>
                <w:sz w:val="21"/>
                <w:szCs w:val="21"/>
              </w:rPr>
              <w:t>4</w:t>
            </w:r>
          </w:p>
        </w:tc>
        <w:tc>
          <w:tcPr>
            <w:tcW w:w="757" w:type="pct"/>
            <w:vMerge w:val="continue"/>
            <w:tcBorders>
              <w:tl2br w:val="nil"/>
              <w:tr2bl w:val="nil"/>
            </w:tcBorders>
            <w:vAlign w:val="center"/>
          </w:tcPr>
          <w:p w14:paraId="534B3D5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1154E38">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DB0740F">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160EF5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C495D04">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0BB35F8">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C0F9BC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blHeader/>
          <w:jc w:val="center"/>
        </w:trPr>
        <w:tc>
          <w:tcPr>
            <w:tcW w:w="402" w:type="pct"/>
            <w:tcBorders>
              <w:tl2br w:val="nil"/>
              <w:tr2bl w:val="nil"/>
            </w:tcBorders>
            <w:vAlign w:val="center"/>
          </w:tcPr>
          <w:p w14:paraId="0D82AC30">
            <w:pPr>
              <w:widowControl/>
              <w:spacing w:line="240" w:lineRule="auto"/>
              <w:ind w:firstLine="0" w:firstLineChars="0"/>
              <w:jc w:val="center"/>
              <w:rPr>
                <w:color w:val="auto"/>
                <w:kern w:val="0"/>
                <w:sz w:val="21"/>
                <w:szCs w:val="21"/>
              </w:rPr>
            </w:pPr>
            <w:r>
              <w:rPr>
                <w:color w:val="auto"/>
                <w:kern w:val="0"/>
                <w:sz w:val="21"/>
                <w:szCs w:val="21"/>
              </w:rPr>
              <w:t>5</w:t>
            </w:r>
          </w:p>
        </w:tc>
        <w:tc>
          <w:tcPr>
            <w:tcW w:w="757" w:type="pct"/>
            <w:vMerge w:val="continue"/>
            <w:tcBorders>
              <w:tl2br w:val="nil"/>
              <w:tr2bl w:val="nil"/>
            </w:tcBorders>
            <w:vAlign w:val="center"/>
          </w:tcPr>
          <w:p w14:paraId="1D1BB10D">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DDFA46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0BFBAB7">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7547021">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B1A4CA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87EAB9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1B315E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blHeader/>
          <w:jc w:val="center"/>
        </w:trPr>
        <w:tc>
          <w:tcPr>
            <w:tcW w:w="402" w:type="pct"/>
            <w:tcBorders>
              <w:tl2br w:val="nil"/>
              <w:tr2bl w:val="nil"/>
            </w:tcBorders>
            <w:vAlign w:val="center"/>
          </w:tcPr>
          <w:p w14:paraId="4334CD98">
            <w:pPr>
              <w:widowControl/>
              <w:spacing w:line="240" w:lineRule="auto"/>
              <w:ind w:firstLine="0" w:firstLineChars="0"/>
              <w:jc w:val="center"/>
              <w:rPr>
                <w:color w:val="auto"/>
                <w:kern w:val="0"/>
                <w:sz w:val="21"/>
                <w:szCs w:val="21"/>
              </w:rPr>
            </w:pPr>
            <w:r>
              <w:rPr>
                <w:color w:val="auto"/>
                <w:kern w:val="0"/>
                <w:sz w:val="21"/>
                <w:szCs w:val="21"/>
              </w:rPr>
              <w:t>6</w:t>
            </w:r>
          </w:p>
        </w:tc>
        <w:tc>
          <w:tcPr>
            <w:tcW w:w="757" w:type="pct"/>
            <w:vMerge w:val="continue"/>
            <w:tcBorders>
              <w:tl2br w:val="nil"/>
              <w:tr2bl w:val="nil"/>
            </w:tcBorders>
            <w:vAlign w:val="center"/>
          </w:tcPr>
          <w:p w14:paraId="04E270D0">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240C42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A57B3F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2107FFD">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06C85D8">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C8ACE3D">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BAA5A3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blHeader/>
          <w:jc w:val="center"/>
        </w:trPr>
        <w:tc>
          <w:tcPr>
            <w:tcW w:w="402" w:type="pct"/>
            <w:tcBorders>
              <w:tl2br w:val="nil"/>
              <w:tr2bl w:val="nil"/>
            </w:tcBorders>
            <w:vAlign w:val="center"/>
          </w:tcPr>
          <w:p w14:paraId="76AB06F3">
            <w:pPr>
              <w:widowControl/>
              <w:spacing w:line="240" w:lineRule="auto"/>
              <w:ind w:firstLine="0" w:firstLineChars="0"/>
              <w:jc w:val="center"/>
              <w:rPr>
                <w:color w:val="auto"/>
                <w:kern w:val="0"/>
                <w:sz w:val="21"/>
                <w:szCs w:val="21"/>
              </w:rPr>
            </w:pPr>
            <w:r>
              <w:rPr>
                <w:color w:val="auto"/>
                <w:kern w:val="0"/>
                <w:sz w:val="21"/>
                <w:szCs w:val="21"/>
              </w:rPr>
              <w:t>7</w:t>
            </w:r>
          </w:p>
        </w:tc>
        <w:tc>
          <w:tcPr>
            <w:tcW w:w="757" w:type="pct"/>
            <w:vMerge w:val="continue"/>
            <w:tcBorders>
              <w:tl2br w:val="nil"/>
              <w:tr2bl w:val="nil"/>
            </w:tcBorders>
            <w:vAlign w:val="center"/>
          </w:tcPr>
          <w:p w14:paraId="5BB21D80">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D10B37B">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841A9BB">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E8465B6">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F0E922C">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973F65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C8214E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blHeader/>
          <w:jc w:val="center"/>
        </w:trPr>
        <w:tc>
          <w:tcPr>
            <w:tcW w:w="402" w:type="pct"/>
            <w:tcBorders>
              <w:tl2br w:val="nil"/>
              <w:tr2bl w:val="nil"/>
            </w:tcBorders>
            <w:vAlign w:val="center"/>
          </w:tcPr>
          <w:p w14:paraId="2BFE37DB">
            <w:pPr>
              <w:widowControl/>
              <w:spacing w:line="240" w:lineRule="auto"/>
              <w:ind w:firstLine="0" w:firstLineChars="0"/>
              <w:jc w:val="center"/>
              <w:rPr>
                <w:color w:val="auto"/>
                <w:kern w:val="0"/>
                <w:sz w:val="21"/>
                <w:szCs w:val="21"/>
              </w:rPr>
            </w:pPr>
            <w:r>
              <w:rPr>
                <w:color w:val="auto"/>
                <w:kern w:val="0"/>
                <w:sz w:val="21"/>
                <w:szCs w:val="21"/>
              </w:rPr>
              <w:t>8</w:t>
            </w:r>
          </w:p>
        </w:tc>
        <w:tc>
          <w:tcPr>
            <w:tcW w:w="757" w:type="pct"/>
            <w:vMerge w:val="restart"/>
            <w:tcBorders>
              <w:tl2br w:val="nil"/>
              <w:tr2bl w:val="nil"/>
            </w:tcBorders>
            <w:vAlign w:val="center"/>
          </w:tcPr>
          <w:p w14:paraId="1780CC4F">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2B19DA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2F917D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9151BC1">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9D683D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5929DB5">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ED5388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tblHeader/>
          <w:jc w:val="center"/>
        </w:trPr>
        <w:tc>
          <w:tcPr>
            <w:tcW w:w="402" w:type="pct"/>
            <w:tcBorders>
              <w:tl2br w:val="nil"/>
              <w:tr2bl w:val="nil"/>
            </w:tcBorders>
            <w:vAlign w:val="center"/>
          </w:tcPr>
          <w:p w14:paraId="4E0FCDAD">
            <w:pPr>
              <w:widowControl/>
              <w:spacing w:line="240" w:lineRule="auto"/>
              <w:ind w:firstLine="0" w:firstLineChars="0"/>
              <w:jc w:val="center"/>
              <w:rPr>
                <w:color w:val="auto"/>
                <w:kern w:val="0"/>
                <w:sz w:val="21"/>
                <w:szCs w:val="21"/>
              </w:rPr>
            </w:pPr>
            <w:r>
              <w:rPr>
                <w:color w:val="auto"/>
                <w:kern w:val="0"/>
                <w:sz w:val="21"/>
                <w:szCs w:val="21"/>
              </w:rPr>
              <w:t>9</w:t>
            </w:r>
          </w:p>
        </w:tc>
        <w:tc>
          <w:tcPr>
            <w:tcW w:w="757" w:type="pct"/>
            <w:vMerge w:val="continue"/>
            <w:tcBorders>
              <w:tl2br w:val="nil"/>
              <w:tr2bl w:val="nil"/>
            </w:tcBorders>
            <w:vAlign w:val="center"/>
          </w:tcPr>
          <w:p w14:paraId="153D153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F52529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436740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80DBA8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1B8ED23">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615345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FD8F4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 w:hRule="atLeast"/>
          <w:tblHeader/>
          <w:jc w:val="center"/>
        </w:trPr>
        <w:tc>
          <w:tcPr>
            <w:tcW w:w="402" w:type="pct"/>
            <w:tcBorders>
              <w:tl2br w:val="nil"/>
              <w:tr2bl w:val="nil"/>
            </w:tcBorders>
            <w:vAlign w:val="center"/>
          </w:tcPr>
          <w:p w14:paraId="7190075D">
            <w:pPr>
              <w:widowControl/>
              <w:spacing w:line="240" w:lineRule="auto"/>
              <w:ind w:firstLine="0" w:firstLineChars="0"/>
              <w:jc w:val="center"/>
              <w:rPr>
                <w:color w:val="auto"/>
                <w:kern w:val="0"/>
                <w:sz w:val="21"/>
                <w:szCs w:val="21"/>
              </w:rPr>
            </w:pPr>
            <w:r>
              <w:rPr>
                <w:color w:val="auto"/>
                <w:kern w:val="0"/>
                <w:sz w:val="21"/>
                <w:szCs w:val="21"/>
              </w:rPr>
              <w:t>10</w:t>
            </w:r>
          </w:p>
        </w:tc>
        <w:tc>
          <w:tcPr>
            <w:tcW w:w="757" w:type="pct"/>
            <w:vMerge w:val="continue"/>
            <w:tcBorders>
              <w:tl2br w:val="nil"/>
              <w:tr2bl w:val="nil"/>
            </w:tcBorders>
            <w:vAlign w:val="center"/>
          </w:tcPr>
          <w:p w14:paraId="5D97D21A">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D77675B">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8C4EF8B">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626670A">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A4B9F4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846541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E8B6D9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7" w:hRule="atLeast"/>
          <w:tblHeader/>
          <w:jc w:val="center"/>
        </w:trPr>
        <w:tc>
          <w:tcPr>
            <w:tcW w:w="402" w:type="pct"/>
            <w:tcBorders>
              <w:tl2br w:val="nil"/>
              <w:tr2bl w:val="nil"/>
            </w:tcBorders>
            <w:vAlign w:val="center"/>
          </w:tcPr>
          <w:p w14:paraId="4638FB1C">
            <w:pPr>
              <w:widowControl/>
              <w:spacing w:line="240" w:lineRule="auto"/>
              <w:ind w:firstLine="0" w:firstLineChars="0"/>
              <w:jc w:val="center"/>
              <w:rPr>
                <w:color w:val="auto"/>
                <w:kern w:val="0"/>
                <w:sz w:val="21"/>
                <w:szCs w:val="21"/>
              </w:rPr>
            </w:pPr>
            <w:r>
              <w:rPr>
                <w:color w:val="auto"/>
                <w:kern w:val="0"/>
                <w:sz w:val="21"/>
                <w:szCs w:val="21"/>
              </w:rPr>
              <w:t>11</w:t>
            </w:r>
          </w:p>
        </w:tc>
        <w:tc>
          <w:tcPr>
            <w:tcW w:w="757" w:type="pct"/>
            <w:vMerge w:val="continue"/>
            <w:tcBorders>
              <w:tl2br w:val="nil"/>
              <w:tr2bl w:val="nil"/>
            </w:tcBorders>
            <w:vAlign w:val="center"/>
          </w:tcPr>
          <w:p w14:paraId="2F0429DD">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3063565">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03B1D7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6E6136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3843B99">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B690C9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B71230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7" w:hRule="atLeast"/>
          <w:tblHeader/>
          <w:jc w:val="center"/>
        </w:trPr>
        <w:tc>
          <w:tcPr>
            <w:tcW w:w="402" w:type="pct"/>
            <w:tcBorders>
              <w:tl2br w:val="nil"/>
              <w:tr2bl w:val="nil"/>
            </w:tcBorders>
            <w:vAlign w:val="center"/>
          </w:tcPr>
          <w:p w14:paraId="13180495">
            <w:pPr>
              <w:widowControl/>
              <w:spacing w:line="240" w:lineRule="auto"/>
              <w:ind w:firstLine="0" w:firstLineChars="0"/>
              <w:jc w:val="center"/>
              <w:rPr>
                <w:color w:val="auto"/>
                <w:kern w:val="0"/>
                <w:sz w:val="21"/>
                <w:szCs w:val="21"/>
              </w:rPr>
            </w:pPr>
            <w:r>
              <w:rPr>
                <w:color w:val="auto"/>
                <w:kern w:val="0"/>
                <w:sz w:val="21"/>
                <w:szCs w:val="21"/>
              </w:rPr>
              <w:t>12</w:t>
            </w:r>
          </w:p>
        </w:tc>
        <w:tc>
          <w:tcPr>
            <w:tcW w:w="757" w:type="pct"/>
            <w:vMerge w:val="continue"/>
            <w:tcBorders>
              <w:tl2br w:val="nil"/>
              <w:tr2bl w:val="nil"/>
            </w:tcBorders>
            <w:vAlign w:val="center"/>
          </w:tcPr>
          <w:p w14:paraId="1EC7013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B74905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1D2F728">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5609C4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65885CC">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0DDDE9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CFCB18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 w:hRule="atLeast"/>
          <w:tblHeader/>
          <w:jc w:val="center"/>
        </w:trPr>
        <w:tc>
          <w:tcPr>
            <w:tcW w:w="402" w:type="pct"/>
            <w:tcBorders>
              <w:tl2br w:val="nil"/>
              <w:tr2bl w:val="nil"/>
            </w:tcBorders>
            <w:vAlign w:val="center"/>
          </w:tcPr>
          <w:p w14:paraId="07FB7C76">
            <w:pPr>
              <w:widowControl/>
              <w:spacing w:line="240" w:lineRule="auto"/>
              <w:ind w:firstLine="0" w:firstLineChars="0"/>
              <w:jc w:val="center"/>
              <w:rPr>
                <w:color w:val="auto"/>
                <w:kern w:val="0"/>
                <w:sz w:val="21"/>
                <w:szCs w:val="21"/>
              </w:rPr>
            </w:pPr>
            <w:r>
              <w:rPr>
                <w:color w:val="auto"/>
                <w:kern w:val="0"/>
                <w:sz w:val="21"/>
                <w:szCs w:val="21"/>
              </w:rPr>
              <w:t>13</w:t>
            </w:r>
          </w:p>
        </w:tc>
        <w:tc>
          <w:tcPr>
            <w:tcW w:w="757" w:type="pct"/>
            <w:vMerge w:val="continue"/>
            <w:tcBorders>
              <w:tl2br w:val="nil"/>
              <w:tr2bl w:val="nil"/>
            </w:tcBorders>
            <w:vAlign w:val="center"/>
          </w:tcPr>
          <w:p w14:paraId="72834BF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5E25F0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865920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B9FC646">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B8639F4">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950200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984A27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F576B8F">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14</w:t>
            </w:r>
          </w:p>
        </w:tc>
        <w:tc>
          <w:tcPr>
            <w:tcW w:w="757" w:type="pct"/>
            <w:vMerge w:val="continue"/>
            <w:tcBorders>
              <w:tl2br w:val="nil"/>
              <w:tr2bl w:val="nil"/>
            </w:tcBorders>
            <w:vAlign w:val="center"/>
          </w:tcPr>
          <w:p w14:paraId="593DC5C7">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7C62F54">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912965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91D4B04">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3D384A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08BE144">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4F3911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9200158">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15</w:t>
            </w:r>
          </w:p>
        </w:tc>
        <w:tc>
          <w:tcPr>
            <w:tcW w:w="757" w:type="pct"/>
            <w:vMerge w:val="continue"/>
            <w:tcBorders>
              <w:tl2br w:val="nil"/>
              <w:tr2bl w:val="nil"/>
            </w:tcBorders>
            <w:vAlign w:val="center"/>
          </w:tcPr>
          <w:p w14:paraId="169ADBE7">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BE08395">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F24B336">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DFBEE6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4F64382">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923DA5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8B4909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0B182B8">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16</w:t>
            </w:r>
          </w:p>
        </w:tc>
        <w:tc>
          <w:tcPr>
            <w:tcW w:w="757" w:type="pct"/>
            <w:vMerge w:val="continue"/>
            <w:tcBorders>
              <w:tl2br w:val="nil"/>
              <w:tr2bl w:val="nil"/>
            </w:tcBorders>
            <w:vAlign w:val="center"/>
          </w:tcPr>
          <w:p w14:paraId="155538C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4F07DC5">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915DFDC">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739C6F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E93265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DB0BF9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29AA20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A66161A">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17</w:t>
            </w:r>
          </w:p>
        </w:tc>
        <w:tc>
          <w:tcPr>
            <w:tcW w:w="757" w:type="pct"/>
            <w:vMerge w:val="continue"/>
            <w:tcBorders>
              <w:tl2br w:val="nil"/>
              <w:tr2bl w:val="nil"/>
            </w:tcBorders>
            <w:vAlign w:val="center"/>
          </w:tcPr>
          <w:p w14:paraId="75753B3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96AAB0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C2F0ABF">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3BC22DF">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392848D">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201EAA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F2743A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755086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18</w:t>
            </w:r>
          </w:p>
        </w:tc>
        <w:tc>
          <w:tcPr>
            <w:tcW w:w="757" w:type="pct"/>
            <w:vMerge w:val="continue"/>
            <w:tcBorders>
              <w:tl2br w:val="nil"/>
              <w:tr2bl w:val="nil"/>
            </w:tcBorders>
            <w:vAlign w:val="center"/>
          </w:tcPr>
          <w:p w14:paraId="2AC4DBEC">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430AEB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AAA6A28">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6B760AA">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4043552">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48907D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CA9F49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BB3887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19</w:t>
            </w:r>
          </w:p>
        </w:tc>
        <w:tc>
          <w:tcPr>
            <w:tcW w:w="757" w:type="pct"/>
            <w:vMerge w:val="continue"/>
            <w:tcBorders>
              <w:tl2br w:val="nil"/>
              <w:tr2bl w:val="nil"/>
            </w:tcBorders>
            <w:vAlign w:val="center"/>
          </w:tcPr>
          <w:p w14:paraId="41330544">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187FA4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898571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7521880">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382A5B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C630234">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1798C6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7C1F4FE">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20</w:t>
            </w:r>
          </w:p>
        </w:tc>
        <w:tc>
          <w:tcPr>
            <w:tcW w:w="757" w:type="pct"/>
            <w:vMerge w:val="continue"/>
            <w:tcBorders>
              <w:tl2br w:val="nil"/>
              <w:tr2bl w:val="nil"/>
            </w:tcBorders>
            <w:vAlign w:val="center"/>
          </w:tcPr>
          <w:p w14:paraId="29148577">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6E0BD5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6CBAEC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EFE01A1">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19173CD">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355976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323D7C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82F25B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21</w:t>
            </w:r>
          </w:p>
        </w:tc>
        <w:tc>
          <w:tcPr>
            <w:tcW w:w="757" w:type="pct"/>
            <w:vMerge w:val="restart"/>
            <w:tcBorders>
              <w:tl2br w:val="nil"/>
              <w:tr2bl w:val="nil"/>
            </w:tcBorders>
            <w:vAlign w:val="center"/>
          </w:tcPr>
          <w:p w14:paraId="2722A07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6421A2A">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934151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4DD44AD">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BA0F093">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366DA0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411943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35783DA">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22</w:t>
            </w:r>
          </w:p>
        </w:tc>
        <w:tc>
          <w:tcPr>
            <w:tcW w:w="757" w:type="pct"/>
            <w:vMerge w:val="continue"/>
            <w:tcBorders>
              <w:tl2br w:val="nil"/>
              <w:tr2bl w:val="nil"/>
            </w:tcBorders>
            <w:vAlign w:val="center"/>
          </w:tcPr>
          <w:p w14:paraId="120281E8">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50A3BA5">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1F7670C">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313F984D">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C3667AB">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E66251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1F9DC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88732D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23</w:t>
            </w:r>
          </w:p>
        </w:tc>
        <w:tc>
          <w:tcPr>
            <w:tcW w:w="757" w:type="pct"/>
            <w:vMerge w:val="continue"/>
            <w:tcBorders>
              <w:tl2br w:val="nil"/>
              <w:tr2bl w:val="nil"/>
            </w:tcBorders>
            <w:vAlign w:val="center"/>
          </w:tcPr>
          <w:p w14:paraId="09E86EDA">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E78D817">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346F142">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95608D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B10D75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C730A0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1EDBEF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23E43A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24</w:t>
            </w:r>
          </w:p>
        </w:tc>
        <w:tc>
          <w:tcPr>
            <w:tcW w:w="757" w:type="pct"/>
            <w:vMerge w:val="continue"/>
            <w:tcBorders>
              <w:tl2br w:val="nil"/>
              <w:tr2bl w:val="nil"/>
            </w:tcBorders>
            <w:vAlign w:val="center"/>
          </w:tcPr>
          <w:p w14:paraId="3D28D733">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B794FCA">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1A89F0B">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024C01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CCBB3B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514694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492B88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6C07A47">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25</w:t>
            </w:r>
          </w:p>
        </w:tc>
        <w:tc>
          <w:tcPr>
            <w:tcW w:w="757" w:type="pct"/>
            <w:vMerge w:val="continue"/>
            <w:tcBorders>
              <w:tl2br w:val="nil"/>
              <w:tr2bl w:val="nil"/>
            </w:tcBorders>
            <w:vAlign w:val="center"/>
          </w:tcPr>
          <w:p w14:paraId="1E4A6E03">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9BF71AB">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A307E17">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E6B44BC">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EFBD7D3">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2514CD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F8CA83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061BF95">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26</w:t>
            </w:r>
          </w:p>
        </w:tc>
        <w:tc>
          <w:tcPr>
            <w:tcW w:w="757" w:type="pct"/>
            <w:vMerge w:val="continue"/>
            <w:tcBorders>
              <w:tl2br w:val="nil"/>
              <w:tr2bl w:val="nil"/>
            </w:tcBorders>
            <w:vAlign w:val="center"/>
          </w:tcPr>
          <w:p w14:paraId="6E24C097">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002D5C6">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7EC477C">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BEC8591">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E5DAC4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83E2035">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631F61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1B6112F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27</w:t>
            </w:r>
          </w:p>
        </w:tc>
        <w:tc>
          <w:tcPr>
            <w:tcW w:w="757" w:type="pct"/>
            <w:vMerge w:val="continue"/>
            <w:tcBorders>
              <w:tl2br w:val="nil"/>
              <w:tr2bl w:val="nil"/>
            </w:tcBorders>
            <w:vAlign w:val="center"/>
          </w:tcPr>
          <w:p w14:paraId="12EDA760">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04D1A63">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5899917">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B5FCA0C">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C24101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5D9C3C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F89E61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CD2B49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28</w:t>
            </w:r>
          </w:p>
        </w:tc>
        <w:tc>
          <w:tcPr>
            <w:tcW w:w="757" w:type="pct"/>
            <w:vMerge w:val="continue"/>
            <w:tcBorders>
              <w:tl2br w:val="nil"/>
              <w:tr2bl w:val="nil"/>
            </w:tcBorders>
            <w:vAlign w:val="center"/>
          </w:tcPr>
          <w:p w14:paraId="67CF06CF">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E3EF50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791202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803C71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14FB96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F5E40D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CEE954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0513691">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29</w:t>
            </w:r>
          </w:p>
        </w:tc>
        <w:tc>
          <w:tcPr>
            <w:tcW w:w="757" w:type="pct"/>
            <w:vMerge w:val="continue"/>
            <w:tcBorders>
              <w:tl2br w:val="nil"/>
              <w:tr2bl w:val="nil"/>
            </w:tcBorders>
            <w:vAlign w:val="center"/>
          </w:tcPr>
          <w:p w14:paraId="06637946">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4EE0BD4">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3EA168C">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B8272E0">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B4E0DA1">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3089823">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185982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E2C511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30</w:t>
            </w:r>
          </w:p>
        </w:tc>
        <w:tc>
          <w:tcPr>
            <w:tcW w:w="757" w:type="pct"/>
            <w:vMerge w:val="restart"/>
            <w:tcBorders>
              <w:tl2br w:val="nil"/>
              <w:tr2bl w:val="nil"/>
            </w:tcBorders>
            <w:vAlign w:val="center"/>
          </w:tcPr>
          <w:p w14:paraId="33EDC660">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1288964">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9893D4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3C45DD4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7ADC60D">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621C3E3">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7A41BA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0223721">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31</w:t>
            </w:r>
          </w:p>
        </w:tc>
        <w:tc>
          <w:tcPr>
            <w:tcW w:w="757" w:type="pct"/>
            <w:vMerge w:val="continue"/>
            <w:tcBorders>
              <w:tl2br w:val="nil"/>
              <w:tr2bl w:val="nil"/>
            </w:tcBorders>
            <w:vAlign w:val="center"/>
          </w:tcPr>
          <w:p w14:paraId="587CD851">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6591A29">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52E6C4F">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38FAC447">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341E4C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155349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E5BD89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0C4FB7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32</w:t>
            </w:r>
          </w:p>
        </w:tc>
        <w:tc>
          <w:tcPr>
            <w:tcW w:w="757" w:type="pct"/>
            <w:vMerge w:val="continue"/>
            <w:tcBorders>
              <w:tl2br w:val="nil"/>
              <w:tr2bl w:val="nil"/>
            </w:tcBorders>
            <w:vAlign w:val="center"/>
          </w:tcPr>
          <w:p w14:paraId="04F2D07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8503897">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80AF09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B84696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21C3DD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DEB92F4">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8E5F49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1E7CCE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33</w:t>
            </w:r>
          </w:p>
        </w:tc>
        <w:tc>
          <w:tcPr>
            <w:tcW w:w="757" w:type="pct"/>
            <w:vMerge w:val="continue"/>
            <w:tcBorders>
              <w:tl2br w:val="nil"/>
              <w:tr2bl w:val="nil"/>
            </w:tcBorders>
            <w:vAlign w:val="center"/>
          </w:tcPr>
          <w:p w14:paraId="28EFE4B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EB88769">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ECE6B7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C144CA4">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74E1F9D">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70A69DD">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7D0F3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53222C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34</w:t>
            </w:r>
          </w:p>
        </w:tc>
        <w:tc>
          <w:tcPr>
            <w:tcW w:w="757" w:type="pct"/>
            <w:vMerge w:val="restart"/>
            <w:tcBorders>
              <w:tl2br w:val="nil"/>
              <w:tr2bl w:val="nil"/>
            </w:tcBorders>
            <w:vAlign w:val="center"/>
          </w:tcPr>
          <w:p w14:paraId="728694F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498E6C2">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B35DD0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5941EE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23C1AAC">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613A8C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B2D1ED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96EBAA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35</w:t>
            </w:r>
          </w:p>
        </w:tc>
        <w:tc>
          <w:tcPr>
            <w:tcW w:w="757" w:type="pct"/>
            <w:vMerge w:val="continue"/>
            <w:tcBorders>
              <w:tl2br w:val="nil"/>
              <w:tr2bl w:val="nil"/>
            </w:tcBorders>
            <w:vAlign w:val="center"/>
          </w:tcPr>
          <w:p w14:paraId="3D7E986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C450634">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C47915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390B703F">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FFA315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D7820D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C5E9BB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3744476">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36</w:t>
            </w:r>
          </w:p>
        </w:tc>
        <w:tc>
          <w:tcPr>
            <w:tcW w:w="757" w:type="pct"/>
            <w:vMerge w:val="continue"/>
            <w:tcBorders>
              <w:tl2br w:val="nil"/>
              <w:tr2bl w:val="nil"/>
            </w:tcBorders>
            <w:vAlign w:val="center"/>
          </w:tcPr>
          <w:p w14:paraId="2D9584EF">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B50312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835BD46">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613A74D">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2696A87">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1E006C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7E8644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596A9F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37</w:t>
            </w:r>
          </w:p>
        </w:tc>
        <w:tc>
          <w:tcPr>
            <w:tcW w:w="757" w:type="pct"/>
            <w:vMerge w:val="continue"/>
            <w:tcBorders>
              <w:tl2br w:val="nil"/>
              <w:tr2bl w:val="nil"/>
            </w:tcBorders>
            <w:vAlign w:val="center"/>
          </w:tcPr>
          <w:p w14:paraId="4A1D9DBA">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331A2D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624ABFC">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E85007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FEC6738">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414C455">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AAADF2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963A9EE">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38</w:t>
            </w:r>
          </w:p>
        </w:tc>
        <w:tc>
          <w:tcPr>
            <w:tcW w:w="757" w:type="pct"/>
            <w:vMerge w:val="continue"/>
            <w:tcBorders>
              <w:tl2br w:val="nil"/>
              <w:tr2bl w:val="nil"/>
            </w:tcBorders>
            <w:vAlign w:val="center"/>
          </w:tcPr>
          <w:p w14:paraId="4400C55F">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EE2CC5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E7CA16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38F9387">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75CDD79">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ACD6B8D">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EA9084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453F43E">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39</w:t>
            </w:r>
          </w:p>
        </w:tc>
        <w:tc>
          <w:tcPr>
            <w:tcW w:w="757" w:type="pct"/>
            <w:vMerge w:val="continue"/>
            <w:tcBorders>
              <w:tl2br w:val="nil"/>
              <w:tr2bl w:val="nil"/>
            </w:tcBorders>
            <w:vAlign w:val="center"/>
          </w:tcPr>
          <w:p w14:paraId="652C3ADC">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4BC501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F15C796">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F8037D4">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75B30F7">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08DB4B3">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AF6B56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7D5F12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40</w:t>
            </w:r>
          </w:p>
        </w:tc>
        <w:tc>
          <w:tcPr>
            <w:tcW w:w="757" w:type="pct"/>
            <w:vMerge w:val="continue"/>
            <w:tcBorders>
              <w:tl2br w:val="nil"/>
              <w:tr2bl w:val="nil"/>
            </w:tcBorders>
            <w:vAlign w:val="center"/>
          </w:tcPr>
          <w:p w14:paraId="6F7EE957">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9AF0887">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1E4EE22">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E256BD3">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7B60FE2">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C0AFBA5">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C58189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B0A6825">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41</w:t>
            </w:r>
          </w:p>
        </w:tc>
        <w:tc>
          <w:tcPr>
            <w:tcW w:w="757" w:type="pct"/>
            <w:vMerge w:val="continue"/>
            <w:tcBorders>
              <w:tl2br w:val="nil"/>
              <w:tr2bl w:val="nil"/>
            </w:tcBorders>
            <w:vAlign w:val="center"/>
          </w:tcPr>
          <w:p w14:paraId="0E374FF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69B69B8">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52E740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23D8C0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E071D0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31B776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26F01F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5AE9F3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42</w:t>
            </w:r>
          </w:p>
        </w:tc>
        <w:tc>
          <w:tcPr>
            <w:tcW w:w="757" w:type="pct"/>
            <w:vMerge w:val="continue"/>
            <w:tcBorders>
              <w:tl2br w:val="nil"/>
              <w:tr2bl w:val="nil"/>
            </w:tcBorders>
            <w:vAlign w:val="center"/>
          </w:tcPr>
          <w:p w14:paraId="2D43D108">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F2DFB3F">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39C8E0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9E86C9F">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818EE2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CB537C8">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5E525C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1D0B0BF">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43</w:t>
            </w:r>
          </w:p>
        </w:tc>
        <w:tc>
          <w:tcPr>
            <w:tcW w:w="757" w:type="pct"/>
            <w:vMerge w:val="continue"/>
            <w:tcBorders>
              <w:tl2br w:val="nil"/>
              <w:tr2bl w:val="nil"/>
            </w:tcBorders>
            <w:vAlign w:val="center"/>
          </w:tcPr>
          <w:p w14:paraId="184A9D50">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0A6C8B9">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85F25B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5E4459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3DC6A0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DC82EE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B710FD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94856C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44</w:t>
            </w:r>
          </w:p>
        </w:tc>
        <w:tc>
          <w:tcPr>
            <w:tcW w:w="757" w:type="pct"/>
            <w:vMerge w:val="continue"/>
            <w:tcBorders>
              <w:tl2br w:val="nil"/>
              <w:tr2bl w:val="nil"/>
            </w:tcBorders>
            <w:vAlign w:val="center"/>
          </w:tcPr>
          <w:p w14:paraId="1D6BA54D">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7A7C287">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F542DF3">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45A906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A305F73">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368B23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A4F461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E47863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45</w:t>
            </w:r>
          </w:p>
        </w:tc>
        <w:tc>
          <w:tcPr>
            <w:tcW w:w="757" w:type="pct"/>
            <w:vMerge w:val="continue"/>
            <w:tcBorders>
              <w:tl2br w:val="nil"/>
              <w:tr2bl w:val="nil"/>
            </w:tcBorders>
            <w:vAlign w:val="center"/>
          </w:tcPr>
          <w:p w14:paraId="17B95F50">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4B0D40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3F3B01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340F50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110C116">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1F51AA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F7DB5B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37BD76F">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46</w:t>
            </w:r>
          </w:p>
        </w:tc>
        <w:tc>
          <w:tcPr>
            <w:tcW w:w="757" w:type="pct"/>
            <w:vMerge w:val="continue"/>
            <w:tcBorders>
              <w:tl2br w:val="nil"/>
              <w:tr2bl w:val="nil"/>
            </w:tcBorders>
            <w:vAlign w:val="center"/>
          </w:tcPr>
          <w:p w14:paraId="160FF073">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6C83DD7">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163020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6516EE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B5A2C0C">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E072AF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BF8C8D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61AD02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47</w:t>
            </w:r>
          </w:p>
        </w:tc>
        <w:tc>
          <w:tcPr>
            <w:tcW w:w="757" w:type="pct"/>
            <w:vMerge w:val="continue"/>
            <w:tcBorders>
              <w:tl2br w:val="nil"/>
              <w:tr2bl w:val="nil"/>
            </w:tcBorders>
            <w:vAlign w:val="center"/>
          </w:tcPr>
          <w:p w14:paraId="68156FF6">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961B7B6">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E96302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07D9178">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FF1A466">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180DD28">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15596F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6F55AA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48</w:t>
            </w:r>
          </w:p>
        </w:tc>
        <w:tc>
          <w:tcPr>
            <w:tcW w:w="757" w:type="pct"/>
            <w:vMerge w:val="continue"/>
            <w:tcBorders>
              <w:tl2br w:val="nil"/>
              <w:tr2bl w:val="nil"/>
            </w:tcBorders>
            <w:vAlign w:val="center"/>
          </w:tcPr>
          <w:p w14:paraId="19FEE96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71E8376">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7EF3888">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C56BF01">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9C8CDF1">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90F1F6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EB5214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69C2FEA">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49</w:t>
            </w:r>
          </w:p>
        </w:tc>
        <w:tc>
          <w:tcPr>
            <w:tcW w:w="757" w:type="pct"/>
            <w:vMerge w:val="continue"/>
            <w:tcBorders>
              <w:tl2br w:val="nil"/>
              <w:tr2bl w:val="nil"/>
            </w:tcBorders>
            <w:vAlign w:val="center"/>
          </w:tcPr>
          <w:p w14:paraId="7E9E3F2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38CC63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4CBCAA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31DC441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5F76D26">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A6F0BE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16C0B1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38FF57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50</w:t>
            </w:r>
          </w:p>
        </w:tc>
        <w:tc>
          <w:tcPr>
            <w:tcW w:w="757" w:type="pct"/>
            <w:vMerge w:val="continue"/>
            <w:tcBorders>
              <w:tl2br w:val="nil"/>
              <w:tr2bl w:val="nil"/>
            </w:tcBorders>
            <w:vAlign w:val="center"/>
          </w:tcPr>
          <w:p w14:paraId="60C7EF2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3AC4173">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478FFB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DF31E84">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CC9F76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593DE7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D0FE78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F80482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51</w:t>
            </w:r>
          </w:p>
        </w:tc>
        <w:tc>
          <w:tcPr>
            <w:tcW w:w="757" w:type="pct"/>
            <w:vMerge w:val="continue"/>
            <w:tcBorders>
              <w:tl2br w:val="nil"/>
              <w:tr2bl w:val="nil"/>
            </w:tcBorders>
            <w:vAlign w:val="center"/>
          </w:tcPr>
          <w:p w14:paraId="57CE7AD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5C95499">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DBF284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92EEBF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2DECA3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4E91A0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D5CAA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70B48A7">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52</w:t>
            </w:r>
          </w:p>
        </w:tc>
        <w:tc>
          <w:tcPr>
            <w:tcW w:w="757" w:type="pct"/>
            <w:vMerge w:val="continue"/>
            <w:tcBorders>
              <w:tl2br w:val="nil"/>
              <w:tr2bl w:val="nil"/>
            </w:tcBorders>
            <w:vAlign w:val="center"/>
          </w:tcPr>
          <w:p w14:paraId="15C2157D">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1F49922">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17BEBFA">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A583B7A">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D7DA287">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3C70E4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89F7C1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379A48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53</w:t>
            </w:r>
          </w:p>
        </w:tc>
        <w:tc>
          <w:tcPr>
            <w:tcW w:w="757" w:type="pct"/>
            <w:vMerge w:val="continue"/>
            <w:tcBorders>
              <w:tl2br w:val="nil"/>
              <w:tr2bl w:val="nil"/>
            </w:tcBorders>
            <w:vAlign w:val="center"/>
          </w:tcPr>
          <w:p w14:paraId="2EE232FA">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D7F2268">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E3695BA">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6E8845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3D35DC8">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B6A833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465E20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1EDBF2F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54</w:t>
            </w:r>
          </w:p>
        </w:tc>
        <w:tc>
          <w:tcPr>
            <w:tcW w:w="757" w:type="pct"/>
            <w:vMerge w:val="continue"/>
            <w:tcBorders>
              <w:tl2br w:val="nil"/>
              <w:tr2bl w:val="nil"/>
            </w:tcBorders>
            <w:vAlign w:val="center"/>
          </w:tcPr>
          <w:p w14:paraId="154D6FEE">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F59B050">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0F2562B">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8451B2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69E961B">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D0BCE31">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0EE6E9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2F4E51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55</w:t>
            </w:r>
          </w:p>
        </w:tc>
        <w:tc>
          <w:tcPr>
            <w:tcW w:w="757" w:type="pct"/>
            <w:vMerge w:val="continue"/>
            <w:tcBorders>
              <w:tl2br w:val="nil"/>
              <w:tr2bl w:val="nil"/>
            </w:tcBorders>
            <w:vAlign w:val="center"/>
          </w:tcPr>
          <w:p w14:paraId="73890217">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E1D4E8C">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66964C1">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A9BAF00">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0440851">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C2D260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1CC18A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99BA064">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56</w:t>
            </w:r>
          </w:p>
        </w:tc>
        <w:tc>
          <w:tcPr>
            <w:tcW w:w="757" w:type="pct"/>
            <w:vMerge w:val="continue"/>
            <w:tcBorders>
              <w:tl2br w:val="nil"/>
              <w:tr2bl w:val="nil"/>
            </w:tcBorders>
            <w:vAlign w:val="center"/>
          </w:tcPr>
          <w:p w14:paraId="5C9D2B9E">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FB7D445">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D8E7892">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132150F">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2D47E72">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B91A193">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3FD8F4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27A6F8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57</w:t>
            </w:r>
          </w:p>
        </w:tc>
        <w:tc>
          <w:tcPr>
            <w:tcW w:w="757" w:type="pct"/>
            <w:vMerge w:val="continue"/>
            <w:tcBorders>
              <w:tl2br w:val="nil"/>
              <w:tr2bl w:val="nil"/>
            </w:tcBorders>
            <w:vAlign w:val="center"/>
          </w:tcPr>
          <w:p w14:paraId="444ED1C7">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88E2889">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58490EA">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14EA6CC">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F5D0CE9">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3CB126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786AC1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FCA99D4">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58</w:t>
            </w:r>
          </w:p>
        </w:tc>
        <w:tc>
          <w:tcPr>
            <w:tcW w:w="757" w:type="pct"/>
            <w:vMerge w:val="continue"/>
            <w:tcBorders>
              <w:tl2br w:val="nil"/>
              <w:tr2bl w:val="nil"/>
            </w:tcBorders>
            <w:vAlign w:val="center"/>
          </w:tcPr>
          <w:p w14:paraId="2AC88B90">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F687983">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F75CF3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DA6571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77ACAF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03E0A4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FB1760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FEB9A9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59</w:t>
            </w:r>
          </w:p>
        </w:tc>
        <w:tc>
          <w:tcPr>
            <w:tcW w:w="757" w:type="pct"/>
            <w:vMerge w:val="continue"/>
            <w:tcBorders>
              <w:tl2br w:val="nil"/>
              <w:tr2bl w:val="nil"/>
            </w:tcBorders>
            <w:vAlign w:val="center"/>
          </w:tcPr>
          <w:p w14:paraId="628A3C7A">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499C5A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CDEDCA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25B78B3">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0EEA7B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849EA34">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8CCB1B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E256015">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60</w:t>
            </w:r>
          </w:p>
        </w:tc>
        <w:tc>
          <w:tcPr>
            <w:tcW w:w="757" w:type="pct"/>
            <w:vMerge w:val="continue"/>
            <w:tcBorders>
              <w:tl2br w:val="nil"/>
              <w:tr2bl w:val="nil"/>
            </w:tcBorders>
            <w:vAlign w:val="center"/>
          </w:tcPr>
          <w:p w14:paraId="0F32DA0A">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8292AA8">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E95B982">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B698384">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BC57A54">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7ECA0B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0133FE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69E4008">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61</w:t>
            </w:r>
          </w:p>
        </w:tc>
        <w:tc>
          <w:tcPr>
            <w:tcW w:w="757" w:type="pct"/>
            <w:vMerge w:val="continue"/>
            <w:tcBorders>
              <w:tl2br w:val="nil"/>
              <w:tr2bl w:val="nil"/>
            </w:tcBorders>
            <w:vAlign w:val="center"/>
          </w:tcPr>
          <w:p w14:paraId="19945438">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D1406C4">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464E317">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348A708">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11AF9D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BFD953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A88AC3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16D57BE7">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62</w:t>
            </w:r>
          </w:p>
        </w:tc>
        <w:tc>
          <w:tcPr>
            <w:tcW w:w="757" w:type="pct"/>
            <w:vMerge w:val="continue"/>
            <w:tcBorders>
              <w:tl2br w:val="nil"/>
              <w:tr2bl w:val="nil"/>
            </w:tcBorders>
            <w:vAlign w:val="center"/>
          </w:tcPr>
          <w:p w14:paraId="61AD7D0D">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B311640">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D6DB553">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0C56DF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1F814AB">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D645341">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2439C1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2179AC5">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63</w:t>
            </w:r>
          </w:p>
        </w:tc>
        <w:tc>
          <w:tcPr>
            <w:tcW w:w="757" w:type="pct"/>
            <w:vMerge w:val="continue"/>
            <w:tcBorders>
              <w:tl2br w:val="nil"/>
              <w:tr2bl w:val="nil"/>
            </w:tcBorders>
            <w:vAlign w:val="center"/>
          </w:tcPr>
          <w:p w14:paraId="69E82396">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EB4A0E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5D4E0D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C2AB930">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42D6A4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30A8813">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DD79C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10216F6">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64</w:t>
            </w:r>
          </w:p>
        </w:tc>
        <w:tc>
          <w:tcPr>
            <w:tcW w:w="757" w:type="pct"/>
            <w:vMerge w:val="continue"/>
            <w:tcBorders>
              <w:tl2br w:val="nil"/>
              <w:tr2bl w:val="nil"/>
            </w:tcBorders>
            <w:vAlign w:val="center"/>
          </w:tcPr>
          <w:p w14:paraId="25038E9E">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B86897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F9B9B86">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E6E6EF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C7B0607">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B82F4D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1BD8F5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9BB48C7">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65</w:t>
            </w:r>
          </w:p>
        </w:tc>
        <w:tc>
          <w:tcPr>
            <w:tcW w:w="757" w:type="pct"/>
            <w:vMerge w:val="continue"/>
            <w:tcBorders>
              <w:tl2br w:val="nil"/>
              <w:tr2bl w:val="nil"/>
            </w:tcBorders>
            <w:vAlign w:val="center"/>
          </w:tcPr>
          <w:p w14:paraId="5EA824A3">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FC1DC0C">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E4242B8">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E862A5C">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9A0FD9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439344D">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3DE78B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80AEA5E">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66</w:t>
            </w:r>
          </w:p>
        </w:tc>
        <w:tc>
          <w:tcPr>
            <w:tcW w:w="757" w:type="pct"/>
            <w:vMerge w:val="continue"/>
            <w:tcBorders>
              <w:tl2br w:val="nil"/>
              <w:tr2bl w:val="nil"/>
            </w:tcBorders>
            <w:vAlign w:val="center"/>
          </w:tcPr>
          <w:p w14:paraId="3E72079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8E086F5">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BA8171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420F3FC">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FAAAAE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4B33A91">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76676D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023281F">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67</w:t>
            </w:r>
          </w:p>
        </w:tc>
        <w:tc>
          <w:tcPr>
            <w:tcW w:w="757" w:type="pct"/>
            <w:vMerge w:val="continue"/>
            <w:tcBorders>
              <w:tl2br w:val="nil"/>
              <w:tr2bl w:val="nil"/>
            </w:tcBorders>
            <w:vAlign w:val="center"/>
          </w:tcPr>
          <w:p w14:paraId="1C9BBED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29B81B7">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6618A43">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D663FF6">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BCB0AD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DA4F841">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731A02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5228F96">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68</w:t>
            </w:r>
          </w:p>
        </w:tc>
        <w:tc>
          <w:tcPr>
            <w:tcW w:w="757" w:type="pct"/>
            <w:vMerge w:val="continue"/>
            <w:tcBorders>
              <w:tl2br w:val="nil"/>
              <w:tr2bl w:val="nil"/>
            </w:tcBorders>
            <w:vAlign w:val="center"/>
          </w:tcPr>
          <w:p w14:paraId="3B59306A">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90898F6">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3393BD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F5AC25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38640ED">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E54091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10A6DC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04537F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69</w:t>
            </w:r>
          </w:p>
        </w:tc>
        <w:tc>
          <w:tcPr>
            <w:tcW w:w="757" w:type="pct"/>
            <w:vMerge w:val="continue"/>
            <w:tcBorders>
              <w:tl2br w:val="nil"/>
              <w:tr2bl w:val="nil"/>
            </w:tcBorders>
            <w:vAlign w:val="center"/>
          </w:tcPr>
          <w:p w14:paraId="53B2B2A8">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10D753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A0FCAF1">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6FFEBB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FC83FEB">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8C54525">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8635D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5ADDFC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70</w:t>
            </w:r>
          </w:p>
        </w:tc>
        <w:tc>
          <w:tcPr>
            <w:tcW w:w="757" w:type="pct"/>
            <w:vMerge w:val="continue"/>
            <w:tcBorders>
              <w:tl2br w:val="nil"/>
              <w:tr2bl w:val="nil"/>
            </w:tcBorders>
            <w:vAlign w:val="center"/>
          </w:tcPr>
          <w:p w14:paraId="597CB016">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73E3C33">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5F096C1">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0457E5A">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81C9E0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A1CAC0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813FEC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D2E56A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71</w:t>
            </w:r>
          </w:p>
        </w:tc>
        <w:tc>
          <w:tcPr>
            <w:tcW w:w="757" w:type="pct"/>
            <w:vMerge w:val="continue"/>
            <w:tcBorders>
              <w:tl2br w:val="nil"/>
              <w:tr2bl w:val="nil"/>
            </w:tcBorders>
            <w:vAlign w:val="center"/>
          </w:tcPr>
          <w:p w14:paraId="5F39C73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5A069B0">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E9846C7">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EDA7D5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4CE81A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E924F3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80E11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E9CC47F">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72</w:t>
            </w:r>
          </w:p>
        </w:tc>
        <w:tc>
          <w:tcPr>
            <w:tcW w:w="757" w:type="pct"/>
            <w:vMerge w:val="continue"/>
            <w:tcBorders>
              <w:tl2br w:val="nil"/>
              <w:tr2bl w:val="nil"/>
            </w:tcBorders>
            <w:vAlign w:val="center"/>
          </w:tcPr>
          <w:p w14:paraId="78381A5E">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B7C75B5">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A805B9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5BBF5E1">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B0ED9FD">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8C438E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969DB2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D667556">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73</w:t>
            </w:r>
          </w:p>
        </w:tc>
        <w:tc>
          <w:tcPr>
            <w:tcW w:w="757" w:type="pct"/>
            <w:vMerge w:val="continue"/>
            <w:tcBorders>
              <w:tl2br w:val="nil"/>
              <w:tr2bl w:val="nil"/>
            </w:tcBorders>
            <w:vAlign w:val="center"/>
          </w:tcPr>
          <w:p w14:paraId="551C95E1">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1660FBA">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492D26B">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821110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1282587">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9BE8A0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3C013B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207BA8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74</w:t>
            </w:r>
          </w:p>
        </w:tc>
        <w:tc>
          <w:tcPr>
            <w:tcW w:w="757" w:type="pct"/>
            <w:vMerge w:val="continue"/>
            <w:tcBorders>
              <w:tl2br w:val="nil"/>
              <w:tr2bl w:val="nil"/>
            </w:tcBorders>
            <w:vAlign w:val="center"/>
          </w:tcPr>
          <w:p w14:paraId="4F4B57E4">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F6ADA62">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5BCE74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4C84EA4">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1C337D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40C4C2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3A820E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B349677">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75</w:t>
            </w:r>
          </w:p>
        </w:tc>
        <w:tc>
          <w:tcPr>
            <w:tcW w:w="757" w:type="pct"/>
            <w:vMerge w:val="continue"/>
            <w:tcBorders>
              <w:tl2br w:val="nil"/>
              <w:tr2bl w:val="nil"/>
            </w:tcBorders>
            <w:vAlign w:val="center"/>
          </w:tcPr>
          <w:p w14:paraId="76FC0116">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EF3213F">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1DE697C">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F1F22A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35F17E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83CA5C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AFD67D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DB5363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76</w:t>
            </w:r>
          </w:p>
        </w:tc>
        <w:tc>
          <w:tcPr>
            <w:tcW w:w="757" w:type="pct"/>
            <w:vMerge w:val="continue"/>
            <w:tcBorders>
              <w:tl2br w:val="nil"/>
              <w:tr2bl w:val="nil"/>
            </w:tcBorders>
            <w:vAlign w:val="center"/>
          </w:tcPr>
          <w:p w14:paraId="7D5F499F">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EAA05E8">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0A02BB6">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25A4C18">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FEC0F49">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347691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ED8246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D534AF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77</w:t>
            </w:r>
          </w:p>
        </w:tc>
        <w:tc>
          <w:tcPr>
            <w:tcW w:w="757" w:type="pct"/>
            <w:vMerge w:val="continue"/>
            <w:tcBorders>
              <w:tl2br w:val="nil"/>
              <w:tr2bl w:val="nil"/>
            </w:tcBorders>
            <w:vAlign w:val="center"/>
          </w:tcPr>
          <w:p w14:paraId="64FF1D0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8F7E42F">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6E2F2A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E64418F">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E0CF672">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A99275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62A61F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746135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78</w:t>
            </w:r>
          </w:p>
        </w:tc>
        <w:tc>
          <w:tcPr>
            <w:tcW w:w="757" w:type="pct"/>
            <w:vMerge w:val="continue"/>
            <w:tcBorders>
              <w:tl2br w:val="nil"/>
              <w:tr2bl w:val="nil"/>
            </w:tcBorders>
            <w:vAlign w:val="center"/>
          </w:tcPr>
          <w:p w14:paraId="6516E638">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5939F0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D5892D8">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2E09BED">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38A5A3D">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1A305B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C808B8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7C5ADF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79</w:t>
            </w:r>
          </w:p>
        </w:tc>
        <w:tc>
          <w:tcPr>
            <w:tcW w:w="757" w:type="pct"/>
            <w:vMerge w:val="continue"/>
            <w:tcBorders>
              <w:tl2br w:val="nil"/>
              <w:tr2bl w:val="nil"/>
            </w:tcBorders>
            <w:vAlign w:val="center"/>
          </w:tcPr>
          <w:p w14:paraId="343520F8">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785F333">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7F44716">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E2E475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EDE4D68">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34B71C3">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54E055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51AD38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80</w:t>
            </w:r>
          </w:p>
        </w:tc>
        <w:tc>
          <w:tcPr>
            <w:tcW w:w="757" w:type="pct"/>
            <w:vMerge w:val="continue"/>
            <w:tcBorders>
              <w:tl2br w:val="nil"/>
              <w:tr2bl w:val="nil"/>
            </w:tcBorders>
            <w:vAlign w:val="center"/>
          </w:tcPr>
          <w:p w14:paraId="7A88FC0E">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706F23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985D37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9661614">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6C378B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CF5F3D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EDD31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CFABD3E">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81</w:t>
            </w:r>
          </w:p>
        </w:tc>
        <w:tc>
          <w:tcPr>
            <w:tcW w:w="757" w:type="pct"/>
            <w:vMerge w:val="continue"/>
            <w:tcBorders>
              <w:tl2br w:val="nil"/>
              <w:tr2bl w:val="nil"/>
            </w:tcBorders>
            <w:vAlign w:val="center"/>
          </w:tcPr>
          <w:p w14:paraId="348A100E">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123F1B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ED5D583">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2C6C876">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9AD0FC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9E2250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164111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6AE801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82</w:t>
            </w:r>
          </w:p>
        </w:tc>
        <w:tc>
          <w:tcPr>
            <w:tcW w:w="757" w:type="pct"/>
            <w:vMerge w:val="continue"/>
            <w:tcBorders>
              <w:tl2br w:val="nil"/>
              <w:tr2bl w:val="nil"/>
            </w:tcBorders>
            <w:vAlign w:val="center"/>
          </w:tcPr>
          <w:p w14:paraId="722779E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E08798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AE1193A">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9A9B9CD">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523EA3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5DFD3B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51D00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5D74C9A">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83</w:t>
            </w:r>
          </w:p>
        </w:tc>
        <w:tc>
          <w:tcPr>
            <w:tcW w:w="757" w:type="pct"/>
            <w:vMerge w:val="continue"/>
            <w:tcBorders>
              <w:tl2br w:val="nil"/>
              <w:tr2bl w:val="nil"/>
            </w:tcBorders>
            <w:vAlign w:val="center"/>
          </w:tcPr>
          <w:p w14:paraId="346EA02E">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151E42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0447E6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4A996B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1DE98D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531E6D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6E323F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6BDEC3F">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84</w:t>
            </w:r>
          </w:p>
        </w:tc>
        <w:tc>
          <w:tcPr>
            <w:tcW w:w="757" w:type="pct"/>
            <w:vMerge w:val="continue"/>
            <w:tcBorders>
              <w:tl2br w:val="nil"/>
              <w:tr2bl w:val="nil"/>
            </w:tcBorders>
            <w:vAlign w:val="center"/>
          </w:tcPr>
          <w:p w14:paraId="5A99A07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F80DCDA">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9404662">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3963864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FEB368B">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01EA818">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630B0D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15EED47">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85</w:t>
            </w:r>
          </w:p>
        </w:tc>
        <w:tc>
          <w:tcPr>
            <w:tcW w:w="757" w:type="pct"/>
            <w:vMerge w:val="continue"/>
            <w:tcBorders>
              <w:tl2br w:val="nil"/>
              <w:tr2bl w:val="nil"/>
            </w:tcBorders>
            <w:vAlign w:val="center"/>
          </w:tcPr>
          <w:p w14:paraId="2641DAC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F7D6B55">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070673B">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1652170">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4A0359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71106E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795A72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963B7EE">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86</w:t>
            </w:r>
          </w:p>
        </w:tc>
        <w:tc>
          <w:tcPr>
            <w:tcW w:w="757" w:type="pct"/>
            <w:vMerge w:val="continue"/>
            <w:tcBorders>
              <w:tl2br w:val="nil"/>
              <w:tr2bl w:val="nil"/>
            </w:tcBorders>
            <w:vAlign w:val="center"/>
          </w:tcPr>
          <w:p w14:paraId="4AC45F3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940535A">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36E2EF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F1EDCBA">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D05DF47">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0CF661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073751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78586A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87</w:t>
            </w:r>
          </w:p>
        </w:tc>
        <w:tc>
          <w:tcPr>
            <w:tcW w:w="757" w:type="pct"/>
            <w:vMerge w:val="continue"/>
            <w:tcBorders>
              <w:tl2br w:val="nil"/>
              <w:tr2bl w:val="nil"/>
            </w:tcBorders>
            <w:vAlign w:val="center"/>
          </w:tcPr>
          <w:p w14:paraId="1C9CC7D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5D1A3E8">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BCD2A5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02CD11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6DAF44D">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7D211C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783B52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19BA0974">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88</w:t>
            </w:r>
          </w:p>
        </w:tc>
        <w:tc>
          <w:tcPr>
            <w:tcW w:w="757" w:type="pct"/>
            <w:vMerge w:val="continue"/>
            <w:tcBorders>
              <w:tl2br w:val="nil"/>
              <w:tr2bl w:val="nil"/>
            </w:tcBorders>
            <w:vAlign w:val="center"/>
          </w:tcPr>
          <w:p w14:paraId="3E6CB4BF">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1F1157F">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FB8AEC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3A3FF30">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F43E8A9">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22CC14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B952D1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E62E4F1">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89</w:t>
            </w:r>
          </w:p>
        </w:tc>
        <w:tc>
          <w:tcPr>
            <w:tcW w:w="757" w:type="pct"/>
            <w:vMerge w:val="continue"/>
            <w:tcBorders>
              <w:tl2br w:val="nil"/>
              <w:tr2bl w:val="nil"/>
            </w:tcBorders>
            <w:vAlign w:val="center"/>
          </w:tcPr>
          <w:p w14:paraId="5DDD0D04">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70DB755">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81E5DF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294B4A3">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D501FCC">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142102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6511D6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D8F962E">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90</w:t>
            </w:r>
          </w:p>
        </w:tc>
        <w:tc>
          <w:tcPr>
            <w:tcW w:w="757" w:type="pct"/>
            <w:vMerge w:val="continue"/>
            <w:tcBorders>
              <w:tl2br w:val="nil"/>
              <w:tr2bl w:val="nil"/>
            </w:tcBorders>
            <w:vAlign w:val="center"/>
          </w:tcPr>
          <w:p w14:paraId="584670A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E09731C">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55CCBC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F15CD41">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1335326">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CFF0F1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2577F6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6D14C5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91</w:t>
            </w:r>
          </w:p>
        </w:tc>
        <w:tc>
          <w:tcPr>
            <w:tcW w:w="757" w:type="pct"/>
            <w:vMerge w:val="continue"/>
            <w:tcBorders>
              <w:tl2br w:val="nil"/>
              <w:tr2bl w:val="nil"/>
            </w:tcBorders>
            <w:vAlign w:val="center"/>
          </w:tcPr>
          <w:p w14:paraId="2D49A4FC">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0713CA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5FE3B1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A0DEDC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FC65ABD">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8D7193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9EDC73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E507B3C">
            <w:pPr>
              <w:widowControl/>
              <w:spacing w:line="240" w:lineRule="auto"/>
              <w:ind w:firstLine="0" w:firstLineChars="0"/>
              <w:jc w:val="center"/>
              <w:rPr>
                <w:color w:val="auto"/>
                <w:kern w:val="0"/>
                <w:sz w:val="21"/>
                <w:szCs w:val="21"/>
              </w:rPr>
            </w:pPr>
            <w:r>
              <w:rPr>
                <w:rFonts w:hint="eastAsia"/>
                <w:color w:val="auto"/>
                <w:kern w:val="0"/>
                <w:sz w:val="21"/>
                <w:szCs w:val="21"/>
              </w:rPr>
              <w:t>92</w:t>
            </w:r>
          </w:p>
        </w:tc>
        <w:tc>
          <w:tcPr>
            <w:tcW w:w="757" w:type="pct"/>
            <w:vMerge w:val="continue"/>
            <w:tcBorders>
              <w:tl2br w:val="nil"/>
              <w:tr2bl w:val="nil"/>
            </w:tcBorders>
            <w:vAlign w:val="center"/>
          </w:tcPr>
          <w:p w14:paraId="4B5F1AF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ED55F26">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6800F4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163033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611E54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B0ADE1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61DBCD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5459793">
            <w:pPr>
              <w:widowControl/>
              <w:spacing w:line="240" w:lineRule="auto"/>
              <w:ind w:firstLine="0" w:firstLineChars="0"/>
              <w:jc w:val="center"/>
              <w:rPr>
                <w:color w:val="auto"/>
                <w:kern w:val="0"/>
                <w:sz w:val="21"/>
                <w:szCs w:val="21"/>
              </w:rPr>
            </w:pPr>
            <w:r>
              <w:rPr>
                <w:rFonts w:hint="eastAsia"/>
                <w:color w:val="auto"/>
                <w:kern w:val="0"/>
                <w:sz w:val="21"/>
                <w:szCs w:val="21"/>
              </w:rPr>
              <w:t>93</w:t>
            </w:r>
          </w:p>
        </w:tc>
        <w:tc>
          <w:tcPr>
            <w:tcW w:w="757" w:type="pct"/>
            <w:vMerge w:val="continue"/>
            <w:tcBorders>
              <w:tl2br w:val="nil"/>
              <w:tr2bl w:val="nil"/>
            </w:tcBorders>
            <w:vAlign w:val="center"/>
          </w:tcPr>
          <w:p w14:paraId="7FE26260">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5460C64">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A6F9716">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69097E1">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AF56356">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91FC90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761FB2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FF755A3">
            <w:pPr>
              <w:widowControl/>
              <w:spacing w:line="240" w:lineRule="auto"/>
              <w:ind w:firstLine="0" w:firstLineChars="0"/>
              <w:jc w:val="center"/>
              <w:rPr>
                <w:color w:val="auto"/>
                <w:kern w:val="0"/>
                <w:sz w:val="21"/>
                <w:szCs w:val="21"/>
              </w:rPr>
            </w:pPr>
            <w:r>
              <w:rPr>
                <w:rFonts w:hint="eastAsia"/>
                <w:color w:val="auto"/>
                <w:kern w:val="0"/>
                <w:sz w:val="21"/>
                <w:szCs w:val="21"/>
              </w:rPr>
              <w:t>94</w:t>
            </w:r>
          </w:p>
        </w:tc>
        <w:tc>
          <w:tcPr>
            <w:tcW w:w="757" w:type="pct"/>
            <w:vMerge w:val="continue"/>
            <w:tcBorders>
              <w:tl2br w:val="nil"/>
              <w:tr2bl w:val="nil"/>
            </w:tcBorders>
            <w:vAlign w:val="center"/>
          </w:tcPr>
          <w:p w14:paraId="54CFDCDF">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F8C624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EB8A03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3EDE2C3A">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F72EB2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BCD627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D012B7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BEFF2DD">
            <w:pPr>
              <w:widowControl/>
              <w:spacing w:line="240" w:lineRule="auto"/>
              <w:ind w:firstLine="0" w:firstLineChars="0"/>
              <w:jc w:val="center"/>
              <w:rPr>
                <w:color w:val="auto"/>
                <w:kern w:val="0"/>
                <w:sz w:val="21"/>
                <w:szCs w:val="21"/>
              </w:rPr>
            </w:pPr>
            <w:r>
              <w:rPr>
                <w:rFonts w:hint="eastAsia"/>
                <w:color w:val="auto"/>
                <w:kern w:val="0"/>
                <w:sz w:val="21"/>
                <w:szCs w:val="21"/>
              </w:rPr>
              <w:t>95</w:t>
            </w:r>
          </w:p>
        </w:tc>
        <w:tc>
          <w:tcPr>
            <w:tcW w:w="757" w:type="pct"/>
            <w:vMerge w:val="continue"/>
            <w:tcBorders>
              <w:tl2br w:val="nil"/>
              <w:tr2bl w:val="nil"/>
            </w:tcBorders>
            <w:vAlign w:val="center"/>
          </w:tcPr>
          <w:p w14:paraId="17319AA1">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6F6E003">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A69B902">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5FB7476">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9965885">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510DFED">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4EA2B1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3501E49">
            <w:pPr>
              <w:widowControl/>
              <w:spacing w:line="240" w:lineRule="auto"/>
              <w:ind w:firstLine="0" w:firstLineChars="0"/>
              <w:jc w:val="center"/>
              <w:rPr>
                <w:color w:val="auto"/>
                <w:kern w:val="0"/>
                <w:sz w:val="21"/>
                <w:szCs w:val="21"/>
              </w:rPr>
            </w:pPr>
            <w:r>
              <w:rPr>
                <w:rFonts w:hint="eastAsia"/>
                <w:color w:val="auto"/>
                <w:kern w:val="0"/>
                <w:sz w:val="21"/>
                <w:szCs w:val="21"/>
              </w:rPr>
              <w:t>96</w:t>
            </w:r>
          </w:p>
        </w:tc>
        <w:tc>
          <w:tcPr>
            <w:tcW w:w="757" w:type="pct"/>
            <w:vMerge w:val="continue"/>
            <w:tcBorders>
              <w:tl2br w:val="nil"/>
              <w:tr2bl w:val="nil"/>
            </w:tcBorders>
            <w:vAlign w:val="center"/>
          </w:tcPr>
          <w:p w14:paraId="0296AD5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ED81B3A">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53619A6">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B5C5028">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2F57A49">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3FCFBE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BF2ADC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B5F5DA1">
            <w:pPr>
              <w:widowControl/>
              <w:spacing w:line="240" w:lineRule="auto"/>
              <w:ind w:firstLine="0" w:firstLineChars="0"/>
              <w:jc w:val="center"/>
              <w:rPr>
                <w:color w:val="auto"/>
                <w:kern w:val="0"/>
                <w:sz w:val="21"/>
                <w:szCs w:val="21"/>
              </w:rPr>
            </w:pPr>
            <w:r>
              <w:rPr>
                <w:rFonts w:hint="eastAsia"/>
                <w:color w:val="auto"/>
                <w:kern w:val="0"/>
                <w:sz w:val="21"/>
                <w:szCs w:val="21"/>
              </w:rPr>
              <w:t>97</w:t>
            </w:r>
          </w:p>
        </w:tc>
        <w:tc>
          <w:tcPr>
            <w:tcW w:w="757" w:type="pct"/>
            <w:vMerge w:val="continue"/>
            <w:tcBorders>
              <w:tl2br w:val="nil"/>
              <w:tr2bl w:val="nil"/>
            </w:tcBorders>
            <w:vAlign w:val="center"/>
          </w:tcPr>
          <w:p w14:paraId="27F0E840">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2B1E61C">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4DD22C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68994C7">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A67D448">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242498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57480D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82EB8D5">
            <w:pPr>
              <w:widowControl/>
              <w:spacing w:line="240" w:lineRule="auto"/>
              <w:ind w:firstLine="0" w:firstLineChars="0"/>
              <w:jc w:val="center"/>
              <w:rPr>
                <w:color w:val="auto"/>
                <w:kern w:val="0"/>
                <w:sz w:val="21"/>
                <w:szCs w:val="21"/>
              </w:rPr>
            </w:pPr>
            <w:r>
              <w:rPr>
                <w:rFonts w:hint="eastAsia"/>
                <w:color w:val="auto"/>
                <w:kern w:val="0"/>
                <w:sz w:val="21"/>
                <w:szCs w:val="21"/>
              </w:rPr>
              <w:t>98</w:t>
            </w:r>
          </w:p>
        </w:tc>
        <w:tc>
          <w:tcPr>
            <w:tcW w:w="757" w:type="pct"/>
            <w:vMerge w:val="continue"/>
            <w:tcBorders>
              <w:tl2br w:val="nil"/>
              <w:tr2bl w:val="nil"/>
            </w:tcBorders>
            <w:vAlign w:val="center"/>
          </w:tcPr>
          <w:p w14:paraId="58916677">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86A6B4B">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CB20F7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A85FD6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4D5857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B4A521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3CA224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43F9A3A">
            <w:pPr>
              <w:widowControl/>
              <w:spacing w:line="240" w:lineRule="auto"/>
              <w:ind w:firstLine="0" w:firstLineChars="0"/>
              <w:jc w:val="center"/>
              <w:rPr>
                <w:color w:val="auto"/>
                <w:kern w:val="0"/>
                <w:sz w:val="21"/>
                <w:szCs w:val="21"/>
              </w:rPr>
            </w:pPr>
            <w:r>
              <w:rPr>
                <w:rFonts w:hint="eastAsia"/>
                <w:color w:val="auto"/>
                <w:kern w:val="0"/>
                <w:sz w:val="21"/>
                <w:szCs w:val="21"/>
              </w:rPr>
              <w:t>99</w:t>
            </w:r>
          </w:p>
        </w:tc>
        <w:tc>
          <w:tcPr>
            <w:tcW w:w="757" w:type="pct"/>
            <w:vMerge w:val="continue"/>
            <w:tcBorders>
              <w:tl2br w:val="nil"/>
              <w:tr2bl w:val="nil"/>
            </w:tcBorders>
            <w:vAlign w:val="center"/>
          </w:tcPr>
          <w:p w14:paraId="20FDDE23">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32EA3A8">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DC7B69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BDBDBA0">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69462B7">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ACE635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4E5CCE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3D8FA11">
            <w:pPr>
              <w:widowControl/>
              <w:spacing w:line="240" w:lineRule="auto"/>
              <w:ind w:firstLine="0" w:firstLineChars="0"/>
              <w:jc w:val="center"/>
              <w:rPr>
                <w:color w:val="auto"/>
                <w:kern w:val="0"/>
                <w:sz w:val="21"/>
                <w:szCs w:val="21"/>
              </w:rPr>
            </w:pPr>
            <w:r>
              <w:rPr>
                <w:rFonts w:hint="eastAsia"/>
                <w:color w:val="auto"/>
                <w:kern w:val="0"/>
                <w:sz w:val="21"/>
                <w:szCs w:val="21"/>
              </w:rPr>
              <w:t>100</w:t>
            </w:r>
          </w:p>
        </w:tc>
        <w:tc>
          <w:tcPr>
            <w:tcW w:w="757" w:type="pct"/>
            <w:vMerge w:val="continue"/>
            <w:tcBorders>
              <w:tl2br w:val="nil"/>
              <w:tr2bl w:val="nil"/>
            </w:tcBorders>
            <w:vAlign w:val="center"/>
          </w:tcPr>
          <w:p w14:paraId="068D6F1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D948420">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878B7C8">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E117D27">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8840A88">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D8F4A2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EDC2EF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1C346AAA">
            <w:pPr>
              <w:widowControl/>
              <w:spacing w:line="240" w:lineRule="auto"/>
              <w:ind w:firstLine="0" w:firstLineChars="0"/>
              <w:jc w:val="center"/>
              <w:rPr>
                <w:color w:val="auto"/>
                <w:kern w:val="0"/>
                <w:sz w:val="21"/>
                <w:szCs w:val="21"/>
              </w:rPr>
            </w:pPr>
            <w:r>
              <w:rPr>
                <w:rFonts w:hint="eastAsia"/>
                <w:color w:val="auto"/>
                <w:kern w:val="0"/>
                <w:sz w:val="21"/>
                <w:szCs w:val="21"/>
              </w:rPr>
              <w:t>101</w:t>
            </w:r>
          </w:p>
        </w:tc>
        <w:tc>
          <w:tcPr>
            <w:tcW w:w="757" w:type="pct"/>
            <w:vMerge w:val="continue"/>
            <w:tcBorders>
              <w:tl2br w:val="nil"/>
              <w:tr2bl w:val="nil"/>
            </w:tcBorders>
            <w:vAlign w:val="center"/>
          </w:tcPr>
          <w:p w14:paraId="0C262C3A">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0C211B0">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A7A2CA1">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161E94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B7948C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E72528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912980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651715A">
            <w:pPr>
              <w:widowControl/>
              <w:spacing w:line="240" w:lineRule="auto"/>
              <w:ind w:firstLine="0" w:firstLineChars="0"/>
              <w:jc w:val="center"/>
              <w:rPr>
                <w:color w:val="auto"/>
                <w:kern w:val="0"/>
                <w:sz w:val="21"/>
                <w:szCs w:val="21"/>
              </w:rPr>
            </w:pPr>
            <w:r>
              <w:rPr>
                <w:rFonts w:hint="eastAsia"/>
                <w:color w:val="auto"/>
                <w:kern w:val="0"/>
                <w:sz w:val="21"/>
                <w:szCs w:val="21"/>
              </w:rPr>
              <w:t>102</w:t>
            </w:r>
          </w:p>
        </w:tc>
        <w:tc>
          <w:tcPr>
            <w:tcW w:w="757" w:type="pct"/>
            <w:vMerge w:val="continue"/>
            <w:tcBorders>
              <w:tl2br w:val="nil"/>
              <w:tr2bl w:val="nil"/>
            </w:tcBorders>
            <w:vAlign w:val="center"/>
          </w:tcPr>
          <w:p w14:paraId="5435276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F181AF7">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DF6B91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F739CC8">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7708653">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E40109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6F9115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3E73531">
            <w:pPr>
              <w:widowControl/>
              <w:spacing w:line="240" w:lineRule="auto"/>
              <w:ind w:firstLine="0" w:firstLineChars="0"/>
              <w:jc w:val="center"/>
              <w:rPr>
                <w:color w:val="auto"/>
                <w:kern w:val="0"/>
                <w:sz w:val="21"/>
                <w:szCs w:val="21"/>
              </w:rPr>
            </w:pPr>
            <w:r>
              <w:rPr>
                <w:rFonts w:hint="eastAsia"/>
                <w:color w:val="auto"/>
                <w:kern w:val="0"/>
                <w:sz w:val="21"/>
                <w:szCs w:val="21"/>
              </w:rPr>
              <w:t>103</w:t>
            </w:r>
          </w:p>
        </w:tc>
        <w:tc>
          <w:tcPr>
            <w:tcW w:w="757" w:type="pct"/>
            <w:vMerge w:val="continue"/>
            <w:tcBorders>
              <w:tl2br w:val="nil"/>
              <w:tr2bl w:val="nil"/>
            </w:tcBorders>
            <w:vAlign w:val="center"/>
          </w:tcPr>
          <w:p w14:paraId="171CB11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C966C9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130D88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69E2DB0">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C435875">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3EBF49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7C3677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8F68D45">
            <w:pPr>
              <w:widowControl/>
              <w:spacing w:line="240" w:lineRule="auto"/>
              <w:ind w:firstLine="0" w:firstLineChars="0"/>
              <w:jc w:val="center"/>
              <w:rPr>
                <w:color w:val="auto"/>
                <w:kern w:val="0"/>
                <w:sz w:val="21"/>
                <w:szCs w:val="21"/>
              </w:rPr>
            </w:pPr>
            <w:r>
              <w:rPr>
                <w:rFonts w:hint="eastAsia"/>
                <w:color w:val="auto"/>
                <w:kern w:val="0"/>
                <w:sz w:val="21"/>
                <w:szCs w:val="21"/>
              </w:rPr>
              <w:t>104</w:t>
            </w:r>
          </w:p>
        </w:tc>
        <w:tc>
          <w:tcPr>
            <w:tcW w:w="757" w:type="pct"/>
            <w:vMerge w:val="continue"/>
            <w:tcBorders>
              <w:tl2br w:val="nil"/>
              <w:tr2bl w:val="nil"/>
            </w:tcBorders>
            <w:vAlign w:val="center"/>
          </w:tcPr>
          <w:p w14:paraId="0FD6C55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EB6D17F">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FB3369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5FB0C7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6DB0EE4">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988FF1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B29E8E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43FCA84">
            <w:pPr>
              <w:widowControl/>
              <w:spacing w:line="240" w:lineRule="auto"/>
              <w:ind w:firstLine="0" w:firstLineChars="0"/>
              <w:jc w:val="center"/>
              <w:rPr>
                <w:color w:val="auto"/>
                <w:kern w:val="0"/>
                <w:sz w:val="21"/>
                <w:szCs w:val="21"/>
              </w:rPr>
            </w:pPr>
            <w:r>
              <w:rPr>
                <w:rFonts w:hint="eastAsia"/>
                <w:color w:val="auto"/>
                <w:kern w:val="0"/>
                <w:sz w:val="21"/>
                <w:szCs w:val="21"/>
              </w:rPr>
              <w:t>105</w:t>
            </w:r>
          </w:p>
        </w:tc>
        <w:tc>
          <w:tcPr>
            <w:tcW w:w="757" w:type="pct"/>
            <w:vMerge w:val="continue"/>
            <w:tcBorders>
              <w:tl2br w:val="nil"/>
              <w:tr2bl w:val="nil"/>
            </w:tcBorders>
            <w:vAlign w:val="center"/>
          </w:tcPr>
          <w:p w14:paraId="050C2ABD">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E578CC6">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DD6E218">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98CF66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32065EE">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796C8A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B6033B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29DA1E0">
            <w:pPr>
              <w:widowControl/>
              <w:spacing w:line="240" w:lineRule="auto"/>
              <w:ind w:firstLine="0" w:firstLineChars="0"/>
              <w:jc w:val="center"/>
              <w:rPr>
                <w:color w:val="auto"/>
                <w:kern w:val="0"/>
                <w:sz w:val="21"/>
                <w:szCs w:val="21"/>
              </w:rPr>
            </w:pPr>
            <w:r>
              <w:rPr>
                <w:rFonts w:hint="eastAsia"/>
                <w:color w:val="auto"/>
                <w:kern w:val="0"/>
                <w:sz w:val="21"/>
                <w:szCs w:val="21"/>
              </w:rPr>
              <w:t>106</w:t>
            </w:r>
          </w:p>
        </w:tc>
        <w:tc>
          <w:tcPr>
            <w:tcW w:w="757" w:type="pct"/>
            <w:vMerge w:val="continue"/>
            <w:tcBorders>
              <w:tl2br w:val="nil"/>
              <w:tr2bl w:val="nil"/>
            </w:tcBorders>
            <w:vAlign w:val="center"/>
          </w:tcPr>
          <w:p w14:paraId="1705D55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1E5CE50">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77BCEC8">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5409103">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351C0F4">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F86FE9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934CC4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DB703A1">
            <w:pPr>
              <w:widowControl/>
              <w:spacing w:line="240" w:lineRule="auto"/>
              <w:ind w:firstLine="0" w:firstLineChars="0"/>
              <w:jc w:val="center"/>
              <w:rPr>
                <w:color w:val="auto"/>
                <w:kern w:val="0"/>
                <w:sz w:val="21"/>
                <w:szCs w:val="21"/>
              </w:rPr>
            </w:pPr>
            <w:r>
              <w:rPr>
                <w:rFonts w:hint="eastAsia"/>
                <w:color w:val="auto"/>
                <w:kern w:val="0"/>
                <w:sz w:val="21"/>
                <w:szCs w:val="21"/>
              </w:rPr>
              <w:t>107</w:t>
            </w:r>
          </w:p>
        </w:tc>
        <w:tc>
          <w:tcPr>
            <w:tcW w:w="757" w:type="pct"/>
            <w:vMerge w:val="continue"/>
            <w:tcBorders>
              <w:tl2br w:val="nil"/>
              <w:tr2bl w:val="nil"/>
            </w:tcBorders>
            <w:vAlign w:val="center"/>
          </w:tcPr>
          <w:p w14:paraId="21028D9D">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4A5EFD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015885F">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09796BC">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1B0093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D6D2F2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F15610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03D32A0">
            <w:pPr>
              <w:widowControl/>
              <w:spacing w:line="240" w:lineRule="auto"/>
              <w:ind w:firstLine="0" w:firstLineChars="0"/>
              <w:jc w:val="center"/>
              <w:rPr>
                <w:color w:val="auto"/>
                <w:kern w:val="0"/>
                <w:sz w:val="21"/>
                <w:szCs w:val="21"/>
              </w:rPr>
            </w:pPr>
            <w:r>
              <w:rPr>
                <w:rFonts w:hint="eastAsia"/>
                <w:color w:val="auto"/>
                <w:kern w:val="0"/>
                <w:sz w:val="21"/>
                <w:szCs w:val="21"/>
              </w:rPr>
              <w:t>108</w:t>
            </w:r>
          </w:p>
        </w:tc>
        <w:tc>
          <w:tcPr>
            <w:tcW w:w="757" w:type="pct"/>
            <w:vMerge w:val="continue"/>
            <w:tcBorders>
              <w:tl2br w:val="nil"/>
              <w:tr2bl w:val="nil"/>
            </w:tcBorders>
            <w:vAlign w:val="center"/>
          </w:tcPr>
          <w:p w14:paraId="22CC802A">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838008F">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266E68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028B143">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4A35D1A5">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93D43E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CF2454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522FC96">
            <w:pPr>
              <w:widowControl/>
              <w:spacing w:line="240" w:lineRule="auto"/>
              <w:ind w:firstLine="0" w:firstLineChars="0"/>
              <w:jc w:val="center"/>
              <w:rPr>
                <w:color w:val="auto"/>
                <w:kern w:val="0"/>
                <w:sz w:val="21"/>
                <w:szCs w:val="21"/>
              </w:rPr>
            </w:pPr>
            <w:r>
              <w:rPr>
                <w:rFonts w:hint="eastAsia"/>
                <w:color w:val="auto"/>
                <w:kern w:val="0"/>
                <w:sz w:val="21"/>
                <w:szCs w:val="21"/>
              </w:rPr>
              <w:t>109</w:t>
            </w:r>
          </w:p>
        </w:tc>
        <w:tc>
          <w:tcPr>
            <w:tcW w:w="757" w:type="pct"/>
            <w:vMerge w:val="continue"/>
            <w:tcBorders>
              <w:tl2br w:val="nil"/>
              <w:tr2bl w:val="nil"/>
            </w:tcBorders>
            <w:vAlign w:val="center"/>
          </w:tcPr>
          <w:p w14:paraId="002C7BB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78E4848">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51A4AB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B7D0EB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B7EC3E8">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8DFA43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3D574F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BE8EB4C">
            <w:pPr>
              <w:widowControl/>
              <w:spacing w:line="240" w:lineRule="auto"/>
              <w:ind w:firstLine="0" w:firstLineChars="0"/>
              <w:jc w:val="center"/>
              <w:rPr>
                <w:color w:val="auto"/>
                <w:kern w:val="0"/>
                <w:sz w:val="21"/>
                <w:szCs w:val="21"/>
              </w:rPr>
            </w:pPr>
            <w:r>
              <w:rPr>
                <w:rFonts w:hint="eastAsia"/>
                <w:color w:val="auto"/>
                <w:kern w:val="0"/>
                <w:sz w:val="21"/>
                <w:szCs w:val="21"/>
              </w:rPr>
              <w:t>110</w:t>
            </w:r>
          </w:p>
        </w:tc>
        <w:tc>
          <w:tcPr>
            <w:tcW w:w="757" w:type="pct"/>
            <w:vMerge w:val="continue"/>
            <w:tcBorders>
              <w:tl2br w:val="nil"/>
              <w:tr2bl w:val="nil"/>
            </w:tcBorders>
            <w:vAlign w:val="center"/>
          </w:tcPr>
          <w:p w14:paraId="6DF9CF8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EE4C7DB">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929DD93">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81CB13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DCD230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2A4B6B3">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4A47D3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A84B667">
            <w:pPr>
              <w:widowControl/>
              <w:spacing w:line="240" w:lineRule="auto"/>
              <w:ind w:firstLine="0" w:firstLineChars="0"/>
              <w:jc w:val="center"/>
              <w:rPr>
                <w:color w:val="auto"/>
                <w:kern w:val="0"/>
                <w:sz w:val="21"/>
                <w:szCs w:val="21"/>
              </w:rPr>
            </w:pPr>
            <w:r>
              <w:rPr>
                <w:rFonts w:hint="eastAsia"/>
                <w:color w:val="auto"/>
                <w:kern w:val="0"/>
                <w:sz w:val="21"/>
                <w:szCs w:val="21"/>
              </w:rPr>
              <w:t>111</w:t>
            </w:r>
          </w:p>
        </w:tc>
        <w:tc>
          <w:tcPr>
            <w:tcW w:w="757" w:type="pct"/>
            <w:vMerge w:val="continue"/>
            <w:tcBorders>
              <w:tl2br w:val="nil"/>
              <w:tr2bl w:val="nil"/>
            </w:tcBorders>
            <w:vAlign w:val="center"/>
          </w:tcPr>
          <w:p w14:paraId="4C028DE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3D45197">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4D7BE6B">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5F87C9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F70D2B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B25CBB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C4A028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1F047AA9">
            <w:pPr>
              <w:widowControl/>
              <w:spacing w:line="240" w:lineRule="auto"/>
              <w:ind w:firstLine="0" w:firstLineChars="0"/>
              <w:jc w:val="center"/>
              <w:rPr>
                <w:color w:val="auto"/>
                <w:kern w:val="0"/>
                <w:sz w:val="21"/>
                <w:szCs w:val="21"/>
              </w:rPr>
            </w:pPr>
            <w:r>
              <w:rPr>
                <w:rFonts w:hint="eastAsia"/>
                <w:color w:val="auto"/>
                <w:kern w:val="0"/>
                <w:sz w:val="21"/>
                <w:szCs w:val="21"/>
              </w:rPr>
              <w:t>112</w:t>
            </w:r>
          </w:p>
        </w:tc>
        <w:tc>
          <w:tcPr>
            <w:tcW w:w="757" w:type="pct"/>
            <w:vMerge w:val="continue"/>
            <w:tcBorders>
              <w:tl2br w:val="nil"/>
              <w:tr2bl w:val="nil"/>
            </w:tcBorders>
            <w:vAlign w:val="center"/>
          </w:tcPr>
          <w:p w14:paraId="639AE56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A9AC153">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074A8A3">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E48DF0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FBC2475">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9BB14C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AE1559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8638629">
            <w:pPr>
              <w:widowControl/>
              <w:spacing w:line="240" w:lineRule="auto"/>
              <w:ind w:firstLine="0" w:firstLineChars="0"/>
              <w:jc w:val="center"/>
              <w:rPr>
                <w:color w:val="auto"/>
                <w:kern w:val="0"/>
                <w:sz w:val="21"/>
                <w:szCs w:val="21"/>
              </w:rPr>
            </w:pPr>
            <w:r>
              <w:rPr>
                <w:rFonts w:hint="eastAsia"/>
                <w:color w:val="auto"/>
                <w:kern w:val="0"/>
                <w:sz w:val="21"/>
                <w:szCs w:val="21"/>
              </w:rPr>
              <w:t>113</w:t>
            </w:r>
          </w:p>
        </w:tc>
        <w:tc>
          <w:tcPr>
            <w:tcW w:w="757" w:type="pct"/>
            <w:vMerge w:val="continue"/>
            <w:tcBorders>
              <w:tl2br w:val="nil"/>
              <w:tr2bl w:val="nil"/>
            </w:tcBorders>
            <w:vAlign w:val="center"/>
          </w:tcPr>
          <w:p w14:paraId="518EC0F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B60F6E6">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528117B">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B4483D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77D80066">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8F9AFED">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590639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327D769">
            <w:pPr>
              <w:widowControl/>
              <w:spacing w:line="240" w:lineRule="auto"/>
              <w:ind w:firstLine="0" w:firstLineChars="0"/>
              <w:jc w:val="center"/>
              <w:rPr>
                <w:color w:val="auto"/>
                <w:kern w:val="0"/>
                <w:sz w:val="21"/>
                <w:szCs w:val="21"/>
              </w:rPr>
            </w:pPr>
            <w:r>
              <w:rPr>
                <w:rFonts w:hint="eastAsia"/>
                <w:color w:val="auto"/>
                <w:kern w:val="0"/>
                <w:sz w:val="21"/>
                <w:szCs w:val="21"/>
              </w:rPr>
              <w:t>114</w:t>
            </w:r>
          </w:p>
        </w:tc>
        <w:tc>
          <w:tcPr>
            <w:tcW w:w="757" w:type="pct"/>
            <w:vMerge w:val="continue"/>
            <w:tcBorders>
              <w:tl2br w:val="nil"/>
              <w:tr2bl w:val="nil"/>
            </w:tcBorders>
            <w:vAlign w:val="center"/>
          </w:tcPr>
          <w:p w14:paraId="430194B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F4827BA">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2C0C35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3CAB32A1">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6D47421">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11A459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4A5DDD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D419DAA">
            <w:pPr>
              <w:widowControl/>
              <w:spacing w:line="240" w:lineRule="auto"/>
              <w:ind w:firstLine="0" w:firstLineChars="0"/>
              <w:jc w:val="center"/>
              <w:rPr>
                <w:color w:val="auto"/>
                <w:kern w:val="0"/>
                <w:sz w:val="21"/>
                <w:szCs w:val="21"/>
              </w:rPr>
            </w:pPr>
            <w:r>
              <w:rPr>
                <w:rFonts w:hint="eastAsia"/>
                <w:color w:val="auto"/>
                <w:kern w:val="0"/>
                <w:sz w:val="21"/>
                <w:szCs w:val="21"/>
              </w:rPr>
              <w:t>115</w:t>
            </w:r>
          </w:p>
        </w:tc>
        <w:tc>
          <w:tcPr>
            <w:tcW w:w="757" w:type="pct"/>
            <w:vMerge w:val="continue"/>
            <w:tcBorders>
              <w:tl2br w:val="nil"/>
              <w:tr2bl w:val="nil"/>
            </w:tcBorders>
            <w:vAlign w:val="center"/>
          </w:tcPr>
          <w:p w14:paraId="61FF168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D62542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BF557D1">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D4BB22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E40F174">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5EBBAD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8046A8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82E46D6">
            <w:pPr>
              <w:widowControl/>
              <w:spacing w:line="240" w:lineRule="auto"/>
              <w:ind w:firstLine="0" w:firstLineChars="0"/>
              <w:jc w:val="center"/>
              <w:rPr>
                <w:color w:val="auto"/>
                <w:kern w:val="0"/>
                <w:sz w:val="21"/>
                <w:szCs w:val="21"/>
              </w:rPr>
            </w:pPr>
            <w:r>
              <w:rPr>
                <w:rFonts w:hint="eastAsia"/>
                <w:color w:val="auto"/>
                <w:kern w:val="0"/>
                <w:sz w:val="21"/>
                <w:szCs w:val="21"/>
              </w:rPr>
              <w:t>116</w:t>
            </w:r>
          </w:p>
        </w:tc>
        <w:tc>
          <w:tcPr>
            <w:tcW w:w="757" w:type="pct"/>
            <w:vMerge w:val="continue"/>
            <w:tcBorders>
              <w:tl2br w:val="nil"/>
              <w:tr2bl w:val="nil"/>
            </w:tcBorders>
            <w:vAlign w:val="center"/>
          </w:tcPr>
          <w:p w14:paraId="1EB438D7">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1BD4AB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48C763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2193C504">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7D8DB54">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BDB500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A004CC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348D32C">
            <w:pPr>
              <w:widowControl/>
              <w:spacing w:line="240" w:lineRule="auto"/>
              <w:ind w:firstLine="0" w:firstLineChars="0"/>
              <w:jc w:val="center"/>
              <w:rPr>
                <w:color w:val="auto"/>
                <w:kern w:val="0"/>
                <w:sz w:val="21"/>
                <w:szCs w:val="21"/>
              </w:rPr>
            </w:pPr>
            <w:r>
              <w:rPr>
                <w:rFonts w:hint="eastAsia"/>
                <w:color w:val="auto"/>
                <w:kern w:val="0"/>
                <w:sz w:val="21"/>
                <w:szCs w:val="21"/>
              </w:rPr>
              <w:t>117</w:t>
            </w:r>
          </w:p>
        </w:tc>
        <w:tc>
          <w:tcPr>
            <w:tcW w:w="757" w:type="pct"/>
            <w:vMerge w:val="continue"/>
            <w:tcBorders>
              <w:tl2br w:val="nil"/>
              <w:tr2bl w:val="nil"/>
            </w:tcBorders>
            <w:vAlign w:val="center"/>
          </w:tcPr>
          <w:p w14:paraId="2DCBBDB6">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F13CE23">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DC9A49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30EF7D08">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D4EAEF0">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2735034">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3CE194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212B2C8D">
            <w:pPr>
              <w:widowControl/>
              <w:spacing w:line="240" w:lineRule="auto"/>
              <w:ind w:firstLine="0" w:firstLineChars="0"/>
              <w:jc w:val="center"/>
              <w:rPr>
                <w:color w:val="auto"/>
                <w:kern w:val="0"/>
                <w:sz w:val="21"/>
                <w:szCs w:val="21"/>
              </w:rPr>
            </w:pPr>
            <w:r>
              <w:rPr>
                <w:rFonts w:hint="eastAsia"/>
                <w:color w:val="auto"/>
                <w:kern w:val="0"/>
                <w:sz w:val="21"/>
                <w:szCs w:val="21"/>
              </w:rPr>
              <w:t>118</w:t>
            </w:r>
          </w:p>
        </w:tc>
        <w:tc>
          <w:tcPr>
            <w:tcW w:w="757" w:type="pct"/>
            <w:vMerge w:val="continue"/>
            <w:tcBorders>
              <w:tl2br w:val="nil"/>
              <w:tr2bl w:val="nil"/>
            </w:tcBorders>
            <w:vAlign w:val="center"/>
          </w:tcPr>
          <w:p w14:paraId="49B73BFF">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C32CB3F">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FBBC321">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240363D">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B4D2B36">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08ED7BE8">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C8C5C8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A98E102">
            <w:pPr>
              <w:widowControl/>
              <w:spacing w:line="240" w:lineRule="auto"/>
              <w:ind w:firstLine="0" w:firstLineChars="0"/>
              <w:jc w:val="center"/>
              <w:rPr>
                <w:color w:val="auto"/>
                <w:kern w:val="0"/>
                <w:sz w:val="21"/>
                <w:szCs w:val="21"/>
              </w:rPr>
            </w:pPr>
            <w:r>
              <w:rPr>
                <w:rFonts w:hint="eastAsia"/>
                <w:color w:val="auto"/>
                <w:kern w:val="0"/>
                <w:sz w:val="21"/>
                <w:szCs w:val="21"/>
              </w:rPr>
              <w:t>119</w:t>
            </w:r>
          </w:p>
        </w:tc>
        <w:tc>
          <w:tcPr>
            <w:tcW w:w="757" w:type="pct"/>
            <w:vMerge w:val="continue"/>
            <w:tcBorders>
              <w:tl2br w:val="nil"/>
              <w:tr2bl w:val="nil"/>
            </w:tcBorders>
            <w:vAlign w:val="center"/>
          </w:tcPr>
          <w:p w14:paraId="2123B6CE">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490B138">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A61D1F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4C0E558">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B5A786B">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4548F3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925180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732940D">
            <w:pPr>
              <w:widowControl/>
              <w:spacing w:line="240" w:lineRule="auto"/>
              <w:ind w:firstLine="0" w:firstLineChars="0"/>
              <w:jc w:val="center"/>
              <w:rPr>
                <w:color w:val="auto"/>
                <w:kern w:val="0"/>
                <w:sz w:val="21"/>
                <w:szCs w:val="21"/>
              </w:rPr>
            </w:pPr>
            <w:r>
              <w:rPr>
                <w:rFonts w:hint="eastAsia"/>
                <w:color w:val="auto"/>
                <w:kern w:val="0"/>
                <w:sz w:val="21"/>
                <w:szCs w:val="21"/>
              </w:rPr>
              <w:t>120</w:t>
            </w:r>
          </w:p>
        </w:tc>
        <w:tc>
          <w:tcPr>
            <w:tcW w:w="757" w:type="pct"/>
            <w:vMerge w:val="continue"/>
            <w:tcBorders>
              <w:tl2br w:val="nil"/>
              <w:tr2bl w:val="nil"/>
            </w:tcBorders>
            <w:vAlign w:val="center"/>
          </w:tcPr>
          <w:p w14:paraId="373B177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DC4177B">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C9F9E5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996841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50AE704">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322F5C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1CB710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A7BD0E3">
            <w:pPr>
              <w:widowControl/>
              <w:spacing w:line="240" w:lineRule="auto"/>
              <w:ind w:firstLine="0" w:firstLineChars="0"/>
              <w:jc w:val="center"/>
              <w:rPr>
                <w:color w:val="auto"/>
                <w:kern w:val="0"/>
                <w:sz w:val="21"/>
                <w:szCs w:val="21"/>
              </w:rPr>
            </w:pPr>
            <w:r>
              <w:rPr>
                <w:rFonts w:hint="eastAsia"/>
                <w:color w:val="auto"/>
                <w:kern w:val="0"/>
                <w:sz w:val="21"/>
                <w:szCs w:val="21"/>
              </w:rPr>
              <w:t>121</w:t>
            </w:r>
          </w:p>
        </w:tc>
        <w:tc>
          <w:tcPr>
            <w:tcW w:w="757" w:type="pct"/>
            <w:vMerge w:val="continue"/>
            <w:tcBorders>
              <w:tl2br w:val="nil"/>
              <w:tr2bl w:val="nil"/>
            </w:tcBorders>
            <w:vAlign w:val="center"/>
          </w:tcPr>
          <w:p w14:paraId="5CEB6532">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CAF3051">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670950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E80A49C">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7A48284">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508B62D">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9BBB4B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73C9233">
            <w:pPr>
              <w:widowControl/>
              <w:spacing w:line="240" w:lineRule="auto"/>
              <w:ind w:firstLine="0" w:firstLineChars="0"/>
              <w:jc w:val="center"/>
              <w:rPr>
                <w:color w:val="auto"/>
                <w:kern w:val="0"/>
                <w:sz w:val="21"/>
                <w:szCs w:val="21"/>
              </w:rPr>
            </w:pPr>
            <w:r>
              <w:rPr>
                <w:rFonts w:hint="eastAsia"/>
                <w:color w:val="auto"/>
                <w:kern w:val="0"/>
                <w:sz w:val="21"/>
                <w:szCs w:val="21"/>
              </w:rPr>
              <w:t>122</w:t>
            </w:r>
          </w:p>
        </w:tc>
        <w:tc>
          <w:tcPr>
            <w:tcW w:w="757" w:type="pct"/>
            <w:vMerge w:val="continue"/>
            <w:tcBorders>
              <w:tl2br w:val="nil"/>
              <w:tr2bl w:val="nil"/>
            </w:tcBorders>
            <w:vAlign w:val="center"/>
          </w:tcPr>
          <w:p w14:paraId="3F4776F7">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224815F">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20F9A963">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A9F0C6F">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5872AF3">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4AEA95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BF69EC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38FD977">
            <w:pPr>
              <w:widowControl/>
              <w:spacing w:line="240" w:lineRule="auto"/>
              <w:ind w:firstLine="0" w:firstLineChars="0"/>
              <w:jc w:val="center"/>
              <w:rPr>
                <w:color w:val="auto"/>
                <w:kern w:val="0"/>
                <w:sz w:val="21"/>
                <w:szCs w:val="21"/>
              </w:rPr>
            </w:pPr>
            <w:r>
              <w:rPr>
                <w:rFonts w:hint="eastAsia"/>
                <w:color w:val="auto"/>
                <w:kern w:val="0"/>
                <w:sz w:val="21"/>
                <w:szCs w:val="21"/>
              </w:rPr>
              <w:t>123</w:t>
            </w:r>
          </w:p>
        </w:tc>
        <w:tc>
          <w:tcPr>
            <w:tcW w:w="757" w:type="pct"/>
            <w:vMerge w:val="continue"/>
            <w:tcBorders>
              <w:tl2br w:val="nil"/>
              <w:tr2bl w:val="nil"/>
            </w:tcBorders>
            <w:vAlign w:val="center"/>
          </w:tcPr>
          <w:p w14:paraId="2AED24CB">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246D46ED">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BD8D19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EAA4A5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CBBF896">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F5D201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ECC501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77ED573">
            <w:pPr>
              <w:widowControl/>
              <w:spacing w:line="240" w:lineRule="auto"/>
              <w:ind w:firstLine="0" w:firstLineChars="0"/>
              <w:jc w:val="center"/>
              <w:rPr>
                <w:color w:val="auto"/>
                <w:kern w:val="0"/>
                <w:sz w:val="21"/>
                <w:szCs w:val="21"/>
              </w:rPr>
            </w:pPr>
            <w:r>
              <w:rPr>
                <w:rFonts w:hint="eastAsia"/>
                <w:color w:val="auto"/>
                <w:kern w:val="0"/>
                <w:sz w:val="21"/>
                <w:szCs w:val="21"/>
              </w:rPr>
              <w:t>124</w:t>
            </w:r>
          </w:p>
        </w:tc>
        <w:tc>
          <w:tcPr>
            <w:tcW w:w="757" w:type="pct"/>
            <w:vMerge w:val="continue"/>
            <w:tcBorders>
              <w:tl2br w:val="nil"/>
              <w:tr2bl w:val="nil"/>
            </w:tcBorders>
            <w:vAlign w:val="center"/>
          </w:tcPr>
          <w:p w14:paraId="511C6708">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3A5E4B8">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B6ECD4E">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E07740E">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49BB1DA">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6A6A01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1213E0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0A57C5D">
            <w:pPr>
              <w:widowControl/>
              <w:spacing w:line="240" w:lineRule="auto"/>
              <w:ind w:firstLine="0" w:firstLineChars="0"/>
              <w:jc w:val="center"/>
              <w:rPr>
                <w:color w:val="auto"/>
                <w:kern w:val="0"/>
                <w:sz w:val="21"/>
                <w:szCs w:val="21"/>
              </w:rPr>
            </w:pPr>
            <w:r>
              <w:rPr>
                <w:rFonts w:hint="eastAsia"/>
                <w:color w:val="auto"/>
                <w:kern w:val="0"/>
                <w:sz w:val="21"/>
                <w:szCs w:val="21"/>
              </w:rPr>
              <w:t>125</w:t>
            </w:r>
          </w:p>
        </w:tc>
        <w:tc>
          <w:tcPr>
            <w:tcW w:w="757" w:type="pct"/>
            <w:vMerge w:val="continue"/>
            <w:tcBorders>
              <w:tl2br w:val="nil"/>
              <w:tr2bl w:val="nil"/>
            </w:tcBorders>
            <w:vAlign w:val="center"/>
          </w:tcPr>
          <w:p w14:paraId="3DA59EC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37CADB24">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57925FF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CC67C3F">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08B7FD0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1CC63D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00FB66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1EBCFD1">
            <w:pPr>
              <w:widowControl/>
              <w:spacing w:line="240" w:lineRule="auto"/>
              <w:ind w:firstLine="0" w:firstLineChars="0"/>
              <w:jc w:val="center"/>
              <w:rPr>
                <w:color w:val="auto"/>
                <w:kern w:val="0"/>
                <w:sz w:val="21"/>
                <w:szCs w:val="21"/>
              </w:rPr>
            </w:pPr>
            <w:r>
              <w:rPr>
                <w:rFonts w:hint="eastAsia"/>
                <w:color w:val="auto"/>
                <w:kern w:val="0"/>
                <w:sz w:val="21"/>
                <w:szCs w:val="21"/>
              </w:rPr>
              <w:t>126</w:t>
            </w:r>
          </w:p>
        </w:tc>
        <w:tc>
          <w:tcPr>
            <w:tcW w:w="757" w:type="pct"/>
            <w:vMerge w:val="continue"/>
            <w:tcBorders>
              <w:tl2br w:val="nil"/>
              <w:tr2bl w:val="nil"/>
            </w:tcBorders>
            <w:vAlign w:val="center"/>
          </w:tcPr>
          <w:p w14:paraId="044195AE">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519D2B4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EBC017C">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619674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21ADF79">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170E79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EE8DD1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8A4CE8E">
            <w:pPr>
              <w:widowControl/>
              <w:spacing w:line="240" w:lineRule="auto"/>
              <w:ind w:firstLine="0" w:firstLineChars="0"/>
              <w:jc w:val="center"/>
              <w:rPr>
                <w:color w:val="auto"/>
                <w:kern w:val="0"/>
                <w:sz w:val="21"/>
                <w:szCs w:val="21"/>
              </w:rPr>
            </w:pPr>
            <w:r>
              <w:rPr>
                <w:rFonts w:hint="eastAsia"/>
                <w:color w:val="auto"/>
                <w:kern w:val="0"/>
                <w:sz w:val="21"/>
                <w:szCs w:val="21"/>
              </w:rPr>
              <w:t>127</w:t>
            </w:r>
          </w:p>
        </w:tc>
        <w:tc>
          <w:tcPr>
            <w:tcW w:w="757" w:type="pct"/>
            <w:vMerge w:val="continue"/>
            <w:tcBorders>
              <w:tl2br w:val="nil"/>
              <w:tr2bl w:val="nil"/>
            </w:tcBorders>
            <w:vAlign w:val="center"/>
          </w:tcPr>
          <w:p w14:paraId="4A1A31E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E254512">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6757A91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65D83B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4340FE2">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8486085">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2311D0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FEEC61A">
            <w:pPr>
              <w:widowControl/>
              <w:spacing w:line="240" w:lineRule="auto"/>
              <w:ind w:firstLine="0" w:firstLineChars="0"/>
              <w:jc w:val="center"/>
              <w:rPr>
                <w:color w:val="auto"/>
                <w:kern w:val="0"/>
                <w:sz w:val="21"/>
                <w:szCs w:val="21"/>
              </w:rPr>
            </w:pPr>
            <w:r>
              <w:rPr>
                <w:rFonts w:hint="eastAsia"/>
                <w:color w:val="auto"/>
                <w:kern w:val="0"/>
                <w:sz w:val="21"/>
                <w:szCs w:val="21"/>
              </w:rPr>
              <w:t>128</w:t>
            </w:r>
          </w:p>
        </w:tc>
        <w:tc>
          <w:tcPr>
            <w:tcW w:w="757" w:type="pct"/>
            <w:vMerge w:val="continue"/>
            <w:tcBorders>
              <w:tl2br w:val="nil"/>
              <w:tr2bl w:val="nil"/>
            </w:tcBorders>
            <w:vAlign w:val="center"/>
          </w:tcPr>
          <w:p w14:paraId="2B03FEC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D965A32">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3CC3D2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7E00DF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EFAA945">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DE98CF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C69748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CA898D7">
            <w:pPr>
              <w:widowControl/>
              <w:spacing w:line="240" w:lineRule="auto"/>
              <w:ind w:firstLine="0" w:firstLineChars="0"/>
              <w:jc w:val="center"/>
              <w:rPr>
                <w:color w:val="auto"/>
                <w:kern w:val="0"/>
                <w:sz w:val="21"/>
                <w:szCs w:val="21"/>
              </w:rPr>
            </w:pPr>
            <w:r>
              <w:rPr>
                <w:rFonts w:hint="eastAsia"/>
                <w:color w:val="auto"/>
                <w:kern w:val="0"/>
                <w:sz w:val="21"/>
                <w:szCs w:val="21"/>
              </w:rPr>
              <w:t>129</w:t>
            </w:r>
          </w:p>
        </w:tc>
        <w:tc>
          <w:tcPr>
            <w:tcW w:w="757" w:type="pct"/>
            <w:vMerge w:val="continue"/>
            <w:tcBorders>
              <w:tl2br w:val="nil"/>
              <w:tr2bl w:val="nil"/>
            </w:tcBorders>
            <w:vAlign w:val="center"/>
          </w:tcPr>
          <w:p w14:paraId="05A420DF">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9238D34">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8784C1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1E96A26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5C758F5">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4F66AE11">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786B0F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9FC64CB">
            <w:pPr>
              <w:widowControl/>
              <w:spacing w:line="240" w:lineRule="auto"/>
              <w:ind w:firstLine="0" w:firstLineChars="0"/>
              <w:jc w:val="center"/>
              <w:rPr>
                <w:color w:val="auto"/>
                <w:kern w:val="0"/>
                <w:sz w:val="21"/>
                <w:szCs w:val="21"/>
              </w:rPr>
            </w:pPr>
            <w:r>
              <w:rPr>
                <w:rFonts w:hint="eastAsia"/>
                <w:color w:val="auto"/>
                <w:kern w:val="0"/>
                <w:sz w:val="21"/>
                <w:szCs w:val="21"/>
              </w:rPr>
              <w:t>130</w:t>
            </w:r>
          </w:p>
        </w:tc>
        <w:tc>
          <w:tcPr>
            <w:tcW w:w="757" w:type="pct"/>
            <w:vMerge w:val="continue"/>
            <w:tcBorders>
              <w:tl2br w:val="nil"/>
              <w:tr2bl w:val="nil"/>
            </w:tcBorders>
            <w:vAlign w:val="center"/>
          </w:tcPr>
          <w:p w14:paraId="2483E603">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6283664">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0BD9CE6">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EB0ABD8">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F66B2EB">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4B83905">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09AE18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38FAD13">
            <w:pPr>
              <w:widowControl/>
              <w:spacing w:line="240" w:lineRule="auto"/>
              <w:ind w:firstLine="0" w:firstLineChars="0"/>
              <w:jc w:val="center"/>
              <w:rPr>
                <w:color w:val="auto"/>
                <w:kern w:val="0"/>
                <w:sz w:val="21"/>
                <w:szCs w:val="21"/>
              </w:rPr>
            </w:pPr>
            <w:r>
              <w:rPr>
                <w:rFonts w:hint="eastAsia"/>
                <w:color w:val="auto"/>
                <w:kern w:val="0"/>
                <w:sz w:val="21"/>
                <w:szCs w:val="21"/>
              </w:rPr>
              <w:t>131</w:t>
            </w:r>
          </w:p>
        </w:tc>
        <w:tc>
          <w:tcPr>
            <w:tcW w:w="757" w:type="pct"/>
            <w:vMerge w:val="continue"/>
            <w:tcBorders>
              <w:tl2br w:val="nil"/>
              <w:tr2bl w:val="nil"/>
            </w:tcBorders>
            <w:vAlign w:val="center"/>
          </w:tcPr>
          <w:p w14:paraId="5711EC1F">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4003D1BA">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59C775C">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EE2C025">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8AA452F">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637C7D5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9DBCF7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5E150399">
            <w:pPr>
              <w:widowControl/>
              <w:spacing w:line="240" w:lineRule="auto"/>
              <w:ind w:firstLine="0" w:firstLineChars="0"/>
              <w:jc w:val="center"/>
              <w:rPr>
                <w:color w:val="auto"/>
                <w:kern w:val="0"/>
                <w:sz w:val="21"/>
                <w:szCs w:val="21"/>
              </w:rPr>
            </w:pPr>
            <w:r>
              <w:rPr>
                <w:rFonts w:hint="eastAsia"/>
                <w:color w:val="auto"/>
                <w:kern w:val="0"/>
                <w:sz w:val="21"/>
                <w:szCs w:val="21"/>
              </w:rPr>
              <w:t>132</w:t>
            </w:r>
          </w:p>
        </w:tc>
        <w:tc>
          <w:tcPr>
            <w:tcW w:w="757" w:type="pct"/>
            <w:vMerge w:val="continue"/>
            <w:tcBorders>
              <w:tl2br w:val="nil"/>
              <w:tr2bl w:val="nil"/>
            </w:tcBorders>
            <w:vAlign w:val="center"/>
          </w:tcPr>
          <w:p w14:paraId="7971E380">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03D28AB">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DF4558D">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C68D8E9">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27D7DC8">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0AE1E4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975C60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7ECBF09F">
            <w:pPr>
              <w:widowControl/>
              <w:spacing w:line="240" w:lineRule="auto"/>
              <w:ind w:firstLine="0" w:firstLineChars="0"/>
              <w:jc w:val="center"/>
              <w:rPr>
                <w:color w:val="auto"/>
                <w:kern w:val="0"/>
                <w:sz w:val="21"/>
                <w:szCs w:val="21"/>
              </w:rPr>
            </w:pPr>
            <w:r>
              <w:rPr>
                <w:rFonts w:hint="eastAsia"/>
                <w:color w:val="auto"/>
                <w:kern w:val="0"/>
                <w:sz w:val="21"/>
                <w:szCs w:val="21"/>
              </w:rPr>
              <w:t>133</w:t>
            </w:r>
          </w:p>
        </w:tc>
        <w:tc>
          <w:tcPr>
            <w:tcW w:w="757" w:type="pct"/>
            <w:vMerge w:val="continue"/>
            <w:tcBorders>
              <w:tl2br w:val="nil"/>
              <w:tr2bl w:val="nil"/>
            </w:tcBorders>
            <w:vAlign w:val="center"/>
          </w:tcPr>
          <w:p w14:paraId="7E04D7D3">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656F63C">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AC4A18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E10F4E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6F46E15">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71A8EBC8">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DF979C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CC694C7">
            <w:pPr>
              <w:widowControl/>
              <w:spacing w:line="240" w:lineRule="auto"/>
              <w:ind w:firstLine="0" w:firstLineChars="0"/>
              <w:jc w:val="center"/>
              <w:rPr>
                <w:color w:val="auto"/>
                <w:kern w:val="0"/>
                <w:sz w:val="21"/>
                <w:szCs w:val="21"/>
              </w:rPr>
            </w:pPr>
            <w:r>
              <w:rPr>
                <w:rFonts w:hint="eastAsia"/>
                <w:color w:val="auto"/>
                <w:kern w:val="0"/>
                <w:sz w:val="21"/>
                <w:szCs w:val="21"/>
              </w:rPr>
              <w:t>134</w:t>
            </w:r>
          </w:p>
        </w:tc>
        <w:tc>
          <w:tcPr>
            <w:tcW w:w="757" w:type="pct"/>
            <w:vMerge w:val="continue"/>
            <w:tcBorders>
              <w:tl2br w:val="nil"/>
              <w:tr2bl w:val="nil"/>
            </w:tcBorders>
            <w:vAlign w:val="center"/>
          </w:tcPr>
          <w:p w14:paraId="0EE29CBA">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344BBD6">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615A4F7">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0DC07D3">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D26C0D9">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3E4DC622">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D3440D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07700A3">
            <w:pPr>
              <w:widowControl/>
              <w:spacing w:line="240" w:lineRule="auto"/>
              <w:ind w:firstLine="0" w:firstLineChars="0"/>
              <w:jc w:val="center"/>
              <w:rPr>
                <w:color w:val="auto"/>
                <w:kern w:val="0"/>
                <w:sz w:val="21"/>
                <w:szCs w:val="21"/>
              </w:rPr>
            </w:pPr>
            <w:r>
              <w:rPr>
                <w:rFonts w:hint="eastAsia"/>
                <w:color w:val="auto"/>
                <w:kern w:val="0"/>
                <w:sz w:val="21"/>
                <w:szCs w:val="21"/>
              </w:rPr>
              <w:t>135</w:t>
            </w:r>
          </w:p>
        </w:tc>
        <w:tc>
          <w:tcPr>
            <w:tcW w:w="757" w:type="pct"/>
            <w:vMerge w:val="continue"/>
            <w:tcBorders>
              <w:tl2br w:val="nil"/>
              <w:tr2bl w:val="nil"/>
            </w:tcBorders>
            <w:vAlign w:val="center"/>
          </w:tcPr>
          <w:p w14:paraId="4AD5BB43">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83FE235">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3C688A9">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200738A">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26F7E3BB">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6463EFD">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523389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4508C6F3">
            <w:pPr>
              <w:widowControl/>
              <w:spacing w:line="240" w:lineRule="auto"/>
              <w:ind w:firstLine="0" w:firstLineChars="0"/>
              <w:jc w:val="center"/>
              <w:rPr>
                <w:color w:val="auto"/>
                <w:kern w:val="0"/>
                <w:sz w:val="21"/>
                <w:szCs w:val="21"/>
              </w:rPr>
            </w:pPr>
            <w:r>
              <w:rPr>
                <w:rFonts w:hint="eastAsia"/>
                <w:color w:val="auto"/>
                <w:kern w:val="0"/>
                <w:sz w:val="21"/>
                <w:szCs w:val="21"/>
              </w:rPr>
              <w:t>136</w:t>
            </w:r>
          </w:p>
        </w:tc>
        <w:tc>
          <w:tcPr>
            <w:tcW w:w="757" w:type="pct"/>
            <w:vMerge w:val="continue"/>
            <w:tcBorders>
              <w:tl2br w:val="nil"/>
              <w:tr2bl w:val="nil"/>
            </w:tcBorders>
            <w:vAlign w:val="center"/>
          </w:tcPr>
          <w:p w14:paraId="2CDFE2A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7A127F4F">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ED6FA1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3525FB8">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464CD32">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DAA859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A3971D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B2752D4">
            <w:pPr>
              <w:widowControl/>
              <w:spacing w:line="240" w:lineRule="auto"/>
              <w:ind w:firstLine="0" w:firstLineChars="0"/>
              <w:jc w:val="center"/>
              <w:rPr>
                <w:color w:val="auto"/>
                <w:kern w:val="0"/>
                <w:sz w:val="21"/>
                <w:szCs w:val="21"/>
              </w:rPr>
            </w:pPr>
            <w:r>
              <w:rPr>
                <w:rFonts w:hint="eastAsia"/>
                <w:color w:val="auto"/>
                <w:kern w:val="0"/>
                <w:sz w:val="21"/>
                <w:szCs w:val="21"/>
              </w:rPr>
              <w:t>137</w:t>
            </w:r>
          </w:p>
        </w:tc>
        <w:tc>
          <w:tcPr>
            <w:tcW w:w="757" w:type="pct"/>
            <w:vMerge w:val="continue"/>
            <w:tcBorders>
              <w:tl2br w:val="nil"/>
              <w:tr2bl w:val="nil"/>
            </w:tcBorders>
            <w:vAlign w:val="center"/>
          </w:tcPr>
          <w:p w14:paraId="16B22D38">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E6AE61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35DDAA34">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59433B4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3E4ABE8C">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A39780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27B059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302F948">
            <w:pPr>
              <w:widowControl/>
              <w:spacing w:line="240" w:lineRule="auto"/>
              <w:ind w:firstLine="0" w:firstLineChars="0"/>
              <w:jc w:val="center"/>
              <w:rPr>
                <w:color w:val="auto"/>
                <w:kern w:val="0"/>
                <w:sz w:val="21"/>
                <w:szCs w:val="21"/>
              </w:rPr>
            </w:pPr>
            <w:r>
              <w:rPr>
                <w:rFonts w:hint="eastAsia"/>
                <w:color w:val="auto"/>
                <w:kern w:val="0"/>
                <w:sz w:val="21"/>
                <w:szCs w:val="21"/>
              </w:rPr>
              <w:t>138</w:t>
            </w:r>
          </w:p>
        </w:tc>
        <w:tc>
          <w:tcPr>
            <w:tcW w:w="757" w:type="pct"/>
            <w:vMerge w:val="continue"/>
            <w:tcBorders>
              <w:tl2br w:val="nil"/>
              <w:tr2bl w:val="nil"/>
            </w:tcBorders>
            <w:vAlign w:val="center"/>
          </w:tcPr>
          <w:p w14:paraId="23FC8435">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0480BCB0">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018525A5">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071531F2">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DAB8C83">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1FB6C694">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3B9609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6B5061C6">
            <w:pPr>
              <w:widowControl/>
              <w:spacing w:line="240" w:lineRule="auto"/>
              <w:ind w:firstLine="0" w:firstLineChars="0"/>
              <w:jc w:val="center"/>
              <w:rPr>
                <w:color w:val="auto"/>
                <w:kern w:val="0"/>
                <w:sz w:val="21"/>
                <w:szCs w:val="21"/>
              </w:rPr>
            </w:pPr>
            <w:r>
              <w:rPr>
                <w:rFonts w:hint="eastAsia"/>
                <w:color w:val="auto"/>
                <w:kern w:val="0"/>
                <w:sz w:val="21"/>
                <w:szCs w:val="21"/>
              </w:rPr>
              <w:t>139</w:t>
            </w:r>
          </w:p>
        </w:tc>
        <w:tc>
          <w:tcPr>
            <w:tcW w:w="757" w:type="pct"/>
            <w:vMerge w:val="continue"/>
            <w:tcBorders>
              <w:tl2br w:val="nil"/>
              <w:tr2bl w:val="nil"/>
            </w:tcBorders>
            <w:vAlign w:val="center"/>
          </w:tcPr>
          <w:p w14:paraId="638D3D36">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5148F8A">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441252D2">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6B083B7A">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15548581">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72630C4">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D18A73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3FD29462">
            <w:pPr>
              <w:widowControl/>
              <w:spacing w:line="240" w:lineRule="auto"/>
              <w:ind w:firstLine="0" w:firstLineChars="0"/>
              <w:jc w:val="center"/>
              <w:rPr>
                <w:color w:val="auto"/>
                <w:kern w:val="0"/>
                <w:sz w:val="21"/>
                <w:szCs w:val="21"/>
              </w:rPr>
            </w:pPr>
            <w:r>
              <w:rPr>
                <w:rFonts w:hint="eastAsia"/>
                <w:color w:val="auto"/>
                <w:kern w:val="0"/>
                <w:sz w:val="21"/>
                <w:szCs w:val="21"/>
              </w:rPr>
              <w:t>140</w:t>
            </w:r>
          </w:p>
        </w:tc>
        <w:tc>
          <w:tcPr>
            <w:tcW w:w="757" w:type="pct"/>
            <w:vMerge w:val="continue"/>
            <w:tcBorders>
              <w:tl2br w:val="nil"/>
              <w:tr2bl w:val="nil"/>
            </w:tcBorders>
            <w:vAlign w:val="center"/>
          </w:tcPr>
          <w:p w14:paraId="53F765E9">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69AA0D7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7A3307DA">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44495C0C">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51DB11F3">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5D66A74D">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49EBDC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402" w:type="pct"/>
            <w:tcBorders>
              <w:tl2br w:val="nil"/>
              <w:tr2bl w:val="nil"/>
            </w:tcBorders>
            <w:vAlign w:val="center"/>
          </w:tcPr>
          <w:p w14:paraId="03A54F8F">
            <w:pPr>
              <w:widowControl/>
              <w:spacing w:line="240" w:lineRule="auto"/>
              <w:ind w:firstLine="0" w:firstLineChars="0"/>
              <w:jc w:val="center"/>
              <w:rPr>
                <w:color w:val="auto"/>
                <w:kern w:val="0"/>
                <w:sz w:val="21"/>
                <w:szCs w:val="21"/>
              </w:rPr>
            </w:pPr>
            <w:r>
              <w:rPr>
                <w:rFonts w:hint="eastAsia"/>
                <w:color w:val="auto"/>
                <w:kern w:val="0"/>
                <w:sz w:val="21"/>
                <w:szCs w:val="21"/>
              </w:rPr>
              <w:t>141</w:t>
            </w:r>
          </w:p>
        </w:tc>
        <w:tc>
          <w:tcPr>
            <w:tcW w:w="757" w:type="pct"/>
            <w:vMerge w:val="continue"/>
            <w:tcBorders>
              <w:tl2br w:val="nil"/>
              <w:tr2bl w:val="nil"/>
            </w:tcBorders>
            <w:vAlign w:val="center"/>
          </w:tcPr>
          <w:p w14:paraId="54212FE3">
            <w:pPr>
              <w:widowControl/>
              <w:spacing w:line="240" w:lineRule="auto"/>
              <w:ind w:firstLine="0" w:firstLineChars="0"/>
              <w:jc w:val="center"/>
              <w:rPr>
                <w:color w:val="auto"/>
                <w:kern w:val="0"/>
                <w:sz w:val="21"/>
                <w:szCs w:val="21"/>
              </w:rPr>
            </w:pPr>
          </w:p>
        </w:tc>
        <w:tc>
          <w:tcPr>
            <w:tcW w:w="1135" w:type="pct"/>
            <w:tcBorders>
              <w:tl2br w:val="nil"/>
              <w:tr2bl w:val="nil"/>
            </w:tcBorders>
            <w:vAlign w:val="center"/>
          </w:tcPr>
          <w:p w14:paraId="142D0B3E">
            <w:pPr>
              <w:widowControl/>
              <w:spacing w:line="240" w:lineRule="auto"/>
              <w:ind w:firstLine="0" w:firstLineChars="0"/>
              <w:jc w:val="center"/>
              <w:rPr>
                <w:color w:val="auto"/>
                <w:kern w:val="0"/>
                <w:sz w:val="21"/>
                <w:szCs w:val="21"/>
              </w:rPr>
            </w:pPr>
          </w:p>
        </w:tc>
        <w:tc>
          <w:tcPr>
            <w:tcW w:w="1047" w:type="pct"/>
            <w:tcBorders>
              <w:tl2br w:val="nil"/>
              <w:tr2bl w:val="nil"/>
            </w:tcBorders>
            <w:vAlign w:val="center"/>
          </w:tcPr>
          <w:p w14:paraId="116047E0">
            <w:pPr>
              <w:widowControl/>
              <w:spacing w:line="240" w:lineRule="auto"/>
              <w:ind w:firstLine="0" w:firstLineChars="0"/>
              <w:jc w:val="center"/>
              <w:rPr>
                <w:color w:val="auto"/>
                <w:kern w:val="0"/>
                <w:sz w:val="21"/>
                <w:szCs w:val="21"/>
              </w:rPr>
            </w:pPr>
          </w:p>
        </w:tc>
        <w:tc>
          <w:tcPr>
            <w:tcW w:w="545" w:type="pct"/>
            <w:tcBorders>
              <w:tl2br w:val="nil"/>
              <w:tr2bl w:val="nil"/>
            </w:tcBorders>
            <w:vAlign w:val="center"/>
          </w:tcPr>
          <w:p w14:paraId="7EA570DB">
            <w:pPr>
              <w:widowControl/>
              <w:spacing w:line="240" w:lineRule="auto"/>
              <w:ind w:firstLine="0" w:firstLineChars="0"/>
              <w:jc w:val="center"/>
              <w:rPr>
                <w:color w:val="auto"/>
                <w:kern w:val="0"/>
                <w:sz w:val="21"/>
                <w:szCs w:val="21"/>
              </w:rPr>
            </w:pPr>
          </w:p>
        </w:tc>
        <w:tc>
          <w:tcPr>
            <w:tcW w:w="660" w:type="pct"/>
            <w:tcBorders>
              <w:tl2br w:val="nil"/>
              <w:tr2bl w:val="nil"/>
            </w:tcBorders>
            <w:vAlign w:val="center"/>
          </w:tcPr>
          <w:p w14:paraId="6B52AC66">
            <w:pPr>
              <w:widowControl/>
              <w:spacing w:line="240" w:lineRule="auto"/>
              <w:ind w:firstLine="0" w:firstLineChars="0"/>
              <w:jc w:val="center"/>
              <w:rPr>
                <w:color w:val="auto"/>
                <w:kern w:val="0"/>
                <w:sz w:val="21"/>
                <w:szCs w:val="21"/>
              </w:rPr>
            </w:pPr>
          </w:p>
        </w:tc>
        <w:tc>
          <w:tcPr>
            <w:tcW w:w="450" w:type="pct"/>
            <w:tcBorders>
              <w:tl2br w:val="nil"/>
              <w:tr2bl w:val="nil"/>
            </w:tcBorders>
            <w:vAlign w:val="center"/>
          </w:tcPr>
          <w:p w14:paraId="27AFCD77">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50D347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0EB14157">
            <w:pPr>
              <w:widowControl/>
              <w:spacing w:line="240" w:lineRule="auto"/>
              <w:ind w:firstLine="0" w:firstLineChars="0"/>
              <w:jc w:val="center"/>
              <w:rPr>
                <w:color w:val="auto"/>
                <w:kern w:val="0"/>
                <w:sz w:val="21"/>
                <w:szCs w:val="21"/>
              </w:rPr>
            </w:pPr>
            <w:r>
              <w:rPr>
                <w:rFonts w:hint="eastAsia"/>
                <w:color w:val="auto"/>
                <w:kern w:val="0"/>
                <w:sz w:val="21"/>
                <w:szCs w:val="21"/>
              </w:rPr>
              <w:t>142</w:t>
            </w:r>
          </w:p>
        </w:tc>
        <w:tc>
          <w:tcPr>
            <w:tcW w:w="757" w:type="pct"/>
            <w:vMerge w:val="continue"/>
            <w:vAlign w:val="center"/>
          </w:tcPr>
          <w:p w14:paraId="05BB1CD3">
            <w:pPr>
              <w:widowControl/>
              <w:spacing w:line="240" w:lineRule="auto"/>
              <w:ind w:firstLine="0" w:firstLineChars="0"/>
              <w:jc w:val="center"/>
              <w:rPr>
                <w:color w:val="auto"/>
                <w:kern w:val="0"/>
                <w:sz w:val="21"/>
                <w:szCs w:val="21"/>
              </w:rPr>
            </w:pPr>
          </w:p>
        </w:tc>
        <w:tc>
          <w:tcPr>
            <w:tcW w:w="2237" w:type="dxa"/>
            <w:vAlign w:val="center"/>
          </w:tcPr>
          <w:p w14:paraId="1D5B8FEE">
            <w:pPr>
              <w:widowControl/>
              <w:spacing w:line="240" w:lineRule="auto"/>
              <w:ind w:firstLine="0" w:firstLineChars="0"/>
              <w:jc w:val="center"/>
              <w:rPr>
                <w:color w:val="auto"/>
                <w:kern w:val="0"/>
                <w:sz w:val="21"/>
                <w:szCs w:val="21"/>
              </w:rPr>
            </w:pPr>
          </w:p>
        </w:tc>
        <w:tc>
          <w:tcPr>
            <w:tcW w:w="2064" w:type="dxa"/>
            <w:vAlign w:val="center"/>
          </w:tcPr>
          <w:p w14:paraId="48A38E8D">
            <w:pPr>
              <w:widowControl/>
              <w:spacing w:line="240" w:lineRule="auto"/>
              <w:ind w:firstLine="0" w:firstLineChars="0"/>
              <w:jc w:val="center"/>
              <w:rPr>
                <w:color w:val="auto"/>
                <w:kern w:val="0"/>
                <w:sz w:val="21"/>
                <w:szCs w:val="21"/>
              </w:rPr>
            </w:pPr>
          </w:p>
        </w:tc>
        <w:tc>
          <w:tcPr>
            <w:tcW w:w="1075" w:type="dxa"/>
            <w:vAlign w:val="center"/>
          </w:tcPr>
          <w:p w14:paraId="3352FA7A">
            <w:pPr>
              <w:widowControl/>
              <w:spacing w:line="240" w:lineRule="auto"/>
              <w:ind w:firstLine="0" w:firstLineChars="0"/>
              <w:jc w:val="center"/>
              <w:rPr>
                <w:color w:val="auto"/>
                <w:kern w:val="0"/>
                <w:sz w:val="21"/>
                <w:szCs w:val="21"/>
              </w:rPr>
            </w:pPr>
          </w:p>
        </w:tc>
        <w:tc>
          <w:tcPr>
            <w:tcW w:w="1301" w:type="dxa"/>
            <w:vAlign w:val="center"/>
          </w:tcPr>
          <w:p w14:paraId="7F934CC3">
            <w:pPr>
              <w:widowControl/>
              <w:spacing w:line="240" w:lineRule="auto"/>
              <w:ind w:firstLine="0" w:firstLineChars="0"/>
              <w:jc w:val="center"/>
              <w:rPr>
                <w:color w:val="auto"/>
                <w:kern w:val="0"/>
                <w:sz w:val="21"/>
                <w:szCs w:val="21"/>
              </w:rPr>
            </w:pPr>
          </w:p>
        </w:tc>
        <w:tc>
          <w:tcPr>
            <w:tcW w:w="888" w:type="dxa"/>
            <w:vAlign w:val="center"/>
          </w:tcPr>
          <w:p w14:paraId="56ADF6E0">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FD59A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4212E403">
            <w:pPr>
              <w:widowControl/>
              <w:spacing w:line="240" w:lineRule="auto"/>
              <w:ind w:firstLine="0" w:firstLineChars="0"/>
              <w:jc w:val="center"/>
              <w:rPr>
                <w:color w:val="auto"/>
                <w:kern w:val="0"/>
                <w:sz w:val="21"/>
                <w:szCs w:val="21"/>
              </w:rPr>
            </w:pPr>
            <w:r>
              <w:rPr>
                <w:rFonts w:hint="eastAsia"/>
                <w:color w:val="auto"/>
                <w:kern w:val="0"/>
                <w:sz w:val="21"/>
                <w:szCs w:val="21"/>
              </w:rPr>
              <w:t>143</w:t>
            </w:r>
          </w:p>
        </w:tc>
        <w:tc>
          <w:tcPr>
            <w:tcW w:w="757" w:type="pct"/>
            <w:vMerge w:val="continue"/>
            <w:vAlign w:val="center"/>
          </w:tcPr>
          <w:p w14:paraId="28FD743E">
            <w:pPr>
              <w:widowControl/>
              <w:spacing w:line="240" w:lineRule="auto"/>
              <w:ind w:firstLine="0" w:firstLineChars="0"/>
              <w:jc w:val="center"/>
              <w:rPr>
                <w:color w:val="auto"/>
                <w:kern w:val="0"/>
                <w:sz w:val="21"/>
                <w:szCs w:val="21"/>
              </w:rPr>
            </w:pPr>
          </w:p>
        </w:tc>
        <w:tc>
          <w:tcPr>
            <w:tcW w:w="2237" w:type="dxa"/>
            <w:vAlign w:val="center"/>
          </w:tcPr>
          <w:p w14:paraId="2A5C6FC2">
            <w:pPr>
              <w:widowControl/>
              <w:spacing w:line="240" w:lineRule="auto"/>
              <w:ind w:firstLine="0" w:firstLineChars="0"/>
              <w:jc w:val="center"/>
              <w:rPr>
                <w:color w:val="auto"/>
                <w:kern w:val="0"/>
                <w:sz w:val="21"/>
                <w:szCs w:val="21"/>
              </w:rPr>
            </w:pPr>
          </w:p>
        </w:tc>
        <w:tc>
          <w:tcPr>
            <w:tcW w:w="2064" w:type="dxa"/>
            <w:vAlign w:val="center"/>
          </w:tcPr>
          <w:p w14:paraId="1073B84A">
            <w:pPr>
              <w:widowControl/>
              <w:spacing w:line="240" w:lineRule="auto"/>
              <w:ind w:firstLine="0" w:firstLineChars="0"/>
              <w:jc w:val="center"/>
              <w:rPr>
                <w:color w:val="auto"/>
                <w:kern w:val="0"/>
                <w:sz w:val="21"/>
                <w:szCs w:val="21"/>
              </w:rPr>
            </w:pPr>
          </w:p>
        </w:tc>
        <w:tc>
          <w:tcPr>
            <w:tcW w:w="1075" w:type="dxa"/>
            <w:vAlign w:val="center"/>
          </w:tcPr>
          <w:p w14:paraId="71BB9DAB">
            <w:pPr>
              <w:widowControl/>
              <w:spacing w:line="240" w:lineRule="auto"/>
              <w:ind w:firstLine="0" w:firstLineChars="0"/>
              <w:jc w:val="center"/>
              <w:rPr>
                <w:color w:val="auto"/>
                <w:kern w:val="0"/>
                <w:sz w:val="21"/>
                <w:szCs w:val="21"/>
              </w:rPr>
            </w:pPr>
          </w:p>
        </w:tc>
        <w:tc>
          <w:tcPr>
            <w:tcW w:w="1301" w:type="dxa"/>
            <w:vAlign w:val="center"/>
          </w:tcPr>
          <w:p w14:paraId="4D66E7B0">
            <w:pPr>
              <w:widowControl/>
              <w:spacing w:line="240" w:lineRule="auto"/>
              <w:ind w:firstLine="0" w:firstLineChars="0"/>
              <w:jc w:val="center"/>
              <w:rPr>
                <w:color w:val="auto"/>
                <w:kern w:val="0"/>
                <w:sz w:val="21"/>
                <w:szCs w:val="21"/>
              </w:rPr>
            </w:pPr>
          </w:p>
        </w:tc>
        <w:tc>
          <w:tcPr>
            <w:tcW w:w="888" w:type="dxa"/>
            <w:vAlign w:val="center"/>
          </w:tcPr>
          <w:p w14:paraId="2D36BE7D">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FC4B00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3DC149A8">
            <w:pPr>
              <w:widowControl/>
              <w:spacing w:line="240" w:lineRule="auto"/>
              <w:ind w:firstLine="0" w:firstLineChars="0"/>
              <w:jc w:val="center"/>
              <w:rPr>
                <w:color w:val="auto"/>
                <w:kern w:val="0"/>
                <w:sz w:val="21"/>
                <w:szCs w:val="21"/>
              </w:rPr>
            </w:pPr>
            <w:r>
              <w:rPr>
                <w:rFonts w:hint="eastAsia"/>
                <w:color w:val="auto"/>
                <w:kern w:val="0"/>
                <w:sz w:val="21"/>
                <w:szCs w:val="21"/>
              </w:rPr>
              <w:t>144</w:t>
            </w:r>
          </w:p>
        </w:tc>
        <w:tc>
          <w:tcPr>
            <w:tcW w:w="757" w:type="pct"/>
            <w:vMerge w:val="continue"/>
            <w:vAlign w:val="center"/>
          </w:tcPr>
          <w:p w14:paraId="199E8AC7">
            <w:pPr>
              <w:widowControl/>
              <w:spacing w:line="240" w:lineRule="auto"/>
              <w:ind w:firstLine="0" w:firstLineChars="0"/>
              <w:jc w:val="center"/>
              <w:rPr>
                <w:color w:val="auto"/>
                <w:kern w:val="0"/>
                <w:sz w:val="21"/>
                <w:szCs w:val="21"/>
              </w:rPr>
            </w:pPr>
          </w:p>
        </w:tc>
        <w:tc>
          <w:tcPr>
            <w:tcW w:w="2237" w:type="dxa"/>
            <w:vAlign w:val="center"/>
          </w:tcPr>
          <w:p w14:paraId="7A0A65B6">
            <w:pPr>
              <w:widowControl/>
              <w:spacing w:line="240" w:lineRule="auto"/>
              <w:ind w:firstLine="0" w:firstLineChars="0"/>
              <w:jc w:val="center"/>
              <w:rPr>
                <w:color w:val="auto"/>
                <w:kern w:val="0"/>
                <w:sz w:val="21"/>
                <w:szCs w:val="21"/>
              </w:rPr>
            </w:pPr>
          </w:p>
        </w:tc>
        <w:tc>
          <w:tcPr>
            <w:tcW w:w="2064" w:type="dxa"/>
            <w:vAlign w:val="center"/>
          </w:tcPr>
          <w:p w14:paraId="715A16D3">
            <w:pPr>
              <w:widowControl/>
              <w:spacing w:line="240" w:lineRule="auto"/>
              <w:ind w:firstLine="0" w:firstLineChars="0"/>
              <w:jc w:val="center"/>
              <w:rPr>
                <w:color w:val="auto"/>
                <w:kern w:val="0"/>
                <w:sz w:val="21"/>
                <w:szCs w:val="21"/>
              </w:rPr>
            </w:pPr>
          </w:p>
        </w:tc>
        <w:tc>
          <w:tcPr>
            <w:tcW w:w="1075" w:type="dxa"/>
            <w:vAlign w:val="center"/>
          </w:tcPr>
          <w:p w14:paraId="57C22A02">
            <w:pPr>
              <w:widowControl/>
              <w:spacing w:line="240" w:lineRule="auto"/>
              <w:ind w:firstLine="0" w:firstLineChars="0"/>
              <w:jc w:val="center"/>
              <w:rPr>
                <w:color w:val="auto"/>
                <w:kern w:val="0"/>
                <w:sz w:val="21"/>
                <w:szCs w:val="21"/>
              </w:rPr>
            </w:pPr>
          </w:p>
        </w:tc>
        <w:tc>
          <w:tcPr>
            <w:tcW w:w="1301" w:type="dxa"/>
            <w:vAlign w:val="center"/>
          </w:tcPr>
          <w:p w14:paraId="777021BB">
            <w:pPr>
              <w:widowControl/>
              <w:spacing w:line="240" w:lineRule="auto"/>
              <w:ind w:firstLine="0" w:firstLineChars="0"/>
              <w:jc w:val="center"/>
              <w:rPr>
                <w:color w:val="auto"/>
                <w:kern w:val="0"/>
                <w:sz w:val="21"/>
                <w:szCs w:val="21"/>
              </w:rPr>
            </w:pPr>
          </w:p>
        </w:tc>
        <w:tc>
          <w:tcPr>
            <w:tcW w:w="888" w:type="dxa"/>
            <w:vAlign w:val="center"/>
          </w:tcPr>
          <w:p w14:paraId="50474AF1">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D7C883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64669BDB">
            <w:pPr>
              <w:widowControl/>
              <w:spacing w:line="240" w:lineRule="auto"/>
              <w:ind w:firstLine="0" w:firstLineChars="0"/>
              <w:jc w:val="center"/>
              <w:rPr>
                <w:color w:val="auto"/>
                <w:kern w:val="0"/>
                <w:sz w:val="21"/>
                <w:szCs w:val="21"/>
              </w:rPr>
            </w:pPr>
            <w:r>
              <w:rPr>
                <w:rFonts w:hint="eastAsia"/>
                <w:color w:val="auto"/>
                <w:kern w:val="0"/>
                <w:sz w:val="21"/>
                <w:szCs w:val="21"/>
              </w:rPr>
              <w:t>145</w:t>
            </w:r>
          </w:p>
        </w:tc>
        <w:tc>
          <w:tcPr>
            <w:tcW w:w="757" w:type="pct"/>
            <w:vMerge w:val="continue"/>
            <w:vAlign w:val="center"/>
          </w:tcPr>
          <w:p w14:paraId="69FB66AD">
            <w:pPr>
              <w:widowControl/>
              <w:spacing w:line="240" w:lineRule="auto"/>
              <w:ind w:firstLine="0" w:firstLineChars="0"/>
              <w:jc w:val="center"/>
              <w:rPr>
                <w:color w:val="auto"/>
                <w:kern w:val="0"/>
                <w:sz w:val="21"/>
                <w:szCs w:val="21"/>
              </w:rPr>
            </w:pPr>
          </w:p>
        </w:tc>
        <w:tc>
          <w:tcPr>
            <w:tcW w:w="2237" w:type="dxa"/>
            <w:vAlign w:val="center"/>
          </w:tcPr>
          <w:p w14:paraId="5E2C0F02">
            <w:pPr>
              <w:widowControl/>
              <w:spacing w:line="240" w:lineRule="auto"/>
              <w:ind w:firstLine="0" w:firstLineChars="0"/>
              <w:jc w:val="center"/>
              <w:rPr>
                <w:color w:val="auto"/>
                <w:kern w:val="0"/>
                <w:sz w:val="21"/>
                <w:szCs w:val="21"/>
              </w:rPr>
            </w:pPr>
          </w:p>
        </w:tc>
        <w:tc>
          <w:tcPr>
            <w:tcW w:w="2064" w:type="dxa"/>
            <w:vAlign w:val="center"/>
          </w:tcPr>
          <w:p w14:paraId="0BFB1B43">
            <w:pPr>
              <w:widowControl/>
              <w:spacing w:line="240" w:lineRule="auto"/>
              <w:ind w:firstLine="0" w:firstLineChars="0"/>
              <w:jc w:val="center"/>
              <w:rPr>
                <w:color w:val="auto"/>
                <w:kern w:val="0"/>
                <w:sz w:val="21"/>
                <w:szCs w:val="21"/>
              </w:rPr>
            </w:pPr>
          </w:p>
        </w:tc>
        <w:tc>
          <w:tcPr>
            <w:tcW w:w="1075" w:type="dxa"/>
            <w:vAlign w:val="center"/>
          </w:tcPr>
          <w:p w14:paraId="1A1CA3DE">
            <w:pPr>
              <w:widowControl/>
              <w:spacing w:line="240" w:lineRule="auto"/>
              <w:ind w:firstLine="0" w:firstLineChars="0"/>
              <w:jc w:val="center"/>
              <w:rPr>
                <w:color w:val="auto"/>
                <w:kern w:val="0"/>
                <w:sz w:val="21"/>
                <w:szCs w:val="21"/>
              </w:rPr>
            </w:pPr>
          </w:p>
        </w:tc>
        <w:tc>
          <w:tcPr>
            <w:tcW w:w="1301" w:type="dxa"/>
            <w:vAlign w:val="center"/>
          </w:tcPr>
          <w:p w14:paraId="564B2D66">
            <w:pPr>
              <w:widowControl/>
              <w:spacing w:line="240" w:lineRule="auto"/>
              <w:ind w:firstLine="0" w:firstLineChars="0"/>
              <w:jc w:val="center"/>
              <w:rPr>
                <w:color w:val="auto"/>
                <w:kern w:val="0"/>
                <w:sz w:val="21"/>
                <w:szCs w:val="21"/>
              </w:rPr>
            </w:pPr>
          </w:p>
        </w:tc>
        <w:tc>
          <w:tcPr>
            <w:tcW w:w="888" w:type="dxa"/>
            <w:vAlign w:val="center"/>
          </w:tcPr>
          <w:p w14:paraId="30ABCA8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02F08DF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3ACD1D1A">
            <w:pPr>
              <w:widowControl/>
              <w:spacing w:line="240" w:lineRule="auto"/>
              <w:ind w:firstLine="0" w:firstLineChars="0"/>
              <w:jc w:val="center"/>
              <w:rPr>
                <w:color w:val="auto"/>
                <w:kern w:val="0"/>
                <w:sz w:val="21"/>
                <w:szCs w:val="21"/>
              </w:rPr>
            </w:pPr>
            <w:r>
              <w:rPr>
                <w:rFonts w:hint="eastAsia"/>
                <w:color w:val="auto"/>
                <w:kern w:val="0"/>
                <w:sz w:val="21"/>
                <w:szCs w:val="21"/>
              </w:rPr>
              <w:t>146</w:t>
            </w:r>
          </w:p>
        </w:tc>
        <w:tc>
          <w:tcPr>
            <w:tcW w:w="757" w:type="pct"/>
            <w:vMerge w:val="continue"/>
            <w:vAlign w:val="center"/>
          </w:tcPr>
          <w:p w14:paraId="62113F5F">
            <w:pPr>
              <w:widowControl/>
              <w:spacing w:line="240" w:lineRule="auto"/>
              <w:ind w:firstLine="0" w:firstLineChars="0"/>
              <w:jc w:val="center"/>
              <w:rPr>
                <w:color w:val="auto"/>
                <w:kern w:val="0"/>
                <w:sz w:val="21"/>
                <w:szCs w:val="21"/>
              </w:rPr>
            </w:pPr>
          </w:p>
        </w:tc>
        <w:tc>
          <w:tcPr>
            <w:tcW w:w="2237" w:type="dxa"/>
            <w:vAlign w:val="center"/>
          </w:tcPr>
          <w:p w14:paraId="5A86D1AA">
            <w:pPr>
              <w:widowControl/>
              <w:spacing w:line="240" w:lineRule="auto"/>
              <w:ind w:firstLine="0" w:firstLineChars="0"/>
              <w:jc w:val="center"/>
              <w:rPr>
                <w:color w:val="auto"/>
                <w:kern w:val="0"/>
                <w:sz w:val="21"/>
                <w:szCs w:val="21"/>
              </w:rPr>
            </w:pPr>
          </w:p>
        </w:tc>
        <w:tc>
          <w:tcPr>
            <w:tcW w:w="2064" w:type="dxa"/>
            <w:vAlign w:val="center"/>
          </w:tcPr>
          <w:p w14:paraId="2AF19DD7">
            <w:pPr>
              <w:widowControl/>
              <w:spacing w:line="240" w:lineRule="auto"/>
              <w:ind w:firstLine="0" w:firstLineChars="0"/>
              <w:jc w:val="center"/>
              <w:rPr>
                <w:color w:val="auto"/>
                <w:kern w:val="0"/>
                <w:sz w:val="21"/>
                <w:szCs w:val="21"/>
              </w:rPr>
            </w:pPr>
          </w:p>
        </w:tc>
        <w:tc>
          <w:tcPr>
            <w:tcW w:w="1075" w:type="dxa"/>
            <w:vAlign w:val="center"/>
          </w:tcPr>
          <w:p w14:paraId="264234DD">
            <w:pPr>
              <w:widowControl/>
              <w:spacing w:line="240" w:lineRule="auto"/>
              <w:ind w:firstLine="0" w:firstLineChars="0"/>
              <w:jc w:val="center"/>
              <w:rPr>
                <w:color w:val="auto"/>
                <w:kern w:val="0"/>
                <w:sz w:val="21"/>
                <w:szCs w:val="21"/>
              </w:rPr>
            </w:pPr>
          </w:p>
        </w:tc>
        <w:tc>
          <w:tcPr>
            <w:tcW w:w="1301" w:type="dxa"/>
            <w:vAlign w:val="center"/>
          </w:tcPr>
          <w:p w14:paraId="1877FCF5">
            <w:pPr>
              <w:widowControl/>
              <w:spacing w:line="240" w:lineRule="auto"/>
              <w:ind w:firstLine="0" w:firstLineChars="0"/>
              <w:jc w:val="center"/>
              <w:rPr>
                <w:color w:val="auto"/>
                <w:kern w:val="0"/>
                <w:sz w:val="21"/>
                <w:szCs w:val="21"/>
              </w:rPr>
            </w:pPr>
          </w:p>
        </w:tc>
        <w:tc>
          <w:tcPr>
            <w:tcW w:w="888" w:type="dxa"/>
            <w:vAlign w:val="center"/>
          </w:tcPr>
          <w:p w14:paraId="7811137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F1216D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4C248BDA">
            <w:pPr>
              <w:widowControl/>
              <w:spacing w:line="240" w:lineRule="auto"/>
              <w:ind w:firstLine="0" w:firstLineChars="0"/>
              <w:jc w:val="center"/>
              <w:rPr>
                <w:color w:val="auto"/>
                <w:kern w:val="0"/>
                <w:sz w:val="21"/>
                <w:szCs w:val="21"/>
              </w:rPr>
            </w:pPr>
            <w:r>
              <w:rPr>
                <w:rFonts w:hint="eastAsia"/>
                <w:color w:val="auto"/>
                <w:kern w:val="0"/>
                <w:sz w:val="21"/>
                <w:szCs w:val="21"/>
              </w:rPr>
              <w:t>147</w:t>
            </w:r>
          </w:p>
        </w:tc>
        <w:tc>
          <w:tcPr>
            <w:tcW w:w="757" w:type="pct"/>
            <w:vMerge w:val="continue"/>
            <w:vAlign w:val="center"/>
          </w:tcPr>
          <w:p w14:paraId="5464885C">
            <w:pPr>
              <w:widowControl/>
              <w:spacing w:line="240" w:lineRule="auto"/>
              <w:ind w:firstLine="0" w:firstLineChars="0"/>
              <w:jc w:val="center"/>
              <w:rPr>
                <w:color w:val="auto"/>
                <w:kern w:val="0"/>
                <w:sz w:val="21"/>
                <w:szCs w:val="21"/>
              </w:rPr>
            </w:pPr>
          </w:p>
        </w:tc>
        <w:tc>
          <w:tcPr>
            <w:tcW w:w="2237" w:type="dxa"/>
            <w:vAlign w:val="center"/>
          </w:tcPr>
          <w:p w14:paraId="660B8F60">
            <w:pPr>
              <w:widowControl/>
              <w:spacing w:line="240" w:lineRule="auto"/>
              <w:ind w:firstLine="0" w:firstLineChars="0"/>
              <w:jc w:val="center"/>
              <w:rPr>
                <w:color w:val="auto"/>
                <w:kern w:val="0"/>
                <w:sz w:val="21"/>
                <w:szCs w:val="21"/>
              </w:rPr>
            </w:pPr>
          </w:p>
        </w:tc>
        <w:tc>
          <w:tcPr>
            <w:tcW w:w="2064" w:type="dxa"/>
            <w:vAlign w:val="center"/>
          </w:tcPr>
          <w:p w14:paraId="09EE48AF">
            <w:pPr>
              <w:widowControl/>
              <w:spacing w:line="240" w:lineRule="auto"/>
              <w:ind w:firstLine="0" w:firstLineChars="0"/>
              <w:jc w:val="center"/>
              <w:rPr>
                <w:color w:val="auto"/>
                <w:kern w:val="0"/>
                <w:sz w:val="21"/>
                <w:szCs w:val="21"/>
              </w:rPr>
            </w:pPr>
          </w:p>
        </w:tc>
        <w:tc>
          <w:tcPr>
            <w:tcW w:w="1075" w:type="dxa"/>
            <w:vAlign w:val="center"/>
          </w:tcPr>
          <w:p w14:paraId="358378D4">
            <w:pPr>
              <w:widowControl/>
              <w:spacing w:line="240" w:lineRule="auto"/>
              <w:ind w:firstLine="0" w:firstLineChars="0"/>
              <w:jc w:val="center"/>
              <w:rPr>
                <w:color w:val="auto"/>
                <w:kern w:val="0"/>
                <w:sz w:val="21"/>
                <w:szCs w:val="21"/>
              </w:rPr>
            </w:pPr>
          </w:p>
        </w:tc>
        <w:tc>
          <w:tcPr>
            <w:tcW w:w="1301" w:type="dxa"/>
            <w:vAlign w:val="center"/>
          </w:tcPr>
          <w:p w14:paraId="4287EDB1">
            <w:pPr>
              <w:widowControl/>
              <w:spacing w:line="240" w:lineRule="auto"/>
              <w:ind w:firstLine="0" w:firstLineChars="0"/>
              <w:jc w:val="center"/>
              <w:rPr>
                <w:color w:val="auto"/>
                <w:kern w:val="0"/>
                <w:sz w:val="21"/>
                <w:szCs w:val="21"/>
              </w:rPr>
            </w:pPr>
          </w:p>
        </w:tc>
        <w:tc>
          <w:tcPr>
            <w:tcW w:w="888" w:type="dxa"/>
            <w:vAlign w:val="center"/>
          </w:tcPr>
          <w:p w14:paraId="635DBDA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56559F9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2D26B881">
            <w:pPr>
              <w:widowControl/>
              <w:spacing w:line="240" w:lineRule="auto"/>
              <w:ind w:firstLine="0" w:firstLineChars="0"/>
              <w:jc w:val="center"/>
              <w:rPr>
                <w:color w:val="auto"/>
                <w:kern w:val="0"/>
                <w:sz w:val="21"/>
                <w:szCs w:val="21"/>
              </w:rPr>
            </w:pPr>
            <w:r>
              <w:rPr>
                <w:rFonts w:hint="eastAsia"/>
                <w:color w:val="auto"/>
                <w:kern w:val="0"/>
                <w:sz w:val="21"/>
                <w:szCs w:val="21"/>
              </w:rPr>
              <w:t>148</w:t>
            </w:r>
          </w:p>
        </w:tc>
        <w:tc>
          <w:tcPr>
            <w:tcW w:w="757" w:type="pct"/>
            <w:vMerge w:val="continue"/>
            <w:vAlign w:val="center"/>
          </w:tcPr>
          <w:p w14:paraId="7649FDD3">
            <w:pPr>
              <w:widowControl/>
              <w:spacing w:line="240" w:lineRule="auto"/>
              <w:ind w:firstLine="0" w:firstLineChars="0"/>
              <w:jc w:val="center"/>
              <w:rPr>
                <w:color w:val="auto"/>
                <w:kern w:val="0"/>
                <w:sz w:val="21"/>
                <w:szCs w:val="21"/>
              </w:rPr>
            </w:pPr>
          </w:p>
        </w:tc>
        <w:tc>
          <w:tcPr>
            <w:tcW w:w="2237" w:type="dxa"/>
            <w:vAlign w:val="center"/>
          </w:tcPr>
          <w:p w14:paraId="61A7BEF2">
            <w:pPr>
              <w:widowControl/>
              <w:spacing w:line="240" w:lineRule="auto"/>
              <w:ind w:firstLine="0" w:firstLineChars="0"/>
              <w:jc w:val="center"/>
              <w:rPr>
                <w:color w:val="auto"/>
                <w:kern w:val="0"/>
                <w:sz w:val="21"/>
                <w:szCs w:val="21"/>
              </w:rPr>
            </w:pPr>
          </w:p>
        </w:tc>
        <w:tc>
          <w:tcPr>
            <w:tcW w:w="2064" w:type="dxa"/>
            <w:vAlign w:val="center"/>
          </w:tcPr>
          <w:p w14:paraId="7C63DEB7">
            <w:pPr>
              <w:widowControl/>
              <w:spacing w:line="240" w:lineRule="auto"/>
              <w:ind w:firstLine="0" w:firstLineChars="0"/>
              <w:jc w:val="center"/>
              <w:rPr>
                <w:color w:val="auto"/>
                <w:kern w:val="0"/>
                <w:sz w:val="21"/>
                <w:szCs w:val="21"/>
              </w:rPr>
            </w:pPr>
          </w:p>
        </w:tc>
        <w:tc>
          <w:tcPr>
            <w:tcW w:w="1075" w:type="dxa"/>
            <w:vAlign w:val="center"/>
          </w:tcPr>
          <w:p w14:paraId="098B65C1">
            <w:pPr>
              <w:widowControl/>
              <w:spacing w:line="240" w:lineRule="auto"/>
              <w:ind w:firstLine="0" w:firstLineChars="0"/>
              <w:jc w:val="center"/>
              <w:rPr>
                <w:color w:val="auto"/>
                <w:kern w:val="0"/>
                <w:sz w:val="21"/>
                <w:szCs w:val="21"/>
              </w:rPr>
            </w:pPr>
          </w:p>
        </w:tc>
        <w:tc>
          <w:tcPr>
            <w:tcW w:w="1301" w:type="dxa"/>
            <w:vAlign w:val="center"/>
          </w:tcPr>
          <w:p w14:paraId="20F3D821">
            <w:pPr>
              <w:widowControl/>
              <w:spacing w:line="240" w:lineRule="auto"/>
              <w:ind w:firstLine="0" w:firstLineChars="0"/>
              <w:jc w:val="center"/>
              <w:rPr>
                <w:color w:val="auto"/>
                <w:kern w:val="0"/>
                <w:sz w:val="21"/>
                <w:szCs w:val="21"/>
              </w:rPr>
            </w:pPr>
          </w:p>
        </w:tc>
        <w:tc>
          <w:tcPr>
            <w:tcW w:w="888" w:type="dxa"/>
            <w:vAlign w:val="center"/>
          </w:tcPr>
          <w:p w14:paraId="5FD4260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7C3151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551202C5">
            <w:pPr>
              <w:widowControl/>
              <w:spacing w:line="240" w:lineRule="auto"/>
              <w:ind w:firstLine="0" w:firstLineChars="0"/>
              <w:jc w:val="center"/>
              <w:rPr>
                <w:color w:val="auto"/>
                <w:kern w:val="0"/>
                <w:sz w:val="21"/>
                <w:szCs w:val="21"/>
              </w:rPr>
            </w:pPr>
            <w:r>
              <w:rPr>
                <w:rFonts w:hint="eastAsia"/>
                <w:color w:val="auto"/>
                <w:kern w:val="0"/>
                <w:sz w:val="21"/>
                <w:szCs w:val="21"/>
              </w:rPr>
              <w:t>149</w:t>
            </w:r>
          </w:p>
        </w:tc>
        <w:tc>
          <w:tcPr>
            <w:tcW w:w="757" w:type="pct"/>
            <w:vMerge w:val="continue"/>
            <w:vAlign w:val="center"/>
          </w:tcPr>
          <w:p w14:paraId="62150B93">
            <w:pPr>
              <w:widowControl/>
              <w:spacing w:line="240" w:lineRule="auto"/>
              <w:ind w:firstLine="0" w:firstLineChars="0"/>
              <w:jc w:val="center"/>
              <w:rPr>
                <w:color w:val="auto"/>
                <w:kern w:val="0"/>
                <w:sz w:val="21"/>
                <w:szCs w:val="21"/>
              </w:rPr>
            </w:pPr>
          </w:p>
        </w:tc>
        <w:tc>
          <w:tcPr>
            <w:tcW w:w="2237" w:type="dxa"/>
            <w:vAlign w:val="center"/>
          </w:tcPr>
          <w:p w14:paraId="5582C273">
            <w:pPr>
              <w:widowControl/>
              <w:spacing w:line="240" w:lineRule="auto"/>
              <w:ind w:firstLine="0" w:firstLineChars="0"/>
              <w:jc w:val="center"/>
              <w:rPr>
                <w:color w:val="auto"/>
                <w:kern w:val="0"/>
                <w:sz w:val="21"/>
                <w:szCs w:val="21"/>
              </w:rPr>
            </w:pPr>
          </w:p>
        </w:tc>
        <w:tc>
          <w:tcPr>
            <w:tcW w:w="2064" w:type="dxa"/>
            <w:vAlign w:val="center"/>
          </w:tcPr>
          <w:p w14:paraId="4BFCA779">
            <w:pPr>
              <w:widowControl/>
              <w:spacing w:line="240" w:lineRule="auto"/>
              <w:ind w:firstLine="0" w:firstLineChars="0"/>
              <w:jc w:val="center"/>
              <w:rPr>
                <w:color w:val="auto"/>
                <w:kern w:val="0"/>
                <w:sz w:val="21"/>
                <w:szCs w:val="21"/>
              </w:rPr>
            </w:pPr>
          </w:p>
        </w:tc>
        <w:tc>
          <w:tcPr>
            <w:tcW w:w="1075" w:type="dxa"/>
            <w:vAlign w:val="center"/>
          </w:tcPr>
          <w:p w14:paraId="05CCE73B">
            <w:pPr>
              <w:widowControl/>
              <w:spacing w:line="240" w:lineRule="auto"/>
              <w:ind w:firstLine="0" w:firstLineChars="0"/>
              <w:jc w:val="center"/>
              <w:rPr>
                <w:color w:val="auto"/>
                <w:kern w:val="0"/>
                <w:sz w:val="21"/>
                <w:szCs w:val="21"/>
              </w:rPr>
            </w:pPr>
          </w:p>
        </w:tc>
        <w:tc>
          <w:tcPr>
            <w:tcW w:w="1301" w:type="dxa"/>
            <w:vAlign w:val="center"/>
          </w:tcPr>
          <w:p w14:paraId="272B1B08">
            <w:pPr>
              <w:widowControl/>
              <w:spacing w:line="240" w:lineRule="auto"/>
              <w:ind w:firstLine="0" w:firstLineChars="0"/>
              <w:jc w:val="center"/>
              <w:rPr>
                <w:color w:val="auto"/>
                <w:kern w:val="0"/>
                <w:sz w:val="21"/>
                <w:szCs w:val="21"/>
              </w:rPr>
            </w:pPr>
          </w:p>
        </w:tc>
        <w:tc>
          <w:tcPr>
            <w:tcW w:w="888" w:type="dxa"/>
            <w:vAlign w:val="center"/>
          </w:tcPr>
          <w:p w14:paraId="30652FA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92AEC8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633801C3">
            <w:pPr>
              <w:widowControl/>
              <w:spacing w:line="240" w:lineRule="auto"/>
              <w:ind w:firstLine="0" w:firstLineChars="0"/>
              <w:jc w:val="center"/>
              <w:rPr>
                <w:color w:val="auto"/>
                <w:kern w:val="0"/>
                <w:sz w:val="21"/>
                <w:szCs w:val="21"/>
              </w:rPr>
            </w:pPr>
            <w:r>
              <w:rPr>
                <w:rFonts w:hint="eastAsia"/>
                <w:color w:val="auto"/>
                <w:kern w:val="0"/>
                <w:sz w:val="21"/>
                <w:szCs w:val="21"/>
              </w:rPr>
              <w:t>150</w:t>
            </w:r>
          </w:p>
        </w:tc>
        <w:tc>
          <w:tcPr>
            <w:tcW w:w="757" w:type="pct"/>
            <w:vMerge w:val="continue"/>
            <w:vAlign w:val="center"/>
          </w:tcPr>
          <w:p w14:paraId="3D77BE10">
            <w:pPr>
              <w:widowControl/>
              <w:spacing w:line="240" w:lineRule="auto"/>
              <w:ind w:firstLine="0" w:firstLineChars="0"/>
              <w:jc w:val="center"/>
              <w:rPr>
                <w:color w:val="auto"/>
                <w:kern w:val="0"/>
                <w:sz w:val="21"/>
                <w:szCs w:val="21"/>
              </w:rPr>
            </w:pPr>
          </w:p>
        </w:tc>
        <w:tc>
          <w:tcPr>
            <w:tcW w:w="2237" w:type="dxa"/>
            <w:vAlign w:val="center"/>
          </w:tcPr>
          <w:p w14:paraId="5B578FA3">
            <w:pPr>
              <w:widowControl/>
              <w:spacing w:line="240" w:lineRule="auto"/>
              <w:ind w:firstLine="0" w:firstLineChars="0"/>
              <w:jc w:val="center"/>
              <w:rPr>
                <w:color w:val="auto"/>
                <w:kern w:val="0"/>
                <w:sz w:val="21"/>
                <w:szCs w:val="21"/>
              </w:rPr>
            </w:pPr>
          </w:p>
        </w:tc>
        <w:tc>
          <w:tcPr>
            <w:tcW w:w="2064" w:type="dxa"/>
            <w:vAlign w:val="center"/>
          </w:tcPr>
          <w:p w14:paraId="5356637F">
            <w:pPr>
              <w:widowControl/>
              <w:spacing w:line="240" w:lineRule="auto"/>
              <w:ind w:firstLine="0" w:firstLineChars="0"/>
              <w:jc w:val="center"/>
              <w:rPr>
                <w:color w:val="auto"/>
                <w:kern w:val="0"/>
                <w:sz w:val="21"/>
                <w:szCs w:val="21"/>
              </w:rPr>
            </w:pPr>
          </w:p>
        </w:tc>
        <w:tc>
          <w:tcPr>
            <w:tcW w:w="1075" w:type="dxa"/>
            <w:vAlign w:val="center"/>
          </w:tcPr>
          <w:p w14:paraId="70F498D0">
            <w:pPr>
              <w:widowControl/>
              <w:spacing w:line="240" w:lineRule="auto"/>
              <w:ind w:firstLine="0" w:firstLineChars="0"/>
              <w:jc w:val="center"/>
              <w:rPr>
                <w:color w:val="auto"/>
                <w:kern w:val="0"/>
                <w:sz w:val="21"/>
                <w:szCs w:val="21"/>
              </w:rPr>
            </w:pPr>
          </w:p>
        </w:tc>
        <w:tc>
          <w:tcPr>
            <w:tcW w:w="1301" w:type="dxa"/>
            <w:vAlign w:val="center"/>
          </w:tcPr>
          <w:p w14:paraId="316EA1FB">
            <w:pPr>
              <w:widowControl/>
              <w:spacing w:line="240" w:lineRule="auto"/>
              <w:ind w:firstLine="0" w:firstLineChars="0"/>
              <w:jc w:val="center"/>
              <w:rPr>
                <w:color w:val="auto"/>
                <w:kern w:val="0"/>
                <w:sz w:val="21"/>
                <w:szCs w:val="21"/>
              </w:rPr>
            </w:pPr>
          </w:p>
        </w:tc>
        <w:tc>
          <w:tcPr>
            <w:tcW w:w="888" w:type="dxa"/>
            <w:vAlign w:val="center"/>
          </w:tcPr>
          <w:p w14:paraId="4FF41381">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49A6E7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636F7DD7">
            <w:pPr>
              <w:widowControl/>
              <w:spacing w:line="240" w:lineRule="auto"/>
              <w:ind w:firstLine="0" w:firstLineChars="0"/>
              <w:jc w:val="center"/>
              <w:rPr>
                <w:color w:val="auto"/>
                <w:kern w:val="0"/>
                <w:sz w:val="21"/>
                <w:szCs w:val="21"/>
              </w:rPr>
            </w:pPr>
            <w:r>
              <w:rPr>
                <w:rFonts w:hint="eastAsia"/>
                <w:color w:val="auto"/>
                <w:kern w:val="0"/>
                <w:sz w:val="21"/>
                <w:szCs w:val="21"/>
              </w:rPr>
              <w:t>151</w:t>
            </w:r>
          </w:p>
        </w:tc>
        <w:tc>
          <w:tcPr>
            <w:tcW w:w="757" w:type="pct"/>
            <w:vMerge w:val="continue"/>
            <w:vAlign w:val="center"/>
          </w:tcPr>
          <w:p w14:paraId="22202FEF">
            <w:pPr>
              <w:widowControl/>
              <w:spacing w:line="240" w:lineRule="auto"/>
              <w:ind w:firstLine="0" w:firstLineChars="0"/>
              <w:jc w:val="center"/>
              <w:rPr>
                <w:color w:val="auto"/>
                <w:kern w:val="0"/>
                <w:sz w:val="21"/>
                <w:szCs w:val="21"/>
              </w:rPr>
            </w:pPr>
          </w:p>
        </w:tc>
        <w:tc>
          <w:tcPr>
            <w:tcW w:w="2237" w:type="dxa"/>
            <w:vAlign w:val="center"/>
          </w:tcPr>
          <w:p w14:paraId="7A9965FF">
            <w:pPr>
              <w:widowControl/>
              <w:spacing w:line="240" w:lineRule="auto"/>
              <w:ind w:firstLine="0" w:firstLineChars="0"/>
              <w:jc w:val="center"/>
              <w:rPr>
                <w:color w:val="auto"/>
                <w:kern w:val="0"/>
                <w:sz w:val="21"/>
                <w:szCs w:val="21"/>
              </w:rPr>
            </w:pPr>
          </w:p>
        </w:tc>
        <w:tc>
          <w:tcPr>
            <w:tcW w:w="2064" w:type="dxa"/>
            <w:vAlign w:val="center"/>
          </w:tcPr>
          <w:p w14:paraId="284BE703">
            <w:pPr>
              <w:widowControl/>
              <w:spacing w:line="240" w:lineRule="auto"/>
              <w:ind w:firstLine="0" w:firstLineChars="0"/>
              <w:jc w:val="center"/>
              <w:rPr>
                <w:color w:val="auto"/>
                <w:kern w:val="0"/>
                <w:sz w:val="21"/>
                <w:szCs w:val="21"/>
              </w:rPr>
            </w:pPr>
          </w:p>
        </w:tc>
        <w:tc>
          <w:tcPr>
            <w:tcW w:w="1075" w:type="dxa"/>
            <w:vAlign w:val="center"/>
          </w:tcPr>
          <w:p w14:paraId="19553459">
            <w:pPr>
              <w:widowControl/>
              <w:spacing w:line="240" w:lineRule="auto"/>
              <w:ind w:firstLine="0" w:firstLineChars="0"/>
              <w:jc w:val="center"/>
              <w:rPr>
                <w:color w:val="auto"/>
                <w:kern w:val="0"/>
                <w:sz w:val="21"/>
                <w:szCs w:val="21"/>
              </w:rPr>
            </w:pPr>
          </w:p>
        </w:tc>
        <w:tc>
          <w:tcPr>
            <w:tcW w:w="1301" w:type="dxa"/>
            <w:vAlign w:val="center"/>
          </w:tcPr>
          <w:p w14:paraId="44BBE97F">
            <w:pPr>
              <w:widowControl/>
              <w:spacing w:line="240" w:lineRule="auto"/>
              <w:ind w:firstLine="0" w:firstLineChars="0"/>
              <w:jc w:val="center"/>
              <w:rPr>
                <w:color w:val="auto"/>
                <w:kern w:val="0"/>
                <w:sz w:val="21"/>
                <w:szCs w:val="21"/>
              </w:rPr>
            </w:pPr>
          </w:p>
        </w:tc>
        <w:tc>
          <w:tcPr>
            <w:tcW w:w="888" w:type="dxa"/>
            <w:vAlign w:val="center"/>
          </w:tcPr>
          <w:p w14:paraId="17E10083">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4AB5BDA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4DAFA97C">
            <w:pPr>
              <w:widowControl/>
              <w:spacing w:line="240" w:lineRule="auto"/>
              <w:ind w:firstLine="0" w:firstLineChars="0"/>
              <w:jc w:val="center"/>
              <w:rPr>
                <w:color w:val="auto"/>
                <w:kern w:val="0"/>
                <w:sz w:val="21"/>
                <w:szCs w:val="21"/>
              </w:rPr>
            </w:pPr>
            <w:r>
              <w:rPr>
                <w:rFonts w:hint="eastAsia"/>
                <w:color w:val="auto"/>
                <w:kern w:val="0"/>
                <w:sz w:val="21"/>
                <w:szCs w:val="21"/>
              </w:rPr>
              <w:t>152</w:t>
            </w:r>
          </w:p>
        </w:tc>
        <w:tc>
          <w:tcPr>
            <w:tcW w:w="757" w:type="pct"/>
            <w:vMerge w:val="continue"/>
            <w:vAlign w:val="center"/>
          </w:tcPr>
          <w:p w14:paraId="756C5860">
            <w:pPr>
              <w:widowControl/>
              <w:spacing w:line="240" w:lineRule="auto"/>
              <w:ind w:firstLine="0" w:firstLineChars="0"/>
              <w:jc w:val="center"/>
              <w:rPr>
                <w:color w:val="auto"/>
                <w:kern w:val="0"/>
                <w:sz w:val="21"/>
                <w:szCs w:val="21"/>
              </w:rPr>
            </w:pPr>
          </w:p>
        </w:tc>
        <w:tc>
          <w:tcPr>
            <w:tcW w:w="2237" w:type="dxa"/>
            <w:vAlign w:val="center"/>
          </w:tcPr>
          <w:p w14:paraId="0932B867">
            <w:pPr>
              <w:widowControl/>
              <w:spacing w:line="240" w:lineRule="auto"/>
              <w:ind w:firstLine="0" w:firstLineChars="0"/>
              <w:jc w:val="center"/>
              <w:rPr>
                <w:color w:val="auto"/>
                <w:kern w:val="0"/>
                <w:sz w:val="21"/>
                <w:szCs w:val="21"/>
              </w:rPr>
            </w:pPr>
          </w:p>
        </w:tc>
        <w:tc>
          <w:tcPr>
            <w:tcW w:w="2064" w:type="dxa"/>
            <w:vAlign w:val="center"/>
          </w:tcPr>
          <w:p w14:paraId="5DE9E992">
            <w:pPr>
              <w:widowControl/>
              <w:spacing w:line="240" w:lineRule="auto"/>
              <w:ind w:firstLine="0" w:firstLineChars="0"/>
              <w:jc w:val="center"/>
              <w:rPr>
                <w:color w:val="auto"/>
                <w:kern w:val="0"/>
                <w:sz w:val="21"/>
                <w:szCs w:val="21"/>
              </w:rPr>
            </w:pPr>
          </w:p>
        </w:tc>
        <w:tc>
          <w:tcPr>
            <w:tcW w:w="1075" w:type="dxa"/>
            <w:vAlign w:val="center"/>
          </w:tcPr>
          <w:p w14:paraId="2D582DD5">
            <w:pPr>
              <w:widowControl/>
              <w:spacing w:line="240" w:lineRule="auto"/>
              <w:ind w:firstLine="0" w:firstLineChars="0"/>
              <w:jc w:val="center"/>
              <w:rPr>
                <w:color w:val="auto"/>
                <w:kern w:val="0"/>
                <w:sz w:val="21"/>
                <w:szCs w:val="21"/>
              </w:rPr>
            </w:pPr>
          </w:p>
        </w:tc>
        <w:tc>
          <w:tcPr>
            <w:tcW w:w="1301" w:type="dxa"/>
            <w:vAlign w:val="center"/>
          </w:tcPr>
          <w:p w14:paraId="1ED6B183">
            <w:pPr>
              <w:widowControl/>
              <w:spacing w:line="240" w:lineRule="auto"/>
              <w:ind w:firstLine="0" w:firstLineChars="0"/>
              <w:jc w:val="center"/>
              <w:rPr>
                <w:color w:val="auto"/>
                <w:kern w:val="0"/>
                <w:sz w:val="21"/>
                <w:szCs w:val="21"/>
              </w:rPr>
            </w:pPr>
          </w:p>
        </w:tc>
        <w:tc>
          <w:tcPr>
            <w:tcW w:w="888" w:type="dxa"/>
            <w:vAlign w:val="center"/>
          </w:tcPr>
          <w:p w14:paraId="4414D1AE">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57615C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60AD48AD">
            <w:pPr>
              <w:widowControl/>
              <w:spacing w:line="240" w:lineRule="auto"/>
              <w:ind w:firstLine="0" w:firstLineChars="0"/>
              <w:jc w:val="center"/>
              <w:rPr>
                <w:color w:val="auto"/>
                <w:kern w:val="0"/>
                <w:sz w:val="21"/>
                <w:szCs w:val="21"/>
              </w:rPr>
            </w:pPr>
            <w:r>
              <w:rPr>
                <w:rFonts w:hint="eastAsia"/>
                <w:color w:val="auto"/>
                <w:kern w:val="0"/>
                <w:sz w:val="21"/>
                <w:szCs w:val="21"/>
              </w:rPr>
              <w:t>153</w:t>
            </w:r>
          </w:p>
        </w:tc>
        <w:tc>
          <w:tcPr>
            <w:tcW w:w="757" w:type="pct"/>
            <w:vMerge w:val="continue"/>
            <w:vAlign w:val="center"/>
          </w:tcPr>
          <w:p w14:paraId="1F4BEDEA">
            <w:pPr>
              <w:widowControl/>
              <w:spacing w:line="240" w:lineRule="auto"/>
              <w:ind w:firstLine="0" w:firstLineChars="0"/>
              <w:jc w:val="center"/>
              <w:rPr>
                <w:color w:val="auto"/>
                <w:kern w:val="0"/>
                <w:sz w:val="21"/>
                <w:szCs w:val="21"/>
              </w:rPr>
            </w:pPr>
          </w:p>
        </w:tc>
        <w:tc>
          <w:tcPr>
            <w:tcW w:w="2237" w:type="dxa"/>
            <w:vAlign w:val="center"/>
          </w:tcPr>
          <w:p w14:paraId="133D7CD5">
            <w:pPr>
              <w:widowControl/>
              <w:spacing w:line="240" w:lineRule="auto"/>
              <w:ind w:firstLine="0" w:firstLineChars="0"/>
              <w:jc w:val="center"/>
              <w:rPr>
                <w:color w:val="auto"/>
                <w:kern w:val="0"/>
                <w:sz w:val="21"/>
                <w:szCs w:val="21"/>
              </w:rPr>
            </w:pPr>
          </w:p>
        </w:tc>
        <w:tc>
          <w:tcPr>
            <w:tcW w:w="2064" w:type="dxa"/>
            <w:vAlign w:val="center"/>
          </w:tcPr>
          <w:p w14:paraId="524648FB">
            <w:pPr>
              <w:widowControl/>
              <w:spacing w:line="240" w:lineRule="auto"/>
              <w:ind w:firstLine="0" w:firstLineChars="0"/>
              <w:jc w:val="center"/>
              <w:rPr>
                <w:color w:val="auto"/>
                <w:kern w:val="0"/>
                <w:sz w:val="21"/>
                <w:szCs w:val="21"/>
              </w:rPr>
            </w:pPr>
          </w:p>
        </w:tc>
        <w:tc>
          <w:tcPr>
            <w:tcW w:w="1075" w:type="dxa"/>
            <w:vAlign w:val="center"/>
          </w:tcPr>
          <w:p w14:paraId="5F1443C4">
            <w:pPr>
              <w:widowControl/>
              <w:spacing w:line="240" w:lineRule="auto"/>
              <w:ind w:firstLine="0" w:firstLineChars="0"/>
              <w:jc w:val="center"/>
              <w:rPr>
                <w:color w:val="auto"/>
                <w:kern w:val="0"/>
                <w:sz w:val="21"/>
                <w:szCs w:val="21"/>
              </w:rPr>
            </w:pPr>
          </w:p>
        </w:tc>
        <w:tc>
          <w:tcPr>
            <w:tcW w:w="1301" w:type="dxa"/>
            <w:vAlign w:val="center"/>
          </w:tcPr>
          <w:p w14:paraId="006BAE6B">
            <w:pPr>
              <w:widowControl/>
              <w:spacing w:line="240" w:lineRule="auto"/>
              <w:ind w:firstLine="0" w:firstLineChars="0"/>
              <w:jc w:val="center"/>
              <w:rPr>
                <w:color w:val="auto"/>
                <w:kern w:val="0"/>
                <w:sz w:val="21"/>
                <w:szCs w:val="21"/>
              </w:rPr>
            </w:pPr>
          </w:p>
        </w:tc>
        <w:tc>
          <w:tcPr>
            <w:tcW w:w="888" w:type="dxa"/>
            <w:vAlign w:val="center"/>
          </w:tcPr>
          <w:p w14:paraId="51E4676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734336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71D9CEDD">
            <w:pPr>
              <w:widowControl/>
              <w:spacing w:line="240" w:lineRule="auto"/>
              <w:ind w:firstLine="0" w:firstLineChars="0"/>
              <w:jc w:val="center"/>
              <w:rPr>
                <w:color w:val="auto"/>
                <w:kern w:val="0"/>
                <w:sz w:val="21"/>
                <w:szCs w:val="21"/>
              </w:rPr>
            </w:pPr>
            <w:r>
              <w:rPr>
                <w:rFonts w:hint="eastAsia"/>
                <w:color w:val="auto"/>
                <w:kern w:val="0"/>
                <w:sz w:val="21"/>
                <w:szCs w:val="21"/>
              </w:rPr>
              <w:t>154</w:t>
            </w:r>
          </w:p>
        </w:tc>
        <w:tc>
          <w:tcPr>
            <w:tcW w:w="757" w:type="pct"/>
            <w:vMerge w:val="continue"/>
            <w:vAlign w:val="center"/>
          </w:tcPr>
          <w:p w14:paraId="667BAE09">
            <w:pPr>
              <w:widowControl/>
              <w:spacing w:line="240" w:lineRule="auto"/>
              <w:ind w:firstLine="0" w:firstLineChars="0"/>
              <w:jc w:val="center"/>
              <w:rPr>
                <w:color w:val="auto"/>
                <w:kern w:val="0"/>
                <w:sz w:val="21"/>
                <w:szCs w:val="21"/>
              </w:rPr>
            </w:pPr>
          </w:p>
        </w:tc>
        <w:tc>
          <w:tcPr>
            <w:tcW w:w="2237" w:type="dxa"/>
            <w:vAlign w:val="center"/>
          </w:tcPr>
          <w:p w14:paraId="49CA02CB">
            <w:pPr>
              <w:widowControl/>
              <w:spacing w:line="240" w:lineRule="auto"/>
              <w:ind w:firstLine="0" w:firstLineChars="0"/>
              <w:jc w:val="center"/>
              <w:rPr>
                <w:color w:val="auto"/>
                <w:kern w:val="0"/>
                <w:sz w:val="21"/>
                <w:szCs w:val="21"/>
              </w:rPr>
            </w:pPr>
          </w:p>
        </w:tc>
        <w:tc>
          <w:tcPr>
            <w:tcW w:w="2064" w:type="dxa"/>
            <w:vAlign w:val="center"/>
          </w:tcPr>
          <w:p w14:paraId="24E95789">
            <w:pPr>
              <w:widowControl/>
              <w:spacing w:line="240" w:lineRule="auto"/>
              <w:ind w:firstLine="0" w:firstLineChars="0"/>
              <w:jc w:val="center"/>
              <w:rPr>
                <w:color w:val="auto"/>
                <w:kern w:val="0"/>
                <w:sz w:val="21"/>
                <w:szCs w:val="21"/>
              </w:rPr>
            </w:pPr>
          </w:p>
        </w:tc>
        <w:tc>
          <w:tcPr>
            <w:tcW w:w="1075" w:type="dxa"/>
            <w:vAlign w:val="center"/>
          </w:tcPr>
          <w:p w14:paraId="049CF122">
            <w:pPr>
              <w:widowControl/>
              <w:spacing w:line="240" w:lineRule="auto"/>
              <w:ind w:firstLine="0" w:firstLineChars="0"/>
              <w:jc w:val="center"/>
              <w:rPr>
                <w:color w:val="auto"/>
                <w:kern w:val="0"/>
                <w:sz w:val="21"/>
                <w:szCs w:val="21"/>
              </w:rPr>
            </w:pPr>
          </w:p>
        </w:tc>
        <w:tc>
          <w:tcPr>
            <w:tcW w:w="1301" w:type="dxa"/>
            <w:vAlign w:val="center"/>
          </w:tcPr>
          <w:p w14:paraId="354A7089">
            <w:pPr>
              <w:widowControl/>
              <w:spacing w:line="240" w:lineRule="auto"/>
              <w:ind w:firstLine="0" w:firstLineChars="0"/>
              <w:jc w:val="center"/>
              <w:rPr>
                <w:color w:val="auto"/>
                <w:kern w:val="0"/>
                <w:sz w:val="21"/>
                <w:szCs w:val="21"/>
              </w:rPr>
            </w:pPr>
          </w:p>
        </w:tc>
        <w:tc>
          <w:tcPr>
            <w:tcW w:w="888" w:type="dxa"/>
            <w:vAlign w:val="center"/>
          </w:tcPr>
          <w:p w14:paraId="4A4F27D6">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1AB314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78EE7125">
            <w:pPr>
              <w:widowControl/>
              <w:spacing w:line="240" w:lineRule="auto"/>
              <w:ind w:firstLine="0" w:firstLineChars="0"/>
              <w:jc w:val="center"/>
              <w:rPr>
                <w:color w:val="auto"/>
                <w:kern w:val="0"/>
                <w:sz w:val="21"/>
                <w:szCs w:val="21"/>
              </w:rPr>
            </w:pPr>
            <w:r>
              <w:rPr>
                <w:rFonts w:hint="eastAsia"/>
                <w:color w:val="auto"/>
                <w:kern w:val="0"/>
                <w:sz w:val="21"/>
                <w:szCs w:val="21"/>
              </w:rPr>
              <w:t>155</w:t>
            </w:r>
          </w:p>
        </w:tc>
        <w:tc>
          <w:tcPr>
            <w:tcW w:w="757" w:type="pct"/>
            <w:vMerge w:val="continue"/>
            <w:vAlign w:val="center"/>
          </w:tcPr>
          <w:p w14:paraId="1C1FCC0E">
            <w:pPr>
              <w:widowControl/>
              <w:spacing w:line="240" w:lineRule="auto"/>
              <w:ind w:firstLine="0" w:firstLineChars="0"/>
              <w:jc w:val="center"/>
              <w:rPr>
                <w:color w:val="auto"/>
                <w:kern w:val="0"/>
                <w:sz w:val="21"/>
                <w:szCs w:val="21"/>
              </w:rPr>
            </w:pPr>
          </w:p>
        </w:tc>
        <w:tc>
          <w:tcPr>
            <w:tcW w:w="2237" w:type="dxa"/>
            <w:vAlign w:val="center"/>
          </w:tcPr>
          <w:p w14:paraId="2FCA2AEF">
            <w:pPr>
              <w:widowControl/>
              <w:spacing w:line="240" w:lineRule="auto"/>
              <w:ind w:firstLine="0" w:firstLineChars="0"/>
              <w:jc w:val="center"/>
              <w:rPr>
                <w:color w:val="auto"/>
                <w:kern w:val="0"/>
                <w:sz w:val="21"/>
                <w:szCs w:val="21"/>
              </w:rPr>
            </w:pPr>
          </w:p>
        </w:tc>
        <w:tc>
          <w:tcPr>
            <w:tcW w:w="2064" w:type="dxa"/>
            <w:vAlign w:val="center"/>
          </w:tcPr>
          <w:p w14:paraId="261F6D1D">
            <w:pPr>
              <w:widowControl/>
              <w:spacing w:line="240" w:lineRule="auto"/>
              <w:ind w:firstLine="0" w:firstLineChars="0"/>
              <w:jc w:val="center"/>
              <w:rPr>
                <w:color w:val="auto"/>
                <w:kern w:val="0"/>
                <w:sz w:val="21"/>
                <w:szCs w:val="21"/>
              </w:rPr>
            </w:pPr>
          </w:p>
        </w:tc>
        <w:tc>
          <w:tcPr>
            <w:tcW w:w="1075" w:type="dxa"/>
            <w:vAlign w:val="center"/>
          </w:tcPr>
          <w:p w14:paraId="2C6F4627">
            <w:pPr>
              <w:widowControl/>
              <w:spacing w:line="240" w:lineRule="auto"/>
              <w:ind w:firstLine="0" w:firstLineChars="0"/>
              <w:jc w:val="center"/>
              <w:rPr>
                <w:color w:val="auto"/>
                <w:kern w:val="0"/>
                <w:sz w:val="21"/>
                <w:szCs w:val="21"/>
              </w:rPr>
            </w:pPr>
          </w:p>
        </w:tc>
        <w:tc>
          <w:tcPr>
            <w:tcW w:w="1301" w:type="dxa"/>
            <w:vAlign w:val="center"/>
          </w:tcPr>
          <w:p w14:paraId="3D9A555D">
            <w:pPr>
              <w:widowControl/>
              <w:spacing w:line="240" w:lineRule="auto"/>
              <w:ind w:firstLine="0" w:firstLineChars="0"/>
              <w:jc w:val="center"/>
              <w:rPr>
                <w:color w:val="auto"/>
                <w:kern w:val="0"/>
                <w:sz w:val="21"/>
                <w:szCs w:val="21"/>
              </w:rPr>
            </w:pPr>
          </w:p>
        </w:tc>
        <w:tc>
          <w:tcPr>
            <w:tcW w:w="888" w:type="dxa"/>
            <w:vAlign w:val="center"/>
          </w:tcPr>
          <w:p w14:paraId="0411031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344F0C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0FC48342">
            <w:pPr>
              <w:widowControl/>
              <w:spacing w:line="240" w:lineRule="auto"/>
              <w:ind w:firstLine="0" w:firstLineChars="0"/>
              <w:jc w:val="center"/>
              <w:rPr>
                <w:color w:val="auto"/>
                <w:kern w:val="0"/>
                <w:sz w:val="21"/>
                <w:szCs w:val="21"/>
              </w:rPr>
            </w:pPr>
            <w:r>
              <w:rPr>
                <w:rFonts w:hint="eastAsia"/>
                <w:color w:val="auto"/>
                <w:kern w:val="0"/>
                <w:sz w:val="21"/>
                <w:szCs w:val="21"/>
              </w:rPr>
              <w:t>156</w:t>
            </w:r>
          </w:p>
        </w:tc>
        <w:tc>
          <w:tcPr>
            <w:tcW w:w="757" w:type="pct"/>
            <w:vMerge w:val="continue"/>
            <w:vAlign w:val="center"/>
          </w:tcPr>
          <w:p w14:paraId="69B28A51">
            <w:pPr>
              <w:widowControl/>
              <w:spacing w:line="240" w:lineRule="auto"/>
              <w:ind w:firstLine="0" w:firstLineChars="0"/>
              <w:jc w:val="center"/>
              <w:rPr>
                <w:color w:val="auto"/>
                <w:kern w:val="0"/>
                <w:sz w:val="21"/>
                <w:szCs w:val="21"/>
              </w:rPr>
            </w:pPr>
          </w:p>
        </w:tc>
        <w:tc>
          <w:tcPr>
            <w:tcW w:w="2237" w:type="dxa"/>
            <w:vAlign w:val="center"/>
          </w:tcPr>
          <w:p w14:paraId="08FE30BE">
            <w:pPr>
              <w:widowControl/>
              <w:spacing w:line="240" w:lineRule="auto"/>
              <w:ind w:firstLine="0" w:firstLineChars="0"/>
              <w:jc w:val="center"/>
              <w:rPr>
                <w:color w:val="auto"/>
                <w:kern w:val="0"/>
                <w:sz w:val="21"/>
                <w:szCs w:val="21"/>
              </w:rPr>
            </w:pPr>
          </w:p>
        </w:tc>
        <w:tc>
          <w:tcPr>
            <w:tcW w:w="2064" w:type="dxa"/>
            <w:vAlign w:val="center"/>
          </w:tcPr>
          <w:p w14:paraId="7C9504A3">
            <w:pPr>
              <w:widowControl/>
              <w:spacing w:line="240" w:lineRule="auto"/>
              <w:ind w:firstLine="0" w:firstLineChars="0"/>
              <w:jc w:val="center"/>
              <w:rPr>
                <w:color w:val="auto"/>
                <w:kern w:val="0"/>
                <w:sz w:val="21"/>
                <w:szCs w:val="21"/>
              </w:rPr>
            </w:pPr>
          </w:p>
        </w:tc>
        <w:tc>
          <w:tcPr>
            <w:tcW w:w="1075" w:type="dxa"/>
            <w:vAlign w:val="center"/>
          </w:tcPr>
          <w:p w14:paraId="27486504">
            <w:pPr>
              <w:widowControl/>
              <w:spacing w:line="240" w:lineRule="auto"/>
              <w:ind w:firstLine="0" w:firstLineChars="0"/>
              <w:jc w:val="center"/>
              <w:rPr>
                <w:color w:val="auto"/>
                <w:kern w:val="0"/>
                <w:sz w:val="21"/>
                <w:szCs w:val="21"/>
              </w:rPr>
            </w:pPr>
          </w:p>
        </w:tc>
        <w:tc>
          <w:tcPr>
            <w:tcW w:w="1301" w:type="dxa"/>
            <w:vAlign w:val="center"/>
          </w:tcPr>
          <w:p w14:paraId="163A5056">
            <w:pPr>
              <w:widowControl/>
              <w:spacing w:line="240" w:lineRule="auto"/>
              <w:ind w:firstLine="0" w:firstLineChars="0"/>
              <w:jc w:val="center"/>
              <w:rPr>
                <w:color w:val="auto"/>
                <w:kern w:val="0"/>
                <w:sz w:val="21"/>
                <w:szCs w:val="21"/>
              </w:rPr>
            </w:pPr>
          </w:p>
        </w:tc>
        <w:tc>
          <w:tcPr>
            <w:tcW w:w="888" w:type="dxa"/>
            <w:vAlign w:val="center"/>
          </w:tcPr>
          <w:p w14:paraId="2FB5AA89">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23C60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43385742">
            <w:pPr>
              <w:widowControl/>
              <w:spacing w:line="240" w:lineRule="auto"/>
              <w:ind w:firstLine="0" w:firstLineChars="0"/>
              <w:jc w:val="center"/>
              <w:rPr>
                <w:color w:val="auto"/>
                <w:kern w:val="0"/>
                <w:sz w:val="21"/>
                <w:szCs w:val="21"/>
              </w:rPr>
            </w:pPr>
            <w:r>
              <w:rPr>
                <w:rFonts w:hint="eastAsia"/>
                <w:color w:val="auto"/>
                <w:kern w:val="0"/>
                <w:sz w:val="21"/>
                <w:szCs w:val="21"/>
              </w:rPr>
              <w:t>157</w:t>
            </w:r>
          </w:p>
        </w:tc>
        <w:tc>
          <w:tcPr>
            <w:tcW w:w="757" w:type="pct"/>
            <w:vMerge w:val="continue"/>
            <w:vAlign w:val="center"/>
          </w:tcPr>
          <w:p w14:paraId="59EE8EC6">
            <w:pPr>
              <w:widowControl/>
              <w:spacing w:line="240" w:lineRule="auto"/>
              <w:ind w:firstLine="0" w:firstLineChars="0"/>
              <w:jc w:val="center"/>
              <w:rPr>
                <w:color w:val="auto"/>
                <w:kern w:val="0"/>
                <w:sz w:val="21"/>
                <w:szCs w:val="21"/>
              </w:rPr>
            </w:pPr>
          </w:p>
        </w:tc>
        <w:tc>
          <w:tcPr>
            <w:tcW w:w="2237" w:type="dxa"/>
            <w:vAlign w:val="center"/>
          </w:tcPr>
          <w:p w14:paraId="753D7B13">
            <w:pPr>
              <w:widowControl/>
              <w:spacing w:line="240" w:lineRule="auto"/>
              <w:ind w:firstLine="0" w:firstLineChars="0"/>
              <w:jc w:val="center"/>
              <w:rPr>
                <w:color w:val="auto"/>
                <w:kern w:val="0"/>
                <w:sz w:val="21"/>
                <w:szCs w:val="21"/>
              </w:rPr>
            </w:pPr>
          </w:p>
        </w:tc>
        <w:tc>
          <w:tcPr>
            <w:tcW w:w="2064" w:type="dxa"/>
            <w:vAlign w:val="center"/>
          </w:tcPr>
          <w:p w14:paraId="158F861C">
            <w:pPr>
              <w:widowControl/>
              <w:spacing w:line="240" w:lineRule="auto"/>
              <w:ind w:firstLine="0" w:firstLineChars="0"/>
              <w:jc w:val="center"/>
              <w:rPr>
                <w:color w:val="auto"/>
                <w:kern w:val="0"/>
                <w:sz w:val="21"/>
                <w:szCs w:val="21"/>
              </w:rPr>
            </w:pPr>
          </w:p>
        </w:tc>
        <w:tc>
          <w:tcPr>
            <w:tcW w:w="1075" w:type="dxa"/>
            <w:vAlign w:val="center"/>
          </w:tcPr>
          <w:p w14:paraId="7F3C9CB9">
            <w:pPr>
              <w:widowControl/>
              <w:spacing w:line="240" w:lineRule="auto"/>
              <w:ind w:firstLine="0" w:firstLineChars="0"/>
              <w:jc w:val="center"/>
              <w:rPr>
                <w:color w:val="auto"/>
                <w:kern w:val="0"/>
                <w:sz w:val="21"/>
                <w:szCs w:val="21"/>
              </w:rPr>
            </w:pPr>
          </w:p>
        </w:tc>
        <w:tc>
          <w:tcPr>
            <w:tcW w:w="1301" w:type="dxa"/>
            <w:vAlign w:val="center"/>
          </w:tcPr>
          <w:p w14:paraId="5A76F594">
            <w:pPr>
              <w:widowControl/>
              <w:spacing w:line="240" w:lineRule="auto"/>
              <w:ind w:firstLine="0" w:firstLineChars="0"/>
              <w:jc w:val="center"/>
              <w:rPr>
                <w:color w:val="auto"/>
                <w:kern w:val="0"/>
                <w:sz w:val="21"/>
                <w:szCs w:val="21"/>
              </w:rPr>
            </w:pPr>
          </w:p>
        </w:tc>
        <w:tc>
          <w:tcPr>
            <w:tcW w:w="888" w:type="dxa"/>
            <w:vAlign w:val="center"/>
          </w:tcPr>
          <w:p w14:paraId="4122362A">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18C5FE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2BF7B97B">
            <w:pPr>
              <w:widowControl/>
              <w:spacing w:line="240" w:lineRule="auto"/>
              <w:ind w:firstLine="0" w:firstLineChars="0"/>
              <w:jc w:val="center"/>
              <w:rPr>
                <w:color w:val="auto"/>
                <w:kern w:val="0"/>
                <w:sz w:val="21"/>
                <w:szCs w:val="21"/>
              </w:rPr>
            </w:pPr>
            <w:r>
              <w:rPr>
                <w:rFonts w:hint="eastAsia"/>
                <w:color w:val="auto"/>
                <w:kern w:val="0"/>
                <w:sz w:val="21"/>
                <w:szCs w:val="21"/>
              </w:rPr>
              <w:t>158</w:t>
            </w:r>
          </w:p>
        </w:tc>
        <w:tc>
          <w:tcPr>
            <w:tcW w:w="757" w:type="pct"/>
            <w:vMerge w:val="continue"/>
            <w:vAlign w:val="center"/>
          </w:tcPr>
          <w:p w14:paraId="0C464569">
            <w:pPr>
              <w:widowControl/>
              <w:spacing w:line="240" w:lineRule="auto"/>
              <w:ind w:firstLine="0" w:firstLineChars="0"/>
              <w:jc w:val="center"/>
              <w:rPr>
                <w:color w:val="auto"/>
                <w:kern w:val="0"/>
                <w:sz w:val="21"/>
                <w:szCs w:val="21"/>
              </w:rPr>
            </w:pPr>
          </w:p>
        </w:tc>
        <w:tc>
          <w:tcPr>
            <w:tcW w:w="2237" w:type="dxa"/>
            <w:vAlign w:val="center"/>
          </w:tcPr>
          <w:p w14:paraId="7B4DAB32">
            <w:pPr>
              <w:widowControl/>
              <w:spacing w:line="240" w:lineRule="auto"/>
              <w:ind w:firstLine="0" w:firstLineChars="0"/>
              <w:jc w:val="center"/>
              <w:rPr>
                <w:color w:val="auto"/>
                <w:kern w:val="0"/>
                <w:sz w:val="21"/>
                <w:szCs w:val="21"/>
              </w:rPr>
            </w:pPr>
          </w:p>
        </w:tc>
        <w:tc>
          <w:tcPr>
            <w:tcW w:w="2064" w:type="dxa"/>
            <w:vAlign w:val="center"/>
          </w:tcPr>
          <w:p w14:paraId="3C48F5C0">
            <w:pPr>
              <w:widowControl/>
              <w:spacing w:line="240" w:lineRule="auto"/>
              <w:ind w:firstLine="0" w:firstLineChars="0"/>
              <w:jc w:val="center"/>
              <w:rPr>
                <w:color w:val="auto"/>
                <w:kern w:val="0"/>
                <w:sz w:val="21"/>
                <w:szCs w:val="21"/>
              </w:rPr>
            </w:pPr>
          </w:p>
        </w:tc>
        <w:tc>
          <w:tcPr>
            <w:tcW w:w="1075" w:type="dxa"/>
            <w:vAlign w:val="center"/>
          </w:tcPr>
          <w:p w14:paraId="4101A0C1">
            <w:pPr>
              <w:widowControl/>
              <w:spacing w:line="240" w:lineRule="auto"/>
              <w:ind w:firstLine="0" w:firstLineChars="0"/>
              <w:jc w:val="center"/>
              <w:rPr>
                <w:color w:val="auto"/>
                <w:kern w:val="0"/>
                <w:sz w:val="21"/>
                <w:szCs w:val="21"/>
              </w:rPr>
            </w:pPr>
          </w:p>
        </w:tc>
        <w:tc>
          <w:tcPr>
            <w:tcW w:w="1301" w:type="dxa"/>
            <w:vAlign w:val="center"/>
          </w:tcPr>
          <w:p w14:paraId="12FBB418">
            <w:pPr>
              <w:widowControl/>
              <w:spacing w:line="240" w:lineRule="auto"/>
              <w:ind w:firstLine="0" w:firstLineChars="0"/>
              <w:jc w:val="center"/>
              <w:rPr>
                <w:color w:val="auto"/>
                <w:kern w:val="0"/>
                <w:sz w:val="21"/>
                <w:szCs w:val="21"/>
              </w:rPr>
            </w:pPr>
          </w:p>
        </w:tc>
        <w:tc>
          <w:tcPr>
            <w:tcW w:w="888" w:type="dxa"/>
            <w:vAlign w:val="center"/>
          </w:tcPr>
          <w:p w14:paraId="756B6C7F">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6A2CE53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3A9A41ED">
            <w:pPr>
              <w:widowControl/>
              <w:spacing w:line="240" w:lineRule="auto"/>
              <w:ind w:firstLine="0" w:firstLineChars="0"/>
              <w:jc w:val="center"/>
              <w:rPr>
                <w:color w:val="auto"/>
                <w:kern w:val="0"/>
                <w:sz w:val="21"/>
                <w:szCs w:val="21"/>
              </w:rPr>
            </w:pPr>
            <w:r>
              <w:rPr>
                <w:rFonts w:hint="eastAsia"/>
                <w:color w:val="auto"/>
                <w:kern w:val="0"/>
                <w:sz w:val="21"/>
                <w:szCs w:val="21"/>
              </w:rPr>
              <w:t>159</w:t>
            </w:r>
          </w:p>
        </w:tc>
        <w:tc>
          <w:tcPr>
            <w:tcW w:w="757" w:type="pct"/>
            <w:vMerge w:val="continue"/>
            <w:vAlign w:val="center"/>
          </w:tcPr>
          <w:p w14:paraId="22CB6BFA">
            <w:pPr>
              <w:widowControl/>
              <w:spacing w:line="240" w:lineRule="auto"/>
              <w:ind w:firstLine="0" w:firstLineChars="0"/>
              <w:jc w:val="center"/>
              <w:rPr>
                <w:color w:val="auto"/>
                <w:kern w:val="0"/>
                <w:sz w:val="21"/>
                <w:szCs w:val="21"/>
              </w:rPr>
            </w:pPr>
          </w:p>
        </w:tc>
        <w:tc>
          <w:tcPr>
            <w:tcW w:w="2237" w:type="dxa"/>
            <w:vAlign w:val="center"/>
          </w:tcPr>
          <w:p w14:paraId="6C84DAC5">
            <w:pPr>
              <w:widowControl/>
              <w:spacing w:line="240" w:lineRule="auto"/>
              <w:ind w:firstLine="0" w:firstLineChars="0"/>
              <w:jc w:val="center"/>
              <w:rPr>
                <w:color w:val="auto"/>
                <w:kern w:val="0"/>
                <w:sz w:val="21"/>
                <w:szCs w:val="21"/>
              </w:rPr>
            </w:pPr>
          </w:p>
        </w:tc>
        <w:tc>
          <w:tcPr>
            <w:tcW w:w="2064" w:type="dxa"/>
            <w:vAlign w:val="center"/>
          </w:tcPr>
          <w:p w14:paraId="0068B797">
            <w:pPr>
              <w:widowControl/>
              <w:spacing w:line="240" w:lineRule="auto"/>
              <w:ind w:firstLine="0" w:firstLineChars="0"/>
              <w:jc w:val="center"/>
              <w:rPr>
                <w:color w:val="auto"/>
                <w:kern w:val="0"/>
                <w:sz w:val="21"/>
                <w:szCs w:val="21"/>
              </w:rPr>
            </w:pPr>
          </w:p>
        </w:tc>
        <w:tc>
          <w:tcPr>
            <w:tcW w:w="1075" w:type="dxa"/>
            <w:vAlign w:val="center"/>
          </w:tcPr>
          <w:p w14:paraId="30FB751B">
            <w:pPr>
              <w:widowControl/>
              <w:spacing w:line="240" w:lineRule="auto"/>
              <w:ind w:firstLine="0" w:firstLineChars="0"/>
              <w:jc w:val="center"/>
              <w:rPr>
                <w:color w:val="auto"/>
                <w:kern w:val="0"/>
                <w:sz w:val="21"/>
                <w:szCs w:val="21"/>
              </w:rPr>
            </w:pPr>
          </w:p>
        </w:tc>
        <w:tc>
          <w:tcPr>
            <w:tcW w:w="1301" w:type="dxa"/>
            <w:vAlign w:val="center"/>
          </w:tcPr>
          <w:p w14:paraId="5BE779B6">
            <w:pPr>
              <w:widowControl/>
              <w:spacing w:line="240" w:lineRule="auto"/>
              <w:ind w:firstLine="0" w:firstLineChars="0"/>
              <w:jc w:val="center"/>
              <w:rPr>
                <w:color w:val="auto"/>
                <w:kern w:val="0"/>
                <w:sz w:val="21"/>
                <w:szCs w:val="21"/>
              </w:rPr>
            </w:pPr>
          </w:p>
        </w:tc>
        <w:tc>
          <w:tcPr>
            <w:tcW w:w="888" w:type="dxa"/>
            <w:vAlign w:val="center"/>
          </w:tcPr>
          <w:p w14:paraId="23D61124">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160DE10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793" w:type="dxa"/>
            <w:vAlign w:val="center"/>
          </w:tcPr>
          <w:p w14:paraId="165B99A0">
            <w:pPr>
              <w:widowControl/>
              <w:spacing w:line="240" w:lineRule="auto"/>
              <w:ind w:firstLine="0" w:firstLineChars="0"/>
              <w:jc w:val="center"/>
              <w:rPr>
                <w:color w:val="auto"/>
                <w:kern w:val="0"/>
                <w:sz w:val="21"/>
                <w:szCs w:val="21"/>
              </w:rPr>
            </w:pPr>
            <w:r>
              <w:rPr>
                <w:rFonts w:hint="eastAsia"/>
                <w:color w:val="auto"/>
                <w:kern w:val="0"/>
                <w:sz w:val="21"/>
                <w:szCs w:val="21"/>
              </w:rPr>
              <w:t>160</w:t>
            </w:r>
          </w:p>
        </w:tc>
        <w:tc>
          <w:tcPr>
            <w:tcW w:w="757" w:type="pct"/>
            <w:vMerge w:val="continue"/>
            <w:vAlign w:val="center"/>
          </w:tcPr>
          <w:p w14:paraId="2EB8489E">
            <w:pPr>
              <w:widowControl/>
              <w:spacing w:line="240" w:lineRule="auto"/>
              <w:ind w:firstLine="0" w:firstLineChars="0"/>
              <w:jc w:val="center"/>
              <w:rPr>
                <w:color w:val="auto"/>
                <w:kern w:val="0"/>
                <w:sz w:val="21"/>
                <w:szCs w:val="21"/>
              </w:rPr>
            </w:pPr>
          </w:p>
        </w:tc>
        <w:tc>
          <w:tcPr>
            <w:tcW w:w="2237" w:type="dxa"/>
            <w:vAlign w:val="center"/>
          </w:tcPr>
          <w:p w14:paraId="7CF5563A">
            <w:pPr>
              <w:widowControl/>
              <w:spacing w:line="240" w:lineRule="auto"/>
              <w:ind w:firstLine="0" w:firstLineChars="0"/>
              <w:jc w:val="center"/>
              <w:rPr>
                <w:color w:val="auto"/>
                <w:kern w:val="0"/>
                <w:sz w:val="21"/>
                <w:szCs w:val="21"/>
              </w:rPr>
            </w:pPr>
          </w:p>
        </w:tc>
        <w:tc>
          <w:tcPr>
            <w:tcW w:w="2064" w:type="dxa"/>
            <w:vAlign w:val="center"/>
          </w:tcPr>
          <w:p w14:paraId="0E647316">
            <w:pPr>
              <w:widowControl/>
              <w:spacing w:line="240" w:lineRule="auto"/>
              <w:ind w:firstLine="0" w:firstLineChars="0"/>
              <w:jc w:val="center"/>
              <w:rPr>
                <w:color w:val="auto"/>
                <w:kern w:val="0"/>
                <w:sz w:val="21"/>
                <w:szCs w:val="21"/>
              </w:rPr>
            </w:pPr>
          </w:p>
        </w:tc>
        <w:tc>
          <w:tcPr>
            <w:tcW w:w="1075" w:type="dxa"/>
            <w:vAlign w:val="center"/>
          </w:tcPr>
          <w:p w14:paraId="580C77E2">
            <w:pPr>
              <w:widowControl/>
              <w:spacing w:line="240" w:lineRule="auto"/>
              <w:ind w:firstLine="0" w:firstLineChars="0"/>
              <w:jc w:val="center"/>
              <w:rPr>
                <w:color w:val="auto"/>
                <w:kern w:val="0"/>
                <w:sz w:val="21"/>
                <w:szCs w:val="21"/>
              </w:rPr>
            </w:pPr>
          </w:p>
        </w:tc>
        <w:tc>
          <w:tcPr>
            <w:tcW w:w="1301" w:type="dxa"/>
            <w:vAlign w:val="center"/>
          </w:tcPr>
          <w:p w14:paraId="234F2369">
            <w:pPr>
              <w:widowControl/>
              <w:spacing w:line="240" w:lineRule="auto"/>
              <w:ind w:firstLine="0" w:firstLineChars="0"/>
              <w:jc w:val="center"/>
              <w:rPr>
                <w:color w:val="auto"/>
                <w:kern w:val="0"/>
                <w:sz w:val="21"/>
                <w:szCs w:val="21"/>
              </w:rPr>
            </w:pPr>
          </w:p>
        </w:tc>
        <w:tc>
          <w:tcPr>
            <w:tcW w:w="888" w:type="dxa"/>
            <w:vAlign w:val="center"/>
          </w:tcPr>
          <w:p w14:paraId="24539794">
            <w:pPr>
              <w:widowControl/>
              <w:spacing w:line="240" w:lineRule="auto"/>
              <w:ind w:firstLine="0" w:firstLineChars="0"/>
              <w:jc w:val="center"/>
              <w:rPr>
                <w:color w:val="auto"/>
                <w:kern w:val="0"/>
                <w:sz w:val="21"/>
                <w:szCs w:val="21"/>
              </w:rPr>
            </w:pPr>
            <w:r>
              <w:rPr>
                <w:rFonts w:hint="eastAsia"/>
                <w:color w:val="auto"/>
                <w:kern w:val="0"/>
                <w:sz w:val="21"/>
                <w:szCs w:val="21"/>
              </w:rPr>
              <w:t>/</w:t>
            </w:r>
          </w:p>
        </w:tc>
      </w:tr>
    </w:tbl>
    <w:p w14:paraId="380F55FE">
      <w:pPr>
        <w:spacing w:line="240" w:lineRule="auto"/>
        <w:ind w:firstLine="482"/>
        <w:jc w:val="center"/>
        <w:rPr>
          <w:color w:val="auto"/>
        </w:rPr>
      </w:pPr>
      <w:r>
        <w:rPr>
          <w:b/>
          <w:bCs/>
          <w:color w:val="auto"/>
          <w:kern w:val="28"/>
          <w:szCs w:val="32"/>
        </w:rPr>
        <w:t>表3.2-</w:t>
      </w:r>
      <w:r>
        <w:rPr>
          <w:rFonts w:hint="eastAsia"/>
          <w:b/>
          <w:bCs/>
          <w:color w:val="auto"/>
          <w:kern w:val="28"/>
          <w:szCs w:val="32"/>
        </w:rPr>
        <w:t>4</w:t>
      </w:r>
      <w:r>
        <w:rPr>
          <w:b/>
          <w:bCs/>
          <w:color w:val="auto"/>
          <w:kern w:val="28"/>
          <w:szCs w:val="32"/>
        </w:rPr>
        <w:t xml:space="preserve"> </w:t>
      </w:r>
      <w:r>
        <w:rPr>
          <w:rFonts w:hint="eastAsia"/>
          <w:b/>
          <w:bCs/>
          <w:color w:val="auto"/>
          <w:kern w:val="28"/>
          <w:szCs w:val="32"/>
        </w:rPr>
        <w:t xml:space="preserve"> 在建</w:t>
      </w:r>
      <w:r>
        <w:rPr>
          <w:b/>
          <w:bCs/>
          <w:color w:val="auto"/>
          <w:kern w:val="28"/>
          <w:szCs w:val="32"/>
        </w:rPr>
        <w:t>项目主要设备一览</w:t>
      </w:r>
      <w:r>
        <w:rPr>
          <w:rFonts w:hint="eastAsia"/>
          <w:b/>
          <w:bCs/>
          <w:color w:val="auto"/>
          <w:kern w:val="28"/>
          <w:szCs w:val="32"/>
        </w:rPr>
        <w:t>表</w:t>
      </w:r>
    </w:p>
    <w:tbl>
      <w:tblPr>
        <w:tblStyle w:val="24"/>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67"/>
        <w:gridCol w:w="1522"/>
        <w:gridCol w:w="2257"/>
        <w:gridCol w:w="3757"/>
        <w:gridCol w:w="1547"/>
      </w:tblGrid>
      <w:tr w14:paraId="564799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7C77AD0">
            <w:pPr>
              <w:widowControl/>
              <w:spacing w:line="240" w:lineRule="auto"/>
              <w:ind w:firstLine="0" w:firstLineChars="0"/>
              <w:jc w:val="center"/>
              <w:rPr>
                <w:b/>
                <w:color w:val="auto"/>
                <w:kern w:val="0"/>
                <w:sz w:val="21"/>
                <w:szCs w:val="21"/>
              </w:rPr>
            </w:pPr>
            <w:r>
              <w:rPr>
                <w:b/>
                <w:color w:val="auto"/>
                <w:kern w:val="0"/>
                <w:sz w:val="21"/>
                <w:szCs w:val="21"/>
              </w:rPr>
              <w:t>序号</w:t>
            </w:r>
          </w:p>
        </w:tc>
        <w:tc>
          <w:tcPr>
            <w:tcW w:w="772" w:type="pct"/>
            <w:vAlign w:val="center"/>
          </w:tcPr>
          <w:p w14:paraId="468F3AA0">
            <w:pPr>
              <w:widowControl/>
              <w:spacing w:line="240" w:lineRule="auto"/>
              <w:ind w:firstLine="0" w:firstLineChars="0"/>
              <w:jc w:val="center"/>
              <w:rPr>
                <w:b/>
                <w:color w:val="auto"/>
                <w:kern w:val="0"/>
                <w:sz w:val="21"/>
                <w:szCs w:val="21"/>
              </w:rPr>
            </w:pPr>
            <w:r>
              <w:rPr>
                <w:rFonts w:hint="eastAsia"/>
                <w:b/>
                <w:color w:val="auto"/>
                <w:kern w:val="0"/>
                <w:sz w:val="21"/>
                <w:szCs w:val="21"/>
              </w:rPr>
              <w:t>生产线</w:t>
            </w:r>
          </w:p>
        </w:tc>
        <w:tc>
          <w:tcPr>
            <w:tcW w:w="1145" w:type="pct"/>
            <w:vAlign w:val="center"/>
          </w:tcPr>
          <w:p w14:paraId="41FDBA84">
            <w:pPr>
              <w:widowControl/>
              <w:spacing w:line="240" w:lineRule="auto"/>
              <w:ind w:firstLine="0" w:firstLineChars="0"/>
              <w:jc w:val="center"/>
              <w:rPr>
                <w:b/>
                <w:color w:val="auto"/>
                <w:kern w:val="0"/>
                <w:sz w:val="21"/>
                <w:szCs w:val="21"/>
              </w:rPr>
            </w:pPr>
            <w:r>
              <w:rPr>
                <w:b/>
                <w:color w:val="auto"/>
                <w:kern w:val="0"/>
                <w:sz w:val="21"/>
                <w:szCs w:val="21"/>
              </w:rPr>
              <w:t>设备名称</w:t>
            </w:r>
          </w:p>
        </w:tc>
        <w:tc>
          <w:tcPr>
            <w:tcW w:w="1906" w:type="pct"/>
            <w:vAlign w:val="center"/>
          </w:tcPr>
          <w:p w14:paraId="4FD7C679">
            <w:pPr>
              <w:widowControl/>
              <w:spacing w:line="240" w:lineRule="auto"/>
              <w:ind w:firstLine="0" w:firstLineChars="0"/>
              <w:jc w:val="center"/>
              <w:rPr>
                <w:b/>
                <w:color w:val="auto"/>
                <w:kern w:val="0"/>
                <w:sz w:val="21"/>
                <w:szCs w:val="21"/>
              </w:rPr>
            </w:pPr>
            <w:r>
              <w:rPr>
                <w:b/>
                <w:color w:val="auto"/>
                <w:kern w:val="0"/>
                <w:sz w:val="21"/>
                <w:szCs w:val="21"/>
              </w:rPr>
              <w:t>规格型号</w:t>
            </w:r>
          </w:p>
        </w:tc>
        <w:tc>
          <w:tcPr>
            <w:tcW w:w="785" w:type="pct"/>
            <w:vAlign w:val="center"/>
          </w:tcPr>
          <w:p w14:paraId="29DB187F">
            <w:pPr>
              <w:widowControl/>
              <w:spacing w:line="240" w:lineRule="auto"/>
              <w:ind w:firstLine="0" w:firstLineChars="0"/>
              <w:jc w:val="center"/>
              <w:rPr>
                <w:b/>
                <w:color w:val="auto"/>
                <w:kern w:val="0"/>
                <w:sz w:val="21"/>
                <w:szCs w:val="21"/>
              </w:rPr>
            </w:pPr>
            <w:r>
              <w:rPr>
                <w:rFonts w:hint="eastAsia"/>
                <w:b/>
                <w:color w:val="auto"/>
                <w:kern w:val="0"/>
                <w:sz w:val="21"/>
                <w:szCs w:val="21"/>
              </w:rPr>
              <w:t>数量</w:t>
            </w:r>
            <w:r>
              <w:rPr>
                <w:b/>
                <w:color w:val="auto"/>
                <w:kern w:val="0"/>
                <w:sz w:val="21"/>
                <w:szCs w:val="21"/>
              </w:rPr>
              <w:t>(台/套)</w:t>
            </w:r>
          </w:p>
        </w:tc>
      </w:tr>
      <w:tr w14:paraId="25EA8FA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93192BF">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w:t>
            </w:r>
          </w:p>
        </w:tc>
        <w:tc>
          <w:tcPr>
            <w:tcW w:w="772" w:type="pct"/>
            <w:vMerge w:val="restart"/>
            <w:vAlign w:val="center"/>
          </w:tcPr>
          <w:p w14:paraId="178F22E4">
            <w:pPr>
              <w:widowControl/>
              <w:spacing w:line="240" w:lineRule="auto"/>
              <w:ind w:firstLine="0" w:firstLineChars="0"/>
              <w:jc w:val="center"/>
              <w:rPr>
                <w:color w:val="auto"/>
                <w:kern w:val="0"/>
                <w:sz w:val="21"/>
                <w:szCs w:val="21"/>
              </w:rPr>
            </w:pPr>
          </w:p>
        </w:tc>
        <w:tc>
          <w:tcPr>
            <w:tcW w:w="1145" w:type="pct"/>
            <w:vAlign w:val="center"/>
          </w:tcPr>
          <w:p w14:paraId="704E9812">
            <w:pPr>
              <w:widowControl/>
              <w:spacing w:line="240" w:lineRule="auto"/>
              <w:ind w:firstLine="0" w:firstLineChars="0"/>
              <w:jc w:val="center"/>
              <w:rPr>
                <w:color w:val="auto"/>
                <w:kern w:val="0"/>
                <w:sz w:val="21"/>
                <w:szCs w:val="21"/>
              </w:rPr>
            </w:pPr>
          </w:p>
        </w:tc>
        <w:tc>
          <w:tcPr>
            <w:tcW w:w="1906" w:type="pct"/>
            <w:vAlign w:val="center"/>
          </w:tcPr>
          <w:p w14:paraId="73AFD324">
            <w:pPr>
              <w:widowControl/>
              <w:spacing w:line="240" w:lineRule="auto"/>
              <w:ind w:firstLine="0" w:firstLineChars="0"/>
              <w:jc w:val="center"/>
              <w:rPr>
                <w:color w:val="auto"/>
                <w:kern w:val="0"/>
                <w:sz w:val="21"/>
                <w:szCs w:val="21"/>
              </w:rPr>
            </w:pPr>
          </w:p>
        </w:tc>
        <w:tc>
          <w:tcPr>
            <w:tcW w:w="785" w:type="pct"/>
            <w:vAlign w:val="center"/>
          </w:tcPr>
          <w:p w14:paraId="471DCFFF">
            <w:pPr>
              <w:widowControl/>
              <w:spacing w:line="240" w:lineRule="auto"/>
              <w:ind w:firstLine="0" w:firstLineChars="0"/>
              <w:jc w:val="center"/>
              <w:rPr>
                <w:color w:val="auto"/>
                <w:kern w:val="0"/>
                <w:sz w:val="21"/>
                <w:szCs w:val="21"/>
              </w:rPr>
            </w:pPr>
          </w:p>
        </w:tc>
      </w:tr>
      <w:tr w14:paraId="6AB21BA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94310E1">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w:t>
            </w:r>
          </w:p>
        </w:tc>
        <w:tc>
          <w:tcPr>
            <w:tcW w:w="772" w:type="pct"/>
            <w:vMerge w:val="continue"/>
            <w:vAlign w:val="center"/>
          </w:tcPr>
          <w:p w14:paraId="2A7AD01D">
            <w:pPr>
              <w:widowControl/>
              <w:spacing w:line="240" w:lineRule="auto"/>
              <w:ind w:firstLine="0" w:firstLineChars="0"/>
              <w:jc w:val="center"/>
              <w:rPr>
                <w:color w:val="auto"/>
                <w:kern w:val="0"/>
                <w:sz w:val="21"/>
                <w:szCs w:val="21"/>
              </w:rPr>
            </w:pPr>
          </w:p>
        </w:tc>
        <w:tc>
          <w:tcPr>
            <w:tcW w:w="1145" w:type="pct"/>
            <w:vAlign w:val="center"/>
          </w:tcPr>
          <w:p w14:paraId="7B3094C5">
            <w:pPr>
              <w:widowControl/>
              <w:spacing w:line="240" w:lineRule="auto"/>
              <w:ind w:firstLine="0" w:firstLineChars="0"/>
              <w:jc w:val="center"/>
              <w:rPr>
                <w:color w:val="auto"/>
                <w:kern w:val="0"/>
                <w:sz w:val="21"/>
                <w:szCs w:val="21"/>
              </w:rPr>
            </w:pPr>
          </w:p>
        </w:tc>
        <w:tc>
          <w:tcPr>
            <w:tcW w:w="1906" w:type="pct"/>
            <w:vAlign w:val="center"/>
          </w:tcPr>
          <w:p w14:paraId="178874E4">
            <w:pPr>
              <w:widowControl/>
              <w:spacing w:line="240" w:lineRule="auto"/>
              <w:ind w:firstLine="0" w:firstLineChars="0"/>
              <w:jc w:val="center"/>
              <w:rPr>
                <w:color w:val="auto"/>
                <w:kern w:val="0"/>
                <w:sz w:val="21"/>
                <w:szCs w:val="21"/>
              </w:rPr>
            </w:pPr>
          </w:p>
        </w:tc>
        <w:tc>
          <w:tcPr>
            <w:tcW w:w="785" w:type="pct"/>
            <w:vAlign w:val="center"/>
          </w:tcPr>
          <w:p w14:paraId="38082C09">
            <w:pPr>
              <w:widowControl/>
              <w:spacing w:line="240" w:lineRule="auto"/>
              <w:ind w:firstLine="0" w:firstLineChars="0"/>
              <w:jc w:val="center"/>
              <w:rPr>
                <w:color w:val="auto"/>
                <w:kern w:val="0"/>
                <w:sz w:val="21"/>
                <w:szCs w:val="21"/>
              </w:rPr>
            </w:pPr>
          </w:p>
        </w:tc>
      </w:tr>
      <w:tr w14:paraId="20FA50D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4351E657">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w:t>
            </w:r>
          </w:p>
        </w:tc>
        <w:tc>
          <w:tcPr>
            <w:tcW w:w="772" w:type="pct"/>
            <w:vMerge w:val="continue"/>
            <w:vAlign w:val="center"/>
          </w:tcPr>
          <w:p w14:paraId="25548B62">
            <w:pPr>
              <w:widowControl/>
              <w:spacing w:line="240" w:lineRule="auto"/>
              <w:ind w:firstLine="0" w:firstLineChars="0"/>
              <w:jc w:val="center"/>
              <w:rPr>
                <w:color w:val="auto"/>
                <w:kern w:val="0"/>
                <w:sz w:val="21"/>
                <w:szCs w:val="21"/>
              </w:rPr>
            </w:pPr>
          </w:p>
        </w:tc>
        <w:tc>
          <w:tcPr>
            <w:tcW w:w="1145" w:type="pct"/>
            <w:vAlign w:val="center"/>
          </w:tcPr>
          <w:p w14:paraId="32C3D525">
            <w:pPr>
              <w:widowControl/>
              <w:spacing w:line="240" w:lineRule="auto"/>
              <w:ind w:firstLine="0" w:firstLineChars="0"/>
              <w:jc w:val="center"/>
              <w:rPr>
                <w:color w:val="auto"/>
                <w:kern w:val="0"/>
                <w:sz w:val="21"/>
                <w:szCs w:val="21"/>
              </w:rPr>
            </w:pPr>
          </w:p>
        </w:tc>
        <w:tc>
          <w:tcPr>
            <w:tcW w:w="1906" w:type="pct"/>
            <w:vAlign w:val="center"/>
          </w:tcPr>
          <w:p w14:paraId="76E6B7C2">
            <w:pPr>
              <w:widowControl/>
              <w:spacing w:line="240" w:lineRule="auto"/>
              <w:ind w:firstLine="0" w:firstLineChars="0"/>
              <w:jc w:val="center"/>
              <w:rPr>
                <w:color w:val="auto"/>
                <w:kern w:val="0"/>
                <w:sz w:val="21"/>
                <w:szCs w:val="21"/>
              </w:rPr>
            </w:pPr>
          </w:p>
        </w:tc>
        <w:tc>
          <w:tcPr>
            <w:tcW w:w="785" w:type="pct"/>
            <w:vAlign w:val="center"/>
          </w:tcPr>
          <w:p w14:paraId="272DEACC">
            <w:pPr>
              <w:widowControl/>
              <w:spacing w:line="240" w:lineRule="auto"/>
              <w:ind w:firstLine="0" w:firstLineChars="0"/>
              <w:jc w:val="center"/>
              <w:rPr>
                <w:color w:val="auto"/>
                <w:kern w:val="0"/>
                <w:sz w:val="21"/>
                <w:szCs w:val="21"/>
              </w:rPr>
            </w:pPr>
          </w:p>
        </w:tc>
      </w:tr>
      <w:tr w14:paraId="64B5918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664F39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w:t>
            </w:r>
          </w:p>
        </w:tc>
        <w:tc>
          <w:tcPr>
            <w:tcW w:w="772" w:type="pct"/>
            <w:vMerge w:val="continue"/>
            <w:vAlign w:val="center"/>
          </w:tcPr>
          <w:p w14:paraId="703B3B4F">
            <w:pPr>
              <w:widowControl/>
              <w:spacing w:line="240" w:lineRule="auto"/>
              <w:ind w:firstLine="0" w:firstLineChars="0"/>
              <w:jc w:val="center"/>
              <w:rPr>
                <w:color w:val="auto"/>
                <w:kern w:val="0"/>
                <w:sz w:val="21"/>
                <w:szCs w:val="21"/>
              </w:rPr>
            </w:pPr>
          </w:p>
        </w:tc>
        <w:tc>
          <w:tcPr>
            <w:tcW w:w="1145" w:type="pct"/>
            <w:vAlign w:val="center"/>
          </w:tcPr>
          <w:p w14:paraId="5D38D2D3">
            <w:pPr>
              <w:widowControl/>
              <w:spacing w:line="240" w:lineRule="auto"/>
              <w:ind w:firstLine="0" w:firstLineChars="0"/>
              <w:jc w:val="center"/>
              <w:rPr>
                <w:color w:val="auto"/>
                <w:kern w:val="0"/>
                <w:sz w:val="21"/>
                <w:szCs w:val="21"/>
              </w:rPr>
            </w:pPr>
          </w:p>
        </w:tc>
        <w:tc>
          <w:tcPr>
            <w:tcW w:w="1906" w:type="pct"/>
            <w:vAlign w:val="center"/>
          </w:tcPr>
          <w:p w14:paraId="23DECF8D">
            <w:pPr>
              <w:widowControl/>
              <w:spacing w:line="240" w:lineRule="auto"/>
              <w:ind w:firstLine="0" w:firstLineChars="0"/>
              <w:jc w:val="center"/>
              <w:rPr>
                <w:color w:val="auto"/>
                <w:kern w:val="0"/>
                <w:sz w:val="21"/>
                <w:szCs w:val="21"/>
              </w:rPr>
            </w:pPr>
          </w:p>
        </w:tc>
        <w:tc>
          <w:tcPr>
            <w:tcW w:w="785" w:type="pct"/>
            <w:vAlign w:val="center"/>
          </w:tcPr>
          <w:p w14:paraId="62C2FBB8">
            <w:pPr>
              <w:widowControl/>
              <w:spacing w:line="240" w:lineRule="auto"/>
              <w:ind w:firstLine="0" w:firstLineChars="0"/>
              <w:jc w:val="center"/>
              <w:rPr>
                <w:color w:val="auto"/>
                <w:kern w:val="0"/>
                <w:sz w:val="21"/>
                <w:szCs w:val="21"/>
              </w:rPr>
            </w:pPr>
          </w:p>
        </w:tc>
      </w:tr>
      <w:tr w14:paraId="1CD90A0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234362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w:t>
            </w:r>
          </w:p>
        </w:tc>
        <w:tc>
          <w:tcPr>
            <w:tcW w:w="772" w:type="pct"/>
            <w:vMerge w:val="continue"/>
            <w:vAlign w:val="center"/>
          </w:tcPr>
          <w:p w14:paraId="061C0878">
            <w:pPr>
              <w:widowControl/>
              <w:spacing w:line="240" w:lineRule="auto"/>
              <w:ind w:firstLine="0" w:firstLineChars="0"/>
              <w:jc w:val="center"/>
              <w:rPr>
                <w:color w:val="auto"/>
                <w:kern w:val="0"/>
                <w:sz w:val="21"/>
                <w:szCs w:val="21"/>
              </w:rPr>
            </w:pPr>
          </w:p>
        </w:tc>
        <w:tc>
          <w:tcPr>
            <w:tcW w:w="1145" w:type="pct"/>
            <w:vAlign w:val="center"/>
          </w:tcPr>
          <w:p w14:paraId="69DA2324">
            <w:pPr>
              <w:widowControl/>
              <w:spacing w:line="240" w:lineRule="auto"/>
              <w:ind w:firstLine="0" w:firstLineChars="0"/>
              <w:jc w:val="center"/>
              <w:rPr>
                <w:color w:val="auto"/>
                <w:kern w:val="0"/>
                <w:sz w:val="21"/>
                <w:szCs w:val="21"/>
              </w:rPr>
            </w:pPr>
          </w:p>
        </w:tc>
        <w:tc>
          <w:tcPr>
            <w:tcW w:w="1906" w:type="pct"/>
            <w:vAlign w:val="center"/>
          </w:tcPr>
          <w:p w14:paraId="05DB4E6A">
            <w:pPr>
              <w:widowControl/>
              <w:spacing w:line="240" w:lineRule="auto"/>
              <w:ind w:firstLine="0" w:firstLineChars="0"/>
              <w:jc w:val="center"/>
              <w:rPr>
                <w:color w:val="auto"/>
                <w:kern w:val="0"/>
                <w:sz w:val="21"/>
                <w:szCs w:val="21"/>
              </w:rPr>
            </w:pPr>
          </w:p>
        </w:tc>
        <w:tc>
          <w:tcPr>
            <w:tcW w:w="785" w:type="pct"/>
            <w:vAlign w:val="center"/>
          </w:tcPr>
          <w:p w14:paraId="5C1CC451">
            <w:pPr>
              <w:widowControl/>
              <w:spacing w:line="240" w:lineRule="auto"/>
              <w:ind w:firstLine="0" w:firstLineChars="0"/>
              <w:jc w:val="center"/>
              <w:rPr>
                <w:color w:val="auto"/>
                <w:kern w:val="0"/>
                <w:sz w:val="21"/>
                <w:szCs w:val="21"/>
              </w:rPr>
            </w:pPr>
          </w:p>
        </w:tc>
      </w:tr>
      <w:tr w14:paraId="1AF71F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482E9284">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w:t>
            </w:r>
          </w:p>
        </w:tc>
        <w:tc>
          <w:tcPr>
            <w:tcW w:w="772" w:type="pct"/>
            <w:vMerge w:val="continue"/>
            <w:vAlign w:val="center"/>
          </w:tcPr>
          <w:p w14:paraId="26B51C8F">
            <w:pPr>
              <w:widowControl/>
              <w:spacing w:line="240" w:lineRule="auto"/>
              <w:ind w:firstLine="0" w:firstLineChars="0"/>
              <w:jc w:val="center"/>
              <w:rPr>
                <w:color w:val="auto"/>
                <w:kern w:val="0"/>
                <w:sz w:val="21"/>
                <w:szCs w:val="21"/>
              </w:rPr>
            </w:pPr>
          </w:p>
        </w:tc>
        <w:tc>
          <w:tcPr>
            <w:tcW w:w="1145" w:type="pct"/>
            <w:vAlign w:val="center"/>
          </w:tcPr>
          <w:p w14:paraId="482067D3">
            <w:pPr>
              <w:widowControl/>
              <w:spacing w:line="240" w:lineRule="auto"/>
              <w:ind w:firstLine="0" w:firstLineChars="0"/>
              <w:jc w:val="center"/>
              <w:rPr>
                <w:color w:val="auto"/>
                <w:kern w:val="0"/>
                <w:sz w:val="21"/>
                <w:szCs w:val="21"/>
              </w:rPr>
            </w:pPr>
          </w:p>
        </w:tc>
        <w:tc>
          <w:tcPr>
            <w:tcW w:w="1906" w:type="pct"/>
            <w:vAlign w:val="center"/>
          </w:tcPr>
          <w:p w14:paraId="704B5EC5">
            <w:pPr>
              <w:widowControl/>
              <w:spacing w:line="240" w:lineRule="auto"/>
              <w:ind w:firstLine="0" w:firstLineChars="0"/>
              <w:jc w:val="center"/>
              <w:rPr>
                <w:color w:val="auto"/>
                <w:kern w:val="0"/>
                <w:sz w:val="21"/>
                <w:szCs w:val="21"/>
              </w:rPr>
            </w:pPr>
          </w:p>
        </w:tc>
        <w:tc>
          <w:tcPr>
            <w:tcW w:w="785" w:type="pct"/>
            <w:vAlign w:val="center"/>
          </w:tcPr>
          <w:p w14:paraId="1BBD838E">
            <w:pPr>
              <w:widowControl/>
              <w:spacing w:line="240" w:lineRule="auto"/>
              <w:ind w:firstLine="0" w:firstLineChars="0"/>
              <w:jc w:val="center"/>
              <w:rPr>
                <w:color w:val="auto"/>
                <w:kern w:val="0"/>
                <w:sz w:val="21"/>
                <w:szCs w:val="21"/>
              </w:rPr>
            </w:pPr>
          </w:p>
        </w:tc>
      </w:tr>
      <w:tr w14:paraId="6BABA6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D6E227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w:t>
            </w:r>
          </w:p>
        </w:tc>
        <w:tc>
          <w:tcPr>
            <w:tcW w:w="772" w:type="pct"/>
            <w:vMerge w:val="continue"/>
            <w:vAlign w:val="center"/>
          </w:tcPr>
          <w:p w14:paraId="77B1A1B7">
            <w:pPr>
              <w:widowControl/>
              <w:spacing w:line="240" w:lineRule="auto"/>
              <w:ind w:firstLine="0" w:firstLineChars="0"/>
              <w:jc w:val="center"/>
              <w:rPr>
                <w:color w:val="auto"/>
                <w:kern w:val="0"/>
                <w:sz w:val="21"/>
                <w:szCs w:val="21"/>
              </w:rPr>
            </w:pPr>
          </w:p>
        </w:tc>
        <w:tc>
          <w:tcPr>
            <w:tcW w:w="1145" w:type="pct"/>
            <w:vAlign w:val="center"/>
          </w:tcPr>
          <w:p w14:paraId="548599E9">
            <w:pPr>
              <w:widowControl/>
              <w:spacing w:line="240" w:lineRule="auto"/>
              <w:ind w:firstLine="0" w:firstLineChars="0"/>
              <w:jc w:val="center"/>
              <w:rPr>
                <w:color w:val="auto"/>
                <w:kern w:val="0"/>
                <w:sz w:val="21"/>
                <w:szCs w:val="21"/>
              </w:rPr>
            </w:pPr>
          </w:p>
        </w:tc>
        <w:tc>
          <w:tcPr>
            <w:tcW w:w="1906" w:type="pct"/>
            <w:vAlign w:val="center"/>
          </w:tcPr>
          <w:p w14:paraId="30B9BCAD">
            <w:pPr>
              <w:widowControl/>
              <w:spacing w:line="240" w:lineRule="auto"/>
              <w:ind w:firstLine="0" w:firstLineChars="0"/>
              <w:jc w:val="center"/>
              <w:rPr>
                <w:color w:val="auto"/>
                <w:kern w:val="0"/>
                <w:sz w:val="21"/>
                <w:szCs w:val="21"/>
              </w:rPr>
            </w:pPr>
          </w:p>
        </w:tc>
        <w:tc>
          <w:tcPr>
            <w:tcW w:w="785" w:type="pct"/>
            <w:vAlign w:val="center"/>
          </w:tcPr>
          <w:p w14:paraId="013B8848">
            <w:pPr>
              <w:widowControl/>
              <w:spacing w:line="240" w:lineRule="auto"/>
              <w:ind w:firstLine="0" w:firstLineChars="0"/>
              <w:jc w:val="center"/>
              <w:rPr>
                <w:color w:val="auto"/>
                <w:kern w:val="0"/>
                <w:sz w:val="21"/>
                <w:szCs w:val="21"/>
              </w:rPr>
            </w:pPr>
          </w:p>
        </w:tc>
      </w:tr>
      <w:tr w14:paraId="1D883A2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1C6B498">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w:t>
            </w:r>
          </w:p>
        </w:tc>
        <w:tc>
          <w:tcPr>
            <w:tcW w:w="772" w:type="pct"/>
            <w:vMerge w:val="continue"/>
            <w:vAlign w:val="center"/>
          </w:tcPr>
          <w:p w14:paraId="3EBC5DAE">
            <w:pPr>
              <w:widowControl/>
              <w:spacing w:line="240" w:lineRule="auto"/>
              <w:ind w:firstLine="0" w:firstLineChars="0"/>
              <w:jc w:val="center"/>
              <w:rPr>
                <w:color w:val="auto"/>
                <w:kern w:val="0"/>
                <w:sz w:val="21"/>
                <w:szCs w:val="21"/>
              </w:rPr>
            </w:pPr>
          </w:p>
        </w:tc>
        <w:tc>
          <w:tcPr>
            <w:tcW w:w="1145" w:type="pct"/>
            <w:vAlign w:val="center"/>
          </w:tcPr>
          <w:p w14:paraId="332D14F0">
            <w:pPr>
              <w:widowControl/>
              <w:spacing w:line="240" w:lineRule="auto"/>
              <w:ind w:firstLine="0" w:firstLineChars="0"/>
              <w:jc w:val="center"/>
              <w:rPr>
                <w:color w:val="auto"/>
                <w:kern w:val="0"/>
                <w:sz w:val="21"/>
                <w:szCs w:val="21"/>
              </w:rPr>
            </w:pPr>
          </w:p>
        </w:tc>
        <w:tc>
          <w:tcPr>
            <w:tcW w:w="1906" w:type="pct"/>
            <w:vAlign w:val="center"/>
          </w:tcPr>
          <w:p w14:paraId="5A0C814D">
            <w:pPr>
              <w:widowControl/>
              <w:spacing w:line="240" w:lineRule="auto"/>
              <w:ind w:firstLine="0" w:firstLineChars="0"/>
              <w:jc w:val="center"/>
              <w:rPr>
                <w:color w:val="auto"/>
                <w:kern w:val="0"/>
                <w:sz w:val="21"/>
                <w:szCs w:val="21"/>
              </w:rPr>
            </w:pPr>
          </w:p>
        </w:tc>
        <w:tc>
          <w:tcPr>
            <w:tcW w:w="785" w:type="pct"/>
            <w:vAlign w:val="center"/>
          </w:tcPr>
          <w:p w14:paraId="05A9AE3F">
            <w:pPr>
              <w:widowControl/>
              <w:spacing w:line="240" w:lineRule="auto"/>
              <w:ind w:firstLine="0" w:firstLineChars="0"/>
              <w:jc w:val="center"/>
              <w:rPr>
                <w:color w:val="auto"/>
                <w:kern w:val="0"/>
                <w:sz w:val="21"/>
                <w:szCs w:val="21"/>
              </w:rPr>
            </w:pPr>
          </w:p>
        </w:tc>
      </w:tr>
      <w:tr w14:paraId="24BE699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16E153E">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9</w:t>
            </w:r>
          </w:p>
        </w:tc>
        <w:tc>
          <w:tcPr>
            <w:tcW w:w="772" w:type="pct"/>
            <w:vMerge w:val="continue"/>
            <w:vAlign w:val="center"/>
          </w:tcPr>
          <w:p w14:paraId="347599F9">
            <w:pPr>
              <w:widowControl/>
              <w:spacing w:line="240" w:lineRule="auto"/>
              <w:ind w:firstLine="0" w:firstLineChars="0"/>
              <w:jc w:val="center"/>
              <w:rPr>
                <w:color w:val="auto"/>
                <w:kern w:val="0"/>
                <w:sz w:val="21"/>
                <w:szCs w:val="21"/>
              </w:rPr>
            </w:pPr>
          </w:p>
        </w:tc>
        <w:tc>
          <w:tcPr>
            <w:tcW w:w="1145" w:type="pct"/>
            <w:vAlign w:val="center"/>
          </w:tcPr>
          <w:p w14:paraId="17910ED3">
            <w:pPr>
              <w:widowControl/>
              <w:spacing w:line="240" w:lineRule="auto"/>
              <w:ind w:firstLine="0" w:firstLineChars="0"/>
              <w:jc w:val="center"/>
              <w:rPr>
                <w:color w:val="auto"/>
                <w:kern w:val="0"/>
                <w:sz w:val="21"/>
                <w:szCs w:val="21"/>
              </w:rPr>
            </w:pPr>
          </w:p>
        </w:tc>
        <w:tc>
          <w:tcPr>
            <w:tcW w:w="1906" w:type="pct"/>
            <w:vAlign w:val="center"/>
          </w:tcPr>
          <w:p w14:paraId="30663C2A">
            <w:pPr>
              <w:widowControl/>
              <w:spacing w:line="240" w:lineRule="auto"/>
              <w:ind w:firstLine="0" w:firstLineChars="0"/>
              <w:jc w:val="center"/>
              <w:rPr>
                <w:color w:val="auto"/>
                <w:kern w:val="0"/>
                <w:sz w:val="21"/>
                <w:szCs w:val="21"/>
              </w:rPr>
            </w:pPr>
          </w:p>
        </w:tc>
        <w:tc>
          <w:tcPr>
            <w:tcW w:w="785" w:type="pct"/>
            <w:vAlign w:val="center"/>
          </w:tcPr>
          <w:p w14:paraId="7DE4F584">
            <w:pPr>
              <w:widowControl/>
              <w:spacing w:line="240" w:lineRule="auto"/>
              <w:ind w:firstLine="0" w:firstLineChars="0"/>
              <w:jc w:val="center"/>
              <w:rPr>
                <w:color w:val="auto"/>
                <w:kern w:val="0"/>
                <w:sz w:val="21"/>
                <w:szCs w:val="21"/>
              </w:rPr>
            </w:pPr>
          </w:p>
        </w:tc>
      </w:tr>
      <w:tr w14:paraId="06EF4A4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09AB495">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10</w:t>
            </w:r>
          </w:p>
        </w:tc>
        <w:tc>
          <w:tcPr>
            <w:tcW w:w="772" w:type="pct"/>
            <w:vMerge w:val="continue"/>
            <w:vAlign w:val="center"/>
          </w:tcPr>
          <w:p w14:paraId="12858D1A">
            <w:pPr>
              <w:widowControl/>
              <w:spacing w:line="240" w:lineRule="auto"/>
              <w:ind w:firstLine="0" w:firstLineChars="0"/>
              <w:jc w:val="center"/>
              <w:rPr>
                <w:color w:val="auto"/>
                <w:kern w:val="0"/>
                <w:sz w:val="21"/>
                <w:szCs w:val="21"/>
              </w:rPr>
            </w:pPr>
          </w:p>
        </w:tc>
        <w:tc>
          <w:tcPr>
            <w:tcW w:w="1145" w:type="pct"/>
            <w:vAlign w:val="center"/>
          </w:tcPr>
          <w:p w14:paraId="549EBE8B">
            <w:pPr>
              <w:widowControl/>
              <w:spacing w:line="240" w:lineRule="auto"/>
              <w:ind w:firstLine="0" w:firstLineChars="0"/>
              <w:jc w:val="center"/>
              <w:rPr>
                <w:color w:val="auto"/>
                <w:kern w:val="0"/>
                <w:sz w:val="21"/>
                <w:szCs w:val="21"/>
              </w:rPr>
            </w:pPr>
          </w:p>
        </w:tc>
        <w:tc>
          <w:tcPr>
            <w:tcW w:w="1906" w:type="pct"/>
            <w:vAlign w:val="center"/>
          </w:tcPr>
          <w:p w14:paraId="021451FD">
            <w:pPr>
              <w:widowControl/>
              <w:spacing w:line="240" w:lineRule="auto"/>
              <w:ind w:firstLine="0" w:firstLineChars="0"/>
              <w:jc w:val="center"/>
              <w:rPr>
                <w:color w:val="auto"/>
                <w:kern w:val="0"/>
                <w:sz w:val="21"/>
                <w:szCs w:val="21"/>
              </w:rPr>
            </w:pPr>
          </w:p>
        </w:tc>
        <w:tc>
          <w:tcPr>
            <w:tcW w:w="785" w:type="pct"/>
            <w:vAlign w:val="center"/>
          </w:tcPr>
          <w:p w14:paraId="0154A011">
            <w:pPr>
              <w:widowControl/>
              <w:spacing w:line="240" w:lineRule="auto"/>
              <w:ind w:firstLine="0" w:firstLineChars="0"/>
              <w:jc w:val="center"/>
              <w:rPr>
                <w:color w:val="auto"/>
                <w:kern w:val="0"/>
                <w:sz w:val="21"/>
                <w:szCs w:val="21"/>
              </w:rPr>
            </w:pPr>
          </w:p>
        </w:tc>
      </w:tr>
      <w:tr w14:paraId="5F9E1B2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4FDF8F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11</w:t>
            </w:r>
          </w:p>
        </w:tc>
        <w:tc>
          <w:tcPr>
            <w:tcW w:w="772" w:type="pct"/>
            <w:vMerge w:val="continue"/>
            <w:vAlign w:val="center"/>
          </w:tcPr>
          <w:p w14:paraId="2225F714">
            <w:pPr>
              <w:widowControl/>
              <w:spacing w:line="240" w:lineRule="auto"/>
              <w:ind w:firstLine="0" w:firstLineChars="0"/>
              <w:jc w:val="center"/>
              <w:rPr>
                <w:color w:val="auto"/>
                <w:kern w:val="0"/>
                <w:sz w:val="21"/>
                <w:szCs w:val="21"/>
              </w:rPr>
            </w:pPr>
          </w:p>
        </w:tc>
        <w:tc>
          <w:tcPr>
            <w:tcW w:w="1145" w:type="pct"/>
            <w:vAlign w:val="center"/>
          </w:tcPr>
          <w:p w14:paraId="3324D6A6">
            <w:pPr>
              <w:widowControl/>
              <w:spacing w:line="240" w:lineRule="auto"/>
              <w:ind w:firstLine="0" w:firstLineChars="0"/>
              <w:jc w:val="center"/>
              <w:rPr>
                <w:color w:val="auto"/>
                <w:kern w:val="0"/>
                <w:sz w:val="21"/>
                <w:szCs w:val="21"/>
              </w:rPr>
            </w:pPr>
          </w:p>
        </w:tc>
        <w:tc>
          <w:tcPr>
            <w:tcW w:w="1906" w:type="pct"/>
            <w:vAlign w:val="center"/>
          </w:tcPr>
          <w:p w14:paraId="5F7AE197">
            <w:pPr>
              <w:widowControl/>
              <w:spacing w:line="240" w:lineRule="auto"/>
              <w:ind w:firstLine="0" w:firstLineChars="0"/>
              <w:jc w:val="center"/>
              <w:rPr>
                <w:color w:val="auto"/>
                <w:kern w:val="0"/>
                <w:sz w:val="21"/>
                <w:szCs w:val="21"/>
              </w:rPr>
            </w:pPr>
          </w:p>
        </w:tc>
        <w:tc>
          <w:tcPr>
            <w:tcW w:w="785" w:type="pct"/>
            <w:vAlign w:val="center"/>
          </w:tcPr>
          <w:p w14:paraId="24C44AFF">
            <w:pPr>
              <w:widowControl/>
              <w:spacing w:line="240" w:lineRule="auto"/>
              <w:ind w:firstLine="0" w:firstLineChars="0"/>
              <w:jc w:val="center"/>
              <w:rPr>
                <w:color w:val="auto"/>
                <w:kern w:val="0"/>
                <w:sz w:val="21"/>
                <w:szCs w:val="21"/>
              </w:rPr>
            </w:pPr>
          </w:p>
        </w:tc>
      </w:tr>
      <w:tr w14:paraId="08EA97E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825377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12</w:t>
            </w:r>
          </w:p>
        </w:tc>
        <w:tc>
          <w:tcPr>
            <w:tcW w:w="772" w:type="pct"/>
            <w:vMerge w:val="continue"/>
            <w:vAlign w:val="center"/>
          </w:tcPr>
          <w:p w14:paraId="5A1DC31C">
            <w:pPr>
              <w:widowControl/>
              <w:spacing w:line="240" w:lineRule="auto"/>
              <w:ind w:firstLine="0" w:firstLineChars="0"/>
              <w:jc w:val="center"/>
              <w:rPr>
                <w:color w:val="auto"/>
                <w:kern w:val="0"/>
                <w:sz w:val="21"/>
                <w:szCs w:val="21"/>
              </w:rPr>
            </w:pPr>
          </w:p>
        </w:tc>
        <w:tc>
          <w:tcPr>
            <w:tcW w:w="1145" w:type="pct"/>
            <w:vAlign w:val="center"/>
          </w:tcPr>
          <w:p w14:paraId="1E0D3A82">
            <w:pPr>
              <w:widowControl/>
              <w:spacing w:line="240" w:lineRule="auto"/>
              <w:ind w:firstLine="0" w:firstLineChars="0"/>
              <w:jc w:val="center"/>
              <w:rPr>
                <w:color w:val="auto"/>
                <w:kern w:val="0"/>
                <w:sz w:val="21"/>
                <w:szCs w:val="21"/>
              </w:rPr>
            </w:pPr>
          </w:p>
        </w:tc>
        <w:tc>
          <w:tcPr>
            <w:tcW w:w="1906" w:type="pct"/>
            <w:vAlign w:val="center"/>
          </w:tcPr>
          <w:p w14:paraId="2B041207">
            <w:pPr>
              <w:widowControl/>
              <w:spacing w:line="240" w:lineRule="auto"/>
              <w:ind w:firstLine="0" w:firstLineChars="0"/>
              <w:jc w:val="center"/>
              <w:rPr>
                <w:color w:val="auto"/>
                <w:kern w:val="0"/>
                <w:sz w:val="21"/>
                <w:szCs w:val="21"/>
              </w:rPr>
            </w:pPr>
          </w:p>
        </w:tc>
        <w:tc>
          <w:tcPr>
            <w:tcW w:w="785" w:type="pct"/>
            <w:vAlign w:val="center"/>
          </w:tcPr>
          <w:p w14:paraId="44AC556E">
            <w:pPr>
              <w:widowControl/>
              <w:spacing w:line="240" w:lineRule="auto"/>
              <w:ind w:firstLine="0" w:firstLineChars="0"/>
              <w:jc w:val="center"/>
              <w:rPr>
                <w:color w:val="auto"/>
                <w:kern w:val="0"/>
                <w:sz w:val="21"/>
                <w:szCs w:val="21"/>
              </w:rPr>
            </w:pPr>
          </w:p>
        </w:tc>
      </w:tr>
      <w:tr w14:paraId="3F4DC98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651ACD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13</w:t>
            </w:r>
          </w:p>
        </w:tc>
        <w:tc>
          <w:tcPr>
            <w:tcW w:w="772" w:type="pct"/>
            <w:vMerge w:val="continue"/>
            <w:vAlign w:val="center"/>
          </w:tcPr>
          <w:p w14:paraId="16C0794E">
            <w:pPr>
              <w:widowControl/>
              <w:spacing w:line="240" w:lineRule="auto"/>
              <w:ind w:firstLine="0" w:firstLineChars="0"/>
              <w:jc w:val="center"/>
              <w:rPr>
                <w:color w:val="auto"/>
                <w:kern w:val="0"/>
                <w:sz w:val="21"/>
                <w:szCs w:val="21"/>
              </w:rPr>
            </w:pPr>
          </w:p>
        </w:tc>
        <w:tc>
          <w:tcPr>
            <w:tcW w:w="1145" w:type="pct"/>
            <w:vAlign w:val="center"/>
          </w:tcPr>
          <w:p w14:paraId="190D85EA">
            <w:pPr>
              <w:widowControl/>
              <w:spacing w:line="240" w:lineRule="auto"/>
              <w:ind w:firstLine="0" w:firstLineChars="0"/>
              <w:jc w:val="center"/>
              <w:rPr>
                <w:color w:val="auto"/>
                <w:kern w:val="0"/>
                <w:sz w:val="21"/>
                <w:szCs w:val="21"/>
              </w:rPr>
            </w:pPr>
          </w:p>
        </w:tc>
        <w:tc>
          <w:tcPr>
            <w:tcW w:w="1906" w:type="pct"/>
            <w:vAlign w:val="center"/>
          </w:tcPr>
          <w:p w14:paraId="586F7A5E">
            <w:pPr>
              <w:widowControl/>
              <w:spacing w:line="240" w:lineRule="auto"/>
              <w:ind w:firstLine="0" w:firstLineChars="0"/>
              <w:jc w:val="center"/>
              <w:rPr>
                <w:color w:val="auto"/>
                <w:kern w:val="0"/>
                <w:sz w:val="21"/>
                <w:szCs w:val="21"/>
              </w:rPr>
            </w:pPr>
          </w:p>
        </w:tc>
        <w:tc>
          <w:tcPr>
            <w:tcW w:w="785" w:type="pct"/>
            <w:vAlign w:val="center"/>
          </w:tcPr>
          <w:p w14:paraId="5F2D8C44">
            <w:pPr>
              <w:widowControl/>
              <w:spacing w:line="240" w:lineRule="auto"/>
              <w:ind w:firstLine="0" w:firstLineChars="0"/>
              <w:jc w:val="center"/>
              <w:rPr>
                <w:color w:val="auto"/>
                <w:kern w:val="0"/>
                <w:sz w:val="21"/>
                <w:szCs w:val="21"/>
              </w:rPr>
            </w:pPr>
          </w:p>
        </w:tc>
      </w:tr>
      <w:tr w14:paraId="650EE45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2FF16EA">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14</w:t>
            </w:r>
          </w:p>
        </w:tc>
        <w:tc>
          <w:tcPr>
            <w:tcW w:w="772" w:type="pct"/>
            <w:vMerge w:val="continue"/>
            <w:vAlign w:val="center"/>
          </w:tcPr>
          <w:p w14:paraId="2CDDE50B">
            <w:pPr>
              <w:widowControl/>
              <w:spacing w:line="240" w:lineRule="auto"/>
              <w:ind w:firstLine="0" w:firstLineChars="0"/>
              <w:jc w:val="center"/>
              <w:rPr>
                <w:color w:val="auto"/>
                <w:kern w:val="0"/>
                <w:sz w:val="21"/>
                <w:szCs w:val="21"/>
              </w:rPr>
            </w:pPr>
          </w:p>
        </w:tc>
        <w:tc>
          <w:tcPr>
            <w:tcW w:w="1145" w:type="pct"/>
            <w:vAlign w:val="center"/>
          </w:tcPr>
          <w:p w14:paraId="5F5F454F">
            <w:pPr>
              <w:widowControl/>
              <w:spacing w:line="240" w:lineRule="auto"/>
              <w:ind w:firstLine="0" w:firstLineChars="0"/>
              <w:jc w:val="center"/>
              <w:rPr>
                <w:color w:val="auto"/>
                <w:kern w:val="0"/>
                <w:sz w:val="21"/>
                <w:szCs w:val="21"/>
              </w:rPr>
            </w:pPr>
          </w:p>
        </w:tc>
        <w:tc>
          <w:tcPr>
            <w:tcW w:w="1906" w:type="pct"/>
            <w:vAlign w:val="center"/>
          </w:tcPr>
          <w:p w14:paraId="5EDE3D07">
            <w:pPr>
              <w:widowControl/>
              <w:spacing w:line="240" w:lineRule="auto"/>
              <w:ind w:firstLine="0" w:firstLineChars="0"/>
              <w:jc w:val="center"/>
              <w:rPr>
                <w:color w:val="auto"/>
                <w:kern w:val="0"/>
                <w:sz w:val="21"/>
                <w:szCs w:val="21"/>
              </w:rPr>
            </w:pPr>
          </w:p>
        </w:tc>
        <w:tc>
          <w:tcPr>
            <w:tcW w:w="785" w:type="pct"/>
            <w:vAlign w:val="center"/>
          </w:tcPr>
          <w:p w14:paraId="1A092119">
            <w:pPr>
              <w:widowControl/>
              <w:spacing w:line="240" w:lineRule="auto"/>
              <w:ind w:firstLine="0" w:firstLineChars="0"/>
              <w:jc w:val="center"/>
              <w:rPr>
                <w:color w:val="auto"/>
                <w:kern w:val="0"/>
                <w:sz w:val="21"/>
                <w:szCs w:val="21"/>
              </w:rPr>
            </w:pPr>
          </w:p>
        </w:tc>
      </w:tr>
      <w:tr w14:paraId="56944C9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0E43E9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15</w:t>
            </w:r>
          </w:p>
        </w:tc>
        <w:tc>
          <w:tcPr>
            <w:tcW w:w="772" w:type="pct"/>
            <w:vMerge w:val="continue"/>
            <w:vAlign w:val="center"/>
          </w:tcPr>
          <w:p w14:paraId="7AA412E0">
            <w:pPr>
              <w:widowControl/>
              <w:spacing w:line="240" w:lineRule="auto"/>
              <w:ind w:firstLine="0" w:firstLineChars="0"/>
              <w:jc w:val="center"/>
              <w:rPr>
                <w:color w:val="auto"/>
                <w:kern w:val="0"/>
                <w:sz w:val="21"/>
                <w:szCs w:val="21"/>
              </w:rPr>
            </w:pPr>
          </w:p>
        </w:tc>
        <w:tc>
          <w:tcPr>
            <w:tcW w:w="1145" w:type="pct"/>
            <w:vAlign w:val="center"/>
          </w:tcPr>
          <w:p w14:paraId="429393C4">
            <w:pPr>
              <w:widowControl/>
              <w:spacing w:line="240" w:lineRule="auto"/>
              <w:ind w:firstLine="0" w:firstLineChars="0"/>
              <w:jc w:val="center"/>
              <w:rPr>
                <w:color w:val="auto"/>
                <w:kern w:val="0"/>
                <w:sz w:val="21"/>
                <w:szCs w:val="21"/>
              </w:rPr>
            </w:pPr>
          </w:p>
        </w:tc>
        <w:tc>
          <w:tcPr>
            <w:tcW w:w="1906" w:type="pct"/>
            <w:vAlign w:val="center"/>
          </w:tcPr>
          <w:p w14:paraId="369C40D7">
            <w:pPr>
              <w:widowControl/>
              <w:spacing w:line="240" w:lineRule="auto"/>
              <w:ind w:firstLine="0" w:firstLineChars="0"/>
              <w:jc w:val="center"/>
              <w:rPr>
                <w:color w:val="auto"/>
                <w:kern w:val="0"/>
                <w:sz w:val="21"/>
                <w:szCs w:val="21"/>
              </w:rPr>
            </w:pPr>
          </w:p>
        </w:tc>
        <w:tc>
          <w:tcPr>
            <w:tcW w:w="785" w:type="pct"/>
            <w:vAlign w:val="center"/>
          </w:tcPr>
          <w:p w14:paraId="173F5CD1">
            <w:pPr>
              <w:widowControl/>
              <w:spacing w:line="240" w:lineRule="auto"/>
              <w:ind w:firstLine="0" w:firstLineChars="0"/>
              <w:jc w:val="center"/>
              <w:rPr>
                <w:color w:val="auto"/>
                <w:kern w:val="0"/>
                <w:sz w:val="21"/>
                <w:szCs w:val="21"/>
              </w:rPr>
            </w:pPr>
          </w:p>
        </w:tc>
      </w:tr>
      <w:tr w14:paraId="0F9A8ED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65CD8D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16</w:t>
            </w:r>
          </w:p>
        </w:tc>
        <w:tc>
          <w:tcPr>
            <w:tcW w:w="772" w:type="pct"/>
            <w:vMerge w:val="continue"/>
            <w:vAlign w:val="center"/>
          </w:tcPr>
          <w:p w14:paraId="16A3C0E1">
            <w:pPr>
              <w:widowControl/>
              <w:spacing w:line="240" w:lineRule="auto"/>
              <w:ind w:firstLine="0" w:firstLineChars="0"/>
              <w:jc w:val="center"/>
              <w:rPr>
                <w:color w:val="auto"/>
                <w:kern w:val="0"/>
                <w:sz w:val="21"/>
                <w:szCs w:val="21"/>
              </w:rPr>
            </w:pPr>
          </w:p>
        </w:tc>
        <w:tc>
          <w:tcPr>
            <w:tcW w:w="1145" w:type="pct"/>
            <w:vAlign w:val="center"/>
          </w:tcPr>
          <w:p w14:paraId="2C9F27DA">
            <w:pPr>
              <w:widowControl/>
              <w:spacing w:line="240" w:lineRule="auto"/>
              <w:ind w:firstLine="0" w:firstLineChars="0"/>
              <w:jc w:val="center"/>
              <w:rPr>
                <w:color w:val="auto"/>
                <w:kern w:val="0"/>
                <w:sz w:val="21"/>
                <w:szCs w:val="21"/>
              </w:rPr>
            </w:pPr>
          </w:p>
        </w:tc>
        <w:tc>
          <w:tcPr>
            <w:tcW w:w="1906" w:type="pct"/>
            <w:vAlign w:val="center"/>
          </w:tcPr>
          <w:p w14:paraId="4F37A3C8">
            <w:pPr>
              <w:widowControl/>
              <w:spacing w:line="240" w:lineRule="auto"/>
              <w:ind w:firstLine="0" w:firstLineChars="0"/>
              <w:jc w:val="center"/>
              <w:rPr>
                <w:color w:val="auto"/>
                <w:kern w:val="0"/>
                <w:sz w:val="21"/>
                <w:szCs w:val="21"/>
              </w:rPr>
            </w:pPr>
          </w:p>
        </w:tc>
        <w:tc>
          <w:tcPr>
            <w:tcW w:w="785" w:type="pct"/>
            <w:vAlign w:val="center"/>
          </w:tcPr>
          <w:p w14:paraId="1CBAA7E4">
            <w:pPr>
              <w:widowControl/>
              <w:spacing w:line="240" w:lineRule="auto"/>
              <w:ind w:firstLine="0" w:firstLineChars="0"/>
              <w:jc w:val="center"/>
              <w:rPr>
                <w:color w:val="auto"/>
                <w:kern w:val="0"/>
                <w:sz w:val="21"/>
                <w:szCs w:val="21"/>
              </w:rPr>
            </w:pPr>
          </w:p>
        </w:tc>
      </w:tr>
      <w:tr w14:paraId="592A6F1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295760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17</w:t>
            </w:r>
          </w:p>
        </w:tc>
        <w:tc>
          <w:tcPr>
            <w:tcW w:w="772" w:type="pct"/>
            <w:vMerge w:val="continue"/>
            <w:vAlign w:val="center"/>
          </w:tcPr>
          <w:p w14:paraId="1DB66ABE">
            <w:pPr>
              <w:widowControl/>
              <w:spacing w:line="240" w:lineRule="auto"/>
              <w:ind w:firstLine="0" w:firstLineChars="0"/>
              <w:jc w:val="center"/>
              <w:rPr>
                <w:color w:val="auto"/>
                <w:kern w:val="0"/>
                <w:sz w:val="21"/>
                <w:szCs w:val="21"/>
              </w:rPr>
            </w:pPr>
          </w:p>
        </w:tc>
        <w:tc>
          <w:tcPr>
            <w:tcW w:w="1145" w:type="pct"/>
            <w:vAlign w:val="center"/>
          </w:tcPr>
          <w:p w14:paraId="037A5574">
            <w:pPr>
              <w:widowControl/>
              <w:spacing w:line="240" w:lineRule="auto"/>
              <w:ind w:firstLine="0" w:firstLineChars="0"/>
              <w:jc w:val="center"/>
              <w:rPr>
                <w:color w:val="auto"/>
                <w:kern w:val="0"/>
                <w:sz w:val="21"/>
                <w:szCs w:val="21"/>
              </w:rPr>
            </w:pPr>
          </w:p>
        </w:tc>
        <w:tc>
          <w:tcPr>
            <w:tcW w:w="1906" w:type="pct"/>
            <w:vAlign w:val="center"/>
          </w:tcPr>
          <w:p w14:paraId="06BEB202">
            <w:pPr>
              <w:widowControl/>
              <w:spacing w:line="240" w:lineRule="auto"/>
              <w:ind w:firstLine="0" w:firstLineChars="0"/>
              <w:jc w:val="center"/>
              <w:rPr>
                <w:color w:val="auto"/>
                <w:kern w:val="0"/>
                <w:sz w:val="21"/>
                <w:szCs w:val="21"/>
              </w:rPr>
            </w:pPr>
          </w:p>
        </w:tc>
        <w:tc>
          <w:tcPr>
            <w:tcW w:w="785" w:type="pct"/>
            <w:vAlign w:val="center"/>
          </w:tcPr>
          <w:p w14:paraId="19BEFFF0">
            <w:pPr>
              <w:widowControl/>
              <w:spacing w:line="240" w:lineRule="auto"/>
              <w:ind w:firstLine="0" w:firstLineChars="0"/>
              <w:jc w:val="center"/>
              <w:rPr>
                <w:color w:val="auto"/>
                <w:kern w:val="0"/>
                <w:sz w:val="21"/>
                <w:szCs w:val="21"/>
              </w:rPr>
            </w:pPr>
          </w:p>
        </w:tc>
      </w:tr>
      <w:tr w14:paraId="0EA41E6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8D0424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18</w:t>
            </w:r>
          </w:p>
        </w:tc>
        <w:tc>
          <w:tcPr>
            <w:tcW w:w="772" w:type="pct"/>
            <w:vMerge w:val="continue"/>
            <w:vAlign w:val="center"/>
          </w:tcPr>
          <w:p w14:paraId="03B5327D">
            <w:pPr>
              <w:widowControl/>
              <w:spacing w:line="240" w:lineRule="auto"/>
              <w:ind w:firstLine="0" w:firstLineChars="0"/>
              <w:jc w:val="center"/>
              <w:rPr>
                <w:color w:val="auto"/>
                <w:kern w:val="0"/>
                <w:sz w:val="21"/>
                <w:szCs w:val="21"/>
              </w:rPr>
            </w:pPr>
          </w:p>
        </w:tc>
        <w:tc>
          <w:tcPr>
            <w:tcW w:w="1145" w:type="pct"/>
            <w:vAlign w:val="center"/>
          </w:tcPr>
          <w:p w14:paraId="2E78BE8C">
            <w:pPr>
              <w:widowControl/>
              <w:spacing w:line="240" w:lineRule="auto"/>
              <w:ind w:firstLine="0" w:firstLineChars="0"/>
              <w:jc w:val="center"/>
              <w:rPr>
                <w:color w:val="auto"/>
                <w:kern w:val="0"/>
                <w:sz w:val="21"/>
                <w:szCs w:val="21"/>
              </w:rPr>
            </w:pPr>
          </w:p>
        </w:tc>
        <w:tc>
          <w:tcPr>
            <w:tcW w:w="1906" w:type="pct"/>
            <w:vAlign w:val="center"/>
          </w:tcPr>
          <w:p w14:paraId="382E9BD6">
            <w:pPr>
              <w:widowControl/>
              <w:spacing w:line="240" w:lineRule="auto"/>
              <w:ind w:firstLine="0" w:firstLineChars="0"/>
              <w:jc w:val="center"/>
              <w:rPr>
                <w:color w:val="auto"/>
                <w:kern w:val="0"/>
                <w:sz w:val="21"/>
                <w:szCs w:val="21"/>
              </w:rPr>
            </w:pPr>
          </w:p>
        </w:tc>
        <w:tc>
          <w:tcPr>
            <w:tcW w:w="785" w:type="pct"/>
            <w:vAlign w:val="center"/>
          </w:tcPr>
          <w:p w14:paraId="3E8C8B70">
            <w:pPr>
              <w:widowControl/>
              <w:spacing w:line="240" w:lineRule="auto"/>
              <w:ind w:firstLine="0" w:firstLineChars="0"/>
              <w:jc w:val="center"/>
              <w:rPr>
                <w:color w:val="auto"/>
                <w:kern w:val="0"/>
                <w:sz w:val="21"/>
                <w:szCs w:val="21"/>
              </w:rPr>
            </w:pPr>
          </w:p>
        </w:tc>
      </w:tr>
      <w:tr w14:paraId="52579C0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6F1D30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19</w:t>
            </w:r>
          </w:p>
        </w:tc>
        <w:tc>
          <w:tcPr>
            <w:tcW w:w="772" w:type="pct"/>
            <w:vMerge w:val="continue"/>
            <w:vAlign w:val="center"/>
          </w:tcPr>
          <w:p w14:paraId="6B112EEA">
            <w:pPr>
              <w:widowControl/>
              <w:spacing w:line="240" w:lineRule="auto"/>
              <w:ind w:firstLine="0" w:firstLineChars="0"/>
              <w:jc w:val="center"/>
              <w:rPr>
                <w:color w:val="auto"/>
                <w:kern w:val="0"/>
                <w:sz w:val="21"/>
                <w:szCs w:val="21"/>
              </w:rPr>
            </w:pPr>
          </w:p>
        </w:tc>
        <w:tc>
          <w:tcPr>
            <w:tcW w:w="1145" w:type="pct"/>
            <w:vAlign w:val="center"/>
          </w:tcPr>
          <w:p w14:paraId="7CC1CE44">
            <w:pPr>
              <w:widowControl/>
              <w:spacing w:line="240" w:lineRule="auto"/>
              <w:ind w:firstLine="0" w:firstLineChars="0"/>
              <w:jc w:val="center"/>
              <w:rPr>
                <w:color w:val="auto"/>
                <w:kern w:val="0"/>
                <w:sz w:val="21"/>
                <w:szCs w:val="21"/>
              </w:rPr>
            </w:pPr>
          </w:p>
        </w:tc>
        <w:tc>
          <w:tcPr>
            <w:tcW w:w="1906" w:type="pct"/>
            <w:vAlign w:val="center"/>
          </w:tcPr>
          <w:p w14:paraId="7CACD5A5">
            <w:pPr>
              <w:widowControl/>
              <w:spacing w:line="240" w:lineRule="auto"/>
              <w:ind w:firstLine="0" w:firstLineChars="0"/>
              <w:jc w:val="center"/>
              <w:rPr>
                <w:color w:val="auto"/>
                <w:kern w:val="0"/>
                <w:sz w:val="21"/>
                <w:szCs w:val="21"/>
              </w:rPr>
            </w:pPr>
          </w:p>
        </w:tc>
        <w:tc>
          <w:tcPr>
            <w:tcW w:w="785" w:type="pct"/>
            <w:vAlign w:val="center"/>
          </w:tcPr>
          <w:p w14:paraId="6C0110D9">
            <w:pPr>
              <w:widowControl/>
              <w:spacing w:line="240" w:lineRule="auto"/>
              <w:ind w:firstLine="0" w:firstLineChars="0"/>
              <w:jc w:val="center"/>
              <w:rPr>
                <w:color w:val="auto"/>
                <w:kern w:val="0"/>
                <w:sz w:val="21"/>
                <w:szCs w:val="21"/>
              </w:rPr>
            </w:pPr>
          </w:p>
        </w:tc>
      </w:tr>
      <w:tr w14:paraId="47DEEE9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DC26E4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20</w:t>
            </w:r>
          </w:p>
        </w:tc>
        <w:tc>
          <w:tcPr>
            <w:tcW w:w="772" w:type="pct"/>
            <w:vMerge w:val="continue"/>
            <w:vAlign w:val="center"/>
          </w:tcPr>
          <w:p w14:paraId="1856B9C6">
            <w:pPr>
              <w:widowControl/>
              <w:spacing w:line="240" w:lineRule="auto"/>
              <w:ind w:firstLine="0" w:firstLineChars="0"/>
              <w:jc w:val="center"/>
              <w:rPr>
                <w:color w:val="auto"/>
                <w:kern w:val="0"/>
                <w:sz w:val="21"/>
                <w:szCs w:val="21"/>
              </w:rPr>
            </w:pPr>
          </w:p>
        </w:tc>
        <w:tc>
          <w:tcPr>
            <w:tcW w:w="1145" w:type="pct"/>
            <w:vAlign w:val="center"/>
          </w:tcPr>
          <w:p w14:paraId="3829D299">
            <w:pPr>
              <w:widowControl/>
              <w:spacing w:line="240" w:lineRule="auto"/>
              <w:ind w:firstLine="0" w:firstLineChars="0"/>
              <w:jc w:val="center"/>
              <w:rPr>
                <w:color w:val="auto"/>
                <w:kern w:val="0"/>
                <w:sz w:val="21"/>
                <w:szCs w:val="21"/>
              </w:rPr>
            </w:pPr>
          </w:p>
        </w:tc>
        <w:tc>
          <w:tcPr>
            <w:tcW w:w="1906" w:type="pct"/>
            <w:vAlign w:val="center"/>
          </w:tcPr>
          <w:p w14:paraId="6A74270C">
            <w:pPr>
              <w:widowControl/>
              <w:spacing w:line="240" w:lineRule="auto"/>
              <w:ind w:firstLine="0" w:firstLineChars="0"/>
              <w:jc w:val="center"/>
              <w:rPr>
                <w:color w:val="auto"/>
                <w:kern w:val="0"/>
                <w:sz w:val="21"/>
                <w:szCs w:val="21"/>
              </w:rPr>
            </w:pPr>
          </w:p>
        </w:tc>
        <w:tc>
          <w:tcPr>
            <w:tcW w:w="785" w:type="pct"/>
            <w:vAlign w:val="center"/>
          </w:tcPr>
          <w:p w14:paraId="03B79985">
            <w:pPr>
              <w:widowControl/>
              <w:spacing w:line="240" w:lineRule="auto"/>
              <w:ind w:firstLine="0" w:firstLineChars="0"/>
              <w:jc w:val="center"/>
              <w:rPr>
                <w:color w:val="auto"/>
                <w:kern w:val="0"/>
                <w:sz w:val="21"/>
                <w:szCs w:val="21"/>
              </w:rPr>
            </w:pPr>
          </w:p>
        </w:tc>
      </w:tr>
      <w:tr w14:paraId="161FEE1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47478B8">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21</w:t>
            </w:r>
          </w:p>
        </w:tc>
        <w:tc>
          <w:tcPr>
            <w:tcW w:w="772" w:type="pct"/>
            <w:vMerge w:val="continue"/>
            <w:vAlign w:val="center"/>
          </w:tcPr>
          <w:p w14:paraId="335B6579">
            <w:pPr>
              <w:widowControl/>
              <w:spacing w:line="240" w:lineRule="auto"/>
              <w:ind w:firstLine="0" w:firstLineChars="0"/>
              <w:jc w:val="center"/>
              <w:rPr>
                <w:color w:val="auto"/>
                <w:kern w:val="0"/>
                <w:sz w:val="21"/>
                <w:szCs w:val="21"/>
              </w:rPr>
            </w:pPr>
          </w:p>
        </w:tc>
        <w:tc>
          <w:tcPr>
            <w:tcW w:w="1145" w:type="pct"/>
            <w:vAlign w:val="center"/>
          </w:tcPr>
          <w:p w14:paraId="0CE17F68">
            <w:pPr>
              <w:widowControl/>
              <w:spacing w:line="240" w:lineRule="auto"/>
              <w:ind w:firstLine="0" w:firstLineChars="0"/>
              <w:jc w:val="center"/>
              <w:rPr>
                <w:color w:val="auto"/>
                <w:kern w:val="0"/>
                <w:sz w:val="21"/>
                <w:szCs w:val="21"/>
              </w:rPr>
            </w:pPr>
          </w:p>
        </w:tc>
        <w:tc>
          <w:tcPr>
            <w:tcW w:w="1906" w:type="pct"/>
            <w:vAlign w:val="center"/>
          </w:tcPr>
          <w:p w14:paraId="144F8CE0">
            <w:pPr>
              <w:widowControl/>
              <w:spacing w:line="240" w:lineRule="auto"/>
              <w:ind w:firstLine="0" w:firstLineChars="0"/>
              <w:jc w:val="center"/>
              <w:rPr>
                <w:color w:val="auto"/>
                <w:kern w:val="0"/>
                <w:sz w:val="21"/>
                <w:szCs w:val="21"/>
              </w:rPr>
            </w:pPr>
          </w:p>
        </w:tc>
        <w:tc>
          <w:tcPr>
            <w:tcW w:w="785" w:type="pct"/>
            <w:vAlign w:val="center"/>
          </w:tcPr>
          <w:p w14:paraId="5266522B">
            <w:pPr>
              <w:widowControl/>
              <w:spacing w:line="240" w:lineRule="auto"/>
              <w:ind w:firstLine="0" w:firstLineChars="0"/>
              <w:jc w:val="center"/>
              <w:rPr>
                <w:color w:val="auto"/>
                <w:kern w:val="0"/>
                <w:sz w:val="21"/>
                <w:szCs w:val="21"/>
              </w:rPr>
            </w:pPr>
          </w:p>
        </w:tc>
      </w:tr>
      <w:tr w14:paraId="7E23607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D360774">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22</w:t>
            </w:r>
          </w:p>
        </w:tc>
        <w:tc>
          <w:tcPr>
            <w:tcW w:w="772" w:type="pct"/>
            <w:vMerge w:val="continue"/>
            <w:vAlign w:val="center"/>
          </w:tcPr>
          <w:p w14:paraId="5A5CC6CE">
            <w:pPr>
              <w:widowControl/>
              <w:spacing w:line="240" w:lineRule="auto"/>
              <w:ind w:firstLine="0" w:firstLineChars="0"/>
              <w:jc w:val="center"/>
              <w:rPr>
                <w:color w:val="auto"/>
                <w:kern w:val="0"/>
                <w:sz w:val="21"/>
                <w:szCs w:val="21"/>
              </w:rPr>
            </w:pPr>
          </w:p>
        </w:tc>
        <w:tc>
          <w:tcPr>
            <w:tcW w:w="1145" w:type="pct"/>
            <w:vAlign w:val="center"/>
          </w:tcPr>
          <w:p w14:paraId="1FD34348">
            <w:pPr>
              <w:widowControl/>
              <w:spacing w:line="240" w:lineRule="auto"/>
              <w:ind w:firstLine="0" w:firstLineChars="0"/>
              <w:jc w:val="center"/>
              <w:rPr>
                <w:color w:val="auto"/>
                <w:kern w:val="0"/>
                <w:sz w:val="21"/>
                <w:szCs w:val="21"/>
              </w:rPr>
            </w:pPr>
          </w:p>
        </w:tc>
        <w:tc>
          <w:tcPr>
            <w:tcW w:w="1906" w:type="pct"/>
            <w:vAlign w:val="center"/>
          </w:tcPr>
          <w:p w14:paraId="45B181AB">
            <w:pPr>
              <w:widowControl/>
              <w:spacing w:line="240" w:lineRule="auto"/>
              <w:ind w:firstLine="0" w:firstLineChars="0"/>
              <w:jc w:val="center"/>
              <w:rPr>
                <w:color w:val="auto"/>
                <w:kern w:val="0"/>
                <w:sz w:val="21"/>
                <w:szCs w:val="21"/>
              </w:rPr>
            </w:pPr>
          </w:p>
        </w:tc>
        <w:tc>
          <w:tcPr>
            <w:tcW w:w="785" w:type="pct"/>
            <w:vAlign w:val="center"/>
          </w:tcPr>
          <w:p w14:paraId="2703842B">
            <w:pPr>
              <w:widowControl/>
              <w:spacing w:line="240" w:lineRule="auto"/>
              <w:ind w:firstLine="0" w:firstLineChars="0"/>
              <w:jc w:val="center"/>
              <w:rPr>
                <w:color w:val="auto"/>
                <w:kern w:val="0"/>
                <w:sz w:val="21"/>
                <w:szCs w:val="21"/>
              </w:rPr>
            </w:pPr>
          </w:p>
        </w:tc>
      </w:tr>
      <w:tr w14:paraId="3873F06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4B33711">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23</w:t>
            </w:r>
          </w:p>
        </w:tc>
        <w:tc>
          <w:tcPr>
            <w:tcW w:w="772" w:type="pct"/>
            <w:vMerge w:val="continue"/>
            <w:vAlign w:val="center"/>
          </w:tcPr>
          <w:p w14:paraId="04A7D008">
            <w:pPr>
              <w:widowControl/>
              <w:spacing w:line="240" w:lineRule="auto"/>
              <w:ind w:firstLine="0" w:firstLineChars="0"/>
              <w:jc w:val="center"/>
              <w:rPr>
                <w:color w:val="auto"/>
                <w:kern w:val="0"/>
                <w:sz w:val="21"/>
                <w:szCs w:val="21"/>
              </w:rPr>
            </w:pPr>
          </w:p>
        </w:tc>
        <w:tc>
          <w:tcPr>
            <w:tcW w:w="1145" w:type="pct"/>
            <w:vAlign w:val="center"/>
          </w:tcPr>
          <w:p w14:paraId="59E18C35">
            <w:pPr>
              <w:widowControl/>
              <w:spacing w:line="240" w:lineRule="auto"/>
              <w:ind w:firstLine="0" w:firstLineChars="0"/>
              <w:jc w:val="center"/>
              <w:rPr>
                <w:color w:val="auto"/>
                <w:kern w:val="0"/>
                <w:sz w:val="21"/>
                <w:szCs w:val="21"/>
              </w:rPr>
            </w:pPr>
          </w:p>
        </w:tc>
        <w:tc>
          <w:tcPr>
            <w:tcW w:w="1906" w:type="pct"/>
            <w:vAlign w:val="center"/>
          </w:tcPr>
          <w:p w14:paraId="0EC40BD4">
            <w:pPr>
              <w:widowControl/>
              <w:spacing w:line="240" w:lineRule="auto"/>
              <w:ind w:firstLine="0" w:firstLineChars="0"/>
              <w:jc w:val="center"/>
              <w:rPr>
                <w:color w:val="auto"/>
                <w:kern w:val="0"/>
                <w:sz w:val="21"/>
                <w:szCs w:val="21"/>
              </w:rPr>
            </w:pPr>
          </w:p>
        </w:tc>
        <w:tc>
          <w:tcPr>
            <w:tcW w:w="785" w:type="pct"/>
            <w:vAlign w:val="center"/>
          </w:tcPr>
          <w:p w14:paraId="3B01DDF8">
            <w:pPr>
              <w:widowControl/>
              <w:spacing w:line="240" w:lineRule="auto"/>
              <w:ind w:firstLine="0" w:firstLineChars="0"/>
              <w:jc w:val="center"/>
              <w:rPr>
                <w:color w:val="auto"/>
                <w:kern w:val="0"/>
                <w:sz w:val="21"/>
                <w:szCs w:val="21"/>
              </w:rPr>
            </w:pPr>
          </w:p>
        </w:tc>
      </w:tr>
      <w:tr w14:paraId="09BE85D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D068D68">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24</w:t>
            </w:r>
          </w:p>
        </w:tc>
        <w:tc>
          <w:tcPr>
            <w:tcW w:w="772" w:type="pct"/>
            <w:vMerge w:val="continue"/>
            <w:vAlign w:val="center"/>
          </w:tcPr>
          <w:p w14:paraId="7686A43C">
            <w:pPr>
              <w:widowControl/>
              <w:spacing w:line="240" w:lineRule="auto"/>
              <w:ind w:firstLine="0" w:firstLineChars="0"/>
              <w:jc w:val="center"/>
              <w:rPr>
                <w:color w:val="auto"/>
                <w:kern w:val="0"/>
                <w:sz w:val="21"/>
                <w:szCs w:val="21"/>
              </w:rPr>
            </w:pPr>
          </w:p>
        </w:tc>
        <w:tc>
          <w:tcPr>
            <w:tcW w:w="1145" w:type="pct"/>
            <w:vAlign w:val="center"/>
          </w:tcPr>
          <w:p w14:paraId="69D2DBF1">
            <w:pPr>
              <w:widowControl/>
              <w:spacing w:line="240" w:lineRule="auto"/>
              <w:ind w:firstLine="0" w:firstLineChars="0"/>
              <w:jc w:val="center"/>
              <w:rPr>
                <w:color w:val="auto"/>
                <w:kern w:val="0"/>
                <w:sz w:val="21"/>
                <w:szCs w:val="21"/>
              </w:rPr>
            </w:pPr>
          </w:p>
        </w:tc>
        <w:tc>
          <w:tcPr>
            <w:tcW w:w="1906" w:type="pct"/>
            <w:vAlign w:val="center"/>
          </w:tcPr>
          <w:p w14:paraId="2D357FF5">
            <w:pPr>
              <w:widowControl/>
              <w:spacing w:line="240" w:lineRule="auto"/>
              <w:ind w:firstLine="0" w:firstLineChars="0"/>
              <w:jc w:val="center"/>
              <w:rPr>
                <w:color w:val="auto"/>
                <w:kern w:val="0"/>
                <w:sz w:val="21"/>
                <w:szCs w:val="21"/>
              </w:rPr>
            </w:pPr>
          </w:p>
        </w:tc>
        <w:tc>
          <w:tcPr>
            <w:tcW w:w="785" w:type="pct"/>
            <w:vAlign w:val="center"/>
          </w:tcPr>
          <w:p w14:paraId="18F700E7">
            <w:pPr>
              <w:widowControl/>
              <w:spacing w:line="240" w:lineRule="auto"/>
              <w:ind w:firstLine="0" w:firstLineChars="0"/>
              <w:jc w:val="center"/>
              <w:rPr>
                <w:color w:val="auto"/>
                <w:kern w:val="0"/>
                <w:sz w:val="21"/>
                <w:szCs w:val="21"/>
              </w:rPr>
            </w:pPr>
          </w:p>
        </w:tc>
      </w:tr>
      <w:tr w14:paraId="3B9CE0C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21F73E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25</w:t>
            </w:r>
          </w:p>
        </w:tc>
        <w:tc>
          <w:tcPr>
            <w:tcW w:w="772" w:type="pct"/>
            <w:vMerge w:val="continue"/>
            <w:vAlign w:val="center"/>
          </w:tcPr>
          <w:p w14:paraId="3529B37F">
            <w:pPr>
              <w:widowControl/>
              <w:spacing w:line="240" w:lineRule="auto"/>
              <w:ind w:firstLine="0" w:firstLineChars="0"/>
              <w:jc w:val="center"/>
              <w:rPr>
                <w:color w:val="auto"/>
                <w:kern w:val="0"/>
                <w:sz w:val="21"/>
                <w:szCs w:val="21"/>
              </w:rPr>
            </w:pPr>
          </w:p>
        </w:tc>
        <w:tc>
          <w:tcPr>
            <w:tcW w:w="1145" w:type="pct"/>
            <w:vAlign w:val="center"/>
          </w:tcPr>
          <w:p w14:paraId="33A99124">
            <w:pPr>
              <w:widowControl/>
              <w:spacing w:line="240" w:lineRule="auto"/>
              <w:ind w:firstLine="0" w:firstLineChars="0"/>
              <w:jc w:val="center"/>
              <w:rPr>
                <w:color w:val="auto"/>
                <w:kern w:val="0"/>
                <w:sz w:val="21"/>
                <w:szCs w:val="21"/>
              </w:rPr>
            </w:pPr>
          </w:p>
        </w:tc>
        <w:tc>
          <w:tcPr>
            <w:tcW w:w="1906" w:type="pct"/>
            <w:vAlign w:val="center"/>
          </w:tcPr>
          <w:p w14:paraId="3E8C4D42">
            <w:pPr>
              <w:widowControl/>
              <w:spacing w:line="240" w:lineRule="auto"/>
              <w:ind w:firstLine="0" w:firstLineChars="0"/>
              <w:jc w:val="center"/>
              <w:rPr>
                <w:color w:val="auto"/>
                <w:kern w:val="0"/>
                <w:sz w:val="21"/>
                <w:szCs w:val="21"/>
              </w:rPr>
            </w:pPr>
          </w:p>
        </w:tc>
        <w:tc>
          <w:tcPr>
            <w:tcW w:w="785" w:type="pct"/>
            <w:vAlign w:val="center"/>
          </w:tcPr>
          <w:p w14:paraId="32F85AEF">
            <w:pPr>
              <w:widowControl/>
              <w:spacing w:line="240" w:lineRule="auto"/>
              <w:ind w:firstLine="0" w:firstLineChars="0"/>
              <w:jc w:val="center"/>
              <w:rPr>
                <w:color w:val="auto"/>
                <w:kern w:val="0"/>
                <w:sz w:val="21"/>
                <w:szCs w:val="21"/>
              </w:rPr>
            </w:pPr>
          </w:p>
        </w:tc>
      </w:tr>
      <w:tr w14:paraId="03DDB33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BA1BC28">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26</w:t>
            </w:r>
          </w:p>
        </w:tc>
        <w:tc>
          <w:tcPr>
            <w:tcW w:w="772" w:type="pct"/>
            <w:vMerge w:val="continue"/>
            <w:vAlign w:val="center"/>
          </w:tcPr>
          <w:p w14:paraId="6ABF7D88">
            <w:pPr>
              <w:widowControl/>
              <w:spacing w:line="240" w:lineRule="auto"/>
              <w:ind w:firstLine="0" w:firstLineChars="0"/>
              <w:jc w:val="center"/>
              <w:rPr>
                <w:color w:val="auto"/>
                <w:kern w:val="0"/>
                <w:sz w:val="21"/>
                <w:szCs w:val="21"/>
              </w:rPr>
            </w:pPr>
          </w:p>
        </w:tc>
        <w:tc>
          <w:tcPr>
            <w:tcW w:w="1145" w:type="pct"/>
            <w:vAlign w:val="center"/>
          </w:tcPr>
          <w:p w14:paraId="0BE9BD63">
            <w:pPr>
              <w:widowControl/>
              <w:spacing w:line="240" w:lineRule="auto"/>
              <w:ind w:firstLine="0" w:firstLineChars="0"/>
              <w:jc w:val="center"/>
              <w:rPr>
                <w:color w:val="auto"/>
                <w:kern w:val="0"/>
                <w:sz w:val="21"/>
                <w:szCs w:val="21"/>
              </w:rPr>
            </w:pPr>
          </w:p>
        </w:tc>
        <w:tc>
          <w:tcPr>
            <w:tcW w:w="1906" w:type="pct"/>
            <w:vAlign w:val="center"/>
          </w:tcPr>
          <w:p w14:paraId="704DBE20">
            <w:pPr>
              <w:widowControl/>
              <w:spacing w:line="240" w:lineRule="auto"/>
              <w:ind w:firstLine="0" w:firstLineChars="0"/>
              <w:jc w:val="center"/>
              <w:rPr>
                <w:color w:val="auto"/>
                <w:kern w:val="0"/>
                <w:sz w:val="21"/>
                <w:szCs w:val="21"/>
              </w:rPr>
            </w:pPr>
          </w:p>
        </w:tc>
        <w:tc>
          <w:tcPr>
            <w:tcW w:w="785" w:type="pct"/>
            <w:vAlign w:val="center"/>
          </w:tcPr>
          <w:p w14:paraId="6C9A3589">
            <w:pPr>
              <w:widowControl/>
              <w:spacing w:line="240" w:lineRule="auto"/>
              <w:ind w:firstLine="0" w:firstLineChars="0"/>
              <w:jc w:val="center"/>
              <w:rPr>
                <w:color w:val="auto"/>
                <w:kern w:val="0"/>
                <w:sz w:val="21"/>
                <w:szCs w:val="21"/>
              </w:rPr>
            </w:pPr>
          </w:p>
        </w:tc>
      </w:tr>
      <w:tr w14:paraId="39370C8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BE8EDD1">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27</w:t>
            </w:r>
          </w:p>
        </w:tc>
        <w:tc>
          <w:tcPr>
            <w:tcW w:w="772" w:type="pct"/>
            <w:vMerge w:val="continue"/>
            <w:vAlign w:val="center"/>
          </w:tcPr>
          <w:p w14:paraId="01CF799F">
            <w:pPr>
              <w:widowControl/>
              <w:spacing w:line="240" w:lineRule="auto"/>
              <w:ind w:firstLine="0" w:firstLineChars="0"/>
              <w:jc w:val="center"/>
              <w:rPr>
                <w:color w:val="auto"/>
                <w:kern w:val="0"/>
                <w:sz w:val="21"/>
                <w:szCs w:val="21"/>
              </w:rPr>
            </w:pPr>
          </w:p>
        </w:tc>
        <w:tc>
          <w:tcPr>
            <w:tcW w:w="1145" w:type="pct"/>
            <w:vAlign w:val="center"/>
          </w:tcPr>
          <w:p w14:paraId="19269D7C">
            <w:pPr>
              <w:widowControl/>
              <w:spacing w:line="240" w:lineRule="auto"/>
              <w:ind w:firstLine="0" w:firstLineChars="0"/>
              <w:jc w:val="center"/>
              <w:rPr>
                <w:color w:val="auto"/>
                <w:kern w:val="0"/>
                <w:sz w:val="21"/>
                <w:szCs w:val="21"/>
              </w:rPr>
            </w:pPr>
          </w:p>
        </w:tc>
        <w:tc>
          <w:tcPr>
            <w:tcW w:w="1906" w:type="pct"/>
            <w:vAlign w:val="center"/>
          </w:tcPr>
          <w:p w14:paraId="5A5CF4AE">
            <w:pPr>
              <w:widowControl/>
              <w:spacing w:line="240" w:lineRule="auto"/>
              <w:ind w:firstLine="0" w:firstLineChars="0"/>
              <w:jc w:val="center"/>
              <w:rPr>
                <w:color w:val="auto"/>
                <w:kern w:val="0"/>
                <w:sz w:val="21"/>
                <w:szCs w:val="21"/>
              </w:rPr>
            </w:pPr>
          </w:p>
        </w:tc>
        <w:tc>
          <w:tcPr>
            <w:tcW w:w="785" w:type="pct"/>
            <w:vAlign w:val="center"/>
          </w:tcPr>
          <w:p w14:paraId="01E4A94C">
            <w:pPr>
              <w:widowControl/>
              <w:spacing w:line="240" w:lineRule="auto"/>
              <w:ind w:firstLine="0" w:firstLineChars="0"/>
              <w:jc w:val="center"/>
              <w:rPr>
                <w:color w:val="auto"/>
                <w:kern w:val="0"/>
                <w:sz w:val="21"/>
                <w:szCs w:val="21"/>
              </w:rPr>
            </w:pPr>
          </w:p>
        </w:tc>
      </w:tr>
      <w:tr w14:paraId="0F9C22D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241EFB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28</w:t>
            </w:r>
          </w:p>
        </w:tc>
        <w:tc>
          <w:tcPr>
            <w:tcW w:w="772" w:type="pct"/>
            <w:vMerge w:val="continue"/>
            <w:vAlign w:val="center"/>
          </w:tcPr>
          <w:p w14:paraId="178BA3CF">
            <w:pPr>
              <w:widowControl/>
              <w:spacing w:line="240" w:lineRule="auto"/>
              <w:ind w:firstLine="0" w:firstLineChars="0"/>
              <w:jc w:val="center"/>
              <w:rPr>
                <w:color w:val="auto"/>
                <w:kern w:val="0"/>
                <w:sz w:val="21"/>
                <w:szCs w:val="21"/>
              </w:rPr>
            </w:pPr>
          </w:p>
        </w:tc>
        <w:tc>
          <w:tcPr>
            <w:tcW w:w="1145" w:type="pct"/>
            <w:vAlign w:val="center"/>
          </w:tcPr>
          <w:p w14:paraId="6F849843">
            <w:pPr>
              <w:widowControl/>
              <w:spacing w:line="240" w:lineRule="auto"/>
              <w:ind w:firstLine="0" w:firstLineChars="0"/>
              <w:jc w:val="center"/>
              <w:rPr>
                <w:color w:val="auto"/>
                <w:kern w:val="0"/>
                <w:sz w:val="21"/>
                <w:szCs w:val="21"/>
              </w:rPr>
            </w:pPr>
          </w:p>
        </w:tc>
        <w:tc>
          <w:tcPr>
            <w:tcW w:w="1906" w:type="pct"/>
            <w:vAlign w:val="center"/>
          </w:tcPr>
          <w:p w14:paraId="7E89513B">
            <w:pPr>
              <w:widowControl/>
              <w:spacing w:line="240" w:lineRule="auto"/>
              <w:ind w:firstLine="0" w:firstLineChars="0"/>
              <w:jc w:val="center"/>
              <w:rPr>
                <w:color w:val="auto"/>
                <w:kern w:val="0"/>
                <w:sz w:val="21"/>
                <w:szCs w:val="21"/>
              </w:rPr>
            </w:pPr>
          </w:p>
        </w:tc>
        <w:tc>
          <w:tcPr>
            <w:tcW w:w="785" w:type="pct"/>
            <w:vAlign w:val="center"/>
          </w:tcPr>
          <w:p w14:paraId="6545EFE6">
            <w:pPr>
              <w:widowControl/>
              <w:spacing w:line="240" w:lineRule="auto"/>
              <w:ind w:firstLine="0" w:firstLineChars="0"/>
              <w:jc w:val="center"/>
              <w:rPr>
                <w:color w:val="auto"/>
                <w:kern w:val="0"/>
                <w:sz w:val="21"/>
                <w:szCs w:val="21"/>
              </w:rPr>
            </w:pPr>
          </w:p>
        </w:tc>
      </w:tr>
      <w:tr w14:paraId="45C175C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69AA6C6">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29</w:t>
            </w:r>
          </w:p>
        </w:tc>
        <w:tc>
          <w:tcPr>
            <w:tcW w:w="772" w:type="pct"/>
            <w:vMerge w:val="continue"/>
            <w:vAlign w:val="center"/>
          </w:tcPr>
          <w:p w14:paraId="5D48DD64">
            <w:pPr>
              <w:widowControl/>
              <w:spacing w:line="240" w:lineRule="auto"/>
              <w:ind w:firstLine="0" w:firstLineChars="0"/>
              <w:jc w:val="center"/>
              <w:rPr>
                <w:color w:val="auto"/>
                <w:kern w:val="0"/>
                <w:sz w:val="21"/>
                <w:szCs w:val="21"/>
              </w:rPr>
            </w:pPr>
          </w:p>
        </w:tc>
        <w:tc>
          <w:tcPr>
            <w:tcW w:w="1145" w:type="pct"/>
            <w:vAlign w:val="center"/>
          </w:tcPr>
          <w:p w14:paraId="371CB660">
            <w:pPr>
              <w:widowControl/>
              <w:spacing w:line="240" w:lineRule="auto"/>
              <w:ind w:firstLine="0" w:firstLineChars="0"/>
              <w:jc w:val="center"/>
              <w:rPr>
                <w:color w:val="auto"/>
                <w:kern w:val="0"/>
                <w:sz w:val="21"/>
                <w:szCs w:val="21"/>
              </w:rPr>
            </w:pPr>
          </w:p>
        </w:tc>
        <w:tc>
          <w:tcPr>
            <w:tcW w:w="1906" w:type="pct"/>
            <w:vAlign w:val="center"/>
          </w:tcPr>
          <w:p w14:paraId="7007533C">
            <w:pPr>
              <w:widowControl/>
              <w:spacing w:line="240" w:lineRule="auto"/>
              <w:ind w:firstLine="0" w:firstLineChars="0"/>
              <w:jc w:val="center"/>
              <w:rPr>
                <w:color w:val="auto"/>
                <w:kern w:val="0"/>
                <w:sz w:val="21"/>
                <w:szCs w:val="21"/>
              </w:rPr>
            </w:pPr>
          </w:p>
        </w:tc>
        <w:tc>
          <w:tcPr>
            <w:tcW w:w="785" w:type="pct"/>
            <w:vAlign w:val="center"/>
          </w:tcPr>
          <w:p w14:paraId="7ACE5F62">
            <w:pPr>
              <w:widowControl/>
              <w:spacing w:line="240" w:lineRule="auto"/>
              <w:ind w:firstLine="0" w:firstLineChars="0"/>
              <w:jc w:val="center"/>
              <w:rPr>
                <w:color w:val="auto"/>
                <w:kern w:val="0"/>
                <w:sz w:val="21"/>
                <w:szCs w:val="21"/>
              </w:rPr>
            </w:pPr>
          </w:p>
        </w:tc>
      </w:tr>
      <w:tr w14:paraId="154CFE7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D19BCE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30</w:t>
            </w:r>
          </w:p>
        </w:tc>
        <w:tc>
          <w:tcPr>
            <w:tcW w:w="772" w:type="pct"/>
            <w:vMerge w:val="continue"/>
            <w:vAlign w:val="center"/>
          </w:tcPr>
          <w:p w14:paraId="3F5DE4B2">
            <w:pPr>
              <w:widowControl/>
              <w:spacing w:line="240" w:lineRule="auto"/>
              <w:ind w:firstLine="0" w:firstLineChars="0"/>
              <w:jc w:val="center"/>
              <w:rPr>
                <w:color w:val="auto"/>
                <w:kern w:val="0"/>
                <w:sz w:val="21"/>
                <w:szCs w:val="21"/>
              </w:rPr>
            </w:pPr>
          </w:p>
        </w:tc>
        <w:tc>
          <w:tcPr>
            <w:tcW w:w="1145" w:type="pct"/>
            <w:vAlign w:val="center"/>
          </w:tcPr>
          <w:p w14:paraId="219B2A99">
            <w:pPr>
              <w:widowControl/>
              <w:spacing w:line="240" w:lineRule="auto"/>
              <w:ind w:firstLine="0" w:firstLineChars="0"/>
              <w:jc w:val="center"/>
              <w:rPr>
                <w:color w:val="auto"/>
                <w:kern w:val="0"/>
                <w:sz w:val="21"/>
                <w:szCs w:val="21"/>
              </w:rPr>
            </w:pPr>
          </w:p>
        </w:tc>
        <w:tc>
          <w:tcPr>
            <w:tcW w:w="1906" w:type="pct"/>
            <w:vAlign w:val="center"/>
          </w:tcPr>
          <w:p w14:paraId="1CA396E9">
            <w:pPr>
              <w:widowControl/>
              <w:spacing w:line="240" w:lineRule="auto"/>
              <w:ind w:firstLine="0" w:firstLineChars="0"/>
              <w:jc w:val="center"/>
              <w:rPr>
                <w:color w:val="auto"/>
                <w:kern w:val="0"/>
                <w:sz w:val="21"/>
                <w:szCs w:val="21"/>
              </w:rPr>
            </w:pPr>
          </w:p>
        </w:tc>
        <w:tc>
          <w:tcPr>
            <w:tcW w:w="785" w:type="pct"/>
            <w:vAlign w:val="center"/>
          </w:tcPr>
          <w:p w14:paraId="36D5D4FD">
            <w:pPr>
              <w:widowControl/>
              <w:spacing w:line="240" w:lineRule="auto"/>
              <w:ind w:firstLine="0" w:firstLineChars="0"/>
              <w:jc w:val="center"/>
              <w:rPr>
                <w:color w:val="auto"/>
                <w:kern w:val="0"/>
                <w:sz w:val="21"/>
                <w:szCs w:val="21"/>
              </w:rPr>
            </w:pPr>
          </w:p>
        </w:tc>
      </w:tr>
      <w:tr w14:paraId="701BB2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67833F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31</w:t>
            </w:r>
          </w:p>
        </w:tc>
        <w:tc>
          <w:tcPr>
            <w:tcW w:w="772" w:type="pct"/>
            <w:vMerge w:val="continue"/>
            <w:vAlign w:val="center"/>
          </w:tcPr>
          <w:p w14:paraId="5F0D9C57">
            <w:pPr>
              <w:widowControl/>
              <w:spacing w:line="240" w:lineRule="auto"/>
              <w:ind w:firstLine="0" w:firstLineChars="0"/>
              <w:jc w:val="center"/>
              <w:rPr>
                <w:color w:val="auto"/>
                <w:kern w:val="0"/>
                <w:sz w:val="21"/>
                <w:szCs w:val="21"/>
              </w:rPr>
            </w:pPr>
          </w:p>
        </w:tc>
        <w:tc>
          <w:tcPr>
            <w:tcW w:w="1145" w:type="pct"/>
            <w:vAlign w:val="center"/>
          </w:tcPr>
          <w:p w14:paraId="037ECEB0">
            <w:pPr>
              <w:widowControl/>
              <w:spacing w:line="240" w:lineRule="auto"/>
              <w:ind w:firstLine="0" w:firstLineChars="0"/>
              <w:jc w:val="center"/>
              <w:rPr>
                <w:color w:val="auto"/>
                <w:kern w:val="0"/>
                <w:sz w:val="21"/>
                <w:szCs w:val="21"/>
              </w:rPr>
            </w:pPr>
          </w:p>
        </w:tc>
        <w:tc>
          <w:tcPr>
            <w:tcW w:w="1906" w:type="pct"/>
            <w:vAlign w:val="center"/>
          </w:tcPr>
          <w:p w14:paraId="1B4E1C75">
            <w:pPr>
              <w:widowControl/>
              <w:spacing w:line="240" w:lineRule="auto"/>
              <w:ind w:firstLine="0" w:firstLineChars="0"/>
              <w:jc w:val="center"/>
              <w:rPr>
                <w:color w:val="auto"/>
                <w:kern w:val="0"/>
                <w:sz w:val="21"/>
                <w:szCs w:val="21"/>
              </w:rPr>
            </w:pPr>
          </w:p>
        </w:tc>
        <w:tc>
          <w:tcPr>
            <w:tcW w:w="785" w:type="pct"/>
            <w:vAlign w:val="center"/>
          </w:tcPr>
          <w:p w14:paraId="1A0D593C">
            <w:pPr>
              <w:widowControl/>
              <w:spacing w:line="240" w:lineRule="auto"/>
              <w:ind w:firstLine="0" w:firstLineChars="0"/>
              <w:jc w:val="center"/>
              <w:rPr>
                <w:color w:val="auto"/>
                <w:kern w:val="0"/>
                <w:sz w:val="21"/>
                <w:szCs w:val="21"/>
              </w:rPr>
            </w:pPr>
          </w:p>
        </w:tc>
      </w:tr>
      <w:tr w14:paraId="4EA5A0B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trHeight w:val="60" w:hRule="atLeast"/>
          <w:tblHeader/>
          <w:jc w:val="center"/>
        </w:trPr>
        <w:tc>
          <w:tcPr>
            <w:tcW w:w="389" w:type="pct"/>
            <w:vAlign w:val="center"/>
          </w:tcPr>
          <w:p w14:paraId="4D79271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32</w:t>
            </w:r>
          </w:p>
        </w:tc>
        <w:tc>
          <w:tcPr>
            <w:tcW w:w="772" w:type="pct"/>
            <w:vMerge w:val="continue"/>
            <w:vAlign w:val="center"/>
          </w:tcPr>
          <w:p w14:paraId="6185C68A">
            <w:pPr>
              <w:widowControl/>
              <w:spacing w:line="240" w:lineRule="auto"/>
              <w:ind w:firstLine="0" w:firstLineChars="0"/>
              <w:jc w:val="center"/>
              <w:rPr>
                <w:color w:val="auto"/>
                <w:kern w:val="0"/>
                <w:sz w:val="21"/>
                <w:szCs w:val="21"/>
              </w:rPr>
            </w:pPr>
          </w:p>
        </w:tc>
        <w:tc>
          <w:tcPr>
            <w:tcW w:w="1145" w:type="pct"/>
            <w:vAlign w:val="center"/>
          </w:tcPr>
          <w:p w14:paraId="0601AC0B">
            <w:pPr>
              <w:widowControl/>
              <w:spacing w:line="240" w:lineRule="auto"/>
              <w:ind w:firstLine="0" w:firstLineChars="0"/>
              <w:jc w:val="center"/>
              <w:rPr>
                <w:color w:val="auto"/>
                <w:kern w:val="0"/>
                <w:sz w:val="21"/>
                <w:szCs w:val="21"/>
              </w:rPr>
            </w:pPr>
          </w:p>
        </w:tc>
        <w:tc>
          <w:tcPr>
            <w:tcW w:w="1906" w:type="pct"/>
            <w:vAlign w:val="center"/>
          </w:tcPr>
          <w:p w14:paraId="6F2A5F3A">
            <w:pPr>
              <w:widowControl/>
              <w:spacing w:line="240" w:lineRule="auto"/>
              <w:ind w:firstLine="0" w:firstLineChars="0"/>
              <w:jc w:val="center"/>
              <w:rPr>
                <w:color w:val="auto"/>
                <w:kern w:val="0"/>
                <w:sz w:val="21"/>
                <w:szCs w:val="21"/>
              </w:rPr>
            </w:pPr>
          </w:p>
        </w:tc>
        <w:tc>
          <w:tcPr>
            <w:tcW w:w="785" w:type="pct"/>
            <w:vAlign w:val="center"/>
          </w:tcPr>
          <w:p w14:paraId="12E647D3">
            <w:pPr>
              <w:widowControl/>
              <w:spacing w:line="240" w:lineRule="auto"/>
              <w:ind w:firstLine="0" w:firstLineChars="0"/>
              <w:jc w:val="center"/>
              <w:rPr>
                <w:color w:val="auto"/>
                <w:kern w:val="0"/>
                <w:sz w:val="21"/>
                <w:szCs w:val="21"/>
              </w:rPr>
            </w:pPr>
          </w:p>
        </w:tc>
      </w:tr>
      <w:tr w14:paraId="2459194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7098AB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33</w:t>
            </w:r>
          </w:p>
        </w:tc>
        <w:tc>
          <w:tcPr>
            <w:tcW w:w="772" w:type="pct"/>
            <w:vMerge w:val="continue"/>
            <w:vAlign w:val="center"/>
          </w:tcPr>
          <w:p w14:paraId="4731A2CD">
            <w:pPr>
              <w:widowControl/>
              <w:spacing w:line="240" w:lineRule="auto"/>
              <w:ind w:firstLine="0" w:firstLineChars="0"/>
              <w:jc w:val="center"/>
              <w:rPr>
                <w:color w:val="auto"/>
                <w:kern w:val="0"/>
                <w:sz w:val="21"/>
                <w:szCs w:val="21"/>
              </w:rPr>
            </w:pPr>
          </w:p>
        </w:tc>
        <w:tc>
          <w:tcPr>
            <w:tcW w:w="1145" w:type="pct"/>
            <w:vAlign w:val="center"/>
          </w:tcPr>
          <w:p w14:paraId="2F7664CE">
            <w:pPr>
              <w:widowControl/>
              <w:spacing w:line="240" w:lineRule="auto"/>
              <w:ind w:firstLine="0" w:firstLineChars="0"/>
              <w:jc w:val="center"/>
              <w:rPr>
                <w:color w:val="auto"/>
                <w:kern w:val="0"/>
                <w:sz w:val="21"/>
                <w:szCs w:val="21"/>
              </w:rPr>
            </w:pPr>
          </w:p>
        </w:tc>
        <w:tc>
          <w:tcPr>
            <w:tcW w:w="1906" w:type="pct"/>
            <w:vAlign w:val="center"/>
          </w:tcPr>
          <w:p w14:paraId="70A582B0">
            <w:pPr>
              <w:widowControl/>
              <w:spacing w:line="240" w:lineRule="auto"/>
              <w:ind w:firstLine="0" w:firstLineChars="0"/>
              <w:jc w:val="center"/>
              <w:rPr>
                <w:color w:val="auto"/>
                <w:kern w:val="0"/>
                <w:sz w:val="21"/>
                <w:szCs w:val="21"/>
              </w:rPr>
            </w:pPr>
          </w:p>
        </w:tc>
        <w:tc>
          <w:tcPr>
            <w:tcW w:w="785" w:type="pct"/>
            <w:vAlign w:val="center"/>
          </w:tcPr>
          <w:p w14:paraId="008A30AE">
            <w:pPr>
              <w:widowControl/>
              <w:spacing w:line="240" w:lineRule="auto"/>
              <w:ind w:firstLine="0" w:firstLineChars="0"/>
              <w:jc w:val="center"/>
              <w:rPr>
                <w:color w:val="auto"/>
                <w:kern w:val="0"/>
                <w:sz w:val="21"/>
                <w:szCs w:val="21"/>
              </w:rPr>
            </w:pPr>
          </w:p>
        </w:tc>
      </w:tr>
      <w:tr w14:paraId="2A10361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4DC95DB1">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34</w:t>
            </w:r>
          </w:p>
        </w:tc>
        <w:tc>
          <w:tcPr>
            <w:tcW w:w="772" w:type="pct"/>
            <w:vMerge w:val="continue"/>
            <w:vAlign w:val="center"/>
          </w:tcPr>
          <w:p w14:paraId="7C09F994">
            <w:pPr>
              <w:widowControl/>
              <w:spacing w:line="240" w:lineRule="auto"/>
              <w:ind w:firstLine="0" w:firstLineChars="0"/>
              <w:jc w:val="center"/>
              <w:rPr>
                <w:color w:val="auto"/>
                <w:kern w:val="0"/>
                <w:sz w:val="21"/>
                <w:szCs w:val="21"/>
              </w:rPr>
            </w:pPr>
          </w:p>
        </w:tc>
        <w:tc>
          <w:tcPr>
            <w:tcW w:w="1145" w:type="pct"/>
            <w:vAlign w:val="center"/>
          </w:tcPr>
          <w:p w14:paraId="12B0AA32">
            <w:pPr>
              <w:widowControl/>
              <w:spacing w:line="240" w:lineRule="auto"/>
              <w:ind w:firstLine="0" w:firstLineChars="0"/>
              <w:jc w:val="center"/>
              <w:rPr>
                <w:color w:val="auto"/>
                <w:kern w:val="0"/>
                <w:sz w:val="21"/>
                <w:szCs w:val="21"/>
              </w:rPr>
            </w:pPr>
          </w:p>
        </w:tc>
        <w:tc>
          <w:tcPr>
            <w:tcW w:w="1906" w:type="pct"/>
            <w:vAlign w:val="center"/>
          </w:tcPr>
          <w:p w14:paraId="7F881831">
            <w:pPr>
              <w:widowControl/>
              <w:spacing w:line="240" w:lineRule="auto"/>
              <w:ind w:firstLine="0" w:firstLineChars="0"/>
              <w:jc w:val="center"/>
              <w:rPr>
                <w:color w:val="auto"/>
                <w:kern w:val="0"/>
                <w:sz w:val="21"/>
                <w:szCs w:val="21"/>
              </w:rPr>
            </w:pPr>
          </w:p>
        </w:tc>
        <w:tc>
          <w:tcPr>
            <w:tcW w:w="785" w:type="pct"/>
            <w:vAlign w:val="center"/>
          </w:tcPr>
          <w:p w14:paraId="14020109">
            <w:pPr>
              <w:widowControl/>
              <w:spacing w:line="240" w:lineRule="auto"/>
              <w:ind w:firstLine="0" w:firstLineChars="0"/>
              <w:jc w:val="center"/>
              <w:rPr>
                <w:color w:val="auto"/>
                <w:kern w:val="0"/>
                <w:sz w:val="21"/>
                <w:szCs w:val="21"/>
              </w:rPr>
            </w:pPr>
          </w:p>
        </w:tc>
      </w:tr>
      <w:tr w14:paraId="624E6D8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112999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35</w:t>
            </w:r>
          </w:p>
        </w:tc>
        <w:tc>
          <w:tcPr>
            <w:tcW w:w="772" w:type="pct"/>
            <w:vMerge w:val="continue"/>
            <w:vAlign w:val="center"/>
          </w:tcPr>
          <w:p w14:paraId="59CB4448">
            <w:pPr>
              <w:widowControl/>
              <w:spacing w:line="240" w:lineRule="auto"/>
              <w:ind w:firstLine="0" w:firstLineChars="0"/>
              <w:jc w:val="center"/>
              <w:rPr>
                <w:color w:val="auto"/>
                <w:kern w:val="0"/>
                <w:sz w:val="21"/>
                <w:szCs w:val="21"/>
              </w:rPr>
            </w:pPr>
          </w:p>
        </w:tc>
        <w:tc>
          <w:tcPr>
            <w:tcW w:w="1145" w:type="pct"/>
            <w:vAlign w:val="center"/>
          </w:tcPr>
          <w:p w14:paraId="046447F4">
            <w:pPr>
              <w:widowControl/>
              <w:spacing w:line="240" w:lineRule="auto"/>
              <w:ind w:firstLine="0" w:firstLineChars="0"/>
              <w:jc w:val="center"/>
              <w:rPr>
                <w:color w:val="auto"/>
                <w:kern w:val="0"/>
                <w:sz w:val="21"/>
                <w:szCs w:val="21"/>
              </w:rPr>
            </w:pPr>
          </w:p>
        </w:tc>
        <w:tc>
          <w:tcPr>
            <w:tcW w:w="1906" w:type="pct"/>
            <w:vAlign w:val="center"/>
          </w:tcPr>
          <w:p w14:paraId="18057099">
            <w:pPr>
              <w:widowControl/>
              <w:spacing w:line="240" w:lineRule="auto"/>
              <w:ind w:firstLine="0" w:firstLineChars="0"/>
              <w:jc w:val="center"/>
              <w:rPr>
                <w:color w:val="auto"/>
                <w:kern w:val="0"/>
                <w:sz w:val="21"/>
                <w:szCs w:val="21"/>
              </w:rPr>
            </w:pPr>
          </w:p>
        </w:tc>
        <w:tc>
          <w:tcPr>
            <w:tcW w:w="785" w:type="pct"/>
            <w:vAlign w:val="center"/>
          </w:tcPr>
          <w:p w14:paraId="7DD34CA5">
            <w:pPr>
              <w:widowControl/>
              <w:spacing w:line="240" w:lineRule="auto"/>
              <w:ind w:firstLine="0" w:firstLineChars="0"/>
              <w:jc w:val="center"/>
              <w:rPr>
                <w:color w:val="auto"/>
                <w:kern w:val="0"/>
                <w:sz w:val="21"/>
                <w:szCs w:val="21"/>
              </w:rPr>
            </w:pPr>
          </w:p>
        </w:tc>
      </w:tr>
      <w:tr w14:paraId="3DD438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B2B9DDE">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36</w:t>
            </w:r>
          </w:p>
        </w:tc>
        <w:tc>
          <w:tcPr>
            <w:tcW w:w="772" w:type="pct"/>
            <w:vMerge w:val="continue"/>
            <w:vAlign w:val="center"/>
          </w:tcPr>
          <w:p w14:paraId="2D5CC0E6">
            <w:pPr>
              <w:widowControl/>
              <w:spacing w:line="240" w:lineRule="auto"/>
              <w:ind w:firstLine="0" w:firstLineChars="0"/>
              <w:jc w:val="center"/>
              <w:rPr>
                <w:color w:val="auto"/>
                <w:kern w:val="0"/>
                <w:sz w:val="21"/>
                <w:szCs w:val="21"/>
              </w:rPr>
            </w:pPr>
          </w:p>
        </w:tc>
        <w:tc>
          <w:tcPr>
            <w:tcW w:w="1145" w:type="pct"/>
            <w:vAlign w:val="center"/>
          </w:tcPr>
          <w:p w14:paraId="6138D65F">
            <w:pPr>
              <w:widowControl/>
              <w:spacing w:line="240" w:lineRule="auto"/>
              <w:ind w:firstLine="0" w:firstLineChars="0"/>
              <w:jc w:val="center"/>
              <w:rPr>
                <w:color w:val="auto"/>
                <w:kern w:val="0"/>
                <w:sz w:val="21"/>
                <w:szCs w:val="21"/>
              </w:rPr>
            </w:pPr>
          </w:p>
        </w:tc>
        <w:tc>
          <w:tcPr>
            <w:tcW w:w="1906" w:type="pct"/>
            <w:vAlign w:val="center"/>
          </w:tcPr>
          <w:p w14:paraId="19E75BC2">
            <w:pPr>
              <w:widowControl/>
              <w:spacing w:line="240" w:lineRule="auto"/>
              <w:ind w:firstLine="0" w:firstLineChars="0"/>
              <w:jc w:val="center"/>
              <w:rPr>
                <w:color w:val="auto"/>
                <w:kern w:val="0"/>
                <w:sz w:val="21"/>
                <w:szCs w:val="21"/>
              </w:rPr>
            </w:pPr>
          </w:p>
        </w:tc>
        <w:tc>
          <w:tcPr>
            <w:tcW w:w="785" w:type="pct"/>
            <w:vAlign w:val="center"/>
          </w:tcPr>
          <w:p w14:paraId="73AC3EA6">
            <w:pPr>
              <w:widowControl/>
              <w:spacing w:line="240" w:lineRule="auto"/>
              <w:ind w:firstLine="0" w:firstLineChars="0"/>
              <w:jc w:val="center"/>
              <w:rPr>
                <w:color w:val="auto"/>
                <w:kern w:val="0"/>
                <w:sz w:val="21"/>
                <w:szCs w:val="21"/>
              </w:rPr>
            </w:pPr>
          </w:p>
        </w:tc>
      </w:tr>
      <w:tr w14:paraId="594E553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3F7B0C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37</w:t>
            </w:r>
          </w:p>
        </w:tc>
        <w:tc>
          <w:tcPr>
            <w:tcW w:w="772" w:type="pct"/>
            <w:vMerge w:val="continue"/>
            <w:vAlign w:val="center"/>
          </w:tcPr>
          <w:p w14:paraId="0B305EF9">
            <w:pPr>
              <w:widowControl/>
              <w:spacing w:line="240" w:lineRule="auto"/>
              <w:ind w:firstLine="0" w:firstLineChars="0"/>
              <w:jc w:val="center"/>
              <w:rPr>
                <w:color w:val="auto"/>
                <w:kern w:val="0"/>
                <w:sz w:val="21"/>
                <w:szCs w:val="21"/>
              </w:rPr>
            </w:pPr>
          </w:p>
        </w:tc>
        <w:tc>
          <w:tcPr>
            <w:tcW w:w="1145" w:type="pct"/>
            <w:vAlign w:val="center"/>
          </w:tcPr>
          <w:p w14:paraId="4FC51062">
            <w:pPr>
              <w:widowControl/>
              <w:spacing w:line="240" w:lineRule="auto"/>
              <w:ind w:firstLine="0" w:firstLineChars="0"/>
              <w:jc w:val="center"/>
              <w:rPr>
                <w:color w:val="auto"/>
                <w:kern w:val="0"/>
                <w:sz w:val="21"/>
                <w:szCs w:val="21"/>
              </w:rPr>
            </w:pPr>
          </w:p>
        </w:tc>
        <w:tc>
          <w:tcPr>
            <w:tcW w:w="1906" w:type="pct"/>
            <w:vAlign w:val="center"/>
          </w:tcPr>
          <w:p w14:paraId="30650C90">
            <w:pPr>
              <w:widowControl/>
              <w:spacing w:line="240" w:lineRule="auto"/>
              <w:ind w:firstLine="0" w:firstLineChars="0"/>
              <w:jc w:val="center"/>
              <w:rPr>
                <w:color w:val="auto"/>
                <w:kern w:val="0"/>
                <w:sz w:val="21"/>
                <w:szCs w:val="21"/>
              </w:rPr>
            </w:pPr>
          </w:p>
        </w:tc>
        <w:tc>
          <w:tcPr>
            <w:tcW w:w="785" w:type="pct"/>
            <w:vAlign w:val="center"/>
          </w:tcPr>
          <w:p w14:paraId="4D510F3B">
            <w:pPr>
              <w:widowControl/>
              <w:spacing w:line="240" w:lineRule="auto"/>
              <w:ind w:firstLine="0" w:firstLineChars="0"/>
              <w:jc w:val="center"/>
              <w:rPr>
                <w:color w:val="auto"/>
                <w:kern w:val="0"/>
                <w:sz w:val="21"/>
                <w:szCs w:val="21"/>
              </w:rPr>
            </w:pPr>
          </w:p>
        </w:tc>
      </w:tr>
      <w:tr w14:paraId="527E273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3817AA6">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38</w:t>
            </w:r>
          </w:p>
        </w:tc>
        <w:tc>
          <w:tcPr>
            <w:tcW w:w="772" w:type="pct"/>
            <w:vMerge w:val="continue"/>
            <w:vAlign w:val="center"/>
          </w:tcPr>
          <w:p w14:paraId="0ADBEFE8">
            <w:pPr>
              <w:widowControl/>
              <w:spacing w:line="240" w:lineRule="auto"/>
              <w:ind w:firstLine="0" w:firstLineChars="0"/>
              <w:jc w:val="center"/>
              <w:rPr>
                <w:color w:val="auto"/>
                <w:kern w:val="0"/>
                <w:sz w:val="21"/>
                <w:szCs w:val="21"/>
              </w:rPr>
            </w:pPr>
          </w:p>
        </w:tc>
        <w:tc>
          <w:tcPr>
            <w:tcW w:w="1145" w:type="pct"/>
            <w:vAlign w:val="center"/>
          </w:tcPr>
          <w:p w14:paraId="658BAD75">
            <w:pPr>
              <w:widowControl/>
              <w:spacing w:line="240" w:lineRule="auto"/>
              <w:ind w:firstLine="0" w:firstLineChars="0"/>
              <w:jc w:val="center"/>
              <w:rPr>
                <w:color w:val="auto"/>
                <w:kern w:val="0"/>
                <w:sz w:val="21"/>
                <w:szCs w:val="21"/>
              </w:rPr>
            </w:pPr>
          </w:p>
        </w:tc>
        <w:tc>
          <w:tcPr>
            <w:tcW w:w="1906" w:type="pct"/>
            <w:vAlign w:val="center"/>
          </w:tcPr>
          <w:p w14:paraId="31A257CC">
            <w:pPr>
              <w:widowControl/>
              <w:spacing w:line="240" w:lineRule="auto"/>
              <w:ind w:firstLine="0" w:firstLineChars="0"/>
              <w:jc w:val="center"/>
              <w:rPr>
                <w:color w:val="auto"/>
                <w:kern w:val="0"/>
                <w:sz w:val="21"/>
                <w:szCs w:val="21"/>
              </w:rPr>
            </w:pPr>
          </w:p>
        </w:tc>
        <w:tc>
          <w:tcPr>
            <w:tcW w:w="785" w:type="pct"/>
            <w:vAlign w:val="center"/>
          </w:tcPr>
          <w:p w14:paraId="65AD377F">
            <w:pPr>
              <w:widowControl/>
              <w:spacing w:line="240" w:lineRule="auto"/>
              <w:ind w:firstLine="0" w:firstLineChars="0"/>
              <w:jc w:val="center"/>
              <w:rPr>
                <w:color w:val="auto"/>
                <w:kern w:val="0"/>
                <w:sz w:val="21"/>
                <w:szCs w:val="21"/>
              </w:rPr>
            </w:pPr>
          </w:p>
        </w:tc>
      </w:tr>
      <w:tr w14:paraId="6EAE09E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EDD4D2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39</w:t>
            </w:r>
          </w:p>
        </w:tc>
        <w:tc>
          <w:tcPr>
            <w:tcW w:w="772" w:type="pct"/>
            <w:vMerge w:val="continue"/>
            <w:vAlign w:val="center"/>
          </w:tcPr>
          <w:p w14:paraId="7D33A1C8">
            <w:pPr>
              <w:widowControl/>
              <w:spacing w:line="240" w:lineRule="auto"/>
              <w:ind w:firstLine="0" w:firstLineChars="0"/>
              <w:jc w:val="center"/>
              <w:rPr>
                <w:color w:val="auto"/>
                <w:kern w:val="0"/>
                <w:sz w:val="21"/>
                <w:szCs w:val="21"/>
              </w:rPr>
            </w:pPr>
          </w:p>
        </w:tc>
        <w:tc>
          <w:tcPr>
            <w:tcW w:w="1145" w:type="pct"/>
            <w:vAlign w:val="center"/>
          </w:tcPr>
          <w:p w14:paraId="7B540C63">
            <w:pPr>
              <w:widowControl/>
              <w:spacing w:line="240" w:lineRule="auto"/>
              <w:ind w:firstLine="0" w:firstLineChars="0"/>
              <w:jc w:val="center"/>
              <w:rPr>
                <w:color w:val="auto"/>
                <w:kern w:val="0"/>
                <w:sz w:val="21"/>
                <w:szCs w:val="21"/>
              </w:rPr>
            </w:pPr>
          </w:p>
        </w:tc>
        <w:tc>
          <w:tcPr>
            <w:tcW w:w="1906" w:type="pct"/>
            <w:vAlign w:val="center"/>
          </w:tcPr>
          <w:p w14:paraId="2D7AA025">
            <w:pPr>
              <w:widowControl/>
              <w:spacing w:line="240" w:lineRule="auto"/>
              <w:ind w:firstLine="0" w:firstLineChars="0"/>
              <w:jc w:val="center"/>
              <w:rPr>
                <w:color w:val="auto"/>
                <w:kern w:val="0"/>
                <w:sz w:val="21"/>
                <w:szCs w:val="21"/>
              </w:rPr>
            </w:pPr>
          </w:p>
        </w:tc>
        <w:tc>
          <w:tcPr>
            <w:tcW w:w="785" w:type="pct"/>
            <w:vAlign w:val="center"/>
          </w:tcPr>
          <w:p w14:paraId="244297DC">
            <w:pPr>
              <w:widowControl/>
              <w:spacing w:line="240" w:lineRule="auto"/>
              <w:ind w:firstLine="0" w:firstLineChars="0"/>
              <w:jc w:val="center"/>
              <w:rPr>
                <w:color w:val="auto"/>
                <w:kern w:val="0"/>
                <w:sz w:val="21"/>
                <w:szCs w:val="21"/>
              </w:rPr>
            </w:pPr>
          </w:p>
        </w:tc>
      </w:tr>
      <w:tr w14:paraId="222CD6D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44DC59D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40</w:t>
            </w:r>
          </w:p>
        </w:tc>
        <w:tc>
          <w:tcPr>
            <w:tcW w:w="772" w:type="pct"/>
            <w:vMerge w:val="continue"/>
            <w:vAlign w:val="center"/>
          </w:tcPr>
          <w:p w14:paraId="77BDD0AF">
            <w:pPr>
              <w:widowControl/>
              <w:spacing w:line="240" w:lineRule="auto"/>
              <w:ind w:firstLine="0" w:firstLineChars="0"/>
              <w:jc w:val="center"/>
              <w:rPr>
                <w:color w:val="auto"/>
                <w:kern w:val="0"/>
                <w:sz w:val="21"/>
                <w:szCs w:val="21"/>
              </w:rPr>
            </w:pPr>
          </w:p>
        </w:tc>
        <w:tc>
          <w:tcPr>
            <w:tcW w:w="1145" w:type="pct"/>
            <w:vAlign w:val="center"/>
          </w:tcPr>
          <w:p w14:paraId="4C634D73">
            <w:pPr>
              <w:widowControl/>
              <w:spacing w:line="240" w:lineRule="auto"/>
              <w:ind w:firstLine="0" w:firstLineChars="0"/>
              <w:jc w:val="center"/>
              <w:rPr>
                <w:color w:val="auto"/>
                <w:kern w:val="0"/>
                <w:sz w:val="21"/>
                <w:szCs w:val="21"/>
              </w:rPr>
            </w:pPr>
          </w:p>
        </w:tc>
        <w:tc>
          <w:tcPr>
            <w:tcW w:w="1906" w:type="pct"/>
            <w:vAlign w:val="center"/>
          </w:tcPr>
          <w:p w14:paraId="16303449">
            <w:pPr>
              <w:widowControl/>
              <w:spacing w:line="240" w:lineRule="auto"/>
              <w:ind w:firstLine="0" w:firstLineChars="0"/>
              <w:jc w:val="center"/>
              <w:rPr>
                <w:color w:val="auto"/>
                <w:kern w:val="0"/>
                <w:sz w:val="21"/>
                <w:szCs w:val="21"/>
              </w:rPr>
            </w:pPr>
          </w:p>
        </w:tc>
        <w:tc>
          <w:tcPr>
            <w:tcW w:w="785" w:type="pct"/>
            <w:vAlign w:val="center"/>
          </w:tcPr>
          <w:p w14:paraId="03CF205D">
            <w:pPr>
              <w:widowControl/>
              <w:spacing w:line="240" w:lineRule="auto"/>
              <w:ind w:firstLine="0" w:firstLineChars="0"/>
              <w:jc w:val="center"/>
              <w:rPr>
                <w:color w:val="auto"/>
                <w:kern w:val="0"/>
                <w:sz w:val="21"/>
                <w:szCs w:val="21"/>
              </w:rPr>
            </w:pPr>
          </w:p>
        </w:tc>
      </w:tr>
      <w:tr w14:paraId="78EB3F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3A009AE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41</w:t>
            </w:r>
          </w:p>
        </w:tc>
        <w:tc>
          <w:tcPr>
            <w:tcW w:w="772" w:type="pct"/>
            <w:vMerge w:val="continue"/>
            <w:vAlign w:val="center"/>
          </w:tcPr>
          <w:p w14:paraId="4555BB2B">
            <w:pPr>
              <w:widowControl/>
              <w:spacing w:line="240" w:lineRule="auto"/>
              <w:ind w:firstLine="0" w:firstLineChars="0"/>
              <w:jc w:val="center"/>
              <w:rPr>
                <w:color w:val="auto"/>
                <w:kern w:val="0"/>
                <w:sz w:val="21"/>
                <w:szCs w:val="21"/>
              </w:rPr>
            </w:pPr>
          </w:p>
        </w:tc>
        <w:tc>
          <w:tcPr>
            <w:tcW w:w="1145" w:type="pct"/>
            <w:vAlign w:val="center"/>
          </w:tcPr>
          <w:p w14:paraId="2EA7D318">
            <w:pPr>
              <w:widowControl/>
              <w:spacing w:line="240" w:lineRule="auto"/>
              <w:ind w:firstLine="0" w:firstLineChars="0"/>
              <w:jc w:val="center"/>
              <w:rPr>
                <w:color w:val="auto"/>
                <w:kern w:val="0"/>
                <w:sz w:val="21"/>
                <w:szCs w:val="21"/>
              </w:rPr>
            </w:pPr>
          </w:p>
        </w:tc>
        <w:tc>
          <w:tcPr>
            <w:tcW w:w="1906" w:type="pct"/>
            <w:vAlign w:val="center"/>
          </w:tcPr>
          <w:p w14:paraId="4E38187D">
            <w:pPr>
              <w:widowControl/>
              <w:spacing w:line="240" w:lineRule="auto"/>
              <w:ind w:firstLine="0" w:firstLineChars="0"/>
              <w:jc w:val="center"/>
              <w:rPr>
                <w:color w:val="auto"/>
                <w:kern w:val="0"/>
                <w:sz w:val="21"/>
                <w:szCs w:val="21"/>
              </w:rPr>
            </w:pPr>
          </w:p>
        </w:tc>
        <w:tc>
          <w:tcPr>
            <w:tcW w:w="785" w:type="pct"/>
            <w:vAlign w:val="center"/>
          </w:tcPr>
          <w:p w14:paraId="54854830">
            <w:pPr>
              <w:widowControl/>
              <w:spacing w:line="240" w:lineRule="auto"/>
              <w:ind w:firstLine="0" w:firstLineChars="0"/>
              <w:jc w:val="center"/>
              <w:rPr>
                <w:color w:val="auto"/>
                <w:kern w:val="0"/>
                <w:sz w:val="21"/>
                <w:szCs w:val="21"/>
              </w:rPr>
            </w:pPr>
          </w:p>
        </w:tc>
      </w:tr>
      <w:tr w14:paraId="785BD65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C7A818A">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42</w:t>
            </w:r>
          </w:p>
        </w:tc>
        <w:tc>
          <w:tcPr>
            <w:tcW w:w="772" w:type="pct"/>
            <w:vMerge w:val="restart"/>
            <w:vAlign w:val="center"/>
          </w:tcPr>
          <w:p w14:paraId="49E80B3F">
            <w:pPr>
              <w:widowControl/>
              <w:spacing w:line="240" w:lineRule="auto"/>
              <w:ind w:firstLine="0" w:firstLineChars="0"/>
              <w:jc w:val="center"/>
              <w:rPr>
                <w:color w:val="auto"/>
                <w:kern w:val="0"/>
                <w:sz w:val="21"/>
                <w:szCs w:val="21"/>
              </w:rPr>
            </w:pPr>
          </w:p>
        </w:tc>
        <w:tc>
          <w:tcPr>
            <w:tcW w:w="1145" w:type="pct"/>
            <w:vAlign w:val="center"/>
          </w:tcPr>
          <w:p w14:paraId="71856671">
            <w:pPr>
              <w:widowControl/>
              <w:spacing w:line="240" w:lineRule="auto"/>
              <w:ind w:firstLine="0" w:firstLineChars="0"/>
              <w:jc w:val="center"/>
              <w:rPr>
                <w:color w:val="auto"/>
                <w:kern w:val="0"/>
                <w:sz w:val="21"/>
                <w:szCs w:val="21"/>
              </w:rPr>
            </w:pPr>
          </w:p>
        </w:tc>
        <w:tc>
          <w:tcPr>
            <w:tcW w:w="1906" w:type="pct"/>
            <w:vAlign w:val="center"/>
          </w:tcPr>
          <w:p w14:paraId="28BE678B">
            <w:pPr>
              <w:widowControl/>
              <w:spacing w:line="240" w:lineRule="auto"/>
              <w:ind w:firstLine="0" w:firstLineChars="0"/>
              <w:jc w:val="center"/>
              <w:rPr>
                <w:color w:val="auto"/>
                <w:kern w:val="0"/>
                <w:sz w:val="21"/>
                <w:szCs w:val="21"/>
              </w:rPr>
            </w:pPr>
          </w:p>
        </w:tc>
        <w:tc>
          <w:tcPr>
            <w:tcW w:w="785" w:type="pct"/>
            <w:vAlign w:val="center"/>
          </w:tcPr>
          <w:p w14:paraId="4F1025D6">
            <w:pPr>
              <w:widowControl/>
              <w:spacing w:line="240" w:lineRule="auto"/>
              <w:ind w:firstLine="0" w:firstLineChars="0"/>
              <w:jc w:val="center"/>
              <w:rPr>
                <w:color w:val="auto"/>
                <w:kern w:val="0"/>
                <w:sz w:val="21"/>
                <w:szCs w:val="21"/>
              </w:rPr>
            </w:pPr>
          </w:p>
        </w:tc>
      </w:tr>
      <w:tr w14:paraId="02D194C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3D4583AD">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43</w:t>
            </w:r>
          </w:p>
        </w:tc>
        <w:tc>
          <w:tcPr>
            <w:tcW w:w="772" w:type="pct"/>
            <w:vMerge w:val="continue"/>
            <w:vAlign w:val="center"/>
          </w:tcPr>
          <w:p w14:paraId="0B6F4A8F">
            <w:pPr>
              <w:widowControl/>
              <w:spacing w:line="240" w:lineRule="auto"/>
              <w:ind w:firstLine="0" w:firstLineChars="0"/>
              <w:jc w:val="center"/>
              <w:rPr>
                <w:color w:val="auto"/>
                <w:kern w:val="0"/>
                <w:sz w:val="21"/>
                <w:szCs w:val="21"/>
              </w:rPr>
            </w:pPr>
          </w:p>
        </w:tc>
        <w:tc>
          <w:tcPr>
            <w:tcW w:w="1145" w:type="pct"/>
            <w:vAlign w:val="center"/>
          </w:tcPr>
          <w:p w14:paraId="3FD12181">
            <w:pPr>
              <w:widowControl/>
              <w:spacing w:line="240" w:lineRule="auto"/>
              <w:ind w:firstLine="0" w:firstLineChars="0"/>
              <w:jc w:val="center"/>
              <w:rPr>
                <w:color w:val="auto"/>
                <w:kern w:val="0"/>
                <w:sz w:val="21"/>
                <w:szCs w:val="21"/>
              </w:rPr>
            </w:pPr>
          </w:p>
        </w:tc>
        <w:tc>
          <w:tcPr>
            <w:tcW w:w="1906" w:type="pct"/>
            <w:vAlign w:val="center"/>
          </w:tcPr>
          <w:p w14:paraId="3D9D3A40">
            <w:pPr>
              <w:widowControl/>
              <w:spacing w:line="240" w:lineRule="auto"/>
              <w:ind w:firstLine="0" w:firstLineChars="0"/>
              <w:jc w:val="center"/>
              <w:rPr>
                <w:color w:val="auto"/>
                <w:kern w:val="0"/>
                <w:sz w:val="21"/>
                <w:szCs w:val="21"/>
              </w:rPr>
            </w:pPr>
          </w:p>
        </w:tc>
        <w:tc>
          <w:tcPr>
            <w:tcW w:w="785" w:type="pct"/>
            <w:vAlign w:val="center"/>
          </w:tcPr>
          <w:p w14:paraId="0E193061">
            <w:pPr>
              <w:widowControl/>
              <w:spacing w:line="240" w:lineRule="auto"/>
              <w:ind w:firstLine="0" w:firstLineChars="0"/>
              <w:jc w:val="center"/>
              <w:rPr>
                <w:color w:val="auto"/>
                <w:kern w:val="0"/>
                <w:sz w:val="21"/>
                <w:szCs w:val="21"/>
              </w:rPr>
            </w:pPr>
          </w:p>
        </w:tc>
      </w:tr>
      <w:tr w14:paraId="47FFE2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44E6A2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44</w:t>
            </w:r>
          </w:p>
        </w:tc>
        <w:tc>
          <w:tcPr>
            <w:tcW w:w="772" w:type="pct"/>
            <w:vMerge w:val="continue"/>
            <w:vAlign w:val="center"/>
          </w:tcPr>
          <w:p w14:paraId="3CAB6A96">
            <w:pPr>
              <w:widowControl/>
              <w:spacing w:line="240" w:lineRule="auto"/>
              <w:ind w:firstLine="0" w:firstLineChars="0"/>
              <w:jc w:val="center"/>
              <w:rPr>
                <w:color w:val="auto"/>
                <w:kern w:val="0"/>
                <w:sz w:val="21"/>
                <w:szCs w:val="21"/>
              </w:rPr>
            </w:pPr>
          </w:p>
        </w:tc>
        <w:tc>
          <w:tcPr>
            <w:tcW w:w="1145" w:type="pct"/>
            <w:vAlign w:val="center"/>
          </w:tcPr>
          <w:p w14:paraId="1E1D48F4">
            <w:pPr>
              <w:widowControl/>
              <w:spacing w:line="240" w:lineRule="auto"/>
              <w:ind w:firstLine="0" w:firstLineChars="0"/>
              <w:jc w:val="center"/>
              <w:rPr>
                <w:color w:val="auto"/>
                <w:kern w:val="0"/>
                <w:sz w:val="21"/>
                <w:szCs w:val="21"/>
              </w:rPr>
            </w:pPr>
          </w:p>
        </w:tc>
        <w:tc>
          <w:tcPr>
            <w:tcW w:w="1906" w:type="pct"/>
            <w:vAlign w:val="center"/>
          </w:tcPr>
          <w:p w14:paraId="22E79AA5">
            <w:pPr>
              <w:widowControl/>
              <w:spacing w:line="240" w:lineRule="auto"/>
              <w:ind w:firstLine="0" w:firstLineChars="0"/>
              <w:jc w:val="center"/>
              <w:rPr>
                <w:color w:val="auto"/>
                <w:kern w:val="0"/>
                <w:sz w:val="21"/>
                <w:szCs w:val="21"/>
              </w:rPr>
            </w:pPr>
          </w:p>
        </w:tc>
        <w:tc>
          <w:tcPr>
            <w:tcW w:w="785" w:type="pct"/>
            <w:vAlign w:val="center"/>
          </w:tcPr>
          <w:p w14:paraId="636F6EF2">
            <w:pPr>
              <w:widowControl/>
              <w:spacing w:line="240" w:lineRule="auto"/>
              <w:ind w:firstLine="0" w:firstLineChars="0"/>
              <w:jc w:val="center"/>
              <w:rPr>
                <w:color w:val="auto"/>
                <w:kern w:val="0"/>
                <w:sz w:val="21"/>
                <w:szCs w:val="21"/>
              </w:rPr>
            </w:pPr>
          </w:p>
        </w:tc>
      </w:tr>
      <w:tr w14:paraId="2FF676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2BC501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45</w:t>
            </w:r>
          </w:p>
        </w:tc>
        <w:tc>
          <w:tcPr>
            <w:tcW w:w="772" w:type="pct"/>
            <w:vMerge w:val="continue"/>
            <w:vAlign w:val="center"/>
          </w:tcPr>
          <w:p w14:paraId="0DB734B4">
            <w:pPr>
              <w:widowControl/>
              <w:spacing w:line="240" w:lineRule="auto"/>
              <w:ind w:firstLine="0" w:firstLineChars="0"/>
              <w:jc w:val="center"/>
              <w:rPr>
                <w:color w:val="auto"/>
                <w:kern w:val="0"/>
                <w:sz w:val="21"/>
                <w:szCs w:val="21"/>
              </w:rPr>
            </w:pPr>
          </w:p>
        </w:tc>
        <w:tc>
          <w:tcPr>
            <w:tcW w:w="1145" w:type="pct"/>
            <w:vAlign w:val="center"/>
          </w:tcPr>
          <w:p w14:paraId="58EFEA4A">
            <w:pPr>
              <w:widowControl/>
              <w:spacing w:line="240" w:lineRule="auto"/>
              <w:ind w:firstLine="0" w:firstLineChars="0"/>
              <w:jc w:val="center"/>
              <w:rPr>
                <w:color w:val="auto"/>
                <w:kern w:val="0"/>
                <w:sz w:val="21"/>
                <w:szCs w:val="21"/>
              </w:rPr>
            </w:pPr>
          </w:p>
        </w:tc>
        <w:tc>
          <w:tcPr>
            <w:tcW w:w="1906" w:type="pct"/>
            <w:vAlign w:val="center"/>
          </w:tcPr>
          <w:p w14:paraId="5F68079E">
            <w:pPr>
              <w:widowControl/>
              <w:spacing w:line="240" w:lineRule="auto"/>
              <w:ind w:firstLine="0" w:firstLineChars="0"/>
              <w:jc w:val="center"/>
              <w:rPr>
                <w:color w:val="auto"/>
                <w:kern w:val="0"/>
                <w:sz w:val="21"/>
                <w:szCs w:val="21"/>
              </w:rPr>
            </w:pPr>
          </w:p>
        </w:tc>
        <w:tc>
          <w:tcPr>
            <w:tcW w:w="785" w:type="pct"/>
            <w:vAlign w:val="center"/>
          </w:tcPr>
          <w:p w14:paraId="674BF510">
            <w:pPr>
              <w:widowControl/>
              <w:spacing w:line="240" w:lineRule="auto"/>
              <w:ind w:firstLine="0" w:firstLineChars="0"/>
              <w:jc w:val="center"/>
              <w:rPr>
                <w:color w:val="auto"/>
                <w:kern w:val="0"/>
                <w:sz w:val="21"/>
                <w:szCs w:val="21"/>
              </w:rPr>
            </w:pPr>
          </w:p>
        </w:tc>
      </w:tr>
      <w:tr w14:paraId="74534C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3DFE4D4">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46</w:t>
            </w:r>
          </w:p>
        </w:tc>
        <w:tc>
          <w:tcPr>
            <w:tcW w:w="772" w:type="pct"/>
            <w:vMerge w:val="continue"/>
            <w:vAlign w:val="center"/>
          </w:tcPr>
          <w:p w14:paraId="24A4DFB3">
            <w:pPr>
              <w:widowControl/>
              <w:spacing w:line="240" w:lineRule="auto"/>
              <w:ind w:firstLine="0" w:firstLineChars="0"/>
              <w:jc w:val="center"/>
              <w:rPr>
                <w:color w:val="auto"/>
                <w:kern w:val="0"/>
                <w:sz w:val="21"/>
                <w:szCs w:val="21"/>
              </w:rPr>
            </w:pPr>
          </w:p>
        </w:tc>
        <w:tc>
          <w:tcPr>
            <w:tcW w:w="1145" w:type="pct"/>
            <w:vAlign w:val="center"/>
          </w:tcPr>
          <w:p w14:paraId="78304F7F">
            <w:pPr>
              <w:widowControl/>
              <w:spacing w:line="240" w:lineRule="auto"/>
              <w:ind w:firstLine="0" w:firstLineChars="0"/>
              <w:jc w:val="center"/>
              <w:rPr>
                <w:color w:val="auto"/>
                <w:kern w:val="0"/>
                <w:sz w:val="21"/>
                <w:szCs w:val="21"/>
              </w:rPr>
            </w:pPr>
          </w:p>
        </w:tc>
        <w:tc>
          <w:tcPr>
            <w:tcW w:w="1906" w:type="pct"/>
            <w:vAlign w:val="center"/>
          </w:tcPr>
          <w:p w14:paraId="0E3EC6AC">
            <w:pPr>
              <w:widowControl/>
              <w:spacing w:line="240" w:lineRule="auto"/>
              <w:ind w:firstLine="0" w:firstLineChars="0"/>
              <w:jc w:val="center"/>
              <w:rPr>
                <w:color w:val="auto"/>
                <w:kern w:val="0"/>
                <w:sz w:val="21"/>
                <w:szCs w:val="21"/>
              </w:rPr>
            </w:pPr>
          </w:p>
        </w:tc>
        <w:tc>
          <w:tcPr>
            <w:tcW w:w="785" w:type="pct"/>
            <w:vAlign w:val="center"/>
          </w:tcPr>
          <w:p w14:paraId="02C49715">
            <w:pPr>
              <w:widowControl/>
              <w:spacing w:line="240" w:lineRule="auto"/>
              <w:ind w:firstLine="0" w:firstLineChars="0"/>
              <w:jc w:val="center"/>
              <w:rPr>
                <w:color w:val="auto"/>
                <w:kern w:val="0"/>
                <w:sz w:val="21"/>
                <w:szCs w:val="21"/>
              </w:rPr>
            </w:pPr>
          </w:p>
        </w:tc>
      </w:tr>
      <w:tr w14:paraId="33B05A9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34707CC6">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47</w:t>
            </w:r>
          </w:p>
        </w:tc>
        <w:tc>
          <w:tcPr>
            <w:tcW w:w="772" w:type="pct"/>
            <w:vMerge w:val="continue"/>
            <w:vAlign w:val="center"/>
          </w:tcPr>
          <w:p w14:paraId="6DB72841">
            <w:pPr>
              <w:widowControl/>
              <w:spacing w:line="240" w:lineRule="auto"/>
              <w:ind w:firstLine="0" w:firstLineChars="0"/>
              <w:jc w:val="center"/>
              <w:rPr>
                <w:color w:val="auto"/>
                <w:kern w:val="0"/>
                <w:sz w:val="21"/>
                <w:szCs w:val="21"/>
              </w:rPr>
            </w:pPr>
          </w:p>
        </w:tc>
        <w:tc>
          <w:tcPr>
            <w:tcW w:w="1145" w:type="pct"/>
            <w:vAlign w:val="center"/>
          </w:tcPr>
          <w:p w14:paraId="2C3D1412">
            <w:pPr>
              <w:widowControl/>
              <w:spacing w:line="240" w:lineRule="auto"/>
              <w:ind w:firstLine="0" w:firstLineChars="0"/>
              <w:jc w:val="center"/>
              <w:rPr>
                <w:color w:val="auto"/>
                <w:kern w:val="0"/>
                <w:sz w:val="21"/>
                <w:szCs w:val="21"/>
              </w:rPr>
            </w:pPr>
          </w:p>
        </w:tc>
        <w:tc>
          <w:tcPr>
            <w:tcW w:w="1906" w:type="pct"/>
            <w:vAlign w:val="center"/>
          </w:tcPr>
          <w:p w14:paraId="68BDBE9C">
            <w:pPr>
              <w:widowControl/>
              <w:spacing w:line="240" w:lineRule="auto"/>
              <w:ind w:firstLine="0" w:firstLineChars="0"/>
              <w:jc w:val="center"/>
              <w:rPr>
                <w:color w:val="auto"/>
                <w:kern w:val="0"/>
                <w:sz w:val="21"/>
                <w:szCs w:val="21"/>
              </w:rPr>
            </w:pPr>
          </w:p>
        </w:tc>
        <w:tc>
          <w:tcPr>
            <w:tcW w:w="785" w:type="pct"/>
            <w:vAlign w:val="center"/>
          </w:tcPr>
          <w:p w14:paraId="1B7CB35F">
            <w:pPr>
              <w:widowControl/>
              <w:spacing w:line="240" w:lineRule="auto"/>
              <w:ind w:firstLine="0" w:firstLineChars="0"/>
              <w:jc w:val="center"/>
              <w:rPr>
                <w:color w:val="auto"/>
                <w:kern w:val="0"/>
                <w:sz w:val="21"/>
                <w:szCs w:val="21"/>
              </w:rPr>
            </w:pPr>
          </w:p>
        </w:tc>
      </w:tr>
      <w:tr w14:paraId="4D76109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1BD869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48</w:t>
            </w:r>
          </w:p>
        </w:tc>
        <w:tc>
          <w:tcPr>
            <w:tcW w:w="772" w:type="pct"/>
            <w:vMerge w:val="continue"/>
            <w:vAlign w:val="center"/>
          </w:tcPr>
          <w:p w14:paraId="4ACC28B6">
            <w:pPr>
              <w:widowControl/>
              <w:spacing w:line="240" w:lineRule="auto"/>
              <w:ind w:firstLine="0" w:firstLineChars="0"/>
              <w:jc w:val="center"/>
              <w:rPr>
                <w:color w:val="auto"/>
                <w:kern w:val="0"/>
                <w:sz w:val="21"/>
                <w:szCs w:val="21"/>
              </w:rPr>
            </w:pPr>
          </w:p>
        </w:tc>
        <w:tc>
          <w:tcPr>
            <w:tcW w:w="1145" w:type="pct"/>
            <w:vAlign w:val="center"/>
          </w:tcPr>
          <w:p w14:paraId="61E77F3D">
            <w:pPr>
              <w:widowControl/>
              <w:spacing w:line="240" w:lineRule="auto"/>
              <w:ind w:firstLine="0" w:firstLineChars="0"/>
              <w:jc w:val="center"/>
              <w:rPr>
                <w:color w:val="auto"/>
                <w:kern w:val="0"/>
                <w:sz w:val="21"/>
                <w:szCs w:val="21"/>
              </w:rPr>
            </w:pPr>
          </w:p>
        </w:tc>
        <w:tc>
          <w:tcPr>
            <w:tcW w:w="1906" w:type="pct"/>
            <w:vAlign w:val="center"/>
          </w:tcPr>
          <w:p w14:paraId="0C12F91E">
            <w:pPr>
              <w:widowControl/>
              <w:spacing w:line="240" w:lineRule="auto"/>
              <w:ind w:firstLine="0" w:firstLineChars="0"/>
              <w:jc w:val="center"/>
              <w:rPr>
                <w:color w:val="auto"/>
                <w:kern w:val="0"/>
                <w:sz w:val="21"/>
                <w:szCs w:val="21"/>
              </w:rPr>
            </w:pPr>
          </w:p>
        </w:tc>
        <w:tc>
          <w:tcPr>
            <w:tcW w:w="785" w:type="pct"/>
            <w:vAlign w:val="center"/>
          </w:tcPr>
          <w:p w14:paraId="65F70F0F">
            <w:pPr>
              <w:widowControl/>
              <w:spacing w:line="240" w:lineRule="auto"/>
              <w:ind w:firstLine="0" w:firstLineChars="0"/>
              <w:jc w:val="center"/>
              <w:rPr>
                <w:color w:val="auto"/>
                <w:kern w:val="0"/>
                <w:sz w:val="21"/>
                <w:szCs w:val="21"/>
              </w:rPr>
            </w:pPr>
          </w:p>
        </w:tc>
      </w:tr>
      <w:tr w14:paraId="66A9F6A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16C908F">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49</w:t>
            </w:r>
          </w:p>
        </w:tc>
        <w:tc>
          <w:tcPr>
            <w:tcW w:w="772" w:type="pct"/>
            <w:vMerge w:val="continue"/>
            <w:vAlign w:val="center"/>
          </w:tcPr>
          <w:p w14:paraId="18827AEA">
            <w:pPr>
              <w:widowControl/>
              <w:spacing w:line="240" w:lineRule="auto"/>
              <w:ind w:firstLine="0" w:firstLineChars="0"/>
              <w:jc w:val="center"/>
              <w:rPr>
                <w:color w:val="auto"/>
                <w:kern w:val="0"/>
                <w:sz w:val="21"/>
                <w:szCs w:val="21"/>
              </w:rPr>
            </w:pPr>
          </w:p>
        </w:tc>
        <w:tc>
          <w:tcPr>
            <w:tcW w:w="1145" w:type="pct"/>
            <w:vAlign w:val="center"/>
          </w:tcPr>
          <w:p w14:paraId="3D27058A">
            <w:pPr>
              <w:widowControl/>
              <w:spacing w:line="240" w:lineRule="auto"/>
              <w:ind w:firstLine="0" w:firstLineChars="0"/>
              <w:jc w:val="center"/>
              <w:rPr>
                <w:color w:val="auto"/>
                <w:kern w:val="0"/>
                <w:sz w:val="21"/>
                <w:szCs w:val="21"/>
              </w:rPr>
            </w:pPr>
          </w:p>
        </w:tc>
        <w:tc>
          <w:tcPr>
            <w:tcW w:w="1906" w:type="pct"/>
            <w:vAlign w:val="center"/>
          </w:tcPr>
          <w:p w14:paraId="341AA3B0">
            <w:pPr>
              <w:widowControl/>
              <w:spacing w:line="240" w:lineRule="auto"/>
              <w:ind w:firstLine="0" w:firstLineChars="0"/>
              <w:jc w:val="center"/>
              <w:rPr>
                <w:color w:val="auto"/>
                <w:kern w:val="0"/>
                <w:sz w:val="21"/>
                <w:szCs w:val="21"/>
              </w:rPr>
            </w:pPr>
          </w:p>
        </w:tc>
        <w:tc>
          <w:tcPr>
            <w:tcW w:w="785" w:type="pct"/>
            <w:vAlign w:val="center"/>
          </w:tcPr>
          <w:p w14:paraId="14CE15CD">
            <w:pPr>
              <w:widowControl/>
              <w:spacing w:line="240" w:lineRule="auto"/>
              <w:ind w:firstLine="0" w:firstLineChars="0"/>
              <w:jc w:val="center"/>
              <w:rPr>
                <w:color w:val="auto"/>
                <w:kern w:val="0"/>
                <w:sz w:val="21"/>
                <w:szCs w:val="21"/>
              </w:rPr>
            </w:pPr>
          </w:p>
        </w:tc>
      </w:tr>
      <w:tr w14:paraId="350CA47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AF6D39E">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50</w:t>
            </w:r>
          </w:p>
        </w:tc>
        <w:tc>
          <w:tcPr>
            <w:tcW w:w="772" w:type="pct"/>
            <w:vMerge w:val="continue"/>
            <w:vAlign w:val="center"/>
          </w:tcPr>
          <w:p w14:paraId="363DD09D">
            <w:pPr>
              <w:widowControl/>
              <w:spacing w:line="240" w:lineRule="auto"/>
              <w:ind w:firstLine="0" w:firstLineChars="0"/>
              <w:jc w:val="center"/>
              <w:rPr>
                <w:color w:val="auto"/>
                <w:kern w:val="0"/>
                <w:sz w:val="21"/>
                <w:szCs w:val="21"/>
              </w:rPr>
            </w:pPr>
          </w:p>
        </w:tc>
        <w:tc>
          <w:tcPr>
            <w:tcW w:w="1145" w:type="pct"/>
            <w:vAlign w:val="center"/>
          </w:tcPr>
          <w:p w14:paraId="323B5659">
            <w:pPr>
              <w:widowControl/>
              <w:spacing w:line="240" w:lineRule="auto"/>
              <w:ind w:firstLine="0" w:firstLineChars="0"/>
              <w:jc w:val="center"/>
              <w:rPr>
                <w:color w:val="auto"/>
                <w:kern w:val="0"/>
                <w:sz w:val="21"/>
                <w:szCs w:val="21"/>
              </w:rPr>
            </w:pPr>
          </w:p>
        </w:tc>
        <w:tc>
          <w:tcPr>
            <w:tcW w:w="1906" w:type="pct"/>
            <w:vAlign w:val="center"/>
          </w:tcPr>
          <w:p w14:paraId="4D5E3A5A">
            <w:pPr>
              <w:widowControl/>
              <w:spacing w:line="240" w:lineRule="auto"/>
              <w:ind w:firstLine="0" w:firstLineChars="0"/>
              <w:jc w:val="center"/>
              <w:rPr>
                <w:color w:val="auto"/>
                <w:kern w:val="0"/>
                <w:sz w:val="21"/>
                <w:szCs w:val="21"/>
              </w:rPr>
            </w:pPr>
          </w:p>
        </w:tc>
        <w:tc>
          <w:tcPr>
            <w:tcW w:w="785" w:type="pct"/>
            <w:vAlign w:val="center"/>
          </w:tcPr>
          <w:p w14:paraId="0787BC1C">
            <w:pPr>
              <w:widowControl/>
              <w:spacing w:line="240" w:lineRule="auto"/>
              <w:ind w:firstLine="0" w:firstLineChars="0"/>
              <w:jc w:val="center"/>
              <w:rPr>
                <w:color w:val="auto"/>
                <w:kern w:val="0"/>
                <w:sz w:val="21"/>
                <w:szCs w:val="21"/>
              </w:rPr>
            </w:pPr>
          </w:p>
        </w:tc>
      </w:tr>
      <w:tr w14:paraId="290EFCA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CD51255">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51</w:t>
            </w:r>
          </w:p>
        </w:tc>
        <w:tc>
          <w:tcPr>
            <w:tcW w:w="772" w:type="pct"/>
            <w:vMerge w:val="continue"/>
            <w:vAlign w:val="center"/>
          </w:tcPr>
          <w:p w14:paraId="18638BFC">
            <w:pPr>
              <w:widowControl/>
              <w:spacing w:line="240" w:lineRule="auto"/>
              <w:ind w:firstLine="0" w:firstLineChars="0"/>
              <w:jc w:val="center"/>
              <w:rPr>
                <w:color w:val="auto"/>
                <w:kern w:val="0"/>
                <w:sz w:val="21"/>
                <w:szCs w:val="21"/>
              </w:rPr>
            </w:pPr>
          </w:p>
        </w:tc>
        <w:tc>
          <w:tcPr>
            <w:tcW w:w="1145" w:type="pct"/>
            <w:vAlign w:val="center"/>
          </w:tcPr>
          <w:p w14:paraId="1797BAD0">
            <w:pPr>
              <w:widowControl/>
              <w:spacing w:line="240" w:lineRule="auto"/>
              <w:ind w:firstLine="0" w:firstLineChars="0"/>
              <w:jc w:val="center"/>
              <w:rPr>
                <w:color w:val="auto"/>
                <w:kern w:val="0"/>
                <w:sz w:val="21"/>
                <w:szCs w:val="21"/>
              </w:rPr>
            </w:pPr>
          </w:p>
        </w:tc>
        <w:tc>
          <w:tcPr>
            <w:tcW w:w="1906" w:type="pct"/>
            <w:vAlign w:val="center"/>
          </w:tcPr>
          <w:p w14:paraId="565E4B80">
            <w:pPr>
              <w:widowControl/>
              <w:spacing w:line="240" w:lineRule="auto"/>
              <w:ind w:firstLine="0" w:firstLineChars="0"/>
              <w:jc w:val="center"/>
              <w:rPr>
                <w:color w:val="auto"/>
                <w:kern w:val="0"/>
                <w:sz w:val="21"/>
                <w:szCs w:val="21"/>
              </w:rPr>
            </w:pPr>
          </w:p>
        </w:tc>
        <w:tc>
          <w:tcPr>
            <w:tcW w:w="785" w:type="pct"/>
            <w:vAlign w:val="center"/>
          </w:tcPr>
          <w:p w14:paraId="02464994">
            <w:pPr>
              <w:widowControl/>
              <w:spacing w:line="240" w:lineRule="auto"/>
              <w:ind w:firstLine="0" w:firstLineChars="0"/>
              <w:jc w:val="center"/>
              <w:rPr>
                <w:color w:val="auto"/>
                <w:kern w:val="0"/>
                <w:sz w:val="21"/>
                <w:szCs w:val="21"/>
              </w:rPr>
            </w:pPr>
          </w:p>
        </w:tc>
      </w:tr>
      <w:tr w14:paraId="3ABDAAB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C2F73F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52</w:t>
            </w:r>
          </w:p>
        </w:tc>
        <w:tc>
          <w:tcPr>
            <w:tcW w:w="772" w:type="pct"/>
            <w:vMerge w:val="continue"/>
            <w:vAlign w:val="center"/>
          </w:tcPr>
          <w:p w14:paraId="393BB4F8">
            <w:pPr>
              <w:widowControl/>
              <w:spacing w:line="240" w:lineRule="auto"/>
              <w:ind w:firstLine="0" w:firstLineChars="0"/>
              <w:jc w:val="center"/>
              <w:rPr>
                <w:color w:val="auto"/>
                <w:kern w:val="0"/>
                <w:sz w:val="21"/>
                <w:szCs w:val="21"/>
              </w:rPr>
            </w:pPr>
          </w:p>
        </w:tc>
        <w:tc>
          <w:tcPr>
            <w:tcW w:w="1145" w:type="pct"/>
            <w:vAlign w:val="center"/>
          </w:tcPr>
          <w:p w14:paraId="3B9EFE82">
            <w:pPr>
              <w:widowControl/>
              <w:spacing w:line="240" w:lineRule="auto"/>
              <w:ind w:firstLine="0" w:firstLineChars="0"/>
              <w:jc w:val="center"/>
              <w:rPr>
                <w:color w:val="auto"/>
                <w:kern w:val="0"/>
                <w:sz w:val="21"/>
                <w:szCs w:val="21"/>
              </w:rPr>
            </w:pPr>
          </w:p>
        </w:tc>
        <w:tc>
          <w:tcPr>
            <w:tcW w:w="1906" w:type="pct"/>
            <w:vAlign w:val="center"/>
          </w:tcPr>
          <w:p w14:paraId="536C5067">
            <w:pPr>
              <w:widowControl/>
              <w:spacing w:line="240" w:lineRule="auto"/>
              <w:ind w:firstLine="0" w:firstLineChars="0"/>
              <w:jc w:val="center"/>
              <w:rPr>
                <w:color w:val="auto"/>
                <w:kern w:val="0"/>
                <w:sz w:val="21"/>
                <w:szCs w:val="21"/>
              </w:rPr>
            </w:pPr>
          </w:p>
        </w:tc>
        <w:tc>
          <w:tcPr>
            <w:tcW w:w="785" w:type="pct"/>
            <w:vAlign w:val="center"/>
          </w:tcPr>
          <w:p w14:paraId="62BA89A0">
            <w:pPr>
              <w:widowControl/>
              <w:spacing w:line="240" w:lineRule="auto"/>
              <w:ind w:firstLine="0" w:firstLineChars="0"/>
              <w:jc w:val="center"/>
              <w:rPr>
                <w:color w:val="auto"/>
                <w:kern w:val="0"/>
                <w:sz w:val="21"/>
                <w:szCs w:val="21"/>
              </w:rPr>
            </w:pPr>
          </w:p>
        </w:tc>
      </w:tr>
      <w:tr w14:paraId="2CEEA7C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3ED1D3E1">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53</w:t>
            </w:r>
          </w:p>
        </w:tc>
        <w:tc>
          <w:tcPr>
            <w:tcW w:w="772" w:type="pct"/>
            <w:vMerge w:val="continue"/>
            <w:vAlign w:val="center"/>
          </w:tcPr>
          <w:p w14:paraId="16766688">
            <w:pPr>
              <w:widowControl/>
              <w:spacing w:line="240" w:lineRule="auto"/>
              <w:ind w:firstLine="0" w:firstLineChars="0"/>
              <w:jc w:val="center"/>
              <w:rPr>
                <w:color w:val="auto"/>
                <w:kern w:val="0"/>
                <w:sz w:val="21"/>
                <w:szCs w:val="21"/>
              </w:rPr>
            </w:pPr>
          </w:p>
        </w:tc>
        <w:tc>
          <w:tcPr>
            <w:tcW w:w="1145" w:type="pct"/>
            <w:vAlign w:val="center"/>
          </w:tcPr>
          <w:p w14:paraId="4D914188">
            <w:pPr>
              <w:widowControl/>
              <w:spacing w:line="240" w:lineRule="auto"/>
              <w:ind w:firstLine="0" w:firstLineChars="0"/>
              <w:jc w:val="center"/>
              <w:rPr>
                <w:color w:val="auto"/>
                <w:kern w:val="0"/>
                <w:sz w:val="21"/>
                <w:szCs w:val="21"/>
              </w:rPr>
            </w:pPr>
          </w:p>
        </w:tc>
        <w:tc>
          <w:tcPr>
            <w:tcW w:w="1906" w:type="pct"/>
            <w:vAlign w:val="center"/>
          </w:tcPr>
          <w:p w14:paraId="42C94E8B">
            <w:pPr>
              <w:widowControl/>
              <w:spacing w:line="240" w:lineRule="auto"/>
              <w:ind w:firstLine="0" w:firstLineChars="0"/>
              <w:jc w:val="center"/>
              <w:rPr>
                <w:color w:val="auto"/>
                <w:kern w:val="0"/>
                <w:sz w:val="21"/>
                <w:szCs w:val="21"/>
              </w:rPr>
            </w:pPr>
          </w:p>
        </w:tc>
        <w:tc>
          <w:tcPr>
            <w:tcW w:w="785" w:type="pct"/>
            <w:vAlign w:val="center"/>
          </w:tcPr>
          <w:p w14:paraId="56A394EA">
            <w:pPr>
              <w:widowControl/>
              <w:spacing w:line="240" w:lineRule="auto"/>
              <w:ind w:firstLine="0" w:firstLineChars="0"/>
              <w:jc w:val="center"/>
              <w:rPr>
                <w:color w:val="auto"/>
                <w:kern w:val="0"/>
                <w:sz w:val="21"/>
                <w:szCs w:val="21"/>
              </w:rPr>
            </w:pPr>
          </w:p>
        </w:tc>
      </w:tr>
      <w:tr w14:paraId="188702D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3C627186">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54</w:t>
            </w:r>
          </w:p>
        </w:tc>
        <w:tc>
          <w:tcPr>
            <w:tcW w:w="772" w:type="pct"/>
            <w:vMerge w:val="continue"/>
            <w:vAlign w:val="center"/>
          </w:tcPr>
          <w:p w14:paraId="10A9DA54">
            <w:pPr>
              <w:widowControl/>
              <w:spacing w:line="240" w:lineRule="auto"/>
              <w:ind w:firstLine="0" w:firstLineChars="0"/>
              <w:jc w:val="center"/>
              <w:rPr>
                <w:color w:val="auto"/>
                <w:kern w:val="0"/>
                <w:sz w:val="21"/>
                <w:szCs w:val="21"/>
              </w:rPr>
            </w:pPr>
          </w:p>
        </w:tc>
        <w:tc>
          <w:tcPr>
            <w:tcW w:w="1145" w:type="pct"/>
            <w:vAlign w:val="center"/>
          </w:tcPr>
          <w:p w14:paraId="2CFF9CA5">
            <w:pPr>
              <w:widowControl/>
              <w:spacing w:line="240" w:lineRule="auto"/>
              <w:ind w:firstLine="0" w:firstLineChars="0"/>
              <w:jc w:val="center"/>
              <w:rPr>
                <w:color w:val="auto"/>
                <w:kern w:val="0"/>
                <w:sz w:val="21"/>
                <w:szCs w:val="21"/>
              </w:rPr>
            </w:pPr>
          </w:p>
        </w:tc>
        <w:tc>
          <w:tcPr>
            <w:tcW w:w="1906" w:type="pct"/>
            <w:vAlign w:val="center"/>
          </w:tcPr>
          <w:p w14:paraId="2ED584A1">
            <w:pPr>
              <w:widowControl/>
              <w:spacing w:line="240" w:lineRule="auto"/>
              <w:ind w:firstLine="0" w:firstLineChars="0"/>
              <w:jc w:val="center"/>
              <w:rPr>
                <w:color w:val="auto"/>
                <w:kern w:val="0"/>
                <w:sz w:val="21"/>
                <w:szCs w:val="21"/>
              </w:rPr>
            </w:pPr>
          </w:p>
        </w:tc>
        <w:tc>
          <w:tcPr>
            <w:tcW w:w="785" w:type="pct"/>
            <w:vAlign w:val="center"/>
          </w:tcPr>
          <w:p w14:paraId="317D3178">
            <w:pPr>
              <w:widowControl/>
              <w:spacing w:line="240" w:lineRule="auto"/>
              <w:ind w:firstLine="0" w:firstLineChars="0"/>
              <w:jc w:val="center"/>
              <w:rPr>
                <w:color w:val="auto"/>
                <w:kern w:val="0"/>
                <w:sz w:val="21"/>
                <w:szCs w:val="21"/>
              </w:rPr>
            </w:pPr>
          </w:p>
        </w:tc>
      </w:tr>
      <w:tr w14:paraId="4CFF1D3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5D7C988">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55</w:t>
            </w:r>
          </w:p>
        </w:tc>
        <w:tc>
          <w:tcPr>
            <w:tcW w:w="772" w:type="pct"/>
            <w:vMerge w:val="continue"/>
            <w:vAlign w:val="center"/>
          </w:tcPr>
          <w:p w14:paraId="1A1A7200">
            <w:pPr>
              <w:widowControl/>
              <w:spacing w:line="240" w:lineRule="auto"/>
              <w:ind w:firstLine="0" w:firstLineChars="0"/>
              <w:jc w:val="center"/>
              <w:rPr>
                <w:color w:val="auto"/>
                <w:kern w:val="0"/>
                <w:sz w:val="21"/>
                <w:szCs w:val="21"/>
              </w:rPr>
            </w:pPr>
          </w:p>
        </w:tc>
        <w:tc>
          <w:tcPr>
            <w:tcW w:w="1145" w:type="pct"/>
            <w:vAlign w:val="center"/>
          </w:tcPr>
          <w:p w14:paraId="7AA35E3B">
            <w:pPr>
              <w:widowControl/>
              <w:spacing w:line="240" w:lineRule="auto"/>
              <w:ind w:firstLine="0" w:firstLineChars="0"/>
              <w:jc w:val="center"/>
              <w:rPr>
                <w:color w:val="auto"/>
                <w:kern w:val="0"/>
                <w:sz w:val="21"/>
                <w:szCs w:val="21"/>
              </w:rPr>
            </w:pPr>
          </w:p>
        </w:tc>
        <w:tc>
          <w:tcPr>
            <w:tcW w:w="1906" w:type="pct"/>
            <w:vAlign w:val="center"/>
          </w:tcPr>
          <w:p w14:paraId="609250E1">
            <w:pPr>
              <w:widowControl/>
              <w:spacing w:line="240" w:lineRule="auto"/>
              <w:ind w:firstLine="0" w:firstLineChars="0"/>
              <w:jc w:val="center"/>
              <w:rPr>
                <w:color w:val="auto"/>
                <w:kern w:val="0"/>
                <w:sz w:val="21"/>
                <w:szCs w:val="21"/>
              </w:rPr>
            </w:pPr>
          </w:p>
        </w:tc>
        <w:tc>
          <w:tcPr>
            <w:tcW w:w="785" w:type="pct"/>
            <w:vAlign w:val="center"/>
          </w:tcPr>
          <w:p w14:paraId="7747A019">
            <w:pPr>
              <w:widowControl/>
              <w:spacing w:line="240" w:lineRule="auto"/>
              <w:ind w:firstLine="0" w:firstLineChars="0"/>
              <w:jc w:val="center"/>
              <w:rPr>
                <w:color w:val="auto"/>
                <w:kern w:val="0"/>
                <w:sz w:val="21"/>
                <w:szCs w:val="21"/>
              </w:rPr>
            </w:pPr>
          </w:p>
        </w:tc>
      </w:tr>
      <w:tr w14:paraId="2B55AF8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9E9968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56</w:t>
            </w:r>
          </w:p>
        </w:tc>
        <w:tc>
          <w:tcPr>
            <w:tcW w:w="772" w:type="pct"/>
            <w:vMerge w:val="continue"/>
            <w:vAlign w:val="center"/>
          </w:tcPr>
          <w:p w14:paraId="6E1B669D">
            <w:pPr>
              <w:widowControl/>
              <w:spacing w:line="240" w:lineRule="auto"/>
              <w:ind w:firstLine="0" w:firstLineChars="0"/>
              <w:jc w:val="center"/>
              <w:rPr>
                <w:color w:val="auto"/>
                <w:kern w:val="0"/>
                <w:sz w:val="21"/>
                <w:szCs w:val="21"/>
              </w:rPr>
            </w:pPr>
          </w:p>
        </w:tc>
        <w:tc>
          <w:tcPr>
            <w:tcW w:w="1145" w:type="pct"/>
            <w:vAlign w:val="center"/>
          </w:tcPr>
          <w:p w14:paraId="0DE0B6D5">
            <w:pPr>
              <w:widowControl/>
              <w:spacing w:line="240" w:lineRule="auto"/>
              <w:ind w:firstLine="0" w:firstLineChars="0"/>
              <w:jc w:val="center"/>
              <w:rPr>
                <w:color w:val="auto"/>
                <w:kern w:val="0"/>
                <w:sz w:val="21"/>
                <w:szCs w:val="21"/>
              </w:rPr>
            </w:pPr>
          </w:p>
        </w:tc>
        <w:tc>
          <w:tcPr>
            <w:tcW w:w="1906" w:type="pct"/>
            <w:vAlign w:val="center"/>
          </w:tcPr>
          <w:p w14:paraId="7C92429F">
            <w:pPr>
              <w:widowControl/>
              <w:spacing w:line="240" w:lineRule="auto"/>
              <w:ind w:firstLine="0" w:firstLineChars="0"/>
              <w:jc w:val="center"/>
              <w:rPr>
                <w:color w:val="auto"/>
                <w:kern w:val="0"/>
                <w:sz w:val="21"/>
                <w:szCs w:val="21"/>
              </w:rPr>
            </w:pPr>
          </w:p>
        </w:tc>
        <w:tc>
          <w:tcPr>
            <w:tcW w:w="785" w:type="pct"/>
            <w:vAlign w:val="center"/>
          </w:tcPr>
          <w:p w14:paraId="0B18D86B">
            <w:pPr>
              <w:widowControl/>
              <w:spacing w:line="240" w:lineRule="auto"/>
              <w:ind w:firstLine="0" w:firstLineChars="0"/>
              <w:jc w:val="center"/>
              <w:rPr>
                <w:color w:val="auto"/>
                <w:kern w:val="0"/>
                <w:sz w:val="21"/>
                <w:szCs w:val="21"/>
              </w:rPr>
            </w:pPr>
          </w:p>
        </w:tc>
      </w:tr>
      <w:tr w14:paraId="510F74F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D8C65B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57</w:t>
            </w:r>
          </w:p>
        </w:tc>
        <w:tc>
          <w:tcPr>
            <w:tcW w:w="772" w:type="pct"/>
            <w:vMerge w:val="continue"/>
            <w:vAlign w:val="center"/>
          </w:tcPr>
          <w:p w14:paraId="297853EE">
            <w:pPr>
              <w:widowControl/>
              <w:spacing w:line="240" w:lineRule="auto"/>
              <w:ind w:firstLine="0" w:firstLineChars="0"/>
              <w:jc w:val="center"/>
              <w:rPr>
                <w:color w:val="auto"/>
                <w:kern w:val="0"/>
                <w:sz w:val="21"/>
                <w:szCs w:val="21"/>
              </w:rPr>
            </w:pPr>
          </w:p>
        </w:tc>
        <w:tc>
          <w:tcPr>
            <w:tcW w:w="1145" w:type="pct"/>
            <w:vAlign w:val="center"/>
          </w:tcPr>
          <w:p w14:paraId="5621C09A">
            <w:pPr>
              <w:widowControl/>
              <w:spacing w:line="240" w:lineRule="auto"/>
              <w:ind w:firstLine="0" w:firstLineChars="0"/>
              <w:jc w:val="center"/>
              <w:rPr>
                <w:color w:val="auto"/>
                <w:kern w:val="0"/>
                <w:sz w:val="21"/>
                <w:szCs w:val="21"/>
              </w:rPr>
            </w:pPr>
          </w:p>
        </w:tc>
        <w:tc>
          <w:tcPr>
            <w:tcW w:w="1906" w:type="pct"/>
            <w:vAlign w:val="center"/>
          </w:tcPr>
          <w:p w14:paraId="77676B43">
            <w:pPr>
              <w:widowControl/>
              <w:spacing w:line="240" w:lineRule="auto"/>
              <w:ind w:firstLine="0" w:firstLineChars="0"/>
              <w:jc w:val="center"/>
              <w:rPr>
                <w:color w:val="auto"/>
                <w:kern w:val="0"/>
                <w:sz w:val="21"/>
                <w:szCs w:val="21"/>
              </w:rPr>
            </w:pPr>
          </w:p>
        </w:tc>
        <w:tc>
          <w:tcPr>
            <w:tcW w:w="785" w:type="pct"/>
            <w:vAlign w:val="center"/>
          </w:tcPr>
          <w:p w14:paraId="1483020F">
            <w:pPr>
              <w:widowControl/>
              <w:spacing w:line="240" w:lineRule="auto"/>
              <w:ind w:firstLine="0" w:firstLineChars="0"/>
              <w:jc w:val="center"/>
              <w:rPr>
                <w:color w:val="auto"/>
                <w:kern w:val="0"/>
                <w:sz w:val="21"/>
                <w:szCs w:val="21"/>
              </w:rPr>
            </w:pPr>
          </w:p>
        </w:tc>
      </w:tr>
      <w:tr w14:paraId="52C4DD0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BACE09A">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58</w:t>
            </w:r>
          </w:p>
        </w:tc>
        <w:tc>
          <w:tcPr>
            <w:tcW w:w="772" w:type="pct"/>
            <w:vMerge w:val="continue"/>
            <w:vAlign w:val="center"/>
          </w:tcPr>
          <w:p w14:paraId="4FA8BDB3">
            <w:pPr>
              <w:widowControl/>
              <w:spacing w:line="240" w:lineRule="auto"/>
              <w:ind w:firstLine="0" w:firstLineChars="0"/>
              <w:jc w:val="center"/>
              <w:rPr>
                <w:color w:val="auto"/>
                <w:kern w:val="0"/>
                <w:sz w:val="21"/>
                <w:szCs w:val="21"/>
              </w:rPr>
            </w:pPr>
          </w:p>
        </w:tc>
        <w:tc>
          <w:tcPr>
            <w:tcW w:w="1145" w:type="pct"/>
            <w:vAlign w:val="center"/>
          </w:tcPr>
          <w:p w14:paraId="51A02F04">
            <w:pPr>
              <w:widowControl/>
              <w:spacing w:line="240" w:lineRule="auto"/>
              <w:ind w:firstLine="0" w:firstLineChars="0"/>
              <w:jc w:val="center"/>
              <w:rPr>
                <w:color w:val="auto"/>
                <w:kern w:val="0"/>
                <w:sz w:val="21"/>
                <w:szCs w:val="21"/>
              </w:rPr>
            </w:pPr>
          </w:p>
        </w:tc>
        <w:tc>
          <w:tcPr>
            <w:tcW w:w="1906" w:type="pct"/>
            <w:vAlign w:val="center"/>
          </w:tcPr>
          <w:p w14:paraId="59CC5BD0">
            <w:pPr>
              <w:widowControl/>
              <w:spacing w:line="240" w:lineRule="auto"/>
              <w:ind w:firstLine="0" w:firstLineChars="0"/>
              <w:jc w:val="center"/>
              <w:rPr>
                <w:color w:val="auto"/>
                <w:kern w:val="0"/>
                <w:sz w:val="21"/>
                <w:szCs w:val="21"/>
              </w:rPr>
            </w:pPr>
          </w:p>
        </w:tc>
        <w:tc>
          <w:tcPr>
            <w:tcW w:w="785" w:type="pct"/>
            <w:vAlign w:val="center"/>
          </w:tcPr>
          <w:p w14:paraId="17DFDA4A">
            <w:pPr>
              <w:widowControl/>
              <w:spacing w:line="240" w:lineRule="auto"/>
              <w:ind w:firstLine="0" w:firstLineChars="0"/>
              <w:jc w:val="center"/>
              <w:rPr>
                <w:color w:val="auto"/>
                <w:kern w:val="0"/>
                <w:sz w:val="21"/>
                <w:szCs w:val="21"/>
              </w:rPr>
            </w:pPr>
          </w:p>
        </w:tc>
      </w:tr>
      <w:tr w14:paraId="5AD72E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07CEB05">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59</w:t>
            </w:r>
          </w:p>
        </w:tc>
        <w:tc>
          <w:tcPr>
            <w:tcW w:w="772" w:type="pct"/>
            <w:vMerge w:val="continue"/>
            <w:vAlign w:val="center"/>
          </w:tcPr>
          <w:p w14:paraId="3DEA4DAD">
            <w:pPr>
              <w:widowControl/>
              <w:spacing w:line="240" w:lineRule="auto"/>
              <w:ind w:firstLine="0" w:firstLineChars="0"/>
              <w:jc w:val="center"/>
              <w:rPr>
                <w:color w:val="auto"/>
                <w:kern w:val="0"/>
                <w:sz w:val="21"/>
                <w:szCs w:val="21"/>
              </w:rPr>
            </w:pPr>
          </w:p>
        </w:tc>
        <w:tc>
          <w:tcPr>
            <w:tcW w:w="1145" w:type="pct"/>
            <w:vAlign w:val="center"/>
          </w:tcPr>
          <w:p w14:paraId="5F9C2329">
            <w:pPr>
              <w:widowControl/>
              <w:spacing w:line="240" w:lineRule="auto"/>
              <w:ind w:firstLine="0" w:firstLineChars="0"/>
              <w:jc w:val="center"/>
              <w:rPr>
                <w:color w:val="auto"/>
                <w:kern w:val="0"/>
                <w:sz w:val="21"/>
                <w:szCs w:val="21"/>
              </w:rPr>
            </w:pPr>
          </w:p>
        </w:tc>
        <w:tc>
          <w:tcPr>
            <w:tcW w:w="1906" w:type="pct"/>
            <w:vAlign w:val="center"/>
          </w:tcPr>
          <w:p w14:paraId="4EB42B48">
            <w:pPr>
              <w:widowControl/>
              <w:spacing w:line="240" w:lineRule="auto"/>
              <w:ind w:firstLine="0" w:firstLineChars="0"/>
              <w:jc w:val="center"/>
              <w:rPr>
                <w:color w:val="auto"/>
                <w:kern w:val="0"/>
                <w:sz w:val="21"/>
                <w:szCs w:val="21"/>
              </w:rPr>
            </w:pPr>
          </w:p>
        </w:tc>
        <w:tc>
          <w:tcPr>
            <w:tcW w:w="785" w:type="pct"/>
            <w:vAlign w:val="center"/>
          </w:tcPr>
          <w:p w14:paraId="42BD77F3">
            <w:pPr>
              <w:widowControl/>
              <w:spacing w:line="240" w:lineRule="auto"/>
              <w:ind w:firstLine="0" w:firstLineChars="0"/>
              <w:jc w:val="center"/>
              <w:rPr>
                <w:color w:val="auto"/>
                <w:kern w:val="0"/>
                <w:sz w:val="21"/>
                <w:szCs w:val="21"/>
              </w:rPr>
            </w:pPr>
          </w:p>
        </w:tc>
      </w:tr>
      <w:tr w14:paraId="48B1643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5B6574F">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60</w:t>
            </w:r>
          </w:p>
        </w:tc>
        <w:tc>
          <w:tcPr>
            <w:tcW w:w="772" w:type="pct"/>
            <w:vMerge w:val="continue"/>
            <w:vAlign w:val="center"/>
          </w:tcPr>
          <w:p w14:paraId="58A0778F">
            <w:pPr>
              <w:widowControl/>
              <w:spacing w:line="240" w:lineRule="auto"/>
              <w:ind w:firstLine="0" w:firstLineChars="0"/>
              <w:jc w:val="center"/>
              <w:rPr>
                <w:color w:val="auto"/>
                <w:kern w:val="0"/>
                <w:sz w:val="21"/>
                <w:szCs w:val="21"/>
              </w:rPr>
            </w:pPr>
          </w:p>
        </w:tc>
        <w:tc>
          <w:tcPr>
            <w:tcW w:w="1145" w:type="pct"/>
            <w:vAlign w:val="center"/>
          </w:tcPr>
          <w:p w14:paraId="49213CE1">
            <w:pPr>
              <w:widowControl/>
              <w:spacing w:line="240" w:lineRule="auto"/>
              <w:ind w:firstLine="0" w:firstLineChars="0"/>
              <w:jc w:val="center"/>
              <w:rPr>
                <w:color w:val="auto"/>
                <w:kern w:val="0"/>
                <w:sz w:val="21"/>
                <w:szCs w:val="21"/>
              </w:rPr>
            </w:pPr>
          </w:p>
        </w:tc>
        <w:tc>
          <w:tcPr>
            <w:tcW w:w="1906" w:type="pct"/>
            <w:vAlign w:val="center"/>
          </w:tcPr>
          <w:p w14:paraId="2B1BB712">
            <w:pPr>
              <w:widowControl/>
              <w:spacing w:line="240" w:lineRule="auto"/>
              <w:ind w:firstLine="0" w:firstLineChars="0"/>
              <w:jc w:val="center"/>
              <w:rPr>
                <w:color w:val="auto"/>
                <w:kern w:val="0"/>
                <w:sz w:val="21"/>
                <w:szCs w:val="21"/>
              </w:rPr>
            </w:pPr>
          </w:p>
        </w:tc>
        <w:tc>
          <w:tcPr>
            <w:tcW w:w="785" w:type="pct"/>
            <w:vAlign w:val="center"/>
          </w:tcPr>
          <w:p w14:paraId="726BE38C">
            <w:pPr>
              <w:widowControl/>
              <w:spacing w:line="240" w:lineRule="auto"/>
              <w:ind w:firstLine="0" w:firstLineChars="0"/>
              <w:jc w:val="center"/>
              <w:rPr>
                <w:color w:val="auto"/>
                <w:kern w:val="0"/>
                <w:sz w:val="21"/>
                <w:szCs w:val="21"/>
              </w:rPr>
            </w:pPr>
          </w:p>
        </w:tc>
      </w:tr>
      <w:tr w14:paraId="6914E72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FCE10F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61</w:t>
            </w:r>
          </w:p>
        </w:tc>
        <w:tc>
          <w:tcPr>
            <w:tcW w:w="772" w:type="pct"/>
            <w:vMerge w:val="continue"/>
            <w:vAlign w:val="center"/>
          </w:tcPr>
          <w:p w14:paraId="4257F93B">
            <w:pPr>
              <w:widowControl/>
              <w:spacing w:line="240" w:lineRule="auto"/>
              <w:ind w:firstLine="0" w:firstLineChars="0"/>
              <w:jc w:val="center"/>
              <w:rPr>
                <w:color w:val="auto"/>
                <w:kern w:val="0"/>
                <w:sz w:val="21"/>
                <w:szCs w:val="21"/>
              </w:rPr>
            </w:pPr>
          </w:p>
        </w:tc>
        <w:tc>
          <w:tcPr>
            <w:tcW w:w="1145" w:type="pct"/>
            <w:vAlign w:val="center"/>
          </w:tcPr>
          <w:p w14:paraId="72658C00">
            <w:pPr>
              <w:widowControl/>
              <w:spacing w:line="240" w:lineRule="auto"/>
              <w:ind w:firstLine="0" w:firstLineChars="0"/>
              <w:jc w:val="center"/>
              <w:rPr>
                <w:color w:val="auto"/>
                <w:kern w:val="0"/>
                <w:sz w:val="21"/>
                <w:szCs w:val="21"/>
              </w:rPr>
            </w:pPr>
          </w:p>
        </w:tc>
        <w:tc>
          <w:tcPr>
            <w:tcW w:w="1906" w:type="pct"/>
            <w:vAlign w:val="center"/>
          </w:tcPr>
          <w:p w14:paraId="77B5AD7C">
            <w:pPr>
              <w:widowControl/>
              <w:spacing w:line="240" w:lineRule="auto"/>
              <w:ind w:firstLine="0" w:firstLineChars="0"/>
              <w:jc w:val="center"/>
              <w:rPr>
                <w:color w:val="auto"/>
                <w:kern w:val="0"/>
                <w:sz w:val="21"/>
                <w:szCs w:val="21"/>
              </w:rPr>
            </w:pPr>
          </w:p>
        </w:tc>
        <w:tc>
          <w:tcPr>
            <w:tcW w:w="785" w:type="pct"/>
            <w:vAlign w:val="center"/>
          </w:tcPr>
          <w:p w14:paraId="5DC3E434">
            <w:pPr>
              <w:widowControl/>
              <w:spacing w:line="240" w:lineRule="auto"/>
              <w:ind w:firstLine="0" w:firstLineChars="0"/>
              <w:jc w:val="center"/>
              <w:rPr>
                <w:color w:val="auto"/>
                <w:kern w:val="0"/>
                <w:sz w:val="21"/>
                <w:szCs w:val="21"/>
              </w:rPr>
            </w:pPr>
          </w:p>
        </w:tc>
      </w:tr>
      <w:tr w14:paraId="1BDCFD8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trHeight w:val="60" w:hRule="atLeast"/>
          <w:tblHeader/>
          <w:jc w:val="center"/>
        </w:trPr>
        <w:tc>
          <w:tcPr>
            <w:tcW w:w="389" w:type="pct"/>
            <w:vAlign w:val="center"/>
          </w:tcPr>
          <w:p w14:paraId="4E5D2E9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62</w:t>
            </w:r>
          </w:p>
        </w:tc>
        <w:tc>
          <w:tcPr>
            <w:tcW w:w="772" w:type="pct"/>
            <w:vMerge w:val="continue"/>
            <w:vAlign w:val="center"/>
          </w:tcPr>
          <w:p w14:paraId="3A11EA3E">
            <w:pPr>
              <w:widowControl/>
              <w:spacing w:line="240" w:lineRule="auto"/>
              <w:ind w:firstLine="0" w:firstLineChars="0"/>
              <w:jc w:val="center"/>
              <w:rPr>
                <w:color w:val="auto"/>
                <w:kern w:val="0"/>
                <w:sz w:val="21"/>
                <w:szCs w:val="21"/>
              </w:rPr>
            </w:pPr>
          </w:p>
        </w:tc>
        <w:tc>
          <w:tcPr>
            <w:tcW w:w="1145" w:type="pct"/>
            <w:vAlign w:val="center"/>
          </w:tcPr>
          <w:p w14:paraId="6B434ADB">
            <w:pPr>
              <w:widowControl/>
              <w:spacing w:line="240" w:lineRule="auto"/>
              <w:ind w:firstLine="0" w:firstLineChars="0"/>
              <w:jc w:val="center"/>
              <w:rPr>
                <w:color w:val="auto"/>
                <w:kern w:val="0"/>
                <w:sz w:val="21"/>
                <w:szCs w:val="21"/>
              </w:rPr>
            </w:pPr>
          </w:p>
        </w:tc>
        <w:tc>
          <w:tcPr>
            <w:tcW w:w="1906" w:type="pct"/>
            <w:vAlign w:val="center"/>
          </w:tcPr>
          <w:p w14:paraId="005D617B">
            <w:pPr>
              <w:widowControl/>
              <w:spacing w:line="240" w:lineRule="auto"/>
              <w:ind w:firstLine="0" w:firstLineChars="0"/>
              <w:jc w:val="center"/>
              <w:rPr>
                <w:color w:val="auto"/>
                <w:kern w:val="0"/>
                <w:sz w:val="21"/>
                <w:szCs w:val="21"/>
              </w:rPr>
            </w:pPr>
          </w:p>
        </w:tc>
        <w:tc>
          <w:tcPr>
            <w:tcW w:w="785" w:type="pct"/>
            <w:vAlign w:val="center"/>
          </w:tcPr>
          <w:p w14:paraId="73B8F64A">
            <w:pPr>
              <w:widowControl/>
              <w:spacing w:line="240" w:lineRule="auto"/>
              <w:ind w:firstLine="0" w:firstLineChars="0"/>
              <w:jc w:val="center"/>
              <w:rPr>
                <w:color w:val="auto"/>
                <w:kern w:val="0"/>
                <w:sz w:val="21"/>
                <w:szCs w:val="21"/>
              </w:rPr>
            </w:pPr>
          </w:p>
        </w:tc>
      </w:tr>
      <w:tr w14:paraId="729EA60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E6B33F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63</w:t>
            </w:r>
          </w:p>
        </w:tc>
        <w:tc>
          <w:tcPr>
            <w:tcW w:w="772" w:type="pct"/>
            <w:vMerge w:val="continue"/>
            <w:vAlign w:val="center"/>
          </w:tcPr>
          <w:p w14:paraId="1D2A7ECC">
            <w:pPr>
              <w:widowControl/>
              <w:spacing w:line="240" w:lineRule="auto"/>
              <w:ind w:firstLine="0" w:firstLineChars="0"/>
              <w:jc w:val="center"/>
              <w:rPr>
                <w:color w:val="auto"/>
                <w:kern w:val="0"/>
                <w:sz w:val="21"/>
                <w:szCs w:val="21"/>
              </w:rPr>
            </w:pPr>
          </w:p>
        </w:tc>
        <w:tc>
          <w:tcPr>
            <w:tcW w:w="1145" w:type="pct"/>
            <w:vAlign w:val="center"/>
          </w:tcPr>
          <w:p w14:paraId="7C4D0F3B">
            <w:pPr>
              <w:widowControl/>
              <w:spacing w:line="240" w:lineRule="auto"/>
              <w:ind w:firstLine="0" w:firstLineChars="0"/>
              <w:jc w:val="center"/>
              <w:rPr>
                <w:color w:val="auto"/>
                <w:kern w:val="0"/>
                <w:sz w:val="21"/>
                <w:szCs w:val="21"/>
              </w:rPr>
            </w:pPr>
          </w:p>
        </w:tc>
        <w:tc>
          <w:tcPr>
            <w:tcW w:w="1906" w:type="pct"/>
            <w:vAlign w:val="center"/>
          </w:tcPr>
          <w:p w14:paraId="6DF5A8B3">
            <w:pPr>
              <w:widowControl/>
              <w:spacing w:line="240" w:lineRule="auto"/>
              <w:ind w:firstLine="0" w:firstLineChars="0"/>
              <w:jc w:val="center"/>
              <w:rPr>
                <w:color w:val="auto"/>
                <w:kern w:val="0"/>
                <w:sz w:val="21"/>
                <w:szCs w:val="21"/>
              </w:rPr>
            </w:pPr>
          </w:p>
        </w:tc>
        <w:tc>
          <w:tcPr>
            <w:tcW w:w="785" w:type="pct"/>
            <w:vAlign w:val="center"/>
          </w:tcPr>
          <w:p w14:paraId="0482133F">
            <w:pPr>
              <w:widowControl/>
              <w:spacing w:line="240" w:lineRule="auto"/>
              <w:ind w:firstLine="0" w:firstLineChars="0"/>
              <w:jc w:val="center"/>
              <w:rPr>
                <w:color w:val="auto"/>
                <w:kern w:val="0"/>
                <w:sz w:val="21"/>
                <w:szCs w:val="21"/>
              </w:rPr>
            </w:pPr>
          </w:p>
        </w:tc>
      </w:tr>
      <w:tr w14:paraId="6B15229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2154D2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64</w:t>
            </w:r>
          </w:p>
        </w:tc>
        <w:tc>
          <w:tcPr>
            <w:tcW w:w="772" w:type="pct"/>
            <w:vMerge w:val="continue"/>
            <w:vAlign w:val="center"/>
          </w:tcPr>
          <w:p w14:paraId="08D97938">
            <w:pPr>
              <w:widowControl/>
              <w:spacing w:line="240" w:lineRule="auto"/>
              <w:ind w:firstLine="0" w:firstLineChars="0"/>
              <w:jc w:val="center"/>
              <w:rPr>
                <w:color w:val="auto"/>
                <w:kern w:val="0"/>
                <w:sz w:val="21"/>
                <w:szCs w:val="21"/>
              </w:rPr>
            </w:pPr>
          </w:p>
        </w:tc>
        <w:tc>
          <w:tcPr>
            <w:tcW w:w="1145" w:type="pct"/>
            <w:vAlign w:val="center"/>
          </w:tcPr>
          <w:p w14:paraId="6825B109">
            <w:pPr>
              <w:widowControl/>
              <w:spacing w:line="240" w:lineRule="auto"/>
              <w:ind w:firstLine="0" w:firstLineChars="0"/>
              <w:jc w:val="center"/>
              <w:rPr>
                <w:color w:val="auto"/>
                <w:kern w:val="0"/>
                <w:sz w:val="21"/>
                <w:szCs w:val="21"/>
              </w:rPr>
            </w:pPr>
          </w:p>
        </w:tc>
        <w:tc>
          <w:tcPr>
            <w:tcW w:w="1906" w:type="pct"/>
            <w:vAlign w:val="center"/>
          </w:tcPr>
          <w:p w14:paraId="3C8A1363">
            <w:pPr>
              <w:widowControl/>
              <w:spacing w:line="240" w:lineRule="auto"/>
              <w:ind w:firstLine="0" w:firstLineChars="0"/>
              <w:jc w:val="center"/>
              <w:rPr>
                <w:color w:val="auto"/>
                <w:kern w:val="0"/>
                <w:sz w:val="21"/>
                <w:szCs w:val="21"/>
              </w:rPr>
            </w:pPr>
          </w:p>
        </w:tc>
        <w:tc>
          <w:tcPr>
            <w:tcW w:w="785" w:type="pct"/>
            <w:vAlign w:val="center"/>
          </w:tcPr>
          <w:p w14:paraId="42341DCE">
            <w:pPr>
              <w:widowControl/>
              <w:spacing w:line="240" w:lineRule="auto"/>
              <w:ind w:firstLine="0" w:firstLineChars="0"/>
              <w:jc w:val="center"/>
              <w:rPr>
                <w:color w:val="auto"/>
                <w:kern w:val="0"/>
                <w:sz w:val="21"/>
                <w:szCs w:val="21"/>
              </w:rPr>
            </w:pPr>
          </w:p>
        </w:tc>
      </w:tr>
      <w:tr w14:paraId="2531851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8629D1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65</w:t>
            </w:r>
          </w:p>
        </w:tc>
        <w:tc>
          <w:tcPr>
            <w:tcW w:w="772" w:type="pct"/>
            <w:vMerge w:val="continue"/>
            <w:vAlign w:val="center"/>
          </w:tcPr>
          <w:p w14:paraId="5AD42DCA">
            <w:pPr>
              <w:widowControl/>
              <w:spacing w:line="240" w:lineRule="auto"/>
              <w:ind w:firstLine="0" w:firstLineChars="0"/>
              <w:jc w:val="center"/>
              <w:rPr>
                <w:color w:val="auto"/>
                <w:kern w:val="0"/>
                <w:sz w:val="21"/>
                <w:szCs w:val="21"/>
              </w:rPr>
            </w:pPr>
          </w:p>
        </w:tc>
        <w:tc>
          <w:tcPr>
            <w:tcW w:w="1145" w:type="pct"/>
            <w:vAlign w:val="center"/>
          </w:tcPr>
          <w:p w14:paraId="5F011A3B">
            <w:pPr>
              <w:widowControl/>
              <w:spacing w:line="240" w:lineRule="auto"/>
              <w:ind w:firstLine="0" w:firstLineChars="0"/>
              <w:jc w:val="center"/>
              <w:rPr>
                <w:color w:val="auto"/>
                <w:kern w:val="0"/>
                <w:sz w:val="21"/>
                <w:szCs w:val="21"/>
              </w:rPr>
            </w:pPr>
          </w:p>
        </w:tc>
        <w:tc>
          <w:tcPr>
            <w:tcW w:w="1906" w:type="pct"/>
            <w:vAlign w:val="center"/>
          </w:tcPr>
          <w:p w14:paraId="25DB492F">
            <w:pPr>
              <w:widowControl/>
              <w:spacing w:line="240" w:lineRule="auto"/>
              <w:ind w:firstLine="0" w:firstLineChars="0"/>
              <w:jc w:val="center"/>
              <w:rPr>
                <w:color w:val="auto"/>
                <w:kern w:val="0"/>
                <w:sz w:val="21"/>
                <w:szCs w:val="21"/>
              </w:rPr>
            </w:pPr>
          </w:p>
        </w:tc>
        <w:tc>
          <w:tcPr>
            <w:tcW w:w="785" w:type="pct"/>
            <w:vAlign w:val="center"/>
          </w:tcPr>
          <w:p w14:paraId="3A5EC6E7">
            <w:pPr>
              <w:widowControl/>
              <w:spacing w:line="240" w:lineRule="auto"/>
              <w:ind w:firstLine="0" w:firstLineChars="0"/>
              <w:jc w:val="center"/>
              <w:rPr>
                <w:color w:val="auto"/>
                <w:kern w:val="0"/>
                <w:sz w:val="21"/>
                <w:szCs w:val="21"/>
              </w:rPr>
            </w:pPr>
          </w:p>
        </w:tc>
      </w:tr>
      <w:tr w14:paraId="4A39C6A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ED1E65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66</w:t>
            </w:r>
          </w:p>
        </w:tc>
        <w:tc>
          <w:tcPr>
            <w:tcW w:w="772" w:type="pct"/>
            <w:vMerge w:val="continue"/>
            <w:vAlign w:val="center"/>
          </w:tcPr>
          <w:p w14:paraId="35AB3848">
            <w:pPr>
              <w:widowControl/>
              <w:spacing w:line="240" w:lineRule="auto"/>
              <w:ind w:firstLine="0" w:firstLineChars="0"/>
              <w:jc w:val="center"/>
              <w:rPr>
                <w:color w:val="auto"/>
                <w:kern w:val="0"/>
                <w:sz w:val="21"/>
                <w:szCs w:val="21"/>
              </w:rPr>
            </w:pPr>
          </w:p>
        </w:tc>
        <w:tc>
          <w:tcPr>
            <w:tcW w:w="1145" w:type="pct"/>
            <w:vAlign w:val="center"/>
          </w:tcPr>
          <w:p w14:paraId="0D2AB7A0">
            <w:pPr>
              <w:widowControl/>
              <w:spacing w:line="240" w:lineRule="auto"/>
              <w:ind w:firstLine="0" w:firstLineChars="0"/>
              <w:jc w:val="center"/>
              <w:rPr>
                <w:color w:val="auto"/>
                <w:kern w:val="0"/>
                <w:sz w:val="21"/>
                <w:szCs w:val="21"/>
              </w:rPr>
            </w:pPr>
          </w:p>
        </w:tc>
        <w:tc>
          <w:tcPr>
            <w:tcW w:w="1906" w:type="pct"/>
            <w:vAlign w:val="center"/>
          </w:tcPr>
          <w:p w14:paraId="4FEB7929">
            <w:pPr>
              <w:widowControl/>
              <w:spacing w:line="240" w:lineRule="auto"/>
              <w:ind w:firstLine="0" w:firstLineChars="0"/>
              <w:jc w:val="center"/>
              <w:rPr>
                <w:color w:val="auto"/>
                <w:kern w:val="0"/>
                <w:sz w:val="21"/>
                <w:szCs w:val="21"/>
              </w:rPr>
            </w:pPr>
          </w:p>
        </w:tc>
        <w:tc>
          <w:tcPr>
            <w:tcW w:w="785" w:type="pct"/>
            <w:vAlign w:val="center"/>
          </w:tcPr>
          <w:p w14:paraId="4E4B2AD4">
            <w:pPr>
              <w:widowControl/>
              <w:spacing w:line="240" w:lineRule="auto"/>
              <w:ind w:firstLine="0" w:firstLineChars="0"/>
              <w:jc w:val="center"/>
              <w:rPr>
                <w:color w:val="auto"/>
                <w:kern w:val="0"/>
                <w:sz w:val="21"/>
                <w:szCs w:val="21"/>
              </w:rPr>
            </w:pPr>
          </w:p>
        </w:tc>
      </w:tr>
      <w:tr w14:paraId="7D75615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20EE06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67</w:t>
            </w:r>
          </w:p>
        </w:tc>
        <w:tc>
          <w:tcPr>
            <w:tcW w:w="772" w:type="pct"/>
            <w:vMerge w:val="continue"/>
            <w:vAlign w:val="center"/>
          </w:tcPr>
          <w:p w14:paraId="0003E3F2">
            <w:pPr>
              <w:widowControl/>
              <w:spacing w:line="240" w:lineRule="auto"/>
              <w:ind w:firstLine="0" w:firstLineChars="0"/>
              <w:jc w:val="center"/>
              <w:rPr>
                <w:color w:val="auto"/>
                <w:kern w:val="0"/>
                <w:sz w:val="21"/>
                <w:szCs w:val="21"/>
              </w:rPr>
            </w:pPr>
          </w:p>
        </w:tc>
        <w:tc>
          <w:tcPr>
            <w:tcW w:w="1145" w:type="pct"/>
            <w:vAlign w:val="center"/>
          </w:tcPr>
          <w:p w14:paraId="01E0AB87">
            <w:pPr>
              <w:widowControl/>
              <w:spacing w:line="240" w:lineRule="auto"/>
              <w:ind w:firstLine="0" w:firstLineChars="0"/>
              <w:jc w:val="center"/>
              <w:rPr>
                <w:color w:val="auto"/>
                <w:kern w:val="0"/>
                <w:sz w:val="21"/>
                <w:szCs w:val="21"/>
              </w:rPr>
            </w:pPr>
          </w:p>
        </w:tc>
        <w:tc>
          <w:tcPr>
            <w:tcW w:w="1906" w:type="pct"/>
            <w:vAlign w:val="center"/>
          </w:tcPr>
          <w:p w14:paraId="11860A0C">
            <w:pPr>
              <w:widowControl/>
              <w:spacing w:line="240" w:lineRule="auto"/>
              <w:ind w:firstLine="0" w:firstLineChars="0"/>
              <w:jc w:val="center"/>
              <w:rPr>
                <w:color w:val="auto"/>
                <w:kern w:val="0"/>
                <w:sz w:val="21"/>
                <w:szCs w:val="21"/>
              </w:rPr>
            </w:pPr>
          </w:p>
        </w:tc>
        <w:tc>
          <w:tcPr>
            <w:tcW w:w="785" w:type="pct"/>
            <w:vAlign w:val="center"/>
          </w:tcPr>
          <w:p w14:paraId="72B41972">
            <w:pPr>
              <w:widowControl/>
              <w:spacing w:line="240" w:lineRule="auto"/>
              <w:ind w:firstLine="0" w:firstLineChars="0"/>
              <w:jc w:val="center"/>
              <w:rPr>
                <w:color w:val="auto"/>
                <w:kern w:val="0"/>
                <w:sz w:val="21"/>
                <w:szCs w:val="21"/>
              </w:rPr>
            </w:pPr>
          </w:p>
        </w:tc>
      </w:tr>
      <w:tr w14:paraId="502F2C0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49979AA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68</w:t>
            </w:r>
          </w:p>
        </w:tc>
        <w:tc>
          <w:tcPr>
            <w:tcW w:w="772" w:type="pct"/>
            <w:vMerge w:val="continue"/>
            <w:vAlign w:val="center"/>
          </w:tcPr>
          <w:p w14:paraId="5BD2740A">
            <w:pPr>
              <w:widowControl/>
              <w:spacing w:line="240" w:lineRule="auto"/>
              <w:ind w:firstLine="0" w:firstLineChars="0"/>
              <w:jc w:val="center"/>
              <w:rPr>
                <w:color w:val="auto"/>
                <w:kern w:val="0"/>
                <w:sz w:val="21"/>
                <w:szCs w:val="21"/>
              </w:rPr>
            </w:pPr>
          </w:p>
        </w:tc>
        <w:tc>
          <w:tcPr>
            <w:tcW w:w="1145" w:type="pct"/>
            <w:vAlign w:val="center"/>
          </w:tcPr>
          <w:p w14:paraId="3570834B">
            <w:pPr>
              <w:widowControl/>
              <w:spacing w:line="240" w:lineRule="auto"/>
              <w:ind w:firstLine="0" w:firstLineChars="0"/>
              <w:jc w:val="center"/>
              <w:rPr>
                <w:color w:val="auto"/>
                <w:kern w:val="0"/>
                <w:sz w:val="21"/>
                <w:szCs w:val="21"/>
              </w:rPr>
            </w:pPr>
          </w:p>
        </w:tc>
        <w:tc>
          <w:tcPr>
            <w:tcW w:w="1906" w:type="pct"/>
            <w:vAlign w:val="center"/>
          </w:tcPr>
          <w:p w14:paraId="41076A0D">
            <w:pPr>
              <w:widowControl/>
              <w:spacing w:line="240" w:lineRule="auto"/>
              <w:ind w:firstLine="0" w:firstLineChars="0"/>
              <w:jc w:val="center"/>
              <w:rPr>
                <w:color w:val="auto"/>
                <w:kern w:val="0"/>
                <w:sz w:val="21"/>
                <w:szCs w:val="21"/>
              </w:rPr>
            </w:pPr>
          </w:p>
        </w:tc>
        <w:tc>
          <w:tcPr>
            <w:tcW w:w="785" w:type="pct"/>
            <w:vAlign w:val="center"/>
          </w:tcPr>
          <w:p w14:paraId="6FA5E5D6">
            <w:pPr>
              <w:widowControl/>
              <w:spacing w:line="240" w:lineRule="auto"/>
              <w:ind w:firstLine="0" w:firstLineChars="0"/>
              <w:jc w:val="center"/>
              <w:rPr>
                <w:color w:val="auto"/>
                <w:kern w:val="0"/>
                <w:sz w:val="21"/>
                <w:szCs w:val="21"/>
              </w:rPr>
            </w:pPr>
          </w:p>
        </w:tc>
      </w:tr>
      <w:tr w14:paraId="50F7016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45347128">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69</w:t>
            </w:r>
          </w:p>
        </w:tc>
        <w:tc>
          <w:tcPr>
            <w:tcW w:w="772" w:type="pct"/>
            <w:vMerge w:val="continue"/>
            <w:vAlign w:val="center"/>
          </w:tcPr>
          <w:p w14:paraId="46CCC01E">
            <w:pPr>
              <w:widowControl/>
              <w:spacing w:line="240" w:lineRule="auto"/>
              <w:ind w:firstLine="0" w:firstLineChars="0"/>
              <w:jc w:val="center"/>
              <w:rPr>
                <w:color w:val="auto"/>
                <w:kern w:val="0"/>
                <w:sz w:val="21"/>
                <w:szCs w:val="21"/>
              </w:rPr>
            </w:pPr>
          </w:p>
        </w:tc>
        <w:tc>
          <w:tcPr>
            <w:tcW w:w="1145" w:type="pct"/>
            <w:vAlign w:val="center"/>
          </w:tcPr>
          <w:p w14:paraId="674B0743">
            <w:pPr>
              <w:widowControl/>
              <w:spacing w:line="240" w:lineRule="auto"/>
              <w:ind w:firstLine="0" w:firstLineChars="0"/>
              <w:jc w:val="center"/>
              <w:rPr>
                <w:color w:val="auto"/>
                <w:kern w:val="0"/>
                <w:sz w:val="21"/>
                <w:szCs w:val="21"/>
              </w:rPr>
            </w:pPr>
          </w:p>
        </w:tc>
        <w:tc>
          <w:tcPr>
            <w:tcW w:w="1906" w:type="pct"/>
            <w:vAlign w:val="center"/>
          </w:tcPr>
          <w:p w14:paraId="06BC76C2">
            <w:pPr>
              <w:widowControl/>
              <w:spacing w:line="240" w:lineRule="auto"/>
              <w:ind w:firstLine="0" w:firstLineChars="0"/>
              <w:jc w:val="center"/>
              <w:rPr>
                <w:color w:val="auto"/>
                <w:kern w:val="0"/>
                <w:sz w:val="21"/>
                <w:szCs w:val="21"/>
              </w:rPr>
            </w:pPr>
          </w:p>
        </w:tc>
        <w:tc>
          <w:tcPr>
            <w:tcW w:w="785" w:type="pct"/>
            <w:vAlign w:val="center"/>
          </w:tcPr>
          <w:p w14:paraId="7A2B8353">
            <w:pPr>
              <w:widowControl/>
              <w:spacing w:line="240" w:lineRule="auto"/>
              <w:ind w:firstLine="0" w:firstLineChars="0"/>
              <w:jc w:val="center"/>
              <w:rPr>
                <w:color w:val="auto"/>
                <w:kern w:val="0"/>
                <w:sz w:val="21"/>
                <w:szCs w:val="21"/>
              </w:rPr>
            </w:pPr>
          </w:p>
        </w:tc>
      </w:tr>
      <w:tr w14:paraId="5CB7407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21FD8E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70</w:t>
            </w:r>
          </w:p>
        </w:tc>
        <w:tc>
          <w:tcPr>
            <w:tcW w:w="772" w:type="pct"/>
            <w:vMerge w:val="continue"/>
            <w:vAlign w:val="center"/>
          </w:tcPr>
          <w:p w14:paraId="37620D91">
            <w:pPr>
              <w:widowControl/>
              <w:spacing w:line="240" w:lineRule="auto"/>
              <w:ind w:firstLine="0" w:firstLineChars="0"/>
              <w:jc w:val="center"/>
              <w:rPr>
                <w:color w:val="auto"/>
                <w:kern w:val="0"/>
                <w:sz w:val="21"/>
                <w:szCs w:val="21"/>
              </w:rPr>
            </w:pPr>
          </w:p>
        </w:tc>
        <w:tc>
          <w:tcPr>
            <w:tcW w:w="1145" w:type="pct"/>
            <w:vAlign w:val="center"/>
          </w:tcPr>
          <w:p w14:paraId="17913CD3">
            <w:pPr>
              <w:widowControl/>
              <w:spacing w:line="240" w:lineRule="auto"/>
              <w:ind w:firstLine="0" w:firstLineChars="0"/>
              <w:jc w:val="center"/>
              <w:rPr>
                <w:color w:val="auto"/>
                <w:kern w:val="0"/>
                <w:sz w:val="21"/>
                <w:szCs w:val="21"/>
              </w:rPr>
            </w:pPr>
          </w:p>
        </w:tc>
        <w:tc>
          <w:tcPr>
            <w:tcW w:w="1906" w:type="pct"/>
            <w:vAlign w:val="center"/>
          </w:tcPr>
          <w:p w14:paraId="29964C79">
            <w:pPr>
              <w:widowControl/>
              <w:spacing w:line="240" w:lineRule="auto"/>
              <w:ind w:firstLine="0" w:firstLineChars="0"/>
              <w:jc w:val="center"/>
              <w:rPr>
                <w:color w:val="auto"/>
                <w:kern w:val="0"/>
                <w:sz w:val="21"/>
                <w:szCs w:val="21"/>
              </w:rPr>
            </w:pPr>
          </w:p>
        </w:tc>
        <w:tc>
          <w:tcPr>
            <w:tcW w:w="785" w:type="pct"/>
            <w:vAlign w:val="center"/>
          </w:tcPr>
          <w:p w14:paraId="5122B26C">
            <w:pPr>
              <w:widowControl/>
              <w:spacing w:line="240" w:lineRule="auto"/>
              <w:ind w:firstLine="0" w:firstLineChars="0"/>
              <w:jc w:val="center"/>
              <w:rPr>
                <w:color w:val="auto"/>
                <w:kern w:val="0"/>
                <w:sz w:val="21"/>
                <w:szCs w:val="21"/>
              </w:rPr>
            </w:pPr>
          </w:p>
        </w:tc>
      </w:tr>
      <w:tr w14:paraId="2BE9D33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63767F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71</w:t>
            </w:r>
          </w:p>
        </w:tc>
        <w:tc>
          <w:tcPr>
            <w:tcW w:w="772" w:type="pct"/>
            <w:vMerge w:val="continue"/>
            <w:vAlign w:val="center"/>
          </w:tcPr>
          <w:p w14:paraId="4D533229">
            <w:pPr>
              <w:widowControl/>
              <w:spacing w:line="240" w:lineRule="auto"/>
              <w:ind w:firstLine="0" w:firstLineChars="0"/>
              <w:jc w:val="center"/>
              <w:rPr>
                <w:color w:val="auto"/>
                <w:kern w:val="0"/>
                <w:sz w:val="21"/>
                <w:szCs w:val="21"/>
              </w:rPr>
            </w:pPr>
          </w:p>
        </w:tc>
        <w:tc>
          <w:tcPr>
            <w:tcW w:w="1145" w:type="pct"/>
            <w:vAlign w:val="center"/>
          </w:tcPr>
          <w:p w14:paraId="2DE79F29">
            <w:pPr>
              <w:widowControl/>
              <w:spacing w:line="240" w:lineRule="auto"/>
              <w:ind w:firstLine="0" w:firstLineChars="0"/>
              <w:jc w:val="center"/>
              <w:rPr>
                <w:color w:val="auto"/>
                <w:kern w:val="0"/>
                <w:sz w:val="21"/>
                <w:szCs w:val="21"/>
              </w:rPr>
            </w:pPr>
          </w:p>
        </w:tc>
        <w:tc>
          <w:tcPr>
            <w:tcW w:w="1906" w:type="pct"/>
            <w:vAlign w:val="center"/>
          </w:tcPr>
          <w:p w14:paraId="049B03BA">
            <w:pPr>
              <w:widowControl/>
              <w:spacing w:line="240" w:lineRule="auto"/>
              <w:ind w:firstLine="0" w:firstLineChars="0"/>
              <w:jc w:val="center"/>
              <w:rPr>
                <w:color w:val="auto"/>
                <w:kern w:val="0"/>
                <w:sz w:val="21"/>
                <w:szCs w:val="21"/>
              </w:rPr>
            </w:pPr>
          </w:p>
        </w:tc>
        <w:tc>
          <w:tcPr>
            <w:tcW w:w="785" w:type="pct"/>
            <w:vAlign w:val="center"/>
          </w:tcPr>
          <w:p w14:paraId="525FFD48">
            <w:pPr>
              <w:widowControl/>
              <w:spacing w:line="240" w:lineRule="auto"/>
              <w:ind w:firstLine="0" w:firstLineChars="0"/>
              <w:jc w:val="center"/>
              <w:rPr>
                <w:color w:val="auto"/>
                <w:kern w:val="0"/>
                <w:sz w:val="21"/>
                <w:szCs w:val="21"/>
              </w:rPr>
            </w:pPr>
          </w:p>
        </w:tc>
      </w:tr>
      <w:tr w14:paraId="13B80E3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3434B7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72</w:t>
            </w:r>
          </w:p>
        </w:tc>
        <w:tc>
          <w:tcPr>
            <w:tcW w:w="772" w:type="pct"/>
            <w:vMerge w:val="continue"/>
            <w:vAlign w:val="center"/>
          </w:tcPr>
          <w:p w14:paraId="1F014163">
            <w:pPr>
              <w:widowControl/>
              <w:spacing w:line="240" w:lineRule="auto"/>
              <w:ind w:firstLine="0" w:firstLineChars="0"/>
              <w:jc w:val="center"/>
              <w:rPr>
                <w:color w:val="auto"/>
                <w:kern w:val="0"/>
                <w:sz w:val="21"/>
                <w:szCs w:val="21"/>
              </w:rPr>
            </w:pPr>
          </w:p>
        </w:tc>
        <w:tc>
          <w:tcPr>
            <w:tcW w:w="1145" w:type="pct"/>
            <w:vAlign w:val="center"/>
          </w:tcPr>
          <w:p w14:paraId="3254B332">
            <w:pPr>
              <w:widowControl/>
              <w:spacing w:line="240" w:lineRule="auto"/>
              <w:ind w:firstLine="0" w:firstLineChars="0"/>
              <w:jc w:val="center"/>
              <w:rPr>
                <w:color w:val="auto"/>
                <w:kern w:val="0"/>
                <w:sz w:val="21"/>
                <w:szCs w:val="21"/>
              </w:rPr>
            </w:pPr>
          </w:p>
        </w:tc>
        <w:tc>
          <w:tcPr>
            <w:tcW w:w="1906" w:type="pct"/>
            <w:vAlign w:val="center"/>
          </w:tcPr>
          <w:p w14:paraId="53920884">
            <w:pPr>
              <w:widowControl/>
              <w:spacing w:line="240" w:lineRule="auto"/>
              <w:ind w:firstLine="0" w:firstLineChars="0"/>
              <w:jc w:val="center"/>
              <w:rPr>
                <w:color w:val="auto"/>
                <w:kern w:val="0"/>
                <w:sz w:val="21"/>
                <w:szCs w:val="21"/>
              </w:rPr>
            </w:pPr>
          </w:p>
        </w:tc>
        <w:tc>
          <w:tcPr>
            <w:tcW w:w="785" w:type="pct"/>
            <w:vAlign w:val="center"/>
          </w:tcPr>
          <w:p w14:paraId="05D968D5">
            <w:pPr>
              <w:widowControl/>
              <w:spacing w:line="240" w:lineRule="auto"/>
              <w:ind w:firstLine="0" w:firstLineChars="0"/>
              <w:jc w:val="center"/>
              <w:rPr>
                <w:color w:val="auto"/>
                <w:kern w:val="0"/>
                <w:sz w:val="21"/>
                <w:szCs w:val="21"/>
              </w:rPr>
            </w:pPr>
          </w:p>
        </w:tc>
      </w:tr>
      <w:tr w14:paraId="6D41F2C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A0CCB8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73</w:t>
            </w:r>
          </w:p>
        </w:tc>
        <w:tc>
          <w:tcPr>
            <w:tcW w:w="772" w:type="pct"/>
            <w:vMerge w:val="continue"/>
            <w:vAlign w:val="center"/>
          </w:tcPr>
          <w:p w14:paraId="07A500F2">
            <w:pPr>
              <w:widowControl/>
              <w:spacing w:line="240" w:lineRule="auto"/>
              <w:ind w:firstLine="0" w:firstLineChars="0"/>
              <w:jc w:val="center"/>
              <w:rPr>
                <w:color w:val="auto"/>
                <w:kern w:val="0"/>
                <w:sz w:val="21"/>
                <w:szCs w:val="21"/>
              </w:rPr>
            </w:pPr>
          </w:p>
        </w:tc>
        <w:tc>
          <w:tcPr>
            <w:tcW w:w="1145" w:type="pct"/>
            <w:vAlign w:val="center"/>
          </w:tcPr>
          <w:p w14:paraId="4AD2A1B5">
            <w:pPr>
              <w:widowControl/>
              <w:spacing w:line="240" w:lineRule="auto"/>
              <w:ind w:firstLine="0" w:firstLineChars="0"/>
              <w:jc w:val="center"/>
              <w:rPr>
                <w:color w:val="auto"/>
                <w:kern w:val="0"/>
                <w:sz w:val="21"/>
                <w:szCs w:val="21"/>
              </w:rPr>
            </w:pPr>
          </w:p>
        </w:tc>
        <w:tc>
          <w:tcPr>
            <w:tcW w:w="1906" w:type="pct"/>
            <w:vAlign w:val="center"/>
          </w:tcPr>
          <w:p w14:paraId="26D5A758">
            <w:pPr>
              <w:widowControl/>
              <w:spacing w:line="240" w:lineRule="auto"/>
              <w:ind w:firstLine="0" w:firstLineChars="0"/>
              <w:jc w:val="center"/>
              <w:rPr>
                <w:color w:val="auto"/>
                <w:kern w:val="0"/>
                <w:sz w:val="21"/>
                <w:szCs w:val="21"/>
              </w:rPr>
            </w:pPr>
          </w:p>
        </w:tc>
        <w:tc>
          <w:tcPr>
            <w:tcW w:w="785" w:type="pct"/>
            <w:vAlign w:val="center"/>
          </w:tcPr>
          <w:p w14:paraId="6CA8E579">
            <w:pPr>
              <w:widowControl/>
              <w:spacing w:line="240" w:lineRule="auto"/>
              <w:ind w:firstLine="0" w:firstLineChars="0"/>
              <w:jc w:val="center"/>
              <w:rPr>
                <w:color w:val="auto"/>
                <w:kern w:val="0"/>
                <w:sz w:val="21"/>
                <w:szCs w:val="21"/>
              </w:rPr>
            </w:pPr>
          </w:p>
        </w:tc>
      </w:tr>
      <w:tr w14:paraId="1F7B01C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CCBF96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74</w:t>
            </w:r>
          </w:p>
        </w:tc>
        <w:tc>
          <w:tcPr>
            <w:tcW w:w="772" w:type="pct"/>
            <w:vMerge w:val="continue"/>
            <w:vAlign w:val="center"/>
          </w:tcPr>
          <w:p w14:paraId="5E1EE921">
            <w:pPr>
              <w:widowControl/>
              <w:spacing w:line="240" w:lineRule="auto"/>
              <w:ind w:firstLine="0" w:firstLineChars="0"/>
              <w:jc w:val="center"/>
              <w:rPr>
                <w:color w:val="auto"/>
                <w:kern w:val="0"/>
                <w:sz w:val="21"/>
                <w:szCs w:val="21"/>
              </w:rPr>
            </w:pPr>
          </w:p>
        </w:tc>
        <w:tc>
          <w:tcPr>
            <w:tcW w:w="1145" w:type="pct"/>
            <w:vAlign w:val="center"/>
          </w:tcPr>
          <w:p w14:paraId="31D96ED2">
            <w:pPr>
              <w:widowControl/>
              <w:spacing w:line="240" w:lineRule="auto"/>
              <w:ind w:firstLine="0" w:firstLineChars="0"/>
              <w:jc w:val="center"/>
              <w:rPr>
                <w:color w:val="auto"/>
                <w:kern w:val="0"/>
                <w:sz w:val="21"/>
                <w:szCs w:val="21"/>
              </w:rPr>
            </w:pPr>
          </w:p>
        </w:tc>
        <w:tc>
          <w:tcPr>
            <w:tcW w:w="1906" w:type="pct"/>
            <w:vAlign w:val="center"/>
          </w:tcPr>
          <w:p w14:paraId="3605BE75">
            <w:pPr>
              <w:widowControl/>
              <w:spacing w:line="240" w:lineRule="auto"/>
              <w:ind w:firstLine="0" w:firstLineChars="0"/>
              <w:jc w:val="center"/>
              <w:rPr>
                <w:color w:val="auto"/>
                <w:kern w:val="0"/>
                <w:sz w:val="21"/>
                <w:szCs w:val="21"/>
              </w:rPr>
            </w:pPr>
          </w:p>
        </w:tc>
        <w:tc>
          <w:tcPr>
            <w:tcW w:w="785" w:type="pct"/>
            <w:vAlign w:val="center"/>
          </w:tcPr>
          <w:p w14:paraId="6BF640E0">
            <w:pPr>
              <w:widowControl/>
              <w:spacing w:line="240" w:lineRule="auto"/>
              <w:ind w:firstLine="0" w:firstLineChars="0"/>
              <w:jc w:val="center"/>
              <w:rPr>
                <w:color w:val="auto"/>
                <w:kern w:val="0"/>
                <w:sz w:val="21"/>
                <w:szCs w:val="21"/>
              </w:rPr>
            </w:pPr>
          </w:p>
        </w:tc>
      </w:tr>
      <w:tr w14:paraId="3ACE03B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E991B2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75</w:t>
            </w:r>
          </w:p>
        </w:tc>
        <w:tc>
          <w:tcPr>
            <w:tcW w:w="772" w:type="pct"/>
            <w:vMerge w:val="continue"/>
            <w:vAlign w:val="center"/>
          </w:tcPr>
          <w:p w14:paraId="4D009FBB">
            <w:pPr>
              <w:widowControl/>
              <w:spacing w:line="240" w:lineRule="auto"/>
              <w:ind w:firstLine="0" w:firstLineChars="0"/>
              <w:jc w:val="center"/>
              <w:rPr>
                <w:color w:val="auto"/>
                <w:kern w:val="0"/>
                <w:sz w:val="21"/>
                <w:szCs w:val="21"/>
              </w:rPr>
            </w:pPr>
          </w:p>
        </w:tc>
        <w:tc>
          <w:tcPr>
            <w:tcW w:w="1145" w:type="pct"/>
            <w:vAlign w:val="center"/>
          </w:tcPr>
          <w:p w14:paraId="48415850">
            <w:pPr>
              <w:widowControl/>
              <w:spacing w:line="240" w:lineRule="auto"/>
              <w:ind w:firstLine="0" w:firstLineChars="0"/>
              <w:jc w:val="center"/>
              <w:rPr>
                <w:color w:val="auto"/>
                <w:kern w:val="0"/>
                <w:sz w:val="21"/>
                <w:szCs w:val="21"/>
              </w:rPr>
            </w:pPr>
          </w:p>
        </w:tc>
        <w:tc>
          <w:tcPr>
            <w:tcW w:w="1906" w:type="pct"/>
            <w:vAlign w:val="center"/>
          </w:tcPr>
          <w:p w14:paraId="243763A3">
            <w:pPr>
              <w:widowControl/>
              <w:spacing w:line="240" w:lineRule="auto"/>
              <w:ind w:firstLine="0" w:firstLineChars="0"/>
              <w:jc w:val="center"/>
              <w:rPr>
                <w:color w:val="auto"/>
                <w:kern w:val="0"/>
                <w:sz w:val="21"/>
                <w:szCs w:val="21"/>
              </w:rPr>
            </w:pPr>
          </w:p>
        </w:tc>
        <w:tc>
          <w:tcPr>
            <w:tcW w:w="785" w:type="pct"/>
            <w:vAlign w:val="center"/>
          </w:tcPr>
          <w:p w14:paraId="02959A89">
            <w:pPr>
              <w:widowControl/>
              <w:spacing w:line="240" w:lineRule="auto"/>
              <w:ind w:firstLine="0" w:firstLineChars="0"/>
              <w:jc w:val="center"/>
              <w:rPr>
                <w:color w:val="auto"/>
                <w:kern w:val="0"/>
                <w:sz w:val="21"/>
                <w:szCs w:val="21"/>
              </w:rPr>
            </w:pPr>
          </w:p>
        </w:tc>
      </w:tr>
      <w:tr w14:paraId="7B1EAE7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3E599AF">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76</w:t>
            </w:r>
          </w:p>
        </w:tc>
        <w:tc>
          <w:tcPr>
            <w:tcW w:w="772" w:type="pct"/>
            <w:vMerge w:val="continue"/>
            <w:vAlign w:val="center"/>
          </w:tcPr>
          <w:p w14:paraId="365BC982">
            <w:pPr>
              <w:widowControl/>
              <w:spacing w:line="240" w:lineRule="auto"/>
              <w:ind w:firstLine="0" w:firstLineChars="0"/>
              <w:jc w:val="center"/>
              <w:rPr>
                <w:color w:val="auto"/>
                <w:kern w:val="0"/>
                <w:sz w:val="21"/>
                <w:szCs w:val="21"/>
              </w:rPr>
            </w:pPr>
          </w:p>
        </w:tc>
        <w:tc>
          <w:tcPr>
            <w:tcW w:w="1145" w:type="pct"/>
            <w:vAlign w:val="center"/>
          </w:tcPr>
          <w:p w14:paraId="573C4865">
            <w:pPr>
              <w:widowControl/>
              <w:spacing w:line="240" w:lineRule="auto"/>
              <w:ind w:firstLine="0" w:firstLineChars="0"/>
              <w:jc w:val="center"/>
              <w:rPr>
                <w:color w:val="auto"/>
                <w:kern w:val="0"/>
                <w:sz w:val="21"/>
                <w:szCs w:val="21"/>
              </w:rPr>
            </w:pPr>
          </w:p>
        </w:tc>
        <w:tc>
          <w:tcPr>
            <w:tcW w:w="1906" w:type="pct"/>
            <w:vAlign w:val="center"/>
          </w:tcPr>
          <w:p w14:paraId="65B8ABB1">
            <w:pPr>
              <w:widowControl/>
              <w:spacing w:line="240" w:lineRule="auto"/>
              <w:ind w:firstLine="0" w:firstLineChars="0"/>
              <w:jc w:val="center"/>
              <w:rPr>
                <w:color w:val="auto"/>
                <w:kern w:val="0"/>
                <w:sz w:val="21"/>
                <w:szCs w:val="21"/>
              </w:rPr>
            </w:pPr>
          </w:p>
        </w:tc>
        <w:tc>
          <w:tcPr>
            <w:tcW w:w="785" w:type="pct"/>
            <w:vAlign w:val="center"/>
          </w:tcPr>
          <w:p w14:paraId="721F5B6B">
            <w:pPr>
              <w:widowControl/>
              <w:spacing w:line="240" w:lineRule="auto"/>
              <w:ind w:firstLine="0" w:firstLineChars="0"/>
              <w:jc w:val="center"/>
              <w:rPr>
                <w:color w:val="auto"/>
                <w:kern w:val="0"/>
                <w:sz w:val="21"/>
                <w:szCs w:val="21"/>
              </w:rPr>
            </w:pPr>
          </w:p>
        </w:tc>
      </w:tr>
      <w:tr w14:paraId="12E21B0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6749466">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77</w:t>
            </w:r>
          </w:p>
        </w:tc>
        <w:tc>
          <w:tcPr>
            <w:tcW w:w="772" w:type="pct"/>
            <w:vMerge w:val="continue"/>
            <w:vAlign w:val="center"/>
          </w:tcPr>
          <w:p w14:paraId="6396B71F">
            <w:pPr>
              <w:widowControl/>
              <w:spacing w:line="240" w:lineRule="auto"/>
              <w:ind w:firstLine="0" w:firstLineChars="0"/>
              <w:jc w:val="center"/>
              <w:rPr>
                <w:color w:val="auto"/>
                <w:kern w:val="0"/>
                <w:sz w:val="21"/>
                <w:szCs w:val="21"/>
              </w:rPr>
            </w:pPr>
          </w:p>
        </w:tc>
        <w:tc>
          <w:tcPr>
            <w:tcW w:w="1145" w:type="pct"/>
            <w:vAlign w:val="center"/>
          </w:tcPr>
          <w:p w14:paraId="17664322">
            <w:pPr>
              <w:widowControl/>
              <w:spacing w:line="240" w:lineRule="auto"/>
              <w:ind w:firstLine="0" w:firstLineChars="0"/>
              <w:jc w:val="center"/>
              <w:rPr>
                <w:color w:val="auto"/>
                <w:kern w:val="0"/>
                <w:sz w:val="21"/>
                <w:szCs w:val="21"/>
              </w:rPr>
            </w:pPr>
          </w:p>
        </w:tc>
        <w:tc>
          <w:tcPr>
            <w:tcW w:w="1906" w:type="pct"/>
            <w:vAlign w:val="center"/>
          </w:tcPr>
          <w:p w14:paraId="2EDD732C">
            <w:pPr>
              <w:widowControl/>
              <w:spacing w:line="240" w:lineRule="auto"/>
              <w:ind w:firstLine="0" w:firstLineChars="0"/>
              <w:jc w:val="center"/>
              <w:rPr>
                <w:color w:val="auto"/>
                <w:kern w:val="0"/>
                <w:sz w:val="21"/>
                <w:szCs w:val="21"/>
              </w:rPr>
            </w:pPr>
          </w:p>
        </w:tc>
        <w:tc>
          <w:tcPr>
            <w:tcW w:w="785" w:type="pct"/>
            <w:vAlign w:val="center"/>
          </w:tcPr>
          <w:p w14:paraId="7FC6D419">
            <w:pPr>
              <w:widowControl/>
              <w:spacing w:line="240" w:lineRule="auto"/>
              <w:ind w:firstLine="0" w:firstLineChars="0"/>
              <w:jc w:val="center"/>
              <w:rPr>
                <w:color w:val="auto"/>
                <w:kern w:val="0"/>
                <w:sz w:val="21"/>
                <w:szCs w:val="21"/>
              </w:rPr>
            </w:pPr>
          </w:p>
        </w:tc>
      </w:tr>
      <w:tr w14:paraId="3F94EFD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8CA3635">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78</w:t>
            </w:r>
          </w:p>
        </w:tc>
        <w:tc>
          <w:tcPr>
            <w:tcW w:w="772" w:type="pct"/>
            <w:vMerge w:val="continue"/>
            <w:vAlign w:val="center"/>
          </w:tcPr>
          <w:p w14:paraId="333F9EEC">
            <w:pPr>
              <w:widowControl/>
              <w:spacing w:line="240" w:lineRule="auto"/>
              <w:ind w:firstLine="0" w:firstLineChars="0"/>
              <w:jc w:val="center"/>
              <w:rPr>
                <w:color w:val="auto"/>
                <w:kern w:val="0"/>
                <w:sz w:val="21"/>
                <w:szCs w:val="21"/>
              </w:rPr>
            </w:pPr>
          </w:p>
        </w:tc>
        <w:tc>
          <w:tcPr>
            <w:tcW w:w="1145" w:type="pct"/>
            <w:vAlign w:val="center"/>
          </w:tcPr>
          <w:p w14:paraId="7891FEE8">
            <w:pPr>
              <w:widowControl/>
              <w:spacing w:line="240" w:lineRule="auto"/>
              <w:ind w:firstLine="0" w:firstLineChars="0"/>
              <w:jc w:val="center"/>
              <w:rPr>
                <w:color w:val="auto"/>
                <w:kern w:val="0"/>
                <w:sz w:val="21"/>
                <w:szCs w:val="21"/>
              </w:rPr>
            </w:pPr>
          </w:p>
        </w:tc>
        <w:tc>
          <w:tcPr>
            <w:tcW w:w="1906" w:type="pct"/>
            <w:vAlign w:val="center"/>
          </w:tcPr>
          <w:p w14:paraId="7F7081BB">
            <w:pPr>
              <w:widowControl/>
              <w:spacing w:line="240" w:lineRule="auto"/>
              <w:ind w:firstLine="0" w:firstLineChars="0"/>
              <w:jc w:val="center"/>
              <w:rPr>
                <w:color w:val="auto"/>
                <w:kern w:val="0"/>
                <w:sz w:val="21"/>
                <w:szCs w:val="21"/>
              </w:rPr>
            </w:pPr>
          </w:p>
        </w:tc>
        <w:tc>
          <w:tcPr>
            <w:tcW w:w="785" w:type="pct"/>
            <w:vAlign w:val="center"/>
          </w:tcPr>
          <w:p w14:paraId="3F89A7C0">
            <w:pPr>
              <w:widowControl/>
              <w:spacing w:line="240" w:lineRule="auto"/>
              <w:ind w:firstLine="0" w:firstLineChars="0"/>
              <w:jc w:val="center"/>
              <w:rPr>
                <w:color w:val="auto"/>
                <w:kern w:val="0"/>
                <w:sz w:val="21"/>
                <w:szCs w:val="21"/>
              </w:rPr>
            </w:pPr>
          </w:p>
        </w:tc>
      </w:tr>
      <w:tr w14:paraId="3C3ABC1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C909D9C">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79</w:t>
            </w:r>
          </w:p>
        </w:tc>
        <w:tc>
          <w:tcPr>
            <w:tcW w:w="772" w:type="pct"/>
            <w:vMerge w:val="continue"/>
            <w:vAlign w:val="center"/>
          </w:tcPr>
          <w:p w14:paraId="58113DD8">
            <w:pPr>
              <w:widowControl/>
              <w:spacing w:line="240" w:lineRule="auto"/>
              <w:ind w:firstLine="0" w:firstLineChars="0"/>
              <w:jc w:val="center"/>
              <w:rPr>
                <w:color w:val="auto"/>
                <w:kern w:val="0"/>
                <w:sz w:val="21"/>
                <w:szCs w:val="21"/>
              </w:rPr>
            </w:pPr>
          </w:p>
        </w:tc>
        <w:tc>
          <w:tcPr>
            <w:tcW w:w="1145" w:type="pct"/>
            <w:vAlign w:val="center"/>
          </w:tcPr>
          <w:p w14:paraId="11C24E7B">
            <w:pPr>
              <w:widowControl/>
              <w:spacing w:line="240" w:lineRule="auto"/>
              <w:ind w:firstLine="0" w:firstLineChars="0"/>
              <w:jc w:val="center"/>
              <w:rPr>
                <w:color w:val="auto"/>
                <w:kern w:val="0"/>
                <w:sz w:val="21"/>
                <w:szCs w:val="21"/>
              </w:rPr>
            </w:pPr>
          </w:p>
        </w:tc>
        <w:tc>
          <w:tcPr>
            <w:tcW w:w="1906" w:type="pct"/>
            <w:vAlign w:val="center"/>
          </w:tcPr>
          <w:p w14:paraId="18B4F4A9">
            <w:pPr>
              <w:widowControl/>
              <w:spacing w:line="240" w:lineRule="auto"/>
              <w:ind w:firstLine="0" w:firstLineChars="0"/>
              <w:jc w:val="center"/>
              <w:rPr>
                <w:color w:val="auto"/>
                <w:kern w:val="0"/>
                <w:sz w:val="21"/>
                <w:szCs w:val="21"/>
              </w:rPr>
            </w:pPr>
          </w:p>
        </w:tc>
        <w:tc>
          <w:tcPr>
            <w:tcW w:w="785" w:type="pct"/>
            <w:vAlign w:val="center"/>
          </w:tcPr>
          <w:p w14:paraId="44BFA3A2">
            <w:pPr>
              <w:widowControl/>
              <w:spacing w:line="240" w:lineRule="auto"/>
              <w:ind w:firstLine="0" w:firstLineChars="0"/>
              <w:jc w:val="center"/>
              <w:rPr>
                <w:color w:val="auto"/>
                <w:kern w:val="0"/>
                <w:sz w:val="21"/>
                <w:szCs w:val="21"/>
              </w:rPr>
            </w:pPr>
          </w:p>
        </w:tc>
      </w:tr>
      <w:tr w14:paraId="519068B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860BD26">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80</w:t>
            </w:r>
          </w:p>
        </w:tc>
        <w:tc>
          <w:tcPr>
            <w:tcW w:w="772" w:type="pct"/>
            <w:vMerge w:val="continue"/>
            <w:vAlign w:val="center"/>
          </w:tcPr>
          <w:p w14:paraId="47D5BBE9">
            <w:pPr>
              <w:widowControl/>
              <w:spacing w:line="240" w:lineRule="auto"/>
              <w:ind w:firstLine="0" w:firstLineChars="0"/>
              <w:jc w:val="center"/>
              <w:rPr>
                <w:color w:val="auto"/>
                <w:kern w:val="0"/>
                <w:sz w:val="21"/>
                <w:szCs w:val="21"/>
              </w:rPr>
            </w:pPr>
          </w:p>
        </w:tc>
        <w:tc>
          <w:tcPr>
            <w:tcW w:w="1145" w:type="pct"/>
            <w:vAlign w:val="center"/>
          </w:tcPr>
          <w:p w14:paraId="53B71055">
            <w:pPr>
              <w:widowControl/>
              <w:spacing w:line="240" w:lineRule="auto"/>
              <w:ind w:firstLine="0" w:firstLineChars="0"/>
              <w:jc w:val="center"/>
              <w:rPr>
                <w:color w:val="auto"/>
                <w:kern w:val="0"/>
                <w:sz w:val="21"/>
                <w:szCs w:val="21"/>
              </w:rPr>
            </w:pPr>
          </w:p>
        </w:tc>
        <w:tc>
          <w:tcPr>
            <w:tcW w:w="1906" w:type="pct"/>
            <w:vAlign w:val="center"/>
          </w:tcPr>
          <w:p w14:paraId="0D586FB2">
            <w:pPr>
              <w:widowControl/>
              <w:spacing w:line="240" w:lineRule="auto"/>
              <w:ind w:firstLine="0" w:firstLineChars="0"/>
              <w:jc w:val="center"/>
              <w:rPr>
                <w:color w:val="auto"/>
                <w:kern w:val="0"/>
                <w:sz w:val="21"/>
                <w:szCs w:val="21"/>
              </w:rPr>
            </w:pPr>
          </w:p>
        </w:tc>
        <w:tc>
          <w:tcPr>
            <w:tcW w:w="785" w:type="pct"/>
            <w:vAlign w:val="center"/>
          </w:tcPr>
          <w:p w14:paraId="09CB52D2">
            <w:pPr>
              <w:widowControl/>
              <w:spacing w:line="240" w:lineRule="auto"/>
              <w:ind w:firstLine="0" w:firstLineChars="0"/>
              <w:jc w:val="center"/>
              <w:rPr>
                <w:color w:val="auto"/>
                <w:kern w:val="0"/>
                <w:sz w:val="21"/>
                <w:szCs w:val="21"/>
              </w:rPr>
            </w:pPr>
          </w:p>
        </w:tc>
      </w:tr>
      <w:tr w14:paraId="6F40284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39C28BE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81</w:t>
            </w:r>
          </w:p>
        </w:tc>
        <w:tc>
          <w:tcPr>
            <w:tcW w:w="772" w:type="pct"/>
            <w:vMerge w:val="continue"/>
            <w:vAlign w:val="center"/>
          </w:tcPr>
          <w:p w14:paraId="25EB2022">
            <w:pPr>
              <w:widowControl/>
              <w:spacing w:line="240" w:lineRule="auto"/>
              <w:ind w:firstLine="0" w:firstLineChars="0"/>
              <w:jc w:val="center"/>
              <w:rPr>
                <w:color w:val="auto"/>
                <w:kern w:val="0"/>
                <w:sz w:val="21"/>
                <w:szCs w:val="21"/>
              </w:rPr>
            </w:pPr>
          </w:p>
        </w:tc>
        <w:tc>
          <w:tcPr>
            <w:tcW w:w="1145" w:type="pct"/>
            <w:vAlign w:val="center"/>
          </w:tcPr>
          <w:p w14:paraId="5795714D">
            <w:pPr>
              <w:widowControl/>
              <w:spacing w:line="240" w:lineRule="auto"/>
              <w:ind w:firstLine="0" w:firstLineChars="0"/>
              <w:jc w:val="center"/>
              <w:rPr>
                <w:color w:val="auto"/>
                <w:kern w:val="0"/>
                <w:sz w:val="21"/>
                <w:szCs w:val="21"/>
              </w:rPr>
            </w:pPr>
          </w:p>
        </w:tc>
        <w:tc>
          <w:tcPr>
            <w:tcW w:w="1906" w:type="pct"/>
            <w:vAlign w:val="center"/>
          </w:tcPr>
          <w:p w14:paraId="7421EE6E">
            <w:pPr>
              <w:widowControl/>
              <w:spacing w:line="240" w:lineRule="auto"/>
              <w:ind w:firstLine="0" w:firstLineChars="0"/>
              <w:jc w:val="center"/>
              <w:rPr>
                <w:color w:val="auto"/>
                <w:kern w:val="0"/>
                <w:sz w:val="21"/>
                <w:szCs w:val="21"/>
              </w:rPr>
            </w:pPr>
          </w:p>
        </w:tc>
        <w:tc>
          <w:tcPr>
            <w:tcW w:w="785" w:type="pct"/>
            <w:vAlign w:val="center"/>
          </w:tcPr>
          <w:p w14:paraId="2B4E1F4E">
            <w:pPr>
              <w:widowControl/>
              <w:spacing w:line="240" w:lineRule="auto"/>
              <w:ind w:firstLine="0" w:firstLineChars="0"/>
              <w:jc w:val="center"/>
              <w:rPr>
                <w:color w:val="auto"/>
                <w:kern w:val="0"/>
                <w:sz w:val="21"/>
                <w:szCs w:val="21"/>
              </w:rPr>
            </w:pPr>
          </w:p>
        </w:tc>
      </w:tr>
      <w:tr w14:paraId="1A59928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trHeight w:val="60" w:hRule="atLeast"/>
          <w:tblHeader/>
          <w:jc w:val="center"/>
        </w:trPr>
        <w:tc>
          <w:tcPr>
            <w:tcW w:w="389" w:type="pct"/>
            <w:vAlign w:val="center"/>
          </w:tcPr>
          <w:p w14:paraId="22EE2E8A">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82</w:t>
            </w:r>
          </w:p>
        </w:tc>
        <w:tc>
          <w:tcPr>
            <w:tcW w:w="772" w:type="pct"/>
            <w:vMerge w:val="continue"/>
            <w:vAlign w:val="center"/>
          </w:tcPr>
          <w:p w14:paraId="5494DA14">
            <w:pPr>
              <w:widowControl/>
              <w:spacing w:line="240" w:lineRule="auto"/>
              <w:ind w:firstLine="0" w:firstLineChars="0"/>
              <w:jc w:val="center"/>
              <w:rPr>
                <w:color w:val="auto"/>
                <w:kern w:val="0"/>
                <w:sz w:val="21"/>
                <w:szCs w:val="21"/>
              </w:rPr>
            </w:pPr>
          </w:p>
        </w:tc>
        <w:tc>
          <w:tcPr>
            <w:tcW w:w="1145" w:type="pct"/>
            <w:vAlign w:val="center"/>
          </w:tcPr>
          <w:p w14:paraId="26EB59F4">
            <w:pPr>
              <w:widowControl/>
              <w:spacing w:line="240" w:lineRule="auto"/>
              <w:ind w:firstLine="0" w:firstLineChars="0"/>
              <w:jc w:val="center"/>
              <w:rPr>
                <w:color w:val="auto"/>
                <w:kern w:val="0"/>
                <w:sz w:val="21"/>
                <w:szCs w:val="21"/>
              </w:rPr>
            </w:pPr>
          </w:p>
        </w:tc>
        <w:tc>
          <w:tcPr>
            <w:tcW w:w="1906" w:type="pct"/>
            <w:vAlign w:val="center"/>
          </w:tcPr>
          <w:p w14:paraId="1B0C3280">
            <w:pPr>
              <w:widowControl/>
              <w:spacing w:line="240" w:lineRule="auto"/>
              <w:ind w:firstLine="0" w:firstLineChars="0"/>
              <w:jc w:val="center"/>
              <w:rPr>
                <w:color w:val="auto"/>
                <w:kern w:val="0"/>
                <w:sz w:val="21"/>
                <w:szCs w:val="21"/>
              </w:rPr>
            </w:pPr>
          </w:p>
        </w:tc>
        <w:tc>
          <w:tcPr>
            <w:tcW w:w="785" w:type="pct"/>
            <w:vAlign w:val="center"/>
          </w:tcPr>
          <w:p w14:paraId="122FE282">
            <w:pPr>
              <w:widowControl/>
              <w:spacing w:line="240" w:lineRule="auto"/>
              <w:ind w:firstLine="0" w:firstLineChars="0"/>
              <w:jc w:val="center"/>
              <w:rPr>
                <w:color w:val="auto"/>
                <w:kern w:val="0"/>
                <w:sz w:val="21"/>
                <w:szCs w:val="21"/>
              </w:rPr>
            </w:pPr>
          </w:p>
        </w:tc>
      </w:tr>
      <w:tr w14:paraId="291EC58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EC5413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83</w:t>
            </w:r>
          </w:p>
        </w:tc>
        <w:tc>
          <w:tcPr>
            <w:tcW w:w="772" w:type="pct"/>
            <w:vMerge w:val="continue"/>
            <w:vAlign w:val="center"/>
          </w:tcPr>
          <w:p w14:paraId="0EE7B729">
            <w:pPr>
              <w:widowControl/>
              <w:spacing w:line="240" w:lineRule="auto"/>
              <w:ind w:firstLine="0" w:firstLineChars="0"/>
              <w:jc w:val="center"/>
              <w:rPr>
                <w:color w:val="auto"/>
                <w:kern w:val="0"/>
                <w:sz w:val="21"/>
                <w:szCs w:val="21"/>
              </w:rPr>
            </w:pPr>
          </w:p>
        </w:tc>
        <w:tc>
          <w:tcPr>
            <w:tcW w:w="1145" w:type="pct"/>
            <w:vAlign w:val="center"/>
          </w:tcPr>
          <w:p w14:paraId="6786D2A5">
            <w:pPr>
              <w:widowControl/>
              <w:spacing w:line="240" w:lineRule="auto"/>
              <w:ind w:firstLine="0" w:firstLineChars="0"/>
              <w:jc w:val="center"/>
              <w:rPr>
                <w:color w:val="auto"/>
                <w:kern w:val="0"/>
                <w:sz w:val="21"/>
                <w:szCs w:val="21"/>
              </w:rPr>
            </w:pPr>
          </w:p>
        </w:tc>
        <w:tc>
          <w:tcPr>
            <w:tcW w:w="1906" w:type="pct"/>
            <w:vAlign w:val="center"/>
          </w:tcPr>
          <w:p w14:paraId="0D8DF051">
            <w:pPr>
              <w:widowControl/>
              <w:spacing w:line="240" w:lineRule="auto"/>
              <w:ind w:firstLine="0" w:firstLineChars="0"/>
              <w:jc w:val="center"/>
              <w:rPr>
                <w:color w:val="auto"/>
                <w:kern w:val="0"/>
                <w:sz w:val="21"/>
                <w:szCs w:val="21"/>
              </w:rPr>
            </w:pPr>
          </w:p>
        </w:tc>
        <w:tc>
          <w:tcPr>
            <w:tcW w:w="785" w:type="pct"/>
            <w:vAlign w:val="center"/>
          </w:tcPr>
          <w:p w14:paraId="7401737B">
            <w:pPr>
              <w:widowControl/>
              <w:spacing w:line="240" w:lineRule="auto"/>
              <w:ind w:firstLine="0" w:firstLineChars="0"/>
              <w:jc w:val="center"/>
              <w:rPr>
                <w:color w:val="auto"/>
                <w:kern w:val="0"/>
                <w:sz w:val="21"/>
                <w:szCs w:val="21"/>
              </w:rPr>
            </w:pPr>
          </w:p>
        </w:tc>
      </w:tr>
      <w:tr w14:paraId="2314789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C9BA3B5">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84</w:t>
            </w:r>
          </w:p>
        </w:tc>
        <w:tc>
          <w:tcPr>
            <w:tcW w:w="772" w:type="pct"/>
            <w:vMerge w:val="continue"/>
            <w:vAlign w:val="center"/>
          </w:tcPr>
          <w:p w14:paraId="31207648">
            <w:pPr>
              <w:widowControl/>
              <w:spacing w:line="240" w:lineRule="auto"/>
              <w:ind w:firstLine="0" w:firstLineChars="0"/>
              <w:jc w:val="center"/>
              <w:rPr>
                <w:color w:val="auto"/>
                <w:kern w:val="0"/>
                <w:sz w:val="21"/>
                <w:szCs w:val="21"/>
              </w:rPr>
            </w:pPr>
          </w:p>
        </w:tc>
        <w:tc>
          <w:tcPr>
            <w:tcW w:w="1145" w:type="pct"/>
            <w:vAlign w:val="center"/>
          </w:tcPr>
          <w:p w14:paraId="4AB33F49">
            <w:pPr>
              <w:widowControl/>
              <w:spacing w:line="240" w:lineRule="auto"/>
              <w:ind w:firstLine="0" w:firstLineChars="0"/>
              <w:jc w:val="center"/>
              <w:rPr>
                <w:color w:val="auto"/>
                <w:kern w:val="0"/>
                <w:sz w:val="21"/>
                <w:szCs w:val="21"/>
              </w:rPr>
            </w:pPr>
          </w:p>
        </w:tc>
        <w:tc>
          <w:tcPr>
            <w:tcW w:w="1906" w:type="pct"/>
            <w:vAlign w:val="center"/>
          </w:tcPr>
          <w:p w14:paraId="05EEB580">
            <w:pPr>
              <w:widowControl/>
              <w:spacing w:line="240" w:lineRule="auto"/>
              <w:ind w:firstLine="0" w:firstLineChars="0"/>
              <w:jc w:val="center"/>
              <w:rPr>
                <w:color w:val="auto"/>
                <w:kern w:val="0"/>
                <w:sz w:val="21"/>
                <w:szCs w:val="21"/>
              </w:rPr>
            </w:pPr>
          </w:p>
        </w:tc>
        <w:tc>
          <w:tcPr>
            <w:tcW w:w="785" w:type="pct"/>
            <w:vAlign w:val="center"/>
          </w:tcPr>
          <w:p w14:paraId="7AE4EF92">
            <w:pPr>
              <w:widowControl/>
              <w:spacing w:line="240" w:lineRule="auto"/>
              <w:ind w:firstLine="0" w:firstLineChars="0"/>
              <w:jc w:val="center"/>
              <w:rPr>
                <w:color w:val="auto"/>
                <w:kern w:val="0"/>
                <w:sz w:val="21"/>
                <w:szCs w:val="21"/>
              </w:rPr>
            </w:pPr>
          </w:p>
        </w:tc>
      </w:tr>
      <w:tr w14:paraId="11F0564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0AE3997">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85</w:t>
            </w:r>
          </w:p>
        </w:tc>
        <w:tc>
          <w:tcPr>
            <w:tcW w:w="772" w:type="pct"/>
            <w:vMerge w:val="continue"/>
            <w:vAlign w:val="center"/>
          </w:tcPr>
          <w:p w14:paraId="6C0B0F0F">
            <w:pPr>
              <w:widowControl/>
              <w:spacing w:line="240" w:lineRule="auto"/>
              <w:ind w:firstLine="0" w:firstLineChars="0"/>
              <w:jc w:val="center"/>
              <w:rPr>
                <w:color w:val="auto"/>
                <w:kern w:val="0"/>
                <w:sz w:val="21"/>
                <w:szCs w:val="21"/>
              </w:rPr>
            </w:pPr>
          </w:p>
        </w:tc>
        <w:tc>
          <w:tcPr>
            <w:tcW w:w="1145" w:type="pct"/>
            <w:vAlign w:val="center"/>
          </w:tcPr>
          <w:p w14:paraId="384F118A">
            <w:pPr>
              <w:widowControl/>
              <w:spacing w:line="240" w:lineRule="auto"/>
              <w:ind w:firstLine="0" w:firstLineChars="0"/>
              <w:jc w:val="center"/>
              <w:rPr>
                <w:color w:val="auto"/>
                <w:kern w:val="0"/>
                <w:sz w:val="21"/>
                <w:szCs w:val="21"/>
              </w:rPr>
            </w:pPr>
          </w:p>
        </w:tc>
        <w:tc>
          <w:tcPr>
            <w:tcW w:w="1906" w:type="pct"/>
            <w:vAlign w:val="center"/>
          </w:tcPr>
          <w:p w14:paraId="43BCBE33">
            <w:pPr>
              <w:widowControl/>
              <w:spacing w:line="240" w:lineRule="auto"/>
              <w:ind w:firstLine="0" w:firstLineChars="0"/>
              <w:jc w:val="center"/>
              <w:rPr>
                <w:color w:val="auto"/>
                <w:kern w:val="0"/>
                <w:sz w:val="21"/>
                <w:szCs w:val="21"/>
              </w:rPr>
            </w:pPr>
          </w:p>
        </w:tc>
        <w:tc>
          <w:tcPr>
            <w:tcW w:w="785" w:type="pct"/>
            <w:vAlign w:val="center"/>
          </w:tcPr>
          <w:p w14:paraId="052D8BB9">
            <w:pPr>
              <w:widowControl/>
              <w:spacing w:line="240" w:lineRule="auto"/>
              <w:ind w:firstLine="0" w:firstLineChars="0"/>
              <w:jc w:val="center"/>
              <w:rPr>
                <w:color w:val="auto"/>
                <w:kern w:val="0"/>
                <w:sz w:val="21"/>
                <w:szCs w:val="21"/>
              </w:rPr>
            </w:pPr>
          </w:p>
        </w:tc>
      </w:tr>
      <w:tr w14:paraId="55FD886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3DFF7143">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86</w:t>
            </w:r>
          </w:p>
        </w:tc>
        <w:tc>
          <w:tcPr>
            <w:tcW w:w="772" w:type="pct"/>
            <w:vMerge w:val="continue"/>
            <w:vAlign w:val="center"/>
          </w:tcPr>
          <w:p w14:paraId="5124627E">
            <w:pPr>
              <w:widowControl/>
              <w:spacing w:line="240" w:lineRule="auto"/>
              <w:ind w:firstLine="0" w:firstLineChars="0"/>
              <w:jc w:val="center"/>
              <w:rPr>
                <w:color w:val="auto"/>
                <w:kern w:val="0"/>
                <w:sz w:val="21"/>
                <w:szCs w:val="21"/>
              </w:rPr>
            </w:pPr>
          </w:p>
        </w:tc>
        <w:tc>
          <w:tcPr>
            <w:tcW w:w="1145" w:type="pct"/>
            <w:vAlign w:val="center"/>
          </w:tcPr>
          <w:p w14:paraId="5A2FB387">
            <w:pPr>
              <w:widowControl/>
              <w:spacing w:line="240" w:lineRule="auto"/>
              <w:ind w:firstLine="0" w:firstLineChars="0"/>
              <w:jc w:val="center"/>
              <w:rPr>
                <w:color w:val="auto"/>
                <w:kern w:val="0"/>
                <w:sz w:val="21"/>
                <w:szCs w:val="21"/>
              </w:rPr>
            </w:pPr>
          </w:p>
        </w:tc>
        <w:tc>
          <w:tcPr>
            <w:tcW w:w="1906" w:type="pct"/>
            <w:vAlign w:val="center"/>
          </w:tcPr>
          <w:p w14:paraId="5D7F67E2">
            <w:pPr>
              <w:widowControl/>
              <w:spacing w:line="240" w:lineRule="auto"/>
              <w:ind w:firstLine="0" w:firstLineChars="0"/>
              <w:jc w:val="center"/>
              <w:rPr>
                <w:color w:val="auto"/>
                <w:kern w:val="0"/>
                <w:sz w:val="21"/>
                <w:szCs w:val="21"/>
              </w:rPr>
            </w:pPr>
          </w:p>
        </w:tc>
        <w:tc>
          <w:tcPr>
            <w:tcW w:w="785" w:type="pct"/>
            <w:vAlign w:val="center"/>
          </w:tcPr>
          <w:p w14:paraId="6E2E836B">
            <w:pPr>
              <w:widowControl/>
              <w:spacing w:line="240" w:lineRule="auto"/>
              <w:ind w:firstLine="0" w:firstLineChars="0"/>
              <w:jc w:val="center"/>
              <w:rPr>
                <w:color w:val="auto"/>
                <w:kern w:val="0"/>
                <w:sz w:val="21"/>
                <w:szCs w:val="21"/>
              </w:rPr>
            </w:pPr>
          </w:p>
        </w:tc>
      </w:tr>
      <w:tr w14:paraId="3ACEE04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F2BC190">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87</w:t>
            </w:r>
          </w:p>
        </w:tc>
        <w:tc>
          <w:tcPr>
            <w:tcW w:w="772" w:type="pct"/>
            <w:vMerge w:val="continue"/>
            <w:vAlign w:val="center"/>
          </w:tcPr>
          <w:p w14:paraId="37D722DC">
            <w:pPr>
              <w:widowControl/>
              <w:spacing w:line="240" w:lineRule="auto"/>
              <w:ind w:firstLine="0" w:firstLineChars="0"/>
              <w:jc w:val="center"/>
              <w:rPr>
                <w:color w:val="auto"/>
                <w:kern w:val="0"/>
                <w:sz w:val="21"/>
                <w:szCs w:val="21"/>
              </w:rPr>
            </w:pPr>
          </w:p>
        </w:tc>
        <w:tc>
          <w:tcPr>
            <w:tcW w:w="1145" w:type="pct"/>
            <w:vAlign w:val="center"/>
          </w:tcPr>
          <w:p w14:paraId="0E54CB92">
            <w:pPr>
              <w:widowControl/>
              <w:spacing w:line="240" w:lineRule="auto"/>
              <w:ind w:firstLine="0" w:firstLineChars="0"/>
              <w:jc w:val="center"/>
              <w:rPr>
                <w:color w:val="auto"/>
                <w:kern w:val="0"/>
                <w:sz w:val="21"/>
                <w:szCs w:val="21"/>
              </w:rPr>
            </w:pPr>
          </w:p>
        </w:tc>
        <w:tc>
          <w:tcPr>
            <w:tcW w:w="1906" w:type="pct"/>
            <w:vAlign w:val="center"/>
          </w:tcPr>
          <w:p w14:paraId="1983ECBA">
            <w:pPr>
              <w:widowControl/>
              <w:spacing w:line="240" w:lineRule="auto"/>
              <w:ind w:firstLine="0" w:firstLineChars="0"/>
              <w:jc w:val="center"/>
              <w:rPr>
                <w:color w:val="auto"/>
                <w:kern w:val="0"/>
                <w:sz w:val="21"/>
                <w:szCs w:val="21"/>
              </w:rPr>
            </w:pPr>
          </w:p>
        </w:tc>
        <w:tc>
          <w:tcPr>
            <w:tcW w:w="785" w:type="pct"/>
            <w:vAlign w:val="center"/>
          </w:tcPr>
          <w:p w14:paraId="4FB4AF48">
            <w:pPr>
              <w:widowControl/>
              <w:spacing w:line="240" w:lineRule="auto"/>
              <w:ind w:firstLine="0" w:firstLineChars="0"/>
              <w:jc w:val="center"/>
              <w:rPr>
                <w:color w:val="auto"/>
                <w:kern w:val="0"/>
                <w:sz w:val="21"/>
                <w:szCs w:val="21"/>
              </w:rPr>
            </w:pPr>
          </w:p>
        </w:tc>
      </w:tr>
      <w:tr w14:paraId="6CBFC6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6F9BB9B">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88</w:t>
            </w:r>
          </w:p>
        </w:tc>
        <w:tc>
          <w:tcPr>
            <w:tcW w:w="772" w:type="pct"/>
            <w:vMerge w:val="continue"/>
            <w:vAlign w:val="center"/>
          </w:tcPr>
          <w:p w14:paraId="31F62DB3">
            <w:pPr>
              <w:widowControl/>
              <w:spacing w:line="240" w:lineRule="auto"/>
              <w:ind w:firstLine="0" w:firstLineChars="0"/>
              <w:jc w:val="center"/>
              <w:rPr>
                <w:color w:val="auto"/>
                <w:kern w:val="0"/>
                <w:sz w:val="21"/>
                <w:szCs w:val="21"/>
              </w:rPr>
            </w:pPr>
          </w:p>
        </w:tc>
        <w:tc>
          <w:tcPr>
            <w:tcW w:w="1145" w:type="pct"/>
            <w:vAlign w:val="center"/>
          </w:tcPr>
          <w:p w14:paraId="5781C106">
            <w:pPr>
              <w:widowControl/>
              <w:spacing w:line="240" w:lineRule="auto"/>
              <w:ind w:firstLine="0" w:firstLineChars="0"/>
              <w:jc w:val="center"/>
              <w:rPr>
                <w:color w:val="auto"/>
                <w:kern w:val="0"/>
                <w:sz w:val="21"/>
                <w:szCs w:val="21"/>
              </w:rPr>
            </w:pPr>
          </w:p>
        </w:tc>
        <w:tc>
          <w:tcPr>
            <w:tcW w:w="1906" w:type="pct"/>
            <w:vAlign w:val="center"/>
          </w:tcPr>
          <w:p w14:paraId="3D12D8EE">
            <w:pPr>
              <w:widowControl/>
              <w:spacing w:line="240" w:lineRule="auto"/>
              <w:ind w:firstLine="0" w:firstLineChars="0"/>
              <w:jc w:val="center"/>
              <w:rPr>
                <w:color w:val="auto"/>
                <w:kern w:val="0"/>
                <w:sz w:val="21"/>
                <w:szCs w:val="21"/>
              </w:rPr>
            </w:pPr>
          </w:p>
        </w:tc>
        <w:tc>
          <w:tcPr>
            <w:tcW w:w="785" w:type="pct"/>
            <w:vAlign w:val="center"/>
          </w:tcPr>
          <w:p w14:paraId="4057674D">
            <w:pPr>
              <w:widowControl/>
              <w:spacing w:line="240" w:lineRule="auto"/>
              <w:ind w:firstLine="0" w:firstLineChars="0"/>
              <w:jc w:val="center"/>
              <w:rPr>
                <w:color w:val="auto"/>
                <w:kern w:val="0"/>
                <w:sz w:val="21"/>
                <w:szCs w:val="21"/>
              </w:rPr>
            </w:pPr>
          </w:p>
        </w:tc>
      </w:tr>
      <w:tr w14:paraId="039390E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064DFF1">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89</w:t>
            </w:r>
          </w:p>
        </w:tc>
        <w:tc>
          <w:tcPr>
            <w:tcW w:w="772" w:type="pct"/>
            <w:vMerge w:val="continue"/>
            <w:vAlign w:val="center"/>
          </w:tcPr>
          <w:p w14:paraId="6044E5CB">
            <w:pPr>
              <w:widowControl/>
              <w:spacing w:line="240" w:lineRule="auto"/>
              <w:ind w:firstLine="0" w:firstLineChars="0"/>
              <w:jc w:val="center"/>
              <w:rPr>
                <w:color w:val="auto"/>
                <w:kern w:val="0"/>
                <w:sz w:val="21"/>
                <w:szCs w:val="21"/>
              </w:rPr>
            </w:pPr>
          </w:p>
        </w:tc>
        <w:tc>
          <w:tcPr>
            <w:tcW w:w="1145" w:type="pct"/>
            <w:vAlign w:val="center"/>
          </w:tcPr>
          <w:p w14:paraId="641577C0">
            <w:pPr>
              <w:widowControl/>
              <w:spacing w:line="240" w:lineRule="auto"/>
              <w:ind w:firstLine="0" w:firstLineChars="0"/>
              <w:jc w:val="center"/>
              <w:rPr>
                <w:color w:val="auto"/>
                <w:kern w:val="0"/>
                <w:sz w:val="21"/>
                <w:szCs w:val="21"/>
              </w:rPr>
            </w:pPr>
          </w:p>
        </w:tc>
        <w:tc>
          <w:tcPr>
            <w:tcW w:w="1906" w:type="pct"/>
            <w:vAlign w:val="center"/>
          </w:tcPr>
          <w:p w14:paraId="3F35E4D2">
            <w:pPr>
              <w:widowControl/>
              <w:spacing w:line="240" w:lineRule="auto"/>
              <w:ind w:firstLine="0" w:firstLineChars="0"/>
              <w:jc w:val="center"/>
              <w:rPr>
                <w:color w:val="auto"/>
                <w:kern w:val="0"/>
                <w:sz w:val="21"/>
                <w:szCs w:val="21"/>
              </w:rPr>
            </w:pPr>
          </w:p>
        </w:tc>
        <w:tc>
          <w:tcPr>
            <w:tcW w:w="785" w:type="pct"/>
            <w:vAlign w:val="center"/>
          </w:tcPr>
          <w:p w14:paraId="73A8E83C">
            <w:pPr>
              <w:widowControl/>
              <w:spacing w:line="240" w:lineRule="auto"/>
              <w:ind w:firstLine="0" w:firstLineChars="0"/>
              <w:jc w:val="center"/>
              <w:rPr>
                <w:color w:val="auto"/>
                <w:kern w:val="0"/>
                <w:sz w:val="21"/>
                <w:szCs w:val="21"/>
              </w:rPr>
            </w:pPr>
          </w:p>
        </w:tc>
      </w:tr>
      <w:tr w14:paraId="3926CB4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43E3AF9">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90</w:t>
            </w:r>
          </w:p>
        </w:tc>
        <w:tc>
          <w:tcPr>
            <w:tcW w:w="772" w:type="pct"/>
            <w:vMerge w:val="continue"/>
            <w:vAlign w:val="center"/>
          </w:tcPr>
          <w:p w14:paraId="33A7FC50">
            <w:pPr>
              <w:widowControl/>
              <w:spacing w:line="240" w:lineRule="auto"/>
              <w:ind w:firstLine="0" w:firstLineChars="0"/>
              <w:jc w:val="center"/>
              <w:rPr>
                <w:color w:val="auto"/>
                <w:kern w:val="0"/>
                <w:sz w:val="21"/>
                <w:szCs w:val="21"/>
              </w:rPr>
            </w:pPr>
          </w:p>
        </w:tc>
        <w:tc>
          <w:tcPr>
            <w:tcW w:w="1145" w:type="pct"/>
            <w:vAlign w:val="center"/>
          </w:tcPr>
          <w:p w14:paraId="20E4823C">
            <w:pPr>
              <w:widowControl/>
              <w:spacing w:line="240" w:lineRule="auto"/>
              <w:ind w:firstLine="0" w:firstLineChars="0"/>
              <w:jc w:val="center"/>
              <w:rPr>
                <w:color w:val="auto"/>
                <w:kern w:val="0"/>
                <w:sz w:val="21"/>
                <w:szCs w:val="21"/>
              </w:rPr>
            </w:pPr>
          </w:p>
        </w:tc>
        <w:tc>
          <w:tcPr>
            <w:tcW w:w="1906" w:type="pct"/>
            <w:vAlign w:val="center"/>
          </w:tcPr>
          <w:p w14:paraId="79FC78AE">
            <w:pPr>
              <w:widowControl/>
              <w:spacing w:line="240" w:lineRule="auto"/>
              <w:ind w:firstLine="0" w:firstLineChars="0"/>
              <w:jc w:val="center"/>
              <w:rPr>
                <w:color w:val="auto"/>
                <w:kern w:val="0"/>
                <w:sz w:val="21"/>
                <w:szCs w:val="21"/>
              </w:rPr>
            </w:pPr>
          </w:p>
        </w:tc>
        <w:tc>
          <w:tcPr>
            <w:tcW w:w="785" w:type="pct"/>
            <w:vAlign w:val="center"/>
          </w:tcPr>
          <w:p w14:paraId="5464EFD3">
            <w:pPr>
              <w:widowControl/>
              <w:spacing w:line="240" w:lineRule="auto"/>
              <w:ind w:firstLine="0" w:firstLineChars="0"/>
              <w:jc w:val="center"/>
              <w:rPr>
                <w:color w:val="auto"/>
                <w:kern w:val="0"/>
                <w:sz w:val="21"/>
                <w:szCs w:val="21"/>
              </w:rPr>
            </w:pPr>
          </w:p>
        </w:tc>
      </w:tr>
      <w:tr w14:paraId="0384D8E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0F90692">
            <w:pPr>
              <w:widowControl/>
              <w:spacing w:line="240" w:lineRule="auto"/>
              <w:ind w:firstLine="0" w:firstLineChars="0"/>
              <w:jc w:val="center"/>
              <w:textAlignment w:val="center"/>
              <w:rPr>
                <w:rFonts w:ascii="仿宋_GB2312" w:eastAsia="仿宋_GB2312"/>
                <w:color w:val="auto"/>
                <w:kern w:val="0"/>
                <w:sz w:val="28"/>
                <w:szCs w:val="21"/>
              </w:rPr>
            </w:pPr>
            <w:r>
              <w:rPr>
                <w:color w:val="auto"/>
                <w:kern w:val="0"/>
                <w:sz w:val="21"/>
                <w:szCs w:val="21"/>
                <w:lang w:bidi="ar"/>
              </w:rPr>
              <w:t>91</w:t>
            </w:r>
          </w:p>
        </w:tc>
        <w:tc>
          <w:tcPr>
            <w:tcW w:w="772" w:type="pct"/>
            <w:vMerge w:val="continue"/>
            <w:vAlign w:val="center"/>
          </w:tcPr>
          <w:p w14:paraId="40914606">
            <w:pPr>
              <w:widowControl/>
              <w:spacing w:line="240" w:lineRule="auto"/>
              <w:ind w:firstLine="0" w:firstLineChars="0"/>
              <w:jc w:val="center"/>
              <w:rPr>
                <w:color w:val="auto"/>
                <w:kern w:val="0"/>
                <w:sz w:val="21"/>
                <w:szCs w:val="21"/>
              </w:rPr>
            </w:pPr>
          </w:p>
        </w:tc>
        <w:tc>
          <w:tcPr>
            <w:tcW w:w="1145" w:type="pct"/>
            <w:vAlign w:val="center"/>
          </w:tcPr>
          <w:p w14:paraId="22810F4C">
            <w:pPr>
              <w:widowControl/>
              <w:spacing w:line="240" w:lineRule="auto"/>
              <w:ind w:firstLine="0" w:firstLineChars="0"/>
              <w:jc w:val="center"/>
              <w:rPr>
                <w:color w:val="auto"/>
                <w:kern w:val="0"/>
                <w:sz w:val="21"/>
                <w:szCs w:val="21"/>
              </w:rPr>
            </w:pPr>
          </w:p>
        </w:tc>
        <w:tc>
          <w:tcPr>
            <w:tcW w:w="1906" w:type="pct"/>
            <w:vAlign w:val="center"/>
          </w:tcPr>
          <w:p w14:paraId="0E9C219F">
            <w:pPr>
              <w:widowControl/>
              <w:spacing w:line="240" w:lineRule="auto"/>
              <w:ind w:firstLine="0" w:firstLineChars="0"/>
              <w:jc w:val="center"/>
              <w:rPr>
                <w:color w:val="auto"/>
                <w:kern w:val="0"/>
                <w:sz w:val="21"/>
                <w:szCs w:val="21"/>
              </w:rPr>
            </w:pPr>
          </w:p>
        </w:tc>
        <w:tc>
          <w:tcPr>
            <w:tcW w:w="785" w:type="pct"/>
            <w:vAlign w:val="center"/>
          </w:tcPr>
          <w:p w14:paraId="2E4C5AD0">
            <w:pPr>
              <w:widowControl/>
              <w:spacing w:line="240" w:lineRule="auto"/>
              <w:ind w:firstLine="0" w:firstLineChars="0"/>
              <w:jc w:val="center"/>
              <w:rPr>
                <w:color w:val="auto"/>
                <w:kern w:val="0"/>
                <w:sz w:val="21"/>
                <w:szCs w:val="21"/>
              </w:rPr>
            </w:pPr>
          </w:p>
        </w:tc>
      </w:tr>
      <w:tr w14:paraId="182EA36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7F91F54">
            <w:pPr>
              <w:widowControl/>
              <w:spacing w:line="240" w:lineRule="auto"/>
              <w:ind w:firstLine="0" w:firstLineChars="0"/>
              <w:jc w:val="center"/>
              <w:rPr>
                <w:color w:val="auto"/>
                <w:kern w:val="0"/>
                <w:sz w:val="21"/>
                <w:szCs w:val="21"/>
              </w:rPr>
            </w:pPr>
            <w:r>
              <w:rPr>
                <w:rFonts w:hint="eastAsia"/>
                <w:color w:val="auto"/>
                <w:kern w:val="0"/>
                <w:sz w:val="21"/>
                <w:szCs w:val="21"/>
              </w:rPr>
              <w:t>92</w:t>
            </w:r>
          </w:p>
        </w:tc>
        <w:tc>
          <w:tcPr>
            <w:tcW w:w="772" w:type="pct"/>
            <w:vMerge w:val="continue"/>
            <w:vAlign w:val="center"/>
          </w:tcPr>
          <w:p w14:paraId="6C85C2B8">
            <w:pPr>
              <w:widowControl/>
              <w:spacing w:line="240" w:lineRule="auto"/>
              <w:ind w:firstLine="0" w:firstLineChars="0"/>
              <w:jc w:val="center"/>
              <w:rPr>
                <w:color w:val="auto"/>
                <w:kern w:val="0"/>
                <w:sz w:val="21"/>
                <w:szCs w:val="21"/>
              </w:rPr>
            </w:pPr>
          </w:p>
        </w:tc>
        <w:tc>
          <w:tcPr>
            <w:tcW w:w="1145" w:type="pct"/>
            <w:vAlign w:val="center"/>
          </w:tcPr>
          <w:p w14:paraId="31EC79BD">
            <w:pPr>
              <w:widowControl/>
              <w:spacing w:line="240" w:lineRule="auto"/>
              <w:ind w:firstLine="0" w:firstLineChars="0"/>
              <w:jc w:val="center"/>
              <w:rPr>
                <w:color w:val="auto"/>
                <w:kern w:val="0"/>
                <w:sz w:val="21"/>
                <w:szCs w:val="21"/>
              </w:rPr>
            </w:pPr>
          </w:p>
        </w:tc>
        <w:tc>
          <w:tcPr>
            <w:tcW w:w="1906" w:type="pct"/>
            <w:vAlign w:val="center"/>
          </w:tcPr>
          <w:p w14:paraId="1F489FE8">
            <w:pPr>
              <w:widowControl/>
              <w:spacing w:line="240" w:lineRule="auto"/>
              <w:ind w:firstLine="0" w:firstLineChars="0"/>
              <w:jc w:val="center"/>
              <w:rPr>
                <w:color w:val="auto"/>
                <w:kern w:val="0"/>
                <w:sz w:val="21"/>
                <w:szCs w:val="21"/>
              </w:rPr>
            </w:pPr>
          </w:p>
        </w:tc>
        <w:tc>
          <w:tcPr>
            <w:tcW w:w="785" w:type="pct"/>
            <w:vAlign w:val="center"/>
          </w:tcPr>
          <w:p w14:paraId="37D2BF48">
            <w:pPr>
              <w:widowControl/>
              <w:spacing w:line="240" w:lineRule="auto"/>
              <w:ind w:firstLine="0" w:firstLineChars="0"/>
              <w:jc w:val="center"/>
              <w:rPr>
                <w:color w:val="auto"/>
                <w:kern w:val="0"/>
                <w:sz w:val="21"/>
                <w:szCs w:val="21"/>
              </w:rPr>
            </w:pPr>
          </w:p>
        </w:tc>
      </w:tr>
      <w:tr w14:paraId="484C8D2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508AE12">
            <w:pPr>
              <w:widowControl/>
              <w:spacing w:line="240" w:lineRule="auto"/>
              <w:ind w:firstLine="0" w:firstLineChars="0"/>
              <w:jc w:val="center"/>
              <w:rPr>
                <w:color w:val="auto"/>
                <w:kern w:val="0"/>
                <w:sz w:val="21"/>
                <w:szCs w:val="21"/>
              </w:rPr>
            </w:pPr>
            <w:r>
              <w:rPr>
                <w:rFonts w:hint="eastAsia"/>
                <w:color w:val="auto"/>
                <w:kern w:val="0"/>
                <w:sz w:val="21"/>
                <w:szCs w:val="21"/>
              </w:rPr>
              <w:t>93</w:t>
            </w:r>
          </w:p>
        </w:tc>
        <w:tc>
          <w:tcPr>
            <w:tcW w:w="772" w:type="pct"/>
            <w:vMerge w:val="continue"/>
            <w:vAlign w:val="center"/>
          </w:tcPr>
          <w:p w14:paraId="419BDE4D">
            <w:pPr>
              <w:widowControl/>
              <w:spacing w:line="240" w:lineRule="auto"/>
              <w:ind w:firstLine="0" w:firstLineChars="0"/>
              <w:jc w:val="center"/>
              <w:rPr>
                <w:color w:val="auto"/>
                <w:kern w:val="0"/>
                <w:sz w:val="21"/>
                <w:szCs w:val="21"/>
              </w:rPr>
            </w:pPr>
          </w:p>
        </w:tc>
        <w:tc>
          <w:tcPr>
            <w:tcW w:w="1145" w:type="pct"/>
            <w:vAlign w:val="center"/>
          </w:tcPr>
          <w:p w14:paraId="2F812294">
            <w:pPr>
              <w:widowControl/>
              <w:spacing w:line="240" w:lineRule="auto"/>
              <w:ind w:firstLine="0" w:firstLineChars="0"/>
              <w:jc w:val="center"/>
              <w:rPr>
                <w:color w:val="auto"/>
                <w:kern w:val="0"/>
                <w:sz w:val="21"/>
                <w:szCs w:val="21"/>
              </w:rPr>
            </w:pPr>
          </w:p>
        </w:tc>
        <w:tc>
          <w:tcPr>
            <w:tcW w:w="1906" w:type="pct"/>
            <w:vAlign w:val="center"/>
          </w:tcPr>
          <w:p w14:paraId="420B628B">
            <w:pPr>
              <w:widowControl/>
              <w:spacing w:line="240" w:lineRule="auto"/>
              <w:ind w:firstLine="0" w:firstLineChars="0"/>
              <w:jc w:val="center"/>
              <w:rPr>
                <w:color w:val="auto"/>
                <w:kern w:val="0"/>
                <w:sz w:val="21"/>
                <w:szCs w:val="21"/>
              </w:rPr>
            </w:pPr>
          </w:p>
        </w:tc>
        <w:tc>
          <w:tcPr>
            <w:tcW w:w="785" w:type="pct"/>
            <w:vAlign w:val="center"/>
          </w:tcPr>
          <w:p w14:paraId="0E8A6508">
            <w:pPr>
              <w:widowControl/>
              <w:spacing w:line="240" w:lineRule="auto"/>
              <w:ind w:firstLine="0" w:firstLineChars="0"/>
              <w:jc w:val="center"/>
              <w:rPr>
                <w:color w:val="auto"/>
                <w:kern w:val="0"/>
                <w:sz w:val="21"/>
                <w:szCs w:val="21"/>
              </w:rPr>
            </w:pPr>
          </w:p>
        </w:tc>
      </w:tr>
      <w:tr w14:paraId="5896911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4629F237">
            <w:pPr>
              <w:widowControl/>
              <w:spacing w:line="240" w:lineRule="auto"/>
              <w:ind w:firstLine="0" w:firstLineChars="0"/>
              <w:jc w:val="center"/>
              <w:rPr>
                <w:color w:val="auto"/>
                <w:kern w:val="0"/>
                <w:sz w:val="21"/>
                <w:szCs w:val="21"/>
              </w:rPr>
            </w:pPr>
            <w:r>
              <w:rPr>
                <w:rFonts w:hint="eastAsia"/>
                <w:color w:val="auto"/>
                <w:kern w:val="0"/>
                <w:sz w:val="21"/>
                <w:szCs w:val="21"/>
              </w:rPr>
              <w:t>94</w:t>
            </w:r>
          </w:p>
        </w:tc>
        <w:tc>
          <w:tcPr>
            <w:tcW w:w="772" w:type="pct"/>
            <w:vMerge w:val="continue"/>
            <w:vAlign w:val="center"/>
          </w:tcPr>
          <w:p w14:paraId="628A5AE3">
            <w:pPr>
              <w:widowControl/>
              <w:spacing w:line="240" w:lineRule="auto"/>
              <w:ind w:firstLine="0" w:firstLineChars="0"/>
              <w:jc w:val="center"/>
              <w:rPr>
                <w:color w:val="auto"/>
                <w:kern w:val="0"/>
                <w:sz w:val="21"/>
                <w:szCs w:val="21"/>
              </w:rPr>
            </w:pPr>
          </w:p>
        </w:tc>
        <w:tc>
          <w:tcPr>
            <w:tcW w:w="1145" w:type="pct"/>
            <w:vAlign w:val="center"/>
          </w:tcPr>
          <w:p w14:paraId="1266B69F">
            <w:pPr>
              <w:widowControl/>
              <w:spacing w:line="240" w:lineRule="auto"/>
              <w:ind w:firstLine="0" w:firstLineChars="0"/>
              <w:jc w:val="center"/>
              <w:rPr>
                <w:color w:val="auto"/>
                <w:kern w:val="0"/>
                <w:sz w:val="21"/>
                <w:szCs w:val="21"/>
              </w:rPr>
            </w:pPr>
          </w:p>
        </w:tc>
        <w:tc>
          <w:tcPr>
            <w:tcW w:w="1906" w:type="pct"/>
            <w:vAlign w:val="center"/>
          </w:tcPr>
          <w:p w14:paraId="0BC979BD">
            <w:pPr>
              <w:widowControl/>
              <w:spacing w:line="240" w:lineRule="auto"/>
              <w:ind w:firstLine="0" w:firstLineChars="0"/>
              <w:jc w:val="center"/>
              <w:rPr>
                <w:color w:val="auto"/>
                <w:kern w:val="0"/>
                <w:sz w:val="21"/>
                <w:szCs w:val="21"/>
              </w:rPr>
            </w:pPr>
          </w:p>
        </w:tc>
        <w:tc>
          <w:tcPr>
            <w:tcW w:w="785" w:type="pct"/>
            <w:vAlign w:val="center"/>
          </w:tcPr>
          <w:p w14:paraId="7C174930">
            <w:pPr>
              <w:widowControl/>
              <w:spacing w:line="240" w:lineRule="auto"/>
              <w:ind w:firstLine="0" w:firstLineChars="0"/>
              <w:jc w:val="center"/>
              <w:rPr>
                <w:color w:val="auto"/>
                <w:kern w:val="0"/>
                <w:sz w:val="21"/>
                <w:szCs w:val="21"/>
              </w:rPr>
            </w:pPr>
          </w:p>
        </w:tc>
      </w:tr>
      <w:tr w14:paraId="3B1BCCC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90EFAB0">
            <w:pPr>
              <w:widowControl/>
              <w:spacing w:line="240" w:lineRule="auto"/>
              <w:ind w:firstLine="0" w:firstLineChars="0"/>
              <w:jc w:val="center"/>
              <w:rPr>
                <w:color w:val="auto"/>
                <w:kern w:val="0"/>
                <w:sz w:val="21"/>
                <w:szCs w:val="21"/>
              </w:rPr>
            </w:pPr>
            <w:r>
              <w:rPr>
                <w:rFonts w:hint="eastAsia"/>
                <w:color w:val="auto"/>
                <w:kern w:val="0"/>
                <w:sz w:val="21"/>
                <w:szCs w:val="21"/>
              </w:rPr>
              <w:t>95</w:t>
            </w:r>
          </w:p>
        </w:tc>
        <w:tc>
          <w:tcPr>
            <w:tcW w:w="772" w:type="pct"/>
            <w:vMerge w:val="continue"/>
            <w:vAlign w:val="center"/>
          </w:tcPr>
          <w:p w14:paraId="3854AA24">
            <w:pPr>
              <w:widowControl/>
              <w:spacing w:line="240" w:lineRule="auto"/>
              <w:ind w:firstLine="0" w:firstLineChars="0"/>
              <w:jc w:val="center"/>
              <w:rPr>
                <w:color w:val="auto"/>
                <w:kern w:val="0"/>
                <w:sz w:val="21"/>
                <w:szCs w:val="21"/>
              </w:rPr>
            </w:pPr>
          </w:p>
        </w:tc>
        <w:tc>
          <w:tcPr>
            <w:tcW w:w="1145" w:type="pct"/>
            <w:vAlign w:val="center"/>
          </w:tcPr>
          <w:p w14:paraId="2122A93D">
            <w:pPr>
              <w:widowControl/>
              <w:spacing w:line="240" w:lineRule="auto"/>
              <w:ind w:firstLine="0" w:firstLineChars="0"/>
              <w:jc w:val="center"/>
              <w:rPr>
                <w:color w:val="auto"/>
                <w:kern w:val="0"/>
                <w:sz w:val="21"/>
                <w:szCs w:val="21"/>
              </w:rPr>
            </w:pPr>
          </w:p>
        </w:tc>
        <w:tc>
          <w:tcPr>
            <w:tcW w:w="1906" w:type="pct"/>
            <w:vAlign w:val="center"/>
          </w:tcPr>
          <w:p w14:paraId="5C524891">
            <w:pPr>
              <w:widowControl/>
              <w:spacing w:line="240" w:lineRule="auto"/>
              <w:ind w:firstLine="0" w:firstLineChars="0"/>
              <w:jc w:val="center"/>
              <w:rPr>
                <w:color w:val="auto"/>
                <w:kern w:val="0"/>
                <w:sz w:val="21"/>
                <w:szCs w:val="21"/>
              </w:rPr>
            </w:pPr>
          </w:p>
        </w:tc>
        <w:tc>
          <w:tcPr>
            <w:tcW w:w="785" w:type="pct"/>
            <w:vAlign w:val="center"/>
          </w:tcPr>
          <w:p w14:paraId="68D58186">
            <w:pPr>
              <w:widowControl/>
              <w:spacing w:line="240" w:lineRule="auto"/>
              <w:ind w:firstLine="0" w:firstLineChars="0"/>
              <w:jc w:val="center"/>
              <w:rPr>
                <w:color w:val="auto"/>
                <w:kern w:val="0"/>
                <w:sz w:val="21"/>
                <w:szCs w:val="21"/>
              </w:rPr>
            </w:pPr>
          </w:p>
        </w:tc>
      </w:tr>
      <w:tr w14:paraId="54AF7A7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2EF1732">
            <w:pPr>
              <w:widowControl/>
              <w:spacing w:line="240" w:lineRule="auto"/>
              <w:ind w:firstLine="0" w:firstLineChars="0"/>
              <w:jc w:val="center"/>
              <w:rPr>
                <w:color w:val="auto"/>
                <w:kern w:val="0"/>
                <w:sz w:val="21"/>
                <w:szCs w:val="21"/>
              </w:rPr>
            </w:pPr>
            <w:r>
              <w:rPr>
                <w:rFonts w:hint="eastAsia"/>
                <w:color w:val="auto"/>
                <w:kern w:val="0"/>
                <w:sz w:val="21"/>
                <w:szCs w:val="21"/>
              </w:rPr>
              <w:t>96</w:t>
            </w:r>
          </w:p>
        </w:tc>
        <w:tc>
          <w:tcPr>
            <w:tcW w:w="772" w:type="pct"/>
            <w:vMerge w:val="continue"/>
            <w:vAlign w:val="center"/>
          </w:tcPr>
          <w:p w14:paraId="6A951145">
            <w:pPr>
              <w:widowControl/>
              <w:spacing w:line="240" w:lineRule="auto"/>
              <w:ind w:firstLine="0" w:firstLineChars="0"/>
              <w:jc w:val="center"/>
              <w:rPr>
                <w:color w:val="auto"/>
                <w:kern w:val="0"/>
                <w:sz w:val="21"/>
                <w:szCs w:val="21"/>
              </w:rPr>
            </w:pPr>
          </w:p>
        </w:tc>
        <w:tc>
          <w:tcPr>
            <w:tcW w:w="1145" w:type="pct"/>
            <w:vAlign w:val="center"/>
          </w:tcPr>
          <w:p w14:paraId="4BB775F6">
            <w:pPr>
              <w:widowControl/>
              <w:spacing w:line="240" w:lineRule="auto"/>
              <w:ind w:firstLine="0" w:firstLineChars="0"/>
              <w:jc w:val="center"/>
              <w:rPr>
                <w:color w:val="auto"/>
                <w:kern w:val="0"/>
                <w:sz w:val="21"/>
                <w:szCs w:val="21"/>
              </w:rPr>
            </w:pPr>
          </w:p>
        </w:tc>
        <w:tc>
          <w:tcPr>
            <w:tcW w:w="1906" w:type="pct"/>
            <w:vAlign w:val="center"/>
          </w:tcPr>
          <w:p w14:paraId="487BBC01">
            <w:pPr>
              <w:widowControl/>
              <w:spacing w:line="240" w:lineRule="auto"/>
              <w:ind w:firstLine="0" w:firstLineChars="0"/>
              <w:jc w:val="center"/>
              <w:rPr>
                <w:color w:val="auto"/>
                <w:kern w:val="0"/>
                <w:sz w:val="21"/>
                <w:szCs w:val="21"/>
              </w:rPr>
            </w:pPr>
          </w:p>
        </w:tc>
        <w:tc>
          <w:tcPr>
            <w:tcW w:w="785" w:type="pct"/>
            <w:vAlign w:val="center"/>
          </w:tcPr>
          <w:p w14:paraId="4DBAFADD">
            <w:pPr>
              <w:widowControl/>
              <w:spacing w:line="240" w:lineRule="auto"/>
              <w:ind w:firstLine="0" w:firstLineChars="0"/>
              <w:jc w:val="center"/>
              <w:rPr>
                <w:color w:val="auto"/>
                <w:kern w:val="0"/>
                <w:sz w:val="21"/>
                <w:szCs w:val="21"/>
              </w:rPr>
            </w:pPr>
          </w:p>
        </w:tc>
      </w:tr>
      <w:tr w14:paraId="575DA66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9F7A924">
            <w:pPr>
              <w:widowControl/>
              <w:spacing w:line="240" w:lineRule="auto"/>
              <w:ind w:firstLine="0" w:firstLineChars="0"/>
              <w:jc w:val="center"/>
              <w:rPr>
                <w:color w:val="auto"/>
                <w:kern w:val="0"/>
                <w:sz w:val="21"/>
                <w:szCs w:val="21"/>
              </w:rPr>
            </w:pPr>
            <w:r>
              <w:rPr>
                <w:rFonts w:hint="eastAsia"/>
                <w:color w:val="auto"/>
                <w:kern w:val="0"/>
                <w:sz w:val="21"/>
                <w:szCs w:val="21"/>
              </w:rPr>
              <w:t>97</w:t>
            </w:r>
          </w:p>
        </w:tc>
        <w:tc>
          <w:tcPr>
            <w:tcW w:w="772" w:type="pct"/>
            <w:vMerge w:val="continue"/>
            <w:vAlign w:val="center"/>
          </w:tcPr>
          <w:p w14:paraId="6FD47E20">
            <w:pPr>
              <w:widowControl/>
              <w:spacing w:line="240" w:lineRule="auto"/>
              <w:ind w:firstLine="0" w:firstLineChars="0"/>
              <w:jc w:val="center"/>
              <w:rPr>
                <w:color w:val="auto"/>
                <w:kern w:val="0"/>
                <w:sz w:val="21"/>
                <w:szCs w:val="21"/>
              </w:rPr>
            </w:pPr>
          </w:p>
        </w:tc>
        <w:tc>
          <w:tcPr>
            <w:tcW w:w="1145" w:type="pct"/>
            <w:vAlign w:val="center"/>
          </w:tcPr>
          <w:p w14:paraId="59439EB1">
            <w:pPr>
              <w:widowControl/>
              <w:spacing w:line="240" w:lineRule="auto"/>
              <w:ind w:firstLine="0" w:firstLineChars="0"/>
              <w:jc w:val="center"/>
              <w:rPr>
                <w:color w:val="auto"/>
                <w:kern w:val="0"/>
                <w:sz w:val="21"/>
                <w:szCs w:val="21"/>
              </w:rPr>
            </w:pPr>
          </w:p>
        </w:tc>
        <w:tc>
          <w:tcPr>
            <w:tcW w:w="1906" w:type="pct"/>
            <w:vAlign w:val="center"/>
          </w:tcPr>
          <w:p w14:paraId="6315C09C">
            <w:pPr>
              <w:widowControl/>
              <w:spacing w:line="240" w:lineRule="auto"/>
              <w:ind w:firstLine="0" w:firstLineChars="0"/>
              <w:jc w:val="center"/>
              <w:rPr>
                <w:color w:val="auto"/>
                <w:kern w:val="0"/>
                <w:sz w:val="21"/>
                <w:szCs w:val="21"/>
              </w:rPr>
            </w:pPr>
          </w:p>
        </w:tc>
        <w:tc>
          <w:tcPr>
            <w:tcW w:w="785" w:type="pct"/>
            <w:vAlign w:val="center"/>
          </w:tcPr>
          <w:p w14:paraId="025CCB44">
            <w:pPr>
              <w:widowControl/>
              <w:spacing w:line="240" w:lineRule="auto"/>
              <w:ind w:firstLine="0" w:firstLineChars="0"/>
              <w:jc w:val="center"/>
              <w:rPr>
                <w:color w:val="auto"/>
                <w:kern w:val="0"/>
                <w:sz w:val="21"/>
                <w:szCs w:val="21"/>
              </w:rPr>
            </w:pPr>
          </w:p>
        </w:tc>
      </w:tr>
      <w:tr w14:paraId="5C8ECD9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E5275F7">
            <w:pPr>
              <w:widowControl/>
              <w:spacing w:line="240" w:lineRule="auto"/>
              <w:ind w:firstLine="0" w:firstLineChars="0"/>
              <w:jc w:val="center"/>
              <w:rPr>
                <w:color w:val="auto"/>
                <w:kern w:val="0"/>
                <w:sz w:val="21"/>
                <w:szCs w:val="21"/>
              </w:rPr>
            </w:pPr>
            <w:r>
              <w:rPr>
                <w:rFonts w:hint="eastAsia"/>
                <w:color w:val="auto"/>
                <w:kern w:val="0"/>
                <w:sz w:val="21"/>
                <w:szCs w:val="21"/>
              </w:rPr>
              <w:t>98</w:t>
            </w:r>
          </w:p>
        </w:tc>
        <w:tc>
          <w:tcPr>
            <w:tcW w:w="772" w:type="pct"/>
            <w:vMerge w:val="continue"/>
            <w:vAlign w:val="center"/>
          </w:tcPr>
          <w:p w14:paraId="1BC3E3C7">
            <w:pPr>
              <w:widowControl/>
              <w:spacing w:line="240" w:lineRule="auto"/>
              <w:ind w:firstLine="0" w:firstLineChars="0"/>
              <w:jc w:val="center"/>
              <w:rPr>
                <w:color w:val="auto"/>
                <w:kern w:val="0"/>
                <w:sz w:val="21"/>
                <w:szCs w:val="21"/>
              </w:rPr>
            </w:pPr>
          </w:p>
        </w:tc>
        <w:tc>
          <w:tcPr>
            <w:tcW w:w="1145" w:type="pct"/>
            <w:vAlign w:val="center"/>
          </w:tcPr>
          <w:p w14:paraId="3BAEB555">
            <w:pPr>
              <w:widowControl/>
              <w:spacing w:line="240" w:lineRule="auto"/>
              <w:ind w:firstLine="0" w:firstLineChars="0"/>
              <w:jc w:val="center"/>
              <w:rPr>
                <w:color w:val="auto"/>
                <w:kern w:val="0"/>
                <w:sz w:val="21"/>
                <w:szCs w:val="21"/>
              </w:rPr>
            </w:pPr>
          </w:p>
        </w:tc>
        <w:tc>
          <w:tcPr>
            <w:tcW w:w="1906" w:type="pct"/>
            <w:vAlign w:val="center"/>
          </w:tcPr>
          <w:p w14:paraId="3364C930">
            <w:pPr>
              <w:widowControl/>
              <w:spacing w:line="240" w:lineRule="auto"/>
              <w:ind w:firstLine="0" w:firstLineChars="0"/>
              <w:jc w:val="center"/>
              <w:rPr>
                <w:color w:val="auto"/>
                <w:kern w:val="0"/>
                <w:sz w:val="21"/>
                <w:szCs w:val="21"/>
              </w:rPr>
            </w:pPr>
          </w:p>
        </w:tc>
        <w:tc>
          <w:tcPr>
            <w:tcW w:w="785" w:type="pct"/>
            <w:vAlign w:val="center"/>
          </w:tcPr>
          <w:p w14:paraId="55355572">
            <w:pPr>
              <w:widowControl/>
              <w:spacing w:line="240" w:lineRule="auto"/>
              <w:ind w:firstLine="0" w:firstLineChars="0"/>
              <w:jc w:val="center"/>
              <w:rPr>
                <w:color w:val="auto"/>
                <w:kern w:val="0"/>
                <w:sz w:val="21"/>
                <w:szCs w:val="21"/>
              </w:rPr>
            </w:pPr>
          </w:p>
        </w:tc>
      </w:tr>
      <w:tr w14:paraId="701635C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0EF1DB0">
            <w:pPr>
              <w:widowControl/>
              <w:spacing w:line="240" w:lineRule="auto"/>
              <w:ind w:firstLine="0" w:firstLineChars="0"/>
              <w:jc w:val="center"/>
              <w:rPr>
                <w:color w:val="auto"/>
                <w:kern w:val="0"/>
                <w:sz w:val="21"/>
                <w:szCs w:val="21"/>
              </w:rPr>
            </w:pPr>
            <w:r>
              <w:rPr>
                <w:rFonts w:hint="eastAsia"/>
                <w:color w:val="auto"/>
                <w:kern w:val="0"/>
                <w:sz w:val="21"/>
                <w:szCs w:val="21"/>
              </w:rPr>
              <w:t>99</w:t>
            </w:r>
          </w:p>
        </w:tc>
        <w:tc>
          <w:tcPr>
            <w:tcW w:w="772" w:type="pct"/>
            <w:vMerge w:val="continue"/>
            <w:vAlign w:val="center"/>
          </w:tcPr>
          <w:p w14:paraId="201F1A73">
            <w:pPr>
              <w:widowControl/>
              <w:spacing w:line="240" w:lineRule="auto"/>
              <w:ind w:firstLine="0" w:firstLineChars="0"/>
              <w:jc w:val="center"/>
              <w:rPr>
                <w:color w:val="auto"/>
                <w:kern w:val="0"/>
                <w:sz w:val="21"/>
                <w:szCs w:val="21"/>
              </w:rPr>
            </w:pPr>
          </w:p>
        </w:tc>
        <w:tc>
          <w:tcPr>
            <w:tcW w:w="1145" w:type="pct"/>
            <w:vAlign w:val="center"/>
          </w:tcPr>
          <w:p w14:paraId="30E8053A">
            <w:pPr>
              <w:widowControl/>
              <w:spacing w:line="240" w:lineRule="auto"/>
              <w:ind w:firstLine="0" w:firstLineChars="0"/>
              <w:jc w:val="center"/>
              <w:rPr>
                <w:color w:val="auto"/>
                <w:kern w:val="0"/>
                <w:sz w:val="21"/>
                <w:szCs w:val="21"/>
              </w:rPr>
            </w:pPr>
          </w:p>
        </w:tc>
        <w:tc>
          <w:tcPr>
            <w:tcW w:w="1906" w:type="pct"/>
            <w:vAlign w:val="center"/>
          </w:tcPr>
          <w:p w14:paraId="09B5EED7">
            <w:pPr>
              <w:widowControl/>
              <w:spacing w:line="240" w:lineRule="auto"/>
              <w:ind w:firstLine="0" w:firstLineChars="0"/>
              <w:jc w:val="center"/>
              <w:rPr>
                <w:color w:val="auto"/>
                <w:kern w:val="0"/>
                <w:sz w:val="21"/>
                <w:szCs w:val="21"/>
              </w:rPr>
            </w:pPr>
          </w:p>
        </w:tc>
        <w:tc>
          <w:tcPr>
            <w:tcW w:w="785" w:type="pct"/>
            <w:vAlign w:val="center"/>
          </w:tcPr>
          <w:p w14:paraId="27694D5C">
            <w:pPr>
              <w:widowControl/>
              <w:spacing w:line="240" w:lineRule="auto"/>
              <w:ind w:firstLine="0" w:firstLineChars="0"/>
              <w:jc w:val="center"/>
              <w:rPr>
                <w:color w:val="auto"/>
                <w:kern w:val="0"/>
                <w:sz w:val="21"/>
                <w:szCs w:val="21"/>
              </w:rPr>
            </w:pPr>
          </w:p>
        </w:tc>
      </w:tr>
      <w:tr w14:paraId="3CBFB3D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9F41168">
            <w:pPr>
              <w:widowControl/>
              <w:spacing w:line="240" w:lineRule="auto"/>
              <w:ind w:firstLine="0" w:firstLineChars="0"/>
              <w:jc w:val="center"/>
              <w:rPr>
                <w:color w:val="auto"/>
                <w:kern w:val="0"/>
                <w:sz w:val="21"/>
                <w:szCs w:val="21"/>
              </w:rPr>
            </w:pPr>
            <w:r>
              <w:rPr>
                <w:rFonts w:hint="eastAsia"/>
                <w:color w:val="auto"/>
                <w:kern w:val="0"/>
                <w:sz w:val="21"/>
                <w:szCs w:val="21"/>
              </w:rPr>
              <w:t>100</w:t>
            </w:r>
          </w:p>
        </w:tc>
        <w:tc>
          <w:tcPr>
            <w:tcW w:w="772" w:type="pct"/>
            <w:vMerge w:val="continue"/>
            <w:vAlign w:val="center"/>
          </w:tcPr>
          <w:p w14:paraId="696DF925">
            <w:pPr>
              <w:widowControl/>
              <w:spacing w:line="240" w:lineRule="auto"/>
              <w:ind w:firstLine="0" w:firstLineChars="0"/>
              <w:jc w:val="center"/>
              <w:rPr>
                <w:color w:val="auto"/>
                <w:kern w:val="0"/>
                <w:sz w:val="21"/>
                <w:szCs w:val="21"/>
              </w:rPr>
            </w:pPr>
          </w:p>
        </w:tc>
        <w:tc>
          <w:tcPr>
            <w:tcW w:w="1145" w:type="pct"/>
            <w:vAlign w:val="center"/>
          </w:tcPr>
          <w:p w14:paraId="6BFCCD49">
            <w:pPr>
              <w:widowControl/>
              <w:spacing w:line="240" w:lineRule="auto"/>
              <w:ind w:firstLine="0" w:firstLineChars="0"/>
              <w:jc w:val="center"/>
              <w:rPr>
                <w:color w:val="auto"/>
                <w:kern w:val="0"/>
                <w:sz w:val="21"/>
                <w:szCs w:val="21"/>
              </w:rPr>
            </w:pPr>
          </w:p>
        </w:tc>
        <w:tc>
          <w:tcPr>
            <w:tcW w:w="1906" w:type="pct"/>
            <w:vAlign w:val="center"/>
          </w:tcPr>
          <w:p w14:paraId="1670AF61">
            <w:pPr>
              <w:widowControl/>
              <w:spacing w:line="240" w:lineRule="auto"/>
              <w:ind w:firstLine="0" w:firstLineChars="0"/>
              <w:jc w:val="center"/>
              <w:rPr>
                <w:color w:val="auto"/>
                <w:kern w:val="0"/>
                <w:sz w:val="21"/>
                <w:szCs w:val="21"/>
              </w:rPr>
            </w:pPr>
          </w:p>
        </w:tc>
        <w:tc>
          <w:tcPr>
            <w:tcW w:w="785" w:type="pct"/>
            <w:vAlign w:val="center"/>
          </w:tcPr>
          <w:p w14:paraId="2D810F5F">
            <w:pPr>
              <w:widowControl/>
              <w:spacing w:line="240" w:lineRule="auto"/>
              <w:ind w:firstLine="0" w:firstLineChars="0"/>
              <w:jc w:val="center"/>
              <w:rPr>
                <w:color w:val="auto"/>
                <w:kern w:val="0"/>
                <w:sz w:val="21"/>
                <w:szCs w:val="21"/>
              </w:rPr>
            </w:pPr>
          </w:p>
        </w:tc>
      </w:tr>
      <w:tr w14:paraId="7210FDB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311ABFF4">
            <w:pPr>
              <w:widowControl/>
              <w:spacing w:line="240" w:lineRule="auto"/>
              <w:ind w:firstLine="0" w:firstLineChars="0"/>
              <w:jc w:val="center"/>
              <w:rPr>
                <w:color w:val="auto"/>
                <w:kern w:val="0"/>
                <w:sz w:val="21"/>
                <w:szCs w:val="21"/>
              </w:rPr>
            </w:pPr>
            <w:r>
              <w:rPr>
                <w:rFonts w:hint="eastAsia"/>
                <w:color w:val="auto"/>
                <w:kern w:val="0"/>
                <w:sz w:val="21"/>
                <w:szCs w:val="21"/>
              </w:rPr>
              <w:t>101</w:t>
            </w:r>
          </w:p>
        </w:tc>
        <w:tc>
          <w:tcPr>
            <w:tcW w:w="772" w:type="pct"/>
            <w:vMerge w:val="continue"/>
            <w:vAlign w:val="center"/>
          </w:tcPr>
          <w:p w14:paraId="1F715D74">
            <w:pPr>
              <w:widowControl/>
              <w:spacing w:line="240" w:lineRule="auto"/>
              <w:ind w:firstLine="0" w:firstLineChars="0"/>
              <w:jc w:val="center"/>
              <w:rPr>
                <w:color w:val="auto"/>
                <w:kern w:val="0"/>
                <w:sz w:val="21"/>
                <w:szCs w:val="21"/>
              </w:rPr>
            </w:pPr>
          </w:p>
        </w:tc>
        <w:tc>
          <w:tcPr>
            <w:tcW w:w="1145" w:type="pct"/>
            <w:vAlign w:val="center"/>
          </w:tcPr>
          <w:p w14:paraId="31CC03F8">
            <w:pPr>
              <w:widowControl/>
              <w:spacing w:line="240" w:lineRule="auto"/>
              <w:ind w:firstLine="0" w:firstLineChars="0"/>
              <w:jc w:val="center"/>
              <w:rPr>
                <w:color w:val="auto"/>
                <w:kern w:val="0"/>
                <w:sz w:val="21"/>
                <w:szCs w:val="21"/>
              </w:rPr>
            </w:pPr>
          </w:p>
        </w:tc>
        <w:tc>
          <w:tcPr>
            <w:tcW w:w="1906" w:type="pct"/>
            <w:vAlign w:val="center"/>
          </w:tcPr>
          <w:p w14:paraId="00A0C7A8">
            <w:pPr>
              <w:widowControl/>
              <w:spacing w:line="240" w:lineRule="auto"/>
              <w:ind w:firstLine="0" w:firstLineChars="0"/>
              <w:jc w:val="center"/>
              <w:rPr>
                <w:color w:val="auto"/>
                <w:kern w:val="0"/>
                <w:sz w:val="21"/>
                <w:szCs w:val="21"/>
              </w:rPr>
            </w:pPr>
          </w:p>
        </w:tc>
        <w:tc>
          <w:tcPr>
            <w:tcW w:w="785" w:type="pct"/>
            <w:vAlign w:val="center"/>
          </w:tcPr>
          <w:p w14:paraId="6EC45CF0">
            <w:pPr>
              <w:widowControl/>
              <w:spacing w:line="240" w:lineRule="auto"/>
              <w:ind w:firstLine="0" w:firstLineChars="0"/>
              <w:jc w:val="center"/>
              <w:rPr>
                <w:color w:val="auto"/>
                <w:kern w:val="0"/>
                <w:sz w:val="21"/>
                <w:szCs w:val="21"/>
              </w:rPr>
            </w:pPr>
          </w:p>
        </w:tc>
      </w:tr>
      <w:tr w14:paraId="670B0DC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B7FF1B1">
            <w:pPr>
              <w:widowControl/>
              <w:spacing w:line="240" w:lineRule="auto"/>
              <w:ind w:firstLine="0" w:firstLineChars="0"/>
              <w:jc w:val="center"/>
              <w:rPr>
                <w:color w:val="auto"/>
                <w:kern w:val="0"/>
                <w:sz w:val="21"/>
                <w:szCs w:val="21"/>
              </w:rPr>
            </w:pPr>
            <w:r>
              <w:rPr>
                <w:rFonts w:hint="eastAsia"/>
                <w:color w:val="auto"/>
                <w:kern w:val="0"/>
                <w:sz w:val="21"/>
                <w:szCs w:val="21"/>
              </w:rPr>
              <w:t>102</w:t>
            </w:r>
          </w:p>
        </w:tc>
        <w:tc>
          <w:tcPr>
            <w:tcW w:w="772" w:type="pct"/>
            <w:vMerge w:val="continue"/>
            <w:vAlign w:val="center"/>
          </w:tcPr>
          <w:p w14:paraId="5E92266D">
            <w:pPr>
              <w:widowControl/>
              <w:spacing w:line="240" w:lineRule="auto"/>
              <w:ind w:firstLine="0" w:firstLineChars="0"/>
              <w:jc w:val="center"/>
              <w:rPr>
                <w:color w:val="auto"/>
                <w:kern w:val="0"/>
                <w:sz w:val="21"/>
                <w:szCs w:val="21"/>
              </w:rPr>
            </w:pPr>
          </w:p>
        </w:tc>
        <w:tc>
          <w:tcPr>
            <w:tcW w:w="1145" w:type="pct"/>
            <w:vAlign w:val="center"/>
          </w:tcPr>
          <w:p w14:paraId="2C46D0F5">
            <w:pPr>
              <w:widowControl/>
              <w:spacing w:line="240" w:lineRule="auto"/>
              <w:ind w:firstLine="0" w:firstLineChars="0"/>
              <w:jc w:val="center"/>
              <w:rPr>
                <w:color w:val="auto"/>
                <w:kern w:val="0"/>
                <w:sz w:val="21"/>
                <w:szCs w:val="21"/>
              </w:rPr>
            </w:pPr>
          </w:p>
        </w:tc>
        <w:tc>
          <w:tcPr>
            <w:tcW w:w="1906" w:type="pct"/>
            <w:vAlign w:val="center"/>
          </w:tcPr>
          <w:p w14:paraId="2AB3372A">
            <w:pPr>
              <w:widowControl/>
              <w:spacing w:line="240" w:lineRule="auto"/>
              <w:ind w:firstLine="0" w:firstLineChars="0"/>
              <w:jc w:val="center"/>
              <w:rPr>
                <w:color w:val="auto"/>
                <w:kern w:val="0"/>
                <w:sz w:val="21"/>
                <w:szCs w:val="21"/>
              </w:rPr>
            </w:pPr>
          </w:p>
        </w:tc>
        <w:tc>
          <w:tcPr>
            <w:tcW w:w="785" w:type="pct"/>
            <w:vAlign w:val="center"/>
          </w:tcPr>
          <w:p w14:paraId="000E8D39">
            <w:pPr>
              <w:widowControl/>
              <w:spacing w:line="240" w:lineRule="auto"/>
              <w:ind w:firstLine="0" w:firstLineChars="0"/>
              <w:jc w:val="center"/>
              <w:rPr>
                <w:color w:val="auto"/>
                <w:kern w:val="0"/>
                <w:sz w:val="21"/>
                <w:szCs w:val="21"/>
              </w:rPr>
            </w:pPr>
          </w:p>
        </w:tc>
      </w:tr>
      <w:tr w14:paraId="33323A0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7F2D65A8">
            <w:pPr>
              <w:widowControl/>
              <w:spacing w:line="240" w:lineRule="auto"/>
              <w:ind w:firstLine="0" w:firstLineChars="0"/>
              <w:jc w:val="center"/>
              <w:rPr>
                <w:color w:val="auto"/>
                <w:kern w:val="0"/>
                <w:sz w:val="21"/>
                <w:szCs w:val="21"/>
              </w:rPr>
            </w:pPr>
            <w:r>
              <w:rPr>
                <w:rFonts w:hint="eastAsia"/>
                <w:color w:val="auto"/>
                <w:kern w:val="0"/>
                <w:sz w:val="21"/>
                <w:szCs w:val="21"/>
              </w:rPr>
              <w:t>103</w:t>
            </w:r>
          </w:p>
        </w:tc>
        <w:tc>
          <w:tcPr>
            <w:tcW w:w="772" w:type="pct"/>
            <w:vMerge w:val="continue"/>
            <w:vAlign w:val="center"/>
          </w:tcPr>
          <w:p w14:paraId="074F19C9">
            <w:pPr>
              <w:widowControl/>
              <w:spacing w:line="240" w:lineRule="auto"/>
              <w:ind w:firstLine="0" w:firstLineChars="0"/>
              <w:jc w:val="center"/>
              <w:rPr>
                <w:color w:val="auto"/>
                <w:kern w:val="0"/>
                <w:sz w:val="21"/>
                <w:szCs w:val="21"/>
              </w:rPr>
            </w:pPr>
          </w:p>
        </w:tc>
        <w:tc>
          <w:tcPr>
            <w:tcW w:w="1145" w:type="pct"/>
            <w:vAlign w:val="center"/>
          </w:tcPr>
          <w:p w14:paraId="2D5222BC">
            <w:pPr>
              <w:widowControl/>
              <w:spacing w:line="240" w:lineRule="auto"/>
              <w:ind w:firstLine="0" w:firstLineChars="0"/>
              <w:jc w:val="center"/>
              <w:rPr>
                <w:color w:val="auto"/>
                <w:kern w:val="0"/>
                <w:sz w:val="21"/>
                <w:szCs w:val="21"/>
              </w:rPr>
            </w:pPr>
          </w:p>
        </w:tc>
        <w:tc>
          <w:tcPr>
            <w:tcW w:w="1906" w:type="pct"/>
            <w:vAlign w:val="center"/>
          </w:tcPr>
          <w:p w14:paraId="7DCE1D9C">
            <w:pPr>
              <w:widowControl/>
              <w:spacing w:line="240" w:lineRule="auto"/>
              <w:ind w:firstLine="0" w:firstLineChars="0"/>
              <w:jc w:val="center"/>
              <w:rPr>
                <w:color w:val="auto"/>
                <w:kern w:val="0"/>
                <w:sz w:val="21"/>
                <w:szCs w:val="21"/>
              </w:rPr>
            </w:pPr>
          </w:p>
        </w:tc>
        <w:tc>
          <w:tcPr>
            <w:tcW w:w="785" w:type="pct"/>
            <w:vAlign w:val="center"/>
          </w:tcPr>
          <w:p w14:paraId="21363255">
            <w:pPr>
              <w:widowControl/>
              <w:spacing w:line="240" w:lineRule="auto"/>
              <w:ind w:firstLine="0" w:firstLineChars="0"/>
              <w:jc w:val="center"/>
              <w:rPr>
                <w:color w:val="auto"/>
                <w:kern w:val="0"/>
                <w:sz w:val="21"/>
                <w:szCs w:val="21"/>
              </w:rPr>
            </w:pPr>
          </w:p>
        </w:tc>
      </w:tr>
      <w:tr w14:paraId="2985196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74453F2">
            <w:pPr>
              <w:widowControl/>
              <w:spacing w:line="240" w:lineRule="auto"/>
              <w:ind w:firstLine="0" w:firstLineChars="0"/>
              <w:jc w:val="center"/>
              <w:rPr>
                <w:color w:val="auto"/>
                <w:kern w:val="0"/>
                <w:sz w:val="21"/>
                <w:szCs w:val="21"/>
              </w:rPr>
            </w:pPr>
            <w:r>
              <w:rPr>
                <w:rFonts w:hint="eastAsia"/>
                <w:color w:val="auto"/>
                <w:kern w:val="0"/>
                <w:sz w:val="21"/>
                <w:szCs w:val="21"/>
              </w:rPr>
              <w:t>104</w:t>
            </w:r>
          </w:p>
        </w:tc>
        <w:tc>
          <w:tcPr>
            <w:tcW w:w="772" w:type="pct"/>
            <w:vMerge w:val="continue"/>
            <w:vAlign w:val="center"/>
          </w:tcPr>
          <w:p w14:paraId="58D84087">
            <w:pPr>
              <w:widowControl/>
              <w:spacing w:line="240" w:lineRule="auto"/>
              <w:ind w:firstLine="0" w:firstLineChars="0"/>
              <w:jc w:val="center"/>
              <w:rPr>
                <w:color w:val="auto"/>
                <w:kern w:val="0"/>
                <w:sz w:val="21"/>
                <w:szCs w:val="21"/>
              </w:rPr>
            </w:pPr>
          </w:p>
        </w:tc>
        <w:tc>
          <w:tcPr>
            <w:tcW w:w="1145" w:type="pct"/>
            <w:vAlign w:val="center"/>
          </w:tcPr>
          <w:p w14:paraId="6C21AC19">
            <w:pPr>
              <w:widowControl/>
              <w:spacing w:line="240" w:lineRule="auto"/>
              <w:ind w:firstLine="0" w:firstLineChars="0"/>
              <w:jc w:val="center"/>
              <w:rPr>
                <w:color w:val="auto"/>
                <w:kern w:val="0"/>
                <w:sz w:val="21"/>
                <w:szCs w:val="21"/>
              </w:rPr>
            </w:pPr>
          </w:p>
        </w:tc>
        <w:tc>
          <w:tcPr>
            <w:tcW w:w="1906" w:type="pct"/>
            <w:vAlign w:val="center"/>
          </w:tcPr>
          <w:p w14:paraId="405E12FF">
            <w:pPr>
              <w:widowControl/>
              <w:spacing w:line="240" w:lineRule="auto"/>
              <w:ind w:firstLine="0" w:firstLineChars="0"/>
              <w:jc w:val="center"/>
              <w:rPr>
                <w:color w:val="auto"/>
                <w:kern w:val="0"/>
                <w:sz w:val="21"/>
                <w:szCs w:val="21"/>
              </w:rPr>
            </w:pPr>
          </w:p>
        </w:tc>
        <w:tc>
          <w:tcPr>
            <w:tcW w:w="785" w:type="pct"/>
            <w:vAlign w:val="center"/>
          </w:tcPr>
          <w:p w14:paraId="6C45A51A">
            <w:pPr>
              <w:widowControl/>
              <w:spacing w:line="240" w:lineRule="auto"/>
              <w:ind w:firstLine="0" w:firstLineChars="0"/>
              <w:jc w:val="center"/>
              <w:rPr>
                <w:color w:val="auto"/>
                <w:kern w:val="0"/>
                <w:sz w:val="21"/>
                <w:szCs w:val="21"/>
              </w:rPr>
            </w:pPr>
          </w:p>
        </w:tc>
      </w:tr>
      <w:tr w14:paraId="6CD59F3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trHeight w:val="60" w:hRule="atLeast"/>
          <w:tblHeader/>
          <w:jc w:val="center"/>
        </w:trPr>
        <w:tc>
          <w:tcPr>
            <w:tcW w:w="389" w:type="pct"/>
            <w:vAlign w:val="center"/>
          </w:tcPr>
          <w:p w14:paraId="23EE908F">
            <w:pPr>
              <w:widowControl/>
              <w:spacing w:line="240" w:lineRule="auto"/>
              <w:ind w:firstLine="0" w:firstLineChars="0"/>
              <w:jc w:val="center"/>
              <w:rPr>
                <w:color w:val="auto"/>
                <w:kern w:val="0"/>
                <w:sz w:val="21"/>
                <w:szCs w:val="21"/>
              </w:rPr>
            </w:pPr>
            <w:r>
              <w:rPr>
                <w:rFonts w:hint="eastAsia"/>
                <w:color w:val="auto"/>
                <w:kern w:val="0"/>
                <w:sz w:val="21"/>
                <w:szCs w:val="21"/>
              </w:rPr>
              <w:t>105</w:t>
            </w:r>
          </w:p>
        </w:tc>
        <w:tc>
          <w:tcPr>
            <w:tcW w:w="772" w:type="pct"/>
            <w:vMerge w:val="continue"/>
            <w:vAlign w:val="center"/>
          </w:tcPr>
          <w:p w14:paraId="57536C3A">
            <w:pPr>
              <w:widowControl/>
              <w:spacing w:line="240" w:lineRule="auto"/>
              <w:ind w:firstLine="0" w:firstLineChars="0"/>
              <w:jc w:val="center"/>
              <w:rPr>
                <w:color w:val="auto"/>
                <w:kern w:val="0"/>
                <w:sz w:val="21"/>
                <w:szCs w:val="21"/>
              </w:rPr>
            </w:pPr>
          </w:p>
        </w:tc>
        <w:tc>
          <w:tcPr>
            <w:tcW w:w="1145" w:type="pct"/>
            <w:vAlign w:val="center"/>
          </w:tcPr>
          <w:p w14:paraId="38626CD3">
            <w:pPr>
              <w:widowControl/>
              <w:spacing w:line="240" w:lineRule="auto"/>
              <w:ind w:firstLine="0" w:firstLineChars="0"/>
              <w:jc w:val="center"/>
              <w:rPr>
                <w:color w:val="auto"/>
                <w:kern w:val="0"/>
                <w:sz w:val="21"/>
                <w:szCs w:val="21"/>
              </w:rPr>
            </w:pPr>
          </w:p>
        </w:tc>
        <w:tc>
          <w:tcPr>
            <w:tcW w:w="1906" w:type="pct"/>
            <w:vAlign w:val="center"/>
          </w:tcPr>
          <w:p w14:paraId="031D1E08">
            <w:pPr>
              <w:widowControl/>
              <w:spacing w:line="240" w:lineRule="auto"/>
              <w:ind w:firstLine="0" w:firstLineChars="0"/>
              <w:jc w:val="center"/>
              <w:rPr>
                <w:color w:val="auto"/>
                <w:kern w:val="0"/>
                <w:sz w:val="21"/>
                <w:szCs w:val="21"/>
              </w:rPr>
            </w:pPr>
          </w:p>
        </w:tc>
        <w:tc>
          <w:tcPr>
            <w:tcW w:w="785" w:type="pct"/>
            <w:vAlign w:val="center"/>
          </w:tcPr>
          <w:p w14:paraId="4F7EE9EA">
            <w:pPr>
              <w:widowControl/>
              <w:spacing w:line="240" w:lineRule="auto"/>
              <w:ind w:firstLine="0" w:firstLineChars="0"/>
              <w:jc w:val="center"/>
              <w:rPr>
                <w:color w:val="auto"/>
                <w:kern w:val="0"/>
                <w:sz w:val="21"/>
                <w:szCs w:val="21"/>
              </w:rPr>
            </w:pPr>
          </w:p>
        </w:tc>
      </w:tr>
      <w:tr w14:paraId="00304A1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D98A5D4">
            <w:pPr>
              <w:widowControl/>
              <w:spacing w:line="240" w:lineRule="auto"/>
              <w:ind w:firstLine="0" w:firstLineChars="0"/>
              <w:jc w:val="center"/>
              <w:rPr>
                <w:color w:val="auto"/>
                <w:kern w:val="0"/>
                <w:sz w:val="21"/>
                <w:szCs w:val="21"/>
              </w:rPr>
            </w:pPr>
            <w:r>
              <w:rPr>
                <w:rFonts w:hint="eastAsia"/>
                <w:color w:val="auto"/>
                <w:kern w:val="0"/>
                <w:sz w:val="21"/>
                <w:szCs w:val="21"/>
              </w:rPr>
              <w:t>106</w:t>
            </w:r>
          </w:p>
        </w:tc>
        <w:tc>
          <w:tcPr>
            <w:tcW w:w="772" w:type="pct"/>
            <w:vMerge w:val="continue"/>
            <w:vAlign w:val="center"/>
          </w:tcPr>
          <w:p w14:paraId="0F6D68F8">
            <w:pPr>
              <w:widowControl/>
              <w:spacing w:line="240" w:lineRule="auto"/>
              <w:ind w:firstLine="0" w:firstLineChars="0"/>
              <w:jc w:val="center"/>
              <w:rPr>
                <w:color w:val="auto"/>
                <w:kern w:val="0"/>
                <w:sz w:val="21"/>
                <w:szCs w:val="21"/>
              </w:rPr>
            </w:pPr>
          </w:p>
        </w:tc>
        <w:tc>
          <w:tcPr>
            <w:tcW w:w="1145" w:type="pct"/>
            <w:vAlign w:val="center"/>
          </w:tcPr>
          <w:p w14:paraId="6490F323">
            <w:pPr>
              <w:widowControl/>
              <w:spacing w:line="240" w:lineRule="auto"/>
              <w:ind w:firstLine="0" w:firstLineChars="0"/>
              <w:jc w:val="center"/>
              <w:rPr>
                <w:color w:val="auto"/>
                <w:kern w:val="0"/>
                <w:sz w:val="21"/>
                <w:szCs w:val="21"/>
              </w:rPr>
            </w:pPr>
          </w:p>
        </w:tc>
        <w:tc>
          <w:tcPr>
            <w:tcW w:w="1906" w:type="pct"/>
            <w:vAlign w:val="center"/>
          </w:tcPr>
          <w:p w14:paraId="041BF3D7">
            <w:pPr>
              <w:widowControl/>
              <w:spacing w:line="240" w:lineRule="auto"/>
              <w:ind w:firstLine="0" w:firstLineChars="0"/>
              <w:jc w:val="center"/>
              <w:rPr>
                <w:color w:val="auto"/>
                <w:kern w:val="0"/>
                <w:sz w:val="21"/>
                <w:szCs w:val="21"/>
              </w:rPr>
            </w:pPr>
          </w:p>
        </w:tc>
        <w:tc>
          <w:tcPr>
            <w:tcW w:w="785" w:type="pct"/>
            <w:vAlign w:val="center"/>
          </w:tcPr>
          <w:p w14:paraId="165705C2">
            <w:pPr>
              <w:widowControl/>
              <w:spacing w:line="240" w:lineRule="auto"/>
              <w:ind w:firstLine="0" w:firstLineChars="0"/>
              <w:jc w:val="center"/>
              <w:rPr>
                <w:color w:val="auto"/>
                <w:kern w:val="0"/>
                <w:sz w:val="21"/>
                <w:szCs w:val="21"/>
              </w:rPr>
            </w:pPr>
          </w:p>
        </w:tc>
      </w:tr>
      <w:tr w14:paraId="736AF6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2C85C22">
            <w:pPr>
              <w:widowControl/>
              <w:spacing w:line="240" w:lineRule="auto"/>
              <w:ind w:firstLine="0" w:firstLineChars="0"/>
              <w:jc w:val="center"/>
              <w:rPr>
                <w:color w:val="auto"/>
                <w:kern w:val="0"/>
                <w:sz w:val="21"/>
                <w:szCs w:val="21"/>
              </w:rPr>
            </w:pPr>
            <w:r>
              <w:rPr>
                <w:rFonts w:hint="eastAsia"/>
                <w:color w:val="auto"/>
                <w:kern w:val="0"/>
                <w:sz w:val="21"/>
                <w:szCs w:val="21"/>
              </w:rPr>
              <w:t>107</w:t>
            </w:r>
          </w:p>
        </w:tc>
        <w:tc>
          <w:tcPr>
            <w:tcW w:w="772" w:type="pct"/>
            <w:vMerge w:val="continue"/>
            <w:vAlign w:val="center"/>
          </w:tcPr>
          <w:p w14:paraId="367176E3">
            <w:pPr>
              <w:widowControl/>
              <w:spacing w:line="240" w:lineRule="auto"/>
              <w:ind w:firstLine="0" w:firstLineChars="0"/>
              <w:jc w:val="center"/>
              <w:rPr>
                <w:color w:val="auto"/>
                <w:kern w:val="0"/>
                <w:sz w:val="21"/>
                <w:szCs w:val="21"/>
              </w:rPr>
            </w:pPr>
          </w:p>
        </w:tc>
        <w:tc>
          <w:tcPr>
            <w:tcW w:w="1145" w:type="pct"/>
            <w:vAlign w:val="center"/>
          </w:tcPr>
          <w:p w14:paraId="2CCF5B42">
            <w:pPr>
              <w:widowControl/>
              <w:spacing w:line="240" w:lineRule="auto"/>
              <w:ind w:firstLine="0" w:firstLineChars="0"/>
              <w:jc w:val="center"/>
              <w:rPr>
                <w:color w:val="auto"/>
                <w:kern w:val="0"/>
                <w:sz w:val="21"/>
                <w:szCs w:val="21"/>
              </w:rPr>
            </w:pPr>
          </w:p>
        </w:tc>
        <w:tc>
          <w:tcPr>
            <w:tcW w:w="1906" w:type="pct"/>
            <w:vAlign w:val="center"/>
          </w:tcPr>
          <w:p w14:paraId="53069CF3">
            <w:pPr>
              <w:widowControl/>
              <w:spacing w:line="240" w:lineRule="auto"/>
              <w:ind w:firstLine="0" w:firstLineChars="0"/>
              <w:jc w:val="center"/>
              <w:rPr>
                <w:color w:val="auto"/>
                <w:kern w:val="0"/>
                <w:sz w:val="21"/>
                <w:szCs w:val="21"/>
              </w:rPr>
            </w:pPr>
          </w:p>
        </w:tc>
        <w:tc>
          <w:tcPr>
            <w:tcW w:w="785" w:type="pct"/>
            <w:vAlign w:val="center"/>
          </w:tcPr>
          <w:p w14:paraId="4A0EB26A">
            <w:pPr>
              <w:widowControl/>
              <w:spacing w:line="240" w:lineRule="auto"/>
              <w:ind w:firstLine="0" w:firstLineChars="0"/>
              <w:jc w:val="center"/>
              <w:rPr>
                <w:color w:val="auto"/>
                <w:kern w:val="0"/>
                <w:sz w:val="21"/>
                <w:szCs w:val="21"/>
              </w:rPr>
            </w:pPr>
          </w:p>
        </w:tc>
      </w:tr>
      <w:tr w14:paraId="0A80D66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45FC4CEE">
            <w:pPr>
              <w:widowControl/>
              <w:spacing w:line="240" w:lineRule="auto"/>
              <w:ind w:firstLine="0" w:firstLineChars="0"/>
              <w:jc w:val="center"/>
              <w:rPr>
                <w:color w:val="auto"/>
                <w:kern w:val="0"/>
                <w:sz w:val="21"/>
                <w:szCs w:val="21"/>
              </w:rPr>
            </w:pPr>
            <w:r>
              <w:rPr>
                <w:rFonts w:hint="eastAsia"/>
                <w:color w:val="auto"/>
                <w:kern w:val="0"/>
                <w:sz w:val="21"/>
                <w:szCs w:val="21"/>
              </w:rPr>
              <w:t>108</w:t>
            </w:r>
          </w:p>
        </w:tc>
        <w:tc>
          <w:tcPr>
            <w:tcW w:w="772" w:type="pct"/>
            <w:vMerge w:val="continue"/>
            <w:vAlign w:val="center"/>
          </w:tcPr>
          <w:p w14:paraId="729CBFD1">
            <w:pPr>
              <w:widowControl/>
              <w:spacing w:line="240" w:lineRule="auto"/>
              <w:ind w:firstLine="0" w:firstLineChars="0"/>
              <w:jc w:val="center"/>
              <w:rPr>
                <w:color w:val="auto"/>
                <w:kern w:val="0"/>
                <w:sz w:val="21"/>
                <w:szCs w:val="21"/>
              </w:rPr>
            </w:pPr>
          </w:p>
        </w:tc>
        <w:tc>
          <w:tcPr>
            <w:tcW w:w="1145" w:type="pct"/>
            <w:vAlign w:val="center"/>
          </w:tcPr>
          <w:p w14:paraId="756FA200">
            <w:pPr>
              <w:widowControl/>
              <w:spacing w:line="240" w:lineRule="auto"/>
              <w:ind w:firstLine="0" w:firstLineChars="0"/>
              <w:jc w:val="center"/>
              <w:rPr>
                <w:color w:val="auto"/>
                <w:kern w:val="0"/>
                <w:sz w:val="21"/>
                <w:szCs w:val="21"/>
              </w:rPr>
            </w:pPr>
          </w:p>
        </w:tc>
        <w:tc>
          <w:tcPr>
            <w:tcW w:w="1906" w:type="pct"/>
            <w:vAlign w:val="center"/>
          </w:tcPr>
          <w:p w14:paraId="50C0C951">
            <w:pPr>
              <w:widowControl/>
              <w:spacing w:line="240" w:lineRule="auto"/>
              <w:ind w:firstLine="0" w:firstLineChars="0"/>
              <w:jc w:val="center"/>
              <w:rPr>
                <w:color w:val="auto"/>
                <w:kern w:val="0"/>
                <w:sz w:val="21"/>
                <w:szCs w:val="21"/>
              </w:rPr>
            </w:pPr>
          </w:p>
        </w:tc>
        <w:tc>
          <w:tcPr>
            <w:tcW w:w="785" w:type="pct"/>
            <w:vAlign w:val="center"/>
          </w:tcPr>
          <w:p w14:paraId="59305833">
            <w:pPr>
              <w:widowControl/>
              <w:spacing w:line="240" w:lineRule="auto"/>
              <w:ind w:firstLine="0" w:firstLineChars="0"/>
              <w:jc w:val="center"/>
              <w:rPr>
                <w:color w:val="auto"/>
                <w:kern w:val="0"/>
                <w:sz w:val="21"/>
                <w:szCs w:val="21"/>
              </w:rPr>
            </w:pPr>
          </w:p>
        </w:tc>
      </w:tr>
      <w:tr w14:paraId="543F576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486552F9">
            <w:pPr>
              <w:widowControl/>
              <w:spacing w:line="240" w:lineRule="auto"/>
              <w:ind w:firstLine="0" w:firstLineChars="0"/>
              <w:jc w:val="center"/>
              <w:rPr>
                <w:color w:val="auto"/>
                <w:kern w:val="0"/>
                <w:sz w:val="21"/>
                <w:szCs w:val="21"/>
              </w:rPr>
            </w:pPr>
            <w:r>
              <w:rPr>
                <w:rFonts w:hint="eastAsia"/>
                <w:color w:val="auto"/>
                <w:kern w:val="0"/>
                <w:sz w:val="21"/>
                <w:szCs w:val="21"/>
              </w:rPr>
              <w:t>109</w:t>
            </w:r>
          </w:p>
        </w:tc>
        <w:tc>
          <w:tcPr>
            <w:tcW w:w="772" w:type="pct"/>
            <w:vMerge w:val="continue"/>
            <w:vAlign w:val="center"/>
          </w:tcPr>
          <w:p w14:paraId="35FE5782">
            <w:pPr>
              <w:widowControl/>
              <w:spacing w:line="240" w:lineRule="auto"/>
              <w:ind w:firstLine="0" w:firstLineChars="0"/>
              <w:jc w:val="center"/>
              <w:rPr>
                <w:color w:val="auto"/>
                <w:kern w:val="0"/>
                <w:sz w:val="21"/>
                <w:szCs w:val="21"/>
              </w:rPr>
            </w:pPr>
          </w:p>
        </w:tc>
        <w:tc>
          <w:tcPr>
            <w:tcW w:w="1145" w:type="pct"/>
            <w:vAlign w:val="center"/>
          </w:tcPr>
          <w:p w14:paraId="610AEDBC">
            <w:pPr>
              <w:widowControl/>
              <w:spacing w:line="240" w:lineRule="auto"/>
              <w:ind w:firstLine="0" w:firstLineChars="0"/>
              <w:jc w:val="center"/>
              <w:rPr>
                <w:color w:val="auto"/>
                <w:kern w:val="0"/>
                <w:sz w:val="21"/>
                <w:szCs w:val="21"/>
              </w:rPr>
            </w:pPr>
          </w:p>
        </w:tc>
        <w:tc>
          <w:tcPr>
            <w:tcW w:w="1906" w:type="pct"/>
            <w:vAlign w:val="center"/>
          </w:tcPr>
          <w:p w14:paraId="6E88729F">
            <w:pPr>
              <w:widowControl/>
              <w:spacing w:line="240" w:lineRule="auto"/>
              <w:ind w:firstLine="0" w:firstLineChars="0"/>
              <w:jc w:val="center"/>
              <w:rPr>
                <w:color w:val="auto"/>
                <w:kern w:val="0"/>
                <w:sz w:val="21"/>
                <w:szCs w:val="21"/>
              </w:rPr>
            </w:pPr>
          </w:p>
        </w:tc>
        <w:tc>
          <w:tcPr>
            <w:tcW w:w="785" w:type="pct"/>
            <w:vAlign w:val="center"/>
          </w:tcPr>
          <w:p w14:paraId="7EDA0E0F">
            <w:pPr>
              <w:widowControl/>
              <w:spacing w:line="240" w:lineRule="auto"/>
              <w:ind w:firstLine="0" w:firstLineChars="0"/>
              <w:jc w:val="center"/>
              <w:rPr>
                <w:color w:val="auto"/>
                <w:kern w:val="0"/>
                <w:sz w:val="21"/>
                <w:szCs w:val="21"/>
              </w:rPr>
            </w:pPr>
          </w:p>
        </w:tc>
      </w:tr>
      <w:tr w14:paraId="75FE97C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7872B61">
            <w:pPr>
              <w:widowControl/>
              <w:spacing w:line="240" w:lineRule="auto"/>
              <w:ind w:firstLine="0" w:firstLineChars="0"/>
              <w:jc w:val="center"/>
              <w:rPr>
                <w:color w:val="auto"/>
                <w:kern w:val="0"/>
                <w:sz w:val="21"/>
                <w:szCs w:val="21"/>
              </w:rPr>
            </w:pPr>
            <w:r>
              <w:rPr>
                <w:rFonts w:hint="eastAsia"/>
                <w:color w:val="auto"/>
                <w:kern w:val="0"/>
                <w:sz w:val="21"/>
                <w:szCs w:val="21"/>
              </w:rPr>
              <w:t>110</w:t>
            </w:r>
          </w:p>
        </w:tc>
        <w:tc>
          <w:tcPr>
            <w:tcW w:w="772" w:type="pct"/>
            <w:vMerge w:val="continue"/>
            <w:vAlign w:val="center"/>
          </w:tcPr>
          <w:p w14:paraId="78574A58">
            <w:pPr>
              <w:widowControl/>
              <w:spacing w:line="240" w:lineRule="auto"/>
              <w:ind w:firstLine="0" w:firstLineChars="0"/>
              <w:jc w:val="center"/>
              <w:rPr>
                <w:color w:val="auto"/>
                <w:kern w:val="0"/>
                <w:sz w:val="21"/>
                <w:szCs w:val="21"/>
              </w:rPr>
            </w:pPr>
          </w:p>
        </w:tc>
        <w:tc>
          <w:tcPr>
            <w:tcW w:w="1145" w:type="pct"/>
            <w:vAlign w:val="center"/>
          </w:tcPr>
          <w:p w14:paraId="0B5877C8">
            <w:pPr>
              <w:widowControl/>
              <w:spacing w:line="240" w:lineRule="auto"/>
              <w:ind w:firstLine="0" w:firstLineChars="0"/>
              <w:jc w:val="center"/>
              <w:rPr>
                <w:color w:val="auto"/>
                <w:kern w:val="0"/>
                <w:sz w:val="21"/>
                <w:szCs w:val="21"/>
              </w:rPr>
            </w:pPr>
          </w:p>
        </w:tc>
        <w:tc>
          <w:tcPr>
            <w:tcW w:w="1906" w:type="pct"/>
            <w:vAlign w:val="center"/>
          </w:tcPr>
          <w:p w14:paraId="29161B30">
            <w:pPr>
              <w:widowControl/>
              <w:spacing w:line="240" w:lineRule="auto"/>
              <w:ind w:firstLine="0" w:firstLineChars="0"/>
              <w:jc w:val="center"/>
              <w:rPr>
                <w:color w:val="auto"/>
                <w:kern w:val="0"/>
                <w:sz w:val="21"/>
                <w:szCs w:val="21"/>
              </w:rPr>
            </w:pPr>
          </w:p>
        </w:tc>
        <w:tc>
          <w:tcPr>
            <w:tcW w:w="785" w:type="pct"/>
            <w:vAlign w:val="center"/>
          </w:tcPr>
          <w:p w14:paraId="21BD59DC">
            <w:pPr>
              <w:widowControl/>
              <w:spacing w:line="240" w:lineRule="auto"/>
              <w:ind w:firstLine="0" w:firstLineChars="0"/>
              <w:jc w:val="center"/>
              <w:rPr>
                <w:color w:val="auto"/>
                <w:kern w:val="0"/>
                <w:sz w:val="21"/>
                <w:szCs w:val="21"/>
              </w:rPr>
            </w:pPr>
          </w:p>
        </w:tc>
      </w:tr>
      <w:tr w14:paraId="17FB327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594304C7">
            <w:pPr>
              <w:widowControl/>
              <w:spacing w:line="240" w:lineRule="auto"/>
              <w:ind w:firstLine="0" w:firstLineChars="0"/>
              <w:jc w:val="center"/>
              <w:rPr>
                <w:color w:val="auto"/>
                <w:kern w:val="0"/>
                <w:sz w:val="21"/>
                <w:szCs w:val="21"/>
              </w:rPr>
            </w:pPr>
            <w:r>
              <w:rPr>
                <w:rFonts w:hint="eastAsia"/>
                <w:color w:val="auto"/>
                <w:kern w:val="0"/>
                <w:sz w:val="21"/>
                <w:szCs w:val="21"/>
              </w:rPr>
              <w:t>111</w:t>
            </w:r>
          </w:p>
        </w:tc>
        <w:tc>
          <w:tcPr>
            <w:tcW w:w="772" w:type="pct"/>
            <w:vMerge w:val="continue"/>
            <w:vAlign w:val="center"/>
          </w:tcPr>
          <w:p w14:paraId="41AE3D86">
            <w:pPr>
              <w:widowControl/>
              <w:spacing w:line="240" w:lineRule="auto"/>
              <w:ind w:firstLine="0" w:firstLineChars="0"/>
              <w:jc w:val="center"/>
              <w:rPr>
                <w:color w:val="auto"/>
                <w:kern w:val="0"/>
                <w:sz w:val="21"/>
                <w:szCs w:val="21"/>
              </w:rPr>
            </w:pPr>
          </w:p>
        </w:tc>
        <w:tc>
          <w:tcPr>
            <w:tcW w:w="1145" w:type="pct"/>
            <w:vAlign w:val="center"/>
          </w:tcPr>
          <w:p w14:paraId="5F684AE8">
            <w:pPr>
              <w:widowControl/>
              <w:spacing w:line="240" w:lineRule="auto"/>
              <w:ind w:firstLine="0" w:firstLineChars="0"/>
              <w:jc w:val="center"/>
              <w:rPr>
                <w:color w:val="auto"/>
                <w:kern w:val="0"/>
                <w:sz w:val="21"/>
                <w:szCs w:val="21"/>
              </w:rPr>
            </w:pPr>
          </w:p>
        </w:tc>
        <w:tc>
          <w:tcPr>
            <w:tcW w:w="1906" w:type="pct"/>
            <w:vAlign w:val="center"/>
          </w:tcPr>
          <w:p w14:paraId="39288131">
            <w:pPr>
              <w:widowControl/>
              <w:spacing w:line="240" w:lineRule="auto"/>
              <w:ind w:firstLine="0" w:firstLineChars="0"/>
              <w:jc w:val="center"/>
              <w:rPr>
                <w:color w:val="auto"/>
                <w:kern w:val="0"/>
                <w:sz w:val="21"/>
                <w:szCs w:val="21"/>
              </w:rPr>
            </w:pPr>
          </w:p>
        </w:tc>
        <w:tc>
          <w:tcPr>
            <w:tcW w:w="785" w:type="pct"/>
            <w:vAlign w:val="center"/>
          </w:tcPr>
          <w:p w14:paraId="75C7F11C">
            <w:pPr>
              <w:widowControl/>
              <w:spacing w:line="240" w:lineRule="auto"/>
              <w:ind w:firstLine="0" w:firstLineChars="0"/>
              <w:jc w:val="center"/>
              <w:rPr>
                <w:color w:val="auto"/>
                <w:kern w:val="0"/>
                <w:sz w:val="21"/>
                <w:szCs w:val="21"/>
              </w:rPr>
            </w:pPr>
          </w:p>
        </w:tc>
      </w:tr>
      <w:tr w14:paraId="4D4DA14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0501639D">
            <w:pPr>
              <w:widowControl/>
              <w:spacing w:line="240" w:lineRule="auto"/>
              <w:ind w:firstLine="0" w:firstLineChars="0"/>
              <w:jc w:val="center"/>
              <w:rPr>
                <w:color w:val="auto"/>
                <w:kern w:val="0"/>
                <w:sz w:val="21"/>
                <w:szCs w:val="21"/>
              </w:rPr>
            </w:pPr>
            <w:r>
              <w:rPr>
                <w:rFonts w:hint="eastAsia"/>
                <w:color w:val="auto"/>
                <w:kern w:val="0"/>
                <w:sz w:val="21"/>
                <w:szCs w:val="21"/>
              </w:rPr>
              <w:t>112</w:t>
            </w:r>
          </w:p>
        </w:tc>
        <w:tc>
          <w:tcPr>
            <w:tcW w:w="772" w:type="pct"/>
            <w:vMerge w:val="continue"/>
            <w:vAlign w:val="center"/>
          </w:tcPr>
          <w:p w14:paraId="223239CC">
            <w:pPr>
              <w:widowControl/>
              <w:spacing w:line="240" w:lineRule="auto"/>
              <w:ind w:firstLine="0" w:firstLineChars="0"/>
              <w:jc w:val="center"/>
              <w:rPr>
                <w:color w:val="auto"/>
                <w:kern w:val="0"/>
                <w:sz w:val="21"/>
                <w:szCs w:val="21"/>
              </w:rPr>
            </w:pPr>
          </w:p>
        </w:tc>
        <w:tc>
          <w:tcPr>
            <w:tcW w:w="1145" w:type="pct"/>
            <w:vAlign w:val="center"/>
          </w:tcPr>
          <w:p w14:paraId="38814930">
            <w:pPr>
              <w:widowControl/>
              <w:spacing w:line="240" w:lineRule="auto"/>
              <w:ind w:firstLine="0" w:firstLineChars="0"/>
              <w:jc w:val="center"/>
              <w:rPr>
                <w:color w:val="auto"/>
                <w:kern w:val="0"/>
                <w:sz w:val="21"/>
                <w:szCs w:val="21"/>
              </w:rPr>
            </w:pPr>
          </w:p>
        </w:tc>
        <w:tc>
          <w:tcPr>
            <w:tcW w:w="1906" w:type="pct"/>
            <w:vAlign w:val="center"/>
          </w:tcPr>
          <w:p w14:paraId="73582EC4">
            <w:pPr>
              <w:widowControl/>
              <w:spacing w:line="240" w:lineRule="auto"/>
              <w:ind w:firstLine="0" w:firstLineChars="0"/>
              <w:jc w:val="center"/>
              <w:rPr>
                <w:color w:val="auto"/>
                <w:kern w:val="0"/>
                <w:sz w:val="21"/>
                <w:szCs w:val="21"/>
              </w:rPr>
            </w:pPr>
          </w:p>
        </w:tc>
        <w:tc>
          <w:tcPr>
            <w:tcW w:w="785" w:type="pct"/>
            <w:vAlign w:val="center"/>
          </w:tcPr>
          <w:p w14:paraId="2B24EF16">
            <w:pPr>
              <w:widowControl/>
              <w:spacing w:line="240" w:lineRule="auto"/>
              <w:ind w:firstLine="0" w:firstLineChars="0"/>
              <w:jc w:val="center"/>
              <w:rPr>
                <w:color w:val="auto"/>
                <w:kern w:val="0"/>
                <w:sz w:val="21"/>
                <w:szCs w:val="21"/>
              </w:rPr>
            </w:pPr>
          </w:p>
        </w:tc>
      </w:tr>
      <w:tr w14:paraId="148FD2B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20810D77">
            <w:pPr>
              <w:widowControl/>
              <w:spacing w:line="240" w:lineRule="auto"/>
              <w:ind w:firstLine="0" w:firstLineChars="0"/>
              <w:jc w:val="center"/>
              <w:rPr>
                <w:color w:val="auto"/>
                <w:kern w:val="0"/>
                <w:sz w:val="21"/>
                <w:szCs w:val="21"/>
              </w:rPr>
            </w:pPr>
            <w:r>
              <w:rPr>
                <w:rFonts w:hint="eastAsia"/>
                <w:color w:val="auto"/>
                <w:kern w:val="0"/>
                <w:sz w:val="21"/>
                <w:szCs w:val="21"/>
              </w:rPr>
              <w:t>113</w:t>
            </w:r>
          </w:p>
        </w:tc>
        <w:tc>
          <w:tcPr>
            <w:tcW w:w="772" w:type="pct"/>
            <w:vMerge w:val="continue"/>
            <w:vAlign w:val="center"/>
          </w:tcPr>
          <w:p w14:paraId="4435FA87">
            <w:pPr>
              <w:widowControl/>
              <w:spacing w:line="240" w:lineRule="auto"/>
              <w:ind w:firstLine="0" w:firstLineChars="0"/>
              <w:jc w:val="center"/>
              <w:rPr>
                <w:color w:val="auto"/>
                <w:kern w:val="0"/>
                <w:sz w:val="21"/>
                <w:szCs w:val="21"/>
              </w:rPr>
            </w:pPr>
          </w:p>
        </w:tc>
        <w:tc>
          <w:tcPr>
            <w:tcW w:w="1145" w:type="pct"/>
            <w:vAlign w:val="center"/>
          </w:tcPr>
          <w:p w14:paraId="6320DCBB">
            <w:pPr>
              <w:widowControl/>
              <w:spacing w:line="240" w:lineRule="auto"/>
              <w:ind w:firstLine="0" w:firstLineChars="0"/>
              <w:jc w:val="center"/>
              <w:rPr>
                <w:color w:val="auto"/>
                <w:kern w:val="0"/>
                <w:sz w:val="21"/>
                <w:szCs w:val="21"/>
              </w:rPr>
            </w:pPr>
          </w:p>
        </w:tc>
        <w:tc>
          <w:tcPr>
            <w:tcW w:w="1906" w:type="pct"/>
            <w:vAlign w:val="center"/>
          </w:tcPr>
          <w:p w14:paraId="1774C3FC">
            <w:pPr>
              <w:widowControl/>
              <w:spacing w:line="240" w:lineRule="auto"/>
              <w:ind w:firstLine="0" w:firstLineChars="0"/>
              <w:jc w:val="center"/>
              <w:rPr>
                <w:color w:val="auto"/>
                <w:kern w:val="0"/>
                <w:sz w:val="21"/>
                <w:szCs w:val="21"/>
              </w:rPr>
            </w:pPr>
          </w:p>
        </w:tc>
        <w:tc>
          <w:tcPr>
            <w:tcW w:w="785" w:type="pct"/>
            <w:vAlign w:val="center"/>
          </w:tcPr>
          <w:p w14:paraId="727058B8">
            <w:pPr>
              <w:widowControl/>
              <w:spacing w:line="240" w:lineRule="auto"/>
              <w:ind w:firstLine="0" w:firstLineChars="0"/>
              <w:jc w:val="center"/>
              <w:rPr>
                <w:color w:val="auto"/>
                <w:kern w:val="0"/>
                <w:sz w:val="21"/>
                <w:szCs w:val="21"/>
              </w:rPr>
            </w:pPr>
          </w:p>
        </w:tc>
      </w:tr>
      <w:tr w14:paraId="4B0E643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34E1CF13">
            <w:pPr>
              <w:widowControl/>
              <w:spacing w:line="240" w:lineRule="auto"/>
              <w:ind w:firstLine="0" w:firstLineChars="0"/>
              <w:jc w:val="center"/>
              <w:rPr>
                <w:color w:val="auto"/>
                <w:kern w:val="0"/>
                <w:sz w:val="21"/>
                <w:szCs w:val="21"/>
              </w:rPr>
            </w:pPr>
            <w:r>
              <w:rPr>
                <w:rFonts w:hint="eastAsia"/>
                <w:color w:val="auto"/>
                <w:kern w:val="0"/>
                <w:sz w:val="21"/>
                <w:szCs w:val="21"/>
              </w:rPr>
              <w:t>114</w:t>
            </w:r>
          </w:p>
        </w:tc>
        <w:tc>
          <w:tcPr>
            <w:tcW w:w="772" w:type="pct"/>
            <w:vMerge w:val="continue"/>
            <w:vAlign w:val="center"/>
          </w:tcPr>
          <w:p w14:paraId="1D775FC4">
            <w:pPr>
              <w:widowControl/>
              <w:spacing w:line="240" w:lineRule="auto"/>
              <w:ind w:firstLine="0" w:firstLineChars="0"/>
              <w:jc w:val="center"/>
              <w:rPr>
                <w:color w:val="auto"/>
                <w:kern w:val="0"/>
                <w:sz w:val="21"/>
                <w:szCs w:val="21"/>
              </w:rPr>
            </w:pPr>
          </w:p>
        </w:tc>
        <w:tc>
          <w:tcPr>
            <w:tcW w:w="1145" w:type="pct"/>
            <w:vAlign w:val="center"/>
          </w:tcPr>
          <w:p w14:paraId="3F953DA1">
            <w:pPr>
              <w:widowControl/>
              <w:spacing w:line="240" w:lineRule="auto"/>
              <w:ind w:firstLine="0" w:firstLineChars="0"/>
              <w:jc w:val="center"/>
              <w:rPr>
                <w:color w:val="auto"/>
                <w:kern w:val="0"/>
                <w:sz w:val="21"/>
                <w:szCs w:val="21"/>
              </w:rPr>
            </w:pPr>
          </w:p>
        </w:tc>
        <w:tc>
          <w:tcPr>
            <w:tcW w:w="1906" w:type="pct"/>
            <w:vAlign w:val="center"/>
          </w:tcPr>
          <w:p w14:paraId="113C371B">
            <w:pPr>
              <w:widowControl/>
              <w:spacing w:line="240" w:lineRule="auto"/>
              <w:ind w:firstLine="0" w:firstLineChars="0"/>
              <w:jc w:val="center"/>
              <w:rPr>
                <w:color w:val="auto"/>
                <w:kern w:val="0"/>
                <w:sz w:val="21"/>
                <w:szCs w:val="21"/>
              </w:rPr>
            </w:pPr>
          </w:p>
        </w:tc>
        <w:tc>
          <w:tcPr>
            <w:tcW w:w="785" w:type="pct"/>
            <w:vAlign w:val="center"/>
          </w:tcPr>
          <w:p w14:paraId="1488D76F">
            <w:pPr>
              <w:widowControl/>
              <w:spacing w:line="240" w:lineRule="auto"/>
              <w:ind w:firstLine="0" w:firstLineChars="0"/>
              <w:jc w:val="center"/>
              <w:rPr>
                <w:color w:val="auto"/>
                <w:kern w:val="0"/>
                <w:sz w:val="21"/>
                <w:szCs w:val="21"/>
              </w:rPr>
            </w:pPr>
          </w:p>
        </w:tc>
      </w:tr>
      <w:tr w14:paraId="3B2C465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2723D92">
            <w:pPr>
              <w:widowControl/>
              <w:spacing w:line="240" w:lineRule="auto"/>
              <w:ind w:firstLine="0" w:firstLineChars="0"/>
              <w:jc w:val="center"/>
              <w:rPr>
                <w:color w:val="auto"/>
                <w:kern w:val="0"/>
                <w:sz w:val="21"/>
                <w:szCs w:val="21"/>
              </w:rPr>
            </w:pPr>
            <w:r>
              <w:rPr>
                <w:rFonts w:hint="eastAsia"/>
                <w:color w:val="auto"/>
                <w:kern w:val="0"/>
                <w:sz w:val="21"/>
                <w:szCs w:val="21"/>
              </w:rPr>
              <w:t>115</w:t>
            </w:r>
          </w:p>
        </w:tc>
        <w:tc>
          <w:tcPr>
            <w:tcW w:w="772" w:type="pct"/>
            <w:vMerge w:val="continue"/>
            <w:vAlign w:val="center"/>
          </w:tcPr>
          <w:p w14:paraId="215A2C31">
            <w:pPr>
              <w:widowControl/>
              <w:spacing w:line="240" w:lineRule="auto"/>
              <w:ind w:firstLine="0" w:firstLineChars="0"/>
              <w:jc w:val="center"/>
              <w:rPr>
                <w:color w:val="auto"/>
                <w:kern w:val="0"/>
                <w:sz w:val="21"/>
                <w:szCs w:val="21"/>
              </w:rPr>
            </w:pPr>
          </w:p>
        </w:tc>
        <w:tc>
          <w:tcPr>
            <w:tcW w:w="1145" w:type="pct"/>
            <w:vAlign w:val="center"/>
          </w:tcPr>
          <w:p w14:paraId="283CA05A">
            <w:pPr>
              <w:widowControl/>
              <w:spacing w:line="240" w:lineRule="auto"/>
              <w:ind w:firstLine="0" w:firstLineChars="0"/>
              <w:jc w:val="center"/>
              <w:rPr>
                <w:color w:val="auto"/>
                <w:kern w:val="0"/>
                <w:sz w:val="21"/>
                <w:szCs w:val="21"/>
              </w:rPr>
            </w:pPr>
          </w:p>
        </w:tc>
        <w:tc>
          <w:tcPr>
            <w:tcW w:w="1906" w:type="pct"/>
            <w:vAlign w:val="center"/>
          </w:tcPr>
          <w:p w14:paraId="5FBB0D96">
            <w:pPr>
              <w:widowControl/>
              <w:spacing w:line="240" w:lineRule="auto"/>
              <w:ind w:firstLine="0" w:firstLineChars="0"/>
              <w:jc w:val="center"/>
              <w:rPr>
                <w:color w:val="auto"/>
                <w:kern w:val="0"/>
                <w:sz w:val="21"/>
                <w:szCs w:val="21"/>
              </w:rPr>
            </w:pPr>
          </w:p>
        </w:tc>
        <w:tc>
          <w:tcPr>
            <w:tcW w:w="785" w:type="pct"/>
            <w:vAlign w:val="center"/>
          </w:tcPr>
          <w:p w14:paraId="65C5B2B7">
            <w:pPr>
              <w:widowControl/>
              <w:spacing w:line="240" w:lineRule="auto"/>
              <w:ind w:firstLine="0" w:firstLineChars="0"/>
              <w:jc w:val="center"/>
              <w:rPr>
                <w:color w:val="auto"/>
                <w:kern w:val="0"/>
                <w:sz w:val="21"/>
                <w:szCs w:val="21"/>
              </w:rPr>
            </w:pPr>
          </w:p>
        </w:tc>
      </w:tr>
      <w:tr w14:paraId="6C78402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1FDB19DD">
            <w:pPr>
              <w:widowControl/>
              <w:spacing w:line="240" w:lineRule="auto"/>
              <w:ind w:firstLine="0" w:firstLineChars="0"/>
              <w:jc w:val="center"/>
              <w:rPr>
                <w:color w:val="auto"/>
                <w:kern w:val="0"/>
                <w:sz w:val="21"/>
                <w:szCs w:val="21"/>
              </w:rPr>
            </w:pPr>
            <w:r>
              <w:rPr>
                <w:rFonts w:hint="eastAsia"/>
                <w:color w:val="auto"/>
                <w:kern w:val="0"/>
                <w:sz w:val="21"/>
                <w:szCs w:val="21"/>
              </w:rPr>
              <w:t>116</w:t>
            </w:r>
          </w:p>
        </w:tc>
        <w:tc>
          <w:tcPr>
            <w:tcW w:w="772" w:type="pct"/>
            <w:vMerge w:val="continue"/>
            <w:vAlign w:val="center"/>
          </w:tcPr>
          <w:p w14:paraId="4F0662D9">
            <w:pPr>
              <w:widowControl/>
              <w:spacing w:line="240" w:lineRule="auto"/>
              <w:ind w:firstLine="0" w:firstLineChars="0"/>
              <w:jc w:val="center"/>
              <w:rPr>
                <w:color w:val="auto"/>
                <w:kern w:val="0"/>
                <w:sz w:val="21"/>
                <w:szCs w:val="21"/>
              </w:rPr>
            </w:pPr>
          </w:p>
        </w:tc>
        <w:tc>
          <w:tcPr>
            <w:tcW w:w="1145" w:type="pct"/>
            <w:vAlign w:val="center"/>
          </w:tcPr>
          <w:p w14:paraId="6331BC00">
            <w:pPr>
              <w:widowControl/>
              <w:spacing w:line="240" w:lineRule="auto"/>
              <w:ind w:firstLine="0" w:firstLineChars="0"/>
              <w:jc w:val="center"/>
              <w:rPr>
                <w:color w:val="auto"/>
                <w:kern w:val="0"/>
                <w:sz w:val="21"/>
                <w:szCs w:val="21"/>
              </w:rPr>
            </w:pPr>
          </w:p>
        </w:tc>
        <w:tc>
          <w:tcPr>
            <w:tcW w:w="1906" w:type="pct"/>
            <w:vAlign w:val="center"/>
          </w:tcPr>
          <w:p w14:paraId="56876EFA">
            <w:pPr>
              <w:widowControl/>
              <w:spacing w:line="240" w:lineRule="auto"/>
              <w:ind w:firstLine="0" w:firstLineChars="0"/>
              <w:jc w:val="center"/>
              <w:rPr>
                <w:color w:val="auto"/>
                <w:kern w:val="0"/>
                <w:sz w:val="21"/>
                <w:szCs w:val="21"/>
              </w:rPr>
            </w:pPr>
          </w:p>
        </w:tc>
        <w:tc>
          <w:tcPr>
            <w:tcW w:w="785" w:type="pct"/>
            <w:vAlign w:val="center"/>
          </w:tcPr>
          <w:p w14:paraId="1E030216">
            <w:pPr>
              <w:widowControl/>
              <w:spacing w:line="240" w:lineRule="auto"/>
              <w:ind w:firstLine="0" w:firstLineChars="0"/>
              <w:jc w:val="center"/>
              <w:rPr>
                <w:color w:val="auto"/>
                <w:kern w:val="0"/>
                <w:sz w:val="21"/>
                <w:szCs w:val="21"/>
              </w:rPr>
            </w:pPr>
          </w:p>
        </w:tc>
      </w:tr>
      <w:tr w14:paraId="12FB1D3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3C87719F">
            <w:pPr>
              <w:widowControl/>
              <w:spacing w:line="240" w:lineRule="auto"/>
              <w:ind w:firstLine="0" w:firstLineChars="0"/>
              <w:jc w:val="center"/>
              <w:rPr>
                <w:color w:val="auto"/>
                <w:kern w:val="0"/>
                <w:sz w:val="21"/>
                <w:szCs w:val="21"/>
              </w:rPr>
            </w:pPr>
            <w:r>
              <w:rPr>
                <w:rFonts w:hint="eastAsia"/>
                <w:color w:val="auto"/>
                <w:kern w:val="0"/>
                <w:sz w:val="21"/>
                <w:szCs w:val="21"/>
              </w:rPr>
              <w:t>117</w:t>
            </w:r>
          </w:p>
        </w:tc>
        <w:tc>
          <w:tcPr>
            <w:tcW w:w="772" w:type="pct"/>
            <w:vMerge w:val="continue"/>
            <w:vAlign w:val="center"/>
          </w:tcPr>
          <w:p w14:paraId="2ECD61BD">
            <w:pPr>
              <w:widowControl/>
              <w:spacing w:line="240" w:lineRule="auto"/>
              <w:ind w:firstLine="0" w:firstLineChars="0"/>
              <w:jc w:val="center"/>
              <w:rPr>
                <w:color w:val="auto"/>
                <w:kern w:val="0"/>
                <w:sz w:val="21"/>
                <w:szCs w:val="21"/>
              </w:rPr>
            </w:pPr>
          </w:p>
        </w:tc>
        <w:tc>
          <w:tcPr>
            <w:tcW w:w="1145" w:type="pct"/>
            <w:vAlign w:val="center"/>
          </w:tcPr>
          <w:p w14:paraId="00C7D793">
            <w:pPr>
              <w:widowControl/>
              <w:spacing w:line="240" w:lineRule="auto"/>
              <w:ind w:firstLine="0" w:firstLineChars="0"/>
              <w:jc w:val="center"/>
              <w:rPr>
                <w:color w:val="auto"/>
                <w:kern w:val="0"/>
                <w:sz w:val="21"/>
                <w:szCs w:val="21"/>
              </w:rPr>
            </w:pPr>
          </w:p>
        </w:tc>
        <w:tc>
          <w:tcPr>
            <w:tcW w:w="1906" w:type="pct"/>
            <w:vAlign w:val="center"/>
          </w:tcPr>
          <w:p w14:paraId="5DA3EB1E">
            <w:pPr>
              <w:widowControl/>
              <w:spacing w:line="240" w:lineRule="auto"/>
              <w:ind w:firstLine="0" w:firstLineChars="0"/>
              <w:jc w:val="center"/>
              <w:rPr>
                <w:color w:val="auto"/>
                <w:kern w:val="0"/>
                <w:sz w:val="21"/>
                <w:szCs w:val="21"/>
              </w:rPr>
            </w:pPr>
          </w:p>
        </w:tc>
        <w:tc>
          <w:tcPr>
            <w:tcW w:w="785" w:type="pct"/>
            <w:vAlign w:val="center"/>
          </w:tcPr>
          <w:p w14:paraId="3E7B7368">
            <w:pPr>
              <w:widowControl/>
              <w:spacing w:line="240" w:lineRule="auto"/>
              <w:ind w:firstLine="0" w:firstLineChars="0"/>
              <w:jc w:val="center"/>
              <w:rPr>
                <w:color w:val="auto"/>
                <w:kern w:val="0"/>
                <w:sz w:val="21"/>
                <w:szCs w:val="21"/>
              </w:rPr>
            </w:pPr>
          </w:p>
        </w:tc>
      </w:tr>
      <w:tr w14:paraId="06FDB23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 w:hRule="atLeast"/>
          <w:tblHeader/>
          <w:jc w:val="center"/>
        </w:trPr>
        <w:tc>
          <w:tcPr>
            <w:tcW w:w="389" w:type="pct"/>
            <w:vAlign w:val="center"/>
          </w:tcPr>
          <w:p w14:paraId="6949B332">
            <w:pPr>
              <w:widowControl/>
              <w:spacing w:line="240" w:lineRule="auto"/>
              <w:ind w:firstLine="0" w:firstLineChars="0"/>
              <w:jc w:val="center"/>
              <w:rPr>
                <w:color w:val="auto"/>
                <w:kern w:val="0"/>
                <w:sz w:val="21"/>
                <w:szCs w:val="21"/>
              </w:rPr>
            </w:pPr>
            <w:r>
              <w:rPr>
                <w:rFonts w:hint="eastAsia"/>
                <w:color w:val="auto"/>
                <w:kern w:val="0"/>
                <w:sz w:val="21"/>
                <w:szCs w:val="21"/>
              </w:rPr>
              <w:t>118</w:t>
            </w:r>
          </w:p>
        </w:tc>
        <w:tc>
          <w:tcPr>
            <w:tcW w:w="772" w:type="pct"/>
            <w:vMerge w:val="continue"/>
            <w:vAlign w:val="center"/>
          </w:tcPr>
          <w:p w14:paraId="689CF49E">
            <w:pPr>
              <w:widowControl/>
              <w:spacing w:line="240" w:lineRule="auto"/>
              <w:ind w:firstLine="0" w:firstLineChars="0"/>
              <w:jc w:val="center"/>
              <w:rPr>
                <w:color w:val="auto"/>
                <w:kern w:val="0"/>
                <w:sz w:val="21"/>
                <w:szCs w:val="21"/>
              </w:rPr>
            </w:pPr>
          </w:p>
        </w:tc>
        <w:tc>
          <w:tcPr>
            <w:tcW w:w="1145" w:type="pct"/>
            <w:vAlign w:val="center"/>
          </w:tcPr>
          <w:p w14:paraId="1FDF289E">
            <w:pPr>
              <w:widowControl/>
              <w:spacing w:line="240" w:lineRule="auto"/>
              <w:ind w:firstLine="0" w:firstLineChars="0"/>
              <w:jc w:val="center"/>
              <w:rPr>
                <w:color w:val="auto"/>
                <w:kern w:val="0"/>
                <w:sz w:val="21"/>
                <w:szCs w:val="21"/>
              </w:rPr>
            </w:pPr>
          </w:p>
        </w:tc>
        <w:tc>
          <w:tcPr>
            <w:tcW w:w="1906" w:type="pct"/>
            <w:vAlign w:val="center"/>
          </w:tcPr>
          <w:p w14:paraId="52B8080F">
            <w:pPr>
              <w:widowControl/>
              <w:spacing w:line="240" w:lineRule="auto"/>
              <w:ind w:firstLine="0" w:firstLineChars="0"/>
              <w:jc w:val="center"/>
              <w:rPr>
                <w:color w:val="auto"/>
                <w:kern w:val="0"/>
                <w:sz w:val="21"/>
                <w:szCs w:val="21"/>
              </w:rPr>
            </w:pPr>
          </w:p>
        </w:tc>
        <w:tc>
          <w:tcPr>
            <w:tcW w:w="785" w:type="pct"/>
            <w:vAlign w:val="center"/>
          </w:tcPr>
          <w:p w14:paraId="7D24B876">
            <w:pPr>
              <w:widowControl/>
              <w:spacing w:line="240" w:lineRule="auto"/>
              <w:ind w:firstLine="0" w:firstLineChars="0"/>
              <w:jc w:val="center"/>
              <w:rPr>
                <w:color w:val="auto"/>
                <w:kern w:val="0"/>
                <w:sz w:val="21"/>
                <w:szCs w:val="21"/>
              </w:rPr>
            </w:pPr>
          </w:p>
        </w:tc>
      </w:tr>
    </w:tbl>
    <w:p w14:paraId="64AEA3DA">
      <w:pPr>
        <w:pStyle w:val="4"/>
        <w:rPr>
          <w:color w:val="auto"/>
        </w:rPr>
      </w:pPr>
      <w:bookmarkStart w:id="83" w:name="_Toc20146"/>
      <w:r>
        <w:rPr>
          <w:rFonts w:hint="eastAsia"/>
          <w:color w:val="auto"/>
        </w:rPr>
        <w:t>3.2.4原辅材料消耗情况</w:t>
      </w:r>
      <w:bookmarkEnd w:id="83"/>
    </w:p>
    <w:p w14:paraId="4A9A8EC8">
      <w:pPr>
        <w:spacing w:line="460" w:lineRule="exact"/>
        <w:ind w:firstLine="480"/>
        <w:rPr>
          <w:color w:val="auto"/>
        </w:rPr>
      </w:pPr>
      <w:r>
        <w:rPr>
          <w:rFonts w:hint="eastAsia"/>
          <w:color w:val="auto"/>
        </w:rPr>
        <w:t>亚太药业现有项目和在建项目原辅材料消耗量见表3.2-4和表3.2-5。</w:t>
      </w:r>
    </w:p>
    <w:p w14:paraId="5517C3AE">
      <w:pPr>
        <w:pStyle w:val="49"/>
        <w:rPr>
          <w:color w:val="auto"/>
        </w:rPr>
      </w:pPr>
      <w:r>
        <w:rPr>
          <w:color w:val="auto"/>
        </w:rPr>
        <w:t xml:space="preserve">表3.2-4 </w:t>
      </w:r>
      <w:r>
        <w:rPr>
          <w:rFonts w:hint="eastAsia"/>
          <w:color w:val="auto"/>
        </w:rPr>
        <w:t xml:space="preserve"> </w:t>
      </w:r>
      <w:r>
        <w:rPr>
          <w:color w:val="auto"/>
        </w:rPr>
        <w:t>现有项目主要原辅材料消耗表</w:t>
      </w:r>
    </w:p>
    <w:tbl>
      <w:tblPr>
        <w:tblStyle w:val="24"/>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67"/>
        <w:gridCol w:w="1438"/>
        <w:gridCol w:w="982"/>
        <w:gridCol w:w="966"/>
        <w:gridCol w:w="1018"/>
        <w:gridCol w:w="1473"/>
        <w:gridCol w:w="980"/>
        <w:gridCol w:w="1530"/>
      </w:tblGrid>
      <w:tr w14:paraId="1A3624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tblHeader/>
          <w:jc w:val="center"/>
        </w:trPr>
        <w:tc>
          <w:tcPr>
            <w:tcW w:w="744" w:type="pct"/>
            <w:tcBorders>
              <w:tl2br w:val="nil"/>
              <w:tr2bl w:val="nil"/>
            </w:tcBorders>
            <w:vAlign w:val="center"/>
          </w:tcPr>
          <w:p w14:paraId="7371874A">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产品名称</w:t>
            </w:r>
          </w:p>
        </w:tc>
        <w:tc>
          <w:tcPr>
            <w:tcW w:w="729" w:type="pct"/>
            <w:tcBorders>
              <w:tl2br w:val="nil"/>
              <w:tr2bl w:val="nil"/>
            </w:tcBorders>
            <w:vAlign w:val="center"/>
          </w:tcPr>
          <w:p w14:paraId="6560253B">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物料名称</w:t>
            </w:r>
          </w:p>
        </w:tc>
        <w:tc>
          <w:tcPr>
            <w:tcW w:w="498" w:type="pct"/>
            <w:tcBorders>
              <w:tl2br w:val="nil"/>
              <w:tr2bl w:val="nil"/>
            </w:tcBorders>
            <w:vAlign w:val="center"/>
          </w:tcPr>
          <w:p w14:paraId="3481324F">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形态</w:t>
            </w:r>
          </w:p>
        </w:tc>
        <w:tc>
          <w:tcPr>
            <w:tcW w:w="490" w:type="pct"/>
            <w:tcBorders>
              <w:tl2br w:val="nil"/>
              <w:tr2bl w:val="nil"/>
            </w:tcBorders>
            <w:vAlign w:val="center"/>
          </w:tcPr>
          <w:p w14:paraId="5B73CD6D">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单耗</w:t>
            </w:r>
          </w:p>
          <w:p w14:paraId="049CA871">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(t/t)</w:t>
            </w:r>
          </w:p>
        </w:tc>
        <w:tc>
          <w:tcPr>
            <w:tcW w:w="516" w:type="pct"/>
            <w:tcBorders>
              <w:tl2br w:val="nil"/>
              <w:tr2bl w:val="nil"/>
            </w:tcBorders>
            <w:vAlign w:val="center"/>
          </w:tcPr>
          <w:p w14:paraId="08F6A25D">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年耗量(t/a)</w:t>
            </w:r>
          </w:p>
        </w:tc>
        <w:tc>
          <w:tcPr>
            <w:tcW w:w="747" w:type="pct"/>
            <w:tcBorders>
              <w:tl2br w:val="nil"/>
              <w:tr2bl w:val="nil"/>
            </w:tcBorders>
            <w:vAlign w:val="center"/>
          </w:tcPr>
          <w:p w14:paraId="78BF7CCF">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最大储存量(t)</w:t>
            </w:r>
          </w:p>
        </w:tc>
        <w:tc>
          <w:tcPr>
            <w:tcW w:w="497" w:type="pct"/>
            <w:tcBorders>
              <w:tl2br w:val="nil"/>
              <w:tr2bl w:val="nil"/>
            </w:tcBorders>
            <w:vAlign w:val="center"/>
          </w:tcPr>
          <w:p w14:paraId="652405C9">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包装方式</w:t>
            </w:r>
          </w:p>
        </w:tc>
        <w:tc>
          <w:tcPr>
            <w:tcW w:w="776" w:type="pct"/>
            <w:tcBorders>
              <w:tl2br w:val="nil"/>
              <w:tr2bl w:val="nil"/>
            </w:tcBorders>
            <w:vAlign w:val="center"/>
          </w:tcPr>
          <w:p w14:paraId="31FEE223">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贮存位置</w:t>
            </w:r>
          </w:p>
        </w:tc>
      </w:tr>
      <w:tr w14:paraId="7C7FE34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restart"/>
            <w:tcBorders>
              <w:tl2br w:val="nil"/>
              <w:tr2bl w:val="nil"/>
            </w:tcBorders>
            <w:vAlign w:val="center"/>
          </w:tcPr>
          <w:p w14:paraId="62F2D047">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6470BEFB">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0FB6253E">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2D5AAC7D">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26B53F2A">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491F023B">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32245173">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4C7EFFAA">
            <w:pPr>
              <w:widowControl/>
              <w:spacing w:line="240" w:lineRule="auto"/>
              <w:ind w:firstLine="0" w:firstLineChars="0"/>
              <w:jc w:val="center"/>
              <w:textAlignment w:val="center"/>
              <w:rPr>
                <w:color w:val="auto"/>
                <w:kern w:val="0"/>
                <w:sz w:val="21"/>
                <w:szCs w:val="21"/>
                <w:lang w:bidi="ar"/>
              </w:rPr>
            </w:pPr>
          </w:p>
        </w:tc>
      </w:tr>
      <w:tr w14:paraId="776F6BF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2A94191E">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4A49F35D">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31F76BC0">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7E86BEB9">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308220F3">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64B99D29">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313A4BC7">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50D5B65C">
            <w:pPr>
              <w:widowControl/>
              <w:spacing w:line="240" w:lineRule="auto"/>
              <w:ind w:firstLine="0" w:firstLineChars="0"/>
              <w:jc w:val="center"/>
              <w:textAlignment w:val="center"/>
              <w:rPr>
                <w:color w:val="auto"/>
                <w:kern w:val="0"/>
                <w:sz w:val="21"/>
                <w:szCs w:val="21"/>
                <w:lang w:bidi="ar"/>
              </w:rPr>
            </w:pPr>
          </w:p>
        </w:tc>
      </w:tr>
      <w:tr w14:paraId="76A8E04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restart"/>
            <w:tcBorders>
              <w:tl2br w:val="nil"/>
              <w:tr2bl w:val="nil"/>
            </w:tcBorders>
            <w:vAlign w:val="center"/>
          </w:tcPr>
          <w:p w14:paraId="2A2A7B2F">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3AC48E98">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219F32DD">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736F135C">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0746B0C7">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3DF87B9D">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00AB0E28">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3D4AB906">
            <w:pPr>
              <w:widowControl/>
              <w:spacing w:line="240" w:lineRule="auto"/>
              <w:ind w:firstLine="0" w:firstLineChars="0"/>
              <w:jc w:val="center"/>
              <w:textAlignment w:val="center"/>
              <w:rPr>
                <w:color w:val="auto"/>
                <w:kern w:val="0"/>
                <w:sz w:val="21"/>
                <w:szCs w:val="21"/>
                <w:lang w:bidi="ar"/>
              </w:rPr>
            </w:pPr>
          </w:p>
        </w:tc>
      </w:tr>
      <w:tr w14:paraId="30E6212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47B061C7">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54A3D773">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2C8D2D8C">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3F19145F">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402F6969">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75EBC65F">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7126138F">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5CC94843">
            <w:pPr>
              <w:widowControl/>
              <w:spacing w:line="240" w:lineRule="auto"/>
              <w:ind w:firstLine="0" w:firstLineChars="0"/>
              <w:jc w:val="center"/>
              <w:textAlignment w:val="center"/>
              <w:rPr>
                <w:color w:val="auto"/>
                <w:kern w:val="0"/>
                <w:sz w:val="21"/>
                <w:szCs w:val="21"/>
                <w:lang w:bidi="ar"/>
              </w:rPr>
            </w:pPr>
          </w:p>
        </w:tc>
      </w:tr>
      <w:tr w14:paraId="448F3C4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0792EE2D">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2AC7E461">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51912146">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47B65192">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38643165">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76C7C3FC">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68B681A5">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3C9894BF">
            <w:pPr>
              <w:widowControl/>
              <w:spacing w:line="240" w:lineRule="auto"/>
              <w:ind w:firstLine="0" w:firstLineChars="0"/>
              <w:jc w:val="center"/>
              <w:textAlignment w:val="center"/>
              <w:rPr>
                <w:color w:val="auto"/>
                <w:kern w:val="0"/>
                <w:sz w:val="21"/>
                <w:szCs w:val="21"/>
                <w:lang w:bidi="ar"/>
              </w:rPr>
            </w:pPr>
          </w:p>
        </w:tc>
      </w:tr>
      <w:tr w14:paraId="593E47D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46074D6C">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213210D6">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18BCAB1A">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18FCB141">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3128D5EB">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06A360E8">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44C9512A">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7A3B8A87">
            <w:pPr>
              <w:widowControl/>
              <w:spacing w:line="240" w:lineRule="auto"/>
              <w:ind w:firstLine="0" w:firstLineChars="0"/>
              <w:jc w:val="center"/>
              <w:textAlignment w:val="center"/>
              <w:rPr>
                <w:color w:val="auto"/>
                <w:kern w:val="0"/>
                <w:sz w:val="21"/>
                <w:szCs w:val="21"/>
                <w:lang w:bidi="ar"/>
              </w:rPr>
            </w:pPr>
          </w:p>
        </w:tc>
      </w:tr>
      <w:tr w14:paraId="49B59A2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4555F09F">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0CFCD97C">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5B3015BB">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5EBE7CCD">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4CC6A475">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7B9FEA20">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40E5D4B9">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4C1E83DD">
            <w:pPr>
              <w:widowControl/>
              <w:spacing w:line="240" w:lineRule="auto"/>
              <w:ind w:firstLine="0" w:firstLineChars="0"/>
              <w:jc w:val="center"/>
              <w:textAlignment w:val="center"/>
              <w:rPr>
                <w:color w:val="auto"/>
                <w:kern w:val="0"/>
                <w:sz w:val="21"/>
                <w:szCs w:val="21"/>
                <w:lang w:bidi="ar"/>
              </w:rPr>
            </w:pPr>
          </w:p>
        </w:tc>
      </w:tr>
      <w:tr w14:paraId="7D5DBB7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restart"/>
            <w:tcBorders>
              <w:tl2br w:val="nil"/>
              <w:tr2bl w:val="nil"/>
            </w:tcBorders>
            <w:vAlign w:val="center"/>
          </w:tcPr>
          <w:p w14:paraId="56E71D49">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7B5B5AEC">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7ABC1507">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1C7FB325">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6A0840D2">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59ABA2D6">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2892D0D2">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2361E367">
            <w:pPr>
              <w:widowControl/>
              <w:spacing w:line="240" w:lineRule="auto"/>
              <w:ind w:firstLine="0" w:firstLineChars="0"/>
              <w:jc w:val="center"/>
              <w:textAlignment w:val="center"/>
              <w:rPr>
                <w:color w:val="auto"/>
                <w:kern w:val="0"/>
                <w:sz w:val="21"/>
                <w:szCs w:val="21"/>
                <w:lang w:bidi="ar"/>
              </w:rPr>
            </w:pPr>
          </w:p>
        </w:tc>
      </w:tr>
      <w:tr w14:paraId="548EA05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0FED7DEE">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2504C1D8">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428D3FA7">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3FCFCEBF">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223B5080">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588C138B">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10D69B8F">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141A6B2F">
            <w:pPr>
              <w:widowControl/>
              <w:spacing w:line="240" w:lineRule="auto"/>
              <w:ind w:firstLine="0" w:firstLineChars="0"/>
              <w:jc w:val="center"/>
              <w:textAlignment w:val="center"/>
              <w:rPr>
                <w:color w:val="auto"/>
                <w:kern w:val="0"/>
                <w:sz w:val="21"/>
                <w:szCs w:val="21"/>
                <w:lang w:bidi="ar"/>
              </w:rPr>
            </w:pPr>
          </w:p>
        </w:tc>
      </w:tr>
      <w:tr w14:paraId="1E0A086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7EA9571B">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417FA789">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594B0F01">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2F8B8A35">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1741DBDD">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549C6122">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0E4749DE">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5FE98E6E">
            <w:pPr>
              <w:widowControl/>
              <w:spacing w:line="240" w:lineRule="auto"/>
              <w:ind w:firstLine="0" w:firstLineChars="0"/>
              <w:jc w:val="center"/>
              <w:textAlignment w:val="center"/>
              <w:rPr>
                <w:color w:val="auto"/>
                <w:kern w:val="0"/>
                <w:sz w:val="21"/>
                <w:szCs w:val="21"/>
                <w:lang w:bidi="ar"/>
              </w:rPr>
            </w:pPr>
          </w:p>
        </w:tc>
      </w:tr>
      <w:tr w14:paraId="3227698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01F1F7BF">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3ABA0C11">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0E6DAC11">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206EC206">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54161C59">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6F4A56B3">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11ECFF1A">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4C03357A">
            <w:pPr>
              <w:widowControl/>
              <w:spacing w:line="240" w:lineRule="auto"/>
              <w:ind w:firstLine="0" w:firstLineChars="0"/>
              <w:jc w:val="center"/>
              <w:textAlignment w:val="center"/>
              <w:rPr>
                <w:color w:val="auto"/>
                <w:kern w:val="0"/>
                <w:sz w:val="21"/>
                <w:szCs w:val="21"/>
                <w:lang w:bidi="ar"/>
              </w:rPr>
            </w:pPr>
          </w:p>
        </w:tc>
      </w:tr>
      <w:tr w14:paraId="3C044C4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2D084293">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30EED5C6">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558BD4A3">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70694488">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11771503">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206DD475">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307C411B">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29DA6FEB">
            <w:pPr>
              <w:widowControl/>
              <w:spacing w:line="240" w:lineRule="auto"/>
              <w:ind w:firstLine="0" w:firstLineChars="0"/>
              <w:jc w:val="center"/>
              <w:textAlignment w:val="center"/>
              <w:rPr>
                <w:color w:val="auto"/>
                <w:kern w:val="0"/>
                <w:sz w:val="21"/>
                <w:szCs w:val="21"/>
                <w:lang w:bidi="ar"/>
              </w:rPr>
            </w:pPr>
          </w:p>
        </w:tc>
      </w:tr>
      <w:tr w14:paraId="65B1876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restart"/>
            <w:tcBorders>
              <w:tl2br w:val="nil"/>
              <w:tr2bl w:val="nil"/>
            </w:tcBorders>
            <w:vAlign w:val="center"/>
          </w:tcPr>
          <w:p w14:paraId="0BF0468C">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1BCF2627">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74F76FF8">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538F7A13">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424B03D8">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52DF403F">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59B0955D">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665F00E0">
            <w:pPr>
              <w:widowControl/>
              <w:spacing w:line="240" w:lineRule="auto"/>
              <w:ind w:firstLine="0" w:firstLineChars="0"/>
              <w:jc w:val="center"/>
              <w:textAlignment w:val="center"/>
              <w:rPr>
                <w:color w:val="auto"/>
                <w:kern w:val="0"/>
                <w:sz w:val="21"/>
                <w:szCs w:val="21"/>
                <w:lang w:bidi="ar"/>
              </w:rPr>
            </w:pPr>
          </w:p>
        </w:tc>
      </w:tr>
      <w:tr w14:paraId="10B8B39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66A3BE06">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32BDDCF3">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38D217EA">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6EEC4A57">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79ECDFBE">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0F506AD8">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1B1FACD3">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2935D1A7">
            <w:pPr>
              <w:widowControl/>
              <w:spacing w:line="240" w:lineRule="auto"/>
              <w:ind w:firstLine="0" w:firstLineChars="0"/>
              <w:jc w:val="center"/>
              <w:textAlignment w:val="center"/>
              <w:rPr>
                <w:color w:val="auto"/>
                <w:kern w:val="0"/>
                <w:sz w:val="21"/>
                <w:szCs w:val="21"/>
                <w:lang w:bidi="ar"/>
              </w:rPr>
            </w:pPr>
          </w:p>
        </w:tc>
      </w:tr>
      <w:tr w14:paraId="0369406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18CE32A6">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3979C3C7">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0F5868FC">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4DC04E28">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658340BA">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7757047F">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60546FAD">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224D1D49">
            <w:pPr>
              <w:widowControl/>
              <w:spacing w:line="240" w:lineRule="auto"/>
              <w:ind w:firstLine="0" w:firstLineChars="0"/>
              <w:jc w:val="center"/>
              <w:textAlignment w:val="center"/>
              <w:rPr>
                <w:color w:val="auto"/>
                <w:kern w:val="0"/>
                <w:sz w:val="21"/>
                <w:szCs w:val="21"/>
                <w:lang w:bidi="ar"/>
              </w:rPr>
            </w:pPr>
          </w:p>
        </w:tc>
      </w:tr>
      <w:tr w14:paraId="1853934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restart"/>
            <w:tcBorders>
              <w:tl2br w:val="nil"/>
              <w:tr2bl w:val="nil"/>
            </w:tcBorders>
            <w:vAlign w:val="center"/>
          </w:tcPr>
          <w:p w14:paraId="77D882CF">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481F45C5">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72C47918">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76668873">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568D91FF">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1026C4F9">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3A5F360F">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71A9C0BA">
            <w:pPr>
              <w:widowControl/>
              <w:spacing w:line="240" w:lineRule="auto"/>
              <w:ind w:firstLine="0" w:firstLineChars="0"/>
              <w:jc w:val="center"/>
              <w:textAlignment w:val="center"/>
              <w:rPr>
                <w:color w:val="auto"/>
                <w:kern w:val="0"/>
                <w:sz w:val="21"/>
                <w:szCs w:val="21"/>
                <w:lang w:bidi="ar"/>
              </w:rPr>
            </w:pPr>
          </w:p>
        </w:tc>
      </w:tr>
      <w:tr w14:paraId="7600389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59453633">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4F3D1998">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760BB89A">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3AB5EABA">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6FFAA1EE">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7D2328C9">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48E094A4">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6AB32786">
            <w:pPr>
              <w:widowControl/>
              <w:spacing w:line="240" w:lineRule="auto"/>
              <w:ind w:firstLine="0" w:firstLineChars="0"/>
              <w:jc w:val="center"/>
              <w:textAlignment w:val="center"/>
              <w:rPr>
                <w:color w:val="auto"/>
                <w:kern w:val="0"/>
                <w:sz w:val="21"/>
                <w:szCs w:val="21"/>
                <w:lang w:bidi="ar"/>
              </w:rPr>
            </w:pPr>
          </w:p>
        </w:tc>
      </w:tr>
      <w:tr w14:paraId="2EAD286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0188BF52">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76206FFF">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55758737">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18D13ED8">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2E64B398">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684AA0DD">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120A258A">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2A4EDE26">
            <w:pPr>
              <w:widowControl/>
              <w:spacing w:line="240" w:lineRule="auto"/>
              <w:ind w:firstLine="0" w:firstLineChars="0"/>
              <w:jc w:val="center"/>
              <w:textAlignment w:val="center"/>
              <w:rPr>
                <w:color w:val="auto"/>
                <w:kern w:val="0"/>
                <w:sz w:val="21"/>
                <w:szCs w:val="21"/>
                <w:lang w:bidi="ar"/>
              </w:rPr>
            </w:pPr>
          </w:p>
        </w:tc>
      </w:tr>
      <w:tr w14:paraId="2E654BC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restart"/>
            <w:tcBorders>
              <w:tl2br w:val="nil"/>
              <w:tr2bl w:val="nil"/>
            </w:tcBorders>
            <w:vAlign w:val="center"/>
          </w:tcPr>
          <w:p w14:paraId="43F4C885">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20BD77E0">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1FAC92E3">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3A8BBF05">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1E2BF145">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16D39E5D">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4F6F1566">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7394CC0F">
            <w:pPr>
              <w:widowControl/>
              <w:spacing w:line="240" w:lineRule="auto"/>
              <w:ind w:firstLine="0" w:firstLineChars="0"/>
              <w:jc w:val="center"/>
              <w:textAlignment w:val="center"/>
              <w:rPr>
                <w:color w:val="auto"/>
                <w:kern w:val="0"/>
                <w:sz w:val="21"/>
                <w:szCs w:val="21"/>
                <w:lang w:bidi="ar"/>
              </w:rPr>
            </w:pPr>
          </w:p>
        </w:tc>
      </w:tr>
      <w:tr w14:paraId="4A36FD4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7F1882D4">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6A5FFD0B">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7F7B7CEA">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3F7408C1">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6180B5BE">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21C92DDD">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3DF14A15">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6CB3D673">
            <w:pPr>
              <w:widowControl/>
              <w:spacing w:line="240" w:lineRule="auto"/>
              <w:ind w:firstLine="0" w:firstLineChars="0"/>
              <w:jc w:val="center"/>
              <w:textAlignment w:val="center"/>
              <w:rPr>
                <w:color w:val="auto"/>
                <w:kern w:val="0"/>
                <w:sz w:val="21"/>
                <w:szCs w:val="21"/>
                <w:lang w:bidi="ar"/>
              </w:rPr>
            </w:pPr>
          </w:p>
        </w:tc>
      </w:tr>
      <w:tr w14:paraId="6E9076F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3A9F5E3E">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0EEF3503">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09D16852">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419BB60E">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0DA40DA2">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69ABAB75">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79DD9CC3">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45D3EF4F">
            <w:pPr>
              <w:widowControl/>
              <w:spacing w:line="240" w:lineRule="auto"/>
              <w:ind w:firstLine="0" w:firstLineChars="0"/>
              <w:jc w:val="center"/>
              <w:textAlignment w:val="center"/>
              <w:rPr>
                <w:color w:val="auto"/>
                <w:kern w:val="0"/>
                <w:sz w:val="21"/>
                <w:szCs w:val="21"/>
                <w:lang w:bidi="ar"/>
              </w:rPr>
            </w:pPr>
          </w:p>
        </w:tc>
      </w:tr>
      <w:tr w14:paraId="0F1D68C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37302C88">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4E2938BE">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1E72BAF9">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327BB627">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4F07CBE3">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79259582">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31E59875">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5016A0A3">
            <w:pPr>
              <w:widowControl/>
              <w:spacing w:line="240" w:lineRule="auto"/>
              <w:ind w:firstLine="0" w:firstLineChars="0"/>
              <w:jc w:val="center"/>
              <w:textAlignment w:val="center"/>
              <w:rPr>
                <w:color w:val="auto"/>
                <w:kern w:val="0"/>
                <w:sz w:val="21"/>
                <w:szCs w:val="21"/>
                <w:lang w:bidi="ar"/>
              </w:rPr>
            </w:pPr>
          </w:p>
        </w:tc>
      </w:tr>
      <w:tr w14:paraId="628A6FB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764972C8">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7AC55059">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7EA86389">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1CFF6CB1">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0DF987C3">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38DA05ED">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1F2236E2">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7EA03126">
            <w:pPr>
              <w:widowControl/>
              <w:spacing w:line="240" w:lineRule="auto"/>
              <w:ind w:firstLine="0" w:firstLineChars="0"/>
              <w:jc w:val="center"/>
              <w:textAlignment w:val="center"/>
              <w:rPr>
                <w:color w:val="auto"/>
                <w:kern w:val="0"/>
                <w:sz w:val="21"/>
                <w:szCs w:val="21"/>
                <w:lang w:bidi="ar"/>
              </w:rPr>
            </w:pPr>
          </w:p>
        </w:tc>
      </w:tr>
      <w:tr w14:paraId="2B1CFDC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73ECDBDA">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60BB3D9E">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0A37C752">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18E63E01">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53E55C17">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210AD33F">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3756D926">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19D568AA">
            <w:pPr>
              <w:widowControl/>
              <w:spacing w:line="240" w:lineRule="auto"/>
              <w:ind w:firstLine="0" w:firstLineChars="0"/>
              <w:jc w:val="center"/>
              <w:textAlignment w:val="center"/>
              <w:rPr>
                <w:color w:val="auto"/>
                <w:kern w:val="0"/>
                <w:sz w:val="21"/>
                <w:szCs w:val="21"/>
                <w:lang w:bidi="ar"/>
              </w:rPr>
            </w:pPr>
          </w:p>
        </w:tc>
      </w:tr>
      <w:tr w14:paraId="375880F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124081BB">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4FBD8C85">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35C49CE3">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52C390BF">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3394D8E3">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70514CB6">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79F8D08F">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5965F443">
            <w:pPr>
              <w:widowControl/>
              <w:spacing w:line="240" w:lineRule="auto"/>
              <w:ind w:firstLine="0" w:firstLineChars="0"/>
              <w:jc w:val="center"/>
              <w:textAlignment w:val="center"/>
              <w:rPr>
                <w:color w:val="auto"/>
                <w:kern w:val="0"/>
                <w:sz w:val="21"/>
                <w:szCs w:val="21"/>
                <w:lang w:bidi="ar"/>
              </w:rPr>
            </w:pPr>
          </w:p>
        </w:tc>
      </w:tr>
      <w:tr w14:paraId="0D41758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3" w:hRule="atLeast"/>
          <w:jc w:val="center"/>
        </w:trPr>
        <w:tc>
          <w:tcPr>
            <w:tcW w:w="744" w:type="pct"/>
            <w:vMerge w:val="continue"/>
            <w:tcBorders>
              <w:tl2br w:val="nil"/>
              <w:tr2bl w:val="nil"/>
            </w:tcBorders>
            <w:vAlign w:val="center"/>
          </w:tcPr>
          <w:p w14:paraId="59592ACC">
            <w:pPr>
              <w:widowControl/>
              <w:spacing w:line="240" w:lineRule="auto"/>
              <w:ind w:firstLine="0" w:firstLineChars="0"/>
              <w:jc w:val="center"/>
              <w:textAlignment w:val="center"/>
              <w:rPr>
                <w:color w:val="auto"/>
                <w:kern w:val="0"/>
                <w:sz w:val="21"/>
                <w:szCs w:val="21"/>
                <w:lang w:bidi="ar"/>
              </w:rPr>
            </w:pPr>
          </w:p>
        </w:tc>
        <w:tc>
          <w:tcPr>
            <w:tcW w:w="729" w:type="pct"/>
            <w:tcBorders>
              <w:tl2br w:val="nil"/>
              <w:tr2bl w:val="nil"/>
            </w:tcBorders>
            <w:vAlign w:val="center"/>
          </w:tcPr>
          <w:p w14:paraId="4CCBB97D">
            <w:pPr>
              <w:widowControl/>
              <w:spacing w:line="240" w:lineRule="auto"/>
              <w:ind w:firstLine="0" w:firstLineChars="0"/>
              <w:jc w:val="center"/>
              <w:textAlignment w:val="center"/>
              <w:rPr>
                <w:color w:val="auto"/>
                <w:kern w:val="0"/>
                <w:sz w:val="21"/>
                <w:szCs w:val="21"/>
                <w:lang w:bidi="ar"/>
              </w:rPr>
            </w:pPr>
          </w:p>
        </w:tc>
        <w:tc>
          <w:tcPr>
            <w:tcW w:w="498" w:type="pct"/>
            <w:tcBorders>
              <w:tl2br w:val="nil"/>
              <w:tr2bl w:val="nil"/>
            </w:tcBorders>
            <w:vAlign w:val="center"/>
          </w:tcPr>
          <w:p w14:paraId="3E97C109">
            <w:pPr>
              <w:widowControl/>
              <w:spacing w:line="240" w:lineRule="auto"/>
              <w:ind w:firstLine="0" w:firstLineChars="0"/>
              <w:jc w:val="center"/>
              <w:textAlignment w:val="center"/>
              <w:rPr>
                <w:color w:val="auto"/>
                <w:kern w:val="0"/>
                <w:sz w:val="21"/>
                <w:szCs w:val="21"/>
                <w:lang w:bidi="ar"/>
              </w:rPr>
            </w:pPr>
          </w:p>
        </w:tc>
        <w:tc>
          <w:tcPr>
            <w:tcW w:w="490" w:type="pct"/>
            <w:tcBorders>
              <w:tl2br w:val="nil"/>
              <w:tr2bl w:val="nil"/>
            </w:tcBorders>
            <w:vAlign w:val="center"/>
          </w:tcPr>
          <w:p w14:paraId="5ED53AD4">
            <w:pPr>
              <w:widowControl/>
              <w:spacing w:line="240" w:lineRule="auto"/>
              <w:ind w:firstLine="0" w:firstLineChars="0"/>
              <w:jc w:val="center"/>
              <w:textAlignment w:val="center"/>
              <w:rPr>
                <w:color w:val="auto"/>
                <w:kern w:val="0"/>
                <w:sz w:val="21"/>
                <w:szCs w:val="21"/>
                <w:lang w:bidi="ar"/>
              </w:rPr>
            </w:pPr>
          </w:p>
        </w:tc>
        <w:tc>
          <w:tcPr>
            <w:tcW w:w="516" w:type="pct"/>
            <w:tcBorders>
              <w:tl2br w:val="nil"/>
              <w:tr2bl w:val="nil"/>
            </w:tcBorders>
            <w:vAlign w:val="center"/>
          </w:tcPr>
          <w:p w14:paraId="353EB893">
            <w:pPr>
              <w:widowControl/>
              <w:spacing w:line="240" w:lineRule="auto"/>
              <w:ind w:firstLine="0" w:firstLineChars="0"/>
              <w:jc w:val="center"/>
              <w:textAlignment w:val="center"/>
              <w:rPr>
                <w:color w:val="auto"/>
                <w:kern w:val="0"/>
                <w:sz w:val="21"/>
                <w:szCs w:val="21"/>
                <w:lang w:bidi="ar"/>
              </w:rPr>
            </w:pPr>
          </w:p>
        </w:tc>
        <w:tc>
          <w:tcPr>
            <w:tcW w:w="747" w:type="pct"/>
            <w:tcBorders>
              <w:tl2br w:val="nil"/>
              <w:tr2bl w:val="nil"/>
            </w:tcBorders>
            <w:vAlign w:val="center"/>
          </w:tcPr>
          <w:p w14:paraId="423BA5E9">
            <w:pPr>
              <w:widowControl/>
              <w:spacing w:line="240" w:lineRule="auto"/>
              <w:ind w:firstLine="0" w:firstLineChars="0"/>
              <w:jc w:val="center"/>
              <w:textAlignment w:val="center"/>
              <w:rPr>
                <w:color w:val="auto"/>
                <w:kern w:val="0"/>
                <w:sz w:val="21"/>
                <w:szCs w:val="21"/>
                <w:lang w:bidi="ar"/>
              </w:rPr>
            </w:pPr>
          </w:p>
        </w:tc>
        <w:tc>
          <w:tcPr>
            <w:tcW w:w="497" w:type="pct"/>
            <w:tcBorders>
              <w:tl2br w:val="nil"/>
              <w:tr2bl w:val="nil"/>
            </w:tcBorders>
            <w:vAlign w:val="center"/>
          </w:tcPr>
          <w:p w14:paraId="0558B291">
            <w:pPr>
              <w:widowControl/>
              <w:spacing w:line="240" w:lineRule="auto"/>
              <w:ind w:firstLine="0" w:firstLineChars="0"/>
              <w:jc w:val="center"/>
              <w:textAlignment w:val="center"/>
              <w:rPr>
                <w:color w:val="auto"/>
                <w:kern w:val="0"/>
                <w:sz w:val="21"/>
                <w:szCs w:val="21"/>
                <w:lang w:bidi="ar"/>
              </w:rPr>
            </w:pPr>
          </w:p>
        </w:tc>
        <w:tc>
          <w:tcPr>
            <w:tcW w:w="776" w:type="pct"/>
            <w:tcBorders>
              <w:tl2br w:val="nil"/>
              <w:tr2bl w:val="nil"/>
            </w:tcBorders>
            <w:vAlign w:val="center"/>
          </w:tcPr>
          <w:p w14:paraId="36C70CC3">
            <w:pPr>
              <w:widowControl/>
              <w:spacing w:line="240" w:lineRule="auto"/>
              <w:ind w:firstLine="0" w:firstLineChars="0"/>
              <w:jc w:val="center"/>
              <w:textAlignment w:val="center"/>
              <w:rPr>
                <w:color w:val="auto"/>
                <w:kern w:val="0"/>
                <w:sz w:val="21"/>
                <w:szCs w:val="21"/>
                <w:lang w:bidi="ar"/>
              </w:rPr>
            </w:pPr>
          </w:p>
        </w:tc>
      </w:tr>
    </w:tbl>
    <w:p w14:paraId="6814A574">
      <w:pPr>
        <w:spacing w:line="240" w:lineRule="auto"/>
        <w:ind w:firstLine="0" w:firstLineChars="0"/>
        <w:jc w:val="center"/>
        <w:rPr>
          <w:b/>
          <w:bCs/>
          <w:color w:val="auto"/>
          <w:kern w:val="28"/>
          <w:szCs w:val="32"/>
        </w:rPr>
      </w:pPr>
    </w:p>
    <w:p w14:paraId="6A2D79C0">
      <w:pPr>
        <w:pStyle w:val="49"/>
        <w:rPr>
          <w:color w:val="auto"/>
        </w:rPr>
      </w:pPr>
      <w:r>
        <w:rPr>
          <w:color w:val="auto"/>
        </w:rPr>
        <w:t>表3.2-</w:t>
      </w:r>
      <w:r>
        <w:rPr>
          <w:rFonts w:hint="eastAsia"/>
          <w:color w:val="auto"/>
        </w:rPr>
        <w:t>5</w:t>
      </w:r>
      <w:r>
        <w:rPr>
          <w:color w:val="auto"/>
        </w:rPr>
        <w:t xml:space="preserve"> </w:t>
      </w:r>
      <w:r>
        <w:rPr>
          <w:rFonts w:hint="eastAsia"/>
          <w:color w:val="auto"/>
        </w:rPr>
        <w:t xml:space="preserve"> 在建</w:t>
      </w:r>
      <w:r>
        <w:rPr>
          <w:color w:val="auto"/>
        </w:rPr>
        <w:t>项目主要原辅材料消耗表</w:t>
      </w:r>
    </w:p>
    <w:tbl>
      <w:tblPr>
        <w:tblStyle w:val="25"/>
        <w:tblW w:w="5000"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37"/>
        <w:gridCol w:w="1256"/>
        <w:gridCol w:w="765"/>
        <w:gridCol w:w="954"/>
        <w:gridCol w:w="1257"/>
        <w:gridCol w:w="1476"/>
        <w:gridCol w:w="1244"/>
        <w:gridCol w:w="1565"/>
      </w:tblGrid>
      <w:tr w14:paraId="5B5D5F7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tcBorders>
              <w:tl2br w:val="nil"/>
              <w:tr2bl w:val="nil"/>
            </w:tcBorders>
            <w:vAlign w:val="center"/>
          </w:tcPr>
          <w:p w14:paraId="23620324">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产品名称</w:t>
            </w:r>
          </w:p>
        </w:tc>
        <w:tc>
          <w:tcPr>
            <w:tcW w:w="637" w:type="pct"/>
            <w:tcBorders>
              <w:tl2br w:val="nil"/>
              <w:tr2bl w:val="nil"/>
            </w:tcBorders>
            <w:vAlign w:val="center"/>
          </w:tcPr>
          <w:p w14:paraId="080C115F">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物料名称</w:t>
            </w:r>
          </w:p>
        </w:tc>
        <w:tc>
          <w:tcPr>
            <w:tcW w:w="388" w:type="pct"/>
            <w:tcBorders>
              <w:tl2br w:val="nil"/>
              <w:tr2bl w:val="nil"/>
            </w:tcBorders>
            <w:vAlign w:val="center"/>
          </w:tcPr>
          <w:p w14:paraId="106A7BB5">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形态</w:t>
            </w:r>
          </w:p>
        </w:tc>
        <w:tc>
          <w:tcPr>
            <w:tcW w:w="484" w:type="pct"/>
            <w:tcBorders>
              <w:tl2br w:val="nil"/>
              <w:tr2bl w:val="nil"/>
            </w:tcBorders>
            <w:vAlign w:val="center"/>
          </w:tcPr>
          <w:p w14:paraId="24685140">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单耗</w:t>
            </w:r>
          </w:p>
          <w:p w14:paraId="122FB9B9">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(t/t)</w:t>
            </w:r>
          </w:p>
        </w:tc>
        <w:tc>
          <w:tcPr>
            <w:tcW w:w="637" w:type="pct"/>
            <w:tcBorders>
              <w:tl2br w:val="nil"/>
              <w:tr2bl w:val="nil"/>
            </w:tcBorders>
            <w:vAlign w:val="center"/>
          </w:tcPr>
          <w:p w14:paraId="122B8E71">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年耗量</w:t>
            </w:r>
          </w:p>
          <w:p w14:paraId="710C2E6F">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(t/a)</w:t>
            </w:r>
          </w:p>
        </w:tc>
        <w:tc>
          <w:tcPr>
            <w:tcW w:w="748" w:type="pct"/>
            <w:tcBorders>
              <w:tl2br w:val="nil"/>
              <w:tr2bl w:val="nil"/>
            </w:tcBorders>
            <w:vAlign w:val="center"/>
          </w:tcPr>
          <w:p w14:paraId="7DD6BB69">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最大储存量(t)</w:t>
            </w:r>
          </w:p>
        </w:tc>
        <w:tc>
          <w:tcPr>
            <w:tcW w:w="630" w:type="pct"/>
            <w:tcBorders>
              <w:tl2br w:val="nil"/>
              <w:tr2bl w:val="nil"/>
            </w:tcBorders>
            <w:vAlign w:val="center"/>
          </w:tcPr>
          <w:p w14:paraId="0968973C">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包装方式</w:t>
            </w:r>
          </w:p>
        </w:tc>
        <w:tc>
          <w:tcPr>
            <w:tcW w:w="793" w:type="pct"/>
            <w:tcBorders>
              <w:tl2br w:val="nil"/>
              <w:tr2bl w:val="nil"/>
            </w:tcBorders>
            <w:vAlign w:val="center"/>
          </w:tcPr>
          <w:p w14:paraId="76BDCBC5">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贮存位置</w:t>
            </w:r>
          </w:p>
        </w:tc>
      </w:tr>
      <w:tr w14:paraId="1B3135C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restart"/>
            <w:tcBorders>
              <w:tl2br w:val="nil"/>
              <w:tr2bl w:val="nil"/>
            </w:tcBorders>
            <w:vAlign w:val="center"/>
          </w:tcPr>
          <w:p w14:paraId="5A58685A">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E6FB586">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1C06E11B">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01EE109A">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80DBFA2">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74660CF9">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5DA6EB84">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1C9CA289">
            <w:pPr>
              <w:widowControl/>
              <w:spacing w:line="240" w:lineRule="auto"/>
              <w:ind w:firstLine="0" w:firstLineChars="0"/>
              <w:jc w:val="center"/>
              <w:textAlignment w:val="center"/>
              <w:rPr>
                <w:color w:val="auto"/>
                <w:kern w:val="0"/>
                <w:sz w:val="21"/>
                <w:szCs w:val="21"/>
                <w:lang w:bidi="ar"/>
              </w:rPr>
            </w:pPr>
          </w:p>
        </w:tc>
      </w:tr>
      <w:tr w14:paraId="385704D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7425E7E7">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03925CBE">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2E2C5A36">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6D349639">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213FD1F1">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52EC05D4">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12AECC8D">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5EF6B033">
            <w:pPr>
              <w:widowControl/>
              <w:spacing w:line="240" w:lineRule="auto"/>
              <w:ind w:firstLine="0" w:firstLineChars="0"/>
              <w:jc w:val="center"/>
              <w:textAlignment w:val="center"/>
              <w:rPr>
                <w:color w:val="auto"/>
                <w:kern w:val="0"/>
                <w:sz w:val="21"/>
                <w:szCs w:val="21"/>
                <w:lang w:bidi="ar"/>
              </w:rPr>
            </w:pPr>
          </w:p>
        </w:tc>
      </w:tr>
      <w:tr w14:paraId="2E96D8E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43289F5F">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FC5CD75">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2E272C1D">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48A50FBC">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5EDED1E">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5E44924B">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39A42B2A">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340EC87B">
            <w:pPr>
              <w:widowControl/>
              <w:spacing w:line="240" w:lineRule="auto"/>
              <w:ind w:firstLine="0" w:firstLineChars="0"/>
              <w:jc w:val="center"/>
              <w:textAlignment w:val="center"/>
              <w:rPr>
                <w:color w:val="auto"/>
                <w:kern w:val="0"/>
                <w:sz w:val="21"/>
                <w:szCs w:val="21"/>
                <w:lang w:bidi="ar"/>
              </w:rPr>
            </w:pPr>
          </w:p>
        </w:tc>
      </w:tr>
      <w:tr w14:paraId="79798FC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74043324">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26E994E1">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5E5B191F">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79BFE749">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28641CB">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3BD231BD">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2F70A838">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186D2B79">
            <w:pPr>
              <w:widowControl/>
              <w:spacing w:line="240" w:lineRule="auto"/>
              <w:ind w:firstLine="0" w:firstLineChars="0"/>
              <w:jc w:val="center"/>
              <w:textAlignment w:val="center"/>
              <w:rPr>
                <w:color w:val="auto"/>
                <w:kern w:val="0"/>
                <w:sz w:val="21"/>
                <w:szCs w:val="21"/>
                <w:lang w:bidi="ar"/>
              </w:rPr>
            </w:pPr>
          </w:p>
        </w:tc>
      </w:tr>
      <w:tr w14:paraId="049A2FE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132F538A">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6A522ABE">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2AECF2CD">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0B215A80">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7E1F4151">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777BED42">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1393F95D">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60BBED18">
            <w:pPr>
              <w:widowControl/>
              <w:spacing w:line="240" w:lineRule="auto"/>
              <w:ind w:firstLine="0" w:firstLineChars="0"/>
              <w:jc w:val="center"/>
              <w:textAlignment w:val="center"/>
              <w:rPr>
                <w:color w:val="auto"/>
                <w:kern w:val="0"/>
                <w:sz w:val="21"/>
                <w:szCs w:val="21"/>
                <w:lang w:bidi="ar"/>
              </w:rPr>
            </w:pPr>
          </w:p>
        </w:tc>
      </w:tr>
      <w:tr w14:paraId="43F7585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restart"/>
            <w:tcBorders>
              <w:tl2br w:val="nil"/>
              <w:tr2bl w:val="nil"/>
            </w:tcBorders>
            <w:vAlign w:val="center"/>
          </w:tcPr>
          <w:p w14:paraId="60B0A2C2">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E6FF441">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7B93A5EE">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6468B794">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6F0E3CE4">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22676C37">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294A09FF">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511F05E6">
            <w:pPr>
              <w:widowControl/>
              <w:spacing w:line="240" w:lineRule="auto"/>
              <w:ind w:firstLine="0" w:firstLineChars="0"/>
              <w:jc w:val="center"/>
              <w:textAlignment w:val="center"/>
              <w:rPr>
                <w:color w:val="auto"/>
                <w:kern w:val="0"/>
                <w:sz w:val="21"/>
                <w:szCs w:val="21"/>
                <w:lang w:bidi="ar"/>
              </w:rPr>
            </w:pPr>
          </w:p>
        </w:tc>
      </w:tr>
      <w:tr w14:paraId="6BAD8F9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05A98739">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64AD6F1D">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3C336135">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36C5E9C7">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229B0C54">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7AD79D2B">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4B3465CB">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39DCDB06">
            <w:pPr>
              <w:widowControl/>
              <w:spacing w:line="240" w:lineRule="auto"/>
              <w:ind w:firstLine="0" w:firstLineChars="0"/>
              <w:jc w:val="center"/>
              <w:textAlignment w:val="center"/>
              <w:rPr>
                <w:color w:val="auto"/>
                <w:kern w:val="0"/>
                <w:sz w:val="21"/>
                <w:szCs w:val="21"/>
                <w:lang w:bidi="ar"/>
              </w:rPr>
            </w:pPr>
          </w:p>
        </w:tc>
      </w:tr>
      <w:tr w14:paraId="745D9D1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763579A3">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35B4834E">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2C521F59">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4AF3A07A">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06ECFB4C">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5F5CF417">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25C6F7A9">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21ABFFC6">
            <w:pPr>
              <w:widowControl/>
              <w:spacing w:line="240" w:lineRule="auto"/>
              <w:ind w:firstLine="0" w:firstLineChars="0"/>
              <w:jc w:val="center"/>
              <w:textAlignment w:val="center"/>
              <w:rPr>
                <w:color w:val="auto"/>
                <w:kern w:val="0"/>
                <w:sz w:val="21"/>
                <w:szCs w:val="21"/>
                <w:lang w:bidi="ar"/>
              </w:rPr>
            </w:pPr>
          </w:p>
        </w:tc>
      </w:tr>
      <w:tr w14:paraId="65A35E6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404EA5F0">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67442BE5">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6CA782C2">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79DC4037">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23F5B9F3">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0CFFDAA6">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0A3E8E37">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65FBDD58">
            <w:pPr>
              <w:widowControl/>
              <w:spacing w:line="240" w:lineRule="auto"/>
              <w:ind w:firstLine="0" w:firstLineChars="0"/>
              <w:jc w:val="center"/>
              <w:textAlignment w:val="center"/>
              <w:rPr>
                <w:color w:val="auto"/>
                <w:kern w:val="0"/>
                <w:sz w:val="21"/>
                <w:szCs w:val="21"/>
                <w:lang w:bidi="ar"/>
              </w:rPr>
            </w:pPr>
          </w:p>
        </w:tc>
      </w:tr>
      <w:tr w14:paraId="480A596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1EEDBEDB">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09327897">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2A585CAC">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6B66E4AA">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53CA546E">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672EF20D">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1A13BD0A">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71007F27">
            <w:pPr>
              <w:widowControl/>
              <w:spacing w:line="240" w:lineRule="auto"/>
              <w:ind w:firstLine="0" w:firstLineChars="0"/>
              <w:jc w:val="center"/>
              <w:textAlignment w:val="center"/>
              <w:rPr>
                <w:color w:val="auto"/>
                <w:kern w:val="0"/>
                <w:sz w:val="21"/>
                <w:szCs w:val="21"/>
                <w:lang w:bidi="ar"/>
              </w:rPr>
            </w:pPr>
          </w:p>
        </w:tc>
      </w:tr>
      <w:tr w14:paraId="0E01356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0CC0BEA0">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6879BA97">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28B5A903">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1AEFBF77">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29B44E54">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2BA177FA">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5853E167">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0BD77F80">
            <w:pPr>
              <w:widowControl/>
              <w:spacing w:line="240" w:lineRule="auto"/>
              <w:ind w:firstLine="0" w:firstLineChars="0"/>
              <w:jc w:val="center"/>
              <w:textAlignment w:val="center"/>
              <w:rPr>
                <w:color w:val="auto"/>
                <w:kern w:val="0"/>
                <w:sz w:val="21"/>
                <w:szCs w:val="21"/>
                <w:lang w:bidi="ar"/>
              </w:rPr>
            </w:pPr>
          </w:p>
        </w:tc>
      </w:tr>
      <w:tr w14:paraId="48716A2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restart"/>
            <w:tcBorders>
              <w:tl2br w:val="nil"/>
              <w:tr2bl w:val="nil"/>
            </w:tcBorders>
            <w:vAlign w:val="center"/>
          </w:tcPr>
          <w:p w14:paraId="23AFBFEF">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2B93845">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4256B8C0">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0B088698">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0AAF89D7">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06B78F7D">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7AEF48D0">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1902E58E">
            <w:pPr>
              <w:widowControl/>
              <w:spacing w:line="240" w:lineRule="auto"/>
              <w:ind w:firstLine="0" w:firstLineChars="0"/>
              <w:jc w:val="center"/>
              <w:textAlignment w:val="center"/>
              <w:rPr>
                <w:color w:val="auto"/>
                <w:kern w:val="0"/>
                <w:sz w:val="21"/>
                <w:szCs w:val="21"/>
                <w:lang w:bidi="ar"/>
              </w:rPr>
            </w:pPr>
          </w:p>
        </w:tc>
      </w:tr>
      <w:tr w14:paraId="05946E8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3A3DFED3">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1AE06EC2">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13D39F24">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7C7F3A10">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52FE2330">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2FA7F59C">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597CD842">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787A0FFE">
            <w:pPr>
              <w:widowControl/>
              <w:spacing w:line="240" w:lineRule="auto"/>
              <w:ind w:firstLine="0" w:firstLineChars="0"/>
              <w:jc w:val="center"/>
              <w:textAlignment w:val="center"/>
              <w:rPr>
                <w:color w:val="auto"/>
                <w:kern w:val="0"/>
                <w:sz w:val="21"/>
                <w:szCs w:val="21"/>
                <w:lang w:bidi="ar"/>
              </w:rPr>
            </w:pPr>
          </w:p>
        </w:tc>
      </w:tr>
      <w:tr w14:paraId="2F864DC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6B9FEFFF">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ACC8068">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4AB51D5F">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76143258">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02F33D97">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728F314B">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42D9B813">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4A2539D8">
            <w:pPr>
              <w:widowControl/>
              <w:spacing w:line="240" w:lineRule="auto"/>
              <w:ind w:firstLine="0" w:firstLineChars="0"/>
              <w:jc w:val="center"/>
              <w:textAlignment w:val="center"/>
              <w:rPr>
                <w:color w:val="auto"/>
                <w:kern w:val="0"/>
                <w:sz w:val="21"/>
                <w:szCs w:val="21"/>
                <w:lang w:bidi="ar"/>
              </w:rPr>
            </w:pPr>
          </w:p>
        </w:tc>
      </w:tr>
      <w:tr w14:paraId="7BF8F43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333F523B">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67491CC">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2E4380F1">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63B55A7E">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05D38E93">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63DAB2DD">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61D72C29">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62C6DBCF">
            <w:pPr>
              <w:widowControl/>
              <w:spacing w:line="240" w:lineRule="auto"/>
              <w:ind w:firstLine="0" w:firstLineChars="0"/>
              <w:jc w:val="center"/>
              <w:textAlignment w:val="center"/>
              <w:rPr>
                <w:color w:val="auto"/>
                <w:kern w:val="0"/>
                <w:sz w:val="21"/>
                <w:szCs w:val="21"/>
                <w:lang w:bidi="ar"/>
              </w:rPr>
            </w:pPr>
          </w:p>
        </w:tc>
      </w:tr>
      <w:tr w14:paraId="56866D2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5FDD43ED">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27F48ED0">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12B9D747">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7319C3AD">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662E2AC7">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736DD5BF">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25121326">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75D1B298">
            <w:pPr>
              <w:widowControl/>
              <w:spacing w:line="240" w:lineRule="auto"/>
              <w:ind w:firstLine="0" w:firstLineChars="0"/>
              <w:jc w:val="center"/>
              <w:textAlignment w:val="center"/>
              <w:rPr>
                <w:color w:val="auto"/>
                <w:kern w:val="0"/>
                <w:sz w:val="21"/>
                <w:szCs w:val="21"/>
                <w:lang w:bidi="ar"/>
              </w:rPr>
            </w:pPr>
          </w:p>
        </w:tc>
      </w:tr>
      <w:tr w14:paraId="5A2B0D6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3B16E17B">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627DC6BC">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69781DA7">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4AADF875">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5C91A1F7">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226303B9">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67E511AA">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5D8C247A">
            <w:pPr>
              <w:widowControl/>
              <w:spacing w:line="240" w:lineRule="auto"/>
              <w:ind w:firstLine="0" w:firstLineChars="0"/>
              <w:jc w:val="center"/>
              <w:textAlignment w:val="center"/>
              <w:rPr>
                <w:color w:val="auto"/>
                <w:kern w:val="0"/>
                <w:sz w:val="21"/>
                <w:szCs w:val="21"/>
                <w:lang w:bidi="ar"/>
              </w:rPr>
            </w:pPr>
          </w:p>
        </w:tc>
      </w:tr>
      <w:tr w14:paraId="063FAB2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577B81ED">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177BA5FE">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10731F6B">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25118FFE">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2BAAD305">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074E50CC">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6DFBCD4F">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06386BA3">
            <w:pPr>
              <w:widowControl/>
              <w:spacing w:line="240" w:lineRule="auto"/>
              <w:ind w:firstLine="0" w:firstLineChars="0"/>
              <w:jc w:val="center"/>
              <w:textAlignment w:val="center"/>
              <w:rPr>
                <w:color w:val="auto"/>
                <w:kern w:val="0"/>
                <w:sz w:val="21"/>
                <w:szCs w:val="21"/>
                <w:lang w:bidi="ar"/>
              </w:rPr>
            </w:pPr>
          </w:p>
        </w:tc>
      </w:tr>
      <w:tr w14:paraId="02FE6EF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488FDFE2">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05405D92">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40A31609">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3B2BB2B4">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23AB05B8">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0641C25B">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72A58E40">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21F46089">
            <w:pPr>
              <w:widowControl/>
              <w:spacing w:line="240" w:lineRule="auto"/>
              <w:ind w:firstLine="0" w:firstLineChars="0"/>
              <w:jc w:val="center"/>
              <w:textAlignment w:val="center"/>
              <w:rPr>
                <w:color w:val="auto"/>
                <w:kern w:val="0"/>
                <w:sz w:val="21"/>
                <w:szCs w:val="21"/>
                <w:lang w:bidi="ar"/>
              </w:rPr>
            </w:pPr>
          </w:p>
        </w:tc>
      </w:tr>
      <w:tr w14:paraId="5FBF7E1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6F7681F5">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218FD6DB">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7D5D6E41">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14EE1156">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7D1A013E">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69470A55">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4FCD0026">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00ED018D">
            <w:pPr>
              <w:widowControl/>
              <w:spacing w:line="240" w:lineRule="auto"/>
              <w:ind w:firstLine="0" w:firstLineChars="0"/>
              <w:jc w:val="center"/>
              <w:textAlignment w:val="center"/>
              <w:rPr>
                <w:color w:val="auto"/>
                <w:kern w:val="0"/>
                <w:sz w:val="21"/>
                <w:szCs w:val="21"/>
                <w:lang w:bidi="ar"/>
              </w:rPr>
            </w:pPr>
          </w:p>
        </w:tc>
      </w:tr>
      <w:tr w14:paraId="7AA6C4F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70EFDC0F">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30E022F0">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482765E6">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0D438893">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73CCE2B">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394A3729">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166EE4CD">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1DDD4D6F">
            <w:pPr>
              <w:widowControl/>
              <w:spacing w:line="240" w:lineRule="auto"/>
              <w:ind w:firstLine="0" w:firstLineChars="0"/>
              <w:jc w:val="center"/>
              <w:textAlignment w:val="center"/>
              <w:rPr>
                <w:color w:val="auto"/>
                <w:kern w:val="0"/>
                <w:sz w:val="21"/>
                <w:szCs w:val="21"/>
                <w:lang w:bidi="ar"/>
              </w:rPr>
            </w:pPr>
          </w:p>
        </w:tc>
      </w:tr>
      <w:tr w14:paraId="57865D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12EC4AB5">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71511C68">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15BF1149">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2C866A04">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659B457C">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06D4F232">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36A6E5BA">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73F305BD">
            <w:pPr>
              <w:widowControl/>
              <w:spacing w:line="240" w:lineRule="auto"/>
              <w:ind w:firstLine="0" w:firstLineChars="0"/>
              <w:jc w:val="center"/>
              <w:textAlignment w:val="center"/>
              <w:rPr>
                <w:color w:val="auto"/>
                <w:kern w:val="0"/>
                <w:sz w:val="21"/>
                <w:szCs w:val="21"/>
                <w:lang w:bidi="ar"/>
              </w:rPr>
            </w:pPr>
          </w:p>
        </w:tc>
      </w:tr>
      <w:tr w14:paraId="4F99A6F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278DD7FB">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1893D989">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0A2655C8">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1A1F8AED">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5EBC3A5E">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57049643">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2EC16980">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17029C65">
            <w:pPr>
              <w:widowControl/>
              <w:spacing w:line="240" w:lineRule="auto"/>
              <w:ind w:firstLine="0" w:firstLineChars="0"/>
              <w:jc w:val="center"/>
              <w:textAlignment w:val="center"/>
              <w:rPr>
                <w:color w:val="auto"/>
                <w:kern w:val="0"/>
                <w:sz w:val="21"/>
                <w:szCs w:val="21"/>
                <w:lang w:bidi="ar"/>
              </w:rPr>
            </w:pPr>
          </w:p>
        </w:tc>
      </w:tr>
      <w:tr w14:paraId="70566B1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8" w:type="pct"/>
            <w:vMerge w:val="continue"/>
            <w:tcBorders>
              <w:tl2br w:val="nil"/>
              <w:tr2bl w:val="nil"/>
            </w:tcBorders>
            <w:vAlign w:val="center"/>
          </w:tcPr>
          <w:p w14:paraId="4AE419A4">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4665871">
            <w:pPr>
              <w:widowControl/>
              <w:spacing w:line="240" w:lineRule="auto"/>
              <w:ind w:firstLine="0" w:firstLineChars="0"/>
              <w:jc w:val="center"/>
              <w:textAlignment w:val="center"/>
              <w:rPr>
                <w:color w:val="auto"/>
                <w:kern w:val="0"/>
                <w:sz w:val="21"/>
                <w:szCs w:val="21"/>
                <w:lang w:bidi="ar"/>
              </w:rPr>
            </w:pPr>
          </w:p>
        </w:tc>
        <w:tc>
          <w:tcPr>
            <w:tcW w:w="388" w:type="pct"/>
            <w:tcBorders>
              <w:tl2br w:val="nil"/>
              <w:tr2bl w:val="nil"/>
            </w:tcBorders>
            <w:vAlign w:val="center"/>
          </w:tcPr>
          <w:p w14:paraId="765DFB07">
            <w:pPr>
              <w:widowControl/>
              <w:spacing w:line="240" w:lineRule="auto"/>
              <w:ind w:firstLine="0" w:firstLineChars="0"/>
              <w:jc w:val="center"/>
              <w:textAlignment w:val="center"/>
              <w:rPr>
                <w:color w:val="auto"/>
                <w:kern w:val="0"/>
                <w:sz w:val="21"/>
                <w:szCs w:val="21"/>
                <w:lang w:bidi="ar"/>
              </w:rPr>
            </w:pPr>
          </w:p>
        </w:tc>
        <w:tc>
          <w:tcPr>
            <w:tcW w:w="484" w:type="pct"/>
            <w:tcBorders>
              <w:tl2br w:val="nil"/>
              <w:tr2bl w:val="nil"/>
            </w:tcBorders>
            <w:vAlign w:val="center"/>
          </w:tcPr>
          <w:p w14:paraId="144B5E2D">
            <w:pPr>
              <w:widowControl/>
              <w:spacing w:line="240" w:lineRule="auto"/>
              <w:ind w:firstLine="0" w:firstLineChars="0"/>
              <w:jc w:val="center"/>
              <w:textAlignment w:val="center"/>
              <w:rPr>
                <w:color w:val="auto"/>
                <w:kern w:val="0"/>
                <w:sz w:val="21"/>
                <w:szCs w:val="21"/>
                <w:lang w:bidi="ar"/>
              </w:rPr>
            </w:pPr>
          </w:p>
        </w:tc>
        <w:tc>
          <w:tcPr>
            <w:tcW w:w="637" w:type="pct"/>
            <w:tcBorders>
              <w:tl2br w:val="nil"/>
              <w:tr2bl w:val="nil"/>
            </w:tcBorders>
            <w:vAlign w:val="center"/>
          </w:tcPr>
          <w:p w14:paraId="4F15232C">
            <w:pPr>
              <w:widowControl/>
              <w:spacing w:line="240" w:lineRule="auto"/>
              <w:ind w:firstLine="0" w:firstLineChars="0"/>
              <w:jc w:val="center"/>
              <w:textAlignment w:val="center"/>
              <w:rPr>
                <w:color w:val="auto"/>
                <w:kern w:val="0"/>
                <w:sz w:val="21"/>
                <w:szCs w:val="21"/>
                <w:lang w:bidi="ar"/>
              </w:rPr>
            </w:pPr>
          </w:p>
        </w:tc>
        <w:tc>
          <w:tcPr>
            <w:tcW w:w="748" w:type="pct"/>
            <w:tcBorders>
              <w:tl2br w:val="nil"/>
              <w:tr2bl w:val="nil"/>
            </w:tcBorders>
            <w:vAlign w:val="center"/>
          </w:tcPr>
          <w:p w14:paraId="794FC310">
            <w:pPr>
              <w:widowControl/>
              <w:spacing w:line="240" w:lineRule="auto"/>
              <w:ind w:firstLine="0" w:firstLineChars="0"/>
              <w:jc w:val="center"/>
              <w:textAlignment w:val="center"/>
              <w:rPr>
                <w:color w:val="auto"/>
                <w:kern w:val="0"/>
                <w:sz w:val="21"/>
                <w:szCs w:val="21"/>
                <w:lang w:bidi="ar"/>
              </w:rPr>
            </w:pPr>
          </w:p>
        </w:tc>
        <w:tc>
          <w:tcPr>
            <w:tcW w:w="630" w:type="pct"/>
            <w:tcBorders>
              <w:tl2br w:val="nil"/>
              <w:tr2bl w:val="nil"/>
            </w:tcBorders>
            <w:vAlign w:val="center"/>
          </w:tcPr>
          <w:p w14:paraId="21F1C6B9">
            <w:pPr>
              <w:widowControl/>
              <w:spacing w:line="240" w:lineRule="auto"/>
              <w:ind w:firstLine="0" w:firstLineChars="0"/>
              <w:jc w:val="center"/>
              <w:textAlignment w:val="center"/>
              <w:rPr>
                <w:color w:val="auto"/>
                <w:kern w:val="0"/>
                <w:sz w:val="21"/>
                <w:szCs w:val="21"/>
                <w:lang w:bidi="ar"/>
              </w:rPr>
            </w:pPr>
          </w:p>
        </w:tc>
        <w:tc>
          <w:tcPr>
            <w:tcW w:w="793" w:type="pct"/>
            <w:tcBorders>
              <w:tl2br w:val="nil"/>
              <w:tr2bl w:val="nil"/>
            </w:tcBorders>
            <w:vAlign w:val="center"/>
          </w:tcPr>
          <w:p w14:paraId="75249F6E">
            <w:pPr>
              <w:widowControl/>
              <w:spacing w:line="240" w:lineRule="auto"/>
              <w:ind w:firstLine="0" w:firstLineChars="0"/>
              <w:jc w:val="center"/>
              <w:textAlignment w:val="center"/>
              <w:rPr>
                <w:color w:val="auto"/>
                <w:kern w:val="0"/>
                <w:sz w:val="21"/>
                <w:szCs w:val="21"/>
                <w:lang w:bidi="ar"/>
              </w:rPr>
            </w:pPr>
          </w:p>
        </w:tc>
      </w:tr>
    </w:tbl>
    <w:p w14:paraId="11FD13CE">
      <w:pPr>
        <w:pStyle w:val="4"/>
        <w:rPr>
          <w:color w:val="auto"/>
        </w:rPr>
      </w:pPr>
      <w:bookmarkStart w:id="84" w:name="_Toc21478"/>
      <w:r>
        <w:rPr>
          <w:rFonts w:hint="eastAsia"/>
          <w:color w:val="auto"/>
        </w:rPr>
        <w:t>3.2.5</w:t>
      </w:r>
      <w:r>
        <w:rPr>
          <w:color w:val="auto"/>
        </w:rPr>
        <w:t>生产工艺及产排污环节</w:t>
      </w:r>
      <w:bookmarkEnd w:id="84"/>
    </w:p>
    <w:p w14:paraId="77BCE18E">
      <w:pPr>
        <w:spacing w:line="240" w:lineRule="auto"/>
        <w:ind w:firstLine="0" w:firstLineChars="0"/>
        <w:jc w:val="center"/>
        <w:rPr>
          <w:rFonts w:eastAsia="仿宋_GB2312"/>
          <w:color w:val="auto"/>
        </w:rPr>
      </w:pPr>
    </w:p>
    <w:p w14:paraId="5A0A5BED">
      <w:pPr>
        <w:pStyle w:val="4"/>
        <w:rPr>
          <w:color w:val="auto"/>
        </w:rPr>
      </w:pPr>
      <w:bookmarkStart w:id="85" w:name="_Toc31296"/>
      <w:r>
        <w:rPr>
          <w:rFonts w:hint="eastAsia"/>
          <w:color w:val="auto"/>
        </w:rPr>
        <w:t>3.2.6</w:t>
      </w:r>
      <w:r>
        <w:rPr>
          <w:color w:val="auto"/>
        </w:rPr>
        <w:t>蒸汽及水平衡</w:t>
      </w:r>
      <w:bookmarkEnd w:id="85"/>
    </w:p>
    <w:p w14:paraId="224269B5">
      <w:pPr>
        <w:spacing w:line="460" w:lineRule="exact"/>
        <w:ind w:firstLine="480"/>
        <w:rPr>
          <w:color w:val="auto"/>
        </w:rPr>
      </w:pPr>
      <w:r>
        <w:rPr>
          <w:color w:val="auto"/>
        </w:rPr>
        <w:t>现有项目供热采用园区集中供热。现有项目蒸汽及水平衡见图</w:t>
      </w:r>
      <w:r>
        <w:rPr>
          <w:rFonts w:hint="eastAsia"/>
          <w:color w:val="auto"/>
        </w:rPr>
        <w:t>3.2-6</w:t>
      </w:r>
      <w:r>
        <w:rPr>
          <w:color w:val="auto"/>
        </w:rPr>
        <w:t>。</w:t>
      </w:r>
    </w:p>
    <w:p w14:paraId="58CA4CFE">
      <w:pPr>
        <w:spacing w:line="240" w:lineRule="auto"/>
        <w:ind w:firstLine="0" w:firstLineChars="0"/>
        <w:jc w:val="center"/>
        <w:rPr>
          <w:rFonts w:eastAsia="仿宋_GB2312"/>
          <w:color w:val="auto"/>
        </w:rPr>
      </w:pPr>
      <w:r>
        <w:rPr>
          <w:rFonts w:eastAsia="仿宋_GB2312"/>
          <w:color w:val="auto"/>
        </w:rPr>
        <w:object>
          <v:shape id="_x0000_i1031" o:spt="75" type="#_x0000_t75" style="height:66.55pt;width:451.6pt;" o:ole="t" filled="f" o:preferrelative="t" stroked="f" coordsize="21600,21600">
            <v:path/>
            <v:fill on="f" focussize="0,0"/>
            <v:stroke on="f" joinstyle="miter"/>
            <v:imagedata r:id="rId14" o:title=""/>
            <o:lock v:ext="edit" aspectratio="f"/>
            <w10:wrap type="none"/>
            <w10:anchorlock/>
          </v:shape>
          <o:OLEObject Type="Embed" ProgID="Visio.Drawing.11" ShapeID="_x0000_i1031" DrawAspect="Content" ObjectID="_1468075726" r:id="rId13">
            <o:LockedField>false</o:LockedField>
          </o:OLEObject>
        </w:object>
      </w:r>
    </w:p>
    <w:p w14:paraId="3E78DDD0">
      <w:pPr>
        <w:spacing w:line="240" w:lineRule="auto"/>
        <w:ind w:firstLine="0" w:firstLineChars="0"/>
        <w:jc w:val="center"/>
        <w:rPr>
          <w:b/>
          <w:color w:val="auto"/>
        </w:rPr>
      </w:pPr>
      <w:r>
        <w:rPr>
          <w:b/>
          <w:color w:val="auto"/>
        </w:rPr>
        <w:t>图3.</w:t>
      </w:r>
      <w:r>
        <w:rPr>
          <w:rFonts w:hint="eastAsia"/>
          <w:b/>
          <w:color w:val="auto"/>
        </w:rPr>
        <w:t>2</w:t>
      </w:r>
      <w:r>
        <w:rPr>
          <w:b/>
          <w:color w:val="auto"/>
        </w:rPr>
        <w:t>-</w:t>
      </w:r>
      <w:r>
        <w:rPr>
          <w:rFonts w:hint="eastAsia"/>
          <w:b/>
          <w:color w:val="auto"/>
        </w:rPr>
        <w:t xml:space="preserve">6  </w:t>
      </w:r>
      <w:r>
        <w:rPr>
          <w:b/>
          <w:color w:val="auto"/>
        </w:rPr>
        <w:t>现有项目全厂蒸汽平衡图</w:t>
      </w:r>
      <w:r>
        <w:rPr>
          <w:rFonts w:hint="eastAsia"/>
          <w:b/>
          <w:color w:val="auto"/>
        </w:rPr>
        <w:t>（含在建项目）</w:t>
      </w:r>
      <w:r>
        <w:rPr>
          <w:b/>
          <w:color w:val="auto"/>
        </w:rPr>
        <w:t>（</w:t>
      </w:r>
      <w:r>
        <w:rPr>
          <w:rFonts w:hint="eastAsia"/>
          <w:b/>
          <w:color w:val="auto"/>
        </w:rPr>
        <w:t>t/a</w:t>
      </w:r>
      <w:r>
        <w:rPr>
          <w:b/>
          <w:color w:val="auto"/>
        </w:rPr>
        <w:t>）</w:t>
      </w:r>
    </w:p>
    <w:p w14:paraId="209A2CC3">
      <w:pPr>
        <w:spacing w:line="240" w:lineRule="auto"/>
        <w:ind w:firstLine="0" w:firstLineChars="0"/>
        <w:jc w:val="center"/>
        <w:rPr>
          <w:rFonts w:eastAsia="仿宋_GB2312"/>
          <w:color w:val="auto"/>
        </w:rPr>
      </w:pPr>
      <w:r>
        <w:rPr>
          <w:rFonts w:eastAsia="仿宋_GB2312"/>
          <w:color w:val="auto"/>
        </w:rPr>
        <w:object>
          <v:shape id="_x0000_i1032" o:spt="75" type="#_x0000_t75" style="height:384.6pt;width:451.15pt;" o:ole="t" filled="f" o:preferrelative="t" stroked="f" coordsize="21600,21600">
            <v:path/>
            <v:fill on="f" focussize="0,0"/>
            <v:stroke on="f" joinstyle="miter"/>
            <v:imagedata r:id="rId16" o:title=""/>
            <o:lock v:ext="edit" aspectratio="f"/>
            <w10:wrap type="none"/>
            <w10:anchorlock/>
          </v:shape>
          <o:OLEObject Type="Embed" ProgID="Visio.Drawing.11" ShapeID="_x0000_i1032" DrawAspect="Content" ObjectID="_1468075727" r:id="rId15">
            <o:LockedField>false</o:LockedField>
          </o:OLEObject>
        </w:object>
      </w:r>
    </w:p>
    <w:p w14:paraId="60E8F691">
      <w:pPr>
        <w:spacing w:line="240" w:lineRule="auto"/>
        <w:ind w:firstLine="0" w:firstLineChars="0"/>
        <w:jc w:val="center"/>
        <w:rPr>
          <w:b/>
          <w:color w:val="auto"/>
        </w:rPr>
      </w:pPr>
      <w:r>
        <w:rPr>
          <w:b/>
          <w:color w:val="auto"/>
        </w:rPr>
        <w:t>图3.</w:t>
      </w:r>
      <w:r>
        <w:rPr>
          <w:rFonts w:hint="eastAsia"/>
          <w:b/>
          <w:color w:val="auto"/>
        </w:rPr>
        <w:t>2</w:t>
      </w:r>
      <w:r>
        <w:rPr>
          <w:b/>
          <w:color w:val="auto"/>
        </w:rPr>
        <w:t>-</w:t>
      </w:r>
      <w:r>
        <w:rPr>
          <w:rFonts w:hint="eastAsia"/>
          <w:b/>
          <w:color w:val="auto"/>
        </w:rPr>
        <w:t xml:space="preserve">7  </w:t>
      </w:r>
      <w:r>
        <w:rPr>
          <w:b/>
          <w:color w:val="auto"/>
        </w:rPr>
        <w:t>现有项目全厂</w:t>
      </w:r>
      <w:r>
        <w:rPr>
          <w:rFonts w:hint="eastAsia"/>
          <w:b/>
          <w:color w:val="auto"/>
        </w:rPr>
        <w:t>水</w:t>
      </w:r>
      <w:r>
        <w:rPr>
          <w:b/>
          <w:color w:val="auto"/>
        </w:rPr>
        <w:t>平衡图</w:t>
      </w:r>
      <w:r>
        <w:rPr>
          <w:rFonts w:hint="eastAsia"/>
          <w:b/>
          <w:color w:val="auto"/>
        </w:rPr>
        <w:t>（含在建项目）</w:t>
      </w:r>
      <w:r>
        <w:rPr>
          <w:b/>
          <w:color w:val="auto"/>
        </w:rPr>
        <w:t>（</w:t>
      </w:r>
      <w:r>
        <w:rPr>
          <w:rFonts w:hint="eastAsia"/>
          <w:b/>
          <w:color w:val="auto"/>
        </w:rPr>
        <w:t>t/a</w:t>
      </w:r>
      <w:r>
        <w:rPr>
          <w:b/>
          <w:color w:val="auto"/>
        </w:rPr>
        <w:t>）</w:t>
      </w:r>
    </w:p>
    <w:p w14:paraId="6D6D4A90">
      <w:pPr>
        <w:pStyle w:val="3"/>
        <w:spacing w:before="312"/>
        <w:rPr>
          <w:color w:val="auto"/>
        </w:rPr>
      </w:pPr>
      <w:bookmarkStart w:id="86" w:name="_Toc29701"/>
      <w:r>
        <w:rPr>
          <w:rFonts w:hint="eastAsia"/>
          <w:color w:val="auto"/>
        </w:rPr>
        <w:t>3.3</w:t>
      </w:r>
      <w:r>
        <w:rPr>
          <w:color w:val="auto"/>
        </w:rPr>
        <w:t>现有项目主要污染物的产生及治理措施</w:t>
      </w:r>
      <w:bookmarkEnd w:id="86"/>
    </w:p>
    <w:p w14:paraId="6AED493A">
      <w:pPr>
        <w:pStyle w:val="4"/>
        <w:rPr>
          <w:color w:val="auto"/>
        </w:rPr>
      </w:pPr>
      <w:bookmarkStart w:id="87" w:name="_Toc21545"/>
      <w:r>
        <w:rPr>
          <w:rFonts w:hint="eastAsia"/>
          <w:color w:val="auto"/>
        </w:rPr>
        <w:t>3.3.1废气</w:t>
      </w:r>
      <w:bookmarkEnd w:id="87"/>
    </w:p>
    <w:p w14:paraId="37015C26">
      <w:pPr>
        <w:spacing w:line="460" w:lineRule="exact"/>
        <w:ind w:firstLine="480"/>
        <w:rPr>
          <w:color w:val="auto"/>
        </w:rPr>
      </w:pPr>
      <w:r>
        <w:rPr>
          <w:color w:val="auto"/>
        </w:rPr>
        <w:t>根据现场调查及企业情况介绍，企业现有项目</w:t>
      </w:r>
      <w:r>
        <w:rPr>
          <w:rFonts w:hint="eastAsia"/>
          <w:color w:val="auto"/>
        </w:rPr>
        <w:t>有组织</w:t>
      </w:r>
      <w:r>
        <w:rPr>
          <w:color w:val="auto"/>
        </w:rPr>
        <w:t>废气</w:t>
      </w:r>
      <w:r>
        <w:rPr>
          <w:rFonts w:hint="eastAsia"/>
          <w:color w:val="auto"/>
        </w:rPr>
        <w:t>主要包括二期项目中盐酸苯肼、硫酸苯肼、苯唑醇与亚硫酸氢铵生产线工艺废气，其中乙酰丙酮、1,3,5吡唑酮生产过程无废气产生及排放；三期高浓废水深度处理及其副产盐提纯技改项目中的中和废气、干燥废气、研磨废气、造粒废气和燃气炉燃烧废气；在建项目中硫代硫酸钠与依达拉奉生产线工艺废气。以上现有厂区废气污染物产生工段及治理措施详见表3.3-1，现有全厂废气收集处理流程图见图3.3-1。</w:t>
      </w:r>
    </w:p>
    <w:p w14:paraId="6AC8865E">
      <w:pPr>
        <w:spacing w:line="240" w:lineRule="auto"/>
        <w:ind w:firstLine="0" w:firstLineChars="0"/>
        <w:jc w:val="center"/>
        <w:rPr>
          <w:color w:val="auto"/>
        </w:rPr>
      </w:pPr>
      <w:r>
        <w:rPr>
          <w:color w:val="auto"/>
          <w:sz w:val="28"/>
        </w:rPr>
        <mc:AlternateContent>
          <mc:Choice Requires="wpg">
            <w:drawing>
              <wp:anchor distT="0" distB="0" distL="114300" distR="114300" simplePos="0" relativeHeight="251659264" behindDoc="0" locked="0" layoutInCell="1" allowOverlap="1">
                <wp:simplePos x="0" y="0"/>
                <wp:positionH relativeFrom="column">
                  <wp:posOffset>579120</wp:posOffset>
                </wp:positionH>
                <wp:positionV relativeFrom="paragraph">
                  <wp:posOffset>359410</wp:posOffset>
                </wp:positionV>
                <wp:extent cx="4860290" cy="3872865"/>
                <wp:effectExtent l="6350" t="6350" r="10160" b="6985"/>
                <wp:wrapNone/>
                <wp:docPr id="28" name="组合 28"/>
                <wp:cNvGraphicFramePr/>
                <a:graphic xmlns:a="http://schemas.openxmlformats.org/drawingml/2006/main">
                  <a:graphicData uri="http://schemas.microsoft.com/office/word/2010/wordprocessingGroup">
                    <wpg:wgp>
                      <wpg:cNvGrpSpPr/>
                      <wpg:grpSpPr>
                        <a:xfrm>
                          <a:off x="0" y="0"/>
                          <a:ext cx="4860290" cy="3872865"/>
                          <a:chOff x="4733" y="593078"/>
                          <a:chExt cx="7654" cy="6099"/>
                        </a:xfrm>
                      </wpg:grpSpPr>
                      <wps:wsp>
                        <wps:cNvPr id="23" name="矩形 23"/>
                        <wps:cNvSpPr/>
                        <wps:spPr>
                          <a:xfrm>
                            <a:off x="7027" y="593078"/>
                            <a:ext cx="1086" cy="14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矩形 24"/>
                        <wps:cNvSpPr/>
                        <wps:spPr>
                          <a:xfrm>
                            <a:off x="7025" y="593789"/>
                            <a:ext cx="1086" cy="14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25"/>
                        <wps:cNvSpPr/>
                        <wps:spPr>
                          <a:xfrm>
                            <a:off x="4733" y="596461"/>
                            <a:ext cx="7654" cy="2373"/>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26"/>
                        <wps:cNvSpPr/>
                        <wps:spPr>
                          <a:xfrm>
                            <a:off x="5069" y="599045"/>
                            <a:ext cx="644" cy="133"/>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5.6pt;margin-top:28.3pt;height:304.95pt;width:382.7pt;z-index:251659264;mso-width-relative:page;mso-height-relative:page;" coordorigin="4733,593078" coordsize="7654,6099" o:gfxdata="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D8x5EV2AAAAAkBAAAPAAAAAAAAAAEA&#10;IAAAACIAAABkcnMvZG93bnJldi54bWxQSwECFAAUAAAACACHTuJAOwq6tWUDAADXDgAADgAAAAAA&#10;AAABACAAAAAnAQAAZHJzL2Uyb0RvYy54bWxQSwUGAAAAAAYABgBZAQAA/gYAAAAA&#10;">
                <o:lock v:ext="edit" aspectratio="f"/>
                <v:rect id="_x0000_s1026" o:spid="_x0000_s1026" o:spt="1" style="position:absolute;left:7027;top:593078;height:140;width:1086;v-text-anchor:middle;" filled="f" stroked="t" coordsize="21600,21600" o:gfxdata="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8eDKvQAA&#10;ANsAAAAPAAAAAAAAAAEAIAAAACIAAABkcnMvZG93bnJldi54bWxQSwECFAAUAAAACACHTuJAMy8F&#10;njsAAAA5AAAAEAAAAAAAAAABACAAAAAMAQAAZHJzL3NoYXBleG1sLnhtbFBLBQYAAAAABgAGAFsB&#10;AAC2AwAAAAA=&#10;">
                  <v:fill on="f" focussize="0,0"/>
                  <v:stroke weight="1pt" color="#FF0000 [2404]" miterlimit="8" joinstyle="miter"/>
                  <v:imagedata o:title=""/>
                  <o:lock v:ext="edit" aspectratio="f"/>
                </v:rect>
                <v:rect id="_x0000_s1026" o:spid="_x0000_s1026" o:spt="1" style="position:absolute;left:7025;top:593789;height:140;width:1086;v-text-anchor:middle;" filled="f" stroked="t" coordsize="21600,21600" o:gfxdata="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Hi+vQAA&#10;ANsAAAAPAAAAAAAAAAEAIAAAACIAAABkcnMvZG93bnJldi54bWxQSwECFAAUAAAACACHTuJAMy8F&#10;njsAAAA5AAAAEAAAAAAAAAABACAAAAAMAQAAZHJzL3NoYXBleG1sLnhtbFBLBQYAAAAABgAGAFsB&#10;AAC2AwAAAAA=&#10;">
                  <v:fill on="f" focussize="0,0"/>
                  <v:stroke weight="1pt" color="#FF0000 [2404]" miterlimit="8" joinstyle="miter"/>
                  <v:imagedata o:title=""/>
                  <o:lock v:ext="edit" aspectratio="f"/>
                </v:rect>
                <v:rect id="_x0000_s1026" o:spid="_x0000_s1026" o:spt="1" style="position:absolute;left:4733;top:596461;height:2373;width:7654;v-text-anchor:middle;" filled="f" stroked="t" coordsize="21600,21600" o:gfxdata="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N0lvQAA&#10;ANsAAAAPAAAAAAAAAAEAIAAAACIAAABkcnMvZG93bnJldi54bWxQSwECFAAUAAAACACHTuJAMy8F&#10;njsAAAA5AAAAEAAAAAAAAAABACAAAAAMAQAAZHJzL3NoYXBleG1sLnhtbFBLBQYAAAAABgAGAFsB&#10;AAC2AwAAAAA=&#10;">
                  <v:fill on="f" focussize="0,0"/>
                  <v:stroke weight="1pt" color="#FF0000 [2404]" miterlimit="8" joinstyle="miter"/>
                  <v:imagedata o:title=""/>
                  <o:lock v:ext="edit" aspectratio="f"/>
                </v:rect>
                <v:rect id="_x0000_s1026" o:spid="_x0000_s1026" o:spt="1" style="position:absolute;left:5069;top:599045;height:133;width:644;v-text-anchor:middle;" filled="f" stroked="t" coordsize="21600,21600" o:gfxdata="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hkNSugAAANsA&#10;AAAPAAAAAAAAAAEAIAAAACIAAABkcnMvZG93bnJldi54bWxQSwECFAAUAAAACACHTuJAMy8FnjsA&#10;AAA5AAAAEAAAAAAAAAABACAAAAAJAQAAZHJzL3NoYXBleG1sLnhtbFBLBQYAAAAABgAGAFsBAACz&#10;AwAAAAA=&#10;">
                  <v:fill on="f" focussize="0,0"/>
                  <v:stroke weight="1pt" color="#FF0000 [2404]" miterlimit="8" joinstyle="miter"/>
                  <v:imagedata o:title=""/>
                  <o:lock v:ext="edit" aspectratio="f"/>
                </v:rect>
              </v:group>
            </w:pict>
          </mc:Fallback>
        </mc:AlternateContent>
      </w:r>
      <w:r>
        <w:rPr>
          <w:color w:val="auto"/>
        </w:rPr>
        <w:drawing>
          <wp:inline distT="0" distB="0" distL="114300" distR="114300">
            <wp:extent cx="4774565" cy="4026535"/>
            <wp:effectExtent l="0" t="0" r="6985" b="1206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7"/>
                    <a:stretch>
                      <a:fillRect/>
                    </a:stretch>
                  </pic:blipFill>
                  <pic:spPr>
                    <a:xfrm>
                      <a:off x="0" y="0"/>
                      <a:ext cx="4774565" cy="4026535"/>
                    </a:xfrm>
                    <a:prstGeom prst="rect">
                      <a:avLst/>
                    </a:prstGeom>
                    <a:noFill/>
                    <a:ln>
                      <a:noFill/>
                    </a:ln>
                  </pic:spPr>
                </pic:pic>
              </a:graphicData>
            </a:graphic>
          </wp:inline>
        </w:drawing>
      </w:r>
    </w:p>
    <w:p w14:paraId="49838BD7">
      <w:pPr>
        <w:spacing w:line="460" w:lineRule="exact"/>
        <w:ind w:firstLine="2100" w:firstLineChars="1000"/>
        <w:rPr>
          <w:color w:val="auto"/>
          <w:sz w:val="21"/>
          <w:szCs w:val="21"/>
        </w:rPr>
      </w:pPr>
      <w:r>
        <w:rPr>
          <w:rFonts w:hint="eastAsia"/>
          <w:color w:val="auto"/>
          <w:sz w:val="21"/>
          <w:szCs w:val="21"/>
        </w:rPr>
        <w:t>在建项目</w:t>
      </w:r>
    </w:p>
    <w:p w14:paraId="2452BEF0">
      <w:pPr>
        <w:ind w:firstLine="482"/>
        <w:jc w:val="center"/>
        <w:rPr>
          <w:b/>
          <w:color w:val="auto"/>
        </w:rPr>
      </w:pPr>
      <w:r>
        <w:rPr>
          <w:rFonts w:hint="eastAsia"/>
          <w:b/>
          <w:color w:val="auto"/>
        </w:rPr>
        <w:t>图3.3-1  在建项目建成后全厂废气收集处理流向图</w:t>
      </w:r>
    </w:p>
    <w:p w14:paraId="456DD4CB">
      <w:pPr>
        <w:spacing w:line="240" w:lineRule="auto"/>
        <w:ind w:firstLine="0" w:firstLineChars="0"/>
        <w:jc w:val="center"/>
        <w:rPr>
          <w:color w:val="auto"/>
        </w:rPr>
      </w:pPr>
    </w:p>
    <w:p w14:paraId="1E93191B">
      <w:pPr>
        <w:spacing w:line="240" w:lineRule="auto"/>
        <w:ind w:firstLine="0" w:firstLineChars="0"/>
        <w:jc w:val="center"/>
        <w:rPr>
          <w:color w:val="auto"/>
        </w:rPr>
        <w:sectPr>
          <w:pgSz w:w="11906" w:h="16838"/>
          <w:pgMar w:top="1134" w:right="1134" w:bottom="1134" w:left="1134" w:header="851" w:footer="992" w:gutter="0"/>
          <w:cols w:space="425" w:num="1"/>
          <w:docGrid w:type="lines" w:linePitch="312" w:charSpace="0"/>
        </w:sectPr>
      </w:pPr>
    </w:p>
    <w:p w14:paraId="45899547">
      <w:pPr>
        <w:ind w:firstLine="0" w:firstLineChars="0"/>
        <w:jc w:val="center"/>
        <w:rPr>
          <w:b/>
          <w:color w:val="auto"/>
        </w:rPr>
      </w:pPr>
      <w:r>
        <w:rPr>
          <w:rFonts w:hint="eastAsia"/>
          <w:b/>
          <w:color w:val="auto"/>
        </w:rPr>
        <w:t>表3.3-1  在建项目建成后全厂废气污染治理措施表</w:t>
      </w:r>
    </w:p>
    <w:tbl>
      <w:tblPr>
        <w:tblStyle w:val="25"/>
        <w:tblW w:w="4391"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32"/>
        <w:gridCol w:w="1606"/>
        <w:gridCol w:w="1835"/>
        <w:gridCol w:w="2149"/>
        <w:gridCol w:w="1861"/>
        <w:gridCol w:w="2222"/>
        <w:gridCol w:w="1546"/>
        <w:gridCol w:w="1134"/>
      </w:tblGrid>
      <w:tr w14:paraId="5EBAB62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73BDD6D9">
            <w:pPr>
              <w:spacing w:line="240" w:lineRule="auto"/>
              <w:ind w:firstLine="0" w:firstLineChars="0"/>
              <w:jc w:val="center"/>
              <w:rPr>
                <w:b/>
                <w:color w:val="auto"/>
                <w:sz w:val="21"/>
                <w:szCs w:val="21"/>
              </w:rPr>
            </w:pPr>
            <w:r>
              <w:rPr>
                <w:rFonts w:hint="eastAsia"/>
                <w:b/>
                <w:color w:val="auto"/>
                <w:sz w:val="21"/>
                <w:szCs w:val="21"/>
              </w:rPr>
              <w:t>序号</w:t>
            </w:r>
          </w:p>
        </w:tc>
        <w:tc>
          <w:tcPr>
            <w:tcW w:w="618" w:type="pct"/>
            <w:tcBorders>
              <w:tl2br w:val="nil"/>
              <w:tr2bl w:val="nil"/>
            </w:tcBorders>
            <w:vAlign w:val="center"/>
          </w:tcPr>
          <w:p w14:paraId="7BC4A0D3">
            <w:pPr>
              <w:widowControl/>
              <w:spacing w:line="240" w:lineRule="auto"/>
              <w:ind w:firstLine="0" w:firstLineChars="0"/>
              <w:jc w:val="center"/>
              <w:textAlignment w:val="center"/>
              <w:rPr>
                <w:b/>
                <w:color w:val="auto"/>
                <w:sz w:val="21"/>
                <w:szCs w:val="21"/>
              </w:rPr>
            </w:pPr>
            <w:r>
              <w:rPr>
                <w:rFonts w:hint="eastAsia" w:cs="宋体"/>
                <w:b/>
                <w:color w:val="auto"/>
                <w:kern w:val="0"/>
                <w:sz w:val="21"/>
                <w:szCs w:val="21"/>
                <w:lang w:bidi="ar"/>
              </w:rPr>
              <w:t>所在车间</w:t>
            </w:r>
          </w:p>
        </w:tc>
        <w:tc>
          <w:tcPr>
            <w:tcW w:w="706" w:type="pct"/>
            <w:tcBorders>
              <w:tl2br w:val="nil"/>
              <w:tr2bl w:val="nil"/>
            </w:tcBorders>
            <w:vAlign w:val="center"/>
          </w:tcPr>
          <w:p w14:paraId="47DD96F4">
            <w:pPr>
              <w:widowControl/>
              <w:spacing w:line="240" w:lineRule="auto"/>
              <w:ind w:firstLine="0" w:firstLineChars="0"/>
              <w:jc w:val="center"/>
              <w:textAlignment w:val="center"/>
              <w:rPr>
                <w:b/>
                <w:color w:val="auto"/>
                <w:sz w:val="21"/>
                <w:szCs w:val="21"/>
              </w:rPr>
            </w:pPr>
            <w:r>
              <w:rPr>
                <w:rFonts w:hint="eastAsia" w:cs="宋体"/>
                <w:b/>
                <w:color w:val="auto"/>
                <w:kern w:val="0"/>
                <w:sz w:val="21"/>
                <w:szCs w:val="21"/>
                <w:lang w:bidi="ar"/>
              </w:rPr>
              <w:t>产品</w:t>
            </w:r>
          </w:p>
        </w:tc>
        <w:tc>
          <w:tcPr>
            <w:tcW w:w="827" w:type="pct"/>
            <w:tcBorders>
              <w:tl2br w:val="nil"/>
              <w:tr2bl w:val="nil"/>
            </w:tcBorders>
            <w:vAlign w:val="center"/>
          </w:tcPr>
          <w:p w14:paraId="4992A0C1">
            <w:pPr>
              <w:widowControl/>
              <w:spacing w:line="240" w:lineRule="auto"/>
              <w:ind w:firstLine="0" w:firstLineChars="0"/>
              <w:jc w:val="center"/>
              <w:textAlignment w:val="center"/>
              <w:rPr>
                <w:b/>
                <w:color w:val="auto"/>
                <w:sz w:val="21"/>
                <w:szCs w:val="21"/>
              </w:rPr>
            </w:pPr>
            <w:r>
              <w:rPr>
                <w:rFonts w:hint="eastAsia" w:cs="宋体"/>
                <w:b/>
                <w:color w:val="auto"/>
                <w:kern w:val="0"/>
                <w:sz w:val="21"/>
                <w:szCs w:val="21"/>
                <w:lang w:bidi="ar"/>
              </w:rPr>
              <w:t>产污工段</w:t>
            </w:r>
          </w:p>
        </w:tc>
        <w:tc>
          <w:tcPr>
            <w:tcW w:w="716" w:type="pct"/>
            <w:tcBorders>
              <w:tl2br w:val="nil"/>
              <w:tr2bl w:val="nil"/>
            </w:tcBorders>
            <w:vAlign w:val="center"/>
          </w:tcPr>
          <w:p w14:paraId="641E912A">
            <w:pPr>
              <w:widowControl/>
              <w:spacing w:line="240" w:lineRule="auto"/>
              <w:ind w:firstLine="0" w:firstLineChars="0"/>
              <w:jc w:val="center"/>
              <w:textAlignment w:val="center"/>
              <w:rPr>
                <w:b/>
                <w:color w:val="auto"/>
                <w:sz w:val="21"/>
                <w:szCs w:val="21"/>
              </w:rPr>
            </w:pPr>
            <w:r>
              <w:rPr>
                <w:rFonts w:hint="eastAsia" w:cs="宋体"/>
                <w:b/>
                <w:color w:val="auto"/>
                <w:kern w:val="0"/>
                <w:sz w:val="21"/>
                <w:szCs w:val="21"/>
                <w:lang w:bidi="ar"/>
              </w:rPr>
              <w:t>废气种类</w:t>
            </w:r>
          </w:p>
        </w:tc>
        <w:tc>
          <w:tcPr>
            <w:tcW w:w="855" w:type="pct"/>
            <w:tcBorders>
              <w:tl2br w:val="nil"/>
              <w:tr2bl w:val="nil"/>
            </w:tcBorders>
            <w:vAlign w:val="center"/>
          </w:tcPr>
          <w:p w14:paraId="5CD6BC48">
            <w:pPr>
              <w:widowControl/>
              <w:spacing w:line="240" w:lineRule="auto"/>
              <w:ind w:firstLine="0" w:firstLineChars="0"/>
              <w:jc w:val="center"/>
              <w:textAlignment w:val="center"/>
              <w:rPr>
                <w:b/>
                <w:color w:val="auto"/>
                <w:sz w:val="21"/>
                <w:szCs w:val="21"/>
              </w:rPr>
            </w:pPr>
            <w:r>
              <w:rPr>
                <w:rFonts w:hint="eastAsia" w:cs="宋体"/>
                <w:b/>
                <w:color w:val="auto"/>
                <w:kern w:val="0"/>
                <w:sz w:val="21"/>
                <w:szCs w:val="21"/>
                <w:lang w:bidi="ar"/>
              </w:rPr>
              <w:t>处理措施</w:t>
            </w:r>
          </w:p>
        </w:tc>
        <w:tc>
          <w:tcPr>
            <w:tcW w:w="595" w:type="pct"/>
            <w:tcBorders>
              <w:tl2br w:val="nil"/>
              <w:tr2bl w:val="nil"/>
            </w:tcBorders>
            <w:vAlign w:val="center"/>
          </w:tcPr>
          <w:p w14:paraId="03DD6228">
            <w:pPr>
              <w:widowControl/>
              <w:spacing w:line="240" w:lineRule="auto"/>
              <w:ind w:firstLine="0" w:firstLineChars="0"/>
              <w:jc w:val="center"/>
              <w:textAlignment w:val="center"/>
              <w:rPr>
                <w:b/>
                <w:color w:val="auto"/>
                <w:sz w:val="21"/>
                <w:szCs w:val="21"/>
              </w:rPr>
            </w:pPr>
            <w:r>
              <w:rPr>
                <w:rFonts w:hint="eastAsia" w:cs="宋体"/>
                <w:b/>
                <w:color w:val="auto"/>
                <w:kern w:val="0"/>
                <w:sz w:val="21"/>
                <w:szCs w:val="21"/>
                <w:lang w:bidi="ar"/>
              </w:rPr>
              <w:t>排气筒高度</w:t>
            </w:r>
            <w:r>
              <w:rPr>
                <w:b/>
                <w:color w:val="auto"/>
                <w:kern w:val="0"/>
                <w:sz w:val="21"/>
                <w:szCs w:val="21"/>
                <w:lang w:bidi="ar"/>
              </w:rPr>
              <w:t>m</w:t>
            </w:r>
          </w:p>
        </w:tc>
        <w:tc>
          <w:tcPr>
            <w:tcW w:w="436" w:type="pct"/>
            <w:tcBorders>
              <w:tl2br w:val="nil"/>
              <w:tr2bl w:val="nil"/>
            </w:tcBorders>
            <w:vAlign w:val="center"/>
          </w:tcPr>
          <w:p w14:paraId="2E86049F">
            <w:pPr>
              <w:widowControl/>
              <w:spacing w:line="240" w:lineRule="auto"/>
              <w:ind w:firstLine="0" w:firstLineChars="0"/>
              <w:jc w:val="center"/>
              <w:textAlignment w:val="center"/>
              <w:rPr>
                <w:b/>
                <w:color w:val="auto"/>
                <w:sz w:val="21"/>
                <w:szCs w:val="21"/>
              </w:rPr>
            </w:pPr>
            <w:r>
              <w:rPr>
                <w:rFonts w:hint="eastAsia" w:cs="宋体"/>
                <w:b/>
                <w:color w:val="auto"/>
                <w:kern w:val="0"/>
                <w:sz w:val="21"/>
                <w:szCs w:val="21"/>
                <w:lang w:bidi="ar"/>
              </w:rPr>
              <w:t>排气筒编号</w:t>
            </w:r>
          </w:p>
        </w:tc>
      </w:tr>
      <w:tr w14:paraId="3285E5B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734B1EE0">
            <w:pPr>
              <w:spacing w:line="240" w:lineRule="auto"/>
              <w:ind w:firstLine="0" w:firstLineChars="0"/>
              <w:jc w:val="center"/>
              <w:rPr>
                <w:bCs/>
                <w:color w:val="auto"/>
                <w:sz w:val="21"/>
              </w:rPr>
            </w:pPr>
            <w:r>
              <w:rPr>
                <w:rFonts w:hint="eastAsia"/>
                <w:bCs/>
                <w:color w:val="auto"/>
                <w:sz w:val="21"/>
              </w:rPr>
              <w:t>1</w:t>
            </w:r>
          </w:p>
        </w:tc>
        <w:tc>
          <w:tcPr>
            <w:tcW w:w="618" w:type="pct"/>
            <w:vMerge w:val="restart"/>
            <w:tcBorders>
              <w:tl2br w:val="nil"/>
              <w:tr2bl w:val="nil"/>
            </w:tcBorders>
            <w:vAlign w:val="center"/>
          </w:tcPr>
          <w:p w14:paraId="23A4CD75">
            <w:pPr>
              <w:spacing w:line="240" w:lineRule="auto"/>
              <w:ind w:firstLine="0" w:firstLineChars="0"/>
              <w:jc w:val="center"/>
              <w:rPr>
                <w:bCs/>
                <w:color w:val="auto"/>
                <w:sz w:val="21"/>
              </w:rPr>
            </w:pPr>
            <w:r>
              <w:rPr>
                <w:rFonts w:hint="eastAsia"/>
                <w:bCs/>
                <w:color w:val="auto"/>
                <w:sz w:val="21"/>
              </w:rPr>
              <w:t>1#车间、3#车间</w:t>
            </w:r>
          </w:p>
        </w:tc>
        <w:tc>
          <w:tcPr>
            <w:tcW w:w="706" w:type="pct"/>
            <w:tcBorders>
              <w:tl2br w:val="nil"/>
              <w:tr2bl w:val="nil"/>
            </w:tcBorders>
            <w:vAlign w:val="center"/>
          </w:tcPr>
          <w:p w14:paraId="454BECCF">
            <w:pPr>
              <w:spacing w:line="240" w:lineRule="auto"/>
              <w:ind w:firstLine="0" w:firstLineChars="0"/>
              <w:jc w:val="center"/>
              <w:rPr>
                <w:bCs/>
                <w:color w:val="auto"/>
                <w:sz w:val="21"/>
              </w:rPr>
            </w:pPr>
            <w:r>
              <w:rPr>
                <w:rFonts w:hint="eastAsia"/>
                <w:bCs/>
                <w:color w:val="auto"/>
                <w:sz w:val="21"/>
              </w:rPr>
              <w:t>盐酸苯肼</w:t>
            </w:r>
          </w:p>
        </w:tc>
        <w:tc>
          <w:tcPr>
            <w:tcW w:w="827" w:type="pct"/>
            <w:vMerge w:val="restart"/>
            <w:tcBorders>
              <w:tl2br w:val="nil"/>
              <w:tr2bl w:val="nil"/>
            </w:tcBorders>
            <w:vAlign w:val="center"/>
          </w:tcPr>
          <w:p w14:paraId="522050F4">
            <w:pPr>
              <w:spacing w:line="240" w:lineRule="auto"/>
              <w:ind w:firstLine="0" w:firstLineChars="0"/>
              <w:jc w:val="center"/>
              <w:rPr>
                <w:bCs/>
                <w:color w:val="auto"/>
                <w:sz w:val="21"/>
              </w:rPr>
            </w:pPr>
          </w:p>
        </w:tc>
        <w:tc>
          <w:tcPr>
            <w:tcW w:w="716" w:type="pct"/>
            <w:vMerge w:val="restart"/>
            <w:tcBorders>
              <w:tl2br w:val="nil"/>
              <w:tr2bl w:val="nil"/>
            </w:tcBorders>
            <w:vAlign w:val="center"/>
          </w:tcPr>
          <w:p w14:paraId="2490E760">
            <w:pPr>
              <w:spacing w:line="240" w:lineRule="auto"/>
              <w:ind w:firstLine="0" w:firstLineChars="0"/>
              <w:jc w:val="center"/>
              <w:rPr>
                <w:bCs/>
                <w:color w:val="auto"/>
                <w:sz w:val="21"/>
              </w:rPr>
            </w:pPr>
            <w:r>
              <w:rPr>
                <w:rFonts w:hint="eastAsia"/>
                <w:bCs/>
                <w:color w:val="auto"/>
                <w:sz w:val="21"/>
              </w:rPr>
              <w:t>二氧化硫、氮氧化物和氨</w:t>
            </w:r>
          </w:p>
        </w:tc>
        <w:tc>
          <w:tcPr>
            <w:tcW w:w="855" w:type="pct"/>
            <w:vMerge w:val="restart"/>
            <w:tcBorders>
              <w:tl2br w:val="nil"/>
              <w:tr2bl w:val="nil"/>
            </w:tcBorders>
            <w:vAlign w:val="center"/>
          </w:tcPr>
          <w:p w14:paraId="08D3C213">
            <w:pPr>
              <w:spacing w:line="240" w:lineRule="auto"/>
              <w:ind w:firstLine="0" w:firstLineChars="0"/>
              <w:jc w:val="center"/>
              <w:rPr>
                <w:bCs/>
                <w:color w:val="auto"/>
                <w:sz w:val="21"/>
              </w:rPr>
            </w:pPr>
            <w:r>
              <w:rPr>
                <w:rFonts w:hint="eastAsia"/>
                <w:bCs/>
                <w:color w:val="auto"/>
                <w:sz w:val="21"/>
              </w:rPr>
              <w:t>三级碱吸收+一级水喷淋+电除雾</w:t>
            </w:r>
          </w:p>
        </w:tc>
        <w:tc>
          <w:tcPr>
            <w:tcW w:w="595" w:type="pct"/>
            <w:vMerge w:val="restart"/>
            <w:tcBorders>
              <w:tl2br w:val="nil"/>
              <w:tr2bl w:val="nil"/>
            </w:tcBorders>
            <w:vAlign w:val="center"/>
          </w:tcPr>
          <w:p w14:paraId="21013438">
            <w:pPr>
              <w:spacing w:line="240" w:lineRule="auto"/>
              <w:ind w:firstLine="0" w:firstLineChars="0"/>
              <w:jc w:val="center"/>
              <w:rPr>
                <w:bCs/>
                <w:color w:val="auto"/>
                <w:sz w:val="21"/>
              </w:rPr>
            </w:pPr>
            <w:r>
              <w:rPr>
                <w:rFonts w:hint="eastAsia"/>
                <w:bCs/>
                <w:color w:val="auto"/>
                <w:sz w:val="21"/>
              </w:rPr>
              <w:t>35</w:t>
            </w:r>
          </w:p>
        </w:tc>
        <w:tc>
          <w:tcPr>
            <w:tcW w:w="436" w:type="pct"/>
            <w:vMerge w:val="restart"/>
            <w:tcBorders>
              <w:tl2br w:val="nil"/>
              <w:tr2bl w:val="nil"/>
            </w:tcBorders>
            <w:vAlign w:val="center"/>
          </w:tcPr>
          <w:p w14:paraId="74EA5125">
            <w:pPr>
              <w:spacing w:line="240" w:lineRule="auto"/>
              <w:ind w:firstLine="0" w:firstLineChars="0"/>
              <w:jc w:val="center"/>
              <w:rPr>
                <w:bCs/>
                <w:color w:val="auto"/>
                <w:sz w:val="21"/>
              </w:rPr>
            </w:pPr>
            <w:r>
              <w:rPr>
                <w:rFonts w:hint="eastAsia"/>
                <w:bCs/>
                <w:color w:val="auto"/>
                <w:sz w:val="21"/>
              </w:rPr>
              <w:t>DA001</w:t>
            </w:r>
          </w:p>
        </w:tc>
      </w:tr>
      <w:tr w14:paraId="692A954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66223D27">
            <w:pPr>
              <w:spacing w:line="240" w:lineRule="auto"/>
              <w:ind w:firstLine="0" w:firstLineChars="0"/>
              <w:jc w:val="center"/>
              <w:rPr>
                <w:bCs/>
                <w:color w:val="auto"/>
                <w:sz w:val="21"/>
              </w:rPr>
            </w:pPr>
            <w:r>
              <w:rPr>
                <w:rFonts w:hint="eastAsia"/>
                <w:bCs/>
                <w:color w:val="auto"/>
                <w:sz w:val="21"/>
              </w:rPr>
              <w:t>2</w:t>
            </w:r>
          </w:p>
        </w:tc>
        <w:tc>
          <w:tcPr>
            <w:tcW w:w="618" w:type="pct"/>
            <w:vMerge w:val="continue"/>
            <w:tcBorders>
              <w:tl2br w:val="nil"/>
              <w:tr2bl w:val="nil"/>
            </w:tcBorders>
            <w:vAlign w:val="center"/>
          </w:tcPr>
          <w:p w14:paraId="0FA2462D">
            <w:pPr>
              <w:spacing w:line="240" w:lineRule="auto"/>
              <w:ind w:firstLine="0" w:firstLineChars="0"/>
              <w:jc w:val="center"/>
              <w:rPr>
                <w:bCs/>
                <w:color w:val="auto"/>
                <w:sz w:val="21"/>
              </w:rPr>
            </w:pPr>
          </w:p>
        </w:tc>
        <w:tc>
          <w:tcPr>
            <w:tcW w:w="706" w:type="pct"/>
            <w:tcBorders>
              <w:tl2br w:val="nil"/>
              <w:tr2bl w:val="nil"/>
            </w:tcBorders>
            <w:vAlign w:val="center"/>
          </w:tcPr>
          <w:p w14:paraId="3B6F8633">
            <w:pPr>
              <w:spacing w:line="240" w:lineRule="auto"/>
              <w:ind w:firstLine="0" w:firstLineChars="0"/>
              <w:jc w:val="center"/>
              <w:rPr>
                <w:bCs/>
                <w:color w:val="auto"/>
                <w:sz w:val="21"/>
              </w:rPr>
            </w:pPr>
            <w:r>
              <w:rPr>
                <w:rFonts w:hint="eastAsia"/>
                <w:bCs/>
                <w:color w:val="auto"/>
                <w:sz w:val="21"/>
              </w:rPr>
              <w:t>硫酸苯肼</w:t>
            </w:r>
          </w:p>
        </w:tc>
        <w:tc>
          <w:tcPr>
            <w:tcW w:w="827" w:type="pct"/>
            <w:vMerge w:val="continue"/>
            <w:tcBorders>
              <w:tl2br w:val="nil"/>
              <w:tr2bl w:val="nil"/>
            </w:tcBorders>
            <w:vAlign w:val="center"/>
          </w:tcPr>
          <w:p w14:paraId="55E51226">
            <w:pPr>
              <w:spacing w:line="240" w:lineRule="auto"/>
              <w:ind w:firstLine="0" w:firstLineChars="0"/>
              <w:jc w:val="center"/>
              <w:rPr>
                <w:bCs/>
                <w:color w:val="auto"/>
                <w:sz w:val="21"/>
              </w:rPr>
            </w:pPr>
          </w:p>
        </w:tc>
        <w:tc>
          <w:tcPr>
            <w:tcW w:w="716" w:type="pct"/>
            <w:vMerge w:val="continue"/>
            <w:tcBorders>
              <w:tl2br w:val="nil"/>
              <w:tr2bl w:val="nil"/>
            </w:tcBorders>
            <w:vAlign w:val="center"/>
          </w:tcPr>
          <w:p w14:paraId="64ACD3E1">
            <w:pPr>
              <w:spacing w:line="240" w:lineRule="auto"/>
              <w:ind w:firstLine="0" w:firstLineChars="0"/>
              <w:jc w:val="center"/>
              <w:rPr>
                <w:bCs/>
                <w:color w:val="auto"/>
                <w:sz w:val="21"/>
              </w:rPr>
            </w:pPr>
          </w:p>
        </w:tc>
        <w:tc>
          <w:tcPr>
            <w:tcW w:w="855" w:type="pct"/>
            <w:vMerge w:val="continue"/>
            <w:tcBorders>
              <w:tl2br w:val="nil"/>
              <w:tr2bl w:val="nil"/>
            </w:tcBorders>
            <w:vAlign w:val="center"/>
          </w:tcPr>
          <w:p w14:paraId="3E226E42">
            <w:pPr>
              <w:spacing w:line="240" w:lineRule="auto"/>
              <w:ind w:firstLine="0" w:firstLineChars="0"/>
              <w:jc w:val="center"/>
              <w:rPr>
                <w:bCs/>
                <w:color w:val="auto"/>
                <w:sz w:val="21"/>
              </w:rPr>
            </w:pPr>
          </w:p>
        </w:tc>
        <w:tc>
          <w:tcPr>
            <w:tcW w:w="595" w:type="pct"/>
            <w:vMerge w:val="continue"/>
            <w:tcBorders>
              <w:tl2br w:val="nil"/>
              <w:tr2bl w:val="nil"/>
            </w:tcBorders>
            <w:vAlign w:val="center"/>
          </w:tcPr>
          <w:p w14:paraId="2A4B36E4">
            <w:pPr>
              <w:spacing w:line="240" w:lineRule="auto"/>
              <w:ind w:firstLine="0" w:firstLineChars="0"/>
              <w:jc w:val="center"/>
              <w:rPr>
                <w:bCs/>
                <w:color w:val="auto"/>
                <w:sz w:val="21"/>
              </w:rPr>
            </w:pPr>
          </w:p>
        </w:tc>
        <w:tc>
          <w:tcPr>
            <w:tcW w:w="436" w:type="pct"/>
            <w:vMerge w:val="continue"/>
            <w:tcBorders>
              <w:tl2br w:val="nil"/>
              <w:tr2bl w:val="nil"/>
            </w:tcBorders>
            <w:vAlign w:val="center"/>
          </w:tcPr>
          <w:p w14:paraId="393C43EE">
            <w:pPr>
              <w:spacing w:line="240" w:lineRule="auto"/>
              <w:ind w:firstLine="0" w:firstLineChars="0"/>
              <w:jc w:val="center"/>
              <w:rPr>
                <w:bCs/>
                <w:color w:val="auto"/>
                <w:sz w:val="21"/>
              </w:rPr>
            </w:pPr>
          </w:p>
        </w:tc>
      </w:tr>
      <w:tr w14:paraId="70B3993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1D86AEF0">
            <w:pPr>
              <w:spacing w:line="240" w:lineRule="auto"/>
              <w:ind w:firstLine="0" w:firstLineChars="0"/>
              <w:jc w:val="center"/>
              <w:rPr>
                <w:bCs/>
                <w:color w:val="auto"/>
                <w:sz w:val="21"/>
              </w:rPr>
            </w:pPr>
            <w:r>
              <w:rPr>
                <w:rFonts w:hint="eastAsia"/>
                <w:bCs/>
                <w:color w:val="auto"/>
                <w:sz w:val="21"/>
              </w:rPr>
              <w:t>3</w:t>
            </w:r>
          </w:p>
        </w:tc>
        <w:tc>
          <w:tcPr>
            <w:tcW w:w="618" w:type="pct"/>
            <w:vMerge w:val="continue"/>
            <w:tcBorders>
              <w:tl2br w:val="nil"/>
              <w:tr2bl w:val="nil"/>
            </w:tcBorders>
            <w:vAlign w:val="center"/>
          </w:tcPr>
          <w:p w14:paraId="452EE7BC">
            <w:pPr>
              <w:spacing w:line="240" w:lineRule="auto"/>
              <w:ind w:firstLine="0" w:firstLineChars="0"/>
              <w:jc w:val="center"/>
              <w:rPr>
                <w:bCs/>
                <w:color w:val="auto"/>
                <w:sz w:val="21"/>
              </w:rPr>
            </w:pPr>
          </w:p>
        </w:tc>
        <w:tc>
          <w:tcPr>
            <w:tcW w:w="706" w:type="pct"/>
            <w:tcBorders>
              <w:tl2br w:val="nil"/>
              <w:tr2bl w:val="nil"/>
            </w:tcBorders>
            <w:vAlign w:val="center"/>
          </w:tcPr>
          <w:p w14:paraId="363C0CFC">
            <w:pPr>
              <w:spacing w:line="240" w:lineRule="auto"/>
              <w:ind w:firstLine="0" w:firstLineChars="0"/>
              <w:jc w:val="center"/>
              <w:rPr>
                <w:bCs/>
                <w:color w:val="auto"/>
                <w:sz w:val="21"/>
              </w:rPr>
            </w:pPr>
            <w:r>
              <w:rPr>
                <w:rFonts w:hint="eastAsia"/>
                <w:bCs/>
                <w:color w:val="auto"/>
                <w:sz w:val="21"/>
              </w:rPr>
              <w:t>苯唑醇</w:t>
            </w:r>
          </w:p>
        </w:tc>
        <w:tc>
          <w:tcPr>
            <w:tcW w:w="827" w:type="pct"/>
            <w:tcBorders>
              <w:tl2br w:val="nil"/>
              <w:tr2bl w:val="nil"/>
            </w:tcBorders>
            <w:vAlign w:val="center"/>
          </w:tcPr>
          <w:p w14:paraId="69486323">
            <w:pPr>
              <w:spacing w:line="240" w:lineRule="auto"/>
              <w:ind w:firstLine="0" w:firstLineChars="0"/>
              <w:jc w:val="center"/>
              <w:rPr>
                <w:bCs/>
                <w:color w:val="auto"/>
                <w:sz w:val="21"/>
              </w:rPr>
            </w:pPr>
          </w:p>
        </w:tc>
        <w:tc>
          <w:tcPr>
            <w:tcW w:w="716" w:type="pct"/>
            <w:tcBorders>
              <w:tl2br w:val="nil"/>
              <w:tr2bl w:val="nil"/>
            </w:tcBorders>
            <w:vAlign w:val="center"/>
          </w:tcPr>
          <w:p w14:paraId="462CA7D1">
            <w:pPr>
              <w:spacing w:line="240" w:lineRule="auto"/>
              <w:ind w:firstLine="0" w:firstLineChars="0"/>
              <w:jc w:val="center"/>
              <w:rPr>
                <w:bCs/>
                <w:color w:val="auto"/>
                <w:sz w:val="21"/>
              </w:rPr>
            </w:pPr>
            <w:r>
              <w:rPr>
                <w:rFonts w:hint="eastAsia"/>
                <w:bCs/>
                <w:color w:val="auto"/>
                <w:sz w:val="21"/>
              </w:rPr>
              <w:t>非甲烷总烃</w:t>
            </w:r>
          </w:p>
        </w:tc>
        <w:tc>
          <w:tcPr>
            <w:tcW w:w="855" w:type="pct"/>
            <w:vMerge w:val="continue"/>
            <w:tcBorders>
              <w:tl2br w:val="nil"/>
              <w:tr2bl w:val="nil"/>
            </w:tcBorders>
            <w:vAlign w:val="center"/>
          </w:tcPr>
          <w:p w14:paraId="66C25820">
            <w:pPr>
              <w:spacing w:line="240" w:lineRule="auto"/>
              <w:ind w:firstLine="0" w:firstLineChars="0"/>
              <w:jc w:val="center"/>
              <w:rPr>
                <w:bCs/>
                <w:color w:val="auto"/>
                <w:sz w:val="21"/>
              </w:rPr>
            </w:pPr>
          </w:p>
        </w:tc>
        <w:tc>
          <w:tcPr>
            <w:tcW w:w="595" w:type="pct"/>
            <w:vMerge w:val="continue"/>
            <w:tcBorders>
              <w:tl2br w:val="nil"/>
              <w:tr2bl w:val="nil"/>
            </w:tcBorders>
            <w:vAlign w:val="center"/>
          </w:tcPr>
          <w:p w14:paraId="4731F2BE">
            <w:pPr>
              <w:spacing w:line="240" w:lineRule="auto"/>
              <w:ind w:firstLine="0" w:firstLineChars="0"/>
              <w:jc w:val="center"/>
              <w:rPr>
                <w:bCs/>
                <w:color w:val="auto"/>
                <w:sz w:val="21"/>
              </w:rPr>
            </w:pPr>
          </w:p>
        </w:tc>
        <w:tc>
          <w:tcPr>
            <w:tcW w:w="436" w:type="pct"/>
            <w:vMerge w:val="continue"/>
            <w:tcBorders>
              <w:tl2br w:val="nil"/>
              <w:tr2bl w:val="nil"/>
            </w:tcBorders>
            <w:vAlign w:val="center"/>
          </w:tcPr>
          <w:p w14:paraId="0871FA4A">
            <w:pPr>
              <w:spacing w:line="240" w:lineRule="auto"/>
              <w:ind w:firstLine="0" w:firstLineChars="0"/>
              <w:jc w:val="center"/>
              <w:rPr>
                <w:bCs/>
                <w:color w:val="auto"/>
                <w:sz w:val="21"/>
              </w:rPr>
            </w:pPr>
          </w:p>
        </w:tc>
      </w:tr>
      <w:tr w14:paraId="1CE0421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4C2665DB">
            <w:pPr>
              <w:spacing w:line="240" w:lineRule="auto"/>
              <w:ind w:firstLine="0" w:firstLineChars="0"/>
              <w:jc w:val="center"/>
              <w:rPr>
                <w:bCs/>
                <w:color w:val="auto"/>
                <w:sz w:val="21"/>
              </w:rPr>
            </w:pPr>
            <w:r>
              <w:rPr>
                <w:rFonts w:hint="eastAsia"/>
                <w:bCs/>
                <w:color w:val="auto"/>
                <w:sz w:val="21"/>
              </w:rPr>
              <w:t>4</w:t>
            </w:r>
          </w:p>
        </w:tc>
        <w:tc>
          <w:tcPr>
            <w:tcW w:w="618" w:type="pct"/>
            <w:vMerge w:val="continue"/>
            <w:tcBorders>
              <w:tl2br w:val="nil"/>
              <w:tr2bl w:val="nil"/>
            </w:tcBorders>
            <w:vAlign w:val="center"/>
          </w:tcPr>
          <w:p w14:paraId="4895CC6E">
            <w:pPr>
              <w:spacing w:line="240" w:lineRule="auto"/>
              <w:ind w:firstLine="0" w:firstLineChars="0"/>
              <w:jc w:val="center"/>
              <w:rPr>
                <w:bCs/>
                <w:color w:val="auto"/>
                <w:sz w:val="21"/>
              </w:rPr>
            </w:pPr>
          </w:p>
        </w:tc>
        <w:tc>
          <w:tcPr>
            <w:tcW w:w="706" w:type="pct"/>
            <w:tcBorders>
              <w:tl2br w:val="nil"/>
              <w:tr2bl w:val="nil"/>
            </w:tcBorders>
            <w:vAlign w:val="center"/>
          </w:tcPr>
          <w:p w14:paraId="73E5BFB0">
            <w:pPr>
              <w:spacing w:line="240" w:lineRule="auto"/>
              <w:ind w:firstLine="0" w:firstLineChars="0"/>
              <w:jc w:val="center"/>
              <w:rPr>
                <w:bCs/>
                <w:color w:val="auto"/>
                <w:sz w:val="21"/>
              </w:rPr>
            </w:pPr>
            <w:r>
              <w:rPr>
                <w:rFonts w:hint="eastAsia"/>
                <w:bCs/>
                <w:color w:val="auto"/>
                <w:sz w:val="21"/>
              </w:rPr>
              <w:t>硫代硫酸钠</w:t>
            </w:r>
          </w:p>
        </w:tc>
        <w:tc>
          <w:tcPr>
            <w:tcW w:w="827" w:type="pct"/>
            <w:tcBorders>
              <w:tl2br w:val="nil"/>
              <w:tr2bl w:val="nil"/>
            </w:tcBorders>
            <w:vAlign w:val="center"/>
          </w:tcPr>
          <w:p w14:paraId="47750648">
            <w:pPr>
              <w:spacing w:line="240" w:lineRule="auto"/>
              <w:ind w:firstLine="0" w:firstLineChars="0"/>
              <w:jc w:val="center"/>
              <w:rPr>
                <w:bCs/>
                <w:color w:val="auto"/>
                <w:sz w:val="21"/>
              </w:rPr>
            </w:pPr>
          </w:p>
        </w:tc>
        <w:tc>
          <w:tcPr>
            <w:tcW w:w="716" w:type="pct"/>
            <w:tcBorders>
              <w:tl2br w:val="nil"/>
              <w:tr2bl w:val="nil"/>
            </w:tcBorders>
            <w:vAlign w:val="center"/>
          </w:tcPr>
          <w:p w14:paraId="2BC1FFE9">
            <w:pPr>
              <w:spacing w:line="240" w:lineRule="auto"/>
              <w:ind w:firstLine="0" w:firstLineChars="0"/>
              <w:jc w:val="center"/>
              <w:rPr>
                <w:bCs/>
                <w:color w:val="auto"/>
                <w:sz w:val="21"/>
              </w:rPr>
            </w:pPr>
            <w:r>
              <w:rPr>
                <w:rFonts w:hint="eastAsia"/>
                <w:bCs/>
                <w:color w:val="auto"/>
                <w:sz w:val="21"/>
              </w:rPr>
              <w:t>二氧化硫</w:t>
            </w:r>
          </w:p>
        </w:tc>
        <w:tc>
          <w:tcPr>
            <w:tcW w:w="855" w:type="pct"/>
            <w:vMerge w:val="continue"/>
            <w:tcBorders>
              <w:tl2br w:val="nil"/>
              <w:tr2bl w:val="nil"/>
            </w:tcBorders>
            <w:vAlign w:val="center"/>
          </w:tcPr>
          <w:p w14:paraId="24FA8ABE">
            <w:pPr>
              <w:spacing w:line="240" w:lineRule="auto"/>
              <w:ind w:firstLine="0" w:firstLineChars="0"/>
              <w:jc w:val="center"/>
              <w:rPr>
                <w:bCs/>
                <w:color w:val="auto"/>
                <w:sz w:val="21"/>
              </w:rPr>
            </w:pPr>
          </w:p>
        </w:tc>
        <w:tc>
          <w:tcPr>
            <w:tcW w:w="595" w:type="pct"/>
            <w:vMerge w:val="continue"/>
            <w:tcBorders>
              <w:tl2br w:val="nil"/>
              <w:tr2bl w:val="nil"/>
            </w:tcBorders>
            <w:vAlign w:val="center"/>
          </w:tcPr>
          <w:p w14:paraId="6A53AC72">
            <w:pPr>
              <w:spacing w:line="240" w:lineRule="auto"/>
              <w:ind w:firstLine="0" w:firstLineChars="0"/>
              <w:jc w:val="center"/>
              <w:rPr>
                <w:bCs/>
                <w:color w:val="auto"/>
                <w:sz w:val="21"/>
              </w:rPr>
            </w:pPr>
          </w:p>
        </w:tc>
        <w:tc>
          <w:tcPr>
            <w:tcW w:w="436" w:type="pct"/>
            <w:vMerge w:val="continue"/>
            <w:tcBorders>
              <w:tl2br w:val="nil"/>
              <w:tr2bl w:val="nil"/>
            </w:tcBorders>
            <w:vAlign w:val="center"/>
          </w:tcPr>
          <w:p w14:paraId="141FE566">
            <w:pPr>
              <w:spacing w:line="240" w:lineRule="auto"/>
              <w:ind w:firstLine="0" w:firstLineChars="0"/>
              <w:jc w:val="center"/>
              <w:rPr>
                <w:bCs/>
                <w:color w:val="auto"/>
                <w:sz w:val="21"/>
              </w:rPr>
            </w:pPr>
          </w:p>
        </w:tc>
      </w:tr>
      <w:tr w14:paraId="32F73E3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4171087B">
            <w:pPr>
              <w:spacing w:line="240" w:lineRule="auto"/>
              <w:ind w:firstLine="0" w:firstLineChars="0"/>
              <w:jc w:val="center"/>
              <w:rPr>
                <w:bCs/>
                <w:color w:val="auto"/>
                <w:sz w:val="21"/>
              </w:rPr>
            </w:pPr>
            <w:r>
              <w:rPr>
                <w:rFonts w:hint="eastAsia"/>
                <w:bCs/>
                <w:color w:val="auto"/>
                <w:sz w:val="21"/>
              </w:rPr>
              <w:t>5</w:t>
            </w:r>
          </w:p>
        </w:tc>
        <w:tc>
          <w:tcPr>
            <w:tcW w:w="618" w:type="pct"/>
            <w:tcBorders>
              <w:tl2br w:val="nil"/>
              <w:tr2bl w:val="nil"/>
            </w:tcBorders>
            <w:vAlign w:val="center"/>
          </w:tcPr>
          <w:p w14:paraId="4F9D151A">
            <w:pPr>
              <w:spacing w:line="240" w:lineRule="auto"/>
              <w:ind w:firstLine="0" w:firstLineChars="0"/>
              <w:jc w:val="center"/>
              <w:rPr>
                <w:bCs/>
                <w:color w:val="auto"/>
                <w:sz w:val="21"/>
              </w:rPr>
            </w:pPr>
            <w:r>
              <w:rPr>
                <w:rFonts w:hint="eastAsia"/>
                <w:bCs/>
                <w:color w:val="auto"/>
                <w:sz w:val="21"/>
              </w:rPr>
              <w:t>污水站</w:t>
            </w:r>
          </w:p>
        </w:tc>
        <w:tc>
          <w:tcPr>
            <w:tcW w:w="706" w:type="pct"/>
            <w:tcBorders>
              <w:tl2br w:val="nil"/>
              <w:tr2bl w:val="nil"/>
            </w:tcBorders>
            <w:vAlign w:val="center"/>
          </w:tcPr>
          <w:p w14:paraId="6B169598">
            <w:pPr>
              <w:spacing w:line="240" w:lineRule="auto"/>
              <w:ind w:firstLine="0" w:firstLineChars="0"/>
              <w:jc w:val="center"/>
              <w:rPr>
                <w:bCs/>
                <w:color w:val="auto"/>
                <w:sz w:val="21"/>
              </w:rPr>
            </w:pPr>
            <w:r>
              <w:rPr>
                <w:rFonts w:hint="eastAsia"/>
                <w:bCs/>
                <w:color w:val="auto"/>
                <w:sz w:val="21"/>
              </w:rPr>
              <w:t>/</w:t>
            </w:r>
          </w:p>
        </w:tc>
        <w:tc>
          <w:tcPr>
            <w:tcW w:w="827" w:type="pct"/>
            <w:tcBorders>
              <w:tl2br w:val="nil"/>
              <w:tr2bl w:val="nil"/>
            </w:tcBorders>
            <w:vAlign w:val="center"/>
          </w:tcPr>
          <w:p w14:paraId="740B86C0">
            <w:pPr>
              <w:spacing w:line="240" w:lineRule="auto"/>
              <w:ind w:firstLine="0" w:firstLineChars="0"/>
              <w:jc w:val="center"/>
              <w:rPr>
                <w:bCs/>
                <w:color w:val="auto"/>
                <w:sz w:val="21"/>
              </w:rPr>
            </w:pPr>
          </w:p>
        </w:tc>
        <w:tc>
          <w:tcPr>
            <w:tcW w:w="716" w:type="pct"/>
            <w:tcBorders>
              <w:tl2br w:val="nil"/>
              <w:tr2bl w:val="nil"/>
            </w:tcBorders>
            <w:vAlign w:val="center"/>
          </w:tcPr>
          <w:p w14:paraId="299E7722">
            <w:pPr>
              <w:spacing w:line="240" w:lineRule="auto"/>
              <w:ind w:firstLine="0" w:firstLineChars="0"/>
              <w:jc w:val="center"/>
              <w:rPr>
                <w:bCs/>
                <w:color w:val="auto"/>
                <w:sz w:val="21"/>
              </w:rPr>
            </w:pPr>
            <w:r>
              <w:rPr>
                <w:rFonts w:hint="eastAsia"/>
                <w:bCs/>
                <w:color w:val="auto"/>
                <w:sz w:val="21"/>
              </w:rPr>
              <w:t>氨</w:t>
            </w:r>
          </w:p>
        </w:tc>
        <w:tc>
          <w:tcPr>
            <w:tcW w:w="855" w:type="pct"/>
            <w:vMerge w:val="continue"/>
            <w:tcBorders>
              <w:tl2br w:val="nil"/>
              <w:tr2bl w:val="nil"/>
            </w:tcBorders>
            <w:vAlign w:val="center"/>
          </w:tcPr>
          <w:p w14:paraId="236D91D2">
            <w:pPr>
              <w:spacing w:line="240" w:lineRule="auto"/>
              <w:ind w:firstLine="0" w:firstLineChars="0"/>
              <w:jc w:val="center"/>
              <w:rPr>
                <w:bCs/>
                <w:color w:val="auto"/>
                <w:sz w:val="21"/>
              </w:rPr>
            </w:pPr>
          </w:p>
        </w:tc>
        <w:tc>
          <w:tcPr>
            <w:tcW w:w="595" w:type="pct"/>
            <w:vMerge w:val="continue"/>
            <w:tcBorders>
              <w:tl2br w:val="nil"/>
              <w:tr2bl w:val="nil"/>
            </w:tcBorders>
            <w:vAlign w:val="center"/>
          </w:tcPr>
          <w:p w14:paraId="192E3731">
            <w:pPr>
              <w:spacing w:line="240" w:lineRule="auto"/>
              <w:ind w:firstLine="0" w:firstLineChars="0"/>
              <w:jc w:val="center"/>
              <w:rPr>
                <w:bCs/>
                <w:color w:val="auto"/>
                <w:sz w:val="21"/>
              </w:rPr>
            </w:pPr>
          </w:p>
        </w:tc>
        <w:tc>
          <w:tcPr>
            <w:tcW w:w="436" w:type="pct"/>
            <w:vMerge w:val="continue"/>
            <w:tcBorders>
              <w:tl2br w:val="nil"/>
              <w:tr2bl w:val="nil"/>
            </w:tcBorders>
            <w:vAlign w:val="center"/>
          </w:tcPr>
          <w:p w14:paraId="744B44AD">
            <w:pPr>
              <w:spacing w:line="240" w:lineRule="auto"/>
              <w:ind w:firstLine="0" w:firstLineChars="0"/>
              <w:jc w:val="center"/>
              <w:rPr>
                <w:bCs/>
                <w:color w:val="auto"/>
                <w:sz w:val="21"/>
              </w:rPr>
            </w:pPr>
          </w:p>
        </w:tc>
      </w:tr>
      <w:tr w14:paraId="6E9C5D5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05984035">
            <w:pPr>
              <w:spacing w:line="240" w:lineRule="auto"/>
              <w:ind w:firstLine="0" w:firstLineChars="0"/>
              <w:jc w:val="center"/>
              <w:rPr>
                <w:bCs/>
                <w:color w:val="auto"/>
                <w:sz w:val="21"/>
              </w:rPr>
            </w:pPr>
            <w:r>
              <w:rPr>
                <w:rFonts w:hint="eastAsia"/>
                <w:bCs/>
                <w:color w:val="auto"/>
                <w:sz w:val="21"/>
              </w:rPr>
              <w:t>6</w:t>
            </w:r>
          </w:p>
        </w:tc>
        <w:tc>
          <w:tcPr>
            <w:tcW w:w="618" w:type="pct"/>
            <w:vMerge w:val="restart"/>
            <w:tcBorders>
              <w:tl2br w:val="nil"/>
              <w:tr2bl w:val="nil"/>
            </w:tcBorders>
            <w:vAlign w:val="center"/>
          </w:tcPr>
          <w:p w14:paraId="1EA61400">
            <w:pPr>
              <w:spacing w:line="240" w:lineRule="auto"/>
              <w:ind w:firstLine="0" w:firstLineChars="0"/>
              <w:jc w:val="center"/>
              <w:rPr>
                <w:bCs/>
                <w:color w:val="auto"/>
                <w:sz w:val="21"/>
              </w:rPr>
            </w:pPr>
            <w:r>
              <w:rPr>
                <w:rFonts w:hint="eastAsia"/>
                <w:bCs/>
                <w:color w:val="auto"/>
                <w:sz w:val="21"/>
              </w:rPr>
              <w:t>2#车间</w:t>
            </w:r>
          </w:p>
        </w:tc>
        <w:tc>
          <w:tcPr>
            <w:tcW w:w="706" w:type="pct"/>
            <w:tcBorders>
              <w:tl2br w:val="nil"/>
              <w:tr2bl w:val="nil"/>
            </w:tcBorders>
            <w:vAlign w:val="center"/>
          </w:tcPr>
          <w:p w14:paraId="1A4DA656">
            <w:pPr>
              <w:spacing w:line="240" w:lineRule="auto"/>
              <w:ind w:firstLine="0" w:firstLineChars="0"/>
              <w:jc w:val="center"/>
              <w:rPr>
                <w:bCs/>
                <w:color w:val="auto"/>
                <w:sz w:val="21"/>
              </w:rPr>
            </w:pPr>
            <w:r>
              <w:rPr>
                <w:rFonts w:hint="eastAsia"/>
                <w:bCs/>
                <w:color w:val="auto"/>
                <w:sz w:val="21"/>
              </w:rPr>
              <w:t>亚硫酸氢铵</w:t>
            </w:r>
          </w:p>
        </w:tc>
        <w:tc>
          <w:tcPr>
            <w:tcW w:w="827" w:type="pct"/>
            <w:tcBorders>
              <w:tl2br w:val="nil"/>
              <w:tr2bl w:val="nil"/>
            </w:tcBorders>
            <w:vAlign w:val="center"/>
          </w:tcPr>
          <w:p w14:paraId="6B93C7EC">
            <w:pPr>
              <w:spacing w:line="240" w:lineRule="auto"/>
              <w:ind w:firstLine="0" w:firstLineChars="0"/>
              <w:jc w:val="center"/>
              <w:rPr>
                <w:bCs/>
                <w:color w:val="auto"/>
                <w:sz w:val="21"/>
              </w:rPr>
            </w:pPr>
          </w:p>
        </w:tc>
        <w:tc>
          <w:tcPr>
            <w:tcW w:w="716" w:type="pct"/>
            <w:tcBorders>
              <w:tl2br w:val="nil"/>
              <w:tr2bl w:val="nil"/>
            </w:tcBorders>
            <w:vAlign w:val="center"/>
          </w:tcPr>
          <w:p w14:paraId="57952C72">
            <w:pPr>
              <w:spacing w:line="240" w:lineRule="auto"/>
              <w:ind w:firstLine="0" w:firstLineChars="0"/>
              <w:jc w:val="center"/>
              <w:rPr>
                <w:bCs/>
                <w:color w:val="auto"/>
                <w:sz w:val="21"/>
              </w:rPr>
            </w:pPr>
            <w:r>
              <w:rPr>
                <w:rFonts w:hint="eastAsia"/>
                <w:bCs/>
                <w:color w:val="auto"/>
                <w:sz w:val="21"/>
              </w:rPr>
              <w:t>二氧化硫、氨</w:t>
            </w:r>
          </w:p>
        </w:tc>
        <w:tc>
          <w:tcPr>
            <w:tcW w:w="855" w:type="pct"/>
            <w:vMerge w:val="restart"/>
            <w:tcBorders>
              <w:tl2br w:val="nil"/>
              <w:tr2bl w:val="nil"/>
            </w:tcBorders>
            <w:vAlign w:val="center"/>
          </w:tcPr>
          <w:p w14:paraId="5FB6751D">
            <w:pPr>
              <w:spacing w:line="240" w:lineRule="auto"/>
              <w:ind w:firstLine="0" w:firstLineChars="0"/>
              <w:jc w:val="center"/>
              <w:rPr>
                <w:bCs/>
                <w:color w:val="auto"/>
                <w:sz w:val="21"/>
              </w:rPr>
            </w:pPr>
            <w:r>
              <w:rPr>
                <w:rFonts w:hint="eastAsia"/>
                <w:bCs/>
                <w:color w:val="auto"/>
                <w:sz w:val="21"/>
              </w:rPr>
              <w:t>氨水吸收+水喷淋+电除雾</w:t>
            </w:r>
          </w:p>
        </w:tc>
        <w:tc>
          <w:tcPr>
            <w:tcW w:w="595" w:type="pct"/>
            <w:vMerge w:val="restart"/>
            <w:tcBorders>
              <w:tl2br w:val="nil"/>
              <w:tr2bl w:val="nil"/>
            </w:tcBorders>
            <w:vAlign w:val="center"/>
          </w:tcPr>
          <w:p w14:paraId="569AF8D1">
            <w:pPr>
              <w:spacing w:line="240" w:lineRule="auto"/>
              <w:ind w:firstLine="0" w:firstLineChars="0"/>
              <w:jc w:val="center"/>
              <w:rPr>
                <w:bCs/>
                <w:color w:val="auto"/>
                <w:sz w:val="21"/>
              </w:rPr>
            </w:pPr>
            <w:r>
              <w:rPr>
                <w:rFonts w:hint="eastAsia"/>
                <w:bCs/>
                <w:color w:val="auto"/>
                <w:sz w:val="21"/>
              </w:rPr>
              <w:t>40</w:t>
            </w:r>
          </w:p>
        </w:tc>
        <w:tc>
          <w:tcPr>
            <w:tcW w:w="436" w:type="pct"/>
            <w:vMerge w:val="restart"/>
            <w:tcBorders>
              <w:tl2br w:val="nil"/>
              <w:tr2bl w:val="nil"/>
            </w:tcBorders>
            <w:vAlign w:val="center"/>
          </w:tcPr>
          <w:p w14:paraId="72FE0C2B">
            <w:pPr>
              <w:spacing w:line="240" w:lineRule="auto"/>
              <w:ind w:firstLine="0" w:firstLineChars="0"/>
              <w:jc w:val="center"/>
              <w:rPr>
                <w:bCs/>
                <w:color w:val="auto"/>
                <w:sz w:val="21"/>
              </w:rPr>
            </w:pPr>
            <w:r>
              <w:rPr>
                <w:rFonts w:hint="eastAsia"/>
                <w:bCs/>
                <w:color w:val="auto"/>
                <w:sz w:val="21"/>
              </w:rPr>
              <w:t>DA002</w:t>
            </w:r>
          </w:p>
        </w:tc>
      </w:tr>
      <w:tr w14:paraId="03EF56E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112E3A9C">
            <w:pPr>
              <w:spacing w:line="240" w:lineRule="auto"/>
              <w:ind w:firstLine="0" w:firstLineChars="0"/>
              <w:jc w:val="center"/>
              <w:rPr>
                <w:bCs/>
                <w:color w:val="auto"/>
                <w:sz w:val="21"/>
              </w:rPr>
            </w:pPr>
            <w:r>
              <w:rPr>
                <w:rFonts w:hint="eastAsia"/>
                <w:bCs/>
                <w:color w:val="auto"/>
                <w:sz w:val="21"/>
              </w:rPr>
              <w:t>7</w:t>
            </w:r>
          </w:p>
        </w:tc>
        <w:tc>
          <w:tcPr>
            <w:tcW w:w="618" w:type="pct"/>
            <w:vMerge w:val="continue"/>
            <w:tcBorders>
              <w:tl2br w:val="nil"/>
              <w:tr2bl w:val="nil"/>
            </w:tcBorders>
            <w:vAlign w:val="center"/>
          </w:tcPr>
          <w:p w14:paraId="1807EBE2">
            <w:pPr>
              <w:spacing w:line="240" w:lineRule="auto"/>
              <w:ind w:firstLine="0" w:firstLineChars="0"/>
              <w:jc w:val="center"/>
              <w:rPr>
                <w:bCs/>
                <w:color w:val="auto"/>
                <w:sz w:val="21"/>
              </w:rPr>
            </w:pPr>
          </w:p>
        </w:tc>
        <w:tc>
          <w:tcPr>
            <w:tcW w:w="706" w:type="pct"/>
            <w:tcBorders>
              <w:tl2br w:val="nil"/>
              <w:tr2bl w:val="nil"/>
            </w:tcBorders>
            <w:vAlign w:val="center"/>
          </w:tcPr>
          <w:p w14:paraId="58AADDF0">
            <w:pPr>
              <w:spacing w:line="240" w:lineRule="auto"/>
              <w:ind w:firstLine="0" w:firstLineChars="0"/>
              <w:jc w:val="center"/>
              <w:rPr>
                <w:bCs/>
                <w:color w:val="auto"/>
                <w:sz w:val="21"/>
              </w:rPr>
            </w:pPr>
            <w:r>
              <w:rPr>
                <w:rFonts w:hint="eastAsia"/>
                <w:bCs/>
                <w:color w:val="auto"/>
                <w:sz w:val="21"/>
              </w:rPr>
              <w:t>硫代硫酸钠</w:t>
            </w:r>
          </w:p>
        </w:tc>
        <w:tc>
          <w:tcPr>
            <w:tcW w:w="827" w:type="pct"/>
            <w:tcBorders>
              <w:tl2br w:val="nil"/>
              <w:tr2bl w:val="nil"/>
            </w:tcBorders>
            <w:vAlign w:val="center"/>
          </w:tcPr>
          <w:p w14:paraId="0B79DF98">
            <w:pPr>
              <w:spacing w:line="240" w:lineRule="auto"/>
              <w:ind w:firstLine="0" w:firstLineChars="0"/>
              <w:jc w:val="center"/>
              <w:rPr>
                <w:bCs/>
                <w:color w:val="auto"/>
                <w:sz w:val="21"/>
              </w:rPr>
            </w:pPr>
          </w:p>
        </w:tc>
        <w:tc>
          <w:tcPr>
            <w:tcW w:w="716" w:type="pct"/>
            <w:tcBorders>
              <w:tl2br w:val="nil"/>
              <w:tr2bl w:val="nil"/>
            </w:tcBorders>
            <w:vAlign w:val="center"/>
          </w:tcPr>
          <w:p w14:paraId="671B34D9">
            <w:pPr>
              <w:spacing w:line="240" w:lineRule="auto"/>
              <w:ind w:firstLine="0" w:firstLineChars="0"/>
              <w:jc w:val="center"/>
              <w:rPr>
                <w:bCs/>
                <w:color w:val="auto"/>
                <w:sz w:val="21"/>
              </w:rPr>
            </w:pPr>
            <w:r>
              <w:rPr>
                <w:rFonts w:hint="eastAsia"/>
                <w:bCs/>
                <w:color w:val="auto"/>
                <w:sz w:val="21"/>
              </w:rPr>
              <w:t>二氧化硫</w:t>
            </w:r>
          </w:p>
        </w:tc>
        <w:tc>
          <w:tcPr>
            <w:tcW w:w="855" w:type="pct"/>
            <w:vMerge w:val="continue"/>
            <w:tcBorders>
              <w:tl2br w:val="nil"/>
              <w:tr2bl w:val="nil"/>
            </w:tcBorders>
            <w:vAlign w:val="center"/>
          </w:tcPr>
          <w:p w14:paraId="57F5028E">
            <w:pPr>
              <w:spacing w:line="240" w:lineRule="auto"/>
              <w:ind w:firstLine="0" w:firstLineChars="0"/>
              <w:jc w:val="center"/>
              <w:rPr>
                <w:bCs/>
                <w:color w:val="auto"/>
                <w:sz w:val="21"/>
              </w:rPr>
            </w:pPr>
          </w:p>
        </w:tc>
        <w:tc>
          <w:tcPr>
            <w:tcW w:w="595" w:type="pct"/>
            <w:vMerge w:val="continue"/>
            <w:tcBorders>
              <w:tl2br w:val="nil"/>
              <w:tr2bl w:val="nil"/>
            </w:tcBorders>
            <w:vAlign w:val="center"/>
          </w:tcPr>
          <w:p w14:paraId="00D81050">
            <w:pPr>
              <w:spacing w:line="240" w:lineRule="auto"/>
              <w:ind w:firstLine="0" w:firstLineChars="0"/>
              <w:jc w:val="center"/>
              <w:rPr>
                <w:bCs/>
                <w:color w:val="auto"/>
                <w:sz w:val="21"/>
              </w:rPr>
            </w:pPr>
          </w:p>
        </w:tc>
        <w:tc>
          <w:tcPr>
            <w:tcW w:w="436" w:type="pct"/>
            <w:vMerge w:val="continue"/>
            <w:tcBorders>
              <w:tl2br w:val="nil"/>
              <w:tr2bl w:val="nil"/>
            </w:tcBorders>
            <w:vAlign w:val="center"/>
          </w:tcPr>
          <w:p w14:paraId="27B0063C">
            <w:pPr>
              <w:spacing w:line="240" w:lineRule="auto"/>
              <w:ind w:firstLine="0" w:firstLineChars="0"/>
              <w:jc w:val="center"/>
              <w:rPr>
                <w:bCs/>
                <w:color w:val="auto"/>
                <w:sz w:val="21"/>
              </w:rPr>
            </w:pPr>
          </w:p>
        </w:tc>
      </w:tr>
      <w:tr w14:paraId="0B14789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vMerge w:val="restart"/>
            <w:tcBorders>
              <w:tl2br w:val="nil"/>
              <w:tr2bl w:val="nil"/>
            </w:tcBorders>
            <w:vAlign w:val="center"/>
          </w:tcPr>
          <w:p w14:paraId="34DCDE62">
            <w:pPr>
              <w:spacing w:line="240" w:lineRule="auto"/>
              <w:ind w:firstLine="0" w:firstLineChars="0"/>
              <w:jc w:val="center"/>
              <w:rPr>
                <w:bCs/>
                <w:color w:val="auto"/>
                <w:sz w:val="21"/>
              </w:rPr>
            </w:pPr>
            <w:r>
              <w:rPr>
                <w:rFonts w:hint="eastAsia"/>
                <w:bCs/>
                <w:color w:val="auto"/>
                <w:sz w:val="21"/>
              </w:rPr>
              <w:t>8</w:t>
            </w:r>
          </w:p>
        </w:tc>
        <w:tc>
          <w:tcPr>
            <w:tcW w:w="618" w:type="pct"/>
            <w:vMerge w:val="restart"/>
            <w:tcBorders>
              <w:tl2br w:val="nil"/>
              <w:tr2bl w:val="nil"/>
            </w:tcBorders>
            <w:vAlign w:val="center"/>
          </w:tcPr>
          <w:p w14:paraId="782619FD">
            <w:pPr>
              <w:spacing w:line="240" w:lineRule="auto"/>
              <w:ind w:firstLine="0" w:firstLineChars="0"/>
              <w:jc w:val="center"/>
              <w:rPr>
                <w:bCs/>
                <w:color w:val="auto"/>
                <w:sz w:val="21"/>
              </w:rPr>
            </w:pPr>
            <w:r>
              <w:rPr>
                <w:rFonts w:hint="eastAsia"/>
                <w:bCs/>
                <w:color w:val="auto"/>
                <w:sz w:val="21"/>
              </w:rPr>
              <w:t>石膏车间</w:t>
            </w:r>
          </w:p>
        </w:tc>
        <w:tc>
          <w:tcPr>
            <w:tcW w:w="706" w:type="pct"/>
            <w:vMerge w:val="restart"/>
            <w:tcBorders>
              <w:tl2br w:val="nil"/>
              <w:tr2bl w:val="nil"/>
            </w:tcBorders>
            <w:vAlign w:val="center"/>
          </w:tcPr>
          <w:p w14:paraId="70BD352B">
            <w:pPr>
              <w:spacing w:line="240" w:lineRule="auto"/>
              <w:ind w:firstLine="0" w:firstLineChars="0"/>
              <w:jc w:val="center"/>
              <w:rPr>
                <w:bCs/>
                <w:color w:val="auto"/>
                <w:sz w:val="21"/>
              </w:rPr>
            </w:pPr>
            <w:r>
              <w:rPr>
                <w:rFonts w:hint="eastAsia"/>
                <w:bCs/>
                <w:color w:val="auto"/>
                <w:sz w:val="21"/>
              </w:rPr>
              <w:t>高强石膏</w:t>
            </w:r>
          </w:p>
        </w:tc>
        <w:tc>
          <w:tcPr>
            <w:tcW w:w="827" w:type="pct"/>
            <w:tcBorders>
              <w:tl2br w:val="nil"/>
              <w:tr2bl w:val="nil"/>
            </w:tcBorders>
            <w:vAlign w:val="center"/>
          </w:tcPr>
          <w:p w14:paraId="6813F0A3">
            <w:pPr>
              <w:spacing w:line="240" w:lineRule="auto"/>
              <w:ind w:firstLine="0" w:firstLineChars="0"/>
              <w:jc w:val="center"/>
              <w:rPr>
                <w:bCs/>
                <w:color w:val="auto"/>
                <w:sz w:val="21"/>
              </w:rPr>
            </w:pPr>
          </w:p>
        </w:tc>
        <w:tc>
          <w:tcPr>
            <w:tcW w:w="716" w:type="pct"/>
            <w:tcBorders>
              <w:tl2br w:val="nil"/>
              <w:tr2bl w:val="nil"/>
            </w:tcBorders>
            <w:vAlign w:val="center"/>
          </w:tcPr>
          <w:p w14:paraId="4ED8822D">
            <w:pPr>
              <w:spacing w:line="240" w:lineRule="auto"/>
              <w:ind w:firstLine="0" w:firstLineChars="0"/>
              <w:jc w:val="center"/>
              <w:rPr>
                <w:bCs/>
                <w:color w:val="auto"/>
                <w:sz w:val="21"/>
              </w:rPr>
            </w:pPr>
            <w:r>
              <w:rPr>
                <w:rFonts w:hint="eastAsia"/>
                <w:bCs/>
                <w:color w:val="auto"/>
                <w:sz w:val="21"/>
              </w:rPr>
              <w:t>颗粒物</w:t>
            </w:r>
          </w:p>
        </w:tc>
        <w:tc>
          <w:tcPr>
            <w:tcW w:w="855" w:type="pct"/>
            <w:vMerge w:val="restart"/>
            <w:tcBorders>
              <w:tl2br w:val="nil"/>
              <w:tr2bl w:val="nil"/>
            </w:tcBorders>
            <w:vAlign w:val="center"/>
          </w:tcPr>
          <w:p w14:paraId="5EE7F006">
            <w:pPr>
              <w:spacing w:line="240" w:lineRule="auto"/>
              <w:ind w:firstLine="0" w:firstLineChars="0"/>
              <w:jc w:val="center"/>
              <w:rPr>
                <w:bCs/>
                <w:color w:val="auto"/>
                <w:sz w:val="21"/>
              </w:rPr>
            </w:pPr>
            <w:r>
              <w:rPr>
                <w:rFonts w:hint="eastAsia"/>
                <w:bCs/>
                <w:color w:val="auto"/>
                <w:sz w:val="21"/>
              </w:rPr>
              <w:t>布袋除尘＋水喷淋</w:t>
            </w:r>
          </w:p>
        </w:tc>
        <w:tc>
          <w:tcPr>
            <w:tcW w:w="595" w:type="pct"/>
            <w:vMerge w:val="restart"/>
            <w:tcBorders>
              <w:tl2br w:val="nil"/>
              <w:tr2bl w:val="nil"/>
            </w:tcBorders>
            <w:vAlign w:val="center"/>
          </w:tcPr>
          <w:p w14:paraId="6E355D73">
            <w:pPr>
              <w:spacing w:line="240" w:lineRule="auto"/>
              <w:ind w:firstLine="0" w:firstLineChars="0"/>
              <w:jc w:val="center"/>
              <w:rPr>
                <w:bCs/>
                <w:color w:val="auto"/>
                <w:sz w:val="21"/>
              </w:rPr>
            </w:pPr>
            <w:r>
              <w:rPr>
                <w:rFonts w:hint="eastAsia"/>
                <w:bCs/>
                <w:color w:val="auto"/>
                <w:sz w:val="21"/>
              </w:rPr>
              <w:t>40</w:t>
            </w:r>
          </w:p>
        </w:tc>
        <w:tc>
          <w:tcPr>
            <w:tcW w:w="436" w:type="pct"/>
            <w:vMerge w:val="restart"/>
            <w:tcBorders>
              <w:tl2br w:val="nil"/>
              <w:tr2bl w:val="nil"/>
            </w:tcBorders>
            <w:vAlign w:val="center"/>
          </w:tcPr>
          <w:p w14:paraId="4E6A9F99">
            <w:pPr>
              <w:spacing w:line="240" w:lineRule="auto"/>
              <w:ind w:firstLine="0" w:firstLineChars="0"/>
              <w:jc w:val="center"/>
              <w:rPr>
                <w:bCs/>
                <w:color w:val="auto"/>
                <w:sz w:val="21"/>
              </w:rPr>
            </w:pPr>
            <w:r>
              <w:rPr>
                <w:rFonts w:hint="eastAsia"/>
                <w:bCs/>
                <w:color w:val="auto"/>
                <w:sz w:val="21"/>
              </w:rPr>
              <w:t>DA003</w:t>
            </w:r>
          </w:p>
        </w:tc>
      </w:tr>
      <w:tr w14:paraId="27C3D6D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vMerge w:val="continue"/>
            <w:tcBorders>
              <w:tl2br w:val="nil"/>
              <w:tr2bl w:val="nil"/>
            </w:tcBorders>
            <w:vAlign w:val="center"/>
          </w:tcPr>
          <w:p w14:paraId="713118EF">
            <w:pPr>
              <w:spacing w:line="240" w:lineRule="auto"/>
              <w:ind w:firstLine="0" w:firstLineChars="0"/>
              <w:jc w:val="center"/>
              <w:rPr>
                <w:bCs/>
                <w:color w:val="auto"/>
                <w:sz w:val="21"/>
              </w:rPr>
            </w:pPr>
          </w:p>
        </w:tc>
        <w:tc>
          <w:tcPr>
            <w:tcW w:w="618" w:type="pct"/>
            <w:vMerge w:val="continue"/>
            <w:tcBorders>
              <w:tl2br w:val="nil"/>
              <w:tr2bl w:val="nil"/>
            </w:tcBorders>
            <w:vAlign w:val="center"/>
          </w:tcPr>
          <w:p w14:paraId="4D86F354">
            <w:pPr>
              <w:spacing w:line="240" w:lineRule="auto"/>
              <w:ind w:firstLine="0" w:firstLineChars="0"/>
              <w:jc w:val="center"/>
              <w:rPr>
                <w:bCs/>
                <w:color w:val="auto"/>
                <w:sz w:val="21"/>
              </w:rPr>
            </w:pPr>
          </w:p>
        </w:tc>
        <w:tc>
          <w:tcPr>
            <w:tcW w:w="706" w:type="pct"/>
            <w:vMerge w:val="continue"/>
            <w:tcBorders>
              <w:tl2br w:val="nil"/>
              <w:tr2bl w:val="nil"/>
            </w:tcBorders>
            <w:vAlign w:val="center"/>
          </w:tcPr>
          <w:p w14:paraId="048DB065">
            <w:pPr>
              <w:spacing w:line="240" w:lineRule="auto"/>
              <w:ind w:firstLine="0" w:firstLineChars="0"/>
              <w:jc w:val="center"/>
              <w:rPr>
                <w:bCs/>
                <w:color w:val="auto"/>
                <w:sz w:val="21"/>
              </w:rPr>
            </w:pPr>
          </w:p>
        </w:tc>
        <w:tc>
          <w:tcPr>
            <w:tcW w:w="827" w:type="pct"/>
            <w:tcBorders>
              <w:tl2br w:val="nil"/>
              <w:tr2bl w:val="nil"/>
            </w:tcBorders>
            <w:vAlign w:val="center"/>
          </w:tcPr>
          <w:p w14:paraId="3DF3A036">
            <w:pPr>
              <w:spacing w:line="240" w:lineRule="auto"/>
              <w:ind w:firstLine="0" w:firstLineChars="0"/>
              <w:jc w:val="center"/>
              <w:rPr>
                <w:bCs/>
                <w:color w:val="auto"/>
                <w:sz w:val="21"/>
              </w:rPr>
            </w:pPr>
          </w:p>
        </w:tc>
        <w:tc>
          <w:tcPr>
            <w:tcW w:w="716" w:type="pct"/>
            <w:tcBorders>
              <w:tl2br w:val="nil"/>
              <w:tr2bl w:val="nil"/>
            </w:tcBorders>
            <w:vAlign w:val="center"/>
          </w:tcPr>
          <w:p w14:paraId="6D829DE9">
            <w:pPr>
              <w:spacing w:line="240" w:lineRule="auto"/>
              <w:ind w:firstLine="0" w:firstLineChars="0"/>
              <w:jc w:val="center"/>
              <w:rPr>
                <w:bCs/>
                <w:color w:val="auto"/>
                <w:sz w:val="21"/>
              </w:rPr>
            </w:pPr>
            <w:r>
              <w:rPr>
                <w:rFonts w:hint="eastAsia"/>
                <w:bCs/>
                <w:color w:val="auto"/>
                <w:sz w:val="21"/>
              </w:rPr>
              <w:t>颗粒物</w:t>
            </w:r>
          </w:p>
        </w:tc>
        <w:tc>
          <w:tcPr>
            <w:tcW w:w="855" w:type="pct"/>
            <w:vMerge w:val="continue"/>
            <w:tcBorders>
              <w:tl2br w:val="nil"/>
              <w:tr2bl w:val="nil"/>
            </w:tcBorders>
            <w:vAlign w:val="center"/>
          </w:tcPr>
          <w:p w14:paraId="02E96112">
            <w:pPr>
              <w:spacing w:line="240" w:lineRule="auto"/>
              <w:ind w:firstLine="0" w:firstLineChars="0"/>
              <w:jc w:val="center"/>
              <w:rPr>
                <w:bCs/>
                <w:color w:val="auto"/>
                <w:sz w:val="21"/>
              </w:rPr>
            </w:pPr>
          </w:p>
        </w:tc>
        <w:tc>
          <w:tcPr>
            <w:tcW w:w="595" w:type="pct"/>
            <w:vMerge w:val="continue"/>
            <w:tcBorders>
              <w:tl2br w:val="nil"/>
              <w:tr2bl w:val="nil"/>
            </w:tcBorders>
            <w:vAlign w:val="center"/>
          </w:tcPr>
          <w:p w14:paraId="5CA96EB5">
            <w:pPr>
              <w:spacing w:line="240" w:lineRule="auto"/>
              <w:ind w:firstLine="0" w:firstLineChars="0"/>
              <w:jc w:val="center"/>
              <w:rPr>
                <w:bCs/>
                <w:color w:val="auto"/>
                <w:sz w:val="21"/>
              </w:rPr>
            </w:pPr>
          </w:p>
        </w:tc>
        <w:tc>
          <w:tcPr>
            <w:tcW w:w="436" w:type="pct"/>
            <w:vMerge w:val="continue"/>
            <w:tcBorders>
              <w:tl2br w:val="nil"/>
              <w:tr2bl w:val="nil"/>
            </w:tcBorders>
            <w:vAlign w:val="center"/>
          </w:tcPr>
          <w:p w14:paraId="3D81E6B4">
            <w:pPr>
              <w:spacing w:line="240" w:lineRule="auto"/>
              <w:ind w:firstLine="0" w:firstLineChars="0"/>
              <w:jc w:val="center"/>
              <w:rPr>
                <w:bCs/>
                <w:color w:val="auto"/>
                <w:sz w:val="21"/>
              </w:rPr>
            </w:pPr>
          </w:p>
        </w:tc>
      </w:tr>
      <w:tr w14:paraId="5EC956E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vMerge w:val="continue"/>
            <w:tcBorders>
              <w:tl2br w:val="nil"/>
              <w:tr2bl w:val="nil"/>
            </w:tcBorders>
            <w:vAlign w:val="center"/>
          </w:tcPr>
          <w:p w14:paraId="6BCE121B">
            <w:pPr>
              <w:spacing w:line="240" w:lineRule="auto"/>
              <w:ind w:firstLine="0" w:firstLineChars="0"/>
              <w:jc w:val="center"/>
              <w:rPr>
                <w:bCs/>
                <w:color w:val="auto"/>
                <w:sz w:val="21"/>
              </w:rPr>
            </w:pPr>
          </w:p>
        </w:tc>
        <w:tc>
          <w:tcPr>
            <w:tcW w:w="618" w:type="pct"/>
            <w:vMerge w:val="continue"/>
            <w:tcBorders>
              <w:tl2br w:val="nil"/>
              <w:tr2bl w:val="nil"/>
            </w:tcBorders>
            <w:vAlign w:val="center"/>
          </w:tcPr>
          <w:p w14:paraId="1398523A">
            <w:pPr>
              <w:spacing w:line="240" w:lineRule="auto"/>
              <w:ind w:firstLine="0" w:firstLineChars="0"/>
              <w:jc w:val="center"/>
              <w:rPr>
                <w:bCs/>
                <w:color w:val="auto"/>
                <w:sz w:val="21"/>
              </w:rPr>
            </w:pPr>
          </w:p>
        </w:tc>
        <w:tc>
          <w:tcPr>
            <w:tcW w:w="706" w:type="pct"/>
            <w:vMerge w:val="continue"/>
            <w:tcBorders>
              <w:tl2br w:val="nil"/>
              <w:tr2bl w:val="nil"/>
            </w:tcBorders>
            <w:vAlign w:val="center"/>
          </w:tcPr>
          <w:p w14:paraId="4A20B6C7">
            <w:pPr>
              <w:spacing w:line="240" w:lineRule="auto"/>
              <w:ind w:firstLine="0" w:firstLineChars="0"/>
              <w:jc w:val="center"/>
              <w:rPr>
                <w:bCs/>
                <w:color w:val="auto"/>
                <w:sz w:val="21"/>
              </w:rPr>
            </w:pPr>
          </w:p>
        </w:tc>
        <w:tc>
          <w:tcPr>
            <w:tcW w:w="827" w:type="pct"/>
            <w:tcBorders>
              <w:tl2br w:val="nil"/>
              <w:tr2bl w:val="nil"/>
            </w:tcBorders>
            <w:vAlign w:val="center"/>
          </w:tcPr>
          <w:p w14:paraId="4CC6A45A">
            <w:pPr>
              <w:spacing w:line="240" w:lineRule="auto"/>
              <w:ind w:firstLine="0" w:firstLineChars="0"/>
              <w:jc w:val="center"/>
              <w:rPr>
                <w:bCs/>
                <w:color w:val="auto"/>
                <w:sz w:val="21"/>
              </w:rPr>
            </w:pPr>
          </w:p>
        </w:tc>
        <w:tc>
          <w:tcPr>
            <w:tcW w:w="716" w:type="pct"/>
            <w:tcBorders>
              <w:tl2br w:val="nil"/>
              <w:tr2bl w:val="nil"/>
            </w:tcBorders>
            <w:vAlign w:val="center"/>
          </w:tcPr>
          <w:p w14:paraId="21368FFD">
            <w:pPr>
              <w:spacing w:line="240" w:lineRule="auto"/>
              <w:ind w:firstLine="0" w:firstLineChars="0"/>
              <w:jc w:val="center"/>
              <w:rPr>
                <w:bCs/>
                <w:color w:val="auto"/>
                <w:sz w:val="21"/>
              </w:rPr>
            </w:pPr>
            <w:r>
              <w:rPr>
                <w:rFonts w:hint="eastAsia"/>
                <w:bCs/>
                <w:color w:val="auto"/>
                <w:sz w:val="21"/>
              </w:rPr>
              <w:t>二氧化硫、氮氧化物和颗粒物</w:t>
            </w:r>
          </w:p>
        </w:tc>
        <w:tc>
          <w:tcPr>
            <w:tcW w:w="855" w:type="pct"/>
            <w:vMerge w:val="continue"/>
            <w:tcBorders>
              <w:tl2br w:val="nil"/>
              <w:tr2bl w:val="nil"/>
            </w:tcBorders>
            <w:vAlign w:val="center"/>
          </w:tcPr>
          <w:p w14:paraId="375A564D">
            <w:pPr>
              <w:spacing w:line="240" w:lineRule="auto"/>
              <w:ind w:firstLine="0" w:firstLineChars="0"/>
              <w:jc w:val="center"/>
              <w:rPr>
                <w:bCs/>
                <w:color w:val="auto"/>
                <w:sz w:val="21"/>
              </w:rPr>
            </w:pPr>
          </w:p>
        </w:tc>
        <w:tc>
          <w:tcPr>
            <w:tcW w:w="595" w:type="pct"/>
            <w:vMerge w:val="continue"/>
            <w:tcBorders>
              <w:tl2br w:val="nil"/>
              <w:tr2bl w:val="nil"/>
            </w:tcBorders>
            <w:vAlign w:val="center"/>
          </w:tcPr>
          <w:p w14:paraId="1AE32A29">
            <w:pPr>
              <w:spacing w:line="240" w:lineRule="auto"/>
              <w:ind w:firstLine="0" w:firstLineChars="0"/>
              <w:jc w:val="center"/>
              <w:rPr>
                <w:bCs/>
                <w:color w:val="auto"/>
                <w:sz w:val="21"/>
              </w:rPr>
            </w:pPr>
          </w:p>
        </w:tc>
        <w:tc>
          <w:tcPr>
            <w:tcW w:w="436" w:type="pct"/>
            <w:vMerge w:val="continue"/>
            <w:tcBorders>
              <w:tl2br w:val="nil"/>
              <w:tr2bl w:val="nil"/>
            </w:tcBorders>
            <w:vAlign w:val="center"/>
          </w:tcPr>
          <w:p w14:paraId="7B68BDEE">
            <w:pPr>
              <w:spacing w:line="240" w:lineRule="auto"/>
              <w:ind w:firstLine="0" w:firstLineChars="0"/>
              <w:jc w:val="center"/>
              <w:rPr>
                <w:bCs/>
                <w:color w:val="auto"/>
                <w:sz w:val="21"/>
              </w:rPr>
            </w:pPr>
          </w:p>
        </w:tc>
      </w:tr>
      <w:tr w14:paraId="263E53A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7CC0A8A7">
            <w:pPr>
              <w:spacing w:line="240" w:lineRule="auto"/>
              <w:ind w:firstLine="0" w:firstLineChars="0"/>
              <w:jc w:val="center"/>
              <w:rPr>
                <w:bCs/>
                <w:color w:val="auto"/>
                <w:sz w:val="21"/>
              </w:rPr>
            </w:pPr>
            <w:r>
              <w:rPr>
                <w:rFonts w:hint="eastAsia"/>
                <w:bCs/>
                <w:color w:val="auto"/>
                <w:sz w:val="21"/>
              </w:rPr>
              <w:t>9</w:t>
            </w:r>
          </w:p>
        </w:tc>
        <w:tc>
          <w:tcPr>
            <w:tcW w:w="618" w:type="pct"/>
            <w:vMerge w:val="continue"/>
            <w:tcBorders>
              <w:tl2br w:val="nil"/>
              <w:tr2bl w:val="nil"/>
            </w:tcBorders>
            <w:vAlign w:val="center"/>
          </w:tcPr>
          <w:p w14:paraId="7133CA42">
            <w:pPr>
              <w:spacing w:line="240" w:lineRule="auto"/>
              <w:ind w:firstLine="0" w:firstLineChars="0"/>
              <w:jc w:val="center"/>
              <w:rPr>
                <w:bCs/>
                <w:color w:val="auto"/>
                <w:sz w:val="21"/>
              </w:rPr>
            </w:pPr>
          </w:p>
        </w:tc>
        <w:tc>
          <w:tcPr>
            <w:tcW w:w="706" w:type="pct"/>
            <w:vMerge w:val="restart"/>
            <w:tcBorders>
              <w:tl2br w:val="nil"/>
              <w:tr2bl w:val="nil"/>
            </w:tcBorders>
            <w:vAlign w:val="center"/>
          </w:tcPr>
          <w:p w14:paraId="56F060B1">
            <w:pPr>
              <w:spacing w:line="240" w:lineRule="auto"/>
              <w:ind w:firstLine="0" w:firstLineChars="0"/>
              <w:jc w:val="center"/>
              <w:rPr>
                <w:bCs/>
                <w:color w:val="auto"/>
                <w:sz w:val="21"/>
              </w:rPr>
            </w:pPr>
            <w:r>
              <w:rPr>
                <w:rFonts w:hint="eastAsia"/>
                <w:bCs/>
                <w:color w:val="auto"/>
                <w:sz w:val="21"/>
              </w:rPr>
              <w:t>氯化钙</w:t>
            </w:r>
          </w:p>
        </w:tc>
        <w:tc>
          <w:tcPr>
            <w:tcW w:w="827" w:type="pct"/>
            <w:tcBorders>
              <w:tl2br w:val="nil"/>
              <w:tr2bl w:val="nil"/>
            </w:tcBorders>
            <w:vAlign w:val="center"/>
          </w:tcPr>
          <w:p w14:paraId="157FB235">
            <w:pPr>
              <w:spacing w:line="240" w:lineRule="auto"/>
              <w:ind w:firstLine="0" w:firstLineChars="0"/>
              <w:jc w:val="center"/>
              <w:rPr>
                <w:bCs/>
                <w:color w:val="auto"/>
                <w:sz w:val="21"/>
              </w:rPr>
            </w:pPr>
          </w:p>
        </w:tc>
        <w:tc>
          <w:tcPr>
            <w:tcW w:w="716" w:type="pct"/>
            <w:tcBorders>
              <w:tl2br w:val="nil"/>
              <w:tr2bl w:val="nil"/>
            </w:tcBorders>
            <w:vAlign w:val="center"/>
          </w:tcPr>
          <w:p w14:paraId="3635F8B8">
            <w:pPr>
              <w:spacing w:line="240" w:lineRule="auto"/>
              <w:ind w:firstLine="0" w:firstLineChars="0"/>
              <w:jc w:val="center"/>
              <w:rPr>
                <w:bCs/>
                <w:color w:val="auto"/>
                <w:sz w:val="21"/>
              </w:rPr>
            </w:pPr>
            <w:r>
              <w:rPr>
                <w:rFonts w:hint="eastAsia"/>
                <w:bCs/>
                <w:color w:val="auto"/>
                <w:sz w:val="21"/>
              </w:rPr>
              <w:t>颗粒物、氨</w:t>
            </w:r>
          </w:p>
        </w:tc>
        <w:tc>
          <w:tcPr>
            <w:tcW w:w="855" w:type="pct"/>
            <w:vMerge w:val="restart"/>
            <w:tcBorders>
              <w:tl2br w:val="nil"/>
              <w:tr2bl w:val="nil"/>
            </w:tcBorders>
            <w:vAlign w:val="center"/>
          </w:tcPr>
          <w:p w14:paraId="2B64C9D1">
            <w:pPr>
              <w:spacing w:line="240" w:lineRule="auto"/>
              <w:ind w:firstLine="0" w:firstLineChars="0"/>
              <w:jc w:val="center"/>
              <w:rPr>
                <w:bCs/>
                <w:color w:val="auto"/>
                <w:sz w:val="21"/>
              </w:rPr>
            </w:pPr>
            <w:r>
              <w:rPr>
                <w:rFonts w:hint="eastAsia"/>
                <w:bCs/>
                <w:color w:val="auto"/>
                <w:sz w:val="21"/>
              </w:rPr>
              <w:t>旋风+布袋除尘</w:t>
            </w:r>
          </w:p>
        </w:tc>
        <w:tc>
          <w:tcPr>
            <w:tcW w:w="595" w:type="pct"/>
            <w:vMerge w:val="restart"/>
            <w:tcBorders>
              <w:tl2br w:val="nil"/>
              <w:tr2bl w:val="nil"/>
            </w:tcBorders>
            <w:vAlign w:val="center"/>
          </w:tcPr>
          <w:p w14:paraId="442061CC">
            <w:pPr>
              <w:spacing w:line="240" w:lineRule="auto"/>
              <w:ind w:firstLine="0" w:firstLineChars="0"/>
              <w:jc w:val="center"/>
              <w:rPr>
                <w:bCs/>
                <w:color w:val="auto"/>
                <w:sz w:val="21"/>
              </w:rPr>
            </w:pPr>
            <w:r>
              <w:rPr>
                <w:rFonts w:hint="eastAsia"/>
                <w:bCs/>
                <w:color w:val="auto"/>
                <w:sz w:val="21"/>
              </w:rPr>
              <w:t>40</w:t>
            </w:r>
          </w:p>
        </w:tc>
        <w:tc>
          <w:tcPr>
            <w:tcW w:w="436" w:type="pct"/>
            <w:vMerge w:val="restart"/>
            <w:tcBorders>
              <w:tl2br w:val="nil"/>
              <w:tr2bl w:val="nil"/>
            </w:tcBorders>
            <w:vAlign w:val="center"/>
          </w:tcPr>
          <w:p w14:paraId="47E52C6A">
            <w:pPr>
              <w:spacing w:line="240" w:lineRule="auto"/>
              <w:ind w:firstLine="0" w:firstLineChars="0"/>
              <w:jc w:val="center"/>
              <w:rPr>
                <w:bCs/>
                <w:color w:val="auto"/>
                <w:sz w:val="21"/>
              </w:rPr>
            </w:pPr>
            <w:r>
              <w:rPr>
                <w:rFonts w:hint="eastAsia"/>
                <w:bCs/>
                <w:color w:val="auto"/>
                <w:sz w:val="21"/>
              </w:rPr>
              <w:t>DA004</w:t>
            </w:r>
          </w:p>
        </w:tc>
      </w:tr>
      <w:tr w14:paraId="1794E9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53078E64">
            <w:pPr>
              <w:spacing w:line="240" w:lineRule="auto"/>
              <w:ind w:firstLine="0" w:firstLineChars="0"/>
              <w:jc w:val="center"/>
              <w:rPr>
                <w:bCs/>
                <w:color w:val="auto"/>
                <w:sz w:val="21"/>
              </w:rPr>
            </w:pPr>
            <w:r>
              <w:rPr>
                <w:rFonts w:hint="eastAsia"/>
                <w:bCs/>
                <w:color w:val="auto"/>
                <w:sz w:val="21"/>
              </w:rPr>
              <w:t>10</w:t>
            </w:r>
          </w:p>
        </w:tc>
        <w:tc>
          <w:tcPr>
            <w:tcW w:w="618" w:type="pct"/>
            <w:vMerge w:val="continue"/>
            <w:tcBorders>
              <w:tl2br w:val="nil"/>
              <w:tr2bl w:val="nil"/>
            </w:tcBorders>
            <w:vAlign w:val="center"/>
          </w:tcPr>
          <w:p w14:paraId="5435B3A7">
            <w:pPr>
              <w:spacing w:line="240" w:lineRule="auto"/>
              <w:ind w:firstLine="0" w:firstLineChars="0"/>
              <w:jc w:val="center"/>
              <w:rPr>
                <w:bCs/>
                <w:color w:val="auto"/>
                <w:sz w:val="21"/>
              </w:rPr>
            </w:pPr>
          </w:p>
        </w:tc>
        <w:tc>
          <w:tcPr>
            <w:tcW w:w="706" w:type="pct"/>
            <w:vMerge w:val="continue"/>
            <w:tcBorders>
              <w:tl2br w:val="nil"/>
              <w:tr2bl w:val="nil"/>
            </w:tcBorders>
            <w:vAlign w:val="center"/>
          </w:tcPr>
          <w:p w14:paraId="2DB9F147">
            <w:pPr>
              <w:spacing w:line="240" w:lineRule="auto"/>
              <w:ind w:firstLine="0" w:firstLineChars="0"/>
              <w:jc w:val="center"/>
              <w:rPr>
                <w:bCs/>
                <w:color w:val="auto"/>
                <w:sz w:val="21"/>
              </w:rPr>
            </w:pPr>
          </w:p>
        </w:tc>
        <w:tc>
          <w:tcPr>
            <w:tcW w:w="827" w:type="pct"/>
            <w:tcBorders>
              <w:tl2br w:val="nil"/>
              <w:tr2bl w:val="nil"/>
            </w:tcBorders>
            <w:vAlign w:val="center"/>
          </w:tcPr>
          <w:p w14:paraId="55A4D949">
            <w:pPr>
              <w:spacing w:line="240" w:lineRule="auto"/>
              <w:ind w:firstLine="0" w:firstLineChars="0"/>
              <w:jc w:val="center"/>
              <w:rPr>
                <w:bCs/>
                <w:color w:val="auto"/>
                <w:sz w:val="21"/>
              </w:rPr>
            </w:pPr>
          </w:p>
        </w:tc>
        <w:tc>
          <w:tcPr>
            <w:tcW w:w="716" w:type="pct"/>
            <w:tcBorders>
              <w:tl2br w:val="nil"/>
              <w:tr2bl w:val="nil"/>
            </w:tcBorders>
            <w:vAlign w:val="center"/>
          </w:tcPr>
          <w:p w14:paraId="18EF918A">
            <w:pPr>
              <w:spacing w:line="240" w:lineRule="auto"/>
              <w:ind w:firstLine="0" w:firstLineChars="0"/>
              <w:jc w:val="center"/>
              <w:rPr>
                <w:bCs/>
                <w:color w:val="auto"/>
                <w:sz w:val="21"/>
              </w:rPr>
            </w:pPr>
            <w:r>
              <w:rPr>
                <w:rFonts w:hint="eastAsia"/>
                <w:bCs/>
                <w:color w:val="auto"/>
                <w:sz w:val="21"/>
              </w:rPr>
              <w:t>二氧化硫、氮氧化物和颗粒物</w:t>
            </w:r>
          </w:p>
        </w:tc>
        <w:tc>
          <w:tcPr>
            <w:tcW w:w="855" w:type="pct"/>
            <w:vMerge w:val="continue"/>
            <w:tcBorders>
              <w:tl2br w:val="nil"/>
              <w:tr2bl w:val="nil"/>
            </w:tcBorders>
            <w:vAlign w:val="center"/>
          </w:tcPr>
          <w:p w14:paraId="251AB5DE">
            <w:pPr>
              <w:spacing w:line="240" w:lineRule="auto"/>
              <w:ind w:firstLine="0" w:firstLineChars="0"/>
              <w:jc w:val="center"/>
              <w:rPr>
                <w:bCs/>
                <w:color w:val="auto"/>
                <w:sz w:val="21"/>
              </w:rPr>
            </w:pPr>
          </w:p>
        </w:tc>
        <w:tc>
          <w:tcPr>
            <w:tcW w:w="595" w:type="pct"/>
            <w:vMerge w:val="continue"/>
            <w:tcBorders>
              <w:tl2br w:val="nil"/>
              <w:tr2bl w:val="nil"/>
            </w:tcBorders>
            <w:vAlign w:val="center"/>
          </w:tcPr>
          <w:p w14:paraId="518BEB30">
            <w:pPr>
              <w:spacing w:line="240" w:lineRule="auto"/>
              <w:ind w:firstLine="0" w:firstLineChars="0"/>
              <w:jc w:val="center"/>
              <w:rPr>
                <w:bCs/>
                <w:color w:val="auto"/>
                <w:sz w:val="21"/>
              </w:rPr>
            </w:pPr>
          </w:p>
        </w:tc>
        <w:tc>
          <w:tcPr>
            <w:tcW w:w="436" w:type="pct"/>
            <w:vMerge w:val="continue"/>
            <w:tcBorders>
              <w:tl2br w:val="nil"/>
              <w:tr2bl w:val="nil"/>
            </w:tcBorders>
            <w:vAlign w:val="center"/>
          </w:tcPr>
          <w:p w14:paraId="416E8DF5">
            <w:pPr>
              <w:spacing w:line="240" w:lineRule="auto"/>
              <w:ind w:firstLine="0" w:firstLineChars="0"/>
              <w:jc w:val="center"/>
              <w:rPr>
                <w:bCs/>
                <w:color w:val="auto"/>
                <w:sz w:val="21"/>
              </w:rPr>
            </w:pPr>
          </w:p>
        </w:tc>
      </w:tr>
      <w:tr w14:paraId="75E7DA3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54A51128">
            <w:pPr>
              <w:spacing w:line="240" w:lineRule="auto"/>
              <w:ind w:firstLine="0" w:firstLineChars="0"/>
              <w:jc w:val="center"/>
              <w:rPr>
                <w:bCs/>
                <w:color w:val="auto"/>
                <w:sz w:val="21"/>
              </w:rPr>
            </w:pPr>
            <w:r>
              <w:rPr>
                <w:rFonts w:hint="eastAsia"/>
                <w:bCs/>
                <w:color w:val="auto"/>
                <w:sz w:val="21"/>
              </w:rPr>
              <w:t>11</w:t>
            </w:r>
          </w:p>
        </w:tc>
        <w:tc>
          <w:tcPr>
            <w:tcW w:w="618" w:type="pct"/>
            <w:tcBorders>
              <w:tl2br w:val="nil"/>
              <w:tr2bl w:val="nil"/>
            </w:tcBorders>
            <w:vAlign w:val="center"/>
          </w:tcPr>
          <w:p w14:paraId="4F95C4E6">
            <w:pPr>
              <w:spacing w:line="240" w:lineRule="auto"/>
              <w:ind w:firstLine="0" w:firstLineChars="0"/>
              <w:jc w:val="center"/>
              <w:rPr>
                <w:bCs/>
                <w:color w:val="auto"/>
                <w:sz w:val="21"/>
              </w:rPr>
            </w:pPr>
            <w:r>
              <w:rPr>
                <w:rFonts w:hint="eastAsia"/>
                <w:bCs/>
                <w:color w:val="auto"/>
                <w:sz w:val="21"/>
              </w:rPr>
              <w:t>甲类车间</w:t>
            </w:r>
          </w:p>
        </w:tc>
        <w:tc>
          <w:tcPr>
            <w:tcW w:w="706" w:type="pct"/>
            <w:tcBorders>
              <w:tl2br w:val="nil"/>
              <w:tr2bl w:val="nil"/>
            </w:tcBorders>
            <w:vAlign w:val="center"/>
          </w:tcPr>
          <w:p w14:paraId="166DFB40">
            <w:pPr>
              <w:spacing w:line="240" w:lineRule="auto"/>
              <w:ind w:firstLine="0" w:firstLineChars="0"/>
              <w:jc w:val="center"/>
              <w:rPr>
                <w:bCs/>
                <w:color w:val="auto"/>
                <w:sz w:val="21"/>
              </w:rPr>
            </w:pPr>
            <w:r>
              <w:rPr>
                <w:rFonts w:hint="eastAsia"/>
                <w:bCs/>
                <w:color w:val="auto"/>
                <w:sz w:val="21"/>
              </w:rPr>
              <w:t>依拉达奉原料药</w:t>
            </w:r>
          </w:p>
        </w:tc>
        <w:tc>
          <w:tcPr>
            <w:tcW w:w="827" w:type="pct"/>
            <w:tcBorders>
              <w:tl2br w:val="nil"/>
              <w:tr2bl w:val="nil"/>
            </w:tcBorders>
            <w:vAlign w:val="center"/>
          </w:tcPr>
          <w:p w14:paraId="5CEB26A5">
            <w:pPr>
              <w:spacing w:line="240" w:lineRule="auto"/>
              <w:ind w:firstLine="0" w:firstLineChars="0"/>
              <w:jc w:val="center"/>
              <w:rPr>
                <w:bCs/>
                <w:color w:val="auto"/>
                <w:sz w:val="21"/>
              </w:rPr>
            </w:pPr>
          </w:p>
        </w:tc>
        <w:tc>
          <w:tcPr>
            <w:tcW w:w="716" w:type="pct"/>
            <w:tcBorders>
              <w:tl2br w:val="nil"/>
              <w:tr2bl w:val="nil"/>
            </w:tcBorders>
            <w:vAlign w:val="center"/>
          </w:tcPr>
          <w:p w14:paraId="4CF48BF4">
            <w:pPr>
              <w:spacing w:line="240" w:lineRule="auto"/>
              <w:ind w:firstLine="0" w:firstLineChars="0"/>
              <w:jc w:val="center"/>
              <w:rPr>
                <w:bCs/>
                <w:color w:val="auto"/>
                <w:sz w:val="21"/>
              </w:rPr>
            </w:pPr>
            <w:r>
              <w:rPr>
                <w:rFonts w:hint="eastAsia"/>
                <w:bCs/>
                <w:color w:val="auto"/>
                <w:sz w:val="21"/>
              </w:rPr>
              <w:t>苯肼、乙酰乙酸乙酯、乙酸、乙醇和颗粒物</w:t>
            </w:r>
          </w:p>
        </w:tc>
        <w:tc>
          <w:tcPr>
            <w:tcW w:w="855" w:type="pct"/>
            <w:tcBorders>
              <w:tl2br w:val="nil"/>
              <w:tr2bl w:val="nil"/>
            </w:tcBorders>
            <w:vAlign w:val="center"/>
          </w:tcPr>
          <w:p w14:paraId="5314C2E3">
            <w:pPr>
              <w:spacing w:line="240" w:lineRule="auto"/>
              <w:ind w:firstLine="0" w:firstLineChars="0"/>
              <w:jc w:val="center"/>
              <w:rPr>
                <w:bCs/>
                <w:color w:val="auto"/>
                <w:sz w:val="21"/>
              </w:rPr>
            </w:pPr>
            <w:r>
              <w:rPr>
                <w:rFonts w:hint="eastAsia"/>
                <w:bCs/>
                <w:color w:val="auto"/>
                <w:sz w:val="21"/>
              </w:rPr>
              <w:t>两级水喷淋+一级活性炭吸附</w:t>
            </w:r>
          </w:p>
        </w:tc>
        <w:tc>
          <w:tcPr>
            <w:tcW w:w="595" w:type="pct"/>
            <w:tcBorders>
              <w:tl2br w:val="nil"/>
              <w:tr2bl w:val="nil"/>
            </w:tcBorders>
            <w:vAlign w:val="center"/>
          </w:tcPr>
          <w:p w14:paraId="3B45CD9E">
            <w:pPr>
              <w:spacing w:line="240" w:lineRule="auto"/>
              <w:ind w:firstLine="0" w:firstLineChars="0"/>
              <w:jc w:val="center"/>
              <w:rPr>
                <w:bCs/>
                <w:color w:val="auto"/>
                <w:sz w:val="21"/>
              </w:rPr>
            </w:pPr>
            <w:r>
              <w:rPr>
                <w:rFonts w:hint="eastAsia"/>
                <w:bCs/>
                <w:color w:val="auto"/>
                <w:sz w:val="21"/>
              </w:rPr>
              <w:t>25</w:t>
            </w:r>
          </w:p>
        </w:tc>
        <w:tc>
          <w:tcPr>
            <w:tcW w:w="436" w:type="pct"/>
            <w:tcBorders>
              <w:tl2br w:val="nil"/>
              <w:tr2bl w:val="nil"/>
            </w:tcBorders>
            <w:vAlign w:val="center"/>
          </w:tcPr>
          <w:p w14:paraId="34339A6C">
            <w:pPr>
              <w:spacing w:line="240" w:lineRule="auto"/>
              <w:ind w:firstLine="0" w:firstLineChars="0"/>
              <w:jc w:val="center"/>
              <w:rPr>
                <w:bCs/>
                <w:color w:val="auto"/>
                <w:sz w:val="21"/>
              </w:rPr>
            </w:pPr>
            <w:r>
              <w:rPr>
                <w:rFonts w:hint="eastAsia"/>
                <w:bCs/>
                <w:color w:val="auto"/>
                <w:sz w:val="21"/>
              </w:rPr>
              <w:t>DA005</w:t>
            </w:r>
          </w:p>
        </w:tc>
      </w:tr>
      <w:tr w14:paraId="6D8AAA6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0E10E9D4">
            <w:pPr>
              <w:spacing w:line="240" w:lineRule="auto"/>
              <w:ind w:firstLine="0" w:firstLineChars="0"/>
              <w:jc w:val="center"/>
              <w:rPr>
                <w:bCs/>
                <w:color w:val="auto"/>
                <w:sz w:val="21"/>
              </w:rPr>
            </w:pPr>
            <w:r>
              <w:rPr>
                <w:rFonts w:hint="eastAsia"/>
                <w:bCs/>
                <w:color w:val="auto"/>
                <w:sz w:val="21"/>
              </w:rPr>
              <w:t>12</w:t>
            </w:r>
          </w:p>
        </w:tc>
        <w:tc>
          <w:tcPr>
            <w:tcW w:w="618" w:type="pct"/>
            <w:tcBorders>
              <w:tl2br w:val="nil"/>
              <w:tr2bl w:val="nil"/>
            </w:tcBorders>
            <w:vAlign w:val="center"/>
          </w:tcPr>
          <w:p w14:paraId="2AA8D6B2">
            <w:pPr>
              <w:spacing w:line="240" w:lineRule="auto"/>
              <w:ind w:firstLine="0" w:firstLineChars="0"/>
              <w:jc w:val="center"/>
              <w:rPr>
                <w:bCs/>
                <w:color w:val="auto"/>
                <w:sz w:val="21"/>
              </w:rPr>
            </w:pPr>
            <w:r>
              <w:rPr>
                <w:rFonts w:hint="eastAsia"/>
                <w:bCs/>
                <w:color w:val="auto"/>
                <w:sz w:val="21"/>
              </w:rPr>
              <w:t>精制车间</w:t>
            </w:r>
          </w:p>
        </w:tc>
        <w:tc>
          <w:tcPr>
            <w:tcW w:w="706" w:type="pct"/>
            <w:tcBorders>
              <w:tl2br w:val="nil"/>
              <w:tr2bl w:val="nil"/>
            </w:tcBorders>
            <w:vAlign w:val="center"/>
          </w:tcPr>
          <w:p w14:paraId="72108701">
            <w:pPr>
              <w:spacing w:line="240" w:lineRule="auto"/>
              <w:ind w:firstLine="0" w:firstLineChars="0"/>
              <w:jc w:val="center"/>
              <w:rPr>
                <w:bCs/>
                <w:color w:val="auto"/>
                <w:sz w:val="21"/>
              </w:rPr>
            </w:pPr>
            <w:r>
              <w:rPr>
                <w:rFonts w:hint="eastAsia"/>
                <w:bCs/>
                <w:color w:val="auto"/>
                <w:sz w:val="21"/>
              </w:rPr>
              <w:t>依拉达奉原料药</w:t>
            </w:r>
          </w:p>
        </w:tc>
        <w:tc>
          <w:tcPr>
            <w:tcW w:w="827" w:type="pct"/>
            <w:tcBorders>
              <w:tl2br w:val="nil"/>
              <w:tr2bl w:val="nil"/>
            </w:tcBorders>
            <w:vAlign w:val="center"/>
          </w:tcPr>
          <w:p w14:paraId="13B2E49D">
            <w:pPr>
              <w:spacing w:line="240" w:lineRule="auto"/>
              <w:ind w:firstLine="0" w:firstLineChars="0"/>
              <w:jc w:val="center"/>
              <w:rPr>
                <w:bCs/>
                <w:color w:val="auto"/>
                <w:sz w:val="21"/>
              </w:rPr>
            </w:pPr>
          </w:p>
        </w:tc>
        <w:tc>
          <w:tcPr>
            <w:tcW w:w="716" w:type="pct"/>
            <w:tcBorders>
              <w:tl2br w:val="nil"/>
              <w:tr2bl w:val="nil"/>
            </w:tcBorders>
            <w:vAlign w:val="center"/>
          </w:tcPr>
          <w:p w14:paraId="55E3C1C4">
            <w:pPr>
              <w:spacing w:line="240" w:lineRule="auto"/>
              <w:ind w:firstLine="0" w:firstLineChars="0"/>
              <w:jc w:val="center"/>
              <w:rPr>
                <w:bCs/>
                <w:color w:val="auto"/>
                <w:sz w:val="21"/>
              </w:rPr>
            </w:pPr>
            <w:r>
              <w:rPr>
                <w:rFonts w:hint="eastAsia"/>
                <w:bCs/>
                <w:color w:val="auto"/>
                <w:sz w:val="21"/>
              </w:rPr>
              <w:t>苯肼、乙酰乙酸乙酯、乙酸、乙醇和颗粒物</w:t>
            </w:r>
          </w:p>
        </w:tc>
        <w:tc>
          <w:tcPr>
            <w:tcW w:w="855" w:type="pct"/>
            <w:vMerge w:val="restart"/>
            <w:tcBorders>
              <w:tl2br w:val="nil"/>
              <w:tr2bl w:val="nil"/>
            </w:tcBorders>
            <w:vAlign w:val="center"/>
          </w:tcPr>
          <w:p w14:paraId="5D57218B">
            <w:pPr>
              <w:spacing w:line="240" w:lineRule="auto"/>
              <w:ind w:firstLine="0" w:firstLineChars="0"/>
              <w:jc w:val="center"/>
              <w:rPr>
                <w:bCs/>
                <w:color w:val="auto"/>
                <w:sz w:val="21"/>
              </w:rPr>
            </w:pPr>
            <w:r>
              <w:rPr>
                <w:rFonts w:hint="eastAsia"/>
                <w:bCs/>
                <w:color w:val="auto"/>
                <w:sz w:val="21"/>
              </w:rPr>
              <w:t>旋风+布袋除尘</w:t>
            </w:r>
          </w:p>
        </w:tc>
        <w:tc>
          <w:tcPr>
            <w:tcW w:w="595" w:type="pct"/>
            <w:vMerge w:val="restart"/>
            <w:tcBorders>
              <w:tl2br w:val="nil"/>
              <w:tr2bl w:val="nil"/>
            </w:tcBorders>
            <w:vAlign w:val="center"/>
          </w:tcPr>
          <w:p w14:paraId="0E5129E5">
            <w:pPr>
              <w:spacing w:line="240" w:lineRule="auto"/>
              <w:ind w:firstLine="0" w:firstLineChars="0"/>
              <w:jc w:val="center"/>
              <w:rPr>
                <w:bCs/>
                <w:color w:val="auto"/>
                <w:sz w:val="21"/>
              </w:rPr>
            </w:pPr>
            <w:r>
              <w:rPr>
                <w:rFonts w:hint="eastAsia"/>
                <w:bCs/>
                <w:color w:val="auto"/>
                <w:sz w:val="21"/>
              </w:rPr>
              <w:t>25</w:t>
            </w:r>
          </w:p>
        </w:tc>
        <w:tc>
          <w:tcPr>
            <w:tcW w:w="436" w:type="pct"/>
            <w:vMerge w:val="restart"/>
            <w:tcBorders>
              <w:tl2br w:val="nil"/>
              <w:tr2bl w:val="nil"/>
            </w:tcBorders>
            <w:vAlign w:val="center"/>
          </w:tcPr>
          <w:p w14:paraId="29B2FFE4">
            <w:pPr>
              <w:spacing w:line="240" w:lineRule="auto"/>
              <w:ind w:firstLine="0" w:firstLineChars="0"/>
              <w:jc w:val="center"/>
              <w:rPr>
                <w:bCs/>
                <w:color w:val="auto"/>
                <w:sz w:val="21"/>
              </w:rPr>
            </w:pPr>
            <w:r>
              <w:rPr>
                <w:rFonts w:hint="eastAsia"/>
                <w:bCs/>
                <w:color w:val="auto"/>
                <w:sz w:val="21"/>
              </w:rPr>
              <w:t>DA006</w:t>
            </w:r>
          </w:p>
        </w:tc>
      </w:tr>
      <w:tr w14:paraId="0B2401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6E49A193">
            <w:pPr>
              <w:spacing w:line="240" w:lineRule="auto"/>
              <w:ind w:firstLine="0" w:firstLineChars="0"/>
              <w:jc w:val="center"/>
              <w:rPr>
                <w:bCs/>
                <w:color w:val="auto"/>
                <w:sz w:val="21"/>
              </w:rPr>
            </w:pPr>
            <w:r>
              <w:rPr>
                <w:rFonts w:hint="eastAsia"/>
                <w:bCs/>
                <w:color w:val="auto"/>
                <w:sz w:val="21"/>
              </w:rPr>
              <w:t>13</w:t>
            </w:r>
          </w:p>
        </w:tc>
        <w:tc>
          <w:tcPr>
            <w:tcW w:w="618" w:type="pct"/>
            <w:tcBorders>
              <w:tl2br w:val="nil"/>
              <w:tr2bl w:val="nil"/>
            </w:tcBorders>
            <w:vAlign w:val="center"/>
          </w:tcPr>
          <w:p w14:paraId="1C736612">
            <w:pPr>
              <w:spacing w:line="240" w:lineRule="auto"/>
              <w:ind w:firstLine="0" w:firstLineChars="0"/>
              <w:jc w:val="center"/>
              <w:rPr>
                <w:bCs/>
                <w:color w:val="auto"/>
                <w:sz w:val="21"/>
              </w:rPr>
            </w:pPr>
            <w:r>
              <w:rPr>
                <w:rFonts w:hint="eastAsia"/>
                <w:bCs/>
                <w:color w:val="auto"/>
                <w:sz w:val="21"/>
              </w:rPr>
              <w:t>制剂一体化车间</w:t>
            </w:r>
          </w:p>
        </w:tc>
        <w:tc>
          <w:tcPr>
            <w:tcW w:w="706" w:type="pct"/>
            <w:tcBorders>
              <w:tl2br w:val="nil"/>
              <w:tr2bl w:val="nil"/>
            </w:tcBorders>
            <w:vAlign w:val="center"/>
          </w:tcPr>
          <w:p w14:paraId="3A1436D3">
            <w:pPr>
              <w:spacing w:line="240" w:lineRule="auto"/>
              <w:ind w:firstLine="0" w:firstLineChars="0"/>
              <w:jc w:val="center"/>
              <w:rPr>
                <w:bCs/>
                <w:color w:val="auto"/>
                <w:sz w:val="21"/>
              </w:rPr>
            </w:pPr>
            <w:r>
              <w:rPr>
                <w:rFonts w:hint="eastAsia"/>
                <w:bCs/>
                <w:color w:val="auto"/>
                <w:sz w:val="21"/>
              </w:rPr>
              <w:t>依拉达奉制剂</w:t>
            </w:r>
          </w:p>
        </w:tc>
        <w:tc>
          <w:tcPr>
            <w:tcW w:w="827" w:type="pct"/>
            <w:tcBorders>
              <w:tl2br w:val="nil"/>
              <w:tr2bl w:val="nil"/>
            </w:tcBorders>
            <w:vAlign w:val="center"/>
          </w:tcPr>
          <w:p w14:paraId="7C4ACE83">
            <w:pPr>
              <w:spacing w:line="240" w:lineRule="auto"/>
              <w:ind w:firstLine="0" w:firstLineChars="0"/>
              <w:jc w:val="center"/>
              <w:rPr>
                <w:bCs/>
                <w:color w:val="auto"/>
                <w:sz w:val="21"/>
              </w:rPr>
            </w:pPr>
          </w:p>
        </w:tc>
        <w:tc>
          <w:tcPr>
            <w:tcW w:w="716" w:type="pct"/>
            <w:tcBorders>
              <w:tl2br w:val="nil"/>
              <w:tr2bl w:val="nil"/>
            </w:tcBorders>
            <w:vAlign w:val="center"/>
          </w:tcPr>
          <w:p w14:paraId="45DFD07C">
            <w:pPr>
              <w:spacing w:line="240" w:lineRule="auto"/>
              <w:ind w:firstLine="0" w:firstLineChars="0"/>
              <w:jc w:val="center"/>
              <w:rPr>
                <w:bCs/>
                <w:color w:val="auto"/>
                <w:sz w:val="21"/>
              </w:rPr>
            </w:pPr>
            <w:r>
              <w:rPr>
                <w:rFonts w:hint="eastAsia"/>
                <w:bCs/>
                <w:color w:val="auto"/>
                <w:sz w:val="21"/>
              </w:rPr>
              <w:t>甲醇、颗粒物和丙酮</w:t>
            </w:r>
          </w:p>
        </w:tc>
        <w:tc>
          <w:tcPr>
            <w:tcW w:w="855" w:type="pct"/>
            <w:vMerge w:val="continue"/>
            <w:tcBorders>
              <w:tl2br w:val="nil"/>
              <w:tr2bl w:val="nil"/>
            </w:tcBorders>
            <w:vAlign w:val="center"/>
          </w:tcPr>
          <w:p w14:paraId="238DE053">
            <w:pPr>
              <w:spacing w:line="240" w:lineRule="auto"/>
              <w:ind w:firstLine="0" w:firstLineChars="0"/>
              <w:jc w:val="center"/>
              <w:rPr>
                <w:bCs/>
                <w:color w:val="auto"/>
                <w:sz w:val="21"/>
              </w:rPr>
            </w:pPr>
          </w:p>
        </w:tc>
        <w:tc>
          <w:tcPr>
            <w:tcW w:w="595" w:type="pct"/>
            <w:vMerge w:val="continue"/>
            <w:tcBorders>
              <w:tl2br w:val="nil"/>
              <w:tr2bl w:val="nil"/>
            </w:tcBorders>
            <w:vAlign w:val="center"/>
          </w:tcPr>
          <w:p w14:paraId="434FAFD9">
            <w:pPr>
              <w:spacing w:line="240" w:lineRule="auto"/>
              <w:ind w:firstLine="0" w:firstLineChars="0"/>
              <w:jc w:val="center"/>
              <w:rPr>
                <w:bCs/>
                <w:color w:val="auto"/>
                <w:sz w:val="21"/>
              </w:rPr>
            </w:pPr>
          </w:p>
        </w:tc>
        <w:tc>
          <w:tcPr>
            <w:tcW w:w="436" w:type="pct"/>
            <w:vMerge w:val="continue"/>
            <w:tcBorders>
              <w:tl2br w:val="nil"/>
              <w:tr2bl w:val="nil"/>
            </w:tcBorders>
            <w:vAlign w:val="center"/>
          </w:tcPr>
          <w:p w14:paraId="4CFFAEB4">
            <w:pPr>
              <w:spacing w:line="240" w:lineRule="auto"/>
              <w:ind w:firstLine="0" w:firstLineChars="0"/>
              <w:jc w:val="center"/>
              <w:rPr>
                <w:bCs/>
                <w:color w:val="auto"/>
                <w:sz w:val="21"/>
              </w:rPr>
            </w:pPr>
          </w:p>
        </w:tc>
      </w:tr>
      <w:tr w14:paraId="3BAAFBB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7225D9E8">
            <w:pPr>
              <w:spacing w:line="240" w:lineRule="auto"/>
              <w:ind w:firstLine="0" w:firstLineChars="0"/>
              <w:jc w:val="center"/>
              <w:rPr>
                <w:bCs/>
                <w:color w:val="auto"/>
                <w:sz w:val="21"/>
              </w:rPr>
            </w:pPr>
            <w:r>
              <w:rPr>
                <w:rFonts w:hint="eastAsia"/>
                <w:bCs/>
                <w:color w:val="auto"/>
                <w:sz w:val="21"/>
              </w:rPr>
              <w:t>14</w:t>
            </w:r>
          </w:p>
        </w:tc>
        <w:tc>
          <w:tcPr>
            <w:tcW w:w="618" w:type="pct"/>
            <w:tcBorders>
              <w:tl2br w:val="nil"/>
              <w:tr2bl w:val="nil"/>
            </w:tcBorders>
            <w:vAlign w:val="center"/>
          </w:tcPr>
          <w:p w14:paraId="7FDDE3DB">
            <w:pPr>
              <w:spacing w:line="240" w:lineRule="auto"/>
              <w:ind w:firstLine="0" w:firstLineChars="0"/>
              <w:jc w:val="center"/>
              <w:rPr>
                <w:bCs/>
                <w:color w:val="auto"/>
                <w:sz w:val="21"/>
              </w:rPr>
            </w:pPr>
            <w:r>
              <w:rPr>
                <w:rFonts w:hint="eastAsia"/>
                <w:bCs/>
                <w:color w:val="auto"/>
                <w:sz w:val="21"/>
              </w:rPr>
              <w:t>精制车间</w:t>
            </w:r>
          </w:p>
        </w:tc>
        <w:tc>
          <w:tcPr>
            <w:tcW w:w="706" w:type="pct"/>
            <w:tcBorders>
              <w:tl2br w:val="nil"/>
              <w:tr2bl w:val="nil"/>
            </w:tcBorders>
            <w:vAlign w:val="center"/>
          </w:tcPr>
          <w:p w14:paraId="5EC24C01">
            <w:pPr>
              <w:spacing w:line="240" w:lineRule="auto"/>
              <w:ind w:firstLine="0" w:firstLineChars="0"/>
              <w:jc w:val="center"/>
              <w:rPr>
                <w:bCs/>
                <w:color w:val="auto"/>
                <w:sz w:val="21"/>
              </w:rPr>
            </w:pPr>
            <w:r>
              <w:rPr>
                <w:rFonts w:hint="eastAsia"/>
                <w:bCs/>
                <w:color w:val="auto"/>
                <w:sz w:val="21"/>
              </w:rPr>
              <w:t>硫代硫酸钠</w:t>
            </w:r>
          </w:p>
        </w:tc>
        <w:tc>
          <w:tcPr>
            <w:tcW w:w="827" w:type="pct"/>
            <w:tcBorders>
              <w:tl2br w:val="nil"/>
              <w:tr2bl w:val="nil"/>
            </w:tcBorders>
            <w:vAlign w:val="center"/>
          </w:tcPr>
          <w:p w14:paraId="1D2ADC23">
            <w:pPr>
              <w:spacing w:line="240" w:lineRule="auto"/>
              <w:ind w:firstLine="0" w:firstLineChars="0"/>
              <w:jc w:val="center"/>
              <w:rPr>
                <w:bCs/>
                <w:color w:val="auto"/>
                <w:sz w:val="21"/>
              </w:rPr>
            </w:pPr>
          </w:p>
        </w:tc>
        <w:tc>
          <w:tcPr>
            <w:tcW w:w="716" w:type="pct"/>
            <w:tcBorders>
              <w:tl2br w:val="nil"/>
              <w:tr2bl w:val="nil"/>
            </w:tcBorders>
            <w:vAlign w:val="center"/>
          </w:tcPr>
          <w:p w14:paraId="280FDED9">
            <w:pPr>
              <w:spacing w:line="240" w:lineRule="auto"/>
              <w:ind w:firstLine="0" w:firstLineChars="0"/>
              <w:jc w:val="center"/>
              <w:rPr>
                <w:bCs/>
                <w:color w:val="auto"/>
                <w:sz w:val="21"/>
              </w:rPr>
            </w:pPr>
            <w:r>
              <w:rPr>
                <w:rFonts w:hint="eastAsia"/>
                <w:bCs/>
                <w:color w:val="auto"/>
                <w:sz w:val="21"/>
              </w:rPr>
              <w:t>颗粒物</w:t>
            </w:r>
          </w:p>
        </w:tc>
        <w:tc>
          <w:tcPr>
            <w:tcW w:w="855" w:type="pct"/>
            <w:vMerge w:val="continue"/>
            <w:tcBorders>
              <w:tl2br w:val="nil"/>
              <w:tr2bl w:val="nil"/>
            </w:tcBorders>
            <w:vAlign w:val="center"/>
          </w:tcPr>
          <w:p w14:paraId="576BCB4B">
            <w:pPr>
              <w:spacing w:line="240" w:lineRule="auto"/>
              <w:ind w:firstLine="0" w:firstLineChars="0"/>
              <w:jc w:val="center"/>
              <w:rPr>
                <w:bCs/>
                <w:color w:val="auto"/>
                <w:sz w:val="21"/>
              </w:rPr>
            </w:pPr>
          </w:p>
        </w:tc>
        <w:tc>
          <w:tcPr>
            <w:tcW w:w="595" w:type="pct"/>
            <w:vMerge w:val="continue"/>
            <w:tcBorders>
              <w:tl2br w:val="nil"/>
              <w:tr2bl w:val="nil"/>
            </w:tcBorders>
            <w:vAlign w:val="center"/>
          </w:tcPr>
          <w:p w14:paraId="246D811E">
            <w:pPr>
              <w:spacing w:line="240" w:lineRule="auto"/>
              <w:ind w:firstLine="0" w:firstLineChars="0"/>
              <w:jc w:val="center"/>
              <w:rPr>
                <w:bCs/>
                <w:color w:val="auto"/>
                <w:sz w:val="21"/>
              </w:rPr>
            </w:pPr>
          </w:p>
        </w:tc>
        <w:tc>
          <w:tcPr>
            <w:tcW w:w="436" w:type="pct"/>
            <w:vMerge w:val="continue"/>
            <w:tcBorders>
              <w:tl2br w:val="nil"/>
              <w:tr2bl w:val="nil"/>
            </w:tcBorders>
            <w:vAlign w:val="center"/>
          </w:tcPr>
          <w:p w14:paraId="5D744566">
            <w:pPr>
              <w:spacing w:line="240" w:lineRule="auto"/>
              <w:ind w:firstLine="0" w:firstLineChars="0"/>
              <w:jc w:val="center"/>
              <w:rPr>
                <w:bCs/>
                <w:color w:val="auto"/>
                <w:sz w:val="21"/>
              </w:rPr>
            </w:pPr>
          </w:p>
        </w:tc>
      </w:tr>
      <w:tr w14:paraId="219E15A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 w:type="pct"/>
            <w:tcBorders>
              <w:tl2br w:val="nil"/>
              <w:tr2bl w:val="nil"/>
            </w:tcBorders>
            <w:vAlign w:val="center"/>
          </w:tcPr>
          <w:p w14:paraId="5F6FFD05">
            <w:pPr>
              <w:spacing w:line="240" w:lineRule="auto"/>
              <w:ind w:firstLine="0" w:firstLineChars="0"/>
              <w:jc w:val="center"/>
              <w:rPr>
                <w:bCs/>
                <w:color w:val="auto"/>
                <w:sz w:val="21"/>
              </w:rPr>
            </w:pPr>
            <w:r>
              <w:rPr>
                <w:rFonts w:hint="eastAsia"/>
                <w:bCs/>
                <w:color w:val="auto"/>
                <w:sz w:val="21"/>
              </w:rPr>
              <w:t>15</w:t>
            </w:r>
          </w:p>
        </w:tc>
        <w:tc>
          <w:tcPr>
            <w:tcW w:w="618" w:type="pct"/>
            <w:tcBorders>
              <w:tl2br w:val="nil"/>
              <w:tr2bl w:val="nil"/>
            </w:tcBorders>
            <w:vAlign w:val="center"/>
          </w:tcPr>
          <w:p w14:paraId="4A5DF48C">
            <w:pPr>
              <w:spacing w:line="240" w:lineRule="auto"/>
              <w:ind w:firstLine="0" w:firstLineChars="0"/>
              <w:jc w:val="center"/>
              <w:rPr>
                <w:bCs/>
                <w:color w:val="auto"/>
                <w:sz w:val="21"/>
              </w:rPr>
            </w:pPr>
            <w:r>
              <w:rPr>
                <w:rFonts w:hint="eastAsia"/>
                <w:bCs/>
                <w:color w:val="auto"/>
                <w:sz w:val="21"/>
              </w:rPr>
              <w:t>危废暂存间</w:t>
            </w:r>
          </w:p>
        </w:tc>
        <w:tc>
          <w:tcPr>
            <w:tcW w:w="706" w:type="pct"/>
            <w:tcBorders>
              <w:tl2br w:val="nil"/>
              <w:tr2bl w:val="nil"/>
            </w:tcBorders>
            <w:vAlign w:val="center"/>
          </w:tcPr>
          <w:p w14:paraId="64B6D156">
            <w:pPr>
              <w:spacing w:line="240" w:lineRule="auto"/>
              <w:ind w:firstLine="0" w:firstLineChars="0"/>
              <w:jc w:val="center"/>
              <w:rPr>
                <w:bCs/>
                <w:color w:val="auto"/>
                <w:sz w:val="21"/>
              </w:rPr>
            </w:pPr>
            <w:r>
              <w:rPr>
                <w:rFonts w:hint="eastAsia"/>
                <w:bCs/>
                <w:color w:val="auto"/>
                <w:sz w:val="21"/>
              </w:rPr>
              <w:t>/</w:t>
            </w:r>
          </w:p>
        </w:tc>
        <w:tc>
          <w:tcPr>
            <w:tcW w:w="827" w:type="pct"/>
            <w:tcBorders>
              <w:tl2br w:val="nil"/>
              <w:tr2bl w:val="nil"/>
            </w:tcBorders>
            <w:vAlign w:val="center"/>
          </w:tcPr>
          <w:p w14:paraId="696CD445">
            <w:pPr>
              <w:spacing w:line="240" w:lineRule="auto"/>
              <w:ind w:firstLine="0" w:firstLineChars="0"/>
              <w:jc w:val="center"/>
              <w:rPr>
                <w:bCs/>
                <w:color w:val="auto"/>
                <w:sz w:val="21"/>
              </w:rPr>
            </w:pPr>
          </w:p>
        </w:tc>
        <w:tc>
          <w:tcPr>
            <w:tcW w:w="716" w:type="pct"/>
            <w:tcBorders>
              <w:tl2br w:val="nil"/>
              <w:tr2bl w:val="nil"/>
            </w:tcBorders>
            <w:vAlign w:val="center"/>
          </w:tcPr>
          <w:p w14:paraId="10DCDD54">
            <w:pPr>
              <w:spacing w:line="240" w:lineRule="auto"/>
              <w:ind w:firstLine="0" w:firstLineChars="0"/>
              <w:jc w:val="center"/>
              <w:rPr>
                <w:bCs/>
                <w:color w:val="auto"/>
                <w:sz w:val="21"/>
              </w:rPr>
            </w:pPr>
            <w:r>
              <w:rPr>
                <w:rFonts w:hint="eastAsia"/>
                <w:bCs/>
                <w:color w:val="auto"/>
                <w:sz w:val="21"/>
              </w:rPr>
              <w:t>非甲烷总烃</w:t>
            </w:r>
          </w:p>
        </w:tc>
        <w:tc>
          <w:tcPr>
            <w:tcW w:w="855" w:type="pct"/>
            <w:tcBorders>
              <w:tl2br w:val="nil"/>
              <w:tr2bl w:val="nil"/>
            </w:tcBorders>
            <w:vAlign w:val="center"/>
          </w:tcPr>
          <w:p w14:paraId="041FE7D3">
            <w:pPr>
              <w:spacing w:line="240" w:lineRule="auto"/>
              <w:ind w:firstLine="0" w:firstLineChars="0"/>
              <w:jc w:val="center"/>
              <w:rPr>
                <w:bCs/>
                <w:color w:val="auto"/>
                <w:sz w:val="21"/>
              </w:rPr>
            </w:pPr>
            <w:r>
              <w:rPr>
                <w:rFonts w:hint="eastAsia"/>
                <w:bCs/>
                <w:color w:val="auto"/>
                <w:sz w:val="21"/>
              </w:rPr>
              <w:t>两级水喷淋</w:t>
            </w:r>
          </w:p>
        </w:tc>
        <w:tc>
          <w:tcPr>
            <w:tcW w:w="595" w:type="pct"/>
            <w:tcBorders>
              <w:tl2br w:val="nil"/>
              <w:tr2bl w:val="nil"/>
            </w:tcBorders>
            <w:vAlign w:val="center"/>
          </w:tcPr>
          <w:p w14:paraId="5A284F1A">
            <w:pPr>
              <w:spacing w:line="240" w:lineRule="auto"/>
              <w:ind w:firstLine="0" w:firstLineChars="0"/>
              <w:jc w:val="center"/>
              <w:rPr>
                <w:bCs/>
                <w:color w:val="auto"/>
                <w:sz w:val="21"/>
              </w:rPr>
            </w:pPr>
            <w:r>
              <w:rPr>
                <w:rFonts w:hint="eastAsia"/>
                <w:bCs/>
                <w:color w:val="auto"/>
                <w:sz w:val="21"/>
              </w:rPr>
              <w:t>15</w:t>
            </w:r>
          </w:p>
        </w:tc>
        <w:tc>
          <w:tcPr>
            <w:tcW w:w="436" w:type="pct"/>
            <w:tcBorders>
              <w:tl2br w:val="nil"/>
              <w:tr2bl w:val="nil"/>
            </w:tcBorders>
            <w:vAlign w:val="center"/>
          </w:tcPr>
          <w:p w14:paraId="4A416988">
            <w:pPr>
              <w:spacing w:line="240" w:lineRule="auto"/>
              <w:ind w:firstLine="0" w:firstLineChars="0"/>
              <w:jc w:val="center"/>
              <w:rPr>
                <w:bCs/>
                <w:color w:val="auto"/>
                <w:sz w:val="21"/>
              </w:rPr>
            </w:pPr>
            <w:r>
              <w:rPr>
                <w:rFonts w:hint="eastAsia"/>
                <w:bCs/>
                <w:color w:val="auto"/>
                <w:sz w:val="21"/>
              </w:rPr>
              <w:t>DA007</w:t>
            </w:r>
          </w:p>
        </w:tc>
      </w:tr>
    </w:tbl>
    <w:p w14:paraId="7B085CB2">
      <w:pPr>
        <w:spacing w:line="240" w:lineRule="auto"/>
        <w:ind w:firstLine="0" w:firstLineChars="0"/>
        <w:jc w:val="center"/>
        <w:rPr>
          <w:b/>
          <w:bCs/>
          <w:color w:val="auto"/>
        </w:rPr>
        <w:sectPr>
          <w:pgSz w:w="16838" w:h="11906" w:orient="landscape"/>
          <w:pgMar w:top="1134" w:right="1134" w:bottom="1134" w:left="1134" w:header="851" w:footer="992" w:gutter="0"/>
          <w:cols w:space="425" w:num="1"/>
          <w:docGrid w:type="lines" w:linePitch="312" w:charSpace="0"/>
        </w:sectPr>
      </w:pPr>
    </w:p>
    <w:p w14:paraId="62E6D1D4">
      <w:pPr>
        <w:pStyle w:val="4"/>
        <w:rPr>
          <w:color w:val="auto"/>
        </w:rPr>
      </w:pPr>
      <w:bookmarkStart w:id="88" w:name="_Toc20373"/>
      <w:r>
        <w:rPr>
          <w:rFonts w:hint="eastAsia"/>
          <w:color w:val="auto"/>
        </w:rPr>
        <w:t>3.3.2</w:t>
      </w:r>
      <w:r>
        <w:rPr>
          <w:color w:val="auto"/>
        </w:rPr>
        <w:t>废水</w:t>
      </w:r>
      <w:bookmarkEnd w:id="88"/>
    </w:p>
    <w:p w14:paraId="384FC64B">
      <w:pPr>
        <w:spacing w:line="460" w:lineRule="exact"/>
        <w:ind w:firstLine="480"/>
        <w:rPr>
          <w:color w:val="auto"/>
        </w:rPr>
      </w:pPr>
      <w:r>
        <w:rPr>
          <w:color w:val="auto"/>
        </w:rPr>
        <w:t>根据现场调查及企业情况介绍</w:t>
      </w:r>
      <w:r>
        <w:rPr>
          <w:rFonts w:hint="eastAsia"/>
          <w:color w:val="auto"/>
        </w:rPr>
        <w:t>，企业</w:t>
      </w:r>
      <w:r>
        <w:rPr>
          <w:color w:val="auto"/>
        </w:rPr>
        <w:t>现有已建项目废水主要包括</w:t>
      </w:r>
      <w:r>
        <w:rPr>
          <w:rFonts w:hint="eastAsia"/>
          <w:color w:val="auto"/>
        </w:rPr>
        <w:t>：二期项目中盐酸苯肼生产工艺废水、硫酸苯肼</w:t>
      </w:r>
      <w:r>
        <w:rPr>
          <w:color w:val="auto"/>
        </w:rPr>
        <w:t>生产工艺废水、</w:t>
      </w:r>
      <w:r>
        <w:rPr>
          <w:rFonts w:hint="eastAsia"/>
          <w:color w:val="auto"/>
        </w:rPr>
        <w:t>苯肼</w:t>
      </w:r>
      <w:r>
        <w:rPr>
          <w:color w:val="auto"/>
        </w:rPr>
        <w:t>生产工艺废水</w:t>
      </w:r>
      <w:r>
        <w:rPr>
          <w:rFonts w:hint="eastAsia"/>
          <w:color w:val="auto"/>
        </w:rPr>
        <w:t>、苯唑醇生产工艺废水、</w:t>
      </w:r>
      <w:r>
        <w:rPr>
          <w:color w:val="auto"/>
        </w:rPr>
        <w:t>车间地面冲洗废水、真空泵废水、循环冷却系统排水、纯水制备浓水、生活污水、废气处理废水和初期雨水等</w:t>
      </w:r>
      <w:r>
        <w:rPr>
          <w:rFonts w:hint="eastAsia"/>
          <w:color w:val="auto"/>
        </w:rPr>
        <w:t>，乙酰丙酮生产工程无废水产生及排放，1,3,5吡唑酮生产过程中产生的蒸馏废水套用于缩合、环化反应，不外排。三期项目中废水处理工艺调整后还新增二水硫酸钙洗涤水、硅酸盐类不溶物洗涤水、四效蒸发冷凝水的次生废水、地面冲洗水、生活污水、真空泵排水、废气处理废水。在建项目中生产工艺废水、设备清洗废水、车间地面冲洗废水、废气处理废水、真空泵排水、实验室废水、空压机废水、初期雨水、纯水制备浓水、循环冷却系统排水及生活污水。</w:t>
      </w:r>
    </w:p>
    <w:p w14:paraId="6D1A4A9B">
      <w:pPr>
        <w:spacing w:line="460" w:lineRule="exact"/>
        <w:ind w:firstLine="480"/>
        <w:rPr>
          <w:color w:val="auto"/>
        </w:rPr>
        <w:sectPr>
          <w:pgSz w:w="11906" w:h="16838"/>
          <w:pgMar w:top="1134" w:right="1134" w:bottom="1134" w:left="1134" w:header="851" w:footer="992" w:gutter="0"/>
          <w:cols w:space="425" w:num="1"/>
          <w:docGrid w:type="lines" w:linePitch="312" w:charSpace="0"/>
        </w:sectPr>
      </w:pPr>
      <w:r>
        <w:rPr>
          <w:color w:val="auto"/>
        </w:rPr>
        <w:t>在建项目建成后，全厂废水污染物产生及处理情况详见表</w:t>
      </w:r>
      <w:r>
        <w:rPr>
          <w:rFonts w:hint="eastAsia"/>
          <w:color w:val="auto"/>
        </w:rPr>
        <w:t>3.3-2</w:t>
      </w:r>
      <w:r>
        <w:rPr>
          <w:color w:val="auto"/>
        </w:rPr>
        <w:t>。</w:t>
      </w:r>
    </w:p>
    <w:p w14:paraId="2D0F3BB3">
      <w:pPr>
        <w:spacing w:line="460" w:lineRule="exact"/>
        <w:ind w:firstLine="480"/>
        <w:rPr>
          <w:color w:val="auto"/>
        </w:rPr>
      </w:pPr>
    </w:p>
    <w:p w14:paraId="245A012C">
      <w:pPr>
        <w:pStyle w:val="49"/>
        <w:rPr>
          <w:bCs/>
          <w:color w:val="auto"/>
          <w:kern w:val="28"/>
          <w:szCs w:val="32"/>
        </w:rPr>
      </w:pPr>
      <w:r>
        <w:rPr>
          <w:rFonts w:hint="eastAsia"/>
          <w:bCs/>
          <w:color w:val="auto"/>
          <w:kern w:val="28"/>
          <w:szCs w:val="32"/>
        </w:rPr>
        <w:t>表3.3-2  在建项目建成后全厂废水产生及处理措施一览表</w:t>
      </w:r>
    </w:p>
    <w:tbl>
      <w:tblPr>
        <w:tblStyle w:val="25"/>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4"/>
        <w:gridCol w:w="1749"/>
        <w:gridCol w:w="1705"/>
        <w:gridCol w:w="1527"/>
        <w:gridCol w:w="1527"/>
        <w:gridCol w:w="2344"/>
        <w:gridCol w:w="2344"/>
        <w:gridCol w:w="1580"/>
        <w:gridCol w:w="1300"/>
      </w:tblGrid>
      <w:tr w14:paraId="7018726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2DB5AFD8">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序号</w:t>
            </w:r>
          </w:p>
        </w:tc>
        <w:tc>
          <w:tcPr>
            <w:tcW w:w="591" w:type="pct"/>
            <w:tcBorders>
              <w:tl2br w:val="nil"/>
              <w:tr2bl w:val="nil"/>
            </w:tcBorders>
            <w:vAlign w:val="center"/>
          </w:tcPr>
          <w:p w14:paraId="06712A30">
            <w:pPr>
              <w:widowControl/>
              <w:spacing w:line="240" w:lineRule="auto"/>
              <w:ind w:firstLine="0" w:firstLineChars="0"/>
              <w:jc w:val="center"/>
              <w:textAlignment w:val="center"/>
              <w:rPr>
                <w:b/>
                <w:bCs/>
                <w:color w:val="auto"/>
                <w:sz w:val="21"/>
                <w:szCs w:val="21"/>
              </w:rPr>
            </w:pPr>
            <w:r>
              <w:rPr>
                <w:b/>
                <w:bCs/>
                <w:color w:val="auto"/>
                <w:kern w:val="0"/>
                <w:sz w:val="21"/>
                <w:szCs w:val="21"/>
                <w:lang w:bidi="ar"/>
              </w:rPr>
              <w:t>产品</w:t>
            </w:r>
          </w:p>
        </w:tc>
        <w:tc>
          <w:tcPr>
            <w:tcW w:w="576" w:type="pct"/>
            <w:tcBorders>
              <w:tl2br w:val="nil"/>
              <w:tr2bl w:val="nil"/>
            </w:tcBorders>
            <w:vAlign w:val="center"/>
          </w:tcPr>
          <w:p w14:paraId="47851AFE">
            <w:pPr>
              <w:widowControl/>
              <w:spacing w:line="240" w:lineRule="auto"/>
              <w:ind w:firstLine="0" w:firstLineChars="0"/>
              <w:jc w:val="center"/>
              <w:textAlignment w:val="center"/>
              <w:rPr>
                <w:b/>
                <w:bCs/>
                <w:color w:val="auto"/>
                <w:sz w:val="21"/>
                <w:szCs w:val="21"/>
              </w:rPr>
            </w:pPr>
            <w:r>
              <w:rPr>
                <w:b/>
                <w:bCs/>
                <w:color w:val="auto"/>
                <w:kern w:val="0"/>
                <w:sz w:val="21"/>
                <w:szCs w:val="21"/>
                <w:lang w:bidi="ar"/>
              </w:rPr>
              <w:t>产污工段</w:t>
            </w:r>
          </w:p>
        </w:tc>
        <w:tc>
          <w:tcPr>
            <w:tcW w:w="516" w:type="pct"/>
            <w:tcBorders>
              <w:tl2br w:val="nil"/>
              <w:tr2bl w:val="nil"/>
            </w:tcBorders>
            <w:vAlign w:val="center"/>
          </w:tcPr>
          <w:p w14:paraId="1DD6170B">
            <w:pPr>
              <w:widowControl/>
              <w:spacing w:line="240" w:lineRule="auto"/>
              <w:ind w:firstLine="0" w:firstLineChars="0"/>
              <w:jc w:val="center"/>
              <w:textAlignment w:val="center"/>
              <w:rPr>
                <w:b/>
                <w:bCs/>
                <w:color w:val="auto"/>
                <w:kern w:val="0"/>
                <w:sz w:val="21"/>
                <w:szCs w:val="21"/>
                <w:lang w:bidi="ar"/>
              </w:rPr>
            </w:pPr>
            <w:r>
              <w:rPr>
                <w:rFonts w:hint="eastAsia"/>
                <w:b/>
                <w:bCs/>
                <w:color w:val="auto"/>
                <w:kern w:val="0"/>
                <w:sz w:val="21"/>
                <w:szCs w:val="21"/>
                <w:lang w:bidi="ar"/>
              </w:rPr>
              <w:t>废水量（t/a）</w:t>
            </w:r>
          </w:p>
        </w:tc>
        <w:tc>
          <w:tcPr>
            <w:tcW w:w="516" w:type="pct"/>
            <w:tcBorders>
              <w:tl2br w:val="nil"/>
              <w:tr2bl w:val="nil"/>
            </w:tcBorders>
            <w:vAlign w:val="center"/>
          </w:tcPr>
          <w:p w14:paraId="1B87DEBC">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废水种类</w:t>
            </w:r>
          </w:p>
        </w:tc>
        <w:tc>
          <w:tcPr>
            <w:tcW w:w="792" w:type="pct"/>
            <w:tcBorders>
              <w:tl2br w:val="nil"/>
              <w:tr2bl w:val="nil"/>
            </w:tcBorders>
            <w:vAlign w:val="center"/>
          </w:tcPr>
          <w:p w14:paraId="1DCD46AE">
            <w:pPr>
              <w:widowControl/>
              <w:spacing w:line="240" w:lineRule="auto"/>
              <w:ind w:firstLine="0" w:firstLineChars="0"/>
              <w:jc w:val="center"/>
              <w:textAlignment w:val="center"/>
              <w:rPr>
                <w:b/>
                <w:bCs/>
                <w:color w:val="auto"/>
                <w:kern w:val="0"/>
                <w:sz w:val="21"/>
                <w:szCs w:val="21"/>
                <w:lang w:bidi="ar"/>
              </w:rPr>
            </w:pPr>
            <w:r>
              <w:rPr>
                <w:rFonts w:hint="eastAsia"/>
                <w:b/>
                <w:bCs/>
                <w:color w:val="auto"/>
                <w:kern w:val="0"/>
                <w:sz w:val="21"/>
                <w:szCs w:val="21"/>
                <w:lang w:bidi="ar"/>
              </w:rPr>
              <w:t>污染物</w:t>
            </w:r>
          </w:p>
        </w:tc>
        <w:tc>
          <w:tcPr>
            <w:tcW w:w="792" w:type="pct"/>
            <w:tcBorders>
              <w:tl2br w:val="nil"/>
              <w:tr2bl w:val="nil"/>
            </w:tcBorders>
            <w:vAlign w:val="center"/>
          </w:tcPr>
          <w:p w14:paraId="7B9ADCB3">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处理措施</w:t>
            </w:r>
          </w:p>
        </w:tc>
        <w:tc>
          <w:tcPr>
            <w:tcW w:w="534" w:type="pct"/>
            <w:tcBorders>
              <w:tl2br w:val="nil"/>
              <w:tr2bl w:val="nil"/>
            </w:tcBorders>
            <w:vAlign w:val="center"/>
          </w:tcPr>
          <w:p w14:paraId="63987AE1">
            <w:pPr>
              <w:widowControl/>
              <w:spacing w:line="240" w:lineRule="auto"/>
              <w:ind w:firstLine="0" w:firstLineChars="0"/>
              <w:jc w:val="center"/>
              <w:textAlignment w:val="center"/>
              <w:rPr>
                <w:b/>
                <w:bCs/>
                <w:color w:val="auto"/>
                <w:kern w:val="0"/>
                <w:sz w:val="21"/>
                <w:szCs w:val="21"/>
                <w:lang w:bidi="ar"/>
              </w:rPr>
            </w:pPr>
            <w:r>
              <w:rPr>
                <w:rFonts w:hint="eastAsia"/>
                <w:b/>
                <w:bCs/>
                <w:color w:val="auto"/>
                <w:kern w:val="0"/>
                <w:sz w:val="21"/>
                <w:szCs w:val="21"/>
                <w:lang w:bidi="ar"/>
              </w:rPr>
              <w:t>排放方式及去向</w:t>
            </w:r>
          </w:p>
        </w:tc>
        <w:tc>
          <w:tcPr>
            <w:tcW w:w="439" w:type="pct"/>
            <w:tcBorders>
              <w:tl2br w:val="nil"/>
              <w:tr2bl w:val="nil"/>
            </w:tcBorders>
            <w:vAlign w:val="center"/>
          </w:tcPr>
          <w:p w14:paraId="29D70E23">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排污口编号</w:t>
            </w:r>
          </w:p>
        </w:tc>
      </w:tr>
      <w:tr w14:paraId="397AB1C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033001CC">
            <w:pPr>
              <w:spacing w:line="240" w:lineRule="auto"/>
              <w:ind w:firstLine="0" w:firstLineChars="0"/>
              <w:jc w:val="center"/>
              <w:rPr>
                <w:color w:val="auto"/>
                <w:kern w:val="28"/>
                <w:sz w:val="21"/>
                <w:szCs w:val="32"/>
              </w:rPr>
            </w:pPr>
            <w:r>
              <w:rPr>
                <w:rFonts w:hint="eastAsia"/>
                <w:color w:val="auto"/>
                <w:kern w:val="28"/>
                <w:sz w:val="21"/>
                <w:szCs w:val="32"/>
              </w:rPr>
              <w:t>1</w:t>
            </w:r>
          </w:p>
        </w:tc>
        <w:tc>
          <w:tcPr>
            <w:tcW w:w="591" w:type="pct"/>
            <w:tcBorders>
              <w:tl2br w:val="nil"/>
              <w:tr2bl w:val="nil"/>
            </w:tcBorders>
            <w:vAlign w:val="center"/>
          </w:tcPr>
          <w:p w14:paraId="0FA0B83D">
            <w:pPr>
              <w:spacing w:line="240" w:lineRule="auto"/>
              <w:ind w:firstLine="0" w:firstLineChars="0"/>
              <w:jc w:val="center"/>
              <w:rPr>
                <w:color w:val="auto"/>
                <w:kern w:val="28"/>
                <w:sz w:val="21"/>
                <w:szCs w:val="32"/>
              </w:rPr>
            </w:pPr>
            <w:r>
              <w:rPr>
                <w:rFonts w:hint="eastAsia"/>
                <w:color w:val="auto"/>
                <w:kern w:val="28"/>
                <w:sz w:val="21"/>
                <w:szCs w:val="32"/>
              </w:rPr>
              <w:t>盐酸（硫酸）苯肼</w:t>
            </w:r>
          </w:p>
        </w:tc>
        <w:tc>
          <w:tcPr>
            <w:tcW w:w="576" w:type="pct"/>
            <w:tcBorders>
              <w:tl2br w:val="nil"/>
              <w:tr2bl w:val="nil"/>
            </w:tcBorders>
            <w:vAlign w:val="center"/>
          </w:tcPr>
          <w:p w14:paraId="069D402A">
            <w:pPr>
              <w:spacing w:line="240" w:lineRule="auto"/>
              <w:ind w:firstLine="0" w:firstLineChars="0"/>
              <w:jc w:val="center"/>
              <w:rPr>
                <w:color w:val="auto"/>
                <w:kern w:val="28"/>
                <w:sz w:val="21"/>
                <w:szCs w:val="32"/>
              </w:rPr>
            </w:pPr>
            <w:r>
              <w:rPr>
                <w:rFonts w:hint="eastAsia"/>
                <w:color w:val="auto"/>
                <w:kern w:val="28"/>
                <w:sz w:val="21"/>
                <w:szCs w:val="32"/>
              </w:rPr>
              <w:t>工艺废水</w:t>
            </w:r>
          </w:p>
        </w:tc>
        <w:tc>
          <w:tcPr>
            <w:tcW w:w="516" w:type="pct"/>
            <w:tcBorders>
              <w:tl2br w:val="nil"/>
              <w:tr2bl w:val="nil"/>
            </w:tcBorders>
            <w:vAlign w:val="center"/>
          </w:tcPr>
          <w:p w14:paraId="65FBFCAD">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3EAD9EEB">
            <w:pPr>
              <w:spacing w:line="240" w:lineRule="auto"/>
              <w:ind w:firstLine="0" w:firstLineChars="0"/>
              <w:jc w:val="center"/>
              <w:rPr>
                <w:color w:val="auto"/>
                <w:kern w:val="28"/>
                <w:sz w:val="21"/>
                <w:szCs w:val="32"/>
              </w:rPr>
            </w:pPr>
            <w:r>
              <w:rPr>
                <w:rFonts w:hint="eastAsia"/>
                <w:color w:val="auto"/>
                <w:kern w:val="28"/>
                <w:sz w:val="21"/>
                <w:szCs w:val="32"/>
              </w:rPr>
              <w:t>高盐高浓度废水</w:t>
            </w:r>
          </w:p>
        </w:tc>
        <w:tc>
          <w:tcPr>
            <w:tcW w:w="792" w:type="pct"/>
            <w:tcBorders>
              <w:tl2br w:val="nil"/>
              <w:tr2bl w:val="nil"/>
            </w:tcBorders>
            <w:vAlign w:val="center"/>
          </w:tcPr>
          <w:p w14:paraId="7B4C7B1B">
            <w:pPr>
              <w:spacing w:line="240" w:lineRule="auto"/>
              <w:ind w:firstLine="0" w:firstLineChars="0"/>
              <w:jc w:val="center"/>
              <w:rPr>
                <w:color w:val="auto"/>
                <w:kern w:val="28"/>
                <w:sz w:val="21"/>
                <w:szCs w:val="32"/>
              </w:rPr>
            </w:pPr>
            <w:r>
              <w:rPr>
                <w:rFonts w:hint="eastAsia"/>
                <w:color w:val="auto"/>
                <w:kern w:val="28"/>
                <w:sz w:val="21"/>
                <w:szCs w:val="32"/>
              </w:rPr>
              <w:t>COD、SS、苯肼</w:t>
            </w:r>
          </w:p>
        </w:tc>
        <w:tc>
          <w:tcPr>
            <w:tcW w:w="792" w:type="pct"/>
            <w:vMerge w:val="restart"/>
            <w:tcBorders>
              <w:tl2br w:val="nil"/>
              <w:tr2bl w:val="nil"/>
            </w:tcBorders>
            <w:vAlign w:val="center"/>
          </w:tcPr>
          <w:p w14:paraId="7497DE09">
            <w:pPr>
              <w:spacing w:line="240" w:lineRule="auto"/>
              <w:ind w:firstLine="0" w:firstLineChars="0"/>
              <w:jc w:val="center"/>
              <w:rPr>
                <w:color w:val="auto"/>
                <w:kern w:val="28"/>
                <w:sz w:val="21"/>
                <w:szCs w:val="32"/>
              </w:rPr>
            </w:pPr>
            <w:r>
              <w:rPr>
                <w:rFonts w:hint="eastAsia"/>
                <w:color w:val="auto"/>
                <w:kern w:val="28"/>
                <w:sz w:val="21"/>
                <w:szCs w:val="32"/>
              </w:rPr>
              <w:t>接入1#污水处理站，经“中和+树脂吸附+臭氧氧化治理”工艺处理</w:t>
            </w:r>
          </w:p>
        </w:tc>
        <w:tc>
          <w:tcPr>
            <w:tcW w:w="534" w:type="pct"/>
            <w:vMerge w:val="restart"/>
            <w:tcBorders>
              <w:tl2br w:val="nil"/>
              <w:tr2bl w:val="nil"/>
            </w:tcBorders>
            <w:vAlign w:val="center"/>
          </w:tcPr>
          <w:p w14:paraId="11851029">
            <w:pPr>
              <w:spacing w:line="240" w:lineRule="auto"/>
              <w:ind w:firstLine="0" w:firstLineChars="0"/>
              <w:jc w:val="center"/>
              <w:rPr>
                <w:color w:val="auto"/>
                <w:kern w:val="28"/>
                <w:sz w:val="21"/>
                <w:szCs w:val="32"/>
              </w:rPr>
            </w:pPr>
            <w:r>
              <w:rPr>
                <w:rFonts w:hint="eastAsia"/>
                <w:color w:val="auto"/>
                <w:kern w:val="28"/>
                <w:sz w:val="21"/>
                <w:szCs w:val="32"/>
              </w:rPr>
              <w:t>接管至联合环境水务（启东）有限公司集中处理，达标尾水排入长江启东段</w:t>
            </w:r>
          </w:p>
        </w:tc>
        <w:tc>
          <w:tcPr>
            <w:tcW w:w="439" w:type="pct"/>
            <w:vMerge w:val="restart"/>
            <w:tcBorders>
              <w:tl2br w:val="nil"/>
              <w:tr2bl w:val="nil"/>
            </w:tcBorders>
            <w:vAlign w:val="center"/>
          </w:tcPr>
          <w:p w14:paraId="18D3A8CD">
            <w:pPr>
              <w:spacing w:line="240" w:lineRule="auto"/>
              <w:ind w:firstLine="0" w:firstLineChars="0"/>
              <w:jc w:val="center"/>
              <w:rPr>
                <w:color w:val="auto"/>
                <w:kern w:val="28"/>
                <w:sz w:val="21"/>
                <w:szCs w:val="32"/>
              </w:rPr>
            </w:pPr>
            <w:r>
              <w:rPr>
                <w:rFonts w:hint="eastAsia"/>
                <w:color w:val="auto"/>
                <w:kern w:val="28"/>
                <w:sz w:val="21"/>
                <w:szCs w:val="32"/>
              </w:rPr>
              <w:t>DW001</w:t>
            </w:r>
          </w:p>
        </w:tc>
      </w:tr>
      <w:tr w14:paraId="7B8D11A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2FE6E89F">
            <w:pPr>
              <w:spacing w:line="240" w:lineRule="auto"/>
              <w:ind w:firstLine="0" w:firstLineChars="0"/>
              <w:jc w:val="center"/>
              <w:rPr>
                <w:color w:val="auto"/>
                <w:kern w:val="28"/>
                <w:sz w:val="21"/>
                <w:szCs w:val="32"/>
              </w:rPr>
            </w:pPr>
            <w:r>
              <w:rPr>
                <w:rFonts w:hint="eastAsia"/>
                <w:color w:val="auto"/>
                <w:kern w:val="28"/>
                <w:sz w:val="21"/>
                <w:szCs w:val="32"/>
              </w:rPr>
              <w:t>2</w:t>
            </w:r>
          </w:p>
        </w:tc>
        <w:tc>
          <w:tcPr>
            <w:tcW w:w="591" w:type="pct"/>
            <w:tcBorders>
              <w:tl2br w:val="nil"/>
              <w:tr2bl w:val="nil"/>
            </w:tcBorders>
            <w:vAlign w:val="center"/>
          </w:tcPr>
          <w:p w14:paraId="2DF7B76F">
            <w:pPr>
              <w:spacing w:line="240" w:lineRule="auto"/>
              <w:ind w:firstLine="0" w:firstLineChars="0"/>
              <w:jc w:val="center"/>
              <w:rPr>
                <w:color w:val="auto"/>
                <w:kern w:val="28"/>
                <w:sz w:val="21"/>
                <w:szCs w:val="32"/>
              </w:rPr>
            </w:pPr>
            <w:r>
              <w:rPr>
                <w:rFonts w:hint="eastAsia"/>
                <w:color w:val="auto"/>
                <w:kern w:val="28"/>
                <w:sz w:val="21"/>
                <w:szCs w:val="32"/>
              </w:rPr>
              <w:t>苯唑醇</w:t>
            </w:r>
          </w:p>
        </w:tc>
        <w:tc>
          <w:tcPr>
            <w:tcW w:w="576" w:type="pct"/>
            <w:tcBorders>
              <w:tl2br w:val="nil"/>
              <w:tr2bl w:val="nil"/>
            </w:tcBorders>
            <w:vAlign w:val="center"/>
          </w:tcPr>
          <w:p w14:paraId="7A022535">
            <w:pPr>
              <w:spacing w:line="240" w:lineRule="auto"/>
              <w:ind w:firstLine="0" w:firstLineChars="0"/>
              <w:jc w:val="center"/>
              <w:rPr>
                <w:color w:val="auto"/>
                <w:kern w:val="28"/>
                <w:sz w:val="21"/>
                <w:szCs w:val="32"/>
              </w:rPr>
            </w:pPr>
            <w:r>
              <w:rPr>
                <w:rFonts w:hint="eastAsia"/>
                <w:color w:val="auto"/>
                <w:kern w:val="28"/>
                <w:sz w:val="21"/>
                <w:szCs w:val="32"/>
              </w:rPr>
              <w:t>工艺废水</w:t>
            </w:r>
          </w:p>
        </w:tc>
        <w:tc>
          <w:tcPr>
            <w:tcW w:w="516" w:type="pct"/>
            <w:tcBorders>
              <w:tl2br w:val="nil"/>
              <w:tr2bl w:val="nil"/>
            </w:tcBorders>
            <w:vAlign w:val="center"/>
          </w:tcPr>
          <w:p w14:paraId="2985DA5D">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5D9C95CE">
            <w:pPr>
              <w:spacing w:line="240" w:lineRule="auto"/>
              <w:ind w:firstLine="0" w:firstLineChars="0"/>
              <w:jc w:val="center"/>
              <w:rPr>
                <w:color w:val="auto"/>
                <w:kern w:val="28"/>
                <w:sz w:val="21"/>
                <w:szCs w:val="32"/>
              </w:rPr>
            </w:pPr>
            <w:r>
              <w:rPr>
                <w:rFonts w:hint="eastAsia"/>
                <w:color w:val="auto"/>
                <w:kern w:val="28"/>
                <w:sz w:val="21"/>
                <w:szCs w:val="32"/>
              </w:rPr>
              <w:t>高盐高浓度废水</w:t>
            </w:r>
          </w:p>
        </w:tc>
        <w:tc>
          <w:tcPr>
            <w:tcW w:w="792" w:type="pct"/>
            <w:tcBorders>
              <w:tl2br w:val="nil"/>
              <w:tr2bl w:val="nil"/>
            </w:tcBorders>
            <w:vAlign w:val="center"/>
          </w:tcPr>
          <w:p w14:paraId="12F16BDF">
            <w:pPr>
              <w:spacing w:line="240" w:lineRule="auto"/>
              <w:ind w:firstLine="0" w:firstLineChars="0"/>
              <w:jc w:val="center"/>
              <w:rPr>
                <w:color w:val="auto"/>
                <w:kern w:val="28"/>
                <w:sz w:val="21"/>
                <w:szCs w:val="32"/>
              </w:rPr>
            </w:pPr>
            <w:r>
              <w:rPr>
                <w:rFonts w:hint="eastAsia"/>
                <w:color w:val="auto"/>
                <w:kern w:val="28"/>
                <w:sz w:val="21"/>
                <w:szCs w:val="32"/>
              </w:rPr>
              <w:t>COD、SS、氨氮、总氮、苯胺类</w:t>
            </w:r>
          </w:p>
        </w:tc>
        <w:tc>
          <w:tcPr>
            <w:tcW w:w="792" w:type="pct"/>
            <w:vMerge w:val="continue"/>
            <w:tcBorders>
              <w:tl2br w:val="nil"/>
              <w:tr2bl w:val="nil"/>
            </w:tcBorders>
            <w:vAlign w:val="center"/>
          </w:tcPr>
          <w:p w14:paraId="51C4A178">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0CB47A57">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04C33B8C">
            <w:pPr>
              <w:spacing w:line="240" w:lineRule="auto"/>
              <w:ind w:firstLine="0" w:firstLineChars="0"/>
              <w:jc w:val="center"/>
              <w:rPr>
                <w:color w:val="auto"/>
                <w:kern w:val="28"/>
                <w:sz w:val="21"/>
                <w:szCs w:val="32"/>
              </w:rPr>
            </w:pPr>
          </w:p>
        </w:tc>
      </w:tr>
      <w:tr w14:paraId="0A79051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4A47214A">
            <w:pPr>
              <w:spacing w:line="240" w:lineRule="auto"/>
              <w:ind w:firstLine="0" w:firstLineChars="0"/>
              <w:jc w:val="center"/>
              <w:rPr>
                <w:color w:val="auto"/>
                <w:kern w:val="28"/>
                <w:sz w:val="21"/>
                <w:szCs w:val="32"/>
              </w:rPr>
            </w:pPr>
            <w:r>
              <w:rPr>
                <w:rFonts w:hint="eastAsia"/>
                <w:color w:val="auto"/>
                <w:kern w:val="28"/>
                <w:sz w:val="21"/>
                <w:szCs w:val="32"/>
              </w:rPr>
              <w:t>3</w:t>
            </w:r>
          </w:p>
        </w:tc>
        <w:tc>
          <w:tcPr>
            <w:tcW w:w="591" w:type="pct"/>
            <w:tcBorders>
              <w:tl2br w:val="nil"/>
              <w:tr2bl w:val="nil"/>
            </w:tcBorders>
            <w:vAlign w:val="center"/>
          </w:tcPr>
          <w:p w14:paraId="56EF207F">
            <w:pPr>
              <w:spacing w:line="240" w:lineRule="auto"/>
              <w:ind w:firstLine="0" w:firstLineChars="0"/>
              <w:jc w:val="center"/>
              <w:rPr>
                <w:color w:val="auto"/>
                <w:kern w:val="28"/>
                <w:sz w:val="21"/>
                <w:szCs w:val="32"/>
              </w:rPr>
            </w:pPr>
            <w:r>
              <w:rPr>
                <w:rFonts w:hint="eastAsia"/>
                <w:color w:val="auto"/>
                <w:kern w:val="28"/>
                <w:sz w:val="21"/>
                <w:szCs w:val="32"/>
              </w:rPr>
              <w:t>苯肼</w:t>
            </w:r>
          </w:p>
        </w:tc>
        <w:tc>
          <w:tcPr>
            <w:tcW w:w="576" w:type="pct"/>
            <w:tcBorders>
              <w:tl2br w:val="nil"/>
              <w:tr2bl w:val="nil"/>
            </w:tcBorders>
            <w:vAlign w:val="center"/>
          </w:tcPr>
          <w:p w14:paraId="5DA6B225">
            <w:pPr>
              <w:spacing w:line="240" w:lineRule="auto"/>
              <w:ind w:firstLine="0" w:firstLineChars="0"/>
              <w:jc w:val="center"/>
              <w:rPr>
                <w:color w:val="auto"/>
                <w:kern w:val="28"/>
                <w:sz w:val="21"/>
                <w:szCs w:val="32"/>
              </w:rPr>
            </w:pPr>
            <w:r>
              <w:rPr>
                <w:rFonts w:hint="eastAsia"/>
                <w:color w:val="auto"/>
                <w:kern w:val="28"/>
                <w:sz w:val="21"/>
                <w:szCs w:val="32"/>
              </w:rPr>
              <w:t>工艺废水</w:t>
            </w:r>
          </w:p>
        </w:tc>
        <w:tc>
          <w:tcPr>
            <w:tcW w:w="516" w:type="pct"/>
            <w:tcBorders>
              <w:tl2br w:val="nil"/>
              <w:tr2bl w:val="nil"/>
            </w:tcBorders>
            <w:vAlign w:val="center"/>
          </w:tcPr>
          <w:p w14:paraId="7853DF9F">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2978429D">
            <w:pPr>
              <w:spacing w:line="240" w:lineRule="auto"/>
              <w:ind w:firstLine="0" w:firstLineChars="0"/>
              <w:jc w:val="center"/>
              <w:rPr>
                <w:color w:val="auto"/>
                <w:kern w:val="28"/>
                <w:sz w:val="21"/>
                <w:szCs w:val="32"/>
              </w:rPr>
            </w:pPr>
            <w:r>
              <w:rPr>
                <w:rFonts w:hint="eastAsia"/>
                <w:color w:val="auto"/>
                <w:kern w:val="28"/>
                <w:sz w:val="21"/>
                <w:szCs w:val="32"/>
              </w:rPr>
              <w:t>高盐高浓度废水</w:t>
            </w:r>
          </w:p>
        </w:tc>
        <w:tc>
          <w:tcPr>
            <w:tcW w:w="792" w:type="pct"/>
            <w:tcBorders>
              <w:tl2br w:val="nil"/>
              <w:tr2bl w:val="nil"/>
            </w:tcBorders>
            <w:vAlign w:val="center"/>
          </w:tcPr>
          <w:p w14:paraId="4D88ACC9">
            <w:pPr>
              <w:spacing w:line="240" w:lineRule="auto"/>
              <w:ind w:firstLine="0" w:firstLineChars="0"/>
              <w:jc w:val="center"/>
              <w:rPr>
                <w:color w:val="auto"/>
                <w:kern w:val="28"/>
                <w:sz w:val="21"/>
                <w:szCs w:val="32"/>
              </w:rPr>
            </w:pPr>
            <w:r>
              <w:rPr>
                <w:rFonts w:hint="eastAsia"/>
                <w:color w:val="auto"/>
                <w:kern w:val="28"/>
                <w:sz w:val="21"/>
                <w:szCs w:val="32"/>
              </w:rPr>
              <w:t>COD、SS、氨氮、总氮、盐分、苯胺类</w:t>
            </w:r>
          </w:p>
        </w:tc>
        <w:tc>
          <w:tcPr>
            <w:tcW w:w="792" w:type="pct"/>
            <w:vMerge w:val="continue"/>
            <w:tcBorders>
              <w:tl2br w:val="nil"/>
              <w:tr2bl w:val="nil"/>
            </w:tcBorders>
            <w:vAlign w:val="center"/>
          </w:tcPr>
          <w:p w14:paraId="155EB64C">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170EDE16">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6E6CDF9F">
            <w:pPr>
              <w:spacing w:line="240" w:lineRule="auto"/>
              <w:ind w:firstLine="0" w:firstLineChars="0"/>
              <w:jc w:val="center"/>
              <w:rPr>
                <w:color w:val="auto"/>
                <w:kern w:val="28"/>
                <w:sz w:val="21"/>
                <w:szCs w:val="32"/>
              </w:rPr>
            </w:pPr>
          </w:p>
        </w:tc>
      </w:tr>
      <w:tr w14:paraId="539D08E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238" w:type="pct"/>
            <w:tcBorders>
              <w:tl2br w:val="nil"/>
              <w:tr2bl w:val="nil"/>
            </w:tcBorders>
            <w:vAlign w:val="center"/>
          </w:tcPr>
          <w:p w14:paraId="78265EB7">
            <w:pPr>
              <w:spacing w:line="240" w:lineRule="auto"/>
              <w:ind w:firstLine="0" w:firstLineChars="0"/>
              <w:jc w:val="center"/>
              <w:rPr>
                <w:color w:val="auto"/>
                <w:kern w:val="28"/>
                <w:sz w:val="21"/>
                <w:szCs w:val="32"/>
              </w:rPr>
            </w:pPr>
            <w:r>
              <w:rPr>
                <w:rFonts w:hint="eastAsia"/>
                <w:color w:val="auto"/>
                <w:kern w:val="28"/>
                <w:sz w:val="21"/>
                <w:szCs w:val="32"/>
              </w:rPr>
              <w:t>4</w:t>
            </w:r>
          </w:p>
        </w:tc>
        <w:tc>
          <w:tcPr>
            <w:tcW w:w="591" w:type="pct"/>
            <w:tcBorders>
              <w:tl2br w:val="nil"/>
              <w:tr2bl w:val="nil"/>
            </w:tcBorders>
            <w:vAlign w:val="center"/>
          </w:tcPr>
          <w:p w14:paraId="06EF8E79">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2B8C230C">
            <w:pPr>
              <w:spacing w:line="240" w:lineRule="auto"/>
              <w:ind w:firstLine="0" w:firstLineChars="0"/>
              <w:jc w:val="center"/>
              <w:rPr>
                <w:color w:val="auto"/>
                <w:kern w:val="28"/>
                <w:sz w:val="21"/>
                <w:szCs w:val="32"/>
              </w:rPr>
            </w:pPr>
            <w:r>
              <w:rPr>
                <w:rFonts w:hint="eastAsia"/>
                <w:color w:val="auto"/>
                <w:kern w:val="28"/>
                <w:sz w:val="21"/>
                <w:szCs w:val="32"/>
              </w:rPr>
              <w:t>石膏清洗废水</w:t>
            </w:r>
          </w:p>
        </w:tc>
        <w:tc>
          <w:tcPr>
            <w:tcW w:w="516" w:type="pct"/>
            <w:tcBorders>
              <w:tl2br w:val="nil"/>
              <w:tr2bl w:val="nil"/>
            </w:tcBorders>
            <w:vAlign w:val="center"/>
          </w:tcPr>
          <w:p w14:paraId="2CF618F8">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5990B4E7">
            <w:pPr>
              <w:spacing w:line="240" w:lineRule="auto"/>
              <w:ind w:firstLine="0" w:firstLineChars="0"/>
              <w:jc w:val="center"/>
              <w:rPr>
                <w:color w:val="auto"/>
                <w:kern w:val="28"/>
                <w:sz w:val="21"/>
                <w:szCs w:val="32"/>
              </w:rPr>
            </w:pPr>
            <w:r>
              <w:rPr>
                <w:rFonts w:hint="eastAsia"/>
                <w:color w:val="auto"/>
                <w:kern w:val="28"/>
                <w:sz w:val="21"/>
                <w:szCs w:val="32"/>
              </w:rPr>
              <w:t>高盐高浓度废水</w:t>
            </w:r>
          </w:p>
        </w:tc>
        <w:tc>
          <w:tcPr>
            <w:tcW w:w="792" w:type="pct"/>
            <w:tcBorders>
              <w:tl2br w:val="nil"/>
              <w:tr2bl w:val="nil"/>
            </w:tcBorders>
            <w:vAlign w:val="center"/>
          </w:tcPr>
          <w:p w14:paraId="557AEEE7">
            <w:pPr>
              <w:spacing w:line="240" w:lineRule="auto"/>
              <w:ind w:firstLine="0" w:firstLineChars="0"/>
              <w:jc w:val="center"/>
              <w:rPr>
                <w:color w:val="auto"/>
                <w:kern w:val="28"/>
                <w:sz w:val="21"/>
                <w:szCs w:val="32"/>
              </w:rPr>
            </w:pPr>
            <w:r>
              <w:rPr>
                <w:rFonts w:hint="eastAsia"/>
                <w:color w:val="auto"/>
                <w:kern w:val="28"/>
                <w:sz w:val="21"/>
                <w:szCs w:val="32"/>
              </w:rPr>
              <w:t>COD、SS、氨氮、总氮、苯胺类</w:t>
            </w:r>
          </w:p>
        </w:tc>
        <w:tc>
          <w:tcPr>
            <w:tcW w:w="792" w:type="pct"/>
            <w:vMerge w:val="restart"/>
            <w:tcBorders>
              <w:tl2br w:val="nil"/>
              <w:tr2bl w:val="nil"/>
            </w:tcBorders>
            <w:vAlign w:val="center"/>
          </w:tcPr>
          <w:p w14:paraId="41991BD2">
            <w:pPr>
              <w:spacing w:line="240" w:lineRule="auto"/>
              <w:ind w:firstLine="0" w:firstLineChars="0"/>
              <w:jc w:val="center"/>
              <w:rPr>
                <w:color w:val="auto"/>
                <w:kern w:val="28"/>
                <w:sz w:val="21"/>
                <w:szCs w:val="32"/>
              </w:rPr>
            </w:pPr>
            <w:r>
              <w:rPr>
                <w:rFonts w:hint="eastAsia"/>
                <w:color w:val="auto"/>
                <w:kern w:val="28"/>
                <w:sz w:val="21"/>
                <w:szCs w:val="32"/>
              </w:rPr>
              <w:t>接入现有1#污水处理站经“臭氧氧化”工艺处理</w:t>
            </w:r>
          </w:p>
        </w:tc>
        <w:tc>
          <w:tcPr>
            <w:tcW w:w="534" w:type="pct"/>
            <w:vMerge w:val="continue"/>
            <w:tcBorders>
              <w:tl2br w:val="nil"/>
              <w:tr2bl w:val="nil"/>
            </w:tcBorders>
            <w:vAlign w:val="center"/>
          </w:tcPr>
          <w:p w14:paraId="2B5CE886">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29514957">
            <w:pPr>
              <w:spacing w:line="240" w:lineRule="auto"/>
              <w:ind w:firstLine="0" w:firstLineChars="0"/>
              <w:jc w:val="center"/>
              <w:rPr>
                <w:color w:val="auto"/>
                <w:kern w:val="28"/>
                <w:sz w:val="21"/>
                <w:szCs w:val="32"/>
              </w:rPr>
            </w:pPr>
          </w:p>
        </w:tc>
      </w:tr>
      <w:tr w14:paraId="2DADA55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238" w:type="pct"/>
            <w:tcBorders>
              <w:tl2br w:val="nil"/>
              <w:tr2bl w:val="nil"/>
            </w:tcBorders>
            <w:vAlign w:val="center"/>
          </w:tcPr>
          <w:p w14:paraId="5716D381">
            <w:pPr>
              <w:spacing w:line="240" w:lineRule="auto"/>
              <w:ind w:firstLine="0" w:firstLineChars="0"/>
              <w:jc w:val="center"/>
              <w:rPr>
                <w:color w:val="auto"/>
                <w:kern w:val="28"/>
                <w:sz w:val="21"/>
                <w:szCs w:val="32"/>
              </w:rPr>
            </w:pPr>
            <w:r>
              <w:rPr>
                <w:rFonts w:hint="eastAsia"/>
                <w:color w:val="auto"/>
                <w:kern w:val="28"/>
                <w:sz w:val="21"/>
                <w:szCs w:val="32"/>
              </w:rPr>
              <w:t>5</w:t>
            </w:r>
          </w:p>
        </w:tc>
        <w:tc>
          <w:tcPr>
            <w:tcW w:w="591" w:type="pct"/>
            <w:tcBorders>
              <w:tl2br w:val="nil"/>
              <w:tr2bl w:val="nil"/>
            </w:tcBorders>
            <w:vAlign w:val="center"/>
          </w:tcPr>
          <w:p w14:paraId="0C155A23">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52AFBFFD">
            <w:pPr>
              <w:spacing w:line="240" w:lineRule="auto"/>
              <w:ind w:firstLine="0" w:firstLineChars="0"/>
              <w:jc w:val="center"/>
              <w:rPr>
                <w:color w:val="auto"/>
                <w:kern w:val="28"/>
                <w:sz w:val="21"/>
                <w:szCs w:val="32"/>
              </w:rPr>
            </w:pPr>
            <w:r>
              <w:rPr>
                <w:rFonts w:hint="eastAsia"/>
                <w:color w:val="auto"/>
                <w:kern w:val="28"/>
                <w:sz w:val="21"/>
                <w:szCs w:val="32"/>
              </w:rPr>
              <w:t>废气处理废水</w:t>
            </w:r>
          </w:p>
        </w:tc>
        <w:tc>
          <w:tcPr>
            <w:tcW w:w="516" w:type="pct"/>
            <w:tcBorders>
              <w:tl2br w:val="nil"/>
              <w:tr2bl w:val="nil"/>
            </w:tcBorders>
            <w:vAlign w:val="center"/>
          </w:tcPr>
          <w:p w14:paraId="69625B68">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5706DFFE">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12C74D13">
            <w:pPr>
              <w:spacing w:line="240" w:lineRule="auto"/>
              <w:ind w:firstLine="0" w:firstLineChars="0"/>
              <w:jc w:val="center"/>
              <w:rPr>
                <w:color w:val="auto"/>
                <w:kern w:val="28"/>
                <w:sz w:val="21"/>
                <w:szCs w:val="32"/>
              </w:rPr>
            </w:pPr>
            <w:r>
              <w:rPr>
                <w:rFonts w:hint="eastAsia"/>
                <w:color w:val="auto"/>
                <w:kern w:val="28"/>
                <w:sz w:val="21"/>
                <w:szCs w:val="32"/>
              </w:rPr>
              <w:t>COD、SS、氨氮、总氮、总磷、盐分</w:t>
            </w:r>
          </w:p>
        </w:tc>
        <w:tc>
          <w:tcPr>
            <w:tcW w:w="792" w:type="pct"/>
            <w:vMerge w:val="continue"/>
            <w:tcBorders>
              <w:tl2br w:val="nil"/>
              <w:tr2bl w:val="nil"/>
            </w:tcBorders>
            <w:vAlign w:val="center"/>
          </w:tcPr>
          <w:p w14:paraId="3E84557C">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420BFAF2">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4E648AE3">
            <w:pPr>
              <w:spacing w:line="240" w:lineRule="auto"/>
              <w:ind w:firstLine="0" w:firstLineChars="0"/>
              <w:jc w:val="center"/>
              <w:rPr>
                <w:color w:val="auto"/>
                <w:kern w:val="28"/>
                <w:sz w:val="21"/>
                <w:szCs w:val="32"/>
              </w:rPr>
            </w:pPr>
          </w:p>
        </w:tc>
      </w:tr>
      <w:tr w14:paraId="324E7DE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20E2EB65">
            <w:pPr>
              <w:spacing w:line="240" w:lineRule="auto"/>
              <w:ind w:firstLine="0" w:firstLineChars="0"/>
              <w:jc w:val="center"/>
              <w:rPr>
                <w:color w:val="auto"/>
                <w:kern w:val="28"/>
                <w:sz w:val="21"/>
                <w:szCs w:val="32"/>
              </w:rPr>
            </w:pPr>
            <w:r>
              <w:rPr>
                <w:rFonts w:hint="eastAsia"/>
                <w:color w:val="auto"/>
                <w:kern w:val="28"/>
                <w:sz w:val="21"/>
                <w:szCs w:val="32"/>
              </w:rPr>
              <w:t>6</w:t>
            </w:r>
          </w:p>
        </w:tc>
        <w:tc>
          <w:tcPr>
            <w:tcW w:w="591" w:type="pct"/>
            <w:tcBorders>
              <w:tl2br w:val="nil"/>
              <w:tr2bl w:val="nil"/>
            </w:tcBorders>
            <w:vAlign w:val="center"/>
          </w:tcPr>
          <w:p w14:paraId="4DF96920">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77B8567F">
            <w:pPr>
              <w:spacing w:line="240" w:lineRule="auto"/>
              <w:ind w:firstLine="0" w:firstLineChars="0"/>
              <w:jc w:val="center"/>
              <w:rPr>
                <w:color w:val="auto"/>
                <w:kern w:val="28"/>
                <w:sz w:val="21"/>
                <w:szCs w:val="32"/>
              </w:rPr>
            </w:pPr>
            <w:r>
              <w:rPr>
                <w:rFonts w:hint="eastAsia"/>
                <w:color w:val="auto"/>
                <w:kern w:val="28"/>
                <w:sz w:val="21"/>
                <w:szCs w:val="32"/>
              </w:rPr>
              <w:t>真空泵废水</w:t>
            </w:r>
          </w:p>
        </w:tc>
        <w:tc>
          <w:tcPr>
            <w:tcW w:w="516" w:type="pct"/>
            <w:tcBorders>
              <w:tl2br w:val="nil"/>
              <w:tr2bl w:val="nil"/>
            </w:tcBorders>
            <w:vAlign w:val="center"/>
          </w:tcPr>
          <w:p w14:paraId="26DDB73B">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2655B240">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528AEFC6">
            <w:pPr>
              <w:spacing w:line="240" w:lineRule="auto"/>
              <w:ind w:firstLine="0" w:firstLineChars="0"/>
              <w:jc w:val="center"/>
              <w:rPr>
                <w:color w:val="auto"/>
                <w:kern w:val="28"/>
                <w:sz w:val="21"/>
                <w:szCs w:val="32"/>
              </w:rPr>
            </w:pPr>
            <w:r>
              <w:rPr>
                <w:rFonts w:hint="eastAsia"/>
                <w:color w:val="auto"/>
                <w:kern w:val="28"/>
                <w:sz w:val="21"/>
                <w:szCs w:val="32"/>
              </w:rPr>
              <w:t>COD、SS、氨氮、总氮、总磷</w:t>
            </w:r>
          </w:p>
        </w:tc>
        <w:tc>
          <w:tcPr>
            <w:tcW w:w="792" w:type="pct"/>
            <w:vMerge w:val="continue"/>
            <w:tcBorders>
              <w:tl2br w:val="nil"/>
              <w:tr2bl w:val="nil"/>
            </w:tcBorders>
            <w:vAlign w:val="center"/>
          </w:tcPr>
          <w:p w14:paraId="4F18D5D6">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2B56B354">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2E6010E3">
            <w:pPr>
              <w:spacing w:line="240" w:lineRule="auto"/>
              <w:ind w:firstLine="0" w:firstLineChars="0"/>
              <w:jc w:val="center"/>
              <w:rPr>
                <w:color w:val="auto"/>
                <w:kern w:val="28"/>
                <w:sz w:val="21"/>
                <w:szCs w:val="32"/>
              </w:rPr>
            </w:pPr>
          </w:p>
        </w:tc>
      </w:tr>
      <w:tr w14:paraId="244BD19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2A4248A3">
            <w:pPr>
              <w:spacing w:line="240" w:lineRule="auto"/>
              <w:ind w:firstLine="0" w:firstLineChars="0"/>
              <w:jc w:val="center"/>
              <w:rPr>
                <w:color w:val="auto"/>
                <w:kern w:val="28"/>
                <w:sz w:val="21"/>
                <w:szCs w:val="32"/>
              </w:rPr>
            </w:pPr>
            <w:r>
              <w:rPr>
                <w:rFonts w:hint="eastAsia"/>
                <w:color w:val="auto"/>
                <w:kern w:val="28"/>
                <w:sz w:val="21"/>
                <w:szCs w:val="32"/>
              </w:rPr>
              <w:t>7</w:t>
            </w:r>
          </w:p>
        </w:tc>
        <w:tc>
          <w:tcPr>
            <w:tcW w:w="591" w:type="pct"/>
            <w:tcBorders>
              <w:tl2br w:val="nil"/>
              <w:tr2bl w:val="nil"/>
            </w:tcBorders>
            <w:vAlign w:val="center"/>
          </w:tcPr>
          <w:p w14:paraId="52B891D3">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0AB9A847">
            <w:pPr>
              <w:spacing w:line="240" w:lineRule="auto"/>
              <w:ind w:firstLine="0" w:firstLineChars="0"/>
              <w:jc w:val="center"/>
              <w:rPr>
                <w:color w:val="auto"/>
                <w:kern w:val="28"/>
                <w:sz w:val="21"/>
                <w:szCs w:val="32"/>
              </w:rPr>
            </w:pPr>
            <w:r>
              <w:rPr>
                <w:rFonts w:hint="eastAsia"/>
                <w:color w:val="auto"/>
                <w:kern w:val="28"/>
                <w:sz w:val="21"/>
                <w:szCs w:val="32"/>
              </w:rPr>
              <w:t>生活污水</w:t>
            </w:r>
          </w:p>
        </w:tc>
        <w:tc>
          <w:tcPr>
            <w:tcW w:w="516" w:type="pct"/>
            <w:tcBorders>
              <w:tl2br w:val="nil"/>
              <w:tr2bl w:val="nil"/>
            </w:tcBorders>
            <w:vAlign w:val="center"/>
          </w:tcPr>
          <w:p w14:paraId="1987A407">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7C64DB8D">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21D594E9">
            <w:pPr>
              <w:spacing w:line="240" w:lineRule="auto"/>
              <w:ind w:firstLine="0" w:firstLineChars="0"/>
              <w:jc w:val="center"/>
              <w:rPr>
                <w:color w:val="auto"/>
                <w:kern w:val="28"/>
                <w:sz w:val="21"/>
                <w:szCs w:val="32"/>
              </w:rPr>
            </w:pPr>
            <w:r>
              <w:rPr>
                <w:rFonts w:hint="eastAsia"/>
                <w:color w:val="auto"/>
                <w:kern w:val="28"/>
                <w:sz w:val="21"/>
                <w:szCs w:val="32"/>
              </w:rPr>
              <w:t>COD、SS、氨氮、总氮、总磷</w:t>
            </w:r>
          </w:p>
        </w:tc>
        <w:tc>
          <w:tcPr>
            <w:tcW w:w="792" w:type="pct"/>
            <w:vMerge w:val="continue"/>
            <w:tcBorders>
              <w:tl2br w:val="nil"/>
              <w:tr2bl w:val="nil"/>
            </w:tcBorders>
            <w:vAlign w:val="center"/>
          </w:tcPr>
          <w:p w14:paraId="08C98E13">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1BC4ADB5">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1F16FB82">
            <w:pPr>
              <w:spacing w:line="240" w:lineRule="auto"/>
              <w:ind w:firstLine="0" w:firstLineChars="0"/>
              <w:jc w:val="center"/>
              <w:rPr>
                <w:color w:val="auto"/>
                <w:kern w:val="28"/>
                <w:sz w:val="21"/>
                <w:szCs w:val="32"/>
              </w:rPr>
            </w:pPr>
          </w:p>
        </w:tc>
      </w:tr>
      <w:tr w14:paraId="48BB09F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1A9829A1">
            <w:pPr>
              <w:spacing w:line="240" w:lineRule="auto"/>
              <w:ind w:firstLine="0" w:firstLineChars="0"/>
              <w:jc w:val="center"/>
              <w:rPr>
                <w:color w:val="auto"/>
                <w:kern w:val="28"/>
                <w:sz w:val="21"/>
                <w:szCs w:val="32"/>
              </w:rPr>
            </w:pPr>
            <w:r>
              <w:rPr>
                <w:rFonts w:hint="eastAsia"/>
                <w:color w:val="auto"/>
                <w:kern w:val="28"/>
                <w:sz w:val="21"/>
                <w:szCs w:val="32"/>
              </w:rPr>
              <w:t>8</w:t>
            </w:r>
          </w:p>
        </w:tc>
        <w:tc>
          <w:tcPr>
            <w:tcW w:w="591" w:type="pct"/>
            <w:tcBorders>
              <w:tl2br w:val="nil"/>
              <w:tr2bl w:val="nil"/>
            </w:tcBorders>
            <w:vAlign w:val="center"/>
          </w:tcPr>
          <w:p w14:paraId="438A4503">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2BF9146C">
            <w:pPr>
              <w:spacing w:line="240" w:lineRule="auto"/>
              <w:ind w:firstLine="0" w:firstLineChars="0"/>
              <w:jc w:val="center"/>
              <w:rPr>
                <w:color w:val="auto"/>
                <w:kern w:val="28"/>
                <w:sz w:val="21"/>
                <w:szCs w:val="32"/>
              </w:rPr>
            </w:pPr>
            <w:r>
              <w:rPr>
                <w:rFonts w:hint="eastAsia"/>
                <w:color w:val="auto"/>
                <w:kern w:val="28"/>
                <w:sz w:val="21"/>
                <w:szCs w:val="32"/>
              </w:rPr>
              <w:t>机泵冷却废水</w:t>
            </w:r>
          </w:p>
        </w:tc>
        <w:tc>
          <w:tcPr>
            <w:tcW w:w="516" w:type="pct"/>
            <w:tcBorders>
              <w:tl2br w:val="nil"/>
              <w:tr2bl w:val="nil"/>
            </w:tcBorders>
            <w:vAlign w:val="center"/>
          </w:tcPr>
          <w:p w14:paraId="1F916889">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161CEC69">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56B23255">
            <w:pPr>
              <w:spacing w:line="240" w:lineRule="auto"/>
              <w:ind w:firstLine="0" w:firstLineChars="0"/>
              <w:jc w:val="center"/>
              <w:rPr>
                <w:color w:val="auto"/>
                <w:kern w:val="28"/>
                <w:sz w:val="21"/>
                <w:szCs w:val="32"/>
              </w:rPr>
            </w:pPr>
            <w:r>
              <w:rPr>
                <w:rFonts w:hint="eastAsia"/>
                <w:color w:val="auto"/>
                <w:kern w:val="28"/>
                <w:sz w:val="21"/>
                <w:szCs w:val="32"/>
              </w:rPr>
              <w:t>COD、SS、石油类</w:t>
            </w:r>
          </w:p>
        </w:tc>
        <w:tc>
          <w:tcPr>
            <w:tcW w:w="792" w:type="pct"/>
            <w:vMerge w:val="continue"/>
            <w:tcBorders>
              <w:tl2br w:val="nil"/>
              <w:tr2bl w:val="nil"/>
            </w:tcBorders>
            <w:vAlign w:val="center"/>
          </w:tcPr>
          <w:p w14:paraId="46BB28AA">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78448A23">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2552C93F">
            <w:pPr>
              <w:spacing w:line="240" w:lineRule="auto"/>
              <w:ind w:firstLine="0" w:firstLineChars="0"/>
              <w:jc w:val="center"/>
              <w:rPr>
                <w:color w:val="auto"/>
                <w:kern w:val="28"/>
                <w:sz w:val="21"/>
                <w:szCs w:val="32"/>
              </w:rPr>
            </w:pPr>
          </w:p>
        </w:tc>
      </w:tr>
      <w:tr w14:paraId="6B397B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238" w:type="pct"/>
            <w:tcBorders>
              <w:tl2br w:val="nil"/>
              <w:tr2bl w:val="nil"/>
            </w:tcBorders>
            <w:vAlign w:val="center"/>
          </w:tcPr>
          <w:p w14:paraId="3996D5EB">
            <w:pPr>
              <w:spacing w:line="240" w:lineRule="auto"/>
              <w:ind w:firstLine="0" w:firstLineChars="0"/>
              <w:jc w:val="center"/>
              <w:rPr>
                <w:color w:val="auto"/>
                <w:kern w:val="28"/>
                <w:sz w:val="21"/>
                <w:szCs w:val="32"/>
              </w:rPr>
            </w:pPr>
            <w:r>
              <w:rPr>
                <w:rFonts w:hint="eastAsia"/>
                <w:color w:val="auto"/>
                <w:kern w:val="28"/>
                <w:sz w:val="21"/>
                <w:szCs w:val="32"/>
              </w:rPr>
              <w:t>9</w:t>
            </w:r>
          </w:p>
        </w:tc>
        <w:tc>
          <w:tcPr>
            <w:tcW w:w="591" w:type="pct"/>
            <w:tcBorders>
              <w:tl2br w:val="nil"/>
              <w:tr2bl w:val="nil"/>
            </w:tcBorders>
            <w:vAlign w:val="center"/>
          </w:tcPr>
          <w:p w14:paraId="6184C78E">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113D95AC">
            <w:pPr>
              <w:spacing w:line="240" w:lineRule="auto"/>
              <w:ind w:firstLine="0" w:firstLineChars="0"/>
              <w:jc w:val="center"/>
              <w:rPr>
                <w:color w:val="auto"/>
                <w:kern w:val="28"/>
                <w:sz w:val="21"/>
                <w:szCs w:val="32"/>
              </w:rPr>
            </w:pPr>
            <w:r>
              <w:rPr>
                <w:rFonts w:hint="eastAsia"/>
                <w:color w:val="auto"/>
                <w:kern w:val="28"/>
                <w:sz w:val="21"/>
                <w:szCs w:val="32"/>
              </w:rPr>
              <w:t>车间地面冲洗废水</w:t>
            </w:r>
          </w:p>
        </w:tc>
        <w:tc>
          <w:tcPr>
            <w:tcW w:w="516" w:type="pct"/>
            <w:tcBorders>
              <w:tl2br w:val="nil"/>
              <w:tr2bl w:val="nil"/>
            </w:tcBorders>
            <w:vAlign w:val="center"/>
          </w:tcPr>
          <w:p w14:paraId="2AFA8687">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4D5D9A06">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476B10F0">
            <w:pPr>
              <w:spacing w:line="240" w:lineRule="auto"/>
              <w:ind w:firstLine="0" w:firstLineChars="0"/>
              <w:jc w:val="center"/>
              <w:rPr>
                <w:color w:val="auto"/>
                <w:kern w:val="28"/>
                <w:sz w:val="21"/>
                <w:szCs w:val="32"/>
              </w:rPr>
            </w:pPr>
            <w:r>
              <w:rPr>
                <w:rFonts w:hint="eastAsia"/>
                <w:color w:val="auto"/>
                <w:kern w:val="28"/>
                <w:sz w:val="21"/>
                <w:szCs w:val="32"/>
              </w:rPr>
              <w:t>COD、SS、石油类</w:t>
            </w:r>
          </w:p>
        </w:tc>
        <w:tc>
          <w:tcPr>
            <w:tcW w:w="792" w:type="pct"/>
            <w:vMerge w:val="continue"/>
            <w:tcBorders>
              <w:tl2br w:val="nil"/>
              <w:tr2bl w:val="nil"/>
            </w:tcBorders>
            <w:vAlign w:val="center"/>
          </w:tcPr>
          <w:p w14:paraId="3A2BE90C">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4C89B23B">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15BB067C">
            <w:pPr>
              <w:spacing w:line="240" w:lineRule="auto"/>
              <w:ind w:firstLine="0" w:firstLineChars="0"/>
              <w:jc w:val="center"/>
              <w:rPr>
                <w:color w:val="auto"/>
                <w:kern w:val="28"/>
                <w:sz w:val="21"/>
                <w:szCs w:val="32"/>
              </w:rPr>
            </w:pPr>
          </w:p>
        </w:tc>
      </w:tr>
      <w:tr w14:paraId="514A29C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7545A51B">
            <w:pPr>
              <w:spacing w:line="240" w:lineRule="auto"/>
              <w:ind w:firstLine="0" w:firstLineChars="0"/>
              <w:jc w:val="center"/>
              <w:rPr>
                <w:color w:val="auto"/>
                <w:kern w:val="28"/>
                <w:sz w:val="21"/>
                <w:szCs w:val="32"/>
              </w:rPr>
            </w:pPr>
            <w:r>
              <w:rPr>
                <w:rFonts w:hint="eastAsia"/>
                <w:color w:val="auto"/>
                <w:kern w:val="28"/>
                <w:sz w:val="21"/>
                <w:szCs w:val="32"/>
              </w:rPr>
              <w:t>10</w:t>
            </w:r>
          </w:p>
        </w:tc>
        <w:tc>
          <w:tcPr>
            <w:tcW w:w="591" w:type="pct"/>
            <w:tcBorders>
              <w:tl2br w:val="nil"/>
              <w:tr2bl w:val="nil"/>
            </w:tcBorders>
            <w:vAlign w:val="center"/>
          </w:tcPr>
          <w:p w14:paraId="6E2C5B1D">
            <w:pPr>
              <w:spacing w:line="240" w:lineRule="auto"/>
              <w:ind w:firstLine="0" w:firstLineChars="0"/>
              <w:jc w:val="center"/>
              <w:rPr>
                <w:color w:val="auto"/>
                <w:kern w:val="28"/>
                <w:sz w:val="21"/>
                <w:szCs w:val="32"/>
              </w:rPr>
            </w:pPr>
            <w:r>
              <w:rPr>
                <w:rFonts w:hint="eastAsia"/>
                <w:color w:val="auto"/>
                <w:kern w:val="28"/>
                <w:sz w:val="21"/>
                <w:szCs w:val="32"/>
              </w:rPr>
              <w:t>硫代硫酸钠</w:t>
            </w:r>
          </w:p>
        </w:tc>
        <w:tc>
          <w:tcPr>
            <w:tcW w:w="576" w:type="pct"/>
            <w:tcBorders>
              <w:tl2br w:val="nil"/>
              <w:tr2bl w:val="nil"/>
            </w:tcBorders>
            <w:vAlign w:val="center"/>
          </w:tcPr>
          <w:p w14:paraId="43B35993">
            <w:pPr>
              <w:spacing w:line="240" w:lineRule="auto"/>
              <w:ind w:firstLine="0" w:firstLineChars="0"/>
              <w:jc w:val="center"/>
              <w:rPr>
                <w:color w:val="auto"/>
                <w:kern w:val="28"/>
                <w:sz w:val="21"/>
                <w:szCs w:val="32"/>
              </w:rPr>
            </w:pPr>
            <w:r>
              <w:rPr>
                <w:rFonts w:hint="eastAsia"/>
                <w:color w:val="auto"/>
                <w:kern w:val="28"/>
                <w:sz w:val="21"/>
                <w:szCs w:val="32"/>
              </w:rPr>
              <w:t>硫代硫酸钠工艺废水</w:t>
            </w:r>
          </w:p>
        </w:tc>
        <w:tc>
          <w:tcPr>
            <w:tcW w:w="516" w:type="pct"/>
            <w:tcBorders>
              <w:tl2br w:val="nil"/>
              <w:tr2bl w:val="nil"/>
            </w:tcBorders>
            <w:vAlign w:val="center"/>
          </w:tcPr>
          <w:p w14:paraId="319FF544">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49A26936">
            <w:pPr>
              <w:spacing w:line="240" w:lineRule="auto"/>
              <w:ind w:firstLine="0" w:firstLineChars="0"/>
              <w:jc w:val="center"/>
              <w:rPr>
                <w:color w:val="auto"/>
                <w:kern w:val="28"/>
                <w:sz w:val="21"/>
                <w:szCs w:val="32"/>
              </w:rPr>
            </w:pPr>
            <w:r>
              <w:rPr>
                <w:rFonts w:hint="eastAsia"/>
                <w:color w:val="auto"/>
                <w:kern w:val="28"/>
                <w:sz w:val="21"/>
                <w:szCs w:val="32"/>
              </w:rPr>
              <w:t>高盐废水</w:t>
            </w:r>
          </w:p>
        </w:tc>
        <w:tc>
          <w:tcPr>
            <w:tcW w:w="792" w:type="pct"/>
            <w:tcBorders>
              <w:tl2br w:val="nil"/>
              <w:tr2bl w:val="nil"/>
            </w:tcBorders>
            <w:vAlign w:val="center"/>
          </w:tcPr>
          <w:p w14:paraId="5260B512">
            <w:pPr>
              <w:spacing w:line="240" w:lineRule="auto"/>
              <w:ind w:firstLine="0" w:firstLineChars="0"/>
              <w:jc w:val="center"/>
              <w:rPr>
                <w:color w:val="auto"/>
                <w:kern w:val="28"/>
                <w:sz w:val="21"/>
                <w:szCs w:val="32"/>
              </w:rPr>
            </w:pPr>
            <w:r>
              <w:rPr>
                <w:rFonts w:hint="eastAsia"/>
                <w:color w:val="auto"/>
                <w:kern w:val="28"/>
                <w:sz w:val="21"/>
                <w:szCs w:val="32"/>
              </w:rPr>
              <w:t>COD、SS、盐分</w:t>
            </w:r>
          </w:p>
        </w:tc>
        <w:tc>
          <w:tcPr>
            <w:tcW w:w="792" w:type="pct"/>
            <w:vMerge w:val="restart"/>
            <w:tcBorders>
              <w:tl2br w:val="nil"/>
              <w:tr2bl w:val="nil"/>
            </w:tcBorders>
            <w:vAlign w:val="center"/>
          </w:tcPr>
          <w:p w14:paraId="04406FC3">
            <w:pPr>
              <w:spacing w:line="240" w:lineRule="auto"/>
              <w:ind w:firstLine="0" w:firstLineChars="0"/>
              <w:jc w:val="center"/>
              <w:rPr>
                <w:color w:val="auto"/>
                <w:kern w:val="28"/>
                <w:sz w:val="21"/>
                <w:szCs w:val="32"/>
              </w:rPr>
            </w:pPr>
            <w:r>
              <w:rPr>
                <w:rFonts w:hint="eastAsia"/>
                <w:color w:val="auto"/>
                <w:kern w:val="28"/>
                <w:sz w:val="21"/>
                <w:szCs w:val="32"/>
              </w:rPr>
              <w:t>接入在建2#废水处理站，经“AO生化+混凝沉淀+臭氧催化氧化”工艺处理</w:t>
            </w:r>
          </w:p>
        </w:tc>
        <w:tc>
          <w:tcPr>
            <w:tcW w:w="534" w:type="pct"/>
            <w:vMerge w:val="continue"/>
            <w:tcBorders>
              <w:tl2br w:val="nil"/>
              <w:tr2bl w:val="nil"/>
            </w:tcBorders>
            <w:vAlign w:val="center"/>
          </w:tcPr>
          <w:p w14:paraId="4633C98B">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044852BD">
            <w:pPr>
              <w:spacing w:line="240" w:lineRule="auto"/>
              <w:ind w:firstLine="0" w:firstLineChars="0"/>
              <w:jc w:val="center"/>
              <w:rPr>
                <w:color w:val="auto"/>
                <w:kern w:val="28"/>
                <w:sz w:val="21"/>
                <w:szCs w:val="32"/>
              </w:rPr>
            </w:pPr>
          </w:p>
        </w:tc>
      </w:tr>
      <w:tr w14:paraId="5C5BE4C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20631767">
            <w:pPr>
              <w:spacing w:line="240" w:lineRule="auto"/>
              <w:ind w:firstLine="0" w:firstLineChars="0"/>
              <w:jc w:val="center"/>
              <w:rPr>
                <w:color w:val="auto"/>
                <w:kern w:val="28"/>
                <w:sz w:val="21"/>
                <w:szCs w:val="32"/>
              </w:rPr>
            </w:pPr>
            <w:r>
              <w:rPr>
                <w:rFonts w:hint="eastAsia"/>
                <w:color w:val="auto"/>
                <w:kern w:val="28"/>
                <w:sz w:val="21"/>
                <w:szCs w:val="32"/>
              </w:rPr>
              <w:t>11</w:t>
            </w:r>
          </w:p>
        </w:tc>
        <w:tc>
          <w:tcPr>
            <w:tcW w:w="591" w:type="pct"/>
            <w:tcBorders>
              <w:tl2br w:val="nil"/>
              <w:tr2bl w:val="nil"/>
            </w:tcBorders>
            <w:vAlign w:val="center"/>
          </w:tcPr>
          <w:p w14:paraId="17859273">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4B8E9F18">
            <w:pPr>
              <w:spacing w:line="240" w:lineRule="auto"/>
              <w:ind w:firstLine="0" w:firstLineChars="0"/>
              <w:jc w:val="center"/>
              <w:rPr>
                <w:color w:val="auto"/>
                <w:kern w:val="28"/>
                <w:sz w:val="21"/>
                <w:szCs w:val="32"/>
              </w:rPr>
            </w:pPr>
            <w:r>
              <w:rPr>
                <w:rFonts w:hint="eastAsia"/>
                <w:color w:val="auto"/>
                <w:kern w:val="28"/>
                <w:sz w:val="21"/>
                <w:szCs w:val="32"/>
              </w:rPr>
              <w:t>在建项目新增车间地面冲洗废水</w:t>
            </w:r>
          </w:p>
        </w:tc>
        <w:tc>
          <w:tcPr>
            <w:tcW w:w="516" w:type="pct"/>
            <w:tcBorders>
              <w:tl2br w:val="nil"/>
              <w:tr2bl w:val="nil"/>
            </w:tcBorders>
            <w:vAlign w:val="center"/>
          </w:tcPr>
          <w:p w14:paraId="77C4DAC1">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0072BC3E">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027A85D7">
            <w:pPr>
              <w:spacing w:line="240" w:lineRule="auto"/>
              <w:ind w:firstLine="0" w:firstLineChars="0"/>
              <w:jc w:val="center"/>
              <w:rPr>
                <w:color w:val="auto"/>
                <w:kern w:val="28"/>
                <w:sz w:val="21"/>
                <w:szCs w:val="32"/>
              </w:rPr>
            </w:pPr>
            <w:r>
              <w:rPr>
                <w:rFonts w:hint="eastAsia"/>
                <w:color w:val="auto"/>
                <w:kern w:val="28"/>
                <w:sz w:val="21"/>
                <w:szCs w:val="32"/>
              </w:rPr>
              <w:t>COD、SS、石油类</w:t>
            </w:r>
          </w:p>
        </w:tc>
        <w:tc>
          <w:tcPr>
            <w:tcW w:w="792" w:type="pct"/>
            <w:vMerge w:val="continue"/>
            <w:tcBorders>
              <w:tl2br w:val="nil"/>
              <w:tr2bl w:val="nil"/>
            </w:tcBorders>
            <w:vAlign w:val="center"/>
          </w:tcPr>
          <w:p w14:paraId="3171DFC1">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19465535">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5A574C3E">
            <w:pPr>
              <w:spacing w:line="240" w:lineRule="auto"/>
              <w:ind w:firstLine="0" w:firstLineChars="0"/>
              <w:jc w:val="center"/>
              <w:rPr>
                <w:color w:val="auto"/>
                <w:kern w:val="28"/>
                <w:sz w:val="21"/>
                <w:szCs w:val="32"/>
              </w:rPr>
            </w:pPr>
          </w:p>
        </w:tc>
      </w:tr>
      <w:tr w14:paraId="2465BC1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238" w:type="pct"/>
            <w:tcBorders>
              <w:tl2br w:val="nil"/>
              <w:tr2bl w:val="nil"/>
            </w:tcBorders>
            <w:vAlign w:val="center"/>
          </w:tcPr>
          <w:p w14:paraId="0E655AA2">
            <w:pPr>
              <w:spacing w:line="240" w:lineRule="auto"/>
              <w:ind w:firstLine="0" w:firstLineChars="0"/>
              <w:jc w:val="center"/>
              <w:rPr>
                <w:color w:val="auto"/>
                <w:kern w:val="28"/>
                <w:sz w:val="21"/>
                <w:szCs w:val="32"/>
              </w:rPr>
            </w:pPr>
            <w:r>
              <w:rPr>
                <w:rFonts w:hint="eastAsia"/>
                <w:color w:val="auto"/>
                <w:kern w:val="28"/>
                <w:sz w:val="21"/>
                <w:szCs w:val="32"/>
              </w:rPr>
              <w:t>12</w:t>
            </w:r>
          </w:p>
        </w:tc>
        <w:tc>
          <w:tcPr>
            <w:tcW w:w="591" w:type="pct"/>
            <w:tcBorders>
              <w:tl2br w:val="nil"/>
              <w:tr2bl w:val="nil"/>
            </w:tcBorders>
            <w:vAlign w:val="center"/>
          </w:tcPr>
          <w:p w14:paraId="710A0298">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50C5CD41">
            <w:pPr>
              <w:spacing w:line="240" w:lineRule="auto"/>
              <w:ind w:firstLine="0" w:firstLineChars="0"/>
              <w:jc w:val="center"/>
              <w:rPr>
                <w:color w:val="auto"/>
                <w:kern w:val="28"/>
                <w:sz w:val="21"/>
                <w:szCs w:val="32"/>
              </w:rPr>
            </w:pPr>
            <w:r>
              <w:rPr>
                <w:rFonts w:hint="eastAsia"/>
                <w:color w:val="auto"/>
                <w:kern w:val="28"/>
                <w:sz w:val="21"/>
                <w:szCs w:val="32"/>
              </w:rPr>
              <w:t>在建项目新增设备清洗废水</w:t>
            </w:r>
          </w:p>
        </w:tc>
        <w:tc>
          <w:tcPr>
            <w:tcW w:w="516" w:type="pct"/>
            <w:tcBorders>
              <w:tl2br w:val="nil"/>
              <w:tr2bl w:val="nil"/>
            </w:tcBorders>
            <w:vAlign w:val="center"/>
          </w:tcPr>
          <w:p w14:paraId="085A195C">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0E0EF74C">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7875A35E">
            <w:pPr>
              <w:spacing w:line="240" w:lineRule="auto"/>
              <w:ind w:firstLine="0" w:firstLineChars="0"/>
              <w:jc w:val="center"/>
              <w:rPr>
                <w:color w:val="auto"/>
                <w:kern w:val="28"/>
                <w:sz w:val="21"/>
                <w:szCs w:val="32"/>
              </w:rPr>
            </w:pPr>
            <w:r>
              <w:rPr>
                <w:rFonts w:hint="eastAsia"/>
                <w:color w:val="auto"/>
                <w:kern w:val="28"/>
                <w:sz w:val="21"/>
                <w:szCs w:val="32"/>
              </w:rPr>
              <w:t>COD、SS、氨氮、总氮、总磷、盐分</w:t>
            </w:r>
          </w:p>
        </w:tc>
        <w:tc>
          <w:tcPr>
            <w:tcW w:w="792" w:type="pct"/>
            <w:vMerge w:val="continue"/>
            <w:tcBorders>
              <w:tl2br w:val="nil"/>
              <w:tr2bl w:val="nil"/>
            </w:tcBorders>
            <w:vAlign w:val="center"/>
          </w:tcPr>
          <w:p w14:paraId="0FB97809">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61579E3E">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4111353D">
            <w:pPr>
              <w:spacing w:line="240" w:lineRule="auto"/>
              <w:ind w:firstLine="0" w:firstLineChars="0"/>
              <w:jc w:val="center"/>
              <w:rPr>
                <w:color w:val="auto"/>
                <w:kern w:val="28"/>
                <w:sz w:val="21"/>
                <w:szCs w:val="32"/>
              </w:rPr>
            </w:pPr>
          </w:p>
        </w:tc>
      </w:tr>
      <w:tr w14:paraId="03C5DD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3FF39CAA">
            <w:pPr>
              <w:spacing w:line="240" w:lineRule="auto"/>
              <w:ind w:firstLine="0" w:firstLineChars="0"/>
              <w:jc w:val="center"/>
              <w:rPr>
                <w:color w:val="auto"/>
                <w:kern w:val="28"/>
                <w:sz w:val="21"/>
                <w:szCs w:val="32"/>
              </w:rPr>
            </w:pPr>
            <w:r>
              <w:rPr>
                <w:rFonts w:hint="eastAsia"/>
                <w:color w:val="auto"/>
                <w:kern w:val="28"/>
                <w:sz w:val="21"/>
                <w:szCs w:val="32"/>
              </w:rPr>
              <w:t>13</w:t>
            </w:r>
          </w:p>
        </w:tc>
        <w:tc>
          <w:tcPr>
            <w:tcW w:w="591" w:type="pct"/>
            <w:tcBorders>
              <w:tl2br w:val="nil"/>
              <w:tr2bl w:val="nil"/>
            </w:tcBorders>
            <w:vAlign w:val="center"/>
          </w:tcPr>
          <w:p w14:paraId="6242112C">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377228EB">
            <w:pPr>
              <w:spacing w:line="240" w:lineRule="auto"/>
              <w:ind w:firstLine="0" w:firstLineChars="0"/>
              <w:jc w:val="center"/>
              <w:rPr>
                <w:color w:val="auto"/>
                <w:kern w:val="28"/>
                <w:sz w:val="21"/>
                <w:szCs w:val="32"/>
              </w:rPr>
            </w:pPr>
            <w:r>
              <w:rPr>
                <w:rFonts w:hint="eastAsia"/>
                <w:color w:val="auto"/>
                <w:kern w:val="28"/>
                <w:sz w:val="21"/>
                <w:szCs w:val="32"/>
              </w:rPr>
              <w:t>在建项目新增废气处理废水</w:t>
            </w:r>
          </w:p>
        </w:tc>
        <w:tc>
          <w:tcPr>
            <w:tcW w:w="516" w:type="pct"/>
            <w:tcBorders>
              <w:tl2br w:val="nil"/>
              <w:tr2bl w:val="nil"/>
            </w:tcBorders>
            <w:vAlign w:val="center"/>
          </w:tcPr>
          <w:p w14:paraId="31CFE6E3">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6341A5C7">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1206E8EE">
            <w:pPr>
              <w:spacing w:line="240" w:lineRule="auto"/>
              <w:ind w:firstLine="0" w:firstLineChars="0"/>
              <w:jc w:val="center"/>
              <w:rPr>
                <w:color w:val="auto"/>
                <w:kern w:val="28"/>
                <w:sz w:val="21"/>
                <w:szCs w:val="32"/>
              </w:rPr>
            </w:pPr>
            <w:r>
              <w:rPr>
                <w:rFonts w:hint="eastAsia"/>
                <w:color w:val="auto"/>
                <w:kern w:val="28"/>
                <w:sz w:val="21"/>
                <w:szCs w:val="32"/>
              </w:rPr>
              <w:t>COD、SS、氨氮、总氮、总磷、盐分</w:t>
            </w:r>
          </w:p>
        </w:tc>
        <w:tc>
          <w:tcPr>
            <w:tcW w:w="792" w:type="pct"/>
            <w:vMerge w:val="continue"/>
            <w:tcBorders>
              <w:tl2br w:val="nil"/>
              <w:tr2bl w:val="nil"/>
            </w:tcBorders>
            <w:vAlign w:val="center"/>
          </w:tcPr>
          <w:p w14:paraId="1F54C958">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2989C0B0">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42545658">
            <w:pPr>
              <w:spacing w:line="240" w:lineRule="auto"/>
              <w:ind w:firstLine="0" w:firstLineChars="0"/>
              <w:jc w:val="center"/>
              <w:rPr>
                <w:color w:val="auto"/>
                <w:kern w:val="28"/>
                <w:sz w:val="21"/>
                <w:szCs w:val="32"/>
              </w:rPr>
            </w:pPr>
          </w:p>
        </w:tc>
      </w:tr>
      <w:tr w14:paraId="053982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3B8F1E61">
            <w:pPr>
              <w:spacing w:line="240" w:lineRule="auto"/>
              <w:ind w:firstLine="0" w:firstLineChars="0"/>
              <w:jc w:val="center"/>
              <w:rPr>
                <w:color w:val="auto"/>
                <w:kern w:val="28"/>
                <w:sz w:val="21"/>
                <w:szCs w:val="32"/>
              </w:rPr>
            </w:pPr>
            <w:r>
              <w:rPr>
                <w:rFonts w:hint="eastAsia"/>
                <w:color w:val="auto"/>
                <w:kern w:val="28"/>
                <w:sz w:val="21"/>
                <w:szCs w:val="32"/>
              </w:rPr>
              <w:t>14</w:t>
            </w:r>
          </w:p>
        </w:tc>
        <w:tc>
          <w:tcPr>
            <w:tcW w:w="591" w:type="pct"/>
            <w:tcBorders>
              <w:tl2br w:val="nil"/>
              <w:tr2bl w:val="nil"/>
            </w:tcBorders>
            <w:vAlign w:val="center"/>
          </w:tcPr>
          <w:p w14:paraId="107BCB7E">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1A07F019">
            <w:pPr>
              <w:spacing w:line="240" w:lineRule="auto"/>
              <w:ind w:firstLine="0" w:firstLineChars="0"/>
              <w:jc w:val="center"/>
              <w:rPr>
                <w:color w:val="auto"/>
                <w:kern w:val="28"/>
                <w:sz w:val="21"/>
                <w:szCs w:val="32"/>
              </w:rPr>
            </w:pPr>
            <w:r>
              <w:rPr>
                <w:rFonts w:hint="eastAsia"/>
                <w:color w:val="auto"/>
                <w:kern w:val="28"/>
                <w:sz w:val="21"/>
                <w:szCs w:val="32"/>
              </w:rPr>
              <w:t>在建项目新增真空泵废水</w:t>
            </w:r>
          </w:p>
        </w:tc>
        <w:tc>
          <w:tcPr>
            <w:tcW w:w="516" w:type="pct"/>
            <w:tcBorders>
              <w:tl2br w:val="nil"/>
              <w:tr2bl w:val="nil"/>
            </w:tcBorders>
            <w:vAlign w:val="center"/>
          </w:tcPr>
          <w:p w14:paraId="18ADE7A6">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795B4D29">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34C56D61">
            <w:pPr>
              <w:spacing w:line="240" w:lineRule="auto"/>
              <w:ind w:firstLine="0" w:firstLineChars="0"/>
              <w:jc w:val="center"/>
              <w:rPr>
                <w:color w:val="auto"/>
                <w:kern w:val="28"/>
                <w:sz w:val="21"/>
                <w:szCs w:val="32"/>
              </w:rPr>
            </w:pPr>
            <w:r>
              <w:rPr>
                <w:rFonts w:hint="eastAsia"/>
                <w:color w:val="auto"/>
                <w:kern w:val="28"/>
                <w:sz w:val="21"/>
                <w:szCs w:val="32"/>
              </w:rPr>
              <w:t>COD、SS、氨氮、总氮、总磷</w:t>
            </w:r>
          </w:p>
        </w:tc>
        <w:tc>
          <w:tcPr>
            <w:tcW w:w="792" w:type="pct"/>
            <w:vMerge w:val="continue"/>
            <w:tcBorders>
              <w:tl2br w:val="nil"/>
              <w:tr2bl w:val="nil"/>
            </w:tcBorders>
            <w:vAlign w:val="center"/>
          </w:tcPr>
          <w:p w14:paraId="28049700">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38CF5F78">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0723A0F1">
            <w:pPr>
              <w:spacing w:line="240" w:lineRule="auto"/>
              <w:ind w:firstLine="0" w:firstLineChars="0"/>
              <w:jc w:val="center"/>
              <w:rPr>
                <w:color w:val="auto"/>
                <w:kern w:val="28"/>
                <w:sz w:val="21"/>
                <w:szCs w:val="32"/>
              </w:rPr>
            </w:pPr>
          </w:p>
        </w:tc>
      </w:tr>
      <w:tr w14:paraId="6AED9DA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5B8C776F">
            <w:pPr>
              <w:spacing w:line="240" w:lineRule="auto"/>
              <w:ind w:firstLine="0" w:firstLineChars="0"/>
              <w:jc w:val="center"/>
              <w:rPr>
                <w:color w:val="auto"/>
                <w:kern w:val="28"/>
                <w:sz w:val="21"/>
                <w:szCs w:val="32"/>
              </w:rPr>
            </w:pPr>
            <w:r>
              <w:rPr>
                <w:rFonts w:hint="eastAsia"/>
                <w:color w:val="auto"/>
                <w:kern w:val="28"/>
                <w:sz w:val="21"/>
                <w:szCs w:val="32"/>
              </w:rPr>
              <w:t>15</w:t>
            </w:r>
          </w:p>
        </w:tc>
        <w:tc>
          <w:tcPr>
            <w:tcW w:w="591" w:type="pct"/>
            <w:tcBorders>
              <w:tl2br w:val="nil"/>
              <w:tr2bl w:val="nil"/>
            </w:tcBorders>
            <w:vAlign w:val="center"/>
          </w:tcPr>
          <w:p w14:paraId="367AA7D6">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6E6D42CB">
            <w:pPr>
              <w:spacing w:line="240" w:lineRule="auto"/>
              <w:ind w:firstLine="0" w:firstLineChars="0"/>
              <w:jc w:val="center"/>
              <w:rPr>
                <w:color w:val="auto"/>
                <w:kern w:val="28"/>
                <w:sz w:val="21"/>
                <w:szCs w:val="32"/>
              </w:rPr>
            </w:pPr>
            <w:r>
              <w:rPr>
                <w:rFonts w:hint="eastAsia"/>
                <w:color w:val="auto"/>
                <w:kern w:val="28"/>
                <w:sz w:val="21"/>
                <w:szCs w:val="32"/>
              </w:rPr>
              <w:t>全厂初期雨水</w:t>
            </w:r>
          </w:p>
        </w:tc>
        <w:tc>
          <w:tcPr>
            <w:tcW w:w="516" w:type="pct"/>
            <w:tcBorders>
              <w:tl2br w:val="nil"/>
              <w:tr2bl w:val="nil"/>
            </w:tcBorders>
            <w:vAlign w:val="center"/>
          </w:tcPr>
          <w:p w14:paraId="4886E795">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59C67900">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3B8DE3E9">
            <w:pPr>
              <w:spacing w:line="240" w:lineRule="auto"/>
              <w:ind w:firstLine="0" w:firstLineChars="0"/>
              <w:jc w:val="center"/>
              <w:rPr>
                <w:color w:val="auto"/>
                <w:kern w:val="28"/>
                <w:sz w:val="21"/>
                <w:szCs w:val="32"/>
              </w:rPr>
            </w:pPr>
            <w:r>
              <w:rPr>
                <w:rFonts w:hint="eastAsia"/>
                <w:color w:val="auto"/>
                <w:kern w:val="28"/>
                <w:sz w:val="21"/>
                <w:szCs w:val="32"/>
              </w:rPr>
              <w:t>COD、SS、氨氮、总氮、总磷、石油类</w:t>
            </w:r>
          </w:p>
        </w:tc>
        <w:tc>
          <w:tcPr>
            <w:tcW w:w="792" w:type="pct"/>
            <w:vMerge w:val="continue"/>
            <w:tcBorders>
              <w:tl2br w:val="nil"/>
              <w:tr2bl w:val="nil"/>
            </w:tcBorders>
            <w:vAlign w:val="center"/>
          </w:tcPr>
          <w:p w14:paraId="59C57E53">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3C0126ED">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126660A9">
            <w:pPr>
              <w:spacing w:line="240" w:lineRule="auto"/>
              <w:ind w:firstLine="0" w:firstLineChars="0"/>
              <w:jc w:val="center"/>
              <w:rPr>
                <w:color w:val="auto"/>
                <w:kern w:val="28"/>
                <w:sz w:val="21"/>
                <w:szCs w:val="32"/>
              </w:rPr>
            </w:pPr>
          </w:p>
        </w:tc>
      </w:tr>
      <w:tr w14:paraId="2B9A04A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238" w:type="pct"/>
            <w:tcBorders>
              <w:tl2br w:val="nil"/>
              <w:tr2bl w:val="nil"/>
            </w:tcBorders>
            <w:vAlign w:val="center"/>
          </w:tcPr>
          <w:p w14:paraId="0410828C">
            <w:pPr>
              <w:spacing w:line="240" w:lineRule="auto"/>
              <w:ind w:firstLine="0" w:firstLineChars="0"/>
              <w:jc w:val="center"/>
              <w:rPr>
                <w:color w:val="auto"/>
                <w:kern w:val="28"/>
                <w:sz w:val="21"/>
                <w:szCs w:val="32"/>
              </w:rPr>
            </w:pPr>
            <w:r>
              <w:rPr>
                <w:rFonts w:hint="eastAsia"/>
                <w:color w:val="auto"/>
                <w:kern w:val="28"/>
                <w:sz w:val="21"/>
                <w:szCs w:val="32"/>
              </w:rPr>
              <w:t>16</w:t>
            </w:r>
          </w:p>
        </w:tc>
        <w:tc>
          <w:tcPr>
            <w:tcW w:w="591" w:type="pct"/>
            <w:tcBorders>
              <w:tl2br w:val="nil"/>
              <w:tr2bl w:val="nil"/>
            </w:tcBorders>
            <w:vAlign w:val="center"/>
          </w:tcPr>
          <w:p w14:paraId="4778FC27">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74ED650B">
            <w:pPr>
              <w:spacing w:line="240" w:lineRule="auto"/>
              <w:ind w:firstLine="0" w:firstLineChars="0"/>
              <w:jc w:val="center"/>
              <w:rPr>
                <w:color w:val="auto"/>
                <w:kern w:val="28"/>
                <w:sz w:val="21"/>
                <w:szCs w:val="32"/>
              </w:rPr>
            </w:pPr>
            <w:r>
              <w:rPr>
                <w:rFonts w:hint="eastAsia"/>
                <w:color w:val="auto"/>
                <w:kern w:val="28"/>
                <w:sz w:val="21"/>
                <w:szCs w:val="32"/>
              </w:rPr>
              <w:t>在建项目新增生活污水</w:t>
            </w:r>
          </w:p>
        </w:tc>
        <w:tc>
          <w:tcPr>
            <w:tcW w:w="516" w:type="pct"/>
            <w:tcBorders>
              <w:tl2br w:val="nil"/>
              <w:tr2bl w:val="nil"/>
            </w:tcBorders>
            <w:vAlign w:val="center"/>
          </w:tcPr>
          <w:p w14:paraId="40D66BE7">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3B3F34AC">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5DDC0E04">
            <w:pPr>
              <w:spacing w:line="240" w:lineRule="auto"/>
              <w:ind w:firstLine="0" w:firstLineChars="0"/>
              <w:jc w:val="center"/>
              <w:rPr>
                <w:color w:val="auto"/>
                <w:kern w:val="28"/>
                <w:sz w:val="21"/>
                <w:szCs w:val="32"/>
              </w:rPr>
            </w:pPr>
            <w:r>
              <w:rPr>
                <w:rFonts w:hint="eastAsia"/>
                <w:color w:val="auto"/>
                <w:kern w:val="28"/>
                <w:sz w:val="21"/>
                <w:szCs w:val="32"/>
              </w:rPr>
              <w:t>COD、SS、氨氮、总氮、总磷</w:t>
            </w:r>
          </w:p>
        </w:tc>
        <w:tc>
          <w:tcPr>
            <w:tcW w:w="792" w:type="pct"/>
            <w:vMerge w:val="continue"/>
            <w:tcBorders>
              <w:tl2br w:val="nil"/>
              <w:tr2bl w:val="nil"/>
            </w:tcBorders>
            <w:vAlign w:val="center"/>
          </w:tcPr>
          <w:p w14:paraId="67DD9155">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332E2234">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45E12749">
            <w:pPr>
              <w:spacing w:line="240" w:lineRule="auto"/>
              <w:ind w:firstLine="0" w:firstLineChars="0"/>
              <w:jc w:val="center"/>
              <w:rPr>
                <w:color w:val="auto"/>
                <w:kern w:val="28"/>
                <w:sz w:val="21"/>
                <w:szCs w:val="32"/>
              </w:rPr>
            </w:pPr>
          </w:p>
        </w:tc>
      </w:tr>
      <w:tr w14:paraId="464864C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1DFBA1E9">
            <w:pPr>
              <w:spacing w:line="240" w:lineRule="auto"/>
              <w:ind w:firstLine="0" w:firstLineChars="0"/>
              <w:jc w:val="center"/>
              <w:rPr>
                <w:color w:val="auto"/>
                <w:kern w:val="28"/>
                <w:sz w:val="21"/>
                <w:szCs w:val="32"/>
              </w:rPr>
            </w:pPr>
            <w:r>
              <w:rPr>
                <w:rFonts w:hint="eastAsia"/>
                <w:color w:val="auto"/>
                <w:kern w:val="28"/>
                <w:sz w:val="21"/>
                <w:szCs w:val="32"/>
              </w:rPr>
              <w:t>17</w:t>
            </w:r>
          </w:p>
        </w:tc>
        <w:tc>
          <w:tcPr>
            <w:tcW w:w="591" w:type="pct"/>
            <w:tcBorders>
              <w:tl2br w:val="nil"/>
              <w:tr2bl w:val="nil"/>
            </w:tcBorders>
            <w:vAlign w:val="center"/>
          </w:tcPr>
          <w:p w14:paraId="5EFD6AB0">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7BF5113C">
            <w:pPr>
              <w:spacing w:line="240" w:lineRule="auto"/>
              <w:ind w:firstLine="0" w:firstLineChars="0"/>
              <w:jc w:val="center"/>
              <w:rPr>
                <w:color w:val="auto"/>
                <w:kern w:val="28"/>
                <w:sz w:val="21"/>
                <w:szCs w:val="32"/>
              </w:rPr>
            </w:pPr>
            <w:r>
              <w:rPr>
                <w:rFonts w:hint="eastAsia"/>
                <w:color w:val="auto"/>
                <w:kern w:val="28"/>
                <w:sz w:val="21"/>
                <w:szCs w:val="32"/>
              </w:rPr>
              <w:t>全厂实验室废水</w:t>
            </w:r>
          </w:p>
        </w:tc>
        <w:tc>
          <w:tcPr>
            <w:tcW w:w="516" w:type="pct"/>
            <w:tcBorders>
              <w:tl2br w:val="nil"/>
              <w:tr2bl w:val="nil"/>
            </w:tcBorders>
            <w:vAlign w:val="center"/>
          </w:tcPr>
          <w:p w14:paraId="5278FF9D">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49EFF073">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744B0541">
            <w:pPr>
              <w:spacing w:line="240" w:lineRule="auto"/>
              <w:ind w:firstLine="0" w:firstLineChars="0"/>
              <w:jc w:val="center"/>
              <w:rPr>
                <w:color w:val="auto"/>
                <w:kern w:val="28"/>
                <w:sz w:val="21"/>
                <w:szCs w:val="32"/>
              </w:rPr>
            </w:pPr>
            <w:r>
              <w:rPr>
                <w:rFonts w:hint="eastAsia"/>
                <w:color w:val="auto"/>
                <w:kern w:val="28"/>
                <w:sz w:val="21"/>
                <w:szCs w:val="32"/>
              </w:rPr>
              <w:t>COD、SS、氨氮、总氮、总磷</w:t>
            </w:r>
          </w:p>
        </w:tc>
        <w:tc>
          <w:tcPr>
            <w:tcW w:w="792" w:type="pct"/>
            <w:vMerge w:val="continue"/>
            <w:tcBorders>
              <w:tl2br w:val="nil"/>
              <w:tr2bl w:val="nil"/>
            </w:tcBorders>
            <w:vAlign w:val="center"/>
          </w:tcPr>
          <w:p w14:paraId="33B716C9">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2D393856">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727B29F9">
            <w:pPr>
              <w:spacing w:line="240" w:lineRule="auto"/>
              <w:ind w:firstLine="0" w:firstLineChars="0"/>
              <w:jc w:val="center"/>
              <w:rPr>
                <w:color w:val="auto"/>
                <w:kern w:val="28"/>
                <w:sz w:val="21"/>
                <w:szCs w:val="32"/>
              </w:rPr>
            </w:pPr>
          </w:p>
        </w:tc>
      </w:tr>
      <w:tr w14:paraId="0D34D7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41353C96">
            <w:pPr>
              <w:spacing w:line="240" w:lineRule="auto"/>
              <w:ind w:firstLine="0" w:firstLineChars="0"/>
              <w:jc w:val="center"/>
              <w:rPr>
                <w:color w:val="auto"/>
                <w:kern w:val="28"/>
                <w:sz w:val="21"/>
                <w:szCs w:val="32"/>
              </w:rPr>
            </w:pPr>
            <w:r>
              <w:rPr>
                <w:rFonts w:hint="eastAsia"/>
                <w:color w:val="auto"/>
                <w:kern w:val="28"/>
                <w:sz w:val="21"/>
                <w:szCs w:val="32"/>
              </w:rPr>
              <w:t>18</w:t>
            </w:r>
          </w:p>
        </w:tc>
        <w:tc>
          <w:tcPr>
            <w:tcW w:w="591" w:type="pct"/>
            <w:tcBorders>
              <w:tl2br w:val="nil"/>
              <w:tr2bl w:val="nil"/>
            </w:tcBorders>
            <w:vAlign w:val="center"/>
          </w:tcPr>
          <w:p w14:paraId="0012842C">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14C882FA">
            <w:pPr>
              <w:spacing w:line="240" w:lineRule="auto"/>
              <w:ind w:firstLine="0" w:firstLineChars="0"/>
              <w:jc w:val="center"/>
              <w:rPr>
                <w:color w:val="auto"/>
                <w:kern w:val="28"/>
                <w:sz w:val="21"/>
                <w:szCs w:val="32"/>
              </w:rPr>
            </w:pPr>
            <w:r>
              <w:rPr>
                <w:rFonts w:hint="eastAsia"/>
                <w:color w:val="auto"/>
                <w:kern w:val="28"/>
                <w:sz w:val="21"/>
                <w:szCs w:val="32"/>
              </w:rPr>
              <w:t>全厂空压机废水</w:t>
            </w:r>
          </w:p>
        </w:tc>
        <w:tc>
          <w:tcPr>
            <w:tcW w:w="516" w:type="pct"/>
            <w:tcBorders>
              <w:tl2br w:val="nil"/>
              <w:tr2bl w:val="nil"/>
            </w:tcBorders>
            <w:vAlign w:val="center"/>
          </w:tcPr>
          <w:p w14:paraId="2FDB3BF0">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39DC21E4">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28CD7041">
            <w:pPr>
              <w:spacing w:line="240" w:lineRule="auto"/>
              <w:ind w:firstLine="0" w:firstLineChars="0"/>
              <w:jc w:val="center"/>
              <w:rPr>
                <w:color w:val="auto"/>
                <w:kern w:val="28"/>
                <w:sz w:val="21"/>
                <w:szCs w:val="32"/>
              </w:rPr>
            </w:pPr>
            <w:r>
              <w:rPr>
                <w:rFonts w:hint="eastAsia"/>
                <w:color w:val="auto"/>
                <w:kern w:val="28"/>
                <w:sz w:val="21"/>
                <w:szCs w:val="32"/>
              </w:rPr>
              <w:t>COD、SS、石油类</w:t>
            </w:r>
          </w:p>
        </w:tc>
        <w:tc>
          <w:tcPr>
            <w:tcW w:w="792" w:type="pct"/>
            <w:vMerge w:val="continue"/>
            <w:tcBorders>
              <w:tl2br w:val="nil"/>
              <w:tr2bl w:val="nil"/>
            </w:tcBorders>
            <w:vAlign w:val="center"/>
          </w:tcPr>
          <w:p w14:paraId="0879F52A">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62C85D54">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2ED61944">
            <w:pPr>
              <w:spacing w:line="240" w:lineRule="auto"/>
              <w:ind w:firstLine="0" w:firstLineChars="0"/>
              <w:jc w:val="center"/>
              <w:rPr>
                <w:color w:val="auto"/>
                <w:kern w:val="28"/>
                <w:sz w:val="21"/>
                <w:szCs w:val="32"/>
              </w:rPr>
            </w:pPr>
          </w:p>
        </w:tc>
      </w:tr>
      <w:tr w14:paraId="0BA97CF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1D5B1741">
            <w:pPr>
              <w:spacing w:line="240" w:lineRule="auto"/>
              <w:ind w:firstLine="0" w:firstLineChars="0"/>
              <w:jc w:val="center"/>
              <w:rPr>
                <w:color w:val="auto"/>
                <w:kern w:val="28"/>
                <w:sz w:val="21"/>
                <w:szCs w:val="32"/>
              </w:rPr>
            </w:pPr>
            <w:r>
              <w:rPr>
                <w:rFonts w:hint="eastAsia"/>
                <w:color w:val="auto"/>
                <w:kern w:val="28"/>
                <w:sz w:val="21"/>
                <w:szCs w:val="32"/>
              </w:rPr>
              <w:t>19</w:t>
            </w:r>
          </w:p>
        </w:tc>
        <w:tc>
          <w:tcPr>
            <w:tcW w:w="591" w:type="pct"/>
            <w:tcBorders>
              <w:tl2br w:val="nil"/>
              <w:tr2bl w:val="nil"/>
            </w:tcBorders>
            <w:vAlign w:val="center"/>
          </w:tcPr>
          <w:p w14:paraId="55182AB6">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6AEE278C">
            <w:pPr>
              <w:spacing w:line="240" w:lineRule="auto"/>
              <w:ind w:firstLine="0" w:firstLineChars="0"/>
              <w:jc w:val="center"/>
              <w:rPr>
                <w:color w:val="auto"/>
                <w:kern w:val="28"/>
                <w:sz w:val="21"/>
                <w:szCs w:val="32"/>
              </w:rPr>
            </w:pPr>
            <w:r>
              <w:rPr>
                <w:rFonts w:hint="eastAsia"/>
                <w:color w:val="auto"/>
                <w:kern w:val="28"/>
                <w:sz w:val="21"/>
                <w:szCs w:val="32"/>
              </w:rPr>
              <w:t>全厂循环冷却系统排污</w:t>
            </w:r>
          </w:p>
        </w:tc>
        <w:tc>
          <w:tcPr>
            <w:tcW w:w="516" w:type="pct"/>
            <w:tcBorders>
              <w:tl2br w:val="nil"/>
              <w:tr2bl w:val="nil"/>
            </w:tcBorders>
            <w:vAlign w:val="center"/>
          </w:tcPr>
          <w:p w14:paraId="3BCBE97E">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43F8E29F">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1F33FD52">
            <w:pPr>
              <w:spacing w:line="240" w:lineRule="auto"/>
              <w:ind w:firstLine="0" w:firstLineChars="0"/>
              <w:jc w:val="center"/>
              <w:rPr>
                <w:color w:val="auto"/>
                <w:kern w:val="28"/>
                <w:sz w:val="21"/>
                <w:szCs w:val="32"/>
              </w:rPr>
            </w:pPr>
            <w:r>
              <w:rPr>
                <w:rFonts w:hint="eastAsia"/>
                <w:color w:val="auto"/>
                <w:kern w:val="28"/>
                <w:sz w:val="21"/>
                <w:szCs w:val="32"/>
              </w:rPr>
              <w:t>COD、SS</w:t>
            </w:r>
          </w:p>
        </w:tc>
        <w:tc>
          <w:tcPr>
            <w:tcW w:w="792" w:type="pct"/>
            <w:vMerge w:val="restart"/>
            <w:tcBorders>
              <w:tl2br w:val="nil"/>
              <w:tr2bl w:val="nil"/>
            </w:tcBorders>
            <w:vAlign w:val="center"/>
          </w:tcPr>
          <w:p w14:paraId="19355490">
            <w:pPr>
              <w:spacing w:line="240" w:lineRule="auto"/>
              <w:ind w:firstLine="0" w:firstLineChars="0"/>
              <w:jc w:val="center"/>
              <w:rPr>
                <w:color w:val="auto"/>
                <w:kern w:val="28"/>
                <w:sz w:val="21"/>
                <w:szCs w:val="32"/>
              </w:rPr>
            </w:pPr>
            <w:r>
              <w:rPr>
                <w:rFonts w:hint="eastAsia"/>
                <w:color w:val="auto"/>
                <w:kern w:val="28"/>
                <w:sz w:val="21"/>
                <w:szCs w:val="32"/>
              </w:rPr>
              <w:t>接入厂区污水处理站集污池后</w:t>
            </w:r>
          </w:p>
        </w:tc>
        <w:tc>
          <w:tcPr>
            <w:tcW w:w="534" w:type="pct"/>
            <w:vMerge w:val="continue"/>
            <w:tcBorders>
              <w:tl2br w:val="nil"/>
              <w:tr2bl w:val="nil"/>
            </w:tcBorders>
            <w:vAlign w:val="center"/>
          </w:tcPr>
          <w:p w14:paraId="47FB5D94">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60C00FE1">
            <w:pPr>
              <w:spacing w:line="240" w:lineRule="auto"/>
              <w:ind w:firstLine="0" w:firstLineChars="0"/>
              <w:jc w:val="center"/>
              <w:rPr>
                <w:color w:val="auto"/>
                <w:kern w:val="28"/>
                <w:sz w:val="21"/>
                <w:szCs w:val="32"/>
              </w:rPr>
            </w:pPr>
          </w:p>
        </w:tc>
      </w:tr>
      <w:tr w14:paraId="31BDD01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8" w:type="pct"/>
            <w:tcBorders>
              <w:tl2br w:val="nil"/>
              <w:tr2bl w:val="nil"/>
            </w:tcBorders>
            <w:vAlign w:val="center"/>
          </w:tcPr>
          <w:p w14:paraId="0D45778C">
            <w:pPr>
              <w:spacing w:line="240" w:lineRule="auto"/>
              <w:ind w:firstLine="0" w:firstLineChars="0"/>
              <w:jc w:val="center"/>
              <w:rPr>
                <w:color w:val="auto"/>
                <w:kern w:val="28"/>
                <w:sz w:val="21"/>
                <w:szCs w:val="32"/>
              </w:rPr>
            </w:pPr>
            <w:r>
              <w:rPr>
                <w:rFonts w:hint="eastAsia"/>
                <w:color w:val="auto"/>
                <w:kern w:val="28"/>
                <w:sz w:val="21"/>
                <w:szCs w:val="32"/>
              </w:rPr>
              <w:t>20</w:t>
            </w:r>
          </w:p>
        </w:tc>
        <w:tc>
          <w:tcPr>
            <w:tcW w:w="591" w:type="pct"/>
            <w:tcBorders>
              <w:tl2br w:val="nil"/>
              <w:tr2bl w:val="nil"/>
            </w:tcBorders>
            <w:vAlign w:val="center"/>
          </w:tcPr>
          <w:p w14:paraId="4C2CEB10">
            <w:pPr>
              <w:spacing w:line="240" w:lineRule="auto"/>
              <w:ind w:firstLine="0" w:firstLineChars="0"/>
              <w:jc w:val="center"/>
              <w:rPr>
                <w:color w:val="auto"/>
                <w:kern w:val="28"/>
                <w:sz w:val="21"/>
                <w:szCs w:val="32"/>
              </w:rPr>
            </w:pPr>
            <w:r>
              <w:rPr>
                <w:rFonts w:hint="eastAsia"/>
                <w:color w:val="auto"/>
                <w:kern w:val="28"/>
                <w:sz w:val="21"/>
                <w:szCs w:val="32"/>
              </w:rPr>
              <w:t>/</w:t>
            </w:r>
          </w:p>
        </w:tc>
        <w:tc>
          <w:tcPr>
            <w:tcW w:w="576" w:type="pct"/>
            <w:tcBorders>
              <w:tl2br w:val="nil"/>
              <w:tr2bl w:val="nil"/>
            </w:tcBorders>
            <w:vAlign w:val="center"/>
          </w:tcPr>
          <w:p w14:paraId="13F35779">
            <w:pPr>
              <w:spacing w:line="240" w:lineRule="auto"/>
              <w:ind w:firstLine="0" w:firstLineChars="0"/>
              <w:jc w:val="center"/>
              <w:rPr>
                <w:color w:val="auto"/>
                <w:kern w:val="28"/>
                <w:sz w:val="21"/>
                <w:szCs w:val="32"/>
              </w:rPr>
            </w:pPr>
            <w:r>
              <w:rPr>
                <w:rFonts w:hint="eastAsia"/>
                <w:color w:val="auto"/>
                <w:kern w:val="28"/>
                <w:sz w:val="21"/>
                <w:szCs w:val="32"/>
              </w:rPr>
              <w:t>纯水制备系统排污</w:t>
            </w:r>
          </w:p>
        </w:tc>
        <w:tc>
          <w:tcPr>
            <w:tcW w:w="516" w:type="pct"/>
            <w:tcBorders>
              <w:tl2br w:val="nil"/>
              <w:tr2bl w:val="nil"/>
            </w:tcBorders>
            <w:vAlign w:val="center"/>
          </w:tcPr>
          <w:p w14:paraId="75473CE4">
            <w:pPr>
              <w:spacing w:line="240" w:lineRule="auto"/>
              <w:ind w:firstLine="0" w:firstLineChars="0"/>
              <w:jc w:val="center"/>
              <w:rPr>
                <w:color w:val="auto"/>
                <w:kern w:val="28"/>
                <w:sz w:val="21"/>
                <w:szCs w:val="32"/>
              </w:rPr>
            </w:pPr>
          </w:p>
        </w:tc>
        <w:tc>
          <w:tcPr>
            <w:tcW w:w="516" w:type="pct"/>
            <w:tcBorders>
              <w:tl2br w:val="nil"/>
              <w:tr2bl w:val="nil"/>
            </w:tcBorders>
            <w:vAlign w:val="center"/>
          </w:tcPr>
          <w:p w14:paraId="0BC082E0">
            <w:pPr>
              <w:spacing w:line="240" w:lineRule="auto"/>
              <w:ind w:firstLine="0" w:firstLineChars="0"/>
              <w:jc w:val="center"/>
              <w:rPr>
                <w:color w:val="auto"/>
                <w:kern w:val="28"/>
                <w:sz w:val="21"/>
                <w:szCs w:val="32"/>
              </w:rPr>
            </w:pPr>
            <w:r>
              <w:rPr>
                <w:rFonts w:hint="eastAsia"/>
                <w:color w:val="auto"/>
                <w:kern w:val="28"/>
                <w:sz w:val="21"/>
                <w:szCs w:val="32"/>
              </w:rPr>
              <w:t>低浓度废水</w:t>
            </w:r>
          </w:p>
        </w:tc>
        <w:tc>
          <w:tcPr>
            <w:tcW w:w="792" w:type="pct"/>
            <w:tcBorders>
              <w:tl2br w:val="nil"/>
              <w:tr2bl w:val="nil"/>
            </w:tcBorders>
            <w:vAlign w:val="center"/>
          </w:tcPr>
          <w:p w14:paraId="3E09742D">
            <w:pPr>
              <w:spacing w:line="240" w:lineRule="auto"/>
              <w:ind w:firstLine="0" w:firstLineChars="0"/>
              <w:jc w:val="center"/>
              <w:rPr>
                <w:color w:val="auto"/>
                <w:kern w:val="28"/>
                <w:sz w:val="21"/>
                <w:szCs w:val="32"/>
              </w:rPr>
            </w:pPr>
            <w:r>
              <w:rPr>
                <w:rFonts w:hint="eastAsia"/>
                <w:color w:val="auto"/>
                <w:kern w:val="28"/>
                <w:sz w:val="21"/>
                <w:szCs w:val="32"/>
              </w:rPr>
              <w:t>COD、SS</w:t>
            </w:r>
          </w:p>
        </w:tc>
        <w:tc>
          <w:tcPr>
            <w:tcW w:w="792" w:type="pct"/>
            <w:vMerge w:val="continue"/>
            <w:tcBorders>
              <w:tl2br w:val="nil"/>
              <w:tr2bl w:val="nil"/>
            </w:tcBorders>
            <w:vAlign w:val="center"/>
          </w:tcPr>
          <w:p w14:paraId="3B36D19C">
            <w:pPr>
              <w:spacing w:line="240" w:lineRule="auto"/>
              <w:ind w:firstLine="0" w:firstLineChars="0"/>
              <w:jc w:val="center"/>
              <w:rPr>
                <w:color w:val="auto"/>
                <w:kern w:val="28"/>
                <w:sz w:val="21"/>
                <w:szCs w:val="32"/>
              </w:rPr>
            </w:pPr>
          </w:p>
        </w:tc>
        <w:tc>
          <w:tcPr>
            <w:tcW w:w="534" w:type="pct"/>
            <w:vMerge w:val="continue"/>
            <w:tcBorders>
              <w:tl2br w:val="nil"/>
              <w:tr2bl w:val="nil"/>
            </w:tcBorders>
            <w:vAlign w:val="center"/>
          </w:tcPr>
          <w:p w14:paraId="21BCFC40">
            <w:pPr>
              <w:spacing w:line="240" w:lineRule="auto"/>
              <w:ind w:firstLine="0" w:firstLineChars="0"/>
              <w:jc w:val="center"/>
              <w:rPr>
                <w:color w:val="auto"/>
                <w:kern w:val="28"/>
                <w:sz w:val="21"/>
                <w:szCs w:val="32"/>
              </w:rPr>
            </w:pPr>
          </w:p>
        </w:tc>
        <w:tc>
          <w:tcPr>
            <w:tcW w:w="439" w:type="pct"/>
            <w:vMerge w:val="continue"/>
            <w:tcBorders>
              <w:tl2br w:val="nil"/>
              <w:tr2bl w:val="nil"/>
            </w:tcBorders>
            <w:vAlign w:val="center"/>
          </w:tcPr>
          <w:p w14:paraId="5E076CA1">
            <w:pPr>
              <w:spacing w:line="240" w:lineRule="auto"/>
              <w:ind w:firstLine="0" w:firstLineChars="0"/>
              <w:jc w:val="center"/>
              <w:rPr>
                <w:color w:val="auto"/>
                <w:kern w:val="28"/>
                <w:sz w:val="21"/>
                <w:szCs w:val="32"/>
              </w:rPr>
            </w:pPr>
          </w:p>
        </w:tc>
      </w:tr>
    </w:tbl>
    <w:p w14:paraId="7045F377">
      <w:pPr>
        <w:spacing w:line="240" w:lineRule="auto"/>
        <w:ind w:firstLine="482"/>
        <w:jc w:val="center"/>
        <w:rPr>
          <w:b/>
          <w:bCs/>
          <w:color w:val="auto"/>
          <w:kern w:val="28"/>
          <w:szCs w:val="32"/>
        </w:rPr>
      </w:pPr>
    </w:p>
    <w:p w14:paraId="7501D4DF">
      <w:pPr>
        <w:spacing w:line="240" w:lineRule="auto"/>
        <w:ind w:firstLine="482"/>
        <w:jc w:val="center"/>
        <w:rPr>
          <w:b/>
          <w:bCs/>
          <w:color w:val="auto"/>
          <w:kern w:val="28"/>
          <w:szCs w:val="32"/>
        </w:rPr>
      </w:pPr>
    </w:p>
    <w:p w14:paraId="46AA24EA">
      <w:pPr>
        <w:ind w:firstLine="480"/>
        <w:rPr>
          <w:color w:val="auto"/>
        </w:rPr>
        <w:sectPr>
          <w:pgSz w:w="16838" w:h="11906" w:orient="landscape"/>
          <w:pgMar w:top="1134" w:right="1134" w:bottom="1134" w:left="1134" w:header="851" w:footer="992" w:gutter="0"/>
          <w:cols w:space="425" w:num="1"/>
          <w:docGrid w:type="lines" w:linePitch="312" w:charSpace="0"/>
        </w:sectPr>
      </w:pPr>
    </w:p>
    <w:p w14:paraId="26E0BB11">
      <w:pPr>
        <w:spacing w:line="460" w:lineRule="exact"/>
        <w:ind w:firstLine="480"/>
        <w:rPr>
          <w:color w:val="auto"/>
        </w:rPr>
      </w:pPr>
      <w:r>
        <w:rPr>
          <w:rFonts w:hint="eastAsia"/>
          <w:color w:val="auto"/>
        </w:rPr>
        <w:t>亚太药业厂区现有1#污水站和在建2#污水站的</w:t>
      </w:r>
      <w:r>
        <w:rPr>
          <w:color w:val="auto"/>
        </w:rPr>
        <w:t>废水处理工艺</w:t>
      </w:r>
      <w:r>
        <w:rPr>
          <w:rFonts w:hint="eastAsia"/>
          <w:color w:val="auto"/>
        </w:rPr>
        <w:t>分别</w:t>
      </w:r>
      <w:r>
        <w:rPr>
          <w:color w:val="auto"/>
        </w:rPr>
        <w:t>见图</w:t>
      </w:r>
      <w:r>
        <w:rPr>
          <w:rFonts w:hint="eastAsia"/>
          <w:color w:val="auto"/>
        </w:rPr>
        <w:t>3.3-1和图3.3-2。</w:t>
      </w:r>
    </w:p>
    <w:p w14:paraId="08DCE3C2">
      <w:pPr>
        <w:spacing w:line="240" w:lineRule="auto"/>
        <w:ind w:firstLine="0" w:firstLineChars="0"/>
        <w:jc w:val="center"/>
        <w:rPr>
          <w:rFonts w:eastAsia="仿宋_GB2312"/>
          <w:color w:val="auto"/>
        </w:rPr>
      </w:pPr>
      <w:r>
        <w:rPr>
          <w:rFonts w:eastAsia="仿宋_GB2312"/>
          <w:color w:val="auto"/>
        </w:rPr>
        <w:object>
          <v:shape id="_x0000_i1033" o:spt="75" type="#_x0000_t75" style="height:577.35pt;width:408.75pt;" o:ole="t" filled="f" o:preferrelative="t" stroked="f" coordsize="21600,21600">
            <v:path/>
            <v:fill on="f" focussize="0,0"/>
            <v:stroke on="f" joinstyle="miter"/>
            <v:imagedata r:id="rId19" o:title=""/>
            <o:lock v:ext="edit" aspectratio="t"/>
            <w10:wrap type="none"/>
            <w10:anchorlock/>
          </v:shape>
          <o:OLEObject Type="Embed" ProgID="Visio.Drawing.11" ShapeID="_x0000_i1033" DrawAspect="Content" ObjectID="_1468075728" r:id="rId18">
            <o:LockedField>false</o:LockedField>
          </o:OLEObject>
        </w:object>
      </w:r>
    </w:p>
    <w:p w14:paraId="62310000">
      <w:pPr>
        <w:spacing w:line="240" w:lineRule="auto"/>
        <w:ind w:firstLine="0" w:firstLineChars="0"/>
        <w:jc w:val="center"/>
        <w:rPr>
          <w:b/>
          <w:color w:val="auto"/>
        </w:rPr>
      </w:pPr>
      <w:r>
        <w:rPr>
          <w:b/>
          <w:color w:val="auto"/>
        </w:rPr>
        <w:t>图3.</w:t>
      </w:r>
      <w:r>
        <w:rPr>
          <w:rFonts w:hint="eastAsia"/>
          <w:b/>
          <w:color w:val="auto"/>
        </w:rPr>
        <w:t xml:space="preserve">3-1  </w:t>
      </w:r>
      <w:r>
        <w:rPr>
          <w:b/>
          <w:color w:val="auto"/>
        </w:rPr>
        <w:t>现有</w:t>
      </w:r>
      <w:r>
        <w:rPr>
          <w:rFonts w:hint="eastAsia"/>
          <w:b/>
          <w:color w:val="auto"/>
        </w:rPr>
        <w:t>已建</w:t>
      </w:r>
      <w:r>
        <w:rPr>
          <w:b/>
          <w:color w:val="auto"/>
        </w:rPr>
        <w:t>项目</w:t>
      </w:r>
      <w:r>
        <w:rPr>
          <w:rFonts w:hint="eastAsia"/>
          <w:b/>
          <w:color w:val="auto"/>
        </w:rPr>
        <w:t>1#污水站</w:t>
      </w:r>
      <w:r>
        <w:rPr>
          <w:b/>
          <w:color w:val="auto"/>
        </w:rPr>
        <w:t>污水处理工艺流程图</w:t>
      </w:r>
    </w:p>
    <w:p w14:paraId="0FFC8467">
      <w:pPr>
        <w:spacing w:line="240" w:lineRule="auto"/>
        <w:ind w:firstLine="0" w:firstLineChars="0"/>
        <w:jc w:val="center"/>
        <w:rPr>
          <w:rFonts w:eastAsia="仿宋_GB2312"/>
          <w:b/>
          <w:color w:val="auto"/>
        </w:rPr>
      </w:pPr>
      <w:r>
        <w:rPr>
          <w:rFonts w:eastAsia="仿宋_GB2312"/>
          <w:b/>
          <w:color w:val="auto"/>
        </w:rPr>
        <w:object>
          <v:shape id="_x0000_i1034" o:spt="75" type="#_x0000_t75" style="height:279.8pt;width:343.15pt;" o:ole="t" filled="f" o:preferrelative="t" stroked="f" coordsize="21600,21600">
            <v:path/>
            <v:fill on="f" focussize="0,0"/>
            <v:stroke on="f" joinstyle="miter"/>
            <v:imagedata r:id="rId21" cropbottom="9264f" o:title=""/>
            <o:lock v:ext="edit" aspectratio="f"/>
            <w10:wrap type="none"/>
            <w10:anchorlock/>
          </v:shape>
          <o:OLEObject Type="Embed" ProgID="Visio.Drawing.11" ShapeID="_x0000_i1034" DrawAspect="Content" ObjectID="_1468075729" r:id="rId20">
            <o:LockedField>false</o:LockedField>
          </o:OLEObject>
        </w:object>
      </w:r>
    </w:p>
    <w:p w14:paraId="0DCB41C0">
      <w:pPr>
        <w:spacing w:line="240" w:lineRule="auto"/>
        <w:ind w:firstLine="0" w:firstLineChars="0"/>
        <w:jc w:val="center"/>
        <w:rPr>
          <w:b/>
          <w:color w:val="auto"/>
        </w:rPr>
      </w:pPr>
      <w:r>
        <w:rPr>
          <w:b/>
          <w:color w:val="auto"/>
        </w:rPr>
        <w:t>图3.</w:t>
      </w:r>
      <w:r>
        <w:rPr>
          <w:rFonts w:hint="eastAsia"/>
          <w:b/>
          <w:color w:val="auto"/>
        </w:rPr>
        <w:t xml:space="preserve">3-2  </w:t>
      </w:r>
      <w:r>
        <w:rPr>
          <w:b/>
          <w:color w:val="auto"/>
        </w:rPr>
        <w:t>现有</w:t>
      </w:r>
      <w:r>
        <w:rPr>
          <w:rFonts w:hint="eastAsia"/>
          <w:b/>
          <w:color w:val="auto"/>
        </w:rPr>
        <w:t>在建2#污水站</w:t>
      </w:r>
      <w:r>
        <w:rPr>
          <w:b/>
          <w:color w:val="auto"/>
        </w:rPr>
        <w:t>污水处理工艺流程图</w:t>
      </w:r>
    </w:p>
    <w:p w14:paraId="49AD3C63">
      <w:pPr>
        <w:spacing w:line="240" w:lineRule="auto"/>
        <w:ind w:firstLine="0" w:firstLineChars="0"/>
        <w:jc w:val="center"/>
        <w:rPr>
          <w:rFonts w:eastAsia="仿宋_GB2312"/>
          <w:b/>
          <w:color w:val="auto"/>
        </w:rPr>
      </w:pPr>
    </w:p>
    <w:p w14:paraId="463F0675">
      <w:pPr>
        <w:pStyle w:val="4"/>
        <w:rPr>
          <w:color w:val="auto"/>
        </w:rPr>
      </w:pPr>
      <w:bookmarkStart w:id="89" w:name="_Toc15678"/>
      <w:r>
        <w:rPr>
          <w:rFonts w:hint="eastAsia"/>
          <w:color w:val="auto"/>
        </w:rPr>
        <w:t>3.3.3噪声</w:t>
      </w:r>
      <w:bookmarkEnd w:id="89"/>
    </w:p>
    <w:p w14:paraId="519963AE">
      <w:pPr>
        <w:spacing w:line="460" w:lineRule="exact"/>
        <w:ind w:firstLine="480"/>
        <w:rPr>
          <w:color w:val="auto"/>
        </w:rPr>
      </w:pPr>
      <w:r>
        <w:rPr>
          <w:rFonts w:hint="eastAsia"/>
          <w:color w:val="auto"/>
        </w:rPr>
        <w:t>亚太药业</w:t>
      </w:r>
      <w:r>
        <w:rPr>
          <w:color w:val="auto"/>
        </w:rPr>
        <w:t>现有</w:t>
      </w:r>
      <w:r>
        <w:rPr>
          <w:rFonts w:hint="eastAsia"/>
          <w:color w:val="auto"/>
        </w:rPr>
        <w:t>已建</w:t>
      </w:r>
      <w:r>
        <w:rPr>
          <w:color w:val="auto"/>
        </w:rPr>
        <w:t>项目噪声源主要为在建项目生产设备、离心机、引风机、循环泵</w:t>
      </w:r>
      <w:r>
        <w:rPr>
          <w:rFonts w:hint="eastAsia"/>
          <w:color w:val="auto"/>
        </w:rPr>
        <w:t>及污水处理设备等</w:t>
      </w:r>
      <w:r>
        <w:rPr>
          <w:color w:val="auto"/>
        </w:rPr>
        <w:t>，其声压级为8</w:t>
      </w:r>
      <w:r>
        <w:rPr>
          <w:rFonts w:hint="eastAsia"/>
          <w:color w:val="auto"/>
        </w:rPr>
        <w:t>5</w:t>
      </w:r>
      <w:r>
        <w:rPr>
          <w:color w:val="auto"/>
        </w:rPr>
        <w:t>~9</w:t>
      </w:r>
      <w:r>
        <w:rPr>
          <w:rFonts w:hint="eastAsia"/>
          <w:color w:val="auto"/>
        </w:rPr>
        <w:t>5</w:t>
      </w:r>
      <w:r>
        <w:rPr>
          <w:color w:val="auto"/>
        </w:rPr>
        <w:t>dB</w:t>
      </w:r>
      <w:r>
        <w:rPr>
          <w:rFonts w:hint="eastAsia"/>
          <w:color w:val="auto"/>
        </w:rPr>
        <w:t>（</w:t>
      </w:r>
      <w:r>
        <w:rPr>
          <w:color w:val="auto"/>
        </w:rPr>
        <w:t>A</w:t>
      </w:r>
      <w:r>
        <w:rPr>
          <w:rFonts w:hint="eastAsia"/>
          <w:color w:val="auto"/>
        </w:rPr>
        <w:t>）</w:t>
      </w:r>
      <w:r>
        <w:rPr>
          <w:color w:val="auto"/>
        </w:rPr>
        <w:t>，主要控制措施选用低噪声设备、厂房隔声、加装消声器、减振基座等降噪措施，其中对产生空气动力噪声的动力机械</w:t>
      </w:r>
      <w:r>
        <w:rPr>
          <w:rFonts w:hint="eastAsia"/>
          <w:color w:val="auto"/>
        </w:rPr>
        <w:t>（</w:t>
      </w:r>
      <w:r>
        <w:rPr>
          <w:color w:val="auto"/>
        </w:rPr>
        <w:t>如风机、压缩机</w:t>
      </w:r>
      <w:r>
        <w:rPr>
          <w:rFonts w:hint="eastAsia"/>
          <w:color w:val="auto"/>
        </w:rPr>
        <w:t>）</w:t>
      </w:r>
      <w:r>
        <w:rPr>
          <w:color w:val="auto"/>
        </w:rPr>
        <w:t>的进、排气口设消声器；对产生机械振动噪声的动力机械</w:t>
      </w:r>
      <w:r>
        <w:rPr>
          <w:rFonts w:hint="eastAsia"/>
          <w:color w:val="auto"/>
        </w:rPr>
        <w:t>（</w:t>
      </w:r>
      <w:r>
        <w:rPr>
          <w:color w:val="auto"/>
        </w:rPr>
        <w:t>如各类水泵等</w:t>
      </w:r>
      <w:r>
        <w:rPr>
          <w:rFonts w:hint="eastAsia"/>
          <w:color w:val="auto"/>
        </w:rPr>
        <w:t>）</w:t>
      </w:r>
      <w:r>
        <w:rPr>
          <w:color w:val="auto"/>
        </w:rPr>
        <w:t>采用基础减振及管道加柔性连接等措施；产生噪声较大的工艺设备如蒸发器、各类风机、泵等全部设置在厂房内，利用建筑物进行隔声降噪。</w:t>
      </w:r>
    </w:p>
    <w:p w14:paraId="61E0C84B">
      <w:pPr>
        <w:spacing w:line="460" w:lineRule="exact"/>
        <w:ind w:firstLine="480"/>
        <w:rPr>
          <w:color w:val="auto"/>
        </w:rPr>
      </w:pPr>
      <w:r>
        <w:rPr>
          <w:rFonts w:hint="eastAsia"/>
          <w:color w:val="auto"/>
        </w:rPr>
        <w:t>现有在建</w:t>
      </w:r>
      <w:r>
        <w:rPr>
          <w:color w:val="auto"/>
        </w:rPr>
        <w:t>项目噪声源主要</w:t>
      </w:r>
      <w:r>
        <w:rPr>
          <w:rFonts w:hint="eastAsia"/>
          <w:color w:val="auto"/>
        </w:rPr>
        <w:t>为</w:t>
      </w:r>
      <w:r>
        <w:rPr>
          <w:color w:val="auto"/>
        </w:rPr>
        <w:t>风机、冷却塔、真空泵、空压机、废气处理设备等。对产生噪声的设备考虑采取加装消声器、减振、置于厂房内隔音等措施，确保厂界噪声达标，采取以下措施后，各站房、车间外噪声可降至60~80dB</w:t>
      </w:r>
      <w:r>
        <w:rPr>
          <w:rFonts w:hint="eastAsia"/>
          <w:color w:val="auto"/>
        </w:rPr>
        <w:t>（</w:t>
      </w:r>
      <w:r>
        <w:rPr>
          <w:color w:val="auto"/>
        </w:rPr>
        <w:t>A</w:t>
      </w:r>
      <w:r>
        <w:rPr>
          <w:rFonts w:hint="eastAsia"/>
          <w:color w:val="auto"/>
        </w:rPr>
        <w:t>）</w:t>
      </w:r>
      <w:r>
        <w:rPr>
          <w:color w:val="auto"/>
        </w:rPr>
        <w:t>以下。</w:t>
      </w:r>
    </w:p>
    <w:p w14:paraId="5BAE4F79">
      <w:pPr>
        <w:pStyle w:val="4"/>
        <w:rPr>
          <w:color w:val="auto"/>
        </w:rPr>
      </w:pPr>
      <w:bookmarkStart w:id="90" w:name="_Toc31272"/>
      <w:r>
        <w:rPr>
          <w:rFonts w:hint="eastAsia"/>
          <w:color w:val="auto"/>
        </w:rPr>
        <w:t>3.3.4固体废物</w:t>
      </w:r>
      <w:bookmarkEnd w:id="90"/>
    </w:p>
    <w:p w14:paraId="15105310">
      <w:pPr>
        <w:spacing w:line="460" w:lineRule="exact"/>
        <w:ind w:firstLine="480"/>
        <w:rPr>
          <w:color w:val="auto"/>
        </w:rPr>
      </w:pPr>
      <w:r>
        <w:rPr>
          <w:rFonts w:hint="eastAsia"/>
          <w:color w:val="auto"/>
        </w:rPr>
        <w:t>亚太药业现有项目固体废物主要包括生活垃圾和危险废物，在建项目固体废物主要包括废水处理污泥、废树脂、分馏残渣、精馏残渣等危险废物及生活垃圾。其中生活垃圾由环卫部门清运。目前，厂区内已建一座110m</w:t>
      </w:r>
      <w:r>
        <w:rPr>
          <w:rFonts w:hint="eastAsia"/>
          <w:color w:val="auto"/>
          <w:vertAlign w:val="superscript"/>
        </w:rPr>
        <w:t>2</w:t>
      </w:r>
      <w:r>
        <w:rPr>
          <w:rFonts w:hint="eastAsia"/>
          <w:color w:val="auto"/>
        </w:rPr>
        <w:t>的危废暂存间用于危险废物暂存，委托南通润启环保服务有限公司定期转移、处置。目前全厂现有项目和在建项目固体废物产生及处置情况详见表3.3-3和表3.3-4。</w:t>
      </w:r>
    </w:p>
    <w:p w14:paraId="48087A48">
      <w:pPr>
        <w:pStyle w:val="49"/>
        <w:rPr>
          <w:color w:val="auto"/>
        </w:rPr>
      </w:pPr>
      <w:r>
        <w:rPr>
          <w:color w:val="auto"/>
        </w:rPr>
        <w:t>表3.</w:t>
      </w:r>
      <w:r>
        <w:rPr>
          <w:rFonts w:hint="eastAsia"/>
          <w:color w:val="auto"/>
        </w:rPr>
        <w:t>3-3  亚太药业</w:t>
      </w:r>
      <w:r>
        <w:rPr>
          <w:color w:val="auto"/>
        </w:rPr>
        <w:t>现有项目固体废物处置情况</w:t>
      </w:r>
      <w:r>
        <w:rPr>
          <w:rFonts w:hint="eastAsia"/>
          <w:color w:val="auto"/>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1"/>
        <w:gridCol w:w="1325"/>
        <w:gridCol w:w="1245"/>
        <w:gridCol w:w="1544"/>
        <w:gridCol w:w="1972"/>
        <w:gridCol w:w="1606"/>
      </w:tblGrid>
      <w:tr w14:paraId="14B0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14" w:type="pct"/>
            <w:tcBorders>
              <w:top w:val="single" w:color="auto" w:sz="12" w:space="0"/>
              <w:left w:val="nil"/>
              <w:bottom w:val="single" w:color="auto" w:sz="4" w:space="0"/>
              <w:right w:val="single" w:color="auto" w:sz="4" w:space="0"/>
            </w:tcBorders>
            <w:vAlign w:val="center"/>
          </w:tcPr>
          <w:p w14:paraId="29721EA9">
            <w:pPr>
              <w:widowControl/>
              <w:spacing w:line="240" w:lineRule="auto"/>
              <w:ind w:firstLine="0" w:firstLineChars="0"/>
              <w:jc w:val="center"/>
              <w:rPr>
                <w:b/>
                <w:color w:val="auto"/>
                <w:kern w:val="0"/>
                <w:sz w:val="21"/>
                <w:szCs w:val="21"/>
              </w:rPr>
            </w:pPr>
            <w:r>
              <w:rPr>
                <w:rFonts w:hint="eastAsia"/>
                <w:b/>
                <w:color w:val="auto"/>
                <w:kern w:val="0"/>
                <w:sz w:val="21"/>
                <w:szCs w:val="21"/>
              </w:rPr>
              <w:t>序号</w:t>
            </w:r>
          </w:p>
        </w:tc>
        <w:tc>
          <w:tcPr>
            <w:tcW w:w="680" w:type="pct"/>
            <w:tcBorders>
              <w:top w:val="single" w:color="auto" w:sz="12" w:space="0"/>
              <w:left w:val="single" w:color="auto" w:sz="4" w:space="0"/>
              <w:bottom w:val="single" w:color="auto" w:sz="4" w:space="0"/>
              <w:right w:val="single" w:color="auto" w:sz="4" w:space="0"/>
            </w:tcBorders>
            <w:vAlign w:val="center"/>
          </w:tcPr>
          <w:p w14:paraId="58CD0765">
            <w:pPr>
              <w:widowControl/>
              <w:spacing w:line="240" w:lineRule="auto"/>
              <w:ind w:firstLine="0" w:firstLineChars="0"/>
              <w:jc w:val="center"/>
              <w:rPr>
                <w:b/>
                <w:color w:val="auto"/>
                <w:kern w:val="0"/>
                <w:sz w:val="21"/>
                <w:szCs w:val="21"/>
              </w:rPr>
            </w:pPr>
            <w:r>
              <w:rPr>
                <w:b/>
                <w:color w:val="auto"/>
                <w:kern w:val="0"/>
                <w:sz w:val="21"/>
                <w:szCs w:val="21"/>
              </w:rPr>
              <w:t>固废名称</w:t>
            </w:r>
          </w:p>
        </w:tc>
        <w:tc>
          <w:tcPr>
            <w:tcW w:w="672" w:type="pct"/>
            <w:tcBorders>
              <w:top w:val="single" w:color="auto" w:sz="12" w:space="0"/>
              <w:left w:val="single" w:color="auto" w:sz="4" w:space="0"/>
              <w:bottom w:val="single" w:color="auto" w:sz="4" w:space="0"/>
              <w:right w:val="single" w:color="auto" w:sz="4" w:space="0"/>
            </w:tcBorders>
            <w:vAlign w:val="center"/>
          </w:tcPr>
          <w:p w14:paraId="4CA190D2">
            <w:pPr>
              <w:widowControl/>
              <w:spacing w:line="240" w:lineRule="auto"/>
              <w:ind w:firstLine="0" w:firstLineChars="0"/>
              <w:jc w:val="center"/>
              <w:rPr>
                <w:b/>
                <w:color w:val="auto"/>
                <w:kern w:val="0"/>
                <w:sz w:val="21"/>
                <w:szCs w:val="21"/>
              </w:rPr>
            </w:pPr>
            <w:r>
              <w:rPr>
                <w:b/>
                <w:color w:val="auto"/>
                <w:kern w:val="0"/>
                <w:sz w:val="21"/>
                <w:szCs w:val="21"/>
              </w:rPr>
              <w:t>属性</w:t>
            </w:r>
          </w:p>
        </w:tc>
        <w:tc>
          <w:tcPr>
            <w:tcW w:w="632" w:type="pct"/>
            <w:tcBorders>
              <w:top w:val="single" w:color="auto" w:sz="12" w:space="0"/>
              <w:left w:val="single" w:color="auto" w:sz="4" w:space="0"/>
              <w:bottom w:val="single" w:color="auto" w:sz="4" w:space="0"/>
              <w:right w:val="single" w:color="auto" w:sz="4" w:space="0"/>
            </w:tcBorders>
            <w:vAlign w:val="center"/>
          </w:tcPr>
          <w:p w14:paraId="6D3DAE0A">
            <w:pPr>
              <w:widowControl/>
              <w:spacing w:line="240" w:lineRule="auto"/>
              <w:ind w:firstLine="0" w:firstLineChars="0"/>
              <w:jc w:val="center"/>
              <w:rPr>
                <w:b/>
                <w:color w:val="auto"/>
                <w:kern w:val="0"/>
                <w:sz w:val="21"/>
                <w:szCs w:val="21"/>
              </w:rPr>
            </w:pPr>
            <w:r>
              <w:rPr>
                <w:b/>
                <w:color w:val="auto"/>
                <w:kern w:val="0"/>
                <w:sz w:val="21"/>
                <w:szCs w:val="21"/>
              </w:rPr>
              <w:t>废物类别</w:t>
            </w:r>
          </w:p>
        </w:tc>
        <w:tc>
          <w:tcPr>
            <w:tcW w:w="784" w:type="pct"/>
            <w:tcBorders>
              <w:top w:val="single" w:color="auto" w:sz="12" w:space="0"/>
              <w:left w:val="single" w:color="auto" w:sz="4" w:space="0"/>
              <w:bottom w:val="single" w:color="auto" w:sz="4" w:space="0"/>
              <w:right w:val="single" w:color="auto" w:sz="4" w:space="0"/>
            </w:tcBorders>
            <w:vAlign w:val="center"/>
          </w:tcPr>
          <w:p w14:paraId="724AA918">
            <w:pPr>
              <w:widowControl/>
              <w:spacing w:line="240" w:lineRule="auto"/>
              <w:ind w:firstLine="0" w:firstLineChars="0"/>
              <w:jc w:val="center"/>
              <w:rPr>
                <w:b/>
                <w:color w:val="auto"/>
                <w:kern w:val="0"/>
                <w:sz w:val="21"/>
                <w:szCs w:val="21"/>
              </w:rPr>
            </w:pPr>
            <w:r>
              <w:rPr>
                <w:b/>
                <w:color w:val="auto"/>
                <w:kern w:val="0"/>
                <w:sz w:val="21"/>
                <w:szCs w:val="21"/>
              </w:rPr>
              <w:t>废物代码</w:t>
            </w:r>
          </w:p>
        </w:tc>
        <w:tc>
          <w:tcPr>
            <w:tcW w:w="1000" w:type="pct"/>
            <w:tcBorders>
              <w:top w:val="single" w:color="auto" w:sz="12" w:space="0"/>
              <w:left w:val="single" w:color="auto" w:sz="4" w:space="0"/>
              <w:bottom w:val="single" w:color="auto" w:sz="4" w:space="0"/>
              <w:right w:val="single" w:color="auto" w:sz="4" w:space="0"/>
            </w:tcBorders>
            <w:vAlign w:val="center"/>
          </w:tcPr>
          <w:p w14:paraId="3545FA7A">
            <w:pPr>
              <w:widowControl/>
              <w:spacing w:line="240" w:lineRule="auto"/>
              <w:ind w:firstLine="0" w:firstLineChars="0"/>
              <w:jc w:val="center"/>
              <w:rPr>
                <w:b/>
                <w:color w:val="auto"/>
                <w:kern w:val="0"/>
                <w:sz w:val="21"/>
                <w:szCs w:val="21"/>
              </w:rPr>
            </w:pPr>
            <w:r>
              <w:rPr>
                <w:b/>
                <w:color w:val="auto"/>
                <w:kern w:val="0"/>
                <w:sz w:val="21"/>
                <w:szCs w:val="21"/>
              </w:rPr>
              <w:t>202</w:t>
            </w:r>
            <w:r>
              <w:rPr>
                <w:rFonts w:hint="eastAsia"/>
                <w:b/>
                <w:color w:val="auto"/>
                <w:kern w:val="0"/>
                <w:sz w:val="21"/>
                <w:szCs w:val="21"/>
              </w:rPr>
              <w:t>5</w:t>
            </w:r>
            <w:r>
              <w:rPr>
                <w:b/>
                <w:color w:val="auto"/>
                <w:kern w:val="0"/>
                <w:sz w:val="21"/>
                <w:szCs w:val="21"/>
              </w:rPr>
              <w:t>年实际产生量(t/a)</w:t>
            </w:r>
          </w:p>
        </w:tc>
        <w:tc>
          <w:tcPr>
            <w:tcW w:w="815" w:type="pct"/>
            <w:tcBorders>
              <w:top w:val="single" w:color="auto" w:sz="12" w:space="0"/>
              <w:left w:val="single" w:color="auto" w:sz="4" w:space="0"/>
              <w:bottom w:val="single" w:color="auto" w:sz="4" w:space="0"/>
              <w:right w:val="nil"/>
            </w:tcBorders>
            <w:vAlign w:val="center"/>
          </w:tcPr>
          <w:p w14:paraId="58A6DE6E">
            <w:pPr>
              <w:widowControl/>
              <w:spacing w:line="240" w:lineRule="auto"/>
              <w:ind w:firstLine="0" w:firstLineChars="0"/>
              <w:jc w:val="center"/>
              <w:rPr>
                <w:b/>
                <w:color w:val="auto"/>
                <w:kern w:val="0"/>
                <w:sz w:val="21"/>
                <w:szCs w:val="21"/>
              </w:rPr>
            </w:pPr>
            <w:r>
              <w:rPr>
                <w:b/>
                <w:color w:val="auto"/>
                <w:kern w:val="0"/>
                <w:sz w:val="21"/>
                <w:szCs w:val="21"/>
              </w:rPr>
              <w:t>利用处置方式</w:t>
            </w:r>
          </w:p>
        </w:tc>
      </w:tr>
      <w:tr w14:paraId="505D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4" w:space="0"/>
              <w:right w:val="single" w:color="auto" w:sz="4" w:space="0"/>
            </w:tcBorders>
          </w:tcPr>
          <w:p w14:paraId="62603A41">
            <w:pPr>
              <w:widowControl/>
              <w:spacing w:line="240" w:lineRule="auto"/>
              <w:ind w:firstLine="0" w:firstLineChars="0"/>
              <w:jc w:val="center"/>
              <w:rPr>
                <w:color w:val="auto"/>
                <w:kern w:val="0"/>
                <w:sz w:val="21"/>
                <w:szCs w:val="21"/>
              </w:rPr>
            </w:pPr>
            <w:bookmarkStart w:id="91" w:name="OLE_LINK69" w:colFirst="4" w:colLast="4"/>
            <w:r>
              <w:rPr>
                <w:rFonts w:hint="eastAsia"/>
                <w:color w:val="auto"/>
                <w:kern w:val="0"/>
                <w:sz w:val="21"/>
                <w:szCs w:val="21"/>
              </w:rPr>
              <w:t>1</w:t>
            </w:r>
          </w:p>
        </w:tc>
        <w:tc>
          <w:tcPr>
            <w:tcW w:w="680" w:type="pct"/>
            <w:tcBorders>
              <w:top w:val="single" w:color="auto" w:sz="4" w:space="0"/>
              <w:left w:val="single" w:color="auto" w:sz="4" w:space="0"/>
              <w:bottom w:val="single" w:color="auto" w:sz="4" w:space="0"/>
              <w:right w:val="single" w:color="auto" w:sz="4" w:space="0"/>
            </w:tcBorders>
          </w:tcPr>
          <w:p w14:paraId="3EFF91C6">
            <w:pPr>
              <w:widowControl/>
              <w:spacing w:line="240" w:lineRule="auto"/>
              <w:ind w:firstLine="0" w:firstLineChars="0"/>
              <w:jc w:val="center"/>
              <w:rPr>
                <w:color w:val="auto"/>
                <w:kern w:val="0"/>
                <w:sz w:val="21"/>
                <w:szCs w:val="21"/>
              </w:rPr>
            </w:pPr>
            <w:r>
              <w:rPr>
                <w:color w:val="auto"/>
                <w:kern w:val="0"/>
                <w:sz w:val="21"/>
                <w:szCs w:val="21"/>
              </w:rPr>
              <w:t>废编织袋</w:t>
            </w:r>
          </w:p>
        </w:tc>
        <w:tc>
          <w:tcPr>
            <w:tcW w:w="672" w:type="pct"/>
            <w:tcBorders>
              <w:top w:val="single" w:color="auto" w:sz="4" w:space="0"/>
              <w:left w:val="single" w:color="auto" w:sz="4" w:space="0"/>
              <w:bottom w:val="single" w:color="auto" w:sz="4" w:space="0"/>
              <w:right w:val="single" w:color="auto" w:sz="4" w:space="0"/>
            </w:tcBorders>
            <w:vAlign w:val="center"/>
          </w:tcPr>
          <w:p w14:paraId="6D882D99">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1C4A2A2A">
            <w:pPr>
              <w:widowControl/>
              <w:spacing w:line="240" w:lineRule="auto"/>
              <w:ind w:firstLine="0" w:firstLineChars="0"/>
              <w:jc w:val="center"/>
              <w:rPr>
                <w:color w:val="auto"/>
                <w:kern w:val="0"/>
                <w:sz w:val="21"/>
                <w:szCs w:val="21"/>
              </w:rPr>
            </w:pPr>
            <w:r>
              <w:rPr>
                <w:color w:val="auto"/>
                <w:kern w:val="0"/>
                <w:sz w:val="21"/>
                <w:szCs w:val="21"/>
              </w:rPr>
              <w:t>HW49</w:t>
            </w:r>
          </w:p>
        </w:tc>
        <w:tc>
          <w:tcPr>
            <w:tcW w:w="784" w:type="pct"/>
            <w:tcBorders>
              <w:top w:val="single" w:color="auto" w:sz="4" w:space="0"/>
              <w:left w:val="single" w:color="auto" w:sz="4" w:space="0"/>
              <w:bottom w:val="single" w:color="auto" w:sz="4" w:space="0"/>
              <w:right w:val="single" w:color="auto" w:sz="4" w:space="0"/>
            </w:tcBorders>
          </w:tcPr>
          <w:p w14:paraId="6440502B">
            <w:pPr>
              <w:widowControl/>
              <w:spacing w:line="240" w:lineRule="auto"/>
              <w:ind w:firstLine="0" w:firstLineChars="0"/>
              <w:jc w:val="center"/>
              <w:rPr>
                <w:color w:val="auto"/>
                <w:kern w:val="0"/>
                <w:sz w:val="21"/>
                <w:szCs w:val="21"/>
              </w:rPr>
            </w:pPr>
            <w:r>
              <w:rPr>
                <w:color w:val="auto"/>
                <w:kern w:val="0"/>
                <w:sz w:val="21"/>
                <w:szCs w:val="21"/>
              </w:rPr>
              <w:t>900-041-49</w:t>
            </w:r>
          </w:p>
        </w:tc>
        <w:tc>
          <w:tcPr>
            <w:tcW w:w="1000" w:type="pct"/>
            <w:tcBorders>
              <w:top w:val="single" w:color="auto" w:sz="4" w:space="0"/>
              <w:left w:val="single" w:color="auto" w:sz="4" w:space="0"/>
              <w:bottom w:val="single" w:color="auto" w:sz="4" w:space="0"/>
              <w:right w:val="single" w:color="auto" w:sz="4" w:space="0"/>
            </w:tcBorders>
          </w:tcPr>
          <w:p w14:paraId="12506355">
            <w:pPr>
              <w:widowControl/>
              <w:spacing w:line="240" w:lineRule="auto"/>
              <w:ind w:firstLine="0" w:firstLineChars="0"/>
              <w:jc w:val="center"/>
              <w:rPr>
                <w:color w:val="auto"/>
                <w:kern w:val="0"/>
                <w:sz w:val="21"/>
                <w:szCs w:val="21"/>
              </w:rPr>
            </w:pPr>
          </w:p>
        </w:tc>
        <w:tc>
          <w:tcPr>
            <w:tcW w:w="815" w:type="pct"/>
            <w:vMerge w:val="restart"/>
            <w:tcBorders>
              <w:top w:val="single" w:color="auto" w:sz="4" w:space="0"/>
              <w:left w:val="single" w:color="auto" w:sz="4" w:space="0"/>
              <w:right w:val="nil"/>
            </w:tcBorders>
            <w:vAlign w:val="center"/>
          </w:tcPr>
          <w:p w14:paraId="30FF61F6">
            <w:pPr>
              <w:widowControl/>
              <w:spacing w:line="240" w:lineRule="auto"/>
              <w:ind w:firstLine="0" w:firstLineChars="0"/>
              <w:jc w:val="center"/>
              <w:rPr>
                <w:color w:val="auto"/>
                <w:kern w:val="0"/>
                <w:sz w:val="21"/>
                <w:szCs w:val="21"/>
              </w:rPr>
            </w:pPr>
            <w:r>
              <w:rPr>
                <w:color w:val="auto"/>
                <w:kern w:val="0"/>
                <w:sz w:val="21"/>
                <w:szCs w:val="21"/>
              </w:rPr>
              <w:t>交由南通润启环保服务有限公司</w:t>
            </w:r>
            <w:r>
              <w:rPr>
                <w:rFonts w:hint="eastAsia"/>
                <w:color w:val="auto"/>
                <w:kern w:val="0"/>
                <w:sz w:val="21"/>
                <w:szCs w:val="21"/>
              </w:rPr>
              <w:t>焚烧</w:t>
            </w:r>
            <w:r>
              <w:rPr>
                <w:color w:val="auto"/>
                <w:kern w:val="0"/>
                <w:sz w:val="21"/>
                <w:szCs w:val="21"/>
              </w:rPr>
              <w:t>处置</w:t>
            </w:r>
          </w:p>
        </w:tc>
      </w:tr>
      <w:tr w14:paraId="5761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4" w:space="0"/>
              <w:right w:val="single" w:color="auto" w:sz="4" w:space="0"/>
            </w:tcBorders>
          </w:tcPr>
          <w:p w14:paraId="518B113D">
            <w:pPr>
              <w:widowControl/>
              <w:spacing w:line="240" w:lineRule="auto"/>
              <w:ind w:firstLine="0" w:firstLineChars="0"/>
              <w:jc w:val="center"/>
              <w:rPr>
                <w:color w:val="auto"/>
                <w:kern w:val="0"/>
                <w:sz w:val="21"/>
                <w:szCs w:val="21"/>
              </w:rPr>
            </w:pPr>
            <w:r>
              <w:rPr>
                <w:rFonts w:hint="eastAsia"/>
                <w:color w:val="auto"/>
                <w:kern w:val="0"/>
                <w:sz w:val="21"/>
                <w:szCs w:val="21"/>
              </w:rPr>
              <w:t>2</w:t>
            </w:r>
          </w:p>
        </w:tc>
        <w:tc>
          <w:tcPr>
            <w:tcW w:w="680" w:type="pct"/>
            <w:tcBorders>
              <w:top w:val="single" w:color="auto" w:sz="4" w:space="0"/>
              <w:left w:val="single" w:color="auto" w:sz="4" w:space="0"/>
              <w:bottom w:val="single" w:color="auto" w:sz="4" w:space="0"/>
              <w:right w:val="single" w:color="auto" w:sz="4" w:space="0"/>
            </w:tcBorders>
          </w:tcPr>
          <w:p w14:paraId="3DC21A32">
            <w:pPr>
              <w:widowControl/>
              <w:spacing w:line="240" w:lineRule="auto"/>
              <w:ind w:firstLine="0" w:firstLineChars="0"/>
              <w:jc w:val="center"/>
              <w:rPr>
                <w:color w:val="auto"/>
                <w:kern w:val="0"/>
                <w:sz w:val="21"/>
                <w:szCs w:val="21"/>
              </w:rPr>
            </w:pPr>
            <w:r>
              <w:rPr>
                <w:color w:val="auto"/>
                <w:kern w:val="0"/>
                <w:sz w:val="21"/>
                <w:szCs w:val="21"/>
              </w:rPr>
              <w:t>废油漆桶</w:t>
            </w:r>
          </w:p>
        </w:tc>
        <w:tc>
          <w:tcPr>
            <w:tcW w:w="672" w:type="pct"/>
            <w:tcBorders>
              <w:top w:val="single" w:color="auto" w:sz="4" w:space="0"/>
              <w:left w:val="single" w:color="auto" w:sz="4" w:space="0"/>
              <w:bottom w:val="single" w:color="auto" w:sz="4" w:space="0"/>
              <w:right w:val="single" w:color="auto" w:sz="4" w:space="0"/>
            </w:tcBorders>
            <w:vAlign w:val="center"/>
          </w:tcPr>
          <w:p w14:paraId="5A73C9C7">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2710BA6D">
            <w:pPr>
              <w:widowControl/>
              <w:spacing w:line="240" w:lineRule="auto"/>
              <w:ind w:firstLine="0" w:firstLineChars="0"/>
              <w:jc w:val="center"/>
              <w:rPr>
                <w:color w:val="auto"/>
                <w:kern w:val="0"/>
                <w:sz w:val="21"/>
                <w:szCs w:val="21"/>
              </w:rPr>
            </w:pPr>
            <w:r>
              <w:rPr>
                <w:color w:val="auto"/>
                <w:kern w:val="0"/>
                <w:sz w:val="21"/>
                <w:szCs w:val="21"/>
              </w:rPr>
              <w:t>HW49</w:t>
            </w:r>
          </w:p>
        </w:tc>
        <w:tc>
          <w:tcPr>
            <w:tcW w:w="784" w:type="pct"/>
            <w:tcBorders>
              <w:top w:val="single" w:color="auto" w:sz="4" w:space="0"/>
              <w:left w:val="single" w:color="auto" w:sz="4" w:space="0"/>
              <w:bottom w:val="single" w:color="auto" w:sz="4" w:space="0"/>
              <w:right w:val="single" w:color="auto" w:sz="4" w:space="0"/>
            </w:tcBorders>
          </w:tcPr>
          <w:p w14:paraId="47CCA6FD">
            <w:pPr>
              <w:widowControl/>
              <w:spacing w:line="240" w:lineRule="auto"/>
              <w:ind w:firstLine="0" w:firstLineChars="0"/>
              <w:jc w:val="center"/>
              <w:rPr>
                <w:color w:val="auto"/>
                <w:kern w:val="0"/>
                <w:sz w:val="21"/>
                <w:szCs w:val="21"/>
              </w:rPr>
            </w:pPr>
            <w:r>
              <w:rPr>
                <w:color w:val="auto"/>
                <w:kern w:val="0"/>
                <w:sz w:val="21"/>
                <w:szCs w:val="21"/>
              </w:rPr>
              <w:t>900-041-49</w:t>
            </w:r>
          </w:p>
        </w:tc>
        <w:tc>
          <w:tcPr>
            <w:tcW w:w="1000" w:type="pct"/>
            <w:tcBorders>
              <w:top w:val="single" w:color="auto" w:sz="4" w:space="0"/>
              <w:left w:val="single" w:color="auto" w:sz="4" w:space="0"/>
              <w:bottom w:val="single" w:color="auto" w:sz="4" w:space="0"/>
              <w:right w:val="single" w:color="auto" w:sz="4" w:space="0"/>
            </w:tcBorders>
          </w:tcPr>
          <w:p w14:paraId="112F0504">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53E01A68">
            <w:pPr>
              <w:widowControl/>
              <w:spacing w:line="240" w:lineRule="auto"/>
              <w:ind w:firstLine="0" w:firstLineChars="0"/>
              <w:jc w:val="center"/>
              <w:rPr>
                <w:color w:val="auto"/>
                <w:kern w:val="0"/>
                <w:sz w:val="21"/>
                <w:szCs w:val="21"/>
              </w:rPr>
            </w:pPr>
          </w:p>
        </w:tc>
      </w:tr>
      <w:tr w14:paraId="07EE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pct"/>
            <w:tcBorders>
              <w:top w:val="single" w:color="auto" w:sz="4" w:space="0"/>
              <w:left w:val="nil"/>
              <w:bottom w:val="single" w:color="auto" w:sz="4" w:space="0"/>
              <w:right w:val="single" w:color="auto" w:sz="4" w:space="0"/>
            </w:tcBorders>
          </w:tcPr>
          <w:p w14:paraId="082A79EA">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680" w:type="pct"/>
            <w:tcBorders>
              <w:top w:val="single" w:color="auto" w:sz="4" w:space="0"/>
              <w:left w:val="single" w:color="auto" w:sz="4" w:space="0"/>
              <w:bottom w:val="single" w:color="auto" w:sz="4" w:space="0"/>
              <w:right w:val="single" w:color="auto" w:sz="4" w:space="0"/>
            </w:tcBorders>
          </w:tcPr>
          <w:p w14:paraId="628951E1">
            <w:pPr>
              <w:widowControl/>
              <w:spacing w:line="240" w:lineRule="auto"/>
              <w:ind w:firstLine="0" w:firstLineChars="0"/>
              <w:jc w:val="center"/>
              <w:rPr>
                <w:color w:val="auto"/>
                <w:kern w:val="0"/>
                <w:sz w:val="21"/>
                <w:szCs w:val="21"/>
              </w:rPr>
            </w:pPr>
            <w:r>
              <w:rPr>
                <w:color w:val="auto"/>
                <w:kern w:val="0"/>
                <w:sz w:val="21"/>
                <w:szCs w:val="21"/>
              </w:rPr>
              <w:t>污泥</w:t>
            </w:r>
          </w:p>
        </w:tc>
        <w:tc>
          <w:tcPr>
            <w:tcW w:w="672" w:type="pct"/>
            <w:tcBorders>
              <w:top w:val="single" w:color="auto" w:sz="4" w:space="0"/>
              <w:left w:val="single" w:color="auto" w:sz="4" w:space="0"/>
              <w:bottom w:val="single" w:color="auto" w:sz="4" w:space="0"/>
              <w:right w:val="single" w:color="auto" w:sz="4" w:space="0"/>
            </w:tcBorders>
            <w:vAlign w:val="center"/>
          </w:tcPr>
          <w:p w14:paraId="491707B8">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138FF5AA">
            <w:pPr>
              <w:widowControl/>
              <w:spacing w:line="240" w:lineRule="auto"/>
              <w:ind w:firstLine="0" w:firstLineChars="0"/>
              <w:jc w:val="center"/>
              <w:rPr>
                <w:color w:val="auto"/>
                <w:kern w:val="0"/>
                <w:sz w:val="21"/>
                <w:szCs w:val="21"/>
              </w:rPr>
            </w:pPr>
            <w:r>
              <w:rPr>
                <w:color w:val="auto"/>
                <w:kern w:val="0"/>
                <w:sz w:val="21"/>
                <w:szCs w:val="21"/>
              </w:rPr>
              <w:t>HW49</w:t>
            </w:r>
          </w:p>
        </w:tc>
        <w:tc>
          <w:tcPr>
            <w:tcW w:w="784" w:type="pct"/>
            <w:tcBorders>
              <w:top w:val="single" w:color="auto" w:sz="4" w:space="0"/>
              <w:left w:val="single" w:color="auto" w:sz="4" w:space="0"/>
              <w:bottom w:val="single" w:color="auto" w:sz="4" w:space="0"/>
              <w:right w:val="single" w:color="auto" w:sz="4" w:space="0"/>
            </w:tcBorders>
          </w:tcPr>
          <w:p w14:paraId="14D029BE">
            <w:pPr>
              <w:widowControl/>
              <w:spacing w:line="240" w:lineRule="auto"/>
              <w:ind w:firstLine="0" w:firstLineChars="0"/>
              <w:jc w:val="center"/>
              <w:rPr>
                <w:color w:val="auto"/>
                <w:kern w:val="0"/>
                <w:sz w:val="21"/>
                <w:szCs w:val="21"/>
              </w:rPr>
            </w:pPr>
            <w:r>
              <w:rPr>
                <w:color w:val="auto"/>
                <w:kern w:val="0"/>
                <w:sz w:val="21"/>
                <w:szCs w:val="21"/>
              </w:rPr>
              <w:t>772-006-49</w:t>
            </w:r>
          </w:p>
        </w:tc>
        <w:tc>
          <w:tcPr>
            <w:tcW w:w="1000" w:type="pct"/>
            <w:tcBorders>
              <w:top w:val="single" w:color="auto" w:sz="4" w:space="0"/>
              <w:left w:val="single" w:color="auto" w:sz="4" w:space="0"/>
              <w:bottom w:val="single" w:color="auto" w:sz="4" w:space="0"/>
              <w:right w:val="single" w:color="auto" w:sz="4" w:space="0"/>
            </w:tcBorders>
          </w:tcPr>
          <w:p w14:paraId="10DE0D3B">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31AE548B">
            <w:pPr>
              <w:widowControl/>
              <w:spacing w:line="240" w:lineRule="auto"/>
              <w:ind w:firstLine="0" w:firstLineChars="0"/>
              <w:jc w:val="center"/>
              <w:rPr>
                <w:color w:val="auto"/>
                <w:kern w:val="0"/>
                <w:sz w:val="21"/>
                <w:szCs w:val="21"/>
              </w:rPr>
            </w:pPr>
          </w:p>
        </w:tc>
      </w:tr>
      <w:tr w14:paraId="2983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4" w:space="0"/>
              <w:right w:val="single" w:color="auto" w:sz="4" w:space="0"/>
            </w:tcBorders>
          </w:tcPr>
          <w:p w14:paraId="4E32682C">
            <w:pPr>
              <w:widowControl/>
              <w:spacing w:line="240" w:lineRule="auto"/>
              <w:ind w:firstLine="0" w:firstLineChars="0"/>
              <w:jc w:val="center"/>
              <w:rPr>
                <w:color w:val="auto"/>
                <w:kern w:val="0"/>
                <w:sz w:val="21"/>
                <w:szCs w:val="21"/>
              </w:rPr>
            </w:pPr>
            <w:r>
              <w:rPr>
                <w:rFonts w:hint="eastAsia"/>
                <w:color w:val="auto"/>
                <w:kern w:val="0"/>
                <w:sz w:val="21"/>
                <w:szCs w:val="21"/>
              </w:rPr>
              <w:t>4</w:t>
            </w:r>
          </w:p>
        </w:tc>
        <w:tc>
          <w:tcPr>
            <w:tcW w:w="680" w:type="pct"/>
            <w:tcBorders>
              <w:top w:val="single" w:color="auto" w:sz="4" w:space="0"/>
              <w:left w:val="single" w:color="auto" w:sz="4" w:space="0"/>
              <w:bottom w:val="single" w:color="auto" w:sz="4" w:space="0"/>
              <w:right w:val="single" w:color="auto" w:sz="4" w:space="0"/>
            </w:tcBorders>
          </w:tcPr>
          <w:p w14:paraId="58B1B78B">
            <w:pPr>
              <w:widowControl/>
              <w:spacing w:line="240" w:lineRule="auto"/>
              <w:ind w:firstLine="0" w:firstLineChars="0"/>
              <w:jc w:val="center"/>
              <w:rPr>
                <w:color w:val="auto"/>
                <w:kern w:val="0"/>
                <w:sz w:val="21"/>
                <w:szCs w:val="21"/>
              </w:rPr>
            </w:pPr>
            <w:r>
              <w:rPr>
                <w:color w:val="auto"/>
                <w:kern w:val="0"/>
                <w:sz w:val="21"/>
                <w:szCs w:val="21"/>
              </w:rPr>
              <w:t>废树脂</w:t>
            </w:r>
          </w:p>
        </w:tc>
        <w:tc>
          <w:tcPr>
            <w:tcW w:w="672" w:type="pct"/>
            <w:tcBorders>
              <w:top w:val="single" w:color="auto" w:sz="4" w:space="0"/>
              <w:left w:val="single" w:color="auto" w:sz="4" w:space="0"/>
              <w:bottom w:val="single" w:color="auto" w:sz="4" w:space="0"/>
              <w:right w:val="single" w:color="auto" w:sz="4" w:space="0"/>
            </w:tcBorders>
            <w:vAlign w:val="center"/>
          </w:tcPr>
          <w:p w14:paraId="34DB242B">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560742D6">
            <w:pPr>
              <w:widowControl/>
              <w:spacing w:line="240" w:lineRule="auto"/>
              <w:ind w:firstLine="0" w:firstLineChars="0"/>
              <w:jc w:val="center"/>
              <w:rPr>
                <w:color w:val="auto"/>
                <w:kern w:val="0"/>
                <w:sz w:val="21"/>
                <w:szCs w:val="21"/>
              </w:rPr>
            </w:pPr>
            <w:r>
              <w:rPr>
                <w:color w:val="auto"/>
                <w:kern w:val="0"/>
                <w:sz w:val="21"/>
                <w:szCs w:val="21"/>
              </w:rPr>
              <w:t>HW13</w:t>
            </w:r>
          </w:p>
        </w:tc>
        <w:tc>
          <w:tcPr>
            <w:tcW w:w="784" w:type="pct"/>
            <w:tcBorders>
              <w:top w:val="single" w:color="auto" w:sz="4" w:space="0"/>
              <w:left w:val="single" w:color="auto" w:sz="4" w:space="0"/>
              <w:bottom w:val="single" w:color="auto" w:sz="4" w:space="0"/>
              <w:right w:val="single" w:color="auto" w:sz="4" w:space="0"/>
            </w:tcBorders>
          </w:tcPr>
          <w:p w14:paraId="6F9BF4F0">
            <w:pPr>
              <w:widowControl/>
              <w:spacing w:line="240" w:lineRule="auto"/>
              <w:ind w:firstLine="0" w:firstLineChars="0"/>
              <w:jc w:val="center"/>
              <w:rPr>
                <w:color w:val="auto"/>
                <w:kern w:val="0"/>
                <w:sz w:val="21"/>
                <w:szCs w:val="21"/>
              </w:rPr>
            </w:pPr>
            <w:r>
              <w:rPr>
                <w:color w:val="auto"/>
                <w:kern w:val="0"/>
                <w:sz w:val="21"/>
                <w:szCs w:val="21"/>
              </w:rPr>
              <w:t>900-015-13</w:t>
            </w:r>
          </w:p>
        </w:tc>
        <w:tc>
          <w:tcPr>
            <w:tcW w:w="1000" w:type="pct"/>
            <w:tcBorders>
              <w:top w:val="single" w:color="auto" w:sz="4" w:space="0"/>
              <w:left w:val="single" w:color="auto" w:sz="4" w:space="0"/>
              <w:bottom w:val="single" w:color="auto" w:sz="4" w:space="0"/>
              <w:right w:val="single" w:color="auto" w:sz="4" w:space="0"/>
            </w:tcBorders>
          </w:tcPr>
          <w:p w14:paraId="4D109C4A">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11489B87">
            <w:pPr>
              <w:widowControl/>
              <w:spacing w:line="240" w:lineRule="auto"/>
              <w:ind w:firstLine="0" w:firstLineChars="0"/>
              <w:jc w:val="center"/>
              <w:rPr>
                <w:color w:val="auto"/>
                <w:kern w:val="0"/>
                <w:sz w:val="21"/>
                <w:szCs w:val="21"/>
              </w:rPr>
            </w:pPr>
          </w:p>
        </w:tc>
      </w:tr>
      <w:tr w14:paraId="6E74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4" w:space="0"/>
              <w:right w:val="single" w:color="auto" w:sz="4" w:space="0"/>
            </w:tcBorders>
          </w:tcPr>
          <w:p w14:paraId="599AF269">
            <w:pPr>
              <w:widowControl/>
              <w:spacing w:line="240" w:lineRule="auto"/>
              <w:ind w:firstLine="0" w:firstLineChars="0"/>
              <w:jc w:val="center"/>
              <w:rPr>
                <w:color w:val="auto"/>
                <w:kern w:val="0"/>
                <w:sz w:val="21"/>
                <w:szCs w:val="21"/>
              </w:rPr>
            </w:pPr>
            <w:r>
              <w:rPr>
                <w:rFonts w:hint="eastAsia"/>
                <w:color w:val="auto"/>
                <w:kern w:val="0"/>
                <w:sz w:val="21"/>
                <w:szCs w:val="21"/>
              </w:rPr>
              <w:t>5</w:t>
            </w:r>
          </w:p>
        </w:tc>
        <w:tc>
          <w:tcPr>
            <w:tcW w:w="680" w:type="pct"/>
            <w:tcBorders>
              <w:top w:val="single" w:color="auto" w:sz="4" w:space="0"/>
              <w:left w:val="single" w:color="auto" w:sz="4" w:space="0"/>
              <w:bottom w:val="single" w:color="auto" w:sz="4" w:space="0"/>
              <w:right w:val="single" w:color="auto" w:sz="4" w:space="0"/>
            </w:tcBorders>
          </w:tcPr>
          <w:p w14:paraId="2A2C90E1">
            <w:pPr>
              <w:widowControl/>
              <w:spacing w:line="240" w:lineRule="auto"/>
              <w:ind w:firstLine="0" w:firstLineChars="0"/>
              <w:jc w:val="center"/>
              <w:rPr>
                <w:color w:val="auto"/>
                <w:kern w:val="0"/>
                <w:sz w:val="21"/>
                <w:szCs w:val="21"/>
              </w:rPr>
            </w:pPr>
            <w:r>
              <w:rPr>
                <w:color w:val="auto"/>
                <w:kern w:val="0"/>
                <w:sz w:val="21"/>
                <w:szCs w:val="21"/>
              </w:rPr>
              <w:t>在线监测仪废液</w:t>
            </w:r>
          </w:p>
        </w:tc>
        <w:tc>
          <w:tcPr>
            <w:tcW w:w="672" w:type="pct"/>
            <w:tcBorders>
              <w:top w:val="single" w:color="auto" w:sz="4" w:space="0"/>
              <w:left w:val="single" w:color="auto" w:sz="4" w:space="0"/>
              <w:bottom w:val="single" w:color="auto" w:sz="4" w:space="0"/>
              <w:right w:val="single" w:color="auto" w:sz="4" w:space="0"/>
            </w:tcBorders>
            <w:vAlign w:val="center"/>
          </w:tcPr>
          <w:p w14:paraId="0ABECFF9">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553D3AD4">
            <w:pPr>
              <w:widowControl/>
              <w:spacing w:line="240" w:lineRule="auto"/>
              <w:ind w:firstLine="0" w:firstLineChars="0"/>
              <w:jc w:val="center"/>
              <w:rPr>
                <w:color w:val="auto"/>
                <w:kern w:val="0"/>
                <w:sz w:val="21"/>
                <w:szCs w:val="21"/>
              </w:rPr>
            </w:pPr>
            <w:r>
              <w:rPr>
                <w:color w:val="auto"/>
                <w:kern w:val="0"/>
                <w:sz w:val="21"/>
                <w:szCs w:val="21"/>
              </w:rPr>
              <w:t>HW49</w:t>
            </w:r>
          </w:p>
        </w:tc>
        <w:tc>
          <w:tcPr>
            <w:tcW w:w="784" w:type="pct"/>
            <w:tcBorders>
              <w:top w:val="single" w:color="auto" w:sz="4" w:space="0"/>
              <w:left w:val="single" w:color="auto" w:sz="4" w:space="0"/>
              <w:bottom w:val="single" w:color="auto" w:sz="4" w:space="0"/>
              <w:right w:val="single" w:color="auto" w:sz="4" w:space="0"/>
            </w:tcBorders>
          </w:tcPr>
          <w:p w14:paraId="2906B9C6">
            <w:pPr>
              <w:widowControl/>
              <w:spacing w:line="240" w:lineRule="auto"/>
              <w:ind w:firstLine="0" w:firstLineChars="0"/>
              <w:jc w:val="center"/>
              <w:rPr>
                <w:color w:val="auto"/>
                <w:kern w:val="0"/>
                <w:sz w:val="21"/>
                <w:szCs w:val="21"/>
              </w:rPr>
            </w:pPr>
            <w:r>
              <w:rPr>
                <w:color w:val="auto"/>
                <w:kern w:val="0"/>
                <w:sz w:val="21"/>
                <w:szCs w:val="21"/>
              </w:rPr>
              <w:t>900-047-49</w:t>
            </w:r>
          </w:p>
        </w:tc>
        <w:tc>
          <w:tcPr>
            <w:tcW w:w="1000" w:type="pct"/>
            <w:tcBorders>
              <w:top w:val="single" w:color="auto" w:sz="4" w:space="0"/>
              <w:left w:val="single" w:color="auto" w:sz="4" w:space="0"/>
              <w:bottom w:val="single" w:color="auto" w:sz="4" w:space="0"/>
              <w:right w:val="single" w:color="auto" w:sz="4" w:space="0"/>
            </w:tcBorders>
          </w:tcPr>
          <w:p w14:paraId="0211A3D8">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79C750CF">
            <w:pPr>
              <w:widowControl/>
              <w:spacing w:line="240" w:lineRule="auto"/>
              <w:ind w:firstLine="0" w:firstLineChars="0"/>
              <w:jc w:val="center"/>
              <w:rPr>
                <w:color w:val="auto"/>
                <w:kern w:val="0"/>
                <w:sz w:val="21"/>
                <w:szCs w:val="21"/>
              </w:rPr>
            </w:pPr>
          </w:p>
        </w:tc>
      </w:tr>
      <w:tr w14:paraId="3B11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4" w:space="0"/>
              <w:right w:val="single" w:color="auto" w:sz="4" w:space="0"/>
            </w:tcBorders>
          </w:tcPr>
          <w:p w14:paraId="2D500D35">
            <w:pPr>
              <w:widowControl/>
              <w:spacing w:line="240" w:lineRule="auto"/>
              <w:ind w:firstLine="0" w:firstLineChars="0"/>
              <w:jc w:val="center"/>
              <w:rPr>
                <w:color w:val="auto"/>
                <w:kern w:val="0"/>
                <w:sz w:val="21"/>
                <w:szCs w:val="21"/>
              </w:rPr>
            </w:pPr>
            <w:r>
              <w:rPr>
                <w:rFonts w:hint="eastAsia"/>
                <w:color w:val="auto"/>
                <w:kern w:val="0"/>
                <w:sz w:val="21"/>
                <w:szCs w:val="21"/>
              </w:rPr>
              <w:t>6</w:t>
            </w:r>
          </w:p>
        </w:tc>
        <w:tc>
          <w:tcPr>
            <w:tcW w:w="680" w:type="pct"/>
            <w:tcBorders>
              <w:top w:val="single" w:color="auto" w:sz="4" w:space="0"/>
              <w:left w:val="single" w:color="auto" w:sz="4" w:space="0"/>
              <w:bottom w:val="single" w:color="auto" w:sz="4" w:space="0"/>
              <w:right w:val="single" w:color="auto" w:sz="4" w:space="0"/>
            </w:tcBorders>
          </w:tcPr>
          <w:p w14:paraId="75970267">
            <w:pPr>
              <w:widowControl/>
              <w:spacing w:line="240" w:lineRule="auto"/>
              <w:ind w:firstLine="0" w:firstLineChars="0"/>
              <w:jc w:val="center"/>
              <w:rPr>
                <w:color w:val="auto"/>
                <w:kern w:val="0"/>
                <w:sz w:val="21"/>
                <w:szCs w:val="21"/>
              </w:rPr>
            </w:pPr>
            <w:r>
              <w:rPr>
                <w:color w:val="auto"/>
                <w:kern w:val="0"/>
                <w:sz w:val="21"/>
                <w:szCs w:val="21"/>
              </w:rPr>
              <w:t>废叉车液压油</w:t>
            </w:r>
          </w:p>
        </w:tc>
        <w:tc>
          <w:tcPr>
            <w:tcW w:w="672" w:type="pct"/>
            <w:tcBorders>
              <w:top w:val="single" w:color="auto" w:sz="4" w:space="0"/>
              <w:left w:val="single" w:color="auto" w:sz="4" w:space="0"/>
              <w:bottom w:val="single" w:color="auto" w:sz="4" w:space="0"/>
              <w:right w:val="single" w:color="auto" w:sz="4" w:space="0"/>
            </w:tcBorders>
            <w:vAlign w:val="center"/>
          </w:tcPr>
          <w:p w14:paraId="3D4415FD">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780C6C64">
            <w:pPr>
              <w:widowControl/>
              <w:spacing w:line="240" w:lineRule="auto"/>
              <w:ind w:firstLine="0" w:firstLineChars="0"/>
              <w:jc w:val="center"/>
              <w:rPr>
                <w:color w:val="auto"/>
                <w:kern w:val="0"/>
                <w:sz w:val="21"/>
                <w:szCs w:val="21"/>
              </w:rPr>
            </w:pPr>
            <w:r>
              <w:rPr>
                <w:color w:val="auto"/>
                <w:kern w:val="0"/>
                <w:sz w:val="21"/>
                <w:szCs w:val="21"/>
              </w:rPr>
              <w:t>HW08</w:t>
            </w:r>
          </w:p>
        </w:tc>
        <w:tc>
          <w:tcPr>
            <w:tcW w:w="784" w:type="pct"/>
            <w:tcBorders>
              <w:top w:val="single" w:color="auto" w:sz="4" w:space="0"/>
              <w:left w:val="single" w:color="auto" w:sz="4" w:space="0"/>
              <w:bottom w:val="single" w:color="auto" w:sz="4" w:space="0"/>
              <w:right w:val="single" w:color="auto" w:sz="4" w:space="0"/>
            </w:tcBorders>
          </w:tcPr>
          <w:p w14:paraId="0FA71E3C">
            <w:pPr>
              <w:widowControl/>
              <w:spacing w:line="240" w:lineRule="auto"/>
              <w:ind w:firstLine="0" w:firstLineChars="0"/>
              <w:jc w:val="center"/>
              <w:rPr>
                <w:color w:val="auto"/>
                <w:kern w:val="0"/>
                <w:sz w:val="21"/>
                <w:szCs w:val="21"/>
              </w:rPr>
            </w:pPr>
            <w:r>
              <w:rPr>
                <w:color w:val="auto"/>
                <w:kern w:val="0"/>
                <w:sz w:val="21"/>
                <w:szCs w:val="21"/>
              </w:rPr>
              <w:t>900-218-08</w:t>
            </w:r>
          </w:p>
        </w:tc>
        <w:tc>
          <w:tcPr>
            <w:tcW w:w="1000" w:type="pct"/>
            <w:tcBorders>
              <w:top w:val="single" w:color="auto" w:sz="4" w:space="0"/>
              <w:left w:val="single" w:color="auto" w:sz="4" w:space="0"/>
              <w:bottom w:val="single" w:color="auto" w:sz="4" w:space="0"/>
              <w:right w:val="single" w:color="auto" w:sz="4" w:space="0"/>
            </w:tcBorders>
          </w:tcPr>
          <w:p w14:paraId="193F9879">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37C92808">
            <w:pPr>
              <w:widowControl/>
              <w:spacing w:line="240" w:lineRule="auto"/>
              <w:ind w:firstLine="0" w:firstLineChars="0"/>
              <w:jc w:val="center"/>
              <w:rPr>
                <w:color w:val="auto"/>
                <w:kern w:val="0"/>
                <w:sz w:val="21"/>
                <w:szCs w:val="21"/>
              </w:rPr>
            </w:pPr>
          </w:p>
        </w:tc>
      </w:tr>
      <w:tr w14:paraId="0C3B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14" w:type="pct"/>
            <w:tcBorders>
              <w:top w:val="single" w:color="auto" w:sz="4" w:space="0"/>
              <w:left w:val="nil"/>
              <w:bottom w:val="single" w:color="auto" w:sz="4" w:space="0"/>
              <w:right w:val="single" w:color="auto" w:sz="4" w:space="0"/>
            </w:tcBorders>
          </w:tcPr>
          <w:p w14:paraId="6C8723FD">
            <w:pPr>
              <w:widowControl/>
              <w:spacing w:line="240" w:lineRule="auto"/>
              <w:ind w:firstLine="0" w:firstLineChars="0"/>
              <w:jc w:val="center"/>
              <w:rPr>
                <w:color w:val="auto"/>
                <w:kern w:val="0"/>
                <w:sz w:val="21"/>
                <w:szCs w:val="21"/>
              </w:rPr>
            </w:pPr>
            <w:r>
              <w:rPr>
                <w:rFonts w:hint="eastAsia"/>
                <w:color w:val="auto"/>
                <w:kern w:val="0"/>
                <w:sz w:val="21"/>
                <w:szCs w:val="21"/>
              </w:rPr>
              <w:t>7</w:t>
            </w:r>
          </w:p>
        </w:tc>
        <w:tc>
          <w:tcPr>
            <w:tcW w:w="680" w:type="pct"/>
            <w:tcBorders>
              <w:top w:val="single" w:color="auto" w:sz="4" w:space="0"/>
              <w:left w:val="single" w:color="auto" w:sz="4" w:space="0"/>
              <w:bottom w:val="single" w:color="auto" w:sz="4" w:space="0"/>
              <w:right w:val="single" w:color="auto" w:sz="4" w:space="0"/>
            </w:tcBorders>
          </w:tcPr>
          <w:p w14:paraId="2E10E337">
            <w:pPr>
              <w:widowControl/>
              <w:spacing w:line="240" w:lineRule="auto"/>
              <w:ind w:firstLine="0" w:firstLineChars="0"/>
              <w:jc w:val="center"/>
              <w:rPr>
                <w:color w:val="auto"/>
                <w:kern w:val="0"/>
                <w:sz w:val="21"/>
                <w:szCs w:val="21"/>
              </w:rPr>
            </w:pPr>
            <w:r>
              <w:rPr>
                <w:color w:val="auto"/>
                <w:kern w:val="0"/>
                <w:sz w:val="21"/>
                <w:szCs w:val="21"/>
              </w:rPr>
              <w:t>废冷冻机油</w:t>
            </w:r>
          </w:p>
        </w:tc>
        <w:tc>
          <w:tcPr>
            <w:tcW w:w="672" w:type="pct"/>
            <w:tcBorders>
              <w:top w:val="single" w:color="auto" w:sz="4" w:space="0"/>
              <w:left w:val="single" w:color="auto" w:sz="4" w:space="0"/>
              <w:bottom w:val="single" w:color="auto" w:sz="4" w:space="0"/>
              <w:right w:val="single" w:color="auto" w:sz="4" w:space="0"/>
            </w:tcBorders>
            <w:vAlign w:val="center"/>
          </w:tcPr>
          <w:p w14:paraId="58E96EC0">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0E4A9751">
            <w:pPr>
              <w:widowControl/>
              <w:spacing w:line="240" w:lineRule="auto"/>
              <w:ind w:firstLine="0" w:firstLineChars="0"/>
              <w:jc w:val="center"/>
              <w:rPr>
                <w:color w:val="auto"/>
                <w:kern w:val="0"/>
                <w:sz w:val="21"/>
                <w:szCs w:val="21"/>
              </w:rPr>
            </w:pPr>
            <w:r>
              <w:rPr>
                <w:color w:val="auto"/>
                <w:kern w:val="0"/>
                <w:sz w:val="21"/>
                <w:szCs w:val="21"/>
              </w:rPr>
              <w:t>HW08</w:t>
            </w:r>
          </w:p>
        </w:tc>
        <w:tc>
          <w:tcPr>
            <w:tcW w:w="784" w:type="pct"/>
            <w:tcBorders>
              <w:top w:val="single" w:color="auto" w:sz="4" w:space="0"/>
              <w:left w:val="single" w:color="auto" w:sz="4" w:space="0"/>
              <w:bottom w:val="single" w:color="auto" w:sz="4" w:space="0"/>
              <w:right w:val="single" w:color="auto" w:sz="4" w:space="0"/>
            </w:tcBorders>
          </w:tcPr>
          <w:p w14:paraId="5E9BB08D">
            <w:pPr>
              <w:widowControl/>
              <w:spacing w:line="240" w:lineRule="auto"/>
              <w:ind w:firstLine="0" w:firstLineChars="0"/>
              <w:jc w:val="center"/>
              <w:rPr>
                <w:color w:val="auto"/>
                <w:kern w:val="0"/>
                <w:sz w:val="21"/>
                <w:szCs w:val="21"/>
              </w:rPr>
            </w:pPr>
            <w:r>
              <w:rPr>
                <w:color w:val="auto"/>
                <w:kern w:val="0"/>
                <w:sz w:val="21"/>
                <w:szCs w:val="21"/>
              </w:rPr>
              <w:t>900-219-08</w:t>
            </w:r>
          </w:p>
        </w:tc>
        <w:tc>
          <w:tcPr>
            <w:tcW w:w="1000" w:type="pct"/>
            <w:tcBorders>
              <w:top w:val="single" w:color="auto" w:sz="4" w:space="0"/>
              <w:left w:val="single" w:color="auto" w:sz="4" w:space="0"/>
              <w:bottom w:val="single" w:color="auto" w:sz="4" w:space="0"/>
              <w:right w:val="single" w:color="auto" w:sz="4" w:space="0"/>
            </w:tcBorders>
          </w:tcPr>
          <w:p w14:paraId="15D0FEEC">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0DD05437">
            <w:pPr>
              <w:widowControl/>
              <w:spacing w:line="240" w:lineRule="auto"/>
              <w:ind w:firstLine="0" w:firstLineChars="0"/>
              <w:jc w:val="center"/>
              <w:rPr>
                <w:color w:val="auto"/>
                <w:kern w:val="0"/>
                <w:sz w:val="21"/>
                <w:szCs w:val="21"/>
              </w:rPr>
            </w:pPr>
          </w:p>
        </w:tc>
      </w:tr>
      <w:tr w14:paraId="74E9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4" w:space="0"/>
              <w:right w:val="single" w:color="auto" w:sz="4" w:space="0"/>
            </w:tcBorders>
          </w:tcPr>
          <w:p w14:paraId="5BF1345A">
            <w:pPr>
              <w:widowControl/>
              <w:spacing w:line="240" w:lineRule="auto"/>
              <w:ind w:firstLine="0" w:firstLineChars="0"/>
              <w:jc w:val="center"/>
              <w:rPr>
                <w:color w:val="auto"/>
                <w:kern w:val="0"/>
                <w:sz w:val="21"/>
                <w:szCs w:val="21"/>
              </w:rPr>
            </w:pPr>
            <w:r>
              <w:rPr>
                <w:rFonts w:hint="eastAsia"/>
                <w:color w:val="auto"/>
                <w:kern w:val="0"/>
                <w:sz w:val="21"/>
                <w:szCs w:val="21"/>
              </w:rPr>
              <w:t>8</w:t>
            </w:r>
          </w:p>
        </w:tc>
        <w:tc>
          <w:tcPr>
            <w:tcW w:w="680" w:type="pct"/>
            <w:tcBorders>
              <w:top w:val="single" w:color="auto" w:sz="4" w:space="0"/>
              <w:left w:val="single" w:color="auto" w:sz="4" w:space="0"/>
              <w:bottom w:val="single" w:color="auto" w:sz="4" w:space="0"/>
              <w:right w:val="single" w:color="auto" w:sz="4" w:space="0"/>
            </w:tcBorders>
          </w:tcPr>
          <w:p w14:paraId="631558A5">
            <w:pPr>
              <w:widowControl/>
              <w:spacing w:line="240" w:lineRule="auto"/>
              <w:ind w:firstLine="0" w:firstLineChars="0"/>
              <w:jc w:val="center"/>
              <w:rPr>
                <w:color w:val="auto"/>
                <w:kern w:val="0"/>
                <w:sz w:val="21"/>
                <w:szCs w:val="21"/>
              </w:rPr>
            </w:pPr>
            <w:r>
              <w:rPr>
                <w:color w:val="auto"/>
                <w:kern w:val="0"/>
                <w:sz w:val="21"/>
                <w:szCs w:val="21"/>
              </w:rPr>
              <w:t>废叉车发动机油</w:t>
            </w:r>
          </w:p>
        </w:tc>
        <w:tc>
          <w:tcPr>
            <w:tcW w:w="672" w:type="pct"/>
            <w:tcBorders>
              <w:top w:val="single" w:color="auto" w:sz="4" w:space="0"/>
              <w:left w:val="single" w:color="auto" w:sz="4" w:space="0"/>
              <w:bottom w:val="single" w:color="auto" w:sz="4" w:space="0"/>
              <w:right w:val="single" w:color="auto" w:sz="4" w:space="0"/>
            </w:tcBorders>
            <w:vAlign w:val="center"/>
          </w:tcPr>
          <w:p w14:paraId="44F6978B">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43209506">
            <w:pPr>
              <w:widowControl/>
              <w:spacing w:line="240" w:lineRule="auto"/>
              <w:ind w:firstLine="0" w:firstLineChars="0"/>
              <w:jc w:val="center"/>
              <w:rPr>
                <w:color w:val="auto"/>
                <w:kern w:val="0"/>
                <w:sz w:val="21"/>
                <w:szCs w:val="21"/>
              </w:rPr>
            </w:pPr>
            <w:r>
              <w:rPr>
                <w:color w:val="auto"/>
                <w:kern w:val="0"/>
                <w:sz w:val="21"/>
                <w:szCs w:val="21"/>
              </w:rPr>
              <w:t>HW08</w:t>
            </w:r>
          </w:p>
        </w:tc>
        <w:tc>
          <w:tcPr>
            <w:tcW w:w="784" w:type="pct"/>
            <w:tcBorders>
              <w:top w:val="single" w:color="auto" w:sz="4" w:space="0"/>
              <w:left w:val="single" w:color="auto" w:sz="4" w:space="0"/>
              <w:bottom w:val="single" w:color="auto" w:sz="4" w:space="0"/>
              <w:right w:val="single" w:color="auto" w:sz="4" w:space="0"/>
            </w:tcBorders>
          </w:tcPr>
          <w:p w14:paraId="5401E5BD">
            <w:pPr>
              <w:widowControl/>
              <w:spacing w:line="240" w:lineRule="auto"/>
              <w:ind w:firstLine="0" w:firstLineChars="0"/>
              <w:jc w:val="center"/>
              <w:rPr>
                <w:color w:val="auto"/>
                <w:kern w:val="0"/>
                <w:sz w:val="21"/>
                <w:szCs w:val="21"/>
              </w:rPr>
            </w:pPr>
            <w:r>
              <w:rPr>
                <w:color w:val="auto"/>
                <w:kern w:val="0"/>
                <w:sz w:val="21"/>
                <w:szCs w:val="21"/>
              </w:rPr>
              <w:t>900-214-08</w:t>
            </w:r>
          </w:p>
        </w:tc>
        <w:tc>
          <w:tcPr>
            <w:tcW w:w="1000" w:type="pct"/>
            <w:tcBorders>
              <w:top w:val="single" w:color="auto" w:sz="4" w:space="0"/>
              <w:left w:val="single" w:color="auto" w:sz="4" w:space="0"/>
              <w:bottom w:val="single" w:color="auto" w:sz="4" w:space="0"/>
              <w:right w:val="single" w:color="auto" w:sz="4" w:space="0"/>
            </w:tcBorders>
          </w:tcPr>
          <w:p w14:paraId="67D76657">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4D7DF9E9">
            <w:pPr>
              <w:widowControl/>
              <w:spacing w:line="240" w:lineRule="auto"/>
              <w:ind w:firstLine="0" w:firstLineChars="0"/>
              <w:jc w:val="center"/>
              <w:rPr>
                <w:color w:val="auto"/>
                <w:kern w:val="0"/>
                <w:sz w:val="21"/>
                <w:szCs w:val="21"/>
              </w:rPr>
            </w:pPr>
          </w:p>
        </w:tc>
      </w:tr>
      <w:tr w14:paraId="7E67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pct"/>
            <w:tcBorders>
              <w:top w:val="single" w:color="auto" w:sz="4" w:space="0"/>
              <w:left w:val="nil"/>
              <w:bottom w:val="single" w:color="auto" w:sz="4" w:space="0"/>
              <w:right w:val="single" w:color="auto" w:sz="4" w:space="0"/>
            </w:tcBorders>
          </w:tcPr>
          <w:p w14:paraId="7C60992C">
            <w:pPr>
              <w:widowControl/>
              <w:spacing w:line="240" w:lineRule="auto"/>
              <w:ind w:firstLine="0" w:firstLineChars="0"/>
              <w:jc w:val="center"/>
              <w:rPr>
                <w:color w:val="auto"/>
                <w:kern w:val="0"/>
                <w:sz w:val="21"/>
                <w:szCs w:val="21"/>
              </w:rPr>
            </w:pPr>
            <w:r>
              <w:rPr>
                <w:rFonts w:hint="eastAsia"/>
                <w:color w:val="auto"/>
                <w:kern w:val="0"/>
                <w:sz w:val="21"/>
                <w:szCs w:val="21"/>
              </w:rPr>
              <w:t>9</w:t>
            </w:r>
          </w:p>
        </w:tc>
        <w:tc>
          <w:tcPr>
            <w:tcW w:w="680" w:type="pct"/>
            <w:tcBorders>
              <w:top w:val="single" w:color="auto" w:sz="4" w:space="0"/>
              <w:left w:val="single" w:color="auto" w:sz="4" w:space="0"/>
              <w:bottom w:val="single" w:color="auto" w:sz="4" w:space="0"/>
              <w:right w:val="single" w:color="auto" w:sz="4" w:space="0"/>
            </w:tcBorders>
          </w:tcPr>
          <w:p w14:paraId="341B0707">
            <w:pPr>
              <w:widowControl/>
              <w:spacing w:line="240" w:lineRule="auto"/>
              <w:ind w:firstLine="0" w:firstLineChars="0"/>
              <w:jc w:val="center"/>
              <w:rPr>
                <w:color w:val="auto"/>
                <w:kern w:val="0"/>
                <w:sz w:val="21"/>
                <w:szCs w:val="21"/>
              </w:rPr>
            </w:pPr>
            <w:r>
              <w:rPr>
                <w:color w:val="auto"/>
                <w:kern w:val="0"/>
                <w:sz w:val="21"/>
                <w:szCs w:val="21"/>
              </w:rPr>
              <w:t>实验室废物</w:t>
            </w:r>
          </w:p>
        </w:tc>
        <w:tc>
          <w:tcPr>
            <w:tcW w:w="672" w:type="pct"/>
            <w:tcBorders>
              <w:top w:val="single" w:color="auto" w:sz="4" w:space="0"/>
              <w:left w:val="single" w:color="auto" w:sz="4" w:space="0"/>
              <w:bottom w:val="single" w:color="auto" w:sz="4" w:space="0"/>
              <w:right w:val="single" w:color="auto" w:sz="4" w:space="0"/>
            </w:tcBorders>
            <w:vAlign w:val="center"/>
          </w:tcPr>
          <w:p w14:paraId="0BE969E5">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14901B35">
            <w:pPr>
              <w:widowControl/>
              <w:spacing w:line="240" w:lineRule="auto"/>
              <w:ind w:firstLine="0" w:firstLineChars="0"/>
              <w:jc w:val="center"/>
              <w:rPr>
                <w:color w:val="auto"/>
                <w:kern w:val="0"/>
                <w:sz w:val="21"/>
                <w:szCs w:val="21"/>
              </w:rPr>
            </w:pPr>
            <w:r>
              <w:rPr>
                <w:color w:val="auto"/>
                <w:kern w:val="0"/>
                <w:sz w:val="21"/>
                <w:szCs w:val="21"/>
              </w:rPr>
              <w:t>HW49</w:t>
            </w:r>
          </w:p>
        </w:tc>
        <w:tc>
          <w:tcPr>
            <w:tcW w:w="784" w:type="pct"/>
            <w:tcBorders>
              <w:top w:val="single" w:color="auto" w:sz="4" w:space="0"/>
              <w:left w:val="single" w:color="auto" w:sz="4" w:space="0"/>
              <w:bottom w:val="single" w:color="auto" w:sz="4" w:space="0"/>
              <w:right w:val="single" w:color="auto" w:sz="4" w:space="0"/>
            </w:tcBorders>
          </w:tcPr>
          <w:p w14:paraId="77708FC0">
            <w:pPr>
              <w:widowControl/>
              <w:spacing w:line="240" w:lineRule="auto"/>
              <w:ind w:firstLine="0" w:firstLineChars="0"/>
              <w:jc w:val="center"/>
              <w:rPr>
                <w:color w:val="auto"/>
                <w:kern w:val="0"/>
                <w:sz w:val="21"/>
                <w:szCs w:val="21"/>
              </w:rPr>
            </w:pPr>
            <w:r>
              <w:rPr>
                <w:color w:val="auto"/>
                <w:kern w:val="0"/>
                <w:sz w:val="21"/>
                <w:szCs w:val="21"/>
              </w:rPr>
              <w:t>900-047-49</w:t>
            </w:r>
          </w:p>
        </w:tc>
        <w:tc>
          <w:tcPr>
            <w:tcW w:w="1000" w:type="pct"/>
            <w:tcBorders>
              <w:top w:val="single" w:color="auto" w:sz="4" w:space="0"/>
              <w:left w:val="single" w:color="auto" w:sz="4" w:space="0"/>
              <w:bottom w:val="single" w:color="auto" w:sz="4" w:space="0"/>
              <w:right w:val="single" w:color="auto" w:sz="4" w:space="0"/>
            </w:tcBorders>
          </w:tcPr>
          <w:p w14:paraId="3447AE3D">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3CF42CCE">
            <w:pPr>
              <w:widowControl/>
              <w:spacing w:line="240" w:lineRule="auto"/>
              <w:ind w:firstLine="0" w:firstLineChars="0"/>
              <w:jc w:val="center"/>
              <w:rPr>
                <w:color w:val="auto"/>
                <w:kern w:val="0"/>
                <w:sz w:val="21"/>
                <w:szCs w:val="21"/>
              </w:rPr>
            </w:pPr>
          </w:p>
        </w:tc>
      </w:tr>
      <w:tr w14:paraId="12FC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pct"/>
            <w:tcBorders>
              <w:top w:val="single" w:color="auto" w:sz="4" w:space="0"/>
              <w:left w:val="nil"/>
              <w:bottom w:val="single" w:color="auto" w:sz="4" w:space="0"/>
              <w:right w:val="single" w:color="auto" w:sz="4" w:space="0"/>
            </w:tcBorders>
          </w:tcPr>
          <w:p w14:paraId="4C6D24F0">
            <w:pPr>
              <w:widowControl/>
              <w:spacing w:line="240" w:lineRule="auto"/>
              <w:ind w:firstLine="0" w:firstLineChars="0"/>
              <w:jc w:val="center"/>
              <w:rPr>
                <w:color w:val="auto"/>
                <w:kern w:val="0"/>
                <w:sz w:val="21"/>
                <w:szCs w:val="21"/>
              </w:rPr>
            </w:pPr>
            <w:r>
              <w:rPr>
                <w:rFonts w:hint="eastAsia"/>
                <w:color w:val="auto"/>
                <w:kern w:val="0"/>
                <w:sz w:val="21"/>
                <w:szCs w:val="21"/>
              </w:rPr>
              <w:t>10</w:t>
            </w:r>
          </w:p>
        </w:tc>
        <w:tc>
          <w:tcPr>
            <w:tcW w:w="680" w:type="pct"/>
            <w:tcBorders>
              <w:top w:val="single" w:color="auto" w:sz="4" w:space="0"/>
              <w:left w:val="single" w:color="auto" w:sz="4" w:space="0"/>
              <w:bottom w:val="single" w:color="auto" w:sz="4" w:space="0"/>
              <w:right w:val="single" w:color="auto" w:sz="4" w:space="0"/>
            </w:tcBorders>
          </w:tcPr>
          <w:p w14:paraId="6D8DAB5E">
            <w:pPr>
              <w:widowControl/>
              <w:spacing w:line="240" w:lineRule="auto"/>
              <w:ind w:firstLine="0" w:firstLineChars="0"/>
              <w:jc w:val="center"/>
              <w:rPr>
                <w:color w:val="auto"/>
                <w:kern w:val="0"/>
                <w:sz w:val="21"/>
                <w:szCs w:val="21"/>
              </w:rPr>
            </w:pPr>
            <w:r>
              <w:rPr>
                <w:color w:val="auto"/>
                <w:kern w:val="0"/>
                <w:sz w:val="21"/>
                <w:szCs w:val="21"/>
              </w:rPr>
              <w:t>机修废柴油</w:t>
            </w:r>
          </w:p>
        </w:tc>
        <w:tc>
          <w:tcPr>
            <w:tcW w:w="672" w:type="pct"/>
            <w:tcBorders>
              <w:top w:val="single" w:color="auto" w:sz="4" w:space="0"/>
              <w:left w:val="single" w:color="auto" w:sz="4" w:space="0"/>
              <w:bottom w:val="single" w:color="auto" w:sz="4" w:space="0"/>
              <w:right w:val="single" w:color="auto" w:sz="4" w:space="0"/>
            </w:tcBorders>
            <w:vAlign w:val="center"/>
          </w:tcPr>
          <w:p w14:paraId="6EF42C35">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2850DF39">
            <w:pPr>
              <w:widowControl/>
              <w:spacing w:line="240" w:lineRule="auto"/>
              <w:ind w:firstLine="0" w:firstLineChars="0"/>
              <w:jc w:val="center"/>
              <w:rPr>
                <w:color w:val="auto"/>
                <w:kern w:val="0"/>
                <w:sz w:val="21"/>
                <w:szCs w:val="21"/>
              </w:rPr>
            </w:pPr>
            <w:r>
              <w:rPr>
                <w:color w:val="auto"/>
                <w:kern w:val="0"/>
                <w:sz w:val="21"/>
                <w:szCs w:val="21"/>
              </w:rPr>
              <w:t>HW08</w:t>
            </w:r>
          </w:p>
        </w:tc>
        <w:tc>
          <w:tcPr>
            <w:tcW w:w="784" w:type="pct"/>
            <w:tcBorders>
              <w:top w:val="single" w:color="auto" w:sz="4" w:space="0"/>
              <w:left w:val="single" w:color="auto" w:sz="4" w:space="0"/>
              <w:bottom w:val="single" w:color="auto" w:sz="4" w:space="0"/>
              <w:right w:val="single" w:color="auto" w:sz="4" w:space="0"/>
            </w:tcBorders>
          </w:tcPr>
          <w:p w14:paraId="41904BD3">
            <w:pPr>
              <w:widowControl/>
              <w:spacing w:line="240" w:lineRule="auto"/>
              <w:ind w:firstLine="0" w:firstLineChars="0"/>
              <w:jc w:val="center"/>
              <w:rPr>
                <w:color w:val="auto"/>
                <w:kern w:val="0"/>
                <w:sz w:val="21"/>
                <w:szCs w:val="21"/>
              </w:rPr>
            </w:pPr>
            <w:r>
              <w:rPr>
                <w:color w:val="auto"/>
                <w:kern w:val="0"/>
                <w:sz w:val="21"/>
                <w:szCs w:val="21"/>
              </w:rPr>
              <w:t>900-201-08</w:t>
            </w:r>
          </w:p>
        </w:tc>
        <w:tc>
          <w:tcPr>
            <w:tcW w:w="1000" w:type="pct"/>
            <w:tcBorders>
              <w:top w:val="single" w:color="auto" w:sz="4" w:space="0"/>
              <w:left w:val="single" w:color="auto" w:sz="4" w:space="0"/>
              <w:bottom w:val="single" w:color="auto" w:sz="4" w:space="0"/>
              <w:right w:val="single" w:color="auto" w:sz="4" w:space="0"/>
            </w:tcBorders>
          </w:tcPr>
          <w:p w14:paraId="57B9A761">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08572A41">
            <w:pPr>
              <w:widowControl/>
              <w:spacing w:line="240" w:lineRule="auto"/>
              <w:ind w:firstLine="0" w:firstLineChars="0"/>
              <w:jc w:val="center"/>
              <w:rPr>
                <w:color w:val="auto"/>
                <w:kern w:val="0"/>
                <w:sz w:val="21"/>
                <w:szCs w:val="21"/>
              </w:rPr>
            </w:pPr>
          </w:p>
        </w:tc>
      </w:tr>
      <w:bookmarkEnd w:id="91"/>
      <w:tr w14:paraId="3A11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4" w:space="0"/>
              <w:right w:val="single" w:color="auto" w:sz="4" w:space="0"/>
            </w:tcBorders>
            <w:vAlign w:val="center"/>
          </w:tcPr>
          <w:p w14:paraId="4CD6AC00">
            <w:pPr>
              <w:widowControl/>
              <w:spacing w:line="240" w:lineRule="auto"/>
              <w:ind w:firstLine="0" w:firstLineChars="0"/>
              <w:jc w:val="center"/>
              <w:rPr>
                <w:color w:val="auto"/>
                <w:kern w:val="0"/>
                <w:sz w:val="21"/>
                <w:szCs w:val="21"/>
              </w:rPr>
            </w:pPr>
            <w:r>
              <w:rPr>
                <w:rFonts w:hint="eastAsia"/>
                <w:color w:val="auto"/>
                <w:kern w:val="0"/>
                <w:sz w:val="21"/>
                <w:szCs w:val="21"/>
              </w:rPr>
              <w:t>11</w:t>
            </w:r>
          </w:p>
        </w:tc>
        <w:tc>
          <w:tcPr>
            <w:tcW w:w="680" w:type="pct"/>
            <w:tcBorders>
              <w:top w:val="single" w:color="auto" w:sz="4" w:space="0"/>
              <w:left w:val="single" w:color="auto" w:sz="4" w:space="0"/>
              <w:bottom w:val="single" w:color="auto" w:sz="4" w:space="0"/>
              <w:right w:val="single" w:color="auto" w:sz="4" w:space="0"/>
            </w:tcBorders>
            <w:vAlign w:val="center"/>
          </w:tcPr>
          <w:p w14:paraId="03EAE578">
            <w:pPr>
              <w:widowControl/>
              <w:spacing w:line="240" w:lineRule="auto"/>
              <w:ind w:firstLine="0" w:firstLineChars="0"/>
              <w:jc w:val="center"/>
              <w:rPr>
                <w:color w:val="auto"/>
                <w:kern w:val="0"/>
                <w:sz w:val="21"/>
                <w:szCs w:val="21"/>
              </w:rPr>
            </w:pPr>
            <w:r>
              <w:rPr>
                <w:color w:val="auto"/>
                <w:kern w:val="0"/>
                <w:sz w:val="21"/>
                <w:szCs w:val="21"/>
              </w:rPr>
              <w:t>废水处理污泥</w:t>
            </w:r>
          </w:p>
        </w:tc>
        <w:tc>
          <w:tcPr>
            <w:tcW w:w="672" w:type="pct"/>
            <w:tcBorders>
              <w:top w:val="single" w:color="auto" w:sz="4" w:space="0"/>
              <w:left w:val="single" w:color="auto" w:sz="4" w:space="0"/>
              <w:bottom w:val="single" w:color="auto" w:sz="4" w:space="0"/>
              <w:right w:val="single" w:color="auto" w:sz="4" w:space="0"/>
            </w:tcBorders>
            <w:vAlign w:val="center"/>
          </w:tcPr>
          <w:p w14:paraId="6571EE3B">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5ECD2BC4">
            <w:pPr>
              <w:widowControl/>
              <w:spacing w:line="240" w:lineRule="auto"/>
              <w:ind w:firstLine="0" w:firstLineChars="0"/>
              <w:jc w:val="center"/>
              <w:rPr>
                <w:color w:val="auto"/>
                <w:kern w:val="0"/>
                <w:sz w:val="21"/>
                <w:szCs w:val="21"/>
              </w:rPr>
            </w:pPr>
            <w:r>
              <w:rPr>
                <w:color w:val="auto"/>
                <w:kern w:val="0"/>
                <w:sz w:val="21"/>
                <w:szCs w:val="21"/>
              </w:rPr>
              <w:t>HW49</w:t>
            </w:r>
          </w:p>
        </w:tc>
        <w:tc>
          <w:tcPr>
            <w:tcW w:w="784" w:type="pct"/>
            <w:tcBorders>
              <w:top w:val="single" w:color="auto" w:sz="4" w:space="0"/>
              <w:left w:val="single" w:color="auto" w:sz="4" w:space="0"/>
              <w:bottom w:val="single" w:color="auto" w:sz="4" w:space="0"/>
              <w:right w:val="single" w:color="auto" w:sz="4" w:space="0"/>
            </w:tcBorders>
            <w:vAlign w:val="center"/>
          </w:tcPr>
          <w:p w14:paraId="0014F259">
            <w:pPr>
              <w:widowControl/>
              <w:spacing w:line="240" w:lineRule="auto"/>
              <w:ind w:firstLine="0" w:firstLineChars="0"/>
              <w:jc w:val="center"/>
              <w:rPr>
                <w:color w:val="auto"/>
                <w:kern w:val="0"/>
                <w:sz w:val="21"/>
                <w:szCs w:val="21"/>
              </w:rPr>
            </w:pPr>
            <w:r>
              <w:rPr>
                <w:color w:val="auto"/>
                <w:kern w:val="0"/>
                <w:sz w:val="21"/>
                <w:szCs w:val="21"/>
              </w:rPr>
              <w:t>772-006-49</w:t>
            </w:r>
          </w:p>
        </w:tc>
        <w:tc>
          <w:tcPr>
            <w:tcW w:w="1000" w:type="pct"/>
            <w:tcBorders>
              <w:top w:val="single" w:color="auto" w:sz="4" w:space="0"/>
              <w:left w:val="single" w:color="auto" w:sz="4" w:space="0"/>
              <w:bottom w:val="single" w:color="auto" w:sz="4" w:space="0"/>
              <w:right w:val="single" w:color="auto" w:sz="4" w:space="0"/>
            </w:tcBorders>
            <w:vAlign w:val="center"/>
          </w:tcPr>
          <w:p w14:paraId="3EA1E246">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63727C22">
            <w:pPr>
              <w:widowControl/>
              <w:spacing w:line="240" w:lineRule="auto"/>
              <w:ind w:firstLine="0" w:firstLineChars="0"/>
              <w:jc w:val="center"/>
              <w:rPr>
                <w:color w:val="auto"/>
                <w:kern w:val="0"/>
                <w:sz w:val="21"/>
                <w:szCs w:val="21"/>
              </w:rPr>
            </w:pPr>
          </w:p>
        </w:tc>
      </w:tr>
      <w:tr w14:paraId="6B65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4" w:space="0"/>
              <w:right w:val="single" w:color="auto" w:sz="4" w:space="0"/>
            </w:tcBorders>
            <w:vAlign w:val="center"/>
          </w:tcPr>
          <w:p w14:paraId="2F430275">
            <w:pPr>
              <w:widowControl/>
              <w:spacing w:line="240" w:lineRule="auto"/>
              <w:ind w:firstLine="0" w:firstLineChars="0"/>
              <w:jc w:val="center"/>
              <w:rPr>
                <w:color w:val="auto"/>
                <w:kern w:val="0"/>
                <w:sz w:val="21"/>
                <w:szCs w:val="21"/>
              </w:rPr>
            </w:pPr>
            <w:r>
              <w:rPr>
                <w:rFonts w:hint="eastAsia"/>
                <w:color w:val="auto"/>
                <w:kern w:val="0"/>
                <w:sz w:val="21"/>
                <w:szCs w:val="21"/>
              </w:rPr>
              <w:t>12</w:t>
            </w:r>
          </w:p>
        </w:tc>
        <w:tc>
          <w:tcPr>
            <w:tcW w:w="680" w:type="pct"/>
            <w:tcBorders>
              <w:top w:val="single" w:color="auto" w:sz="4" w:space="0"/>
              <w:left w:val="single" w:color="auto" w:sz="4" w:space="0"/>
              <w:bottom w:val="single" w:color="auto" w:sz="4" w:space="0"/>
              <w:right w:val="single" w:color="auto" w:sz="4" w:space="0"/>
            </w:tcBorders>
            <w:vAlign w:val="center"/>
          </w:tcPr>
          <w:p w14:paraId="1225D8CD">
            <w:pPr>
              <w:widowControl/>
              <w:spacing w:line="240" w:lineRule="auto"/>
              <w:ind w:firstLine="0" w:firstLineChars="0"/>
              <w:jc w:val="center"/>
              <w:rPr>
                <w:color w:val="auto"/>
                <w:kern w:val="0"/>
                <w:sz w:val="21"/>
                <w:szCs w:val="21"/>
              </w:rPr>
            </w:pPr>
            <w:r>
              <w:rPr>
                <w:color w:val="auto"/>
                <w:kern w:val="0"/>
                <w:sz w:val="21"/>
                <w:szCs w:val="21"/>
              </w:rPr>
              <w:t>废树脂</w:t>
            </w:r>
          </w:p>
        </w:tc>
        <w:tc>
          <w:tcPr>
            <w:tcW w:w="672" w:type="pct"/>
            <w:tcBorders>
              <w:top w:val="single" w:color="auto" w:sz="4" w:space="0"/>
              <w:left w:val="single" w:color="auto" w:sz="4" w:space="0"/>
              <w:bottom w:val="single" w:color="auto" w:sz="4" w:space="0"/>
              <w:right w:val="single" w:color="auto" w:sz="4" w:space="0"/>
            </w:tcBorders>
            <w:vAlign w:val="center"/>
          </w:tcPr>
          <w:p w14:paraId="1C80537D">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51F545DA">
            <w:pPr>
              <w:widowControl/>
              <w:spacing w:line="240" w:lineRule="auto"/>
              <w:ind w:firstLine="0" w:firstLineChars="0"/>
              <w:jc w:val="center"/>
              <w:rPr>
                <w:color w:val="auto"/>
                <w:kern w:val="0"/>
                <w:sz w:val="21"/>
                <w:szCs w:val="21"/>
              </w:rPr>
            </w:pPr>
            <w:r>
              <w:rPr>
                <w:color w:val="auto"/>
                <w:kern w:val="0"/>
                <w:sz w:val="21"/>
                <w:szCs w:val="21"/>
              </w:rPr>
              <w:t>HW13</w:t>
            </w:r>
          </w:p>
        </w:tc>
        <w:tc>
          <w:tcPr>
            <w:tcW w:w="784" w:type="pct"/>
            <w:tcBorders>
              <w:top w:val="single" w:color="auto" w:sz="4" w:space="0"/>
              <w:left w:val="single" w:color="auto" w:sz="4" w:space="0"/>
              <w:bottom w:val="single" w:color="auto" w:sz="4" w:space="0"/>
              <w:right w:val="single" w:color="auto" w:sz="4" w:space="0"/>
            </w:tcBorders>
            <w:vAlign w:val="center"/>
          </w:tcPr>
          <w:p w14:paraId="5FDEF9FB">
            <w:pPr>
              <w:widowControl/>
              <w:spacing w:line="240" w:lineRule="auto"/>
              <w:ind w:firstLine="0" w:firstLineChars="0"/>
              <w:jc w:val="center"/>
              <w:rPr>
                <w:color w:val="auto"/>
                <w:kern w:val="0"/>
                <w:sz w:val="21"/>
                <w:szCs w:val="21"/>
              </w:rPr>
            </w:pPr>
            <w:r>
              <w:rPr>
                <w:color w:val="auto"/>
                <w:kern w:val="0"/>
                <w:sz w:val="21"/>
                <w:szCs w:val="21"/>
              </w:rPr>
              <w:t>900-015-13</w:t>
            </w:r>
          </w:p>
        </w:tc>
        <w:tc>
          <w:tcPr>
            <w:tcW w:w="1000" w:type="pct"/>
            <w:tcBorders>
              <w:top w:val="single" w:color="auto" w:sz="4" w:space="0"/>
              <w:left w:val="single" w:color="auto" w:sz="4" w:space="0"/>
              <w:bottom w:val="single" w:color="auto" w:sz="4" w:space="0"/>
              <w:right w:val="single" w:color="auto" w:sz="4" w:space="0"/>
            </w:tcBorders>
            <w:vAlign w:val="center"/>
          </w:tcPr>
          <w:p w14:paraId="73E00502">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5C2532E8">
            <w:pPr>
              <w:widowControl/>
              <w:spacing w:line="240" w:lineRule="auto"/>
              <w:ind w:firstLine="0" w:firstLineChars="0"/>
              <w:jc w:val="center"/>
              <w:rPr>
                <w:color w:val="auto"/>
                <w:kern w:val="0"/>
                <w:sz w:val="21"/>
                <w:szCs w:val="21"/>
              </w:rPr>
            </w:pPr>
          </w:p>
        </w:tc>
      </w:tr>
      <w:tr w14:paraId="5782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4" w:space="0"/>
              <w:right w:val="single" w:color="auto" w:sz="4" w:space="0"/>
            </w:tcBorders>
            <w:vAlign w:val="center"/>
          </w:tcPr>
          <w:p w14:paraId="00ADB0FE">
            <w:pPr>
              <w:widowControl/>
              <w:spacing w:line="240" w:lineRule="auto"/>
              <w:ind w:firstLine="0" w:firstLineChars="0"/>
              <w:jc w:val="center"/>
              <w:rPr>
                <w:color w:val="auto"/>
                <w:kern w:val="0"/>
                <w:sz w:val="21"/>
                <w:szCs w:val="21"/>
              </w:rPr>
            </w:pPr>
            <w:r>
              <w:rPr>
                <w:rFonts w:hint="eastAsia"/>
                <w:color w:val="auto"/>
                <w:kern w:val="0"/>
                <w:sz w:val="21"/>
                <w:szCs w:val="21"/>
              </w:rPr>
              <w:t>13</w:t>
            </w:r>
          </w:p>
        </w:tc>
        <w:tc>
          <w:tcPr>
            <w:tcW w:w="680" w:type="pct"/>
            <w:tcBorders>
              <w:top w:val="single" w:color="auto" w:sz="4" w:space="0"/>
              <w:left w:val="single" w:color="auto" w:sz="4" w:space="0"/>
              <w:bottom w:val="single" w:color="auto" w:sz="4" w:space="0"/>
              <w:right w:val="single" w:color="auto" w:sz="4" w:space="0"/>
            </w:tcBorders>
            <w:vAlign w:val="center"/>
          </w:tcPr>
          <w:p w14:paraId="5356D9D5">
            <w:pPr>
              <w:widowControl/>
              <w:spacing w:line="240" w:lineRule="auto"/>
              <w:ind w:firstLine="0" w:firstLineChars="0"/>
              <w:jc w:val="center"/>
              <w:rPr>
                <w:color w:val="auto"/>
                <w:kern w:val="0"/>
                <w:sz w:val="21"/>
                <w:szCs w:val="21"/>
              </w:rPr>
            </w:pPr>
            <w:r>
              <w:rPr>
                <w:color w:val="auto"/>
                <w:kern w:val="0"/>
                <w:sz w:val="21"/>
                <w:szCs w:val="21"/>
              </w:rPr>
              <w:t>分馏残渣</w:t>
            </w:r>
          </w:p>
        </w:tc>
        <w:tc>
          <w:tcPr>
            <w:tcW w:w="672" w:type="pct"/>
            <w:tcBorders>
              <w:top w:val="single" w:color="auto" w:sz="4" w:space="0"/>
              <w:left w:val="single" w:color="auto" w:sz="4" w:space="0"/>
              <w:bottom w:val="single" w:color="auto" w:sz="4" w:space="0"/>
              <w:right w:val="single" w:color="auto" w:sz="4" w:space="0"/>
            </w:tcBorders>
            <w:vAlign w:val="center"/>
          </w:tcPr>
          <w:p w14:paraId="1D0A9DD6">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119A128C">
            <w:pPr>
              <w:widowControl/>
              <w:spacing w:line="240" w:lineRule="auto"/>
              <w:ind w:firstLine="0" w:firstLineChars="0"/>
              <w:jc w:val="center"/>
              <w:rPr>
                <w:color w:val="auto"/>
                <w:kern w:val="0"/>
                <w:sz w:val="21"/>
                <w:szCs w:val="21"/>
              </w:rPr>
            </w:pPr>
            <w:r>
              <w:rPr>
                <w:color w:val="auto"/>
                <w:kern w:val="0"/>
                <w:sz w:val="21"/>
                <w:szCs w:val="21"/>
              </w:rPr>
              <w:t>HW11</w:t>
            </w:r>
          </w:p>
        </w:tc>
        <w:tc>
          <w:tcPr>
            <w:tcW w:w="784" w:type="pct"/>
            <w:tcBorders>
              <w:top w:val="single" w:color="auto" w:sz="4" w:space="0"/>
              <w:left w:val="single" w:color="auto" w:sz="4" w:space="0"/>
              <w:bottom w:val="single" w:color="auto" w:sz="4" w:space="0"/>
              <w:right w:val="single" w:color="auto" w:sz="4" w:space="0"/>
            </w:tcBorders>
            <w:vAlign w:val="center"/>
          </w:tcPr>
          <w:p w14:paraId="71CF36B6">
            <w:pPr>
              <w:widowControl/>
              <w:spacing w:line="240" w:lineRule="auto"/>
              <w:ind w:firstLine="0" w:firstLineChars="0"/>
              <w:jc w:val="center"/>
              <w:rPr>
                <w:color w:val="auto"/>
                <w:kern w:val="0"/>
                <w:sz w:val="21"/>
                <w:szCs w:val="21"/>
              </w:rPr>
            </w:pPr>
            <w:r>
              <w:rPr>
                <w:color w:val="auto"/>
                <w:kern w:val="0"/>
                <w:sz w:val="21"/>
                <w:szCs w:val="21"/>
              </w:rPr>
              <w:t>900-013-11</w:t>
            </w:r>
          </w:p>
        </w:tc>
        <w:tc>
          <w:tcPr>
            <w:tcW w:w="1000" w:type="pct"/>
            <w:tcBorders>
              <w:top w:val="single" w:color="auto" w:sz="4" w:space="0"/>
              <w:left w:val="single" w:color="auto" w:sz="4" w:space="0"/>
              <w:bottom w:val="single" w:color="auto" w:sz="4" w:space="0"/>
              <w:right w:val="single" w:color="auto" w:sz="4" w:space="0"/>
            </w:tcBorders>
            <w:vAlign w:val="center"/>
          </w:tcPr>
          <w:p w14:paraId="55E11349">
            <w:pPr>
              <w:widowControl/>
              <w:spacing w:line="240" w:lineRule="auto"/>
              <w:ind w:firstLine="0" w:firstLineChars="0"/>
              <w:jc w:val="center"/>
              <w:rPr>
                <w:color w:val="auto"/>
                <w:kern w:val="0"/>
                <w:sz w:val="21"/>
                <w:szCs w:val="21"/>
              </w:rPr>
            </w:pPr>
          </w:p>
        </w:tc>
        <w:tc>
          <w:tcPr>
            <w:tcW w:w="815" w:type="pct"/>
            <w:vMerge w:val="continue"/>
            <w:tcBorders>
              <w:left w:val="single" w:color="auto" w:sz="4" w:space="0"/>
              <w:right w:val="nil"/>
            </w:tcBorders>
            <w:vAlign w:val="center"/>
          </w:tcPr>
          <w:p w14:paraId="1200D8D8">
            <w:pPr>
              <w:widowControl/>
              <w:spacing w:line="240" w:lineRule="auto"/>
              <w:ind w:firstLine="0" w:firstLineChars="0"/>
              <w:jc w:val="center"/>
              <w:rPr>
                <w:color w:val="auto"/>
                <w:kern w:val="0"/>
                <w:sz w:val="21"/>
                <w:szCs w:val="21"/>
              </w:rPr>
            </w:pPr>
          </w:p>
        </w:tc>
      </w:tr>
      <w:tr w14:paraId="1064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4" w:space="0"/>
              <w:right w:val="single" w:color="auto" w:sz="4" w:space="0"/>
            </w:tcBorders>
            <w:vAlign w:val="center"/>
          </w:tcPr>
          <w:p w14:paraId="66FD5B76">
            <w:pPr>
              <w:widowControl/>
              <w:spacing w:line="240" w:lineRule="auto"/>
              <w:ind w:firstLine="0" w:firstLineChars="0"/>
              <w:jc w:val="center"/>
              <w:rPr>
                <w:color w:val="auto"/>
                <w:kern w:val="0"/>
                <w:sz w:val="21"/>
                <w:szCs w:val="21"/>
              </w:rPr>
            </w:pPr>
            <w:r>
              <w:rPr>
                <w:rFonts w:hint="eastAsia"/>
                <w:color w:val="auto"/>
                <w:kern w:val="0"/>
                <w:sz w:val="21"/>
                <w:szCs w:val="21"/>
              </w:rPr>
              <w:t>14</w:t>
            </w:r>
          </w:p>
        </w:tc>
        <w:tc>
          <w:tcPr>
            <w:tcW w:w="680" w:type="pct"/>
            <w:tcBorders>
              <w:top w:val="single" w:color="auto" w:sz="4" w:space="0"/>
              <w:left w:val="single" w:color="auto" w:sz="4" w:space="0"/>
              <w:bottom w:val="single" w:color="auto" w:sz="4" w:space="0"/>
              <w:right w:val="single" w:color="auto" w:sz="4" w:space="0"/>
            </w:tcBorders>
            <w:vAlign w:val="center"/>
          </w:tcPr>
          <w:p w14:paraId="23652115">
            <w:pPr>
              <w:widowControl/>
              <w:spacing w:line="240" w:lineRule="auto"/>
              <w:ind w:firstLine="0" w:firstLineChars="0"/>
              <w:jc w:val="center"/>
              <w:rPr>
                <w:color w:val="auto"/>
                <w:kern w:val="0"/>
                <w:sz w:val="21"/>
                <w:szCs w:val="21"/>
              </w:rPr>
            </w:pPr>
            <w:r>
              <w:rPr>
                <w:color w:val="auto"/>
                <w:kern w:val="0"/>
                <w:sz w:val="21"/>
                <w:szCs w:val="21"/>
              </w:rPr>
              <w:t>精馏残渣</w:t>
            </w:r>
          </w:p>
        </w:tc>
        <w:tc>
          <w:tcPr>
            <w:tcW w:w="672" w:type="pct"/>
            <w:tcBorders>
              <w:top w:val="single" w:color="auto" w:sz="4" w:space="0"/>
              <w:left w:val="single" w:color="auto" w:sz="4" w:space="0"/>
              <w:bottom w:val="single" w:color="auto" w:sz="4" w:space="0"/>
              <w:right w:val="single" w:color="auto" w:sz="4" w:space="0"/>
            </w:tcBorders>
            <w:vAlign w:val="center"/>
          </w:tcPr>
          <w:p w14:paraId="5F664962">
            <w:pPr>
              <w:widowControl/>
              <w:spacing w:line="240" w:lineRule="auto"/>
              <w:ind w:firstLine="0" w:firstLineChars="0"/>
              <w:jc w:val="center"/>
              <w:rPr>
                <w:color w:val="auto"/>
                <w:kern w:val="0"/>
                <w:sz w:val="21"/>
                <w:szCs w:val="21"/>
              </w:rPr>
            </w:pPr>
            <w:r>
              <w:rPr>
                <w:color w:val="auto"/>
                <w:kern w:val="0"/>
                <w:sz w:val="21"/>
                <w:szCs w:val="21"/>
              </w:rPr>
              <w:t>危险废物</w:t>
            </w:r>
          </w:p>
        </w:tc>
        <w:tc>
          <w:tcPr>
            <w:tcW w:w="632" w:type="pct"/>
            <w:tcBorders>
              <w:top w:val="single" w:color="auto" w:sz="4" w:space="0"/>
              <w:left w:val="single" w:color="auto" w:sz="4" w:space="0"/>
              <w:bottom w:val="single" w:color="auto" w:sz="4" w:space="0"/>
              <w:right w:val="single" w:color="auto" w:sz="4" w:space="0"/>
            </w:tcBorders>
            <w:vAlign w:val="center"/>
          </w:tcPr>
          <w:p w14:paraId="6C488C47">
            <w:pPr>
              <w:widowControl/>
              <w:spacing w:line="240" w:lineRule="auto"/>
              <w:ind w:firstLine="0" w:firstLineChars="0"/>
              <w:jc w:val="center"/>
              <w:rPr>
                <w:color w:val="auto"/>
                <w:kern w:val="0"/>
                <w:sz w:val="21"/>
                <w:szCs w:val="21"/>
              </w:rPr>
            </w:pPr>
            <w:r>
              <w:rPr>
                <w:color w:val="auto"/>
                <w:kern w:val="0"/>
                <w:sz w:val="21"/>
                <w:szCs w:val="21"/>
              </w:rPr>
              <w:t>HW11</w:t>
            </w:r>
          </w:p>
        </w:tc>
        <w:tc>
          <w:tcPr>
            <w:tcW w:w="784" w:type="pct"/>
            <w:tcBorders>
              <w:top w:val="single" w:color="auto" w:sz="4" w:space="0"/>
              <w:left w:val="single" w:color="auto" w:sz="4" w:space="0"/>
              <w:bottom w:val="single" w:color="auto" w:sz="4" w:space="0"/>
              <w:right w:val="single" w:color="auto" w:sz="4" w:space="0"/>
            </w:tcBorders>
            <w:vAlign w:val="center"/>
          </w:tcPr>
          <w:p w14:paraId="4F9404C9">
            <w:pPr>
              <w:widowControl/>
              <w:spacing w:line="240" w:lineRule="auto"/>
              <w:ind w:firstLine="0" w:firstLineChars="0"/>
              <w:jc w:val="center"/>
              <w:rPr>
                <w:color w:val="auto"/>
                <w:kern w:val="0"/>
                <w:sz w:val="21"/>
                <w:szCs w:val="21"/>
              </w:rPr>
            </w:pPr>
            <w:r>
              <w:rPr>
                <w:color w:val="auto"/>
                <w:kern w:val="0"/>
                <w:sz w:val="21"/>
                <w:szCs w:val="21"/>
              </w:rPr>
              <w:t>900-013-11</w:t>
            </w:r>
          </w:p>
        </w:tc>
        <w:tc>
          <w:tcPr>
            <w:tcW w:w="1000" w:type="pct"/>
            <w:tcBorders>
              <w:top w:val="single" w:color="auto" w:sz="4" w:space="0"/>
              <w:left w:val="single" w:color="auto" w:sz="4" w:space="0"/>
              <w:bottom w:val="single" w:color="auto" w:sz="4" w:space="0"/>
              <w:right w:val="single" w:color="auto" w:sz="4" w:space="0"/>
            </w:tcBorders>
            <w:vAlign w:val="center"/>
          </w:tcPr>
          <w:p w14:paraId="498446A2">
            <w:pPr>
              <w:widowControl/>
              <w:spacing w:line="240" w:lineRule="auto"/>
              <w:ind w:firstLine="0" w:firstLineChars="0"/>
              <w:jc w:val="center"/>
              <w:rPr>
                <w:color w:val="auto"/>
                <w:kern w:val="0"/>
                <w:sz w:val="21"/>
                <w:szCs w:val="21"/>
              </w:rPr>
            </w:pPr>
          </w:p>
        </w:tc>
        <w:tc>
          <w:tcPr>
            <w:tcW w:w="815" w:type="pct"/>
            <w:vMerge w:val="continue"/>
            <w:tcBorders>
              <w:left w:val="single" w:color="auto" w:sz="4" w:space="0"/>
              <w:bottom w:val="single" w:color="auto" w:sz="4" w:space="0"/>
              <w:right w:val="nil"/>
            </w:tcBorders>
            <w:vAlign w:val="center"/>
          </w:tcPr>
          <w:p w14:paraId="76CA2BFD">
            <w:pPr>
              <w:widowControl/>
              <w:spacing w:line="240" w:lineRule="auto"/>
              <w:ind w:firstLine="0" w:firstLineChars="0"/>
              <w:jc w:val="center"/>
              <w:rPr>
                <w:color w:val="auto"/>
                <w:kern w:val="0"/>
                <w:sz w:val="21"/>
                <w:szCs w:val="21"/>
              </w:rPr>
            </w:pPr>
          </w:p>
        </w:tc>
      </w:tr>
      <w:tr w14:paraId="35FB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auto" w:sz="4" w:space="0"/>
              <w:left w:val="nil"/>
              <w:bottom w:val="single" w:color="auto" w:sz="12" w:space="0"/>
              <w:right w:val="single" w:color="auto" w:sz="4" w:space="0"/>
            </w:tcBorders>
            <w:vAlign w:val="center"/>
          </w:tcPr>
          <w:p w14:paraId="2CD7D57C">
            <w:pPr>
              <w:widowControl/>
              <w:spacing w:line="240" w:lineRule="auto"/>
              <w:ind w:firstLine="0" w:firstLineChars="0"/>
              <w:jc w:val="center"/>
              <w:rPr>
                <w:color w:val="auto"/>
                <w:kern w:val="0"/>
                <w:sz w:val="21"/>
                <w:szCs w:val="21"/>
              </w:rPr>
            </w:pPr>
            <w:r>
              <w:rPr>
                <w:rFonts w:hint="eastAsia"/>
                <w:color w:val="auto"/>
                <w:kern w:val="0"/>
                <w:sz w:val="21"/>
                <w:szCs w:val="21"/>
              </w:rPr>
              <w:t>15</w:t>
            </w:r>
          </w:p>
        </w:tc>
        <w:tc>
          <w:tcPr>
            <w:tcW w:w="680" w:type="pct"/>
            <w:tcBorders>
              <w:top w:val="single" w:color="auto" w:sz="4" w:space="0"/>
              <w:left w:val="single" w:color="auto" w:sz="4" w:space="0"/>
              <w:bottom w:val="single" w:color="auto" w:sz="12" w:space="0"/>
              <w:right w:val="single" w:color="auto" w:sz="4" w:space="0"/>
            </w:tcBorders>
            <w:vAlign w:val="center"/>
          </w:tcPr>
          <w:p w14:paraId="096E194A">
            <w:pPr>
              <w:widowControl/>
              <w:spacing w:line="240" w:lineRule="auto"/>
              <w:ind w:firstLine="0" w:firstLineChars="0"/>
              <w:jc w:val="center"/>
              <w:rPr>
                <w:color w:val="auto"/>
                <w:kern w:val="0"/>
                <w:sz w:val="21"/>
                <w:szCs w:val="21"/>
              </w:rPr>
            </w:pPr>
            <w:r>
              <w:rPr>
                <w:color w:val="auto"/>
                <w:kern w:val="0"/>
                <w:sz w:val="21"/>
                <w:szCs w:val="21"/>
              </w:rPr>
              <w:t>生活垃圾</w:t>
            </w:r>
          </w:p>
        </w:tc>
        <w:tc>
          <w:tcPr>
            <w:tcW w:w="672" w:type="pct"/>
            <w:tcBorders>
              <w:top w:val="single" w:color="auto" w:sz="4" w:space="0"/>
              <w:left w:val="single" w:color="auto" w:sz="4" w:space="0"/>
              <w:bottom w:val="single" w:color="auto" w:sz="12" w:space="0"/>
              <w:right w:val="single" w:color="auto" w:sz="4" w:space="0"/>
            </w:tcBorders>
            <w:vAlign w:val="center"/>
          </w:tcPr>
          <w:p w14:paraId="00881951">
            <w:pPr>
              <w:widowControl/>
              <w:spacing w:line="240" w:lineRule="auto"/>
              <w:ind w:firstLine="0" w:firstLineChars="0"/>
              <w:jc w:val="center"/>
              <w:rPr>
                <w:color w:val="auto"/>
                <w:kern w:val="0"/>
                <w:sz w:val="21"/>
                <w:szCs w:val="21"/>
              </w:rPr>
            </w:pPr>
            <w:r>
              <w:rPr>
                <w:color w:val="auto"/>
                <w:kern w:val="0"/>
                <w:sz w:val="21"/>
                <w:szCs w:val="21"/>
              </w:rPr>
              <w:t>/</w:t>
            </w:r>
          </w:p>
        </w:tc>
        <w:tc>
          <w:tcPr>
            <w:tcW w:w="632" w:type="pct"/>
            <w:tcBorders>
              <w:top w:val="single" w:color="auto" w:sz="4" w:space="0"/>
              <w:left w:val="single" w:color="auto" w:sz="4" w:space="0"/>
              <w:bottom w:val="single" w:color="auto" w:sz="12" w:space="0"/>
              <w:right w:val="single" w:color="auto" w:sz="4" w:space="0"/>
            </w:tcBorders>
            <w:vAlign w:val="center"/>
          </w:tcPr>
          <w:p w14:paraId="72FA96FB">
            <w:pPr>
              <w:widowControl/>
              <w:spacing w:line="240" w:lineRule="auto"/>
              <w:ind w:firstLine="0" w:firstLineChars="0"/>
              <w:jc w:val="center"/>
              <w:rPr>
                <w:color w:val="auto"/>
                <w:kern w:val="0"/>
                <w:sz w:val="21"/>
                <w:szCs w:val="21"/>
              </w:rPr>
            </w:pPr>
            <w:r>
              <w:rPr>
                <w:color w:val="auto"/>
                <w:kern w:val="0"/>
                <w:sz w:val="21"/>
                <w:szCs w:val="21"/>
              </w:rPr>
              <w:t>/</w:t>
            </w:r>
          </w:p>
        </w:tc>
        <w:tc>
          <w:tcPr>
            <w:tcW w:w="784" w:type="pct"/>
            <w:tcBorders>
              <w:top w:val="single" w:color="auto" w:sz="4" w:space="0"/>
              <w:left w:val="single" w:color="auto" w:sz="4" w:space="0"/>
              <w:bottom w:val="single" w:color="auto" w:sz="12" w:space="0"/>
              <w:right w:val="single" w:color="auto" w:sz="4" w:space="0"/>
            </w:tcBorders>
            <w:vAlign w:val="center"/>
          </w:tcPr>
          <w:p w14:paraId="1D24B5E7">
            <w:pPr>
              <w:widowControl/>
              <w:spacing w:line="240" w:lineRule="auto"/>
              <w:ind w:firstLine="0" w:firstLineChars="0"/>
              <w:jc w:val="center"/>
              <w:rPr>
                <w:color w:val="auto"/>
                <w:kern w:val="0"/>
                <w:sz w:val="21"/>
                <w:szCs w:val="21"/>
              </w:rPr>
            </w:pPr>
            <w:r>
              <w:rPr>
                <w:color w:val="auto"/>
                <w:kern w:val="0"/>
                <w:sz w:val="21"/>
                <w:szCs w:val="21"/>
              </w:rPr>
              <w:t>900-001-S62</w:t>
            </w:r>
          </w:p>
        </w:tc>
        <w:tc>
          <w:tcPr>
            <w:tcW w:w="1000" w:type="pct"/>
            <w:tcBorders>
              <w:top w:val="single" w:color="auto" w:sz="4" w:space="0"/>
              <w:left w:val="single" w:color="auto" w:sz="4" w:space="0"/>
              <w:bottom w:val="single" w:color="auto" w:sz="12" w:space="0"/>
              <w:right w:val="single" w:color="auto" w:sz="4" w:space="0"/>
            </w:tcBorders>
            <w:vAlign w:val="center"/>
          </w:tcPr>
          <w:p w14:paraId="71787CE3">
            <w:pPr>
              <w:widowControl/>
              <w:spacing w:line="240" w:lineRule="auto"/>
              <w:ind w:firstLine="0" w:firstLineChars="0"/>
              <w:jc w:val="center"/>
              <w:rPr>
                <w:color w:val="auto"/>
                <w:kern w:val="0"/>
                <w:sz w:val="21"/>
                <w:szCs w:val="21"/>
              </w:rPr>
            </w:pPr>
          </w:p>
        </w:tc>
        <w:tc>
          <w:tcPr>
            <w:tcW w:w="815" w:type="pct"/>
            <w:tcBorders>
              <w:top w:val="single" w:color="auto" w:sz="4" w:space="0"/>
              <w:left w:val="single" w:color="auto" w:sz="4" w:space="0"/>
              <w:bottom w:val="single" w:color="auto" w:sz="12" w:space="0"/>
              <w:right w:val="nil"/>
            </w:tcBorders>
            <w:vAlign w:val="center"/>
          </w:tcPr>
          <w:p w14:paraId="0DF788EF">
            <w:pPr>
              <w:widowControl/>
              <w:spacing w:line="240" w:lineRule="auto"/>
              <w:ind w:firstLine="0" w:firstLineChars="0"/>
              <w:jc w:val="center"/>
              <w:rPr>
                <w:color w:val="auto"/>
                <w:kern w:val="0"/>
                <w:sz w:val="21"/>
                <w:szCs w:val="21"/>
              </w:rPr>
            </w:pPr>
            <w:r>
              <w:rPr>
                <w:color w:val="auto"/>
                <w:kern w:val="0"/>
                <w:sz w:val="21"/>
                <w:szCs w:val="21"/>
              </w:rPr>
              <w:t>环卫清运</w:t>
            </w:r>
          </w:p>
        </w:tc>
      </w:tr>
    </w:tbl>
    <w:p w14:paraId="11E4BC85">
      <w:pPr>
        <w:ind w:firstLine="482"/>
        <w:jc w:val="center"/>
        <w:rPr>
          <w:b/>
          <w:color w:val="auto"/>
        </w:rPr>
      </w:pPr>
    </w:p>
    <w:p w14:paraId="0E5B4B71">
      <w:pPr>
        <w:spacing w:line="240" w:lineRule="auto"/>
        <w:ind w:firstLine="482"/>
        <w:jc w:val="center"/>
        <w:rPr>
          <w:b/>
          <w:color w:val="auto"/>
        </w:rPr>
      </w:pPr>
      <w:r>
        <w:rPr>
          <w:b/>
          <w:color w:val="auto"/>
        </w:rPr>
        <w:t>表3.</w:t>
      </w:r>
      <w:r>
        <w:rPr>
          <w:rFonts w:hint="eastAsia"/>
          <w:b/>
          <w:color w:val="auto"/>
        </w:rPr>
        <w:t>3-4  亚太药业在建</w:t>
      </w:r>
      <w:r>
        <w:rPr>
          <w:b/>
          <w:color w:val="auto"/>
        </w:rPr>
        <w:t>项目固体废物处置情况</w:t>
      </w:r>
      <w:r>
        <w:rPr>
          <w:rFonts w:hint="eastAsia"/>
          <w:b/>
          <w:color w:val="auto"/>
        </w:rPr>
        <w:t>一览表</w:t>
      </w:r>
    </w:p>
    <w:tbl>
      <w:tblPr>
        <w:tblStyle w:val="24"/>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482"/>
        <w:gridCol w:w="1485"/>
        <w:gridCol w:w="1146"/>
        <w:gridCol w:w="1285"/>
        <w:gridCol w:w="781"/>
        <w:gridCol w:w="1485"/>
        <w:gridCol w:w="1485"/>
        <w:gridCol w:w="1485"/>
      </w:tblGrid>
      <w:tr w14:paraId="3CEA898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tblHeader/>
          <w:jc w:val="center"/>
        </w:trPr>
        <w:tc>
          <w:tcPr>
            <w:tcW w:w="250" w:type="pct"/>
            <w:tcBorders>
              <w:tl2br w:val="nil"/>
              <w:tr2bl w:val="nil"/>
            </w:tcBorders>
            <w:vAlign w:val="center"/>
          </w:tcPr>
          <w:p w14:paraId="0A7E155C">
            <w:pPr>
              <w:widowControl/>
              <w:spacing w:line="240" w:lineRule="auto"/>
              <w:ind w:firstLine="0" w:firstLineChars="0"/>
              <w:jc w:val="center"/>
              <w:rPr>
                <w:b/>
                <w:color w:val="auto"/>
                <w:kern w:val="0"/>
                <w:sz w:val="21"/>
                <w:szCs w:val="21"/>
              </w:rPr>
            </w:pPr>
            <w:r>
              <w:rPr>
                <w:b/>
                <w:color w:val="auto"/>
                <w:kern w:val="0"/>
                <w:sz w:val="21"/>
                <w:szCs w:val="21"/>
              </w:rPr>
              <w:t>序号</w:t>
            </w:r>
          </w:p>
        </w:tc>
        <w:tc>
          <w:tcPr>
            <w:tcW w:w="770" w:type="pct"/>
            <w:tcBorders>
              <w:tl2br w:val="nil"/>
              <w:tr2bl w:val="nil"/>
            </w:tcBorders>
            <w:vAlign w:val="center"/>
          </w:tcPr>
          <w:p w14:paraId="22061F66">
            <w:pPr>
              <w:widowControl/>
              <w:spacing w:line="240" w:lineRule="auto"/>
              <w:ind w:firstLine="0" w:firstLineChars="0"/>
              <w:jc w:val="center"/>
              <w:rPr>
                <w:b/>
                <w:color w:val="auto"/>
                <w:kern w:val="0"/>
                <w:sz w:val="21"/>
                <w:szCs w:val="21"/>
              </w:rPr>
            </w:pPr>
            <w:r>
              <w:rPr>
                <w:b/>
                <w:color w:val="auto"/>
                <w:kern w:val="0"/>
                <w:sz w:val="21"/>
                <w:szCs w:val="21"/>
              </w:rPr>
              <w:t>固废名称</w:t>
            </w:r>
          </w:p>
        </w:tc>
        <w:tc>
          <w:tcPr>
            <w:tcW w:w="594" w:type="pct"/>
            <w:tcBorders>
              <w:tl2br w:val="nil"/>
              <w:tr2bl w:val="nil"/>
            </w:tcBorders>
            <w:vAlign w:val="center"/>
          </w:tcPr>
          <w:p w14:paraId="5FEF4FA3">
            <w:pPr>
              <w:widowControl/>
              <w:spacing w:line="240" w:lineRule="auto"/>
              <w:ind w:firstLine="0" w:firstLineChars="0"/>
              <w:jc w:val="center"/>
              <w:rPr>
                <w:b/>
                <w:color w:val="auto"/>
                <w:kern w:val="0"/>
                <w:sz w:val="21"/>
                <w:szCs w:val="21"/>
              </w:rPr>
            </w:pPr>
            <w:r>
              <w:rPr>
                <w:b/>
                <w:color w:val="auto"/>
                <w:kern w:val="0"/>
                <w:sz w:val="21"/>
                <w:szCs w:val="21"/>
              </w:rPr>
              <w:t>属性</w:t>
            </w:r>
          </w:p>
        </w:tc>
        <w:tc>
          <w:tcPr>
            <w:tcW w:w="666" w:type="pct"/>
            <w:tcBorders>
              <w:tl2br w:val="nil"/>
              <w:tr2bl w:val="nil"/>
            </w:tcBorders>
            <w:vAlign w:val="center"/>
          </w:tcPr>
          <w:p w14:paraId="7ACF1A45">
            <w:pPr>
              <w:widowControl/>
              <w:spacing w:line="240" w:lineRule="auto"/>
              <w:ind w:firstLine="0" w:firstLineChars="0"/>
              <w:jc w:val="center"/>
              <w:rPr>
                <w:b/>
                <w:color w:val="auto"/>
                <w:kern w:val="0"/>
                <w:sz w:val="21"/>
                <w:szCs w:val="21"/>
              </w:rPr>
            </w:pPr>
            <w:r>
              <w:rPr>
                <w:b/>
                <w:color w:val="auto"/>
                <w:kern w:val="0"/>
                <w:sz w:val="21"/>
                <w:szCs w:val="21"/>
              </w:rPr>
              <w:t>产生工序</w:t>
            </w:r>
          </w:p>
        </w:tc>
        <w:tc>
          <w:tcPr>
            <w:tcW w:w="405" w:type="pct"/>
            <w:tcBorders>
              <w:tl2br w:val="nil"/>
              <w:tr2bl w:val="nil"/>
            </w:tcBorders>
            <w:vAlign w:val="center"/>
          </w:tcPr>
          <w:p w14:paraId="1C2A87A1">
            <w:pPr>
              <w:widowControl/>
              <w:spacing w:line="240" w:lineRule="auto"/>
              <w:ind w:firstLine="0" w:firstLineChars="0"/>
              <w:jc w:val="center"/>
              <w:rPr>
                <w:b/>
                <w:color w:val="auto"/>
                <w:kern w:val="0"/>
                <w:sz w:val="21"/>
                <w:szCs w:val="21"/>
              </w:rPr>
            </w:pPr>
            <w:r>
              <w:rPr>
                <w:b/>
                <w:color w:val="auto"/>
                <w:kern w:val="0"/>
                <w:sz w:val="21"/>
                <w:szCs w:val="21"/>
              </w:rPr>
              <w:t>废物类别</w:t>
            </w:r>
          </w:p>
        </w:tc>
        <w:tc>
          <w:tcPr>
            <w:tcW w:w="770" w:type="pct"/>
            <w:tcBorders>
              <w:tl2br w:val="nil"/>
              <w:tr2bl w:val="nil"/>
            </w:tcBorders>
            <w:vAlign w:val="center"/>
          </w:tcPr>
          <w:p w14:paraId="26A1E63C">
            <w:pPr>
              <w:widowControl/>
              <w:spacing w:line="240" w:lineRule="auto"/>
              <w:ind w:firstLine="0" w:firstLineChars="0"/>
              <w:jc w:val="center"/>
              <w:rPr>
                <w:b/>
                <w:color w:val="auto"/>
                <w:kern w:val="0"/>
                <w:sz w:val="21"/>
                <w:szCs w:val="21"/>
              </w:rPr>
            </w:pPr>
            <w:r>
              <w:rPr>
                <w:b/>
                <w:color w:val="auto"/>
                <w:kern w:val="0"/>
                <w:sz w:val="21"/>
                <w:szCs w:val="21"/>
              </w:rPr>
              <w:t>废物代码</w:t>
            </w:r>
          </w:p>
        </w:tc>
        <w:tc>
          <w:tcPr>
            <w:tcW w:w="770" w:type="pct"/>
            <w:tcBorders>
              <w:tl2br w:val="nil"/>
              <w:tr2bl w:val="nil"/>
            </w:tcBorders>
            <w:vAlign w:val="center"/>
          </w:tcPr>
          <w:p w14:paraId="2C0A4EDC">
            <w:pPr>
              <w:widowControl/>
              <w:spacing w:line="240" w:lineRule="auto"/>
              <w:ind w:firstLine="0" w:firstLineChars="0"/>
              <w:jc w:val="center"/>
              <w:rPr>
                <w:b/>
                <w:color w:val="auto"/>
                <w:kern w:val="0"/>
                <w:sz w:val="21"/>
                <w:szCs w:val="21"/>
              </w:rPr>
            </w:pPr>
            <w:r>
              <w:rPr>
                <w:b/>
                <w:color w:val="auto"/>
                <w:kern w:val="0"/>
                <w:sz w:val="21"/>
                <w:szCs w:val="21"/>
              </w:rPr>
              <w:t>估算产生量(t/a)</w:t>
            </w:r>
          </w:p>
        </w:tc>
        <w:tc>
          <w:tcPr>
            <w:tcW w:w="770" w:type="pct"/>
            <w:tcBorders>
              <w:tl2br w:val="nil"/>
              <w:tr2bl w:val="nil"/>
            </w:tcBorders>
            <w:vAlign w:val="center"/>
          </w:tcPr>
          <w:p w14:paraId="70B7DBDA">
            <w:pPr>
              <w:widowControl/>
              <w:spacing w:line="240" w:lineRule="auto"/>
              <w:ind w:firstLine="0" w:firstLineChars="0"/>
              <w:jc w:val="center"/>
              <w:rPr>
                <w:b/>
                <w:color w:val="auto"/>
                <w:kern w:val="0"/>
                <w:sz w:val="21"/>
                <w:szCs w:val="21"/>
              </w:rPr>
            </w:pPr>
            <w:r>
              <w:rPr>
                <w:b/>
                <w:color w:val="auto"/>
                <w:kern w:val="0"/>
                <w:sz w:val="21"/>
                <w:szCs w:val="21"/>
              </w:rPr>
              <w:t>利用处置方式</w:t>
            </w:r>
          </w:p>
        </w:tc>
      </w:tr>
      <w:tr w14:paraId="5C9FAFB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2706F218">
            <w:pPr>
              <w:widowControl/>
              <w:spacing w:line="240" w:lineRule="auto"/>
              <w:ind w:firstLine="0" w:firstLineChars="0"/>
              <w:jc w:val="center"/>
              <w:rPr>
                <w:color w:val="auto"/>
                <w:kern w:val="0"/>
                <w:sz w:val="21"/>
                <w:szCs w:val="21"/>
              </w:rPr>
            </w:pPr>
            <w:bookmarkStart w:id="92" w:name="OLE_LINK65" w:colFirst="10" w:colLast="10"/>
            <w:bookmarkStart w:id="93" w:name="_Hlk188028368"/>
            <w:r>
              <w:rPr>
                <w:color w:val="auto"/>
                <w:kern w:val="0"/>
                <w:sz w:val="21"/>
                <w:szCs w:val="21"/>
              </w:rPr>
              <w:t>1</w:t>
            </w:r>
          </w:p>
        </w:tc>
        <w:tc>
          <w:tcPr>
            <w:tcW w:w="770" w:type="pct"/>
            <w:tcBorders>
              <w:tl2br w:val="nil"/>
              <w:tr2bl w:val="nil"/>
            </w:tcBorders>
            <w:vAlign w:val="center"/>
          </w:tcPr>
          <w:p w14:paraId="50825224">
            <w:pPr>
              <w:widowControl/>
              <w:spacing w:line="240" w:lineRule="auto"/>
              <w:ind w:firstLine="0" w:firstLineChars="0"/>
              <w:jc w:val="center"/>
              <w:rPr>
                <w:color w:val="auto"/>
                <w:kern w:val="0"/>
                <w:sz w:val="21"/>
                <w:szCs w:val="21"/>
              </w:rPr>
            </w:pPr>
            <w:r>
              <w:rPr>
                <w:color w:val="auto"/>
                <w:kern w:val="0"/>
                <w:sz w:val="21"/>
                <w:szCs w:val="21"/>
              </w:rPr>
              <w:t>过滤滤渣</w:t>
            </w:r>
          </w:p>
        </w:tc>
        <w:tc>
          <w:tcPr>
            <w:tcW w:w="594" w:type="pct"/>
            <w:tcBorders>
              <w:tl2br w:val="nil"/>
              <w:tr2bl w:val="nil"/>
            </w:tcBorders>
            <w:vAlign w:val="center"/>
          </w:tcPr>
          <w:p w14:paraId="32961D99">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43FA4D59">
            <w:pPr>
              <w:widowControl/>
              <w:spacing w:line="240" w:lineRule="auto"/>
              <w:ind w:firstLine="0" w:firstLineChars="0"/>
              <w:jc w:val="center"/>
              <w:rPr>
                <w:color w:val="auto"/>
                <w:kern w:val="0"/>
                <w:sz w:val="21"/>
                <w:szCs w:val="21"/>
              </w:rPr>
            </w:pPr>
            <w:r>
              <w:rPr>
                <w:color w:val="auto"/>
                <w:kern w:val="0"/>
                <w:sz w:val="21"/>
                <w:szCs w:val="21"/>
              </w:rPr>
              <w:t>脱色、过滤</w:t>
            </w:r>
          </w:p>
        </w:tc>
        <w:tc>
          <w:tcPr>
            <w:tcW w:w="405" w:type="pct"/>
            <w:tcBorders>
              <w:tl2br w:val="nil"/>
              <w:tr2bl w:val="nil"/>
            </w:tcBorders>
            <w:vAlign w:val="center"/>
          </w:tcPr>
          <w:p w14:paraId="1C31E1B3">
            <w:pPr>
              <w:widowControl/>
              <w:spacing w:line="240" w:lineRule="auto"/>
              <w:ind w:firstLine="0" w:firstLineChars="0"/>
              <w:jc w:val="center"/>
              <w:rPr>
                <w:color w:val="auto"/>
                <w:kern w:val="0"/>
                <w:sz w:val="21"/>
                <w:szCs w:val="21"/>
              </w:rPr>
            </w:pPr>
            <w:r>
              <w:rPr>
                <w:color w:val="auto"/>
                <w:kern w:val="0"/>
                <w:sz w:val="21"/>
                <w:szCs w:val="21"/>
              </w:rPr>
              <w:t>HW02</w:t>
            </w:r>
          </w:p>
        </w:tc>
        <w:tc>
          <w:tcPr>
            <w:tcW w:w="770" w:type="pct"/>
            <w:tcBorders>
              <w:tl2br w:val="nil"/>
              <w:tr2bl w:val="nil"/>
            </w:tcBorders>
            <w:vAlign w:val="center"/>
          </w:tcPr>
          <w:p w14:paraId="40AC465A">
            <w:pPr>
              <w:widowControl/>
              <w:spacing w:line="240" w:lineRule="auto"/>
              <w:ind w:firstLine="0" w:firstLineChars="0"/>
              <w:jc w:val="center"/>
              <w:rPr>
                <w:color w:val="auto"/>
                <w:kern w:val="0"/>
                <w:sz w:val="21"/>
                <w:szCs w:val="21"/>
              </w:rPr>
            </w:pPr>
            <w:r>
              <w:rPr>
                <w:color w:val="auto"/>
                <w:kern w:val="0"/>
                <w:sz w:val="21"/>
                <w:szCs w:val="21"/>
              </w:rPr>
              <w:t xml:space="preserve">271-003-02 </w:t>
            </w:r>
          </w:p>
        </w:tc>
        <w:tc>
          <w:tcPr>
            <w:tcW w:w="770" w:type="pct"/>
            <w:tcBorders>
              <w:tl2br w:val="nil"/>
              <w:tr2bl w:val="nil"/>
            </w:tcBorders>
            <w:vAlign w:val="center"/>
          </w:tcPr>
          <w:p w14:paraId="2C13B89F">
            <w:pPr>
              <w:widowControl/>
              <w:spacing w:line="240" w:lineRule="auto"/>
              <w:ind w:firstLine="0" w:firstLineChars="0"/>
              <w:jc w:val="center"/>
              <w:textAlignment w:val="center"/>
              <w:rPr>
                <w:color w:val="auto"/>
                <w:kern w:val="0"/>
                <w:sz w:val="21"/>
                <w:szCs w:val="21"/>
              </w:rPr>
            </w:pPr>
          </w:p>
        </w:tc>
        <w:tc>
          <w:tcPr>
            <w:tcW w:w="770" w:type="pct"/>
            <w:vMerge w:val="restart"/>
            <w:tcBorders>
              <w:tl2br w:val="nil"/>
              <w:tr2bl w:val="nil"/>
            </w:tcBorders>
            <w:vAlign w:val="center"/>
          </w:tcPr>
          <w:p w14:paraId="113B5D2E">
            <w:pPr>
              <w:widowControl/>
              <w:spacing w:line="240" w:lineRule="auto"/>
              <w:ind w:firstLine="0" w:firstLineChars="0"/>
              <w:jc w:val="center"/>
              <w:textAlignment w:val="center"/>
              <w:rPr>
                <w:color w:val="auto"/>
                <w:kern w:val="0"/>
                <w:sz w:val="21"/>
                <w:szCs w:val="21"/>
                <w:lang w:bidi="ar"/>
              </w:rPr>
            </w:pPr>
            <w:r>
              <w:rPr>
                <w:color w:val="auto"/>
                <w:kern w:val="0"/>
                <w:sz w:val="21"/>
                <w:szCs w:val="21"/>
              </w:rPr>
              <w:t>交由南通润启环保服务有限公司</w:t>
            </w:r>
            <w:r>
              <w:rPr>
                <w:rFonts w:hint="eastAsia"/>
                <w:color w:val="auto"/>
                <w:kern w:val="0"/>
                <w:sz w:val="21"/>
                <w:szCs w:val="21"/>
              </w:rPr>
              <w:t>焚烧</w:t>
            </w:r>
            <w:r>
              <w:rPr>
                <w:color w:val="auto"/>
                <w:kern w:val="0"/>
                <w:sz w:val="21"/>
                <w:szCs w:val="21"/>
              </w:rPr>
              <w:t>处置</w:t>
            </w:r>
          </w:p>
        </w:tc>
      </w:tr>
      <w:tr w14:paraId="2F1C748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5AEE3CD3">
            <w:pPr>
              <w:widowControl/>
              <w:spacing w:line="240" w:lineRule="auto"/>
              <w:ind w:firstLine="0" w:firstLineChars="0"/>
              <w:jc w:val="center"/>
              <w:rPr>
                <w:color w:val="auto"/>
                <w:kern w:val="0"/>
                <w:sz w:val="21"/>
                <w:szCs w:val="21"/>
              </w:rPr>
            </w:pPr>
            <w:r>
              <w:rPr>
                <w:color w:val="auto"/>
                <w:kern w:val="0"/>
                <w:sz w:val="21"/>
                <w:szCs w:val="21"/>
              </w:rPr>
              <w:t>2</w:t>
            </w:r>
          </w:p>
        </w:tc>
        <w:tc>
          <w:tcPr>
            <w:tcW w:w="770" w:type="pct"/>
            <w:tcBorders>
              <w:tl2br w:val="nil"/>
              <w:tr2bl w:val="nil"/>
            </w:tcBorders>
            <w:vAlign w:val="center"/>
          </w:tcPr>
          <w:p w14:paraId="00A04A0A">
            <w:pPr>
              <w:widowControl/>
              <w:spacing w:line="240" w:lineRule="auto"/>
              <w:ind w:firstLine="0" w:firstLineChars="0"/>
              <w:jc w:val="center"/>
              <w:rPr>
                <w:color w:val="auto"/>
                <w:kern w:val="0"/>
                <w:sz w:val="21"/>
                <w:szCs w:val="21"/>
              </w:rPr>
            </w:pPr>
            <w:r>
              <w:rPr>
                <w:color w:val="auto"/>
                <w:kern w:val="0"/>
                <w:sz w:val="21"/>
                <w:szCs w:val="21"/>
              </w:rPr>
              <w:t>过滤废渣</w:t>
            </w:r>
          </w:p>
        </w:tc>
        <w:tc>
          <w:tcPr>
            <w:tcW w:w="594" w:type="pct"/>
            <w:tcBorders>
              <w:tl2br w:val="nil"/>
              <w:tr2bl w:val="nil"/>
            </w:tcBorders>
            <w:vAlign w:val="center"/>
          </w:tcPr>
          <w:p w14:paraId="20451DE1">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1697F5B7">
            <w:pPr>
              <w:widowControl/>
              <w:spacing w:line="240" w:lineRule="auto"/>
              <w:ind w:firstLine="0" w:firstLineChars="0"/>
              <w:jc w:val="center"/>
              <w:rPr>
                <w:color w:val="auto"/>
                <w:kern w:val="0"/>
                <w:sz w:val="21"/>
                <w:szCs w:val="21"/>
              </w:rPr>
            </w:pPr>
            <w:r>
              <w:rPr>
                <w:color w:val="auto"/>
                <w:kern w:val="0"/>
                <w:sz w:val="21"/>
                <w:szCs w:val="21"/>
              </w:rPr>
              <w:t>重结晶</w:t>
            </w:r>
          </w:p>
        </w:tc>
        <w:tc>
          <w:tcPr>
            <w:tcW w:w="405" w:type="pct"/>
            <w:tcBorders>
              <w:tl2br w:val="nil"/>
              <w:tr2bl w:val="nil"/>
            </w:tcBorders>
            <w:vAlign w:val="center"/>
          </w:tcPr>
          <w:p w14:paraId="2C550224">
            <w:pPr>
              <w:widowControl/>
              <w:spacing w:line="240" w:lineRule="auto"/>
              <w:ind w:firstLine="0" w:firstLineChars="0"/>
              <w:jc w:val="center"/>
              <w:rPr>
                <w:color w:val="auto"/>
                <w:kern w:val="0"/>
                <w:sz w:val="21"/>
                <w:szCs w:val="21"/>
              </w:rPr>
            </w:pPr>
            <w:r>
              <w:rPr>
                <w:color w:val="auto"/>
                <w:kern w:val="0"/>
                <w:sz w:val="21"/>
                <w:szCs w:val="21"/>
              </w:rPr>
              <w:t>HW02</w:t>
            </w:r>
          </w:p>
        </w:tc>
        <w:tc>
          <w:tcPr>
            <w:tcW w:w="770" w:type="pct"/>
            <w:tcBorders>
              <w:tl2br w:val="nil"/>
              <w:tr2bl w:val="nil"/>
            </w:tcBorders>
            <w:vAlign w:val="center"/>
          </w:tcPr>
          <w:p w14:paraId="543FDAF2">
            <w:pPr>
              <w:widowControl/>
              <w:spacing w:line="240" w:lineRule="auto"/>
              <w:ind w:firstLine="0" w:firstLineChars="0"/>
              <w:jc w:val="center"/>
              <w:rPr>
                <w:color w:val="auto"/>
                <w:kern w:val="0"/>
                <w:sz w:val="21"/>
                <w:szCs w:val="21"/>
              </w:rPr>
            </w:pPr>
            <w:r>
              <w:rPr>
                <w:color w:val="auto"/>
                <w:kern w:val="0"/>
                <w:sz w:val="21"/>
                <w:szCs w:val="21"/>
              </w:rPr>
              <w:t xml:space="preserve">271-003-02 </w:t>
            </w:r>
          </w:p>
        </w:tc>
        <w:tc>
          <w:tcPr>
            <w:tcW w:w="770" w:type="pct"/>
            <w:tcBorders>
              <w:tl2br w:val="nil"/>
              <w:tr2bl w:val="nil"/>
            </w:tcBorders>
            <w:vAlign w:val="center"/>
          </w:tcPr>
          <w:p w14:paraId="30BF54C6">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2D36572B">
            <w:pPr>
              <w:widowControl/>
              <w:spacing w:line="240" w:lineRule="auto"/>
              <w:ind w:firstLine="0" w:firstLineChars="0"/>
              <w:jc w:val="center"/>
              <w:textAlignment w:val="center"/>
              <w:rPr>
                <w:color w:val="auto"/>
                <w:kern w:val="0"/>
                <w:sz w:val="21"/>
                <w:szCs w:val="21"/>
                <w:lang w:bidi="ar"/>
              </w:rPr>
            </w:pPr>
          </w:p>
        </w:tc>
      </w:tr>
      <w:tr w14:paraId="0766C2C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7C585F14">
            <w:pPr>
              <w:widowControl/>
              <w:spacing w:line="240" w:lineRule="auto"/>
              <w:ind w:firstLine="0" w:firstLineChars="0"/>
              <w:jc w:val="center"/>
              <w:rPr>
                <w:color w:val="auto"/>
                <w:kern w:val="0"/>
                <w:sz w:val="21"/>
                <w:szCs w:val="21"/>
              </w:rPr>
            </w:pPr>
            <w:r>
              <w:rPr>
                <w:color w:val="auto"/>
                <w:kern w:val="0"/>
                <w:sz w:val="21"/>
                <w:szCs w:val="21"/>
              </w:rPr>
              <w:t>3</w:t>
            </w:r>
          </w:p>
        </w:tc>
        <w:tc>
          <w:tcPr>
            <w:tcW w:w="770" w:type="pct"/>
            <w:tcBorders>
              <w:tl2br w:val="nil"/>
              <w:tr2bl w:val="nil"/>
            </w:tcBorders>
            <w:vAlign w:val="center"/>
          </w:tcPr>
          <w:p w14:paraId="65448FF4">
            <w:pPr>
              <w:widowControl/>
              <w:spacing w:line="240" w:lineRule="auto"/>
              <w:ind w:firstLine="0" w:firstLineChars="0"/>
              <w:jc w:val="center"/>
              <w:rPr>
                <w:color w:val="auto"/>
                <w:kern w:val="0"/>
                <w:sz w:val="21"/>
                <w:szCs w:val="21"/>
              </w:rPr>
            </w:pPr>
            <w:r>
              <w:rPr>
                <w:color w:val="auto"/>
                <w:kern w:val="0"/>
                <w:sz w:val="21"/>
                <w:szCs w:val="21"/>
              </w:rPr>
              <w:t>筛选残渣</w:t>
            </w:r>
          </w:p>
        </w:tc>
        <w:tc>
          <w:tcPr>
            <w:tcW w:w="594" w:type="pct"/>
            <w:tcBorders>
              <w:tl2br w:val="nil"/>
              <w:tr2bl w:val="nil"/>
            </w:tcBorders>
            <w:vAlign w:val="center"/>
          </w:tcPr>
          <w:p w14:paraId="12537011">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25FEE949">
            <w:pPr>
              <w:widowControl/>
              <w:spacing w:line="240" w:lineRule="auto"/>
              <w:ind w:firstLine="0" w:firstLineChars="0"/>
              <w:jc w:val="center"/>
              <w:rPr>
                <w:color w:val="auto"/>
                <w:kern w:val="0"/>
                <w:sz w:val="21"/>
                <w:szCs w:val="21"/>
              </w:rPr>
            </w:pPr>
            <w:r>
              <w:rPr>
                <w:color w:val="auto"/>
                <w:kern w:val="0"/>
                <w:sz w:val="21"/>
                <w:szCs w:val="21"/>
              </w:rPr>
              <w:t>离心、分筛</w:t>
            </w:r>
          </w:p>
        </w:tc>
        <w:tc>
          <w:tcPr>
            <w:tcW w:w="405" w:type="pct"/>
            <w:tcBorders>
              <w:tl2br w:val="nil"/>
              <w:tr2bl w:val="nil"/>
            </w:tcBorders>
            <w:vAlign w:val="center"/>
          </w:tcPr>
          <w:p w14:paraId="02EC3F92">
            <w:pPr>
              <w:widowControl/>
              <w:spacing w:line="240" w:lineRule="auto"/>
              <w:ind w:firstLine="0" w:firstLineChars="0"/>
              <w:jc w:val="center"/>
              <w:rPr>
                <w:color w:val="auto"/>
                <w:kern w:val="0"/>
                <w:sz w:val="21"/>
                <w:szCs w:val="21"/>
              </w:rPr>
            </w:pPr>
            <w:r>
              <w:rPr>
                <w:color w:val="auto"/>
                <w:kern w:val="0"/>
                <w:sz w:val="21"/>
                <w:szCs w:val="21"/>
              </w:rPr>
              <w:t>HW02</w:t>
            </w:r>
          </w:p>
        </w:tc>
        <w:tc>
          <w:tcPr>
            <w:tcW w:w="770" w:type="pct"/>
            <w:tcBorders>
              <w:tl2br w:val="nil"/>
              <w:tr2bl w:val="nil"/>
            </w:tcBorders>
            <w:vAlign w:val="center"/>
          </w:tcPr>
          <w:p w14:paraId="3C4F696E">
            <w:pPr>
              <w:widowControl/>
              <w:spacing w:line="240" w:lineRule="auto"/>
              <w:ind w:firstLine="0" w:firstLineChars="0"/>
              <w:jc w:val="center"/>
              <w:rPr>
                <w:color w:val="auto"/>
                <w:kern w:val="0"/>
                <w:sz w:val="21"/>
                <w:szCs w:val="21"/>
              </w:rPr>
            </w:pPr>
            <w:r>
              <w:rPr>
                <w:color w:val="auto"/>
                <w:kern w:val="0"/>
                <w:sz w:val="21"/>
                <w:szCs w:val="21"/>
              </w:rPr>
              <w:t xml:space="preserve">271-005-02 </w:t>
            </w:r>
          </w:p>
        </w:tc>
        <w:tc>
          <w:tcPr>
            <w:tcW w:w="770" w:type="pct"/>
            <w:tcBorders>
              <w:tl2br w:val="nil"/>
              <w:tr2bl w:val="nil"/>
            </w:tcBorders>
            <w:vAlign w:val="center"/>
          </w:tcPr>
          <w:p w14:paraId="4D8C6CF1">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02D42A65">
            <w:pPr>
              <w:widowControl/>
              <w:spacing w:line="240" w:lineRule="auto"/>
              <w:ind w:firstLine="0" w:firstLineChars="0"/>
              <w:jc w:val="center"/>
              <w:textAlignment w:val="center"/>
              <w:rPr>
                <w:color w:val="auto"/>
                <w:kern w:val="0"/>
                <w:sz w:val="21"/>
                <w:szCs w:val="21"/>
                <w:lang w:bidi="ar"/>
              </w:rPr>
            </w:pPr>
          </w:p>
        </w:tc>
      </w:tr>
      <w:tr w14:paraId="28E3B6E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624D435A">
            <w:pPr>
              <w:widowControl/>
              <w:spacing w:line="240" w:lineRule="auto"/>
              <w:ind w:firstLine="0" w:firstLineChars="0"/>
              <w:jc w:val="center"/>
              <w:rPr>
                <w:color w:val="auto"/>
                <w:kern w:val="0"/>
                <w:sz w:val="21"/>
                <w:szCs w:val="21"/>
              </w:rPr>
            </w:pPr>
            <w:r>
              <w:rPr>
                <w:color w:val="auto"/>
                <w:kern w:val="0"/>
                <w:sz w:val="21"/>
                <w:szCs w:val="21"/>
              </w:rPr>
              <w:t>4</w:t>
            </w:r>
          </w:p>
        </w:tc>
        <w:tc>
          <w:tcPr>
            <w:tcW w:w="770" w:type="pct"/>
            <w:tcBorders>
              <w:tl2br w:val="nil"/>
              <w:tr2bl w:val="nil"/>
            </w:tcBorders>
            <w:vAlign w:val="center"/>
          </w:tcPr>
          <w:p w14:paraId="491DD087">
            <w:pPr>
              <w:widowControl/>
              <w:spacing w:line="240" w:lineRule="auto"/>
              <w:ind w:firstLine="0" w:firstLineChars="0"/>
              <w:jc w:val="center"/>
              <w:rPr>
                <w:color w:val="auto"/>
                <w:kern w:val="0"/>
                <w:sz w:val="21"/>
                <w:szCs w:val="21"/>
              </w:rPr>
            </w:pPr>
            <w:r>
              <w:rPr>
                <w:color w:val="auto"/>
                <w:kern w:val="0"/>
                <w:sz w:val="21"/>
                <w:szCs w:val="21"/>
              </w:rPr>
              <w:t>蒸馏残渣</w:t>
            </w:r>
          </w:p>
        </w:tc>
        <w:tc>
          <w:tcPr>
            <w:tcW w:w="594" w:type="pct"/>
            <w:tcBorders>
              <w:tl2br w:val="nil"/>
              <w:tr2bl w:val="nil"/>
            </w:tcBorders>
            <w:vAlign w:val="center"/>
          </w:tcPr>
          <w:p w14:paraId="17D5960D">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77EA1D60">
            <w:pPr>
              <w:widowControl/>
              <w:spacing w:line="240" w:lineRule="auto"/>
              <w:ind w:firstLine="0" w:firstLineChars="0"/>
              <w:jc w:val="center"/>
              <w:rPr>
                <w:color w:val="auto"/>
                <w:kern w:val="0"/>
                <w:sz w:val="21"/>
                <w:szCs w:val="21"/>
              </w:rPr>
            </w:pPr>
            <w:r>
              <w:rPr>
                <w:color w:val="auto"/>
                <w:kern w:val="0"/>
                <w:sz w:val="21"/>
                <w:szCs w:val="21"/>
              </w:rPr>
              <w:t>蒸馏</w:t>
            </w:r>
          </w:p>
        </w:tc>
        <w:tc>
          <w:tcPr>
            <w:tcW w:w="405" w:type="pct"/>
            <w:tcBorders>
              <w:tl2br w:val="nil"/>
              <w:tr2bl w:val="nil"/>
            </w:tcBorders>
            <w:vAlign w:val="center"/>
          </w:tcPr>
          <w:p w14:paraId="1697DDD4">
            <w:pPr>
              <w:widowControl/>
              <w:spacing w:line="240" w:lineRule="auto"/>
              <w:ind w:firstLine="0" w:firstLineChars="0"/>
              <w:jc w:val="center"/>
              <w:rPr>
                <w:color w:val="auto"/>
                <w:kern w:val="0"/>
                <w:sz w:val="21"/>
                <w:szCs w:val="21"/>
              </w:rPr>
            </w:pPr>
            <w:r>
              <w:rPr>
                <w:color w:val="auto"/>
                <w:kern w:val="0"/>
                <w:sz w:val="21"/>
                <w:szCs w:val="21"/>
              </w:rPr>
              <w:t>HW02</w:t>
            </w:r>
          </w:p>
        </w:tc>
        <w:tc>
          <w:tcPr>
            <w:tcW w:w="770" w:type="pct"/>
            <w:tcBorders>
              <w:tl2br w:val="nil"/>
              <w:tr2bl w:val="nil"/>
            </w:tcBorders>
            <w:vAlign w:val="center"/>
          </w:tcPr>
          <w:p w14:paraId="5B25DABE">
            <w:pPr>
              <w:widowControl/>
              <w:spacing w:line="240" w:lineRule="auto"/>
              <w:ind w:firstLine="0" w:firstLineChars="0"/>
              <w:jc w:val="center"/>
              <w:rPr>
                <w:color w:val="auto"/>
                <w:kern w:val="0"/>
                <w:sz w:val="21"/>
                <w:szCs w:val="21"/>
              </w:rPr>
            </w:pPr>
            <w:r>
              <w:rPr>
                <w:color w:val="auto"/>
                <w:kern w:val="0"/>
                <w:sz w:val="21"/>
                <w:szCs w:val="21"/>
              </w:rPr>
              <w:t xml:space="preserve">271-001-02 </w:t>
            </w:r>
          </w:p>
        </w:tc>
        <w:tc>
          <w:tcPr>
            <w:tcW w:w="770" w:type="pct"/>
            <w:tcBorders>
              <w:tl2br w:val="nil"/>
              <w:tr2bl w:val="nil"/>
            </w:tcBorders>
            <w:vAlign w:val="center"/>
          </w:tcPr>
          <w:p w14:paraId="564584DD">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47B6A674">
            <w:pPr>
              <w:widowControl/>
              <w:spacing w:line="240" w:lineRule="auto"/>
              <w:ind w:firstLine="0" w:firstLineChars="0"/>
              <w:jc w:val="center"/>
              <w:textAlignment w:val="center"/>
              <w:rPr>
                <w:color w:val="auto"/>
                <w:kern w:val="0"/>
                <w:sz w:val="21"/>
                <w:szCs w:val="21"/>
                <w:lang w:bidi="ar"/>
              </w:rPr>
            </w:pPr>
          </w:p>
        </w:tc>
      </w:tr>
      <w:tr w14:paraId="0C3A997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57640764">
            <w:pPr>
              <w:widowControl/>
              <w:spacing w:line="240" w:lineRule="auto"/>
              <w:ind w:firstLine="0" w:firstLineChars="0"/>
              <w:jc w:val="center"/>
              <w:rPr>
                <w:color w:val="auto"/>
                <w:kern w:val="0"/>
                <w:sz w:val="21"/>
                <w:szCs w:val="21"/>
              </w:rPr>
            </w:pPr>
            <w:r>
              <w:rPr>
                <w:color w:val="auto"/>
                <w:kern w:val="0"/>
                <w:sz w:val="21"/>
                <w:szCs w:val="21"/>
              </w:rPr>
              <w:t>5</w:t>
            </w:r>
          </w:p>
        </w:tc>
        <w:tc>
          <w:tcPr>
            <w:tcW w:w="770" w:type="pct"/>
            <w:tcBorders>
              <w:tl2br w:val="nil"/>
              <w:tr2bl w:val="nil"/>
            </w:tcBorders>
            <w:vAlign w:val="center"/>
          </w:tcPr>
          <w:p w14:paraId="337C7BEB">
            <w:pPr>
              <w:widowControl/>
              <w:spacing w:line="240" w:lineRule="auto"/>
              <w:ind w:firstLine="0" w:firstLineChars="0"/>
              <w:jc w:val="center"/>
              <w:rPr>
                <w:color w:val="auto"/>
                <w:kern w:val="0"/>
                <w:sz w:val="21"/>
                <w:szCs w:val="21"/>
              </w:rPr>
            </w:pPr>
            <w:r>
              <w:rPr>
                <w:color w:val="auto"/>
                <w:kern w:val="0"/>
                <w:sz w:val="21"/>
                <w:szCs w:val="21"/>
              </w:rPr>
              <w:t>冷凝残液</w:t>
            </w:r>
          </w:p>
        </w:tc>
        <w:tc>
          <w:tcPr>
            <w:tcW w:w="594" w:type="pct"/>
            <w:tcBorders>
              <w:tl2br w:val="nil"/>
              <w:tr2bl w:val="nil"/>
            </w:tcBorders>
            <w:vAlign w:val="center"/>
          </w:tcPr>
          <w:p w14:paraId="49AAB220">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3480419A">
            <w:pPr>
              <w:widowControl/>
              <w:spacing w:line="240" w:lineRule="auto"/>
              <w:ind w:firstLine="0" w:firstLineChars="0"/>
              <w:jc w:val="center"/>
              <w:rPr>
                <w:color w:val="auto"/>
                <w:kern w:val="0"/>
                <w:sz w:val="21"/>
                <w:szCs w:val="21"/>
              </w:rPr>
            </w:pPr>
            <w:r>
              <w:rPr>
                <w:color w:val="auto"/>
                <w:kern w:val="0"/>
                <w:sz w:val="21"/>
                <w:szCs w:val="21"/>
              </w:rPr>
              <w:t>冷凝</w:t>
            </w:r>
          </w:p>
        </w:tc>
        <w:tc>
          <w:tcPr>
            <w:tcW w:w="405" w:type="pct"/>
            <w:tcBorders>
              <w:tl2br w:val="nil"/>
              <w:tr2bl w:val="nil"/>
            </w:tcBorders>
            <w:vAlign w:val="center"/>
          </w:tcPr>
          <w:p w14:paraId="1A7C907C">
            <w:pPr>
              <w:widowControl/>
              <w:spacing w:line="240" w:lineRule="auto"/>
              <w:ind w:firstLine="0" w:firstLineChars="0"/>
              <w:jc w:val="center"/>
              <w:rPr>
                <w:color w:val="auto"/>
                <w:kern w:val="0"/>
                <w:sz w:val="21"/>
                <w:szCs w:val="21"/>
              </w:rPr>
            </w:pPr>
            <w:r>
              <w:rPr>
                <w:color w:val="auto"/>
                <w:kern w:val="0"/>
                <w:sz w:val="21"/>
                <w:szCs w:val="21"/>
              </w:rPr>
              <w:t>HW02</w:t>
            </w:r>
          </w:p>
        </w:tc>
        <w:tc>
          <w:tcPr>
            <w:tcW w:w="770" w:type="pct"/>
            <w:tcBorders>
              <w:tl2br w:val="nil"/>
              <w:tr2bl w:val="nil"/>
            </w:tcBorders>
            <w:vAlign w:val="center"/>
          </w:tcPr>
          <w:p w14:paraId="37BF9E4B">
            <w:pPr>
              <w:widowControl/>
              <w:spacing w:line="240" w:lineRule="auto"/>
              <w:ind w:firstLine="0" w:firstLineChars="0"/>
              <w:jc w:val="center"/>
              <w:rPr>
                <w:color w:val="auto"/>
                <w:kern w:val="0"/>
                <w:sz w:val="21"/>
                <w:szCs w:val="21"/>
              </w:rPr>
            </w:pPr>
            <w:r>
              <w:rPr>
                <w:color w:val="auto"/>
                <w:kern w:val="0"/>
                <w:sz w:val="21"/>
                <w:szCs w:val="21"/>
              </w:rPr>
              <w:t xml:space="preserve">271-005-02 </w:t>
            </w:r>
          </w:p>
        </w:tc>
        <w:tc>
          <w:tcPr>
            <w:tcW w:w="770" w:type="pct"/>
            <w:tcBorders>
              <w:tl2br w:val="nil"/>
              <w:tr2bl w:val="nil"/>
            </w:tcBorders>
            <w:vAlign w:val="center"/>
          </w:tcPr>
          <w:p w14:paraId="4D287465">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3931FB43">
            <w:pPr>
              <w:widowControl/>
              <w:spacing w:line="240" w:lineRule="auto"/>
              <w:ind w:firstLine="0" w:firstLineChars="0"/>
              <w:jc w:val="center"/>
              <w:textAlignment w:val="center"/>
              <w:rPr>
                <w:color w:val="auto"/>
                <w:kern w:val="0"/>
                <w:sz w:val="21"/>
                <w:szCs w:val="21"/>
                <w:lang w:bidi="ar"/>
              </w:rPr>
            </w:pPr>
          </w:p>
        </w:tc>
      </w:tr>
      <w:tr w14:paraId="5BA7CF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187A05D5">
            <w:pPr>
              <w:widowControl/>
              <w:spacing w:line="240" w:lineRule="auto"/>
              <w:ind w:firstLine="0" w:firstLineChars="0"/>
              <w:jc w:val="center"/>
              <w:rPr>
                <w:color w:val="auto"/>
                <w:kern w:val="0"/>
                <w:sz w:val="21"/>
                <w:szCs w:val="21"/>
              </w:rPr>
            </w:pPr>
            <w:r>
              <w:rPr>
                <w:color w:val="auto"/>
                <w:kern w:val="0"/>
                <w:sz w:val="21"/>
                <w:szCs w:val="21"/>
              </w:rPr>
              <w:t>6</w:t>
            </w:r>
          </w:p>
        </w:tc>
        <w:tc>
          <w:tcPr>
            <w:tcW w:w="770" w:type="pct"/>
            <w:tcBorders>
              <w:tl2br w:val="nil"/>
              <w:tr2bl w:val="nil"/>
            </w:tcBorders>
            <w:vAlign w:val="center"/>
          </w:tcPr>
          <w:p w14:paraId="1C3E8583">
            <w:pPr>
              <w:widowControl/>
              <w:spacing w:line="240" w:lineRule="auto"/>
              <w:ind w:firstLine="0" w:firstLineChars="0"/>
              <w:jc w:val="center"/>
              <w:rPr>
                <w:color w:val="auto"/>
                <w:kern w:val="0"/>
                <w:sz w:val="21"/>
                <w:szCs w:val="21"/>
              </w:rPr>
            </w:pPr>
            <w:r>
              <w:rPr>
                <w:color w:val="auto"/>
                <w:kern w:val="0"/>
                <w:sz w:val="21"/>
                <w:szCs w:val="21"/>
              </w:rPr>
              <w:t>过滤废物</w:t>
            </w:r>
          </w:p>
        </w:tc>
        <w:tc>
          <w:tcPr>
            <w:tcW w:w="594" w:type="pct"/>
            <w:tcBorders>
              <w:tl2br w:val="nil"/>
              <w:tr2bl w:val="nil"/>
            </w:tcBorders>
            <w:vAlign w:val="center"/>
          </w:tcPr>
          <w:p w14:paraId="2594B0DB">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54519939">
            <w:pPr>
              <w:widowControl/>
              <w:spacing w:line="240" w:lineRule="auto"/>
              <w:ind w:firstLine="0" w:firstLineChars="0"/>
              <w:jc w:val="center"/>
              <w:rPr>
                <w:color w:val="auto"/>
                <w:kern w:val="0"/>
                <w:sz w:val="21"/>
                <w:szCs w:val="21"/>
              </w:rPr>
            </w:pPr>
            <w:r>
              <w:rPr>
                <w:color w:val="auto"/>
                <w:kern w:val="0"/>
                <w:sz w:val="21"/>
                <w:szCs w:val="21"/>
              </w:rPr>
              <w:t>溶解脱色</w:t>
            </w:r>
          </w:p>
        </w:tc>
        <w:tc>
          <w:tcPr>
            <w:tcW w:w="405" w:type="pct"/>
            <w:tcBorders>
              <w:tl2br w:val="nil"/>
              <w:tr2bl w:val="nil"/>
            </w:tcBorders>
            <w:vAlign w:val="center"/>
          </w:tcPr>
          <w:p w14:paraId="2CC62626">
            <w:pPr>
              <w:widowControl/>
              <w:spacing w:line="240" w:lineRule="auto"/>
              <w:ind w:firstLine="0" w:firstLineChars="0"/>
              <w:jc w:val="center"/>
              <w:rPr>
                <w:color w:val="auto"/>
                <w:kern w:val="0"/>
                <w:sz w:val="21"/>
                <w:szCs w:val="21"/>
              </w:rPr>
            </w:pPr>
            <w:r>
              <w:rPr>
                <w:color w:val="auto"/>
                <w:kern w:val="0"/>
                <w:sz w:val="21"/>
                <w:szCs w:val="21"/>
              </w:rPr>
              <w:t>HW02</w:t>
            </w:r>
          </w:p>
        </w:tc>
        <w:tc>
          <w:tcPr>
            <w:tcW w:w="770" w:type="pct"/>
            <w:tcBorders>
              <w:tl2br w:val="nil"/>
              <w:tr2bl w:val="nil"/>
            </w:tcBorders>
            <w:vAlign w:val="center"/>
          </w:tcPr>
          <w:p w14:paraId="48B250BA">
            <w:pPr>
              <w:widowControl/>
              <w:spacing w:line="240" w:lineRule="auto"/>
              <w:ind w:firstLine="0" w:firstLineChars="0"/>
              <w:jc w:val="center"/>
              <w:rPr>
                <w:color w:val="auto"/>
                <w:kern w:val="0"/>
                <w:sz w:val="21"/>
                <w:szCs w:val="21"/>
              </w:rPr>
            </w:pPr>
            <w:r>
              <w:rPr>
                <w:color w:val="auto"/>
                <w:kern w:val="0"/>
                <w:sz w:val="21"/>
                <w:szCs w:val="21"/>
              </w:rPr>
              <w:t xml:space="preserve">271-003-02 </w:t>
            </w:r>
          </w:p>
        </w:tc>
        <w:tc>
          <w:tcPr>
            <w:tcW w:w="770" w:type="pct"/>
            <w:tcBorders>
              <w:tl2br w:val="nil"/>
              <w:tr2bl w:val="nil"/>
            </w:tcBorders>
            <w:vAlign w:val="center"/>
          </w:tcPr>
          <w:p w14:paraId="7BCFD000">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02B14C4D">
            <w:pPr>
              <w:widowControl/>
              <w:spacing w:line="240" w:lineRule="auto"/>
              <w:ind w:firstLine="0" w:firstLineChars="0"/>
              <w:jc w:val="center"/>
              <w:textAlignment w:val="center"/>
              <w:rPr>
                <w:color w:val="auto"/>
                <w:kern w:val="0"/>
                <w:sz w:val="21"/>
                <w:szCs w:val="21"/>
                <w:lang w:bidi="ar"/>
              </w:rPr>
            </w:pPr>
          </w:p>
        </w:tc>
      </w:tr>
      <w:tr w14:paraId="1169A94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2E379BD8">
            <w:pPr>
              <w:widowControl/>
              <w:spacing w:line="240" w:lineRule="auto"/>
              <w:ind w:firstLine="0" w:firstLineChars="0"/>
              <w:jc w:val="center"/>
              <w:rPr>
                <w:color w:val="auto"/>
                <w:kern w:val="0"/>
                <w:sz w:val="21"/>
                <w:szCs w:val="21"/>
              </w:rPr>
            </w:pPr>
            <w:r>
              <w:rPr>
                <w:color w:val="auto"/>
                <w:kern w:val="0"/>
                <w:sz w:val="21"/>
                <w:szCs w:val="21"/>
              </w:rPr>
              <w:t>7</w:t>
            </w:r>
          </w:p>
        </w:tc>
        <w:tc>
          <w:tcPr>
            <w:tcW w:w="770" w:type="pct"/>
            <w:tcBorders>
              <w:tl2br w:val="nil"/>
              <w:tr2bl w:val="nil"/>
            </w:tcBorders>
            <w:vAlign w:val="center"/>
          </w:tcPr>
          <w:p w14:paraId="26628450">
            <w:pPr>
              <w:widowControl/>
              <w:spacing w:line="240" w:lineRule="auto"/>
              <w:ind w:firstLine="0" w:firstLineChars="0"/>
              <w:jc w:val="center"/>
              <w:rPr>
                <w:color w:val="auto"/>
                <w:kern w:val="0"/>
                <w:sz w:val="21"/>
                <w:szCs w:val="21"/>
              </w:rPr>
            </w:pPr>
            <w:r>
              <w:rPr>
                <w:color w:val="auto"/>
                <w:kern w:val="0"/>
                <w:sz w:val="21"/>
                <w:szCs w:val="21"/>
              </w:rPr>
              <w:t>蒸馏残渣</w:t>
            </w:r>
          </w:p>
        </w:tc>
        <w:tc>
          <w:tcPr>
            <w:tcW w:w="594" w:type="pct"/>
            <w:tcBorders>
              <w:tl2br w:val="nil"/>
              <w:tr2bl w:val="nil"/>
            </w:tcBorders>
            <w:vAlign w:val="center"/>
          </w:tcPr>
          <w:p w14:paraId="2C7AB88C">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7B069145">
            <w:pPr>
              <w:widowControl/>
              <w:spacing w:line="240" w:lineRule="auto"/>
              <w:ind w:firstLine="0" w:firstLineChars="0"/>
              <w:jc w:val="center"/>
              <w:rPr>
                <w:color w:val="auto"/>
                <w:kern w:val="0"/>
                <w:sz w:val="21"/>
                <w:szCs w:val="21"/>
              </w:rPr>
            </w:pPr>
            <w:r>
              <w:rPr>
                <w:color w:val="auto"/>
                <w:kern w:val="0"/>
                <w:sz w:val="21"/>
                <w:szCs w:val="21"/>
              </w:rPr>
              <w:t>蒸馏</w:t>
            </w:r>
          </w:p>
        </w:tc>
        <w:tc>
          <w:tcPr>
            <w:tcW w:w="405" w:type="pct"/>
            <w:tcBorders>
              <w:tl2br w:val="nil"/>
              <w:tr2bl w:val="nil"/>
            </w:tcBorders>
            <w:vAlign w:val="center"/>
          </w:tcPr>
          <w:p w14:paraId="7BD3A309">
            <w:pPr>
              <w:widowControl/>
              <w:spacing w:line="240" w:lineRule="auto"/>
              <w:ind w:firstLine="0" w:firstLineChars="0"/>
              <w:jc w:val="center"/>
              <w:rPr>
                <w:color w:val="auto"/>
                <w:kern w:val="0"/>
                <w:sz w:val="21"/>
                <w:szCs w:val="21"/>
              </w:rPr>
            </w:pPr>
            <w:r>
              <w:rPr>
                <w:color w:val="auto"/>
                <w:kern w:val="0"/>
                <w:sz w:val="21"/>
                <w:szCs w:val="21"/>
              </w:rPr>
              <w:t>HW02</w:t>
            </w:r>
          </w:p>
        </w:tc>
        <w:tc>
          <w:tcPr>
            <w:tcW w:w="770" w:type="pct"/>
            <w:tcBorders>
              <w:tl2br w:val="nil"/>
              <w:tr2bl w:val="nil"/>
            </w:tcBorders>
            <w:vAlign w:val="center"/>
          </w:tcPr>
          <w:p w14:paraId="01227D25">
            <w:pPr>
              <w:widowControl/>
              <w:spacing w:line="240" w:lineRule="auto"/>
              <w:ind w:firstLine="0" w:firstLineChars="0"/>
              <w:jc w:val="center"/>
              <w:rPr>
                <w:color w:val="auto"/>
                <w:kern w:val="0"/>
                <w:sz w:val="21"/>
                <w:szCs w:val="21"/>
              </w:rPr>
            </w:pPr>
            <w:r>
              <w:rPr>
                <w:color w:val="auto"/>
                <w:kern w:val="0"/>
                <w:sz w:val="21"/>
                <w:szCs w:val="21"/>
              </w:rPr>
              <w:t xml:space="preserve">271-001-02 </w:t>
            </w:r>
          </w:p>
        </w:tc>
        <w:tc>
          <w:tcPr>
            <w:tcW w:w="770" w:type="pct"/>
            <w:tcBorders>
              <w:tl2br w:val="nil"/>
              <w:tr2bl w:val="nil"/>
            </w:tcBorders>
            <w:vAlign w:val="center"/>
          </w:tcPr>
          <w:p w14:paraId="2327A512">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002F3664">
            <w:pPr>
              <w:widowControl/>
              <w:spacing w:line="240" w:lineRule="auto"/>
              <w:ind w:firstLine="0" w:firstLineChars="0"/>
              <w:jc w:val="center"/>
              <w:textAlignment w:val="center"/>
              <w:rPr>
                <w:color w:val="auto"/>
                <w:kern w:val="0"/>
                <w:sz w:val="21"/>
                <w:szCs w:val="21"/>
                <w:lang w:bidi="ar"/>
              </w:rPr>
            </w:pPr>
          </w:p>
        </w:tc>
      </w:tr>
      <w:tr w14:paraId="5CC4C73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37D1370B">
            <w:pPr>
              <w:widowControl/>
              <w:spacing w:line="240" w:lineRule="auto"/>
              <w:ind w:firstLine="0" w:firstLineChars="0"/>
              <w:jc w:val="center"/>
              <w:rPr>
                <w:color w:val="auto"/>
                <w:kern w:val="0"/>
                <w:sz w:val="21"/>
                <w:szCs w:val="21"/>
              </w:rPr>
            </w:pPr>
            <w:r>
              <w:rPr>
                <w:color w:val="auto"/>
                <w:kern w:val="0"/>
                <w:sz w:val="21"/>
                <w:szCs w:val="21"/>
              </w:rPr>
              <w:t>8</w:t>
            </w:r>
          </w:p>
        </w:tc>
        <w:tc>
          <w:tcPr>
            <w:tcW w:w="770" w:type="pct"/>
            <w:tcBorders>
              <w:tl2br w:val="nil"/>
              <w:tr2bl w:val="nil"/>
            </w:tcBorders>
            <w:vAlign w:val="center"/>
          </w:tcPr>
          <w:p w14:paraId="70396FAB">
            <w:pPr>
              <w:widowControl/>
              <w:spacing w:line="240" w:lineRule="auto"/>
              <w:ind w:firstLine="0" w:firstLineChars="0"/>
              <w:jc w:val="center"/>
              <w:rPr>
                <w:color w:val="auto"/>
                <w:kern w:val="0"/>
                <w:sz w:val="21"/>
                <w:szCs w:val="21"/>
              </w:rPr>
            </w:pPr>
            <w:r>
              <w:rPr>
                <w:color w:val="auto"/>
                <w:kern w:val="0"/>
                <w:sz w:val="21"/>
                <w:szCs w:val="21"/>
              </w:rPr>
              <w:t>冷凝残液</w:t>
            </w:r>
          </w:p>
        </w:tc>
        <w:tc>
          <w:tcPr>
            <w:tcW w:w="594" w:type="pct"/>
            <w:tcBorders>
              <w:tl2br w:val="nil"/>
              <w:tr2bl w:val="nil"/>
            </w:tcBorders>
            <w:vAlign w:val="center"/>
          </w:tcPr>
          <w:p w14:paraId="667DE8AE">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07545B44">
            <w:pPr>
              <w:widowControl/>
              <w:spacing w:line="240" w:lineRule="auto"/>
              <w:ind w:firstLine="0" w:firstLineChars="0"/>
              <w:jc w:val="center"/>
              <w:rPr>
                <w:color w:val="auto"/>
                <w:kern w:val="0"/>
                <w:sz w:val="21"/>
                <w:szCs w:val="21"/>
              </w:rPr>
            </w:pPr>
            <w:r>
              <w:rPr>
                <w:color w:val="auto"/>
                <w:kern w:val="0"/>
                <w:sz w:val="21"/>
                <w:szCs w:val="21"/>
              </w:rPr>
              <w:t>冷凝</w:t>
            </w:r>
          </w:p>
        </w:tc>
        <w:tc>
          <w:tcPr>
            <w:tcW w:w="405" w:type="pct"/>
            <w:tcBorders>
              <w:tl2br w:val="nil"/>
              <w:tr2bl w:val="nil"/>
            </w:tcBorders>
            <w:vAlign w:val="center"/>
          </w:tcPr>
          <w:p w14:paraId="14D5E854">
            <w:pPr>
              <w:widowControl/>
              <w:spacing w:line="240" w:lineRule="auto"/>
              <w:ind w:firstLine="0" w:firstLineChars="0"/>
              <w:jc w:val="center"/>
              <w:rPr>
                <w:color w:val="auto"/>
                <w:kern w:val="0"/>
                <w:sz w:val="21"/>
                <w:szCs w:val="21"/>
              </w:rPr>
            </w:pPr>
            <w:r>
              <w:rPr>
                <w:color w:val="auto"/>
                <w:kern w:val="0"/>
                <w:sz w:val="21"/>
                <w:szCs w:val="21"/>
              </w:rPr>
              <w:t>HW02</w:t>
            </w:r>
          </w:p>
        </w:tc>
        <w:tc>
          <w:tcPr>
            <w:tcW w:w="770" w:type="pct"/>
            <w:tcBorders>
              <w:tl2br w:val="nil"/>
              <w:tr2bl w:val="nil"/>
            </w:tcBorders>
            <w:vAlign w:val="center"/>
          </w:tcPr>
          <w:p w14:paraId="6D3E9549">
            <w:pPr>
              <w:widowControl/>
              <w:spacing w:line="240" w:lineRule="auto"/>
              <w:ind w:firstLine="0" w:firstLineChars="0"/>
              <w:jc w:val="center"/>
              <w:rPr>
                <w:color w:val="auto"/>
                <w:kern w:val="0"/>
                <w:sz w:val="21"/>
                <w:szCs w:val="21"/>
              </w:rPr>
            </w:pPr>
            <w:r>
              <w:rPr>
                <w:color w:val="auto"/>
                <w:kern w:val="0"/>
                <w:sz w:val="21"/>
                <w:szCs w:val="21"/>
              </w:rPr>
              <w:t xml:space="preserve">271-005-02 </w:t>
            </w:r>
          </w:p>
        </w:tc>
        <w:tc>
          <w:tcPr>
            <w:tcW w:w="770" w:type="pct"/>
            <w:tcBorders>
              <w:tl2br w:val="nil"/>
              <w:tr2bl w:val="nil"/>
            </w:tcBorders>
            <w:vAlign w:val="center"/>
          </w:tcPr>
          <w:p w14:paraId="14F20942">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4F9E7340">
            <w:pPr>
              <w:widowControl/>
              <w:spacing w:line="240" w:lineRule="auto"/>
              <w:ind w:firstLine="0" w:firstLineChars="0"/>
              <w:jc w:val="center"/>
              <w:textAlignment w:val="center"/>
              <w:rPr>
                <w:color w:val="auto"/>
                <w:kern w:val="0"/>
                <w:sz w:val="21"/>
                <w:szCs w:val="21"/>
                <w:lang w:bidi="ar"/>
              </w:rPr>
            </w:pPr>
          </w:p>
        </w:tc>
      </w:tr>
      <w:tr w14:paraId="57ECBDF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27F20E3A">
            <w:pPr>
              <w:widowControl/>
              <w:spacing w:line="240" w:lineRule="auto"/>
              <w:ind w:firstLine="0" w:firstLineChars="0"/>
              <w:jc w:val="center"/>
              <w:rPr>
                <w:color w:val="auto"/>
                <w:kern w:val="0"/>
                <w:sz w:val="21"/>
                <w:szCs w:val="21"/>
              </w:rPr>
            </w:pPr>
            <w:r>
              <w:rPr>
                <w:color w:val="auto"/>
                <w:kern w:val="0"/>
                <w:sz w:val="21"/>
                <w:szCs w:val="21"/>
              </w:rPr>
              <w:t>9</w:t>
            </w:r>
          </w:p>
        </w:tc>
        <w:tc>
          <w:tcPr>
            <w:tcW w:w="770" w:type="pct"/>
            <w:tcBorders>
              <w:tl2br w:val="nil"/>
              <w:tr2bl w:val="nil"/>
            </w:tcBorders>
            <w:vAlign w:val="center"/>
          </w:tcPr>
          <w:p w14:paraId="0C188916">
            <w:pPr>
              <w:widowControl/>
              <w:spacing w:line="240" w:lineRule="auto"/>
              <w:ind w:firstLine="0" w:firstLineChars="0"/>
              <w:jc w:val="center"/>
              <w:rPr>
                <w:color w:val="auto"/>
                <w:kern w:val="0"/>
                <w:sz w:val="21"/>
                <w:szCs w:val="21"/>
              </w:rPr>
            </w:pPr>
            <w:r>
              <w:rPr>
                <w:color w:val="auto"/>
                <w:kern w:val="0"/>
                <w:sz w:val="21"/>
                <w:szCs w:val="21"/>
              </w:rPr>
              <w:t>检测废物及不合格品</w:t>
            </w:r>
          </w:p>
        </w:tc>
        <w:tc>
          <w:tcPr>
            <w:tcW w:w="594" w:type="pct"/>
            <w:tcBorders>
              <w:tl2br w:val="nil"/>
              <w:tr2bl w:val="nil"/>
            </w:tcBorders>
            <w:vAlign w:val="center"/>
          </w:tcPr>
          <w:p w14:paraId="244FC572">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23565F96">
            <w:pPr>
              <w:widowControl/>
              <w:spacing w:line="240" w:lineRule="auto"/>
              <w:ind w:firstLine="0" w:firstLineChars="0"/>
              <w:jc w:val="center"/>
              <w:rPr>
                <w:color w:val="auto"/>
                <w:kern w:val="0"/>
                <w:sz w:val="21"/>
                <w:szCs w:val="21"/>
              </w:rPr>
            </w:pPr>
            <w:r>
              <w:rPr>
                <w:color w:val="auto"/>
                <w:kern w:val="0"/>
                <w:sz w:val="21"/>
                <w:szCs w:val="21"/>
              </w:rPr>
              <w:t>检测</w:t>
            </w:r>
          </w:p>
        </w:tc>
        <w:tc>
          <w:tcPr>
            <w:tcW w:w="405" w:type="pct"/>
            <w:tcBorders>
              <w:tl2br w:val="nil"/>
              <w:tr2bl w:val="nil"/>
            </w:tcBorders>
            <w:vAlign w:val="center"/>
          </w:tcPr>
          <w:p w14:paraId="79A479F8">
            <w:pPr>
              <w:widowControl/>
              <w:spacing w:line="240" w:lineRule="auto"/>
              <w:ind w:firstLine="0" w:firstLineChars="0"/>
              <w:jc w:val="center"/>
              <w:rPr>
                <w:color w:val="auto"/>
                <w:kern w:val="0"/>
                <w:sz w:val="21"/>
                <w:szCs w:val="21"/>
              </w:rPr>
            </w:pPr>
            <w:r>
              <w:rPr>
                <w:color w:val="auto"/>
                <w:kern w:val="0"/>
                <w:sz w:val="21"/>
                <w:szCs w:val="21"/>
              </w:rPr>
              <w:t>HW02</w:t>
            </w:r>
          </w:p>
        </w:tc>
        <w:tc>
          <w:tcPr>
            <w:tcW w:w="770" w:type="pct"/>
            <w:tcBorders>
              <w:tl2br w:val="nil"/>
              <w:tr2bl w:val="nil"/>
            </w:tcBorders>
            <w:vAlign w:val="center"/>
          </w:tcPr>
          <w:p w14:paraId="35E81B40">
            <w:pPr>
              <w:widowControl/>
              <w:spacing w:line="240" w:lineRule="auto"/>
              <w:ind w:firstLine="0" w:firstLineChars="0"/>
              <w:jc w:val="center"/>
              <w:rPr>
                <w:color w:val="auto"/>
                <w:kern w:val="0"/>
                <w:sz w:val="21"/>
                <w:szCs w:val="21"/>
              </w:rPr>
            </w:pPr>
            <w:r>
              <w:rPr>
                <w:color w:val="auto"/>
                <w:kern w:val="0"/>
                <w:sz w:val="21"/>
                <w:szCs w:val="21"/>
              </w:rPr>
              <w:t xml:space="preserve">272-005-02 </w:t>
            </w:r>
          </w:p>
        </w:tc>
        <w:tc>
          <w:tcPr>
            <w:tcW w:w="770" w:type="pct"/>
            <w:tcBorders>
              <w:tl2br w:val="nil"/>
              <w:tr2bl w:val="nil"/>
            </w:tcBorders>
            <w:vAlign w:val="center"/>
          </w:tcPr>
          <w:p w14:paraId="246A3F57">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1B2ED1DB">
            <w:pPr>
              <w:widowControl/>
              <w:spacing w:line="240" w:lineRule="auto"/>
              <w:ind w:firstLine="0" w:firstLineChars="0"/>
              <w:jc w:val="center"/>
              <w:textAlignment w:val="center"/>
              <w:rPr>
                <w:color w:val="auto"/>
                <w:kern w:val="0"/>
                <w:sz w:val="21"/>
                <w:szCs w:val="21"/>
                <w:lang w:bidi="ar"/>
              </w:rPr>
            </w:pPr>
          </w:p>
        </w:tc>
      </w:tr>
      <w:tr w14:paraId="316A122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626" w:hRule="atLeast"/>
          <w:jc w:val="center"/>
        </w:trPr>
        <w:tc>
          <w:tcPr>
            <w:tcW w:w="250" w:type="pct"/>
            <w:tcBorders>
              <w:tl2br w:val="nil"/>
              <w:tr2bl w:val="nil"/>
            </w:tcBorders>
            <w:vAlign w:val="center"/>
          </w:tcPr>
          <w:p w14:paraId="53FAB706">
            <w:pPr>
              <w:widowControl/>
              <w:spacing w:line="240" w:lineRule="auto"/>
              <w:ind w:firstLine="0" w:firstLineChars="0"/>
              <w:jc w:val="center"/>
              <w:rPr>
                <w:color w:val="auto"/>
                <w:kern w:val="0"/>
                <w:sz w:val="21"/>
                <w:szCs w:val="21"/>
              </w:rPr>
            </w:pPr>
            <w:r>
              <w:rPr>
                <w:color w:val="auto"/>
                <w:kern w:val="0"/>
                <w:sz w:val="21"/>
                <w:szCs w:val="21"/>
              </w:rPr>
              <w:t>10</w:t>
            </w:r>
          </w:p>
        </w:tc>
        <w:tc>
          <w:tcPr>
            <w:tcW w:w="770" w:type="pct"/>
            <w:tcBorders>
              <w:tl2br w:val="nil"/>
              <w:tr2bl w:val="nil"/>
            </w:tcBorders>
            <w:vAlign w:val="center"/>
          </w:tcPr>
          <w:p w14:paraId="544C5205">
            <w:pPr>
              <w:widowControl/>
              <w:spacing w:line="240" w:lineRule="auto"/>
              <w:ind w:firstLine="0" w:firstLineChars="0"/>
              <w:jc w:val="center"/>
              <w:rPr>
                <w:color w:val="auto"/>
                <w:kern w:val="0"/>
                <w:sz w:val="21"/>
                <w:szCs w:val="21"/>
              </w:rPr>
            </w:pPr>
            <w:r>
              <w:rPr>
                <w:color w:val="auto"/>
                <w:kern w:val="0"/>
                <w:sz w:val="21"/>
                <w:szCs w:val="21"/>
              </w:rPr>
              <w:t>废包装材料</w:t>
            </w:r>
          </w:p>
        </w:tc>
        <w:tc>
          <w:tcPr>
            <w:tcW w:w="594" w:type="pct"/>
            <w:tcBorders>
              <w:tl2br w:val="nil"/>
              <w:tr2bl w:val="nil"/>
            </w:tcBorders>
            <w:vAlign w:val="center"/>
          </w:tcPr>
          <w:p w14:paraId="0EF378CA">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2D6D913C">
            <w:pPr>
              <w:widowControl/>
              <w:spacing w:line="240" w:lineRule="auto"/>
              <w:ind w:firstLine="0" w:firstLineChars="0"/>
              <w:jc w:val="center"/>
              <w:rPr>
                <w:color w:val="auto"/>
                <w:kern w:val="0"/>
                <w:sz w:val="21"/>
                <w:szCs w:val="21"/>
              </w:rPr>
            </w:pPr>
            <w:r>
              <w:rPr>
                <w:color w:val="auto"/>
                <w:kern w:val="0"/>
                <w:sz w:val="21"/>
                <w:szCs w:val="21"/>
              </w:rPr>
              <w:t>原辅材料包装</w:t>
            </w:r>
          </w:p>
        </w:tc>
        <w:tc>
          <w:tcPr>
            <w:tcW w:w="405" w:type="pct"/>
            <w:tcBorders>
              <w:tl2br w:val="nil"/>
              <w:tr2bl w:val="nil"/>
            </w:tcBorders>
            <w:vAlign w:val="center"/>
          </w:tcPr>
          <w:p w14:paraId="1DB6CF15">
            <w:pPr>
              <w:widowControl/>
              <w:spacing w:line="240" w:lineRule="auto"/>
              <w:ind w:firstLine="0" w:firstLineChars="0"/>
              <w:jc w:val="center"/>
              <w:rPr>
                <w:color w:val="auto"/>
                <w:kern w:val="0"/>
                <w:sz w:val="21"/>
                <w:szCs w:val="21"/>
              </w:rPr>
            </w:pPr>
            <w:r>
              <w:rPr>
                <w:color w:val="auto"/>
                <w:kern w:val="0"/>
                <w:sz w:val="21"/>
                <w:szCs w:val="21"/>
              </w:rPr>
              <w:t>HW49</w:t>
            </w:r>
          </w:p>
        </w:tc>
        <w:tc>
          <w:tcPr>
            <w:tcW w:w="770" w:type="pct"/>
            <w:tcBorders>
              <w:tl2br w:val="nil"/>
              <w:tr2bl w:val="nil"/>
            </w:tcBorders>
            <w:vAlign w:val="center"/>
          </w:tcPr>
          <w:p w14:paraId="09331866">
            <w:pPr>
              <w:widowControl/>
              <w:spacing w:line="240" w:lineRule="auto"/>
              <w:ind w:firstLine="0" w:firstLineChars="0"/>
              <w:jc w:val="center"/>
              <w:rPr>
                <w:color w:val="auto"/>
                <w:kern w:val="0"/>
                <w:sz w:val="21"/>
                <w:szCs w:val="21"/>
              </w:rPr>
            </w:pPr>
            <w:r>
              <w:rPr>
                <w:color w:val="auto"/>
                <w:kern w:val="0"/>
                <w:sz w:val="21"/>
                <w:szCs w:val="21"/>
              </w:rPr>
              <w:t>900-041-49</w:t>
            </w:r>
          </w:p>
        </w:tc>
        <w:tc>
          <w:tcPr>
            <w:tcW w:w="770" w:type="pct"/>
            <w:tcBorders>
              <w:tl2br w:val="nil"/>
              <w:tr2bl w:val="nil"/>
            </w:tcBorders>
            <w:vAlign w:val="center"/>
          </w:tcPr>
          <w:p w14:paraId="083BA446">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2C3A0F24">
            <w:pPr>
              <w:widowControl/>
              <w:spacing w:line="240" w:lineRule="auto"/>
              <w:ind w:firstLine="0" w:firstLineChars="0"/>
              <w:jc w:val="center"/>
              <w:textAlignment w:val="center"/>
              <w:rPr>
                <w:color w:val="auto"/>
                <w:kern w:val="0"/>
                <w:sz w:val="21"/>
                <w:szCs w:val="21"/>
                <w:lang w:bidi="ar"/>
              </w:rPr>
            </w:pPr>
          </w:p>
        </w:tc>
      </w:tr>
      <w:tr w14:paraId="18F2573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40C5F162">
            <w:pPr>
              <w:widowControl/>
              <w:spacing w:line="240" w:lineRule="auto"/>
              <w:ind w:firstLine="0" w:firstLineChars="0"/>
              <w:jc w:val="center"/>
              <w:rPr>
                <w:color w:val="auto"/>
                <w:kern w:val="0"/>
                <w:sz w:val="21"/>
                <w:szCs w:val="21"/>
              </w:rPr>
            </w:pPr>
            <w:r>
              <w:rPr>
                <w:color w:val="auto"/>
                <w:kern w:val="0"/>
                <w:sz w:val="21"/>
                <w:szCs w:val="21"/>
              </w:rPr>
              <w:t>11</w:t>
            </w:r>
          </w:p>
        </w:tc>
        <w:tc>
          <w:tcPr>
            <w:tcW w:w="770" w:type="pct"/>
            <w:tcBorders>
              <w:tl2br w:val="nil"/>
              <w:tr2bl w:val="nil"/>
            </w:tcBorders>
            <w:vAlign w:val="center"/>
          </w:tcPr>
          <w:p w14:paraId="04CA0643">
            <w:pPr>
              <w:widowControl/>
              <w:spacing w:line="240" w:lineRule="auto"/>
              <w:ind w:firstLine="0" w:firstLineChars="0"/>
              <w:jc w:val="center"/>
              <w:rPr>
                <w:color w:val="auto"/>
                <w:kern w:val="0"/>
                <w:sz w:val="21"/>
                <w:szCs w:val="21"/>
              </w:rPr>
            </w:pPr>
            <w:r>
              <w:rPr>
                <w:color w:val="auto"/>
                <w:kern w:val="0"/>
                <w:sz w:val="21"/>
                <w:szCs w:val="21"/>
              </w:rPr>
              <w:t>废过滤材料</w:t>
            </w:r>
          </w:p>
        </w:tc>
        <w:tc>
          <w:tcPr>
            <w:tcW w:w="594" w:type="pct"/>
            <w:tcBorders>
              <w:tl2br w:val="nil"/>
              <w:tr2bl w:val="nil"/>
            </w:tcBorders>
            <w:vAlign w:val="center"/>
          </w:tcPr>
          <w:p w14:paraId="555EDAA8">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32F74037">
            <w:pPr>
              <w:widowControl/>
              <w:spacing w:line="240" w:lineRule="auto"/>
              <w:ind w:firstLine="0" w:firstLineChars="0"/>
              <w:jc w:val="center"/>
              <w:rPr>
                <w:color w:val="auto"/>
                <w:kern w:val="0"/>
                <w:sz w:val="21"/>
                <w:szCs w:val="21"/>
              </w:rPr>
            </w:pPr>
            <w:r>
              <w:rPr>
                <w:color w:val="auto"/>
                <w:kern w:val="0"/>
                <w:sz w:val="21"/>
                <w:szCs w:val="21"/>
              </w:rPr>
              <w:t>过滤</w:t>
            </w:r>
          </w:p>
        </w:tc>
        <w:tc>
          <w:tcPr>
            <w:tcW w:w="405" w:type="pct"/>
            <w:tcBorders>
              <w:tl2br w:val="nil"/>
              <w:tr2bl w:val="nil"/>
            </w:tcBorders>
            <w:vAlign w:val="center"/>
          </w:tcPr>
          <w:p w14:paraId="17B6FC4A">
            <w:pPr>
              <w:widowControl/>
              <w:spacing w:line="240" w:lineRule="auto"/>
              <w:ind w:firstLine="0" w:firstLineChars="0"/>
              <w:jc w:val="center"/>
              <w:rPr>
                <w:color w:val="auto"/>
                <w:kern w:val="0"/>
                <w:sz w:val="21"/>
                <w:szCs w:val="21"/>
              </w:rPr>
            </w:pPr>
            <w:r>
              <w:rPr>
                <w:color w:val="auto"/>
                <w:kern w:val="0"/>
                <w:sz w:val="21"/>
                <w:szCs w:val="21"/>
              </w:rPr>
              <w:t>HW49</w:t>
            </w:r>
          </w:p>
        </w:tc>
        <w:tc>
          <w:tcPr>
            <w:tcW w:w="770" w:type="pct"/>
            <w:tcBorders>
              <w:tl2br w:val="nil"/>
              <w:tr2bl w:val="nil"/>
            </w:tcBorders>
            <w:vAlign w:val="center"/>
          </w:tcPr>
          <w:p w14:paraId="61F95528">
            <w:pPr>
              <w:widowControl/>
              <w:spacing w:line="240" w:lineRule="auto"/>
              <w:ind w:firstLine="0" w:firstLineChars="0"/>
              <w:jc w:val="center"/>
              <w:rPr>
                <w:color w:val="auto"/>
                <w:kern w:val="0"/>
                <w:sz w:val="21"/>
                <w:szCs w:val="21"/>
              </w:rPr>
            </w:pPr>
            <w:r>
              <w:rPr>
                <w:color w:val="auto"/>
                <w:kern w:val="0"/>
                <w:sz w:val="21"/>
                <w:szCs w:val="21"/>
              </w:rPr>
              <w:t>900-041-49</w:t>
            </w:r>
          </w:p>
        </w:tc>
        <w:tc>
          <w:tcPr>
            <w:tcW w:w="770" w:type="pct"/>
            <w:tcBorders>
              <w:tl2br w:val="nil"/>
              <w:tr2bl w:val="nil"/>
            </w:tcBorders>
            <w:vAlign w:val="center"/>
          </w:tcPr>
          <w:p w14:paraId="3544DB2A">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63D517E7">
            <w:pPr>
              <w:widowControl/>
              <w:spacing w:line="240" w:lineRule="auto"/>
              <w:ind w:firstLine="0" w:firstLineChars="0"/>
              <w:jc w:val="center"/>
              <w:textAlignment w:val="center"/>
              <w:rPr>
                <w:color w:val="auto"/>
                <w:kern w:val="0"/>
                <w:sz w:val="21"/>
                <w:szCs w:val="21"/>
                <w:lang w:bidi="ar"/>
              </w:rPr>
            </w:pPr>
          </w:p>
        </w:tc>
      </w:tr>
      <w:tr w14:paraId="255645C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5492C827">
            <w:pPr>
              <w:widowControl/>
              <w:spacing w:line="240" w:lineRule="auto"/>
              <w:ind w:firstLine="0" w:firstLineChars="0"/>
              <w:jc w:val="center"/>
              <w:rPr>
                <w:color w:val="auto"/>
                <w:kern w:val="0"/>
                <w:sz w:val="21"/>
                <w:szCs w:val="21"/>
              </w:rPr>
            </w:pPr>
            <w:r>
              <w:rPr>
                <w:color w:val="auto"/>
                <w:kern w:val="0"/>
                <w:sz w:val="21"/>
                <w:szCs w:val="21"/>
              </w:rPr>
              <w:t>12</w:t>
            </w:r>
          </w:p>
        </w:tc>
        <w:tc>
          <w:tcPr>
            <w:tcW w:w="770" w:type="pct"/>
            <w:tcBorders>
              <w:tl2br w:val="nil"/>
              <w:tr2bl w:val="nil"/>
            </w:tcBorders>
            <w:vAlign w:val="center"/>
          </w:tcPr>
          <w:p w14:paraId="1E155DE8">
            <w:pPr>
              <w:widowControl/>
              <w:spacing w:line="240" w:lineRule="auto"/>
              <w:ind w:firstLine="0" w:firstLineChars="0"/>
              <w:jc w:val="center"/>
              <w:rPr>
                <w:color w:val="auto"/>
                <w:kern w:val="0"/>
                <w:sz w:val="21"/>
                <w:szCs w:val="21"/>
              </w:rPr>
            </w:pPr>
            <w:r>
              <w:rPr>
                <w:color w:val="auto"/>
                <w:kern w:val="0"/>
                <w:sz w:val="21"/>
                <w:szCs w:val="21"/>
              </w:rPr>
              <w:t>除尘灰</w:t>
            </w:r>
          </w:p>
        </w:tc>
        <w:tc>
          <w:tcPr>
            <w:tcW w:w="594" w:type="pct"/>
            <w:tcBorders>
              <w:tl2br w:val="nil"/>
              <w:tr2bl w:val="nil"/>
            </w:tcBorders>
            <w:vAlign w:val="center"/>
          </w:tcPr>
          <w:p w14:paraId="34C049AD">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4FD734C2">
            <w:pPr>
              <w:widowControl/>
              <w:spacing w:line="240" w:lineRule="auto"/>
              <w:ind w:firstLine="0" w:firstLineChars="0"/>
              <w:jc w:val="center"/>
              <w:rPr>
                <w:color w:val="auto"/>
                <w:kern w:val="0"/>
                <w:sz w:val="21"/>
                <w:szCs w:val="21"/>
              </w:rPr>
            </w:pPr>
            <w:r>
              <w:rPr>
                <w:color w:val="auto"/>
                <w:kern w:val="0"/>
                <w:sz w:val="21"/>
                <w:szCs w:val="21"/>
              </w:rPr>
              <w:t>废气处理</w:t>
            </w:r>
          </w:p>
        </w:tc>
        <w:tc>
          <w:tcPr>
            <w:tcW w:w="405" w:type="pct"/>
            <w:tcBorders>
              <w:tl2br w:val="nil"/>
              <w:tr2bl w:val="nil"/>
            </w:tcBorders>
            <w:vAlign w:val="center"/>
          </w:tcPr>
          <w:p w14:paraId="7AA64D91">
            <w:pPr>
              <w:widowControl/>
              <w:spacing w:line="240" w:lineRule="auto"/>
              <w:ind w:firstLine="0" w:firstLineChars="0"/>
              <w:jc w:val="center"/>
              <w:rPr>
                <w:color w:val="auto"/>
                <w:kern w:val="0"/>
                <w:sz w:val="21"/>
                <w:szCs w:val="21"/>
              </w:rPr>
            </w:pPr>
            <w:r>
              <w:rPr>
                <w:color w:val="auto"/>
                <w:kern w:val="0"/>
                <w:sz w:val="21"/>
                <w:szCs w:val="21"/>
              </w:rPr>
              <w:t>HW02</w:t>
            </w:r>
          </w:p>
        </w:tc>
        <w:tc>
          <w:tcPr>
            <w:tcW w:w="770" w:type="pct"/>
            <w:tcBorders>
              <w:tl2br w:val="nil"/>
              <w:tr2bl w:val="nil"/>
            </w:tcBorders>
            <w:vAlign w:val="center"/>
          </w:tcPr>
          <w:p w14:paraId="58FABD2B">
            <w:pPr>
              <w:widowControl/>
              <w:spacing w:line="240" w:lineRule="auto"/>
              <w:ind w:firstLine="0" w:firstLineChars="0"/>
              <w:jc w:val="center"/>
              <w:rPr>
                <w:color w:val="auto"/>
                <w:kern w:val="0"/>
                <w:sz w:val="21"/>
                <w:szCs w:val="21"/>
              </w:rPr>
            </w:pPr>
            <w:r>
              <w:rPr>
                <w:color w:val="auto"/>
                <w:kern w:val="0"/>
                <w:sz w:val="21"/>
                <w:szCs w:val="21"/>
              </w:rPr>
              <w:t>271-005-02</w:t>
            </w:r>
          </w:p>
        </w:tc>
        <w:tc>
          <w:tcPr>
            <w:tcW w:w="770" w:type="pct"/>
            <w:tcBorders>
              <w:tl2br w:val="nil"/>
              <w:tr2bl w:val="nil"/>
            </w:tcBorders>
            <w:vAlign w:val="center"/>
          </w:tcPr>
          <w:p w14:paraId="26380073">
            <w:pPr>
              <w:widowControl/>
              <w:spacing w:line="240" w:lineRule="auto"/>
              <w:ind w:firstLine="0" w:firstLineChars="0"/>
              <w:jc w:val="center"/>
              <w:textAlignment w:val="center"/>
              <w:rPr>
                <w:color w:val="auto"/>
                <w:kern w:val="0"/>
                <w:sz w:val="21"/>
                <w:szCs w:val="21"/>
              </w:rPr>
            </w:pPr>
          </w:p>
        </w:tc>
        <w:tc>
          <w:tcPr>
            <w:tcW w:w="770" w:type="pct"/>
            <w:vMerge w:val="continue"/>
            <w:tcBorders>
              <w:tl2br w:val="nil"/>
              <w:tr2bl w:val="nil"/>
            </w:tcBorders>
            <w:vAlign w:val="center"/>
          </w:tcPr>
          <w:p w14:paraId="702F756A">
            <w:pPr>
              <w:widowControl/>
              <w:spacing w:line="240" w:lineRule="auto"/>
              <w:ind w:firstLine="0" w:firstLineChars="0"/>
              <w:jc w:val="center"/>
              <w:textAlignment w:val="center"/>
              <w:rPr>
                <w:color w:val="auto"/>
                <w:kern w:val="0"/>
                <w:sz w:val="21"/>
                <w:szCs w:val="21"/>
                <w:lang w:bidi="ar"/>
              </w:rPr>
            </w:pPr>
          </w:p>
        </w:tc>
      </w:tr>
      <w:tr w14:paraId="17894DE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454ACA07">
            <w:pPr>
              <w:widowControl/>
              <w:spacing w:line="240" w:lineRule="auto"/>
              <w:ind w:firstLine="0" w:firstLineChars="0"/>
              <w:jc w:val="center"/>
              <w:rPr>
                <w:color w:val="auto"/>
                <w:kern w:val="0"/>
                <w:sz w:val="21"/>
                <w:szCs w:val="21"/>
              </w:rPr>
            </w:pPr>
            <w:r>
              <w:rPr>
                <w:color w:val="auto"/>
                <w:kern w:val="0"/>
                <w:sz w:val="21"/>
                <w:szCs w:val="21"/>
              </w:rPr>
              <w:t>13</w:t>
            </w:r>
          </w:p>
        </w:tc>
        <w:tc>
          <w:tcPr>
            <w:tcW w:w="770" w:type="pct"/>
            <w:tcBorders>
              <w:tl2br w:val="nil"/>
              <w:tr2bl w:val="nil"/>
            </w:tcBorders>
            <w:vAlign w:val="center"/>
          </w:tcPr>
          <w:p w14:paraId="61355259">
            <w:pPr>
              <w:widowControl/>
              <w:spacing w:line="240" w:lineRule="auto"/>
              <w:ind w:firstLine="0" w:firstLineChars="0"/>
              <w:jc w:val="center"/>
              <w:rPr>
                <w:color w:val="auto"/>
                <w:kern w:val="0"/>
                <w:sz w:val="21"/>
                <w:szCs w:val="21"/>
              </w:rPr>
            </w:pPr>
            <w:r>
              <w:rPr>
                <w:color w:val="auto"/>
                <w:kern w:val="0"/>
                <w:sz w:val="21"/>
                <w:szCs w:val="21"/>
              </w:rPr>
              <w:t>废活性炭</w:t>
            </w:r>
          </w:p>
        </w:tc>
        <w:tc>
          <w:tcPr>
            <w:tcW w:w="594" w:type="pct"/>
            <w:tcBorders>
              <w:tl2br w:val="nil"/>
              <w:tr2bl w:val="nil"/>
            </w:tcBorders>
            <w:vAlign w:val="center"/>
          </w:tcPr>
          <w:p w14:paraId="55A4F812">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34CDBF47">
            <w:pPr>
              <w:widowControl/>
              <w:spacing w:line="240" w:lineRule="auto"/>
              <w:ind w:firstLine="0" w:firstLineChars="0"/>
              <w:jc w:val="center"/>
              <w:rPr>
                <w:color w:val="auto"/>
                <w:kern w:val="0"/>
                <w:sz w:val="21"/>
                <w:szCs w:val="21"/>
              </w:rPr>
            </w:pPr>
            <w:r>
              <w:rPr>
                <w:color w:val="auto"/>
                <w:kern w:val="0"/>
                <w:sz w:val="21"/>
                <w:szCs w:val="21"/>
              </w:rPr>
              <w:t>废气处理</w:t>
            </w:r>
          </w:p>
        </w:tc>
        <w:tc>
          <w:tcPr>
            <w:tcW w:w="405" w:type="pct"/>
            <w:tcBorders>
              <w:tl2br w:val="nil"/>
              <w:tr2bl w:val="nil"/>
            </w:tcBorders>
            <w:vAlign w:val="center"/>
          </w:tcPr>
          <w:p w14:paraId="26CA3238">
            <w:pPr>
              <w:widowControl/>
              <w:spacing w:line="240" w:lineRule="auto"/>
              <w:ind w:firstLine="0" w:firstLineChars="0"/>
              <w:jc w:val="center"/>
              <w:rPr>
                <w:color w:val="auto"/>
                <w:kern w:val="0"/>
                <w:sz w:val="21"/>
                <w:szCs w:val="21"/>
              </w:rPr>
            </w:pPr>
            <w:r>
              <w:rPr>
                <w:color w:val="auto"/>
                <w:kern w:val="0"/>
                <w:sz w:val="21"/>
                <w:szCs w:val="21"/>
              </w:rPr>
              <w:t>HW49</w:t>
            </w:r>
          </w:p>
        </w:tc>
        <w:tc>
          <w:tcPr>
            <w:tcW w:w="770" w:type="pct"/>
            <w:tcBorders>
              <w:tl2br w:val="nil"/>
              <w:tr2bl w:val="nil"/>
            </w:tcBorders>
            <w:vAlign w:val="center"/>
          </w:tcPr>
          <w:p w14:paraId="35F55D2B">
            <w:pPr>
              <w:widowControl/>
              <w:spacing w:line="240" w:lineRule="auto"/>
              <w:ind w:firstLine="0" w:firstLineChars="0"/>
              <w:jc w:val="center"/>
              <w:rPr>
                <w:color w:val="auto"/>
                <w:kern w:val="0"/>
                <w:sz w:val="21"/>
                <w:szCs w:val="21"/>
              </w:rPr>
            </w:pPr>
            <w:r>
              <w:rPr>
                <w:color w:val="auto"/>
                <w:kern w:val="0"/>
                <w:sz w:val="21"/>
                <w:szCs w:val="21"/>
              </w:rPr>
              <w:t>900-039-49</w:t>
            </w:r>
          </w:p>
        </w:tc>
        <w:tc>
          <w:tcPr>
            <w:tcW w:w="770" w:type="pct"/>
            <w:tcBorders>
              <w:tl2br w:val="nil"/>
              <w:tr2bl w:val="nil"/>
            </w:tcBorders>
            <w:vAlign w:val="center"/>
          </w:tcPr>
          <w:p w14:paraId="210417C2">
            <w:pPr>
              <w:widowControl/>
              <w:spacing w:line="240" w:lineRule="auto"/>
              <w:ind w:firstLine="0" w:firstLineChars="0"/>
              <w:jc w:val="center"/>
              <w:rPr>
                <w:color w:val="auto"/>
                <w:kern w:val="0"/>
                <w:sz w:val="21"/>
                <w:szCs w:val="21"/>
              </w:rPr>
            </w:pPr>
          </w:p>
        </w:tc>
        <w:tc>
          <w:tcPr>
            <w:tcW w:w="770" w:type="pct"/>
            <w:vMerge w:val="continue"/>
            <w:tcBorders>
              <w:tl2br w:val="nil"/>
              <w:tr2bl w:val="nil"/>
            </w:tcBorders>
            <w:vAlign w:val="center"/>
          </w:tcPr>
          <w:p w14:paraId="4E8ACF8E">
            <w:pPr>
              <w:widowControl/>
              <w:spacing w:line="240" w:lineRule="auto"/>
              <w:ind w:firstLine="0" w:firstLineChars="0"/>
              <w:jc w:val="center"/>
              <w:rPr>
                <w:color w:val="auto"/>
                <w:kern w:val="0"/>
                <w:sz w:val="21"/>
                <w:szCs w:val="21"/>
              </w:rPr>
            </w:pPr>
          </w:p>
        </w:tc>
      </w:tr>
      <w:tr w14:paraId="0DFA8C6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4B47EEB6">
            <w:pPr>
              <w:widowControl/>
              <w:spacing w:line="240" w:lineRule="auto"/>
              <w:ind w:firstLine="0" w:firstLineChars="0"/>
              <w:jc w:val="center"/>
              <w:rPr>
                <w:color w:val="auto"/>
                <w:kern w:val="0"/>
                <w:sz w:val="21"/>
                <w:szCs w:val="21"/>
              </w:rPr>
            </w:pPr>
            <w:r>
              <w:rPr>
                <w:color w:val="auto"/>
                <w:kern w:val="0"/>
                <w:sz w:val="21"/>
                <w:szCs w:val="21"/>
              </w:rPr>
              <w:t>14</w:t>
            </w:r>
          </w:p>
        </w:tc>
        <w:tc>
          <w:tcPr>
            <w:tcW w:w="770" w:type="pct"/>
            <w:tcBorders>
              <w:tl2br w:val="nil"/>
              <w:tr2bl w:val="nil"/>
            </w:tcBorders>
            <w:vAlign w:val="center"/>
          </w:tcPr>
          <w:p w14:paraId="219D9AD4">
            <w:pPr>
              <w:widowControl/>
              <w:spacing w:line="240" w:lineRule="auto"/>
              <w:ind w:firstLine="0" w:firstLineChars="0"/>
              <w:jc w:val="center"/>
              <w:rPr>
                <w:color w:val="auto"/>
                <w:kern w:val="0"/>
                <w:sz w:val="21"/>
                <w:szCs w:val="21"/>
              </w:rPr>
            </w:pPr>
            <w:bookmarkStart w:id="94" w:name="OLE_LINK20"/>
            <w:r>
              <w:rPr>
                <w:color w:val="auto"/>
                <w:kern w:val="0"/>
                <w:sz w:val="21"/>
                <w:szCs w:val="21"/>
              </w:rPr>
              <w:t>尾气冷凝废液</w:t>
            </w:r>
            <w:bookmarkEnd w:id="94"/>
          </w:p>
        </w:tc>
        <w:tc>
          <w:tcPr>
            <w:tcW w:w="594" w:type="pct"/>
            <w:tcBorders>
              <w:tl2br w:val="nil"/>
              <w:tr2bl w:val="nil"/>
            </w:tcBorders>
            <w:vAlign w:val="center"/>
          </w:tcPr>
          <w:p w14:paraId="36498145">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3CF10E21">
            <w:pPr>
              <w:widowControl/>
              <w:spacing w:line="240" w:lineRule="auto"/>
              <w:ind w:firstLine="0" w:firstLineChars="0"/>
              <w:jc w:val="center"/>
              <w:rPr>
                <w:color w:val="auto"/>
                <w:kern w:val="0"/>
                <w:sz w:val="21"/>
                <w:szCs w:val="21"/>
              </w:rPr>
            </w:pPr>
            <w:r>
              <w:rPr>
                <w:color w:val="auto"/>
                <w:kern w:val="0"/>
                <w:sz w:val="21"/>
                <w:szCs w:val="21"/>
              </w:rPr>
              <w:t>废气处理</w:t>
            </w:r>
          </w:p>
        </w:tc>
        <w:tc>
          <w:tcPr>
            <w:tcW w:w="405" w:type="pct"/>
            <w:tcBorders>
              <w:tl2br w:val="nil"/>
              <w:tr2bl w:val="nil"/>
            </w:tcBorders>
            <w:vAlign w:val="center"/>
          </w:tcPr>
          <w:p w14:paraId="039EFD82">
            <w:pPr>
              <w:widowControl/>
              <w:spacing w:line="240" w:lineRule="auto"/>
              <w:ind w:firstLine="0" w:firstLineChars="0"/>
              <w:jc w:val="center"/>
              <w:rPr>
                <w:color w:val="auto"/>
                <w:kern w:val="0"/>
                <w:sz w:val="21"/>
                <w:szCs w:val="21"/>
              </w:rPr>
            </w:pPr>
            <w:r>
              <w:rPr>
                <w:color w:val="auto"/>
                <w:kern w:val="0"/>
                <w:sz w:val="21"/>
                <w:szCs w:val="21"/>
              </w:rPr>
              <w:t>HW</w:t>
            </w:r>
            <w:r>
              <w:rPr>
                <w:rFonts w:hint="eastAsia"/>
                <w:color w:val="auto"/>
                <w:kern w:val="0"/>
                <w:sz w:val="21"/>
                <w:szCs w:val="21"/>
              </w:rPr>
              <w:t>02</w:t>
            </w:r>
          </w:p>
        </w:tc>
        <w:tc>
          <w:tcPr>
            <w:tcW w:w="770" w:type="pct"/>
            <w:tcBorders>
              <w:tl2br w:val="nil"/>
              <w:tr2bl w:val="nil"/>
            </w:tcBorders>
            <w:vAlign w:val="center"/>
          </w:tcPr>
          <w:p w14:paraId="0570245E">
            <w:pPr>
              <w:widowControl/>
              <w:spacing w:line="240" w:lineRule="auto"/>
              <w:ind w:firstLine="0" w:firstLineChars="0"/>
              <w:jc w:val="center"/>
              <w:rPr>
                <w:color w:val="auto"/>
                <w:kern w:val="0"/>
                <w:sz w:val="21"/>
                <w:szCs w:val="21"/>
              </w:rPr>
            </w:pPr>
            <w:bookmarkStart w:id="95" w:name="OLE_LINK30"/>
            <w:r>
              <w:rPr>
                <w:rFonts w:hint="eastAsia"/>
                <w:color w:val="auto"/>
                <w:kern w:val="0"/>
                <w:sz w:val="21"/>
                <w:szCs w:val="21"/>
              </w:rPr>
              <w:t>271-002-02</w:t>
            </w:r>
            <w:bookmarkEnd w:id="95"/>
          </w:p>
        </w:tc>
        <w:tc>
          <w:tcPr>
            <w:tcW w:w="770" w:type="pct"/>
            <w:tcBorders>
              <w:tl2br w:val="nil"/>
              <w:tr2bl w:val="nil"/>
            </w:tcBorders>
            <w:vAlign w:val="center"/>
          </w:tcPr>
          <w:p w14:paraId="3A2FF035">
            <w:pPr>
              <w:widowControl/>
              <w:spacing w:line="240" w:lineRule="auto"/>
              <w:ind w:firstLine="0" w:firstLineChars="0"/>
              <w:jc w:val="center"/>
              <w:rPr>
                <w:color w:val="auto"/>
                <w:kern w:val="0"/>
                <w:sz w:val="21"/>
                <w:szCs w:val="21"/>
              </w:rPr>
            </w:pPr>
          </w:p>
        </w:tc>
        <w:tc>
          <w:tcPr>
            <w:tcW w:w="770" w:type="pct"/>
            <w:vMerge w:val="continue"/>
            <w:tcBorders>
              <w:tl2br w:val="nil"/>
              <w:tr2bl w:val="nil"/>
            </w:tcBorders>
            <w:vAlign w:val="center"/>
          </w:tcPr>
          <w:p w14:paraId="401745F1">
            <w:pPr>
              <w:widowControl/>
              <w:spacing w:line="240" w:lineRule="auto"/>
              <w:ind w:firstLine="0" w:firstLineChars="0"/>
              <w:jc w:val="center"/>
              <w:rPr>
                <w:color w:val="auto"/>
                <w:kern w:val="0"/>
                <w:sz w:val="21"/>
                <w:szCs w:val="21"/>
              </w:rPr>
            </w:pPr>
          </w:p>
        </w:tc>
      </w:tr>
      <w:tr w14:paraId="2614A06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250" w:type="pct"/>
            <w:tcBorders>
              <w:tl2br w:val="nil"/>
              <w:tr2bl w:val="nil"/>
            </w:tcBorders>
            <w:vAlign w:val="center"/>
          </w:tcPr>
          <w:p w14:paraId="2A9F4463">
            <w:pPr>
              <w:widowControl/>
              <w:spacing w:line="240" w:lineRule="auto"/>
              <w:ind w:firstLine="0" w:firstLineChars="0"/>
              <w:jc w:val="center"/>
              <w:rPr>
                <w:color w:val="auto"/>
                <w:kern w:val="0"/>
                <w:sz w:val="21"/>
                <w:szCs w:val="21"/>
              </w:rPr>
            </w:pPr>
            <w:r>
              <w:rPr>
                <w:color w:val="auto"/>
                <w:kern w:val="0"/>
                <w:sz w:val="21"/>
                <w:szCs w:val="21"/>
              </w:rPr>
              <w:t>15</w:t>
            </w:r>
          </w:p>
        </w:tc>
        <w:tc>
          <w:tcPr>
            <w:tcW w:w="770" w:type="pct"/>
            <w:tcBorders>
              <w:tl2br w:val="nil"/>
              <w:tr2bl w:val="nil"/>
            </w:tcBorders>
            <w:vAlign w:val="center"/>
          </w:tcPr>
          <w:p w14:paraId="3B0F4203">
            <w:pPr>
              <w:widowControl/>
              <w:spacing w:line="240" w:lineRule="auto"/>
              <w:ind w:firstLine="0" w:firstLineChars="0"/>
              <w:jc w:val="center"/>
              <w:rPr>
                <w:color w:val="auto"/>
                <w:kern w:val="0"/>
                <w:sz w:val="21"/>
                <w:szCs w:val="21"/>
              </w:rPr>
            </w:pPr>
            <w:r>
              <w:rPr>
                <w:color w:val="auto"/>
                <w:kern w:val="0"/>
                <w:sz w:val="21"/>
                <w:szCs w:val="21"/>
              </w:rPr>
              <w:t>废机油</w:t>
            </w:r>
          </w:p>
        </w:tc>
        <w:tc>
          <w:tcPr>
            <w:tcW w:w="594" w:type="pct"/>
            <w:tcBorders>
              <w:tl2br w:val="nil"/>
              <w:tr2bl w:val="nil"/>
            </w:tcBorders>
            <w:vAlign w:val="center"/>
          </w:tcPr>
          <w:p w14:paraId="536441D5">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483E72ED">
            <w:pPr>
              <w:widowControl/>
              <w:spacing w:line="240" w:lineRule="auto"/>
              <w:ind w:firstLine="0" w:firstLineChars="0"/>
              <w:jc w:val="center"/>
              <w:rPr>
                <w:color w:val="auto"/>
                <w:kern w:val="0"/>
                <w:sz w:val="21"/>
                <w:szCs w:val="21"/>
              </w:rPr>
            </w:pPr>
            <w:r>
              <w:rPr>
                <w:color w:val="auto"/>
                <w:kern w:val="0"/>
                <w:sz w:val="21"/>
                <w:szCs w:val="21"/>
              </w:rPr>
              <w:t>机修</w:t>
            </w:r>
          </w:p>
        </w:tc>
        <w:tc>
          <w:tcPr>
            <w:tcW w:w="405" w:type="pct"/>
            <w:tcBorders>
              <w:tl2br w:val="nil"/>
              <w:tr2bl w:val="nil"/>
            </w:tcBorders>
            <w:vAlign w:val="center"/>
          </w:tcPr>
          <w:p w14:paraId="1A624B23">
            <w:pPr>
              <w:widowControl/>
              <w:spacing w:line="240" w:lineRule="auto"/>
              <w:ind w:firstLine="0" w:firstLineChars="0"/>
              <w:jc w:val="center"/>
              <w:rPr>
                <w:color w:val="auto"/>
                <w:kern w:val="0"/>
                <w:sz w:val="21"/>
                <w:szCs w:val="21"/>
              </w:rPr>
            </w:pPr>
            <w:r>
              <w:rPr>
                <w:color w:val="auto"/>
                <w:kern w:val="0"/>
                <w:sz w:val="21"/>
                <w:szCs w:val="21"/>
              </w:rPr>
              <w:t>HW08</w:t>
            </w:r>
          </w:p>
        </w:tc>
        <w:tc>
          <w:tcPr>
            <w:tcW w:w="770" w:type="pct"/>
            <w:tcBorders>
              <w:tl2br w:val="nil"/>
              <w:tr2bl w:val="nil"/>
            </w:tcBorders>
            <w:vAlign w:val="center"/>
          </w:tcPr>
          <w:p w14:paraId="47E941E6">
            <w:pPr>
              <w:widowControl/>
              <w:spacing w:line="240" w:lineRule="auto"/>
              <w:ind w:firstLine="0" w:firstLineChars="0"/>
              <w:jc w:val="center"/>
              <w:rPr>
                <w:color w:val="auto"/>
                <w:kern w:val="0"/>
                <w:sz w:val="21"/>
                <w:szCs w:val="21"/>
              </w:rPr>
            </w:pPr>
            <w:r>
              <w:rPr>
                <w:color w:val="auto"/>
                <w:kern w:val="0"/>
                <w:sz w:val="21"/>
                <w:szCs w:val="21"/>
              </w:rPr>
              <w:t>900-214-08</w:t>
            </w:r>
          </w:p>
        </w:tc>
        <w:tc>
          <w:tcPr>
            <w:tcW w:w="770" w:type="pct"/>
            <w:tcBorders>
              <w:tl2br w:val="nil"/>
              <w:tr2bl w:val="nil"/>
            </w:tcBorders>
            <w:vAlign w:val="center"/>
          </w:tcPr>
          <w:p w14:paraId="5A91F9A2">
            <w:pPr>
              <w:widowControl/>
              <w:spacing w:line="240" w:lineRule="auto"/>
              <w:ind w:firstLine="0" w:firstLineChars="0"/>
              <w:jc w:val="center"/>
              <w:rPr>
                <w:color w:val="auto"/>
                <w:kern w:val="0"/>
                <w:sz w:val="21"/>
                <w:szCs w:val="21"/>
              </w:rPr>
            </w:pPr>
          </w:p>
        </w:tc>
        <w:tc>
          <w:tcPr>
            <w:tcW w:w="770" w:type="pct"/>
            <w:vMerge w:val="continue"/>
            <w:tcBorders>
              <w:tl2br w:val="nil"/>
              <w:tr2bl w:val="nil"/>
            </w:tcBorders>
            <w:vAlign w:val="center"/>
          </w:tcPr>
          <w:p w14:paraId="4F843774">
            <w:pPr>
              <w:widowControl/>
              <w:spacing w:line="240" w:lineRule="auto"/>
              <w:ind w:firstLine="0" w:firstLineChars="0"/>
              <w:jc w:val="center"/>
              <w:rPr>
                <w:color w:val="auto"/>
                <w:kern w:val="0"/>
                <w:sz w:val="21"/>
                <w:szCs w:val="21"/>
              </w:rPr>
            </w:pPr>
          </w:p>
        </w:tc>
      </w:tr>
      <w:tr w14:paraId="5B50227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230656C7">
            <w:pPr>
              <w:widowControl/>
              <w:spacing w:line="240" w:lineRule="auto"/>
              <w:ind w:firstLine="0" w:firstLineChars="0"/>
              <w:jc w:val="center"/>
              <w:rPr>
                <w:color w:val="auto"/>
                <w:kern w:val="0"/>
                <w:sz w:val="21"/>
                <w:szCs w:val="21"/>
              </w:rPr>
            </w:pPr>
            <w:r>
              <w:rPr>
                <w:color w:val="auto"/>
                <w:kern w:val="0"/>
                <w:sz w:val="21"/>
                <w:szCs w:val="21"/>
              </w:rPr>
              <w:t>16</w:t>
            </w:r>
          </w:p>
        </w:tc>
        <w:tc>
          <w:tcPr>
            <w:tcW w:w="770" w:type="pct"/>
            <w:tcBorders>
              <w:tl2br w:val="nil"/>
              <w:tr2bl w:val="nil"/>
            </w:tcBorders>
            <w:vAlign w:val="center"/>
          </w:tcPr>
          <w:p w14:paraId="453BC9FD">
            <w:pPr>
              <w:widowControl/>
              <w:spacing w:line="240" w:lineRule="auto"/>
              <w:ind w:firstLine="0" w:firstLineChars="0"/>
              <w:jc w:val="center"/>
              <w:rPr>
                <w:color w:val="auto"/>
                <w:kern w:val="0"/>
                <w:sz w:val="21"/>
                <w:szCs w:val="21"/>
              </w:rPr>
            </w:pPr>
            <w:r>
              <w:rPr>
                <w:color w:val="auto"/>
                <w:kern w:val="0"/>
                <w:sz w:val="21"/>
                <w:szCs w:val="21"/>
              </w:rPr>
              <w:t>废水处理污泥</w:t>
            </w:r>
          </w:p>
        </w:tc>
        <w:tc>
          <w:tcPr>
            <w:tcW w:w="594" w:type="pct"/>
            <w:tcBorders>
              <w:tl2br w:val="nil"/>
              <w:tr2bl w:val="nil"/>
            </w:tcBorders>
            <w:vAlign w:val="center"/>
          </w:tcPr>
          <w:p w14:paraId="21C0C382">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7B190879">
            <w:pPr>
              <w:widowControl/>
              <w:spacing w:line="240" w:lineRule="auto"/>
              <w:ind w:firstLine="0" w:firstLineChars="0"/>
              <w:jc w:val="center"/>
              <w:rPr>
                <w:color w:val="auto"/>
                <w:kern w:val="0"/>
                <w:sz w:val="21"/>
                <w:szCs w:val="21"/>
              </w:rPr>
            </w:pPr>
            <w:r>
              <w:rPr>
                <w:color w:val="auto"/>
                <w:kern w:val="0"/>
                <w:sz w:val="21"/>
                <w:szCs w:val="21"/>
              </w:rPr>
              <w:t>废水处理</w:t>
            </w:r>
          </w:p>
        </w:tc>
        <w:tc>
          <w:tcPr>
            <w:tcW w:w="405" w:type="pct"/>
            <w:tcBorders>
              <w:tl2br w:val="nil"/>
              <w:tr2bl w:val="nil"/>
            </w:tcBorders>
            <w:vAlign w:val="center"/>
          </w:tcPr>
          <w:p w14:paraId="42226863">
            <w:pPr>
              <w:widowControl/>
              <w:spacing w:line="240" w:lineRule="auto"/>
              <w:ind w:firstLine="0" w:firstLineChars="0"/>
              <w:jc w:val="center"/>
              <w:rPr>
                <w:color w:val="auto"/>
                <w:kern w:val="0"/>
                <w:sz w:val="21"/>
                <w:szCs w:val="21"/>
              </w:rPr>
            </w:pPr>
            <w:r>
              <w:rPr>
                <w:color w:val="auto"/>
                <w:kern w:val="0"/>
                <w:sz w:val="21"/>
                <w:szCs w:val="21"/>
              </w:rPr>
              <w:t>HW49</w:t>
            </w:r>
          </w:p>
        </w:tc>
        <w:tc>
          <w:tcPr>
            <w:tcW w:w="770" w:type="pct"/>
            <w:tcBorders>
              <w:tl2br w:val="nil"/>
              <w:tr2bl w:val="nil"/>
            </w:tcBorders>
            <w:vAlign w:val="center"/>
          </w:tcPr>
          <w:p w14:paraId="3D0B73E8">
            <w:pPr>
              <w:widowControl/>
              <w:spacing w:line="240" w:lineRule="auto"/>
              <w:ind w:firstLine="0" w:firstLineChars="0"/>
              <w:jc w:val="center"/>
              <w:rPr>
                <w:color w:val="auto"/>
                <w:kern w:val="0"/>
                <w:sz w:val="21"/>
                <w:szCs w:val="21"/>
              </w:rPr>
            </w:pPr>
            <w:r>
              <w:rPr>
                <w:color w:val="auto"/>
                <w:kern w:val="0"/>
                <w:sz w:val="21"/>
                <w:szCs w:val="21"/>
              </w:rPr>
              <w:t>772-006-49</w:t>
            </w:r>
          </w:p>
        </w:tc>
        <w:tc>
          <w:tcPr>
            <w:tcW w:w="770" w:type="pct"/>
            <w:tcBorders>
              <w:tl2br w:val="nil"/>
              <w:tr2bl w:val="nil"/>
            </w:tcBorders>
            <w:vAlign w:val="center"/>
          </w:tcPr>
          <w:p w14:paraId="7B6A723B">
            <w:pPr>
              <w:widowControl/>
              <w:spacing w:line="240" w:lineRule="auto"/>
              <w:ind w:firstLine="0" w:firstLineChars="0"/>
              <w:jc w:val="center"/>
              <w:rPr>
                <w:color w:val="auto"/>
                <w:kern w:val="0"/>
                <w:sz w:val="21"/>
                <w:szCs w:val="21"/>
              </w:rPr>
            </w:pPr>
          </w:p>
        </w:tc>
        <w:tc>
          <w:tcPr>
            <w:tcW w:w="770" w:type="pct"/>
            <w:vMerge w:val="continue"/>
            <w:tcBorders>
              <w:tl2br w:val="nil"/>
              <w:tr2bl w:val="nil"/>
            </w:tcBorders>
            <w:vAlign w:val="center"/>
          </w:tcPr>
          <w:p w14:paraId="486310B8">
            <w:pPr>
              <w:widowControl/>
              <w:spacing w:line="240" w:lineRule="auto"/>
              <w:ind w:firstLine="0" w:firstLineChars="0"/>
              <w:jc w:val="center"/>
              <w:rPr>
                <w:color w:val="auto"/>
                <w:kern w:val="0"/>
                <w:sz w:val="21"/>
                <w:szCs w:val="21"/>
              </w:rPr>
            </w:pPr>
          </w:p>
        </w:tc>
      </w:tr>
      <w:tr w14:paraId="217D86C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trHeight w:val="20" w:hRule="atLeast"/>
          <w:jc w:val="center"/>
        </w:trPr>
        <w:tc>
          <w:tcPr>
            <w:tcW w:w="250" w:type="pct"/>
            <w:tcBorders>
              <w:tl2br w:val="nil"/>
              <w:tr2bl w:val="nil"/>
            </w:tcBorders>
            <w:vAlign w:val="center"/>
          </w:tcPr>
          <w:p w14:paraId="38493828">
            <w:pPr>
              <w:widowControl/>
              <w:spacing w:line="240" w:lineRule="auto"/>
              <w:ind w:firstLine="0" w:firstLineChars="0"/>
              <w:jc w:val="center"/>
              <w:rPr>
                <w:color w:val="auto"/>
                <w:kern w:val="0"/>
                <w:sz w:val="21"/>
                <w:szCs w:val="21"/>
              </w:rPr>
            </w:pPr>
            <w:r>
              <w:rPr>
                <w:color w:val="auto"/>
                <w:kern w:val="0"/>
                <w:sz w:val="21"/>
                <w:szCs w:val="21"/>
              </w:rPr>
              <w:t>17</w:t>
            </w:r>
          </w:p>
        </w:tc>
        <w:tc>
          <w:tcPr>
            <w:tcW w:w="770" w:type="pct"/>
            <w:tcBorders>
              <w:tl2br w:val="nil"/>
              <w:tr2bl w:val="nil"/>
            </w:tcBorders>
            <w:vAlign w:val="center"/>
          </w:tcPr>
          <w:p w14:paraId="6BFC208F">
            <w:pPr>
              <w:widowControl/>
              <w:spacing w:line="240" w:lineRule="auto"/>
              <w:ind w:firstLine="0" w:firstLineChars="0"/>
              <w:jc w:val="center"/>
              <w:rPr>
                <w:color w:val="auto"/>
                <w:kern w:val="0"/>
                <w:sz w:val="21"/>
                <w:szCs w:val="21"/>
              </w:rPr>
            </w:pPr>
            <w:r>
              <w:rPr>
                <w:color w:val="auto"/>
                <w:kern w:val="0"/>
                <w:sz w:val="21"/>
                <w:szCs w:val="21"/>
              </w:rPr>
              <w:t>实验室废物</w:t>
            </w:r>
          </w:p>
        </w:tc>
        <w:tc>
          <w:tcPr>
            <w:tcW w:w="594" w:type="pct"/>
            <w:tcBorders>
              <w:tl2br w:val="nil"/>
              <w:tr2bl w:val="nil"/>
            </w:tcBorders>
            <w:vAlign w:val="center"/>
          </w:tcPr>
          <w:p w14:paraId="4279F979">
            <w:pPr>
              <w:widowControl/>
              <w:spacing w:line="240" w:lineRule="auto"/>
              <w:ind w:firstLine="0" w:firstLineChars="0"/>
              <w:jc w:val="center"/>
              <w:rPr>
                <w:color w:val="auto"/>
                <w:kern w:val="0"/>
                <w:sz w:val="21"/>
                <w:szCs w:val="21"/>
              </w:rPr>
            </w:pPr>
            <w:r>
              <w:rPr>
                <w:color w:val="auto"/>
                <w:kern w:val="0"/>
                <w:sz w:val="21"/>
                <w:szCs w:val="21"/>
              </w:rPr>
              <w:t>危险废物</w:t>
            </w:r>
          </w:p>
        </w:tc>
        <w:tc>
          <w:tcPr>
            <w:tcW w:w="666" w:type="pct"/>
            <w:tcBorders>
              <w:tl2br w:val="nil"/>
              <w:tr2bl w:val="nil"/>
            </w:tcBorders>
            <w:vAlign w:val="center"/>
          </w:tcPr>
          <w:p w14:paraId="5C64639B">
            <w:pPr>
              <w:widowControl/>
              <w:spacing w:line="240" w:lineRule="auto"/>
              <w:ind w:firstLine="0" w:firstLineChars="0"/>
              <w:jc w:val="center"/>
              <w:rPr>
                <w:color w:val="auto"/>
                <w:kern w:val="0"/>
                <w:sz w:val="21"/>
                <w:szCs w:val="21"/>
              </w:rPr>
            </w:pPr>
            <w:r>
              <w:rPr>
                <w:color w:val="auto"/>
                <w:kern w:val="0"/>
                <w:sz w:val="21"/>
                <w:szCs w:val="21"/>
              </w:rPr>
              <w:t>实验室实验</w:t>
            </w:r>
          </w:p>
        </w:tc>
        <w:tc>
          <w:tcPr>
            <w:tcW w:w="405" w:type="pct"/>
            <w:tcBorders>
              <w:tl2br w:val="nil"/>
              <w:tr2bl w:val="nil"/>
            </w:tcBorders>
            <w:vAlign w:val="center"/>
          </w:tcPr>
          <w:p w14:paraId="59883254">
            <w:pPr>
              <w:widowControl/>
              <w:spacing w:line="240" w:lineRule="auto"/>
              <w:ind w:firstLine="0" w:firstLineChars="0"/>
              <w:jc w:val="center"/>
              <w:rPr>
                <w:color w:val="auto"/>
                <w:kern w:val="0"/>
                <w:sz w:val="21"/>
                <w:szCs w:val="21"/>
              </w:rPr>
            </w:pPr>
            <w:r>
              <w:rPr>
                <w:color w:val="auto"/>
                <w:kern w:val="0"/>
                <w:sz w:val="21"/>
                <w:szCs w:val="21"/>
              </w:rPr>
              <w:t>HW49</w:t>
            </w:r>
          </w:p>
        </w:tc>
        <w:tc>
          <w:tcPr>
            <w:tcW w:w="770" w:type="pct"/>
            <w:tcBorders>
              <w:tl2br w:val="nil"/>
              <w:tr2bl w:val="nil"/>
            </w:tcBorders>
            <w:vAlign w:val="center"/>
          </w:tcPr>
          <w:p w14:paraId="58FFB0FB">
            <w:pPr>
              <w:widowControl/>
              <w:spacing w:line="240" w:lineRule="auto"/>
              <w:ind w:firstLine="0" w:firstLineChars="0"/>
              <w:jc w:val="center"/>
              <w:rPr>
                <w:color w:val="auto"/>
                <w:kern w:val="0"/>
                <w:sz w:val="21"/>
                <w:szCs w:val="21"/>
              </w:rPr>
            </w:pPr>
            <w:r>
              <w:rPr>
                <w:color w:val="auto"/>
                <w:kern w:val="0"/>
                <w:sz w:val="21"/>
                <w:szCs w:val="21"/>
              </w:rPr>
              <w:t>900-047-49</w:t>
            </w:r>
          </w:p>
        </w:tc>
        <w:tc>
          <w:tcPr>
            <w:tcW w:w="770" w:type="pct"/>
            <w:tcBorders>
              <w:tl2br w:val="nil"/>
              <w:tr2bl w:val="nil"/>
            </w:tcBorders>
            <w:vAlign w:val="center"/>
          </w:tcPr>
          <w:p w14:paraId="64357FAC">
            <w:pPr>
              <w:widowControl/>
              <w:spacing w:line="240" w:lineRule="auto"/>
              <w:ind w:firstLine="0" w:firstLineChars="0"/>
              <w:jc w:val="center"/>
              <w:rPr>
                <w:color w:val="auto"/>
                <w:kern w:val="0"/>
                <w:sz w:val="21"/>
                <w:szCs w:val="21"/>
              </w:rPr>
            </w:pPr>
          </w:p>
        </w:tc>
        <w:tc>
          <w:tcPr>
            <w:tcW w:w="770" w:type="pct"/>
            <w:vMerge w:val="continue"/>
            <w:tcBorders>
              <w:tl2br w:val="nil"/>
              <w:tr2bl w:val="nil"/>
            </w:tcBorders>
            <w:vAlign w:val="center"/>
          </w:tcPr>
          <w:p w14:paraId="43AC97D6">
            <w:pPr>
              <w:widowControl/>
              <w:spacing w:line="240" w:lineRule="auto"/>
              <w:ind w:firstLine="0" w:firstLineChars="0"/>
              <w:jc w:val="center"/>
              <w:rPr>
                <w:color w:val="auto"/>
                <w:kern w:val="0"/>
                <w:sz w:val="21"/>
                <w:szCs w:val="21"/>
              </w:rPr>
            </w:pPr>
          </w:p>
        </w:tc>
      </w:tr>
      <w:bookmarkEnd w:id="92"/>
      <w:tr w14:paraId="71577E3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24C9F49D">
            <w:pPr>
              <w:widowControl/>
              <w:spacing w:line="240" w:lineRule="auto"/>
              <w:ind w:firstLine="0" w:firstLineChars="0"/>
              <w:jc w:val="center"/>
              <w:rPr>
                <w:color w:val="auto"/>
                <w:kern w:val="0"/>
                <w:sz w:val="21"/>
                <w:szCs w:val="21"/>
              </w:rPr>
            </w:pPr>
            <w:bookmarkStart w:id="96" w:name="_Hlk188028504"/>
            <w:r>
              <w:rPr>
                <w:color w:val="auto"/>
                <w:kern w:val="0"/>
                <w:sz w:val="21"/>
                <w:szCs w:val="21"/>
              </w:rPr>
              <w:t>18</w:t>
            </w:r>
          </w:p>
        </w:tc>
        <w:tc>
          <w:tcPr>
            <w:tcW w:w="770" w:type="pct"/>
            <w:tcBorders>
              <w:tl2br w:val="nil"/>
              <w:tr2bl w:val="nil"/>
            </w:tcBorders>
            <w:vAlign w:val="center"/>
          </w:tcPr>
          <w:p w14:paraId="72BA0193">
            <w:pPr>
              <w:widowControl/>
              <w:spacing w:line="240" w:lineRule="auto"/>
              <w:ind w:firstLine="0" w:firstLineChars="0"/>
              <w:jc w:val="center"/>
              <w:rPr>
                <w:color w:val="auto"/>
                <w:kern w:val="0"/>
                <w:sz w:val="21"/>
                <w:szCs w:val="21"/>
              </w:rPr>
            </w:pPr>
            <w:r>
              <w:rPr>
                <w:color w:val="auto"/>
                <w:kern w:val="0"/>
                <w:sz w:val="21"/>
                <w:szCs w:val="21"/>
              </w:rPr>
              <w:t>废RO膜</w:t>
            </w:r>
          </w:p>
        </w:tc>
        <w:tc>
          <w:tcPr>
            <w:tcW w:w="594" w:type="pct"/>
            <w:tcBorders>
              <w:tl2br w:val="nil"/>
              <w:tr2bl w:val="nil"/>
            </w:tcBorders>
            <w:vAlign w:val="center"/>
          </w:tcPr>
          <w:p w14:paraId="64DB5CBC">
            <w:pPr>
              <w:widowControl/>
              <w:spacing w:line="240" w:lineRule="auto"/>
              <w:ind w:firstLine="0" w:firstLineChars="0"/>
              <w:jc w:val="center"/>
              <w:rPr>
                <w:color w:val="auto"/>
                <w:kern w:val="0"/>
                <w:sz w:val="21"/>
                <w:szCs w:val="21"/>
              </w:rPr>
            </w:pPr>
            <w:r>
              <w:rPr>
                <w:color w:val="auto"/>
                <w:kern w:val="0"/>
                <w:sz w:val="21"/>
                <w:szCs w:val="21"/>
              </w:rPr>
              <w:t>/</w:t>
            </w:r>
          </w:p>
        </w:tc>
        <w:tc>
          <w:tcPr>
            <w:tcW w:w="666" w:type="pct"/>
            <w:tcBorders>
              <w:tl2br w:val="nil"/>
              <w:tr2bl w:val="nil"/>
            </w:tcBorders>
            <w:vAlign w:val="center"/>
          </w:tcPr>
          <w:p w14:paraId="4E818DB5">
            <w:pPr>
              <w:widowControl/>
              <w:spacing w:line="240" w:lineRule="auto"/>
              <w:ind w:firstLine="0" w:firstLineChars="0"/>
              <w:jc w:val="center"/>
              <w:rPr>
                <w:color w:val="auto"/>
                <w:kern w:val="0"/>
                <w:sz w:val="21"/>
                <w:szCs w:val="21"/>
              </w:rPr>
            </w:pPr>
            <w:r>
              <w:rPr>
                <w:color w:val="auto"/>
                <w:kern w:val="0"/>
                <w:sz w:val="21"/>
                <w:szCs w:val="21"/>
              </w:rPr>
              <w:t>纯水制备</w:t>
            </w:r>
          </w:p>
        </w:tc>
        <w:tc>
          <w:tcPr>
            <w:tcW w:w="405" w:type="pct"/>
            <w:tcBorders>
              <w:tl2br w:val="nil"/>
              <w:tr2bl w:val="nil"/>
            </w:tcBorders>
            <w:vAlign w:val="center"/>
          </w:tcPr>
          <w:p w14:paraId="24CE810E">
            <w:pPr>
              <w:widowControl/>
              <w:spacing w:line="240" w:lineRule="auto"/>
              <w:ind w:firstLine="0" w:firstLineChars="0"/>
              <w:jc w:val="center"/>
              <w:rPr>
                <w:color w:val="auto"/>
                <w:kern w:val="0"/>
                <w:sz w:val="21"/>
                <w:szCs w:val="21"/>
              </w:rPr>
            </w:pPr>
            <w:r>
              <w:rPr>
                <w:color w:val="auto"/>
                <w:kern w:val="0"/>
                <w:sz w:val="21"/>
                <w:szCs w:val="21"/>
              </w:rPr>
              <w:t>S59</w:t>
            </w:r>
          </w:p>
        </w:tc>
        <w:tc>
          <w:tcPr>
            <w:tcW w:w="770" w:type="pct"/>
            <w:tcBorders>
              <w:tl2br w:val="nil"/>
              <w:tr2bl w:val="nil"/>
            </w:tcBorders>
            <w:vAlign w:val="center"/>
          </w:tcPr>
          <w:p w14:paraId="2139B674">
            <w:pPr>
              <w:widowControl/>
              <w:spacing w:line="240" w:lineRule="auto"/>
              <w:ind w:firstLine="0" w:firstLineChars="0"/>
              <w:jc w:val="center"/>
              <w:rPr>
                <w:color w:val="auto"/>
                <w:kern w:val="0"/>
                <w:sz w:val="21"/>
                <w:szCs w:val="21"/>
              </w:rPr>
            </w:pPr>
            <w:r>
              <w:rPr>
                <w:color w:val="auto"/>
                <w:kern w:val="0"/>
                <w:sz w:val="21"/>
                <w:szCs w:val="21"/>
              </w:rPr>
              <w:t>900-009-S59</w:t>
            </w:r>
          </w:p>
        </w:tc>
        <w:tc>
          <w:tcPr>
            <w:tcW w:w="770" w:type="pct"/>
            <w:tcBorders>
              <w:tl2br w:val="nil"/>
              <w:tr2bl w:val="nil"/>
            </w:tcBorders>
            <w:vAlign w:val="center"/>
          </w:tcPr>
          <w:p w14:paraId="3E1934BE">
            <w:pPr>
              <w:widowControl/>
              <w:spacing w:line="240" w:lineRule="auto"/>
              <w:ind w:firstLine="0" w:firstLineChars="0"/>
              <w:jc w:val="center"/>
              <w:rPr>
                <w:color w:val="auto"/>
                <w:kern w:val="0"/>
                <w:sz w:val="21"/>
                <w:szCs w:val="21"/>
              </w:rPr>
            </w:pPr>
          </w:p>
        </w:tc>
        <w:tc>
          <w:tcPr>
            <w:tcW w:w="770" w:type="pct"/>
            <w:tcBorders>
              <w:tl2br w:val="nil"/>
              <w:tr2bl w:val="nil"/>
            </w:tcBorders>
            <w:vAlign w:val="center"/>
          </w:tcPr>
          <w:p w14:paraId="372B46E5">
            <w:pPr>
              <w:widowControl/>
              <w:spacing w:line="240" w:lineRule="auto"/>
              <w:ind w:firstLine="0" w:firstLineChars="0"/>
              <w:jc w:val="center"/>
              <w:rPr>
                <w:color w:val="auto"/>
                <w:kern w:val="0"/>
                <w:sz w:val="21"/>
                <w:szCs w:val="21"/>
              </w:rPr>
            </w:pPr>
            <w:r>
              <w:rPr>
                <w:rFonts w:hint="eastAsia"/>
                <w:color w:val="auto"/>
                <w:kern w:val="0"/>
                <w:sz w:val="21"/>
                <w:szCs w:val="21"/>
              </w:rPr>
              <w:t>厂商更换后回收</w:t>
            </w:r>
          </w:p>
        </w:tc>
      </w:tr>
      <w:tr w14:paraId="185C101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41BBEE4A">
            <w:pPr>
              <w:widowControl/>
              <w:spacing w:line="240" w:lineRule="auto"/>
              <w:ind w:firstLine="0" w:firstLineChars="0"/>
              <w:jc w:val="center"/>
              <w:rPr>
                <w:color w:val="auto"/>
                <w:kern w:val="0"/>
                <w:sz w:val="21"/>
                <w:szCs w:val="21"/>
              </w:rPr>
            </w:pPr>
            <w:r>
              <w:rPr>
                <w:color w:val="auto"/>
                <w:kern w:val="0"/>
                <w:sz w:val="21"/>
                <w:szCs w:val="21"/>
              </w:rPr>
              <w:t>19</w:t>
            </w:r>
          </w:p>
        </w:tc>
        <w:tc>
          <w:tcPr>
            <w:tcW w:w="770" w:type="pct"/>
            <w:tcBorders>
              <w:tl2br w:val="nil"/>
              <w:tr2bl w:val="nil"/>
            </w:tcBorders>
            <w:vAlign w:val="center"/>
          </w:tcPr>
          <w:p w14:paraId="61B160BA">
            <w:pPr>
              <w:widowControl/>
              <w:spacing w:line="240" w:lineRule="auto"/>
              <w:ind w:firstLine="0" w:firstLineChars="0"/>
              <w:jc w:val="center"/>
              <w:rPr>
                <w:color w:val="auto"/>
                <w:kern w:val="0"/>
                <w:sz w:val="21"/>
                <w:szCs w:val="21"/>
              </w:rPr>
            </w:pPr>
            <w:r>
              <w:rPr>
                <w:color w:val="auto"/>
                <w:kern w:val="0"/>
                <w:sz w:val="21"/>
                <w:szCs w:val="21"/>
              </w:rPr>
              <w:t>栅渣淤泥</w:t>
            </w:r>
          </w:p>
        </w:tc>
        <w:tc>
          <w:tcPr>
            <w:tcW w:w="594" w:type="pct"/>
            <w:tcBorders>
              <w:tl2br w:val="nil"/>
              <w:tr2bl w:val="nil"/>
            </w:tcBorders>
            <w:vAlign w:val="center"/>
          </w:tcPr>
          <w:p w14:paraId="6CD8A339">
            <w:pPr>
              <w:widowControl/>
              <w:spacing w:line="240" w:lineRule="auto"/>
              <w:ind w:firstLine="0" w:firstLineChars="0"/>
              <w:jc w:val="center"/>
              <w:rPr>
                <w:color w:val="auto"/>
                <w:kern w:val="0"/>
                <w:sz w:val="21"/>
                <w:szCs w:val="21"/>
              </w:rPr>
            </w:pPr>
            <w:r>
              <w:rPr>
                <w:color w:val="auto"/>
                <w:kern w:val="0"/>
                <w:sz w:val="21"/>
                <w:szCs w:val="21"/>
              </w:rPr>
              <w:t>/</w:t>
            </w:r>
          </w:p>
        </w:tc>
        <w:tc>
          <w:tcPr>
            <w:tcW w:w="666" w:type="pct"/>
            <w:tcBorders>
              <w:tl2br w:val="nil"/>
              <w:tr2bl w:val="nil"/>
            </w:tcBorders>
            <w:vAlign w:val="center"/>
          </w:tcPr>
          <w:p w14:paraId="4DFAB1E0">
            <w:pPr>
              <w:widowControl/>
              <w:spacing w:line="240" w:lineRule="auto"/>
              <w:ind w:firstLine="0" w:firstLineChars="0"/>
              <w:jc w:val="center"/>
              <w:rPr>
                <w:color w:val="auto"/>
                <w:kern w:val="0"/>
                <w:sz w:val="21"/>
                <w:szCs w:val="21"/>
              </w:rPr>
            </w:pPr>
            <w:r>
              <w:rPr>
                <w:color w:val="auto"/>
                <w:kern w:val="0"/>
                <w:sz w:val="21"/>
                <w:szCs w:val="21"/>
              </w:rPr>
              <w:t>地表水取水</w:t>
            </w:r>
          </w:p>
        </w:tc>
        <w:tc>
          <w:tcPr>
            <w:tcW w:w="405" w:type="pct"/>
            <w:tcBorders>
              <w:tl2br w:val="nil"/>
              <w:tr2bl w:val="nil"/>
            </w:tcBorders>
            <w:vAlign w:val="center"/>
          </w:tcPr>
          <w:p w14:paraId="2B6B7F1B">
            <w:pPr>
              <w:widowControl/>
              <w:spacing w:line="240" w:lineRule="auto"/>
              <w:ind w:firstLine="0" w:firstLineChars="0"/>
              <w:jc w:val="center"/>
              <w:rPr>
                <w:color w:val="auto"/>
                <w:kern w:val="0"/>
                <w:sz w:val="21"/>
                <w:szCs w:val="21"/>
              </w:rPr>
            </w:pPr>
            <w:r>
              <w:rPr>
                <w:color w:val="auto"/>
                <w:kern w:val="0"/>
                <w:sz w:val="21"/>
                <w:szCs w:val="21"/>
              </w:rPr>
              <w:t>S07</w:t>
            </w:r>
          </w:p>
        </w:tc>
        <w:tc>
          <w:tcPr>
            <w:tcW w:w="770" w:type="pct"/>
            <w:tcBorders>
              <w:tl2br w:val="nil"/>
              <w:tr2bl w:val="nil"/>
            </w:tcBorders>
            <w:vAlign w:val="center"/>
          </w:tcPr>
          <w:p w14:paraId="55F7E9DA">
            <w:pPr>
              <w:widowControl/>
              <w:spacing w:line="240" w:lineRule="auto"/>
              <w:ind w:firstLine="0" w:firstLineChars="0"/>
              <w:jc w:val="center"/>
              <w:rPr>
                <w:color w:val="auto"/>
                <w:kern w:val="0"/>
                <w:sz w:val="21"/>
                <w:szCs w:val="21"/>
              </w:rPr>
            </w:pPr>
            <w:r>
              <w:rPr>
                <w:color w:val="auto"/>
                <w:kern w:val="0"/>
                <w:sz w:val="21"/>
                <w:szCs w:val="21"/>
              </w:rPr>
              <w:t>900-099-S07</w:t>
            </w:r>
          </w:p>
        </w:tc>
        <w:tc>
          <w:tcPr>
            <w:tcW w:w="770" w:type="pct"/>
            <w:tcBorders>
              <w:tl2br w:val="nil"/>
              <w:tr2bl w:val="nil"/>
            </w:tcBorders>
            <w:vAlign w:val="center"/>
          </w:tcPr>
          <w:p w14:paraId="22D32F22">
            <w:pPr>
              <w:widowControl/>
              <w:spacing w:line="240" w:lineRule="auto"/>
              <w:ind w:firstLine="0" w:firstLineChars="0"/>
              <w:jc w:val="center"/>
              <w:rPr>
                <w:color w:val="auto"/>
                <w:kern w:val="0"/>
                <w:sz w:val="21"/>
                <w:szCs w:val="21"/>
              </w:rPr>
            </w:pPr>
          </w:p>
        </w:tc>
        <w:tc>
          <w:tcPr>
            <w:tcW w:w="770" w:type="pct"/>
            <w:vMerge w:val="restart"/>
            <w:tcBorders>
              <w:tl2br w:val="nil"/>
              <w:tr2bl w:val="nil"/>
            </w:tcBorders>
            <w:vAlign w:val="center"/>
          </w:tcPr>
          <w:p w14:paraId="18750AAB">
            <w:pPr>
              <w:widowControl/>
              <w:spacing w:line="240" w:lineRule="auto"/>
              <w:ind w:firstLine="0" w:firstLineChars="0"/>
              <w:jc w:val="center"/>
              <w:rPr>
                <w:color w:val="auto"/>
                <w:kern w:val="0"/>
                <w:sz w:val="21"/>
                <w:szCs w:val="21"/>
              </w:rPr>
            </w:pPr>
            <w:r>
              <w:rPr>
                <w:color w:val="auto"/>
                <w:kern w:val="0"/>
                <w:sz w:val="21"/>
                <w:szCs w:val="21"/>
              </w:rPr>
              <w:t>环卫清运</w:t>
            </w:r>
          </w:p>
        </w:tc>
      </w:tr>
      <w:tr w14:paraId="73043B8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0" w:hRule="atLeast"/>
          <w:jc w:val="center"/>
        </w:trPr>
        <w:tc>
          <w:tcPr>
            <w:tcW w:w="250" w:type="pct"/>
            <w:tcBorders>
              <w:tl2br w:val="nil"/>
              <w:tr2bl w:val="nil"/>
            </w:tcBorders>
            <w:vAlign w:val="center"/>
          </w:tcPr>
          <w:p w14:paraId="68145381">
            <w:pPr>
              <w:widowControl/>
              <w:spacing w:line="240" w:lineRule="auto"/>
              <w:ind w:firstLine="0" w:firstLineChars="0"/>
              <w:jc w:val="center"/>
              <w:rPr>
                <w:color w:val="auto"/>
                <w:kern w:val="0"/>
                <w:sz w:val="21"/>
                <w:szCs w:val="21"/>
              </w:rPr>
            </w:pPr>
            <w:r>
              <w:rPr>
                <w:color w:val="auto"/>
                <w:kern w:val="0"/>
                <w:sz w:val="21"/>
                <w:szCs w:val="21"/>
              </w:rPr>
              <w:t>20</w:t>
            </w:r>
          </w:p>
        </w:tc>
        <w:tc>
          <w:tcPr>
            <w:tcW w:w="770" w:type="pct"/>
            <w:tcBorders>
              <w:tl2br w:val="nil"/>
              <w:tr2bl w:val="nil"/>
            </w:tcBorders>
            <w:vAlign w:val="center"/>
          </w:tcPr>
          <w:p w14:paraId="6ED46390">
            <w:pPr>
              <w:widowControl/>
              <w:spacing w:line="240" w:lineRule="auto"/>
              <w:ind w:firstLine="0" w:firstLineChars="0"/>
              <w:jc w:val="center"/>
              <w:rPr>
                <w:color w:val="auto"/>
                <w:kern w:val="0"/>
                <w:sz w:val="21"/>
                <w:szCs w:val="21"/>
              </w:rPr>
            </w:pPr>
            <w:r>
              <w:rPr>
                <w:color w:val="auto"/>
                <w:kern w:val="0"/>
                <w:sz w:val="21"/>
                <w:szCs w:val="21"/>
              </w:rPr>
              <w:t>生活垃圾</w:t>
            </w:r>
          </w:p>
        </w:tc>
        <w:tc>
          <w:tcPr>
            <w:tcW w:w="594" w:type="pct"/>
            <w:tcBorders>
              <w:tl2br w:val="nil"/>
              <w:tr2bl w:val="nil"/>
            </w:tcBorders>
            <w:vAlign w:val="center"/>
          </w:tcPr>
          <w:p w14:paraId="64FC7423">
            <w:pPr>
              <w:widowControl/>
              <w:spacing w:line="240" w:lineRule="auto"/>
              <w:ind w:firstLine="0" w:firstLineChars="0"/>
              <w:jc w:val="center"/>
              <w:rPr>
                <w:color w:val="auto"/>
                <w:kern w:val="0"/>
                <w:sz w:val="21"/>
                <w:szCs w:val="21"/>
              </w:rPr>
            </w:pPr>
            <w:r>
              <w:rPr>
                <w:color w:val="auto"/>
                <w:kern w:val="0"/>
                <w:sz w:val="21"/>
                <w:szCs w:val="21"/>
              </w:rPr>
              <w:t>/</w:t>
            </w:r>
          </w:p>
        </w:tc>
        <w:tc>
          <w:tcPr>
            <w:tcW w:w="666" w:type="pct"/>
            <w:tcBorders>
              <w:tl2br w:val="nil"/>
              <w:tr2bl w:val="nil"/>
            </w:tcBorders>
            <w:vAlign w:val="center"/>
          </w:tcPr>
          <w:p w14:paraId="4400410D">
            <w:pPr>
              <w:widowControl/>
              <w:spacing w:line="240" w:lineRule="auto"/>
              <w:ind w:firstLine="0" w:firstLineChars="0"/>
              <w:jc w:val="center"/>
              <w:rPr>
                <w:color w:val="auto"/>
                <w:kern w:val="0"/>
                <w:sz w:val="21"/>
                <w:szCs w:val="21"/>
              </w:rPr>
            </w:pPr>
            <w:r>
              <w:rPr>
                <w:color w:val="auto"/>
                <w:kern w:val="0"/>
                <w:sz w:val="21"/>
                <w:szCs w:val="21"/>
              </w:rPr>
              <w:t>办公、生活</w:t>
            </w:r>
          </w:p>
        </w:tc>
        <w:tc>
          <w:tcPr>
            <w:tcW w:w="405" w:type="pct"/>
            <w:tcBorders>
              <w:tl2br w:val="nil"/>
              <w:tr2bl w:val="nil"/>
            </w:tcBorders>
            <w:vAlign w:val="center"/>
          </w:tcPr>
          <w:p w14:paraId="2C87FADB">
            <w:pPr>
              <w:widowControl/>
              <w:spacing w:line="240" w:lineRule="auto"/>
              <w:ind w:firstLine="0" w:firstLineChars="0"/>
              <w:jc w:val="center"/>
              <w:rPr>
                <w:color w:val="auto"/>
                <w:kern w:val="0"/>
                <w:sz w:val="21"/>
                <w:szCs w:val="21"/>
              </w:rPr>
            </w:pPr>
            <w:r>
              <w:rPr>
                <w:color w:val="auto"/>
                <w:kern w:val="0"/>
                <w:sz w:val="21"/>
                <w:szCs w:val="21"/>
              </w:rPr>
              <w:t>S62</w:t>
            </w:r>
          </w:p>
        </w:tc>
        <w:tc>
          <w:tcPr>
            <w:tcW w:w="770" w:type="pct"/>
            <w:tcBorders>
              <w:tl2br w:val="nil"/>
              <w:tr2bl w:val="nil"/>
            </w:tcBorders>
            <w:vAlign w:val="center"/>
          </w:tcPr>
          <w:p w14:paraId="77AF5B87">
            <w:pPr>
              <w:widowControl/>
              <w:spacing w:line="240" w:lineRule="auto"/>
              <w:ind w:firstLine="0" w:firstLineChars="0"/>
              <w:jc w:val="center"/>
              <w:rPr>
                <w:color w:val="auto"/>
                <w:kern w:val="0"/>
                <w:sz w:val="21"/>
                <w:szCs w:val="21"/>
              </w:rPr>
            </w:pPr>
            <w:bookmarkStart w:id="97" w:name="OLE_LINK8"/>
            <w:r>
              <w:rPr>
                <w:color w:val="auto"/>
                <w:kern w:val="0"/>
                <w:sz w:val="21"/>
                <w:szCs w:val="21"/>
              </w:rPr>
              <w:t>900-001-S62</w:t>
            </w:r>
            <w:bookmarkEnd w:id="97"/>
          </w:p>
        </w:tc>
        <w:tc>
          <w:tcPr>
            <w:tcW w:w="770" w:type="pct"/>
            <w:tcBorders>
              <w:tl2br w:val="nil"/>
              <w:tr2bl w:val="nil"/>
            </w:tcBorders>
            <w:vAlign w:val="center"/>
          </w:tcPr>
          <w:p w14:paraId="1D573E2F">
            <w:pPr>
              <w:widowControl/>
              <w:spacing w:line="240" w:lineRule="auto"/>
              <w:ind w:firstLine="0" w:firstLineChars="0"/>
              <w:jc w:val="center"/>
              <w:rPr>
                <w:color w:val="auto"/>
                <w:kern w:val="0"/>
                <w:sz w:val="21"/>
                <w:szCs w:val="21"/>
              </w:rPr>
            </w:pPr>
          </w:p>
        </w:tc>
        <w:tc>
          <w:tcPr>
            <w:tcW w:w="770" w:type="pct"/>
            <w:vMerge w:val="continue"/>
            <w:tcBorders>
              <w:tl2br w:val="nil"/>
              <w:tr2bl w:val="nil"/>
            </w:tcBorders>
            <w:vAlign w:val="center"/>
          </w:tcPr>
          <w:p w14:paraId="688EB866">
            <w:pPr>
              <w:widowControl/>
              <w:spacing w:line="240" w:lineRule="auto"/>
              <w:ind w:firstLine="0" w:firstLineChars="0"/>
              <w:jc w:val="center"/>
              <w:rPr>
                <w:color w:val="auto"/>
                <w:kern w:val="0"/>
                <w:sz w:val="21"/>
                <w:szCs w:val="21"/>
              </w:rPr>
            </w:pPr>
          </w:p>
        </w:tc>
      </w:tr>
      <w:bookmarkEnd w:id="93"/>
      <w:bookmarkEnd w:id="96"/>
    </w:tbl>
    <w:p w14:paraId="3BB78FA9">
      <w:pPr>
        <w:ind w:firstLine="480"/>
        <w:rPr>
          <w:rFonts w:eastAsia="仿宋_GB2312"/>
          <w:color w:val="auto"/>
          <w:sz w:val="28"/>
          <w:szCs w:val="28"/>
        </w:rPr>
      </w:pPr>
      <w:r>
        <w:rPr>
          <w:rFonts w:hint="eastAsia"/>
          <w:color w:val="auto"/>
        </w:rPr>
        <w:t>亚太药业现有项目已按照《危险废物贮存污染控制标准》(GB 18597-2023)、《省生态环境厅关于做好&lt;危险废物贮存污染控制标准&gt;等标准规范实施后危险废物环境管理衔接工作的通知》(苏环办[2023]154号)等文件要求在乙类仓库隔间内建设了一座的110m</w:t>
      </w:r>
      <w:r>
        <w:rPr>
          <w:rFonts w:hint="eastAsia"/>
          <w:color w:val="auto"/>
          <w:vertAlign w:val="superscript"/>
        </w:rPr>
        <w:t>2</w:t>
      </w:r>
      <w:r>
        <w:rPr>
          <w:rFonts w:hint="eastAsia"/>
          <w:color w:val="auto"/>
        </w:rPr>
        <w:t>危废暂存间，现有项目危废暂存设施现场照片如下图3.4.3-1。</w:t>
      </w:r>
    </w:p>
    <w:p w14:paraId="0C0F0F74">
      <w:pPr>
        <w:spacing w:line="324" w:lineRule="auto"/>
        <w:ind w:firstLine="480"/>
        <w:jc w:val="center"/>
        <w:rPr>
          <w:rFonts w:eastAsia="仿宋_GB2312"/>
          <w:color w:val="auto"/>
        </w:rPr>
      </w:pPr>
      <w:r>
        <w:rPr>
          <w:rFonts w:eastAsia="仿宋_GB2312"/>
          <w:color w:val="auto"/>
        </w:rPr>
        <w:drawing>
          <wp:inline distT="0" distB="0" distL="0" distR="0">
            <wp:extent cx="2322830" cy="2603500"/>
            <wp:effectExtent l="0" t="0" r="1270" b="6350"/>
            <wp:docPr id="17132635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63585"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22830" cy="2603500"/>
                    </a:xfrm>
                    <a:prstGeom prst="rect">
                      <a:avLst/>
                    </a:prstGeom>
                    <a:noFill/>
                  </pic:spPr>
                </pic:pic>
              </a:graphicData>
            </a:graphic>
          </wp:inline>
        </w:drawing>
      </w:r>
      <w:r>
        <w:rPr>
          <w:rFonts w:eastAsia="仿宋_GB2312"/>
          <w:color w:val="auto"/>
        </w:rPr>
        <w:t xml:space="preserve">  </w:t>
      </w:r>
      <w:r>
        <w:rPr>
          <w:rFonts w:eastAsia="仿宋_GB2312"/>
          <w:color w:val="auto"/>
        </w:rPr>
        <w:drawing>
          <wp:inline distT="0" distB="0" distL="0" distR="0">
            <wp:extent cx="2646045" cy="2578735"/>
            <wp:effectExtent l="0" t="0" r="1905" b="12065"/>
            <wp:docPr id="7074025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02566"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46045" cy="2578735"/>
                    </a:xfrm>
                    <a:prstGeom prst="rect">
                      <a:avLst/>
                    </a:prstGeom>
                    <a:noFill/>
                  </pic:spPr>
                </pic:pic>
              </a:graphicData>
            </a:graphic>
          </wp:inline>
        </w:drawing>
      </w:r>
    </w:p>
    <w:p w14:paraId="33A8807A">
      <w:pPr>
        <w:spacing w:line="240" w:lineRule="auto"/>
        <w:ind w:firstLine="0" w:firstLineChars="0"/>
        <w:jc w:val="center"/>
        <w:rPr>
          <w:b/>
          <w:color w:val="auto"/>
        </w:rPr>
      </w:pPr>
      <w:r>
        <w:rPr>
          <w:b/>
          <w:color w:val="auto"/>
        </w:rPr>
        <w:t>图3.3-</w:t>
      </w:r>
      <w:r>
        <w:rPr>
          <w:rFonts w:hint="eastAsia"/>
          <w:b/>
          <w:color w:val="auto"/>
        </w:rPr>
        <w:t>3</w:t>
      </w:r>
      <w:r>
        <w:rPr>
          <w:b/>
          <w:color w:val="auto"/>
        </w:rPr>
        <w:t xml:space="preserve">  现有项目危废暂存设施现场照片</w:t>
      </w:r>
    </w:p>
    <w:p w14:paraId="62558F5A">
      <w:pPr>
        <w:spacing w:line="460" w:lineRule="exact"/>
        <w:ind w:firstLine="480"/>
        <w:rPr>
          <w:color w:val="auto"/>
        </w:rPr>
      </w:pPr>
      <w:r>
        <w:rPr>
          <w:rFonts w:hint="eastAsia"/>
          <w:color w:val="auto"/>
        </w:rPr>
        <w:t>亚太药业已对现有项目危险废物实行从产生、收集、运输、贮存、委外处理的全过程管理，危险废物贮存严格按照《危险废物贮存污染控制标准》(GB 18597-2023)执行；项目各种危险废物均设有专门的存储区进行存放，存储区地面、围墙等均按照相应规范进行建设，以防止渗滤液外溢。</w:t>
      </w:r>
    </w:p>
    <w:p w14:paraId="31EBABEE">
      <w:pPr>
        <w:spacing w:line="460" w:lineRule="exact"/>
        <w:ind w:firstLine="480"/>
        <w:rPr>
          <w:color w:val="auto"/>
        </w:rPr>
      </w:pPr>
      <w:r>
        <w:rPr>
          <w:rFonts w:hint="eastAsia"/>
          <w:color w:val="auto"/>
        </w:rPr>
        <w:t>现有项目固体废物严格按照上述措施处理处置后，对周围环境及人体不会产生影响，也不会造成二次污染，所采取的治理措施是可行和有效的。</w:t>
      </w:r>
    </w:p>
    <w:p w14:paraId="659B6F8B">
      <w:pPr>
        <w:pStyle w:val="3"/>
        <w:spacing w:before="312"/>
        <w:rPr>
          <w:color w:val="auto"/>
        </w:rPr>
      </w:pPr>
      <w:bookmarkStart w:id="98" w:name="_Toc167"/>
      <w:r>
        <w:rPr>
          <w:rFonts w:hint="eastAsia"/>
          <w:color w:val="auto"/>
        </w:rPr>
        <w:t>3.4</w:t>
      </w:r>
      <w:r>
        <w:rPr>
          <w:color w:val="auto"/>
        </w:rPr>
        <w:t>现有污染治理装置近期运行和达标排放情况</w:t>
      </w:r>
      <w:bookmarkEnd w:id="98"/>
    </w:p>
    <w:p w14:paraId="68A52E86">
      <w:pPr>
        <w:spacing w:line="460" w:lineRule="exact"/>
        <w:ind w:firstLine="480"/>
        <w:rPr>
          <w:color w:val="auto"/>
        </w:rPr>
      </w:pPr>
      <w:r>
        <w:rPr>
          <w:rFonts w:hint="eastAsia"/>
          <w:color w:val="auto"/>
        </w:rPr>
        <w:t>亚太药业</w:t>
      </w:r>
      <w:r>
        <w:rPr>
          <w:color w:val="auto"/>
        </w:rPr>
        <w:t>属于重点管理排污单位，现有项目废气排放口、废水排放口的监测要求应根据《排污单位自行监测技术指南 总则》（HJ819-2017）等要求制定。</w:t>
      </w:r>
    </w:p>
    <w:p w14:paraId="784B6336">
      <w:pPr>
        <w:pStyle w:val="4"/>
        <w:rPr>
          <w:color w:val="auto"/>
        </w:rPr>
      </w:pPr>
      <w:bookmarkStart w:id="99" w:name="_Toc2215"/>
      <w:r>
        <w:rPr>
          <w:rFonts w:hint="eastAsia"/>
          <w:color w:val="auto"/>
        </w:rPr>
        <w:t>3.4.1</w:t>
      </w:r>
      <w:r>
        <w:rPr>
          <w:color w:val="auto"/>
        </w:rPr>
        <w:t>废气处理装置运行情况</w:t>
      </w:r>
      <w:bookmarkEnd w:id="99"/>
    </w:p>
    <w:p w14:paraId="233C3517">
      <w:pPr>
        <w:spacing w:line="460" w:lineRule="exact"/>
        <w:ind w:firstLine="480"/>
        <w:rPr>
          <w:color w:val="auto"/>
        </w:rPr>
      </w:pPr>
      <w:r>
        <w:rPr>
          <w:rFonts w:hint="eastAsia"/>
          <w:color w:val="auto"/>
        </w:rPr>
        <w:t>亚太药业</w:t>
      </w:r>
      <w:r>
        <w:rPr>
          <w:color w:val="auto"/>
        </w:rPr>
        <w:t>根据自行监测方案，定期委托监测机构对厂内的废气治理设施进行监测，</w:t>
      </w:r>
      <w:r>
        <w:rPr>
          <w:rFonts w:hint="eastAsia"/>
          <w:color w:val="auto"/>
        </w:rPr>
        <w:t>2025年4月11日、10月9日，亚太药业委托启东市清源环境检测技术有限公司对现有厂区内有组织废气排放情况进行例行监测，监测期间，亚太药业处于正常生产工况，</w:t>
      </w:r>
      <w:r>
        <w:rPr>
          <w:color w:val="auto"/>
        </w:rPr>
        <w:t>具体自行监测情况见表3.</w:t>
      </w:r>
      <w:r>
        <w:rPr>
          <w:rFonts w:hint="eastAsia"/>
          <w:color w:val="auto"/>
        </w:rPr>
        <w:t>4-1</w:t>
      </w:r>
      <w:r>
        <w:rPr>
          <w:color w:val="auto"/>
        </w:rPr>
        <w:t>，无组织废气监测情况见表3.</w:t>
      </w:r>
      <w:r>
        <w:rPr>
          <w:rFonts w:hint="eastAsia"/>
          <w:color w:val="auto"/>
        </w:rPr>
        <w:t>4</w:t>
      </w:r>
      <w:r>
        <w:rPr>
          <w:color w:val="auto"/>
        </w:rPr>
        <w:t>-</w:t>
      </w:r>
      <w:r>
        <w:rPr>
          <w:rFonts w:hint="eastAsia"/>
          <w:color w:val="auto"/>
        </w:rPr>
        <w:t>2</w:t>
      </w:r>
      <w:r>
        <w:rPr>
          <w:color w:val="auto"/>
        </w:rPr>
        <w:t>。</w:t>
      </w:r>
    </w:p>
    <w:p w14:paraId="0D9EA163">
      <w:pPr>
        <w:spacing w:line="240" w:lineRule="auto"/>
        <w:ind w:firstLine="482"/>
        <w:jc w:val="center"/>
        <w:rPr>
          <w:b/>
          <w:color w:val="auto"/>
        </w:rPr>
      </w:pPr>
      <w:r>
        <w:rPr>
          <w:rFonts w:hint="eastAsia"/>
          <w:b/>
          <w:color w:val="auto"/>
        </w:rPr>
        <w:t>表3.4-1  有组织废气污染物排放监测结果</w:t>
      </w:r>
    </w:p>
    <w:tbl>
      <w:tblPr>
        <w:tblStyle w:val="24"/>
        <w:tblW w:w="4997"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26"/>
        <w:gridCol w:w="1360"/>
        <w:gridCol w:w="1889"/>
        <w:gridCol w:w="1816"/>
        <w:gridCol w:w="1225"/>
        <w:gridCol w:w="1416"/>
        <w:gridCol w:w="916"/>
      </w:tblGrid>
      <w:tr w14:paraId="1072098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noWrap/>
            <w:vAlign w:val="center"/>
          </w:tcPr>
          <w:p w14:paraId="19A20BC3">
            <w:pPr>
              <w:widowControl/>
              <w:spacing w:line="240" w:lineRule="auto"/>
              <w:ind w:firstLine="0" w:firstLineChars="0"/>
              <w:jc w:val="center"/>
              <w:rPr>
                <w:b/>
                <w:color w:val="auto"/>
                <w:kern w:val="0"/>
                <w:sz w:val="21"/>
                <w:szCs w:val="21"/>
              </w:rPr>
            </w:pPr>
            <w:r>
              <w:rPr>
                <w:b/>
                <w:color w:val="auto"/>
                <w:kern w:val="0"/>
                <w:sz w:val="21"/>
                <w:szCs w:val="21"/>
              </w:rPr>
              <w:t>采样日期</w:t>
            </w:r>
          </w:p>
        </w:tc>
        <w:tc>
          <w:tcPr>
            <w:tcW w:w="690" w:type="pct"/>
            <w:tcBorders>
              <w:tl2br w:val="nil"/>
              <w:tr2bl w:val="nil"/>
            </w:tcBorders>
            <w:noWrap/>
            <w:vAlign w:val="center"/>
          </w:tcPr>
          <w:p w14:paraId="78AA058A">
            <w:pPr>
              <w:widowControl/>
              <w:spacing w:line="240" w:lineRule="auto"/>
              <w:ind w:firstLine="0" w:firstLineChars="0"/>
              <w:jc w:val="center"/>
              <w:rPr>
                <w:b/>
                <w:color w:val="auto"/>
                <w:kern w:val="0"/>
                <w:sz w:val="21"/>
                <w:szCs w:val="21"/>
              </w:rPr>
            </w:pPr>
            <w:r>
              <w:rPr>
                <w:rFonts w:hint="eastAsia"/>
                <w:b/>
                <w:color w:val="auto"/>
                <w:kern w:val="0"/>
                <w:sz w:val="21"/>
                <w:szCs w:val="21"/>
              </w:rPr>
              <w:t>2025.4.11</w:t>
            </w:r>
          </w:p>
        </w:tc>
        <w:tc>
          <w:tcPr>
            <w:tcW w:w="958" w:type="pct"/>
            <w:tcBorders>
              <w:tl2br w:val="nil"/>
              <w:tr2bl w:val="nil"/>
            </w:tcBorders>
            <w:noWrap/>
            <w:vAlign w:val="center"/>
          </w:tcPr>
          <w:p w14:paraId="2DA366D6">
            <w:pPr>
              <w:widowControl/>
              <w:spacing w:line="240" w:lineRule="auto"/>
              <w:ind w:firstLine="0" w:firstLineChars="0"/>
              <w:jc w:val="center"/>
              <w:rPr>
                <w:b/>
                <w:color w:val="auto"/>
                <w:kern w:val="0"/>
                <w:sz w:val="21"/>
                <w:szCs w:val="21"/>
              </w:rPr>
            </w:pPr>
            <w:r>
              <w:rPr>
                <w:b/>
                <w:color w:val="auto"/>
                <w:kern w:val="0"/>
                <w:sz w:val="21"/>
                <w:szCs w:val="21"/>
              </w:rPr>
              <w:t>标干流量(m</w:t>
            </w:r>
            <w:r>
              <w:rPr>
                <w:b/>
                <w:color w:val="auto"/>
                <w:kern w:val="0"/>
                <w:sz w:val="21"/>
                <w:szCs w:val="21"/>
                <w:vertAlign w:val="superscript"/>
              </w:rPr>
              <w:t>3</w:t>
            </w:r>
            <w:r>
              <w:rPr>
                <w:b/>
                <w:color w:val="auto"/>
                <w:kern w:val="0"/>
                <w:sz w:val="21"/>
                <w:szCs w:val="21"/>
              </w:rPr>
              <w:t>/h)</w:t>
            </w:r>
          </w:p>
        </w:tc>
        <w:tc>
          <w:tcPr>
            <w:tcW w:w="921" w:type="pct"/>
            <w:tcBorders>
              <w:tl2br w:val="nil"/>
              <w:tr2bl w:val="nil"/>
            </w:tcBorders>
            <w:noWrap/>
            <w:vAlign w:val="center"/>
          </w:tcPr>
          <w:p w14:paraId="70ACE233">
            <w:pPr>
              <w:widowControl/>
              <w:spacing w:line="240" w:lineRule="auto"/>
              <w:ind w:firstLine="0" w:firstLineChars="0"/>
              <w:jc w:val="center"/>
              <w:rPr>
                <w:b/>
                <w:color w:val="auto"/>
                <w:kern w:val="0"/>
                <w:sz w:val="21"/>
                <w:szCs w:val="21"/>
              </w:rPr>
            </w:pPr>
            <w:r>
              <w:rPr>
                <w:rFonts w:hint="eastAsia"/>
                <w:b/>
                <w:color w:val="auto"/>
                <w:kern w:val="0"/>
                <w:sz w:val="21"/>
                <w:szCs w:val="21"/>
              </w:rPr>
              <w:t>6240</w:t>
            </w:r>
          </w:p>
        </w:tc>
        <w:tc>
          <w:tcPr>
            <w:tcW w:w="1341" w:type="pct"/>
            <w:gridSpan w:val="2"/>
            <w:tcBorders>
              <w:tl2br w:val="nil"/>
              <w:tr2bl w:val="nil"/>
            </w:tcBorders>
            <w:noWrap/>
            <w:vAlign w:val="center"/>
          </w:tcPr>
          <w:p w14:paraId="3B417620">
            <w:pPr>
              <w:widowControl/>
              <w:spacing w:line="240" w:lineRule="auto"/>
              <w:ind w:firstLine="0" w:firstLineChars="0"/>
              <w:jc w:val="center"/>
              <w:rPr>
                <w:b/>
                <w:color w:val="auto"/>
                <w:kern w:val="0"/>
                <w:sz w:val="21"/>
                <w:szCs w:val="21"/>
              </w:rPr>
            </w:pPr>
            <w:r>
              <w:rPr>
                <w:b/>
                <w:color w:val="auto"/>
                <w:kern w:val="0"/>
                <w:sz w:val="21"/>
                <w:szCs w:val="21"/>
              </w:rPr>
              <w:t>排放标准</w:t>
            </w:r>
          </w:p>
        </w:tc>
        <w:tc>
          <w:tcPr>
            <w:tcW w:w="465" w:type="pct"/>
            <w:vMerge w:val="restart"/>
            <w:tcBorders>
              <w:tl2br w:val="nil"/>
              <w:tr2bl w:val="nil"/>
            </w:tcBorders>
            <w:noWrap/>
            <w:vAlign w:val="center"/>
          </w:tcPr>
          <w:p w14:paraId="73B19B2E">
            <w:pPr>
              <w:widowControl/>
              <w:spacing w:line="240" w:lineRule="auto"/>
              <w:ind w:firstLine="0" w:firstLineChars="0"/>
              <w:jc w:val="center"/>
              <w:rPr>
                <w:b/>
                <w:color w:val="auto"/>
                <w:kern w:val="0"/>
                <w:sz w:val="21"/>
                <w:szCs w:val="21"/>
              </w:rPr>
            </w:pPr>
            <w:r>
              <w:rPr>
                <w:rFonts w:hint="eastAsia"/>
                <w:b/>
                <w:color w:val="auto"/>
                <w:kern w:val="0"/>
                <w:sz w:val="21"/>
                <w:szCs w:val="21"/>
              </w:rPr>
              <w:t>达标分析</w:t>
            </w:r>
          </w:p>
        </w:tc>
      </w:tr>
      <w:tr w14:paraId="4D893D7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noWrap/>
            <w:vAlign w:val="center"/>
          </w:tcPr>
          <w:p w14:paraId="739D5CFF">
            <w:pPr>
              <w:widowControl/>
              <w:spacing w:line="240" w:lineRule="auto"/>
              <w:ind w:firstLine="0" w:firstLineChars="0"/>
              <w:jc w:val="center"/>
              <w:rPr>
                <w:bCs/>
                <w:color w:val="auto"/>
                <w:kern w:val="0"/>
                <w:sz w:val="21"/>
                <w:szCs w:val="21"/>
              </w:rPr>
            </w:pPr>
            <w:r>
              <w:rPr>
                <w:bCs/>
                <w:color w:val="auto"/>
                <w:kern w:val="0"/>
                <w:sz w:val="21"/>
                <w:szCs w:val="21"/>
              </w:rPr>
              <w:t>点位名称</w:t>
            </w:r>
          </w:p>
        </w:tc>
        <w:tc>
          <w:tcPr>
            <w:tcW w:w="690" w:type="pct"/>
            <w:tcBorders>
              <w:tl2br w:val="nil"/>
              <w:tr2bl w:val="nil"/>
            </w:tcBorders>
            <w:noWrap/>
            <w:vAlign w:val="center"/>
          </w:tcPr>
          <w:p w14:paraId="7705858A">
            <w:pPr>
              <w:widowControl/>
              <w:spacing w:line="240" w:lineRule="auto"/>
              <w:ind w:firstLine="0" w:firstLineChars="0"/>
              <w:jc w:val="center"/>
              <w:rPr>
                <w:bCs/>
                <w:color w:val="auto"/>
                <w:kern w:val="0"/>
                <w:sz w:val="21"/>
                <w:szCs w:val="21"/>
              </w:rPr>
            </w:pPr>
            <w:r>
              <w:rPr>
                <w:bCs/>
                <w:color w:val="auto"/>
                <w:kern w:val="0"/>
                <w:sz w:val="21"/>
                <w:szCs w:val="21"/>
              </w:rPr>
              <w:t>检测项目</w:t>
            </w:r>
          </w:p>
        </w:tc>
        <w:tc>
          <w:tcPr>
            <w:tcW w:w="958" w:type="pct"/>
            <w:tcBorders>
              <w:tl2br w:val="nil"/>
              <w:tr2bl w:val="nil"/>
            </w:tcBorders>
            <w:noWrap/>
            <w:vAlign w:val="center"/>
          </w:tcPr>
          <w:p w14:paraId="29E0F658">
            <w:pPr>
              <w:widowControl/>
              <w:spacing w:line="240" w:lineRule="auto"/>
              <w:ind w:firstLine="0" w:firstLineChars="0"/>
              <w:jc w:val="center"/>
              <w:rPr>
                <w:bCs/>
                <w:color w:val="auto"/>
                <w:kern w:val="0"/>
                <w:sz w:val="21"/>
                <w:szCs w:val="21"/>
              </w:rPr>
            </w:pPr>
            <w:r>
              <w:rPr>
                <w:bCs/>
                <w:color w:val="auto"/>
                <w:kern w:val="0"/>
                <w:sz w:val="21"/>
                <w:szCs w:val="21"/>
              </w:rPr>
              <w:t>排放浓度(mg/m</w:t>
            </w:r>
            <w:r>
              <w:rPr>
                <w:bCs/>
                <w:color w:val="auto"/>
                <w:kern w:val="0"/>
                <w:sz w:val="21"/>
                <w:szCs w:val="21"/>
                <w:vertAlign w:val="superscript"/>
              </w:rPr>
              <w:t>3</w:t>
            </w:r>
            <w:r>
              <w:rPr>
                <w:bCs/>
                <w:color w:val="auto"/>
                <w:kern w:val="0"/>
                <w:sz w:val="21"/>
                <w:szCs w:val="21"/>
              </w:rPr>
              <w:t>)</w:t>
            </w:r>
          </w:p>
        </w:tc>
        <w:tc>
          <w:tcPr>
            <w:tcW w:w="921" w:type="pct"/>
            <w:tcBorders>
              <w:tl2br w:val="nil"/>
              <w:tr2bl w:val="nil"/>
            </w:tcBorders>
            <w:noWrap/>
            <w:vAlign w:val="center"/>
          </w:tcPr>
          <w:p w14:paraId="36576782">
            <w:pPr>
              <w:widowControl/>
              <w:spacing w:line="240" w:lineRule="auto"/>
              <w:ind w:firstLine="0" w:firstLineChars="0"/>
              <w:jc w:val="center"/>
              <w:rPr>
                <w:bCs/>
                <w:color w:val="auto"/>
                <w:kern w:val="0"/>
                <w:sz w:val="21"/>
                <w:szCs w:val="21"/>
              </w:rPr>
            </w:pPr>
            <w:r>
              <w:rPr>
                <w:bCs/>
                <w:color w:val="auto"/>
                <w:kern w:val="0"/>
                <w:sz w:val="21"/>
                <w:szCs w:val="21"/>
              </w:rPr>
              <w:t>排放速率(kg/h)</w:t>
            </w:r>
          </w:p>
        </w:tc>
        <w:tc>
          <w:tcPr>
            <w:tcW w:w="622" w:type="pct"/>
            <w:tcBorders>
              <w:tl2br w:val="nil"/>
              <w:tr2bl w:val="nil"/>
            </w:tcBorders>
            <w:vAlign w:val="center"/>
          </w:tcPr>
          <w:p w14:paraId="4D7039D7">
            <w:pPr>
              <w:widowControl/>
              <w:spacing w:line="240" w:lineRule="auto"/>
              <w:ind w:firstLine="0" w:firstLineChars="0"/>
              <w:jc w:val="center"/>
              <w:rPr>
                <w:bCs/>
                <w:color w:val="auto"/>
                <w:kern w:val="0"/>
                <w:sz w:val="21"/>
                <w:szCs w:val="21"/>
              </w:rPr>
            </w:pPr>
            <w:r>
              <w:rPr>
                <w:bCs/>
                <w:color w:val="auto"/>
                <w:kern w:val="0"/>
                <w:sz w:val="21"/>
                <w:szCs w:val="21"/>
              </w:rPr>
              <w:t>排放浓度(mg/m</w:t>
            </w:r>
            <w:r>
              <w:rPr>
                <w:bCs/>
                <w:color w:val="auto"/>
                <w:kern w:val="0"/>
                <w:sz w:val="21"/>
                <w:szCs w:val="21"/>
                <w:vertAlign w:val="superscript"/>
              </w:rPr>
              <w:t>3</w:t>
            </w:r>
            <w:r>
              <w:rPr>
                <w:bCs/>
                <w:color w:val="auto"/>
                <w:kern w:val="0"/>
                <w:sz w:val="21"/>
                <w:szCs w:val="21"/>
              </w:rPr>
              <w:t>)</w:t>
            </w:r>
          </w:p>
        </w:tc>
        <w:tc>
          <w:tcPr>
            <w:tcW w:w="719" w:type="pct"/>
            <w:tcBorders>
              <w:tl2br w:val="nil"/>
              <w:tr2bl w:val="nil"/>
            </w:tcBorders>
            <w:vAlign w:val="center"/>
          </w:tcPr>
          <w:p w14:paraId="6567B9D5">
            <w:pPr>
              <w:widowControl/>
              <w:spacing w:line="240" w:lineRule="auto"/>
              <w:ind w:firstLine="0" w:firstLineChars="0"/>
              <w:jc w:val="center"/>
              <w:rPr>
                <w:bCs/>
                <w:color w:val="auto"/>
                <w:kern w:val="0"/>
                <w:sz w:val="21"/>
                <w:szCs w:val="21"/>
              </w:rPr>
            </w:pPr>
            <w:r>
              <w:rPr>
                <w:bCs/>
                <w:color w:val="auto"/>
                <w:kern w:val="0"/>
                <w:sz w:val="21"/>
                <w:szCs w:val="21"/>
              </w:rPr>
              <w:t>排放速率(kg/h)</w:t>
            </w:r>
          </w:p>
        </w:tc>
        <w:tc>
          <w:tcPr>
            <w:tcW w:w="465" w:type="pct"/>
            <w:vMerge w:val="continue"/>
            <w:tcBorders>
              <w:tl2br w:val="nil"/>
              <w:tr2bl w:val="nil"/>
            </w:tcBorders>
            <w:vAlign w:val="center"/>
          </w:tcPr>
          <w:p w14:paraId="306BC24B">
            <w:pPr>
              <w:widowControl/>
              <w:spacing w:line="240" w:lineRule="auto"/>
              <w:ind w:firstLine="0" w:firstLineChars="0"/>
              <w:jc w:val="center"/>
              <w:rPr>
                <w:bCs/>
                <w:color w:val="auto"/>
                <w:kern w:val="0"/>
                <w:sz w:val="21"/>
                <w:szCs w:val="21"/>
              </w:rPr>
            </w:pPr>
          </w:p>
        </w:tc>
      </w:tr>
      <w:tr w14:paraId="65837AF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vMerge w:val="restart"/>
            <w:tcBorders>
              <w:tl2br w:val="nil"/>
              <w:tr2bl w:val="nil"/>
            </w:tcBorders>
            <w:noWrap/>
            <w:vAlign w:val="center"/>
          </w:tcPr>
          <w:p w14:paraId="589C0804">
            <w:pPr>
              <w:widowControl/>
              <w:spacing w:line="240" w:lineRule="auto"/>
              <w:ind w:firstLine="0" w:firstLineChars="0"/>
              <w:jc w:val="center"/>
              <w:rPr>
                <w:color w:val="auto"/>
                <w:kern w:val="0"/>
                <w:sz w:val="21"/>
                <w:szCs w:val="21"/>
              </w:rPr>
            </w:pPr>
            <w:r>
              <w:rPr>
                <w:color w:val="auto"/>
                <w:kern w:val="0"/>
                <w:sz w:val="21"/>
                <w:szCs w:val="21"/>
              </w:rPr>
              <w:t>DA001</w:t>
            </w:r>
          </w:p>
        </w:tc>
        <w:tc>
          <w:tcPr>
            <w:tcW w:w="690" w:type="pct"/>
            <w:tcBorders>
              <w:tl2br w:val="nil"/>
              <w:tr2bl w:val="nil"/>
            </w:tcBorders>
            <w:noWrap/>
            <w:vAlign w:val="center"/>
          </w:tcPr>
          <w:p w14:paraId="74EC5AD7">
            <w:pPr>
              <w:widowControl/>
              <w:spacing w:line="240" w:lineRule="auto"/>
              <w:ind w:firstLine="0" w:firstLineChars="0"/>
              <w:jc w:val="center"/>
              <w:rPr>
                <w:color w:val="auto"/>
                <w:kern w:val="0"/>
                <w:sz w:val="21"/>
                <w:szCs w:val="21"/>
              </w:rPr>
            </w:pPr>
            <w:r>
              <w:rPr>
                <w:color w:val="auto"/>
                <w:kern w:val="0"/>
                <w:sz w:val="21"/>
                <w:szCs w:val="21"/>
              </w:rPr>
              <w:t>二氧化硫</w:t>
            </w:r>
          </w:p>
        </w:tc>
        <w:tc>
          <w:tcPr>
            <w:tcW w:w="958" w:type="pct"/>
            <w:tcBorders>
              <w:tl2br w:val="nil"/>
              <w:tr2bl w:val="nil"/>
            </w:tcBorders>
            <w:noWrap/>
            <w:vAlign w:val="center"/>
          </w:tcPr>
          <w:p w14:paraId="2A65DEB2">
            <w:pPr>
              <w:widowControl/>
              <w:spacing w:line="240" w:lineRule="auto"/>
              <w:ind w:firstLine="0" w:firstLineChars="0"/>
              <w:jc w:val="center"/>
              <w:rPr>
                <w:color w:val="auto"/>
                <w:kern w:val="0"/>
                <w:sz w:val="21"/>
                <w:szCs w:val="21"/>
              </w:rPr>
            </w:pPr>
            <w:r>
              <w:rPr>
                <w:rFonts w:hint="eastAsia"/>
                <w:color w:val="auto"/>
                <w:kern w:val="0"/>
                <w:sz w:val="21"/>
                <w:szCs w:val="21"/>
              </w:rPr>
              <w:t>ND</w:t>
            </w:r>
          </w:p>
        </w:tc>
        <w:tc>
          <w:tcPr>
            <w:tcW w:w="921" w:type="pct"/>
            <w:tcBorders>
              <w:tl2br w:val="nil"/>
              <w:tr2bl w:val="nil"/>
            </w:tcBorders>
            <w:noWrap/>
            <w:vAlign w:val="center"/>
          </w:tcPr>
          <w:p w14:paraId="211D1E6B">
            <w:pPr>
              <w:widowControl/>
              <w:spacing w:line="240" w:lineRule="auto"/>
              <w:ind w:firstLine="0" w:firstLineChars="0"/>
              <w:jc w:val="center"/>
              <w:rPr>
                <w:color w:val="auto"/>
                <w:kern w:val="0"/>
                <w:sz w:val="21"/>
                <w:szCs w:val="21"/>
              </w:rPr>
            </w:pPr>
            <w:r>
              <w:rPr>
                <w:rFonts w:hint="eastAsia"/>
                <w:color w:val="auto"/>
                <w:kern w:val="0"/>
                <w:sz w:val="21"/>
                <w:szCs w:val="21"/>
              </w:rPr>
              <w:t>9.06</w:t>
            </w:r>
            <w:r>
              <w:rPr>
                <w:color w:val="auto"/>
                <w:kern w:val="0"/>
                <w:sz w:val="21"/>
                <w:szCs w:val="21"/>
              </w:rPr>
              <w:t>×10</w:t>
            </w:r>
            <w:r>
              <w:rPr>
                <w:color w:val="auto"/>
                <w:kern w:val="0"/>
                <w:sz w:val="21"/>
                <w:szCs w:val="21"/>
                <w:vertAlign w:val="superscript"/>
              </w:rPr>
              <w:t>-</w:t>
            </w:r>
            <w:r>
              <w:rPr>
                <w:rFonts w:hint="eastAsia"/>
                <w:color w:val="auto"/>
                <w:kern w:val="0"/>
                <w:sz w:val="21"/>
                <w:szCs w:val="21"/>
                <w:vertAlign w:val="superscript"/>
              </w:rPr>
              <w:t>3</w:t>
            </w:r>
          </w:p>
        </w:tc>
        <w:tc>
          <w:tcPr>
            <w:tcW w:w="622" w:type="pct"/>
            <w:tcBorders>
              <w:tl2br w:val="nil"/>
              <w:tr2bl w:val="nil"/>
            </w:tcBorders>
            <w:noWrap/>
            <w:vAlign w:val="center"/>
          </w:tcPr>
          <w:p w14:paraId="1D20F7B7">
            <w:pPr>
              <w:widowControl/>
              <w:spacing w:line="240" w:lineRule="auto"/>
              <w:ind w:firstLine="0" w:firstLineChars="0"/>
              <w:jc w:val="center"/>
              <w:rPr>
                <w:color w:val="auto"/>
                <w:kern w:val="0"/>
                <w:sz w:val="21"/>
                <w:szCs w:val="21"/>
              </w:rPr>
            </w:pPr>
            <w:r>
              <w:rPr>
                <w:color w:val="auto"/>
                <w:kern w:val="0"/>
                <w:sz w:val="21"/>
                <w:szCs w:val="21"/>
              </w:rPr>
              <w:t>200</w:t>
            </w:r>
          </w:p>
        </w:tc>
        <w:tc>
          <w:tcPr>
            <w:tcW w:w="719" w:type="pct"/>
            <w:tcBorders>
              <w:tl2br w:val="nil"/>
              <w:tr2bl w:val="nil"/>
            </w:tcBorders>
            <w:noWrap/>
            <w:vAlign w:val="center"/>
          </w:tcPr>
          <w:p w14:paraId="14CBFC14">
            <w:pPr>
              <w:widowControl/>
              <w:spacing w:line="240" w:lineRule="auto"/>
              <w:ind w:firstLine="0" w:firstLineChars="0"/>
              <w:jc w:val="center"/>
              <w:rPr>
                <w:color w:val="auto"/>
                <w:kern w:val="0"/>
                <w:sz w:val="21"/>
                <w:szCs w:val="21"/>
              </w:rPr>
            </w:pPr>
            <w:r>
              <w:rPr>
                <w:color w:val="auto"/>
                <w:kern w:val="0"/>
                <w:sz w:val="21"/>
                <w:szCs w:val="21"/>
              </w:rPr>
              <w:t>1.4</w:t>
            </w:r>
          </w:p>
        </w:tc>
        <w:tc>
          <w:tcPr>
            <w:tcW w:w="465" w:type="pct"/>
            <w:tcBorders>
              <w:tl2br w:val="nil"/>
              <w:tr2bl w:val="nil"/>
            </w:tcBorders>
            <w:noWrap/>
            <w:vAlign w:val="center"/>
          </w:tcPr>
          <w:p w14:paraId="37EAB362">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5CDEFA4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vMerge w:val="continue"/>
            <w:tcBorders>
              <w:tl2br w:val="nil"/>
              <w:tr2bl w:val="nil"/>
            </w:tcBorders>
            <w:noWrap/>
            <w:vAlign w:val="center"/>
          </w:tcPr>
          <w:p w14:paraId="08E88797">
            <w:pPr>
              <w:widowControl/>
              <w:spacing w:line="240" w:lineRule="auto"/>
              <w:ind w:firstLine="0" w:firstLineChars="0"/>
              <w:jc w:val="center"/>
              <w:rPr>
                <w:color w:val="auto"/>
                <w:kern w:val="0"/>
                <w:sz w:val="21"/>
                <w:szCs w:val="21"/>
              </w:rPr>
            </w:pPr>
          </w:p>
        </w:tc>
        <w:tc>
          <w:tcPr>
            <w:tcW w:w="690" w:type="pct"/>
            <w:tcBorders>
              <w:tl2br w:val="nil"/>
              <w:tr2bl w:val="nil"/>
            </w:tcBorders>
            <w:noWrap/>
            <w:vAlign w:val="center"/>
          </w:tcPr>
          <w:p w14:paraId="4FB307B2">
            <w:pPr>
              <w:widowControl/>
              <w:spacing w:line="240" w:lineRule="auto"/>
              <w:ind w:firstLine="0" w:firstLineChars="0"/>
              <w:jc w:val="center"/>
              <w:rPr>
                <w:color w:val="auto"/>
                <w:kern w:val="0"/>
                <w:sz w:val="21"/>
                <w:szCs w:val="21"/>
              </w:rPr>
            </w:pPr>
            <w:r>
              <w:rPr>
                <w:rFonts w:hint="eastAsia"/>
                <w:color w:val="auto"/>
                <w:kern w:val="0"/>
                <w:sz w:val="21"/>
                <w:szCs w:val="21"/>
              </w:rPr>
              <w:t>氮氧化物</w:t>
            </w:r>
          </w:p>
        </w:tc>
        <w:tc>
          <w:tcPr>
            <w:tcW w:w="958" w:type="pct"/>
            <w:tcBorders>
              <w:tl2br w:val="nil"/>
              <w:tr2bl w:val="nil"/>
            </w:tcBorders>
            <w:noWrap/>
            <w:vAlign w:val="center"/>
          </w:tcPr>
          <w:p w14:paraId="3284F3DA">
            <w:pPr>
              <w:widowControl/>
              <w:spacing w:line="240" w:lineRule="auto"/>
              <w:ind w:firstLine="0" w:firstLineChars="0"/>
              <w:jc w:val="center"/>
              <w:rPr>
                <w:color w:val="auto"/>
                <w:kern w:val="0"/>
                <w:sz w:val="21"/>
                <w:szCs w:val="21"/>
              </w:rPr>
            </w:pPr>
            <w:r>
              <w:rPr>
                <w:rFonts w:hint="eastAsia"/>
                <w:color w:val="auto"/>
                <w:kern w:val="0"/>
                <w:sz w:val="21"/>
                <w:szCs w:val="21"/>
              </w:rPr>
              <w:t>1.9</w:t>
            </w:r>
          </w:p>
        </w:tc>
        <w:tc>
          <w:tcPr>
            <w:tcW w:w="921" w:type="pct"/>
            <w:tcBorders>
              <w:tl2br w:val="nil"/>
              <w:tr2bl w:val="nil"/>
            </w:tcBorders>
            <w:noWrap/>
            <w:vAlign w:val="center"/>
          </w:tcPr>
          <w:p w14:paraId="26C82F5D">
            <w:pPr>
              <w:widowControl/>
              <w:spacing w:line="240" w:lineRule="auto"/>
              <w:ind w:firstLine="0" w:firstLineChars="0"/>
              <w:jc w:val="center"/>
              <w:rPr>
                <w:color w:val="auto"/>
                <w:kern w:val="0"/>
                <w:sz w:val="21"/>
                <w:szCs w:val="21"/>
              </w:rPr>
            </w:pPr>
            <w:r>
              <w:rPr>
                <w:rFonts w:hint="eastAsia"/>
                <w:color w:val="auto"/>
                <w:kern w:val="0"/>
                <w:sz w:val="21"/>
                <w:szCs w:val="21"/>
              </w:rPr>
              <w:t>1.21</w:t>
            </w:r>
            <w:r>
              <w:rPr>
                <w:color w:val="auto"/>
                <w:kern w:val="0"/>
                <w:sz w:val="21"/>
                <w:szCs w:val="21"/>
              </w:rPr>
              <w:t>×10</w:t>
            </w:r>
            <w:r>
              <w:rPr>
                <w:color w:val="auto"/>
                <w:kern w:val="0"/>
                <w:sz w:val="21"/>
                <w:szCs w:val="21"/>
                <w:vertAlign w:val="superscript"/>
              </w:rPr>
              <w:t>-</w:t>
            </w:r>
            <w:r>
              <w:rPr>
                <w:rFonts w:hint="eastAsia"/>
                <w:color w:val="auto"/>
                <w:kern w:val="0"/>
                <w:sz w:val="21"/>
                <w:szCs w:val="21"/>
                <w:vertAlign w:val="superscript"/>
              </w:rPr>
              <w:t>2</w:t>
            </w:r>
          </w:p>
        </w:tc>
        <w:tc>
          <w:tcPr>
            <w:tcW w:w="622" w:type="pct"/>
            <w:tcBorders>
              <w:tl2br w:val="nil"/>
              <w:tr2bl w:val="nil"/>
            </w:tcBorders>
            <w:noWrap/>
            <w:vAlign w:val="center"/>
          </w:tcPr>
          <w:p w14:paraId="72E88A31">
            <w:pPr>
              <w:widowControl/>
              <w:spacing w:line="240" w:lineRule="auto"/>
              <w:ind w:firstLine="0" w:firstLineChars="0"/>
              <w:jc w:val="center"/>
              <w:rPr>
                <w:color w:val="auto"/>
                <w:kern w:val="0"/>
                <w:sz w:val="21"/>
                <w:szCs w:val="21"/>
              </w:rPr>
            </w:pPr>
            <w:r>
              <w:rPr>
                <w:color w:val="auto"/>
                <w:kern w:val="0"/>
                <w:sz w:val="21"/>
                <w:szCs w:val="21"/>
              </w:rPr>
              <w:t>100</w:t>
            </w:r>
          </w:p>
        </w:tc>
        <w:tc>
          <w:tcPr>
            <w:tcW w:w="719" w:type="pct"/>
            <w:tcBorders>
              <w:tl2br w:val="nil"/>
              <w:tr2bl w:val="nil"/>
            </w:tcBorders>
            <w:noWrap/>
            <w:vAlign w:val="center"/>
          </w:tcPr>
          <w:p w14:paraId="6A120A93">
            <w:pPr>
              <w:widowControl/>
              <w:spacing w:line="240" w:lineRule="auto"/>
              <w:ind w:firstLine="0" w:firstLineChars="0"/>
              <w:jc w:val="center"/>
              <w:rPr>
                <w:color w:val="auto"/>
                <w:kern w:val="0"/>
                <w:sz w:val="21"/>
                <w:szCs w:val="21"/>
              </w:rPr>
            </w:pPr>
            <w:r>
              <w:rPr>
                <w:color w:val="auto"/>
                <w:kern w:val="0"/>
                <w:sz w:val="21"/>
                <w:szCs w:val="21"/>
              </w:rPr>
              <w:t>0.47</w:t>
            </w:r>
          </w:p>
        </w:tc>
        <w:tc>
          <w:tcPr>
            <w:tcW w:w="465" w:type="pct"/>
            <w:tcBorders>
              <w:tl2br w:val="nil"/>
              <w:tr2bl w:val="nil"/>
            </w:tcBorders>
            <w:noWrap/>
            <w:vAlign w:val="center"/>
          </w:tcPr>
          <w:p w14:paraId="35934F9F">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36C3E97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vMerge w:val="continue"/>
            <w:tcBorders>
              <w:tl2br w:val="nil"/>
              <w:tr2bl w:val="nil"/>
            </w:tcBorders>
            <w:noWrap/>
            <w:vAlign w:val="center"/>
          </w:tcPr>
          <w:p w14:paraId="06176E0D">
            <w:pPr>
              <w:widowControl/>
              <w:spacing w:line="240" w:lineRule="auto"/>
              <w:ind w:firstLine="0" w:firstLineChars="0"/>
              <w:jc w:val="center"/>
              <w:rPr>
                <w:color w:val="auto"/>
                <w:kern w:val="0"/>
                <w:sz w:val="21"/>
                <w:szCs w:val="21"/>
              </w:rPr>
            </w:pPr>
          </w:p>
        </w:tc>
        <w:tc>
          <w:tcPr>
            <w:tcW w:w="690" w:type="pct"/>
            <w:tcBorders>
              <w:tl2br w:val="nil"/>
              <w:tr2bl w:val="nil"/>
            </w:tcBorders>
            <w:noWrap/>
            <w:vAlign w:val="center"/>
          </w:tcPr>
          <w:p w14:paraId="294BAED0">
            <w:pPr>
              <w:widowControl/>
              <w:spacing w:line="240" w:lineRule="auto"/>
              <w:ind w:firstLine="0" w:firstLineChars="0"/>
              <w:jc w:val="center"/>
              <w:rPr>
                <w:color w:val="auto"/>
                <w:kern w:val="0"/>
                <w:sz w:val="21"/>
                <w:szCs w:val="21"/>
              </w:rPr>
            </w:pPr>
            <w:r>
              <w:rPr>
                <w:rFonts w:hint="eastAsia"/>
                <w:color w:val="auto"/>
                <w:kern w:val="0"/>
                <w:sz w:val="21"/>
                <w:szCs w:val="21"/>
              </w:rPr>
              <w:t>氯化氢</w:t>
            </w:r>
          </w:p>
        </w:tc>
        <w:tc>
          <w:tcPr>
            <w:tcW w:w="958" w:type="pct"/>
            <w:tcBorders>
              <w:tl2br w:val="nil"/>
              <w:tr2bl w:val="nil"/>
            </w:tcBorders>
            <w:noWrap/>
            <w:vAlign w:val="center"/>
          </w:tcPr>
          <w:p w14:paraId="6DBC0491">
            <w:pPr>
              <w:widowControl/>
              <w:spacing w:line="240" w:lineRule="auto"/>
              <w:ind w:firstLine="0" w:firstLineChars="0"/>
              <w:jc w:val="center"/>
              <w:rPr>
                <w:color w:val="auto"/>
                <w:kern w:val="0"/>
                <w:sz w:val="21"/>
                <w:szCs w:val="21"/>
              </w:rPr>
            </w:pPr>
            <w:r>
              <w:rPr>
                <w:rFonts w:hint="eastAsia"/>
                <w:color w:val="auto"/>
                <w:kern w:val="0"/>
                <w:sz w:val="21"/>
                <w:szCs w:val="21"/>
              </w:rPr>
              <w:t>3.71</w:t>
            </w:r>
          </w:p>
        </w:tc>
        <w:tc>
          <w:tcPr>
            <w:tcW w:w="921" w:type="pct"/>
            <w:tcBorders>
              <w:tl2br w:val="nil"/>
              <w:tr2bl w:val="nil"/>
            </w:tcBorders>
            <w:noWrap/>
            <w:vAlign w:val="center"/>
          </w:tcPr>
          <w:p w14:paraId="28E6247E">
            <w:pPr>
              <w:widowControl/>
              <w:spacing w:line="240" w:lineRule="auto"/>
              <w:ind w:firstLine="0" w:firstLineChars="0"/>
              <w:jc w:val="center"/>
              <w:rPr>
                <w:color w:val="auto"/>
                <w:kern w:val="0"/>
                <w:sz w:val="21"/>
                <w:szCs w:val="21"/>
              </w:rPr>
            </w:pPr>
            <w:r>
              <w:rPr>
                <w:rFonts w:hint="eastAsia"/>
                <w:color w:val="auto"/>
                <w:kern w:val="0"/>
                <w:sz w:val="21"/>
                <w:szCs w:val="21"/>
              </w:rPr>
              <w:t>2.34</w:t>
            </w:r>
            <w:r>
              <w:rPr>
                <w:color w:val="auto"/>
                <w:kern w:val="0"/>
                <w:sz w:val="21"/>
                <w:szCs w:val="21"/>
              </w:rPr>
              <w:t>×10</w:t>
            </w:r>
            <w:r>
              <w:rPr>
                <w:color w:val="auto"/>
                <w:kern w:val="0"/>
                <w:sz w:val="21"/>
                <w:szCs w:val="21"/>
                <w:vertAlign w:val="superscript"/>
              </w:rPr>
              <w:t>-</w:t>
            </w:r>
            <w:r>
              <w:rPr>
                <w:rFonts w:hint="eastAsia"/>
                <w:color w:val="auto"/>
                <w:kern w:val="0"/>
                <w:sz w:val="21"/>
                <w:szCs w:val="21"/>
                <w:vertAlign w:val="superscript"/>
              </w:rPr>
              <w:t>2</w:t>
            </w:r>
          </w:p>
        </w:tc>
        <w:tc>
          <w:tcPr>
            <w:tcW w:w="622" w:type="pct"/>
            <w:tcBorders>
              <w:tl2br w:val="nil"/>
              <w:tr2bl w:val="nil"/>
            </w:tcBorders>
            <w:noWrap/>
            <w:vAlign w:val="center"/>
          </w:tcPr>
          <w:p w14:paraId="447803BE">
            <w:pPr>
              <w:widowControl/>
              <w:spacing w:line="240" w:lineRule="auto"/>
              <w:ind w:firstLine="0" w:firstLineChars="0"/>
              <w:jc w:val="center"/>
              <w:rPr>
                <w:color w:val="auto"/>
                <w:kern w:val="0"/>
                <w:sz w:val="21"/>
                <w:szCs w:val="21"/>
              </w:rPr>
            </w:pPr>
            <w:r>
              <w:rPr>
                <w:rFonts w:hint="eastAsia"/>
                <w:color w:val="auto"/>
                <w:kern w:val="0"/>
                <w:sz w:val="21"/>
                <w:szCs w:val="21"/>
              </w:rPr>
              <w:t>10</w:t>
            </w:r>
          </w:p>
        </w:tc>
        <w:tc>
          <w:tcPr>
            <w:tcW w:w="719" w:type="pct"/>
            <w:tcBorders>
              <w:tl2br w:val="nil"/>
              <w:tr2bl w:val="nil"/>
            </w:tcBorders>
            <w:noWrap/>
            <w:vAlign w:val="center"/>
          </w:tcPr>
          <w:p w14:paraId="46BFA49C">
            <w:pPr>
              <w:widowControl/>
              <w:spacing w:line="240" w:lineRule="auto"/>
              <w:ind w:firstLine="0" w:firstLineChars="0"/>
              <w:jc w:val="center"/>
              <w:rPr>
                <w:color w:val="auto"/>
                <w:kern w:val="0"/>
                <w:sz w:val="21"/>
                <w:szCs w:val="21"/>
              </w:rPr>
            </w:pPr>
            <w:r>
              <w:rPr>
                <w:rFonts w:hint="eastAsia"/>
                <w:color w:val="auto"/>
                <w:kern w:val="0"/>
                <w:sz w:val="21"/>
                <w:szCs w:val="21"/>
              </w:rPr>
              <w:t>0.18</w:t>
            </w:r>
          </w:p>
        </w:tc>
        <w:tc>
          <w:tcPr>
            <w:tcW w:w="465" w:type="pct"/>
            <w:tcBorders>
              <w:tl2br w:val="nil"/>
              <w:tr2bl w:val="nil"/>
            </w:tcBorders>
            <w:noWrap/>
            <w:vAlign w:val="center"/>
          </w:tcPr>
          <w:p w14:paraId="1B96D70A">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33A1255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vMerge w:val="continue"/>
            <w:tcBorders>
              <w:tl2br w:val="nil"/>
              <w:tr2bl w:val="nil"/>
            </w:tcBorders>
            <w:noWrap/>
            <w:vAlign w:val="center"/>
          </w:tcPr>
          <w:p w14:paraId="160C6204">
            <w:pPr>
              <w:widowControl/>
              <w:spacing w:line="240" w:lineRule="auto"/>
              <w:ind w:firstLine="0" w:firstLineChars="0"/>
              <w:jc w:val="center"/>
              <w:rPr>
                <w:color w:val="auto"/>
                <w:kern w:val="0"/>
                <w:sz w:val="21"/>
                <w:szCs w:val="21"/>
              </w:rPr>
            </w:pPr>
          </w:p>
        </w:tc>
        <w:tc>
          <w:tcPr>
            <w:tcW w:w="690" w:type="pct"/>
            <w:tcBorders>
              <w:tl2br w:val="nil"/>
              <w:tr2bl w:val="nil"/>
            </w:tcBorders>
            <w:noWrap/>
            <w:vAlign w:val="center"/>
          </w:tcPr>
          <w:p w14:paraId="3EC01E75">
            <w:pPr>
              <w:widowControl/>
              <w:spacing w:line="240" w:lineRule="auto"/>
              <w:ind w:firstLine="0" w:firstLineChars="0"/>
              <w:jc w:val="center"/>
              <w:rPr>
                <w:color w:val="auto"/>
                <w:kern w:val="0"/>
                <w:sz w:val="21"/>
                <w:szCs w:val="21"/>
              </w:rPr>
            </w:pPr>
            <w:r>
              <w:rPr>
                <w:rFonts w:hint="eastAsia"/>
                <w:color w:val="auto"/>
                <w:kern w:val="0"/>
                <w:sz w:val="21"/>
                <w:szCs w:val="21"/>
              </w:rPr>
              <w:t>苯胺类</w:t>
            </w:r>
          </w:p>
        </w:tc>
        <w:tc>
          <w:tcPr>
            <w:tcW w:w="958" w:type="pct"/>
            <w:tcBorders>
              <w:tl2br w:val="nil"/>
              <w:tr2bl w:val="nil"/>
            </w:tcBorders>
            <w:noWrap/>
            <w:vAlign w:val="center"/>
          </w:tcPr>
          <w:p w14:paraId="5D2D470C">
            <w:pPr>
              <w:widowControl/>
              <w:spacing w:line="240" w:lineRule="auto"/>
              <w:ind w:firstLine="0" w:firstLineChars="0"/>
              <w:jc w:val="center"/>
              <w:rPr>
                <w:color w:val="auto"/>
                <w:kern w:val="0"/>
                <w:sz w:val="21"/>
                <w:szCs w:val="21"/>
              </w:rPr>
            </w:pPr>
            <w:r>
              <w:rPr>
                <w:rFonts w:hint="eastAsia"/>
                <w:color w:val="auto"/>
                <w:kern w:val="0"/>
                <w:sz w:val="21"/>
                <w:szCs w:val="21"/>
              </w:rPr>
              <w:t>ND</w:t>
            </w:r>
          </w:p>
        </w:tc>
        <w:tc>
          <w:tcPr>
            <w:tcW w:w="921" w:type="pct"/>
            <w:tcBorders>
              <w:tl2br w:val="nil"/>
              <w:tr2bl w:val="nil"/>
            </w:tcBorders>
            <w:noWrap/>
            <w:vAlign w:val="center"/>
          </w:tcPr>
          <w:p w14:paraId="0F82CA26">
            <w:pPr>
              <w:widowControl/>
              <w:spacing w:line="240" w:lineRule="auto"/>
              <w:ind w:firstLine="0" w:firstLineChars="0"/>
              <w:jc w:val="center"/>
              <w:rPr>
                <w:color w:val="auto"/>
                <w:kern w:val="0"/>
                <w:sz w:val="21"/>
                <w:szCs w:val="21"/>
              </w:rPr>
            </w:pPr>
            <w:r>
              <w:rPr>
                <w:rFonts w:hint="eastAsia"/>
                <w:color w:val="auto"/>
                <w:kern w:val="0"/>
                <w:sz w:val="21"/>
                <w:szCs w:val="21"/>
              </w:rPr>
              <w:t>1.56</w:t>
            </w:r>
            <w:r>
              <w:rPr>
                <w:color w:val="auto"/>
                <w:kern w:val="0"/>
                <w:sz w:val="21"/>
                <w:szCs w:val="21"/>
              </w:rPr>
              <w:t>×10</w:t>
            </w:r>
            <w:r>
              <w:rPr>
                <w:color w:val="auto"/>
                <w:kern w:val="0"/>
                <w:sz w:val="21"/>
                <w:szCs w:val="21"/>
                <w:vertAlign w:val="superscript"/>
              </w:rPr>
              <w:t>-</w:t>
            </w:r>
            <w:r>
              <w:rPr>
                <w:rFonts w:hint="eastAsia"/>
                <w:color w:val="auto"/>
                <w:kern w:val="0"/>
                <w:sz w:val="21"/>
                <w:szCs w:val="21"/>
                <w:vertAlign w:val="superscript"/>
              </w:rPr>
              <w:t>3</w:t>
            </w:r>
          </w:p>
        </w:tc>
        <w:tc>
          <w:tcPr>
            <w:tcW w:w="622" w:type="pct"/>
            <w:tcBorders>
              <w:tl2br w:val="nil"/>
              <w:tr2bl w:val="nil"/>
            </w:tcBorders>
            <w:noWrap/>
            <w:vAlign w:val="center"/>
          </w:tcPr>
          <w:p w14:paraId="280989A4">
            <w:pPr>
              <w:widowControl/>
              <w:spacing w:line="240" w:lineRule="auto"/>
              <w:ind w:firstLine="0" w:firstLineChars="0"/>
              <w:jc w:val="center"/>
              <w:rPr>
                <w:color w:val="auto"/>
                <w:kern w:val="0"/>
                <w:sz w:val="21"/>
                <w:szCs w:val="21"/>
              </w:rPr>
            </w:pPr>
            <w:r>
              <w:rPr>
                <w:rFonts w:hint="eastAsia"/>
                <w:color w:val="auto"/>
                <w:kern w:val="0"/>
                <w:sz w:val="21"/>
                <w:szCs w:val="21"/>
              </w:rPr>
              <w:t>20</w:t>
            </w:r>
          </w:p>
        </w:tc>
        <w:tc>
          <w:tcPr>
            <w:tcW w:w="719" w:type="pct"/>
            <w:tcBorders>
              <w:tl2br w:val="nil"/>
              <w:tr2bl w:val="nil"/>
            </w:tcBorders>
            <w:noWrap/>
            <w:vAlign w:val="center"/>
          </w:tcPr>
          <w:p w14:paraId="618BF880">
            <w:pPr>
              <w:widowControl/>
              <w:spacing w:line="240" w:lineRule="auto"/>
              <w:ind w:firstLine="0" w:firstLineChars="0"/>
              <w:jc w:val="center"/>
              <w:rPr>
                <w:color w:val="auto"/>
                <w:kern w:val="0"/>
                <w:sz w:val="21"/>
                <w:szCs w:val="21"/>
              </w:rPr>
            </w:pPr>
            <w:r>
              <w:rPr>
                <w:rFonts w:hint="eastAsia"/>
                <w:color w:val="auto"/>
                <w:kern w:val="0"/>
                <w:sz w:val="21"/>
                <w:szCs w:val="21"/>
              </w:rPr>
              <w:t>0.36</w:t>
            </w:r>
          </w:p>
        </w:tc>
        <w:tc>
          <w:tcPr>
            <w:tcW w:w="465" w:type="pct"/>
            <w:tcBorders>
              <w:tl2br w:val="nil"/>
              <w:tr2bl w:val="nil"/>
            </w:tcBorders>
            <w:noWrap/>
            <w:vAlign w:val="center"/>
          </w:tcPr>
          <w:p w14:paraId="3865C4F6">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2EE4B6B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vMerge w:val="continue"/>
            <w:tcBorders>
              <w:tl2br w:val="nil"/>
              <w:tr2bl w:val="nil"/>
            </w:tcBorders>
            <w:vAlign w:val="center"/>
          </w:tcPr>
          <w:p w14:paraId="12DF2296">
            <w:pPr>
              <w:widowControl/>
              <w:spacing w:line="240" w:lineRule="auto"/>
              <w:ind w:firstLine="0" w:firstLineChars="0"/>
              <w:jc w:val="center"/>
              <w:rPr>
                <w:color w:val="auto"/>
                <w:kern w:val="0"/>
                <w:sz w:val="21"/>
                <w:szCs w:val="21"/>
              </w:rPr>
            </w:pPr>
          </w:p>
        </w:tc>
        <w:tc>
          <w:tcPr>
            <w:tcW w:w="690" w:type="pct"/>
            <w:tcBorders>
              <w:tl2br w:val="nil"/>
              <w:tr2bl w:val="nil"/>
            </w:tcBorders>
            <w:noWrap/>
            <w:vAlign w:val="center"/>
          </w:tcPr>
          <w:p w14:paraId="26E96416">
            <w:pPr>
              <w:widowControl/>
              <w:spacing w:line="240" w:lineRule="auto"/>
              <w:ind w:firstLine="0" w:firstLineChars="0"/>
              <w:jc w:val="center"/>
              <w:rPr>
                <w:color w:val="auto"/>
                <w:kern w:val="0"/>
                <w:sz w:val="21"/>
                <w:szCs w:val="21"/>
              </w:rPr>
            </w:pPr>
            <w:r>
              <w:rPr>
                <w:color w:val="auto"/>
                <w:kern w:val="0"/>
                <w:sz w:val="21"/>
                <w:szCs w:val="21"/>
              </w:rPr>
              <w:t>氨</w:t>
            </w:r>
          </w:p>
        </w:tc>
        <w:tc>
          <w:tcPr>
            <w:tcW w:w="958" w:type="pct"/>
            <w:tcBorders>
              <w:tl2br w:val="nil"/>
              <w:tr2bl w:val="nil"/>
            </w:tcBorders>
            <w:noWrap/>
            <w:vAlign w:val="center"/>
          </w:tcPr>
          <w:p w14:paraId="62B15CAF">
            <w:pPr>
              <w:widowControl/>
              <w:spacing w:line="240" w:lineRule="auto"/>
              <w:ind w:firstLine="0" w:firstLineChars="0"/>
              <w:jc w:val="center"/>
              <w:rPr>
                <w:color w:val="auto"/>
                <w:kern w:val="0"/>
                <w:sz w:val="21"/>
                <w:szCs w:val="21"/>
              </w:rPr>
            </w:pPr>
            <w:r>
              <w:rPr>
                <w:rFonts w:hint="eastAsia"/>
                <w:color w:val="auto"/>
                <w:kern w:val="0"/>
                <w:sz w:val="21"/>
                <w:szCs w:val="21"/>
              </w:rPr>
              <w:t>4.08</w:t>
            </w:r>
          </w:p>
        </w:tc>
        <w:tc>
          <w:tcPr>
            <w:tcW w:w="921" w:type="pct"/>
            <w:tcBorders>
              <w:tl2br w:val="nil"/>
              <w:tr2bl w:val="nil"/>
            </w:tcBorders>
            <w:noWrap/>
          </w:tcPr>
          <w:p w14:paraId="493D845C">
            <w:pPr>
              <w:widowControl/>
              <w:spacing w:line="240" w:lineRule="auto"/>
              <w:ind w:firstLine="0" w:firstLineChars="0"/>
              <w:jc w:val="center"/>
              <w:rPr>
                <w:color w:val="auto"/>
                <w:kern w:val="0"/>
                <w:sz w:val="21"/>
                <w:szCs w:val="21"/>
              </w:rPr>
            </w:pPr>
            <w:r>
              <w:rPr>
                <w:rFonts w:hint="eastAsia"/>
                <w:color w:val="auto"/>
                <w:kern w:val="0"/>
                <w:sz w:val="21"/>
                <w:szCs w:val="21"/>
              </w:rPr>
              <w:t>2.55</w:t>
            </w:r>
            <w:r>
              <w:rPr>
                <w:color w:val="auto"/>
                <w:kern w:val="0"/>
                <w:sz w:val="21"/>
                <w:szCs w:val="21"/>
              </w:rPr>
              <w:t>×10</w:t>
            </w:r>
            <w:r>
              <w:rPr>
                <w:color w:val="auto"/>
                <w:kern w:val="0"/>
                <w:sz w:val="21"/>
                <w:szCs w:val="21"/>
                <w:vertAlign w:val="superscript"/>
              </w:rPr>
              <w:t>-2</w:t>
            </w:r>
          </w:p>
        </w:tc>
        <w:tc>
          <w:tcPr>
            <w:tcW w:w="622" w:type="pct"/>
            <w:tcBorders>
              <w:tl2br w:val="nil"/>
              <w:tr2bl w:val="nil"/>
            </w:tcBorders>
            <w:noWrap/>
            <w:vAlign w:val="center"/>
          </w:tcPr>
          <w:p w14:paraId="4E6C25E2">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719" w:type="pct"/>
            <w:tcBorders>
              <w:tl2br w:val="nil"/>
              <w:tr2bl w:val="nil"/>
            </w:tcBorders>
            <w:noWrap/>
            <w:vAlign w:val="center"/>
          </w:tcPr>
          <w:p w14:paraId="25F6360E">
            <w:pPr>
              <w:widowControl/>
              <w:spacing w:line="240" w:lineRule="auto"/>
              <w:ind w:firstLine="0" w:firstLineChars="0"/>
              <w:jc w:val="center"/>
              <w:rPr>
                <w:color w:val="auto"/>
                <w:kern w:val="0"/>
                <w:sz w:val="21"/>
                <w:szCs w:val="21"/>
              </w:rPr>
            </w:pPr>
            <w:r>
              <w:rPr>
                <w:color w:val="auto"/>
                <w:kern w:val="0"/>
                <w:sz w:val="21"/>
                <w:szCs w:val="21"/>
              </w:rPr>
              <w:t>27</w:t>
            </w:r>
          </w:p>
        </w:tc>
        <w:tc>
          <w:tcPr>
            <w:tcW w:w="465" w:type="pct"/>
            <w:tcBorders>
              <w:tl2br w:val="nil"/>
              <w:tr2bl w:val="nil"/>
            </w:tcBorders>
            <w:noWrap/>
            <w:vAlign w:val="center"/>
          </w:tcPr>
          <w:p w14:paraId="520C54FA">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0AB4D5F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vAlign w:val="center"/>
          </w:tcPr>
          <w:p w14:paraId="44832D1E">
            <w:pPr>
              <w:widowControl/>
              <w:spacing w:line="240" w:lineRule="auto"/>
              <w:ind w:firstLine="0" w:firstLineChars="0"/>
              <w:jc w:val="center"/>
              <w:rPr>
                <w:b/>
                <w:color w:val="auto"/>
                <w:kern w:val="0"/>
                <w:sz w:val="21"/>
                <w:szCs w:val="21"/>
              </w:rPr>
            </w:pPr>
            <w:r>
              <w:rPr>
                <w:b/>
                <w:color w:val="auto"/>
                <w:kern w:val="0"/>
                <w:sz w:val="21"/>
                <w:szCs w:val="21"/>
              </w:rPr>
              <w:t>采样日期</w:t>
            </w:r>
          </w:p>
        </w:tc>
        <w:tc>
          <w:tcPr>
            <w:tcW w:w="690" w:type="pct"/>
            <w:tcBorders>
              <w:tl2br w:val="nil"/>
              <w:tr2bl w:val="nil"/>
            </w:tcBorders>
            <w:noWrap/>
            <w:vAlign w:val="center"/>
          </w:tcPr>
          <w:p w14:paraId="39197D80">
            <w:pPr>
              <w:widowControl/>
              <w:spacing w:line="240" w:lineRule="auto"/>
              <w:ind w:firstLine="0" w:firstLineChars="0"/>
              <w:jc w:val="center"/>
              <w:rPr>
                <w:b/>
                <w:color w:val="auto"/>
                <w:kern w:val="0"/>
                <w:sz w:val="21"/>
                <w:szCs w:val="21"/>
              </w:rPr>
            </w:pPr>
            <w:r>
              <w:rPr>
                <w:rFonts w:hint="eastAsia"/>
                <w:b/>
                <w:color w:val="auto"/>
                <w:kern w:val="0"/>
                <w:sz w:val="21"/>
                <w:szCs w:val="21"/>
              </w:rPr>
              <w:t>2025.4.11</w:t>
            </w:r>
          </w:p>
        </w:tc>
        <w:tc>
          <w:tcPr>
            <w:tcW w:w="958" w:type="pct"/>
            <w:tcBorders>
              <w:tl2br w:val="nil"/>
              <w:tr2bl w:val="nil"/>
            </w:tcBorders>
            <w:noWrap/>
            <w:vAlign w:val="center"/>
          </w:tcPr>
          <w:p w14:paraId="5A07F5C7">
            <w:pPr>
              <w:widowControl/>
              <w:spacing w:line="240" w:lineRule="auto"/>
              <w:ind w:firstLine="0" w:firstLineChars="0"/>
              <w:jc w:val="center"/>
              <w:rPr>
                <w:b/>
                <w:color w:val="auto"/>
                <w:kern w:val="0"/>
                <w:sz w:val="21"/>
                <w:szCs w:val="21"/>
              </w:rPr>
            </w:pPr>
            <w:r>
              <w:rPr>
                <w:b/>
                <w:color w:val="auto"/>
                <w:kern w:val="0"/>
                <w:sz w:val="21"/>
                <w:szCs w:val="21"/>
              </w:rPr>
              <w:t>标干流量(m</w:t>
            </w:r>
            <w:r>
              <w:rPr>
                <w:b/>
                <w:color w:val="auto"/>
                <w:kern w:val="0"/>
                <w:sz w:val="21"/>
                <w:szCs w:val="21"/>
                <w:vertAlign w:val="superscript"/>
              </w:rPr>
              <w:t>3</w:t>
            </w:r>
            <w:r>
              <w:rPr>
                <w:b/>
                <w:color w:val="auto"/>
                <w:kern w:val="0"/>
                <w:sz w:val="21"/>
                <w:szCs w:val="21"/>
              </w:rPr>
              <w:t>/h)</w:t>
            </w:r>
          </w:p>
        </w:tc>
        <w:tc>
          <w:tcPr>
            <w:tcW w:w="921" w:type="pct"/>
            <w:tcBorders>
              <w:tl2br w:val="nil"/>
              <w:tr2bl w:val="nil"/>
            </w:tcBorders>
            <w:noWrap/>
            <w:vAlign w:val="center"/>
          </w:tcPr>
          <w:p w14:paraId="57AE8D9C">
            <w:pPr>
              <w:widowControl/>
              <w:spacing w:line="240" w:lineRule="auto"/>
              <w:ind w:firstLine="0" w:firstLineChars="0"/>
              <w:jc w:val="center"/>
              <w:rPr>
                <w:b/>
                <w:color w:val="auto"/>
                <w:kern w:val="0"/>
                <w:sz w:val="21"/>
                <w:szCs w:val="21"/>
              </w:rPr>
            </w:pPr>
            <w:r>
              <w:rPr>
                <w:rFonts w:hint="eastAsia"/>
                <w:b/>
                <w:color w:val="auto"/>
                <w:kern w:val="0"/>
                <w:sz w:val="21"/>
                <w:szCs w:val="21"/>
              </w:rPr>
              <w:t>3115</w:t>
            </w:r>
          </w:p>
        </w:tc>
        <w:tc>
          <w:tcPr>
            <w:tcW w:w="1341" w:type="pct"/>
            <w:gridSpan w:val="2"/>
            <w:tcBorders>
              <w:tl2br w:val="nil"/>
              <w:tr2bl w:val="nil"/>
            </w:tcBorders>
            <w:noWrap/>
            <w:vAlign w:val="center"/>
          </w:tcPr>
          <w:p w14:paraId="2E05DE8D">
            <w:pPr>
              <w:widowControl/>
              <w:spacing w:line="240" w:lineRule="auto"/>
              <w:ind w:firstLine="0" w:firstLineChars="0"/>
              <w:jc w:val="center"/>
              <w:rPr>
                <w:color w:val="auto"/>
                <w:kern w:val="0"/>
                <w:sz w:val="21"/>
                <w:szCs w:val="21"/>
              </w:rPr>
            </w:pPr>
            <w:r>
              <w:rPr>
                <w:b/>
                <w:color w:val="auto"/>
                <w:kern w:val="0"/>
                <w:sz w:val="21"/>
                <w:szCs w:val="21"/>
              </w:rPr>
              <w:t>排放标准</w:t>
            </w:r>
          </w:p>
        </w:tc>
        <w:tc>
          <w:tcPr>
            <w:tcW w:w="465" w:type="pct"/>
            <w:tcBorders>
              <w:tl2br w:val="nil"/>
              <w:tr2bl w:val="nil"/>
            </w:tcBorders>
            <w:noWrap/>
            <w:vAlign w:val="center"/>
          </w:tcPr>
          <w:p w14:paraId="703AC50C">
            <w:pPr>
              <w:widowControl/>
              <w:spacing w:line="240" w:lineRule="auto"/>
              <w:ind w:firstLine="0" w:firstLineChars="0"/>
              <w:jc w:val="center"/>
              <w:rPr>
                <w:b/>
                <w:color w:val="auto"/>
                <w:kern w:val="0"/>
                <w:sz w:val="21"/>
                <w:szCs w:val="21"/>
              </w:rPr>
            </w:pPr>
            <w:r>
              <w:rPr>
                <w:rFonts w:hint="eastAsia"/>
                <w:b/>
                <w:color w:val="auto"/>
                <w:kern w:val="0"/>
                <w:sz w:val="21"/>
                <w:szCs w:val="21"/>
              </w:rPr>
              <w:t>达标分析</w:t>
            </w:r>
          </w:p>
        </w:tc>
      </w:tr>
      <w:tr w14:paraId="639B186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vMerge w:val="restart"/>
            <w:tcBorders>
              <w:tl2br w:val="nil"/>
              <w:tr2bl w:val="nil"/>
            </w:tcBorders>
            <w:noWrap/>
            <w:vAlign w:val="center"/>
          </w:tcPr>
          <w:p w14:paraId="55DFCEBC">
            <w:pPr>
              <w:widowControl/>
              <w:spacing w:line="240" w:lineRule="auto"/>
              <w:ind w:firstLine="0" w:firstLineChars="0"/>
              <w:jc w:val="center"/>
              <w:rPr>
                <w:color w:val="auto"/>
                <w:kern w:val="0"/>
                <w:sz w:val="21"/>
                <w:szCs w:val="21"/>
              </w:rPr>
            </w:pPr>
            <w:r>
              <w:rPr>
                <w:color w:val="auto"/>
                <w:kern w:val="0"/>
                <w:sz w:val="21"/>
                <w:szCs w:val="21"/>
              </w:rPr>
              <w:t>DA002</w:t>
            </w:r>
          </w:p>
        </w:tc>
        <w:tc>
          <w:tcPr>
            <w:tcW w:w="690" w:type="pct"/>
            <w:tcBorders>
              <w:tl2br w:val="nil"/>
              <w:tr2bl w:val="nil"/>
            </w:tcBorders>
            <w:noWrap/>
            <w:vAlign w:val="center"/>
          </w:tcPr>
          <w:p w14:paraId="060AD9AB">
            <w:pPr>
              <w:widowControl/>
              <w:spacing w:line="240" w:lineRule="auto"/>
              <w:ind w:firstLine="0" w:firstLineChars="0"/>
              <w:jc w:val="center"/>
              <w:rPr>
                <w:color w:val="auto"/>
                <w:kern w:val="0"/>
                <w:sz w:val="21"/>
                <w:szCs w:val="21"/>
              </w:rPr>
            </w:pPr>
            <w:r>
              <w:rPr>
                <w:color w:val="auto"/>
                <w:kern w:val="0"/>
                <w:sz w:val="21"/>
                <w:szCs w:val="21"/>
              </w:rPr>
              <w:t>二氧化硫</w:t>
            </w:r>
          </w:p>
        </w:tc>
        <w:tc>
          <w:tcPr>
            <w:tcW w:w="958" w:type="pct"/>
            <w:tcBorders>
              <w:tl2br w:val="nil"/>
              <w:tr2bl w:val="nil"/>
            </w:tcBorders>
            <w:noWrap/>
            <w:vAlign w:val="center"/>
          </w:tcPr>
          <w:p w14:paraId="694D20A7">
            <w:pPr>
              <w:widowControl/>
              <w:spacing w:line="240" w:lineRule="auto"/>
              <w:ind w:firstLine="0" w:firstLineChars="0"/>
              <w:jc w:val="center"/>
              <w:rPr>
                <w:color w:val="auto"/>
                <w:kern w:val="0"/>
                <w:sz w:val="21"/>
                <w:szCs w:val="21"/>
              </w:rPr>
            </w:pPr>
            <w:r>
              <w:rPr>
                <w:color w:val="auto"/>
                <w:kern w:val="0"/>
                <w:sz w:val="21"/>
                <w:szCs w:val="21"/>
              </w:rPr>
              <w:t>ND</w:t>
            </w:r>
          </w:p>
        </w:tc>
        <w:tc>
          <w:tcPr>
            <w:tcW w:w="921" w:type="pct"/>
            <w:tcBorders>
              <w:tl2br w:val="nil"/>
              <w:tr2bl w:val="nil"/>
            </w:tcBorders>
            <w:noWrap/>
            <w:vAlign w:val="center"/>
          </w:tcPr>
          <w:p w14:paraId="4EEA94F6">
            <w:pPr>
              <w:widowControl/>
              <w:spacing w:line="240" w:lineRule="auto"/>
              <w:ind w:firstLine="0" w:firstLineChars="0"/>
              <w:jc w:val="center"/>
              <w:rPr>
                <w:color w:val="auto"/>
                <w:kern w:val="0"/>
                <w:sz w:val="21"/>
                <w:szCs w:val="21"/>
              </w:rPr>
            </w:pPr>
            <w:r>
              <w:rPr>
                <w:rFonts w:hint="eastAsia"/>
                <w:color w:val="auto"/>
                <w:kern w:val="0"/>
                <w:sz w:val="21"/>
                <w:szCs w:val="21"/>
              </w:rPr>
              <w:t>4.67</w:t>
            </w:r>
            <w:r>
              <w:rPr>
                <w:color w:val="auto"/>
                <w:kern w:val="0"/>
                <w:sz w:val="21"/>
                <w:szCs w:val="21"/>
              </w:rPr>
              <w:t>×10</w:t>
            </w:r>
            <w:r>
              <w:rPr>
                <w:color w:val="auto"/>
                <w:kern w:val="0"/>
                <w:sz w:val="21"/>
                <w:szCs w:val="21"/>
                <w:vertAlign w:val="superscript"/>
              </w:rPr>
              <w:t>-3</w:t>
            </w:r>
          </w:p>
        </w:tc>
        <w:tc>
          <w:tcPr>
            <w:tcW w:w="622" w:type="pct"/>
            <w:tcBorders>
              <w:tl2br w:val="nil"/>
              <w:tr2bl w:val="nil"/>
            </w:tcBorders>
            <w:noWrap/>
            <w:vAlign w:val="center"/>
          </w:tcPr>
          <w:p w14:paraId="70E85918">
            <w:pPr>
              <w:widowControl/>
              <w:spacing w:line="240" w:lineRule="auto"/>
              <w:ind w:firstLine="0" w:firstLineChars="0"/>
              <w:jc w:val="center"/>
              <w:rPr>
                <w:color w:val="auto"/>
                <w:kern w:val="0"/>
                <w:sz w:val="21"/>
                <w:szCs w:val="21"/>
              </w:rPr>
            </w:pPr>
            <w:r>
              <w:rPr>
                <w:color w:val="auto"/>
                <w:kern w:val="0"/>
                <w:sz w:val="21"/>
                <w:szCs w:val="21"/>
              </w:rPr>
              <w:t>100</w:t>
            </w:r>
          </w:p>
        </w:tc>
        <w:tc>
          <w:tcPr>
            <w:tcW w:w="719" w:type="pct"/>
            <w:tcBorders>
              <w:tl2br w:val="nil"/>
              <w:tr2bl w:val="nil"/>
            </w:tcBorders>
            <w:noWrap/>
            <w:vAlign w:val="center"/>
          </w:tcPr>
          <w:p w14:paraId="1CAED57F">
            <w:pPr>
              <w:widowControl/>
              <w:spacing w:line="240" w:lineRule="auto"/>
              <w:ind w:firstLine="0" w:firstLineChars="0"/>
              <w:jc w:val="center"/>
              <w:rPr>
                <w:color w:val="auto"/>
                <w:kern w:val="0"/>
                <w:sz w:val="21"/>
                <w:szCs w:val="21"/>
              </w:rPr>
            </w:pPr>
            <w:r>
              <w:rPr>
                <w:color w:val="auto"/>
                <w:kern w:val="0"/>
                <w:sz w:val="21"/>
                <w:szCs w:val="21"/>
              </w:rPr>
              <w:t>/</w:t>
            </w:r>
          </w:p>
        </w:tc>
        <w:tc>
          <w:tcPr>
            <w:tcW w:w="465" w:type="pct"/>
            <w:tcBorders>
              <w:tl2br w:val="nil"/>
              <w:tr2bl w:val="nil"/>
            </w:tcBorders>
            <w:noWrap/>
            <w:vAlign w:val="center"/>
          </w:tcPr>
          <w:p w14:paraId="36110AF6">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61272CD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vMerge w:val="continue"/>
            <w:tcBorders>
              <w:tl2br w:val="nil"/>
              <w:tr2bl w:val="nil"/>
            </w:tcBorders>
            <w:vAlign w:val="center"/>
          </w:tcPr>
          <w:p w14:paraId="32409EB0">
            <w:pPr>
              <w:widowControl/>
              <w:spacing w:line="240" w:lineRule="auto"/>
              <w:ind w:firstLine="0" w:firstLineChars="0"/>
              <w:jc w:val="center"/>
              <w:rPr>
                <w:color w:val="auto"/>
                <w:kern w:val="0"/>
                <w:sz w:val="21"/>
                <w:szCs w:val="21"/>
              </w:rPr>
            </w:pPr>
          </w:p>
        </w:tc>
        <w:tc>
          <w:tcPr>
            <w:tcW w:w="690" w:type="pct"/>
            <w:tcBorders>
              <w:tl2br w:val="nil"/>
              <w:tr2bl w:val="nil"/>
            </w:tcBorders>
            <w:noWrap/>
            <w:vAlign w:val="center"/>
          </w:tcPr>
          <w:p w14:paraId="741488FF">
            <w:pPr>
              <w:widowControl/>
              <w:spacing w:line="240" w:lineRule="auto"/>
              <w:ind w:firstLine="0" w:firstLineChars="0"/>
              <w:jc w:val="center"/>
              <w:rPr>
                <w:color w:val="auto"/>
                <w:kern w:val="0"/>
                <w:sz w:val="21"/>
                <w:szCs w:val="21"/>
              </w:rPr>
            </w:pPr>
            <w:r>
              <w:rPr>
                <w:color w:val="auto"/>
                <w:kern w:val="0"/>
                <w:sz w:val="21"/>
                <w:szCs w:val="21"/>
              </w:rPr>
              <w:t>氨</w:t>
            </w:r>
          </w:p>
        </w:tc>
        <w:tc>
          <w:tcPr>
            <w:tcW w:w="958" w:type="pct"/>
            <w:tcBorders>
              <w:tl2br w:val="nil"/>
              <w:tr2bl w:val="nil"/>
            </w:tcBorders>
            <w:noWrap/>
            <w:vAlign w:val="center"/>
          </w:tcPr>
          <w:p w14:paraId="52D88E47">
            <w:pPr>
              <w:widowControl/>
              <w:spacing w:line="240" w:lineRule="auto"/>
              <w:ind w:firstLine="0" w:firstLineChars="0"/>
              <w:jc w:val="center"/>
              <w:rPr>
                <w:color w:val="auto"/>
                <w:kern w:val="0"/>
                <w:sz w:val="21"/>
                <w:szCs w:val="21"/>
              </w:rPr>
            </w:pPr>
            <w:r>
              <w:rPr>
                <w:rFonts w:hint="eastAsia"/>
                <w:color w:val="auto"/>
                <w:kern w:val="0"/>
                <w:sz w:val="21"/>
                <w:szCs w:val="21"/>
              </w:rPr>
              <w:t>1.9</w:t>
            </w:r>
          </w:p>
        </w:tc>
        <w:tc>
          <w:tcPr>
            <w:tcW w:w="921" w:type="pct"/>
            <w:tcBorders>
              <w:tl2br w:val="nil"/>
              <w:tr2bl w:val="nil"/>
            </w:tcBorders>
            <w:noWrap/>
            <w:vAlign w:val="center"/>
          </w:tcPr>
          <w:p w14:paraId="58D72C82">
            <w:pPr>
              <w:widowControl/>
              <w:spacing w:line="240" w:lineRule="auto"/>
              <w:ind w:firstLine="0" w:firstLineChars="0"/>
              <w:jc w:val="center"/>
              <w:rPr>
                <w:color w:val="auto"/>
                <w:kern w:val="0"/>
                <w:sz w:val="21"/>
                <w:szCs w:val="21"/>
              </w:rPr>
            </w:pPr>
            <w:r>
              <w:rPr>
                <w:rFonts w:hint="eastAsia"/>
                <w:color w:val="auto"/>
                <w:kern w:val="0"/>
                <w:sz w:val="21"/>
                <w:szCs w:val="21"/>
              </w:rPr>
              <w:t>1.64</w:t>
            </w:r>
            <w:r>
              <w:rPr>
                <w:color w:val="auto"/>
                <w:kern w:val="0"/>
                <w:sz w:val="21"/>
                <w:szCs w:val="21"/>
              </w:rPr>
              <w:t>×10</w:t>
            </w:r>
            <w:r>
              <w:rPr>
                <w:color w:val="auto"/>
                <w:kern w:val="0"/>
                <w:sz w:val="21"/>
                <w:szCs w:val="21"/>
                <w:vertAlign w:val="superscript"/>
              </w:rPr>
              <w:t>-2</w:t>
            </w:r>
          </w:p>
        </w:tc>
        <w:tc>
          <w:tcPr>
            <w:tcW w:w="622" w:type="pct"/>
            <w:tcBorders>
              <w:tl2br w:val="nil"/>
              <w:tr2bl w:val="nil"/>
            </w:tcBorders>
            <w:noWrap/>
            <w:vAlign w:val="center"/>
          </w:tcPr>
          <w:p w14:paraId="3360E4C5">
            <w:pPr>
              <w:widowControl/>
              <w:spacing w:line="240" w:lineRule="auto"/>
              <w:ind w:firstLine="0" w:firstLineChars="0"/>
              <w:jc w:val="center"/>
              <w:rPr>
                <w:color w:val="auto"/>
                <w:kern w:val="0"/>
                <w:sz w:val="21"/>
                <w:szCs w:val="21"/>
              </w:rPr>
            </w:pPr>
            <w:r>
              <w:rPr>
                <w:color w:val="auto"/>
                <w:kern w:val="0"/>
                <w:sz w:val="21"/>
                <w:szCs w:val="21"/>
              </w:rPr>
              <w:t>10</w:t>
            </w:r>
          </w:p>
        </w:tc>
        <w:tc>
          <w:tcPr>
            <w:tcW w:w="719" w:type="pct"/>
            <w:tcBorders>
              <w:tl2br w:val="nil"/>
              <w:tr2bl w:val="nil"/>
            </w:tcBorders>
            <w:noWrap/>
            <w:vAlign w:val="center"/>
          </w:tcPr>
          <w:p w14:paraId="27353116">
            <w:pPr>
              <w:widowControl/>
              <w:spacing w:line="240" w:lineRule="auto"/>
              <w:ind w:firstLine="0" w:firstLineChars="0"/>
              <w:jc w:val="center"/>
              <w:rPr>
                <w:color w:val="auto"/>
                <w:kern w:val="0"/>
                <w:sz w:val="21"/>
                <w:szCs w:val="21"/>
              </w:rPr>
            </w:pPr>
            <w:r>
              <w:rPr>
                <w:color w:val="auto"/>
                <w:kern w:val="0"/>
                <w:sz w:val="21"/>
                <w:szCs w:val="21"/>
              </w:rPr>
              <w:t>/</w:t>
            </w:r>
          </w:p>
        </w:tc>
        <w:tc>
          <w:tcPr>
            <w:tcW w:w="465" w:type="pct"/>
            <w:tcBorders>
              <w:tl2br w:val="nil"/>
              <w:tr2bl w:val="nil"/>
            </w:tcBorders>
            <w:noWrap/>
            <w:vAlign w:val="center"/>
          </w:tcPr>
          <w:p w14:paraId="1D659FBB">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2E46EBD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vAlign w:val="center"/>
          </w:tcPr>
          <w:p w14:paraId="27A9A5B7">
            <w:pPr>
              <w:widowControl/>
              <w:spacing w:line="240" w:lineRule="auto"/>
              <w:ind w:firstLine="0" w:firstLineChars="0"/>
              <w:jc w:val="center"/>
              <w:rPr>
                <w:b/>
                <w:color w:val="auto"/>
                <w:kern w:val="0"/>
                <w:sz w:val="21"/>
                <w:szCs w:val="21"/>
              </w:rPr>
            </w:pPr>
            <w:r>
              <w:rPr>
                <w:b/>
                <w:color w:val="auto"/>
                <w:kern w:val="0"/>
                <w:sz w:val="21"/>
                <w:szCs w:val="21"/>
              </w:rPr>
              <w:t>采样日期</w:t>
            </w:r>
          </w:p>
        </w:tc>
        <w:tc>
          <w:tcPr>
            <w:tcW w:w="690" w:type="pct"/>
            <w:tcBorders>
              <w:tl2br w:val="nil"/>
              <w:tr2bl w:val="nil"/>
            </w:tcBorders>
            <w:noWrap/>
            <w:vAlign w:val="center"/>
          </w:tcPr>
          <w:p w14:paraId="4A7E8741">
            <w:pPr>
              <w:widowControl/>
              <w:spacing w:line="240" w:lineRule="auto"/>
              <w:ind w:firstLine="0" w:firstLineChars="0"/>
              <w:jc w:val="center"/>
              <w:rPr>
                <w:b/>
                <w:color w:val="auto"/>
                <w:kern w:val="0"/>
                <w:sz w:val="21"/>
                <w:szCs w:val="21"/>
              </w:rPr>
            </w:pPr>
            <w:r>
              <w:rPr>
                <w:rFonts w:hint="eastAsia"/>
                <w:b/>
                <w:color w:val="auto"/>
                <w:kern w:val="0"/>
                <w:sz w:val="21"/>
                <w:szCs w:val="21"/>
              </w:rPr>
              <w:t>2025.10.9</w:t>
            </w:r>
          </w:p>
        </w:tc>
        <w:tc>
          <w:tcPr>
            <w:tcW w:w="958" w:type="pct"/>
            <w:tcBorders>
              <w:tl2br w:val="nil"/>
              <w:tr2bl w:val="nil"/>
            </w:tcBorders>
            <w:noWrap/>
            <w:vAlign w:val="center"/>
          </w:tcPr>
          <w:p w14:paraId="3671BCF1">
            <w:pPr>
              <w:widowControl/>
              <w:spacing w:line="240" w:lineRule="auto"/>
              <w:ind w:firstLine="0" w:firstLineChars="0"/>
              <w:jc w:val="center"/>
              <w:rPr>
                <w:b/>
                <w:color w:val="auto"/>
                <w:kern w:val="0"/>
                <w:sz w:val="21"/>
                <w:szCs w:val="21"/>
              </w:rPr>
            </w:pPr>
            <w:r>
              <w:rPr>
                <w:b/>
                <w:color w:val="auto"/>
                <w:kern w:val="0"/>
                <w:sz w:val="21"/>
                <w:szCs w:val="21"/>
              </w:rPr>
              <w:t>标干流量(m</w:t>
            </w:r>
            <w:r>
              <w:rPr>
                <w:b/>
                <w:color w:val="auto"/>
                <w:kern w:val="0"/>
                <w:sz w:val="21"/>
                <w:szCs w:val="21"/>
                <w:vertAlign w:val="superscript"/>
              </w:rPr>
              <w:t>3</w:t>
            </w:r>
            <w:r>
              <w:rPr>
                <w:b/>
                <w:color w:val="auto"/>
                <w:kern w:val="0"/>
                <w:sz w:val="21"/>
                <w:szCs w:val="21"/>
              </w:rPr>
              <w:t>/h)</w:t>
            </w:r>
          </w:p>
        </w:tc>
        <w:tc>
          <w:tcPr>
            <w:tcW w:w="921" w:type="pct"/>
            <w:tcBorders>
              <w:tl2br w:val="nil"/>
              <w:tr2bl w:val="nil"/>
            </w:tcBorders>
            <w:noWrap/>
            <w:vAlign w:val="center"/>
          </w:tcPr>
          <w:p w14:paraId="4F72FCCD">
            <w:pPr>
              <w:widowControl/>
              <w:spacing w:line="240" w:lineRule="auto"/>
              <w:ind w:firstLine="0" w:firstLineChars="0"/>
              <w:jc w:val="center"/>
              <w:rPr>
                <w:b/>
                <w:color w:val="auto"/>
                <w:kern w:val="0"/>
                <w:sz w:val="21"/>
                <w:szCs w:val="21"/>
              </w:rPr>
            </w:pPr>
            <w:r>
              <w:rPr>
                <w:rFonts w:hint="eastAsia"/>
                <w:b/>
                <w:color w:val="auto"/>
                <w:kern w:val="0"/>
                <w:sz w:val="21"/>
                <w:szCs w:val="21"/>
              </w:rPr>
              <w:t>4004</w:t>
            </w:r>
          </w:p>
        </w:tc>
        <w:tc>
          <w:tcPr>
            <w:tcW w:w="1341" w:type="pct"/>
            <w:gridSpan w:val="2"/>
            <w:tcBorders>
              <w:tl2br w:val="nil"/>
              <w:tr2bl w:val="nil"/>
            </w:tcBorders>
            <w:noWrap/>
            <w:vAlign w:val="center"/>
          </w:tcPr>
          <w:p w14:paraId="6D2706E5">
            <w:pPr>
              <w:widowControl/>
              <w:spacing w:line="240" w:lineRule="auto"/>
              <w:ind w:firstLine="0" w:firstLineChars="0"/>
              <w:jc w:val="center"/>
              <w:rPr>
                <w:color w:val="auto"/>
                <w:kern w:val="0"/>
                <w:sz w:val="21"/>
                <w:szCs w:val="21"/>
              </w:rPr>
            </w:pPr>
            <w:r>
              <w:rPr>
                <w:b/>
                <w:color w:val="auto"/>
                <w:kern w:val="0"/>
                <w:sz w:val="21"/>
                <w:szCs w:val="21"/>
              </w:rPr>
              <w:t>排放标准</w:t>
            </w:r>
          </w:p>
        </w:tc>
        <w:tc>
          <w:tcPr>
            <w:tcW w:w="465" w:type="pct"/>
            <w:tcBorders>
              <w:tl2br w:val="nil"/>
              <w:tr2bl w:val="nil"/>
            </w:tcBorders>
            <w:noWrap/>
            <w:vAlign w:val="center"/>
          </w:tcPr>
          <w:p w14:paraId="2A0C83C1">
            <w:pPr>
              <w:widowControl/>
              <w:spacing w:line="240" w:lineRule="auto"/>
              <w:ind w:firstLine="0" w:firstLineChars="0"/>
              <w:jc w:val="center"/>
              <w:rPr>
                <w:b/>
                <w:color w:val="auto"/>
                <w:kern w:val="0"/>
                <w:sz w:val="21"/>
                <w:szCs w:val="21"/>
              </w:rPr>
            </w:pPr>
            <w:r>
              <w:rPr>
                <w:rFonts w:hint="eastAsia"/>
                <w:b/>
                <w:color w:val="auto"/>
                <w:kern w:val="0"/>
                <w:sz w:val="21"/>
                <w:szCs w:val="21"/>
              </w:rPr>
              <w:t>达标分析</w:t>
            </w:r>
          </w:p>
        </w:tc>
      </w:tr>
      <w:tr w14:paraId="32E5E4C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vMerge w:val="restart"/>
            <w:tcBorders>
              <w:tl2br w:val="nil"/>
              <w:tr2bl w:val="nil"/>
            </w:tcBorders>
            <w:vAlign w:val="center"/>
          </w:tcPr>
          <w:p w14:paraId="4DF53988">
            <w:pPr>
              <w:widowControl/>
              <w:spacing w:line="240" w:lineRule="auto"/>
              <w:ind w:firstLine="0" w:firstLineChars="0"/>
              <w:jc w:val="center"/>
              <w:rPr>
                <w:color w:val="auto"/>
                <w:kern w:val="0"/>
                <w:sz w:val="21"/>
                <w:szCs w:val="21"/>
              </w:rPr>
            </w:pPr>
            <w:r>
              <w:rPr>
                <w:color w:val="auto"/>
                <w:kern w:val="0"/>
                <w:sz w:val="21"/>
                <w:szCs w:val="21"/>
              </w:rPr>
              <w:t>DA002</w:t>
            </w:r>
          </w:p>
        </w:tc>
        <w:tc>
          <w:tcPr>
            <w:tcW w:w="690" w:type="pct"/>
            <w:tcBorders>
              <w:tl2br w:val="nil"/>
              <w:tr2bl w:val="nil"/>
            </w:tcBorders>
            <w:noWrap/>
            <w:vAlign w:val="center"/>
          </w:tcPr>
          <w:p w14:paraId="16229612">
            <w:pPr>
              <w:widowControl/>
              <w:spacing w:line="240" w:lineRule="auto"/>
              <w:ind w:firstLine="0" w:firstLineChars="0"/>
              <w:jc w:val="center"/>
              <w:rPr>
                <w:color w:val="auto"/>
                <w:kern w:val="0"/>
                <w:sz w:val="21"/>
                <w:szCs w:val="21"/>
              </w:rPr>
            </w:pPr>
            <w:r>
              <w:rPr>
                <w:color w:val="auto"/>
                <w:kern w:val="0"/>
                <w:sz w:val="21"/>
                <w:szCs w:val="21"/>
              </w:rPr>
              <w:t>二氧化硫</w:t>
            </w:r>
          </w:p>
        </w:tc>
        <w:tc>
          <w:tcPr>
            <w:tcW w:w="958" w:type="pct"/>
            <w:tcBorders>
              <w:tl2br w:val="nil"/>
              <w:tr2bl w:val="nil"/>
            </w:tcBorders>
            <w:noWrap/>
            <w:vAlign w:val="center"/>
          </w:tcPr>
          <w:p w14:paraId="108B168B">
            <w:pPr>
              <w:widowControl/>
              <w:spacing w:line="240" w:lineRule="auto"/>
              <w:ind w:firstLine="0" w:firstLineChars="0"/>
              <w:jc w:val="center"/>
              <w:rPr>
                <w:color w:val="auto"/>
                <w:kern w:val="0"/>
                <w:sz w:val="21"/>
                <w:szCs w:val="21"/>
              </w:rPr>
            </w:pPr>
            <w:r>
              <w:rPr>
                <w:rFonts w:hint="eastAsia"/>
                <w:color w:val="auto"/>
                <w:kern w:val="0"/>
                <w:sz w:val="21"/>
                <w:szCs w:val="21"/>
              </w:rPr>
              <w:t>5.10</w:t>
            </w:r>
          </w:p>
        </w:tc>
        <w:tc>
          <w:tcPr>
            <w:tcW w:w="921" w:type="pct"/>
            <w:tcBorders>
              <w:tl2br w:val="nil"/>
              <w:tr2bl w:val="nil"/>
            </w:tcBorders>
            <w:noWrap/>
            <w:vAlign w:val="center"/>
          </w:tcPr>
          <w:p w14:paraId="0AEDC013">
            <w:pPr>
              <w:widowControl/>
              <w:spacing w:line="240" w:lineRule="auto"/>
              <w:ind w:firstLine="0" w:firstLineChars="0"/>
              <w:jc w:val="center"/>
              <w:rPr>
                <w:color w:val="auto"/>
                <w:kern w:val="0"/>
                <w:sz w:val="21"/>
                <w:szCs w:val="21"/>
              </w:rPr>
            </w:pPr>
            <w:r>
              <w:rPr>
                <w:rFonts w:hint="eastAsia"/>
                <w:color w:val="auto"/>
                <w:kern w:val="0"/>
                <w:sz w:val="21"/>
                <w:szCs w:val="21"/>
              </w:rPr>
              <w:t>1.97</w:t>
            </w:r>
            <w:r>
              <w:rPr>
                <w:color w:val="auto"/>
                <w:kern w:val="0"/>
                <w:sz w:val="21"/>
                <w:szCs w:val="21"/>
              </w:rPr>
              <w:t>×10</w:t>
            </w:r>
            <w:r>
              <w:rPr>
                <w:color w:val="auto"/>
                <w:kern w:val="0"/>
                <w:sz w:val="21"/>
                <w:szCs w:val="21"/>
                <w:vertAlign w:val="superscript"/>
              </w:rPr>
              <w:t>-3</w:t>
            </w:r>
          </w:p>
        </w:tc>
        <w:tc>
          <w:tcPr>
            <w:tcW w:w="622" w:type="pct"/>
            <w:tcBorders>
              <w:tl2br w:val="nil"/>
              <w:tr2bl w:val="nil"/>
            </w:tcBorders>
            <w:noWrap/>
            <w:vAlign w:val="center"/>
          </w:tcPr>
          <w:p w14:paraId="31998290">
            <w:pPr>
              <w:widowControl/>
              <w:spacing w:line="240" w:lineRule="auto"/>
              <w:ind w:firstLine="0" w:firstLineChars="0"/>
              <w:jc w:val="center"/>
              <w:rPr>
                <w:color w:val="auto"/>
                <w:kern w:val="0"/>
                <w:sz w:val="21"/>
                <w:szCs w:val="21"/>
              </w:rPr>
            </w:pPr>
            <w:r>
              <w:rPr>
                <w:color w:val="auto"/>
                <w:kern w:val="0"/>
                <w:sz w:val="21"/>
                <w:szCs w:val="21"/>
              </w:rPr>
              <w:t>100</w:t>
            </w:r>
          </w:p>
        </w:tc>
        <w:tc>
          <w:tcPr>
            <w:tcW w:w="719" w:type="pct"/>
            <w:tcBorders>
              <w:tl2br w:val="nil"/>
              <w:tr2bl w:val="nil"/>
            </w:tcBorders>
            <w:noWrap/>
            <w:vAlign w:val="center"/>
          </w:tcPr>
          <w:p w14:paraId="13212AE1">
            <w:pPr>
              <w:widowControl/>
              <w:spacing w:line="240" w:lineRule="auto"/>
              <w:ind w:firstLine="0" w:firstLineChars="0"/>
              <w:jc w:val="center"/>
              <w:rPr>
                <w:color w:val="auto"/>
                <w:kern w:val="0"/>
                <w:sz w:val="21"/>
                <w:szCs w:val="21"/>
              </w:rPr>
            </w:pPr>
            <w:r>
              <w:rPr>
                <w:color w:val="auto"/>
                <w:kern w:val="0"/>
                <w:sz w:val="21"/>
                <w:szCs w:val="21"/>
              </w:rPr>
              <w:t>/</w:t>
            </w:r>
          </w:p>
        </w:tc>
        <w:tc>
          <w:tcPr>
            <w:tcW w:w="465" w:type="pct"/>
            <w:tcBorders>
              <w:tl2br w:val="nil"/>
              <w:tr2bl w:val="nil"/>
            </w:tcBorders>
            <w:noWrap/>
            <w:vAlign w:val="center"/>
          </w:tcPr>
          <w:p w14:paraId="28D6A6BD">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0B46693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vMerge w:val="continue"/>
            <w:tcBorders>
              <w:tl2br w:val="nil"/>
              <w:tr2bl w:val="nil"/>
            </w:tcBorders>
            <w:vAlign w:val="center"/>
          </w:tcPr>
          <w:p w14:paraId="2926463F">
            <w:pPr>
              <w:widowControl/>
              <w:spacing w:line="240" w:lineRule="auto"/>
              <w:ind w:firstLine="0" w:firstLineChars="0"/>
              <w:jc w:val="center"/>
              <w:rPr>
                <w:b/>
                <w:color w:val="auto"/>
                <w:kern w:val="0"/>
                <w:sz w:val="21"/>
                <w:szCs w:val="21"/>
              </w:rPr>
            </w:pPr>
          </w:p>
        </w:tc>
        <w:tc>
          <w:tcPr>
            <w:tcW w:w="690" w:type="pct"/>
            <w:tcBorders>
              <w:tl2br w:val="nil"/>
              <w:tr2bl w:val="nil"/>
            </w:tcBorders>
            <w:noWrap/>
            <w:vAlign w:val="center"/>
          </w:tcPr>
          <w:p w14:paraId="1444DF52">
            <w:pPr>
              <w:widowControl/>
              <w:spacing w:line="240" w:lineRule="auto"/>
              <w:ind w:firstLine="0" w:firstLineChars="0"/>
              <w:jc w:val="center"/>
              <w:rPr>
                <w:color w:val="auto"/>
                <w:kern w:val="0"/>
                <w:sz w:val="21"/>
                <w:szCs w:val="21"/>
              </w:rPr>
            </w:pPr>
            <w:r>
              <w:rPr>
                <w:color w:val="auto"/>
                <w:kern w:val="0"/>
                <w:sz w:val="21"/>
                <w:szCs w:val="21"/>
              </w:rPr>
              <w:t>氨</w:t>
            </w:r>
          </w:p>
        </w:tc>
        <w:tc>
          <w:tcPr>
            <w:tcW w:w="958" w:type="pct"/>
            <w:tcBorders>
              <w:tl2br w:val="nil"/>
              <w:tr2bl w:val="nil"/>
            </w:tcBorders>
            <w:noWrap/>
            <w:vAlign w:val="center"/>
          </w:tcPr>
          <w:p w14:paraId="4F404C7D">
            <w:pPr>
              <w:widowControl/>
              <w:spacing w:line="240" w:lineRule="auto"/>
              <w:ind w:firstLine="0" w:firstLineChars="0"/>
              <w:jc w:val="center"/>
              <w:rPr>
                <w:color w:val="auto"/>
                <w:kern w:val="0"/>
                <w:sz w:val="21"/>
                <w:szCs w:val="21"/>
              </w:rPr>
            </w:pPr>
            <w:r>
              <w:rPr>
                <w:rFonts w:hint="eastAsia"/>
                <w:color w:val="auto"/>
                <w:kern w:val="0"/>
                <w:sz w:val="21"/>
                <w:szCs w:val="21"/>
              </w:rPr>
              <w:t>ND</w:t>
            </w:r>
          </w:p>
        </w:tc>
        <w:tc>
          <w:tcPr>
            <w:tcW w:w="921" w:type="pct"/>
            <w:tcBorders>
              <w:tl2br w:val="nil"/>
              <w:tr2bl w:val="nil"/>
            </w:tcBorders>
            <w:noWrap/>
            <w:vAlign w:val="center"/>
          </w:tcPr>
          <w:p w14:paraId="5FB1B274">
            <w:pPr>
              <w:widowControl/>
              <w:spacing w:line="240" w:lineRule="auto"/>
              <w:ind w:firstLine="0" w:firstLineChars="0"/>
              <w:jc w:val="center"/>
              <w:rPr>
                <w:color w:val="auto"/>
                <w:kern w:val="0"/>
                <w:sz w:val="21"/>
                <w:szCs w:val="21"/>
              </w:rPr>
            </w:pPr>
            <w:r>
              <w:rPr>
                <w:rFonts w:hint="eastAsia"/>
                <w:color w:val="auto"/>
                <w:kern w:val="0"/>
                <w:sz w:val="21"/>
                <w:szCs w:val="21"/>
              </w:rPr>
              <w:t>8.04</w:t>
            </w:r>
            <w:r>
              <w:rPr>
                <w:color w:val="auto"/>
                <w:kern w:val="0"/>
                <w:sz w:val="21"/>
                <w:szCs w:val="21"/>
              </w:rPr>
              <w:t>×10</w:t>
            </w:r>
            <w:r>
              <w:rPr>
                <w:color w:val="auto"/>
                <w:kern w:val="0"/>
                <w:sz w:val="21"/>
                <w:szCs w:val="21"/>
                <w:vertAlign w:val="superscript"/>
              </w:rPr>
              <w:t>-3</w:t>
            </w:r>
          </w:p>
        </w:tc>
        <w:tc>
          <w:tcPr>
            <w:tcW w:w="622" w:type="pct"/>
            <w:tcBorders>
              <w:tl2br w:val="nil"/>
              <w:tr2bl w:val="nil"/>
            </w:tcBorders>
            <w:noWrap/>
            <w:vAlign w:val="center"/>
          </w:tcPr>
          <w:p w14:paraId="7B3F5059">
            <w:pPr>
              <w:widowControl/>
              <w:spacing w:line="240" w:lineRule="auto"/>
              <w:ind w:firstLine="0" w:firstLineChars="0"/>
              <w:jc w:val="center"/>
              <w:rPr>
                <w:color w:val="auto"/>
                <w:kern w:val="0"/>
                <w:sz w:val="21"/>
                <w:szCs w:val="21"/>
              </w:rPr>
            </w:pPr>
            <w:r>
              <w:rPr>
                <w:color w:val="auto"/>
                <w:kern w:val="0"/>
                <w:sz w:val="21"/>
                <w:szCs w:val="21"/>
              </w:rPr>
              <w:t>10</w:t>
            </w:r>
          </w:p>
        </w:tc>
        <w:tc>
          <w:tcPr>
            <w:tcW w:w="719" w:type="pct"/>
            <w:tcBorders>
              <w:tl2br w:val="nil"/>
              <w:tr2bl w:val="nil"/>
            </w:tcBorders>
            <w:noWrap/>
            <w:vAlign w:val="center"/>
          </w:tcPr>
          <w:p w14:paraId="01272AC1">
            <w:pPr>
              <w:widowControl/>
              <w:spacing w:line="240" w:lineRule="auto"/>
              <w:ind w:firstLine="0" w:firstLineChars="0"/>
              <w:jc w:val="center"/>
              <w:rPr>
                <w:color w:val="auto"/>
                <w:kern w:val="0"/>
                <w:sz w:val="21"/>
                <w:szCs w:val="21"/>
              </w:rPr>
            </w:pPr>
            <w:r>
              <w:rPr>
                <w:color w:val="auto"/>
                <w:kern w:val="0"/>
                <w:sz w:val="21"/>
                <w:szCs w:val="21"/>
              </w:rPr>
              <w:t>/</w:t>
            </w:r>
          </w:p>
        </w:tc>
        <w:tc>
          <w:tcPr>
            <w:tcW w:w="465" w:type="pct"/>
            <w:tcBorders>
              <w:tl2br w:val="nil"/>
              <w:tr2bl w:val="nil"/>
            </w:tcBorders>
            <w:noWrap/>
            <w:vAlign w:val="center"/>
          </w:tcPr>
          <w:p w14:paraId="0132B39B">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bl>
    <w:p w14:paraId="3280BA12">
      <w:pPr>
        <w:spacing w:line="240" w:lineRule="auto"/>
        <w:ind w:firstLine="0" w:firstLineChars="0"/>
        <w:jc w:val="center"/>
        <w:rPr>
          <w:color w:val="auto"/>
        </w:rPr>
      </w:pPr>
      <w:r>
        <w:rPr>
          <w:rFonts w:hint="eastAsia"/>
          <w:b/>
          <w:color w:val="auto"/>
        </w:rPr>
        <w:t>表3.4-2  无组织废气污染物排放监测结果</w:t>
      </w:r>
    </w:p>
    <w:tbl>
      <w:tblPr>
        <w:tblStyle w:val="32"/>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18"/>
        <w:gridCol w:w="2250"/>
        <w:gridCol w:w="2790"/>
        <w:gridCol w:w="1519"/>
        <w:gridCol w:w="1673"/>
      </w:tblGrid>
      <w:tr w14:paraId="2C6E439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restart"/>
            <w:tcBorders>
              <w:tl2br w:val="nil"/>
              <w:tr2bl w:val="nil"/>
            </w:tcBorders>
            <w:noWrap/>
            <w:vAlign w:val="center"/>
          </w:tcPr>
          <w:p w14:paraId="4FADB20F">
            <w:pPr>
              <w:widowControl/>
              <w:spacing w:line="240" w:lineRule="auto"/>
              <w:ind w:firstLine="0" w:firstLineChars="0"/>
              <w:jc w:val="center"/>
              <w:rPr>
                <w:b/>
                <w:color w:val="auto"/>
                <w:kern w:val="0"/>
                <w:sz w:val="21"/>
                <w:szCs w:val="21"/>
              </w:rPr>
            </w:pPr>
            <w:r>
              <w:rPr>
                <w:b/>
                <w:color w:val="auto"/>
                <w:kern w:val="0"/>
                <w:sz w:val="21"/>
                <w:szCs w:val="21"/>
              </w:rPr>
              <w:t>监测日期</w:t>
            </w:r>
          </w:p>
        </w:tc>
        <w:tc>
          <w:tcPr>
            <w:tcW w:w="1142" w:type="pct"/>
            <w:vMerge w:val="restart"/>
            <w:tcBorders>
              <w:tl2br w:val="nil"/>
              <w:tr2bl w:val="nil"/>
            </w:tcBorders>
            <w:noWrap/>
            <w:vAlign w:val="center"/>
          </w:tcPr>
          <w:p w14:paraId="5594C982">
            <w:pPr>
              <w:widowControl/>
              <w:spacing w:line="240" w:lineRule="auto"/>
              <w:ind w:firstLine="0" w:firstLineChars="0"/>
              <w:jc w:val="center"/>
              <w:rPr>
                <w:b/>
                <w:color w:val="auto"/>
                <w:kern w:val="0"/>
                <w:sz w:val="21"/>
                <w:szCs w:val="21"/>
              </w:rPr>
            </w:pPr>
            <w:r>
              <w:rPr>
                <w:b/>
                <w:color w:val="auto"/>
                <w:kern w:val="0"/>
                <w:sz w:val="21"/>
                <w:szCs w:val="21"/>
              </w:rPr>
              <w:t>因子</w:t>
            </w:r>
          </w:p>
        </w:tc>
        <w:tc>
          <w:tcPr>
            <w:tcW w:w="3035" w:type="pct"/>
            <w:gridSpan w:val="3"/>
            <w:tcBorders>
              <w:tl2br w:val="nil"/>
              <w:tr2bl w:val="nil"/>
            </w:tcBorders>
            <w:noWrap/>
            <w:vAlign w:val="center"/>
          </w:tcPr>
          <w:p w14:paraId="4B0EE863">
            <w:pPr>
              <w:widowControl/>
              <w:spacing w:line="240" w:lineRule="auto"/>
              <w:ind w:firstLine="0" w:firstLineChars="0"/>
              <w:jc w:val="center"/>
              <w:rPr>
                <w:b/>
                <w:color w:val="auto"/>
                <w:kern w:val="0"/>
                <w:sz w:val="21"/>
                <w:szCs w:val="21"/>
              </w:rPr>
            </w:pPr>
            <w:r>
              <w:rPr>
                <w:b/>
                <w:color w:val="auto"/>
                <w:kern w:val="0"/>
                <w:sz w:val="21"/>
                <w:szCs w:val="21"/>
              </w:rPr>
              <w:t>浓度(单位：mg/m</w:t>
            </w:r>
            <w:r>
              <w:rPr>
                <w:b/>
                <w:color w:val="auto"/>
                <w:kern w:val="0"/>
                <w:sz w:val="21"/>
                <w:szCs w:val="21"/>
                <w:vertAlign w:val="superscript"/>
              </w:rPr>
              <w:t>3</w:t>
            </w:r>
            <w:r>
              <w:rPr>
                <w:b/>
                <w:color w:val="auto"/>
                <w:kern w:val="0"/>
                <w:sz w:val="21"/>
                <w:szCs w:val="21"/>
              </w:rPr>
              <w:t>，臭气浓度：无量纲)</w:t>
            </w:r>
          </w:p>
        </w:tc>
      </w:tr>
      <w:tr w14:paraId="44F33B7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3A62DCE0">
            <w:pPr>
              <w:widowControl/>
              <w:spacing w:line="240" w:lineRule="auto"/>
              <w:ind w:firstLine="0" w:firstLineChars="0"/>
              <w:jc w:val="center"/>
              <w:rPr>
                <w:b/>
                <w:color w:val="auto"/>
                <w:kern w:val="0"/>
                <w:sz w:val="21"/>
                <w:szCs w:val="21"/>
              </w:rPr>
            </w:pPr>
          </w:p>
        </w:tc>
        <w:tc>
          <w:tcPr>
            <w:tcW w:w="1142" w:type="pct"/>
            <w:vMerge w:val="continue"/>
            <w:tcBorders>
              <w:tl2br w:val="nil"/>
              <w:tr2bl w:val="nil"/>
            </w:tcBorders>
            <w:noWrap/>
            <w:vAlign w:val="center"/>
          </w:tcPr>
          <w:p w14:paraId="7DC057BC">
            <w:pPr>
              <w:widowControl/>
              <w:spacing w:line="240" w:lineRule="auto"/>
              <w:ind w:firstLine="0" w:firstLineChars="0"/>
              <w:jc w:val="center"/>
              <w:rPr>
                <w:b/>
                <w:color w:val="auto"/>
                <w:kern w:val="0"/>
                <w:sz w:val="21"/>
                <w:szCs w:val="21"/>
              </w:rPr>
            </w:pPr>
          </w:p>
        </w:tc>
        <w:tc>
          <w:tcPr>
            <w:tcW w:w="1416" w:type="pct"/>
            <w:tcBorders>
              <w:tl2br w:val="nil"/>
              <w:tr2bl w:val="nil"/>
            </w:tcBorders>
            <w:noWrap/>
            <w:vAlign w:val="center"/>
          </w:tcPr>
          <w:p w14:paraId="3B32875E">
            <w:pPr>
              <w:widowControl/>
              <w:spacing w:line="240" w:lineRule="auto"/>
              <w:ind w:firstLine="0" w:firstLineChars="0"/>
              <w:jc w:val="center"/>
              <w:rPr>
                <w:b/>
                <w:color w:val="auto"/>
                <w:kern w:val="0"/>
                <w:sz w:val="21"/>
                <w:szCs w:val="21"/>
              </w:rPr>
            </w:pPr>
            <w:r>
              <w:rPr>
                <w:b/>
                <w:color w:val="auto"/>
                <w:kern w:val="0"/>
                <w:sz w:val="21"/>
                <w:szCs w:val="21"/>
              </w:rPr>
              <w:t>检测值</w:t>
            </w:r>
          </w:p>
        </w:tc>
        <w:tc>
          <w:tcPr>
            <w:tcW w:w="771" w:type="pct"/>
            <w:tcBorders>
              <w:tl2br w:val="nil"/>
              <w:tr2bl w:val="nil"/>
            </w:tcBorders>
            <w:vAlign w:val="center"/>
          </w:tcPr>
          <w:p w14:paraId="1C7FF8F8">
            <w:pPr>
              <w:widowControl/>
              <w:spacing w:line="240" w:lineRule="auto"/>
              <w:ind w:firstLine="0" w:firstLineChars="0"/>
              <w:jc w:val="center"/>
              <w:rPr>
                <w:b/>
                <w:color w:val="auto"/>
                <w:kern w:val="0"/>
                <w:sz w:val="21"/>
                <w:szCs w:val="21"/>
              </w:rPr>
            </w:pPr>
            <w:r>
              <w:rPr>
                <w:b/>
                <w:color w:val="auto"/>
                <w:kern w:val="0"/>
                <w:sz w:val="21"/>
                <w:szCs w:val="21"/>
              </w:rPr>
              <w:t>排放标准</w:t>
            </w:r>
          </w:p>
        </w:tc>
        <w:tc>
          <w:tcPr>
            <w:tcW w:w="848" w:type="pct"/>
            <w:tcBorders>
              <w:tl2br w:val="nil"/>
              <w:tr2bl w:val="nil"/>
            </w:tcBorders>
            <w:noWrap/>
            <w:vAlign w:val="center"/>
          </w:tcPr>
          <w:p w14:paraId="747EF112">
            <w:pPr>
              <w:widowControl/>
              <w:spacing w:line="240" w:lineRule="auto"/>
              <w:ind w:firstLine="0" w:firstLineChars="0"/>
              <w:jc w:val="center"/>
              <w:rPr>
                <w:b/>
                <w:color w:val="auto"/>
                <w:kern w:val="0"/>
                <w:sz w:val="21"/>
                <w:szCs w:val="21"/>
              </w:rPr>
            </w:pPr>
            <w:r>
              <w:rPr>
                <w:b/>
                <w:color w:val="auto"/>
                <w:kern w:val="0"/>
                <w:sz w:val="21"/>
                <w:szCs w:val="21"/>
              </w:rPr>
              <w:t>达标</w:t>
            </w:r>
            <w:r>
              <w:rPr>
                <w:rFonts w:hint="eastAsia"/>
                <w:b/>
                <w:color w:val="auto"/>
                <w:kern w:val="0"/>
                <w:sz w:val="21"/>
                <w:szCs w:val="21"/>
              </w:rPr>
              <w:t>分析</w:t>
            </w:r>
          </w:p>
        </w:tc>
      </w:tr>
      <w:tr w14:paraId="6BF2172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000" w:type="pct"/>
            <w:gridSpan w:val="5"/>
            <w:tcBorders>
              <w:tl2br w:val="nil"/>
              <w:tr2bl w:val="nil"/>
            </w:tcBorders>
            <w:noWrap/>
            <w:vAlign w:val="center"/>
          </w:tcPr>
          <w:p w14:paraId="71DCE814">
            <w:pPr>
              <w:widowControl/>
              <w:spacing w:line="240" w:lineRule="auto"/>
              <w:ind w:firstLine="0" w:firstLineChars="0"/>
              <w:jc w:val="center"/>
              <w:rPr>
                <w:b/>
                <w:color w:val="auto"/>
                <w:kern w:val="0"/>
                <w:sz w:val="21"/>
                <w:szCs w:val="21"/>
              </w:rPr>
            </w:pPr>
            <w:r>
              <w:rPr>
                <w:rFonts w:hint="eastAsia"/>
                <w:b/>
                <w:color w:val="auto"/>
                <w:kern w:val="0"/>
                <w:sz w:val="21"/>
                <w:szCs w:val="21"/>
              </w:rPr>
              <w:t>厂界下风向</w:t>
            </w:r>
          </w:p>
        </w:tc>
      </w:tr>
      <w:tr w14:paraId="587CD92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restart"/>
            <w:tcBorders>
              <w:tl2br w:val="nil"/>
              <w:tr2bl w:val="nil"/>
            </w:tcBorders>
            <w:noWrap/>
            <w:vAlign w:val="center"/>
          </w:tcPr>
          <w:p w14:paraId="4AE2E289">
            <w:pPr>
              <w:widowControl/>
              <w:spacing w:line="240" w:lineRule="auto"/>
              <w:ind w:firstLine="0" w:firstLineChars="0"/>
              <w:jc w:val="center"/>
              <w:rPr>
                <w:bCs/>
                <w:color w:val="auto"/>
                <w:kern w:val="0"/>
                <w:sz w:val="21"/>
                <w:szCs w:val="21"/>
              </w:rPr>
            </w:pPr>
            <w:r>
              <w:rPr>
                <w:bCs/>
                <w:color w:val="auto"/>
                <w:kern w:val="0"/>
                <w:sz w:val="21"/>
                <w:szCs w:val="21"/>
              </w:rPr>
              <w:t>202</w:t>
            </w:r>
            <w:r>
              <w:rPr>
                <w:rFonts w:hint="eastAsia"/>
                <w:bCs/>
                <w:color w:val="auto"/>
                <w:kern w:val="0"/>
                <w:sz w:val="21"/>
                <w:szCs w:val="21"/>
              </w:rPr>
              <w:t>5</w:t>
            </w:r>
            <w:r>
              <w:rPr>
                <w:bCs/>
                <w:color w:val="auto"/>
                <w:kern w:val="0"/>
                <w:sz w:val="21"/>
                <w:szCs w:val="21"/>
              </w:rPr>
              <w:t>.</w:t>
            </w:r>
            <w:r>
              <w:rPr>
                <w:rFonts w:hint="eastAsia"/>
                <w:bCs/>
                <w:color w:val="auto"/>
                <w:kern w:val="0"/>
                <w:sz w:val="21"/>
                <w:szCs w:val="21"/>
              </w:rPr>
              <w:t>4</w:t>
            </w:r>
            <w:r>
              <w:rPr>
                <w:bCs/>
                <w:color w:val="auto"/>
                <w:kern w:val="0"/>
                <w:sz w:val="21"/>
                <w:szCs w:val="21"/>
              </w:rPr>
              <w:t>.</w:t>
            </w:r>
            <w:r>
              <w:rPr>
                <w:rFonts w:hint="eastAsia"/>
                <w:bCs/>
                <w:color w:val="auto"/>
                <w:kern w:val="0"/>
                <w:sz w:val="21"/>
                <w:szCs w:val="21"/>
              </w:rPr>
              <w:t>11</w:t>
            </w:r>
          </w:p>
        </w:tc>
        <w:tc>
          <w:tcPr>
            <w:tcW w:w="1142" w:type="pct"/>
            <w:tcBorders>
              <w:tl2br w:val="nil"/>
              <w:tr2bl w:val="nil"/>
            </w:tcBorders>
            <w:noWrap/>
            <w:vAlign w:val="center"/>
          </w:tcPr>
          <w:p w14:paraId="7D19772F">
            <w:pPr>
              <w:widowControl/>
              <w:spacing w:line="240" w:lineRule="auto"/>
              <w:ind w:firstLine="0" w:firstLineChars="0"/>
              <w:jc w:val="center"/>
              <w:rPr>
                <w:bCs/>
                <w:color w:val="auto"/>
                <w:kern w:val="0"/>
                <w:sz w:val="21"/>
                <w:szCs w:val="21"/>
              </w:rPr>
            </w:pPr>
            <w:r>
              <w:rPr>
                <w:bCs/>
                <w:color w:val="auto"/>
                <w:kern w:val="0"/>
                <w:sz w:val="21"/>
                <w:szCs w:val="21"/>
              </w:rPr>
              <w:t>颗粒物</w:t>
            </w:r>
          </w:p>
        </w:tc>
        <w:tc>
          <w:tcPr>
            <w:tcW w:w="1416" w:type="pct"/>
            <w:tcBorders>
              <w:tl2br w:val="nil"/>
              <w:tr2bl w:val="nil"/>
            </w:tcBorders>
            <w:noWrap/>
            <w:vAlign w:val="center"/>
          </w:tcPr>
          <w:p w14:paraId="3A425EE2">
            <w:pPr>
              <w:widowControl/>
              <w:spacing w:line="240" w:lineRule="auto"/>
              <w:ind w:firstLine="0" w:firstLineChars="0"/>
              <w:jc w:val="center"/>
              <w:rPr>
                <w:bCs/>
                <w:color w:val="auto"/>
                <w:kern w:val="0"/>
                <w:sz w:val="21"/>
                <w:szCs w:val="21"/>
              </w:rPr>
            </w:pPr>
            <w:r>
              <w:rPr>
                <w:rFonts w:hint="eastAsia"/>
                <w:bCs/>
                <w:color w:val="auto"/>
                <w:kern w:val="0"/>
                <w:sz w:val="21"/>
                <w:szCs w:val="21"/>
              </w:rPr>
              <w:t>0.258~0.44</w:t>
            </w:r>
          </w:p>
        </w:tc>
        <w:tc>
          <w:tcPr>
            <w:tcW w:w="771" w:type="pct"/>
            <w:tcBorders>
              <w:tl2br w:val="nil"/>
              <w:tr2bl w:val="nil"/>
            </w:tcBorders>
            <w:vAlign w:val="center"/>
          </w:tcPr>
          <w:p w14:paraId="1F3EE98F">
            <w:pPr>
              <w:widowControl/>
              <w:spacing w:line="240" w:lineRule="auto"/>
              <w:ind w:firstLine="0" w:firstLineChars="0"/>
              <w:jc w:val="center"/>
              <w:rPr>
                <w:bCs/>
                <w:color w:val="auto"/>
                <w:kern w:val="0"/>
                <w:sz w:val="21"/>
                <w:szCs w:val="21"/>
              </w:rPr>
            </w:pPr>
            <w:r>
              <w:rPr>
                <w:bCs/>
                <w:color w:val="auto"/>
                <w:kern w:val="0"/>
                <w:sz w:val="21"/>
                <w:szCs w:val="21"/>
              </w:rPr>
              <w:t>0.5</w:t>
            </w:r>
          </w:p>
        </w:tc>
        <w:tc>
          <w:tcPr>
            <w:tcW w:w="848" w:type="pct"/>
            <w:tcBorders>
              <w:tl2br w:val="nil"/>
              <w:tr2bl w:val="nil"/>
            </w:tcBorders>
            <w:noWrap/>
            <w:vAlign w:val="center"/>
          </w:tcPr>
          <w:p w14:paraId="4B92C42D">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27469D6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73A812F5">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19801599">
            <w:pPr>
              <w:widowControl/>
              <w:spacing w:line="240" w:lineRule="auto"/>
              <w:ind w:firstLine="0" w:firstLineChars="0"/>
              <w:jc w:val="center"/>
              <w:rPr>
                <w:bCs/>
                <w:color w:val="auto"/>
                <w:kern w:val="0"/>
                <w:sz w:val="21"/>
                <w:szCs w:val="21"/>
              </w:rPr>
            </w:pPr>
            <w:r>
              <w:rPr>
                <w:bCs/>
                <w:color w:val="auto"/>
                <w:kern w:val="0"/>
                <w:sz w:val="21"/>
                <w:szCs w:val="21"/>
              </w:rPr>
              <w:t>氨</w:t>
            </w:r>
          </w:p>
        </w:tc>
        <w:tc>
          <w:tcPr>
            <w:tcW w:w="1416" w:type="pct"/>
            <w:tcBorders>
              <w:tl2br w:val="nil"/>
              <w:tr2bl w:val="nil"/>
            </w:tcBorders>
            <w:noWrap/>
            <w:vAlign w:val="center"/>
          </w:tcPr>
          <w:p w14:paraId="5473E092">
            <w:pPr>
              <w:widowControl/>
              <w:spacing w:line="240" w:lineRule="auto"/>
              <w:ind w:firstLine="0" w:firstLineChars="0"/>
              <w:jc w:val="center"/>
              <w:rPr>
                <w:bCs/>
                <w:color w:val="auto"/>
                <w:kern w:val="0"/>
                <w:sz w:val="21"/>
                <w:szCs w:val="21"/>
              </w:rPr>
            </w:pPr>
            <w:r>
              <w:rPr>
                <w:rFonts w:hint="eastAsia"/>
                <w:bCs/>
                <w:color w:val="auto"/>
                <w:kern w:val="0"/>
                <w:sz w:val="21"/>
                <w:szCs w:val="21"/>
              </w:rPr>
              <w:t>0.05~0.14</w:t>
            </w:r>
          </w:p>
        </w:tc>
        <w:tc>
          <w:tcPr>
            <w:tcW w:w="771" w:type="pct"/>
            <w:tcBorders>
              <w:tl2br w:val="nil"/>
              <w:tr2bl w:val="nil"/>
            </w:tcBorders>
            <w:vAlign w:val="center"/>
          </w:tcPr>
          <w:p w14:paraId="4BD07BD9">
            <w:pPr>
              <w:widowControl/>
              <w:spacing w:line="240" w:lineRule="auto"/>
              <w:ind w:firstLine="0" w:firstLineChars="0"/>
              <w:jc w:val="center"/>
              <w:rPr>
                <w:bCs/>
                <w:color w:val="auto"/>
                <w:kern w:val="0"/>
                <w:sz w:val="21"/>
                <w:szCs w:val="21"/>
              </w:rPr>
            </w:pPr>
            <w:r>
              <w:rPr>
                <w:bCs/>
                <w:color w:val="auto"/>
                <w:kern w:val="0"/>
                <w:sz w:val="21"/>
                <w:szCs w:val="21"/>
              </w:rPr>
              <w:t>0.3</w:t>
            </w:r>
          </w:p>
        </w:tc>
        <w:tc>
          <w:tcPr>
            <w:tcW w:w="848" w:type="pct"/>
            <w:tcBorders>
              <w:tl2br w:val="nil"/>
              <w:tr2bl w:val="nil"/>
            </w:tcBorders>
            <w:noWrap/>
            <w:vAlign w:val="center"/>
          </w:tcPr>
          <w:p w14:paraId="72E56752">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3899F32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7699BADD">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6796917A">
            <w:pPr>
              <w:widowControl/>
              <w:spacing w:line="240" w:lineRule="auto"/>
              <w:ind w:firstLine="0" w:firstLineChars="0"/>
              <w:jc w:val="center"/>
              <w:rPr>
                <w:bCs/>
                <w:color w:val="auto"/>
                <w:kern w:val="0"/>
                <w:sz w:val="21"/>
                <w:szCs w:val="21"/>
              </w:rPr>
            </w:pPr>
            <w:r>
              <w:rPr>
                <w:rFonts w:hint="eastAsia"/>
                <w:bCs/>
                <w:color w:val="auto"/>
                <w:kern w:val="0"/>
                <w:sz w:val="21"/>
                <w:szCs w:val="21"/>
              </w:rPr>
              <w:t>氯化氢</w:t>
            </w:r>
          </w:p>
        </w:tc>
        <w:tc>
          <w:tcPr>
            <w:tcW w:w="1416" w:type="pct"/>
            <w:tcBorders>
              <w:tl2br w:val="nil"/>
              <w:tr2bl w:val="nil"/>
            </w:tcBorders>
            <w:noWrap/>
            <w:vAlign w:val="center"/>
          </w:tcPr>
          <w:p w14:paraId="5364E7EF">
            <w:pPr>
              <w:widowControl/>
              <w:spacing w:line="240" w:lineRule="auto"/>
              <w:ind w:firstLine="0" w:firstLineChars="0"/>
              <w:jc w:val="center"/>
              <w:rPr>
                <w:bCs/>
                <w:color w:val="auto"/>
                <w:kern w:val="0"/>
                <w:sz w:val="21"/>
                <w:szCs w:val="21"/>
              </w:rPr>
            </w:pPr>
            <w:r>
              <w:rPr>
                <w:rFonts w:hint="eastAsia"/>
                <w:bCs/>
                <w:color w:val="auto"/>
                <w:kern w:val="0"/>
                <w:sz w:val="21"/>
                <w:szCs w:val="21"/>
              </w:rPr>
              <w:t>ND</w:t>
            </w:r>
          </w:p>
        </w:tc>
        <w:tc>
          <w:tcPr>
            <w:tcW w:w="771" w:type="pct"/>
            <w:tcBorders>
              <w:tl2br w:val="nil"/>
              <w:tr2bl w:val="nil"/>
            </w:tcBorders>
            <w:vAlign w:val="center"/>
          </w:tcPr>
          <w:p w14:paraId="663CA331">
            <w:pPr>
              <w:widowControl/>
              <w:spacing w:line="240" w:lineRule="auto"/>
              <w:ind w:firstLine="0" w:firstLineChars="0"/>
              <w:jc w:val="center"/>
              <w:rPr>
                <w:bCs/>
                <w:color w:val="auto"/>
                <w:kern w:val="0"/>
                <w:sz w:val="21"/>
                <w:szCs w:val="21"/>
              </w:rPr>
            </w:pPr>
            <w:r>
              <w:rPr>
                <w:rFonts w:hint="eastAsia"/>
                <w:bCs/>
                <w:color w:val="auto"/>
                <w:kern w:val="0"/>
                <w:sz w:val="21"/>
                <w:szCs w:val="21"/>
              </w:rPr>
              <w:t>0.05</w:t>
            </w:r>
          </w:p>
        </w:tc>
        <w:tc>
          <w:tcPr>
            <w:tcW w:w="848" w:type="pct"/>
            <w:tcBorders>
              <w:tl2br w:val="nil"/>
              <w:tr2bl w:val="nil"/>
            </w:tcBorders>
            <w:noWrap/>
            <w:vAlign w:val="center"/>
          </w:tcPr>
          <w:p w14:paraId="4802BDFE">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3BBC971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1C71E96D">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7F7719B4">
            <w:pPr>
              <w:widowControl/>
              <w:spacing w:line="240" w:lineRule="auto"/>
              <w:ind w:firstLine="0" w:firstLineChars="0"/>
              <w:jc w:val="center"/>
              <w:rPr>
                <w:bCs/>
                <w:color w:val="auto"/>
                <w:kern w:val="0"/>
                <w:sz w:val="21"/>
                <w:szCs w:val="21"/>
              </w:rPr>
            </w:pPr>
            <w:r>
              <w:rPr>
                <w:bCs/>
                <w:color w:val="auto"/>
                <w:kern w:val="0"/>
                <w:sz w:val="21"/>
                <w:szCs w:val="21"/>
              </w:rPr>
              <w:t>氮氧化物</w:t>
            </w:r>
          </w:p>
        </w:tc>
        <w:tc>
          <w:tcPr>
            <w:tcW w:w="1416" w:type="pct"/>
            <w:tcBorders>
              <w:tl2br w:val="nil"/>
              <w:tr2bl w:val="nil"/>
            </w:tcBorders>
            <w:noWrap/>
            <w:vAlign w:val="center"/>
          </w:tcPr>
          <w:p w14:paraId="5293B694">
            <w:pPr>
              <w:widowControl/>
              <w:spacing w:line="240" w:lineRule="auto"/>
              <w:ind w:firstLine="0" w:firstLineChars="0"/>
              <w:jc w:val="center"/>
              <w:rPr>
                <w:bCs/>
                <w:color w:val="auto"/>
                <w:kern w:val="0"/>
                <w:sz w:val="21"/>
                <w:szCs w:val="21"/>
              </w:rPr>
            </w:pPr>
            <w:r>
              <w:rPr>
                <w:rFonts w:hint="eastAsia"/>
                <w:bCs/>
                <w:color w:val="auto"/>
                <w:kern w:val="0"/>
                <w:sz w:val="21"/>
                <w:szCs w:val="21"/>
              </w:rPr>
              <w:t>0.084~0.109</w:t>
            </w:r>
          </w:p>
        </w:tc>
        <w:tc>
          <w:tcPr>
            <w:tcW w:w="771" w:type="pct"/>
            <w:tcBorders>
              <w:tl2br w:val="nil"/>
              <w:tr2bl w:val="nil"/>
            </w:tcBorders>
            <w:vAlign w:val="center"/>
          </w:tcPr>
          <w:p w14:paraId="1A679A3B">
            <w:pPr>
              <w:widowControl/>
              <w:spacing w:line="240" w:lineRule="auto"/>
              <w:ind w:firstLine="0" w:firstLineChars="0"/>
              <w:jc w:val="center"/>
              <w:rPr>
                <w:bCs/>
                <w:color w:val="auto"/>
                <w:kern w:val="0"/>
                <w:sz w:val="21"/>
                <w:szCs w:val="21"/>
              </w:rPr>
            </w:pPr>
            <w:r>
              <w:rPr>
                <w:bCs/>
                <w:color w:val="auto"/>
                <w:kern w:val="0"/>
                <w:sz w:val="21"/>
                <w:szCs w:val="21"/>
              </w:rPr>
              <w:t>0.12</w:t>
            </w:r>
          </w:p>
        </w:tc>
        <w:tc>
          <w:tcPr>
            <w:tcW w:w="848" w:type="pct"/>
            <w:tcBorders>
              <w:tl2br w:val="nil"/>
              <w:tr2bl w:val="nil"/>
            </w:tcBorders>
            <w:noWrap/>
            <w:vAlign w:val="center"/>
          </w:tcPr>
          <w:p w14:paraId="00A16003">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20C7990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6865FFE1">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3FF5DDA5">
            <w:pPr>
              <w:widowControl/>
              <w:spacing w:line="240" w:lineRule="auto"/>
              <w:ind w:firstLine="0" w:firstLineChars="0"/>
              <w:jc w:val="center"/>
              <w:rPr>
                <w:bCs/>
                <w:color w:val="auto"/>
                <w:kern w:val="0"/>
                <w:sz w:val="21"/>
                <w:szCs w:val="21"/>
              </w:rPr>
            </w:pPr>
            <w:r>
              <w:rPr>
                <w:bCs/>
                <w:color w:val="auto"/>
                <w:kern w:val="0"/>
                <w:sz w:val="21"/>
                <w:szCs w:val="21"/>
              </w:rPr>
              <w:t>二氧化硫</w:t>
            </w:r>
          </w:p>
        </w:tc>
        <w:tc>
          <w:tcPr>
            <w:tcW w:w="1416" w:type="pct"/>
            <w:tcBorders>
              <w:tl2br w:val="nil"/>
              <w:tr2bl w:val="nil"/>
            </w:tcBorders>
            <w:noWrap/>
            <w:vAlign w:val="center"/>
          </w:tcPr>
          <w:p w14:paraId="2D0FDCB9">
            <w:pPr>
              <w:widowControl/>
              <w:spacing w:line="240" w:lineRule="auto"/>
              <w:ind w:firstLine="0" w:firstLineChars="0"/>
              <w:jc w:val="center"/>
              <w:rPr>
                <w:bCs/>
                <w:color w:val="auto"/>
                <w:kern w:val="0"/>
                <w:sz w:val="21"/>
                <w:szCs w:val="21"/>
              </w:rPr>
            </w:pPr>
            <w:r>
              <w:rPr>
                <w:bCs/>
                <w:color w:val="auto"/>
                <w:kern w:val="0"/>
                <w:sz w:val="21"/>
                <w:szCs w:val="21"/>
              </w:rPr>
              <w:t>0.0</w:t>
            </w:r>
            <w:r>
              <w:rPr>
                <w:rFonts w:hint="eastAsia"/>
                <w:bCs/>
                <w:color w:val="auto"/>
                <w:kern w:val="0"/>
                <w:sz w:val="21"/>
                <w:szCs w:val="21"/>
              </w:rPr>
              <w:t>07</w:t>
            </w:r>
            <w:r>
              <w:rPr>
                <w:bCs/>
                <w:color w:val="auto"/>
                <w:kern w:val="0"/>
                <w:sz w:val="21"/>
                <w:szCs w:val="21"/>
              </w:rPr>
              <w:t>~0.0</w:t>
            </w:r>
            <w:r>
              <w:rPr>
                <w:rFonts w:hint="eastAsia"/>
                <w:bCs/>
                <w:color w:val="auto"/>
                <w:kern w:val="0"/>
                <w:sz w:val="21"/>
                <w:szCs w:val="21"/>
              </w:rPr>
              <w:t>2</w:t>
            </w:r>
          </w:p>
        </w:tc>
        <w:tc>
          <w:tcPr>
            <w:tcW w:w="771" w:type="pct"/>
            <w:tcBorders>
              <w:tl2br w:val="nil"/>
              <w:tr2bl w:val="nil"/>
            </w:tcBorders>
            <w:vAlign w:val="center"/>
          </w:tcPr>
          <w:p w14:paraId="54937441">
            <w:pPr>
              <w:widowControl/>
              <w:spacing w:line="240" w:lineRule="auto"/>
              <w:ind w:firstLine="0" w:firstLineChars="0"/>
              <w:jc w:val="center"/>
              <w:rPr>
                <w:bCs/>
                <w:color w:val="auto"/>
                <w:kern w:val="0"/>
                <w:sz w:val="21"/>
                <w:szCs w:val="21"/>
              </w:rPr>
            </w:pPr>
            <w:r>
              <w:rPr>
                <w:bCs/>
                <w:color w:val="auto"/>
                <w:kern w:val="0"/>
                <w:sz w:val="21"/>
                <w:szCs w:val="21"/>
              </w:rPr>
              <w:t>0.4</w:t>
            </w:r>
          </w:p>
        </w:tc>
        <w:tc>
          <w:tcPr>
            <w:tcW w:w="848" w:type="pct"/>
            <w:tcBorders>
              <w:tl2br w:val="nil"/>
              <w:tr2bl w:val="nil"/>
            </w:tcBorders>
            <w:noWrap/>
            <w:vAlign w:val="center"/>
          </w:tcPr>
          <w:p w14:paraId="37DFD3A8">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4C73791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2446F9A3">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51E3B65C">
            <w:pPr>
              <w:widowControl/>
              <w:spacing w:line="240" w:lineRule="auto"/>
              <w:ind w:firstLine="0" w:firstLineChars="0"/>
              <w:jc w:val="center"/>
              <w:rPr>
                <w:bCs/>
                <w:color w:val="auto"/>
                <w:kern w:val="0"/>
                <w:sz w:val="21"/>
                <w:szCs w:val="21"/>
              </w:rPr>
            </w:pPr>
            <w:r>
              <w:rPr>
                <w:rFonts w:hint="eastAsia"/>
                <w:bCs/>
                <w:color w:val="auto"/>
                <w:kern w:val="0"/>
                <w:sz w:val="21"/>
                <w:szCs w:val="21"/>
              </w:rPr>
              <w:t>苯胺类</w:t>
            </w:r>
          </w:p>
        </w:tc>
        <w:tc>
          <w:tcPr>
            <w:tcW w:w="1416" w:type="pct"/>
            <w:tcBorders>
              <w:tl2br w:val="nil"/>
              <w:tr2bl w:val="nil"/>
            </w:tcBorders>
            <w:noWrap/>
            <w:vAlign w:val="center"/>
          </w:tcPr>
          <w:p w14:paraId="1B041A2E">
            <w:pPr>
              <w:widowControl/>
              <w:spacing w:line="240" w:lineRule="auto"/>
              <w:ind w:firstLine="0" w:firstLineChars="0"/>
              <w:jc w:val="center"/>
              <w:rPr>
                <w:bCs/>
                <w:color w:val="auto"/>
                <w:kern w:val="0"/>
                <w:sz w:val="21"/>
                <w:szCs w:val="21"/>
              </w:rPr>
            </w:pPr>
            <w:r>
              <w:rPr>
                <w:rFonts w:hint="eastAsia"/>
                <w:bCs/>
                <w:color w:val="auto"/>
                <w:kern w:val="0"/>
                <w:sz w:val="21"/>
                <w:szCs w:val="21"/>
              </w:rPr>
              <w:t>ND</w:t>
            </w:r>
          </w:p>
        </w:tc>
        <w:tc>
          <w:tcPr>
            <w:tcW w:w="771" w:type="pct"/>
            <w:tcBorders>
              <w:tl2br w:val="nil"/>
              <w:tr2bl w:val="nil"/>
            </w:tcBorders>
            <w:vAlign w:val="center"/>
          </w:tcPr>
          <w:p w14:paraId="076D0878">
            <w:pPr>
              <w:widowControl/>
              <w:spacing w:line="240" w:lineRule="auto"/>
              <w:ind w:firstLine="0" w:firstLineChars="0"/>
              <w:jc w:val="center"/>
              <w:rPr>
                <w:bCs/>
                <w:color w:val="auto"/>
                <w:kern w:val="0"/>
                <w:sz w:val="21"/>
                <w:szCs w:val="21"/>
              </w:rPr>
            </w:pPr>
            <w:r>
              <w:rPr>
                <w:rFonts w:hint="eastAsia"/>
                <w:bCs/>
                <w:color w:val="auto"/>
                <w:kern w:val="0"/>
                <w:sz w:val="21"/>
                <w:szCs w:val="21"/>
              </w:rPr>
              <w:t>0.1</w:t>
            </w:r>
          </w:p>
        </w:tc>
        <w:tc>
          <w:tcPr>
            <w:tcW w:w="848" w:type="pct"/>
            <w:tcBorders>
              <w:tl2br w:val="nil"/>
              <w:tr2bl w:val="nil"/>
            </w:tcBorders>
            <w:noWrap/>
            <w:vAlign w:val="center"/>
          </w:tcPr>
          <w:p w14:paraId="7CEA8815">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0DE2FAF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04F8BA07">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55055624">
            <w:pPr>
              <w:widowControl/>
              <w:spacing w:line="240" w:lineRule="auto"/>
              <w:ind w:firstLine="0" w:firstLineChars="0"/>
              <w:jc w:val="center"/>
              <w:rPr>
                <w:bCs/>
                <w:color w:val="auto"/>
                <w:kern w:val="0"/>
                <w:sz w:val="21"/>
                <w:szCs w:val="21"/>
              </w:rPr>
            </w:pPr>
            <w:r>
              <w:rPr>
                <w:bCs/>
                <w:color w:val="auto"/>
                <w:kern w:val="0"/>
                <w:sz w:val="21"/>
                <w:szCs w:val="21"/>
              </w:rPr>
              <w:t>非甲烷总烃</w:t>
            </w:r>
          </w:p>
        </w:tc>
        <w:tc>
          <w:tcPr>
            <w:tcW w:w="1416" w:type="pct"/>
            <w:tcBorders>
              <w:tl2br w:val="nil"/>
              <w:tr2bl w:val="nil"/>
            </w:tcBorders>
            <w:noWrap/>
            <w:vAlign w:val="center"/>
          </w:tcPr>
          <w:p w14:paraId="006B63CA">
            <w:pPr>
              <w:widowControl/>
              <w:spacing w:line="240" w:lineRule="auto"/>
              <w:ind w:firstLine="0" w:firstLineChars="0"/>
              <w:jc w:val="center"/>
              <w:rPr>
                <w:bCs/>
                <w:color w:val="auto"/>
                <w:kern w:val="0"/>
                <w:sz w:val="21"/>
                <w:szCs w:val="21"/>
              </w:rPr>
            </w:pPr>
            <w:r>
              <w:rPr>
                <w:bCs/>
                <w:color w:val="auto"/>
                <w:kern w:val="0"/>
                <w:sz w:val="21"/>
                <w:szCs w:val="21"/>
              </w:rPr>
              <w:t>0.</w:t>
            </w:r>
            <w:r>
              <w:rPr>
                <w:rFonts w:hint="eastAsia"/>
                <w:bCs/>
                <w:color w:val="auto"/>
                <w:kern w:val="0"/>
                <w:sz w:val="21"/>
                <w:szCs w:val="21"/>
              </w:rPr>
              <w:t>34</w:t>
            </w:r>
            <w:r>
              <w:rPr>
                <w:bCs/>
                <w:color w:val="auto"/>
                <w:kern w:val="0"/>
                <w:sz w:val="21"/>
                <w:szCs w:val="21"/>
              </w:rPr>
              <w:t>~0.</w:t>
            </w:r>
            <w:r>
              <w:rPr>
                <w:rFonts w:hint="eastAsia"/>
                <w:bCs/>
                <w:color w:val="auto"/>
                <w:kern w:val="0"/>
                <w:sz w:val="21"/>
                <w:szCs w:val="21"/>
              </w:rPr>
              <w:t>77</w:t>
            </w:r>
          </w:p>
        </w:tc>
        <w:tc>
          <w:tcPr>
            <w:tcW w:w="771" w:type="pct"/>
            <w:tcBorders>
              <w:tl2br w:val="nil"/>
              <w:tr2bl w:val="nil"/>
            </w:tcBorders>
            <w:vAlign w:val="center"/>
          </w:tcPr>
          <w:p w14:paraId="32DFF8DA">
            <w:pPr>
              <w:widowControl/>
              <w:spacing w:line="240" w:lineRule="auto"/>
              <w:ind w:firstLine="0" w:firstLineChars="0"/>
              <w:jc w:val="center"/>
              <w:rPr>
                <w:bCs/>
                <w:color w:val="auto"/>
                <w:kern w:val="0"/>
                <w:sz w:val="21"/>
                <w:szCs w:val="21"/>
              </w:rPr>
            </w:pPr>
            <w:r>
              <w:rPr>
                <w:bCs/>
                <w:color w:val="auto"/>
                <w:kern w:val="0"/>
                <w:sz w:val="21"/>
                <w:szCs w:val="21"/>
              </w:rPr>
              <w:t>4</w:t>
            </w:r>
          </w:p>
        </w:tc>
        <w:tc>
          <w:tcPr>
            <w:tcW w:w="848" w:type="pct"/>
            <w:tcBorders>
              <w:tl2br w:val="nil"/>
              <w:tr2bl w:val="nil"/>
            </w:tcBorders>
            <w:noWrap/>
            <w:vAlign w:val="center"/>
          </w:tcPr>
          <w:p w14:paraId="555A8D13">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79CD7BE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57C39F6A">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06C787BE">
            <w:pPr>
              <w:widowControl/>
              <w:spacing w:line="240" w:lineRule="auto"/>
              <w:ind w:firstLine="0" w:firstLineChars="0"/>
              <w:jc w:val="center"/>
              <w:rPr>
                <w:bCs/>
                <w:color w:val="auto"/>
                <w:kern w:val="0"/>
                <w:sz w:val="21"/>
                <w:szCs w:val="21"/>
              </w:rPr>
            </w:pPr>
            <w:r>
              <w:rPr>
                <w:bCs/>
                <w:color w:val="auto"/>
                <w:kern w:val="0"/>
                <w:sz w:val="21"/>
                <w:szCs w:val="21"/>
              </w:rPr>
              <w:t>臭气浓度</w:t>
            </w:r>
          </w:p>
        </w:tc>
        <w:tc>
          <w:tcPr>
            <w:tcW w:w="1416" w:type="pct"/>
            <w:tcBorders>
              <w:tl2br w:val="nil"/>
              <w:tr2bl w:val="nil"/>
            </w:tcBorders>
            <w:noWrap/>
            <w:vAlign w:val="center"/>
          </w:tcPr>
          <w:p w14:paraId="70B19281">
            <w:pPr>
              <w:widowControl/>
              <w:spacing w:line="240" w:lineRule="auto"/>
              <w:ind w:firstLine="0" w:firstLineChars="0"/>
              <w:jc w:val="center"/>
              <w:rPr>
                <w:bCs/>
                <w:color w:val="auto"/>
                <w:kern w:val="0"/>
                <w:sz w:val="21"/>
                <w:szCs w:val="21"/>
              </w:rPr>
            </w:pPr>
            <w:r>
              <w:rPr>
                <w:bCs/>
                <w:color w:val="auto"/>
                <w:kern w:val="0"/>
                <w:sz w:val="21"/>
                <w:szCs w:val="21"/>
              </w:rPr>
              <w:t>1</w:t>
            </w:r>
            <w:r>
              <w:rPr>
                <w:rFonts w:hint="eastAsia"/>
                <w:bCs/>
                <w:color w:val="auto"/>
                <w:kern w:val="0"/>
                <w:sz w:val="21"/>
                <w:szCs w:val="21"/>
              </w:rPr>
              <w:t>3</w:t>
            </w:r>
            <w:r>
              <w:rPr>
                <w:bCs/>
                <w:color w:val="auto"/>
                <w:kern w:val="0"/>
                <w:sz w:val="21"/>
                <w:szCs w:val="21"/>
              </w:rPr>
              <w:t>~1</w:t>
            </w:r>
            <w:r>
              <w:rPr>
                <w:rFonts w:hint="eastAsia"/>
                <w:bCs/>
                <w:color w:val="auto"/>
                <w:kern w:val="0"/>
                <w:sz w:val="21"/>
                <w:szCs w:val="21"/>
              </w:rPr>
              <w:t>5</w:t>
            </w:r>
          </w:p>
        </w:tc>
        <w:tc>
          <w:tcPr>
            <w:tcW w:w="771" w:type="pct"/>
            <w:tcBorders>
              <w:tl2br w:val="nil"/>
              <w:tr2bl w:val="nil"/>
            </w:tcBorders>
            <w:vAlign w:val="center"/>
          </w:tcPr>
          <w:p w14:paraId="674E570C">
            <w:pPr>
              <w:widowControl/>
              <w:spacing w:line="240" w:lineRule="auto"/>
              <w:ind w:firstLine="0" w:firstLineChars="0"/>
              <w:jc w:val="center"/>
              <w:rPr>
                <w:bCs/>
                <w:color w:val="auto"/>
                <w:kern w:val="0"/>
                <w:sz w:val="21"/>
                <w:szCs w:val="21"/>
              </w:rPr>
            </w:pPr>
            <w:r>
              <w:rPr>
                <w:bCs/>
                <w:color w:val="auto"/>
                <w:kern w:val="0"/>
                <w:sz w:val="21"/>
                <w:szCs w:val="21"/>
              </w:rPr>
              <w:t>20</w:t>
            </w:r>
            <w:r>
              <w:rPr>
                <w:rFonts w:hint="eastAsia"/>
                <w:bCs/>
                <w:color w:val="auto"/>
                <w:kern w:val="0"/>
                <w:sz w:val="21"/>
                <w:szCs w:val="21"/>
              </w:rPr>
              <w:t>（</w:t>
            </w:r>
            <w:r>
              <w:rPr>
                <w:bCs/>
                <w:color w:val="auto"/>
                <w:kern w:val="0"/>
                <w:sz w:val="21"/>
                <w:szCs w:val="21"/>
              </w:rPr>
              <w:t>无量纲</w:t>
            </w:r>
            <w:r>
              <w:rPr>
                <w:rFonts w:hint="eastAsia"/>
                <w:bCs/>
                <w:color w:val="auto"/>
                <w:kern w:val="0"/>
                <w:sz w:val="21"/>
                <w:szCs w:val="21"/>
              </w:rPr>
              <w:t>）</w:t>
            </w:r>
          </w:p>
        </w:tc>
        <w:tc>
          <w:tcPr>
            <w:tcW w:w="848" w:type="pct"/>
            <w:tcBorders>
              <w:tl2br w:val="nil"/>
              <w:tr2bl w:val="nil"/>
            </w:tcBorders>
            <w:noWrap/>
            <w:vAlign w:val="center"/>
          </w:tcPr>
          <w:p w14:paraId="436E4EB0">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1EE7D56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restart"/>
            <w:tcBorders>
              <w:tl2br w:val="nil"/>
              <w:tr2bl w:val="nil"/>
            </w:tcBorders>
            <w:noWrap/>
            <w:vAlign w:val="center"/>
          </w:tcPr>
          <w:p w14:paraId="576A0C9C">
            <w:pPr>
              <w:widowControl/>
              <w:spacing w:line="240" w:lineRule="auto"/>
              <w:ind w:firstLine="0" w:firstLineChars="0"/>
              <w:jc w:val="center"/>
              <w:rPr>
                <w:bCs/>
                <w:color w:val="auto"/>
                <w:kern w:val="0"/>
                <w:sz w:val="21"/>
                <w:szCs w:val="21"/>
              </w:rPr>
            </w:pPr>
            <w:r>
              <w:rPr>
                <w:rFonts w:hint="eastAsia"/>
                <w:bCs/>
                <w:color w:val="auto"/>
                <w:kern w:val="0"/>
                <w:sz w:val="21"/>
                <w:szCs w:val="21"/>
              </w:rPr>
              <w:t>2025.10.9</w:t>
            </w:r>
          </w:p>
        </w:tc>
        <w:tc>
          <w:tcPr>
            <w:tcW w:w="1142" w:type="pct"/>
            <w:tcBorders>
              <w:tl2br w:val="nil"/>
              <w:tr2bl w:val="nil"/>
            </w:tcBorders>
            <w:noWrap/>
            <w:vAlign w:val="center"/>
          </w:tcPr>
          <w:p w14:paraId="2B058F55">
            <w:pPr>
              <w:widowControl/>
              <w:spacing w:line="240" w:lineRule="auto"/>
              <w:ind w:firstLine="0" w:firstLineChars="0"/>
              <w:jc w:val="center"/>
              <w:rPr>
                <w:bCs/>
                <w:color w:val="auto"/>
                <w:kern w:val="0"/>
                <w:sz w:val="21"/>
                <w:szCs w:val="21"/>
              </w:rPr>
            </w:pPr>
            <w:r>
              <w:rPr>
                <w:bCs/>
                <w:color w:val="auto"/>
                <w:kern w:val="0"/>
                <w:sz w:val="21"/>
                <w:szCs w:val="21"/>
              </w:rPr>
              <w:t>颗粒物</w:t>
            </w:r>
          </w:p>
        </w:tc>
        <w:tc>
          <w:tcPr>
            <w:tcW w:w="1416" w:type="pct"/>
            <w:tcBorders>
              <w:tl2br w:val="nil"/>
              <w:tr2bl w:val="nil"/>
            </w:tcBorders>
            <w:noWrap/>
            <w:vAlign w:val="center"/>
          </w:tcPr>
          <w:p w14:paraId="726E96B6">
            <w:pPr>
              <w:widowControl/>
              <w:spacing w:line="240" w:lineRule="auto"/>
              <w:ind w:firstLine="0" w:firstLineChars="0"/>
              <w:jc w:val="center"/>
              <w:rPr>
                <w:bCs/>
                <w:color w:val="auto"/>
                <w:kern w:val="0"/>
                <w:sz w:val="21"/>
                <w:szCs w:val="21"/>
              </w:rPr>
            </w:pPr>
            <w:r>
              <w:rPr>
                <w:rFonts w:hint="eastAsia"/>
                <w:bCs/>
                <w:color w:val="auto"/>
                <w:kern w:val="0"/>
                <w:sz w:val="21"/>
                <w:szCs w:val="21"/>
              </w:rPr>
              <w:t>0.192~0.364</w:t>
            </w:r>
          </w:p>
        </w:tc>
        <w:tc>
          <w:tcPr>
            <w:tcW w:w="771" w:type="pct"/>
            <w:tcBorders>
              <w:tl2br w:val="nil"/>
              <w:tr2bl w:val="nil"/>
            </w:tcBorders>
            <w:vAlign w:val="center"/>
          </w:tcPr>
          <w:p w14:paraId="5EDDF16D">
            <w:pPr>
              <w:widowControl/>
              <w:spacing w:line="240" w:lineRule="auto"/>
              <w:ind w:firstLine="0" w:firstLineChars="0"/>
              <w:jc w:val="center"/>
              <w:rPr>
                <w:bCs/>
                <w:color w:val="auto"/>
                <w:kern w:val="0"/>
                <w:sz w:val="21"/>
                <w:szCs w:val="21"/>
              </w:rPr>
            </w:pPr>
            <w:r>
              <w:rPr>
                <w:bCs/>
                <w:color w:val="auto"/>
                <w:kern w:val="0"/>
                <w:sz w:val="21"/>
                <w:szCs w:val="21"/>
              </w:rPr>
              <w:t>0.5</w:t>
            </w:r>
          </w:p>
        </w:tc>
        <w:tc>
          <w:tcPr>
            <w:tcW w:w="848" w:type="pct"/>
            <w:tcBorders>
              <w:tl2br w:val="nil"/>
              <w:tr2bl w:val="nil"/>
            </w:tcBorders>
            <w:noWrap/>
            <w:vAlign w:val="center"/>
          </w:tcPr>
          <w:p w14:paraId="13D51927">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55C7A4C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7E7119DA">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7ADB3648">
            <w:pPr>
              <w:widowControl/>
              <w:spacing w:line="240" w:lineRule="auto"/>
              <w:ind w:firstLine="0" w:firstLineChars="0"/>
              <w:jc w:val="center"/>
              <w:rPr>
                <w:bCs/>
                <w:color w:val="auto"/>
                <w:kern w:val="0"/>
                <w:sz w:val="21"/>
                <w:szCs w:val="21"/>
              </w:rPr>
            </w:pPr>
            <w:r>
              <w:rPr>
                <w:bCs/>
                <w:color w:val="auto"/>
                <w:kern w:val="0"/>
                <w:sz w:val="21"/>
                <w:szCs w:val="21"/>
              </w:rPr>
              <w:t>氨</w:t>
            </w:r>
          </w:p>
        </w:tc>
        <w:tc>
          <w:tcPr>
            <w:tcW w:w="1416" w:type="pct"/>
            <w:tcBorders>
              <w:tl2br w:val="nil"/>
              <w:tr2bl w:val="nil"/>
            </w:tcBorders>
            <w:noWrap/>
            <w:vAlign w:val="center"/>
          </w:tcPr>
          <w:p w14:paraId="66B061C6">
            <w:pPr>
              <w:widowControl/>
              <w:spacing w:line="240" w:lineRule="auto"/>
              <w:ind w:firstLine="0" w:firstLineChars="0"/>
              <w:jc w:val="center"/>
              <w:rPr>
                <w:bCs/>
                <w:color w:val="auto"/>
                <w:kern w:val="0"/>
                <w:sz w:val="21"/>
                <w:szCs w:val="21"/>
              </w:rPr>
            </w:pPr>
            <w:r>
              <w:rPr>
                <w:rFonts w:hint="eastAsia"/>
                <w:bCs/>
                <w:color w:val="auto"/>
                <w:kern w:val="0"/>
                <w:sz w:val="21"/>
                <w:szCs w:val="21"/>
              </w:rPr>
              <w:t>0.06~0.13</w:t>
            </w:r>
          </w:p>
        </w:tc>
        <w:tc>
          <w:tcPr>
            <w:tcW w:w="771" w:type="pct"/>
            <w:tcBorders>
              <w:tl2br w:val="nil"/>
              <w:tr2bl w:val="nil"/>
            </w:tcBorders>
            <w:vAlign w:val="center"/>
          </w:tcPr>
          <w:p w14:paraId="6906CC6D">
            <w:pPr>
              <w:widowControl/>
              <w:spacing w:line="240" w:lineRule="auto"/>
              <w:ind w:firstLine="0" w:firstLineChars="0"/>
              <w:jc w:val="center"/>
              <w:rPr>
                <w:bCs/>
                <w:color w:val="auto"/>
                <w:kern w:val="0"/>
                <w:sz w:val="21"/>
                <w:szCs w:val="21"/>
              </w:rPr>
            </w:pPr>
            <w:r>
              <w:rPr>
                <w:bCs/>
                <w:color w:val="auto"/>
                <w:kern w:val="0"/>
                <w:sz w:val="21"/>
                <w:szCs w:val="21"/>
              </w:rPr>
              <w:t>0.3</w:t>
            </w:r>
          </w:p>
        </w:tc>
        <w:tc>
          <w:tcPr>
            <w:tcW w:w="848" w:type="pct"/>
            <w:tcBorders>
              <w:tl2br w:val="nil"/>
              <w:tr2bl w:val="nil"/>
            </w:tcBorders>
            <w:noWrap/>
            <w:vAlign w:val="center"/>
          </w:tcPr>
          <w:p w14:paraId="4854DC29">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6C21681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73A917B8">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2C48B06F">
            <w:pPr>
              <w:widowControl/>
              <w:spacing w:line="240" w:lineRule="auto"/>
              <w:ind w:firstLine="0" w:firstLineChars="0"/>
              <w:jc w:val="center"/>
              <w:rPr>
                <w:bCs/>
                <w:color w:val="auto"/>
                <w:kern w:val="0"/>
                <w:sz w:val="21"/>
                <w:szCs w:val="21"/>
              </w:rPr>
            </w:pPr>
            <w:r>
              <w:rPr>
                <w:rFonts w:hint="eastAsia"/>
                <w:bCs/>
                <w:color w:val="auto"/>
                <w:kern w:val="0"/>
                <w:sz w:val="21"/>
                <w:szCs w:val="21"/>
              </w:rPr>
              <w:t>氯化氢</w:t>
            </w:r>
          </w:p>
        </w:tc>
        <w:tc>
          <w:tcPr>
            <w:tcW w:w="1416" w:type="pct"/>
            <w:tcBorders>
              <w:tl2br w:val="nil"/>
              <w:tr2bl w:val="nil"/>
            </w:tcBorders>
            <w:noWrap/>
            <w:vAlign w:val="center"/>
          </w:tcPr>
          <w:p w14:paraId="61DB8142">
            <w:pPr>
              <w:widowControl/>
              <w:spacing w:line="240" w:lineRule="auto"/>
              <w:ind w:firstLine="0" w:firstLineChars="0"/>
              <w:jc w:val="center"/>
              <w:rPr>
                <w:bCs/>
                <w:color w:val="auto"/>
                <w:kern w:val="0"/>
                <w:sz w:val="21"/>
                <w:szCs w:val="21"/>
              </w:rPr>
            </w:pPr>
            <w:r>
              <w:rPr>
                <w:rFonts w:hint="eastAsia"/>
                <w:bCs/>
                <w:color w:val="auto"/>
                <w:kern w:val="0"/>
                <w:sz w:val="21"/>
                <w:szCs w:val="21"/>
              </w:rPr>
              <w:t>ND</w:t>
            </w:r>
          </w:p>
        </w:tc>
        <w:tc>
          <w:tcPr>
            <w:tcW w:w="771" w:type="pct"/>
            <w:tcBorders>
              <w:tl2br w:val="nil"/>
              <w:tr2bl w:val="nil"/>
            </w:tcBorders>
            <w:vAlign w:val="center"/>
          </w:tcPr>
          <w:p w14:paraId="6FDA8F2C">
            <w:pPr>
              <w:widowControl/>
              <w:spacing w:line="240" w:lineRule="auto"/>
              <w:ind w:firstLine="0" w:firstLineChars="0"/>
              <w:jc w:val="center"/>
              <w:rPr>
                <w:bCs/>
                <w:color w:val="auto"/>
                <w:kern w:val="0"/>
                <w:sz w:val="21"/>
                <w:szCs w:val="21"/>
              </w:rPr>
            </w:pPr>
            <w:r>
              <w:rPr>
                <w:rFonts w:hint="eastAsia"/>
                <w:bCs/>
                <w:color w:val="auto"/>
                <w:kern w:val="0"/>
                <w:sz w:val="21"/>
                <w:szCs w:val="21"/>
              </w:rPr>
              <w:t>0.05</w:t>
            </w:r>
          </w:p>
        </w:tc>
        <w:tc>
          <w:tcPr>
            <w:tcW w:w="848" w:type="pct"/>
            <w:tcBorders>
              <w:tl2br w:val="nil"/>
              <w:tr2bl w:val="nil"/>
            </w:tcBorders>
            <w:noWrap/>
            <w:vAlign w:val="center"/>
          </w:tcPr>
          <w:p w14:paraId="66840AC7">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7920897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530A02D7">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6E82D1A5">
            <w:pPr>
              <w:widowControl/>
              <w:spacing w:line="240" w:lineRule="auto"/>
              <w:ind w:firstLine="0" w:firstLineChars="0"/>
              <w:jc w:val="center"/>
              <w:rPr>
                <w:bCs/>
                <w:color w:val="auto"/>
                <w:kern w:val="0"/>
                <w:sz w:val="21"/>
                <w:szCs w:val="21"/>
              </w:rPr>
            </w:pPr>
            <w:r>
              <w:rPr>
                <w:bCs/>
                <w:color w:val="auto"/>
                <w:kern w:val="0"/>
                <w:sz w:val="21"/>
                <w:szCs w:val="21"/>
              </w:rPr>
              <w:t>氮氧化物</w:t>
            </w:r>
          </w:p>
        </w:tc>
        <w:tc>
          <w:tcPr>
            <w:tcW w:w="1416" w:type="pct"/>
            <w:tcBorders>
              <w:tl2br w:val="nil"/>
              <w:tr2bl w:val="nil"/>
            </w:tcBorders>
            <w:noWrap/>
            <w:vAlign w:val="center"/>
          </w:tcPr>
          <w:p w14:paraId="43784613">
            <w:pPr>
              <w:widowControl/>
              <w:spacing w:line="240" w:lineRule="auto"/>
              <w:ind w:firstLine="0" w:firstLineChars="0"/>
              <w:jc w:val="center"/>
              <w:rPr>
                <w:bCs/>
                <w:color w:val="auto"/>
                <w:kern w:val="0"/>
                <w:sz w:val="21"/>
                <w:szCs w:val="21"/>
              </w:rPr>
            </w:pPr>
            <w:r>
              <w:rPr>
                <w:rFonts w:hint="eastAsia"/>
                <w:bCs/>
                <w:color w:val="auto"/>
                <w:kern w:val="0"/>
                <w:sz w:val="21"/>
                <w:szCs w:val="21"/>
              </w:rPr>
              <w:t>0.087~0.115</w:t>
            </w:r>
          </w:p>
        </w:tc>
        <w:tc>
          <w:tcPr>
            <w:tcW w:w="771" w:type="pct"/>
            <w:tcBorders>
              <w:tl2br w:val="nil"/>
              <w:tr2bl w:val="nil"/>
            </w:tcBorders>
            <w:vAlign w:val="center"/>
          </w:tcPr>
          <w:p w14:paraId="04F78159">
            <w:pPr>
              <w:widowControl/>
              <w:spacing w:line="240" w:lineRule="auto"/>
              <w:ind w:firstLine="0" w:firstLineChars="0"/>
              <w:jc w:val="center"/>
              <w:rPr>
                <w:bCs/>
                <w:color w:val="auto"/>
                <w:kern w:val="0"/>
                <w:sz w:val="21"/>
                <w:szCs w:val="21"/>
              </w:rPr>
            </w:pPr>
            <w:r>
              <w:rPr>
                <w:bCs/>
                <w:color w:val="auto"/>
                <w:kern w:val="0"/>
                <w:sz w:val="21"/>
                <w:szCs w:val="21"/>
              </w:rPr>
              <w:t>0.12</w:t>
            </w:r>
          </w:p>
        </w:tc>
        <w:tc>
          <w:tcPr>
            <w:tcW w:w="848" w:type="pct"/>
            <w:tcBorders>
              <w:tl2br w:val="nil"/>
              <w:tr2bl w:val="nil"/>
            </w:tcBorders>
            <w:noWrap/>
            <w:vAlign w:val="center"/>
          </w:tcPr>
          <w:p w14:paraId="1F913634">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084F199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187931F9">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10CEFC7A">
            <w:pPr>
              <w:widowControl/>
              <w:spacing w:line="240" w:lineRule="auto"/>
              <w:ind w:firstLine="0" w:firstLineChars="0"/>
              <w:jc w:val="center"/>
              <w:rPr>
                <w:bCs/>
                <w:color w:val="auto"/>
                <w:kern w:val="0"/>
                <w:sz w:val="21"/>
                <w:szCs w:val="21"/>
              </w:rPr>
            </w:pPr>
            <w:r>
              <w:rPr>
                <w:bCs/>
                <w:color w:val="auto"/>
                <w:kern w:val="0"/>
                <w:sz w:val="21"/>
                <w:szCs w:val="21"/>
              </w:rPr>
              <w:t>二氧化硫</w:t>
            </w:r>
          </w:p>
        </w:tc>
        <w:tc>
          <w:tcPr>
            <w:tcW w:w="1416" w:type="pct"/>
            <w:tcBorders>
              <w:tl2br w:val="nil"/>
              <w:tr2bl w:val="nil"/>
            </w:tcBorders>
            <w:noWrap/>
            <w:vAlign w:val="center"/>
          </w:tcPr>
          <w:p w14:paraId="2E24F90A">
            <w:pPr>
              <w:widowControl/>
              <w:spacing w:line="240" w:lineRule="auto"/>
              <w:ind w:firstLine="0" w:firstLineChars="0"/>
              <w:jc w:val="center"/>
              <w:rPr>
                <w:bCs/>
                <w:color w:val="auto"/>
                <w:kern w:val="0"/>
                <w:sz w:val="21"/>
                <w:szCs w:val="21"/>
              </w:rPr>
            </w:pPr>
            <w:r>
              <w:rPr>
                <w:rFonts w:hint="eastAsia"/>
                <w:bCs/>
                <w:color w:val="auto"/>
                <w:kern w:val="0"/>
                <w:sz w:val="21"/>
                <w:szCs w:val="21"/>
              </w:rPr>
              <w:t>ND</w:t>
            </w:r>
          </w:p>
        </w:tc>
        <w:tc>
          <w:tcPr>
            <w:tcW w:w="771" w:type="pct"/>
            <w:tcBorders>
              <w:tl2br w:val="nil"/>
              <w:tr2bl w:val="nil"/>
            </w:tcBorders>
            <w:vAlign w:val="center"/>
          </w:tcPr>
          <w:p w14:paraId="7B8B7563">
            <w:pPr>
              <w:widowControl/>
              <w:spacing w:line="240" w:lineRule="auto"/>
              <w:ind w:firstLine="0" w:firstLineChars="0"/>
              <w:jc w:val="center"/>
              <w:rPr>
                <w:bCs/>
                <w:color w:val="auto"/>
                <w:kern w:val="0"/>
                <w:sz w:val="21"/>
                <w:szCs w:val="21"/>
              </w:rPr>
            </w:pPr>
            <w:r>
              <w:rPr>
                <w:bCs/>
                <w:color w:val="auto"/>
                <w:kern w:val="0"/>
                <w:sz w:val="21"/>
                <w:szCs w:val="21"/>
              </w:rPr>
              <w:t>0.4</w:t>
            </w:r>
          </w:p>
        </w:tc>
        <w:tc>
          <w:tcPr>
            <w:tcW w:w="848" w:type="pct"/>
            <w:tcBorders>
              <w:tl2br w:val="nil"/>
              <w:tr2bl w:val="nil"/>
            </w:tcBorders>
            <w:noWrap/>
            <w:vAlign w:val="center"/>
          </w:tcPr>
          <w:p w14:paraId="3892158F">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772E3C3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57017C28">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357CC086">
            <w:pPr>
              <w:widowControl/>
              <w:spacing w:line="240" w:lineRule="auto"/>
              <w:ind w:firstLine="0" w:firstLineChars="0"/>
              <w:jc w:val="center"/>
              <w:rPr>
                <w:bCs/>
                <w:color w:val="auto"/>
                <w:kern w:val="0"/>
                <w:sz w:val="21"/>
                <w:szCs w:val="21"/>
              </w:rPr>
            </w:pPr>
            <w:r>
              <w:rPr>
                <w:rFonts w:hint="eastAsia"/>
                <w:bCs/>
                <w:color w:val="auto"/>
                <w:kern w:val="0"/>
                <w:sz w:val="21"/>
                <w:szCs w:val="21"/>
              </w:rPr>
              <w:t>苯胺类</w:t>
            </w:r>
          </w:p>
        </w:tc>
        <w:tc>
          <w:tcPr>
            <w:tcW w:w="1416" w:type="pct"/>
            <w:tcBorders>
              <w:tl2br w:val="nil"/>
              <w:tr2bl w:val="nil"/>
            </w:tcBorders>
            <w:noWrap/>
            <w:vAlign w:val="center"/>
          </w:tcPr>
          <w:p w14:paraId="0C4C631C">
            <w:pPr>
              <w:widowControl/>
              <w:spacing w:line="240" w:lineRule="auto"/>
              <w:ind w:firstLine="0" w:firstLineChars="0"/>
              <w:jc w:val="center"/>
              <w:rPr>
                <w:bCs/>
                <w:color w:val="auto"/>
                <w:kern w:val="0"/>
                <w:sz w:val="21"/>
                <w:szCs w:val="21"/>
              </w:rPr>
            </w:pPr>
            <w:r>
              <w:rPr>
                <w:rFonts w:hint="eastAsia"/>
                <w:bCs/>
                <w:color w:val="auto"/>
                <w:kern w:val="0"/>
                <w:sz w:val="21"/>
                <w:szCs w:val="21"/>
              </w:rPr>
              <w:t>ND</w:t>
            </w:r>
          </w:p>
        </w:tc>
        <w:tc>
          <w:tcPr>
            <w:tcW w:w="771" w:type="pct"/>
            <w:tcBorders>
              <w:tl2br w:val="nil"/>
              <w:tr2bl w:val="nil"/>
            </w:tcBorders>
            <w:vAlign w:val="center"/>
          </w:tcPr>
          <w:p w14:paraId="6DB9CA5E">
            <w:pPr>
              <w:widowControl/>
              <w:spacing w:line="240" w:lineRule="auto"/>
              <w:ind w:firstLine="0" w:firstLineChars="0"/>
              <w:jc w:val="center"/>
              <w:rPr>
                <w:bCs/>
                <w:color w:val="auto"/>
                <w:kern w:val="0"/>
                <w:sz w:val="21"/>
                <w:szCs w:val="21"/>
              </w:rPr>
            </w:pPr>
            <w:r>
              <w:rPr>
                <w:rFonts w:hint="eastAsia"/>
                <w:bCs/>
                <w:color w:val="auto"/>
                <w:kern w:val="0"/>
                <w:sz w:val="21"/>
                <w:szCs w:val="21"/>
              </w:rPr>
              <w:t>0.1</w:t>
            </w:r>
          </w:p>
        </w:tc>
        <w:tc>
          <w:tcPr>
            <w:tcW w:w="848" w:type="pct"/>
            <w:tcBorders>
              <w:tl2br w:val="nil"/>
              <w:tr2bl w:val="nil"/>
            </w:tcBorders>
            <w:noWrap/>
            <w:vAlign w:val="center"/>
          </w:tcPr>
          <w:p w14:paraId="3F944CC9">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571F8F5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4556BDFC">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42EFCC1D">
            <w:pPr>
              <w:widowControl/>
              <w:spacing w:line="240" w:lineRule="auto"/>
              <w:ind w:firstLine="0" w:firstLineChars="0"/>
              <w:jc w:val="center"/>
              <w:rPr>
                <w:bCs/>
                <w:color w:val="auto"/>
                <w:kern w:val="0"/>
                <w:sz w:val="21"/>
                <w:szCs w:val="21"/>
              </w:rPr>
            </w:pPr>
            <w:r>
              <w:rPr>
                <w:bCs/>
                <w:color w:val="auto"/>
                <w:kern w:val="0"/>
                <w:sz w:val="21"/>
                <w:szCs w:val="21"/>
              </w:rPr>
              <w:t>非甲烷总烃</w:t>
            </w:r>
          </w:p>
        </w:tc>
        <w:tc>
          <w:tcPr>
            <w:tcW w:w="1416" w:type="pct"/>
            <w:tcBorders>
              <w:tl2br w:val="nil"/>
              <w:tr2bl w:val="nil"/>
            </w:tcBorders>
            <w:noWrap/>
            <w:vAlign w:val="center"/>
          </w:tcPr>
          <w:p w14:paraId="7EEA26C4">
            <w:pPr>
              <w:widowControl/>
              <w:spacing w:line="240" w:lineRule="auto"/>
              <w:ind w:firstLine="0" w:firstLineChars="0"/>
              <w:jc w:val="center"/>
              <w:rPr>
                <w:bCs/>
                <w:color w:val="auto"/>
                <w:kern w:val="0"/>
                <w:sz w:val="21"/>
                <w:szCs w:val="21"/>
              </w:rPr>
            </w:pPr>
            <w:r>
              <w:rPr>
                <w:rFonts w:hint="eastAsia"/>
                <w:bCs/>
                <w:color w:val="auto"/>
                <w:kern w:val="0"/>
                <w:sz w:val="21"/>
                <w:szCs w:val="21"/>
              </w:rPr>
              <w:t>0.32~0.48</w:t>
            </w:r>
          </w:p>
        </w:tc>
        <w:tc>
          <w:tcPr>
            <w:tcW w:w="771" w:type="pct"/>
            <w:tcBorders>
              <w:tl2br w:val="nil"/>
              <w:tr2bl w:val="nil"/>
            </w:tcBorders>
            <w:vAlign w:val="center"/>
          </w:tcPr>
          <w:p w14:paraId="444460AE">
            <w:pPr>
              <w:widowControl/>
              <w:spacing w:line="240" w:lineRule="auto"/>
              <w:ind w:firstLine="0" w:firstLineChars="0"/>
              <w:jc w:val="center"/>
              <w:rPr>
                <w:bCs/>
                <w:color w:val="auto"/>
                <w:kern w:val="0"/>
                <w:sz w:val="21"/>
                <w:szCs w:val="21"/>
              </w:rPr>
            </w:pPr>
            <w:r>
              <w:rPr>
                <w:bCs/>
                <w:color w:val="auto"/>
                <w:kern w:val="0"/>
                <w:sz w:val="21"/>
                <w:szCs w:val="21"/>
              </w:rPr>
              <w:t>4</w:t>
            </w:r>
          </w:p>
        </w:tc>
        <w:tc>
          <w:tcPr>
            <w:tcW w:w="848" w:type="pct"/>
            <w:tcBorders>
              <w:tl2br w:val="nil"/>
              <w:tr2bl w:val="nil"/>
            </w:tcBorders>
            <w:noWrap/>
            <w:vAlign w:val="center"/>
          </w:tcPr>
          <w:p w14:paraId="27315ED3">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399AEC9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vMerge w:val="continue"/>
            <w:tcBorders>
              <w:tl2br w:val="nil"/>
              <w:tr2bl w:val="nil"/>
            </w:tcBorders>
            <w:noWrap/>
            <w:vAlign w:val="center"/>
          </w:tcPr>
          <w:p w14:paraId="31035FB5">
            <w:pPr>
              <w:widowControl/>
              <w:spacing w:line="240" w:lineRule="auto"/>
              <w:ind w:firstLine="0" w:firstLineChars="0"/>
              <w:jc w:val="center"/>
              <w:rPr>
                <w:bCs/>
                <w:color w:val="auto"/>
                <w:kern w:val="0"/>
                <w:sz w:val="21"/>
                <w:szCs w:val="21"/>
              </w:rPr>
            </w:pPr>
          </w:p>
        </w:tc>
        <w:tc>
          <w:tcPr>
            <w:tcW w:w="1142" w:type="pct"/>
            <w:tcBorders>
              <w:tl2br w:val="nil"/>
              <w:tr2bl w:val="nil"/>
            </w:tcBorders>
            <w:noWrap/>
            <w:vAlign w:val="center"/>
          </w:tcPr>
          <w:p w14:paraId="32D4E562">
            <w:pPr>
              <w:widowControl/>
              <w:spacing w:line="240" w:lineRule="auto"/>
              <w:ind w:firstLine="0" w:firstLineChars="0"/>
              <w:jc w:val="center"/>
              <w:rPr>
                <w:bCs/>
                <w:color w:val="auto"/>
                <w:kern w:val="0"/>
                <w:sz w:val="21"/>
                <w:szCs w:val="21"/>
              </w:rPr>
            </w:pPr>
            <w:r>
              <w:rPr>
                <w:bCs/>
                <w:color w:val="auto"/>
                <w:kern w:val="0"/>
                <w:sz w:val="21"/>
                <w:szCs w:val="21"/>
              </w:rPr>
              <w:t>臭气浓度</w:t>
            </w:r>
          </w:p>
        </w:tc>
        <w:tc>
          <w:tcPr>
            <w:tcW w:w="1416" w:type="pct"/>
            <w:tcBorders>
              <w:tl2br w:val="nil"/>
              <w:tr2bl w:val="nil"/>
            </w:tcBorders>
            <w:noWrap/>
            <w:vAlign w:val="center"/>
          </w:tcPr>
          <w:p w14:paraId="47DAFB5A">
            <w:pPr>
              <w:widowControl/>
              <w:spacing w:line="240" w:lineRule="auto"/>
              <w:ind w:firstLine="0" w:firstLineChars="0"/>
              <w:jc w:val="center"/>
              <w:rPr>
                <w:bCs/>
                <w:color w:val="auto"/>
                <w:kern w:val="0"/>
                <w:sz w:val="21"/>
                <w:szCs w:val="21"/>
              </w:rPr>
            </w:pPr>
            <w:r>
              <w:rPr>
                <w:rFonts w:hint="eastAsia"/>
                <w:bCs/>
                <w:color w:val="auto"/>
                <w:kern w:val="0"/>
                <w:sz w:val="21"/>
                <w:szCs w:val="21"/>
              </w:rPr>
              <w:t>15~17</w:t>
            </w:r>
          </w:p>
        </w:tc>
        <w:tc>
          <w:tcPr>
            <w:tcW w:w="771" w:type="pct"/>
            <w:tcBorders>
              <w:tl2br w:val="nil"/>
              <w:tr2bl w:val="nil"/>
            </w:tcBorders>
            <w:vAlign w:val="center"/>
          </w:tcPr>
          <w:p w14:paraId="39FA233D">
            <w:pPr>
              <w:widowControl/>
              <w:spacing w:line="240" w:lineRule="auto"/>
              <w:ind w:firstLine="0" w:firstLineChars="0"/>
              <w:jc w:val="center"/>
              <w:rPr>
                <w:bCs/>
                <w:color w:val="auto"/>
                <w:kern w:val="0"/>
                <w:sz w:val="21"/>
                <w:szCs w:val="21"/>
              </w:rPr>
            </w:pPr>
            <w:r>
              <w:rPr>
                <w:bCs/>
                <w:color w:val="auto"/>
                <w:kern w:val="0"/>
                <w:sz w:val="21"/>
                <w:szCs w:val="21"/>
              </w:rPr>
              <w:t>20</w:t>
            </w:r>
            <w:r>
              <w:rPr>
                <w:rFonts w:hint="eastAsia"/>
                <w:bCs/>
                <w:color w:val="auto"/>
                <w:kern w:val="0"/>
                <w:sz w:val="21"/>
                <w:szCs w:val="21"/>
              </w:rPr>
              <w:t>（</w:t>
            </w:r>
            <w:r>
              <w:rPr>
                <w:bCs/>
                <w:color w:val="auto"/>
                <w:kern w:val="0"/>
                <w:sz w:val="21"/>
                <w:szCs w:val="21"/>
              </w:rPr>
              <w:t>无量纲</w:t>
            </w:r>
            <w:r>
              <w:rPr>
                <w:rFonts w:hint="eastAsia"/>
                <w:bCs/>
                <w:color w:val="auto"/>
                <w:kern w:val="0"/>
                <w:sz w:val="21"/>
                <w:szCs w:val="21"/>
              </w:rPr>
              <w:t>）</w:t>
            </w:r>
          </w:p>
        </w:tc>
        <w:tc>
          <w:tcPr>
            <w:tcW w:w="848" w:type="pct"/>
            <w:tcBorders>
              <w:tl2br w:val="nil"/>
              <w:tr2bl w:val="nil"/>
            </w:tcBorders>
            <w:noWrap/>
            <w:vAlign w:val="center"/>
          </w:tcPr>
          <w:p w14:paraId="3394E710">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349978D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000" w:type="pct"/>
            <w:gridSpan w:val="5"/>
            <w:tcBorders>
              <w:tl2br w:val="nil"/>
              <w:tr2bl w:val="nil"/>
            </w:tcBorders>
            <w:noWrap/>
            <w:vAlign w:val="center"/>
          </w:tcPr>
          <w:p w14:paraId="1A100F92">
            <w:pPr>
              <w:widowControl/>
              <w:spacing w:line="240" w:lineRule="auto"/>
              <w:ind w:firstLine="0" w:firstLineChars="0"/>
              <w:jc w:val="center"/>
              <w:rPr>
                <w:bCs/>
                <w:color w:val="auto"/>
                <w:kern w:val="0"/>
                <w:sz w:val="21"/>
                <w:szCs w:val="21"/>
              </w:rPr>
            </w:pPr>
            <w:r>
              <w:rPr>
                <w:rFonts w:hint="eastAsia"/>
                <w:b/>
                <w:color w:val="auto"/>
                <w:kern w:val="0"/>
                <w:sz w:val="21"/>
                <w:szCs w:val="21"/>
              </w:rPr>
              <w:t>车间外</w:t>
            </w:r>
          </w:p>
        </w:tc>
      </w:tr>
      <w:tr w14:paraId="6D7EEEC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tcBorders>
              <w:tl2br w:val="nil"/>
              <w:tr2bl w:val="nil"/>
            </w:tcBorders>
            <w:noWrap/>
            <w:vAlign w:val="center"/>
          </w:tcPr>
          <w:p w14:paraId="14CAEBA2">
            <w:pPr>
              <w:widowControl/>
              <w:spacing w:line="240" w:lineRule="auto"/>
              <w:ind w:firstLine="0" w:firstLineChars="0"/>
              <w:jc w:val="center"/>
              <w:rPr>
                <w:bCs/>
                <w:color w:val="auto"/>
                <w:kern w:val="0"/>
                <w:sz w:val="21"/>
                <w:szCs w:val="21"/>
              </w:rPr>
            </w:pPr>
            <w:r>
              <w:rPr>
                <w:bCs/>
                <w:color w:val="auto"/>
                <w:kern w:val="0"/>
                <w:sz w:val="21"/>
                <w:szCs w:val="21"/>
              </w:rPr>
              <w:t>202</w:t>
            </w:r>
            <w:r>
              <w:rPr>
                <w:rFonts w:hint="eastAsia"/>
                <w:bCs/>
                <w:color w:val="auto"/>
                <w:kern w:val="0"/>
                <w:sz w:val="21"/>
                <w:szCs w:val="21"/>
              </w:rPr>
              <w:t>5</w:t>
            </w:r>
            <w:r>
              <w:rPr>
                <w:bCs/>
                <w:color w:val="auto"/>
                <w:kern w:val="0"/>
                <w:sz w:val="21"/>
                <w:szCs w:val="21"/>
              </w:rPr>
              <w:t>.</w:t>
            </w:r>
            <w:r>
              <w:rPr>
                <w:rFonts w:hint="eastAsia"/>
                <w:bCs/>
                <w:color w:val="auto"/>
                <w:kern w:val="0"/>
                <w:sz w:val="21"/>
                <w:szCs w:val="21"/>
              </w:rPr>
              <w:t>4</w:t>
            </w:r>
            <w:r>
              <w:rPr>
                <w:bCs/>
                <w:color w:val="auto"/>
                <w:kern w:val="0"/>
                <w:sz w:val="21"/>
                <w:szCs w:val="21"/>
              </w:rPr>
              <w:t>.</w:t>
            </w:r>
            <w:r>
              <w:rPr>
                <w:rFonts w:hint="eastAsia"/>
                <w:bCs/>
                <w:color w:val="auto"/>
                <w:kern w:val="0"/>
                <w:sz w:val="21"/>
                <w:szCs w:val="21"/>
              </w:rPr>
              <w:t>11</w:t>
            </w:r>
          </w:p>
        </w:tc>
        <w:tc>
          <w:tcPr>
            <w:tcW w:w="1142" w:type="pct"/>
            <w:tcBorders>
              <w:tl2br w:val="nil"/>
              <w:tr2bl w:val="nil"/>
            </w:tcBorders>
            <w:noWrap/>
            <w:vAlign w:val="center"/>
          </w:tcPr>
          <w:p w14:paraId="47BE4F83">
            <w:pPr>
              <w:widowControl/>
              <w:spacing w:line="240" w:lineRule="auto"/>
              <w:ind w:firstLine="0" w:firstLineChars="0"/>
              <w:jc w:val="center"/>
              <w:rPr>
                <w:bCs/>
                <w:color w:val="auto"/>
                <w:kern w:val="0"/>
                <w:sz w:val="21"/>
                <w:szCs w:val="21"/>
              </w:rPr>
            </w:pPr>
            <w:r>
              <w:rPr>
                <w:bCs/>
                <w:color w:val="auto"/>
                <w:kern w:val="0"/>
                <w:sz w:val="21"/>
                <w:szCs w:val="21"/>
              </w:rPr>
              <w:t>非甲烷总烃</w:t>
            </w:r>
          </w:p>
        </w:tc>
        <w:tc>
          <w:tcPr>
            <w:tcW w:w="1416" w:type="pct"/>
            <w:tcBorders>
              <w:tl2br w:val="nil"/>
              <w:tr2bl w:val="nil"/>
            </w:tcBorders>
            <w:noWrap/>
            <w:vAlign w:val="center"/>
          </w:tcPr>
          <w:p w14:paraId="0DDF8427">
            <w:pPr>
              <w:widowControl/>
              <w:spacing w:line="240" w:lineRule="auto"/>
              <w:ind w:firstLine="0" w:firstLineChars="0"/>
              <w:jc w:val="center"/>
              <w:rPr>
                <w:bCs/>
                <w:color w:val="auto"/>
                <w:kern w:val="0"/>
                <w:sz w:val="21"/>
                <w:szCs w:val="21"/>
              </w:rPr>
            </w:pPr>
            <w:r>
              <w:rPr>
                <w:rFonts w:hint="eastAsia"/>
                <w:bCs/>
                <w:color w:val="auto"/>
                <w:kern w:val="0"/>
                <w:sz w:val="21"/>
                <w:szCs w:val="21"/>
              </w:rPr>
              <w:t>0.52</w:t>
            </w:r>
            <w:r>
              <w:rPr>
                <w:bCs/>
                <w:color w:val="auto"/>
                <w:kern w:val="0"/>
                <w:sz w:val="21"/>
                <w:szCs w:val="21"/>
              </w:rPr>
              <w:t>~</w:t>
            </w:r>
            <w:r>
              <w:rPr>
                <w:rFonts w:hint="eastAsia"/>
                <w:bCs/>
                <w:color w:val="auto"/>
                <w:kern w:val="0"/>
                <w:sz w:val="21"/>
                <w:szCs w:val="21"/>
              </w:rPr>
              <w:t>0.70</w:t>
            </w:r>
          </w:p>
        </w:tc>
        <w:tc>
          <w:tcPr>
            <w:tcW w:w="771" w:type="pct"/>
            <w:tcBorders>
              <w:tl2br w:val="nil"/>
              <w:tr2bl w:val="nil"/>
            </w:tcBorders>
            <w:vAlign w:val="center"/>
          </w:tcPr>
          <w:p w14:paraId="52DD8FD4">
            <w:pPr>
              <w:widowControl/>
              <w:spacing w:line="240" w:lineRule="auto"/>
              <w:ind w:firstLine="0" w:firstLineChars="0"/>
              <w:jc w:val="center"/>
              <w:rPr>
                <w:bCs/>
                <w:color w:val="auto"/>
                <w:kern w:val="0"/>
                <w:sz w:val="21"/>
                <w:szCs w:val="21"/>
              </w:rPr>
            </w:pPr>
            <w:r>
              <w:rPr>
                <w:bCs/>
                <w:color w:val="auto"/>
                <w:kern w:val="0"/>
                <w:sz w:val="21"/>
                <w:szCs w:val="21"/>
              </w:rPr>
              <w:t>6</w:t>
            </w:r>
          </w:p>
        </w:tc>
        <w:tc>
          <w:tcPr>
            <w:tcW w:w="848" w:type="pct"/>
            <w:tcBorders>
              <w:tl2br w:val="nil"/>
              <w:tr2bl w:val="nil"/>
            </w:tcBorders>
            <w:noWrap/>
            <w:vAlign w:val="center"/>
          </w:tcPr>
          <w:p w14:paraId="18E392AE">
            <w:pPr>
              <w:widowControl/>
              <w:spacing w:line="240" w:lineRule="auto"/>
              <w:ind w:firstLine="0" w:firstLineChars="0"/>
              <w:jc w:val="center"/>
              <w:rPr>
                <w:bCs/>
                <w:color w:val="auto"/>
                <w:kern w:val="0"/>
                <w:sz w:val="21"/>
                <w:szCs w:val="21"/>
              </w:rPr>
            </w:pPr>
            <w:r>
              <w:rPr>
                <w:bCs/>
                <w:color w:val="auto"/>
                <w:kern w:val="0"/>
                <w:sz w:val="21"/>
                <w:szCs w:val="21"/>
              </w:rPr>
              <w:t>达标</w:t>
            </w:r>
          </w:p>
        </w:tc>
      </w:tr>
      <w:tr w14:paraId="52E51FA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822" w:type="pct"/>
            <w:tcBorders>
              <w:tl2br w:val="nil"/>
              <w:tr2bl w:val="nil"/>
            </w:tcBorders>
            <w:noWrap/>
            <w:vAlign w:val="center"/>
          </w:tcPr>
          <w:p w14:paraId="1441E6EF">
            <w:pPr>
              <w:widowControl/>
              <w:spacing w:line="240" w:lineRule="auto"/>
              <w:ind w:firstLine="0" w:firstLineChars="0"/>
              <w:jc w:val="center"/>
              <w:rPr>
                <w:bCs/>
                <w:color w:val="auto"/>
                <w:kern w:val="0"/>
                <w:sz w:val="21"/>
                <w:szCs w:val="21"/>
              </w:rPr>
            </w:pPr>
            <w:r>
              <w:rPr>
                <w:rFonts w:hint="eastAsia"/>
                <w:bCs/>
                <w:color w:val="auto"/>
                <w:kern w:val="0"/>
                <w:sz w:val="21"/>
                <w:szCs w:val="21"/>
              </w:rPr>
              <w:t>2025.10.9</w:t>
            </w:r>
          </w:p>
        </w:tc>
        <w:tc>
          <w:tcPr>
            <w:tcW w:w="1142" w:type="pct"/>
            <w:tcBorders>
              <w:tl2br w:val="nil"/>
              <w:tr2bl w:val="nil"/>
            </w:tcBorders>
            <w:noWrap/>
            <w:vAlign w:val="center"/>
          </w:tcPr>
          <w:p w14:paraId="1A8854DC">
            <w:pPr>
              <w:widowControl/>
              <w:spacing w:line="240" w:lineRule="auto"/>
              <w:ind w:firstLine="0" w:firstLineChars="0"/>
              <w:jc w:val="center"/>
              <w:rPr>
                <w:bCs/>
                <w:color w:val="auto"/>
                <w:kern w:val="0"/>
                <w:sz w:val="21"/>
                <w:szCs w:val="21"/>
              </w:rPr>
            </w:pPr>
            <w:r>
              <w:rPr>
                <w:bCs/>
                <w:color w:val="auto"/>
                <w:kern w:val="0"/>
                <w:sz w:val="21"/>
                <w:szCs w:val="21"/>
              </w:rPr>
              <w:t>非甲烷总烃</w:t>
            </w:r>
          </w:p>
        </w:tc>
        <w:tc>
          <w:tcPr>
            <w:tcW w:w="1416" w:type="pct"/>
            <w:tcBorders>
              <w:tl2br w:val="nil"/>
              <w:tr2bl w:val="nil"/>
            </w:tcBorders>
            <w:noWrap/>
            <w:vAlign w:val="center"/>
          </w:tcPr>
          <w:p w14:paraId="4ABAD9BF">
            <w:pPr>
              <w:widowControl/>
              <w:spacing w:line="240" w:lineRule="auto"/>
              <w:ind w:firstLine="0" w:firstLineChars="0"/>
              <w:jc w:val="center"/>
              <w:rPr>
                <w:bCs/>
                <w:color w:val="auto"/>
                <w:kern w:val="0"/>
                <w:sz w:val="21"/>
                <w:szCs w:val="21"/>
              </w:rPr>
            </w:pPr>
            <w:r>
              <w:rPr>
                <w:rFonts w:hint="eastAsia"/>
                <w:bCs/>
                <w:color w:val="auto"/>
                <w:kern w:val="0"/>
                <w:sz w:val="21"/>
                <w:szCs w:val="21"/>
              </w:rPr>
              <w:t>0.53~0.68</w:t>
            </w:r>
          </w:p>
        </w:tc>
        <w:tc>
          <w:tcPr>
            <w:tcW w:w="771" w:type="pct"/>
            <w:tcBorders>
              <w:tl2br w:val="nil"/>
              <w:tr2bl w:val="nil"/>
            </w:tcBorders>
            <w:vAlign w:val="center"/>
          </w:tcPr>
          <w:p w14:paraId="6B92E0BC">
            <w:pPr>
              <w:widowControl/>
              <w:spacing w:line="240" w:lineRule="auto"/>
              <w:ind w:firstLine="0" w:firstLineChars="0"/>
              <w:jc w:val="center"/>
              <w:rPr>
                <w:bCs/>
                <w:color w:val="auto"/>
                <w:kern w:val="0"/>
                <w:sz w:val="21"/>
                <w:szCs w:val="21"/>
              </w:rPr>
            </w:pPr>
            <w:r>
              <w:rPr>
                <w:bCs/>
                <w:color w:val="auto"/>
                <w:kern w:val="0"/>
                <w:sz w:val="21"/>
                <w:szCs w:val="21"/>
              </w:rPr>
              <w:t>6</w:t>
            </w:r>
          </w:p>
        </w:tc>
        <w:tc>
          <w:tcPr>
            <w:tcW w:w="848" w:type="pct"/>
            <w:tcBorders>
              <w:tl2br w:val="nil"/>
              <w:tr2bl w:val="nil"/>
            </w:tcBorders>
            <w:noWrap/>
            <w:vAlign w:val="center"/>
          </w:tcPr>
          <w:p w14:paraId="762D0869">
            <w:pPr>
              <w:widowControl/>
              <w:spacing w:line="240" w:lineRule="auto"/>
              <w:ind w:firstLine="0" w:firstLineChars="0"/>
              <w:jc w:val="center"/>
              <w:rPr>
                <w:bCs/>
                <w:color w:val="auto"/>
                <w:kern w:val="0"/>
                <w:sz w:val="21"/>
                <w:szCs w:val="21"/>
              </w:rPr>
            </w:pPr>
            <w:r>
              <w:rPr>
                <w:bCs/>
                <w:color w:val="auto"/>
                <w:kern w:val="0"/>
                <w:sz w:val="21"/>
                <w:szCs w:val="21"/>
              </w:rPr>
              <w:t>达标</w:t>
            </w:r>
          </w:p>
        </w:tc>
      </w:tr>
    </w:tbl>
    <w:p w14:paraId="7E2EDA69">
      <w:pPr>
        <w:spacing w:line="460" w:lineRule="exact"/>
        <w:ind w:firstLine="480"/>
        <w:rPr>
          <w:color w:val="auto"/>
        </w:rPr>
      </w:pPr>
      <w:r>
        <w:rPr>
          <w:color w:val="auto"/>
        </w:rPr>
        <w:t>由</w:t>
      </w:r>
      <w:r>
        <w:rPr>
          <w:rFonts w:hint="eastAsia"/>
          <w:color w:val="auto"/>
        </w:rPr>
        <w:t>表3.4-1可知</w:t>
      </w:r>
      <w:r>
        <w:rPr>
          <w:color w:val="auto"/>
        </w:rPr>
        <w:t>，监测期间现有项目</w:t>
      </w:r>
      <w:r>
        <w:rPr>
          <w:rFonts w:hint="eastAsia"/>
          <w:color w:val="auto"/>
        </w:rPr>
        <w:t>排气筒</w:t>
      </w:r>
      <w:r>
        <w:rPr>
          <w:color w:val="auto"/>
        </w:rPr>
        <w:t>DA001二氧化硫、氮氧化物</w:t>
      </w:r>
      <w:r>
        <w:rPr>
          <w:rFonts w:hint="eastAsia"/>
          <w:color w:val="auto"/>
        </w:rPr>
        <w:t>、氯化氢、苯胺类</w:t>
      </w:r>
      <w:r>
        <w:rPr>
          <w:color w:val="auto"/>
        </w:rPr>
        <w:t>污染物排放浓度、排放速率满足《大气污染物综合排放标准》</w:t>
      </w:r>
      <w:r>
        <w:rPr>
          <w:rFonts w:hint="eastAsia"/>
          <w:color w:val="auto"/>
        </w:rPr>
        <w:t>（</w:t>
      </w:r>
      <w:r>
        <w:rPr>
          <w:color w:val="auto"/>
        </w:rPr>
        <w:t>DB32/4041-2021</w:t>
      </w:r>
      <w:r>
        <w:rPr>
          <w:rFonts w:hint="eastAsia"/>
          <w:color w:val="auto"/>
        </w:rPr>
        <w:t>）</w:t>
      </w:r>
      <w:r>
        <w:rPr>
          <w:color w:val="auto"/>
        </w:rPr>
        <w:t>表1标准</w:t>
      </w:r>
      <w:r>
        <w:rPr>
          <w:rFonts w:hint="eastAsia"/>
          <w:color w:val="auto"/>
        </w:rPr>
        <w:t>限值，</w:t>
      </w:r>
      <w:r>
        <w:rPr>
          <w:color w:val="auto"/>
        </w:rPr>
        <w:t>氨排放速率满足《恶臭污染物排放标准》</w:t>
      </w:r>
      <w:r>
        <w:rPr>
          <w:rFonts w:hint="eastAsia"/>
          <w:color w:val="auto"/>
        </w:rPr>
        <w:t>（</w:t>
      </w:r>
      <w:r>
        <w:rPr>
          <w:color w:val="auto"/>
        </w:rPr>
        <w:t>GB14554-93</w:t>
      </w:r>
      <w:r>
        <w:rPr>
          <w:rFonts w:hint="eastAsia"/>
          <w:color w:val="auto"/>
        </w:rPr>
        <w:t>）</w:t>
      </w:r>
      <w:r>
        <w:rPr>
          <w:color w:val="auto"/>
        </w:rPr>
        <w:t>表2标准</w:t>
      </w:r>
      <w:r>
        <w:rPr>
          <w:rFonts w:hint="eastAsia"/>
          <w:color w:val="auto"/>
        </w:rPr>
        <w:t>限值</w:t>
      </w:r>
      <w:r>
        <w:rPr>
          <w:color w:val="auto"/>
        </w:rPr>
        <w:t>。</w:t>
      </w:r>
      <w:r>
        <w:rPr>
          <w:rFonts w:hint="eastAsia"/>
          <w:color w:val="auto"/>
        </w:rPr>
        <w:t>排气筒</w:t>
      </w:r>
      <w:r>
        <w:rPr>
          <w:color w:val="auto"/>
        </w:rPr>
        <w:t>DA002二氧化硫、氨排放浓度满足《无机化学工业污染物排放标准》</w:t>
      </w:r>
      <w:r>
        <w:rPr>
          <w:rFonts w:hint="eastAsia"/>
          <w:color w:val="auto"/>
        </w:rPr>
        <w:t>（</w:t>
      </w:r>
      <w:r>
        <w:rPr>
          <w:color w:val="auto"/>
        </w:rPr>
        <w:t>GB31573-2015</w:t>
      </w:r>
      <w:r>
        <w:rPr>
          <w:rFonts w:hint="eastAsia"/>
          <w:color w:val="auto"/>
        </w:rPr>
        <w:t>）</w:t>
      </w:r>
      <w:r>
        <w:rPr>
          <w:color w:val="auto"/>
        </w:rPr>
        <w:t>表4特别排放限值。</w:t>
      </w:r>
    </w:p>
    <w:p w14:paraId="158B2C1F">
      <w:pPr>
        <w:spacing w:line="460" w:lineRule="exact"/>
        <w:ind w:firstLine="480"/>
        <w:rPr>
          <w:color w:val="auto"/>
        </w:rPr>
      </w:pPr>
      <w:r>
        <w:rPr>
          <w:color w:val="auto"/>
        </w:rPr>
        <w:t>由表3.4</w:t>
      </w:r>
      <w:r>
        <w:rPr>
          <w:rFonts w:hint="eastAsia"/>
          <w:color w:val="auto"/>
        </w:rPr>
        <w:t>-2</w:t>
      </w:r>
      <w:r>
        <w:rPr>
          <w:color w:val="auto"/>
        </w:rPr>
        <w:t>可知，</w:t>
      </w:r>
      <w:r>
        <w:rPr>
          <w:rFonts w:hint="eastAsia"/>
          <w:color w:val="auto"/>
        </w:rPr>
        <w:t>现有项目</w:t>
      </w:r>
      <w:r>
        <w:rPr>
          <w:color w:val="auto"/>
        </w:rPr>
        <w:t>厂界无组织排放的</w:t>
      </w:r>
      <w:r>
        <w:rPr>
          <w:rFonts w:hint="eastAsia"/>
          <w:color w:val="auto"/>
        </w:rPr>
        <w:t>颗粒物、氯化氢、氮氧化物、二氧化硫、苯胺类、非甲烷总烃均满足《大气污染物综合排放标准》（DB32/4041-2021）表3标准限值；氨满足</w:t>
      </w:r>
      <w:r>
        <w:rPr>
          <w:color w:val="auto"/>
        </w:rPr>
        <w:t>满足《无机化学工业污染物排放标准》</w:t>
      </w:r>
      <w:r>
        <w:rPr>
          <w:rFonts w:hint="eastAsia"/>
          <w:color w:val="auto"/>
        </w:rPr>
        <w:t>（</w:t>
      </w:r>
      <w:r>
        <w:rPr>
          <w:color w:val="auto"/>
        </w:rPr>
        <w:t>GB31573-2015</w:t>
      </w:r>
      <w:r>
        <w:rPr>
          <w:rFonts w:hint="eastAsia"/>
          <w:color w:val="auto"/>
        </w:rPr>
        <w:t>）</w:t>
      </w:r>
      <w:r>
        <w:rPr>
          <w:color w:val="auto"/>
        </w:rPr>
        <w:t>表5标准限值</w:t>
      </w:r>
      <w:r>
        <w:rPr>
          <w:rFonts w:hint="eastAsia"/>
          <w:color w:val="auto"/>
        </w:rPr>
        <w:t>；臭气浓度满足</w:t>
      </w:r>
      <w:r>
        <w:rPr>
          <w:color w:val="auto"/>
        </w:rPr>
        <w:t>《化学工业挥发性有机物排放标准》</w:t>
      </w:r>
      <w:r>
        <w:rPr>
          <w:rFonts w:hint="eastAsia"/>
          <w:color w:val="auto"/>
        </w:rPr>
        <w:t>（</w:t>
      </w:r>
      <w:r>
        <w:rPr>
          <w:color w:val="auto"/>
        </w:rPr>
        <w:t>DB32/3151-2016</w:t>
      </w:r>
      <w:r>
        <w:rPr>
          <w:rFonts w:hint="eastAsia"/>
          <w:color w:val="auto"/>
        </w:rPr>
        <w:t>）</w:t>
      </w:r>
      <w:r>
        <w:rPr>
          <w:color w:val="auto"/>
        </w:rPr>
        <w:t>表2</w:t>
      </w:r>
      <w:r>
        <w:rPr>
          <w:rFonts w:hint="eastAsia"/>
          <w:color w:val="auto"/>
        </w:rPr>
        <w:t>标准</w:t>
      </w:r>
      <w:r>
        <w:rPr>
          <w:color w:val="auto"/>
        </w:rPr>
        <w:t>限值</w:t>
      </w:r>
      <w:r>
        <w:rPr>
          <w:rFonts w:hint="eastAsia"/>
          <w:color w:val="auto"/>
        </w:rPr>
        <w:t>。厂区车间外无组织排放的非甲烷总烃满足《大气污染物综合排放标准》（DB32/4041-2021）表2标准限值。</w:t>
      </w:r>
    </w:p>
    <w:p w14:paraId="2345D5AA">
      <w:pPr>
        <w:pStyle w:val="4"/>
        <w:rPr>
          <w:color w:val="auto"/>
        </w:rPr>
      </w:pPr>
      <w:bookmarkStart w:id="100" w:name="_Toc25755"/>
      <w:r>
        <w:rPr>
          <w:rFonts w:hint="eastAsia"/>
          <w:color w:val="auto"/>
        </w:rPr>
        <w:t>3.4.2</w:t>
      </w:r>
      <w:r>
        <w:rPr>
          <w:color w:val="auto"/>
        </w:rPr>
        <w:t>废水处理装置运行情况</w:t>
      </w:r>
      <w:bookmarkEnd w:id="100"/>
    </w:p>
    <w:p w14:paraId="6C8F008B">
      <w:pPr>
        <w:spacing w:line="460" w:lineRule="exact"/>
        <w:ind w:firstLine="480"/>
        <w:rPr>
          <w:color w:val="auto"/>
        </w:rPr>
      </w:pPr>
      <w:r>
        <w:rPr>
          <w:color w:val="auto"/>
        </w:rPr>
        <w:t>根据</w:t>
      </w:r>
      <w:r>
        <w:rPr>
          <w:rFonts w:hint="eastAsia"/>
          <w:color w:val="auto"/>
        </w:rPr>
        <w:t>亚太药业</w:t>
      </w:r>
      <w:r>
        <w:rPr>
          <w:color w:val="auto"/>
        </w:rPr>
        <w:t>提供的2025年</w:t>
      </w:r>
      <w:r>
        <w:rPr>
          <w:rFonts w:hint="eastAsia"/>
          <w:color w:val="auto"/>
        </w:rPr>
        <w:t>度废水</w:t>
      </w:r>
      <w:r>
        <w:rPr>
          <w:color w:val="auto"/>
        </w:rPr>
        <w:t>检测报告，废水排口委托监测数据见表3.</w:t>
      </w:r>
      <w:r>
        <w:rPr>
          <w:rFonts w:hint="eastAsia"/>
          <w:color w:val="auto"/>
        </w:rPr>
        <w:t>4-3，在线监测数据见表3.4-5和表3.4-6。</w:t>
      </w:r>
    </w:p>
    <w:p w14:paraId="0BFDC03E">
      <w:pPr>
        <w:spacing w:line="240" w:lineRule="auto"/>
        <w:ind w:firstLine="0" w:firstLineChars="0"/>
        <w:jc w:val="center"/>
        <w:rPr>
          <w:b/>
          <w:color w:val="auto"/>
        </w:rPr>
      </w:pPr>
      <w:r>
        <w:rPr>
          <w:rFonts w:hint="eastAsia"/>
          <w:b/>
          <w:color w:val="auto"/>
        </w:rPr>
        <w:t>表3.4-3  2025年企业废水排口监测结果 单位：mg/L</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07"/>
        <w:gridCol w:w="2189"/>
        <w:gridCol w:w="1175"/>
        <w:gridCol w:w="1065"/>
        <w:gridCol w:w="1026"/>
        <w:gridCol w:w="1242"/>
        <w:gridCol w:w="1034"/>
      </w:tblGrid>
      <w:tr w14:paraId="335C9B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89" w:type="pct"/>
            <w:tcBorders>
              <w:tl2br w:val="nil"/>
              <w:tr2bl w:val="nil"/>
            </w:tcBorders>
            <w:noWrap/>
            <w:vAlign w:val="center"/>
          </w:tcPr>
          <w:p w14:paraId="20C4B157">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排污口名称</w:t>
            </w:r>
          </w:p>
        </w:tc>
        <w:tc>
          <w:tcPr>
            <w:tcW w:w="1135" w:type="pct"/>
            <w:tcBorders>
              <w:tl2br w:val="nil"/>
              <w:tr2bl w:val="nil"/>
            </w:tcBorders>
            <w:noWrap/>
            <w:vAlign w:val="center"/>
          </w:tcPr>
          <w:p w14:paraId="34D40D87">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监测因子</w:t>
            </w:r>
          </w:p>
        </w:tc>
        <w:tc>
          <w:tcPr>
            <w:tcW w:w="609" w:type="pct"/>
            <w:tcBorders>
              <w:tl2br w:val="nil"/>
              <w:tr2bl w:val="nil"/>
            </w:tcBorders>
            <w:noWrap/>
            <w:vAlign w:val="center"/>
          </w:tcPr>
          <w:p w14:paraId="4617D35A">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最小值</w:t>
            </w:r>
          </w:p>
        </w:tc>
        <w:tc>
          <w:tcPr>
            <w:tcW w:w="552" w:type="pct"/>
            <w:tcBorders>
              <w:tl2br w:val="nil"/>
              <w:tr2bl w:val="nil"/>
            </w:tcBorders>
            <w:noWrap/>
            <w:vAlign w:val="center"/>
          </w:tcPr>
          <w:p w14:paraId="1B13FF56">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最大值</w:t>
            </w:r>
          </w:p>
        </w:tc>
        <w:tc>
          <w:tcPr>
            <w:tcW w:w="532" w:type="pct"/>
            <w:tcBorders>
              <w:tl2br w:val="nil"/>
              <w:tr2bl w:val="nil"/>
            </w:tcBorders>
            <w:noWrap/>
            <w:vAlign w:val="center"/>
          </w:tcPr>
          <w:p w14:paraId="69373F56">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平均值</w:t>
            </w:r>
          </w:p>
        </w:tc>
        <w:tc>
          <w:tcPr>
            <w:tcW w:w="644" w:type="pct"/>
            <w:tcBorders>
              <w:tl2br w:val="nil"/>
              <w:tr2bl w:val="nil"/>
            </w:tcBorders>
            <w:noWrap/>
            <w:vAlign w:val="center"/>
          </w:tcPr>
          <w:p w14:paraId="0785AFD2">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排放限值</w:t>
            </w:r>
          </w:p>
        </w:tc>
        <w:tc>
          <w:tcPr>
            <w:tcW w:w="536" w:type="pct"/>
            <w:tcBorders>
              <w:tl2br w:val="nil"/>
              <w:tr2bl w:val="nil"/>
            </w:tcBorders>
            <w:noWrap/>
            <w:vAlign w:val="center"/>
          </w:tcPr>
          <w:p w14:paraId="2EB6BC25">
            <w:pPr>
              <w:widowControl/>
              <w:spacing w:line="240" w:lineRule="auto"/>
              <w:ind w:firstLine="0" w:firstLineChars="0"/>
              <w:jc w:val="center"/>
              <w:textAlignment w:val="center"/>
              <w:rPr>
                <w:b/>
                <w:color w:val="auto"/>
                <w:kern w:val="0"/>
                <w:sz w:val="21"/>
                <w:szCs w:val="21"/>
                <w:lang w:bidi="ar"/>
              </w:rPr>
            </w:pPr>
            <w:r>
              <w:rPr>
                <w:rFonts w:hint="eastAsia"/>
                <w:b/>
                <w:color w:val="auto"/>
                <w:kern w:val="0"/>
                <w:sz w:val="21"/>
                <w:szCs w:val="21"/>
                <w:lang w:bidi="ar"/>
              </w:rPr>
              <w:t>达标分析</w:t>
            </w:r>
          </w:p>
        </w:tc>
      </w:tr>
      <w:tr w14:paraId="7DCC53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89" w:type="pct"/>
            <w:vMerge w:val="restart"/>
            <w:tcBorders>
              <w:tl2br w:val="nil"/>
              <w:tr2bl w:val="nil"/>
            </w:tcBorders>
            <w:noWrap/>
            <w:vAlign w:val="center"/>
          </w:tcPr>
          <w:p w14:paraId="02C28E98">
            <w:pPr>
              <w:widowControl/>
              <w:spacing w:line="240" w:lineRule="auto"/>
              <w:ind w:firstLine="0" w:firstLineChars="0"/>
              <w:jc w:val="center"/>
              <w:textAlignment w:val="center"/>
              <w:rPr>
                <w:color w:val="auto"/>
                <w:sz w:val="21"/>
                <w:szCs w:val="21"/>
              </w:rPr>
            </w:pPr>
            <w:r>
              <w:rPr>
                <w:color w:val="auto"/>
                <w:kern w:val="0"/>
                <w:sz w:val="21"/>
                <w:szCs w:val="21"/>
                <w:lang w:bidi="ar"/>
              </w:rPr>
              <w:t>一期废水排放口</w:t>
            </w:r>
          </w:p>
        </w:tc>
        <w:tc>
          <w:tcPr>
            <w:tcW w:w="1135" w:type="pct"/>
            <w:tcBorders>
              <w:tl2br w:val="nil"/>
              <w:tr2bl w:val="nil"/>
            </w:tcBorders>
            <w:noWrap/>
            <w:vAlign w:val="center"/>
          </w:tcPr>
          <w:p w14:paraId="7CE51E54">
            <w:pPr>
              <w:widowControl/>
              <w:spacing w:line="240" w:lineRule="auto"/>
              <w:ind w:firstLine="0" w:firstLineChars="0"/>
              <w:jc w:val="center"/>
              <w:textAlignment w:val="center"/>
              <w:rPr>
                <w:color w:val="auto"/>
                <w:sz w:val="21"/>
                <w:szCs w:val="21"/>
              </w:rPr>
            </w:pPr>
            <w:r>
              <w:rPr>
                <w:rFonts w:cs="Arial"/>
                <w:color w:val="auto"/>
                <w:kern w:val="0"/>
                <w:sz w:val="21"/>
                <w:lang w:bidi="ar"/>
              </w:rPr>
              <w:t>色度</w:t>
            </w:r>
          </w:p>
        </w:tc>
        <w:tc>
          <w:tcPr>
            <w:tcW w:w="609" w:type="pct"/>
            <w:tcBorders>
              <w:tl2br w:val="nil"/>
              <w:tr2bl w:val="nil"/>
            </w:tcBorders>
            <w:noWrap/>
            <w:vAlign w:val="center"/>
          </w:tcPr>
          <w:p w14:paraId="7CC976CC">
            <w:pPr>
              <w:widowControl/>
              <w:spacing w:line="240" w:lineRule="auto"/>
              <w:ind w:firstLine="0" w:firstLineChars="0"/>
              <w:jc w:val="center"/>
              <w:textAlignment w:val="center"/>
              <w:rPr>
                <w:color w:val="auto"/>
                <w:sz w:val="21"/>
                <w:szCs w:val="21"/>
              </w:rPr>
            </w:pPr>
            <w:r>
              <w:rPr>
                <w:rFonts w:hint="eastAsia"/>
                <w:color w:val="auto"/>
                <w:sz w:val="21"/>
                <w:szCs w:val="21"/>
              </w:rPr>
              <w:t>3</w:t>
            </w:r>
          </w:p>
        </w:tc>
        <w:tc>
          <w:tcPr>
            <w:tcW w:w="552" w:type="pct"/>
            <w:tcBorders>
              <w:tl2br w:val="nil"/>
              <w:tr2bl w:val="nil"/>
            </w:tcBorders>
            <w:noWrap/>
            <w:vAlign w:val="center"/>
          </w:tcPr>
          <w:p w14:paraId="57DF71CF">
            <w:pPr>
              <w:widowControl/>
              <w:spacing w:line="240" w:lineRule="auto"/>
              <w:ind w:firstLine="0" w:firstLineChars="0"/>
              <w:jc w:val="center"/>
              <w:textAlignment w:val="center"/>
              <w:rPr>
                <w:color w:val="auto"/>
                <w:sz w:val="21"/>
                <w:szCs w:val="21"/>
              </w:rPr>
            </w:pPr>
            <w:r>
              <w:rPr>
                <w:rFonts w:hint="eastAsia"/>
                <w:color w:val="auto"/>
                <w:sz w:val="21"/>
                <w:szCs w:val="21"/>
              </w:rPr>
              <w:t>20</w:t>
            </w:r>
          </w:p>
        </w:tc>
        <w:tc>
          <w:tcPr>
            <w:tcW w:w="532" w:type="pct"/>
            <w:tcBorders>
              <w:tl2br w:val="nil"/>
              <w:tr2bl w:val="nil"/>
            </w:tcBorders>
            <w:noWrap/>
            <w:vAlign w:val="center"/>
          </w:tcPr>
          <w:p w14:paraId="321DFC39">
            <w:pPr>
              <w:widowControl/>
              <w:spacing w:line="240" w:lineRule="auto"/>
              <w:ind w:firstLine="0" w:firstLineChars="0"/>
              <w:jc w:val="center"/>
              <w:textAlignment w:val="center"/>
              <w:rPr>
                <w:color w:val="auto"/>
                <w:sz w:val="21"/>
                <w:szCs w:val="21"/>
              </w:rPr>
            </w:pPr>
            <w:r>
              <w:rPr>
                <w:rFonts w:hint="eastAsia" w:cs="宋体"/>
                <w:color w:val="auto"/>
                <w:kern w:val="0"/>
                <w:sz w:val="21"/>
                <w:szCs w:val="22"/>
                <w:lang w:bidi="ar"/>
              </w:rPr>
              <w:t>9.000</w:t>
            </w:r>
          </w:p>
        </w:tc>
        <w:tc>
          <w:tcPr>
            <w:tcW w:w="644" w:type="pct"/>
            <w:tcBorders>
              <w:tl2br w:val="nil"/>
              <w:tr2bl w:val="nil"/>
            </w:tcBorders>
            <w:noWrap/>
            <w:vAlign w:val="center"/>
          </w:tcPr>
          <w:p w14:paraId="4361F15F">
            <w:pPr>
              <w:widowControl/>
              <w:spacing w:line="240" w:lineRule="auto"/>
              <w:ind w:firstLine="0" w:firstLineChars="0"/>
              <w:jc w:val="center"/>
              <w:textAlignment w:val="center"/>
              <w:rPr>
                <w:color w:val="auto"/>
                <w:sz w:val="21"/>
                <w:szCs w:val="21"/>
              </w:rPr>
            </w:pPr>
            <w:r>
              <w:rPr>
                <w:rFonts w:hint="eastAsia"/>
                <w:color w:val="auto"/>
                <w:sz w:val="21"/>
                <w:szCs w:val="21"/>
              </w:rPr>
              <w:t>≤60倍</w:t>
            </w:r>
          </w:p>
        </w:tc>
        <w:tc>
          <w:tcPr>
            <w:tcW w:w="536" w:type="pct"/>
            <w:tcBorders>
              <w:tl2br w:val="nil"/>
              <w:tr2bl w:val="nil"/>
            </w:tcBorders>
            <w:noWrap/>
            <w:vAlign w:val="center"/>
          </w:tcPr>
          <w:p w14:paraId="1F759B1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达标</w:t>
            </w:r>
          </w:p>
        </w:tc>
      </w:tr>
      <w:tr w14:paraId="088D6B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89" w:type="pct"/>
            <w:vMerge w:val="continue"/>
            <w:tcBorders>
              <w:tl2br w:val="nil"/>
              <w:tr2bl w:val="nil"/>
            </w:tcBorders>
            <w:noWrap/>
            <w:vAlign w:val="center"/>
          </w:tcPr>
          <w:p w14:paraId="22AFC091">
            <w:pPr>
              <w:widowControl/>
              <w:spacing w:line="240" w:lineRule="auto"/>
              <w:ind w:firstLine="0" w:firstLineChars="0"/>
              <w:jc w:val="center"/>
              <w:rPr>
                <w:color w:val="auto"/>
                <w:sz w:val="21"/>
                <w:szCs w:val="21"/>
              </w:rPr>
            </w:pPr>
          </w:p>
        </w:tc>
        <w:tc>
          <w:tcPr>
            <w:tcW w:w="1135" w:type="pct"/>
            <w:tcBorders>
              <w:tl2br w:val="nil"/>
              <w:tr2bl w:val="nil"/>
            </w:tcBorders>
            <w:noWrap/>
            <w:vAlign w:val="center"/>
          </w:tcPr>
          <w:p w14:paraId="4B7B4621">
            <w:pPr>
              <w:widowControl/>
              <w:spacing w:line="240" w:lineRule="auto"/>
              <w:ind w:firstLine="0" w:firstLineChars="0"/>
              <w:jc w:val="center"/>
              <w:textAlignment w:val="center"/>
              <w:rPr>
                <w:color w:val="auto"/>
                <w:sz w:val="21"/>
                <w:szCs w:val="21"/>
              </w:rPr>
            </w:pPr>
            <w:r>
              <w:rPr>
                <w:rFonts w:cs="Arial"/>
                <w:color w:val="auto"/>
                <w:kern w:val="0"/>
                <w:sz w:val="21"/>
                <w:lang w:bidi="ar"/>
              </w:rPr>
              <w:t>悬浮物</w:t>
            </w:r>
          </w:p>
        </w:tc>
        <w:tc>
          <w:tcPr>
            <w:tcW w:w="609" w:type="pct"/>
            <w:tcBorders>
              <w:tl2br w:val="nil"/>
              <w:tr2bl w:val="nil"/>
            </w:tcBorders>
            <w:noWrap/>
            <w:vAlign w:val="center"/>
          </w:tcPr>
          <w:p w14:paraId="533E3674">
            <w:pPr>
              <w:widowControl/>
              <w:spacing w:line="240" w:lineRule="auto"/>
              <w:ind w:firstLine="0" w:firstLineChars="0"/>
              <w:jc w:val="center"/>
              <w:textAlignment w:val="center"/>
              <w:rPr>
                <w:color w:val="auto"/>
                <w:sz w:val="21"/>
                <w:szCs w:val="21"/>
              </w:rPr>
            </w:pPr>
            <w:r>
              <w:rPr>
                <w:rFonts w:hint="eastAsia"/>
                <w:color w:val="auto"/>
                <w:sz w:val="21"/>
                <w:szCs w:val="21"/>
              </w:rPr>
              <w:t>22</w:t>
            </w:r>
          </w:p>
        </w:tc>
        <w:tc>
          <w:tcPr>
            <w:tcW w:w="552" w:type="pct"/>
            <w:tcBorders>
              <w:tl2br w:val="nil"/>
              <w:tr2bl w:val="nil"/>
            </w:tcBorders>
            <w:noWrap/>
            <w:vAlign w:val="center"/>
          </w:tcPr>
          <w:p w14:paraId="14BBF183">
            <w:pPr>
              <w:widowControl/>
              <w:spacing w:line="240" w:lineRule="auto"/>
              <w:ind w:firstLine="0" w:firstLineChars="0"/>
              <w:jc w:val="center"/>
              <w:textAlignment w:val="center"/>
              <w:rPr>
                <w:color w:val="auto"/>
                <w:sz w:val="21"/>
                <w:szCs w:val="21"/>
              </w:rPr>
            </w:pPr>
            <w:r>
              <w:rPr>
                <w:rFonts w:hint="eastAsia"/>
                <w:color w:val="auto"/>
                <w:sz w:val="21"/>
                <w:szCs w:val="21"/>
              </w:rPr>
              <w:t>32</w:t>
            </w:r>
          </w:p>
        </w:tc>
        <w:tc>
          <w:tcPr>
            <w:tcW w:w="532" w:type="pct"/>
            <w:tcBorders>
              <w:tl2br w:val="nil"/>
              <w:tr2bl w:val="nil"/>
            </w:tcBorders>
            <w:noWrap/>
            <w:vAlign w:val="center"/>
          </w:tcPr>
          <w:p w14:paraId="092CDB40">
            <w:pPr>
              <w:widowControl/>
              <w:spacing w:line="240" w:lineRule="auto"/>
              <w:ind w:firstLine="0" w:firstLineChars="0"/>
              <w:jc w:val="center"/>
              <w:textAlignment w:val="center"/>
              <w:rPr>
                <w:color w:val="auto"/>
                <w:sz w:val="21"/>
                <w:szCs w:val="21"/>
              </w:rPr>
            </w:pPr>
            <w:r>
              <w:rPr>
                <w:rFonts w:hint="eastAsia" w:cs="宋体"/>
                <w:color w:val="auto"/>
                <w:kern w:val="0"/>
                <w:sz w:val="21"/>
                <w:szCs w:val="22"/>
                <w:lang w:bidi="ar"/>
              </w:rPr>
              <w:t>25.222</w:t>
            </w:r>
          </w:p>
        </w:tc>
        <w:tc>
          <w:tcPr>
            <w:tcW w:w="644" w:type="pct"/>
            <w:tcBorders>
              <w:tl2br w:val="nil"/>
              <w:tr2bl w:val="nil"/>
            </w:tcBorders>
            <w:noWrap/>
            <w:vAlign w:val="center"/>
          </w:tcPr>
          <w:p w14:paraId="18E3E39E">
            <w:pPr>
              <w:widowControl/>
              <w:spacing w:line="240" w:lineRule="auto"/>
              <w:ind w:firstLine="0" w:firstLineChars="0"/>
              <w:jc w:val="center"/>
              <w:textAlignment w:val="center"/>
              <w:rPr>
                <w:color w:val="auto"/>
                <w:sz w:val="21"/>
                <w:szCs w:val="21"/>
              </w:rPr>
            </w:pPr>
            <w:r>
              <w:rPr>
                <w:rFonts w:hint="eastAsia"/>
                <w:color w:val="auto"/>
                <w:sz w:val="21"/>
                <w:szCs w:val="21"/>
              </w:rPr>
              <w:t>100</w:t>
            </w:r>
          </w:p>
        </w:tc>
        <w:tc>
          <w:tcPr>
            <w:tcW w:w="536" w:type="pct"/>
            <w:tcBorders>
              <w:tl2br w:val="nil"/>
              <w:tr2bl w:val="nil"/>
            </w:tcBorders>
            <w:noWrap/>
            <w:vAlign w:val="center"/>
          </w:tcPr>
          <w:p w14:paraId="799FF52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达标</w:t>
            </w:r>
          </w:p>
        </w:tc>
      </w:tr>
      <w:tr w14:paraId="322400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89" w:type="pct"/>
            <w:vMerge w:val="continue"/>
            <w:tcBorders>
              <w:tl2br w:val="nil"/>
              <w:tr2bl w:val="nil"/>
            </w:tcBorders>
            <w:noWrap/>
            <w:vAlign w:val="center"/>
          </w:tcPr>
          <w:p w14:paraId="3DE64CE9">
            <w:pPr>
              <w:widowControl/>
              <w:spacing w:line="240" w:lineRule="auto"/>
              <w:ind w:firstLine="0" w:firstLineChars="0"/>
              <w:jc w:val="center"/>
              <w:rPr>
                <w:color w:val="auto"/>
                <w:sz w:val="21"/>
                <w:szCs w:val="21"/>
              </w:rPr>
            </w:pPr>
          </w:p>
        </w:tc>
        <w:tc>
          <w:tcPr>
            <w:tcW w:w="1135" w:type="pct"/>
            <w:tcBorders>
              <w:tl2br w:val="nil"/>
              <w:tr2bl w:val="nil"/>
            </w:tcBorders>
            <w:noWrap/>
            <w:vAlign w:val="center"/>
          </w:tcPr>
          <w:p w14:paraId="47216641">
            <w:pPr>
              <w:widowControl/>
              <w:spacing w:line="240" w:lineRule="auto"/>
              <w:ind w:firstLine="0" w:firstLineChars="0"/>
              <w:jc w:val="center"/>
              <w:textAlignment w:val="center"/>
              <w:rPr>
                <w:color w:val="auto"/>
                <w:sz w:val="21"/>
                <w:szCs w:val="21"/>
              </w:rPr>
            </w:pPr>
            <w:r>
              <w:rPr>
                <w:rFonts w:cs="Arial"/>
                <w:color w:val="auto"/>
                <w:kern w:val="0"/>
                <w:sz w:val="21"/>
                <w:lang w:bidi="ar"/>
              </w:rPr>
              <w:t>氨氮</w:t>
            </w:r>
          </w:p>
        </w:tc>
        <w:tc>
          <w:tcPr>
            <w:tcW w:w="609" w:type="pct"/>
            <w:tcBorders>
              <w:tl2br w:val="nil"/>
              <w:tr2bl w:val="nil"/>
            </w:tcBorders>
            <w:noWrap/>
            <w:vAlign w:val="center"/>
          </w:tcPr>
          <w:p w14:paraId="675C9CC2">
            <w:pPr>
              <w:widowControl/>
              <w:spacing w:line="240" w:lineRule="auto"/>
              <w:ind w:firstLine="0" w:firstLineChars="0"/>
              <w:jc w:val="center"/>
              <w:textAlignment w:val="center"/>
              <w:rPr>
                <w:color w:val="auto"/>
                <w:sz w:val="21"/>
                <w:szCs w:val="21"/>
              </w:rPr>
            </w:pPr>
            <w:r>
              <w:rPr>
                <w:rFonts w:hint="eastAsia"/>
                <w:color w:val="auto"/>
                <w:sz w:val="21"/>
                <w:szCs w:val="21"/>
              </w:rPr>
              <w:t>1.17</w:t>
            </w:r>
          </w:p>
        </w:tc>
        <w:tc>
          <w:tcPr>
            <w:tcW w:w="552" w:type="pct"/>
            <w:tcBorders>
              <w:tl2br w:val="nil"/>
              <w:tr2bl w:val="nil"/>
            </w:tcBorders>
            <w:noWrap/>
            <w:vAlign w:val="center"/>
          </w:tcPr>
          <w:p w14:paraId="66F6B3D0">
            <w:pPr>
              <w:widowControl/>
              <w:spacing w:line="240" w:lineRule="auto"/>
              <w:ind w:firstLine="0" w:firstLineChars="0"/>
              <w:jc w:val="center"/>
              <w:textAlignment w:val="center"/>
              <w:rPr>
                <w:color w:val="auto"/>
                <w:sz w:val="21"/>
                <w:szCs w:val="21"/>
              </w:rPr>
            </w:pPr>
            <w:r>
              <w:rPr>
                <w:rFonts w:hint="eastAsia"/>
                <w:color w:val="auto"/>
                <w:sz w:val="21"/>
                <w:szCs w:val="21"/>
              </w:rPr>
              <w:t>3.6</w:t>
            </w:r>
          </w:p>
        </w:tc>
        <w:tc>
          <w:tcPr>
            <w:tcW w:w="532" w:type="pct"/>
            <w:tcBorders>
              <w:tl2br w:val="nil"/>
              <w:tr2bl w:val="nil"/>
            </w:tcBorders>
            <w:noWrap/>
            <w:vAlign w:val="center"/>
          </w:tcPr>
          <w:p w14:paraId="215D1DA3">
            <w:pPr>
              <w:widowControl/>
              <w:spacing w:line="240" w:lineRule="auto"/>
              <w:ind w:firstLine="0" w:firstLineChars="0"/>
              <w:jc w:val="center"/>
              <w:textAlignment w:val="center"/>
              <w:rPr>
                <w:color w:val="auto"/>
                <w:sz w:val="21"/>
                <w:szCs w:val="21"/>
              </w:rPr>
            </w:pPr>
            <w:r>
              <w:rPr>
                <w:rFonts w:hint="eastAsia" w:cs="宋体"/>
                <w:color w:val="auto"/>
                <w:kern w:val="0"/>
                <w:sz w:val="21"/>
                <w:szCs w:val="22"/>
                <w:lang w:bidi="ar"/>
              </w:rPr>
              <w:t>2.303</w:t>
            </w:r>
          </w:p>
        </w:tc>
        <w:tc>
          <w:tcPr>
            <w:tcW w:w="644" w:type="pct"/>
            <w:tcBorders>
              <w:tl2br w:val="nil"/>
              <w:tr2bl w:val="nil"/>
            </w:tcBorders>
            <w:noWrap/>
            <w:vAlign w:val="center"/>
          </w:tcPr>
          <w:p w14:paraId="0C46BF59">
            <w:pPr>
              <w:widowControl/>
              <w:spacing w:line="240" w:lineRule="auto"/>
              <w:ind w:firstLine="0" w:firstLineChars="0"/>
              <w:jc w:val="center"/>
              <w:textAlignment w:val="center"/>
              <w:rPr>
                <w:color w:val="auto"/>
                <w:sz w:val="21"/>
                <w:szCs w:val="21"/>
              </w:rPr>
            </w:pPr>
            <w:r>
              <w:rPr>
                <w:rFonts w:hint="eastAsia"/>
                <w:color w:val="auto"/>
                <w:sz w:val="21"/>
                <w:szCs w:val="21"/>
              </w:rPr>
              <w:t>40</w:t>
            </w:r>
          </w:p>
        </w:tc>
        <w:tc>
          <w:tcPr>
            <w:tcW w:w="536" w:type="pct"/>
            <w:tcBorders>
              <w:tl2br w:val="nil"/>
              <w:tr2bl w:val="nil"/>
            </w:tcBorders>
            <w:noWrap/>
            <w:vAlign w:val="center"/>
          </w:tcPr>
          <w:p w14:paraId="1127779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达标</w:t>
            </w:r>
          </w:p>
        </w:tc>
      </w:tr>
      <w:tr w14:paraId="7007CC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89" w:type="pct"/>
            <w:vMerge w:val="continue"/>
            <w:tcBorders>
              <w:tl2br w:val="nil"/>
              <w:tr2bl w:val="nil"/>
            </w:tcBorders>
            <w:noWrap/>
            <w:vAlign w:val="center"/>
          </w:tcPr>
          <w:p w14:paraId="2A2A5EA9">
            <w:pPr>
              <w:widowControl/>
              <w:spacing w:line="240" w:lineRule="auto"/>
              <w:ind w:firstLine="0" w:firstLineChars="0"/>
              <w:jc w:val="center"/>
              <w:rPr>
                <w:color w:val="auto"/>
                <w:sz w:val="21"/>
                <w:szCs w:val="21"/>
              </w:rPr>
            </w:pPr>
          </w:p>
        </w:tc>
        <w:tc>
          <w:tcPr>
            <w:tcW w:w="1135" w:type="pct"/>
            <w:tcBorders>
              <w:tl2br w:val="nil"/>
              <w:tr2bl w:val="nil"/>
            </w:tcBorders>
            <w:noWrap/>
            <w:vAlign w:val="center"/>
          </w:tcPr>
          <w:p w14:paraId="367E30D8">
            <w:pPr>
              <w:widowControl/>
              <w:spacing w:line="240" w:lineRule="auto"/>
              <w:ind w:firstLine="0" w:firstLineChars="0"/>
              <w:jc w:val="center"/>
              <w:textAlignment w:val="center"/>
              <w:rPr>
                <w:color w:val="auto"/>
                <w:sz w:val="21"/>
                <w:szCs w:val="21"/>
              </w:rPr>
            </w:pPr>
            <w:r>
              <w:rPr>
                <w:rFonts w:cs="Arial"/>
                <w:color w:val="auto"/>
                <w:kern w:val="0"/>
                <w:sz w:val="21"/>
                <w:lang w:bidi="ar"/>
              </w:rPr>
              <w:t>总磷</w:t>
            </w:r>
          </w:p>
        </w:tc>
        <w:tc>
          <w:tcPr>
            <w:tcW w:w="609" w:type="pct"/>
            <w:tcBorders>
              <w:tl2br w:val="nil"/>
              <w:tr2bl w:val="nil"/>
            </w:tcBorders>
            <w:noWrap/>
            <w:vAlign w:val="center"/>
          </w:tcPr>
          <w:p w14:paraId="222491D5">
            <w:pPr>
              <w:widowControl/>
              <w:spacing w:line="240" w:lineRule="auto"/>
              <w:ind w:firstLine="0" w:firstLineChars="0"/>
              <w:jc w:val="center"/>
              <w:textAlignment w:val="center"/>
              <w:rPr>
                <w:color w:val="auto"/>
                <w:sz w:val="21"/>
                <w:szCs w:val="21"/>
              </w:rPr>
            </w:pPr>
            <w:r>
              <w:rPr>
                <w:rFonts w:hint="eastAsia"/>
                <w:color w:val="auto"/>
                <w:sz w:val="21"/>
                <w:szCs w:val="21"/>
              </w:rPr>
              <w:t>0.3</w:t>
            </w:r>
          </w:p>
        </w:tc>
        <w:tc>
          <w:tcPr>
            <w:tcW w:w="552" w:type="pct"/>
            <w:tcBorders>
              <w:tl2br w:val="nil"/>
              <w:tr2bl w:val="nil"/>
            </w:tcBorders>
            <w:noWrap/>
            <w:vAlign w:val="center"/>
          </w:tcPr>
          <w:p w14:paraId="6FFB572B">
            <w:pPr>
              <w:widowControl/>
              <w:spacing w:line="240" w:lineRule="auto"/>
              <w:ind w:firstLine="0" w:firstLineChars="0"/>
              <w:jc w:val="center"/>
              <w:textAlignment w:val="center"/>
              <w:rPr>
                <w:color w:val="auto"/>
                <w:sz w:val="21"/>
                <w:szCs w:val="21"/>
              </w:rPr>
            </w:pPr>
            <w:r>
              <w:rPr>
                <w:rFonts w:hint="eastAsia"/>
                <w:color w:val="auto"/>
                <w:sz w:val="21"/>
                <w:szCs w:val="21"/>
              </w:rPr>
              <w:t>0.85</w:t>
            </w:r>
          </w:p>
        </w:tc>
        <w:tc>
          <w:tcPr>
            <w:tcW w:w="532" w:type="pct"/>
            <w:tcBorders>
              <w:tl2br w:val="nil"/>
              <w:tr2bl w:val="nil"/>
            </w:tcBorders>
            <w:noWrap/>
            <w:vAlign w:val="center"/>
          </w:tcPr>
          <w:p w14:paraId="184BEEB4">
            <w:pPr>
              <w:widowControl/>
              <w:spacing w:line="240" w:lineRule="auto"/>
              <w:ind w:firstLine="0" w:firstLineChars="0"/>
              <w:jc w:val="center"/>
              <w:textAlignment w:val="center"/>
              <w:rPr>
                <w:color w:val="auto"/>
                <w:sz w:val="21"/>
                <w:szCs w:val="21"/>
              </w:rPr>
            </w:pPr>
            <w:r>
              <w:rPr>
                <w:rFonts w:hint="eastAsia" w:cs="宋体"/>
                <w:color w:val="auto"/>
                <w:kern w:val="0"/>
                <w:sz w:val="21"/>
                <w:szCs w:val="22"/>
                <w:lang w:bidi="ar"/>
              </w:rPr>
              <w:t>0.514</w:t>
            </w:r>
          </w:p>
        </w:tc>
        <w:tc>
          <w:tcPr>
            <w:tcW w:w="644" w:type="pct"/>
            <w:tcBorders>
              <w:tl2br w:val="nil"/>
              <w:tr2bl w:val="nil"/>
            </w:tcBorders>
            <w:noWrap/>
            <w:vAlign w:val="center"/>
          </w:tcPr>
          <w:p w14:paraId="34114064">
            <w:pPr>
              <w:widowControl/>
              <w:spacing w:line="240" w:lineRule="auto"/>
              <w:ind w:firstLine="0" w:firstLineChars="0"/>
              <w:jc w:val="center"/>
              <w:textAlignment w:val="center"/>
              <w:rPr>
                <w:color w:val="auto"/>
                <w:sz w:val="21"/>
                <w:szCs w:val="21"/>
              </w:rPr>
            </w:pPr>
            <w:r>
              <w:rPr>
                <w:rFonts w:hint="eastAsia"/>
                <w:color w:val="auto"/>
                <w:sz w:val="21"/>
                <w:szCs w:val="21"/>
              </w:rPr>
              <w:t>3</w:t>
            </w:r>
          </w:p>
        </w:tc>
        <w:tc>
          <w:tcPr>
            <w:tcW w:w="536" w:type="pct"/>
            <w:tcBorders>
              <w:tl2br w:val="nil"/>
              <w:tr2bl w:val="nil"/>
            </w:tcBorders>
            <w:noWrap/>
            <w:vAlign w:val="center"/>
          </w:tcPr>
          <w:p w14:paraId="14DFFD5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达标</w:t>
            </w:r>
          </w:p>
        </w:tc>
      </w:tr>
      <w:tr w14:paraId="63707B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89" w:type="pct"/>
            <w:vMerge w:val="continue"/>
            <w:tcBorders>
              <w:tl2br w:val="nil"/>
              <w:tr2bl w:val="nil"/>
            </w:tcBorders>
            <w:noWrap/>
            <w:vAlign w:val="center"/>
          </w:tcPr>
          <w:p w14:paraId="762DC9D3">
            <w:pPr>
              <w:widowControl/>
              <w:spacing w:line="240" w:lineRule="auto"/>
              <w:ind w:firstLine="0" w:firstLineChars="0"/>
              <w:jc w:val="center"/>
              <w:rPr>
                <w:color w:val="auto"/>
                <w:sz w:val="21"/>
                <w:szCs w:val="21"/>
              </w:rPr>
            </w:pPr>
          </w:p>
        </w:tc>
        <w:tc>
          <w:tcPr>
            <w:tcW w:w="1135" w:type="pct"/>
            <w:tcBorders>
              <w:tl2br w:val="nil"/>
              <w:tr2bl w:val="nil"/>
            </w:tcBorders>
            <w:noWrap/>
            <w:vAlign w:val="center"/>
          </w:tcPr>
          <w:p w14:paraId="55A48F79">
            <w:pPr>
              <w:widowControl/>
              <w:spacing w:line="240" w:lineRule="auto"/>
              <w:ind w:firstLine="0" w:firstLineChars="0"/>
              <w:jc w:val="center"/>
              <w:textAlignment w:val="center"/>
              <w:rPr>
                <w:color w:val="auto"/>
                <w:sz w:val="21"/>
                <w:szCs w:val="21"/>
              </w:rPr>
            </w:pPr>
            <w:r>
              <w:rPr>
                <w:rFonts w:cs="Arial"/>
                <w:color w:val="auto"/>
                <w:kern w:val="0"/>
                <w:sz w:val="21"/>
                <w:lang w:bidi="ar"/>
              </w:rPr>
              <w:t>石油类</w:t>
            </w:r>
          </w:p>
        </w:tc>
        <w:tc>
          <w:tcPr>
            <w:tcW w:w="609" w:type="pct"/>
            <w:tcBorders>
              <w:tl2br w:val="nil"/>
              <w:tr2bl w:val="nil"/>
            </w:tcBorders>
            <w:noWrap/>
            <w:vAlign w:val="center"/>
          </w:tcPr>
          <w:p w14:paraId="2520FD7C">
            <w:pPr>
              <w:widowControl/>
              <w:spacing w:line="240" w:lineRule="auto"/>
              <w:ind w:firstLine="0" w:firstLineChars="0"/>
              <w:jc w:val="center"/>
              <w:textAlignment w:val="center"/>
              <w:rPr>
                <w:color w:val="auto"/>
                <w:sz w:val="21"/>
                <w:szCs w:val="21"/>
              </w:rPr>
            </w:pPr>
            <w:r>
              <w:rPr>
                <w:rFonts w:hint="eastAsia"/>
                <w:color w:val="auto"/>
                <w:sz w:val="21"/>
                <w:szCs w:val="21"/>
              </w:rPr>
              <w:t>ND</w:t>
            </w:r>
          </w:p>
        </w:tc>
        <w:tc>
          <w:tcPr>
            <w:tcW w:w="552" w:type="pct"/>
            <w:tcBorders>
              <w:tl2br w:val="nil"/>
              <w:tr2bl w:val="nil"/>
            </w:tcBorders>
            <w:noWrap/>
            <w:vAlign w:val="center"/>
          </w:tcPr>
          <w:p w14:paraId="7DA9406E">
            <w:pPr>
              <w:widowControl/>
              <w:spacing w:line="240" w:lineRule="auto"/>
              <w:ind w:firstLine="0" w:firstLineChars="0"/>
              <w:jc w:val="center"/>
              <w:textAlignment w:val="center"/>
              <w:rPr>
                <w:color w:val="auto"/>
                <w:sz w:val="21"/>
                <w:szCs w:val="21"/>
              </w:rPr>
            </w:pPr>
            <w:r>
              <w:rPr>
                <w:rFonts w:hint="eastAsia"/>
                <w:color w:val="auto"/>
                <w:sz w:val="21"/>
                <w:szCs w:val="21"/>
              </w:rPr>
              <w:t>ND</w:t>
            </w:r>
          </w:p>
        </w:tc>
        <w:tc>
          <w:tcPr>
            <w:tcW w:w="532" w:type="pct"/>
            <w:tcBorders>
              <w:tl2br w:val="nil"/>
              <w:tr2bl w:val="nil"/>
            </w:tcBorders>
            <w:noWrap/>
            <w:vAlign w:val="center"/>
          </w:tcPr>
          <w:p w14:paraId="6119B99D">
            <w:pPr>
              <w:spacing w:line="240" w:lineRule="auto"/>
              <w:ind w:firstLine="0" w:firstLineChars="0"/>
              <w:jc w:val="center"/>
              <w:rPr>
                <w:color w:val="auto"/>
                <w:sz w:val="21"/>
                <w:szCs w:val="21"/>
              </w:rPr>
            </w:pPr>
            <w:r>
              <w:rPr>
                <w:rFonts w:hint="eastAsia"/>
                <w:color w:val="auto"/>
                <w:sz w:val="21"/>
                <w:szCs w:val="21"/>
              </w:rPr>
              <w:t>/</w:t>
            </w:r>
          </w:p>
        </w:tc>
        <w:tc>
          <w:tcPr>
            <w:tcW w:w="644" w:type="pct"/>
            <w:tcBorders>
              <w:tl2br w:val="nil"/>
              <w:tr2bl w:val="nil"/>
            </w:tcBorders>
            <w:noWrap/>
            <w:vAlign w:val="center"/>
          </w:tcPr>
          <w:p w14:paraId="32F2AD67">
            <w:pPr>
              <w:widowControl/>
              <w:spacing w:line="240" w:lineRule="auto"/>
              <w:ind w:firstLine="0" w:firstLineChars="0"/>
              <w:jc w:val="center"/>
              <w:textAlignment w:val="center"/>
              <w:rPr>
                <w:color w:val="auto"/>
                <w:sz w:val="21"/>
                <w:szCs w:val="21"/>
              </w:rPr>
            </w:pPr>
            <w:r>
              <w:rPr>
                <w:rFonts w:hint="eastAsia"/>
                <w:color w:val="auto"/>
                <w:sz w:val="21"/>
                <w:szCs w:val="21"/>
              </w:rPr>
              <w:t>20</w:t>
            </w:r>
          </w:p>
        </w:tc>
        <w:tc>
          <w:tcPr>
            <w:tcW w:w="536" w:type="pct"/>
            <w:tcBorders>
              <w:tl2br w:val="nil"/>
              <w:tr2bl w:val="nil"/>
            </w:tcBorders>
            <w:noWrap/>
            <w:vAlign w:val="center"/>
          </w:tcPr>
          <w:p w14:paraId="22F31B7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达标</w:t>
            </w:r>
          </w:p>
        </w:tc>
      </w:tr>
      <w:tr w14:paraId="00C7D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89" w:type="pct"/>
            <w:vMerge w:val="continue"/>
            <w:tcBorders>
              <w:tl2br w:val="nil"/>
              <w:tr2bl w:val="nil"/>
            </w:tcBorders>
            <w:noWrap/>
            <w:vAlign w:val="center"/>
          </w:tcPr>
          <w:p w14:paraId="6D3B88A4">
            <w:pPr>
              <w:widowControl/>
              <w:spacing w:line="240" w:lineRule="auto"/>
              <w:ind w:firstLine="0" w:firstLineChars="0"/>
              <w:jc w:val="center"/>
              <w:rPr>
                <w:color w:val="auto"/>
                <w:sz w:val="21"/>
                <w:szCs w:val="21"/>
              </w:rPr>
            </w:pPr>
          </w:p>
        </w:tc>
        <w:tc>
          <w:tcPr>
            <w:tcW w:w="1135" w:type="pct"/>
            <w:tcBorders>
              <w:tl2br w:val="nil"/>
              <w:tr2bl w:val="nil"/>
            </w:tcBorders>
            <w:noWrap/>
            <w:vAlign w:val="center"/>
          </w:tcPr>
          <w:p w14:paraId="1FF5F471">
            <w:pPr>
              <w:widowControl/>
              <w:spacing w:line="240" w:lineRule="auto"/>
              <w:ind w:firstLine="0" w:firstLineChars="0"/>
              <w:jc w:val="center"/>
              <w:textAlignment w:val="center"/>
              <w:rPr>
                <w:color w:val="auto"/>
                <w:sz w:val="21"/>
                <w:szCs w:val="21"/>
              </w:rPr>
            </w:pPr>
            <w:r>
              <w:rPr>
                <w:rFonts w:cs="Arial"/>
                <w:color w:val="auto"/>
                <w:kern w:val="0"/>
                <w:sz w:val="21"/>
                <w:lang w:bidi="ar"/>
              </w:rPr>
              <w:t>苯胺类化合物</w:t>
            </w:r>
          </w:p>
        </w:tc>
        <w:tc>
          <w:tcPr>
            <w:tcW w:w="609" w:type="pct"/>
            <w:tcBorders>
              <w:tl2br w:val="nil"/>
              <w:tr2bl w:val="nil"/>
            </w:tcBorders>
            <w:noWrap/>
            <w:vAlign w:val="center"/>
          </w:tcPr>
          <w:p w14:paraId="39AF4614">
            <w:pPr>
              <w:widowControl/>
              <w:spacing w:line="240" w:lineRule="auto"/>
              <w:ind w:firstLine="0" w:firstLineChars="0"/>
              <w:jc w:val="center"/>
              <w:textAlignment w:val="center"/>
              <w:rPr>
                <w:color w:val="auto"/>
                <w:sz w:val="21"/>
                <w:szCs w:val="21"/>
              </w:rPr>
            </w:pPr>
            <w:r>
              <w:rPr>
                <w:rFonts w:hint="eastAsia"/>
                <w:color w:val="auto"/>
                <w:sz w:val="21"/>
                <w:szCs w:val="21"/>
              </w:rPr>
              <w:t>0.14</w:t>
            </w:r>
          </w:p>
        </w:tc>
        <w:tc>
          <w:tcPr>
            <w:tcW w:w="552" w:type="pct"/>
            <w:tcBorders>
              <w:tl2br w:val="nil"/>
              <w:tr2bl w:val="nil"/>
            </w:tcBorders>
            <w:noWrap/>
            <w:vAlign w:val="center"/>
          </w:tcPr>
          <w:p w14:paraId="14203B7E">
            <w:pPr>
              <w:widowControl/>
              <w:spacing w:line="240" w:lineRule="auto"/>
              <w:ind w:firstLine="0" w:firstLineChars="0"/>
              <w:jc w:val="center"/>
              <w:textAlignment w:val="center"/>
              <w:rPr>
                <w:color w:val="auto"/>
                <w:sz w:val="21"/>
                <w:szCs w:val="21"/>
              </w:rPr>
            </w:pPr>
            <w:r>
              <w:rPr>
                <w:rFonts w:hint="eastAsia"/>
                <w:color w:val="auto"/>
                <w:sz w:val="21"/>
                <w:szCs w:val="21"/>
              </w:rPr>
              <w:t>0.9</w:t>
            </w:r>
          </w:p>
        </w:tc>
        <w:tc>
          <w:tcPr>
            <w:tcW w:w="532" w:type="pct"/>
            <w:tcBorders>
              <w:tl2br w:val="nil"/>
              <w:tr2bl w:val="nil"/>
            </w:tcBorders>
            <w:noWrap/>
            <w:vAlign w:val="center"/>
          </w:tcPr>
          <w:p w14:paraId="33971C87">
            <w:pPr>
              <w:widowControl/>
              <w:spacing w:line="240" w:lineRule="auto"/>
              <w:ind w:firstLine="0" w:firstLineChars="0"/>
              <w:jc w:val="center"/>
              <w:textAlignment w:val="center"/>
              <w:rPr>
                <w:color w:val="auto"/>
                <w:sz w:val="21"/>
                <w:szCs w:val="21"/>
              </w:rPr>
            </w:pPr>
            <w:r>
              <w:rPr>
                <w:rFonts w:hint="eastAsia" w:cs="宋体"/>
                <w:color w:val="auto"/>
                <w:kern w:val="0"/>
                <w:sz w:val="21"/>
                <w:szCs w:val="22"/>
                <w:lang w:bidi="ar"/>
              </w:rPr>
              <w:t>0.541</w:t>
            </w:r>
          </w:p>
        </w:tc>
        <w:tc>
          <w:tcPr>
            <w:tcW w:w="644" w:type="pct"/>
            <w:tcBorders>
              <w:tl2br w:val="nil"/>
              <w:tr2bl w:val="nil"/>
            </w:tcBorders>
            <w:noWrap/>
            <w:vAlign w:val="center"/>
          </w:tcPr>
          <w:p w14:paraId="472E3305">
            <w:pPr>
              <w:widowControl/>
              <w:spacing w:line="240" w:lineRule="auto"/>
              <w:ind w:firstLine="0" w:firstLineChars="0"/>
              <w:jc w:val="center"/>
              <w:textAlignment w:val="center"/>
              <w:rPr>
                <w:color w:val="auto"/>
                <w:sz w:val="21"/>
                <w:szCs w:val="21"/>
              </w:rPr>
            </w:pPr>
            <w:r>
              <w:rPr>
                <w:rFonts w:hint="eastAsia"/>
                <w:color w:val="auto"/>
                <w:sz w:val="21"/>
                <w:szCs w:val="21"/>
              </w:rPr>
              <w:t>5</w:t>
            </w:r>
          </w:p>
        </w:tc>
        <w:tc>
          <w:tcPr>
            <w:tcW w:w="536" w:type="pct"/>
            <w:tcBorders>
              <w:tl2br w:val="nil"/>
              <w:tr2bl w:val="nil"/>
            </w:tcBorders>
            <w:noWrap/>
            <w:vAlign w:val="center"/>
          </w:tcPr>
          <w:p w14:paraId="526827B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达标</w:t>
            </w:r>
          </w:p>
        </w:tc>
      </w:tr>
      <w:tr w14:paraId="22EE65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89" w:type="pct"/>
            <w:vMerge w:val="continue"/>
            <w:tcBorders>
              <w:tl2br w:val="nil"/>
              <w:tr2bl w:val="nil"/>
            </w:tcBorders>
            <w:noWrap/>
            <w:vAlign w:val="center"/>
          </w:tcPr>
          <w:p w14:paraId="0CE51A81">
            <w:pPr>
              <w:widowControl/>
              <w:spacing w:line="240" w:lineRule="auto"/>
              <w:ind w:firstLine="0" w:firstLineChars="0"/>
              <w:jc w:val="center"/>
              <w:rPr>
                <w:color w:val="auto"/>
                <w:sz w:val="21"/>
                <w:szCs w:val="21"/>
              </w:rPr>
            </w:pPr>
          </w:p>
        </w:tc>
        <w:tc>
          <w:tcPr>
            <w:tcW w:w="1135" w:type="pct"/>
            <w:tcBorders>
              <w:tl2br w:val="nil"/>
              <w:tr2bl w:val="nil"/>
            </w:tcBorders>
            <w:noWrap/>
            <w:vAlign w:val="center"/>
          </w:tcPr>
          <w:p w14:paraId="4C3691F1">
            <w:pPr>
              <w:widowControl/>
              <w:spacing w:line="240" w:lineRule="auto"/>
              <w:ind w:firstLine="0" w:firstLineChars="0"/>
              <w:jc w:val="center"/>
              <w:textAlignment w:val="center"/>
              <w:rPr>
                <w:color w:val="auto"/>
                <w:sz w:val="21"/>
                <w:szCs w:val="21"/>
              </w:rPr>
            </w:pPr>
            <w:r>
              <w:rPr>
                <w:rFonts w:cs="Arial"/>
                <w:color w:val="auto"/>
                <w:kern w:val="0"/>
                <w:sz w:val="21"/>
                <w:lang w:bidi="ar"/>
              </w:rPr>
              <w:t>总氮</w:t>
            </w:r>
          </w:p>
        </w:tc>
        <w:tc>
          <w:tcPr>
            <w:tcW w:w="609" w:type="pct"/>
            <w:tcBorders>
              <w:tl2br w:val="nil"/>
              <w:tr2bl w:val="nil"/>
            </w:tcBorders>
            <w:noWrap/>
            <w:vAlign w:val="center"/>
          </w:tcPr>
          <w:p w14:paraId="6489B00A">
            <w:pPr>
              <w:widowControl/>
              <w:spacing w:line="240" w:lineRule="auto"/>
              <w:ind w:firstLine="0" w:firstLineChars="0"/>
              <w:jc w:val="center"/>
              <w:textAlignment w:val="center"/>
              <w:rPr>
                <w:color w:val="auto"/>
                <w:sz w:val="21"/>
                <w:szCs w:val="21"/>
              </w:rPr>
            </w:pPr>
            <w:r>
              <w:rPr>
                <w:rFonts w:hint="eastAsia"/>
                <w:color w:val="auto"/>
                <w:sz w:val="21"/>
                <w:szCs w:val="21"/>
              </w:rPr>
              <w:t>2</w:t>
            </w:r>
          </w:p>
        </w:tc>
        <w:tc>
          <w:tcPr>
            <w:tcW w:w="552" w:type="pct"/>
            <w:tcBorders>
              <w:tl2br w:val="nil"/>
              <w:tr2bl w:val="nil"/>
            </w:tcBorders>
            <w:noWrap/>
            <w:vAlign w:val="center"/>
          </w:tcPr>
          <w:p w14:paraId="11335DEE">
            <w:pPr>
              <w:widowControl/>
              <w:spacing w:line="240" w:lineRule="auto"/>
              <w:ind w:firstLine="0" w:firstLineChars="0"/>
              <w:jc w:val="center"/>
              <w:textAlignment w:val="center"/>
              <w:rPr>
                <w:color w:val="auto"/>
                <w:sz w:val="21"/>
                <w:szCs w:val="21"/>
              </w:rPr>
            </w:pPr>
            <w:r>
              <w:rPr>
                <w:rFonts w:hint="eastAsia"/>
                <w:color w:val="auto"/>
                <w:sz w:val="21"/>
                <w:szCs w:val="21"/>
              </w:rPr>
              <w:t>4.8</w:t>
            </w:r>
          </w:p>
        </w:tc>
        <w:tc>
          <w:tcPr>
            <w:tcW w:w="532" w:type="pct"/>
            <w:tcBorders>
              <w:tl2br w:val="nil"/>
              <w:tr2bl w:val="nil"/>
            </w:tcBorders>
            <w:noWrap/>
            <w:vAlign w:val="center"/>
          </w:tcPr>
          <w:p w14:paraId="7AA73552">
            <w:pPr>
              <w:widowControl/>
              <w:spacing w:line="240" w:lineRule="auto"/>
              <w:ind w:firstLine="0" w:firstLineChars="0"/>
              <w:jc w:val="center"/>
              <w:textAlignment w:val="center"/>
              <w:rPr>
                <w:color w:val="auto"/>
                <w:sz w:val="21"/>
                <w:szCs w:val="21"/>
              </w:rPr>
            </w:pPr>
            <w:r>
              <w:rPr>
                <w:rFonts w:hint="eastAsia" w:cs="宋体"/>
                <w:color w:val="auto"/>
                <w:kern w:val="0"/>
                <w:sz w:val="21"/>
                <w:szCs w:val="22"/>
                <w:lang w:bidi="ar"/>
              </w:rPr>
              <w:t>3.258</w:t>
            </w:r>
          </w:p>
        </w:tc>
        <w:tc>
          <w:tcPr>
            <w:tcW w:w="644" w:type="pct"/>
            <w:tcBorders>
              <w:tl2br w:val="nil"/>
              <w:tr2bl w:val="nil"/>
            </w:tcBorders>
            <w:noWrap/>
            <w:vAlign w:val="center"/>
          </w:tcPr>
          <w:p w14:paraId="7BB57E07">
            <w:pPr>
              <w:widowControl/>
              <w:spacing w:line="240" w:lineRule="auto"/>
              <w:ind w:firstLine="0" w:firstLineChars="0"/>
              <w:jc w:val="center"/>
              <w:textAlignment w:val="center"/>
              <w:rPr>
                <w:color w:val="auto"/>
                <w:sz w:val="21"/>
                <w:szCs w:val="21"/>
              </w:rPr>
            </w:pPr>
            <w:r>
              <w:rPr>
                <w:rFonts w:hint="eastAsia"/>
                <w:color w:val="auto"/>
                <w:sz w:val="21"/>
                <w:szCs w:val="21"/>
              </w:rPr>
              <w:t>45</w:t>
            </w:r>
          </w:p>
        </w:tc>
        <w:tc>
          <w:tcPr>
            <w:tcW w:w="536" w:type="pct"/>
            <w:tcBorders>
              <w:tl2br w:val="nil"/>
              <w:tr2bl w:val="nil"/>
            </w:tcBorders>
            <w:noWrap/>
            <w:vAlign w:val="center"/>
          </w:tcPr>
          <w:p w14:paraId="7CB0BA7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达标</w:t>
            </w:r>
          </w:p>
        </w:tc>
      </w:tr>
    </w:tbl>
    <w:p w14:paraId="5D883C00">
      <w:pPr>
        <w:spacing w:line="460" w:lineRule="exact"/>
        <w:ind w:firstLine="480"/>
        <w:rPr>
          <w:color w:val="auto"/>
        </w:rPr>
        <w:sectPr>
          <w:pgSz w:w="11906" w:h="16838"/>
          <w:pgMar w:top="1134" w:right="1134" w:bottom="1134" w:left="1134" w:header="851" w:footer="992" w:gutter="0"/>
          <w:cols w:space="425" w:num="1"/>
          <w:docGrid w:type="lines" w:linePitch="312" w:charSpace="0"/>
        </w:sectPr>
      </w:pPr>
      <w:bookmarkStart w:id="101" w:name="_Toc24282"/>
    </w:p>
    <w:p w14:paraId="734DA695">
      <w:pPr>
        <w:spacing w:line="240" w:lineRule="auto"/>
        <w:ind w:firstLine="0" w:firstLineChars="0"/>
        <w:jc w:val="center"/>
        <w:rPr>
          <w:b/>
          <w:color w:val="auto"/>
        </w:rPr>
      </w:pPr>
      <w:r>
        <w:rPr>
          <w:rFonts w:hint="eastAsia"/>
          <w:b/>
          <w:color w:val="auto"/>
        </w:rPr>
        <w:t>表3.4-5  2025年企业现有项目废水在线监测结果</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85"/>
        <w:gridCol w:w="1007"/>
        <w:gridCol w:w="1002"/>
        <w:gridCol w:w="1002"/>
        <w:gridCol w:w="1008"/>
        <w:gridCol w:w="1005"/>
        <w:gridCol w:w="1005"/>
        <w:gridCol w:w="1005"/>
        <w:gridCol w:w="1005"/>
        <w:gridCol w:w="1005"/>
        <w:gridCol w:w="1005"/>
        <w:gridCol w:w="1005"/>
        <w:gridCol w:w="1005"/>
        <w:gridCol w:w="1017"/>
      </w:tblGrid>
      <w:tr w14:paraId="47B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0" w:type="pct"/>
            <w:vMerge w:val="restart"/>
            <w:tcBorders>
              <w:top w:val="single" w:color="auto" w:sz="12" w:space="0"/>
              <w:left w:val="nil"/>
            </w:tcBorders>
            <w:vAlign w:val="center"/>
          </w:tcPr>
          <w:p w14:paraId="4D1ECCC9">
            <w:pPr>
              <w:spacing w:line="240" w:lineRule="auto"/>
              <w:ind w:firstLine="0" w:firstLineChars="0"/>
              <w:jc w:val="center"/>
              <w:rPr>
                <w:b/>
                <w:color w:val="auto"/>
                <w:sz w:val="21"/>
                <w:szCs w:val="21"/>
              </w:rPr>
            </w:pPr>
            <w:r>
              <w:rPr>
                <w:b/>
                <w:color w:val="auto"/>
                <w:sz w:val="21"/>
                <w:szCs w:val="21"/>
              </w:rPr>
              <w:t>监测排口</w:t>
            </w:r>
          </w:p>
        </w:tc>
        <w:tc>
          <w:tcPr>
            <w:tcW w:w="346" w:type="pct"/>
            <w:vMerge w:val="restart"/>
            <w:tcBorders>
              <w:top w:val="single" w:color="auto" w:sz="12" w:space="0"/>
              <w:right w:val="nil"/>
            </w:tcBorders>
            <w:vAlign w:val="center"/>
          </w:tcPr>
          <w:p w14:paraId="31A307E6">
            <w:pPr>
              <w:spacing w:line="240" w:lineRule="auto"/>
              <w:ind w:firstLine="0" w:firstLineChars="0"/>
              <w:jc w:val="center"/>
              <w:rPr>
                <w:b/>
                <w:color w:val="auto"/>
                <w:sz w:val="21"/>
                <w:szCs w:val="21"/>
              </w:rPr>
            </w:pPr>
            <w:r>
              <w:rPr>
                <w:b/>
                <w:color w:val="auto"/>
                <w:sz w:val="21"/>
                <w:szCs w:val="21"/>
              </w:rPr>
              <w:t>污水量（t/d）</w:t>
            </w:r>
          </w:p>
        </w:tc>
        <w:tc>
          <w:tcPr>
            <w:tcW w:w="4143" w:type="pct"/>
            <w:gridSpan w:val="12"/>
            <w:tcBorders>
              <w:top w:val="single" w:color="auto" w:sz="12" w:space="0"/>
              <w:right w:val="nil"/>
            </w:tcBorders>
            <w:vAlign w:val="center"/>
          </w:tcPr>
          <w:p w14:paraId="24B3F5F9">
            <w:pPr>
              <w:spacing w:line="240" w:lineRule="auto"/>
              <w:ind w:firstLine="0" w:firstLineChars="0"/>
              <w:jc w:val="center"/>
              <w:rPr>
                <w:b/>
                <w:color w:val="auto"/>
                <w:sz w:val="21"/>
                <w:szCs w:val="21"/>
              </w:rPr>
            </w:pPr>
            <w:r>
              <w:rPr>
                <w:b/>
                <w:color w:val="auto"/>
                <w:sz w:val="21"/>
                <w:szCs w:val="21"/>
              </w:rPr>
              <w:t>污染物浓度（mg/L，pH无量纲）</w:t>
            </w:r>
          </w:p>
        </w:tc>
      </w:tr>
      <w:tr w14:paraId="71F7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0" w:type="pct"/>
            <w:vMerge w:val="continue"/>
            <w:tcBorders>
              <w:left w:val="nil"/>
            </w:tcBorders>
            <w:vAlign w:val="center"/>
          </w:tcPr>
          <w:p w14:paraId="7D6A50D1">
            <w:pPr>
              <w:spacing w:line="240" w:lineRule="auto"/>
              <w:ind w:firstLine="0" w:firstLineChars="0"/>
              <w:jc w:val="center"/>
              <w:rPr>
                <w:b/>
                <w:color w:val="auto"/>
                <w:sz w:val="21"/>
                <w:szCs w:val="21"/>
              </w:rPr>
            </w:pPr>
          </w:p>
        </w:tc>
        <w:tc>
          <w:tcPr>
            <w:tcW w:w="346" w:type="pct"/>
            <w:vMerge w:val="continue"/>
            <w:tcBorders>
              <w:right w:val="nil"/>
            </w:tcBorders>
            <w:vAlign w:val="center"/>
          </w:tcPr>
          <w:p w14:paraId="72AB4F78">
            <w:pPr>
              <w:spacing w:line="240" w:lineRule="auto"/>
              <w:ind w:firstLine="0" w:firstLineChars="0"/>
              <w:jc w:val="center"/>
              <w:rPr>
                <w:b/>
                <w:color w:val="auto"/>
                <w:sz w:val="21"/>
                <w:szCs w:val="21"/>
              </w:rPr>
            </w:pPr>
          </w:p>
        </w:tc>
        <w:tc>
          <w:tcPr>
            <w:tcW w:w="1034" w:type="pct"/>
            <w:gridSpan w:val="3"/>
            <w:vAlign w:val="center"/>
          </w:tcPr>
          <w:p w14:paraId="31149E03">
            <w:pPr>
              <w:spacing w:line="240" w:lineRule="auto"/>
              <w:ind w:firstLine="0" w:firstLineChars="0"/>
              <w:jc w:val="center"/>
              <w:rPr>
                <w:b/>
                <w:color w:val="auto"/>
                <w:sz w:val="21"/>
                <w:szCs w:val="21"/>
              </w:rPr>
            </w:pPr>
            <w:r>
              <w:rPr>
                <w:rFonts w:hint="eastAsia"/>
                <w:b/>
                <w:color w:val="auto"/>
                <w:sz w:val="21"/>
                <w:szCs w:val="21"/>
              </w:rPr>
              <w:t>COD</w:t>
            </w:r>
          </w:p>
        </w:tc>
        <w:tc>
          <w:tcPr>
            <w:tcW w:w="1035" w:type="pct"/>
            <w:gridSpan w:val="3"/>
            <w:vAlign w:val="center"/>
          </w:tcPr>
          <w:p w14:paraId="7EFEB6D2">
            <w:pPr>
              <w:spacing w:line="240" w:lineRule="auto"/>
              <w:ind w:firstLine="0" w:firstLineChars="0"/>
              <w:jc w:val="center"/>
              <w:rPr>
                <w:b/>
                <w:color w:val="auto"/>
                <w:sz w:val="21"/>
                <w:szCs w:val="21"/>
              </w:rPr>
            </w:pPr>
            <w:r>
              <w:rPr>
                <w:rFonts w:hint="eastAsia"/>
                <w:b/>
                <w:color w:val="auto"/>
                <w:sz w:val="21"/>
                <w:szCs w:val="21"/>
              </w:rPr>
              <w:t>氨氮</w:t>
            </w:r>
          </w:p>
        </w:tc>
        <w:tc>
          <w:tcPr>
            <w:tcW w:w="1035" w:type="pct"/>
            <w:gridSpan w:val="3"/>
            <w:tcBorders>
              <w:right w:val="nil"/>
            </w:tcBorders>
            <w:vAlign w:val="center"/>
          </w:tcPr>
          <w:p w14:paraId="0CB89F69">
            <w:pPr>
              <w:spacing w:line="240" w:lineRule="auto"/>
              <w:ind w:firstLine="0" w:firstLineChars="0"/>
              <w:jc w:val="center"/>
              <w:rPr>
                <w:b/>
                <w:color w:val="auto"/>
                <w:sz w:val="21"/>
                <w:szCs w:val="21"/>
              </w:rPr>
            </w:pPr>
            <w:r>
              <w:rPr>
                <w:rFonts w:hint="eastAsia"/>
                <w:b/>
                <w:color w:val="auto"/>
                <w:sz w:val="21"/>
                <w:szCs w:val="21"/>
              </w:rPr>
              <w:t>总磷</w:t>
            </w:r>
          </w:p>
        </w:tc>
        <w:tc>
          <w:tcPr>
            <w:tcW w:w="1038" w:type="pct"/>
            <w:gridSpan w:val="3"/>
            <w:tcBorders>
              <w:right w:val="nil"/>
            </w:tcBorders>
            <w:vAlign w:val="center"/>
          </w:tcPr>
          <w:p w14:paraId="7CA5E934">
            <w:pPr>
              <w:spacing w:line="240" w:lineRule="auto"/>
              <w:ind w:firstLine="0" w:firstLineChars="0"/>
              <w:jc w:val="center"/>
              <w:rPr>
                <w:b/>
                <w:color w:val="auto"/>
                <w:sz w:val="21"/>
                <w:szCs w:val="21"/>
              </w:rPr>
            </w:pPr>
            <w:r>
              <w:rPr>
                <w:rFonts w:hint="eastAsia"/>
                <w:b/>
                <w:color w:val="auto"/>
                <w:sz w:val="21"/>
                <w:szCs w:val="21"/>
              </w:rPr>
              <w:t>pH</w:t>
            </w:r>
          </w:p>
        </w:tc>
      </w:tr>
      <w:tr w14:paraId="37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10" w:type="pct"/>
            <w:vMerge w:val="continue"/>
            <w:tcBorders>
              <w:left w:val="nil"/>
            </w:tcBorders>
            <w:vAlign w:val="center"/>
          </w:tcPr>
          <w:p w14:paraId="1AA0B489">
            <w:pPr>
              <w:spacing w:line="240" w:lineRule="auto"/>
              <w:ind w:firstLine="0" w:firstLineChars="0"/>
              <w:jc w:val="center"/>
              <w:rPr>
                <w:b/>
                <w:color w:val="auto"/>
                <w:sz w:val="21"/>
                <w:szCs w:val="21"/>
              </w:rPr>
            </w:pPr>
          </w:p>
        </w:tc>
        <w:tc>
          <w:tcPr>
            <w:tcW w:w="346" w:type="pct"/>
            <w:vMerge w:val="continue"/>
            <w:tcBorders>
              <w:right w:val="nil"/>
            </w:tcBorders>
            <w:vAlign w:val="center"/>
          </w:tcPr>
          <w:p w14:paraId="223AB7F9">
            <w:pPr>
              <w:spacing w:line="240" w:lineRule="auto"/>
              <w:ind w:firstLine="0" w:firstLineChars="0"/>
              <w:jc w:val="center"/>
              <w:rPr>
                <w:b/>
                <w:color w:val="auto"/>
                <w:sz w:val="21"/>
                <w:szCs w:val="21"/>
              </w:rPr>
            </w:pPr>
          </w:p>
        </w:tc>
        <w:tc>
          <w:tcPr>
            <w:tcW w:w="344" w:type="pct"/>
            <w:vAlign w:val="center"/>
          </w:tcPr>
          <w:p w14:paraId="41B09AE2">
            <w:pPr>
              <w:spacing w:line="240" w:lineRule="auto"/>
              <w:ind w:firstLine="0" w:firstLineChars="0"/>
              <w:jc w:val="center"/>
              <w:rPr>
                <w:b/>
                <w:color w:val="auto"/>
                <w:sz w:val="21"/>
                <w:szCs w:val="21"/>
              </w:rPr>
            </w:pPr>
            <w:r>
              <w:rPr>
                <w:b/>
                <w:color w:val="auto"/>
                <w:sz w:val="21"/>
                <w:szCs w:val="21"/>
              </w:rPr>
              <w:t>最大值</w:t>
            </w:r>
          </w:p>
        </w:tc>
        <w:tc>
          <w:tcPr>
            <w:tcW w:w="344" w:type="pct"/>
            <w:vAlign w:val="center"/>
          </w:tcPr>
          <w:p w14:paraId="2F329842">
            <w:pPr>
              <w:spacing w:line="240" w:lineRule="auto"/>
              <w:ind w:firstLine="0" w:firstLineChars="0"/>
              <w:jc w:val="center"/>
              <w:rPr>
                <w:b/>
                <w:color w:val="auto"/>
                <w:sz w:val="21"/>
                <w:szCs w:val="21"/>
              </w:rPr>
            </w:pPr>
            <w:r>
              <w:rPr>
                <w:b/>
                <w:color w:val="auto"/>
                <w:sz w:val="21"/>
                <w:szCs w:val="21"/>
              </w:rPr>
              <w:t>最小值</w:t>
            </w:r>
          </w:p>
        </w:tc>
        <w:tc>
          <w:tcPr>
            <w:tcW w:w="346" w:type="pct"/>
            <w:vAlign w:val="center"/>
          </w:tcPr>
          <w:p w14:paraId="4307F2BE">
            <w:pPr>
              <w:spacing w:line="240" w:lineRule="auto"/>
              <w:ind w:firstLine="0" w:firstLineChars="0"/>
              <w:jc w:val="center"/>
              <w:rPr>
                <w:b/>
                <w:color w:val="auto"/>
                <w:sz w:val="21"/>
                <w:szCs w:val="21"/>
              </w:rPr>
            </w:pPr>
            <w:r>
              <w:rPr>
                <w:b/>
                <w:color w:val="auto"/>
                <w:sz w:val="21"/>
                <w:szCs w:val="21"/>
              </w:rPr>
              <w:t>平均值</w:t>
            </w:r>
          </w:p>
        </w:tc>
        <w:tc>
          <w:tcPr>
            <w:tcW w:w="345" w:type="pct"/>
            <w:vAlign w:val="center"/>
          </w:tcPr>
          <w:p w14:paraId="22F849E7">
            <w:pPr>
              <w:spacing w:line="240" w:lineRule="auto"/>
              <w:ind w:firstLine="0" w:firstLineChars="0"/>
              <w:jc w:val="center"/>
              <w:rPr>
                <w:b/>
                <w:color w:val="auto"/>
                <w:sz w:val="21"/>
                <w:szCs w:val="21"/>
              </w:rPr>
            </w:pPr>
            <w:r>
              <w:rPr>
                <w:b/>
                <w:color w:val="auto"/>
                <w:sz w:val="21"/>
                <w:szCs w:val="21"/>
              </w:rPr>
              <w:t>最大值</w:t>
            </w:r>
          </w:p>
        </w:tc>
        <w:tc>
          <w:tcPr>
            <w:tcW w:w="345" w:type="pct"/>
            <w:vAlign w:val="center"/>
          </w:tcPr>
          <w:p w14:paraId="2A37E575">
            <w:pPr>
              <w:spacing w:line="240" w:lineRule="auto"/>
              <w:ind w:firstLine="0" w:firstLineChars="0"/>
              <w:jc w:val="center"/>
              <w:rPr>
                <w:b/>
                <w:color w:val="auto"/>
                <w:sz w:val="21"/>
                <w:szCs w:val="21"/>
              </w:rPr>
            </w:pPr>
            <w:r>
              <w:rPr>
                <w:b/>
                <w:color w:val="auto"/>
                <w:sz w:val="21"/>
                <w:szCs w:val="21"/>
              </w:rPr>
              <w:t>最小值</w:t>
            </w:r>
          </w:p>
        </w:tc>
        <w:tc>
          <w:tcPr>
            <w:tcW w:w="345" w:type="pct"/>
            <w:vAlign w:val="center"/>
          </w:tcPr>
          <w:p w14:paraId="3D6A785F">
            <w:pPr>
              <w:spacing w:line="240" w:lineRule="auto"/>
              <w:ind w:firstLine="0" w:firstLineChars="0"/>
              <w:jc w:val="center"/>
              <w:rPr>
                <w:b/>
                <w:color w:val="auto"/>
                <w:sz w:val="21"/>
                <w:szCs w:val="21"/>
              </w:rPr>
            </w:pPr>
            <w:r>
              <w:rPr>
                <w:b/>
                <w:color w:val="auto"/>
                <w:sz w:val="21"/>
                <w:szCs w:val="21"/>
              </w:rPr>
              <w:t>平均值</w:t>
            </w:r>
          </w:p>
        </w:tc>
        <w:tc>
          <w:tcPr>
            <w:tcW w:w="345" w:type="pct"/>
            <w:vAlign w:val="center"/>
          </w:tcPr>
          <w:p w14:paraId="38989733">
            <w:pPr>
              <w:spacing w:line="240" w:lineRule="auto"/>
              <w:ind w:firstLine="0" w:firstLineChars="0"/>
              <w:jc w:val="center"/>
              <w:rPr>
                <w:b/>
                <w:color w:val="auto"/>
                <w:sz w:val="21"/>
                <w:szCs w:val="21"/>
              </w:rPr>
            </w:pPr>
            <w:r>
              <w:rPr>
                <w:b/>
                <w:color w:val="auto"/>
                <w:sz w:val="21"/>
                <w:szCs w:val="21"/>
              </w:rPr>
              <w:t>最大值</w:t>
            </w:r>
          </w:p>
        </w:tc>
        <w:tc>
          <w:tcPr>
            <w:tcW w:w="345" w:type="pct"/>
            <w:vAlign w:val="center"/>
          </w:tcPr>
          <w:p w14:paraId="50ED4C54">
            <w:pPr>
              <w:spacing w:line="240" w:lineRule="auto"/>
              <w:ind w:firstLine="0" w:firstLineChars="0"/>
              <w:jc w:val="center"/>
              <w:rPr>
                <w:b/>
                <w:color w:val="auto"/>
                <w:sz w:val="21"/>
                <w:szCs w:val="21"/>
              </w:rPr>
            </w:pPr>
            <w:r>
              <w:rPr>
                <w:b/>
                <w:color w:val="auto"/>
                <w:sz w:val="21"/>
                <w:szCs w:val="21"/>
              </w:rPr>
              <w:t>最小值</w:t>
            </w:r>
          </w:p>
        </w:tc>
        <w:tc>
          <w:tcPr>
            <w:tcW w:w="345" w:type="pct"/>
            <w:tcBorders>
              <w:right w:val="nil"/>
            </w:tcBorders>
            <w:vAlign w:val="center"/>
          </w:tcPr>
          <w:p w14:paraId="3A961353">
            <w:pPr>
              <w:spacing w:line="240" w:lineRule="auto"/>
              <w:ind w:firstLine="0" w:firstLineChars="0"/>
              <w:jc w:val="center"/>
              <w:rPr>
                <w:b/>
                <w:color w:val="auto"/>
                <w:sz w:val="21"/>
                <w:szCs w:val="21"/>
              </w:rPr>
            </w:pPr>
            <w:r>
              <w:rPr>
                <w:b/>
                <w:color w:val="auto"/>
                <w:sz w:val="21"/>
                <w:szCs w:val="21"/>
              </w:rPr>
              <w:t>平均值</w:t>
            </w:r>
          </w:p>
        </w:tc>
        <w:tc>
          <w:tcPr>
            <w:tcW w:w="345" w:type="pct"/>
            <w:tcBorders>
              <w:right w:val="nil"/>
            </w:tcBorders>
            <w:vAlign w:val="center"/>
          </w:tcPr>
          <w:p w14:paraId="34EE7A0E">
            <w:pPr>
              <w:spacing w:line="240" w:lineRule="auto"/>
              <w:ind w:firstLine="0" w:firstLineChars="0"/>
              <w:jc w:val="center"/>
              <w:rPr>
                <w:b/>
                <w:color w:val="auto"/>
                <w:sz w:val="21"/>
                <w:szCs w:val="21"/>
              </w:rPr>
            </w:pPr>
            <w:r>
              <w:rPr>
                <w:b/>
                <w:color w:val="auto"/>
                <w:sz w:val="21"/>
                <w:szCs w:val="21"/>
              </w:rPr>
              <w:t>最大值</w:t>
            </w:r>
          </w:p>
        </w:tc>
        <w:tc>
          <w:tcPr>
            <w:tcW w:w="345" w:type="pct"/>
            <w:tcBorders>
              <w:right w:val="nil"/>
            </w:tcBorders>
            <w:vAlign w:val="center"/>
          </w:tcPr>
          <w:p w14:paraId="412928C0">
            <w:pPr>
              <w:spacing w:line="240" w:lineRule="auto"/>
              <w:ind w:firstLine="0" w:firstLineChars="0"/>
              <w:jc w:val="center"/>
              <w:rPr>
                <w:b/>
                <w:color w:val="auto"/>
                <w:sz w:val="21"/>
                <w:szCs w:val="21"/>
              </w:rPr>
            </w:pPr>
            <w:r>
              <w:rPr>
                <w:b/>
                <w:color w:val="auto"/>
                <w:sz w:val="21"/>
                <w:szCs w:val="21"/>
              </w:rPr>
              <w:t>最小值</w:t>
            </w:r>
          </w:p>
        </w:tc>
        <w:tc>
          <w:tcPr>
            <w:tcW w:w="348" w:type="pct"/>
            <w:tcBorders>
              <w:right w:val="nil"/>
            </w:tcBorders>
            <w:vAlign w:val="center"/>
          </w:tcPr>
          <w:p w14:paraId="7FD70FC2">
            <w:pPr>
              <w:spacing w:line="240" w:lineRule="auto"/>
              <w:ind w:firstLine="0" w:firstLineChars="0"/>
              <w:jc w:val="center"/>
              <w:rPr>
                <w:b/>
                <w:color w:val="auto"/>
                <w:sz w:val="21"/>
                <w:szCs w:val="21"/>
              </w:rPr>
            </w:pPr>
            <w:r>
              <w:rPr>
                <w:b/>
                <w:color w:val="auto"/>
                <w:sz w:val="21"/>
                <w:szCs w:val="21"/>
              </w:rPr>
              <w:t>平均值</w:t>
            </w:r>
          </w:p>
        </w:tc>
      </w:tr>
      <w:tr w14:paraId="6C18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0" w:type="pct"/>
            <w:tcBorders>
              <w:left w:val="nil"/>
            </w:tcBorders>
            <w:vAlign w:val="center"/>
          </w:tcPr>
          <w:p w14:paraId="2B3CE728">
            <w:pPr>
              <w:spacing w:line="240" w:lineRule="auto"/>
              <w:ind w:firstLine="0" w:firstLineChars="0"/>
              <w:jc w:val="center"/>
              <w:rPr>
                <w:color w:val="auto"/>
                <w:sz w:val="21"/>
                <w:szCs w:val="21"/>
              </w:rPr>
            </w:pPr>
            <w:r>
              <w:rPr>
                <w:rFonts w:hint="eastAsia"/>
                <w:color w:val="auto"/>
                <w:sz w:val="21"/>
                <w:szCs w:val="21"/>
              </w:rPr>
              <w:t>污水排口</w:t>
            </w:r>
          </w:p>
        </w:tc>
        <w:tc>
          <w:tcPr>
            <w:tcW w:w="346" w:type="pct"/>
            <w:vAlign w:val="center"/>
          </w:tcPr>
          <w:p w14:paraId="5A7CB43C">
            <w:pPr>
              <w:spacing w:line="240" w:lineRule="auto"/>
              <w:ind w:firstLine="0" w:firstLineChars="0"/>
              <w:jc w:val="center"/>
              <w:rPr>
                <w:color w:val="auto"/>
                <w:sz w:val="21"/>
                <w:szCs w:val="21"/>
              </w:rPr>
            </w:pPr>
            <w:r>
              <w:rPr>
                <w:rFonts w:hint="eastAsia"/>
                <w:color w:val="auto"/>
                <w:sz w:val="21"/>
                <w:szCs w:val="21"/>
              </w:rPr>
              <w:t>165.200</w:t>
            </w:r>
          </w:p>
        </w:tc>
        <w:tc>
          <w:tcPr>
            <w:tcW w:w="344" w:type="pct"/>
            <w:vAlign w:val="center"/>
          </w:tcPr>
          <w:p w14:paraId="7D1B3F4E">
            <w:pPr>
              <w:spacing w:line="240" w:lineRule="auto"/>
              <w:ind w:firstLine="0" w:firstLineChars="0"/>
              <w:jc w:val="center"/>
              <w:rPr>
                <w:color w:val="auto"/>
                <w:sz w:val="21"/>
                <w:szCs w:val="21"/>
              </w:rPr>
            </w:pPr>
            <w:r>
              <w:rPr>
                <w:rFonts w:hint="eastAsia"/>
                <w:color w:val="auto"/>
                <w:sz w:val="21"/>
                <w:szCs w:val="21"/>
              </w:rPr>
              <w:t>242.16</w:t>
            </w:r>
          </w:p>
        </w:tc>
        <w:tc>
          <w:tcPr>
            <w:tcW w:w="344" w:type="pct"/>
            <w:vAlign w:val="center"/>
          </w:tcPr>
          <w:p w14:paraId="1958878D">
            <w:pPr>
              <w:spacing w:line="240" w:lineRule="auto"/>
              <w:ind w:firstLine="0" w:firstLineChars="0"/>
              <w:jc w:val="center"/>
              <w:rPr>
                <w:color w:val="auto"/>
                <w:sz w:val="21"/>
                <w:szCs w:val="21"/>
              </w:rPr>
            </w:pPr>
            <w:r>
              <w:rPr>
                <w:rFonts w:hint="eastAsia"/>
                <w:color w:val="auto"/>
                <w:sz w:val="21"/>
                <w:szCs w:val="21"/>
              </w:rPr>
              <w:t>61.870</w:t>
            </w:r>
          </w:p>
        </w:tc>
        <w:tc>
          <w:tcPr>
            <w:tcW w:w="346" w:type="pct"/>
            <w:vAlign w:val="center"/>
          </w:tcPr>
          <w:p w14:paraId="7454FB92">
            <w:pPr>
              <w:spacing w:line="240" w:lineRule="auto"/>
              <w:ind w:firstLine="0" w:firstLineChars="0"/>
              <w:jc w:val="center"/>
              <w:rPr>
                <w:color w:val="auto"/>
                <w:sz w:val="21"/>
                <w:szCs w:val="21"/>
              </w:rPr>
            </w:pPr>
            <w:r>
              <w:rPr>
                <w:rFonts w:hint="eastAsia"/>
                <w:color w:val="auto"/>
                <w:sz w:val="21"/>
                <w:szCs w:val="21"/>
              </w:rPr>
              <w:t>146.49</w:t>
            </w:r>
          </w:p>
        </w:tc>
        <w:tc>
          <w:tcPr>
            <w:tcW w:w="345" w:type="pct"/>
            <w:vAlign w:val="center"/>
          </w:tcPr>
          <w:p w14:paraId="7B43F796">
            <w:pPr>
              <w:spacing w:line="240" w:lineRule="auto"/>
              <w:ind w:firstLine="0" w:firstLineChars="0"/>
              <w:jc w:val="center"/>
              <w:rPr>
                <w:color w:val="auto"/>
                <w:sz w:val="21"/>
                <w:szCs w:val="21"/>
              </w:rPr>
            </w:pPr>
            <w:r>
              <w:rPr>
                <w:rFonts w:hint="eastAsia"/>
                <w:color w:val="auto"/>
                <w:sz w:val="21"/>
                <w:szCs w:val="21"/>
              </w:rPr>
              <w:t>21.850</w:t>
            </w:r>
          </w:p>
        </w:tc>
        <w:tc>
          <w:tcPr>
            <w:tcW w:w="345" w:type="pct"/>
            <w:vAlign w:val="center"/>
          </w:tcPr>
          <w:p w14:paraId="797E36E4">
            <w:pPr>
              <w:spacing w:line="240" w:lineRule="auto"/>
              <w:ind w:firstLine="0" w:firstLineChars="0"/>
              <w:jc w:val="center"/>
              <w:rPr>
                <w:color w:val="auto"/>
                <w:sz w:val="21"/>
                <w:szCs w:val="21"/>
              </w:rPr>
            </w:pPr>
            <w:r>
              <w:rPr>
                <w:rFonts w:hint="eastAsia"/>
                <w:color w:val="auto"/>
                <w:sz w:val="21"/>
                <w:szCs w:val="21"/>
              </w:rPr>
              <w:t>1.970</w:t>
            </w:r>
          </w:p>
        </w:tc>
        <w:tc>
          <w:tcPr>
            <w:tcW w:w="345" w:type="pct"/>
            <w:vAlign w:val="center"/>
          </w:tcPr>
          <w:p w14:paraId="7A0CBD57">
            <w:pPr>
              <w:spacing w:line="240" w:lineRule="auto"/>
              <w:ind w:firstLine="0" w:firstLineChars="0"/>
              <w:jc w:val="center"/>
              <w:rPr>
                <w:color w:val="auto"/>
                <w:sz w:val="21"/>
                <w:szCs w:val="21"/>
              </w:rPr>
            </w:pPr>
            <w:r>
              <w:rPr>
                <w:rFonts w:hint="eastAsia"/>
                <w:color w:val="auto"/>
                <w:sz w:val="21"/>
                <w:szCs w:val="21"/>
              </w:rPr>
              <w:t>8.240</w:t>
            </w:r>
          </w:p>
        </w:tc>
        <w:tc>
          <w:tcPr>
            <w:tcW w:w="345" w:type="pct"/>
            <w:vAlign w:val="center"/>
          </w:tcPr>
          <w:p w14:paraId="55C89DD4">
            <w:pPr>
              <w:spacing w:line="240" w:lineRule="auto"/>
              <w:ind w:firstLine="0" w:firstLineChars="0"/>
              <w:jc w:val="center"/>
              <w:rPr>
                <w:color w:val="auto"/>
                <w:sz w:val="21"/>
                <w:szCs w:val="21"/>
              </w:rPr>
            </w:pPr>
            <w:r>
              <w:rPr>
                <w:rFonts w:hint="eastAsia"/>
                <w:color w:val="auto"/>
                <w:sz w:val="21"/>
                <w:szCs w:val="21"/>
              </w:rPr>
              <w:t>1.330</w:t>
            </w:r>
          </w:p>
        </w:tc>
        <w:tc>
          <w:tcPr>
            <w:tcW w:w="345" w:type="pct"/>
            <w:vAlign w:val="center"/>
          </w:tcPr>
          <w:p w14:paraId="0C5BA529">
            <w:pPr>
              <w:spacing w:line="240" w:lineRule="auto"/>
              <w:ind w:firstLine="0" w:firstLineChars="0"/>
              <w:jc w:val="center"/>
              <w:rPr>
                <w:color w:val="auto"/>
                <w:sz w:val="21"/>
                <w:szCs w:val="21"/>
              </w:rPr>
            </w:pPr>
            <w:r>
              <w:rPr>
                <w:rFonts w:hint="eastAsia"/>
                <w:color w:val="auto"/>
                <w:sz w:val="21"/>
                <w:szCs w:val="21"/>
              </w:rPr>
              <w:t>0.200</w:t>
            </w:r>
          </w:p>
        </w:tc>
        <w:tc>
          <w:tcPr>
            <w:tcW w:w="345" w:type="pct"/>
            <w:tcBorders>
              <w:right w:val="nil"/>
            </w:tcBorders>
            <w:vAlign w:val="center"/>
          </w:tcPr>
          <w:p w14:paraId="32DBD2E3">
            <w:pPr>
              <w:spacing w:line="240" w:lineRule="auto"/>
              <w:ind w:firstLine="0" w:firstLineChars="0"/>
              <w:jc w:val="center"/>
              <w:rPr>
                <w:color w:val="auto"/>
                <w:sz w:val="21"/>
                <w:szCs w:val="21"/>
              </w:rPr>
            </w:pPr>
            <w:r>
              <w:rPr>
                <w:rFonts w:hint="eastAsia"/>
                <w:color w:val="auto"/>
                <w:sz w:val="21"/>
                <w:szCs w:val="21"/>
              </w:rPr>
              <w:t>0.620</w:t>
            </w:r>
          </w:p>
        </w:tc>
        <w:tc>
          <w:tcPr>
            <w:tcW w:w="345" w:type="pct"/>
            <w:tcBorders>
              <w:right w:val="nil"/>
            </w:tcBorders>
            <w:vAlign w:val="center"/>
          </w:tcPr>
          <w:p w14:paraId="7E30F56C">
            <w:pPr>
              <w:spacing w:line="240" w:lineRule="auto"/>
              <w:ind w:firstLine="0" w:firstLineChars="0"/>
              <w:jc w:val="center"/>
              <w:rPr>
                <w:color w:val="auto"/>
                <w:sz w:val="21"/>
                <w:szCs w:val="21"/>
              </w:rPr>
            </w:pPr>
            <w:r>
              <w:rPr>
                <w:rFonts w:hint="eastAsia"/>
                <w:color w:val="auto"/>
                <w:sz w:val="21"/>
                <w:szCs w:val="21"/>
              </w:rPr>
              <w:t>8.64</w:t>
            </w:r>
          </w:p>
        </w:tc>
        <w:tc>
          <w:tcPr>
            <w:tcW w:w="345" w:type="pct"/>
            <w:tcBorders>
              <w:right w:val="nil"/>
            </w:tcBorders>
            <w:vAlign w:val="center"/>
          </w:tcPr>
          <w:p w14:paraId="75942851">
            <w:pPr>
              <w:spacing w:line="240" w:lineRule="auto"/>
              <w:ind w:firstLine="0" w:firstLineChars="0"/>
              <w:jc w:val="center"/>
              <w:rPr>
                <w:color w:val="auto"/>
                <w:sz w:val="21"/>
                <w:szCs w:val="21"/>
              </w:rPr>
            </w:pPr>
            <w:r>
              <w:rPr>
                <w:rFonts w:hint="eastAsia"/>
                <w:color w:val="auto"/>
                <w:sz w:val="21"/>
                <w:szCs w:val="21"/>
              </w:rPr>
              <w:t>6.44</w:t>
            </w:r>
          </w:p>
        </w:tc>
        <w:tc>
          <w:tcPr>
            <w:tcW w:w="348" w:type="pct"/>
            <w:tcBorders>
              <w:right w:val="nil"/>
            </w:tcBorders>
            <w:vAlign w:val="center"/>
          </w:tcPr>
          <w:p w14:paraId="300B3C11">
            <w:pPr>
              <w:spacing w:line="240" w:lineRule="auto"/>
              <w:ind w:firstLine="0" w:firstLineChars="0"/>
              <w:jc w:val="center"/>
              <w:rPr>
                <w:color w:val="auto"/>
                <w:sz w:val="21"/>
                <w:szCs w:val="21"/>
              </w:rPr>
            </w:pPr>
            <w:r>
              <w:rPr>
                <w:rFonts w:hint="eastAsia"/>
                <w:color w:val="auto"/>
                <w:sz w:val="21"/>
                <w:szCs w:val="21"/>
              </w:rPr>
              <w:t>7.33</w:t>
            </w:r>
          </w:p>
        </w:tc>
      </w:tr>
    </w:tbl>
    <w:p w14:paraId="72C0386A">
      <w:pPr>
        <w:spacing w:line="460" w:lineRule="exact"/>
        <w:ind w:firstLine="480"/>
        <w:rPr>
          <w:color w:val="auto"/>
        </w:rPr>
      </w:pPr>
    </w:p>
    <w:p w14:paraId="344B5FE0">
      <w:pPr>
        <w:spacing w:line="240" w:lineRule="auto"/>
        <w:ind w:firstLine="0" w:firstLineChars="0"/>
        <w:jc w:val="center"/>
        <w:rPr>
          <w:b/>
          <w:color w:val="auto"/>
        </w:rPr>
      </w:pPr>
      <w:r>
        <w:rPr>
          <w:rFonts w:hint="eastAsia"/>
          <w:b/>
          <w:color w:val="auto"/>
        </w:rPr>
        <w:t>表3.4-6  2025年企业现有项目雨水总排口在线监测结果</w:t>
      </w:r>
    </w:p>
    <w:tbl>
      <w:tblPr>
        <w:tblStyle w:val="25"/>
        <w:tblW w:w="5000"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91"/>
        <w:gridCol w:w="3033"/>
        <w:gridCol w:w="1380"/>
        <w:gridCol w:w="1380"/>
        <w:gridCol w:w="1380"/>
        <w:gridCol w:w="1380"/>
        <w:gridCol w:w="1380"/>
        <w:gridCol w:w="1381"/>
        <w:gridCol w:w="1381"/>
      </w:tblGrid>
      <w:tr w14:paraId="0530C4F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6" w:type="pct"/>
            <w:vMerge w:val="restart"/>
            <w:tcBorders>
              <w:tl2br w:val="nil"/>
              <w:tr2bl w:val="nil"/>
            </w:tcBorders>
            <w:vAlign w:val="center"/>
          </w:tcPr>
          <w:p w14:paraId="20BF83CA">
            <w:pPr>
              <w:widowControl/>
              <w:spacing w:line="240" w:lineRule="auto"/>
              <w:ind w:firstLine="0" w:firstLineChars="0"/>
              <w:jc w:val="center"/>
              <w:rPr>
                <w:b/>
                <w:color w:val="auto"/>
                <w:kern w:val="0"/>
                <w:sz w:val="21"/>
                <w:szCs w:val="21"/>
              </w:rPr>
            </w:pPr>
            <w:r>
              <w:rPr>
                <w:b/>
                <w:color w:val="auto"/>
                <w:kern w:val="0"/>
                <w:sz w:val="21"/>
                <w:szCs w:val="21"/>
              </w:rPr>
              <w:t>监测点位</w:t>
            </w:r>
          </w:p>
        </w:tc>
        <w:tc>
          <w:tcPr>
            <w:tcW w:w="879" w:type="pct"/>
            <w:vMerge w:val="restart"/>
            <w:tcBorders>
              <w:tl2br w:val="nil"/>
              <w:tr2bl w:val="nil"/>
            </w:tcBorders>
            <w:vAlign w:val="center"/>
          </w:tcPr>
          <w:p w14:paraId="6E2FA848">
            <w:pPr>
              <w:widowControl/>
              <w:spacing w:line="240" w:lineRule="auto"/>
              <w:ind w:firstLine="0" w:firstLineChars="0"/>
              <w:jc w:val="center"/>
              <w:rPr>
                <w:b/>
                <w:color w:val="auto"/>
                <w:kern w:val="0"/>
                <w:sz w:val="21"/>
                <w:szCs w:val="21"/>
              </w:rPr>
            </w:pPr>
            <w:r>
              <w:rPr>
                <w:b/>
                <w:color w:val="auto"/>
                <w:kern w:val="0"/>
                <w:sz w:val="21"/>
                <w:szCs w:val="21"/>
              </w:rPr>
              <w:t>监测指标</w:t>
            </w:r>
          </w:p>
        </w:tc>
        <w:tc>
          <w:tcPr>
            <w:tcW w:w="400" w:type="pct"/>
            <w:gridSpan w:val="7"/>
            <w:tcBorders>
              <w:tl2br w:val="nil"/>
              <w:tr2bl w:val="nil"/>
            </w:tcBorders>
            <w:vAlign w:val="center"/>
          </w:tcPr>
          <w:p w14:paraId="3557D26F">
            <w:pPr>
              <w:widowControl/>
              <w:spacing w:line="240" w:lineRule="auto"/>
              <w:ind w:firstLine="0" w:firstLineChars="0"/>
              <w:jc w:val="center"/>
              <w:rPr>
                <w:b/>
                <w:color w:val="auto"/>
                <w:kern w:val="0"/>
                <w:sz w:val="21"/>
                <w:szCs w:val="21"/>
              </w:rPr>
            </w:pPr>
            <w:r>
              <w:rPr>
                <w:b/>
                <w:color w:val="auto"/>
                <w:kern w:val="0"/>
                <w:sz w:val="21"/>
                <w:szCs w:val="21"/>
              </w:rPr>
              <w:t>监测结果</w:t>
            </w:r>
          </w:p>
        </w:tc>
      </w:tr>
      <w:tr w14:paraId="4DB6781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6" w:type="pct"/>
            <w:vMerge w:val="continue"/>
            <w:tcBorders>
              <w:tl2br w:val="nil"/>
              <w:tr2bl w:val="nil"/>
            </w:tcBorders>
            <w:vAlign w:val="center"/>
          </w:tcPr>
          <w:p w14:paraId="3B010D00">
            <w:pPr>
              <w:widowControl/>
              <w:spacing w:line="240" w:lineRule="auto"/>
              <w:ind w:firstLine="0" w:firstLineChars="0"/>
              <w:jc w:val="center"/>
              <w:rPr>
                <w:b/>
                <w:color w:val="auto"/>
                <w:kern w:val="0"/>
                <w:sz w:val="21"/>
                <w:szCs w:val="21"/>
              </w:rPr>
            </w:pPr>
          </w:p>
        </w:tc>
        <w:tc>
          <w:tcPr>
            <w:tcW w:w="879" w:type="pct"/>
            <w:vMerge w:val="continue"/>
            <w:tcBorders>
              <w:tl2br w:val="nil"/>
              <w:tr2bl w:val="nil"/>
            </w:tcBorders>
            <w:vAlign w:val="center"/>
          </w:tcPr>
          <w:p w14:paraId="325C879A">
            <w:pPr>
              <w:widowControl/>
              <w:spacing w:line="240" w:lineRule="auto"/>
              <w:ind w:firstLine="0" w:firstLineChars="0"/>
              <w:jc w:val="center"/>
              <w:rPr>
                <w:b/>
                <w:color w:val="auto"/>
                <w:kern w:val="0"/>
                <w:sz w:val="21"/>
                <w:szCs w:val="21"/>
              </w:rPr>
            </w:pPr>
          </w:p>
        </w:tc>
        <w:tc>
          <w:tcPr>
            <w:tcW w:w="400" w:type="pct"/>
            <w:tcBorders>
              <w:tl2br w:val="nil"/>
              <w:tr2bl w:val="nil"/>
            </w:tcBorders>
            <w:vAlign w:val="center"/>
          </w:tcPr>
          <w:p w14:paraId="22CAE72E">
            <w:pPr>
              <w:widowControl/>
              <w:spacing w:line="240" w:lineRule="auto"/>
              <w:ind w:firstLine="0" w:firstLineChars="0"/>
              <w:jc w:val="center"/>
              <w:rPr>
                <w:b/>
                <w:color w:val="auto"/>
                <w:kern w:val="0"/>
                <w:sz w:val="21"/>
                <w:szCs w:val="21"/>
              </w:rPr>
            </w:pPr>
            <w:r>
              <w:rPr>
                <w:rFonts w:hint="eastAsia"/>
                <w:b/>
                <w:color w:val="auto"/>
                <w:kern w:val="0"/>
                <w:sz w:val="21"/>
                <w:szCs w:val="21"/>
              </w:rPr>
              <w:t>最大值</w:t>
            </w:r>
          </w:p>
        </w:tc>
        <w:tc>
          <w:tcPr>
            <w:tcW w:w="400" w:type="pct"/>
            <w:tcBorders>
              <w:tl2br w:val="nil"/>
              <w:tr2bl w:val="nil"/>
            </w:tcBorders>
            <w:vAlign w:val="center"/>
          </w:tcPr>
          <w:p w14:paraId="148CB0DD">
            <w:pPr>
              <w:widowControl/>
              <w:spacing w:line="240" w:lineRule="auto"/>
              <w:ind w:firstLine="0" w:firstLineChars="0"/>
              <w:jc w:val="center"/>
              <w:rPr>
                <w:b/>
                <w:color w:val="auto"/>
                <w:kern w:val="0"/>
                <w:sz w:val="21"/>
                <w:szCs w:val="21"/>
              </w:rPr>
            </w:pPr>
            <w:r>
              <w:rPr>
                <w:rFonts w:hint="eastAsia"/>
                <w:b/>
                <w:color w:val="auto"/>
                <w:kern w:val="0"/>
                <w:sz w:val="21"/>
                <w:szCs w:val="21"/>
              </w:rPr>
              <w:t>最小值</w:t>
            </w:r>
          </w:p>
        </w:tc>
        <w:tc>
          <w:tcPr>
            <w:tcW w:w="400" w:type="pct"/>
            <w:tcBorders>
              <w:tl2br w:val="nil"/>
              <w:tr2bl w:val="nil"/>
            </w:tcBorders>
            <w:vAlign w:val="center"/>
          </w:tcPr>
          <w:p w14:paraId="4E1AA8B8">
            <w:pPr>
              <w:widowControl/>
              <w:spacing w:line="240" w:lineRule="auto"/>
              <w:ind w:firstLine="0" w:firstLineChars="0"/>
              <w:jc w:val="center"/>
              <w:rPr>
                <w:b/>
                <w:color w:val="auto"/>
                <w:kern w:val="0"/>
                <w:sz w:val="21"/>
                <w:szCs w:val="21"/>
              </w:rPr>
            </w:pPr>
            <w:r>
              <w:rPr>
                <w:rFonts w:hint="eastAsia"/>
                <w:b/>
                <w:color w:val="auto"/>
                <w:kern w:val="0"/>
                <w:sz w:val="21"/>
                <w:szCs w:val="21"/>
              </w:rPr>
              <w:t>平均值</w:t>
            </w:r>
          </w:p>
        </w:tc>
        <w:tc>
          <w:tcPr>
            <w:tcW w:w="400" w:type="pct"/>
            <w:tcBorders>
              <w:tl2br w:val="nil"/>
              <w:tr2bl w:val="nil"/>
            </w:tcBorders>
            <w:vAlign w:val="center"/>
          </w:tcPr>
          <w:p w14:paraId="5D138715">
            <w:pPr>
              <w:widowControl/>
              <w:spacing w:line="240" w:lineRule="auto"/>
              <w:ind w:firstLine="0" w:firstLineChars="0"/>
              <w:jc w:val="center"/>
              <w:rPr>
                <w:b/>
                <w:color w:val="auto"/>
                <w:kern w:val="0"/>
                <w:sz w:val="21"/>
                <w:szCs w:val="21"/>
              </w:rPr>
            </w:pPr>
            <w:r>
              <w:rPr>
                <w:b/>
                <w:color w:val="auto"/>
                <w:kern w:val="0"/>
                <w:sz w:val="21"/>
                <w:szCs w:val="21"/>
              </w:rPr>
              <w:t>超标点个数</w:t>
            </w:r>
          </w:p>
        </w:tc>
        <w:tc>
          <w:tcPr>
            <w:tcW w:w="400" w:type="pct"/>
            <w:tcBorders>
              <w:tl2br w:val="nil"/>
              <w:tr2bl w:val="nil"/>
            </w:tcBorders>
            <w:vAlign w:val="center"/>
          </w:tcPr>
          <w:p w14:paraId="51321362">
            <w:pPr>
              <w:widowControl/>
              <w:spacing w:line="240" w:lineRule="auto"/>
              <w:ind w:firstLine="0" w:firstLineChars="0"/>
              <w:jc w:val="center"/>
              <w:rPr>
                <w:b/>
                <w:color w:val="auto"/>
                <w:kern w:val="0"/>
                <w:sz w:val="21"/>
                <w:szCs w:val="21"/>
              </w:rPr>
            </w:pPr>
            <w:r>
              <w:rPr>
                <w:b/>
                <w:color w:val="auto"/>
                <w:kern w:val="0"/>
                <w:sz w:val="21"/>
                <w:szCs w:val="21"/>
              </w:rPr>
              <w:t>超标率</w:t>
            </w:r>
          </w:p>
        </w:tc>
        <w:tc>
          <w:tcPr>
            <w:tcW w:w="400" w:type="pct"/>
            <w:tcBorders>
              <w:tl2br w:val="nil"/>
              <w:tr2bl w:val="nil"/>
            </w:tcBorders>
            <w:vAlign w:val="center"/>
          </w:tcPr>
          <w:p w14:paraId="091E7FE1">
            <w:pPr>
              <w:widowControl/>
              <w:spacing w:line="240" w:lineRule="auto"/>
              <w:ind w:firstLine="0" w:firstLineChars="0"/>
              <w:jc w:val="center"/>
              <w:rPr>
                <w:b/>
                <w:color w:val="auto"/>
                <w:kern w:val="0"/>
                <w:sz w:val="21"/>
                <w:szCs w:val="21"/>
              </w:rPr>
            </w:pPr>
            <w:r>
              <w:rPr>
                <w:b/>
                <w:color w:val="auto"/>
                <w:kern w:val="0"/>
                <w:sz w:val="21"/>
                <w:szCs w:val="21"/>
              </w:rPr>
              <w:t>排放限值</w:t>
            </w:r>
          </w:p>
        </w:tc>
        <w:tc>
          <w:tcPr>
            <w:tcW w:w="400" w:type="pct"/>
            <w:tcBorders>
              <w:tl2br w:val="nil"/>
              <w:tr2bl w:val="nil"/>
            </w:tcBorders>
            <w:vAlign w:val="center"/>
          </w:tcPr>
          <w:p w14:paraId="721C9614">
            <w:pPr>
              <w:widowControl/>
              <w:spacing w:line="240" w:lineRule="auto"/>
              <w:ind w:firstLine="0" w:firstLineChars="0"/>
              <w:jc w:val="center"/>
              <w:rPr>
                <w:b/>
                <w:color w:val="auto"/>
                <w:kern w:val="0"/>
                <w:sz w:val="21"/>
                <w:szCs w:val="21"/>
              </w:rPr>
            </w:pPr>
            <w:r>
              <w:rPr>
                <w:b/>
                <w:color w:val="auto"/>
                <w:kern w:val="0"/>
                <w:sz w:val="21"/>
                <w:szCs w:val="21"/>
              </w:rPr>
              <w:t>达标情况</w:t>
            </w:r>
          </w:p>
        </w:tc>
      </w:tr>
      <w:tr w14:paraId="76B91E9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6" w:type="pct"/>
            <w:tcBorders>
              <w:tl2br w:val="nil"/>
              <w:tr2bl w:val="nil"/>
            </w:tcBorders>
            <w:vAlign w:val="center"/>
          </w:tcPr>
          <w:p w14:paraId="6C293FA6">
            <w:pPr>
              <w:widowControl/>
              <w:spacing w:line="240" w:lineRule="auto"/>
              <w:ind w:firstLine="0" w:firstLineChars="0"/>
              <w:jc w:val="center"/>
              <w:rPr>
                <w:color w:val="auto"/>
                <w:kern w:val="0"/>
                <w:sz w:val="21"/>
                <w:szCs w:val="21"/>
              </w:rPr>
            </w:pPr>
            <w:r>
              <w:rPr>
                <w:color w:val="auto"/>
                <w:kern w:val="0"/>
                <w:sz w:val="21"/>
                <w:szCs w:val="21"/>
              </w:rPr>
              <w:t>雨水排口</w:t>
            </w:r>
          </w:p>
        </w:tc>
        <w:tc>
          <w:tcPr>
            <w:tcW w:w="879" w:type="pct"/>
            <w:tcBorders>
              <w:tl2br w:val="nil"/>
              <w:tr2bl w:val="nil"/>
            </w:tcBorders>
            <w:vAlign w:val="center"/>
          </w:tcPr>
          <w:p w14:paraId="057BBFD7">
            <w:pPr>
              <w:widowControl/>
              <w:spacing w:line="240" w:lineRule="auto"/>
              <w:ind w:firstLine="0" w:firstLineChars="0"/>
              <w:jc w:val="center"/>
              <w:rPr>
                <w:color w:val="auto"/>
                <w:kern w:val="0"/>
                <w:sz w:val="21"/>
                <w:szCs w:val="21"/>
              </w:rPr>
            </w:pPr>
            <w:r>
              <w:rPr>
                <w:color w:val="auto"/>
                <w:kern w:val="0"/>
                <w:sz w:val="21"/>
                <w:szCs w:val="21"/>
              </w:rPr>
              <w:t>COD</w:t>
            </w:r>
            <w:r>
              <w:rPr>
                <w:rFonts w:hint="eastAsia"/>
                <w:color w:val="auto"/>
                <w:kern w:val="0"/>
                <w:sz w:val="21"/>
                <w:szCs w:val="21"/>
              </w:rPr>
              <w:t>（</w:t>
            </w:r>
            <w:r>
              <w:rPr>
                <w:color w:val="auto"/>
                <w:kern w:val="0"/>
                <w:sz w:val="21"/>
                <w:szCs w:val="21"/>
              </w:rPr>
              <w:t>mg/L</w:t>
            </w:r>
            <w:r>
              <w:rPr>
                <w:rFonts w:hint="eastAsia"/>
                <w:color w:val="auto"/>
                <w:kern w:val="0"/>
                <w:sz w:val="21"/>
                <w:szCs w:val="21"/>
              </w:rPr>
              <w:t>）</w:t>
            </w:r>
          </w:p>
        </w:tc>
        <w:tc>
          <w:tcPr>
            <w:tcW w:w="400" w:type="pct"/>
            <w:tcBorders>
              <w:tl2br w:val="nil"/>
              <w:tr2bl w:val="nil"/>
            </w:tcBorders>
            <w:vAlign w:val="center"/>
          </w:tcPr>
          <w:p w14:paraId="777B4A62">
            <w:pPr>
              <w:widowControl/>
              <w:spacing w:line="240" w:lineRule="auto"/>
              <w:ind w:firstLine="0" w:firstLineChars="0"/>
              <w:jc w:val="center"/>
              <w:rPr>
                <w:color w:val="auto"/>
                <w:kern w:val="0"/>
                <w:sz w:val="21"/>
                <w:szCs w:val="21"/>
              </w:rPr>
            </w:pPr>
            <w:r>
              <w:rPr>
                <w:rFonts w:hint="eastAsia"/>
                <w:color w:val="auto"/>
                <w:kern w:val="0"/>
                <w:sz w:val="21"/>
                <w:szCs w:val="21"/>
              </w:rPr>
              <w:t>32.57</w:t>
            </w:r>
          </w:p>
        </w:tc>
        <w:tc>
          <w:tcPr>
            <w:tcW w:w="400" w:type="pct"/>
            <w:tcBorders>
              <w:tl2br w:val="nil"/>
              <w:tr2bl w:val="nil"/>
            </w:tcBorders>
            <w:vAlign w:val="center"/>
          </w:tcPr>
          <w:p w14:paraId="0A01890D">
            <w:pPr>
              <w:widowControl/>
              <w:spacing w:line="240" w:lineRule="auto"/>
              <w:ind w:firstLine="0" w:firstLineChars="0"/>
              <w:jc w:val="center"/>
              <w:rPr>
                <w:color w:val="auto"/>
                <w:kern w:val="0"/>
                <w:sz w:val="21"/>
                <w:szCs w:val="21"/>
              </w:rPr>
            </w:pPr>
            <w:r>
              <w:rPr>
                <w:rFonts w:hint="eastAsia"/>
                <w:color w:val="auto"/>
                <w:kern w:val="0"/>
                <w:sz w:val="21"/>
                <w:szCs w:val="21"/>
              </w:rPr>
              <w:t>9.10</w:t>
            </w:r>
          </w:p>
        </w:tc>
        <w:tc>
          <w:tcPr>
            <w:tcW w:w="400" w:type="pct"/>
            <w:tcBorders>
              <w:tl2br w:val="nil"/>
              <w:tr2bl w:val="nil"/>
            </w:tcBorders>
            <w:vAlign w:val="center"/>
          </w:tcPr>
          <w:p w14:paraId="2077BCBB">
            <w:pPr>
              <w:widowControl/>
              <w:spacing w:line="240" w:lineRule="auto"/>
              <w:ind w:firstLine="0" w:firstLineChars="0"/>
              <w:jc w:val="center"/>
              <w:rPr>
                <w:color w:val="auto"/>
                <w:kern w:val="0"/>
                <w:sz w:val="21"/>
                <w:szCs w:val="21"/>
              </w:rPr>
            </w:pPr>
            <w:r>
              <w:rPr>
                <w:rFonts w:hint="eastAsia"/>
                <w:color w:val="auto"/>
                <w:kern w:val="0"/>
                <w:sz w:val="21"/>
                <w:szCs w:val="21"/>
              </w:rPr>
              <w:t>16.71</w:t>
            </w:r>
          </w:p>
        </w:tc>
        <w:tc>
          <w:tcPr>
            <w:tcW w:w="400" w:type="pct"/>
            <w:tcBorders>
              <w:tl2br w:val="nil"/>
              <w:tr2bl w:val="nil"/>
            </w:tcBorders>
            <w:vAlign w:val="center"/>
          </w:tcPr>
          <w:p w14:paraId="4FE1830B">
            <w:pPr>
              <w:widowControl/>
              <w:spacing w:line="240" w:lineRule="auto"/>
              <w:ind w:firstLine="0" w:firstLineChars="0"/>
              <w:jc w:val="center"/>
              <w:rPr>
                <w:color w:val="auto"/>
                <w:kern w:val="0"/>
                <w:sz w:val="21"/>
                <w:szCs w:val="21"/>
              </w:rPr>
            </w:pPr>
            <w:r>
              <w:rPr>
                <w:color w:val="auto"/>
                <w:kern w:val="0"/>
                <w:sz w:val="21"/>
                <w:szCs w:val="21"/>
              </w:rPr>
              <w:t>0</w:t>
            </w:r>
          </w:p>
        </w:tc>
        <w:tc>
          <w:tcPr>
            <w:tcW w:w="400" w:type="pct"/>
            <w:tcBorders>
              <w:tl2br w:val="nil"/>
              <w:tr2bl w:val="nil"/>
            </w:tcBorders>
            <w:vAlign w:val="center"/>
          </w:tcPr>
          <w:p w14:paraId="196D1723">
            <w:pPr>
              <w:widowControl/>
              <w:spacing w:line="240" w:lineRule="auto"/>
              <w:ind w:firstLine="0" w:firstLineChars="0"/>
              <w:jc w:val="center"/>
              <w:rPr>
                <w:color w:val="auto"/>
                <w:kern w:val="0"/>
                <w:sz w:val="21"/>
                <w:szCs w:val="21"/>
              </w:rPr>
            </w:pPr>
            <w:r>
              <w:rPr>
                <w:color w:val="auto"/>
                <w:kern w:val="0"/>
                <w:sz w:val="21"/>
                <w:szCs w:val="21"/>
              </w:rPr>
              <w:t>0</w:t>
            </w:r>
          </w:p>
        </w:tc>
        <w:tc>
          <w:tcPr>
            <w:tcW w:w="400" w:type="pct"/>
            <w:tcBorders>
              <w:tl2br w:val="nil"/>
              <w:tr2bl w:val="nil"/>
            </w:tcBorders>
            <w:vAlign w:val="center"/>
          </w:tcPr>
          <w:p w14:paraId="091D60E7">
            <w:pPr>
              <w:widowControl/>
              <w:spacing w:line="240" w:lineRule="auto"/>
              <w:ind w:firstLine="0" w:firstLineChars="0"/>
              <w:jc w:val="center"/>
              <w:rPr>
                <w:color w:val="auto"/>
                <w:kern w:val="0"/>
                <w:sz w:val="21"/>
                <w:szCs w:val="21"/>
              </w:rPr>
            </w:pPr>
            <w:r>
              <w:rPr>
                <w:color w:val="auto"/>
                <w:kern w:val="0"/>
                <w:sz w:val="21"/>
                <w:szCs w:val="21"/>
              </w:rPr>
              <w:t>40</w:t>
            </w:r>
          </w:p>
        </w:tc>
        <w:tc>
          <w:tcPr>
            <w:tcW w:w="400" w:type="pct"/>
            <w:tcBorders>
              <w:tl2br w:val="nil"/>
              <w:tr2bl w:val="nil"/>
            </w:tcBorders>
            <w:vAlign w:val="center"/>
          </w:tcPr>
          <w:p w14:paraId="471B2076">
            <w:pPr>
              <w:widowControl/>
              <w:spacing w:line="240" w:lineRule="auto"/>
              <w:ind w:firstLine="0" w:firstLineChars="0"/>
              <w:jc w:val="center"/>
              <w:rPr>
                <w:color w:val="auto"/>
                <w:kern w:val="0"/>
                <w:sz w:val="21"/>
                <w:szCs w:val="21"/>
              </w:rPr>
            </w:pPr>
            <w:r>
              <w:rPr>
                <w:color w:val="auto"/>
                <w:kern w:val="0"/>
                <w:sz w:val="21"/>
                <w:szCs w:val="21"/>
              </w:rPr>
              <w:t>达标</w:t>
            </w:r>
          </w:p>
        </w:tc>
      </w:tr>
    </w:tbl>
    <w:p w14:paraId="2513F265">
      <w:pPr>
        <w:spacing w:line="460" w:lineRule="exact"/>
        <w:ind w:firstLine="480"/>
        <w:rPr>
          <w:color w:val="auto"/>
        </w:rPr>
        <w:sectPr>
          <w:pgSz w:w="16838" w:h="11906" w:orient="landscape"/>
          <w:pgMar w:top="1134" w:right="1134" w:bottom="1134" w:left="1134" w:header="851" w:footer="992" w:gutter="0"/>
          <w:cols w:space="425" w:num="1"/>
          <w:docGrid w:type="lines" w:linePitch="312" w:charSpace="0"/>
        </w:sectPr>
      </w:pPr>
    </w:p>
    <w:p w14:paraId="5BAD6F5D">
      <w:pPr>
        <w:pStyle w:val="4"/>
        <w:rPr>
          <w:color w:val="auto"/>
        </w:rPr>
      </w:pPr>
      <w:bookmarkStart w:id="102" w:name="_Toc24980"/>
      <w:r>
        <w:rPr>
          <w:rFonts w:hint="eastAsia"/>
          <w:color w:val="auto"/>
        </w:rPr>
        <w:t>3.4.3噪声达标情况</w:t>
      </w:r>
      <w:bookmarkEnd w:id="102"/>
    </w:p>
    <w:p w14:paraId="66CCBC38">
      <w:pPr>
        <w:spacing w:line="460" w:lineRule="exact"/>
        <w:ind w:firstLine="480"/>
        <w:rPr>
          <w:color w:val="auto"/>
        </w:rPr>
      </w:pPr>
      <w:r>
        <w:rPr>
          <w:rFonts w:hint="eastAsia"/>
          <w:color w:val="auto"/>
        </w:rPr>
        <w:t>根据企业委托启东市清源环境检测技术有限公司在2025年1月8日、4月11日、7月2日和10月9日分别对厂区厂界外噪声进行监测，监测期间，亚太药业正常生产，监测结果见表3.4-7。</w:t>
      </w:r>
    </w:p>
    <w:p w14:paraId="62C8170E">
      <w:pPr>
        <w:spacing w:line="240" w:lineRule="auto"/>
        <w:ind w:firstLine="0" w:firstLineChars="0"/>
        <w:jc w:val="center"/>
        <w:rPr>
          <w:b/>
          <w:color w:val="auto"/>
        </w:rPr>
      </w:pPr>
      <w:r>
        <w:rPr>
          <w:rFonts w:hint="eastAsia"/>
          <w:b/>
          <w:color w:val="auto"/>
        </w:rPr>
        <w:t>表3.4-7  厂界噪声昼间监测结果与评价</w:t>
      </w:r>
    </w:p>
    <w:tbl>
      <w:tblPr>
        <w:tblStyle w:val="24"/>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98"/>
        <w:gridCol w:w="1224"/>
        <w:gridCol w:w="1259"/>
        <w:gridCol w:w="1243"/>
        <w:gridCol w:w="2299"/>
        <w:gridCol w:w="1627"/>
      </w:tblGrid>
      <w:tr w14:paraId="6B7C403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tblHeader/>
          <w:jc w:val="center"/>
        </w:trPr>
        <w:tc>
          <w:tcPr>
            <w:tcW w:w="1115" w:type="pct"/>
            <w:tcBorders>
              <w:tl2br w:val="nil"/>
              <w:tr2bl w:val="nil"/>
            </w:tcBorders>
            <w:noWrap/>
            <w:vAlign w:val="center"/>
          </w:tcPr>
          <w:p w14:paraId="5C27CFB6">
            <w:pPr>
              <w:widowControl/>
              <w:spacing w:line="240" w:lineRule="auto"/>
              <w:ind w:firstLine="0" w:firstLineChars="0"/>
              <w:jc w:val="center"/>
              <w:rPr>
                <w:b/>
                <w:color w:val="auto"/>
                <w:kern w:val="0"/>
                <w:sz w:val="21"/>
                <w:szCs w:val="21"/>
              </w:rPr>
            </w:pPr>
            <w:r>
              <w:rPr>
                <w:b/>
                <w:color w:val="auto"/>
                <w:kern w:val="0"/>
                <w:sz w:val="21"/>
                <w:szCs w:val="21"/>
              </w:rPr>
              <w:t>监测点位置</w:t>
            </w:r>
          </w:p>
        </w:tc>
        <w:tc>
          <w:tcPr>
            <w:tcW w:w="622" w:type="pct"/>
            <w:tcBorders>
              <w:tl2br w:val="nil"/>
              <w:tr2bl w:val="nil"/>
            </w:tcBorders>
            <w:noWrap/>
            <w:vAlign w:val="center"/>
          </w:tcPr>
          <w:p w14:paraId="7E5851C1">
            <w:pPr>
              <w:widowControl/>
              <w:spacing w:line="240" w:lineRule="auto"/>
              <w:ind w:firstLine="0" w:firstLineChars="0"/>
              <w:jc w:val="center"/>
              <w:rPr>
                <w:b/>
                <w:color w:val="auto"/>
                <w:kern w:val="0"/>
                <w:sz w:val="21"/>
                <w:szCs w:val="21"/>
              </w:rPr>
            </w:pPr>
            <w:r>
              <w:rPr>
                <w:b/>
                <w:color w:val="auto"/>
                <w:kern w:val="0"/>
                <w:sz w:val="21"/>
                <w:szCs w:val="21"/>
              </w:rPr>
              <w:t>监测时间</w:t>
            </w:r>
          </w:p>
        </w:tc>
        <w:tc>
          <w:tcPr>
            <w:tcW w:w="638" w:type="pct"/>
            <w:tcBorders>
              <w:tl2br w:val="nil"/>
              <w:tr2bl w:val="nil"/>
            </w:tcBorders>
            <w:noWrap/>
            <w:vAlign w:val="center"/>
          </w:tcPr>
          <w:p w14:paraId="1D4554BF">
            <w:pPr>
              <w:widowControl/>
              <w:spacing w:line="240" w:lineRule="auto"/>
              <w:ind w:firstLine="0" w:firstLineChars="0"/>
              <w:jc w:val="center"/>
              <w:rPr>
                <w:b/>
                <w:color w:val="auto"/>
                <w:kern w:val="0"/>
                <w:sz w:val="21"/>
                <w:szCs w:val="21"/>
              </w:rPr>
            </w:pPr>
            <w:r>
              <w:rPr>
                <w:b/>
                <w:color w:val="auto"/>
                <w:kern w:val="0"/>
                <w:sz w:val="21"/>
                <w:szCs w:val="21"/>
              </w:rPr>
              <w:t>监测时段</w:t>
            </w:r>
          </w:p>
        </w:tc>
        <w:tc>
          <w:tcPr>
            <w:tcW w:w="630" w:type="pct"/>
            <w:tcBorders>
              <w:tl2br w:val="nil"/>
              <w:tr2bl w:val="nil"/>
            </w:tcBorders>
            <w:noWrap/>
            <w:vAlign w:val="center"/>
          </w:tcPr>
          <w:p w14:paraId="07D0F224">
            <w:pPr>
              <w:widowControl/>
              <w:spacing w:line="240" w:lineRule="auto"/>
              <w:ind w:firstLine="0" w:firstLineChars="0"/>
              <w:jc w:val="center"/>
              <w:rPr>
                <w:b/>
                <w:color w:val="auto"/>
                <w:kern w:val="0"/>
                <w:sz w:val="21"/>
                <w:szCs w:val="21"/>
              </w:rPr>
            </w:pPr>
            <w:r>
              <w:rPr>
                <w:b/>
                <w:color w:val="auto"/>
                <w:kern w:val="0"/>
                <w:sz w:val="21"/>
                <w:szCs w:val="21"/>
              </w:rPr>
              <w:t>监测结果(dB(A))</w:t>
            </w:r>
          </w:p>
        </w:tc>
        <w:tc>
          <w:tcPr>
            <w:tcW w:w="1166" w:type="pct"/>
            <w:tcBorders>
              <w:tl2br w:val="nil"/>
              <w:tr2bl w:val="nil"/>
            </w:tcBorders>
            <w:noWrap/>
            <w:vAlign w:val="center"/>
          </w:tcPr>
          <w:p w14:paraId="75E5FEE1">
            <w:pPr>
              <w:widowControl/>
              <w:spacing w:line="240" w:lineRule="auto"/>
              <w:ind w:firstLine="0" w:firstLineChars="0"/>
              <w:jc w:val="center"/>
              <w:rPr>
                <w:b/>
                <w:color w:val="auto"/>
                <w:kern w:val="0"/>
                <w:sz w:val="21"/>
                <w:szCs w:val="21"/>
              </w:rPr>
            </w:pPr>
            <w:r>
              <w:rPr>
                <w:b/>
                <w:color w:val="auto"/>
                <w:kern w:val="0"/>
                <w:sz w:val="21"/>
                <w:szCs w:val="21"/>
              </w:rPr>
              <w:t>标准限值(dB(A))</w:t>
            </w:r>
          </w:p>
        </w:tc>
        <w:tc>
          <w:tcPr>
            <w:tcW w:w="825" w:type="pct"/>
            <w:tcBorders>
              <w:tl2br w:val="nil"/>
              <w:tr2bl w:val="nil"/>
            </w:tcBorders>
            <w:noWrap/>
            <w:vAlign w:val="center"/>
          </w:tcPr>
          <w:p w14:paraId="77A265CC">
            <w:pPr>
              <w:widowControl/>
              <w:spacing w:line="240" w:lineRule="auto"/>
              <w:ind w:firstLine="0" w:firstLineChars="0"/>
              <w:jc w:val="center"/>
              <w:rPr>
                <w:b/>
                <w:color w:val="auto"/>
                <w:kern w:val="0"/>
                <w:sz w:val="21"/>
                <w:szCs w:val="21"/>
              </w:rPr>
            </w:pPr>
            <w:r>
              <w:rPr>
                <w:rFonts w:hint="eastAsia"/>
                <w:b/>
                <w:color w:val="auto"/>
                <w:kern w:val="0"/>
                <w:sz w:val="21"/>
                <w:szCs w:val="21"/>
              </w:rPr>
              <w:t>达标情况</w:t>
            </w:r>
          </w:p>
        </w:tc>
      </w:tr>
      <w:tr w14:paraId="67234B9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noWrap/>
            <w:vAlign w:val="center"/>
          </w:tcPr>
          <w:p w14:paraId="49C71FCC">
            <w:pPr>
              <w:widowControl/>
              <w:spacing w:line="240" w:lineRule="auto"/>
              <w:ind w:firstLine="0" w:firstLineChars="0"/>
              <w:jc w:val="center"/>
              <w:rPr>
                <w:color w:val="auto"/>
                <w:kern w:val="0"/>
                <w:sz w:val="21"/>
                <w:szCs w:val="21"/>
              </w:rPr>
            </w:pPr>
            <w:r>
              <w:rPr>
                <w:color w:val="auto"/>
                <w:kern w:val="0"/>
                <w:sz w:val="21"/>
                <w:szCs w:val="21"/>
              </w:rPr>
              <w:t>北厂界外1m</w:t>
            </w:r>
            <w:r>
              <w:rPr>
                <w:rFonts w:hint="eastAsia"/>
                <w:color w:val="auto"/>
                <w:kern w:val="0"/>
                <w:sz w:val="21"/>
                <w:szCs w:val="21"/>
              </w:rPr>
              <w:t>，高围墙0.5m</w:t>
            </w:r>
          </w:p>
        </w:tc>
        <w:tc>
          <w:tcPr>
            <w:tcW w:w="622" w:type="pct"/>
            <w:vMerge w:val="restart"/>
            <w:tcBorders>
              <w:tl2br w:val="nil"/>
              <w:tr2bl w:val="nil"/>
            </w:tcBorders>
            <w:noWrap/>
            <w:vAlign w:val="center"/>
          </w:tcPr>
          <w:p w14:paraId="771BBE4E">
            <w:pPr>
              <w:widowControl/>
              <w:spacing w:line="240" w:lineRule="auto"/>
              <w:ind w:firstLine="0" w:firstLineChars="0"/>
              <w:jc w:val="center"/>
              <w:rPr>
                <w:color w:val="auto"/>
                <w:kern w:val="0"/>
                <w:sz w:val="21"/>
                <w:szCs w:val="21"/>
              </w:rPr>
            </w:pPr>
            <w:r>
              <w:rPr>
                <w:color w:val="auto"/>
                <w:kern w:val="0"/>
                <w:sz w:val="21"/>
                <w:szCs w:val="21"/>
              </w:rPr>
              <w:t>202</w:t>
            </w:r>
            <w:r>
              <w:rPr>
                <w:rFonts w:hint="eastAsia"/>
                <w:color w:val="auto"/>
                <w:kern w:val="0"/>
                <w:sz w:val="21"/>
                <w:szCs w:val="21"/>
              </w:rPr>
              <w:t>5</w:t>
            </w:r>
            <w:r>
              <w:rPr>
                <w:color w:val="auto"/>
                <w:kern w:val="0"/>
                <w:sz w:val="21"/>
                <w:szCs w:val="21"/>
              </w:rPr>
              <w:t>.1.</w:t>
            </w:r>
            <w:r>
              <w:rPr>
                <w:rFonts w:hint="eastAsia"/>
                <w:color w:val="auto"/>
                <w:kern w:val="0"/>
                <w:sz w:val="21"/>
                <w:szCs w:val="21"/>
              </w:rPr>
              <w:t>8</w:t>
            </w:r>
          </w:p>
        </w:tc>
        <w:tc>
          <w:tcPr>
            <w:tcW w:w="638" w:type="pct"/>
            <w:tcBorders>
              <w:tl2br w:val="nil"/>
              <w:tr2bl w:val="nil"/>
            </w:tcBorders>
            <w:noWrap/>
            <w:vAlign w:val="center"/>
          </w:tcPr>
          <w:p w14:paraId="7E60B76F">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5F6A1C53">
            <w:pPr>
              <w:widowControl/>
              <w:spacing w:line="240" w:lineRule="auto"/>
              <w:ind w:firstLine="0" w:firstLineChars="0"/>
              <w:jc w:val="center"/>
              <w:rPr>
                <w:color w:val="auto"/>
                <w:kern w:val="0"/>
                <w:sz w:val="21"/>
                <w:szCs w:val="21"/>
              </w:rPr>
            </w:pPr>
            <w:r>
              <w:rPr>
                <w:color w:val="auto"/>
                <w:kern w:val="0"/>
                <w:sz w:val="21"/>
                <w:szCs w:val="21"/>
              </w:rPr>
              <w:t>56.</w:t>
            </w:r>
            <w:r>
              <w:rPr>
                <w:rFonts w:hint="eastAsia"/>
                <w:color w:val="auto"/>
                <w:kern w:val="0"/>
                <w:sz w:val="21"/>
                <w:szCs w:val="21"/>
              </w:rPr>
              <w:t>3</w:t>
            </w:r>
          </w:p>
        </w:tc>
        <w:tc>
          <w:tcPr>
            <w:tcW w:w="1166" w:type="pct"/>
            <w:tcBorders>
              <w:tl2br w:val="nil"/>
              <w:tr2bl w:val="nil"/>
            </w:tcBorders>
            <w:noWrap/>
            <w:vAlign w:val="center"/>
          </w:tcPr>
          <w:p w14:paraId="04CD97DD">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restart"/>
            <w:tcBorders>
              <w:tl2br w:val="nil"/>
              <w:tr2bl w:val="nil"/>
            </w:tcBorders>
            <w:noWrap/>
            <w:vAlign w:val="center"/>
          </w:tcPr>
          <w:p w14:paraId="0A6F34A0">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07AE19E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7E17ADE1">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6D769536">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794717D9">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376ADAF1">
            <w:pPr>
              <w:widowControl/>
              <w:spacing w:line="240" w:lineRule="auto"/>
              <w:ind w:firstLine="0" w:firstLineChars="0"/>
              <w:jc w:val="center"/>
              <w:rPr>
                <w:color w:val="auto"/>
                <w:kern w:val="0"/>
                <w:sz w:val="21"/>
                <w:szCs w:val="21"/>
              </w:rPr>
            </w:pPr>
            <w:r>
              <w:rPr>
                <w:rFonts w:hint="eastAsia"/>
                <w:color w:val="auto"/>
                <w:kern w:val="0"/>
                <w:sz w:val="21"/>
                <w:szCs w:val="21"/>
              </w:rPr>
              <w:t>53.3</w:t>
            </w:r>
          </w:p>
        </w:tc>
        <w:tc>
          <w:tcPr>
            <w:tcW w:w="1166" w:type="pct"/>
            <w:tcBorders>
              <w:tl2br w:val="nil"/>
              <w:tr2bl w:val="nil"/>
            </w:tcBorders>
            <w:noWrap/>
            <w:vAlign w:val="center"/>
          </w:tcPr>
          <w:p w14:paraId="195E13D0">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4AE52672">
            <w:pPr>
              <w:widowControl/>
              <w:spacing w:line="240" w:lineRule="auto"/>
              <w:ind w:firstLine="0" w:firstLineChars="0"/>
              <w:jc w:val="center"/>
              <w:rPr>
                <w:color w:val="auto"/>
                <w:kern w:val="0"/>
                <w:sz w:val="21"/>
                <w:szCs w:val="21"/>
              </w:rPr>
            </w:pPr>
          </w:p>
        </w:tc>
      </w:tr>
      <w:tr w14:paraId="02B7853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noWrap/>
            <w:vAlign w:val="center"/>
          </w:tcPr>
          <w:p w14:paraId="0BB6BFE2">
            <w:pPr>
              <w:widowControl/>
              <w:spacing w:line="240" w:lineRule="auto"/>
              <w:ind w:firstLine="0" w:firstLineChars="0"/>
              <w:jc w:val="center"/>
              <w:rPr>
                <w:color w:val="auto"/>
                <w:kern w:val="0"/>
                <w:sz w:val="21"/>
                <w:szCs w:val="21"/>
              </w:rPr>
            </w:pPr>
            <w:r>
              <w:rPr>
                <w:color w:val="auto"/>
                <w:kern w:val="0"/>
                <w:sz w:val="21"/>
                <w:szCs w:val="21"/>
              </w:rPr>
              <w:t>西厂界外1m</w:t>
            </w:r>
            <w:r>
              <w:rPr>
                <w:rFonts w:hint="eastAsia"/>
                <w:color w:val="auto"/>
                <w:kern w:val="0"/>
                <w:sz w:val="21"/>
                <w:szCs w:val="21"/>
              </w:rPr>
              <w:t>，高围墙0.5m</w:t>
            </w:r>
          </w:p>
        </w:tc>
        <w:tc>
          <w:tcPr>
            <w:tcW w:w="622" w:type="pct"/>
            <w:vMerge w:val="continue"/>
            <w:tcBorders>
              <w:tl2br w:val="nil"/>
              <w:tr2bl w:val="nil"/>
            </w:tcBorders>
            <w:noWrap/>
            <w:vAlign w:val="center"/>
          </w:tcPr>
          <w:p w14:paraId="7CEBF027">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02690B12">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12DA719B">
            <w:pPr>
              <w:widowControl/>
              <w:spacing w:line="240" w:lineRule="auto"/>
              <w:ind w:firstLine="0" w:firstLineChars="0"/>
              <w:jc w:val="center"/>
              <w:rPr>
                <w:color w:val="auto"/>
                <w:kern w:val="0"/>
                <w:sz w:val="21"/>
                <w:szCs w:val="21"/>
              </w:rPr>
            </w:pPr>
            <w:r>
              <w:rPr>
                <w:rFonts w:hint="eastAsia"/>
                <w:color w:val="auto"/>
                <w:kern w:val="0"/>
                <w:sz w:val="21"/>
                <w:szCs w:val="21"/>
              </w:rPr>
              <w:t>58.2</w:t>
            </w:r>
          </w:p>
        </w:tc>
        <w:tc>
          <w:tcPr>
            <w:tcW w:w="1166" w:type="pct"/>
            <w:tcBorders>
              <w:tl2br w:val="nil"/>
              <w:tr2bl w:val="nil"/>
            </w:tcBorders>
            <w:noWrap/>
            <w:vAlign w:val="center"/>
          </w:tcPr>
          <w:p w14:paraId="61450666">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4C7358FB">
            <w:pPr>
              <w:widowControl/>
              <w:spacing w:line="240" w:lineRule="auto"/>
              <w:ind w:firstLine="0" w:firstLineChars="0"/>
              <w:jc w:val="center"/>
              <w:rPr>
                <w:color w:val="auto"/>
                <w:kern w:val="0"/>
                <w:sz w:val="21"/>
                <w:szCs w:val="21"/>
              </w:rPr>
            </w:pPr>
          </w:p>
        </w:tc>
      </w:tr>
      <w:tr w14:paraId="4DB6E1C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732F6F0A">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7DC3B563">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58128063">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58D445AF">
            <w:pPr>
              <w:widowControl/>
              <w:spacing w:line="240" w:lineRule="auto"/>
              <w:ind w:firstLine="0" w:firstLineChars="0"/>
              <w:jc w:val="center"/>
              <w:rPr>
                <w:color w:val="auto"/>
                <w:kern w:val="0"/>
                <w:sz w:val="21"/>
                <w:szCs w:val="21"/>
              </w:rPr>
            </w:pPr>
            <w:r>
              <w:rPr>
                <w:rFonts w:hint="eastAsia"/>
                <w:color w:val="auto"/>
                <w:kern w:val="0"/>
                <w:sz w:val="21"/>
                <w:szCs w:val="21"/>
              </w:rPr>
              <w:t>51.4</w:t>
            </w:r>
          </w:p>
        </w:tc>
        <w:tc>
          <w:tcPr>
            <w:tcW w:w="1166" w:type="pct"/>
            <w:tcBorders>
              <w:tl2br w:val="nil"/>
              <w:tr2bl w:val="nil"/>
            </w:tcBorders>
            <w:noWrap/>
            <w:vAlign w:val="center"/>
          </w:tcPr>
          <w:p w14:paraId="62821DBE">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745E2260">
            <w:pPr>
              <w:widowControl/>
              <w:spacing w:line="240" w:lineRule="auto"/>
              <w:ind w:firstLine="0" w:firstLineChars="0"/>
              <w:jc w:val="center"/>
              <w:rPr>
                <w:color w:val="auto"/>
                <w:kern w:val="0"/>
                <w:sz w:val="21"/>
                <w:szCs w:val="21"/>
              </w:rPr>
            </w:pPr>
          </w:p>
        </w:tc>
      </w:tr>
      <w:tr w14:paraId="107BE7A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noWrap/>
            <w:vAlign w:val="center"/>
          </w:tcPr>
          <w:p w14:paraId="298095D5">
            <w:pPr>
              <w:widowControl/>
              <w:spacing w:line="240" w:lineRule="auto"/>
              <w:ind w:firstLine="0" w:firstLineChars="0"/>
              <w:jc w:val="center"/>
              <w:rPr>
                <w:color w:val="auto"/>
                <w:kern w:val="0"/>
                <w:sz w:val="21"/>
                <w:szCs w:val="21"/>
              </w:rPr>
            </w:pPr>
            <w:r>
              <w:rPr>
                <w:color w:val="auto"/>
                <w:kern w:val="0"/>
                <w:sz w:val="21"/>
                <w:szCs w:val="21"/>
              </w:rPr>
              <w:t>南厂界外1m</w:t>
            </w:r>
            <w:r>
              <w:rPr>
                <w:rFonts w:hint="eastAsia"/>
                <w:color w:val="auto"/>
                <w:kern w:val="0"/>
                <w:sz w:val="21"/>
                <w:szCs w:val="21"/>
              </w:rPr>
              <w:t>，高围墙0.5m</w:t>
            </w:r>
          </w:p>
        </w:tc>
        <w:tc>
          <w:tcPr>
            <w:tcW w:w="622" w:type="pct"/>
            <w:vMerge w:val="continue"/>
            <w:tcBorders>
              <w:tl2br w:val="nil"/>
              <w:tr2bl w:val="nil"/>
            </w:tcBorders>
            <w:noWrap/>
            <w:vAlign w:val="center"/>
          </w:tcPr>
          <w:p w14:paraId="4500DFA0">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4D8FCF65">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21144077">
            <w:pPr>
              <w:widowControl/>
              <w:spacing w:line="240" w:lineRule="auto"/>
              <w:ind w:firstLine="0" w:firstLineChars="0"/>
              <w:jc w:val="center"/>
              <w:rPr>
                <w:color w:val="auto"/>
                <w:kern w:val="0"/>
                <w:sz w:val="21"/>
                <w:szCs w:val="21"/>
              </w:rPr>
            </w:pPr>
            <w:r>
              <w:rPr>
                <w:rFonts w:hint="eastAsia"/>
                <w:color w:val="auto"/>
                <w:kern w:val="0"/>
                <w:sz w:val="21"/>
                <w:szCs w:val="21"/>
              </w:rPr>
              <w:t>55.5</w:t>
            </w:r>
          </w:p>
        </w:tc>
        <w:tc>
          <w:tcPr>
            <w:tcW w:w="1166" w:type="pct"/>
            <w:tcBorders>
              <w:tl2br w:val="nil"/>
              <w:tr2bl w:val="nil"/>
            </w:tcBorders>
            <w:noWrap/>
            <w:vAlign w:val="center"/>
          </w:tcPr>
          <w:p w14:paraId="20F9E8DA">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262BB45F">
            <w:pPr>
              <w:widowControl/>
              <w:spacing w:line="240" w:lineRule="auto"/>
              <w:ind w:firstLine="0" w:firstLineChars="0"/>
              <w:jc w:val="center"/>
              <w:rPr>
                <w:color w:val="auto"/>
                <w:kern w:val="0"/>
                <w:sz w:val="21"/>
                <w:szCs w:val="21"/>
              </w:rPr>
            </w:pPr>
          </w:p>
        </w:tc>
      </w:tr>
      <w:tr w14:paraId="208BDFA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372B3715">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0FECF620">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10AAE6C5">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0763CF70">
            <w:pPr>
              <w:widowControl/>
              <w:spacing w:line="240" w:lineRule="auto"/>
              <w:ind w:firstLine="0" w:firstLineChars="0"/>
              <w:jc w:val="center"/>
              <w:rPr>
                <w:color w:val="auto"/>
                <w:kern w:val="0"/>
                <w:sz w:val="21"/>
                <w:szCs w:val="21"/>
              </w:rPr>
            </w:pPr>
            <w:r>
              <w:rPr>
                <w:rFonts w:hint="eastAsia"/>
                <w:color w:val="auto"/>
                <w:kern w:val="0"/>
                <w:sz w:val="21"/>
                <w:szCs w:val="21"/>
              </w:rPr>
              <w:t>52.3</w:t>
            </w:r>
          </w:p>
        </w:tc>
        <w:tc>
          <w:tcPr>
            <w:tcW w:w="1166" w:type="pct"/>
            <w:tcBorders>
              <w:tl2br w:val="nil"/>
              <w:tr2bl w:val="nil"/>
            </w:tcBorders>
            <w:noWrap/>
            <w:vAlign w:val="center"/>
          </w:tcPr>
          <w:p w14:paraId="1B19B430">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71B43370">
            <w:pPr>
              <w:widowControl/>
              <w:spacing w:line="240" w:lineRule="auto"/>
              <w:ind w:firstLine="0" w:firstLineChars="0"/>
              <w:jc w:val="center"/>
              <w:rPr>
                <w:color w:val="auto"/>
                <w:kern w:val="0"/>
                <w:sz w:val="21"/>
                <w:szCs w:val="21"/>
              </w:rPr>
            </w:pPr>
          </w:p>
        </w:tc>
      </w:tr>
      <w:tr w14:paraId="755C4E5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noWrap/>
            <w:vAlign w:val="center"/>
          </w:tcPr>
          <w:p w14:paraId="7214CD86">
            <w:pPr>
              <w:widowControl/>
              <w:spacing w:line="240" w:lineRule="auto"/>
              <w:ind w:firstLine="0" w:firstLineChars="0"/>
              <w:jc w:val="center"/>
              <w:rPr>
                <w:color w:val="auto"/>
                <w:kern w:val="0"/>
                <w:sz w:val="21"/>
                <w:szCs w:val="21"/>
              </w:rPr>
            </w:pPr>
            <w:r>
              <w:rPr>
                <w:color w:val="auto"/>
                <w:kern w:val="0"/>
                <w:sz w:val="21"/>
                <w:szCs w:val="21"/>
              </w:rPr>
              <w:t>东厂界外1m</w:t>
            </w:r>
            <w:r>
              <w:rPr>
                <w:rFonts w:hint="eastAsia"/>
                <w:color w:val="auto"/>
                <w:kern w:val="0"/>
                <w:sz w:val="21"/>
                <w:szCs w:val="21"/>
              </w:rPr>
              <w:t>，高围墙0.5m</w:t>
            </w:r>
          </w:p>
        </w:tc>
        <w:tc>
          <w:tcPr>
            <w:tcW w:w="622" w:type="pct"/>
            <w:vMerge w:val="continue"/>
            <w:tcBorders>
              <w:tl2br w:val="nil"/>
              <w:tr2bl w:val="nil"/>
            </w:tcBorders>
            <w:noWrap/>
            <w:vAlign w:val="center"/>
          </w:tcPr>
          <w:p w14:paraId="231D7502">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3C1E93C9">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7C18597C">
            <w:pPr>
              <w:widowControl/>
              <w:spacing w:line="240" w:lineRule="auto"/>
              <w:ind w:firstLine="0" w:firstLineChars="0"/>
              <w:jc w:val="center"/>
              <w:rPr>
                <w:color w:val="auto"/>
                <w:kern w:val="0"/>
                <w:sz w:val="21"/>
                <w:szCs w:val="21"/>
              </w:rPr>
            </w:pPr>
            <w:r>
              <w:rPr>
                <w:rFonts w:hint="eastAsia"/>
                <w:color w:val="auto"/>
                <w:kern w:val="0"/>
                <w:sz w:val="21"/>
                <w:szCs w:val="21"/>
              </w:rPr>
              <w:t>54.8</w:t>
            </w:r>
          </w:p>
        </w:tc>
        <w:tc>
          <w:tcPr>
            <w:tcW w:w="1166" w:type="pct"/>
            <w:tcBorders>
              <w:tl2br w:val="nil"/>
              <w:tr2bl w:val="nil"/>
            </w:tcBorders>
            <w:noWrap/>
            <w:vAlign w:val="center"/>
          </w:tcPr>
          <w:p w14:paraId="4D2DF796">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0291F3A8">
            <w:pPr>
              <w:widowControl/>
              <w:spacing w:line="240" w:lineRule="auto"/>
              <w:ind w:firstLine="0" w:firstLineChars="0"/>
              <w:jc w:val="center"/>
              <w:rPr>
                <w:color w:val="auto"/>
                <w:kern w:val="0"/>
                <w:sz w:val="21"/>
                <w:szCs w:val="21"/>
              </w:rPr>
            </w:pPr>
          </w:p>
        </w:tc>
      </w:tr>
      <w:tr w14:paraId="092F24C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078B3989">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032AFCD6">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23325CD5">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5E202EF9">
            <w:pPr>
              <w:widowControl/>
              <w:spacing w:line="240" w:lineRule="auto"/>
              <w:ind w:firstLine="0" w:firstLineChars="0"/>
              <w:jc w:val="center"/>
              <w:rPr>
                <w:color w:val="auto"/>
                <w:kern w:val="0"/>
                <w:sz w:val="21"/>
                <w:szCs w:val="21"/>
              </w:rPr>
            </w:pPr>
            <w:r>
              <w:rPr>
                <w:rFonts w:hint="eastAsia"/>
                <w:color w:val="auto"/>
                <w:kern w:val="0"/>
                <w:sz w:val="21"/>
                <w:szCs w:val="21"/>
              </w:rPr>
              <w:t>48.7</w:t>
            </w:r>
          </w:p>
        </w:tc>
        <w:tc>
          <w:tcPr>
            <w:tcW w:w="1166" w:type="pct"/>
            <w:tcBorders>
              <w:tl2br w:val="nil"/>
              <w:tr2bl w:val="nil"/>
            </w:tcBorders>
            <w:noWrap/>
            <w:vAlign w:val="center"/>
          </w:tcPr>
          <w:p w14:paraId="13B6DDE7">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36BAC67D">
            <w:pPr>
              <w:widowControl/>
              <w:spacing w:line="240" w:lineRule="auto"/>
              <w:ind w:firstLine="0" w:firstLineChars="0"/>
              <w:jc w:val="center"/>
              <w:rPr>
                <w:color w:val="auto"/>
                <w:kern w:val="0"/>
                <w:sz w:val="21"/>
                <w:szCs w:val="21"/>
              </w:rPr>
            </w:pPr>
          </w:p>
        </w:tc>
      </w:tr>
      <w:tr w14:paraId="5A3A137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43720E7D">
            <w:pPr>
              <w:widowControl/>
              <w:spacing w:line="240" w:lineRule="auto"/>
              <w:ind w:firstLine="0" w:firstLineChars="0"/>
              <w:jc w:val="center"/>
              <w:rPr>
                <w:color w:val="auto"/>
                <w:kern w:val="0"/>
                <w:sz w:val="21"/>
                <w:szCs w:val="21"/>
              </w:rPr>
            </w:pPr>
            <w:r>
              <w:rPr>
                <w:color w:val="auto"/>
                <w:kern w:val="0"/>
                <w:sz w:val="21"/>
                <w:szCs w:val="21"/>
              </w:rPr>
              <w:t>北厂界外1m</w:t>
            </w:r>
            <w:r>
              <w:rPr>
                <w:rFonts w:hint="eastAsia"/>
                <w:color w:val="auto"/>
                <w:kern w:val="0"/>
                <w:sz w:val="21"/>
                <w:szCs w:val="21"/>
              </w:rPr>
              <w:t>，高围墙0.5m</w:t>
            </w:r>
          </w:p>
        </w:tc>
        <w:tc>
          <w:tcPr>
            <w:tcW w:w="622" w:type="pct"/>
            <w:vMerge w:val="restart"/>
            <w:tcBorders>
              <w:tl2br w:val="nil"/>
              <w:tr2bl w:val="nil"/>
            </w:tcBorders>
            <w:noWrap/>
            <w:vAlign w:val="center"/>
          </w:tcPr>
          <w:p w14:paraId="0DDDBCBD">
            <w:pPr>
              <w:widowControl/>
              <w:spacing w:line="240" w:lineRule="auto"/>
              <w:ind w:firstLine="0" w:firstLineChars="0"/>
              <w:jc w:val="center"/>
              <w:rPr>
                <w:color w:val="auto"/>
                <w:kern w:val="0"/>
                <w:sz w:val="21"/>
                <w:szCs w:val="21"/>
              </w:rPr>
            </w:pPr>
            <w:r>
              <w:rPr>
                <w:rFonts w:hint="eastAsia"/>
                <w:color w:val="auto"/>
                <w:kern w:val="0"/>
                <w:sz w:val="21"/>
                <w:szCs w:val="21"/>
              </w:rPr>
              <w:t>2025.4.11</w:t>
            </w:r>
          </w:p>
        </w:tc>
        <w:tc>
          <w:tcPr>
            <w:tcW w:w="638" w:type="pct"/>
            <w:tcBorders>
              <w:tl2br w:val="nil"/>
              <w:tr2bl w:val="nil"/>
            </w:tcBorders>
            <w:noWrap/>
            <w:vAlign w:val="center"/>
          </w:tcPr>
          <w:p w14:paraId="4E12C2F7">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767185D4">
            <w:pPr>
              <w:widowControl/>
              <w:spacing w:line="240" w:lineRule="auto"/>
              <w:ind w:firstLine="0" w:firstLineChars="0"/>
              <w:jc w:val="center"/>
              <w:rPr>
                <w:color w:val="auto"/>
                <w:kern w:val="0"/>
                <w:sz w:val="21"/>
                <w:szCs w:val="21"/>
              </w:rPr>
            </w:pPr>
            <w:r>
              <w:rPr>
                <w:rFonts w:hint="eastAsia"/>
                <w:color w:val="auto"/>
                <w:kern w:val="0"/>
                <w:sz w:val="21"/>
                <w:szCs w:val="21"/>
              </w:rPr>
              <w:t>58.6</w:t>
            </w:r>
          </w:p>
        </w:tc>
        <w:tc>
          <w:tcPr>
            <w:tcW w:w="1166" w:type="pct"/>
            <w:tcBorders>
              <w:tl2br w:val="nil"/>
              <w:tr2bl w:val="nil"/>
            </w:tcBorders>
            <w:noWrap/>
            <w:vAlign w:val="center"/>
          </w:tcPr>
          <w:p w14:paraId="43895337">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restart"/>
            <w:tcBorders>
              <w:tl2br w:val="nil"/>
              <w:tr2bl w:val="nil"/>
            </w:tcBorders>
            <w:noWrap/>
            <w:vAlign w:val="center"/>
          </w:tcPr>
          <w:p w14:paraId="43467E89">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0BA483C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55774A50">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7EEA9460">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764277D4">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671F2AE8">
            <w:pPr>
              <w:widowControl/>
              <w:spacing w:line="240" w:lineRule="auto"/>
              <w:ind w:firstLine="0" w:firstLineChars="0"/>
              <w:jc w:val="center"/>
              <w:rPr>
                <w:color w:val="auto"/>
                <w:kern w:val="0"/>
                <w:sz w:val="21"/>
                <w:szCs w:val="21"/>
              </w:rPr>
            </w:pPr>
            <w:r>
              <w:rPr>
                <w:rFonts w:hint="eastAsia"/>
                <w:color w:val="auto"/>
                <w:kern w:val="0"/>
                <w:sz w:val="21"/>
                <w:szCs w:val="21"/>
              </w:rPr>
              <w:t>53.2</w:t>
            </w:r>
          </w:p>
        </w:tc>
        <w:tc>
          <w:tcPr>
            <w:tcW w:w="1166" w:type="pct"/>
            <w:tcBorders>
              <w:tl2br w:val="nil"/>
              <w:tr2bl w:val="nil"/>
            </w:tcBorders>
            <w:noWrap/>
            <w:vAlign w:val="center"/>
          </w:tcPr>
          <w:p w14:paraId="454E617C">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3B86A139">
            <w:pPr>
              <w:widowControl/>
              <w:spacing w:line="240" w:lineRule="auto"/>
              <w:ind w:firstLine="0" w:firstLineChars="0"/>
              <w:jc w:val="center"/>
              <w:rPr>
                <w:color w:val="auto"/>
                <w:kern w:val="0"/>
                <w:sz w:val="21"/>
                <w:szCs w:val="21"/>
              </w:rPr>
            </w:pPr>
          </w:p>
        </w:tc>
      </w:tr>
      <w:tr w14:paraId="6799A77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1E180193">
            <w:pPr>
              <w:widowControl/>
              <w:spacing w:line="240" w:lineRule="auto"/>
              <w:ind w:firstLine="0" w:firstLineChars="0"/>
              <w:jc w:val="center"/>
              <w:rPr>
                <w:color w:val="auto"/>
                <w:kern w:val="0"/>
                <w:sz w:val="21"/>
                <w:szCs w:val="21"/>
              </w:rPr>
            </w:pPr>
            <w:r>
              <w:rPr>
                <w:color w:val="auto"/>
                <w:kern w:val="0"/>
                <w:sz w:val="21"/>
                <w:szCs w:val="21"/>
              </w:rPr>
              <w:t>西厂界外1m</w:t>
            </w:r>
            <w:r>
              <w:rPr>
                <w:rFonts w:hint="eastAsia"/>
                <w:color w:val="auto"/>
                <w:kern w:val="0"/>
                <w:sz w:val="21"/>
                <w:szCs w:val="21"/>
              </w:rPr>
              <w:t>，高围墙0.5m</w:t>
            </w:r>
          </w:p>
        </w:tc>
        <w:tc>
          <w:tcPr>
            <w:tcW w:w="622" w:type="pct"/>
            <w:vMerge w:val="continue"/>
            <w:tcBorders>
              <w:tl2br w:val="nil"/>
              <w:tr2bl w:val="nil"/>
            </w:tcBorders>
            <w:noWrap/>
            <w:vAlign w:val="center"/>
          </w:tcPr>
          <w:p w14:paraId="2DF1D93C">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40821658">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25BDDE74">
            <w:pPr>
              <w:widowControl/>
              <w:spacing w:line="240" w:lineRule="auto"/>
              <w:ind w:firstLine="0" w:firstLineChars="0"/>
              <w:jc w:val="center"/>
              <w:rPr>
                <w:color w:val="auto"/>
                <w:kern w:val="0"/>
                <w:sz w:val="21"/>
                <w:szCs w:val="21"/>
              </w:rPr>
            </w:pPr>
            <w:r>
              <w:rPr>
                <w:rFonts w:hint="eastAsia"/>
                <w:color w:val="auto"/>
                <w:kern w:val="0"/>
                <w:sz w:val="21"/>
                <w:szCs w:val="21"/>
              </w:rPr>
              <w:t>55.6</w:t>
            </w:r>
          </w:p>
        </w:tc>
        <w:tc>
          <w:tcPr>
            <w:tcW w:w="1166" w:type="pct"/>
            <w:tcBorders>
              <w:tl2br w:val="nil"/>
              <w:tr2bl w:val="nil"/>
            </w:tcBorders>
            <w:noWrap/>
            <w:vAlign w:val="center"/>
          </w:tcPr>
          <w:p w14:paraId="4E5DBC94">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365BA6B3">
            <w:pPr>
              <w:widowControl/>
              <w:spacing w:line="240" w:lineRule="auto"/>
              <w:ind w:firstLine="0" w:firstLineChars="0"/>
              <w:jc w:val="center"/>
              <w:rPr>
                <w:color w:val="auto"/>
                <w:kern w:val="0"/>
                <w:sz w:val="21"/>
                <w:szCs w:val="21"/>
              </w:rPr>
            </w:pPr>
          </w:p>
        </w:tc>
      </w:tr>
      <w:tr w14:paraId="5529659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06251766">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5ABE48D5">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34CA748A">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5408CAC7">
            <w:pPr>
              <w:widowControl/>
              <w:spacing w:line="240" w:lineRule="auto"/>
              <w:ind w:firstLine="0" w:firstLineChars="0"/>
              <w:jc w:val="center"/>
              <w:rPr>
                <w:color w:val="auto"/>
                <w:kern w:val="0"/>
                <w:sz w:val="21"/>
                <w:szCs w:val="21"/>
              </w:rPr>
            </w:pPr>
            <w:r>
              <w:rPr>
                <w:rFonts w:hint="eastAsia"/>
                <w:color w:val="auto"/>
                <w:kern w:val="0"/>
                <w:sz w:val="21"/>
                <w:szCs w:val="21"/>
              </w:rPr>
              <w:t>54.1</w:t>
            </w:r>
          </w:p>
        </w:tc>
        <w:tc>
          <w:tcPr>
            <w:tcW w:w="1166" w:type="pct"/>
            <w:tcBorders>
              <w:tl2br w:val="nil"/>
              <w:tr2bl w:val="nil"/>
            </w:tcBorders>
            <w:noWrap/>
            <w:vAlign w:val="center"/>
          </w:tcPr>
          <w:p w14:paraId="40795C92">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703EB508">
            <w:pPr>
              <w:widowControl/>
              <w:spacing w:line="240" w:lineRule="auto"/>
              <w:ind w:firstLine="0" w:firstLineChars="0"/>
              <w:jc w:val="center"/>
              <w:rPr>
                <w:color w:val="auto"/>
                <w:kern w:val="0"/>
                <w:sz w:val="21"/>
                <w:szCs w:val="21"/>
              </w:rPr>
            </w:pPr>
          </w:p>
        </w:tc>
      </w:tr>
      <w:tr w14:paraId="61431C8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285AE0A0">
            <w:pPr>
              <w:widowControl/>
              <w:spacing w:line="240" w:lineRule="auto"/>
              <w:ind w:firstLine="0" w:firstLineChars="0"/>
              <w:jc w:val="center"/>
              <w:rPr>
                <w:color w:val="auto"/>
                <w:kern w:val="0"/>
                <w:sz w:val="21"/>
                <w:szCs w:val="21"/>
              </w:rPr>
            </w:pPr>
            <w:r>
              <w:rPr>
                <w:color w:val="auto"/>
                <w:kern w:val="0"/>
                <w:sz w:val="21"/>
                <w:szCs w:val="21"/>
              </w:rPr>
              <w:t>南厂界外1m</w:t>
            </w:r>
            <w:r>
              <w:rPr>
                <w:rFonts w:hint="eastAsia"/>
                <w:color w:val="auto"/>
                <w:kern w:val="0"/>
                <w:sz w:val="21"/>
                <w:szCs w:val="21"/>
              </w:rPr>
              <w:t>，高围墙0.5m</w:t>
            </w:r>
          </w:p>
        </w:tc>
        <w:tc>
          <w:tcPr>
            <w:tcW w:w="622" w:type="pct"/>
            <w:vMerge w:val="continue"/>
            <w:tcBorders>
              <w:tl2br w:val="nil"/>
              <w:tr2bl w:val="nil"/>
            </w:tcBorders>
            <w:noWrap/>
            <w:vAlign w:val="center"/>
          </w:tcPr>
          <w:p w14:paraId="7BE3A424">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54DC1550">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49793515">
            <w:pPr>
              <w:widowControl/>
              <w:spacing w:line="240" w:lineRule="auto"/>
              <w:ind w:firstLine="0" w:firstLineChars="0"/>
              <w:jc w:val="center"/>
              <w:rPr>
                <w:color w:val="auto"/>
                <w:kern w:val="0"/>
                <w:sz w:val="21"/>
                <w:szCs w:val="21"/>
              </w:rPr>
            </w:pPr>
            <w:r>
              <w:rPr>
                <w:rFonts w:hint="eastAsia"/>
                <w:color w:val="auto"/>
                <w:kern w:val="0"/>
                <w:sz w:val="21"/>
                <w:szCs w:val="21"/>
              </w:rPr>
              <w:t>60.8</w:t>
            </w:r>
          </w:p>
        </w:tc>
        <w:tc>
          <w:tcPr>
            <w:tcW w:w="1166" w:type="pct"/>
            <w:tcBorders>
              <w:tl2br w:val="nil"/>
              <w:tr2bl w:val="nil"/>
            </w:tcBorders>
            <w:noWrap/>
            <w:vAlign w:val="center"/>
          </w:tcPr>
          <w:p w14:paraId="10E32857">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0BB238D3">
            <w:pPr>
              <w:widowControl/>
              <w:spacing w:line="240" w:lineRule="auto"/>
              <w:ind w:firstLine="0" w:firstLineChars="0"/>
              <w:jc w:val="center"/>
              <w:rPr>
                <w:color w:val="auto"/>
                <w:kern w:val="0"/>
                <w:sz w:val="21"/>
                <w:szCs w:val="21"/>
              </w:rPr>
            </w:pPr>
          </w:p>
        </w:tc>
      </w:tr>
      <w:tr w14:paraId="1AE961F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463FBD10">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4BF47029">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651EB400">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13A96BA7">
            <w:pPr>
              <w:widowControl/>
              <w:spacing w:line="240" w:lineRule="auto"/>
              <w:ind w:firstLine="0" w:firstLineChars="0"/>
              <w:jc w:val="center"/>
              <w:rPr>
                <w:color w:val="auto"/>
                <w:kern w:val="0"/>
                <w:sz w:val="21"/>
                <w:szCs w:val="21"/>
              </w:rPr>
            </w:pPr>
            <w:r>
              <w:rPr>
                <w:rFonts w:hint="eastAsia"/>
                <w:color w:val="auto"/>
                <w:kern w:val="0"/>
                <w:sz w:val="21"/>
                <w:szCs w:val="21"/>
              </w:rPr>
              <w:t>53.8</w:t>
            </w:r>
          </w:p>
        </w:tc>
        <w:tc>
          <w:tcPr>
            <w:tcW w:w="1166" w:type="pct"/>
            <w:tcBorders>
              <w:tl2br w:val="nil"/>
              <w:tr2bl w:val="nil"/>
            </w:tcBorders>
            <w:noWrap/>
            <w:vAlign w:val="center"/>
          </w:tcPr>
          <w:p w14:paraId="3F334102">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708830C9">
            <w:pPr>
              <w:widowControl/>
              <w:spacing w:line="240" w:lineRule="auto"/>
              <w:ind w:firstLine="0" w:firstLineChars="0"/>
              <w:jc w:val="center"/>
              <w:rPr>
                <w:color w:val="auto"/>
                <w:kern w:val="0"/>
                <w:sz w:val="21"/>
                <w:szCs w:val="21"/>
              </w:rPr>
            </w:pPr>
          </w:p>
        </w:tc>
      </w:tr>
      <w:tr w14:paraId="1061D60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08559D86">
            <w:pPr>
              <w:widowControl/>
              <w:spacing w:line="240" w:lineRule="auto"/>
              <w:ind w:firstLine="0" w:firstLineChars="0"/>
              <w:jc w:val="center"/>
              <w:rPr>
                <w:color w:val="auto"/>
                <w:kern w:val="0"/>
                <w:sz w:val="21"/>
                <w:szCs w:val="21"/>
              </w:rPr>
            </w:pPr>
            <w:r>
              <w:rPr>
                <w:color w:val="auto"/>
                <w:kern w:val="0"/>
                <w:sz w:val="21"/>
                <w:szCs w:val="21"/>
              </w:rPr>
              <w:t>东厂界外1m</w:t>
            </w:r>
            <w:r>
              <w:rPr>
                <w:rFonts w:hint="eastAsia"/>
                <w:color w:val="auto"/>
                <w:kern w:val="0"/>
                <w:sz w:val="21"/>
                <w:szCs w:val="21"/>
              </w:rPr>
              <w:t>，高围墙0.5m</w:t>
            </w:r>
          </w:p>
        </w:tc>
        <w:tc>
          <w:tcPr>
            <w:tcW w:w="622" w:type="pct"/>
            <w:vMerge w:val="continue"/>
            <w:tcBorders>
              <w:tl2br w:val="nil"/>
              <w:tr2bl w:val="nil"/>
            </w:tcBorders>
            <w:noWrap/>
            <w:vAlign w:val="center"/>
          </w:tcPr>
          <w:p w14:paraId="203C60F4">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352DBBBE">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1B826B61">
            <w:pPr>
              <w:widowControl/>
              <w:spacing w:line="240" w:lineRule="auto"/>
              <w:ind w:firstLine="0" w:firstLineChars="0"/>
              <w:jc w:val="center"/>
              <w:rPr>
                <w:color w:val="auto"/>
                <w:kern w:val="0"/>
                <w:sz w:val="21"/>
                <w:szCs w:val="21"/>
              </w:rPr>
            </w:pPr>
            <w:r>
              <w:rPr>
                <w:rFonts w:hint="eastAsia"/>
                <w:color w:val="auto"/>
                <w:kern w:val="0"/>
                <w:sz w:val="21"/>
                <w:szCs w:val="21"/>
              </w:rPr>
              <w:t>52.8</w:t>
            </w:r>
          </w:p>
        </w:tc>
        <w:tc>
          <w:tcPr>
            <w:tcW w:w="1166" w:type="pct"/>
            <w:tcBorders>
              <w:tl2br w:val="nil"/>
              <w:tr2bl w:val="nil"/>
            </w:tcBorders>
            <w:noWrap/>
            <w:vAlign w:val="center"/>
          </w:tcPr>
          <w:p w14:paraId="0132CE55">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453FB625">
            <w:pPr>
              <w:widowControl/>
              <w:spacing w:line="240" w:lineRule="auto"/>
              <w:ind w:firstLine="0" w:firstLineChars="0"/>
              <w:jc w:val="center"/>
              <w:rPr>
                <w:color w:val="auto"/>
                <w:kern w:val="0"/>
                <w:sz w:val="21"/>
                <w:szCs w:val="21"/>
              </w:rPr>
            </w:pPr>
          </w:p>
        </w:tc>
      </w:tr>
      <w:tr w14:paraId="4841A1F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7170D4EA">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69C94247">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0319BFD2">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79F71CA3">
            <w:pPr>
              <w:widowControl/>
              <w:spacing w:line="240" w:lineRule="auto"/>
              <w:ind w:firstLine="0" w:firstLineChars="0"/>
              <w:jc w:val="center"/>
              <w:rPr>
                <w:color w:val="auto"/>
                <w:kern w:val="0"/>
                <w:sz w:val="21"/>
                <w:szCs w:val="21"/>
              </w:rPr>
            </w:pPr>
            <w:r>
              <w:rPr>
                <w:rFonts w:hint="eastAsia"/>
                <w:color w:val="auto"/>
                <w:kern w:val="0"/>
                <w:sz w:val="21"/>
                <w:szCs w:val="21"/>
              </w:rPr>
              <w:t>48.4</w:t>
            </w:r>
          </w:p>
        </w:tc>
        <w:tc>
          <w:tcPr>
            <w:tcW w:w="1166" w:type="pct"/>
            <w:tcBorders>
              <w:tl2br w:val="nil"/>
              <w:tr2bl w:val="nil"/>
            </w:tcBorders>
            <w:noWrap/>
            <w:vAlign w:val="center"/>
          </w:tcPr>
          <w:p w14:paraId="7446DBF6">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5EF88B51">
            <w:pPr>
              <w:widowControl/>
              <w:spacing w:line="240" w:lineRule="auto"/>
              <w:ind w:firstLine="0" w:firstLineChars="0"/>
              <w:jc w:val="center"/>
              <w:rPr>
                <w:color w:val="auto"/>
                <w:kern w:val="0"/>
                <w:sz w:val="21"/>
                <w:szCs w:val="21"/>
              </w:rPr>
            </w:pPr>
          </w:p>
        </w:tc>
      </w:tr>
      <w:tr w14:paraId="58EF368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48AE5628">
            <w:pPr>
              <w:widowControl/>
              <w:spacing w:line="240" w:lineRule="auto"/>
              <w:ind w:firstLine="0" w:firstLineChars="0"/>
              <w:jc w:val="center"/>
              <w:rPr>
                <w:color w:val="auto"/>
                <w:kern w:val="0"/>
                <w:sz w:val="21"/>
                <w:szCs w:val="21"/>
              </w:rPr>
            </w:pPr>
            <w:r>
              <w:rPr>
                <w:color w:val="auto"/>
                <w:kern w:val="0"/>
                <w:sz w:val="21"/>
                <w:szCs w:val="21"/>
              </w:rPr>
              <w:t>北厂界外1m</w:t>
            </w:r>
            <w:r>
              <w:rPr>
                <w:rFonts w:hint="eastAsia"/>
                <w:color w:val="auto"/>
                <w:kern w:val="0"/>
                <w:sz w:val="21"/>
                <w:szCs w:val="21"/>
              </w:rPr>
              <w:t>，高围墙0.5m</w:t>
            </w:r>
          </w:p>
        </w:tc>
        <w:tc>
          <w:tcPr>
            <w:tcW w:w="622" w:type="pct"/>
            <w:vMerge w:val="restart"/>
            <w:tcBorders>
              <w:tl2br w:val="nil"/>
              <w:tr2bl w:val="nil"/>
            </w:tcBorders>
            <w:noWrap/>
            <w:vAlign w:val="center"/>
          </w:tcPr>
          <w:p w14:paraId="555E9CEF">
            <w:pPr>
              <w:widowControl/>
              <w:spacing w:line="240" w:lineRule="auto"/>
              <w:ind w:firstLine="0" w:firstLineChars="0"/>
              <w:jc w:val="center"/>
              <w:rPr>
                <w:color w:val="auto"/>
                <w:kern w:val="0"/>
                <w:sz w:val="21"/>
                <w:szCs w:val="21"/>
              </w:rPr>
            </w:pPr>
            <w:r>
              <w:rPr>
                <w:rFonts w:hint="eastAsia"/>
                <w:color w:val="auto"/>
                <w:kern w:val="0"/>
                <w:sz w:val="21"/>
                <w:szCs w:val="21"/>
              </w:rPr>
              <w:t>2025.7.2</w:t>
            </w:r>
          </w:p>
        </w:tc>
        <w:tc>
          <w:tcPr>
            <w:tcW w:w="638" w:type="pct"/>
            <w:tcBorders>
              <w:tl2br w:val="nil"/>
              <w:tr2bl w:val="nil"/>
            </w:tcBorders>
            <w:noWrap/>
            <w:vAlign w:val="center"/>
          </w:tcPr>
          <w:p w14:paraId="1A4E9AB1">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73796E7C">
            <w:pPr>
              <w:widowControl/>
              <w:spacing w:line="240" w:lineRule="auto"/>
              <w:ind w:firstLine="0" w:firstLineChars="0"/>
              <w:jc w:val="center"/>
              <w:rPr>
                <w:color w:val="auto"/>
                <w:kern w:val="0"/>
                <w:sz w:val="21"/>
                <w:szCs w:val="21"/>
              </w:rPr>
            </w:pPr>
            <w:r>
              <w:rPr>
                <w:rFonts w:hint="eastAsia"/>
                <w:color w:val="auto"/>
                <w:kern w:val="0"/>
                <w:sz w:val="21"/>
                <w:szCs w:val="21"/>
              </w:rPr>
              <w:t>58.8</w:t>
            </w:r>
          </w:p>
        </w:tc>
        <w:tc>
          <w:tcPr>
            <w:tcW w:w="1166" w:type="pct"/>
            <w:tcBorders>
              <w:tl2br w:val="nil"/>
              <w:tr2bl w:val="nil"/>
            </w:tcBorders>
            <w:noWrap/>
            <w:vAlign w:val="center"/>
          </w:tcPr>
          <w:p w14:paraId="3260A051">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restart"/>
            <w:tcBorders>
              <w:tl2br w:val="nil"/>
              <w:tr2bl w:val="nil"/>
            </w:tcBorders>
            <w:noWrap/>
            <w:vAlign w:val="center"/>
          </w:tcPr>
          <w:p w14:paraId="03971481">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066CEB3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4858FE83">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5BF5EC98">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2E21BA34">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70E21733">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1166" w:type="pct"/>
            <w:tcBorders>
              <w:tl2br w:val="nil"/>
              <w:tr2bl w:val="nil"/>
            </w:tcBorders>
            <w:noWrap/>
            <w:vAlign w:val="center"/>
          </w:tcPr>
          <w:p w14:paraId="77537552">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52F5E66B">
            <w:pPr>
              <w:widowControl/>
              <w:spacing w:line="240" w:lineRule="auto"/>
              <w:ind w:firstLine="0" w:firstLineChars="0"/>
              <w:jc w:val="center"/>
              <w:rPr>
                <w:color w:val="auto"/>
                <w:kern w:val="0"/>
                <w:sz w:val="21"/>
                <w:szCs w:val="21"/>
              </w:rPr>
            </w:pPr>
          </w:p>
        </w:tc>
      </w:tr>
      <w:tr w14:paraId="1441280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318C05C2">
            <w:pPr>
              <w:widowControl/>
              <w:spacing w:line="240" w:lineRule="auto"/>
              <w:ind w:firstLine="0" w:firstLineChars="0"/>
              <w:jc w:val="center"/>
              <w:rPr>
                <w:color w:val="auto"/>
                <w:kern w:val="0"/>
                <w:sz w:val="21"/>
                <w:szCs w:val="21"/>
              </w:rPr>
            </w:pPr>
            <w:r>
              <w:rPr>
                <w:color w:val="auto"/>
                <w:kern w:val="0"/>
                <w:sz w:val="21"/>
                <w:szCs w:val="21"/>
              </w:rPr>
              <w:t>西厂界外1m</w:t>
            </w:r>
            <w:r>
              <w:rPr>
                <w:rFonts w:hint="eastAsia"/>
                <w:color w:val="auto"/>
                <w:kern w:val="0"/>
                <w:sz w:val="21"/>
                <w:szCs w:val="21"/>
              </w:rPr>
              <w:t>，高围墙0.5m</w:t>
            </w:r>
          </w:p>
        </w:tc>
        <w:tc>
          <w:tcPr>
            <w:tcW w:w="622" w:type="pct"/>
            <w:vMerge w:val="continue"/>
            <w:tcBorders>
              <w:tl2br w:val="nil"/>
              <w:tr2bl w:val="nil"/>
            </w:tcBorders>
            <w:noWrap/>
            <w:vAlign w:val="center"/>
          </w:tcPr>
          <w:p w14:paraId="4485D763">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09E046FA">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76164403">
            <w:pPr>
              <w:widowControl/>
              <w:spacing w:line="240" w:lineRule="auto"/>
              <w:ind w:firstLine="0" w:firstLineChars="0"/>
              <w:jc w:val="center"/>
              <w:rPr>
                <w:color w:val="auto"/>
                <w:kern w:val="0"/>
                <w:sz w:val="21"/>
                <w:szCs w:val="21"/>
              </w:rPr>
            </w:pPr>
            <w:r>
              <w:rPr>
                <w:rFonts w:hint="eastAsia"/>
                <w:color w:val="auto"/>
                <w:kern w:val="0"/>
                <w:sz w:val="21"/>
                <w:szCs w:val="21"/>
              </w:rPr>
              <w:t>56.1</w:t>
            </w:r>
          </w:p>
        </w:tc>
        <w:tc>
          <w:tcPr>
            <w:tcW w:w="1166" w:type="pct"/>
            <w:tcBorders>
              <w:tl2br w:val="nil"/>
              <w:tr2bl w:val="nil"/>
            </w:tcBorders>
            <w:noWrap/>
            <w:vAlign w:val="center"/>
          </w:tcPr>
          <w:p w14:paraId="6CE872BE">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437D9A4B">
            <w:pPr>
              <w:widowControl/>
              <w:spacing w:line="240" w:lineRule="auto"/>
              <w:ind w:firstLine="0" w:firstLineChars="0"/>
              <w:jc w:val="center"/>
              <w:rPr>
                <w:color w:val="auto"/>
                <w:kern w:val="0"/>
                <w:sz w:val="21"/>
                <w:szCs w:val="21"/>
              </w:rPr>
            </w:pPr>
          </w:p>
        </w:tc>
      </w:tr>
      <w:tr w14:paraId="761A850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0365A0B4">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0432774B">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7D6EAAF3">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314A29A4">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1166" w:type="pct"/>
            <w:tcBorders>
              <w:tl2br w:val="nil"/>
              <w:tr2bl w:val="nil"/>
            </w:tcBorders>
            <w:noWrap/>
            <w:vAlign w:val="center"/>
          </w:tcPr>
          <w:p w14:paraId="02AAE8B8">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0C48E76E">
            <w:pPr>
              <w:widowControl/>
              <w:spacing w:line="240" w:lineRule="auto"/>
              <w:ind w:firstLine="0" w:firstLineChars="0"/>
              <w:jc w:val="center"/>
              <w:rPr>
                <w:color w:val="auto"/>
                <w:kern w:val="0"/>
                <w:sz w:val="21"/>
                <w:szCs w:val="21"/>
              </w:rPr>
            </w:pPr>
          </w:p>
        </w:tc>
      </w:tr>
      <w:tr w14:paraId="6C5DAD0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2F7C4904">
            <w:pPr>
              <w:widowControl/>
              <w:spacing w:line="240" w:lineRule="auto"/>
              <w:ind w:firstLine="0" w:firstLineChars="0"/>
              <w:jc w:val="center"/>
              <w:rPr>
                <w:color w:val="auto"/>
                <w:kern w:val="0"/>
                <w:sz w:val="21"/>
                <w:szCs w:val="21"/>
              </w:rPr>
            </w:pPr>
            <w:r>
              <w:rPr>
                <w:color w:val="auto"/>
                <w:kern w:val="0"/>
                <w:sz w:val="21"/>
                <w:szCs w:val="21"/>
              </w:rPr>
              <w:t>南厂界外1m</w:t>
            </w:r>
            <w:r>
              <w:rPr>
                <w:rFonts w:hint="eastAsia"/>
                <w:color w:val="auto"/>
                <w:kern w:val="0"/>
                <w:sz w:val="21"/>
                <w:szCs w:val="21"/>
              </w:rPr>
              <w:t>，高围墙0.5m</w:t>
            </w:r>
          </w:p>
        </w:tc>
        <w:tc>
          <w:tcPr>
            <w:tcW w:w="622" w:type="pct"/>
            <w:vMerge w:val="continue"/>
            <w:tcBorders>
              <w:tl2br w:val="nil"/>
              <w:tr2bl w:val="nil"/>
            </w:tcBorders>
            <w:noWrap/>
            <w:vAlign w:val="center"/>
          </w:tcPr>
          <w:p w14:paraId="4E0CA68C">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20C61D4F">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576468C6">
            <w:pPr>
              <w:widowControl/>
              <w:spacing w:line="240" w:lineRule="auto"/>
              <w:ind w:firstLine="0" w:firstLineChars="0"/>
              <w:jc w:val="center"/>
              <w:rPr>
                <w:color w:val="auto"/>
                <w:kern w:val="0"/>
                <w:sz w:val="21"/>
                <w:szCs w:val="21"/>
              </w:rPr>
            </w:pPr>
            <w:r>
              <w:rPr>
                <w:rFonts w:hint="eastAsia"/>
                <w:color w:val="auto"/>
                <w:kern w:val="0"/>
                <w:sz w:val="21"/>
                <w:szCs w:val="21"/>
              </w:rPr>
              <w:t>62.5</w:t>
            </w:r>
          </w:p>
        </w:tc>
        <w:tc>
          <w:tcPr>
            <w:tcW w:w="1166" w:type="pct"/>
            <w:tcBorders>
              <w:tl2br w:val="nil"/>
              <w:tr2bl w:val="nil"/>
            </w:tcBorders>
            <w:noWrap/>
            <w:vAlign w:val="center"/>
          </w:tcPr>
          <w:p w14:paraId="2A23D39A">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60389652">
            <w:pPr>
              <w:widowControl/>
              <w:spacing w:line="240" w:lineRule="auto"/>
              <w:ind w:firstLine="0" w:firstLineChars="0"/>
              <w:jc w:val="center"/>
              <w:rPr>
                <w:color w:val="auto"/>
                <w:kern w:val="0"/>
                <w:sz w:val="21"/>
                <w:szCs w:val="21"/>
              </w:rPr>
            </w:pPr>
          </w:p>
        </w:tc>
      </w:tr>
      <w:tr w14:paraId="182BF82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6F540603">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47DDA38E">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6CBC2C6C">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7831AB13">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1166" w:type="pct"/>
            <w:tcBorders>
              <w:tl2br w:val="nil"/>
              <w:tr2bl w:val="nil"/>
            </w:tcBorders>
            <w:noWrap/>
            <w:vAlign w:val="center"/>
          </w:tcPr>
          <w:p w14:paraId="3FF4F71E">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636F378D">
            <w:pPr>
              <w:widowControl/>
              <w:spacing w:line="240" w:lineRule="auto"/>
              <w:ind w:firstLine="0" w:firstLineChars="0"/>
              <w:jc w:val="center"/>
              <w:rPr>
                <w:color w:val="auto"/>
                <w:kern w:val="0"/>
                <w:sz w:val="21"/>
                <w:szCs w:val="21"/>
              </w:rPr>
            </w:pPr>
          </w:p>
        </w:tc>
      </w:tr>
      <w:tr w14:paraId="300B741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44863341">
            <w:pPr>
              <w:widowControl/>
              <w:spacing w:line="240" w:lineRule="auto"/>
              <w:ind w:firstLine="0" w:firstLineChars="0"/>
              <w:jc w:val="center"/>
              <w:rPr>
                <w:color w:val="auto"/>
                <w:kern w:val="0"/>
                <w:sz w:val="21"/>
                <w:szCs w:val="21"/>
              </w:rPr>
            </w:pPr>
            <w:r>
              <w:rPr>
                <w:color w:val="auto"/>
                <w:kern w:val="0"/>
                <w:sz w:val="21"/>
                <w:szCs w:val="21"/>
              </w:rPr>
              <w:t>东厂界外1m</w:t>
            </w:r>
            <w:r>
              <w:rPr>
                <w:rFonts w:hint="eastAsia"/>
                <w:color w:val="auto"/>
                <w:kern w:val="0"/>
                <w:sz w:val="21"/>
                <w:szCs w:val="21"/>
              </w:rPr>
              <w:t>，高围墙0.5m</w:t>
            </w:r>
          </w:p>
        </w:tc>
        <w:tc>
          <w:tcPr>
            <w:tcW w:w="622" w:type="pct"/>
            <w:vMerge w:val="continue"/>
            <w:tcBorders>
              <w:tl2br w:val="nil"/>
              <w:tr2bl w:val="nil"/>
            </w:tcBorders>
            <w:noWrap/>
            <w:vAlign w:val="center"/>
          </w:tcPr>
          <w:p w14:paraId="1ADFB5C3">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3FED1316">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22E8A41B">
            <w:pPr>
              <w:widowControl/>
              <w:spacing w:line="240" w:lineRule="auto"/>
              <w:ind w:firstLine="0" w:firstLineChars="0"/>
              <w:jc w:val="center"/>
              <w:rPr>
                <w:color w:val="auto"/>
                <w:kern w:val="0"/>
                <w:sz w:val="21"/>
                <w:szCs w:val="21"/>
              </w:rPr>
            </w:pPr>
            <w:r>
              <w:rPr>
                <w:rFonts w:hint="eastAsia"/>
                <w:color w:val="auto"/>
                <w:kern w:val="0"/>
                <w:sz w:val="21"/>
                <w:szCs w:val="21"/>
              </w:rPr>
              <w:t>53.9</w:t>
            </w:r>
          </w:p>
        </w:tc>
        <w:tc>
          <w:tcPr>
            <w:tcW w:w="1166" w:type="pct"/>
            <w:tcBorders>
              <w:tl2br w:val="nil"/>
              <w:tr2bl w:val="nil"/>
            </w:tcBorders>
            <w:noWrap/>
            <w:vAlign w:val="center"/>
          </w:tcPr>
          <w:p w14:paraId="0E0A390F">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44091686">
            <w:pPr>
              <w:widowControl/>
              <w:spacing w:line="240" w:lineRule="auto"/>
              <w:ind w:firstLine="0" w:firstLineChars="0"/>
              <w:jc w:val="center"/>
              <w:rPr>
                <w:color w:val="auto"/>
                <w:kern w:val="0"/>
                <w:sz w:val="21"/>
                <w:szCs w:val="21"/>
              </w:rPr>
            </w:pPr>
          </w:p>
        </w:tc>
      </w:tr>
      <w:tr w14:paraId="772711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27047D80">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0BDB1AF0">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030CF778">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5029AAC8">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1166" w:type="pct"/>
            <w:tcBorders>
              <w:tl2br w:val="nil"/>
              <w:tr2bl w:val="nil"/>
            </w:tcBorders>
            <w:noWrap/>
            <w:vAlign w:val="center"/>
          </w:tcPr>
          <w:p w14:paraId="01389A60">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4FD454B9">
            <w:pPr>
              <w:widowControl/>
              <w:spacing w:line="240" w:lineRule="auto"/>
              <w:ind w:firstLine="0" w:firstLineChars="0"/>
              <w:jc w:val="center"/>
              <w:rPr>
                <w:color w:val="auto"/>
                <w:kern w:val="0"/>
                <w:sz w:val="21"/>
                <w:szCs w:val="21"/>
              </w:rPr>
            </w:pPr>
          </w:p>
        </w:tc>
      </w:tr>
      <w:tr w14:paraId="5ACE538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1F284A11">
            <w:pPr>
              <w:widowControl/>
              <w:spacing w:line="240" w:lineRule="auto"/>
              <w:ind w:firstLine="0" w:firstLineChars="0"/>
              <w:jc w:val="center"/>
              <w:rPr>
                <w:color w:val="auto"/>
                <w:kern w:val="0"/>
                <w:sz w:val="21"/>
                <w:szCs w:val="21"/>
              </w:rPr>
            </w:pPr>
            <w:r>
              <w:rPr>
                <w:color w:val="auto"/>
                <w:kern w:val="0"/>
                <w:sz w:val="21"/>
                <w:szCs w:val="21"/>
              </w:rPr>
              <w:t>北厂界外1m</w:t>
            </w:r>
            <w:r>
              <w:rPr>
                <w:rFonts w:hint="eastAsia"/>
                <w:color w:val="auto"/>
                <w:kern w:val="0"/>
                <w:sz w:val="21"/>
                <w:szCs w:val="21"/>
              </w:rPr>
              <w:t>，高围墙0.5m</w:t>
            </w:r>
          </w:p>
        </w:tc>
        <w:tc>
          <w:tcPr>
            <w:tcW w:w="622" w:type="pct"/>
            <w:vMerge w:val="restart"/>
            <w:tcBorders>
              <w:tl2br w:val="nil"/>
              <w:tr2bl w:val="nil"/>
            </w:tcBorders>
            <w:noWrap/>
            <w:vAlign w:val="center"/>
          </w:tcPr>
          <w:p w14:paraId="3299E7D9">
            <w:pPr>
              <w:widowControl/>
              <w:spacing w:line="240" w:lineRule="auto"/>
              <w:ind w:firstLine="0" w:firstLineChars="0"/>
              <w:jc w:val="center"/>
              <w:rPr>
                <w:color w:val="auto"/>
                <w:kern w:val="0"/>
                <w:sz w:val="21"/>
                <w:szCs w:val="21"/>
              </w:rPr>
            </w:pPr>
            <w:r>
              <w:rPr>
                <w:rFonts w:hint="eastAsia"/>
                <w:color w:val="auto"/>
                <w:kern w:val="0"/>
                <w:sz w:val="21"/>
                <w:szCs w:val="21"/>
              </w:rPr>
              <w:t>2025.10.9</w:t>
            </w:r>
          </w:p>
        </w:tc>
        <w:tc>
          <w:tcPr>
            <w:tcW w:w="638" w:type="pct"/>
            <w:tcBorders>
              <w:tl2br w:val="nil"/>
              <w:tr2bl w:val="nil"/>
            </w:tcBorders>
            <w:noWrap/>
            <w:vAlign w:val="center"/>
          </w:tcPr>
          <w:p w14:paraId="149549D7">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32010FEC">
            <w:pPr>
              <w:widowControl/>
              <w:spacing w:line="240" w:lineRule="auto"/>
              <w:ind w:firstLine="0" w:firstLineChars="0"/>
              <w:jc w:val="center"/>
              <w:rPr>
                <w:color w:val="auto"/>
                <w:kern w:val="0"/>
                <w:sz w:val="21"/>
                <w:szCs w:val="21"/>
              </w:rPr>
            </w:pPr>
            <w:r>
              <w:rPr>
                <w:rFonts w:hint="eastAsia"/>
                <w:color w:val="auto"/>
                <w:kern w:val="0"/>
                <w:sz w:val="21"/>
                <w:szCs w:val="21"/>
              </w:rPr>
              <w:t>52.9</w:t>
            </w:r>
          </w:p>
        </w:tc>
        <w:tc>
          <w:tcPr>
            <w:tcW w:w="1166" w:type="pct"/>
            <w:tcBorders>
              <w:tl2br w:val="nil"/>
              <w:tr2bl w:val="nil"/>
            </w:tcBorders>
            <w:noWrap/>
            <w:vAlign w:val="center"/>
          </w:tcPr>
          <w:p w14:paraId="5ECE9327">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restart"/>
            <w:tcBorders>
              <w:tl2br w:val="nil"/>
              <w:tr2bl w:val="nil"/>
            </w:tcBorders>
            <w:noWrap/>
            <w:vAlign w:val="center"/>
          </w:tcPr>
          <w:p w14:paraId="60190674">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58C1241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1120CEA7">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110B9FCE">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5515BA6D">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1B77CD96">
            <w:pPr>
              <w:widowControl/>
              <w:spacing w:line="240" w:lineRule="auto"/>
              <w:ind w:firstLine="0" w:firstLineChars="0"/>
              <w:jc w:val="center"/>
              <w:rPr>
                <w:color w:val="auto"/>
                <w:kern w:val="0"/>
                <w:sz w:val="21"/>
                <w:szCs w:val="21"/>
              </w:rPr>
            </w:pPr>
            <w:r>
              <w:rPr>
                <w:rFonts w:hint="eastAsia"/>
                <w:color w:val="auto"/>
                <w:kern w:val="0"/>
                <w:sz w:val="21"/>
                <w:szCs w:val="21"/>
              </w:rPr>
              <w:t>46.4</w:t>
            </w:r>
          </w:p>
        </w:tc>
        <w:tc>
          <w:tcPr>
            <w:tcW w:w="1166" w:type="pct"/>
            <w:tcBorders>
              <w:tl2br w:val="nil"/>
              <w:tr2bl w:val="nil"/>
            </w:tcBorders>
            <w:noWrap/>
            <w:vAlign w:val="center"/>
          </w:tcPr>
          <w:p w14:paraId="2B0E3D94">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56A52A9B">
            <w:pPr>
              <w:widowControl/>
              <w:spacing w:line="240" w:lineRule="auto"/>
              <w:ind w:firstLine="0" w:firstLineChars="0"/>
              <w:jc w:val="center"/>
              <w:rPr>
                <w:color w:val="auto"/>
                <w:kern w:val="0"/>
                <w:sz w:val="21"/>
                <w:szCs w:val="21"/>
              </w:rPr>
            </w:pPr>
          </w:p>
        </w:tc>
      </w:tr>
      <w:tr w14:paraId="096844A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413E8BBD">
            <w:pPr>
              <w:widowControl/>
              <w:spacing w:line="240" w:lineRule="auto"/>
              <w:ind w:firstLine="0" w:firstLineChars="0"/>
              <w:jc w:val="center"/>
              <w:rPr>
                <w:color w:val="auto"/>
                <w:kern w:val="0"/>
                <w:sz w:val="21"/>
                <w:szCs w:val="21"/>
              </w:rPr>
            </w:pPr>
            <w:r>
              <w:rPr>
                <w:color w:val="auto"/>
                <w:kern w:val="0"/>
                <w:sz w:val="21"/>
                <w:szCs w:val="21"/>
              </w:rPr>
              <w:t>西厂界外1m</w:t>
            </w:r>
            <w:r>
              <w:rPr>
                <w:rFonts w:hint="eastAsia"/>
                <w:color w:val="auto"/>
                <w:kern w:val="0"/>
                <w:sz w:val="21"/>
                <w:szCs w:val="21"/>
              </w:rPr>
              <w:t>，高围墙0.5m</w:t>
            </w:r>
          </w:p>
        </w:tc>
        <w:tc>
          <w:tcPr>
            <w:tcW w:w="622" w:type="pct"/>
            <w:vMerge w:val="continue"/>
            <w:tcBorders>
              <w:tl2br w:val="nil"/>
              <w:tr2bl w:val="nil"/>
            </w:tcBorders>
            <w:noWrap/>
            <w:vAlign w:val="center"/>
          </w:tcPr>
          <w:p w14:paraId="47307F2B">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576C0E6F">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3FEA8FA8">
            <w:pPr>
              <w:widowControl/>
              <w:spacing w:line="240" w:lineRule="auto"/>
              <w:ind w:firstLine="0" w:firstLineChars="0"/>
              <w:jc w:val="center"/>
              <w:rPr>
                <w:color w:val="auto"/>
                <w:kern w:val="0"/>
                <w:sz w:val="21"/>
                <w:szCs w:val="21"/>
              </w:rPr>
            </w:pPr>
            <w:r>
              <w:rPr>
                <w:rFonts w:hint="eastAsia"/>
                <w:color w:val="auto"/>
                <w:kern w:val="0"/>
                <w:sz w:val="21"/>
                <w:szCs w:val="21"/>
              </w:rPr>
              <w:t>52.3</w:t>
            </w:r>
          </w:p>
        </w:tc>
        <w:tc>
          <w:tcPr>
            <w:tcW w:w="1166" w:type="pct"/>
            <w:tcBorders>
              <w:tl2br w:val="nil"/>
              <w:tr2bl w:val="nil"/>
            </w:tcBorders>
            <w:noWrap/>
            <w:vAlign w:val="center"/>
          </w:tcPr>
          <w:p w14:paraId="7E11D6F4">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29DEB369">
            <w:pPr>
              <w:widowControl/>
              <w:spacing w:line="240" w:lineRule="auto"/>
              <w:ind w:firstLine="0" w:firstLineChars="0"/>
              <w:jc w:val="center"/>
              <w:rPr>
                <w:color w:val="auto"/>
                <w:kern w:val="0"/>
                <w:sz w:val="21"/>
                <w:szCs w:val="21"/>
              </w:rPr>
            </w:pPr>
          </w:p>
        </w:tc>
      </w:tr>
      <w:tr w14:paraId="687D299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49F6E811">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3E5EE627">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35E58AC5">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18EAE44C">
            <w:pPr>
              <w:widowControl/>
              <w:spacing w:line="240" w:lineRule="auto"/>
              <w:ind w:firstLine="0" w:firstLineChars="0"/>
              <w:jc w:val="center"/>
              <w:rPr>
                <w:color w:val="auto"/>
                <w:kern w:val="0"/>
                <w:sz w:val="21"/>
                <w:szCs w:val="21"/>
              </w:rPr>
            </w:pPr>
            <w:r>
              <w:rPr>
                <w:rFonts w:hint="eastAsia"/>
                <w:color w:val="auto"/>
                <w:kern w:val="0"/>
                <w:sz w:val="21"/>
                <w:szCs w:val="21"/>
              </w:rPr>
              <w:t>49.0</w:t>
            </w:r>
          </w:p>
        </w:tc>
        <w:tc>
          <w:tcPr>
            <w:tcW w:w="1166" w:type="pct"/>
            <w:tcBorders>
              <w:tl2br w:val="nil"/>
              <w:tr2bl w:val="nil"/>
            </w:tcBorders>
            <w:noWrap/>
            <w:vAlign w:val="center"/>
          </w:tcPr>
          <w:p w14:paraId="4494FC6F">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1C300129">
            <w:pPr>
              <w:widowControl/>
              <w:spacing w:line="240" w:lineRule="auto"/>
              <w:ind w:firstLine="0" w:firstLineChars="0"/>
              <w:jc w:val="center"/>
              <w:rPr>
                <w:color w:val="auto"/>
                <w:kern w:val="0"/>
                <w:sz w:val="21"/>
                <w:szCs w:val="21"/>
              </w:rPr>
            </w:pPr>
          </w:p>
        </w:tc>
      </w:tr>
      <w:tr w14:paraId="0A9D2C0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608F6C85">
            <w:pPr>
              <w:widowControl/>
              <w:spacing w:line="240" w:lineRule="auto"/>
              <w:ind w:firstLine="0" w:firstLineChars="0"/>
              <w:jc w:val="center"/>
              <w:rPr>
                <w:color w:val="auto"/>
                <w:kern w:val="0"/>
                <w:sz w:val="21"/>
                <w:szCs w:val="21"/>
              </w:rPr>
            </w:pPr>
            <w:r>
              <w:rPr>
                <w:color w:val="auto"/>
                <w:kern w:val="0"/>
                <w:sz w:val="21"/>
                <w:szCs w:val="21"/>
              </w:rPr>
              <w:t>南厂界外1m</w:t>
            </w:r>
            <w:r>
              <w:rPr>
                <w:rFonts w:hint="eastAsia"/>
                <w:color w:val="auto"/>
                <w:kern w:val="0"/>
                <w:sz w:val="21"/>
                <w:szCs w:val="21"/>
              </w:rPr>
              <w:t>，高围墙0.5m</w:t>
            </w:r>
          </w:p>
        </w:tc>
        <w:tc>
          <w:tcPr>
            <w:tcW w:w="622" w:type="pct"/>
            <w:vMerge w:val="continue"/>
            <w:tcBorders>
              <w:tl2br w:val="nil"/>
              <w:tr2bl w:val="nil"/>
            </w:tcBorders>
            <w:noWrap/>
            <w:vAlign w:val="center"/>
          </w:tcPr>
          <w:p w14:paraId="4C010102">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6735DE09">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498A282F">
            <w:pPr>
              <w:widowControl/>
              <w:spacing w:line="240" w:lineRule="auto"/>
              <w:ind w:firstLine="0" w:firstLineChars="0"/>
              <w:jc w:val="center"/>
              <w:rPr>
                <w:color w:val="auto"/>
                <w:kern w:val="0"/>
                <w:sz w:val="21"/>
                <w:szCs w:val="21"/>
              </w:rPr>
            </w:pPr>
            <w:r>
              <w:rPr>
                <w:rFonts w:hint="eastAsia"/>
                <w:color w:val="auto"/>
                <w:kern w:val="0"/>
                <w:sz w:val="21"/>
                <w:szCs w:val="21"/>
              </w:rPr>
              <w:t>58.0</w:t>
            </w:r>
          </w:p>
        </w:tc>
        <w:tc>
          <w:tcPr>
            <w:tcW w:w="1166" w:type="pct"/>
            <w:tcBorders>
              <w:tl2br w:val="nil"/>
              <w:tr2bl w:val="nil"/>
            </w:tcBorders>
            <w:noWrap/>
            <w:vAlign w:val="center"/>
          </w:tcPr>
          <w:p w14:paraId="18A342AF">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50645A80">
            <w:pPr>
              <w:widowControl/>
              <w:spacing w:line="240" w:lineRule="auto"/>
              <w:ind w:firstLine="0" w:firstLineChars="0"/>
              <w:jc w:val="center"/>
              <w:rPr>
                <w:color w:val="auto"/>
                <w:kern w:val="0"/>
                <w:sz w:val="21"/>
                <w:szCs w:val="21"/>
              </w:rPr>
            </w:pPr>
          </w:p>
        </w:tc>
      </w:tr>
      <w:tr w14:paraId="204034A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1B0F49E9">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6BC7501F">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38106971">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194E094D">
            <w:pPr>
              <w:widowControl/>
              <w:spacing w:line="240" w:lineRule="auto"/>
              <w:ind w:firstLine="0" w:firstLineChars="0"/>
              <w:jc w:val="center"/>
              <w:rPr>
                <w:color w:val="auto"/>
                <w:kern w:val="0"/>
                <w:sz w:val="21"/>
                <w:szCs w:val="21"/>
              </w:rPr>
            </w:pPr>
            <w:r>
              <w:rPr>
                <w:rFonts w:hint="eastAsia"/>
                <w:color w:val="auto"/>
                <w:kern w:val="0"/>
                <w:sz w:val="21"/>
                <w:szCs w:val="21"/>
              </w:rPr>
              <w:t>52.0</w:t>
            </w:r>
          </w:p>
        </w:tc>
        <w:tc>
          <w:tcPr>
            <w:tcW w:w="1166" w:type="pct"/>
            <w:tcBorders>
              <w:tl2br w:val="nil"/>
              <w:tr2bl w:val="nil"/>
            </w:tcBorders>
            <w:noWrap/>
            <w:vAlign w:val="center"/>
          </w:tcPr>
          <w:p w14:paraId="438E629A">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428EE0DE">
            <w:pPr>
              <w:widowControl/>
              <w:spacing w:line="240" w:lineRule="auto"/>
              <w:ind w:firstLine="0" w:firstLineChars="0"/>
              <w:jc w:val="center"/>
              <w:rPr>
                <w:color w:val="auto"/>
                <w:kern w:val="0"/>
                <w:sz w:val="21"/>
                <w:szCs w:val="21"/>
              </w:rPr>
            </w:pPr>
          </w:p>
        </w:tc>
      </w:tr>
      <w:tr w14:paraId="61C42EC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restart"/>
            <w:tcBorders>
              <w:tl2br w:val="nil"/>
              <w:tr2bl w:val="nil"/>
            </w:tcBorders>
            <w:vAlign w:val="center"/>
          </w:tcPr>
          <w:p w14:paraId="3416EA82">
            <w:pPr>
              <w:widowControl/>
              <w:spacing w:line="240" w:lineRule="auto"/>
              <w:ind w:firstLine="0" w:firstLineChars="0"/>
              <w:jc w:val="center"/>
              <w:rPr>
                <w:color w:val="auto"/>
                <w:kern w:val="0"/>
                <w:sz w:val="21"/>
                <w:szCs w:val="21"/>
              </w:rPr>
            </w:pPr>
            <w:r>
              <w:rPr>
                <w:color w:val="auto"/>
                <w:kern w:val="0"/>
                <w:sz w:val="21"/>
                <w:szCs w:val="21"/>
              </w:rPr>
              <w:t>东厂界外1m</w:t>
            </w:r>
            <w:r>
              <w:rPr>
                <w:rFonts w:hint="eastAsia"/>
                <w:color w:val="auto"/>
                <w:kern w:val="0"/>
                <w:sz w:val="21"/>
                <w:szCs w:val="21"/>
              </w:rPr>
              <w:t>，高围墙0.5m</w:t>
            </w:r>
          </w:p>
        </w:tc>
        <w:tc>
          <w:tcPr>
            <w:tcW w:w="622" w:type="pct"/>
            <w:vMerge w:val="continue"/>
            <w:tcBorders>
              <w:tl2br w:val="nil"/>
              <w:tr2bl w:val="nil"/>
            </w:tcBorders>
            <w:noWrap/>
            <w:vAlign w:val="center"/>
          </w:tcPr>
          <w:p w14:paraId="1195CFEB">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6ACAF94F">
            <w:pPr>
              <w:widowControl/>
              <w:spacing w:line="240" w:lineRule="auto"/>
              <w:ind w:firstLine="0" w:firstLineChars="0"/>
              <w:jc w:val="center"/>
              <w:rPr>
                <w:color w:val="auto"/>
                <w:kern w:val="0"/>
                <w:sz w:val="21"/>
                <w:szCs w:val="21"/>
              </w:rPr>
            </w:pPr>
            <w:r>
              <w:rPr>
                <w:color w:val="auto"/>
                <w:kern w:val="0"/>
                <w:sz w:val="21"/>
                <w:szCs w:val="21"/>
              </w:rPr>
              <w:t>昼间</w:t>
            </w:r>
          </w:p>
        </w:tc>
        <w:tc>
          <w:tcPr>
            <w:tcW w:w="630" w:type="pct"/>
            <w:tcBorders>
              <w:tl2br w:val="nil"/>
              <w:tr2bl w:val="nil"/>
            </w:tcBorders>
            <w:noWrap/>
            <w:vAlign w:val="center"/>
          </w:tcPr>
          <w:p w14:paraId="29BFF805">
            <w:pPr>
              <w:widowControl/>
              <w:spacing w:line="240" w:lineRule="auto"/>
              <w:ind w:firstLine="0" w:firstLineChars="0"/>
              <w:jc w:val="center"/>
              <w:rPr>
                <w:color w:val="auto"/>
                <w:kern w:val="0"/>
                <w:sz w:val="21"/>
                <w:szCs w:val="21"/>
              </w:rPr>
            </w:pPr>
            <w:r>
              <w:rPr>
                <w:rFonts w:hint="eastAsia"/>
                <w:color w:val="auto"/>
                <w:kern w:val="0"/>
                <w:sz w:val="21"/>
                <w:szCs w:val="21"/>
              </w:rPr>
              <w:t>56.9</w:t>
            </w:r>
          </w:p>
        </w:tc>
        <w:tc>
          <w:tcPr>
            <w:tcW w:w="1166" w:type="pct"/>
            <w:tcBorders>
              <w:tl2br w:val="nil"/>
              <w:tr2bl w:val="nil"/>
            </w:tcBorders>
            <w:noWrap/>
            <w:vAlign w:val="center"/>
          </w:tcPr>
          <w:p w14:paraId="75F9D6BC">
            <w:pPr>
              <w:widowControl/>
              <w:spacing w:line="240" w:lineRule="auto"/>
              <w:ind w:firstLine="0" w:firstLineChars="0"/>
              <w:jc w:val="center"/>
              <w:rPr>
                <w:color w:val="auto"/>
                <w:kern w:val="0"/>
                <w:sz w:val="21"/>
                <w:szCs w:val="21"/>
              </w:rPr>
            </w:pPr>
            <w:r>
              <w:rPr>
                <w:color w:val="auto"/>
                <w:kern w:val="0"/>
                <w:sz w:val="21"/>
                <w:szCs w:val="21"/>
              </w:rPr>
              <w:t>65</w:t>
            </w:r>
          </w:p>
        </w:tc>
        <w:tc>
          <w:tcPr>
            <w:tcW w:w="825" w:type="pct"/>
            <w:vMerge w:val="continue"/>
            <w:tcBorders>
              <w:tl2br w:val="nil"/>
              <w:tr2bl w:val="nil"/>
            </w:tcBorders>
            <w:noWrap/>
            <w:vAlign w:val="center"/>
          </w:tcPr>
          <w:p w14:paraId="3F1E55A1">
            <w:pPr>
              <w:widowControl/>
              <w:spacing w:line="240" w:lineRule="auto"/>
              <w:ind w:firstLine="0" w:firstLineChars="0"/>
              <w:jc w:val="center"/>
              <w:rPr>
                <w:color w:val="auto"/>
                <w:kern w:val="0"/>
                <w:sz w:val="21"/>
                <w:szCs w:val="21"/>
              </w:rPr>
            </w:pPr>
          </w:p>
        </w:tc>
      </w:tr>
      <w:tr w14:paraId="172E632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1115" w:type="pct"/>
            <w:vMerge w:val="continue"/>
            <w:tcBorders>
              <w:tl2br w:val="nil"/>
              <w:tr2bl w:val="nil"/>
            </w:tcBorders>
            <w:vAlign w:val="center"/>
          </w:tcPr>
          <w:p w14:paraId="57EE172A">
            <w:pPr>
              <w:widowControl/>
              <w:spacing w:line="240" w:lineRule="auto"/>
              <w:ind w:firstLine="0" w:firstLineChars="0"/>
              <w:jc w:val="center"/>
              <w:rPr>
                <w:color w:val="auto"/>
                <w:kern w:val="0"/>
                <w:sz w:val="21"/>
                <w:szCs w:val="21"/>
              </w:rPr>
            </w:pPr>
          </w:p>
        </w:tc>
        <w:tc>
          <w:tcPr>
            <w:tcW w:w="622" w:type="pct"/>
            <w:vMerge w:val="continue"/>
            <w:tcBorders>
              <w:tl2br w:val="nil"/>
              <w:tr2bl w:val="nil"/>
            </w:tcBorders>
            <w:noWrap/>
            <w:vAlign w:val="center"/>
          </w:tcPr>
          <w:p w14:paraId="2B50474C">
            <w:pPr>
              <w:widowControl/>
              <w:spacing w:line="240" w:lineRule="auto"/>
              <w:ind w:firstLine="0" w:firstLineChars="0"/>
              <w:jc w:val="center"/>
              <w:rPr>
                <w:color w:val="auto"/>
                <w:kern w:val="0"/>
                <w:sz w:val="21"/>
                <w:szCs w:val="21"/>
              </w:rPr>
            </w:pPr>
          </w:p>
        </w:tc>
        <w:tc>
          <w:tcPr>
            <w:tcW w:w="638" w:type="pct"/>
            <w:tcBorders>
              <w:tl2br w:val="nil"/>
              <w:tr2bl w:val="nil"/>
            </w:tcBorders>
            <w:noWrap/>
            <w:vAlign w:val="center"/>
          </w:tcPr>
          <w:p w14:paraId="55F9F910">
            <w:pPr>
              <w:widowControl/>
              <w:spacing w:line="240" w:lineRule="auto"/>
              <w:ind w:firstLine="0" w:firstLineChars="0"/>
              <w:jc w:val="center"/>
              <w:rPr>
                <w:color w:val="auto"/>
                <w:kern w:val="0"/>
                <w:sz w:val="21"/>
                <w:szCs w:val="21"/>
              </w:rPr>
            </w:pPr>
            <w:r>
              <w:rPr>
                <w:color w:val="auto"/>
                <w:kern w:val="0"/>
                <w:sz w:val="21"/>
                <w:szCs w:val="21"/>
              </w:rPr>
              <w:t>夜间</w:t>
            </w:r>
          </w:p>
        </w:tc>
        <w:tc>
          <w:tcPr>
            <w:tcW w:w="630" w:type="pct"/>
            <w:tcBorders>
              <w:tl2br w:val="nil"/>
              <w:tr2bl w:val="nil"/>
            </w:tcBorders>
            <w:noWrap/>
            <w:vAlign w:val="center"/>
          </w:tcPr>
          <w:p w14:paraId="3B9F68C8">
            <w:pPr>
              <w:widowControl/>
              <w:spacing w:line="240" w:lineRule="auto"/>
              <w:ind w:firstLine="0" w:firstLineChars="0"/>
              <w:jc w:val="center"/>
              <w:rPr>
                <w:color w:val="auto"/>
                <w:kern w:val="0"/>
                <w:sz w:val="21"/>
                <w:szCs w:val="21"/>
              </w:rPr>
            </w:pPr>
            <w:r>
              <w:rPr>
                <w:rFonts w:hint="eastAsia"/>
                <w:color w:val="auto"/>
                <w:kern w:val="0"/>
                <w:sz w:val="21"/>
                <w:szCs w:val="21"/>
              </w:rPr>
              <w:t>52.6</w:t>
            </w:r>
          </w:p>
        </w:tc>
        <w:tc>
          <w:tcPr>
            <w:tcW w:w="1166" w:type="pct"/>
            <w:tcBorders>
              <w:tl2br w:val="nil"/>
              <w:tr2bl w:val="nil"/>
            </w:tcBorders>
            <w:noWrap/>
            <w:vAlign w:val="center"/>
          </w:tcPr>
          <w:p w14:paraId="2F916B61">
            <w:pPr>
              <w:widowControl/>
              <w:spacing w:line="240" w:lineRule="auto"/>
              <w:ind w:firstLine="0" w:firstLineChars="0"/>
              <w:jc w:val="center"/>
              <w:rPr>
                <w:color w:val="auto"/>
                <w:kern w:val="0"/>
                <w:sz w:val="21"/>
                <w:szCs w:val="21"/>
              </w:rPr>
            </w:pPr>
            <w:r>
              <w:rPr>
                <w:color w:val="auto"/>
                <w:kern w:val="0"/>
                <w:sz w:val="21"/>
                <w:szCs w:val="21"/>
              </w:rPr>
              <w:t>55</w:t>
            </w:r>
          </w:p>
        </w:tc>
        <w:tc>
          <w:tcPr>
            <w:tcW w:w="825" w:type="pct"/>
            <w:vMerge w:val="continue"/>
            <w:tcBorders>
              <w:tl2br w:val="nil"/>
              <w:tr2bl w:val="nil"/>
            </w:tcBorders>
            <w:noWrap/>
            <w:vAlign w:val="center"/>
          </w:tcPr>
          <w:p w14:paraId="07907E71">
            <w:pPr>
              <w:widowControl/>
              <w:spacing w:line="240" w:lineRule="auto"/>
              <w:ind w:firstLine="0" w:firstLineChars="0"/>
              <w:jc w:val="center"/>
              <w:rPr>
                <w:color w:val="auto"/>
                <w:kern w:val="0"/>
                <w:sz w:val="21"/>
                <w:szCs w:val="21"/>
              </w:rPr>
            </w:pPr>
          </w:p>
        </w:tc>
      </w:tr>
    </w:tbl>
    <w:p w14:paraId="5FCAEC4E">
      <w:pPr>
        <w:spacing w:line="460" w:lineRule="exact"/>
        <w:ind w:firstLine="480"/>
        <w:rPr>
          <w:color w:val="auto"/>
        </w:rPr>
      </w:pPr>
      <w:r>
        <w:rPr>
          <w:rFonts w:hint="eastAsia"/>
          <w:color w:val="auto"/>
        </w:rPr>
        <w:t>由表3.4-7可知，企业运行期间，亚太药业厂界4个噪声监测点连续等效声级值均符合《工业企业厂界环境噪声排放标准》（GB 12348-2008）表1中3类昼、夜间标准。</w:t>
      </w:r>
    </w:p>
    <w:p w14:paraId="0237B296">
      <w:pPr>
        <w:pStyle w:val="4"/>
        <w:rPr>
          <w:color w:val="auto"/>
        </w:rPr>
      </w:pPr>
      <w:bookmarkStart w:id="103" w:name="_Toc12825"/>
      <w:r>
        <w:rPr>
          <w:rFonts w:hint="eastAsia"/>
          <w:color w:val="auto"/>
        </w:rPr>
        <w:t>3.4.4</w:t>
      </w:r>
      <w:r>
        <w:rPr>
          <w:color w:val="auto"/>
        </w:rPr>
        <w:t>地下水和土壤自行监测情况</w:t>
      </w:r>
      <w:bookmarkEnd w:id="103"/>
    </w:p>
    <w:p w14:paraId="76313D84">
      <w:pPr>
        <w:spacing w:line="460" w:lineRule="exact"/>
        <w:ind w:firstLine="480"/>
        <w:rPr>
          <w:color w:val="auto"/>
        </w:rPr>
      </w:pPr>
      <w:r>
        <w:rPr>
          <w:color w:val="auto"/>
        </w:rPr>
        <w:t>（1）近期地下水和土壤自行监测情况</w:t>
      </w:r>
    </w:p>
    <w:p w14:paraId="7587C0ED">
      <w:pPr>
        <w:spacing w:line="460" w:lineRule="exact"/>
        <w:ind w:firstLine="480"/>
        <w:rPr>
          <w:color w:val="auto"/>
        </w:rPr>
      </w:pPr>
      <w:r>
        <w:rPr>
          <w:color w:val="auto"/>
        </w:rPr>
        <w:t>厂区现有的防渗措施主要是从源头做好防控，有效减少跑冒滴漏。此外通过分区防渗避免对地下水和土壤的污染。为确保防治措施的有效性，企业制定了地下水、土壤企业自行监测计划。根据企业提供的《</w:t>
      </w:r>
      <w:r>
        <w:rPr>
          <w:rFonts w:hint="eastAsia"/>
          <w:color w:val="auto"/>
        </w:rPr>
        <w:t>启东亚太药业</w:t>
      </w:r>
      <w:r>
        <w:rPr>
          <w:color w:val="auto"/>
        </w:rPr>
        <w:t>有限公司土壤和地下水自行监测报告》（202</w:t>
      </w:r>
      <w:r>
        <w:rPr>
          <w:rFonts w:hint="eastAsia"/>
          <w:color w:val="auto"/>
        </w:rPr>
        <w:t>5</w:t>
      </w:r>
      <w:r>
        <w:rPr>
          <w:color w:val="auto"/>
        </w:rPr>
        <w:t>年</w:t>
      </w:r>
      <w:r>
        <w:rPr>
          <w:rFonts w:hint="eastAsia"/>
          <w:color w:val="auto"/>
        </w:rPr>
        <w:t>11</w:t>
      </w:r>
      <w:r>
        <w:rPr>
          <w:color w:val="auto"/>
        </w:rPr>
        <w:t>月）关于土壤和地下水监测情况如下：</w:t>
      </w:r>
    </w:p>
    <w:p w14:paraId="7353570E">
      <w:pPr>
        <w:spacing w:line="460" w:lineRule="exact"/>
        <w:ind w:firstLine="482"/>
        <w:rPr>
          <w:b/>
          <w:bCs/>
          <w:color w:val="auto"/>
        </w:rPr>
      </w:pPr>
      <w:r>
        <w:rPr>
          <w:rFonts w:hint="eastAsia"/>
          <w:b/>
          <w:bCs/>
          <w:color w:val="auto"/>
        </w:rPr>
        <w:t>一、</w:t>
      </w:r>
      <w:r>
        <w:rPr>
          <w:b/>
          <w:bCs/>
          <w:color w:val="auto"/>
        </w:rPr>
        <w:t>土壤自行监测结果</w:t>
      </w:r>
    </w:p>
    <w:p w14:paraId="7F5D19C5">
      <w:pPr>
        <w:spacing w:line="460" w:lineRule="exact"/>
        <w:ind w:firstLine="480"/>
        <w:rPr>
          <w:color w:val="auto"/>
        </w:rPr>
      </w:pPr>
      <w:r>
        <w:rPr>
          <w:rFonts w:hint="eastAsia"/>
          <w:color w:val="auto"/>
        </w:rPr>
        <w:t>企业2025年度土壤自行</w:t>
      </w:r>
      <w:r>
        <w:rPr>
          <w:color w:val="auto"/>
        </w:rPr>
        <w:t>监测共采集6个表层土壤点位、5个深层土壤点位，1个对照点深层土壤点位，共30个土壤样品，3个密码样。土壤样品</w:t>
      </w:r>
      <w:r>
        <w:rPr>
          <w:rFonts w:hint="eastAsia"/>
          <w:color w:val="auto"/>
        </w:rPr>
        <w:t>分析</w:t>
      </w:r>
      <w:r>
        <w:rPr>
          <w:color w:val="auto"/>
        </w:rPr>
        <w:t>检测</w:t>
      </w:r>
      <w:r>
        <w:rPr>
          <w:rFonts w:hint="eastAsia"/>
          <w:color w:val="auto"/>
        </w:rPr>
        <w:t>项目为</w:t>
      </w:r>
      <w:r>
        <w:rPr>
          <w:color w:val="auto"/>
        </w:rPr>
        <w:t>pH值、六价铬、总神、总汞、镉、铅、铜、镍、石油烃</w:t>
      </w:r>
      <w:r>
        <w:rPr>
          <w:rFonts w:hint="eastAsia"/>
          <w:color w:val="auto"/>
        </w:rPr>
        <w:t>（</w:t>
      </w:r>
      <w:r>
        <w:rPr>
          <w:color w:val="auto"/>
        </w:rPr>
        <w:t>C</w:t>
      </w:r>
      <w:r>
        <w:rPr>
          <w:color w:val="auto"/>
          <w:vertAlign w:val="subscript"/>
        </w:rPr>
        <w:t>10</w:t>
      </w:r>
      <w:r>
        <w:rPr>
          <w:color w:val="auto"/>
        </w:rPr>
        <w:t>-C</w:t>
      </w:r>
      <w:r>
        <w:rPr>
          <w:color w:val="auto"/>
          <w:vertAlign w:val="subscript"/>
        </w:rPr>
        <w:t>40</w:t>
      </w:r>
      <w:r>
        <w:rPr>
          <w:rFonts w:hint="eastAsia"/>
          <w:color w:val="auto"/>
        </w:rPr>
        <w:t>）</w:t>
      </w:r>
      <w:r>
        <w:rPr>
          <w:color w:val="auto"/>
        </w:rPr>
        <w:t>、挥发性有机物</w:t>
      </w:r>
      <w:r>
        <w:rPr>
          <w:rFonts w:hint="eastAsia"/>
          <w:color w:val="auto"/>
        </w:rPr>
        <w:t>（</w:t>
      </w:r>
      <w:r>
        <w:rPr>
          <w:color w:val="auto"/>
        </w:rPr>
        <w:t>27项</w:t>
      </w:r>
      <w:r>
        <w:rPr>
          <w:rFonts w:hint="eastAsia"/>
          <w:color w:val="auto"/>
        </w:rPr>
        <w:t>）</w:t>
      </w:r>
      <w:r>
        <w:rPr>
          <w:color w:val="auto"/>
        </w:rPr>
        <w:t>、半挥发性有机物</w:t>
      </w:r>
      <w:r>
        <w:rPr>
          <w:rFonts w:hint="eastAsia"/>
          <w:color w:val="auto"/>
        </w:rPr>
        <w:t>（</w:t>
      </w:r>
      <w:r>
        <w:rPr>
          <w:color w:val="auto"/>
        </w:rPr>
        <w:t>11项</w:t>
      </w:r>
      <w:r>
        <w:rPr>
          <w:rFonts w:hint="eastAsia"/>
          <w:color w:val="auto"/>
        </w:rPr>
        <w:t>）。</w:t>
      </w:r>
      <w:r>
        <w:rPr>
          <w:color w:val="auto"/>
        </w:rPr>
        <w:t>对污染物分析数据进行初步筛选，土壤筛选值参照《土壤环境质量建设用地土壤污染风险管控标准</w:t>
      </w:r>
      <w:r>
        <w:rPr>
          <w:rFonts w:hint="eastAsia"/>
          <w:color w:val="auto"/>
        </w:rPr>
        <w:t>（</w:t>
      </w:r>
      <w:r>
        <w:rPr>
          <w:color w:val="auto"/>
        </w:rPr>
        <w:t>试行</w:t>
      </w:r>
      <w:r>
        <w:rPr>
          <w:rFonts w:hint="eastAsia"/>
          <w:color w:val="auto"/>
        </w:rPr>
        <w:t>）</w:t>
      </w:r>
      <w:r>
        <w:rPr>
          <w:color w:val="auto"/>
        </w:rPr>
        <w:t>》中的第二类用地筛选值。土壤样品检测结果分析表述如下</w:t>
      </w:r>
      <w:r>
        <w:rPr>
          <w:rFonts w:hint="eastAsia"/>
          <w:color w:val="auto"/>
        </w:rPr>
        <w:t>：</w:t>
      </w:r>
    </w:p>
    <w:p w14:paraId="5CA72640">
      <w:pPr>
        <w:spacing w:line="460" w:lineRule="exact"/>
        <w:ind w:firstLine="480"/>
        <w:rPr>
          <w:color w:val="auto"/>
        </w:rPr>
      </w:pPr>
      <w:r>
        <w:rPr>
          <w:color w:val="auto"/>
        </w:rPr>
        <w:t>场地内土壤样品的pH值在7.55-8.62之间，土壤样品六价铬、挥发性有机物、半挥发性有机物各项指标均低于检出限。场地内土壤样品检出7项污染物指标，</w:t>
      </w:r>
      <w:r>
        <w:rPr>
          <w:rFonts w:hint="eastAsia"/>
          <w:color w:val="auto"/>
        </w:rPr>
        <w:t>分别是</w:t>
      </w:r>
      <w:r>
        <w:rPr>
          <w:color w:val="auto"/>
        </w:rPr>
        <w:t>重金属6项</w:t>
      </w:r>
      <w:r>
        <w:rPr>
          <w:rFonts w:hint="eastAsia"/>
          <w:color w:val="auto"/>
        </w:rPr>
        <w:t>（</w:t>
      </w:r>
      <w:r>
        <w:rPr>
          <w:color w:val="auto"/>
        </w:rPr>
        <w:t>砷、镉、铜、铅、镍、汞</w:t>
      </w:r>
      <w:r>
        <w:rPr>
          <w:rFonts w:hint="eastAsia"/>
          <w:color w:val="auto"/>
        </w:rPr>
        <w:t>）</w:t>
      </w:r>
      <w:r>
        <w:rPr>
          <w:color w:val="auto"/>
        </w:rPr>
        <w:t>和石油烃</w:t>
      </w:r>
      <w:r>
        <w:rPr>
          <w:rFonts w:hint="eastAsia"/>
          <w:color w:val="auto"/>
        </w:rPr>
        <w:t>（</w:t>
      </w:r>
      <w:r>
        <w:rPr>
          <w:color w:val="auto"/>
        </w:rPr>
        <w:t>C</w:t>
      </w:r>
      <w:r>
        <w:rPr>
          <w:color w:val="auto"/>
          <w:vertAlign w:val="subscript"/>
        </w:rPr>
        <w:t>10</w:t>
      </w:r>
      <w:r>
        <w:rPr>
          <w:color w:val="auto"/>
        </w:rPr>
        <w:t>-C</w:t>
      </w:r>
      <w:r>
        <w:rPr>
          <w:color w:val="auto"/>
          <w:vertAlign w:val="subscript"/>
        </w:rPr>
        <w:t>40</w:t>
      </w:r>
      <w:r>
        <w:rPr>
          <w:rFonts w:hint="eastAsia"/>
          <w:color w:val="auto"/>
        </w:rPr>
        <w:t>）</w:t>
      </w:r>
      <w:r>
        <w:rPr>
          <w:color w:val="auto"/>
        </w:rPr>
        <w:t>。</w:t>
      </w:r>
    </w:p>
    <w:p w14:paraId="09F60643">
      <w:pPr>
        <w:spacing w:line="460" w:lineRule="exact"/>
        <w:ind w:firstLine="480"/>
        <w:rPr>
          <w:color w:val="auto"/>
        </w:rPr>
      </w:pPr>
      <w:r>
        <w:rPr>
          <w:rFonts w:hint="eastAsia"/>
          <w:color w:val="auto"/>
        </w:rPr>
        <w:t>①</w:t>
      </w:r>
      <w:r>
        <w:rPr>
          <w:color w:val="auto"/>
        </w:rPr>
        <w:t>pH值</w:t>
      </w:r>
    </w:p>
    <w:p w14:paraId="426EC9FB">
      <w:pPr>
        <w:spacing w:line="460" w:lineRule="exact"/>
        <w:ind w:firstLine="480"/>
        <w:rPr>
          <w:color w:val="auto"/>
        </w:rPr>
      </w:pPr>
      <w:r>
        <w:rPr>
          <w:color w:val="auto"/>
        </w:rPr>
        <w:t>地块内土壤样品pH值检测范围在7.55-8.62，对照点位pH检出范围在7.72-7.85。参照《环境影响评价技术导则土壤环境</w:t>
      </w:r>
      <w:r>
        <w:rPr>
          <w:rFonts w:hint="eastAsia"/>
          <w:color w:val="auto"/>
        </w:rPr>
        <w:t>（</w:t>
      </w:r>
      <w:r>
        <w:rPr>
          <w:color w:val="auto"/>
        </w:rPr>
        <w:t>试行</w:t>
      </w:r>
      <w:r>
        <w:rPr>
          <w:rFonts w:hint="eastAsia"/>
          <w:color w:val="auto"/>
        </w:rPr>
        <w:t>）</w:t>
      </w:r>
      <w:r>
        <w:rPr>
          <w:color w:val="auto"/>
        </w:rPr>
        <w:t>》</w:t>
      </w:r>
      <w:r>
        <w:rPr>
          <w:rFonts w:hint="eastAsia"/>
          <w:color w:val="auto"/>
        </w:rPr>
        <w:t>（</w:t>
      </w:r>
      <w:r>
        <w:rPr>
          <w:color w:val="auto"/>
        </w:rPr>
        <w:t>HJ964-2018</w:t>
      </w:r>
      <w:r>
        <w:rPr>
          <w:rFonts w:hint="eastAsia"/>
          <w:color w:val="auto"/>
        </w:rPr>
        <w:t>）</w:t>
      </w:r>
      <w:r>
        <w:rPr>
          <w:color w:val="auto"/>
        </w:rPr>
        <w:t>中附录D.2中《土壤酸化、碱化分级标准》，盐酸</w:t>
      </w:r>
      <w:r>
        <w:rPr>
          <w:rFonts w:hint="eastAsia"/>
          <w:color w:val="auto"/>
        </w:rPr>
        <w:t>（</w:t>
      </w:r>
      <w:r>
        <w:rPr>
          <w:color w:val="auto"/>
        </w:rPr>
        <w:t>硫酸</w:t>
      </w:r>
      <w:r>
        <w:rPr>
          <w:rFonts w:hint="eastAsia"/>
          <w:color w:val="auto"/>
        </w:rPr>
        <w:t>）</w:t>
      </w:r>
      <w:r>
        <w:rPr>
          <w:color w:val="auto"/>
        </w:rPr>
        <w:t>苯肼车间、中间储罐附近</w:t>
      </w:r>
      <w:r>
        <w:rPr>
          <w:rFonts w:hint="eastAsia"/>
          <w:color w:val="auto"/>
        </w:rPr>
        <w:t>的</w:t>
      </w:r>
      <w:r>
        <w:rPr>
          <w:color w:val="auto"/>
        </w:rPr>
        <w:t>S4点位</w:t>
      </w:r>
      <w:r>
        <w:rPr>
          <w:rFonts w:hint="eastAsia"/>
          <w:color w:val="auto"/>
        </w:rPr>
        <w:t>（</w:t>
      </w:r>
      <w:r>
        <w:rPr>
          <w:color w:val="auto"/>
        </w:rPr>
        <w:t>3-4m</w:t>
      </w:r>
      <w:r>
        <w:rPr>
          <w:rFonts w:hint="eastAsia"/>
          <w:color w:val="auto"/>
        </w:rPr>
        <w:t>）</w:t>
      </w:r>
      <w:r>
        <w:rPr>
          <w:color w:val="auto"/>
        </w:rPr>
        <w:t>pH最大为8.62，为轻度碱化，涉及氢氧化钠的使用和储存，可能发生跑冒滴漏进入土壤中引起pH值偏高。</w:t>
      </w:r>
    </w:p>
    <w:p w14:paraId="4F5A23AC">
      <w:pPr>
        <w:spacing w:line="460" w:lineRule="exact"/>
        <w:ind w:firstLine="480"/>
        <w:rPr>
          <w:color w:val="auto"/>
        </w:rPr>
      </w:pPr>
      <w:r>
        <w:rPr>
          <w:rFonts w:hint="eastAsia"/>
          <w:color w:val="auto"/>
        </w:rPr>
        <w:t>②</w:t>
      </w:r>
      <w:r>
        <w:rPr>
          <w:color w:val="auto"/>
        </w:rPr>
        <w:t>重金属</w:t>
      </w:r>
    </w:p>
    <w:p w14:paraId="55D50E5F">
      <w:pPr>
        <w:spacing w:line="460" w:lineRule="exact"/>
        <w:ind w:firstLine="480"/>
        <w:rPr>
          <w:color w:val="auto"/>
        </w:rPr>
      </w:pPr>
      <w:r>
        <w:rPr>
          <w:color w:val="auto"/>
        </w:rPr>
        <w:t>地块内土壤样品中检出重金属6项</w:t>
      </w:r>
      <w:r>
        <w:rPr>
          <w:rFonts w:hint="eastAsia"/>
          <w:color w:val="auto"/>
        </w:rPr>
        <w:t>，分别是</w:t>
      </w:r>
      <w:r>
        <w:rPr>
          <w:color w:val="auto"/>
        </w:rPr>
        <w:t>砷、镉、铜、铅、汞、镍，其余指标低于检出限。与对照点重金属检出结果相比，未发现明显异常样品。与相应筛选值相比，重金属检出指标检测值均未超过《土壤环境质量建设用地土壤污染风险管控标准</w:t>
      </w:r>
      <w:r>
        <w:rPr>
          <w:rFonts w:hint="eastAsia"/>
          <w:color w:val="auto"/>
        </w:rPr>
        <w:t>（</w:t>
      </w:r>
      <w:r>
        <w:rPr>
          <w:color w:val="auto"/>
        </w:rPr>
        <w:t>试行</w:t>
      </w:r>
      <w:r>
        <w:rPr>
          <w:rFonts w:hint="eastAsia"/>
          <w:color w:val="auto"/>
        </w:rPr>
        <w:t>）</w:t>
      </w:r>
      <w:r>
        <w:rPr>
          <w:color w:val="auto"/>
        </w:rPr>
        <w:t>》</w:t>
      </w:r>
      <w:r>
        <w:rPr>
          <w:rFonts w:hint="eastAsia"/>
          <w:color w:val="auto"/>
        </w:rPr>
        <w:t>（</w:t>
      </w:r>
      <w:r>
        <w:rPr>
          <w:color w:val="auto"/>
        </w:rPr>
        <w:t>GB36600-2018</w:t>
      </w:r>
      <w:r>
        <w:rPr>
          <w:rFonts w:hint="eastAsia"/>
          <w:color w:val="auto"/>
        </w:rPr>
        <w:t>）</w:t>
      </w:r>
      <w:r>
        <w:rPr>
          <w:color w:val="auto"/>
        </w:rPr>
        <w:t>中第二类用地筛选值。</w:t>
      </w:r>
    </w:p>
    <w:p w14:paraId="0ACFE147">
      <w:pPr>
        <w:spacing w:line="460" w:lineRule="exact"/>
        <w:ind w:firstLine="480"/>
        <w:rPr>
          <w:color w:val="auto"/>
        </w:rPr>
      </w:pPr>
      <w:r>
        <w:rPr>
          <w:rFonts w:hint="eastAsia"/>
          <w:color w:val="auto"/>
        </w:rPr>
        <w:t>③</w:t>
      </w:r>
      <w:r>
        <w:rPr>
          <w:color w:val="auto"/>
        </w:rPr>
        <w:t>有机物</w:t>
      </w:r>
    </w:p>
    <w:p w14:paraId="46044CA3">
      <w:pPr>
        <w:spacing w:line="460" w:lineRule="exact"/>
        <w:ind w:firstLine="480"/>
        <w:rPr>
          <w:color w:val="auto"/>
        </w:rPr>
      </w:pPr>
      <w:r>
        <w:rPr>
          <w:color w:val="auto"/>
        </w:rPr>
        <w:t>地块内土壤样品中有机物指标检出石油烃</w:t>
      </w:r>
      <w:r>
        <w:rPr>
          <w:rFonts w:hint="eastAsia"/>
          <w:color w:val="auto"/>
        </w:rPr>
        <w:t>（</w:t>
      </w:r>
      <w:r>
        <w:rPr>
          <w:color w:val="auto"/>
        </w:rPr>
        <w:t>C</w:t>
      </w:r>
      <w:r>
        <w:rPr>
          <w:color w:val="auto"/>
          <w:vertAlign w:val="subscript"/>
        </w:rPr>
        <w:t>10</w:t>
      </w:r>
      <w:r>
        <w:rPr>
          <w:color w:val="auto"/>
        </w:rPr>
        <w:t>-C</w:t>
      </w:r>
      <w:r>
        <w:rPr>
          <w:color w:val="auto"/>
          <w:vertAlign w:val="subscript"/>
        </w:rPr>
        <w:t>40</w:t>
      </w:r>
      <w:r>
        <w:rPr>
          <w:rFonts w:hint="eastAsia"/>
          <w:color w:val="auto"/>
        </w:rPr>
        <w:t>）</w:t>
      </w:r>
      <w:r>
        <w:rPr>
          <w:color w:val="auto"/>
        </w:rPr>
        <w:t>，其余指标均低于检出限。与相应筛选值相比</w:t>
      </w:r>
      <w:r>
        <w:rPr>
          <w:rFonts w:hint="eastAsia"/>
          <w:color w:val="auto"/>
        </w:rPr>
        <w:t>：</w:t>
      </w:r>
      <w:r>
        <w:rPr>
          <w:color w:val="auto"/>
        </w:rPr>
        <w:t>调查地块内检出的石油烃</w:t>
      </w:r>
      <w:r>
        <w:rPr>
          <w:rFonts w:hint="eastAsia"/>
          <w:color w:val="auto"/>
        </w:rPr>
        <w:t>（</w:t>
      </w:r>
      <w:r>
        <w:rPr>
          <w:color w:val="auto"/>
        </w:rPr>
        <w:t>C</w:t>
      </w:r>
      <w:r>
        <w:rPr>
          <w:color w:val="auto"/>
          <w:vertAlign w:val="subscript"/>
        </w:rPr>
        <w:t>10</w:t>
      </w:r>
      <w:r>
        <w:rPr>
          <w:color w:val="auto"/>
        </w:rPr>
        <w:t>-C</w:t>
      </w:r>
      <w:r>
        <w:rPr>
          <w:color w:val="auto"/>
          <w:vertAlign w:val="subscript"/>
        </w:rPr>
        <w:t>40</w:t>
      </w:r>
      <w:r>
        <w:rPr>
          <w:rFonts w:hint="eastAsia"/>
          <w:color w:val="auto"/>
        </w:rPr>
        <w:t>）</w:t>
      </w:r>
      <w:r>
        <w:rPr>
          <w:color w:val="auto"/>
        </w:rPr>
        <w:t>指标检测值均未超过《土壤环境质量建设用地土壤污染风险管控标准</w:t>
      </w:r>
      <w:r>
        <w:rPr>
          <w:rFonts w:hint="eastAsia"/>
          <w:color w:val="auto"/>
        </w:rPr>
        <w:t>（</w:t>
      </w:r>
      <w:r>
        <w:rPr>
          <w:color w:val="auto"/>
        </w:rPr>
        <w:t>试行</w:t>
      </w:r>
      <w:r>
        <w:rPr>
          <w:rFonts w:hint="eastAsia"/>
          <w:color w:val="auto"/>
        </w:rPr>
        <w:t>）</w:t>
      </w:r>
      <w:r>
        <w:rPr>
          <w:color w:val="auto"/>
        </w:rPr>
        <w:t>》</w:t>
      </w:r>
      <w:r>
        <w:rPr>
          <w:rFonts w:hint="eastAsia"/>
          <w:color w:val="auto"/>
        </w:rPr>
        <w:t>（</w:t>
      </w:r>
      <w:r>
        <w:rPr>
          <w:color w:val="auto"/>
        </w:rPr>
        <w:t>GB36600-2018</w:t>
      </w:r>
      <w:r>
        <w:rPr>
          <w:rFonts w:hint="eastAsia"/>
          <w:color w:val="auto"/>
        </w:rPr>
        <w:t>）</w:t>
      </w:r>
      <w:r>
        <w:rPr>
          <w:color w:val="auto"/>
        </w:rPr>
        <w:t>中第二类用地筛选值。</w:t>
      </w:r>
    </w:p>
    <w:p w14:paraId="22534C48">
      <w:pPr>
        <w:spacing w:line="460" w:lineRule="exact"/>
        <w:ind w:firstLine="480"/>
        <w:rPr>
          <w:color w:val="auto"/>
        </w:rPr>
      </w:pPr>
      <w:r>
        <w:rPr>
          <w:rFonts w:hint="eastAsia"/>
          <w:color w:val="auto"/>
        </w:rPr>
        <w:t>将2025年度土壤自行监测结果与企业2023~2024年现有项目厂区内土壤监测数据进行分析比较，具体结果见表3.4-8。</w:t>
      </w:r>
    </w:p>
    <w:p w14:paraId="45778769">
      <w:pPr>
        <w:spacing w:line="240" w:lineRule="auto"/>
        <w:ind w:firstLine="0" w:firstLineChars="0"/>
        <w:jc w:val="center"/>
        <w:rPr>
          <w:b/>
          <w:color w:val="auto"/>
        </w:rPr>
      </w:pPr>
      <w:r>
        <w:rPr>
          <w:rFonts w:hint="eastAsia"/>
          <w:b/>
          <w:color w:val="auto"/>
        </w:rPr>
        <w:t>表3.4-8  现有项目厂区内土壤近三年自行监测点位指标年度对比分析一览表</w:t>
      </w:r>
    </w:p>
    <w:tbl>
      <w:tblPr>
        <w:tblStyle w:val="24"/>
        <w:tblW w:w="5027"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1735"/>
        <w:gridCol w:w="667"/>
        <w:gridCol w:w="801"/>
        <w:gridCol w:w="956"/>
        <w:gridCol w:w="1712"/>
        <w:gridCol w:w="1607"/>
        <w:gridCol w:w="1190"/>
        <w:gridCol w:w="1022"/>
      </w:tblGrid>
      <w:tr w14:paraId="1AD23C6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216" w:hRule="atLeast"/>
          <w:jc w:val="center"/>
        </w:trPr>
        <w:tc>
          <w:tcPr>
            <w:tcW w:w="895" w:type="pct"/>
            <w:vMerge w:val="restart"/>
            <w:tcBorders>
              <w:tl2br w:val="nil"/>
              <w:tr2bl w:val="nil"/>
            </w:tcBorders>
            <w:vAlign w:val="center"/>
          </w:tcPr>
          <w:p w14:paraId="42B05C1B">
            <w:pPr>
              <w:spacing w:line="240" w:lineRule="auto"/>
              <w:ind w:firstLine="0" w:firstLineChars="0"/>
              <w:jc w:val="center"/>
              <w:rPr>
                <w:b/>
                <w:bCs/>
                <w:color w:val="auto"/>
                <w:sz w:val="21"/>
                <w:szCs w:val="21"/>
              </w:rPr>
            </w:pPr>
            <w:r>
              <w:rPr>
                <w:b/>
                <w:bCs/>
                <w:color w:val="auto"/>
                <w:sz w:val="21"/>
                <w:szCs w:val="21"/>
              </w:rPr>
              <w:t>检测指标</w:t>
            </w:r>
          </w:p>
        </w:tc>
        <w:tc>
          <w:tcPr>
            <w:tcW w:w="344" w:type="pct"/>
            <w:vMerge w:val="restart"/>
            <w:tcBorders>
              <w:tl2br w:val="nil"/>
              <w:tr2bl w:val="nil"/>
            </w:tcBorders>
            <w:vAlign w:val="center"/>
          </w:tcPr>
          <w:p w14:paraId="02CA3FD2">
            <w:pPr>
              <w:spacing w:line="240" w:lineRule="auto"/>
              <w:ind w:firstLine="0" w:firstLineChars="0"/>
              <w:jc w:val="center"/>
              <w:rPr>
                <w:b/>
                <w:bCs/>
                <w:color w:val="auto"/>
                <w:sz w:val="21"/>
                <w:szCs w:val="21"/>
              </w:rPr>
            </w:pPr>
            <w:r>
              <w:rPr>
                <w:b/>
                <w:bCs/>
                <w:color w:val="auto"/>
                <w:sz w:val="21"/>
                <w:szCs w:val="21"/>
              </w:rPr>
              <w:t>单位</w:t>
            </w:r>
          </w:p>
        </w:tc>
        <w:tc>
          <w:tcPr>
            <w:tcW w:w="413" w:type="pct"/>
            <w:vMerge w:val="restart"/>
            <w:tcBorders>
              <w:tl2br w:val="nil"/>
              <w:tr2bl w:val="nil"/>
            </w:tcBorders>
            <w:vAlign w:val="center"/>
          </w:tcPr>
          <w:p w14:paraId="23FEFDC2">
            <w:pPr>
              <w:spacing w:line="240" w:lineRule="auto"/>
              <w:ind w:firstLine="0" w:firstLineChars="0"/>
              <w:jc w:val="center"/>
              <w:rPr>
                <w:b/>
                <w:bCs/>
                <w:color w:val="auto"/>
                <w:sz w:val="21"/>
                <w:szCs w:val="21"/>
              </w:rPr>
            </w:pPr>
            <w:r>
              <w:rPr>
                <w:b/>
                <w:bCs/>
                <w:color w:val="auto"/>
                <w:sz w:val="21"/>
                <w:szCs w:val="21"/>
              </w:rPr>
              <w:t>检出限</w:t>
            </w:r>
          </w:p>
        </w:tc>
        <w:tc>
          <w:tcPr>
            <w:tcW w:w="493" w:type="pct"/>
            <w:vMerge w:val="restart"/>
            <w:tcBorders>
              <w:tl2br w:val="nil"/>
              <w:tr2bl w:val="nil"/>
            </w:tcBorders>
            <w:vAlign w:val="center"/>
          </w:tcPr>
          <w:p w14:paraId="0859C43D">
            <w:pPr>
              <w:spacing w:line="240" w:lineRule="auto"/>
              <w:ind w:firstLine="0" w:firstLineChars="0"/>
              <w:jc w:val="center"/>
              <w:rPr>
                <w:b/>
                <w:bCs/>
                <w:color w:val="auto"/>
                <w:sz w:val="21"/>
                <w:szCs w:val="21"/>
              </w:rPr>
            </w:pPr>
            <w:r>
              <w:rPr>
                <w:b/>
                <w:bCs/>
                <w:color w:val="auto"/>
                <w:sz w:val="21"/>
                <w:szCs w:val="21"/>
              </w:rPr>
              <w:t>筛选值</w:t>
            </w:r>
          </w:p>
        </w:tc>
        <w:tc>
          <w:tcPr>
            <w:tcW w:w="2326" w:type="pct"/>
            <w:gridSpan w:val="3"/>
            <w:tcBorders>
              <w:tl2br w:val="nil"/>
              <w:tr2bl w:val="nil"/>
            </w:tcBorders>
            <w:vAlign w:val="center"/>
          </w:tcPr>
          <w:p w14:paraId="76CA0A95">
            <w:pPr>
              <w:spacing w:line="240" w:lineRule="auto"/>
              <w:ind w:firstLine="0" w:firstLineChars="0"/>
              <w:jc w:val="center"/>
              <w:rPr>
                <w:b/>
                <w:bCs/>
                <w:color w:val="auto"/>
                <w:sz w:val="21"/>
                <w:szCs w:val="21"/>
              </w:rPr>
            </w:pPr>
            <w:r>
              <w:rPr>
                <w:b/>
                <w:bCs/>
                <w:color w:val="auto"/>
                <w:sz w:val="21"/>
                <w:szCs w:val="21"/>
              </w:rPr>
              <w:t>地块内浓度范围</w:t>
            </w:r>
          </w:p>
        </w:tc>
        <w:tc>
          <w:tcPr>
            <w:tcW w:w="527" w:type="pct"/>
            <w:vMerge w:val="restart"/>
            <w:tcBorders>
              <w:tl2br w:val="nil"/>
              <w:tr2bl w:val="nil"/>
            </w:tcBorders>
            <w:vAlign w:val="center"/>
          </w:tcPr>
          <w:p w14:paraId="4004FFB3">
            <w:pPr>
              <w:spacing w:line="240" w:lineRule="auto"/>
              <w:ind w:firstLine="0" w:firstLineChars="0"/>
              <w:jc w:val="center"/>
              <w:rPr>
                <w:b/>
                <w:bCs/>
                <w:color w:val="auto"/>
                <w:sz w:val="21"/>
                <w:szCs w:val="21"/>
              </w:rPr>
            </w:pPr>
            <w:r>
              <w:rPr>
                <w:b/>
                <w:bCs/>
                <w:color w:val="auto"/>
                <w:sz w:val="21"/>
                <w:szCs w:val="21"/>
              </w:rPr>
              <w:t>评价结果</w:t>
            </w:r>
          </w:p>
        </w:tc>
      </w:tr>
      <w:tr w14:paraId="7E09787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111" w:hRule="atLeast"/>
          <w:jc w:val="center"/>
        </w:trPr>
        <w:tc>
          <w:tcPr>
            <w:tcW w:w="895" w:type="pct"/>
            <w:vMerge w:val="continue"/>
            <w:tcBorders>
              <w:tl2br w:val="nil"/>
              <w:tr2bl w:val="nil"/>
            </w:tcBorders>
            <w:vAlign w:val="center"/>
          </w:tcPr>
          <w:p w14:paraId="0E636AF3">
            <w:pPr>
              <w:spacing w:line="240" w:lineRule="auto"/>
              <w:ind w:firstLine="0" w:firstLineChars="0"/>
              <w:jc w:val="center"/>
              <w:rPr>
                <w:color w:val="auto"/>
                <w:sz w:val="21"/>
                <w:szCs w:val="21"/>
              </w:rPr>
            </w:pPr>
          </w:p>
        </w:tc>
        <w:tc>
          <w:tcPr>
            <w:tcW w:w="344" w:type="pct"/>
            <w:vMerge w:val="continue"/>
            <w:tcBorders>
              <w:tl2br w:val="nil"/>
              <w:tr2bl w:val="nil"/>
            </w:tcBorders>
            <w:vAlign w:val="center"/>
          </w:tcPr>
          <w:p w14:paraId="170A9C9C">
            <w:pPr>
              <w:spacing w:line="240" w:lineRule="auto"/>
              <w:ind w:firstLine="0" w:firstLineChars="0"/>
              <w:jc w:val="center"/>
              <w:rPr>
                <w:color w:val="auto"/>
                <w:sz w:val="21"/>
                <w:szCs w:val="21"/>
              </w:rPr>
            </w:pPr>
          </w:p>
        </w:tc>
        <w:tc>
          <w:tcPr>
            <w:tcW w:w="413" w:type="pct"/>
            <w:vMerge w:val="continue"/>
            <w:tcBorders>
              <w:tl2br w:val="nil"/>
              <w:tr2bl w:val="nil"/>
            </w:tcBorders>
            <w:vAlign w:val="center"/>
          </w:tcPr>
          <w:p w14:paraId="0D26C638">
            <w:pPr>
              <w:spacing w:line="240" w:lineRule="auto"/>
              <w:ind w:firstLine="0" w:firstLineChars="0"/>
              <w:jc w:val="center"/>
              <w:rPr>
                <w:color w:val="auto"/>
                <w:sz w:val="21"/>
                <w:szCs w:val="21"/>
              </w:rPr>
            </w:pPr>
          </w:p>
        </w:tc>
        <w:tc>
          <w:tcPr>
            <w:tcW w:w="493" w:type="pct"/>
            <w:vMerge w:val="continue"/>
            <w:tcBorders>
              <w:tl2br w:val="nil"/>
              <w:tr2bl w:val="nil"/>
            </w:tcBorders>
            <w:vAlign w:val="center"/>
          </w:tcPr>
          <w:p w14:paraId="238F1901">
            <w:pPr>
              <w:spacing w:line="240" w:lineRule="auto"/>
              <w:ind w:firstLine="0" w:firstLineChars="0"/>
              <w:jc w:val="center"/>
              <w:rPr>
                <w:color w:val="auto"/>
                <w:sz w:val="21"/>
                <w:szCs w:val="21"/>
              </w:rPr>
            </w:pPr>
          </w:p>
        </w:tc>
        <w:tc>
          <w:tcPr>
            <w:tcW w:w="883" w:type="pct"/>
            <w:tcBorders>
              <w:tl2br w:val="nil"/>
              <w:tr2bl w:val="nil"/>
            </w:tcBorders>
            <w:vAlign w:val="center"/>
          </w:tcPr>
          <w:p w14:paraId="43BEF9DB">
            <w:pPr>
              <w:spacing w:line="240" w:lineRule="auto"/>
              <w:ind w:firstLine="0" w:firstLineChars="0"/>
              <w:jc w:val="center"/>
              <w:rPr>
                <w:b/>
                <w:bCs/>
                <w:color w:val="auto"/>
                <w:sz w:val="21"/>
                <w:szCs w:val="21"/>
              </w:rPr>
            </w:pPr>
            <w:r>
              <w:rPr>
                <w:b/>
                <w:bCs/>
                <w:color w:val="auto"/>
                <w:sz w:val="21"/>
                <w:szCs w:val="21"/>
              </w:rPr>
              <w:t>202</w:t>
            </w:r>
            <w:r>
              <w:rPr>
                <w:rFonts w:hint="eastAsia"/>
                <w:b/>
                <w:bCs/>
                <w:color w:val="auto"/>
                <w:sz w:val="21"/>
                <w:szCs w:val="21"/>
              </w:rPr>
              <w:t>3</w:t>
            </w:r>
            <w:r>
              <w:rPr>
                <w:b/>
                <w:bCs/>
                <w:color w:val="auto"/>
                <w:sz w:val="21"/>
                <w:szCs w:val="21"/>
              </w:rPr>
              <w:t>年</w:t>
            </w:r>
          </w:p>
        </w:tc>
        <w:tc>
          <w:tcPr>
            <w:tcW w:w="829" w:type="pct"/>
            <w:tcBorders>
              <w:tl2br w:val="nil"/>
              <w:tr2bl w:val="nil"/>
            </w:tcBorders>
            <w:vAlign w:val="center"/>
          </w:tcPr>
          <w:p w14:paraId="10840CC5">
            <w:pPr>
              <w:spacing w:line="240" w:lineRule="auto"/>
              <w:ind w:firstLine="0" w:firstLineChars="0"/>
              <w:jc w:val="center"/>
              <w:rPr>
                <w:b/>
                <w:bCs/>
                <w:color w:val="auto"/>
                <w:sz w:val="21"/>
                <w:szCs w:val="21"/>
              </w:rPr>
            </w:pPr>
            <w:r>
              <w:rPr>
                <w:b/>
                <w:bCs/>
                <w:color w:val="auto"/>
                <w:sz w:val="21"/>
                <w:szCs w:val="21"/>
              </w:rPr>
              <w:t>202</w:t>
            </w:r>
            <w:r>
              <w:rPr>
                <w:rFonts w:hint="eastAsia"/>
                <w:b/>
                <w:bCs/>
                <w:color w:val="auto"/>
                <w:sz w:val="21"/>
                <w:szCs w:val="21"/>
              </w:rPr>
              <w:t>4</w:t>
            </w:r>
            <w:r>
              <w:rPr>
                <w:b/>
                <w:bCs/>
                <w:color w:val="auto"/>
                <w:sz w:val="21"/>
                <w:szCs w:val="21"/>
              </w:rPr>
              <w:t>年</w:t>
            </w:r>
          </w:p>
        </w:tc>
        <w:tc>
          <w:tcPr>
            <w:tcW w:w="613" w:type="pct"/>
            <w:tcBorders>
              <w:tl2br w:val="nil"/>
              <w:tr2bl w:val="nil"/>
            </w:tcBorders>
            <w:vAlign w:val="center"/>
          </w:tcPr>
          <w:p w14:paraId="34EA9C9C">
            <w:pPr>
              <w:spacing w:line="240" w:lineRule="auto"/>
              <w:ind w:firstLine="0" w:firstLineChars="0"/>
              <w:jc w:val="center"/>
              <w:rPr>
                <w:b/>
                <w:bCs/>
                <w:color w:val="auto"/>
                <w:sz w:val="21"/>
                <w:szCs w:val="21"/>
              </w:rPr>
            </w:pPr>
            <w:r>
              <w:rPr>
                <w:b/>
                <w:bCs/>
                <w:color w:val="auto"/>
                <w:sz w:val="21"/>
                <w:szCs w:val="21"/>
              </w:rPr>
              <w:t>202</w:t>
            </w:r>
            <w:r>
              <w:rPr>
                <w:rFonts w:hint="eastAsia"/>
                <w:b/>
                <w:bCs/>
                <w:color w:val="auto"/>
                <w:sz w:val="21"/>
                <w:szCs w:val="21"/>
              </w:rPr>
              <w:t>5</w:t>
            </w:r>
            <w:r>
              <w:rPr>
                <w:b/>
                <w:bCs/>
                <w:color w:val="auto"/>
                <w:sz w:val="21"/>
                <w:szCs w:val="21"/>
              </w:rPr>
              <w:t>年</w:t>
            </w:r>
          </w:p>
        </w:tc>
        <w:tc>
          <w:tcPr>
            <w:tcW w:w="527" w:type="pct"/>
            <w:vMerge w:val="continue"/>
            <w:tcBorders>
              <w:tl2br w:val="nil"/>
              <w:tr2bl w:val="nil"/>
            </w:tcBorders>
            <w:vAlign w:val="center"/>
          </w:tcPr>
          <w:p w14:paraId="2786EB9C">
            <w:pPr>
              <w:spacing w:line="240" w:lineRule="auto"/>
              <w:ind w:firstLine="0" w:firstLineChars="0"/>
              <w:jc w:val="center"/>
              <w:rPr>
                <w:color w:val="auto"/>
                <w:sz w:val="21"/>
                <w:szCs w:val="21"/>
              </w:rPr>
            </w:pPr>
          </w:p>
        </w:tc>
      </w:tr>
      <w:tr w14:paraId="4A26A70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4C5F614B">
            <w:pPr>
              <w:spacing w:line="240" w:lineRule="auto"/>
              <w:ind w:firstLine="0" w:firstLineChars="0"/>
              <w:jc w:val="center"/>
              <w:rPr>
                <w:bCs/>
                <w:color w:val="auto"/>
                <w:sz w:val="21"/>
                <w:szCs w:val="21"/>
              </w:rPr>
            </w:pPr>
            <w:r>
              <w:rPr>
                <w:color w:val="auto"/>
                <w:sz w:val="21"/>
                <w:szCs w:val="21"/>
              </w:rPr>
              <w:t>砷</w:t>
            </w:r>
          </w:p>
        </w:tc>
        <w:tc>
          <w:tcPr>
            <w:tcW w:w="344" w:type="pct"/>
            <w:tcBorders>
              <w:tl2br w:val="nil"/>
              <w:tr2bl w:val="nil"/>
            </w:tcBorders>
          </w:tcPr>
          <w:p w14:paraId="02246207">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48D1499C">
            <w:pPr>
              <w:spacing w:line="240" w:lineRule="auto"/>
              <w:ind w:firstLine="0" w:firstLineChars="0"/>
              <w:jc w:val="center"/>
              <w:rPr>
                <w:bCs/>
                <w:color w:val="auto"/>
                <w:sz w:val="21"/>
                <w:szCs w:val="21"/>
              </w:rPr>
            </w:pPr>
            <w:r>
              <w:rPr>
                <w:color w:val="auto"/>
                <w:sz w:val="21"/>
                <w:szCs w:val="21"/>
              </w:rPr>
              <w:t>0.01</w:t>
            </w:r>
          </w:p>
        </w:tc>
        <w:tc>
          <w:tcPr>
            <w:tcW w:w="493" w:type="pct"/>
            <w:tcBorders>
              <w:tl2br w:val="nil"/>
              <w:tr2bl w:val="nil"/>
            </w:tcBorders>
          </w:tcPr>
          <w:p w14:paraId="2001BFD1">
            <w:pPr>
              <w:spacing w:line="240" w:lineRule="auto"/>
              <w:ind w:firstLine="0" w:firstLineChars="0"/>
              <w:jc w:val="center"/>
              <w:rPr>
                <w:bCs/>
                <w:color w:val="auto"/>
                <w:sz w:val="21"/>
                <w:szCs w:val="21"/>
              </w:rPr>
            </w:pPr>
            <w:r>
              <w:rPr>
                <w:color w:val="auto"/>
                <w:sz w:val="21"/>
                <w:szCs w:val="21"/>
              </w:rPr>
              <w:t>60</w:t>
            </w:r>
          </w:p>
        </w:tc>
        <w:tc>
          <w:tcPr>
            <w:tcW w:w="883" w:type="pct"/>
            <w:tcBorders>
              <w:tl2br w:val="nil"/>
              <w:tr2bl w:val="nil"/>
            </w:tcBorders>
            <w:vAlign w:val="center"/>
          </w:tcPr>
          <w:p w14:paraId="7E286CBE">
            <w:pPr>
              <w:spacing w:line="240" w:lineRule="auto"/>
              <w:ind w:firstLine="0" w:firstLineChars="0"/>
              <w:jc w:val="center"/>
              <w:rPr>
                <w:bCs/>
                <w:color w:val="auto"/>
                <w:sz w:val="21"/>
                <w:szCs w:val="21"/>
              </w:rPr>
            </w:pPr>
            <w:r>
              <w:rPr>
                <w:color w:val="auto"/>
                <w:sz w:val="21"/>
                <w:szCs w:val="21"/>
              </w:rPr>
              <w:t>2.09</w:t>
            </w:r>
            <w:r>
              <w:rPr>
                <w:rFonts w:hint="eastAsia"/>
                <w:color w:val="auto"/>
                <w:sz w:val="21"/>
                <w:szCs w:val="21"/>
              </w:rPr>
              <w:t>~</w:t>
            </w:r>
            <w:r>
              <w:rPr>
                <w:color w:val="auto"/>
                <w:sz w:val="21"/>
                <w:szCs w:val="21"/>
              </w:rPr>
              <w:t>8.25</w:t>
            </w:r>
          </w:p>
        </w:tc>
        <w:tc>
          <w:tcPr>
            <w:tcW w:w="829" w:type="pct"/>
            <w:tcBorders>
              <w:tl2br w:val="nil"/>
              <w:tr2bl w:val="nil"/>
            </w:tcBorders>
            <w:vAlign w:val="center"/>
          </w:tcPr>
          <w:p w14:paraId="6FE0C196">
            <w:pPr>
              <w:spacing w:line="240" w:lineRule="auto"/>
              <w:ind w:firstLine="0" w:firstLineChars="0"/>
              <w:jc w:val="center"/>
              <w:rPr>
                <w:bCs/>
                <w:color w:val="auto"/>
                <w:sz w:val="21"/>
                <w:szCs w:val="21"/>
              </w:rPr>
            </w:pPr>
            <w:r>
              <w:rPr>
                <w:color w:val="auto"/>
                <w:sz w:val="21"/>
                <w:szCs w:val="21"/>
              </w:rPr>
              <w:t>8.25</w:t>
            </w:r>
            <w:r>
              <w:rPr>
                <w:rFonts w:hint="eastAsia"/>
                <w:color w:val="auto"/>
                <w:sz w:val="21"/>
                <w:szCs w:val="21"/>
              </w:rPr>
              <w:t>~</w:t>
            </w:r>
            <w:r>
              <w:rPr>
                <w:color w:val="auto"/>
                <w:sz w:val="21"/>
                <w:szCs w:val="21"/>
              </w:rPr>
              <w:t>9.85</w:t>
            </w:r>
          </w:p>
        </w:tc>
        <w:tc>
          <w:tcPr>
            <w:tcW w:w="613" w:type="pct"/>
            <w:tcBorders>
              <w:tl2br w:val="nil"/>
              <w:tr2bl w:val="nil"/>
            </w:tcBorders>
            <w:vAlign w:val="center"/>
          </w:tcPr>
          <w:p w14:paraId="1C6F8E68">
            <w:pPr>
              <w:spacing w:line="240" w:lineRule="auto"/>
              <w:ind w:firstLine="0" w:firstLineChars="0"/>
              <w:jc w:val="center"/>
              <w:rPr>
                <w:bCs/>
                <w:color w:val="auto"/>
                <w:sz w:val="21"/>
                <w:szCs w:val="21"/>
              </w:rPr>
            </w:pPr>
            <w:r>
              <w:rPr>
                <w:rFonts w:hint="eastAsia"/>
                <w:bCs/>
                <w:color w:val="auto"/>
                <w:sz w:val="21"/>
                <w:szCs w:val="21"/>
              </w:rPr>
              <w:t>4.23~13.6</w:t>
            </w:r>
          </w:p>
        </w:tc>
        <w:tc>
          <w:tcPr>
            <w:tcW w:w="527" w:type="pct"/>
            <w:tcBorders>
              <w:tl2br w:val="nil"/>
              <w:tr2bl w:val="nil"/>
            </w:tcBorders>
            <w:vAlign w:val="center"/>
          </w:tcPr>
          <w:p w14:paraId="7EB6E972">
            <w:pPr>
              <w:spacing w:line="240" w:lineRule="auto"/>
              <w:ind w:firstLine="0" w:firstLineChars="0"/>
              <w:jc w:val="center"/>
              <w:rPr>
                <w:bCs/>
                <w:color w:val="auto"/>
                <w:sz w:val="21"/>
                <w:szCs w:val="21"/>
              </w:rPr>
            </w:pPr>
            <w:r>
              <w:rPr>
                <w:color w:val="auto"/>
                <w:sz w:val="21"/>
                <w:szCs w:val="21"/>
              </w:rPr>
              <w:t>-</w:t>
            </w:r>
          </w:p>
        </w:tc>
      </w:tr>
      <w:tr w14:paraId="300DE79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47E3D2F9">
            <w:pPr>
              <w:spacing w:line="240" w:lineRule="auto"/>
              <w:ind w:firstLine="0" w:firstLineChars="0"/>
              <w:jc w:val="center"/>
              <w:rPr>
                <w:color w:val="auto"/>
                <w:sz w:val="21"/>
              </w:rPr>
            </w:pPr>
            <w:r>
              <w:rPr>
                <w:color w:val="auto"/>
                <w:sz w:val="21"/>
                <w:szCs w:val="21"/>
              </w:rPr>
              <w:t>镉</w:t>
            </w:r>
          </w:p>
        </w:tc>
        <w:tc>
          <w:tcPr>
            <w:tcW w:w="344" w:type="pct"/>
            <w:tcBorders>
              <w:tl2br w:val="nil"/>
              <w:tr2bl w:val="nil"/>
            </w:tcBorders>
          </w:tcPr>
          <w:p w14:paraId="0A218336">
            <w:pPr>
              <w:spacing w:line="240" w:lineRule="auto"/>
              <w:ind w:firstLine="0" w:firstLineChars="0"/>
              <w:jc w:val="center"/>
              <w:rPr>
                <w:color w:val="auto"/>
                <w:sz w:val="21"/>
              </w:rPr>
            </w:pPr>
            <w:r>
              <w:rPr>
                <w:color w:val="auto"/>
                <w:sz w:val="21"/>
                <w:szCs w:val="21"/>
              </w:rPr>
              <w:t>mg/kg</w:t>
            </w:r>
          </w:p>
        </w:tc>
        <w:tc>
          <w:tcPr>
            <w:tcW w:w="413" w:type="pct"/>
            <w:tcBorders>
              <w:tl2br w:val="nil"/>
              <w:tr2bl w:val="nil"/>
            </w:tcBorders>
          </w:tcPr>
          <w:p w14:paraId="42B35F8C">
            <w:pPr>
              <w:spacing w:line="240" w:lineRule="auto"/>
              <w:ind w:firstLine="0" w:firstLineChars="0"/>
              <w:jc w:val="center"/>
              <w:rPr>
                <w:color w:val="auto"/>
                <w:sz w:val="21"/>
              </w:rPr>
            </w:pPr>
            <w:r>
              <w:rPr>
                <w:color w:val="auto"/>
                <w:sz w:val="21"/>
                <w:szCs w:val="21"/>
              </w:rPr>
              <w:t>0.01</w:t>
            </w:r>
          </w:p>
        </w:tc>
        <w:tc>
          <w:tcPr>
            <w:tcW w:w="493" w:type="pct"/>
            <w:tcBorders>
              <w:tl2br w:val="nil"/>
              <w:tr2bl w:val="nil"/>
            </w:tcBorders>
          </w:tcPr>
          <w:p w14:paraId="766548C9">
            <w:pPr>
              <w:spacing w:line="240" w:lineRule="auto"/>
              <w:ind w:firstLine="0" w:firstLineChars="0"/>
              <w:jc w:val="center"/>
              <w:rPr>
                <w:color w:val="auto"/>
                <w:sz w:val="21"/>
                <w:szCs w:val="21"/>
              </w:rPr>
            </w:pPr>
            <w:r>
              <w:rPr>
                <w:color w:val="auto"/>
                <w:sz w:val="21"/>
                <w:szCs w:val="21"/>
              </w:rPr>
              <w:t>65</w:t>
            </w:r>
          </w:p>
        </w:tc>
        <w:tc>
          <w:tcPr>
            <w:tcW w:w="883" w:type="pct"/>
            <w:tcBorders>
              <w:tl2br w:val="nil"/>
              <w:tr2bl w:val="nil"/>
            </w:tcBorders>
            <w:vAlign w:val="center"/>
          </w:tcPr>
          <w:p w14:paraId="26A63970">
            <w:pPr>
              <w:spacing w:line="240" w:lineRule="auto"/>
              <w:ind w:firstLine="0" w:firstLineChars="0"/>
              <w:jc w:val="center"/>
              <w:rPr>
                <w:bCs/>
                <w:color w:val="auto"/>
                <w:sz w:val="21"/>
                <w:szCs w:val="21"/>
              </w:rPr>
            </w:pPr>
            <w:r>
              <w:rPr>
                <w:color w:val="auto"/>
                <w:sz w:val="21"/>
                <w:szCs w:val="21"/>
              </w:rPr>
              <w:t>0.03</w:t>
            </w:r>
            <w:r>
              <w:rPr>
                <w:rFonts w:hint="eastAsia"/>
                <w:color w:val="auto"/>
                <w:sz w:val="21"/>
                <w:szCs w:val="21"/>
              </w:rPr>
              <w:t>~</w:t>
            </w:r>
            <w:r>
              <w:rPr>
                <w:color w:val="auto"/>
                <w:sz w:val="21"/>
                <w:szCs w:val="21"/>
              </w:rPr>
              <w:t>0.30</w:t>
            </w:r>
          </w:p>
        </w:tc>
        <w:tc>
          <w:tcPr>
            <w:tcW w:w="829" w:type="pct"/>
            <w:tcBorders>
              <w:tl2br w:val="nil"/>
              <w:tr2bl w:val="nil"/>
            </w:tcBorders>
            <w:vAlign w:val="center"/>
          </w:tcPr>
          <w:p w14:paraId="51F63F40">
            <w:pPr>
              <w:spacing w:line="240" w:lineRule="auto"/>
              <w:ind w:firstLine="0" w:firstLineChars="0"/>
              <w:jc w:val="center"/>
              <w:rPr>
                <w:bCs/>
                <w:color w:val="auto"/>
                <w:sz w:val="21"/>
                <w:szCs w:val="21"/>
              </w:rPr>
            </w:pPr>
            <w:r>
              <w:rPr>
                <w:color w:val="auto"/>
                <w:sz w:val="21"/>
                <w:szCs w:val="21"/>
              </w:rPr>
              <w:t>2.32</w:t>
            </w:r>
            <w:r>
              <w:rPr>
                <w:rFonts w:hint="eastAsia"/>
                <w:color w:val="auto"/>
                <w:sz w:val="21"/>
                <w:szCs w:val="21"/>
              </w:rPr>
              <w:t>~</w:t>
            </w:r>
            <w:r>
              <w:rPr>
                <w:color w:val="auto"/>
                <w:sz w:val="21"/>
                <w:szCs w:val="21"/>
              </w:rPr>
              <w:t>9.04</w:t>
            </w:r>
          </w:p>
        </w:tc>
        <w:tc>
          <w:tcPr>
            <w:tcW w:w="613" w:type="pct"/>
            <w:tcBorders>
              <w:tl2br w:val="nil"/>
              <w:tr2bl w:val="nil"/>
            </w:tcBorders>
            <w:vAlign w:val="center"/>
          </w:tcPr>
          <w:p w14:paraId="6EE5519D">
            <w:pPr>
              <w:spacing w:line="240" w:lineRule="auto"/>
              <w:ind w:firstLine="0" w:firstLineChars="0"/>
              <w:jc w:val="center"/>
              <w:rPr>
                <w:bCs/>
                <w:color w:val="auto"/>
                <w:sz w:val="21"/>
                <w:szCs w:val="21"/>
              </w:rPr>
            </w:pPr>
            <w:r>
              <w:rPr>
                <w:rFonts w:hint="eastAsia"/>
                <w:bCs/>
                <w:color w:val="auto"/>
                <w:sz w:val="21"/>
                <w:szCs w:val="21"/>
              </w:rPr>
              <w:t>0.12~0.50</w:t>
            </w:r>
          </w:p>
        </w:tc>
        <w:tc>
          <w:tcPr>
            <w:tcW w:w="527" w:type="pct"/>
            <w:tcBorders>
              <w:tl2br w:val="nil"/>
              <w:tr2bl w:val="nil"/>
            </w:tcBorders>
            <w:vAlign w:val="center"/>
          </w:tcPr>
          <w:p w14:paraId="6E78EC4B">
            <w:pPr>
              <w:spacing w:line="240" w:lineRule="auto"/>
              <w:ind w:firstLine="0" w:firstLineChars="0"/>
              <w:jc w:val="center"/>
              <w:rPr>
                <w:bCs/>
                <w:color w:val="auto"/>
                <w:sz w:val="21"/>
                <w:szCs w:val="21"/>
              </w:rPr>
            </w:pPr>
            <w:r>
              <w:rPr>
                <w:color w:val="auto"/>
                <w:sz w:val="21"/>
                <w:szCs w:val="21"/>
              </w:rPr>
              <w:t>达标</w:t>
            </w:r>
          </w:p>
        </w:tc>
      </w:tr>
      <w:tr w14:paraId="1C4336A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207B614E">
            <w:pPr>
              <w:spacing w:line="240" w:lineRule="auto"/>
              <w:ind w:firstLine="0" w:firstLineChars="0"/>
              <w:jc w:val="center"/>
              <w:rPr>
                <w:color w:val="auto"/>
                <w:sz w:val="21"/>
              </w:rPr>
            </w:pPr>
            <w:r>
              <w:rPr>
                <w:color w:val="auto"/>
                <w:sz w:val="21"/>
                <w:szCs w:val="21"/>
              </w:rPr>
              <w:t>铜</w:t>
            </w:r>
          </w:p>
        </w:tc>
        <w:tc>
          <w:tcPr>
            <w:tcW w:w="344" w:type="pct"/>
            <w:tcBorders>
              <w:tl2br w:val="nil"/>
              <w:tr2bl w:val="nil"/>
            </w:tcBorders>
          </w:tcPr>
          <w:p w14:paraId="3850BD0F">
            <w:pPr>
              <w:spacing w:line="240" w:lineRule="auto"/>
              <w:ind w:firstLine="0" w:firstLineChars="0"/>
              <w:jc w:val="center"/>
              <w:rPr>
                <w:color w:val="auto"/>
                <w:sz w:val="21"/>
              </w:rPr>
            </w:pPr>
            <w:r>
              <w:rPr>
                <w:color w:val="auto"/>
                <w:sz w:val="21"/>
                <w:szCs w:val="21"/>
              </w:rPr>
              <w:t>mg/kg</w:t>
            </w:r>
          </w:p>
        </w:tc>
        <w:tc>
          <w:tcPr>
            <w:tcW w:w="413" w:type="pct"/>
            <w:tcBorders>
              <w:tl2br w:val="nil"/>
              <w:tr2bl w:val="nil"/>
            </w:tcBorders>
          </w:tcPr>
          <w:p w14:paraId="0C71CC7B">
            <w:pPr>
              <w:spacing w:line="240" w:lineRule="auto"/>
              <w:ind w:firstLine="0" w:firstLineChars="0"/>
              <w:jc w:val="center"/>
              <w:rPr>
                <w:color w:val="auto"/>
                <w:sz w:val="21"/>
              </w:rPr>
            </w:pPr>
            <w:r>
              <w:rPr>
                <w:color w:val="auto"/>
                <w:sz w:val="21"/>
                <w:szCs w:val="21"/>
              </w:rPr>
              <w:t>1</w:t>
            </w:r>
          </w:p>
        </w:tc>
        <w:tc>
          <w:tcPr>
            <w:tcW w:w="493" w:type="pct"/>
            <w:tcBorders>
              <w:tl2br w:val="nil"/>
              <w:tr2bl w:val="nil"/>
            </w:tcBorders>
          </w:tcPr>
          <w:p w14:paraId="04BE50F8">
            <w:pPr>
              <w:spacing w:line="240" w:lineRule="auto"/>
              <w:ind w:firstLine="0" w:firstLineChars="0"/>
              <w:jc w:val="center"/>
              <w:rPr>
                <w:color w:val="auto"/>
                <w:sz w:val="21"/>
                <w:szCs w:val="21"/>
              </w:rPr>
            </w:pPr>
            <w:r>
              <w:rPr>
                <w:color w:val="auto"/>
                <w:sz w:val="21"/>
                <w:szCs w:val="21"/>
              </w:rPr>
              <w:t>18000</w:t>
            </w:r>
          </w:p>
        </w:tc>
        <w:tc>
          <w:tcPr>
            <w:tcW w:w="883" w:type="pct"/>
            <w:tcBorders>
              <w:tl2br w:val="nil"/>
              <w:tr2bl w:val="nil"/>
            </w:tcBorders>
            <w:vAlign w:val="center"/>
          </w:tcPr>
          <w:p w14:paraId="1434FC1C">
            <w:pPr>
              <w:spacing w:line="240" w:lineRule="auto"/>
              <w:ind w:firstLine="0" w:firstLineChars="0"/>
              <w:jc w:val="center"/>
              <w:rPr>
                <w:bCs/>
                <w:color w:val="auto"/>
                <w:sz w:val="21"/>
                <w:szCs w:val="21"/>
              </w:rPr>
            </w:pPr>
            <w:r>
              <w:rPr>
                <w:color w:val="auto"/>
                <w:sz w:val="21"/>
                <w:szCs w:val="21"/>
              </w:rPr>
              <w:t>14</w:t>
            </w:r>
            <w:r>
              <w:rPr>
                <w:rFonts w:hint="eastAsia"/>
                <w:color w:val="auto"/>
                <w:sz w:val="21"/>
                <w:szCs w:val="21"/>
              </w:rPr>
              <w:t>~</w:t>
            </w:r>
            <w:r>
              <w:rPr>
                <w:color w:val="auto"/>
                <w:sz w:val="21"/>
                <w:szCs w:val="21"/>
              </w:rPr>
              <w:t>39</w:t>
            </w:r>
          </w:p>
        </w:tc>
        <w:tc>
          <w:tcPr>
            <w:tcW w:w="829" w:type="pct"/>
            <w:tcBorders>
              <w:tl2br w:val="nil"/>
              <w:tr2bl w:val="nil"/>
            </w:tcBorders>
            <w:vAlign w:val="center"/>
          </w:tcPr>
          <w:p w14:paraId="4FB8729F">
            <w:pPr>
              <w:spacing w:line="240" w:lineRule="auto"/>
              <w:ind w:firstLine="0" w:firstLineChars="0"/>
              <w:jc w:val="center"/>
              <w:rPr>
                <w:bCs/>
                <w:color w:val="auto"/>
                <w:sz w:val="21"/>
                <w:szCs w:val="21"/>
              </w:rPr>
            </w:pPr>
            <w:r>
              <w:rPr>
                <w:color w:val="auto"/>
                <w:sz w:val="21"/>
                <w:szCs w:val="21"/>
              </w:rPr>
              <w:t>0.05</w:t>
            </w:r>
            <w:r>
              <w:rPr>
                <w:rFonts w:hint="eastAsia"/>
                <w:color w:val="auto"/>
                <w:sz w:val="21"/>
                <w:szCs w:val="21"/>
              </w:rPr>
              <w:t>~</w:t>
            </w:r>
            <w:r>
              <w:rPr>
                <w:color w:val="auto"/>
                <w:sz w:val="21"/>
                <w:szCs w:val="21"/>
              </w:rPr>
              <w:t>0.51</w:t>
            </w:r>
          </w:p>
        </w:tc>
        <w:tc>
          <w:tcPr>
            <w:tcW w:w="613" w:type="pct"/>
            <w:tcBorders>
              <w:tl2br w:val="nil"/>
              <w:tr2bl w:val="nil"/>
            </w:tcBorders>
            <w:vAlign w:val="center"/>
          </w:tcPr>
          <w:p w14:paraId="72121D4B">
            <w:pPr>
              <w:spacing w:line="240" w:lineRule="auto"/>
              <w:ind w:firstLine="0" w:firstLineChars="0"/>
              <w:jc w:val="center"/>
              <w:rPr>
                <w:bCs/>
                <w:color w:val="auto"/>
                <w:sz w:val="21"/>
                <w:szCs w:val="21"/>
              </w:rPr>
            </w:pPr>
            <w:r>
              <w:rPr>
                <w:rFonts w:hint="eastAsia"/>
                <w:bCs/>
                <w:color w:val="auto"/>
                <w:sz w:val="21"/>
                <w:szCs w:val="21"/>
              </w:rPr>
              <w:t>4~37</w:t>
            </w:r>
          </w:p>
        </w:tc>
        <w:tc>
          <w:tcPr>
            <w:tcW w:w="527" w:type="pct"/>
            <w:tcBorders>
              <w:tl2br w:val="nil"/>
              <w:tr2bl w:val="nil"/>
            </w:tcBorders>
            <w:vAlign w:val="center"/>
          </w:tcPr>
          <w:p w14:paraId="3BFAB6CA">
            <w:pPr>
              <w:spacing w:line="240" w:lineRule="auto"/>
              <w:ind w:firstLine="0" w:firstLineChars="0"/>
              <w:jc w:val="center"/>
              <w:rPr>
                <w:bCs/>
                <w:color w:val="auto"/>
                <w:sz w:val="21"/>
                <w:szCs w:val="21"/>
              </w:rPr>
            </w:pPr>
            <w:r>
              <w:rPr>
                <w:color w:val="auto"/>
                <w:sz w:val="21"/>
                <w:szCs w:val="21"/>
              </w:rPr>
              <w:t>达标</w:t>
            </w:r>
          </w:p>
        </w:tc>
      </w:tr>
      <w:tr w14:paraId="57957EE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599390C2">
            <w:pPr>
              <w:spacing w:line="240" w:lineRule="auto"/>
              <w:ind w:firstLine="0" w:firstLineChars="0"/>
              <w:jc w:val="center"/>
              <w:rPr>
                <w:color w:val="auto"/>
                <w:sz w:val="21"/>
              </w:rPr>
            </w:pPr>
            <w:r>
              <w:rPr>
                <w:color w:val="auto"/>
                <w:sz w:val="21"/>
                <w:szCs w:val="21"/>
              </w:rPr>
              <w:t>铅</w:t>
            </w:r>
          </w:p>
        </w:tc>
        <w:tc>
          <w:tcPr>
            <w:tcW w:w="344" w:type="pct"/>
            <w:tcBorders>
              <w:tl2br w:val="nil"/>
              <w:tr2bl w:val="nil"/>
            </w:tcBorders>
          </w:tcPr>
          <w:p w14:paraId="0D254D41">
            <w:pPr>
              <w:spacing w:line="240" w:lineRule="auto"/>
              <w:ind w:firstLine="0" w:firstLineChars="0"/>
              <w:jc w:val="center"/>
              <w:rPr>
                <w:color w:val="auto"/>
                <w:sz w:val="21"/>
              </w:rPr>
            </w:pPr>
            <w:r>
              <w:rPr>
                <w:color w:val="auto"/>
                <w:sz w:val="21"/>
                <w:szCs w:val="21"/>
              </w:rPr>
              <w:t>mg/kg</w:t>
            </w:r>
          </w:p>
        </w:tc>
        <w:tc>
          <w:tcPr>
            <w:tcW w:w="413" w:type="pct"/>
            <w:tcBorders>
              <w:tl2br w:val="nil"/>
              <w:tr2bl w:val="nil"/>
            </w:tcBorders>
          </w:tcPr>
          <w:p w14:paraId="6B1163DE">
            <w:pPr>
              <w:spacing w:line="240" w:lineRule="auto"/>
              <w:ind w:firstLine="0" w:firstLineChars="0"/>
              <w:jc w:val="center"/>
              <w:rPr>
                <w:color w:val="auto"/>
                <w:sz w:val="21"/>
              </w:rPr>
            </w:pPr>
            <w:r>
              <w:rPr>
                <w:color w:val="auto"/>
                <w:sz w:val="21"/>
                <w:szCs w:val="21"/>
              </w:rPr>
              <w:t>0.1</w:t>
            </w:r>
          </w:p>
        </w:tc>
        <w:tc>
          <w:tcPr>
            <w:tcW w:w="493" w:type="pct"/>
            <w:tcBorders>
              <w:tl2br w:val="nil"/>
              <w:tr2bl w:val="nil"/>
            </w:tcBorders>
          </w:tcPr>
          <w:p w14:paraId="153130C4">
            <w:pPr>
              <w:spacing w:line="240" w:lineRule="auto"/>
              <w:ind w:firstLine="0" w:firstLineChars="0"/>
              <w:jc w:val="center"/>
              <w:rPr>
                <w:color w:val="auto"/>
                <w:sz w:val="21"/>
                <w:szCs w:val="21"/>
              </w:rPr>
            </w:pPr>
            <w:r>
              <w:rPr>
                <w:color w:val="auto"/>
                <w:sz w:val="21"/>
                <w:szCs w:val="21"/>
              </w:rPr>
              <w:t>800</w:t>
            </w:r>
          </w:p>
        </w:tc>
        <w:tc>
          <w:tcPr>
            <w:tcW w:w="883" w:type="pct"/>
            <w:tcBorders>
              <w:tl2br w:val="nil"/>
              <w:tr2bl w:val="nil"/>
            </w:tcBorders>
            <w:vAlign w:val="center"/>
          </w:tcPr>
          <w:p w14:paraId="1B287F16">
            <w:pPr>
              <w:spacing w:line="240" w:lineRule="auto"/>
              <w:ind w:firstLine="0" w:firstLineChars="0"/>
              <w:jc w:val="center"/>
              <w:rPr>
                <w:bCs/>
                <w:color w:val="auto"/>
                <w:sz w:val="21"/>
                <w:szCs w:val="21"/>
              </w:rPr>
            </w:pPr>
            <w:r>
              <w:rPr>
                <w:color w:val="auto"/>
                <w:sz w:val="21"/>
                <w:szCs w:val="21"/>
              </w:rPr>
              <w:t>17.78</w:t>
            </w:r>
            <w:r>
              <w:rPr>
                <w:rFonts w:hint="eastAsia"/>
                <w:color w:val="auto"/>
                <w:sz w:val="21"/>
                <w:szCs w:val="21"/>
              </w:rPr>
              <w:t>~</w:t>
            </w:r>
            <w:r>
              <w:rPr>
                <w:color w:val="auto"/>
                <w:sz w:val="21"/>
                <w:szCs w:val="21"/>
              </w:rPr>
              <w:t>52.59</w:t>
            </w:r>
          </w:p>
        </w:tc>
        <w:tc>
          <w:tcPr>
            <w:tcW w:w="829" w:type="pct"/>
            <w:tcBorders>
              <w:tl2br w:val="nil"/>
              <w:tr2bl w:val="nil"/>
            </w:tcBorders>
            <w:vAlign w:val="center"/>
          </w:tcPr>
          <w:p w14:paraId="7BA02516">
            <w:pPr>
              <w:spacing w:line="240" w:lineRule="auto"/>
              <w:ind w:firstLine="0" w:firstLineChars="0"/>
              <w:jc w:val="center"/>
              <w:rPr>
                <w:bCs/>
                <w:color w:val="auto"/>
                <w:sz w:val="21"/>
                <w:szCs w:val="21"/>
              </w:rPr>
            </w:pPr>
            <w:r>
              <w:rPr>
                <w:color w:val="auto"/>
                <w:sz w:val="21"/>
                <w:szCs w:val="21"/>
              </w:rPr>
              <w:t>16</w:t>
            </w:r>
            <w:r>
              <w:rPr>
                <w:rFonts w:hint="eastAsia"/>
                <w:color w:val="auto"/>
                <w:sz w:val="21"/>
                <w:szCs w:val="21"/>
              </w:rPr>
              <w:t>~</w:t>
            </w:r>
            <w:r>
              <w:rPr>
                <w:color w:val="auto"/>
                <w:sz w:val="21"/>
                <w:szCs w:val="21"/>
              </w:rPr>
              <w:t>35</w:t>
            </w:r>
          </w:p>
        </w:tc>
        <w:tc>
          <w:tcPr>
            <w:tcW w:w="613" w:type="pct"/>
            <w:tcBorders>
              <w:tl2br w:val="nil"/>
              <w:tr2bl w:val="nil"/>
            </w:tcBorders>
            <w:vAlign w:val="center"/>
          </w:tcPr>
          <w:p w14:paraId="49BBC2BD">
            <w:pPr>
              <w:spacing w:line="240" w:lineRule="auto"/>
              <w:ind w:firstLine="0" w:firstLineChars="0"/>
              <w:jc w:val="center"/>
              <w:rPr>
                <w:bCs/>
                <w:color w:val="auto"/>
                <w:sz w:val="21"/>
                <w:szCs w:val="21"/>
              </w:rPr>
            </w:pPr>
            <w:r>
              <w:rPr>
                <w:rFonts w:hint="eastAsia"/>
                <w:bCs/>
                <w:color w:val="auto"/>
                <w:sz w:val="21"/>
                <w:szCs w:val="21"/>
              </w:rPr>
              <w:t>26~57</w:t>
            </w:r>
          </w:p>
        </w:tc>
        <w:tc>
          <w:tcPr>
            <w:tcW w:w="527" w:type="pct"/>
            <w:tcBorders>
              <w:tl2br w:val="nil"/>
              <w:tr2bl w:val="nil"/>
            </w:tcBorders>
            <w:vAlign w:val="center"/>
          </w:tcPr>
          <w:p w14:paraId="432AAF57">
            <w:pPr>
              <w:spacing w:line="240" w:lineRule="auto"/>
              <w:ind w:firstLine="0" w:firstLineChars="0"/>
              <w:jc w:val="center"/>
              <w:rPr>
                <w:bCs/>
                <w:color w:val="auto"/>
                <w:sz w:val="21"/>
                <w:szCs w:val="21"/>
              </w:rPr>
            </w:pPr>
            <w:r>
              <w:rPr>
                <w:color w:val="auto"/>
                <w:sz w:val="21"/>
                <w:szCs w:val="21"/>
              </w:rPr>
              <w:t>达标</w:t>
            </w:r>
          </w:p>
        </w:tc>
      </w:tr>
      <w:tr w14:paraId="52D81C0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1D329679">
            <w:pPr>
              <w:spacing w:line="240" w:lineRule="auto"/>
              <w:ind w:firstLine="0" w:firstLineChars="0"/>
              <w:jc w:val="center"/>
              <w:rPr>
                <w:color w:val="auto"/>
                <w:sz w:val="21"/>
              </w:rPr>
            </w:pPr>
            <w:r>
              <w:rPr>
                <w:color w:val="auto"/>
                <w:sz w:val="21"/>
                <w:szCs w:val="21"/>
              </w:rPr>
              <w:t>汞</w:t>
            </w:r>
          </w:p>
        </w:tc>
        <w:tc>
          <w:tcPr>
            <w:tcW w:w="344" w:type="pct"/>
            <w:tcBorders>
              <w:tl2br w:val="nil"/>
              <w:tr2bl w:val="nil"/>
            </w:tcBorders>
          </w:tcPr>
          <w:p w14:paraId="38C37407">
            <w:pPr>
              <w:spacing w:line="240" w:lineRule="auto"/>
              <w:ind w:firstLine="0" w:firstLineChars="0"/>
              <w:jc w:val="center"/>
              <w:rPr>
                <w:color w:val="auto"/>
                <w:sz w:val="21"/>
              </w:rPr>
            </w:pPr>
            <w:r>
              <w:rPr>
                <w:color w:val="auto"/>
                <w:sz w:val="21"/>
                <w:szCs w:val="21"/>
              </w:rPr>
              <w:t>mg/kg</w:t>
            </w:r>
          </w:p>
        </w:tc>
        <w:tc>
          <w:tcPr>
            <w:tcW w:w="413" w:type="pct"/>
            <w:tcBorders>
              <w:tl2br w:val="nil"/>
              <w:tr2bl w:val="nil"/>
            </w:tcBorders>
          </w:tcPr>
          <w:p w14:paraId="3D4702BD">
            <w:pPr>
              <w:spacing w:line="240" w:lineRule="auto"/>
              <w:ind w:firstLine="0" w:firstLineChars="0"/>
              <w:jc w:val="center"/>
              <w:rPr>
                <w:color w:val="auto"/>
                <w:sz w:val="21"/>
              </w:rPr>
            </w:pPr>
            <w:r>
              <w:rPr>
                <w:color w:val="auto"/>
                <w:sz w:val="21"/>
                <w:szCs w:val="21"/>
              </w:rPr>
              <w:t>0.002</w:t>
            </w:r>
          </w:p>
        </w:tc>
        <w:tc>
          <w:tcPr>
            <w:tcW w:w="493" w:type="pct"/>
            <w:tcBorders>
              <w:tl2br w:val="nil"/>
              <w:tr2bl w:val="nil"/>
            </w:tcBorders>
          </w:tcPr>
          <w:p w14:paraId="6840F076">
            <w:pPr>
              <w:spacing w:line="240" w:lineRule="auto"/>
              <w:ind w:firstLine="0" w:firstLineChars="0"/>
              <w:jc w:val="center"/>
              <w:rPr>
                <w:color w:val="auto"/>
                <w:sz w:val="21"/>
                <w:szCs w:val="21"/>
              </w:rPr>
            </w:pPr>
            <w:r>
              <w:rPr>
                <w:color w:val="auto"/>
                <w:sz w:val="21"/>
                <w:szCs w:val="21"/>
              </w:rPr>
              <w:t>38</w:t>
            </w:r>
          </w:p>
        </w:tc>
        <w:tc>
          <w:tcPr>
            <w:tcW w:w="883" w:type="pct"/>
            <w:tcBorders>
              <w:tl2br w:val="nil"/>
              <w:tr2bl w:val="nil"/>
            </w:tcBorders>
            <w:vAlign w:val="center"/>
          </w:tcPr>
          <w:p w14:paraId="1E55DCF9">
            <w:pPr>
              <w:spacing w:line="240" w:lineRule="auto"/>
              <w:ind w:firstLine="0" w:firstLineChars="0"/>
              <w:jc w:val="center"/>
              <w:rPr>
                <w:bCs/>
                <w:color w:val="auto"/>
                <w:sz w:val="21"/>
                <w:szCs w:val="21"/>
              </w:rPr>
            </w:pPr>
            <w:r>
              <w:rPr>
                <w:color w:val="auto"/>
                <w:sz w:val="21"/>
                <w:szCs w:val="21"/>
              </w:rPr>
              <w:t>0.023</w:t>
            </w:r>
            <w:r>
              <w:rPr>
                <w:rFonts w:hint="eastAsia"/>
                <w:color w:val="auto"/>
                <w:sz w:val="21"/>
                <w:szCs w:val="21"/>
              </w:rPr>
              <w:t>~</w:t>
            </w:r>
            <w:r>
              <w:rPr>
                <w:color w:val="auto"/>
                <w:sz w:val="21"/>
                <w:szCs w:val="21"/>
              </w:rPr>
              <w:t>0.092</w:t>
            </w:r>
          </w:p>
        </w:tc>
        <w:tc>
          <w:tcPr>
            <w:tcW w:w="829" w:type="pct"/>
            <w:tcBorders>
              <w:tl2br w:val="nil"/>
              <w:tr2bl w:val="nil"/>
            </w:tcBorders>
            <w:vAlign w:val="center"/>
          </w:tcPr>
          <w:p w14:paraId="5F0B0AD5">
            <w:pPr>
              <w:spacing w:line="240" w:lineRule="auto"/>
              <w:ind w:firstLine="0" w:firstLineChars="0"/>
              <w:jc w:val="center"/>
              <w:rPr>
                <w:bCs/>
                <w:color w:val="auto"/>
                <w:sz w:val="21"/>
                <w:szCs w:val="21"/>
              </w:rPr>
            </w:pPr>
            <w:r>
              <w:rPr>
                <w:color w:val="auto"/>
                <w:sz w:val="21"/>
                <w:szCs w:val="21"/>
              </w:rPr>
              <w:t>13.1</w:t>
            </w:r>
            <w:r>
              <w:rPr>
                <w:rFonts w:hint="eastAsia"/>
                <w:color w:val="auto"/>
                <w:sz w:val="21"/>
                <w:szCs w:val="21"/>
              </w:rPr>
              <w:t>~</w:t>
            </w:r>
            <w:r>
              <w:rPr>
                <w:color w:val="auto"/>
                <w:sz w:val="21"/>
                <w:szCs w:val="21"/>
              </w:rPr>
              <w:t>36.1</w:t>
            </w:r>
          </w:p>
        </w:tc>
        <w:tc>
          <w:tcPr>
            <w:tcW w:w="613" w:type="pct"/>
            <w:tcBorders>
              <w:tl2br w:val="nil"/>
              <w:tr2bl w:val="nil"/>
            </w:tcBorders>
            <w:vAlign w:val="center"/>
          </w:tcPr>
          <w:p w14:paraId="45AB6711">
            <w:pPr>
              <w:spacing w:line="240" w:lineRule="auto"/>
              <w:ind w:firstLine="0" w:firstLineChars="0"/>
              <w:jc w:val="center"/>
              <w:rPr>
                <w:bCs/>
                <w:color w:val="auto"/>
                <w:sz w:val="21"/>
                <w:szCs w:val="21"/>
              </w:rPr>
            </w:pPr>
            <w:r>
              <w:rPr>
                <w:rFonts w:hint="eastAsia"/>
                <w:bCs/>
                <w:color w:val="auto"/>
                <w:sz w:val="21"/>
                <w:szCs w:val="21"/>
              </w:rPr>
              <w:t>0.011~0.097</w:t>
            </w:r>
          </w:p>
        </w:tc>
        <w:tc>
          <w:tcPr>
            <w:tcW w:w="527" w:type="pct"/>
            <w:tcBorders>
              <w:tl2br w:val="nil"/>
              <w:tr2bl w:val="nil"/>
            </w:tcBorders>
            <w:vAlign w:val="center"/>
          </w:tcPr>
          <w:p w14:paraId="5B9DE146">
            <w:pPr>
              <w:spacing w:line="240" w:lineRule="auto"/>
              <w:ind w:firstLine="0" w:firstLineChars="0"/>
              <w:jc w:val="center"/>
              <w:rPr>
                <w:bCs/>
                <w:color w:val="auto"/>
                <w:sz w:val="21"/>
                <w:szCs w:val="21"/>
              </w:rPr>
            </w:pPr>
            <w:r>
              <w:rPr>
                <w:color w:val="auto"/>
                <w:sz w:val="21"/>
                <w:szCs w:val="21"/>
              </w:rPr>
              <w:t>达标</w:t>
            </w:r>
          </w:p>
        </w:tc>
      </w:tr>
      <w:tr w14:paraId="5CF1ADB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39" w:hRule="atLeast"/>
          <w:jc w:val="center"/>
        </w:trPr>
        <w:tc>
          <w:tcPr>
            <w:tcW w:w="895" w:type="pct"/>
            <w:tcBorders>
              <w:tl2br w:val="nil"/>
              <w:tr2bl w:val="nil"/>
            </w:tcBorders>
          </w:tcPr>
          <w:p w14:paraId="47B95F4A">
            <w:pPr>
              <w:spacing w:line="240" w:lineRule="auto"/>
              <w:ind w:firstLine="0" w:firstLineChars="0"/>
              <w:jc w:val="center"/>
              <w:rPr>
                <w:bCs/>
                <w:color w:val="auto"/>
                <w:sz w:val="21"/>
                <w:szCs w:val="21"/>
              </w:rPr>
            </w:pPr>
            <w:r>
              <w:rPr>
                <w:color w:val="auto"/>
                <w:sz w:val="21"/>
                <w:szCs w:val="21"/>
              </w:rPr>
              <w:t>镍</w:t>
            </w:r>
          </w:p>
        </w:tc>
        <w:tc>
          <w:tcPr>
            <w:tcW w:w="344" w:type="pct"/>
            <w:tcBorders>
              <w:tl2br w:val="nil"/>
              <w:tr2bl w:val="nil"/>
            </w:tcBorders>
          </w:tcPr>
          <w:p w14:paraId="2D896CAE">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0C1B1E0A">
            <w:pPr>
              <w:spacing w:line="240" w:lineRule="auto"/>
              <w:ind w:firstLine="0" w:firstLineChars="0"/>
              <w:jc w:val="center"/>
              <w:rPr>
                <w:bCs/>
                <w:color w:val="auto"/>
                <w:sz w:val="21"/>
                <w:szCs w:val="21"/>
              </w:rPr>
            </w:pPr>
            <w:r>
              <w:rPr>
                <w:color w:val="auto"/>
                <w:sz w:val="21"/>
                <w:szCs w:val="21"/>
              </w:rPr>
              <w:t>3</w:t>
            </w:r>
          </w:p>
        </w:tc>
        <w:tc>
          <w:tcPr>
            <w:tcW w:w="493" w:type="pct"/>
            <w:tcBorders>
              <w:tl2br w:val="nil"/>
              <w:tr2bl w:val="nil"/>
            </w:tcBorders>
          </w:tcPr>
          <w:p w14:paraId="075C1C69">
            <w:pPr>
              <w:spacing w:line="240" w:lineRule="auto"/>
              <w:ind w:firstLine="0" w:firstLineChars="0"/>
              <w:jc w:val="center"/>
              <w:rPr>
                <w:bCs/>
                <w:color w:val="auto"/>
                <w:sz w:val="21"/>
                <w:szCs w:val="21"/>
              </w:rPr>
            </w:pPr>
            <w:r>
              <w:rPr>
                <w:color w:val="auto"/>
                <w:sz w:val="21"/>
                <w:szCs w:val="21"/>
              </w:rPr>
              <w:t>900</w:t>
            </w:r>
          </w:p>
        </w:tc>
        <w:tc>
          <w:tcPr>
            <w:tcW w:w="883" w:type="pct"/>
            <w:tcBorders>
              <w:tl2br w:val="nil"/>
              <w:tr2bl w:val="nil"/>
            </w:tcBorders>
            <w:vAlign w:val="center"/>
          </w:tcPr>
          <w:p w14:paraId="73BA9327">
            <w:pPr>
              <w:spacing w:line="240" w:lineRule="auto"/>
              <w:ind w:firstLine="0" w:firstLineChars="0"/>
              <w:jc w:val="center"/>
              <w:rPr>
                <w:bCs/>
                <w:color w:val="auto"/>
                <w:sz w:val="21"/>
                <w:szCs w:val="21"/>
              </w:rPr>
            </w:pPr>
            <w:r>
              <w:rPr>
                <w:color w:val="auto"/>
                <w:sz w:val="21"/>
                <w:szCs w:val="21"/>
              </w:rPr>
              <w:t>15</w:t>
            </w:r>
            <w:r>
              <w:rPr>
                <w:rFonts w:hint="eastAsia"/>
                <w:color w:val="auto"/>
                <w:sz w:val="21"/>
                <w:szCs w:val="21"/>
              </w:rPr>
              <w:t>~</w:t>
            </w:r>
            <w:r>
              <w:rPr>
                <w:color w:val="auto"/>
                <w:sz w:val="21"/>
                <w:szCs w:val="21"/>
              </w:rPr>
              <w:t>31</w:t>
            </w:r>
          </w:p>
        </w:tc>
        <w:tc>
          <w:tcPr>
            <w:tcW w:w="829" w:type="pct"/>
            <w:tcBorders>
              <w:tl2br w:val="nil"/>
              <w:tr2bl w:val="nil"/>
            </w:tcBorders>
            <w:vAlign w:val="center"/>
          </w:tcPr>
          <w:p w14:paraId="57AC230C">
            <w:pPr>
              <w:spacing w:line="240" w:lineRule="auto"/>
              <w:ind w:firstLine="0" w:firstLineChars="0"/>
              <w:jc w:val="center"/>
              <w:rPr>
                <w:bCs/>
                <w:color w:val="auto"/>
                <w:sz w:val="21"/>
                <w:szCs w:val="21"/>
              </w:rPr>
            </w:pPr>
            <w:r>
              <w:rPr>
                <w:color w:val="auto"/>
                <w:sz w:val="21"/>
                <w:szCs w:val="21"/>
              </w:rPr>
              <w:t>0.025</w:t>
            </w:r>
            <w:r>
              <w:rPr>
                <w:rFonts w:hint="eastAsia"/>
                <w:color w:val="auto"/>
                <w:sz w:val="21"/>
                <w:szCs w:val="21"/>
              </w:rPr>
              <w:t>~</w:t>
            </w:r>
            <w:r>
              <w:rPr>
                <w:color w:val="auto"/>
                <w:sz w:val="21"/>
                <w:szCs w:val="21"/>
              </w:rPr>
              <w:t>0.164</w:t>
            </w:r>
          </w:p>
        </w:tc>
        <w:tc>
          <w:tcPr>
            <w:tcW w:w="613" w:type="pct"/>
            <w:tcBorders>
              <w:tl2br w:val="nil"/>
              <w:tr2bl w:val="nil"/>
            </w:tcBorders>
            <w:vAlign w:val="center"/>
          </w:tcPr>
          <w:p w14:paraId="01C96226">
            <w:pPr>
              <w:spacing w:line="240" w:lineRule="auto"/>
              <w:ind w:firstLine="0" w:firstLineChars="0"/>
              <w:jc w:val="center"/>
              <w:rPr>
                <w:bCs/>
                <w:color w:val="auto"/>
                <w:sz w:val="21"/>
                <w:szCs w:val="21"/>
              </w:rPr>
            </w:pPr>
            <w:r>
              <w:rPr>
                <w:rFonts w:hint="eastAsia"/>
                <w:bCs/>
                <w:color w:val="auto"/>
                <w:sz w:val="21"/>
                <w:szCs w:val="21"/>
              </w:rPr>
              <w:t>29~59</w:t>
            </w:r>
          </w:p>
        </w:tc>
        <w:tc>
          <w:tcPr>
            <w:tcW w:w="527" w:type="pct"/>
            <w:tcBorders>
              <w:tl2br w:val="nil"/>
              <w:tr2bl w:val="nil"/>
            </w:tcBorders>
            <w:vAlign w:val="center"/>
          </w:tcPr>
          <w:p w14:paraId="25C6F6AA">
            <w:pPr>
              <w:spacing w:line="240" w:lineRule="auto"/>
              <w:ind w:firstLine="0" w:firstLineChars="0"/>
              <w:jc w:val="center"/>
              <w:rPr>
                <w:bCs/>
                <w:color w:val="auto"/>
                <w:sz w:val="21"/>
                <w:szCs w:val="21"/>
              </w:rPr>
            </w:pPr>
            <w:r>
              <w:rPr>
                <w:color w:val="auto"/>
                <w:sz w:val="21"/>
                <w:szCs w:val="21"/>
              </w:rPr>
              <w:t>达标</w:t>
            </w:r>
          </w:p>
        </w:tc>
      </w:tr>
      <w:tr w14:paraId="65A9EF9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3EA1A9FB">
            <w:pPr>
              <w:spacing w:line="240" w:lineRule="auto"/>
              <w:ind w:firstLine="0" w:firstLineChars="0"/>
              <w:jc w:val="center"/>
              <w:rPr>
                <w:bCs/>
                <w:color w:val="auto"/>
                <w:sz w:val="21"/>
                <w:szCs w:val="21"/>
              </w:rPr>
            </w:pPr>
            <w:r>
              <w:rPr>
                <w:color w:val="auto"/>
                <w:sz w:val="21"/>
                <w:szCs w:val="21"/>
              </w:rPr>
              <w:t>乙苯</w:t>
            </w:r>
          </w:p>
        </w:tc>
        <w:tc>
          <w:tcPr>
            <w:tcW w:w="344" w:type="pct"/>
            <w:tcBorders>
              <w:tl2br w:val="nil"/>
              <w:tr2bl w:val="nil"/>
            </w:tcBorders>
          </w:tcPr>
          <w:p w14:paraId="5B02E8FC">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19B0ED7B">
            <w:pPr>
              <w:spacing w:line="240" w:lineRule="auto"/>
              <w:ind w:firstLine="0" w:firstLineChars="0"/>
              <w:jc w:val="center"/>
              <w:rPr>
                <w:bCs/>
                <w:color w:val="auto"/>
                <w:sz w:val="21"/>
                <w:szCs w:val="21"/>
              </w:rPr>
            </w:pPr>
            <w:r>
              <w:rPr>
                <w:color w:val="auto"/>
                <w:sz w:val="21"/>
                <w:szCs w:val="21"/>
              </w:rPr>
              <w:t xml:space="preserve">0.0012 </w:t>
            </w:r>
          </w:p>
        </w:tc>
        <w:tc>
          <w:tcPr>
            <w:tcW w:w="493" w:type="pct"/>
            <w:tcBorders>
              <w:tl2br w:val="nil"/>
              <w:tr2bl w:val="nil"/>
            </w:tcBorders>
          </w:tcPr>
          <w:p w14:paraId="33934AAC">
            <w:pPr>
              <w:spacing w:line="240" w:lineRule="auto"/>
              <w:ind w:firstLine="0" w:firstLineChars="0"/>
              <w:jc w:val="center"/>
              <w:rPr>
                <w:bCs/>
                <w:color w:val="auto"/>
                <w:sz w:val="21"/>
                <w:szCs w:val="21"/>
              </w:rPr>
            </w:pPr>
            <w:r>
              <w:rPr>
                <w:color w:val="auto"/>
                <w:sz w:val="21"/>
                <w:szCs w:val="21"/>
              </w:rPr>
              <w:t>28</w:t>
            </w:r>
          </w:p>
        </w:tc>
        <w:tc>
          <w:tcPr>
            <w:tcW w:w="883" w:type="pct"/>
            <w:tcBorders>
              <w:tl2br w:val="nil"/>
              <w:tr2bl w:val="nil"/>
            </w:tcBorders>
            <w:vAlign w:val="center"/>
          </w:tcPr>
          <w:p w14:paraId="34A46ACC">
            <w:pPr>
              <w:spacing w:line="240" w:lineRule="auto"/>
              <w:ind w:firstLine="0" w:firstLineChars="0"/>
              <w:jc w:val="center"/>
              <w:rPr>
                <w:bCs/>
                <w:color w:val="auto"/>
                <w:sz w:val="21"/>
                <w:szCs w:val="21"/>
              </w:rPr>
            </w:pPr>
            <w:r>
              <w:rPr>
                <w:color w:val="auto"/>
                <w:sz w:val="21"/>
                <w:szCs w:val="21"/>
              </w:rPr>
              <w:t>ND</w:t>
            </w:r>
            <w:r>
              <w:rPr>
                <w:rFonts w:hint="eastAsia"/>
                <w:color w:val="auto"/>
                <w:sz w:val="21"/>
                <w:szCs w:val="21"/>
              </w:rPr>
              <w:t>~</w:t>
            </w:r>
            <w:r>
              <w:rPr>
                <w:color w:val="auto"/>
                <w:sz w:val="21"/>
                <w:szCs w:val="21"/>
              </w:rPr>
              <w:t>0.0087</w:t>
            </w:r>
          </w:p>
        </w:tc>
        <w:tc>
          <w:tcPr>
            <w:tcW w:w="829" w:type="pct"/>
            <w:tcBorders>
              <w:tl2br w:val="nil"/>
              <w:tr2bl w:val="nil"/>
            </w:tcBorders>
            <w:vAlign w:val="center"/>
          </w:tcPr>
          <w:p w14:paraId="22A1E46F">
            <w:pPr>
              <w:spacing w:line="240" w:lineRule="auto"/>
              <w:ind w:firstLine="0" w:firstLineChars="0"/>
              <w:jc w:val="center"/>
              <w:rPr>
                <w:bCs/>
                <w:color w:val="auto"/>
                <w:sz w:val="21"/>
                <w:szCs w:val="21"/>
              </w:rPr>
            </w:pPr>
            <w:r>
              <w:rPr>
                <w:color w:val="auto"/>
                <w:sz w:val="21"/>
                <w:szCs w:val="21"/>
              </w:rPr>
              <w:t>/</w:t>
            </w:r>
          </w:p>
        </w:tc>
        <w:tc>
          <w:tcPr>
            <w:tcW w:w="613" w:type="pct"/>
            <w:tcBorders>
              <w:tl2br w:val="nil"/>
              <w:tr2bl w:val="nil"/>
            </w:tcBorders>
            <w:vAlign w:val="center"/>
          </w:tcPr>
          <w:p w14:paraId="37C54560">
            <w:pPr>
              <w:spacing w:line="240" w:lineRule="auto"/>
              <w:ind w:firstLine="0" w:firstLineChars="0"/>
              <w:jc w:val="center"/>
              <w:rPr>
                <w:bCs/>
                <w:color w:val="auto"/>
                <w:sz w:val="21"/>
                <w:szCs w:val="21"/>
              </w:rPr>
            </w:pPr>
            <w:r>
              <w:rPr>
                <w:rFonts w:hint="eastAsia"/>
                <w:bCs/>
                <w:color w:val="auto"/>
                <w:sz w:val="21"/>
                <w:szCs w:val="21"/>
              </w:rPr>
              <w:t>/</w:t>
            </w:r>
          </w:p>
        </w:tc>
        <w:tc>
          <w:tcPr>
            <w:tcW w:w="527" w:type="pct"/>
            <w:tcBorders>
              <w:tl2br w:val="nil"/>
              <w:tr2bl w:val="nil"/>
            </w:tcBorders>
            <w:vAlign w:val="center"/>
          </w:tcPr>
          <w:p w14:paraId="26033F8E">
            <w:pPr>
              <w:spacing w:line="240" w:lineRule="auto"/>
              <w:ind w:firstLine="0" w:firstLineChars="0"/>
              <w:jc w:val="center"/>
              <w:rPr>
                <w:bCs/>
                <w:color w:val="auto"/>
                <w:sz w:val="21"/>
                <w:szCs w:val="21"/>
              </w:rPr>
            </w:pPr>
            <w:r>
              <w:rPr>
                <w:color w:val="auto"/>
                <w:sz w:val="21"/>
                <w:szCs w:val="21"/>
              </w:rPr>
              <w:t>达标</w:t>
            </w:r>
          </w:p>
        </w:tc>
      </w:tr>
      <w:tr w14:paraId="1B8229B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39" w:hRule="atLeast"/>
          <w:jc w:val="center"/>
        </w:trPr>
        <w:tc>
          <w:tcPr>
            <w:tcW w:w="895" w:type="pct"/>
            <w:tcBorders>
              <w:tl2br w:val="nil"/>
              <w:tr2bl w:val="nil"/>
            </w:tcBorders>
          </w:tcPr>
          <w:p w14:paraId="43597F39">
            <w:pPr>
              <w:spacing w:line="240" w:lineRule="auto"/>
              <w:ind w:firstLine="0" w:firstLineChars="0"/>
              <w:jc w:val="center"/>
              <w:rPr>
                <w:bCs/>
                <w:color w:val="auto"/>
                <w:sz w:val="21"/>
                <w:szCs w:val="21"/>
              </w:rPr>
            </w:pPr>
            <w:r>
              <w:rPr>
                <w:color w:val="auto"/>
                <w:sz w:val="21"/>
                <w:szCs w:val="21"/>
              </w:rPr>
              <w:t>1,4-二氯苯</w:t>
            </w:r>
          </w:p>
        </w:tc>
        <w:tc>
          <w:tcPr>
            <w:tcW w:w="344" w:type="pct"/>
            <w:tcBorders>
              <w:tl2br w:val="nil"/>
              <w:tr2bl w:val="nil"/>
            </w:tcBorders>
          </w:tcPr>
          <w:p w14:paraId="5B7281DA">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52EC615C">
            <w:pPr>
              <w:spacing w:line="240" w:lineRule="auto"/>
              <w:ind w:firstLine="0" w:firstLineChars="0"/>
              <w:jc w:val="center"/>
              <w:rPr>
                <w:bCs/>
                <w:color w:val="auto"/>
                <w:sz w:val="21"/>
                <w:szCs w:val="21"/>
              </w:rPr>
            </w:pPr>
            <w:r>
              <w:rPr>
                <w:color w:val="auto"/>
                <w:sz w:val="21"/>
                <w:szCs w:val="21"/>
              </w:rPr>
              <w:t xml:space="preserve">0.0015 </w:t>
            </w:r>
          </w:p>
        </w:tc>
        <w:tc>
          <w:tcPr>
            <w:tcW w:w="493" w:type="pct"/>
            <w:tcBorders>
              <w:tl2br w:val="nil"/>
              <w:tr2bl w:val="nil"/>
            </w:tcBorders>
          </w:tcPr>
          <w:p w14:paraId="515FE61B">
            <w:pPr>
              <w:spacing w:line="240" w:lineRule="auto"/>
              <w:ind w:firstLine="0" w:firstLineChars="0"/>
              <w:jc w:val="center"/>
              <w:rPr>
                <w:bCs/>
                <w:color w:val="auto"/>
                <w:sz w:val="21"/>
                <w:szCs w:val="21"/>
              </w:rPr>
            </w:pPr>
            <w:r>
              <w:rPr>
                <w:color w:val="auto"/>
                <w:sz w:val="21"/>
                <w:szCs w:val="21"/>
              </w:rPr>
              <w:t>20</w:t>
            </w:r>
          </w:p>
        </w:tc>
        <w:tc>
          <w:tcPr>
            <w:tcW w:w="883" w:type="pct"/>
            <w:tcBorders>
              <w:tl2br w:val="nil"/>
              <w:tr2bl w:val="nil"/>
            </w:tcBorders>
            <w:vAlign w:val="center"/>
          </w:tcPr>
          <w:p w14:paraId="670B71EC">
            <w:pPr>
              <w:spacing w:line="240" w:lineRule="auto"/>
              <w:ind w:firstLine="0" w:firstLineChars="0"/>
              <w:jc w:val="center"/>
              <w:rPr>
                <w:bCs/>
                <w:color w:val="auto"/>
                <w:sz w:val="21"/>
                <w:szCs w:val="21"/>
              </w:rPr>
            </w:pPr>
            <w:r>
              <w:rPr>
                <w:color w:val="auto"/>
                <w:sz w:val="21"/>
                <w:szCs w:val="21"/>
              </w:rPr>
              <w:t>ND</w:t>
            </w:r>
            <w:r>
              <w:rPr>
                <w:rFonts w:hint="eastAsia"/>
                <w:color w:val="auto"/>
                <w:sz w:val="21"/>
                <w:szCs w:val="21"/>
              </w:rPr>
              <w:t>~</w:t>
            </w:r>
            <w:r>
              <w:rPr>
                <w:color w:val="auto"/>
                <w:sz w:val="21"/>
                <w:szCs w:val="21"/>
              </w:rPr>
              <w:t>0.007</w:t>
            </w:r>
          </w:p>
        </w:tc>
        <w:tc>
          <w:tcPr>
            <w:tcW w:w="829" w:type="pct"/>
            <w:tcBorders>
              <w:tl2br w:val="nil"/>
              <w:tr2bl w:val="nil"/>
            </w:tcBorders>
            <w:vAlign w:val="center"/>
          </w:tcPr>
          <w:p w14:paraId="3D1E5BF4">
            <w:pPr>
              <w:spacing w:line="240" w:lineRule="auto"/>
              <w:ind w:firstLine="0" w:firstLineChars="0"/>
              <w:jc w:val="center"/>
              <w:rPr>
                <w:bCs/>
                <w:color w:val="auto"/>
                <w:sz w:val="21"/>
                <w:szCs w:val="21"/>
              </w:rPr>
            </w:pPr>
            <w:r>
              <w:rPr>
                <w:color w:val="auto"/>
                <w:sz w:val="21"/>
                <w:szCs w:val="21"/>
              </w:rPr>
              <w:t>/</w:t>
            </w:r>
          </w:p>
        </w:tc>
        <w:tc>
          <w:tcPr>
            <w:tcW w:w="613" w:type="pct"/>
            <w:tcBorders>
              <w:tl2br w:val="nil"/>
              <w:tr2bl w:val="nil"/>
            </w:tcBorders>
            <w:vAlign w:val="center"/>
          </w:tcPr>
          <w:p w14:paraId="50BA64B9">
            <w:pPr>
              <w:spacing w:line="240" w:lineRule="auto"/>
              <w:ind w:firstLine="0" w:firstLineChars="0"/>
              <w:jc w:val="center"/>
              <w:rPr>
                <w:bCs/>
                <w:color w:val="auto"/>
                <w:sz w:val="21"/>
                <w:szCs w:val="21"/>
              </w:rPr>
            </w:pPr>
            <w:r>
              <w:rPr>
                <w:rFonts w:hint="eastAsia"/>
                <w:bCs/>
                <w:color w:val="auto"/>
                <w:sz w:val="21"/>
                <w:szCs w:val="21"/>
              </w:rPr>
              <w:t>/</w:t>
            </w:r>
          </w:p>
        </w:tc>
        <w:tc>
          <w:tcPr>
            <w:tcW w:w="527" w:type="pct"/>
            <w:tcBorders>
              <w:tl2br w:val="nil"/>
              <w:tr2bl w:val="nil"/>
            </w:tcBorders>
            <w:vAlign w:val="center"/>
          </w:tcPr>
          <w:p w14:paraId="19B6F92E">
            <w:pPr>
              <w:spacing w:line="240" w:lineRule="auto"/>
              <w:ind w:firstLine="0" w:firstLineChars="0"/>
              <w:jc w:val="center"/>
              <w:rPr>
                <w:bCs/>
                <w:color w:val="auto"/>
                <w:sz w:val="21"/>
                <w:szCs w:val="21"/>
              </w:rPr>
            </w:pPr>
            <w:r>
              <w:rPr>
                <w:color w:val="auto"/>
                <w:sz w:val="21"/>
                <w:szCs w:val="21"/>
              </w:rPr>
              <w:t>达标</w:t>
            </w:r>
          </w:p>
        </w:tc>
      </w:tr>
      <w:tr w14:paraId="26BE874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6B87EAD5">
            <w:pPr>
              <w:spacing w:line="240" w:lineRule="auto"/>
              <w:ind w:firstLine="0" w:firstLineChars="0"/>
              <w:jc w:val="center"/>
              <w:rPr>
                <w:bCs/>
                <w:color w:val="auto"/>
                <w:sz w:val="21"/>
                <w:szCs w:val="21"/>
              </w:rPr>
            </w:pPr>
            <w:r>
              <w:rPr>
                <w:color w:val="auto"/>
                <w:sz w:val="21"/>
                <w:szCs w:val="21"/>
              </w:rPr>
              <w:t>1,2-二氯苯</w:t>
            </w:r>
          </w:p>
        </w:tc>
        <w:tc>
          <w:tcPr>
            <w:tcW w:w="344" w:type="pct"/>
            <w:tcBorders>
              <w:tl2br w:val="nil"/>
              <w:tr2bl w:val="nil"/>
            </w:tcBorders>
          </w:tcPr>
          <w:p w14:paraId="5848EFE7">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01285AF2">
            <w:pPr>
              <w:spacing w:line="240" w:lineRule="auto"/>
              <w:ind w:firstLine="0" w:firstLineChars="0"/>
              <w:jc w:val="center"/>
              <w:rPr>
                <w:bCs/>
                <w:color w:val="auto"/>
                <w:sz w:val="21"/>
                <w:szCs w:val="21"/>
              </w:rPr>
            </w:pPr>
            <w:r>
              <w:rPr>
                <w:color w:val="auto"/>
                <w:sz w:val="21"/>
                <w:szCs w:val="21"/>
              </w:rPr>
              <w:t xml:space="preserve">0.0015 </w:t>
            </w:r>
          </w:p>
        </w:tc>
        <w:tc>
          <w:tcPr>
            <w:tcW w:w="493" w:type="pct"/>
            <w:tcBorders>
              <w:tl2br w:val="nil"/>
              <w:tr2bl w:val="nil"/>
            </w:tcBorders>
          </w:tcPr>
          <w:p w14:paraId="0435AA38">
            <w:pPr>
              <w:spacing w:line="240" w:lineRule="auto"/>
              <w:ind w:firstLine="0" w:firstLineChars="0"/>
              <w:jc w:val="center"/>
              <w:rPr>
                <w:bCs/>
                <w:color w:val="auto"/>
                <w:sz w:val="21"/>
                <w:szCs w:val="21"/>
              </w:rPr>
            </w:pPr>
            <w:r>
              <w:rPr>
                <w:color w:val="auto"/>
                <w:sz w:val="21"/>
                <w:szCs w:val="21"/>
              </w:rPr>
              <w:t>560</w:t>
            </w:r>
          </w:p>
        </w:tc>
        <w:tc>
          <w:tcPr>
            <w:tcW w:w="883" w:type="pct"/>
            <w:tcBorders>
              <w:tl2br w:val="nil"/>
              <w:tr2bl w:val="nil"/>
            </w:tcBorders>
            <w:vAlign w:val="center"/>
          </w:tcPr>
          <w:p w14:paraId="19CFD195">
            <w:pPr>
              <w:spacing w:line="240" w:lineRule="auto"/>
              <w:ind w:firstLine="0" w:firstLineChars="0"/>
              <w:jc w:val="center"/>
              <w:rPr>
                <w:bCs/>
                <w:color w:val="auto"/>
                <w:sz w:val="21"/>
                <w:szCs w:val="21"/>
              </w:rPr>
            </w:pPr>
            <w:r>
              <w:rPr>
                <w:color w:val="auto"/>
                <w:sz w:val="21"/>
                <w:szCs w:val="21"/>
              </w:rPr>
              <w:t>ND</w:t>
            </w:r>
            <w:r>
              <w:rPr>
                <w:rFonts w:hint="eastAsia"/>
                <w:color w:val="auto"/>
                <w:sz w:val="21"/>
                <w:szCs w:val="21"/>
              </w:rPr>
              <w:t>~</w:t>
            </w:r>
            <w:r>
              <w:rPr>
                <w:color w:val="auto"/>
                <w:sz w:val="21"/>
                <w:szCs w:val="21"/>
              </w:rPr>
              <w:t>0.0121</w:t>
            </w:r>
          </w:p>
        </w:tc>
        <w:tc>
          <w:tcPr>
            <w:tcW w:w="829" w:type="pct"/>
            <w:tcBorders>
              <w:tl2br w:val="nil"/>
              <w:tr2bl w:val="nil"/>
            </w:tcBorders>
            <w:vAlign w:val="center"/>
          </w:tcPr>
          <w:p w14:paraId="54A7F8AF">
            <w:pPr>
              <w:spacing w:line="240" w:lineRule="auto"/>
              <w:ind w:firstLine="0" w:firstLineChars="0"/>
              <w:jc w:val="center"/>
              <w:rPr>
                <w:bCs/>
                <w:color w:val="auto"/>
                <w:sz w:val="21"/>
                <w:szCs w:val="21"/>
              </w:rPr>
            </w:pPr>
            <w:r>
              <w:rPr>
                <w:color w:val="auto"/>
                <w:sz w:val="21"/>
                <w:szCs w:val="21"/>
              </w:rPr>
              <w:t>/</w:t>
            </w:r>
          </w:p>
        </w:tc>
        <w:tc>
          <w:tcPr>
            <w:tcW w:w="613" w:type="pct"/>
            <w:tcBorders>
              <w:tl2br w:val="nil"/>
              <w:tr2bl w:val="nil"/>
            </w:tcBorders>
            <w:vAlign w:val="center"/>
          </w:tcPr>
          <w:p w14:paraId="4AFC2AF2">
            <w:pPr>
              <w:spacing w:line="240" w:lineRule="auto"/>
              <w:ind w:firstLine="0" w:firstLineChars="0"/>
              <w:jc w:val="center"/>
              <w:rPr>
                <w:bCs/>
                <w:color w:val="auto"/>
                <w:sz w:val="21"/>
                <w:szCs w:val="21"/>
              </w:rPr>
            </w:pPr>
            <w:r>
              <w:rPr>
                <w:rFonts w:hint="eastAsia"/>
                <w:bCs/>
                <w:color w:val="auto"/>
                <w:sz w:val="21"/>
                <w:szCs w:val="21"/>
              </w:rPr>
              <w:t>/</w:t>
            </w:r>
          </w:p>
        </w:tc>
        <w:tc>
          <w:tcPr>
            <w:tcW w:w="527" w:type="pct"/>
            <w:tcBorders>
              <w:tl2br w:val="nil"/>
              <w:tr2bl w:val="nil"/>
            </w:tcBorders>
            <w:vAlign w:val="center"/>
          </w:tcPr>
          <w:p w14:paraId="47085C02">
            <w:pPr>
              <w:spacing w:line="240" w:lineRule="auto"/>
              <w:ind w:firstLine="0" w:firstLineChars="0"/>
              <w:jc w:val="center"/>
              <w:rPr>
                <w:bCs/>
                <w:color w:val="auto"/>
                <w:sz w:val="21"/>
                <w:szCs w:val="21"/>
              </w:rPr>
            </w:pPr>
            <w:r>
              <w:rPr>
                <w:color w:val="auto"/>
                <w:sz w:val="21"/>
                <w:szCs w:val="21"/>
              </w:rPr>
              <w:t>达标</w:t>
            </w:r>
          </w:p>
        </w:tc>
      </w:tr>
      <w:tr w14:paraId="11B0E2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765789DF">
            <w:pPr>
              <w:spacing w:line="240" w:lineRule="auto"/>
              <w:ind w:firstLine="0" w:firstLineChars="0"/>
              <w:jc w:val="center"/>
              <w:rPr>
                <w:color w:val="auto"/>
                <w:sz w:val="21"/>
                <w:szCs w:val="21"/>
              </w:rPr>
            </w:pPr>
            <w:r>
              <w:rPr>
                <w:color w:val="auto"/>
                <w:sz w:val="21"/>
                <w:szCs w:val="21"/>
              </w:rPr>
              <w:t>苯并[a]蒽</w:t>
            </w:r>
          </w:p>
        </w:tc>
        <w:tc>
          <w:tcPr>
            <w:tcW w:w="344" w:type="pct"/>
            <w:tcBorders>
              <w:tl2br w:val="nil"/>
              <w:tr2bl w:val="nil"/>
            </w:tcBorders>
          </w:tcPr>
          <w:p w14:paraId="1751383C">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21E711F7">
            <w:pPr>
              <w:spacing w:line="240" w:lineRule="auto"/>
              <w:ind w:firstLine="0" w:firstLineChars="0"/>
              <w:jc w:val="center"/>
              <w:rPr>
                <w:bCs/>
                <w:color w:val="auto"/>
                <w:sz w:val="21"/>
                <w:szCs w:val="21"/>
              </w:rPr>
            </w:pPr>
            <w:r>
              <w:rPr>
                <w:color w:val="auto"/>
                <w:sz w:val="21"/>
                <w:szCs w:val="21"/>
              </w:rPr>
              <w:t>0.1</w:t>
            </w:r>
          </w:p>
        </w:tc>
        <w:tc>
          <w:tcPr>
            <w:tcW w:w="493" w:type="pct"/>
            <w:tcBorders>
              <w:tl2br w:val="nil"/>
              <w:tr2bl w:val="nil"/>
            </w:tcBorders>
          </w:tcPr>
          <w:p w14:paraId="38A9051A">
            <w:pPr>
              <w:spacing w:line="240" w:lineRule="auto"/>
              <w:ind w:firstLine="0" w:firstLineChars="0"/>
              <w:jc w:val="center"/>
              <w:rPr>
                <w:bCs/>
                <w:color w:val="auto"/>
                <w:sz w:val="21"/>
                <w:szCs w:val="21"/>
              </w:rPr>
            </w:pPr>
            <w:r>
              <w:rPr>
                <w:color w:val="auto"/>
                <w:sz w:val="21"/>
                <w:szCs w:val="21"/>
              </w:rPr>
              <w:t>15</w:t>
            </w:r>
          </w:p>
        </w:tc>
        <w:tc>
          <w:tcPr>
            <w:tcW w:w="883" w:type="pct"/>
            <w:tcBorders>
              <w:tl2br w:val="nil"/>
              <w:tr2bl w:val="nil"/>
            </w:tcBorders>
            <w:vAlign w:val="center"/>
          </w:tcPr>
          <w:p w14:paraId="47357E27">
            <w:pPr>
              <w:spacing w:line="240" w:lineRule="auto"/>
              <w:ind w:firstLine="0" w:firstLineChars="0"/>
              <w:jc w:val="center"/>
              <w:rPr>
                <w:bCs/>
                <w:color w:val="auto"/>
                <w:sz w:val="21"/>
                <w:szCs w:val="21"/>
              </w:rPr>
            </w:pPr>
            <w:r>
              <w:rPr>
                <w:color w:val="auto"/>
                <w:sz w:val="21"/>
                <w:szCs w:val="21"/>
              </w:rPr>
              <w:t>ND</w:t>
            </w:r>
            <w:r>
              <w:rPr>
                <w:rFonts w:hint="eastAsia"/>
                <w:color w:val="auto"/>
                <w:sz w:val="21"/>
                <w:szCs w:val="21"/>
              </w:rPr>
              <w:t>~</w:t>
            </w:r>
            <w:r>
              <w:rPr>
                <w:color w:val="auto"/>
                <w:sz w:val="21"/>
                <w:szCs w:val="21"/>
              </w:rPr>
              <w:t>0.3</w:t>
            </w:r>
          </w:p>
        </w:tc>
        <w:tc>
          <w:tcPr>
            <w:tcW w:w="829" w:type="pct"/>
            <w:tcBorders>
              <w:tl2br w:val="nil"/>
              <w:tr2bl w:val="nil"/>
            </w:tcBorders>
            <w:vAlign w:val="center"/>
          </w:tcPr>
          <w:p w14:paraId="6A35717C">
            <w:pPr>
              <w:spacing w:line="240" w:lineRule="auto"/>
              <w:ind w:firstLine="0" w:firstLineChars="0"/>
              <w:jc w:val="center"/>
              <w:rPr>
                <w:bCs/>
                <w:color w:val="auto"/>
                <w:sz w:val="21"/>
                <w:szCs w:val="21"/>
              </w:rPr>
            </w:pPr>
            <w:r>
              <w:rPr>
                <w:color w:val="auto"/>
                <w:sz w:val="21"/>
                <w:szCs w:val="21"/>
              </w:rPr>
              <w:t>/</w:t>
            </w:r>
          </w:p>
        </w:tc>
        <w:tc>
          <w:tcPr>
            <w:tcW w:w="613" w:type="pct"/>
            <w:tcBorders>
              <w:tl2br w:val="nil"/>
              <w:tr2bl w:val="nil"/>
            </w:tcBorders>
            <w:vAlign w:val="center"/>
          </w:tcPr>
          <w:p w14:paraId="1F4FA1A7">
            <w:pPr>
              <w:spacing w:line="240" w:lineRule="auto"/>
              <w:ind w:firstLine="0" w:firstLineChars="0"/>
              <w:jc w:val="center"/>
              <w:rPr>
                <w:bCs/>
                <w:color w:val="auto"/>
                <w:sz w:val="21"/>
                <w:szCs w:val="21"/>
              </w:rPr>
            </w:pPr>
            <w:r>
              <w:rPr>
                <w:rFonts w:hint="eastAsia"/>
                <w:bCs/>
                <w:color w:val="auto"/>
                <w:sz w:val="21"/>
                <w:szCs w:val="21"/>
              </w:rPr>
              <w:t>/</w:t>
            </w:r>
          </w:p>
        </w:tc>
        <w:tc>
          <w:tcPr>
            <w:tcW w:w="527" w:type="pct"/>
            <w:tcBorders>
              <w:tl2br w:val="nil"/>
              <w:tr2bl w:val="nil"/>
            </w:tcBorders>
            <w:vAlign w:val="center"/>
          </w:tcPr>
          <w:p w14:paraId="4CF943F5">
            <w:pPr>
              <w:spacing w:line="240" w:lineRule="auto"/>
              <w:ind w:firstLine="0" w:firstLineChars="0"/>
              <w:jc w:val="center"/>
              <w:rPr>
                <w:bCs/>
                <w:color w:val="auto"/>
                <w:sz w:val="21"/>
                <w:szCs w:val="21"/>
              </w:rPr>
            </w:pPr>
            <w:r>
              <w:rPr>
                <w:color w:val="auto"/>
                <w:sz w:val="21"/>
                <w:szCs w:val="21"/>
              </w:rPr>
              <w:t>达标</w:t>
            </w:r>
          </w:p>
        </w:tc>
      </w:tr>
      <w:tr w14:paraId="6F4401D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895" w:type="pct"/>
            <w:tcBorders>
              <w:tl2br w:val="nil"/>
              <w:tr2bl w:val="nil"/>
            </w:tcBorders>
          </w:tcPr>
          <w:p w14:paraId="49DAE53A">
            <w:pPr>
              <w:spacing w:line="240" w:lineRule="auto"/>
              <w:ind w:firstLine="0" w:firstLineChars="0"/>
              <w:jc w:val="center"/>
              <w:rPr>
                <w:color w:val="auto"/>
                <w:sz w:val="21"/>
                <w:szCs w:val="21"/>
              </w:rPr>
            </w:pPr>
            <w:bookmarkStart w:id="104" w:name="OLE_LINK61"/>
            <w:r>
              <w:rPr>
                <w:color w:val="auto"/>
                <w:sz w:val="21"/>
                <w:szCs w:val="21"/>
              </w:rPr>
              <w:t>䓛</w:t>
            </w:r>
            <w:bookmarkEnd w:id="104"/>
          </w:p>
        </w:tc>
        <w:tc>
          <w:tcPr>
            <w:tcW w:w="344" w:type="pct"/>
            <w:tcBorders>
              <w:tl2br w:val="nil"/>
              <w:tr2bl w:val="nil"/>
            </w:tcBorders>
          </w:tcPr>
          <w:p w14:paraId="6D98C9FE">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198A1301">
            <w:pPr>
              <w:spacing w:line="240" w:lineRule="auto"/>
              <w:ind w:firstLine="0" w:firstLineChars="0"/>
              <w:jc w:val="center"/>
              <w:rPr>
                <w:bCs/>
                <w:color w:val="auto"/>
                <w:sz w:val="21"/>
                <w:szCs w:val="21"/>
              </w:rPr>
            </w:pPr>
            <w:r>
              <w:rPr>
                <w:color w:val="auto"/>
                <w:sz w:val="21"/>
                <w:szCs w:val="21"/>
              </w:rPr>
              <w:t>0.1</w:t>
            </w:r>
          </w:p>
        </w:tc>
        <w:tc>
          <w:tcPr>
            <w:tcW w:w="493" w:type="pct"/>
            <w:tcBorders>
              <w:tl2br w:val="nil"/>
              <w:tr2bl w:val="nil"/>
            </w:tcBorders>
          </w:tcPr>
          <w:p w14:paraId="6107DF68">
            <w:pPr>
              <w:spacing w:line="240" w:lineRule="auto"/>
              <w:ind w:firstLine="0" w:firstLineChars="0"/>
              <w:jc w:val="center"/>
              <w:rPr>
                <w:bCs/>
                <w:color w:val="auto"/>
                <w:sz w:val="21"/>
                <w:szCs w:val="21"/>
              </w:rPr>
            </w:pPr>
            <w:r>
              <w:rPr>
                <w:color w:val="auto"/>
                <w:sz w:val="21"/>
                <w:szCs w:val="21"/>
              </w:rPr>
              <w:t>1293</w:t>
            </w:r>
          </w:p>
        </w:tc>
        <w:tc>
          <w:tcPr>
            <w:tcW w:w="883" w:type="pct"/>
            <w:tcBorders>
              <w:tl2br w:val="nil"/>
              <w:tr2bl w:val="nil"/>
            </w:tcBorders>
            <w:vAlign w:val="center"/>
          </w:tcPr>
          <w:p w14:paraId="06129504">
            <w:pPr>
              <w:spacing w:line="240" w:lineRule="auto"/>
              <w:ind w:firstLine="0" w:firstLineChars="0"/>
              <w:jc w:val="center"/>
              <w:rPr>
                <w:bCs/>
                <w:color w:val="auto"/>
                <w:sz w:val="21"/>
                <w:szCs w:val="21"/>
              </w:rPr>
            </w:pPr>
            <w:r>
              <w:rPr>
                <w:color w:val="auto"/>
                <w:sz w:val="21"/>
                <w:szCs w:val="21"/>
              </w:rPr>
              <w:t>ND</w:t>
            </w:r>
            <w:r>
              <w:rPr>
                <w:rFonts w:hint="eastAsia"/>
                <w:color w:val="auto"/>
                <w:sz w:val="21"/>
                <w:szCs w:val="21"/>
              </w:rPr>
              <w:t>~</w:t>
            </w:r>
            <w:r>
              <w:rPr>
                <w:color w:val="auto"/>
                <w:sz w:val="21"/>
                <w:szCs w:val="21"/>
              </w:rPr>
              <w:t>0.3</w:t>
            </w:r>
          </w:p>
        </w:tc>
        <w:tc>
          <w:tcPr>
            <w:tcW w:w="829" w:type="pct"/>
            <w:tcBorders>
              <w:tl2br w:val="nil"/>
              <w:tr2bl w:val="nil"/>
            </w:tcBorders>
            <w:vAlign w:val="center"/>
          </w:tcPr>
          <w:p w14:paraId="11EB7413">
            <w:pPr>
              <w:spacing w:line="240" w:lineRule="auto"/>
              <w:ind w:firstLine="0" w:firstLineChars="0"/>
              <w:jc w:val="center"/>
              <w:rPr>
                <w:bCs/>
                <w:color w:val="auto"/>
                <w:sz w:val="21"/>
                <w:szCs w:val="21"/>
              </w:rPr>
            </w:pPr>
            <w:r>
              <w:rPr>
                <w:color w:val="auto"/>
                <w:sz w:val="21"/>
                <w:szCs w:val="21"/>
              </w:rPr>
              <w:t>/</w:t>
            </w:r>
          </w:p>
        </w:tc>
        <w:tc>
          <w:tcPr>
            <w:tcW w:w="613" w:type="pct"/>
            <w:tcBorders>
              <w:tl2br w:val="nil"/>
              <w:tr2bl w:val="nil"/>
            </w:tcBorders>
            <w:vAlign w:val="center"/>
          </w:tcPr>
          <w:p w14:paraId="10D0CA88">
            <w:pPr>
              <w:spacing w:line="240" w:lineRule="auto"/>
              <w:ind w:firstLine="0" w:firstLineChars="0"/>
              <w:jc w:val="center"/>
              <w:rPr>
                <w:bCs/>
                <w:color w:val="auto"/>
                <w:sz w:val="21"/>
                <w:szCs w:val="21"/>
              </w:rPr>
            </w:pPr>
            <w:r>
              <w:rPr>
                <w:rFonts w:hint="eastAsia"/>
                <w:bCs/>
                <w:color w:val="auto"/>
                <w:sz w:val="21"/>
                <w:szCs w:val="21"/>
              </w:rPr>
              <w:t>/</w:t>
            </w:r>
          </w:p>
        </w:tc>
        <w:tc>
          <w:tcPr>
            <w:tcW w:w="527" w:type="pct"/>
            <w:tcBorders>
              <w:tl2br w:val="nil"/>
              <w:tr2bl w:val="nil"/>
            </w:tcBorders>
            <w:vAlign w:val="center"/>
          </w:tcPr>
          <w:p w14:paraId="34F67DC7">
            <w:pPr>
              <w:spacing w:line="240" w:lineRule="auto"/>
              <w:ind w:firstLine="0" w:firstLineChars="0"/>
              <w:jc w:val="center"/>
              <w:rPr>
                <w:bCs/>
                <w:color w:val="auto"/>
                <w:sz w:val="21"/>
                <w:szCs w:val="21"/>
              </w:rPr>
            </w:pPr>
            <w:r>
              <w:rPr>
                <w:color w:val="auto"/>
                <w:sz w:val="21"/>
                <w:szCs w:val="21"/>
              </w:rPr>
              <w:t>达标</w:t>
            </w:r>
          </w:p>
        </w:tc>
      </w:tr>
      <w:tr w14:paraId="0E463D1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1F08CC43">
            <w:pPr>
              <w:spacing w:line="240" w:lineRule="auto"/>
              <w:ind w:firstLine="0" w:firstLineChars="0"/>
              <w:jc w:val="center"/>
              <w:rPr>
                <w:color w:val="auto"/>
                <w:sz w:val="21"/>
                <w:szCs w:val="21"/>
              </w:rPr>
            </w:pPr>
            <w:r>
              <w:rPr>
                <w:color w:val="auto"/>
                <w:sz w:val="21"/>
                <w:szCs w:val="21"/>
              </w:rPr>
              <w:t>苯并[b]荧蒽</w:t>
            </w:r>
          </w:p>
        </w:tc>
        <w:tc>
          <w:tcPr>
            <w:tcW w:w="344" w:type="pct"/>
            <w:tcBorders>
              <w:tl2br w:val="nil"/>
              <w:tr2bl w:val="nil"/>
            </w:tcBorders>
          </w:tcPr>
          <w:p w14:paraId="2F90F0BF">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66709106">
            <w:pPr>
              <w:spacing w:line="240" w:lineRule="auto"/>
              <w:ind w:firstLine="0" w:firstLineChars="0"/>
              <w:jc w:val="center"/>
              <w:rPr>
                <w:bCs/>
                <w:color w:val="auto"/>
                <w:sz w:val="21"/>
                <w:szCs w:val="21"/>
              </w:rPr>
            </w:pPr>
            <w:r>
              <w:rPr>
                <w:color w:val="auto"/>
                <w:sz w:val="21"/>
                <w:szCs w:val="21"/>
              </w:rPr>
              <w:t>0.2</w:t>
            </w:r>
          </w:p>
        </w:tc>
        <w:tc>
          <w:tcPr>
            <w:tcW w:w="493" w:type="pct"/>
            <w:tcBorders>
              <w:tl2br w:val="nil"/>
              <w:tr2bl w:val="nil"/>
            </w:tcBorders>
          </w:tcPr>
          <w:p w14:paraId="07787185">
            <w:pPr>
              <w:spacing w:line="240" w:lineRule="auto"/>
              <w:ind w:firstLine="0" w:firstLineChars="0"/>
              <w:jc w:val="center"/>
              <w:rPr>
                <w:bCs/>
                <w:color w:val="auto"/>
                <w:sz w:val="21"/>
                <w:szCs w:val="21"/>
              </w:rPr>
            </w:pPr>
            <w:r>
              <w:rPr>
                <w:color w:val="auto"/>
                <w:sz w:val="21"/>
                <w:szCs w:val="21"/>
              </w:rPr>
              <w:t>15</w:t>
            </w:r>
          </w:p>
        </w:tc>
        <w:tc>
          <w:tcPr>
            <w:tcW w:w="883" w:type="pct"/>
            <w:tcBorders>
              <w:tl2br w:val="nil"/>
              <w:tr2bl w:val="nil"/>
            </w:tcBorders>
            <w:vAlign w:val="center"/>
          </w:tcPr>
          <w:p w14:paraId="32A7A2BB">
            <w:pPr>
              <w:spacing w:line="240" w:lineRule="auto"/>
              <w:ind w:firstLine="0" w:firstLineChars="0"/>
              <w:jc w:val="center"/>
              <w:rPr>
                <w:bCs/>
                <w:color w:val="auto"/>
                <w:sz w:val="21"/>
                <w:szCs w:val="21"/>
              </w:rPr>
            </w:pPr>
            <w:r>
              <w:rPr>
                <w:color w:val="auto"/>
                <w:sz w:val="21"/>
                <w:szCs w:val="21"/>
              </w:rPr>
              <w:t>ND</w:t>
            </w:r>
            <w:r>
              <w:rPr>
                <w:rFonts w:hint="eastAsia"/>
                <w:color w:val="auto"/>
                <w:sz w:val="21"/>
                <w:szCs w:val="21"/>
              </w:rPr>
              <w:t>~</w:t>
            </w:r>
            <w:r>
              <w:rPr>
                <w:color w:val="auto"/>
                <w:sz w:val="21"/>
                <w:szCs w:val="21"/>
              </w:rPr>
              <w:t>0.4</w:t>
            </w:r>
          </w:p>
        </w:tc>
        <w:tc>
          <w:tcPr>
            <w:tcW w:w="829" w:type="pct"/>
            <w:tcBorders>
              <w:tl2br w:val="nil"/>
              <w:tr2bl w:val="nil"/>
            </w:tcBorders>
            <w:vAlign w:val="center"/>
          </w:tcPr>
          <w:p w14:paraId="641AA83D">
            <w:pPr>
              <w:spacing w:line="240" w:lineRule="auto"/>
              <w:ind w:firstLine="0" w:firstLineChars="0"/>
              <w:jc w:val="center"/>
              <w:rPr>
                <w:bCs/>
                <w:color w:val="auto"/>
                <w:sz w:val="21"/>
                <w:szCs w:val="21"/>
              </w:rPr>
            </w:pPr>
            <w:r>
              <w:rPr>
                <w:color w:val="auto"/>
                <w:sz w:val="21"/>
                <w:szCs w:val="21"/>
              </w:rPr>
              <w:t>/</w:t>
            </w:r>
          </w:p>
        </w:tc>
        <w:tc>
          <w:tcPr>
            <w:tcW w:w="613" w:type="pct"/>
            <w:tcBorders>
              <w:tl2br w:val="nil"/>
              <w:tr2bl w:val="nil"/>
            </w:tcBorders>
            <w:vAlign w:val="center"/>
          </w:tcPr>
          <w:p w14:paraId="6DB510DC">
            <w:pPr>
              <w:spacing w:line="240" w:lineRule="auto"/>
              <w:ind w:firstLine="0" w:firstLineChars="0"/>
              <w:jc w:val="center"/>
              <w:rPr>
                <w:bCs/>
                <w:color w:val="auto"/>
                <w:sz w:val="21"/>
                <w:szCs w:val="21"/>
              </w:rPr>
            </w:pPr>
            <w:r>
              <w:rPr>
                <w:rFonts w:hint="eastAsia"/>
                <w:bCs/>
                <w:color w:val="auto"/>
                <w:sz w:val="21"/>
                <w:szCs w:val="21"/>
              </w:rPr>
              <w:t>/</w:t>
            </w:r>
          </w:p>
        </w:tc>
        <w:tc>
          <w:tcPr>
            <w:tcW w:w="527" w:type="pct"/>
            <w:tcBorders>
              <w:tl2br w:val="nil"/>
              <w:tr2bl w:val="nil"/>
            </w:tcBorders>
            <w:vAlign w:val="center"/>
          </w:tcPr>
          <w:p w14:paraId="5654CCEB">
            <w:pPr>
              <w:spacing w:line="240" w:lineRule="auto"/>
              <w:ind w:firstLine="0" w:firstLineChars="0"/>
              <w:jc w:val="center"/>
              <w:rPr>
                <w:bCs/>
                <w:color w:val="auto"/>
                <w:sz w:val="21"/>
                <w:szCs w:val="21"/>
              </w:rPr>
            </w:pPr>
            <w:r>
              <w:rPr>
                <w:color w:val="auto"/>
                <w:sz w:val="21"/>
                <w:szCs w:val="21"/>
              </w:rPr>
              <w:t>达标</w:t>
            </w:r>
          </w:p>
        </w:tc>
      </w:tr>
      <w:tr w14:paraId="6D24C08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78" w:hRule="atLeast"/>
          <w:jc w:val="center"/>
        </w:trPr>
        <w:tc>
          <w:tcPr>
            <w:tcW w:w="895" w:type="pct"/>
            <w:tcBorders>
              <w:tl2br w:val="nil"/>
              <w:tr2bl w:val="nil"/>
            </w:tcBorders>
          </w:tcPr>
          <w:p w14:paraId="37A2A6DF">
            <w:pPr>
              <w:spacing w:line="240" w:lineRule="auto"/>
              <w:ind w:firstLine="0" w:firstLineChars="0"/>
              <w:jc w:val="center"/>
              <w:rPr>
                <w:bCs/>
                <w:color w:val="auto"/>
                <w:sz w:val="21"/>
                <w:szCs w:val="21"/>
              </w:rPr>
            </w:pPr>
            <w:r>
              <w:rPr>
                <w:color w:val="auto"/>
                <w:sz w:val="21"/>
                <w:szCs w:val="21"/>
              </w:rPr>
              <w:t>苯并[k]荧蒽</w:t>
            </w:r>
          </w:p>
        </w:tc>
        <w:tc>
          <w:tcPr>
            <w:tcW w:w="344" w:type="pct"/>
            <w:tcBorders>
              <w:tl2br w:val="nil"/>
              <w:tr2bl w:val="nil"/>
            </w:tcBorders>
          </w:tcPr>
          <w:p w14:paraId="75E89B17">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7792B8A3">
            <w:pPr>
              <w:spacing w:line="240" w:lineRule="auto"/>
              <w:ind w:firstLine="0" w:firstLineChars="0"/>
              <w:jc w:val="center"/>
              <w:rPr>
                <w:bCs/>
                <w:color w:val="auto"/>
                <w:sz w:val="21"/>
                <w:szCs w:val="21"/>
              </w:rPr>
            </w:pPr>
            <w:r>
              <w:rPr>
                <w:color w:val="auto"/>
                <w:sz w:val="21"/>
                <w:szCs w:val="21"/>
              </w:rPr>
              <w:t>0.1</w:t>
            </w:r>
          </w:p>
        </w:tc>
        <w:tc>
          <w:tcPr>
            <w:tcW w:w="493" w:type="pct"/>
            <w:tcBorders>
              <w:tl2br w:val="nil"/>
              <w:tr2bl w:val="nil"/>
            </w:tcBorders>
          </w:tcPr>
          <w:p w14:paraId="52C24C03">
            <w:pPr>
              <w:spacing w:line="240" w:lineRule="auto"/>
              <w:ind w:firstLine="0" w:firstLineChars="0"/>
              <w:jc w:val="center"/>
              <w:rPr>
                <w:bCs/>
                <w:color w:val="auto"/>
                <w:sz w:val="21"/>
                <w:szCs w:val="21"/>
              </w:rPr>
            </w:pPr>
            <w:r>
              <w:rPr>
                <w:color w:val="auto"/>
                <w:sz w:val="21"/>
                <w:szCs w:val="21"/>
              </w:rPr>
              <w:t>151</w:t>
            </w:r>
          </w:p>
        </w:tc>
        <w:tc>
          <w:tcPr>
            <w:tcW w:w="883" w:type="pct"/>
            <w:tcBorders>
              <w:tl2br w:val="nil"/>
              <w:tr2bl w:val="nil"/>
            </w:tcBorders>
            <w:vAlign w:val="center"/>
          </w:tcPr>
          <w:p w14:paraId="02EAE03E">
            <w:pPr>
              <w:spacing w:line="240" w:lineRule="auto"/>
              <w:ind w:firstLine="0" w:firstLineChars="0"/>
              <w:jc w:val="center"/>
              <w:rPr>
                <w:bCs/>
                <w:color w:val="auto"/>
                <w:sz w:val="21"/>
                <w:szCs w:val="21"/>
              </w:rPr>
            </w:pPr>
            <w:r>
              <w:rPr>
                <w:color w:val="auto"/>
                <w:sz w:val="21"/>
                <w:szCs w:val="21"/>
              </w:rPr>
              <w:t>ND</w:t>
            </w:r>
            <w:r>
              <w:rPr>
                <w:rFonts w:hint="eastAsia"/>
                <w:color w:val="auto"/>
                <w:sz w:val="21"/>
                <w:szCs w:val="21"/>
              </w:rPr>
              <w:t>~</w:t>
            </w:r>
            <w:r>
              <w:rPr>
                <w:color w:val="auto"/>
                <w:sz w:val="21"/>
                <w:szCs w:val="21"/>
              </w:rPr>
              <w:t>0.2</w:t>
            </w:r>
          </w:p>
        </w:tc>
        <w:tc>
          <w:tcPr>
            <w:tcW w:w="829" w:type="pct"/>
            <w:tcBorders>
              <w:tl2br w:val="nil"/>
              <w:tr2bl w:val="nil"/>
            </w:tcBorders>
            <w:vAlign w:val="center"/>
          </w:tcPr>
          <w:p w14:paraId="07A95323">
            <w:pPr>
              <w:spacing w:line="240" w:lineRule="auto"/>
              <w:ind w:firstLine="0" w:firstLineChars="0"/>
              <w:jc w:val="center"/>
              <w:rPr>
                <w:bCs/>
                <w:color w:val="auto"/>
                <w:sz w:val="21"/>
                <w:szCs w:val="21"/>
              </w:rPr>
            </w:pPr>
            <w:r>
              <w:rPr>
                <w:color w:val="auto"/>
                <w:sz w:val="21"/>
                <w:szCs w:val="21"/>
              </w:rPr>
              <w:t>/</w:t>
            </w:r>
          </w:p>
        </w:tc>
        <w:tc>
          <w:tcPr>
            <w:tcW w:w="613" w:type="pct"/>
            <w:tcBorders>
              <w:tl2br w:val="nil"/>
              <w:tr2bl w:val="nil"/>
            </w:tcBorders>
            <w:vAlign w:val="center"/>
          </w:tcPr>
          <w:p w14:paraId="05E72A6E">
            <w:pPr>
              <w:spacing w:line="240" w:lineRule="auto"/>
              <w:ind w:firstLine="0" w:firstLineChars="0"/>
              <w:jc w:val="center"/>
              <w:rPr>
                <w:bCs/>
                <w:color w:val="auto"/>
                <w:sz w:val="21"/>
                <w:szCs w:val="21"/>
              </w:rPr>
            </w:pPr>
            <w:r>
              <w:rPr>
                <w:rFonts w:hint="eastAsia"/>
                <w:bCs/>
                <w:color w:val="auto"/>
                <w:sz w:val="21"/>
                <w:szCs w:val="21"/>
              </w:rPr>
              <w:t>/</w:t>
            </w:r>
          </w:p>
        </w:tc>
        <w:tc>
          <w:tcPr>
            <w:tcW w:w="527" w:type="pct"/>
            <w:tcBorders>
              <w:tl2br w:val="nil"/>
              <w:tr2bl w:val="nil"/>
            </w:tcBorders>
            <w:vAlign w:val="center"/>
          </w:tcPr>
          <w:p w14:paraId="105377B9">
            <w:pPr>
              <w:spacing w:line="240" w:lineRule="auto"/>
              <w:ind w:firstLine="0" w:firstLineChars="0"/>
              <w:jc w:val="center"/>
              <w:rPr>
                <w:bCs/>
                <w:color w:val="auto"/>
                <w:sz w:val="21"/>
                <w:szCs w:val="21"/>
              </w:rPr>
            </w:pPr>
            <w:r>
              <w:rPr>
                <w:color w:val="auto"/>
                <w:sz w:val="21"/>
                <w:szCs w:val="21"/>
              </w:rPr>
              <w:t>达标</w:t>
            </w:r>
          </w:p>
        </w:tc>
      </w:tr>
      <w:tr w14:paraId="090887E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39" w:hRule="atLeast"/>
          <w:jc w:val="center"/>
        </w:trPr>
        <w:tc>
          <w:tcPr>
            <w:tcW w:w="895" w:type="pct"/>
            <w:tcBorders>
              <w:tl2br w:val="nil"/>
              <w:tr2bl w:val="nil"/>
            </w:tcBorders>
          </w:tcPr>
          <w:p w14:paraId="35FA3F67">
            <w:pPr>
              <w:spacing w:line="240" w:lineRule="auto"/>
              <w:ind w:firstLine="0" w:firstLineChars="0"/>
              <w:jc w:val="center"/>
              <w:rPr>
                <w:bCs/>
                <w:color w:val="auto"/>
                <w:sz w:val="21"/>
                <w:szCs w:val="21"/>
              </w:rPr>
            </w:pPr>
            <w:r>
              <w:rPr>
                <w:color w:val="auto"/>
                <w:sz w:val="21"/>
                <w:szCs w:val="21"/>
              </w:rPr>
              <w:t>苯并[a]芘</w:t>
            </w:r>
          </w:p>
        </w:tc>
        <w:tc>
          <w:tcPr>
            <w:tcW w:w="344" w:type="pct"/>
            <w:tcBorders>
              <w:tl2br w:val="nil"/>
              <w:tr2bl w:val="nil"/>
            </w:tcBorders>
          </w:tcPr>
          <w:p w14:paraId="5C5F15C7">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46D35872">
            <w:pPr>
              <w:spacing w:line="240" w:lineRule="auto"/>
              <w:ind w:firstLine="0" w:firstLineChars="0"/>
              <w:jc w:val="center"/>
              <w:rPr>
                <w:bCs/>
                <w:color w:val="auto"/>
                <w:sz w:val="21"/>
                <w:szCs w:val="21"/>
              </w:rPr>
            </w:pPr>
            <w:r>
              <w:rPr>
                <w:color w:val="auto"/>
                <w:sz w:val="21"/>
                <w:szCs w:val="21"/>
              </w:rPr>
              <w:t>0.1</w:t>
            </w:r>
          </w:p>
        </w:tc>
        <w:tc>
          <w:tcPr>
            <w:tcW w:w="493" w:type="pct"/>
            <w:tcBorders>
              <w:tl2br w:val="nil"/>
              <w:tr2bl w:val="nil"/>
            </w:tcBorders>
          </w:tcPr>
          <w:p w14:paraId="34F4EF7F">
            <w:pPr>
              <w:spacing w:line="240" w:lineRule="auto"/>
              <w:ind w:firstLine="0" w:firstLineChars="0"/>
              <w:jc w:val="center"/>
              <w:rPr>
                <w:bCs/>
                <w:color w:val="auto"/>
                <w:sz w:val="21"/>
                <w:szCs w:val="21"/>
              </w:rPr>
            </w:pPr>
            <w:r>
              <w:rPr>
                <w:color w:val="auto"/>
                <w:sz w:val="21"/>
                <w:szCs w:val="21"/>
              </w:rPr>
              <w:t>1.5</w:t>
            </w:r>
          </w:p>
        </w:tc>
        <w:tc>
          <w:tcPr>
            <w:tcW w:w="883" w:type="pct"/>
            <w:tcBorders>
              <w:tl2br w:val="nil"/>
              <w:tr2bl w:val="nil"/>
            </w:tcBorders>
            <w:vAlign w:val="center"/>
          </w:tcPr>
          <w:p w14:paraId="3394AC0F">
            <w:pPr>
              <w:spacing w:line="240" w:lineRule="auto"/>
              <w:ind w:firstLine="0" w:firstLineChars="0"/>
              <w:jc w:val="center"/>
              <w:rPr>
                <w:bCs/>
                <w:color w:val="auto"/>
                <w:sz w:val="21"/>
                <w:szCs w:val="21"/>
              </w:rPr>
            </w:pPr>
            <w:r>
              <w:rPr>
                <w:color w:val="auto"/>
                <w:sz w:val="21"/>
                <w:szCs w:val="21"/>
              </w:rPr>
              <w:t>ND</w:t>
            </w:r>
            <w:r>
              <w:rPr>
                <w:rFonts w:hint="eastAsia"/>
                <w:color w:val="auto"/>
                <w:sz w:val="21"/>
                <w:szCs w:val="21"/>
              </w:rPr>
              <w:t>~</w:t>
            </w:r>
            <w:r>
              <w:rPr>
                <w:color w:val="auto"/>
                <w:sz w:val="21"/>
                <w:szCs w:val="21"/>
              </w:rPr>
              <w:t>0.4</w:t>
            </w:r>
          </w:p>
        </w:tc>
        <w:tc>
          <w:tcPr>
            <w:tcW w:w="829" w:type="pct"/>
            <w:tcBorders>
              <w:tl2br w:val="nil"/>
              <w:tr2bl w:val="nil"/>
            </w:tcBorders>
            <w:vAlign w:val="center"/>
          </w:tcPr>
          <w:p w14:paraId="69999BE1">
            <w:pPr>
              <w:spacing w:line="240" w:lineRule="auto"/>
              <w:ind w:firstLine="0" w:firstLineChars="0"/>
              <w:jc w:val="center"/>
              <w:rPr>
                <w:bCs/>
                <w:color w:val="auto"/>
                <w:sz w:val="21"/>
                <w:szCs w:val="21"/>
              </w:rPr>
            </w:pPr>
            <w:r>
              <w:rPr>
                <w:color w:val="auto"/>
                <w:sz w:val="21"/>
                <w:szCs w:val="21"/>
              </w:rPr>
              <w:t>/</w:t>
            </w:r>
          </w:p>
        </w:tc>
        <w:tc>
          <w:tcPr>
            <w:tcW w:w="613" w:type="pct"/>
            <w:tcBorders>
              <w:tl2br w:val="nil"/>
              <w:tr2bl w:val="nil"/>
            </w:tcBorders>
            <w:vAlign w:val="center"/>
          </w:tcPr>
          <w:p w14:paraId="44FDFE2D">
            <w:pPr>
              <w:spacing w:line="240" w:lineRule="auto"/>
              <w:ind w:firstLine="0" w:firstLineChars="0"/>
              <w:jc w:val="center"/>
              <w:rPr>
                <w:bCs/>
                <w:color w:val="auto"/>
                <w:sz w:val="21"/>
                <w:szCs w:val="21"/>
              </w:rPr>
            </w:pPr>
            <w:r>
              <w:rPr>
                <w:rFonts w:hint="eastAsia"/>
                <w:bCs/>
                <w:color w:val="auto"/>
                <w:sz w:val="21"/>
                <w:szCs w:val="21"/>
              </w:rPr>
              <w:t>/</w:t>
            </w:r>
          </w:p>
        </w:tc>
        <w:tc>
          <w:tcPr>
            <w:tcW w:w="527" w:type="pct"/>
            <w:tcBorders>
              <w:tl2br w:val="nil"/>
              <w:tr2bl w:val="nil"/>
            </w:tcBorders>
            <w:vAlign w:val="center"/>
          </w:tcPr>
          <w:p w14:paraId="5F0CCC5A">
            <w:pPr>
              <w:spacing w:line="240" w:lineRule="auto"/>
              <w:ind w:firstLine="0" w:firstLineChars="0"/>
              <w:jc w:val="center"/>
              <w:rPr>
                <w:bCs/>
                <w:color w:val="auto"/>
                <w:sz w:val="21"/>
                <w:szCs w:val="21"/>
              </w:rPr>
            </w:pPr>
            <w:r>
              <w:rPr>
                <w:color w:val="auto"/>
                <w:sz w:val="21"/>
                <w:szCs w:val="21"/>
              </w:rPr>
              <w:t>达标</w:t>
            </w:r>
          </w:p>
        </w:tc>
      </w:tr>
      <w:tr w14:paraId="5A953D1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2751FE96">
            <w:pPr>
              <w:spacing w:line="240" w:lineRule="auto"/>
              <w:ind w:firstLine="0" w:firstLineChars="0"/>
              <w:jc w:val="center"/>
              <w:rPr>
                <w:bCs/>
                <w:color w:val="auto"/>
                <w:sz w:val="21"/>
                <w:szCs w:val="21"/>
              </w:rPr>
            </w:pPr>
            <w:r>
              <w:rPr>
                <w:color w:val="auto"/>
                <w:sz w:val="21"/>
                <w:szCs w:val="21"/>
              </w:rPr>
              <w:t>茚并[1,2,3-cd]芘</w:t>
            </w:r>
          </w:p>
        </w:tc>
        <w:tc>
          <w:tcPr>
            <w:tcW w:w="344" w:type="pct"/>
            <w:tcBorders>
              <w:tl2br w:val="nil"/>
              <w:tr2bl w:val="nil"/>
            </w:tcBorders>
          </w:tcPr>
          <w:p w14:paraId="0FA08248">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1BB2CA11">
            <w:pPr>
              <w:spacing w:line="240" w:lineRule="auto"/>
              <w:ind w:firstLine="0" w:firstLineChars="0"/>
              <w:jc w:val="center"/>
              <w:rPr>
                <w:bCs/>
                <w:color w:val="auto"/>
                <w:sz w:val="21"/>
                <w:szCs w:val="21"/>
              </w:rPr>
            </w:pPr>
            <w:r>
              <w:rPr>
                <w:color w:val="auto"/>
                <w:sz w:val="21"/>
                <w:szCs w:val="21"/>
              </w:rPr>
              <w:t>0.1</w:t>
            </w:r>
          </w:p>
        </w:tc>
        <w:tc>
          <w:tcPr>
            <w:tcW w:w="493" w:type="pct"/>
            <w:tcBorders>
              <w:tl2br w:val="nil"/>
              <w:tr2bl w:val="nil"/>
            </w:tcBorders>
          </w:tcPr>
          <w:p w14:paraId="34FEB3B6">
            <w:pPr>
              <w:spacing w:line="240" w:lineRule="auto"/>
              <w:ind w:firstLine="0" w:firstLineChars="0"/>
              <w:jc w:val="center"/>
              <w:rPr>
                <w:bCs/>
                <w:color w:val="auto"/>
                <w:sz w:val="21"/>
                <w:szCs w:val="21"/>
              </w:rPr>
            </w:pPr>
            <w:r>
              <w:rPr>
                <w:color w:val="auto"/>
                <w:sz w:val="21"/>
                <w:szCs w:val="21"/>
              </w:rPr>
              <w:t>15</w:t>
            </w:r>
          </w:p>
        </w:tc>
        <w:tc>
          <w:tcPr>
            <w:tcW w:w="883" w:type="pct"/>
            <w:tcBorders>
              <w:tl2br w:val="nil"/>
              <w:tr2bl w:val="nil"/>
            </w:tcBorders>
            <w:vAlign w:val="center"/>
          </w:tcPr>
          <w:p w14:paraId="2A41162D">
            <w:pPr>
              <w:spacing w:line="240" w:lineRule="auto"/>
              <w:ind w:firstLine="0" w:firstLineChars="0"/>
              <w:jc w:val="center"/>
              <w:rPr>
                <w:bCs/>
                <w:color w:val="auto"/>
                <w:sz w:val="21"/>
                <w:szCs w:val="21"/>
              </w:rPr>
            </w:pPr>
            <w:r>
              <w:rPr>
                <w:color w:val="auto"/>
                <w:sz w:val="21"/>
                <w:szCs w:val="21"/>
              </w:rPr>
              <w:t>ND</w:t>
            </w:r>
            <w:r>
              <w:rPr>
                <w:rFonts w:hint="eastAsia"/>
                <w:color w:val="auto"/>
                <w:sz w:val="21"/>
                <w:szCs w:val="21"/>
              </w:rPr>
              <w:t>~</w:t>
            </w:r>
            <w:r>
              <w:rPr>
                <w:color w:val="auto"/>
                <w:sz w:val="21"/>
                <w:szCs w:val="21"/>
              </w:rPr>
              <w:t>0.2</w:t>
            </w:r>
          </w:p>
        </w:tc>
        <w:tc>
          <w:tcPr>
            <w:tcW w:w="829" w:type="pct"/>
            <w:tcBorders>
              <w:tl2br w:val="nil"/>
              <w:tr2bl w:val="nil"/>
            </w:tcBorders>
            <w:vAlign w:val="center"/>
          </w:tcPr>
          <w:p w14:paraId="1DFC73A6">
            <w:pPr>
              <w:spacing w:line="240" w:lineRule="auto"/>
              <w:ind w:firstLine="0" w:firstLineChars="0"/>
              <w:jc w:val="center"/>
              <w:rPr>
                <w:bCs/>
                <w:color w:val="auto"/>
                <w:sz w:val="21"/>
                <w:szCs w:val="21"/>
              </w:rPr>
            </w:pPr>
            <w:r>
              <w:rPr>
                <w:color w:val="auto"/>
                <w:sz w:val="21"/>
                <w:szCs w:val="21"/>
              </w:rPr>
              <w:t>/</w:t>
            </w:r>
          </w:p>
        </w:tc>
        <w:tc>
          <w:tcPr>
            <w:tcW w:w="613" w:type="pct"/>
            <w:tcBorders>
              <w:tl2br w:val="nil"/>
              <w:tr2bl w:val="nil"/>
            </w:tcBorders>
            <w:vAlign w:val="center"/>
          </w:tcPr>
          <w:p w14:paraId="78ED5CBA">
            <w:pPr>
              <w:spacing w:line="240" w:lineRule="auto"/>
              <w:ind w:firstLine="0" w:firstLineChars="0"/>
              <w:jc w:val="center"/>
              <w:rPr>
                <w:bCs/>
                <w:color w:val="auto"/>
                <w:sz w:val="21"/>
                <w:szCs w:val="21"/>
              </w:rPr>
            </w:pPr>
            <w:r>
              <w:rPr>
                <w:rFonts w:hint="eastAsia"/>
                <w:bCs/>
                <w:color w:val="auto"/>
                <w:sz w:val="21"/>
                <w:szCs w:val="21"/>
              </w:rPr>
              <w:t>/</w:t>
            </w:r>
          </w:p>
        </w:tc>
        <w:tc>
          <w:tcPr>
            <w:tcW w:w="527" w:type="pct"/>
            <w:tcBorders>
              <w:tl2br w:val="nil"/>
              <w:tr2bl w:val="nil"/>
            </w:tcBorders>
            <w:vAlign w:val="center"/>
          </w:tcPr>
          <w:p w14:paraId="450B38F7">
            <w:pPr>
              <w:spacing w:line="240" w:lineRule="auto"/>
              <w:ind w:firstLine="0" w:firstLineChars="0"/>
              <w:jc w:val="center"/>
              <w:rPr>
                <w:bCs/>
                <w:color w:val="auto"/>
                <w:sz w:val="21"/>
                <w:szCs w:val="21"/>
              </w:rPr>
            </w:pPr>
            <w:r>
              <w:rPr>
                <w:color w:val="auto"/>
                <w:sz w:val="21"/>
                <w:szCs w:val="21"/>
              </w:rPr>
              <w:t>达标</w:t>
            </w:r>
          </w:p>
        </w:tc>
      </w:tr>
      <w:tr w14:paraId="724C52C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895" w:type="pct"/>
            <w:tcBorders>
              <w:tl2br w:val="nil"/>
              <w:tr2bl w:val="nil"/>
            </w:tcBorders>
          </w:tcPr>
          <w:p w14:paraId="2A5466C8">
            <w:pPr>
              <w:spacing w:line="240" w:lineRule="auto"/>
              <w:ind w:firstLine="0" w:firstLineChars="0"/>
              <w:jc w:val="center"/>
              <w:rPr>
                <w:bCs/>
                <w:color w:val="auto"/>
                <w:sz w:val="21"/>
                <w:szCs w:val="21"/>
              </w:rPr>
            </w:pPr>
            <w:r>
              <w:rPr>
                <w:color w:val="auto"/>
                <w:sz w:val="21"/>
                <w:szCs w:val="21"/>
              </w:rPr>
              <w:t>石油烃(C</w:t>
            </w:r>
            <w:r>
              <w:rPr>
                <w:color w:val="auto"/>
                <w:sz w:val="21"/>
                <w:szCs w:val="21"/>
                <w:vertAlign w:val="subscript"/>
              </w:rPr>
              <w:t>10</w:t>
            </w:r>
            <w:r>
              <w:rPr>
                <w:color w:val="auto"/>
                <w:sz w:val="21"/>
                <w:szCs w:val="21"/>
              </w:rPr>
              <w:t>-C</w:t>
            </w:r>
            <w:r>
              <w:rPr>
                <w:color w:val="auto"/>
                <w:sz w:val="21"/>
                <w:szCs w:val="21"/>
                <w:vertAlign w:val="subscript"/>
              </w:rPr>
              <w:t>40</w:t>
            </w:r>
            <w:r>
              <w:rPr>
                <w:color w:val="auto"/>
                <w:sz w:val="21"/>
                <w:szCs w:val="21"/>
              </w:rPr>
              <w:t>)</w:t>
            </w:r>
          </w:p>
        </w:tc>
        <w:tc>
          <w:tcPr>
            <w:tcW w:w="344" w:type="pct"/>
            <w:tcBorders>
              <w:tl2br w:val="nil"/>
              <w:tr2bl w:val="nil"/>
            </w:tcBorders>
          </w:tcPr>
          <w:p w14:paraId="02F7C394">
            <w:pPr>
              <w:spacing w:line="240" w:lineRule="auto"/>
              <w:ind w:firstLine="0" w:firstLineChars="0"/>
              <w:jc w:val="center"/>
              <w:rPr>
                <w:bCs/>
                <w:color w:val="auto"/>
                <w:sz w:val="21"/>
                <w:szCs w:val="21"/>
              </w:rPr>
            </w:pPr>
            <w:r>
              <w:rPr>
                <w:color w:val="auto"/>
                <w:sz w:val="21"/>
                <w:szCs w:val="21"/>
              </w:rPr>
              <w:t>mg/kg</w:t>
            </w:r>
          </w:p>
        </w:tc>
        <w:tc>
          <w:tcPr>
            <w:tcW w:w="413" w:type="pct"/>
            <w:tcBorders>
              <w:tl2br w:val="nil"/>
              <w:tr2bl w:val="nil"/>
            </w:tcBorders>
          </w:tcPr>
          <w:p w14:paraId="7616ABBA">
            <w:pPr>
              <w:spacing w:line="240" w:lineRule="auto"/>
              <w:ind w:firstLine="0" w:firstLineChars="0"/>
              <w:jc w:val="center"/>
              <w:rPr>
                <w:bCs/>
                <w:color w:val="auto"/>
                <w:sz w:val="21"/>
                <w:szCs w:val="21"/>
              </w:rPr>
            </w:pPr>
            <w:r>
              <w:rPr>
                <w:color w:val="auto"/>
                <w:sz w:val="21"/>
                <w:szCs w:val="21"/>
              </w:rPr>
              <w:t>6</w:t>
            </w:r>
          </w:p>
        </w:tc>
        <w:tc>
          <w:tcPr>
            <w:tcW w:w="493" w:type="pct"/>
            <w:tcBorders>
              <w:tl2br w:val="nil"/>
              <w:tr2bl w:val="nil"/>
            </w:tcBorders>
          </w:tcPr>
          <w:p w14:paraId="5EC6E9CB">
            <w:pPr>
              <w:spacing w:line="240" w:lineRule="auto"/>
              <w:ind w:firstLine="0" w:firstLineChars="0"/>
              <w:jc w:val="center"/>
              <w:rPr>
                <w:bCs/>
                <w:color w:val="auto"/>
                <w:sz w:val="21"/>
                <w:szCs w:val="21"/>
              </w:rPr>
            </w:pPr>
            <w:r>
              <w:rPr>
                <w:color w:val="auto"/>
                <w:sz w:val="21"/>
                <w:szCs w:val="21"/>
              </w:rPr>
              <w:t>4500</w:t>
            </w:r>
          </w:p>
        </w:tc>
        <w:tc>
          <w:tcPr>
            <w:tcW w:w="883" w:type="pct"/>
            <w:tcBorders>
              <w:tl2br w:val="nil"/>
              <w:tr2bl w:val="nil"/>
            </w:tcBorders>
            <w:vAlign w:val="center"/>
          </w:tcPr>
          <w:p w14:paraId="1003FED2">
            <w:pPr>
              <w:spacing w:line="240" w:lineRule="auto"/>
              <w:ind w:firstLine="0" w:firstLineChars="0"/>
              <w:jc w:val="center"/>
              <w:rPr>
                <w:bCs/>
                <w:color w:val="auto"/>
                <w:sz w:val="21"/>
                <w:szCs w:val="21"/>
              </w:rPr>
            </w:pPr>
            <w:r>
              <w:rPr>
                <w:color w:val="auto"/>
                <w:sz w:val="21"/>
                <w:szCs w:val="21"/>
              </w:rPr>
              <w:t>ND</w:t>
            </w:r>
            <w:r>
              <w:rPr>
                <w:rFonts w:hint="eastAsia"/>
                <w:color w:val="auto"/>
                <w:sz w:val="21"/>
                <w:szCs w:val="21"/>
              </w:rPr>
              <w:t>~</w:t>
            </w:r>
            <w:r>
              <w:rPr>
                <w:color w:val="auto"/>
                <w:sz w:val="21"/>
                <w:szCs w:val="21"/>
              </w:rPr>
              <w:t>49</w:t>
            </w:r>
          </w:p>
        </w:tc>
        <w:tc>
          <w:tcPr>
            <w:tcW w:w="829" w:type="pct"/>
            <w:tcBorders>
              <w:tl2br w:val="nil"/>
              <w:tr2bl w:val="nil"/>
            </w:tcBorders>
            <w:vAlign w:val="center"/>
          </w:tcPr>
          <w:p w14:paraId="04536B40">
            <w:pPr>
              <w:spacing w:line="240" w:lineRule="auto"/>
              <w:ind w:firstLine="0" w:firstLineChars="0"/>
              <w:jc w:val="center"/>
              <w:rPr>
                <w:bCs/>
                <w:color w:val="auto"/>
                <w:sz w:val="21"/>
                <w:szCs w:val="21"/>
              </w:rPr>
            </w:pPr>
            <w:r>
              <w:rPr>
                <w:color w:val="auto"/>
                <w:sz w:val="21"/>
                <w:szCs w:val="21"/>
              </w:rPr>
              <w:t>21-37</w:t>
            </w:r>
          </w:p>
        </w:tc>
        <w:tc>
          <w:tcPr>
            <w:tcW w:w="613" w:type="pct"/>
            <w:tcBorders>
              <w:tl2br w:val="nil"/>
              <w:tr2bl w:val="nil"/>
            </w:tcBorders>
            <w:vAlign w:val="center"/>
          </w:tcPr>
          <w:p w14:paraId="0F462921">
            <w:pPr>
              <w:spacing w:line="240" w:lineRule="auto"/>
              <w:ind w:firstLine="0" w:firstLineChars="0"/>
              <w:jc w:val="center"/>
              <w:rPr>
                <w:bCs/>
                <w:color w:val="auto"/>
                <w:sz w:val="21"/>
                <w:szCs w:val="21"/>
              </w:rPr>
            </w:pPr>
            <w:r>
              <w:rPr>
                <w:rFonts w:hint="eastAsia"/>
                <w:bCs/>
                <w:color w:val="auto"/>
                <w:sz w:val="21"/>
                <w:szCs w:val="21"/>
              </w:rPr>
              <w:t>9~26</w:t>
            </w:r>
          </w:p>
        </w:tc>
        <w:tc>
          <w:tcPr>
            <w:tcW w:w="527" w:type="pct"/>
            <w:tcBorders>
              <w:tl2br w:val="nil"/>
              <w:tr2bl w:val="nil"/>
            </w:tcBorders>
            <w:vAlign w:val="center"/>
          </w:tcPr>
          <w:p w14:paraId="11A49748">
            <w:pPr>
              <w:spacing w:line="240" w:lineRule="auto"/>
              <w:ind w:firstLine="0" w:firstLineChars="0"/>
              <w:jc w:val="center"/>
              <w:rPr>
                <w:bCs/>
                <w:color w:val="auto"/>
                <w:sz w:val="21"/>
                <w:szCs w:val="21"/>
              </w:rPr>
            </w:pPr>
            <w:r>
              <w:rPr>
                <w:color w:val="auto"/>
                <w:sz w:val="21"/>
                <w:szCs w:val="21"/>
              </w:rPr>
              <w:t>达标</w:t>
            </w:r>
          </w:p>
        </w:tc>
      </w:tr>
    </w:tbl>
    <w:p w14:paraId="5E835686">
      <w:pPr>
        <w:spacing w:line="460" w:lineRule="exact"/>
        <w:ind w:firstLine="480"/>
        <w:rPr>
          <w:color w:val="auto"/>
        </w:rPr>
      </w:pPr>
      <w:r>
        <w:rPr>
          <w:color w:val="auto"/>
        </w:rPr>
        <w:t>近三年</w:t>
      </w:r>
      <w:r>
        <w:rPr>
          <w:rFonts w:hint="eastAsia"/>
          <w:color w:val="auto"/>
        </w:rPr>
        <w:t>（</w:t>
      </w:r>
      <w:r>
        <w:rPr>
          <w:color w:val="auto"/>
        </w:rPr>
        <w:t>2023~2025</w:t>
      </w:r>
      <w:r>
        <w:rPr>
          <w:rFonts w:hint="eastAsia"/>
          <w:color w:val="auto"/>
        </w:rPr>
        <w:t>）</w:t>
      </w:r>
      <w:r>
        <w:rPr>
          <w:color w:val="auto"/>
        </w:rPr>
        <w:t>厂区土壤自行监测结果显示：所有监测重金属、挥发性有机物、半挥发性有机物及石油烃指标全部达标，均低于建设用地土壤污染风险筛选值。重金属整体呈波动下降趋势，砷、汞、镉2025年浓度较峰值年份明显回落；镍、铜等重金属浓度波动平稳；各类有机污染物稳定未检出；石油烃（C₁₀-C₄₀）逐年持续降低，厂区土壤环境质量整体稳定可控。</w:t>
      </w:r>
    </w:p>
    <w:p w14:paraId="5DC99380">
      <w:pPr>
        <w:spacing w:line="460" w:lineRule="exact"/>
        <w:ind w:firstLine="482"/>
        <w:rPr>
          <w:b/>
          <w:bCs/>
          <w:color w:val="auto"/>
        </w:rPr>
      </w:pPr>
      <w:r>
        <w:rPr>
          <w:rFonts w:hint="eastAsia"/>
          <w:b/>
          <w:bCs/>
          <w:color w:val="auto"/>
        </w:rPr>
        <w:t>一、地下水</w:t>
      </w:r>
      <w:r>
        <w:rPr>
          <w:b/>
          <w:bCs/>
          <w:color w:val="auto"/>
        </w:rPr>
        <w:t>自行监测结果</w:t>
      </w:r>
    </w:p>
    <w:p w14:paraId="3B8D77FA">
      <w:pPr>
        <w:spacing w:line="460" w:lineRule="exact"/>
        <w:ind w:firstLine="480"/>
        <w:rPr>
          <w:color w:val="auto"/>
        </w:rPr>
      </w:pPr>
      <w:r>
        <w:rPr>
          <w:color w:val="auto"/>
        </w:rPr>
        <w:t>企业2025年度</w:t>
      </w:r>
      <w:r>
        <w:rPr>
          <w:rFonts w:hint="eastAsia"/>
          <w:color w:val="auto"/>
        </w:rPr>
        <w:t>地下水</w:t>
      </w:r>
      <w:r>
        <w:rPr>
          <w:color w:val="auto"/>
        </w:rPr>
        <w:t>自行监测</w:t>
      </w:r>
      <w:r>
        <w:rPr>
          <w:rFonts w:hint="eastAsia"/>
          <w:color w:val="auto"/>
        </w:rPr>
        <w:t>上半年采集5个地下水监测井、1个地下水对照井，共6个地下水样品和1个地下水密码样样品；下半年采集5个地下水监测井、1个地下水对照井，共6个地下水样品和2个地下水密码样样品。土壤样品分析检测项目为pH、石油烃（C</w:t>
      </w:r>
      <w:r>
        <w:rPr>
          <w:rFonts w:hint="eastAsia"/>
          <w:color w:val="auto"/>
          <w:vertAlign w:val="subscript"/>
        </w:rPr>
        <w:t>10</w:t>
      </w:r>
      <w:r>
        <w:rPr>
          <w:rFonts w:hint="eastAsia"/>
          <w:color w:val="auto"/>
        </w:rPr>
        <w:t>-C</w:t>
      </w:r>
      <w:r>
        <w:rPr>
          <w:rFonts w:hint="eastAsia"/>
          <w:color w:val="auto"/>
          <w:vertAlign w:val="subscript"/>
        </w:rPr>
        <w:t>40</w:t>
      </w:r>
      <w:r>
        <w:rPr>
          <w:rFonts w:hint="eastAsia"/>
          <w:color w:val="auto"/>
        </w:rPr>
        <w:t>）、GB36600中基拟建45项和GB/T14848表1中37项。对污染物分析数据进行初步筛选，地下水质量参照《地下水质量标准》(GB/T14848-2017)中的相关标准、《上海市建设用地地下水污染风险管控筛选值补充指标》中的筛选值、USEPARegional Screening Levels (November, 2020) Tapwater 标准行分析。</w:t>
      </w:r>
    </w:p>
    <w:p w14:paraId="2B36DC12">
      <w:pPr>
        <w:spacing w:line="460" w:lineRule="exact"/>
        <w:ind w:firstLine="480"/>
        <w:rPr>
          <w:color w:val="auto"/>
        </w:rPr>
      </w:pPr>
      <w:r>
        <w:rPr>
          <w:rFonts w:hint="eastAsia"/>
          <w:color w:val="auto"/>
        </w:rPr>
        <w:t>地下水样品检测结果分析表述如下：</w:t>
      </w:r>
    </w:p>
    <w:p w14:paraId="540706CE">
      <w:pPr>
        <w:spacing w:line="460" w:lineRule="exact"/>
        <w:ind w:firstLine="480"/>
        <w:rPr>
          <w:color w:val="auto"/>
        </w:rPr>
      </w:pPr>
      <w:r>
        <w:rPr>
          <w:rFonts w:hint="eastAsia"/>
          <w:color w:val="auto"/>
        </w:rPr>
        <w:t>根据启东亚太药业有限公司上半年监测结果，该地块的地下水检测指标多环芳烃、氯甲烷、挥发性有机物、苯胺类化合物、硝基苯类化合物、酚类化合物等污染物均未检出。</w:t>
      </w:r>
    </w:p>
    <w:p w14:paraId="6627F4EF">
      <w:pPr>
        <w:spacing w:line="460" w:lineRule="exact"/>
        <w:ind w:firstLine="480"/>
        <w:rPr>
          <w:color w:val="auto"/>
        </w:rPr>
      </w:pPr>
      <w:r>
        <w:rPr>
          <w:rFonts w:hint="eastAsia"/>
          <w:color w:val="auto"/>
        </w:rPr>
        <w:t>①pH值</w:t>
      </w:r>
    </w:p>
    <w:p w14:paraId="4DF2CCC3">
      <w:pPr>
        <w:spacing w:line="460" w:lineRule="exact"/>
        <w:ind w:firstLine="480"/>
        <w:rPr>
          <w:color w:val="auto"/>
        </w:rPr>
      </w:pPr>
      <w:r>
        <w:rPr>
          <w:rFonts w:hint="eastAsia"/>
          <w:color w:val="auto"/>
        </w:rPr>
        <w:t>地块内地下水监测井水样pH检测范围为7.2-7.9，优于《地下水质量标准》（GB/T14848-2017）中的IV类水质标准。与地下水对照点pH指标检测值8.2相比，未发现明显差异。</w:t>
      </w:r>
    </w:p>
    <w:p w14:paraId="3744AB6A">
      <w:pPr>
        <w:spacing w:line="460" w:lineRule="exact"/>
        <w:ind w:firstLine="480"/>
        <w:rPr>
          <w:color w:val="auto"/>
        </w:rPr>
      </w:pPr>
      <w:r>
        <w:rPr>
          <w:rFonts w:hint="eastAsia"/>
          <w:color w:val="auto"/>
        </w:rPr>
        <w:t>②感官性状与一般化学指标调查地块内地下水样品中浊度、肉眼可见物、色度和氨氮四项指标超过《地下水质量标准》（GB/T14848-2017）中的IV类水质标准，其他各项指标均满足《地下水质量标准》（GB/T14848-2017）中的IV类水质标准。</w:t>
      </w:r>
    </w:p>
    <w:p w14:paraId="094B59C7">
      <w:pPr>
        <w:spacing w:line="460" w:lineRule="exact"/>
        <w:ind w:firstLine="480"/>
        <w:rPr>
          <w:color w:val="auto"/>
        </w:rPr>
      </w:pPr>
      <w:r>
        <w:rPr>
          <w:rFonts w:hint="eastAsia"/>
          <w:color w:val="auto"/>
        </w:rPr>
        <w:t>③重金属</w:t>
      </w:r>
    </w:p>
    <w:p w14:paraId="459A2B5D">
      <w:pPr>
        <w:spacing w:line="460" w:lineRule="exact"/>
        <w:ind w:firstLine="480"/>
        <w:rPr>
          <w:color w:val="auto"/>
        </w:rPr>
      </w:pPr>
      <w:r>
        <w:rPr>
          <w:rFonts w:hint="eastAsia"/>
          <w:color w:val="auto"/>
        </w:rPr>
        <w:t>调查地块内地下水样品中检出重金属11项（砷、硒、镉、铜、铅、锌、镍、铁、锰、铝、钠），其余指标均低于检出限。调查地块内地下水样品中5个点位铁和铝两项指标检测值超过《地下水质量标准》（GB/T14848-2017）中的IV类水质标准。与对应点位土壤样品检出指标相比，土壤样品中检出镍、铜、铅、镉、砷重金属指标，检出指标一致未发现明显异常。</w:t>
      </w:r>
    </w:p>
    <w:p w14:paraId="1AE71842">
      <w:pPr>
        <w:spacing w:line="460" w:lineRule="exact"/>
        <w:ind w:firstLine="480"/>
        <w:rPr>
          <w:color w:val="auto"/>
        </w:rPr>
      </w:pPr>
      <w:r>
        <w:rPr>
          <w:rFonts w:hint="eastAsia"/>
          <w:color w:val="auto"/>
        </w:rPr>
        <w:t>④有机物</w:t>
      </w:r>
    </w:p>
    <w:p w14:paraId="63F0A3DC">
      <w:pPr>
        <w:spacing w:line="460" w:lineRule="exact"/>
        <w:ind w:firstLine="480"/>
        <w:rPr>
          <w:color w:val="auto"/>
        </w:rPr>
      </w:pPr>
      <w:r>
        <w:rPr>
          <w:rFonts w:hint="eastAsia"/>
          <w:color w:val="auto"/>
        </w:rPr>
        <w:t>调查地块内地下水样品中检出石油烃，其他指标均未检出。石油烃检测值满足《上海市建设用地地下水污染风险管控筛选值补充指标》（沪环土（2020）62号文）中的第二类用地筛选值。</w:t>
      </w:r>
    </w:p>
    <w:p w14:paraId="3BC883B5">
      <w:pPr>
        <w:spacing w:line="460" w:lineRule="exact"/>
        <w:ind w:firstLine="480"/>
        <w:rPr>
          <w:color w:val="auto"/>
        </w:rPr>
      </w:pPr>
      <w:r>
        <w:rPr>
          <w:rFonts w:hint="eastAsia"/>
          <w:color w:val="auto"/>
        </w:rPr>
        <w:t>根据启东亚太药业有限公司下半年监测结果，该地块的地下水检测指标多环芳烃、氯甲烷、挥发性有机物、苯胺类化合物、硝基苯类化合物、酚类化合物等污染物均未检出。</w:t>
      </w:r>
    </w:p>
    <w:p w14:paraId="5BC7575E">
      <w:pPr>
        <w:spacing w:line="460" w:lineRule="exact"/>
        <w:ind w:firstLine="480"/>
        <w:rPr>
          <w:color w:val="auto"/>
        </w:rPr>
      </w:pPr>
      <w:r>
        <w:rPr>
          <w:rFonts w:hint="eastAsia"/>
          <w:color w:val="auto"/>
        </w:rPr>
        <w:t>①pH值</w:t>
      </w:r>
    </w:p>
    <w:p w14:paraId="515EA2BD">
      <w:pPr>
        <w:spacing w:line="460" w:lineRule="exact"/>
        <w:ind w:firstLine="480"/>
        <w:rPr>
          <w:color w:val="auto"/>
        </w:rPr>
      </w:pPr>
      <w:r>
        <w:rPr>
          <w:rFonts w:hint="eastAsia"/>
          <w:color w:val="auto"/>
        </w:rPr>
        <w:t>地块内地下水监测井水样pH检测范围为7.5-7.6，优于《地下水质量标准》（GB/T14848-2017）中的IV类水质标准。与地下水对照点pH指标检测值7.4相比，未发现明显差异。</w:t>
      </w:r>
    </w:p>
    <w:p w14:paraId="0D2E0195">
      <w:pPr>
        <w:spacing w:line="460" w:lineRule="exact"/>
        <w:ind w:firstLine="480"/>
        <w:rPr>
          <w:color w:val="auto"/>
        </w:rPr>
      </w:pPr>
      <w:r>
        <w:rPr>
          <w:rFonts w:hint="eastAsia"/>
          <w:color w:val="auto"/>
        </w:rPr>
        <w:t>②感官性状与一般化学指标</w:t>
      </w:r>
    </w:p>
    <w:p w14:paraId="2F4E1884">
      <w:pPr>
        <w:spacing w:line="460" w:lineRule="exact"/>
        <w:ind w:firstLine="480"/>
        <w:rPr>
          <w:color w:val="auto"/>
        </w:rPr>
      </w:pPr>
      <w:r>
        <w:rPr>
          <w:rFonts w:hint="eastAsia"/>
          <w:color w:val="auto"/>
        </w:rPr>
        <w:t>调查地块内地下水样品中各项指标均满足《地下水质量标准》（GB/T14848-2017）中的IV类水质标准。</w:t>
      </w:r>
    </w:p>
    <w:p w14:paraId="7C3000DA">
      <w:pPr>
        <w:spacing w:line="460" w:lineRule="exact"/>
        <w:ind w:firstLine="480"/>
        <w:rPr>
          <w:color w:val="auto"/>
        </w:rPr>
      </w:pPr>
      <w:r>
        <w:rPr>
          <w:rFonts w:hint="eastAsia"/>
          <w:color w:val="auto"/>
        </w:rPr>
        <w:t>③重金属</w:t>
      </w:r>
    </w:p>
    <w:p w14:paraId="23153568">
      <w:pPr>
        <w:spacing w:line="460" w:lineRule="exact"/>
        <w:ind w:firstLine="480"/>
        <w:rPr>
          <w:color w:val="auto"/>
        </w:rPr>
      </w:pPr>
      <w:r>
        <w:rPr>
          <w:rFonts w:hint="eastAsia"/>
          <w:color w:val="auto"/>
        </w:rPr>
        <w:t>调查地块内地下水样品中检出重金属7项（砷、硒、铜、锌、镍、锰、钠），其余指标均低于检出限。调查地块内地下水样品中重金属指标检测值满足《地下水质量标准》（GB/T14848-2017）中的IV类水质标准。与对应点位土壤样品检出指标相比，土壤样品中检出镍、铜、铅、镉、砷重金属指标，检出指标一致未发现明显异常。</w:t>
      </w:r>
    </w:p>
    <w:p w14:paraId="508511FA">
      <w:pPr>
        <w:spacing w:line="460" w:lineRule="exact"/>
        <w:ind w:firstLine="480"/>
        <w:rPr>
          <w:color w:val="auto"/>
        </w:rPr>
      </w:pPr>
      <w:r>
        <w:rPr>
          <w:rFonts w:hint="eastAsia"/>
          <w:color w:val="auto"/>
        </w:rPr>
        <w:t>④有机物</w:t>
      </w:r>
    </w:p>
    <w:p w14:paraId="36B8E45D">
      <w:pPr>
        <w:spacing w:line="460" w:lineRule="exact"/>
        <w:ind w:firstLine="480"/>
        <w:rPr>
          <w:color w:val="auto"/>
        </w:rPr>
      </w:pPr>
      <w:r>
        <w:rPr>
          <w:rFonts w:hint="eastAsia"/>
          <w:color w:val="auto"/>
        </w:rPr>
        <w:t>调查地块内地下水样品中检出石油烃，其他指标均未检出。石油烃检测值满足《上海市建设用地地下水污染风险管控筛选值补充指标》（沪环土（2020）62号文）中的第二类用地筛选值。</w:t>
      </w:r>
    </w:p>
    <w:p w14:paraId="2B8B1071">
      <w:pPr>
        <w:spacing w:line="460" w:lineRule="exact"/>
        <w:ind w:firstLine="480"/>
        <w:rPr>
          <w:color w:val="auto"/>
        </w:rPr>
      </w:pPr>
      <w:r>
        <w:rPr>
          <w:rFonts w:hint="eastAsia"/>
          <w:color w:val="auto"/>
        </w:rPr>
        <w:t>结合上、下半年的地下水监测结果，上半年地下水的氨氮、铁、铝数据超过了IV类水标准，下半年监测井氨氮的数据低于对照点，铁和铝两项检测指标低于检出限。结合企业生产工艺、原辅材料，上述污染物不属于企业特征污染物，结合区域水文地质情况，区域水系错综复杂，主要包括城市生活水系和盐场生产水系。所以初步判定上半年氨氮、铁、铝等污染物浓度超标与区域地质结构和区域水系中的上游水体有关。下半年恢复正常。</w:t>
      </w:r>
    </w:p>
    <w:p w14:paraId="2B874EBE">
      <w:pPr>
        <w:spacing w:line="460" w:lineRule="exact"/>
        <w:ind w:firstLine="480"/>
        <w:rPr>
          <w:color w:val="auto"/>
        </w:rPr>
      </w:pPr>
      <w:r>
        <w:rPr>
          <w:rFonts w:hint="eastAsia"/>
          <w:color w:val="auto"/>
        </w:rPr>
        <w:t>将2025年度地下水自行监测结果与企业2023~2024年现有项目厂区内地下水监测数据进行分析比较，具体结果见表3.4-9。</w:t>
      </w:r>
    </w:p>
    <w:p w14:paraId="0437254B">
      <w:pPr>
        <w:spacing w:line="460" w:lineRule="exact"/>
        <w:ind w:firstLine="482"/>
        <w:jc w:val="center"/>
        <w:rPr>
          <w:color w:val="auto"/>
        </w:rPr>
      </w:pPr>
      <w:r>
        <w:rPr>
          <w:rFonts w:hint="eastAsia"/>
          <w:b/>
          <w:color w:val="auto"/>
        </w:rPr>
        <w:t>表3.4-9  现有项目厂区内地下水近三年自行监测点位指标对比分析一览表</w:t>
      </w:r>
    </w:p>
    <w:tbl>
      <w:tblPr>
        <w:tblStyle w:val="24"/>
        <w:tblW w:w="50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49"/>
        <w:gridCol w:w="840"/>
        <w:gridCol w:w="767"/>
        <w:gridCol w:w="1479"/>
        <w:gridCol w:w="1591"/>
        <w:gridCol w:w="1351"/>
        <w:gridCol w:w="1442"/>
        <w:gridCol w:w="1308"/>
      </w:tblGrid>
      <w:tr w14:paraId="6EE161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534" w:type="pct"/>
            <w:vMerge w:val="restart"/>
            <w:tcBorders>
              <w:tl2br w:val="nil"/>
              <w:tr2bl w:val="nil"/>
            </w:tcBorders>
            <w:vAlign w:val="center"/>
          </w:tcPr>
          <w:p w14:paraId="62147EA3">
            <w:pPr>
              <w:spacing w:line="240" w:lineRule="auto"/>
              <w:ind w:firstLine="0" w:firstLineChars="0"/>
              <w:jc w:val="center"/>
              <w:rPr>
                <w:b/>
                <w:bCs/>
                <w:color w:val="auto"/>
                <w:sz w:val="21"/>
                <w:szCs w:val="21"/>
              </w:rPr>
            </w:pPr>
            <w:r>
              <w:rPr>
                <w:b/>
                <w:bCs/>
                <w:color w:val="auto"/>
                <w:sz w:val="21"/>
                <w:szCs w:val="21"/>
              </w:rPr>
              <w:t>检测指标</w:t>
            </w:r>
          </w:p>
        </w:tc>
        <w:tc>
          <w:tcPr>
            <w:tcW w:w="427" w:type="pct"/>
            <w:vMerge w:val="restart"/>
            <w:tcBorders>
              <w:tl2br w:val="nil"/>
              <w:tr2bl w:val="nil"/>
            </w:tcBorders>
            <w:vAlign w:val="center"/>
          </w:tcPr>
          <w:p w14:paraId="474B15AC">
            <w:pPr>
              <w:spacing w:line="240" w:lineRule="auto"/>
              <w:ind w:firstLine="0" w:firstLineChars="0"/>
              <w:jc w:val="center"/>
              <w:rPr>
                <w:b/>
                <w:bCs/>
                <w:color w:val="auto"/>
                <w:sz w:val="21"/>
                <w:szCs w:val="21"/>
              </w:rPr>
            </w:pPr>
            <w:r>
              <w:rPr>
                <w:b/>
                <w:bCs/>
                <w:color w:val="auto"/>
                <w:sz w:val="21"/>
                <w:szCs w:val="21"/>
              </w:rPr>
              <w:t>单位</w:t>
            </w:r>
          </w:p>
        </w:tc>
        <w:tc>
          <w:tcPr>
            <w:tcW w:w="390" w:type="pct"/>
            <w:vMerge w:val="restart"/>
            <w:tcBorders>
              <w:tl2br w:val="nil"/>
              <w:tr2bl w:val="nil"/>
            </w:tcBorders>
            <w:vAlign w:val="center"/>
          </w:tcPr>
          <w:p w14:paraId="268B34E3">
            <w:pPr>
              <w:spacing w:line="240" w:lineRule="auto"/>
              <w:ind w:firstLine="0" w:firstLineChars="0"/>
              <w:jc w:val="center"/>
              <w:rPr>
                <w:b/>
                <w:bCs/>
                <w:color w:val="auto"/>
                <w:sz w:val="21"/>
                <w:szCs w:val="21"/>
              </w:rPr>
            </w:pPr>
            <w:r>
              <w:rPr>
                <w:b/>
                <w:bCs/>
                <w:color w:val="auto"/>
                <w:sz w:val="21"/>
                <w:szCs w:val="21"/>
              </w:rPr>
              <w:t>检出限</w:t>
            </w:r>
          </w:p>
        </w:tc>
        <w:tc>
          <w:tcPr>
            <w:tcW w:w="752" w:type="pct"/>
            <w:vMerge w:val="restart"/>
            <w:tcBorders>
              <w:tl2br w:val="nil"/>
              <w:tr2bl w:val="nil"/>
            </w:tcBorders>
            <w:vAlign w:val="center"/>
          </w:tcPr>
          <w:p w14:paraId="4578B44B">
            <w:pPr>
              <w:spacing w:line="240" w:lineRule="auto"/>
              <w:ind w:firstLine="0" w:firstLineChars="0"/>
              <w:jc w:val="center"/>
              <w:rPr>
                <w:b/>
                <w:bCs/>
                <w:color w:val="auto"/>
                <w:sz w:val="21"/>
                <w:szCs w:val="21"/>
              </w:rPr>
            </w:pPr>
            <w:r>
              <w:rPr>
                <w:b/>
                <w:bCs/>
                <w:color w:val="auto"/>
                <w:sz w:val="21"/>
                <w:szCs w:val="21"/>
              </w:rPr>
              <w:t>标准值</w:t>
            </w:r>
          </w:p>
        </w:tc>
        <w:tc>
          <w:tcPr>
            <w:tcW w:w="2229" w:type="pct"/>
            <w:gridSpan w:val="3"/>
            <w:tcBorders>
              <w:tl2br w:val="nil"/>
              <w:tr2bl w:val="nil"/>
            </w:tcBorders>
            <w:vAlign w:val="center"/>
          </w:tcPr>
          <w:p w14:paraId="42A97431">
            <w:pPr>
              <w:spacing w:line="240" w:lineRule="auto"/>
              <w:ind w:firstLine="0" w:firstLineChars="0"/>
              <w:jc w:val="center"/>
              <w:rPr>
                <w:b/>
                <w:bCs/>
                <w:color w:val="auto"/>
                <w:sz w:val="21"/>
                <w:szCs w:val="21"/>
              </w:rPr>
            </w:pPr>
            <w:r>
              <w:rPr>
                <w:b/>
                <w:bCs/>
                <w:color w:val="auto"/>
                <w:sz w:val="21"/>
                <w:szCs w:val="21"/>
              </w:rPr>
              <w:t>地块内浓度范围</w:t>
            </w:r>
          </w:p>
        </w:tc>
        <w:tc>
          <w:tcPr>
            <w:tcW w:w="665" w:type="pct"/>
            <w:vMerge w:val="restart"/>
            <w:tcBorders>
              <w:tl2br w:val="nil"/>
              <w:tr2bl w:val="nil"/>
            </w:tcBorders>
            <w:vAlign w:val="center"/>
          </w:tcPr>
          <w:p w14:paraId="79DB588F">
            <w:pPr>
              <w:spacing w:line="240" w:lineRule="auto"/>
              <w:ind w:firstLine="0" w:firstLineChars="0"/>
              <w:jc w:val="center"/>
              <w:rPr>
                <w:b/>
                <w:bCs/>
                <w:color w:val="auto"/>
                <w:sz w:val="21"/>
                <w:szCs w:val="21"/>
              </w:rPr>
            </w:pPr>
            <w:r>
              <w:rPr>
                <w:b/>
                <w:bCs/>
                <w:color w:val="auto"/>
                <w:sz w:val="21"/>
                <w:szCs w:val="21"/>
              </w:rPr>
              <w:t>评价结果</w:t>
            </w:r>
          </w:p>
        </w:tc>
      </w:tr>
      <w:tr w14:paraId="7B8339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4" w:hRule="atLeast"/>
          <w:jc w:val="center"/>
        </w:trPr>
        <w:tc>
          <w:tcPr>
            <w:tcW w:w="534" w:type="pct"/>
            <w:vMerge w:val="continue"/>
            <w:tcBorders>
              <w:tl2br w:val="nil"/>
              <w:tr2bl w:val="nil"/>
            </w:tcBorders>
            <w:vAlign w:val="center"/>
          </w:tcPr>
          <w:p w14:paraId="575B0073">
            <w:pPr>
              <w:spacing w:line="240" w:lineRule="auto"/>
              <w:ind w:firstLine="0" w:firstLineChars="0"/>
              <w:jc w:val="center"/>
              <w:rPr>
                <w:b/>
                <w:bCs/>
                <w:color w:val="auto"/>
                <w:sz w:val="21"/>
                <w:szCs w:val="21"/>
              </w:rPr>
            </w:pPr>
          </w:p>
        </w:tc>
        <w:tc>
          <w:tcPr>
            <w:tcW w:w="427" w:type="pct"/>
            <w:vMerge w:val="continue"/>
            <w:tcBorders>
              <w:tl2br w:val="nil"/>
              <w:tr2bl w:val="nil"/>
            </w:tcBorders>
            <w:vAlign w:val="center"/>
          </w:tcPr>
          <w:p w14:paraId="592D1FA8">
            <w:pPr>
              <w:spacing w:line="240" w:lineRule="auto"/>
              <w:ind w:firstLine="0" w:firstLineChars="0"/>
              <w:jc w:val="center"/>
              <w:rPr>
                <w:b/>
                <w:bCs/>
                <w:color w:val="auto"/>
                <w:sz w:val="21"/>
                <w:szCs w:val="21"/>
              </w:rPr>
            </w:pPr>
          </w:p>
        </w:tc>
        <w:tc>
          <w:tcPr>
            <w:tcW w:w="390" w:type="pct"/>
            <w:vMerge w:val="continue"/>
            <w:tcBorders>
              <w:tl2br w:val="nil"/>
              <w:tr2bl w:val="nil"/>
            </w:tcBorders>
            <w:vAlign w:val="center"/>
          </w:tcPr>
          <w:p w14:paraId="33244EBE">
            <w:pPr>
              <w:spacing w:line="240" w:lineRule="auto"/>
              <w:ind w:firstLine="0" w:firstLineChars="0"/>
              <w:jc w:val="center"/>
              <w:rPr>
                <w:b/>
                <w:bCs/>
                <w:color w:val="auto"/>
                <w:sz w:val="21"/>
                <w:szCs w:val="21"/>
              </w:rPr>
            </w:pPr>
          </w:p>
        </w:tc>
        <w:tc>
          <w:tcPr>
            <w:tcW w:w="752" w:type="pct"/>
            <w:vMerge w:val="continue"/>
            <w:tcBorders>
              <w:tl2br w:val="nil"/>
              <w:tr2bl w:val="nil"/>
            </w:tcBorders>
            <w:vAlign w:val="center"/>
          </w:tcPr>
          <w:p w14:paraId="12ED9948">
            <w:pPr>
              <w:spacing w:line="240" w:lineRule="auto"/>
              <w:ind w:firstLine="0" w:firstLineChars="0"/>
              <w:jc w:val="center"/>
              <w:rPr>
                <w:b/>
                <w:bCs/>
                <w:color w:val="auto"/>
                <w:sz w:val="21"/>
                <w:szCs w:val="21"/>
              </w:rPr>
            </w:pPr>
          </w:p>
        </w:tc>
        <w:tc>
          <w:tcPr>
            <w:tcW w:w="809" w:type="pct"/>
            <w:tcBorders>
              <w:tl2br w:val="nil"/>
              <w:tr2bl w:val="nil"/>
            </w:tcBorders>
            <w:vAlign w:val="center"/>
          </w:tcPr>
          <w:p w14:paraId="401E12DB">
            <w:pPr>
              <w:spacing w:line="240" w:lineRule="auto"/>
              <w:ind w:firstLine="0" w:firstLineChars="0"/>
              <w:jc w:val="center"/>
              <w:rPr>
                <w:b/>
                <w:bCs/>
                <w:color w:val="auto"/>
                <w:sz w:val="21"/>
                <w:szCs w:val="21"/>
              </w:rPr>
            </w:pPr>
            <w:r>
              <w:rPr>
                <w:b/>
                <w:bCs/>
                <w:color w:val="auto"/>
                <w:sz w:val="21"/>
                <w:szCs w:val="21"/>
              </w:rPr>
              <w:t>202</w:t>
            </w:r>
            <w:r>
              <w:rPr>
                <w:rFonts w:hint="eastAsia"/>
                <w:b/>
                <w:bCs/>
                <w:color w:val="auto"/>
                <w:sz w:val="21"/>
                <w:szCs w:val="21"/>
              </w:rPr>
              <w:t>3</w:t>
            </w:r>
            <w:r>
              <w:rPr>
                <w:b/>
                <w:bCs/>
                <w:color w:val="auto"/>
                <w:sz w:val="21"/>
                <w:szCs w:val="21"/>
              </w:rPr>
              <w:t>年</w:t>
            </w:r>
          </w:p>
        </w:tc>
        <w:tc>
          <w:tcPr>
            <w:tcW w:w="687" w:type="pct"/>
            <w:tcBorders>
              <w:tl2br w:val="nil"/>
              <w:tr2bl w:val="nil"/>
            </w:tcBorders>
            <w:vAlign w:val="center"/>
          </w:tcPr>
          <w:p w14:paraId="5CC64222">
            <w:pPr>
              <w:spacing w:line="240" w:lineRule="auto"/>
              <w:ind w:firstLine="0" w:firstLineChars="0"/>
              <w:jc w:val="center"/>
              <w:rPr>
                <w:b/>
                <w:bCs/>
                <w:color w:val="auto"/>
                <w:sz w:val="21"/>
                <w:szCs w:val="21"/>
              </w:rPr>
            </w:pPr>
            <w:r>
              <w:rPr>
                <w:b/>
                <w:bCs/>
                <w:color w:val="auto"/>
                <w:sz w:val="21"/>
                <w:szCs w:val="21"/>
              </w:rPr>
              <w:t>202</w:t>
            </w:r>
            <w:r>
              <w:rPr>
                <w:rFonts w:hint="eastAsia"/>
                <w:b/>
                <w:bCs/>
                <w:color w:val="auto"/>
                <w:sz w:val="21"/>
                <w:szCs w:val="21"/>
              </w:rPr>
              <w:t>4</w:t>
            </w:r>
            <w:r>
              <w:rPr>
                <w:b/>
                <w:bCs/>
                <w:color w:val="auto"/>
                <w:sz w:val="21"/>
                <w:szCs w:val="21"/>
              </w:rPr>
              <w:t>年</w:t>
            </w:r>
          </w:p>
        </w:tc>
        <w:tc>
          <w:tcPr>
            <w:tcW w:w="733" w:type="pct"/>
            <w:tcBorders>
              <w:tl2br w:val="nil"/>
              <w:tr2bl w:val="nil"/>
            </w:tcBorders>
            <w:vAlign w:val="center"/>
          </w:tcPr>
          <w:p w14:paraId="3CE405BE">
            <w:pPr>
              <w:spacing w:line="240" w:lineRule="auto"/>
              <w:ind w:firstLine="0" w:firstLineChars="0"/>
              <w:jc w:val="center"/>
              <w:rPr>
                <w:b/>
                <w:bCs/>
                <w:color w:val="auto"/>
                <w:sz w:val="21"/>
                <w:szCs w:val="21"/>
              </w:rPr>
            </w:pPr>
            <w:r>
              <w:rPr>
                <w:b/>
                <w:bCs/>
                <w:color w:val="auto"/>
                <w:sz w:val="21"/>
                <w:szCs w:val="21"/>
              </w:rPr>
              <w:t>202</w:t>
            </w:r>
            <w:r>
              <w:rPr>
                <w:rFonts w:hint="eastAsia"/>
                <w:b/>
                <w:bCs/>
                <w:color w:val="auto"/>
                <w:sz w:val="21"/>
                <w:szCs w:val="21"/>
              </w:rPr>
              <w:t>5</w:t>
            </w:r>
            <w:r>
              <w:rPr>
                <w:b/>
                <w:bCs/>
                <w:color w:val="auto"/>
                <w:sz w:val="21"/>
                <w:szCs w:val="21"/>
              </w:rPr>
              <w:t>年</w:t>
            </w:r>
          </w:p>
        </w:tc>
        <w:tc>
          <w:tcPr>
            <w:tcW w:w="665" w:type="pct"/>
            <w:vMerge w:val="continue"/>
            <w:tcBorders>
              <w:tl2br w:val="nil"/>
              <w:tr2bl w:val="nil"/>
            </w:tcBorders>
            <w:vAlign w:val="center"/>
          </w:tcPr>
          <w:p w14:paraId="12BD1960">
            <w:pPr>
              <w:spacing w:line="240" w:lineRule="auto"/>
              <w:ind w:firstLine="0" w:firstLineChars="0"/>
              <w:jc w:val="center"/>
              <w:rPr>
                <w:b/>
                <w:bCs/>
                <w:color w:val="auto"/>
                <w:sz w:val="21"/>
                <w:szCs w:val="21"/>
              </w:rPr>
            </w:pPr>
          </w:p>
        </w:tc>
      </w:tr>
      <w:tr w14:paraId="0AC88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534" w:type="pct"/>
            <w:tcBorders>
              <w:tl2br w:val="nil"/>
              <w:tr2bl w:val="nil"/>
            </w:tcBorders>
            <w:vAlign w:val="center"/>
          </w:tcPr>
          <w:p w14:paraId="7430F5B3">
            <w:pPr>
              <w:spacing w:line="240" w:lineRule="auto"/>
              <w:ind w:firstLine="0" w:firstLineChars="0"/>
              <w:jc w:val="center"/>
              <w:rPr>
                <w:color w:val="auto"/>
                <w:sz w:val="21"/>
                <w:szCs w:val="21"/>
              </w:rPr>
            </w:pPr>
            <w:r>
              <w:rPr>
                <w:color w:val="auto"/>
                <w:sz w:val="21"/>
                <w:szCs w:val="21"/>
              </w:rPr>
              <w:t>pH值</w:t>
            </w:r>
          </w:p>
        </w:tc>
        <w:tc>
          <w:tcPr>
            <w:tcW w:w="427" w:type="pct"/>
            <w:tcBorders>
              <w:tl2br w:val="nil"/>
              <w:tr2bl w:val="nil"/>
            </w:tcBorders>
            <w:vAlign w:val="center"/>
          </w:tcPr>
          <w:p w14:paraId="154EBA9B">
            <w:pPr>
              <w:spacing w:line="240" w:lineRule="auto"/>
              <w:ind w:firstLine="0" w:firstLineChars="0"/>
              <w:jc w:val="center"/>
              <w:rPr>
                <w:color w:val="auto"/>
                <w:sz w:val="21"/>
                <w:szCs w:val="21"/>
              </w:rPr>
            </w:pPr>
            <w:r>
              <w:rPr>
                <w:color w:val="auto"/>
                <w:sz w:val="21"/>
                <w:szCs w:val="21"/>
              </w:rPr>
              <w:t>无量纲</w:t>
            </w:r>
          </w:p>
        </w:tc>
        <w:tc>
          <w:tcPr>
            <w:tcW w:w="390" w:type="pct"/>
            <w:tcBorders>
              <w:tl2br w:val="nil"/>
              <w:tr2bl w:val="nil"/>
            </w:tcBorders>
            <w:vAlign w:val="center"/>
          </w:tcPr>
          <w:p w14:paraId="0859996A">
            <w:pPr>
              <w:spacing w:line="240" w:lineRule="auto"/>
              <w:ind w:firstLine="0" w:firstLineChars="0"/>
              <w:jc w:val="center"/>
              <w:rPr>
                <w:color w:val="auto"/>
                <w:sz w:val="21"/>
                <w:szCs w:val="21"/>
              </w:rPr>
            </w:pPr>
            <w:r>
              <w:rPr>
                <w:color w:val="auto"/>
                <w:sz w:val="21"/>
                <w:szCs w:val="21"/>
              </w:rPr>
              <w:t>/</w:t>
            </w:r>
          </w:p>
        </w:tc>
        <w:tc>
          <w:tcPr>
            <w:tcW w:w="752" w:type="pct"/>
            <w:tcBorders>
              <w:tl2br w:val="nil"/>
              <w:tr2bl w:val="nil"/>
            </w:tcBorders>
            <w:vAlign w:val="center"/>
          </w:tcPr>
          <w:p w14:paraId="705F2776">
            <w:pPr>
              <w:spacing w:line="240" w:lineRule="auto"/>
              <w:ind w:firstLine="0" w:firstLineChars="0"/>
              <w:jc w:val="center"/>
              <w:rPr>
                <w:color w:val="auto"/>
                <w:sz w:val="21"/>
                <w:szCs w:val="21"/>
              </w:rPr>
            </w:pPr>
            <w:r>
              <w:rPr>
                <w:color w:val="auto"/>
                <w:sz w:val="21"/>
                <w:szCs w:val="21"/>
              </w:rPr>
              <w:t>5.5≤pH&lt;6.5</w:t>
            </w:r>
          </w:p>
          <w:p w14:paraId="0D79BD4D">
            <w:pPr>
              <w:spacing w:line="240" w:lineRule="auto"/>
              <w:ind w:firstLine="0" w:firstLineChars="0"/>
              <w:jc w:val="center"/>
              <w:rPr>
                <w:color w:val="auto"/>
                <w:sz w:val="21"/>
                <w:szCs w:val="21"/>
              </w:rPr>
            </w:pPr>
            <w:r>
              <w:rPr>
                <w:color w:val="auto"/>
                <w:sz w:val="21"/>
                <w:szCs w:val="21"/>
              </w:rPr>
              <w:t>8.5&lt;pH≤9.0</w:t>
            </w:r>
          </w:p>
        </w:tc>
        <w:tc>
          <w:tcPr>
            <w:tcW w:w="809" w:type="pct"/>
            <w:tcBorders>
              <w:tl2br w:val="nil"/>
              <w:tr2bl w:val="nil"/>
            </w:tcBorders>
            <w:vAlign w:val="center"/>
          </w:tcPr>
          <w:p w14:paraId="125FE7F3">
            <w:pPr>
              <w:spacing w:line="240" w:lineRule="auto"/>
              <w:ind w:firstLine="0" w:firstLineChars="0"/>
              <w:jc w:val="center"/>
              <w:rPr>
                <w:color w:val="auto"/>
                <w:sz w:val="21"/>
                <w:szCs w:val="21"/>
              </w:rPr>
            </w:pPr>
            <w:r>
              <w:rPr>
                <w:color w:val="auto"/>
                <w:sz w:val="21"/>
                <w:szCs w:val="21"/>
              </w:rPr>
              <w:t>7.0</w:t>
            </w:r>
            <w:r>
              <w:rPr>
                <w:rFonts w:hint="eastAsia"/>
                <w:color w:val="auto"/>
                <w:sz w:val="21"/>
                <w:szCs w:val="21"/>
              </w:rPr>
              <w:t>~</w:t>
            </w:r>
            <w:r>
              <w:rPr>
                <w:color w:val="auto"/>
                <w:sz w:val="21"/>
                <w:szCs w:val="21"/>
              </w:rPr>
              <w:t>7.8</w:t>
            </w:r>
          </w:p>
        </w:tc>
        <w:tc>
          <w:tcPr>
            <w:tcW w:w="687" w:type="pct"/>
            <w:tcBorders>
              <w:tl2br w:val="nil"/>
              <w:tr2bl w:val="nil"/>
            </w:tcBorders>
            <w:vAlign w:val="center"/>
          </w:tcPr>
          <w:p w14:paraId="045218DE">
            <w:pPr>
              <w:spacing w:line="240" w:lineRule="auto"/>
              <w:ind w:firstLine="0" w:firstLineChars="0"/>
              <w:jc w:val="center"/>
              <w:rPr>
                <w:color w:val="auto"/>
                <w:sz w:val="21"/>
                <w:szCs w:val="21"/>
              </w:rPr>
            </w:pPr>
            <w:r>
              <w:rPr>
                <w:color w:val="auto"/>
                <w:sz w:val="21"/>
                <w:szCs w:val="21"/>
              </w:rPr>
              <w:t>7.1</w:t>
            </w:r>
            <w:r>
              <w:rPr>
                <w:rFonts w:hint="eastAsia"/>
                <w:color w:val="auto"/>
                <w:sz w:val="21"/>
                <w:szCs w:val="21"/>
              </w:rPr>
              <w:t>~</w:t>
            </w:r>
            <w:r>
              <w:rPr>
                <w:color w:val="auto"/>
                <w:sz w:val="21"/>
                <w:szCs w:val="21"/>
              </w:rPr>
              <w:t>7.9</w:t>
            </w:r>
          </w:p>
        </w:tc>
        <w:tc>
          <w:tcPr>
            <w:tcW w:w="733" w:type="pct"/>
            <w:tcBorders>
              <w:tl2br w:val="nil"/>
              <w:tr2bl w:val="nil"/>
            </w:tcBorders>
            <w:vAlign w:val="center"/>
          </w:tcPr>
          <w:p w14:paraId="5C90A9FB">
            <w:pPr>
              <w:spacing w:line="240" w:lineRule="auto"/>
              <w:ind w:firstLine="0" w:firstLineChars="0"/>
              <w:jc w:val="center"/>
              <w:rPr>
                <w:color w:val="auto"/>
                <w:sz w:val="21"/>
                <w:szCs w:val="21"/>
              </w:rPr>
            </w:pPr>
            <w:r>
              <w:rPr>
                <w:rFonts w:hint="eastAsia"/>
                <w:color w:val="auto"/>
                <w:sz w:val="21"/>
                <w:szCs w:val="21"/>
              </w:rPr>
              <w:t>7.2~7.9</w:t>
            </w:r>
          </w:p>
        </w:tc>
        <w:tc>
          <w:tcPr>
            <w:tcW w:w="665" w:type="pct"/>
            <w:tcBorders>
              <w:tl2br w:val="nil"/>
              <w:tr2bl w:val="nil"/>
            </w:tcBorders>
            <w:vAlign w:val="center"/>
          </w:tcPr>
          <w:p w14:paraId="34D5D7E7">
            <w:pPr>
              <w:spacing w:line="240" w:lineRule="auto"/>
              <w:ind w:firstLine="0" w:firstLineChars="0"/>
              <w:jc w:val="center"/>
              <w:rPr>
                <w:color w:val="auto"/>
                <w:sz w:val="21"/>
                <w:szCs w:val="21"/>
              </w:rPr>
            </w:pPr>
            <w:r>
              <w:rPr>
                <w:color w:val="auto"/>
                <w:sz w:val="21"/>
                <w:szCs w:val="21"/>
              </w:rPr>
              <w:t>优于IV类水</w:t>
            </w:r>
          </w:p>
        </w:tc>
      </w:tr>
      <w:tr w14:paraId="105CF3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4A87FB99">
            <w:pPr>
              <w:spacing w:line="240" w:lineRule="auto"/>
              <w:ind w:firstLine="0" w:firstLineChars="0"/>
              <w:jc w:val="center"/>
              <w:rPr>
                <w:color w:val="auto"/>
                <w:sz w:val="21"/>
                <w:szCs w:val="21"/>
              </w:rPr>
            </w:pPr>
            <w:r>
              <w:rPr>
                <w:color w:val="auto"/>
                <w:sz w:val="21"/>
                <w:szCs w:val="21"/>
              </w:rPr>
              <w:t>铅</w:t>
            </w:r>
          </w:p>
        </w:tc>
        <w:tc>
          <w:tcPr>
            <w:tcW w:w="427" w:type="pct"/>
            <w:tcBorders>
              <w:tl2br w:val="nil"/>
              <w:tr2bl w:val="nil"/>
            </w:tcBorders>
            <w:vAlign w:val="center"/>
          </w:tcPr>
          <w:p w14:paraId="5DCBFC90">
            <w:pPr>
              <w:spacing w:line="240" w:lineRule="auto"/>
              <w:ind w:firstLine="0" w:firstLineChars="0"/>
              <w:jc w:val="center"/>
              <w:rPr>
                <w:color w:val="auto"/>
                <w:sz w:val="21"/>
                <w:szCs w:val="21"/>
              </w:rPr>
            </w:pPr>
            <w:r>
              <w:rPr>
                <w:color w:val="auto"/>
                <w:sz w:val="21"/>
                <w:szCs w:val="21"/>
              </w:rPr>
              <w:t>μg/L</w:t>
            </w:r>
          </w:p>
        </w:tc>
        <w:tc>
          <w:tcPr>
            <w:tcW w:w="390" w:type="pct"/>
            <w:tcBorders>
              <w:tl2br w:val="nil"/>
              <w:tr2bl w:val="nil"/>
            </w:tcBorders>
            <w:vAlign w:val="center"/>
          </w:tcPr>
          <w:p w14:paraId="75A5144C">
            <w:pPr>
              <w:spacing w:line="240" w:lineRule="auto"/>
              <w:ind w:firstLine="0" w:firstLineChars="0"/>
              <w:jc w:val="center"/>
              <w:rPr>
                <w:color w:val="auto"/>
                <w:sz w:val="21"/>
                <w:szCs w:val="21"/>
              </w:rPr>
            </w:pPr>
            <w:r>
              <w:rPr>
                <w:color w:val="auto"/>
                <w:sz w:val="21"/>
                <w:szCs w:val="21"/>
              </w:rPr>
              <w:t>0.09</w:t>
            </w:r>
          </w:p>
        </w:tc>
        <w:tc>
          <w:tcPr>
            <w:tcW w:w="752" w:type="pct"/>
            <w:tcBorders>
              <w:tl2br w:val="nil"/>
              <w:tr2bl w:val="nil"/>
            </w:tcBorders>
            <w:vAlign w:val="center"/>
          </w:tcPr>
          <w:p w14:paraId="5908AEB4">
            <w:pPr>
              <w:spacing w:line="240" w:lineRule="auto"/>
              <w:ind w:firstLine="0" w:firstLineChars="0"/>
              <w:jc w:val="center"/>
              <w:rPr>
                <w:color w:val="auto"/>
                <w:sz w:val="21"/>
                <w:szCs w:val="21"/>
              </w:rPr>
            </w:pPr>
            <w:r>
              <w:rPr>
                <w:color w:val="auto"/>
                <w:sz w:val="21"/>
                <w:szCs w:val="21"/>
              </w:rPr>
              <w:t>100</w:t>
            </w:r>
          </w:p>
        </w:tc>
        <w:tc>
          <w:tcPr>
            <w:tcW w:w="809" w:type="pct"/>
            <w:tcBorders>
              <w:tl2br w:val="nil"/>
              <w:tr2bl w:val="nil"/>
            </w:tcBorders>
            <w:vAlign w:val="center"/>
          </w:tcPr>
          <w:p w14:paraId="3D231C69">
            <w:pPr>
              <w:spacing w:line="240" w:lineRule="auto"/>
              <w:ind w:firstLine="0" w:firstLineChars="0"/>
              <w:jc w:val="center"/>
              <w:rPr>
                <w:color w:val="auto"/>
                <w:sz w:val="21"/>
                <w:szCs w:val="21"/>
              </w:rPr>
            </w:pPr>
            <w:r>
              <w:rPr>
                <w:color w:val="auto"/>
                <w:sz w:val="21"/>
                <w:szCs w:val="21"/>
              </w:rPr>
              <w:t>ND</w:t>
            </w:r>
            <w:r>
              <w:rPr>
                <w:rFonts w:hint="eastAsia"/>
                <w:color w:val="auto"/>
                <w:sz w:val="21"/>
                <w:szCs w:val="21"/>
              </w:rPr>
              <w:t>~</w:t>
            </w:r>
            <w:r>
              <w:rPr>
                <w:color w:val="auto"/>
                <w:sz w:val="21"/>
                <w:szCs w:val="21"/>
              </w:rPr>
              <w:t>5.01</w:t>
            </w:r>
          </w:p>
        </w:tc>
        <w:tc>
          <w:tcPr>
            <w:tcW w:w="687" w:type="pct"/>
            <w:tcBorders>
              <w:tl2br w:val="nil"/>
              <w:tr2bl w:val="nil"/>
            </w:tcBorders>
            <w:vAlign w:val="center"/>
          </w:tcPr>
          <w:p w14:paraId="0705CD00">
            <w:pPr>
              <w:spacing w:line="240" w:lineRule="auto"/>
              <w:ind w:firstLine="0" w:firstLineChars="0"/>
              <w:jc w:val="center"/>
              <w:rPr>
                <w:color w:val="auto"/>
                <w:sz w:val="21"/>
                <w:szCs w:val="21"/>
              </w:rPr>
            </w:pPr>
            <w:r>
              <w:rPr>
                <w:color w:val="auto"/>
                <w:sz w:val="21"/>
                <w:szCs w:val="21"/>
              </w:rPr>
              <w:t>ND</w:t>
            </w:r>
            <w:r>
              <w:rPr>
                <w:rFonts w:hint="eastAsia"/>
                <w:color w:val="auto"/>
                <w:sz w:val="21"/>
                <w:szCs w:val="21"/>
              </w:rPr>
              <w:t>~</w:t>
            </w:r>
            <w:r>
              <w:rPr>
                <w:color w:val="auto"/>
                <w:sz w:val="21"/>
                <w:szCs w:val="21"/>
              </w:rPr>
              <w:t>0.12</w:t>
            </w:r>
          </w:p>
        </w:tc>
        <w:tc>
          <w:tcPr>
            <w:tcW w:w="733" w:type="pct"/>
            <w:tcBorders>
              <w:tl2br w:val="nil"/>
              <w:tr2bl w:val="nil"/>
            </w:tcBorders>
            <w:vAlign w:val="center"/>
          </w:tcPr>
          <w:p w14:paraId="04963F36">
            <w:pPr>
              <w:spacing w:line="240" w:lineRule="auto"/>
              <w:ind w:firstLine="0" w:firstLineChars="0"/>
              <w:jc w:val="center"/>
              <w:rPr>
                <w:color w:val="auto"/>
                <w:sz w:val="21"/>
                <w:szCs w:val="21"/>
              </w:rPr>
            </w:pPr>
            <w:r>
              <w:rPr>
                <w:rFonts w:hint="eastAsia"/>
                <w:color w:val="auto"/>
                <w:sz w:val="21"/>
                <w:szCs w:val="21"/>
              </w:rPr>
              <w:t>ND~2.31</w:t>
            </w:r>
          </w:p>
        </w:tc>
        <w:tc>
          <w:tcPr>
            <w:tcW w:w="665" w:type="pct"/>
            <w:tcBorders>
              <w:tl2br w:val="nil"/>
              <w:tr2bl w:val="nil"/>
            </w:tcBorders>
            <w:vAlign w:val="center"/>
          </w:tcPr>
          <w:p w14:paraId="1303B5AA">
            <w:pPr>
              <w:spacing w:line="240" w:lineRule="auto"/>
              <w:ind w:firstLine="0" w:firstLineChars="0"/>
              <w:jc w:val="center"/>
              <w:rPr>
                <w:color w:val="auto"/>
                <w:sz w:val="21"/>
                <w:szCs w:val="21"/>
              </w:rPr>
            </w:pPr>
            <w:r>
              <w:rPr>
                <w:color w:val="auto"/>
                <w:sz w:val="21"/>
                <w:szCs w:val="21"/>
              </w:rPr>
              <w:t>满足IV类水</w:t>
            </w:r>
          </w:p>
        </w:tc>
      </w:tr>
      <w:tr w14:paraId="1D8A1F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58EFBCAC">
            <w:pPr>
              <w:spacing w:line="240" w:lineRule="auto"/>
              <w:ind w:firstLine="0" w:firstLineChars="0"/>
              <w:jc w:val="center"/>
              <w:rPr>
                <w:color w:val="auto"/>
                <w:sz w:val="21"/>
                <w:szCs w:val="21"/>
              </w:rPr>
            </w:pPr>
            <w:r>
              <w:rPr>
                <w:color w:val="auto"/>
                <w:sz w:val="21"/>
                <w:szCs w:val="21"/>
              </w:rPr>
              <w:t>镍</w:t>
            </w:r>
          </w:p>
        </w:tc>
        <w:tc>
          <w:tcPr>
            <w:tcW w:w="427" w:type="pct"/>
            <w:tcBorders>
              <w:tl2br w:val="nil"/>
              <w:tr2bl w:val="nil"/>
            </w:tcBorders>
            <w:vAlign w:val="center"/>
          </w:tcPr>
          <w:p w14:paraId="0026068D">
            <w:pPr>
              <w:spacing w:line="240" w:lineRule="auto"/>
              <w:ind w:firstLine="0" w:firstLineChars="0"/>
              <w:jc w:val="center"/>
              <w:rPr>
                <w:color w:val="auto"/>
                <w:sz w:val="21"/>
                <w:szCs w:val="21"/>
              </w:rPr>
            </w:pPr>
            <w:r>
              <w:rPr>
                <w:color w:val="auto"/>
                <w:sz w:val="21"/>
                <w:szCs w:val="21"/>
              </w:rPr>
              <w:t>μg/L</w:t>
            </w:r>
          </w:p>
        </w:tc>
        <w:tc>
          <w:tcPr>
            <w:tcW w:w="390" w:type="pct"/>
            <w:tcBorders>
              <w:tl2br w:val="nil"/>
              <w:tr2bl w:val="nil"/>
            </w:tcBorders>
            <w:vAlign w:val="center"/>
          </w:tcPr>
          <w:p w14:paraId="4DD6108F">
            <w:pPr>
              <w:spacing w:line="240" w:lineRule="auto"/>
              <w:ind w:firstLine="0" w:firstLineChars="0"/>
              <w:jc w:val="center"/>
              <w:rPr>
                <w:color w:val="auto"/>
                <w:sz w:val="21"/>
                <w:szCs w:val="21"/>
              </w:rPr>
            </w:pPr>
            <w:r>
              <w:rPr>
                <w:color w:val="auto"/>
                <w:sz w:val="21"/>
                <w:szCs w:val="21"/>
              </w:rPr>
              <w:t>0.06</w:t>
            </w:r>
          </w:p>
        </w:tc>
        <w:tc>
          <w:tcPr>
            <w:tcW w:w="752" w:type="pct"/>
            <w:tcBorders>
              <w:tl2br w:val="nil"/>
              <w:tr2bl w:val="nil"/>
            </w:tcBorders>
            <w:vAlign w:val="center"/>
          </w:tcPr>
          <w:p w14:paraId="284626C7">
            <w:pPr>
              <w:spacing w:line="240" w:lineRule="auto"/>
              <w:ind w:firstLine="0" w:firstLineChars="0"/>
              <w:jc w:val="center"/>
              <w:rPr>
                <w:color w:val="auto"/>
                <w:sz w:val="21"/>
                <w:szCs w:val="21"/>
              </w:rPr>
            </w:pPr>
            <w:r>
              <w:rPr>
                <w:color w:val="auto"/>
                <w:sz w:val="21"/>
                <w:szCs w:val="21"/>
              </w:rPr>
              <w:t>100</w:t>
            </w:r>
          </w:p>
        </w:tc>
        <w:tc>
          <w:tcPr>
            <w:tcW w:w="809" w:type="pct"/>
            <w:tcBorders>
              <w:tl2br w:val="nil"/>
              <w:tr2bl w:val="nil"/>
            </w:tcBorders>
            <w:vAlign w:val="center"/>
          </w:tcPr>
          <w:p w14:paraId="264A6694">
            <w:pPr>
              <w:spacing w:line="240" w:lineRule="auto"/>
              <w:ind w:firstLine="0" w:firstLineChars="0"/>
              <w:jc w:val="center"/>
              <w:rPr>
                <w:color w:val="auto"/>
                <w:sz w:val="21"/>
                <w:szCs w:val="21"/>
              </w:rPr>
            </w:pPr>
            <w:r>
              <w:rPr>
                <w:color w:val="auto"/>
                <w:sz w:val="21"/>
                <w:szCs w:val="21"/>
              </w:rPr>
              <w:t>0.71</w:t>
            </w:r>
            <w:r>
              <w:rPr>
                <w:rFonts w:hint="eastAsia"/>
                <w:color w:val="auto"/>
                <w:sz w:val="21"/>
                <w:szCs w:val="21"/>
              </w:rPr>
              <w:t>~</w:t>
            </w:r>
            <w:r>
              <w:rPr>
                <w:color w:val="auto"/>
                <w:sz w:val="21"/>
                <w:szCs w:val="21"/>
              </w:rPr>
              <w:t>2.21</w:t>
            </w:r>
          </w:p>
        </w:tc>
        <w:tc>
          <w:tcPr>
            <w:tcW w:w="687" w:type="pct"/>
            <w:tcBorders>
              <w:tl2br w:val="nil"/>
              <w:tr2bl w:val="nil"/>
            </w:tcBorders>
            <w:vAlign w:val="center"/>
          </w:tcPr>
          <w:p w14:paraId="0F4DFDC8">
            <w:pPr>
              <w:spacing w:line="240" w:lineRule="auto"/>
              <w:ind w:firstLine="0" w:firstLineChars="0"/>
              <w:jc w:val="center"/>
              <w:rPr>
                <w:color w:val="auto"/>
                <w:sz w:val="21"/>
                <w:szCs w:val="21"/>
              </w:rPr>
            </w:pPr>
            <w:r>
              <w:rPr>
                <w:color w:val="auto"/>
                <w:sz w:val="21"/>
                <w:szCs w:val="21"/>
              </w:rPr>
              <w:t>ND</w:t>
            </w:r>
            <w:r>
              <w:rPr>
                <w:rFonts w:hint="eastAsia"/>
                <w:color w:val="auto"/>
                <w:sz w:val="21"/>
                <w:szCs w:val="21"/>
              </w:rPr>
              <w:t>~</w:t>
            </w:r>
            <w:r>
              <w:rPr>
                <w:color w:val="auto"/>
                <w:sz w:val="21"/>
                <w:szCs w:val="21"/>
              </w:rPr>
              <w:t>1.57</w:t>
            </w:r>
          </w:p>
        </w:tc>
        <w:tc>
          <w:tcPr>
            <w:tcW w:w="733" w:type="pct"/>
            <w:tcBorders>
              <w:tl2br w:val="nil"/>
              <w:tr2bl w:val="nil"/>
            </w:tcBorders>
            <w:vAlign w:val="center"/>
          </w:tcPr>
          <w:p w14:paraId="3E0D961B">
            <w:pPr>
              <w:spacing w:line="240" w:lineRule="auto"/>
              <w:ind w:firstLine="0" w:firstLineChars="0"/>
              <w:jc w:val="center"/>
              <w:rPr>
                <w:color w:val="auto"/>
                <w:sz w:val="21"/>
                <w:szCs w:val="21"/>
              </w:rPr>
            </w:pPr>
            <w:r>
              <w:rPr>
                <w:rFonts w:hint="eastAsia"/>
                <w:color w:val="auto"/>
                <w:sz w:val="21"/>
                <w:szCs w:val="21"/>
              </w:rPr>
              <w:t>0.32~13.8</w:t>
            </w:r>
          </w:p>
        </w:tc>
        <w:tc>
          <w:tcPr>
            <w:tcW w:w="665" w:type="pct"/>
            <w:tcBorders>
              <w:tl2br w:val="nil"/>
              <w:tr2bl w:val="nil"/>
            </w:tcBorders>
            <w:vAlign w:val="center"/>
          </w:tcPr>
          <w:p w14:paraId="2A446958">
            <w:pPr>
              <w:spacing w:line="240" w:lineRule="auto"/>
              <w:ind w:firstLine="0" w:firstLineChars="0"/>
              <w:jc w:val="center"/>
              <w:rPr>
                <w:color w:val="auto"/>
                <w:sz w:val="21"/>
                <w:szCs w:val="21"/>
              </w:rPr>
            </w:pPr>
            <w:r>
              <w:rPr>
                <w:color w:val="auto"/>
                <w:sz w:val="21"/>
                <w:szCs w:val="21"/>
              </w:rPr>
              <w:t>满足IV类水</w:t>
            </w:r>
          </w:p>
        </w:tc>
      </w:tr>
      <w:tr w14:paraId="40A916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56D9C7E6">
            <w:pPr>
              <w:spacing w:line="240" w:lineRule="auto"/>
              <w:ind w:firstLine="0" w:firstLineChars="0"/>
              <w:jc w:val="center"/>
              <w:rPr>
                <w:color w:val="auto"/>
                <w:sz w:val="21"/>
                <w:szCs w:val="21"/>
              </w:rPr>
            </w:pPr>
            <w:r>
              <w:rPr>
                <w:color w:val="auto"/>
                <w:sz w:val="21"/>
                <w:szCs w:val="21"/>
              </w:rPr>
              <w:t>铜</w:t>
            </w:r>
          </w:p>
        </w:tc>
        <w:tc>
          <w:tcPr>
            <w:tcW w:w="427" w:type="pct"/>
            <w:tcBorders>
              <w:tl2br w:val="nil"/>
              <w:tr2bl w:val="nil"/>
            </w:tcBorders>
            <w:vAlign w:val="center"/>
          </w:tcPr>
          <w:p w14:paraId="7BD6AD40">
            <w:pPr>
              <w:spacing w:line="240" w:lineRule="auto"/>
              <w:ind w:firstLine="0" w:firstLineChars="0"/>
              <w:jc w:val="center"/>
              <w:rPr>
                <w:color w:val="auto"/>
                <w:sz w:val="21"/>
                <w:szCs w:val="21"/>
              </w:rPr>
            </w:pPr>
            <w:r>
              <w:rPr>
                <w:color w:val="auto"/>
                <w:sz w:val="21"/>
                <w:szCs w:val="21"/>
              </w:rPr>
              <w:t>μg/L</w:t>
            </w:r>
          </w:p>
        </w:tc>
        <w:tc>
          <w:tcPr>
            <w:tcW w:w="390" w:type="pct"/>
            <w:tcBorders>
              <w:tl2br w:val="nil"/>
              <w:tr2bl w:val="nil"/>
            </w:tcBorders>
            <w:vAlign w:val="center"/>
          </w:tcPr>
          <w:p w14:paraId="75C16343">
            <w:pPr>
              <w:spacing w:line="240" w:lineRule="auto"/>
              <w:ind w:firstLine="0" w:firstLineChars="0"/>
              <w:jc w:val="center"/>
              <w:rPr>
                <w:color w:val="auto"/>
                <w:sz w:val="21"/>
                <w:szCs w:val="21"/>
              </w:rPr>
            </w:pPr>
            <w:r>
              <w:rPr>
                <w:color w:val="auto"/>
                <w:sz w:val="21"/>
                <w:szCs w:val="21"/>
              </w:rPr>
              <w:t>0.08</w:t>
            </w:r>
          </w:p>
        </w:tc>
        <w:tc>
          <w:tcPr>
            <w:tcW w:w="752" w:type="pct"/>
            <w:tcBorders>
              <w:tl2br w:val="nil"/>
              <w:tr2bl w:val="nil"/>
            </w:tcBorders>
            <w:vAlign w:val="center"/>
          </w:tcPr>
          <w:p w14:paraId="1709FAA7">
            <w:pPr>
              <w:spacing w:line="240" w:lineRule="auto"/>
              <w:ind w:firstLine="0" w:firstLineChars="0"/>
              <w:jc w:val="center"/>
              <w:rPr>
                <w:color w:val="auto"/>
                <w:sz w:val="21"/>
                <w:szCs w:val="21"/>
              </w:rPr>
            </w:pPr>
            <w:r>
              <w:rPr>
                <w:color w:val="auto"/>
                <w:sz w:val="21"/>
                <w:szCs w:val="21"/>
              </w:rPr>
              <w:t>1500</w:t>
            </w:r>
          </w:p>
        </w:tc>
        <w:tc>
          <w:tcPr>
            <w:tcW w:w="809" w:type="pct"/>
            <w:tcBorders>
              <w:tl2br w:val="nil"/>
              <w:tr2bl w:val="nil"/>
            </w:tcBorders>
            <w:vAlign w:val="center"/>
          </w:tcPr>
          <w:p w14:paraId="74E18F23">
            <w:pPr>
              <w:spacing w:line="240" w:lineRule="auto"/>
              <w:ind w:firstLine="0" w:firstLineChars="0"/>
              <w:jc w:val="center"/>
              <w:rPr>
                <w:color w:val="auto"/>
                <w:sz w:val="21"/>
                <w:szCs w:val="21"/>
              </w:rPr>
            </w:pPr>
            <w:r>
              <w:rPr>
                <w:color w:val="auto"/>
                <w:sz w:val="21"/>
                <w:szCs w:val="21"/>
              </w:rPr>
              <w:t>2.10</w:t>
            </w:r>
            <w:r>
              <w:rPr>
                <w:rFonts w:hint="eastAsia"/>
                <w:color w:val="auto"/>
                <w:sz w:val="21"/>
                <w:szCs w:val="21"/>
              </w:rPr>
              <w:t>~</w:t>
            </w:r>
            <w:r>
              <w:rPr>
                <w:color w:val="auto"/>
                <w:sz w:val="21"/>
                <w:szCs w:val="21"/>
              </w:rPr>
              <w:t>9.58</w:t>
            </w:r>
          </w:p>
        </w:tc>
        <w:tc>
          <w:tcPr>
            <w:tcW w:w="687" w:type="pct"/>
            <w:tcBorders>
              <w:tl2br w:val="nil"/>
              <w:tr2bl w:val="nil"/>
            </w:tcBorders>
            <w:vAlign w:val="center"/>
          </w:tcPr>
          <w:p w14:paraId="0C3D33F2">
            <w:pPr>
              <w:spacing w:line="240" w:lineRule="auto"/>
              <w:ind w:firstLine="0" w:firstLineChars="0"/>
              <w:jc w:val="center"/>
              <w:rPr>
                <w:color w:val="auto"/>
                <w:sz w:val="21"/>
                <w:szCs w:val="21"/>
              </w:rPr>
            </w:pPr>
            <w:r>
              <w:rPr>
                <w:color w:val="auto"/>
                <w:sz w:val="21"/>
                <w:szCs w:val="21"/>
              </w:rPr>
              <w:t>1.17</w:t>
            </w:r>
            <w:r>
              <w:rPr>
                <w:rFonts w:hint="eastAsia"/>
                <w:color w:val="auto"/>
                <w:sz w:val="21"/>
                <w:szCs w:val="21"/>
              </w:rPr>
              <w:t>~</w:t>
            </w:r>
            <w:r>
              <w:rPr>
                <w:color w:val="auto"/>
                <w:sz w:val="21"/>
                <w:szCs w:val="21"/>
              </w:rPr>
              <w:t>4.28</w:t>
            </w:r>
          </w:p>
        </w:tc>
        <w:tc>
          <w:tcPr>
            <w:tcW w:w="733" w:type="pct"/>
            <w:tcBorders>
              <w:tl2br w:val="nil"/>
              <w:tr2bl w:val="nil"/>
            </w:tcBorders>
            <w:vAlign w:val="center"/>
          </w:tcPr>
          <w:p w14:paraId="22FE72B4">
            <w:pPr>
              <w:spacing w:line="240" w:lineRule="auto"/>
              <w:ind w:firstLine="0" w:firstLineChars="0"/>
              <w:jc w:val="center"/>
              <w:rPr>
                <w:color w:val="auto"/>
                <w:sz w:val="21"/>
                <w:szCs w:val="21"/>
              </w:rPr>
            </w:pPr>
            <w:r>
              <w:rPr>
                <w:rFonts w:hint="eastAsia"/>
                <w:color w:val="auto"/>
                <w:sz w:val="21"/>
                <w:szCs w:val="21"/>
              </w:rPr>
              <w:t>0.37~5.78</w:t>
            </w:r>
          </w:p>
        </w:tc>
        <w:tc>
          <w:tcPr>
            <w:tcW w:w="665" w:type="pct"/>
            <w:tcBorders>
              <w:tl2br w:val="nil"/>
              <w:tr2bl w:val="nil"/>
            </w:tcBorders>
            <w:vAlign w:val="center"/>
          </w:tcPr>
          <w:p w14:paraId="1683282D">
            <w:pPr>
              <w:spacing w:line="240" w:lineRule="auto"/>
              <w:ind w:firstLine="0" w:firstLineChars="0"/>
              <w:jc w:val="center"/>
              <w:rPr>
                <w:color w:val="auto"/>
                <w:sz w:val="21"/>
                <w:szCs w:val="21"/>
              </w:rPr>
            </w:pPr>
            <w:r>
              <w:rPr>
                <w:color w:val="auto"/>
                <w:sz w:val="21"/>
                <w:szCs w:val="21"/>
              </w:rPr>
              <w:t>满足IV类水</w:t>
            </w:r>
          </w:p>
        </w:tc>
      </w:tr>
      <w:tr w14:paraId="3D0E3C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31CEF3EC">
            <w:pPr>
              <w:spacing w:line="240" w:lineRule="auto"/>
              <w:ind w:firstLine="0" w:firstLineChars="0"/>
              <w:jc w:val="center"/>
              <w:rPr>
                <w:color w:val="auto"/>
                <w:sz w:val="21"/>
                <w:szCs w:val="21"/>
              </w:rPr>
            </w:pPr>
            <w:r>
              <w:rPr>
                <w:color w:val="auto"/>
                <w:sz w:val="21"/>
                <w:szCs w:val="21"/>
              </w:rPr>
              <w:t>砷</w:t>
            </w:r>
          </w:p>
        </w:tc>
        <w:tc>
          <w:tcPr>
            <w:tcW w:w="427" w:type="pct"/>
            <w:tcBorders>
              <w:tl2br w:val="nil"/>
              <w:tr2bl w:val="nil"/>
            </w:tcBorders>
            <w:vAlign w:val="center"/>
          </w:tcPr>
          <w:p w14:paraId="6B707CC6">
            <w:pPr>
              <w:spacing w:line="240" w:lineRule="auto"/>
              <w:ind w:firstLine="0" w:firstLineChars="0"/>
              <w:jc w:val="center"/>
              <w:rPr>
                <w:color w:val="auto"/>
                <w:sz w:val="21"/>
                <w:szCs w:val="21"/>
              </w:rPr>
            </w:pPr>
            <w:r>
              <w:rPr>
                <w:color w:val="auto"/>
                <w:sz w:val="21"/>
                <w:szCs w:val="21"/>
              </w:rPr>
              <w:t>μg/L</w:t>
            </w:r>
          </w:p>
        </w:tc>
        <w:tc>
          <w:tcPr>
            <w:tcW w:w="390" w:type="pct"/>
            <w:tcBorders>
              <w:tl2br w:val="nil"/>
              <w:tr2bl w:val="nil"/>
            </w:tcBorders>
            <w:vAlign w:val="center"/>
          </w:tcPr>
          <w:p w14:paraId="556FA22D">
            <w:pPr>
              <w:spacing w:line="240" w:lineRule="auto"/>
              <w:ind w:firstLine="0" w:firstLineChars="0"/>
              <w:jc w:val="center"/>
              <w:rPr>
                <w:color w:val="auto"/>
                <w:sz w:val="21"/>
                <w:szCs w:val="21"/>
              </w:rPr>
            </w:pPr>
            <w:r>
              <w:rPr>
                <w:color w:val="auto"/>
                <w:sz w:val="21"/>
                <w:szCs w:val="21"/>
              </w:rPr>
              <w:t>0.3</w:t>
            </w:r>
          </w:p>
        </w:tc>
        <w:tc>
          <w:tcPr>
            <w:tcW w:w="752" w:type="pct"/>
            <w:tcBorders>
              <w:tl2br w:val="nil"/>
              <w:tr2bl w:val="nil"/>
            </w:tcBorders>
            <w:vAlign w:val="center"/>
          </w:tcPr>
          <w:p w14:paraId="36AD8811">
            <w:pPr>
              <w:spacing w:line="240" w:lineRule="auto"/>
              <w:ind w:firstLine="0" w:firstLineChars="0"/>
              <w:jc w:val="center"/>
              <w:rPr>
                <w:color w:val="auto"/>
                <w:sz w:val="21"/>
                <w:szCs w:val="21"/>
              </w:rPr>
            </w:pPr>
            <w:r>
              <w:rPr>
                <w:color w:val="auto"/>
                <w:sz w:val="21"/>
                <w:szCs w:val="21"/>
              </w:rPr>
              <w:t>50</w:t>
            </w:r>
          </w:p>
        </w:tc>
        <w:tc>
          <w:tcPr>
            <w:tcW w:w="809" w:type="pct"/>
            <w:tcBorders>
              <w:tl2br w:val="nil"/>
              <w:tr2bl w:val="nil"/>
            </w:tcBorders>
            <w:vAlign w:val="center"/>
          </w:tcPr>
          <w:p w14:paraId="3A49C759">
            <w:pPr>
              <w:spacing w:line="240" w:lineRule="auto"/>
              <w:ind w:firstLine="0" w:firstLineChars="0"/>
              <w:jc w:val="center"/>
              <w:rPr>
                <w:color w:val="auto"/>
                <w:sz w:val="21"/>
                <w:szCs w:val="21"/>
              </w:rPr>
            </w:pPr>
            <w:r>
              <w:rPr>
                <w:color w:val="auto"/>
                <w:sz w:val="21"/>
                <w:szCs w:val="21"/>
              </w:rPr>
              <w:t>ND</w:t>
            </w:r>
            <w:r>
              <w:rPr>
                <w:rFonts w:hint="eastAsia"/>
                <w:color w:val="auto"/>
                <w:sz w:val="21"/>
                <w:szCs w:val="21"/>
              </w:rPr>
              <w:t>~</w:t>
            </w:r>
            <w:r>
              <w:rPr>
                <w:color w:val="auto"/>
                <w:sz w:val="21"/>
                <w:szCs w:val="21"/>
              </w:rPr>
              <w:t>2.6</w:t>
            </w:r>
          </w:p>
        </w:tc>
        <w:tc>
          <w:tcPr>
            <w:tcW w:w="687" w:type="pct"/>
            <w:tcBorders>
              <w:tl2br w:val="nil"/>
              <w:tr2bl w:val="nil"/>
            </w:tcBorders>
            <w:vAlign w:val="center"/>
          </w:tcPr>
          <w:p w14:paraId="3B716CA3">
            <w:pPr>
              <w:spacing w:line="240" w:lineRule="auto"/>
              <w:ind w:firstLine="0" w:firstLineChars="0"/>
              <w:jc w:val="center"/>
              <w:rPr>
                <w:color w:val="auto"/>
                <w:sz w:val="21"/>
                <w:szCs w:val="21"/>
              </w:rPr>
            </w:pPr>
            <w:r>
              <w:rPr>
                <w:color w:val="auto"/>
                <w:sz w:val="21"/>
                <w:szCs w:val="21"/>
              </w:rPr>
              <w:t>0.3</w:t>
            </w:r>
            <w:r>
              <w:rPr>
                <w:rFonts w:hint="eastAsia"/>
                <w:color w:val="auto"/>
                <w:sz w:val="21"/>
                <w:szCs w:val="21"/>
              </w:rPr>
              <w:t>~</w:t>
            </w:r>
            <w:r>
              <w:rPr>
                <w:color w:val="auto"/>
                <w:sz w:val="21"/>
                <w:szCs w:val="21"/>
              </w:rPr>
              <w:t>13.6</w:t>
            </w:r>
          </w:p>
        </w:tc>
        <w:tc>
          <w:tcPr>
            <w:tcW w:w="733" w:type="pct"/>
            <w:tcBorders>
              <w:tl2br w:val="nil"/>
              <w:tr2bl w:val="nil"/>
            </w:tcBorders>
            <w:vAlign w:val="center"/>
          </w:tcPr>
          <w:p w14:paraId="096171C0">
            <w:pPr>
              <w:spacing w:line="240" w:lineRule="auto"/>
              <w:ind w:firstLine="0" w:firstLineChars="0"/>
              <w:jc w:val="center"/>
              <w:rPr>
                <w:color w:val="auto"/>
                <w:sz w:val="21"/>
                <w:szCs w:val="21"/>
              </w:rPr>
            </w:pPr>
            <w:r>
              <w:rPr>
                <w:rFonts w:hint="eastAsia"/>
                <w:color w:val="auto"/>
                <w:sz w:val="21"/>
                <w:szCs w:val="21"/>
              </w:rPr>
              <w:t>1.37~6.26</w:t>
            </w:r>
          </w:p>
        </w:tc>
        <w:tc>
          <w:tcPr>
            <w:tcW w:w="665" w:type="pct"/>
            <w:tcBorders>
              <w:tl2br w:val="nil"/>
              <w:tr2bl w:val="nil"/>
            </w:tcBorders>
            <w:vAlign w:val="center"/>
          </w:tcPr>
          <w:p w14:paraId="7A557FA1">
            <w:pPr>
              <w:spacing w:line="240" w:lineRule="auto"/>
              <w:ind w:firstLine="0" w:firstLineChars="0"/>
              <w:jc w:val="center"/>
              <w:rPr>
                <w:color w:val="auto"/>
                <w:sz w:val="21"/>
                <w:szCs w:val="21"/>
              </w:rPr>
            </w:pPr>
            <w:r>
              <w:rPr>
                <w:color w:val="auto"/>
                <w:sz w:val="21"/>
                <w:szCs w:val="21"/>
              </w:rPr>
              <w:t>满足IV类水</w:t>
            </w:r>
          </w:p>
        </w:tc>
      </w:tr>
      <w:tr w14:paraId="60356A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4B2C3DB2">
            <w:pPr>
              <w:spacing w:line="240" w:lineRule="auto"/>
              <w:ind w:firstLine="0" w:firstLineChars="0"/>
              <w:jc w:val="center"/>
              <w:rPr>
                <w:color w:val="auto"/>
                <w:sz w:val="21"/>
                <w:szCs w:val="21"/>
              </w:rPr>
            </w:pPr>
            <w:r>
              <w:rPr>
                <w:rFonts w:hint="eastAsia"/>
                <w:color w:val="auto"/>
                <w:sz w:val="21"/>
                <w:szCs w:val="21"/>
              </w:rPr>
              <w:t>硒</w:t>
            </w:r>
          </w:p>
        </w:tc>
        <w:tc>
          <w:tcPr>
            <w:tcW w:w="427" w:type="pct"/>
            <w:tcBorders>
              <w:tl2br w:val="nil"/>
              <w:tr2bl w:val="nil"/>
            </w:tcBorders>
            <w:vAlign w:val="center"/>
          </w:tcPr>
          <w:p w14:paraId="21751ABD">
            <w:pPr>
              <w:spacing w:line="240" w:lineRule="auto"/>
              <w:ind w:firstLine="0" w:firstLineChars="0"/>
              <w:jc w:val="center"/>
              <w:rPr>
                <w:color w:val="auto"/>
                <w:sz w:val="21"/>
                <w:szCs w:val="21"/>
              </w:rPr>
            </w:pPr>
            <w:r>
              <w:rPr>
                <w:color w:val="auto"/>
                <w:sz w:val="21"/>
                <w:szCs w:val="21"/>
              </w:rPr>
              <w:t>μg/L</w:t>
            </w:r>
          </w:p>
        </w:tc>
        <w:tc>
          <w:tcPr>
            <w:tcW w:w="390" w:type="pct"/>
            <w:tcBorders>
              <w:tl2br w:val="nil"/>
              <w:tr2bl w:val="nil"/>
            </w:tcBorders>
            <w:vAlign w:val="center"/>
          </w:tcPr>
          <w:p w14:paraId="393CB942">
            <w:pPr>
              <w:spacing w:line="240" w:lineRule="auto"/>
              <w:ind w:firstLine="0" w:firstLineChars="0"/>
              <w:jc w:val="center"/>
              <w:rPr>
                <w:color w:val="auto"/>
                <w:sz w:val="21"/>
                <w:szCs w:val="21"/>
              </w:rPr>
            </w:pPr>
            <w:r>
              <w:rPr>
                <w:rFonts w:hint="eastAsia"/>
                <w:color w:val="auto"/>
                <w:sz w:val="21"/>
                <w:szCs w:val="21"/>
              </w:rPr>
              <w:t>0.41</w:t>
            </w:r>
          </w:p>
        </w:tc>
        <w:tc>
          <w:tcPr>
            <w:tcW w:w="752" w:type="pct"/>
            <w:tcBorders>
              <w:tl2br w:val="nil"/>
              <w:tr2bl w:val="nil"/>
            </w:tcBorders>
            <w:vAlign w:val="center"/>
          </w:tcPr>
          <w:p w14:paraId="37218ECF">
            <w:pPr>
              <w:spacing w:line="240" w:lineRule="auto"/>
              <w:ind w:firstLine="0" w:firstLineChars="0"/>
              <w:jc w:val="center"/>
              <w:rPr>
                <w:color w:val="auto"/>
                <w:sz w:val="21"/>
                <w:szCs w:val="21"/>
              </w:rPr>
            </w:pPr>
            <w:r>
              <w:rPr>
                <w:rFonts w:hint="eastAsia"/>
                <w:color w:val="auto"/>
                <w:sz w:val="21"/>
                <w:szCs w:val="21"/>
              </w:rPr>
              <w:t>100</w:t>
            </w:r>
          </w:p>
        </w:tc>
        <w:tc>
          <w:tcPr>
            <w:tcW w:w="809" w:type="pct"/>
            <w:tcBorders>
              <w:tl2br w:val="nil"/>
              <w:tr2bl w:val="nil"/>
            </w:tcBorders>
            <w:vAlign w:val="center"/>
          </w:tcPr>
          <w:p w14:paraId="5E0D0181">
            <w:pPr>
              <w:spacing w:line="240" w:lineRule="auto"/>
              <w:ind w:firstLine="0" w:firstLineChars="0"/>
              <w:jc w:val="center"/>
              <w:rPr>
                <w:color w:val="auto"/>
                <w:sz w:val="21"/>
                <w:szCs w:val="21"/>
              </w:rPr>
            </w:pPr>
            <w:r>
              <w:rPr>
                <w:rFonts w:hint="eastAsia"/>
                <w:color w:val="auto"/>
                <w:sz w:val="21"/>
                <w:szCs w:val="21"/>
              </w:rPr>
              <w:t>ND</w:t>
            </w:r>
          </w:p>
        </w:tc>
        <w:tc>
          <w:tcPr>
            <w:tcW w:w="687" w:type="pct"/>
            <w:tcBorders>
              <w:tl2br w:val="nil"/>
              <w:tr2bl w:val="nil"/>
            </w:tcBorders>
            <w:vAlign w:val="center"/>
          </w:tcPr>
          <w:p w14:paraId="06BEB8B7">
            <w:pPr>
              <w:spacing w:line="240" w:lineRule="auto"/>
              <w:ind w:firstLine="0" w:firstLineChars="0"/>
              <w:jc w:val="center"/>
              <w:rPr>
                <w:color w:val="auto"/>
                <w:sz w:val="21"/>
                <w:szCs w:val="21"/>
              </w:rPr>
            </w:pPr>
            <w:r>
              <w:rPr>
                <w:rFonts w:hint="eastAsia"/>
                <w:color w:val="auto"/>
                <w:sz w:val="21"/>
                <w:szCs w:val="21"/>
              </w:rPr>
              <w:t>ND</w:t>
            </w:r>
          </w:p>
        </w:tc>
        <w:tc>
          <w:tcPr>
            <w:tcW w:w="733" w:type="pct"/>
            <w:tcBorders>
              <w:tl2br w:val="nil"/>
              <w:tr2bl w:val="nil"/>
            </w:tcBorders>
            <w:vAlign w:val="center"/>
          </w:tcPr>
          <w:p w14:paraId="0116017C">
            <w:pPr>
              <w:spacing w:line="240" w:lineRule="auto"/>
              <w:ind w:firstLine="0" w:firstLineChars="0"/>
              <w:jc w:val="center"/>
              <w:rPr>
                <w:color w:val="auto"/>
                <w:sz w:val="21"/>
                <w:szCs w:val="21"/>
              </w:rPr>
            </w:pPr>
            <w:r>
              <w:rPr>
                <w:rFonts w:hint="eastAsia"/>
                <w:color w:val="auto"/>
                <w:sz w:val="21"/>
                <w:szCs w:val="21"/>
              </w:rPr>
              <w:t>ND~6.37</w:t>
            </w:r>
          </w:p>
        </w:tc>
        <w:tc>
          <w:tcPr>
            <w:tcW w:w="665" w:type="pct"/>
            <w:tcBorders>
              <w:tl2br w:val="nil"/>
              <w:tr2bl w:val="nil"/>
            </w:tcBorders>
            <w:vAlign w:val="center"/>
          </w:tcPr>
          <w:p w14:paraId="387599DD">
            <w:pPr>
              <w:spacing w:line="240" w:lineRule="auto"/>
              <w:ind w:firstLine="0" w:firstLineChars="0"/>
              <w:jc w:val="center"/>
              <w:rPr>
                <w:color w:val="auto"/>
                <w:sz w:val="21"/>
                <w:szCs w:val="21"/>
              </w:rPr>
            </w:pPr>
            <w:r>
              <w:rPr>
                <w:color w:val="auto"/>
                <w:sz w:val="21"/>
                <w:szCs w:val="21"/>
              </w:rPr>
              <w:t>满足IV类水</w:t>
            </w:r>
          </w:p>
        </w:tc>
      </w:tr>
      <w:tr w14:paraId="01369D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0318916A">
            <w:pPr>
              <w:spacing w:line="240" w:lineRule="auto"/>
              <w:ind w:firstLine="0" w:firstLineChars="0"/>
              <w:jc w:val="center"/>
              <w:rPr>
                <w:color w:val="auto"/>
                <w:sz w:val="21"/>
                <w:szCs w:val="21"/>
              </w:rPr>
            </w:pPr>
            <w:r>
              <w:rPr>
                <w:rFonts w:hint="eastAsia"/>
                <w:color w:val="auto"/>
                <w:sz w:val="21"/>
                <w:szCs w:val="21"/>
              </w:rPr>
              <w:t>镉</w:t>
            </w:r>
          </w:p>
        </w:tc>
        <w:tc>
          <w:tcPr>
            <w:tcW w:w="427" w:type="pct"/>
            <w:tcBorders>
              <w:tl2br w:val="nil"/>
              <w:tr2bl w:val="nil"/>
            </w:tcBorders>
            <w:vAlign w:val="center"/>
          </w:tcPr>
          <w:p w14:paraId="3C4A35DF">
            <w:pPr>
              <w:spacing w:line="240" w:lineRule="auto"/>
              <w:ind w:firstLine="0" w:firstLineChars="0"/>
              <w:jc w:val="center"/>
              <w:rPr>
                <w:color w:val="auto"/>
                <w:sz w:val="21"/>
                <w:szCs w:val="21"/>
              </w:rPr>
            </w:pPr>
            <w:r>
              <w:rPr>
                <w:color w:val="auto"/>
                <w:sz w:val="21"/>
                <w:szCs w:val="21"/>
              </w:rPr>
              <w:t>μg/L</w:t>
            </w:r>
          </w:p>
        </w:tc>
        <w:tc>
          <w:tcPr>
            <w:tcW w:w="390" w:type="pct"/>
            <w:tcBorders>
              <w:tl2br w:val="nil"/>
              <w:tr2bl w:val="nil"/>
            </w:tcBorders>
            <w:vAlign w:val="center"/>
          </w:tcPr>
          <w:p w14:paraId="3BD0C07F">
            <w:pPr>
              <w:spacing w:line="240" w:lineRule="auto"/>
              <w:ind w:firstLine="0" w:firstLineChars="0"/>
              <w:jc w:val="center"/>
              <w:rPr>
                <w:color w:val="auto"/>
                <w:sz w:val="21"/>
                <w:szCs w:val="21"/>
              </w:rPr>
            </w:pPr>
            <w:r>
              <w:rPr>
                <w:rFonts w:hint="eastAsia"/>
                <w:color w:val="auto"/>
                <w:sz w:val="21"/>
                <w:szCs w:val="21"/>
              </w:rPr>
              <w:t>0.05</w:t>
            </w:r>
          </w:p>
        </w:tc>
        <w:tc>
          <w:tcPr>
            <w:tcW w:w="752" w:type="pct"/>
            <w:tcBorders>
              <w:tl2br w:val="nil"/>
              <w:tr2bl w:val="nil"/>
            </w:tcBorders>
            <w:vAlign w:val="center"/>
          </w:tcPr>
          <w:p w14:paraId="6AE92DCD">
            <w:pPr>
              <w:spacing w:line="240" w:lineRule="auto"/>
              <w:ind w:firstLine="0" w:firstLineChars="0"/>
              <w:jc w:val="center"/>
              <w:rPr>
                <w:color w:val="auto"/>
                <w:sz w:val="21"/>
                <w:szCs w:val="21"/>
              </w:rPr>
            </w:pPr>
            <w:r>
              <w:rPr>
                <w:rFonts w:hint="eastAsia"/>
                <w:color w:val="auto"/>
                <w:sz w:val="21"/>
                <w:szCs w:val="21"/>
              </w:rPr>
              <w:t>10</w:t>
            </w:r>
          </w:p>
        </w:tc>
        <w:tc>
          <w:tcPr>
            <w:tcW w:w="809" w:type="pct"/>
            <w:tcBorders>
              <w:tl2br w:val="nil"/>
              <w:tr2bl w:val="nil"/>
            </w:tcBorders>
            <w:vAlign w:val="center"/>
          </w:tcPr>
          <w:p w14:paraId="150B32B9">
            <w:pPr>
              <w:spacing w:line="240" w:lineRule="auto"/>
              <w:ind w:firstLine="0" w:firstLineChars="0"/>
              <w:jc w:val="center"/>
              <w:rPr>
                <w:color w:val="auto"/>
                <w:sz w:val="21"/>
                <w:szCs w:val="21"/>
              </w:rPr>
            </w:pPr>
            <w:r>
              <w:rPr>
                <w:rFonts w:hint="eastAsia"/>
                <w:color w:val="auto"/>
                <w:sz w:val="21"/>
                <w:szCs w:val="21"/>
              </w:rPr>
              <w:t>ND</w:t>
            </w:r>
          </w:p>
        </w:tc>
        <w:tc>
          <w:tcPr>
            <w:tcW w:w="687" w:type="pct"/>
            <w:tcBorders>
              <w:tl2br w:val="nil"/>
              <w:tr2bl w:val="nil"/>
            </w:tcBorders>
            <w:vAlign w:val="center"/>
          </w:tcPr>
          <w:p w14:paraId="7F124DC5">
            <w:pPr>
              <w:spacing w:line="240" w:lineRule="auto"/>
              <w:ind w:firstLine="0" w:firstLineChars="0"/>
              <w:jc w:val="center"/>
              <w:rPr>
                <w:color w:val="auto"/>
                <w:sz w:val="21"/>
                <w:szCs w:val="21"/>
              </w:rPr>
            </w:pPr>
            <w:r>
              <w:rPr>
                <w:rFonts w:hint="eastAsia"/>
                <w:color w:val="auto"/>
                <w:sz w:val="21"/>
                <w:szCs w:val="21"/>
              </w:rPr>
              <w:t>ND</w:t>
            </w:r>
          </w:p>
        </w:tc>
        <w:tc>
          <w:tcPr>
            <w:tcW w:w="733" w:type="pct"/>
            <w:tcBorders>
              <w:tl2br w:val="nil"/>
              <w:tr2bl w:val="nil"/>
            </w:tcBorders>
            <w:vAlign w:val="center"/>
          </w:tcPr>
          <w:p w14:paraId="3AFB38BA">
            <w:pPr>
              <w:spacing w:line="240" w:lineRule="auto"/>
              <w:ind w:firstLine="0" w:firstLineChars="0"/>
              <w:jc w:val="center"/>
              <w:rPr>
                <w:color w:val="auto"/>
                <w:sz w:val="21"/>
                <w:szCs w:val="21"/>
              </w:rPr>
            </w:pPr>
            <w:r>
              <w:rPr>
                <w:rFonts w:hint="eastAsia"/>
                <w:color w:val="auto"/>
                <w:sz w:val="21"/>
                <w:szCs w:val="21"/>
              </w:rPr>
              <w:t>ND~0.08</w:t>
            </w:r>
          </w:p>
        </w:tc>
        <w:tc>
          <w:tcPr>
            <w:tcW w:w="665" w:type="pct"/>
            <w:tcBorders>
              <w:tl2br w:val="nil"/>
              <w:tr2bl w:val="nil"/>
            </w:tcBorders>
            <w:vAlign w:val="center"/>
          </w:tcPr>
          <w:p w14:paraId="7AEDF7C7">
            <w:pPr>
              <w:spacing w:line="240" w:lineRule="auto"/>
              <w:ind w:firstLine="0" w:firstLineChars="0"/>
              <w:jc w:val="center"/>
              <w:rPr>
                <w:color w:val="auto"/>
                <w:sz w:val="21"/>
                <w:szCs w:val="21"/>
              </w:rPr>
            </w:pPr>
            <w:r>
              <w:rPr>
                <w:color w:val="auto"/>
                <w:sz w:val="21"/>
                <w:szCs w:val="21"/>
              </w:rPr>
              <w:t>满足IV类水</w:t>
            </w:r>
          </w:p>
        </w:tc>
      </w:tr>
      <w:tr w14:paraId="65FF96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08B88219">
            <w:pPr>
              <w:spacing w:line="240" w:lineRule="auto"/>
              <w:ind w:firstLine="0" w:firstLineChars="0"/>
              <w:jc w:val="center"/>
              <w:rPr>
                <w:color w:val="auto"/>
                <w:sz w:val="21"/>
                <w:szCs w:val="21"/>
              </w:rPr>
            </w:pPr>
            <w:r>
              <w:rPr>
                <w:rFonts w:hint="eastAsia"/>
                <w:color w:val="auto"/>
                <w:sz w:val="21"/>
                <w:szCs w:val="21"/>
              </w:rPr>
              <w:t>锌</w:t>
            </w:r>
          </w:p>
        </w:tc>
        <w:tc>
          <w:tcPr>
            <w:tcW w:w="427" w:type="pct"/>
            <w:tcBorders>
              <w:tl2br w:val="nil"/>
              <w:tr2bl w:val="nil"/>
            </w:tcBorders>
            <w:vAlign w:val="center"/>
          </w:tcPr>
          <w:p w14:paraId="5E07A544">
            <w:pPr>
              <w:spacing w:line="240" w:lineRule="auto"/>
              <w:ind w:firstLine="0" w:firstLineChars="0"/>
              <w:jc w:val="center"/>
              <w:rPr>
                <w:color w:val="auto"/>
                <w:sz w:val="21"/>
                <w:szCs w:val="21"/>
              </w:rPr>
            </w:pPr>
            <w:r>
              <w:rPr>
                <w:color w:val="auto"/>
                <w:sz w:val="21"/>
                <w:szCs w:val="21"/>
              </w:rPr>
              <w:t>μg/L</w:t>
            </w:r>
          </w:p>
        </w:tc>
        <w:tc>
          <w:tcPr>
            <w:tcW w:w="390" w:type="pct"/>
            <w:tcBorders>
              <w:tl2br w:val="nil"/>
              <w:tr2bl w:val="nil"/>
            </w:tcBorders>
            <w:vAlign w:val="center"/>
          </w:tcPr>
          <w:p w14:paraId="2E2C48EE">
            <w:pPr>
              <w:spacing w:line="240" w:lineRule="auto"/>
              <w:ind w:firstLine="0" w:firstLineChars="0"/>
              <w:jc w:val="center"/>
              <w:rPr>
                <w:color w:val="auto"/>
                <w:sz w:val="21"/>
                <w:szCs w:val="21"/>
              </w:rPr>
            </w:pPr>
            <w:r>
              <w:rPr>
                <w:rFonts w:hint="eastAsia"/>
                <w:color w:val="auto"/>
                <w:sz w:val="21"/>
                <w:szCs w:val="21"/>
              </w:rPr>
              <w:t>0.67</w:t>
            </w:r>
          </w:p>
        </w:tc>
        <w:tc>
          <w:tcPr>
            <w:tcW w:w="752" w:type="pct"/>
            <w:tcBorders>
              <w:tl2br w:val="nil"/>
              <w:tr2bl w:val="nil"/>
            </w:tcBorders>
            <w:vAlign w:val="center"/>
          </w:tcPr>
          <w:p w14:paraId="3032EBD0">
            <w:pPr>
              <w:spacing w:line="240" w:lineRule="auto"/>
              <w:ind w:firstLine="0" w:firstLineChars="0"/>
              <w:jc w:val="center"/>
              <w:rPr>
                <w:color w:val="auto"/>
                <w:sz w:val="21"/>
                <w:szCs w:val="21"/>
              </w:rPr>
            </w:pPr>
            <w:r>
              <w:rPr>
                <w:rFonts w:hint="eastAsia"/>
                <w:color w:val="auto"/>
                <w:sz w:val="21"/>
                <w:szCs w:val="21"/>
              </w:rPr>
              <w:t>5000</w:t>
            </w:r>
          </w:p>
        </w:tc>
        <w:tc>
          <w:tcPr>
            <w:tcW w:w="809" w:type="pct"/>
            <w:tcBorders>
              <w:tl2br w:val="nil"/>
              <w:tr2bl w:val="nil"/>
            </w:tcBorders>
            <w:vAlign w:val="center"/>
          </w:tcPr>
          <w:p w14:paraId="40633128">
            <w:pPr>
              <w:spacing w:line="240" w:lineRule="auto"/>
              <w:ind w:firstLine="0" w:firstLineChars="0"/>
              <w:jc w:val="center"/>
              <w:rPr>
                <w:color w:val="auto"/>
                <w:sz w:val="21"/>
                <w:szCs w:val="21"/>
              </w:rPr>
            </w:pPr>
            <w:r>
              <w:rPr>
                <w:rFonts w:hint="eastAsia"/>
                <w:color w:val="auto"/>
                <w:sz w:val="21"/>
                <w:szCs w:val="21"/>
              </w:rPr>
              <w:t>ND</w:t>
            </w:r>
          </w:p>
        </w:tc>
        <w:tc>
          <w:tcPr>
            <w:tcW w:w="687" w:type="pct"/>
            <w:tcBorders>
              <w:tl2br w:val="nil"/>
              <w:tr2bl w:val="nil"/>
            </w:tcBorders>
            <w:vAlign w:val="center"/>
          </w:tcPr>
          <w:p w14:paraId="429E6C8E">
            <w:pPr>
              <w:spacing w:line="240" w:lineRule="auto"/>
              <w:ind w:firstLine="0" w:firstLineChars="0"/>
              <w:jc w:val="center"/>
              <w:rPr>
                <w:color w:val="auto"/>
                <w:sz w:val="21"/>
                <w:szCs w:val="21"/>
              </w:rPr>
            </w:pPr>
            <w:r>
              <w:rPr>
                <w:rFonts w:hint="eastAsia"/>
                <w:color w:val="auto"/>
                <w:sz w:val="21"/>
                <w:szCs w:val="21"/>
              </w:rPr>
              <w:t>ND</w:t>
            </w:r>
          </w:p>
        </w:tc>
        <w:tc>
          <w:tcPr>
            <w:tcW w:w="733" w:type="pct"/>
            <w:tcBorders>
              <w:tl2br w:val="nil"/>
              <w:tr2bl w:val="nil"/>
            </w:tcBorders>
            <w:vAlign w:val="center"/>
          </w:tcPr>
          <w:p w14:paraId="26280A1C">
            <w:pPr>
              <w:spacing w:line="240" w:lineRule="auto"/>
              <w:ind w:firstLine="0" w:firstLineChars="0"/>
              <w:jc w:val="center"/>
              <w:rPr>
                <w:color w:val="auto"/>
                <w:sz w:val="21"/>
                <w:szCs w:val="21"/>
              </w:rPr>
            </w:pPr>
            <w:r>
              <w:rPr>
                <w:rFonts w:hint="eastAsia"/>
                <w:color w:val="auto"/>
                <w:sz w:val="21"/>
                <w:szCs w:val="21"/>
              </w:rPr>
              <w:t>ND~6.80</w:t>
            </w:r>
          </w:p>
        </w:tc>
        <w:tc>
          <w:tcPr>
            <w:tcW w:w="665" w:type="pct"/>
            <w:tcBorders>
              <w:tl2br w:val="nil"/>
              <w:tr2bl w:val="nil"/>
            </w:tcBorders>
            <w:vAlign w:val="center"/>
          </w:tcPr>
          <w:p w14:paraId="77611198">
            <w:pPr>
              <w:spacing w:line="240" w:lineRule="auto"/>
              <w:ind w:firstLine="0" w:firstLineChars="0"/>
              <w:jc w:val="center"/>
              <w:rPr>
                <w:color w:val="auto"/>
                <w:sz w:val="21"/>
                <w:szCs w:val="21"/>
              </w:rPr>
            </w:pPr>
            <w:r>
              <w:rPr>
                <w:color w:val="auto"/>
                <w:sz w:val="21"/>
                <w:szCs w:val="21"/>
              </w:rPr>
              <w:t>满足IV类水</w:t>
            </w:r>
          </w:p>
        </w:tc>
      </w:tr>
      <w:tr w14:paraId="65DE8E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360163E9">
            <w:pPr>
              <w:spacing w:line="240" w:lineRule="auto"/>
              <w:ind w:firstLine="0" w:firstLineChars="0"/>
              <w:jc w:val="center"/>
              <w:rPr>
                <w:color w:val="auto"/>
                <w:sz w:val="21"/>
                <w:szCs w:val="21"/>
              </w:rPr>
            </w:pPr>
            <w:r>
              <w:rPr>
                <w:rFonts w:hint="eastAsia"/>
                <w:color w:val="auto"/>
                <w:sz w:val="21"/>
                <w:szCs w:val="21"/>
              </w:rPr>
              <w:t>铁</w:t>
            </w:r>
          </w:p>
        </w:tc>
        <w:tc>
          <w:tcPr>
            <w:tcW w:w="427" w:type="pct"/>
            <w:tcBorders>
              <w:tl2br w:val="nil"/>
              <w:tr2bl w:val="nil"/>
            </w:tcBorders>
            <w:vAlign w:val="center"/>
          </w:tcPr>
          <w:p w14:paraId="5C9C58A8">
            <w:pPr>
              <w:spacing w:line="240" w:lineRule="auto"/>
              <w:ind w:firstLine="0" w:firstLineChars="0"/>
              <w:jc w:val="center"/>
              <w:rPr>
                <w:color w:val="auto"/>
                <w:sz w:val="21"/>
                <w:szCs w:val="21"/>
              </w:rPr>
            </w:pPr>
            <w:r>
              <w:rPr>
                <w:rFonts w:hint="eastAsia"/>
                <w:color w:val="auto"/>
                <w:sz w:val="21"/>
                <w:szCs w:val="21"/>
              </w:rPr>
              <w:t>mg/L</w:t>
            </w:r>
          </w:p>
        </w:tc>
        <w:tc>
          <w:tcPr>
            <w:tcW w:w="390" w:type="pct"/>
            <w:tcBorders>
              <w:tl2br w:val="nil"/>
              <w:tr2bl w:val="nil"/>
            </w:tcBorders>
            <w:vAlign w:val="center"/>
          </w:tcPr>
          <w:p w14:paraId="470BDAB5">
            <w:pPr>
              <w:spacing w:line="240" w:lineRule="auto"/>
              <w:ind w:firstLine="0" w:firstLineChars="0"/>
              <w:jc w:val="center"/>
              <w:rPr>
                <w:color w:val="auto"/>
                <w:sz w:val="21"/>
                <w:szCs w:val="21"/>
              </w:rPr>
            </w:pPr>
            <w:r>
              <w:rPr>
                <w:rFonts w:hint="eastAsia"/>
                <w:color w:val="auto"/>
                <w:sz w:val="21"/>
                <w:szCs w:val="21"/>
              </w:rPr>
              <w:t>0.02</w:t>
            </w:r>
          </w:p>
        </w:tc>
        <w:tc>
          <w:tcPr>
            <w:tcW w:w="752" w:type="pct"/>
            <w:tcBorders>
              <w:tl2br w:val="nil"/>
              <w:tr2bl w:val="nil"/>
            </w:tcBorders>
            <w:vAlign w:val="center"/>
          </w:tcPr>
          <w:p w14:paraId="67E5659E">
            <w:pPr>
              <w:spacing w:line="240" w:lineRule="auto"/>
              <w:ind w:firstLine="0" w:firstLineChars="0"/>
              <w:jc w:val="center"/>
              <w:rPr>
                <w:color w:val="auto"/>
                <w:sz w:val="21"/>
                <w:szCs w:val="21"/>
              </w:rPr>
            </w:pPr>
            <w:r>
              <w:rPr>
                <w:rFonts w:hint="eastAsia"/>
                <w:color w:val="auto"/>
                <w:sz w:val="21"/>
                <w:szCs w:val="21"/>
              </w:rPr>
              <w:t>1.5</w:t>
            </w:r>
          </w:p>
        </w:tc>
        <w:tc>
          <w:tcPr>
            <w:tcW w:w="809" w:type="pct"/>
            <w:tcBorders>
              <w:tl2br w:val="nil"/>
              <w:tr2bl w:val="nil"/>
            </w:tcBorders>
            <w:vAlign w:val="center"/>
          </w:tcPr>
          <w:p w14:paraId="480A87F7">
            <w:pPr>
              <w:spacing w:line="240" w:lineRule="auto"/>
              <w:ind w:firstLine="0" w:firstLineChars="0"/>
              <w:jc w:val="center"/>
              <w:rPr>
                <w:color w:val="auto"/>
                <w:sz w:val="21"/>
                <w:szCs w:val="21"/>
              </w:rPr>
            </w:pPr>
            <w:r>
              <w:rPr>
                <w:rFonts w:hint="eastAsia"/>
                <w:color w:val="auto"/>
                <w:sz w:val="21"/>
                <w:szCs w:val="21"/>
              </w:rPr>
              <w:t>ND</w:t>
            </w:r>
          </w:p>
        </w:tc>
        <w:tc>
          <w:tcPr>
            <w:tcW w:w="687" w:type="pct"/>
            <w:tcBorders>
              <w:tl2br w:val="nil"/>
              <w:tr2bl w:val="nil"/>
            </w:tcBorders>
            <w:vAlign w:val="center"/>
          </w:tcPr>
          <w:p w14:paraId="5E76DFB7">
            <w:pPr>
              <w:spacing w:line="240" w:lineRule="auto"/>
              <w:ind w:firstLine="0" w:firstLineChars="0"/>
              <w:jc w:val="center"/>
              <w:rPr>
                <w:color w:val="auto"/>
                <w:sz w:val="21"/>
                <w:szCs w:val="21"/>
              </w:rPr>
            </w:pPr>
            <w:r>
              <w:rPr>
                <w:rFonts w:hint="eastAsia"/>
                <w:color w:val="auto"/>
                <w:sz w:val="21"/>
                <w:szCs w:val="21"/>
              </w:rPr>
              <w:t>ND</w:t>
            </w:r>
          </w:p>
        </w:tc>
        <w:tc>
          <w:tcPr>
            <w:tcW w:w="733" w:type="pct"/>
            <w:tcBorders>
              <w:tl2br w:val="nil"/>
              <w:tr2bl w:val="nil"/>
            </w:tcBorders>
            <w:vAlign w:val="center"/>
          </w:tcPr>
          <w:p w14:paraId="0CDDB3B8">
            <w:pPr>
              <w:spacing w:line="240" w:lineRule="auto"/>
              <w:ind w:firstLine="0" w:firstLineChars="0"/>
              <w:jc w:val="center"/>
              <w:rPr>
                <w:color w:val="auto"/>
                <w:sz w:val="21"/>
                <w:szCs w:val="21"/>
              </w:rPr>
            </w:pPr>
            <w:r>
              <w:rPr>
                <w:rFonts w:hint="eastAsia"/>
                <w:color w:val="auto"/>
                <w:sz w:val="21"/>
                <w:szCs w:val="21"/>
              </w:rPr>
              <w:t>ND~8.49</w:t>
            </w:r>
          </w:p>
        </w:tc>
        <w:tc>
          <w:tcPr>
            <w:tcW w:w="665" w:type="pct"/>
            <w:tcBorders>
              <w:tl2br w:val="nil"/>
              <w:tr2bl w:val="nil"/>
            </w:tcBorders>
            <w:vAlign w:val="center"/>
          </w:tcPr>
          <w:p w14:paraId="061DFA2C">
            <w:pPr>
              <w:spacing w:line="240" w:lineRule="auto"/>
              <w:ind w:firstLine="0" w:firstLineChars="0"/>
              <w:jc w:val="center"/>
              <w:rPr>
                <w:color w:val="auto"/>
                <w:sz w:val="21"/>
                <w:szCs w:val="21"/>
              </w:rPr>
            </w:pPr>
            <w:r>
              <w:rPr>
                <w:rFonts w:hint="eastAsia"/>
                <w:color w:val="auto"/>
                <w:sz w:val="21"/>
                <w:szCs w:val="21"/>
              </w:rPr>
              <w:t>超标</w:t>
            </w:r>
          </w:p>
        </w:tc>
      </w:tr>
      <w:tr w14:paraId="691919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43B65DB4">
            <w:pPr>
              <w:spacing w:line="240" w:lineRule="auto"/>
              <w:ind w:firstLine="0" w:firstLineChars="0"/>
              <w:jc w:val="center"/>
              <w:rPr>
                <w:color w:val="auto"/>
                <w:sz w:val="21"/>
                <w:szCs w:val="21"/>
              </w:rPr>
            </w:pPr>
            <w:r>
              <w:rPr>
                <w:rFonts w:hint="eastAsia"/>
                <w:color w:val="auto"/>
                <w:sz w:val="21"/>
                <w:szCs w:val="21"/>
              </w:rPr>
              <w:t>锰</w:t>
            </w:r>
          </w:p>
        </w:tc>
        <w:tc>
          <w:tcPr>
            <w:tcW w:w="427" w:type="pct"/>
            <w:tcBorders>
              <w:tl2br w:val="nil"/>
              <w:tr2bl w:val="nil"/>
            </w:tcBorders>
            <w:vAlign w:val="center"/>
          </w:tcPr>
          <w:p w14:paraId="7DF4C0E1">
            <w:pPr>
              <w:spacing w:line="240" w:lineRule="auto"/>
              <w:ind w:firstLine="0" w:firstLineChars="0"/>
              <w:jc w:val="center"/>
              <w:rPr>
                <w:color w:val="auto"/>
                <w:sz w:val="21"/>
                <w:szCs w:val="21"/>
              </w:rPr>
            </w:pPr>
            <w:r>
              <w:rPr>
                <w:rFonts w:hint="eastAsia"/>
                <w:color w:val="auto"/>
                <w:sz w:val="21"/>
                <w:szCs w:val="21"/>
              </w:rPr>
              <w:t>mg/L</w:t>
            </w:r>
          </w:p>
        </w:tc>
        <w:tc>
          <w:tcPr>
            <w:tcW w:w="390" w:type="pct"/>
            <w:tcBorders>
              <w:tl2br w:val="nil"/>
              <w:tr2bl w:val="nil"/>
            </w:tcBorders>
            <w:vAlign w:val="center"/>
          </w:tcPr>
          <w:p w14:paraId="76E6FF47">
            <w:pPr>
              <w:spacing w:line="240" w:lineRule="auto"/>
              <w:ind w:firstLine="0" w:firstLineChars="0"/>
              <w:jc w:val="center"/>
              <w:rPr>
                <w:color w:val="auto"/>
                <w:sz w:val="21"/>
                <w:szCs w:val="21"/>
              </w:rPr>
            </w:pPr>
            <w:r>
              <w:rPr>
                <w:rFonts w:hint="eastAsia"/>
                <w:color w:val="auto"/>
                <w:sz w:val="21"/>
                <w:szCs w:val="21"/>
              </w:rPr>
              <w:t>0.004</w:t>
            </w:r>
          </w:p>
        </w:tc>
        <w:tc>
          <w:tcPr>
            <w:tcW w:w="752" w:type="pct"/>
            <w:tcBorders>
              <w:tl2br w:val="nil"/>
              <w:tr2bl w:val="nil"/>
            </w:tcBorders>
            <w:vAlign w:val="center"/>
          </w:tcPr>
          <w:p w14:paraId="5D63B4BB">
            <w:pPr>
              <w:spacing w:line="240" w:lineRule="auto"/>
              <w:ind w:firstLine="0" w:firstLineChars="0"/>
              <w:jc w:val="center"/>
              <w:rPr>
                <w:color w:val="auto"/>
                <w:sz w:val="21"/>
                <w:szCs w:val="21"/>
              </w:rPr>
            </w:pPr>
            <w:r>
              <w:rPr>
                <w:rFonts w:hint="eastAsia"/>
                <w:color w:val="auto"/>
                <w:sz w:val="21"/>
                <w:szCs w:val="21"/>
              </w:rPr>
              <w:t>1.5</w:t>
            </w:r>
          </w:p>
        </w:tc>
        <w:tc>
          <w:tcPr>
            <w:tcW w:w="809" w:type="pct"/>
            <w:tcBorders>
              <w:tl2br w:val="nil"/>
              <w:tr2bl w:val="nil"/>
            </w:tcBorders>
            <w:vAlign w:val="center"/>
          </w:tcPr>
          <w:p w14:paraId="2724848B">
            <w:pPr>
              <w:spacing w:line="240" w:lineRule="auto"/>
              <w:ind w:firstLine="0" w:firstLineChars="0"/>
              <w:jc w:val="center"/>
              <w:rPr>
                <w:color w:val="auto"/>
                <w:sz w:val="21"/>
                <w:szCs w:val="21"/>
              </w:rPr>
            </w:pPr>
            <w:r>
              <w:rPr>
                <w:rFonts w:hint="eastAsia"/>
                <w:color w:val="auto"/>
                <w:sz w:val="21"/>
                <w:szCs w:val="21"/>
              </w:rPr>
              <w:t>ND</w:t>
            </w:r>
          </w:p>
        </w:tc>
        <w:tc>
          <w:tcPr>
            <w:tcW w:w="687" w:type="pct"/>
            <w:tcBorders>
              <w:tl2br w:val="nil"/>
              <w:tr2bl w:val="nil"/>
            </w:tcBorders>
            <w:vAlign w:val="center"/>
          </w:tcPr>
          <w:p w14:paraId="7901D9AE">
            <w:pPr>
              <w:spacing w:line="240" w:lineRule="auto"/>
              <w:ind w:firstLine="0" w:firstLineChars="0"/>
              <w:jc w:val="center"/>
              <w:rPr>
                <w:color w:val="auto"/>
                <w:sz w:val="21"/>
                <w:szCs w:val="21"/>
              </w:rPr>
            </w:pPr>
            <w:r>
              <w:rPr>
                <w:rFonts w:hint="eastAsia"/>
                <w:color w:val="auto"/>
                <w:sz w:val="21"/>
                <w:szCs w:val="21"/>
              </w:rPr>
              <w:t>ND</w:t>
            </w:r>
          </w:p>
        </w:tc>
        <w:tc>
          <w:tcPr>
            <w:tcW w:w="733" w:type="pct"/>
            <w:tcBorders>
              <w:tl2br w:val="nil"/>
              <w:tr2bl w:val="nil"/>
            </w:tcBorders>
            <w:vAlign w:val="center"/>
          </w:tcPr>
          <w:p w14:paraId="6625C6F6">
            <w:pPr>
              <w:spacing w:line="240" w:lineRule="auto"/>
              <w:ind w:firstLine="0" w:firstLineChars="0"/>
              <w:jc w:val="center"/>
              <w:rPr>
                <w:color w:val="auto"/>
                <w:sz w:val="21"/>
                <w:szCs w:val="21"/>
              </w:rPr>
            </w:pPr>
            <w:r>
              <w:rPr>
                <w:rFonts w:hint="eastAsia"/>
                <w:color w:val="auto"/>
                <w:sz w:val="21"/>
                <w:szCs w:val="21"/>
              </w:rPr>
              <w:t>ND~1.21</w:t>
            </w:r>
          </w:p>
        </w:tc>
        <w:tc>
          <w:tcPr>
            <w:tcW w:w="665" w:type="pct"/>
            <w:tcBorders>
              <w:tl2br w:val="nil"/>
              <w:tr2bl w:val="nil"/>
            </w:tcBorders>
            <w:vAlign w:val="center"/>
          </w:tcPr>
          <w:p w14:paraId="3D7F4FB9">
            <w:pPr>
              <w:spacing w:line="240" w:lineRule="auto"/>
              <w:ind w:firstLine="0" w:firstLineChars="0"/>
              <w:jc w:val="center"/>
              <w:rPr>
                <w:color w:val="auto"/>
                <w:sz w:val="21"/>
                <w:szCs w:val="21"/>
              </w:rPr>
            </w:pPr>
            <w:r>
              <w:rPr>
                <w:color w:val="auto"/>
                <w:sz w:val="21"/>
                <w:szCs w:val="21"/>
              </w:rPr>
              <w:t>满足IV类水</w:t>
            </w:r>
          </w:p>
        </w:tc>
      </w:tr>
      <w:tr w14:paraId="134523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148AF9C4">
            <w:pPr>
              <w:spacing w:line="240" w:lineRule="auto"/>
              <w:ind w:firstLine="0" w:firstLineChars="0"/>
              <w:jc w:val="center"/>
              <w:rPr>
                <w:color w:val="auto"/>
                <w:sz w:val="21"/>
                <w:szCs w:val="21"/>
              </w:rPr>
            </w:pPr>
            <w:r>
              <w:rPr>
                <w:rFonts w:hint="eastAsia"/>
                <w:color w:val="auto"/>
                <w:sz w:val="21"/>
                <w:szCs w:val="21"/>
              </w:rPr>
              <w:t>铝</w:t>
            </w:r>
          </w:p>
        </w:tc>
        <w:tc>
          <w:tcPr>
            <w:tcW w:w="427" w:type="pct"/>
            <w:tcBorders>
              <w:tl2br w:val="nil"/>
              <w:tr2bl w:val="nil"/>
            </w:tcBorders>
            <w:vAlign w:val="center"/>
          </w:tcPr>
          <w:p w14:paraId="61939D7C">
            <w:pPr>
              <w:spacing w:line="240" w:lineRule="auto"/>
              <w:ind w:firstLine="0" w:firstLineChars="0"/>
              <w:jc w:val="center"/>
              <w:rPr>
                <w:color w:val="auto"/>
                <w:sz w:val="21"/>
                <w:szCs w:val="21"/>
              </w:rPr>
            </w:pPr>
            <w:r>
              <w:rPr>
                <w:rFonts w:hint="eastAsia"/>
                <w:color w:val="auto"/>
                <w:sz w:val="21"/>
                <w:szCs w:val="21"/>
              </w:rPr>
              <w:t>mg/L</w:t>
            </w:r>
          </w:p>
        </w:tc>
        <w:tc>
          <w:tcPr>
            <w:tcW w:w="390" w:type="pct"/>
            <w:tcBorders>
              <w:tl2br w:val="nil"/>
              <w:tr2bl w:val="nil"/>
            </w:tcBorders>
            <w:vAlign w:val="center"/>
          </w:tcPr>
          <w:p w14:paraId="2646BB94">
            <w:pPr>
              <w:spacing w:line="240" w:lineRule="auto"/>
              <w:ind w:firstLine="0" w:firstLineChars="0"/>
              <w:jc w:val="center"/>
              <w:rPr>
                <w:color w:val="auto"/>
                <w:sz w:val="21"/>
                <w:szCs w:val="21"/>
              </w:rPr>
            </w:pPr>
            <w:r>
              <w:rPr>
                <w:rFonts w:hint="eastAsia"/>
                <w:color w:val="auto"/>
                <w:sz w:val="21"/>
                <w:szCs w:val="21"/>
              </w:rPr>
              <w:t>0.07</w:t>
            </w:r>
          </w:p>
        </w:tc>
        <w:tc>
          <w:tcPr>
            <w:tcW w:w="752" w:type="pct"/>
            <w:tcBorders>
              <w:tl2br w:val="nil"/>
              <w:tr2bl w:val="nil"/>
            </w:tcBorders>
            <w:vAlign w:val="center"/>
          </w:tcPr>
          <w:p w14:paraId="750D9585">
            <w:pPr>
              <w:spacing w:line="240" w:lineRule="auto"/>
              <w:ind w:firstLine="0" w:firstLineChars="0"/>
              <w:jc w:val="center"/>
              <w:rPr>
                <w:color w:val="auto"/>
                <w:sz w:val="21"/>
                <w:szCs w:val="21"/>
              </w:rPr>
            </w:pPr>
            <w:r>
              <w:rPr>
                <w:rFonts w:hint="eastAsia"/>
                <w:color w:val="auto"/>
                <w:sz w:val="21"/>
                <w:szCs w:val="21"/>
              </w:rPr>
              <w:t>0.5</w:t>
            </w:r>
          </w:p>
        </w:tc>
        <w:tc>
          <w:tcPr>
            <w:tcW w:w="809" w:type="pct"/>
            <w:tcBorders>
              <w:tl2br w:val="nil"/>
              <w:tr2bl w:val="nil"/>
            </w:tcBorders>
            <w:vAlign w:val="center"/>
          </w:tcPr>
          <w:p w14:paraId="1ED8BAA0">
            <w:pPr>
              <w:spacing w:line="240" w:lineRule="auto"/>
              <w:ind w:firstLine="0" w:firstLineChars="0"/>
              <w:jc w:val="center"/>
              <w:rPr>
                <w:color w:val="auto"/>
                <w:sz w:val="21"/>
                <w:szCs w:val="21"/>
              </w:rPr>
            </w:pPr>
            <w:r>
              <w:rPr>
                <w:rFonts w:hint="eastAsia"/>
                <w:color w:val="auto"/>
                <w:sz w:val="21"/>
                <w:szCs w:val="21"/>
              </w:rPr>
              <w:t>ND</w:t>
            </w:r>
          </w:p>
        </w:tc>
        <w:tc>
          <w:tcPr>
            <w:tcW w:w="687" w:type="pct"/>
            <w:tcBorders>
              <w:tl2br w:val="nil"/>
              <w:tr2bl w:val="nil"/>
            </w:tcBorders>
            <w:vAlign w:val="center"/>
          </w:tcPr>
          <w:p w14:paraId="3243E829">
            <w:pPr>
              <w:spacing w:line="240" w:lineRule="auto"/>
              <w:ind w:firstLine="0" w:firstLineChars="0"/>
              <w:jc w:val="center"/>
              <w:rPr>
                <w:color w:val="auto"/>
                <w:sz w:val="21"/>
                <w:szCs w:val="21"/>
              </w:rPr>
            </w:pPr>
            <w:r>
              <w:rPr>
                <w:rFonts w:hint="eastAsia"/>
                <w:color w:val="auto"/>
                <w:sz w:val="21"/>
                <w:szCs w:val="21"/>
              </w:rPr>
              <w:t>ND</w:t>
            </w:r>
          </w:p>
        </w:tc>
        <w:tc>
          <w:tcPr>
            <w:tcW w:w="733" w:type="pct"/>
            <w:tcBorders>
              <w:tl2br w:val="nil"/>
              <w:tr2bl w:val="nil"/>
            </w:tcBorders>
            <w:vAlign w:val="center"/>
          </w:tcPr>
          <w:p w14:paraId="6F43DDFE">
            <w:pPr>
              <w:spacing w:line="240" w:lineRule="auto"/>
              <w:ind w:firstLine="0" w:firstLineChars="0"/>
              <w:jc w:val="center"/>
              <w:rPr>
                <w:color w:val="auto"/>
                <w:sz w:val="21"/>
                <w:szCs w:val="21"/>
              </w:rPr>
            </w:pPr>
            <w:r>
              <w:rPr>
                <w:rFonts w:hint="eastAsia"/>
                <w:color w:val="auto"/>
                <w:sz w:val="21"/>
                <w:szCs w:val="21"/>
              </w:rPr>
              <w:t>ND~10.9</w:t>
            </w:r>
          </w:p>
        </w:tc>
        <w:tc>
          <w:tcPr>
            <w:tcW w:w="665" w:type="pct"/>
            <w:tcBorders>
              <w:tl2br w:val="nil"/>
              <w:tr2bl w:val="nil"/>
            </w:tcBorders>
            <w:vAlign w:val="center"/>
          </w:tcPr>
          <w:p w14:paraId="749C2DDB">
            <w:pPr>
              <w:spacing w:line="240" w:lineRule="auto"/>
              <w:ind w:firstLine="0" w:firstLineChars="0"/>
              <w:jc w:val="center"/>
              <w:rPr>
                <w:color w:val="auto"/>
                <w:sz w:val="21"/>
                <w:szCs w:val="21"/>
              </w:rPr>
            </w:pPr>
            <w:r>
              <w:rPr>
                <w:rFonts w:hint="eastAsia"/>
                <w:color w:val="auto"/>
                <w:sz w:val="21"/>
                <w:szCs w:val="21"/>
              </w:rPr>
              <w:t>超标</w:t>
            </w:r>
          </w:p>
        </w:tc>
      </w:tr>
      <w:tr w14:paraId="5DBB11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4B0D1051">
            <w:pPr>
              <w:spacing w:line="240" w:lineRule="auto"/>
              <w:ind w:firstLine="0" w:firstLineChars="0"/>
              <w:jc w:val="center"/>
              <w:rPr>
                <w:color w:val="auto"/>
                <w:sz w:val="21"/>
                <w:szCs w:val="21"/>
              </w:rPr>
            </w:pPr>
            <w:r>
              <w:rPr>
                <w:rFonts w:hint="eastAsia"/>
                <w:color w:val="auto"/>
                <w:sz w:val="21"/>
                <w:szCs w:val="21"/>
              </w:rPr>
              <w:t>钠</w:t>
            </w:r>
          </w:p>
        </w:tc>
        <w:tc>
          <w:tcPr>
            <w:tcW w:w="427" w:type="pct"/>
            <w:tcBorders>
              <w:tl2br w:val="nil"/>
              <w:tr2bl w:val="nil"/>
            </w:tcBorders>
            <w:vAlign w:val="center"/>
          </w:tcPr>
          <w:p w14:paraId="3F0169AC">
            <w:pPr>
              <w:spacing w:line="240" w:lineRule="auto"/>
              <w:ind w:firstLine="0" w:firstLineChars="0"/>
              <w:jc w:val="center"/>
              <w:rPr>
                <w:color w:val="auto"/>
                <w:sz w:val="21"/>
                <w:szCs w:val="21"/>
              </w:rPr>
            </w:pPr>
            <w:r>
              <w:rPr>
                <w:rFonts w:hint="eastAsia"/>
                <w:color w:val="auto"/>
                <w:sz w:val="21"/>
                <w:szCs w:val="21"/>
              </w:rPr>
              <w:t>mg/L</w:t>
            </w:r>
          </w:p>
        </w:tc>
        <w:tc>
          <w:tcPr>
            <w:tcW w:w="390" w:type="pct"/>
            <w:tcBorders>
              <w:tl2br w:val="nil"/>
              <w:tr2bl w:val="nil"/>
            </w:tcBorders>
            <w:vAlign w:val="center"/>
          </w:tcPr>
          <w:p w14:paraId="615C43DB">
            <w:pPr>
              <w:spacing w:line="240" w:lineRule="auto"/>
              <w:ind w:firstLine="0" w:firstLineChars="0"/>
              <w:jc w:val="center"/>
              <w:rPr>
                <w:color w:val="auto"/>
                <w:sz w:val="21"/>
                <w:szCs w:val="21"/>
              </w:rPr>
            </w:pPr>
            <w:r>
              <w:rPr>
                <w:rFonts w:hint="eastAsia"/>
                <w:color w:val="auto"/>
                <w:sz w:val="21"/>
                <w:szCs w:val="21"/>
              </w:rPr>
              <w:t>0.12</w:t>
            </w:r>
          </w:p>
        </w:tc>
        <w:tc>
          <w:tcPr>
            <w:tcW w:w="752" w:type="pct"/>
            <w:tcBorders>
              <w:tl2br w:val="nil"/>
              <w:tr2bl w:val="nil"/>
            </w:tcBorders>
            <w:vAlign w:val="center"/>
          </w:tcPr>
          <w:p w14:paraId="568BA989">
            <w:pPr>
              <w:spacing w:line="240" w:lineRule="auto"/>
              <w:ind w:firstLine="0" w:firstLineChars="0"/>
              <w:jc w:val="center"/>
              <w:rPr>
                <w:color w:val="auto"/>
                <w:sz w:val="21"/>
                <w:szCs w:val="21"/>
              </w:rPr>
            </w:pPr>
            <w:r>
              <w:rPr>
                <w:rFonts w:hint="eastAsia"/>
                <w:color w:val="auto"/>
                <w:sz w:val="21"/>
                <w:szCs w:val="21"/>
              </w:rPr>
              <w:t>400</w:t>
            </w:r>
          </w:p>
        </w:tc>
        <w:tc>
          <w:tcPr>
            <w:tcW w:w="809" w:type="pct"/>
            <w:tcBorders>
              <w:tl2br w:val="nil"/>
              <w:tr2bl w:val="nil"/>
            </w:tcBorders>
            <w:vAlign w:val="center"/>
          </w:tcPr>
          <w:p w14:paraId="47EFE3AA">
            <w:pPr>
              <w:spacing w:line="240" w:lineRule="auto"/>
              <w:ind w:firstLine="0" w:firstLineChars="0"/>
              <w:jc w:val="center"/>
              <w:rPr>
                <w:color w:val="auto"/>
                <w:sz w:val="21"/>
                <w:szCs w:val="21"/>
              </w:rPr>
            </w:pPr>
            <w:r>
              <w:rPr>
                <w:rFonts w:hint="eastAsia"/>
                <w:color w:val="auto"/>
                <w:sz w:val="21"/>
                <w:szCs w:val="21"/>
              </w:rPr>
              <w:t>ND</w:t>
            </w:r>
          </w:p>
        </w:tc>
        <w:tc>
          <w:tcPr>
            <w:tcW w:w="687" w:type="pct"/>
            <w:tcBorders>
              <w:tl2br w:val="nil"/>
              <w:tr2bl w:val="nil"/>
            </w:tcBorders>
            <w:vAlign w:val="center"/>
          </w:tcPr>
          <w:p w14:paraId="28E688DF">
            <w:pPr>
              <w:spacing w:line="240" w:lineRule="auto"/>
              <w:ind w:firstLine="0" w:firstLineChars="0"/>
              <w:jc w:val="center"/>
              <w:rPr>
                <w:color w:val="auto"/>
                <w:sz w:val="21"/>
                <w:szCs w:val="21"/>
              </w:rPr>
            </w:pPr>
            <w:r>
              <w:rPr>
                <w:rFonts w:hint="eastAsia"/>
                <w:color w:val="auto"/>
                <w:sz w:val="21"/>
                <w:szCs w:val="21"/>
              </w:rPr>
              <w:t>ND</w:t>
            </w:r>
          </w:p>
        </w:tc>
        <w:tc>
          <w:tcPr>
            <w:tcW w:w="733" w:type="pct"/>
            <w:tcBorders>
              <w:tl2br w:val="nil"/>
              <w:tr2bl w:val="nil"/>
            </w:tcBorders>
            <w:vAlign w:val="center"/>
          </w:tcPr>
          <w:p w14:paraId="7A22CA6C">
            <w:pPr>
              <w:spacing w:line="240" w:lineRule="auto"/>
              <w:ind w:firstLine="0" w:firstLineChars="0"/>
              <w:jc w:val="center"/>
              <w:rPr>
                <w:color w:val="auto"/>
                <w:sz w:val="21"/>
                <w:szCs w:val="21"/>
              </w:rPr>
            </w:pPr>
            <w:r>
              <w:rPr>
                <w:rFonts w:hint="eastAsia"/>
                <w:color w:val="auto"/>
                <w:sz w:val="21"/>
                <w:szCs w:val="21"/>
              </w:rPr>
              <w:t>136~223</w:t>
            </w:r>
          </w:p>
        </w:tc>
        <w:tc>
          <w:tcPr>
            <w:tcW w:w="665" w:type="pct"/>
            <w:tcBorders>
              <w:tl2br w:val="nil"/>
              <w:tr2bl w:val="nil"/>
            </w:tcBorders>
            <w:vAlign w:val="center"/>
          </w:tcPr>
          <w:p w14:paraId="55CAEC81">
            <w:pPr>
              <w:spacing w:line="240" w:lineRule="auto"/>
              <w:ind w:firstLine="0" w:firstLineChars="0"/>
              <w:jc w:val="center"/>
              <w:rPr>
                <w:color w:val="auto"/>
                <w:sz w:val="21"/>
                <w:szCs w:val="21"/>
              </w:rPr>
            </w:pPr>
            <w:r>
              <w:rPr>
                <w:color w:val="auto"/>
                <w:sz w:val="21"/>
                <w:szCs w:val="21"/>
              </w:rPr>
              <w:t>满足IV类水</w:t>
            </w:r>
          </w:p>
        </w:tc>
      </w:tr>
      <w:tr w14:paraId="17A679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tcBorders>
              <w:tl2br w:val="nil"/>
              <w:tr2bl w:val="nil"/>
            </w:tcBorders>
            <w:vAlign w:val="center"/>
          </w:tcPr>
          <w:p w14:paraId="66255C2F">
            <w:pPr>
              <w:spacing w:line="240" w:lineRule="auto"/>
              <w:ind w:firstLine="0" w:firstLineChars="0"/>
              <w:jc w:val="center"/>
              <w:rPr>
                <w:color w:val="auto"/>
                <w:sz w:val="21"/>
                <w:szCs w:val="21"/>
              </w:rPr>
            </w:pPr>
            <w:r>
              <w:rPr>
                <w:color w:val="auto"/>
                <w:sz w:val="21"/>
                <w:szCs w:val="21"/>
              </w:rPr>
              <w:t>石油烃</w:t>
            </w:r>
          </w:p>
        </w:tc>
        <w:tc>
          <w:tcPr>
            <w:tcW w:w="427" w:type="pct"/>
            <w:tcBorders>
              <w:tl2br w:val="nil"/>
              <w:tr2bl w:val="nil"/>
            </w:tcBorders>
            <w:vAlign w:val="center"/>
          </w:tcPr>
          <w:p w14:paraId="424E58A2">
            <w:pPr>
              <w:spacing w:line="240" w:lineRule="auto"/>
              <w:ind w:firstLine="0" w:firstLineChars="0"/>
              <w:jc w:val="center"/>
              <w:rPr>
                <w:color w:val="auto"/>
                <w:sz w:val="21"/>
                <w:szCs w:val="21"/>
              </w:rPr>
            </w:pPr>
            <w:r>
              <w:rPr>
                <w:color w:val="auto"/>
                <w:sz w:val="21"/>
                <w:szCs w:val="21"/>
              </w:rPr>
              <w:t>μg/L</w:t>
            </w:r>
          </w:p>
        </w:tc>
        <w:tc>
          <w:tcPr>
            <w:tcW w:w="390" w:type="pct"/>
            <w:tcBorders>
              <w:tl2br w:val="nil"/>
              <w:tr2bl w:val="nil"/>
            </w:tcBorders>
            <w:vAlign w:val="center"/>
          </w:tcPr>
          <w:p w14:paraId="52AB055C">
            <w:pPr>
              <w:spacing w:line="240" w:lineRule="auto"/>
              <w:ind w:firstLine="0" w:firstLineChars="0"/>
              <w:jc w:val="center"/>
              <w:rPr>
                <w:color w:val="auto"/>
                <w:sz w:val="21"/>
                <w:szCs w:val="21"/>
              </w:rPr>
            </w:pPr>
            <w:r>
              <w:rPr>
                <w:color w:val="auto"/>
                <w:sz w:val="21"/>
                <w:szCs w:val="21"/>
              </w:rPr>
              <w:t>10</w:t>
            </w:r>
          </w:p>
        </w:tc>
        <w:tc>
          <w:tcPr>
            <w:tcW w:w="752" w:type="pct"/>
            <w:tcBorders>
              <w:tl2br w:val="nil"/>
              <w:tr2bl w:val="nil"/>
            </w:tcBorders>
            <w:vAlign w:val="center"/>
          </w:tcPr>
          <w:p w14:paraId="05F97158">
            <w:pPr>
              <w:spacing w:line="240" w:lineRule="auto"/>
              <w:ind w:firstLine="0" w:firstLineChars="0"/>
              <w:jc w:val="center"/>
              <w:rPr>
                <w:color w:val="auto"/>
                <w:sz w:val="21"/>
                <w:szCs w:val="21"/>
              </w:rPr>
            </w:pPr>
            <w:r>
              <w:rPr>
                <w:color w:val="auto"/>
                <w:sz w:val="21"/>
                <w:szCs w:val="21"/>
              </w:rPr>
              <w:t>1200</w:t>
            </w:r>
          </w:p>
        </w:tc>
        <w:tc>
          <w:tcPr>
            <w:tcW w:w="809" w:type="pct"/>
            <w:tcBorders>
              <w:tl2br w:val="nil"/>
              <w:tr2bl w:val="nil"/>
            </w:tcBorders>
            <w:vAlign w:val="center"/>
          </w:tcPr>
          <w:p w14:paraId="4D7DE50E">
            <w:pPr>
              <w:spacing w:line="240" w:lineRule="auto"/>
              <w:ind w:firstLine="0" w:firstLineChars="0"/>
              <w:jc w:val="center"/>
              <w:rPr>
                <w:color w:val="auto"/>
                <w:sz w:val="21"/>
                <w:szCs w:val="21"/>
              </w:rPr>
            </w:pPr>
            <w:r>
              <w:rPr>
                <w:color w:val="auto"/>
                <w:sz w:val="21"/>
                <w:szCs w:val="21"/>
              </w:rPr>
              <w:t>100</w:t>
            </w:r>
            <w:r>
              <w:rPr>
                <w:rFonts w:hint="eastAsia"/>
                <w:color w:val="auto"/>
                <w:sz w:val="21"/>
                <w:szCs w:val="21"/>
              </w:rPr>
              <w:t>~</w:t>
            </w:r>
            <w:r>
              <w:rPr>
                <w:color w:val="auto"/>
                <w:sz w:val="21"/>
                <w:szCs w:val="21"/>
              </w:rPr>
              <w:t>190</w:t>
            </w:r>
          </w:p>
        </w:tc>
        <w:tc>
          <w:tcPr>
            <w:tcW w:w="687" w:type="pct"/>
            <w:tcBorders>
              <w:tl2br w:val="nil"/>
              <w:tr2bl w:val="nil"/>
            </w:tcBorders>
            <w:vAlign w:val="center"/>
          </w:tcPr>
          <w:p w14:paraId="71C92ABE">
            <w:pPr>
              <w:spacing w:line="240" w:lineRule="auto"/>
              <w:ind w:firstLine="0" w:firstLineChars="0"/>
              <w:jc w:val="center"/>
              <w:rPr>
                <w:color w:val="auto"/>
                <w:sz w:val="21"/>
                <w:szCs w:val="21"/>
              </w:rPr>
            </w:pPr>
            <w:r>
              <w:rPr>
                <w:color w:val="auto"/>
                <w:sz w:val="21"/>
                <w:szCs w:val="21"/>
              </w:rPr>
              <w:t>ND</w:t>
            </w:r>
            <w:r>
              <w:rPr>
                <w:rFonts w:hint="eastAsia"/>
                <w:color w:val="auto"/>
                <w:sz w:val="21"/>
                <w:szCs w:val="21"/>
              </w:rPr>
              <w:t>~</w:t>
            </w:r>
            <w:r>
              <w:rPr>
                <w:color w:val="auto"/>
                <w:sz w:val="21"/>
                <w:szCs w:val="21"/>
              </w:rPr>
              <w:t>110</w:t>
            </w:r>
          </w:p>
        </w:tc>
        <w:tc>
          <w:tcPr>
            <w:tcW w:w="733" w:type="pct"/>
            <w:tcBorders>
              <w:tl2br w:val="nil"/>
              <w:tr2bl w:val="nil"/>
            </w:tcBorders>
            <w:vAlign w:val="center"/>
          </w:tcPr>
          <w:p w14:paraId="4D79A100">
            <w:pPr>
              <w:spacing w:line="240" w:lineRule="auto"/>
              <w:ind w:firstLine="0" w:firstLineChars="0"/>
              <w:jc w:val="center"/>
              <w:rPr>
                <w:color w:val="auto"/>
                <w:sz w:val="21"/>
                <w:szCs w:val="21"/>
              </w:rPr>
            </w:pPr>
            <w:r>
              <w:rPr>
                <w:rFonts w:hint="eastAsia"/>
                <w:color w:val="auto"/>
                <w:sz w:val="21"/>
                <w:szCs w:val="21"/>
              </w:rPr>
              <w:t>ND~0.007</w:t>
            </w:r>
          </w:p>
        </w:tc>
        <w:tc>
          <w:tcPr>
            <w:tcW w:w="665" w:type="pct"/>
            <w:tcBorders>
              <w:tl2br w:val="nil"/>
              <w:tr2bl w:val="nil"/>
            </w:tcBorders>
            <w:vAlign w:val="center"/>
          </w:tcPr>
          <w:p w14:paraId="4E225F15">
            <w:pPr>
              <w:spacing w:line="240" w:lineRule="auto"/>
              <w:ind w:firstLine="0" w:firstLineChars="0"/>
              <w:jc w:val="center"/>
              <w:rPr>
                <w:color w:val="auto"/>
                <w:sz w:val="21"/>
                <w:szCs w:val="21"/>
              </w:rPr>
            </w:pPr>
            <w:r>
              <w:rPr>
                <w:color w:val="auto"/>
                <w:sz w:val="21"/>
                <w:szCs w:val="21"/>
              </w:rPr>
              <w:t>满足IV类水</w:t>
            </w:r>
          </w:p>
        </w:tc>
      </w:tr>
    </w:tbl>
    <w:p w14:paraId="0871BC91">
      <w:pPr>
        <w:spacing w:line="460" w:lineRule="exact"/>
        <w:ind w:firstLine="480"/>
        <w:rPr>
          <w:color w:val="auto"/>
        </w:rPr>
      </w:pPr>
      <w:r>
        <w:rPr>
          <w:color w:val="auto"/>
        </w:rPr>
        <w:t>近三年</w:t>
      </w:r>
      <w:r>
        <w:rPr>
          <w:rFonts w:hint="eastAsia"/>
          <w:color w:val="auto"/>
        </w:rPr>
        <w:t>（</w:t>
      </w:r>
      <w:r>
        <w:rPr>
          <w:color w:val="auto"/>
        </w:rPr>
        <w:t>2023~2025</w:t>
      </w:r>
      <w:r>
        <w:rPr>
          <w:rFonts w:hint="eastAsia"/>
          <w:color w:val="auto"/>
        </w:rPr>
        <w:t>）</w:t>
      </w:r>
      <w:r>
        <w:rPr>
          <w:color w:val="auto"/>
        </w:rPr>
        <w:t>厂区</w:t>
      </w:r>
      <w:r>
        <w:rPr>
          <w:rFonts w:hint="eastAsia"/>
          <w:color w:val="auto"/>
        </w:rPr>
        <w:t>地下水监测结果显示：pH值稳定优于Ⅳ类水质要求，重金属、石油烃等绝大多数监测因子均满足Ⅳ类地下水标准限值；石油烃</w:t>
      </w:r>
      <w:r>
        <w:rPr>
          <w:color w:val="auto"/>
        </w:rPr>
        <w:t>（C₁₀-C₄₀）</w:t>
      </w:r>
      <w:r>
        <w:rPr>
          <w:rFonts w:hint="eastAsia"/>
          <w:color w:val="auto"/>
        </w:rPr>
        <w:t>浓度逐年大幅下降至未检出水平，重金属指标整体波动平稳；仅铁、铝两项指标2025年出现检出超标，其余指标环境质量稳定可控。</w:t>
      </w:r>
    </w:p>
    <w:p w14:paraId="35E02FEA">
      <w:pPr>
        <w:pStyle w:val="3"/>
        <w:spacing w:before="312"/>
        <w:rPr>
          <w:color w:val="auto"/>
        </w:rPr>
      </w:pPr>
      <w:bookmarkStart w:id="105" w:name="_Toc15469"/>
      <w:r>
        <w:rPr>
          <w:rFonts w:hint="eastAsia"/>
          <w:color w:val="auto"/>
        </w:rPr>
        <w:t>3.5现有项目全厂污染物排放总量</w:t>
      </w:r>
      <w:bookmarkEnd w:id="105"/>
    </w:p>
    <w:p w14:paraId="6A794343">
      <w:pPr>
        <w:spacing w:line="460" w:lineRule="exact"/>
        <w:ind w:firstLine="480"/>
        <w:rPr>
          <w:color w:val="auto"/>
        </w:rPr>
      </w:pPr>
      <w:r>
        <w:rPr>
          <w:rFonts w:hint="eastAsia"/>
          <w:color w:val="auto"/>
        </w:rPr>
        <w:t>现有项目污染物排放情况见表3.5-1。</w:t>
      </w:r>
    </w:p>
    <w:p w14:paraId="31AFB1FF">
      <w:pPr>
        <w:adjustRightInd/>
        <w:snapToGrid/>
        <w:spacing w:line="460" w:lineRule="exact"/>
        <w:ind w:firstLine="482"/>
        <w:jc w:val="center"/>
        <w:rPr>
          <w:b/>
          <w:bCs/>
          <w:color w:val="auto"/>
        </w:rPr>
      </w:pPr>
      <w:r>
        <w:rPr>
          <w:b/>
          <w:bCs/>
          <w:color w:val="auto"/>
        </w:rPr>
        <w:t>表3.</w:t>
      </w:r>
      <w:r>
        <w:rPr>
          <w:rFonts w:hint="eastAsia"/>
          <w:b/>
          <w:bCs/>
          <w:color w:val="auto"/>
        </w:rPr>
        <w:t>5</w:t>
      </w:r>
      <w:r>
        <w:rPr>
          <w:b/>
          <w:bCs/>
          <w:color w:val="auto"/>
        </w:rPr>
        <w:t>-</w:t>
      </w:r>
      <w:r>
        <w:rPr>
          <w:rFonts w:hint="eastAsia"/>
          <w:b/>
          <w:bCs/>
          <w:color w:val="auto"/>
        </w:rPr>
        <w:t xml:space="preserve">1 </w:t>
      </w:r>
      <w:r>
        <w:rPr>
          <w:b/>
          <w:bCs/>
          <w:color w:val="auto"/>
        </w:rPr>
        <w:t xml:space="preserve"> 现有项目污染物排放情况一览表</w:t>
      </w:r>
      <w:r>
        <w:rPr>
          <w:rFonts w:hint="eastAsia"/>
          <w:b/>
          <w:color w:val="auto"/>
        </w:rPr>
        <w:t>（单位：t/a）</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598"/>
        <w:gridCol w:w="1815"/>
        <w:gridCol w:w="1823"/>
        <w:gridCol w:w="2352"/>
        <w:gridCol w:w="1313"/>
      </w:tblGrid>
      <w:tr w14:paraId="1F9D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14:paraId="3CD78CEE">
            <w:pPr>
              <w:spacing w:line="240" w:lineRule="auto"/>
              <w:ind w:firstLine="0" w:firstLineChars="0"/>
              <w:jc w:val="center"/>
              <w:outlineLvl w:val="4"/>
              <w:rPr>
                <w:b/>
                <w:bCs/>
                <w:color w:val="auto"/>
                <w:sz w:val="21"/>
                <w:szCs w:val="21"/>
              </w:rPr>
            </w:pPr>
            <w:r>
              <w:rPr>
                <w:b/>
                <w:bCs/>
                <w:color w:val="auto"/>
                <w:sz w:val="21"/>
                <w:szCs w:val="21"/>
              </w:rPr>
              <w:t>种类</w:t>
            </w:r>
          </w:p>
        </w:tc>
        <w:tc>
          <w:tcPr>
            <w:tcW w:w="812" w:type="pct"/>
            <w:vAlign w:val="center"/>
          </w:tcPr>
          <w:p w14:paraId="3D3CAD71">
            <w:pPr>
              <w:spacing w:line="240" w:lineRule="auto"/>
              <w:ind w:firstLine="0" w:firstLineChars="0"/>
              <w:jc w:val="center"/>
              <w:outlineLvl w:val="4"/>
              <w:rPr>
                <w:b/>
                <w:bCs/>
                <w:color w:val="auto"/>
                <w:sz w:val="21"/>
                <w:szCs w:val="21"/>
              </w:rPr>
            </w:pPr>
            <w:r>
              <w:rPr>
                <w:b/>
                <w:bCs/>
                <w:color w:val="auto"/>
                <w:sz w:val="21"/>
                <w:szCs w:val="21"/>
              </w:rPr>
              <w:t>污染物名称</w:t>
            </w:r>
          </w:p>
        </w:tc>
        <w:tc>
          <w:tcPr>
            <w:tcW w:w="921" w:type="pct"/>
            <w:vAlign w:val="center"/>
          </w:tcPr>
          <w:p w14:paraId="7AC603D7">
            <w:pPr>
              <w:spacing w:line="240" w:lineRule="auto"/>
              <w:ind w:firstLine="0" w:firstLineChars="0"/>
              <w:jc w:val="center"/>
              <w:outlineLvl w:val="4"/>
              <w:rPr>
                <w:b/>
                <w:bCs/>
                <w:color w:val="auto"/>
                <w:sz w:val="21"/>
                <w:szCs w:val="21"/>
              </w:rPr>
            </w:pPr>
            <w:r>
              <w:rPr>
                <w:rFonts w:hint="eastAsia"/>
                <w:b/>
                <w:bCs/>
                <w:color w:val="auto"/>
                <w:sz w:val="21"/>
                <w:szCs w:val="21"/>
              </w:rPr>
              <w:t>现有项目</w:t>
            </w:r>
            <w:r>
              <w:rPr>
                <w:b/>
                <w:bCs/>
                <w:color w:val="auto"/>
                <w:sz w:val="21"/>
                <w:szCs w:val="21"/>
              </w:rPr>
              <w:t>批复量</w:t>
            </w:r>
          </w:p>
        </w:tc>
        <w:tc>
          <w:tcPr>
            <w:tcW w:w="925" w:type="pct"/>
            <w:vAlign w:val="center"/>
          </w:tcPr>
          <w:p w14:paraId="14213A8D">
            <w:pPr>
              <w:spacing w:line="240" w:lineRule="auto"/>
              <w:ind w:firstLine="0" w:firstLineChars="0"/>
              <w:jc w:val="center"/>
              <w:outlineLvl w:val="4"/>
              <w:rPr>
                <w:b/>
                <w:bCs/>
                <w:color w:val="auto"/>
                <w:sz w:val="21"/>
                <w:szCs w:val="21"/>
              </w:rPr>
            </w:pPr>
            <w:r>
              <w:rPr>
                <w:rFonts w:hint="eastAsia"/>
                <w:b/>
                <w:bCs/>
                <w:color w:val="auto"/>
                <w:sz w:val="21"/>
                <w:szCs w:val="21"/>
              </w:rPr>
              <w:t>排污许可总量</w:t>
            </w:r>
          </w:p>
        </w:tc>
        <w:tc>
          <w:tcPr>
            <w:tcW w:w="1194" w:type="pct"/>
            <w:vAlign w:val="center"/>
          </w:tcPr>
          <w:p w14:paraId="42FEF90E">
            <w:pPr>
              <w:spacing w:line="240" w:lineRule="auto"/>
              <w:ind w:firstLine="0" w:firstLineChars="0"/>
              <w:jc w:val="center"/>
              <w:outlineLvl w:val="4"/>
              <w:rPr>
                <w:b/>
                <w:bCs/>
                <w:color w:val="auto"/>
                <w:sz w:val="21"/>
                <w:szCs w:val="21"/>
              </w:rPr>
            </w:pPr>
            <w:r>
              <w:rPr>
                <w:rFonts w:hint="eastAsia"/>
                <w:b/>
                <w:bCs/>
                <w:color w:val="auto"/>
                <w:sz w:val="21"/>
                <w:szCs w:val="21"/>
              </w:rPr>
              <w:t>现有项目排放总量（2024年排污执行报告）</w:t>
            </w:r>
          </w:p>
        </w:tc>
        <w:tc>
          <w:tcPr>
            <w:tcW w:w="667" w:type="pct"/>
            <w:vAlign w:val="center"/>
          </w:tcPr>
          <w:p w14:paraId="06131790">
            <w:pPr>
              <w:spacing w:line="240" w:lineRule="auto"/>
              <w:ind w:firstLine="0" w:firstLineChars="0"/>
              <w:jc w:val="center"/>
              <w:outlineLvl w:val="4"/>
              <w:rPr>
                <w:b/>
                <w:bCs/>
                <w:color w:val="auto"/>
                <w:sz w:val="21"/>
                <w:szCs w:val="21"/>
              </w:rPr>
            </w:pPr>
            <w:r>
              <w:rPr>
                <w:rFonts w:hint="eastAsia"/>
                <w:b/>
                <w:bCs/>
                <w:color w:val="auto"/>
                <w:sz w:val="21"/>
                <w:szCs w:val="21"/>
              </w:rPr>
              <w:t>备注</w:t>
            </w:r>
          </w:p>
        </w:tc>
      </w:tr>
      <w:tr w14:paraId="32911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Merge w:val="restart"/>
            <w:vAlign w:val="center"/>
          </w:tcPr>
          <w:p w14:paraId="17DF8E09">
            <w:pPr>
              <w:spacing w:line="240" w:lineRule="auto"/>
              <w:ind w:firstLine="0" w:firstLineChars="0"/>
              <w:jc w:val="center"/>
              <w:outlineLvl w:val="4"/>
              <w:rPr>
                <w:color w:val="auto"/>
                <w:sz w:val="21"/>
                <w:szCs w:val="21"/>
              </w:rPr>
            </w:pPr>
            <w:r>
              <w:rPr>
                <w:rFonts w:hint="eastAsia"/>
                <w:color w:val="auto"/>
                <w:sz w:val="21"/>
                <w:szCs w:val="21"/>
              </w:rPr>
              <w:t>废气（有组织）</w:t>
            </w:r>
          </w:p>
        </w:tc>
        <w:tc>
          <w:tcPr>
            <w:tcW w:w="812" w:type="pct"/>
            <w:vAlign w:val="center"/>
          </w:tcPr>
          <w:p w14:paraId="4EAB80E4">
            <w:pPr>
              <w:spacing w:line="240" w:lineRule="auto"/>
              <w:ind w:firstLine="0" w:firstLineChars="0"/>
              <w:jc w:val="center"/>
              <w:rPr>
                <w:color w:val="auto"/>
                <w:sz w:val="21"/>
                <w:szCs w:val="21"/>
              </w:rPr>
            </w:pPr>
            <w:r>
              <w:rPr>
                <w:rFonts w:hint="eastAsia"/>
                <w:color w:val="auto"/>
                <w:sz w:val="21"/>
                <w:szCs w:val="21"/>
              </w:rPr>
              <w:t>二氧化硫</w:t>
            </w:r>
          </w:p>
        </w:tc>
        <w:tc>
          <w:tcPr>
            <w:tcW w:w="921" w:type="pct"/>
            <w:vAlign w:val="center"/>
          </w:tcPr>
          <w:p w14:paraId="79F4B429">
            <w:pPr>
              <w:spacing w:line="240" w:lineRule="auto"/>
              <w:ind w:firstLine="0" w:firstLineChars="0"/>
              <w:jc w:val="center"/>
              <w:rPr>
                <w:color w:val="auto"/>
                <w:sz w:val="21"/>
                <w:szCs w:val="21"/>
              </w:rPr>
            </w:pPr>
            <w:r>
              <w:rPr>
                <w:rFonts w:hint="eastAsia"/>
                <w:color w:val="auto"/>
                <w:sz w:val="21"/>
                <w:szCs w:val="21"/>
              </w:rPr>
              <w:t>0.263</w:t>
            </w:r>
          </w:p>
        </w:tc>
        <w:tc>
          <w:tcPr>
            <w:tcW w:w="925" w:type="pct"/>
            <w:vAlign w:val="center"/>
          </w:tcPr>
          <w:p w14:paraId="6A5D286F">
            <w:pPr>
              <w:spacing w:line="240" w:lineRule="auto"/>
              <w:ind w:firstLine="0" w:firstLineChars="0"/>
              <w:jc w:val="center"/>
              <w:rPr>
                <w:color w:val="auto"/>
                <w:sz w:val="20"/>
              </w:rPr>
            </w:pPr>
            <w:r>
              <w:rPr>
                <w:rFonts w:hint="eastAsia"/>
                <w:color w:val="auto"/>
                <w:sz w:val="20"/>
              </w:rPr>
              <w:t>10.610</w:t>
            </w:r>
          </w:p>
        </w:tc>
        <w:tc>
          <w:tcPr>
            <w:tcW w:w="1194" w:type="pct"/>
            <w:vAlign w:val="center"/>
          </w:tcPr>
          <w:p w14:paraId="0F36B54F">
            <w:pPr>
              <w:spacing w:line="240" w:lineRule="auto"/>
              <w:ind w:firstLine="0" w:firstLineChars="0"/>
              <w:jc w:val="center"/>
              <w:rPr>
                <w:color w:val="auto"/>
                <w:sz w:val="21"/>
                <w:szCs w:val="21"/>
              </w:rPr>
            </w:pPr>
            <w:r>
              <w:rPr>
                <w:rFonts w:hint="eastAsia"/>
                <w:color w:val="auto"/>
                <w:sz w:val="21"/>
                <w:szCs w:val="21"/>
              </w:rPr>
              <w:t>0.386</w:t>
            </w:r>
          </w:p>
        </w:tc>
        <w:tc>
          <w:tcPr>
            <w:tcW w:w="667" w:type="pct"/>
            <w:vAlign w:val="center"/>
          </w:tcPr>
          <w:p w14:paraId="49A4261F">
            <w:pPr>
              <w:spacing w:line="240" w:lineRule="auto"/>
              <w:ind w:firstLine="0" w:firstLineChars="0"/>
              <w:jc w:val="center"/>
              <w:rPr>
                <w:color w:val="auto"/>
                <w:sz w:val="21"/>
                <w:szCs w:val="21"/>
              </w:rPr>
            </w:pPr>
            <w:r>
              <w:rPr>
                <w:rFonts w:hint="eastAsia"/>
                <w:color w:val="auto"/>
                <w:sz w:val="21"/>
                <w:szCs w:val="21"/>
              </w:rPr>
              <w:t>--</w:t>
            </w:r>
          </w:p>
        </w:tc>
      </w:tr>
      <w:tr w14:paraId="32392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Merge w:val="continue"/>
            <w:vAlign w:val="center"/>
          </w:tcPr>
          <w:p w14:paraId="53BDDF65">
            <w:pPr>
              <w:spacing w:line="240" w:lineRule="auto"/>
              <w:ind w:firstLine="0" w:firstLineChars="0"/>
              <w:jc w:val="center"/>
              <w:outlineLvl w:val="4"/>
              <w:rPr>
                <w:color w:val="auto"/>
                <w:sz w:val="21"/>
                <w:szCs w:val="21"/>
              </w:rPr>
            </w:pPr>
          </w:p>
        </w:tc>
        <w:tc>
          <w:tcPr>
            <w:tcW w:w="812" w:type="pct"/>
            <w:vAlign w:val="center"/>
          </w:tcPr>
          <w:p w14:paraId="7B6FE597">
            <w:pPr>
              <w:spacing w:line="240" w:lineRule="auto"/>
              <w:ind w:firstLine="0" w:firstLineChars="0"/>
              <w:jc w:val="center"/>
              <w:rPr>
                <w:color w:val="auto"/>
                <w:sz w:val="21"/>
                <w:szCs w:val="21"/>
              </w:rPr>
            </w:pPr>
            <w:r>
              <w:rPr>
                <w:rFonts w:hint="eastAsia"/>
                <w:color w:val="auto"/>
                <w:sz w:val="21"/>
                <w:szCs w:val="21"/>
              </w:rPr>
              <w:t>颗粒物</w:t>
            </w:r>
          </w:p>
        </w:tc>
        <w:tc>
          <w:tcPr>
            <w:tcW w:w="921" w:type="pct"/>
            <w:vAlign w:val="center"/>
          </w:tcPr>
          <w:p w14:paraId="415CBB90">
            <w:pPr>
              <w:spacing w:line="240" w:lineRule="auto"/>
              <w:ind w:firstLine="0" w:firstLineChars="0"/>
              <w:jc w:val="center"/>
              <w:rPr>
                <w:color w:val="auto"/>
                <w:sz w:val="21"/>
                <w:szCs w:val="21"/>
              </w:rPr>
            </w:pPr>
            <w:r>
              <w:rPr>
                <w:rFonts w:hint="eastAsia"/>
                <w:color w:val="auto"/>
                <w:sz w:val="21"/>
                <w:szCs w:val="21"/>
              </w:rPr>
              <w:t>0.053</w:t>
            </w:r>
          </w:p>
        </w:tc>
        <w:tc>
          <w:tcPr>
            <w:tcW w:w="925" w:type="pct"/>
            <w:vAlign w:val="center"/>
          </w:tcPr>
          <w:p w14:paraId="1C2F017C">
            <w:pPr>
              <w:spacing w:line="240" w:lineRule="auto"/>
              <w:ind w:firstLine="0" w:firstLineChars="0"/>
              <w:jc w:val="center"/>
              <w:rPr>
                <w:color w:val="auto"/>
                <w:sz w:val="20"/>
              </w:rPr>
            </w:pPr>
            <w:r>
              <w:rPr>
                <w:rFonts w:hint="eastAsia"/>
                <w:color w:val="auto"/>
                <w:sz w:val="20"/>
              </w:rPr>
              <w:t>3.492</w:t>
            </w:r>
          </w:p>
        </w:tc>
        <w:tc>
          <w:tcPr>
            <w:tcW w:w="1194" w:type="pct"/>
            <w:vAlign w:val="center"/>
          </w:tcPr>
          <w:p w14:paraId="54E45413">
            <w:pPr>
              <w:spacing w:line="240" w:lineRule="auto"/>
              <w:ind w:firstLine="0" w:firstLineChars="0"/>
              <w:jc w:val="center"/>
              <w:rPr>
                <w:color w:val="auto"/>
                <w:sz w:val="21"/>
                <w:szCs w:val="21"/>
              </w:rPr>
            </w:pPr>
            <w:r>
              <w:rPr>
                <w:rFonts w:hint="eastAsia"/>
                <w:color w:val="auto"/>
                <w:sz w:val="21"/>
                <w:szCs w:val="21"/>
              </w:rPr>
              <w:t>--</w:t>
            </w:r>
          </w:p>
        </w:tc>
        <w:tc>
          <w:tcPr>
            <w:tcW w:w="667" w:type="pct"/>
            <w:vAlign w:val="center"/>
          </w:tcPr>
          <w:p w14:paraId="4374C83A">
            <w:pPr>
              <w:spacing w:line="240" w:lineRule="auto"/>
              <w:ind w:firstLine="0" w:firstLineChars="0"/>
              <w:jc w:val="center"/>
              <w:rPr>
                <w:color w:val="auto"/>
                <w:sz w:val="21"/>
                <w:szCs w:val="21"/>
              </w:rPr>
            </w:pPr>
            <w:r>
              <w:rPr>
                <w:rFonts w:hint="eastAsia"/>
                <w:color w:val="auto"/>
                <w:sz w:val="21"/>
                <w:szCs w:val="21"/>
              </w:rPr>
              <w:t>--</w:t>
            </w:r>
          </w:p>
        </w:tc>
      </w:tr>
      <w:tr w14:paraId="1A35A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78" w:type="pct"/>
            <w:vMerge w:val="continue"/>
            <w:vAlign w:val="center"/>
          </w:tcPr>
          <w:p w14:paraId="2A7751BC">
            <w:pPr>
              <w:spacing w:line="240" w:lineRule="auto"/>
              <w:ind w:firstLine="0" w:firstLineChars="0"/>
              <w:jc w:val="center"/>
              <w:outlineLvl w:val="4"/>
              <w:rPr>
                <w:color w:val="auto"/>
                <w:sz w:val="21"/>
                <w:szCs w:val="21"/>
              </w:rPr>
            </w:pPr>
          </w:p>
        </w:tc>
        <w:tc>
          <w:tcPr>
            <w:tcW w:w="812" w:type="pct"/>
            <w:vAlign w:val="center"/>
          </w:tcPr>
          <w:p w14:paraId="5621164A">
            <w:pPr>
              <w:spacing w:line="240" w:lineRule="auto"/>
              <w:ind w:firstLine="0" w:firstLineChars="0"/>
              <w:jc w:val="center"/>
              <w:rPr>
                <w:color w:val="auto"/>
                <w:sz w:val="21"/>
                <w:szCs w:val="21"/>
              </w:rPr>
            </w:pPr>
            <w:r>
              <w:rPr>
                <w:rFonts w:hint="eastAsia"/>
                <w:color w:val="auto"/>
                <w:sz w:val="21"/>
                <w:szCs w:val="21"/>
              </w:rPr>
              <w:t>VOCs</w:t>
            </w:r>
          </w:p>
        </w:tc>
        <w:tc>
          <w:tcPr>
            <w:tcW w:w="921" w:type="pct"/>
            <w:vAlign w:val="center"/>
          </w:tcPr>
          <w:p w14:paraId="7FB3336E">
            <w:pPr>
              <w:spacing w:line="240" w:lineRule="auto"/>
              <w:ind w:firstLine="0" w:firstLineChars="0"/>
              <w:jc w:val="center"/>
              <w:rPr>
                <w:color w:val="auto"/>
                <w:sz w:val="21"/>
                <w:szCs w:val="21"/>
              </w:rPr>
            </w:pPr>
            <w:r>
              <w:rPr>
                <w:rFonts w:hint="eastAsia"/>
                <w:color w:val="auto"/>
                <w:sz w:val="21"/>
                <w:szCs w:val="21"/>
              </w:rPr>
              <w:t>0.371</w:t>
            </w:r>
          </w:p>
        </w:tc>
        <w:tc>
          <w:tcPr>
            <w:tcW w:w="925" w:type="pct"/>
            <w:vAlign w:val="center"/>
          </w:tcPr>
          <w:p w14:paraId="442F204A">
            <w:pPr>
              <w:spacing w:line="240" w:lineRule="auto"/>
              <w:ind w:firstLine="0" w:firstLineChars="0"/>
              <w:jc w:val="center"/>
              <w:rPr>
                <w:color w:val="auto"/>
                <w:sz w:val="20"/>
              </w:rPr>
            </w:pPr>
            <w:r>
              <w:rPr>
                <w:rFonts w:hint="eastAsia"/>
                <w:color w:val="auto"/>
                <w:sz w:val="20"/>
              </w:rPr>
              <w:t>12.96</w:t>
            </w:r>
          </w:p>
        </w:tc>
        <w:tc>
          <w:tcPr>
            <w:tcW w:w="1194" w:type="pct"/>
            <w:vAlign w:val="center"/>
          </w:tcPr>
          <w:p w14:paraId="5E3FDBBC">
            <w:pPr>
              <w:spacing w:line="240" w:lineRule="auto"/>
              <w:ind w:firstLine="0" w:firstLineChars="0"/>
              <w:jc w:val="center"/>
              <w:rPr>
                <w:color w:val="auto"/>
                <w:sz w:val="21"/>
                <w:szCs w:val="21"/>
              </w:rPr>
            </w:pPr>
            <w:r>
              <w:rPr>
                <w:rFonts w:hint="eastAsia"/>
                <w:color w:val="auto"/>
                <w:sz w:val="21"/>
                <w:szCs w:val="21"/>
              </w:rPr>
              <w:t>--</w:t>
            </w:r>
          </w:p>
        </w:tc>
        <w:tc>
          <w:tcPr>
            <w:tcW w:w="667" w:type="pct"/>
            <w:vAlign w:val="center"/>
          </w:tcPr>
          <w:p w14:paraId="0239C33B">
            <w:pPr>
              <w:spacing w:line="240" w:lineRule="auto"/>
              <w:ind w:firstLine="0" w:firstLineChars="0"/>
              <w:jc w:val="center"/>
              <w:rPr>
                <w:color w:val="auto"/>
                <w:sz w:val="21"/>
                <w:szCs w:val="21"/>
              </w:rPr>
            </w:pPr>
            <w:r>
              <w:rPr>
                <w:rFonts w:hint="eastAsia"/>
                <w:color w:val="auto"/>
                <w:sz w:val="21"/>
                <w:szCs w:val="21"/>
              </w:rPr>
              <w:t>未超总量</w:t>
            </w:r>
          </w:p>
        </w:tc>
      </w:tr>
      <w:tr w14:paraId="425A9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Merge w:val="restart"/>
            <w:vAlign w:val="center"/>
          </w:tcPr>
          <w:p w14:paraId="7AD824D1">
            <w:pPr>
              <w:spacing w:line="240" w:lineRule="auto"/>
              <w:ind w:firstLine="0" w:firstLineChars="0"/>
              <w:jc w:val="center"/>
              <w:outlineLvl w:val="4"/>
              <w:rPr>
                <w:color w:val="auto"/>
                <w:sz w:val="21"/>
                <w:szCs w:val="21"/>
              </w:rPr>
            </w:pPr>
            <w:r>
              <w:rPr>
                <w:rFonts w:hint="eastAsia"/>
                <w:color w:val="auto"/>
                <w:sz w:val="21"/>
                <w:szCs w:val="21"/>
              </w:rPr>
              <w:t>废气（无组织）</w:t>
            </w:r>
          </w:p>
        </w:tc>
        <w:tc>
          <w:tcPr>
            <w:tcW w:w="812" w:type="pct"/>
            <w:vAlign w:val="center"/>
          </w:tcPr>
          <w:p w14:paraId="3D90714C">
            <w:pPr>
              <w:spacing w:line="240" w:lineRule="auto"/>
              <w:ind w:firstLine="0" w:firstLineChars="0"/>
              <w:jc w:val="center"/>
              <w:outlineLvl w:val="4"/>
              <w:rPr>
                <w:color w:val="auto"/>
                <w:sz w:val="21"/>
                <w:szCs w:val="21"/>
              </w:rPr>
            </w:pPr>
            <w:r>
              <w:rPr>
                <w:rFonts w:hint="eastAsia"/>
                <w:color w:val="auto"/>
                <w:sz w:val="21"/>
                <w:szCs w:val="21"/>
              </w:rPr>
              <w:t>颗粒物</w:t>
            </w:r>
          </w:p>
        </w:tc>
        <w:tc>
          <w:tcPr>
            <w:tcW w:w="921" w:type="pct"/>
            <w:vAlign w:val="center"/>
          </w:tcPr>
          <w:p w14:paraId="2A191A17">
            <w:pPr>
              <w:adjustRightInd/>
              <w:snapToGrid/>
              <w:spacing w:line="240" w:lineRule="auto"/>
              <w:ind w:firstLine="0" w:firstLineChars="0"/>
              <w:jc w:val="center"/>
              <w:rPr>
                <w:color w:val="auto"/>
                <w:sz w:val="20"/>
              </w:rPr>
            </w:pPr>
            <w:r>
              <w:rPr>
                <w:rFonts w:hint="eastAsia"/>
                <w:color w:val="auto"/>
                <w:sz w:val="20"/>
              </w:rPr>
              <w:t>0.051</w:t>
            </w:r>
          </w:p>
        </w:tc>
        <w:tc>
          <w:tcPr>
            <w:tcW w:w="925" w:type="pct"/>
            <w:vAlign w:val="center"/>
          </w:tcPr>
          <w:p w14:paraId="3DBF155B">
            <w:pPr>
              <w:spacing w:line="240" w:lineRule="auto"/>
              <w:ind w:firstLine="0" w:firstLineChars="0"/>
              <w:jc w:val="center"/>
              <w:rPr>
                <w:color w:val="auto"/>
                <w:sz w:val="21"/>
                <w:szCs w:val="21"/>
              </w:rPr>
            </w:pPr>
            <w:r>
              <w:rPr>
                <w:rFonts w:hint="eastAsia"/>
                <w:color w:val="auto"/>
                <w:sz w:val="21"/>
                <w:szCs w:val="21"/>
              </w:rPr>
              <w:t>0.05</w:t>
            </w:r>
          </w:p>
        </w:tc>
        <w:tc>
          <w:tcPr>
            <w:tcW w:w="1194" w:type="pct"/>
            <w:vAlign w:val="center"/>
          </w:tcPr>
          <w:p w14:paraId="258F7A82">
            <w:pPr>
              <w:spacing w:line="240" w:lineRule="auto"/>
              <w:ind w:firstLine="0" w:firstLineChars="0"/>
              <w:jc w:val="center"/>
              <w:rPr>
                <w:color w:val="auto"/>
                <w:sz w:val="21"/>
                <w:szCs w:val="21"/>
              </w:rPr>
            </w:pPr>
            <w:r>
              <w:rPr>
                <w:rFonts w:hint="eastAsia"/>
                <w:color w:val="auto"/>
                <w:sz w:val="21"/>
                <w:szCs w:val="21"/>
              </w:rPr>
              <w:t>--</w:t>
            </w:r>
          </w:p>
        </w:tc>
        <w:tc>
          <w:tcPr>
            <w:tcW w:w="667" w:type="pct"/>
            <w:vAlign w:val="center"/>
          </w:tcPr>
          <w:p w14:paraId="4F7FA6E8">
            <w:pPr>
              <w:spacing w:line="240" w:lineRule="auto"/>
              <w:ind w:firstLine="0" w:firstLineChars="0"/>
              <w:jc w:val="center"/>
              <w:rPr>
                <w:color w:val="auto"/>
                <w:sz w:val="21"/>
                <w:szCs w:val="21"/>
              </w:rPr>
            </w:pPr>
            <w:r>
              <w:rPr>
                <w:rFonts w:hint="eastAsia"/>
                <w:color w:val="auto"/>
                <w:sz w:val="21"/>
                <w:szCs w:val="21"/>
              </w:rPr>
              <w:t>--</w:t>
            </w:r>
          </w:p>
        </w:tc>
      </w:tr>
      <w:tr w14:paraId="2A8A9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Merge w:val="continue"/>
            <w:vAlign w:val="center"/>
          </w:tcPr>
          <w:p w14:paraId="1ED5FD05">
            <w:pPr>
              <w:spacing w:line="240" w:lineRule="auto"/>
              <w:ind w:firstLine="0" w:firstLineChars="0"/>
              <w:jc w:val="center"/>
              <w:outlineLvl w:val="4"/>
              <w:rPr>
                <w:color w:val="auto"/>
                <w:sz w:val="21"/>
                <w:szCs w:val="21"/>
              </w:rPr>
            </w:pPr>
          </w:p>
        </w:tc>
        <w:tc>
          <w:tcPr>
            <w:tcW w:w="812" w:type="pct"/>
            <w:vAlign w:val="center"/>
          </w:tcPr>
          <w:p w14:paraId="6EE211A7">
            <w:pPr>
              <w:spacing w:line="240" w:lineRule="auto"/>
              <w:ind w:firstLine="0" w:firstLineChars="0"/>
              <w:jc w:val="center"/>
              <w:outlineLvl w:val="4"/>
              <w:rPr>
                <w:color w:val="auto"/>
                <w:sz w:val="21"/>
                <w:szCs w:val="21"/>
              </w:rPr>
            </w:pPr>
            <w:r>
              <w:rPr>
                <w:color w:val="auto"/>
                <w:sz w:val="21"/>
                <w:szCs w:val="21"/>
              </w:rPr>
              <w:t>VOCs</w:t>
            </w:r>
          </w:p>
        </w:tc>
        <w:tc>
          <w:tcPr>
            <w:tcW w:w="921" w:type="pct"/>
            <w:vAlign w:val="center"/>
          </w:tcPr>
          <w:p w14:paraId="3825B254">
            <w:pPr>
              <w:adjustRightInd/>
              <w:snapToGrid/>
              <w:spacing w:line="240" w:lineRule="auto"/>
              <w:ind w:firstLine="0" w:firstLineChars="0"/>
              <w:jc w:val="center"/>
              <w:rPr>
                <w:color w:val="auto"/>
                <w:sz w:val="21"/>
                <w:szCs w:val="21"/>
              </w:rPr>
            </w:pPr>
            <w:r>
              <w:rPr>
                <w:rFonts w:hint="eastAsia"/>
                <w:color w:val="auto"/>
                <w:sz w:val="21"/>
                <w:szCs w:val="21"/>
              </w:rPr>
              <w:t>0.190</w:t>
            </w:r>
          </w:p>
        </w:tc>
        <w:tc>
          <w:tcPr>
            <w:tcW w:w="925" w:type="pct"/>
            <w:vAlign w:val="center"/>
          </w:tcPr>
          <w:p w14:paraId="59308FC7">
            <w:pPr>
              <w:spacing w:line="240" w:lineRule="auto"/>
              <w:ind w:firstLine="0" w:firstLineChars="0"/>
              <w:jc w:val="center"/>
              <w:rPr>
                <w:color w:val="auto"/>
                <w:sz w:val="20"/>
              </w:rPr>
            </w:pPr>
            <w:r>
              <w:rPr>
                <w:rFonts w:hint="eastAsia"/>
                <w:color w:val="auto"/>
                <w:sz w:val="20"/>
              </w:rPr>
              <w:t>0.267</w:t>
            </w:r>
          </w:p>
        </w:tc>
        <w:tc>
          <w:tcPr>
            <w:tcW w:w="1194" w:type="pct"/>
            <w:vAlign w:val="center"/>
          </w:tcPr>
          <w:p w14:paraId="4B0A2115">
            <w:pPr>
              <w:spacing w:line="240" w:lineRule="auto"/>
              <w:ind w:firstLine="0" w:firstLineChars="0"/>
              <w:jc w:val="center"/>
              <w:rPr>
                <w:color w:val="auto"/>
                <w:sz w:val="21"/>
                <w:szCs w:val="21"/>
              </w:rPr>
            </w:pPr>
            <w:r>
              <w:rPr>
                <w:rFonts w:hint="eastAsia"/>
                <w:color w:val="auto"/>
                <w:sz w:val="21"/>
                <w:szCs w:val="21"/>
              </w:rPr>
              <w:t>--</w:t>
            </w:r>
          </w:p>
        </w:tc>
        <w:tc>
          <w:tcPr>
            <w:tcW w:w="667" w:type="pct"/>
            <w:vAlign w:val="center"/>
          </w:tcPr>
          <w:p w14:paraId="33F6B036">
            <w:pPr>
              <w:spacing w:line="240" w:lineRule="auto"/>
              <w:ind w:firstLine="0" w:firstLineChars="0"/>
              <w:jc w:val="center"/>
              <w:rPr>
                <w:color w:val="auto"/>
                <w:sz w:val="21"/>
                <w:szCs w:val="21"/>
              </w:rPr>
            </w:pPr>
            <w:r>
              <w:rPr>
                <w:rFonts w:hint="eastAsia"/>
                <w:color w:val="auto"/>
                <w:sz w:val="21"/>
                <w:szCs w:val="21"/>
              </w:rPr>
              <w:t>--</w:t>
            </w:r>
          </w:p>
        </w:tc>
      </w:tr>
      <w:tr w14:paraId="2B376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Merge w:val="restart"/>
            <w:vAlign w:val="center"/>
          </w:tcPr>
          <w:p w14:paraId="2F0F4AB5">
            <w:pPr>
              <w:spacing w:line="240" w:lineRule="auto"/>
              <w:ind w:firstLine="0" w:firstLineChars="0"/>
              <w:jc w:val="center"/>
              <w:outlineLvl w:val="4"/>
              <w:rPr>
                <w:color w:val="auto"/>
                <w:sz w:val="21"/>
                <w:szCs w:val="21"/>
              </w:rPr>
            </w:pPr>
            <w:r>
              <w:rPr>
                <w:color w:val="auto"/>
                <w:sz w:val="21"/>
                <w:szCs w:val="21"/>
              </w:rPr>
              <w:t>废水</w:t>
            </w:r>
          </w:p>
        </w:tc>
        <w:tc>
          <w:tcPr>
            <w:tcW w:w="812" w:type="pct"/>
            <w:vAlign w:val="center"/>
          </w:tcPr>
          <w:p w14:paraId="2F89EB3E">
            <w:pPr>
              <w:spacing w:line="240" w:lineRule="auto"/>
              <w:ind w:firstLine="0" w:firstLineChars="0"/>
              <w:jc w:val="center"/>
              <w:outlineLvl w:val="4"/>
              <w:rPr>
                <w:color w:val="auto"/>
                <w:sz w:val="21"/>
                <w:szCs w:val="21"/>
              </w:rPr>
            </w:pPr>
            <w:r>
              <w:rPr>
                <w:color w:val="auto"/>
                <w:sz w:val="21"/>
                <w:szCs w:val="21"/>
              </w:rPr>
              <w:t>水量</w:t>
            </w:r>
          </w:p>
        </w:tc>
        <w:tc>
          <w:tcPr>
            <w:tcW w:w="921" w:type="pct"/>
            <w:vAlign w:val="center"/>
          </w:tcPr>
          <w:p w14:paraId="1CB5B168">
            <w:pPr>
              <w:adjustRightInd/>
              <w:snapToGrid/>
              <w:spacing w:line="240" w:lineRule="auto"/>
              <w:ind w:firstLine="0" w:firstLineChars="0"/>
              <w:jc w:val="center"/>
              <w:rPr>
                <w:color w:val="auto"/>
                <w:sz w:val="21"/>
                <w:szCs w:val="21"/>
              </w:rPr>
            </w:pPr>
            <w:r>
              <w:rPr>
                <w:rFonts w:hint="eastAsia"/>
                <w:color w:val="auto"/>
                <w:sz w:val="21"/>
                <w:szCs w:val="21"/>
              </w:rPr>
              <w:t>7111.904</w:t>
            </w:r>
          </w:p>
        </w:tc>
        <w:tc>
          <w:tcPr>
            <w:tcW w:w="925" w:type="pct"/>
            <w:vAlign w:val="center"/>
          </w:tcPr>
          <w:p w14:paraId="0028A9CC">
            <w:pPr>
              <w:spacing w:line="240" w:lineRule="auto"/>
              <w:ind w:firstLine="0" w:firstLineChars="0"/>
              <w:jc w:val="center"/>
              <w:rPr>
                <w:color w:val="auto"/>
                <w:sz w:val="20"/>
              </w:rPr>
            </w:pPr>
            <w:r>
              <w:rPr>
                <w:rFonts w:hint="eastAsia"/>
                <w:color w:val="auto"/>
                <w:sz w:val="21"/>
                <w:szCs w:val="21"/>
              </w:rPr>
              <w:t>--</w:t>
            </w:r>
          </w:p>
        </w:tc>
        <w:tc>
          <w:tcPr>
            <w:tcW w:w="1194" w:type="pct"/>
            <w:vAlign w:val="center"/>
          </w:tcPr>
          <w:p w14:paraId="23DCF005">
            <w:pPr>
              <w:spacing w:line="240" w:lineRule="auto"/>
              <w:ind w:firstLine="0" w:firstLineChars="0"/>
              <w:jc w:val="center"/>
              <w:rPr>
                <w:color w:val="auto"/>
                <w:sz w:val="21"/>
                <w:szCs w:val="21"/>
              </w:rPr>
            </w:pPr>
          </w:p>
        </w:tc>
        <w:tc>
          <w:tcPr>
            <w:tcW w:w="667" w:type="pct"/>
            <w:vAlign w:val="center"/>
          </w:tcPr>
          <w:p w14:paraId="6C742676">
            <w:pPr>
              <w:spacing w:line="240" w:lineRule="auto"/>
              <w:ind w:firstLine="0" w:firstLineChars="0"/>
              <w:jc w:val="center"/>
              <w:rPr>
                <w:color w:val="auto"/>
                <w:sz w:val="21"/>
                <w:szCs w:val="21"/>
              </w:rPr>
            </w:pPr>
            <w:r>
              <w:rPr>
                <w:rFonts w:hint="eastAsia"/>
                <w:color w:val="auto"/>
                <w:sz w:val="21"/>
                <w:szCs w:val="21"/>
              </w:rPr>
              <w:t>--</w:t>
            </w:r>
          </w:p>
        </w:tc>
      </w:tr>
      <w:tr w14:paraId="5D145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Merge w:val="continue"/>
            <w:vAlign w:val="center"/>
          </w:tcPr>
          <w:p w14:paraId="354BD903">
            <w:pPr>
              <w:spacing w:line="240" w:lineRule="auto"/>
              <w:ind w:firstLine="0" w:firstLineChars="0"/>
              <w:jc w:val="center"/>
              <w:outlineLvl w:val="4"/>
              <w:rPr>
                <w:color w:val="auto"/>
                <w:sz w:val="21"/>
                <w:szCs w:val="21"/>
              </w:rPr>
            </w:pPr>
          </w:p>
        </w:tc>
        <w:tc>
          <w:tcPr>
            <w:tcW w:w="812" w:type="pct"/>
            <w:vAlign w:val="center"/>
          </w:tcPr>
          <w:p w14:paraId="7171DAE1">
            <w:pPr>
              <w:spacing w:line="240" w:lineRule="auto"/>
              <w:ind w:firstLine="0" w:firstLineChars="0"/>
              <w:jc w:val="center"/>
              <w:outlineLvl w:val="4"/>
              <w:rPr>
                <w:color w:val="auto"/>
                <w:sz w:val="21"/>
                <w:szCs w:val="21"/>
              </w:rPr>
            </w:pPr>
            <w:r>
              <w:rPr>
                <w:color w:val="auto"/>
                <w:sz w:val="21"/>
                <w:szCs w:val="21"/>
              </w:rPr>
              <w:t>化学需氧量</w:t>
            </w:r>
          </w:p>
        </w:tc>
        <w:tc>
          <w:tcPr>
            <w:tcW w:w="921" w:type="pct"/>
            <w:vAlign w:val="center"/>
          </w:tcPr>
          <w:p w14:paraId="0913C831">
            <w:pPr>
              <w:adjustRightInd/>
              <w:snapToGrid/>
              <w:spacing w:line="240" w:lineRule="auto"/>
              <w:ind w:firstLine="0" w:firstLineChars="0"/>
              <w:jc w:val="center"/>
              <w:rPr>
                <w:color w:val="auto"/>
                <w:sz w:val="21"/>
                <w:szCs w:val="21"/>
              </w:rPr>
            </w:pPr>
            <w:r>
              <w:rPr>
                <w:rFonts w:hint="eastAsia"/>
                <w:color w:val="auto"/>
                <w:sz w:val="21"/>
                <w:szCs w:val="21"/>
              </w:rPr>
              <w:t>1.271</w:t>
            </w:r>
          </w:p>
        </w:tc>
        <w:tc>
          <w:tcPr>
            <w:tcW w:w="925" w:type="pct"/>
            <w:vAlign w:val="center"/>
          </w:tcPr>
          <w:p w14:paraId="712CA28A">
            <w:pPr>
              <w:spacing w:line="240" w:lineRule="auto"/>
              <w:ind w:firstLine="0" w:firstLineChars="0"/>
              <w:jc w:val="center"/>
              <w:rPr>
                <w:color w:val="auto"/>
                <w:sz w:val="20"/>
              </w:rPr>
            </w:pPr>
            <w:r>
              <w:rPr>
                <w:rFonts w:hint="eastAsia"/>
                <w:color w:val="auto"/>
                <w:sz w:val="20"/>
              </w:rPr>
              <w:t>38.8</w:t>
            </w:r>
          </w:p>
        </w:tc>
        <w:tc>
          <w:tcPr>
            <w:tcW w:w="1194" w:type="pct"/>
            <w:vAlign w:val="center"/>
          </w:tcPr>
          <w:p w14:paraId="72AE8962">
            <w:pPr>
              <w:spacing w:line="240" w:lineRule="auto"/>
              <w:ind w:firstLine="0" w:firstLineChars="0"/>
              <w:jc w:val="center"/>
              <w:rPr>
                <w:color w:val="auto"/>
                <w:sz w:val="21"/>
                <w:szCs w:val="21"/>
              </w:rPr>
            </w:pPr>
            <w:r>
              <w:rPr>
                <w:rFonts w:hint="eastAsia"/>
                <w:color w:val="auto"/>
                <w:sz w:val="21"/>
                <w:szCs w:val="21"/>
              </w:rPr>
              <w:t>3.279</w:t>
            </w:r>
          </w:p>
        </w:tc>
        <w:tc>
          <w:tcPr>
            <w:tcW w:w="667" w:type="pct"/>
            <w:vAlign w:val="center"/>
          </w:tcPr>
          <w:p w14:paraId="7EF30C4E">
            <w:pPr>
              <w:spacing w:line="240" w:lineRule="auto"/>
              <w:ind w:firstLine="0" w:firstLineChars="0"/>
              <w:jc w:val="center"/>
              <w:rPr>
                <w:color w:val="auto"/>
                <w:sz w:val="21"/>
                <w:szCs w:val="21"/>
              </w:rPr>
            </w:pPr>
            <w:r>
              <w:rPr>
                <w:rFonts w:hint="eastAsia"/>
                <w:color w:val="auto"/>
                <w:sz w:val="21"/>
                <w:szCs w:val="21"/>
              </w:rPr>
              <w:t>未超总量</w:t>
            </w:r>
          </w:p>
        </w:tc>
      </w:tr>
      <w:tr w14:paraId="30D06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Merge w:val="continue"/>
            <w:vAlign w:val="center"/>
          </w:tcPr>
          <w:p w14:paraId="73FAE0EF">
            <w:pPr>
              <w:spacing w:line="240" w:lineRule="auto"/>
              <w:ind w:firstLine="0" w:firstLineChars="0"/>
              <w:jc w:val="center"/>
              <w:outlineLvl w:val="4"/>
              <w:rPr>
                <w:color w:val="auto"/>
                <w:sz w:val="21"/>
                <w:szCs w:val="21"/>
              </w:rPr>
            </w:pPr>
          </w:p>
        </w:tc>
        <w:tc>
          <w:tcPr>
            <w:tcW w:w="812" w:type="pct"/>
            <w:vAlign w:val="center"/>
          </w:tcPr>
          <w:p w14:paraId="1E098A25">
            <w:pPr>
              <w:spacing w:line="240" w:lineRule="auto"/>
              <w:ind w:firstLine="0" w:firstLineChars="0"/>
              <w:jc w:val="center"/>
              <w:outlineLvl w:val="4"/>
              <w:rPr>
                <w:color w:val="auto"/>
                <w:sz w:val="21"/>
                <w:szCs w:val="21"/>
              </w:rPr>
            </w:pPr>
            <w:r>
              <w:rPr>
                <w:color w:val="auto"/>
                <w:sz w:val="21"/>
                <w:szCs w:val="21"/>
              </w:rPr>
              <w:t>氨氮</w:t>
            </w:r>
          </w:p>
        </w:tc>
        <w:tc>
          <w:tcPr>
            <w:tcW w:w="921" w:type="pct"/>
            <w:vAlign w:val="center"/>
          </w:tcPr>
          <w:p w14:paraId="29AD8506">
            <w:pPr>
              <w:adjustRightInd/>
              <w:snapToGrid/>
              <w:spacing w:line="240" w:lineRule="auto"/>
              <w:ind w:firstLine="0" w:firstLineChars="0"/>
              <w:jc w:val="center"/>
              <w:rPr>
                <w:color w:val="auto"/>
                <w:sz w:val="21"/>
                <w:szCs w:val="21"/>
              </w:rPr>
            </w:pPr>
            <w:r>
              <w:rPr>
                <w:rFonts w:hint="eastAsia"/>
                <w:color w:val="auto"/>
                <w:sz w:val="21"/>
                <w:szCs w:val="21"/>
              </w:rPr>
              <w:t>0.070</w:t>
            </w:r>
          </w:p>
        </w:tc>
        <w:tc>
          <w:tcPr>
            <w:tcW w:w="925" w:type="pct"/>
            <w:vAlign w:val="center"/>
          </w:tcPr>
          <w:p w14:paraId="50024383">
            <w:pPr>
              <w:spacing w:line="240" w:lineRule="auto"/>
              <w:ind w:firstLine="0" w:firstLineChars="0"/>
              <w:jc w:val="center"/>
              <w:rPr>
                <w:color w:val="auto"/>
                <w:sz w:val="20"/>
              </w:rPr>
            </w:pPr>
            <w:r>
              <w:rPr>
                <w:rFonts w:hint="eastAsia"/>
                <w:color w:val="auto"/>
                <w:sz w:val="20"/>
              </w:rPr>
              <w:t>3.104</w:t>
            </w:r>
          </w:p>
        </w:tc>
        <w:tc>
          <w:tcPr>
            <w:tcW w:w="1194" w:type="pct"/>
            <w:vAlign w:val="center"/>
          </w:tcPr>
          <w:p w14:paraId="67D47CE4">
            <w:pPr>
              <w:spacing w:line="240" w:lineRule="auto"/>
              <w:ind w:firstLine="0" w:firstLineChars="0"/>
              <w:jc w:val="center"/>
              <w:rPr>
                <w:color w:val="auto"/>
                <w:sz w:val="21"/>
                <w:szCs w:val="21"/>
              </w:rPr>
            </w:pPr>
            <w:r>
              <w:rPr>
                <w:rFonts w:hint="eastAsia"/>
                <w:color w:val="auto"/>
                <w:sz w:val="21"/>
                <w:szCs w:val="21"/>
              </w:rPr>
              <w:t>0.173</w:t>
            </w:r>
          </w:p>
        </w:tc>
        <w:tc>
          <w:tcPr>
            <w:tcW w:w="667" w:type="pct"/>
            <w:vAlign w:val="center"/>
          </w:tcPr>
          <w:p w14:paraId="56B7616B">
            <w:pPr>
              <w:spacing w:line="240" w:lineRule="auto"/>
              <w:ind w:firstLine="0" w:firstLineChars="0"/>
              <w:jc w:val="center"/>
              <w:rPr>
                <w:color w:val="auto"/>
                <w:sz w:val="21"/>
                <w:szCs w:val="21"/>
              </w:rPr>
            </w:pPr>
            <w:r>
              <w:rPr>
                <w:rFonts w:hint="eastAsia"/>
                <w:color w:val="auto"/>
                <w:sz w:val="21"/>
                <w:szCs w:val="21"/>
              </w:rPr>
              <w:t>未超总量</w:t>
            </w:r>
          </w:p>
        </w:tc>
      </w:tr>
      <w:tr w14:paraId="37056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Merge w:val="continue"/>
            <w:vAlign w:val="center"/>
          </w:tcPr>
          <w:p w14:paraId="6EFC69DE">
            <w:pPr>
              <w:spacing w:line="240" w:lineRule="auto"/>
              <w:ind w:firstLine="0" w:firstLineChars="0"/>
              <w:jc w:val="center"/>
              <w:outlineLvl w:val="4"/>
              <w:rPr>
                <w:color w:val="auto"/>
                <w:sz w:val="21"/>
                <w:szCs w:val="21"/>
              </w:rPr>
            </w:pPr>
          </w:p>
        </w:tc>
        <w:tc>
          <w:tcPr>
            <w:tcW w:w="812" w:type="pct"/>
            <w:vAlign w:val="center"/>
          </w:tcPr>
          <w:p w14:paraId="7BFC6885">
            <w:pPr>
              <w:spacing w:line="240" w:lineRule="auto"/>
              <w:ind w:firstLine="0" w:firstLineChars="0"/>
              <w:jc w:val="center"/>
              <w:outlineLvl w:val="4"/>
              <w:rPr>
                <w:color w:val="auto"/>
                <w:sz w:val="21"/>
                <w:szCs w:val="21"/>
              </w:rPr>
            </w:pPr>
            <w:r>
              <w:rPr>
                <w:color w:val="auto"/>
                <w:sz w:val="21"/>
                <w:szCs w:val="21"/>
              </w:rPr>
              <w:t>总氮</w:t>
            </w:r>
          </w:p>
        </w:tc>
        <w:tc>
          <w:tcPr>
            <w:tcW w:w="921" w:type="pct"/>
            <w:vAlign w:val="center"/>
          </w:tcPr>
          <w:p w14:paraId="489F6D01">
            <w:pPr>
              <w:spacing w:line="240" w:lineRule="auto"/>
              <w:ind w:firstLine="0" w:firstLineChars="0"/>
              <w:jc w:val="center"/>
              <w:outlineLvl w:val="4"/>
              <w:rPr>
                <w:color w:val="auto"/>
                <w:sz w:val="21"/>
                <w:szCs w:val="21"/>
              </w:rPr>
            </w:pPr>
            <w:r>
              <w:rPr>
                <w:rFonts w:hint="eastAsia"/>
                <w:color w:val="auto"/>
                <w:sz w:val="21"/>
                <w:szCs w:val="21"/>
              </w:rPr>
              <w:t>0.213</w:t>
            </w:r>
          </w:p>
        </w:tc>
        <w:tc>
          <w:tcPr>
            <w:tcW w:w="925" w:type="pct"/>
            <w:vAlign w:val="center"/>
          </w:tcPr>
          <w:p w14:paraId="73E36204">
            <w:pPr>
              <w:spacing w:line="240" w:lineRule="auto"/>
              <w:ind w:firstLine="0" w:firstLineChars="0"/>
              <w:jc w:val="center"/>
              <w:rPr>
                <w:color w:val="auto"/>
                <w:sz w:val="20"/>
              </w:rPr>
            </w:pPr>
            <w:r>
              <w:rPr>
                <w:rFonts w:hint="eastAsia"/>
                <w:color w:val="auto"/>
                <w:sz w:val="20"/>
              </w:rPr>
              <w:t>3.492</w:t>
            </w:r>
          </w:p>
        </w:tc>
        <w:tc>
          <w:tcPr>
            <w:tcW w:w="1194" w:type="pct"/>
            <w:vAlign w:val="center"/>
          </w:tcPr>
          <w:p w14:paraId="4C4E9C22">
            <w:pPr>
              <w:spacing w:line="240" w:lineRule="auto"/>
              <w:ind w:firstLine="0" w:firstLineChars="0"/>
              <w:jc w:val="center"/>
              <w:rPr>
                <w:color w:val="auto"/>
                <w:sz w:val="21"/>
                <w:szCs w:val="21"/>
              </w:rPr>
            </w:pPr>
            <w:r>
              <w:rPr>
                <w:rFonts w:hint="eastAsia"/>
                <w:color w:val="auto"/>
                <w:sz w:val="21"/>
                <w:szCs w:val="21"/>
              </w:rPr>
              <w:t>0.193</w:t>
            </w:r>
          </w:p>
        </w:tc>
        <w:tc>
          <w:tcPr>
            <w:tcW w:w="667" w:type="pct"/>
            <w:vAlign w:val="center"/>
          </w:tcPr>
          <w:p w14:paraId="22E1CBA8">
            <w:pPr>
              <w:spacing w:line="240" w:lineRule="auto"/>
              <w:ind w:firstLine="0" w:firstLineChars="0"/>
              <w:jc w:val="center"/>
              <w:rPr>
                <w:color w:val="auto"/>
                <w:sz w:val="21"/>
                <w:szCs w:val="21"/>
              </w:rPr>
            </w:pPr>
            <w:r>
              <w:rPr>
                <w:rFonts w:hint="eastAsia"/>
                <w:color w:val="auto"/>
                <w:sz w:val="21"/>
                <w:szCs w:val="21"/>
              </w:rPr>
              <w:t>未超总量</w:t>
            </w:r>
          </w:p>
        </w:tc>
      </w:tr>
      <w:tr w14:paraId="61635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Merge w:val="continue"/>
            <w:vAlign w:val="center"/>
          </w:tcPr>
          <w:p w14:paraId="65015548">
            <w:pPr>
              <w:spacing w:line="240" w:lineRule="auto"/>
              <w:ind w:firstLine="0" w:firstLineChars="0"/>
              <w:jc w:val="center"/>
              <w:outlineLvl w:val="4"/>
              <w:rPr>
                <w:color w:val="auto"/>
                <w:sz w:val="21"/>
                <w:szCs w:val="21"/>
              </w:rPr>
            </w:pPr>
          </w:p>
        </w:tc>
        <w:tc>
          <w:tcPr>
            <w:tcW w:w="812" w:type="pct"/>
            <w:vAlign w:val="center"/>
          </w:tcPr>
          <w:p w14:paraId="2618CD16">
            <w:pPr>
              <w:spacing w:line="240" w:lineRule="auto"/>
              <w:ind w:firstLine="0" w:firstLineChars="0"/>
              <w:jc w:val="center"/>
              <w:outlineLvl w:val="4"/>
              <w:rPr>
                <w:color w:val="auto"/>
                <w:sz w:val="21"/>
                <w:szCs w:val="21"/>
              </w:rPr>
            </w:pPr>
            <w:r>
              <w:rPr>
                <w:rFonts w:hint="eastAsia"/>
                <w:color w:val="auto"/>
                <w:sz w:val="21"/>
                <w:szCs w:val="21"/>
              </w:rPr>
              <w:t>总磷</w:t>
            </w:r>
          </w:p>
        </w:tc>
        <w:tc>
          <w:tcPr>
            <w:tcW w:w="921" w:type="pct"/>
            <w:vAlign w:val="center"/>
          </w:tcPr>
          <w:p w14:paraId="729554E7">
            <w:pPr>
              <w:spacing w:line="240" w:lineRule="auto"/>
              <w:ind w:firstLine="0" w:firstLineChars="0"/>
              <w:jc w:val="center"/>
              <w:rPr>
                <w:color w:val="auto"/>
                <w:sz w:val="21"/>
                <w:szCs w:val="21"/>
              </w:rPr>
            </w:pPr>
            <w:r>
              <w:rPr>
                <w:rFonts w:hint="eastAsia"/>
                <w:color w:val="auto"/>
                <w:sz w:val="21"/>
                <w:szCs w:val="21"/>
              </w:rPr>
              <w:t>0.018</w:t>
            </w:r>
          </w:p>
        </w:tc>
        <w:tc>
          <w:tcPr>
            <w:tcW w:w="925" w:type="pct"/>
            <w:vAlign w:val="center"/>
          </w:tcPr>
          <w:p w14:paraId="022A1546">
            <w:pPr>
              <w:spacing w:line="240" w:lineRule="auto"/>
              <w:ind w:firstLine="0" w:firstLineChars="0"/>
              <w:jc w:val="center"/>
              <w:rPr>
                <w:color w:val="auto"/>
                <w:sz w:val="20"/>
              </w:rPr>
            </w:pPr>
            <w:r>
              <w:rPr>
                <w:rFonts w:hint="eastAsia"/>
                <w:color w:val="auto"/>
                <w:sz w:val="20"/>
              </w:rPr>
              <w:t>0.233</w:t>
            </w:r>
          </w:p>
        </w:tc>
        <w:tc>
          <w:tcPr>
            <w:tcW w:w="1194" w:type="pct"/>
            <w:vAlign w:val="center"/>
          </w:tcPr>
          <w:p w14:paraId="35639C99">
            <w:pPr>
              <w:spacing w:line="240" w:lineRule="auto"/>
              <w:ind w:firstLine="0" w:firstLineChars="0"/>
              <w:jc w:val="center"/>
              <w:rPr>
                <w:color w:val="auto"/>
                <w:sz w:val="21"/>
                <w:szCs w:val="21"/>
              </w:rPr>
            </w:pPr>
            <w:r>
              <w:rPr>
                <w:rFonts w:hint="eastAsia"/>
                <w:color w:val="auto"/>
                <w:sz w:val="21"/>
                <w:szCs w:val="21"/>
              </w:rPr>
              <w:t>0.017</w:t>
            </w:r>
          </w:p>
        </w:tc>
        <w:tc>
          <w:tcPr>
            <w:tcW w:w="667" w:type="pct"/>
            <w:vAlign w:val="center"/>
          </w:tcPr>
          <w:p w14:paraId="521F4F9F">
            <w:pPr>
              <w:spacing w:line="240" w:lineRule="auto"/>
              <w:ind w:firstLine="0" w:firstLineChars="0"/>
              <w:jc w:val="center"/>
              <w:rPr>
                <w:color w:val="auto"/>
                <w:sz w:val="21"/>
                <w:szCs w:val="21"/>
              </w:rPr>
            </w:pPr>
            <w:r>
              <w:rPr>
                <w:rFonts w:hint="eastAsia"/>
                <w:color w:val="auto"/>
                <w:sz w:val="21"/>
                <w:szCs w:val="21"/>
              </w:rPr>
              <w:t>未超总量</w:t>
            </w:r>
          </w:p>
        </w:tc>
      </w:tr>
    </w:tbl>
    <w:p w14:paraId="69EA4398">
      <w:pPr>
        <w:spacing w:line="460" w:lineRule="exact"/>
        <w:ind w:firstLine="480"/>
        <w:rPr>
          <w:color w:val="auto"/>
        </w:rPr>
      </w:pPr>
    </w:p>
    <w:p w14:paraId="1FA8C5B6">
      <w:pPr>
        <w:pStyle w:val="3"/>
        <w:spacing w:before="312"/>
        <w:rPr>
          <w:color w:val="auto"/>
        </w:rPr>
      </w:pPr>
      <w:bookmarkStart w:id="106" w:name="_Toc29493"/>
      <w:r>
        <w:rPr>
          <w:rFonts w:hint="eastAsia"/>
          <w:color w:val="auto"/>
        </w:rPr>
        <w:t>3.6现有项目环境风险回顾</w:t>
      </w:r>
      <w:bookmarkEnd w:id="106"/>
    </w:p>
    <w:p w14:paraId="0126ED35">
      <w:pPr>
        <w:pStyle w:val="4"/>
        <w:rPr>
          <w:color w:val="auto"/>
        </w:rPr>
      </w:pPr>
      <w:bookmarkStart w:id="107" w:name="_Toc12606"/>
      <w:r>
        <w:rPr>
          <w:rFonts w:hint="eastAsia"/>
          <w:color w:val="auto"/>
        </w:rPr>
        <w:t>3.6.1现有项目环境风险物质和风险单元</w:t>
      </w:r>
      <w:bookmarkEnd w:id="107"/>
    </w:p>
    <w:p w14:paraId="0E44898B">
      <w:pPr>
        <w:spacing w:line="460" w:lineRule="exact"/>
        <w:ind w:firstLine="480"/>
        <w:rPr>
          <w:color w:val="auto"/>
        </w:rPr>
      </w:pPr>
      <w:r>
        <w:rPr>
          <w:rFonts w:hint="eastAsia"/>
          <w:color w:val="auto"/>
        </w:rPr>
        <w:t>经分析亚太药业主要环境风险主要有三大类：一是各种有毒有害物质泄漏造成人员中毒和水、大气等环境污染；二是在生产等作业过程中发生火灾、爆炸等安全事故，引发物料泄漏或消防灭火水等流出造成水、大气环境污染；三是治污设施运转不正常，没有能及时发现，造成环境污染的情况。</w:t>
      </w:r>
    </w:p>
    <w:p w14:paraId="6E394377">
      <w:pPr>
        <w:autoSpaceDE w:val="0"/>
        <w:autoSpaceDN w:val="0"/>
        <w:ind w:firstLine="480"/>
        <w:jc w:val="left"/>
        <w:rPr>
          <w:color w:val="auto"/>
        </w:rPr>
      </w:pPr>
      <w:r>
        <w:rPr>
          <w:rFonts w:hint="eastAsia"/>
          <w:color w:val="auto"/>
        </w:rPr>
        <w:t>亚太药业环境风险识别范围包括生产设施风险识别和生产过程所涉及的物质风险识别。生产设施风险识别范围包括主要生产装置、贮运系统、公用工程系统、工程环保设施及辅助生产设施等；物质风险识别范围包括主要原辅材料、燃料、中间产品、最终产品以及生产过程排放的“三废”污染物等，现有项目涉及环境风险物质一览表详见下表。</w:t>
      </w:r>
    </w:p>
    <w:p w14:paraId="05822848">
      <w:pPr>
        <w:pStyle w:val="49"/>
        <w:rPr>
          <w:color w:val="auto"/>
        </w:rPr>
      </w:pPr>
      <w:r>
        <w:rPr>
          <w:rFonts w:hint="eastAsia"/>
          <w:color w:val="auto"/>
        </w:rPr>
        <w:t>表3.6-1  现有项目涉及环境风险物质一览表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2300"/>
        <w:gridCol w:w="1864"/>
        <w:gridCol w:w="1098"/>
        <w:gridCol w:w="1230"/>
        <w:gridCol w:w="1784"/>
      </w:tblGrid>
      <w:tr w14:paraId="634B1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3D023204">
            <w:pPr>
              <w:adjustRightInd/>
              <w:snapToGrid/>
              <w:spacing w:line="240" w:lineRule="auto"/>
              <w:ind w:firstLine="0" w:firstLineChars="0"/>
              <w:jc w:val="center"/>
              <w:rPr>
                <w:rFonts w:cs="宋体"/>
                <w:b/>
                <w:bCs/>
                <w:color w:val="auto"/>
                <w:sz w:val="21"/>
                <w:szCs w:val="21"/>
              </w:rPr>
            </w:pPr>
            <w:r>
              <w:rPr>
                <w:rFonts w:hint="eastAsia" w:cs="宋体"/>
                <w:b/>
                <w:bCs/>
                <w:color w:val="auto"/>
                <w:sz w:val="21"/>
                <w:szCs w:val="21"/>
              </w:rPr>
              <w:t>风险物质</w:t>
            </w:r>
          </w:p>
        </w:tc>
        <w:tc>
          <w:tcPr>
            <w:tcW w:w="1167" w:type="pct"/>
            <w:tcBorders>
              <w:tl2br w:val="nil"/>
              <w:tr2bl w:val="nil"/>
            </w:tcBorders>
            <w:vAlign w:val="center"/>
          </w:tcPr>
          <w:p w14:paraId="248CD6DD">
            <w:pPr>
              <w:adjustRightInd/>
              <w:snapToGrid/>
              <w:spacing w:line="240" w:lineRule="auto"/>
              <w:ind w:firstLine="0" w:firstLineChars="0"/>
              <w:jc w:val="center"/>
              <w:rPr>
                <w:rFonts w:cs="宋体"/>
                <w:b/>
                <w:bCs/>
                <w:color w:val="auto"/>
                <w:sz w:val="21"/>
                <w:szCs w:val="21"/>
              </w:rPr>
            </w:pPr>
            <w:r>
              <w:rPr>
                <w:rFonts w:hint="eastAsia" w:cs="宋体"/>
                <w:b/>
                <w:bCs/>
                <w:color w:val="auto"/>
                <w:sz w:val="21"/>
                <w:szCs w:val="21"/>
              </w:rPr>
              <w:t>年使用量（t/a）</w:t>
            </w:r>
          </w:p>
        </w:tc>
        <w:tc>
          <w:tcPr>
            <w:tcW w:w="946" w:type="pct"/>
            <w:tcBorders>
              <w:tl2br w:val="nil"/>
              <w:tr2bl w:val="nil"/>
            </w:tcBorders>
            <w:vAlign w:val="center"/>
          </w:tcPr>
          <w:p w14:paraId="6465E42B">
            <w:pPr>
              <w:adjustRightInd/>
              <w:snapToGrid/>
              <w:spacing w:line="240" w:lineRule="auto"/>
              <w:ind w:firstLine="0" w:firstLineChars="0"/>
              <w:jc w:val="center"/>
              <w:rPr>
                <w:rFonts w:cs="宋体"/>
                <w:b/>
                <w:bCs/>
                <w:color w:val="auto"/>
                <w:sz w:val="21"/>
                <w:szCs w:val="21"/>
              </w:rPr>
            </w:pPr>
            <w:r>
              <w:rPr>
                <w:rFonts w:hint="eastAsia" w:cs="宋体"/>
                <w:b/>
                <w:bCs/>
                <w:color w:val="auto"/>
                <w:sz w:val="21"/>
                <w:szCs w:val="21"/>
              </w:rPr>
              <w:t>最大储存量（t）</w:t>
            </w:r>
          </w:p>
        </w:tc>
        <w:tc>
          <w:tcPr>
            <w:tcW w:w="557" w:type="pct"/>
            <w:tcBorders>
              <w:tl2br w:val="nil"/>
              <w:tr2bl w:val="nil"/>
            </w:tcBorders>
            <w:vAlign w:val="center"/>
          </w:tcPr>
          <w:p w14:paraId="7B025EAA">
            <w:pPr>
              <w:adjustRightInd/>
              <w:snapToGrid/>
              <w:spacing w:line="240" w:lineRule="auto"/>
              <w:ind w:firstLine="0" w:firstLineChars="0"/>
              <w:jc w:val="center"/>
              <w:rPr>
                <w:rFonts w:cs="宋体"/>
                <w:b/>
                <w:bCs/>
                <w:color w:val="auto"/>
                <w:sz w:val="21"/>
                <w:szCs w:val="21"/>
              </w:rPr>
            </w:pPr>
            <w:r>
              <w:rPr>
                <w:rFonts w:hint="eastAsia" w:cs="宋体"/>
                <w:b/>
                <w:bCs/>
                <w:color w:val="auto"/>
                <w:sz w:val="21"/>
                <w:szCs w:val="21"/>
              </w:rPr>
              <w:t>临界量</w:t>
            </w:r>
          </w:p>
        </w:tc>
        <w:tc>
          <w:tcPr>
            <w:tcW w:w="624" w:type="pct"/>
            <w:tcBorders>
              <w:tl2br w:val="nil"/>
              <w:tr2bl w:val="nil"/>
            </w:tcBorders>
            <w:vAlign w:val="center"/>
          </w:tcPr>
          <w:p w14:paraId="5708A159">
            <w:pPr>
              <w:adjustRightInd/>
              <w:snapToGrid/>
              <w:spacing w:line="240" w:lineRule="auto"/>
              <w:ind w:firstLine="0" w:firstLineChars="0"/>
              <w:jc w:val="center"/>
              <w:rPr>
                <w:rFonts w:cs="宋体"/>
                <w:b/>
                <w:bCs/>
                <w:color w:val="auto"/>
                <w:sz w:val="21"/>
                <w:szCs w:val="21"/>
              </w:rPr>
            </w:pPr>
            <w:r>
              <w:rPr>
                <w:rFonts w:hint="eastAsia" w:cs="宋体"/>
                <w:b/>
                <w:bCs/>
                <w:color w:val="auto"/>
                <w:sz w:val="21"/>
                <w:szCs w:val="21"/>
              </w:rPr>
              <w:t>包装规格</w:t>
            </w:r>
          </w:p>
        </w:tc>
        <w:tc>
          <w:tcPr>
            <w:tcW w:w="905" w:type="pct"/>
            <w:tcBorders>
              <w:tl2br w:val="nil"/>
              <w:tr2bl w:val="nil"/>
            </w:tcBorders>
            <w:vAlign w:val="center"/>
          </w:tcPr>
          <w:p w14:paraId="2B97EED4">
            <w:pPr>
              <w:adjustRightInd/>
              <w:snapToGrid/>
              <w:spacing w:line="240" w:lineRule="auto"/>
              <w:ind w:firstLine="0" w:firstLineChars="0"/>
              <w:jc w:val="center"/>
              <w:rPr>
                <w:rFonts w:cs="宋体"/>
                <w:b/>
                <w:bCs/>
                <w:color w:val="auto"/>
                <w:sz w:val="21"/>
                <w:szCs w:val="21"/>
              </w:rPr>
            </w:pPr>
            <w:r>
              <w:rPr>
                <w:rFonts w:hint="eastAsia" w:cs="宋体"/>
                <w:b/>
                <w:bCs/>
                <w:color w:val="auto"/>
                <w:sz w:val="21"/>
                <w:szCs w:val="21"/>
              </w:rPr>
              <w:t>储存地点</w:t>
            </w:r>
          </w:p>
        </w:tc>
      </w:tr>
      <w:tr w14:paraId="260F9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16434A01">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苯胺</w:t>
            </w:r>
          </w:p>
        </w:tc>
        <w:tc>
          <w:tcPr>
            <w:tcW w:w="1167" w:type="pct"/>
            <w:tcBorders>
              <w:tl2br w:val="nil"/>
              <w:tr2bl w:val="nil"/>
            </w:tcBorders>
            <w:vAlign w:val="center"/>
          </w:tcPr>
          <w:p w14:paraId="176F3A47">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3150</w:t>
            </w:r>
          </w:p>
        </w:tc>
        <w:tc>
          <w:tcPr>
            <w:tcW w:w="946" w:type="pct"/>
            <w:tcBorders>
              <w:tl2br w:val="nil"/>
              <w:tr2bl w:val="nil"/>
            </w:tcBorders>
            <w:vAlign w:val="center"/>
          </w:tcPr>
          <w:p w14:paraId="037D64D8">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45</w:t>
            </w:r>
          </w:p>
        </w:tc>
        <w:tc>
          <w:tcPr>
            <w:tcW w:w="557" w:type="pct"/>
            <w:tcBorders>
              <w:tl2br w:val="nil"/>
              <w:tr2bl w:val="nil"/>
            </w:tcBorders>
            <w:vAlign w:val="center"/>
          </w:tcPr>
          <w:p w14:paraId="46AAB4FE">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5</w:t>
            </w:r>
          </w:p>
        </w:tc>
        <w:tc>
          <w:tcPr>
            <w:tcW w:w="624" w:type="pct"/>
            <w:tcBorders>
              <w:tl2br w:val="nil"/>
              <w:tr2bl w:val="nil"/>
            </w:tcBorders>
            <w:vAlign w:val="center"/>
          </w:tcPr>
          <w:p w14:paraId="5DB4776A">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储槽</w:t>
            </w:r>
          </w:p>
        </w:tc>
        <w:tc>
          <w:tcPr>
            <w:tcW w:w="905" w:type="pct"/>
            <w:tcBorders>
              <w:tl2br w:val="nil"/>
              <w:tr2bl w:val="nil"/>
            </w:tcBorders>
            <w:vAlign w:val="center"/>
          </w:tcPr>
          <w:p w14:paraId="1973F9AC">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盐酸苯肼车间东侧</w:t>
            </w:r>
          </w:p>
        </w:tc>
      </w:tr>
      <w:tr w14:paraId="2368D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488444AF">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亚硝酸钠</w:t>
            </w:r>
          </w:p>
        </w:tc>
        <w:tc>
          <w:tcPr>
            <w:tcW w:w="1167" w:type="pct"/>
            <w:tcBorders>
              <w:tl2br w:val="nil"/>
              <w:tr2bl w:val="nil"/>
            </w:tcBorders>
            <w:vAlign w:val="center"/>
          </w:tcPr>
          <w:p w14:paraId="4719AA73">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2745</w:t>
            </w:r>
          </w:p>
        </w:tc>
        <w:tc>
          <w:tcPr>
            <w:tcW w:w="946" w:type="pct"/>
            <w:tcBorders>
              <w:tl2br w:val="nil"/>
              <w:tr2bl w:val="nil"/>
            </w:tcBorders>
            <w:vAlign w:val="center"/>
          </w:tcPr>
          <w:p w14:paraId="0DB2A75E">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150</w:t>
            </w:r>
          </w:p>
        </w:tc>
        <w:tc>
          <w:tcPr>
            <w:tcW w:w="557" w:type="pct"/>
            <w:tcBorders>
              <w:tl2br w:val="nil"/>
              <w:tr2bl w:val="nil"/>
            </w:tcBorders>
            <w:vAlign w:val="center"/>
          </w:tcPr>
          <w:p w14:paraId="27B7ECAB">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100</w:t>
            </w:r>
          </w:p>
        </w:tc>
        <w:tc>
          <w:tcPr>
            <w:tcW w:w="624" w:type="pct"/>
            <w:tcBorders>
              <w:tl2br w:val="nil"/>
              <w:tr2bl w:val="nil"/>
            </w:tcBorders>
            <w:vAlign w:val="center"/>
          </w:tcPr>
          <w:p w14:paraId="72404591">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袋装</w:t>
            </w:r>
          </w:p>
        </w:tc>
        <w:tc>
          <w:tcPr>
            <w:tcW w:w="905" w:type="pct"/>
            <w:tcBorders>
              <w:tl2br w:val="nil"/>
              <w:tr2bl w:val="nil"/>
            </w:tcBorders>
            <w:vAlign w:val="center"/>
          </w:tcPr>
          <w:p w14:paraId="1D1135F4">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乙类仓库</w:t>
            </w:r>
          </w:p>
        </w:tc>
      </w:tr>
      <w:tr w14:paraId="43797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3EB6FB46">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盐酸（31%）</w:t>
            </w:r>
          </w:p>
        </w:tc>
        <w:tc>
          <w:tcPr>
            <w:tcW w:w="1167" w:type="pct"/>
            <w:tcBorders>
              <w:tl2br w:val="nil"/>
              <w:tr2bl w:val="nil"/>
            </w:tcBorders>
            <w:vAlign w:val="center"/>
          </w:tcPr>
          <w:p w14:paraId="109206B5">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19500</w:t>
            </w:r>
          </w:p>
        </w:tc>
        <w:tc>
          <w:tcPr>
            <w:tcW w:w="946" w:type="pct"/>
            <w:tcBorders>
              <w:tl2br w:val="nil"/>
              <w:tr2bl w:val="nil"/>
            </w:tcBorders>
            <w:vAlign w:val="center"/>
          </w:tcPr>
          <w:p w14:paraId="1A1549DF">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335</w:t>
            </w:r>
          </w:p>
        </w:tc>
        <w:tc>
          <w:tcPr>
            <w:tcW w:w="557" w:type="pct"/>
            <w:tcBorders>
              <w:tl2br w:val="nil"/>
              <w:tr2bl w:val="nil"/>
            </w:tcBorders>
            <w:vAlign w:val="center"/>
          </w:tcPr>
          <w:p w14:paraId="1ED436D0">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7.5</w:t>
            </w:r>
          </w:p>
        </w:tc>
        <w:tc>
          <w:tcPr>
            <w:tcW w:w="624" w:type="pct"/>
            <w:tcBorders>
              <w:tl2br w:val="nil"/>
              <w:tr2bl w:val="nil"/>
            </w:tcBorders>
            <w:vAlign w:val="center"/>
          </w:tcPr>
          <w:p w14:paraId="7E4D48D3">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储槽</w:t>
            </w:r>
          </w:p>
        </w:tc>
        <w:tc>
          <w:tcPr>
            <w:tcW w:w="905" w:type="pct"/>
            <w:tcBorders>
              <w:tl2br w:val="nil"/>
              <w:tr2bl w:val="nil"/>
            </w:tcBorders>
            <w:vAlign w:val="center"/>
          </w:tcPr>
          <w:p w14:paraId="3686B13D">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罐区</w:t>
            </w:r>
          </w:p>
        </w:tc>
      </w:tr>
      <w:tr w14:paraId="1E923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68382C2A">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液氨</w:t>
            </w:r>
          </w:p>
        </w:tc>
        <w:tc>
          <w:tcPr>
            <w:tcW w:w="1167" w:type="pct"/>
            <w:tcBorders>
              <w:tl2br w:val="nil"/>
              <w:tr2bl w:val="nil"/>
            </w:tcBorders>
            <w:vAlign w:val="center"/>
          </w:tcPr>
          <w:p w14:paraId="624487C1">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3500</w:t>
            </w:r>
          </w:p>
        </w:tc>
        <w:tc>
          <w:tcPr>
            <w:tcW w:w="946" w:type="pct"/>
            <w:tcBorders>
              <w:tl2br w:val="nil"/>
              <w:tr2bl w:val="nil"/>
            </w:tcBorders>
            <w:vAlign w:val="center"/>
          </w:tcPr>
          <w:p w14:paraId="027ABC27">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18.9952</w:t>
            </w:r>
          </w:p>
        </w:tc>
        <w:tc>
          <w:tcPr>
            <w:tcW w:w="557" w:type="pct"/>
            <w:tcBorders>
              <w:tl2br w:val="nil"/>
              <w:tr2bl w:val="nil"/>
            </w:tcBorders>
            <w:vAlign w:val="center"/>
          </w:tcPr>
          <w:p w14:paraId="28924B24">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5</w:t>
            </w:r>
          </w:p>
        </w:tc>
        <w:tc>
          <w:tcPr>
            <w:tcW w:w="624" w:type="pct"/>
            <w:tcBorders>
              <w:tl2br w:val="nil"/>
              <w:tr2bl w:val="nil"/>
            </w:tcBorders>
            <w:vAlign w:val="center"/>
          </w:tcPr>
          <w:p w14:paraId="14FD15BC">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储槽</w:t>
            </w:r>
          </w:p>
        </w:tc>
        <w:tc>
          <w:tcPr>
            <w:tcW w:w="905" w:type="pct"/>
            <w:tcBorders>
              <w:tl2br w:val="nil"/>
              <w:tr2bl w:val="nil"/>
            </w:tcBorders>
            <w:vAlign w:val="center"/>
          </w:tcPr>
          <w:p w14:paraId="7ED42BB1">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液氨间</w:t>
            </w:r>
          </w:p>
        </w:tc>
      </w:tr>
      <w:tr w14:paraId="645DF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49B21084">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甲酸</w:t>
            </w:r>
          </w:p>
        </w:tc>
        <w:tc>
          <w:tcPr>
            <w:tcW w:w="1167" w:type="pct"/>
            <w:tcBorders>
              <w:tl2br w:val="nil"/>
              <w:tr2bl w:val="nil"/>
            </w:tcBorders>
            <w:vAlign w:val="center"/>
          </w:tcPr>
          <w:p w14:paraId="608FEC54">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1630</w:t>
            </w:r>
          </w:p>
        </w:tc>
        <w:tc>
          <w:tcPr>
            <w:tcW w:w="946" w:type="pct"/>
            <w:tcBorders>
              <w:tl2br w:val="nil"/>
              <w:tr2bl w:val="nil"/>
            </w:tcBorders>
            <w:vAlign w:val="center"/>
          </w:tcPr>
          <w:p w14:paraId="352DCC04">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w:t>
            </w:r>
          </w:p>
        </w:tc>
        <w:tc>
          <w:tcPr>
            <w:tcW w:w="557" w:type="pct"/>
            <w:tcBorders>
              <w:tl2br w:val="nil"/>
              <w:tr2bl w:val="nil"/>
            </w:tcBorders>
            <w:vAlign w:val="center"/>
          </w:tcPr>
          <w:p w14:paraId="32212159">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10</w:t>
            </w:r>
          </w:p>
        </w:tc>
        <w:tc>
          <w:tcPr>
            <w:tcW w:w="624" w:type="pct"/>
            <w:tcBorders>
              <w:tl2br w:val="nil"/>
              <w:tr2bl w:val="nil"/>
            </w:tcBorders>
            <w:vAlign w:val="center"/>
          </w:tcPr>
          <w:p w14:paraId="081281C9">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储槽</w:t>
            </w:r>
          </w:p>
        </w:tc>
        <w:tc>
          <w:tcPr>
            <w:tcW w:w="905" w:type="pct"/>
            <w:tcBorders>
              <w:tl2br w:val="nil"/>
              <w:tr2bl w:val="nil"/>
            </w:tcBorders>
            <w:vAlign w:val="center"/>
          </w:tcPr>
          <w:p w14:paraId="2F094E17">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罐区</w:t>
            </w:r>
          </w:p>
        </w:tc>
      </w:tr>
      <w:tr w14:paraId="16DBB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2E631C89">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硫酸</w:t>
            </w:r>
          </w:p>
        </w:tc>
        <w:tc>
          <w:tcPr>
            <w:tcW w:w="1167" w:type="pct"/>
            <w:tcBorders>
              <w:tl2br w:val="nil"/>
              <w:tr2bl w:val="nil"/>
            </w:tcBorders>
            <w:vAlign w:val="center"/>
          </w:tcPr>
          <w:p w14:paraId="7EE8439E">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500</w:t>
            </w:r>
          </w:p>
        </w:tc>
        <w:tc>
          <w:tcPr>
            <w:tcW w:w="946" w:type="pct"/>
            <w:tcBorders>
              <w:tl2br w:val="nil"/>
              <w:tr2bl w:val="nil"/>
            </w:tcBorders>
            <w:vAlign w:val="center"/>
          </w:tcPr>
          <w:p w14:paraId="756F7F82">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w:t>
            </w:r>
          </w:p>
        </w:tc>
        <w:tc>
          <w:tcPr>
            <w:tcW w:w="557" w:type="pct"/>
            <w:tcBorders>
              <w:tl2br w:val="nil"/>
              <w:tr2bl w:val="nil"/>
            </w:tcBorders>
            <w:vAlign w:val="center"/>
          </w:tcPr>
          <w:p w14:paraId="16177E49">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10</w:t>
            </w:r>
          </w:p>
        </w:tc>
        <w:tc>
          <w:tcPr>
            <w:tcW w:w="624" w:type="pct"/>
            <w:tcBorders>
              <w:tl2br w:val="nil"/>
              <w:tr2bl w:val="nil"/>
            </w:tcBorders>
            <w:vAlign w:val="center"/>
          </w:tcPr>
          <w:p w14:paraId="5DDB1706">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储槽</w:t>
            </w:r>
          </w:p>
        </w:tc>
        <w:tc>
          <w:tcPr>
            <w:tcW w:w="905" w:type="pct"/>
            <w:tcBorders>
              <w:tl2br w:val="nil"/>
              <w:tr2bl w:val="nil"/>
            </w:tcBorders>
            <w:vAlign w:val="center"/>
          </w:tcPr>
          <w:p w14:paraId="6B48A4A5">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罐区</w:t>
            </w:r>
          </w:p>
        </w:tc>
      </w:tr>
      <w:tr w14:paraId="30FC3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0C10E0A4">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硫磺</w:t>
            </w:r>
          </w:p>
        </w:tc>
        <w:tc>
          <w:tcPr>
            <w:tcW w:w="1167" w:type="pct"/>
            <w:tcBorders>
              <w:tl2br w:val="nil"/>
              <w:tr2bl w:val="nil"/>
            </w:tcBorders>
            <w:vAlign w:val="center"/>
          </w:tcPr>
          <w:p w14:paraId="2C4CE9E7">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3330</w:t>
            </w:r>
          </w:p>
        </w:tc>
        <w:tc>
          <w:tcPr>
            <w:tcW w:w="946" w:type="pct"/>
            <w:tcBorders>
              <w:tl2br w:val="nil"/>
              <w:tr2bl w:val="nil"/>
            </w:tcBorders>
            <w:vAlign w:val="center"/>
          </w:tcPr>
          <w:p w14:paraId="1A847AFF">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150</w:t>
            </w:r>
          </w:p>
        </w:tc>
        <w:tc>
          <w:tcPr>
            <w:tcW w:w="557" w:type="pct"/>
            <w:tcBorders>
              <w:tl2br w:val="nil"/>
              <w:tr2bl w:val="nil"/>
            </w:tcBorders>
            <w:vAlign w:val="center"/>
          </w:tcPr>
          <w:p w14:paraId="5DDF4648">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10</w:t>
            </w:r>
          </w:p>
        </w:tc>
        <w:tc>
          <w:tcPr>
            <w:tcW w:w="624" w:type="pct"/>
            <w:tcBorders>
              <w:tl2br w:val="nil"/>
              <w:tr2bl w:val="nil"/>
            </w:tcBorders>
            <w:vAlign w:val="center"/>
          </w:tcPr>
          <w:p w14:paraId="3CC42D19">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储槽</w:t>
            </w:r>
          </w:p>
        </w:tc>
        <w:tc>
          <w:tcPr>
            <w:tcW w:w="905" w:type="pct"/>
            <w:tcBorders>
              <w:tl2br w:val="nil"/>
              <w:tr2bl w:val="nil"/>
            </w:tcBorders>
            <w:vAlign w:val="center"/>
          </w:tcPr>
          <w:p w14:paraId="7210C294">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亚铵车间内地槽</w:t>
            </w:r>
          </w:p>
        </w:tc>
      </w:tr>
      <w:tr w14:paraId="2326C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3A50F409">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氨水（18%）</w:t>
            </w:r>
          </w:p>
        </w:tc>
        <w:tc>
          <w:tcPr>
            <w:tcW w:w="1167" w:type="pct"/>
            <w:tcBorders>
              <w:tl2br w:val="nil"/>
              <w:tr2bl w:val="nil"/>
            </w:tcBorders>
            <w:vAlign w:val="center"/>
          </w:tcPr>
          <w:p w14:paraId="7C2DCDA6">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18000</w:t>
            </w:r>
          </w:p>
        </w:tc>
        <w:tc>
          <w:tcPr>
            <w:tcW w:w="946" w:type="pct"/>
            <w:tcBorders>
              <w:tl2br w:val="nil"/>
              <w:tr2bl w:val="nil"/>
            </w:tcBorders>
            <w:vAlign w:val="center"/>
          </w:tcPr>
          <w:p w14:paraId="28B85D4C">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245</w:t>
            </w:r>
          </w:p>
        </w:tc>
        <w:tc>
          <w:tcPr>
            <w:tcW w:w="557" w:type="pct"/>
            <w:tcBorders>
              <w:tl2br w:val="nil"/>
              <w:tr2bl w:val="nil"/>
            </w:tcBorders>
            <w:vAlign w:val="center"/>
          </w:tcPr>
          <w:p w14:paraId="5C40431A">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100</w:t>
            </w:r>
          </w:p>
        </w:tc>
        <w:tc>
          <w:tcPr>
            <w:tcW w:w="624" w:type="pct"/>
            <w:tcBorders>
              <w:tl2br w:val="nil"/>
              <w:tr2bl w:val="nil"/>
            </w:tcBorders>
            <w:vAlign w:val="center"/>
          </w:tcPr>
          <w:p w14:paraId="04652C0E">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储槽</w:t>
            </w:r>
          </w:p>
        </w:tc>
        <w:tc>
          <w:tcPr>
            <w:tcW w:w="905" w:type="pct"/>
            <w:tcBorders>
              <w:tl2br w:val="nil"/>
              <w:tr2bl w:val="nil"/>
            </w:tcBorders>
            <w:vAlign w:val="center"/>
          </w:tcPr>
          <w:p w14:paraId="2E0D3B49">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罐区</w:t>
            </w:r>
          </w:p>
        </w:tc>
      </w:tr>
      <w:tr w14:paraId="69A6E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099E9893">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盐酸（硫酸）苯肼</w:t>
            </w:r>
          </w:p>
        </w:tc>
        <w:tc>
          <w:tcPr>
            <w:tcW w:w="1167" w:type="pct"/>
            <w:tcBorders>
              <w:tl2br w:val="nil"/>
              <w:tr2bl w:val="nil"/>
            </w:tcBorders>
            <w:vAlign w:val="center"/>
          </w:tcPr>
          <w:p w14:paraId="59C53619">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6000</w:t>
            </w:r>
          </w:p>
        </w:tc>
        <w:tc>
          <w:tcPr>
            <w:tcW w:w="946" w:type="pct"/>
            <w:tcBorders>
              <w:tl2br w:val="nil"/>
              <w:tr2bl w:val="nil"/>
            </w:tcBorders>
            <w:vAlign w:val="center"/>
          </w:tcPr>
          <w:p w14:paraId="5191AAD7">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总200</w:t>
            </w:r>
          </w:p>
        </w:tc>
        <w:tc>
          <w:tcPr>
            <w:tcW w:w="557" w:type="pct"/>
            <w:tcBorders>
              <w:tl2br w:val="nil"/>
              <w:tr2bl w:val="nil"/>
            </w:tcBorders>
            <w:vAlign w:val="center"/>
          </w:tcPr>
          <w:p w14:paraId="002E85CA">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50</w:t>
            </w:r>
          </w:p>
        </w:tc>
        <w:tc>
          <w:tcPr>
            <w:tcW w:w="624" w:type="pct"/>
            <w:tcBorders>
              <w:tl2br w:val="nil"/>
              <w:tr2bl w:val="nil"/>
            </w:tcBorders>
            <w:vAlign w:val="center"/>
          </w:tcPr>
          <w:p w14:paraId="5B7DE2B6">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袋装</w:t>
            </w:r>
          </w:p>
        </w:tc>
        <w:tc>
          <w:tcPr>
            <w:tcW w:w="905" w:type="pct"/>
            <w:tcBorders>
              <w:tl2br w:val="nil"/>
              <w:tr2bl w:val="nil"/>
            </w:tcBorders>
            <w:vAlign w:val="center"/>
          </w:tcPr>
          <w:p w14:paraId="28114EDE">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乙类仓库</w:t>
            </w:r>
          </w:p>
        </w:tc>
      </w:tr>
      <w:tr w14:paraId="632AB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2700C557">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苯肼</w:t>
            </w:r>
          </w:p>
        </w:tc>
        <w:tc>
          <w:tcPr>
            <w:tcW w:w="1167" w:type="pct"/>
            <w:tcBorders>
              <w:tl2br w:val="nil"/>
              <w:tr2bl w:val="nil"/>
            </w:tcBorders>
            <w:vAlign w:val="center"/>
          </w:tcPr>
          <w:p w14:paraId="76B4B955">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1000</w:t>
            </w:r>
          </w:p>
        </w:tc>
        <w:tc>
          <w:tcPr>
            <w:tcW w:w="946" w:type="pct"/>
            <w:tcBorders>
              <w:tl2br w:val="nil"/>
              <w:tr2bl w:val="nil"/>
            </w:tcBorders>
            <w:vAlign w:val="center"/>
          </w:tcPr>
          <w:p w14:paraId="36B47E06">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100</w:t>
            </w:r>
          </w:p>
        </w:tc>
        <w:tc>
          <w:tcPr>
            <w:tcW w:w="557" w:type="pct"/>
            <w:tcBorders>
              <w:tl2br w:val="nil"/>
              <w:tr2bl w:val="nil"/>
            </w:tcBorders>
            <w:vAlign w:val="center"/>
          </w:tcPr>
          <w:p w14:paraId="1324AB9D">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50</w:t>
            </w:r>
          </w:p>
        </w:tc>
        <w:tc>
          <w:tcPr>
            <w:tcW w:w="624" w:type="pct"/>
            <w:tcBorders>
              <w:tl2br w:val="nil"/>
              <w:tr2bl w:val="nil"/>
            </w:tcBorders>
            <w:vAlign w:val="center"/>
          </w:tcPr>
          <w:p w14:paraId="561C6B43">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桶装</w:t>
            </w:r>
          </w:p>
        </w:tc>
        <w:tc>
          <w:tcPr>
            <w:tcW w:w="905" w:type="pct"/>
            <w:tcBorders>
              <w:tl2br w:val="nil"/>
              <w:tr2bl w:val="nil"/>
            </w:tcBorders>
            <w:vAlign w:val="center"/>
          </w:tcPr>
          <w:p w14:paraId="7A5E0EDF">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乙类仓库</w:t>
            </w:r>
          </w:p>
        </w:tc>
      </w:tr>
      <w:tr w14:paraId="78156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3F6BF01A">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二氧化硫</w:t>
            </w:r>
          </w:p>
        </w:tc>
        <w:tc>
          <w:tcPr>
            <w:tcW w:w="1167" w:type="pct"/>
            <w:tcBorders>
              <w:tl2br w:val="nil"/>
              <w:tr2bl w:val="nil"/>
            </w:tcBorders>
            <w:vAlign w:val="center"/>
          </w:tcPr>
          <w:p w14:paraId="06BB7701">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w:t>
            </w:r>
          </w:p>
        </w:tc>
        <w:tc>
          <w:tcPr>
            <w:tcW w:w="946" w:type="pct"/>
            <w:tcBorders>
              <w:tl2br w:val="nil"/>
              <w:tr2bl w:val="nil"/>
            </w:tcBorders>
            <w:vAlign w:val="center"/>
          </w:tcPr>
          <w:p w14:paraId="200CEEC7">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w:t>
            </w:r>
          </w:p>
        </w:tc>
        <w:tc>
          <w:tcPr>
            <w:tcW w:w="557" w:type="pct"/>
            <w:tcBorders>
              <w:tl2br w:val="nil"/>
              <w:tr2bl w:val="nil"/>
            </w:tcBorders>
            <w:vAlign w:val="center"/>
          </w:tcPr>
          <w:p w14:paraId="76153CC1">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2.5</w:t>
            </w:r>
          </w:p>
        </w:tc>
        <w:tc>
          <w:tcPr>
            <w:tcW w:w="624" w:type="pct"/>
            <w:tcBorders>
              <w:tl2br w:val="nil"/>
              <w:tr2bl w:val="nil"/>
            </w:tcBorders>
            <w:vAlign w:val="center"/>
          </w:tcPr>
          <w:p w14:paraId="3C26BE78">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w:t>
            </w:r>
          </w:p>
        </w:tc>
        <w:tc>
          <w:tcPr>
            <w:tcW w:w="905" w:type="pct"/>
            <w:tcBorders>
              <w:tl2br w:val="nil"/>
              <w:tr2bl w:val="nil"/>
            </w:tcBorders>
            <w:vAlign w:val="center"/>
          </w:tcPr>
          <w:p w14:paraId="55D0AA37">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焚硫炉（中间产物）</w:t>
            </w:r>
          </w:p>
        </w:tc>
      </w:tr>
      <w:tr w14:paraId="59827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7A0B83CA">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柴油</w:t>
            </w:r>
          </w:p>
        </w:tc>
        <w:tc>
          <w:tcPr>
            <w:tcW w:w="1167" w:type="pct"/>
            <w:tcBorders>
              <w:tl2br w:val="nil"/>
              <w:tr2bl w:val="nil"/>
            </w:tcBorders>
            <w:vAlign w:val="center"/>
          </w:tcPr>
          <w:p w14:paraId="59EDC162">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w:t>
            </w:r>
          </w:p>
        </w:tc>
        <w:tc>
          <w:tcPr>
            <w:tcW w:w="946" w:type="pct"/>
            <w:tcBorders>
              <w:tl2br w:val="nil"/>
              <w:tr2bl w:val="nil"/>
            </w:tcBorders>
            <w:vAlign w:val="center"/>
          </w:tcPr>
          <w:p w14:paraId="6411503B">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10</w:t>
            </w:r>
          </w:p>
        </w:tc>
        <w:tc>
          <w:tcPr>
            <w:tcW w:w="557" w:type="pct"/>
            <w:tcBorders>
              <w:tl2br w:val="nil"/>
              <w:tr2bl w:val="nil"/>
            </w:tcBorders>
            <w:vAlign w:val="center"/>
          </w:tcPr>
          <w:p w14:paraId="27DAE3C0">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2500</w:t>
            </w:r>
          </w:p>
        </w:tc>
        <w:tc>
          <w:tcPr>
            <w:tcW w:w="624" w:type="pct"/>
            <w:tcBorders>
              <w:tl2br w:val="nil"/>
              <w:tr2bl w:val="nil"/>
            </w:tcBorders>
            <w:vAlign w:val="center"/>
          </w:tcPr>
          <w:p w14:paraId="730659B9">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储罐</w:t>
            </w:r>
          </w:p>
        </w:tc>
        <w:tc>
          <w:tcPr>
            <w:tcW w:w="905" w:type="pct"/>
            <w:tcBorders>
              <w:tl2br w:val="nil"/>
              <w:tr2bl w:val="nil"/>
            </w:tcBorders>
            <w:vAlign w:val="center"/>
          </w:tcPr>
          <w:p w14:paraId="731BE250">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亚铵车间</w:t>
            </w:r>
          </w:p>
        </w:tc>
      </w:tr>
      <w:tr w14:paraId="5BB23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pct"/>
            <w:tcBorders>
              <w:tl2br w:val="nil"/>
              <w:tr2bl w:val="nil"/>
            </w:tcBorders>
            <w:vAlign w:val="center"/>
          </w:tcPr>
          <w:p w14:paraId="44C1EDBF">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有机废水</w:t>
            </w:r>
          </w:p>
        </w:tc>
        <w:tc>
          <w:tcPr>
            <w:tcW w:w="1167" w:type="pct"/>
            <w:tcBorders>
              <w:tl2br w:val="nil"/>
              <w:tr2bl w:val="nil"/>
            </w:tcBorders>
            <w:vAlign w:val="center"/>
          </w:tcPr>
          <w:p w14:paraId="7A22339E">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78000</w:t>
            </w:r>
          </w:p>
        </w:tc>
        <w:tc>
          <w:tcPr>
            <w:tcW w:w="946" w:type="pct"/>
            <w:tcBorders>
              <w:tl2br w:val="nil"/>
              <w:tr2bl w:val="nil"/>
            </w:tcBorders>
            <w:vAlign w:val="center"/>
          </w:tcPr>
          <w:p w14:paraId="5E375F4C">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50</w:t>
            </w:r>
          </w:p>
        </w:tc>
        <w:tc>
          <w:tcPr>
            <w:tcW w:w="557" w:type="pct"/>
            <w:tcBorders>
              <w:tl2br w:val="nil"/>
              <w:tr2bl w:val="nil"/>
            </w:tcBorders>
            <w:vAlign w:val="center"/>
          </w:tcPr>
          <w:p w14:paraId="71629E4A">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10</w:t>
            </w:r>
          </w:p>
        </w:tc>
        <w:tc>
          <w:tcPr>
            <w:tcW w:w="624" w:type="pct"/>
            <w:tcBorders>
              <w:tl2br w:val="nil"/>
              <w:tr2bl w:val="nil"/>
            </w:tcBorders>
            <w:vAlign w:val="center"/>
          </w:tcPr>
          <w:p w14:paraId="788974E1">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地池</w:t>
            </w:r>
          </w:p>
        </w:tc>
        <w:tc>
          <w:tcPr>
            <w:tcW w:w="905" w:type="pct"/>
            <w:tcBorders>
              <w:tl2br w:val="nil"/>
              <w:tr2bl w:val="nil"/>
            </w:tcBorders>
            <w:vAlign w:val="center"/>
          </w:tcPr>
          <w:p w14:paraId="144635D0">
            <w:pPr>
              <w:adjustRightInd/>
              <w:snapToGrid/>
              <w:spacing w:line="240" w:lineRule="auto"/>
              <w:ind w:firstLine="0" w:firstLineChars="0"/>
              <w:jc w:val="center"/>
              <w:rPr>
                <w:rFonts w:cs="宋体"/>
                <w:color w:val="auto"/>
                <w:kern w:val="0"/>
                <w:sz w:val="21"/>
                <w:szCs w:val="21"/>
              </w:rPr>
            </w:pPr>
            <w:r>
              <w:rPr>
                <w:rFonts w:hint="eastAsia" w:cs="宋体"/>
                <w:color w:val="auto"/>
                <w:kern w:val="0"/>
                <w:sz w:val="21"/>
                <w:szCs w:val="21"/>
              </w:rPr>
              <w:t>环保车间</w:t>
            </w:r>
          </w:p>
        </w:tc>
      </w:tr>
    </w:tbl>
    <w:p w14:paraId="1C617FF2">
      <w:pPr>
        <w:pStyle w:val="4"/>
        <w:rPr>
          <w:color w:val="auto"/>
        </w:rPr>
      </w:pPr>
      <w:bookmarkStart w:id="108" w:name="_Toc25841"/>
      <w:r>
        <w:rPr>
          <w:rFonts w:hint="eastAsia"/>
          <w:color w:val="auto"/>
        </w:rPr>
        <w:t>3.6.2现有项目环境风险防范及应急措施</w:t>
      </w:r>
      <w:bookmarkEnd w:id="108"/>
    </w:p>
    <w:p w14:paraId="0A64946A">
      <w:pPr>
        <w:spacing w:line="460" w:lineRule="exact"/>
        <w:ind w:firstLine="480"/>
        <w:rPr>
          <w:color w:val="auto"/>
        </w:rPr>
      </w:pPr>
      <w:bookmarkStart w:id="109" w:name="_Hlk53366674"/>
      <w:r>
        <w:rPr>
          <w:rFonts w:hint="eastAsia"/>
          <w:color w:val="auto"/>
        </w:rPr>
        <w:t>企业至今未发生过环境风险事故，现有环境风险防范措施有效。</w:t>
      </w:r>
      <w:bookmarkEnd w:id="109"/>
      <w:r>
        <w:rPr>
          <w:rFonts w:hint="eastAsia"/>
          <w:color w:val="auto"/>
        </w:rPr>
        <w:t>现有已建项目采用的环境风险防范措施详见下表。</w:t>
      </w:r>
    </w:p>
    <w:p w14:paraId="39837AD0">
      <w:pPr>
        <w:autoSpaceDE w:val="0"/>
        <w:autoSpaceDN w:val="0"/>
        <w:ind w:firstLine="482"/>
        <w:jc w:val="center"/>
        <w:rPr>
          <w:b/>
          <w:bCs/>
          <w:color w:val="auto"/>
        </w:rPr>
      </w:pPr>
      <w:r>
        <w:rPr>
          <w:rFonts w:hint="eastAsia"/>
          <w:b/>
          <w:bCs/>
          <w:color w:val="auto"/>
        </w:rPr>
        <w:t>表</w:t>
      </w:r>
      <w:r>
        <w:rPr>
          <w:b/>
          <w:bCs/>
          <w:color w:val="auto"/>
        </w:rPr>
        <w:t>3.</w:t>
      </w:r>
      <w:r>
        <w:rPr>
          <w:rFonts w:hint="eastAsia"/>
          <w:b/>
          <w:bCs/>
          <w:color w:val="auto"/>
        </w:rPr>
        <w:t xml:space="preserve">6-2 </w:t>
      </w:r>
      <w:r>
        <w:rPr>
          <w:b/>
          <w:bCs/>
          <w:color w:val="auto"/>
        </w:rPr>
        <w:t xml:space="preserve"> </w:t>
      </w:r>
      <w:r>
        <w:rPr>
          <w:rFonts w:hint="eastAsia"/>
          <w:b/>
          <w:bCs/>
          <w:color w:val="auto"/>
        </w:rPr>
        <w:t>现有项目采取的主要环境风险防控措施一览表</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775"/>
        <w:gridCol w:w="660"/>
        <w:gridCol w:w="1138"/>
        <w:gridCol w:w="7281"/>
      </w:tblGrid>
      <w:tr w14:paraId="0AFC579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393" w:type="pct"/>
            <w:tcBorders>
              <w:tl2br w:val="nil"/>
              <w:tr2bl w:val="nil"/>
            </w:tcBorders>
            <w:vAlign w:val="center"/>
          </w:tcPr>
          <w:p w14:paraId="040B4B31">
            <w:pPr>
              <w:widowControl/>
              <w:kinsoku w:val="0"/>
              <w:autoSpaceDE w:val="0"/>
              <w:autoSpaceDN w:val="0"/>
              <w:spacing w:line="240" w:lineRule="auto"/>
              <w:ind w:firstLine="0" w:firstLineChars="0"/>
              <w:jc w:val="center"/>
              <w:textAlignment w:val="baseline"/>
              <w:rPr>
                <w:b/>
                <w:color w:val="auto"/>
                <w:sz w:val="21"/>
                <w:szCs w:val="21"/>
              </w:rPr>
            </w:pPr>
            <w:r>
              <w:rPr>
                <w:b/>
                <w:color w:val="auto"/>
                <w:sz w:val="21"/>
                <w:szCs w:val="21"/>
              </w:rPr>
              <w:t>序号</w:t>
            </w:r>
          </w:p>
        </w:tc>
        <w:tc>
          <w:tcPr>
            <w:tcW w:w="912" w:type="pct"/>
            <w:gridSpan w:val="2"/>
            <w:tcBorders>
              <w:tl2br w:val="nil"/>
              <w:tr2bl w:val="nil"/>
            </w:tcBorders>
            <w:vAlign w:val="center"/>
          </w:tcPr>
          <w:p w14:paraId="4050512C">
            <w:pPr>
              <w:widowControl/>
              <w:kinsoku w:val="0"/>
              <w:autoSpaceDE w:val="0"/>
              <w:autoSpaceDN w:val="0"/>
              <w:spacing w:line="240" w:lineRule="auto"/>
              <w:ind w:firstLine="0" w:firstLineChars="0"/>
              <w:jc w:val="center"/>
              <w:textAlignment w:val="baseline"/>
              <w:rPr>
                <w:b/>
                <w:color w:val="auto"/>
                <w:spacing w:val="8"/>
                <w:kern w:val="0"/>
                <w:sz w:val="21"/>
                <w:szCs w:val="21"/>
              </w:rPr>
            </w:pPr>
            <w:r>
              <w:rPr>
                <w:b/>
                <w:color w:val="auto"/>
                <w:spacing w:val="8"/>
                <w:kern w:val="0"/>
                <w:sz w:val="21"/>
                <w:szCs w:val="21"/>
              </w:rPr>
              <w:t>风险单元</w:t>
            </w:r>
          </w:p>
        </w:tc>
        <w:tc>
          <w:tcPr>
            <w:tcW w:w="3693" w:type="pct"/>
            <w:tcBorders>
              <w:tl2br w:val="nil"/>
              <w:tr2bl w:val="nil"/>
            </w:tcBorders>
            <w:vAlign w:val="center"/>
          </w:tcPr>
          <w:p w14:paraId="6446CB91">
            <w:pPr>
              <w:widowControl/>
              <w:kinsoku w:val="0"/>
              <w:autoSpaceDE w:val="0"/>
              <w:autoSpaceDN w:val="0"/>
              <w:spacing w:line="240" w:lineRule="auto"/>
              <w:ind w:firstLine="0" w:firstLineChars="0"/>
              <w:jc w:val="center"/>
              <w:textAlignment w:val="baseline"/>
              <w:rPr>
                <w:b/>
                <w:color w:val="auto"/>
                <w:spacing w:val="8"/>
                <w:kern w:val="0"/>
                <w:sz w:val="21"/>
                <w:szCs w:val="21"/>
              </w:rPr>
            </w:pPr>
            <w:r>
              <w:rPr>
                <w:b/>
                <w:color w:val="auto"/>
                <w:spacing w:val="-2"/>
                <w:kern w:val="0"/>
                <w:sz w:val="21"/>
                <w:szCs w:val="21"/>
              </w:rPr>
              <w:t>现有风险防控与应急措施</w:t>
            </w:r>
          </w:p>
        </w:tc>
      </w:tr>
      <w:tr w14:paraId="165C07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393" w:type="pct"/>
            <w:tcBorders>
              <w:tl2br w:val="nil"/>
              <w:tr2bl w:val="nil"/>
            </w:tcBorders>
            <w:vAlign w:val="center"/>
          </w:tcPr>
          <w:p w14:paraId="0DB7F9A5">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w:t>
            </w:r>
          </w:p>
        </w:tc>
        <w:tc>
          <w:tcPr>
            <w:tcW w:w="912" w:type="pct"/>
            <w:gridSpan w:val="2"/>
            <w:tcBorders>
              <w:tl2br w:val="nil"/>
              <w:tr2bl w:val="nil"/>
            </w:tcBorders>
            <w:vAlign w:val="center"/>
          </w:tcPr>
          <w:p w14:paraId="65F0E99C">
            <w:pPr>
              <w:widowControl/>
              <w:kinsoku w:val="0"/>
              <w:autoSpaceDE w:val="0"/>
              <w:autoSpaceDN w:val="0"/>
              <w:spacing w:line="240" w:lineRule="auto"/>
              <w:ind w:firstLine="0" w:firstLineChars="0"/>
              <w:jc w:val="center"/>
              <w:textAlignment w:val="baseline"/>
              <w:rPr>
                <w:color w:val="auto"/>
                <w:spacing w:val="8"/>
                <w:kern w:val="0"/>
                <w:sz w:val="21"/>
                <w:szCs w:val="21"/>
                <w:lang w:eastAsia="en-US"/>
              </w:rPr>
            </w:pPr>
            <w:r>
              <w:rPr>
                <w:color w:val="auto"/>
                <w:spacing w:val="-8"/>
                <w:kern w:val="0"/>
                <w:sz w:val="21"/>
                <w:szCs w:val="21"/>
                <w:lang w:eastAsia="en-US"/>
              </w:rPr>
              <w:t>生产装置</w:t>
            </w:r>
          </w:p>
        </w:tc>
        <w:tc>
          <w:tcPr>
            <w:tcW w:w="3693" w:type="pct"/>
            <w:tcBorders>
              <w:tl2br w:val="nil"/>
              <w:tr2bl w:val="nil"/>
            </w:tcBorders>
            <w:vAlign w:val="center"/>
          </w:tcPr>
          <w:p w14:paraId="663EE820">
            <w:pPr>
              <w:widowControl/>
              <w:kinsoku w:val="0"/>
              <w:autoSpaceDE w:val="0"/>
              <w:autoSpaceDN w:val="0"/>
              <w:spacing w:line="240" w:lineRule="auto"/>
              <w:ind w:firstLine="0" w:firstLineChars="0"/>
              <w:jc w:val="center"/>
              <w:textAlignment w:val="baseline"/>
              <w:rPr>
                <w:color w:val="auto"/>
                <w:spacing w:val="8"/>
                <w:kern w:val="0"/>
                <w:sz w:val="21"/>
                <w:szCs w:val="21"/>
              </w:rPr>
            </w:pPr>
            <w:r>
              <w:rPr>
                <w:color w:val="auto"/>
                <w:spacing w:val="-13"/>
                <w:kern w:val="0"/>
                <w:sz w:val="21"/>
                <w:szCs w:val="21"/>
              </w:rPr>
              <w:t>1、项目生产车间均已严格按工艺规程操作，</w:t>
            </w:r>
            <w:r>
              <w:rPr>
                <w:color w:val="auto"/>
                <w:spacing w:val="-5"/>
                <w:kern w:val="0"/>
                <w:sz w:val="21"/>
                <w:szCs w:val="21"/>
              </w:rPr>
              <w:t>加强管理，较少废气无组织排放。</w:t>
            </w:r>
            <w:r>
              <w:rPr>
                <w:color w:val="auto"/>
                <w:spacing w:val="-9"/>
                <w:kern w:val="0"/>
                <w:sz w:val="21"/>
                <w:szCs w:val="21"/>
              </w:rPr>
              <w:t>2、设置多个直通室外的出口，出口装有疏</w:t>
            </w:r>
            <w:r>
              <w:rPr>
                <w:color w:val="auto"/>
                <w:spacing w:val="-4"/>
                <w:kern w:val="0"/>
                <w:sz w:val="21"/>
                <w:szCs w:val="21"/>
              </w:rPr>
              <w:t>散标志。3、生产车间安装有视频监控。4、定期巡检、定期维护。</w:t>
            </w:r>
            <w:r>
              <w:rPr>
                <w:color w:val="auto"/>
                <w:spacing w:val="-5"/>
                <w:kern w:val="0"/>
                <w:sz w:val="21"/>
                <w:szCs w:val="21"/>
              </w:rPr>
              <w:t>5、设有环氧地坪，可防止液体物料外泄，</w:t>
            </w:r>
            <w:r>
              <w:rPr>
                <w:color w:val="auto"/>
                <w:spacing w:val="-2"/>
                <w:kern w:val="0"/>
                <w:sz w:val="21"/>
                <w:szCs w:val="21"/>
              </w:rPr>
              <w:t>并设有有毒气体报警装置。</w:t>
            </w:r>
            <w:r>
              <w:rPr>
                <w:rFonts w:hint="eastAsia"/>
                <w:color w:val="auto"/>
                <w:spacing w:val="-2"/>
                <w:kern w:val="0"/>
                <w:sz w:val="21"/>
                <w:szCs w:val="21"/>
              </w:rPr>
              <w:t>6、生产设备、物料管线、蒸汽管线等处安装压力表。6、设有现场温度显示装置，关键设备工艺温度远传至PLC控制室集中显示、记录，设置超温报警，其他涉及重点监管化学品生产装置设置超温报警。</w:t>
            </w:r>
          </w:p>
        </w:tc>
      </w:tr>
      <w:tr w14:paraId="0AF29DC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393" w:type="pct"/>
            <w:vMerge w:val="restart"/>
            <w:tcBorders>
              <w:tl2br w:val="nil"/>
              <w:tr2bl w:val="nil"/>
            </w:tcBorders>
            <w:vAlign w:val="center"/>
          </w:tcPr>
          <w:p w14:paraId="63945327">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2</w:t>
            </w:r>
          </w:p>
        </w:tc>
        <w:tc>
          <w:tcPr>
            <w:tcW w:w="335" w:type="pct"/>
            <w:vMerge w:val="restart"/>
            <w:tcBorders>
              <w:tl2br w:val="nil"/>
              <w:tr2bl w:val="nil"/>
            </w:tcBorders>
            <w:textDirection w:val="tbRlV"/>
            <w:vAlign w:val="center"/>
          </w:tcPr>
          <w:p w14:paraId="4C46F87A">
            <w:pPr>
              <w:widowControl/>
              <w:kinsoku w:val="0"/>
              <w:autoSpaceDE w:val="0"/>
              <w:autoSpaceDN w:val="0"/>
              <w:spacing w:line="240" w:lineRule="auto"/>
              <w:ind w:firstLine="0" w:firstLineChars="0"/>
              <w:jc w:val="center"/>
              <w:textAlignment w:val="baseline"/>
              <w:rPr>
                <w:color w:val="auto"/>
                <w:spacing w:val="8"/>
                <w:kern w:val="0"/>
                <w:sz w:val="21"/>
                <w:szCs w:val="21"/>
                <w:lang w:eastAsia="en-US"/>
              </w:rPr>
            </w:pPr>
            <w:r>
              <w:rPr>
                <w:color w:val="auto"/>
                <w:spacing w:val="54"/>
                <w:kern w:val="0"/>
                <w:sz w:val="21"/>
                <w:szCs w:val="21"/>
                <w:lang w:eastAsia="en-US"/>
              </w:rPr>
              <w:t>储运系统</w:t>
            </w:r>
          </w:p>
        </w:tc>
        <w:tc>
          <w:tcPr>
            <w:tcW w:w="577" w:type="pct"/>
            <w:tcBorders>
              <w:tl2br w:val="nil"/>
              <w:tr2bl w:val="nil"/>
            </w:tcBorders>
            <w:vAlign w:val="center"/>
          </w:tcPr>
          <w:p w14:paraId="59B73D15">
            <w:pPr>
              <w:widowControl/>
              <w:kinsoku w:val="0"/>
              <w:autoSpaceDE w:val="0"/>
              <w:autoSpaceDN w:val="0"/>
              <w:spacing w:line="240" w:lineRule="auto"/>
              <w:ind w:firstLine="0" w:firstLineChars="0"/>
              <w:jc w:val="center"/>
              <w:textAlignment w:val="baseline"/>
              <w:rPr>
                <w:color w:val="auto"/>
                <w:spacing w:val="8"/>
                <w:kern w:val="0"/>
                <w:sz w:val="21"/>
                <w:szCs w:val="21"/>
                <w:lang w:eastAsia="en-US"/>
              </w:rPr>
            </w:pPr>
            <w:r>
              <w:rPr>
                <w:color w:val="auto"/>
                <w:spacing w:val="-11"/>
                <w:kern w:val="0"/>
                <w:sz w:val="21"/>
                <w:szCs w:val="21"/>
                <w:lang w:eastAsia="en-US"/>
              </w:rPr>
              <w:t>仓库</w:t>
            </w:r>
          </w:p>
        </w:tc>
        <w:tc>
          <w:tcPr>
            <w:tcW w:w="3693" w:type="pct"/>
            <w:tcBorders>
              <w:tl2br w:val="nil"/>
              <w:tr2bl w:val="nil"/>
            </w:tcBorders>
            <w:vAlign w:val="center"/>
          </w:tcPr>
          <w:p w14:paraId="65AF2385">
            <w:pPr>
              <w:widowControl/>
              <w:kinsoku w:val="0"/>
              <w:autoSpaceDE w:val="0"/>
              <w:autoSpaceDN w:val="0"/>
              <w:spacing w:line="240" w:lineRule="auto"/>
              <w:ind w:firstLine="0" w:firstLineChars="0"/>
              <w:jc w:val="center"/>
              <w:textAlignment w:val="baseline"/>
              <w:rPr>
                <w:color w:val="auto"/>
                <w:spacing w:val="8"/>
                <w:kern w:val="0"/>
                <w:sz w:val="21"/>
                <w:szCs w:val="21"/>
              </w:rPr>
            </w:pPr>
            <w:r>
              <w:rPr>
                <w:color w:val="auto"/>
                <w:spacing w:val="-8"/>
                <w:kern w:val="0"/>
                <w:sz w:val="21"/>
                <w:szCs w:val="21"/>
              </w:rPr>
              <w:t>1、配备灭火器。</w:t>
            </w:r>
            <w:r>
              <w:rPr>
                <w:color w:val="auto"/>
                <w:spacing w:val="-3"/>
                <w:kern w:val="0"/>
                <w:sz w:val="21"/>
                <w:szCs w:val="21"/>
              </w:rPr>
              <w:t>2、配备泄漏应急处理设备和合适的收容器</w:t>
            </w:r>
            <w:r>
              <w:rPr>
                <w:color w:val="auto"/>
                <w:spacing w:val="-8"/>
                <w:kern w:val="0"/>
                <w:sz w:val="21"/>
                <w:szCs w:val="21"/>
              </w:rPr>
              <w:t>材。</w:t>
            </w:r>
            <w:r>
              <w:rPr>
                <w:color w:val="auto"/>
                <w:spacing w:val="-4"/>
                <w:kern w:val="0"/>
                <w:sz w:val="21"/>
                <w:szCs w:val="21"/>
              </w:rPr>
              <w:t>3、设有严禁烟火标志。</w:t>
            </w:r>
            <w:r>
              <w:rPr>
                <w:rFonts w:hint="eastAsia"/>
                <w:color w:val="auto"/>
                <w:spacing w:val="-4"/>
                <w:kern w:val="0"/>
                <w:sz w:val="21"/>
                <w:szCs w:val="21"/>
              </w:rPr>
              <w:t>4、在满足正常生产前提下，减少危险品储存量和储存周期。5、对储存危险化学品的容器，经有关检验部门定期检验合格后，才能使用，并设置明显的标识及警示牌；对使用危险化学品的名称、数量进行严格登记。6、厂内乙类仓库和建筑已通过消防、安全验收，配备专业技术人员负责管理，同时配备必要的个人防护用品。库内物质分类存放，易燃物与毒害物分隔存放，有不同的消防措施。7、库内地表铺设防渗及防扩散的材料，仓库四周设收集地沟。8、危险化学品储存在阴凉、通风的地方，密封包装；采用防爆型照明、通风系统；甲类仓库设置可燃气体报警装置。</w:t>
            </w:r>
          </w:p>
        </w:tc>
      </w:tr>
      <w:tr w14:paraId="55CDF1C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189C9E50">
            <w:pPr>
              <w:widowControl/>
              <w:kinsoku w:val="0"/>
              <w:autoSpaceDE w:val="0"/>
              <w:autoSpaceDN w:val="0"/>
              <w:spacing w:line="240" w:lineRule="auto"/>
              <w:ind w:firstLine="0" w:firstLineChars="0"/>
              <w:jc w:val="center"/>
              <w:textAlignment w:val="baseline"/>
              <w:rPr>
                <w:color w:val="auto"/>
                <w:sz w:val="21"/>
                <w:szCs w:val="21"/>
              </w:rPr>
            </w:pPr>
          </w:p>
        </w:tc>
        <w:tc>
          <w:tcPr>
            <w:tcW w:w="335" w:type="pct"/>
            <w:vMerge w:val="continue"/>
            <w:tcBorders>
              <w:tl2br w:val="nil"/>
              <w:tr2bl w:val="nil"/>
            </w:tcBorders>
            <w:textDirection w:val="tbRlV"/>
            <w:vAlign w:val="center"/>
          </w:tcPr>
          <w:p w14:paraId="4B721890">
            <w:pPr>
              <w:widowControl/>
              <w:kinsoku w:val="0"/>
              <w:autoSpaceDE w:val="0"/>
              <w:autoSpaceDN w:val="0"/>
              <w:spacing w:line="240" w:lineRule="auto"/>
              <w:ind w:firstLine="0" w:firstLineChars="0"/>
              <w:jc w:val="center"/>
              <w:textAlignment w:val="baseline"/>
              <w:rPr>
                <w:color w:val="auto"/>
                <w:sz w:val="21"/>
                <w:szCs w:val="21"/>
              </w:rPr>
            </w:pPr>
          </w:p>
        </w:tc>
        <w:tc>
          <w:tcPr>
            <w:tcW w:w="577" w:type="pct"/>
            <w:tcBorders>
              <w:tl2br w:val="nil"/>
              <w:tr2bl w:val="nil"/>
            </w:tcBorders>
            <w:vAlign w:val="center"/>
          </w:tcPr>
          <w:p w14:paraId="73251A4F">
            <w:pPr>
              <w:widowControl/>
              <w:kinsoku w:val="0"/>
              <w:autoSpaceDE w:val="0"/>
              <w:autoSpaceDN w:val="0"/>
              <w:spacing w:line="240" w:lineRule="auto"/>
              <w:ind w:firstLine="0" w:firstLineChars="0"/>
              <w:jc w:val="center"/>
              <w:textAlignment w:val="baseline"/>
              <w:rPr>
                <w:color w:val="auto"/>
                <w:spacing w:val="8"/>
                <w:kern w:val="0"/>
                <w:sz w:val="21"/>
                <w:szCs w:val="21"/>
                <w:lang w:eastAsia="en-US"/>
              </w:rPr>
            </w:pPr>
            <w:r>
              <w:rPr>
                <w:color w:val="auto"/>
                <w:spacing w:val="-6"/>
                <w:kern w:val="0"/>
                <w:sz w:val="21"/>
                <w:szCs w:val="21"/>
                <w:lang w:eastAsia="en-US"/>
              </w:rPr>
              <w:t>储罐区</w:t>
            </w:r>
          </w:p>
        </w:tc>
        <w:tc>
          <w:tcPr>
            <w:tcW w:w="3693" w:type="pct"/>
            <w:tcBorders>
              <w:tl2br w:val="nil"/>
              <w:tr2bl w:val="nil"/>
            </w:tcBorders>
            <w:vAlign w:val="center"/>
          </w:tcPr>
          <w:p w14:paraId="716F4C45">
            <w:pPr>
              <w:widowControl/>
              <w:kinsoku w:val="0"/>
              <w:autoSpaceDE w:val="0"/>
              <w:autoSpaceDN w:val="0"/>
              <w:spacing w:line="240" w:lineRule="auto"/>
              <w:ind w:firstLine="0" w:firstLineChars="0"/>
              <w:jc w:val="center"/>
              <w:textAlignment w:val="baseline"/>
              <w:rPr>
                <w:color w:val="auto"/>
                <w:spacing w:val="8"/>
                <w:kern w:val="0"/>
                <w:sz w:val="21"/>
                <w:szCs w:val="21"/>
                <w:lang w:eastAsia="en-US"/>
              </w:rPr>
            </w:pPr>
            <w:r>
              <w:rPr>
                <w:color w:val="auto"/>
                <w:spacing w:val="-4"/>
                <w:kern w:val="0"/>
                <w:sz w:val="21"/>
                <w:szCs w:val="21"/>
              </w:rPr>
              <w:t>1、储罐区设有围堰，并设有排水切换阀。</w:t>
            </w:r>
            <w:r>
              <w:rPr>
                <w:color w:val="auto"/>
                <w:spacing w:val="-3"/>
                <w:kern w:val="0"/>
                <w:sz w:val="21"/>
                <w:szCs w:val="21"/>
              </w:rPr>
              <w:t>2、储罐区储罐均安装有液位计。3、储罐区设有应急处理设备和合适的收容</w:t>
            </w:r>
            <w:r>
              <w:rPr>
                <w:color w:val="auto"/>
                <w:spacing w:val="-6"/>
                <w:kern w:val="0"/>
                <w:sz w:val="21"/>
                <w:szCs w:val="21"/>
              </w:rPr>
              <w:t>器材。</w:t>
            </w:r>
            <w:r>
              <w:rPr>
                <w:color w:val="auto"/>
                <w:spacing w:val="-4"/>
                <w:kern w:val="0"/>
                <w:sz w:val="21"/>
                <w:szCs w:val="21"/>
              </w:rPr>
              <w:t>4、定期巡检、定期维护。</w:t>
            </w:r>
            <w:r>
              <w:rPr>
                <w:color w:val="auto"/>
                <w:spacing w:val="-5"/>
                <w:kern w:val="0"/>
                <w:sz w:val="21"/>
                <w:szCs w:val="21"/>
                <w:lang w:eastAsia="en-US"/>
              </w:rPr>
              <w:t>5、设有毒气报警装置。</w:t>
            </w:r>
          </w:p>
        </w:tc>
      </w:tr>
      <w:tr w14:paraId="483954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58C0F266">
            <w:pPr>
              <w:widowControl/>
              <w:kinsoku w:val="0"/>
              <w:autoSpaceDE w:val="0"/>
              <w:autoSpaceDN w:val="0"/>
              <w:spacing w:line="240" w:lineRule="auto"/>
              <w:ind w:firstLine="0" w:firstLineChars="0"/>
              <w:jc w:val="center"/>
              <w:textAlignment w:val="baseline"/>
              <w:rPr>
                <w:color w:val="auto"/>
                <w:sz w:val="21"/>
                <w:szCs w:val="21"/>
              </w:rPr>
            </w:pPr>
          </w:p>
        </w:tc>
        <w:tc>
          <w:tcPr>
            <w:tcW w:w="335" w:type="pct"/>
            <w:vMerge w:val="continue"/>
            <w:tcBorders>
              <w:tl2br w:val="nil"/>
              <w:tr2bl w:val="nil"/>
            </w:tcBorders>
            <w:textDirection w:val="tbRlV"/>
            <w:vAlign w:val="center"/>
          </w:tcPr>
          <w:p w14:paraId="7D20191B">
            <w:pPr>
              <w:widowControl/>
              <w:kinsoku w:val="0"/>
              <w:autoSpaceDE w:val="0"/>
              <w:autoSpaceDN w:val="0"/>
              <w:spacing w:line="240" w:lineRule="auto"/>
              <w:ind w:firstLine="0" w:firstLineChars="0"/>
              <w:jc w:val="center"/>
              <w:textAlignment w:val="baseline"/>
              <w:rPr>
                <w:color w:val="auto"/>
                <w:sz w:val="21"/>
                <w:szCs w:val="21"/>
              </w:rPr>
            </w:pPr>
          </w:p>
        </w:tc>
        <w:tc>
          <w:tcPr>
            <w:tcW w:w="577" w:type="pct"/>
            <w:tcBorders>
              <w:tl2br w:val="nil"/>
              <w:tr2bl w:val="nil"/>
            </w:tcBorders>
            <w:vAlign w:val="center"/>
          </w:tcPr>
          <w:p w14:paraId="537009C8">
            <w:pPr>
              <w:overflowPunct w:val="0"/>
              <w:autoSpaceDE w:val="0"/>
              <w:autoSpaceDN w:val="0"/>
              <w:spacing w:line="240" w:lineRule="auto"/>
              <w:ind w:firstLine="0" w:firstLineChars="0"/>
              <w:jc w:val="center"/>
              <w:textAlignment w:val="baseline"/>
              <w:rPr>
                <w:color w:val="auto"/>
                <w:spacing w:val="8"/>
                <w:kern w:val="0"/>
                <w:sz w:val="21"/>
                <w:szCs w:val="21"/>
                <w:lang w:eastAsia="en-US"/>
              </w:rPr>
            </w:pPr>
            <w:r>
              <w:rPr>
                <w:color w:val="auto"/>
                <w:spacing w:val="-9"/>
                <w:kern w:val="0"/>
                <w:sz w:val="21"/>
                <w:szCs w:val="21"/>
                <w:lang w:eastAsia="en-US"/>
              </w:rPr>
              <w:t>运输</w:t>
            </w:r>
          </w:p>
        </w:tc>
        <w:tc>
          <w:tcPr>
            <w:tcW w:w="3693" w:type="pct"/>
            <w:tcBorders>
              <w:tl2br w:val="nil"/>
              <w:tr2bl w:val="nil"/>
            </w:tcBorders>
            <w:vAlign w:val="center"/>
          </w:tcPr>
          <w:p w14:paraId="0C3429EE">
            <w:pPr>
              <w:overflowPunct w:val="0"/>
              <w:autoSpaceDE w:val="0"/>
              <w:autoSpaceDN w:val="0"/>
              <w:spacing w:line="240" w:lineRule="auto"/>
              <w:ind w:firstLine="0" w:firstLineChars="0"/>
              <w:jc w:val="center"/>
              <w:textAlignment w:val="baseline"/>
              <w:rPr>
                <w:color w:val="auto"/>
                <w:spacing w:val="8"/>
                <w:kern w:val="0"/>
                <w:sz w:val="21"/>
                <w:szCs w:val="21"/>
              </w:rPr>
            </w:pPr>
            <w:r>
              <w:rPr>
                <w:color w:val="auto"/>
                <w:spacing w:val="-4"/>
                <w:kern w:val="0"/>
                <w:sz w:val="21"/>
                <w:szCs w:val="21"/>
              </w:rPr>
              <w:t>1、运输危险化学品委托有相关资质单位运</w:t>
            </w:r>
            <w:r>
              <w:rPr>
                <w:color w:val="auto"/>
                <w:spacing w:val="-2"/>
                <w:kern w:val="0"/>
                <w:sz w:val="21"/>
                <w:szCs w:val="21"/>
              </w:rPr>
              <w:t>输，减少环境风险。</w:t>
            </w:r>
            <w:r>
              <w:rPr>
                <w:color w:val="auto"/>
                <w:spacing w:val="-5"/>
                <w:kern w:val="0"/>
                <w:sz w:val="21"/>
                <w:szCs w:val="21"/>
              </w:rPr>
              <w:t>2、配备灭火器。</w:t>
            </w:r>
            <w:r>
              <w:rPr>
                <w:color w:val="auto"/>
                <w:spacing w:val="-4"/>
                <w:kern w:val="0"/>
                <w:sz w:val="21"/>
                <w:szCs w:val="21"/>
              </w:rPr>
              <w:t>3、配备泄漏应急收容器材。</w:t>
            </w:r>
          </w:p>
        </w:tc>
      </w:tr>
      <w:tr w14:paraId="346D449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393" w:type="pct"/>
            <w:tcBorders>
              <w:tl2br w:val="nil"/>
              <w:tr2bl w:val="nil"/>
            </w:tcBorders>
            <w:vAlign w:val="center"/>
          </w:tcPr>
          <w:p w14:paraId="5A7E83B1">
            <w:pPr>
              <w:spacing w:line="240" w:lineRule="auto"/>
              <w:ind w:firstLine="0" w:firstLineChars="0"/>
              <w:jc w:val="center"/>
              <w:rPr>
                <w:color w:val="auto"/>
                <w:sz w:val="21"/>
                <w:szCs w:val="21"/>
              </w:rPr>
            </w:pPr>
            <w:r>
              <w:rPr>
                <w:color w:val="auto"/>
                <w:sz w:val="21"/>
                <w:szCs w:val="21"/>
              </w:rPr>
              <w:t>3</w:t>
            </w:r>
          </w:p>
        </w:tc>
        <w:tc>
          <w:tcPr>
            <w:tcW w:w="912" w:type="pct"/>
            <w:gridSpan w:val="2"/>
            <w:tcBorders>
              <w:tl2br w:val="nil"/>
              <w:tr2bl w:val="nil"/>
            </w:tcBorders>
            <w:vAlign w:val="center"/>
          </w:tcPr>
          <w:p w14:paraId="428EFAF6">
            <w:pPr>
              <w:spacing w:line="240" w:lineRule="auto"/>
              <w:ind w:firstLine="0" w:firstLineChars="0"/>
              <w:jc w:val="center"/>
              <w:rPr>
                <w:color w:val="auto"/>
                <w:sz w:val="21"/>
                <w:szCs w:val="21"/>
              </w:rPr>
            </w:pPr>
            <w:r>
              <w:rPr>
                <w:color w:val="auto"/>
                <w:spacing w:val="-5"/>
                <w:sz w:val="21"/>
                <w:szCs w:val="21"/>
              </w:rPr>
              <w:t>公用工程系</w:t>
            </w:r>
            <w:r>
              <w:rPr>
                <w:color w:val="auto"/>
                <w:sz w:val="21"/>
                <w:szCs w:val="21"/>
              </w:rPr>
              <w:t>统</w:t>
            </w:r>
          </w:p>
        </w:tc>
        <w:tc>
          <w:tcPr>
            <w:tcW w:w="3693" w:type="pct"/>
            <w:tcBorders>
              <w:tl2br w:val="nil"/>
              <w:tr2bl w:val="nil"/>
            </w:tcBorders>
            <w:vAlign w:val="center"/>
          </w:tcPr>
          <w:p w14:paraId="023E8B29">
            <w:pPr>
              <w:overflowPunct w:val="0"/>
              <w:autoSpaceDE w:val="0"/>
              <w:autoSpaceDN w:val="0"/>
              <w:spacing w:line="240" w:lineRule="auto"/>
              <w:ind w:firstLine="0" w:firstLineChars="0"/>
              <w:jc w:val="center"/>
              <w:textAlignment w:val="baseline"/>
              <w:rPr>
                <w:color w:val="auto"/>
                <w:spacing w:val="8"/>
                <w:kern w:val="0"/>
                <w:sz w:val="21"/>
                <w:szCs w:val="21"/>
              </w:rPr>
            </w:pPr>
            <w:r>
              <w:rPr>
                <w:color w:val="auto"/>
                <w:spacing w:val="-4"/>
                <w:kern w:val="0"/>
                <w:sz w:val="21"/>
                <w:szCs w:val="21"/>
              </w:rPr>
              <w:t>1.公司用水来自于</w:t>
            </w:r>
            <w:r>
              <w:rPr>
                <w:rFonts w:hint="eastAsia"/>
                <w:color w:val="auto"/>
                <w:spacing w:val="-4"/>
                <w:kern w:val="0"/>
                <w:sz w:val="21"/>
                <w:szCs w:val="21"/>
              </w:rPr>
              <w:t>地下水和地表水</w:t>
            </w:r>
            <w:r>
              <w:rPr>
                <w:color w:val="auto"/>
                <w:spacing w:val="-4"/>
                <w:kern w:val="0"/>
                <w:sz w:val="21"/>
                <w:szCs w:val="21"/>
              </w:rPr>
              <w:t>，可满足生产和消防用水。</w:t>
            </w:r>
            <w:r>
              <w:rPr>
                <w:color w:val="auto"/>
                <w:spacing w:val="-1"/>
                <w:kern w:val="0"/>
                <w:sz w:val="21"/>
                <w:szCs w:val="21"/>
              </w:rPr>
              <w:t>2.公司各单元用电由园区市政电网提供。</w:t>
            </w:r>
          </w:p>
        </w:tc>
      </w:tr>
      <w:tr w14:paraId="2DDDAF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393" w:type="pct"/>
            <w:tcBorders>
              <w:tl2br w:val="nil"/>
              <w:tr2bl w:val="nil"/>
            </w:tcBorders>
            <w:vAlign w:val="center"/>
          </w:tcPr>
          <w:p w14:paraId="5EEC29A5">
            <w:pPr>
              <w:spacing w:line="240" w:lineRule="auto"/>
              <w:ind w:firstLine="0" w:firstLineChars="0"/>
              <w:jc w:val="center"/>
              <w:rPr>
                <w:color w:val="auto"/>
                <w:sz w:val="21"/>
                <w:szCs w:val="21"/>
              </w:rPr>
            </w:pPr>
            <w:r>
              <w:rPr>
                <w:color w:val="auto"/>
                <w:sz w:val="21"/>
                <w:szCs w:val="21"/>
              </w:rPr>
              <w:t>4</w:t>
            </w:r>
          </w:p>
        </w:tc>
        <w:tc>
          <w:tcPr>
            <w:tcW w:w="912" w:type="pct"/>
            <w:gridSpan w:val="2"/>
            <w:tcBorders>
              <w:tl2br w:val="nil"/>
              <w:tr2bl w:val="nil"/>
            </w:tcBorders>
            <w:vAlign w:val="center"/>
          </w:tcPr>
          <w:p w14:paraId="25068DEA">
            <w:pPr>
              <w:spacing w:line="240" w:lineRule="auto"/>
              <w:ind w:firstLine="0" w:firstLineChars="0"/>
              <w:jc w:val="center"/>
              <w:rPr>
                <w:color w:val="auto"/>
                <w:sz w:val="21"/>
                <w:szCs w:val="21"/>
              </w:rPr>
            </w:pPr>
            <w:r>
              <w:rPr>
                <w:color w:val="auto"/>
                <w:spacing w:val="-3"/>
                <w:sz w:val="21"/>
                <w:szCs w:val="21"/>
              </w:rPr>
              <w:t>辅助生产设</w:t>
            </w:r>
            <w:r>
              <w:rPr>
                <w:color w:val="auto"/>
                <w:sz w:val="21"/>
                <w:szCs w:val="21"/>
              </w:rPr>
              <w:t>施</w:t>
            </w:r>
          </w:p>
        </w:tc>
        <w:tc>
          <w:tcPr>
            <w:tcW w:w="3693" w:type="pct"/>
            <w:tcBorders>
              <w:tl2br w:val="nil"/>
              <w:tr2bl w:val="nil"/>
            </w:tcBorders>
            <w:vAlign w:val="center"/>
          </w:tcPr>
          <w:p w14:paraId="077EFDDD">
            <w:pPr>
              <w:spacing w:line="240" w:lineRule="auto"/>
              <w:ind w:firstLine="0" w:firstLineChars="0"/>
              <w:jc w:val="center"/>
              <w:rPr>
                <w:color w:val="auto"/>
                <w:sz w:val="21"/>
                <w:szCs w:val="21"/>
              </w:rPr>
            </w:pPr>
            <w:r>
              <w:rPr>
                <w:color w:val="auto"/>
                <w:sz w:val="21"/>
                <w:szCs w:val="21"/>
              </w:rPr>
              <w:t>/</w:t>
            </w:r>
          </w:p>
        </w:tc>
      </w:tr>
      <w:tr w14:paraId="7E024A2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393" w:type="pct"/>
            <w:vMerge w:val="restart"/>
            <w:tcBorders>
              <w:tl2br w:val="nil"/>
              <w:tr2bl w:val="nil"/>
            </w:tcBorders>
            <w:vAlign w:val="center"/>
          </w:tcPr>
          <w:p w14:paraId="2C9230B0">
            <w:pPr>
              <w:spacing w:line="240" w:lineRule="auto"/>
              <w:ind w:firstLine="0" w:firstLineChars="0"/>
              <w:jc w:val="center"/>
              <w:rPr>
                <w:color w:val="auto"/>
                <w:sz w:val="21"/>
                <w:szCs w:val="21"/>
              </w:rPr>
            </w:pPr>
            <w:r>
              <w:rPr>
                <w:color w:val="auto"/>
                <w:sz w:val="21"/>
                <w:szCs w:val="21"/>
              </w:rPr>
              <w:t>5</w:t>
            </w:r>
          </w:p>
        </w:tc>
        <w:tc>
          <w:tcPr>
            <w:tcW w:w="335" w:type="pct"/>
            <w:vMerge w:val="restart"/>
            <w:tcBorders>
              <w:tl2br w:val="nil"/>
              <w:tr2bl w:val="nil"/>
            </w:tcBorders>
            <w:vAlign w:val="center"/>
          </w:tcPr>
          <w:p w14:paraId="7F62A008">
            <w:pPr>
              <w:overflowPunct w:val="0"/>
              <w:autoSpaceDE w:val="0"/>
              <w:autoSpaceDN w:val="0"/>
              <w:spacing w:line="240" w:lineRule="auto"/>
              <w:ind w:firstLine="0" w:firstLineChars="0"/>
              <w:jc w:val="center"/>
              <w:textAlignment w:val="baseline"/>
              <w:rPr>
                <w:color w:val="auto"/>
                <w:spacing w:val="-3"/>
                <w:kern w:val="0"/>
                <w:sz w:val="21"/>
                <w:szCs w:val="21"/>
                <w:lang w:eastAsia="en-US"/>
              </w:rPr>
            </w:pPr>
            <w:r>
              <w:rPr>
                <w:color w:val="auto"/>
                <w:spacing w:val="-3"/>
                <w:kern w:val="0"/>
                <w:sz w:val="21"/>
                <w:szCs w:val="21"/>
                <w:lang w:eastAsia="en-US"/>
              </w:rPr>
              <w:t>环境保护设施</w:t>
            </w:r>
          </w:p>
        </w:tc>
        <w:tc>
          <w:tcPr>
            <w:tcW w:w="577" w:type="pct"/>
            <w:tcBorders>
              <w:tl2br w:val="nil"/>
              <w:tr2bl w:val="nil"/>
            </w:tcBorders>
            <w:vAlign w:val="center"/>
          </w:tcPr>
          <w:p w14:paraId="05A259C8">
            <w:pPr>
              <w:overflowPunct w:val="0"/>
              <w:autoSpaceDE w:val="0"/>
              <w:autoSpaceDN w:val="0"/>
              <w:spacing w:line="240" w:lineRule="auto"/>
              <w:ind w:firstLine="0" w:firstLineChars="0"/>
              <w:jc w:val="center"/>
              <w:textAlignment w:val="baseline"/>
              <w:rPr>
                <w:color w:val="auto"/>
                <w:spacing w:val="8"/>
                <w:kern w:val="0"/>
                <w:sz w:val="21"/>
                <w:szCs w:val="21"/>
                <w:lang w:eastAsia="en-US"/>
              </w:rPr>
            </w:pPr>
            <w:r>
              <w:rPr>
                <w:color w:val="auto"/>
                <w:spacing w:val="-7"/>
                <w:kern w:val="0"/>
                <w:sz w:val="21"/>
                <w:szCs w:val="21"/>
              </w:rPr>
              <w:t>废</w:t>
            </w:r>
            <w:r>
              <w:rPr>
                <w:color w:val="auto"/>
                <w:spacing w:val="-7"/>
                <w:kern w:val="0"/>
                <w:sz w:val="21"/>
                <w:szCs w:val="21"/>
                <w:lang w:eastAsia="en-US"/>
              </w:rPr>
              <w:t>气处</w:t>
            </w:r>
            <w:r>
              <w:rPr>
                <w:color w:val="auto"/>
                <w:spacing w:val="-6"/>
                <w:kern w:val="0"/>
                <w:sz w:val="21"/>
                <w:szCs w:val="21"/>
                <w:lang w:eastAsia="en-US"/>
              </w:rPr>
              <w:t>理设施</w:t>
            </w:r>
          </w:p>
        </w:tc>
        <w:tc>
          <w:tcPr>
            <w:tcW w:w="3693" w:type="pct"/>
            <w:tcBorders>
              <w:tl2br w:val="nil"/>
              <w:tr2bl w:val="nil"/>
            </w:tcBorders>
            <w:vAlign w:val="center"/>
          </w:tcPr>
          <w:p w14:paraId="405AFF56">
            <w:pPr>
              <w:overflowPunct w:val="0"/>
              <w:autoSpaceDE w:val="0"/>
              <w:autoSpaceDN w:val="0"/>
              <w:spacing w:line="240" w:lineRule="auto"/>
              <w:ind w:firstLine="0" w:firstLineChars="0"/>
              <w:jc w:val="center"/>
              <w:textAlignment w:val="baseline"/>
              <w:rPr>
                <w:color w:val="auto"/>
                <w:spacing w:val="8"/>
                <w:kern w:val="0"/>
                <w:sz w:val="21"/>
                <w:szCs w:val="21"/>
              </w:rPr>
            </w:pPr>
            <w:r>
              <w:rPr>
                <w:rFonts w:hint="eastAsia"/>
                <w:color w:val="auto"/>
                <w:spacing w:val="-3"/>
                <w:kern w:val="0"/>
                <w:sz w:val="21"/>
                <w:szCs w:val="21"/>
              </w:rPr>
              <w:t>1</w:t>
            </w:r>
            <w:r>
              <w:rPr>
                <w:color w:val="auto"/>
                <w:spacing w:val="-3"/>
                <w:kern w:val="0"/>
                <w:sz w:val="21"/>
                <w:szCs w:val="21"/>
              </w:rPr>
              <w:t>、定期检查废气处理设施运行情况，加强</w:t>
            </w:r>
            <w:r>
              <w:rPr>
                <w:color w:val="auto"/>
                <w:spacing w:val="-10"/>
                <w:kern w:val="0"/>
                <w:sz w:val="21"/>
                <w:szCs w:val="21"/>
              </w:rPr>
              <w:t>日常维护工作。</w:t>
            </w:r>
            <w:r>
              <w:rPr>
                <w:rFonts w:hint="eastAsia"/>
                <w:color w:val="auto"/>
                <w:spacing w:val="-10"/>
                <w:kern w:val="0"/>
                <w:sz w:val="21"/>
                <w:szCs w:val="21"/>
              </w:rPr>
              <w:t>/2</w:t>
            </w:r>
            <w:r>
              <w:rPr>
                <w:color w:val="auto"/>
                <w:spacing w:val="-2"/>
                <w:kern w:val="0"/>
                <w:sz w:val="21"/>
                <w:szCs w:val="21"/>
              </w:rPr>
              <w:t>、废气处理设置安装有在线监控，确保废</w:t>
            </w:r>
            <w:r>
              <w:rPr>
                <w:color w:val="auto"/>
                <w:spacing w:val="-5"/>
                <w:kern w:val="0"/>
                <w:sz w:val="21"/>
                <w:szCs w:val="21"/>
              </w:rPr>
              <w:t>气达标排放。</w:t>
            </w:r>
            <w:r>
              <w:rPr>
                <w:rFonts w:hint="eastAsia"/>
                <w:color w:val="auto"/>
                <w:spacing w:val="-5"/>
                <w:kern w:val="0"/>
                <w:sz w:val="21"/>
                <w:szCs w:val="21"/>
              </w:rPr>
              <w:t>3、定期检验排气管道气密性，查看是否堵塞或破损，必要时进行更换。</w:t>
            </w:r>
          </w:p>
        </w:tc>
      </w:tr>
      <w:tr w14:paraId="0DA6111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38E29D32">
            <w:pPr>
              <w:spacing w:line="240" w:lineRule="auto"/>
              <w:ind w:firstLine="0" w:firstLineChars="0"/>
              <w:jc w:val="center"/>
              <w:rPr>
                <w:color w:val="auto"/>
                <w:sz w:val="21"/>
                <w:szCs w:val="21"/>
              </w:rPr>
            </w:pPr>
          </w:p>
        </w:tc>
        <w:tc>
          <w:tcPr>
            <w:tcW w:w="335" w:type="pct"/>
            <w:vMerge w:val="continue"/>
            <w:tcBorders>
              <w:tl2br w:val="nil"/>
              <w:tr2bl w:val="nil"/>
            </w:tcBorders>
            <w:vAlign w:val="center"/>
          </w:tcPr>
          <w:p w14:paraId="68B54C78">
            <w:pPr>
              <w:overflowPunct w:val="0"/>
              <w:autoSpaceDE w:val="0"/>
              <w:autoSpaceDN w:val="0"/>
              <w:spacing w:line="240" w:lineRule="auto"/>
              <w:ind w:firstLine="0" w:firstLineChars="0"/>
              <w:jc w:val="center"/>
              <w:textAlignment w:val="baseline"/>
              <w:rPr>
                <w:color w:val="auto"/>
                <w:spacing w:val="-3"/>
                <w:kern w:val="0"/>
                <w:sz w:val="21"/>
                <w:szCs w:val="21"/>
              </w:rPr>
            </w:pPr>
          </w:p>
        </w:tc>
        <w:tc>
          <w:tcPr>
            <w:tcW w:w="577" w:type="pct"/>
            <w:tcBorders>
              <w:tl2br w:val="nil"/>
              <w:tr2bl w:val="nil"/>
            </w:tcBorders>
            <w:vAlign w:val="center"/>
          </w:tcPr>
          <w:p w14:paraId="0E439879">
            <w:pPr>
              <w:overflowPunct w:val="0"/>
              <w:autoSpaceDE w:val="0"/>
              <w:autoSpaceDN w:val="0"/>
              <w:spacing w:line="240" w:lineRule="auto"/>
              <w:ind w:firstLine="0" w:firstLineChars="0"/>
              <w:jc w:val="center"/>
              <w:textAlignment w:val="baseline"/>
              <w:rPr>
                <w:color w:val="auto"/>
                <w:spacing w:val="8"/>
                <w:kern w:val="0"/>
                <w:sz w:val="21"/>
                <w:szCs w:val="21"/>
                <w:lang w:eastAsia="en-US"/>
              </w:rPr>
            </w:pPr>
            <w:r>
              <w:rPr>
                <w:color w:val="auto"/>
                <w:spacing w:val="-7"/>
                <w:kern w:val="0"/>
                <w:sz w:val="21"/>
                <w:szCs w:val="21"/>
                <w:lang w:eastAsia="en-US"/>
              </w:rPr>
              <w:t>废水处</w:t>
            </w:r>
            <w:r>
              <w:rPr>
                <w:color w:val="auto"/>
                <w:spacing w:val="-6"/>
                <w:kern w:val="0"/>
                <w:sz w:val="21"/>
                <w:szCs w:val="21"/>
                <w:lang w:eastAsia="en-US"/>
              </w:rPr>
              <w:t>理设施</w:t>
            </w:r>
          </w:p>
        </w:tc>
        <w:tc>
          <w:tcPr>
            <w:tcW w:w="3693" w:type="pct"/>
            <w:tcBorders>
              <w:tl2br w:val="nil"/>
              <w:tr2bl w:val="nil"/>
            </w:tcBorders>
            <w:vAlign w:val="center"/>
          </w:tcPr>
          <w:p w14:paraId="523D1D9E">
            <w:pPr>
              <w:overflowPunct w:val="0"/>
              <w:autoSpaceDE w:val="0"/>
              <w:autoSpaceDN w:val="0"/>
              <w:spacing w:line="240" w:lineRule="auto"/>
              <w:ind w:firstLine="0" w:firstLineChars="0"/>
              <w:jc w:val="center"/>
              <w:textAlignment w:val="baseline"/>
              <w:rPr>
                <w:color w:val="auto"/>
                <w:spacing w:val="8"/>
                <w:kern w:val="0"/>
                <w:sz w:val="21"/>
                <w:szCs w:val="21"/>
              </w:rPr>
            </w:pPr>
            <w:r>
              <w:rPr>
                <w:color w:val="auto"/>
                <w:spacing w:val="-4"/>
                <w:kern w:val="0"/>
                <w:sz w:val="21"/>
                <w:szCs w:val="21"/>
              </w:rPr>
              <w:t>1、</w:t>
            </w:r>
            <w:r>
              <w:rPr>
                <w:rFonts w:hint="eastAsia"/>
                <w:color w:val="auto"/>
                <w:spacing w:val="-4"/>
                <w:kern w:val="0"/>
                <w:sz w:val="21"/>
                <w:szCs w:val="21"/>
              </w:rPr>
              <w:t>拟建</w:t>
            </w:r>
            <w:r>
              <w:rPr>
                <w:color w:val="auto"/>
                <w:spacing w:val="-4"/>
                <w:kern w:val="0"/>
                <w:sz w:val="21"/>
                <w:szCs w:val="21"/>
              </w:rPr>
              <w:t>废水进入厂内污水处理站进行处</w:t>
            </w:r>
            <w:r>
              <w:rPr>
                <w:color w:val="auto"/>
                <w:spacing w:val="-7"/>
                <w:kern w:val="0"/>
                <w:sz w:val="21"/>
                <w:szCs w:val="21"/>
              </w:rPr>
              <w:t>理，设有废水在线监测系统。当废水处理设施</w:t>
            </w:r>
            <w:r>
              <w:rPr>
                <w:color w:val="auto"/>
                <w:spacing w:val="-2"/>
                <w:kern w:val="0"/>
                <w:sz w:val="21"/>
                <w:szCs w:val="21"/>
              </w:rPr>
              <w:t>发生故障时，将废水引入事故池</w:t>
            </w:r>
            <w:r>
              <w:rPr>
                <w:color w:val="auto"/>
                <w:spacing w:val="-8"/>
                <w:kern w:val="0"/>
                <w:sz w:val="21"/>
                <w:szCs w:val="21"/>
              </w:rPr>
              <w:t>（</w:t>
            </w:r>
            <w:r>
              <w:rPr>
                <w:rFonts w:hint="eastAsia"/>
                <w:color w:val="auto"/>
                <w:spacing w:val="-8"/>
                <w:kern w:val="0"/>
                <w:sz w:val="21"/>
                <w:szCs w:val="21"/>
              </w:rPr>
              <w:t>770</w:t>
            </w:r>
            <w:r>
              <w:rPr>
                <w:color w:val="auto"/>
                <w:spacing w:val="-8"/>
                <w:kern w:val="0"/>
                <w:sz w:val="21"/>
                <w:szCs w:val="21"/>
              </w:rPr>
              <w:t>m</w:t>
            </w:r>
            <w:r>
              <w:rPr>
                <w:rFonts w:hint="eastAsia"/>
                <w:color w:val="auto"/>
                <w:spacing w:val="-8"/>
                <w:kern w:val="0"/>
                <w:sz w:val="21"/>
                <w:szCs w:val="21"/>
                <w:vertAlign w:val="superscript"/>
              </w:rPr>
              <w:t>3</w:t>
            </w:r>
            <w:r>
              <w:rPr>
                <w:color w:val="auto"/>
                <w:spacing w:val="-8"/>
                <w:kern w:val="0"/>
                <w:sz w:val="21"/>
                <w:szCs w:val="21"/>
              </w:rPr>
              <w:t>）中临时储存，不得偷排、</w:t>
            </w:r>
            <w:r>
              <w:rPr>
                <w:color w:val="auto"/>
                <w:spacing w:val="-9"/>
                <w:kern w:val="0"/>
                <w:sz w:val="21"/>
                <w:szCs w:val="21"/>
              </w:rPr>
              <w:t>漏排，</w:t>
            </w:r>
            <w:r>
              <w:rPr>
                <w:color w:val="auto"/>
                <w:spacing w:val="-10"/>
                <w:kern w:val="0"/>
                <w:sz w:val="21"/>
                <w:szCs w:val="21"/>
              </w:rPr>
              <w:t>并停止生产性排水，待废水处理设施可正常</w:t>
            </w:r>
            <w:r>
              <w:rPr>
                <w:color w:val="auto"/>
                <w:spacing w:val="-5"/>
                <w:kern w:val="0"/>
                <w:sz w:val="21"/>
                <w:szCs w:val="21"/>
              </w:rPr>
              <w:t>运行后，方可正常生产运行。</w:t>
            </w:r>
            <w:r>
              <w:rPr>
                <w:color w:val="auto"/>
                <w:spacing w:val="-3"/>
                <w:kern w:val="0"/>
                <w:sz w:val="21"/>
                <w:szCs w:val="21"/>
              </w:rPr>
              <w:t>2、废水处理设施正常运行时，废水接入园</w:t>
            </w:r>
            <w:r>
              <w:rPr>
                <w:color w:val="auto"/>
                <w:spacing w:val="-7"/>
                <w:kern w:val="0"/>
                <w:sz w:val="21"/>
                <w:szCs w:val="21"/>
              </w:rPr>
              <w:t>区污水管网中送至污水处理厂处理，不会排</w:t>
            </w:r>
            <w:r>
              <w:rPr>
                <w:color w:val="auto"/>
                <w:spacing w:val="-2"/>
                <w:kern w:val="0"/>
                <w:sz w:val="21"/>
                <w:szCs w:val="21"/>
              </w:rPr>
              <w:t>入附近水体，不会造成水环境事故。</w:t>
            </w:r>
          </w:p>
        </w:tc>
      </w:tr>
      <w:tr w14:paraId="16E0A97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36E96469">
            <w:pPr>
              <w:spacing w:line="240" w:lineRule="auto"/>
              <w:ind w:firstLine="0" w:firstLineChars="0"/>
              <w:jc w:val="center"/>
              <w:rPr>
                <w:color w:val="auto"/>
                <w:sz w:val="21"/>
                <w:szCs w:val="21"/>
              </w:rPr>
            </w:pPr>
          </w:p>
        </w:tc>
        <w:tc>
          <w:tcPr>
            <w:tcW w:w="335" w:type="pct"/>
            <w:vMerge w:val="continue"/>
            <w:tcBorders>
              <w:tl2br w:val="nil"/>
              <w:tr2bl w:val="nil"/>
            </w:tcBorders>
            <w:vAlign w:val="center"/>
          </w:tcPr>
          <w:p w14:paraId="32BDE291">
            <w:pPr>
              <w:overflowPunct w:val="0"/>
              <w:autoSpaceDE w:val="0"/>
              <w:autoSpaceDN w:val="0"/>
              <w:spacing w:line="240" w:lineRule="auto"/>
              <w:ind w:firstLine="0" w:firstLineChars="0"/>
              <w:jc w:val="center"/>
              <w:textAlignment w:val="baseline"/>
              <w:rPr>
                <w:color w:val="auto"/>
                <w:spacing w:val="-3"/>
                <w:kern w:val="0"/>
                <w:sz w:val="21"/>
                <w:szCs w:val="21"/>
              </w:rPr>
            </w:pPr>
          </w:p>
        </w:tc>
        <w:tc>
          <w:tcPr>
            <w:tcW w:w="577" w:type="pct"/>
            <w:tcBorders>
              <w:tl2br w:val="nil"/>
              <w:tr2bl w:val="nil"/>
            </w:tcBorders>
            <w:vAlign w:val="center"/>
          </w:tcPr>
          <w:p w14:paraId="39A9A706">
            <w:pPr>
              <w:overflowPunct w:val="0"/>
              <w:autoSpaceDE w:val="0"/>
              <w:autoSpaceDN w:val="0"/>
              <w:spacing w:line="240" w:lineRule="auto"/>
              <w:ind w:firstLine="0" w:firstLineChars="0"/>
              <w:jc w:val="center"/>
              <w:textAlignment w:val="baseline"/>
              <w:rPr>
                <w:color w:val="auto"/>
                <w:spacing w:val="8"/>
                <w:kern w:val="0"/>
                <w:sz w:val="21"/>
                <w:szCs w:val="21"/>
                <w:lang w:eastAsia="en-US"/>
              </w:rPr>
            </w:pPr>
            <w:r>
              <w:rPr>
                <w:color w:val="auto"/>
                <w:spacing w:val="-14"/>
                <w:kern w:val="0"/>
                <w:sz w:val="21"/>
                <w:szCs w:val="21"/>
                <w:lang w:eastAsia="en-US"/>
              </w:rPr>
              <w:t>固废暂</w:t>
            </w:r>
            <w:r>
              <w:rPr>
                <w:color w:val="auto"/>
                <w:spacing w:val="-10"/>
                <w:kern w:val="0"/>
                <w:sz w:val="21"/>
                <w:szCs w:val="21"/>
                <w:lang w:eastAsia="en-US"/>
              </w:rPr>
              <w:t>存场</w:t>
            </w:r>
          </w:p>
        </w:tc>
        <w:tc>
          <w:tcPr>
            <w:tcW w:w="3693" w:type="pct"/>
            <w:tcBorders>
              <w:tl2br w:val="nil"/>
              <w:tr2bl w:val="nil"/>
            </w:tcBorders>
            <w:vAlign w:val="center"/>
          </w:tcPr>
          <w:p w14:paraId="3C795C8F">
            <w:pPr>
              <w:overflowPunct w:val="0"/>
              <w:autoSpaceDE w:val="0"/>
              <w:autoSpaceDN w:val="0"/>
              <w:spacing w:line="240" w:lineRule="auto"/>
              <w:ind w:firstLine="0" w:firstLineChars="0"/>
              <w:jc w:val="center"/>
              <w:textAlignment w:val="baseline"/>
              <w:rPr>
                <w:color w:val="auto"/>
                <w:spacing w:val="8"/>
                <w:kern w:val="0"/>
                <w:sz w:val="21"/>
                <w:szCs w:val="21"/>
              </w:rPr>
            </w:pPr>
            <w:r>
              <w:rPr>
                <w:color w:val="auto"/>
                <w:spacing w:val="-4"/>
                <w:kern w:val="0"/>
                <w:sz w:val="21"/>
                <w:szCs w:val="21"/>
              </w:rPr>
              <w:t>1、设有危废仓库，危废仓库防雨、防</w:t>
            </w:r>
            <w:r>
              <w:rPr>
                <w:color w:val="auto"/>
                <w:spacing w:val="-2"/>
                <w:kern w:val="0"/>
                <w:sz w:val="21"/>
                <w:szCs w:val="21"/>
              </w:rPr>
              <w:t>渗、防漏，并设有导流槽。</w:t>
            </w:r>
          </w:p>
        </w:tc>
      </w:tr>
    </w:tbl>
    <w:p w14:paraId="687BE8B6">
      <w:pPr>
        <w:spacing w:line="460" w:lineRule="exact"/>
        <w:ind w:firstLine="480"/>
        <w:rPr>
          <w:color w:val="auto"/>
        </w:rPr>
      </w:pPr>
      <w:r>
        <w:rPr>
          <w:rFonts w:hint="eastAsia"/>
          <w:color w:val="auto"/>
        </w:rPr>
        <w:t>现有环境风险单元主要包括生产装置、原料仓库、公用工程系统、辅助生产设施及环境保护设施等方面涉及环境风险物质的风险单元。亚太药业已委托编制《启东亚太药业有限公司突发环境事件应急预案》，并于2026年4月10日在南通市启东生态环境局完成备案。备案编号：320681-2026-033-M，详见附件11。亚太药业现有风险管理制度落实情况见表3.6-3。</w:t>
      </w:r>
    </w:p>
    <w:p w14:paraId="4FBB5DA5">
      <w:pPr>
        <w:adjustRightInd/>
        <w:snapToGrid/>
        <w:spacing w:line="480" w:lineRule="exact"/>
        <w:ind w:firstLine="482"/>
        <w:jc w:val="center"/>
        <w:rPr>
          <w:b/>
          <w:color w:val="auto"/>
          <w:kern w:val="0"/>
        </w:rPr>
      </w:pPr>
      <w:r>
        <w:rPr>
          <w:b/>
          <w:color w:val="auto"/>
          <w:kern w:val="0"/>
        </w:rPr>
        <w:t>表3.</w:t>
      </w:r>
      <w:r>
        <w:rPr>
          <w:rFonts w:hint="eastAsia"/>
          <w:b/>
          <w:color w:val="auto"/>
          <w:kern w:val="0"/>
        </w:rPr>
        <w:t>6-3</w:t>
      </w:r>
      <w:r>
        <w:rPr>
          <w:b/>
          <w:color w:val="auto"/>
          <w:kern w:val="0"/>
        </w:rPr>
        <w:t xml:space="preserve"> </w:t>
      </w:r>
      <w:r>
        <w:rPr>
          <w:rFonts w:hint="eastAsia"/>
          <w:b/>
          <w:color w:val="auto"/>
          <w:kern w:val="0"/>
        </w:rPr>
        <w:t xml:space="preserve"> </w:t>
      </w:r>
      <w:r>
        <w:rPr>
          <w:b/>
          <w:bCs/>
          <w:color w:val="auto"/>
        </w:rPr>
        <w:t>环境风险管理制度</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2105"/>
        <w:gridCol w:w="6988"/>
      </w:tblGrid>
      <w:tr w14:paraId="51ED5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Align w:val="center"/>
          </w:tcPr>
          <w:p w14:paraId="0581CE2C">
            <w:pPr>
              <w:spacing w:line="240" w:lineRule="auto"/>
              <w:ind w:firstLine="0" w:firstLineChars="0"/>
              <w:jc w:val="center"/>
              <w:rPr>
                <w:b/>
                <w:bCs/>
                <w:color w:val="auto"/>
                <w:sz w:val="21"/>
                <w:szCs w:val="21"/>
              </w:rPr>
            </w:pPr>
            <w:r>
              <w:rPr>
                <w:rFonts w:hint="eastAsia"/>
                <w:b/>
                <w:bCs/>
                <w:color w:val="auto"/>
                <w:sz w:val="21"/>
                <w:szCs w:val="21"/>
              </w:rPr>
              <w:t>序号</w:t>
            </w:r>
          </w:p>
        </w:tc>
        <w:tc>
          <w:tcPr>
            <w:tcW w:w="1068" w:type="pct"/>
            <w:vAlign w:val="center"/>
          </w:tcPr>
          <w:p w14:paraId="246E9976">
            <w:pPr>
              <w:spacing w:line="240" w:lineRule="auto"/>
              <w:ind w:firstLine="0" w:firstLineChars="0"/>
              <w:jc w:val="center"/>
              <w:rPr>
                <w:b/>
                <w:bCs/>
                <w:color w:val="auto"/>
                <w:sz w:val="21"/>
                <w:szCs w:val="21"/>
              </w:rPr>
            </w:pPr>
            <w:r>
              <w:rPr>
                <w:rFonts w:hint="eastAsia"/>
                <w:b/>
                <w:bCs/>
                <w:color w:val="auto"/>
                <w:sz w:val="21"/>
                <w:szCs w:val="21"/>
              </w:rPr>
              <w:t>评价内容及要求</w:t>
            </w:r>
          </w:p>
        </w:tc>
        <w:tc>
          <w:tcPr>
            <w:tcW w:w="3546" w:type="pct"/>
            <w:vAlign w:val="center"/>
          </w:tcPr>
          <w:p w14:paraId="0C9A8448">
            <w:pPr>
              <w:spacing w:line="240" w:lineRule="auto"/>
              <w:ind w:firstLine="0" w:firstLineChars="0"/>
              <w:jc w:val="center"/>
              <w:rPr>
                <w:b/>
                <w:bCs/>
                <w:color w:val="auto"/>
                <w:sz w:val="21"/>
                <w:szCs w:val="21"/>
              </w:rPr>
            </w:pPr>
            <w:r>
              <w:rPr>
                <w:rFonts w:hint="eastAsia"/>
                <w:b/>
                <w:bCs/>
                <w:color w:val="auto"/>
                <w:sz w:val="21"/>
                <w:szCs w:val="21"/>
              </w:rPr>
              <w:t>现有执行情况</w:t>
            </w:r>
          </w:p>
        </w:tc>
      </w:tr>
      <w:tr w14:paraId="07F6A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Align w:val="center"/>
          </w:tcPr>
          <w:p w14:paraId="08985F07">
            <w:pPr>
              <w:spacing w:line="240" w:lineRule="auto"/>
              <w:ind w:firstLine="0" w:firstLineChars="0"/>
              <w:jc w:val="center"/>
              <w:rPr>
                <w:color w:val="auto"/>
                <w:sz w:val="21"/>
                <w:szCs w:val="21"/>
              </w:rPr>
            </w:pPr>
            <w:r>
              <w:rPr>
                <w:rFonts w:hint="eastAsia"/>
                <w:color w:val="auto"/>
                <w:sz w:val="21"/>
                <w:szCs w:val="21"/>
              </w:rPr>
              <w:t>1</w:t>
            </w:r>
          </w:p>
        </w:tc>
        <w:tc>
          <w:tcPr>
            <w:tcW w:w="1068" w:type="pct"/>
            <w:vAlign w:val="center"/>
          </w:tcPr>
          <w:p w14:paraId="74350844">
            <w:pPr>
              <w:spacing w:line="240" w:lineRule="auto"/>
              <w:ind w:firstLine="0" w:firstLineChars="0"/>
              <w:jc w:val="center"/>
              <w:rPr>
                <w:color w:val="auto"/>
                <w:sz w:val="21"/>
                <w:szCs w:val="21"/>
              </w:rPr>
            </w:pPr>
            <w:r>
              <w:rPr>
                <w:rFonts w:hint="eastAsia"/>
                <w:color w:val="auto"/>
                <w:sz w:val="21"/>
                <w:szCs w:val="21"/>
              </w:rPr>
              <w:t>是否建立风险管理制度</w:t>
            </w:r>
          </w:p>
        </w:tc>
        <w:tc>
          <w:tcPr>
            <w:tcW w:w="3546" w:type="pct"/>
            <w:vAlign w:val="center"/>
          </w:tcPr>
          <w:p w14:paraId="42FB04C1">
            <w:pPr>
              <w:spacing w:line="240" w:lineRule="auto"/>
              <w:ind w:firstLine="0" w:firstLineChars="0"/>
              <w:jc w:val="center"/>
              <w:rPr>
                <w:color w:val="auto"/>
                <w:sz w:val="21"/>
                <w:szCs w:val="21"/>
              </w:rPr>
            </w:pPr>
            <w:r>
              <w:rPr>
                <w:rFonts w:hint="eastAsia"/>
                <w:color w:val="auto"/>
                <w:sz w:val="21"/>
                <w:szCs w:val="21"/>
              </w:rPr>
              <w:t>公司已建立风险物品安全管理制度、应急救援物资、装备、药品监察维护管理制度等风险管理制度。</w:t>
            </w:r>
          </w:p>
        </w:tc>
      </w:tr>
      <w:tr w14:paraId="1199F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Align w:val="center"/>
          </w:tcPr>
          <w:p w14:paraId="49B85F89">
            <w:pPr>
              <w:spacing w:line="240" w:lineRule="auto"/>
              <w:ind w:firstLine="0" w:firstLineChars="0"/>
              <w:jc w:val="center"/>
              <w:rPr>
                <w:color w:val="auto"/>
                <w:sz w:val="21"/>
                <w:szCs w:val="21"/>
              </w:rPr>
            </w:pPr>
            <w:r>
              <w:rPr>
                <w:rFonts w:hint="eastAsia"/>
                <w:color w:val="auto"/>
                <w:sz w:val="21"/>
                <w:szCs w:val="21"/>
              </w:rPr>
              <w:t>2</w:t>
            </w:r>
          </w:p>
        </w:tc>
        <w:tc>
          <w:tcPr>
            <w:tcW w:w="1068" w:type="pct"/>
            <w:vAlign w:val="center"/>
          </w:tcPr>
          <w:p w14:paraId="05EE39E8">
            <w:pPr>
              <w:spacing w:line="240" w:lineRule="auto"/>
              <w:ind w:firstLine="0" w:firstLineChars="0"/>
              <w:jc w:val="center"/>
              <w:rPr>
                <w:color w:val="auto"/>
                <w:sz w:val="21"/>
                <w:szCs w:val="21"/>
              </w:rPr>
            </w:pPr>
            <w:r>
              <w:rPr>
                <w:rFonts w:hint="eastAsia"/>
                <w:color w:val="auto"/>
                <w:sz w:val="21"/>
                <w:szCs w:val="21"/>
              </w:rPr>
              <w:t>风险防控的重点岗位的责任人或责任机构是否明确</w:t>
            </w:r>
          </w:p>
        </w:tc>
        <w:tc>
          <w:tcPr>
            <w:tcW w:w="3546" w:type="pct"/>
            <w:vAlign w:val="center"/>
          </w:tcPr>
          <w:p w14:paraId="7BDFE5F2">
            <w:pPr>
              <w:spacing w:line="240" w:lineRule="auto"/>
              <w:ind w:firstLine="0" w:firstLineChars="0"/>
              <w:jc w:val="center"/>
              <w:rPr>
                <w:color w:val="auto"/>
                <w:sz w:val="21"/>
                <w:szCs w:val="21"/>
              </w:rPr>
            </w:pPr>
            <w:r>
              <w:rPr>
                <w:rFonts w:hint="eastAsia"/>
                <w:color w:val="auto"/>
                <w:sz w:val="21"/>
                <w:szCs w:val="21"/>
              </w:rPr>
              <w:t>风险防控重点岗位由所属部门主管负责，具体的责任人及分管岗位为：</w:t>
            </w:r>
          </w:p>
          <w:p w14:paraId="6B38D057">
            <w:pPr>
              <w:spacing w:line="240" w:lineRule="auto"/>
              <w:ind w:firstLine="0" w:firstLineChars="0"/>
              <w:jc w:val="center"/>
              <w:rPr>
                <w:color w:val="auto"/>
                <w:sz w:val="21"/>
                <w:szCs w:val="21"/>
              </w:rPr>
            </w:pPr>
            <w:r>
              <w:rPr>
                <w:rFonts w:hint="eastAsia"/>
                <w:color w:val="auto"/>
                <w:sz w:val="21"/>
                <w:szCs w:val="21"/>
              </w:rPr>
              <w:t>盐酸苯肼车间主任吴灵燕；仓储部主任谢延佐；冰机亚铵车间主任刘志全等。</w:t>
            </w:r>
          </w:p>
        </w:tc>
      </w:tr>
      <w:tr w14:paraId="4CE31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Align w:val="center"/>
          </w:tcPr>
          <w:p w14:paraId="110BA843">
            <w:pPr>
              <w:spacing w:line="240" w:lineRule="auto"/>
              <w:ind w:firstLine="0" w:firstLineChars="0"/>
              <w:jc w:val="center"/>
              <w:rPr>
                <w:color w:val="auto"/>
                <w:sz w:val="21"/>
                <w:szCs w:val="21"/>
              </w:rPr>
            </w:pPr>
            <w:r>
              <w:rPr>
                <w:rFonts w:hint="eastAsia"/>
                <w:color w:val="auto"/>
                <w:sz w:val="21"/>
                <w:szCs w:val="21"/>
              </w:rPr>
              <w:t>3</w:t>
            </w:r>
          </w:p>
        </w:tc>
        <w:tc>
          <w:tcPr>
            <w:tcW w:w="1068" w:type="pct"/>
            <w:vAlign w:val="center"/>
          </w:tcPr>
          <w:p w14:paraId="49F8AAE5">
            <w:pPr>
              <w:spacing w:line="240" w:lineRule="auto"/>
              <w:ind w:firstLine="0" w:firstLineChars="0"/>
              <w:jc w:val="center"/>
              <w:rPr>
                <w:color w:val="auto"/>
                <w:sz w:val="21"/>
                <w:szCs w:val="21"/>
              </w:rPr>
            </w:pPr>
            <w:r>
              <w:rPr>
                <w:rFonts w:hint="eastAsia"/>
                <w:color w:val="auto"/>
                <w:sz w:val="21"/>
                <w:szCs w:val="21"/>
              </w:rPr>
              <w:t>定期巡检和维护责任制度是否落实</w:t>
            </w:r>
          </w:p>
        </w:tc>
        <w:tc>
          <w:tcPr>
            <w:tcW w:w="3546" w:type="pct"/>
            <w:vAlign w:val="center"/>
          </w:tcPr>
          <w:p w14:paraId="78269813">
            <w:pPr>
              <w:spacing w:line="240" w:lineRule="auto"/>
              <w:ind w:firstLine="0" w:firstLineChars="0"/>
              <w:jc w:val="center"/>
              <w:rPr>
                <w:color w:val="auto"/>
                <w:sz w:val="21"/>
                <w:szCs w:val="21"/>
              </w:rPr>
            </w:pPr>
            <w:r>
              <w:rPr>
                <w:rFonts w:hint="eastAsia"/>
                <w:color w:val="auto"/>
                <w:sz w:val="21"/>
                <w:szCs w:val="21"/>
              </w:rPr>
              <w:t>公司已建立定期巡检和维护责任制度；</w:t>
            </w:r>
          </w:p>
          <w:p w14:paraId="20008A46">
            <w:pPr>
              <w:spacing w:line="240" w:lineRule="auto"/>
              <w:ind w:firstLine="0" w:firstLineChars="0"/>
              <w:jc w:val="center"/>
              <w:rPr>
                <w:color w:val="auto"/>
                <w:sz w:val="21"/>
                <w:szCs w:val="21"/>
              </w:rPr>
            </w:pPr>
            <w:r>
              <w:rPr>
                <w:rFonts w:hint="eastAsia"/>
                <w:color w:val="auto"/>
                <w:sz w:val="21"/>
                <w:szCs w:val="21"/>
              </w:rPr>
              <w:t>定期巡检时间：每天上午9:00~11:00；</w:t>
            </w:r>
          </w:p>
          <w:p w14:paraId="77CDB815">
            <w:pPr>
              <w:spacing w:line="240" w:lineRule="auto"/>
              <w:ind w:firstLine="0" w:firstLineChars="0"/>
              <w:jc w:val="center"/>
              <w:rPr>
                <w:color w:val="auto"/>
                <w:sz w:val="21"/>
                <w:szCs w:val="21"/>
              </w:rPr>
            </w:pPr>
            <w:r>
              <w:rPr>
                <w:rFonts w:hint="eastAsia"/>
                <w:color w:val="auto"/>
                <w:sz w:val="21"/>
                <w:szCs w:val="21"/>
              </w:rPr>
              <w:t>仓库罐区、生产车间等场所，每个月对设备进行维护；厂区每天进行一次巡检，每个月对设备进行维护。</w:t>
            </w:r>
          </w:p>
        </w:tc>
      </w:tr>
      <w:tr w14:paraId="251F3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2D125D94">
            <w:pPr>
              <w:spacing w:line="240" w:lineRule="auto"/>
              <w:ind w:firstLine="0" w:firstLineChars="0"/>
              <w:jc w:val="center"/>
              <w:rPr>
                <w:color w:val="auto"/>
                <w:sz w:val="21"/>
                <w:szCs w:val="21"/>
              </w:rPr>
            </w:pPr>
            <w:r>
              <w:rPr>
                <w:rFonts w:hint="eastAsia"/>
                <w:color w:val="auto"/>
                <w:sz w:val="21"/>
                <w:szCs w:val="21"/>
              </w:rPr>
              <w:t>4</w:t>
            </w:r>
          </w:p>
        </w:tc>
        <w:tc>
          <w:tcPr>
            <w:tcW w:w="1068" w:type="pct"/>
            <w:vAlign w:val="center"/>
          </w:tcPr>
          <w:p w14:paraId="331EF0A4">
            <w:pPr>
              <w:spacing w:line="240" w:lineRule="auto"/>
              <w:ind w:firstLine="0" w:firstLineChars="0"/>
              <w:jc w:val="center"/>
              <w:rPr>
                <w:color w:val="auto"/>
                <w:sz w:val="21"/>
                <w:szCs w:val="21"/>
              </w:rPr>
            </w:pPr>
            <w:r>
              <w:rPr>
                <w:rFonts w:hint="eastAsia"/>
                <w:color w:val="auto"/>
                <w:sz w:val="21"/>
                <w:szCs w:val="21"/>
              </w:rPr>
              <w:t>环评批复各项环境风险防控措施是否执行</w:t>
            </w:r>
          </w:p>
        </w:tc>
        <w:tc>
          <w:tcPr>
            <w:tcW w:w="3546" w:type="pct"/>
            <w:vAlign w:val="center"/>
          </w:tcPr>
          <w:p w14:paraId="14C7A749">
            <w:pPr>
              <w:spacing w:line="240" w:lineRule="auto"/>
              <w:ind w:firstLine="0" w:firstLineChars="0"/>
              <w:jc w:val="center"/>
              <w:rPr>
                <w:color w:val="auto"/>
                <w:sz w:val="21"/>
                <w:szCs w:val="21"/>
              </w:rPr>
            </w:pPr>
            <w:r>
              <w:rPr>
                <w:rFonts w:hint="eastAsia"/>
                <w:color w:val="auto"/>
                <w:sz w:val="21"/>
                <w:szCs w:val="21"/>
              </w:rPr>
              <w:t>已落实环评批复各项风险防控措施，如①厂区实施雨污分流；②配置了灭火器、消火栓、黄沙等消防设施③具有完善的消防系统④有紧急救护系统（设置药品、过滤式防毒面具等）⑤有应急处置物资（泄漏收集、拦截物质等）。</w:t>
            </w:r>
          </w:p>
        </w:tc>
      </w:tr>
      <w:tr w14:paraId="3F6A7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Align w:val="center"/>
          </w:tcPr>
          <w:p w14:paraId="1C6922C5">
            <w:pPr>
              <w:spacing w:line="240" w:lineRule="auto"/>
              <w:ind w:firstLine="0" w:firstLineChars="0"/>
              <w:jc w:val="center"/>
              <w:rPr>
                <w:color w:val="auto"/>
                <w:sz w:val="21"/>
                <w:szCs w:val="21"/>
              </w:rPr>
            </w:pPr>
            <w:r>
              <w:rPr>
                <w:rFonts w:hint="eastAsia"/>
                <w:color w:val="auto"/>
                <w:sz w:val="21"/>
                <w:szCs w:val="21"/>
              </w:rPr>
              <w:t>5</w:t>
            </w:r>
          </w:p>
        </w:tc>
        <w:tc>
          <w:tcPr>
            <w:tcW w:w="1068" w:type="pct"/>
            <w:vAlign w:val="center"/>
          </w:tcPr>
          <w:p w14:paraId="587B882A">
            <w:pPr>
              <w:spacing w:line="240" w:lineRule="auto"/>
              <w:ind w:firstLine="0" w:firstLineChars="0"/>
              <w:jc w:val="center"/>
              <w:rPr>
                <w:color w:val="auto"/>
                <w:sz w:val="21"/>
                <w:szCs w:val="21"/>
              </w:rPr>
            </w:pPr>
            <w:r>
              <w:rPr>
                <w:rFonts w:hint="eastAsia"/>
                <w:color w:val="auto"/>
                <w:sz w:val="21"/>
                <w:szCs w:val="21"/>
              </w:rPr>
              <w:t>环境应急预案及演练的制度是否已建立并良好执行</w:t>
            </w:r>
          </w:p>
        </w:tc>
        <w:tc>
          <w:tcPr>
            <w:tcW w:w="3546" w:type="pct"/>
            <w:vAlign w:val="center"/>
          </w:tcPr>
          <w:p w14:paraId="3FE23E5A">
            <w:pPr>
              <w:spacing w:line="240" w:lineRule="auto"/>
              <w:ind w:firstLine="0" w:firstLineChars="0"/>
              <w:jc w:val="center"/>
              <w:rPr>
                <w:color w:val="auto"/>
                <w:sz w:val="21"/>
                <w:szCs w:val="21"/>
              </w:rPr>
            </w:pPr>
            <w:r>
              <w:rPr>
                <w:rFonts w:hint="eastAsia"/>
                <w:color w:val="auto"/>
                <w:sz w:val="21"/>
                <w:szCs w:val="21"/>
              </w:rPr>
              <w:t>企业突发环境事件应急救援预案每年演练两次，演练方式可以采取实际演练和桌面纸质推演两种方式，演练由安环部主持组织演练，演练前安全部编制演习计划，经核准后召集所有参演人员进行讲解说明。</w:t>
            </w:r>
          </w:p>
        </w:tc>
      </w:tr>
      <w:tr w14:paraId="7DFF5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Align w:val="center"/>
          </w:tcPr>
          <w:p w14:paraId="35F618C4">
            <w:pPr>
              <w:spacing w:line="240" w:lineRule="auto"/>
              <w:ind w:firstLine="0" w:firstLineChars="0"/>
              <w:jc w:val="center"/>
              <w:rPr>
                <w:color w:val="auto"/>
                <w:sz w:val="21"/>
                <w:szCs w:val="21"/>
              </w:rPr>
            </w:pPr>
            <w:r>
              <w:rPr>
                <w:rFonts w:hint="eastAsia"/>
                <w:color w:val="auto"/>
                <w:sz w:val="21"/>
                <w:szCs w:val="21"/>
              </w:rPr>
              <w:t>6</w:t>
            </w:r>
          </w:p>
        </w:tc>
        <w:tc>
          <w:tcPr>
            <w:tcW w:w="1068" w:type="pct"/>
            <w:vAlign w:val="center"/>
          </w:tcPr>
          <w:p w14:paraId="691C8579">
            <w:pPr>
              <w:spacing w:line="240" w:lineRule="auto"/>
              <w:ind w:firstLine="0" w:firstLineChars="0"/>
              <w:jc w:val="center"/>
              <w:rPr>
                <w:color w:val="auto"/>
                <w:sz w:val="21"/>
                <w:szCs w:val="21"/>
              </w:rPr>
            </w:pPr>
            <w:r>
              <w:rPr>
                <w:rFonts w:hint="eastAsia"/>
                <w:color w:val="auto"/>
                <w:sz w:val="21"/>
                <w:szCs w:val="21"/>
              </w:rPr>
              <w:t>企业是否已对职工开展环境风险防控培训和环境应急管理宣传教育</w:t>
            </w:r>
          </w:p>
        </w:tc>
        <w:tc>
          <w:tcPr>
            <w:tcW w:w="3546" w:type="pct"/>
            <w:vAlign w:val="center"/>
          </w:tcPr>
          <w:p w14:paraId="03E1DD6D">
            <w:pPr>
              <w:spacing w:line="240" w:lineRule="auto"/>
              <w:ind w:firstLine="0" w:firstLineChars="0"/>
              <w:jc w:val="center"/>
              <w:rPr>
                <w:color w:val="auto"/>
                <w:sz w:val="21"/>
                <w:szCs w:val="21"/>
              </w:rPr>
            </w:pPr>
            <w:r>
              <w:rPr>
                <w:rFonts w:hint="eastAsia"/>
                <w:color w:val="auto"/>
                <w:sz w:val="21"/>
                <w:szCs w:val="21"/>
              </w:rPr>
              <w:t>突发环境事件应急救援预案发布后，由安环部组织进行全员培训（上公开课和车间现场讲解）和宣传（加入工厂三级教育工作中，宣传窗，公示栏等），并作为新进人员训练教材，对今后所有新进人员进行培训。应急救援组织成员由公司统一组织进行专题培训，分室内讲解（用电脑投影和黑板）和模拟演练二种方式。主要负责人及专职人员参加上级环保部门组织的专业培训。</w:t>
            </w:r>
          </w:p>
        </w:tc>
      </w:tr>
    </w:tbl>
    <w:p w14:paraId="1E4D038D">
      <w:pPr>
        <w:pStyle w:val="4"/>
        <w:rPr>
          <w:color w:val="auto"/>
        </w:rPr>
      </w:pPr>
      <w:bookmarkStart w:id="110" w:name="_Toc413"/>
      <w:r>
        <w:rPr>
          <w:rFonts w:hint="eastAsia"/>
          <w:color w:val="auto"/>
        </w:rPr>
        <w:t>3.6.3现有环境应急物资情况</w:t>
      </w:r>
      <w:bookmarkEnd w:id="110"/>
    </w:p>
    <w:p w14:paraId="6D734A7A">
      <w:pPr>
        <w:spacing w:line="460" w:lineRule="exact"/>
        <w:ind w:firstLine="480"/>
        <w:rPr>
          <w:color w:val="auto"/>
        </w:rPr>
      </w:pPr>
      <w:r>
        <w:rPr>
          <w:rFonts w:hint="eastAsia"/>
          <w:color w:val="auto"/>
        </w:rPr>
        <w:t>企业现有应急物资与装备见表3.6-4。</w:t>
      </w:r>
    </w:p>
    <w:p w14:paraId="6211998A">
      <w:pPr>
        <w:pStyle w:val="49"/>
        <w:rPr>
          <w:color w:val="auto"/>
        </w:rPr>
      </w:pPr>
      <w:r>
        <w:rPr>
          <w:rFonts w:hint="eastAsia"/>
          <w:color w:val="auto"/>
        </w:rPr>
        <w:t>表3.6-4  企业现有应急物资与装备一览表</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22"/>
        <w:gridCol w:w="2718"/>
        <w:gridCol w:w="1415"/>
        <w:gridCol w:w="1074"/>
        <w:gridCol w:w="1888"/>
        <w:gridCol w:w="1933"/>
      </w:tblGrid>
      <w:tr w14:paraId="171B6C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417" w:type="pct"/>
            <w:tcBorders>
              <w:tl2br w:val="nil"/>
              <w:tr2bl w:val="nil"/>
            </w:tcBorders>
            <w:vAlign w:val="center"/>
          </w:tcPr>
          <w:p w14:paraId="3B561FFB">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序号</w:t>
            </w:r>
          </w:p>
        </w:tc>
        <w:tc>
          <w:tcPr>
            <w:tcW w:w="1379" w:type="pct"/>
            <w:tcBorders>
              <w:tl2br w:val="nil"/>
              <w:tr2bl w:val="nil"/>
            </w:tcBorders>
            <w:vAlign w:val="center"/>
          </w:tcPr>
          <w:p w14:paraId="57D53A54">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名称</w:t>
            </w:r>
          </w:p>
        </w:tc>
        <w:tc>
          <w:tcPr>
            <w:tcW w:w="718" w:type="pct"/>
            <w:tcBorders>
              <w:tl2br w:val="nil"/>
              <w:tr2bl w:val="nil"/>
            </w:tcBorders>
            <w:vAlign w:val="center"/>
          </w:tcPr>
          <w:p w14:paraId="67E678B3">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型号/规格</w:t>
            </w:r>
          </w:p>
        </w:tc>
        <w:tc>
          <w:tcPr>
            <w:tcW w:w="545" w:type="pct"/>
            <w:tcBorders>
              <w:tl2br w:val="nil"/>
              <w:tr2bl w:val="nil"/>
            </w:tcBorders>
            <w:vAlign w:val="center"/>
          </w:tcPr>
          <w:p w14:paraId="6CDDB906">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储备量</w:t>
            </w:r>
          </w:p>
        </w:tc>
        <w:tc>
          <w:tcPr>
            <w:tcW w:w="958" w:type="pct"/>
            <w:tcBorders>
              <w:tl2br w:val="nil"/>
              <w:tr2bl w:val="nil"/>
            </w:tcBorders>
            <w:vAlign w:val="center"/>
          </w:tcPr>
          <w:p w14:paraId="5BDEB170">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主要功能</w:t>
            </w:r>
          </w:p>
        </w:tc>
        <w:tc>
          <w:tcPr>
            <w:tcW w:w="980" w:type="pct"/>
            <w:tcBorders>
              <w:tl2br w:val="nil"/>
              <w:tr2bl w:val="nil"/>
            </w:tcBorders>
            <w:vAlign w:val="center"/>
          </w:tcPr>
          <w:p w14:paraId="0B30FBE7">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区域</w:t>
            </w:r>
          </w:p>
        </w:tc>
      </w:tr>
      <w:tr w14:paraId="030CA6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398B2CC">
            <w:pPr>
              <w:widowControl/>
              <w:spacing w:line="240" w:lineRule="auto"/>
              <w:ind w:firstLine="0" w:firstLineChars="0"/>
              <w:jc w:val="center"/>
              <w:textAlignment w:val="center"/>
              <w:rPr>
                <w:rFonts w:cs="宋体"/>
                <w:color w:val="auto"/>
                <w:sz w:val="21"/>
                <w:szCs w:val="20"/>
              </w:rPr>
            </w:pPr>
            <w:r>
              <w:rPr>
                <w:rFonts w:cs="宋体"/>
                <w:color w:val="auto"/>
                <w:sz w:val="21"/>
                <w:szCs w:val="20"/>
              </w:rPr>
              <w:t>1</w:t>
            </w:r>
          </w:p>
        </w:tc>
        <w:tc>
          <w:tcPr>
            <w:tcW w:w="1379" w:type="pct"/>
            <w:vMerge w:val="restart"/>
            <w:tcBorders>
              <w:tl2br w:val="nil"/>
              <w:tr2bl w:val="nil"/>
            </w:tcBorders>
            <w:noWrap/>
            <w:vAlign w:val="center"/>
          </w:tcPr>
          <w:p w14:paraId="67DD8AB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vMerge w:val="restart"/>
            <w:tcBorders>
              <w:tl2br w:val="nil"/>
              <w:tr2bl w:val="nil"/>
            </w:tcBorders>
            <w:noWrap/>
            <w:vAlign w:val="center"/>
          </w:tcPr>
          <w:p w14:paraId="3915AFA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P-A-3</w:t>
            </w:r>
          </w:p>
        </w:tc>
        <w:tc>
          <w:tcPr>
            <w:tcW w:w="545" w:type="pct"/>
            <w:vMerge w:val="restart"/>
            <w:tcBorders>
              <w:tl2br w:val="nil"/>
              <w:tr2bl w:val="nil"/>
            </w:tcBorders>
            <w:noWrap/>
            <w:vAlign w:val="center"/>
          </w:tcPr>
          <w:p w14:paraId="164387C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vAlign w:val="center"/>
          </w:tcPr>
          <w:p w14:paraId="42081E6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安全防护</w:t>
            </w:r>
          </w:p>
        </w:tc>
        <w:tc>
          <w:tcPr>
            <w:tcW w:w="980" w:type="pct"/>
            <w:vMerge w:val="restart"/>
            <w:tcBorders>
              <w:tl2br w:val="nil"/>
              <w:tr2bl w:val="nil"/>
            </w:tcBorders>
            <w:vAlign w:val="center"/>
          </w:tcPr>
          <w:p w14:paraId="12A6222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盐酸苯肼重氮岗位</w:t>
            </w:r>
          </w:p>
        </w:tc>
      </w:tr>
      <w:tr w14:paraId="65D414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17" w:type="pct"/>
            <w:tcBorders>
              <w:tl2br w:val="nil"/>
              <w:tr2bl w:val="nil"/>
            </w:tcBorders>
            <w:noWrap/>
            <w:vAlign w:val="center"/>
          </w:tcPr>
          <w:p w14:paraId="0C2ABF51">
            <w:pPr>
              <w:widowControl/>
              <w:spacing w:line="240" w:lineRule="auto"/>
              <w:ind w:firstLine="0" w:firstLineChars="0"/>
              <w:jc w:val="center"/>
              <w:textAlignment w:val="center"/>
              <w:rPr>
                <w:rFonts w:cs="宋体"/>
                <w:color w:val="auto"/>
                <w:sz w:val="21"/>
                <w:szCs w:val="20"/>
              </w:rPr>
            </w:pPr>
            <w:r>
              <w:rPr>
                <w:rFonts w:cs="宋体"/>
                <w:color w:val="auto"/>
                <w:sz w:val="21"/>
                <w:szCs w:val="20"/>
              </w:rPr>
              <w:t>2</w:t>
            </w:r>
          </w:p>
        </w:tc>
        <w:tc>
          <w:tcPr>
            <w:tcW w:w="1379" w:type="pct"/>
            <w:vMerge w:val="continue"/>
            <w:tcBorders>
              <w:tl2br w:val="nil"/>
              <w:tr2bl w:val="nil"/>
            </w:tcBorders>
            <w:noWrap/>
            <w:vAlign w:val="center"/>
          </w:tcPr>
          <w:p w14:paraId="4D5F34E0">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632D593E">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38DA6A80">
            <w:pPr>
              <w:spacing w:line="240" w:lineRule="auto"/>
              <w:ind w:firstLine="0" w:firstLineChars="0"/>
              <w:jc w:val="center"/>
              <w:rPr>
                <w:rFonts w:cs="宋体"/>
                <w:color w:val="auto"/>
                <w:sz w:val="21"/>
                <w:szCs w:val="20"/>
              </w:rPr>
            </w:pPr>
          </w:p>
        </w:tc>
        <w:tc>
          <w:tcPr>
            <w:tcW w:w="958" w:type="pct"/>
            <w:vMerge w:val="continue"/>
            <w:tcBorders>
              <w:tl2br w:val="nil"/>
              <w:tr2bl w:val="nil"/>
            </w:tcBorders>
            <w:vAlign w:val="center"/>
          </w:tcPr>
          <w:p w14:paraId="446FE269">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40ABD36E">
            <w:pPr>
              <w:spacing w:line="240" w:lineRule="auto"/>
              <w:ind w:firstLine="0" w:firstLineChars="0"/>
              <w:jc w:val="center"/>
              <w:rPr>
                <w:rFonts w:cs="宋体"/>
                <w:color w:val="auto"/>
                <w:sz w:val="21"/>
                <w:szCs w:val="20"/>
              </w:rPr>
            </w:pPr>
          </w:p>
        </w:tc>
      </w:tr>
      <w:tr w14:paraId="3C9EF6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15CF9C80">
            <w:pPr>
              <w:widowControl/>
              <w:spacing w:line="240" w:lineRule="auto"/>
              <w:ind w:firstLine="0" w:firstLineChars="0"/>
              <w:jc w:val="center"/>
              <w:textAlignment w:val="center"/>
              <w:rPr>
                <w:rFonts w:cs="宋体"/>
                <w:color w:val="auto"/>
                <w:sz w:val="21"/>
                <w:szCs w:val="20"/>
              </w:rPr>
            </w:pPr>
            <w:r>
              <w:rPr>
                <w:rFonts w:cs="宋体"/>
                <w:color w:val="auto"/>
                <w:sz w:val="21"/>
                <w:szCs w:val="20"/>
              </w:rPr>
              <w:t>3</w:t>
            </w:r>
          </w:p>
        </w:tc>
        <w:tc>
          <w:tcPr>
            <w:tcW w:w="1379" w:type="pct"/>
            <w:vMerge w:val="continue"/>
            <w:tcBorders>
              <w:tl2br w:val="nil"/>
              <w:tr2bl w:val="nil"/>
            </w:tcBorders>
            <w:noWrap/>
            <w:vAlign w:val="center"/>
          </w:tcPr>
          <w:p w14:paraId="7FC50BCA">
            <w:pPr>
              <w:spacing w:line="240" w:lineRule="auto"/>
              <w:ind w:firstLine="0" w:firstLineChars="0"/>
              <w:jc w:val="center"/>
              <w:rPr>
                <w:rFonts w:cs="宋体"/>
                <w:color w:val="auto"/>
                <w:sz w:val="21"/>
                <w:szCs w:val="20"/>
              </w:rPr>
            </w:pPr>
          </w:p>
        </w:tc>
        <w:tc>
          <w:tcPr>
            <w:tcW w:w="718" w:type="pct"/>
            <w:vMerge w:val="restart"/>
            <w:tcBorders>
              <w:tl2br w:val="nil"/>
              <w:tr2bl w:val="nil"/>
            </w:tcBorders>
            <w:noWrap/>
            <w:vAlign w:val="center"/>
          </w:tcPr>
          <w:p w14:paraId="09647FF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vMerge w:val="restart"/>
            <w:tcBorders>
              <w:tl2br w:val="nil"/>
              <w:tr2bl w:val="nil"/>
            </w:tcBorders>
            <w:noWrap/>
            <w:vAlign w:val="center"/>
          </w:tcPr>
          <w:p w14:paraId="488BD68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1A66BDFF">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756826E4">
            <w:pPr>
              <w:spacing w:line="240" w:lineRule="auto"/>
              <w:ind w:firstLine="0" w:firstLineChars="0"/>
              <w:jc w:val="center"/>
              <w:rPr>
                <w:rFonts w:cs="宋体"/>
                <w:color w:val="auto"/>
                <w:sz w:val="21"/>
                <w:szCs w:val="20"/>
              </w:rPr>
            </w:pPr>
          </w:p>
        </w:tc>
      </w:tr>
      <w:tr w14:paraId="4EDD35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8268EDE">
            <w:pPr>
              <w:widowControl/>
              <w:spacing w:line="240" w:lineRule="auto"/>
              <w:ind w:firstLine="0" w:firstLineChars="0"/>
              <w:jc w:val="center"/>
              <w:textAlignment w:val="center"/>
              <w:rPr>
                <w:rFonts w:cs="宋体"/>
                <w:color w:val="auto"/>
                <w:sz w:val="21"/>
                <w:szCs w:val="20"/>
              </w:rPr>
            </w:pPr>
            <w:r>
              <w:rPr>
                <w:rFonts w:cs="宋体"/>
                <w:color w:val="auto"/>
                <w:sz w:val="21"/>
                <w:szCs w:val="20"/>
              </w:rPr>
              <w:t>4</w:t>
            </w:r>
          </w:p>
        </w:tc>
        <w:tc>
          <w:tcPr>
            <w:tcW w:w="1379" w:type="pct"/>
            <w:vMerge w:val="continue"/>
            <w:tcBorders>
              <w:tl2br w:val="nil"/>
              <w:tr2bl w:val="nil"/>
            </w:tcBorders>
            <w:noWrap/>
            <w:vAlign w:val="center"/>
          </w:tcPr>
          <w:p w14:paraId="062AA31D">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7812A6E3">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42F51A84">
            <w:pPr>
              <w:spacing w:line="240" w:lineRule="auto"/>
              <w:ind w:firstLine="0" w:firstLineChars="0"/>
              <w:jc w:val="center"/>
              <w:rPr>
                <w:rFonts w:cs="宋体"/>
                <w:color w:val="auto"/>
                <w:sz w:val="21"/>
                <w:szCs w:val="20"/>
              </w:rPr>
            </w:pPr>
          </w:p>
        </w:tc>
        <w:tc>
          <w:tcPr>
            <w:tcW w:w="958" w:type="pct"/>
            <w:vMerge w:val="continue"/>
            <w:tcBorders>
              <w:tl2br w:val="nil"/>
              <w:tr2bl w:val="nil"/>
            </w:tcBorders>
            <w:vAlign w:val="center"/>
          </w:tcPr>
          <w:p w14:paraId="1719DEA1">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46FFEAEA">
            <w:pPr>
              <w:spacing w:line="240" w:lineRule="auto"/>
              <w:ind w:firstLine="0" w:firstLineChars="0"/>
              <w:jc w:val="center"/>
              <w:rPr>
                <w:rFonts w:cs="宋体"/>
                <w:color w:val="auto"/>
                <w:sz w:val="21"/>
                <w:szCs w:val="20"/>
              </w:rPr>
            </w:pPr>
          </w:p>
        </w:tc>
      </w:tr>
      <w:tr w14:paraId="3A0366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94489C0">
            <w:pPr>
              <w:widowControl/>
              <w:spacing w:line="240" w:lineRule="auto"/>
              <w:ind w:firstLine="0" w:firstLineChars="0"/>
              <w:jc w:val="center"/>
              <w:textAlignment w:val="center"/>
              <w:rPr>
                <w:rFonts w:cs="宋体"/>
                <w:color w:val="auto"/>
                <w:sz w:val="21"/>
                <w:szCs w:val="20"/>
              </w:rPr>
            </w:pPr>
            <w:r>
              <w:rPr>
                <w:rFonts w:cs="宋体"/>
                <w:color w:val="auto"/>
                <w:sz w:val="21"/>
                <w:szCs w:val="20"/>
              </w:rPr>
              <w:t>5</w:t>
            </w:r>
          </w:p>
        </w:tc>
        <w:tc>
          <w:tcPr>
            <w:tcW w:w="1379" w:type="pct"/>
            <w:vMerge w:val="continue"/>
            <w:tcBorders>
              <w:tl2br w:val="nil"/>
              <w:tr2bl w:val="nil"/>
            </w:tcBorders>
            <w:noWrap/>
            <w:vAlign w:val="center"/>
          </w:tcPr>
          <w:p w14:paraId="7DA87F74">
            <w:pPr>
              <w:spacing w:line="240" w:lineRule="auto"/>
              <w:ind w:firstLine="0" w:firstLineChars="0"/>
              <w:jc w:val="center"/>
              <w:rPr>
                <w:rFonts w:cs="宋体"/>
                <w:color w:val="auto"/>
                <w:sz w:val="21"/>
                <w:szCs w:val="20"/>
              </w:rPr>
            </w:pPr>
          </w:p>
        </w:tc>
        <w:tc>
          <w:tcPr>
            <w:tcW w:w="718" w:type="pct"/>
            <w:vMerge w:val="restart"/>
            <w:tcBorders>
              <w:tl2br w:val="nil"/>
              <w:tr2bl w:val="nil"/>
            </w:tcBorders>
            <w:noWrap/>
            <w:vAlign w:val="center"/>
          </w:tcPr>
          <w:p w14:paraId="22B6481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475ED5E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134954D1">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4D97B941">
            <w:pPr>
              <w:spacing w:line="240" w:lineRule="auto"/>
              <w:ind w:firstLine="0" w:firstLineChars="0"/>
              <w:jc w:val="center"/>
              <w:rPr>
                <w:rFonts w:cs="宋体"/>
                <w:color w:val="auto"/>
                <w:sz w:val="21"/>
                <w:szCs w:val="20"/>
              </w:rPr>
            </w:pPr>
          </w:p>
        </w:tc>
      </w:tr>
      <w:tr w14:paraId="4F4342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1D4EB05">
            <w:pPr>
              <w:widowControl/>
              <w:spacing w:line="240" w:lineRule="auto"/>
              <w:ind w:firstLine="0" w:firstLineChars="0"/>
              <w:jc w:val="center"/>
              <w:textAlignment w:val="center"/>
              <w:rPr>
                <w:rFonts w:cs="宋体"/>
                <w:color w:val="auto"/>
                <w:sz w:val="21"/>
                <w:szCs w:val="20"/>
              </w:rPr>
            </w:pPr>
            <w:r>
              <w:rPr>
                <w:rFonts w:cs="宋体"/>
                <w:color w:val="auto"/>
                <w:sz w:val="21"/>
                <w:szCs w:val="20"/>
              </w:rPr>
              <w:t>6</w:t>
            </w:r>
          </w:p>
        </w:tc>
        <w:tc>
          <w:tcPr>
            <w:tcW w:w="1379" w:type="pct"/>
            <w:vMerge w:val="continue"/>
            <w:tcBorders>
              <w:tl2br w:val="nil"/>
              <w:tr2bl w:val="nil"/>
            </w:tcBorders>
            <w:noWrap/>
            <w:vAlign w:val="center"/>
          </w:tcPr>
          <w:p w14:paraId="09F2D0A6">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745C8477">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472DFFF">
            <w:pPr>
              <w:spacing w:line="240" w:lineRule="auto"/>
              <w:ind w:firstLine="0" w:firstLineChars="0"/>
              <w:jc w:val="center"/>
              <w:rPr>
                <w:rFonts w:cs="宋体"/>
                <w:color w:val="auto"/>
                <w:sz w:val="21"/>
                <w:szCs w:val="20"/>
              </w:rPr>
            </w:pPr>
          </w:p>
        </w:tc>
        <w:tc>
          <w:tcPr>
            <w:tcW w:w="958" w:type="pct"/>
            <w:vMerge w:val="continue"/>
            <w:tcBorders>
              <w:tl2br w:val="nil"/>
              <w:tr2bl w:val="nil"/>
            </w:tcBorders>
            <w:vAlign w:val="center"/>
          </w:tcPr>
          <w:p w14:paraId="3F24E74C">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49677D79">
            <w:pPr>
              <w:spacing w:line="240" w:lineRule="auto"/>
              <w:ind w:firstLine="0" w:firstLineChars="0"/>
              <w:jc w:val="center"/>
              <w:rPr>
                <w:rFonts w:cs="宋体"/>
                <w:color w:val="auto"/>
                <w:sz w:val="21"/>
                <w:szCs w:val="20"/>
              </w:rPr>
            </w:pPr>
          </w:p>
        </w:tc>
      </w:tr>
      <w:tr w14:paraId="0D9DBF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D81CF2B">
            <w:pPr>
              <w:widowControl/>
              <w:spacing w:line="240" w:lineRule="auto"/>
              <w:ind w:firstLine="0" w:firstLineChars="0"/>
              <w:jc w:val="center"/>
              <w:textAlignment w:val="center"/>
              <w:rPr>
                <w:rFonts w:cs="宋体"/>
                <w:color w:val="auto"/>
                <w:sz w:val="21"/>
                <w:szCs w:val="20"/>
              </w:rPr>
            </w:pPr>
            <w:r>
              <w:rPr>
                <w:rFonts w:cs="宋体"/>
                <w:color w:val="auto"/>
                <w:sz w:val="21"/>
                <w:szCs w:val="20"/>
              </w:rPr>
              <w:t>7</w:t>
            </w:r>
          </w:p>
        </w:tc>
        <w:tc>
          <w:tcPr>
            <w:tcW w:w="1379" w:type="pct"/>
            <w:tcBorders>
              <w:tl2br w:val="nil"/>
              <w:tr2bl w:val="nil"/>
            </w:tcBorders>
            <w:vAlign w:val="center"/>
          </w:tcPr>
          <w:p w14:paraId="1A4F4CC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718" w:type="pct"/>
            <w:tcBorders>
              <w:tl2br w:val="nil"/>
              <w:tr2bl w:val="nil"/>
            </w:tcBorders>
            <w:noWrap/>
            <w:vAlign w:val="center"/>
          </w:tcPr>
          <w:p w14:paraId="0A9ACA2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noWrap/>
            <w:vAlign w:val="center"/>
          </w:tcPr>
          <w:p w14:paraId="4B52698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18AC4166">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73A43C07">
            <w:pPr>
              <w:spacing w:line="240" w:lineRule="auto"/>
              <w:ind w:firstLine="0" w:firstLineChars="0"/>
              <w:jc w:val="center"/>
              <w:rPr>
                <w:rFonts w:cs="宋体"/>
                <w:color w:val="auto"/>
                <w:sz w:val="21"/>
                <w:szCs w:val="20"/>
              </w:rPr>
            </w:pPr>
          </w:p>
        </w:tc>
      </w:tr>
      <w:tr w14:paraId="199A9D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23A83DD3">
            <w:pPr>
              <w:widowControl/>
              <w:spacing w:line="240" w:lineRule="auto"/>
              <w:ind w:firstLine="0" w:firstLineChars="0"/>
              <w:jc w:val="center"/>
              <w:textAlignment w:val="center"/>
              <w:rPr>
                <w:rFonts w:cs="宋体"/>
                <w:color w:val="auto"/>
                <w:sz w:val="21"/>
                <w:szCs w:val="20"/>
              </w:rPr>
            </w:pPr>
            <w:r>
              <w:rPr>
                <w:rFonts w:cs="宋体"/>
                <w:color w:val="auto"/>
                <w:sz w:val="21"/>
                <w:szCs w:val="20"/>
              </w:rPr>
              <w:t>8</w:t>
            </w:r>
          </w:p>
        </w:tc>
        <w:tc>
          <w:tcPr>
            <w:tcW w:w="1379" w:type="pct"/>
            <w:vMerge w:val="restart"/>
            <w:tcBorders>
              <w:tl2br w:val="nil"/>
              <w:tr2bl w:val="nil"/>
            </w:tcBorders>
            <w:noWrap/>
            <w:vAlign w:val="center"/>
          </w:tcPr>
          <w:p w14:paraId="6403FFB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vMerge w:val="restart"/>
            <w:tcBorders>
              <w:tl2br w:val="nil"/>
              <w:tr2bl w:val="nil"/>
            </w:tcBorders>
            <w:noWrap/>
            <w:vAlign w:val="center"/>
          </w:tcPr>
          <w:p w14:paraId="7ABC0B7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4D07307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43D74854">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546D4877">
            <w:pPr>
              <w:spacing w:line="240" w:lineRule="auto"/>
              <w:ind w:firstLine="0" w:firstLineChars="0"/>
              <w:jc w:val="center"/>
              <w:rPr>
                <w:rFonts w:cs="宋体"/>
                <w:color w:val="auto"/>
                <w:sz w:val="21"/>
                <w:szCs w:val="20"/>
              </w:rPr>
            </w:pPr>
          </w:p>
        </w:tc>
      </w:tr>
      <w:tr w14:paraId="28688A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01DC80FF">
            <w:pPr>
              <w:widowControl/>
              <w:spacing w:line="240" w:lineRule="auto"/>
              <w:ind w:firstLine="0" w:firstLineChars="0"/>
              <w:jc w:val="center"/>
              <w:textAlignment w:val="center"/>
              <w:rPr>
                <w:rFonts w:cs="宋体"/>
                <w:color w:val="auto"/>
                <w:sz w:val="21"/>
                <w:szCs w:val="20"/>
              </w:rPr>
            </w:pPr>
            <w:r>
              <w:rPr>
                <w:rFonts w:cs="宋体"/>
                <w:color w:val="auto"/>
                <w:sz w:val="21"/>
                <w:szCs w:val="20"/>
              </w:rPr>
              <w:t>9</w:t>
            </w:r>
          </w:p>
        </w:tc>
        <w:tc>
          <w:tcPr>
            <w:tcW w:w="1379" w:type="pct"/>
            <w:vMerge w:val="continue"/>
            <w:tcBorders>
              <w:tl2br w:val="nil"/>
              <w:tr2bl w:val="nil"/>
            </w:tcBorders>
            <w:noWrap/>
            <w:vAlign w:val="center"/>
          </w:tcPr>
          <w:p w14:paraId="630DB816">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2F2138E3">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2F100F76">
            <w:pPr>
              <w:spacing w:line="240" w:lineRule="auto"/>
              <w:ind w:firstLine="0" w:firstLineChars="0"/>
              <w:jc w:val="center"/>
              <w:rPr>
                <w:rFonts w:cs="宋体"/>
                <w:color w:val="auto"/>
                <w:sz w:val="21"/>
                <w:szCs w:val="20"/>
              </w:rPr>
            </w:pPr>
          </w:p>
        </w:tc>
        <w:tc>
          <w:tcPr>
            <w:tcW w:w="958" w:type="pct"/>
            <w:vMerge w:val="continue"/>
            <w:tcBorders>
              <w:tl2br w:val="nil"/>
              <w:tr2bl w:val="nil"/>
            </w:tcBorders>
            <w:vAlign w:val="center"/>
          </w:tcPr>
          <w:p w14:paraId="3F69160D">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354C42C2">
            <w:pPr>
              <w:spacing w:line="240" w:lineRule="auto"/>
              <w:ind w:firstLine="0" w:firstLineChars="0"/>
              <w:jc w:val="center"/>
              <w:rPr>
                <w:rFonts w:cs="宋体"/>
                <w:color w:val="auto"/>
                <w:sz w:val="21"/>
                <w:szCs w:val="20"/>
              </w:rPr>
            </w:pPr>
          </w:p>
        </w:tc>
      </w:tr>
      <w:tr w14:paraId="62E440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06164A98">
            <w:pPr>
              <w:widowControl/>
              <w:spacing w:line="240" w:lineRule="auto"/>
              <w:ind w:firstLine="0" w:firstLineChars="0"/>
              <w:jc w:val="center"/>
              <w:textAlignment w:val="center"/>
              <w:rPr>
                <w:rFonts w:cs="宋体"/>
                <w:color w:val="auto"/>
                <w:sz w:val="21"/>
                <w:szCs w:val="20"/>
              </w:rPr>
            </w:pPr>
            <w:r>
              <w:rPr>
                <w:rFonts w:cs="宋体"/>
                <w:color w:val="auto"/>
                <w:sz w:val="21"/>
                <w:szCs w:val="20"/>
              </w:rPr>
              <w:t>10</w:t>
            </w:r>
          </w:p>
        </w:tc>
        <w:tc>
          <w:tcPr>
            <w:tcW w:w="1379" w:type="pct"/>
            <w:vMerge w:val="restart"/>
            <w:tcBorders>
              <w:tl2br w:val="nil"/>
              <w:tr2bl w:val="nil"/>
            </w:tcBorders>
            <w:noWrap/>
            <w:vAlign w:val="center"/>
          </w:tcPr>
          <w:p w14:paraId="6767CB4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718" w:type="pct"/>
            <w:tcBorders>
              <w:tl2br w:val="nil"/>
              <w:tr2bl w:val="nil"/>
            </w:tcBorders>
            <w:noWrap/>
            <w:vAlign w:val="center"/>
          </w:tcPr>
          <w:p w14:paraId="7458717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P-A-1</w:t>
            </w:r>
          </w:p>
        </w:tc>
        <w:tc>
          <w:tcPr>
            <w:tcW w:w="545" w:type="pct"/>
            <w:tcBorders>
              <w:tl2br w:val="nil"/>
              <w:tr2bl w:val="nil"/>
            </w:tcBorders>
            <w:noWrap/>
            <w:vAlign w:val="center"/>
          </w:tcPr>
          <w:p w14:paraId="4261679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vAlign w:val="center"/>
          </w:tcPr>
          <w:p w14:paraId="03866BF5">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241AE47C">
            <w:pPr>
              <w:spacing w:line="240" w:lineRule="auto"/>
              <w:ind w:firstLine="0" w:firstLineChars="0"/>
              <w:jc w:val="center"/>
              <w:rPr>
                <w:rFonts w:cs="宋体"/>
                <w:color w:val="auto"/>
                <w:sz w:val="21"/>
                <w:szCs w:val="20"/>
              </w:rPr>
            </w:pPr>
          </w:p>
        </w:tc>
      </w:tr>
      <w:tr w14:paraId="4DA772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18690D0">
            <w:pPr>
              <w:widowControl/>
              <w:spacing w:line="240" w:lineRule="auto"/>
              <w:ind w:firstLine="0" w:firstLineChars="0"/>
              <w:jc w:val="center"/>
              <w:textAlignment w:val="center"/>
              <w:rPr>
                <w:rFonts w:cs="宋体"/>
                <w:color w:val="auto"/>
                <w:sz w:val="21"/>
                <w:szCs w:val="20"/>
              </w:rPr>
            </w:pPr>
            <w:r>
              <w:rPr>
                <w:rFonts w:cs="宋体"/>
                <w:color w:val="auto"/>
                <w:sz w:val="21"/>
                <w:szCs w:val="20"/>
              </w:rPr>
              <w:t>11</w:t>
            </w:r>
          </w:p>
        </w:tc>
        <w:tc>
          <w:tcPr>
            <w:tcW w:w="1379" w:type="pct"/>
            <w:vMerge w:val="continue"/>
            <w:tcBorders>
              <w:tl2br w:val="nil"/>
              <w:tr2bl w:val="nil"/>
            </w:tcBorders>
            <w:noWrap/>
            <w:vAlign w:val="center"/>
          </w:tcPr>
          <w:p w14:paraId="5BC26FA8">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5E9EF0A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P-E-1</w:t>
            </w:r>
          </w:p>
        </w:tc>
        <w:tc>
          <w:tcPr>
            <w:tcW w:w="545" w:type="pct"/>
            <w:tcBorders>
              <w:tl2br w:val="nil"/>
              <w:tr2bl w:val="nil"/>
            </w:tcBorders>
            <w:noWrap/>
            <w:vAlign w:val="center"/>
          </w:tcPr>
          <w:p w14:paraId="18A6CAA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vAlign w:val="center"/>
          </w:tcPr>
          <w:p w14:paraId="45B93C66">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0C7AA9E7">
            <w:pPr>
              <w:spacing w:line="240" w:lineRule="auto"/>
              <w:ind w:firstLine="0" w:firstLineChars="0"/>
              <w:jc w:val="center"/>
              <w:rPr>
                <w:rFonts w:cs="宋体"/>
                <w:color w:val="auto"/>
                <w:sz w:val="21"/>
                <w:szCs w:val="20"/>
              </w:rPr>
            </w:pPr>
          </w:p>
        </w:tc>
      </w:tr>
      <w:tr w14:paraId="3A4D0F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1CC6C8A">
            <w:pPr>
              <w:widowControl/>
              <w:spacing w:line="240" w:lineRule="auto"/>
              <w:ind w:firstLine="0" w:firstLineChars="0"/>
              <w:jc w:val="center"/>
              <w:textAlignment w:val="center"/>
              <w:rPr>
                <w:rFonts w:cs="宋体"/>
                <w:color w:val="auto"/>
                <w:sz w:val="21"/>
                <w:szCs w:val="20"/>
              </w:rPr>
            </w:pPr>
            <w:r>
              <w:rPr>
                <w:rFonts w:cs="宋体"/>
                <w:color w:val="auto"/>
                <w:sz w:val="21"/>
                <w:szCs w:val="20"/>
              </w:rPr>
              <w:t>12</w:t>
            </w:r>
          </w:p>
        </w:tc>
        <w:tc>
          <w:tcPr>
            <w:tcW w:w="1379" w:type="pct"/>
            <w:vMerge w:val="continue"/>
            <w:tcBorders>
              <w:tl2br w:val="nil"/>
              <w:tr2bl w:val="nil"/>
            </w:tcBorders>
            <w:noWrap/>
            <w:vAlign w:val="center"/>
          </w:tcPr>
          <w:p w14:paraId="6FEE5416">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44368CC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tcBorders>
              <w:tl2br w:val="nil"/>
              <w:tr2bl w:val="nil"/>
            </w:tcBorders>
            <w:noWrap/>
            <w:vAlign w:val="center"/>
          </w:tcPr>
          <w:p w14:paraId="715267F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vAlign w:val="center"/>
          </w:tcPr>
          <w:p w14:paraId="0F77CF5C">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50407948">
            <w:pPr>
              <w:spacing w:line="240" w:lineRule="auto"/>
              <w:ind w:firstLine="0" w:firstLineChars="0"/>
              <w:jc w:val="center"/>
              <w:rPr>
                <w:rFonts w:cs="宋体"/>
                <w:color w:val="auto"/>
                <w:sz w:val="21"/>
                <w:szCs w:val="20"/>
              </w:rPr>
            </w:pPr>
          </w:p>
        </w:tc>
      </w:tr>
      <w:tr w14:paraId="1717DA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65C2A27">
            <w:pPr>
              <w:widowControl/>
              <w:spacing w:line="240" w:lineRule="auto"/>
              <w:ind w:firstLine="0" w:firstLineChars="0"/>
              <w:jc w:val="center"/>
              <w:textAlignment w:val="center"/>
              <w:rPr>
                <w:rFonts w:cs="宋体"/>
                <w:color w:val="auto"/>
                <w:sz w:val="21"/>
                <w:szCs w:val="20"/>
              </w:rPr>
            </w:pPr>
            <w:r>
              <w:rPr>
                <w:rFonts w:cs="宋体"/>
                <w:color w:val="auto"/>
                <w:sz w:val="21"/>
                <w:szCs w:val="20"/>
              </w:rPr>
              <w:t>13</w:t>
            </w:r>
          </w:p>
        </w:tc>
        <w:tc>
          <w:tcPr>
            <w:tcW w:w="1379" w:type="pct"/>
            <w:tcBorders>
              <w:tl2br w:val="nil"/>
              <w:tr2bl w:val="nil"/>
            </w:tcBorders>
            <w:vAlign w:val="center"/>
          </w:tcPr>
          <w:p w14:paraId="6034B8E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tcBorders>
              <w:tl2br w:val="nil"/>
              <w:tr2bl w:val="nil"/>
            </w:tcBorders>
            <w:noWrap/>
            <w:vAlign w:val="center"/>
          </w:tcPr>
          <w:p w14:paraId="721742F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C8651C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restart"/>
            <w:tcBorders>
              <w:tl2br w:val="nil"/>
              <w:tr2bl w:val="nil"/>
            </w:tcBorders>
            <w:vAlign w:val="center"/>
          </w:tcPr>
          <w:p w14:paraId="7914CD6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安全防护</w:t>
            </w:r>
          </w:p>
        </w:tc>
        <w:tc>
          <w:tcPr>
            <w:tcW w:w="980" w:type="pct"/>
            <w:vMerge w:val="continue"/>
            <w:tcBorders>
              <w:tl2br w:val="nil"/>
              <w:tr2bl w:val="nil"/>
            </w:tcBorders>
            <w:vAlign w:val="center"/>
          </w:tcPr>
          <w:p w14:paraId="55691B70">
            <w:pPr>
              <w:spacing w:line="240" w:lineRule="auto"/>
              <w:ind w:firstLine="0" w:firstLineChars="0"/>
              <w:jc w:val="center"/>
              <w:rPr>
                <w:rFonts w:cs="宋体"/>
                <w:color w:val="auto"/>
                <w:sz w:val="21"/>
                <w:szCs w:val="20"/>
              </w:rPr>
            </w:pPr>
          </w:p>
        </w:tc>
      </w:tr>
      <w:tr w14:paraId="3D2291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E6B4439">
            <w:pPr>
              <w:widowControl/>
              <w:spacing w:line="240" w:lineRule="auto"/>
              <w:ind w:firstLine="0" w:firstLineChars="0"/>
              <w:jc w:val="center"/>
              <w:textAlignment w:val="center"/>
              <w:rPr>
                <w:rFonts w:cs="宋体"/>
                <w:color w:val="auto"/>
                <w:sz w:val="21"/>
                <w:szCs w:val="20"/>
              </w:rPr>
            </w:pPr>
            <w:r>
              <w:rPr>
                <w:rFonts w:cs="宋体"/>
                <w:color w:val="auto"/>
                <w:sz w:val="21"/>
                <w:szCs w:val="20"/>
              </w:rPr>
              <w:t>14</w:t>
            </w:r>
          </w:p>
        </w:tc>
        <w:tc>
          <w:tcPr>
            <w:tcW w:w="1379" w:type="pct"/>
            <w:tcBorders>
              <w:tl2br w:val="nil"/>
              <w:tr2bl w:val="nil"/>
            </w:tcBorders>
            <w:noWrap/>
            <w:vAlign w:val="center"/>
          </w:tcPr>
          <w:p w14:paraId="5E77A62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tcBorders>
              <w:tl2br w:val="nil"/>
              <w:tr2bl w:val="nil"/>
            </w:tcBorders>
            <w:noWrap/>
            <w:vAlign w:val="center"/>
          </w:tcPr>
          <w:p w14:paraId="668904D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BFD2C0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4A21CA2A">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7CD90238">
            <w:pPr>
              <w:spacing w:line="240" w:lineRule="auto"/>
              <w:ind w:firstLine="0" w:firstLineChars="0"/>
              <w:jc w:val="center"/>
              <w:rPr>
                <w:rFonts w:cs="宋体"/>
                <w:color w:val="auto"/>
                <w:sz w:val="21"/>
                <w:szCs w:val="20"/>
              </w:rPr>
            </w:pPr>
          </w:p>
        </w:tc>
      </w:tr>
      <w:tr w14:paraId="5E9C2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00D9276">
            <w:pPr>
              <w:widowControl/>
              <w:spacing w:line="240" w:lineRule="auto"/>
              <w:ind w:firstLine="0" w:firstLineChars="0"/>
              <w:jc w:val="center"/>
              <w:textAlignment w:val="center"/>
              <w:rPr>
                <w:rFonts w:cs="宋体"/>
                <w:color w:val="auto"/>
                <w:sz w:val="21"/>
                <w:szCs w:val="20"/>
              </w:rPr>
            </w:pPr>
            <w:r>
              <w:rPr>
                <w:rFonts w:cs="宋体"/>
                <w:color w:val="auto"/>
                <w:sz w:val="21"/>
                <w:szCs w:val="20"/>
              </w:rPr>
              <w:t>15</w:t>
            </w:r>
          </w:p>
        </w:tc>
        <w:tc>
          <w:tcPr>
            <w:tcW w:w="1379" w:type="pct"/>
            <w:tcBorders>
              <w:tl2br w:val="nil"/>
              <w:tr2bl w:val="nil"/>
            </w:tcBorders>
            <w:noWrap/>
            <w:vAlign w:val="center"/>
          </w:tcPr>
          <w:p w14:paraId="5FD76E2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tcBorders>
              <w:tl2br w:val="nil"/>
              <w:tr2bl w:val="nil"/>
            </w:tcBorders>
            <w:noWrap/>
            <w:vAlign w:val="center"/>
          </w:tcPr>
          <w:p w14:paraId="4EB61A9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173E238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32768139">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008E4A6F">
            <w:pPr>
              <w:spacing w:line="240" w:lineRule="auto"/>
              <w:ind w:firstLine="0" w:firstLineChars="0"/>
              <w:jc w:val="center"/>
              <w:rPr>
                <w:rFonts w:cs="宋体"/>
                <w:color w:val="auto"/>
                <w:sz w:val="21"/>
                <w:szCs w:val="20"/>
              </w:rPr>
            </w:pPr>
          </w:p>
        </w:tc>
      </w:tr>
      <w:tr w14:paraId="5F0E95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69051BA">
            <w:pPr>
              <w:widowControl/>
              <w:spacing w:line="240" w:lineRule="auto"/>
              <w:ind w:firstLine="0" w:firstLineChars="0"/>
              <w:jc w:val="center"/>
              <w:textAlignment w:val="center"/>
              <w:rPr>
                <w:rFonts w:cs="宋体"/>
                <w:color w:val="auto"/>
                <w:sz w:val="21"/>
                <w:szCs w:val="20"/>
              </w:rPr>
            </w:pPr>
            <w:r>
              <w:rPr>
                <w:rFonts w:cs="宋体"/>
                <w:color w:val="auto"/>
                <w:sz w:val="21"/>
                <w:szCs w:val="20"/>
              </w:rPr>
              <w:t>16</w:t>
            </w:r>
          </w:p>
        </w:tc>
        <w:tc>
          <w:tcPr>
            <w:tcW w:w="1379" w:type="pct"/>
            <w:tcBorders>
              <w:tl2br w:val="nil"/>
              <w:tr2bl w:val="nil"/>
            </w:tcBorders>
            <w:noWrap/>
            <w:vAlign w:val="center"/>
          </w:tcPr>
          <w:p w14:paraId="6A11601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tcBorders>
              <w:tl2br w:val="nil"/>
              <w:tr2bl w:val="nil"/>
            </w:tcBorders>
            <w:noWrap/>
            <w:vAlign w:val="center"/>
          </w:tcPr>
          <w:p w14:paraId="7BB7C61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46E208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5435AE3A">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2913DC0F">
            <w:pPr>
              <w:spacing w:line="240" w:lineRule="auto"/>
              <w:ind w:firstLine="0" w:firstLineChars="0"/>
              <w:jc w:val="center"/>
              <w:rPr>
                <w:rFonts w:cs="宋体"/>
                <w:color w:val="auto"/>
                <w:sz w:val="21"/>
                <w:szCs w:val="20"/>
              </w:rPr>
            </w:pPr>
          </w:p>
        </w:tc>
      </w:tr>
      <w:tr w14:paraId="4E7E56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6F4A990">
            <w:pPr>
              <w:widowControl/>
              <w:spacing w:line="240" w:lineRule="auto"/>
              <w:ind w:firstLine="0" w:firstLineChars="0"/>
              <w:jc w:val="center"/>
              <w:textAlignment w:val="center"/>
              <w:rPr>
                <w:rFonts w:cs="宋体"/>
                <w:color w:val="auto"/>
                <w:sz w:val="21"/>
                <w:szCs w:val="20"/>
              </w:rPr>
            </w:pPr>
            <w:r>
              <w:rPr>
                <w:rFonts w:cs="宋体"/>
                <w:color w:val="auto"/>
                <w:sz w:val="21"/>
                <w:szCs w:val="20"/>
              </w:rPr>
              <w:t>17</w:t>
            </w:r>
          </w:p>
        </w:tc>
        <w:tc>
          <w:tcPr>
            <w:tcW w:w="1379" w:type="pct"/>
            <w:tcBorders>
              <w:tl2br w:val="nil"/>
              <w:tr2bl w:val="nil"/>
            </w:tcBorders>
            <w:vAlign w:val="center"/>
          </w:tcPr>
          <w:p w14:paraId="3A17271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tcBorders>
              <w:tl2br w:val="nil"/>
              <w:tr2bl w:val="nil"/>
            </w:tcBorders>
            <w:noWrap/>
            <w:vAlign w:val="center"/>
          </w:tcPr>
          <w:p w14:paraId="45A68B2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7A60B0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vAlign w:val="center"/>
          </w:tcPr>
          <w:p w14:paraId="7115244A">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493A3FA2">
            <w:pPr>
              <w:spacing w:line="240" w:lineRule="auto"/>
              <w:ind w:firstLine="0" w:firstLineChars="0"/>
              <w:jc w:val="center"/>
              <w:rPr>
                <w:rFonts w:cs="宋体"/>
                <w:color w:val="auto"/>
                <w:sz w:val="21"/>
                <w:szCs w:val="20"/>
              </w:rPr>
            </w:pPr>
          </w:p>
        </w:tc>
      </w:tr>
      <w:tr w14:paraId="0411F8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388EB88">
            <w:pPr>
              <w:widowControl/>
              <w:spacing w:line="240" w:lineRule="auto"/>
              <w:ind w:firstLine="0" w:firstLineChars="0"/>
              <w:jc w:val="center"/>
              <w:textAlignment w:val="center"/>
              <w:rPr>
                <w:rFonts w:cs="宋体"/>
                <w:color w:val="auto"/>
                <w:sz w:val="21"/>
                <w:szCs w:val="20"/>
              </w:rPr>
            </w:pPr>
            <w:r>
              <w:rPr>
                <w:rFonts w:cs="宋体"/>
                <w:color w:val="auto"/>
                <w:sz w:val="21"/>
                <w:szCs w:val="20"/>
              </w:rPr>
              <w:t>18</w:t>
            </w:r>
          </w:p>
        </w:tc>
        <w:tc>
          <w:tcPr>
            <w:tcW w:w="1379" w:type="pct"/>
            <w:vMerge w:val="restart"/>
            <w:tcBorders>
              <w:tl2br w:val="nil"/>
              <w:tr2bl w:val="nil"/>
            </w:tcBorders>
            <w:noWrap/>
            <w:vAlign w:val="center"/>
          </w:tcPr>
          <w:p w14:paraId="5170D7A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vMerge w:val="restart"/>
            <w:tcBorders>
              <w:tl2br w:val="nil"/>
              <w:tr2bl w:val="nil"/>
            </w:tcBorders>
            <w:noWrap/>
            <w:vAlign w:val="center"/>
          </w:tcPr>
          <w:p w14:paraId="5004DB0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vMerge w:val="restart"/>
            <w:tcBorders>
              <w:tl2br w:val="nil"/>
              <w:tr2bl w:val="nil"/>
            </w:tcBorders>
            <w:noWrap/>
            <w:vAlign w:val="center"/>
          </w:tcPr>
          <w:p w14:paraId="1C523AA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vAlign w:val="center"/>
          </w:tcPr>
          <w:p w14:paraId="06439AA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安全防护</w:t>
            </w:r>
          </w:p>
        </w:tc>
        <w:tc>
          <w:tcPr>
            <w:tcW w:w="980" w:type="pct"/>
            <w:vMerge w:val="restart"/>
            <w:tcBorders>
              <w:tl2br w:val="nil"/>
              <w:tr2bl w:val="nil"/>
            </w:tcBorders>
            <w:vAlign w:val="center"/>
          </w:tcPr>
          <w:p w14:paraId="5D8776A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盐酸苯肼离心岗位</w:t>
            </w:r>
          </w:p>
        </w:tc>
      </w:tr>
      <w:tr w14:paraId="4D548C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B36992C">
            <w:pPr>
              <w:widowControl/>
              <w:spacing w:line="240" w:lineRule="auto"/>
              <w:ind w:firstLine="0" w:firstLineChars="0"/>
              <w:jc w:val="center"/>
              <w:textAlignment w:val="center"/>
              <w:rPr>
                <w:rFonts w:cs="宋体"/>
                <w:color w:val="auto"/>
                <w:sz w:val="21"/>
                <w:szCs w:val="20"/>
              </w:rPr>
            </w:pPr>
            <w:r>
              <w:rPr>
                <w:rFonts w:cs="宋体"/>
                <w:color w:val="auto"/>
                <w:sz w:val="21"/>
                <w:szCs w:val="20"/>
              </w:rPr>
              <w:t>19</w:t>
            </w:r>
          </w:p>
        </w:tc>
        <w:tc>
          <w:tcPr>
            <w:tcW w:w="1379" w:type="pct"/>
            <w:vMerge w:val="continue"/>
            <w:tcBorders>
              <w:tl2br w:val="nil"/>
              <w:tr2bl w:val="nil"/>
            </w:tcBorders>
            <w:noWrap/>
            <w:vAlign w:val="center"/>
          </w:tcPr>
          <w:p w14:paraId="7446BEB6">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481E9832">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F9F15B0">
            <w:pPr>
              <w:spacing w:line="240" w:lineRule="auto"/>
              <w:ind w:firstLine="0" w:firstLineChars="0"/>
              <w:jc w:val="center"/>
              <w:rPr>
                <w:rFonts w:cs="宋体"/>
                <w:color w:val="auto"/>
                <w:sz w:val="21"/>
                <w:szCs w:val="20"/>
              </w:rPr>
            </w:pPr>
          </w:p>
        </w:tc>
        <w:tc>
          <w:tcPr>
            <w:tcW w:w="958" w:type="pct"/>
            <w:vMerge w:val="continue"/>
            <w:tcBorders>
              <w:tl2br w:val="nil"/>
              <w:tr2bl w:val="nil"/>
            </w:tcBorders>
            <w:vAlign w:val="center"/>
          </w:tcPr>
          <w:p w14:paraId="40987BCE">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0155B5DC">
            <w:pPr>
              <w:spacing w:line="240" w:lineRule="auto"/>
              <w:ind w:firstLine="0" w:firstLineChars="0"/>
              <w:jc w:val="center"/>
              <w:rPr>
                <w:rFonts w:cs="宋体"/>
                <w:color w:val="auto"/>
                <w:sz w:val="21"/>
                <w:szCs w:val="20"/>
              </w:rPr>
            </w:pPr>
          </w:p>
        </w:tc>
      </w:tr>
      <w:tr w14:paraId="011B2A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EE57846">
            <w:pPr>
              <w:widowControl/>
              <w:spacing w:line="240" w:lineRule="auto"/>
              <w:ind w:firstLine="0" w:firstLineChars="0"/>
              <w:jc w:val="center"/>
              <w:textAlignment w:val="center"/>
              <w:rPr>
                <w:rFonts w:cs="宋体"/>
                <w:color w:val="auto"/>
                <w:sz w:val="21"/>
                <w:szCs w:val="20"/>
              </w:rPr>
            </w:pPr>
            <w:r>
              <w:rPr>
                <w:rFonts w:cs="宋体"/>
                <w:color w:val="auto"/>
                <w:sz w:val="21"/>
                <w:szCs w:val="20"/>
              </w:rPr>
              <w:t>20</w:t>
            </w:r>
          </w:p>
        </w:tc>
        <w:tc>
          <w:tcPr>
            <w:tcW w:w="1379" w:type="pct"/>
            <w:tcBorders>
              <w:tl2br w:val="nil"/>
              <w:tr2bl w:val="nil"/>
            </w:tcBorders>
            <w:noWrap/>
            <w:vAlign w:val="center"/>
          </w:tcPr>
          <w:p w14:paraId="59934EF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tcBorders>
              <w:tl2br w:val="nil"/>
              <w:tr2bl w:val="nil"/>
            </w:tcBorders>
            <w:noWrap/>
            <w:vAlign w:val="center"/>
          </w:tcPr>
          <w:p w14:paraId="0225FC6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0E1975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50CFE72A">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0141EBA4">
            <w:pPr>
              <w:spacing w:line="240" w:lineRule="auto"/>
              <w:ind w:firstLine="0" w:firstLineChars="0"/>
              <w:jc w:val="center"/>
              <w:rPr>
                <w:rFonts w:cs="宋体"/>
                <w:color w:val="auto"/>
                <w:sz w:val="21"/>
                <w:szCs w:val="20"/>
              </w:rPr>
            </w:pPr>
          </w:p>
        </w:tc>
      </w:tr>
      <w:tr w14:paraId="53915D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7D58B5A">
            <w:pPr>
              <w:widowControl/>
              <w:spacing w:line="240" w:lineRule="auto"/>
              <w:ind w:firstLine="0" w:firstLineChars="0"/>
              <w:jc w:val="center"/>
              <w:textAlignment w:val="center"/>
              <w:rPr>
                <w:rFonts w:cs="宋体"/>
                <w:color w:val="auto"/>
                <w:sz w:val="21"/>
                <w:szCs w:val="20"/>
              </w:rPr>
            </w:pPr>
            <w:r>
              <w:rPr>
                <w:rFonts w:cs="宋体"/>
                <w:color w:val="auto"/>
                <w:sz w:val="21"/>
                <w:szCs w:val="20"/>
              </w:rPr>
              <w:t>21</w:t>
            </w:r>
          </w:p>
        </w:tc>
        <w:tc>
          <w:tcPr>
            <w:tcW w:w="1379" w:type="pct"/>
            <w:tcBorders>
              <w:tl2br w:val="nil"/>
              <w:tr2bl w:val="nil"/>
            </w:tcBorders>
            <w:noWrap/>
            <w:vAlign w:val="center"/>
          </w:tcPr>
          <w:p w14:paraId="5626593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718" w:type="pct"/>
            <w:tcBorders>
              <w:tl2br w:val="nil"/>
              <w:tr2bl w:val="nil"/>
            </w:tcBorders>
            <w:noWrap/>
            <w:vAlign w:val="center"/>
          </w:tcPr>
          <w:p w14:paraId="78E4CAA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P-E-1</w:t>
            </w:r>
          </w:p>
        </w:tc>
        <w:tc>
          <w:tcPr>
            <w:tcW w:w="545" w:type="pct"/>
            <w:tcBorders>
              <w:tl2br w:val="nil"/>
              <w:tr2bl w:val="nil"/>
            </w:tcBorders>
            <w:noWrap/>
            <w:vAlign w:val="center"/>
          </w:tcPr>
          <w:p w14:paraId="0D2AAE3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vAlign w:val="center"/>
          </w:tcPr>
          <w:p w14:paraId="0ACAEE1A">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0B98E20C">
            <w:pPr>
              <w:spacing w:line="240" w:lineRule="auto"/>
              <w:ind w:firstLine="0" w:firstLineChars="0"/>
              <w:jc w:val="center"/>
              <w:rPr>
                <w:rFonts w:cs="宋体"/>
                <w:color w:val="auto"/>
                <w:sz w:val="21"/>
                <w:szCs w:val="20"/>
              </w:rPr>
            </w:pPr>
          </w:p>
        </w:tc>
      </w:tr>
      <w:tr w14:paraId="7F7D95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20272732">
            <w:pPr>
              <w:widowControl/>
              <w:spacing w:line="240" w:lineRule="auto"/>
              <w:ind w:firstLine="0" w:firstLineChars="0"/>
              <w:jc w:val="center"/>
              <w:textAlignment w:val="center"/>
              <w:rPr>
                <w:rFonts w:cs="宋体"/>
                <w:color w:val="auto"/>
                <w:sz w:val="21"/>
                <w:szCs w:val="20"/>
              </w:rPr>
            </w:pPr>
            <w:r>
              <w:rPr>
                <w:rFonts w:cs="宋体"/>
                <w:color w:val="auto"/>
                <w:sz w:val="21"/>
                <w:szCs w:val="20"/>
              </w:rPr>
              <w:t>22</w:t>
            </w:r>
          </w:p>
        </w:tc>
        <w:tc>
          <w:tcPr>
            <w:tcW w:w="1379" w:type="pct"/>
            <w:tcBorders>
              <w:tl2br w:val="nil"/>
              <w:tr2bl w:val="nil"/>
            </w:tcBorders>
            <w:vAlign w:val="center"/>
          </w:tcPr>
          <w:p w14:paraId="45C9B24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tcBorders>
              <w:tl2br w:val="nil"/>
              <w:tr2bl w:val="nil"/>
            </w:tcBorders>
            <w:noWrap/>
            <w:vAlign w:val="center"/>
          </w:tcPr>
          <w:p w14:paraId="4111E70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F11910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68AE7262">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44FB08FF">
            <w:pPr>
              <w:spacing w:line="240" w:lineRule="auto"/>
              <w:ind w:firstLine="0" w:firstLineChars="0"/>
              <w:jc w:val="center"/>
              <w:rPr>
                <w:rFonts w:cs="宋体"/>
                <w:color w:val="auto"/>
                <w:sz w:val="21"/>
                <w:szCs w:val="20"/>
              </w:rPr>
            </w:pPr>
          </w:p>
        </w:tc>
      </w:tr>
      <w:tr w14:paraId="037A41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F8CCDED">
            <w:pPr>
              <w:widowControl/>
              <w:spacing w:line="240" w:lineRule="auto"/>
              <w:ind w:firstLine="0" w:firstLineChars="0"/>
              <w:jc w:val="center"/>
              <w:textAlignment w:val="center"/>
              <w:rPr>
                <w:rFonts w:cs="宋体"/>
                <w:color w:val="auto"/>
                <w:sz w:val="21"/>
                <w:szCs w:val="20"/>
              </w:rPr>
            </w:pPr>
            <w:r>
              <w:rPr>
                <w:rFonts w:cs="宋体"/>
                <w:color w:val="auto"/>
                <w:sz w:val="21"/>
                <w:szCs w:val="20"/>
              </w:rPr>
              <w:t>23.</w:t>
            </w:r>
          </w:p>
        </w:tc>
        <w:tc>
          <w:tcPr>
            <w:tcW w:w="1379" w:type="pct"/>
            <w:tcBorders>
              <w:tl2br w:val="nil"/>
              <w:tr2bl w:val="nil"/>
            </w:tcBorders>
            <w:noWrap/>
            <w:vAlign w:val="center"/>
          </w:tcPr>
          <w:p w14:paraId="6F9CAA2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tcBorders>
              <w:tl2br w:val="nil"/>
              <w:tr2bl w:val="nil"/>
            </w:tcBorders>
            <w:noWrap/>
            <w:vAlign w:val="center"/>
          </w:tcPr>
          <w:p w14:paraId="5EA8F91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E1FFBE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4422B8D8">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16EFE963">
            <w:pPr>
              <w:spacing w:line="240" w:lineRule="auto"/>
              <w:ind w:firstLine="0" w:firstLineChars="0"/>
              <w:jc w:val="center"/>
              <w:rPr>
                <w:rFonts w:cs="宋体"/>
                <w:color w:val="auto"/>
                <w:sz w:val="21"/>
                <w:szCs w:val="20"/>
              </w:rPr>
            </w:pPr>
          </w:p>
        </w:tc>
      </w:tr>
      <w:tr w14:paraId="70554C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1E57E9F8">
            <w:pPr>
              <w:widowControl/>
              <w:spacing w:line="240" w:lineRule="auto"/>
              <w:ind w:firstLine="0" w:firstLineChars="0"/>
              <w:jc w:val="center"/>
              <w:textAlignment w:val="center"/>
              <w:rPr>
                <w:rFonts w:cs="宋体"/>
                <w:color w:val="auto"/>
                <w:sz w:val="21"/>
                <w:szCs w:val="20"/>
              </w:rPr>
            </w:pPr>
            <w:r>
              <w:rPr>
                <w:rFonts w:cs="宋体"/>
                <w:color w:val="auto"/>
                <w:sz w:val="21"/>
                <w:szCs w:val="20"/>
              </w:rPr>
              <w:t>24</w:t>
            </w:r>
          </w:p>
        </w:tc>
        <w:tc>
          <w:tcPr>
            <w:tcW w:w="1379" w:type="pct"/>
            <w:tcBorders>
              <w:tl2br w:val="nil"/>
              <w:tr2bl w:val="nil"/>
            </w:tcBorders>
            <w:noWrap/>
            <w:vAlign w:val="center"/>
          </w:tcPr>
          <w:p w14:paraId="3674891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tcBorders>
              <w:tl2br w:val="nil"/>
              <w:tr2bl w:val="nil"/>
            </w:tcBorders>
            <w:noWrap/>
            <w:vAlign w:val="center"/>
          </w:tcPr>
          <w:p w14:paraId="340B7E1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34BF45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4B2696B9">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5850FCCA">
            <w:pPr>
              <w:spacing w:line="240" w:lineRule="auto"/>
              <w:ind w:firstLine="0" w:firstLineChars="0"/>
              <w:jc w:val="center"/>
              <w:rPr>
                <w:rFonts w:cs="宋体"/>
                <w:color w:val="auto"/>
                <w:sz w:val="21"/>
                <w:szCs w:val="20"/>
              </w:rPr>
            </w:pPr>
          </w:p>
        </w:tc>
      </w:tr>
      <w:tr w14:paraId="43D9D9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7AFFCC5">
            <w:pPr>
              <w:widowControl/>
              <w:spacing w:line="240" w:lineRule="auto"/>
              <w:ind w:firstLine="0" w:firstLineChars="0"/>
              <w:jc w:val="center"/>
              <w:textAlignment w:val="center"/>
              <w:rPr>
                <w:rFonts w:cs="宋体"/>
                <w:color w:val="auto"/>
                <w:sz w:val="21"/>
                <w:szCs w:val="20"/>
              </w:rPr>
            </w:pPr>
            <w:r>
              <w:rPr>
                <w:rFonts w:cs="宋体"/>
                <w:color w:val="auto"/>
                <w:sz w:val="21"/>
                <w:szCs w:val="20"/>
              </w:rPr>
              <w:t>25</w:t>
            </w:r>
          </w:p>
        </w:tc>
        <w:tc>
          <w:tcPr>
            <w:tcW w:w="1379" w:type="pct"/>
            <w:tcBorders>
              <w:tl2br w:val="nil"/>
              <w:tr2bl w:val="nil"/>
            </w:tcBorders>
            <w:noWrap/>
            <w:vAlign w:val="center"/>
          </w:tcPr>
          <w:p w14:paraId="6A371E0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tcBorders>
              <w:tl2br w:val="nil"/>
              <w:tr2bl w:val="nil"/>
            </w:tcBorders>
            <w:noWrap/>
            <w:vAlign w:val="center"/>
          </w:tcPr>
          <w:p w14:paraId="7ED7A0B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F4B0CB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04F32363">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36AEABFC">
            <w:pPr>
              <w:spacing w:line="240" w:lineRule="auto"/>
              <w:ind w:firstLine="0" w:firstLineChars="0"/>
              <w:jc w:val="center"/>
              <w:rPr>
                <w:rFonts w:cs="宋体"/>
                <w:color w:val="auto"/>
                <w:sz w:val="21"/>
                <w:szCs w:val="20"/>
              </w:rPr>
            </w:pPr>
          </w:p>
        </w:tc>
      </w:tr>
      <w:tr w14:paraId="54B3F5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4220DB3">
            <w:pPr>
              <w:widowControl/>
              <w:spacing w:line="240" w:lineRule="auto"/>
              <w:ind w:firstLine="0" w:firstLineChars="0"/>
              <w:jc w:val="center"/>
              <w:textAlignment w:val="center"/>
              <w:rPr>
                <w:rFonts w:cs="宋体"/>
                <w:color w:val="auto"/>
                <w:sz w:val="21"/>
                <w:szCs w:val="20"/>
              </w:rPr>
            </w:pPr>
            <w:r>
              <w:rPr>
                <w:rFonts w:cs="宋体"/>
                <w:color w:val="auto"/>
                <w:sz w:val="21"/>
                <w:szCs w:val="20"/>
              </w:rPr>
              <w:t>26</w:t>
            </w:r>
          </w:p>
        </w:tc>
        <w:tc>
          <w:tcPr>
            <w:tcW w:w="1379" w:type="pct"/>
            <w:tcBorders>
              <w:tl2br w:val="nil"/>
              <w:tr2bl w:val="nil"/>
            </w:tcBorders>
            <w:vAlign w:val="center"/>
          </w:tcPr>
          <w:p w14:paraId="0A03B80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香皂</w:t>
            </w:r>
          </w:p>
        </w:tc>
        <w:tc>
          <w:tcPr>
            <w:tcW w:w="718" w:type="pct"/>
            <w:tcBorders>
              <w:tl2br w:val="nil"/>
              <w:tr2bl w:val="nil"/>
            </w:tcBorders>
            <w:noWrap/>
            <w:vAlign w:val="center"/>
          </w:tcPr>
          <w:p w14:paraId="1863BFD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125g</w:t>
            </w:r>
          </w:p>
        </w:tc>
        <w:tc>
          <w:tcPr>
            <w:tcW w:w="545" w:type="pct"/>
            <w:tcBorders>
              <w:tl2br w:val="nil"/>
              <w:tr2bl w:val="nil"/>
            </w:tcBorders>
            <w:noWrap/>
            <w:vAlign w:val="center"/>
          </w:tcPr>
          <w:p w14:paraId="679F2F0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2块</w:t>
            </w:r>
          </w:p>
        </w:tc>
        <w:tc>
          <w:tcPr>
            <w:tcW w:w="958" w:type="pct"/>
            <w:vMerge w:val="continue"/>
            <w:tcBorders>
              <w:tl2br w:val="nil"/>
              <w:tr2bl w:val="nil"/>
            </w:tcBorders>
            <w:vAlign w:val="center"/>
          </w:tcPr>
          <w:p w14:paraId="1E2D5CDD">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37104A2C">
            <w:pPr>
              <w:spacing w:line="240" w:lineRule="auto"/>
              <w:ind w:firstLine="0" w:firstLineChars="0"/>
              <w:jc w:val="center"/>
              <w:rPr>
                <w:rFonts w:cs="宋体"/>
                <w:color w:val="auto"/>
                <w:sz w:val="21"/>
                <w:szCs w:val="20"/>
              </w:rPr>
            </w:pPr>
          </w:p>
        </w:tc>
      </w:tr>
      <w:tr w14:paraId="66EC14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BB07C36">
            <w:pPr>
              <w:widowControl/>
              <w:spacing w:line="240" w:lineRule="auto"/>
              <w:ind w:firstLine="0" w:firstLineChars="0"/>
              <w:jc w:val="center"/>
              <w:textAlignment w:val="center"/>
              <w:rPr>
                <w:rFonts w:cs="宋体"/>
                <w:color w:val="auto"/>
                <w:sz w:val="21"/>
                <w:szCs w:val="20"/>
              </w:rPr>
            </w:pPr>
            <w:r>
              <w:rPr>
                <w:rFonts w:cs="宋体"/>
                <w:color w:val="auto"/>
                <w:sz w:val="21"/>
                <w:szCs w:val="20"/>
              </w:rPr>
              <w:t>27</w:t>
            </w:r>
          </w:p>
        </w:tc>
        <w:tc>
          <w:tcPr>
            <w:tcW w:w="1379" w:type="pct"/>
            <w:tcBorders>
              <w:tl2br w:val="nil"/>
              <w:tr2bl w:val="nil"/>
            </w:tcBorders>
            <w:vAlign w:val="center"/>
          </w:tcPr>
          <w:p w14:paraId="5536620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毛巾</w:t>
            </w:r>
          </w:p>
        </w:tc>
        <w:tc>
          <w:tcPr>
            <w:tcW w:w="718" w:type="pct"/>
            <w:tcBorders>
              <w:tl2br w:val="nil"/>
              <w:tr2bl w:val="nil"/>
            </w:tcBorders>
            <w:noWrap/>
            <w:vAlign w:val="center"/>
          </w:tcPr>
          <w:p w14:paraId="7BB48A3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2FB38F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2条</w:t>
            </w:r>
          </w:p>
        </w:tc>
        <w:tc>
          <w:tcPr>
            <w:tcW w:w="958" w:type="pct"/>
            <w:vMerge w:val="continue"/>
            <w:tcBorders>
              <w:tl2br w:val="nil"/>
              <w:tr2bl w:val="nil"/>
            </w:tcBorders>
            <w:vAlign w:val="center"/>
          </w:tcPr>
          <w:p w14:paraId="58BA0BD0">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5976944D">
            <w:pPr>
              <w:spacing w:line="240" w:lineRule="auto"/>
              <w:ind w:firstLine="0" w:firstLineChars="0"/>
              <w:jc w:val="center"/>
              <w:rPr>
                <w:rFonts w:cs="宋体"/>
                <w:color w:val="auto"/>
                <w:sz w:val="21"/>
                <w:szCs w:val="20"/>
              </w:rPr>
            </w:pPr>
          </w:p>
        </w:tc>
      </w:tr>
      <w:tr w14:paraId="08B25E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F61C660">
            <w:pPr>
              <w:widowControl/>
              <w:spacing w:line="240" w:lineRule="auto"/>
              <w:ind w:firstLine="0" w:firstLineChars="0"/>
              <w:jc w:val="center"/>
              <w:textAlignment w:val="center"/>
              <w:rPr>
                <w:rFonts w:cs="宋体"/>
                <w:color w:val="auto"/>
                <w:sz w:val="21"/>
                <w:szCs w:val="20"/>
              </w:rPr>
            </w:pPr>
            <w:r>
              <w:rPr>
                <w:rFonts w:cs="宋体"/>
                <w:color w:val="auto"/>
                <w:sz w:val="21"/>
                <w:szCs w:val="20"/>
              </w:rPr>
              <w:t>28</w:t>
            </w:r>
          </w:p>
        </w:tc>
        <w:tc>
          <w:tcPr>
            <w:tcW w:w="1379" w:type="pct"/>
            <w:tcBorders>
              <w:tl2br w:val="nil"/>
              <w:tr2bl w:val="nil"/>
            </w:tcBorders>
            <w:vAlign w:val="center"/>
          </w:tcPr>
          <w:p w14:paraId="388C9C4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tcBorders>
              <w:tl2br w:val="nil"/>
              <w:tr2bl w:val="nil"/>
            </w:tcBorders>
            <w:noWrap/>
            <w:vAlign w:val="center"/>
          </w:tcPr>
          <w:p w14:paraId="5D7FAD5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4D30BB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vAlign w:val="center"/>
          </w:tcPr>
          <w:p w14:paraId="1C7F7806">
            <w:pPr>
              <w:spacing w:line="240" w:lineRule="auto"/>
              <w:ind w:firstLine="0" w:firstLineChars="0"/>
              <w:jc w:val="center"/>
              <w:rPr>
                <w:rFonts w:cs="宋体"/>
                <w:color w:val="auto"/>
                <w:sz w:val="21"/>
                <w:szCs w:val="20"/>
              </w:rPr>
            </w:pPr>
          </w:p>
        </w:tc>
        <w:tc>
          <w:tcPr>
            <w:tcW w:w="980" w:type="pct"/>
            <w:vMerge w:val="continue"/>
            <w:tcBorders>
              <w:tl2br w:val="nil"/>
              <w:tr2bl w:val="nil"/>
            </w:tcBorders>
            <w:vAlign w:val="center"/>
          </w:tcPr>
          <w:p w14:paraId="6B397E75">
            <w:pPr>
              <w:spacing w:line="240" w:lineRule="auto"/>
              <w:ind w:firstLine="0" w:firstLineChars="0"/>
              <w:jc w:val="center"/>
              <w:rPr>
                <w:rFonts w:cs="宋体"/>
                <w:color w:val="auto"/>
                <w:sz w:val="21"/>
                <w:szCs w:val="20"/>
              </w:rPr>
            </w:pPr>
          </w:p>
        </w:tc>
      </w:tr>
      <w:tr w14:paraId="196485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D6CF837">
            <w:pPr>
              <w:widowControl/>
              <w:spacing w:line="240" w:lineRule="auto"/>
              <w:ind w:firstLine="0" w:firstLineChars="0"/>
              <w:jc w:val="center"/>
              <w:textAlignment w:val="center"/>
              <w:rPr>
                <w:rFonts w:cs="宋体"/>
                <w:color w:val="auto"/>
                <w:sz w:val="21"/>
                <w:szCs w:val="20"/>
              </w:rPr>
            </w:pPr>
            <w:r>
              <w:rPr>
                <w:rFonts w:cs="宋体"/>
                <w:color w:val="auto"/>
                <w:sz w:val="21"/>
                <w:szCs w:val="20"/>
              </w:rPr>
              <w:t>29</w:t>
            </w:r>
          </w:p>
        </w:tc>
        <w:tc>
          <w:tcPr>
            <w:tcW w:w="1379" w:type="pct"/>
            <w:vMerge w:val="restart"/>
            <w:tcBorders>
              <w:tl2br w:val="nil"/>
              <w:tr2bl w:val="nil"/>
            </w:tcBorders>
            <w:noWrap/>
            <w:vAlign w:val="center"/>
          </w:tcPr>
          <w:p w14:paraId="041C322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tcBorders>
              <w:tl2br w:val="nil"/>
              <w:tr2bl w:val="nil"/>
            </w:tcBorders>
            <w:noWrap/>
            <w:vAlign w:val="center"/>
          </w:tcPr>
          <w:p w14:paraId="064A9AB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P-A-3</w:t>
            </w:r>
          </w:p>
        </w:tc>
        <w:tc>
          <w:tcPr>
            <w:tcW w:w="545" w:type="pct"/>
            <w:tcBorders>
              <w:tl2br w:val="nil"/>
              <w:tr2bl w:val="nil"/>
            </w:tcBorders>
            <w:noWrap/>
            <w:vAlign w:val="center"/>
          </w:tcPr>
          <w:p w14:paraId="3BFBA0F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restart"/>
            <w:tcBorders>
              <w:tl2br w:val="nil"/>
              <w:tr2bl w:val="nil"/>
            </w:tcBorders>
            <w:noWrap/>
            <w:vAlign w:val="center"/>
          </w:tcPr>
          <w:p w14:paraId="7B2B9EB4">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1DF3CDC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盐酸苯肼包装岗位</w:t>
            </w:r>
          </w:p>
        </w:tc>
      </w:tr>
      <w:tr w14:paraId="4E1179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8614791">
            <w:pPr>
              <w:widowControl/>
              <w:spacing w:line="240" w:lineRule="auto"/>
              <w:ind w:firstLine="0" w:firstLineChars="0"/>
              <w:jc w:val="center"/>
              <w:textAlignment w:val="center"/>
              <w:rPr>
                <w:rFonts w:cs="宋体"/>
                <w:color w:val="auto"/>
                <w:sz w:val="21"/>
                <w:szCs w:val="20"/>
              </w:rPr>
            </w:pPr>
            <w:r>
              <w:rPr>
                <w:rFonts w:cs="宋体"/>
                <w:color w:val="auto"/>
                <w:sz w:val="21"/>
                <w:szCs w:val="20"/>
              </w:rPr>
              <w:t>30</w:t>
            </w:r>
          </w:p>
        </w:tc>
        <w:tc>
          <w:tcPr>
            <w:tcW w:w="1379" w:type="pct"/>
            <w:vMerge w:val="continue"/>
            <w:tcBorders>
              <w:tl2br w:val="nil"/>
              <w:tr2bl w:val="nil"/>
            </w:tcBorders>
            <w:noWrap/>
            <w:vAlign w:val="center"/>
          </w:tcPr>
          <w:p w14:paraId="78BCE1A2">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6A5B06F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tcBorders>
              <w:tl2br w:val="nil"/>
              <w:tr2bl w:val="nil"/>
            </w:tcBorders>
            <w:noWrap/>
            <w:vAlign w:val="center"/>
          </w:tcPr>
          <w:p w14:paraId="06C73E2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1300C977">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4524E05">
            <w:pPr>
              <w:spacing w:line="240" w:lineRule="auto"/>
              <w:ind w:firstLine="0" w:firstLineChars="0"/>
              <w:jc w:val="center"/>
              <w:rPr>
                <w:rFonts w:cs="宋体"/>
                <w:color w:val="auto"/>
                <w:sz w:val="21"/>
                <w:szCs w:val="20"/>
              </w:rPr>
            </w:pPr>
          </w:p>
        </w:tc>
      </w:tr>
      <w:tr w14:paraId="38E08E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5E7DC31">
            <w:pPr>
              <w:widowControl/>
              <w:spacing w:line="240" w:lineRule="auto"/>
              <w:ind w:firstLine="0" w:firstLineChars="0"/>
              <w:jc w:val="center"/>
              <w:textAlignment w:val="center"/>
              <w:rPr>
                <w:rFonts w:cs="宋体"/>
                <w:color w:val="auto"/>
                <w:sz w:val="21"/>
                <w:szCs w:val="20"/>
              </w:rPr>
            </w:pPr>
            <w:r>
              <w:rPr>
                <w:rFonts w:cs="宋体"/>
                <w:color w:val="auto"/>
                <w:sz w:val="21"/>
                <w:szCs w:val="20"/>
              </w:rPr>
              <w:t>31</w:t>
            </w:r>
          </w:p>
        </w:tc>
        <w:tc>
          <w:tcPr>
            <w:tcW w:w="1379" w:type="pct"/>
            <w:tcBorders>
              <w:tl2br w:val="nil"/>
              <w:tr2bl w:val="nil"/>
            </w:tcBorders>
            <w:noWrap/>
            <w:vAlign w:val="center"/>
          </w:tcPr>
          <w:p w14:paraId="74744A0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tcBorders>
              <w:tl2br w:val="nil"/>
              <w:tr2bl w:val="nil"/>
            </w:tcBorders>
            <w:noWrap/>
            <w:vAlign w:val="center"/>
          </w:tcPr>
          <w:p w14:paraId="707AC44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4785CF4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2360D392">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1AA3A96">
            <w:pPr>
              <w:spacing w:line="240" w:lineRule="auto"/>
              <w:ind w:firstLine="0" w:firstLineChars="0"/>
              <w:jc w:val="center"/>
              <w:rPr>
                <w:rFonts w:cs="宋体"/>
                <w:color w:val="auto"/>
                <w:sz w:val="21"/>
                <w:szCs w:val="20"/>
              </w:rPr>
            </w:pPr>
          </w:p>
        </w:tc>
      </w:tr>
      <w:tr w14:paraId="038A03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896919F">
            <w:pPr>
              <w:widowControl/>
              <w:spacing w:line="240" w:lineRule="auto"/>
              <w:ind w:firstLine="0" w:firstLineChars="0"/>
              <w:jc w:val="center"/>
              <w:textAlignment w:val="center"/>
              <w:rPr>
                <w:rFonts w:cs="宋体"/>
                <w:color w:val="auto"/>
                <w:sz w:val="21"/>
                <w:szCs w:val="20"/>
              </w:rPr>
            </w:pPr>
            <w:r>
              <w:rPr>
                <w:rFonts w:cs="宋体"/>
                <w:color w:val="auto"/>
                <w:sz w:val="21"/>
                <w:szCs w:val="20"/>
              </w:rPr>
              <w:t>32</w:t>
            </w:r>
          </w:p>
        </w:tc>
        <w:tc>
          <w:tcPr>
            <w:tcW w:w="1379" w:type="pct"/>
            <w:tcBorders>
              <w:tl2br w:val="nil"/>
              <w:tr2bl w:val="nil"/>
            </w:tcBorders>
            <w:vAlign w:val="center"/>
          </w:tcPr>
          <w:p w14:paraId="1633BBF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tcBorders>
              <w:tl2br w:val="nil"/>
              <w:tr2bl w:val="nil"/>
            </w:tcBorders>
            <w:noWrap/>
            <w:vAlign w:val="center"/>
          </w:tcPr>
          <w:p w14:paraId="2223735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6CA7BF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211E5A13">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7109521">
            <w:pPr>
              <w:spacing w:line="240" w:lineRule="auto"/>
              <w:ind w:firstLine="0" w:firstLineChars="0"/>
              <w:jc w:val="center"/>
              <w:rPr>
                <w:rFonts w:cs="宋体"/>
                <w:color w:val="auto"/>
                <w:sz w:val="21"/>
                <w:szCs w:val="20"/>
              </w:rPr>
            </w:pPr>
          </w:p>
        </w:tc>
      </w:tr>
      <w:tr w14:paraId="744E7C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180F7BD">
            <w:pPr>
              <w:widowControl/>
              <w:spacing w:line="240" w:lineRule="auto"/>
              <w:ind w:firstLine="0" w:firstLineChars="0"/>
              <w:jc w:val="center"/>
              <w:textAlignment w:val="center"/>
              <w:rPr>
                <w:rFonts w:cs="宋体"/>
                <w:color w:val="auto"/>
                <w:sz w:val="21"/>
                <w:szCs w:val="20"/>
              </w:rPr>
            </w:pPr>
            <w:r>
              <w:rPr>
                <w:rFonts w:cs="宋体"/>
                <w:color w:val="auto"/>
                <w:sz w:val="21"/>
                <w:szCs w:val="20"/>
              </w:rPr>
              <w:t>33</w:t>
            </w:r>
          </w:p>
        </w:tc>
        <w:tc>
          <w:tcPr>
            <w:tcW w:w="1379" w:type="pct"/>
            <w:vMerge w:val="restart"/>
            <w:tcBorders>
              <w:tl2br w:val="nil"/>
              <w:tr2bl w:val="nil"/>
            </w:tcBorders>
            <w:noWrap/>
            <w:vAlign w:val="center"/>
          </w:tcPr>
          <w:p w14:paraId="4326660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vMerge w:val="restart"/>
            <w:tcBorders>
              <w:tl2br w:val="nil"/>
              <w:tr2bl w:val="nil"/>
            </w:tcBorders>
            <w:noWrap/>
            <w:vAlign w:val="center"/>
          </w:tcPr>
          <w:p w14:paraId="6525AED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P-A-3</w:t>
            </w:r>
          </w:p>
        </w:tc>
        <w:tc>
          <w:tcPr>
            <w:tcW w:w="545" w:type="pct"/>
            <w:vMerge w:val="restart"/>
            <w:tcBorders>
              <w:tl2br w:val="nil"/>
              <w:tr2bl w:val="nil"/>
            </w:tcBorders>
            <w:noWrap/>
            <w:vAlign w:val="center"/>
          </w:tcPr>
          <w:p w14:paraId="681C27B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66E91F81">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4D9020E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环一车间一层</w:t>
            </w:r>
          </w:p>
        </w:tc>
      </w:tr>
      <w:tr w14:paraId="27FA7B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8FA7C33">
            <w:pPr>
              <w:widowControl/>
              <w:spacing w:line="240" w:lineRule="auto"/>
              <w:ind w:firstLine="0" w:firstLineChars="0"/>
              <w:jc w:val="center"/>
              <w:textAlignment w:val="center"/>
              <w:rPr>
                <w:rFonts w:cs="宋体"/>
                <w:color w:val="auto"/>
                <w:sz w:val="21"/>
                <w:szCs w:val="20"/>
              </w:rPr>
            </w:pPr>
            <w:r>
              <w:rPr>
                <w:rFonts w:cs="宋体"/>
                <w:color w:val="auto"/>
                <w:sz w:val="21"/>
                <w:szCs w:val="20"/>
              </w:rPr>
              <w:t>34</w:t>
            </w:r>
          </w:p>
        </w:tc>
        <w:tc>
          <w:tcPr>
            <w:tcW w:w="1379" w:type="pct"/>
            <w:vMerge w:val="continue"/>
            <w:tcBorders>
              <w:tl2br w:val="nil"/>
              <w:tr2bl w:val="nil"/>
            </w:tcBorders>
            <w:noWrap/>
            <w:vAlign w:val="center"/>
          </w:tcPr>
          <w:p w14:paraId="1C740A11">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6F49255F">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5821A8BD">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35CF658F">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D74D7EC">
            <w:pPr>
              <w:spacing w:line="240" w:lineRule="auto"/>
              <w:ind w:firstLine="0" w:firstLineChars="0"/>
              <w:jc w:val="center"/>
              <w:rPr>
                <w:rFonts w:cs="宋体"/>
                <w:color w:val="auto"/>
                <w:sz w:val="21"/>
                <w:szCs w:val="20"/>
              </w:rPr>
            </w:pPr>
          </w:p>
        </w:tc>
      </w:tr>
      <w:tr w14:paraId="017039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24C2AE4">
            <w:pPr>
              <w:widowControl/>
              <w:spacing w:line="240" w:lineRule="auto"/>
              <w:ind w:firstLine="0" w:firstLineChars="0"/>
              <w:jc w:val="center"/>
              <w:textAlignment w:val="center"/>
              <w:rPr>
                <w:rFonts w:cs="宋体"/>
                <w:color w:val="auto"/>
                <w:sz w:val="21"/>
                <w:szCs w:val="20"/>
              </w:rPr>
            </w:pPr>
            <w:r>
              <w:rPr>
                <w:rFonts w:cs="宋体"/>
                <w:color w:val="auto"/>
                <w:sz w:val="21"/>
                <w:szCs w:val="20"/>
              </w:rPr>
              <w:t>35.</w:t>
            </w:r>
          </w:p>
        </w:tc>
        <w:tc>
          <w:tcPr>
            <w:tcW w:w="1379" w:type="pct"/>
            <w:vMerge w:val="continue"/>
            <w:tcBorders>
              <w:tl2br w:val="nil"/>
              <w:tr2bl w:val="nil"/>
            </w:tcBorders>
            <w:noWrap/>
            <w:vAlign w:val="center"/>
          </w:tcPr>
          <w:p w14:paraId="5D2C89F0">
            <w:pPr>
              <w:spacing w:line="240" w:lineRule="auto"/>
              <w:ind w:firstLine="0" w:firstLineChars="0"/>
              <w:jc w:val="center"/>
              <w:rPr>
                <w:rFonts w:cs="宋体"/>
                <w:color w:val="auto"/>
                <w:sz w:val="21"/>
                <w:szCs w:val="20"/>
              </w:rPr>
            </w:pPr>
          </w:p>
        </w:tc>
        <w:tc>
          <w:tcPr>
            <w:tcW w:w="718" w:type="pct"/>
            <w:vMerge w:val="restart"/>
            <w:tcBorders>
              <w:tl2br w:val="nil"/>
              <w:tr2bl w:val="nil"/>
            </w:tcBorders>
            <w:noWrap/>
            <w:vAlign w:val="center"/>
          </w:tcPr>
          <w:p w14:paraId="1C47014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1A93F57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194B326F">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370172B3">
            <w:pPr>
              <w:spacing w:line="240" w:lineRule="auto"/>
              <w:ind w:firstLine="0" w:firstLineChars="0"/>
              <w:jc w:val="center"/>
              <w:rPr>
                <w:rFonts w:cs="宋体"/>
                <w:color w:val="auto"/>
                <w:sz w:val="21"/>
                <w:szCs w:val="20"/>
              </w:rPr>
            </w:pPr>
          </w:p>
        </w:tc>
      </w:tr>
      <w:tr w14:paraId="7C303C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0A0F6A4">
            <w:pPr>
              <w:widowControl/>
              <w:spacing w:line="240" w:lineRule="auto"/>
              <w:ind w:firstLine="0" w:firstLineChars="0"/>
              <w:jc w:val="center"/>
              <w:textAlignment w:val="center"/>
              <w:rPr>
                <w:rFonts w:cs="宋体"/>
                <w:color w:val="auto"/>
                <w:sz w:val="21"/>
                <w:szCs w:val="20"/>
              </w:rPr>
            </w:pPr>
            <w:r>
              <w:rPr>
                <w:rFonts w:cs="宋体"/>
                <w:color w:val="auto"/>
                <w:sz w:val="21"/>
                <w:szCs w:val="20"/>
              </w:rPr>
              <w:t>36</w:t>
            </w:r>
          </w:p>
        </w:tc>
        <w:tc>
          <w:tcPr>
            <w:tcW w:w="1379" w:type="pct"/>
            <w:vMerge w:val="continue"/>
            <w:tcBorders>
              <w:tl2br w:val="nil"/>
              <w:tr2bl w:val="nil"/>
            </w:tcBorders>
            <w:noWrap/>
            <w:vAlign w:val="center"/>
          </w:tcPr>
          <w:p w14:paraId="44CAB60A">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10DE7D61">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715A0750">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57171A93">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7B1286C7">
            <w:pPr>
              <w:spacing w:line="240" w:lineRule="auto"/>
              <w:ind w:firstLine="0" w:firstLineChars="0"/>
              <w:jc w:val="center"/>
              <w:rPr>
                <w:rFonts w:cs="宋体"/>
                <w:color w:val="auto"/>
                <w:sz w:val="21"/>
                <w:szCs w:val="20"/>
              </w:rPr>
            </w:pPr>
          </w:p>
        </w:tc>
      </w:tr>
      <w:tr w14:paraId="268AC3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17" w:type="pct"/>
            <w:tcBorders>
              <w:tl2br w:val="nil"/>
              <w:tr2bl w:val="nil"/>
            </w:tcBorders>
            <w:noWrap/>
            <w:vAlign w:val="center"/>
          </w:tcPr>
          <w:p w14:paraId="2EBCBB6F">
            <w:pPr>
              <w:widowControl/>
              <w:spacing w:line="240" w:lineRule="auto"/>
              <w:ind w:firstLine="0" w:firstLineChars="0"/>
              <w:jc w:val="center"/>
              <w:textAlignment w:val="center"/>
              <w:rPr>
                <w:rFonts w:cs="宋体"/>
                <w:color w:val="auto"/>
                <w:sz w:val="21"/>
                <w:szCs w:val="20"/>
              </w:rPr>
            </w:pPr>
            <w:r>
              <w:rPr>
                <w:rFonts w:cs="宋体"/>
                <w:color w:val="auto"/>
                <w:sz w:val="21"/>
                <w:szCs w:val="20"/>
              </w:rPr>
              <w:t>37</w:t>
            </w:r>
          </w:p>
        </w:tc>
        <w:tc>
          <w:tcPr>
            <w:tcW w:w="1379" w:type="pct"/>
            <w:tcBorders>
              <w:tl2br w:val="nil"/>
              <w:tr2bl w:val="nil"/>
            </w:tcBorders>
            <w:vAlign w:val="center"/>
          </w:tcPr>
          <w:p w14:paraId="1CE1369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718" w:type="pct"/>
            <w:tcBorders>
              <w:tl2br w:val="nil"/>
              <w:tr2bl w:val="nil"/>
            </w:tcBorders>
            <w:noWrap/>
            <w:vAlign w:val="center"/>
          </w:tcPr>
          <w:p w14:paraId="4249490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noWrap/>
            <w:vAlign w:val="center"/>
          </w:tcPr>
          <w:p w14:paraId="44A80E3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01830E41">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1B7F1C3">
            <w:pPr>
              <w:spacing w:line="240" w:lineRule="auto"/>
              <w:ind w:firstLine="0" w:firstLineChars="0"/>
              <w:jc w:val="center"/>
              <w:rPr>
                <w:rFonts w:cs="宋体"/>
                <w:color w:val="auto"/>
                <w:sz w:val="21"/>
                <w:szCs w:val="20"/>
              </w:rPr>
            </w:pPr>
          </w:p>
        </w:tc>
      </w:tr>
      <w:tr w14:paraId="0DA288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F4BA2A5">
            <w:pPr>
              <w:widowControl/>
              <w:spacing w:line="240" w:lineRule="auto"/>
              <w:ind w:firstLine="0" w:firstLineChars="0"/>
              <w:jc w:val="center"/>
              <w:textAlignment w:val="center"/>
              <w:rPr>
                <w:rFonts w:cs="宋体"/>
                <w:color w:val="auto"/>
                <w:sz w:val="21"/>
                <w:szCs w:val="20"/>
              </w:rPr>
            </w:pPr>
            <w:r>
              <w:rPr>
                <w:rFonts w:cs="宋体"/>
                <w:color w:val="auto"/>
                <w:sz w:val="21"/>
                <w:szCs w:val="20"/>
              </w:rPr>
              <w:t>38</w:t>
            </w:r>
          </w:p>
        </w:tc>
        <w:tc>
          <w:tcPr>
            <w:tcW w:w="1379" w:type="pct"/>
            <w:tcBorders>
              <w:tl2br w:val="nil"/>
              <w:tr2bl w:val="nil"/>
            </w:tcBorders>
            <w:noWrap/>
            <w:vAlign w:val="center"/>
          </w:tcPr>
          <w:p w14:paraId="7849072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tcBorders>
              <w:tl2br w:val="nil"/>
              <w:tr2bl w:val="nil"/>
            </w:tcBorders>
            <w:noWrap/>
            <w:vAlign w:val="center"/>
          </w:tcPr>
          <w:p w14:paraId="38BCFE7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A9B7C0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50777048">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7C37D86">
            <w:pPr>
              <w:spacing w:line="240" w:lineRule="auto"/>
              <w:ind w:firstLine="0" w:firstLineChars="0"/>
              <w:jc w:val="center"/>
              <w:rPr>
                <w:rFonts w:cs="宋体"/>
                <w:color w:val="auto"/>
                <w:sz w:val="21"/>
                <w:szCs w:val="20"/>
              </w:rPr>
            </w:pPr>
          </w:p>
        </w:tc>
      </w:tr>
      <w:tr w14:paraId="1BD54D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940654A">
            <w:pPr>
              <w:widowControl/>
              <w:spacing w:line="240" w:lineRule="auto"/>
              <w:ind w:firstLine="0" w:firstLineChars="0"/>
              <w:jc w:val="center"/>
              <w:textAlignment w:val="center"/>
              <w:rPr>
                <w:rFonts w:cs="宋体"/>
                <w:color w:val="auto"/>
                <w:sz w:val="21"/>
                <w:szCs w:val="20"/>
              </w:rPr>
            </w:pPr>
            <w:r>
              <w:rPr>
                <w:rFonts w:cs="宋体"/>
                <w:color w:val="auto"/>
                <w:sz w:val="21"/>
                <w:szCs w:val="20"/>
              </w:rPr>
              <w:t>39</w:t>
            </w:r>
          </w:p>
        </w:tc>
        <w:tc>
          <w:tcPr>
            <w:tcW w:w="1379" w:type="pct"/>
            <w:vMerge w:val="restart"/>
            <w:tcBorders>
              <w:tl2br w:val="nil"/>
              <w:tr2bl w:val="nil"/>
            </w:tcBorders>
            <w:noWrap/>
            <w:vAlign w:val="center"/>
          </w:tcPr>
          <w:p w14:paraId="2BCBF50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718" w:type="pct"/>
            <w:tcBorders>
              <w:tl2br w:val="nil"/>
              <w:tr2bl w:val="nil"/>
            </w:tcBorders>
            <w:noWrap/>
            <w:vAlign w:val="center"/>
          </w:tcPr>
          <w:p w14:paraId="676B84F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P-A-1</w:t>
            </w:r>
          </w:p>
        </w:tc>
        <w:tc>
          <w:tcPr>
            <w:tcW w:w="545" w:type="pct"/>
            <w:vMerge w:val="restart"/>
            <w:tcBorders>
              <w:tl2br w:val="nil"/>
              <w:tr2bl w:val="nil"/>
            </w:tcBorders>
            <w:noWrap/>
            <w:vAlign w:val="center"/>
          </w:tcPr>
          <w:p w14:paraId="6CE2EEC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42BE2BD6">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31203A4D">
            <w:pPr>
              <w:spacing w:line="240" w:lineRule="auto"/>
              <w:ind w:firstLine="0" w:firstLineChars="0"/>
              <w:jc w:val="center"/>
              <w:rPr>
                <w:rFonts w:cs="宋体"/>
                <w:color w:val="auto"/>
                <w:sz w:val="21"/>
                <w:szCs w:val="20"/>
              </w:rPr>
            </w:pPr>
          </w:p>
        </w:tc>
      </w:tr>
      <w:tr w14:paraId="01972D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1EB5265F">
            <w:pPr>
              <w:widowControl/>
              <w:spacing w:line="240" w:lineRule="auto"/>
              <w:ind w:firstLine="0" w:firstLineChars="0"/>
              <w:jc w:val="center"/>
              <w:textAlignment w:val="center"/>
              <w:rPr>
                <w:rFonts w:cs="宋体"/>
                <w:color w:val="auto"/>
                <w:sz w:val="21"/>
                <w:szCs w:val="20"/>
              </w:rPr>
            </w:pPr>
            <w:r>
              <w:rPr>
                <w:rFonts w:cs="宋体"/>
                <w:color w:val="auto"/>
                <w:sz w:val="21"/>
                <w:szCs w:val="20"/>
              </w:rPr>
              <w:t>40</w:t>
            </w:r>
          </w:p>
        </w:tc>
        <w:tc>
          <w:tcPr>
            <w:tcW w:w="1379" w:type="pct"/>
            <w:vMerge w:val="continue"/>
            <w:tcBorders>
              <w:tl2br w:val="nil"/>
              <w:tr2bl w:val="nil"/>
            </w:tcBorders>
            <w:noWrap/>
            <w:vAlign w:val="center"/>
          </w:tcPr>
          <w:p w14:paraId="12B890E8">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285FD18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vMerge w:val="continue"/>
            <w:tcBorders>
              <w:tl2br w:val="nil"/>
              <w:tr2bl w:val="nil"/>
            </w:tcBorders>
            <w:noWrap/>
            <w:vAlign w:val="center"/>
          </w:tcPr>
          <w:p w14:paraId="204EFD45">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5BB9D059">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66BF724">
            <w:pPr>
              <w:spacing w:line="240" w:lineRule="auto"/>
              <w:ind w:firstLine="0" w:firstLineChars="0"/>
              <w:jc w:val="center"/>
              <w:rPr>
                <w:rFonts w:cs="宋体"/>
                <w:color w:val="auto"/>
                <w:sz w:val="21"/>
                <w:szCs w:val="20"/>
              </w:rPr>
            </w:pPr>
          </w:p>
        </w:tc>
      </w:tr>
      <w:tr w14:paraId="138BE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CAA09A8">
            <w:pPr>
              <w:widowControl/>
              <w:spacing w:line="240" w:lineRule="auto"/>
              <w:ind w:firstLine="0" w:firstLineChars="0"/>
              <w:jc w:val="center"/>
              <w:textAlignment w:val="center"/>
              <w:rPr>
                <w:rFonts w:cs="宋体"/>
                <w:color w:val="auto"/>
                <w:sz w:val="21"/>
                <w:szCs w:val="20"/>
              </w:rPr>
            </w:pPr>
            <w:r>
              <w:rPr>
                <w:rFonts w:cs="宋体"/>
                <w:color w:val="auto"/>
                <w:sz w:val="21"/>
                <w:szCs w:val="20"/>
              </w:rPr>
              <w:t>41</w:t>
            </w:r>
          </w:p>
        </w:tc>
        <w:tc>
          <w:tcPr>
            <w:tcW w:w="1379" w:type="pct"/>
            <w:tcBorders>
              <w:tl2br w:val="nil"/>
              <w:tr2bl w:val="nil"/>
            </w:tcBorders>
            <w:vAlign w:val="center"/>
          </w:tcPr>
          <w:p w14:paraId="2105881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tcBorders>
              <w:tl2br w:val="nil"/>
              <w:tr2bl w:val="nil"/>
            </w:tcBorders>
            <w:noWrap/>
            <w:vAlign w:val="center"/>
          </w:tcPr>
          <w:p w14:paraId="516689A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36A3EF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77920A44">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698A621">
            <w:pPr>
              <w:spacing w:line="240" w:lineRule="auto"/>
              <w:ind w:firstLine="0" w:firstLineChars="0"/>
              <w:jc w:val="center"/>
              <w:rPr>
                <w:rFonts w:cs="宋体"/>
                <w:color w:val="auto"/>
                <w:sz w:val="21"/>
                <w:szCs w:val="20"/>
              </w:rPr>
            </w:pPr>
          </w:p>
        </w:tc>
      </w:tr>
      <w:tr w14:paraId="272118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E24A686">
            <w:pPr>
              <w:widowControl/>
              <w:spacing w:line="240" w:lineRule="auto"/>
              <w:ind w:firstLine="0" w:firstLineChars="0"/>
              <w:jc w:val="center"/>
              <w:textAlignment w:val="center"/>
              <w:rPr>
                <w:rFonts w:cs="宋体"/>
                <w:color w:val="auto"/>
                <w:sz w:val="21"/>
                <w:szCs w:val="20"/>
              </w:rPr>
            </w:pPr>
            <w:r>
              <w:rPr>
                <w:rFonts w:cs="宋体"/>
                <w:color w:val="auto"/>
                <w:sz w:val="21"/>
                <w:szCs w:val="20"/>
              </w:rPr>
              <w:t>42</w:t>
            </w:r>
          </w:p>
        </w:tc>
        <w:tc>
          <w:tcPr>
            <w:tcW w:w="1379" w:type="pct"/>
            <w:tcBorders>
              <w:tl2br w:val="nil"/>
              <w:tr2bl w:val="nil"/>
            </w:tcBorders>
            <w:noWrap/>
            <w:vAlign w:val="center"/>
          </w:tcPr>
          <w:p w14:paraId="729DB8F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tcBorders>
              <w:tl2br w:val="nil"/>
              <w:tr2bl w:val="nil"/>
            </w:tcBorders>
            <w:noWrap/>
            <w:vAlign w:val="center"/>
          </w:tcPr>
          <w:p w14:paraId="42F75AB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3A49FC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7633394B">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4D27DE5">
            <w:pPr>
              <w:spacing w:line="240" w:lineRule="auto"/>
              <w:ind w:firstLine="0" w:firstLineChars="0"/>
              <w:jc w:val="center"/>
              <w:rPr>
                <w:rFonts w:cs="宋体"/>
                <w:color w:val="auto"/>
                <w:sz w:val="21"/>
                <w:szCs w:val="20"/>
              </w:rPr>
            </w:pPr>
          </w:p>
        </w:tc>
      </w:tr>
      <w:tr w14:paraId="1B8D52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2C96D8C4">
            <w:pPr>
              <w:widowControl/>
              <w:spacing w:line="240" w:lineRule="auto"/>
              <w:ind w:firstLine="0" w:firstLineChars="0"/>
              <w:jc w:val="center"/>
              <w:textAlignment w:val="center"/>
              <w:rPr>
                <w:rFonts w:cs="宋体"/>
                <w:color w:val="auto"/>
                <w:sz w:val="21"/>
                <w:szCs w:val="20"/>
              </w:rPr>
            </w:pPr>
            <w:r>
              <w:rPr>
                <w:rFonts w:cs="宋体"/>
                <w:color w:val="auto"/>
                <w:sz w:val="21"/>
                <w:szCs w:val="20"/>
              </w:rPr>
              <w:t>43</w:t>
            </w:r>
          </w:p>
        </w:tc>
        <w:tc>
          <w:tcPr>
            <w:tcW w:w="1379" w:type="pct"/>
            <w:tcBorders>
              <w:tl2br w:val="nil"/>
              <w:tr2bl w:val="nil"/>
            </w:tcBorders>
            <w:noWrap/>
            <w:vAlign w:val="center"/>
          </w:tcPr>
          <w:p w14:paraId="087F76D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tcBorders>
              <w:tl2br w:val="nil"/>
              <w:tr2bl w:val="nil"/>
            </w:tcBorders>
            <w:noWrap/>
            <w:vAlign w:val="center"/>
          </w:tcPr>
          <w:p w14:paraId="3E583AE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43B2EAF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6BB36012">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955C32B">
            <w:pPr>
              <w:spacing w:line="240" w:lineRule="auto"/>
              <w:ind w:firstLine="0" w:firstLineChars="0"/>
              <w:jc w:val="center"/>
              <w:rPr>
                <w:rFonts w:cs="宋体"/>
                <w:color w:val="auto"/>
                <w:sz w:val="21"/>
                <w:szCs w:val="20"/>
              </w:rPr>
            </w:pPr>
          </w:p>
        </w:tc>
      </w:tr>
      <w:tr w14:paraId="5D8F09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614C4C9">
            <w:pPr>
              <w:widowControl/>
              <w:spacing w:line="240" w:lineRule="auto"/>
              <w:ind w:firstLine="0" w:firstLineChars="0"/>
              <w:jc w:val="center"/>
              <w:textAlignment w:val="center"/>
              <w:rPr>
                <w:rFonts w:cs="宋体"/>
                <w:color w:val="auto"/>
                <w:sz w:val="21"/>
                <w:szCs w:val="20"/>
              </w:rPr>
            </w:pPr>
            <w:r>
              <w:rPr>
                <w:rFonts w:cs="宋体"/>
                <w:color w:val="auto"/>
                <w:sz w:val="21"/>
                <w:szCs w:val="20"/>
              </w:rPr>
              <w:t>44</w:t>
            </w:r>
          </w:p>
        </w:tc>
        <w:tc>
          <w:tcPr>
            <w:tcW w:w="1379" w:type="pct"/>
            <w:tcBorders>
              <w:tl2br w:val="nil"/>
              <w:tr2bl w:val="nil"/>
            </w:tcBorders>
            <w:noWrap/>
            <w:vAlign w:val="center"/>
          </w:tcPr>
          <w:p w14:paraId="15B5ED1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tcBorders>
              <w:tl2br w:val="nil"/>
              <w:tr2bl w:val="nil"/>
            </w:tcBorders>
            <w:noWrap/>
            <w:vAlign w:val="center"/>
          </w:tcPr>
          <w:p w14:paraId="3CF6C82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F9D710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0D60C0F9">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1B6E4F7">
            <w:pPr>
              <w:spacing w:line="240" w:lineRule="auto"/>
              <w:ind w:firstLine="0" w:firstLineChars="0"/>
              <w:jc w:val="center"/>
              <w:rPr>
                <w:rFonts w:cs="宋体"/>
                <w:color w:val="auto"/>
                <w:sz w:val="21"/>
                <w:szCs w:val="20"/>
              </w:rPr>
            </w:pPr>
          </w:p>
        </w:tc>
      </w:tr>
      <w:tr w14:paraId="77FD15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D482C3B">
            <w:pPr>
              <w:widowControl/>
              <w:spacing w:line="240" w:lineRule="auto"/>
              <w:ind w:firstLine="0" w:firstLineChars="0"/>
              <w:jc w:val="center"/>
              <w:textAlignment w:val="center"/>
              <w:rPr>
                <w:rFonts w:cs="宋体"/>
                <w:color w:val="auto"/>
                <w:sz w:val="21"/>
                <w:szCs w:val="20"/>
              </w:rPr>
            </w:pPr>
            <w:r>
              <w:rPr>
                <w:rFonts w:cs="宋体"/>
                <w:color w:val="auto"/>
                <w:sz w:val="21"/>
                <w:szCs w:val="20"/>
              </w:rPr>
              <w:t>45</w:t>
            </w:r>
          </w:p>
        </w:tc>
        <w:tc>
          <w:tcPr>
            <w:tcW w:w="1379" w:type="pct"/>
            <w:tcBorders>
              <w:tl2br w:val="nil"/>
              <w:tr2bl w:val="nil"/>
            </w:tcBorders>
            <w:vAlign w:val="center"/>
          </w:tcPr>
          <w:p w14:paraId="623369D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tcBorders>
              <w:tl2br w:val="nil"/>
              <w:tr2bl w:val="nil"/>
            </w:tcBorders>
            <w:noWrap/>
            <w:vAlign w:val="center"/>
          </w:tcPr>
          <w:p w14:paraId="22575F5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9A57AD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noWrap/>
            <w:vAlign w:val="center"/>
          </w:tcPr>
          <w:p w14:paraId="41BA49EB">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E6B6ACA">
            <w:pPr>
              <w:spacing w:line="240" w:lineRule="auto"/>
              <w:ind w:firstLine="0" w:firstLineChars="0"/>
              <w:jc w:val="center"/>
              <w:rPr>
                <w:rFonts w:cs="宋体"/>
                <w:color w:val="auto"/>
                <w:sz w:val="21"/>
                <w:szCs w:val="20"/>
              </w:rPr>
            </w:pPr>
          </w:p>
        </w:tc>
      </w:tr>
      <w:tr w14:paraId="10E7B2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0B442F3F">
            <w:pPr>
              <w:widowControl/>
              <w:spacing w:line="240" w:lineRule="auto"/>
              <w:ind w:firstLine="0" w:firstLineChars="0"/>
              <w:jc w:val="center"/>
              <w:textAlignment w:val="center"/>
              <w:rPr>
                <w:rFonts w:cs="宋体"/>
                <w:color w:val="auto"/>
                <w:sz w:val="21"/>
                <w:szCs w:val="20"/>
              </w:rPr>
            </w:pPr>
            <w:r>
              <w:rPr>
                <w:rFonts w:cs="宋体"/>
                <w:color w:val="auto"/>
                <w:sz w:val="21"/>
                <w:szCs w:val="20"/>
              </w:rPr>
              <w:t>46</w:t>
            </w:r>
          </w:p>
        </w:tc>
        <w:tc>
          <w:tcPr>
            <w:tcW w:w="1379" w:type="pct"/>
            <w:vMerge w:val="restart"/>
            <w:tcBorders>
              <w:tl2br w:val="nil"/>
              <w:tr2bl w:val="nil"/>
            </w:tcBorders>
            <w:noWrap/>
            <w:vAlign w:val="center"/>
          </w:tcPr>
          <w:p w14:paraId="23CA6AE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vMerge w:val="restart"/>
            <w:tcBorders>
              <w:tl2br w:val="nil"/>
              <w:tr2bl w:val="nil"/>
            </w:tcBorders>
            <w:noWrap/>
            <w:vAlign w:val="center"/>
          </w:tcPr>
          <w:p w14:paraId="4A11A5E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P-A-3</w:t>
            </w:r>
          </w:p>
        </w:tc>
        <w:tc>
          <w:tcPr>
            <w:tcW w:w="545" w:type="pct"/>
            <w:vMerge w:val="restart"/>
            <w:tcBorders>
              <w:tl2br w:val="nil"/>
              <w:tr2bl w:val="nil"/>
            </w:tcBorders>
            <w:noWrap/>
            <w:vAlign w:val="center"/>
          </w:tcPr>
          <w:p w14:paraId="7C95CE3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2C3E39D7">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3ADE9A9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苯肼车间三层</w:t>
            </w:r>
          </w:p>
        </w:tc>
      </w:tr>
      <w:tr w14:paraId="524F52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98C30DF">
            <w:pPr>
              <w:widowControl/>
              <w:spacing w:line="240" w:lineRule="auto"/>
              <w:ind w:firstLine="0" w:firstLineChars="0"/>
              <w:jc w:val="center"/>
              <w:textAlignment w:val="center"/>
              <w:rPr>
                <w:rFonts w:cs="宋体"/>
                <w:color w:val="auto"/>
                <w:sz w:val="21"/>
                <w:szCs w:val="20"/>
              </w:rPr>
            </w:pPr>
            <w:r>
              <w:rPr>
                <w:rFonts w:cs="宋体"/>
                <w:color w:val="auto"/>
                <w:sz w:val="21"/>
                <w:szCs w:val="20"/>
              </w:rPr>
              <w:t>47</w:t>
            </w:r>
          </w:p>
        </w:tc>
        <w:tc>
          <w:tcPr>
            <w:tcW w:w="1379" w:type="pct"/>
            <w:vMerge w:val="continue"/>
            <w:tcBorders>
              <w:tl2br w:val="nil"/>
              <w:tr2bl w:val="nil"/>
            </w:tcBorders>
            <w:noWrap/>
            <w:vAlign w:val="center"/>
          </w:tcPr>
          <w:p w14:paraId="73D5C4EA">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6D7E4816">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70A7CBFD">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09359443">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C122EF0">
            <w:pPr>
              <w:spacing w:line="240" w:lineRule="auto"/>
              <w:ind w:firstLine="0" w:firstLineChars="0"/>
              <w:jc w:val="center"/>
              <w:rPr>
                <w:rFonts w:cs="宋体"/>
                <w:color w:val="auto"/>
                <w:sz w:val="21"/>
                <w:szCs w:val="20"/>
              </w:rPr>
            </w:pPr>
          </w:p>
        </w:tc>
      </w:tr>
      <w:tr w14:paraId="45345E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AE545B0">
            <w:pPr>
              <w:widowControl/>
              <w:spacing w:line="240" w:lineRule="auto"/>
              <w:ind w:firstLine="0" w:firstLineChars="0"/>
              <w:jc w:val="center"/>
              <w:textAlignment w:val="center"/>
              <w:rPr>
                <w:rFonts w:cs="宋体"/>
                <w:color w:val="auto"/>
                <w:sz w:val="21"/>
                <w:szCs w:val="20"/>
              </w:rPr>
            </w:pPr>
            <w:r>
              <w:rPr>
                <w:rFonts w:cs="宋体"/>
                <w:color w:val="auto"/>
                <w:sz w:val="21"/>
                <w:szCs w:val="20"/>
              </w:rPr>
              <w:t>48</w:t>
            </w:r>
          </w:p>
        </w:tc>
        <w:tc>
          <w:tcPr>
            <w:tcW w:w="1379" w:type="pct"/>
            <w:vMerge w:val="continue"/>
            <w:tcBorders>
              <w:tl2br w:val="nil"/>
              <w:tr2bl w:val="nil"/>
            </w:tcBorders>
            <w:noWrap/>
            <w:vAlign w:val="center"/>
          </w:tcPr>
          <w:p w14:paraId="2D967709">
            <w:pPr>
              <w:spacing w:line="240" w:lineRule="auto"/>
              <w:ind w:firstLine="0" w:firstLineChars="0"/>
              <w:jc w:val="center"/>
              <w:rPr>
                <w:rFonts w:cs="宋体"/>
                <w:color w:val="auto"/>
                <w:sz w:val="21"/>
                <w:szCs w:val="20"/>
              </w:rPr>
            </w:pPr>
          </w:p>
        </w:tc>
        <w:tc>
          <w:tcPr>
            <w:tcW w:w="718" w:type="pct"/>
            <w:vMerge w:val="restart"/>
            <w:tcBorders>
              <w:tl2br w:val="nil"/>
              <w:tr2bl w:val="nil"/>
            </w:tcBorders>
            <w:noWrap/>
            <w:vAlign w:val="center"/>
          </w:tcPr>
          <w:p w14:paraId="032B7FC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1BE9B17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04C7654E">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7867DD0">
            <w:pPr>
              <w:spacing w:line="240" w:lineRule="auto"/>
              <w:ind w:firstLine="0" w:firstLineChars="0"/>
              <w:jc w:val="center"/>
              <w:rPr>
                <w:rFonts w:cs="宋体"/>
                <w:color w:val="auto"/>
                <w:sz w:val="21"/>
                <w:szCs w:val="20"/>
              </w:rPr>
            </w:pPr>
          </w:p>
        </w:tc>
      </w:tr>
      <w:tr w14:paraId="296F80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2F434346">
            <w:pPr>
              <w:widowControl/>
              <w:spacing w:line="240" w:lineRule="auto"/>
              <w:ind w:firstLine="0" w:firstLineChars="0"/>
              <w:jc w:val="center"/>
              <w:textAlignment w:val="center"/>
              <w:rPr>
                <w:rFonts w:cs="宋体"/>
                <w:color w:val="auto"/>
                <w:sz w:val="21"/>
                <w:szCs w:val="20"/>
              </w:rPr>
            </w:pPr>
            <w:r>
              <w:rPr>
                <w:rFonts w:cs="宋体"/>
                <w:color w:val="auto"/>
                <w:sz w:val="21"/>
                <w:szCs w:val="20"/>
              </w:rPr>
              <w:t>49</w:t>
            </w:r>
          </w:p>
        </w:tc>
        <w:tc>
          <w:tcPr>
            <w:tcW w:w="1379" w:type="pct"/>
            <w:vMerge w:val="continue"/>
            <w:tcBorders>
              <w:tl2br w:val="nil"/>
              <w:tr2bl w:val="nil"/>
            </w:tcBorders>
            <w:noWrap/>
            <w:vAlign w:val="center"/>
          </w:tcPr>
          <w:p w14:paraId="2F7BF912">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39EDB6D8">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978EE68">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746BC6D7">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52C4205">
            <w:pPr>
              <w:spacing w:line="240" w:lineRule="auto"/>
              <w:ind w:firstLine="0" w:firstLineChars="0"/>
              <w:jc w:val="center"/>
              <w:rPr>
                <w:rFonts w:cs="宋体"/>
                <w:color w:val="auto"/>
                <w:sz w:val="21"/>
                <w:szCs w:val="20"/>
              </w:rPr>
            </w:pPr>
          </w:p>
        </w:tc>
      </w:tr>
      <w:tr w14:paraId="756C5D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0C2D257C">
            <w:pPr>
              <w:widowControl/>
              <w:spacing w:line="240" w:lineRule="auto"/>
              <w:ind w:firstLine="0" w:firstLineChars="0"/>
              <w:jc w:val="center"/>
              <w:textAlignment w:val="center"/>
              <w:rPr>
                <w:rFonts w:cs="宋体"/>
                <w:color w:val="auto"/>
                <w:sz w:val="21"/>
                <w:szCs w:val="20"/>
              </w:rPr>
            </w:pPr>
            <w:r>
              <w:rPr>
                <w:rFonts w:cs="宋体"/>
                <w:color w:val="auto"/>
                <w:sz w:val="21"/>
                <w:szCs w:val="20"/>
              </w:rPr>
              <w:t>50</w:t>
            </w:r>
          </w:p>
        </w:tc>
        <w:tc>
          <w:tcPr>
            <w:tcW w:w="1379" w:type="pct"/>
            <w:tcBorders>
              <w:tl2br w:val="nil"/>
              <w:tr2bl w:val="nil"/>
            </w:tcBorders>
            <w:vAlign w:val="center"/>
          </w:tcPr>
          <w:p w14:paraId="35A1292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718" w:type="pct"/>
            <w:tcBorders>
              <w:tl2br w:val="nil"/>
              <w:tr2bl w:val="nil"/>
            </w:tcBorders>
            <w:noWrap/>
            <w:vAlign w:val="center"/>
          </w:tcPr>
          <w:p w14:paraId="4491492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noWrap/>
            <w:vAlign w:val="center"/>
          </w:tcPr>
          <w:p w14:paraId="78D86FC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117B3BBF">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EAB1AB1">
            <w:pPr>
              <w:spacing w:line="240" w:lineRule="auto"/>
              <w:ind w:firstLine="0" w:firstLineChars="0"/>
              <w:jc w:val="center"/>
              <w:rPr>
                <w:rFonts w:cs="宋体"/>
                <w:color w:val="auto"/>
                <w:sz w:val="21"/>
                <w:szCs w:val="20"/>
              </w:rPr>
            </w:pPr>
          </w:p>
        </w:tc>
      </w:tr>
      <w:tr w14:paraId="63B48A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E24799E">
            <w:pPr>
              <w:widowControl/>
              <w:spacing w:line="240" w:lineRule="auto"/>
              <w:ind w:firstLine="0" w:firstLineChars="0"/>
              <w:jc w:val="center"/>
              <w:textAlignment w:val="center"/>
              <w:rPr>
                <w:rFonts w:cs="宋体"/>
                <w:color w:val="auto"/>
                <w:sz w:val="21"/>
                <w:szCs w:val="20"/>
              </w:rPr>
            </w:pPr>
            <w:r>
              <w:rPr>
                <w:rFonts w:cs="宋体"/>
                <w:color w:val="auto"/>
                <w:sz w:val="21"/>
                <w:szCs w:val="20"/>
              </w:rPr>
              <w:t>51</w:t>
            </w:r>
          </w:p>
        </w:tc>
        <w:tc>
          <w:tcPr>
            <w:tcW w:w="1379" w:type="pct"/>
            <w:tcBorders>
              <w:tl2br w:val="nil"/>
              <w:tr2bl w:val="nil"/>
            </w:tcBorders>
            <w:noWrap/>
            <w:vAlign w:val="center"/>
          </w:tcPr>
          <w:p w14:paraId="6FBEFD1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tcBorders>
              <w:tl2br w:val="nil"/>
              <w:tr2bl w:val="nil"/>
            </w:tcBorders>
            <w:noWrap/>
            <w:vAlign w:val="center"/>
          </w:tcPr>
          <w:p w14:paraId="5A6CF78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82D1CE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6FA06F57">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20B1EA6">
            <w:pPr>
              <w:spacing w:line="240" w:lineRule="auto"/>
              <w:ind w:firstLine="0" w:firstLineChars="0"/>
              <w:jc w:val="center"/>
              <w:rPr>
                <w:rFonts w:cs="宋体"/>
                <w:color w:val="auto"/>
                <w:sz w:val="21"/>
                <w:szCs w:val="20"/>
              </w:rPr>
            </w:pPr>
          </w:p>
        </w:tc>
      </w:tr>
      <w:tr w14:paraId="73B943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1CF02BCB">
            <w:pPr>
              <w:widowControl/>
              <w:spacing w:line="240" w:lineRule="auto"/>
              <w:ind w:firstLine="0" w:firstLineChars="0"/>
              <w:jc w:val="center"/>
              <w:textAlignment w:val="center"/>
              <w:rPr>
                <w:rFonts w:cs="宋体"/>
                <w:color w:val="auto"/>
                <w:sz w:val="21"/>
                <w:szCs w:val="20"/>
              </w:rPr>
            </w:pPr>
            <w:r>
              <w:rPr>
                <w:rFonts w:cs="宋体"/>
                <w:color w:val="auto"/>
                <w:sz w:val="21"/>
                <w:szCs w:val="20"/>
              </w:rPr>
              <w:t>52</w:t>
            </w:r>
          </w:p>
        </w:tc>
        <w:tc>
          <w:tcPr>
            <w:tcW w:w="1379" w:type="pct"/>
            <w:vMerge w:val="restart"/>
            <w:tcBorders>
              <w:tl2br w:val="nil"/>
              <w:tr2bl w:val="nil"/>
            </w:tcBorders>
            <w:noWrap/>
            <w:vAlign w:val="center"/>
          </w:tcPr>
          <w:p w14:paraId="78A448D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718" w:type="pct"/>
            <w:tcBorders>
              <w:tl2br w:val="nil"/>
              <w:tr2bl w:val="nil"/>
            </w:tcBorders>
            <w:noWrap/>
            <w:vAlign w:val="center"/>
          </w:tcPr>
          <w:p w14:paraId="304F1CE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P-A-1</w:t>
            </w:r>
          </w:p>
        </w:tc>
        <w:tc>
          <w:tcPr>
            <w:tcW w:w="545" w:type="pct"/>
            <w:vMerge w:val="restart"/>
            <w:tcBorders>
              <w:tl2br w:val="nil"/>
              <w:tr2bl w:val="nil"/>
            </w:tcBorders>
            <w:noWrap/>
            <w:vAlign w:val="center"/>
          </w:tcPr>
          <w:p w14:paraId="291294A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84602EE">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789DB5F">
            <w:pPr>
              <w:spacing w:line="240" w:lineRule="auto"/>
              <w:ind w:firstLine="0" w:firstLineChars="0"/>
              <w:jc w:val="center"/>
              <w:rPr>
                <w:rFonts w:cs="宋体"/>
                <w:color w:val="auto"/>
                <w:sz w:val="21"/>
                <w:szCs w:val="20"/>
              </w:rPr>
            </w:pPr>
          </w:p>
        </w:tc>
      </w:tr>
      <w:tr w14:paraId="63E253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69C1F63">
            <w:pPr>
              <w:widowControl/>
              <w:spacing w:line="240" w:lineRule="auto"/>
              <w:ind w:firstLine="0" w:firstLineChars="0"/>
              <w:jc w:val="center"/>
              <w:textAlignment w:val="center"/>
              <w:rPr>
                <w:rFonts w:cs="宋体"/>
                <w:color w:val="auto"/>
                <w:sz w:val="21"/>
                <w:szCs w:val="20"/>
              </w:rPr>
            </w:pPr>
            <w:r>
              <w:rPr>
                <w:rFonts w:cs="宋体"/>
                <w:color w:val="auto"/>
                <w:sz w:val="21"/>
                <w:szCs w:val="20"/>
              </w:rPr>
              <w:t>53</w:t>
            </w:r>
          </w:p>
        </w:tc>
        <w:tc>
          <w:tcPr>
            <w:tcW w:w="1379" w:type="pct"/>
            <w:vMerge w:val="continue"/>
            <w:tcBorders>
              <w:tl2br w:val="nil"/>
              <w:tr2bl w:val="nil"/>
            </w:tcBorders>
            <w:noWrap/>
            <w:vAlign w:val="center"/>
          </w:tcPr>
          <w:p w14:paraId="1B2E88FB">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3F1F2AB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vMerge w:val="continue"/>
            <w:tcBorders>
              <w:tl2br w:val="nil"/>
              <w:tr2bl w:val="nil"/>
            </w:tcBorders>
            <w:noWrap/>
            <w:vAlign w:val="center"/>
          </w:tcPr>
          <w:p w14:paraId="033AC09A">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1482824C">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742A8408">
            <w:pPr>
              <w:spacing w:line="240" w:lineRule="auto"/>
              <w:ind w:firstLine="0" w:firstLineChars="0"/>
              <w:jc w:val="center"/>
              <w:rPr>
                <w:rFonts w:cs="宋体"/>
                <w:color w:val="auto"/>
                <w:sz w:val="21"/>
                <w:szCs w:val="20"/>
              </w:rPr>
            </w:pPr>
          </w:p>
        </w:tc>
      </w:tr>
      <w:tr w14:paraId="5E0CF9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9C8BAE6">
            <w:pPr>
              <w:widowControl/>
              <w:spacing w:line="240" w:lineRule="auto"/>
              <w:ind w:firstLine="0" w:firstLineChars="0"/>
              <w:jc w:val="center"/>
              <w:textAlignment w:val="center"/>
              <w:rPr>
                <w:rFonts w:cs="宋体"/>
                <w:color w:val="auto"/>
                <w:sz w:val="21"/>
                <w:szCs w:val="20"/>
              </w:rPr>
            </w:pPr>
            <w:r>
              <w:rPr>
                <w:rFonts w:cs="宋体"/>
                <w:color w:val="auto"/>
                <w:sz w:val="21"/>
                <w:szCs w:val="20"/>
              </w:rPr>
              <w:t>54</w:t>
            </w:r>
          </w:p>
        </w:tc>
        <w:tc>
          <w:tcPr>
            <w:tcW w:w="1379" w:type="pct"/>
            <w:tcBorders>
              <w:tl2br w:val="nil"/>
              <w:tr2bl w:val="nil"/>
            </w:tcBorders>
            <w:vAlign w:val="center"/>
          </w:tcPr>
          <w:p w14:paraId="2024132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tcBorders>
              <w:tl2br w:val="nil"/>
              <w:tr2bl w:val="nil"/>
            </w:tcBorders>
            <w:noWrap/>
            <w:vAlign w:val="center"/>
          </w:tcPr>
          <w:p w14:paraId="49E9E23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8F29E0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56CE5AFC">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F73ED42">
            <w:pPr>
              <w:spacing w:line="240" w:lineRule="auto"/>
              <w:ind w:firstLine="0" w:firstLineChars="0"/>
              <w:jc w:val="center"/>
              <w:rPr>
                <w:rFonts w:cs="宋体"/>
                <w:color w:val="auto"/>
                <w:sz w:val="21"/>
                <w:szCs w:val="20"/>
              </w:rPr>
            </w:pPr>
          </w:p>
        </w:tc>
      </w:tr>
      <w:tr w14:paraId="679343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EB6DCA4">
            <w:pPr>
              <w:widowControl/>
              <w:spacing w:line="240" w:lineRule="auto"/>
              <w:ind w:firstLine="0" w:firstLineChars="0"/>
              <w:jc w:val="center"/>
              <w:textAlignment w:val="center"/>
              <w:rPr>
                <w:rFonts w:cs="宋体"/>
                <w:color w:val="auto"/>
                <w:sz w:val="21"/>
                <w:szCs w:val="20"/>
              </w:rPr>
            </w:pPr>
            <w:r>
              <w:rPr>
                <w:rFonts w:cs="宋体"/>
                <w:color w:val="auto"/>
                <w:sz w:val="21"/>
                <w:szCs w:val="20"/>
              </w:rPr>
              <w:t>55</w:t>
            </w:r>
          </w:p>
        </w:tc>
        <w:tc>
          <w:tcPr>
            <w:tcW w:w="1379" w:type="pct"/>
            <w:tcBorders>
              <w:tl2br w:val="nil"/>
              <w:tr2bl w:val="nil"/>
            </w:tcBorders>
            <w:noWrap/>
            <w:vAlign w:val="center"/>
          </w:tcPr>
          <w:p w14:paraId="0CB93FD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tcBorders>
              <w:tl2br w:val="nil"/>
              <w:tr2bl w:val="nil"/>
            </w:tcBorders>
            <w:noWrap/>
            <w:vAlign w:val="center"/>
          </w:tcPr>
          <w:p w14:paraId="17AD8CE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C3B79D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391F4F8A">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A1E368A">
            <w:pPr>
              <w:spacing w:line="240" w:lineRule="auto"/>
              <w:ind w:firstLine="0" w:firstLineChars="0"/>
              <w:jc w:val="center"/>
              <w:rPr>
                <w:rFonts w:cs="宋体"/>
                <w:color w:val="auto"/>
                <w:sz w:val="21"/>
                <w:szCs w:val="20"/>
              </w:rPr>
            </w:pPr>
          </w:p>
        </w:tc>
      </w:tr>
      <w:tr w14:paraId="68BBC9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72A1F38">
            <w:pPr>
              <w:widowControl/>
              <w:spacing w:line="240" w:lineRule="auto"/>
              <w:ind w:firstLine="0" w:firstLineChars="0"/>
              <w:jc w:val="center"/>
              <w:textAlignment w:val="center"/>
              <w:rPr>
                <w:rFonts w:cs="宋体"/>
                <w:color w:val="auto"/>
                <w:sz w:val="21"/>
                <w:szCs w:val="20"/>
              </w:rPr>
            </w:pPr>
            <w:r>
              <w:rPr>
                <w:rFonts w:cs="宋体"/>
                <w:color w:val="auto"/>
                <w:sz w:val="21"/>
                <w:szCs w:val="20"/>
              </w:rPr>
              <w:t>56</w:t>
            </w:r>
          </w:p>
        </w:tc>
        <w:tc>
          <w:tcPr>
            <w:tcW w:w="1379" w:type="pct"/>
            <w:tcBorders>
              <w:tl2br w:val="nil"/>
              <w:tr2bl w:val="nil"/>
            </w:tcBorders>
            <w:noWrap/>
            <w:vAlign w:val="center"/>
          </w:tcPr>
          <w:p w14:paraId="12730C4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tcBorders>
              <w:tl2br w:val="nil"/>
              <w:tr2bl w:val="nil"/>
            </w:tcBorders>
            <w:noWrap/>
            <w:vAlign w:val="center"/>
          </w:tcPr>
          <w:p w14:paraId="60DAD3B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B1F3D1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5D446F0E">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965FE7D">
            <w:pPr>
              <w:spacing w:line="240" w:lineRule="auto"/>
              <w:ind w:firstLine="0" w:firstLineChars="0"/>
              <w:jc w:val="center"/>
              <w:rPr>
                <w:rFonts w:cs="宋体"/>
                <w:color w:val="auto"/>
                <w:sz w:val="21"/>
                <w:szCs w:val="20"/>
              </w:rPr>
            </w:pPr>
          </w:p>
        </w:tc>
      </w:tr>
      <w:tr w14:paraId="6514D4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15386E1B">
            <w:pPr>
              <w:widowControl/>
              <w:spacing w:line="240" w:lineRule="auto"/>
              <w:ind w:firstLine="0" w:firstLineChars="0"/>
              <w:jc w:val="center"/>
              <w:textAlignment w:val="center"/>
              <w:rPr>
                <w:rFonts w:cs="宋体"/>
                <w:color w:val="auto"/>
                <w:sz w:val="21"/>
                <w:szCs w:val="20"/>
              </w:rPr>
            </w:pPr>
            <w:r>
              <w:rPr>
                <w:rFonts w:cs="宋体"/>
                <w:color w:val="auto"/>
                <w:sz w:val="21"/>
                <w:szCs w:val="20"/>
              </w:rPr>
              <w:t>57</w:t>
            </w:r>
          </w:p>
        </w:tc>
        <w:tc>
          <w:tcPr>
            <w:tcW w:w="1379" w:type="pct"/>
            <w:tcBorders>
              <w:tl2br w:val="nil"/>
              <w:tr2bl w:val="nil"/>
            </w:tcBorders>
            <w:noWrap/>
            <w:vAlign w:val="center"/>
          </w:tcPr>
          <w:p w14:paraId="073CE2A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tcBorders>
              <w:tl2br w:val="nil"/>
              <w:tr2bl w:val="nil"/>
            </w:tcBorders>
            <w:noWrap/>
            <w:vAlign w:val="center"/>
          </w:tcPr>
          <w:p w14:paraId="3CA7A60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760AD0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0B990BC6">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318287F1">
            <w:pPr>
              <w:spacing w:line="240" w:lineRule="auto"/>
              <w:ind w:firstLine="0" w:firstLineChars="0"/>
              <w:jc w:val="center"/>
              <w:rPr>
                <w:rFonts w:cs="宋体"/>
                <w:color w:val="auto"/>
                <w:sz w:val="21"/>
                <w:szCs w:val="20"/>
              </w:rPr>
            </w:pPr>
          </w:p>
        </w:tc>
      </w:tr>
      <w:tr w14:paraId="591219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555E67F">
            <w:pPr>
              <w:widowControl/>
              <w:spacing w:line="240" w:lineRule="auto"/>
              <w:ind w:firstLine="0" w:firstLineChars="0"/>
              <w:jc w:val="center"/>
              <w:textAlignment w:val="center"/>
              <w:rPr>
                <w:rFonts w:cs="宋体"/>
                <w:color w:val="auto"/>
                <w:sz w:val="21"/>
                <w:szCs w:val="20"/>
              </w:rPr>
            </w:pPr>
            <w:r>
              <w:rPr>
                <w:rFonts w:cs="宋体"/>
                <w:color w:val="auto"/>
                <w:sz w:val="21"/>
                <w:szCs w:val="20"/>
              </w:rPr>
              <w:t>58</w:t>
            </w:r>
          </w:p>
        </w:tc>
        <w:tc>
          <w:tcPr>
            <w:tcW w:w="1379" w:type="pct"/>
            <w:tcBorders>
              <w:tl2br w:val="nil"/>
              <w:tr2bl w:val="nil"/>
            </w:tcBorders>
            <w:vAlign w:val="center"/>
          </w:tcPr>
          <w:p w14:paraId="30A2D5F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tcBorders>
              <w:tl2br w:val="nil"/>
              <w:tr2bl w:val="nil"/>
            </w:tcBorders>
            <w:noWrap/>
            <w:vAlign w:val="center"/>
          </w:tcPr>
          <w:p w14:paraId="5E6ADA4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E11F28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noWrap/>
            <w:vAlign w:val="center"/>
          </w:tcPr>
          <w:p w14:paraId="6F07B102">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AF983B2">
            <w:pPr>
              <w:spacing w:line="240" w:lineRule="auto"/>
              <w:ind w:firstLine="0" w:firstLineChars="0"/>
              <w:jc w:val="center"/>
              <w:rPr>
                <w:rFonts w:cs="宋体"/>
                <w:color w:val="auto"/>
                <w:sz w:val="21"/>
                <w:szCs w:val="20"/>
              </w:rPr>
            </w:pPr>
          </w:p>
        </w:tc>
      </w:tr>
      <w:tr w14:paraId="051D20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58D3F9C">
            <w:pPr>
              <w:widowControl/>
              <w:spacing w:line="240" w:lineRule="auto"/>
              <w:ind w:firstLine="0" w:firstLineChars="0"/>
              <w:jc w:val="center"/>
              <w:textAlignment w:val="center"/>
              <w:rPr>
                <w:rFonts w:cs="宋体"/>
                <w:color w:val="auto"/>
                <w:sz w:val="21"/>
                <w:szCs w:val="20"/>
              </w:rPr>
            </w:pPr>
            <w:r>
              <w:rPr>
                <w:rFonts w:cs="宋体"/>
                <w:color w:val="auto"/>
                <w:sz w:val="21"/>
                <w:szCs w:val="20"/>
              </w:rPr>
              <w:t>59</w:t>
            </w:r>
          </w:p>
        </w:tc>
        <w:tc>
          <w:tcPr>
            <w:tcW w:w="1379" w:type="pct"/>
            <w:vMerge w:val="restart"/>
            <w:tcBorders>
              <w:tl2br w:val="nil"/>
              <w:tr2bl w:val="nil"/>
            </w:tcBorders>
            <w:vAlign w:val="center"/>
          </w:tcPr>
          <w:p w14:paraId="05690E4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强光手电筒</w:t>
            </w:r>
          </w:p>
        </w:tc>
        <w:tc>
          <w:tcPr>
            <w:tcW w:w="718" w:type="pct"/>
            <w:vMerge w:val="restart"/>
            <w:tcBorders>
              <w:tl2br w:val="nil"/>
              <w:tr2bl w:val="nil"/>
            </w:tcBorders>
            <w:noWrap/>
            <w:vAlign w:val="center"/>
          </w:tcPr>
          <w:p w14:paraId="73A3749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688BAAE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5C399B9">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211293A">
            <w:pPr>
              <w:spacing w:line="240" w:lineRule="auto"/>
              <w:ind w:firstLine="0" w:firstLineChars="0"/>
              <w:jc w:val="center"/>
              <w:rPr>
                <w:rFonts w:cs="宋体"/>
                <w:color w:val="auto"/>
                <w:sz w:val="21"/>
                <w:szCs w:val="20"/>
              </w:rPr>
            </w:pPr>
          </w:p>
        </w:tc>
      </w:tr>
      <w:tr w14:paraId="47FB8D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15300846">
            <w:pPr>
              <w:widowControl/>
              <w:spacing w:line="240" w:lineRule="auto"/>
              <w:ind w:firstLine="0" w:firstLineChars="0"/>
              <w:jc w:val="center"/>
              <w:textAlignment w:val="center"/>
              <w:rPr>
                <w:rFonts w:cs="宋体"/>
                <w:color w:val="auto"/>
                <w:sz w:val="21"/>
                <w:szCs w:val="20"/>
              </w:rPr>
            </w:pPr>
            <w:r>
              <w:rPr>
                <w:rFonts w:cs="宋体"/>
                <w:color w:val="auto"/>
                <w:sz w:val="21"/>
                <w:szCs w:val="20"/>
              </w:rPr>
              <w:t>60</w:t>
            </w:r>
          </w:p>
        </w:tc>
        <w:tc>
          <w:tcPr>
            <w:tcW w:w="1379" w:type="pct"/>
            <w:vMerge w:val="continue"/>
            <w:tcBorders>
              <w:tl2br w:val="nil"/>
              <w:tr2bl w:val="nil"/>
            </w:tcBorders>
            <w:vAlign w:val="center"/>
          </w:tcPr>
          <w:p w14:paraId="140BC046">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3237F336">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413AD9A8">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26F72347">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3780BD8A">
            <w:pPr>
              <w:spacing w:line="240" w:lineRule="auto"/>
              <w:ind w:firstLine="0" w:firstLineChars="0"/>
              <w:jc w:val="center"/>
              <w:rPr>
                <w:rFonts w:cs="宋体"/>
                <w:color w:val="auto"/>
                <w:sz w:val="21"/>
                <w:szCs w:val="20"/>
              </w:rPr>
            </w:pPr>
          </w:p>
        </w:tc>
      </w:tr>
      <w:tr w14:paraId="1B39F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0CCB8B91">
            <w:pPr>
              <w:widowControl/>
              <w:spacing w:line="240" w:lineRule="auto"/>
              <w:ind w:firstLine="0" w:firstLineChars="0"/>
              <w:jc w:val="center"/>
              <w:textAlignment w:val="center"/>
              <w:rPr>
                <w:rFonts w:cs="宋体"/>
                <w:color w:val="auto"/>
                <w:sz w:val="21"/>
                <w:szCs w:val="20"/>
              </w:rPr>
            </w:pPr>
            <w:r>
              <w:rPr>
                <w:rFonts w:cs="宋体"/>
                <w:color w:val="auto"/>
                <w:sz w:val="21"/>
                <w:szCs w:val="20"/>
              </w:rPr>
              <w:t>61</w:t>
            </w:r>
          </w:p>
        </w:tc>
        <w:tc>
          <w:tcPr>
            <w:tcW w:w="1379" w:type="pct"/>
            <w:vMerge w:val="restart"/>
            <w:tcBorders>
              <w:tl2br w:val="nil"/>
              <w:tr2bl w:val="nil"/>
            </w:tcBorders>
            <w:noWrap/>
            <w:vAlign w:val="center"/>
          </w:tcPr>
          <w:p w14:paraId="4B77450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vMerge w:val="restart"/>
            <w:tcBorders>
              <w:tl2br w:val="nil"/>
              <w:tr2bl w:val="nil"/>
            </w:tcBorders>
            <w:noWrap/>
            <w:vAlign w:val="center"/>
          </w:tcPr>
          <w:p w14:paraId="75DC6E4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vMerge w:val="restart"/>
            <w:tcBorders>
              <w:tl2br w:val="nil"/>
              <w:tr2bl w:val="nil"/>
            </w:tcBorders>
            <w:noWrap/>
            <w:vAlign w:val="center"/>
          </w:tcPr>
          <w:p w14:paraId="239F9EA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195DE322">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09DFC3A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亚铵车间一层硫磺储槽处</w:t>
            </w:r>
          </w:p>
        </w:tc>
      </w:tr>
      <w:tr w14:paraId="2EEFF1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E7CABD8">
            <w:pPr>
              <w:widowControl/>
              <w:spacing w:line="240" w:lineRule="auto"/>
              <w:ind w:firstLine="0" w:firstLineChars="0"/>
              <w:jc w:val="center"/>
              <w:textAlignment w:val="center"/>
              <w:rPr>
                <w:rFonts w:cs="宋体"/>
                <w:color w:val="auto"/>
                <w:sz w:val="21"/>
                <w:szCs w:val="20"/>
              </w:rPr>
            </w:pPr>
            <w:r>
              <w:rPr>
                <w:rFonts w:cs="宋体"/>
                <w:color w:val="auto"/>
                <w:sz w:val="21"/>
                <w:szCs w:val="20"/>
              </w:rPr>
              <w:t>62</w:t>
            </w:r>
          </w:p>
        </w:tc>
        <w:tc>
          <w:tcPr>
            <w:tcW w:w="1379" w:type="pct"/>
            <w:vMerge w:val="continue"/>
            <w:tcBorders>
              <w:tl2br w:val="nil"/>
              <w:tr2bl w:val="nil"/>
            </w:tcBorders>
            <w:noWrap/>
            <w:vAlign w:val="center"/>
          </w:tcPr>
          <w:p w14:paraId="7B285FFC">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56CD3534">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1484F632">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67534013">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DC09F2C">
            <w:pPr>
              <w:spacing w:line="240" w:lineRule="auto"/>
              <w:ind w:firstLine="0" w:firstLineChars="0"/>
              <w:jc w:val="center"/>
              <w:rPr>
                <w:rFonts w:cs="宋体"/>
                <w:color w:val="auto"/>
                <w:sz w:val="21"/>
                <w:szCs w:val="20"/>
              </w:rPr>
            </w:pPr>
          </w:p>
        </w:tc>
      </w:tr>
      <w:tr w14:paraId="55FEE5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15A95A4E">
            <w:pPr>
              <w:widowControl/>
              <w:spacing w:line="240" w:lineRule="auto"/>
              <w:ind w:firstLine="0" w:firstLineChars="0"/>
              <w:jc w:val="center"/>
              <w:textAlignment w:val="center"/>
              <w:rPr>
                <w:rFonts w:cs="宋体"/>
                <w:color w:val="auto"/>
                <w:sz w:val="21"/>
                <w:szCs w:val="20"/>
              </w:rPr>
            </w:pPr>
            <w:r>
              <w:rPr>
                <w:rFonts w:cs="宋体"/>
                <w:color w:val="auto"/>
                <w:sz w:val="21"/>
                <w:szCs w:val="20"/>
              </w:rPr>
              <w:t>63</w:t>
            </w:r>
          </w:p>
        </w:tc>
        <w:tc>
          <w:tcPr>
            <w:tcW w:w="1379" w:type="pct"/>
            <w:tcBorders>
              <w:tl2br w:val="nil"/>
              <w:tr2bl w:val="nil"/>
            </w:tcBorders>
            <w:noWrap/>
            <w:vAlign w:val="center"/>
          </w:tcPr>
          <w:p w14:paraId="78307CB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tcBorders>
              <w:tl2br w:val="nil"/>
              <w:tr2bl w:val="nil"/>
            </w:tcBorders>
            <w:noWrap/>
            <w:vAlign w:val="center"/>
          </w:tcPr>
          <w:p w14:paraId="1DDB515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5AC5F9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076A666E">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C7FE6E8">
            <w:pPr>
              <w:spacing w:line="240" w:lineRule="auto"/>
              <w:ind w:firstLine="0" w:firstLineChars="0"/>
              <w:jc w:val="center"/>
              <w:rPr>
                <w:rFonts w:cs="宋体"/>
                <w:color w:val="auto"/>
                <w:sz w:val="21"/>
                <w:szCs w:val="20"/>
              </w:rPr>
            </w:pPr>
          </w:p>
        </w:tc>
      </w:tr>
      <w:tr w14:paraId="5200E7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088E5A90">
            <w:pPr>
              <w:widowControl/>
              <w:spacing w:line="240" w:lineRule="auto"/>
              <w:ind w:firstLine="0" w:firstLineChars="0"/>
              <w:jc w:val="center"/>
              <w:textAlignment w:val="center"/>
              <w:rPr>
                <w:rFonts w:cs="宋体"/>
                <w:color w:val="auto"/>
                <w:sz w:val="21"/>
                <w:szCs w:val="20"/>
              </w:rPr>
            </w:pPr>
            <w:r>
              <w:rPr>
                <w:rFonts w:cs="宋体"/>
                <w:color w:val="auto"/>
                <w:sz w:val="21"/>
                <w:szCs w:val="20"/>
              </w:rPr>
              <w:t>64</w:t>
            </w:r>
          </w:p>
        </w:tc>
        <w:tc>
          <w:tcPr>
            <w:tcW w:w="1379" w:type="pct"/>
            <w:tcBorders>
              <w:tl2br w:val="nil"/>
              <w:tr2bl w:val="nil"/>
            </w:tcBorders>
            <w:noWrap/>
            <w:vAlign w:val="center"/>
          </w:tcPr>
          <w:p w14:paraId="4504AD6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石棉防火毯</w:t>
            </w:r>
          </w:p>
        </w:tc>
        <w:tc>
          <w:tcPr>
            <w:tcW w:w="718" w:type="pct"/>
            <w:tcBorders>
              <w:tl2br w:val="nil"/>
              <w:tr2bl w:val="nil"/>
            </w:tcBorders>
            <w:noWrap/>
            <w:vAlign w:val="center"/>
          </w:tcPr>
          <w:p w14:paraId="6633478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1DEFFCF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3条</w:t>
            </w:r>
          </w:p>
        </w:tc>
        <w:tc>
          <w:tcPr>
            <w:tcW w:w="958" w:type="pct"/>
            <w:vMerge w:val="continue"/>
            <w:tcBorders>
              <w:tl2br w:val="nil"/>
              <w:tr2bl w:val="nil"/>
            </w:tcBorders>
            <w:noWrap/>
            <w:vAlign w:val="center"/>
          </w:tcPr>
          <w:p w14:paraId="71BE4C88">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FCA8688">
            <w:pPr>
              <w:spacing w:line="240" w:lineRule="auto"/>
              <w:ind w:firstLine="0" w:firstLineChars="0"/>
              <w:jc w:val="center"/>
              <w:rPr>
                <w:rFonts w:cs="宋体"/>
                <w:color w:val="auto"/>
                <w:sz w:val="21"/>
                <w:szCs w:val="20"/>
              </w:rPr>
            </w:pPr>
          </w:p>
        </w:tc>
      </w:tr>
      <w:tr w14:paraId="5D5A5E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0495912">
            <w:pPr>
              <w:widowControl/>
              <w:spacing w:line="240" w:lineRule="auto"/>
              <w:ind w:firstLine="0" w:firstLineChars="0"/>
              <w:jc w:val="center"/>
              <w:textAlignment w:val="center"/>
              <w:rPr>
                <w:rFonts w:cs="宋体"/>
                <w:color w:val="auto"/>
                <w:sz w:val="21"/>
                <w:szCs w:val="20"/>
              </w:rPr>
            </w:pPr>
            <w:r>
              <w:rPr>
                <w:rFonts w:cs="宋体"/>
                <w:color w:val="auto"/>
                <w:sz w:val="21"/>
                <w:szCs w:val="20"/>
              </w:rPr>
              <w:t>65</w:t>
            </w:r>
          </w:p>
        </w:tc>
        <w:tc>
          <w:tcPr>
            <w:tcW w:w="1379" w:type="pct"/>
            <w:tcBorders>
              <w:tl2br w:val="nil"/>
              <w:tr2bl w:val="nil"/>
            </w:tcBorders>
            <w:noWrap/>
            <w:vAlign w:val="center"/>
          </w:tcPr>
          <w:p w14:paraId="2CC02B8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石棉手套</w:t>
            </w:r>
          </w:p>
        </w:tc>
        <w:tc>
          <w:tcPr>
            <w:tcW w:w="718" w:type="pct"/>
            <w:tcBorders>
              <w:tl2br w:val="nil"/>
              <w:tr2bl w:val="nil"/>
            </w:tcBorders>
            <w:noWrap/>
            <w:vAlign w:val="center"/>
          </w:tcPr>
          <w:p w14:paraId="6649DEA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A8AD41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3副</w:t>
            </w:r>
          </w:p>
        </w:tc>
        <w:tc>
          <w:tcPr>
            <w:tcW w:w="958" w:type="pct"/>
            <w:vMerge w:val="continue"/>
            <w:tcBorders>
              <w:tl2br w:val="nil"/>
              <w:tr2bl w:val="nil"/>
            </w:tcBorders>
            <w:noWrap/>
            <w:vAlign w:val="center"/>
          </w:tcPr>
          <w:p w14:paraId="212ACB41">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5BC20A5">
            <w:pPr>
              <w:spacing w:line="240" w:lineRule="auto"/>
              <w:ind w:firstLine="0" w:firstLineChars="0"/>
              <w:jc w:val="center"/>
              <w:rPr>
                <w:rFonts w:cs="宋体"/>
                <w:color w:val="auto"/>
                <w:sz w:val="21"/>
                <w:szCs w:val="20"/>
              </w:rPr>
            </w:pPr>
          </w:p>
        </w:tc>
      </w:tr>
      <w:tr w14:paraId="2B9AAE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2191918F">
            <w:pPr>
              <w:widowControl/>
              <w:spacing w:line="240" w:lineRule="auto"/>
              <w:ind w:firstLine="0" w:firstLineChars="0"/>
              <w:jc w:val="center"/>
              <w:textAlignment w:val="center"/>
              <w:rPr>
                <w:rFonts w:cs="宋体"/>
                <w:color w:val="auto"/>
                <w:sz w:val="21"/>
                <w:szCs w:val="20"/>
              </w:rPr>
            </w:pPr>
            <w:r>
              <w:rPr>
                <w:rFonts w:cs="宋体"/>
                <w:color w:val="auto"/>
                <w:sz w:val="21"/>
                <w:szCs w:val="20"/>
              </w:rPr>
              <w:t>66</w:t>
            </w:r>
          </w:p>
        </w:tc>
        <w:tc>
          <w:tcPr>
            <w:tcW w:w="1379" w:type="pct"/>
            <w:vMerge w:val="restart"/>
            <w:tcBorders>
              <w:tl2br w:val="nil"/>
              <w:tr2bl w:val="nil"/>
            </w:tcBorders>
            <w:vAlign w:val="center"/>
          </w:tcPr>
          <w:p w14:paraId="62AAD23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vMerge w:val="restart"/>
            <w:tcBorders>
              <w:tl2br w:val="nil"/>
              <w:tr2bl w:val="nil"/>
            </w:tcBorders>
            <w:noWrap/>
            <w:vAlign w:val="center"/>
          </w:tcPr>
          <w:p w14:paraId="535931D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vMerge w:val="restart"/>
            <w:tcBorders>
              <w:tl2br w:val="nil"/>
              <w:tr2bl w:val="nil"/>
            </w:tcBorders>
            <w:noWrap/>
            <w:vAlign w:val="center"/>
          </w:tcPr>
          <w:p w14:paraId="75B57F1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5530C483">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6BC09C3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亚铵车间一层东南处</w:t>
            </w:r>
          </w:p>
        </w:tc>
      </w:tr>
      <w:tr w14:paraId="68F86E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BB2B1D7">
            <w:pPr>
              <w:widowControl/>
              <w:spacing w:line="240" w:lineRule="auto"/>
              <w:ind w:firstLine="0" w:firstLineChars="0"/>
              <w:jc w:val="center"/>
              <w:textAlignment w:val="center"/>
              <w:rPr>
                <w:rFonts w:cs="宋体"/>
                <w:color w:val="auto"/>
                <w:sz w:val="21"/>
                <w:szCs w:val="20"/>
              </w:rPr>
            </w:pPr>
            <w:r>
              <w:rPr>
                <w:rFonts w:cs="宋体"/>
                <w:color w:val="auto"/>
                <w:sz w:val="21"/>
                <w:szCs w:val="20"/>
              </w:rPr>
              <w:t>67</w:t>
            </w:r>
          </w:p>
        </w:tc>
        <w:tc>
          <w:tcPr>
            <w:tcW w:w="1379" w:type="pct"/>
            <w:vMerge w:val="continue"/>
            <w:tcBorders>
              <w:tl2br w:val="nil"/>
              <w:tr2bl w:val="nil"/>
            </w:tcBorders>
            <w:vAlign w:val="center"/>
          </w:tcPr>
          <w:p w14:paraId="346C67CB">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0B5F6FCD">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651159F3">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260C8B32">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86683D2">
            <w:pPr>
              <w:spacing w:line="240" w:lineRule="auto"/>
              <w:ind w:firstLine="0" w:firstLineChars="0"/>
              <w:jc w:val="center"/>
              <w:rPr>
                <w:rFonts w:cs="宋体"/>
                <w:color w:val="auto"/>
                <w:sz w:val="21"/>
                <w:szCs w:val="20"/>
              </w:rPr>
            </w:pPr>
          </w:p>
        </w:tc>
      </w:tr>
      <w:tr w14:paraId="030F8D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ED42CB1">
            <w:pPr>
              <w:widowControl/>
              <w:spacing w:line="240" w:lineRule="auto"/>
              <w:ind w:firstLine="0" w:firstLineChars="0"/>
              <w:jc w:val="center"/>
              <w:textAlignment w:val="center"/>
              <w:rPr>
                <w:rFonts w:cs="宋体"/>
                <w:color w:val="auto"/>
                <w:sz w:val="21"/>
                <w:szCs w:val="20"/>
              </w:rPr>
            </w:pPr>
            <w:r>
              <w:rPr>
                <w:rFonts w:cs="宋体"/>
                <w:color w:val="auto"/>
                <w:sz w:val="21"/>
                <w:szCs w:val="20"/>
              </w:rPr>
              <w:t>68</w:t>
            </w:r>
          </w:p>
        </w:tc>
        <w:tc>
          <w:tcPr>
            <w:tcW w:w="1379" w:type="pct"/>
            <w:vMerge w:val="continue"/>
            <w:tcBorders>
              <w:tl2br w:val="nil"/>
              <w:tr2bl w:val="nil"/>
            </w:tcBorders>
            <w:vAlign w:val="center"/>
          </w:tcPr>
          <w:p w14:paraId="22A9A681">
            <w:pPr>
              <w:spacing w:line="240" w:lineRule="auto"/>
              <w:ind w:firstLine="0" w:firstLineChars="0"/>
              <w:jc w:val="center"/>
              <w:rPr>
                <w:rFonts w:cs="宋体"/>
                <w:color w:val="auto"/>
                <w:sz w:val="21"/>
                <w:szCs w:val="20"/>
              </w:rPr>
            </w:pPr>
          </w:p>
        </w:tc>
        <w:tc>
          <w:tcPr>
            <w:tcW w:w="718" w:type="pct"/>
            <w:vMerge w:val="restart"/>
            <w:tcBorders>
              <w:tl2br w:val="nil"/>
              <w:tr2bl w:val="nil"/>
            </w:tcBorders>
            <w:noWrap/>
            <w:vAlign w:val="center"/>
          </w:tcPr>
          <w:p w14:paraId="263AC37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35C0B83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24D6A7A7">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CAD53E1">
            <w:pPr>
              <w:spacing w:line="240" w:lineRule="auto"/>
              <w:ind w:firstLine="0" w:firstLineChars="0"/>
              <w:jc w:val="center"/>
              <w:rPr>
                <w:rFonts w:cs="宋体"/>
                <w:color w:val="auto"/>
                <w:sz w:val="21"/>
                <w:szCs w:val="20"/>
              </w:rPr>
            </w:pPr>
          </w:p>
        </w:tc>
      </w:tr>
      <w:tr w14:paraId="49DFDA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6B201D9">
            <w:pPr>
              <w:widowControl/>
              <w:spacing w:line="240" w:lineRule="auto"/>
              <w:ind w:firstLine="0" w:firstLineChars="0"/>
              <w:jc w:val="center"/>
              <w:textAlignment w:val="center"/>
              <w:rPr>
                <w:rFonts w:cs="宋体"/>
                <w:color w:val="auto"/>
                <w:sz w:val="21"/>
                <w:szCs w:val="20"/>
              </w:rPr>
            </w:pPr>
            <w:r>
              <w:rPr>
                <w:rFonts w:cs="宋体"/>
                <w:color w:val="auto"/>
                <w:sz w:val="21"/>
                <w:szCs w:val="20"/>
              </w:rPr>
              <w:t>69</w:t>
            </w:r>
          </w:p>
        </w:tc>
        <w:tc>
          <w:tcPr>
            <w:tcW w:w="1379" w:type="pct"/>
            <w:vMerge w:val="continue"/>
            <w:tcBorders>
              <w:tl2br w:val="nil"/>
              <w:tr2bl w:val="nil"/>
            </w:tcBorders>
            <w:vAlign w:val="center"/>
          </w:tcPr>
          <w:p w14:paraId="32254EB1">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374A02DE">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33A83EBE">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7A219CA0">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248753F">
            <w:pPr>
              <w:spacing w:line="240" w:lineRule="auto"/>
              <w:ind w:firstLine="0" w:firstLineChars="0"/>
              <w:jc w:val="center"/>
              <w:rPr>
                <w:rFonts w:cs="宋体"/>
                <w:color w:val="auto"/>
                <w:sz w:val="21"/>
                <w:szCs w:val="20"/>
              </w:rPr>
            </w:pPr>
          </w:p>
        </w:tc>
      </w:tr>
      <w:tr w14:paraId="6A5871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BD1CB52">
            <w:pPr>
              <w:widowControl/>
              <w:spacing w:line="240" w:lineRule="auto"/>
              <w:ind w:firstLine="0" w:firstLineChars="0"/>
              <w:jc w:val="center"/>
              <w:textAlignment w:val="center"/>
              <w:rPr>
                <w:rFonts w:cs="宋体"/>
                <w:color w:val="auto"/>
                <w:sz w:val="21"/>
                <w:szCs w:val="20"/>
              </w:rPr>
            </w:pPr>
            <w:r>
              <w:rPr>
                <w:rFonts w:cs="宋体"/>
                <w:color w:val="auto"/>
                <w:sz w:val="21"/>
                <w:szCs w:val="20"/>
              </w:rPr>
              <w:t>70</w:t>
            </w:r>
          </w:p>
        </w:tc>
        <w:tc>
          <w:tcPr>
            <w:tcW w:w="1379" w:type="pct"/>
            <w:tcBorders>
              <w:tl2br w:val="nil"/>
              <w:tr2bl w:val="nil"/>
            </w:tcBorders>
            <w:vAlign w:val="center"/>
          </w:tcPr>
          <w:p w14:paraId="3B72DA2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tcBorders>
              <w:tl2br w:val="nil"/>
              <w:tr2bl w:val="nil"/>
            </w:tcBorders>
            <w:noWrap/>
            <w:vAlign w:val="center"/>
          </w:tcPr>
          <w:p w14:paraId="7BDEDDD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C75BBD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2004C4FA">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104ACDD">
            <w:pPr>
              <w:spacing w:line="240" w:lineRule="auto"/>
              <w:ind w:firstLine="0" w:firstLineChars="0"/>
              <w:jc w:val="center"/>
              <w:rPr>
                <w:rFonts w:cs="宋体"/>
                <w:color w:val="auto"/>
                <w:sz w:val="21"/>
                <w:szCs w:val="20"/>
              </w:rPr>
            </w:pPr>
          </w:p>
        </w:tc>
      </w:tr>
      <w:tr w14:paraId="6D4C99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93F3181">
            <w:pPr>
              <w:widowControl/>
              <w:spacing w:line="240" w:lineRule="auto"/>
              <w:ind w:firstLine="0" w:firstLineChars="0"/>
              <w:jc w:val="center"/>
              <w:textAlignment w:val="center"/>
              <w:rPr>
                <w:rFonts w:cs="宋体"/>
                <w:color w:val="auto"/>
                <w:sz w:val="21"/>
                <w:szCs w:val="20"/>
              </w:rPr>
            </w:pPr>
            <w:r>
              <w:rPr>
                <w:rFonts w:cs="宋体"/>
                <w:color w:val="auto"/>
                <w:sz w:val="21"/>
                <w:szCs w:val="20"/>
              </w:rPr>
              <w:t>71</w:t>
            </w:r>
          </w:p>
        </w:tc>
        <w:tc>
          <w:tcPr>
            <w:tcW w:w="1379" w:type="pct"/>
            <w:vMerge w:val="restart"/>
            <w:tcBorders>
              <w:tl2br w:val="nil"/>
              <w:tr2bl w:val="nil"/>
            </w:tcBorders>
            <w:vAlign w:val="center"/>
          </w:tcPr>
          <w:p w14:paraId="24364CC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718" w:type="pct"/>
            <w:tcBorders>
              <w:tl2br w:val="nil"/>
              <w:tr2bl w:val="nil"/>
            </w:tcBorders>
            <w:vAlign w:val="center"/>
          </w:tcPr>
          <w:p w14:paraId="175B3E9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P-E-1</w:t>
            </w:r>
          </w:p>
        </w:tc>
        <w:tc>
          <w:tcPr>
            <w:tcW w:w="545" w:type="pct"/>
            <w:vMerge w:val="restart"/>
            <w:tcBorders>
              <w:tl2br w:val="nil"/>
              <w:tr2bl w:val="nil"/>
            </w:tcBorders>
            <w:noWrap/>
            <w:vAlign w:val="center"/>
          </w:tcPr>
          <w:p w14:paraId="07CDDD2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07724EF4">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C7AFC86">
            <w:pPr>
              <w:spacing w:line="240" w:lineRule="auto"/>
              <w:ind w:firstLine="0" w:firstLineChars="0"/>
              <w:jc w:val="center"/>
              <w:rPr>
                <w:rFonts w:cs="宋体"/>
                <w:color w:val="auto"/>
                <w:sz w:val="21"/>
                <w:szCs w:val="20"/>
              </w:rPr>
            </w:pPr>
          </w:p>
        </w:tc>
      </w:tr>
      <w:tr w14:paraId="699B7A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6692E45">
            <w:pPr>
              <w:widowControl/>
              <w:spacing w:line="240" w:lineRule="auto"/>
              <w:ind w:firstLine="0" w:firstLineChars="0"/>
              <w:jc w:val="center"/>
              <w:textAlignment w:val="center"/>
              <w:rPr>
                <w:rFonts w:cs="宋体"/>
                <w:color w:val="auto"/>
                <w:sz w:val="21"/>
                <w:szCs w:val="20"/>
              </w:rPr>
            </w:pPr>
            <w:r>
              <w:rPr>
                <w:rFonts w:cs="宋体"/>
                <w:color w:val="auto"/>
                <w:sz w:val="21"/>
                <w:szCs w:val="20"/>
              </w:rPr>
              <w:t>72</w:t>
            </w:r>
          </w:p>
        </w:tc>
        <w:tc>
          <w:tcPr>
            <w:tcW w:w="1379" w:type="pct"/>
            <w:vMerge w:val="continue"/>
            <w:tcBorders>
              <w:tl2br w:val="nil"/>
              <w:tr2bl w:val="nil"/>
            </w:tcBorders>
            <w:vAlign w:val="center"/>
          </w:tcPr>
          <w:p w14:paraId="6E8209CA">
            <w:pPr>
              <w:spacing w:line="240" w:lineRule="auto"/>
              <w:ind w:firstLine="0" w:firstLineChars="0"/>
              <w:jc w:val="center"/>
              <w:rPr>
                <w:rFonts w:cs="宋体"/>
                <w:color w:val="auto"/>
                <w:sz w:val="21"/>
                <w:szCs w:val="20"/>
              </w:rPr>
            </w:pPr>
          </w:p>
        </w:tc>
        <w:tc>
          <w:tcPr>
            <w:tcW w:w="718" w:type="pct"/>
            <w:tcBorders>
              <w:tl2br w:val="nil"/>
              <w:tr2bl w:val="nil"/>
            </w:tcBorders>
            <w:vAlign w:val="center"/>
          </w:tcPr>
          <w:p w14:paraId="6288F43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vMerge w:val="continue"/>
            <w:tcBorders>
              <w:tl2br w:val="nil"/>
              <w:tr2bl w:val="nil"/>
            </w:tcBorders>
            <w:noWrap/>
            <w:vAlign w:val="center"/>
          </w:tcPr>
          <w:p w14:paraId="72EC0E46">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05EE0DF6">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7B12AD8">
            <w:pPr>
              <w:spacing w:line="240" w:lineRule="auto"/>
              <w:ind w:firstLine="0" w:firstLineChars="0"/>
              <w:jc w:val="center"/>
              <w:rPr>
                <w:rFonts w:cs="宋体"/>
                <w:color w:val="auto"/>
                <w:sz w:val="21"/>
                <w:szCs w:val="20"/>
              </w:rPr>
            </w:pPr>
          </w:p>
        </w:tc>
      </w:tr>
      <w:tr w14:paraId="125813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9B405C1">
            <w:pPr>
              <w:widowControl/>
              <w:spacing w:line="240" w:lineRule="auto"/>
              <w:ind w:firstLine="0" w:firstLineChars="0"/>
              <w:jc w:val="center"/>
              <w:textAlignment w:val="center"/>
              <w:rPr>
                <w:rFonts w:cs="宋体"/>
                <w:color w:val="auto"/>
                <w:sz w:val="21"/>
                <w:szCs w:val="20"/>
              </w:rPr>
            </w:pPr>
            <w:r>
              <w:rPr>
                <w:rFonts w:cs="宋体"/>
                <w:color w:val="auto"/>
                <w:sz w:val="21"/>
                <w:szCs w:val="20"/>
              </w:rPr>
              <w:t>73</w:t>
            </w:r>
          </w:p>
        </w:tc>
        <w:tc>
          <w:tcPr>
            <w:tcW w:w="1379" w:type="pct"/>
            <w:tcBorders>
              <w:tl2br w:val="nil"/>
              <w:tr2bl w:val="nil"/>
            </w:tcBorders>
            <w:vAlign w:val="center"/>
          </w:tcPr>
          <w:p w14:paraId="310F4D6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tcBorders>
              <w:tl2br w:val="nil"/>
              <w:tr2bl w:val="nil"/>
            </w:tcBorders>
            <w:noWrap/>
            <w:vAlign w:val="center"/>
          </w:tcPr>
          <w:p w14:paraId="2B3FA10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4537834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651A1711">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78E1534">
            <w:pPr>
              <w:spacing w:line="240" w:lineRule="auto"/>
              <w:ind w:firstLine="0" w:firstLineChars="0"/>
              <w:jc w:val="center"/>
              <w:rPr>
                <w:rFonts w:cs="宋体"/>
                <w:color w:val="auto"/>
                <w:sz w:val="21"/>
                <w:szCs w:val="20"/>
              </w:rPr>
            </w:pPr>
          </w:p>
        </w:tc>
      </w:tr>
      <w:tr w14:paraId="5284E4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2E98EE2">
            <w:pPr>
              <w:widowControl/>
              <w:spacing w:line="240" w:lineRule="auto"/>
              <w:ind w:firstLine="0" w:firstLineChars="0"/>
              <w:jc w:val="center"/>
              <w:textAlignment w:val="center"/>
              <w:rPr>
                <w:rFonts w:cs="宋体"/>
                <w:color w:val="auto"/>
                <w:sz w:val="21"/>
                <w:szCs w:val="20"/>
              </w:rPr>
            </w:pPr>
            <w:r>
              <w:rPr>
                <w:rFonts w:cs="宋体"/>
                <w:color w:val="auto"/>
                <w:sz w:val="21"/>
                <w:szCs w:val="20"/>
              </w:rPr>
              <w:t>74</w:t>
            </w:r>
          </w:p>
        </w:tc>
        <w:tc>
          <w:tcPr>
            <w:tcW w:w="1379" w:type="pct"/>
            <w:tcBorders>
              <w:tl2br w:val="nil"/>
              <w:tr2bl w:val="nil"/>
            </w:tcBorders>
            <w:vAlign w:val="center"/>
          </w:tcPr>
          <w:p w14:paraId="67FC608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tcBorders>
              <w:tl2br w:val="nil"/>
              <w:tr2bl w:val="nil"/>
            </w:tcBorders>
            <w:noWrap/>
            <w:vAlign w:val="center"/>
          </w:tcPr>
          <w:p w14:paraId="1F6CBD2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465E489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1副</w:t>
            </w:r>
          </w:p>
        </w:tc>
        <w:tc>
          <w:tcPr>
            <w:tcW w:w="958" w:type="pct"/>
            <w:vMerge w:val="continue"/>
            <w:tcBorders>
              <w:tl2br w:val="nil"/>
              <w:tr2bl w:val="nil"/>
            </w:tcBorders>
            <w:noWrap/>
            <w:vAlign w:val="center"/>
          </w:tcPr>
          <w:p w14:paraId="7489D6D3">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049BDDC">
            <w:pPr>
              <w:spacing w:line="240" w:lineRule="auto"/>
              <w:ind w:firstLine="0" w:firstLineChars="0"/>
              <w:jc w:val="center"/>
              <w:rPr>
                <w:rFonts w:cs="宋体"/>
                <w:color w:val="auto"/>
                <w:sz w:val="21"/>
                <w:szCs w:val="20"/>
              </w:rPr>
            </w:pPr>
          </w:p>
        </w:tc>
      </w:tr>
      <w:tr w14:paraId="38B7FB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B65D95B">
            <w:pPr>
              <w:widowControl/>
              <w:spacing w:line="240" w:lineRule="auto"/>
              <w:ind w:firstLine="0" w:firstLineChars="0"/>
              <w:jc w:val="center"/>
              <w:textAlignment w:val="center"/>
              <w:rPr>
                <w:rFonts w:cs="宋体"/>
                <w:color w:val="auto"/>
                <w:sz w:val="21"/>
                <w:szCs w:val="20"/>
              </w:rPr>
            </w:pPr>
            <w:r>
              <w:rPr>
                <w:rFonts w:cs="宋体"/>
                <w:color w:val="auto"/>
                <w:sz w:val="21"/>
                <w:szCs w:val="20"/>
              </w:rPr>
              <w:t>75</w:t>
            </w:r>
          </w:p>
        </w:tc>
        <w:tc>
          <w:tcPr>
            <w:tcW w:w="1379" w:type="pct"/>
            <w:tcBorders>
              <w:tl2br w:val="nil"/>
              <w:tr2bl w:val="nil"/>
            </w:tcBorders>
            <w:vAlign w:val="center"/>
          </w:tcPr>
          <w:p w14:paraId="3B21E94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tcBorders>
              <w:tl2br w:val="nil"/>
              <w:tr2bl w:val="nil"/>
            </w:tcBorders>
            <w:noWrap/>
            <w:vAlign w:val="center"/>
          </w:tcPr>
          <w:p w14:paraId="04F8CCF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0AB35D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1362B8F8">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C1FE177">
            <w:pPr>
              <w:spacing w:line="240" w:lineRule="auto"/>
              <w:ind w:firstLine="0" w:firstLineChars="0"/>
              <w:jc w:val="center"/>
              <w:rPr>
                <w:rFonts w:cs="宋体"/>
                <w:color w:val="auto"/>
                <w:sz w:val="21"/>
                <w:szCs w:val="20"/>
              </w:rPr>
            </w:pPr>
          </w:p>
        </w:tc>
      </w:tr>
      <w:tr w14:paraId="41BA4B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83A1657">
            <w:pPr>
              <w:widowControl/>
              <w:spacing w:line="240" w:lineRule="auto"/>
              <w:ind w:firstLine="0" w:firstLineChars="0"/>
              <w:jc w:val="center"/>
              <w:textAlignment w:val="center"/>
              <w:rPr>
                <w:rFonts w:cs="宋体"/>
                <w:color w:val="auto"/>
                <w:sz w:val="21"/>
                <w:szCs w:val="20"/>
              </w:rPr>
            </w:pPr>
            <w:r>
              <w:rPr>
                <w:rFonts w:cs="宋体"/>
                <w:color w:val="auto"/>
                <w:sz w:val="21"/>
                <w:szCs w:val="20"/>
              </w:rPr>
              <w:t>76</w:t>
            </w:r>
          </w:p>
        </w:tc>
        <w:tc>
          <w:tcPr>
            <w:tcW w:w="1379" w:type="pct"/>
            <w:tcBorders>
              <w:tl2br w:val="nil"/>
              <w:tr2bl w:val="nil"/>
            </w:tcBorders>
            <w:vAlign w:val="center"/>
          </w:tcPr>
          <w:p w14:paraId="7DBCDF7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tcBorders>
              <w:tl2br w:val="nil"/>
              <w:tr2bl w:val="nil"/>
            </w:tcBorders>
            <w:noWrap/>
            <w:vAlign w:val="center"/>
          </w:tcPr>
          <w:p w14:paraId="31CBEAB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4B2F7FD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074E456B">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EDA1F83">
            <w:pPr>
              <w:spacing w:line="240" w:lineRule="auto"/>
              <w:ind w:firstLine="0" w:firstLineChars="0"/>
              <w:jc w:val="center"/>
              <w:rPr>
                <w:rFonts w:cs="宋体"/>
                <w:color w:val="auto"/>
                <w:sz w:val="21"/>
                <w:szCs w:val="20"/>
              </w:rPr>
            </w:pPr>
          </w:p>
        </w:tc>
      </w:tr>
      <w:tr w14:paraId="4836DA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252E8D3">
            <w:pPr>
              <w:widowControl/>
              <w:spacing w:line="240" w:lineRule="auto"/>
              <w:ind w:firstLine="0" w:firstLineChars="0"/>
              <w:jc w:val="center"/>
              <w:textAlignment w:val="center"/>
              <w:rPr>
                <w:rFonts w:cs="宋体"/>
                <w:color w:val="auto"/>
                <w:sz w:val="21"/>
                <w:szCs w:val="20"/>
              </w:rPr>
            </w:pPr>
            <w:r>
              <w:rPr>
                <w:rFonts w:cs="宋体"/>
                <w:color w:val="auto"/>
                <w:sz w:val="21"/>
                <w:szCs w:val="20"/>
              </w:rPr>
              <w:t>77</w:t>
            </w:r>
          </w:p>
        </w:tc>
        <w:tc>
          <w:tcPr>
            <w:tcW w:w="1379" w:type="pct"/>
            <w:tcBorders>
              <w:tl2br w:val="nil"/>
              <w:tr2bl w:val="nil"/>
            </w:tcBorders>
            <w:vAlign w:val="center"/>
          </w:tcPr>
          <w:p w14:paraId="2DD2C10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tcBorders>
              <w:tl2br w:val="nil"/>
              <w:tr2bl w:val="nil"/>
            </w:tcBorders>
            <w:noWrap/>
            <w:vAlign w:val="center"/>
          </w:tcPr>
          <w:p w14:paraId="538018E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07DFF7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noWrap/>
            <w:vAlign w:val="center"/>
          </w:tcPr>
          <w:p w14:paraId="444D504B">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570AC8C">
            <w:pPr>
              <w:spacing w:line="240" w:lineRule="auto"/>
              <w:ind w:firstLine="0" w:firstLineChars="0"/>
              <w:jc w:val="center"/>
              <w:rPr>
                <w:rFonts w:cs="宋体"/>
                <w:color w:val="auto"/>
                <w:sz w:val="21"/>
                <w:szCs w:val="20"/>
              </w:rPr>
            </w:pPr>
          </w:p>
        </w:tc>
      </w:tr>
      <w:tr w14:paraId="4FD3D4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5E4DEB5">
            <w:pPr>
              <w:widowControl/>
              <w:spacing w:line="240" w:lineRule="auto"/>
              <w:ind w:firstLine="0" w:firstLineChars="0"/>
              <w:jc w:val="center"/>
              <w:textAlignment w:val="center"/>
              <w:rPr>
                <w:rFonts w:cs="宋体"/>
                <w:color w:val="auto"/>
                <w:sz w:val="21"/>
                <w:szCs w:val="20"/>
              </w:rPr>
            </w:pPr>
            <w:r>
              <w:rPr>
                <w:rFonts w:cs="宋体"/>
                <w:color w:val="auto"/>
                <w:sz w:val="21"/>
                <w:szCs w:val="20"/>
              </w:rPr>
              <w:t>78</w:t>
            </w:r>
          </w:p>
        </w:tc>
        <w:tc>
          <w:tcPr>
            <w:tcW w:w="1379" w:type="pct"/>
            <w:vMerge w:val="restart"/>
            <w:tcBorders>
              <w:tl2br w:val="nil"/>
              <w:tr2bl w:val="nil"/>
            </w:tcBorders>
            <w:vAlign w:val="center"/>
          </w:tcPr>
          <w:p w14:paraId="7876E5F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tcBorders>
              <w:tl2br w:val="nil"/>
              <w:tr2bl w:val="nil"/>
            </w:tcBorders>
            <w:noWrap/>
            <w:vAlign w:val="center"/>
          </w:tcPr>
          <w:p w14:paraId="392A07A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tcBorders>
              <w:tl2br w:val="nil"/>
              <w:tr2bl w:val="nil"/>
            </w:tcBorders>
            <w:noWrap/>
            <w:vAlign w:val="center"/>
          </w:tcPr>
          <w:p w14:paraId="15629DB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restart"/>
            <w:tcBorders>
              <w:tl2br w:val="nil"/>
              <w:tr2bl w:val="nil"/>
            </w:tcBorders>
            <w:noWrap/>
            <w:vAlign w:val="center"/>
          </w:tcPr>
          <w:p w14:paraId="22EE5610">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17F8552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亚铵车间二层</w:t>
            </w:r>
          </w:p>
        </w:tc>
      </w:tr>
      <w:tr w14:paraId="4587AF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0F521EA7">
            <w:pPr>
              <w:widowControl/>
              <w:spacing w:line="240" w:lineRule="auto"/>
              <w:ind w:firstLine="0" w:firstLineChars="0"/>
              <w:jc w:val="center"/>
              <w:textAlignment w:val="center"/>
              <w:rPr>
                <w:rFonts w:cs="宋体"/>
                <w:color w:val="auto"/>
                <w:sz w:val="21"/>
                <w:szCs w:val="20"/>
              </w:rPr>
            </w:pPr>
            <w:r>
              <w:rPr>
                <w:rFonts w:cs="宋体"/>
                <w:color w:val="auto"/>
                <w:sz w:val="21"/>
                <w:szCs w:val="20"/>
              </w:rPr>
              <w:t>79</w:t>
            </w:r>
          </w:p>
        </w:tc>
        <w:tc>
          <w:tcPr>
            <w:tcW w:w="1379" w:type="pct"/>
            <w:vMerge w:val="continue"/>
            <w:tcBorders>
              <w:tl2br w:val="nil"/>
              <w:tr2bl w:val="nil"/>
            </w:tcBorders>
            <w:vAlign w:val="center"/>
          </w:tcPr>
          <w:p w14:paraId="1CA75112">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1B22832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tcBorders>
              <w:tl2br w:val="nil"/>
              <w:tr2bl w:val="nil"/>
            </w:tcBorders>
            <w:noWrap/>
            <w:vAlign w:val="center"/>
          </w:tcPr>
          <w:p w14:paraId="7C4E549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1EB08E42">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A45B5BB">
            <w:pPr>
              <w:spacing w:line="240" w:lineRule="auto"/>
              <w:ind w:firstLine="0" w:firstLineChars="0"/>
              <w:jc w:val="center"/>
              <w:rPr>
                <w:rFonts w:cs="宋体"/>
                <w:color w:val="auto"/>
                <w:sz w:val="21"/>
                <w:szCs w:val="20"/>
              </w:rPr>
            </w:pPr>
          </w:p>
        </w:tc>
      </w:tr>
      <w:tr w14:paraId="188681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2D844A37">
            <w:pPr>
              <w:widowControl/>
              <w:spacing w:line="240" w:lineRule="auto"/>
              <w:ind w:firstLine="0" w:firstLineChars="0"/>
              <w:jc w:val="center"/>
              <w:textAlignment w:val="center"/>
              <w:rPr>
                <w:rFonts w:cs="宋体"/>
                <w:color w:val="auto"/>
                <w:sz w:val="21"/>
                <w:szCs w:val="20"/>
              </w:rPr>
            </w:pPr>
            <w:r>
              <w:rPr>
                <w:rFonts w:cs="宋体"/>
                <w:color w:val="auto"/>
                <w:sz w:val="21"/>
                <w:szCs w:val="20"/>
              </w:rPr>
              <w:t>80</w:t>
            </w:r>
          </w:p>
        </w:tc>
        <w:tc>
          <w:tcPr>
            <w:tcW w:w="1379" w:type="pct"/>
            <w:tcBorders>
              <w:tl2br w:val="nil"/>
              <w:tr2bl w:val="nil"/>
            </w:tcBorders>
            <w:vAlign w:val="center"/>
          </w:tcPr>
          <w:p w14:paraId="3AECEE7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tcBorders>
              <w:tl2br w:val="nil"/>
              <w:tr2bl w:val="nil"/>
            </w:tcBorders>
            <w:noWrap/>
            <w:vAlign w:val="center"/>
          </w:tcPr>
          <w:p w14:paraId="0DCDC5E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1E5831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610B3143">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AE4187F">
            <w:pPr>
              <w:spacing w:line="240" w:lineRule="auto"/>
              <w:ind w:firstLine="0" w:firstLineChars="0"/>
              <w:jc w:val="center"/>
              <w:rPr>
                <w:rFonts w:cs="宋体"/>
                <w:color w:val="auto"/>
                <w:sz w:val="21"/>
                <w:szCs w:val="20"/>
              </w:rPr>
            </w:pPr>
          </w:p>
        </w:tc>
      </w:tr>
      <w:tr w14:paraId="1064F7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7F52B1B">
            <w:pPr>
              <w:widowControl/>
              <w:spacing w:line="240" w:lineRule="auto"/>
              <w:ind w:firstLine="0" w:firstLineChars="0"/>
              <w:jc w:val="center"/>
              <w:textAlignment w:val="center"/>
              <w:rPr>
                <w:rFonts w:cs="宋体"/>
                <w:color w:val="auto"/>
                <w:sz w:val="21"/>
                <w:szCs w:val="20"/>
              </w:rPr>
            </w:pPr>
            <w:r>
              <w:rPr>
                <w:rFonts w:cs="宋体"/>
                <w:color w:val="auto"/>
                <w:sz w:val="21"/>
                <w:szCs w:val="20"/>
              </w:rPr>
              <w:t>81</w:t>
            </w:r>
          </w:p>
        </w:tc>
        <w:tc>
          <w:tcPr>
            <w:tcW w:w="1379" w:type="pct"/>
            <w:tcBorders>
              <w:tl2br w:val="nil"/>
              <w:tr2bl w:val="nil"/>
            </w:tcBorders>
            <w:vAlign w:val="center"/>
          </w:tcPr>
          <w:p w14:paraId="0DC2FA5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718" w:type="pct"/>
            <w:tcBorders>
              <w:tl2br w:val="nil"/>
              <w:tr2bl w:val="nil"/>
            </w:tcBorders>
            <w:noWrap/>
            <w:vAlign w:val="center"/>
          </w:tcPr>
          <w:p w14:paraId="6949DE7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noWrap/>
            <w:vAlign w:val="center"/>
          </w:tcPr>
          <w:p w14:paraId="1775702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83B36AB">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0670453">
            <w:pPr>
              <w:spacing w:line="240" w:lineRule="auto"/>
              <w:ind w:firstLine="0" w:firstLineChars="0"/>
              <w:jc w:val="center"/>
              <w:rPr>
                <w:rFonts w:cs="宋体"/>
                <w:color w:val="auto"/>
                <w:sz w:val="21"/>
                <w:szCs w:val="20"/>
              </w:rPr>
            </w:pPr>
          </w:p>
        </w:tc>
      </w:tr>
      <w:tr w14:paraId="17B962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3FDC0FB">
            <w:pPr>
              <w:widowControl/>
              <w:spacing w:line="240" w:lineRule="auto"/>
              <w:ind w:firstLine="0" w:firstLineChars="0"/>
              <w:jc w:val="center"/>
              <w:textAlignment w:val="center"/>
              <w:rPr>
                <w:rFonts w:cs="宋体"/>
                <w:color w:val="auto"/>
                <w:sz w:val="21"/>
                <w:szCs w:val="20"/>
              </w:rPr>
            </w:pPr>
            <w:r>
              <w:rPr>
                <w:rFonts w:cs="宋体"/>
                <w:color w:val="auto"/>
                <w:sz w:val="21"/>
                <w:szCs w:val="20"/>
              </w:rPr>
              <w:t>82</w:t>
            </w:r>
          </w:p>
        </w:tc>
        <w:tc>
          <w:tcPr>
            <w:tcW w:w="1379" w:type="pct"/>
            <w:vMerge w:val="restart"/>
            <w:tcBorders>
              <w:tl2br w:val="nil"/>
              <w:tr2bl w:val="nil"/>
            </w:tcBorders>
            <w:vAlign w:val="center"/>
          </w:tcPr>
          <w:p w14:paraId="64A0700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718" w:type="pct"/>
            <w:tcBorders>
              <w:tl2br w:val="nil"/>
              <w:tr2bl w:val="nil"/>
            </w:tcBorders>
            <w:noWrap/>
            <w:vAlign w:val="center"/>
          </w:tcPr>
          <w:p w14:paraId="2680716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P-E-1</w:t>
            </w:r>
          </w:p>
        </w:tc>
        <w:tc>
          <w:tcPr>
            <w:tcW w:w="545" w:type="pct"/>
            <w:vMerge w:val="restart"/>
            <w:tcBorders>
              <w:tl2br w:val="nil"/>
              <w:tr2bl w:val="nil"/>
            </w:tcBorders>
            <w:noWrap/>
            <w:vAlign w:val="center"/>
          </w:tcPr>
          <w:p w14:paraId="6217D1B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4CA470F">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3E1AD05">
            <w:pPr>
              <w:spacing w:line="240" w:lineRule="auto"/>
              <w:ind w:firstLine="0" w:firstLineChars="0"/>
              <w:jc w:val="center"/>
              <w:rPr>
                <w:rFonts w:cs="宋体"/>
                <w:color w:val="auto"/>
                <w:sz w:val="21"/>
                <w:szCs w:val="20"/>
              </w:rPr>
            </w:pPr>
          </w:p>
        </w:tc>
      </w:tr>
      <w:tr w14:paraId="0D2E93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24EE5C35">
            <w:pPr>
              <w:widowControl/>
              <w:spacing w:line="240" w:lineRule="auto"/>
              <w:ind w:firstLine="0" w:firstLineChars="0"/>
              <w:jc w:val="center"/>
              <w:textAlignment w:val="center"/>
              <w:rPr>
                <w:rFonts w:cs="宋体"/>
                <w:color w:val="auto"/>
                <w:sz w:val="21"/>
                <w:szCs w:val="20"/>
              </w:rPr>
            </w:pPr>
            <w:r>
              <w:rPr>
                <w:rFonts w:cs="宋体"/>
                <w:color w:val="auto"/>
                <w:sz w:val="21"/>
                <w:szCs w:val="20"/>
              </w:rPr>
              <w:t>83</w:t>
            </w:r>
          </w:p>
        </w:tc>
        <w:tc>
          <w:tcPr>
            <w:tcW w:w="1379" w:type="pct"/>
            <w:vMerge w:val="continue"/>
            <w:tcBorders>
              <w:tl2br w:val="nil"/>
              <w:tr2bl w:val="nil"/>
            </w:tcBorders>
            <w:vAlign w:val="center"/>
          </w:tcPr>
          <w:p w14:paraId="6EE0731A">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4490B35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continue"/>
            <w:tcBorders>
              <w:tl2br w:val="nil"/>
              <w:tr2bl w:val="nil"/>
            </w:tcBorders>
            <w:noWrap/>
            <w:vAlign w:val="center"/>
          </w:tcPr>
          <w:p w14:paraId="4AED12CF">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4253EBD9">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28B71EB">
            <w:pPr>
              <w:spacing w:line="240" w:lineRule="auto"/>
              <w:ind w:firstLine="0" w:firstLineChars="0"/>
              <w:jc w:val="center"/>
              <w:rPr>
                <w:rFonts w:cs="宋体"/>
                <w:color w:val="auto"/>
                <w:sz w:val="21"/>
                <w:szCs w:val="20"/>
              </w:rPr>
            </w:pPr>
          </w:p>
        </w:tc>
      </w:tr>
      <w:tr w14:paraId="6DEF6F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2495980">
            <w:pPr>
              <w:widowControl/>
              <w:spacing w:line="240" w:lineRule="auto"/>
              <w:ind w:firstLine="0" w:firstLineChars="0"/>
              <w:jc w:val="center"/>
              <w:textAlignment w:val="center"/>
              <w:rPr>
                <w:rFonts w:cs="宋体"/>
                <w:color w:val="auto"/>
                <w:sz w:val="21"/>
                <w:szCs w:val="20"/>
              </w:rPr>
            </w:pPr>
            <w:r>
              <w:rPr>
                <w:rFonts w:cs="宋体"/>
                <w:color w:val="auto"/>
                <w:sz w:val="21"/>
                <w:szCs w:val="20"/>
              </w:rPr>
              <w:t>84</w:t>
            </w:r>
          </w:p>
        </w:tc>
        <w:tc>
          <w:tcPr>
            <w:tcW w:w="1379" w:type="pct"/>
            <w:tcBorders>
              <w:tl2br w:val="nil"/>
              <w:tr2bl w:val="nil"/>
            </w:tcBorders>
            <w:vAlign w:val="center"/>
          </w:tcPr>
          <w:p w14:paraId="0BA59D7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tcBorders>
              <w:tl2br w:val="nil"/>
              <w:tr2bl w:val="nil"/>
            </w:tcBorders>
            <w:noWrap/>
            <w:vAlign w:val="center"/>
          </w:tcPr>
          <w:p w14:paraId="4CBB94F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3DEE3F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1副</w:t>
            </w:r>
          </w:p>
        </w:tc>
        <w:tc>
          <w:tcPr>
            <w:tcW w:w="958" w:type="pct"/>
            <w:vMerge w:val="continue"/>
            <w:tcBorders>
              <w:tl2br w:val="nil"/>
              <w:tr2bl w:val="nil"/>
            </w:tcBorders>
            <w:noWrap/>
            <w:vAlign w:val="center"/>
          </w:tcPr>
          <w:p w14:paraId="727BD449">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FF017E5">
            <w:pPr>
              <w:spacing w:line="240" w:lineRule="auto"/>
              <w:ind w:firstLine="0" w:firstLineChars="0"/>
              <w:jc w:val="center"/>
              <w:rPr>
                <w:rFonts w:cs="宋体"/>
                <w:color w:val="auto"/>
                <w:sz w:val="21"/>
                <w:szCs w:val="20"/>
              </w:rPr>
            </w:pPr>
          </w:p>
        </w:tc>
      </w:tr>
      <w:tr w14:paraId="0AA541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44D8C91">
            <w:pPr>
              <w:widowControl/>
              <w:spacing w:line="240" w:lineRule="auto"/>
              <w:ind w:firstLine="0" w:firstLineChars="0"/>
              <w:jc w:val="center"/>
              <w:textAlignment w:val="center"/>
              <w:rPr>
                <w:rFonts w:cs="宋体"/>
                <w:color w:val="auto"/>
                <w:sz w:val="21"/>
                <w:szCs w:val="20"/>
              </w:rPr>
            </w:pPr>
            <w:r>
              <w:rPr>
                <w:rFonts w:cs="宋体"/>
                <w:color w:val="auto"/>
                <w:sz w:val="21"/>
                <w:szCs w:val="20"/>
              </w:rPr>
              <w:t>85</w:t>
            </w:r>
          </w:p>
        </w:tc>
        <w:tc>
          <w:tcPr>
            <w:tcW w:w="1379" w:type="pct"/>
            <w:tcBorders>
              <w:tl2br w:val="nil"/>
              <w:tr2bl w:val="nil"/>
            </w:tcBorders>
            <w:noWrap/>
            <w:vAlign w:val="center"/>
          </w:tcPr>
          <w:p w14:paraId="72CE80C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tcBorders>
              <w:tl2br w:val="nil"/>
              <w:tr2bl w:val="nil"/>
            </w:tcBorders>
            <w:noWrap/>
            <w:vAlign w:val="center"/>
          </w:tcPr>
          <w:p w14:paraId="671C80B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87A6EA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4D4E22CE">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CD56E11">
            <w:pPr>
              <w:spacing w:line="240" w:lineRule="auto"/>
              <w:ind w:firstLine="0" w:firstLineChars="0"/>
              <w:jc w:val="center"/>
              <w:rPr>
                <w:rFonts w:cs="宋体"/>
                <w:color w:val="auto"/>
                <w:sz w:val="21"/>
                <w:szCs w:val="20"/>
              </w:rPr>
            </w:pPr>
          </w:p>
        </w:tc>
      </w:tr>
      <w:tr w14:paraId="6F7DE6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C7217D6">
            <w:pPr>
              <w:widowControl/>
              <w:spacing w:line="240" w:lineRule="auto"/>
              <w:ind w:firstLine="0" w:firstLineChars="0"/>
              <w:jc w:val="center"/>
              <w:textAlignment w:val="center"/>
              <w:rPr>
                <w:rFonts w:cs="宋体"/>
                <w:color w:val="auto"/>
                <w:sz w:val="21"/>
                <w:szCs w:val="20"/>
              </w:rPr>
            </w:pPr>
            <w:r>
              <w:rPr>
                <w:rFonts w:cs="宋体"/>
                <w:color w:val="auto"/>
                <w:sz w:val="21"/>
                <w:szCs w:val="20"/>
              </w:rPr>
              <w:t>86</w:t>
            </w:r>
          </w:p>
        </w:tc>
        <w:tc>
          <w:tcPr>
            <w:tcW w:w="1379" w:type="pct"/>
            <w:tcBorders>
              <w:tl2br w:val="nil"/>
              <w:tr2bl w:val="nil"/>
            </w:tcBorders>
            <w:vAlign w:val="center"/>
          </w:tcPr>
          <w:p w14:paraId="59E539B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tcBorders>
              <w:tl2br w:val="nil"/>
              <w:tr2bl w:val="nil"/>
            </w:tcBorders>
            <w:noWrap/>
            <w:vAlign w:val="center"/>
          </w:tcPr>
          <w:p w14:paraId="18C1785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C80D62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179F9788">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4121F1F">
            <w:pPr>
              <w:spacing w:line="240" w:lineRule="auto"/>
              <w:ind w:firstLine="0" w:firstLineChars="0"/>
              <w:jc w:val="center"/>
              <w:rPr>
                <w:rFonts w:cs="宋体"/>
                <w:color w:val="auto"/>
                <w:sz w:val="21"/>
                <w:szCs w:val="20"/>
              </w:rPr>
            </w:pPr>
          </w:p>
        </w:tc>
      </w:tr>
      <w:tr w14:paraId="2485C5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2F694EA">
            <w:pPr>
              <w:widowControl/>
              <w:spacing w:line="240" w:lineRule="auto"/>
              <w:ind w:firstLine="0" w:firstLineChars="0"/>
              <w:jc w:val="center"/>
              <w:textAlignment w:val="center"/>
              <w:rPr>
                <w:rFonts w:cs="宋体"/>
                <w:color w:val="auto"/>
                <w:sz w:val="21"/>
                <w:szCs w:val="20"/>
              </w:rPr>
            </w:pPr>
            <w:r>
              <w:rPr>
                <w:rFonts w:cs="宋体"/>
                <w:color w:val="auto"/>
                <w:sz w:val="21"/>
                <w:szCs w:val="20"/>
              </w:rPr>
              <w:t>87</w:t>
            </w:r>
          </w:p>
        </w:tc>
        <w:tc>
          <w:tcPr>
            <w:tcW w:w="1379" w:type="pct"/>
            <w:tcBorders>
              <w:tl2br w:val="nil"/>
              <w:tr2bl w:val="nil"/>
            </w:tcBorders>
            <w:vAlign w:val="center"/>
          </w:tcPr>
          <w:p w14:paraId="248B939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tcBorders>
              <w:tl2br w:val="nil"/>
              <w:tr2bl w:val="nil"/>
            </w:tcBorders>
            <w:noWrap/>
            <w:vAlign w:val="center"/>
          </w:tcPr>
          <w:p w14:paraId="693D156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A103D2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5EBFECE3">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540016C">
            <w:pPr>
              <w:spacing w:line="240" w:lineRule="auto"/>
              <w:ind w:firstLine="0" w:firstLineChars="0"/>
              <w:jc w:val="center"/>
              <w:rPr>
                <w:rFonts w:cs="宋体"/>
                <w:color w:val="auto"/>
                <w:sz w:val="21"/>
                <w:szCs w:val="20"/>
              </w:rPr>
            </w:pPr>
          </w:p>
        </w:tc>
      </w:tr>
      <w:tr w14:paraId="725298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CDB2656">
            <w:pPr>
              <w:widowControl/>
              <w:spacing w:line="240" w:lineRule="auto"/>
              <w:ind w:firstLine="0" w:firstLineChars="0"/>
              <w:jc w:val="center"/>
              <w:textAlignment w:val="center"/>
              <w:rPr>
                <w:rFonts w:cs="宋体"/>
                <w:color w:val="auto"/>
                <w:sz w:val="21"/>
                <w:szCs w:val="20"/>
              </w:rPr>
            </w:pPr>
            <w:r>
              <w:rPr>
                <w:rFonts w:cs="宋体"/>
                <w:color w:val="auto"/>
                <w:sz w:val="21"/>
                <w:szCs w:val="20"/>
              </w:rPr>
              <w:t>88</w:t>
            </w:r>
          </w:p>
        </w:tc>
        <w:tc>
          <w:tcPr>
            <w:tcW w:w="1379" w:type="pct"/>
            <w:tcBorders>
              <w:tl2br w:val="nil"/>
              <w:tr2bl w:val="nil"/>
            </w:tcBorders>
            <w:vAlign w:val="center"/>
          </w:tcPr>
          <w:p w14:paraId="3367975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tcBorders>
              <w:tl2br w:val="nil"/>
              <w:tr2bl w:val="nil"/>
            </w:tcBorders>
            <w:noWrap/>
            <w:vAlign w:val="center"/>
          </w:tcPr>
          <w:p w14:paraId="1A94030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18C970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noWrap/>
            <w:vAlign w:val="center"/>
          </w:tcPr>
          <w:p w14:paraId="02B5A5E0">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E445C04">
            <w:pPr>
              <w:spacing w:line="240" w:lineRule="auto"/>
              <w:ind w:firstLine="0" w:firstLineChars="0"/>
              <w:jc w:val="center"/>
              <w:rPr>
                <w:rFonts w:cs="宋体"/>
                <w:color w:val="auto"/>
                <w:sz w:val="21"/>
                <w:szCs w:val="20"/>
              </w:rPr>
            </w:pPr>
          </w:p>
        </w:tc>
      </w:tr>
      <w:tr w14:paraId="012905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3026BF3">
            <w:pPr>
              <w:widowControl/>
              <w:spacing w:line="240" w:lineRule="auto"/>
              <w:ind w:firstLine="0" w:firstLineChars="0"/>
              <w:jc w:val="center"/>
              <w:textAlignment w:val="center"/>
              <w:rPr>
                <w:rFonts w:cs="宋体"/>
                <w:color w:val="auto"/>
                <w:sz w:val="21"/>
                <w:szCs w:val="20"/>
              </w:rPr>
            </w:pPr>
            <w:r>
              <w:rPr>
                <w:rFonts w:cs="宋体"/>
                <w:color w:val="auto"/>
                <w:sz w:val="21"/>
                <w:szCs w:val="20"/>
              </w:rPr>
              <w:t>89</w:t>
            </w:r>
          </w:p>
        </w:tc>
        <w:tc>
          <w:tcPr>
            <w:tcW w:w="1379" w:type="pct"/>
            <w:vMerge w:val="restart"/>
            <w:tcBorders>
              <w:tl2br w:val="nil"/>
              <w:tr2bl w:val="nil"/>
            </w:tcBorders>
            <w:vAlign w:val="center"/>
          </w:tcPr>
          <w:p w14:paraId="6B1BB3F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vMerge w:val="restart"/>
            <w:tcBorders>
              <w:tl2br w:val="nil"/>
              <w:tr2bl w:val="nil"/>
            </w:tcBorders>
            <w:noWrap/>
            <w:vAlign w:val="center"/>
          </w:tcPr>
          <w:p w14:paraId="59D13B4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3252D38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021FB4A7">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0F4C21A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氨水配制区</w:t>
            </w:r>
          </w:p>
        </w:tc>
      </w:tr>
      <w:tr w14:paraId="07345C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5E34ED5F">
            <w:pPr>
              <w:widowControl/>
              <w:spacing w:line="240" w:lineRule="auto"/>
              <w:ind w:firstLine="0" w:firstLineChars="0"/>
              <w:jc w:val="center"/>
              <w:textAlignment w:val="center"/>
              <w:rPr>
                <w:rFonts w:cs="宋体"/>
                <w:color w:val="auto"/>
                <w:sz w:val="21"/>
                <w:szCs w:val="20"/>
              </w:rPr>
            </w:pPr>
            <w:r>
              <w:rPr>
                <w:rFonts w:cs="宋体"/>
                <w:color w:val="auto"/>
                <w:sz w:val="21"/>
                <w:szCs w:val="20"/>
              </w:rPr>
              <w:t>90</w:t>
            </w:r>
          </w:p>
        </w:tc>
        <w:tc>
          <w:tcPr>
            <w:tcW w:w="1379" w:type="pct"/>
            <w:vMerge w:val="continue"/>
            <w:tcBorders>
              <w:tl2br w:val="nil"/>
              <w:tr2bl w:val="nil"/>
            </w:tcBorders>
            <w:vAlign w:val="center"/>
          </w:tcPr>
          <w:p w14:paraId="72FD2D4C">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20D3E4CB">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66B4B396">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17CF071D">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300DD987">
            <w:pPr>
              <w:spacing w:line="240" w:lineRule="auto"/>
              <w:ind w:firstLine="0" w:firstLineChars="0"/>
              <w:jc w:val="center"/>
              <w:rPr>
                <w:rFonts w:cs="宋体"/>
                <w:color w:val="auto"/>
                <w:sz w:val="21"/>
                <w:szCs w:val="20"/>
              </w:rPr>
            </w:pPr>
          </w:p>
        </w:tc>
      </w:tr>
      <w:tr w14:paraId="03783A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22E5205D">
            <w:pPr>
              <w:widowControl/>
              <w:spacing w:line="240" w:lineRule="auto"/>
              <w:ind w:firstLine="0" w:firstLineChars="0"/>
              <w:jc w:val="center"/>
              <w:textAlignment w:val="center"/>
              <w:rPr>
                <w:rFonts w:cs="宋体"/>
                <w:color w:val="auto"/>
                <w:sz w:val="21"/>
                <w:szCs w:val="20"/>
              </w:rPr>
            </w:pPr>
            <w:r>
              <w:rPr>
                <w:rFonts w:cs="宋体"/>
                <w:color w:val="auto"/>
                <w:sz w:val="21"/>
                <w:szCs w:val="20"/>
              </w:rPr>
              <w:t>91</w:t>
            </w:r>
          </w:p>
        </w:tc>
        <w:tc>
          <w:tcPr>
            <w:tcW w:w="1379" w:type="pct"/>
            <w:tcBorders>
              <w:tl2br w:val="nil"/>
              <w:tr2bl w:val="nil"/>
            </w:tcBorders>
            <w:vAlign w:val="center"/>
          </w:tcPr>
          <w:p w14:paraId="1F6FE5E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滤毒罐管子</w:t>
            </w:r>
          </w:p>
        </w:tc>
        <w:tc>
          <w:tcPr>
            <w:tcW w:w="718" w:type="pct"/>
            <w:tcBorders>
              <w:tl2br w:val="nil"/>
              <w:tr2bl w:val="nil"/>
            </w:tcBorders>
            <w:noWrap/>
            <w:vAlign w:val="center"/>
          </w:tcPr>
          <w:p w14:paraId="4628A00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FEA66B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1根</w:t>
            </w:r>
          </w:p>
        </w:tc>
        <w:tc>
          <w:tcPr>
            <w:tcW w:w="958" w:type="pct"/>
            <w:vMerge w:val="continue"/>
            <w:tcBorders>
              <w:tl2br w:val="nil"/>
              <w:tr2bl w:val="nil"/>
            </w:tcBorders>
            <w:noWrap/>
            <w:vAlign w:val="center"/>
          </w:tcPr>
          <w:p w14:paraId="37434A70">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354AB661">
            <w:pPr>
              <w:spacing w:line="240" w:lineRule="auto"/>
              <w:ind w:firstLine="0" w:firstLineChars="0"/>
              <w:jc w:val="center"/>
              <w:rPr>
                <w:rFonts w:cs="宋体"/>
                <w:color w:val="auto"/>
                <w:sz w:val="21"/>
                <w:szCs w:val="20"/>
              </w:rPr>
            </w:pPr>
          </w:p>
        </w:tc>
      </w:tr>
      <w:tr w14:paraId="5A9EC6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FDE9F69">
            <w:pPr>
              <w:widowControl/>
              <w:spacing w:line="240" w:lineRule="auto"/>
              <w:ind w:firstLine="0" w:firstLineChars="0"/>
              <w:jc w:val="center"/>
              <w:textAlignment w:val="center"/>
              <w:rPr>
                <w:rFonts w:cs="宋体"/>
                <w:color w:val="auto"/>
                <w:sz w:val="21"/>
                <w:szCs w:val="20"/>
              </w:rPr>
            </w:pPr>
            <w:r>
              <w:rPr>
                <w:rFonts w:cs="宋体"/>
                <w:color w:val="auto"/>
                <w:sz w:val="21"/>
                <w:szCs w:val="20"/>
              </w:rPr>
              <w:t>92</w:t>
            </w:r>
          </w:p>
        </w:tc>
        <w:tc>
          <w:tcPr>
            <w:tcW w:w="1379" w:type="pct"/>
            <w:tcBorders>
              <w:tl2br w:val="nil"/>
              <w:tr2bl w:val="nil"/>
            </w:tcBorders>
            <w:vAlign w:val="center"/>
          </w:tcPr>
          <w:p w14:paraId="2BDA801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718" w:type="pct"/>
            <w:tcBorders>
              <w:tl2br w:val="nil"/>
              <w:tr2bl w:val="nil"/>
            </w:tcBorders>
            <w:noWrap/>
            <w:vAlign w:val="center"/>
          </w:tcPr>
          <w:p w14:paraId="05695BD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noWrap/>
            <w:vAlign w:val="center"/>
          </w:tcPr>
          <w:p w14:paraId="46DF3B2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2E754139">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94FB953">
            <w:pPr>
              <w:spacing w:line="240" w:lineRule="auto"/>
              <w:ind w:firstLine="0" w:firstLineChars="0"/>
              <w:jc w:val="center"/>
              <w:rPr>
                <w:rFonts w:cs="宋体"/>
                <w:color w:val="auto"/>
                <w:sz w:val="21"/>
                <w:szCs w:val="20"/>
              </w:rPr>
            </w:pPr>
          </w:p>
        </w:tc>
      </w:tr>
      <w:tr w14:paraId="03D8C5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65E65129">
            <w:pPr>
              <w:widowControl/>
              <w:spacing w:line="240" w:lineRule="auto"/>
              <w:ind w:firstLine="0" w:firstLineChars="0"/>
              <w:jc w:val="center"/>
              <w:textAlignment w:val="center"/>
              <w:rPr>
                <w:rFonts w:cs="宋体"/>
                <w:color w:val="auto"/>
                <w:sz w:val="21"/>
                <w:szCs w:val="20"/>
              </w:rPr>
            </w:pPr>
            <w:r>
              <w:rPr>
                <w:rFonts w:cs="宋体"/>
                <w:color w:val="auto"/>
                <w:sz w:val="21"/>
                <w:szCs w:val="20"/>
              </w:rPr>
              <w:t>93</w:t>
            </w:r>
          </w:p>
        </w:tc>
        <w:tc>
          <w:tcPr>
            <w:tcW w:w="1379" w:type="pct"/>
            <w:tcBorders>
              <w:tl2br w:val="nil"/>
              <w:tr2bl w:val="nil"/>
            </w:tcBorders>
            <w:vAlign w:val="center"/>
          </w:tcPr>
          <w:p w14:paraId="11D741C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tcBorders>
              <w:tl2br w:val="nil"/>
              <w:tr2bl w:val="nil"/>
            </w:tcBorders>
            <w:noWrap/>
            <w:vAlign w:val="center"/>
          </w:tcPr>
          <w:p w14:paraId="7A1B6B9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B4B14B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2C01E177">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DD78B79">
            <w:pPr>
              <w:spacing w:line="240" w:lineRule="auto"/>
              <w:ind w:firstLine="0" w:firstLineChars="0"/>
              <w:jc w:val="center"/>
              <w:rPr>
                <w:rFonts w:cs="宋体"/>
                <w:color w:val="auto"/>
                <w:sz w:val="21"/>
                <w:szCs w:val="20"/>
              </w:rPr>
            </w:pPr>
          </w:p>
        </w:tc>
      </w:tr>
      <w:tr w14:paraId="2381F2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48128FD9">
            <w:pPr>
              <w:widowControl/>
              <w:spacing w:line="240" w:lineRule="auto"/>
              <w:ind w:firstLine="0" w:firstLineChars="0"/>
              <w:jc w:val="center"/>
              <w:textAlignment w:val="center"/>
              <w:rPr>
                <w:rFonts w:cs="宋体"/>
                <w:color w:val="auto"/>
                <w:sz w:val="21"/>
                <w:szCs w:val="20"/>
              </w:rPr>
            </w:pPr>
            <w:r>
              <w:rPr>
                <w:rFonts w:cs="宋体"/>
                <w:color w:val="auto"/>
                <w:sz w:val="21"/>
                <w:szCs w:val="20"/>
              </w:rPr>
              <w:t>94</w:t>
            </w:r>
          </w:p>
        </w:tc>
        <w:tc>
          <w:tcPr>
            <w:tcW w:w="1379" w:type="pct"/>
            <w:vMerge w:val="restart"/>
            <w:tcBorders>
              <w:tl2br w:val="nil"/>
              <w:tr2bl w:val="nil"/>
            </w:tcBorders>
            <w:vAlign w:val="center"/>
          </w:tcPr>
          <w:p w14:paraId="45CEF4B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718" w:type="pct"/>
            <w:vMerge w:val="restart"/>
            <w:tcBorders>
              <w:tl2br w:val="nil"/>
              <w:tr2bl w:val="nil"/>
            </w:tcBorders>
            <w:noWrap/>
            <w:vAlign w:val="center"/>
          </w:tcPr>
          <w:p w14:paraId="4B84A20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vMerge w:val="restart"/>
            <w:tcBorders>
              <w:tl2br w:val="nil"/>
              <w:tr2bl w:val="nil"/>
            </w:tcBorders>
            <w:noWrap/>
            <w:vAlign w:val="center"/>
          </w:tcPr>
          <w:p w14:paraId="7C49CAD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1CB683EB">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1D59225">
            <w:pPr>
              <w:spacing w:line="240" w:lineRule="auto"/>
              <w:ind w:firstLine="0" w:firstLineChars="0"/>
              <w:jc w:val="center"/>
              <w:rPr>
                <w:rFonts w:cs="宋体"/>
                <w:color w:val="auto"/>
                <w:sz w:val="21"/>
                <w:szCs w:val="20"/>
              </w:rPr>
            </w:pPr>
          </w:p>
        </w:tc>
      </w:tr>
      <w:tr w14:paraId="7B1AF0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52A84A2">
            <w:pPr>
              <w:widowControl/>
              <w:spacing w:line="240" w:lineRule="auto"/>
              <w:ind w:firstLine="0" w:firstLineChars="0"/>
              <w:jc w:val="center"/>
              <w:textAlignment w:val="center"/>
              <w:rPr>
                <w:rFonts w:cs="宋体"/>
                <w:color w:val="auto"/>
                <w:sz w:val="21"/>
                <w:szCs w:val="20"/>
              </w:rPr>
            </w:pPr>
            <w:r>
              <w:rPr>
                <w:rFonts w:cs="宋体"/>
                <w:color w:val="auto"/>
                <w:sz w:val="21"/>
                <w:szCs w:val="20"/>
              </w:rPr>
              <w:t>95</w:t>
            </w:r>
          </w:p>
        </w:tc>
        <w:tc>
          <w:tcPr>
            <w:tcW w:w="1379" w:type="pct"/>
            <w:vMerge w:val="continue"/>
            <w:tcBorders>
              <w:tl2br w:val="nil"/>
              <w:tr2bl w:val="nil"/>
            </w:tcBorders>
            <w:vAlign w:val="center"/>
          </w:tcPr>
          <w:p w14:paraId="68950CD3">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59C49E8D">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47A4FBC4">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58D950FF">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67DD344">
            <w:pPr>
              <w:spacing w:line="240" w:lineRule="auto"/>
              <w:ind w:firstLine="0" w:firstLineChars="0"/>
              <w:jc w:val="center"/>
              <w:rPr>
                <w:rFonts w:cs="宋体"/>
                <w:color w:val="auto"/>
                <w:sz w:val="21"/>
                <w:szCs w:val="20"/>
              </w:rPr>
            </w:pPr>
          </w:p>
        </w:tc>
      </w:tr>
      <w:tr w14:paraId="4C2E3C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1E8ED44A">
            <w:pPr>
              <w:widowControl/>
              <w:spacing w:line="240" w:lineRule="auto"/>
              <w:ind w:firstLine="0" w:firstLineChars="0"/>
              <w:jc w:val="center"/>
              <w:textAlignment w:val="center"/>
              <w:rPr>
                <w:rFonts w:cs="宋体"/>
                <w:color w:val="auto"/>
                <w:sz w:val="21"/>
                <w:szCs w:val="20"/>
              </w:rPr>
            </w:pPr>
            <w:r>
              <w:rPr>
                <w:rFonts w:cs="宋体"/>
                <w:color w:val="auto"/>
                <w:sz w:val="21"/>
                <w:szCs w:val="20"/>
              </w:rPr>
              <w:t>96</w:t>
            </w:r>
          </w:p>
        </w:tc>
        <w:tc>
          <w:tcPr>
            <w:tcW w:w="1379" w:type="pct"/>
            <w:vMerge w:val="restart"/>
            <w:tcBorders>
              <w:tl2br w:val="nil"/>
              <w:tr2bl w:val="nil"/>
            </w:tcBorders>
            <w:vAlign w:val="center"/>
          </w:tcPr>
          <w:p w14:paraId="31E4B94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vMerge w:val="restart"/>
            <w:tcBorders>
              <w:tl2br w:val="nil"/>
              <w:tr2bl w:val="nil"/>
            </w:tcBorders>
            <w:noWrap/>
            <w:vAlign w:val="center"/>
          </w:tcPr>
          <w:p w14:paraId="0F7AE71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1933B91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48760E42">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39BC42F">
            <w:pPr>
              <w:spacing w:line="240" w:lineRule="auto"/>
              <w:ind w:firstLine="0" w:firstLineChars="0"/>
              <w:jc w:val="center"/>
              <w:rPr>
                <w:rFonts w:cs="宋体"/>
                <w:color w:val="auto"/>
                <w:sz w:val="21"/>
                <w:szCs w:val="20"/>
              </w:rPr>
            </w:pPr>
          </w:p>
        </w:tc>
      </w:tr>
      <w:tr w14:paraId="380E17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53362C84">
            <w:pPr>
              <w:widowControl/>
              <w:spacing w:line="240" w:lineRule="auto"/>
              <w:ind w:firstLine="0" w:firstLineChars="0"/>
              <w:jc w:val="center"/>
              <w:textAlignment w:val="center"/>
              <w:rPr>
                <w:rFonts w:cs="宋体"/>
                <w:color w:val="auto"/>
                <w:sz w:val="21"/>
                <w:szCs w:val="20"/>
              </w:rPr>
            </w:pPr>
            <w:r>
              <w:rPr>
                <w:rFonts w:cs="宋体"/>
                <w:color w:val="auto"/>
                <w:sz w:val="21"/>
                <w:szCs w:val="20"/>
              </w:rPr>
              <w:t>97</w:t>
            </w:r>
          </w:p>
        </w:tc>
        <w:tc>
          <w:tcPr>
            <w:tcW w:w="1379" w:type="pct"/>
            <w:vMerge w:val="continue"/>
            <w:tcBorders>
              <w:tl2br w:val="nil"/>
              <w:tr2bl w:val="nil"/>
            </w:tcBorders>
            <w:vAlign w:val="center"/>
          </w:tcPr>
          <w:p w14:paraId="1B980C36">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168082E2">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31181BE9">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4245848B">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3E2EB3B7">
            <w:pPr>
              <w:spacing w:line="240" w:lineRule="auto"/>
              <w:ind w:firstLine="0" w:firstLineChars="0"/>
              <w:jc w:val="center"/>
              <w:rPr>
                <w:rFonts w:cs="宋体"/>
                <w:color w:val="auto"/>
                <w:sz w:val="21"/>
                <w:szCs w:val="20"/>
              </w:rPr>
            </w:pPr>
          </w:p>
        </w:tc>
      </w:tr>
      <w:tr w14:paraId="0E7A73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ECCF39B">
            <w:pPr>
              <w:widowControl/>
              <w:spacing w:line="240" w:lineRule="auto"/>
              <w:ind w:firstLine="0" w:firstLineChars="0"/>
              <w:jc w:val="center"/>
              <w:textAlignment w:val="center"/>
              <w:rPr>
                <w:rFonts w:cs="宋体"/>
                <w:color w:val="auto"/>
                <w:sz w:val="21"/>
                <w:szCs w:val="20"/>
              </w:rPr>
            </w:pPr>
            <w:r>
              <w:rPr>
                <w:rFonts w:cs="宋体"/>
                <w:color w:val="auto"/>
                <w:sz w:val="21"/>
                <w:szCs w:val="20"/>
              </w:rPr>
              <w:t>98</w:t>
            </w:r>
          </w:p>
        </w:tc>
        <w:tc>
          <w:tcPr>
            <w:tcW w:w="1379" w:type="pct"/>
            <w:vMerge w:val="restart"/>
            <w:tcBorders>
              <w:tl2br w:val="nil"/>
              <w:tr2bl w:val="nil"/>
            </w:tcBorders>
            <w:vAlign w:val="center"/>
          </w:tcPr>
          <w:p w14:paraId="748561D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vMerge w:val="restart"/>
            <w:tcBorders>
              <w:tl2br w:val="nil"/>
              <w:tr2bl w:val="nil"/>
            </w:tcBorders>
            <w:noWrap/>
            <w:vAlign w:val="center"/>
          </w:tcPr>
          <w:p w14:paraId="634571C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2C0F6D5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12BF604C">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7213EA8">
            <w:pPr>
              <w:spacing w:line="240" w:lineRule="auto"/>
              <w:ind w:firstLine="0" w:firstLineChars="0"/>
              <w:jc w:val="center"/>
              <w:rPr>
                <w:rFonts w:cs="宋体"/>
                <w:color w:val="auto"/>
                <w:sz w:val="21"/>
                <w:szCs w:val="20"/>
              </w:rPr>
            </w:pPr>
          </w:p>
        </w:tc>
      </w:tr>
      <w:tr w14:paraId="044E9E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501D8B43">
            <w:pPr>
              <w:widowControl/>
              <w:spacing w:line="240" w:lineRule="auto"/>
              <w:ind w:firstLine="0" w:firstLineChars="0"/>
              <w:jc w:val="center"/>
              <w:textAlignment w:val="center"/>
              <w:rPr>
                <w:rFonts w:cs="宋体"/>
                <w:color w:val="auto"/>
                <w:sz w:val="21"/>
                <w:szCs w:val="20"/>
              </w:rPr>
            </w:pPr>
            <w:r>
              <w:rPr>
                <w:rFonts w:cs="宋体"/>
                <w:color w:val="auto"/>
                <w:sz w:val="21"/>
                <w:szCs w:val="20"/>
              </w:rPr>
              <w:t>99</w:t>
            </w:r>
          </w:p>
        </w:tc>
        <w:tc>
          <w:tcPr>
            <w:tcW w:w="1379" w:type="pct"/>
            <w:vMerge w:val="continue"/>
            <w:tcBorders>
              <w:tl2br w:val="nil"/>
              <w:tr2bl w:val="nil"/>
            </w:tcBorders>
            <w:vAlign w:val="center"/>
          </w:tcPr>
          <w:p w14:paraId="43513A95">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0FA79CDC">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7F3D9226">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739D1979">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565668D">
            <w:pPr>
              <w:spacing w:line="240" w:lineRule="auto"/>
              <w:ind w:firstLine="0" w:firstLineChars="0"/>
              <w:jc w:val="center"/>
              <w:rPr>
                <w:rFonts w:cs="宋体"/>
                <w:color w:val="auto"/>
                <w:sz w:val="21"/>
                <w:szCs w:val="20"/>
              </w:rPr>
            </w:pPr>
          </w:p>
        </w:tc>
      </w:tr>
      <w:tr w14:paraId="0CB610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453BFDB8">
            <w:pPr>
              <w:widowControl/>
              <w:spacing w:line="240" w:lineRule="auto"/>
              <w:ind w:firstLine="0" w:firstLineChars="0"/>
              <w:jc w:val="center"/>
              <w:textAlignment w:val="center"/>
              <w:rPr>
                <w:rFonts w:cs="宋体"/>
                <w:color w:val="auto"/>
                <w:sz w:val="21"/>
                <w:szCs w:val="20"/>
              </w:rPr>
            </w:pPr>
            <w:r>
              <w:rPr>
                <w:rFonts w:cs="宋体"/>
                <w:color w:val="auto"/>
                <w:sz w:val="21"/>
                <w:szCs w:val="20"/>
              </w:rPr>
              <w:t>100</w:t>
            </w:r>
          </w:p>
        </w:tc>
        <w:tc>
          <w:tcPr>
            <w:tcW w:w="1379" w:type="pct"/>
            <w:vMerge w:val="restart"/>
            <w:tcBorders>
              <w:tl2br w:val="nil"/>
              <w:tr2bl w:val="nil"/>
            </w:tcBorders>
            <w:vAlign w:val="center"/>
          </w:tcPr>
          <w:p w14:paraId="5255B94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vMerge w:val="restart"/>
            <w:tcBorders>
              <w:tl2br w:val="nil"/>
              <w:tr2bl w:val="nil"/>
            </w:tcBorders>
            <w:noWrap/>
            <w:vAlign w:val="center"/>
          </w:tcPr>
          <w:p w14:paraId="75587DD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5326EAF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683776AE">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1F1597E">
            <w:pPr>
              <w:spacing w:line="240" w:lineRule="auto"/>
              <w:ind w:firstLine="0" w:firstLineChars="0"/>
              <w:jc w:val="center"/>
              <w:rPr>
                <w:rFonts w:cs="宋体"/>
                <w:color w:val="auto"/>
                <w:sz w:val="21"/>
                <w:szCs w:val="20"/>
              </w:rPr>
            </w:pPr>
          </w:p>
        </w:tc>
      </w:tr>
      <w:tr w14:paraId="62479D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345521F8">
            <w:pPr>
              <w:widowControl/>
              <w:spacing w:line="240" w:lineRule="auto"/>
              <w:ind w:firstLine="0" w:firstLineChars="0"/>
              <w:jc w:val="center"/>
              <w:textAlignment w:val="center"/>
              <w:rPr>
                <w:rFonts w:cs="宋体"/>
                <w:color w:val="auto"/>
                <w:sz w:val="21"/>
                <w:szCs w:val="20"/>
              </w:rPr>
            </w:pPr>
            <w:r>
              <w:rPr>
                <w:rFonts w:cs="宋体"/>
                <w:color w:val="auto"/>
                <w:sz w:val="21"/>
                <w:szCs w:val="20"/>
              </w:rPr>
              <w:t>101</w:t>
            </w:r>
          </w:p>
        </w:tc>
        <w:tc>
          <w:tcPr>
            <w:tcW w:w="1379" w:type="pct"/>
            <w:vMerge w:val="continue"/>
            <w:tcBorders>
              <w:tl2br w:val="nil"/>
              <w:tr2bl w:val="nil"/>
            </w:tcBorders>
            <w:vAlign w:val="center"/>
          </w:tcPr>
          <w:p w14:paraId="1033D03D">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5C21E607">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5B9112FF">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4911C75A">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568C4AA">
            <w:pPr>
              <w:spacing w:line="240" w:lineRule="auto"/>
              <w:ind w:firstLine="0" w:firstLineChars="0"/>
              <w:jc w:val="center"/>
              <w:rPr>
                <w:rFonts w:cs="宋体"/>
                <w:color w:val="auto"/>
                <w:sz w:val="21"/>
                <w:szCs w:val="20"/>
              </w:rPr>
            </w:pPr>
          </w:p>
        </w:tc>
      </w:tr>
      <w:tr w14:paraId="792888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706491D">
            <w:pPr>
              <w:widowControl/>
              <w:spacing w:line="240" w:lineRule="auto"/>
              <w:ind w:firstLine="0" w:firstLineChars="0"/>
              <w:jc w:val="center"/>
              <w:textAlignment w:val="center"/>
              <w:rPr>
                <w:rFonts w:cs="宋体"/>
                <w:color w:val="auto"/>
                <w:sz w:val="21"/>
                <w:szCs w:val="20"/>
              </w:rPr>
            </w:pPr>
            <w:r>
              <w:rPr>
                <w:rFonts w:cs="宋体"/>
                <w:color w:val="auto"/>
                <w:sz w:val="21"/>
                <w:szCs w:val="20"/>
              </w:rPr>
              <w:t>102</w:t>
            </w:r>
          </w:p>
        </w:tc>
        <w:tc>
          <w:tcPr>
            <w:tcW w:w="1379" w:type="pct"/>
            <w:vMerge w:val="restart"/>
            <w:tcBorders>
              <w:tl2br w:val="nil"/>
              <w:tr2bl w:val="nil"/>
            </w:tcBorders>
            <w:vAlign w:val="center"/>
          </w:tcPr>
          <w:p w14:paraId="6EAA6F6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vMerge w:val="restart"/>
            <w:tcBorders>
              <w:tl2br w:val="nil"/>
              <w:tr2bl w:val="nil"/>
            </w:tcBorders>
            <w:noWrap/>
            <w:vAlign w:val="center"/>
          </w:tcPr>
          <w:p w14:paraId="24614C6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73937D1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641C93F4">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86A0E82">
            <w:pPr>
              <w:spacing w:line="240" w:lineRule="auto"/>
              <w:ind w:firstLine="0" w:firstLineChars="0"/>
              <w:jc w:val="center"/>
              <w:rPr>
                <w:rFonts w:cs="宋体"/>
                <w:color w:val="auto"/>
                <w:sz w:val="21"/>
                <w:szCs w:val="20"/>
              </w:rPr>
            </w:pPr>
          </w:p>
        </w:tc>
      </w:tr>
      <w:tr w14:paraId="038527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6678D26">
            <w:pPr>
              <w:widowControl/>
              <w:spacing w:line="240" w:lineRule="auto"/>
              <w:ind w:firstLine="0" w:firstLineChars="0"/>
              <w:jc w:val="center"/>
              <w:textAlignment w:val="center"/>
              <w:rPr>
                <w:rFonts w:cs="宋体"/>
                <w:color w:val="auto"/>
                <w:sz w:val="21"/>
                <w:szCs w:val="20"/>
              </w:rPr>
            </w:pPr>
            <w:r>
              <w:rPr>
                <w:rFonts w:cs="宋体"/>
                <w:color w:val="auto"/>
                <w:sz w:val="21"/>
                <w:szCs w:val="20"/>
              </w:rPr>
              <w:t>103</w:t>
            </w:r>
          </w:p>
        </w:tc>
        <w:tc>
          <w:tcPr>
            <w:tcW w:w="1379" w:type="pct"/>
            <w:vMerge w:val="continue"/>
            <w:tcBorders>
              <w:tl2br w:val="nil"/>
              <w:tr2bl w:val="nil"/>
            </w:tcBorders>
            <w:vAlign w:val="center"/>
          </w:tcPr>
          <w:p w14:paraId="2215AECD">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2DE20A91">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26821C48">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1CDAF15D">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7E295D1">
            <w:pPr>
              <w:spacing w:line="240" w:lineRule="auto"/>
              <w:ind w:firstLine="0" w:firstLineChars="0"/>
              <w:jc w:val="center"/>
              <w:rPr>
                <w:rFonts w:cs="宋体"/>
                <w:color w:val="auto"/>
                <w:sz w:val="21"/>
                <w:szCs w:val="20"/>
              </w:rPr>
            </w:pPr>
          </w:p>
        </w:tc>
      </w:tr>
      <w:tr w14:paraId="74D990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FA54DEE">
            <w:pPr>
              <w:widowControl/>
              <w:spacing w:line="240" w:lineRule="auto"/>
              <w:ind w:firstLine="0" w:firstLineChars="0"/>
              <w:jc w:val="center"/>
              <w:textAlignment w:val="center"/>
              <w:rPr>
                <w:rFonts w:cs="宋体"/>
                <w:color w:val="auto"/>
                <w:sz w:val="21"/>
                <w:szCs w:val="20"/>
              </w:rPr>
            </w:pPr>
            <w:r>
              <w:rPr>
                <w:rFonts w:cs="宋体"/>
                <w:color w:val="auto"/>
                <w:sz w:val="21"/>
                <w:szCs w:val="20"/>
              </w:rPr>
              <w:t>104</w:t>
            </w:r>
          </w:p>
        </w:tc>
        <w:tc>
          <w:tcPr>
            <w:tcW w:w="1379" w:type="pct"/>
            <w:vMerge w:val="restart"/>
            <w:tcBorders>
              <w:tl2br w:val="nil"/>
              <w:tr2bl w:val="nil"/>
            </w:tcBorders>
            <w:vAlign w:val="center"/>
          </w:tcPr>
          <w:p w14:paraId="5B0C185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vMerge w:val="restart"/>
            <w:tcBorders>
              <w:tl2br w:val="nil"/>
              <w:tr2bl w:val="nil"/>
            </w:tcBorders>
            <w:noWrap/>
            <w:vAlign w:val="center"/>
          </w:tcPr>
          <w:p w14:paraId="06DBA75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550E015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2双</w:t>
            </w:r>
          </w:p>
        </w:tc>
        <w:tc>
          <w:tcPr>
            <w:tcW w:w="958" w:type="pct"/>
            <w:vMerge w:val="restart"/>
            <w:tcBorders>
              <w:tl2br w:val="nil"/>
              <w:tr2bl w:val="nil"/>
            </w:tcBorders>
            <w:noWrap/>
            <w:vAlign w:val="center"/>
          </w:tcPr>
          <w:p w14:paraId="7B21FD6B">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1197D63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氨水配制区</w:t>
            </w:r>
          </w:p>
        </w:tc>
      </w:tr>
      <w:tr w14:paraId="57E40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1A4087EE">
            <w:pPr>
              <w:widowControl/>
              <w:spacing w:line="240" w:lineRule="auto"/>
              <w:ind w:firstLine="0" w:firstLineChars="0"/>
              <w:jc w:val="center"/>
              <w:textAlignment w:val="center"/>
              <w:rPr>
                <w:rFonts w:cs="宋体"/>
                <w:color w:val="auto"/>
                <w:sz w:val="21"/>
                <w:szCs w:val="20"/>
              </w:rPr>
            </w:pPr>
            <w:r>
              <w:rPr>
                <w:rFonts w:cs="宋体"/>
                <w:color w:val="auto"/>
                <w:sz w:val="21"/>
                <w:szCs w:val="20"/>
              </w:rPr>
              <w:t>105</w:t>
            </w:r>
          </w:p>
        </w:tc>
        <w:tc>
          <w:tcPr>
            <w:tcW w:w="1379" w:type="pct"/>
            <w:vMerge w:val="continue"/>
            <w:tcBorders>
              <w:tl2br w:val="nil"/>
              <w:tr2bl w:val="nil"/>
            </w:tcBorders>
            <w:vAlign w:val="center"/>
          </w:tcPr>
          <w:p w14:paraId="2A541D33">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04682FD7">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6FAAEF12">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5C10A4B5">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FB060F5">
            <w:pPr>
              <w:spacing w:line="240" w:lineRule="auto"/>
              <w:ind w:firstLine="0" w:firstLineChars="0"/>
              <w:jc w:val="center"/>
              <w:rPr>
                <w:rFonts w:cs="宋体"/>
                <w:color w:val="auto"/>
                <w:sz w:val="21"/>
                <w:szCs w:val="20"/>
              </w:rPr>
            </w:pPr>
          </w:p>
        </w:tc>
      </w:tr>
      <w:tr w14:paraId="390B17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0A772048">
            <w:pPr>
              <w:widowControl/>
              <w:spacing w:line="240" w:lineRule="auto"/>
              <w:ind w:firstLine="0" w:firstLineChars="0"/>
              <w:jc w:val="center"/>
              <w:textAlignment w:val="center"/>
              <w:rPr>
                <w:rFonts w:cs="宋体"/>
                <w:color w:val="auto"/>
                <w:sz w:val="21"/>
                <w:szCs w:val="20"/>
              </w:rPr>
            </w:pPr>
            <w:r>
              <w:rPr>
                <w:rFonts w:cs="宋体"/>
                <w:color w:val="auto"/>
                <w:sz w:val="21"/>
                <w:szCs w:val="20"/>
              </w:rPr>
              <w:t>106</w:t>
            </w:r>
          </w:p>
        </w:tc>
        <w:tc>
          <w:tcPr>
            <w:tcW w:w="1379" w:type="pct"/>
            <w:tcBorders>
              <w:tl2br w:val="nil"/>
              <w:tr2bl w:val="nil"/>
            </w:tcBorders>
            <w:vAlign w:val="center"/>
          </w:tcPr>
          <w:p w14:paraId="276F32B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强光手电筒</w:t>
            </w:r>
          </w:p>
        </w:tc>
        <w:tc>
          <w:tcPr>
            <w:tcW w:w="718" w:type="pct"/>
            <w:tcBorders>
              <w:tl2br w:val="nil"/>
              <w:tr2bl w:val="nil"/>
            </w:tcBorders>
            <w:noWrap/>
            <w:vAlign w:val="center"/>
          </w:tcPr>
          <w:p w14:paraId="4C08ED1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C0B40A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28535515">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3B3AB792">
            <w:pPr>
              <w:spacing w:line="240" w:lineRule="auto"/>
              <w:ind w:firstLine="0" w:firstLineChars="0"/>
              <w:jc w:val="center"/>
              <w:rPr>
                <w:rFonts w:cs="宋体"/>
                <w:color w:val="auto"/>
                <w:sz w:val="21"/>
                <w:szCs w:val="20"/>
              </w:rPr>
            </w:pPr>
          </w:p>
        </w:tc>
      </w:tr>
      <w:tr w14:paraId="4729D6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AD7CC90">
            <w:pPr>
              <w:widowControl/>
              <w:spacing w:line="240" w:lineRule="auto"/>
              <w:ind w:firstLine="0" w:firstLineChars="0"/>
              <w:jc w:val="center"/>
              <w:textAlignment w:val="center"/>
              <w:rPr>
                <w:rFonts w:cs="宋体"/>
                <w:color w:val="auto"/>
                <w:sz w:val="21"/>
                <w:szCs w:val="20"/>
              </w:rPr>
            </w:pPr>
            <w:r>
              <w:rPr>
                <w:rFonts w:cs="宋体"/>
                <w:color w:val="auto"/>
                <w:sz w:val="21"/>
                <w:szCs w:val="20"/>
              </w:rPr>
              <w:t>107</w:t>
            </w:r>
          </w:p>
        </w:tc>
        <w:tc>
          <w:tcPr>
            <w:tcW w:w="1379" w:type="pct"/>
            <w:tcBorders>
              <w:tl2br w:val="nil"/>
              <w:tr2bl w:val="nil"/>
            </w:tcBorders>
            <w:vAlign w:val="center"/>
          </w:tcPr>
          <w:p w14:paraId="78ADC5F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扎带</w:t>
            </w:r>
          </w:p>
        </w:tc>
        <w:tc>
          <w:tcPr>
            <w:tcW w:w="718" w:type="pct"/>
            <w:tcBorders>
              <w:tl2br w:val="nil"/>
              <w:tr2bl w:val="nil"/>
            </w:tcBorders>
            <w:noWrap/>
            <w:vAlign w:val="center"/>
          </w:tcPr>
          <w:p w14:paraId="4638EAC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80844A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1卷</w:t>
            </w:r>
          </w:p>
        </w:tc>
        <w:tc>
          <w:tcPr>
            <w:tcW w:w="958" w:type="pct"/>
            <w:vMerge w:val="continue"/>
            <w:tcBorders>
              <w:tl2br w:val="nil"/>
              <w:tr2bl w:val="nil"/>
            </w:tcBorders>
            <w:noWrap/>
            <w:vAlign w:val="center"/>
          </w:tcPr>
          <w:p w14:paraId="4DAD4325">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82A3A64">
            <w:pPr>
              <w:spacing w:line="240" w:lineRule="auto"/>
              <w:ind w:firstLine="0" w:firstLineChars="0"/>
              <w:jc w:val="center"/>
              <w:rPr>
                <w:rFonts w:cs="宋体"/>
                <w:color w:val="auto"/>
                <w:sz w:val="21"/>
                <w:szCs w:val="20"/>
              </w:rPr>
            </w:pPr>
          </w:p>
        </w:tc>
      </w:tr>
      <w:tr w14:paraId="633CE0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998062E">
            <w:pPr>
              <w:widowControl/>
              <w:spacing w:line="240" w:lineRule="auto"/>
              <w:ind w:firstLine="0" w:firstLineChars="0"/>
              <w:jc w:val="center"/>
              <w:textAlignment w:val="center"/>
              <w:rPr>
                <w:rFonts w:cs="宋体"/>
                <w:color w:val="auto"/>
                <w:sz w:val="21"/>
                <w:szCs w:val="20"/>
              </w:rPr>
            </w:pPr>
            <w:r>
              <w:rPr>
                <w:rFonts w:cs="宋体"/>
                <w:color w:val="auto"/>
                <w:sz w:val="21"/>
                <w:szCs w:val="20"/>
              </w:rPr>
              <w:t>108</w:t>
            </w:r>
          </w:p>
        </w:tc>
        <w:tc>
          <w:tcPr>
            <w:tcW w:w="1379" w:type="pct"/>
            <w:tcBorders>
              <w:tl2br w:val="nil"/>
              <w:tr2bl w:val="nil"/>
            </w:tcBorders>
            <w:vAlign w:val="center"/>
          </w:tcPr>
          <w:p w14:paraId="635EB08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木扎针</w:t>
            </w:r>
          </w:p>
        </w:tc>
        <w:tc>
          <w:tcPr>
            <w:tcW w:w="718" w:type="pct"/>
            <w:tcBorders>
              <w:tl2br w:val="nil"/>
              <w:tr2bl w:val="nil"/>
            </w:tcBorders>
            <w:noWrap/>
            <w:vAlign w:val="center"/>
          </w:tcPr>
          <w:p w14:paraId="0E8478D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EE8303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5根</w:t>
            </w:r>
          </w:p>
        </w:tc>
        <w:tc>
          <w:tcPr>
            <w:tcW w:w="958" w:type="pct"/>
            <w:vMerge w:val="continue"/>
            <w:tcBorders>
              <w:tl2br w:val="nil"/>
              <w:tr2bl w:val="nil"/>
            </w:tcBorders>
            <w:noWrap/>
            <w:vAlign w:val="center"/>
          </w:tcPr>
          <w:p w14:paraId="0459FACD">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DC86564">
            <w:pPr>
              <w:spacing w:line="240" w:lineRule="auto"/>
              <w:ind w:firstLine="0" w:firstLineChars="0"/>
              <w:jc w:val="center"/>
              <w:rPr>
                <w:rFonts w:cs="宋体"/>
                <w:color w:val="auto"/>
                <w:sz w:val="21"/>
                <w:szCs w:val="20"/>
              </w:rPr>
            </w:pPr>
          </w:p>
        </w:tc>
      </w:tr>
      <w:tr w14:paraId="43F6F8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71B003D">
            <w:pPr>
              <w:widowControl/>
              <w:spacing w:line="240" w:lineRule="auto"/>
              <w:ind w:firstLine="0" w:firstLineChars="0"/>
              <w:jc w:val="center"/>
              <w:textAlignment w:val="center"/>
              <w:rPr>
                <w:rFonts w:cs="宋体"/>
                <w:color w:val="auto"/>
                <w:sz w:val="21"/>
                <w:szCs w:val="20"/>
              </w:rPr>
            </w:pPr>
            <w:r>
              <w:rPr>
                <w:rFonts w:cs="宋体"/>
                <w:color w:val="auto"/>
                <w:sz w:val="21"/>
                <w:szCs w:val="20"/>
              </w:rPr>
              <w:t>109</w:t>
            </w:r>
          </w:p>
        </w:tc>
        <w:tc>
          <w:tcPr>
            <w:tcW w:w="1379" w:type="pct"/>
            <w:tcBorders>
              <w:tl2br w:val="nil"/>
              <w:tr2bl w:val="nil"/>
            </w:tcBorders>
            <w:vAlign w:val="center"/>
          </w:tcPr>
          <w:p w14:paraId="07DA68E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防静电服</w:t>
            </w:r>
          </w:p>
        </w:tc>
        <w:tc>
          <w:tcPr>
            <w:tcW w:w="718" w:type="pct"/>
            <w:tcBorders>
              <w:tl2br w:val="nil"/>
              <w:tr2bl w:val="nil"/>
            </w:tcBorders>
            <w:noWrap/>
            <w:vAlign w:val="center"/>
          </w:tcPr>
          <w:p w14:paraId="4419FAA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8AC6D3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2套</w:t>
            </w:r>
          </w:p>
        </w:tc>
        <w:tc>
          <w:tcPr>
            <w:tcW w:w="958" w:type="pct"/>
            <w:vMerge w:val="continue"/>
            <w:tcBorders>
              <w:tl2br w:val="nil"/>
              <w:tr2bl w:val="nil"/>
            </w:tcBorders>
            <w:noWrap/>
            <w:vAlign w:val="center"/>
          </w:tcPr>
          <w:p w14:paraId="40ECA970">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ED6DC7A">
            <w:pPr>
              <w:spacing w:line="240" w:lineRule="auto"/>
              <w:ind w:firstLine="0" w:firstLineChars="0"/>
              <w:jc w:val="center"/>
              <w:rPr>
                <w:rFonts w:cs="宋体"/>
                <w:color w:val="auto"/>
                <w:sz w:val="21"/>
                <w:szCs w:val="20"/>
              </w:rPr>
            </w:pPr>
          </w:p>
        </w:tc>
      </w:tr>
      <w:tr w14:paraId="569402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04D3EE37">
            <w:pPr>
              <w:widowControl/>
              <w:spacing w:line="240" w:lineRule="auto"/>
              <w:ind w:firstLine="0" w:firstLineChars="0"/>
              <w:jc w:val="center"/>
              <w:textAlignment w:val="center"/>
              <w:rPr>
                <w:rFonts w:cs="宋体"/>
                <w:color w:val="auto"/>
                <w:sz w:val="21"/>
                <w:szCs w:val="20"/>
              </w:rPr>
            </w:pPr>
            <w:r>
              <w:rPr>
                <w:rFonts w:cs="宋体"/>
                <w:color w:val="auto"/>
                <w:sz w:val="21"/>
                <w:szCs w:val="20"/>
              </w:rPr>
              <w:t>110</w:t>
            </w:r>
          </w:p>
        </w:tc>
        <w:tc>
          <w:tcPr>
            <w:tcW w:w="1379" w:type="pct"/>
            <w:tcBorders>
              <w:tl2br w:val="nil"/>
              <w:tr2bl w:val="nil"/>
            </w:tcBorders>
            <w:vAlign w:val="center"/>
          </w:tcPr>
          <w:p w14:paraId="2BC259E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防化服</w:t>
            </w:r>
          </w:p>
        </w:tc>
        <w:tc>
          <w:tcPr>
            <w:tcW w:w="718" w:type="pct"/>
            <w:tcBorders>
              <w:tl2br w:val="nil"/>
              <w:tr2bl w:val="nil"/>
            </w:tcBorders>
            <w:noWrap/>
            <w:vAlign w:val="center"/>
          </w:tcPr>
          <w:p w14:paraId="3E3F67B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C3EC22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2套</w:t>
            </w:r>
          </w:p>
        </w:tc>
        <w:tc>
          <w:tcPr>
            <w:tcW w:w="958" w:type="pct"/>
            <w:vMerge w:val="continue"/>
            <w:tcBorders>
              <w:tl2br w:val="nil"/>
              <w:tr2bl w:val="nil"/>
            </w:tcBorders>
            <w:noWrap/>
            <w:vAlign w:val="center"/>
          </w:tcPr>
          <w:p w14:paraId="57C7E84D">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7B535E48">
            <w:pPr>
              <w:spacing w:line="240" w:lineRule="auto"/>
              <w:ind w:firstLine="0" w:firstLineChars="0"/>
              <w:jc w:val="center"/>
              <w:rPr>
                <w:rFonts w:cs="宋体"/>
                <w:color w:val="auto"/>
                <w:sz w:val="21"/>
                <w:szCs w:val="20"/>
              </w:rPr>
            </w:pPr>
          </w:p>
        </w:tc>
      </w:tr>
      <w:tr w14:paraId="0ABB2F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9E1226C">
            <w:pPr>
              <w:widowControl/>
              <w:spacing w:line="240" w:lineRule="auto"/>
              <w:ind w:firstLine="0" w:firstLineChars="0"/>
              <w:jc w:val="center"/>
              <w:textAlignment w:val="center"/>
              <w:rPr>
                <w:rFonts w:cs="宋体"/>
                <w:color w:val="auto"/>
                <w:sz w:val="21"/>
                <w:szCs w:val="20"/>
              </w:rPr>
            </w:pPr>
            <w:r>
              <w:rPr>
                <w:rFonts w:cs="宋体"/>
                <w:color w:val="auto"/>
                <w:sz w:val="21"/>
                <w:szCs w:val="20"/>
              </w:rPr>
              <w:t>111</w:t>
            </w:r>
          </w:p>
        </w:tc>
        <w:tc>
          <w:tcPr>
            <w:tcW w:w="1379" w:type="pct"/>
            <w:tcBorders>
              <w:tl2br w:val="nil"/>
              <w:tr2bl w:val="nil"/>
            </w:tcBorders>
            <w:vAlign w:val="center"/>
          </w:tcPr>
          <w:p w14:paraId="4106632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液氨专用工具箱</w:t>
            </w:r>
          </w:p>
        </w:tc>
        <w:tc>
          <w:tcPr>
            <w:tcW w:w="718" w:type="pct"/>
            <w:tcBorders>
              <w:tl2br w:val="nil"/>
              <w:tr2bl w:val="nil"/>
            </w:tcBorders>
            <w:noWrap/>
            <w:vAlign w:val="center"/>
          </w:tcPr>
          <w:p w14:paraId="5CA2BB0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1F581C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1套</w:t>
            </w:r>
          </w:p>
        </w:tc>
        <w:tc>
          <w:tcPr>
            <w:tcW w:w="958" w:type="pct"/>
            <w:vMerge w:val="continue"/>
            <w:tcBorders>
              <w:tl2br w:val="nil"/>
              <w:tr2bl w:val="nil"/>
            </w:tcBorders>
            <w:noWrap/>
            <w:vAlign w:val="center"/>
          </w:tcPr>
          <w:p w14:paraId="663E02EE">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1F2E531">
            <w:pPr>
              <w:spacing w:line="240" w:lineRule="auto"/>
              <w:ind w:firstLine="0" w:firstLineChars="0"/>
              <w:jc w:val="center"/>
              <w:rPr>
                <w:rFonts w:cs="宋体"/>
                <w:color w:val="auto"/>
                <w:sz w:val="21"/>
                <w:szCs w:val="20"/>
              </w:rPr>
            </w:pPr>
          </w:p>
        </w:tc>
      </w:tr>
      <w:tr w14:paraId="5DC691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C4B19A7">
            <w:pPr>
              <w:widowControl/>
              <w:spacing w:line="240" w:lineRule="auto"/>
              <w:ind w:firstLine="0" w:firstLineChars="0"/>
              <w:jc w:val="center"/>
              <w:textAlignment w:val="center"/>
              <w:rPr>
                <w:rFonts w:cs="宋体"/>
                <w:color w:val="auto"/>
                <w:sz w:val="21"/>
                <w:szCs w:val="20"/>
              </w:rPr>
            </w:pPr>
            <w:r>
              <w:rPr>
                <w:rFonts w:cs="宋体"/>
                <w:color w:val="auto"/>
                <w:sz w:val="21"/>
                <w:szCs w:val="20"/>
              </w:rPr>
              <w:t>112</w:t>
            </w:r>
          </w:p>
        </w:tc>
        <w:tc>
          <w:tcPr>
            <w:tcW w:w="1379" w:type="pct"/>
            <w:vMerge w:val="restart"/>
            <w:tcBorders>
              <w:tl2br w:val="nil"/>
              <w:tr2bl w:val="nil"/>
            </w:tcBorders>
            <w:vAlign w:val="center"/>
          </w:tcPr>
          <w:p w14:paraId="53F0F51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正压式空气呼吸器</w:t>
            </w:r>
          </w:p>
        </w:tc>
        <w:tc>
          <w:tcPr>
            <w:tcW w:w="718" w:type="pct"/>
            <w:vMerge w:val="restart"/>
            <w:tcBorders>
              <w:tl2br w:val="nil"/>
              <w:tr2bl w:val="nil"/>
            </w:tcBorders>
            <w:noWrap/>
            <w:vAlign w:val="center"/>
          </w:tcPr>
          <w:p w14:paraId="6028F5F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4DC291A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2套</w:t>
            </w:r>
          </w:p>
        </w:tc>
        <w:tc>
          <w:tcPr>
            <w:tcW w:w="958" w:type="pct"/>
            <w:vMerge w:val="continue"/>
            <w:tcBorders>
              <w:tl2br w:val="nil"/>
              <w:tr2bl w:val="nil"/>
            </w:tcBorders>
            <w:noWrap/>
            <w:vAlign w:val="center"/>
          </w:tcPr>
          <w:p w14:paraId="4A71B8EC">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5D3660F">
            <w:pPr>
              <w:spacing w:line="240" w:lineRule="auto"/>
              <w:ind w:firstLine="0" w:firstLineChars="0"/>
              <w:jc w:val="center"/>
              <w:rPr>
                <w:rFonts w:cs="宋体"/>
                <w:color w:val="auto"/>
                <w:sz w:val="21"/>
                <w:szCs w:val="20"/>
              </w:rPr>
            </w:pPr>
          </w:p>
        </w:tc>
      </w:tr>
      <w:tr w14:paraId="2E7660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B19C569">
            <w:pPr>
              <w:widowControl/>
              <w:spacing w:line="240" w:lineRule="auto"/>
              <w:ind w:firstLine="0" w:firstLineChars="0"/>
              <w:jc w:val="center"/>
              <w:textAlignment w:val="center"/>
              <w:rPr>
                <w:rFonts w:cs="宋体"/>
                <w:color w:val="auto"/>
                <w:sz w:val="21"/>
                <w:szCs w:val="20"/>
              </w:rPr>
            </w:pPr>
            <w:r>
              <w:rPr>
                <w:rFonts w:cs="宋体"/>
                <w:color w:val="auto"/>
                <w:sz w:val="21"/>
                <w:szCs w:val="20"/>
              </w:rPr>
              <w:t>113</w:t>
            </w:r>
          </w:p>
        </w:tc>
        <w:tc>
          <w:tcPr>
            <w:tcW w:w="1379" w:type="pct"/>
            <w:vMerge w:val="continue"/>
            <w:tcBorders>
              <w:tl2br w:val="nil"/>
              <w:tr2bl w:val="nil"/>
            </w:tcBorders>
            <w:vAlign w:val="center"/>
          </w:tcPr>
          <w:p w14:paraId="1EB251EA">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5FA2C74F">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14D122D7">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551C8911">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D400CF4">
            <w:pPr>
              <w:spacing w:line="240" w:lineRule="auto"/>
              <w:ind w:firstLine="0" w:firstLineChars="0"/>
              <w:jc w:val="center"/>
              <w:rPr>
                <w:rFonts w:cs="宋体"/>
                <w:color w:val="auto"/>
                <w:sz w:val="21"/>
                <w:szCs w:val="20"/>
              </w:rPr>
            </w:pPr>
          </w:p>
        </w:tc>
      </w:tr>
      <w:tr w14:paraId="76AC84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0968598">
            <w:pPr>
              <w:widowControl/>
              <w:spacing w:line="240" w:lineRule="auto"/>
              <w:ind w:firstLine="0" w:firstLineChars="0"/>
              <w:jc w:val="center"/>
              <w:textAlignment w:val="center"/>
              <w:rPr>
                <w:rFonts w:cs="宋体"/>
                <w:color w:val="auto"/>
                <w:sz w:val="21"/>
                <w:szCs w:val="20"/>
              </w:rPr>
            </w:pPr>
            <w:r>
              <w:rPr>
                <w:rFonts w:cs="宋体"/>
                <w:color w:val="auto"/>
                <w:sz w:val="21"/>
                <w:szCs w:val="20"/>
              </w:rPr>
              <w:t>114</w:t>
            </w:r>
          </w:p>
        </w:tc>
        <w:tc>
          <w:tcPr>
            <w:tcW w:w="1379" w:type="pct"/>
            <w:vMerge w:val="restart"/>
            <w:tcBorders>
              <w:tl2br w:val="nil"/>
              <w:tr2bl w:val="nil"/>
            </w:tcBorders>
            <w:vAlign w:val="center"/>
          </w:tcPr>
          <w:p w14:paraId="4F99615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手持式氨检测仪</w:t>
            </w:r>
          </w:p>
        </w:tc>
        <w:tc>
          <w:tcPr>
            <w:tcW w:w="718" w:type="pct"/>
            <w:vMerge w:val="restart"/>
            <w:tcBorders>
              <w:tl2br w:val="nil"/>
              <w:tr2bl w:val="nil"/>
            </w:tcBorders>
            <w:noWrap/>
            <w:vAlign w:val="center"/>
          </w:tcPr>
          <w:p w14:paraId="608499F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ADKS-1</w:t>
            </w:r>
          </w:p>
        </w:tc>
        <w:tc>
          <w:tcPr>
            <w:tcW w:w="545" w:type="pct"/>
            <w:vMerge w:val="restart"/>
            <w:tcBorders>
              <w:tl2br w:val="nil"/>
              <w:tr2bl w:val="nil"/>
            </w:tcBorders>
            <w:noWrap/>
            <w:vAlign w:val="center"/>
          </w:tcPr>
          <w:p w14:paraId="1E5217A6">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19086FD6">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71F1ADB5">
            <w:pPr>
              <w:spacing w:line="240" w:lineRule="auto"/>
              <w:ind w:firstLine="0" w:firstLineChars="0"/>
              <w:jc w:val="center"/>
              <w:rPr>
                <w:rFonts w:cs="宋体"/>
                <w:color w:val="auto"/>
                <w:sz w:val="21"/>
                <w:szCs w:val="20"/>
              </w:rPr>
            </w:pPr>
          </w:p>
        </w:tc>
      </w:tr>
      <w:tr w14:paraId="353EF6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785457D1">
            <w:pPr>
              <w:widowControl/>
              <w:spacing w:line="240" w:lineRule="auto"/>
              <w:ind w:firstLine="0" w:firstLineChars="0"/>
              <w:jc w:val="center"/>
              <w:textAlignment w:val="center"/>
              <w:rPr>
                <w:rFonts w:cs="宋体"/>
                <w:color w:val="auto"/>
                <w:sz w:val="21"/>
                <w:szCs w:val="20"/>
              </w:rPr>
            </w:pPr>
            <w:r>
              <w:rPr>
                <w:rFonts w:cs="宋体"/>
                <w:color w:val="auto"/>
                <w:sz w:val="21"/>
                <w:szCs w:val="20"/>
              </w:rPr>
              <w:t>115</w:t>
            </w:r>
          </w:p>
        </w:tc>
        <w:tc>
          <w:tcPr>
            <w:tcW w:w="1379" w:type="pct"/>
            <w:vMerge w:val="continue"/>
            <w:tcBorders>
              <w:tl2br w:val="nil"/>
              <w:tr2bl w:val="nil"/>
            </w:tcBorders>
            <w:vAlign w:val="center"/>
          </w:tcPr>
          <w:p w14:paraId="7BD2E28A">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4FE8EAB7">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4991A53C">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49745AD4">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8FFB5AA">
            <w:pPr>
              <w:spacing w:line="240" w:lineRule="auto"/>
              <w:ind w:firstLine="0" w:firstLineChars="0"/>
              <w:jc w:val="center"/>
              <w:rPr>
                <w:rFonts w:cs="宋体"/>
                <w:color w:val="auto"/>
                <w:sz w:val="21"/>
                <w:szCs w:val="20"/>
              </w:rPr>
            </w:pPr>
          </w:p>
        </w:tc>
      </w:tr>
      <w:tr w14:paraId="7DBED1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AC72AA8">
            <w:pPr>
              <w:widowControl/>
              <w:spacing w:line="240" w:lineRule="auto"/>
              <w:ind w:firstLine="0" w:firstLineChars="0"/>
              <w:jc w:val="center"/>
              <w:textAlignment w:val="center"/>
              <w:rPr>
                <w:rFonts w:cs="宋体"/>
                <w:color w:val="auto"/>
                <w:sz w:val="21"/>
                <w:szCs w:val="20"/>
              </w:rPr>
            </w:pPr>
            <w:r>
              <w:rPr>
                <w:rFonts w:cs="宋体"/>
                <w:color w:val="auto"/>
                <w:sz w:val="21"/>
                <w:szCs w:val="20"/>
              </w:rPr>
              <w:t>116</w:t>
            </w:r>
          </w:p>
        </w:tc>
        <w:tc>
          <w:tcPr>
            <w:tcW w:w="1379" w:type="pct"/>
            <w:vMerge w:val="restart"/>
            <w:tcBorders>
              <w:tl2br w:val="nil"/>
              <w:tr2bl w:val="nil"/>
            </w:tcBorders>
            <w:vAlign w:val="center"/>
          </w:tcPr>
          <w:p w14:paraId="77AF6AD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vMerge w:val="restart"/>
            <w:tcBorders>
              <w:tl2br w:val="nil"/>
              <w:tr2bl w:val="nil"/>
            </w:tcBorders>
            <w:noWrap/>
            <w:vAlign w:val="center"/>
          </w:tcPr>
          <w:p w14:paraId="4BFBD7E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666F5B0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46AE9726">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58B662B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冰机</w:t>
            </w:r>
          </w:p>
        </w:tc>
      </w:tr>
      <w:tr w14:paraId="0DB49E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5CE52E1">
            <w:pPr>
              <w:widowControl/>
              <w:spacing w:line="240" w:lineRule="auto"/>
              <w:ind w:firstLine="0" w:firstLineChars="0"/>
              <w:jc w:val="center"/>
              <w:textAlignment w:val="center"/>
              <w:rPr>
                <w:rFonts w:cs="宋体"/>
                <w:color w:val="auto"/>
                <w:sz w:val="21"/>
                <w:szCs w:val="20"/>
              </w:rPr>
            </w:pPr>
            <w:r>
              <w:rPr>
                <w:rFonts w:cs="宋体"/>
                <w:color w:val="auto"/>
                <w:sz w:val="21"/>
                <w:szCs w:val="20"/>
              </w:rPr>
              <w:t>117</w:t>
            </w:r>
          </w:p>
        </w:tc>
        <w:tc>
          <w:tcPr>
            <w:tcW w:w="1379" w:type="pct"/>
            <w:vMerge w:val="continue"/>
            <w:tcBorders>
              <w:tl2br w:val="nil"/>
              <w:tr2bl w:val="nil"/>
            </w:tcBorders>
            <w:vAlign w:val="center"/>
          </w:tcPr>
          <w:p w14:paraId="603ADEA6">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600EB1BA">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504D9FA1">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2FB19217">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9D757FF">
            <w:pPr>
              <w:spacing w:line="240" w:lineRule="auto"/>
              <w:ind w:firstLine="0" w:firstLineChars="0"/>
              <w:jc w:val="center"/>
              <w:rPr>
                <w:rFonts w:cs="宋体"/>
                <w:color w:val="auto"/>
                <w:sz w:val="21"/>
                <w:szCs w:val="20"/>
              </w:rPr>
            </w:pPr>
          </w:p>
        </w:tc>
      </w:tr>
      <w:tr w14:paraId="2BD7B2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2A371558">
            <w:pPr>
              <w:widowControl/>
              <w:spacing w:line="240" w:lineRule="auto"/>
              <w:ind w:firstLine="0" w:firstLineChars="0"/>
              <w:jc w:val="center"/>
              <w:textAlignment w:val="center"/>
              <w:rPr>
                <w:rFonts w:cs="宋体"/>
                <w:color w:val="auto"/>
                <w:sz w:val="21"/>
                <w:szCs w:val="20"/>
              </w:rPr>
            </w:pPr>
            <w:r>
              <w:rPr>
                <w:rFonts w:cs="宋体"/>
                <w:color w:val="auto"/>
                <w:sz w:val="21"/>
                <w:szCs w:val="20"/>
              </w:rPr>
              <w:t>118</w:t>
            </w:r>
          </w:p>
        </w:tc>
        <w:tc>
          <w:tcPr>
            <w:tcW w:w="1379" w:type="pct"/>
            <w:tcBorders>
              <w:tl2br w:val="nil"/>
              <w:tr2bl w:val="nil"/>
            </w:tcBorders>
            <w:vAlign w:val="center"/>
          </w:tcPr>
          <w:p w14:paraId="631D1F0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tcBorders>
              <w:tl2br w:val="nil"/>
              <w:tr2bl w:val="nil"/>
            </w:tcBorders>
            <w:noWrap/>
            <w:vAlign w:val="center"/>
          </w:tcPr>
          <w:p w14:paraId="688F518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4ABF96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30EE0927">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32A7A90C">
            <w:pPr>
              <w:spacing w:line="240" w:lineRule="auto"/>
              <w:ind w:firstLine="0" w:firstLineChars="0"/>
              <w:jc w:val="center"/>
              <w:rPr>
                <w:rFonts w:cs="宋体"/>
                <w:color w:val="auto"/>
                <w:sz w:val="21"/>
                <w:szCs w:val="20"/>
              </w:rPr>
            </w:pPr>
          </w:p>
        </w:tc>
      </w:tr>
      <w:tr w14:paraId="29E103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6A11264A">
            <w:pPr>
              <w:widowControl/>
              <w:spacing w:line="240" w:lineRule="auto"/>
              <w:ind w:firstLine="0" w:firstLineChars="0"/>
              <w:jc w:val="center"/>
              <w:textAlignment w:val="center"/>
              <w:rPr>
                <w:rFonts w:cs="宋体"/>
                <w:color w:val="auto"/>
                <w:sz w:val="21"/>
                <w:szCs w:val="20"/>
              </w:rPr>
            </w:pPr>
            <w:r>
              <w:rPr>
                <w:rFonts w:cs="宋体"/>
                <w:color w:val="auto"/>
                <w:sz w:val="21"/>
                <w:szCs w:val="20"/>
              </w:rPr>
              <w:t>119</w:t>
            </w:r>
          </w:p>
        </w:tc>
        <w:tc>
          <w:tcPr>
            <w:tcW w:w="1379" w:type="pct"/>
            <w:tcBorders>
              <w:tl2br w:val="nil"/>
              <w:tr2bl w:val="nil"/>
            </w:tcBorders>
            <w:vAlign w:val="center"/>
          </w:tcPr>
          <w:p w14:paraId="648CBB7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718" w:type="pct"/>
            <w:tcBorders>
              <w:tl2br w:val="nil"/>
              <w:tr2bl w:val="nil"/>
            </w:tcBorders>
            <w:noWrap/>
            <w:vAlign w:val="center"/>
          </w:tcPr>
          <w:p w14:paraId="57FA7D5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tcBorders>
              <w:tl2br w:val="nil"/>
              <w:tr2bl w:val="nil"/>
            </w:tcBorders>
            <w:noWrap/>
            <w:vAlign w:val="center"/>
          </w:tcPr>
          <w:p w14:paraId="56045CD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69C22ACA">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0743E375">
            <w:pPr>
              <w:spacing w:line="240" w:lineRule="auto"/>
              <w:ind w:firstLine="0" w:firstLineChars="0"/>
              <w:jc w:val="center"/>
              <w:rPr>
                <w:rFonts w:cs="宋体"/>
                <w:color w:val="auto"/>
                <w:sz w:val="21"/>
                <w:szCs w:val="20"/>
              </w:rPr>
            </w:pPr>
          </w:p>
        </w:tc>
      </w:tr>
      <w:tr w14:paraId="3146E8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4EB2565">
            <w:pPr>
              <w:widowControl/>
              <w:spacing w:line="240" w:lineRule="auto"/>
              <w:ind w:firstLine="0" w:firstLineChars="0"/>
              <w:jc w:val="center"/>
              <w:textAlignment w:val="center"/>
              <w:rPr>
                <w:rFonts w:cs="宋体"/>
                <w:color w:val="auto"/>
                <w:sz w:val="21"/>
                <w:szCs w:val="20"/>
              </w:rPr>
            </w:pPr>
            <w:r>
              <w:rPr>
                <w:rFonts w:cs="宋体"/>
                <w:color w:val="auto"/>
                <w:sz w:val="21"/>
                <w:szCs w:val="20"/>
              </w:rPr>
              <w:t>12</w:t>
            </w:r>
            <w:r>
              <w:rPr>
                <w:rFonts w:hint="eastAsia" w:cs="宋体"/>
                <w:color w:val="auto"/>
                <w:sz w:val="21"/>
                <w:szCs w:val="20"/>
              </w:rPr>
              <w:t>0</w:t>
            </w:r>
          </w:p>
        </w:tc>
        <w:tc>
          <w:tcPr>
            <w:tcW w:w="1379" w:type="pct"/>
            <w:tcBorders>
              <w:tl2br w:val="nil"/>
              <w:tr2bl w:val="nil"/>
            </w:tcBorders>
            <w:vAlign w:val="center"/>
          </w:tcPr>
          <w:p w14:paraId="6154AF9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tcBorders>
              <w:tl2br w:val="nil"/>
              <w:tr2bl w:val="nil"/>
            </w:tcBorders>
            <w:noWrap/>
            <w:vAlign w:val="center"/>
          </w:tcPr>
          <w:p w14:paraId="433A4E8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4D3B67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3EC380BA">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844AAB6">
            <w:pPr>
              <w:spacing w:line="240" w:lineRule="auto"/>
              <w:ind w:firstLine="0" w:firstLineChars="0"/>
              <w:jc w:val="center"/>
              <w:rPr>
                <w:rFonts w:cs="宋体"/>
                <w:color w:val="auto"/>
                <w:sz w:val="21"/>
                <w:szCs w:val="20"/>
              </w:rPr>
            </w:pPr>
          </w:p>
        </w:tc>
      </w:tr>
      <w:tr w14:paraId="4B5157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292D2AE7">
            <w:pPr>
              <w:widowControl/>
              <w:spacing w:line="240" w:lineRule="auto"/>
              <w:ind w:firstLine="0" w:firstLineChars="0"/>
              <w:jc w:val="center"/>
              <w:textAlignment w:val="center"/>
              <w:rPr>
                <w:rFonts w:cs="宋体"/>
                <w:color w:val="auto"/>
                <w:sz w:val="21"/>
                <w:szCs w:val="20"/>
              </w:rPr>
            </w:pPr>
            <w:r>
              <w:rPr>
                <w:rFonts w:cs="宋体"/>
                <w:color w:val="auto"/>
                <w:sz w:val="21"/>
                <w:szCs w:val="20"/>
              </w:rPr>
              <w:t>121</w:t>
            </w:r>
          </w:p>
        </w:tc>
        <w:tc>
          <w:tcPr>
            <w:tcW w:w="1379" w:type="pct"/>
            <w:tcBorders>
              <w:tl2br w:val="nil"/>
              <w:tr2bl w:val="nil"/>
            </w:tcBorders>
            <w:vAlign w:val="center"/>
          </w:tcPr>
          <w:p w14:paraId="2C1DD0A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tcBorders>
              <w:tl2br w:val="nil"/>
              <w:tr2bl w:val="nil"/>
            </w:tcBorders>
            <w:noWrap/>
            <w:vAlign w:val="center"/>
          </w:tcPr>
          <w:p w14:paraId="1EFC091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C218F4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259A59F7">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49088FE">
            <w:pPr>
              <w:spacing w:line="240" w:lineRule="auto"/>
              <w:ind w:firstLine="0" w:firstLineChars="0"/>
              <w:jc w:val="center"/>
              <w:rPr>
                <w:rFonts w:cs="宋体"/>
                <w:color w:val="auto"/>
                <w:sz w:val="21"/>
                <w:szCs w:val="20"/>
              </w:rPr>
            </w:pPr>
          </w:p>
        </w:tc>
      </w:tr>
      <w:tr w14:paraId="3548D9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47434E90">
            <w:pPr>
              <w:widowControl/>
              <w:spacing w:line="240" w:lineRule="auto"/>
              <w:ind w:firstLine="0" w:firstLineChars="0"/>
              <w:jc w:val="center"/>
              <w:textAlignment w:val="center"/>
              <w:rPr>
                <w:rFonts w:cs="宋体"/>
                <w:color w:val="auto"/>
                <w:sz w:val="21"/>
                <w:szCs w:val="20"/>
              </w:rPr>
            </w:pPr>
            <w:r>
              <w:rPr>
                <w:rFonts w:cs="宋体"/>
                <w:color w:val="auto"/>
                <w:sz w:val="21"/>
                <w:szCs w:val="20"/>
              </w:rPr>
              <w:t>122</w:t>
            </w:r>
          </w:p>
        </w:tc>
        <w:tc>
          <w:tcPr>
            <w:tcW w:w="1379" w:type="pct"/>
            <w:tcBorders>
              <w:tl2br w:val="nil"/>
              <w:tr2bl w:val="nil"/>
            </w:tcBorders>
            <w:vAlign w:val="center"/>
          </w:tcPr>
          <w:p w14:paraId="058F64C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tcBorders>
              <w:tl2br w:val="nil"/>
              <w:tr2bl w:val="nil"/>
            </w:tcBorders>
            <w:noWrap/>
            <w:vAlign w:val="center"/>
          </w:tcPr>
          <w:p w14:paraId="29E604C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7304BE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1E31002">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B8E6D38">
            <w:pPr>
              <w:spacing w:line="240" w:lineRule="auto"/>
              <w:ind w:firstLine="0" w:firstLineChars="0"/>
              <w:jc w:val="center"/>
              <w:rPr>
                <w:rFonts w:cs="宋体"/>
                <w:color w:val="auto"/>
                <w:sz w:val="21"/>
                <w:szCs w:val="20"/>
              </w:rPr>
            </w:pPr>
          </w:p>
        </w:tc>
      </w:tr>
      <w:tr w14:paraId="5CD28C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53EA5354">
            <w:pPr>
              <w:widowControl/>
              <w:spacing w:line="240" w:lineRule="auto"/>
              <w:ind w:firstLine="0" w:firstLineChars="0"/>
              <w:jc w:val="center"/>
              <w:textAlignment w:val="center"/>
              <w:rPr>
                <w:rFonts w:cs="宋体"/>
                <w:color w:val="auto"/>
                <w:sz w:val="21"/>
                <w:szCs w:val="20"/>
              </w:rPr>
            </w:pPr>
            <w:r>
              <w:rPr>
                <w:rFonts w:cs="宋体"/>
                <w:color w:val="auto"/>
                <w:sz w:val="21"/>
                <w:szCs w:val="20"/>
              </w:rPr>
              <w:t>123</w:t>
            </w:r>
          </w:p>
        </w:tc>
        <w:tc>
          <w:tcPr>
            <w:tcW w:w="1379" w:type="pct"/>
            <w:tcBorders>
              <w:tl2br w:val="nil"/>
              <w:tr2bl w:val="nil"/>
            </w:tcBorders>
            <w:vAlign w:val="center"/>
          </w:tcPr>
          <w:p w14:paraId="16B8E94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tcBorders>
              <w:tl2br w:val="nil"/>
              <w:tr2bl w:val="nil"/>
            </w:tcBorders>
            <w:noWrap/>
            <w:vAlign w:val="center"/>
          </w:tcPr>
          <w:p w14:paraId="2B02CA8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369E9E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30C1AFAD">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45B23A5">
            <w:pPr>
              <w:spacing w:line="240" w:lineRule="auto"/>
              <w:ind w:firstLine="0" w:firstLineChars="0"/>
              <w:jc w:val="center"/>
              <w:rPr>
                <w:rFonts w:cs="宋体"/>
                <w:color w:val="auto"/>
                <w:sz w:val="21"/>
                <w:szCs w:val="20"/>
              </w:rPr>
            </w:pPr>
          </w:p>
        </w:tc>
      </w:tr>
      <w:tr w14:paraId="33C77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noWrap/>
            <w:vAlign w:val="center"/>
          </w:tcPr>
          <w:p w14:paraId="3AC7E268">
            <w:pPr>
              <w:widowControl/>
              <w:spacing w:line="240" w:lineRule="auto"/>
              <w:ind w:firstLine="0" w:firstLineChars="0"/>
              <w:jc w:val="center"/>
              <w:textAlignment w:val="center"/>
              <w:rPr>
                <w:rFonts w:cs="宋体"/>
                <w:color w:val="auto"/>
                <w:sz w:val="21"/>
                <w:szCs w:val="20"/>
              </w:rPr>
            </w:pPr>
            <w:r>
              <w:rPr>
                <w:rFonts w:cs="宋体"/>
                <w:color w:val="auto"/>
                <w:sz w:val="21"/>
                <w:szCs w:val="20"/>
              </w:rPr>
              <w:t>124</w:t>
            </w:r>
          </w:p>
        </w:tc>
        <w:tc>
          <w:tcPr>
            <w:tcW w:w="1379" w:type="pct"/>
            <w:tcBorders>
              <w:tl2br w:val="nil"/>
              <w:tr2bl w:val="nil"/>
            </w:tcBorders>
            <w:vAlign w:val="center"/>
          </w:tcPr>
          <w:p w14:paraId="75889A7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tcBorders>
              <w:tl2br w:val="nil"/>
              <w:tr2bl w:val="nil"/>
            </w:tcBorders>
            <w:noWrap/>
            <w:vAlign w:val="center"/>
          </w:tcPr>
          <w:p w14:paraId="10ACFAF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4EEEEC3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2双</w:t>
            </w:r>
          </w:p>
        </w:tc>
        <w:tc>
          <w:tcPr>
            <w:tcW w:w="958" w:type="pct"/>
            <w:vMerge w:val="continue"/>
            <w:tcBorders>
              <w:tl2br w:val="nil"/>
              <w:tr2bl w:val="nil"/>
            </w:tcBorders>
            <w:noWrap/>
            <w:vAlign w:val="center"/>
          </w:tcPr>
          <w:p w14:paraId="229D0166">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2E83094">
            <w:pPr>
              <w:spacing w:line="240" w:lineRule="auto"/>
              <w:ind w:firstLine="0" w:firstLineChars="0"/>
              <w:jc w:val="center"/>
              <w:rPr>
                <w:rFonts w:cs="宋体"/>
                <w:color w:val="auto"/>
                <w:sz w:val="21"/>
                <w:szCs w:val="20"/>
              </w:rPr>
            </w:pPr>
          </w:p>
        </w:tc>
      </w:tr>
      <w:tr w14:paraId="22C736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49C3254F">
            <w:pPr>
              <w:widowControl/>
              <w:spacing w:line="240" w:lineRule="auto"/>
              <w:ind w:firstLine="0" w:firstLineChars="0"/>
              <w:jc w:val="center"/>
              <w:textAlignment w:val="center"/>
              <w:rPr>
                <w:rFonts w:cs="宋体"/>
                <w:color w:val="auto"/>
                <w:sz w:val="21"/>
                <w:szCs w:val="20"/>
              </w:rPr>
            </w:pPr>
            <w:r>
              <w:rPr>
                <w:rFonts w:cs="宋体"/>
                <w:color w:val="auto"/>
                <w:sz w:val="21"/>
                <w:szCs w:val="20"/>
              </w:rPr>
              <w:t>125</w:t>
            </w:r>
          </w:p>
        </w:tc>
        <w:tc>
          <w:tcPr>
            <w:tcW w:w="1379" w:type="pct"/>
            <w:vMerge w:val="restart"/>
            <w:tcBorders>
              <w:tl2br w:val="nil"/>
              <w:tr2bl w:val="nil"/>
            </w:tcBorders>
            <w:noWrap/>
            <w:vAlign w:val="center"/>
          </w:tcPr>
          <w:p w14:paraId="0E1733E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tcBorders>
              <w:tl2br w:val="nil"/>
              <w:tr2bl w:val="nil"/>
            </w:tcBorders>
            <w:noWrap/>
            <w:vAlign w:val="center"/>
          </w:tcPr>
          <w:p w14:paraId="26CC4DB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P-A-3</w:t>
            </w:r>
          </w:p>
        </w:tc>
        <w:tc>
          <w:tcPr>
            <w:tcW w:w="545" w:type="pct"/>
            <w:tcBorders>
              <w:tl2br w:val="nil"/>
              <w:tr2bl w:val="nil"/>
            </w:tcBorders>
            <w:noWrap/>
            <w:vAlign w:val="center"/>
          </w:tcPr>
          <w:p w14:paraId="5570898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restart"/>
            <w:tcBorders>
              <w:tl2br w:val="nil"/>
              <w:tr2bl w:val="nil"/>
            </w:tcBorders>
            <w:noWrap/>
            <w:vAlign w:val="center"/>
          </w:tcPr>
          <w:p w14:paraId="3DF5C827">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68BF197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乙类仓库</w:t>
            </w:r>
          </w:p>
        </w:tc>
      </w:tr>
      <w:tr w14:paraId="25AF1F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40A32CD5">
            <w:pPr>
              <w:widowControl/>
              <w:spacing w:line="240" w:lineRule="auto"/>
              <w:ind w:firstLine="0" w:firstLineChars="0"/>
              <w:jc w:val="center"/>
              <w:textAlignment w:val="center"/>
              <w:rPr>
                <w:rFonts w:cs="宋体"/>
                <w:color w:val="auto"/>
                <w:sz w:val="21"/>
                <w:szCs w:val="20"/>
              </w:rPr>
            </w:pPr>
            <w:r>
              <w:rPr>
                <w:rFonts w:cs="宋体"/>
                <w:color w:val="auto"/>
                <w:sz w:val="21"/>
                <w:szCs w:val="20"/>
              </w:rPr>
              <w:t>126</w:t>
            </w:r>
          </w:p>
        </w:tc>
        <w:tc>
          <w:tcPr>
            <w:tcW w:w="1379" w:type="pct"/>
            <w:vMerge w:val="continue"/>
            <w:tcBorders>
              <w:tl2br w:val="nil"/>
              <w:tr2bl w:val="nil"/>
            </w:tcBorders>
            <w:noWrap/>
            <w:vAlign w:val="center"/>
          </w:tcPr>
          <w:p w14:paraId="418837FE">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08F50B9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tcBorders>
              <w:tl2br w:val="nil"/>
              <w:tr2bl w:val="nil"/>
            </w:tcBorders>
            <w:noWrap/>
            <w:vAlign w:val="center"/>
          </w:tcPr>
          <w:p w14:paraId="44146FD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2F1A4E6D">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E9B7B23">
            <w:pPr>
              <w:spacing w:line="240" w:lineRule="auto"/>
              <w:ind w:firstLine="0" w:firstLineChars="0"/>
              <w:jc w:val="center"/>
              <w:rPr>
                <w:rFonts w:cs="宋体"/>
                <w:color w:val="auto"/>
                <w:sz w:val="21"/>
                <w:szCs w:val="20"/>
              </w:rPr>
            </w:pPr>
          </w:p>
        </w:tc>
      </w:tr>
      <w:tr w14:paraId="25BC1C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3692C1E0">
            <w:pPr>
              <w:widowControl/>
              <w:spacing w:line="240" w:lineRule="auto"/>
              <w:ind w:firstLine="0" w:firstLineChars="0"/>
              <w:jc w:val="center"/>
              <w:textAlignment w:val="center"/>
              <w:rPr>
                <w:rFonts w:cs="宋体"/>
                <w:color w:val="auto"/>
                <w:sz w:val="21"/>
                <w:szCs w:val="20"/>
              </w:rPr>
            </w:pPr>
            <w:r>
              <w:rPr>
                <w:rFonts w:cs="宋体"/>
                <w:color w:val="auto"/>
                <w:sz w:val="21"/>
                <w:szCs w:val="20"/>
              </w:rPr>
              <w:t>127</w:t>
            </w:r>
          </w:p>
        </w:tc>
        <w:tc>
          <w:tcPr>
            <w:tcW w:w="1379" w:type="pct"/>
            <w:vMerge w:val="continue"/>
            <w:tcBorders>
              <w:tl2br w:val="nil"/>
              <w:tr2bl w:val="nil"/>
            </w:tcBorders>
            <w:noWrap/>
            <w:vAlign w:val="center"/>
          </w:tcPr>
          <w:p w14:paraId="1C83EE77">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6D3B0A3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tcBorders>
              <w:tl2br w:val="nil"/>
              <w:tr2bl w:val="nil"/>
            </w:tcBorders>
            <w:noWrap/>
            <w:vAlign w:val="center"/>
          </w:tcPr>
          <w:p w14:paraId="4DA5017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0AFD773B">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34E9927">
            <w:pPr>
              <w:spacing w:line="240" w:lineRule="auto"/>
              <w:ind w:firstLine="0" w:firstLineChars="0"/>
              <w:jc w:val="center"/>
              <w:rPr>
                <w:rFonts w:cs="宋体"/>
                <w:color w:val="auto"/>
                <w:sz w:val="21"/>
                <w:szCs w:val="20"/>
              </w:rPr>
            </w:pPr>
          </w:p>
        </w:tc>
      </w:tr>
      <w:tr w14:paraId="750BC0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6DBB8749">
            <w:pPr>
              <w:widowControl/>
              <w:spacing w:line="240" w:lineRule="auto"/>
              <w:ind w:firstLine="0" w:firstLineChars="0"/>
              <w:jc w:val="center"/>
              <w:textAlignment w:val="center"/>
              <w:rPr>
                <w:rFonts w:cs="宋体"/>
                <w:color w:val="auto"/>
                <w:sz w:val="21"/>
                <w:szCs w:val="20"/>
              </w:rPr>
            </w:pPr>
            <w:r>
              <w:rPr>
                <w:rFonts w:cs="宋体"/>
                <w:color w:val="auto"/>
                <w:sz w:val="21"/>
                <w:szCs w:val="20"/>
              </w:rPr>
              <w:t>128</w:t>
            </w:r>
          </w:p>
        </w:tc>
        <w:tc>
          <w:tcPr>
            <w:tcW w:w="1379" w:type="pct"/>
            <w:vMerge w:val="restart"/>
            <w:tcBorders>
              <w:tl2br w:val="nil"/>
              <w:tr2bl w:val="nil"/>
            </w:tcBorders>
            <w:noWrap/>
            <w:vAlign w:val="center"/>
          </w:tcPr>
          <w:p w14:paraId="5F9C88E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vMerge w:val="restart"/>
            <w:tcBorders>
              <w:tl2br w:val="nil"/>
              <w:tr2bl w:val="nil"/>
            </w:tcBorders>
            <w:noWrap/>
            <w:vAlign w:val="center"/>
          </w:tcPr>
          <w:p w14:paraId="13F4B1E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2DDB29C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541D8E34">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79C6361B">
            <w:pPr>
              <w:spacing w:line="240" w:lineRule="auto"/>
              <w:ind w:firstLine="0" w:firstLineChars="0"/>
              <w:jc w:val="center"/>
              <w:rPr>
                <w:rFonts w:cs="宋体"/>
                <w:color w:val="auto"/>
                <w:sz w:val="21"/>
                <w:szCs w:val="20"/>
              </w:rPr>
            </w:pPr>
          </w:p>
        </w:tc>
      </w:tr>
      <w:tr w14:paraId="2F8684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CB6AA91">
            <w:pPr>
              <w:widowControl/>
              <w:spacing w:line="240" w:lineRule="auto"/>
              <w:ind w:firstLine="0" w:firstLineChars="0"/>
              <w:jc w:val="center"/>
              <w:textAlignment w:val="center"/>
              <w:rPr>
                <w:rFonts w:cs="宋体"/>
                <w:color w:val="auto"/>
                <w:sz w:val="21"/>
                <w:szCs w:val="20"/>
              </w:rPr>
            </w:pPr>
            <w:r>
              <w:rPr>
                <w:rFonts w:cs="宋体"/>
                <w:color w:val="auto"/>
                <w:sz w:val="21"/>
                <w:szCs w:val="20"/>
              </w:rPr>
              <w:t>129</w:t>
            </w:r>
          </w:p>
        </w:tc>
        <w:tc>
          <w:tcPr>
            <w:tcW w:w="1379" w:type="pct"/>
            <w:vMerge w:val="continue"/>
            <w:tcBorders>
              <w:tl2br w:val="nil"/>
              <w:tr2bl w:val="nil"/>
            </w:tcBorders>
            <w:noWrap/>
            <w:vAlign w:val="center"/>
          </w:tcPr>
          <w:p w14:paraId="64B397B9">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2CA53E44">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34A96492">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5552C346">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4577C16">
            <w:pPr>
              <w:spacing w:line="240" w:lineRule="auto"/>
              <w:ind w:firstLine="0" w:firstLineChars="0"/>
              <w:jc w:val="center"/>
              <w:rPr>
                <w:rFonts w:cs="宋体"/>
                <w:color w:val="auto"/>
                <w:sz w:val="21"/>
                <w:szCs w:val="20"/>
              </w:rPr>
            </w:pPr>
          </w:p>
        </w:tc>
      </w:tr>
      <w:tr w14:paraId="140195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5EA125E2">
            <w:pPr>
              <w:widowControl/>
              <w:spacing w:line="240" w:lineRule="auto"/>
              <w:ind w:firstLine="0" w:firstLineChars="0"/>
              <w:jc w:val="center"/>
              <w:textAlignment w:val="center"/>
              <w:rPr>
                <w:rFonts w:cs="宋体"/>
                <w:color w:val="auto"/>
                <w:sz w:val="21"/>
                <w:szCs w:val="20"/>
              </w:rPr>
            </w:pPr>
            <w:r>
              <w:rPr>
                <w:rFonts w:cs="宋体"/>
                <w:color w:val="auto"/>
                <w:sz w:val="21"/>
                <w:szCs w:val="20"/>
              </w:rPr>
              <w:t>130</w:t>
            </w:r>
          </w:p>
        </w:tc>
        <w:tc>
          <w:tcPr>
            <w:tcW w:w="1379" w:type="pct"/>
            <w:vMerge w:val="restart"/>
            <w:tcBorders>
              <w:tl2br w:val="nil"/>
              <w:tr2bl w:val="nil"/>
            </w:tcBorders>
            <w:vAlign w:val="center"/>
          </w:tcPr>
          <w:p w14:paraId="16F2769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718" w:type="pct"/>
            <w:tcBorders>
              <w:tl2br w:val="nil"/>
              <w:tr2bl w:val="nil"/>
            </w:tcBorders>
            <w:noWrap/>
            <w:vAlign w:val="center"/>
          </w:tcPr>
          <w:p w14:paraId="2C8EF7D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P-A-1</w:t>
            </w:r>
          </w:p>
        </w:tc>
        <w:tc>
          <w:tcPr>
            <w:tcW w:w="545" w:type="pct"/>
            <w:tcBorders>
              <w:tl2br w:val="nil"/>
              <w:tr2bl w:val="nil"/>
            </w:tcBorders>
            <w:noWrap/>
            <w:vAlign w:val="center"/>
          </w:tcPr>
          <w:p w14:paraId="429338F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5211F7F8">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860E1D8">
            <w:pPr>
              <w:spacing w:line="240" w:lineRule="auto"/>
              <w:ind w:firstLine="0" w:firstLineChars="0"/>
              <w:jc w:val="center"/>
              <w:rPr>
                <w:rFonts w:cs="宋体"/>
                <w:color w:val="auto"/>
                <w:sz w:val="21"/>
                <w:szCs w:val="20"/>
              </w:rPr>
            </w:pPr>
          </w:p>
        </w:tc>
      </w:tr>
      <w:tr w14:paraId="162C3C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3593ABB2">
            <w:pPr>
              <w:widowControl/>
              <w:spacing w:line="240" w:lineRule="auto"/>
              <w:ind w:firstLine="0" w:firstLineChars="0"/>
              <w:jc w:val="center"/>
              <w:textAlignment w:val="center"/>
              <w:rPr>
                <w:rFonts w:cs="宋体"/>
                <w:color w:val="auto"/>
                <w:sz w:val="21"/>
                <w:szCs w:val="20"/>
              </w:rPr>
            </w:pPr>
            <w:r>
              <w:rPr>
                <w:rFonts w:cs="宋体"/>
                <w:color w:val="auto"/>
                <w:sz w:val="21"/>
                <w:szCs w:val="20"/>
              </w:rPr>
              <w:t>131</w:t>
            </w:r>
          </w:p>
        </w:tc>
        <w:tc>
          <w:tcPr>
            <w:tcW w:w="1379" w:type="pct"/>
            <w:vMerge w:val="continue"/>
            <w:tcBorders>
              <w:tl2br w:val="nil"/>
              <w:tr2bl w:val="nil"/>
            </w:tcBorders>
            <w:vAlign w:val="center"/>
          </w:tcPr>
          <w:p w14:paraId="4287FC6B">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72B6083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P-E-1</w:t>
            </w:r>
          </w:p>
        </w:tc>
        <w:tc>
          <w:tcPr>
            <w:tcW w:w="545" w:type="pct"/>
            <w:tcBorders>
              <w:tl2br w:val="nil"/>
              <w:tr2bl w:val="nil"/>
            </w:tcBorders>
            <w:noWrap/>
            <w:vAlign w:val="center"/>
          </w:tcPr>
          <w:p w14:paraId="75A2AC5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39B6C179">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0867E3F">
            <w:pPr>
              <w:spacing w:line="240" w:lineRule="auto"/>
              <w:ind w:firstLine="0" w:firstLineChars="0"/>
              <w:jc w:val="center"/>
              <w:rPr>
                <w:rFonts w:cs="宋体"/>
                <w:color w:val="auto"/>
                <w:sz w:val="21"/>
                <w:szCs w:val="20"/>
              </w:rPr>
            </w:pPr>
          </w:p>
        </w:tc>
      </w:tr>
      <w:tr w14:paraId="17A9EB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5D8EF27B">
            <w:pPr>
              <w:widowControl/>
              <w:spacing w:line="240" w:lineRule="auto"/>
              <w:ind w:firstLine="0" w:firstLineChars="0"/>
              <w:jc w:val="center"/>
              <w:textAlignment w:val="center"/>
              <w:rPr>
                <w:rFonts w:cs="宋体"/>
                <w:color w:val="auto"/>
                <w:sz w:val="21"/>
                <w:szCs w:val="20"/>
              </w:rPr>
            </w:pPr>
            <w:r>
              <w:rPr>
                <w:rFonts w:cs="宋体"/>
                <w:color w:val="auto"/>
                <w:sz w:val="21"/>
                <w:szCs w:val="20"/>
              </w:rPr>
              <w:t>132</w:t>
            </w:r>
          </w:p>
        </w:tc>
        <w:tc>
          <w:tcPr>
            <w:tcW w:w="1379" w:type="pct"/>
            <w:vMerge w:val="continue"/>
            <w:tcBorders>
              <w:tl2br w:val="nil"/>
              <w:tr2bl w:val="nil"/>
            </w:tcBorders>
            <w:vAlign w:val="center"/>
          </w:tcPr>
          <w:p w14:paraId="0C82A894">
            <w:pPr>
              <w:spacing w:line="240" w:lineRule="auto"/>
              <w:ind w:firstLine="0" w:firstLineChars="0"/>
              <w:jc w:val="center"/>
              <w:rPr>
                <w:rFonts w:cs="宋体"/>
                <w:color w:val="auto"/>
                <w:sz w:val="21"/>
                <w:szCs w:val="20"/>
              </w:rPr>
            </w:pPr>
          </w:p>
        </w:tc>
        <w:tc>
          <w:tcPr>
            <w:tcW w:w="718" w:type="pct"/>
            <w:tcBorders>
              <w:tl2br w:val="nil"/>
              <w:tr2bl w:val="nil"/>
            </w:tcBorders>
            <w:noWrap/>
            <w:vAlign w:val="center"/>
          </w:tcPr>
          <w:p w14:paraId="14C820D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tcBorders>
              <w:tl2br w:val="nil"/>
              <w:tr2bl w:val="nil"/>
            </w:tcBorders>
            <w:noWrap/>
            <w:vAlign w:val="center"/>
          </w:tcPr>
          <w:p w14:paraId="216856D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5C6AD746">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06D69F1">
            <w:pPr>
              <w:spacing w:line="240" w:lineRule="auto"/>
              <w:ind w:firstLine="0" w:firstLineChars="0"/>
              <w:jc w:val="center"/>
              <w:rPr>
                <w:rFonts w:cs="宋体"/>
                <w:color w:val="auto"/>
                <w:sz w:val="21"/>
                <w:szCs w:val="20"/>
              </w:rPr>
            </w:pPr>
          </w:p>
        </w:tc>
      </w:tr>
      <w:tr w14:paraId="3EB512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605B6DDA">
            <w:pPr>
              <w:widowControl/>
              <w:spacing w:line="240" w:lineRule="auto"/>
              <w:ind w:firstLine="0" w:firstLineChars="0"/>
              <w:jc w:val="center"/>
              <w:textAlignment w:val="center"/>
              <w:rPr>
                <w:rFonts w:cs="宋体"/>
                <w:color w:val="auto"/>
                <w:sz w:val="21"/>
                <w:szCs w:val="20"/>
              </w:rPr>
            </w:pPr>
            <w:r>
              <w:rPr>
                <w:rFonts w:cs="宋体"/>
                <w:color w:val="auto"/>
                <w:sz w:val="21"/>
                <w:szCs w:val="20"/>
              </w:rPr>
              <w:t>133</w:t>
            </w:r>
          </w:p>
        </w:tc>
        <w:tc>
          <w:tcPr>
            <w:tcW w:w="1379" w:type="pct"/>
            <w:vMerge w:val="restart"/>
            <w:tcBorders>
              <w:tl2br w:val="nil"/>
              <w:tr2bl w:val="nil"/>
            </w:tcBorders>
            <w:vAlign w:val="center"/>
          </w:tcPr>
          <w:p w14:paraId="268036B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vMerge w:val="restart"/>
            <w:tcBorders>
              <w:tl2br w:val="nil"/>
              <w:tr2bl w:val="nil"/>
            </w:tcBorders>
            <w:noWrap/>
            <w:vAlign w:val="center"/>
          </w:tcPr>
          <w:p w14:paraId="21A4A17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3AA42B0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72F04FFD">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F57D70C">
            <w:pPr>
              <w:spacing w:line="240" w:lineRule="auto"/>
              <w:ind w:firstLine="0" w:firstLineChars="0"/>
              <w:jc w:val="center"/>
              <w:rPr>
                <w:rFonts w:cs="宋体"/>
                <w:color w:val="auto"/>
                <w:sz w:val="21"/>
                <w:szCs w:val="20"/>
              </w:rPr>
            </w:pPr>
          </w:p>
        </w:tc>
      </w:tr>
      <w:tr w14:paraId="3E4DA9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3ADFA256">
            <w:pPr>
              <w:widowControl/>
              <w:spacing w:line="240" w:lineRule="auto"/>
              <w:ind w:firstLine="0" w:firstLineChars="0"/>
              <w:jc w:val="center"/>
              <w:textAlignment w:val="center"/>
              <w:rPr>
                <w:rFonts w:cs="宋体"/>
                <w:color w:val="auto"/>
                <w:sz w:val="21"/>
                <w:szCs w:val="20"/>
              </w:rPr>
            </w:pPr>
            <w:r>
              <w:rPr>
                <w:rFonts w:cs="宋体"/>
                <w:color w:val="auto"/>
                <w:sz w:val="21"/>
                <w:szCs w:val="20"/>
              </w:rPr>
              <w:t>134</w:t>
            </w:r>
          </w:p>
        </w:tc>
        <w:tc>
          <w:tcPr>
            <w:tcW w:w="1379" w:type="pct"/>
            <w:vMerge w:val="continue"/>
            <w:tcBorders>
              <w:tl2br w:val="nil"/>
              <w:tr2bl w:val="nil"/>
            </w:tcBorders>
            <w:vAlign w:val="center"/>
          </w:tcPr>
          <w:p w14:paraId="71B7A5DC">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25473EF8">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D10D57B">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3854C777">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159D6ED">
            <w:pPr>
              <w:spacing w:line="240" w:lineRule="auto"/>
              <w:ind w:firstLine="0" w:firstLineChars="0"/>
              <w:jc w:val="center"/>
              <w:rPr>
                <w:rFonts w:cs="宋体"/>
                <w:color w:val="auto"/>
                <w:sz w:val="21"/>
                <w:szCs w:val="20"/>
              </w:rPr>
            </w:pPr>
          </w:p>
        </w:tc>
      </w:tr>
      <w:tr w14:paraId="231846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09B0E02A">
            <w:pPr>
              <w:widowControl/>
              <w:spacing w:line="240" w:lineRule="auto"/>
              <w:ind w:firstLine="0" w:firstLineChars="0"/>
              <w:jc w:val="center"/>
              <w:textAlignment w:val="center"/>
              <w:rPr>
                <w:rFonts w:cs="宋体"/>
                <w:color w:val="auto"/>
                <w:sz w:val="21"/>
                <w:szCs w:val="20"/>
              </w:rPr>
            </w:pPr>
            <w:r>
              <w:rPr>
                <w:rFonts w:cs="宋体"/>
                <w:color w:val="auto"/>
                <w:sz w:val="21"/>
                <w:szCs w:val="20"/>
              </w:rPr>
              <w:t>135</w:t>
            </w:r>
          </w:p>
        </w:tc>
        <w:tc>
          <w:tcPr>
            <w:tcW w:w="1379" w:type="pct"/>
            <w:vMerge w:val="restart"/>
            <w:tcBorders>
              <w:tl2br w:val="nil"/>
              <w:tr2bl w:val="nil"/>
            </w:tcBorders>
            <w:noWrap/>
            <w:vAlign w:val="center"/>
          </w:tcPr>
          <w:p w14:paraId="6937089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vMerge w:val="restart"/>
            <w:tcBorders>
              <w:tl2br w:val="nil"/>
              <w:tr2bl w:val="nil"/>
            </w:tcBorders>
            <w:noWrap/>
            <w:vAlign w:val="center"/>
          </w:tcPr>
          <w:p w14:paraId="375B5C9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1B005B4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restart"/>
            <w:tcBorders>
              <w:tl2br w:val="nil"/>
              <w:tr2bl w:val="nil"/>
            </w:tcBorders>
            <w:noWrap/>
            <w:vAlign w:val="center"/>
          </w:tcPr>
          <w:p w14:paraId="5DA37DB9">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4B10EE4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乙类仓库</w:t>
            </w:r>
          </w:p>
        </w:tc>
      </w:tr>
      <w:tr w14:paraId="19B861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5F763841">
            <w:pPr>
              <w:widowControl/>
              <w:spacing w:line="240" w:lineRule="auto"/>
              <w:ind w:firstLine="0" w:firstLineChars="0"/>
              <w:jc w:val="center"/>
              <w:textAlignment w:val="center"/>
              <w:rPr>
                <w:rFonts w:cs="宋体"/>
                <w:color w:val="auto"/>
                <w:sz w:val="21"/>
                <w:szCs w:val="20"/>
              </w:rPr>
            </w:pPr>
            <w:r>
              <w:rPr>
                <w:rFonts w:cs="宋体"/>
                <w:color w:val="auto"/>
                <w:sz w:val="21"/>
                <w:szCs w:val="20"/>
              </w:rPr>
              <w:t>136</w:t>
            </w:r>
          </w:p>
        </w:tc>
        <w:tc>
          <w:tcPr>
            <w:tcW w:w="1379" w:type="pct"/>
            <w:vMerge w:val="continue"/>
            <w:tcBorders>
              <w:tl2br w:val="nil"/>
              <w:tr2bl w:val="nil"/>
            </w:tcBorders>
            <w:noWrap/>
            <w:vAlign w:val="center"/>
          </w:tcPr>
          <w:p w14:paraId="38403BE4">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47FE1292">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147B7945">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1B44753B">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4D147234">
            <w:pPr>
              <w:spacing w:line="240" w:lineRule="auto"/>
              <w:ind w:firstLine="0" w:firstLineChars="0"/>
              <w:jc w:val="center"/>
              <w:rPr>
                <w:rFonts w:cs="宋体"/>
                <w:color w:val="auto"/>
                <w:sz w:val="21"/>
                <w:szCs w:val="20"/>
              </w:rPr>
            </w:pPr>
          </w:p>
        </w:tc>
      </w:tr>
      <w:tr w14:paraId="509F51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20AA5F07">
            <w:pPr>
              <w:widowControl/>
              <w:spacing w:line="240" w:lineRule="auto"/>
              <w:ind w:firstLine="0" w:firstLineChars="0"/>
              <w:jc w:val="center"/>
              <w:textAlignment w:val="center"/>
              <w:rPr>
                <w:rFonts w:cs="宋体"/>
                <w:color w:val="auto"/>
                <w:sz w:val="21"/>
                <w:szCs w:val="20"/>
              </w:rPr>
            </w:pPr>
            <w:r>
              <w:rPr>
                <w:rFonts w:cs="宋体"/>
                <w:color w:val="auto"/>
                <w:sz w:val="21"/>
                <w:szCs w:val="20"/>
              </w:rPr>
              <w:t>137</w:t>
            </w:r>
          </w:p>
        </w:tc>
        <w:tc>
          <w:tcPr>
            <w:tcW w:w="1379" w:type="pct"/>
            <w:tcBorders>
              <w:tl2br w:val="nil"/>
              <w:tr2bl w:val="nil"/>
            </w:tcBorders>
            <w:noWrap/>
            <w:vAlign w:val="center"/>
          </w:tcPr>
          <w:p w14:paraId="21E8D27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tcBorders>
              <w:tl2br w:val="nil"/>
              <w:tr2bl w:val="nil"/>
            </w:tcBorders>
            <w:noWrap/>
            <w:vAlign w:val="center"/>
          </w:tcPr>
          <w:p w14:paraId="1AD47CA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15D5993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63DFDF91">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67DDB6B">
            <w:pPr>
              <w:spacing w:line="240" w:lineRule="auto"/>
              <w:ind w:firstLine="0" w:firstLineChars="0"/>
              <w:jc w:val="center"/>
              <w:rPr>
                <w:rFonts w:cs="宋体"/>
                <w:color w:val="auto"/>
                <w:sz w:val="21"/>
                <w:szCs w:val="20"/>
              </w:rPr>
            </w:pPr>
          </w:p>
        </w:tc>
      </w:tr>
      <w:tr w14:paraId="4C1A39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5CDFC2F2">
            <w:pPr>
              <w:widowControl/>
              <w:spacing w:line="240" w:lineRule="auto"/>
              <w:ind w:firstLine="0" w:firstLineChars="0"/>
              <w:jc w:val="center"/>
              <w:textAlignment w:val="center"/>
              <w:rPr>
                <w:rFonts w:cs="宋体"/>
                <w:color w:val="auto"/>
                <w:sz w:val="21"/>
                <w:szCs w:val="20"/>
              </w:rPr>
            </w:pPr>
            <w:r>
              <w:rPr>
                <w:rFonts w:cs="宋体"/>
                <w:color w:val="auto"/>
                <w:sz w:val="21"/>
                <w:szCs w:val="20"/>
              </w:rPr>
              <w:t>138</w:t>
            </w:r>
          </w:p>
        </w:tc>
        <w:tc>
          <w:tcPr>
            <w:tcW w:w="1379" w:type="pct"/>
            <w:tcBorders>
              <w:tl2br w:val="nil"/>
              <w:tr2bl w:val="nil"/>
            </w:tcBorders>
            <w:noWrap/>
            <w:vAlign w:val="center"/>
          </w:tcPr>
          <w:p w14:paraId="7C07E2A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tcBorders>
              <w:tl2br w:val="nil"/>
              <w:tr2bl w:val="nil"/>
            </w:tcBorders>
            <w:noWrap/>
            <w:vAlign w:val="center"/>
          </w:tcPr>
          <w:p w14:paraId="1B4CC9D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006257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1副</w:t>
            </w:r>
          </w:p>
        </w:tc>
        <w:tc>
          <w:tcPr>
            <w:tcW w:w="958" w:type="pct"/>
            <w:vMerge w:val="continue"/>
            <w:tcBorders>
              <w:tl2br w:val="nil"/>
              <w:tr2bl w:val="nil"/>
            </w:tcBorders>
            <w:noWrap/>
            <w:vAlign w:val="center"/>
          </w:tcPr>
          <w:p w14:paraId="0DDE55C3">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2F848A72">
            <w:pPr>
              <w:spacing w:line="240" w:lineRule="auto"/>
              <w:ind w:firstLine="0" w:firstLineChars="0"/>
              <w:jc w:val="center"/>
              <w:rPr>
                <w:rFonts w:cs="宋体"/>
                <w:color w:val="auto"/>
                <w:sz w:val="21"/>
                <w:szCs w:val="20"/>
              </w:rPr>
            </w:pPr>
          </w:p>
        </w:tc>
      </w:tr>
      <w:tr w14:paraId="2E3CA9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643F6ADF">
            <w:pPr>
              <w:widowControl/>
              <w:spacing w:line="240" w:lineRule="auto"/>
              <w:ind w:firstLine="0" w:firstLineChars="0"/>
              <w:jc w:val="center"/>
              <w:textAlignment w:val="center"/>
              <w:rPr>
                <w:rFonts w:cs="宋体"/>
                <w:color w:val="auto"/>
                <w:sz w:val="21"/>
                <w:szCs w:val="20"/>
              </w:rPr>
            </w:pPr>
            <w:r>
              <w:rPr>
                <w:rFonts w:cs="宋体"/>
                <w:color w:val="auto"/>
                <w:sz w:val="21"/>
                <w:szCs w:val="20"/>
              </w:rPr>
              <w:t>139</w:t>
            </w:r>
          </w:p>
        </w:tc>
        <w:tc>
          <w:tcPr>
            <w:tcW w:w="1379" w:type="pct"/>
            <w:tcBorders>
              <w:tl2br w:val="nil"/>
              <w:tr2bl w:val="nil"/>
            </w:tcBorders>
            <w:vAlign w:val="center"/>
          </w:tcPr>
          <w:p w14:paraId="7EAF304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tcBorders>
              <w:tl2br w:val="nil"/>
              <w:tr2bl w:val="nil"/>
            </w:tcBorders>
            <w:noWrap/>
            <w:vAlign w:val="center"/>
          </w:tcPr>
          <w:p w14:paraId="6DF34CE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953B50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noWrap/>
            <w:vAlign w:val="center"/>
          </w:tcPr>
          <w:p w14:paraId="6D4D1E01">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135C7BDD">
            <w:pPr>
              <w:spacing w:line="240" w:lineRule="auto"/>
              <w:ind w:firstLine="0" w:firstLineChars="0"/>
              <w:jc w:val="center"/>
              <w:rPr>
                <w:rFonts w:cs="宋体"/>
                <w:color w:val="auto"/>
                <w:sz w:val="21"/>
                <w:szCs w:val="20"/>
              </w:rPr>
            </w:pPr>
          </w:p>
        </w:tc>
      </w:tr>
      <w:tr w14:paraId="1E12F3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049E191B">
            <w:pPr>
              <w:widowControl/>
              <w:spacing w:line="240" w:lineRule="auto"/>
              <w:ind w:firstLine="0" w:firstLineChars="0"/>
              <w:jc w:val="center"/>
              <w:textAlignment w:val="center"/>
              <w:rPr>
                <w:rFonts w:cs="宋体"/>
                <w:color w:val="auto"/>
                <w:sz w:val="21"/>
                <w:szCs w:val="20"/>
              </w:rPr>
            </w:pPr>
            <w:r>
              <w:rPr>
                <w:rFonts w:cs="宋体"/>
                <w:color w:val="auto"/>
                <w:sz w:val="21"/>
                <w:szCs w:val="20"/>
              </w:rPr>
              <w:t>140</w:t>
            </w:r>
          </w:p>
        </w:tc>
        <w:tc>
          <w:tcPr>
            <w:tcW w:w="1379" w:type="pct"/>
            <w:vMerge w:val="restart"/>
            <w:tcBorders>
              <w:tl2br w:val="nil"/>
              <w:tr2bl w:val="nil"/>
            </w:tcBorders>
            <w:vAlign w:val="center"/>
          </w:tcPr>
          <w:p w14:paraId="3CC1868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强光手电筒</w:t>
            </w:r>
          </w:p>
        </w:tc>
        <w:tc>
          <w:tcPr>
            <w:tcW w:w="718" w:type="pct"/>
            <w:vMerge w:val="restart"/>
            <w:tcBorders>
              <w:tl2br w:val="nil"/>
              <w:tr2bl w:val="nil"/>
            </w:tcBorders>
            <w:noWrap/>
            <w:vAlign w:val="center"/>
          </w:tcPr>
          <w:p w14:paraId="03BA4AE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3AA3D51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1F43966">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69AD7629">
            <w:pPr>
              <w:spacing w:line="240" w:lineRule="auto"/>
              <w:ind w:firstLine="0" w:firstLineChars="0"/>
              <w:jc w:val="center"/>
              <w:rPr>
                <w:rFonts w:cs="宋体"/>
                <w:color w:val="auto"/>
                <w:sz w:val="21"/>
                <w:szCs w:val="20"/>
              </w:rPr>
            </w:pPr>
          </w:p>
        </w:tc>
      </w:tr>
      <w:tr w14:paraId="31EB2A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023B373F">
            <w:pPr>
              <w:widowControl/>
              <w:spacing w:line="240" w:lineRule="auto"/>
              <w:ind w:firstLine="0" w:firstLineChars="0"/>
              <w:jc w:val="center"/>
              <w:textAlignment w:val="center"/>
              <w:rPr>
                <w:rFonts w:cs="宋体"/>
                <w:color w:val="auto"/>
                <w:sz w:val="21"/>
                <w:szCs w:val="20"/>
              </w:rPr>
            </w:pPr>
            <w:r>
              <w:rPr>
                <w:rFonts w:cs="宋体"/>
                <w:color w:val="auto"/>
                <w:sz w:val="21"/>
                <w:szCs w:val="20"/>
              </w:rPr>
              <w:t>141</w:t>
            </w:r>
          </w:p>
        </w:tc>
        <w:tc>
          <w:tcPr>
            <w:tcW w:w="1379" w:type="pct"/>
            <w:vMerge w:val="continue"/>
            <w:tcBorders>
              <w:tl2br w:val="nil"/>
              <w:tr2bl w:val="nil"/>
            </w:tcBorders>
            <w:vAlign w:val="center"/>
          </w:tcPr>
          <w:p w14:paraId="2DA4672F">
            <w:pPr>
              <w:spacing w:line="240" w:lineRule="auto"/>
              <w:ind w:firstLine="0" w:firstLineChars="0"/>
              <w:jc w:val="center"/>
              <w:rPr>
                <w:rFonts w:cs="宋体"/>
                <w:color w:val="auto"/>
                <w:sz w:val="21"/>
                <w:szCs w:val="20"/>
              </w:rPr>
            </w:pPr>
          </w:p>
        </w:tc>
        <w:tc>
          <w:tcPr>
            <w:tcW w:w="718" w:type="pct"/>
            <w:vMerge w:val="continue"/>
            <w:tcBorders>
              <w:tl2br w:val="nil"/>
              <w:tr2bl w:val="nil"/>
            </w:tcBorders>
            <w:noWrap/>
            <w:vAlign w:val="center"/>
          </w:tcPr>
          <w:p w14:paraId="3B73FB41">
            <w:pPr>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43B1CE28">
            <w:pPr>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36374A74">
            <w:pPr>
              <w:spacing w:line="240" w:lineRule="auto"/>
              <w:ind w:firstLine="0" w:firstLineChars="0"/>
              <w:jc w:val="center"/>
              <w:rPr>
                <w:rFonts w:cs="宋体"/>
                <w:color w:val="auto"/>
                <w:sz w:val="21"/>
                <w:szCs w:val="22"/>
              </w:rPr>
            </w:pPr>
          </w:p>
        </w:tc>
        <w:tc>
          <w:tcPr>
            <w:tcW w:w="980" w:type="pct"/>
            <w:vMerge w:val="continue"/>
            <w:tcBorders>
              <w:tl2br w:val="nil"/>
              <w:tr2bl w:val="nil"/>
            </w:tcBorders>
            <w:vAlign w:val="center"/>
          </w:tcPr>
          <w:p w14:paraId="50DDA328">
            <w:pPr>
              <w:spacing w:line="240" w:lineRule="auto"/>
              <w:ind w:firstLine="0" w:firstLineChars="0"/>
              <w:jc w:val="center"/>
              <w:rPr>
                <w:rFonts w:cs="宋体"/>
                <w:color w:val="auto"/>
                <w:sz w:val="21"/>
                <w:szCs w:val="20"/>
              </w:rPr>
            </w:pPr>
          </w:p>
        </w:tc>
      </w:tr>
      <w:tr w14:paraId="00240E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1661D707">
            <w:pPr>
              <w:widowControl/>
              <w:spacing w:line="240" w:lineRule="auto"/>
              <w:ind w:firstLine="0" w:firstLineChars="0"/>
              <w:jc w:val="center"/>
              <w:textAlignment w:val="center"/>
              <w:rPr>
                <w:rFonts w:cs="宋体"/>
                <w:color w:val="auto"/>
                <w:sz w:val="21"/>
                <w:szCs w:val="20"/>
              </w:rPr>
            </w:pPr>
            <w:r>
              <w:rPr>
                <w:rFonts w:cs="宋体"/>
                <w:color w:val="auto"/>
                <w:sz w:val="21"/>
                <w:szCs w:val="20"/>
              </w:rPr>
              <w:t>142</w:t>
            </w:r>
          </w:p>
        </w:tc>
        <w:tc>
          <w:tcPr>
            <w:tcW w:w="1379" w:type="pct"/>
            <w:tcBorders>
              <w:tl2br w:val="nil"/>
              <w:tr2bl w:val="nil"/>
            </w:tcBorders>
            <w:vAlign w:val="center"/>
          </w:tcPr>
          <w:p w14:paraId="4964D02F">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消防战斗服</w:t>
            </w:r>
          </w:p>
        </w:tc>
        <w:tc>
          <w:tcPr>
            <w:tcW w:w="718" w:type="pct"/>
            <w:tcBorders>
              <w:tl2br w:val="nil"/>
              <w:tr2bl w:val="nil"/>
            </w:tcBorders>
            <w:vAlign w:val="center"/>
          </w:tcPr>
          <w:p w14:paraId="4B71A4C7">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1E3C6D71">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16</w:t>
            </w:r>
          </w:p>
        </w:tc>
        <w:tc>
          <w:tcPr>
            <w:tcW w:w="958" w:type="pct"/>
            <w:tcBorders>
              <w:tl2br w:val="nil"/>
              <w:tr2bl w:val="nil"/>
            </w:tcBorders>
            <w:noWrap/>
            <w:vAlign w:val="center"/>
          </w:tcPr>
          <w:p w14:paraId="79DEC759">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63A07D9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微型消防站</w:t>
            </w:r>
          </w:p>
        </w:tc>
      </w:tr>
      <w:tr w14:paraId="591CEC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401AAE84">
            <w:pPr>
              <w:widowControl/>
              <w:spacing w:line="240" w:lineRule="auto"/>
              <w:ind w:firstLine="0" w:firstLineChars="0"/>
              <w:jc w:val="center"/>
              <w:textAlignment w:val="center"/>
              <w:rPr>
                <w:rFonts w:cs="宋体"/>
                <w:color w:val="auto"/>
                <w:sz w:val="21"/>
                <w:szCs w:val="20"/>
              </w:rPr>
            </w:pPr>
            <w:r>
              <w:rPr>
                <w:rFonts w:cs="宋体"/>
                <w:color w:val="auto"/>
                <w:sz w:val="21"/>
                <w:szCs w:val="20"/>
              </w:rPr>
              <w:t>143</w:t>
            </w:r>
          </w:p>
        </w:tc>
        <w:tc>
          <w:tcPr>
            <w:tcW w:w="1379" w:type="pct"/>
            <w:tcBorders>
              <w:tl2br w:val="nil"/>
              <w:tr2bl w:val="nil"/>
            </w:tcBorders>
            <w:vAlign w:val="center"/>
          </w:tcPr>
          <w:p w14:paraId="0693A790">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消防战斗帽</w:t>
            </w:r>
          </w:p>
        </w:tc>
        <w:tc>
          <w:tcPr>
            <w:tcW w:w="718" w:type="pct"/>
            <w:tcBorders>
              <w:tl2br w:val="nil"/>
              <w:tr2bl w:val="nil"/>
            </w:tcBorders>
            <w:vAlign w:val="center"/>
          </w:tcPr>
          <w:p w14:paraId="596B16CC">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6F8F76C0">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16</w:t>
            </w:r>
          </w:p>
        </w:tc>
        <w:tc>
          <w:tcPr>
            <w:tcW w:w="958" w:type="pct"/>
            <w:tcBorders>
              <w:tl2br w:val="nil"/>
              <w:tr2bl w:val="nil"/>
            </w:tcBorders>
            <w:noWrap/>
            <w:vAlign w:val="center"/>
          </w:tcPr>
          <w:p w14:paraId="4921CAB8">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65A66FEE">
            <w:pPr>
              <w:spacing w:line="240" w:lineRule="auto"/>
              <w:ind w:firstLine="0" w:firstLineChars="0"/>
              <w:jc w:val="center"/>
              <w:rPr>
                <w:rFonts w:cs="宋体"/>
                <w:color w:val="auto"/>
                <w:sz w:val="21"/>
                <w:szCs w:val="20"/>
              </w:rPr>
            </w:pPr>
          </w:p>
        </w:tc>
      </w:tr>
      <w:tr w14:paraId="581BC5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61A048F7">
            <w:pPr>
              <w:widowControl/>
              <w:spacing w:line="240" w:lineRule="auto"/>
              <w:ind w:firstLine="0" w:firstLineChars="0"/>
              <w:jc w:val="center"/>
              <w:textAlignment w:val="center"/>
              <w:rPr>
                <w:rFonts w:cs="宋体"/>
                <w:color w:val="auto"/>
                <w:sz w:val="21"/>
                <w:szCs w:val="20"/>
              </w:rPr>
            </w:pPr>
            <w:r>
              <w:rPr>
                <w:rFonts w:cs="宋体"/>
                <w:color w:val="auto"/>
                <w:sz w:val="21"/>
                <w:szCs w:val="20"/>
              </w:rPr>
              <w:t>144</w:t>
            </w:r>
          </w:p>
        </w:tc>
        <w:tc>
          <w:tcPr>
            <w:tcW w:w="1379" w:type="pct"/>
            <w:tcBorders>
              <w:tl2br w:val="nil"/>
              <w:tr2bl w:val="nil"/>
            </w:tcBorders>
            <w:vAlign w:val="center"/>
          </w:tcPr>
          <w:p w14:paraId="3E1828F4">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消防靴</w:t>
            </w:r>
          </w:p>
        </w:tc>
        <w:tc>
          <w:tcPr>
            <w:tcW w:w="718" w:type="pct"/>
            <w:tcBorders>
              <w:tl2br w:val="nil"/>
              <w:tr2bl w:val="nil"/>
            </w:tcBorders>
            <w:vAlign w:val="center"/>
          </w:tcPr>
          <w:p w14:paraId="62689BE7">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3EC64588">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12</w:t>
            </w:r>
          </w:p>
        </w:tc>
        <w:tc>
          <w:tcPr>
            <w:tcW w:w="958" w:type="pct"/>
            <w:tcBorders>
              <w:tl2br w:val="nil"/>
              <w:tr2bl w:val="nil"/>
            </w:tcBorders>
            <w:noWrap/>
            <w:vAlign w:val="center"/>
          </w:tcPr>
          <w:p w14:paraId="61E49D2F">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75711C44">
            <w:pPr>
              <w:spacing w:line="240" w:lineRule="auto"/>
              <w:ind w:firstLine="0" w:firstLineChars="0"/>
              <w:jc w:val="center"/>
              <w:rPr>
                <w:rFonts w:cs="宋体"/>
                <w:color w:val="auto"/>
                <w:sz w:val="21"/>
                <w:szCs w:val="20"/>
              </w:rPr>
            </w:pPr>
          </w:p>
        </w:tc>
      </w:tr>
      <w:tr w14:paraId="10C36E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417" w:type="pct"/>
            <w:tcBorders>
              <w:tl2br w:val="nil"/>
              <w:tr2bl w:val="nil"/>
            </w:tcBorders>
            <w:vAlign w:val="center"/>
          </w:tcPr>
          <w:p w14:paraId="4D4AE7A1">
            <w:pPr>
              <w:widowControl/>
              <w:spacing w:line="240" w:lineRule="auto"/>
              <w:ind w:firstLine="0" w:firstLineChars="0"/>
              <w:jc w:val="center"/>
              <w:textAlignment w:val="center"/>
              <w:rPr>
                <w:rFonts w:cs="宋体"/>
                <w:color w:val="auto"/>
                <w:sz w:val="21"/>
                <w:szCs w:val="20"/>
              </w:rPr>
            </w:pPr>
            <w:r>
              <w:rPr>
                <w:rFonts w:cs="宋体"/>
                <w:color w:val="auto"/>
                <w:sz w:val="21"/>
                <w:szCs w:val="20"/>
              </w:rPr>
              <w:t>145</w:t>
            </w:r>
          </w:p>
        </w:tc>
        <w:tc>
          <w:tcPr>
            <w:tcW w:w="1379" w:type="pct"/>
            <w:tcBorders>
              <w:tl2br w:val="nil"/>
              <w:tr2bl w:val="nil"/>
            </w:tcBorders>
            <w:vAlign w:val="center"/>
          </w:tcPr>
          <w:p w14:paraId="24DC7E3C">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长管防毒面具、滤毒罐</w:t>
            </w:r>
          </w:p>
        </w:tc>
        <w:tc>
          <w:tcPr>
            <w:tcW w:w="718" w:type="pct"/>
            <w:tcBorders>
              <w:tl2br w:val="nil"/>
              <w:tr2bl w:val="nil"/>
            </w:tcBorders>
            <w:vAlign w:val="center"/>
          </w:tcPr>
          <w:p w14:paraId="75511903">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20908228">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5</w:t>
            </w:r>
          </w:p>
        </w:tc>
        <w:tc>
          <w:tcPr>
            <w:tcW w:w="958" w:type="pct"/>
            <w:tcBorders>
              <w:tl2br w:val="nil"/>
              <w:tr2bl w:val="nil"/>
            </w:tcBorders>
            <w:noWrap/>
            <w:vAlign w:val="center"/>
          </w:tcPr>
          <w:p w14:paraId="0814EE54">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0803DFD0">
            <w:pPr>
              <w:spacing w:line="240" w:lineRule="auto"/>
              <w:ind w:firstLine="0" w:firstLineChars="0"/>
              <w:jc w:val="center"/>
              <w:rPr>
                <w:rFonts w:cs="宋体"/>
                <w:color w:val="auto"/>
                <w:sz w:val="21"/>
                <w:szCs w:val="20"/>
              </w:rPr>
            </w:pPr>
          </w:p>
        </w:tc>
      </w:tr>
      <w:tr w14:paraId="605236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417" w:type="pct"/>
            <w:tcBorders>
              <w:tl2br w:val="nil"/>
              <w:tr2bl w:val="nil"/>
            </w:tcBorders>
            <w:vAlign w:val="center"/>
          </w:tcPr>
          <w:p w14:paraId="12CDAB4D">
            <w:pPr>
              <w:widowControl/>
              <w:spacing w:line="240" w:lineRule="auto"/>
              <w:ind w:firstLine="0" w:firstLineChars="0"/>
              <w:jc w:val="center"/>
              <w:textAlignment w:val="center"/>
              <w:rPr>
                <w:rFonts w:cs="宋体"/>
                <w:color w:val="auto"/>
                <w:sz w:val="21"/>
                <w:szCs w:val="20"/>
              </w:rPr>
            </w:pPr>
            <w:r>
              <w:rPr>
                <w:rFonts w:cs="宋体"/>
                <w:color w:val="auto"/>
                <w:sz w:val="21"/>
                <w:szCs w:val="20"/>
              </w:rPr>
              <w:t>146</w:t>
            </w:r>
          </w:p>
        </w:tc>
        <w:tc>
          <w:tcPr>
            <w:tcW w:w="1379" w:type="pct"/>
            <w:tcBorders>
              <w:tl2br w:val="nil"/>
              <w:tr2bl w:val="nil"/>
            </w:tcBorders>
            <w:vAlign w:val="center"/>
          </w:tcPr>
          <w:p w14:paraId="0603ED8E">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半面罩过滤式面具</w:t>
            </w:r>
          </w:p>
        </w:tc>
        <w:tc>
          <w:tcPr>
            <w:tcW w:w="718" w:type="pct"/>
            <w:tcBorders>
              <w:tl2br w:val="nil"/>
              <w:tr2bl w:val="nil"/>
            </w:tcBorders>
            <w:vAlign w:val="center"/>
          </w:tcPr>
          <w:p w14:paraId="7BC6CEBC">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58B4C4AE">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5</w:t>
            </w:r>
          </w:p>
        </w:tc>
        <w:tc>
          <w:tcPr>
            <w:tcW w:w="958" w:type="pct"/>
            <w:tcBorders>
              <w:tl2br w:val="nil"/>
              <w:tr2bl w:val="nil"/>
            </w:tcBorders>
            <w:noWrap/>
            <w:vAlign w:val="center"/>
          </w:tcPr>
          <w:p w14:paraId="49ECDFB8">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56EA2899">
            <w:pPr>
              <w:spacing w:line="240" w:lineRule="auto"/>
              <w:ind w:firstLine="0" w:firstLineChars="0"/>
              <w:jc w:val="center"/>
              <w:rPr>
                <w:rFonts w:cs="宋体"/>
                <w:color w:val="auto"/>
                <w:sz w:val="21"/>
                <w:szCs w:val="20"/>
              </w:rPr>
            </w:pPr>
          </w:p>
        </w:tc>
      </w:tr>
      <w:tr w14:paraId="18FCB4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417" w:type="pct"/>
            <w:tcBorders>
              <w:tl2br w:val="nil"/>
              <w:tr2bl w:val="nil"/>
            </w:tcBorders>
            <w:vAlign w:val="center"/>
          </w:tcPr>
          <w:p w14:paraId="2310D997">
            <w:pPr>
              <w:widowControl/>
              <w:spacing w:line="240" w:lineRule="auto"/>
              <w:ind w:firstLine="0" w:firstLineChars="0"/>
              <w:jc w:val="center"/>
              <w:textAlignment w:val="center"/>
              <w:rPr>
                <w:rFonts w:cs="宋体"/>
                <w:color w:val="auto"/>
                <w:sz w:val="21"/>
                <w:szCs w:val="20"/>
              </w:rPr>
            </w:pPr>
            <w:r>
              <w:rPr>
                <w:rFonts w:cs="宋体"/>
                <w:color w:val="auto"/>
                <w:sz w:val="21"/>
                <w:szCs w:val="20"/>
              </w:rPr>
              <w:t>147</w:t>
            </w:r>
          </w:p>
        </w:tc>
        <w:tc>
          <w:tcPr>
            <w:tcW w:w="1379" w:type="pct"/>
            <w:tcBorders>
              <w:tl2br w:val="nil"/>
              <w:tr2bl w:val="nil"/>
            </w:tcBorders>
            <w:vAlign w:val="center"/>
          </w:tcPr>
          <w:p w14:paraId="6D0321B7">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送风式长管呼吸器</w:t>
            </w:r>
          </w:p>
        </w:tc>
        <w:tc>
          <w:tcPr>
            <w:tcW w:w="718" w:type="pct"/>
            <w:tcBorders>
              <w:tl2br w:val="nil"/>
              <w:tr2bl w:val="nil"/>
            </w:tcBorders>
            <w:vAlign w:val="center"/>
          </w:tcPr>
          <w:p w14:paraId="620608F4">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0B924710">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4032C71D">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06727C60">
            <w:pPr>
              <w:spacing w:line="240" w:lineRule="auto"/>
              <w:ind w:firstLine="0" w:firstLineChars="0"/>
              <w:jc w:val="center"/>
              <w:rPr>
                <w:rFonts w:cs="宋体"/>
                <w:color w:val="auto"/>
                <w:sz w:val="21"/>
                <w:szCs w:val="20"/>
              </w:rPr>
            </w:pPr>
          </w:p>
        </w:tc>
      </w:tr>
      <w:tr w14:paraId="48EDD5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A6D601B">
            <w:pPr>
              <w:widowControl/>
              <w:spacing w:line="240" w:lineRule="auto"/>
              <w:ind w:firstLine="0" w:firstLineChars="0"/>
              <w:jc w:val="center"/>
              <w:textAlignment w:val="center"/>
              <w:rPr>
                <w:rFonts w:cs="宋体"/>
                <w:color w:val="auto"/>
                <w:sz w:val="21"/>
                <w:szCs w:val="20"/>
              </w:rPr>
            </w:pPr>
            <w:r>
              <w:rPr>
                <w:rFonts w:cs="宋体"/>
                <w:color w:val="auto"/>
                <w:sz w:val="21"/>
                <w:szCs w:val="20"/>
              </w:rPr>
              <w:t>148</w:t>
            </w:r>
          </w:p>
        </w:tc>
        <w:tc>
          <w:tcPr>
            <w:tcW w:w="1379" w:type="pct"/>
            <w:tcBorders>
              <w:tl2br w:val="nil"/>
              <w:tr2bl w:val="nil"/>
            </w:tcBorders>
            <w:vAlign w:val="center"/>
          </w:tcPr>
          <w:p w14:paraId="14B30068">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救援三脚架</w:t>
            </w:r>
          </w:p>
        </w:tc>
        <w:tc>
          <w:tcPr>
            <w:tcW w:w="718" w:type="pct"/>
            <w:tcBorders>
              <w:tl2br w:val="nil"/>
              <w:tr2bl w:val="nil"/>
            </w:tcBorders>
            <w:vAlign w:val="center"/>
          </w:tcPr>
          <w:p w14:paraId="6ABCD229">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4264CB7C">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797BDAC5">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4792F998">
            <w:pPr>
              <w:spacing w:line="240" w:lineRule="auto"/>
              <w:ind w:firstLine="0" w:firstLineChars="0"/>
              <w:jc w:val="center"/>
              <w:rPr>
                <w:rFonts w:cs="宋体"/>
                <w:color w:val="auto"/>
                <w:sz w:val="21"/>
                <w:szCs w:val="20"/>
              </w:rPr>
            </w:pPr>
          </w:p>
        </w:tc>
      </w:tr>
      <w:tr w14:paraId="31A299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2431AEC5">
            <w:pPr>
              <w:widowControl/>
              <w:spacing w:line="240" w:lineRule="auto"/>
              <w:ind w:firstLine="0" w:firstLineChars="0"/>
              <w:jc w:val="center"/>
              <w:textAlignment w:val="center"/>
              <w:rPr>
                <w:rFonts w:cs="宋体"/>
                <w:color w:val="auto"/>
                <w:sz w:val="21"/>
                <w:szCs w:val="20"/>
              </w:rPr>
            </w:pPr>
            <w:r>
              <w:rPr>
                <w:rFonts w:cs="宋体"/>
                <w:color w:val="auto"/>
                <w:sz w:val="21"/>
                <w:szCs w:val="20"/>
              </w:rPr>
              <w:t>149</w:t>
            </w:r>
          </w:p>
        </w:tc>
        <w:tc>
          <w:tcPr>
            <w:tcW w:w="1379" w:type="pct"/>
            <w:tcBorders>
              <w:tl2br w:val="nil"/>
              <w:tr2bl w:val="nil"/>
            </w:tcBorders>
            <w:vAlign w:val="center"/>
          </w:tcPr>
          <w:p w14:paraId="18036C40">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缓降器</w:t>
            </w:r>
          </w:p>
        </w:tc>
        <w:tc>
          <w:tcPr>
            <w:tcW w:w="718" w:type="pct"/>
            <w:tcBorders>
              <w:tl2br w:val="nil"/>
              <w:tr2bl w:val="nil"/>
            </w:tcBorders>
            <w:vAlign w:val="center"/>
          </w:tcPr>
          <w:p w14:paraId="3ADEBE00">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3EFE5624">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3A6815CA">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196D2EF7">
            <w:pPr>
              <w:spacing w:line="240" w:lineRule="auto"/>
              <w:ind w:firstLine="0" w:firstLineChars="0"/>
              <w:jc w:val="center"/>
              <w:rPr>
                <w:rFonts w:cs="宋体"/>
                <w:color w:val="auto"/>
                <w:sz w:val="21"/>
                <w:szCs w:val="20"/>
              </w:rPr>
            </w:pPr>
          </w:p>
        </w:tc>
      </w:tr>
      <w:tr w14:paraId="4ED9D5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6" w:hRule="atLeast"/>
          <w:jc w:val="center"/>
        </w:trPr>
        <w:tc>
          <w:tcPr>
            <w:tcW w:w="417" w:type="pct"/>
            <w:tcBorders>
              <w:tl2br w:val="nil"/>
              <w:tr2bl w:val="nil"/>
            </w:tcBorders>
            <w:vAlign w:val="center"/>
          </w:tcPr>
          <w:p w14:paraId="1D81B600">
            <w:pPr>
              <w:widowControl/>
              <w:spacing w:line="240" w:lineRule="auto"/>
              <w:ind w:firstLine="0" w:firstLineChars="0"/>
              <w:jc w:val="center"/>
              <w:textAlignment w:val="center"/>
              <w:rPr>
                <w:rFonts w:cs="宋体"/>
                <w:color w:val="auto"/>
                <w:sz w:val="21"/>
                <w:szCs w:val="20"/>
              </w:rPr>
            </w:pPr>
            <w:r>
              <w:rPr>
                <w:rFonts w:cs="宋体"/>
                <w:color w:val="auto"/>
                <w:sz w:val="21"/>
                <w:szCs w:val="20"/>
              </w:rPr>
              <w:t>150</w:t>
            </w:r>
          </w:p>
        </w:tc>
        <w:tc>
          <w:tcPr>
            <w:tcW w:w="1379" w:type="pct"/>
            <w:tcBorders>
              <w:tl2br w:val="nil"/>
              <w:tr2bl w:val="nil"/>
            </w:tcBorders>
            <w:vAlign w:val="center"/>
          </w:tcPr>
          <w:p w14:paraId="40A59135">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消防过滤式自救呼吸器</w:t>
            </w:r>
          </w:p>
        </w:tc>
        <w:tc>
          <w:tcPr>
            <w:tcW w:w="718" w:type="pct"/>
            <w:tcBorders>
              <w:tl2br w:val="nil"/>
              <w:tr2bl w:val="nil"/>
            </w:tcBorders>
            <w:vAlign w:val="center"/>
          </w:tcPr>
          <w:p w14:paraId="5079AAB9">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6B1F6DA2">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4</w:t>
            </w:r>
          </w:p>
        </w:tc>
        <w:tc>
          <w:tcPr>
            <w:tcW w:w="958" w:type="pct"/>
            <w:tcBorders>
              <w:tl2br w:val="nil"/>
              <w:tr2bl w:val="nil"/>
            </w:tcBorders>
            <w:noWrap/>
            <w:vAlign w:val="center"/>
          </w:tcPr>
          <w:p w14:paraId="50426B2D">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51796C70">
            <w:pPr>
              <w:spacing w:line="240" w:lineRule="auto"/>
              <w:ind w:firstLine="0" w:firstLineChars="0"/>
              <w:jc w:val="center"/>
              <w:rPr>
                <w:rFonts w:cs="宋体"/>
                <w:color w:val="auto"/>
                <w:sz w:val="21"/>
                <w:szCs w:val="20"/>
              </w:rPr>
            </w:pPr>
          </w:p>
        </w:tc>
      </w:tr>
      <w:tr w14:paraId="2D0305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CF42818">
            <w:pPr>
              <w:widowControl/>
              <w:spacing w:line="240" w:lineRule="auto"/>
              <w:ind w:firstLine="0" w:firstLineChars="0"/>
              <w:jc w:val="center"/>
              <w:textAlignment w:val="center"/>
              <w:rPr>
                <w:rFonts w:cs="宋体"/>
                <w:color w:val="auto"/>
                <w:sz w:val="21"/>
                <w:szCs w:val="20"/>
              </w:rPr>
            </w:pPr>
            <w:r>
              <w:rPr>
                <w:rFonts w:cs="宋体"/>
                <w:color w:val="auto"/>
                <w:sz w:val="21"/>
                <w:szCs w:val="20"/>
              </w:rPr>
              <w:t>151</w:t>
            </w:r>
          </w:p>
        </w:tc>
        <w:tc>
          <w:tcPr>
            <w:tcW w:w="1379" w:type="pct"/>
            <w:tcBorders>
              <w:tl2br w:val="nil"/>
              <w:tr2bl w:val="nil"/>
            </w:tcBorders>
            <w:vAlign w:val="center"/>
          </w:tcPr>
          <w:p w14:paraId="398BC510">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救生软梯</w:t>
            </w:r>
          </w:p>
        </w:tc>
        <w:tc>
          <w:tcPr>
            <w:tcW w:w="718" w:type="pct"/>
            <w:tcBorders>
              <w:tl2br w:val="nil"/>
              <w:tr2bl w:val="nil"/>
            </w:tcBorders>
            <w:vAlign w:val="center"/>
          </w:tcPr>
          <w:p w14:paraId="3AC5E7C9">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33A4B862">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460F27BF">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3F97ECF5">
            <w:pPr>
              <w:spacing w:line="240" w:lineRule="auto"/>
              <w:ind w:firstLine="0" w:firstLineChars="0"/>
              <w:jc w:val="center"/>
              <w:rPr>
                <w:rFonts w:cs="宋体"/>
                <w:color w:val="auto"/>
                <w:sz w:val="21"/>
                <w:szCs w:val="20"/>
              </w:rPr>
            </w:pPr>
          </w:p>
        </w:tc>
      </w:tr>
      <w:tr w14:paraId="1326F5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2FC68B8">
            <w:pPr>
              <w:widowControl/>
              <w:spacing w:line="240" w:lineRule="auto"/>
              <w:ind w:firstLine="0" w:firstLineChars="0"/>
              <w:jc w:val="center"/>
              <w:textAlignment w:val="center"/>
              <w:rPr>
                <w:rFonts w:cs="宋体"/>
                <w:color w:val="auto"/>
                <w:sz w:val="21"/>
                <w:szCs w:val="20"/>
              </w:rPr>
            </w:pPr>
            <w:r>
              <w:rPr>
                <w:rFonts w:cs="宋体"/>
                <w:color w:val="auto"/>
                <w:sz w:val="21"/>
                <w:szCs w:val="20"/>
              </w:rPr>
              <w:t>152</w:t>
            </w:r>
          </w:p>
        </w:tc>
        <w:tc>
          <w:tcPr>
            <w:tcW w:w="1379" w:type="pct"/>
            <w:tcBorders>
              <w:tl2br w:val="nil"/>
              <w:tr2bl w:val="nil"/>
            </w:tcBorders>
            <w:vAlign w:val="center"/>
          </w:tcPr>
          <w:p w14:paraId="55627993">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警戒带</w:t>
            </w:r>
          </w:p>
        </w:tc>
        <w:tc>
          <w:tcPr>
            <w:tcW w:w="718" w:type="pct"/>
            <w:tcBorders>
              <w:tl2br w:val="nil"/>
              <w:tr2bl w:val="nil"/>
            </w:tcBorders>
            <w:vAlign w:val="center"/>
          </w:tcPr>
          <w:p w14:paraId="347A3026">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6047489E">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5</w:t>
            </w:r>
          </w:p>
        </w:tc>
        <w:tc>
          <w:tcPr>
            <w:tcW w:w="958" w:type="pct"/>
            <w:tcBorders>
              <w:tl2br w:val="nil"/>
              <w:tr2bl w:val="nil"/>
            </w:tcBorders>
            <w:noWrap/>
            <w:vAlign w:val="center"/>
          </w:tcPr>
          <w:p w14:paraId="54CCE296">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621A62E4">
            <w:pPr>
              <w:spacing w:line="240" w:lineRule="auto"/>
              <w:ind w:firstLine="0" w:firstLineChars="0"/>
              <w:jc w:val="center"/>
              <w:rPr>
                <w:rFonts w:cs="宋体"/>
                <w:color w:val="auto"/>
                <w:sz w:val="21"/>
                <w:szCs w:val="20"/>
              </w:rPr>
            </w:pPr>
          </w:p>
        </w:tc>
      </w:tr>
      <w:tr w14:paraId="2E4628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166C8E9E">
            <w:pPr>
              <w:widowControl/>
              <w:spacing w:line="240" w:lineRule="auto"/>
              <w:ind w:firstLine="0" w:firstLineChars="0"/>
              <w:jc w:val="center"/>
              <w:textAlignment w:val="center"/>
              <w:rPr>
                <w:rFonts w:cs="宋体"/>
                <w:color w:val="auto"/>
                <w:sz w:val="21"/>
                <w:szCs w:val="20"/>
              </w:rPr>
            </w:pPr>
            <w:r>
              <w:rPr>
                <w:rFonts w:cs="宋体"/>
                <w:color w:val="auto"/>
                <w:sz w:val="21"/>
                <w:szCs w:val="20"/>
              </w:rPr>
              <w:t>153</w:t>
            </w:r>
          </w:p>
        </w:tc>
        <w:tc>
          <w:tcPr>
            <w:tcW w:w="1379" w:type="pct"/>
            <w:tcBorders>
              <w:tl2br w:val="nil"/>
              <w:tr2bl w:val="nil"/>
            </w:tcBorders>
            <w:vAlign w:val="center"/>
          </w:tcPr>
          <w:p w14:paraId="3A1E595C">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安全绳</w:t>
            </w:r>
          </w:p>
        </w:tc>
        <w:tc>
          <w:tcPr>
            <w:tcW w:w="718" w:type="pct"/>
            <w:tcBorders>
              <w:tl2br w:val="nil"/>
              <w:tr2bl w:val="nil"/>
            </w:tcBorders>
            <w:vAlign w:val="center"/>
          </w:tcPr>
          <w:p w14:paraId="241F15D0">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2DD13B10">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5462E99F">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529DC92B">
            <w:pPr>
              <w:spacing w:line="240" w:lineRule="auto"/>
              <w:ind w:firstLine="0" w:firstLineChars="0"/>
              <w:jc w:val="center"/>
              <w:rPr>
                <w:rFonts w:cs="宋体"/>
                <w:color w:val="auto"/>
                <w:sz w:val="21"/>
                <w:szCs w:val="20"/>
              </w:rPr>
            </w:pPr>
          </w:p>
        </w:tc>
      </w:tr>
      <w:tr w14:paraId="459225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150B8595">
            <w:pPr>
              <w:widowControl/>
              <w:spacing w:line="240" w:lineRule="auto"/>
              <w:ind w:firstLine="0" w:firstLineChars="0"/>
              <w:jc w:val="center"/>
              <w:textAlignment w:val="center"/>
              <w:rPr>
                <w:rFonts w:cs="宋体"/>
                <w:color w:val="auto"/>
                <w:sz w:val="21"/>
                <w:szCs w:val="20"/>
              </w:rPr>
            </w:pPr>
            <w:r>
              <w:rPr>
                <w:rFonts w:cs="宋体"/>
                <w:color w:val="auto"/>
                <w:sz w:val="21"/>
                <w:szCs w:val="20"/>
              </w:rPr>
              <w:t>154</w:t>
            </w:r>
          </w:p>
        </w:tc>
        <w:tc>
          <w:tcPr>
            <w:tcW w:w="1379" w:type="pct"/>
            <w:tcBorders>
              <w:tl2br w:val="nil"/>
              <w:tr2bl w:val="nil"/>
            </w:tcBorders>
            <w:vAlign w:val="center"/>
          </w:tcPr>
          <w:p w14:paraId="5927A083">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安全带</w:t>
            </w:r>
          </w:p>
        </w:tc>
        <w:tc>
          <w:tcPr>
            <w:tcW w:w="718" w:type="pct"/>
            <w:tcBorders>
              <w:tl2br w:val="nil"/>
              <w:tr2bl w:val="nil"/>
            </w:tcBorders>
            <w:vAlign w:val="center"/>
          </w:tcPr>
          <w:p w14:paraId="30554963">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08D3D05C">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5</w:t>
            </w:r>
          </w:p>
        </w:tc>
        <w:tc>
          <w:tcPr>
            <w:tcW w:w="958" w:type="pct"/>
            <w:tcBorders>
              <w:tl2br w:val="nil"/>
              <w:tr2bl w:val="nil"/>
            </w:tcBorders>
            <w:noWrap/>
            <w:vAlign w:val="center"/>
          </w:tcPr>
          <w:p w14:paraId="2825348B">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0306FE48">
            <w:pPr>
              <w:spacing w:line="240" w:lineRule="auto"/>
              <w:ind w:firstLine="0" w:firstLineChars="0"/>
              <w:jc w:val="center"/>
              <w:rPr>
                <w:rFonts w:cs="宋体"/>
                <w:color w:val="auto"/>
                <w:sz w:val="21"/>
                <w:szCs w:val="20"/>
              </w:rPr>
            </w:pPr>
          </w:p>
        </w:tc>
      </w:tr>
      <w:tr w14:paraId="7AAA1A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7B08D241">
            <w:pPr>
              <w:widowControl/>
              <w:spacing w:line="240" w:lineRule="auto"/>
              <w:ind w:firstLine="0" w:firstLineChars="0"/>
              <w:jc w:val="center"/>
              <w:textAlignment w:val="center"/>
              <w:rPr>
                <w:rFonts w:cs="宋体"/>
                <w:color w:val="auto"/>
                <w:sz w:val="21"/>
                <w:szCs w:val="20"/>
              </w:rPr>
            </w:pPr>
            <w:r>
              <w:rPr>
                <w:rFonts w:cs="宋体"/>
                <w:color w:val="auto"/>
                <w:sz w:val="21"/>
                <w:szCs w:val="20"/>
              </w:rPr>
              <w:t>155</w:t>
            </w:r>
          </w:p>
        </w:tc>
        <w:tc>
          <w:tcPr>
            <w:tcW w:w="1379" w:type="pct"/>
            <w:tcBorders>
              <w:tl2br w:val="nil"/>
              <w:tr2bl w:val="nil"/>
            </w:tcBorders>
            <w:vAlign w:val="center"/>
          </w:tcPr>
          <w:p w14:paraId="53A9BE24">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洗消帐篷</w:t>
            </w:r>
          </w:p>
        </w:tc>
        <w:tc>
          <w:tcPr>
            <w:tcW w:w="718" w:type="pct"/>
            <w:tcBorders>
              <w:tl2br w:val="nil"/>
              <w:tr2bl w:val="nil"/>
            </w:tcBorders>
            <w:vAlign w:val="center"/>
          </w:tcPr>
          <w:p w14:paraId="47E392E2">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7D38EA40">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70C2731B">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36B90BB5">
            <w:pPr>
              <w:spacing w:line="240" w:lineRule="auto"/>
              <w:ind w:firstLine="0" w:firstLineChars="0"/>
              <w:jc w:val="center"/>
              <w:rPr>
                <w:rFonts w:cs="宋体"/>
                <w:color w:val="auto"/>
                <w:sz w:val="21"/>
                <w:szCs w:val="20"/>
              </w:rPr>
            </w:pPr>
          </w:p>
        </w:tc>
      </w:tr>
      <w:tr w14:paraId="2464BB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37CB2DE0">
            <w:pPr>
              <w:widowControl/>
              <w:spacing w:line="240" w:lineRule="auto"/>
              <w:ind w:firstLine="0" w:firstLineChars="0"/>
              <w:jc w:val="center"/>
              <w:textAlignment w:val="center"/>
              <w:rPr>
                <w:rFonts w:cs="宋体"/>
                <w:color w:val="auto"/>
                <w:sz w:val="21"/>
                <w:szCs w:val="20"/>
              </w:rPr>
            </w:pPr>
            <w:r>
              <w:rPr>
                <w:rFonts w:cs="宋体"/>
                <w:color w:val="auto"/>
                <w:sz w:val="21"/>
                <w:szCs w:val="20"/>
              </w:rPr>
              <w:t>156</w:t>
            </w:r>
          </w:p>
        </w:tc>
        <w:tc>
          <w:tcPr>
            <w:tcW w:w="1379" w:type="pct"/>
            <w:tcBorders>
              <w:tl2br w:val="nil"/>
              <w:tr2bl w:val="nil"/>
            </w:tcBorders>
            <w:vAlign w:val="center"/>
          </w:tcPr>
          <w:p w14:paraId="6D9B2BA5">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手动破拆工具组</w:t>
            </w:r>
          </w:p>
        </w:tc>
        <w:tc>
          <w:tcPr>
            <w:tcW w:w="718" w:type="pct"/>
            <w:tcBorders>
              <w:tl2br w:val="nil"/>
              <w:tr2bl w:val="nil"/>
            </w:tcBorders>
            <w:vAlign w:val="center"/>
          </w:tcPr>
          <w:p w14:paraId="51AC9B53">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7C6EF9C7">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49AAC22C">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66B9CA74">
            <w:pPr>
              <w:spacing w:line="240" w:lineRule="auto"/>
              <w:ind w:firstLine="0" w:firstLineChars="0"/>
              <w:jc w:val="center"/>
              <w:rPr>
                <w:rFonts w:cs="宋体"/>
                <w:color w:val="auto"/>
                <w:sz w:val="21"/>
                <w:szCs w:val="20"/>
              </w:rPr>
            </w:pPr>
          </w:p>
        </w:tc>
      </w:tr>
      <w:tr w14:paraId="439A34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437C0DAD">
            <w:pPr>
              <w:widowControl/>
              <w:spacing w:line="240" w:lineRule="auto"/>
              <w:ind w:firstLine="0" w:firstLineChars="0"/>
              <w:jc w:val="center"/>
              <w:textAlignment w:val="center"/>
              <w:rPr>
                <w:rFonts w:cs="宋体"/>
                <w:color w:val="auto"/>
                <w:sz w:val="21"/>
                <w:szCs w:val="20"/>
              </w:rPr>
            </w:pPr>
            <w:r>
              <w:rPr>
                <w:rFonts w:cs="宋体"/>
                <w:color w:val="auto"/>
                <w:sz w:val="21"/>
                <w:szCs w:val="20"/>
              </w:rPr>
              <w:t>157</w:t>
            </w:r>
          </w:p>
        </w:tc>
        <w:tc>
          <w:tcPr>
            <w:tcW w:w="1379" w:type="pct"/>
            <w:tcBorders>
              <w:tl2br w:val="nil"/>
              <w:tr2bl w:val="nil"/>
            </w:tcBorders>
            <w:vAlign w:val="center"/>
          </w:tcPr>
          <w:p w14:paraId="7AAF410C">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防爆手电筒</w:t>
            </w:r>
          </w:p>
        </w:tc>
        <w:tc>
          <w:tcPr>
            <w:tcW w:w="718" w:type="pct"/>
            <w:tcBorders>
              <w:tl2br w:val="nil"/>
              <w:tr2bl w:val="nil"/>
            </w:tcBorders>
            <w:vAlign w:val="center"/>
          </w:tcPr>
          <w:p w14:paraId="3A8636EF">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3CE74D07">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23</w:t>
            </w:r>
          </w:p>
        </w:tc>
        <w:tc>
          <w:tcPr>
            <w:tcW w:w="958" w:type="pct"/>
            <w:tcBorders>
              <w:tl2br w:val="nil"/>
              <w:tr2bl w:val="nil"/>
            </w:tcBorders>
            <w:noWrap/>
            <w:vAlign w:val="center"/>
          </w:tcPr>
          <w:p w14:paraId="2E02805F">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78326EDE">
            <w:pPr>
              <w:spacing w:line="240" w:lineRule="auto"/>
              <w:ind w:firstLine="0" w:firstLineChars="0"/>
              <w:jc w:val="center"/>
              <w:rPr>
                <w:rFonts w:cs="宋体"/>
                <w:color w:val="auto"/>
                <w:sz w:val="21"/>
                <w:szCs w:val="20"/>
              </w:rPr>
            </w:pPr>
          </w:p>
        </w:tc>
      </w:tr>
      <w:tr w14:paraId="128399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0F0DD7D6">
            <w:pPr>
              <w:widowControl/>
              <w:spacing w:line="240" w:lineRule="auto"/>
              <w:ind w:firstLine="0" w:firstLineChars="0"/>
              <w:jc w:val="center"/>
              <w:textAlignment w:val="center"/>
              <w:rPr>
                <w:rFonts w:cs="宋体"/>
                <w:color w:val="auto"/>
                <w:sz w:val="21"/>
                <w:szCs w:val="20"/>
              </w:rPr>
            </w:pPr>
            <w:r>
              <w:rPr>
                <w:rFonts w:cs="宋体"/>
                <w:color w:val="auto"/>
                <w:sz w:val="21"/>
                <w:szCs w:val="20"/>
              </w:rPr>
              <w:t>158</w:t>
            </w:r>
          </w:p>
        </w:tc>
        <w:tc>
          <w:tcPr>
            <w:tcW w:w="1379" w:type="pct"/>
            <w:tcBorders>
              <w:tl2br w:val="nil"/>
              <w:tr2bl w:val="nil"/>
            </w:tcBorders>
            <w:vAlign w:val="center"/>
          </w:tcPr>
          <w:p w14:paraId="37A4AF38">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防化服（重型）</w:t>
            </w:r>
          </w:p>
        </w:tc>
        <w:tc>
          <w:tcPr>
            <w:tcW w:w="718" w:type="pct"/>
            <w:tcBorders>
              <w:tl2br w:val="nil"/>
              <w:tr2bl w:val="nil"/>
            </w:tcBorders>
            <w:vAlign w:val="center"/>
          </w:tcPr>
          <w:p w14:paraId="4370FB1E">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76FE1560">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46BB1230">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39F41EA6">
            <w:pPr>
              <w:spacing w:line="240" w:lineRule="auto"/>
              <w:ind w:firstLine="0" w:firstLineChars="0"/>
              <w:jc w:val="center"/>
              <w:rPr>
                <w:rFonts w:cs="宋体"/>
                <w:color w:val="auto"/>
                <w:sz w:val="21"/>
                <w:szCs w:val="20"/>
              </w:rPr>
            </w:pPr>
          </w:p>
        </w:tc>
      </w:tr>
      <w:tr w14:paraId="5447CC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1550B6BF">
            <w:pPr>
              <w:widowControl/>
              <w:spacing w:line="240" w:lineRule="auto"/>
              <w:ind w:firstLine="0" w:firstLineChars="0"/>
              <w:jc w:val="center"/>
              <w:textAlignment w:val="center"/>
              <w:rPr>
                <w:rFonts w:cs="宋体"/>
                <w:color w:val="auto"/>
                <w:sz w:val="21"/>
                <w:szCs w:val="20"/>
              </w:rPr>
            </w:pPr>
            <w:r>
              <w:rPr>
                <w:rFonts w:cs="宋体"/>
                <w:color w:val="auto"/>
                <w:sz w:val="21"/>
                <w:szCs w:val="20"/>
              </w:rPr>
              <w:t>159</w:t>
            </w:r>
          </w:p>
        </w:tc>
        <w:tc>
          <w:tcPr>
            <w:tcW w:w="1379" w:type="pct"/>
            <w:tcBorders>
              <w:tl2br w:val="nil"/>
              <w:tr2bl w:val="nil"/>
            </w:tcBorders>
            <w:vAlign w:val="center"/>
          </w:tcPr>
          <w:p w14:paraId="5481ED47">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防化服（轻型）</w:t>
            </w:r>
          </w:p>
        </w:tc>
        <w:tc>
          <w:tcPr>
            <w:tcW w:w="718" w:type="pct"/>
            <w:tcBorders>
              <w:tl2br w:val="nil"/>
              <w:tr2bl w:val="nil"/>
            </w:tcBorders>
            <w:vAlign w:val="center"/>
          </w:tcPr>
          <w:p w14:paraId="560C8503">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242EFFC2">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7992E1DC">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5A66BF4F">
            <w:pPr>
              <w:spacing w:line="240" w:lineRule="auto"/>
              <w:ind w:firstLine="0" w:firstLineChars="0"/>
              <w:jc w:val="center"/>
              <w:rPr>
                <w:rFonts w:cs="宋体"/>
                <w:color w:val="auto"/>
                <w:sz w:val="21"/>
                <w:szCs w:val="20"/>
              </w:rPr>
            </w:pPr>
          </w:p>
        </w:tc>
      </w:tr>
      <w:tr w14:paraId="4907CE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195E25DF">
            <w:pPr>
              <w:widowControl/>
              <w:spacing w:line="240" w:lineRule="auto"/>
              <w:ind w:firstLine="0" w:firstLineChars="0"/>
              <w:jc w:val="center"/>
              <w:textAlignment w:val="center"/>
              <w:rPr>
                <w:rFonts w:cs="宋体"/>
                <w:color w:val="auto"/>
                <w:sz w:val="21"/>
                <w:szCs w:val="20"/>
              </w:rPr>
            </w:pPr>
            <w:r>
              <w:rPr>
                <w:rFonts w:cs="宋体"/>
                <w:color w:val="auto"/>
                <w:sz w:val="21"/>
                <w:szCs w:val="20"/>
              </w:rPr>
              <w:t>160</w:t>
            </w:r>
          </w:p>
        </w:tc>
        <w:tc>
          <w:tcPr>
            <w:tcW w:w="1379" w:type="pct"/>
            <w:tcBorders>
              <w:tl2br w:val="nil"/>
              <w:tr2bl w:val="nil"/>
            </w:tcBorders>
            <w:vAlign w:val="center"/>
          </w:tcPr>
          <w:p w14:paraId="73A4D527">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耐酸碱服</w:t>
            </w:r>
          </w:p>
        </w:tc>
        <w:tc>
          <w:tcPr>
            <w:tcW w:w="718" w:type="pct"/>
            <w:tcBorders>
              <w:tl2br w:val="nil"/>
              <w:tr2bl w:val="nil"/>
            </w:tcBorders>
            <w:vAlign w:val="center"/>
          </w:tcPr>
          <w:p w14:paraId="2575BACB">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7FD012D6">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4</w:t>
            </w:r>
          </w:p>
        </w:tc>
        <w:tc>
          <w:tcPr>
            <w:tcW w:w="958" w:type="pct"/>
            <w:tcBorders>
              <w:tl2br w:val="nil"/>
              <w:tr2bl w:val="nil"/>
            </w:tcBorders>
            <w:noWrap/>
            <w:vAlign w:val="center"/>
          </w:tcPr>
          <w:p w14:paraId="0CFE208C">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4692EDCF">
            <w:pPr>
              <w:spacing w:line="240" w:lineRule="auto"/>
              <w:ind w:firstLine="0" w:firstLineChars="0"/>
              <w:jc w:val="center"/>
              <w:rPr>
                <w:rFonts w:cs="宋体"/>
                <w:color w:val="auto"/>
                <w:sz w:val="21"/>
                <w:szCs w:val="20"/>
              </w:rPr>
            </w:pPr>
          </w:p>
        </w:tc>
      </w:tr>
      <w:tr w14:paraId="6156D7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417" w:type="pct"/>
            <w:tcBorders>
              <w:tl2br w:val="nil"/>
              <w:tr2bl w:val="nil"/>
            </w:tcBorders>
            <w:vAlign w:val="center"/>
          </w:tcPr>
          <w:p w14:paraId="1F17E7B5">
            <w:pPr>
              <w:widowControl/>
              <w:spacing w:line="240" w:lineRule="auto"/>
              <w:ind w:firstLine="0" w:firstLineChars="0"/>
              <w:jc w:val="center"/>
              <w:textAlignment w:val="center"/>
              <w:rPr>
                <w:rFonts w:cs="宋体"/>
                <w:color w:val="auto"/>
                <w:sz w:val="21"/>
                <w:szCs w:val="20"/>
              </w:rPr>
            </w:pPr>
            <w:r>
              <w:rPr>
                <w:rFonts w:cs="宋体"/>
                <w:color w:val="auto"/>
                <w:sz w:val="21"/>
                <w:szCs w:val="20"/>
              </w:rPr>
              <w:t>161</w:t>
            </w:r>
          </w:p>
        </w:tc>
        <w:tc>
          <w:tcPr>
            <w:tcW w:w="1379" w:type="pct"/>
            <w:tcBorders>
              <w:tl2br w:val="nil"/>
              <w:tr2bl w:val="nil"/>
            </w:tcBorders>
            <w:vAlign w:val="center"/>
          </w:tcPr>
          <w:p w14:paraId="455EFAE5">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正压式空气呼吸器</w:t>
            </w:r>
          </w:p>
        </w:tc>
        <w:tc>
          <w:tcPr>
            <w:tcW w:w="718" w:type="pct"/>
            <w:tcBorders>
              <w:tl2br w:val="nil"/>
              <w:tr2bl w:val="nil"/>
            </w:tcBorders>
            <w:vAlign w:val="center"/>
          </w:tcPr>
          <w:p w14:paraId="726DD952">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3593FB55">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666A23F5">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6A85006B">
            <w:pPr>
              <w:spacing w:line="240" w:lineRule="auto"/>
              <w:ind w:firstLine="0" w:firstLineChars="0"/>
              <w:jc w:val="center"/>
              <w:rPr>
                <w:rFonts w:cs="宋体"/>
                <w:color w:val="auto"/>
                <w:sz w:val="21"/>
                <w:szCs w:val="20"/>
              </w:rPr>
            </w:pPr>
          </w:p>
        </w:tc>
      </w:tr>
      <w:tr w14:paraId="68F01E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417" w:type="pct"/>
            <w:tcBorders>
              <w:tl2br w:val="nil"/>
              <w:tr2bl w:val="nil"/>
            </w:tcBorders>
            <w:vAlign w:val="center"/>
          </w:tcPr>
          <w:p w14:paraId="79A06C45">
            <w:pPr>
              <w:widowControl/>
              <w:spacing w:line="240" w:lineRule="auto"/>
              <w:ind w:firstLine="0" w:firstLineChars="0"/>
              <w:jc w:val="center"/>
              <w:textAlignment w:val="center"/>
              <w:rPr>
                <w:rFonts w:cs="宋体"/>
                <w:color w:val="auto"/>
                <w:sz w:val="21"/>
                <w:szCs w:val="20"/>
              </w:rPr>
            </w:pPr>
            <w:r>
              <w:rPr>
                <w:rFonts w:cs="宋体"/>
                <w:color w:val="auto"/>
                <w:sz w:val="21"/>
                <w:szCs w:val="20"/>
              </w:rPr>
              <w:t>162</w:t>
            </w:r>
          </w:p>
        </w:tc>
        <w:tc>
          <w:tcPr>
            <w:tcW w:w="1379" w:type="pct"/>
            <w:tcBorders>
              <w:tl2br w:val="nil"/>
              <w:tr2bl w:val="nil"/>
            </w:tcBorders>
            <w:vAlign w:val="center"/>
          </w:tcPr>
          <w:p w14:paraId="45769A5B">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对讲机</w:t>
            </w:r>
          </w:p>
        </w:tc>
        <w:tc>
          <w:tcPr>
            <w:tcW w:w="718" w:type="pct"/>
            <w:tcBorders>
              <w:tl2br w:val="nil"/>
              <w:tr2bl w:val="nil"/>
            </w:tcBorders>
            <w:vAlign w:val="center"/>
          </w:tcPr>
          <w:p w14:paraId="01DC026A">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7AA689CA">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3</w:t>
            </w:r>
          </w:p>
        </w:tc>
        <w:tc>
          <w:tcPr>
            <w:tcW w:w="958" w:type="pct"/>
            <w:tcBorders>
              <w:tl2br w:val="nil"/>
              <w:tr2bl w:val="nil"/>
            </w:tcBorders>
            <w:vAlign w:val="center"/>
          </w:tcPr>
          <w:p w14:paraId="6C847A31">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应急通信和指挥</w:t>
            </w:r>
          </w:p>
        </w:tc>
        <w:tc>
          <w:tcPr>
            <w:tcW w:w="980" w:type="pct"/>
            <w:vMerge w:val="continue"/>
            <w:tcBorders>
              <w:tl2br w:val="nil"/>
              <w:tr2bl w:val="nil"/>
            </w:tcBorders>
            <w:vAlign w:val="center"/>
          </w:tcPr>
          <w:p w14:paraId="6B1725AF">
            <w:pPr>
              <w:spacing w:line="240" w:lineRule="auto"/>
              <w:ind w:firstLine="0" w:firstLineChars="0"/>
              <w:jc w:val="center"/>
              <w:rPr>
                <w:rFonts w:cs="宋体"/>
                <w:color w:val="auto"/>
                <w:sz w:val="21"/>
                <w:szCs w:val="20"/>
              </w:rPr>
            </w:pPr>
          </w:p>
        </w:tc>
      </w:tr>
      <w:tr w14:paraId="25133B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36D6EEDA">
            <w:pPr>
              <w:widowControl/>
              <w:spacing w:line="240" w:lineRule="auto"/>
              <w:ind w:firstLine="0" w:firstLineChars="0"/>
              <w:jc w:val="center"/>
              <w:textAlignment w:val="center"/>
              <w:rPr>
                <w:rFonts w:cs="宋体"/>
                <w:color w:val="auto"/>
                <w:sz w:val="21"/>
                <w:szCs w:val="20"/>
              </w:rPr>
            </w:pPr>
            <w:r>
              <w:rPr>
                <w:rFonts w:cs="宋体"/>
                <w:color w:val="auto"/>
                <w:sz w:val="21"/>
                <w:szCs w:val="20"/>
              </w:rPr>
              <w:t>163</w:t>
            </w:r>
          </w:p>
        </w:tc>
        <w:tc>
          <w:tcPr>
            <w:tcW w:w="1379" w:type="pct"/>
            <w:tcBorders>
              <w:tl2br w:val="nil"/>
              <w:tr2bl w:val="nil"/>
            </w:tcBorders>
            <w:vAlign w:val="center"/>
          </w:tcPr>
          <w:p w14:paraId="209F6185">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苏生器、氧气瓶</w:t>
            </w:r>
          </w:p>
        </w:tc>
        <w:tc>
          <w:tcPr>
            <w:tcW w:w="718" w:type="pct"/>
            <w:tcBorders>
              <w:tl2br w:val="nil"/>
              <w:tr2bl w:val="nil"/>
            </w:tcBorders>
            <w:vAlign w:val="center"/>
          </w:tcPr>
          <w:p w14:paraId="180682AC">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0BD50FDE">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6F0A7BB5">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60DE3CBB">
            <w:pPr>
              <w:spacing w:line="240" w:lineRule="auto"/>
              <w:ind w:firstLine="0" w:firstLineChars="0"/>
              <w:jc w:val="center"/>
              <w:rPr>
                <w:rFonts w:cs="宋体"/>
                <w:color w:val="auto"/>
                <w:sz w:val="21"/>
                <w:szCs w:val="20"/>
              </w:rPr>
            </w:pPr>
          </w:p>
        </w:tc>
      </w:tr>
      <w:tr w14:paraId="43A8B8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417" w:type="pct"/>
            <w:tcBorders>
              <w:tl2br w:val="nil"/>
              <w:tr2bl w:val="nil"/>
            </w:tcBorders>
            <w:vAlign w:val="center"/>
          </w:tcPr>
          <w:p w14:paraId="5FA6326D">
            <w:pPr>
              <w:widowControl/>
              <w:spacing w:line="240" w:lineRule="auto"/>
              <w:ind w:firstLine="0" w:firstLineChars="0"/>
              <w:jc w:val="center"/>
              <w:textAlignment w:val="center"/>
              <w:rPr>
                <w:rFonts w:cs="宋体"/>
                <w:color w:val="auto"/>
                <w:sz w:val="21"/>
                <w:szCs w:val="20"/>
              </w:rPr>
            </w:pPr>
            <w:r>
              <w:rPr>
                <w:rFonts w:cs="宋体"/>
                <w:color w:val="auto"/>
                <w:sz w:val="21"/>
                <w:szCs w:val="20"/>
              </w:rPr>
              <w:t>164</w:t>
            </w:r>
          </w:p>
        </w:tc>
        <w:tc>
          <w:tcPr>
            <w:tcW w:w="1379" w:type="pct"/>
            <w:tcBorders>
              <w:tl2br w:val="nil"/>
              <w:tr2bl w:val="nil"/>
            </w:tcBorders>
            <w:vAlign w:val="center"/>
          </w:tcPr>
          <w:p w14:paraId="27FFD12B">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浮标式氧气吸入器</w:t>
            </w:r>
          </w:p>
        </w:tc>
        <w:tc>
          <w:tcPr>
            <w:tcW w:w="718" w:type="pct"/>
            <w:tcBorders>
              <w:tl2br w:val="nil"/>
              <w:tr2bl w:val="nil"/>
            </w:tcBorders>
            <w:vAlign w:val="center"/>
          </w:tcPr>
          <w:p w14:paraId="24D42EA8">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0C50E1A4">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13F31192">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80" w:type="pct"/>
            <w:vMerge w:val="continue"/>
            <w:tcBorders>
              <w:tl2br w:val="nil"/>
              <w:tr2bl w:val="nil"/>
            </w:tcBorders>
            <w:vAlign w:val="center"/>
          </w:tcPr>
          <w:p w14:paraId="736AB363">
            <w:pPr>
              <w:spacing w:line="240" w:lineRule="auto"/>
              <w:ind w:firstLine="0" w:firstLineChars="0"/>
              <w:jc w:val="center"/>
              <w:rPr>
                <w:rFonts w:cs="宋体"/>
                <w:color w:val="auto"/>
                <w:sz w:val="21"/>
                <w:szCs w:val="20"/>
              </w:rPr>
            </w:pPr>
          </w:p>
        </w:tc>
      </w:tr>
      <w:tr w14:paraId="5FCE12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417" w:type="pct"/>
            <w:tcBorders>
              <w:tl2br w:val="nil"/>
              <w:tr2bl w:val="nil"/>
            </w:tcBorders>
            <w:vAlign w:val="center"/>
          </w:tcPr>
          <w:p w14:paraId="4932898F">
            <w:pPr>
              <w:widowControl/>
              <w:spacing w:line="240" w:lineRule="auto"/>
              <w:ind w:firstLine="0" w:firstLineChars="0"/>
              <w:jc w:val="center"/>
              <w:textAlignment w:val="center"/>
              <w:rPr>
                <w:rFonts w:cs="宋体"/>
                <w:color w:val="auto"/>
                <w:sz w:val="21"/>
                <w:szCs w:val="20"/>
              </w:rPr>
            </w:pPr>
            <w:r>
              <w:rPr>
                <w:rFonts w:cs="宋体"/>
                <w:color w:val="auto"/>
                <w:sz w:val="21"/>
                <w:szCs w:val="20"/>
              </w:rPr>
              <w:t>165</w:t>
            </w:r>
          </w:p>
        </w:tc>
        <w:tc>
          <w:tcPr>
            <w:tcW w:w="1379" w:type="pct"/>
            <w:tcBorders>
              <w:tl2br w:val="nil"/>
              <w:tr2bl w:val="nil"/>
            </w:tcBorders>
            <w:vAlign w:val="center"/>
          </w:tcPr>
          <w:p w14:paraId="315B9D51">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固定外线电话</w:t>
            </w:r>
          </w:p>
        </w:tc>
        <w:tc>
          <w:tcPr>
            <w:tcW w:w="718" w:type="pct"/>
            <w:tcBorders>
              <w:tl2br w:val="nil"/>
              <w:tr2bl w:val="nil"/>
            </w:tcBorders>
            <w:vAlign w:val="center"/>
          </w:tcPr>
          <w:p w14:paraId="4B3BB5CA">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65FD6995">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vAlign w:val="center"/>
          </w:tcPr>
          <w:p w14:paraId="4A899F85">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应急通信和指挥</w:t>
            </w:r>
          </w:p>
        </w:tc>
        <w:tc>
          <w:tcPr>
            <w:tcW w:w="980" w:type="pct"/>
            <w:vMerge w:val="continue"/>
            <w:tcBorders>
              <w:tl2br w:val="nil"/>
              <w:tr2bl w:val="nil"/>
            </w:tcBorders>
            <w:vAlign w:val="center"/>
          </w:tcPr>
          <w:p w14:paraId="1CACAA33">
            <w:pPr>
              <w:spacing w:line="240" w:lineRule="auto"/>
              <w:ind w:firstLine="0" w:firstLineChars="0"/>
              <w:jc w:val="center"/>
              <w:rPr>
                <w:rFonts w:cs="宋体"/>
                <w:color w:val="auto"/>
                <w:sz w:val="21"/>
                <w:szCs w:val="20"/>
              </w:rPr>
            </w:pPr>
          </w:p>
        </w:tc>
      </w:tr>
      <w:tr w14:paraId="208369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417" w:type="pct"/>
            <w:tcBorders>
              <w:tl2br w:val="nil"/>
              <w:tr2bl w:val="nil"/>
            </w:tcBorders>
            <w:vAlign w:val="center"/>
          </w:tcPr>
          <w:p w14:paraId="01DFF30F">
            <w:pPr>
              <w:widowControl/>
              <w:spacing w:line="240" w:lineRule="auto"/>
              <w:ind w:firstLine="0" w:firstLineChars="0"/>
              <w:jc w:val="center"/>
              <w:textAlignment w:val="center"/>
              <w:rPr>
                <w:rFonts w:cs="宋体"/>
                <w:color w:val="auto"/>
                <w:sz w:val="21"/>
                <w:szCs w:val="20"/>
              </w:rPr>
            </w:pPr>
            <w:r>
              <w:rPr>
                <w:rFonts w:cs="宋体"/>
                <w:color w:val="auto"/>
                <w:sz w:val="21"/>
                <w:szCs w:val="20"/>
              </w:rPr>
              <w:t>166</w:t>
            </w:r>
          </w:p>
        </w:tc>
        <w:tc>
          <w:tcPr>
            <w:tcW w:w="1379" w:type="pct"/>
            <w:tcBorders>
              <w:tl2br w:val="nil"/>
              <w:tr2bl w:val="nil"/>
            </w:tcBorders>
            <w:vAlign w:val="center"/>
          </w:tcPr>
          <w:p w14:paraId="67A5A5F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718" w:type="pct"/>
            <w:tcBorders>
              <w:tl2br w:val="nil"/>
              <w:tr2bl w:val="nil"/>
            </w:tcBorders>
            <w:vAlign w:val="center"/>
          </w:tcPr>
          <w:p w14:paraId="1E3699C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vAlign w:val="center"/>
          </w:tcPr>
          <w:p w14:paraId="511D885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vAlign w:val="center"/>
          </w:tcPr>
          <w:p w14:paraId="4F9A225B">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75072468">
            <w:pPr>
              <w:spacing w:line="240" w:lineRule="auto"/>
              <w:ind w:firstLine="0" w:firstLineChars="0"/>
              <w:jc w:val="center"/>
              <w:rPr>
                <w:rFonts w:cs="宋体"/>
                <w:color w:val="auto"/>
                <w:sz w:val="21"/>
                <w:szCs w:val="20"/>
              </w:rPr>
            </w:pPr>
            <w:r>
              <w:rPr>
                <w:rFonts w:hint="eastAsia" w:cs="宋体"/>
                <w:color w:val="auto"/>
                <w:sz w:val="21"/>
                <w:szCs w:val="20"/>
              </w:rPr>
              <w:t>石膏车间1-5层各一组</w:t>
            </w:r>
          </w:p>
        </w:tc>
      </w:tr>
      <w:tr w14:paraId="7E7C7C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4FC952B6">
            <w:pPr>
              <w:widowControl/>
              <w:spacing w:line="240" w:lineRule="auto"/>
              <w:ind w:firstLine="0" w:firstLineChars="0"/>
              <w:jc w:val="center"/>
              <w:textAlignment w:val="center"/>
              <w:rPr>
                <w:rFonts w:cs="宋体"/>
                <w:color w:val="auto"/>
                <w:sz w:val="21"/>
                <w:szCs w:val="20"/>
              </w:rPr>
            </w:pPr>
            <w:r>
              <w:rPr>
                <w:rFonts w:cs="宋体"/>
                <w:color w:val="auto"/>
                <w:sz w:val="21"/>
                <w:szCs w:val="20"/>
              </w:rPr>
              <w:t>167</w:t>
            </w:r>
          </w:p>
        </w:tc>
        <w:tc>
          <w:tcPr>
            <w:tcW w:w="1379" w:type="pct"/>
            <w:tcBorders>
              <w:tl2br w:val="nil"/>
              <w:tr2bl w:val="nil"/>
            </w:tcBorders>
            <w:vAlign w:val="center"/>
          </w:tcPr>
          <w:p w14:paraId="2223330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防尘口罩</w:t>
            </w:r>
          </w:p>
        </w:tc>
        <w:tc>
          <w:tcPr>
            <w:tcW w:w="718" w:type="pct"/>
            <w:tcBorders>
              <w:tl2br w:val="nil"/>
              <w:tr2bl w:val="nil"/>
            </w:tcBorders>
            <w:vAlign w:val="center"/>
          </w:tcPr>
          <w:p w14:paraId="46328418">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41174F0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736F72D7">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677D58DF">
            <w:pPr>
              <w:spacing w:line="240" w:lineRule="auto"/>
              <w:ind w:firstLine="0" w:firstLineChars="0"/>
              <w:jc w:val="center"/>
              <w:rPr>
                <w:rFonts w:cs="宋体"/>
                <w:color w:val="auto"/>
                <w:sz w:val="21"/>
                <w:szCs w:val="20"/>
              </w:rPr>
            </w:pPr>
          </w:p>
        </w:tc>
      </w:tr>
      <w:tr w14:paraId="6992E3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0D8F19D8">
            <w:pPr>
              <w:widowControl/>
              <w:spacing w:line="240" w:lineRule="auto"/>
              <w:ind w:firstLine="0" w:firstLineChars="0"/>
              <w:jc w:val="center"/>
              <w:textAlignment w:val="center"/>
              <w:rPr>
                <w:rFonts w:cs="宋体"/>
                <w:color w:val="auto"/>
                <w:sz w:val="21"/>
                <w:szCs w:val="20"/>
              </w:rPr>
            </w:pPr>
            <w:r>
              <w:rPr>
                <w:rFonts w:cs="宋体"/>
                <w:color w:val="auto"/>
                <w:sz w:val="21"/>
                <w:szCs w:val="20"/>
              </w:rPr>
              <w:t>168</w:t>
            </w:r>
          </w:p>
        </w:tc>
        <w:tc>
          <w:tcPr>
            <w:tcW w:w="1379" w:type="pct"/>
            <w:tcBorders>
              <w:tl2br w:val="nil"/>
              <w:tr2bl w:val="nil"/>
            </w:tcBorders>
            <w:vAlign w:val="center"/>
          </w:tcPr>
          <w:p w14:paraId="35C612B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tcBorders>
              <w:tl2br w:val="nil"/>
              <w:tr2bl w:val="nil"/>
            </w:tcBorders>
            <w:vAlign w:val="center"/>
          </w:tcPr>
          <w:p w14:paraId="62E6FD0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0145EAA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1副</w:t>
            </w:r>
          </w:p>
        </w:tc>
        <w:tc>
          <w:tcPr>
            <w:tcW w:w="958" w:type="pct"/>
            <w:vMerge w:val="continue"/>
            <w:tcBorders>
              <w:tl2br w:val="nil"/>
              <w:tr2bl w:val="nil"/>
            </w:tcBorders>
            <w:vAlign w:val="center"/>
          </w:tcPr>
          <w:p w14:paraId="3DE6C9FC">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3F14FD01">
            <w:pPr>
              <w:spacing w:line="240" w:lineRule="auto"/>
              <w:ind w:firstLine="0" w:firstLineChars="0"/>
              <w:jc w:val="center"/>
              <w:rPr>
                <w:rFonts w:cs="宋体"/>
                <w:color w:val="auto"/>
                <w:sz w:val="21"/>
                <w:szCs w:val="20"/>
              </w:rPr>
            </w:pPr>
          </w:p>
        </w:tc>
      </w:tr>
      <w:tr w14:paraId="6041BB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139DB21C">
            <w:pPr>
              <w:widowControl/>
              <w:spacing w:line="240" w:lineRule="auto"/>
              <w:ind w:firstLine="0" w:firstLineChars="0"/>
              <w:jc w:val="center"/>
              <w:textAlignment w:val="center"/>
              <w:rPr>
                <w:rFonts w:cs="宋体"/>
                <w:color w:val="auto"/>
                <w:sz w:val="21"/>
                <w:szCs w:val="20"/>
              </w:rPr>
            </w:pPr>
            <w:r>
              <w:rPr>
                <w:rFonts w:cs="宋体"/>
                <w:color w:val="auto"/>
                <w:sz w:val="21"/>
                <w:szCs w:val="20"/>
              </w:rPr>
              <w:t>169</w:t>
            </w:r>
          </w:p>
        </w:tc>
        <w:tc>
          <w:tcPr>
            <w:tcW w:w="1379" w:type="pct"/>
            <w:tcBorders>
              <w:tl2br w:val="nil"/>
              <w:tr2bl w:val="nil"/>
            </w:tcBorders>
            <w:vAlign w:val="center"/>
          </w:tcPr>
          <w:p w14:paraId="6205E8B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tcBorders>
              <w:tl2br w:val="nil"/>
              <w:tr2bl w:val="nil"/>
            </w:tcBorders>
            <w:vAlign w:val="center"/>
          </w:tcPr>
          <w:p w14:paraId="08FECD7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0371E3B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6C409C66">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7B6D33E2">
            <w:pPr>
              <w:spacing w:line="240" w:lineRule="auto"/>
              <w:ind w:firstLine="0" w:firstLineChars="0"/>
              <w:jc w:val="center"/>
              <w:rPr>
                <w:rFonts w:cs="宋体"/>
                <w:color w:val="auto"/>
                <w:sz w:val="21"/>
                <w:szCs w:val="20"/>
              </w:rPr>
            </w:pPr>
          </w:p>
        </w:tc>
      </w:tr>
      <w:tr w14:paraId="1172BF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72C05D4B">
            <w:pPr>
              <w:widowControl/>
              <w:spacing w:line="240" w:lineRule="auto"/>
              <w:ind w:firstLine="0" w:firstLineChars="0"/>
              <w:jc w:val="center"/>
              <w:textAlignment w:val="center"/>
              <w:rPr>
                <w:rFonts w:cs="宋体"/>
                <w:color w:val="auto"/>
                <w:sz w:val="21"/>
                <w:szCs w:val="20"/>
              </w:rPr>
            </w:pPr>
            <w:r>
              <w:rPr>
                <w:rFonts w:cs="宋体"/>
                <w:color w:val="auto"/>
                <w:sz w:val="21"/>
                <w:szCs w:val="20"/>
              </w:rPr>
              <w:t>170</w:t>
            </w:r>
          </w:p>
        </w:tc>
        <w:tc>
          <w:tcPr>
            <w:tcW w:w="1379" w:type="pct"/>
            <w:tcBorders>
              <w:tl2br w:val="nil"/>
              <w:tr2bl w:val="nil"/>
            </w:tcBorders>
            <w:vAlign w:val="center"/>
          </w:tcPr>
          <w:p w14:paraId="75E6489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tcBorders>
              <w:tl2br w:val="nil"/>
              <w:tr2bl w:val="nil"/>
            </w:tcBorders>
            <w:vAlign w:val="center"/>
          </w:tcPr>
          <w:p w14:paraId="0971536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7C91C40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378C22A5">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1DA3770D">
            <w:pPr>
              <w:spacing w:line="240" w:lineRule="auto"/>
              <w:ind w:firstLine="0" w:firstLineChars="0"/>
              <w:jc w:val="center"/>
              <w:rPr>
                <w:rFonts w:cs="宋体"/>
                <w:color w:val="auto"/>
                <w:sz w:val="21"/>
                <w:szCs w:val="20"/>
              </w:rPr>
            </w:pPr>
          </w:p>
        </w:tc>
      </w:tr>
      <w:tr w14:paraId="40DED7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04B6A8AC">
            <w:pPr>
              <w:widowControl/>
              <w:spacing w:line="240" w:lineRule="auto"/>
              <w:ind w:firstLine="0" w:firstLineChars="0"/>
              <w:jc w:val="center"/>
              <w:textAlignment w:val="center"/>
              <w:rPr>
                <w:rFonts w:cs="宋体"/>
                <w:color w:val="auto"/>
                <w:sz w:val="21"/>
                <w:szCs w:val="20"/>
              </w:rPr>
            </w:pPr>
            <w:r>
              <w:rPr>
                <w:rFonts w:cs="宋体"/>
                <w:color w:val="auto"/>
                <w:sz w:val="21"/>
                <w:szCs w:val="20"/>
              </w:rPr>
              <w:t>171</w:t>
            </w:r>
          </w:p>
        </w:tc>
        <w:tc>
          <w:tcPr>
            <w:tcW w:w="1379" w:type="pct"/>
            <w:tcBorders>
              <w:tl2br w:val="nil"/>
              <w:tr2bl w:val="nil"/>
            </w:tcBorders>
            <w:vAlign w:val="center"/>
          </w:tcPr>
          <w:p w14:paraId="24DA0FC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tcBorders>
              <w:tl2br w:val="nil"/>
              <w:tr2bl w:val="nil"/>
            </w:tcBorders>
            <w:vAlign w:val="center"/>
          </w:tcPr>
          <w:p w14:paraId="445593D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3F028CD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4ADE1C32">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221A0AA6">
            <w:pPr>
              <w:spacing w:line="240" w:lineRule="auto"/>
              <w:ind w:firstLine="0" w:firstLineChars="0"/>
              <w:jc w:val="center"/>
              <w:rPr>
                <w:rFonts w:cs="宋体"/>
                <w:color w:val="auto"/>
                <w:sz w:val="21"/>
                <w:szCs w:val="20"/>
              </w:rPr>
            </w:pPr>
          </w:p>
        </w:tc>
      </w:tr>
      <w:tr w14:paraId="5EB6B3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35F0F2FA">
            <w:pPr>
              <w:widowControl/>
              <w:spacing w:line="240" w:lineRule="auto"/>
              <w:ind w:firstLine="0" w:firstLineChars="0"/>
              <w:jc w:val="center"/>
              <w:textAlignment w:val="center"/>
              <w:rPr>
                <w:rFonts w:cs="宋体"/>
                <w:color w:val="auto"/>
                <w:sz w:val="21"/>
                <w:szCs w:val="20"/>
              </w:rPr>
            </w:pPr>
            <w:r>
              <w:rPr>
                <w:rFonts w:cs="宋体"/>
                <w:color w:val="auto"/>
                <w:sz w:val="21"/>
                <w:szCs w:val="20"/>
              </w:rPr>
              <w:t>172</w:t>
            </w:r>
          </w:p>
        </w:tc>
        <w:tc>
          <w:tcPr>
            <w:tcW w:w="1379" w:type="pct"/>
            <w:tcBorders>
              <w:tl2br w:val="nil"/>
              <w:tr2bl w:val="nil"/>
            </w:tcBorders>
            <w:vAlign w:val="center"/>
          </w:tcPr>
          <w:p w14:paraId="01339DC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tcBorders>
              <w:tl2br w:val="nil"/>
              <w:tr2bl w:val="nil"/>
            </w:tcBorders>
            <w:vAlign w:val="center"/>
          </w:tcPr>
          <w:p w14:paraId="617BEC3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793AFE6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vAlign w:val="center"/>
          </w:tcPr>
          <w:p w14:paraId="149BF8DB">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091B33F8">
            <w:pPr>
              <w:spacing w:line="240" w:lineRule="auto"/>
              <w:ind w:firstLine="0" w:firstLineChars="0"/>
              <w:jc w:val="center"/>
              <w:rPr>
                <w:rFonts w:cs="宋体"/>
                <w:color w:val="auto"/>
                <w:sz w:val="21"/>
                <w:szCs w:val="20"/>
              </w:rPr>
            </w:pPr>
          </w:p>
        </w:tc>
      </w:tr>
      <w:tr w14:paraId="4FB305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1D6A7065">
            <w:pPr>
              <w:widowControl/>
              <w:spacing w:line="240" w:lineRule="auto"/>
              <w:ind w:firstLine="0" w:firstLineChars="0"/>
              <w:jc w:val="center"/>
              <w:textAlignment w:val="center"/>
              <w:rPr>
                <w:rFonts w:cs="宋体"/>
                <w:color w:val="auto"/>
                <w:sz w:val="21"/>
                <w:szCs w:val="20"/>
              </w:rPr>
            </w:pPr>
            <w:r>
              <w:rPr>
                <w:rFonts w:cs="宋体"/>
                <w:color w:val="auto"/>
                <w:sz w:val="21"/>
                <w:szCs w:val="20"/>
              </w:rPr>
              <w:t>173</w:t>
            </w:r>
          </w:p>
        </w:tc>
        <w:tc>
          <w:tcPr>
            <w:tcW w:w="1379" w:type="pct"/>
            <w:tcBorders>
              <w:tl2br w:val="nil"/>
              <w:tr2bl w:val="nil"/>
            </w:tcBorders>
            <w:vAlign w:val="center"/>
          </w:tcPr>
          <w:p w14:paraId="1829F0A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718" w:type="pct"/>
            <w:tcBorders>
              <w:tl2br w:val="nil"/>
              <w:tr2bl w:val="nil"/>
            </w:tcBorders>
            <w:vAlign w:val="center"/>
          </w:tcPr>
          <w:p w14:paraId="5FF838C1">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tcBorders>
              <w:tl2br w:val="nil"/>
              <w:tr2bl w:val="nil"/>
            </w:tcBorders>
            <w:vAlign w:val="center"/>
          </w:tcPr>
          <w:p w14:paraId="7259638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vAlign w:val="center"/>
          </w:tcPr>
          <w:p w14:paraId="24BDA24E">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安全防护</w:t>
            </w:r>
          </w:p>
        </w:tc>
        <w:tc>
          <w:tcPr>
            <w:tcW w:w="980" w:type="pct"/>
            <w:vMerge w:val="restart"/>
            <w:tcBorders>
              <w:tl2br w:val="nil"/>
              <w:tr2bl w:val="nil"/>
            </w:tcBorders>
            <w:vAlign w:val="center"/>
          </w:tcPr>
          <w:p w14:paraId="5917981F">
            <w:pPr>
              <w:spacing w:line="240" w:lineRule="auto"/>
              <w:ind w:firstLine="0" w:firstLineChars="0"/>
              <w:jc w:val="center"/>
              <w:rPr>
                <w:rFonts w:cs="宋体"/>
                <w:color w:val="auto"/>
                <w:sz w:val="21"/>
                <w:szCs w:val="20"/>
              </w:rPr>
            </w:pPr>
            <w:r>
              <w:rPr>
                <w:rFonts w:hint="eastAsia" w:cs="宋体"/>
                <w:color w:val="auto"/>
                <w:sz w:val="21"/>
                <w:szCs w:val="20"/>
              </w:rPr>
              <w:t>环保二车间1-3层各一组</w:t>
            </w:r>
          </w:p>
        </w:tc>
      </w:tr>
      <w:tr w14:paraId="102AF0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3A37B900">
            <w:pPr>
              <w:widowControl/>
              <w:spacing w:line="240" w:lineRule="auto"/>
              <w:ind w:firstLine="0" w:firstLineChars="0"/>
              <w:jc w:val="center"/>
              <w:textAlignment w:val="center"/>
              <w:rPr>
                <w:rFonts w:cs="宋体"/>
                <w:color w:val="auto"/>
                <w:sz w:val="21"/>
                <w:szCs w:val="20"/>
              </w:rPr>
            </w:pPr>
            <w:r>
              <w:rPr>
                <w:rFonts w:cs="宋体"/>
                <w:color w:val="auto"/>
                <w:sz w:val="21"/>
                <w:szCs w:val="20"/>
              </w:rPr>
              <w:t>174</w:t>
            </w:r>
          </w:p>
        </w:tc>
        <w:tc>
          <w:tcPr>
            <w:tcW w:w="1379" w:type="pct"/>
            <w:tcBorders>
              <w:tl2br w:val="nil"/>
              <w:tr2bl w:val="nil"/>
            </w:tcBorders>
            <w:vAlign w:val="center"/>
          </w:tcPr>
          <w:p w14:paraId="7AFB1F7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718" w:type="pct"/>
            <w:tcBorders>
              <w:tl2br w:val="nil"/>
              <w:tr2bl w:val="nil"/>
            </w:tcBorders>
            <w:vAlign w:val="center"/>
          </w:tcPr>
          <w:p w14:paraId="127D339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37C2089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6EEEFE0A">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06B1AC41">
            <w:pPr>
              <w:spacing w:line="240" w:lineRule="auto"/>
              <w:ind w:firstLine="0" w:firstLineChars="0"/>
              <w:jc w:val="center"/>
              <w:rPr>
                <w:rFonts w:cs="宋体"/>
                <w:color w:val="auto"/>
                <w:sz w:val="21"/>
                <w:szCs w:val="20"/>
              </w:rPr>
            </w:pPr>
          </w:p>
        </w:tc>
      </w:tr>
      <w:tr w14:paraId="695152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2CE8912B">
            <w:pPr>
              <w:widowControl/>
              <w:spacing w:line="240" w:lineRule="auto"/>
              <w:ind w:firstLine="0" w:firstLineChars="0"/>
              <w:jc w:val="center"/>
              <w:textAlignment w:val="center"/>
              <w:rPr>
                <w:rFonts w:cs="宋体"/>
                <w:color w:val="auto"/>
                <w:sz w:val="21"/>
                <w:szCs w:val="20"/>
              </w:rPr>
            </w:pPr>
            <w:r>
              <w:rPr>
                <w:rFonts w:cs="宋体"/>
                <w:color w:val="auto"/>
                <w:sz w:val="21"/>
                <w:szCs w:val="20"/>
              </w:rPr>
              <w:t>175</w:t>
            </w:r>
          </w:p>
        </w:tc>
        <w:tc>
          <w:tcPr>
            <w:tcW w:w="1379" w:type="pct"/>
            <w:tcBorders>
              <w:tl2br w:val="nil"/>
              <w:tr2bl w:val="nil"/>
            </w:tcBorders>
            <w:vAlign w:val="center"/>
          </w:tcPr>
          <w:p w14:paraId="4C18A99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718" w:type="pct"/>
            <w:tcBorders>
              <w:tl2br w:val="nil"/>
              <w:tr2bl w:val="nil"/>
            </w:tcBorders>
            <w:vAlign w:val="center"/>
          </w:tcPr>
          <w:p w14:paraId="78A8B32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vAlign w:val="center"/>
          </w:tcPr>
          <w:p w14:paraId="2021C7B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76D5941F">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08E0890E">
            <w:pPr>
              <w:spacing w:line="240" w:lineRule="auto"/>
              <w:ind w:firstLine="0" w:firstLineChars="0"/>
              <w:jc w:val="center"/>
              <w:rPr>
                <w:rFonts w:cs="宋体"/>
                <w:color w:val="auto"/>
                <w:sz w:val="21"/>
                <w:szCs w:val="20"/>
              </w:rPr>
            </w:pPr>
          </w:p>
        </w:tc>
      </w:tr>
      <w:tr w14:paraId="40D8F6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4D50238E">
            <w:pPr>
              <w:widowControl/>
              <w:spacing w:line="240" w:lineRule="auto"/>
              <w:ind w:firstLine="0" w:firstLineChars="0"/>
              <w:jc w:val="center"/>
              <w:textAlignment w:val="center"/>
              <w:rPr>
                <w:rFonts w:cs="宋体"/>
                <w:color w:val="auto"/>
                <w:sz w:val="21"/>
                <w:szCs w:val="20"/>
              </w:rPr>
            </w:pPr>
            <w:r>
              <w:rPr>
                <w:rFonts w:cs="宋体"/>
                <w:color w:val="auto"/>
                <w:sz w:val="21"/>
                <w:szCs w:val="20"/>
              </w:rPr>
              <w:t>176</w:t>
            </w:r>
          </w:p>
        </w:tc>
        <w:tc>
          <w:tcPr>
            <w:tcW w:w="1379" w:type="pct"/>
            <w:tcBorders>
              <w:tl2br w:val="nil"/>
              <w:tr2bl w:val="nil"/>
            </w:tcBorders>
            <w:vAlign w:val="center"/>
          </w:tcPr>
          <w:p w14:paraId="44D787D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718" w:type="pct"/>
            <w:tcBorders>
              <w:tl2br w:val="nil"/>
              <w:tr2bl w:val="nil"/>
            </w:tcBorders>
            <w:vAlign w:val="center"/>
          </w:tcPr>
          <w:p w14:paraId="32539D4E">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1C0B775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1副</w:t>
            </w:r>
          </w:p>
        </w:tc>
        <w:tc>
          <w:tcPr>
            <w:tcW w:w="958" w:type="pct"/>
            <w:vMerge w:val="continue"/>
            <w:tcBorders>
              <w:tl2br w:val="nil"/>
              <w:tr2bl w:val="nil"/>
            </w:tcBorders>
            <w:vAlign w:val="center"/>
          </w:tcPr>
          <w:p w14:paraId="5AF7EC6C">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77EC982B">
            <w:pPr>
              <w:spacing w:line="240" w:lineRule="auto"/>
              <w:ind w:firstLine="0" w:firstLineChars="0"/>
              <w:jc w:val="center"/>
              <w:rPr>
                <w:rFonts w:cs="宋体"/>
                <w:color w:val="auto"/>
                <w:sz w:val="21"/>
                <w:szCs w:val="20"/>
              </w:rPr>
            </w:pPr>
          </w:p>
        </w:tc>
      </w:tr>
      <w:tr w14:paraId="589DCF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3B59F388">
            <w:pPr>
              <w:widowControl/>
              <w:spacing w:line="240" w:lineRule="auto"/>
              <w:ind w:firstLine="0" w:firstLineChars="0"/>
              <w:jc w:val="center"/>
              <w:textAlignment w:val="center"/>
              <w:rPr>
                <w:rFonts w:cs="宋体"/>
                <w:color w:val="auto"/>
                <w:sz w:val="21"/>
                <w:szCs w:val="20"/>
              </w:rPr>
            </w:pPr>
            <w:r>
              <w:rPr>
                <w:rFonts w:cs="宋体"/>
                <w:color w:val="auto"/>
                <w:sz w:val="21"/>
                <w:szCs w:val="20"/>
              </w:rPr>
              <w:t>177</w:t>
            </w:r>
          </w:p>
        </w:tc>
        <w:tc>
          <w:tcPr>
            <w:tcW w:w="1379" w:type="pct"/>
            <w:tcBorders>
              <w:tl2br w:val="nil"/>
              <w:tr2bl w:val="nil"/>
            </w:tcBorders>
            <w:vAlign w:val="center"/>
          </w:tcPr>
          <w:p w14:paraId="3C0255F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718" w:type="pct"/>
            <w:tcBorders>
              <w:tl2br w:val="nil"/>
              <w:tr2bl w:val="nil"/>
            </w:tcBorders>
            <w:vAlign w:val="center"/>
          </w:tcPr>
          <w:p w14:paraId="5DDED92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1EBC14B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5A7910EA">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0A394443">
            <w:pPr>
              <w:spacing w:line="240" w:lineRule="auto"/>
              <w:ind w:firstLine="0" w:firstLineChars="0"/>
              <w:jc w:val="center"/>
              <w:rPr>
                <w:rFonts w:cs="宋体"/>
                <w:color w:val="auto"/>
                <w:sz w:val="21"/>
                <w:szCs w:val="20"/>
              </w:rPr>
            </w:pPr>
          </w:p>
        </w:tc>
      </w:tr>
      <w:tr w14:paraId="3660F4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779EBFCF">
            <w:pPr>
              <w:widowControl/>
              <w:spacing w:line="240" w:lineRule="auto"/>
              <w:ind w:firstLine="0" w:firstLineChars="0"/>
              <w:jc w:val="center"/>
              <w:textAlignment w:val="center"/>
              <w:rPr>
                <w:rFonts w:cs="宋体"/>
                <w:color w:val="auto"/>
                <w:sz w:val="21"/>
                <w:szCs w:val="20"/>
              </w:rPr>
            </w:pPr>
            <w:r>
              <w:rPr>
                <w:rFonts w:cs="宋体"/>
                <w:color w:val="auto"/>
                <w:sz w:val="21"/>
                <w:szCs w:val="20"/>
              </w:rPr>
              <w:t>178</w:t>
            </w:r>
          </w:p>
        </w:tc>
        <w:tc>
          <w:tcPr>
            <w:tcW w:w="1379" w:type="pct"/>
            <w:tcBorders>
              <w:tl2br w:val="nil"/>
              <w:tr2bl w:val="nil"/>
            </w:tcBorders>
            <w:vAlign w:val="center"/>
          </w:tcPr>
          <w:p w14:paraId="454C8DA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718" w:type="pct"/>
            <w:tcBorders>
              <w:tl2br w:val="nil"/>
              <w:tr2bl w:val="nil"/>
            </w:tcBorders>
            <w:vAlign w:val="center"/>
          </w:tcPr>
          <w:p w14:paraId="16312C1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206E02A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05BFAFF6">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7EA384DA">
            <w:pPr>
              <w:spacing w:line="240" w:lineRule="auto"/>
              <w:ind w:firstLine="0" w:firstLineChars="0"/>
              <w:jc w:val="center"/>
              <w:rPr>
                <w:rFonts w:cs="宋体"/>
                <w:color w:val="auto"/>
                <w:sz w:val="21"/>
                <w:szCs w:val="20"/>
              </w:rPr>
            </w:pPr>
          </w:p>
        </w:tc>
      </w:tr>
      <w:tr w14:paraId="48278F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01B497E8">
            <w:pPr>
              <w:widowControl/>
              <w:spacing w:line="240" w:lineRule="auto"/>
              <w:ind w:firstLine="0" w:firstLineChars="0"/>
              <w:jc w:val="center"/>
              <w:textAlignment w:val="center"/>
              <w:rPr>
                <w:rFonts w:cs="宋体"/>
                <w:color w:val="auto"/>
                <w:sz w:val="21"/>
                <w:szCs w:val="20"/>
              </w:rPr>
            </w:pPr>
            <w:r>
              <w:rPr>
                <w:rFonts w:cs="宋体"/>
                <w:color w:val="auto"/>
                <w:sz w:val="21"/>
                <w:szCs w:val="20"/>
              </w:rPr>
              <w:t>179</w:t>
            </w:r>
          </w:p>
        </w:tc>
        <w:tc>
          <w:tcPr>
            <w:tcW w:w="1379" w:type="pct"/>
            <w:tcBorders>
              <w:tl2br w:val="nil"/>
              <w:tr2bl w:val="nil"/>
            </w:tcBorders>
            <w:vAlign w:val="center"/>
          </w:tcPr>
          <w:p w14:paraId="2B99BCC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718" w:type="pct"/>
            <w:tcBorders>
              <w:tl2br w:val="nil"/>
              <w:tr2bl w:val="nil"/>
            </w:tcBorders>
            <w:vAlign w:val="center"/>
          </w:tcPr>
          <w:p w14:paraId="797D29E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1C02DFA2">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736022C3">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30295B2C">
            <w:pPr>
              <w:spacing w:line="240" w:lineRule="auto"/>
              <w:ind w:firstLine="0" w:firstLineChars="0"/>
              <w:jc w:val="center"/>
              <w:rPr>
                <w:rFonts w:cs="宋体"/>
                <w:color w:val="auto"/>
                <w:sz w:val="21"/>
                <w:szCs w:val="20"/>
              </w:rPr>
            </w:pPr>
          </w:p>
        </w:tc>
      </w:tr>
      <w:tr w14:paraId="03FF0F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17" w:type="pct"/>
            <w:tcBorders>
              <w:tl2br w:val="nil"/>
              <w:tr2bl w:val="nil"/>
            </w:tcBorders>
            <w:vAlign w:val="center"/>
          </w:tcPr>
          <w:p w14:paraId="7DEA6CDB">
            <w:pPr>
              <w:widowControl/>
              <w:spacing w:line="240" w:lineRule="auto"/>
              <w:ind w:firstLine="0" w:firstLineChars="0"/>
              <w:jc w:val="center"/>
              <w:textAlignment w:val="center"/>
              <w:rPr>
                <w:rFonts w:cs="宋体"/>
                <w:color w:val="auto"/>
                <w:sz w:val="21"/>
                <w:szCs w:val="20"/>
              </w:rPr>
            </w:pPr>
            <w:r>
              <w:rPr>
                <w:rFonts w:cs="宋体"/>
                <w:color w:val="auto"/>
                <w:sz w:val="21"/>
                <w:szCs w:val="20"/>
              </w:rPr>
              <w:t>180</w:t>
            </w:r>
          </w:p>
        </w:tc>
        <w:tc>
          <w:tcPr>
            <w:tcW w:w="1379" w:type="pct"/>
            <w:tcBorders>
              <w:tl2br w:val="nil"/>
              <w:tr2bl w:val="nil"/>
            </w:tcBorders>
            <w:vAlign w:val="center"/>
          </w:tcPr>
          <w:p w14:paraId="25054134">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718" w:type="pct"/>
            <w:tcBorders>
              <w:tl2br w:val="nil"/>
              <w:tr2bl w:val="nil"/>
            </w:tcBorders>
            <w:vAlign w:val="center"/>
          </w:tcPr>
          <w:p w14:paraId="2CB45159">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3EC2D4F0">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vAlign w:val="center"/>
          </w:tcPr>
          <w:p w14:paraId="5E0DC79A">
            <w:pPr>
              <w:widowControl/>
              <w:spacing w:line="240" w:lineRule="auto"/>
              <w:ind w:firstLine="0" w:firstLineChars="0"/>
              <w:jc w:val="center"/>
              <w:textAlignment w:val="center"/>
              <w:rPr>
                <w:rFonts w:cs="宋体"/>
                <w:color w:val="auto"/>
                <w:kern w:val="0"/>
                <w:sz w:val="21"/>
                <w:szCs w:val="22"/>
                <w:lang w:bidi="ar"/>
              </w:rPr>
            </w:pPr>
          </w:p>
        </w:tc>
        <w:tc>
          <w:tcPr>
            <w:tcW w:w="980" w:type="pct"/>
            <w:vMerge w:val="continue"/>
            <w:tcBorders>
              <w:tl2br w:val="nil"/>
              <w:tr2bl w:val="nil"/>
            </w:tcBorders>
            <w:vAlign w:val="center"/>
          </w:tcPr>
          <w:p w14:paraId="1E75CE09">
            <w:pPr>
              <w:spacing w:line="240" w:lineRule="auto"/>
              <w:ind w:firstLine="0" w:firstLineChars="0"/>
              <w:jc w:val="center"/>
              <w:rPr>
                <w:rFonts w:cs="宋体"/>
                <w:color w:val="auto"/>
                <w:sz w:val="21"/>
                <w:szCs w:val="20"/>
              </w:rPr>
            </w:pPr>
          </w:p>
        </w:tc>
      </w:tr>
      <w:tr w14:paraId="58F1BC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17" w:type="pct"/>
            <w:tcBorders>
              <w:tl2br w:val="nil"/>
              <w:tr2bl w:val="nil"/>
            </w:tcBorders>
            <w:vAlign w:val="center"/>
          </w:tcPr>
          <w:p w14:paraId="547FAB62">
            <w:pPr>
              <w:widowControl/>
              <w:spacing w:line="240" w:lineRule="auto"/>
              <w:ind w:firstLine="0" w:firstLineChars="0"/>
              <w:jc w:val="center"/>
              <w:textAlignment w:val="center"/>
              <w:rPr>
                <w:rFonts w:cs="宋体"/>
                <w:color w:val="auto"/>
                <w:sz w:val="21"/>
                <w:szCs w:val="20"/>
              </w:rPr>
            </w:pPr>
            <w:r>
              <w:rPr>
                <w:rFonts w:cs="宋体"/>
                <w:color w:val="auto"/>
                <w:sz w:val="21"/>
                <w:szCs w:val="20"/>
              </w:rPr>
              <w:t>181</w:t>
            </w:r>
          </w:p>
        </w:tc>
        <w:tc>
          <w:tcPr>
            <w:tcW w:w="1379" w:type="pct"/>
            <w:vMerge w:val="restart"/>
            <w:tcBorders>
              <w:tl2br w:val="nil"/>
              <w:tr2bl w:val="nil"/>
            </w:tcBorders>
            <w:vAlign w:val="center"/>
          </w:tcPr>
          <w:p w14:paraId="17F740F7">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便携式气体检测仪</w:t>
            </w:r>
          </w:p>
        </w:tc>
        <w:tc>
          <w:tcPr>
            <w:tcW w:w="718" w:type="pct"/>
            <w:tcBorders>
              <w:tl2br w:val="nil"/>
              <w:tr2bl w:val="nil"/>
            </w:tcBorders>
            <w:vAlign w:val="center"/>
          </w:tcPr>
          <w:p w14:paraId="11EE07C8">
            <w:pPr>
              <w:widowControl/>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氨</w:t>
            </w:r>
          </w:p>
        </w:tc>
        <w:tc>
          <w:tcPr>
            <w:tcW w:w="545" w:type="pct"/>
            <w:tcBorders>
              <w:tl2br w:val="nil"/>
              <w:tr2bl w:val="nil"/>
            </w:tcBorders>
            <w:vAlign w:val="center"/>
          </w:tcPr>
          <w:p w14:paraId="0C03877C">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5039ACAA">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环境监测</w:t>
            </w:r>
          </w:p>
        </w:tc>
        <w:tc>
          <w:tcPr>
            <w:tcW w:w="980" w:type="pct"/>
            <w:tcBorders>
              <w:tl2br w:val="nil"/>
              <w:tr2bl w:val="nil"/>
            </w:tcBorders>
            <w:vAlign w:val="center"/>
          </w:tcPr>
          <w:p w14:paraId="7A981DA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氨水配置区应急柜</w:t>
            </w:r>
          </w:p>
        </w:tc>
      </w:tr>
      <w:tr w14:paraId="463A76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417" w:type="pct"/>
            <w:tcBorders>
              <w:tl2br w:val="nil"/>
              <w:tr2bl w:val="nil"/>
            </w:tcBorders>
            <w:vAlign w:val="center"/>
          </w:tcPr>
          <w:p w14:paraId="7C8F1840">
            <w:pPr>
              <w:widowControl/>
              <w:spacing w:line="240" w:lineRule="auto"/>
              <w:ind w:firstLine="0" w:firstLineChars="0"/>
              <w:jc w:val="center"/>
              <w:textAlignment w:val="center"/>
              <w:rPr>
                <w:rFonts w:cs="宋体"/>
                <w:color w:val="auto"/>
                <w:sz w:val="21"/>
                <w:szCs w:val="20"/>
              </w:rPr>
            </w:pPr>
            <w:r>
              <w:rPr>
                <w:rFonts w:cs="宋体"/>
                <w:color w:val="auto"/>
                <w:sz w:val="21"/>
                <w:szCs w:val="20"/>
              </w:rPr>
              <w:t>182</w:t>
            </w:r>
          </w:p>
        </w:tc>
        <w:tc>
          <w:tcPr>
            <w:tcW w:w="1379" w:type="pct"/>
            <w:vMerge w:val="continue"/>
            <w:tcBorders>
              <w:tl2br w:val="nil"/>
              <w:tr2bl w:val="nil"/>
            </w:tcBorders>
            <w:vAlign w:val="center"/>
          </w:tcPr>
          <w:p w14:paraId="09F10EC8">
            <w:pPr>
              <w:spacing w:line="240" w:lineRule="auto"/>
              <w:ind w:firstLine="0" w:firstLineChars="0"/>
              <w:jc w:val="center"/>
              <w:rPr>
                <w:rFonts w:cs="宋体"/>
                <w:color w:val="auto"/>
                <w:sz w:val="21"/>
                <w:szCs w:val="20"/>
              </w:rPr>
            </w:pPr>
          </w:p>
        </w:tc>
        <w:tc>
          <w:tcPr>
            <w:tcW w:w="718" w:type="pct"/>
            <w:tcBorders>
              <w:tl2br w:val="nil"/>
              <w:tr2bl w:val="nil"/>
            </w:tcBorders>
            <w:vAlign w:val="center"/>
          </w:tcPr>
          <w:p w14:paraId="7DF4A77E">
            <w:pPr>
              <w:widowControl/>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氨</w:t>
            </w:r>
          </w:p>
        </w:tc>
        <w:tc>
          <w:tcPr>
            <w:tcW w:w="545" w:type="pct"/>
            <w:tcBorders>
              <w:tl2br w:val="nil"/>
              <w:tr2bl w:val="nil"/>
            </w:tcBorders>
            <w:vAlign w:val="center"/>
          </w:tcPr>
          <w:p w14:paraId="166916DC">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66E6B4D5">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环境监测</w:t>
            </w:r>
          </w:p>
        </w:tc>
        <w:tc>
          <w:tcPr>
            <w:tcW w:w="980" w:type="pct"/>
            <w:tcBorders>
              <w:tl2br w:val="nil"/>
              <w:tr2bl w:val="nil"/>
            </w:tcBorders>
            <w:vAlign w:val="center"/>
          </w:tcPr>
          <w:p w14:paraId="6031BD4A">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氨水配置区应急柜</w:t>
            </w:r>
          </w:p>
        </w:tc>
      </w:tr>
      <w:tr w14:paraId="5B853E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417" w:type="pct"/>
            <w:tcBorders>
              <w:tl2br w:val="nil"/>
              <w:tr2bl w:val="nil"/>
            </w:tcBorders>
            <w:vAlign w:val="center"/>
          </w:tcPr>
          <w:p w14:paraId="261445CB">
            <w:pPr>
              <w:widowControl/>
              <w:spacing w:line="240" w:lineRule="auto"/>
              <w:ind w:firstLine="0" w:firstLineChars="0"/>
              <w:jc w:val="center"/>
              <w:textAlignment w:val="center"/>
              <w:rPr>
                <w:rFonts w:cs="宋体"/>
                <w:color w:val="auto"/>
                <w:sz w:val="21"/>
                <w:szCs w:val="20"/>
              </w:rPr>
            </w:pPr>
            <w:r>
              <w:rPr>
                <w:rFonts w:cs="宋体"/>
                <w:color w:val="auto"/>
                <w:sz w:val="21"/>
                <w:szCs w:val="20"/>
              </w:rPr>
              <w:t>183.</w:t>
            </w:r>
          </w:p>
        </w:tc>
        <w:tc>
          <w:tcPr>
            <w:tcW w:w="1379" w:type="pct"/>
            <w:vMerge w:val="restart"/>
            <w:tcBorders>
              <w:tl2br w:val="nil"/>
              <w:tr2bl w:val="nil"/>
            </w:tcBorders>
            <w:vAlign w:val="center"/>
          </w:tcPr>
          <w:p w14:paraId="75AF1A6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便携式四合一气体检测仪</w:t>
            </w:r>
          </w:p>
        </w:tc>
        <w:tc>
          <w:tcPr>
            <w:tcW w:w="718" w:type="pct"/>
            <w:tcBorders>
              <w:tl2br w:val="nil"/>
              <w:tr2bl w:val="nil"/>
            </w:tcBorders>
            <w:vAlign w:val="center"/>
          </w:tcPr>
          <w:p w14:paraId="145759C7">
            <w:pPr>
              <w:widowControl/>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氧气、氯化氢、氮氧化物、二氧化硫</w:t>
            </w:r>
          </w:p>
        </w:tc>
        <w:tc>
          <w:tcPr>
            <w:tcW w:w="545" w:type="pct"/>
            <w:tcBorders>
              <w:tl2br w:val="nil"/>
              <w:tr2bl w:val="nil"/>
            </w:tcBorders>
            <w:vAlign w:val="center"/>
          </w:tcPr>
          <w:p w14:paraId="34AD152F">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02A94FE4">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环境监测</w:t>
            </w:r>
          </w:p>
        </w:tc>
        <w:tc>
          <w:tcPr>
            <w:tcW w:w="980" w:type="pct"/>
            <w:tcBorders>
              <w:tl2br w:val="nil"/>
              <w:tr2bl w:val="nil"/>
            </w:tcBorders>
            <w:vAlign w:val="center"/>
          </w:tcPr>
          <w:p w14:paraId="0842B0ED">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微型消防站</w:t>
            </w:r>
          </w:p>
        </w:tc>
      </w:tr>
      <w:tr w14:paraId="38959B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417" w:type="pct"/>
            <w:tcBorders>
              <w:tl2br w:val="nil"/>
              <w:tr2bl w:val="nil"/>
            </w:tcBorders>
            <w:vAlign w:val="center"/>
          </w:tcPr>
          <w:p w14:paraId="665DA789">
            <w:pPr>
              <w:widowControl/>
              <w:spacing w:line="240" w:lineRule="auto"/>
              <w:ind w:firstLine="0" w:firstLineChars="0"/>
              <w:jc w:val="center"/>
              <w:textAlignment w:val="center"/>
              <w:rPr>
                <w:rFonts w:cs="宋体"/>
                <w:color w:val="auto"/>
                <w:sz w:val="21"/>
                <w:szCs w:val="20"/>
              </w:rPr>
            </w:pPr>
            <w:r>
              <w:rPr>
                <w:rFonts w:cs="宋体"/>
                <w:color w:val="auto"/>
                <w:sz w:val="21"/>
                <w:szCs w:val="20"/>
              </w:rPr>
              <w:t>184</w:t>
            </w:r>
          </w:p>
        </w:tc>
        <w:tc>
          <w:tcPr>
            <w:tcW w:w="1379" w:type="pct"/>
            <w:vMerge w:val="continue"/>
            <w:tcBorders>
              <w:tl2br w:val="nil"/>
              <w:tr2bl w:val="nil"/>
            </w:tcBorders>
            <w:vAlign w:val="center"/>
          </w:tcPr>
          <w:p w14:paraId="706241FB">
            <w:pPr>
              <w:spacing w:line="240" w:lineRule="auto"/>
              <w:ind w:firstLine="0" w:firstLineChars="0"/>
              <w:jc w:val="center"/>
              <w:rPr>
                <w:rFonts w:cs="宋体"/>
                <w:color w:val="auto"/>
                <w:sz w:val="21"/>
                <w:szCs w:val="20"/>
              </w:rPr>
            </w:pPr>
          </w:p>
        </w:tc>
        <w:tc>
          <w:tcPr>
            <w:tcW w:w="718" w:type="pct"/>
            <w:tcBorders>
              <w:tl2br w:val="nil"/>
              <w:tr2bl w:val="nil"/>
            </w:tcBorders>
            <w:vAlign w:val="center"/>
          </w:tcPr>
          <w:p w14:paraId="4EF7CC32">
            <w:pPr>
              <w:widowControl/>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可燃气体、氧气、一氧化碳、硫化氢</w:t>
            </w:r>
          </w:p>
        </w:tc>
        <w:tc>
          <w:tcPr>
            <w:tcW w:w="545" w:type="pct"/>
            <w:tcBorders>
              <w:tl2br w:val="nil"/>
              <w:tr2bl w:val="nil"/>
            </w:tcBorders>
            <w:vAlign w:val="center"/>
          </w:tcPr>
          <w:p w14:paraId="3187772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2A160400">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环境监测</w:t>
            </w:r>
          </w:p>
        </w:tc>
        <w:tc>
          <w:tcPr>
            <w:tcW w:w="980" w:type="pct"/>
            <w:tcBorders>
              <w:tl2br w:val="nil"/>
              <w:tr2bl w:val="nil"/>
            </w:tcBorders>
            <w:vAlign w:val="center"/>
          </w:tcPr>
          <w:p w14:paraId="7370902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微型消防站</w:t>
            </w:r>
          </w:p>
        </w:tc>
      </w:tr>
      <w:tr w14:paraId="27041C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417" w:type="pct"/>
            <w:tcBorders>
              <w:tl2br w:val="nil"/>
              <w:tr2bl w:val="nil"/>
            </w:tcBorders>
            <w:vAlign w:val="center"/>
          </w:tcPr>
          <w:p w14:paraId="2F06863D">
            <w:pPr>
              <w:widowControl/>
              <w:spacing w:line="240" w:lineRule="auto"/>
              <w:ind w:firstLine="0" w:firstLineChars="0"/>
              <w:jc w:val="center"/>
              <w:textAlignment w:val="center"/>
              <w:rPr>
                <w:rFonts w:cs="宋体"/>
                <w:color w:val="auto"/>
                <w:sz w:val="21"/>
                <w:szCs w:val="20"/>
              </w:rPr>
            </w:pPr>
            <w:r>
              <w:rPr>
                <w:rFonts w:cs="宋体"/>
                <w:color w:val="auto"/>
                <w:sz w:val="21"/>
                <w:szCs w:val="20"/>
              </w:rPr>
              <w:t>185</w:t>
            </w:r>
          </w:p>
        </w:tc>
        <w:tc>
          <w:tcPr>
            <w:tcW w:w="1379" w:type="pct"/>
            <w:tcBorders>
              <w:tl2br w:val="nil"/>
              <w:tr2bl w:val="nil"/>
            </w:tcBorders>
            <w:vAlign w:val="center"/>
          </w:tcPr>
          <w:p w14:paraId="7016366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便携式有毒气体探测器</w:t>
            </w:r>
          </w:p>
        </w:tc>
        <w:tc>
          <w:tcPr>
            <w:tcW w:w="718" w:type="pct"/>
            <w:tcBorders>
              <w:tl2br w:val="nil"/>
              <w:tr2bl w:val="nil"/>
            </w:tcBorders>
            <w:vAlign w:val="center"/>
          </w:tcPr>
          <w:p w14:paraId="205059E2">
            <w:pPr>
              <w:widowControl/>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氨气</w:t>
            </w:r>
          </w:p>
        </w:tc>
        <w:tc>
          <w:tcPr>
            <w:tcW w:w="545" w:type="pct"/>
            <w:tcBorders>
              <w:tl2br w:val="nil"/>
              <w:tr2bl w:val="nil"/>
            </w:tcBorders>
            <w:vAlign w:val="center"/>
          </w:tcPr>
          <w:p w14:paraId="2BDFA64B">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70B86A81">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环境监测</w:t>
            </w:r>
          </w:p>
        </w:tc>
        <w:tc>
          <w:tcPr>
            <w:tcW w:w="980" w:type="pct"/>
            <w:tcBorders>
              <w:tl2br w:val="nil"/>
              <w:tr2bl w:val="nil"/>
            </w:tcBorders>
            <w:vAlign w:val="center"/>
          </w:tcPr>
          <w:p w14:paraId="1BBC6AF5">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微型消防站</w:t>
            </w:r>
          </w:p>
        </w:tc>
      </w:tr>
      <w:tr w14:paraId="620E5C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64D91A6A">
            <w:pPr>
              <w:widowControl/>
              <w:spacing w:line="240" w:lineRule="auto"/>
              <w:ind w:firstLine="0" w:firstLineChars="0"/>
              <w:jc w:val="center"/>
              <w:textAlignment w:val="center"/>
              <w:rPr>
                <w:rFonts w:cs="宋体"/>
                <w:color w:val="auto"/>
                <w:sz w:val="21"/>
                <w:szCs w:val="20"/>
              </w:rPr>
            </w:pPr>
            <w:r>
              <w:rPr>
                <w:rFonts w:cs="宋体"/>
                <w:color w:val="auto"/>
                <w:sz w:val="21"/>
                <w:szCs w:val="20"/>
              </w:rPr>
              <w:t>186</w:t>
            </w:r>
          </w:p>
        </w:tc>
        <w:tc>
          <w:tcPr>
            <w:tcW w:w="1379" w:type="pct"/>
            <w:tcBorders>
              <w:tl2br w:val="nil"/>
              <w:tr2bl w:val="nil"/>
            </w:tcBorders>
            <w:vAlign w:val="center"/>
          </w:tcPr>
          <w:p w14:paraId="00FBE379">
            <w:pPr>
              <w:widowControl/>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沙袋</w:t>
            </w:r>
          </w:p>
        </w:tc>
        <w:tc>
          <w:tcPr>
            <w:tcW w:w="718" w:type="pct"/>
            <w:tcBorders>
              <w:tl2br w:val="nil"/>
              <w:tr2bl w:val="nil"/>
            </w:tcBorders>
            <w:vAlign w:val="center"/>
          </w:tcPr>
          <w:p w14:paraId="54C9351D">
            <w:pPr>
              <w:spacing w:line="240" w:lineRule="auto"/>
              <w:ind w:firstLine="0" w:firstLineChars="0"/>
              <w:jc w:val="center"/>
              <w:rPr>
                <w:rFonts w:cs="宋体"/>
                <w:color w:val="auto"/>
                <w:sz w:val="21"/>
                <w:szCs w:val="21"/>
              </w:rPr>
            </w:pPr>
          </w:p>
        </w:tc>
        <w:tc>
          <w:tcPr>
            <w:tcW w:w="545" w:type="pct"/>
            <w:tcBorders>
              <w:tl2br w:val="nil"/>
              <w:tr2bl w:val="nil"/>
            </w:tcBorders>
            <w:vAlign w:val="center"/>
          </w:tcPr>
          <w:p w14:paraId="3F03CEC3">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1000袋</w:t>
            </w:r>
          </w:p>
        </w:tc>
        <w:tc>
          <w:tcPr>
            <w:tcW w:w="958" w:type="pct"/>
            <w:tcBorders>
              <w:tl2br w:val="nil"/>
              <w:tr2bl w:val="nil"/>
            </w:tcBorders>
            <w:noWrap/>
            <w:vAlign w:val="center"/>
          </w:tcPr>
          <w:p w14:paraId="5434DD11">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污染源切断</w:t>
            </w:r>
          </w:p>
        </w:tc>
        <w:tc>
          <w:tcPr>
            <w:tcW w:w="980" w:type="pct"/>
            <w:tcBorders>
              <w:tl2br w:val="nil"/>
              <w:tr2bl w:val="nil"/>
            </w:tcBorders>
            <w:vAlign w:val="center"/>
          </w:tcPr>
          <w:p w14:paraId="3ECAB65E">
            <w:pPr>
              <w:widowControl/>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乙酰丙酮场地</w:t>
            </w:r>
          </w:p>
        </w:tc>
      </w:tr>
      <w:tr w14:paraId="390EAB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5037D41B">
            <w:pPr>
              <w:widowControl/>
              <w:spacing w:line="240" w:lineRule="auto"/>
              <w:ind w:firstLine="0" w:firstLineChars="0"/>
              <w:jc w:val="center"/>
              <w:textAlignment w:val="center"/>
              <w:rPr>
                <w:rFonts w:cs="宋体"/>
                <w:color w:val="auto"/>
                <w:sz w:val="21"/>
                <w:szCs w:val="20"/>
              </w:rPr>
            </w:pPr>
            <w:r>
              <w:rPr>
                <w:rFonts w:cs="宋体"/>
                <w:color w:val="auto"/>
                <w:sz w:val="21"/>
                <w:szCs w:val="20"/>
              </w:rPr>
              <w:t>187</w:t>
            </w:r>
          </w:p>
        </w:tc>
        <w:tc>
          <w:tcPr>
            <w:tcW w:w="1379" w:type="pct"/>
            <w:tcBorders>
              <w:tl2br w:val="nil"/>
              <w:tr2bl w:val="nil"/>
            </w:tcBorders>
            <w:vAlign w:val="center"/>
          </w:tcPr>
          <w:p w14:paraId="22FCA5B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排放池</w:t>
            </w:r>
          </w:p>
        </w:tc>
        <w:tc>
          <w:tcPr>
            <w:tcW w:w="718" w:type="pct"/>
            <w:tcBorders>
              <w:tl2br w:val="nil"/>
              <w:tr2bl w:val="nil"/>
            </w:tcBorders>
            <w:vAlign w:val="center"/>
          </w:tcPr>
          <w:p w14:paraId="717CD464">
            <w:pPr>
              <w:widowControl/>
              <w:spacing w:line="240" w:lineRule="auto"/>
              <w:ind w:firstLine="0" w:firstLineChars="0"/>
              <w:jc w:val="center"/>
              <w:textAlignment w:val="center"/>
              <w:rPr>
                <w:color w:val="auto"/>
                <w:sz w:val="21"/>
                <w:szCs w:val="21"/>
              </w:rPr>
            </w:pPr>
            <w:r>
              <w:rPr>
                <w:color w:val="auto"/>
                <w:kern w:val="0"/>
                <w:sz w:val="21"/>
                <w:szCs w:val="21"/>
                <w:lang w:bidi="ar"/>
              </w:rPr>
              <w:t>600m</w:t>
            </w:r>
            <w:r>
              <w:rPr>
                <w:color w:val="auto"/>
                <w:kern w:val="0"/>
                <w:sz w:val="21"/>
                <w:szCs w:val="21"/>
                <w:vertAlign w:val="superscript"/>
                <w:lang w:bidi="ar"/>
              </w:rPr>
              <w:t>3</w:t>
            </w:r>
          </w:p>
        </w:tc>
        <w:tc>
          <w:tcPr>
            <w:tcW w:w="545" w:type="pct"/>
            <w:tcBorders>
              <w:tl2br w:val="nil"/>
              <w:tr2bl w:val="nil"/>
            </w:tcBorders>
            <w:vAlign w:val="center"/>
          </w:tcPr>
          <w:p w14:paraId="314F9369">
            <w:pPr>
              <w:widowControl/>
              <w:spacing w:line="240" w:lineRule="auto"/>
              <w:ind w:firstLine="0" w:firstLineChars="0"/>
              <w:jc w:val="center"/>
              <w:textAlignment w:val="center"/>
              <w:rPr>
                <w:color w:val="auto"/>
                <w:sz w:val="21"/>
                <w:szCs w:val="21"/>
              </w:rPr>
            </w:pPr>
            <w:r>
              <w:rPr>
                <w:color w:val="auto"/>
                <w:kern w:val="0"/>
                <w:sz w:val="21"/>
                <w:szCs w:val="21"/>
                <w:lang w:bidi="ar"/>
              </w:rPr>
              <w:t>1</w:t>
            </w:r>
          </w:p>
        </w:tc>
        <w:tc>
          <w:tcPr>
            <w:tcW w:w="958" w:type="pct"/>
            <w:tcBorders>
              <w:tl2br w:val="nil"/>
              <w:tr2bl w:val="nil"/>
            </w:tcBorders>
            <w:noWrap/>
            <w:vAlign w:val="center"/>
          </w:tcPr>
          <w:p w14:paraId="379A5918">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80" w:type="pct"/>
            <w:tcBorders>
              <w:tl2br w:val="nil"/>
              <w:tr2bl w:val="nil"/>
            </w:tcBorders>
            <w:vAlign w:val="center"/>
          </w:tcPr>
          <w:p w14:paraId="5F393EA0">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环保车间</w:t>
            </w:r>
          </w:p>
        </w:tc>
      </w:tr>
      <w:tr w14:paraId="62E886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2C698163">
            <w:pPr>
              <w:widowControl/>
              <w:spacing w:line="240" w:lineRule="auto"/>
              <w:ind w:firstLine="0" w:firstLineChars="0"/>
              <w:jc w:val="center"/>
              <w:textAlignment w:val="center"/>
              <w:rPr>
                <w:rFonts w:cs="宋体"/>
                <w:color w:val="auto"/>
                <w:sz w:val="21"/>
                <w:szCs w:val="20"/>
              </w:rPr>
            </w:pPr>
            <w:r>
              <w:rPr>
                <w:rFonts w:cs="宋体"/>
                <w:color w:val="auto"/>
                <w:sz w:val="21"/>
                <w:szCs w:val="20"/>
              </w:rPr>
              <w:t>188</w:t>
            </w:r>
          </w:p>
        </w:tc>
        <w:tc>
          <w:tcPr>
            <w:tcW w:w="1379" w:type="pct"/>
            <w:tcBorders>
              <w:tl2br w:val="nil"/>
              <w:tr2bl w:val="nil"/>
            </w:tcBorders>
            <w:vAlign w:val="center"/>
          </w:tcPr>
          <w:p w14:paraId="667E635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废水收集槽</w:t>
            </w:r>
          </w:p>
        </w:tc>
        <w:tc>
          <w:tcPr>
            <w:tcW w:w="718" w:type="pct"/>
            <w:tcBorders>
              <w:tl2br w:val="nil"/>
              <w:tr2bl w:val="nil"/>
            </w:tcBorders>
            <w:vAlign w:val="center"/>
          </w:tcPr>
          <w:p w14:paraId="422E5355">
            <w:pPr>
              <w:widowControl/>
              <w:spacing w:line="240" w:lineRule="auto"/>
              <w:ind w:firstLine="0" w:firstLineChars="0"/>
              <w:jc w:val="center"/>
              <w:textAlignment w:val="center"/>
              <w:rPr>
                <w:color w:val="auto"/>
                <w:sz w:val="21"/>
                <w:szCs w:val="21"/>
              </w:rPr>
            </w:pPr>
            <w:r>
              <w:rPr>
                <w:color w:val="auto"/>
                <w:kern w:val="0"/>
                <w:sz w:val="21"/>
                <w:szCs w:val="21"/>
                <w:lang w:bidi="ar"/>
              </w:rPr>
              <w:t>5m</w:t>
            </w:r>
            <w:r>
              <w:rPr>
                <w:color w:val="auto"/>
                <w:kern w:val="0"/>
                <w:sz w:val="21"/>
                <w:szCs w:val="21"/>
                <w:vertAlign w:val="superscript"/>
                <w:lang w:bidi="ar"/>
              </w:rPr>
              <w:t>3</w:t>
            </w:r>
          </w:p>
        </w:tc>
        <w:tc>
          <w:tcPr>
            <w:tcW w:w="545" w:type="pct"/>
            <w:tcBorders>
              <w:tl2br w:val="nil"/>
              <w:tr2bl w:val="nil"/>
            </w:tcBorders>
            <w:vAlign w:val="center"/>
          </w:tcPr>
          <w:p w14:paraId="3E1DE06C">
            <w:pPr>
              <w:widowControl/>
              <w:spacing w:line="240" w:lineRule="auto"/>
              <w:ind w:firstLine="0" w:firstLineChars="0"/>
              <w:jc w:val="center"/>
              <w:textAlignment w:val="center"/>
              <w:rPr>
                <w:color w:val="auto"/>
                <w:sz w:val="21"/>
                <w:szCs w:val="21"/>
              </w:rPr>
            </w:pPr>
            <w:r>
              <w:rPr>
                <w:color w:val="auto"/>
                <w:kern w:val="0"/>
                <w:sz w:val="21"/>
                <w:szCs w:val="21"/>
                <w:lang w:bidi="ar"/>
              </w:rPr>
              <w:t>1</w:t>
            </w:r>
          </w:p>
        </w:tc>
        <w:tc>
          <w:tcPr>
            <w:tcW w:w="958" w:type="pct"/>
            <w:tcBorders>
              <w:tl2br w:val="nil"/>
              <w:tr2bl w:val="nil"/>
            </w:tcBorders>
            <w:noWrap/>
            <w:vAlign w:val="center"/>
          </w:tcPr>
          <w:p w14:paraId="52F92C39">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80" w:type="pct"/>
            <w:tcBorders>
              <w:tl2br w:val="nil"/>
              <w:tr2bl w:val="nil"/>
            </w:tcBorders>
            <w:vAlign w:val="center"/>
          </w:tcPr>
          <w:p w14:paraId="6293051A">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各车间</w:t>
            </w:r>
          </w:p>
        </w:tc>
      </w:tr>
      <w:tr w14:paraId="5076EE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417" w:type="pct"/>
            <w:tcBorders>
              <w:tl2br w:val="nil"/>
              <w:tr2bl w:val="nil"/>
            </w:tcBorders>
            <w:vAlign w:val="center"/>
          </w:tcPr>
          <w:p w14:paraId="672A54DB">
            <w:pPr>
              <w:widowControl/>
              <w:spacing w:line="240" w:lineRule="auto"/>
              <w:ind w:firstLine="0" w:firstLineChars="0"/>
              <w:jc w:val="center"/>
              <w:textAlignment w:val="center"/>
              <w:rPr>
                <w:rFonts w:cs="宋体"/>
                <w:color w:val="auto"/>
                <w:sz w:val="21"/>
                <w:szCs w:val="20"/>
              </w:rPr>
            </w:pPr>
            <w:r>
              <w:rPr>
                <w:rFonts w:cs="宋体"/>
                <w:color w:val="auto"/>
                <w:sz w:val="21"/>
                <w:szCs w:val="20"/>
              </w:rPr>
              <w:t>189</w:t>
            </w:r>
          </w:p>
        </w:tc>
        <w:tc>
          <w:tcPr>
            <w:tcW w:w="1379" w:type="pct"/>
            <w:tcBorders>
              <w:tl2br w:val="nil"/>
              <w:tr2bl w:val="nil"/>
            </w:tcBorders>
            <w:vAlign w:val="center"/>
          </w:tcPr>
          <w:p w14:paraId="78DF0FEE">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初期雨水池</w:t>
            </w:r>
          </w:p>
        </w:tc>
        <w:tc>
          <w:tcPr>
            <w:tcW w:w="718" w:type="pct"/>
            <w:tcBorders>
              <w:tl2br w:val="nil"/>
              <w:tr2bl w:val="nil"/>
            </w:tcBorders>
            <w:vAlign w:val="center"/>
          </w:tcPr>
          <w:p w14:paraId="2AFC86F6">
            <w:pPr>
              <w:widowControl/>
              <w:spacing w:line="240" w:lineRule="auto"/>
              <w:ind w:firstLine="0" w:firstLineChars="0"/>
              <w:jc w:val="center"/>
              <w:textAlignment w:val="center"/>
              <w:rPr>
                <w:color w:val="auto"/>
                <w:sz w:val="21"/>
                <w:szCs w:val="21"/>
              </w:rPr>
            </w:pPr>
            <w:r>
              <w:rPr>
                <w:color w:val="auto"/>
                <w:kern w:val="0"/>
                <w:sz w:val="21"/>
                <w:szCs w:val="21"/>
                <w:lang w:bidi="ar"/>
              </w:rPr>
              <w:t>200m</w:t>
            </w:r>
            <w:r>
              <w:rPr>
                <w:color w:val="auto"/>
                <w:kern w:val="0"/>
                <w:sz w:val="21"/>
                <w:szCs w:val="21"/>
                <w:vertAlign w:val="superscript"/>
                <w:lang w:bidi="ar"/>
              </w:rPr>
              <w:t>3</w:t>
            </w:r>
          </w:p>
        </w:tc>
        <w:tc>
          <w:tcPr>
            <w:tcW w:w="545" w:type="pct"/>
            <w:tcBorders>
              <w:tl2br w:val="nil"/>
              <w:tr2bl w:val="nil"/>
            </w:tcBorders>
            <w:vAlign w:val="center"/>
          </w:tcPr>
          <w:p w14:paraId="605BDFEF">
            <w:pPr>
              <w:widowControl/>
              <w:spacing w:line="240" w:lineRule="auto"/>
              <w:ind w:firstLine="0" w:firstLineChars="0"/>
              <w:jc w:val="center"/>
              <w:textAlignment w:val="center"/>
              <w:rPr>
                <w:color w:val="auto"/>
                <w:sz w:val="21"/>
                <w:szCs w:val="21"/>
              </w:rPr>
            </w:pPr>
            <w:r>
              <w:rPr>
                <w:color w:val="auto"/>
                <w:kern w:val="0"/>
                <w:sz w:val="21"/>
                <w:szCs w:val="21"/>
                <w:lang w:bidi="ar"/>
              </w:rPr>
              <w:t>1</w:t>
            </w:r>
          </w:p>
        </w:tc>
        <w:tc>
          <w:tcPr>
            <w:tcW w:w="958" w:type="pct"/>
            <w:tcBorders>
              <w:tl2br w:val="nil"/>
              <w:tr2bl w:val="nil"/>
            </w:tcBorders>
            <w:noWrap/>
            <w:vAlign w:val="center"/>
          </w:tcPr>
          <w:p w14:paraId="0EFA4E1F">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80" w:type="pct"/>
            <w:tcBorders>
              <w:tl2br w:val="nil"/>
              <w:tr2bl w:val="nil"/>
            </w:tcBorders>
            <w:vAlign w:val="center"/>
          </w:tcPr>
          <w:p w14:paraId="6717168E">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环保车间二东侧</w:t>
            </w:r>
          </w:p>
        </w:tc>
      </w:tr>
      <w:tr w14:paraId="239C59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17" w:type="pct"/>
            <w:tcBorders>
              <w:tl2br w:val="nil"/>
              <w:tr2bl w:val="nil"/>
            </w:tcBorders>
            <w:vAlign w:val="center"/>
          </w:tcPr>
          <w:p w14:paraId="3F09E98C">
            <w:pPr>
              <w:widowControl/>
              <w:spacing w:line="240" w:lineRule="auto"/>
              <w:ind w:firstLine="0" w:firstLineChars="0"/>
              <w:jc w:val="center"/>
              <w:textAlignment w:val="center"/>
              <w:rPr>
                <w:rFonts w:cs="宋体"/>
                <w:color w:val="auto"/>
                <w:sz w:val="21"/>
                <w:szCs w:val="20"/>
              </w:rPr>
            </w:pPr>
            <w:r>
              <w:rPr>
                <w:rFonts w:cs="宋体"/>
                <w:color w:val="auto"/>
                <w:sz w:val="21"/>
                <w:szCs w:val="20"/>
              </w:rPr>
              <w:t>190</w:t>
            </w:r>
          </w:p>
        </w:tc>
        <w:tc>
          <w:tcPr>
            <w:tcW w:w="1379" w:type="pct"/>
            <w:tcBorders>
              <w:tl2br w:val="nil"/>
              <w:tr2bl w:val="nil"/>
            </w:tcBorders>
            <w:vAlign w:val="center"/>
          </w:tcPr>
          <w:p w14:paraId="434877F0">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应急池</w:t>
            </w:r>
          </w:p>
        </w:tc>
        <w:tc>
          <w:tcPr>
            <w:tcW w:w="718" w:type="pct"/>
            <w:tcBorders>
              <w:tl2br w:val="nil"/>
              <w:tr2bl w:val="nil"/>
            </w:tcBorders>
            <w:vAlign w:val="center"/>
          </w:tcPr>
          <w:p w14:paraId="2BEF458C">
            <w:pPr>
              <w:widowControl/>
              <w:spacing w:line="240" w:lineRule="auto"/>
              <w:ind w:firstLine="0" w:firstLineChars="0"/>
              <w:jc w:val="center"/>
              <w:textAlignment w:val="center"/>
              <w:rPr>
                <w:color w:val="auto"/>
                <w:sz w:val="21"/>
                <w:szCs w:val="21"/>
              </w:rPr>
            </w:pPr>
            <w:r>
              <w:rPr>
                <w:color w:val="auto"/>
                <w:kern w:val="0"/>
                <w:sz w:val="21"/>
                <w:szCs w:val="21"/>
                <w:lang w:bidi="ar"/>
              </w:rPr>
              <w:t>600m</w:t>
            </w:r>
            <w:r>
              <w:rPr>
                <w:color w:val="auto"/>
                <w:kern w:val="0"/>
                <w:sz w:val="21"/>
                <w:szCs w:val="21"/>
                <w:vertAlign w:val="superscript"/>
                <w:lang w:bidi="ar"/>
              </w:rPr>
              <w:t>3</w:t>
            </w:r>
          </w:p>
        </w:tc>
        <w:tc>
          <w:tcPr>
            <w:tcW w:w="545" w:type="pct"/>
            <w:tcBorders>
              <w:tl2br w:val="nil"/>
              <w:tr2bl w:val="nil"/>
            </w:tcBorders>
            <w:vAlign w:val="center"/>
          </w:tcPr>
          <w:p w14:paraId="6C9D61A0">
            <w:pPr>
              <w:widowControl/>
              <w:spacing w:line="240" w:lineRule="auto"/>
              <w:ind w:firstLine="0" w:firstLineChars="0"/>
              <w:jc w:val="center"/>
              <w:textAlignment w:val="center"/>
              <w:rPr>
                <w:color w:val="auto"/>
                <w:sz w:val="21"/>
                <w:szCs w:val="21"/>
              </w:rPr>
            </w:pPr>
            <w:r>
              <w:rPr>
                <w:color w:val="auto"/>
                <w:kern w:val="0"/>
                <w:sz w:val="21"/>
                <w:szCs w:val="21"/>
                <w:lang w:bidi="ar"/>
              </w:rPr>
              <w:t>1</w:t>
            </w:r>
          </w:p>
        </w:tc>
        <w:tc>
          <w:tcPr>
            <w:tcW w:w="958" w:type="pct"/>
            <w:tcBorders>
              <w:tl2br w:val="nil"/>
              <w:tr2bl w:val="nil"/>
            </w:tcBorders>
            <w:noWrap/>
            <w:vAlign w:val="center"/>
          </w:tcPr>
          <w:p w14:paraId="54D81BB6">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80" w:type="pct"/>
            <w:tcBorders>
              <w:tl2br w:val="nil"/>
              <w:tr2bl w:val="nil"/>
            </w:tcBorders>
            <w:vAlign w:val="center"/>
          </w:tcPr>
          <w:p w14:paraId="43BE1321">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环保车间二东侧</w:t>
            </w:r>
          </w:p>
        </w:tc>
      </w:tr>
      <w:tr w14:paraId="326AF6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417" w:type="pct"/>
            <w:tcBorders>
              <w:tl2br w:val="nil"/>
              <w:tr2bl w:val="nil"/>
            </w:tcBorders>
            <w:vAlign w:val="center"/>
          </w:tcPr>
          <w:p w14:paraId="18FB18D9">
            <w:pPr>
              <w:widowControl/>
              <w:spacing w:line="240" w:lineRule="auto"/>
              <w:ind w:firstLine="0" w:firstLineChars="0"/>
              <w:jc w:val="center"/>
              <w:textAlignment w:val="center"/>
              <w:rPr>
                <w:rFonts w:cs="宋体"/>
                <w:color w:val="auto"/>
                <w:sz w:val="21"/>
                <w:szCs w:val="20"/>
              </w:rPr>
            </w:pPr>
            <w:r>
              <w:rPr>
                <w:rFonts w:cs="宋体"/>
                <w:color w:val="auto"/>
                <w:sz w:val="21"/>
                <w:szCs w:val="20"/>
              </w:rPr>
              <w:t>191</w:t>
            </w:r>
          </w:p>
        </w:tc>
        <w:tc>
          <w:tcPr>
            <w:tcW w:w="1379" w:type="pct"/>
            <w:tcBorders>
              <w:tl2br w:val="nil"/>
              <w:tr2bl w:val="nil"/>
            </w:tcBorders>
            <w:vAlign w:val="center"/>
          </w:tcPr>
          <w:p w14:paraId="3A10555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应急泵</w:t>
            </w:r>
          </w:p>
        </w:tc>
        <w:tc>
          <w:tcPr>
            <w:tcW w:w="718" w:type="pct"/>
            <w:tcBorders>
              <w:tl2br w:val="nil"/>
              <w:tr2bl w:val="nil"/>
            </w:tcBorders>
            <w:vAlign w:val="center"/>
          </w:tcPr>
          <w:p w14:paraId="066F1D6F">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35m扬程</w:t>
            </w:r>
          </w:p>
        </w:tc>
        <w:tc>
          <w:tcPr>
            <w:tcW w:w="545" w:type="pct"/>
            <w:tcBorders>
              <w:tl2br w:val="nil"/>
              <w:tr2bl w:val="nil"/>
            </w:tcBorders>
            <w:vAlign w:val="center"/>
          </w:tcPr>
          <w:p w14:paraId="211B64E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3FE1E383">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80" w:type="pct"/>
            <w:tcBorders>
              <w:tl2br w:val="nil"/>
              <w:tr2bl w:val="nil"/>
            </w:tcBorders>
            <w:vAlign w:val="center"/>
          </w:tcPr>
          <w:p w14:paraId="699DD9BD">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乙酰丙酮场地</w:t>
            </w:r>
          </w:p>
        </w:tc>
      </w:tr>
      <w:tr w14:paraId="710094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417" w:type="pct"/>
            <w:tcBorders>
              <w:tl2br w:val="nil"/>
              <w:tr2bl w:val="nil"/>
            </w:tcBorders>
            <w:vAlign w:val="center"/>
          </w:tcPr>
          <w:p w14:paraId="029F8C04">
            <w:pPr>
              <w:widowControl/>
              <w:spacing w:line="240" w:lineRule="auto"/>
              <w:ind w:firstLine="0" w:firstLineChars="0"/>
              <w:jc w:val="center"/>
              <w:textAlignment w:val="center"/>
              <w:rPr>
                <w:rFonts w:cs="宋体"/>
                <w:color w:val="auto"/>
                <w:sz w:val="21"/>
                <w:szCs w:val="20"/>
              </w:rPr>
            </w:pPr>
            <w:r>
              <w:rPr>
                <w:rFonts w:cs="宋体"/>
                <w:color w:val="auto"/>
                <w:sz w:val="21"/>
                <w:szCs w:val="20"/>
              </w:rPr>
              <w:t>192</w:t>
            </w:r>
          </w:p>
        </w:tc>
        <w:tc>
          <w:tcPr>
            <w:tcW w:w="1379" w:type="pct"/>
            <w:tcBorders>
              <w:tl2br w:val="nil"/>
              <w:tr2bl w:val="nil"/>
            </w:tcBorders>
            <w:vAlign w:val="center"/>
          </w:tcPr>
          <w:p w14:paraId="7A0EBDE9">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泄漏物真空收集泵</w:t>
            </w:r>
          </w:p>
        </w:tc>
        <w:tc>
          <w:tcPr>
            <w:tcW w:w="718" w:type="pct"/>
            <w:tcBorders>
              <w:tl2br w:val="nil"/>
              <w:tr2bl w:val="nil"/>
            </w:tcBorders>
            <w:vAlign w:val="center"/>
          </w:tcPr>
          <w:p w14:paraId="2FAD049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763D1765">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6D37EF21">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80" w:type="pct"/>
            <w:tcBorders>
              <w:tl2br w:val="nil"/>
              <w:tr2bl w:val="nil"/>
            </w:tcBorders>
            <w:vAlign w:val="center"/>
          </w:tcPr>
          <w:p w14:paraId="3CF93CA2">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1#车间内（闲置）</w:t>
            </w:r>
          </w:p>
        </w:tc>
      </w:tr>
      <w:tr w14:paraId="1B80DA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417" w:type="pct"/>
            <w:tcBorders>
              <w:tl2br w:val="nil"/>
              <w:tr2bl w:val="nil"/>
            </w:tcBorders>
            <w:vAlign w:val="center"/>
          </w:tcPr>
          <w:p w14:paraId="086B2AD2">
            <w:pPr>
              <w:widowControl/>
              <w:spacing w:line="240" w:lineRule="auto"/>
              <w:ind w:firstLine="0" w:firstLineChars="0"/>
              <w:jc w:val="center"/>
              <w:textAlignment w:val="center"/>
              <w:rPr>
                <w:rFonts w:cs="宋体"/>
                <w:color w:val="auto"/>
                <w:sz w:val="21"/>
                <w:szCs w:val="20"/>
              </w:rPr>
            </w:pPr>
            <w:r>
              <w:rPr>
                <w:rFonts w:hint="eastAsia" w:cs="宋体"/>
                <w:color w:val="auto"/>
                <w:sz w:val="21"/>
                <w:szCs w:val="20"/>
              </w:rPr>
              <w:t>193</w:t>
            </w:r>
          </w:p>
        </w:tc>
        <w:tc>
          <w:tcPr>
            <w:tcW w:w="1379" w:type="pct"/>
            <w:tcBorders>
              <w:tl2br w:val="nil"/>
              <w:tr2bl w:val="nil"/>
            </w:tcBorders>
            <w:vAlign w:val="center"/>
          </w:tcPr>
          <w:p w14:paraId="1A9EB520">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烧碱</w:t>
            </w:r>
          </w:p>
        </w:tc>
        <w:tc>
          <w:tcPr>
            <w:tcW w:w="718" w:type="pct"/>
            <w:tcBorders>
              <w:tl2br w:val="nil"/>
              <w:tr2bl w:val="nil"/>
            </w:tcBorders>
            <w:vAlign w:val="center"/>
          </w:tcPr>
          <w:p w14:paraId="5321AF8B">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32%</w:t>
            </w:r>
          </w:p>
        </w:tc>
        <w:tc>
          <w:tcPr>
            <w:tcW w:w="545" w:type="pct"/>
            <w:tcBorders>
              <w:tl2br w:val="nil"/>
              <w:tr2bl w:val="nil"/>
            </w:tcBorders>
            <w:vAlign w:val="center"/>
          </w:tcPr>
          <w:p w14:paraId="65D91455">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若干</w:t>
            </w:r>
          </w:p>
        </w:tc>
        <w:tc>
          <w:tcPr>
            <w:tcW w:w="958" w:type="pct"/>
            <w:tcBorders>
              <w:tl2br w:val="nil"/>
              <w:tr2bl w:val="nil"/>
            </w:tcBorders>
            <w:noWrap/>
            <w:vAlign w:val="center"/>
          </w:tcPr>
          <w:p w14:paraId="58BA1589">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污染物降解</w:t>
            </w:r>
          </w:p>
        </w:tc>
        <w:tc>
          <w:tcPr>
            <w:tcW w:w="980" w:type="pct"/>
            <w:tcBorders>
              <w:tl2br w:val="nil"/>
              <w:tr2bl w:val="nil"/>
            </w:tcBorders>
            <w:vAlign w:val="center"/>
          </w:tcPr>
          <w:p w14:paraId="4B7C317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液碱储罐内</w:t>
            </w:r>
          </w:p>
        </w:tc>
      </w:tr>
    </w:tbl>
    <w:p w14:paraId="1ECE67AB">
      <w:pPr>
        <w:pStyle w:val="4"/>
        <w:rPr>
          <w:color w:val="auto"/>
        </w:rPr>
      </w:pPr>
      <w:bookmarkStart w:id="111" w:name="_Toc16574"/>
      <w:r>
        <w:rPr>
          <w:rFonts w:hint="eastAsia"/>
          <w:color w:val="auto"/>
        </w:rPr>
        <w:t>3.6.4应急演练</w:t>
      </w:r>
      <w:bookmarkEnd w:id="111"/>
    </w:p>
    <w:p w14:paraId="31E19F9C">
      <w:pPr>
        <w:spacing w:line="460" w:lineRule="exact"/>
        <w:ind w:firstLine="480"/>
        <w:rPr>
          <w:color w:val="auto"/>
        </w:rPr>
      </w:pPr>
      <w:r>
        <w:rPr>
          <w:rFonts w:hint="eastAsia"/>
          <w:color w:val="auto"/>
        </w:rPr>
        <w:t>亚太药业作为现有项目各类环境治理设施建设、运行、维护、拆除的责任主体，已对环境治理设施开展安全风险辨识管控，健全内部污染防治设施稳定运行和管理责任制度，严格依据标准规范建设环境治理设施，确保环境治理设施安全、稳定、有效运行。亚太药业已定期开展应急演练，演练情况见图3.6-1。</w:t>
      </w:r>
    </w:p>
    <w:p w14:paraId="6F8068EC">
      <w:pPr>
        <w:spacing w:line="240" w:lineRule="auto"/>
        <w:ind w:firstLine="0" w:firstLineChars="0"/>
        <w:jc w:val="center"/>
        <w:rPr>
          <w:rFonts w:eastAsia="仿宋_GB2312"/>
          <w:color w:val="auto"/>
          <w:sz w:val="28"/>
          <w:szCs w:val="28"/>
        </w:rPr>
      </w:pPr>
      <w:r>
        <w:rPr>
          <w:rFonts w:eastAsia="仿宋_GB2312"/>
          <w:color w:val="auto"/>
          <w:sz w:val="28"/>
          <w:szCs w:val="28"/>
        </w:rPr>
        <w:drawing>
          <wp:inline distT="0" distB="0" distL="114300" distR="114300">
            <wp:extent cx="2291715" cy="1720850"/>
            <wp:effectExtent l="0" t="0" r="13335" b="12700"/>
            <wp:docPr id="54" name="图片 54" descr="微信图片_2024072520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40725202204"/>
                    <pic:cNvPicPr>
                      <a:picLocks noChangeAspect="1"/>
                    </pic:cNvPicPr>
                  </pic:nvPicPr>
                  <pic:blipFill>
                    <a:blip r:embed="rId24"/>
                    <a:stretch>
                      <a:fillRect/>
                    </a:stretch>
                  </pic:blipFill>
                  <pic:spPr>
                    <a:xfrm>
                      <a:off x="0" y="0"/>
                      <a:ext cx="2291715" cy="1720850"/>
                    </a:xfrm>
                    <a:prstGeom prst="rect">
                      <a:avLst/>
                    </a:prstGeom>
                  </pic:spPr>
                </pic:pic>
              </a:graphicData>
            </a:graphic>
          </wp:inline>
        </w:drawing>
      </w:r>
      <w:r>
        <w:rPr>
          <w:rFonts w:eastAsia="仿宋_GB2312"/>
          <w:color w:val="auto"/>
          <w:sz w:val="28"/>
          <w:szCs w:val="28"/>
        </w:rPr>
        <w:drawing>
          <wp:inline distT="0" distB="0" distL="114300" distR="114300">
            <wp:extent cx="2364740" cy="1717675"/>
            <wp:effectExtent l="0" t="0" r="16510" b="15875"/>
            <wp:docPr id="55" name="图片 55" descr="微信图片_2024072520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40725202217"/>
                    <pic:cNvPicPr>
                      <a:picLocks noChangeAspect="1"/>
                    </pic:cNvPicPr>
                  </pic:nvPicPr>
                  <pic:blipFill>
                    <a:blip r:embed="rId25"/>
                    <a:stretch>
                      <a:fillRect/>
                    </a:stretch>
                  </pic:blipFill>
                  <pic:spPr>
                    <a:xfrm>
                      <a:off x="0" y="0"/>
                      <a:ext cx="2364740" cy="1717675"/>
                    </a:xfrm>
                    <a:prstGeom prst="rect">
                      <a:avLst/>
                    </a:prstGeom>
                  </pic:spPr>
                </pic:pic>
              </a:graphicData>
            </a:graphic>
          </wp:inline>
        </w:drawing>
      </w:r>
    </w:p>
    <w:p w14:paraId="2423BBA7">
      <w:pPr>
        <w:spacing w:line="240" w:lineRule="auto"/>
        <w:ind w:firstLine="482"/>
        <w:jc w:val="center"/>
        <w:rPr>
          <w:b/>
          <w:bCs/>
          <w:color w:val="auto"/>
          <w:kern w:val="28"/>
          <w:szCs w:val="32"/>
        </w:rPr>
      </w:pPr>
      <w:r>
        <w:rPr>
          <w:b/>
          <w:bCs/>
          <w:color w:val="auto"/>
          <w:kern w:val="28"/>
          <w:szCs w:val="32"/>
        </w:rPr>
        <w:t>图</w:t>
      </w:r>
      <w:r>
        <w:rPr>
          <w:rFonts w:hint="eastAsia"/>
          <w:b/>
          <w:bCs/>
          <w:color w:val="auto"/>
          <w:kern w:val="28"/>
          <w:szCs w:val="32"/>
        </w:rPr>
        <w:t>3.6-1</w:t>
      </w:r>
      <w:r>
        <w:rPr>
          <w:b/>
          <w:bCs/>
          <w:color w:val="auto"/>
          <w:kern w:val="28"/>
          <w:szCs w:val="32"/>
        </w:rPr>
        <w:t xml:space="preserve">  现有项目应急演练图片</w:t>
      </w:r>
    </w:p>
    <w:p w14:paraId="57AFF727">
      <w:pPr>
        <w:pStyle w:val="4"/>
        <w:rPr>
          <w:color w:val="auto"/>
        </w:rPr>
      </w:pPr>
      <w:bookmarkStart w:id="112" w:name="_Toc20129"/>
      <w:r>
        <w:rPr>
          <w:rFonts w:hint="eastAsia"/>
          <w:color w:val="auto"/>
        </w:rPr>
        <w:t>3.6.5</w:t>
      </w:r>
      <w:r>
        <w:rPr>
          <w:color w:val="auto"/>
        </w:rPr>
        <w:t>现有项目环境应急预案</w:t>
      </w:r>
      <w:bookmarkEnd w:id="112"/>
    </w:p>
    <w:p w14:paraId="466AB5E2">
      <w:pPr>
        <w:spacing w:line="460" w:lineRule="exact"/>
        <w:ind w:firstLine="480"/>
        <w:rPr>
          <w:color w:val="auto"/>
        </w:rPr>
      </w:pPr>
      <w:r>
        <w:rPr>
          <w:color w:val="auto"/>
        </w:rPr>
        <w:t>企业按照《突发环境事件应急管理办法》、《企业事业单位突发环境事件应急预案管理办法（试行）》等文件要求，编制了突发环境事件应急预案，于202</w:t>
      </w:r>
      <w:r>
        <w:rPr>
          <w:rFonts w:hint="eastAsia"/>
          <w:color w:val="auto"/>
        </w:rPr>
        <w:t>6</w:t>
      </w:r>
      <w:r>
        <w:rPr>
          <w:color w:val="auto"/>
        </w:rPr>
        <w:t>年</w:t>
      </w:r>
      <w:r>
        <w:rPr>
          <w:rFonts w:hint="eastAsia"/>
          <w:color w:val="auto"/>
        </w:rPr>
        <w:t>4</w:t>
      </w:r>
      <w:r>
        <w:rPr>
          <w:color w:val="auto"/>
        </w:rPr>
        <w:t>月</w:t>
      </w:r>
      <w:r>
        <w:rPr>
          <w:rFonts w:hint="eastAsia"/>
          <w:color w:val="auto"/>
        </w:rPr>
        <w:t>10</w:t>
      </w:r>
      <w:r>
        <w:rPr>
          <w:color w:val="auto"/>
        </w:rPr>
        <w:t>日进行了备案（备案号</w:t>
      </w:r>
      <w:r>
        <w:rPr>
          <w:rFonts w:hint="eastAsia"/>
          <w:color w:val="auto"/>
        </w:rPr>
        <w:t>：320681-2026-033-M</w:t>
      </w:r>
      <w:r>
        <w:rPr>
          <w:color w:val="auto"/>
        </w:rPr>
        <w:t>）。该应急预案对企业采取的环境风险防范措施、风险应急物资等均提出了具体要求。</w:t>
      </w:r>
    </w:p>
    <w:p w14:paraId="23FD66BF">
      <w:pPr>
        <w:spacing w:line="460" w:lineRule="exact"/>
        <w:ind w:firstLine="480"/>
        <w:rPr>
          <w:color w:val="auto"/>
        </w:rPr>
      </w:pPr>
      <w:r>
        <w:rPr>
          <w:color w:val="auto"/>
        </w:rPr>
        <w:t>建设单位已编制完成环境应急预案并备案，并制定了相应的环境风险管理制度，组织环境应急救援队伍定期进行演练，落实相关风险防范措施，配备必要的环境物资，自企业建成以来，从未发生突发环境风险事故，无被投诉情况。</w:t>
      </w:r>
    </w:p>
    <w:p w14:paraId="1A8D0374">
      <w:pPr>
        <w:pStyle w:val="3"/>
        <w:spacing w:before="312"/>
        <w:rPr>
          <w:color w:val="auto"/>
        </w:rPr>
      </w:pPr>
      <w:bookmarkStart w:id="113" w:name="_Toc25362"/>
      <w:r>
        <w:rPr>
          <w:rFonts w:hint="eastAsia"/>
          <w:color w:val="auto"/>
        </w:rPr>
        <w:t>3.7</w:t>
      </w:r>
      <w:r>
        <w:rPr>
          <w:color w:val="auto"/>
        </w:rPr>
        <w:t>现有项目副产物环境管理</w:t>
      </w:r>
      <w:bookmarkEnd w:id="113"/>
    </w:p>
    <w:p w14:paraId="468FD571">
      <w:pPr>
        <w:pStyle w:val="4"/>
        <w:rPr>
          <w:color w:val="auto"/>
        </w:rPr>
      </w:pPr>
      <w:bookmarkStart w:id="114" w:name="_Toc19362"/>
      <w:r>
        <w:rPr>
          <w:rFonts w:hint="eastAsia"/>
          <w:color w:val="auto"/>
        </w:rPr>
        <w:t>3.7.1</w:t>
      </w:r>
      <w:r>
        <w:rPr>
          <w:color w:val="auto"/>
        </w:rPr>
        <w:t>现有副产物销售情况</w:t>
      </w:r>
      <w:bookmarkEnd w:id="114"/>
    </w:p>
    <w:p w14:paraId="2418BACC">
      <w:pPr>
        <w:spacing w:line="460" w:lineRule="exact"/>
        <w:ind w:firstLine="480"/>
        <w:rPr>
          <w:color w:val="auto"/>
        </w:rPr>
        <w:sectPr>
          <w:pgSz w:w="11906" w:h="16838"/>
          <w:pgMar w:top="1134" w:right="1134" w:bottom="1134" w:left="1134" w:header="851" w:footer="992" w:gutter="0"/>
          <w:cols w:space="425" w:num="1"/>
          <w:docGrid w:type="lines" w:linePitch="312" w:charSpace="0"/>
        </w:sectPr>
      </w:pPr>
      <w:r>
        <w:rPr>
          <w:color w:val="auto"/>
        </w:rPr>
        <w:t>现有</w:t>
      </w:r>
      <w:r>
        <w:rPr>
          <w:rFonts w:hint="eastAsia"/>
          <w:color w:val="auto"/>
        </w:rPr>
        <w:t>三期</w:t>
      </w:r>
      <w:r>
        <w:rPr>
          <w:color w:val="auto"/>
        </w:rPr>
        <w:t>项目</w:t>
      </w:r>
      <w:r>
        <w:rPr>
          <w:rFonts w:hint="eastAsia"/>
          <w:color w:val="auto"/>
        </w:rPr>
        <w:t>会产生</w:t>
      </w:r>
      <w:r>
        <w:rPr>
          <w:color w:val="auto"/>
        </w:rPr>
        <w:t>副产高强石膏、氯化钙、氯化钠</w:t>
      </w:r>
      <w:r>
        <w:rPr>
          <w:rFonts w:hint="eastAsia"/>
          <w:color w:val="auto"/>
        </w:rPr>
        <w:t>，各项副产物执行标准及去向详见下表。</w:t>
      </w:r>
    </w:p>
    <w:p w14:paraId="22F72480">
      <w:pPr>
        <w:pStyle w:val="49"/>
        <w:rPr>
          <w:color w:val="auto"/>
        </w:rPr>
      </w:pPr>
      <w:r>
        <w:rPr>
          <w:color w:val="auto"/>
        </w:rPr>
        <w:t>表3.</w:t>
      </w:r>
      <w:r>
        <w:rPr>
          <w:rFonts w:hint="eastAsia"/>
          <w:color w:val="auto"/>
        </w:rPr>
        <w:t>7</w:t>
      </w:r>
      <w:r>
        <w:rPr>
          <w:color w:val="auto"/>
        </w:rPr>
        <w:t>-</w:t>
      </w:r>
      <w:r>
        <w:rPr>
          <w:rFonts w:hint="eastAsia"/>
          <w:color w:val="auto"/>
        </w:rPr>
        <w:t>1</w:t>
      </w:r>
      <w:r>
        <w:rPr>
          <w:color w:val="auto"/>
        </w:rPr>
        <w:t xml:space="preserve"> </w:t>
      </w:r>
      <w:r>
        <w:rPr>
          <w:rFonts w:hint="eastAsia"/>
          <w:color w:val="auto"/>
        </w:rPr>
        <w:t xml:space="preserve"> </w:t>
      </w:r>
      <w:r>
        <w:rPr>
          <w:color w:val="auto"/>
        </w:rPr>
        <w:t>现有项目副产品产生及去向一览表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96" w:type="dxa"/>
          <w:bottom w:w="56" w:type="dxa"/>
          <w:right w:w="96" w:type="dxa"/>
        </w:tblCellMar>
      </w:tblPr>
      <w:tblGrid>
        <w:gridCol w:w="774"/>
        <w:gridCol w:w="1461"/>
        <w:gridCol w:w="1396"/>
        <w:gridCol w:w="3150"/>
        <w:gridCol w:w="3177"/>
        <w:gridCol w:w="3575"/>
        <w:gridCol w:w="1217"/>
      </w:tblGrid>
      <w:tr w14:paraId="38C1D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96" w:type="dxa"/>
            <w:bottom w:w="56" w:type="dxa"/>
            <w:right w:w="96" w:type="dxa"/>
          </w:tblCellMar>
        </w:tblPrEx>
        <w:trPr>
          <w:tblHeader/>
          <w:jc w:val="center"/>
        </w:trPr>
        <w:tc>
          <w:tcPr>
            <w:tcW w:w="262" w:type="pct"/>
            <w:vAlign w:val="center"/>
          </w:tcPr>
          <w:p w14:paraId="6277B2CA">
            <w:pPr>
              <w:adjustRightInd/>
              <w:spacing w:line="240" w:lineRule="auto"/>
              <w:ind w:firstLine="0" w:firstLineChars="0"/>
              <w:jc w:val="center"/>
              <w:rPr>
                <w:b/>
                <w:bCs/>
                <w:color w:val="auto"/>
                <w:sz w:val="21"/>
                <w:szCs w:val="21"/>
              </w:rPr>
            </w:pPr>
            <w:r>
              <w:rPr>
                <w:rFonts w:hint="eastAsia"/>
                <w:b/>
                <w:bCs/>
                <w:color w:val="auto"/>
                <w:sz w:val="21"/>
                <w:szCs w:val="21"/>
              </w:rPr>
              <w:t>序号</w:t>
            </w:r>
          </w:p>
        </w:tc>
        <w:tc>
          <w:tcPr>
            <w:tcW w:w="495" w:type="pct"/>
            <w:vAlign w:val="center"/>
          </w:tcPr>
          <w:p w14:paraId="4A0BFA35">
            <w:pPr>
              <w:adjustRightInd/>
              <w:spacing w:line="240" w:lineRule="auto"/>
              <w:ind w:firstLine="0" w:firstLineChars="0"/>
              <w:jc w:val="center"/>
              <w:rPr>
                <w:b/>
                <w:bCs/>
                <w:color w:val="auto"/>
                <w:sz w:val="21"/>
                <w:szCs w:val="21"/>
              </w:rPr>
            </w:pPr>
            <w:r>
              <w:rPr>
                <w:rFonts w:hint="eastAsia"/>
                <w:b/>
                <w:bCs/>
                <w:color w:val="auto"/>
                <w:sz w:val="21"/>
                <w:szCs w:val="21"/>
              </w:rPr>
              <w:t>副产品名称</w:t>
            </w:r>
          </w:p>
        </w:tc>
        <w:tc>
          <w:tcPr>
            <w:tcW w:w="473" w:type="pct"/>
            <w:vAlign w:val="center"/>
          </w:tcPr>
          <w:p w14:paraId="3E9A032E">
            <w:pPr>
              <w:adjustRightInd/>
              <w:spacing w:line="240" w:lineRule="auto"/>
              <w:ind w:firstLine="0" w:firstLineChars="0"/>
              <w:jc w:val="center"/>
              <w:rPr>
                <w:b/>
                <w:bCs/>
                <w:color w:val="auto"/>
                <w:sz w:val="21"/>
                <w:szCs w:val="21"/>
              </w:rPr>
            </w:pPr>
            <w:r>
              <w:rPr>
                <w:rFonts w:hint="eastAsia"/>
                <w:b/>
                <w:bCs/>
                <w:color w:val="auto"/>
                <w:sz w:val="21"/>
                <w:szCs w:val="21"/>
              </w:rPr>
              <w:t>年产生量</w:t>
            </w:r>
          </w:p>
          <w:p w14:paraId="00859528">
            <w:pPr>
              <w:adjustRightInd/>
              <w:spacing w:line="240" w:lineRule="auto"/>
              <w:ind w:firstLine="0" w:firstLineChars="0"/>
              <w:jc w:val="center"/>
              <w:rPr>
                <w:b/>
                <w:bCs/>
                <w:color w:val="auto"/>
                <w:sz w:val="21"/>
                <w:szCs w:val="21"/>
              </w:rPr>
            </w:pPr>
            <w:r>
              <w:rPr>
                <w:rFonts w:hint="eastAsia"/>
                <w:b/>
                <w:bCs/>
                <w:color w:val="auto"/>
                <w:sz w:val="21"/>
                <w:szCs w:val="21"/>
              </w:rPr>
              <w:t>（t/a）</w:t>
            </w:r>
          </w:p>
        </w:tc>
        <w:tc>
          <w:tcPr>
            <w:tcW w:w="1067" w:type="pct"/>
            <w:vAlign w:val="center"/>
          </w:tcPr>
          <w:p w14:paraId="252385A9">
            <w:pPr>
              <w:adjustRightInd/>
              <w:spacing w:line="240" w:lineRule="auto"/>
              <w:ind w:firstLine="0" w:firstLineChars="0"/>
              <w:jc w:val="center"/>
              <w:rPr>
                <w:b/>
                <w:bCs/>
                <w:color w:val="auto"/>
                <w:sz w:val="21"/>
                <w:szCs w:val="21"/>
              </w:rPr>
            </w:pPr>
            <w:r>
              <w:rPr>
                <w:rFonts w:hint="eastAsia"/>
                <w:b/>
                <w:bCs/>
                <w:color w:val="auto"/>
                <w:sz w:val="21"/>
                <w:szCs w:val="21"/>
              </w:rPr>
              <w:t>执行标准</w:t>
            </w:r>
          </w:p>
        </w:tc>
        <w:tc>
          <w:tcPr>
            <w:tcW w:w="1076" w:type="pct"/>
            <w:vAlign w:val="center"/>
          </w:tcPr>
          <w:p w14:paraId="25487BB8">
            <w:pPr>
              <w:adjustRightInd/>
              <w:spacing w:line="240" w:lineRule="auto"/>
              <w:ind w:firstLine="0" w:firstLineChars="0"/>
              <w:jc w:val="center"/>
              <w:rPr>
                <w:b/>
                <w:bCs/>
                <w:color w:val="auto"/>
                <w:sz w:val="21"/>
                <w:szCs w:val="21"/>
              </w:rPr>
            </w:pPr>
            <w:r>
              <w:rPr>
                <w:rFonts w:hint="eastAsia"/>
                <w:b/>
                <w:bCs/>
                <w:color w:val="auto"/>
                <w:sz w:val="21"/>
                <w:szCs w:val="21"/>
              </w:rPr>
              <w:t>销售去向单位</w:t>
            </w:r>
          </w:p>
        </w:tc>
        <w:tc>
          <w:tcPr>
            <w:tcW w:w="1211" w:type="pct"/>
            <w:vAlign w:val="center"/>
          </w:tcPr>
          <w:p w14:paraId="08C55B4C">
            <w:pPr>
              <w:adjustRightInd/>
              <w:spacing w:line="240" w:lineRule="auto"/>
              <w:ind w:firstLine="0" w:firstLineChars="0"/>
              <w:jc w:val="center"/>
              <w:rPr>
                <w:b/>
                <w:bCs/>
                <w:color w:val="auto"/>
                <w:sz w:val="21"/>
                <w:szCs w:val="21"/>
              </w:rPr>
            </w:pPr>
            <w:r>
              <w:rPr>
                <w:rFonts w:hint="eastAsia"/>
                <w:b/>
                <w:bCs/>
                <w:color w:val="auto"/>
                <w:sz w:val="21"/>
                <w:szCs w:val="21"/>
              </w:rPr>
              <w:t>利用（处置）方式及工艺</w:t>
            </w:r>
          </w:p>
        </w:tc>
        <w:tc>
          <w:tcPr>
            <w:tcW w:w="412" w:type="pct"/>
            <w:vAlign w:val="center"/>
          </w:tcPr>
          <w:p w14:paraId="6D4BB8CA">
            <w:pPr>
              <w:adjustRightInd/>
              <w:spacing w:line="240" w:lineRule="auto"/>
              <w:ind w:firstLine="0" w:firstLineChars="0"/>
              <w:jc w:val="center"/>
              <w:rPr>
                <w:b/>
                <w:bCs/>
                <w:color w:val="auto"/>
                <w:sz w:val="21"/>
                <w:szCs w:val="21"/>
              </w:rPr>
            </w:pPr>
            <w:r>
              <w:rPr>
                <w:rFonts w:hint="eastAsia"/>
                <w:b/>
                <w:bCs/>
                <w:color w:val="auto"/>
                <w:sz w:val="21"/>
                <w:szCs w:val="21"/>
              </w:rPr>
              <w:t>用途</w:t>
            </w:r>
          </w:p>
        </w:tc>
      </w:tr>
      <w:tr w14:paraId="700B0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96" w:type="dxa"/>
            <w:bottom w:w="56" w:type="dxa"/>
            <w:right w:w="96" w:type="dxa"/>
          </w:tblCellMar>
        </w:tblPrEx>
        <w:trPr>
          <w:jc w:val="center"/>
        </w:trPr>
        <w:tc>
          <w:tcPr>
            <w:tcW w:w="262" w:type="pct"/>
            <w:vAlign w:val="center"/>
          </w:tcPr>
          <w:p w14:paraId="450D7477">
            <w:pPr>
              <w:adjustRightInd/>
              <w:spacing w:line="240" w:lineRule="auto"/>
              <w:ind w:firstLine="0" w:firstLineChars="0"/>
              <w:jc w:val="center"/>
              <w:rPr>
                <w:color w:val="auto"/>
                <w:sz w:val="21"/>
                <w:szCs w:val="21"/>
              </w:rPr>
            </w:pPr>
            <w:r>
              <w:rPr>
                <w:color w:val="auto"/>
                <w:sz w:val="21"/>
                <w:szCs w:val="21"/>
              </w:rPr>
              <w:t>1</w:t>
            </w:r>
          </w:p>
        </w:tc>
        <w:tc>
          <w:tcPr>
            <w:tcW w:w="495" w:type="pct"/>
            <w:vAlign w:val="center"/>
          </w:tcPr>
          <w:p w14:paraId="4FF4EB56">
            <w:pPr>
              <w:adjustRightInd/>
              <w:spacing w:line="240" w:lineRule="auto"/>
              <w:ind w:firstLine="0" w:firstLineChars="0"/>
              <w:jc w:val="center"/>
              <w:rPr>
                <w:bCs/>
                <w:color w:val="auto"/>
                <w:kern w:val="0"/>
                <w:sz w:val="21"/>
                <w:szCs w:val="21"/>
              </w:rPr>
            </w:pPr>
            <w:r>
              <w:rPr>
                <w:bCs/>
                <w:color w:val="auto"/>
                <w:kern w:val="0"/>
                <w:sz w:val="21"/>
                <w:szCs w:val="21"/>
              </w:rPr>
              <w:t>高强石膏</w:t>
            </w:r>
          </w:p>
        </w:tc>
        <w:tc>
          <w:tcPr>
            <w:tcW w:w="473" w:type="pct"/>
            <w:vAlign w:val="center"/>
          </w:tcPr>
          <w:p w14:paraId="55F44F38">
            <w:pPr>
              <w:widowControl/>
              <w:spacing w:line="240" w:lineRule="auto"/>
              <w:ind w:firstLine="0" w:firstLineChars="0"/>
              <w:jc w:val="center"/>
              <w:rPr>
                <w:rFonts w:eastAsia="仿宋_GB2312"/>
                <w:color w:val="auto"/>
                <w:kern w:val="0"/>
                <w:sz w:val="21"/>
                <w:szCs w:val="16"/>
              </w:rPr>
            </w:pPr>
          </w:p>
        </w:tc>
        <w:tc>
          <w:tcPr>
            <w:tcW w:w="1067" w:type="pct"/>
            <w:vAlign w:val="center"/>
          </w:tcPr>
          <w:p w14:paraId="45B70847">
            <w:pPr>
              <w:adjustRightInd/>
              <w:spacing w:line="240" w:lineRule="auto"/>
              <w:ind w:firstLine="0" w:firstLineChars="0"/>
              <w:jc w:val="center"/>
              <w:rPr>
                <w:bCs/>
                <w:color w:val="auto"/>
                <w:kern w:val="0"/>
                <w:sz w:val="21"/>
                <w:szCs w:val="21"/>
              </w:rPr>
            </w:pPr>
            <w:r>
              <w:rPr>
                <w:rFonts w:hint="eastAsia"/>
                <w:bCs/>
                <w:color w:val="auto"/>
                <w:kern w:val="0"/>
                <w:sz w:val="21"/>
                <w:szCs w:val="21"/>
              </w:rPr>
              <w:t>《α型高强石膏》</w:t>
            </w:r>
            <w:r>
              <w:rPr>
                <w:rFonts w:hint="eastAsia" w:eastAsia="仿宋_GB2312"/>
                <w:color w:val="auto"/>
                <w:kern w:val="0"/>
                <w:sz w:val="21"/>
                <w:szCs w:val="16"/>
              </w:rPr>
              <w:t>(JC/T2038-2010)</w:t>
            </w:r>
          </w:p>
        </w:tc>
        <w:tc>
          <w:tcPr>
            <w:tcW w:w="1076" w:type="pct"/>
            <w:vAlign w:val="center"/>
          </w:tcPr>
          <w:p w14:paraId="7F81BD44">
            <w:pPr>
              <w:adjustRightInd/>
              <w:spacing w:line="240" w:lineRule="auto"/>
              <w:ind w:firstLine="0" w:firstLineChars="0"/>
              <w:jc w:val="center"/>
              <w:rPr>
                <w:bCs/>
                <w:color w:val="auto"/>
                <w:kern w:val="0"/>
                <w:sz w:val="21"/>
                <w:szCs w:val="21"/>
              </w:rPr>
            </w:pPr>
            <w:r>
              <w:rPr>
                <w:rFonts w:hint="eastAsia"/>
                <w:bCs/>
                <w:color w:val="auto"/>
                <w:kern w:val="0"/>
                <w:sz w:val="21"/>
                <w:szCs w:val="21"/>
              </w:rPr>
              <w:t>江苏一夫科技股份有限公司</w:t>
            </w:r>
          </w:p>
        </w:tc>
        <w:tc>
          <w:tcPr>
            <w:tcW w:w="1211" w:type="pct"/>
            <w:vAlign w:val="center"/>
          </w:tcPr>
          <w:p w14:paraId="10337722">
            <w:pPr>
              <w:adjustRightInd/>
              <w:spacing w:line="240" w:lineRule="auto"/>
              <w:ind w:firstLine="0" w:firstLineChars="0"/>
              <w:jc w:val="center"/>
              <w:rPr>
                <w:color w:val="auto"/>
                <w:sz w:val="21"/>
                <w:szCs w:val="21"/>
              </w:rPr>
            </w:pPr>
            <w:r>
              <w:rPr>
                <w:rFonts w:hint="eastAsia"/>
                <w:color w:val="auto"/>
                <w:sz w:val="21"/>
                <w:szCs w:val="21"/>
              </w:rPr>
              <w:t>破碎、粉磨、改性深加工</w:t>
            </w:r>
          </w:p>
        </w:tc>
        <w:tc>
          <w:tcPr>
            <w:tcW w:w="412" w:type="pct"/>
            <w:vAlign w:val="center"/>
          </w:tcPr>
          <w:p w14:paraId="6672748F">
            <w:pPr>
              <w:adjustRightInd/>
              <w:spacing w:line="240" w:lineRule="auto"/>
              <w:ind w:firstLine="0" w:firstLineChars="0"/>
              <w:jc w:val="center"/>
              <w:rPr>
                <w:bCs/>
                <w:color w:val="auto"/>
                <w:kern w:val="0"/>
                <w:sz w:val="21"/>
                <w:szCs w:val="21"/>
              </w:rPr>
            </w:pPr>
            <w:r>
              <w:rPr>
                <w:rFonts w:hint="eastAsia"/>
                <w:bCs/>
                <w:color w:val="auto"/>
                <w:kern w:val="0"/>
                <w:sz w:val="21"/>
                <w:szCs w:val="21"/>
              </w:rPr>
              <w:t>建材原料</w:t>
            </w:r>
          </w:p>
        </w:tc>
      </w:tr>
      <w:tr w14:paraId="1047A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96" w:type="dxa"/>
            <w:bottom w:w="56" w:type="dxa"/>
            <w:right w:w="96" w:type="dxa"/>
          </w:tblCellMar>
        </w:tblPrEx>
        <w:trPr>
          <w:jc w:val="center"/>
        </w:trPr>
        <w:tc>
          <w:tcPr>
            <w:tcW w:w="262" w:type="pct"/>
            <w:vAlign w:val="center"/>
          </w:tcPr>
          <w:p w14:paraId="5C5707B2">
            <w:pPr>
              <w:adjustRightInd/>
              <w:spacing w:line="240" w:lineRule="auto"/>
              <w:ind w:firstLine="0" w:firstLineChars="0"/>
              <w:jc w:val="center"/>
              <w:rPr>
                <w:color w:val="auto"/>
                <w:sz w:val="21"/>
                <w:szCs w:val="21"/>
              </w:rPr>
            </w:pPr>
            <w:r>
              <w:rPr>
                <w:rFonts w:hint="eastAsia"/>
                <w:color w:val="auto"/>
                <w:sz w:val="21"/>
                <w:szCs w:val="21"/>
              </w:rPr>
              <w:t>2</w:t>
            </w:r>
          </w:p>
        </w:tc>
        <w:tc>
          <w:tcPr>
            <w:tcW w:w="495" w:type="pct"/>
            <w:vAlign w:val="center"/>
          </w:tcPr>
          <w:p w14:paraId="3A823343">
            <w:pPr>
              <w:adjustRightInd/>
              <w:spacing w:line="240" w:lineRule="auto"/>
              <w:ind w:firstLine="0" w:firstLineChars="0"/>
              <w:jc w:val="center"/>
              <w:rPr>
                <w:bCs/>
                <w:color w:val="auto"/>
                <w:kern w:val="0"/>
                <w:sz w:val="21"/>
                <w:szCs w:val="21"/>
              </w:rPr>
            </w:pPr>
            <w:r>
              <w:rPr>
                <w:rFonts w:hint="eastAsia"/>
                <w:bCs/>
                <w:color w:val="auto"/>
                <w:kern w:val="0"/>
                <w:sz w:val="21"/>
                <w:szCs w:val="21"/>
              </w:rPr>
              <w:t>氯化钙</w:t>
            </w:r>
          </w:p>
        </w:tc>
        <w:tc>
          <w:tcPr>
            <w:tcW w:w="473" w:type="pct"/>
            <w:vAlign w:val="center"/>
          </w:tcPr>
          <w:p w14:paraId="43BC7E83">
            <w:pPr>
              <w:widowControl/>
              <w:spacing w:line="240" w:lineRule="auto"/>
              <w:ind w:firstLine="0" w:firstLineChars="0"/>
              <w:jc w:val="center"/>
              <w:rPr>
                <w:rFonts w:eastAsia="仿宋_GB2312"/>
                <w:color w:val="auto"/>
                <w:kern w:val="0"/>
                <w:sz w:val="21"/>
                <w:szCs w:val="16"/>
              </w:rPr>
            </w:pPr>
          </w:p>
        </w:tc>
        <w:tc>
          <w:tcPr>
            <w:tcW w:w="1067" w:type="pct"/>
            <w:vAlign w:val="center"/>
          </w:tcPr>
          <w:p w14:paraId="41008C87">
            <w:pPr>
              <w:adjustRightInd/>
              <w:spacing w:line="240" w:lineRule="auto"/>
              <w:ind w:firstLine="0" w:firstLineChars="0"/>
              <w:jc w:val="center"/>
              <w:rPr>
                <w:bCs/>
                <w:color w:val="auto"/>
                <w:kern w:val="0"/>
                <w:sz w:val="21"/>
                <w:szCs w:val="21"/>
              </w:rPr>
            </w:pPr>
            <w:r>
              <w:rPr>
                <w:rFonts w:hint="eastAsia"/>
                <w:bCs/>
                <w:color w:val="auto"/>
                <w:kern w:val="0"/>
                <w:sz w:val="21"/>
                <w:szCs w:val="21"/>
              </w:rPr>
              <w:t>《工业氯化钙》(GB/T 26520-2011)</w:t>
            </w:r>
          </w:p>
        </w:tc>
        <w:tc>
          <w:tcPr>
            <w:tcW w:w="1076" w:type="pct"/>
            <w:vMerge w:val="restart"/>
            <w:vAlign w:val="center"/>
          </w:tcPr>
          <w:p w14:paraId="450E7EE2">
            <w:pPr>
              <w:adjustRightInd/>
              <w:spacing w:line="240" w:lineRule="auto"/>
              <w:ind w:firstLine="0" w:firstLineChars="0"/>
              <w:jc w:val="center"/>
              <w:rPr>
                <w:bCs/>
                <w:color w:val="auto"/>
                <w:kern w:val="0"/>
                <w:sz w:val="21"/>
                <w:szCs w:val="21"/>
              </w:rPr>
            </w:pPr>
            <w:r>
              <w:rPr>
                <w:rFonts w:hint="eastAsia"/>
                <w:bCs/>
                <w:color w:val="auto"/>
                <w:kern w:val="0"/>
                <w:sz w:val="21"/>
                <w:szCs w:val="21"/>
              </w:rPr>
              <w:t>山东钙源进出口有限公司</w:t>
            </w:r>
          </w:p>
        </w:tc>
        <w:tc>
          <w:tcPr>
            <w:tcW w:w="1211" w:type="pct"/>
            <w:vMerge w:val="restart"/>
            <w:vAlign w:val="center"/>
          </w:tcPr>
          <w:p w14:paraId="0047485D">
            <w:pPr>
              <w:keepNext/>
              <w:keepLines/>
              <w:spacing w:line="240" w:lineRule="auto"/>
              <w:ind w:firstLine="0" w:firstLineChars="0"/>
              <w:jc w:val="center"/>
              <w:textAlignment w:val="baseline"/>
              <w:outlineLvl w:val="2"/>
              <w:rPr>
                <w:color w:val="auto"/>
                <w:sz w:val="21"/>
                <w:szCs w:val="21"/>
              </w:rPr>
            </w:pPr>
            <w:r>
              <w:rPr>
                <w:rFonts w:hint="eastAsia"/>
                <w:color w:val="auto"/>
                <w:sz w:val="21"/>
                <w:szCs w:val="21"/>
              </w:rPr>
              <w:t>配比混配、造粒加工制成道路融雪剂原料</w:t>
            </w:r>
          </w:p>
        </w:tc>
        <w:tc>
          <w:tcPr>
            <w:tcW w:w="412" w:type="pct"/>
            <w:vMerge w:val="restart"/>
            <w:vAlign w:val="center"/>
          </w:tcPr>
          <w:p w14:paraId="3F281546">
            <w:pPr>
              <w:keepNext/>
              <w:keepLines/>
              <w:spacing w:line="240" w:lineRule="auto"/>
              <w:ind w:firstLine="0" w:firstLineChars="0"/>
              <w:jc w:val="center"/>
              <w:textAlignment w:val="baseline"/>
              <w:outlineLvl w:val="2"/>
              <w:rPr>
                <w:bCs/>
                <w:color w:val="auto"/>
                <w:kern w:val="0"/>
                <w:sz w:val="21"/>
                <w:szCs w:val="21"/>
              </w:rPr>
            </w:pPr>
            <w:bookmarkStart w:id="115" w:name="_Toc16319"/>
            <w:r>
              <w:rPr>
                <w:rFonts w:hint="eastAsia"/>
                <w:bCs/>
                <w:color w:val="auto"/>
                <w:kern w:val="0"/>
                <w:sz w:val="21"/>
                <w:szCs w:val="21"/>
              </w:rPr>
              <w:t>作为生产融雪剂的原料</w:t>
            </w:r>
            <w:bookmarkEnd w:id="115"/>
          </w:p>
        </w:tc>
      </w:tr>
      <w:tr w14:paraId="76211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359" w:hRule="atLeast"/>
          <w:jc w:val="center"/>
        </w:trPr>
        <w:tc>
          <w:tcPr>
            <w:tcW w:w="262" w:type="pct"/>
            <w:vAlign w:val="center"/>
          </w:tcPr>
          <w:p w14:paraId="67D0DD77">
            <w:pPr>
              <w:adjustRightInd/>
              <w:spacing w:line="240" w:lineRule="auto"/>
              <w:ind w:firstLine="0" w:firstLineChars="0"/>
              <w:jc w:val="center"/>
              <w:rPr>
                <w:color w:val="auto"/>
                <w:sz w:val="21"/>
                <w:szCs w:val="21"/>
              </w:rPr>
            </w:pPr>
            <w:r>
              <w:rPr>
                <w:rFonts w:hint="eastAsia"/>
                <w:color w:val="auto"/>
                <w:sz w:val="21"/>
                <w:szCs w:val="21"/>
              </w:rPr>
              <w:t>3</w:t>
            </w:r>
          </w:p>
        </w:tc>
        <w:tc>
          <w:tcPr>
            <w:tcW w:w="495" w:type="pct"/>
            <w:vAlign w:val="center"/>
          </w:tcPr>
          <w:p w14:paraId="690FF2C6">
            <w:pPr>
              <w:adjustRightInd/>
              <w:spacing w:line="240" w:lineRule="auto"/>
              <w:ind w:firstLine="0" w:firstLineChars="0"/>
              <w:jc w:val="center"/>
              <w:rPr>
                <w:bCs/>
                <w:color w:val="auto"/>
                <w:kern w:val="0"/>
                <w:sz w:val="21"/>
                <w:szCs w:val="21"/>
              </w:rPr>
            </w:pPr>
            <w:r>
              <w:rPr>
                <w:rFonts w:hint="eastAsia"/>
                <w:bCs/>
                <w:color w:val="auto"/>
                <w:kern w:val="0"/>
                <w:sz w:val="21"/>
                <w:szCs w:val="21"/>
              </w:rPr>
              <w:t>氯化钠</w:t>
            </w:r>
          </w:p>
        </w:tc>
        <w:tc>
          <w:tcPr>
            <w:tcW w:w="473" w:type="pct"/>
            <w:vAlign w:val="center"/>
          </w:tcPr>
          <w:p w14:paraId="4AC449B2">
            <w:pPr>
              <w:widowControl/>
              <w:spacing w:line="240" w:lineRule="auto"/>
              <w:ind w:firstLine="0" w:firstLineChars="0"/>
              <w:jc w:val="center"/>
              <w:rPr>
                <w:rFonts w:eastAsia="仿宋_GB2312"/>
                <w:color w:val="auto"/>
                <w:kern w:val="0"/>
                <w:sz w:val="21"/>
                <w:szCs w:val="16"/>
              </w:rPr>
            </w:pPr>
          </w:p>
        </w:tc>
        <w:tc>
          <w:tcPr>
            <w:tcW w:w="1067" w:type="pct"/>
            <w:vAlign w:val="center"/>
          </w:tcPr>
          <w:p w14:paraId="2E15029F">
            <w:pPr>
              <w:adjustRightInd/>
              <w:spacing w:line="240" w:lineRule="auto"/>
              <w:ind w:firstLine="0" w:firstLineChars="0"/>
              <w:jc w:val="center"/>
              <w:rPr>
                <w:bCs/>
                <w:color w:val="auto"/>
                <w:kern w:val="0"/>
                <w:sz w:val="21"/>
                <w:szCs w:val="21"/>
              </w:rPr>
            </w:pPr>
            <w:r>
              <w:rPr>
                <w:rFonts w:hint="eastAsia"/>
                <w:bCs/>
                <w:color w:val="auto"/>
                <w:kern w:val="0"/>
                <w:sz w:val="21"/>
                <w:szCs w:val="21"/>
              </w:rPr>
              <w:t>《工业盐》(GB/T5462-2015)</w:t>
            </w:r>
          </w:p>
        </w:tc>
        <w:tc>
          <w:tcPr>
            <w:tcW w:w="1076" w:type="pct"/>
            <w:vMerge w:val="continue"/>
            <w:vAlign w:val="center"/>
          </w:tcPr>
          <w:p w14:paraId="0295C3A8">
            <w:pPr>
              <w:adjustRightInd/>
              <w:spacing w:line="240" w:lineRule="auto"/>
              <w:ind w:firstLine="0" w:firstLineChars="0"/>
              <w:rPr>
                <w:color w:val="auto"/>
                <w:sz w:val="21"/>
                <w:szCs w:val="21"/>
              </w:rPr>
            </w:pPr>
          </w:p>
        </w:tc>
        <w:tc>
          <w:tcPr>
            <w:tcW w:w="1211" w:type="pct"/>
            <w:vMerge w:val="continue"/>
            <w:vAlign w:val="center"/>
          </w:tcPr>
          <w:p w14:paraId="37188AFE">
            <w:pPr>
              <w:keepNext/>
              <w:keepLines/>
              <w:spacing w:line="240" w:lineRule="auto"/>
              <w:ind w:firstLine="0" w:firstLineChars="0"/>
              <w:jc w:val="center"/>
              <w:textAlignment w:val="baseline"/>
              <w:outlineLvl w:val="2"/>
              <w:rPr>
                <w:bCs/>
                <w:color w:val="auto"/>
                <w:kern w:val="0"/>
                <w:sz w:val="21"/>
                <w:szCs w:val="21"/>
              </w:rPr>
            </w:pPr>
            <w:bookmarkStart w:id="116" w:name="_Toc1355"/>
          </w:p>
          <w:bookmarkEnd w:id="116"/>
        </w:tc>
        <w:tc>
          <w:tcPr>
            <w:tcW w:w="412" w:type="pct"/>
            <w:vMerge w:val="continue"/>
            <w:vAlign w:val="center"/>
          </w:tcPr>
          <w:p w14:paraId="64BDB3EF">
            <w:pPr>
              <w:keepNext/>
              <w:keepLines/>
              <w:spacing w:line="240" w:lineRule="auto"/>
              <w:ind w:firstLine="0" w:firstLineChars="0"/>
              <w:jc w:val="center"/>
              <w:textAlignment w:val="baseline"/>
              <w:outlineLvl w:val="2"/>
              <w:rPr>
                <w:bCs/>
                <w:color w:val="auto"/>
                <w:kern w:val="0"/>
                <w:sz w:val="21"/>
                <w:szCs w:val="21"/>
              </w:rPr>
            </w:pPr>
          </w:p>
        </w:tc>
      </w:tr>
    </w:tbl>
    <w:p w14:paraId="3017D3E3">
      <w:pPr>
        <w:spacing w:line="460" w:lineRule="exact"/>
        <w:ind w:firstLine="480"/>
        <w:rPr>
          <w:color w:val="auto"/>
        </w:rPr>
        <w:sectPr>
          <w:pgSz w:w="16838" w:h="11906" w:orient="landscape"/>
          <w:pgMar w:top="1134" w:right="1134" w:bottom="1134" w:left="1134" w:header="851" w:footer="992" w:gutter="0"/>
          <w:cols w:space="425" w:num="1"/>
          <w:docGrid w:type="lines" w:linePitch="312" w:charSpace="0"/>
        </w:sectPr>
      </w:pPr>
      <w:r>
        <w:rPr>
          <w:color w:val="auto"/>
        </w:rPr>
        <w:t>企业已按原环评要求对副产物的质量进行控制，副产物的销售均有相关台账记录，副产物均有相应质量检测报告，同时做到定向销售，签订副产物销售合同并开具副产物发票。根据建设单位提供的副产物去向协议，现有副产物均不用于食品、人体接触的化学品等用途，且不销售给贸易公司</w:t>
      </w:r>
      <w:r>
        <w:rPr>
          <w:rFonts w:hint="eastAsia"/>
          <w:color w:val="auto"/>
        </w:rPr>
        <w:t>。</w:t>
      </w:r>
    </w:p>
    <w:p w14:paraId="3DD2BF82">
      <w:pPr>
        <w:pStyle w:val="4"/>
        <w:rPr>
          <w:color w:val="auto"/>
        </w:rPr>
      </w:pPr>
      <w:bookmarkStart w:id="117" w:name="_Toc15281"/>
      <w:r>
        <w:rPr>
          <w:rFonts w:hint="eastAsia"/>
          <w:color w:val="auto"/>
        </w:rPr>
        <w:t>3.7.2现有副产物成分检测及合规性分析</w:t>
      </w:r>
      <w:bookmarkEnd w:id="117"/>
    </w:p>
    <w:p w14:paraId="06CCC76A">
      <w:pPr>
        <w:spacing w:line="460" w:lineRule="exact"/>
        <w:ind w:firstLine="482"/>
        <w:rPr>
          <w:color w:val="auto"/>
        </w:rPr>
      </w:pPr>
      <w:r>
        <w:rPr>
          <w:rFonts w:hint="eastAsia"/>
          <w:b/>
          <w:bCs/>
          <w:color w:val="auto"/>
        </w:rPr>
        <w:t>1、现有副产成分检测结果</w:t>
      </w:r>
    </w:p>
    <w:p w14:paraId="64D9B18B">
      <w:pPr>
        <w:spacing w:line="460" w:lineRule="exact"/>
        <w:ind w:firstLine="480"/>
        <w:rPr>
          <w:color w:val="auto"/>
        </w:rPr>
      </w:pPr>
      <w:r>
        <w:rPr>
          <w:rFonts w:hint="eastAsia"/>
          <w:color w:val="auto"/>
        </w:rPr>
        <w:t>为严格保障项目副产物的质量安全与合规性，确保其成分指标完全契合对应执行标准要求，企业针对生产过程中产生的高强石膏、氯化钙和氯化钠三类核心副产物，启动了系统性、全维度的成分检测工作。</w:t>
      </w:r>
    </w:p>
    <w:p w14:paraId="2D693BA2">
      <w:pPr>
        <w:spacing w:line="460" w:lineRule="exact"/>
        <w:ind w:firstLine="480"/>
        <w:rPr>
          <w:color w:val="auto"/>
        </w:rPr>
      </w:pPr>
      <w:r>
        <w:rPr>
          <w:rFonts w:hint="eastAsia"/>
          <w:color w:val="auto"/>
        </w:rPr>
        <w:t>在检测实施阶段，企业严格遵循实验室质量控制规范，对每类副产物均按照“多点采样、平行检测、数据核验”的流程开展工作：首先从副产物储存装置的不同区域抽取具有代表性的样品，避免因局部成分差异导致的检测偏差；随后依据各类副产物对应的国家/行业执行标准（高强石膏参照《α型高强石膏》（JC/T2038-2010）、氯化钙参照《工业氯化钙》（GB/T 26520-2011）、氯化钠参照《工业盐》（GB/T5462-2015）），采用气相色谱法、离子色谱法、滴定分析等专业检测技术，对关键质量指标进行精准测定。</w:t>
      </w:r>
    </w:p>
    <w:p w14:paraId="38FD906F">
      <w:pPr>
        <w:spacing w:line="460" w:lineRule="exact"/>
        <w:ind w:firstLine="480"/>
        <w:rPr>
          <w:color w:val="auto"/>
        </w:rPr>
      </w:pPr>
      <w:r>
        <w:rPr>
          <w:rFonts w:hint="eastAsia"/>
          <w:color w:val="auto"/>
        </w:rPr>
        <w:t>检测结果显示，三类副产物的各项成分指标均稳定达到对应执行标准中规定的技术要求，各项杂质指标均控制在执行标准允许范围内，检测报告详见附件。</w:t>
      </w:r>
    </w:p>
    <w:p w14:paraId="4F164905">
      <w:pPr>
        <w:spacing w:line="460" w:lineRule="exact"/>
        <w:ind w:firstLine="480"/>
        <w:rPr>
          <w:color w:val="auto"/>
        </w:rPr>
      </w:pPr>
      <w:r>
        <w:rPr>
          <w:rFonts w:hint="eastAsia"/>
          <w:color w:val="auto"/>
        </w:rPr>
        <w:t>此次检测不仅验证了项目副产物的质量合规性，也为后续副产物的资源化利用提供了科学依据，同时体现了企业对副产物质量管控的严谨性与责任感，有效规避了因副产物质量不达标可能引发的环保风险与安全隐患。</w:t>
      </w:r>
    </w:p>
    <w:p w14:paraId="11CB1B17">
      <w:pPr>
        <w:spacing w:line="460" w:lineRule="exact"/>
        <w:ind w:firstLine="480"/>
        <w:rPr>
          <w:color w:val="auto"/>
        </w:rPr>
      </w:pPr>
      <w:r>
        <w:rPr>
          <w:rFonts w:hint="eastAsia"/>
          <w:color w:val="auto"/>
        </w:rPr>
        <w:t>2、与苏环办[2024]16号要求对照</w:t>
      </w:r>
    </w:p>
    <w:p w14:paraId="4271B85E">
      <w:pPr>
        <w:spacing w:line="460" w:lineRule="exact"/>
        <w:ind w:firstLine="480"/>
        <w:rPr>
          <w:color w:val="auto"/>
        </w:rPr>
      </w:pPr>
      <w:r>
        <w:rPr>
          <w:rFonts w:hint="eastAsia"/>
          <w:color w:val="auto"/>
        </w:rPr>
        <w:t>根据《省生态环境厅关于印发〈江苏省固体废物全过程环境监管工作意见〉的通知》（苏环办〔2024〕16号）：建设项目环评要评价产生的固体废物种类、数量、来源和属性，论述贮存、转移和利用处置方式合规性、合理性，提出切实可行的污染防治对策措施。所有产物要按照以下五类属性给予明确并规范表述：目标产物（产品、副产物）、鉴别属于产品（符合国家、地方或行业标准）、可定向用于特定用途按产品管理（如符合团体标准）、一般固体废物和危险废物。不得将不符合GB34330、HJ 1091等标准的产物认定为“再生产品”，不得出现“中间产物”“再生产物”等不规范表述，严禁以“副产物”名义逃避监管。</w:t>
      </w:r>
    </w:p>
    <w:p w14:paraId="64AA5899">
      <w:pPr>
        <w:spacing w:line="460" w:lineRule="exact"/>
        <w:ind w:firstLine="480"/>
        <w:rPr>
          <w:color w:val="auto"/>
        </w:rPr>
      </w:pPr>
      <w:r>
        <w:rPr>
          <w:rFonts w:hint="eastAsia"/>
          <w:color w:val="auto"/>
        </w:rPr>
        <w:t>现有项目副产物执行标准及其适用范围梳理如下：</w:t>
      </w:r>
    </w:p>
    <w:p w14:paraId="56B19BBA">
      <w:pPr>
        <w:spacing w:line="460" w:lineRule="exact"/>
        <w:ind w:firstLine="480"/>
        <w:rPr>
          <w:color w:val="auto"/>
        </w:rPr>
      </w:pPr>
      <w:r>
        <w:rPr>
          <w:rFonts w:hint="eastAsia"/>
          <w:color w:val="auto"/>
        </w:rPr>
        <w:t>（1）《α型高强石膏》（JC/T2038-2010）标准适用于以天然二水石膏为原料制得的α型半水石膏。以工业副产石膏为原料的产品可参照执行。标准规定了细度、凝结时间、强度等指标限值，未涉及有毒有害物质限量要求；目前建设单位已与江苏一夫科技股份有限公司签订购销意向书。高强石膏现行行业质量标准对应原料及生产工艺不适用于亚太药业高强石膏生产。</w:t>
      </w:r>
    </w:p>
    <w:p w14:paraId="3AA27571">
      <w:pPr>
        <w:spacing w:line="460" w:lineRule="exact"/>
        <w:ind w:firstLine="480"/>
        <w:rPr>
          <w:color w:val="auto"/>
        </w:rPr>
      </w:pPr>
      <w:r>
        <w:rPr>
          <w:rFonts w:hint="eastAsia"/>
          <w:color w:val="auto"/>
        </w:rPr>
        <w:t>（2）《工业氯化钙》（GB/T 26520-2011）标准适用于工业氯化钙。标准规定了外观、氯化钙含量、碱度、总碱金属氯化物等指标限值，未涉及有毒有害物质限量要求；目前建设单位已与山东钙源进出口有限公司签订购销意向书。氯化钙现行国家质量标准对应原料及生产工艺不适用于亚太药业氯化钙生产。</w:t>
      </w:r>
    </w:p>
    <w:p w14:paraId="1DFBC0E5">
      <w:pPr>
        <w:spacing w:line="460" w:lineRule="exact"/>
        <w:ind w:firstLine="480"/>
        <w:rPr>
          <w:color w:val="auto"/>
        </w:rPr>
      </w:pPr>
      <w:r>
        <w:rPr>
          <w:rFonts w:hint="eastAsia"/>
          <w:color w:val="auto"/>
        </w:rPr>
        <w:t>（3）《工业盐》（GB/T5462-2015）标准适用于本标准适用于以海水（含沿海地下卤水）、湖盐中采掘的盐或以盐湖卤水、岩盐或地下卤水为原料制成的工业用盐。标准规定了氯化钠含量、水分、水不溶物等理化指标，未涉及有毒有害物质限量要求；目前建设单位已与山东钙源进出口有限公司签订购销意向书。氯化钠现行国家质量标准对应原料及生产工艺不适用于亚太药业氯化钠生产。</w:t>
      </w:r>
    </w:p>
    <w:p w14:paraId="2DABA8EA">
      <w:pPr>
        <w:tabs>
          <w:tab w:val="left" w:pos="1440"/>
        </w:tabs>
        <w:adjustRightInd/>
        <w:snapToGrid/>
        <w:spacing w:line="460" w:lineRule="exact"/>
        <w:ind w:firstLine="480"/>
        <w:rPr>
          <w:color w:val="auto"/>
          <w:szCs w:val="28"/>
        </w:rPr>
      </w:pPr>
      <w:r>
        <w:rPr>
          <w:color w:val="auto"/>
          <w:szCs w:val="28"/>
        </w:rPr>
        <w:t>对照现有项目副产物执行标准及其适用范围，</w:t>
      </w:r>
      <w:r>
        <w:rPr>
          <w:rFonts w:hint="eastAsia"/>
          <w:color w:val="auto"/>
          <w:szCs w:val="28"/>
        </w:rPr>
        <w:t>高强石膏、氯化钙和氯化钠</w:t>
      </w:r>
      <w:r>
        <w:rPr>
          <w:color w:val="auto"/>
          <w:szCs w:val="28"/>
        </w:rPr>
        <w:t>不能直接作为产品，应按照《固体废物再生利用污染防治技术导则》（HJ1091-2020）开展环境风险评价，在环境风险可接受前提下确定综合利用产物的使用行业及用途，按要求进行定向利用，可按产品管理。目前企业正在推进该工作，尽快完成环境风险评价。</w:t>
      </w:r>
    </w:p>
    <w:p w14:paraId="74312A9F">
      <w:pPr>
        <w:tabs>
          <w:tab w:val="left" w:pos="1440"/>
        </w:tabs>
        <w:adjustRightInd/>
        <w:snapToGrid/>
        <w:spacing w:line="460" w:lineRule="exact"/>
        <w:ind w:firstLine="480"/>
        <w:rPr>
          <w:color w:val="auto"/>
          <w:szCs w:val="28"/>
        </w:rPr>
      </w:pPr>
      <w:r>
        <w:rPr>
          <w:rFonts w:hint="eastAsia"/>
          <w:color w:val="auto"/>
          <w:szCs w:val="28"/>
        </w:rPr>
        <w:t>五类属性核定要求参照《省生态环境厅关于开展全省化工生产企业涉副产物环境影响评价文件复核工作的通知》（苏环办[2024]225号）附件1，属性判断分析见下表。</w:t>
      </w:r>
    </w:p>
    <w:p w14:paraId="56D21B12">
      <w:pPr>
        <w:pStyle w:val="49"/>
        <w:rPr>
          <w:bCs/>
          <w:color w:val="auto"/>
          <w:lang w:val="zh-CN"/>
        </w:rPr>
      </w:pPr>
      <w:r>
        <w:rPr>
          <w:rFonts w:hint="eastAsia"/>
          <w:bCs/>
          <w:color w:val="auto"/>
          <w:lang w:val="zh-CN"/>
        </w:rPr>
        <w:t>表3.</w:t>
      </w:r>
      <w:r>
        <w:rPr>
          <w:rFonts w:hint="eastAsia"/>
          <w:bCs/>
          <w:color w:val="auto"/>
        </w:rPr>
        <w:t>7</w:t>
      </w:r>
      <w:r>
        <w:rPr>
          <w:rFonts w:hint="eastAsia"/>
          <w:bCs/>
          <w:color w:val="auto"/>
          <w:lang w:val="zh-CN"/>
        </w:rPr>
        <w:t>-2</w:t>
      </w:r>
      <w:r>
        <w:rPr>
          <w:rFonts w:hint="eastAsia"/>
          <w:bCs/>
          <w:color w:val="auto"/>
        </w:rPr>
        <w:t xml:space="preserve"> </w:t>
      </w:r>
      <w:r>
        <w:rPr>
          <w:rFonts w:hint="eastAsia"/>
          <w:bCs/>
          <w:color w:val="auto"/>
          <w:lang w:val="zh-CN"/>
        </w:rPr>
        <w:t xml:space="preserve"> 现有副产物属性判定</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875"/>
        <w:gridCol w:w="4553"/>
        <w:gridCol w:w="2797"/>
        <w:gridCol w:w="1413"/>
      </w:tblGrid>
      <w:tr w14:paraId="3C9F01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1" w:hRule="atLeast"/>
          <w:jc w:val="center"/>
        </w:trPr>
        <w:tc>
          <w:tcPr>
            <w:tcW w:w="454" w:type="pct"/>
            <w:vAlign w:val="center"/>
          </w:tcPr>
          <w:p w14:paraId="67A07B77">
            <w:pPr>
              <w:widowControl/>
              <w:kinsoku w:val="0"/>
              <w:autoSpaceDE w:val="0"/>
              <w:autoSpaceDN w:val="0"/>
              <w:spacing w:line="240" w:lineRule="auto"/>
              <w:ind w:firstLine="0" w:firstLineChars="0"/>
              <w:jc w:val="center"/>
              <w:textAlignment w:val="baseline"/>
              <w:rPr>
                <w:b/>
                <w:snapToGrid w:val="0"/>
                <w:color w:val="auto"/>
                <w:kern w:val="0"/>
                <w:sz w:val="21"/>
                <w:szCs w:val="21"/>
                <w:lang w:eastAsia="en-US"/>
              </w:rPr>
            </w:pPr>
            <w:r>
              <w:rPr>
                <w:b/>
                <w:snapToGrid w:val="0"/>
                <w:color w:val="auto"/>
                <w:spacing w:val="-6"/>
                <w:kern w:val="0"/>
                <w:sz w:val="21"/>
                <w:szCs w:val="21"/>
                <w:lang w:eastAsia="en-US"/>
              </w:rPr>
              <w:t>属性</w:t>
            </w:r>
          </w:p>
        </w:tc>
        <w:tc>
          <w:tcPr>
            <w:tcW w:w="2362" w:type="pct"/>
            <w:vAlign w:val="center"/>
          </w:tcPr>
          <w:p w14:paraId="7D432518">
            <w:pPr>
              <w:widowControl/>
              <w:kinsoku w:val="0"/>
              <w:autoSpaceDE w:val="0"/>
              <w:autoSpaceDN w:val="0"/>
              <w:spacing w:line="240" w:lineRule="auto"/>
              <w:ind w:firstLine="0" w:firstLineChars="0"/>
              <w:jc w:val="center"/>
              <w:textAlignment w:val="baseline"/>
              <w:rPr>
                <w:b/>
                <w:snapToGrid w:val="0"/>
                <w:color w:val="auto"/>
                <w:kern w:val="0"/>
                <w:sz w:val="21"/>
                <w:szCs w:val="21"/>
                <w:lang w:eastAsia="en-US"/>
              </w:rPr>
            </w:pPr>
            <w:r>
              <w:rPr>
                <w:b/>
                <w:snapToGrid w:val="0"/>
                <w:color w:val="auto"/>
                <w:spacing w:val="-6"/>
                <w:kern w:val="0"/>
                <w:sz w:val="21"/>
                <w:szCs w:val="21"/>
                <w:lang w:eastAsia="en-US"/>
              </w:rPr>
              <w:t>要求</w:t>
            </w:r>
          </w:p>
        </w:tc>
        <w:tc>
          <w:tcPr>
            <w:tcW w:w="1451" w:type="pct"/>
            <w:vAlign w:val="center"/>
          </w:tcPr>
          <w:p w14:paraId="08C3E309">
            <w:pPr>
              <w:widowControl/>
              <w:kinsoku w:val="0"/>
              <w:autoSpaceDE w:val="0"/>
              <w:autoSpaceDN w:val="0"/>
              <w:spacing w:line="240" w:lineRule="auto"/>
              <w:ind w:firstLine="0" w:firstLineChars="0"/>
              <w:jc w:val="center"/>
              <w:textAlignment w:val="baseline"/>
              <w:rPr>
                <w:b/>
                <w:snapToGrid w:val="0"/>
                <w:color w:val="auto"/>
                <w:kern w:val="0"/>
                <w:sz w:val="21"/>
                <w:szCs w:val="21"/>
                <w:lang w:eastAsia="en-US"/>
              </w:rPr>
            </w:pPr>
            <w:r>
              <w:rPr>
                <w:rFonts w:hint="eastAsia"/>
                <w:b/>
                <w:snapToGrid w:val="0"/>
                <w:color w:val="auto"/>
                <w:kern w:val="0"/>
                <w:sz w:val="21"/>
                <w:szCs w:val="21"/>
              </w:rPr>
              <w:t>本公司情况</w:t>
            </w:r>
          </w:p>
        </w:tc>
        <w:tc>
          <w:tcPr>
            <w:tcW w:w="733" w:type="pct"/>
            <w:vAlign w:val="center"/>
          </w:tcPr>
          <w:p w14:paraId="721A77AE">
            <w:pPr>
              <w:widowControl/>
              <w:kinsoku w:val="0"/>
              <w:autoSpaceDE w:val="0"/>
              <w:autoSpaceDN w:val="0"/>
              <w:spacing w:line="240" w:lineRule="auto"/>
              <w:ind w:firstLine="0" w:firstLineChars="0"/>
              <w:jc w:val="center"/>
              <w:textAlignment w:val="baseline"/>
              <w:rPr>
                <w:b/>
                <w:snapToGrid w:val="0"/>
                <w:color w:val="auto"/>
                <w:spacing w:val="-4"/>
                <w:kern w:val="0"/>
                <w:sz w:val="21"/>
                <w:szCs w:val="21"/>
                <w:lang w:eastAsia="en-US"/>
              </w:rPr>
            </w:pPr>
            <w:r>
              <w:rPr>
                <w:rFonts w:hint="eastAsia"/>
                <w:b/>
                <w:snapToGrid w:val="0"/>
                <w:color w:val="auto"/>
                <w:spacing w:val="-4"/>
                <w:kern w:val="0"/>
                <w:sz w:val="21"/>
                <w:szCs w:val="21"/>
              </w:rPr>
              <w:t>判定结果</w:t>
            </w:r>
          </w:p>
        </w:tc>
      </w:tr>
      <w:tr w14:paraId="567457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623" w:hRule="atLeast"/>
          <w:jc w:val="center"/>
        </w:trPr>
        <w:tc>
          <w:tcPr>
            <w:tcW w:w="454" w:type="pct"/>
            <w:vAlign w:val="center"/>
          </w:tcPr>
          <w:p w14:paraId="11524363">
            <w:pPr>
              <w:widowControl/>
              <w:kinsoku w:val="0"/>
              <w:autoSpaceDE w:val="0"/>
              <w:autoSpaceDN w:val="0"/>
              <w:spacing w:line="240" w:lineRule="auto"/>
              <w:ind w:firstLine="0" w:firstLineChars="0"/>
              <w:jc w:val="center"/>
              <w:textAlignment w:val="baseline"/>
              <w:rPr>
                <w:snapToGrid w:val="0"/>
                <w:color w:val="auto"/>
                <w:kern w:val="0"/>
                <w:sz w:val="21"/>
                <w:szCs w:val="21"/>
                <w:lang w:eastAsia="en-US"/>
              </w:rPr>
            </w:pPr>
            <w:r>
              <w:rPr>
                <w:snapToGrid w:val="0"/>
                <w:color w:val="auto"/>
                <w:spacing w:val="-14"/>
                <w:kern w:val="0"/>
                <w:sz w:val="21"/>
                <w:szCs w:val="21"/>
                <w:lang w:eastAsia="en-US"/>
              </w:rPr>
              <w:t>目标产物</w:t>
            </w:r>
          </w:p>
        </w:tc>
        <w:tc>
          <w:tcPr>
            <w:tcW w:w="2362" w:type="pct"/>
            <w:vAlign w:val="center"/>
          </w:tcPr>
          <w:p w14:paraId="3EEC2CCD">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5"/>
                <w:kern w:val="0"/>
                <w:sz w:val="21"/>
                <w:szCs w:val="21"/>
              </w:rPr>
              <w:t>目标产物是建设项目工艺设计、建设和运行过</w:t>
            </w:r>
            <w:r>
              <w:rPr>
                <w:snapToGrid w:val="0"/>
                <w:color w:val="auto"/>
                <w:spacing w:val="-3"/>
                <w:kern w:val="0"/>
                <w:sz w:val="21"/>
                <w:szCs w:val="21"/>
              </w:rPr>
              <w:t>程中希望获得的产品，并须列入投资主管部门的项目备案或批复中。列入《国家危险废物名录》《固体废物鉴别标准通则》(GB34330)中的</w:t>
            </w:r>
            <w:r>
              <w:rPr>
                <w:snapToGrid w:val="0"/>
                <w:color w:val="auto"/>
                <w:spacing w:val="16"/>
                <w:kern w:val="0"/>
                <w:sz w:val="21"/>
                <w:szCs w:val="21"/>
              </w:rPr>
              <w:t xml:space="preserve"> </w:t>
            </w:r>
            <w:r>
              <w:rPr>
                <w:snapToGrid w:val="0"/>
                <w:color w:val="auto"/>
                <w:spacing w:val="-3"/>
                <w:kern w:val="0"/>
                <w:sz w:val="21"/>
                <w:szCs w:val="21"/>
              </w:rPr>
              <w:t>固体废物以及利用处置固体废物产生的产物不属于目标产物。</w:t>
            </w:r>
          </w:p>
        </w:tc>
        <w:tc>
          <w:tcPr>
            <w:tcW w:w="1451" w:type="pct"/>
            <w:vAlign w:val="center"/>
          </w:tcPr>
          <w:p w14:paraId="5A23F398">
            <w:pPr>
              <w:widowControl/>
              <w:kinsoku w:val="0"/>
              <w:autoSpaceDE w:val="0"/>
              <w:autoSpaceDN w:val="0"/>
              <w:spacing w:line="240" w:lineRule="auto"/>
              <w:ind w:firstLine="0" w:firstLineChars="0"/>
              <w:jc w:val="center"/>
              <w:textAlignment w:val="baseline"/>
              <w:rPr>
                <w:snapToGrid w:val="0"/>
                <w:color w:val="auto"/>
                <w:kern w:val="0"/>
                <w:sz w:val="21"/>
                <w:szCs w:val="21"/>
              </w:rPr>
            </w:pPr>
            <w:r>
              <w:rPr>
                <w:rFonts w:hint="eastAsia"/>
                <w:snapToGrid w:val="0"/>
                <w:color w:val="auto"/>
                <w:kern w:val="0"/>
                <w:sz w:val="21"/>
                <w:szCs w:val="21"/>
              </w:rPr>
              <w:t>现有项目副产物已列入投资主管部门的项目备案中，但不属于建设项目工艺设计、建设和运行过程中希望获得的产品。</w:t>
            </w:r>
          </w:p>
        </w:tc>
        <w:tc>
          <w:tcPr>
            <w:tcW w:w="733" w:type="pct"/>
            <w:vAlign w:val="center"/>
          </w:tcPr>
          <w:p w14:paraId="32C2B492">
            <w:pPr>
              <w:widowControl/>
              <w:kinsoku w:val="0"/>
              <w:autoSpaceDE w:val="0"/>
              <w:autoSpaceDN w:val="0"/>
              <w:spacing w:line="240" w:lineRule="auto"/>
              <w:ind w:firstLine="0" w:firstLineChars="0"/>
              <w:jc w:val="center"/>
              <w:textAlignment w:val="baseline"/>
              <w:rPr>
                <w:snapToGrid w:val="0"/>
                <w:color w:val="auto"/>
                <w:spacing w:val="-3"/>
                <w:kern w:val="0"/>
                <w:sz w:val="21"/>
                <w:szCs w:val="21"/>
              </w:rPr>
            </w:pPr>
            <w:r>
              <w:rPr>
                <w:rFonts w:hint="eastAsia"/>
                <w:snapToGrid w:val="0"/>
                <w:color w:val="auto"/>
                <w:spacing w:val="-3"/>
                <w:kern w:val="0"/>
                <w:sz w:val="21"/>
                <w:szCs w:val="21"/>
              </w:rPr>
              <w:t>均不属于目标产物</w:t>
            </w:r>
          </w:p>
        </w:tc>
      </w:tr>
      <w:tr w14:paraId="387D9B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326" w:hRule="atLeast"/>
          <w:jc w:val="center"/>
        </w:trPr>
        <w:tc>
          <w:tcPr>
            <w:tcW w:w="454" w:type="pct"/>
            <w:vAlign w:val="center"/>
          </w:tcPr>
          <w:p w14:paraId="1509AEA2">
            <w:pPr>
              <w:widowControl/>
              <w:kinsoku w:val="0"/>
              <w:autoSpaceDE w:val="0"/>
              <w:autoSpaceDN w:val="0"/>
              <w:spacing w:line="240" w:lineRule="auto"/>
              <w:ind w:firstLine="0" w:firstLineChars="0"/>
              <w:jc w:val="center"/>
              <w:textAlignment w:val="baseline"/>
              <w:rPr>
                <w:snapToGrid w:val="0"/>
                <w:color w:val="auto"/>
                <w:kern w:val="0"/>
                <w:sz w:val="21"/>
                <w:szCs w:val="21"/>
                <w:lang w:eastAsia="en-US"/>
              </w:rPr>
            </w:pPr>
            <w:r>
              <w:rPr>
                <w:snapToGrid w:val="0"/>
                <w:color w:val="auto"/>
                <w:spacing w:val="-4"/>
                <w:kern w:val="0"/>
                <w:sz w:val="21"/>
                <w:szCs w:val="21"/>
                <w:lang w:eastAsia="en-US"/>
              </w:rPr>
              <w:t>鉴别属于产</w:t>
            </w:r>
            <w:r>
              <w:rPr>
                <w:snapToGrid w:val="0"/>
                <w:color w:val="auto"/>
                <w:spacing w:val="-3"/>
                <w:kern w:val="0"/>
                <w:sz w:val="21"/>
                <w:szCs w:val="21"/>
                <w:lang w:eastAsia="en-US"/>
              </w:rPr>
              <w:t>品</w:t>
            </w:r>
          </w:p>
        </w:tc>
        <w:tc>
          <w:tcPr>
            <w:tcW w:w="2362" w:type="pct"/>
            <w:vAlign w:val="center"/>
          </w:tcPr>
          <w:p w14:paraId="15CB9E3C">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3"/>
                <w:kern w:val="0"/>
                <w:sz w:val="21"/>
                <w:szCs w:val="21"/>
              </w:rPr>
              <w:t>不属于目标产物，经鉴别属于产品的，应具有针对其产生工艺和原辅材料制定的国家、地方或行业通行的产品质量标准或技术规范，且标准（规范）有明确的功能性指标、有效成分含量、有害成分限量及使用用途等要素。缺少以上任一要素的，不作为产品认定的依据。</w:t>
            </w:r>
          </w:p>
        </w:tc>
        <w:tc>
          <w:tcPr>
            <w:tcW w:w="1451" w:type="pct"/>
            <w:vAlign w:val="center"/>
          </w:tcPr>
          <w:p w14:paraId="43E843B4">
            <w:pPr>
              <w:widowControl/>
              <w:kinsoku w:val="0"/>
              <w:overflowPunct w:val="0"/>
              <w:autoSpaceDE w:val="0"/>
              <w:autoSpaceDN w:val="0"/>
              <w:spacing w:line="240" w:lineRule="auto"/>
              <w:ind w:firstLine="0" w:firstLineChars="0"/>
              <w:jc w:val="center"/>
              <w:textAlignment w:val="baseline"/>
              <w:rPr>
                <w:snapToGrid w:val="0"/>
                <w:color w:val="auto"/>
                <w:spacing w:val="-3"/>
                <w:kern w:val="0"/>
                <w:sz w:val="21"/>
                <w:szCs w:val="21"/>
              </w:rPr>
            </w:pPr>
            <w:r>
              <w:rPr>
                <w:rFonts w:hint="eastAsia"/>
                <w:snapToGrid w:val="0"/>
                <w:color w:val="auto"/>
                <w:kern w:val="0"/>
                <w:sz w:val="21"/>
                <w:szCs w:val="21"/>
              </w:rPr>
              <w:t>现有</w:t>
            </w:r>
            <w:r>
              <w:rPr>
                <w:rFonts w:hint="eastAsia"/>
                <w:snapToGrid w:val="0"/>
                <w:color w:val="auto"/>
                <w:spacing w:val="-3"/>
                <w:kern w:val="0"/>
                <w:sz w:val="21"/>
                <w:szCs w:val="21"/>
              </w:rPr>
              <w:t>项目副产物执行标准的生产标准中，没有针对其生产工艺和原辅材料制定的国家、地方或行业通行的产品质量标准或技术规范，且标准（规范）有明确的功能性指标、有效成分含量、有害成分限量及使用用途等要素。</w:t>
            </w:r>
          </w:p>
        </w:tc>
        <w:tc>
          <w:tcPr>
            <w:tcW w:w="733" w:type="pct"/>
            <w:vAlign w:val="center"/>
          </w:tcPr>
          <w:p w14:paraId="163950A1">
            <w:pPr>
              <w:widowControl/>
              <w:kinsoku w:val="0"/>
              <w:overflowPunct w:val="0"/>
              <w:autoSpaceDE w:val="0"/>
              <w:autoSpaceDN w:val="0"/>
              <w:spacing w:line="240" w:lineRule="auto"/>
              <w:ind w:firstLine="0" w:firstLineChars="0"/>
              <w:jc w:val="center"/>
              <w:textAlignment w:val="baseline"/>
              <w:rPr>
                <w:snapToGrid w:val="0"/>
                <w:color w:val="auto"/>
                <w:spacing w:val="-3"/>
                <w:kern w:val="0"/>
                <w:sz w:val="21"/>
                <w:szCs w:val="21"/>
              </w:rPr>
            </w:pPr>
            <w:r>
              <w:rPr>
                <w:rFonts w:hint="eastAsia"/>
                <w:snapToGrid w:val="0"/>
                <w:color w:val="auto"/>
                <w:spacing w:val="-3"/>
                <w:kern w:val="0"/>
                <w:sz w:val="21"/>
                <w:szCs w:val="21"/>
              </w:rPr>
              <w:t>均不属于产品</w:t>
            </w:r>
          </w:p>
        </w:tc>
      </w:tr>
      <w:tr w14:paraId="062E78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1" w:hRule="atLeast"/>
          <w:jc w:val="center"/>
        </w:trPr>
        <w:tc>
          <w:tcPr>
            <w:tcW w:w="454" w:type="pct"/>
            <w:vAlign w:val="center"/>
          </w:tcPr>
          <w:p w14:paraId="7062C6E4">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4"/>
                <w:kern w:val="0"/>
                <w:sz w:val="21"/>
                <w:szCs w:val="21"/>
              </w:rPr>
              <w:t>可定向用于特定用途按产品管理</w:t>
            </w:r>
          </w:p>
        </w:tc>
        <w:tc>
          <w:tcPr>
            <w:tcW w:w="2362" w:type="pct"/>
            <w:vAlign w:val="center"/>
          </w:tcPr>
          <w:p w14:paraId="56A76DAC">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3"/>
                <w:kern w:val="0"/>
                <w:sz w:val="21"/>
                <w:szCs w:val="21"/>
              </w:rPr>
              <w:t>固体废物利用产物当没有“二、鉴别属于产品”规定的国家、地方制定或行业通行的产品标准(规范)时，定向用于特定用途按产品管理应满足下</w:t>
            </w:r>
            <w:r>
              <w:rPr>
                <w:snapToGrid w:val="0"/>
                <w:color w:val="auto"/>
                <w:spacing w:val="-4"/>
                <w:kern w:val="0"/>
                <w:sz w:val="21"/>
                <w:szCs w:val="21"/>
              </w:rPr>
              <w:t>述要求：</w:t>
            </w:r>
          </w:p>
          <w:p w14:paraId="4EC4D8F3">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2"/>
                <w:kern w:val="0"/>
                <w:sz w:val="21"/>
                <w:szCs w:val="21"/>
              </w:rPr>
              <w:t>1.满足《固体废物鉴别标准通则》(GB34330</w:t>
            </w:r>
            <w:r>
              <w:rPr>
                <w:snapToGrid w:val="0"/>
                <w:color w:val="auto"/>
                <w:spacing w:val="-3"/>
                <w:kern w:val="0"/>
                <w:sz w:val="21"/>
                <w:szCs w:val="21"/>
              </w:rPr>
              <w:t>)第</w:t>
            </w:r>
            <w:r>
              <w:rPr>
                <w:snapToGrid w:val="0"/>
                <w:color w:val="auto"/>
                <w:spacing w:val="-4"/>
                <w:kern w:val="0"/>
                <w:sz w:val="21"/>
                <w:szCs w:val="21"/>
              </w:rPr>
              <w:t>5.2</w:t>
            </w:r>
            <w:r>
              <w:rPr>
                <w:snapToGrid w:val="0"/>
                <w:color w:val="auto"/>
                <w:spacing w:val="16"/>
                <w:kern w:val="0"/>
                <w:sz w:val="21"/>
                <w:szCs w:val="21"/>
              </w:rPr>
              <w:t xml:space="preserve"> </w:t>
            </w:r>
            <w:r>
              <w:rPr>
                <w:snapToGrid w:val="0"/>
                <w:color w:val="auto"/>
                <w:spacing w:val="-4"/>
                <w:kern w:val="0"/>
                <w:sz w:val="21"/>
                <w:szCs w:val="21"/>
              </w:rPr>
              <w:t>款要求。</w:t>
            </w:r>
          </w:p>
          <w:p w14:paraId="6109041A">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2"/>
                <w:kern w:val="0"/>
                <w:sz w:val="21"/>
                <w:szCs w:val="21"/>
              </w:rPr>
              <w:t>2.当没有《固体废物鉴别标准通则》(GB3</w:t>
            </w:r>
            <w:r>
              <w:rPr>
                <w:snapToGrid w:val="0"/>
                <w:color w:val="auto"/>
                <w:spacing w:val="-3"/>
                <w:kern w:val="0"/>
                <w:sz w:val="21"/>
                <w:szCs w:val="21"/>
              </w:rPr>
              <w:t>4330)</w:t>
            </w:r>
            <w:r>
              <w:rPr>
                <w:snapToGrid w:val="0"/>
                <w:color w:val="auto"/>
                <w:kern w:val="0"/>
                <w:sz w:val="21"/>
                <w:szCs w:val="21"/>
              </w:rPr>
              <w:t xml:space="preserve"> </w:t>
            </w:r>
            <w:r>
              <w:rPr>
                <w:snapToGrid w:val="0"/>
                <w:color w:val="auto"/>
                <w:spacing w:val="-3"/>
                <w:kern w:val="0"/>
                <w:sz w:val="21"/>
                <w:szCs w:val="21"/>
              </w:rPr>
              <w:t>中要求的国家污染控制标准或技术规范时，按照《固体废物再生利用污染防治技术导则》</w:t>
            </w:r>
            <w:r>
              <w:rPr>
                <w:snapToGrid w:val="0"/>
                <w:color w:val="auto"/>
                <w:spacing w:val="-2"/>
                <w:kern w:val="0"/>
                <w:sz w:val="21"/>
                <w:szCs w:val="21"/>
              </w:rPr>
              <w:t>(HJ1091)第</w:t>
            </w:r>
            <w:r>
              <w:rPr>
                <w:snapToGrid w:val="0"/>
                <w:color w:val="auto"/>
                <w:spacing w:val="-49"/>
                <w:kern w:val="0"/>
                <w:sz w:val="21"/>
                <w:szCs w:val="21"/>
              </w:rPr>
              <w:t xml:space="preserve"> </w:t>
            </w:r>
            <w:r>
              <w:rPr>
                <w:snapToGrid w:val="0"/>
                <w:color w:val="auto"/>
                <w:spacing w:val="-2"/>
                <w:kern w:val="0"/>
                <w:sz w:val="21"/>
                <w:szCs w:val="21"/>
              </w:rPr>
              <w:t>4.7款开展环境风险评</w:t>
            </w:r>
            <w:r>
              <w:rPr>
                <w:snapToGrid w:val="0"/>
                <w:color w:val="auto"/>
                <w:spacing w:val="-3"/>
                <w:kern w:val="0"/>
                <w:sz w:val="21"/>
                <w:szCs w:val="21"/>
              </w:rPr>
              <w:t>价。</w:t>
            </w:r>
          </w:p>
          <w:p w14:paraId="62CC17DB">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3"/>
                <w:kern w:val="0"/>
                <w:sz w:val="21"/>
                <w:szCs w:val="21"/>
              </w:rPr>
              <w:t>3.关于团体标准的应用。全国性或江苏省级行业协会等社会团体组织制定的团体标准若包括固体废物来源、利用工艺、利用产物功能性指标、有效成分含量、特征污染物含量和利用产物用途的，可作为用于工业生产替代原料的固体废物利用产物环境风险评价的依据，其环境</w:t>
            </w:r>
            <w:r>
              <w:rPr>
                <w:rFonts w:hint="eastAsia"/>
                <w:color w:val="auto"/>
                <w:spacing w:val="-3"/>
                <w:kern w:val="0"/>
                <w:sz w:val="21"/>
              </w:rPr>
              <w:t>风险评价要重点阐述团体标准落实情况。</w:t>
            </w:r>
          </w:p>
        </w:tc>
        <w:tc>
          <w:tcPr>
            <w:tcW w:w="1451" w:type="pct"/>
            <w:vAlign w:val="center"/>
          </w:tcPr>
          <w:p w14:paraId="2EEE47F5">
            <w:pPr>
              <w:widowControl/>
              <w:kinsoku w:val="0"/>
              <w:overflowPunct w:val="0"/>
              <w:autoSpaceDE w:val="0"/>
              <w:autoSpaceDN w:val="0"/>
              <w:spacing w:line="240" w:lineRule="auto"/>
              <w:ind w:firstLine="0" w:firstLineChars="0"/>
              <w:jc w:val="center"/>
              <w:textAlignment w:val="baseline"/>
              <w:rPr>
                <w:snapToGrid w:val="0"/>
                <w:color w:val="auto"/>
                <w:spacing w:val="-3"/>
                <w:kern w:val="0"/>
                <w:sz w:val="21"/>
                <w:szCs w:val="21"/>
              </w:rPr>
            </w:pPr>
            <w:r>
              <w:rPr>
                <w:rFonts w:hint="eastAsia"/>
                <w:snapToGrid w:val="0"/>
                <w:color w:val="auto"/>
                <w:spacing w:val="-3"/>
                <w:kern w:val="0"/>
                <w:sz w:val="21"/>
                <w:szCs w:val="21"/>
              </w:rPr>
              <w:t>3种副产物均属于固体废物利用的产物。目前，亚太药业参考执行国家或行业质量标准。国家或行业标准中没有明确与亚太药业生产工艺相关的有害成分限量，企业通过制定企业标准，控制相关特征污染物限量，并做好质量管控工作。</w:t>
            </w:r>
          </w:p>
        </w:tc>
        <w:tc>
          <w:tcPr>
            <w:tcW w:w="733" w:type="pct"/>
            <w:vAlign w:val="center"/>
          </w:tcPr>
          <w:p w14:paraId="1195B92B">
            <w:pPr>
              <w:widowControl/>
              <w:kinsoku w:val="0"/>
              <w:overflowPunct w:val="0"/>
              <w:autoSpaceDE w:val="0"/>
              <w:autoSpaceDN w:val="0"/>
              <w:spacing w:line="240" w:lineRule="auto"/>
              <w:ind w:firstLine="0" w:firstLineChars="0"/>
              <w:jc w:val="center"/>
              <w:textAlignment w:val="baseline"/>
              <w:rPr>
                <w:snapToGrid w:val="0"/>
                <w:color w:val="auto"/>
                <w:spacing w:val="-3"/>
                <w:kern w:val="0"/>
                <w:sz w:val="21"/>
                <w:szCs w:val="21"/>
              </w:rPr>
            </w:pPr>
            <w:r>
              <w:rPr>
                <w:rFonts w:hint="eastAsia"/>
                <w:snapToGrid w:val="0"/>
                <w:color w:val="auto"/>
                <w:spacing w:val="-3"/>
                <w:kern w:val="0"/>
                <w:sz w:val="21"/>
                <w:szCs w:val="21"/>
              </w:rPr>
              <w:t>企业后续应落实相关环境风险评价工作，并得到可行结论的前提下，可作为可定向用于特定用途按产品管理范围。</w:t>
            </w:r>
          </w:p>
        </w:tc>
      </w:tr>
      <w:tr w14:paraId="0F0199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1" w:hRule="atLeast"/>
          <w:jc w:val="center"/>
        </w:trPr>
        <w:tc>
          <w:tcPr>
            <w:tcW w:w="454" w:type="pct"/>
            <w:vAlign w:val="center"/>
          </w:tcPr>
          <w:p w14:paraId="0CF5904D">
            <w:pPr>
              <w:widowControl/>
              <w:kinsoku w:val="0"/>
              <w:autoSpaceDE w:val="0"/>
              <w:autoSpaceDN w:val="0"/>
              <w:spacing w:line="240" w:lineRule="auto"/>
              <w:ind w:firstLine="0" w:firstLineChars="0"/>
              <w:jc w:val="center"/>
              <w:textAlignment w:val="baseline"/>
              <w:rPr>
                <w:snapToGrid w:val="0"/>
                <w:color w:val="auto"/>
                <w:spacing w:val="-4"/>
                <w:kern w:val="0"/>
                <w:sz w:val="21"/>
                <w:szCs w:val="21"/>
              </w:rPr>
            </w:pPr>
            <w:r>
              <w:rPr>
                <w:color w:val="auto"/>
                <w:spacing w:val="-4"/>
                <w:kern w:val="0"/>
                <w:sz w:val="21"/>
              </w:rPr>
              <w:t>一般固体废物和危险固废</w:t>
            </w:r>
          </w:p>
        </w:tc>
        <w:tc>
          <w:tcPr>
            <w:tcW w:w="2362" w:type="pct"/>
            <w:vAlign w:val="center"/>
          </w:tcPr>
          <w:p w14:paraId="272D165A">
            <w:pPr>
              <w:widowControl/>
              <w:kinsoku w:val="0"/>
              <w:autoSpaceDE w:val="0"/>
              <w:autoSpaceDN w:val="0"/>
              <w:spacing w:line="240" w:lineRule="auto"/>
              <w:ind w:firstLine="0" w:firstLineChars="0"/>
              <w:jc w:val="center"/>
              <w:textAlignment w:val="baseline"/>
              <w:rPr>
                <w:snapToGrid w:val="0"/>
                <w:color w:val="auto"/>
                <w:spacing w:val="-3"/>
                <w:kern w:val="0"/>
                <w:sz w:val="21"/>
                <w:szCs w:val="21"/>
              </w:rPr>
            </w:pPr>
            <w:r>
              <w:rPr>
                <w:color w:val="auto"/>
                <w:spacing w:val="-3"/>
                <w:kern w:val="0"/>
                <w:sz w:val="21"/>
              </w:rPr>
              <w:t>对不符合前述三项要求的副产物，按照一般固体废物或危险废物管理。列入《国家危险废物名录》的，按照危险废物管理</w:t>
            </w:r>
            <w:r>
              <w:rPr>
                <w:rFonts w:hint="eastAsia"/>
                <w:color w:val="auto"/>
                <w:spacing w:val="-3"/>
                <w:kern w:val="0"/>
                <w:sz w:val="21"/>
              </w:rPr>
              <w:t>；</w:t>
            </w:r>
            <w:r>
              <w:rPr>
                <w:color w:val="auto"/>
                <w:spacing w:val="-3"/>
                <w:kern w:val="0"/>
                <w:sz w:val="21"/>
              </w:rPr>
              <w:t>未列入《国家危险废物名录》且可以排除危险特性的按一般固体废物管理；未列入《国家危险废物名录》但可能具有危险特性的，</w:t>
            </w:r>
            <w:r>
              <w:rPr>
                <w:rFonts w:hint="eastAsia"/>
                <w:color w:val="auto"/>
                <w:spacing w:val="-3"/>
                <w:kern w:val="0"/>
                <w:sz w:val="21"/>
              </w:rPr>
              <w:t>应</w:t>
            </w:r>
            <w:r>
              <w:rPr>
                <w:color w:val="auto"/>
                <w:spacing w:val="-3"/>
                <w:kern w:val="0"/>
                <w:sz w:val="21"/>
              </w:rPr>
              <w:t>开展鉴别，鉴别前</w:t>
            </w:r>
            <w:r>
              <w:rPr>
                <w:rFonts w:hint="eastAsia"/>
                <w:color w:val="auto"/>
                <w:spacing w:val="-3"/>
                <w:kern w:val="0"/>
                <w:sz w:val="21"/>
              </w:rPr>
              <w:t>及鉴别期间</w:t>
            </w:r>
            <w:r>
              <w:rPr>
                <w:color w:val="auto"/>
                <w:spacing w:val="-3"/>
                <w:kern w:val="0"/>
                <w:sz w:val="21"/>
              </w:rPr>
              <w:t>按危险废物管理。</w:t>
            </w:r>
          </w:p>
        </w:tc>
        <w:tc>
          <w:tcPr>
            <w:tcW w:w="1451" w:type="pct"/>
            <w:vAlign w:val="center"/>
          </w:tcPr>
          <w:p w14:paraId="104906AB">
            <w:pPr>
              <w:widowControl/>
              <w:kinsoku w:val="0"/>
              <w:overflowPunct w:val="0"/>
              <w:autoSpaceDE w:val="0"/>
              <w:autoSpaceDN w:val="0"/>
              <w:spacing w:line="240" w:lineRule="auto"/>
              <w:ind w:firstLine="0" w:firstLineChars="0"/>
              <w:jc w:val="center"/>
              <w:textAlignment w:val="baseline"/>
              <w:rPr>
                <w:snapToGrid w:val="0"/>
                <w:color w:val="auto"/>
                <w:spacing w:val="-3"/>
                <w:kern w:val="0"/>
                <w:sz w:val="21"/>
                <w:szCs w:val="21"/>
              </w:rPr>
            </w:pPr>
            <w:r>
              <w:rPr>
                <w:rFonts w:hint="eastAsia"/>
                <w:snapToGrid w:val="0"/>
                <w:color w:val="auto"/>
                <w:spacing w:val="-3"/>
                <w:kern w:val="0"/>
                <w:sz w:val="21"/>
                <w:szCs w:val="21"/>
              </w:rPr>
              <w:t>若现有副产物在满足可定向用于特定用途按产品管理范围的前提，可不纳入一般固体废物和危险固废范围。</w:t>
            </w:r>
          </w:p>
        </w:tc>
        <w:tc>
          <w:tcPr>
            <w:tcW w:w="733" w:type="pct"/>
            <w:vAlign w:val="center"/>
          </w:tcPr>
          <w:p w14:paraId="143EE592">
            <w:pPr>
              <w:widowControl/>
              <w:kinsoku w:val="0"/>
              <w:overflowPunct w:val="0"/>
              <w:autoSpaceDE w:val="0"/>
              <w:autoSpaceDN w:val="0"/>
              <w:spacing w:line="240" w:lineRule="auto"/>
              <w:ind w:firstLine="0" w:firstLineChars="0"/>
              <w:jc w:val="center"/>
              <w:textAlignment w:val="baseline"/>
              <w:rPr>
                <w:snapToGrid w:val="0"/>
                <w:color w:val="auto"/>
                <w:spacing w:val="-3"/>
                <w:kern w:val="0"/>
                <w:sz w:val="21"/>
                <w:szCs w:val="21"/>
              </w:rPr>
            </w:pPr>
            <w:r>
              <w:rPr>
                <w:rFonts w:hint="eastAsia"/>
                <w:snapToGrid w:val="0"/>
                <w:color w:val="auto"/>
                <w:spacing w:val="-3"/>
                <w:kern w:val="0"/>
                <w:sz w:val="21"/>
                <w:szCs w:val="21"/>
              </w:rPr>
              <w:t>在落实相关风险评价工作，并得到可行结论的前提下，不属于一般固体废物和危险固废。</w:t>
            </w:r>
          </w:p>
        </w:tc>
      </w:tr>
    </w:tbl>
    <w:p w14:paraId="2A3F9DA0">
      <w:pPr>
        <w:pStyle w:val="4"/>
        <w:rPr>
          <w:color w:val="auto"/>
        </w:rPr>
      </w:pPr>
      <w:bookmarkStart w:id="118" w:name="_Toc23020"/>
      <w:r>
        <w:rPr>
          <w:rFonts w:hint="eastAsia"/>
          <w:color w:val="auto"/>
        </w:rPr>
        <w:t>3.7.3现有项目副产风险评价完成前的环境管理要求</w:t>
      </w:r>
      <w:bookmarkEnd w:id="118"/>
    </w:p>
    <w:p w14:paraId="5FA01E0C">
      <w:pPr>
        <w:ind w:firstLine="480"/>
        <w:rPr>
          <w:color w:val="auto"/>
          <w:lang w:val="zh-CN"/>
        </w:rPr>
      </w:pPr>
      <w:r>
        <w:rPr>
          <w:rFonts w:hint="eastAsia"/>
          <w:color w:val="auto"/>
          <w:lang w:val="zh-CN"/>
        </w:rPr>
        <w:t>根据《固体废物鉴别标准 通则》（GB34330-20</w:t>
      </w:r>
      <w:r>
        <w:rPr>
          <w:rFonts w:hint="eastAsia"/>
          <w:color w:val="auto"/>
        </w:rPr>
        <w:t>25</w:t>
      </w:r>
      <w:r>
        <w:rPr>
          <w:rFonts w:hint="eastAsia"/>
          <w:color w:val="auto"/>
          <w:lang w:val="zh-CN"/>
        </w:rPr>
        <w:t>）《固体废物再生利用污染防治技术导则》（HJ1091-2020），本评价建议对副产物日常管理要求如下：</w:t>
      </w:r>
    </w:p>
    <w:p w14:paraId="385FFC61">
      <w:pPr>
        <w:ind w:firstLine="480"/>
        <w:rPr>
          <w:color w:val="auto"/>
          <w:lang w:val="zh-CN"/>
        </w:rPr>
      </w:pPr>
      <w:r>
        <w:rPr>
          <w:rFonts w:hint="eastAsia"/>
          <w:color w:val="auto"/>
          <w:lang w:val="zh-CN"/>
        </w:rPr>
        <w:t>（1）在实际生产中，副产应满足《固体废物鉴别标准 通则》（GB34330-2017）、《固体废物再生利用污染防治技术导则》（HJ1091-2020）要求。</w:t>
      </w:r>
    </w:p>
    <w:p w14:paraId="42C8CA8B">
      <w:pPr>
        <w:ind w:firstLine="480"/>
        <w:rPr>
          <w:color w:val="auto"/>
          <w:lang w:val="zh-CN"/>
        </w:rPr>
      </w:pPr>
      <w:r>
        <w:rPr>
          <w:rFonts w:hint="eastAsia"/>
          <w:color w:val="auto"/>
          <w:lang w:val="zh-CN"/>
        </w:rPr>
        <w:t>（2）考虑到各副产中残留杂质成分较复杂，且精制过程尚需进一步工业化运行，建设单位在副产物外售前需开展副产物质量及有害成分分析，应确保副产满足相应的物质质量标准，进一步完善产品质量标准，确保可能含有的内控指标满足含量限值要求，减少溶剂残留，并开展环境风险评价，通过评估后方可按副产定点外售并跟踪管理（从产生、运输、接收到用于生产的追踪记录，建立准确完整的管理台账，做到全流程可追溯），出售前将所制定的副产企业标准向质监部门备案，并按照标准要求进行出厂检验。</w:t>
      </w:r>
    </w:p>
    <w:p w14:paraId="21604F2F">
      <w:pPr>
        <w:ind w:firstLine="480"/>
        <w:rPr>
          <w:color w:val="auto"/>
          <w:lang w:val="zh-CN"/>
        </w:rPr>
      </w:pPr>
      <w:r>
        <w:rPr>
          <w:rFonts w:hint="eastAsia"/>
          <w:color w:val="auto"/>
          <w:lang w:val="zh-CN"/>
        </w:rPr>
        <w:t>（3）如果各副产的利用方式或接收单位发生变化，需另行分析其可行。</w:t>
      </w:r>
    </w:p>
    <w:p w14:paraId="645F42CF">
      <w:pPr>
        <w:ind w:firstLine="480"/>
        <w:rPr>
          <w:color w:val="auto"/>
          <w:lang w:val="zh-CN"/>
        </w:rPr>
      </w:pPr>
      <w:r>
        <w:rPr>
          <w:rFonts w:hint="eastAsia"/>
          <w:color w:val="auto"/>
          <w:lang w:val="zh-CN"/>
        </w:rPr>
        <w:t>（4）后期实际销售前供需双方应按规范签订销售合同，合同中应包含明确双方有关环保权责划分的条款，例如需明确购买方应将所购产品完全用于生产，不得转卖、不得随意倾倒、弃置；明确责任单位，对因产品质量问题导致的污染事件责任方等，产生单位（企业）对本单位产生的副产物承担处理处置责任，应对副产物的产生、收集、贮存、运输和处理处置实施全过程管理，产生单位法定代表人或主要责任人是污染防治第一责任人。</w:t>
      </w:r>
    </w:p>
    <w:p w14:paraId="53E57896">
      <w:pPr>
        <w:ind w:firstLine="480"/>
        <w:rPr>
          <w:color w:val="auto"/>
          <w:lang w:val="zh-CN"/>
        </w:rPr>
      </w:pPr>
      <w:r>
        <w:rPr>
          <w:rFonts w:hint="eastAsia"/>
          <w:color w:val="auto"/>
          <w:lang w:val="zh-CN"/>
        </w:rPr>
        <w:t>（5）企业应建立健全管理台账，详细记录副产物产生及去向情况。</w:t>
      </w:r>
    </w:p>
    <w:p w14:paraId="1CA86CD7">
      <w:pPr>
        <w:ind w:firstLine="480"/>
        <w:rPr>
          <w:color w:val="auto"/>
          <w:lang w:val="zh-CN"/>
        </w:rPr>
      </w:pPr>
      <w:r>
        <w:rPr>
          <w:rFonts w:hint="eastAsia"/>
          <w:color w:val="auto"/>
          <w:lang w:val="zh-CN"/>
        </w:rPr>
        <w:t>（6）相关环保部门要切实履行属地管理职责，对辖区内企业产生的副产物实施严格的日常监管。</w:t>
      </w:r>
    </w:p>
    <w:p w14:paraId="52A6BAEB">
      <w:pPr>
        <w:ind w:firstLine="480"/>
        <w:rPr>
          <w:color w:val="auto"/>
          <w:lang w:val="zh-CN"/>
        </w:rPr>
      </w:pPr>
      <w:r>
        <w:rPr>
          <w:rFonts w:hint="eastAsia"/>
          <w:color w:val="auto"/>
          <w:lang w:val="zh-CN"/>
        </w:rPr>
        <w:t>（7）按照《固体废物再生利用污染防治技术导则》(HJ1091-2020）第8项监测要求定期对固体废物再生利用产品进行采样监测，监测频次应满足以下要求：</w:t>
      </w:r>
    </w:p>
    <w:p w14:paraId="1347B058">
      <w:pPr>
        <w:ind w:firstLine="480"/>
        <w:rPr>
          <w:color w:val="auto"/>
          <w:lang w:val="zh-CN"/>
        </w:rPr>
      </w:pPr>
      <w:r>
        <w:rPr>
          <w:rFonts w:hint="eastAsia"/>
          <w:color w:val="auto"/>
          <w:lang w:val="zh-CN"/>
        </w:rPr>
        <w:t>1）当首次再生利用某种危险废物时，针对再生利用产品中的特征污染物监测频次不低于每天1；连续一周监测结果均不超出环境风险评价结果时，在该危险废物来源及投加量稳定的前提下，频次可减为每周1次；连续两个月监测结果均不超出环境风险评价结果时，频次可减为每月1次；若在此期间监测结果出现异常或危险废物来源发生变化或再生利用中断超过半年以上，则监测频次重新调整为每天1次，依次重复。</w:t>
      </w:r>
    </w:p>
    <w:p w14:paraId="3587402A">
      <w:pPr>
        <w:ind w:firstLine="480"/>
        <w:rPr>
          <w:color w:val="auto"/>
          <w:lang w:val="zh-CN"/>
        </w:rPr>
      </w:pPr>
      <w:r>
        <w:rPr>
          <w:rFonts w:hint="eastAsia"/>
          <w:color w:val="auto"/>
          <w:lang w:val="zh-CN"/>
        </w:rPr>
        <w:t>2）当首次再生利用除危险废物外的某种固体废物时，针对再生利用产品中的特征污染物监测频次不低于每周3次：连续二周监测结果均不超出环境风险评价结果时，在该废物来源及投加量稳定的前提下，频次可减为每月1次；连续三个月监测结果均不超出环境风险评价结果时，频次可减为每年1次：若在此期间监测结果出现异常或固体废物来源发生变化或再生利用中断超过半年以上，则监测频次重新调整为不低于每周3次，依次重复。</w:t>
      </w:r>
    </w:p>
    <w:p w14:paraId="239BAF57">
      <w:pPr>
        <w:ind w:firstLine="482"/>
        <w:rPr>
          <w:b/>
          <w:bCs/>
          <w:color w:val="auto"/>
        </w:rPr>
      </w:pPr>
      <w:r>
        <w:rPr>
          <w:rFonts w:hint="eastAsia"/>
          <w:b/>
          <w:bCs/>
          <w:color w:val="auto"/>
        </w:rPr>
        <w:t>目前企业正在进行三种副产高强石膏、氯化钙、氯化钠相关风险评价工作。</w:t>
      </w:r>
    </w:p>
    <w:p w14:paraId="745957EF">
      <w:pPr>
        <w:pStyle w:val="4"/>
        <w:rPr>
          <w:color w:val="auto"/>
        </w:rPr>
      </w:pPr>
      <w:bookmarkStart w:id="119" w:name="_Toc14389"/>
      <w:r>
        <w:rPr>
          <w:rFonts w:hint="eastAsia"/>
          <w:color w:val="auto"/>
        </w:rPr>
        <w:t>3.7.4现有按产品管理的副产物监测频次及要求</w:t>
      </w:r>
      <w:bookmarkEnd w:id="119"/>
    </w:p>
    <w:p w14:paraId="34A13BE6">
      <w:pPr>
        <w:ind w:firstLine="480"/>
        <w:rPr>
          <w:color w:val="auto"/>
          <w:lang w:val="zh-CN"/>
        </w:rPr>
      </w:pPr>
      <w:r>
        <w:rPr>
          <w:rFonts w:hint="eastAsia"/>
          <w:color w:val="auto"/>
          <w:lang w:val="zh-CN"/>
        </w:rPr>
        <w:t>1、装置首次生产副产物时，亚太药业针对每批次样品进行自行监测分析，连续监测5批次特征污染物检测结果不超出指标要求时，监测频次减为每五批抽检一次；连续两个月监测结果均不超出指标要求时，监测频次减为每月一次；若在此期间检测结果出现异常或装置停产超过半年以上，则监测频次重新调整为连续监测5批次，依次重复；</w:t>
      </w:r>
    </w:p>
    <w:p w14:paraId="4DDF738E">
      <w:pPr>
        <w:ind w:firstLine="480"/>
        <w:rPr>
          <w:color w:val="auto"/>
          <w:lang w:val="zh-CN"/>
        </w:rPr>
      </w:pPr>
      <w:r>
        <w:rPr>
          <w:rFonts w:hint="eastAsia"/>
          <w:color w:val="auto"/>
          <w:lang w:val="zh-CN"/>
        </w:rPr>
        <w:t>2、每批次销往定向利用企业的副产物应按照上述指标要求进行取样分析，开具质检单，特征污染物检测结果不超过指标要求方可正常销售；</w:t>
      </w:r>
    </w:p>
    <w:p w14:paraId="0CDDABD1">
      <w:pPr>
        <w:ind w:firstLine="480"/>
        <w:rPr>
          <w:color w:val="auto"/>
          <w:lang w:val="zh-CN"/>
        </w:rPr>
      </w:pPr>
      <w:r>
        <w:rPr>
          <w:rFonts w:hint="eastAsia"/>
          <w:color w:val="auto"/>
          <w:lang w:val="zh-CN"/>
        </w:rPr>
        <w:t>3、副产物销售建立台账，台账记录包括：出货日期、车号、副产名称、下游厂家名称、毛重（kg）、皮重（kg）、净重（kg）；</w:t>
      </w:r>
    </w:p>
    <w:p w14:paraId="19EBEA14">
      <w:pPr>
        <w:ind w:firstLine="480"/>
        <w:rPr>
          <w:color w:val="auto"/>
          <w:lang w:val="zh-CN"/>
        </w:rPr>
      </w:pPr>
      <w:r>
        <w:rPr>
          <w:rFonts w:hint="eastAsia"/>
          <w:color w:val="auto"/>
          <w:lang w:val="zh-CN"/>
        </w:rPr>
        <w:t>4、亚太药业进行自行监测的分析记录台账和质检单由质监部负责管理，销售台账由QHSE部门负责管理，上述记录信息均要求保存3年以上。</w:t>
      </w:r>
    </w:p>
    <w:p w14:paraId="47EBD471">
      <w:pPr>
        <w:pStyle w:val="3"/>
        <w:spacing w:before="312"/>
        <w:rPr>
          <w:color w:val="auto"/>
          <w:lang w:val="zh-CN"/>
        </w:rPr>
      </w:pPr>
      <w:bookmarkStart w:id="120" w:name="_Toc25820"/>
      <w:r>
        <w:rPr>
          <w:rFonts w:hint="eastAsia"/>
          <w:color w:val="auto"/>
        </w:rPr>
        <w:t>3.8</w:t>
      </w:r>
      <w:r>
        <w:rPr>
          <w:rFonts w:hint="eastAsia"/>
          <w:color w:val="auto"/>
          <w:lang w:val="zh-CN"/>
        </w:rPr>
        <w:t>现有项目存在问题及“以新带老”措施</w:t>
      </w:r>
      <w:bookmarkEnd w:id="120"/>
    </w:p>
    <w:p w14:paraId="5FC7F925">
      <w:pPr>
        <w:ind w:firstLine="480"/>
        <w:rPr>
          <w:color w:val="auto"/>
          <w:lang w:val="zh-CN"/>
        </w:rPr>
      </w:pPr>
      <w:r>
        <w:rPr>
          <w:rFonts w:hint="eastAsia"/>
          <w:color w:val="auto"/>
          <w:lang w:val="zh-CN"/>
        </w:rPr>
        <w:t>根据亚太药业现有项目的梳理及现场踏勘，目前公司存在的问题及改进措施如下。</w:t>
      </w:r>
    </w:p>
    <w:p w14:paraId="4A7A8B10">
      <w:pPr>
        <w:pStyle w:val="4"/>
        <w:rPr>
          <w:color w:val="auto"/>
        </w:rPr>
      </w:pPr>
      <w:bookmarkStart w:id="121" w:name="_Toc28945"/>
      <w:r>
        <w:rPr>
          <w:rFonts w:hint="eastAsia"/>
          <w:color w:val="auto"/>
        </w:rPr>
        <w:t>3.8.1存在的环境问题</w:t>
      </w:r>
      <w:bookmarkEnd w:id="121"/>
    </w:p>
    <w:p w14:paraId="09A24BC4">
      <w:pPr>
        <w:spacing w:line="460" w:lineRule="exact"/>
        <w:ind w:firstLine="480"/>
        <w:rPr>
          <w:color w:val="auto"/>
        </w:rPr>
      </w:pPr>
      <w:r>
        <w:rPr>
          <w:rFonts w:hint="eastAsia"/>
          <w:color w:val="auto"/>
        </w:rPr>
        <w:t>（1）企业现有20000t/a亚硫酸氢铵装置依托硫磺焚烧，生产过程焚硫工序、反应合成工段产生高浓度含SO</w:t>
      </w:r>
      <w:r>
        <w:rPr>
          <w:rFonts w:hint="eastAsia"/>
          <w:color w:val="auto"/>
          <w:vertAlign w:val="subscript"/>
        </w:rPr>
        <w:t>2</w:t>
      </w:r>
      <w:r>
        <w:rPr>
          <w:rFonts w:hint="eastAsia"/>
          <w:color w:val="auto"/>
        </w:rPr>
        <w:t>工艺废气，现有治理措施为老旧三级氨吸收装置，受设备老化、喷淋系统堵料、气液混合不充分制约，污染物去除效率偏低，存在废气超标、异味扰民隐患。</w:t>
      </w:r>
    </w:p>
    <w:p w14:paraId="34E0361E">
      <w:pPr>
        <w:ind w:firstLine="480"/>
        <w:rPr>
          <w:color w:val="auto"/>
        </w:rPr>
      </w:pPr>
      <w:r>
        <w:rPr>
          <w:rFonts w:hint="eastAsia"/>
          <w:color w:val="auto"/>
        </w:rPr>
        <w:t>（2）企业现有石膏生产车间高强石膏干燥、研磨产生的干燥废气和研磨废气产生含颗粒物工艺废气，现有治理设施采用布袋除尘+水喷淋组合工艺。受单级水喷淋气液接触时间有限、雾化效果一般等因素制约，整套设施颗粒物去除效果有限，颗粒物排放稳定性欠佳，难以满足现行超低排放管控要求。</w:t>
      </w:r>
    </w:p>
    <w:p w14:paraId="24438694">
      <w:pPr>
        <w:pStyle w:val="4"/>
        <w:rPr>
          <w:color w:val="auto"/>
        </w:rPr>
      </w:pPr>
      <w:r>
        <w:rPr>
          <w:rFonts w:hint="eastAsia"/>
          <w:color w:val="auto"/>
        </w:rPr>
        <w:t xml:space="preserve"> </w:t>
      </w:r>
      <w:bookmarkStart w:id="122" w:name="_Toc7144"/>
      <w:r>
        <w:rPr>
          <w:rFonts w:hint="eastAsia"/>
          <w:color w:val="auto"/>
        </w:rPr>
        <w:t>3.8.2“以新带老”措施</w:t>
      </w:r>
      <w:bookmarkEnd w:id="122"/>
    </w:p>
    <w:p w14:paraId="579DF7A5">
      <w:pPr>
        <w:spacing w:line="460" w:lineRule="exact"/>
        <w:ind w:firstLine="480"/>
        <w:rPr>
          <w:color w:val="auto"/>
          <w:lang w:val="zh-CN"/>
        </w:rPr>
      </w:pPr>
      <w:r>
        <w:rPr>
          <w:rFonts w:hint="eastAsia"/>
          <w:color w:val="auto"/>
          <w:lang w:val="zh-CN"/>
        </w:rPr>
        <w:t>（</w:t>
      </w:r>
      <w:r>
        <w:rPr>
          <w:rFonts w:hint="eastAsia"/>
          <w:color w:val="auto"/>
        </w:rPr>
        <w:t>1</w:t>
      </w:r>
      <w:r>
        <w:rPr>
          <w:rFonts w:hint="eastAsia"/>
          <w:color w:val="auto"/>
          <w:lang w:val="zh-CN"/>
        </w:rPr>
        <w:t>）企业</w:t>
      </w:r>
      <w:r>
        <w:rPr>
          <w:rFonts w:hint="eastAsia"/>
          <w:color w:val="auto"/>
        </w:rPr>
        <w:t>为</w:t>
      </w:r>
      <w:r>
        <w:rPr>
          <w:rFonts w:hint="eastAsia"/>
          <w:color w:val="auto"/>
          <w:lang w:val="zh-CN"/>
        </w:rPr>
        <w:t>落实以新带老整改要求，对现有20000t/a亚硫酸氢铵生产线含二氧化硫工艺废气治理设施实施提标改造：在原有三级氨吸收装置基础上，新增后置水喷淋单元及电除雾装置，优化废气治理组合工艺。新增水喷淋工序可进一步脱除尾气残余二氧化硫，配套电除雾高效捕集气溶胶</w:t>
      </w:r>
      <w:r>
        <w:rPr>
          <w:rFonts w:hint="eastAsia"/>
          <w:color w:val="auto"/>
        </w:rPr>
        <w:t>和</w:t>
      </w:r>
      <w:r>
        <w:rPr>
          <w:rFonts w:hint="eastAsia"/>
          <w:color w:val="auto"/>
          <w:lang w:val="zh-CN"/>
        </w:rPr>
        <w:t>吸收液雾滴，大幅提升二氧化硫综合去除效率，稳定尾气污染物排放浓度，消除无组织酸性异味及超标排放隐患。</w:t>
      </w:r>
    </w:p>
    <w:p w14:paraId="517EF490">
      <w:pPr>
        <w:ind w:firstLine="480"/>
        <w:rPr>
          <w:color w:val="auto"/>
          <w:lang w:val="zh-CN"/>
        </w:rPr>
      </w:pPr>
      <w:r>
        <w:rPr>
          <w:rFonts w:hint="eastAsia"/>
          <w:color w:val="auto"/>
          <w:lang w:val="zh-CN"/>
        </w:rPr>
        <w:t>（</w:t>
      </w:r>
      <w:r>
        <w:rPr>
          <w:rFonts w:hint="eastAsia"/>
          <w:color w:val="auto"/>
        </w:rPr>
        <w:t>2</w:t>
      </w:r>
      <w:r>
        <w:rPr>
          <w:rFonts w:hint="eastAsia"/>
          <w:color w:val="auto"/>
          <w:lang w:val="zh-CN"/>
        </w:rPr>
        <w:t>）为进一步削减颗粒物排放浓度、适配现行环保管控标准，企业</w:t>
      </w:r>
      <w:r>
        <w:rPr>
          <w:rFonts w:hint="eastAsia"/>
          <w:color w:val="auto"/>
        </w:rPr>
        <w:t>拟</w:t>
      </w:r>
      <w:r>
        <w:rPr>
          <w:rFonts w:hint="eastAsia"/>
          <w:color w:val="auto"/>
          <w:lang w:val="zh-CN"/>
        </w:rPr>
        <w:t>优化石膏车间废气治理设施，将原有“布袋除尘+单级水喷淋”工艺升级为“布袋除尘+二级水喷淋”工艺，延长气液接触时间，保障尾气长期稳定达标排放。</w:t>
      </w:r>
    </w:p>
    <w:p w14:paraId="5FCDB266">
      <w:pPr>
        <w:ind w:firstLine="480"/>
        <w:rPr>
          <w:color w:val="auto"/>
          <w:lang w:val="zh-CN"/>
        </w:rPr>
      </w:pPr>
      <w:r>
        <w:rPr>
          <w:rFonts w:hint="eastAsia"/>
          <w:color w:val="auto"/>
          <w:lang w:val="zh-CN"/>
        </w:rPr>
        <w:t>根据现有项目环评等环保资料，同时结合企业实际排放情况，</w:t>
      </w:r>
      <w:r>
        <w:rPr>
          <w:rFonts w:hint="eastAsia"/>
          <w:color w:val="auto"/>
        </w:rPr>
        <w:t>拟针对亚硫酸氢铵装置与石膏车间</w:t>
      </w:r>
      <w:r>
        <w:rPr>
          <w:rFonts w:hint="eastAsia"/>
          <w:color w:val="auto"/>
          <w:lang w:val="zh-CN"/>
        </w:rPr>
        <w:t>废气污染物</w:t>
      </w:r>
      <w:r>
        <w:rPr>
          <w:rFonts w:hint="eastAsia"/>
          <w:color w:val="auto"/>
        </w:rPr>
        <w:t>处理设施升级改造</w:t>
      </w:r>
      <w:r>
        <w:rPr>
          <w:rFonts w:hint="eastAsia"/>
          <w:color w:val="auto"/>
          <w:lang w:val="zh-CN"/>
        </w:rPr>
        <w:t>总量统计详见表3.</w:t>
      </w:r>
      <w:r>
        <w:rPr>
          <w:rFonts w:hint="eastAsia"/>
          <w:color w:val="auto"/>
        </w:rPr>
        <w:t>8</w:t>
      </w:r>
      <w:r>
        <w:rPr>
          <w:rFonts w:hint="eastAsia"/>
          <w:color w:val="auto"/>
          <w:lang w:val="zh-CN"/>
        </w:rPr>
        <w:t>-1</w:t>
      </w:r>
      <w:r>
        <w:rPr>
          <w:rFonts w:hint="eastAsia"/>
          <w:color w:val="auto"/>
        </w:rPr>
        <w:t>和表3.8-2</w:t>
      </w:r>
      <w:r>
        <w:rPr>
          <w:rFonts w:hint="eastAsia"/>
          <w:color w:val="auto"/>
          <w:lang w:val="zh-CN"/>
        </w:rPr>
        <w:t>。</w:t>
      </w:r>
    </w:p>
    <w:p w14:paraId="651BD7F0">
      <w:pPr>
        <w:pStyle w:val="49"/>
        <w:rPr>
          <w:color w:val="auto"/>
        </w:rPr>
      </w:pPr>
      <w:r>
        <w:rPr>
          <w:rFonts w:hint="eastAsia"/>
          <w:color w:val="auto"/>
        </w:rPr>
        <w:t>表3.8-1  拟升级废气处理装置处理效率情况</w:t>
      </w:r>
    </w:p>
    <w:tbl>
      <w:tblPr>
        <w:tblStyle w:val="25"/>
        <w:tblW w:w="0" w:type="auto"/>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30"/>
        <w:gridCol w:w="1231"/>
        <w:gridCol w:w="1231"/>
        <w:gridCol w:w="1231"/>
        <w:gridCol w:w="1231"/>
        <w:gridCol w:w="1231"/>
        <w:gridCol w:w="1231"/>
        <w:gridCol w:w="1231"/>
      </w:tblGrid>
      <w:tr w14:paraId="7384CB5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30" w:type="dxa"/>
            <w:vMerge w:val="restart"/>
            <w:tcBorders>
              <w:tl2br w:val="nil"/>
              <w:tr2bl w:val="nil"/>
            </w:tcBorders>
            <w:vAlign w:val="center"/>
          </w:tcPr>
          <w:p w14:paraId="331CA581">
            <w:pPr>
              <w:pStyle w:val="49"/>
              <w:rPr>
                <w:bCs/>
                <w:color w:val="auto"/>
                <w:sz w:val="21"/>
              </w:rPr>
            </w:pPr>
            <w:r>
              <w:rPr>
                <w:rFonts w:hint="eastAsia"/>
                <w:bCs/>
                <w:color w:val="auto"/>
                <w:sz w:val="21"/>
              </w:rPr>
              <w:t>污染源</w:t>
            </w:r>
          </w:p>
        </w:tc>
        <w:tc>
          <w:tcPr>
            <w:tcW w:w="1231" w:type="dxa"/>
            <w:vMerge w:val="restart"/>
            <w:tcBorders>
              <w:tl2br w:val="nil"/>
              <w:tr2bl w:val="nil"/>
            </w:tcBorders>
            <w:vAlign w:val="center"/>
          </w:tcPr>
          <w:p w14:paraId="2A3DB37C">
            <w:pPr>
              <w:pStyle w:val="49"/>
              <w:rPr>
                <w:bCs/>
                <w:color w:val="auto"/>
                <w:sz w:val="21"/>
              </w:rPr>
            </w:pPr>
            <w:r>
              <w:rPr>
                <w:rFonts w:hint="eastAsia"/>
                <w:bCs/>
                <w:color w:val="auto"/>
                <w:sz w:val="21"/>
              </w:rPr>
              <w:t>污染物</w:t>
            </w:r>
          </w:p>
        </w:tc>
        <w:tc>
          <w:tcPr>
            <w:tcW w:w="3693" w:type="dxa"/>
            <w:gridSpan w:val="3"/>
            <w:tcBorders>
              <w:tl2br w:val="nil"/>
              <w:tr2bl w:val="nil"/>
            </w:tcBorders>
            <w:vAlign w:val="center"/>
          </w:tcPr>
          <w:p w14:paraId="3A587014">
            <w:pPr>
              <w:pStyle w:val="49"/>
              <w:rPr>
                <w:bCs/>
                <w:color w:val="auto"/>
                <w:sz w:val="21"/>
              </w:rPr>
            </w:pPr>
            <w:r>
              <w:rPr>
                <w:rFonts w:hint="eastAsia"/>
                <w:bCs/>
                <w:color w:val="auto"/>
                <w:sz w:val="21"/>
              </w:rPr>
              <w:t>升级前</w:t>
            </w:r>
          </w:p>
        </w:tc>
        <w:tc>
          <w:tcPr>
            <w:tcW w:w="3693" w:type="dxa"/>
            <w:gridSpan w:val="3"/>
            <w:tcBorders>
              <w:tl2br w:val="nil"/>
              <w:tr2bl w:val="nil"/>
            </w:tcBorders>
            <w:vAlign w:val="center"/>
          </w:tcPr>
          <w:p w14:paraId="61DF5205">
            <w:pPr>
              <w:pStyle w:val="49"/>
              <w:rPr>
                <w:bCs/>
                <w:color w:val="auto"/>
                <w:sz w:val="21"/>
              </w:rPr>
            </w:pPr>
            <w:r>
              <w:rPr>
                <w:rFonts w:hint="eastAsia"/>
                <w:bCs/>
                <w:color w:val="auto"/>
                <w:sz w:val="21"/>
              </w:rPr>
              <w:t>升级后</w:t>
            </w:r>
          </w:p>
        </w:tc>
      </w:tr>
      <w:tr w14:paraId="20F382E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30" w:type="dxa"/>
            <w:vMerge w:val="continue"/>
            <w:tcBorders>
              <w:tl2br w:val="nil"/>
              <w:tr2bl w:val="nil"/>
            </w:tcBorders>
            <w:vAlign w:val="center"/>
          </w:tcPr>
          <w:p w14:paraId="62DB9D10">
            <w:pPr>
              <w:pStyle w:val="49"/>
              <w:rPr>
                <w:bCs/>
                <w:color w:val="auto"/>
                <w:sz w:val="21"/>
              </w:rPr>
            </w:pPr>
          </w:p>
        </w:tc>
        <w:tc>
          <w:tcPr>
            <w:tcW w:w="1231" w:type="dxa"/>
            <w:vMerge w:val="continue"/>
            <w:tcBorders>
              <w:tl2br w:val="nil"/>
              <w:tr2bl w:val="nil"/>
            </w:tcBorders>
            <w:vAlign w:val="center"/>
          </w:tcPr>
          <w:p w14:paraId="72A1AF0E">
            <w:pPr>
              <w:pStyle w:val="49"/>
              <w:rPr>
                <w:bCs/>
                <w:color w:val="auto"/>
                <w:sz w:val="21"/>
              </w:rPr>
            </w:pPr>
          </w:p>
        </w:tc>
        <w:tc>
          <w:tcPr>
            <w:tcW w:w="1231" w:type="dxa"/>
            <w:tcBorders>
              <w:tl2br w:val="nil"/>
              <w:tr2bl w:val="nil"/>
            </w:tcBorders>
            <w:vAlign w:val="center"/>
          </w:tcPr>
          <w:p w14:paraId="3A1A5EE9">
            <w:pPr>
              <w:pStyle w:val="49"/>
              <w:rPr>
                <w:bCs/>
                <w:color w:val="auto"/>
                <w:sz w:val="21"/>
              </w:rPr>
            </w:pPr>
            <w:r>
              <w:rPr>
                <w:bCs/>
                <w:color w:val="auto"/>
                <w:kern w:val="0"/>
                <w:sz w:val="21"/>
                <w:szCs w:val="21"/>
                <w:lang w:bidi="ar"/>
              </w:rPr>
              <w:t>浓度mg/m</w:t>
            </w:r>
            <w:r>
              <w:rPr>
                <w:bCs/>
                <w:color w:val="auto"/>
                <w:kern w:val="0"/>
                <w:sz w:val="21"/>
                <w:szCs w:val="21"/>
                <w:vertAlign w:val="superscript"/>
                <w:lang w:bidi="ar"/>
              </w:rPr>
              <w:t>3</w:t>
            </w:r>
          </w:p>
        </w:tc>
        <w:tc>
          <w:tcPr>
            <w:tcW w:w="1231" w:type="dxa"/>
            <w:tcBorders>
              <w:tl2br w:val="nil"/>
              <w:tr2bl w:val="nil"/>
            </w:tcBorders>
            <w:vAlign w:val="center"/>
          </w:tcPr>
          <w:p w14:paraId="29CF1B0C">
            <w:pPr>
              <w:pStyle w:val="49"/>
              <w:rPr>
                <w:bCs/>
                <w:color w:val="auto"/>
                <w:sz w:val="21"/>
              </w:rPr>
            </w:pPr>
            <w:r>
              <w:rPr>
                <w:rFonts w:hint="eastAsia"/>
                <w:bCs/>
                <w:color w:val="auto"/>
                <w:kern w:val="0"/>
                <w:sz w:val="21"/>
                <w:szCs w:val="21"/>
                <w:lang w:bidi="ar"/>
              </w:rPr>
              <w:t>排放</w:t>
            </w:r>
            <w:r>
              <w:rPr>
                <w:bCs/>
                <w:color w:val="auto"/>
                <w:kern w:val="0"/>
                <w:sz w:val="21"/>
                <w:szCs w:val="21"/>
                <w:lang w:bidi="ar"/>
              </w:rPr>
              <w:t>量t/a</w:t>
            </w:r>
          </w:p>
        </w:tc>
        <w:tc>
          <w:tcPr>
            <w:tcW w:w="1231" w:type="dxa"/>
            <w:tcBorders>
              <w:tl2br w:val="nil"/>
              <w:tr2bl w:val="nil"/>
            </w:tcBorders>
            <w:vAlign w:val="center"/>
          </w:tcPr>
          <w:p w14:paraId="650A3B5A">
            <w:pPr>
              <w:pStyle w:val="49"/>
              <w:rPr>
                <w:bCs/>
                <w:color w:val="auto"/>
                <w:kern w:val="0"/>
                <w:sz w:val="21"/>
                <w:szCs w:val="21"/>
                <w:lang w:bidi="ar"/>
              </w:rPr>
            </w:pPr>
            <w:r>
              <w:rPr>
                <w:rFonts w:hint="eastAsia"/>
                <w:bCs/>
                <w:color w:val="auto"/>
                <w:kern w:val="0"/>
                <w:sz w:val="21"/>
                <w:szCs w:val="21"/>
                <w:lang w:bidi="ar"/>
              </w:rPr>
              <w:t>治理措施</w:t>
            </w:r>
          </w:p>
        </w:tc>
        <w:tc>
          <w:tcPr>
            <w:tcW w:w="1231" w:type="dxa"/>
            <w:tcBorders>
              <w:tl2br w:val="nil"/>
              <w:tr2bl w:val="nil"/>
            </w:tcBorders>
            <w:vAlign w:val="center"/>
          </w:tcPr>
          <w:p w14:paraId="48637AF8">
            <w:pPr>
              <w:pStyle w:val="49"/>
              <w:rPr>
                <w:bCs/>
                <w:color w:val="auto"/>
                <w:sz w:val="21"/>
              </w:rPr>
            </w:pPr>
            <w:r>
              <w:rPr>
                <w:bCs/>
                <w:color w:val="auto"/>
                <w:kern w:val="0"/>
                <w:sz w:val="21"/>
                <w:szCs w:val="21"/>
                <w:lang w:bidi="ar"/>
              </w:rPr>
              <w:t>浓度mg/m</w:t>
            </w:r>
            <w:r>
              <w:rPr>
                <w:bCs/>
                <w:color w:val="auto"/>
                <w:kern w:val="0"/>
                <w:sz w:val="21"/>
                <w:szCs w:val="21"/>
                <w:vertAlign w:val="superscript"/>
                <w:lang w:bidi="ar"/>
              </w:rPr>
              <w:t>3</w:t>
            </w:r>
          </w:p>
        </w:tc>
        <w:tc>
          <w:tcPr>
            <w:tcW w:w="1231" w:type="dxa"/>
            <w:tcBorders>
              <w:tl2br w:val="nil"/>
              <w:tr2bl w:val="nil"/>
            </w:tcBorders>
            <w:vAlign w:val="center"/>
          </w:tcPr>
          <w:p w14:paraId="2E546D9B">
            <w:pPr>
              <w:pStyle w:val="49"/>
              <w:rPr>
                <w:bCs/>
                <w:color w:val="auto"/>
                <w:sz w:val="21"/>
              </w:rPr>
            </w:pPr>
            <w:r>
              <w:rPr>
                <w:rFonts w:hint="eastAsia"/>
                <w:bCs/>
                <w:color w:val="auto"/>
                <w:kern w:val="0"/>
                <w:sz w:val="21"/>
                <w:szCs w:val="21"/>
                <w:lang w:bidi="ar"/>
              </w:rPr>
              <w:t>排放</w:t>
            </w:r>
            <w:r>
              <w:rPr>
                <w:bCs/>
                <w:color w:val="auto"/>
                <w:kern w:val="0"/>
                <w:sz w:val="21"/>
                <w:szCs w:val="21"/>
                <w:lang w:bidi="ar"/>
              </w:rPr>
              <w:t>量t/a</w:t>
            </w:r>
          </w:p>
        </w:tc>
        <w:tc>
          <w:tcPr>
            <w:tcW w:w="1231" w:type="dxa"/>
            <w:tcBorders>
              <w:tl2br w:val="nil"/>
              <w:tr2bl w:val="nil"/>
            </w:tcBorders>
            <w:vAlign w:val="center"/>
          </w:tcPr>
          <w:p w14:paraId="0C95C02C">
            <w:pPr>
              <w:pStyle w:val="49"/>
              <w:rPr>
                <w:bCs/>
                <w:color w:val="auto"/>
                <w:kern w:val="0"/>
                <w:sz w:val="21"/>
                <w:szCs w:val="21"/>
                <w:lang w:bidi="ar"/>
              </w:rPr>
            </w:pPr>
            <w:r>
              <w:rPr>
                <w:rFonts w:hint="eastAsia"/>
                <w:bCs/>
                <w:color w:val="auto"/>
                <w:kern w:val="0"/>
                <w:sz w:val="21"/>
                <w:szCs w:val="21"/>
                <w:lang w:bidi="ar"/>
              </w:rPr>
              <w:t>治理措施</w:t>
            </w:r>
          </w:p>
        </w:tc>
      </w:tr>
      <w:tr w14:paraId="3D84FC9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30" w:type="dxa"/>
            <w:tcBorders>
              <w:tl2br w:val="nil"/>
              <w:tr2bl w:val="nil"/>
            </w:tcBorders>
            <w:vAlign w:val="center"/>
          </w:tcPr>
          <w:p w14:paraId="67A5DDEE">
            <w:pPr>
              <w:pStyle w:val="49"/>
              <w:rPr>
                <w:b w:val="0"/>
                <w:color w:val="auto"/>
                <w:sz w:val="21"/>
              </w:rPr>
            </w:pPr>
            <w:r>
              <w:rPr>
                <w:b w:val="0"/>
                <w:color w:val="auto"/>
                <w:sz w:val="21"/>
              </w:rPr>
              <w:t>亚硫酸氢铵工艺废气</w:t>
            </w:r>
          </w:p>
        </w:tc>
        <w:tc>
          <w:tcPr>
            <w:tcW w:w="1231" w:type="dxa"/>
            <w:tcBorders>
              <w:tl2br w:val="nil"/>
              <w:tr2bl w:val="nil"/>
            </w:tcBorders>
            <w:vAlign w:val="center"/>
          </w:tcPr>
          <w:p w14:paraId="086B1C2D">
            <w:pPr>
              <w:pStyle w:val="49"/>
              <w:rPr>
                <w:b w:val="0"/>
                <w:color w:val="auto"/>
                <w:sz w:val="21"/>
              </w:rPr>
            </w:pPr>
            <w:r>
              <w:rPr>
                <w:rFonts w:hint="eastAsia"/>
                <w:b w:val="0"/>
                <w:color w:val="auto"/>
                <w:sz w:val="21"/>
              </w:rPr>
              <w:t>SO</w:t>
            </w:r>
            <w:r>
              <w:rPr>
                <w:rFonts w:hint="eastAsia"/>
                <w:b w:val="0"/>
                <w:color w:val="auto"/>
                <w:sz w:val="21"/>
                <w:vertAlign w:val="subscript"/>
              </w:rPr>
              <w:t>2</w:t>
            </w:r>
          </w:p>
        </w:tc>
        <w:tc>
          <w:tcPr>
            <w:tcW w:w="1231" w:type="dxa"/>
            <w:tcBorders>
              <w:tl2br w:val="nil"/>
              <w:tr2bl w:val="nil"/>
            </w:tcBorders>
            <w:vAlign w:val="center"/>
          </w:tcPr>
          <w:p w14:paraId="3F271240">
            <w:pPr>
              <w:pStyle w:val="49"/>
              <w:rPr>
                <w:b w:val="0"/>
                <w:color w:val="auto"/>
                <w:sz w:val="21"/>
              </w:rPr>
            </w:pPr>
            <w:r>
              <w:rPr>
                <w:rFonts w:hint="eastAsia"/>
                <w:b w:val="0"/>
                <w:color w:val="auto"/>
                <w:sz w:val="21"/>
              </w:rPr>
              <w:t>437.500</w:t>
            </w:r>
          </w:p>
        </w:tc>
        <w:tc>
          <w:tcPr>
            <w:tcW w:w="1231" w:type="dxa"/>
            <w:tcBorders>
              <w:tl2br w:val="nil"/>
              <w:tr2bl w:val="nil"/>
            </w:tcBorders>
            <w:vAlign w:val="center"/>
          </w:tcPr>
          <w:p w14:paraId="32D47923">
            <w:pPr>
              <w:pStyle w:val="49"/>
              <w:rPr>
                <w:b w:val="0"/>
                <w:color w:val="auto"/>
                <w:sz w:val="21"/>
              </w:rPr>
            </w:pPr>
            <w:r>
              <w:rPr>
                <w:rFonts w:hint="eastAsia"/>
                <w:b w:val="0"/>
                <w:color w:val="auto"/>
                <w:sz w:val="21"/>
              </w:rPr>
              <w:t>6.300</w:t>
            </w:r>
          </w:p>
        </w:tc>
        <w:tc>
          <w:tcPr>
            <w:tcW w:w="1231" w:type="dxa"/>
            <w:tcBorders>
              <w:tl2br w:val="nil"/>
              <w:tr2bl w:val="nil"/>
            </w:tcBorders>
            <w:vAlign w:val="center"/>
          </w:tcPr>
          <w:p w14:paraId="00EC9A75">
            <w:pPr>
              <w:pStyle w:val="49"/>
              <w:rPr>
                <w:b w:val="0"/>
                <w:color w:val="auto"/>
                <w:sz w:val="21"/>
              </w:rPr>
            </w:pPr>
            <w:r>
              <w:rPr>
                <w:rFonts w:hint="eastAsia"/>
                <w:b w:val="0"/>
                <w:color w:val="auto"/>
                <w:sz w:val="21"/>
              </w:rPr>
              <w:t>三级氨吸收</w:t>
            </w:r>
          </w:p>
        </w:tc>
        <w:tc>
          <w:tcPr>
            <w:tcW w:w="1231" w:type="dxa"/>
            <w:tcBorders>
              <w:tl2br w:val="nil"/>
              <w:tr2bl w:val="nil"/>
            </w:tcBorders>
            <w:vAlign w:val="center"/>
          </w:tcPr>
          <w:p w14:paraId="0EEBEFB5">
            <w:pPr>
              <w:pStyle w:val="49"/>
              <w:rPr>
                <w:b w:val="0"/>
                <w:color w:val="auto"/>
                <w:sz w:val="21"/>
              </w:rPr>
            </w:pPr>
            <w:r>
              <w:rPr>
                <w:rFonts w:hint="eastAsia"/>
                <w:b w:val="0"/>
                <w:color w:val="auto"/>
                <w:sz w:val="21"/>
              </w:rPr>
              <w:t>48.611</w:t>
            </w:r>
          </w:p>
        </w:tc>
        <w:tc>
          <w:tcPr>
            <w:tcW w:w="1231" w:type="dxa"/>
            <w:tcBorders>
              <w:tl2br w:val="nil"/>
              <w:tr2bl w:val="nil"/>
            </w:tcBorders>
            <w:vAlign w:val="center"/>
          </w:tcPr>
          <w:p w14:paraId="26C7B431">
            <w:pPr>
              <w:pStyle w:val="49"/>
              <w:rPr>
                <w:b w:val="0"/>
                <w:color w:val="auto"/>
                <w:sz w:val="21"/>
              </w:rPr>
            </w:pPr>
            <w:r>
              <w:rPr>
                <w:rFonts w:hint="eastAsia"/>
                <w:b w:val="0"/>
                <w:color w:val="auto"/>
                <w:sz w:val="21"/>
              </w:rPr>
              <w:t>1.400</w:t>
            </w:r>
          </w:p>
        </w:tc>
        <w:tc>
          <w:tcPr>
            <w:tcW w:w="1231" w:type="dxa"/>
            <w:tcBorders>
              <w:tl2br w:val="nil"/>
              <w:tr2bl w:val="nil"/>
            </w:tcBorders>
            <w:vAlign w:val="center"/>
          </w:tcPr>
          <w:p w14:paraId="57B5679A">
            <w:pPr>
              <w:pStyle w:val="49"/>
              <w:rPr>
                <w:b w:val="0"/>
                <w:color w:val="auto"/>
                <w:sz w:val="21"/>
              </w:rPr>
            </w:pPr>
            <w:r>
              <w:rPr>
                <w:rFonts w:hint="eastAsia"/>
                <w:b w:val="0"/>
                <w:color w:val="auto"/>
                <w:sz w:val="21"/>
              </w:rPr>
              <w:t>三级氨吸收+水喷淋+电除雾</w:t>
            </w:r>
          </w:p>
        </w:tc>
      </w:tr>
      <w:tr w14:paraId="7138B50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30" w:type="dxa"/>
            <w:tcBorders>
              <w:tl2br w:val="nil"/>
              <w:tr2bl w:val="nil"/>
            </w:tcBorders>
            <w:vAlign w:val="center"/>
          </w:tcPr>
          <w:p w14:paraId="6703297A">
            <w:pPr>
              <w:pStyle w:val="49"/>
              <w:rPr>
                <w:b w:val="0"/>
                <w:color w:val="auto"/>
                <w:sz w:val="21"/>
              </w:rPr>
            </w:pPr>
            <w:r>
              <w:rPr>
                <w:rFonts w:hint="eastAsia"/>
                <w:b w:val="0"/>
                <w:color w:val="auto"/>
                <w:sz w:val="21"/>
              </w:rPr>
              <w:t>石膏车间工艺废气</w:t>
            </w:r>
          </w:p>
        </w:tc>
        <w:tc>
          <w:tcPr>
            <w:tcW w:w="1231" w:type="dxa"/>
            <w:tcBorders>
              <w:tl2br w:val="nil"/>
              <w:tr2bl w:val="nil"/>
            </w:tcBorders>
            <w:vAlign w:val="center"/>
          </w:tcPr>
          <w:p w14:paraId="5CB5EEE8">
            <w:pPr>
              <w:pStyle w:val="49"/>
              <w:rPr>
                <w:b w:val="0"/>
                <w:color w:val="auto"/>
                <w:sz w:val="21"/>
              </w:rPr>
            </w:pPr>
            <w:r>
              <w:rPr>
                <w:rFonts w:hint="eastAsia"/>
                <w:b w:val="0"/>
                <w:color w:val="auto"/>
                <w:sz w:val="21"/>
              </w:rPr>
              <w:t>颗粒物</w:t>
            </w:r>
          </w:p>
        </w:tc>
        <w:tc>
          <w:tcPr>
            <w:tcW w:w="1231" w:type="dxa"/>
            <w:tcBorders>
              <w:tl2br w:val="nil"/>
              <w:tr2bl w:val="nil"/>
            </w:tcBorders>
            <w:vAlign w:val="center"/>
          </w:tcPr>
          <w:p w14:paraId="057F059D">
            <w:pPr>
              <w:pStyle w:val="49"/>
              <w:rPr>
                <w:b w:val="0"/>
                <w:color w:val="auto"/>
                <w:sz w:val="21"/>
              </w:rPr>
            </w:pPr>
            <w:r>
              <w:rPr>
                <w:rFonts w:hint="eastAsia"/>
                <w:b w:val="0"/>
                <w:color w:val="auto"/>
                <w:sz w:val="21"/>
              </w:rPr>
              <w:t>9.3</w:t>
            </w:r>
          </w:p>
        </w:tc>
        <w:tc>
          <w:tcPr>
            <w:tcW w:w="1231" w:type="dxa"/>
            <w:tcBorders>
              <w:tl2br w:val="nil"/>
              <w:tr2bl w:val="nil"/>
            </w:tcBorders>
            <w:vAlign w:val="center"/>
          </w:tcPr>
          <w:p w14:paraId="489B6DBD">
            <w:pPr>
              <w:pStyle w:val="49"/>
              <w:rPr>
                <w:b w:val="0"/>
                <w:color w:val="auto"/>
                <w:sz w:val="21"/>
              </w:rPr>
            </w:pPr>
            <w:r>
              <w:rPr>
                <w:rFonts w:hint="eastAsia"/>
                <w:b w:val="0"/>
                <w:color w:val="auto"/>
                <w:sz w:val="21"/>
              </w:rPr>
              <w:t>0.537</w:t>
            </w:r>
          </w:p>
        </w:tc>
        <w:tc>
          <w:tcPr>
            <w:tcW w:w="1231" w:type="dxa"/>
            <w:tcBorders>
              <w:tl2br w:val="nil"/>
              <w:tr2bl w:val="nil"/>
            </w:tcBorders>
            <w:vAlign w:val="center"/>
          </w:tcPr>
          <w:p w14:paraId="72A09DE1">
            <w:pPr>
              <w:pStyle w:val="49"/>
              <w:rPr>
                <w:b w:val="0"/>
                <w:color w:val="auto"/>
                <w:sz w:val="21"/>
              </w:rPr>
            </w:pPr>
            <w:r>
              <w:rPr>
                <w:rFonts w:hint="eastAsia"/>
                <w:b w:val="0"/>
                <w:color w:val="auto"/>
                <w:sz w:val="21"/>
              </w:rPr>
              <w:t>布袋除尘+单级水喷淋</w:t>
            </w:r>
          </w:p>
        </w:tc>
        <w:tc>
          <w:tcPr>
            <w:tcW w:w="1231" w:type="dxa"/>
            <w:tcBorders>
              <w:tl2br w:val="nil"/>
              <w:tr2bl w:val="nil"/>
            </w:tcBorders>
            <w:vAlign w:val="center"/>
          </w:tcPr>
          <w:p w14:paraId="52C88FEC">
            <w:pPr>
              <w:pStyle w:val="49"/>
              <w:rPr>
                <w:b w:val="0"/>
                <w:color w:val="auto"/>
                <w:sz w:val="21"/>
              </w:rPr>
            </w:pPr>
            <w:r>
              <w:rPr>
                <w:rFonts w:hint="eastAsia"/>
                <w:b w:val="0"/>
                <w:color w:val="auto"/>
                <w:sz w:val="21"/>
              </w:rPr>
              <w:t>1.808</w:t>
            </w:r>
          </w:p>
        </w:tc>
        <w:tc>
          <w:tcPr>
            <w:tcW w:w="1231" w:type="dxa"/>
            <w:tcBorders>
              <w:tl2br w:val="nil"/>
              <w:tr2bl w:val="nil"/>
            </w:tcBorders>
            <w:vAlign w:val="center"/>
          </w:tcPr>
          <w:p w14:paraId="1E93A2E7">
            <w:pPr>
              <w:pStyle w:val="49"/>
              <w:rPr>
                <w:b w:val="0"/>
                <w:color w:val="auto"/>
                <w:sz w:val="21"/>
              </w:rPr>
            </w:pPr>
            <w:r>
              <w:rPr>
                <w:rFonts w:hint="eastAsia"/>
                <w:b w:val="0"/>
                <w:color w:val="auto"/>
                <w:sz w:val="21"/>
              </w:rPr>
              <w:t>0.104</w:t>
            </w:r>
          </w:p>
        </w:tc>
        <w:tc>
          <w:tcPr>
            <w:tcW w:w="1231" w:type="dxa"/>
            <w:tcBorders>
              <w:tl2br w:val="nil"/>
              <w:tr2bl w:val="nil"/>
            </w:tcBorders>
            <w:vAlign w:val="center"/>
          </w:tcPr>
          <w:p w14:paraId="18D5D0BE">
            <w:pPr>
              <w:pStyle w:val="49"/>
              <w:rPr>
                <w:b w:val="0"/>
                <w:color w:val="auto"/>
                <w:sz w:val="21"/>
              </w:rPr>
            </w:pPr>
            <w:r>
              <w:rPr>
                <w:rFonts w:hint="eastAsia"/>
                <w:b w:val="0"/>
                <w:color w:val="auto"/>
                <w:sz w:val="21"/>
              </w:rPr>
              <w:t>布袋除尘+二级水喷淋</w:t>
            </w:r>
          </w:p>
        </w:tc>
      </w:tr>
    </w:tbl>
    <w:p w14:paraId="57AE223A">
      <w:pPr>
        <w:pStyle w:val="49"/>
        <w:rPr>
          <w:color w:val="auto"/>
        </w:rPr>
      </w:pPr>
    </w:p>
    <w:p w14:paraId="3BBC229C">
      <w:pPr>
        <w:ind w:firstLine="480"/>
        <w:rPr>
          <w:color w:val="auto"/>
          <w:lang w:val="zh-CN"/>
        </w:rPr>
        <w:sectPr>
          <w:pgSz w:w="11906" w:h="16838"/>
          <w:pgMar w:top="1134" w:right="1134" w:bottom="1134" w:left="1134" w:header="851" w:footer="992" w:gutter="0"/>
          <w:cols w:space="425" w:num="1"/>
          <w:docGrid w:type="lines" w:linePitch="312" w:charSpace="0"/>
        </w:sectPr>
      </w:pPr>
    </w:p>
    <w:p w14:paraId="759FBDF4">
      <w:pPr>
        <w:pStyle w:val="2"/>
        <w:spacing w:before="312" w:after="312"/>
        <w:rPr>
          <w:rFonts w:hint="eastAsia"/>
          <w:color w:val="auto"/>
        </w:rPr>
      </w:pPr>
      <w:bookmarkStart w:id="123" w:name="_Toc23345"/>
      <w:r>
        <w:rPr>
          <w:rFonts w:hint="eastAsia"/>
          <w:color w:val="auto"/>
        </w:rPr>
        <w:t>拟建项目工程分析</w:t>
      </w:r>
      <w:bookmarkEnd w:id="101"/>
      <w:bookmarkEnd w:id="123"/>
    </w:p>
    <w:p w14:paraId="3186336D">
      <w:pPr>
        <w:pStyle w:val="3"/>
        <w:spacing w:before="312"/>
        <w:rPr>
          <w:color w:val="auto"/>
        </w:rPr>
      </w:pPr>
      <w:bookmarkStart w:id="124" w:name="_Toc479187110"/>
      <w:bookmarkStart w:id="125" w:name="_Toc21137"/>
      <w:bookmarkStart w:id="126" w:name="_Toc4953"/>
      <w:bookmarkStart w:id="127" w:name="_Toc23958"/>
      <w:r>
        <w:rPr>
          <w:rFonts w:hint="eastAsia"/>
          <w:color w:val="auto"/>
        </w:rPr>
        <w:t>4.1拟建项目概况</w:t>
      </w:r>
      <w:bookmarkEnd w:id="124"/>
      <w:bookmarkEnd w:id="125"/>
      <w:bookmarkEnd w:id="126"/>
      <w:bookmarkEnd w:id="127"/>
    </w:p>
    <w:p w14:paraId="1C3F284D">
      <w:pPr>
        <w:pStyle w:val="4"/>
        <w:rPr>
          <w:color w:val="auto"/>
        </w:rPr>
      </w:pPr>
      <w:bookmarkStart w:id="128" w:name="_Toc16566"/>
      <w:bookmarkStart w:id="129" w:name="_Toc10373"/>
      <w:r>
        <w:rPr>
          <w:rFonts w:hint="eastAsia"/>
          <w:color w:val="auto"/>
        </w:rPr>
        <w:t>4.1.1拟建项目名称、项目性质、建设地点及投资总额等</w:t>
      </w:r>
      <w:bookmarkEnd w:id="128"/>
      <w:bookmarkEnd w:id="129"/>
    </w:p>
    <w:p w14:paraId="4879F4DC">
      <w:pPr>
        <w:spacing w:line="460" w:lineRule="exact"/>
        <w:ind w:firstLine="480"/>
        <w:rPr>
          <w:color w:val="auto"/>
        </w:rPr>
      </w:pPr>
      <w:r>
        <w:rPr>
          <w:rFonts w:hint="eastAsia"/>
          <w:color w:val="auto"/>
        </w:rPr>
        <w:t>项目名称：含硫无机盐高品质多元化升级技改项目；</w:t>
      </w:r>
    </w:p>
    <w:p w14:paraId="0C9E334A">
      <w:pPr>
        <w:spacing w:line="460" w:lineRule="exact"/>
        <w:ind w:firstLine="480"/>
        <w:rPr>
          <w:color w:val="auto"/>
        </w:rPr>
      </w:pPr>
      <w:r>
        <w:rPr>
          <w:rFonts w:hint="eastAsia"/>
          <w:color w:val="auto"/>
        </w:rPr>
        <w:t>行业类别：无机盐制造（C2613）；</w:t>
      </w:r>
    </w:p>
    <w:p w14:paraId="537E1953">
      <w:pPr>
        <w:spacing w:line="460" w:lineRule="exact"/>
        <w:ind w:firstLine="480"/>
        <w:rPr>
          <w:color w:val="auto"/>
        </w:rPr>
      </w:pPr>
      <w:r>
        <w:rPr>
          <w:rFonts w:hint="eastAsia"/>
          <w:color w:val="auto"/>
        </w:rPr>
        <w:t>项目性质：改扩建；</w:t>
      </w:r>
    </w:p>
    <w:p w14:paraId="1E06A985">
      <w:pPr>
        <w:spacing w:line="460" w:lineRule="exact"/>
        <w:ind w:firstLine="480"/>
        <w:rPr>
          <w:color w:val="auto"/>
        </w:rPr>
      </w:pPr>
      <w:r>
        <w:rPr>
          <w:rFonts w:hint="eastAsia"/>
          <w:color w:val="auto"/>
        </w:rPr>
        <w:t>建设地点：启东生命健康产业园苏州路58号；</w:t>
      </w:r>
    </w:p>
    <w:p w14:paraId="61757809">
      <w:pPr>
        <w:spacing w:line="460" w:lineRule="exact"/>
        <w:ind w:firstLine="480"/>
        <w:rPr>
          <w:color w:val="auto"/>
        </w:rPr>
      </w:pPr>
      <w:r>
        <w:rPr>
          <w:rFonts w:hint="eastAsia"/>
          <w:color w:val="auto"/>
        </w:rPr>
        <w:t>投资总额：946.78万元，其中环保投资：20万元，占比2%；</w:t>
      </w:r>
    </w:p>
    <w:p w14:paraId="5F4EB70E">
      <w:pPr>
        <w:spacing w:line="460" w:lineRule="exact"/>
        <w:ind w:firstLine="480"/>
        <w:rPr>
          <w:color w:val="auto"/>
        </w:rPr>
      </w:pPr>
      <w:r>
        <w:rPr>
          <w:rFonts w:hint="eastAsia"/>
          <w:color w:val="auto"/>
        </w:rPr>
        <w:t>占地面积：拟建不新增用地，在现有厂区内进行改扩建；</w:t>
      </w:r>
    </w:p>
    <w:p w14:paraId="12294C04">
      <w:pPr>
        <w:spacing w:line="460" w:lineRule="exact"/>
        <w:ind w:firstLine="480"/>
        <w:rPr>
          <w:color w:val="auto"/>
        </w:rPr>
      </w:pPr>
      <w:r>
        <w:rPr>
          <w:rFonts w:hint="eastAsia"/>
          <w:color w:val="auto"/>
        </w:rPr>
        <w:t>职工人数：不新增人员；</w:t>
      </w:r>
    </w:p>
    <w:p w14:paraId="57ACC005">
      <w:pPr>
        <w:spacing w:line="460" w:lineRule="exact"/>
        <w:ind w:firstLine="480"/>
        <w:rPr>
          <w:color w:val="auto"/>
        </w:rPr>
      </w:pPr>
      <w:r>
        <w:rPr>
          <w:rFonts w:hint="eastAsia"/>
          <w:color w:val="auto"/>
        </w:rPr>
        <w:t>工作时间：年工作日300天，每天四班三倒制，24小时生产；</w:t>
      </w:r>
    </w:p>
    <w:p w14:paraId="74B2F880">
      <w:pPr>
        <w:spacing w:line="460" w:lineRule="exact"/>
        <w:ind w:firstLine="480"/>
        <w:rPr>
          <w:color w:val="auto"/>
        </w:rPr>
      </w:pPr>
      <w:r>
        <w:rPr>
          <w:rFonts w:hint="eastAsia"/>
          <w:color w:val="auto"/>
        </w:rPr>
        <w:t>建设周期：12个月。</w:t>
      </w:r>
    </w:p>
    <w:p w14:paraId="02C68522">
      <w:pPr>
        <w:pStyle w:val="4"/>
        <w:rPr>
          <w:color w:val="auto"/>
        </w:rPr>
      </w:pPr>
      <w:bookmarkStart w:id="130" w:name="_Toc4358"/>
      <w:r>
        <w:rPr>
          <w:rFonts w:hint="eastAsia"/>
          <w:color w:val="auto"/>
        </w:rPr>
        <w:t>4.1.2项目建设内容</w:t>
      </w:r>
      <w:bookmarkEnd w:id="130"/>
    </w:p>
    <w:p w14:paraId="172BABEF">
      <w:pPr>
        <w:spacing w:line="460" w:lineRule="exact"/>
        <w:ind w:firstLine="482"/>
        <w:rPr>
          <w:b/>
          <w:bCs/>
          <w:color w:val="auto"/>
        </w:rPr>
      </w:pPr>
      <w:r>
        <w:rPr>
          <w:rFonts w:hint="eastAsia"/>
          <w:b/>
          <w:bCs/>
          <w:color w:val="auto"/>
        </w:rPr>
        <w:t>（一）</w:t>
      </w:r>
      <w:r>
        <w:rPr>
          <w:b/>
          <w:bCs/>
          <w:color w:val="auto"/>
        </w:rPr>
        <w:t>主体工程及产品方案</w:t>
      </w:r>
    </w:p>
    <w:p w14:paraId="5C4DE2A3">
      <w:pPr>
        <w:spacing w:line="460" w:lineRule="exact"/>
        <w:ind w:firstLine="480"/>
        <w:rPr>
          <w:color w:val="auto"/>
        </w:rPr>
      </w:pPr>
      <w:r>
        <w:rPr>
          <w:color w:val="auto"/>
        </w:rPr>
        <w:t>本次改扩建项目依托厂区现有生产装置及公用工程设施，通过工艺参数优化、产品结构调整及生产模式升级，实现亚硫酸盐、硫代硫酸盐系列产品的多元化生产，不新增生产装置规模，不新增主要生产设备，不改变厂区总体布局及生产运行格局。具体建设内容如下：</w:t>
      </w:r>
    </w:p>
    <w:p w14:paraId="114E0A91">
      <w:pPr>
        <w:spacing w:line="460" w:lineRule="exact"/>
        <w:ind w:firstLine="480"/>
        <w:rPr>
          <w:color w:val="auto"/>
        </w:rPr>
      </w:pPr>
      <w:r>
        <w:rPr>
          <w:color w:val="auto"/>
        </w:rPr>
        <w:t>一、亚硫酸盐产品多元化工程（依托2#车间）</w:t>
      </w:r>
    </w:p>
    <w:p w14:paraId="65E09840">
      <w:pPr>
        <w:spacing w:line="460" w:lineRule="exact"/>
        <w:ind w:firstLine="480"/>
        <w:rPr>
          <w:color w:val="auto"/>
        </w:rPr>
      </w:pPr>
      <w:r>
        <w:rPr>
          <w:color w:val="auto"/>
        </w:rPr>
        <w:t>项目依托现有2#车间内的亚硫酸氢铵生产装置，仅通过更换吸收液介质、调整吸收pH值等核心工艺参数，实现亚硫酸钾溶液、亚硫酸钠溶液等亚盐类产品的</w:t>
      </w:r>
      <w:r>
        <w:rPr>
          <w:rFonts w:hint="eastAsia"/>
          <w:color w:val="auto"/>
        </w:rPr>
        <w:t>多元</w:t>
      </w:r>
      <w:r>
        <w:rPr>
          <w:color w:val="auto"/>
        </w:rPr>
        <w:t>生产，并可依托1#车间现有浓缩、结晶通用设备，进一步加工制备亚硫酸钾、亚硫酸钠固体产品。仅通过产品品类调整，满足不同市场需求，不改变现有生产能力基数。</w:t>
      </w:r>
    </w:p>
    <w:p w14:paraId="24DA5711">
      <w:pPr>
        <w:spacing w:line="460" w:lineRule="exact"/>
        <w:ind w:firstLine="480"/>
        <w:rPr>
          <w:color w:val="auto"/>
        </w:rPr>
      </w:pPr>
      <w:r>
        <w:rPr>
          <w:color w:val="auto"/>
        </w:rPr>
        <w:t>二、硫代硫酸盐及延伸产品工程（依托1#车间）</w:t>
      </w:r>
    </w:p>
    <w:p w14:paraId="60EE1293">
      <w:pPr>
        <w:spacing w:line="460" w:lineRule="exact"/>
        <w:ind w:firstLine="480"/>
        <w:rPr>
          <w:color w:val="auto"/>
        </w:rPr>
      </w:pPr>
      <w:r>
        <w:rPr>
          <w:color w:val="auto"/>
        </w:rPr>
        <w:t>项目依托现有1#车间硫代硫酸钠生产线，兼容生产硫代硫酸铵、硫代硫酸钙、硫代硫酸镁、硫代硫酸钾等多种硫代硫酸盐溶液产品，同时可兼顾亚硫酸铵固体产品的制备。各产品通过现有统一的浓缩、冷却、结晶及分离等通用工序实现产能转换，生产线总产能规模维持不变，通过装置柔性运行优化产品结构，不新增产能负荷和环境排放总量。</w:t>
      </w:r>
    </w:p>
    <w:p w14:paraId="562CD74D">
      <w:pPr>
        <w:spacing w:line="460" w:lineRule="exact"/>
        <w:ind w:firstLine="480"/>
        <w:rPr>
          <w:color w:val="auto"/>
        </w:rPr>
      </w:pPr>
      <w:r>
        <w:rPr>
          <w:color w:val="auto"/>
        </w:rPr>
        <w:t>三、储运与配套设施调整</w:t>
      </w:r>
    </w:p>
    <w:p w14:paraId="502FDBC8">
      <w:pPr>
        <w:spacing w:line="460" w:lineRule="exact"/>
        <w:ind w:firstLine="480"/>
        <w:rPr>
          <w:color w:val="auto"/>
        </w:rPr>
      </w:pPr>
      <w:r>
        <w:rPr>
          <w:color w:val="auto"/>
        </w:rPr>
        <w:t>项目优化现有丙类仓库的储存方案，统筹用于亚硫酸盐、硫代硫酸盐系列液体及固体产品的分区贮存，仅对现有仓储管理方式进行适配化调整，不新增仓储建筑面积或贮存规模。公用工程、环保设施、应急及防渗系统等均依托现有厂区配套体系，不新增依托能力，仅在现有管理框架内实现物料流转与贮存方案的合理化配置。</w:t>
      </w:r>
    </w:p>
    <w:p w14:paraId="53338234">
      <w:pPr>
        <w:spacing w:line="240" w:lineRule="auto"/>
        <w:ind w:firstLine="482"/>
        <w:jc w:val="center"/>
        <w:rPr>
          <w:b/>
          <w:bCs/>
          <w:color w:val="auto"/>
          <w:kern w:val="28"/>
          <w:szCs w:val="32"/>
        </w:rPr>
      </w:pPr>
      <w:r>
        <w:rPr>
          <w:b/>
          <w:bCs/>
          <w:color w:val="auto"/>
          <w:kern w:val="28"/>
          <w:szCs w:val="32"/>
        </w:rPr>
        <w:t>表</w:t>
      </w:r>
      <w:r>
        <w:rPr>
          <w:rFonts w:hint="eastAsia"/>
          <w:b/>
          <w:bCs/>
          <w:color w:val="auto"/>
          <w:kern w:val="28"/>
          <w:szCs w:val="32"/>
        </w:rPr>
        <w:t>4</w:t>
      </w:r>
      <w:r>
        <w:rPr>
          <w:b/>
          <w:bCs/>
          <w:color w:val="auto"/>
          <w:kern w:val="28"/>
          <w:szCs w:val="32"/>
        </w:rPr>
        <w:t>.1</w:t>
      </w:r>
      <w:r>
        <w:rPr>
          <w:rFonts w:hint="eastAsia"/>
          <w:b/>
          <w:bCs/>
          <w:color w:val="auto"/>
          <w:kern w:val="28"/>
          <w:szCs w:val="32"/>
        </w:rPr>
        <w:t>-</w:t>
      </w:r>
      <w:r>
        <w:rPr>
          <w:b/>
          <w:bCs/>
          <w:color w:val="auto"/>
          <w:kern w:val="28"/>
          <w:szCs w:val="32"/>
        </w:rPr>
        <w:t>1</w:t>
      </w:r>
      <w:r>
        <w:rPr>
          <w:rFonts w:hint="eastAsia"/>
          <w:b/>
          <w:bCs/>
          <w:color w:val="auto"/>
          <w:kern w:val="28"/>
          <w:szCs w:val="32"/>
        </w:rPr>
        <w:t xml:space="preserve">  </w:t>
      </w:r>
      <w:r>
        <w:rPr>
          <w:b/>
          <w:bCs/>
          <w:color w:val="auto"/>
          <w:kern w:val="28"/>
          <w:szCs w:val="32"/>
        </w:rPr>
        <w:t>拟建项目主体工程</w:t>
      </w:r>
      <w:r>
        <w:rPr>
          <w:rFonts w:hint="eastAsia"/>
          <w:b/>
          <w:bCs/>
          <w:color w:val="auto"/>
          <w:kern w:val="28"/>
          <w:szCs w:val="32"/>
        </w:rPr>
        <w:t>及产品方案</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688"/>
        <w:gridCol w:w="1901"/>
        <w:gridCol w:w="929"/>
        <w:gridCol w:w="1087"/>
        <w:gridCol w:w="1814"/>
        <w:gridCol w:w="1045"/>
        <w:gridCol w:w="1291"/>
        <w:gridCol w:w="873"/>
      </w:tblGrid>
      <w:tr w14:paraId="2A9D61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357" w:type="pct"/>
            <w:vAlign w:val="center"/>
          </w:tcPr>
          <w:p w14:paraId="6CD37226">
            <w:pPr>
              <w:widowControl/>
              <w:spacing w:line="240" w:lineRule="auto"/>
              <w:ind w:firstLine="0" w:firstLineChars="0"/>
              <w:jc w:val="center"/>
              <w:textAlignment w:val="center"/>
              <w:rPr>
                <w:b/>
                <w:bCs/>
                <w:color w:val="auto"/>
                <w:kern w:val="24"/>
                <w:sz w:val="21"/>
                <w:szCs w:val="21"/>
              </w:rPr>
            </w:pPr>
            <w:r>
              <w:rPr>
                <w:rFonts w:hint="eastAsia"/>
                <w:b/>
                <w:bCs/>
                <w:color w:val="auto"/>
                <w:sz w:val="21"/>
                <w:szCs w:val="21"/>
              </w:rPr>
              <w:t>序号</w:t>
            </w:r>
          </w:p>
        </w:tc>
        <w:tc>
          <w:tcPr>
            <w:tcW w:w="986" w:type="pct"/>
            <w:vAlign w:val="center"/>
          </w:tcPr>
          <w:p w14:paraId="32BA4662">
            <w:pPr>
              <w:overflowPunct w:val="0"/>
              <w:spacing w:line="240" w:lineRule="auto"/>
              <w:ind w:firstLine="0" w:firstLineChars="0"/>
              <w:jc w:val="center"/>
              <w:rPr>
                <w:b/>
                <w:bCs/>
                <w:color w:val="auto"/>
                <w:sz w:val="21"/>
                <w:szCs w:val="21"/>
              </w:rPr>
            </w:pPr>
            <w:r>
              <w:rPr>
                <w:rFonts w:hint="eastAsia"/>
                <w:b/>
                <w:bCs/>
                <w:color w:val="auto"/>
                <w:sz w:val="21"/>
                <w:szCs w:val="21"/>
              </w:rPr>
              <w:t>产品名称</w:t>
            </w:r>
          </w:p>
        </w:tc>
        <w:tc>
          <w:tcPr>
            <w:tcW w:w="482" w:type="pct"/>
            <w:vAlign w:val="center"/>
          </w:tcPr>
          <w:p w14:paraId="5D54DE77">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规格</w:t>
            </w:r>
          </w:p>
        </w:tc>
        <w:tc>
          <w:tcPr>
            <w:tcW w:w="564" w:type="pct"/>
            <w:vAlign w:val="center"/>
          </w:tcPr>
          <w:p w14:paraId="2259FDBE">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包装方式</w:t>
            </w:r>
          </w:p>
        </w:tc>
        <w:tc>
          <w:tcPr>
            <w:tcW w:w="941" w:type="pct"/>
            <w:vAlign w:val="center"/>
          </w:tcPr>
          <w:p w14:paraId="25C37BC4">
            <w:pPr>
              <w:spacing w:line="240" w:lineRule="auto"/>
              <w:ind w:firstLine="0" w:firstLineChars="0"/>
              <w:jc w:val="center"/>
              <w:rPr>
                <w:b/>
                <w:color w:val="auto"/>
                <w:sz w:val="21"/>
                <w:szCs w:val="21"/>
              </w:rPr>
            </w:pPr>
            <w:r>
              <w:rPr>
                <w:b/>
                <w:color w:val="auto"/>
                <w:sz w:val="21"/>
                <w:szCs w:val="21"/>
              </w:rPr>
              <w:t>年设计生产能力（t/a）</w:t>
            </w:r>
          </w:p>
        </w:tc>
        <w:tc>
          <w:tcPr>
            <w:tcW w:w="542" w:type="pct"/>
            <w:vAlign w:val="center"/>
          </w:tcPr>
          <w:p w14:paraId="6C46C147">
            <w:pPr>
              <w:spacing w:line="240" w:lineRule="auto"/>
              <w:ind w:firstLine="0" w:firstLineChars="0"/>
              <w:jc w:val="center"/>
              <w:rPr>
                <w:b/>
                <w:color w:val="auto"/>
                <w:sz w:val="21"/>
                <w:szCs w:val="21"/>
              </w:rPr>
            </w:pPr>
            <w:r>
              <w:rPr>
                <w:b/>
                <w:color w:val="auto"/>
                <w:sz w:val="21"/>
                <w:szCs w:val="21"/>
              </w:rPr>
              <w:t>备案产能（t/a）</w:t>
            </w:r>
          </w:p>
        </w:tc>
        <w:tc>
          <w:tcPr>
            <w:tcW w:w="670" w:type="pct"/>
            <w:vAlign w:val="center"/>
          </w:tcPr>
          <w:p w14:paraId="2CE6EA4C">
            <w:pPr>
              <w:spacing w:line="240" w:lineRule="auto"/>
              <w:ind w:firstLine="0" w:firstLineChars="0"/>
              <w:jc w:val="center"/>
              <w:rPr>
                <w:b/>
                <w:color w:val="auto"/>
                <w:sz w:val="21"/>
                <w:szCs w:val="21"/>
              </w:rPr>
            </w:pPr>
            <w:r>
              <w:rPr>
                <w:b/>
                <w:color w:val="auto"/>
                <w:sz w:val="21"/>
                <w:szCs w:val="21"/>
              </w:rPr>
              <w:t>年运行时数</w:t>
            </w:r>
          </w:p>
        </w:tc>
        <w:tc>
          <w:tcPr>
            <w:tcW w:w="453" w:type="pct"/>
            <w:vAlign w:val="center"/>
          </w:tcPr>
          <w:p w14:paraId="0F934342">
            <w:pPr>
              <w:spacing w:line="240" w:lineRule="auto"/>
              <w:ind w:firstLine="0" w:firstLineChars="0"/>
              <w:jc w:val="center"/>
              <w:rPr>
                <w:b/>
                <w:color w:val="auto"/>
                <w:sz w:val="21"/>
                <w:szCs w:val="21"/>
              </w:rPr>
            </w:pPr>
            <w:r>
              <w:rPr>
                <w:rFonts w:hint="eastAsia"/>
                <w:b/>
                <w:color w:val="auto"/>
                <w:sz w:val="21"/>
                <w:szCs w:val="21"/>
              </w:rPr>
              <w:t>备注</w:t>
            </w:r>
          </w:p>
        </w:tc>
      </w:tr>
      <w:tr w14:paraId="1B327E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357" w:type="pct"/>
            <w:vAlign w:val="center"/>
          </w:tcPr>
          <w:p w14:paraId="62B7C54E">
            <w:pPr>
              <w:widowControl/>
              <w:spacing w:line="240" w:lineRule="auto"/>
              <w:ind w:firstLine="0" w:firstLineChars="0"/>
              <w:jc w:val="center"/>
              <w:textAlignment w:val="center"/>
              <w:rPr>
                <w:color w:val="auto"/>
                <w:sz w:val="21"/>
                <w:szCs w:val="21"/>
              </w:rPr>
            </w:pPr>
            <w:r>
              <w:rPr>
                <w:rFonts w:hint="eastAsia"/>
                <w:color w:val="auto"/>
                <w:sz w:val="21"/>
                <w:szCs w:val="21"/>
              </w:rPr>
              <w:t>1</w:t>
            </w:r>
          </w:p>
        </w:tc>
        <w:tc>
          <w:tcPr>
            <w:tcW w:w="986" w:type="pct"/>
            <w:vAlign w:val="center"/>
          </w:tcPr>
          <w:p w14:paraId="219BEE41">
            <w:pPr>
              <w:spacing w:line="240" w:lineRule="auto"/>
              <w:ind w:firstLine="0" w:firstLineChars="0"/>
              <w:jc w:val="center"/>
              <w:rPr>
                <w:color w:val="auto"/>
                <w:sz w:val="21"/>
                <w:szCs w:val="21"/>
              </w:rPr>
            </w:pPr>
            <w:r>
              <w:rPr>
                <w:rFonts w:hint="eastAsia"/>
                <w:color w:val="auto"/>
                <w:sz w:val="21"/>
                <w:szCs w:val="21"/>
              </w:rPr>
              <w:t>亚硫酸钾</w:t>
            </w:r>
          </w:p>
        </w:tc>
        <w:tc>
          <w:tcPr>
            <w:tcW w:w="482" w:type="pct"/>
            <w:vAlign w:val="center"/>
          </w:tcPr>
          <w:p w14:paraId="6E477C7A">
            <w:pPr>
              <w:widowControl/>
              <w:spacing w:line="240" w:lineRule="auto"/>
              <w:ind w:firstLine="0" w:firstLineChars="0"/>
              <w:jc w:val="center"/>
              <w:rPr>
                <w:color w:val="auto"/>
                <w:kern w:val="0"/>
                <w:sz w:val="21"/>
                <w:szCs w:val="21"/>
              </w:rPr>
            </w:pPr>
            <w:r>
              <w:rPr>
                <w:rFonts w:hint="eastAsia"/>
                <w:color w:val="auto"/>
                <w:kern w:val="0"/>
                <w:sz w:val="21"/>
                <w:szCs w:val="21"/>
              </w:rPr>
              <w:t>96%</w:t>
            </w:r>
          </w:p>
        </w:tc>
        <w:tc>
          <w:tcPr>
            <w:tcW w:w="564" w:type="pct"/>
            <w:vAlign w:val="center"/>
          </w:tcPr>
          <w:p w14:paraId="52BC6351">
            <w:pPr>
              <w:widowControl/>
              <w:spacing w:line="240" w:lineRule="auto"/>
              <w:ind w:firstLine="0" w:firstLineChars="0"/>
              <w:jc w:val="center"/>
              <w:textAlignment w:val="center"/>
              <w:rPr>
                <w:color w:val="auto"/>
                <w:sz w:val="21"/>
                <w:szCs w:val="21"/>
              </w:rPr>
            </w:pPr>
            <w:r>
              <w:rPr>
                <w:rFonts w:hint="eastAsia"/>
                <w:color w:val="auto"/>
                <w:sz w:val="21"/>
                <w:szCs w:val="21"/>
              </w:rPr>
              <w:t>桶装</w:t>
            </w:r>
          </w:p>
        </w:tc>
        <w:tc>
          <w:tcPr>
            <w:tcW w:w="941" w:type="pct"/>
            <w:vAlign w:val="center"/>
          </w:tcPr>
          <w:p w14:paraId="181DFBC6">
            <w:pPr>
              <w:spacing w:line="240" w:lineRule="auto"/>
              <w:ind w:firstLine="0" w:firstLineChars="0"/>
              <w:jc w:val="center"/>
              <w:rPr>
                <w:color w:val="auto"/>
                <w:sz w:val="21"/>
                <w:szCs w:val="21"/>
              </w:rPr>
            </w:pPr>
          </w:p>
        </w:tc>
        <w:tc>
          <w:tcPr>
            <w:tcW w:w="542" w:type="pct"/>
            <w:vAlign w:val="center"/>
          </w:tcPr>
          <w:p w14:paraId="771F152A">
            <w:pPr>
              <w:spacing w:line="240" w:lineRule="auto"/>
              <w:ind w:firstLine="0" w:firstLineChars="0"/>
              <w:jc w:val="center"/>
              <w:rPr>
                <w:color w:val="auto"/>
                <w:sz w:val="21"/>
                <w:szCs w:val="21"/>
              </w:rPr>
            </w:pPr>
          </w:p>
        </w:tc>
        <w:tc>
          <w:tcPr>
            <w:tcW w:w="670" w:type="pct"/>
            <w:vAlign w:val="center"/>
          </w:tcPr>
          <w:p w14:paraId="1359C708">
            <w:pPr>
              <w:spacing w:line="240" w:lineRule="auto"/>
              <w:ind w:firstLine="0" w:firstLineChars="0"/>
              <w:jc w:val="center"/>
              <w:rPr>
                <w:color w:val="auto"/>
                <w:sz w:val="21"/>
                <w:szCs w:val="21"/>
              </w:rPr>
            </w:pPr>
          </w:p>
        </w:tc>
        <w:tc>
          <w:tcPr>
            <w:tcW w:w="453" w:type="pct"/>
            <w:vAlign w:val="center"/>
          </w:tcPr>
          <w:p w14:paraId="6A66DB97">
            <w:pPr>
              <w:spacing w:line="240" w:lineRule="auto"/>
              <w:ind w:firstLine="0" w:firstLineChars="0"/>
              <w:jc w:val="center"/>
              <w:rPr>
                <w:color w:val="auto"/>
                <w:sz w:val="21"/>
                <w:szCs w:val="21"/>
              </w:rPr>
            </w:pPr>
            <w:r>
              <w:rPr>
                <w:rFonts w:hint="eastAsia"/>
                <w:color w:val="auto"/>
                <w:sz w:val="21"/>
                <w:szCs w:val="21"/>
              </w:rPr>
              <w:t>外售</w:t>
            </w:r>
          </w:p>
        </w:tc>
      </w:tr>
      <w:tr w14:paraId="285730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357" w:type="pct"/>
            <w:vAlign w:val="center"/>
          </w:tcPr>
          <w:p w14:paraId="57275B64">
            <w:pPr>
              <w:widowControl/>
              <w:spacing w:line="240" w:lineRule="auto"/>
              <w:ind w:firstLine="0" w:firstLineChars="0"/>
              <w:jc w:val="center"/>
              <w:textAlignment w:val="center"/>
              <w:rPr>
                <w:color w:val="auto"/>
                <w:sz w:val="21"/>
                <w:szCs w:val="21"/>
              </w:rPr>
            </w:pPr>
            <w:r>
              <w:rPr>
                <w:rFonts w:hint="eastAsia"/>
                <w:color w:val="auto"/>
                <w:sz w:val="21"/>
                <w:szCs w:val="21"/>
              </w:rPr>
              <w:t>2</w:t>
            </w:r>
          </w:p>
        </w:tc>
        <w:tc>
          <w:tcPr>
            <w:tcW w:w="986" w:type="pct"/>
            <w:vAlign w:val="center"/>
          </w:tcPr>
          <w:p w14:paraId="786416F6">
            <w:pPr>
              <w:spacing w:line="240" w:lineRule="auto"/>
              <w:ind w:firstLine="0" w:firstLineChars="0"/>
              <w:jc w:val="center"/>
              <w:rPr>
                <w:color w:val="auto"/>
                <w:sz w:val="21"/>
                <w:szCs w:val="21"/>
              </w:rPr>
            </w:pPr>
            <w:r>
              <w:rPr>
                <w:rFonts w:hint="eastAsia"/>
                <w:color w:val="auto"/>
                <w:sz w:val="21"/>
                <w:szCs w:val="21"/>
              </w:rPr>
              <w:t>亚硫酸钠</w:t>
            </w:r>
          </w:p>
        </w:tc>
        <w:tc>
          <w:tcPr>
            <w:tcW w:w="482" w:type="pct"/>
            <w:vAlign w:val="center"/>
          </w:tcPr>
          <w:p w14:paraId="03357373">
            <w:pPr>
              <w:widowControl/>
              <w:spacing w:line="240" w:lineRule="auto"/>
              <w:ind w:firstLine="0" w:firstLineChars="0"/>
              <w:jc w:val="center"/>
              <w:rPr>
                <w:color w:val="auto"/>
                <w:kern w:val="0"/>
                <w:sz w:val="21"/>
                <w:szCs w:val="21"/>
              </w:rPr>
            </w:pPr>
            <w:r>
              <w:rPr>
                <w:rFonts w:hint="eastAsia"/>
                <w:color w:val="auto"/>
                <w:kern w:val="0"/>
                <w:sz w:val="21"/>
                <w:szCs w:val="21"/>
              </w:rPr>
              <w:t>96%</w:t>
            </w:r>
          </w:p>
        </w:tc>
        <w:tc>
          <w:tcPr>
            <w:tcW w:w="564" w:type="pct"/>
            <w:vAlign w:val="center"/>
          </w:tcPr>
          <w:p w14:paraId="60DDA1B8">
            <w:pPr>
              <w:widowControl/>
              <w:spacing w:line="240" w:lineRule="auto"/>
              <w:ind w:firstLine="0" w:firstLineChars="0"/>
              <w:jc w:val="center"/>
              <w:textAlignment w:val="center"/>
              <w:rPr>
                <w:color w:val="auto"/>
                <w:sz w:val="21"/>
                <w:szCs w:val="21"/>
              </w:rPr>
            </w:pPr>
            <w:r>
              <w:rPr>
                <w:rFonts w:hint="eastAsia"/>
                <w:color w:val="auto"/>
                <w:sz w:val="21"/>
                <w:szCs w:val="21"/>
              </w:rPr>
              <w:t>袋装</w:t>
            </w:r>
          </w:p>
        </w:tc>
        <w:tc>
          <w:tcPr>
            <w:tcW w:w="941" w:type="pct"/>
            <w:vAlign w:val="center"/>
          </w:tcPr>
          <w:p w14:paraId="7D047ACB">
            <w:pPr>
              <w:spacing w:line="240" w:lineRule="auto"/>
              <w:ind w:firstLine="0" w:firstLineChars="0"/>
              <w:jc w:val="center"/>
              <w:rPr>
                <w:color w:val="auto"/>
                <w:sz w:val="21"/>
                <w:szCs w:val="21"/>
              </w:rPr>
            </w:pPr>
          </w:p>
        </w:tc>
        <w:tc>
          <w:tcPr>
            <w:tcW w:w="542" w:type="pct"/>
            <w:vAlign w:val="center"/>
          </w:tcPr>
          <w:p w14:paraId="0894A036">
            <w:pPr>
              <w:spacing w:line="240" w:lineRule="auto"/>
              <w:ind w:firstLine="0" w:firstLineChars="0"/>
              <w:jc w:val="center"/>
              <w:rPr>
                <w:color w:val="auto"/>
                <w:sz w:val="21"/>
                <w:szCs w:val="21"/>
              </w:rPr>
            </w:pPr>
          </w:p>
        </w:tc>
        <w:tc>
          <w:tcPr>
            <w:tcW w:w="670" w:type="pct"/>
            <w:vAlign w:val="center"/>
          </w:tcPr>
          <w:p w14:paraId="72EF2B46">
            <w:pPr>
              <w:spacing w:line="240" w:lineRule="auto"/>
              <w:ind w:firstLine="0" w:firstLineChars="0"/>
              <w:jc w:val="center"/>
              <w:rPr>
                <w:color w:val="auto"/>
                <w:sz w:val="21"/>
                <w:szCs w:val="21"/>
              </w:rPr>
            </w:pPr>
          </w:p>
        </w:tc>
        <w:tc>
          <w:tcPr>
            <w:tcW w:w="453" w:type="pct"/>
            <w:vAlign w:val="center"/>
          </w:tcPr>
          <w:p w14:paraId="16625004">
            <w:pPr>
              <w:spacing w:line="240" w:lineRule="auto"/>
              <w:ind w:firstLine="0" w:firstLineChars="0"/>
              <w:jc w:val="center"/>
              <w:rPr>
                <w:color w:val="auto"/>
                <w:sz w:val="21"/>
                <w:szCs w:val="21"/>
              </w:rPr>
            </w:pPr>
            <w:r>
              <w:rPr>
                <w:rFonts w:hint="eastAsia"/>
                <w:color w:val="auto"/>
                <w:sz w:val="21"/>
                <w:szCs w:val="21"/>
              </w:rPr>
              <w:t>外售</w:t>
            </w:r>
          </w:p>
        </w:tc>
      </w:tr>
      <w:tr w14:paraId="6AD72E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357" w:type="pct"/>
            <w:vAlign w:val="center"/>
          </w:tcPr>
          <w:p w14:paraId="776CACE4">
            <w:pPr>
              <w:widowControl/>
              <w:spacing w:line="240" w:lineRule="auto"/>
              <w:ind w:firstLine="0" w:firstLineChars="0"/>
              <w:jc w:val="center"/>
              <w:textAlignment w:val="center"/>
              <w:rPr>
                <w:color w:val="auto"/>
                <w:sz w:val="21"/>
                <w:szCs w:val="21"/>
              </w:rPr>
            </w:pPr>
            <w:r>
              <w:rPr>
                <w:rFonts w:hint="eastAsia"/>
                <w:color w:val="auto"/>
                <w:sz w:val="21"/>
                <w:szCs w:val="21"/>
              </w:rPr>
              <w:t>3</w:t>
            </w:r>
          </w:p>
        </w:tc>
        <w:tc>
          <w:tcPr>
            <w:tcW w:w="986" w:type="pct"/>
            <w:vAlign w:val="center"/>
          </w:tcPr>
          <w:p w14:paraId="59200D10">
            <w:pPr>
              <w:spacing w:line="240" w:lineRule="auto"/>
              <w:ind w:firstLine="0" w:firstLineChars="0"/>
              <w:jc w:val="center"/>
              <w:rPr>
                <w:color w:val="auto"/>
                <w:sz w:val="21"/>
                <w:szCs w:val="21"/>
              </w:rPr>
            </w:pPr>
            <w:r>
              <w:rPr>
                <w:rFonts w:hint="eastAsia"/>
                <w:color w:val="auto"/>
                <w:sz w:val="21"/>
                <w:szCs w:val="21"/>
              </w:rPr>
              <w:t>硫代硫酸铵</w:t>
            </w:r>
          </w:p>
        </w:tc>
        <w:tc>
          <w:tcPr>
            <w:tcW w:w="482" w:type="pct"/>
            <w:vAlign w:val="center"/>
          </w:tcPr>
          <w:p w14:paraId="7D6EF153">
            <w:pPr>
              <w:widowControl/>
              <w:spacing w:line="240" w:lineRule="auto"/>
              <w:ind w:firstLine="0" w:firstLineChars="0"/>
              <w:jc w:val="center"/>
              <w:rPr>
                <w:color w:val="auto"/>
                <w:kern w:val="0"/>
                <w:sz w:val="21"/>
                <w:szCs w:val="21"/>
              </w:rPr>
            </w:pPr>
            <w:r>
              <w:rPr>
                <w:rFonts w:hint="eastAsia"/>
                <w:color w:val="auto"/>
                <w:kern w:val="0"/>
                <w:sz w:val="21"/>
                <w:szCs w:val="21"/>
              </w:rPr>
              <w:t>59%</w:t>
            </w:r>
          </w:p>
        </w:tc>
        <w:tc>
          <w:tcPr>
            <w:tcW w:w="564" w:type="pct"/>
            <w:vAlign w:val="center"/>
          </w:tcPr>
          <w:p w14:paraId="57834563">
            <w:pPr>
              <w:widowControl/>
              <w:spacing w:line="240" w:lineRule="auto"/>
              <w:ind w:firstLine="0" w:firstLineChars="0"/>
              <w:jc w:val="center"/>
              <w:textAlignment w:val="center"/>
              <w:rPr>
                <w:color w:val="auto"/>
                <w:sz w:val="21"/>
                <w:szCs w:val="21"/>
              </w:rPr>
            </w:pPr>
            <w:r>
              <w:rPr>
                <w:rFonts w:hint="eastAsia"/>
                <w:color w:val="auto"/>
                <w:sz w:val="21"/>
                <w:szCs w:val="21"/>
              </w:rPr>
              <w:t>桶装</w:t>
            </w:r>
          </w:p>
        </w:tc>
        <w:tc>
          <w:tcPr>
            <w:tcW w:w="941" w:type="pct"/>
            <w:vAlign w:val="center"/>
          </w:tcPr>
          <w:p w14:paraId="2AA1EF73">
            <w:pPr>
              <w:spacing w:line="240" w:lineRule="auto"/>
              <w:ind w:firstLine="0" w:firstLineChars="0"/>
              <w:jc w:val="center"/>
              <w:rPr>
                <w:color w:val="auto"/>
                <w:sz w:val="21"/>
                <w:szCs w:val="21"/>
              </w:rPr>
            </w:pPr>
          </w:p>
        </w:tc>
        <w:tc>
          <w:tcPr>
            <w:tcW w:w="542" w:type="pct"/>
            <w:vAlign w:val="center"/>
          </w:tcPr>
          <w:p w14:paraId="62A70F0A">
            <w:pPr>
              <w:spacing w:line="240" w:lineRule="auto"/>
              <w:ind w:firstLine="0" w:firstLineChars="0"/>
              <w:jc w:val="center"/>
              <w:rPr>
                <w:color w:val="auto"/>
                <w:sz w:val="21"/>
                <w:szCs w:val="21"/>
              </w:rPr>
            </w:pPr>
          </w:p>
        </w:tc>
        <w:tc>
          <w:tcPr>
            <w:tcW w:w="670" w:type="pct"/>
            <w:vAlign w:val="center"/>
          </w:tcPr>
          <w:p w14:paraId="3218EA7D">
            <w:pPr>
              <w:spacing w:line="240" w:lineRule="auto"/>
              <w:ind w:firstLine="0" w:firstLineChars="0"/>
              <w:jc w:val="center"/>
              <w:rPr>
                <w:color w:val="auto"/>
                <w:sz w:val="21"/>
                <w:szCs w:val="21"/>
              </w:rPr>
            </w:pPr>
          </w:p>
        </w:tc>
        <w:tc>
          <w:tcPr>
            <w:tcW w:w="453" w:type="pct"/>
            <w:vAlign w:val="center"/>
          </w:tcPr>
          <w:p w14:paraId="5CE0C5D0">
            <w:pPr>
              <w:spacing w:line="240" w:lineRule="auto"/>
              <w:ind w:firstLine="0" w:firstLineChars="0"/>
              <w:jc w:val="center"/>
              <w:rPr>
                <w:color w:val="auto"/>
                <w:sz w:val="21"/>
                <w:szCs w:val="21"/>
              </w:rPr>
            </w:pPr>
            <w:r>
              <w:rPr>
                <w:rFonts w:hint="eastAsia"/>
                <w:color w:val="auto"/>
                <w:sz w:val="21"/>
                <w:szCs w:val="21"/>
              </w:rPr>
              <w:t>外售＋自用</w:t>
            </w:r>
          </w:p>
        </w:tc>
      </w:tr>
      <w:tr w14:paraId="1ADA99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357" w:type="pct"/>
            <w:vAlign w:val="center"/>
          </w:tcPr>
          <w:p w14:paraId="72C3B00B">
            <w:pPr>
              <w:widowControl/>
              <w:spacing w:line="240" w:lineRule="auto"/>
              <w:ind w:firstLine="0" w:firstLineChars="0"/>
              <w:jc w:val="center"/>
              <w:textAlignment w:val="center"/>
              <w:rPr>
                <w:color w:val="auto"/>
                <w:sz w:val="21"/>
                <w:szCs w:val="21"/>
              </w:rPr>
            </w:pPr>
            <w:r>
              <w:rPr>
                <w:rFonts w:hint="eastAsia"/>
                <w:color w:val="auto"/>
                <w:sz w:val="21"/>
                <w:szCs w:val="21"/>
              </w:rPr>
              <w:t>4</w:t>
            </w:r>
          </w:p>
        </w:tc>
        <w:tc>
          <w:tcPr>
            <w:tcW w:w="986" w:type="pct"/>
            <w:vAlign w:val="center"/>
          </w:tcPr>
          <w:p w14:paraId="4D052884">
            <w:pPr>
              <w:spacing w:line="240" w:lineRule="auto"/>
              <w:ind w:firstLine="0" w:firstLineChars="0"/>
              <w:jc w:val="center"/>
              <w:rPr>
                <w:color w:val="auto"/>
                <w:sz w:val="21"/>
                <w:szCs w:val="21"/>
              </w:rPr>
            </w:pPr>
            <w:r>
              <w:rPr>
                <w:rFonts w:hint="eastAsia"/>
                <w:color w:val="auto"/>
                <w:sz w:val="21"/>
                <w:szCs w:val="21"/>
              </w:rPr>
              <w:t>硫代硫酸钙</w:t>
            </w:r>
          </w:p>
        </w:tc>
        <w:tc>
          <w:tcPr>
            <w:tcW w:w="482" w:type="pct"/>
            <w:vAlign w:val="center"/>
          </w:tcPr>
          <w:p w14:paraId="320C9104">
            <w:pPr>
              <w:widowControl/>
              <w:spacing w:line="240" w:lineRule="auto"/>
              <w:ind w:firstLine="0" w:firstLineChars="0"/>
              <w:jc w:val="center"/>
              <w:rPr>
                <w:color w:val="auto"/>
                <w:kern w:val="0"/>
                <w:sz w:val="21"/>
                <w:szCs w:val="21"/>
              </w:rPr>
            </w:pPr>
            <w:r>
              <w:rPr>
                <w:rFonts w:hint="eastAsia"/>
                <w:color w:val="auto"/>
                <w:kern w:val="0"/>
                <w:sz w:val="21"/>
                <w:szCs w:val="21"/>
              </w:rPr>
              <w:t>24%</w:t>
            </w:r>
          </w:p>
        </w:tc>
        <w:tc>
          <w:tcPr>
            <w:tcW w:w="564" w:type="pct"/>
            <w:vAlign w:val="center"/>
          </w:tcPr>
          <w:p w14:paraId="23706AFF">
            <w:pPr>
              <w:widowControl/>
              <w:spacing w:line="240" w:lineRule="auto"/>
              <w:ind w:firstLine="0" w:firstLineChars="0"/>
              <w:jc w:val="center"/>
              <w:textAlignment w:val="center"/>
              <w:rPr>
                <w:color w:val="auto"/>
                <w:sz w:val="21"/>
                <w:szCs w:val="21"/>
              </w:rPr>
            </w:pPr>
            <w:r>
              <w:rPr>
                <w:rFonts w:hint="eastAsia"/>
                <w:color w:val="auto"/>
                <w:sz w:val="21"/>
                <w:szCs w:val="21"/>
              </w:rPr>
              <w:t>桶装</w:t>
            </w:r>
          </w:p>
        </w:tc>
        <w:tc>
          <w:tcPr>
            <w:tcW w:w="941" w:type="pct"/>
            <w:vAlign w:val="center"/>
          </w:tcPr>
          <w:p w14:paraId="479CE14C">
            <w:pPr>
              <w:spacing w:line="240" w:lineRule="auto"/>
              <w:ind w:firstLine="0" w:firstLineChars="0"/>
              <w:jc w:val="center"/>
              <w:rPr>
                <w:color w:val="auto"/>
                <w:sz w:val="21"/>
                <w:szCs w:val="21"/>
              </w:rPr>
            </w:pPr>
          </w:p>
        </w:tc>
        <w:tc>
          <w:tcPr>
            <w:tcW w:w="542" w:type="pct"/>
            <w:vAlign w:val="center"/>
          </w:tcPr>
          <w:p w14:paraId="34914F6D">
            <w:pPr>
              <w:spacing w:line="240" w:lineRule="auto"/>
              <w:ind w:firstLine="0" w:firstLineChars="0"/>
              <w:jc w:val="center"/>
              <w:rPr>
                <w:color w:val="auto"/>
                <w:sz w:val="21"/>
                <w:szCs w:val="21"/>
              </w:rPr>
            </w:pPr>
          </w:p>
        </w:tc>
        <w:tc>
          <w:tcPr>
            <w:tcW w:w="670" w:type="pct"/>
            <w:vAlign w:val="center"/>
          </w:tcPr>
          <w:p w14:paraId="77872799">
            <w:pPr>
              <w:spacing w:line="240" w:lineRule="auto"/>
              <w:ind w:firstLine="0" w:firstLineChars="0"/>
              <w:jc w:val="center"/>
              <w:rPr>
                <w:color w:val="auto"/>
                <w:sz w:val="21"/>
                <w:szCs w:val="21"/>
              </w:rPr>
            </w:pPr>
          </w:p>
        </w:tc>
        <w:tc>
          <w:tcPr>
            <w:tcW w:w="453" w:type="pct"/>
            <w:vAlign w:val="center"/>
          </w:tcPr>
          <w:p w14:paraId="79F68FD4">
            <w:pPr>
              <w:spacing w:line="240" w:lineRule="auto"/>
              <w:ind w:firstLine="0" w:firstLineChars="0"/>
              <w:jc w:val="center"/>
              <w:rPr>
                <w:color w:val="auto"/>
                <w:sz w:val="21"/>
                <w:szCs w:val="21"/>
              </w:rPr>
            </w:pPr>
            <w:r>
              <w:rPr>
                <w:rFonts w:hint="eastAsia"/>
                <w:color w:val="auto"/>
                <w:sz w:val="21"/>
                <w:szCs w:val="21"/>
              </w:rPr>
              <w:t>外售</w:t>
            </w:r>
          </w:p>
        </w:tc>
      </w:tr>
      <w:tr w14:paraId="6D4BDF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357" w:type="pct"/>
            <w:vAlign w:val="center"/>
          </w:tcPr>
          <w:p w14:paraId="1C42262E">
            <w:pPr>
              <w:widowControl/>
              <w:spacing w:line="240" w:lineRule="auto"/>
              <w:ind w:firstLine="0" w:firstLineChars="0"/>
              <w:jc w:val="center"/>
              <w:textAlignment w:val="center"/>
              <w:rPr>
                <w:color w:val="auto"/>
                <w:sz w:val="21"/>
                <w:szCs w:val="21"/>
              </w:rPr>
            </w:pPr>
            <w:r>
              <w:rPr>
                <w:rFonts w:hint="eastAsia"/>
                <w:color w:val="auto"/>
                <w:sz w:val="21"/>
                <w:szCs w:val="21"/>
              </w:rPr>
              <w:t>5</w:t>
            </w:r>
          </w:p>
        </w:tc>
        <w:tc>
          <w:tcPr>
            <w:tcW w:w="986" w:type="pct"/>
            <w:vAlign w:val="center"/>
          </w:tcPr>
          <w:p w14:paraId="67F224C8">
            <w:pPr>
              <w:spacing w:line="240" w:lineRule="auto"/>
              <w:ind w:firstLine="0" w:firstLineChars="0"/>
              <w:jc w:val="center"/>
              <w:rPr>
                <w:color w:val="auto"/>
                <w:sz w:val="21"/>
                <w:szCs w:val="21"/>
              </w:rPr>
            </w:pPr>
            <w:r>
              <w:rPr>
                <w:rFonts w:hint="eastAsia"/>
                <w:color w:val="auto"/>
                <w:sz w:val="21"/>
                <w:szCs w:val="21"/>
              </w:rPr>
              <w:t>硫代硫酸镁</w:t>
            </w:r>
          </w:p>
        </w:tc>
        <w:tc>
          <w:tcPr>
            <w:tcW w:w="482" w:type="pct"/>
            <w:vAlign w:val="center"/>
          </w:tcPr>
          <w:p w14:paraId="1E8E07D6">
            <w:pPr>
              <w:widowControl/>
              <w:spacing w:line="240" w:lineRule="auto"/>
              <w:ind w:firstLine="0" w:firstLineChars="0"/>
              <w:jc w:val="center"/>
              <w:rPr>
                <w:color w:val="auto"/>
                <w:kern w:val="0"/>
                <w:sz w:val="21"/>
                <w:szCs w:val="21"/>
              </w:rPr>
            </w:pPr>
            <w:r>
              <w:rPr>
                <w:rFonts w:hint="eastAsia"/>
                <w:color w:val="auto"/>
                <w:kern w:val="0"/>
                <w:sz w:val="21"/>
                <w:szCs w:val="21"/>
              </w:rPr>
              <w:t>20%</w:t>
            </w:r>
          </w:p>
        </w:tc>
        <w:tc>
          <w:tcPr>
            <w:tcW w:w="564" w:type="pct"/>
            <w:vAlign w:val="center"/>
          </w:tcPr>
          <w:p w14:paraId="30165DC9">
            <w:pPr>
              <w:widowControl/>
              <w:spacing w:line="240" w:lineRule="auto"/>
              <w:ind w:firstLine="0" w:firstLineChars="0"/>
              <w:jc w:val="center"/>
              <w:textAlignment w:val="center"/>
              <w:rPr>
                <w:color w:val="auto"/>
                <w:sz w:val="21"/>
                <w:szCs w:val="21"/>
              </w:rPr>
            </w:pPr>
            <w:r>
              <w:rPr>
                <w:rFonts w:hint="eastAsia"/>
                <w:color w:val="auto"/>
                <w:sz w:val="21"/>
                <w:szCs w:val="21"/>
              </w:rPr>
              <w:t>桶装</w:t>
            </w:r>
          </w:p>
        </w:tc>
        <w:tc>
          <w:tcPr>
            <w:tcW w:w="941" w:type="pct"/>
            <w:vAlign w:val="center"/>
          </w:tcPr>
          <w:p w14:paraId="5971A9D9">
            <w:pPr>
              <w:spacing w:line="240" w:lineRule="auto"/>
              <w:ind w:firstLine="0" w:firstLineChars="0"/>
              <w:jc w:val="center"/>
              <w:rPr>
                <w:color w:val="auto"/>
                <w:sz w:val="21"/>
                <w:szCs w:val="21"/>
              </w:rPr>
            </w:pPr>
          </w:p>
        </w:tc>
        <w:tc>
          <w:tcPr>
            <w:tcW w:w="542" w:type="pct"/>
            <w:vAlign w:val="center"/>
          </w:tcPr>
          <w:p w14:paraId="06370A39">
            <w:pPr>
              <w:spacing w:line="240" w:lineRule="auto"/>
              <w:ind w:firstLine="0" w:firstLineChars="0"/>
              <w:jc w:val="center"/>
              <w:rPr>
                <w:color w:val="auto"/>
                <w:sz w:val="21"/>
                <w:szCs w:val="21"/>
              </w:rPr>
            </w:pPr>
          </w:p>
        </w:tc>
        <w:tc>
          <w:tcPr>
            <w:tcW w:w="670" w:type="pct"/>
            <w:vAlign w:val="center"/>
          </w:tcPr>
          <w:p w14:paraId="196E23E5">
            <w:pPr>
              <w:spacing w:line="240" w:lineRule="auto"/>
              <w:ind w:firstLine="0" w:firstLineChars="0"/>
              <w:jc w:val="center"/>
              <w:rPr>
                <w:color w:val="auto"/>
                <w:sz w:val="21"/>
                <w:szCs w:val="21"/>
              </w:rPr>
            </w:pPr>
          </w:p>
        </w:tc>
        <w:tc>
          <w:tcPr>
            <w:tcW w:w="453" w:type="pct"/>
            <w:vAlign w:val="center"/>
          </w:tcPr>
          <w:p w14:paraId="633A4FEA">
            <w:pPr>
              <w:spacing w:line="240" w:lineRule="auto"/>
              <w:ind w:firstLine="0" w:firstLineChars="0"/>
              <w:jc w:val="center"/>
              <w:rPr>
                <w:color w:val="auto"/>
                <w:sz w:val="21"/>
                <w:szCs w:val="21"/>
              </w:rPr>
            </w:pPr>
            <w:r>
              <w:rPr>
                <w:rFonts w:hint="eastAsia"/>
                <w:color w:val="auto"/>
                <w:sz w:val="21"/>
                <w:szCs w:val="21"/>
              </w:rPr>
              <w:t>外售</w:t>
            </w:r>
          </w:p>
        </w:tc>
      </w:tr>
      <w:tr w14:paraId="1E35EB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357" w:type="pct"/>
            <w:vAlign w:val="center"/>
          </w:tcPr>
          <w:p w14:paraId="3D931F92">
            <w:pPr>
              <w:widowControl/>
              <w:spacing w:line="240" w:lineRule="auto"/>
              <w:ind w:firstLine="0" w:firstLineChars="0"/>
              <w:jc w:val="center"/>
              <w:textAlignment w:val="center"/>
              <w:rPr>
                <w:color w:val="auto"/>
                <w:sz w:val="21"/>
                <w:szCs w:val="21"/>
              </w:rPr>
            </w:pPr>
            <w:r>
              <w:rPr>
                <w:rFonts w:hint="eastAsia"/>
                <w:color w:val="auto"/>
                <w:sz w:val="21"/>
                <w:szCs w:val="21"/>
              </w:rPr>
              <w:t>6</w:t>
            </w:r>
          </w:p>
        </w:tc>
        <w:tc>
          <w:tcPr>
            <w:tcW w:w="986" w:type="pct"/>
            <w:vAlign w:val="center"/>
          </w:tcPr>
          <w:p w14:paraId="205D3185">
            <w:pPr>
              <w:spacing w:line="240" w:lineRule="auto"/>
              <w:ind w:firstLine="0" w:firstLineChars="0"/>
              <w:jc w:val="center"/>
              <w:rPr>
                <w:color w:val="auto"/>
                <w:sz w:val="21"/>
                <w:szCs w:val="21"/>
              </w:rPr>
            </w:pPr>
            <w:r>
              <w:rPr>
                <w:rFonts w:hint="eastAsia"/>
                <w:color w:val="auto"/>
                <w:sz w:val="21"/>
                <w:szCs w:val="21"/>
              </w:rPr>
              <w:t>硫代硫酸钾</w:t>
            </w:r>
          </w:p>
        </w:tc>
        <w:tc>
          <w:tcPr>
            <w:tcW w:w="482" w:type="pct"/>
            <w:vAlign w:val="center"/>
          </w:tcPr>
          <w:p w14:paraId="161B3085">
            <w:pPr>
              <w:widowControl/>
              <w:spacing w:line="240" w:lineRule="auto"/>
              <w:ind w:firstLine="0" w:firstLineChars="0"/>
              <w:jc w:val="center"/>
              <w:rPr>
                <w:color w:val="auto"/>
                <w:kern w:val="0"/>
                <w:sz w:val="21"/>
                <w:szCs w:val="21"/>
              </w:rPr>
            </w:pPr>
            <w:r>
              <w:rPr>
                <w:rFonts w:hint="eastAsia"/>
                <w:color w:val="auto"/>
                <w:kern w:val="0"/>
                <w:sz w:val="21"/>
                <w:szCs w:val="21"/>
              </w:rPr>
              <w:t>46%</w:t>
            </w:r>
          </w:p>
        </w:tc>
        <w:tc>
          <w:tcPr>
            <w:tcW w:w="564" w:type="pct"/>
            <w:vAlign w:val="center"/>
          </w:tcPr>
          <w:p w14:paraId="08512AFE">
            <w:pPr>
              <w:widowControl/>
              <w:spacing w:line="240" w:lineRule="auto"/>
              <w:ind w:firstLine="0" w:firstLineChars="0"/>
              <w:jc w:val="center"/>
              <w:textAlignment w:val="center"/>
              <w:rPr>
                <w:color w:val="auto"/>
                <w:sz w:val="21"/>
                <w:szCs w:val="21"/>
              </w:rPr>
            </w:pPr>
            <w:r>
              <w:rPr>
                <w:rFonts w:hint="eastAsia"/>
                <w:color w:val="auto"/>
                <w:sz w:val="21"/>
                <w:szCs w:val="21"/>
              </w:rPr>
              <w:t>桶装</w:t>
            </w:r>
          </w:p>
        </w:tc>
        <w:tc>
          <w:tcPr>
            <w:tcW w:w="941" w:type="pct"/>
            <w:vAlign w:val="center"/>
          </w:tcPr>
          <w:p w14:paraId="3D63A320">
            <w:pPr>
              <w:spacing w:line="240" w:lineRule="auto"/>
              <w:ind w:firstLine="0" w:firstLineChars="0"/>
              <w:jc w:val="center"/>
              <w:rPr>
                <w:color w:val="auto"/>
                <w:sz w:val="21"/>
                <w:szCs w:val="21"/>
              </w:rPr>
            </w:pPr>
          </w:p>
        </w:tc>
        <w:tc>
          <w:tcPr>
            <w:tcW w:w="542" w:type="pct"/>
            <w:vAlign w:val="center"/>
          </w:tcPr>
          <w:p w14:paraId="08F280E7">
            <w:pPr>
              <w:spacing w:line="240" w:lineRule="auto"/>
              <w:ind w:firstLine="0" w:firstLineChars="0"/>
              <w:jc w:val="center"/>
              <w:rPr>
                <w:color w:val="auto"/>
                <w:sz w:val="21"/>
                <w:szCs w:val="21"/>
              </w:rPr>
            </w:pPr>
          </w:p>
        </w:tc>
        <w:tc>
          <w:tcPr>
            <w:tcW w:w="670" w:type="pct"/>
            <w:vAlign w:val="center"/>
          </w:tcPr>
          <w:p w14:paraId="53584E0D">
            <w:pPr>
              <w:spacing w:line="240" w:lineRule="auto"/>
              <w:ind w:firstLine="0" w:firstLineChars="0"/>
              <w:jc w:val="center"/>
              <w:rPr>
                <w:color w:val="auto"/>
                <w:sz w:val="21"/>
                <w:szCs w:val="21"/>
              </w:rPr>
            </w:pPr>
          </w:p>
        </w:tc>
        <w:tc>
          <w:tcPr>
            <w:tcW w:w="453" w:type="pct"/>
            <w:vAlign w:val="center"/>
          </w:tcPr>
          <w:p w14:paraId="0B8B8381">
            <w:pPr>
              <w:spacing w:line="240" w:lineRule="auto"/>
              <w:ind w:firstLine="0" w:firstLineChars="0"/>
              <w:jc w:val="center"/>
              <w:rPr>
                <w:color w:val="auto"/>
                <w:sz w:val="21"/>
                <w:szCs w:val="21"/>
              </w:rPr>
            </w:pPr>
            <w:r>
              <w:rPr>
                <w:rFonts w:hint="eastAsia"/>
                <w:color w:val="auto"/>
                <w:sz w:val="21"/>
                <w:szCs w:val="21"/>
              </w:rPr>
              <w:t>外售</w:t>
            </w:r>
          </w:p>
        </w:tc>
      </w:tr>
      <w:tr w14:paraId="326799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357" w:type="pct"/>
            <w:vAlign w:val="center"/>
          </w:tcPr>
          <w:p w14:paraId="3E604D9A">
            <w:pPr>
              <w:widowControl/>
              <w:spacing w:line="240" w:lineRule="auto"/>
              <w:ind w:firstLine="0" w:firstLineChars="0"/>
              <w:jc w:val="center"/>
              <w:textAlignment w:val="center"/>
              <w:rPr>
                <w:color w:val="auto"/>
                <w:sz w:val="21"/>
                <w:szCs w:val="21"/>
              </w:rPr>
            </w:pPr>
            <w:r>
              <w:rPr>
                <w:rFonts w:hint="eastAsia"/>
                <w:color w:val="auto"/>
                <w:sz w:val="21"/>
                <w:szCs w:val="21"/>
              </w:rPr>
              <w:t>7</w:t>
            </w:r>
          </w:p>
        </w:tc>
        <w:tc>
          <w:tcPr>
            <w:tcW w:w="986" w:type="pct"/>
            <w:vAlign w:val="center"/>
          </w:tcPr>
          <w:p w14:paraId="2336BC25">
            <w:pPr>
              <w:spacing w:line="240" w:lineRule="auto"/>
              <w:ind w:firstLine="0" w:firstLineChars="0"/>
              <w:jc w:val="center"/>
              <w:rPr>
                <w:color w:val="auto"/>
                <w:sz w:val="21"/>
                <w:szCs w:val="21"/>
              </w:rPr>
            </w:pPr>
            <w:r>
              <w:rPr>
                <w:rFonts w:hint="eastAsia"/>
                <w:color w:val="auto"/>
                <w:sz w:val="21"/>
                <w:szCs w:val="21"/>
              </w:rPr>
              <w:t>一水亚硫酸铵（氨工艺）</w:t>
            </w:r>
          </w:p>
        </w:tc>
        <w:tc>
          <w:tcPr>
            <w:tcW w:w="482" w:type="pct"/>
            <w:vAlign w:val="center"/>
          </w:tcPr>
          <w:p w14:paraId="68FCDDB1">
            <w:pPr>
              <w:widowControl/>
              <w:spacing w:line="240" w:lineRule="auto"/>
              <w:ind w:firstLine="0" w:firstLineChars="0"/>
              <w:jc w:val="center"/>
              <w:rPr>
                <w:color w:val="auto"/>
                <w:kern w:val="0"/>
                <w:sz w:val="21"/>
                <w:szCs w:val="21"/>
              </w:rPr>
            </w:pPr>
            <w:r>
              <w:rPr>
                <w:rFonts w:hint="eastAsia"/>
                <w:color w:val="auto"/>
                <w:kern w:val="0"/>
                <w:sz w:val="21"/>
                <w:szCs w:val="21"/>
              </w:rPr>
              <w:t>90%</w:t>
            </w:r>
          </w:p>
        </w:tc>
        <w:tc>
          <w:tcPr>
            <w:tcW w:w="564" w:type="pct"/>
            <w:vAlign w:val="center"/>
          </w:tcPr>
          <w:p w14:paraId="4ED1CCC5">
            <w:pPr>
              <w:widowControl/>
              <w:spacing w:line="240" w:lineRule="auto"/>
              <w:ind w:firstLine="0" w:firstLineChars="0"/>
              <w:jc w:val="center"/>
              <w:textAlignment w:val="center"/>
              <w:rPr>
                <w:color w:val="auto"/>
                <w:sz w:val="21"/>
                <w:szCs w:val="21"/>
              </w:rPr>
            </w:pPr>
            <w:r>
              <w:rPr>
                <w:rFonts w:hint="eastAsia"/>
                <w:color w:val="auto"/>
                <w:sz w:val="21"/>
                <w:szCs w:val="21"/>
              </w:rPr>
              <w:t>袋装</w:t>
            </w:r>
          </w:p>
        </w:tc>
        <w:tc>
          <w:tcPr>
            <w:tcW w:w="941" w:type="pct"/>
            <w:vAlign w:val="center"/>
          </w:tcPr>
          <w:p w14:paraId="1C04EBE2">
            <w:pPr>
              <w:spacing w:line="240" w:lineRule="auto"/>
              <w:ind w:firstLine="0" w:firstLineChars="0"/>
              <w:jc w:val="center"/>
              <w:rPr>
                <w:color w:val="auto"/>
                <w:sz w:val="21"/>
                <w:szCs w:val="21"/>
              </w:rPr>
            </w:pPr>
          </w:p>
        </w:tc>
        <w:tc>
          <w:tcPr>
            <w:tcW w:w="542" w:type="pct"/>
            <w:vAlign w:val="center"/>
          </w:tcPr>
          <w:p w14:paraId="09D6D9A7">
            <w:pPr>
              <w:spacing w:line="240" w:lineRule="auto"/>
              <w:ind w:firstLine="0" w:firstLineChars="0"/>
              <w:jc w:val="center"/>
              <w:rPr>
                <w:color w:val="auto"/>
                <w:sz w:val="21"/>
                <w:szCs w:val="21"/>
              </w:rPr>
            </w:pPr>
          </w:p>
        </w:tc>
        <w:tc>
          <w:tcPr>
            <w:tcW w:w="670" w:type="pct"/>
            <w:vAlign w:val="center"/>
          </w:tcPr>
          <w:p w14:paraId="0ECF6198">
            <w:pPr>
              <w:spacing w:line="240" w:lineRule="auto"/>
              <w:ind w:firstLine="0" w:firstLineChars="0"/>
              <w:jc w:val="center"/>
              <w:rPr>
                <w:color w:val="auto"/>
                <w:sz w:val="21"/>
                <w:szCs w:val="21"/>
              </w:rPr>
            </w:pPr>
          </w:p>
        </w:tc>
        <w:tc>
          <w:tcPr>
            <w:tcW w:w="453" w:type="pct"/>
            <w:vAlign w:val="center"/>
          </w:tcPr>
          <w:p w14:paraId="7DA1A021">
            <w:pPr>
              <w:spacing w:line="240" w:lineRule="auto"/>
              <w:ind w:firstLine="0" w:firstLineChars="0"/>
              <w:jc w:val="center"/>
              <w:rPr>
                <w:color w:val="auto"/>
                <w:sz w:val="21"/>
                <w:szCs w:val="21"/>
              </w:rPr>
            </w:pPr>
            <w:r>
              <w:rPr>
                <w:rFonts w:hint="eastAsia"/>
                <w:color w:val="auto"/>
                <w:sz w:val="21"/>
                <w:szCs w:val="21"/>
              </w:rPr>
              <w:t>外售</w:t>
            </w:r>
          </w:p>
        </w:tc>
      </w:tr>
      <w:tr w14:paraId="7947BB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357" w:type="pct"/>
            <w:vAlign w:val="center"/>
          </w:tcPr>
          <w:p w14:paraId="0BDCF857">
            <w:pPr>
              <w:widowControl/>
              <w:spacing w:line="240" w:lineRule="auto"/>
              <w:ind w:firstLine="0" w:firstLineChars="0"/>
              <w:jc w:val="center"/>
              <w:textAlignment w:val="center"/>
              <w:rPr>
                <w:color w:val="auto"/>
                <w:sz w:val="21"/>
                <w:szCs w:val="21"/>
              </w:rPr>
            </w:pPr>
            <w:r>
              <w:rPr>
                <w:rFonts w:hint="eastAsia"/>
                <w:color w:val="auto"/>
                <w:sz w:val="21"/>
                <w:szCs w:val="21"/>
              </w:rPr>
              <w:t>8</w:t>
            </w:r>
          </w:p>
        </w:tc>
        <w:tc>
          <w:tcPr>
            <w:tcW w:w="986" w:type="pct"/>
            <w:vAlign w:val="center"/>
          </w:tcPr>
          <w:p w14:paraId="7E02BFFF">
            <w:pPr>
              <w:spacing w:line="240" w:lineRule="auto"/>
              <w:ind w:firstLine="0" w:firstLineChars="0"/>
              <w:jc w:val="center"/>
              <w:rPr>
                <w:color w:val="auto"/>
                <w:sz w:val="21"/>
                <w:szCs w:val="21"/>
              </w:rPr>
            </w:pPr>
            <w:r>
              <w:rPr>
                <w:rFonts w:hint="eastAsia"/>
                <w:color w:val="auto"/>
                <w:sz w:val="21"/>
                <w:szCs w:val="21"/>
              </w:rPr>
              <w:t>一水亚硫酸铵（碳酸氢铵工艺）</w:t>
            </w:r>
          </w:p>
        </w:tc>
        <w:tc>
          <w:tcPr>
            <w:tcW w:w="482" w:type="pct"/>
            <w:vAlign w:val="center"/>
          </w:tcPr>
          <w:p w14:paraId="68BEE912">
            <w:pPr>
              <w:widowControl/>
              <w:spacing w:line="240" w:lineRule="auto"/>
              <w:ind w:firstLine="0" w:firstLineChars="0"/>
              <w:jc w:val="center"/>
              <w:rPr>
                <w:color w:val="auto"/>
                <w:kern w:val="0"/>
                <w:sz w:val="21"/>
                <w:szCs w:val="21"/>
              </w:rPr>
            </w:pPr>
            <w:r>
              <w:rPr>
                <w:rFonts w:hint="eastAsia"/>
                <w:color w:val="auto"/>
                <w:kern w:val="0"/>
                <w:sz w:val="21"/>
                <w:szCs w:val="21"/>
              </w:rPr>
              <w:t>90%</w:t>
            </w:r>
          </w:p>
        </w:tc>
        <w:tc>
          <w:tcPr>
            <w:tcW w:w="564" w:type="pct"/>
            <w:vAlign w:val="center"/>
          </w:tcPr>
          <w:p w14:paraId="0943C30E">
            <w:pPr>
              <w:widowControl/>
              <w:spacing w:line="240" w:lineRule="auto"/>
              <w:ind w:firstLine="0" w:firstLineChars="0"/>
              <w:jc w:val="center"/>
              <w:textAlignment w:val="center"/>
              <w:rPr>
                <w:color w:val="auto"/>
                <w:sz w:val="21"/>
                <w:szCs w:val="21"/>
              </w:rPr>
            </w:pPr>
            <w:r>
              <w:rPr>
                <w:rFonts w:hint="eastAsia"/>
                <w:color w:val="auto"/>
                <w:sz w:val="21"/>
                <w:szCs w:val="21"/>
              </w:rPr>
              <w:t>袋装</w:t>
            </w:r>
          </w:p>
        </w:tc>
        <w:tc>
          <w:tcPr>
            <w:tcW w:w="941" w:type="pct"/>
            <w:vAlign w:val="center"/>
          </w:tcPr>
          <w:p w14:paraId="613EE7EA">
            <w:pPr>
              <w:spacing w:line="240" w:lineRule="auto"/>
              <w:ind w:firstLine="0" w:firstLineChars="0"/>
              <w:jc w:val="center"/>
              <w:rPr>
                <w:color w:val="auto"/>
                <w:sz w:val="21"/>
                <w:szCs w:val="21"/>
              </w:rPr>
            </w:pPr>
          </w:p>
        </w:tc>
        <w:tc>
          <w:tcPr>
            <w:tcW w:w="542" w:type="pct"/>
            <w:vAlign w:val="center"/>
          </w:tcPr>
          <w:p w14:paraId="1CCF69D0">
            <w:pPr>
              <w:spacing w:line="240" w:lineRule="auto"/>
              <w:ind w:firstLine="0" w:firstLineChars="0"/>
              <w:jc w:val="center"/>
              <w:rPr>
                <w:color w:val="auto"/>
                <w:sz w:val="21"/>
                <w:szCs w:val="21"/>
              </w:rPr>
            </w:pPr>
          </w:p>
        </w:tc>
        <w:tc>
          <w:tcPr>
            <w:tcW w:w="670" w:type="pct"/>
            <w:vAlign w:val="center"/>
          </w:tcPr>
          <w:p w14:paraId="0CA452EB">
            <w:pPr>
              <w:spacing w:line="240" w:lineRule="auto"/>
              <w:ind w:firstLine="0" w:firstLineChars="0"/>
              <w:jc w:val="center"/>
              <w:rPr>
                <w:color w:val="auto"/>
                <w:sz w:val="21"/>
                <w:szCs w:val="21"/>
              </w:rPr>
            </w:pPr>
          </w:p>
        </w:tc>
        <w:tc>
          <w:tcPr>
            <w:tcW w:w="453" w:type="pct"/>
            <w:vAlign w:val="center"/>
          </w:tcPr>
          <w:p w14:paraId="0E45A5C3">
            <w:pPr>
              <w:spacing w:line="240" w:lineRule="auto"/>
              <w:ind w:firstLine="0" w:firstLineChars="0"/>
              <w:jc w:val="center"/>
              <w:rPr>
                <w:color w:val="auto"/>
                <w:sz w:val="21"/>
                <w:szCs w:val="21"/>
              </w:rPr>
            </w:pPr>
            <w:r>
              <w:rPr>
                <w:rFonts w:hint="eastAsia"/>
                <w:color w:val="auto"/>
                <w:sz w:val="21"/>
                <w:szCs w:val="21"/>
              </w:rPr>
              <w:t>外售</w:t>
            </w:r>
          </w:p>
        </w:tc>
      </w:tr>
    </w:tbl>
    <w:p w14:paraId="14469719">
      <w:pPr>
        <w:spacing w:line="240" w:lineRule="auto"/>
        <w:ind w:firstLine="0" w:firstLineChars="0"/>
        <w:jc w:val="center"/>
        <w:rPr>
          <w:b/>
          <w:bCs/>
          <w:color w:val="auto"/>
        </w:rPr>
      </w:pPr>
    </w:p>
    <w:p w14:paraId="713C78EB">
      <w:pPr>
        <w:spacing w:line="240" w:lineRule="auto"/>
        <w:ind w:firstLine="0" w:firstLineChars="0"/>
        <w:jc w:val="center"/>
        <w:rPr>
          <w:b/>
          <w:bCs/>
          <w:color w:val="auto"/>
        </w:rPr>
        <w:sectPr>
          <w:pgSz w:w="11906" w:h="16838"/>
          <w:pgMar w:top="1134" w:right="1134" w:bottom="1134" w:left="1134" w:header="851" w:footer="992" w:gutter="0"/>
          <w:cols w:space="425" w:num="1"/>
          <w:docGrid w:type="lines" w:linePitch="312" w:charSpace="0"/>
        </w:sectPr>
      </w:pPr>
    </w:p>
    <w:p w14:paraId="7DEAF7BD">
      <w:pPr>
        <w:pStyle w:val="49"/>
        <w:rPr>
          <w:color w:val="auto"/>
        </w:rPr>
      </w:pPr>
      <w:r>
        <w:rPr>
          <w:rFonts w:hint="eastAsia"/>
          <w:color w:val="auto"/>
        </w:rPr>
        <w:t>表4.1-2  拟建项目建成后全厂产品方案</w:t>
      </w:r>
    </w:p>
    <w:tbl>
      <w:tblPr>
        <w:tblStyle w:val="25"/>
        <w:tblW w:w="4996"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77"/>
        <w:gridCol w:w="2235"/>
        <w:gridCol w:w="2073"/>
        <w:gridCol w:w="2235"/>
        <w:gridCol w:w="1845"/>
        <w:gridCol w:w="1845"/>
        <w:gridCol w:w="1588"/>
        <w:gridCol w:w="2176"/>
      </w:tblGrid>
      <w:tr w14:paraId="64BF94D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vMerge w:val="restart"/>
            <w:tcBorders>
              <w:tl2br w:val="nil"/>
              <w:tr2bl w:val="nil"/>
            </w:tcBorders>
            <w:vAlign w:val="center"/>
          </w:tcPr>
          <w:p w14:paraId="7D2CC82B">
            <w:pPr>
              <w:widowControl/>
              <w:spacing w:line="240" w:lineRule="auto"/>
              <w:ind w:firstLine="0" w:firstLineChars="0"/>
              <w:jc w:val="center"/>
              <w:textAlignment w:val="center"/>
              <w:rPr>
                <w:b/>
                <w:color w:val="auto"/>
                <w:kern w:val="24"/>
                <w:sz w:val="21"/>
                <w:szCs w:val="21"/>
              </w:rPr>
            </w:pPr>
            <w:r>
              <w:rPr>
                <w:rFonts w:hint="eastAsia"/>
                <w:b/>
                <w:color w:val="auto"/>
                <w:kern w:val="24"/>
                <w:sz w:val="21"/>
                <w:szCs w:val="21"/>
              </w:rPr>
              <w:t>序号</w:t>
            </w:r>
          </w:p>
        </w:tc>
        <w:tc>
          <w:tcPr>
            <w:tcW w:w="756" w:type="pct"/>
            <w:vMerge w:val="restart"/>
            <w:tcBorders>
              <w:tl2br w:val="nil"/>
              <w:tr2bl w:val="nil"/>
            </w:tcBorders>
            <w:vAlign w:val="center"/>
          </w:tcPr>
          <w:p w14:paraId="429E2CB9">
            <w:pPr>
              <w:widowControl/>
              <w:spacing w:line="240" w:lineRule="auto"/>
              <w:ind w:firstLine="0" w:firstLineChars="0"/>
              <w:jc w:val="center"/>
              <w:textAlignment w:val="center"/>
              <w:rPr>
                <w:b/>
                <w:color w:val="auto"/>
                <w:kern w:val="24"/>
                <w:sz w:val="21"/>
                <w:szCs w:val="21"/>
              </w:rPr>
            </w:pPr>
            <w:r>
              <w:rPr>
                <w:rFonts w:hint="eastAsia"/>
                <w:b/>
                <w:color w:val="auto"/>
                <w:kern w:val="24"/>
                <w:sz w:val="21"/>
                <w:szCs w:val="21"/>
              </w:rPr>
              <w:t>工程名称</w:t>
            </w:r>
          </w:p>
        </w:tc>
        <w:tc>
          <w:tcPr>
            <w:tcW w:w="701" w:type="pct"/>
            <w:vMerge w:val="restart"/>
            <w:tcBorders>
              <w:tl2br w:val="nil"/>
              <w:tr2bl w:val="nil"/>
            </w:tcBorders>
            <w:vAlign w:val="center"/>
          </w:tcPr>
          <w:p w14:paraId="67F86C5A">
            <w:pPr>
              <w:widowControl/>
              <w:spacing w:line="240" w:lineRule="auto"/>
              <w:ind w:firstLine="0" w:firstLineChars="0"/>
              <w:jc w:val="center"/>
              <w:textAlignment w:val="center"/>
              <w:rPr>
                <w:b/>
                <w:color w:val="auto"/>
                <w:kern w:val="24"/>
                <w:sz w:val="21"/>
                <w:szCs w:val="21"/>
              </w:rPr>
            </w:pPr>
            <w:r>
              <w:rPr>
                <w:rFonts w:hint="eastAsia"/>
                <w:b/>
                <w:color w:val="auto"/>
                <w:kern w:val="24"/>
                <w:sz w:val="21"/>
                <w:szCs w:val="21"/>
              </w:rPr>
              <w:t>产品名称</w:t>
            </w:r>
          </w:p>
        </w:tc>
        <w:tc>
          <w:tcPr>
            <w:tcW w:w="756" w:type="pct"/>
            <w:vMerge w:val="restart"/>
            <w:tcBorders>
              <w:tl2br w:val="nil"/>
              <w:tr2bl w:val="nil"/>
            </w:tcBorders>
            <w:vAlign w:val="center"/>
          </w:tcPr>
          <w:p w14:paraId="29C2ECEC">
            <w:pPr>
              <w:widowControl/>
              <w:spacing w:line="240" w:lineRule="auto"/>
              <w:ind w:firstLine="0" w:firstLineChars="0"/>
              <w:jc w:val="center"/>
              <w:textAlignment w:val="center"/>
              <w:rPr>
                <w:b/>
                <w:color w:val="auto"/>
                <w:kern w:val="24"/>
                <w:sz w:val="21"/>
                <w:szCs w:val="21"/>
              </w:rPr>
            </w:pPr>
            <w:r>
              <w:rPr>
                <w:rFonts w:hint="eastAsia"/>
                <w:b/>
                <w:color w:val="auto"/>
                <w:kern w:val="24"/>
                <w:sz w:val="21"/>
                <w:szCs w:val="21"/>
              </w:rPr>
              <w:t>规格</w:t>
            </w:r>
          </w:p>
        </w:tc>
        <w:tc>
          <w:tcPr>
            <w:tcW w:w="2521" w:type="pct"/>
            <w:gridSpan w:val="4"/>
            <w:tcBorders>
              <w:tl2br w:val="nil"/>
              <w:tr2bl w:val="nil"/>
            </w:tcBorders>
            <w:vAlign w:val="center"/>
          </w:tcPr>
          <w:p w14:paraId="73D7DC0C">
            <w:pPr>
              <w:widowControl/>
              <w:spacing w:line="240" w:lineRule="auto"/>
              <w:ind w:firstLine="0" w:firstLineChars="0"/>
              <w:jc w:val="center"/>
              <w:textAlignment w:val="center"/>
              <w:rPr>
                <w:b/>
                <w:color w:val="auto"/>
                <w:kern w:val="24"/>
                <w:sz w:val="21"/>
                <w:szCs w:val="21"/>
              </w:rPr>
            </w:pPr>
            <w:r>
              <w:rPr>
                <w:rFonts w:hint="eastAsia"/>
                <w:b/>
                <w:color w:val="auto"/>
                <w:kern w:val="24"/>
                <w:sz w:val="21"/>
                <w:szCs w:val="21"/>
              </w:rPr>
              <w:t>产能（t/a）</w:t>
            </w:r>
          </w:p>
        </w:tc>
      </w:tr>
      <w:tr w14:paraId="5BB921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14:paraId="1FBDC895">
            <w:pPr>
              <w:widowControl/>
              <w:spacing w:line="240" w:lineRule="auto"/>
              <w:ind w:firstLine="0" w:firstLineChars="0"/>
              <w:jc w:val="center"/>
              <w:textAlignment w:val="center"/>
              <w:rPr>
                <w:b/>
                <w:color w:val="auto"/>
                <w:kern w:val="24"/>
                <w:sz w:val="21"/>
                <w:szCs w:val="21"/>
              </w:rPr>
            </w:pPr>
          </w:p>
        </w:tc>
        <w:tc>
          <w:tcPr>
            <w:tcW w:w="756" w:type="pct"/>
            <w:vMerge w:val="continue"/>
            <w:tcBorders>
              <w:tl2br w:val="nil"/>
              <w:tr2bl w:val="nil"/>
            </w:tcBorders>
            <w:vAlign w:val="center"/>
          </w:tcPr>
          <w:p w14:paraId="3EED0B10">
            <w:pPr>
              <w:widowControl/>
              <w:spacing w:line="240" w:lineRule="auto"/>
              <w:ind w:firstLine="0" w:firstLineChars="0"/>
              <w:jc w:val="center"/>
              <w:textAlignment w:val="center"/>
              <w:rPr>
                <w:b/>
                <w:color w:val="auto"/>
                <w:kern w:val="24"/>
                <w:sz w:val="21"/>
                <w:szCs w:val="21"/>
              </w:rPr>
            </w:pPr>
          </w:p>
        </w:tc>
        <w:tc>
          <w:tcPr>
            <w:tcW w:w="701" w:type="pct"/>
            <w:vMerge w:val="continue"/>
            <w:tcBorders>
              <w:tl2br w:val="nil"/>
              <w:tr2bl w:val="nil"/>
            </w:tcBorders>
            <w:vAlign w:val="center"/>
          </w:tcPr>
          <w:p w14:paraId="2E272A4E">
            <w:pPr>
              <w:widowControl/>
              <w:spacing w:line="240" w:lineRule="auto"/>
              <w:ind w:firstLine="0" w:firstLineChars="0"/>
              <w:jc w:val="center"/>
              <w:textAlignment w:val="center"/>
              <w:rPr>
                <w:b/>
                <w:color w:val="auto"/>
                <w:kern w:val="24"/>
                <w:sz w:val="21"/>
                <w:szCs w:val="21"/>
              </w:rPr>
            </w:pPr>
          </w:p>
        </w:tc>
        <w:tc>
          <w:tcPr>
            <w:tcW w:w="756" w:type="pct"/>
            <w:vMerge w:val="continue"/>
            <w:tcBorders>
              <w:tl2br w:val="nil"/>
              <w:tr2bl w:val="nil"/>
            </w:tcBorders>
            <w:vAlign w:val="center"/>
          </w:tcPr>
          <w:p w14:paraId="4D3B4847">
            <w:pPr>
              <w:widowControl/>
              <w:spacing w:line="240" w:lineRule="auto"/>
              <w:ind w:firstLine="0" w:firstLineChars="0"/>
              <w:jc w:val="center"/>
              <w:textAlignment w:val="center"/>
              <w:rPr>
                <w:b/>
                <w:color w:val="auto"/>
                <w:kern w:val="24"/>
                <w:sz w:val="21"/>
                <w:szCs w:val="21"/>
              </w:rPr>
            </w:pPr>
          </w:p>
        </w:tc>
        <w:tc>
          <w:tcPr>
            <w:tcW w:w="624" w:type="pct"/>
            <w:tcBorders>
              <w:tl2br w:val="nil"/>
              <w:tr2bl w:val="nil"/>
            </w:tcBorders>
            <w:vAlign w:val="center"/>
          </w:tcPr>
          <w:p w14:paraId="1B79DB62">
            <w:pPr>
              <w:widowControl/>
              <w:spacing w:line="240" w:lineRule="auto"/>
              <w:ind w:firstLine="0" w:firstLineChars="0"/>
              <w:jc w:val="center"/>
              <w:textAlignment w:val="center"/>
              <w:rPr>
                <w:b/>
                <w:color w:val="auto"/>
                <w:kern w:val="24"/>
                <w:sz w:val="21"/>
                <w:szCs w:val="21"/>
              </w:rPr>
            </w:pPr>
            <w:r>
              <w:rPr>
                <w:rFonts w:hint="eastAsia"/>
                <w:b/>
                <w:color w:val="auto"/>
                <w:kern w:val="24"/>
                <w:sz w:val="21"/>
                <w:szCs w:val="21"/>
              </w:rPr>
              <w:t>现有已建项目</w:t>
            </w:r>
          </w:p>
        </w:tc>
        <w:tc>
          <w:tcPr>
            <w:tcW w:w="624" w:type="pct"/>
            <w:tcBorders>
              <w:tl2br w:val="nil"/>
              <w:tr2bl w:val="nil"/>
            </w:tcBorders>
            <w:vAlign w:val="center"/>
          </w:tcPr>
          <w:p w14:paraId="552A5F73">
            <w:pPr>
              <w:widowControl/>
              <w:spacing w:line="240" w:lineRule="auto"/>
              <w:ind w:firstLine="0" w:firstLineChars="0"/>
              <w:jc w:val="center"/>
              <w:textAlignment w:val="center"/>
              <w:rPr>
                <w:b/>
                <w:color w:val="auto"/>
                <w:kern w:val="24"/>
                <w:sz w:val="21"/>
                <w:szCs w:val="21"/>
              </w:rPr>
            </w:pPr>
            <w:r>
              <w:rPr>
                <w:rFonts w:hint="eastAsia"/>
                <w:b/>
                <w:color w:val="auto"/>
                <w:kern w:val="24"/>
                <w:sz w:val="21"/>
                <w:szCs w:val="21"/>
              </w:rPr>
              <w:t>在建项目</w:t>
            </w:r>
          </w:p>
        </w:tc>
        <w:tc>
          <w:tcPr>
            <w:tcW w:w="537" w:type="pct"/>
            <w:tcBorders>
              <w:tl2br w:val="nil"/>
              <w:tr2bl w:val="nil"/>
            </w:tcBorders>
            <w:vAlign w:val="center"/>
          </w:tcPr>
          <w:p w14:paraId="4361CDEC">
            <w:pPr>
              <w:widowControl/>
              <w:spacing w:line="240" w:lineRule="auto"/>
              <w:ind w:firstLine="0" w:firstLineChars="0"/>
              <w:jc w:val="center"/>
              <w:textAlignment w:val="center"/>
              <w:rPr>
                <w:b/>
                <w:color w:val="auto"/>
                <w:kern w:val="24"/>
                <w:sz w:val="21"/>
                <w:szCs w:val="21"/>
              </w:rPr>
            </w:pPr>
            <w:r>
              <w:rPr>
                <w:rFonts w:hint="eastAsia"/>
                <w:b/>
                <w:color w:val="auto"/>
                <w:kern w:val="24"/>
                <w:sz w:val="21"/>
                <w:szCs w:val="21"/>
              </w:rPr>
              <w:t>拟建新增</w:t>
            </w:r>
          </w:p>
        </w:tc>
        <w:tc>
          <w:tcPr>
            <w:tcW w:w="735" w:type="pct"/>
            <w:tcBorders>
              <w:tl2br w:val="nil"/>
              <w:tr2bl w:val="nil"/>
            </w:tcBorders>
            <w:vAlign w:val="center"/>
          </w:tcPr>
          <w:p w14:paraId="49F18A9B">
            <w:pPr>
              <w:widowControl/>
              <w:spacing w:line="240" w:lineRule="auto"/>
              <w:ind w:firstLine="0" w:firstLineChars="0"/>
              <w:jc w:val="center"/>
              <w:textAlignment w:val="center"/>
              <w:rPr>
                <w:b/>
                <w:color w:val="auto"/>
                <w:kern w:val="24"/>
                <w:sz w:val="21"/>
                <w:szCs w:val="21"/>
              </w:rPr>
            </w:pPr>
            <w:r>
              <w:rPr>
                <w:rFonts w:hint="eastAsia"/>
                <w:b/>
                <w:color w:val="auto"/>
                <w:kern w:val="24"/>
                <w:sz w:val="21"/>
                <w:szCs w:val="21"/>
              </w:rPr>
              <w:t>拟建实施后全厂</w:t>
            </w:r>
          </w:p>
        </w:tc>
      </w:tr>
      <w:tr w14:paraId="0274B16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2AAEC8EA">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w:t>
            </w:r>
          </w:p>
        </w:tc>
        <w:tc>
          <w:tcPr>
            <w:tcW w:w="756" w:type="pct"/>
            <w:vMerge w:val="restart"/>
            <w:tcBorders>
              <w:tl2br w:val="nil"/>
              <w:tr2bl w:val="nil"/>
            </w:tcBorders>
            <w:vAlign w:val="center"/>
          </w:tcPr>
          <w:p w14:paraId="25269DB9">
            <w:pPr>
              <w:widowControl/>
              <w:spacing w:line="240" w:lineRule="auto"/>
              <w:ind w:firstLine="0" w:firstLineChars="0"/>
              <w:jc w:val="center"/>
              <w:textAlignment w:val="center"/>
              <w:rPr>
                <w:bCs/>
                <w:color w:val="auto"/>
                <w:kern w:val="24"/>
                <w:sz w:val="21"/>
                <w:szCs w:val="21"/>
              </w:rPr>
            </w:pPr>
            <w:r>
              <w:rPr>
                <w:bCs/>
                <w:color w:val="auto"/>
                <w:kern w:val="24"/>
                <w:sz w:val="21"/>
                <w:szCs w:val="21"/>
              </w:rPr>
              <w:t>盐酸(硫酸)苯肼、苯肼生产线</w:t>
            </w:r>
          </w:p>
        </w:tc>
        <w:tc>
          <w:tcPr>
            <w:tcW w:w="701" w:type="pct"/>
            <w:tcBorders>
              <w:tl2br w:val="nil"/>
              <w:tr2bl w:val="nil"/>
            </w:tcBorders>
            <w:vAlign w:val="center"/>
          </w:tcPr>
          <w:p w14:paraId="2C291BB8">
            <w:pPr>
              <w:widowControl/>
              <w:spacing w:line="240" w:lineRule="auto"/>
              <w:ind w:firstLine="0" w:firstLineChars="0"/>
              <w:jc w:val="center"/>
              <w:rPr>
                <w:color w:val="auto"/>
                <w:kern w:val="0"/>
                <w:sz w:val="21"/>
                <w:szCs w:val="21"/>
              </w:rPr>
            </w:pPr>
            <w:r>
              <w:rPr>
                <w:color w:val="auto"/>
                <w:kern w:val="0"/>
                <w:sz w:val="21"/>
                <w:szCs w:val="21"/>
              </w:rPr>
              <w:t>盐酸苯肼</w:t>
            </w:r>
          </w:p>
        </w:tc>
        <w:tc>
          <w:tcPr>
            <w:tcW w:w="756" w:type="pct"/>
            <w:tcBorders>
              <w:tl2br w:val="nil"/>
              <w:tr2bl w:val="nil"/>
            </w:tcBorders>
            <w:vAlign w:val="center"/>
          </w:tcPr>
          <w:p w14:paraId="615B0BEC">
            <w:pPr>
              <w:widowControl/>
              <w:spacing w:line="240" w:lineRule="auto"/>
              <w:ind w:firstLine="0" w:firstLineChars="0"/>
              <w:jc w:val="center"/>
              <w:textAlignment w:val="center"/>
              <w:rPr>
                <w:bCs/>
                <w:color w:val="auto"/>
                <w:kern w:val="24"/>
                <w:sz w:val="21"/>
                <w:szCs w:val="21"/>
              </w:rPr>
            </w:pPr>
            <w:r>
              <w:rPr>
                <w:color w:val="auto"/>
                <w:kern w:val="0"/>
                <w:sz w:val="21"/>
                <w:szCs w:val="21"/>
              </w:rPr>
              <w:t>88%、96%、99%</w:t>
            </w:r>
          </w:p>
        </w:tc>
        <w:tc>
          <w:tcPr>
            <w:tcW w:w="624" w:type="pct"/>
            <w:tcBorders>
              <w:tl2br w:val="nil"/>
              <w:tr2bl w:val="nil"/>
            </w:tcBorders>
            <w:vAlign w:val="center"/>
          </w:tcPr>
          <w:p w14:paraId="5F551169">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1CD20E15">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2EF57E74">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59D957BF">
            <w:pPr>
              <w:widowControl/>
              <w:spacing w:line="240" w:lineRule="auto"/>
              <w:ind w:firstLine="0" w:firstLineChars="0"/>
              <w:jc w:val="center"/>
              <w:textAlignment w:val="center"/>
              <w:rPr>
                <w:color w:val="auto"/>
                <w:kern w:val="0"/>
                <w:sz w:val="21"/>
                <w:szCs w:val="21"/>
              </w:rPr>
            </w:pPr>
          </w:p>
        </w:tc>
      </w:tr>
      <w:tr w14:paraId="3DF7BAC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10545D0A">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2</w:t>
            </w:r>
          </w:p>
        </w:tc>
        <w:tc>
          <w:tcPr>
            <w:tcW w:w="756" w:type="pct"/>
            <w:vMerge w:val="continue"/>
            <w:tcBorders>
              <w:tl2br w:val="nil"/>
              <w:tr2bl w:val="nil"/>
            </w:tcBorders>
            <w:vAlign w:val="center"/>
          </w:tcPr>
          <w:p w14:paraId="714DAE83">
            <w:pPr>
              <w:widowControl/>
              <w:spacing w:line="240" w:lineRule="auto"/>
              <w:ind w:firstLine="0" w:firstLineChars="0"/>
              <w:jc w:val="center"/>
              <w:textAlignment w:val="center"/>
              <w:rPr>
                <w:bCs/>
                <w:color w:val="auto"/>
                <w:kern w:val="24"/>
                <w:sz w:val="21"/>
                <w:szCs w:val="21"/>
              </w:rPr>
            </w:pPr>
          </w:p>
        </w:tc>
        <w:tc>
          <w:tcPr>
            <w:tcW w:w="701" w:type="pct"/>
            <w:tcBorders>
              <w:tl2br w:val="nil"/>
              <w:tr2bl w:val="nil"/>
            </w:tcBorders>
            <w:vAlign w:val="center"/>
          </w:tcPr>
          <w:p w14:paraId="28968787">
            <w:pPr>
              <w:widowControl/>
              <w:spacing w:line="240" w:lineRule="auto"/>
              <w:ind w:firstLine="0" w:firstLineChars="0"/>
              <w:jc w:val="center"/>
              <w:rPr>
                <w:color w:val="auto"/>
                <w:kern w:val="0"/>
                <w:sz w:val="21"/>
                <w:szCs w:val="21"/>
              </w:rPr>
            </w:pPr>
            <w:r>
              <w:rPr>
                <w:color w:val="auto"/>
                <w:kern w:val="0"/>
                <w:sz w:val="21"/>
                <w:szCs w:val="21"/>
              </w:rPr>
              <w:t>硫酸苯肼</w:t>
            </w:r>
          </w:p>
        </w:tc>
        <w:tc>
          <w:tcPr>
            <w:tcW w:w="756" w:type="pct"/>
            <w:tcBorders>
              <w:tl2br w:val="nil"/>
              <w:tr2bl w:val="nil"/>
            </w:tcBorders>
            <w:vAlign w:val="center"/>
          </w:tcPr>
          <w:p w14:paraId="28B14FCC">
            <w:pPr>
              <w:widowControl/>
              <w:spacing w:line="240" w:lineRule="auto"/>
              <w:ind w:firstLine="0" w:firstLineChars="0"/>
              <w:jc w:val="center"/>
              <w:textAlignment w:val="center"/>
              <w:rPr>
                <w:bCs/>
                <w:color w:val="auto"/>
                <w:kern w:val="24"/>
                <w:sz w:val="21"/>
                <w:szCs w:val="21"/>
              </w:rPr>
            </w:pPr>
            <w:r>
              <w:rPr>
                <w:color w:val="auto"/>
                <w:kern w:val="0"/>
                <w:sz w:val="21"/>
                <w:szCs w:val="21"/>
              </w:rPr>
              <w:t>98%</w:t>
            </w:r>
          </w:p>
        </w:tc>
        <w:tc>
          <w:tcPr>
            <w:tcW w:w="624" w:type="pct"/>
            <w:tcBorders>
              <w:tl2br w:val="nil"/>
              <w:tr2bl w:val="nil"/>
            </w:tcBorders>
            <w:vAlign w:val="center"/>
          </w:tcPr>
          <w:p w14:paraId="05812174">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503E8B7F">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5032B811">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5BB36B5F">
            <w:pPr>
              <w:widowControl/>
              <w:spacing w:line="240" w:lineRule="auto"/>
              <w:ind w:firstLine="0" w:firstLineChars="0"/>
              <w:jc w:val="center"/>
              <w:textAlignment w:val="center"/>
              <w:rPr>
                <w:color w:val="auto"/>
                <w:kern w:val="0"/>
                <w:sz w:val="21"/>
                <w:szCs w:val="21"/>
              </w:rPr>
            </w:pPr>
          </w:p>
        </w:tc>
      </w:tr>
      <w:tr w14:paraId="0A2A832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3CAB03D7">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3</w:t>
            </w:r>
          </w:p>
        </w:tc>
        <w:tc>
          <w:tcPr>
            <w:tcW w:w="756" w:type="pct"/>
            <w:tcBorders>
              <w:tl2br w:val="nil"/>
              <w:tr2bl w:val="nil"/>
            </w:tcBorders>
            <w:vAlign w:val="center"/>
          </w:tcPr>
          <w:p w14:paraId="779BA8CE">
            <w:pPr>
              <w:widowControl/>
              <w:spacing w:line="240" w:lineRule="auto"/>
              <w:ind w:firstLine="0" w:firstLineChars="0"/>
              <w:jc w:val="center"/>
              <w:textAlignment w:val="center"/>
              <w:rPr>
                <w:bCs/>
                <w:color w:val="auto"/>
                <w:kern w:val="24"/>
                <w:sz w:val="21"/>
                <w:szCs w:val="21"/>
              </w:rPr>
            </w:pPr>
            <w:r>
              <w:rPr>
                <w:bCs/>
                <w:color w:val="auto"/>
                <w:kern w:val="24"/>
                <w:sz w:val="21"/>
                <w:szCs w:val="21"/>
              </w:rPr>
              <w:t>苯肼生产线</w:t>
            </w:r>
          </w:p>
        </w:tc>
        <w:tc>
          <w:tcPr>
            <w:tcW w:w="701" w:type="pct"/>
            <w:tcBorders>
              <w:tl2br w:val="nil"/>
              <w:tr2bl w:val="nil"/>
            </w:tcBorders>
            <w:vAlign w:val="center"/>
          </w:tcPr>
          <w:p w14:paraId="25EA6017">
            <w:pPr>
              <w:widowControl/>
              <w:spacing w:line="240" w:lineRule="auto"/>
              <w:ind w:firstLine="0" w:firstLineChars="0"/>
              <w:jc w:val="center"/>
              <w:rPr>
                <w:color w:val="auto"/>
                <w:kern w:val="0"/>
                <w:sz w:val="21"/>
                <w:szCs w:val="21"/>
              </w:rPr>
            </w:pPr>
            <w:r>
              <w:rPr>
                <w:color w:val="auto"/>
                <w:kern w:val="0"/>
                <w:sz w:val="21"/>
                <w:szCs w:val="21"/>
              </w:rPr>
              <w:t>苯肼</w:t>
            </w:r>
          </w:p>
        </w:tc>
        <w:tc>
          <w:tcPr>
            <w:tcW w:w="756" w:type="pct"/>
            <w:tcBorders>
              <w:tl2br w:val="nil"/>
              <w:tr2bl w:val="nil"/>
            </w:tcBorders>
            <w:vAlign w:val="center"/>
          </w:tcPr>
          <w:p w14:paraId="4885A9BC">
            <w:pPr>
              <w:widowControl/>
              <w:spacing w:line="240" w:lineRule="auto"/>
              <w:ind w:firstLine="0" w:firstLineChars="0"/>
              <w:jc w:val="center"/>
              <w:textAlignment w:val="center"/>
              <w:rPr>
                <w:bCs/>
                <w:color w:val="auto"/>
                <w:kern w:val="24"/>
                <w:sz w:val="21"/>
                <w:szCs w:val="21"/>
              </w:rPr>
            </w:pPr>
            <w:r>
              <w:rPr>
                <w:color w:val="auto"/>
                <w:kern w:val="0"/>
                <w:sz w:val="21"/>
                <w:szCs w:val="21"/>
              </w:rPr>
              <w:t>92%、96%、99.7%</w:t>
            </w:r>
          </w:p>
        </w:tc>
        <w:tc>
          <w:tcPr>
            <w:tcW w:w="624" w:type="pct"/>
            <w:tcBorders>
              <w:tl2br w:val="nil"/>
              <w:tr2bl w:val="nil"/>
            </w:tcBorders>
            <w:vAlign w:val="center"/>
          </w:tcPr>
          <w:p w14:paraId="0BB70664">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7DCC2611">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2042B932">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3172DB1C">
            <w:pPr>
              <w:widowControl/>
              <w:spacing w:line="240" w:lineRule="auto"/>
              <w:ind w:firstLine="0" w:firstLineChars="0"/>
              <w:jc w:val="center"/>
              <w:textAlignment w:val="center"/>
              <w:rPr>
                <w:color w:val="auto"/>
                <w:kern w:val="0"/>
                <w:sz w:val="21"/>
                <w:szCs w:val="21"/>
              </w:rPr>
            </w:pPr>
          </w:p>
        </w:tc>
      </w:tr>
      <w:tr w14:paraId="72D0459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7425E26F">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4</w:t>
            </w:r>
          </w:p>
        </w:tc>
        <w:tc>
          <w:tcPr>
            <w:tcW w:w="756" w:type="pct"/>
            <w:tcBorders>
              <w:tl2br w:val="nil"/>
              <w:tr2bl w:val="nil"/>
            </w:tcBorders>
            <w:vAlign w:val="center"/>
          </w:tcPr>
          <w:p w14:paraId="7EBFD6E3">
            <w:pPr>
              <w:widowControl/>
              <w:spacing w:line="240" w:lineRule="auto"/>
              <w:ind w:firstLine="0" w:firstLineChars="0"/>
              <w:jc w:val="center"/>
              <w:textAlignment w:val="center"/>
              <w:rPr>
                <w:bCs/>
                <w:color w:val="auto"/>
                <w:kern w:val="24"/>
                <w:sz w:val="21"/>
                <w:szCs w:val="21"/>
              </w:rPr>
            </w:pPr>
            <w:r>
              <w:rPr>
                <w:bCs/>
                <w:color w:val="auto"/>
                <w:kern w:val="24"/>
                <w:sz w:val="21"/>
                <w:szCs w:val="21"/>
              </w:rPr>
              <w:t>乙酰丙酮生产线</w:t>
            </w:r>
          </w:p>
        </w:tc>
        <w:tc>
          <w:tcPr>
            <w:tcW w:w="701" w:type="pct"/>
            <w:tcBorders>
              <w:tl2br w:val="nil"/>
              <w:tr2bl w:val="nil"/>
            </w:tcBorders>
            <w:vAlign w:val="center"/>
          </w:tcPr>
          <w:p w14:paraId="13EE42C2">
            <w:pPr>
              <w:widowControl/>
              <w:spacing w:line="240" w:lineRule="auto"/>
              <w:ind w:firstLine="0" w:firstLineChars="0"/>
              <w:jc w:val="center"/>
              <w:rPr>
                <w:color w:val="auto"/>
                <w:kern w:val="0"/>
                <w:sz w:val="21"/>
                <w:szCs w:val="21"/>
              </w:rPr>
            </w:pPr>
            <w:r>
              <w:rPr>
                <w:color w:val="auto"/>
                <w:kern w:val="0"/>
                <w:sz w:val="21"/>
                <w:szCs w:val="21"/>
              </w:rPr>
              <w:t>乙酰丙酮</w:t>
            </w:r>
          </w:p>
        </w:tc>
        <w:tc>
          <w:tcPr>
            <w:tcW w:w="756" w:type="pct"/>
            <w:tcBorders>
              <w:tl2br w:val="nil"/>
              <w:tr2bl w:val="nil"/>
            </w:tcBorders>
            <w:vAlign w:val="center"/>
          </w:tcPr>
          <w:p w14:paraId="18E792DD">
            <w:pPr>
              <w:widowControl/>
              <w:spacing w:line="240" w:lineRule="auto"/>
              <w:ind w:firstLine="0" w:firstLineChars="0"/>
              <w:jc w:val="center"/>
              <w:textAlignment w:val="center"/>
              <w:rPr>
                <w:bCs/>
                <w:color w:val="auto"/>
                <w:kern w:val="24"/>
                <w:sz w:val="21"/>
                <w:szCs w:val="21"/>
              </w:rPr>
            </w:pPr>
            <w:r>
              <w:rPr>
                <w:color w:val="auto"/>
                <w:kern w:val="0"/>
                <w:sz w:val="21"/>
                <w:szCs w:val="21"/>
              </w:rPr>
              <w:t>99.5%</w:t>
            </w:r>
          </w:p>
        </w:tc>
        <w:tc>
          <w:tcPr>
            <w:tcW w:w="624" w:type="pct"/>
            <w:tcBorders>
              <w:tl2br w:val="nil"/>
              <w:tr2bl w:val="nil"/>
            </w:tcBorders>
            <w:vAlign w:val="center"/>
          </w:tcPr>
          <w:p w14:paraId="7C4BA5FE">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27166973">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71862B6B">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26D87C6B">
            <w:pPr>
              <w:widowControl/>
              <w:spacing w:line="240" w:lineRule="auto"/>
              <w:ind w:firstLine="0" w:firstLineChars="0"/>
              <w:jc w:val="center"/>
              <w:textAlignment w:val="center"/>
              <w:rPr>
                <w:color w:val="auto"/>
                <w:kern w:val="0"/>
                <w:sz w:val="21"/>
                <w:szCs w:val="21"/>
              </w:rPr>
            </w:pPr>
          </w:p>
        </w:tc>
      </w:tr>
      <w:tr w14:paraId="5DFE81F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52F106CF">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5</w:t>
            </w:r>
          </w:p>
        </w:tc>
        <w:tc>
          <w:tcPr>
            <w:tcW w:w="756" w:type="pct"/>
            <w:tcBorders>
              <w:tl2br w:val="nil"/>
              <w:tr2bl w:val="nil"/>
            </w:tcBorders>
            <w:vAlign w:val="center"/>
          </w:tcPr>
          <w:p w14:paraId="697AF2F6">
            <w:pPr>
              <w:widowControl/>
              <w:spacing w:line="240" w:lineRule="auto"/>
              <w:ind w:firstLine="0" w:firstLineChars="0"/>
              <w:jc w:val="center"/>
              <w:textAlignment w:val="center"/>
              <w:rPr>
                <w:bCs/>
                <w:color w:val="auto"/>
                <w:kern w:val="24"/>
                <w:sz w:val="21"/>
                <w:szCs w:val="21"/>
              </w:rPr>
            </w:pPr>
            <w:r>
              <w:rPr>
                <w:bCs/>
                <w:color w:val="auto"/>
                <w:kern w:val="24"/>
                <w:sz w:val="21"/>
                <w:szCs w:val="21"/>
              </w:rPr>
              <w:t>1,3,5-吡唑酮生产线</w:t>
            </w:r>
          </w:p>
        </w:tc>
        <w:tc>
          <w:tcPr>
            <w:tcW w:w="701" w:type="pct"/>
            <w:tcBorders>
              <w:tl2br w:val="nil"/>
              <w:tr2bl w:val="nil"/>
            </w:tcBorders>
            <w:vAlign w:val="center"/>
          </w:tcPr>
          <w:p w14:paraId="54A61C5C">
            <w:pPr>
              <w:widowControl/>
              <w:spacing w:line="240" w:lineRule="auto"/>
              <w:ind w:firstLine="0" w:firstLineChars="0"/>
              <w:jc w:val="center"/>
              <w:rPr>
                <w:color w:val="auto"/>
                <w:kern w:val="0"/>
                <w:sz w:val="21"/>
                <w:szCs w:val="21"/>
              </w:rPr>
            </w:pPr>
            <w:r>
              <w:rPr>
                <w:color w:val="auto"/>
                <w:kern w:val="0"/>
                <w:sz w:val="21"/>
                <w:szCs w:val="21"/>
              </w:rPr>
              <w:t>1,3,5-吡唑酮</w:t>
            </w:r>
          </w:p>
        </w:tc>
        <w:tc>
          <w:tcPr>
            <w:tcW w:w="756" w:type="pct"/>
            <w:tcBorders>
              <w:tl2br w:val="nil"/>
              <w:tr2bl w:val="nil"/>
            </w:tcBorders>
            <w:vAlign w:val="center"/>
          </w:tcPr>
          <w:p w14:paraId="42228B34">
            <w:pPr>
              <w:widowControl/>
              <w:spacing w:line="240" w:lineRule="auto"/>
              <w:ind w:firstLine="0" w:firstLineChars="0"/>
              <w:jc w:val="center"/>
              <w:textAlignment w:val="center"/>
              <w:rPr>
                <w:bCs/>
                <w:color w:val="auto"/>
                <w:kern w:val="24"/>
                <w:sz w:val="21"/>
                <w:szCs w:val="21"/>
              </w:rPr>
            </w:pPr>
            <w:r>
              <w:rPr>
                <w:color w:val="auto"/>
                <w:kern w:val="0"/>
                <w:sz w:val="21"/>
                <w:szCs w:val="21"/>
              </w:rPr>
              <w:t>99%</w:t>
            </w:r>
          </w:p>
        </w:tc>
        <w:tc>
          <w:tcPr>
            <w:tcW w:w="624" w:type="pct"/>
            <w:tcBorders>
              <w:tl2br w:val="nil"/>
              <w:tr2bl w:val="nil"/>
            </w:tcBorders>
            <w:vAlign w:val="center"/>
          </w:tcPr>
          <w:p w14:paraId="0950BA5E">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4B0A1E9F">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48902B20">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3B711937">
            <w:pPr>
              <w:widowControl/>
              <w:spacing w:line="240" w:lineRule="auto"/>
              <w:ind w:firstLine="0" w:firstLineChars="0"/>
              <w:jc w:val="center"/>
              <w:textAlignment w:val="center"/>
              <w:rPr>
                <w:color w:val="auto"/>
                <w:kern w:val="0"/>
                <w:sz w:val="21"/>
                <w:szCs w:val="21"/>
              </w:rPr>
            </w:pPr>
          </w:p>
        </w:tc>
      </w:tr>
      <w:tr w14:paraId="7F1C368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5417891F">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6</w:t>
            </w:r>
          </w:p>
        </w:tc>
        <w:tc>
          <w:tcPr>
            <w:tcW w:w="756" w:type="pct"/>
            <w:tcBorders>
              <w:tl2br w:val="nil"/>
              <w:tr2bl w:val="nil"/>
            </w:tcBorders>
            <w:vAlign w:val="center"/>
          </w:tcPr>
          <w:p w14:paraId="6DAE4F26">
            <w:pPr>
              <w:widowControl/>
              <w:spacing w:line="240" w:lineRule="auto"/>
              <w:ind w:firstLine="0" w:firstLineChars="0"/>
              <w:jc w:val="center"/>
              <w:textAlignment w:val="center"/>
              <w:rPr>
                <w:bCs/>
                <w:color w:val="auto"/>
                <w:kern w:val="24"/>
                <w:sz w:val="21"/>
                <w:szCs w:val="21"/>
              </w:rPr>
            </w:pPr>
            <w:r>
              <w:rPr>
                <w:bCs/>
                <w:color w:val="auto"/>
                <w:kern w:val="24"/>
                <w:sz w:val="21"/>
                <w:szCs w:val="21"/>
              </w:rPr>
              <w:t>苯唑醇生产线</w:t>
            </w:r>
          </w:p>
        </w:tc>
        <w:tc>
          <w:tcPr>
            <w:tcW w:w="701" w:type="pct"/>
            <w:tcBorders>
              <w:tl2br w:val="nil"/>
              <w:tr2bl w:val="nil"/>
            </w:tcBorders>
            <w:vAlign w:val="center"/>
          </w:tcPr>
          <w:p w14:paraId="5C6D0184">
            <w:pPr>
              <w:widowControl/>
              <w:spacing w:line="240" w:lineRule="auto"/>
              <w:ind w:firstLine="0" w:firstLineChars="0"/>
              <w:jc w:val="center"/>
              <w:rPr>
                <w:color w:val="auto"/>
                <w:kern w:val="0"/>
                <w:sz w:val="21"/>
                <w:szCs w:val="21"/>
              </w:rPr>
            </w:pPr>
            <w:r>
              <w:rPr>
                <w:color w:val="auto"/>
                <w:kern w:val="0"/>
                <w:sz w:val="21"/>
                <w:szCs w:val="21"/>
              </w:rPr>
              <w:t>苯唑醇</w:t>
            </w:r>
          </w:p>
        </w:tc>
        <w:tc>
          <w:tcPr>
            <w:tcW w:w="756" w:type="pct"/>
            <w:tcBorders>
              <w:tl2br w:val="nil"/>
              <w:tr2bl w:val="nil"/>
            </w:tcBorders>
            <w:vAlign w:val="center"/>
          </w:tcPr>
          <w:p w14:paraId="02493FA9">
            <w:pPr>
              <w:widowControl/>
              <w:spacing w:line="240" w:lineRule="auto"/>
              <w:ind w:firstLine="0" w:firstLineChars="0"/>
              <w:jc w:val="center"/>
              <w:textAlignment w:val="center"/>
              <w:rPr>
                <w:bCs/>
                <w:color w:val="auto"/>
                <w:kern w:val="24"/>
                <w:sz w:val="21"/>
                <w:szCs w:val="21"/>
              </w:rPr>
            </w:pPr>
            <w:r>
              <w:rPr>
                <w:color w:val="auto"/>
                <w:kern w:val="0"/>
                <w:sz w:val="21"/>
                <w:szCs w:val="21"/>
              </w:rPr>
              <w:t>98.5%、99%</w:t>
            </w:r>
          </w:p>
        </w:tc>
        <w:tc>
          <w:tcPr>
            <w:tcW w:w="624" w:type="pct"/>
            <w:tcBorders>
              <w:tl2br w:val="nil"/>
              <w:tr2bl w:val="nil"/>
            </w:tcBorders>
            <w:vAlign w:val="center"/>
          </w:tcPr>
          <w:p w14:paraId="04125EFD">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1BCC7B13">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212FF63E">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09EF1559">
            <w:pPr>
              <w:widowControl/>
              <w:spacing w:line="240" w:lineRule="auto"/>
              <w:ind w:firstLine="0" w:firstLineChars="0"/>
              <w:jc w:val="center"/>
              <w:textAlignment w:val="center"/>
              <w:rPr>
                <w:color w:val="auto"/>
                <w:kern w:val="0"/>
                <w:sz w:val="21"/>
                <w:szCs w:val="21"/>
              </w:rPr>
            </w:pPr>
          </w:p>
        </w:tc>
      </w:tr>
      <w:tr w14:paraId="4903F1C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2B89B1DE">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7</w:t>
            </w:r>
          </w:p>
        </w:tc>
        <w:tc>
          <w:tcPr>
            <w:tcW w:w="756" w:type="pct"/>
            <w:tcBorders>
              <w:tl2br w:val="nil"/>
              <w:tr2bl w:val="nil"/>
            </w:tcBorders>
            <w:vAlign w:val="center"/>
          </w:tcPr>
          <w:p w14:paraId="518EF8A5">
            <w:pPr>
              <w:widowControl/>
              <w:spacing w:line="240" w:lineRule="auto"/>
              <w:ind w:firstLine="0" w:firstLineChars="0"/>
              <w:jc w:val="center"/>
              <w:textAlignment w:val="center"/>
              <w:rPr>
                <w:bCs/>
                <w:color w:val="auto"/>
                <w:kern w:val="24"/>
                <w:sz w:val="21"/>
                <w:szCs w:val="21"/>
              </w:rPr>
            </w:pPr>
            <w:r>
              <w:rPr>
                <w:bCs/>
                <w:color w:val="auto"/>
                <w:kern w:val="24"/>
                <w:sz w:val="21"/>
                <w:szCs w:val="21"/>
              </w:rPr>
              <w:t>亚硫酸氢铵产品生产线</w:t>
            </w:r>
          </w:p>
        </w:tc>
        <w:tc>
          <w:tcPr>
            <w:tcW w:w="701" w:type="pct"/>
            <w:tcBorders>
              <w:tl2br w:val="nil"/>
              <w:tr2bl w:val="nil"/>
            </w:tcBorders>
            <w:vAlign w:val="center"/>
          </w:tcPr>
          <w:p w14:paraId="5BF6234F">
            <w:pPr>
              <w:widowControl/>
              <w:spacing w:line="240" w:lineRule="auto"/>
              <w:ind w:firstLine="0" w:firstLineChars="0"/>
              <w:jc w:val="center"/>
              <w:rPr>
                <w:color w:val="auto"/>
                <w:kern w:val="0"/>
                <w:sz w:val="21"/>
                <w:szCs w:val="21"/>
              </w:rPr>
            </w:pPr>
            <w:r>
              <w:rPr>
                <w:color w:val="auto"/>
                <w:kern w:val="0"/>
                <w:sz w:val="21"/>
                <w:szCs w:val="21"/>
              </w:rPr>
              <w:t>亚硫酸氢铵</w:t>
            </w:r>
          </w:p>
        </w:tc>
        <w:tc>
          <w:tcPr>
            <w:tcW w:w="756" w:type="pct"/>
            <w:tcBorders>
              <w:tl2br w:val="nil"/>
              <w:tr2bl w:val="nil"/>
            </w:tcBorders>
            <w:vAlign w:val="center"/>
          </w:tcPr>
          <w:p w14:paraId="5224D69A">
            <w:pPr>
              <w:widowControl/>
              <w:spacing w:line="240" w:lineRule="auto"/>
              <w:ind w:firstLine="0" w:firstLineChars="0"/>
              <w:jc w:val="center"/>
              <w:textAlignment w:val="center"/>
              <w:rPr>
                <w:bCs/>
                <w:color w:val="auto"/>
                <w:kern w:val="24"/>
                <w:sz w:val="21"/>
                <w:szCs w:val="21"/>
              </w:rPr>
            </w:pPr>
            <w:r>
              <w:rPr>
                <w:color w:val="auto"/>
                <w:kern w:val="0"/>
                <w:sz w:val="21"/>
                <w:szCs w:val="21"/>
              </w:rPr>
              <w:t>70%</w:t>
            </w:r>
          </w:p>
        </w:tc>
        <w:tc>
          <w:tcPr>
            <w:tcW w:w="624" w:type="pct"/>
            <w:tcBorders>
              <w:tl2br w:val="nil"/>
              <w:tr2bl w:val="nil"/>
            </w:tcBorders>
            <w:vAlign w:val="center"/>
          </w:tcPr>
          <w:p w14:paraId="60B2C3F8">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0EBB4B41">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0FF0299F">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7C318C56">
            <w:pPr>
              <w:widowControl/>
              <w:spacing w:line="240" w:lineRule="auto"/>
              <w:ind w:firstLine="0" w:firstLineChars="0"/>
              <w:jc w:val="center"/>
              <w:textAlignment w:val="center"/>
              <w:rPr>
                <w:color w:val="auto"/>
                <w:kern w:val="0"/>
                <w:sz w:val="21"/>
                <w:szCs w:val="21"/>
              </w:rPr>
            </w:pPr>
          </w:p>
        </w:tc>
      </w:tr>
      <w:tr w14:paraId="62BED3B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57D6A7CA">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8</w:t>
            </w:r>
          </w:p>
        </w:tc>
        <w:tc>
          <w:tcPr>
            <w:tcW w:w="756" w:type="pct"/>
            <w:tcBorders>
              <w:tl2br w:val="nil"/>
              <w:tr2bl w:val="nil"/>
            </w:tcBorders>
            <w:vAlign w:val="center"/>
          </w:tcPr>
          <w:p w14:paraId="247EC5DA">
            <w:pPr>
              <w:widowControl/>
              <w:spacing w:line="240" w:lineRule="auto"/>
              <w:ind w:firstLine="0" w:firstLineChars="0"/>
              <w:jc w:val="center"/>
              <w:textAlignment w:val="center"/>
              <w:rPr>
                <w:bCs/>
                <w:color w:val="auto"/>
                <w:kern w:val="24"/>
                <w:sz w:val="21"/>
                <w:szCs w:val="21"/>
              </w:rPr>
            </w:pPr>
            <w:r>
              <w:rPr>
                <w:bCs/>
                <w:color w:val="auto"/>
                <w:kern w:val="24"/>
                <w:sz w:val="21"/>
                <w:szCs w:val="21"/>
              </w:rPr>
              <w:t>硫代硫酸钠产品生产线</w:t>
            </w:r>
          </w:p>
        </w:tc>
        <w:tc>
          <w:tcPr>
            <w:tcW w:w="701" w:type="pct"/>
            <w:tcBorders>
              <w:tl2br w:val="nil"/>
              <w:tr2bl w:val="nil"/>
            </w:tcBorders>
            <w:vAlign w:val="center"/>
          </w:tcPr>
          <w:p w14:paraId="6C019103">
            <w:pPr>
              <w:widowControl/>
              <w:spacing w:line="240" w:lineRule="auto"/>
              <w:ind w:firstLine="0" w:firstLineChars="0"/>
              <w:jc w:val="center"/>
              <w:rPr>
                <w:color w:val="auto"/>
                <w:kern w:val="0"/>
                <w:sz w:val="21"/>
                <w:szCs w:val="21"/>
              </w:rPr>
            </w:pPr>
            <w:r>
              <w:rPr>
                <w:color w:val="auto"/>
                <w:kern w:val="0"/>
                <w:sz w:val="21"/>
                <w:szCs w:val="21"/>
              </w:rPr>
              <w:t>硫代硫酸钠</w:t>
            </w:r>
          </w:p>
        </w:tc>
        <w:tc>
          <w:tcPr>
            <w:tcW w:w="756" w:type="pct"/>
            <w:tcBorders>
              <w:tl2br w:val="nil"/>
              <w:tr2bl w:val="nil"/>
            </w:tcBorders>
            <w:vAlign w:val="center"/>
          </w:tcPr>
          <w:p w14:paraId="2721F188">
            <w:pPr>
              <w:widowControl/>
              <w:spacing w:line="240" w:lineRule="auto"/>
              <w:ind w:firstLine="0" w:firstLineChars="0"/>
              <w:jc w:val="center"/>
              <w:textAlignment w:val="center"/>
              <w:rPr>
                <w:bCs/>
                <w:color w:val="auto"/>
                <w:kern w:val="24"/>
                <w:sz w:val="21"/>
                <w:szCs w:val="21"/>
              </w:rPr>
            </w:pPr>
            <w:r>
              <w:rPr>
                <w:color w:val="auto"/>
                <w:kern w:val="0"/>
                <w:sz w:val="21"/>
                <w:szCs w:val="21"/>
              </w:rPr>
              <w:t>99.5%</w:t>
            </w:r>
          </w:p>
        </w:tc>
        <w:tc>
          <w:tcPr>
            <w:tcW w:w="624" w:type="pct"/>
            <w:tcBorders>
              <w:tl2br w:val="nil"/>
              <w:tr2bl w:val="nil"/>
            </w:tcBorders>
            <w:vAlign w:val="center"/>
          </w:tcPr>
          <w:p w14:paraId="3457D431">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34DFDAC2">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3F7B0339">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420E4FF5">
            <w:pPr>
              <w:widowControl/>
              <w:spacing w:line="240" w:lineRule="auto"/>
              <w:ind w:firstLine="0" w:firstLineChars="0"/>
              <w:jc w:val="center"/>
              <w:textAlignment w:val="center"/>
              <w:rPr>
                <w:color w:val="auto"/>
                <w:kern w:val="0"/>
                <w:sz w:val="21"/>
                <w:szCs w:val="21"/>
              </w:rPr>
            </w:pPr>
          </w:p>
        </w:tc>
      </w:tr>
      <w:tr w14:paraId="670E07A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37937987">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9</w:t>
            </w:r>
          </w:p>
        </w:tc>
        <w:tc>
          <w:tcPr>
            <w:tcW w:w="756" w:type="pct"/>
            <w:vMerge w:val="restart"/>
            <w:tcBorders>
              <w:tl2br w:val="nil"/>
              <w:tr2bl w:val="nil"/>
            </w:tcBorders>
            <w:vAlign w:val="center"/>
          </w:tcPr>
          <w:p w14:paraId="34FA57EE">
            <w:pPr>
              <w:widowControl/>
              <w:spacing w:line="240" w:lineRule="auto"/>
              <w:ind w:firstLine="0" w:firstLineChars="0"/>
              <w:jc w:val="center"/>
              <w:textAlignment w:val="center"/>
              <w:rPr>
                <w:bCs/>
                <w:color w:val="auto"/>
                <w:kern w:val="24"/>
                <w:sz w:val="21"/>
                <w:szCs w:val="21"/>
              </w:rPr>
            </w:pPr>
            <w:r>
              <w:rPr>
                <w:bCs/>
                <w:color w:val="auto"/>
                <w:kern w:val="24"/>
                <w:sz w:val="21"/>
                <w:szCs w:val="21"/>
              </w:rPr>
              <w:t>依达拉奉生产线</w:t>
            </w:r>
          </w:p>
        </w:tc>
        <w:tc>
          <w:tcPr>
            <w:tcW w:w="701" w:type="pct"/>
            <w:tcBorders>
              <w:tl2br w:val="nil"/>
              <w:tr2bl w:val="nil"/>
            </w:tcBorders>
            <w:vAlign w:val="center"/>
          </w:tcPr>
          <w:p w14:paraId="1E231D86">
            <w:pPr>
              <w:widowControl/>
              <w:spacing w:line="240" w:lineRule="auto"/>
              <w:ind w:firstLine="0" w:firstLineChars="0"/>
              <w:jc w:val="center"/>
              <w:rPr>
                <w:color w:val="auto"/>
                <w:kern w:val="0"/>
                <w:sz w:val="21"/>
                <w:szCs w:val="21"/>
              </w:rPr>
            </w:pPr>
            <w:r>
              <w:rPr>
                <w:color w:val="auto"/>
                <w:kern w:val="0"/>
                <w:sz w:val="21"/>
                <w:szCs w:val="21"/>
              </w:rPr>
              <w:t>依达拉奉</w:t>
            </w:r>
          </w:p>
        </w:tc>
        <w:tc>
          <w:tcPr>
            <w:tcW w:w="756" w:type="pct"/>
            <w:tcBorders>
              <w:tl2br w:val="nil"/>
              <w:tr2bl w:val="nil"/>
            </w:tcBorders>
            <w:vAlign w:val="center"/>
          </w:tcPr>
          <w:p w14:paraId="7615A17A">
            <w:pPr>
              <w:widowControl/>
              <w:spacing w:line="240" w:lineRule="auto"/>
              <w:ind w:firstLine="0" w:firstLineChars="0"/>
              <w:jc w:val="center"/>
              <w:textAlignment w:val="center"/>
              <w:rPr>
                <w:bCs/>
                <w:color w:val="auto"/>
                <w:kern w:val="24"/>
                <w:sz w:val="21"/>
                <w:szCs w:val="21"/>
              </w:rPr>
            </w:pPr>
            <w:r>
              <w:rPr>
                <w:color w:val="auto"/>
                <w:kern w:val="0"/>
                <w:sz w:val="21"/>
                <w:szCs w:val="21"/>
              </w:rPr>
              <w:t>99.5%</w:t>
            </w:r>
          </w:p>
        </w:tc>
        <w:tc>
          <w:tcPr>
            <w:tcW w:w="624" w:type="pct"/>
            <w:tcBorders>
              <w:tl2br w:val="nil"/>
              <w:tr2bl w:val="nil"/>
            </w:tcBorders>
            <w:vAlign w:val="center"/>
          </w:tcPr>
          <w:p w14:paraId="03AEE942">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67612FF7">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0C2450F5">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7CAC240D">
            <w:pPr>
              <w:widowControl/>
              <w:spacing w:line="240" w:lineRule="auto"/>
              <w:ind w:firstLine="0" w:firstLineChars="0"/>
              <w:jc w:val="center"/>
              <w:textAlignment w:val="center"/>
              <w:rPr>
                <w:color w:val="auto"/>
                <w:kern w:val="0"/>
                <w:sz w:val="21"/>
                <w:szCs w:val="21"/>
              </w:rPr>
            </w:pPr>
          </w:p>
        </w:tc>
      </w:tr>
      <w:tr w14:paraId="7594D2E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7" w:hRule="atLeast"/>
          <w:jc w:val="center"/>
        </w:trPr>
        <w:tc>
          <w:tcPr>
            <w:tcW w:w="263" w:type="pct"/>
            <w:tcBorders>
              <w:tl2br w:val="nil"/>
              <w:tr2bl w:val="nil"/>
            </w:tcBorders>
            <w:vAlign w:val="center"/>
          </w:tcPr>
          <w:p w14:paraId="7D8C436F">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10</w:t>
            </w:r>
          </w:p>
        </w:tc>
        <w:tc>
          <w:tcPr>
            <w:tcW w:w="756" w:type="pct"/>
            <w:vMerge w:val="continue"/>
            <w:tcBorders>
              <w:tl2br w:val="nil"/>
              <w:tr2bl w:val="nil"/>
            </w:tcBorders>
            <w:vAlign w:val="center"/>
          </w:tcPr>
          <w:p w14:paraId="4F733104">
            <w:pPr>
              <w:widowControl/>
              <w:spacing w:line="240" w:lineRule="auto"/>
              <w:ind w:firstLine="0" w:firstLineChars="0"/>
              <w:jc w:val="center"/>
              <w:textAlignment w:val="center"/>
              <w:rPr>
                <w:bCs/>
                <w:color w:val="auto"/>
                <w:kern w:val="24"/>
                <w:sz w:val="21"/>
                <w:szCs w:val="21"/>
              </w:rPr>
            </w:pPr>
          </w:p>
        </w:tc>
        <w:tc>
          <w:tcPr>
            <w:tcW w:w="701" w:type="pct"/>
            <w:tcBorders>
              <w:tl2br w:val="nil"/>
              <w:tr2bl w:val="nil"/>
            </w:tcBorders>
            <w:vAlign w:val="center"/>
          </w:tcPr>
          <w:p w14:paraId="7831F35A">
            <w:pPr>
              <w:widowControl/>
              <w:spacing w:line="240" w:lineRule="auto"/>
              <w:ind w:firstLine="0" w:firstLineChars="0"/>
              <w:jc w:val="center"/>
              <w:rPr>
                <w:color w:val="auto"/>
                <w:kern w:val="0"/>
                <w:sz w:val="21"/>
                <w:szCs w:val="21"/>
              </w:rPr>
            </w:pPr>
            <w:r>
              <w:rPr>
                <w:color w:val="auto"/>
                <w:kern w:val="0"/>
                <w:sz w:val="21"/>
                <w:szCs w:val="21"/>
              </w:rPr>
              <w:t>依达拉奉片剂</w:t>
            </w:r>
          </w:p>
        </w:tc>
        <w:tc>
          <w:tcPr>
            <w:tcW w:w="756" w:type="pct"/>
            <w:tcBorders>
              <w:tl2br w:val="nil"/>
              <w:tr2bl w:val="nil"/>
            </w:tcBorders>
            <w:vAlign w:val="center"/>
          </w:tcPr>
          <w:p w14:paraId="5F99B4EA">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w:t>
            </w:r>
          </w:p>
        </w:tc>
        <w:tc>
          <w:tcPr>
            <w:tcW w:w="624" w:type="pct"/>
            <w:tcBorders>
              <w:tl2br w:val="nil"/>
              <w:tr2bl w:val="nil"/>
            </w:tcBorders>
            <w:vAlign w:val="center"/>
          </w:tcPr>
          <w:p w14:paraId="08DE7A97">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26E90AC3">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021E8848">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36283C85">
            <w:pPr>
              <w:widowControl/>
              <w:spacing w:line="240" w:lineRule="auto"/>
              <w:ind w:firstLine="0" w:firstLineChars="0"/>
              <w:jc w:val="center"/>
              <w:textAlignment w:val="center"/>
              <w:rPr>
                <w:color w:val="auto"/>
                <w:kern w:val="0"/>
                <w:sz w:val="21"/>
                <w:szCs w:val="21"/>
              </w:rPr>
            </w:pPr>
          </w:p>
        </w:tc>
      </w:tr>
      <w:tr w14:paraId="15E1D5C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0752B6D1">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11</w:t>
            </w:r>
          </w:p>
        </w:tc>
        <w:tc>
          <w:tcPr>
            <w:tcW w:w="756" w:type="pct"/>
            <w:vMerge w:val="restart"/>
            <w:tcBorders>
              <w:tl2br w:val="nil"/>
              <w:tr2bl w:val="nil"/>
            </w:tcBorders>
            <w:vAlign w:val="center"/>
          </w:tcPr>
          <w:p w14:paraId="59788A1D">
            <w:pPr>
              <w:widowControl/>
              <w:spacing w:line="240" w:lineRule="auto"/>
              <w:ind w:firstLine="0" w:firstLineChars="0"/>
              <w:jc w:val="center"/>
              <w:textAlignment w:val="center"/>
              <w:rPr>
                <w:bCs/>
                <w:color w:val="auto"/>
                <w:kern w:val="24"/>
                <w:sz w:val="21"/>
                <w:szCs w:val="21"/>
              </w:rPr>
            </w:pPr>
            <w:r>
              <w:rPr>
                <w:bCs/>
                <w:color w:val="auto"/>
                <w:kern w:val="24"/>
                <w:sz w:val="21"/>
                <w:szCs w:val="21"/>
              </w:rPr>
              <w:t>废水处理装置</w:t>
            </w:r>
          </w:p>
        </w:tc>
        <w:tc>
          <w:tcPr>
            <w:tcW w:w="701" w:type="pct"/>
            <w:tcBorders>
              <w:tl2br w:val="nil"/>
              <w:tr2bl w:val="nil"/>
            </w:tcBorders>
            <w:vAlign w:val="center"/>
          </w:tcPr>
          <w:p w14:paraId="451E3DB6">
            <w:pPr>
              <w:widowControl/>
              <w:spacing w:line="240" w:lineRule="auto"/>
              <w:ind w:firstLine="0" w:firstLineChars="0"/>
              <w:jc w:val="center"/>
              <w:rPr>
                <w:color w:val="auto"/>
                <w:kern w:val="0"/>
                <w:sz w:val="21"/>
                <w:szCs w:val="21"/>
              </w:rPr>
            </w:pPr>
            <w:r>
              <w:rPr>
                <w:color w:val="auto"/>
                <w:kern w:val="0"/>
                <w:sz w:val="21"/>
                <w:szCs w:val="21"/>
              </w:rPr>
              <w:t>高强石膏</w:t>
            </w:r>
            <w:r>
              <w:rPr>
                <w:rFonts w:hint="eastAsia"/>
                <w:color w:val="auto"/>
                <w:kern w:val="0"/>
                <w:sz w:val="21"/>
                <w:szCs w:val="21"/>
              </w:rPr>
              <w:t>（</w:t>
            </w:r>
            <w:r>
              <w:rPr>
                <w:color w:val="auto"/>
                <w:kern w:val="0"/>
                <w:sz w:val="21"/>
                <w:szCs w:val="21"/>
              </w:rPr>
              <w:t>副产</w:t>
            </w:r>
            <w:r>
              <w:rPr>
                <w:rFonts w:hint="eastAsia"/>
                <w:color w:val="auto"/>
                <w:kern w:val="0"/>
                <w:sz w:val="21"/>
                <w:szCs w:val="21"/>
              </w:rPr>
              <w:t>）</w:t>
            </w:r>
          </w:p>
        </w:tc>
        <w:tc>
          <w:tcPr>
            <w:tcW w:w="756" w:type="pct"/>
            <w:tcBorders>
              <w:tl2br w:val="nil"/>
              <w:tr2bl w:val="nil"/>
            </w:tcBorders>
            <w:vAlign w:val="center"/>
          </w:tcPr>
          <w:p w14:paraId="15D36ED0">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w:t>
            </w:r>
          </w:p>
        </w:tc>
        <w:tc>
          <w:tcPr>
            <w:tcW w:w="624" w:type="pct"/>
            <w:tcBorders>
              <w:tl2br w:val="nil"/>
              <w:tr2bl w:val="nil"/>
            </w:tcBorders>
            <w:vAlign w:val="center"/>
          </w:tcPr>
          <w:p w14:paraId="67AB814F">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44953503">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2BC69461">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5A110E07">
            <w:pPr>
              <w:widowControl/>
              <w:spacing w:line="240" w:lineRule="auto"/>
              <w:ind w:firstLine="0" w:firstLineChars="0"/>
              <w:jc w:val="center"/>
              <w:textAlignment w:val="center"/>
              <w:rPr>
                <w:color w:val="auto"/>
                <w:kern w:val="0"/>
                <w:sz w:val="21"/>
                <w:szCs w:val="21"/>
              </w:rPr>
            </w:pPr>
          </w:p>
        </w:tc>
      </w:tr>
      <w:tr w14:paraId="553AD9F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2A0B5EF9">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12</w:t>
            </w:r>
          </w:p>
        </w:tc>
        <w:tc>
          <w:tcPr>
            <w:tcW w:w="756" w:type="pct"/>
            <w:vMerge w:val="continue"/>
            <w:tcBorders>
              <w:tl2br w:val="nil"/>
              <w:tr2bl w:val="nil"/>
            </w:tcBorders>
            <w:vAlign w:val="center"/>
          </w:tcPr>
          <w:p w14:paraId="15169549">
            <w:pPr>
              <w:widowControl/>
              <w:spacing w:line="240" w:lineRule="auto"/>
              <w:ind w:firstLine="0" w:firstLineChars="0"/>
              <w:jc w:val="center"/>
              <w:textAlignment w:val="center"/>
              <w:rPr>
                <w:bCs/>
                <w:color w:val="auto"/>
                <w:kern w:val="24"/>
                <w:sz w:val="21"/>
                <w:szCs w:val="21"/>
              </w:rPr>
            </w:pPr>
          </w:p>
        </w:tc>
        <w:tc>
          <w:tcPr>
            <w:tcW w:w="701" w:type="pct"/>
            <w:tcBorders>
              <w:tl2br w:val="nil"/>
              <w:tr2bl w:val="nil"/>
            </w:tcBorders>
            <w:vAlign w:val="center"/>
          </w:tcPr>
          <w:p w14:paraId="6BE18052">
            <w:pPr>
              <w:widowControl/>
              <w:spacing w:line="240" w:lineRule="auto"/>
              <w:ind w:firstLine="0" w:firstLineChars="0"/>
              <w:jc w:val="center"/>
              <w:rPr>
                <w:color w:val="auto"/>
                <w:kern w:val="0"/>
                <w:sz w:val="21"/>
                <w:szCs w:val="21"/>
              </w:rPr>
            </w:pPr>
            <w:r>
              <w:rPr>
                <w:color w:val="auto"/>
                <w:kern w:val="0"/>
                <w:sz w:val="21"/>
                <w:szCs w:val="21"/>
              </w:rPr>
              <w:t>氯化钙</w:t>
            </w:r>
            <w:r>
              <w:rPr>
                <w:rFonts w:hint="eastAsia"/>
                <w:color w:val="auto"/>
                <w:kern w:val="0"/>
                <w:sz w:val="21"/>
                <w:szCs w:val="21"/>
              </w:rPr>
              <w:t>（</w:t>
            </w:r>
            <w:r>
              <w:rPr>
                <w:color w:val="auto"/>
                <w:kern w:val="0"/>
                <w:sz w:val="21"/>
                <w:szCs w:val="21"/>
              </w:rPr>
              <w:t>副产</w:t>
            </w:r>
            <w:r>
              <w:rPr>
                <w:rFonts w:hint="eastAsia"/>
                <w:color w:val="auto"/>
                <w:kern w:val="0"/>
                <w:sz w:val="21"/>
                <w:szCs w:val="21"/>
              </w:rPr>
              <w:t>）</w:t>
            </w:r>
          </w:p>
        </w:tc>
        <w:tc>
          <w:tcPr>
            <w:tcW w:w="756" w:type="pct"/>
            <w:tcBorders>
              <w:tl2br w:val="nil"/>
              <w:tr2bl w:val="nil"/>
            </w:tcBorders>
            <w:vAlign w:val="center"/>
          </w:tcPr>
          <w:p w14:paraId="09F53326">
            <w:pPr>
              <w:widowControl/>
              <w:spacing w:line="240" w:lineRule="auto"/>
              <w:ind w:firstLine="0" w:firstLineChars="0"/>
              <w:jc w:val="center"/>
              <w:textAlignment w:val="center"/>
              <w:rPr>
                <w:bCs/>
                <w:color w:val="auto"/>
                <w:kern w:val="24"/>
                <w:sz w:val="21"/>
                <w:szCs w:val="21"/>
              </w:rPr>
            </w:pPr>
            <w:r>
              <w:rPr>
                <w:color w:val="auto"/>
                <w:kern w:val="0"/>
                <w:sz w:val="21"/>
                <w:szCs w:val="21"/>
              </w:rPr>
              <w:t>94%</w:t>
            </w:r>
          </w:p>
        </w:tc>
        <w:tc>
          <w:tcPr>
            <w:tcW w:w="624" w:type="pct"/>
            <w:tcBorders>
              <w:tl2br w:val="nil"/>
              <w:tr2bl w:val="nil"/>
            </w:tcBorders>
            <w:vAlign w:val="center"/>
          </w:tcPr>
          <w:p w14:paraId="785B7D6D">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79FD1235">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45885FCB">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6FBEA666">
            <w:pPr>
              <w:widowControl/>
              <w:spacing w:line="240" w:lineRule="auto"/>
              <w:ind w:firstLine="0" w:firstLineChars="0"/>
              <w:jc w:val="center"/>
              <w:textAlignment w:val="center"/>
              <w:rPr>
                <w:color w:val="auto"/>
                <w:kern w:val="0"/>
                <w:sz w:val="21"/>
                <w:szCs w:val="21"/>
              </w:rPr>
            </w:pPr>
          </w:p>
        </w:tc>
      </w:tr>
      <w:tr w14:paraId="4370EEE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71F8CCCD">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13</w:t>
            </w:r>
          </w:p>
        </w:tc>
        <w:tc>
          <w:tcPr>
            <w:tcW w:w="756" w:type="pct"/>
            <w:vMerge w:val="continue"/>
            <w:tcBorders>
              <w:tl2br w:val="nil"/>
              <w:tr2bl w:val="nil"/>
            </w:tcBorders>
            <w:vAlign w:val="center"/>
          </w:tcPr>
          <w:p w14:paraId="6F771184">
            <w:pPr>
              <w:widowControl/>
              <w:spacing w:line="240" w:lineRule="auto"/>
              <w:ind w:firstLine="0" w:firstLineChars="0"/>
              <w:jc w:val="center"/>
              <w:textAlignment w:val="center"/>
              <w:rPr>
                <w:bCs/>
                <w:color w:val="auto"/>
                <w:kern w:val="24"/>
                <w:sz w:val="21"/>
                <w:szCs w:val="21"/>
              </w:rPr>
            </w:pPr>
          </w:p>
        </w:tc>
        <w:tc>
          <w:tcPr>
            <w:tcW w:w="701" w:type="pct"/>
            <w:tcBorders>
              <w:tl2br w:val="nil"/>
              <w:tr2bl w:val="nil"/>
            </w:tcBorders>
            <w:vAlign w:val="center"/>
          </w:tcPr>
          <w:p w14:paraId="4A9D667B">
            <w:pPr>
              <w:widowControl/>
              <w:spacing w:line="240" w:lineRule="auto"/>
              <w:ind w:firstLine="0" w:firstLineChars="0"/>
              <w:jc w:val="center"/>
              <w:rPr>
                <w:color w:val="auto"/>
                <w:kern w:val="0"/>
                <w:sz w:val="21"/>
                <w:szCs w:val="21"/>
              </w:rPr>
            </w:pPr>
            <w:r>
              <w:rPr>
                <w:color w:val="auto"/>
                <w:kern w:val="0"/>
                <w:sz w:val="21"/>
                <w:szCs w:val="21"/>
              </w:rPr>
              <w:t>氯化钠</w:t>
            </w:r>
            <w:r>
              <w:rPr>
                <w:rFonts w:hint="eastAsia"/>
                <w:color w:val="auto"/>
                <w:kern w:val="0"/>
                <w:sz w:val="21"/>
                <w:szCs w:val="21"/>
              </w:rPr>
              <w:t>（</w:t>
            </w:r>
            <w:r>
              <w:rPr>
                <w:color w:val="auto"/>
                <w:kern w:val="0"/>
                <w:sz w:val="21"/>
                <w:szCs w:val="21"/>
              </w:rPr>
              <w:t>副产</w:t>
            </w:r>
            <w:r>
              <w:rPr>
                <w:rFonts w:hint="eastAsia"/>
                <w:color w:val="auto"/>
                <w:kern w:val="0"/>
                <w:sz w:val="21"/>
                <w:szCs w:val="21"/>
              </w:rPr>
              <w:t>）</w:t>
            </w:r>
          </w:p>
        </w:tc>
        <w:tc>
          <w:tcPr>
            <w:tcW w:w="756" w:type="pct"/>
            <w:tcBorders>
              <w:tl2br w:val="nil"/>
              <w:tr2bl w:val="nil"/>
            </w:tcBorders>
            <w:vAlign w:val="center"/>
          </w:tcPr>
          <w:p w14:paraId="1962FEE8">
            <w:pPr>
              <w:widowControl/>
              <w:spacing w:line="240" w:lineRule="auto"/>
              <w:ind w:firstLine="0" w:firstLineChars="0"/>
              <w:jc w:val="center"/>
              <w:textAlignment w:val="center"/>
              <w:rPr>
                <w:bCs/>
                <w:color w:val="auto"/>
                <w:kern w:val="24"/>
                <w:sz w:val="21"/>
                <w:szCs w:val="21"/>
              </w:rPr>
            </w:pPr>
            <w:r>
              <w:rPr>
                <w:color w:val="auto"/>
                <w:kern w:val="0"/>
                <w:sz w:val="21"/>
                <w:szCs w:val="21"/>
              </w:rPr>
              <w:t>94%</w:t>
            </w:r>
          </w:p>
        </w:tc>
        <w:tc>
          <w:tcPr>
            <w:tcW w:w="624" w:type="pct"/>
            <w:tcBorders>
              <w:tl2br w:val="nil"/>
              <w:tr2bl w:val="nil"/>
            </w:tcBorders>
            <w:vAlign w:val="center"/>
          </w:tcPr>
          <w:p w14:paraId="51DE8CBB">
            <w:pPr>
              <w:widowControl/>
              <w:spacing w:line="240" w:lineRule="auto"/>
              <w:ind w:firstLine="0" w:firstLineChars="0"/>
              <w:jc w:val="center"/>
              <w:textAlignment w:val="center"/>
              <w:rPr>
                <w:color w:val="auto"/>
                <w:kern w:val="0"/>
                <w:sz w:val="21"/>
                <w:szCs w:val="21"/>
              </w:rPr>
            </w:pPr>
          </w:p>
        </w:tc>
        <w:tc>
          <w:tcPr>
            <w:tcW w:w="624" w:type="pct"/>
            <w:tcBorders>
              <w:tl2br w:val="nil"/>
              <w:tr2bl w:val="nil"/>
            </w:tcBorders>
            <w:vAlign w:val="center"/>
          </w:tcPr>
          <w:p w14:paraId="386A9A2F">
            <w:pPr>
              <w:widowControl/>
              <w:spacing w:line="240" w:lineRule="auto"/>
              <w:ind w:firstLine="0" w:firstLineChars="0"/>
              <w:jc w:val="center"/>
              <w:textAlignment w:val="center"/>
              <w:rPr>
                <w:color w:val="auto"/>
                <w:kern w:val="0"/>
                <w:sz w:val="21"/>
                <w:szCs w:val="21"/>
              </w:rPr>
            </w:pPr>
          </w:p>
        </w:tc>
        <w:tc>
          <w:tcPr>
            <w:tcW w:w="537" w:type="pct"/>
            <w:tcBorders>
              <w:tl2br w:val="nil"/>
              <w:tr2bl w:val="nil"/>
            </w:tcBorders>
            <w:vAlign w:val="center"/>
          </w:tcPr>
          <w:p w14:paraId="6D0357D6">
            <w:pPr>
              <w:widowControl/>
              <w:spacing w:line="240" w:lineRule="auto"/>
              <w:ind w:firstLine="0" w:firstLineChars="0"/>
              <w:jc w:val="center"/>
              <w:textAlignment w:val="center"/>
              <w:rPr>
                <w:color w:val="auto"/>
                <w:kern w:val="0"/>
                <w:sz w:val="21"/>
                <w:szCs w:val="21"/>
              </w:rPr>
            </w:pPr>
          </w:p>
        </w:tc>
        <w:tc>
          <w:tcPr>
            <w:tcW w:w="735" w:type="pct"/>
            <w:tcBorders>
              <w:tl2br w:val="nil"/>
              <w:tr2bl w:val="nil"/>
            </w:tcBorders>
            <w:vAlign w:val="center"/>
          </w:tcPr>
          <w:p w14:paraId="2D3D1664">
            <w:pPr>
              <w:widowControl/>
              <w:spacing w:line="240" w:lineRule="auto"/>
              <w:ind w:firstLine="0" w:firstLineChars="0"/>
              <w:jc w:val="center"/>
              <w:textAlignment w:val="center"/>
              <w:rPr>
                <w:color w:val="auto"/>
                <w:kern w:val="0"/>
                <w:sz w:val="21"/>
                <w:szCs w:val="21"/>
              </w:rPr>
            </w:pPr>
          </w:p>
        </w:tc>
      </w:tr>
      <w:tr w14:paraId="52D2798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313B332D">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14</w:t>
            </w:r>
          </w:p>
        </w:tc>
        <w:tc>
          <w:tcPr>
            <w:tcW w:w="756" w:type="pct"/>
            <w:vMerge w:val="restart"/>
            <w:tcBorders>
              <w:tl2br w:val="nil"/>
              <w:tr2bl w:val="nil"/>
            </w:tcBorders>
            <w:vAlign w:val="center"/>
          </w:tcPr>
          <w:p w14:paraId="0DF15003">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亚硫酸盐生产线</w:t>
            </w:r>
          </w:p>
        </w:tc>
        <w:tc>
          <w:tcPr>
            <w:tcW w:w="701" w:type="pct"/>
            <w:tcBorders>
              <w:tl2br w:val="nil"/>
              <w:tr2bl w:val="nil"/>
            </w:tcBorders>
            <w:vAlign w:val="center"/>
          </w:tcPr>
          <w:p w14:paraId="7882822B">
            <w:pPr>
              <w:spacing w:line="240" w:lineRule="auto"/>
              <w:ind w:firstLine="0" w:firstLineChars="0"/>
              <w:jc w:val="center"/>
              <w:rPr>
                <w:color w:val="auto"/>
                <w:sz w:val="21"/>
                <w:szCs w:val="21"/>
              </w:rPr>
            </w:pPr>
            <w:r>
              <w:rPr>
                <w:rFonts w:hint="eastAsia"/>
                <w:color w:val="auto"/>
                <w:sz w:val="21"/>
                <w:szCs w:val="21"/>
              </w:rPr>
              <w:t>亚硫酸钾</w:t>
            </w:r>
          </w:p>
        </w:tc>
        <w:tc>
          <w:tcPr>
            <w:tcW w:w="756" w:type="pct"/>
            <w:tcBorders>
              <w:tl2br w:val="nil"/>
              <w:tr2bl w:val="nil"/>
            </w:tcBorders>
            <w:vAlign w:val="center"/>
          </w:tcPr>
          <w:p w14:paraId="6FB5FE4E">
            <w:pPr>
              <w:widowControl/>
              <w:spacing w:line="240" w:lineRule="auto"/>
              <w:ind w:firstLine="0" w:firstLineChars="0"/>
              <w:jc w:val="center"/>
              <w:rPr>
                <w:color w:val="auto"/>
                <w:kern w:val="0"/>
                <w:sz w:val="21"/>
                <w:szCs w:val="21"/>
              </w:rPr>
            </w:pPr>
            <w:r>
              <w:rPr>
                <w:rFonts w:hint="eastAsia"/>
                <w:color w:val="auto"/>
                <w:kern w:val="0"/>
                <w:sz w:val="21"/>
                <w:szCs w:val="21"/>
              </w:rPr>
              <w:t>96%</w:t>
            </w:r>
          </w:p>
        </w:tc>
        <w:tc>
          <w:tcPr>
            <w:tcW w:w="624" w:type="pct"/>
            <w:tcBorders>
              <w:tl2br w:val="nil"/>
              <w:tr2bl w:val="nil"/>
            </w:tcBorders>
            <w:vAlign w:val="center"/>
          </w:tcPr>
          <w:p w14:paraId="658F9EFF">
            <w:pPr>
              <w:widowControl/>
              <w:spacing w:line="240" w:lineRule="auto"/>
              <w:ind w:firstLine="0" w:firstLineChars="0"/>
              <w:jc w:val="center"/>
              <w:textAlignment w:val="center"/>
              <w:rPr>
                <w:bCs/>
                <w:color w:val="auto"/>
                <w:kern w:val="24"/>
                <w:sz w:val="21"/>
                <w:szCs w:val="21"/>
              </w:rPr>
            </w:pPr>
          </w:p>
        </w:tc>
        <w:tc>
          <w:tcPr>
            <w:tcW w:w="624" w:type="pct"/>
            <w:tcBorders>
              <w:tl2br w:val="nil"/>
              <w:tr2bl w:val="nil"/>
            </w:tcBorders>
            <w:vAlign w:val="center"/>
          </w:tcPr>
          <w:p w14:paraId="575C7E90">
            <w:pPr>
              <w:widowControl/>
              <w:spacing w:line="240" w:lineRule="auto"/>
              <w:ind w:firstLine="0" w:firstLineChars="0"/>
              <w:jc w:val="center"/>
              <w:textAlignment w:val="center"/>
              <w:rPr>
                <w:bCs/>
                <w:color w:val="auto"/>
                <w:kern w:val="24"/>
                <w:sz w:val="21"/>
                <w:szCs w:val="21"/>
              </w:rPr>
            </w:pPr>
          </w:p>
        </w:tc>
        <w:tc>
          <w:tcPr>
            <w:tcW w:w="537" w:type="pct"/>
            <w:tcBorders>
              <w:tl2br w:val="nil"/>
              <w:tr2bl w:val="nil"/>
            </w:tcBorders>
            <w:vAlign w:val="center"/>
          </w:tcPr>
          <w:p w14:paraId="24AB4984">
            <w:pPr>
              <w:spacing w:line="240" w:lineRule="auto"/>
              <w:ind w:firstLine="0" w:firstLineChars="0"/>
              <w:jc w:val="center"/>
              <w:rPr>
                <w:color w:val="auto"/>
                <w:sz w:val="21"/>
                <w:szCs w:val="21"/>
              </w:rPr>
            </w:pPr>
          </w:p>
        </w:tc>
        <w:tc>
          <w:tcPr>
            <w:tcW w:w="735" w:type="pct"/>
            <w:tcBorders>
              <w:tl2br w:val="nil"/>
              <w:tr2bl w:val="nil"/>
            </w:tcBorders>
            <w:vAlign w:val="center"/>
          </w:tcPr>
          <w:p w14:paraId="4DD9B11A">
            <w:pPr>
              <w:spacing w:line="240" w:lineRule="auto"/>
              <w:ind w:firstLine="0" w:firstLineChars="0"/>
              <w:jc w:val="center"/>
              <w:rPr>
                <w:color w:val="auto"/>
                <w:sz w:val="21"/>
                <w:szCs w:val="21"/>
              </w:rPr>
            </w:pPr>
          </w:p>
        </w:tc>
      </w:tr>
      <w:tr w14:paraId="62E8404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77A61D0D">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15</w:t>
            </w:r>
          </w:p>
        </w:tc>
        <w:tc>
          <w:tcPr>
            <w:tcW w:w="756" w:type="pct"/>
            <w:vMerge w:val="continue"/>
            <w:tcBorders>
              <w:tl2br w:val="nil"/>
              <w:tr2bl w:val="nil"/>
            </w:tcBorders>
            <w:vAlign w:val="center"/>
          </w:tcPr>
          <w:p w14:paraId="0D5F5C1F">
            <w:pPr>
              <w:widowControl/>
              <w:spacing w:line="240" w:lineRule="auto"/>
              <w:ind w:firstLine="0" w:firstLineChars="0"/>
              <w:jc w:val="center"/>
              <w:textAlignment w:val="center"/>
              <w:rPr>
                <w:bCs/>
                <w:color w:val="auto"/>
                <w:kern w:val="24"/>
                <w:sz w:val="21"/>
                <w:szCs w:val="21"/>
              </w:rPr>
            </w:pPr>
          </w:p>
        </w:tc>
        <w:tc>
          <w:tcPr>
            <w:tcW w:w="701" w:type="pct"/>
            <w:tcBorders>
              <w:tl2br w:val="nil"/>
              <w:tr2bl w:val="nil"/>
            </w:tcBorders>
            <w:vAlign w:val="center"/>
          </w:tcPr>
          <w:p w14:paraId="1E539E62">
            <w:pPr>
              <w:spacing w:line="240" w:lineRule="auto"/>
              <w:ind w:firstLine="0" w:firstLineChars="0"/>
              <w:jc w:val="center"/>
              <w:rPr>
                <w:color w:val="auto"/>
                <w:sz w:val="21"/>
                <w:szCs w:val="21"/>
              </w:rPr>
            </w:pPr>
            <w:r>
              <w:rPr>
                <w:rFonts w:hint="eastAsia"/>
                <w:color w:val="auto"/>
                <w:sz w:val="21"/>
                <w:szCs w:val="21"/>
              </w:rPr>
              <w:t>亚硫酸钠</w:t>
            </w:r>
          </w:p>
        </w:tc>
        <w:tc>
          <w:tcPr>
            <w:tcW w:w="756" w:type="pct"/>
            <w:tcBorders>
              <w:tl2br w:val="nil"/>
              <w:tr2bl w:val="nil"/>
            </w:tcBorders>
            <w:vAlign w:val="center"/>
          </w:tcPr>
          <w:p w14:paraId="7EBF8F12">
            <w:pPr>
              <w:widowControl/>
              <w:spacing w:line="240" w:lineRule="auto"/>
              <w:ind w:firstLine="0" w:firstLineChars="0"/>
              <w:jc w:val="center"/>
              <w:rPr>
                <w:color w:val="auto"/>
                <w:kern w:val="0"/>
                <w:sz w:val="21"/>
                <w:szCs w:val="21"/>
              </w:rPr>
            </w:pPr>
            <w:r>
              <w:rPr>
                <w:rFonts w:hint="eastAsia"/>
                <w:color w:val="auto"/>
                <w:kern w:val="0"/>
                <w:sz w:val="21"/>
                <w:szCs w:val="21"/>
              </w:rPr>
              <w:t>96%</w:t>
            </w:r>
          </w:p>
        </w:tc>
        <w:tc>
          <w:tcPr>
            <w:tcW w:w="624" w:type="pct"/>
            <w:tcBorders>
              <w:tl2br w:val="nil"/>
              <w:tr2bl w:val="nil"/>
            </w:tcBorders>
            <w:vAlign w:val="center"/>
          </w:tcPr>
          <w:p w14:paraId="42C5F02E">
            <w:pPr>
              <w:widowControl/>
              <w:spacing w:line="240" w:lineRule="auto"/>
              <w:ind w:firstLine="0" w:firstLineChars="0"/>
              <w:jc w:val="center"/>
              <w:textAlignment w:val="center"/>
              <w:rPr>
                <w:bCs/>
                <w:color w:val="auto"/>
                <w:kern w:val="24"/>
                <w:sz w:val="21"/>
                <w:szCs w:val="21"/>
              </w:rPr>
            </w:pPr>
          </w:p>
        </w:tc>
        <w:tc>
          <w:tcPr>
            <w:tcW w:w="624" w:type="pct"/>
            <w:tcBorders>
              <w:tl2br w:val="nil"/>
              <w:tr2bl w:val="nil"/>
            </w:tcBorders>
            <w:vAlign w:val="center"/>
          </w:tcPr>
          <w:p w14:paraId="28B14A18">
            <w:pPr>
              <w:widowControl/>
              <w:spacing w:line="240" w:lineRule="auto"/>
              <w:ind w:firstLine="0" w:firstLineChars="0"/>
              <w:jc w:val="center"/>
              <w:textAlignment w:val="center"/>
              <w:rPr>
                <w:bCs/>
                <w:color w:val="auto"/>
                <w:kern w:val="24"/>
                <w:sz w:val="21"/>
                <w:szCs w:val="21"/>
              </w:rPr>
            </w:pPr>
          </w:p>
        </w:tc>
        <w:tc>
          <w:tcPr>
            <w:tcW w:w="537" w:type="pct"/>
            <w:tcBorders>
              <w:tl2br w:val="nil"/>
              <w:tr2bl w:val="nil"/>
            </w:tcBorders>
            <w:vAlign w:val="center"/>
          </w:tcPr>
          <w:p w14:paraId="4D7946EA">
            <w:pPr>
              <w:spacing w:line="240" w:lineRule="auto"/>
              <w:ind w:firstLine="0" w:firstLineChars="0"/>
              <w:jc w:val="center"/>
              <w:rPr>
                <w:color w:val="auto"/>
                <w:sz w:val="21"/>
                <w:szCs w:val="21"/>
              </w:rPr>
            </w:pPr>
          </w:p>
        </w:tc>
        <w:tc>
          <w:tcPr>
            <w:tcW w:w="735" w:type="pct"/>
            <w:tcBorders>
              <w:tl2br w:val="nil"/>
              <w:tr2bl w:val="nil"/>
            </w:tcBorders>
            <w:vAlign w:val="center"/>
          </w:tcPr>
          <w:p w14:paraId="63B9BF60">
            <w:pPr>
              <w:spacing w:line="240" w:lineRule="auto"/>
              <w:ind w:firstLine="0" w:firstLineChars="0"/>
              <w:jc w:val="center"/>
              <w:rPr>
                <w:color w:val="auto"/>
                <w:sz w:val="21"/>
                <w:szCs w:val="21"/>
              </w:rPr>
            </w:pPr>
          </w:p>
        </w:tc>
      </w:tr>
      <w:tr w14:paraId="3333BF8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56F3D1E6">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16</w:t>
            </w:r>
          </w:p>
        </w:tc>
        <w:tc>
          <w:tcPr>
            <w:tcW w:w="756" w:type="pct"/>
            <w:vMerge w:val="continue"/>
            <w:tcBorders>
              <w:tl2br w:val="nil"/>
              <w:tr2bl w:val="nil"/>
            </w:tcBorders>
            <w:vAlign w:val="center"/>
          </w:tcPr>
          <w:p w14:paraId="37B46D81">
            <w:pPr>
              <w:widowControl/>
              <w:spacing w:line="240" w:lineRule="auto"/>
              <w:ind w:firstLine="0" w:firstLineChars="0"/>
              <w:jc w:val="center"/>
              <w:textAlignment w:val="center"/>
              <w:rPr>
                <w:bCs/>
                <w:color w:val="auto"/>
                <w:kern w:val="24"/>
                <w:sz w:val="21"/>
                <w:szCs w:val="21"/>
              </w:rPr>
            </w:pPr>
          </w:p>
        </w:tc>
        <w:tc>
          <w:tcPr>
            <w:tcW w:w="701" w:type="pct"/>
            <w:tcBorders>
              <w:tl2br w:val="nil"/>
              <w:tr2bl w:val="nil"/>
            </w:tcBorders>
            <w:vAlign w:val="center"/>
          </w:tcPr>
          <w:p w14:paraId="5D8A0B17">
            <w:pPr>
              <w:spacing w:line="240" w:lineRule="auto"/>
              <w:ind w:firstLine="0" w:firstLineChars="0"/>
              <w:jc w:val="center"/>
              <w:rPr>
                <w:color w:val="auto"/>
                <w:sz w:val="21"/>
                <w:szCs w:val="21"/>
              </w:rPr>
            </w:pPr>
            <w:r>
              <w:rPr>
                <w:rFonts w:hint="eastAsia"/>
                <w:color w:val="auto"/>
                <w:sz w:val="21"/>
                <w:szCs w:val="21"/>
              </w:rPr>
              <w:t>一水亚硫酸铵</w:t>
            </w:r>
          </w:p>
        </w:tc>
        <w:tc>
          <w:tcPr>
            <w:tcW w:w="756" w:type="pct"/>
            <w:tcBorders>
              <w:tl2br w:val="nil"/>
              <w:tr2bl w:val="nil"/>
            </w:tcBorders>
            <w:vAlign w:val="center"/>
          </w:tcPr>
          <w:p w14:paraId="683A7D5C">
            <w:pPr>
              <w:widowControl/>
              <w:spacing w:line="240" w:lineRule="auto"/>
              <w:ind w:firstLine="0" w:firstLineChars="0"/>
              <w:jc w:val="center"/>
              <w:rPr>
                <w:color w:val="auto"/>
                <w:kern w:val="0"/>
                <w:sz w:val="21"/>
                <w:szCs w:val="21"/>
              </w:rPr>
            </w:pPr>
            <w:r>
              <w:rPr>
                <w:rFonts w:hint="eastAsia"/>
                <w:color w:val="auto"/>
                <w:kern w:val="0"/>
                <w:sz w:val="21"/>
                <w:szCs w:val="21"/>
              </w:rPr>
              <w:t>90%</w:t>
            </w:r>
          </w:p>
        </w:tc>
        <w:tc>
          <w:tcPr>
            <w:tcW w:w="624" w:type="pct"/>
            <w:tcBorders>
              <w:tl2br w:val="nil"/>
              <w:tr2bl w:val="nil"/>
            </w:tcBorders>
            <w:vAlign w:val="center"/>
          </w:tcPr>
          <w:p w14:paraId="6A88C744">
            <w:pPr>
              <w:widowControl/>
              <w:spacing w:line="240" w:lineRule="auto"/>
              <w:ind w:firstLine="0" w:firstLineChars="0"/>
              <w:jc w:val="center"/>
              <w:textAlignment w:val="center"/>
              <w:rPr>
                <w:bCs/>
                <w:color w:val="auto"/>
                <w:kern w:val="24"/>
                <w:sz w:val="21"/>
                <w:szCs w:val="21"/>
              </w:rPr>
            </w:pPr>
          </w:p>
        </w:tc>
        <w:tc>
          <w:tcPr>
            <w:tcW w:w="624" w:type="pct"/>
            <w:tcBorders>
              <w:tl2br w:val="nil"/>
              <w:tr2bl w:val="nil"/>
            </w:tcBorders>
            <w:vAlign w:val="center"/>
          </w:tcPr>
          <w:p w14:paraId="1ADAFFB5">
            <w:pPr>
              <w:widowControl/>
              <w:spacing w:line="240" w:lineRule="auto"/>
              <w:ind w:firstLine="0" w:firstLineChars="0"/>
              <w:jc w:val="center"/>
              <w:textAlignment w:val="center"/>
              <w:rPr>
                <w:bCs/>
                <w:color w:val="auto"/>
                <w:kern w:val="24"/>
                <w:sz w:val="21"/>
                <w:szCs w:val="21"/>
              </w:rPr>
            </w:pPr>
          </w:p>
        </w:tc>
        <w:tc>
          <w:tcPr>
            <w:tcW w:w="537" w:type="pct"/>
            <w:tcBorders>
              <w:tl2br w:val="nil"/>
              <w:tr2bl w:val="nil"/>
            </w:tcBorders>
            <w:vAlign w:val="center"/>
          </w:tcPr>
          <w:p w14:paraId="57FA49A6">
            <w:pPr>
              <w:spacing w:line="240" w:lineRule="auto"/>
              <w:ind w:firstLine="0" w:firstLineChars="0"/>
              <w:jc w:val="center"/>
              <w:rPr>
                <w:color w:val="auto"/>
                <w:sz w:val="21"/>
                <w:szCs w:val="21"/>
              </w:rPr>
            </w:pPr>
          </w:p>
        </w:tc>
        <w:tc>
          <w:tcPr>
            <w:tcW w:w="735" w:type="pct"/>
            <w:tcBorders>
              <w:tl2br w:val="nil"/>
              <w:tr2bl w:val="nil"/>
            </w:tcBorders>
            <w:vAlign w:val="center"/>
          </w:tcPr>
          <w:p w14:paraId="2A8421FF">
            <w:pPr>
              <w:spacing w:line="240" w:lineRule="auto"/>
              <w:ind w:firstLine="0" w:firstLineChars="0"/>
              <w:jc w:val="center"/>
              <w:rPr>
                <w:color w:val="auto"/>
                <w:sz w:val="21"/>
                <w:szCs w:val="21"/>
              </w:rPr>
            </w:pPr>
          </w:p>
        </w:tc>
      </w:tr>
      <w:tr w14:paraId="7FFC085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52EE6167">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17</w:t>
            </w:r>
          </w:p>
        </w:tc>
        <w:tc>
          <w:tcPr>
            <w:tcW w:w="756" w:type="pct"/>
            <w:vMerge w:val="restart"/>
            <w:tcBorders>
              <w:tl2br w:val="nil"/>
              <w:tr2bl w:val="nil"/>
            </w:tcBorders>
            <w:vAlign w:val="center"/>
          </w:tcPr>
          <w:p w14:paraId="08F4FCA2">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硫代硫酸盐生产线</w:t>
            </w:r>
          </w:p>
        </w:tc>
        <w:tc>
          <w:tcPr>
            <w:tcW w:w="701" w:type="pct"/>
            <w:tcBorders>
              <w:tl2br w:val="nil"/>
              <w:tr2bl w:val="nil"/>
            </w:tcBorders>
            <w:vAlign w:val="center"/>
          </w:tcPr>
          <w:p w14:paraId="164DDFCA">
            <w:pPr>
              <w:spacing w:line="240" w:lineRule="auto"/>
              <w:ind w:firstLine="0" w:firstLineChars="0"/>
              <w:jc w:val="center"/>
              <w:rPr>
                <w:color w:val="auto"/>
                <w:sz w:val="21"/>
                <w:szCs w:val="21"/>
              </w:rPr>
            </w:pPr>
            <w:r>
              <w:rPr>
                <w:rFonts w:hint="eastAsia"/>
                <w:color w:val="auto"/>
                <w:sz w:val="21"/>
                <w:szCs w:val="21"/>
              </w:rPr>
              <w:t>硫代硫酸铵</w:t>
            </w:r>
          </w:p>
        </w:tc>
        <w:tc>
          <w:tcPr>
            <w:tcW w:w="756" w:type="pct"/>
            <w:tcBorders>
              <w:tl2br w:val="nil"/>
              <w:tr2bl w:val="nil"/>
            </w:tcBorders>
            <w:vAlign w:val="center"/>
          </w:tcPr>
          <w:p w14:paraId="2F563C4B">
            <w:pPr>
              <w:widowControl/>
              <w:spacing w:line="240" w:lineRule="auto"/>
              <w:ind w:firstLine="0" w:firstLineChars="0"/>
              <w:jc w:val="center"/>
              <w:rPr>
                <w:color w:val="auto"/>
                <w:kern w:val="0"/>
                <w:sz w:val="21"/>
                <w:szCs w:val="21"/>
              </w:rPr>
            </w:pPr>
            <w:r>
              <w:rPr>
                <w:rFonts w:hint="eastAsia"/>
                <w:color w:val="auto"/>
                <w:kern w:val="0"/>
                <w:sz w:val="21"/>
                <w:szCs w:val="21"/>
              </w:rPr>
              <w:t>59%</w:t>
            </w:r>
          </w:p>
        </w:tc>
        <w:tc>
          <w:tcPr>
            <w:tcW w:w="624" w:type="pct"/>
            <w:tcBorders>
              <w:tl2br w:val="nil"/>
              <w:tr2bl w:val="nil"/>
            </w:tcBorders>
            <w:vAlign w:val="center"/>
          </w:tcPr>
          <w:p w14:paraId="6DBEBCAE">
            <w:pPr>
              <w:widowControl/>
              <w:spacing w:line="240" w:lineRule="auto"/>
              <w:ind w:firstLine="0" w:firstLineChars="0"/>
              <w:jc w:val="center"/>
              <w:textAlignment w:val="center"/>
              <w:rPr>
                <w:bCs/>
                <w:color w:val="auto"/>
                <w:kern w:val="24"/>
                <w:sz w:val="21"/>
                <w:szCs w:val="21"/>
              </w:rPr>
            </w:pPr>
          </w:p>
        </w:tc>
        <w:tc>
          <w:tcPr>
            <w:tcW w:w="624" w:type="pct"/>
            <w:tcBorders>
              <w:tl2br w:val="nil"/>
              <w:tr2bl w:val="nil"/>
            </w:tcBorders>
            <w:vAlign w:val="center"/>
          </w:tcPr>
          <w:p w14:paraId="06223BBB">
            <w:pPr>
              <w:widowControl/>
              <w:spacing w:line="240" w:lineRule="auto"/>
              <w:ind w:firstLine="0" w:firstLineChars="0"/>
              <w:jc w:val="center"/>
              <w:textAlignment w:val="center"/>
              <w:rPr>
                <w:bCs/>
                <w:color w:val="auto"/>
                <w:kern w:val="24"/>
                <w:sz w:val="21"/>
                <w:szCs w:val="21"/>
              </w:rPr>
            </w:pPr>
          </w:p>
        </w:tc>
        <w:tc>
          <w:tcPr>
            <w:tcW w:w="537" w:type="pct"/>
            <w:tcBorders>
              <w:tl2br w:val="nil"/>
              <w:tr2bl w:val="nil"/>
            </w:tcBorders>
            <w:vAlign w:val="center"/>
          </w:tcPr>
          <w:p w14:paraId="7D4E4D9E">
            <w:pPr>
              <w:spacing w:line="240" w:lineRule="auto"/>
              <w:ind w:firstLine="0" w:firstLineChars="0"/>
              <w:jc w:val="center"/>
              <w:rPr>
                <w:color w:val="auto"/>
                <w:sz w:val="21"/>
                <w:szCs w:val="21"/>
              </w:rPr>
            </w:pPr>
          </w:p>
        </w:tc>
        <w:tc>
          <w:tcPr>
            <w:tcW w:w="735" w:type="pct"/>
            <w:tcBorders>
              <w:tl2br w:val="nil"/>
              <w:tr2bl w:val="nil"/>
            </w:tcBorders>
            <w:vAlign w:val="center"/>
          </w:tcPr>
          <w:p w14:paraId="746405F5">
            <w:pPr>
              <w:spacing w:line="240" w:lineRule="auto"/>
              <w:ind w:firstLine="0" w:firstLineChars="0"/>
              <w:jc w:val="center"/>
              <w:rPr>
                <w:color w:val="auto"/>
                <w:sz w:val="21"/>
                <w:szCs w:val="21"/>
              </w:rPr>
            </w:pPr>
          </w:p>
        </w:tc>
      </w:tr>
      <w:tr w14:paraId="3B73FBF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2D7B3F47">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18</w:t>
            </w:r>
          </w:p>
        </w:tc>
        <w:tc>
          <w:tcPr>
            <w:tcW w:w="756" w:type="pct"/>
            <w:vMerge w:val="continue"/>
            <w:tcBorders>
              <w:tl2br w:val="nil"/>
              <w:tr2bl w:val="nil"/>
            </w:tcBorders>
            <w:vAlign w:val="center"/>
          </w:tcPr>
          <w:p w14:paraId="2A2ABB82">
            <w:pPr>
              <w:widowControl/>
              <w:spacing w:line="240" w:lineRule="auto"/>
              <w:ind w:firstLine="0" w:firstLineChars="0"/>
              <w:jc w:val="center"/>
              <w:textAlignment w:val="center"/>
              <w:rPr>
                <w:bCs/>
                <w:color w:val="auto"/>
                <w:kern w:val="24"/>
                <w:sz w:val="21"/>
                <w:szCs w:val="21"/>
              </w:rPr>
            </w:pPr>
          </w:p>
        </w:tc>
        <w:tc>
          <w:tcPr>
            <w:tcW w:w="701" w:type="pct"/>
            <w:tcBorders>
              <w:tl2br w:val="nil"/>
              <w:tr2bl w:val="nil"/>
            </w:tcBorders>
            <w:vAlign w:val="center"/>
          </w:tcPr>
          <w:p w14:paraId="5A35BBB4">
            <w:pPr>
              <w:spacing w:line="240" w:lineRule="auto"/>
              <w:ind w:firstLine="0" w:firstLineChars="0"/>
              <w:jc w:val="center"/>
              <w:rPr>
                <w:color w:val="auto"/>
                <w:sz w:val="21"/>
                <w:szCs w:val="21"/>
              </w:rPr>
            </w:pPr>
            <w:r>
              <w:rPr>
                <w:rFonts w:hint="eastAsia"/>
                <w:color w:val="auto"/>
                <w:sz w:val="21"/>
                <w:szCs w:val="21"/>
              </w:rPr>
              <w:t>硫代硫酸钙</w:t>
            </w:r>
          </w:p>
        </w:tc>
        <w:tc>
          <w:tcPr>
            <w:tcW w:w="756" w:type="pct"/>
            <w:tcBorders>
              <w:tl2br w:val="nil"/>
              <w:tr2bl w:val="nil"/>
            </w:tcBorders>
            <w:vAlign w:val="center"/>
          </w:tcPr>
          <w:p w14:paraId="3BE8D4FC">
            <w:pPr>
              <w:widowControl/>
              <w:spacing w:line="240" w:lineRule="auto"/>
              <w:ind w:firstLine="0" w:firstLineChars="0"/>
              <w:jc w:val="center"/>
              <w:rPr>
                <w:color w:val="auto"/>
                <w:kern w:val="0"/>
                <w:sz w:val="21"/>
                <w:szCs w:val="21"/>
              </w:rPr>
            </w:pPr>
            <w:r>
              <w:rPr>
                <w:rFonts w:hint="eastAsia"/>
                <w:color w:val="auto"/>
                <w:kern w:val="0"/>
                <w:sz w:val="21"/>
                <w:szCs w:val="21"/>
              </w:rPr>
              <w:t>24%</w:t>
            </w:r>
          </w:p>
        </w:tc>
        <w:tc>
          <w:tcPr>
            <w:tcW w:w="624" w:type="pct"/>
            <w:tcBorders>
              <w:tl2br w:val="nil"/>
              <w:tr2bl w:val="nil"/>
            </w:tcBorders>
            <w:vAlign w:val="center"/>
          </w:tcPr>
          <w:p w14:paraId="453DBBDC">
            <w:pPr>
              <w:widowControl/>
              <w:spacing w:line="240" w:lineRule="auto"/>
              <w:ind w:firstLine="0" w:firstLineChars="0"/>
              <w:jc w:val="center"/>
              <w:textAlignment w:val="center"/>
              <w:rPr>
                <w:bCs/>
                <w:color w:val="auto"/>
                <w:kern w:val="24"/>
                <w:sz w:val="21"/>
                <w:szCs w:val="21"/>
              </w:rPr>
            </w:pPr>
          </w:p>
        </w:tc>
        <w:tc>
          <w:tcPr>
            <w:tcW w:w="624" w:type="pct"/>
            <w:tcBorders>
              <w:tl2br w:val="nil"/>
              <w:tr2bl w:val="nil"/>
            </w:tcBorders>
            <w:vAlign w:val="center"/>
          </w:tcPr>
          <w:p w14:paraId="0613BE54">
            <w:pPr>
              <w:widowControl/>
              <w:spacing w:line="240" w:lineRule="auto"/>
              <w:ind w:firstLine="0" w:firstLineChars="0"/>
              <w:jc w:val="center"/>
              <w:textAlignment w:val="center"/>
              <w:rPr>
                <w:bCs/>
                <w:color w:val="auto"/>
                <w:kern w:val="24"/>
                <w:sz w:val="21"/>
                <w:szCs w:val="21"/>
              </w:rPr>
            </w:pPr>
          </w:p>
        </w:tc>
        <w:tc>
          <w:tcPr>
            <w:tcW w:w="537" w:type="pct"/>
            <w:tcBorders>
              <w:tl2br w:val="nil"/>
              <w:tr2bl w:val="nil"/>
            </w:tcBorders>
            <w:vAlign w:val="center"/>
          </w:tcPr>
          <w:p w14:paraId="50BF4C91">
            <w:pPr>
              <w:spacing w:line="240" w:lineRule="auto"/>
              <w:ind w:firstLine="0" w:firstLineChars="0"/>
              <w:jc w:val="center"/>
              <w:rPr>
                <w:color w:val="auto"/>
                <w:sz w:val="21"/>
                <w:szCs w:val="21"/>
              </w:rPr>
            </w:pPr>
          </w:p>
        </w:tc>
        <w:tc>
          <w:tcPr>
            <w:tcW w:w="735" w:type="pct"/>
            <w:tcBorders>
              <w:tl2br w:val="nil"/>
              <w:tr2bl w:val="nil"/>
            </w:tcBorders>
            <w:vAlign w:val="center"/>
          </w:tcPr>
          <w:p w14:paraId="7C69AEF5">
            <w:pPr>
              <w:spacing w:line="240" w:lineRule="auto"/>
              <w:ind w:firstLine="0" w:firstLineChars="0"/>
              <w:jc w:val="center"/>
              <w:rPr>
                <w:color w:val="auto"/>
                <w:sz w:val="21"/>
                <w:szCs w:val="21"/>
              </w:rPr>
            </w:pPr>
          </w:p>
        </w:tc>
      </w:tr>
      <w:tr w14:paraId="5177864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4C1D44DD">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19</w:t>
            </w:r>
          </w:p>
        </w:tc>
        <w:tc>
          <w:tcPr>
            <w:tcW w:w="756" w:type="pct"/>
            <w:vMerge w:val="continue"/>
            <w:tcBorders>
              <w:tl2br w:val="nil"/>
              <w:tr2bl w:val="nil"/>
            </w:tcBorders>
            <w:vAlign w:val="center"/>
          </w:tcPr>
          <w:p w14:paraId="4C824EA4">
            <w:pPr>
              <w:widowControl/>
              <w:spacing w:line="240" w:lineRule="auto"/>
              <w:ind w:firstLine="0" w:firstLineChars="0"/>
              <w:jc w:val="center"/>
              <w:textAlignment w:val="center"/>
              <w:rPr>
                <w:bCs/>
                <w:color w:val="auto"/>
                <w:kern w:val="24"/>
                <w:sz w:val="21"/>
                <w:szCs w:val="21"/>
              </w:rPr>
            </w:pPr>
          </w:p>
        </w:tc>
        <w:tc>
          <w:tcPr>
            <w:tcW w:w="701" w:type="pct"/>
            <w:tcBorders>
              <w:tl2br w:val="nil"/>
              <w:tr2bl w:val="nil"/>
            </w:tcBorders>
            <w:vAlign w:val="center"/>
          </w:tcPr>
          <w:p w14:paraId="73AA996B">
            <w:pPr>
              <w:spacing w:line="240" w:lineRule="auto"/>
              <w:ind w:firstLine="0" w:firstLineChars="0"/>
              <w:jc w:val="center"/>
              <w:rPr>
                <w:color w:val="auto"/>
                <w:sz w:val="21"/>
                <w:szCs w:val="21"/>
              </w:rPr>
            </w:pPr>
            <w:r>
              <w:rPr>
                <w:rFonts w:hint="eastAsia"/>
                <w:color w:val="auto"/>
                <w:sz w:val="21"/>
                <w:szCs w:val="21"/>
              </w:rPr>
              <w:t>硫代硫酸镁</w:t>
            </w:r>
          </w:p>
        </w:tc>
        <w:tc>
          <w:tcPr>
            <w:tcW w:w="756" w:type="pct"/>
            <w:tcBorders>
              <w:tl2br w:val="nil"/>
              <w:tr2bl w:val="nil"/>
            </w:tcBorders>
            <w:vAlign w:val="center"/>
          </w:tcPr>
          <w:p w14:paraId="342ED6D8">
            <w:pPr>
              <w:widowControl/>
              <w:spacing w:line="240" w:lineRule="auto"/>
              <w:ind w:firstLine="0" w:firstLineChars="0"/>
              <w:jc w:val="center"/>
              <w:rPr>
                <w:color w:val="auto"/>
                <w:kern w:val="0"/>
                <w:sz w:val="21"/>
                <w:szCs w:val="21"/>
              </w:rPr>
            </w:pPr>
            <w:r>
              <w:rPr>
                <w:rFonts w:hint="eastAsia"/>
                <w:color w:val="auto"/>
                <w:kern w:val="0"/>
                <w:sz w:val="21"/>
                <w:szCs w:val="21"/>
              </w:rPr>
              <w:t>20%</w:t>
            </w:r>
          </w:p>
        </w:tc>
        <w:tc>
          <w:tcPr>
            <w:tcW w:w="624" w:type="pct"/>
            <w:tcBorders>
              <w:tl2br w:val="nil"/>
              <w:tr2bl w:val="nil"/>
            </w:tcBorders>
            <w:vAlign w:val="center"/>
          </w:tcPr>
          <w:p w14:paraId="466023BF">
            <w:pPr>
              <w:widowControl/>
              <w:spacing w:line="240" w:lineRule="auto"/>
              <w:ind w:firstLine="0" w:firstLineChars="0"/>
              <w:jc w:val="center"/>
              <w:textAlignment w:val="center"/>
              <w:rPr>
                <w:bCs/>
                <w:color w:val="auto"/>
                <w:kern w:val="24"/>
                <w:sz w:val="21"/>
                <w:szCs w:val="21"/>
              </w:rPr>
            </w:pPr>
          </w:p>
        </w:tc>
        <w:tc>
          <w:tcPr>
            <w:tcW w:w="624" w:type="pct"/>
            <w:tcBorders>
              <w:tl2br w:val="nil"/>
              <w:tr2bl w:val="nil"/>
            </w:tcBorders>
            <w:vAlign w:val="center"/>
          </w:tcPr>
          <w:p w14:paraId="0D4298A0">
            <w:pPr>
              <w:widowControl/>
              <w:spacing w:line="240" w:lineRule="auto"/>
              <w:ind w:firstLine="0" w:firstLineChars="0"/>
              <w:jc w:val="center"/>
              <w:textAlignment w:val="center"/>
              <w:rPr>
                <w:bCs/>
                <w:color w:val="auto"/>
                <w:kern w:val="24"/>
                <w:sz w:val="21"/>
                <w:szCs w:val="21"/>
              </w:rPr>
            </w:pPr>
          </w:p>
        </w:tc>
        <w:tc>
          <w:tcPr>
            <w:tcW w:w="537" w:type="pct"/>
            <w:tcBorders>
              <w:tl2br w:val="nil"/>
              <w:tr2bl w:val="nil"/>
            </w:tcBorders>
            <w:vAlign w:val="center"/>
          </w:tcPr>
          <w:p w14:paraId="325AD63A">
            <w:pPr>
              <w:spacing w:line="240" w:lineRule="auto"/>
              <w:ind w:firstLine="0" w:firstLineChars="0"/>
              <w:jc w:val="center"/>
              <w:rPr>
                <w:color w:val="auto"/>
                <w:sz w:val="21"/>
                <w:szCs w:val="21"/>
              </w:rPr>
            </w:pPr>
          </w:p>
        </w:tc>
        <w:tc>
          <w:tcPr>
            <w:tcW w:w="735" w:type="pct"/>
            <w:tcBorders>
              <w:tl2br w:val="nil"/>
              <w:tr2bl w:val="nil"/>
            </w:tcBorders>
            <w:vAlign w:val="center"/>
          </w:tcPr>
          <w:p w14:paraId="53566480">
            <w:pPr>
              <w:spacing w:line="240" w:lineRule="auto"/>
              <w:ind w:firstLine="0" w:firstLineChars="0"/>
              <w:jc w:val="center"/>
              <w:rPr>
                <w:color w:val="auto"/>
                <w:sz w:val="21"/>
                <w:szCs w:val="21"/>
              </w:rPr>
            </w:pPr>
          </w:p>
        </w:tc>
      </w:tr>
      <w:tr w14:paraId="5A7B515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3" w:type="pct"/>
            <w:tcBorders>
              <w:tl2br w:val="nil"/>
              <w:tr2bl w:val="nil"/>
            </w:tcBorders>
            <w:vAlign w:val="center"/>
          </w:tcPr>
          <w:p w14:paraId="528A5E80">
            <w:pPr>
              <w:widowControl/>
              <w:spacing w:line="240" w:lineRule="auto"/>
              <w:ind w:firstLine="0" w:firstLineChars="0"/>
              <w:jc w:val="center"/>
              <w:textAlignment w:val="center"/>
              <w:rPr>
                <w:bCs/>
                <w:color w:val="auto"/>
                <w:kern w:val="24"/>
                <w:sz w:val="21"/>
                <w:szCs w:val="21"/>
              </w:rPr>
            </w:pPr>
            <w:r>
              <w:rPr>
                <w:rFonts w:hint="eastAsia"/>
                <w:bCs/>
                <w:color w:val="auto"/>
                <w:kern w:val="24"/>
                <w:sz w:val="21"/>
                <w:szCs w:val="21"/>
              </w:rPr>
              <w:t>20</w:t>
            </w:r>
          </w:p>
        </w:tc>
        <w:tc>
          <w:tcPr>
            <w:tcW w:w="756" w:type="pct"/>
            <w:vMerge w:val="continue"/>
            <w:tcBorders>
              <w:tl2br w:val="nil"/>
              <w:tr2bl w:val="nil"/>
            </w:tcBorders>
            <w:vAlign w:val="center"/>
          </w:tcPr>
          <w:p w14:paraId="6893F2C0">
            <w:pPr>
              <w:widowControl/>
              <w:spacing w:line="240" w:lineRule="auto"/>
              <w:ind w:firstLine="0" w:firstLineChars="0"/>
              <w:jc w:val="center"/>
              <w:textAlignment w:val="center"/>
              <w:rPr>
                <w:bCs/>
                <w:color w:val="auto"/>
                <w:kern w:val="24"/>
                <w:sz w:val="21"/>
                <w:szCs w:val="21"/>
              </w:rPr>
            </w:pPr>
          </w:p>
        </w:tc>
        <w:tc>
          <w:tcPr>
            <w:tcW w:w="701" w:type="pct"/>
            <w:tcBorders>
              <w:tl2br w:val="nil"/>
              <w:tr2bl w:val="nil"/>
            </w:tcBorders>
            <w:vAlign w:val="center"/>
          </w:tcPr>
          <w:p w14:paraId="4D94D98F">
            <w:pPr>
              <w:spacing w:line="240" w:lineRule="auto"/>
              <w:ind w:firstLine="0" w:firstLineChars="0"/>
              <w:jc w:val="center"/>
              <w:rPr>
                <w:color w:val="auto"/>
                <w:sz w:val="21"/>
                <w:szCs w:val="21"/>
              </w:rPr>
            </w:pPr>
            <w:r>
              <w:rPr>
                <w:rFonts w:hint="eastAsia"/>
                <w:color w:val="auto"/>
                <w:sz w:val="21"/>
                <w:szCs w:val="21"/>
              </w:rPr>
              <w:t>硫代硫酸钾</w:t>
            </w:r>
          </w:p>
        </w:tc>
        <w:tc>
          <w:tcPr>
            <w:tcW w:w="756" w:type="pct"/>
            <w:tcBorders>
              <w:tl2br w:val="nil"/>
              <w:tr2bl w:val="nil"/>
            </w:tcBorders>
            <w:vAlign w:val="center"/>
          </w:tcPr>
          <w:p w14:paraId="7C535244">
            <w:pPr>
              <w:widowControl/>
              <w:spacing w:line="240" w:lineRule="auto"/>
              <w:ind w:firstLine="0" w:firstLineChars="0"/>
              <w:jc w:val="center"/>
              <w:rPr>
                <w:color w:val="auto"/>
                <w:kern w:val="0"/>
                <w:sz w:val="21"/>
                <w:szCs w:val="21"/>
              </w:rPr>
            </w:pPr>
            <w:r>
              <w:rPr>
                <w:rFonts w:hint="eastAsia"/>
                <w:color w:val="auto"/>
                <w:kern w:val="0"/>
                <w:sz w:val="21"/>
                <w:szCs w:val="21"/>
              </w:rPr>
              <w:t>46%</w:t>
            </w:r>
          </w:p>
        </w:tc>
        <w:tc>
          <w:tcPr>
            <w:tcW w:w="624" w:type="pct"/>
            <w:tcBorders>
              <w:tl2br w:val="nil"/>
              <w:tr2bl w:val="nil"/>
            </w:tcBorders>
            <w:vAlign w:val="center"/>
          </w:tcPr>
          <w:p w14:paraId="746F32D4">
            <w:pPr>
              <w:widowControl/>
              <w:spacing w:line="240" w:lineRule="auto"/>
              <w:ind w:firstLine="0" w:firstLineChars="0"/>
              <w:jc w:val="center"/>
              <w:textAlignment w:val="center"/>
              <w:rPr>
                <w:bCs/>
                <w:color w:val="auto"/>
                <w:kern w:val="24"/>
                <w:sz w:val="21"/>
                <w:szCs w:val="21"/>
              </w:rPr>
            </w:pPr>
          </w:p>
        </w:tc>
        <w:tc>
          <w:tcPr>
            <w:tcW w:w="624" w:type="pct"/>
            <w:tcBorders>
              <w:tl2br w:val="nil"/>
              <w:tr2bl w:val="nil"/>
            </w:tcBorders>
            <w:vAlign w:val="center"/>
          </w:tcPr>
          <w:p w14:paraId="04FB022E">
            <w:pPr>
              <w:widowControl/>
              <w:spacing w:line="240" w:lineRule="auto"/>
              <w:ind w:firstLine="0" w:firstLineChars="0"/>
              <w:jc w:val="center"/>
              <w:textAlignment w:val="center"/>
              <w:rPr>
                <w:bCs/>
                <w:color w:val="auto"/>
                <w:kern w:val="24"/>
                <w:sz w:val="21"/>
                <w:szCs w:val="21"/>
              </w:rPr>
            </w:pPr>
          </w:p>
        </w:tc>
        <w:tc>
          <w:tcPr>
            <w:tcW w:w="537" w:type="pct"/>
            <w:tcBorders>
              <w:tl2br w:val="nil"/>
              <w:tr2bl w:val="nil"/>
            </w:tcBorders>
            <w:vAlign w:val="center"/>
          </w:tcPr>
          <w:p w14:paraId="219DB5CA">
            <w:pPr>
              <w:spacing w:line="240" w:lineRule="auto"/>
              <w:ind w:firstLine="0" w:firstLineChars="0"/>
              <w:jc w:val="center"/>
              <w:rPr>
                <w:color w:val="auto"/>
                <w:sz w:val="21"/>
                <w:szCs w:val="21"/>
              </w:rPr>
            </w:pPr>
          </w:p>
        </w:tc>
        <w:tc>
          <w:tcPr>
            <w:tcW w:w="735" w:type="pct"/>
            <w:tcBorders>
              <w:tl2br w:val="nil"/>
              <w:tr2bl w:val="nil"/>
            </w:tcBorders>
            <w:vAlign w:val="center"/>
          </w:tcPr>
          <w:p w14:paraId="7DE9CC71">
            <w:pPr>
              <w:spacing w:line="240" w:lineRule="auto"/>
              <w:ind w:firstLine="0" w:firstLineChars="0"/>
              <w:jc w:val="center"/>
              <w:rPr>
                <w:color w:val="auto"/>
                <w:sz w:val="21"/>
                <w:szCs w:val="21"/>
              </w:rPr>
            </w:pPr>
          </w:p>
        </w:tc>
      </w:tr>
    </w:tbl>
    <w:p w14:paraId="3F180B9F">
      <w:pPr>
        <w:spacing w:line="460" w:lineRule="exact"/>
        <w:ind w:firstLine="482"/>
        <w:rPr>
          <w:b/>
          <w:bCs/>
          <w:color w:val="auto"/>
        </w:rPr>
        <w:sectPr>
          <w:pgSz w:w="16838" w:h="11906" w:orient="landscape"/>
          <w:pgMar w:top="1134" w:right="1134" w:bottom="1134" w:left="1134" w:header="851" w:footer="992" w:gutter="0"/>
          <w:cols w:space="425" w:num="1"/>
          <w:docGrid w:type="lines" w:linePitch="312" w:charSpace="0"/>
        </w:sectPr>
      </w:pPr>
    </w:p>
    <w:p w14:paraId="1CD80E62">
      <w:pPr>
        <w:spacing w:line="460" w:lineRule="exact"/>
        <w:ind w:firstLine="482"/>
        <w:rPr>
          <w:b/>
          <w:bCs/>
          <w:color w:val="auto"/>
        </w:rPr>
      </w:pPr>
      <w:r>
        <w:rPr>
          <w:rFonts w:hint="eastAsia"/>
          <w:b/>
          <w:bCs/>
          <w:color w:val="auto"/>
        </w:rPr>
        <w:t>（二）产品质量标准</w:t>
      </w:r>
    </w:p>
    <w:p w14:paraId="7F9F2A70">
      <w:pPr>
        <w:spacing w:line="460" w:lineRule="exact"/>
        <w:ind w:firstLine="480"/>
        <w:rPr>
          <w:color w:val="auto"/>
        </w:rPr>
      </w:pPr>
      <w:r>
        <w:rPr>
          <w:color w:val="auto"/>
        </w:rPr>
        <w:t>拟建项目产品</w:t>
      </w:r>
      <w:r>
        <w:rPr>
          <w:rFonts w:hint="eastAsia"/>
          <w:color w:val="auto"/>
        </w:rPr>
        <w:t>参照</w:t>
      </w:r>
      <w:r>
        <w:rPr>
          <w:color w:val="auto"/>
        </w:rPr>
        <w:t>执行标准见下表。</w:t>
      </w:r>
    </w:p>
    <w:p w14:paraId="59F78AAB">
      <w:pPr>
        <w:spacing w:line="460" w:lineRule="exact"/>
        <w:ind w:firstLine="480"/>
        <w:rPr>
          <w:color w:val="auto"/>
        </w:rPr>
      </w:pPr>
      <w:r>
        <w:rPr>
          <w:color w:val="auto"/>
        </w:rPr>
        <w:t>亚硫酸钾产品质量</w:t>
      </w:r>
      <w:r>
        <w:rPr>
          <w:rFonts w:hint="eastAsia"/>
          <w:color w:val="auto"/>
        </w:rPr>
        <w:t>参照</w:t>
      </w:r>
      <w:r>
        <w:rPr>
          <w:color w:val="auto"/>
        </w:rPr>
        <w:t>执行《摄影 加工用化学品-亚硫酸钾溶液（650g/L）（GB/T22409-2008/ISO5990</w:t>
      </w:r>
      <w:r>
        <w:rPr>
          <w:rFonts w:hint="eastAsia"/>
          <w:color w:val="auto"/>
        </w:rPr>
        <w:t>:</w:t>
      </w:r>
      <w:r>
        <w:rPr>
          <w:color w:val="auto"/>
        </w:rPr>
        <w:t>2000）》标准</w:t>
      </w:r>
      <w:r>
        <w:rPr>
          <w:rFonts w:hint="eastAsia"/>
          <w:color w:val="auto"/>
        </w:rPr>
        <w:t>。</w:t>
      </w:r>
    </w:p>
    <w:p w14:paraId="2FFF00C6">
      <w:pPr>
        <w:spacing w:line="240" w:lineRule="auto"/>
        <w:ind w:firstLine="0" w:firstLineChars="0"/>
        <w:jc w:val="center"/>
        <w:rPr>
          <w:b/>
          <w:bCs/>
          <w:color w:val="auto"/>
        </w:rPr>
      </w:pPr>
      <w:r>
        <w:rPr>
          <w:rFonts w:hint="eastAsia"/>
          <w:b/>
          <w:bCs/>
          <w:color w:val="auto"/>
        </w:rPr>
        <w:t>表4.1-3  亚硫酸钾产品标准</w:t>
      </w:r>
    </w:p>
    <w:tbl>
      <w:tblPr>
        <w:tblStyle w:val="24"/>
        <w:tblW w:w="5006"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984"/>
        <w:gridCol w:w="3882"/>
      </w:tblGrid>
      <w:tr w14:paraId="1F19E8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 w:hRule="atLeast"/>
          <w:tblHeader/>
        </w:trPr>
        <w:tc>
          <w:tcPr>
            <w:tcW w:w="3032" w:type="pct"/>
            <w:tcBorders>
              <w:tl2br w:val="nil"/>
              <w:tr2bl w:val="nil"/>
            </w:tcBorders>
            <w:vAlign w:val="center"/>
          </w:tcPr>
          <w:p w14:paraId="472F57F2">
            <w:pPr>
              <w:widowControl/>
              <w:spacing w:line="240" w:lineRule="auto"/>
              <w:ind w:firstLine="422"/>
              <w:jc w:val="center"/>
              <w:textAlignment w:val="center"/>
              <w:rPr>
                <w:b/>
                <w:bCs/>
                <w:color w:val="auto"/>
                <w:kern w:val="24"/>
                <w:sz w:val="21"/>
                <w:szCs w:val="21"/>
              </w:rPr>
            </w:pPr>
            <w:r>
              <w:rPr>
                <w:b/>
                <w:bCs/>
                <w:color w:val="auto"/>
                <w:kern w:val="24"/>
                <w:sz w:val="21"/>
                <w:szCs w:val="21"/>
              </w:rPr>
              <w:t>项目</w:t>
            </w:r>
          </w:p>
        </w:tc>
        <w:tc>
          <w:tcPr>
            <w:tcW w:w="1967" w:type="pct"/>
            <w:tcBorders>
              <w:tl2br w:val="nil"/>
              <w:tr2bl w:val="nil"/>
            </w:tcBorders>
            <w:vAlign w:val="center"/>
          </w:tcPr>
          <w:p w14:paraId="04C7DF3D">
            <w:pPr>
              <w:widowControl/>
              <w:spacing w:line="240" w:lineRule="auto"/>
              <w:ind w:firstLine="422"/>
              <w:jc w:val="center"/>
              <w:textAlignment w:val="center"/>
              <w:rPr>
                <w:b/>
                <w:bCs/>
                <w:color w:val="auto"/>
                <w:kern w:val="24"/>
                <w:sz w:val="21"/>
                <w:szCs w:val="21"/>
              </w:rPr>
            </w:pPr>
            <w:r>
              <w:rPr>
                <w:b/>
                <w:bCs/>
                <w:color w:val="auto"/>
                <w:kern w:val="24"/>
                <w:sz w:val="21"/>
                <w:szCs w:val="21"/>
              </w:rPr>
              <w:t>指标</w:t>
            </w:r>
          </w:p>
        </w:tc>
      </w:tr>
      <w:tr w14:paraId="37B9A15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5" w:hRule="atLeast"/>
        </w:trPr>
        <w:tc>
          <w:tcPr>
            <w:tcW w:w="3032" w:type="pct"/>
            <w:tcBorders>
              <w:tl2br w:val="nil"/>
              <w:tr2bl w:val="nil"/>
            </w:tcBorders>
            <w:vAlign w:val="center"/>
          </w:tcPr>
          <w:p w14:paraId="40BC2B16">
            <w:pPr>
              <w:widowControl/>
              <w:spacing w:line="240" w:lineRule="auto"/>
              <w:ind w:firstLine="420"/>
              <w:jc w:val="center"/>
              <w:textAlignment w:val="center"/>
              <w:rPr>
                <w:color w:val="auto"/>
                <w:kern w:val="24"/>
                <w:sz w:val="21"/>
                <w:szCs w:val="21"/>
              </w:rPr>
            </w:pPr>
            <w:r>
              <w:rPr>
                <w:rFonts w:hint="eastAsia"/>
                <w:color w:val="auto"/>
                <w:kern w:val="24"/>
                <w:sz w:val="21"/>
                <w:szCs w:val="21"/>
              </w:rPr>
              <w:t>含量/%</w:t>
            </w:r>
          </w:p>
        </w:tc>
        <w:tc>
          <w:tcPr>
            <w:tcW w:w="1967" w:type="pct"/>
            <w:tcBorders>
              <w:tl2br w:val="nil"/>
              <w:tr2bl w:val="nil"/>
            </w:tcBorders>
            <w:vAlign w:val="center"/>
          </w:tcPr>
          <w:p w14:paraId="45D07F26">
            <w:pPr>
              <w:widowControl/>
              <w:spacing w:line="240" w:lineRule="auto"/>
              <w:ind w:firstLine="420"/>
              <w:jc w:val="center"/>
              <w:textAlignment w:val="center"/>
              <w:rPr>
                <w:color w:val="auto"/>
                <w:kern w:val="24"/>
                <w:sz w:val="21"/>
                <w:szCs w:val="21"/>
              </w:rPr>
            </w:pPr>
            <w:r>
              <w:rPr>
                <w:rFonts w:hint="eastAsia"/>
                <w:color w:val="auto"/>
                <w:kern w:val="24"/>
                <w:sz w:val="21"/>
                <w:szCs w:val="21"/>
              </w:rPr>
              <w:t>44.5~46.0</w:t>
            </w:r>
          </w:p>
        </w:tc>
      </w:tr>
      <w:tr w14:paraId="3CD49F0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5" w:hRule="atLeast"/>
        </w:trPr>
        <w:tc>
          <w:tcPr>
            <w:tcW w:w="3032" w:type="pct"/>
            <w:tcBorders>
              <w:tl2br w:val="nil"/>
              <w:tr2bl w:val="nil"/>
            </w:tcBorders>
            <w:vAlign w:val="center"/>
          </w:tcPr>
          <w:p w14:paraId="7217A822">
            <w:pPr>
              <w:widowControl/>
              <w:spacing w:line="240" w:lineRule="auto"/>
              <w:ind w:firstLine="420"/>
              <w:jc w:val="center"/>
              <w:textAlignment w:val="center"/>
              <w:rPr>
                <w:color w:val="auto"/>
                <w:kern w:val="24"/>
                <w:sz w:val="21"/>
                <w:szCs w:val="21"/>
              </w:rPr>
            </w:pPr>
            <w:r>
              <w:rPr>
                <w:rFonts w:hint="eastAsia"/>
                <w:color w:val="auto"/>
                <w:kern w:val="24"/>
                <w:sz w:val="21"/>
                <w:szCs w:val="21"/>
              </w:rPr>
              <w:t>重金属质量分数（以Pb计）/%  ≤</w:t>
            </w:r>
          </w:p>
        </w:tc>
        <w:tc>
          <w:tcPr>
            <w:tcW w:w="1967" w:type="pct"/>
            <w:tcBorders>
              <w:tl2br w:val="nil"/>
              <w:tr2bl w:val="nil"/>
            </w:tcBorders>
            <w:vAlign w:val="center"/>
          </w:tcPr>
          <w:p w14:paraId="17CB4019">
            <w:pPr>
              <w:widowControl/>
              <w:spacing w:line="240" w:lineRule="auto"/>
              <w:ind w:firstLine="420"/>
              <w:jc w:val="center"/>
              <w:textAlignment w:val="center"/>
              <w:rPr>
                <w:color w:val="auto"/>
                <w:kern w:val="24"/>
                <w:sz w:val="21"/>
                <w:szCs w:val="21"/>
              </w:rPr>
            </w:pPr>
            <w:r>
              <w:rPr>
                <w:rFonts w:hint="eastAsia"/>
                <w:color w:val="auto"/>
                <w:kern w:val="24"/>
                <w:sz w:val="21"/>
                <w:szCs w:val="21"/>
              </w:rPr>
              <w:t>0.002</w:t>
            </w:r>
          </w:p>
        </w:tc>
      </w:tr>
      <w:tr w14:paraId="3D40A66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5" w:hRule="atLeast"/>
        </w:trPr>
        <w:tc>
          <w:tcPr>
            <w:tcW w:w="3032" w:type="pct"/>
            <w:tcBorders>
              <w:tl2br w:val="nil"/>
              <w:tr2bl w:val="nil"/>
            </w:tcBorders>
            <w:vAlign w:val="center"/>
          </w:tcPr>
          <w:p w14:paraId="215FE86E">
            <w:pPr>
              <w:widowControl/>
              <w:spacing w:line="240" w:lineRule="auto"/>
              <w:ind w:firstLine="420"/>
              <w:jc w:val="center"/>
              <w:textAlignment w:val="center"/>
              <w:rPr>
                <w:color w:val="auto"/>
                <w:kern w:val="24"/>
                <w:sz w:val="21"/>
                <w:szCs w:val="21"/>
              </w:rPr>
            </w:pPr>
            <w:r>
              <w:rPr>
                <w:rFonts w:hint="eastAsia"/>
                <w:color w:val="auto"/>
                <w:kern w:val="24"/>
                <w:sz w:val="21"/>
                <w:szCs w:val="21"/>
              </w:rPr>
              <w:t>铁质量分数（以Fe计）/%  ≤</w:t>
            </w:r>
          </w:p>
        </w:tc>
        <w:tc>
          <w:tcPr>
            <w:tcW w:w="1967" w:type="pct"/>
            <w:tcBorders>
              <w:tl2br w:val="nil"/>
              <w:tr2bl w:val="nil"/>
            </w:tcBorders>
            <w:vAlign w:val="center"/>
          </w:tcPr>
          <w:p w14:paraId="7D428675">
            <w:pPr>
              <w:widowControl/>
              <w:spacing w:line="240" w:lineRule="auto"/>
              <w:ind w:firstLine="420"/>
              <w:jc w:val="center"/>
              <w:textAlignment w:val="center"/>
              <w:rPr>
                <w:color w:val="auto"/>
                <w:kern w:val="24"/>
                <w:sz w:val="21"/>
                <w:szCs w:val="21"/>
              </w:rPr>
            </w:pPr>
            <w:r>
              <w:rPr>
                <w:rFonts w:hint="eastAsia"/>
                <w:color w:val="auto"/>
                <w:kern w:val="24"/>
                <w:sz w:val="21"/>
                <w:szCs w:val="21"/>
              </w:rPr>
              <w:t>0.002</w:t>
            </w:r>
          </w:p>
        </w:tc>
      </w:tr>
      <w:tr w14:paraId="049E78C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5" w:hRule="atLeast"/>
        </w:trPr>
        <w:tc>
          <w:tcPr>
            <w:tcW w:w="3032" w:type="pct"/>
            <w:tcBorders>
              <w:tl2br w:val="nil"/>
              <w:tr2bl w:val="nil"/>
            </w:tcBorders>
            <w:vAlign w:val="center"/>
          </w:tcPr>
          <w:p w14:paraId="3B0CA471">
            <w:pPr>
              <w:widowControl/>
              <w:spacing w:line="240" w:lineRule="auto"/>
              <w:ind w:firstLine="420"/>
              <w:jc w:val="center"/>
              <w:textAlignment w:val="center"/>
              <w:rPr>
                <w:color w:val="auto"/>
                <w:kern w:val="24"/>
                <w:sz w:val="21"/>
                <w:szCs w:val="21"/>
              </w:rPr>
            </w:pPr>
            <w:r>
              <w:rPr>
                <w:rFonts w:hint="eastAsia"/>
                <w:color w:val="auto"/>
                <w:kern w:val="24"/>
                <w:sz w:val="21"/>
                <w:szCs w:val="21"/>
              </w:rPr>
              <w:t>和硝酸银氨溶液的反应</w:t>
            </w:r>
          </w:p>
        </w:tc>
        <w:tc>
          <w:tcPr>
            <w:tcW w:w="1967" w:type="pct"/>
            <w:tcBorders>
              <w:tl2br w:val="nil"/>
              <w:tr2bl w:val="nil"/>
            </w:tcBorders>
            <w:vAlign w:val="center"/>
          </w:tcPr>
          <w:p w14:paraId="4FCD037B">
            <w:pPr>
              <w:widowControl/>
              <w:spacing w:line="240" w:lineRule="auto"/>
              <w:ind w:firstLine="420"/>
              <w:jc w:val="center"/>
              <w:textAlignment w:val="center"/>
              <w:rPr>
                <w:color w:val="auto"/>
                <w:kern w:val="24"/>
                <w:sz w:val="21"/>
                <w:szCs w:val="21"/>
              </w:rPr>
            </w:pPr>
            <w:r>
              <w:rPr>
                <w:rFonts w:hint="eastAsia"/>
                <w:color w:val="auto"/>
                <w:kern w:val="24"/>
                <w:sz w:val="21"/>
                <w:szCs w:val="21"/>
              </w:rPr>
              <w:t>合格</w:t>
            </w:r>
          </w:p>
        </w:tc>
      </w:tr>
      <w:tr w14:paraId="27D3955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1" w:hRule="atLeast"/>
        </w:trPr>
        <w:tc>
          <w:tcPr>
            <w:tcW w:w="3032" w:type="pct"/>
            <w:tcBorders>
              <w:tl2br w:val="nil"/>
              <w:tr2bl w:val="nil"/>
            </w:tcBorders>
            <w:vAlign w:val="center"/>
          </w:tcPr>
          <w:p w14:paraId="50D6A800">
            <w:pPr>
              <w:widowControl/>
              <w:spacing w:line="240" w:lineRule="auto"/>
              <w:ind w:firstLine="420"/>
              <w:jc w:val="center"/>
              <w:textAlignment w:val="center"/>
              <w:rPr>
                <w:color w:val="auto"/>
                <w:kern w:val="24"/>
                <w:sz w:val="21"/>
                <w:szCs w:val="21"/>
              </w:rPr>
            </w:pPr>
            <w:r>
              <w:rPr>
                <w:rFonts w:hint="eastAsia"/>
                <w:color w:val="auto"/>
                <w:kern w:val="24"/>
                <w:sz w:val="21"/>
                <w:szCs w:val="21"/>
              </w:rPr>
              <w:t>相对密度或密度规格</w:t>
            </w:r>
          </w:p>
          <w:p w14:paraId="72FB7603">
            <w:pPr>
              <w:widowControl/>
              <w:spacing w:line="240" w:lineRule="auto"/>
              <w:ind w:firstLine="420"/>
              <w:jc w:val="center"/>
              <w:textAlignment w:val="center"/>
              <w:rPr>
                <w:color w:val="auto"/>
                <w:kern w:val="24"/>
                <w:sz w:val="21"/>
                <w:szCs w:val="21"/>
              </w:rPr>
            </w:pPr>
            <w:r>
              <w:rPr>
                <w:rFonts w:hint="eastAsia"/>
                <w:color w:val="auto"/>
                <w:kern w:val="24"/>
                <w:sz w:val="21"/>
                <w:szCs w:val="21"/>
              </w:rPr>
              <w:t>相对密度</w:t>
            </w:r>
          </w:p>
          <w:p w14:paraId="083A7DFB">
            <w:pPr>
              <w:widowControl/>
              <w:spacing w:line="240" w:lineRule="auto"/>
              <w:ind w:firstLine="420"/>
              <w:jc w:val="center"/>
              <w:textAlignment w:val="center"/>
              <w:rPr>
                <w:color w:val="auto"/>
                <w:kern w:val="24"/>
                <w:sz w:val="21"/>
                <w:szCs w:val="21"/>
              </w:rPr>
            </w:pPr>
            <w:r>
              <w:rPr>
                <w:rFonts w:hint="eastAsia"/>
                <w:color w:val="auto"/>
                <w:kern w:val="24"/>
                <w:sz w:val="21"/>
                <w:szCs w:val="21"/>
              </w:rPr>
              <w:t>密度（g/mL）</w:t>
            </w:r>
          </w:p>
        </w:tc>
        <w:tc>
          <w:tcPr>
            <w:tcW w:w="1967" w:type="pct"/>
            <w:tcBorders>
              <w:tl2br w:val="nil"/>
              <w:tr2bl w:val="nil"/>
            </w:tcBorders>
            <w:vAlign w:val="center"/>
          </w:tcPr>
          <w:p w14:paraId="221092B5">
            <w:pPr>
              <w:widowControl/>
              <w:spacing w:line="240" w:lineRule="auto"/>
              <w:ind w:firstLine="420"/>
              <w:jc w:val="center"/>
              <w:textAlignment w:val="center"/>
              <w:rPr>
                <w:color w:val="auto"/>
                <w:kern w:val="24"/>
                <w:sz w:val="21"/>
                <w:szCs w:val="21"/>
              </w:rPr>
            </w:pPr>
            <w:r>
              <w:rPr>
                <w:rFonts w:hint="eastAsia"/>
                <w:color w:val="auto"/>
                <w:kern w:val="24"/>
                <w:sz w:val="21"/>
                <w:szCs w:val="21"/>
              </w:rPr>
              <w:t>1.445~1.460</w:t>
            </w:r>
          </w:p>
          <w:p w14:paraId="2FE81555">
            <w:pPr>
              <w:widowControl/>
              <w:spacing w:line="240" w:lineRule="auto"/>
              <w:ind w:firstLine="420"/>
              <w:jc w:val="center"/>
              <w:textAlignment w:val="center"/>
              <w:rPr>
                <w:color w:val="auto"/>
                <w:kern w:val="24"/>
                <w:sz w:val="21"/>
                <w:szCs w:val="21"/>
              </w:rPr>
            </w:pPr>
            <w:r>
              <w:rPr>
                <w:rFonts w:hint="eastAsia"/>
                <w:color w:val="auto"/>
                <w:kern w:val="24"/>
                <w:sz w:val="21"/>
                <w:szCs w:val="21"/>
              </w:rPr>
              <w:t>1.441~1.457</w:t>
            </w:r>
          </w:p>
        </w:tc>
      </w:tr>
      <w:tr w14:paraId="5DF804D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5" w:hRule="atLeast"/>
        </w:trPr>
        <w:tc>
          <w:tcPr>
            <w:tcW w:w="3032" w:type="pct"/>
            <w:tcBorders>
              <w:tl2br w:val="nil"/>
              <w:tr2bl w:val="nil"/>
            </w:tcBorders>
            <w:vAlign w:val="center"/>
          </w:tcPr>
          <w:p w14:paraId="793211B6">
            <w:pPr>
              <w:widowControl/>
              <w:spacing w:line="240" w:lineRule="auto"/>
              <w:ind w:firstLine="420"/>
              <w:jc w:val="center"/>
              <w:textAlignment w:val="center"/>
              <w:rPr>
                <w:color w:val="auto"/>
                <w:kern w:val="24"/>
                <w:sz w:val="21"/>
                <w:szCs w:val="21"/>
              </w:rPr>
            </w:pPr>
            <w:r>
              <w:rPr>
                <w:rFonts w:hint="eastAsia"/>
                <w:color w:val="auto"/>
                <w:kern w:val="24"/>
                <w:sz w:val="21"/>
                <w:szCs w:val="21"/>
              </w:rPr>
              <w:t>（1+9）溶液pH值</w:t>
            </w:r>
          </w:p>
        </w:tc>
        <w:tc>
          <w:tcPr>
            <w:tcW w:w="1967" w:type="pct"/>
            <w:tcBorders>
              <w:tl2br w:val="nil"/>
              <w:tr2bl w:val="nil"/>
            </w:tcBorders>
            <w:vAlign w:val="center"/>
          </w:tcPr>
          <w:p w14:paraId="55861547">
            <w:pPr>
              <w:widowControl/>
              <w:spacing w:line="240" w:lineRule="auto"/>
              <w:ind w:firstLine="420"/>
              <w:jc w:val="center"/>
              <w:textAlignment w:val="center"/>
              <w:rPr>
                <w:color w:val="auto"/>
                <w:kern w:val="24"/>
                <w:sz w:val="21"/>
                <w:szCs w:val="21"/>
              </w:rPr>
            </w:pPr>
            <w:r>
              <w:rPr>
                <w:rFonts w:hint="eastAsia"/>
                <w:color w:val="auto"/>
                <w:kern w:val="24"/>
                <w:sz w:val="21"/>
                <w:szCs w:val="21"/>
              </w:rPr>
              <w:t>8.0~10.0</w:t>
            </w:r>
          </w:p>
        </w:tc>
      </w:tr>
      <w:tr w14:paraId="5C011EB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5" w:hRule="atLeast"/>
        </w:trPr>
        <w:tc>
          <w:tcPr>
            <w:tcW w:w="3032" w:type="pct"/>
            <w:tcBorders>
              <w:tl2br w:val="nil"/>
              <w:tr2bl w:val="nil"/>
            </w:tcBorders>
            <w:vAlign w:val="center"/>
          </w:tcPr>
          <w:p w14:paraId="20E5D8BC">
            <w:pPr>
              <w:widowControl/>
              <w:spacing w:line="240" w:lineRule="auto"/>
              <w:ind w:firstLine="420"/>
              <w:jc w:val="center"/>
              <w:textAlignment w:val="center"/>
              <w:rPr>
                <w:color w:val="auto"/>
                <w:kern w:val="24"/>
                <w:sz w:val="21"/>
                <w:szCs w:val="21"/>
              </w:rPr>
            </w:pPr>
            <w:r>
              <w:rPr>
                <w:rFonts w:hint="eastAsia"/>
                <w:color w:val="auto"/>
                <w:kern w:val="24"/>
                <w:sz w:val="21"/>
                <w:szCs w:val="21"/>
              </w:rPr>
              <w:t>硫代硫酸盐质量分数（以S</w:t>
            </w:r>
            <w:r>
              <w:rPr>
                <w:rFonts w:hint="eastAsia"/>
                <w:color w:val="auto"/>
                <w:kern w:val="24"/>
                <w:sz w:val="21"/>
                <w:szCs w:val="21"/>
                <w:vertAlign w:val="subscript"/>
              </w:rPr>
              <w:t>2</w:t>
            </w:r>
            <w:r>
              <w:rPr>
                <w:rFonts w:hint="eastAsia"/>
                <w:color w:val="auto"/>
                <w:kern w:val="24"/>
                <w:sz w:val="21"/>
                <w:szCs w:val="21"/>
              </w:rPr>
              <w:t>O</w:t>
            </w:r>
            <w:r>
              <w:rPr>
                <w:rFonts w:hint="eastAsia"/>
                <w:color w:val="auto"/>
                <w:kern w:val="24"/>
                <w:sz w:val="21"/>
                <w:szCs w:val="21"/>
                <w:vertAlign w:val="subscript"/>
              </w:rPr>
              <w:t>3</w:t>
            </w:r>
            <w:r>
              <w:rPr>
                <w:rFonts w:hint="eastAsia"/>
                <w:color w:val="auto"/>
                <w:kern w:val="24"/>
                <w:sz w:val="21"/>
                <w:szCs w:val="21"/>
                <w:vertAlign w:val="superscript"/>
              </w:rPr>
              <w:t>2-</w:t>
            </w:r>
            <w:r>
              <w:rPr>
                <w:rFonts w:hint="eastAsia"/>
                <w:color w:val="auto"/>
                <w:kern w:val="24"/>
                <w:sz w:val="21"/>
                <w:szCs w:val="21"/>
              </w:rPr>
              <w:t>计）</w:t>
            </w:r>
          </w:p>
        </w:tc>
        <w:tc>
          <w:tcPr>
            <w:tcW w:w="1967" w:type="pct"/>
            <w:tcBorders>
              <w:tl2br w:val="nil"/>
              <w:tr2bl w:val="nil"/>
            </w:tcBorders>
            <w:vAlign w:val="center"/>
          </w:tcPr>
          <w:p w14:paraId="063AA034">
            <w:pPr>
              <w:widowControl/>
              <w:spacing w:line="240" w:lineRule="auto"/>
              <w:ind w:firstLine="420"/>
              <w:jc w:val="center"/>
              <w:textAlignment w:val="center"/>
              <w:rPr>
                <w:color w:val="auto"/>
                <w:kern w:val="24"/>
                <w:sz w:val="21"/>
                <w:szCs w:val="21"/>
              </w:rPr>
            </w:pPr>
            <w:r>
              <w:rPr>
                <w:rFonts w:hint="eastAsia"/>
                <w:color w:val="auto"/>
                <w:kern w:val="24"/>
                <w:sz w:val="21"/>
                <w:szCs w:val="21"/>
              </w:rPr>
              <w:t>0.005</w:t>
            </w:r>
          </w:p>
        </w:tc>
      </w:tr>
      <w:tr w14:paraId="52CD7A1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8" w:hRule="atLeast"/>
        </w:trPr>
        <w:tc>
          <w:tcPr>
            <w:tcW w:w="3032" w:type="pct"/>
            <w:tcBorders>
              <w:tl2br w:val="nil"/>
              <w:tr2bl w:val="nil"/>
            </w:tcBorders>
            <w:vAlign w:val="center"/>
          </w:tcPr>
          <w:p w14:paraId="0EF33DE8">
            <w:pPr>
              <w:widowControl/>
              <w:spacing w:line="240" w:lineRule="auto"/>
              <w:ind w:firstLine="420"/>
              <w:jc w:val="center"/>
              <w:textAlignment w:val="center"/>
              <w:rPr>
                <w:color w:val="auto"/>
                <w:kern w:val="24"/>
                <w:sz w:val="21"/>
                <w:szCs w:val="21"/>
              </w:rPr>
            </w:pPr>
            <w:r>
              <w:rPr>
                <w:rFonts w:hint="eastAsia"/>
                <w:color w:val="auto"/>
                <w:kern w:val="24"/>
                <w:sz w:val="21"/>
                <w:szCs w:val="21"/>
              </w:rPr>
              <w:t>溶液外观</w:t>
            </w:r>
          </w:p>
        </w:tc>
        <w:tc>
          <w:tcPr>
            <w:tcW w:w="1967" w:type="pct"/>
            <w:tcBorders>
              <w:tl2br w:val="nil"/>
              <w:tr2bl w:val="nil"/>
            </w:tcBorders>
            <w:vAlign w:val="center"/>
          </w:tcPr>
          <w:p w14:paraId="67035B8A">
            <w:pPr>
              <w:widowControl/>
              <w:spacing w:line="240" w:lineRule="auto"/>
              <w:ind w:firstLine="420"/>
              <w:jc w:val="center"/>
              <w:textAlignment w:val="center"/>
              <w:rPr>
                <w:color w:val="auto"/>
                <w:kern w:val="24"/>
                <w:sz w:val="21"/>
                <w:szCs w:val="21"/>
              </w:rPr>
            </w:pPr>
            <w:r>
              <w:rPr>
                <w:rFonts w:hint="eastAsia"/>
                <w:color w:val="auto"/>
                <w:kern w:val="24"/>
                <w:sz w:val="21"/>
                <w:szCs w:val="21"/>
              </w:rPr>
              <w:t>透明无不溶物（微量絮状物除外）</w:t>
            </w:r>
          </w:p>
        </w:tc>
      </w:tr>
    </w:tbl>
    <w:p w14:paraId="62BAE2C8">
      <w:pPr>
        <w:spacing w:line="460" w:lineRule="exact"/>
        <w:ind w:firstLine="480"/>
        <w:rPr>
          <w:color w:val="auto"/>
        </w:rPr>
      </w:pPr>
      <w:r>
        <w:rPr>
          <w:rFonts w:hint="eastAsia"/>
          <w:color w:val="auto"/>
        </w:rPr>
        <w:t>固体亚硫酸钾产品质量参照执行企业标准《Q/ZBCCHGC001-2025》。</w:t>
      </w:r>
    </w:p>
    <w:p w14:paraId="2A03788A">
      <w:pPr>
        <w:adjustRightInd/>
        <w:snapToGrid/>
        <w:spacing w:line="240" w:lineRule="auto"/>
        <w:ind w:firstLine="482"/>
        <w:jc w:val="center"/>
        <w:rPr>
          <w:b/>
          <w:bCs/>
          <w:color w:val="auto"/>
        </w:rPr>
      </w:pPr>
      <w:r>
        <w:rPr>
          <w:rFonts w:hint="eastAsia"/>
          <w:b/>
          <w:bCs/>
          <w:color w:val="auto"/>
        </w:rPr>
        <w:t>表4.1-4  亚硫酸钾产品标准</w:t>
      </w:r>
    </w:p>
    <w:tbl>
      <w:tblPr>
        <w:tblStyle w:val="24"/>
        <w:tblW w:w="4985"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960"/>
        <w:gridCol w:w="3864"/>
      </w:tblGrid>
      <w:tr w14:paraId="24FED5B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9" w:hRule="atLeast"/>
          <w:tblHeader/>
        </w:trPr>
        <w:tc>
          <w:tcPr>
            <w:tcW w:w="3033" w:type="pct"/>
            <w:tcBorders>
              <w:tl2br w:val="nil"/>
              <w:tr2bl w:val="nil"/>
            </w:tcBorders>
            <w:vAlign w:val="center"/>
          </w:tcPr>
          <w:p w14:paraId="6A4FF7A7">
            <w:pPr>
              <w:widowControl/>
              <w:spacing w:line="240" w:lineRule="auto"/>
              <w:ind w:firstLine="422"/>
              <w:jc w:val="center"/>
              <w:textAlignment w:val="center"/>
              <w:rPr>
                <w:b/>
                <w:bCs/>
                <w:color w:val="auto"/>
                <w:kern w:val="24"/>
                <w:sz w:val="21"/>
                <w:szCs w:val="21"/>
              </w:rPr>
            </w:pPr>
            <w:r>
              <w:rPr>
                <w:b/>
                <w:bCs/>
                <w:color w:val="auto"/>
                <w:kern w:val="24"/>
                <w:sz w:val="21"/>
                <w:szCs w:val="21"/>
              </w:rPr>
              <w:t>项目</w:t>
            </w:r>
          </w:p>
        </w:tc>
        <w:tc>
          <w:tcPr>
            <w:tcW w:w="1966" w:type="pct"/>
            <w:tcBorders>
              <w:tl2br w:val="nil"/>
              <w:tr2bl w:val="nil"/>
            </w:tcBorders>
            <w:vAlign w:val="center"/>
          </w:tcPr>
          <w:p w14:paraId="16C22B11">
            <w:pPr>
              <w:widowControl/>
              <w:spacing w:line="240" w:lineRule="auto"/>
              <w:ind w:firstLine="422"/>
              <w:jc w:val="center"/>
              <w:textAlignment w:val="center"/>
              <w:rPr>
                <w:b/>
                <w:bCs/>
                <w:color w:val="auto"/>
                <w:kern w:val="24"/>
                <w:sz w:val="21"/>
                <w:szCs w:val="21"/>
              </w:rPr>
            </w:pPr>
            <w:r>
              <w:rPr>
                <w:b/>
                <w:bCs/>
                <w:color w:val="auto"/>
                <w:kern w:val="24"/>
                <w:sz w:val="21"/>
                <w:szCs w:val="21"/>
              </w:rPr>
              <w:t>指标</w:t>
            </w:r>
          </w:p>
        </w:tc>
      </w:tr>
      <w:tr w14:paraId="4923519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9" w:hRule="atLeast"/>
        </w:trPr>
        <w:tc>
          <w:tcPr>
            <w:tcW w:w="3033" w:type="pct"/>
            <w:tcBorders>
              <w:tl2br w:val="nil"/>
              <w:tr2bl w:val="nil"/>
            </w:tcBorders>
            <w:vAlign w:val="center"/>
          </w:tcPr>
          <w:p w14:paraId="3790EBE1">
            <w:pPr>
              <w:widowControl/>
              <w:spacing w:line="240" w:lineRule="auto"/>
              <w:ind w:firstLine="420"/>
              <w:jc w:val="center"/>
              <w:textAlignment w:val="center"/>
              <w:rPr>
                <w:color w:val="auto"/>
                <w:kern w:val="24"/>
                <w:sz w:val="21"/>
                <w:szCs w:val="21"/>
              </w:rPr>
            </w:pPr>
            <w:r>
              <w:rPr>
                <w:rFonts w:hint="eastAsia"/>
                <w:color w:val="auto"/>
                <w:kern w:val="24"/>
                <w:sz w:val="21"/>
                <w:szCs w:val="21"/>
              </w:rPr>
              <w:t>含量（K</w:t>
            </w:r>
            <w:r>
              <w:rPr>
                <w:rFonts w:hint="eastAsia"/>
                <w:color w:val="auto"/>
                <w:kern w:val="24"/>
                <w:sz w:val="21"/>
                <w:szCs w:val="21"/>
                <w:vertAlign w:val="subscript"/>
              </w:rPr>
              <w:t>2</w:t>
            </w:r>
            <w:r>
              <w:rPr>
                <w:rFonts w:hint="eastAsia"/>
                <w:color w:val="auto"/>
                <w:kern w:val="24"/>
                <w:sz w:val="21"/>
                <w:szCs w:val="21"/>
              </w:rPr>
              <w:t>SO</w:t>
            </w:r>
            <w:r>
              <w:rPr>
                <w:rFonts w:hint="eastAsia"/>
                <w:color w:val="auto"/>
                <w:kern w:val="24"/>
                <w:sz w:val="21"/>
                <w:szCs w:val="21"/>
                <w:vertAlign w:val="subscript"/>
              </w:rPr>
              <w:t>3</w:t>
            </w:r>
            <w:r>
              <w:rPr>
                <w:rFonts w:hint="eastAsia"/>
                <w:color w:val="auto"/>
                <w:kern w:val="24"/>
                <w:sz w:val="21"/>
                <w:szCs w:val="21"/>
              </w:rPr>
              <w:t>）W /%  ≥</w:t>
            </w:r>
          </w:p>
        </w:tc>
        <w:tc>
          <w:tcPr>
            <w:tcW w:w="1966" w:type="pct"/>
            <w:tcBorders>
              <w:tl2br w:val="nil"/>
              <w:tr2bl w:val="nil"/>
            </w:tcBorders>
            <w:vAlign w:val="center"/>
          </w:tcPr>
          <w:p w14:paraId="0DFC6EFB">
            <w:pPr>
              <w:widowControl/>
              <w:spacing w:line="240" w:lineRule="auto"/>
              <w:ind w:firstLine="420"/>
              <w:jc w:val="center"/>
              <w:textAlignment w:val="center"/>
              <w:rPr>
                <w:color w:val="auto"/>
                <w:kern w:val="24"/>
                <w:sz w:val="21"/>
                <w:szCs w:val="21"/>
              </w:rPr>
            </w:pPr>
            <w:r>
              <w:rPr>
                <w:rFonts w:hint="eastAsia"/>
                <w:color w:val="auto"/>
                <w:kern w:val="24"/>
                <w:sz w:val="21"/>
                <w:szCs w:val="21"/>
              </w:rPr>
              <w:t>96.0</w:t>
            </w:r>
          </w:p>
        </w:tc>
      </w:tr>
      <w:tr w14:paraId="23218AE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9" w:hRule="atLeast"/>
        </w:trPr>
        <w:tc>
          <w:tcPr>
            <w:tcW w:w="3033" w:type="pct"/>
            <w:tcBorders>
              <w:tl2br w:val="nil"/>
              <w:tr2bl w:val="nil"/>
            </w:tcBorders>
            <w:vAlign w:val="center"/>
          </w:tcPr>
          <w:p w14:paraId="2312780D">
            <w:pPr>
              <w:widowControl/>
              <w:spacing w:line="240" w:lineRule="auto"/>
              <w:ind w:firstLine="420"/>
              <w:jc w:val="center"/>
              <w:textAlignment w:val="center"/>
              <w:rPr>
                <w:color w:val="auto"/>
                <w:kern w:val="24"/>
                <w:sz w:val="21"/>
                <w:szCs w:val="21"/>
              </w:rPr>
            </w:pPr>
            <w:r>
              <w:rPr>
                <w:rFonts w:hint="eastAsia"/>
                <w:color w:val="auto"/>
                <w:kern w:val="24"/>
                <w:sz w:val="21"/>
                <w:szCs w:val="21"/>
              </w:rPr>
              <w:t>水不溶物/%  ≤</w:t>
            </w:r>
          </w:p>
        </w:tc>
        <w:tc>
          <w:tcPr>
            <w:tcW w:w="1966" w:type="pct"/>
            <w:tcBorders>
              <w:tl2br w:val="nil"/>
              <w:tr2bl w:val="nil"/>
            </w:tcBorders>
            <w:vAlign w:val="center"/>
          </w:tcPr>
          <w:p w14:paraId="2D435EDA">
            <w:pPr>
              <w:widowControl/>
              <w:spacing w:line="240" w:lineRule="auto"/>
              <w:ind w:firstLine="420"/>
              <w:jc w:val="center"/>
              <w:textAlignment w:val="center"/>
              <w:rPr>
                <w:color w:val="auto"/>
                <w:kern w:val="24"/>
                <w:sz w:val="21"/>
                <w:szCs w:val="21"/>
              </w:rPr>
            </w:pPr>
            <w:r>
              <w:rPr>
                <w:rFonts w:hint="eastAsia"/>
                <w:color w:val="auto"/>
                <w:kern w:val="24"/>
                <w:sz w:val="21"/>
                <w:szCs w:val="21"/>
              </w:rPr>
              <w:t>0.03</w:t>
            </w:r>
          </w:p>
        </w:tc>
      </w:tr>
      <w:tr w14:paraId="4AB72B7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3033" w:type="pct"/>
            <w:tcBorders>
              <w:tl2br w:val="nil"/>
              <w:tr2bl w:val="nil"/>
            </w:tcBorders>
            <w:vAlign w:val="center"/>
          </w:tcPr>
          <w:p w14:paraId="2FE3DE7B">
            <w:pPr>
              <w:widowControl/>
              <w:spacing w:line="240" w:lineRule="auto"/>
              <w:ind w:firstLine="420"/>
              <w:jc w:val="center"/>
              <w:textAlignment w:val="center"/>
              <w:rPr>
                <w:color w:val="auto"/>
                <w:kern w:val="24"/>
                <w:sz w:val="21"/>
                <w:szCs w:val="21"/>
              </w:rPr>
            </w:pPr>
            <w:r>
              <w:rPr>
                <w:rFonts w:hint="eastAsia"/>
                <w:color w:val="auto"/>
                <w:kern w:val="24"/>
                <w:sz w:val="21"/>
                <w:szCs w:val="21"/>
              </w:rPr>
              <w:t>硫代硫酸盐（S</w:t>
            </w:r>
            <w:r>
              <w:rPr>
                <w:rFonts w:hint="eastAsia"/>
                <w:color w:val="auto"/>
                <w:kern w:val="24"/>
                <w:sz w:val="21"/>
                <w:szCs w:val="21"/>
                <w:vertAlign w:val="subscript"/>
              </w:rPr>
              <w:t>2</w:t>
            </w:r>
            <w:r>
              <w:rPr>
                <w:rFonts w:hint="eastAsia"/>
                <w:color w:val="auto"/>
                <w:kern w:val="24"/>
                <w:sz w:val="21"/>
                <w:szCs w:val="21"/>
              </w:rPr>
              <w:t>O</w:t>
            </w:r>
            <w:r>
              <w:rPr>
                <w:rFonts w:hint="eastAsia"/>
                <w:color w:val="auto"/>
                <w:kern w:val="24"/>
                <w:sz w:val="21"/>
                <w:szCs w:val="21"/>
                <w:vertAlign w:val="subscript"/>
              </w:rPr>
              <w:t>3</w:t>
            </w:r>
            <w:r>
              <w:rPr>
                <w:rFonts w:hint="eastAsia"/>
                <w:color w:val="auto"/>
                <w:kern w:val="24"/>
                <w:sz w:val="21"/>
                <w:szCs w:val="21"/>
                <w:vertAlign w:val="superscript"/>
              </w:rPr>
              <w:t>2-</w:t>
            </w:r>
            <w:r>
              <w:rPr>
                <w:rFonts w:hint="eastAsia"/>
                <w:color w:val="auto"/>
                <w:kern w:val="24"/>
                <w:sz w:val="21"/>
                <w:szCs w:val="21"/>
              </w:rPr>
              <w:t>）/%  ≤</w:t>
            </w:r>
          </w:p>
        </w:tc>
        <w:tc>
          <w:tcPr>
            <w:tcW w:w="1966" w:type="pct"/>
            <w:tcBorders>
              <w:tl2br w:val="nil"/>
              <w:tr2bl w:val="nil"/>
            </w:tcBorders>
            <w:vAlign w:val="center"/>
          </w:tcPr>
          <w:p w14:paraId="206D9C65">
            <w:pPr>
              <w:widowControl/>
              <w:spacing w:line="240" w:lineRule="auto"/>
              <w:ind w:firstLine="420"/>
              <w:jc w:val="center"/>
              <w:textAlignment w:val="center"/>
              <w:rPr>
                <w:color w:val="auto"/>
                <w:kern w:val="24"/>
                <w:sz w:val="21"/>
                <w:szCs w:val="21"/>
              </w:rPr>
            </w:pPr>
            <w:r>
              <w:rPr>
                <w:rFonts w:hint="eastAsia"/>
                <w:color w:val="auto"/>
                <w:kern w:val="24"/>
                <w:sz w:val="21"/>
                <w:szCs w:val="21"/>
              </w:rPr>
              <w:t>0.01</w:t>
            </w:r>
          </w:p>
        </w:tc>
      </w:tr>
      <w:tr w14:paraId="4675A61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trPr>
        <w:tc>
          <w:tcPr>
            <w:tcW w:w="3033" w:type="pct"/>
            <w:tcBorders>
              <w:tl2br w:val="nil"/>
              <w:tr2bl w:val="nil"/>
            </w:tcBorders>
            <w:vAlign w:val="center"/>
          </w:tcPr>
          <w:p w14:paraId="459C5B0B">
            <w:pPr>
              <w:widowControl/>
              <w:spacing w:line="240" w:lineRule="auto"/>
              <w:ind w:firstLine="420"/>
              <w:jc w:val="center"/>
              <w:textAlignment w:val="center"/>
              <w:rPr>
                <w:color w:val="auto"/>
                <w:kern w:val="24"/>
                <w:sz w:val="21"/>
                <w:szCs w:val="21"/>
              </w:rPr>
            </w:pPr>
            <w:r>
              <w:rPr>
                <w:rFonts w:hint="eastAsia"/>
                <w:color w:val="auto"/>
                <w:kern w:val="24"/>
                <w:sz w:val="21"/>
                <w:szCs w:val="21"/>
              </w:rPr>
              <w:t>铁Fe w/%   ≤</w:t>
            </w:r>
          </w:p>
        </w:tc>
        <w:tc>
          <w:tcPr>
            <w:tcW w:w="1966" w:type="pct"/>
            <w:tcBorders>
              <w:tl2br w:val="nil"/>
              <w:tr2bl w:val="nil"/>
            </w:tcBorders>
            <w:vAlign w:val="center"/>
          </w:tcPr>
          <w:p w14:paraId="21B5D571">
            <w:pPr>
              <w:widowControl/>
              <w:spacing w:line="240" w:lineRule="auto"/>
              <w:ind w:firstLine="420"/>
              <w:jc w:val="center"/>
              <w:textAlignment w:val="center"/>
              <w:rPr>
                <w:color w:val="auto"/>
                <w:kern w:val="24"/>
                <w:sz w:val="21"/>
                <w:szCs w:val="21"/>
              </w:rPr>
            </w:pPr>
            <w:r>
              <w:rPr>
                <w:rFonts w:hint="eastAsia"/>
                <w:color w:val="auto"/>
                <w:kern w:val="24"/>
                <w:sz w:val="21"/>
                <w:szCs w:val="21"/>
              </w:rPr>
              <w:t>0.01</w:t>
            </w:r>
          </w:p>
        </w:tc>
      </w:tr>
    </w:tbl>
    <w:p w14:paraId="7ED4D6B9">
      <w:pPr>
        <w:spacing w:line="460" w:lineRule="exact"/>
        <w:ind w:firstLine="480"/>
        <w:rPr>
          <w:color w:val="auto"/>
        </w:rPr>
      </w:pPr>
      <w:r>
        <w:rPr>
          <w:rFonts w:hint="eastAsia"/>
          <w:color w:val="auto"/>
        </w:rPr>
        <w:t>固体亚硫酸钠产品质量参照执行《工业无水亚硫酸钠》（HG/T 2967-2010）。</w:t>
      </w:r>
    </w:p>
    <w:p w14:paraId="09AFC57B">
      <w:pPr>
        <w:spacing w:line="240" w:lineRule="auto"/>
        <w:ind w:firstLine="0" w:firstLineChars="0"/>
        <w:jc w:val="center"/>
        <w:rPr>
          <w:color w:val="auto"/>
        </w:rPr>
      </w:pPr>
      <w:r>
        <w:rPr>
          <w:rFonts w:hint="eastAsia"/>
          <w:b/>
          <w:bCs/>
          <w:color w:val="auto"/>
        </w:rPr>
        <w:t>表4.1-5  亚硫酸钠产品标准</w:t>
      </w:r>
    </w:p>
    <w:tbl>
      <w:tblPr>
        <w:tblStyle w:val="24"/>
        <w:tblW w:w="5000" w:type="pct"/>
        <w:tblInd w:w="0" w:type="dxa"/>
        <w:tblLayout w:type="autofit"/>
        <w:tblCellMar>
          <w:top w:w="15" w:type="dxa"/>
          <w:left w:w="15" w:type="dxa"/>
          <w:bottom w:w="15" w:type="dxa"/>
          <w:right w:w="15" w:type="dxa"/>
        </w:tblCellMar>
      </w:tblPr>
      <w:tblGrid>
        <w:gridCol w:w="5408"/>
        <w:gridCol w:w="1490"/>
        <w:gridCol w:w="1490"/>
        <w:gridCol w:w="1490"/>
      </w:tblGrid>
      <w:tr w14:paraId="00BD2C99">
        <w:tblPrEx>
          <w:tblCellMar>
            <w:top w:w="15" w:type="dxa"/>
            <w:left w:w="15" w:type="dxa"/>
            <w:bottom w:w="15" w:type="dxa"/>
            <w:right w:w="15" w:type="dxa"/>
          </w:tblCellMar>
        </w:tblPrEx>
        <w:trPr>
          <w:trHeight w:val="250" w:hRule="atLeast"/>
          <w:tblHeader/>
        </w:trPr>
        <w:tc>
          <w:tcPr>
            <w:tcW w:w="2737" w:type="pct"/>
            <w:vMerge w:val="restart"/>
            <w:tcBorders>
              <w:top w:val="single" w:color="000000" w:themeColor="text1" w:sz="12" w:space="0"/>
              <w:left w:val="nil"/>
              <w:right w:val="single" w:color="000000" w:themeColor="text1" w:sz="4" w:space="0"/>
            </w:tcBorders>
            <w:tcMar>
              <w:top w:w="120" w:type="dxa"/>
              <w:left w:w="120" w:type="dxa"/>
              <w:bottom w:w="120" w:type="dxa"/>
              <w:right w:w="120" w:type="dxa"/>
            </w:tcMar>
            <w:vAlign w:val="center"/>
          </w:tcPr>
          <w:p w14:paraId="24A44A2B">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项目</w:t>
            </w:r>
          </w:p>
        </w:tc>
        <w:tc>
          <w:tcPr>
            <w:tcW w:w="2262" w:type="pct"/>
            <w:gridSpan w:val="3"/>
            <w:tcBorders>
              <w:top w:val="single" w:color="000000" w:themeColor="text1" w:sz="12" w:space="0"/>
              <w:left w:val="single" w:color="000000" w:themeColor="text1" w:sz="4" w:space="0"/>
              <w:bottom w:val="single" w:color="000000" w:themeColor="text1" w:sz="4" w:space="0"/>
              <w:right w:val="nil"/>
            </w:tcBorders>
            <w:tcMar>
              <w:top w:w="120" w:type="dxa"/>
              <w:left w:w="120" w:type="dxa"/>
              <w:bottom w:w="120" w:type="dxa"/>
              <w:right w:w="120" w:type="dxa"/>
            </w:tcMar>
            <w:vAlign w:val="center"/>
          </w:tcPr>
          <w:p w14:paraId="3951235D">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指标</w:t>
            </w:r>
          </w:p>
        </w:tc>
      </w:tr>
      <w:tr w14:paraId="2EB79B9F">
        <w:tblPrEx>
          <w:tblCellMar>
            <w:top w:w="15" w:type="dxa"/>
            <w:left w:w="15" w:type="dxa"/>
            <w:bottom w:w="15" w:type="dxa"/>
            <w:right w:w="15" w:type="dxa"/>
          </w:tblCellMar>
        </w:tblPrEx>
        <w:trPr>
          <w:trHeight w:val="266" w:hRule="atLeast"/>
        </w:trPr>
        <w:tc>
          <w:tcPr>
            <w:tcW w:w="2737" w:type="pct"/>
            <w:vMerge w:val="continue"/>
            <w:tcBorders>
              <w:left w:val="nil"/>
              <w:bottom w:val="single" w:color="000000" w:themeColor="text1" w:sz="4" w:space="0"/>
              <w:right w:val="single" w:color="000000" w:themeColor="text1" w:sz="4" w:space="0"/>
            </w:tcBorders>
            <w:tcMar>
              <w:top w:w="120" w:type="dxa"/>
              <w:left w:w="120" w:type="dxa"/>
              <w:bottom w:w="120" w:type="dxa"/>
              <w:right w:w="120" w:type="dxa"/>
            </w:tcMar>
            <w:vAlign w:val="center"/>
          </w:tcPr>
          <w:p w14:paraId="5C6A5C3A">
            <w:pPr>
              <w:widowControl/>
              <w:spacing w:line="240" w:lineRule="auto"/>
              <w:ind w:firstLine="0" w:firstLineChars="0"/>
              <w:jc w:val="center"/>
              <w:textAlignment w:val="center"/>
              <w:rPr>
                <w:b/>
                <w:bCs/>
                <w:color w:val="auto"/>
                <w:kern w:val="24"/>
                <w:sz w:val="21"/>
                <w:szCs w:val="21"/>
              </w:rPr>
            </w:pP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434473F5">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优等品</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1667C175">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一等品</w:t>
            </w:r>
          </w:p>
        </w:tc>
        <w:tc>
          <w:tcPr>
            <w:tcW w:w="754" w:type="pct"/>
            <w:tcBorders>
              <w:top w:val="single" w:color="000000" w:themeColor="text1" w:sz="4" w:space="0"/>
              <w:left w:val="single" w:color="000000" w:themeColor="text1" w:sz="4" w:space="0"/>
              <w:bottom w:val="single" w:color="000000" w:themeColor="text1" w:sz="4" w:space="0"/>
              <w:right w:val="nil"/>
            </w:tcBorders>
            <w:tcMar>
              <w:top w:w="120" w:type="dxa"/>
              <w:left w:w="120" w:type="dxa"/>
              <w:bottom w:w="120" w:type="dxa"/>
              <w:right w:w="120" w:type="dxa"/>
            </w:tcMar>
            <w:vAlign w:val="center"/>
          </w:tcPr>
          <w:p w14:paraId="2F593A23">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合格品</w:t>
            </w:r>
          </w:p>
        </w:tc>
      </w:tr>
      <w:tr w14:paraId="4669093C">
        <w:tblPrEx>
          <w:tblCellMar>
            <w:top w:w="15" w:type="dxa"/>
            <w:left w:w="15" w:type="dxa"/>
            <w:bottom w:w="15" w:type="dxa"/>
            <w:right w:w="15" w:type="dxa"/>
          </w:tblCellMar>
        </w:tblPrEx>
        <w:trPr>
          <w:trHeight w:val="266" w:hRule="atLeast"/>
        </w:trPr>
        <w:tc>
          <w:tcPr>
            <w:tcW w:w="2737" w:type="pct"/>
            <w:tcBorders>
              <w:top w:val="single" w:color="000000" w:themeColor="text1" w:sz="4" w:space="0"/>
              <w:left w:val="nil"/>
              <w:bottom w:val="single" w:color="000000" w:themeColor="text1" w:sz="4" w:space="0"/>
              <w:right w:val="single" w:color="000000" w:themeColor="text1" w:sz="4" w:space="0"/>
            </w:tcBorders>
            <w:tcMar>
              <w:top w:w="120" w:type="dxa"/>
              <w:left w:w="120" w:type="dxa"/>
              <w:bottom w:w="120" w:type="dxa"/>
              <w:right w:w="120" w:type="dxa"/>
            </w:tcMar>
            <w:vAlign w:val="center"/>
          </w:tcPr>
          <w:p w14:paraId="210EE793">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亚硫酸钠（Na</w:t>
            </w:r>
            <w:r>
              <w:rPr>
                <w:rFonts w:hint="eastAsia"/>
                <w:color w:val="auto"/>
                <w:kern w:val="24"/>
                <w:sz w:val="21"/>
                <w:szCs w:val="21"/>
                <w:vertAlign w:val="subscript"/>
              </w:rPr>
              <w:t>2</w:t>
            </w:r>
            <w:r>
              <w:rPr>
                <w:rFonts w:hint="eastAsia"/>
                <w:color w:val="auto"/>
                <w:kern w:val="24"/>
                <w:sz w:val="21"/>
                <w:szCs w:val="21"/>
              </w:rPr>
              <w:t>SO</w:t>
            </w:r>
            <w:r>
              <w:rPr>
                <w:rFonts w:hint="eastAsia"/>
                <w:color w:val="auto"/>
                <w:kern w:val="24"/>
                <w:sz w:val="21"/>
                <w:szCs w:val="21"/>
                <w:vertAlign w:val="subscript"/>
              </w:rPr>
              <w:t>3</w:t>
            </w:r>
            <w:r>
              <w:rPr>
                <w:rFonts w:hint="eastAsia"/>
                <w:color w:val="auto"/>
                <w:kern w:val="24"/>
                <w:sz w:val="21"/>
                <w:szCs w:val="21"/>
              </w:rPr>
              <w:t>）w/% ≥</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31620E87">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97.0</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48E1B05B">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93.0</w:t>
            </w:r>
          </w:p>
        </w:tc>
        <w:tc>
          <w:tcPr>
            <w:tcW w:w="754" w:type="pct"/>
            <w:tcBorders>
              <w:top w:val="single" w:color="000000" w:themeColor="text1" w:sz="4" w:space="0"/>
              <w:left w:val="single" w:color="000000" w:themeColor="text1" w:sz="4" w:space="0"/>
              <w:bottom w:val="single" w:color="000000" w:themeColor="text1" w:sz="4" w:space="0"/>
              <w:right w:val="nil"/>
            </w:tcBorders>
            <w:tcMar>
              <w:top w:w="120" w:type="dxa"/>
              <w:left w:w="120" w:type="dxa"/>
              <w:bottom w:w="120" w:type="dxa"/>
              <w:right w:w="120" w:type="dxa"/>
            </w:tcMar>
            <w:vAlign w:val="center"/>
          </w:tcPr>
          <w:p w14:paraId="3E619BD0">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90.0</w:t>
            </w:r>
          </w:p>
        </w:tc>
      </w:tr>
      <w:tr w14:paraId="66347FAD">
        <w:tblPrEx>
          <w:tblCellMar>
            <w:top w:w="15" w:type="dxa"/>
            <w:left w:w="15" w:type="dxa"/>
            <w:bottom w:w="15" w:type="dxa"/>
            <w:right w:w="15" w:type="dxa"/>
          </w:tblCellMar>
        </w:tblPrEx>
        <w:trPr>
          <w:trHeight w:val="266" w:hRule="atLeast"/>
        </w:trPr>
        <w:tc>
          <w:tcPr>
            <w:tcW w:w="2737" w:type="pct"/>
            <w:tcBorders>
              <w:top w:val="single" w:color="000000" w:themeColor="text1" w:sz="4" w:space="0"/>
              <w:left w:val="nil"/>
              <w:bottom w:val="single" w:color="000000" w:themeColor="text1" w:sz="4" w:space="0"/>
              <w:right w:val="single" w:color="000000" w:themeColor="text1" w:sz="4" w:space="0"/>
            </w:tcBorders>
            <w:tcMar>
              <w:top w:w="120" w:type="dxa"/>
              <w:left w:w="120" w:type="dxa"/>
              <w:bottom w:w="120" w:type="dxa"/>
              <w:right w:w="120" w:type="dxa"/>
            </w:tcMar>
            <w:vAlign w:val="center"/>
          </w:tcPr>
          <w:p w14:paraId="08169C06">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铁（Fe）w/% ≤</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41C68E3E">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0.003</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52FFFCCB">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0.005</w:t>
            </w:r>
          </w:p>
        </w:tc>
        <w:tc>
          <w:tcPr>
            <w:tcW w:w="754" w:type="pct"/>
            <w:tcBorders>
              <w:top w:val="single" w:color="000000" w:themeColor="text1" w:sz="4" w:space="0"/>
              <w:left w:val="single" w:color="000000" w:themeColor="text1" w:sz="4" w:space="0"/>
              <w:bottom w:val="single" w:color="000000" w:themeColor="text1" w:sz="4" w:space="0"/>
              <w:right w:val="nil"/>
            </w:tcBorders>
            <w:tcMar>
              <w:top w:w="120" w:type="dxa"/>
              <w:left w:w="120" w:type="dxa"/>
              <w:bottom w:w="120" w:type="dxa"/>
              <w:right w:w="120" w:type="dxa"/>
            </w:tcMar>
            <w:vAlign w:val="center"/>
          </w:tcPr>
          <w:p w14:paraId="15828DF3">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0.02</w:t>
            </w:r>
          </w:p>
        </w:tc>
      </w:tr>
      <w:tr w14:paraId="0A4E4EE2">
        <w:tblPrEx>
          <w:tblCellMar>
            <w:top w:w="15" w:type="dxa"/>
            <w:left w:w="15" w:type="dxa"/>
            <w:bottom w:w="15" w:type="dxa"/>
            <w:right w:w="15" w:type="dxa"/>
          </w:tblCellMar>
        </w:tblPrEx>
        <w:trPr>
          <w:trHeight w:val="266" w:hRule="atLeast"/>
        </w:trPr>
        <w:tc>
          <w:tcPr>
            <w:tcW w:w="2737" w:type="pct"/>
            <w:tcBorders>
              <w:top w:val="single" w:color="000000" w:themeColor="text1" w:sz="4" w:space="0"/>
              <w:left w:val="nil"/>
              <w:bottom w:val="single" w:color="000000" w:themeColor="text1" w:sz="4" w:space="0"/>
              <w:right w:val="single" w:color="000000" w:themeColor="text1" w:sz="4" w:space="0"/>
            </w:tcBorders>
            <w:tcMar>
              <w:top w:w="120" w:type="dxa"/>
              <w:left w:w="120" w:type="dxa"/>
              <w:bottom w:w="120" w:type="dxa"/>
              <w:right w:w="120" w:type="dxa"/>
            </w:tcMar>
            <w:vAlign w:val="center"/>
          </w:tcPr>
          <w:p w14:paraId="4B044B9B">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水不溶物w/% ≤</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68626B3D">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0.02</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6B8A9F67">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0.03</w:t>
            </w:r>
          </w:p>
        </w:tc>
        <w:tc>
          <w:tcPr>
            <w:tcW w:w="754" w:type="pct"/>
            <w:tcBorders>
              <w:top w:val="single" w:color="000000" w:themeColor="text1" w:sz="4" w:space="0"/>
              <w:left w:val="single" w:color="000000" w:themeColor="text1" w:sz="4" w:space="0"/>
              <w:bottom w:val="single" w:color="000000" w:themeColor="text1" w:sz="4" w:space="0"/>
              <w:right w:val="nil"/>
            </w:tcBorders>
            <w:tcMar>
              <w:top w:w="120" w:type="dxa"/>
              <w:left w:w="120" w:type="dxa"/>
              <w:bottom w:w="120" w:type="dxa"/>
              <w:right w:w="120" w:type="dxa"/>
            </w:tcMar>
            <w:vAlign w:val="center"/>
          </w:tcPr>
          <w:p w14:paraId="5D99FCD6">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0.05</w:t>
            </w:r>
          </w:p>
        </w:tc>
      </w:tr>
      <w:tr w14:paraId="5AE34AC5">
        <w:tblPrEx>
          <w:tblCellMar>
            <w:top w:w="15" w:type="dxa"/>
            <w:left w:w="15" w:type="dxa"/>
            <w:bottom w:w="15" w:type="dxa"/>
            <w:right w:w="15" w:type="dxa"/>
          </w:tblCellMar>
        </w:tblPrEx>
        <w:trPr>
          <w:trHeight w:val="266" w:hRule="atLeast"/>
        </w:trPr>
        <w:tc>
          <w:tcPr>
            <w:tcW w:w="2737" w:type="pct"/>
            <w:tcBorders>
              <w:top w:val="single" w:color="000000" w:themeColor="text1" w:sz="4" w:space="0"/>
              <w:left w:val="nil"/>
              <w:bottom w:val="single" w:color="000000" w:themeColor="text1" w:sz="4" w:space="0"/>
              <w:right w:val="single" w:color="000000" w:themeColor="text1" w:sz="4" w:space="0"/>
            </w:tcBorders>
            <w:tcMar>
              <w:top w:w="120" w:type="dxa"/>
              <w:left w:w="120" w:type="dxa"/>
              <w:bottom w:w="120" w:type="dxa"/>
              <w:right w:w="120" w:type="dxa"/>
            </w:tcMar>
            <w:vAlign w:val="center"/>
          </w:tcPr>
          <w:p w14:paraId="64FB7D7D">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游离碱（以Na</w:t>
            </w:r>
            <w:r>
              <w:rPr>
                <w:rFonts w:hint="eastAsia"/>
                <w:color w:val="auto"/>
                <w:kern w:val="24"/>
                <w:sz w:val="21"/>
                <w:szCs w:val="21"/>
                <w:vertAlign w:val="subscript"/>
              </w:rPr>
              <w:t>2</w:t>
            </w:r>
            <w:r>
              <w:rPr>
                <w:rFonts w:hint="eastAsia"/>
                <w:color w:val="auto"/>
                <w:kern w:val="24"/>
                <w:sz w:val="21"/>
                <w:szCs w:val="21"/>
              </w:rPr>
              <w:t>CO</w:t>
            </w:r>
            <w:r>
              <w:rPr>
                <w:rFonts w:hint="eastAsia"/>
                <w:color w:val="auto"/>
                <w:kern w:val="24"/>
                <w:sz w:val="21"/>
                <w:szCs w:val="21"/>
                <w:vertAlign w:val="subscript"/>
              </w:rPr>
              <w:t>3</w:t>
            </w:r>
            <w:r>
              <w:rPr>
                <w:rFonts w:hint="eastAsia"/>
                <w:color w:val="auto"/>
                <w:kern w:val="24"/>
                <w:sz w:val="21"/>
                <w:szCs w:val="21"/>
              </w:rPr>
              <w:t>计）w/% ≤</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29F9D3B9">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0.10</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6F22538C">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0.40</w:t>
            </w:r>
          </w:p>
        </w:tc>
        <w:tc>
          <w:tcPr>
            <w:tcW w:w="754" w:type="pct"/>
            <w:tcBorders>
              <w:top w:val="single" w:color="000000" w:themeColor="text1" w:sz="4" w:space="0"/>
              <w:left w:val="single" w:color="000000" w:themeColor="text1" w:sz="4" w:space="0"/>
              <w:bottom w:val="single" w:color="000000" w:themeColor="text1" w:sz="4" w:space="0"/>
              <w:right w:val="nil"/>
            </w:tcBorders>
            <w:tcMar>
              <w:top w:w="120" w:type="dxa"/>
              <w:left w:w="120" w:type="dxa"/>
              <w:bottom w:w="120" w:type="dxa"/>
              <w:right w:w="120" w:type="dxa"/>
            </w:tcMar>
            <w:vAlign w:val="center"/>
          </w:tcPr>
          <w:p w14:paraId="6E0BCAE8">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0.80</w:t>
            </w:r>
          </w:p>
        </w:tc>
      </w:tr>
      <w:tr w14:paraId="3D9CC26C">
        <w:tblPrEx>
          <w:tblCellMar>
            <w:top w:w="15" w:type="dxa"/>
            <w:left w:w="15" w:type="dxa"/>
            <w:bottom w:w="15" w:type="dxa"/>
            <w:right w:w="15" w:type="dxa"/>
          </w:tblCellMar>
        </w:tblPrEx>
        <w:trPr>
          <w:trHeight w:val="266" w:hRule="atLeast"/>
        </w:trPr>
        <w:tc>
          <w:tcPr>
            <w:tcW w:w="2737" w:type="pct"/>
            <w:tcBorders>
              <w:top w:val="single" w:color="000000" w:themeColor="text1" w:sz="4" w:space="0"/>
              <w:left w:val="nil"/>
              <w:bottom w:val="single" w:color="000000" w:themeColor="text1" w:sz="4" w:space="0"/>
              <w:right w:val="single" w:color="000000" w:themeColor="text1" w:sz="4" w:space="0"/>
            </w:tcBorders>
            <w:tcMar>
              <w:top w:w="120" w:type="dxa"/>
              <w:left w:w="120" w:type="dxa"/>
              <w:bottom w:w="120" w:type="dxa"/>
              <w:right w:w="120" w:type="dxa"/>
            </w:tcMar>
            <w:vAlign w:val="center"/>
          </w:tcPr>
          <w:p w14:paraId="27C1FB4B">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硫酸盐（以Na</w:t>
            </w:r>
            <w:r>
              <w:rPr>
                <w:rFonts w:hint="eastAsia"/>
                <w:color w:val="auto"/>
                <w:kern w:val="24"/>
                <w:sz w:val="21"/>
                <w:szCs w:val="21"/>
                <w:vertAlign w:val="subscript"/>
              </w:rPr>
              <w:t>2</w:t>
            </w:r>
            <w:r>
              <w:rPr>
                <w:rFonts w:hint="eastAsia"/>
                <w:color w:val="auto"/>
                <w:kern w:val="24"/>
                <w:sz w:val="21"/>
                <w:szCs w:val="21"/>
              </w:rPr>
              <w:t>SO</w:t>
            </w:r>
            <w:r>
              <w:rPr>
                <w:rFonts w:hint="eastAsia"/>
                <w:color w:val="auto"/>
                <w:kern w:val="24"/>
                <w:sz w:val="21"/>
                <w:szCs w:val="21"/>
                <w:vertAlign w:val="subscript"/>
              </w:rPr>
              <w:t>4</w:t>
            </w:r>
            <w:r>
              <w:rPr>
                <w:rFonts w:hint="eastAsia"/>
                <w:color w:val="auto"/>
                <w:kern w:val="24"/>
                <w:sz w:val="21"/>
                <w:szCs w:val="21"/>
              </w:rPr>
              <w:t>计）w/% ≤</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645459C8">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2.5</w:t>
            </w:r>
          </w:p>
        </w:tc>
        <w:tc>
          <w:tcPr>
            <w:tcW w:w="75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20" w:type="dxa"/>
              <w:left w:w="120" w:type="dxa"/>
              <w:bottom w:w="120" w:type="dxa"/>
              <w:right w:w="120" w:type="dxa"/>
            </w:tcMar>
            <w:vAlign w:val="center"/>
          </w:tcPr>
          <w:p w14:paraId="7C943CC9">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w:t>
            </w:r>
          </w:p>
        </w:tc>
        <w:tc>
          <w:tcPr>
            <w:tcW w:w="754" w:type="pct"/>
            <w:tcBorders>
              <w:top w:val="single" w:color="000000" w:themeColor="text1" w:sz="4" w:space="0"/>
              <w:left w:val="single" w:color="000000" w:themeColor="text1" w:sz="4" w:space="0"/>
              <w:bottom w:val="single" w:color="000000" w:themeColor="text1" w:sz="4" w:space="0"/>
              <w:right w:val="nil"/>
            </w:tcBorders>
            <w:tcMar>
              <w:top w:w="120" w:type="dxa"/>
              <w:left w:w="120" w:type="dxa"/>
              <w:bottom w:w="120" w:type="dxa"/>
              <w:right w:w="120" w:type="dxa"/>
            </w:tcMar>
            <w:vAlign w:val="center"/>
          </w:tcPr>
          <w:p w14:paraId="26DAC1F2">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w:t>
            </w:r>
          </w:p>
        </w:tc>
      </w:tr>
      <w:tr w14:paraId="5DDDFEE7">
        <w:tblPrEx>
          <w:tblCellMar>
            <w:top w:w="15" w:type="dxa"/>
            <w:left w:w="15" w:type="dxa"/>
            <w:bottom w:w="15" w:type="dxa"/>
            <w:right w:w="15" w:type="dxa"/>
          </w:tblCellMar>
        </w:tblPrEx>
        <w:trPr>
          <w:trHeight w:val="266" w:hRule="atLeast"/>
        </w:trPr>
        <w:tc>
          <w:tcPr>
            <w:tcW w:w="2737" w:type="pct"/>
            <w:tcBorders>
              <w:top w:val="single" w:color="000000" w:themeColor="text1" w:sz="4" w:space="0"/>
              <w:left w:val="nil"/>
              <w:bottom w:val="single" w:color="000000" w:themeColor="text1" w:sz="12" w:space="0"/>
              <w:right w:val="single" w:color="000000" w:themeColor="text1" w:sz="4" w:space="0"/>
            </w:tcBorders>
            <w:tcMar>
              <w:top w:w="120" w:type="dxa"/>
              <w:left w:w="120" w:type="dxa"/>
              <w:bottom w:w="120" w:type="dxa"/>
              <w:right w:w="120" w:type="dxa"/>
            </w:tcMar>
            <w:vAlign w:val="center"/>
          </w:tcPr>
          <w:p w14:paraId="402931BC">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氯化物（以NaCl计）w/% ≤</w:t>
            </w:r>
          </w:p>
        </w:tc>
        <w:tc>
          <w:tcPr>
            <w:tcW w:w="754" w:type="pct"/>
            <w:tcBorders>
              <w:top w:val="single" w:color="000000" w:themeColor="text1" w:sz="4" w:space="0"/>
              <w:left w:val="single" w:color="000000" w:themeColor="text1" w:sz="4" w:space="0"/>
              <w:bottom w:val="single" w:color="000000" w:themeColor="text1" w:sz="12" w:space="0"/>
              <w:right w:val="single" w:color="000000" w:themeColor="text1" w:sz="4" w:space="0"/>
            </w:tcBorders>
            <w:tcMar>
              <w:top w:w="120" w:type="dxa"/>
              <w:left w:w="120" w:type="dxa"/>
              <w:bottom w:w="120" w:type="dxa"/>
              <w:right w:w="120" w:type="dxa"/>
            </w:tcMar>
            <w:vAlign w:val="center"/>
          </w:tcPr>
          <w:p w14:paraId="440CFF4E">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0.10</w:t>
            </w:r>
          </w:p>
        </w:tc>
        <w:tc>
          <w:tcPr>
            <w:tcW w:w="754" w:type="pct"/>
            <w:tcBorders>
              <w:top w:val="single" w:color="000000" w:themeColor="text1" w:sz="4" w:space="0"/>
              <w:left w:val="single" w:color="000000" w:themeColor="text1" w:sz="4" w:space="0"/>
              <w:bottom w:val="single" w:color="000000" w:themeColor="text1" w:sz="12" w:space="0"/>
              <w:right w:val="single" w:color="000000" w:themeColor="text1" w:sz="4" w:space="0"/>
            </w:tcBorders>
            <w:tcMar>
              <w:top w:w="120" w:type="dxa"/>
              <w:left w:w="120" w:type="dxa"/>
              <w:bottom w:w="120" w:type="dxa"/>
              <w:right w:w="120" w:type="dxa"/>
            </w:tcMar>
            <w:vAlign w:val="center"/>
          </w:tcPr>
          <w:p w14:paraId="7B40B0D4">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w:t>
            </w:r>
          </w:p>
        </w:tc>
        <w:tc>
          <w:tcPr>
            <w:tcW w:w="754" w:type="pct"/>
            <w:tcBorders>
              <w:top w:val="single" w:color="000000" w:themeColor="text1" w:sz="4" w:space="0"/>
              <w:left w:val="single" w:color="000000" w:themeColor="text1" w:sz="4" w:space="0"/>
              <w:bottom w:val="single" w:color="000000" w:themeColor="text1" w:sz="12" w:space="0"/>
              <w:right w:val="nil"/>
            </w:tcBorders>
            <w:tcMar>
              <w:top w:w="120" w:type="dxa"/>
              <w:left w:w="120" w:type="dxa"/>
              <w:bottom w:w="120" w:type="dxa"/>
              <w:right w:w="120" w:type="dxa"/>
            </w:tcMar>
            <w:vAlign w:val="center"/>
          </w:tcPr>
          <w:p w14:paraId="3365FBDF">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w:t>
            </w:r>
          </w:p>
        </w:tc>
      </w:tr>
    </w:tbl>
    <w:p w14:paraId="608D6619">
      <w:pPr>
        <w:spacing w:line="460" w:lineRule="exact"/>
        <w:ind w:firstLine="480"/>
        <w:rPr>
          <w:color w:val="auto"/>
        </w:rPr>
      </w:pPr>
      <w:r>
        <w:rPr>
          <w:rFonts w:hint="eastAsia"/>
          <w:color w:val="auto"/>
        </w:rPr>
        <w:t>硫代硫酸铵产品质量执行企业《标准河北双兴摄影化学有限公司（Q/SS2003.1-2020）》。</w:t>
      </w:r>
    </w:p>
    <w:p w14:paraId="5AFEB8FC">
      <w:pPr>
        <w:adjustRightInd/>
        <w:snapToGrid/>
        <w:spacing w:line="240" w:lineRule="auto"/>
        <w:ind w:firstLine="482"/>
        <w:jc w:val="center"/>
        <w:rPr>
          <w:b/>
          <w:bCs/>
          <w:color w:val="auto"/>
        </w:rPr>
      </w:pPr>
      <w:r>
        <w:rPr>
          <w:rFonts w:hint="eastAsia"/>
          <w:b/>
          <w:bCs/>
          <w:color w:val="auto"/>
        </w:rPr>
        <w:t>表4.1.6  硫代硫酸铵产品标准</w:t>
      </w:r>
    </w:p>
    <w:tbl>
      <w:tblPr>
        <w:tblStyle w:val="25"/>
        <w:tblW w:w="500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181"/>
        <w:gridCol w:w="3685"/>
      </w:tblGrid>
      <w:tr w14:paraId="328C40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3132" w:type="pct"/>
            <w:tcBorders>
              <w:tl2br w:val="nil"/>
              <w:tr2bl w:val="nil"/>
            </w:tcBorders>
            <w:vAlign w:val="center"/>
          </w:tcPr>
          <w:p w14:paraId="15046A07">
            <w:pPr>
              <w:widowControl/>
              <w:spacing w:line="240" w:lineRule="auto"/>
              <w:ind w:firstLine="0" w:firstLineChars="0"/>
              <w:jc w:val="center"/>
              <w:textAlignment w:val="center"/>
              <w:rPr>
                <w:b/>
                <w:bCs/>
                <w:color w:val="auto"/>
                <w:kern w:val="24"/>
                <w:sz w:val="21"/>
                <w:szCs w:val="21"/>
              </w:rPr>
            </w:pPr>
            <w:r>
              <w:rPr>
                <w:b/>
                <w:bCs/>
                <w:color w:val="auto"/>
                <w:kern w:val="24"/>
                <w:sz w:val="21"/>
                <w:szCs w:val="21"/>
              </w:rPr>
              <w:t>项目</w:t>
            </w:r>
          </w:p>
        </w:tc>
        <w:tc>
          <w:tcPr>
            <w:tcW w:w="1867" w:type="pct"/>
            <w:tcBorders>
              <w:tl2br w:val="nil"/>
              <w:tr2bl w:val="nil"/>
            </w:tcBorders>
            <w:vAlign w:val="center"/>
          </w:tcPr>
          <w:p w14:paraId="4DDCBDDA">
            <w:pPr>
              <w:widowControl/>
              <w:spacing w:line="240" w:lineRule="auto"/>
              <w:ind w:firstLine="0" w:firstLineChars="0"/>
              <w:jc w:val="center"/>
              <w:textAlignment w:val="center"/>
              <w:rPr>
                <w:b/>
                <w:bCs/>
                <w:color w:val="auto"/>
                <w:kern w:val="24"/>
                <w:sz w:val="21"/>
                <w:szCs w:val="21"/>
              </w:rPr>
            </w:pPr>
            <w:r>
              <w:rPr>
                <w:b/>
                <w:bCs/>
                <w:color w:val="auto"/>
                <w:kern w:val="24"/>
                <w:sz w:val="21"/>
                <w:szCs w:val="21"/>
              </w:rPr>
              <w:t>液体指标</w:t>
            </w:r>
          </w:p>
        </w:tc>
      </w:tr>
      <w:tr w14:paraId="39993A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3132" w:type="pct"/>
            <w:tcBorders>
              <w:tl2br w:val="nil"/>
              <w:tr2bl w:val="nil"/>
            </w:tcBorders>
            <w:vAlign w:val="center"/>
          </w:tcPr>
          <w:p w14:paraId="50310E25">
            <w:pPr>
              <w:widowControl/>
              <w:spacing w:line="240" w:lineRule="auto"/>
              <w:ind w:firstLine="0" w:firstLineChars="0"/>
              <w:jc w:val="center"/>
              <w:textAlignment w:val="center"/>
              <w:rPr>
                <w:color w:val="auto"/>
                <w:kern w:val="24"/>
                <w:sz w:val="21"/>
                <w:szCs w:val="21"/>
              </w:rPr>
            </w:pPr>
            <w:r>
              <w:rPr>
                <w:color w:val="auto"/>
                <w:kern w:val="24"/>
                <w:sz w:val="21"/>
                <w:szCs w:val="21"/>
              </w:rPr>
              <w:t>外观</w:t>
            </w:r>
          </w:p>
        </w:tc>
        <w:tc>
          <w:tcPr>
            <w:tcW w:w="1867" w:type="pct"/>
            <w:tcBorders>
              <w:tl2br w:val="nil"/>
              <w:tr2bl w:val="nil"/>
            </w:tcBorders>
            <w:vAlign w:val="center"/>
          </w:tcPr>
          <w:p w14:paraId="2046D24E">
            <w:pPr>
              <w:widowControl/>
              <w:spacing w:line="240" w:lineRule="auto"/>
              <w:ind w:firstLine="0" w:firstLineChars="0"/>
              <w:jc w:val="center"/>
              <w:textAlignment w:val="center"/>
              <w:rPr>
                <w:color w:val="auto"/>
                <w:kern w:val="24"/>
                <w:sz w:val="21"/>
                <w:szCs w:val="21"/>
              </w:rPr>
            </w:pPr>
            <w:r>
              <w:rPr>
                <w:color w:val="auto"/>
                <w:kern w:val="24"/>
                <w:sz w:val="21"/>
                <w:szCs w:val="21"/>
              </w:rPr>
              <w:t>无色透明液体</w:t>
            </w:r>
          </w:p>
        </w:tc>
      </w:tr>
      <w:tr w14:paraId="032C69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3132" w:type="pct"/>
            <w:tcBorders>
              <w:tl2br w:val="nil"/>
              <w:tr2bl w:val="nil"/>
            </w:tcBorders>
            <w:vAlign w:val="center"/>
          </w:tcPr>
          <w:p w14:paraId="6C145646">
            <w:pPr>
              <w:widowControl/>
              <w:spacing w:line="240" w:lineRule="auto"/>
              <w:ind w:firstLine="0" w:firstLineChars="0"/>
              <w:jc w:val="center"/>
              <w:textAlignment w:val="center"/>
              <w:rPr>
                <w:color w:val="auto"/>
                <w:kern w:val="24"/>
                <w:sz w:val="21"/>
                <w:szCs w:val="21"/>
              </w:rPr>
            </w:pPr>
            <w:r>
              <w:rPr>
                <w:color w:val="auto"/>
                <w:kern w:val="24"/>
                <w:sz w:val="21"/>
                <w:szCs w:val="21"/>
              </w:rPr>
              <w:t>(NH4)</w:t>
            </w:r>
            <w:r>
              <w:rPr>
                <w:color w:val="auto"/>
                <w:kern w:val="24"/>
                <w:sz w:val="21"/>
                <w:szCs w:val="21"/>
                <w:vertAlign w:val="subscript"/>
              </w:rPr>
              <w:t>2</w:t>
            </w:r>
            <w:r>
              <w:rPr>
                <w:color w:val="auto"/>
                <w:kern w:val="24"/>
                <w:sz w:val="21"/>
                <w:szCs w:val="21"/>
              </w:rPr>
              <w:t>S</w:t>
            </w:r>
            <w:r>
              <w:rPr>
                <w:color w:val="auto"/>
                <w:kern w:val="24"/>
                <w:sz w:val="21"/>
                <w:szCs w:val="21"/>
                <w:vertAlign w:val="subscript"/>
              </w:rPr>
              <w:t>2</w:t>
            </w:r>
            <w:r>
              <w:rPr>
                <w:color w:val="auto"/>
                <w:kern w:val="24"/>
                <w:sz w:val="21"/>
                <w:szCs w:val="21"/>
              </w:rPr>
              <w:t>O</w:t>
            </w:r>
            <w:r>
              <w:rPr>
                <w:color w:val="auto"/>
                <w:kern w:val="24"/>
                <w:sz w:val="21"/>
                <w:szCs w:val="21"/>
                <w:vertAlign w:val="subscript"/>
              </w:rPr>
              <w:t>3</w:t>
            </w:r>
            <w:r>
              <w:rPr>
                <w:color w:val="auto"/>
                <w:kern w:val="24"/>
                <w:sz w:val="21"/>
                <w:szCs w:val="21"/>
              </w:rPr>
              <w:t>的质量分数/%</w:t>
            </w:r>
          </w:p>
        </w:tc>
        <w:tc>
          <w:tcPr>
            <w:tcW w:w="1867" w:type="pct"/>
            <w:tcBorders>
              <w:tl2br w:val="nil"/>
              <w:tr2bl w:val="nil"/>
            </w:tcBorders>
            <w:vAlign w:val="center"/>
          </w:tcPr>
          <w:p w14:paraId="5F2732AD">
            <w:pPr>
              <w:widowControl/>
              <w:spacing w:line="240" w:lineRule="auto"/>
              <w:ind w:firstLine="0" w:firstLineChars="0"/>
              <w:jc w:val="center"/>
              <w:textAlignment w:val="center"/>
              <w:rPr>
                <w:color w:val="auto"/>
                <w:kern w:val="24"/>
                <w:sz w:val="21"/>
                <w:szCs w:val="21"/>
              </w:rPr>
            </w:pPr>
            <w:r>
              <w:rPr>
                <w:color w:val="auto"/>
                <w:kern w:val="24"/>
                <w:sz w:val="21"/>
                <w:szCs w:val="21"/>
              </w:rPr>
              <w:t>56.0～60.0</w:t>
            </w:r>
          </w:p>
        </w:tc>
      </w:tr>
      <w:tr w14:paraId="314E48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3132" w:type="pct"/>
            <w:tcBorders>
              <w:tl2br w:val="nil"/>
              <w:tr2bl w:val="nil"/>
            </w:tcBorders>
            <w:vAlign w:val="center"/>
          </w:tcPr>
          <w:p w14:paraId="185FDE09">
            <w:pPr>
              <w:widowControl/>
              <w:spacing w:line="240" w:lineRule="auto"/>
              <w:ind w:firstLine="0" w:firstLineChars="0"/>
              <w:jc w:val="center"/>
              <w:textAlignment w:val="center"/>
              <w:rPr>
                <w:color w:val="auto"/>
                <w:kern w:val="24"/>
                <w:sz w:val="21"/>
                <w:szCs w:val="21"/>
              </w:rPr>
            </w:pPr>
            <w:r>
              <w:rPr>
                <w:color w:val="auto"/>
                <w:kern w:val="24"/>
                <w:sz w:val="21"/>
                <w:szCs w:val="21"/>
              </w:rPr>
              <w:t>碱度（以NH</w:t>
            </w:r>
            <w:r>
              <w:rPr>
                <w:color w:val="auto"/>
                <w:kern w:val="24"/>
                <w:sz w:val="21"/>
                <w:szCs w:val="21"/>
                <w:vertAlign w:val="subscript"/>
              </w:rPr>
              <w:t>4</w:t>
            </w:r>
            <w:r>
              <w:rPr>
                <w:color w:val="auto"/>
                <w:kern w:val="24"/>
                <w:sz w:val="21"/>
                <w:szCs w:val="21"/>
              </w:rPr>
              <w:t>OH计）的质量分数/%</w:t>
            </w:r>
          </w:p>
        </w:tc>
        <w:tc>
          <w:tcPr>
            <w:tcW w:w="1867" w:type="pct"/>
            <w:tcBorders>
              <w:tl2br w:val="nil"/>
              <w:tr2bl w:val="nil"/>
            </w:tcBorders>
            <w:vAlign w:val="center"/>
          </w:tcPr>
          <w:p w14:paraId="276F2C56">
            <w:pPr>
              <w:widowControl/>
              <w:spacing w:line="240" w:lineRule="auto"/>
              <w:ind w:firstLine="0" w:firstLineChars="0"/>
              <w:jc w:val="center"/>
              <w:textAlignment w:val="center"/>
              <w:rPr>
                <w:color w:val="auto"/>
                <w:kern w:val="24"/>
                <w:sz w:val="21"/>
                <w:szCs w:val="21"/>
              </w:rPr>
            </w:pPr>
            <w:r>
              <w:rPr>
                <w:color w:val="auto"/>
                <w:kern w:val="24"/>
                <w:sz w:val="21"/>
                <w:szCs w:val="21"/>
              </w:rPr>
              <w:t>0.3～1.5</w:t>
            </w:r>
          </w:p>
        </w:tc>
      </w:tr>
      <w:tr w14:paraId="3C48CB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3132" w:type="pct"/>
            <w:tcBorders>
              <w:tl2br w:val="nil"/>
              <w:tr2bl w:val="nil"/>
            </w:tcBorders>
            <w:vAlign w:val="center"/>
          </w:tcPr>
          <w:p w14:paraId="5567531A">
            <w:pPr>
              <w:widowControl/>
              <w:spacing w:line="240" w:lineRule="auto"/>
              <w:ind w:firstLine="0" w:firstLineChars="0"/>
              <w:jc w:val="center"/>
              <w:textAlignment w:val="center"/>
              <w:rPr>
                <w:color w:val="auto"/>
                <w:kern w:val="24"/>
                <w:sz w:val="21"/>
                <w:szCs w:val="21"/>
              </w:rPr>
            </w:pPr>
            <w:r>
              <w:rPr>
                <w:color w:val="auto"/>
                <w:kern w:val="24"/>
                <w:sz w:val="21"/>
                <w:szCs w:val="21"/>
              </w:rPr>
              <w:t>亚硫酸盐（以(NH</w:t>
            </w:r>
            <w:r>
              <w:rPr>
                <w:color w:val="auto"/>
                <w:kern w:val="24"/>
                <w:sz w:val="21"/>
                <w:szCs w:val="21"/>
                <w:vertAlign w:val="subscript"/>
              </w:rPr>
              <w:t>4</w:t>
            </w:r>
            <w:r>
              <w:rPr>
                <w:color w:val="auto"/>
                <w:kern w:val="24"/>
                <w:sz w:val="21"/>
                <w:szCs w:val="21"/>
              </w:rPr>
              <w:t>)</w:t>
            </w:r>
            <w:r>
              <w:rPr>
                <w:color w:val="auto"/>
                <w:kern w:val="24"/>
                <w:sz w:val="21"/>
                <w:szCs w:val="21"/>
                <w:vertAlign w:val="subscript"/>
              </w:rPr>
              <w:t>2</w:t>
            </w:r>
            <w:r>
              <w:rPr>
                <w:color w:val="auto"/>
                <w:kern w:val="24"/>
                <w:sz w:val="21"/>
                <w:szCs w:val="21"/>
              </w:rPr>
              <w:t>SO</w:t>
            </w:r>
            <w:r>
              <w:rPr>
                <w:color w:val="auto"/>
                <w:kern w:val="24"/>
                <w:sz w:val="21"/>
                <w:szCs w:val="21"/>
                <w:vertAlign w:val="subscript"/>
              </w:rPr>
              <w:t>3</w:t>
            </w:r>
            <w:r>
              <w:rPr>
                <w:color w:val="auto"/>
                <w:kern w:val="24"/>
                <w:sz w:val="21"/>
                <w:szCs w:val="21"/>
              </w:rPr>
              <w:t>计）质量分数/%</w:t>
            </w:r>
          </w:p>
        </w:tc>
        <w:tc>
          <w:tcPr>
            <w:tcW w:w="1867" w:type="pct"/>
            <w:tcBorders>
              <w:tl2br w:val="nil"/>
              <w:tr2bl w:val="nil"/>
            </w:tcBorders>
            <w:vAlign w:val="center"/>
          </w:tcPr>
          <w:p w14:paraId="33806927">
            <w:pPr>
              <w:widowControl/>
              <w:spacing w:line="240" w:lineRule="auto"/>
              <w:ind w:firstLine="0" w:firstLineChars="0"/>
              <w:jc w:val="center"/>
              <w:textAlignment w:val="center"/>
              <w:rPr>
                <w:color w:val="auto"/>
                <w:kern w:val="24"/>
                <w:sz w:val="21"/>
                <w:szCs w:val="21"/>
              </w:rPr>
            </w:pPr>
            <w:r>
              <w:rPr>
                <w:color w:val="auto"/>
                <w:kern w:val="24"/>
                <w:sz w:val="21"/>
                <w:szCs w:val="21"/>
              </w:rPr>
              <w:t>≤1.0</w:t>
            </w:r>
          </w:p>
        </w:tc>
      </w:tr>
      <w:tr w14:paraId="1EF016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3132" w:type="pct"/>
            <w:tcBorders>
              <w:tl2br w:val="nil"/>
              <w:tr2bl w:val="nil"/>
            </w:tcBorders>
            <w:vAlign w:val="center"/>
          </w:tcPr>
          <w:p w14:paraId="1C55AF35">
            <w:pPr>
              <w:widowControl/>
              <w:spacing w:line="240" w:lineRule="auto"/>
              <w:ind w:firstLine="0" w:firstLineChars="0"/>
              <w:jc w:val="center"/>
              <w:textAlignment w:val="center"/>
              <w:rPr>
                <w:color w:val="auto"/>
                <w:kern w:val="24"/>
                <w:sz w:val="21"/>
                <w:szCs w:val="21"/>
              </w:rPr>
            </w:pPr>
            <w:r>
              <w:rPr>
                <w:color w:val="auto"/>
                <w:kern w:val="24"/>
                <w:sz w:val="21"/>
                <w:szCs w:val="21"/>
              </w:rPr>
              <w:t>不溶物的质量分数（氨水中钙和镁的沉淀物）/%</w:t>
            </w:r>
          </w:p>
        </w:tc>
        <w:tc>
          <w:tcPr>
            <w:tcW w:w="1867" w:type="pct"/>
            <w:tcBorders>
              <w:tl2br w:val="nil"/>
              <w:tr2bl w:val="nil"/>
            </w:tcBorders>
            <w:vAlign w:val="center"/>
          </w:tcPr>
          <w:p w14:paraId="13369E6E">
            <w:pPr>
              <w:widowControl/>
              <w:spacing w:line="240" w:lineRule="auto"/>
              <w:ind w:firstLine="0" w:firstLineChars="0"/>
              <w:jc w:val="center"/>
              <w:textAlignment w:val="center"/>
              <w:rPr>
                <w:color w:val="auto"/>
                <w:kern w:val="24"/>
                <w:sz w:val="21"/>
                <w:szCs w:val="21"/>
              </w:rPr>
            </w:pPr>
            <w:r>
              <w:rPr>
                <w:color w:val="auto"/>
                <w:kern w:val="24"/>
                <w:sz w:val="21"/>
                <w:szCs w:val="21"/>
              </w:rPr>
              <w:t>≤0.2</w:t>
            </w:r>
          </w:p>
        </w:tc>
      </w:tr>
      <w:tr w14:paraId="166FF1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132" w:type="pct"/>
            <w:tcBorders>
              <w:tl2br w:val="nil"/>
              <w:tr2bl w:val="nil"/>
            </w:tcBorders>
            <w:vAlign w:val="center"/>
          </w:tcPr>
          <w:p w14:paraId="128EF570">
            <w:pPr>
              <w:widowControl/>
              <w:spacing w:line="240" w:lineRule="auto"/>
              <w:ind w:firstLine="0" w:firstLineChars="0"/>
              <w:jc w:val="center"/>
              <w:textAlignment w:val="center"/>
              <w:rPr>
                <w:color w:val="auto"/>
                <w:kern w:val="24"/>
                <w:sz w:val="21"/>
                <w:szCs w:val="21"/>
              </w:rPr>
            </w:pPr>
            <w:r>
              <w:rPr>
                <w:color w:val="auto"/>
                <w:kern w:val="24"/>
                <w:sz w:val="21"/>
                <w:szCs w:val="21"/>
              </w:rPr>
              <w:t>灼烧残渣的质量分数/%</w:t>
            </w:r>
          </w:p>
        </w:tc>
        <w:tc>
          <w:tcPr>
            <w:tcW w:w="1867" w:type="pct"/>
            <w:tcBorders>
              <w:tl2br w:val="nil"/>
              <w:tr2bl w:val="nil"/>
            </w:tcBorders>
            <w:vAlign w:val="center"/>
          </w:tcPr>
          <w:p w14:paraId="1B6D56CC">
            <w:pPr>
              <w:widowControl/>
              <w:spacing w:line="240" w:lineRule="auto"/>
              <w:ind w:firstLine="0" w:firstLineChars="0"/>
              <w:jc w:val="center"/>
              <w:textAlignment w:val="center"/>
              <w:rPr>
                <w:color w:val="auto"/>
                <w:kern w:val="24"/>
                <w:sz w:val="21"/>
                <w:szCs w:val="21"/>
              </w:rPr>
            </w:pPr>
            <w:r>
              <w:rPr>
                <w:color w:val="auto"/>
                <w:kern w:val="24"/>
                <w:sz w:val="21"/>
                <w:szCs w:val="21"/>
              </w:rPr>
              <w:t>≤0.1</w:t>
            </w:r>
          </w:p>
        </w:tc>
      </w:tr>
      <w:tr w14:paraId="78D340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3132" w:type="pct"/>
            <w:tcBorders>
              <w:tl2br w:val="nil"/>
              <w:tr2bl w:val="nil"/>
            </w:tcBorders>
            <w:vAlign w:val="center"/>
          </w:tcPr>
          <w:p w14:paraId="25940380">
            <w:pPr>
              <w:widowControl/>
              <w:spacing w:line="240" w:lineRule="auto"/>
              <w:ind w:firstLine="0" w:firstLineChars="0"/>
              <w:jc w:val="center"/>
              <w:textAlignment w:val="center"/>
              <w:rPr>
                <w:color w:val="auto"/>
                <w:kern w:val="24"/>
                <w:sz w:val="21"/>
                <w:szCs w:val="21"/>
              </w:rPr>
            </w:pPr>
            <w:r>
              <w:rPr>
                <w:color w:val="auto"/>
                <w:kern w:val="24"/>
                <w:sz w:val="21"/>
                <w:szCs w:val="21"/>
              </w:rPr>
              <w:t>重金属（以Pb计）的质量分数</w:t>
            </w:r>
          </w:p>
        </w:tc>
        <w:tc>
          <w:tcPr>
            <w:tcW w:w="1867" w:type="pct"/>
            <w:tcBorders>
              <w:tl2br w:val="nil"/>
              <w:tr2bl w:val="nil"/>
            </w:tcBorders>
            <w:vAlign w:val="center"/>
          </w:tcPr>
          <w:p w14:paraId="21390AD3">
            <w:pPr>
              <w:widowControl/>
              <w:spacing w:line="240" w:lineRule="auto"/>
              <w:ind w:firstLine="0" w:firstLineChars="0"/>
              <w:jc w:val="center"/>
              <w:textAlignment w:val="center"/>
              <w:rPr>
                <w:color w:val="auto"/>
                <w:kern w:val="24"/>
                <w:sz w:val="21"/>
                <w:szCs w:val="21"/>
              </w:rPr>
            </w:pPr>
            <w:r>
              <w:rPr>
                <w:color w:val="auto"/>
                <w:kern w:val="24"/>
                <w:sz w:val="21"/>
                <w:szCs w:val="21"/>
              </w:rPr>
              <w:t>≤10.0ppm</w:t>
            </w:r>
          </w:p>
        </w:tc>
      </w:tr>
      <w:tr w14:paraId="3AB104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3132" w:type="pct"/>
            <w:tcBorders>
              <w:tl2br w:val="nil"/>
              <w:tr2bl w:val="nil"/>
            </w:tcBorders>
            <w:vAlign w:val="center"/>
          </w:tcPr>
          <w:p w14:paraId="51ED97DA">
            <w:pPr>
              <w:widowControl/>
              <w:spacing w:line="240" w:lineRule="auto"/>
              <w:ind w:firstLine="0" w:firstLineChars="0"/>
              <w:jc w:val="center"/>
              <w:textAlignment w:val="center"/>
              <w:rPr>
                <w:color w:val="auto"/>
                <w:kern w:val="24"/>
                <w:sz w:val="21"/>
                <w:szCs w:val="21"/>
              </w:rPr>
            </w:pPr>
            <w:r>
              <w:rPr>
                <w:color w:val="auto"/>
                <w:kern w:val="24"/>
                <w:sz w:val="21"/>
                <w:szCs w:val="21"/>
              </w:rPr>
              <w:t>铁（Fe）质量分数</w:t>
            </w:r>
          </w:p>
        </w:tc>
        <w:tc>
          <w:tcPr>
            <w:tcW w:w="1867" w:type="pct"/>
            <w:tcBorders>
              <w:tl2br w:val="nil"/>
              <w:tr2bl w:val="nil"/>
            </w:tcBorders>
            <w:vAlign w:val="center"/>
          </w:tcPr>
          <w:p w14:paraId="7123AA16">
            <w:pPr>
              <w:widowControl/>
              <w:spacing w:line="240" w:lineRule="auto"/>
              <w:ind w:firstLine="0" w:firstLineChars="0"/>
              <w:jc w:val="center"/>
              <w:textAlignment w:val="center"/>
              <w:rPr>
                <w:color w:val="auto"/>
                <w:kern w:val="24"/>
                <w:sz w:val="21"/>
                <w:szCs w:val="21"/>
              </w:rPr>
            </w:pPr>
            <w:r>
              <w:rPr>
                <w:color w:val="auto"/>
                <w:kern w:val="24"/>
                <w:sz w:val="21"/>
                <w:szCs w:val="21"/>
              </w:rPr>
              <w:t>≤2.5ppm</w:t>
            </w:r>
          </w:p>
        </w:tc>
      </w:tr>
      <w:tr w14:paraId="2EF062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3132" w:type="pct"/>
            <w:tcBorders>
              <w:tl2br w:val="nil"/>
              <w:tr2bl w:val="nil"/>
            </w:tcBorders>
            <w:vAlign w:val="center"/>
          </w:tcPr>
          <w:p w14:paraId="775416B3">
            <w:pPr>
              <w:widowControl/>
              <w:spacing w:line="240" w:lineRule="auto"/>
              <w:ind w:firstLine="0" w:firstLineChars="0"/>
              <w:jc w:val="center"/>
              <w:textAlignment w:val="center"/>
              <w:rPr>
                <w:color w:val="auto"/>
                <w:kern w:val="24"/>
                <w:sz w:val="21"/>
                <w:szCs w:val="21"/>
              </w:rPr>
            </w:pPr>
            <w:r>
              <w:rPr>
                <w:color w:val="auto"/>
                <w:kern w:val="24"/>
                <w:sz w:val="21"/>
                <w:szCs w:val="21"/>
              </w:rPr>
              <w:t>硫化物（以S</w:t>
            </w:r>
            <w:r>
              <w:rPr>
                <w:color w:val="auto"/>
                <w:kern w:val="24"/>
                <w:sz w:val="21"/>
                <w:szCs w:val="21"/>
                <w:vertAlign w:val="superscript"/>
              </w:rPr>
              <w:t>2-</w:t>
            </w:r>
            <w:r>
              <w:rPr>
                <w:color w:val="auto"/>
                <w:kern w:val="24"/>
                <w:sz w:val="21"/>
                <w:szCs w:val="21"/>
              </w:rPr>
              <w:t>计）的质量分数</w:t>
            </w:r>
          </w:p>
        </w:tc>
        <w:tc>
          <w:tcPr>
            <w:tcW w:w="1867" w:type="pct"/>
            <w:tcBorders>
              <w:tl2br w:val="nil"/>
              <w:tr2bl w:val="nil"/>
            </w:tcBorders>
            <w:vAlign w:val="center"/>
          </w:tcPr>
          <w:p w14:paraId="13BFD5DC">
            <w:pPr>
              <w:widowControl/>
              <w:spacing w:line="240" w:lineRule="auto"/>
              <w:ind w:firstLine="0" w:firstLineChars="0"/>
              <w:jc w:val="center"/>
              <w:textAlignment w:val="center"/>
              <w:rPr>
                <w:color w:val="auto"/>
                <w:kern w:val="24"/>
                <w:sz w:val="21"/>
                <w:szCs w:val="21"/>
              </w:rPr>
            </w:pPr>
            <w:r>
              <w:rPr>
                <w:color w:val="auto"/>
                <w:kern w:val="24"/>
                <w:sz w:val="21"/>
                <w:szCs w:val="21"/>
              </w:rPr>
              <w:t>≤2.0ppm</w:t>
            </w:r>
          </w:p>
        </w:tc>
      </w:tr>
      <w:tr w14:paraId="2F1D51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3132" w:type="pct"/>
            <w:tcBorders>
              <w:tl2br w:val="nil"/>
              <w:tr2bl w:val="nil"/>
            </w:tcBorders>
            <w:vAlign w:val="center"/>
          </w:tcPr>
          <w:p w14:paraId="292113AA">
            <w:pPr>
              <w:widowControl/>
              <w:spacing w:line="240" w:lineRule="auto"/>
              <w:ind w:firstLine="0" w:firstLineChars="0"/>
              <w:jc w:val="center"/>
              <w:textAlignment w:val="center"/>
              <w:rPr>
                <w:color w:val="auto"/>
                <w:kern w:val="24"/>
                <w:sz w:val="21"/>
                <w:szCs w:val="21"/>
              </w:rPr>
            </w:pPr>
            <w:r>
              <w:rPr>
                <w:color w:val="auto"/>
                <w:kern w:val="24"/>
                <w:sz w:val="21"/>
                <w:szCs w:val="21"/>
              </w:rPr>
              <w:t>比重（20℃）</w:t>
            </w:r>
          </w:p>
        </w:tc>
        <w:tc>
          <w:tcPr>
            <w:tcW w:w="1867" w:type="pct"/>
            <w:tcBorders>
              <w:tl2br w:val="nil"/>
              <w:tr2bl w:val="nil"/>
            </w:tcBorders>
            <w:vAlign w:val="center"/>
          </w:tcPr>
          <w:p w14:paraId="43103340">
            <w:pPr>
              <w:widowControl/>
              <w:spacing w:line="240" w:lineRule="auto"/>
              <w:ind w:firstLine="0" w:firstLineChars="0"/>
              <w:jc w:val="center"/>
              <w:textAlignment w:val="center"/>
              <w:rPr>
                <w:color w:val="auto"/>
                <w:kern w:val="24"/>
                <w:sz w:val="21"/>
                <w:szCs w:val="21"/>
              </w:rPr>
            </w:pPr>
            <w:r>
              <w:rPr>
                <w:color w:val="auto"/>
                <w:kern w:val="24"/>
                <w:sz w:val="21"/>
                <w:szCs w:val="21"/>
              </w:rPr>
              <w:t>1.310～1.335</w:t>
            </w:r>
          </w:p>
        </w:tc>
      </w:tr>
      <w:tr w14:paraId="7670C7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3132" w:type="pct"/>
            <w:tcBorders>
              <w:tl2br w:val="nil"/>
              <w:tr2bl w:val="nil"/>
            </w:tcBorders>
            <w:vAlign w:val="center"/>
          </w:tcPr>
          <w:p w14:paraId="2A677AF0">
            <w:pPr>
              <w:widowControl/>
              <w:spacing w:line="240" w:lineRule="auto"/>
              <w:ind w:firstLine="0" w:firstLineChars="0"/>
              <w:jc w:val="center"/>
              <w:textAlignment w:val="center"/>
              <w:rPr>
                <w:color w:val="auto"/>
                <w:kern w:val="24"/>
                <w:sz w:val="21"/>
                <w:szCs w:val="21"/>
              </w:rPr>
            </w:pPr>
            <w:r>
              <w:rPr>
                <w:color w:val="auto"/>
                <w:kern w:val="24"/>
                <w:sz w:val="21"/>
                <w:szCs w:val="21"/>
              </w:rPr>
              <w:t>色度</w:t>
            </w:r>
          </w:p>
        </w:tc>
        <w:tc>
          <w:tcPr>
            <w:tcW w:w="1867" w:type="pct"/>
            <w:tcBorders>
              <w:tl2br w:val="nil"/>
              <w:tr2bl w:val="nil"/>
            </w:tcBorders>
            <w:vAlign w:val="center"/>
          </w:tcPr>
          <w:p w14:paraId="7B195F91">
            <w:pPr>
              <w:widowControl/>
              <w:spacing w:line="240" w:lineRule="auto"/>
              <w:ind w:firstLine="0" w:firstLineChars="0"/>
              <w:jc w:val="center"/>
              <w:textAlignment w:val="center"/>
              <w:rPr>
                <w:color w:val="auto"/>
                <w:kern w:val="24"/>
                <w:sz w:val="21"/>
                <w:szCs w:val="21"/>
              </w:rPr>
            </w:pPr>
            <w:r>
              <w:rPr>
                <w:color w:val="auto"/>
                <w:kern w:val="24"/>
                <w:sz w:val="21"/>
                <w:szCs w:val="21"/>
              </w:rPr>
              <w:t>≤15.0</w:t>
            </w:r>
          </w:p>
        </w:tc>
      </w:tr>
    </w:tbl>
    <w:p w14:paraId="08279AA2">
      <w:pPr>
        <w:spacing w:line="460" w:lineRule="exact"/>
        <w:ind w:firstLine="480"/>
        <w:rPr>
          <w:color w:val="auto"/>
        </w:rPr>
      </w:pPr>
      <w:r>
        <w:rPr>
          <w:rFonts w:hint="eastAsia"/>
          <w:color w:val="auto"/>
        </w:rPr>
        <w:t>硫代硫酸钙产品质量执行企业标准《山东天泰钢塑有限公司（Q/GTS 004-2021）》。</w:t>
      </w:r>
    </w:p>
    <w:p w14:paraId="7FFE3EDF">
      <w:pPr>
        <w:adjustRightInd/>
        <w:snapToGrid/>
        <w:spacing w:line="240" w:lineRule="auto"/>
        <w:ind w:firstLine="482"/>
        <w:jc w:val="center"/>
        <w:rPr>
          <w:b/>
          <w:bCs/>
          <w:color w:val="auto"/>
        </w:rPr>
      </w:pPr>
      <w:r>
        <w:rPr>
          <w:rFonts w:hint="eastAsia"/>
          <w:b/>
          <w:bCs/>
          <w:color w:val="auto"/>
        </w:rPr>
        <w:t>表4.1-7  硫代硫酸钙产品标准</w:t>
      </w:r>
    </w:p>
    <w:tbl>
      <w:tblPr>
        <w:tblStyle w:val="25"/>
        <w:tblW w:w="4996"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286"/>
        <w:gridCol w:w="4560"/>
      </w:tblGrid>
      <w:tr w14:paraId="69AAF8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blHeader/>
        </w:trPr>
        <w:tc>
          <w:tcPr>
            <w:tcW w:w="2684" w:type="pct"/>
            <w:tcBorders>
              <w:tl2br w:val="nil"/>
              <w:tr2bl w:val="nil"/>
            </w:tcBorders>
          </w:tcPr>
          <w:p w14:paraId="38DD81B9">
            <w:pPr>
              <w:widowControl/>
              <w:spacing w:line="240" w:lineRule="auto"/>
              <w:ind w:firstLine="0" w:firstLineChars="0"/>
              <w:jc w:val="center"/>
              <w:textAlignment w:val="center"/>
              <w:rPr>
                <w:b/>
                <w:bCs/>
                <w:color w:val="auto"/>
                <w:kern w:val="24"/>
                <w:sz w:val="21"/>
                <w:szCs w:val="21"/>
              </w:rPr>
            </w:pPr>
            <w:r>
              <w:rPr>
                <w:b/>
                <w:bCs/>
                <w:color w:val="auto"/>
                <w:kern w:val="24"/>
                <w:sz w:val="21"/>
                <w:szCs w:val="21"/>
              </w:rPr>
              <w:t>项目</w:t>
            </w:r>
          </w:p>
        </w:tc>
        <w:tc>
          <w:tcPr>
            <w:tcW w:w="2315" w:type="pct"/>
            <w:tcBorders>
              <w:tl2br w:val="nil"/>
              <w:tr2bl w:val="nil"/>
            </w:tcBorders>
          </w:tcPr>
          <w:p w14:paraId="622D9E49">
            <w:pPr>
              <w:widowControl/>
              <w:spacing w:line="240" w:lineRule="auto"/>
              <w:ind w:firstLine="0" w:firstLineChars="0"/>
              <w:jc w:val="center"/>
              <w:textAlignment w:val="center"/>
              <w:rPr>
                <w:b/>
                <w:bCs/>
                <w:color w:val="auto"/>
                <w:kern w:val="24"/>
                <w:sz w:val="21"/>
                <w:szCs w:val="21"/>
              </w:rPr>
            </w:pPr>
            <w:r>
              <w:rPr>
                <w:b/>
                <w:bCs/>
                <w:color w:val="auto"/>
                <w:kern w:val="24"/>
                <w:sz w:val="21"/>
                <w:szCs w:val="21"/>
              </w:rPr>
              <w:t>液体指标</w:t>
            </w:r>
          </w:p>
        </w:tc>
      </w:tr>
      <w:tr w14:paraId="6FDDA02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trHeight w:val="190" w:hRule="atLeast"/>
        </w:trPr>
        <w:tc>
          <w:tcPr>
            <w:tcW w:w="2684" w:type="pct"/>
            <w:tcBorders>
              <w:tl2br w:val="nil"/>
              <w:tr2bl w:val="nil"/>
            </w:tcBorders>
          </w:tcPr>
          <w:p w14:paraId="6B614756">
            <w:pPr>
              <w:widowControl/>
              <w:spacing w:line="240" w:lineRule="auto"/>
              <w:ind w:firstLine="0" w:firstLineChars="0"/>
              <w:jc w:val="center"/>
              <w:textAlignment w:val="center"/>
              <w:rPr>
                <w:color w:val="auto"/>
                <w:kern w:val="24"/>
                <w:sz w:val="21"/>
                <w:szCs w:val="21"/>
              </w:rPr>
            </w:pPr>
            <w:r>
              <w:rPr>
                <w:color w:val="auto"/>
                <w:kern w:val="24"/>
                <w:sz w:val="21"/>
                <w:szCs w:val="21"/>
              </w:rPr>
              <w:t>外观</w:t>
            </w:r>
          </w:p>
        </w:tc>
        <w:tc>
          <w:tcPr>
            <w:tcW w:w="2315" w:type="pct"/>
            <w:tcBorders>
              <w:tl2br w:val="nil"/>
              <w:tr2bl w:val="nil"/>
            </w:tcBorders>
          </w:tcPr>
          <w:p w14:paraId="19FA7B07">
            <w:pPr>
              <w:widowControl/>
              <w:spacing w:line="240" w:lineRule="auto"/>
              <w:ind w:firstLine="0" w:firstLineChars="0"/>
              <w:jc w:val="center"/>
              <w:textAlignment w:val="center"/>
              <w:rPr>
                <w:color w:val="auto"/>
                <w:kern w:val="24"/>
                <w:sz w:val="21"/>
                <w:szCs w:val="21"/>
              </w:rPr>
            </w:pPr>
            <w:r>
              <w:rPr>
                <w:color w:val="auto"/>
                <w:kern w:val="24"/>
                <w:sz w:val="21"/>
                <w:szCs w:val="21"/>
              </w:rPr>
              <w:t>无色透明</w:t>
            </w:r>
          </w:p>
        </w:tc>
      </w:tr>
      <w:tr w14:paraId="22826DE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rPr>
        <w:tc>
          <w:tcPr>
            <w:tcW w:w="2684" w:type="pct"/>
            <w:tcBorders>
              <w:tl2br w:val="nil"/>
              <w:tr2bl w:val="nil"/>
            </w:tcBorders>
          </w:tcPr>
          <w:p w14:paraId="1472E81C">
            <w:pPr>
              <w:widowControl/>
              <w:spacing w:line="240" w:lineRule="auto"/>
              <w:ind w:firstLine="0" w:firstLineChars="0"/>
              <w:jc w:val="center"/>
              <w:textAlignment w:val="center"/>
              <w:rPr>
                <w:color w:val="auto"/>
                <w:kern w:val="24"/>
                <w:sz w:val="21"/>
                <w:szCs w:val="21"/>
              </w:rPr>
            </w:pPr>
            <w:r>
              <w:rPr>
                <w:color w:val="auto"/>
                <w:kern w:val="24"/>
                <w:sz w:val="21"/>
                <w:szCs w:val="21"/>
              </w:rPr>
              <w:t>硫代硫酸钙质量分数/%</w:t>
            </w:r>
          </w:p>
        </w:tc>
        <w:tc>
          <w:tcPr>
            <w:tcW w:w="2315" w:type="pct"/>
            <w:tcBorders>
              <w:tl2br w:val="nil"/>
              <w:tr2bl w:val="nil"/>
            </w:tcBorders>
          </w:tcPr>
          <w:p w14:paraId="2904F5C7">
            <w:pPr>
              <w:widowControl/>
              <w:spacing w:line="240" w:lineRule="auto"/>
              <w:ind w:firstLine="0" w:firstLineChars="0"/>
              <w:jc w:val="center"/>
              <w:textAlignment w:val="center"/>
              <w:rPr>
                <w:color w:val="auto"/>
                <w:kern w:val="24"/>
                <w:sz w:val="21"/>
                <w:szCs w:val="21"/>
              </w:rPr>
            </w:pPr>
            <w:r>
              <w:rPr>
                <w:color w:val="auto"/>
                <w:kern w:val="24"/>
                <w:sz w:val="21"/>
                <w:szCs w:val="21"/>
              </w:rPr>
              <w:t>≥24.0</w:t>
            </w:r>
          </w:p>
        </w:tc>
      </w:tr>
      <w:tr w14:paraId="12FFE75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rPr>
        <w:tc>
          <w:tcPr>
            <w:tcW w:w="2684" w:type="pct"/>
            <w:tcBorders>
              <w:tl2br w:val="nil"/>
              <w:tr2bl w:val="nil"/>
            </w:tcBorders>
          </w:tcPr>
          <w:p w14:paraId="04DC8A35">
            <w:pPr>
              <w:widowControl/>
              <w:spacing w:line="240" w:lineRule="auto"/>
              <w:ind w:firstLine="0" w:firstLineChars="0"/>
              <w:jc w:val="center"/>
              <w:textAlignment w:val="center"/>
              <w:rPr>
                <w:color w:val="auto"/>
                <w:kern w:val="24"/>
                <w:sz w:val="21"/>
                <w:szCs w:val="21"/>
              </w:rPr>
            </w:pPr>
            <w:r>
              <w:rPr>
                <w:color w:val="auto"/>
                <w:kern w:val="24"/>
                <w:sz w:val="21"/>
                <w:szCs w:val="21"/>
              </w:rPr>
              <w:t>亚硫酸钙质量分数/%</w:t>
            </w:r>
          </w:p>
        </w:tc>
        <w:tc>
          <w:tcPr>
            <w:tcW w:w="2315" w:type="pct"/>
            <w:tcBorders>
              <w:tl2br w:val="nil"/>
              <w:tr2bl w:val="nil"/>
            </w:tcBorders>
          </w:tcPr>
          <w:p w14:paraId="7720226E">
            <w:pPr>
              <w:widowControl/>
              <w:spacing w:line="240" w:lineRule="auto"/>
              <w:ind w:firstLine="0" w:firstLineChars="0"/>
              <w:jc w:val="center"/>
              <w:textAlignment w:val="center"/>
              <w:rPr>
                <w:color w:val="auto"/>
                <w:kern w:val="24"/>
                <w:sz w:val="21"/>
                <w:szCs w:val="21"/>
              </w:rPr>
            </w:pPr>
            <w:r>
              <w:rPr>
                <w:color w:val="auto"/>
                <w:kern w:val="24"/>
                <w:sz w:val="21"/>
                <w:szCs w:val="21"/>
              </w:rPr>
              <w:t>≤0.2</w:t>
            </w:r>
          </w:p>
        </w:tc>
      </w:tr>
      <w:tr w14:paraId="103A25B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rPr>
        <w:tc>
          <w:tcPr>
            <w:tcW w:w="2684" w:type="pct"/>
            <w:tcBorders>
              <w:tl2br w:val="nil"/>
              <w:tr2bl w:val="nil"/>
            </w:tcBorders>
          </w:tcPr>
          <w:p w14:paraId="7C3FDE70">
            <w:pPr>
              <w:widowControl/>
              <w:spacing w:line="240" w:lineRule="auto"/>
              <w:ind w:firstLine="0" w:firstLineChars="0"/>
              <w:jc w:val="center"/>
              <w:textAlignment w:val="center"/>
              <w:rPr>
                <w:color w:val="auto"/>
                <w:kern w:val="24"/>
                <w:sz w:val="21"/>
                <w:szCs w:val="21"/>
              </w:rPr>
            </w:pPr>
            <w:r>
              <w:rPr>
                <w:color w:val="auto"/>
                <w:kern w:val="24"/>
                <w:sz w:val="21"/>
                <w:szCs w:val="21"/>
              </w:rPr>
              <w:t>钙含量/%</w:t>
            </w:r>
          </w:p>
        </w:tc>
        <w:tc>
          <w:tcPr>
            <w:tcW w:w="2315" w:type="pct"/>
            <w:tcBorders>
              <w:tl2br w:val="nil"/>
              <w:tr2bl w:val="nil"/>
            </w:tcBorders>
          </w:tcPr>
          <w:p w14:paraId="1228D3A2">
            <w:pPr>
              <w:widowControl/>
              <w:spacing w:line="240" w:lineRule="auto"/>
              <w:ind w:firstLine="0" w:firstLineChars="0"/>
              <w:jc w:val="center"/>
              <w:textAlignment w:val="center"/>
              <w:rPr>
                <w:color w:val="auto"/>
                <w:kern w:val="24"/>
                <w:sz w:val="21"/>
                <w:szCs w:val="21"/>
              </w:rPr>
            </w:pPr>
            <w:r>
              <w:rPr>
                <w:color w:val="auto"/>
                <w:kern w:val="24"/>
                <w:sz w:val="21"/>
                <w:szCs w:val="21"/>
              </w:rPr>
              <w:t>≥6.0</w:t>
            </w:r>
          </w:p>
        </w:tc>
      </w:tr>
      <w:tr w14:paraId="0035F95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rPr>
        <w:tc>
          <w:tcPr>
            <w:tcW w:w="2684" w:type="pct"/>
            <w:tcBorders>
              <w:tl2br w:val="nil"/>
              <w:tr2bl w:val="nil"/>
            </w:tcBorders>
          </w:tcPr>
          <w:p w14:paraId="7ADF0077">
            <w:pPr>
              <w:widowControl/>
              <w:spacing w:line="240" w:lineRule="auto"/>
              <w:ind w:firstLine="0" w:firstLineChars="0"/>
              <w:jc w:val="center"/>
              <w:textAlignment w:val="center"/>
              <w:rPr>
                <w:color w:val="auto"/>
                <w:kern w:val="24"/>
                <w:sz w:val="21"/>
                <w:szCs w:val="21"/>
              </w:rPr>
            </w:pPr>
            <w:r>
              <w:rPr>
                <w:color w:val="auto"/>
                <w:kern w:val="24"/>
                <w:sz w:val="21"/>
                <w:szCs w:val="21"/>
              </w:rPr>
              <w:t>pH值</w:t>
            </w:r>
          </w:p>
        </w:tc>
        <w:tc>
          <w:tcPr>
            <w:tcW w:w="2315" w:type="pct"/>
            <w:tcBorders>
              <w:tl2br w:val="nil"/>
              <w:tr2bl w:val="nil"/>
            </w:tcBorders>
          </w:tcPr>
          <w:p w14:paraId="400297E3">
            <w:pPr>
              <w:widowControl/>
              <w:spacing w:line="240" w:lineRule="auto"/>
              <w:ind w:firstLine="0" w:firstLineChars="0"/>
              <w:jc w:val="center"/>
              <w:textAlignment w:val="center"/>
              <w:rPr>
                <w:color w:val="auto"/>
                <w:kern w:val="24"/>
                <w:sz w:val="21"/>
                <w:szCs w:val="21"/>
              </w:rPr>
            </w:pPr>
            <w:r>
              <w:rPr>
                <w:color w:val="auto"/>
                <w:kern w:val="24"/>
                <w:sz w:val="21"/>
                <w:szCs w:val="21"/>
              </w:rPr>
              <w:t>6.5～9.0</w:t>
            </w:r>
          </w:p>
        </w:tc>
      </w:tr>
      <w:tr w14:paraId="0DEDD39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rPr>
        <w:tc>
          <w:tcPr>
            <w:tcW w:w="2684" w:type="pct"/>
            <w:tcBorders>
              <w:tl2br w:val="nil"/>
              <w:tr2bl w:val="nil"/>
            </w:tcBorders>
          </w:tcPr>
          <w:p w14:paraId="3BD9C775">
            <w:pPr>
              <w:widowControl/>
              <w:spacing w:line="240" w:lineRule="auto"/>
              <w:ind w:firstLine="0" w:firstLineChars="0"/>
              <w:jc w:val="center"/>
              <w:textAlignment w:val="center"/>
              <w:rPr>
                <w:color w:val="auto"/>
                <w:kern w:val="24"/>
                <w:sz w:val="21"/>
                <w:szCs w:val="21"/>
              </w:rPr>
            </w:pPr>
            <w:r>
              <w:rPr>
                <w:color w:val="auto"/>
                <w:kern w:val="24"/>
                <w:sz w:val="21"/>
                <w:szCs w:val="21"/>
              </w:rPr>
              <w:t>比重</w:t>
            </w:r>
          </w:p>
        </w:tc>
        <w:tc>
          <w:tcPr>
            <w:tcW w:w="2315" w:type="pct"/>
            <w:tcBorders>
              <w:tl2br w:val="nil"/>
              <w:tr2bl w:val="nil"/>
            </w:tcBorders>
          </w:tcPr>
          <w:p w14:paraId="32F2DC80">
            <w:pPr>
              <w:widowControl/>
              <w:spacing w:line="240" w:lineRule="auto"/>
              <w:ind w:firstLine="0" w:firstLineChars="0"/>
              <w:jc w:val="center"/>
              <w:textAlignment w:val="center"/>
              <w:rPr>
                <w:color w:val="auto"/>
                <w:kern w:val="24"/>
                <w:sz w:val="21"/>
                <w:szCs w:val="21"/>
              </w:rPr>
            </w:pPr>
            <w:r>
              <w:rPr>
                <w:color w:val="auto"/>
                <w:kern w:val="24"/>
                <w:sz w:val="21"/>
                <w:szCs w:val="21"/>
              </w:rPr>
              <w:t>1.20～1.30</w:t>
            </w:r>
          </w:p>
        </w:tc>
      </w:tr>
      <w:tr w14:paraId="4ED248F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rPr>
        <w:tc>
          <w:tcPr>
            <w:tcW w:w="2684" w:type="pct"/>
            <w:tcBorders>
              <w:tl2br w:val="nil"/>
              <w:tr2bl w:val="nil"/>
            </w:tcBorders>
          </w:tcPr>
          <w:p w14:paraId="2CC2E10D">
            <w:pPr>
              <w:widowControl/>
              <w:spacing w:line="240" w:lineRule="auto"/>
              <w:ind w:firstLine="0" w:firstLineChars="0"/>
              <w:jc w:val="center"/>
              <w:textAlignment w:val="center"/>
              <w:rPr>
                <w:color w:val="auto"/>
                <w:kern w:val="24"/>
                <w:sz w:val="21"/>
                <w:szCs w:val="21"/>
              </w:rPr>
            </w:pPr>
            <w:r>
              <w:rPr>
                <w:color w:val="auto"/>
                <w:kern w:val="24"/>
                <w:sz w:val="21"/>
                <w:szCs w:val="21"/>
              </w:rPr>
              <w:t>硫/%</w:t>
            </w:r>
          </w:p>
        </w:tc>
        <w:tc>
          <w:tcPr>
            <w:tcW w:w="2315" w:type="pct"/>
            <w:tcBorders>
              <w:tl2br w:val="nil"/>
              <w:tr2bl w:val="nil"/>
            </w:tcBorders>
          </w:tcPr>
          <w:p w14:paraId="5D207279">
            <w:pPr>
              <w:widowControl/>
              <w:spacing w:line="240" w:lineRule="auto"/>
              <w:ind w:firstLine="0" w:firstLineChars="0"/>
              <w:jc w:val="center"/>
              <w:textAlignment w:val="center"/>
              <w:rPr>
                <w:color w:val="auto"/>
                <w:kern w:val="24"/>
                <w:sz w:val="21"/>
                <w:szCs w:val="21"/>
              </w:rPr>
            </w:pPr>
            <w:r>
              <w:rPr>
                <w:color w:val="auto"/>
                <w:kern w:val="24"/>
                <w:sz w:val="21"/>
                <w:szCs w:val="21"/>
              </w:rPr>
              <w:t>≥12.4</w:t>
            </w:r>
          </w:p>
        </w:tc>
      </w:tr>
      <w:tr w14:paraId="07A892A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rPr>
        <w:tc>
          <w:tcPr>
            <w:tcW w:w="2684" w:type="pct"/>
            <w:tcBorders>
              <w:tl2br w:val="nil"/>
              <w:tr2bl w:val="nil"/>
            </w:tcBorders>
          </w:tcPr>
          <w:p w14:paraId="6E3BAA0C">
            <w:pPr>
              <w:widowControl/>
              <w:spacing w:line="240" w:lineRule="auto"/>
              <w:ind w:firstLine="0" w:firstLineChars="0"/>
              <w:jc w:val="center"/>
              <w:textAlignment w:val="center"/>
              <w:rPr>
                <w:color w:val="auto"/>
                <w:kern w:val="24"/>
                <w:sz w:val="21"/>
                <w:szCs w:val="21"/>
              </w:rPr>
            </w:pPr>
            <w:r>
              <w:rPr>
                <w:color w:val="auto"/>
                <w:kern w:val="24"/>
                <w:sz w:val="21"/>
                <w:szCs w:val="21"/>
              </w:rPr>
              <w:t>铅</w:t>
            </w:r>
          </w:p>
        </w:tc>
        <w:tc>
          <w:tcPr>
            <w:tcW w:w="2315" w:type="pct"/>
            <w:tcBorders>
              <w:tl2br w:val="nil"/>
              <w:tr2bl w:val="nil"/>
            </w:tcBorders>
          </w:tcPr>
          <w:p w14:paraId="072CA53E">
            <w:pPr>
              <w:widowControl/>
              <w:spacing w:line="240" w:lineRule="auto"/>
              <w:ind w:firstLine="0" w:firstLineChars="0"/>
              <w:jc w:val="center"/>
              <w:textAlignment w:val="center"/>
              <w:rPr>
                <w:color w:val="auto"/>
                <w:kern w:val="24"/>
                <w:sz w:val="21"/>
                <w:szCs w:val="21"/>
              </w:rPr>
            </w:pPr>
            <w:r>
              <w:rPr>
                <w:color w:val="auto"/>
                <w:kern w:val="24"/>
                <w:sz w:val="21"/>
                <w:szCs w:val="21"/>
              </w:rPr>
              <w:t>≤1.0ppm</w:t>
            </w:r>
          </w:p>
        </w:tc>
      </w:tr>
      <w:tr w14:paraId="6D94BD6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rPr>
        <w:tc>
          <w:tcPr>
            <w:tcW w:w="2684" w:type="pct"/>
            <w:tcBorders>
              <w:tl2br w:val="nil"/>
              <w:tr2bl w:val="nil"/>
            </w:tcBorders>
          </w:tcPr>
          <w:p w14:paraId="0C12B9E6">
            <w:pPr>
              <w:widowControl/>
              <w:spacing w:line="240" w:lineRule="auto"/>
              <w:ind w:firstLine="0" w:firstLineChars="0"/>
              <w:jc w:val="center"/>
              <w:textAlignment w:val="center"/>
              <w:rPr>
                <w:color w:val="auto"/>
                <w:kern w:val="24"/>
                <w:sz w:val="21"/>
                <w:szCs w:val="21"/>
              </w:rPr>
            </w:pPr>
            <w:r>
              <w:rPr>
                <w:color w:val="auto"/>
                <w:kern w:val="24"/>
                <w:sz w:val="21"/>
                <w:szCs w:val="21"/>
              </w:rPr>
              <w:t>汞</w:t>
            </w:r>
          </w:p>
        </w:tc>
        <w:tc>
          <w:tcPr>
            <w:tcW w:w="2315" w:type="pct"/>
            <w:tcBorders>
              <w:tl2br w:val="nil"/>
              <w:tr2bl w:val="nil"/>
            </w:tcBorders>
          </w:tcPr>
          <w:p w14:paraId="402C7328">
            <w:pPr>
              <w:widowControl/>
              <w:spacing w:line="240" w:lineRule="auto"/>
              <w:ind w:firstLine="0" w:firstLineChars="0"/>
              <w:jc w:val="center"/>
              <w:textAlignment w:val="center"/>
              <w:rPr>
                <w:color w:val="auto"/>
                <w:kern w:val="24"/>
                <w:sz w:val="21"/>
                <w:szCs w:val="21"/>
              </w:rPr>
            </w:pPr>
            <w:r>
              <w:rPr>
                <w:color w:val="auto"/>
                <w:kern w:val="24"/>
                <w:sz w:val="21"/>
                <w:szCs w:val="21"/>
              </w:rPr>
              <w:t>≤1.0ppm</w:t>
            </w:r>
          </w:p>
        </w:tc>
      </w:tr>
      <w:tr w14:paraId="3E19269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rPr>
        <w:tc>
          <w:tcPr>
            <w:tcW w:w="2684" w:type="pct"/>
            <w:tcBorders>
              <w:tl2br w:val="nil"/>
              <w:tr2bl w:val="nil"/>
            </w:tcBorders>
          </w:tcPr>
          <w:p w14:paraId="272C04F2">
            <w:pPr>
              <w:widowControl/>
              <w:spacing w:line="240" w:lineRule="auto"/>
              <w:ind w:firstLine="0" w:firstLineChars="0"/>
              <w:jc w:val="center"/>
              <w:textAlignment w:val="center"/>
              <w:rPr>
                <w:color w:val="auto"/>
                <w:kern w:val="24"/>
                <w:sz w:val="21"/>
                <w:szCs w:val="21"/>
              </w:rPr>
            </w:pPr>
            <w:r>
              <w:rPr>
                <w:color w:val="auto"/>
                <w:kern w:val="24"/>
                <w:sz w:val="21"/>
                <w:szCs w:val="21"/>
              </w:rPr>
              <w:t>镉</w:t>
            </w:r>
          </w:p>
        </w:tc>
        <w:tc>
          <w:tcPr>
            <w:tcW w:w="2315" w:type="pct"/>
            <w:tcBorders>
              <w:tl2br w:val="nil"/>
              <w:tr2bl w:val="nil"/>
            </w:tcBorders>
          </w:tcPr>
          <w:p w14:paraId="69FADA41">
            <w:pPr>
              <w:widowControl/>
              <w:spacing w:line="240" w:lineRule="auto"/>
              <w:ind w:firstLine="0" w:firstLineChars="0"/>
              <w:jc w:val="center"/>
              <w:textAlignment w:val="center"/>
              <w:rPr>
                <w:color w:val="auto"/>
                <w:kern w:val="24"/>
                <w:sz w:val="21"/>
                <w:szCs w:val="21"/>
              </w:rPr>
            </w:pPr>
            <w:r>
              <w:rPr>
                <w:color w:val="auto"/>
                <w:kern w:val="24"/>
                <w:sz w:val="21"/>
                <w:szCs w:val="21"/>
              </w:rPr>
              <w:t>≤1.0ppm</w:t>
            </w:r>
          </w:p>
        </w:tc>
      </w:tr>
      <w:tr w14:paraId="6919D64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 w:hRule="atLeast"/>
        </w:trPr>
        <w:tc>
          <w:tcPr>
            <w:tcW w:w="2684" w:type="pct"/>
            <w:tcBorders>
              <w:tl2br w:val="nil"/>
              <w:tr2bl w:val="nil"/>
            </w:tcBorders>
          </w:tcPr>
          <w:p w14:paraId="58F29B6F">
            <w:pPr>
              <w:widowControl/>
              <w:spacing w:line="240" w:lineRule="auto"/>
              <w:ind w:firstLine="0" w:firstLineChars="0"/>
              <w:jc w:val="center"/>
              <w:textAlignment w:val="center"/>
              <w:rPr>
                <w:color w:val="auto"/>
                <w:kern w:val="24"/>
                <w:sz w:val="21"/>
                <w:szCs w:val="21"/>
              </w:rPr>
            </w:pPr>
            <w:r>
              <w:rPr>
                <w:color w:val="auto"/>
                <w:kern w:val="24"/>
                <w:sz w:val="21"/>
                <w:szCs w:val="21"/>
              </w:rPr>
              <w:t>不溶物/%</w:t>
            </w:r>
          </w:p>
        </w:tc>
        <w:tc>
          <w:tcPr>
            <w:tcW w:w="2315" w:type="pct"/>
            <w:tcBorders>
              <w:tl2br w:val="nil"/>
              <w:tr2bl w:val="nil"/>
            </w:tcBorders>
          </w:tcPr>
          <w:p w14:paraId="6DDF4B65">
            <w:pPr>
              <w:widowControl/>
              <w:spacing w:line="240" w:lineRule="auto"/>
              <w:ind w:firstLine="0" w:firstLineChars="0"/>
              <w:jc w:val="center"/>
              <w:textAlignment w:val="center"/>
              <w:rPr>
                <w:color w:val="auto"/>
                <w:kern w:val="24"/>
                <w:sz w:val="21"/>
                <w:szCs w:val="21"/>
              </w:rPr>
            </w:pPr>
            <w:r>
              <w:rPr>
                <w:color w:val="auto"/>
                <w:kern w:val="24"/>
                <w:sz w:val="21"/>
                <w:szCs w:val="21"/>
              </w:rPr>
              <w:t>≤0.02</w:t>
            </w:r>
          </w:p>
        </w:tc>
      </w:tr>
      <w:tr w14:paraId="00ABDD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2684" w:type="pct"/>
            <w:tcBorders>
              <w:tl2br w:val="nil"/>
              <w:tr2bl w:val="nil"/>
            </w:tcBorders>
          </w:tcPr>
          <w:p w14:paraId="45AD0F4B">
            <w:pPr>
              <w:widowControl/>
              <w:spacing w:line="240" w:lineRule="auto"/>
              <w:ind w:firstLine="0" w:firstLineChars="0"/>
              <w:jc w:val="center"/>
              <w:textAlignment w:val="center"/>
              <w:rPr>
                <w:color w:val="auto"/>
                <w:kern w:val="24"/>
                <w:sz w:val="21"/>
                <w:szCs w:val="21"/>
              </w:rPr>
            </w:pPr>
            <w:r>
              <w:rPr>
                <w:color w:val="auto"/>
                <w:kern w:val="24"/>
                <w:sz w:val="21"/>
                <w:szCs w:val="21"/>
              </w:rPr>
              <w:t>铁</w:t>
            </w:r>
          </w:p>
        </w:tc>
        <w:tc>
          <w:tcPr>
            <w:tcW w:w="2315" w:type="pct"/>
            <w:tcBorders>
              <w:tl2br w:val="nil"/>
              <w:tr2bl w:val="nil"/>
            </w:tcBorders>
          </w:tcPr>
          <w:p w14:paraId="51589F22">
            <w:pPr>
              <w:widowControl/>
              <w:spacing w:line="240" w:lineRule="auto"/>
              <w:ind w:firstLine="0" w:firstLineChars="0"/>
              <w:jc w:val="center"/>
              <w:textAlignment w:val="center"/>
              <w:rPr>
                <w:color w:val="auto"/>
                <w:kern w:val="24"/>
                <w:sz w:val="21"/>
                <w:szCs w:val="21"/>
              </w:rPr>
            </w:pPr>
            <w:r>
              <w:rPr>
                <w:color w:val="auto"/>
                <w:kern w:val="24"/>
                <w:sz w:val="21"/>
                <w:szCs w:val="21"/>
              </w:rPr>
              <w:t>≤0.01mg/kg</w:t>
            </w:r>
          </w:p>
        </w:tc>
      </w:tr>
    </w:tbl>
    <w:p w14:paraId="4C6F8419">
      <w:pPr>
        <w:spacing w:line="460" w:lineRule="exact"/>
        <w:ind w:firstLine="480"/>
        <w:rPr>
          <w:color w:val="auto"/>
        </w:rPr>
      </w:pPr>
      <w:r>
        <w:rPr>
          <w:rFonts w:hint="eastAsia"/>
          <w:color w:val="auto"/>
        </w:rPr>
        <w:t>硫代硫酸镁产品质量执行企业标准《山东天泰钢塑有限公司（Q/GTS 005-2021）》。</w:t>
      </w:r>
    </w:p>
    <w:p w14:paraId="2A275AEF">
      <w:pPr>
        <w:adjustRightInd/>
        <w:snapToGrid/>
        <w:spacing w:line="240" w:lineRule="auto"/>
        <w:ind w:firstLine="482"/>
        <w:jc w:val="center"/>
        <w:rPr>
          <w:b/>
          <w:bCs/>
          <w:color w:val="auto"/>
        </w:rPr>
      </w:pPr>
      <w:r>
        <w:rPr>
          <w:rFonts w:hint="eastAsia"/>
          <w:b/>
          <w:bCs/>
          <w:color w:val="auto"/>
        </w:rPr>
        <w:t>表4.1-8  硫代硫酸镁产品标准</w:t>
      </w:r>
    </w:p>
    <w:tbl>
      <w:tblPr>
        <w:tblStyle w:val="25"/>
        <w:tblW w:w="5006"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297"/>
        <w:gridCol w:w="4569"/>
      </w:tblGrid>
      <w:tr w14:paraId="415B94A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9" w:hRule="atLeast"/>
          <w:jc w:val="center"/>
        </w:trPr>
        <w:tc>
          <w:tcPr>
            <w:tcW w:w="2684" w:type="pct"/>
            <w:tcBorders>
              <w:tl2br w:val="nil"/>
              <w:tr2bl w:val="nil"/>
            </w:tcBorders>
            <w:vAlign w:val="center"/>
          </w:tcPr>
          <w:p w14:paraId="0FC5FACA">
            <w:pPr>
              <w:widowControl/>
              <w:spacing w:line="240" w:lineRule="auto"/>
              <w:ind w:firstLine="0" w:firstLineChars="0"/>
              <w:jc w:val="center"/>
              <w:textAlignment w:val="center"/>
              <w:rPr>
                <w:b/>
                <w:bCs/>
                <w:color w:val="auto"/>
                <w:kern w:val="24"/>
                <w:sz w:val="21"/>
                <w:szCs w:val="21"/>
              </w:rPr>
            </w:pPr>
            <w:r>
              <w:rPr>
                <w:b/>
                <w:bCs/>
                <w:color w:val="auto"/>
                <w:kern w:val="24"/>
                <w:sz w:val="21"/>
                <w:szCs w:val="21"/>
              </w:rPr>
              <w:t>项目</w:t>
            </w:r>
          </w:p>
        </w:tc>
        <w:tc>
          <w:tcPr>
            <w:tcW w:w="2315" w:type="pct"/>
            <w:tcBorders>
              <w:tl2br w:val="nil"/>
              <w:tr2bl w:val="nil"/>
            </w:tcBorders>
            <w:vAlign w:val="center"/>
          </w:tcPr>
          <w:p w14:paraId="0F8BED7B">
            <w:pPr>
              <w:widowControl/>
              <w:spacing w:line="240" w:lineRule="auto"/>
              <w:ind w:firstLine="0" w:firstLineChars="0"/>
              <w:jc w:val="center"/>
              <w:textAlignment w:val="center"/>
              <w:rPr>
                <w:b/>
                <w:bCs/>
                <w:color w:val="auto"/>
                <w:kern w:val="24"/>
                <w:sz w:val="21"/>
                <w:szCs w:val="21"/>
              </w:rPr>
            </w:pPr>
            <w:r>
              <w:rPr>
                <w:b/>
                <w:bCs/>
                <w:color w:val="auto"/>
                <w:kern w:val="24"/>
                <w:sz w:val="21"/>
                <w:szCs w:val="21"/>
              </w:rPr>
              <w:t>液体指标</w:t>
            </w:r>
          </w:p>
        </w:tc>
      </w:tr>
      <w:tr w14:paraId="686694D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9" w:hRule="atLeast"/>
          <w:jc w:val="center"/>
        </w:trPr>
        <w:tc>
          <w:tcPr>
            <w:tcW w:w="2684" w:type="pct"/>
            <w:tcBorders>
              <w:tl2br w:val="nil"/>
              <w:tr2bl w:val="nil"/>
            </w:tcBorders>
            <w:vAlign w:val="center"/>
          </w:tcPr>
          <w:p w14:paraId="182CD3B6">
            <w:pPr>
              <w:widowControl/>
              <w:spacing w:line="240" w:lineRule="auto"/>
              <w:ind w:firstLine="0" w:firstLineChars="0"/>
              <w:jc w:val="center"/>
              <w:textAlignment w:val="center"/>
              <w:rPr>
                <w:color w:val="auto"/>
                <w:kern w:val="24"/>
                <w:sz w:val="21"/>
                <w:szCs w:val="21"/>
              </w:rPr>
            </w:pPr>
            <w:r>
              <w:rPr>
                <w:color w:val="auto"/>
                <w:kern w:val="24"/>
                <w:sz w:val="21"/>
                <w:szCs w:val="21"/>
              </w:rPr>
              <w:t>外观</w:t>
            </w:r>
          </w:p>
        </w:tc>
        <w:tc>
          <w:tcPr>
            <w:tcW w:w="2315" w:type="pct"/>
            <w:tcBorders>
              <w:tl2br w:val="nil"/>
              <w:tr2bl w:val="nil"/>
            </w:tcBorders>
            <w:vAlign w:val="center"/>
          </w:tcPr>
          <w:p w14:paraId="1E9A280D">
            <w:pPr>
              <w:widowControl/>
              <w:spacing w:line="240" w:lineRule="auto"/>
              <w:ind w:firstLine="0" w:firstLineChars="0"/>
              <w:jc w:val="center"/>
              <w:textAlignment w:val="center"/>
              <w:rPr>
                <w:color w:val="auto"/>
                <w:kern w:val="24"/>
                <w:sz w:val="21"/>
                <w:szCs w:val="21"/>
              </w:rPr>
            </w:pPr>
            <w:r>
              <w:rPr>
                <w:color w:val="auto"/>
                <w:kern w:val="24"/>
                <w:sz w:val="21"/>
                <w:szCs w:val="21"/>
              </w:rPr>
              <w:t>无色透明液体</w:t>
            </w:r>
          </w:p>
        </w:tc>
      </w:tr>
      <w:tr w14:paraId="391214D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9" w:hRule="atLeast"/>
          <w:jc w:val="center"/>
        </w:trPr>
        <w:tc>
          <w:tcPr>
            <w:tcW w:w="2684" w:type="pct"/>
            <w:tcBorders>
              <w:tl2br w:val="nil"/>
              <w:tr2bl w:val="nil"/>
            </w:tcBorders>
            <w:vAlign w:val="center"/>
          </w:tcPr>
          <w:p w14:paraId="05180751">
            <w:pPr>
              <w:widowControl/>
              <w:spacing w:line="240" w:lineRule="auto"/>
              <w:ind w:firstLine="0" w:firstLineChars="0"/>
              <w:jc w:val="center"/>
              <w:textAlignment w:val="center"/>
              <w:rPr>
                <w:color w:val="auto"/>
                <w:kern w:val="24"/>
                <w:sz w:val="21"/>
                <w:szCs w:val="21"/>
              </w:rPr>
            </w:pPr>
            <w:r>
              <w:rPr>
                <w:color w:val="auto"/>
                <w:kern w:val="24"/>
                <w:sz w:val="21"/>
                <w:szCs w:val="21"/>
              </w:rPr>
              <w:t>含量/%</w:t>
            </w:r>
          </w:p>
        </w:tc>
        <w:tc>
          <w:tcPr>
            <w:tcW w:w="2315" w:type="pct"/>
            <w:tcBorders>
              <w:tl2br w:val="nil"/>
              <w:tr2bl w:val="nil"/>
            </w:tcBorders>
            <w:vAlign w:val="center"/>
          </w:tcPr>
          <w:p w14:paraId="1232A03D">
            <w:pPr>
              <w:widowControl/>
              <w:spacing w:line="240" w:lineRule="auto"/>
              <w:ind w:firstLine="0" w:firstLineChars="0"/>
              <w:jc w:val="center"/>
              <w:textAlignment w:val="center"/>
              <w:rPr>
                <w:color w:val="auto"/>
                <w:kern w:val="24"/>
                <w:sz w:val="21"/>
                <w:szCs w:val="21"/>
              </w:rPr>
            </w:pPr>
            <w:r>
              <w:rPr>
                <w:color w:val="auto"/>
                <w:kern w:val="24"/>
                <w:sz w:val="21"/>
                <w:szCs w:val="21"/>
              </w:rPr>
              <w:t>≥20</w:t>
            </w:r>
            <w:r>
              <w:rPr>
                <w:rFonts w:hint="eastAsia"/>
                <w:color w:val="auto"/>
                <w:kern w:val="24"/>
                <w:sz w:val="21"/>
                <w:szCs w:val="21"/>
              </w:rPr>
              <w:t>.0</w:t>
            </w:r>
          </w:p>
        </w:tc>
      </w:tr>
      <w:tr w14:paraId="20F6479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9" w:hRule="atLeast"/>
          <w:jc w:val="center"/>
        </w:trPr>
        <w:tc>
          <w:tcPr>
            <w:tcW w:w="2684" w:type="pct"/>
            <w:tcBorders>
              <w:tl2br w:val="nil"/>
              <w:tr2bl w:val="nil"/>
            </w:tcBorders>
            <w:vAlign w:val="center"/>
          </w:tcPr>
          <w:p w14:paraId="30DBEA6C">
            <w:pPr>
              <w:widowControl/>
              <w:spacing w:line="240" w:lineRule="auto"/>
              <w:ind w:firstLine="0" w:firstLineChars="0"/>
              <w:jc w:val="center"/>
              <w:textAlignment w:val="center"/>
              <w:rPr>
                <w:color w:val="auto"/>
                <w:kern w:val="24"/>
                <w:sz w:val="21"/>
                <w:szCs w:val="21"/>
              </w:rPr>
            </w:pPr>
            <w:r>
              <w:rPr>
                <w:color w:val="auto"/>
                <w:kern w:val="24"/>
                <w:sz w:val="21"/>
                <w:szCs w:val="21"/>
              </w:rPr>
              <w:t>亚硫酸镁/%</w:t>
            </w:r>
          </w:p>
        </w:tc>
        <w:tc>
          <w:tcPr>
            <w:tcW w:w="2315" w:type="pct"/>
            <w:tcBorders>
              <w:tl2br w:val="nil"/>
              <w:tr2bl w:val="nil"/>
            </w:tcBorders>
            <w:vAlign w:val="center"/>
          </w:tcPr>
          <w:p w14:paraId="45766398">
            <w:pPr>
              <w:widowControl/>
              <w:spacing w:line="240" w:lineRule="auto"/>
              <w:ind w:firstLine="0" w:firstLineChars="0"/>
              <w:jc w:val="center"/>
              <w:textAlignment w:val="center"/>
              <w:rPr>
                <w:color w:val="auto"/>
                <w:kern w:val="24"/>
                <w:sz w:val="21"/>
                <w:szCs w:val="21"/>
              </w:rPr>
            </w:pPr>
            <w:r>
              <w:rPr>
                <w:color w:val="auto"/>
                <w:kern w:val="24"/>
                <w:sz w:val="21"/>
                <w:szCs w:val="21"/>
              </w:rPr>
              <w:t>≤0.5</w:t>
            </w:r>
          </w:p>
        </w:tc>
      </w:tr>
      <w:tr w14:paraId="6C15E1C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9" w:hRule="atLeast"/>
          <w:jc w:val="center"/>
        </w:trPr>
        <w:tc>
          <w:tcPr>
            <w:tcW w:w="2684" w:type="pct"/>
            <w:tcBorders>
              <w:tl2br w:val="nil"/>
              <w:tr2bl w:val="nil"/>
            </w:tcBorders>
            <w:vAlign w:val="center"/>
          </w:tcPr>
          <w:p w14:paraId="302D0E1A">
            <w:pPr>
              <w:widowControl/>
              <w:spacing w:line="240" w:lineRule="auto"/>
              <w:ind w:firstLine="0" w:firstLineChars="0"/>
              <w:jc w:val="center"/>
              <w:textAlignment w:val="center"/>
              <w:rPr>
                <w:color w:val="auto"/>
                <w:kern w:val="24"/>
                <w:sz w:val="21"/>
                <w:szCs w:val="21"/>
              </w:rPr>
            </w:pPr>
            <w:r>
              <w:rPr>
                <w:color w:val="auto"/>
                <w:kern w:val="24"/>
                <w:sz w:val="21"/>
                <w:szCs w:val="21"/>
              </w:rPr>
              <w:t>pH值</w:t>
            </w:r>
          </w:p>
        </w:tc>
        <w:tc>
          <w:tcPr>
            <w:tcW w:w="2315" w:type="pct"/>
            <w:tcBorders>
              <w:tl2br w:val="nil"/>
              <w:tr2bl w:val="nil"/>
            </w:tcBorders>
            <w:vAlign w:val="center"/>
          </w:tcPr>
          <w:p w14:paraId="4E78A4A2">
            <w:pPr>
              <w:widowControl/>
              <w:spacing w:line="240" w:lineRule="auto"/>
              <w:ind w:firstLine="0" w:firstLineChars="0"/>
              <w:jc w:val="center"/>
              <w:textAlignment w:val="center"/>
              <w:rPr>
                <w:color w:val="auto"/>
                <w:kern w:val="24"/>
                <w:sz w:val="21"/>
                <w:szCs w:val="21"/>
              </w:rPr>
            </w:pPr>
            <w:r>
              <w:rPr>
                <w:color w:val="auto"/>
                <w:kern w:val="24"/>
                <w:sz w:val="21"/>
                <w:szCs w:val="21"/>
              </w:rPr>
              <w:t>6.5～9.5</w:t>
            </w:r>
          </w:p>
        </w:tc>
      </w:tr>
      <w:tr w14:paraId="389D060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9" w:hRule="atLeast"/>
          <w:jc w:val="center"/>
        </w:trPr>
        <w:tc>
          <w:tcPr>
            <w:tcW w:w="2684" w:type="pct"/>
            <w:tcBorders>
              <w:tl2br w:val="nil"/>
              <w:tr2bl w:val="nil"/>
            </w:tcBorders>
            <w:vAlign w:val="center"/>
          </w:tcPr>
          <w:p w14:paraId="52D1C8A0">
            <w:pPr>
              <w:widowControl/>
              <w:spacing w:line="240" w:lineRule="auto"/>
              <w:ind w:firstLine="0" w:firstLineChars="0"/>
              <w:jc w:val="center"/>
              <w:textAlignment w:val="center"/>
              <w:rPr>
                <w:color w:val="auto"/>
                <w:kern w:val="24"/>
                <w:sz w:val="21"/>
                <w:szCs w:val="21"/>
              </w:rPr>
            </w:pPr>
            <w:r>
              <w:rPr>
                <w:color w:val="auto"/>
                <w:kern w:val="24"/>
                <w:sz w:val="21"/>
                <w:szCs w:val="21"/>
              </w:rPr>
              <w:t>比重（20℃）</w:t>
            </w:r>
          </w:p>
        </w:tc>
        <w:tc>
          <w:tcPr>
            <w:tcW w:w="2315" w:type="pct"/>
            <w:tcBorders>
              <w:tl2br w:val="nil"/>
              <w:tr2bl w:val="nil"/>
            </w:tcBorders>
            <w:vAlign w:val="center"/>
          </w:tcPr>
          <w:p w14:paraId="4775F9DA">
            <w:pPr>
              <w:widowControl/>
              <w:spacing w:line="240" w:lineRule="auto"/>
              <w:ind w:firstLine="0" w:firstLineChars="0"/>
              <w:jc w:val="center"/>
              <w:textAlignment w:val="center"/>
              <w:rPr>
                <w:color w:val="auto"/>
                <w:kern w:val="24"/>
                <w:sz w:val="21"/>
                <w:szCs w:val="21"/>
              </w:rPr>
            </w:pPr>
            <w:r>
              <w:rPr>
                <w:color w:val="auto"/>
                <w:kern w:val="24"/>
                <w:sz w:val="21"/>
                <w:szCs w:val="21"/>
              </w:rPr>
              <w:t>1.20～1.21</w:t>
            </w:r>
          </w:p>
        </w:tc>
      </w:tr>
      <w:tr w14:paraId="298A329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9" w:hRule="atLeast"/>
          <w:jc w:val="center"/>
        </w:trPr>
        <w:tc>
          <w:tcPr>
            <w:tcW w:w="2684" w:type="pct"/>
            <w:tcBorders>
              <w:tl2br w:val="nil"/>
              <w:tr2bl w:val="nil"/>
            </w:tcBorders>
            <w:vAlign w:val="center"/>
          </w:tcPr>
          <w:p w14:paraId="4ECC0F00">
            <w:pPr>
              <w:widowControl/>
              <w:spacing w:line="240" w:lineRule="auto"/>
              <w:ind w:firstLine="0" w:firstLineChars="0"/>
              <w:jc w:val="center"/>
              <w:textAlignment w:val="center"/>
              <w:rPr>
                <w:color w:val="auto"/>
                <w:kern w:val="24"/>
                <w:sz w:val="21"/>
                <w:szCs w:val="21"/>
              </w:rPr>
            </w:pPr>
            <w:r>
              <w:rPr>
                <w:color w:val="auto"/>
                <w:kern w:val="24"/>
                <w:sz w:val="21"/>
                <w:szCs w:val="21"/>
              </w:rPr>
              <w:t>硫化物（以硫计）/%</w:t>
            </w:r>
          </w:p>
        </w:tc>
        <w:tc>
          <w:tcPr>
            <w:tcW w:w="2315" w:type="pct"/>
            <w:tcBorders>
              <w:tl2br w:val="nil"/>
              <w:tr2bl w:val="nil"/>
            </w:tcBorders>
            <w:vAlign w:val="center"/>
          </w:tcPr>
          <w:p w14:paraId="15F4CB45">
            <w:pPr>
              <w:widowControl/>
              <w:spacing w:line="240" w:lineRule="auto"/>
              <w:ind w:firstLine="0" w:firstLineChars="0"/>
              <w:jc w:val="center"/>
              <w:textAlignment w:val="center"/>
              <w:rPr>
                <w:color w:val="auto"/>
                <w:kern w:val="24"/>
                <w:sz w:val="21"/>
                <w:szCs w:val="21"/>
              </w:rPr>
            </w:pPr>
            <w:r>
              <w:rPr>
                <w:color w:val="auto"/>
                <w:kern w:val="24"/>
                <w:sz w:val="21"/>
                <w:szCs w:val="21"/>
              </w:rPr>
              <w:t>≤0.001</w:t>
            </w:r>
          </w:p>
        </w:tc>
      </w:tr>
      <w:tr w14:paraId="3BE8590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8" w:hRule="atLeast"/>
          <w:jc w:val="center"/>
        </w:trPr>
        <w:tc>
          <w:tcPr>
            <w:tcW w:w="2684" w:type="pct"/>
            <w:tcBorders>
              <w:tl2br w:val="nil"/>
              <w:tr2bl w:val="nil"/>
            </w:tcBorders>
            <w:vAlign w:val="center"/>
          </w:tcPr>
          <w:p w14:paraId="6E12B59A">
            <w:pPr>
              <w:widowControl/>
              <w:spacing w:line="240" w:lineRule="auto"/>
              <w:ind w:firstLine="0" w:firstLineChars="0"/>
              <w:jc w:val="center"/>
              <w:textAlignment w:val="center"/>
              <w:rPr>
                <w:color w:val="auto"/>
                <w:kern w:val="24"/>
                <w:sz w:val="21"/>
                <w:szCs w:val="21"/>
              </w:rPr>
            </w:pPr>
            <w:r>
              <w:rPr>
                <w:color w:val="auto"/>
                <w:kern w:val="24"/>
                <w:sz w:val="21"/>
                <w:szCs w:val="21"/>
              </w:rPr>
              <w:t>铁/%</w:t>
            </w:r>
          </w:p>
        </w:tc>
        <w:tc>
          <w:tcPr>
            <w:tcW w:w="2315" w:type="pct"/>
            <w:tcBorders>
              <w:tl2br w:val="nil"/>
              <w:tr2bl w:val="nil"/>
            </w:tcBorders>
            <w:vAlign w:val="center"/>
          </w:tcPr>
          <w:p w14:paraId="34CCCB2C">
            <w:pPr>
              <w:widowControl/>
              <w:spacing w:line="240" w:lineRule="auto"/>
              <w:ind w:firstLine="0" w:firstLineChars="0"/>
              <w:jc w:val="center"/>
              <w:textAlignment w:val="center"/>
              <w:rPr>
                <w:color w:val="auto"/>
                <w:kern w:val="24"/>
                <w:sz w:val="21"/>
                <w:szCs w:val="21"/>
              </w:rPr>
            </w:pPr>
            <w:r>
              <w:rPr>
                <w:color w:val="auto"/>
                <w:kern w:val="24"/>
                <w:sz w:val="21"/>
                <w:szCs w:val="21"/>
              </w:rPr>
              <w:t>≤0.005</w:t>
            </w:r>
          </w:p>
        </w:tc>
      </w:tr>
    </w:tbl>
    <w:p w14:paraId="60A65C07">
      <w:pPr>
        <w:spacing w:line="460" w:lineRule="exact"/>
        <w:ind w:firstLine="480"/>
        <w:rPr>
          <w:color w:val="auto"/>
        </w:rPr>
      </w:pPr>
      <w:r>
        <w:rPr>
          <w:rFonts w:hint="eastAsia"/>
          <w:color w:val="auto"/>
        </w:rPr>
        <w:t>硫代硫酸钾产品质量执行企业标准《山东天泰钢塑有限公司（Q/GTS/HG/003-2021）》。</w:t>
      </w:r>
    </w:p>
    <w:p w14:paraId="701CDBC4">
      <w:pPr>
        <w:adjustRightInd/>
        <w:snapToGrid/>
        <w:spacing w:line="240" w:lineRule="auto"/>
        <w:ind w:firstLine="482"/>
        <w:jc w:val="center"/>
        <w:rPr>
          <w:b/>
          <w:bCs/>
          <w:color w:val="auto"/>
        </w:rPr>
      </w:pPr>
      <w:r>
        <w:rPr>
          <w:rFonts w:hint="eastAsia"/>
          <w:b/>
          <w:bCs/>
          <w:color w:val="auto"/>
        </w:rPr>
        <w:t>表4.1-9  硫代硫酸钾产品标准</w:t>
      </w:r>
    </w:p>
    <w:tbl>
      <w:tblPr>
        <w:tblStyle w:val="25"/>
        <w:tblW w:w="4963"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889"/>
        <w:gridCol w:w="4892"/>
      </w:tblGrid>
      <w:tr w14:paraId="0470016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trHeight w:val="158" w:hRule="atLeast"/>
          <w:jc w:val="center"/>
        </w:trPr>
        <w:tc>
          <w:tcPr>
            <w:tcW w:w="2499" w:type="pct"/>
            <w:tcBorders>
              <w:tl2br w:val="nil"/>
              <w:tr2bl w:val="nil"/>
            </w:tcBorders>
            <w:vAlign w:val="center"/>
          </w:tcPr>
          <w:p w14:paraId="30F6EFE7">
            <w:pPr>
              <w:widowControl/>
              <w:spacing w:line="240" w:lineRule="auto"/>
              <w:ind w:firstLine="0" w:firstLineChars="0"/>
              <w:jc w:val="center"/>
              <w:textAlignment w:val="center"/>
              <w:rPr>
                <w:b/>
                <w:bCs/>
                <w:color w:val="auto"/>
                <w:kern w:val="24"/>
                <w:sz w:val="21"/>
                <w:szCs w:val="21"/>
              </w:rPr>
            </w:pPr>
            <w:r>
              <w:rPr>
                <w:b/>
                <w:bCs/>
                <w:color w:val="auto"/>
                <w:kern w:val="24"/>
                <w:sz w:val="21"/>
                <w:szCs w:val="21"/>
              </w:rPr>
              <w:t>项目</w:t>
            </w:r>
          </w:p>
        </w:tc>
        <w:tc>
          <w:tcPr>
            <w:tcW w:w="2500" w:type="pct"/>
            <w:tcBorders>
              <w:tl2br w:val="nil"/>
              <w:tr2bl w:val="nil"/>
            </w:tcBorders>
            <w:vAlign w:val="center"/>
          </w:tcPr>
          <w:p w14:paraId="1B01EB12">
            <w:pPr>
              <w:widowControl/>
              <w:spacing w:line="240" w:lineRule="auto"/>
              <w:ind w:firstLine="0" w:firstLineChars="0"/>
              <w:jc w:val="center"/>
              <w:textAlignment w:val="center"/>
              <w:rPr>
                <w:b/>
                <w:bCs/>
                <w:color w:val="auto"/>
                <w:kern w:val="24"/>
                <w:sz w:val="21"/>
                <w:szCs w:val="21"/>
              </w:rPr>
            </w:pPr>
            <w:r>
              <w:rPr>
                <w:b/>
                <w:bCs/>
                <w:color w:val="auto"/>
                <w:kern w:val="24"/>
                <w:sz w:val="21"/>
                <w:szCs w:val="21"/>
              </w:rPr>
              <w:t>液体指标</w:t>
            </w:r>
          </w:p>
        </w:tc>
      </w:tr>
      <w:tr w14:paraId="1049437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2499" w:type="pct"/>
            <w:tcBorders>
              <w:tl2br w:val="nil"/>
              <w:tr2bl w:val="nil"/>
            </w:tcBorders>
            <w:vAlign w:val="center"/>
          </w:tcPr>
          <w:p w14:paraId="5110DBAC">
            <w:pPr>
              <w:widowControl/>
              <w:spacing w:line="240" w:lineRule="auto"/>
              <w:ind w:firstLine="0" w:firstLineChars="0"/>
              <w:jc w:val="center"/>
              <w:textAlignment w:val="center"/>
              <w:rPr>
                <w:color w:val="auto"/>
                <w:kern w:val="24"/>
                <w:sz w:val="21"/>
                <w:szCs w:val="21"/>
              </w:rPr>
            </w:pPr>
            <w:r>
              <w:rPr>
                <w:color w:val="auto"/>
                <w:kern w:val="24"/>
                <w:sz w:val="21"/>
                <w:szCs w:val="21"/>
              </w:rPr>
              <w:t>外观</w:t>
            </w:r>
          </w:p>
        </w:tc>
        <w:tc>
          <w:tcPr>
            <w:tcW w:w="2500" w:type="pct"/>
            <w:tcBorders>
              <w:tl2br w:val="nil"/>
              <w:tr2bl w:val="nil"/>
            </w:tcBorders>
            <w:vAlign w:val="center"/>
          </w:tcPr>
          <w:p w14:paraId="02B9B016">
            <w:pPr>
              <w:widowControl/>
              <w:spacing w:line="240" w:lineRule="auto"/>
              <w:ind w:firstLine="0" w:firstLineChars="0"/>
              <w:jc w:val="center"/>
              <w:textAlignment w:val="center"/>
              <w:rPr>
                <w:color w:val="auto"/>
                <w:kern w:val="24"/>
                <w:sz w:val="21"/>
                <w:szCs w:val="21"/>
              </w:rPr>
            </w:pPr>
            <w:r>
              <w:rPr>
                <w:color w:val="auto"/>
                <w:kern w:val="24"/>
                <w:sz w:val="21"/>
                <w:szCs w:val="21"/>
              </w:rPr>
              <w:t>无色透明液体</w:t>
            </w:r>
          </w:p>
        </w:tc>
      </w:tr>
      <w:tr w14:paraId="2765139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2499" w:type="pct"/>
            <w:tcBorders>
              <w:tl2br w:val="nil"/>
              <w:tr2bl w:val="nil"/>
            </w:tcBorders>
            <w:vAlign w:val="center"/>
          </w:tcPr>
          <w:p w14:paraId="6F652343">
            <w:pPr>
              <w:widowControl/>
              <w:spacing w:line="240" w:lineRule="auto"/>
              <w:ind w:firstLine="0" w:firstLineChars="0"/>
              <w:jc w:val="center"/>
              <w:textAlignment w:val="center"/>
              <w:rPr>
                <w:color w:val="auto"/>
                <w:kern w:val="24"/>
                <w:sz w:val="21"/>
                <w:szCs w:val="21"/>
              </w:rPr>
            </w:pPr>
            <w:r>
              <w:rPr>
                <w:color w:val="auto"/>
                <w:kern w:val="24"/>
                <w:sz w:val="21"/>
                <w:szCs w:val="21"/>
              </w:rPr>
              <w:t>含量(硫代硫酸钾)w/%</w:t>
            </w:r>
          </w:p>
        </w:tc>
        <w:tc>
          <w:tcPr>
            <w:tcW w:w="2500" w:type="pct"/>
            <w:tcBorders>
              <w:tl2br w:val="nil"/>
              <w:tr2bl w:val="nil"/>
            </w:tcBorders>
            <w:vAlign w:val="center"/>
          </w:tcPr>
          <w:p w14:paraId="422E7115">
            <w:pPr>
              <w:widowControl/>
              <w:spacing w:line="240" w:lineRule="auto"/>
              <w:ind w:firstLine="0" w:firstLineChars="0"/>
              <w:jc w:val="center"/>
              <w:textAlignment w:val="center"/>
              <w:rPr>
                <w:color w:val="auto"/>
                <w:kern w:val="24"/>
                <w:sz w:val="21"/>
                <w:szCs w:val="21"/>
              </w:rPr>
            </w:pPr>
            <w:r>
              <w:rPr>
                <w:color w:val="auto"/>
                <w:kern w:val="24"/>
                <w:sz w:val="21"/>
                <w:szCs w:val="21"/>
              </w:rPr>
              <w:t>≥49.0</w:t>
            </w:r>
          </w:p>
        </w:tc>
      </w:tr>
      <w:tr w14:paraId="6C20606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2499" w:type="pct"/>
            <w:tcBorders>
              <w:tl2br w:val="nil"/>
              <w:tr2bl w:val="nil"/>
            </w:tcBorders>
            <w:vAlign w:val="center"/>
          </w:tcPr>
          <w:p w14:paraId="04610B8E">
            <w:pPr>
              <w:widowControl/>
              <w:spacing w:line="240" w:lineRule="auto"/>
              <w:ind w:firstLine="0" w:firstLineChars="0"/>
              <w:jc w:val="center"/>
              <w:textAlignment w:val="center"/>
              <w:rPr>
                <w:color w:val="auto"/>
                <w:kern w:val="24"/>
                <w:sz w:val="21"/>
                <w:szCs w:val="21"/>
              </w:rPr>
            </w:pPr>
            <w:r>
              <w:rPr>
                <w:color w:val="auto"/>
                <w:kern w:val="24"/>
                <w:sz w:val="21"/>
                <w:szCs w:val="21"/>
              </w:rPr>
              <w:t>氧化钾（K</w:t>
            </w:r>
            <w:r>
              <w:rPr>
                <w:color w:val="auto"/>
                <w:kern w:val="24"/>
                <w:sz w:val="21"/>
                <w:szCs w:val="21"/>
                <w:vertAlign w:val="subscript"/>
              </w:rPr>
              <w:t>2</w:t>
            </w:r>
            <w:r>
              <w:rPr>
                <w:color w:val="auto"/>
                <w:kern w:val="24"/>
                <w:sz w:val="21"/>
                <w:szCs w:val="21"/>
              </w:rPr>
              <w:t>O）w/%</w:t>
            </w:r>
          </w:p>
        </w:tc>
        <w:tc>
          <w:tcPr>
            <w:tcW w:w="2500" w:type="pct"/>
            <w:tcBorders>
              <w:tl2br w:val="nil"/>
              <w:tr2bl w:val="nil"/>
            </w:tcBorders>
            <w:vAlign w:val="center"/>
          </w:tcPr>
          <w:p w14:paraId="5791CA30">
            <w:pPr>
              <w:widowControl/>
              <w:spacing w:line="240" w:lineRule="auto"/>
              <w:ind w:firstLine="0" w:firstLineChars="0"/>
              <w:jc w:val="center"/>
              <w:textAlignment w:val="center"/>
              <w:rPr>
                <w:color w:val="auto"/>
                <w:kern w:val="24"/>
                <w:sz w:val="21"/>
                <w:szCs w:val="21"/>
              </w:rPr>
            </w:pPr>
            <w:r>
              <w:rPr>
                <w:color w:val="auto"/>
                <w:kern w:val="24"/>
                <w:sz w:val="21"/>
                <w:szCs w:val="21"/>
              </w:rPr>
              <w:t>≥25.0</w:t>
            </w:r>
          </w:p>
        </w:tc>
      </w:tr>
      <w:tr w14:paraId="7847E9E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2499" w:type="pct"/>
            <w:tcBorders>
              <w:tl2br w:val="nil"/>
              <w:tr2bl w:val="nil"/>
            </w:tcBorders>
            <w:vAlign w:val="center"/>
          </w:tcPr>
          <w:p w14:paraId="3C336370">
            <w:pPr>
              <w:widowControl/>
              <w:spacing w:line="240" w:lineRule="auto"/>
              <w:ind w:firstLine="0" w:firstLineChars="0"/>
              <w:jc w:val="center"/>
              <w:textAlignment w:val="center"/>
              <w:rPr>
                <w:color w:val="auto"/>
                <w:kern w:val="24"/>
                <w:sz w:val="21"/>
                <w:szCs w:val="21"/>
              </w:rPr>
            </w:pPr>
            <w:r>
              <w:rPr>
                <w:color w:val="auto"/>
                <w:kern w:val="24"/>
                <w:sz w:val="21"/>
                <w:szCs w:val="21"/>
              </w:rPr>
              <w:t>总硫（以S计）w/%</w:t>
            </w:r>
          </w:p>
        </w:tc>
        <w:tc>
          <w:tcPr>
            <w:tcW w:w="2500" w:type="pct"/>
            <w:tcBorders>
              <w:tl2br w:val="nil"/>
              <w:tr2bl w:val="nil"/>
            </w:tcBorders>
            <w:vAlign w:val="center"/>
          </w:tcPr>
          <w:p w14:paraId="153D43B8">
            <w:pPr>
              <w:widowControl/>
              <w:spacing w:line="240" w:lineRule="auto"/>
              <w:ind w:firstLine="0" w:firstLineChars="0"/>
              <w:jc w:val="center"/>
              <w:textAlignment w:val="center"/>
              <w:rPr>
                <w:color w:val="auto"/>
                <w:kern w:val="24"/>
                <w:sz w:val="21"/>
                <w:szCs w:val="21"/>
              </w:rPr>
            </w:pPr>
            <w:r>
              <w:rPr>
                <w:color w:val="auto"/>
                <w:kern w:val="24"/>
                <w:sz w:val="21"/>
                <w:szCs w:val="21"/>
              </w:rPr>
              <w:t>≥17.0</w:t>
            </w:r>
          </w:p>
        </w:tc>
      </w:tr>
      <w:tr w14:paraId="278E900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2499" w:type="pct"/>
            <w:tcBorders>
              <w:tl2br w:val="nil"/>
              <w:tr2bl w:val="nil"/>
            </w:tcBorders>
            <w:vAlign w:val="center"/>
          </w:tcPr>
          <w:p w14:paraId="0C98B114">
            <w:pPr>
              <w:widowControl/>
              <w:spacing w:line="240" w:lineRule="auto"/>
              <w:ind w:firstLine="0" w:firstLineChars="0"/>
              <w:jc w:val="center"/>
              <w:textAlignment w:val="center"/>
              <w:rPr>
                <w:color w:val="auto"/>
                <w:kern w:val="24"/>
                <w:sz w:val="21"/>
                <w:szCs w:val="21"/>
              </w:rPr>
            </w:pPr>
            <w:r>
              <w:rPr>
                <w:color w:val="auto"/>
                <w:kern w:val="24"/>
                <w:sz w:val="21"/>
                <w:szCs w:val="21"/>
              </w:rPr>
              <w:t>水不溶物w/%</w:t>
            </w:r>
          </w:p>
        </w:tc>
        <w:tc>
          <w:tcPr>
            <w:tcW w:w="2500" w:type="pct"/>
            <w:tcBorders>
              <w:tl2br w:val="nil"/>
              <w:tr2bl w:val="nil"/>
            </w:tcBorders>
            <w:vAlign w:val="center"/>
          </w:tcPr>
          <w:p w14:paraId="3D083980">
            <w:pPr>
              <w:widowControl/>
              <w:spacing w:line="240" w:lineRule="auto"/>
              <w:ind w:firstLine="0" w:firstLineChars="0"/>
              <w:jc w:val="center"/>
              <w:textAlignment w:val="center"/>
              <w:rPr>
                <w:color w:val="auto"/>
                <w:kern w:val="24"/>
                <w:sz w:val="21"/>
                <w:szCs w:val="21"/>
              </w:rPr>
            </w:pPr>
            <w:r>
              <w:rPr>
                <w:color w:val="auto"/>
                <w:kern w:val="24"/>
                <w:sz w:val="21"/>
                <w:szCs w:val="21"/>
              </w:rPr>
              <w:t>≤0.05</w:t>
            </w:r>
          </w:p>
        </w:tc>
      </w:tr>
      <w:tr w14:paraId="0CAA72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2499" w:type="pct"/>
            <w:tcBorders>
              <w:tl2br w:val="nil"/>
              <w:tr2bl w:val="nil"/>
            </w:tcBorders>
            <w:vAlign w:val="center"/>
          </w:tcPr>
          <w:p w14:paraId="6EED8C15">
            <w:pPr>
              <w:widowControl/>
              <w:spacing w:line="240" w:lineRule="auto"/>
              <w:ind w:firstLine="0" w:firstLineChars="0"/>
              <w:jc w:val="center"/>
              <w:textAlignment w:val="center"/>
              <w:rPr>
                <w:color w:val="auto"/>
                <w:kern w:val="24"/>
                <w:sz w:val="21"/>
                <w:szCs w:val="21"/>
              </w:rPr>
            </w:pPr>
            <w:r>
              <w:rPr>
                <w:color w:val="auto"/>
                <w:kern w:val="24"/>
                <w:sz w:val="21"/>
                <w:szCs w:val="21"/>
              </w:rPr>
              <w:t>硫化物（以Na</w:t>
            </w:r>
            <w:r>
              <w:rPr>
                <w:color w:val="auto"/>
                <w:kern w:val="24"/>
                <w:sz w:val="21"/>
                <w:szCs w:val="21"/>
                <w:vertAlign w:val="subscript"/>
              </w:rPr>
              <w:t>2</w:t>
            </w:r>
            <w:r>
              <w:rPr>
                <w:color w:val="auto"/>
                <w:kern w:val="24"/>
                <w:sz w:val="21"/>
                <w:szCs w:val="21"/>
              </w:rPr>
              <w:t>S计）w/%</w:t>
            </w:r>
          </w:p>
        </w:tc>
        <w:tc>
          <w:tcPr>
            <w:tcW w:w="2500" w:type="pct"/>
            <w:tcBorders>
              <w:tl2br w:val="nil"/>
              <w:tr2bl w:val="nil"/>
            </w:tcBorders>
            <w:vAlign w:val="center"/>
          </w:tcPr>
          <w:p w14:paraId="27628A09">
            <w:pPr>
              <w:widowControl/>
              <w:spacing w:line="240" w:lineRule="auto"/>
              <w:ind w:firstLine="0" w:firstLineChars="0"/>
              <w:jc w:val="center"/>
              <w:textAlignment w:val="center"/>
              <w:rPr>
                <w:color w:val="auto"/>
                <w:kern w:val="24"/>
                <w:sz w:val="21"/>
                <w:szCs w:val="21"/>
              </w:rPr>
            </w:pPr>
            <w:r>
              <w:rPr>
                <w:color w:val="auto"/>
                <w:kern w:val="24"/>
                <w:sz w:val="21"/>
                <w:szCs w:val="21"/>
              </w:rPr>
              <w:t>≤0.005</w:t>
            </w:r>
          </w:p>
        </w:tc>
      </w:tr>
      <w:tr w14:paraId="2D82C2B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2499" w:type="pct"/>
            <w:tcBorders>
              <w:tl2br w:val="nil"/>
              <w:tr2bl w:val="nil"/>
            </w:tcBorders>
            <w:vAlign w:val="center"/>
          </w:tcPr>
          <w:p w14:paraId="5394A78A">
            <w:pPr>
              <w:widowControl/>
              <w:spacing w:line="240" w:lineRule="auto"/>
              <w:ind w:firstLine="0" w:firstLineChars="0"/>
              <w:jc w:val="center"/>
              <w:textAlignment w:val="center"/>
              <w:rPr>
                <w:color w:val="auto"/>
                <w:kern w:val="24"/>
                <w:sz w:val="21"/>
                <w:szCs w:val="21"/>
              </w:rPr>
            </w:pPr>
            <w:r>
              <w:rPr>
                <w:color w:val="auto"/>
                <w:kern w:val="24"/>
                <w:sz w:val="21"/>
                <w:szCs w:val="21"/>
              </w:rPr>
              <w:t>铁（Fe）w/%</w:t>
            </w:r>
          </w:p>
        </w:tc>
        <w:tc>
          <w:tcPr>
            <w:tcW w:w="2500" w:type="pct"/>
            <w:tcBorders>
              <w:tl2br w:val="nil"/>
              <w:tr2bl w:val="nil"/>
            </w:tcBorders>
            <w:vAlign w:val="center"/>
          </w:tcPr>
          <w:p w14:paraId="5D2D7DBC">
            <w:pPr>
              <w:widowControl/>
              <w:spacing w:line="240" w:lineRule="auto"/>
              <w:ind w:firstLine="0" w:firstLineChars="0"/>
              <w:jc w:val="center"/>
              <w:textAlignment w:val="center"/>
              <w:rPr>
                <w:color w:val="auto"/>
                <w:kern w:val="24"/>
                <w:sz w:val="21"/>
                <w:szCs w:val="21"/>
              </w:rPr>
            </w:pPr>
            <w:r>
              <w:rPr>
                <w:color w:val="auto"/>
                <w:kern w:val="24"/>
                <w:sz w:val="21"/>
                <w:szCs w:val="21"/>
              </w:rPr>
              <w:t>≤0.02</w:t>
            </w:r>
          </w:p>
        </w:tc>
      </w:tr>
      <w:tr w14:paraId="7FC7B97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2499" w:type="pct"/>
            <w:tcBorders>
              <w:tl2br w:val="nil"/>
              <w:tr2bl w:val="nil"/>
            </w:tcBorders>
            <w:vAlign w:val="center"/>
          </w:tcPr>
          <w:p w14:paraId="203B2C63">
            <w:pPr>
              <w:widowControl/>
              <w:spacing w:line="240" w:lineRule="auto"/>
              <w:ind w:firstLine="0" w:firstLineChars="0"/>
              <w:jc w:val="center"/>
              <w:textAlignment w:val="center"/>
              <w:rPr>
                <w:color w:val="auto"/>
                <w:kern w:val="24"/>
                <w:sz w:val="21"/>
                <w:szCs w:val="21"/>
              </w:rPr>
            </w:pPr>
            <w:r>
              <w:rPr>
                <w:color w:val="auto"/>
                <w:kern w:val="24"/>
                <w:sz w:val="21"/>
                <w:szCs w:val="21"/>
              </w:rPr>
              <w:t>pH值（200g/L溶液）20℃</w:t>
            </w:r>
          </w:p>
        </w:tc>
        <w:tc>
          <w:tcPr>
            <w:tcW w:w="2500" w:type="pct"/>
            <w:tcBorders>
              <w:tl2br w:val="nil"/>
              <w:tr2bl w:val="nil"/>
            </w:tcBorders>
            <w:vAlign w:val="center"/>
          </w:tcPr>
          <w:p w14:paraId="352566A3">
            <w:pPr>
              <w:widowControl/>
              <w:spacing w:line="240" w:lineRule="auto"/>
              <w:ind w:firstLine="0" w:firstLineChars="0"/>
              <w:jc w:val="center"/>
              <w:textAlignment w:val="center"/>
              <w:rPr>
                <w:color w:val="auto"/>
                <w:kern w:val="24"/>
                <w:sz w:val="21"/>
                <w:szCs w:val="21"/>
              </w:rPr>
            </w:pPr>
            <w:r>
              <w:rPr>
                <w:color w:val="auto"/>
                <w:kern w:val="24"/>
                <w:sz w:val="21"/>
                <w:szCs w:val="21"/>
              </w:rPr>
              <w:t>7.0～9.0</w:t>
            </w:r>
          </w:p>
        </w:tc>
      </w:tr>
      <w:tr w14:paraId="7EA4C60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jc w:val="center"/>
        </w:trPr>
        <w:tc>
          <w:tcPr>
            <w:tcW w:w="2499" w:type="pct"/>
            <w:tcBorders>
              <w:tl2br w:val="nil"/>
              <w:tr2bl w:val="nil"/>
            </w:tcBorders>
            <w:vAlign w:val="center"/>
          </w:tcPr>
          <w:p w14:paraId="1690DEEA">
            <w:pPr>
              <w:widowControl/>
              <w:spacing w:line="240" w:lineRule="auto"/>
              <w:ind w:firstLine="0" w:firstLineChars="0"/>
              <w:jc w:val="center"/>
              <w:textAlignment w:val="center"/>
              <w:rPr>
                <w:color w:val="auto"/>
                <w:kern w:val="24"/>
                <w:sz w:val="21"/>
                <w:szCs w:val="21"/>
              </w:rPr>
            </w:pPr>
            <w:r>
              <w:rPr>
                <w:color w:val="auto"/>
                <w:kern w:val="24"/>
                <w:sz w:val="21"/>
                <w:szCs w:val="21"/>
              </w:rPr>
              <w:t>硫酸盐w/%</w:t>
            </w:r>
          </w:p>
        </w:tc>
        <w:tc>
          <w:tcPr>
            <w:tcW w:w="2500" w:type="pct"/>
            <w:tcBorders>
              <w:tl2br w:val="nil"/>
              <w:tr2bl w:val="nil"/>
            </w:tcBorders>
            <w:vAlign w:val="center"/>
          </w:tcPr>
          <w:p w14:paraId="0DAC2D38">
            <w:pPr>
              <w:widowControl/>
              <w:spacing w:line="240" w:lineRule="auto"/>
              <w:ind w:firstLine="0" w:firstLineChars="0"/>
              <w:jc w:val="center"/>
              <w:textAlignment w:val="center"/>
              <w:rPr>
                <w:color w:val="auto"/>
                <w:kern w:val="24"/>
                <w:sz w:val="21"/>
                <w:szCs w:val="21"/>
              </w:rPr>
            </w:pPr>
            <w:r>
              <w:rPr>
                <w:color w:val="auto"/>
                <w:kern w:val="24"/>
                <w:sz w:val="21"/>
                <w:szCs w:val="21"/>
              </w:rPr>
              <w:t>≤0.50</w:t>
            </w:r>
          </w:p>
        </w:tc>
      </w:tr>
      <w:tr w14:paraId="740001B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3" w:hRule="atLeast"/>
          <w:jc w:val="center"/>
        </w:trPr>
        <w:tc>
          <w:tcPr>
            <w:tcW w:w="2499" w:type="pct"/>
            <w:tcBorders>
              <w:tl2br w:val="nil"/>
              <w:tr2bl w:val="nil"/>
            </w:tcBorders>
            <w:vAlign w:val="center"/>
          </w:tcPr>
          <w:p w14:paraId="14E725A5">
            <w:pPr>
              <w:widowControl/>
              <w:spacing w:line="240" w:lineRule="auto"/>
              <w:ind w:firstLine="0" w:firstLineChars="0"/>
              <w:jc w:val="center"/>
              <w:textAlignment w:val="center"/>
              <w:rPr>
                <w:color w:val="auto"/>
                <w:kern w:val="24"/>
                <w:sz w:val="21"/>
                <w:szCs w:val="21"/>
              </w:rPr>
            </w:pPr>
            <w:r>
              <w:rPr>
                <w:color w:val="auto"/>
                <w:kern w:val="24"/>
                <w:sz w:val="21"/>
                <w:szCs w:val="21"/>
              </w:rPr>
              <w:t>密度（20℃）</w:t>
            </w:r>
          </w:p>
        </w:tc>
        <w:tc>
          <w:tcPr>
            <w:tcW w:w="2500" w:type="pct"/>
            <w:tcBorders>
              <w:tl2br w:val="nil"/>
              <w:tr2bl w:val="nil"/>
            </w:tcBorders>
            <w:vAlign w:val="center"/>
          </w:tcPr>
          <w:p w14:paraId="4BB5995F">
            <w:pPr>
              <w:widowControl/>
              <w:spacing w:line="240" w:lineRule="auto"/>
              <w:ind w:firstLine="0" w:firstLineChars="0"/>
              <w:jc w:val="center"/>
              <w:textAlignment w:val="center"/>
              <w:rPr>
                <w:color w:val="auto"/>
                <w:kern w:val="24"/>
                <w:sz w:val="21"/>
                <w:szCs w:val="21"/>
              </w:rPr>
            </w:pPr>
            <w:r>
              <w:rPr>
                <w:color w:val="auto"/>
                <w:kern w:val="24"/>
                <w:sz w:val="21"/>
                <w:szCs w:val="21"/>
              </w:rPr>
              <w:t>1.385～1.550</w:t>
            </w:r>
          </w:p>
        </w:tc>
      </w:tr>
    </w:tbl>
    <w:p w14:paraId="14128808">
      <w:pPr>
        <w:spacing w:line="460" w:lineRule="exact"/>
        <w:ind w:firstLine="480"/>
        <w:rPr>
          <w:color w:val="auto"/>
        </w:rPr>
      </w:pPr>
      <w:r>
        <w:rPr>
          <w:rFonts w:hint="eastAsia"/>
          <w:color w:val="auto"/>
        </w:rPr>
        <w:t>亚硫酸铵产品质量执行行业标准《工业用亚硫酸铵》（HG/T2784-2023）。</w:t>
      </w:r>
    </w:p>
    <w:p w14:paraId="229DF15C">
      <w:pPr>
        <w:adjustRightInd/>
        <w:snapToGrid/>
        <w:spacing w:line="240" w:lineRule="auto"/>
        <w:ind w:firstLine="482"/>
        <w:jc w:val="center"/>
        <w:rPr>
          <w:b/>
          <w:bCs/>
          <w:color w:val="auto"/>
        </w:rPr>
      </w:pPr>
      <w:r>
        <w:rPr>
          <w:rFonts w:hint="eastAsia"/>
          <w:b/>
          <w:bCs/>
          <w:color w:val="auto"/>
        </w:rPr>
        <w:t>表4.1-10  固体亚硫酸铵产品标准</w:t>
      </w:r>
    </w:p>
    <w:tbl>
      <w:tblPr>
        <w:tblStyle w:val="25"/>
        <w:tblW w:w="4974"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248"/>
        <w:gridCol w:w="2288"/>
        <w:gridCol w:w="2267"/>
      </w:tblGrid>
      <w:tr w14:paraId="65BCBD6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2676" w:type="pct"/>
            <w:vMerge w:val="restart"/>
            <w:tcBorders>
              <w:tl2br w:val="nil"/>
              <w:tr2bl w:val="nil"/>
            </w:tcBorders>
            <w:vAlign w:val="center"/>
          </w:tcPr>
          <w:p w14:paraId="502A15F3">
            <w:pPr>
              <w:widowControl/>
              <w:spacing w:line="240" w:lineRule="auto"/>
              <w:ind w:firstLine="0" w:firstLineChars="0"/>
              <w:jc w:val="center"/>
              <w:textAlignment w:val="center"/>
              <w:rPr>
                <w:b/>
                <w:bCs/>
                <w:color w:val="auto"/>
                <w:kern w:val="24"/>
                <w:sz w:val="21"/>
                <w:szCs w:val="21"/>
              </w:rPr>
            </w:pPr>
            <w:r>
              <w:rPr>
                <w:b/>
                <w:bCs/>
                <w:color w:val="auto"/>
                <w:kern w:val="24"/>
                <w:sz w:val="21"/>
                <w:szCs w:val="21"/>
              </w:rPr>
              <w:t>项目</w:t>
            </w:r>
          </w:p>
        </w:tc>
        <w:tc>
          <w:tcPr>
            <w:tcW w:w="2323" w:type="pct"/>
            <w:gridSpan w:val="2"/>
            <w:tcBorders>
              <w:tl2br w:val="nil"/>
              <w:tr2bl w:val="nil"/>
            </w:tcBorders>
            <w:vAlign w:val="center"/>
          </w:tcPr>
          <w:p w14:paraId="54E47A03">
            <w:pPr>
              <w:widowControl/>
              <w:spacing w:line="240" w:lineRule="auto"/>
              <w:ind w:firstLine="0" w:firstLineChars="0"/>
              <w:jc w:val="center"/>
              <w:textAlignment w:val="center"/>
              <w:rPr>
                <w:b/>
                <w:bCs/>
                <w:color w:val="auto"/>
                <w:kern w:val="24"/>
                <w:sz w:val="21"/>
                <w:szCs w:val="21"/>
              </w:rPr>
            </w:pPr>
            <w:r>
              <w:rPr>
                <w:b/>
                <w:bCs/>
                <w:color w:val="auto"/>
                <w:kern w:val="24"/>
                <w:sz w:val="21"/>
                <w:szCs w:val="21"/>
              </w:rPr>
              <w:t>液体指标</w:t>
            </w:r>
          </w:p>
        </w:tc>
      </w:tr>
      <w:tr w14:paraId="4BA162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2676" w:type="pct"/>
            <w:vMerge w:val="continue"/>
            <w:tcBorders>
              <w:tl2br w:val="nil"/>
              <w:tr2bl w:val="nil"/>
            </w:tcBorders>
            <w:vAlign w:val="center"/>
          </w:tcPr>
          <w:p w14:paraId="3E1C675E">
            <w:pPr>
              <w:widowControl/>
              <w:spacing w:line="240" w:lineRule="auto"/>
              <w:ind w:firstLine="0" w:firstLineChars="0"/>
              <w:jc w:val="center"/>
              <w:textAlignment w:val="center"/>
              <w:rPr>
                <w:b/>
                <w:bCs/>
                <w:color w:val="auto"/>
                <w:kern w:val="24"/>
                <w:sz w:val="21"/>
                <w:szCs w:val="21"/>
              </w:rPr>
            </w:pPr>
          </w:p>
        </w:tc>
        <w:tc>
          <w:tcPr>
            <w:tcW w:w="1167" w:type="pct"/>
            <w:tcBorders>
              <w:tl2br w:val="nil"/>
              <w:tr2bl w:val="nil"/>
            </w:tcBorders>
            <w:vAlign w:val="center"/>
          </w:tcPr>
          <w:p w14:paraId="60F15446">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一等品</w:t>
            </w:r>
          </w:p>
        </w:tc>
        <w:tc>
          <w:tcPr>
            <w:tcW w:w="1156" w:type="pct"/>
            <w:tcBorders>
              <w:tl2br w:val="nil"/>
              <w:tr2bl w:val="nil"/>
            </w:tcBorders>
            <w:vAlign w:val="center"/>
          </w:tcPr>
          <w:p w14:paraId="5579C74D">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合格品</w:t>
            </w:r>
          </w:p>
        </w:tc>
      </w:tr>
      <w:tr w14:paraId="4AC73A7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2676" w:type="pct"/>
            <w:tcBorders>
              <w:tl2br w:val="nil"/>
              <w:tr2bl w:val="nil"/>
            </w:tcBorders>
            <w:vAlign w:val="center"/>
          </w:tcPr>
          <w:p w14:paraId="5611698D">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一水亚硫酸铵质量分数</w:t>
            </w:r>
            <w:r>
              <w:rPr>
                <w:color w:val="auto"/>
                <w:kern w:val="24"/>
                <w:sz w:val="21"/>
                <w:szCs w:val="21"/>
              </w:rPr>
              <w:t>w/%</w:t>
            </w:r>
          </w:p>
        </w:tc>
        <w:tc>
          <w:tcPr>
            <w:tcW w:w="1167" w:type="pct"/>
            <w:tcBorders>
              <w:tl2br w:val="nil"/>
              <w:tr2bl w:val="nil"/>
            </w:tcBorders>
            <w:vAlign w:val="center"/>
          </w:tcPr>
          <w:p w14:paraId="273F5E06">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90</w:t>
            </w:r>
            <w:r>
              <w:rPr>
                <w:color w:val="auto"/>
                <w:kern w:val="24"/>
                <w:sz w:val="21"/>
                <w:szCs w:val="21"/>
              </w:rPr>
              <w:t>.0</w:t>
            </w:r>
          </w:p>
        </w:tc>
        <w:tc>
          <w:tcPr>
            <w:tcW w:w="1156" w:type="pct"/>
            <w:tcBorders>
              <w:tl2br w:val="nil"/>
              <w:tr2bl w:val="nil"/>
            </w:tcBorders>
            <w:vAlign w:val="center"/>
          </w:tcPr>
          <w:p w14:paraId="3F02B8DC">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85</w:t>
            </w:r>
            <w:r>
              <w:rPr>
                <w:color w:val="auto"/>
                <w:kern w:val="24"/>
                <w:sz w:val="21"/>
                <w:szCs w:val="21"/>
              </w:rPr>
              <w:t>.0</w:t>
            </w:r>
          </w:p>
        </w:tc>
      </w:tr>
      <w:tr w14:paraId="5BB4F75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2676" w:type="pct"/>
            <w:tcBorders>
              <w:tl2br w:val="nil"/>
              <w:tr2bl w:val="nil"/>
            </w:tcBorders>
            <w:vAlign w:val="center"/>
          </w:tcPr>
          <w:p w14:paraId="3B0BEC08">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亚硫酸氢铵的质量分数</w:t>
            </w:r>
            <w:r>
              <w:rPr>
                <w:color w:val="auto"/>
                <w:kern w:val="24"/>
                <w:sz w:val="21"/>
                <w:szCs w:val="21"/>
              </w:rPr>
              <w:t>w/%</w:t>
            </w:r>
          </w:p>
        </w:tc>
        <w:tc>
          <w:tcPr>
            <w:tcW w:w="1167" w:type="pct"/>
            <w:tcBorders>
              <w:tl2br w:val="nil"/>
              <w:tr2bl w:val="nil"/>
            </w:tcBorders>
            <w:vAlign w:val="center"/>
          </w:tcPr>
          <w:p w14:paraId="4F74D24D">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0.5</w:t>
            </w:r>
          </w:p>
        </w:tc>
        <w:tc>
          <w:tcPr>
            <w:tcW w:w="1156" w:type="pct"/>
            <w:tcBorders>
              <w:tl2br w:val="nil"/>
              <w:tr2bl w:val="nil"/>
            </w:tcBorders>
            <w:vAlign w:val="center"/>
          </w:tcPr>
          <w:p w14:paraId="1E05EA73">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1.0</w:t>
            </w:r>
          </w:p>
        </w:tc>
      </w:tr>
      <w:tr w14:paraId="7516651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2676" w:type="pct"/>
            <w:tcBorders>
              <w:tl2br w:val="nil"/>
              <w:tr2bl w:val="nil"/>
            </w:tcBorders>
            <w:vAlign w:val="center"/>
          </w:tcPr>
          <w:p w14:paraId="3A90DF66">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碳酸氢铵或游离氯的质量分数（以NH</w:t>
            </w:r>
            <w:r>
              <w:rPr>
                <w:rFonts w:hint="eastAsia"/>
                <w:color w:val="auto"/>
                <w:kern w:val="24"/>
                <w:sz w:val="21"/>
                <w:szCs w:val="21"/>
                <w:vertAlign w:val="subscript"/>
              </w:rPr>
              <w:t>4</w:t>
            </w:r>
            <w:r>
              <w:rPr>
                <w:rFonts w:hint="eastAsia"/>
                <w:color w:val="auto"/>
                <w:kern w:val="24"/>
                <w:sz w:val="21"/>
                <w:szCs w:val="21"/>
              </w:rPr>
              <w:t>CO</w:t>
            </w:r>
            <w:r>
              <w:rPr>
                <w:rFonts w:hint="eastAsia"/>
                <w:color w:val="auto"/>
                <w:kern w:val="24"/>
                <w:sz w:val="21"/>
                <w:szCs w:val="21"/>
                <w:vertAlign w:val="subscript"/>
              </w:rPr>
              <w:t>3</w:t>
            </w:r>
            <w:r>
              <w:rPr>
                <w:rFonts w:hint="eastAsia"/>
                <w:color w:val="auto"/>
                <w:kern w:val="24"/>
                <w:sz w:val="21"/>
                <w:szCs w:val="21"/>
              </w:rPr>
              <w:t>计）</w:t>
            </w:r>
            <w:r>
              <w:rPr>
                <w:color w:val="auto"/>
                <w:kern w:val="24"/>
                <w:sz w:val="21"/>
                <w:szCs w:val="21"/>
              </w:rPr>
              <w:t>w/%</w:t>
            </w:r>
          </w:p>
        </w:tc>
        <w:tc>
          <w:tcPr>
            <w:tcW w:w="1167" w:type="pct"/>
            <w:tcBorders>
              <w:tl2br w:val="nil"/>
              <w:tr2bl w:val="nil"/>
            </w:tcBorders>
            <w:vAlign w:val="center"/>
          </w:tcPr>
          <w:p w14:paraId="018BC2D0">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0.5</w:t>
            </w:r>
          </w:p>
        </w:tc>
        <w:tc>
          <w:tcPr>
            <w:tcW w:w="1156" w:type="pct"/>
            <w:tcBorders>
              <w:tl2br w:val="nil"/>
              <w:tr2bl w:val="nil"/>
            </w:tcBorders>
            <w:vAlign w:val="center"/>
          </w:tcPr>
          <w:p w14:paraId="19E011A4">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1.0</w:t>
            </w:r>
          </w:p>
        </w:tc>
      </w:tr>
      <w:tr w14:paraId="5D7B158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2676" w:type="pct"/>
            <w:tcBorders>
              <w:tl2br w:val="nil"/>
              <w:tr2bl w:val="nil"/>
            </w:tcBorders>
            <w:vAlign w:val="center"/>
          </w:tcPr>
          <w:p w14:paraId="45E83D74">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硫酸铵的质量分数</w:t>
            </w:r>
            <w:r>
              <w:rPr>
                <w:color w:val="auto"/>
                <w:kern w:val="24"/>
                <w:sz w:val="21"/>
                <w:szCs w:val="21"/>
              </w:rPr>
              <w:t>w/%</w:t>
            </w:r>
          </w:p>
        </w:tc>
        <w:tc>
          <w:tcPr>
            <w:tcW w:w="1167" w:type="pct"/>
            <w:tcBorders>
              <w:tl2br w:val="nil"/>
              <w:tr2bl w:val="nil"/>
            </w:tcBorders>
            <w:vAlign w:val="center"/>
          </w:tcPr>
          <w:p w14:paraId="6224C925">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5.0</w:t>
            </w:r>
          </w:p>
        </w:tc>
        <w:tc>
          <w:tcPr>
            <w:tcW w:w="1156" w:type="pct"/>
            <w:tcBorders>
              <w:tl2br w:val="nil"/>
              <w:tr2bl w:val="nil"/>
            </w:tcBorders>
            <w:vAlign w:val="center"/>
          </w:tcPr>
          <w:p w14:paraId="7D20515F">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7.0</w:t>
            </w:r>
          </w:p>
        </w:tc>
      </w:tr>
    </w:tbl>
    <w:p w14:paraId="37387D1E">
      <w:pPr>
        <w:widowControl/>
        <w:spacing w:line="240" w:lineRule="auto"/>
        <w:ind w:firstLine="420"/>
        <w:jc w:val="center"/>
        <w:textAlignment w:val="center"/>
        <w:rPr>
          <w:color w:val="auto"/>
          <w:kern w:val="24"/>
          <w:sz w:val="21"/>
          <w:szCs w:val="21"/>
        </w:rPr>
      </w:pPr>
    </w:p>
    <w:p w14:paraId="33F2DE49">
      <w:pPr>
        <w:adjustRightInd/>
        <w:snapToGrid/>
        <w:spacing w:line="240" w:lineRule="auto"/>
        <w:ind w:firstLine="482"/>
        <w:jc w:val="center"/>
        <w:rPr>
          <w:b/>
          <w:bCs/>
          <w:color w:val="auto"/>
        </w:rPr>
      </w:pPr>
      <w:r>
        <w:rPr>
          <w:rFonts w:hint="eastAsia"/>
          <w:b/>
          <w:bCs/>
          <w:color w:val="auto"/>
        </w:rPr>
        <w:t>表4.1-11  液体亚硫酸铵产品标准</w:t>
      </w:r>
    </w:p>
    <w:tbl>
      <w:tblPr>
        <w:tblStyle w:val="25"/>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1"/>
        <w:gridCol w:w="2263"/>
        <w:gridCol w:w="2279"/>
      </w:tblGrid>
      <w:tr w14:paraId="56C2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83" w:type="pct"/>
            <w:vMerge w:val="restart"/>
            <w:tcBorders>
              <w:top w:val="single" w:color="000000" w:themeColor="text1" w:sz="12" w:space="0"/>
              <w:left w:val="nil"/>
              <w:bottom w:val="single" w:color="000000" w:themeColor="text1" w:sz="4" w:space="0"/>
              <w:right w:val="single" w:color="000000" w:themeColor="text1" w:sz="4" w:space="0"/>
            </w:tcBorders>
            <w:vAlign w:val="center"/>
          </w:tcPr>
          <w:p w14:paraId="7BE315C3">
            <w:pPr>
              <w:widowControl/>
              <w:spacing w:line="240" w:lineRule="auto"/>
              <w:ind w:firstLine="0" w:firstLineChars="0"/>
              <w:jc w:val="center"/>
              <w:textAlignment w:val="center"/>
              <w:rPr>
                <w:b/>
                <w:bCs/>
                <w:color w:val="auto"/>
                <w:kern w:val="24"/>
                <w:sz w:val="21"/>
                <w:szCs w:val="21"/>
              </w:rPr>
            </w:pPr>
            <w:r>
              <w:rPr>
                <w:b/>
                <w:bCs/>
                <w:color w:val="auto"/>
                <w:kern w:val="24"/>
                <w:sz w:val="21"/>
                <w:szCs w:val="21"/>
              </w:rPr>
              <w:t>项目</w:t>
            </w:r>
          </w:p>
        </w:tc>
        <w:tc>
          <w:tcPr>
            <w:tcW w:w="2316" w:type="pct"/>
            <w:gridSpan w:val="2"/>
            <w:tcBorders>
              <w:top w:val="single" w:color="000000" w:themeColor="text1" w:sz="12" w:space="0"/>
              <w:left w:val="single" w:color="000000" w:themeColor="text1" w:sz="4" w:space="0"/>
              <w:bottom w:val="single" w:color="000000" w:themeColor="text1" w:sz="4" w:space="0"/>
              <w:right w:val="nil"/>
            </w:tcBorders>
            <w:vAlign w:val="center"/>
          </w:tcPr>
          <w:p w14:paraId="6DD056F4">
            <w:pPr>
              <w:widowControl/>
              <w:spacing w:line="240" w:lineRule="auto"/>
              <w:ind w:firstLine="0" w:firstLineChars="0"/>
              <w:jc w:val="center"/>
              <w:textAlignment w:val="center"/>
              <w:rPr>
                <w:b/>
                <w:bCs/>
                <w:color w:val="auto"/>
                <w:kern w:val="24"/>
                <w:sz w:val="21"/>
                <w:szCs w:val="21"/>
              </w:rPr>
            </w:pPr>
            <w:r>
              <w:rPr>
                <w:b/>
                <w:bCs/>
                <w:color w:val="auto"/>
                <w:kern w:val="24"/>
                <w:sz w:val="21"/>
                <w:szCs w:val="21"/>
              </w:rPr>
              <w:t>液体指标</w:t>
            </w:r>
          </w:p>
        </w:tc>
      </w:tr>
      <w:tr w14:paraId="75D2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83" w:type="pct"/>
            <w:vMerge w:val="continue"/>
            <w:tcBorders>
              <w:top w:val="single" w:color="000000" w:themeColor="text1" w:sz="4" w:space="0"/>
              <w:left w:val="nil"/>
              <w:bottom w:val="single" w:color="000000" w:themeColor="text1" w:sz="4" w:space="0"/>
              <w:right w:val="single" w:color="000000" w:themeColor="text1" w:sz="4" w:space="0"/>
            </w:tcBorders>
            <w:vAlign w:val="center"/>
          </w:tcPr>
          <w:p w14:paraId="7D38FEC0">
            <w:pPr>
              <w:widowControl/>
              <w:spacing w:line="240" w:lineRule="auto"/>
              <w:ind w:firstLine="0" w:firstLineChars="0"/>
              <w:jc w:val="center"/>
              <w:textAlignment w:val="center"/>
              <w:rPr>
                <w:b/>
                <w:bCs/>
                <w:color w:val="auto"/>
                <w:kern w:val="24"/>
                <w:sz w:val="21"/>
                <w:szCs w:val="21"/>
              </w:rPr>
            </w:pPr>
          </w:p>
        </w:tc>
        <w:tc>
          <w:tcPr>
            <w:tcW w:w="115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839AA6A">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一等品</w:t>
            </w:r>
          </w:p>
        </w:tc>
        <w:tc>
          <w:tcPr>
            <w:tcW w:w="1162" w:type="pct"/>
            <w:tcBorders>
              <w:top w:val="single" w:color="000000" w:themeColor="text1" w:sz="4" w:space="0"/>
              <w:left w:val="single" w:color="000000" w:themeColor="text1" w:sz="4" w:space="0"/>
              <w:bottom w:val="single" w:color="000000" w:themeColor="text1" w:sz="4" w:space="0"/>
              <w:right w:val="nil"/>
            </w:tcBorders>
            <w:vAlign w:val="center"/>
          </w:tcPr>
          <w:p w14:paraId="21C041BB">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合格品</w:t>
            </w:r>
          </w:p>
        </w:tc>
      </w:tr>
      <w:tr w14:paraId="2D18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83" w:type="pct"/>
            <w:tcBorders>
              <w:top w:val="single" w:color="000000" w:themeColor="text1" w:sz="4" w:space="0"/>
              <w:left w:val="nil"/>
              <w:bottom w:val="single" w:color="000000" w:themeColor="text1" w:sz="4" w:space="0"/>
              <w:right w:val="single" w:color="000000" w:themeColor="text1" w:sz="4" w:space="0"/>
            </w:tcBorders>
            <w:vAlign w:val="center"/>
          </w:tcPr>
          <w:p w14:paraId="31DAD785">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亚硫酸铵质量分数</w:t>
            </w:r>
            <w:r>
              <w:rPr>
                <w:color w:val="auto"/>
                <w:kern w:val="24"/>
                <w:sz w:val="21"/>
                <w:szCs w:val="21"/>
              </w:rPr>
              <w:t>w/%</w:t>
            </w:r>
          </w:p>
        </w:tc>
        <w:tc>
          <w:tcPr>
            <w:tcW w:w="115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DB53794">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30</w:t>
            </w:r>
            <w:r>
              <w:rPr>
                <w:color w:val="auto"/>
                <w:kern w:val="24"/>
                <w:sz w:val="21"/>
                <w:szCs w:val="21"/>
              </w:rPr>
              <w:t>.0</w:t>
            </w:r>
          </w:p>
        </w:tc>
        <w:tc>
          <w:tcPr>
            <w:tcW w:w="1162" w:type="pct"/>
            <w:tcBorders>
              <w:top w:val="single" w:color="000000" w:themeColor="text1" w:sz="4" w:space="0"/>
              <w:left w:val="single" w:color="000000" w:themeColor="text1" w:sz="4" w:space="0"/>
              <w:bottom w:val="single" w:color="000000" w:themeColor="text1" w:sz="4" w:space="0"/>
              <w:right w:val="nil"/>
            </w:tcBorders>
            <w:vAlign w:val="center"/>
          </w:tcPr>
          <w:p w14:paraId="414C9E96">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27</w:t>
            </w:r>
            <w:r>
              <w:rPr>
                <w:color w:val="auto"/>
                <w:kern w:val="24"/>
                <w:sz w:val="21"/>
                <w:szCs w:val="21"/>
              </w:rPr>
              <w:t>.0</w:t>
            </w:r>
          </w:p>
        </w:tc>
      </w:tr>
      <w:tr w14:paraId="5CCE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83" w:type="pct"/>
            <w:tcBorders>
              <w:top w:val="single" w:color="000000" w:themeColor="text1" w:sz="4" w:space="0"/>
              <w:left w:val="nil"/>
              <w:bottom w:val="single" w:color="000000" w:themeColor="text1" w:sz="4" w:space="0"/>
              <w:right w:val="single" w:color="000000" w:themeColor="text1" w:sz="4" w:space="0"/>
            </w:tcBorders>
            <w:vAlign w:val="center"/>
          </w:tcPr>
          <w:p w14:paraId="13D9CC5F">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 xml:space="preserve"> 亚硫酸氢铵的质量分数</w:t>
            </w:r>
            <w:r>
              <w:rPr>
                <w:color w:val="auto"/>
                <w:kern w:val="24"/>
                <w:sz w:val="21"/>
                <w:szCs w:val="21"/>
              </w:rPr>
              <w:t>w/%</w:t>
            </w:r>
          </w:p>
        </w:tc>
        <w:tc>
          <w:tcPr>
            <w:tcW w:w="115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4758500">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5.0</w:t>
            </w:r>
          </w:p>
        </w:tc>
        <w:tc>
          <w:tcPr>
            <w:tcW w:w="1162" w:type="pct"/>
            <w:tcBorders>
              <w:top w:val="single" w:color="000000" w:themeColor="text1" w:sz="4" w:space="0"/>
              <w:left w:val="single" w:color="000000" w:themeColor="text1" w:sz="4" w:space="0"/>
              <w:bottom w:val="single" w:color="000000" w:themeColor="text1" w:sz="4" w:space="0"/>
              <w:right w:val="nil"/>
            </w:tcBorders>
            <w:vAlign w:val="center"/>
          </w:tcPr>
          <w:p w14:paraId="46AFD0A4">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8.0</w:t>
            </w:r>
          </w:p>
        </w:tc>
      </w:tr>
      <w:tr w14:paraId="1930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83" w:type="pct"/>
            <w:tcBorders>
              <w:top w:val="single" w:color="000000" w:themeColor="text1" w:sz="4" w:space="0"/>
              <w:left w:val="nil"/>
              <w:bottom w:val="single" w:color="000000" w:themeColor="text1" w:sz="4" w:space="0"/>
              <w:right w:val="single" w:color="000000" w:themeColor="text1" w:sz="4" w:space="0"/>
            </w:tcBorders>
            <w:vAlign w:val="center"/>
          </w:tcPr>
          <w:p w14:paraId="36F88846">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碳酸氢铵或游离氯的质量分数（以NH</w:t>
            </w:r>
            <w:r>
              <w:rPr>
                <w:rFonts w:hint="eastAsia"/>
                <w:color w:val="auto"/>
                <w:kern w:val="24"/>
                <w:sz w:val="21"/>
                <w:szCs w:val="21"/>
                <w:vertAlign w:val="subscript"/>
              </w:rPr>
              <w:t>4</w:t>
            </w:r>
            <w:r>
              <w:rPr>
                <w:rFonts w:hint="eastAsia"/>
                <w:color w:val="auto"/>
                <w:kern w:val="24"/>
                <w:sz w:val="21"/>
                <w:szCs w:val="21"/>
              </w:rPr>
              <w:t>CO</w:t>
            </w:r>
            <w:r>
              <w:rPr>
                <w:rFonts w:hint="eastAsia"/>
                <w:color w:val="auto"/>
                <w:kern w:val="24"/>
                <w:sz w:val="21"/>
                <w:szCs w:val="21"/>
                <w:vertAlign w:val="subscript"/>
              </w:rPr>
              <w:t>3</w:t>
            </w:r>
            <w:r>
              <w:rPr>
                <w:rFonts w:hint="eastAsia"/>
                <w:color w:val="auto"/>
                <w:kern w:val="24"/>
                <w:sz w:val="21"/>
                <w:szCs w:val="21"/>
              </w:rPr>
              <w:t>计）</w:t>
            </w:r>
            <w:r>
              <w:rPr>
                <w:color w:val="auto"/>
                <w:kern w:val="24"/>
                <w:sz w:val="21"/>
                <w:szCs w:val="21"/>
              </w:rPr>
              <w:t>w/%</w:t>
            </w:r>
          </w:p>
        </w:tc>
        <w:tc>
          <w:tcPr>
            <w:tcW w:w="115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7EFFCBA">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5.0</w:t>
            </w:r>
          </w:p>
        </w:tc>
        <w:tc>
          <w:tcPr>
            <w:tcW w:w="1162" w:type="pct"/>
            <w:tcBorders>
              <w:top w:val="single" w:color="000000" w:themeColor="text1" w:sz="4" w:space="0"/>
              <w:left w:val="single" w:color="000000" w:themeColor="text1" w:sz="4" w:space="0"/>
              <w:bottom w:val="single" w:color="000000" w:themeColor="text1" w:sz="4" w:space="0"/>
              <w:right w:val="nil"/>
            </w:tcBorders>
            <w:vAlign w:val="center"/>
          </w:tcPr>
          <w:p w14:paraId="6CCB78FB">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8.0</w:t>
            </w:r>
          </w:p>
        </w:tc>
      </w:tr>
      <w:tr w14:paraId="3C21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83" w:type="pct"/>
            <w:tcBorders>
              <w:top w:val="single" w:color="000000" w:themeColor="text1" w:sz="4" w:space="0"/>
              <w:left w:val="nil"/>
              <w:bottom w:val="single" w:color="000000" w:themeColor="text1" w:sz="12" w:space="0"/>
              <w:right w:val="single" w:color="000000" w:themeColor="text1" w:sz="4" w:space="0"/>
            </w:tcBorders>
            <w:vAlign w:val="center"/>
          </w:tcPr>
          <w:p w14:paraId="013B7BA9">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硫酸铵的质量分数</w:t>
            </w:r>
            <w:r>
              <w:rPr>
                <w:color w:val="auto"/>
                <w:kern w:val="24"/>
                <w:sz w:val="21"/>
                <w:szCs w:val="21"/>
              </w:rPr>
              <w:t>w/%</w:t>
            </w:r>
          </w:p>
        </w:tc>
        <w:tc>
          <w:tcPr>
            <w:tcW w:w="1154" w:type="pct"/>
            <w:tcBorders>
              <w:top w:val="single" w:color="000000" w:themeColor="text1" w:sz="4" w:space="0"/>
              <w:left w:val="single" w:color="000000" w:themeColor="text1" w:sz="4" w:space="0"/>
              <w:bottom w:val="single" w:color="000000" w:themeColor="text1" w:sz="12" w:space="0"/>
              <w:right w:val="single" w:color="000000" w:themeColor="text1" w:sz="4" w:space="0"/>
            </w:tcBorders>
            <w:vAlign w:val="center"/>
          </w:tcPr>
          <w:p w14:paraId="1F4388CC">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3.0</w:t>
            </w:r>
          </w:p>
        </w:tc>
        <w:tc>
          <w:tcPr>
            <w:tcW w:w="1162" w:type="pct"/>
            <w:tcBorders>
              <w:top w:val="single" w:color="000000" w:themeColor="text1" w:sz="4" w:space="0"/>
              <w:left w:val="single" w:color="000000" w:themeColor="text1" w:sz="4" w:space="0"/>
              <w:bottom w:val="single" w:color="000000" w:themeColor="text1" w:sz="12" w:space="0"/>
              <w:right w:val="nil"/>
            </w:tcBorders>
            <w:vAlign w:val="center"/>
          </w:tcPr>
          <w:p w14:paraId="7EA80F6F">
            <w:pPr>
              <w:widowControl/>
              <w:spacing w:line="240" w:lineRule="auto"/>
              <w:ind w:firstLine="0" w:firstLineChars="0"/>
              <w:jc w:val="center"/>
              <w:textAlignment w:val="center"/>
              <w:rPr>
                <w:color w:val="auto"/>
                <w:kern w:val="24"/>
                <w:sz w:val="21"/>
                <w:szCs w:val="21"/>
              </w:rPr>
            </w:pPr>
            <w:r>
              <w:rPr>
                <w:color w:val="auto"/>
                <w:kern w:val="24"/>
                <w:sz w:val="21"/>
                <w:szCs w:val="21"/>
              </w:rPr>
              <w:t>≤</w:t>
            </w:r>
            <w:r>
              <w:rPr>
                <w:rFonts w:hint="eastAsia"/>
                <w:color w:val="auto"/>
                <w:kern w:val="24"/>
                <w:sz w:val="21"/>
                <w:szCs w:val="21"/>
              </w:rPr>
              <w:t>5.0</w:t>
            </w:r>
          </w:p>
        </w:tc>
      </w:tr>
    </w:tbl>
    <w:p w14:paraId="78482B04">
      <w:pPr>
        <w:spacing w:line="460" w:lineRule="exact"/>
        <w:ind w:firstLine="480"/>
        <w:rPr>
          <w:color w:val="auto"/>
        </w:rPr>
      </w:pPr>
      <w:r>
        <w:rPr>
          <w:rFonts w:hint="eastAsia"/>
          <w:color w:val="auto"/>
        </w:rPr>
        <w:t>亚硫酸钠产品质量执行行业标准《工业用无水亚硫酸钠》（HG/T 2967-2010）。</w:t>
      </w:r>
    </w:p>
    <w:p w14:paraId="1C498B07">
      <w:pPr>
        <w:adjustRightInd/>
        <w:snapToGrid/>
        <w:spacing w:line="240" w:lineRule="auto"/>
        <w:ind w:firstLine="482"/>
        <w:jc w:val="center"/>
        <w:rPr>
          <w:b/>
          <w:bCs/>
          <w:color w:val="auto"/>
        </w:rPr>
      </w:pPr>
      <w:r>
        <w:rPr>
          <w:rFonts w:hint="eastAsia"/>
          <w:b/>
          <w:bCs/>
          <w:color w:val="auto"/>
        </w:rPr>
        <w:t>表4.1-12  亚硫酸钠产品标准</w:t>
      </w:r>
    </w:p>
    <w:tbl>
      <w:tblPr>
        <w:tblStyle w:val="25"/>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1"/>
        <w:gridCol w:w="1526"/>
        <w:gridCol w:w="1526"/>
        <w:gridCol w:w="1530"/>
      </w:tblGrid>
      <w:tr w14:paraId="0755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63" w:type="pct"/>
            <w:vMerge w:val="restart"/>
            <w:tcBorders>
              <w:top w:val="single" w:color="000000" w:themeColor="text1" w:sz="12" w:space="0"/>
              <w:left w:val="nil"/>
              <w:bottom w:val="single" w:color="000000" w:themeColor="text1" w:sz="4" w:space="0"/>
              <w:right w:val="single" w:color="000000" w:themeColor="text1" w:sz="4" w:space="0"/>
            </w:tcBorders>
            <w:vAlign w:val="center"/>
          </w:tcPr>
          <w:p w14:paraId="4C2CEE80">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项目</w:t>
            </w:r>
          </w:p>
        </w:tc>
        <w:tc>
          <w:tcPr>
            <w:tcW w:w="2336" w:type="pct"/>
            <w:gridSpan w:val="3"/>
            <w:tcBorders>
              <w:top w:val="single" w:color="000000" w:themeColor="text1" w:sz="12" w:space="0"/>
              <w:left w:val="single" w:color="000000" w:themeColor="text1" w:sz="4" w:space="0"/>
              <w:bottom w:val="single" w:color="000000" w:themeColor="text1" w:sz="4" w:space="0"/>
              <w:right w:val="nil"/>
            </w:tcBorders>
            <w:vAlign w:val="center"/>
          </w:tcPr>
          <w:p w14:paraId="06C59B7B">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指   标</w:t>
            </w:r>
          </w:p>
        </w:tc>
      </w:tr>
      <w:tr w14:paraId="439F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63" w:type="pct"/>
            <w:vMerge w:val="continue"/>
            <w:tcBorders>
              <w:top w:val="single" w:color="000000" w:themeColor="text1" w:sz="4" w:space="0"/>
              <w:left w:val="nil"/>
              <w:bottom w:val="single" w:color="000000" w:themeColor="text1" w:sz="4" w:space="0"/>
              <w:right w:val="single" w:color="000000" w:themeColor="text1" w:sz="4" w:space="0"/>
            </w:tcBorders>
            <w:vAlign w:val="center"/>
          </w:tcPr>
          <w:p w14:paraId="31A767B6">
            <w:pPr>
              <w:widowControl/>
              <w:spacing w:line="240" w:lineRule="auto"/>
              <w:ind w:firstLine="0" w:firstLineChars="0"/>
              <w:jc w:val="center"/>
              <w:textAlignment w:val="center"/>
              <w:rPr>
                <w:b/>
                <w:bCs/>
                <w:color w:val="auto"/>
                <w:kern w:val="24"/>
                <w:sz w:val="21"/>
                <w:szCs w:val="21"/>
              </w:rPr>
            </w:pP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E4DD50A">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优等品</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721AD6">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一等品</w:t>
            </w:r>
          </w:p>
        </w:tc>
        <w:tc>
          <w:tcPr>
            <w:tcW w:w="778" w:type="pct"/>
            <w:tcBorders>
              <w:top w:val="single" w:color="000000" w:themeColor="text1" w:sz="4" w:space="0"/>
              <w:left w:val="single" w:color="000000" w:themeColor="text1" w:sz="4" w:space="0"/>
              <w:bottom w:val="single" w:color="000000" w:themeColor="text1" w:sz="4" w:space="0"/>
              <w:right w:val="nil"/>
            </w:tcBorders>
            <w:vAlign w:val="center"/>
          </w:tcPr>
          <w:p w14:paraId="36362A3C">
            <w:pPr>
              <w:widowControl/>
              <w:spacing w:line="240" w:lineRule="auto"/>
              <w:ind w:firstLine="0" w:firstLineChars="0"/>
              <w:jc w:val="center"/>
              <w:textAlignment w:val="center"/>
              <w:rPr>
                <w:b/>
                <w:bCs/>
                <w:color w:val="auto"/>
                <w:kern w:val="24"/>
                <w:sz w:val="21"/>
                <w:szCs w:val="21"/>
              </w:rPr>
            </w:pPr>
            <w:r>
              <w:rPr>
                <w:rFonts w:hint="eastAsia"/>
                <w:b/>
                <w:bCs/>
                <w:color w:val="auto"/>
                <w:kern w:val="24"/>
                <w:sz w:val="21"/>
                <w:szCs w:val="21"/>
              </w:rPr>
              <w:t>合格品</w:t>
            </w:r>
          </w:p>
        </w:tc>
      </w:tr>
      <w:tr w14:paraId="19E9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63" w:type="pct"/>
            <w:tcBorders>
              <w:top w:val="single" w:color="000000" w:themeColor="text1" w:sz="4" w:space="0"/>
              <w:left w:val="nil"/>
              <w:bottom w:val="single" w:color="000000" w:themeColor="text1" w:sz="4" w:space="0"/>
              <w:right w:val="single" w:color="000000" w:themeColor="text1" w:sz="4" w:space="0"/>
            </w:tcBorders>
            <w:vAlign w:val="center"/>
          </w:tcPr>
          <w:p w14:paraId="1273081F">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亚硫酸钠（Na</w:t>
            </w:r>
            <w:r>
              <w:rPr>
                <w:rFonts w:hint="eastAsia"/>
                <w:color w:val="auto"/>
                <w:kern w:val="24"/>
                <w:sz w:val="21"/>
                <w:szCs w:val="21"/>
                <w:vertAlign w:val="subscript"/>
              </w:rPr>
              <w:t>2</w:t>
            </w:r>
            <w:r>
              <w:rPr>
                <w:rFonts w:hint="eastAsia"/>
                <w:color w:val="auto"/>
                <w:kern w:val="24"/>
                <w:sz w:val="21"/>
                <w:szCs w:val="21"/>
              </w:rPr>
              <w:t>SO</w:t>
            </w:r>
            <w:r>
              <w:rPr>
                <w:rFonts w:hint="eastAsia"/>
                <w:color w:val="auto"/>
                <w:kern w:val="24"/>
                <w:sz w:val="21"/>
                <w:szCs w:val="21"/>
                <w:vertAlign w:val="subscript"/>
              </w:rPr>
              <w:t>3</w:t>
            </w:r>
            <w:r>
              <w:rPr>
                <w:rFonts w:hint="eastAsia"/>
                <w:color w:val="auto"/>
                <w:kern w:val="24"/>
                <w:sz w:val="21"/>
                <w:szCs w:val="21"/>
              </w:rPr>
              <w:t>）质量分数      ≥</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9F4EC4B">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97.0</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FE92178">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93.0</w:t>
            </w:r>
          </w:p>
        </w:tc>
        <w:tc>
          <w:tcPr>
            <w:tcW w:w="778" w:type="pct"/>
            <w:tcBorders>
              <w:top w:val="single" w:color="000000" w:themeColor="text1" w:sz="4" w:space="0"/>
              <w:left w:val="single" w:color="000000" w:themeColor="text1" w:sz="4" w:space="0"/>
              <w:bottom w:val="single" w:color="000000" w:themeColor="text1" w:sz="4" w:space="0"/>
              <w:right w:val="nil"/>
            </w:tcBorders>
            <w:vAlign w:val="center"/>
          </w:tcPr>
          <w:p w14:paraId="72AB260C">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90.0</w:t>
            </w:r>
          </w:p>
        </w:tc>
      </w:tr>
      <w:tr w14:paraId="41DB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63" w:type="pct"/>
            <w:tcBorders>
              <w:top w:val="single" w:color="000000" w:themeColor="text1" w:sz="4" w:space="0"/>
              <w:left w:val="nil"/>
              <w:bottom w:val="single" w:color="000000" w:themeColor="text1" w:sz="4" w:space="0"/>
              <w:right w:val="single" w:color="000000" w:themeColor="text1" w:sz="4" w:space="0"/>
            </w:tcBorders>
            <w:vAlign w:val="center"/>
          </w:tcPr>
          <w:p w14:paraId="261884A8">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铁（Fe）     ≤</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AE6FDCA">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0.003</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88EF71F">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0.005</w:t>
            </w:r>
          </w:p>
        </w:tc>
        <w:tc>
          <w:tcPr>
            <w:tcW w:w="778" w:type="pct"/>
            <w:tcBorders>
              <w:top w:val="single" w:color="000000" w:themeColor="text1" w:sz="4" w:space="0"/>
              <w:left w:val="single" w:color="000000" w:themeColor="text1" w:sz="4" w:space="0"/>
              <w:bottom w:val="single" w:color="000000" w:themeColor="text1" w:sz="4" w:space="0"/>
              <w:right w:val="nil"/>
            </w:tcBorders>
            <w:vAlign w:val="center"/>
          </w:tcPr>
          <w:p w14:paraId="4CF0DB6F">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0.02</w:t>
            </w:r>
          </w:p>
        </w:tc>
      </w:tr>
      <w:tr w14:paraId="1F2D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63" w:type="pct"/>
            <w:tcBorders>
              <w:top w:val="single" w:color="000000" w:themeColor="text1" w:sz="4" w:space="0"/>
              <w:left w:val="nil"/>
              <w:bottom w:val="single" w:color="000000" w:themeColor="text1" w:sz="4" w:space="0"/>
              <w:right w:val="single" w:color="000000" w:themeColor="text1" w:sz="4" w:space="0"/>
            </w:tcBorders>
            <w:vAlign w:val="center"/>
          </w:tcPr>
          <w:p w14:paraId="4A7BC66E">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水不溶物含量      ≤</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BC6395">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0.02</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DA1C110">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0.03</w:t>
            </w:r>
          </w:p>
        </w:tc>
        <w:tc>
          <w:tcPr>
            <w:tcW w:w="778" w:type="pct"/>
            <w:tcBorders>
              <w:top w:val="single" w:color="000000" w:themeColor="text1" w:sz="4" w:space="0"/>
              <w:left w:val="single" w:color="000000" w:themeColor="text1" w:sz="4" w:space="0"/>
              <w:bottom w:val="single" w:color="000000" w:themeColor="text1" w:sz="4" w:space="0"/>
              <w:right w:val="nil"/>
            </w:tcBorders>
            <w:vAlign w:val="center"/>
          </w:tcPr>
          <w:p w14:paraId="209A1973">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0.05</w:t>
            </w:r>
          </w:p>
        </w:tc>
      </w:tr>
      <w:tr w14:paraId="7EB4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63" w:type="pct"/>
            <w:tcBorders>
              <w:top w:val="single" w:color="000000" w:themeColor="text1" w:sz="4" w:space="0"/>
              <w:left w:val="nil"/>
              <w:bottom w:val="single" w:color="000000" w:themeColor="text1" w:sz="4" w:space="0"/>
              <w:right w:val="single" w:color="000000" w:themeColor="text1" w:sz="4" w:space="0"/>
            </w:tcBorders>
            <w:vAlign w:val="center"/>
          </w:tcPr>
          <w:p w14:paraId="5E6E42EC">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游离碱（以Na</w:t>
            </w:r>
            <w:r>
              <w:rPr>
                <w:rFonts w:hint="eastAsia"/>
                <w:color w:val="auto"/>
                <w:kern w:val="24"/>
                <w:sz w:val="21"/>
                <w:szCs w:val="21"/>
                <w:vertAlign w:val="subscript"/>
              </w:rPr>
              <w:t>2</w:t>
            </w:r>
            <w:r>
              <w:rPr>
                <w:rFonts w:hint="eastAsia"/>
                <w:color w:val="auto"/>
                <w:kern w:val="24"/>
                <w:sz w:val="21"/>
                <w:szCs w:val="21"/>
              </w:rPr>
              <w:t>CO</w:t>
            </w:r>
            <w:r>
              <w:rPr>
                <w:rFonts w:hint="eastAsia"/>
                <w:color w:val="auto"/>
                <w:kern w:val="24"/>
                <w:sz w:val="21"/>
                <w:szCs w:val="21"/>
                <w:vertAlign w:val="subscript"/>
              </w:rPr>
              <w:t>3</w:t>
            </w:r>
            <w:r>
              <w:rPr>
                <w:rFonts w:hint="eastAsia"/>
                <w:color w:val="auto"/>
                <w:kern w:val="24"/>
                <w:sz w:val="21"/>
                <w:szCs w:val="21"/>
              </w:rPr>
              <w:t>计）含量      ≤</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92072EC">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0.10</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5C56CA4">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0.40</w:t>
            </w:r>
          </w:p>
        </w:tc>
        <w:tc>
          <w:tcPr>
            <w:tcW w:w="778" w:type="pct"/>
            <w:tcBorders>
              <w:top w:val="single" w:color="000000" w:themeColor="text1" w:sz="4" w:space="0"/>
              <w:left w:val="single" w:color="000000" w:themeColor="text1" w:sz="4" w:space="0"/>
              <w:bottom w:val="single" w:color="000000" w:themeColor="text1" w:sz="4" w:space="0"/>
              <w:right w:val="nil"/>
            </w:tcBorders>
            <w:vAlign w:val="center"/>
          </w:tcPr>
          <w:p w14:paraId="22410BE0">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0.80</w:t>
            </w:r>
          </w:p>
        </w:tc>
      </w:tr>
      <w:tr w14:paraId="12B9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63" w:type="pct"/>
            <w:tcBorders>
              <w:top w:val="single" w:color="000000" w:themeColor="text1" w:sz="4" w:space="0"/>
              <w:left w:val="nil"/>
              <w:bottom w:val="single" w:color="000000" w:themeColor="text1" w:sz="4" w:space="0"/>
              <w:right w:val="single" w:color="000000" w:themeColor="text1" w:sz="4" w:space="0"/>
            </w:tcBorders>
            <w:vAlign w:val="center"/>
          </w:tcPr>
          <w:p w14:paraId="27D752A4">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硫酸盐（Na</w:t>
            </w:r>
            <w:r>
              <w:rPr>
                <w:rFonts w:hint="eastAsia"/>
                <w:color w:val="auto"/>
                <w:kern w:val="24"/>
                <w:sz w:val="21"/>
                <w:szCs w:val="21"/>
                <w:vertAlign w:val="subscript"/>
              </w:rPr>
              <w:t>2</w:t>
            </w:r>
            <w:r>
              <w:rPr>
                <w:rFonts w:hint="eastAsia"/>
                <w:color w:val="auto"/>
                <w:kern w:val="24"/>
                <w:sz w:val="21"/>
                <w:szCs w:val="21"/>
              </w:rPr>
              <w:t>SO</w:t>
            </w:r>
            <w:r>
              <w:rPr>
                <w:rFonts w:hint="eastAsia"/>
                <w:color w:val="auto"/>
                <w:kern w:val="24"/>
                <w:sz w:val="21"/>
                <w:szCs w:val="21"/>
                <w:vertAlign w:val="subscript"/>
              </w:rPr>
              <w:t>4</w:t>
            </w:r>
            <w:r>
              <w:rPr>
                <w:rFonts w:hint="eastAsia"/>
                <w:color w:val="auto"/>
                <w:kern w:val="24"/>
                <w:sz w:val="21"/>
                <w:szCs w:val="21"/>
              </w:rPr>
              <w:t>计）含量      ≤</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32EC163">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2.5</w:t>
            </w:r>
          </w:p>
        </w:tc>
        <w:tc>
          <w:tcPr>
            <w:tcW w:w="77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DADFB2B">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w:t>
            </w:r>
          </w:p>
        </w:tc>
        <w:tc>
          <w:tcPr>
            <w:tcW w:w="778" w:type="pct"/>
            <w:tcBorders>
              <w:top w:val="single" w:color="000000" w:themeColor="text1" w:sz="4" w:space="0"/>
              <w:left w:val="single" w:color="000000" w:themeColor="text1" w:sz="4" w:space="0"/>
              <w:bottom w:val="single" w:color="000000" w:themeColor="text1" w:sz="4" w:space="0"/>
              <w:right w:val="nil"/>
            </w:tcBorders>
            <w:vAlign w:val="center"/>
          </w:tcPr>
          <w:p w14:paraId="275F4156">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w:t>
            </w:r>
          </w:p>
        </w:tc>
      </w:tr>
      <w:tr w14:paraId="6C4F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663" w:type="pct"/>
            <w:tcBorders>
              <w:top w:val="single" w:color="000000" w:themeColor="text1" w:sz="4" w:space="0"/>
              <w:left w:val="nil"/>
              <w:bottom w:val="single" w:color="000000" w:themeColor="text1" w:sz="12" w:space="0"/>
              <w:right w:val="single" w:color="000000" w:themeColor="text1" w:sz="4" w:space="0"/>
            </w:tcBorders>
            <w:vAlign w:val="center"/>
          </w:tcPr>
          <w:p w14:paraId="284F5218">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氯化物（以NaCl计）含量      ≤</w:t>
            </w:r>
          </w:p>
        </w:tc>
        <w:tc>
          <w:tcPr>
            <w:tcW w:w="778" w:type="pct"/>
            <w:tcBorders>
              <w:top w:val="single" w:color="000000" w:themeColor="text1" w:sz="4" w:space="0"/>
              <w:left w:val="single" w:color="000000" w:themeColor="text1" w:sz="4" w:space="0"/>
              <w:bottom w:val="single" w:color="000000" w:themeColor="text1" w:sz="12" w:space="0"/>
              <w:right w:val="single" w:color="000000" w:themeColor="text1" w:sz="4" w:space="0"/>
            </w:tcBorders>
            <w:vAlign w:val="center"/>
          </w:tcPr>
          <w:p w14:paraId="2C313652">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0.10</w:t>
            </w:r>
          </w:p>
        </w:tc>
        <w:tc>
          <w:tcPr>
            <w:tcW w:w="778" w:type="pct"/>
            <w:tcBorders>
              <w:top w:val="single" w:color="000000" w:themeColor="text1" w:sz="4" w:space="0"/>
              <w:left w:val="single" w:color="000000" w:themeColor="text1" w:sz="4" w:space="0"/>
              <w:bottom w:val="single" w:color="000000" w:themeColor="text1" w:sz="12" w:space="0"/>
              <w:right w:val="single" w:color="000000" w:themeColor="text1" w:sz="4" w:space="0"/>
            </w:tcBorders>
            <w:vAlign w:val="center"/>
          </w:tcPr>
          <w:p w14:paraId="512682F5">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w:t>
            </w:r>
          </w:p>
        </w:tc>
        <w:tc>
          <w:tcPr>
            <w:tcW w:w="778" w:type="pct"/>
            <w:tcBorders>
              <w:top w:val="single" w:color="000000" w:themeColor="text1" w:sz="4" w:space="0"/>
              <w:left w:val="single" w:color="000000" w:themeColor="text1" w:sz="4" w:space="0"/>
              <w:bottom w:val="single" w:color="000000" w:themeColor="text1" w:sz="12" w:space="0"/>
              <w:right w:val="nil"/>
            </w:tcBorders>
            <w:vAlign w:val="center"/>
          </w:tcPr>
          <w:p w14:paraId="4B940085">
            <w:pPr>
              <w:widowControl/>
              <w:spacing w:line="240" w:lineRule="auto"/>
              <w:ind w:firstLine="0" w:firstLineChars="0"/>
              <w:jc w:val="center"/>
              <w:textAlignment w:val="center"/>
              <w:rPr>
                <w:color w:val="auto"/>
                <w:kern w:val="24"/>
                <w:sz w:val="21"/>
                <w:szCs w:val="21"/>
              </w:rPr>
            </w:pPr>
            <w:r>
              <w:rPr>
                <w:rFonts w:hint="eastAsia"/>
                <w:color w:val="auto"/>
                <w:kern w:val="24"/>
                <w:sz w:val="21"/>
                <w:szCs w:val="21"/>
              </w:rPr>
              <w:t>/</w:t>
            </w:r>
          </w:p>
        </w:tc>
      </w:tr>
    </w:tbl>
    <w:p w14:paraId="366D7DD6">
      <w:pPr>
        <w:spacing w:line="460" w:lineRule="exact"/>
        <w:ind w:firstLine="480"/>
        <w:rPr>
          <w:color w:val="auto"/>
        </w:rPr>
        <w:sectPr>
          <w:pgSz w:w="11906" w:h="16838"/>
          <w:pgMar w:top="1134" w:right="1134" w:bottom="1134" w:left="1134" w:header="851" w:footer="992" w:gutter="0"/>
          <w:cols w:space="425" w:num="1"/>
          <w:docGrid w:type="lines" w:linePitch="312" w:charSpace="0"/>
        </w:sectPr>
      </w:pPr>
    </w:p>
    <w:p w14:paraId="1071297F">
      <w:pPr>
        <w:pStyle w:val="3"/>
        <w:spacing w:before="312"/>
        <w:rPr>
          <w:color w:val="auto"/>
        </w:rPr>
      </w:pPr>
      <w:bookmarkStart w:id="131" w:name="_Toc31907"/>
      <w:r>
        <w:rPr>
          <w:rFonts w:hint="eastAsia"/>
          <w:color w:val="auto"/>
        </w:rPr>
        <w:t>4.2</w:t>
      </w:r>
      <w:r>
        <w:rPr>
          <w:color w:val="auto"/>
        </w:rPr>
        <w:t>公用及辅助工程</w:t>
      </w:r>
      <w:bookmarkEnd w:id="131"/>
    </w:p>
    <w:p w14:paraId="4BD5C2A1">
      <w:pPr>
        <w:spacing w:line="460" w:lineRule="exact"/>
        <w:ind w:firstLine="480"/>
        <w:rPr>
          <w:color w:val="auto"/>
        </w:rPr>
      </w:pPr>
      <w:r>
        <w:rPr>
          <w:rFonts w:hint="eastAsia"/>
          <w:color w:val="auto"/>
        </w:rPr>
        <w:t>拟建项目不新建厂房，不新增生产设施，依托2#车间现有亚硫酸氢铵生产装置，通过更换吸收液，变更吸收pH值等工艺参数，即可多元化生产亚硫酸钾溶液、亚硫酸钠溶液产品。</w:t>
      </w:r>
    </w:p>
    <w:p w14:paraId="320E4386">
      <w:pPr>
        <w:spacing w:line="460" w:lineRule="exact"/>
        <w:ind w:firstLine="480"/>
        <w:rPr>
          <w:color w:val="auto"/>
        </w:rPr>
      </w:pPr>
      <w:r>
        <w:rPr>
          <w:rFonts w:hint="eastAsia"/>
          <w:color w:val="auto"/>
        </w:rPr>
        <w:t>依托1#车间在建硫代硫酸钠部分生产设备多元化生产硫代硫酸铵溶液、硫代硫酸钙溶液、硫代硫酸镁溶液和硫代硫酸钾溶液产品。并依托1#车间在建硫代硫酸钠的浓缩、冷却、结晶、离心设施生产亚硫酸钾、亚硫酸钠、亚硫酸铵固体产品。</w:t>
      </w:r>
    </w:p>
    <w:p w14:paraId="2A1BD201">
      <w:pPr>
        <w:spacing w:line="460" w:lineRule="exact"/>
        <w:ind w:firstLine="480"/>
        <w:rPr>
          <w:color w:val="auto"/>
        </w:rPr>
      </w:pPr>
      <w:r>
        <w:rPr>
          <w:rFonts w:hint="eastAsia"/>
          <w:color w:val="auto"/>
        </w:rPr>
        <w:t>拟建项目涉及的贮运工程、公用工程及环保工程等均依托现有项目，具体详见下表。</w:t>
      </w:r>
    </w:p>
    <w:p w14:paraId="5F98D2C4">
      <w:pPr>
        <w:adjustRightInd/>
        <w:snapToGrid/>
        <w:spacing w:line="240" w:lineRule="auto"/>
        <w:ind w:firstLine="0" w:firstLineChars="0"/>
        <w:jc w:val="center"/>
        <w:rPr>
          <w:b/>
          <w:color w:val="auto"/>
          <w:kern w:val="0"/>
          <w:szCs w:val="20"/>
        </w:rPr>
      </w:pPr>
      <w:r>
        <w:rPr>
          <w:b/>
          <w:color w:val="auto"/>
          <w:kern w:val="0"/>
          <w:szCs w:val="20"/>
        </w:rPr>
        <w:t>表4.2-</w:t>
      </w:r>
      <w:r>
        <w:rPr>
          <w:rFonts w:hint="eastAsia"/>
          <w:b/>
          <w:color w:val="auto"/>
          <w:kern w:val="0"/>
          <w:szCs w:val="20"/>
        </w:rPr>
        <w:t>1</w:t>
      </w:r>
      <w:r>
        <w:rPr>
          <w:b/>
          <w:color w:val="auto"/>
          <w:kern w:val="0"/>
          <w:szCs w:val="20"/>
        </w:rPr>
        <w:t xml:space="preserve"> </w:t>
      </w:r>
      <w:r>
        <w:rPr>
          <w:rFonts w:hint="eastAsia"/>
          <w:b/>
          <w:color w:val="auto"/>
          <w:kern w:val="0"/>
          <w:szCs w:val="20"/>
        </w:rPr>
        <w:t xml:space="preserve"> 拟建项目</w:t>
      </w:r>
      <w:r>
        <w:rPr>
          <w:b/>
          <w:color w:val="auto"/>
          <w:kern w:val="0"/>
          <w:szCs w:val="20"/>
        </w:rPr>
        <w:t>公用及辅助工程</w:t>
      </w:r>
    </w:p>
    <w:tbl>
      <w:tblPr>
        <w:tblStyle w:val="25"/>
        <w:tblW w:w="4998"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24"/>
        <w:gridCol w:w="1746"/>
        <w:gridCol w:w="6098"/>
        <w:gridCol w:w="782"/>
      </w:tblGrid>
      <w:tr w14:paraId="6F672F4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tcBorders>
              <w:tl2br w:val="nil"/>
              <w:tr2bl w:val="nil"/>
            </w:tcBorders>
            <w:vAlign w:val="center"/>
          </w:tcPr>
          <w:p w14:paraId="011C8859">
            <w:pPr>
              <w:pStyle w:val="30"/>
              <w:widowControl w:val="0"/>
              <w:pBdr>
                <w:left w:val="none" w:color="auto" w:sz="0" w:space="0"/>
              </w:pBdr>
              <w:spacing w:before="0" w:beforeAutospacing="0" w:after="0" w:afterAutospacing="0" w:line="240" w:lineRule="auto"/>
              <w:ind w:firstLine="0" w:firstLineChars="0"/>
              <w:rPr>
                <w:rFonts w:hint="default" w:ascii="Times New Roman" w:hAnsi="Times New Roman" w:eastAsia="宋体"/>
                <w:b/>
                <w:color w:val="auto"/>
                <w:kern w:val="2"/>
                <w:sz w:val="21"/>
                <w:szCs w:val="21"/>
              </w:rPr>
            </w:pPr>
            <w:r>
              <w:rPr>
                <w:rFonts w:hint="default" w:ascii="Times New Roman" w:hAnsi="Times New Roman" w:eastAsia="宋体"/>
                <w:b/>
                <w:color w:val="auto"/>
                <w:kern w:val="2"/>
                <w:sz w:val="21"/>
                <w:szCs w:val="21"/>
              </w:rPr>
              <w:t>类别</w:t>
            </w:r>
          </w:p>
        </w:tc>
        <w:tc>
          <w:tcPr>
            <w:tcW w:w="886" w:type="pct"/>
            <w:tcBorders>
              <w:tl2br w:val="nil"/>
              <w:tr2bl w:val="nil"/>
            </w:tcBorders>
            <w:vAlign w:val="center"/>
          </w:tcPr>
          <w:p w14:paraId="00F8B395">
            <w:pPr>
              <w:pStyle w:val="30"/>
              <w:widowControl w:val="0"/>
              <w:pBdr>
                <w:left w:val="none" w:color="auto" w:sz="0" w:space="0"/>
              </w:pBdr>
              <w:spacing w:before="0" w:beforeAutospacing="0" w:after="0" w:afterAutospacing="0" w:line="240" w:lineRule="auto"/>
              <w:ind w:firstLine="0" w:firstLineChars="0"/>
              <w:rPr>
                <w:rFonts w:hint="default" w:ascii="Times New Roman" w:hAnsi="Times New Roman" w:eastAsia="宋体"/>
                <w:b/>
                <w:color w:val="auto"/>
                <w:sz w:val="21"/>
                <w:szCs w:val="21"/>
              </w:rPr>
            </w:pPr>
            <w:r>
              <w:rPr>
                <w:rFonts w:hint="default" w:ascii="Times New Roman" w:hAnsi="Times New Roman" w:eastAsia="宋体"/>
                <w:b/>
                <w:color w:val="auto"/>
                <w:sz w:val="21"/>
                <w:szCs w:val="21"/>
              </w:rPr>
              <w:t>建设名称</w:t>
            </w:r>
          </w:p>
        </w:tc>
        <w:tc>
          <w:tcPr>
            <w:tcW w:w="3094" w:type="pct"/>
            <w:tcBorders>
              <w:tl2br w:val="nil"/>
              <w:tr2bl w:val="nil"/>
            </w:tcBorders>
            <w:vAlign w:val="center"/>
          </w:tcPr>
          <w:p w14:paraId="287A1B09">
            <w:pPr>
              <w:spacing w:line="240" w:lineRule="auto"/>
              <w:ind w:firstLine="0" w:firstLineChars="0"/>
              <w:jc w:val="center"/>
              <w:rPr>
                <w:b/>
                <w:color w:val="auto"/>
                <w:sz w:val="21"/>
                <w:szCs w:val="21"/>
              </w:rPr>
            </w:pPr>
            <w:r>
              <w:rPr>
                <w:b/>
                <w:color w:val="auto"/>
                <w:sz w:val="21"/>
                <w:szCs w:val="21"/>
              </w:rPr>
              <w:t>设计能力/规模</w:t>
            </w:r>
          </w:p>
        </w:tc>
        <w:tc>
          <w:tcPr>
            <w:tcW w:w="397" w:type="pct"/>
            <w:tcBorders>
              <w:tl2br w:val="nil"/>
              <w:tr2bl w:val="nil"/>
            </w:tcBorders>
            <w:vAlign w:val="center"/>
          </w:tcPr>
          <w:p w14:paraId="0A446A2F">
            <w:pPr>
              <w:spacing w:line="240" w:lineRule="auto"/>
              <w:ind w:firstLine="0" w:firstLineChars="0"/>
              <w:jc w:val="center"/>
              <w:rPr>
                <w:b/>
                <w:color w:val="auto"/>
                <w:sz w:val="21"/>
                <w:szCs w:val="21"/>
              </w:rPr>
            </w:pPr>
            <w:r>
              <w:rPr>
                <w:b/>
                <w:color w:val="auto"/>
                <w:sz w:val="21"/>
                <w:szCs w:val="21"/>
              </w:rPr>
              <w:t>备注</w:t>
            </w:r>
          </w:p>
        </w:tc>
      </w:tr>
      <w:tr w14:paraId="2125DB2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restart"/>
            <w:tcBorders>
              <w:tl2br w:val="nil"/>
              <w:tr2bl w:val="nil"/>
            </w:tcBorders>
            <w:vAlign w:val="center"/>
          </w:tcPr>
          <w:p w14:paraId="279D2D6A">
            <w:pPr>
              <w:spacing w:line="240" w:lineRule="auto"/>
              <w:ind w:firstLine="0" w:firstLineChars="0"/>
              <w:jc w:val="center"/>
              <w:rPr>
                <w:color w:val="auto"/>
                <w:sz w:val="21"/>
              </w:rPr>
            </w:pPr>
            <w:r>
              <w:rPr>
                <w:rFonts w:hint="eastAsia"/>
                <w:color w:val="auto"/>
                <w:sz w:val="21"/>
              </w:rPr>
              <w:t>贮运工程</w:t>
            </w:r>
          </w:p>
        </w:tc>
        <w:tc>
          <w:tcPr>
            <w:tcW w:w="886" w:type="pct"/>
            <w:vMerge w:val="restart"/>
            <w:tcBorders>
              <w:tl2br w:val="nil"/>
              <w:tr2bl w:val="nil"/>
            </w:tcBorders>
            <w:vAlign w:val="center"/>
          </w:tcPr>
          <w:p w14:paraId="6360EC90">
            <w:pPr>
              <w:spacing w:line="240" w:lineRule="auto"/>
              <w:ind w:firstLine="0" w:firstLineChars="0"/>
              <w:jc w:val="center"/>
              <w:rPr>
                <w:color w:val="auto"/>
                <w:sz w:val="21"/>
              </w:rPr>
            </w:pPr>
            <w:r>
              <w:rPr>
                <w:rFonts w:hint="eastAsia"/>
                <w:color w:val="auto"/>
                <w:sz w:val="21"/>
              </w:rPr>
              <w:t>仓库</w:t>
            </w:r>
          </w:p>
        </w:tc>
        <w:tc>
          <w:tcPr>
            <w:tcW w:w="3094" w:type="pct"/>
            <w:tcBorders>
              <w:tl2br w:val="nil"/>
              <w:tr2bl w:val="nil"/>
            </w:tcBorders>
            <w:vAlign w:val="center"/>
          </w:tcPr>
          <w:p w14:paraId="4C1DF965">
            <w:pPr>
              <w:spacing w:line="240" w:lineRule="auto"/>
              <w:ind w:firstLine="0" w:firstLineChars="0"/>
              <w:jc w:val="center"/>
              <w:rPr>
                <w:color w:val="auto"/>
                <w:sz w:val="21"/>
              </w:rPr>
            </w:pPr>
            <w:r>
              <w:rPr>
                <w:rFonts w:hint="eastAsia"/>
                <w:color w:val="auto"/>
                <w:sz w:val="21"/>
              </w:rPr>
              <w:t>乙类仓库</w:t>
            </w:r>
          </w:p>
        </w:tc>
        <w:tc>
          <w:tcPr>
            <w:tcW w:w="397" w:type="pct"/>
            <w:vMerge w:val="restart"/>
            <w:tcBorders>
              <w:tl2br w:val="nil"/>
              <w:tr2bl w:val="nil"/>
            </w:tcBorders>
            <w:vAlign w:val="center"/>
          </w:tcPr>
          <w:p w14:paraId="4792F8EA">
            <w:pPr>
              <w:spacing w:line="240" w:lineRule="auto"/>
              <w:ind w:firstLine="0" w:firstLineChars="0"/>
              <w:jc w:val="center"/>
              <w:rPr>
                <w:color w:val="auto"/>
                <w:sz w:val="21"/>
              </w:rPr>
            </w:pPr>
            <w:r>
              <w:rPr>
                <w:rFonts w:hint="eastAsia"/>
                <w:color w:val="auto"/>
                <w:sz w:val="21"/>
              </w:rPr>
              <w:t>依托现有</w:t>
            </w:r>
          </w:p>
        </w:tc>
      </w:tr>
      <w:tr w14:paraId="50F78C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79724295">
            <w:pPr>
              <w:spacing w:line="240" w:lineRule="auto"/>
              <w:ind w:firstLine="0" w:firstLineChars="0"/>
              <w:jc w:val="center"/>
              <w:rPr>
                <w:color w:val="auto"/>
                <w:sz w:val="21"/>
              </w:rPr>
            </w:pPr>
          </w:p>
        </w:tc>
        <w:tc>
          <w:tcPr>
            <w:tcW w:w="886" w:type="pct"/>
            <w:vMerge w:val="continue"/>
            <w:tcBorders>
              <w:tl2br w:val="nil"/>
              <w:tr2bl w:val="nil"/>
            </w:tcBorders>
            <w:vAlign w:val="center"/>
          </w:tcPr>
          <w:p w14:paraId="3E63F724">
            <w:pPr>
              <w:spacing w:line="240" w:lineRule="auto"/>
              <w:ind w:firstLine="0" w:firstLineChars="0"/>
              <w:jc w:val="center"/>
              <w:rPr>
                <w:color w:val="auto"/>
                <w:sz w:val="21"/>
              </w:rPr>
            </w:pPr>
          </w:p>
        </w:tc>
        <w:tc>
          <w:tcPr>
            <w:tcW w:w="3094" w:type="pct"/>
            <w:tcBorders>
              <w:tl2br w:val="nil"/>
              <w:tr2bl w:val="nil"/>
            </w:tcBorders>
            <w:vAlign w:val="center"/>
          </w:tcPr>
          <w:p w14:paraId="46307347">
            <w:pPr>
              <w:spacing w:line="240" w:lineRule="auto"/>
              <w:ind w:firstLine="0" w:firstLineChars="0"/>
              <w:jc w:val="center"/>
              <w:rPr>
                <w:color w:val="auto"/>
                <w:sz w:val="21"/>
              </w:rPr>
            </w:pPr>
            <w:r>
              <w:rPr>
                <w:rFonts w:hint="eastAsia"/>
                <w:color w:val="auto"/>
                <w:sz w:val="21"/>
              </w:rPr>
              <w:t>丙类仓库</w:t>
            </w:r>
          </w:p>
        </w:tc>
        <w:tc>
          <w:tcPr>
            <w:tcW w:w="397" w:type="pct"/>
            <w:vMerge w:val="continue"/>
            <w:tcBorders>
              <w:tl2br w:val="nil"/>
              <w:tr2bl w:val="nil"/>
            </w:tcBorders>
            <w:vAlign w:val="center"/>
          </w:tcPr>
          <w:p w14:paraId="7CC50403">
            <w:pPr>
              <w:spacing w:line="240" w:lineRule="auto"/>
              <w:ind w:firstLine="0" w:firstLineChars="0"/>
              <w:jc w:val="center"/>
              <w:rPr>
                <w:color w:val="auto"/>
                <w:sz w:val="21"/>
              </w:rPr>
            </w:pPr>
          </w:p>
        </w:tc>
      </w:tr>
      <w:tr w14:paraId="064722A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655BBE1E">
            <w:pPr>
              <w:spacing w:line="240" w:lineRule="auto"/>
              <w:ind w:firstLine="0" w:firstLineChars="0"/>
              <w:jc w:val="center"/>
              <w:rPr>
                <w:color w:val="auto"/>
                <w:sz w:val="21"/>
              </w:rPr>
            </w:pPr>
          </w:p>
        </w:tc>
        <w:tc>
          <w:tcPr>
            <w:tcW w:w="886" w:type="pct"/>
            <w:vMerge w:val="continue"/>
            <w:tcBorders>
              <w:tl2br w:val="nil"/>
              <w:tr2bl w:val="nil"/>
            </w:tcBorders>
            <w:vAlign w:val="center"/>
          </w:tcPr>
          <w:p w14:paraId="2EA458C8">
            <w:pPr>
              <w:spacing w:line="240" w:lineRule="auto"/>
              <w:ind w:firstLine="0" w:firstLineChars="0"/>
              <w:jc w:val="center"/>
              <w:rPr>
                <w:color w:val="auto"/>
                <w:sz w:val="21"/>
              </w:rPr>
            </w:pPr>
          </w:p>
        </w:tc>
        <w:tc>
          <w:tcPr>
            <w:tcW w:w="3094" w:type="pct"/>
            <w:tcBorders>
              <w:tl2br w:val="nil"/>
              <w:tr2bl w:val="nil"/>
            </w:tcBorders>
            <w:vAlign w:val="center"/>
          </w:tcPr>
          <w:p w14:paraId="66CC7604">
            <w:pPr>
              <w:spacing w:line="240" w:lineRule="auto"/>
              <w:ind w:firstLine="0" w:firstLineChars="0"/>
              <w:jc w:val="center"/>
              <w:rPr>
                <w:color w:val="auto"/>
                <w:sz w:val="21"/>
              </w:rPr>
            </w:pPr>
            <w:r>
              <w:rPr>
                <w:rFonts w:hint="eastAsia"/>
                <w:color w:val="auto"/>
                <w:sz w:val="21"/>
              </w:rPr>
              <w:t>甲类仓库</w:t>
            </w:r>
          </w:p>
        </w:tc>
        <w:tc>
          <w:tcPr>
            <w:tcW w:w="397" w:type="pct"/>
            <w:vMerge w:val="continue"/>
            <w:tcBorders>
              <w:tl2br w:val="nil"/>
              <w:tr2bl w:val="nil"/>
            </w:tcBorders>
            <w:vAlign w:val="center"/>
          </w:tcPr>
          <w:p w14:paraId="1CEDFB4E">
            <w:pPr>
              <w:spacing w:line="240" w:lineRule="auto"/>
              <w:ind w:firstLine="0" w:firstLineChars="0"/>
              <w:jc w:val="center"/>
              <w:rPr>
                <w:color w:val="auto"/>
                <w:sz w:val="21"/>
              </w:rPr>
            </w:pPr>
          </w:p>
        </w:tc>
      </w:tr>
      <w:tr w14:paraId="6DFC192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2A43CDF2">
            <w:pPr>
              <w:spacing w:line="240" w:lineRule="auto"/>
              <w:ind w:firstLine="0" w:firstLineChars="0"/>
              <w:jc w:val="center"/>
              <w:rPr>
                <w:color w:val="auto"/>
                <w:sz w:val="21"/>
              </w:rPr>
            </w:pPr>
          </w:p>
        </w:tc>
        <w:tc>
          <w:tcPr>
            <w:tcW w:w="886" w:type="pct"/>
            <w:vMerge w:val="restart"/>
            <w:tcBorders>
              <w:tl2br w:val="nil"/>
              <w:tr2bl w:val="nil"/>
            </w:tcBorders>
            <w:vAlign w:val="center"/>
          </w:tcPr>
          <w:p w14:paraId="742589B0">
            <w:pPr>
              <w:spacing w:line="240" w:lineRule="auto"/>
              <w:ind w:firstLine="0" w:firstLineChars="0"/>
              <w:jc w:val="center"/>
              <w:rPr>
                <w:color w:val="auto"/>
                <w:sz w:val="21"/>
              </w:rPr>
            </w:pPr>
            <w:r>
              <w:rPr>
                <w:rFonts w:hint="eastAsia"/>
                <w:color w:val="auto"/>
                <w:sz w:val="21"/>
              </w:rPr>
              <w:t>罐区</w:t>
            </w:r>
          </w:p>
        </w:tc>
        <w:tc>
          <w:tcPr>
            <w:tcW w:w="3094" w:type="pct"/>
            <w:tcBorders>
              <w:tl2br w:val="nil"/>
              <w:tr2bl w:val="nil"/>
            </w:tcBorders>
            <w:vAlign w:val="center"/>
          </w:tcPr>
          <w:p w14:paraId="4F5C0740">
            <w:pPr>
              <w:spacing w:line="240" w:lineRule="auto"/>
              <w:ind w:firstLine="0" w:firstLineChars="0"/>
              <w:jc w:val="center"/>
              <w:rPr>
                <w:color w:val="auto"/>
                <w:sz w:val="21"/>
              </w:rPr>
            </w:pPr>
            <w:r>
              <w:rPr>
                <w:rFonts w:hint="eastAsia"/>
                <w:color w:val="auto"/>
                <w:sz w:val="21"/>
              </w:rPr>
              <w:t>1#戊类罐区</w:t>
            </w:r>
          </w:p>
        </w:tc>
        <w:tc>
          <w:tcPr>
            <w:tcW w:w="397" w:type="pct"/>
            <w:vMerge w:val="continue"/>
            <w:tcBorders>
              <w:tl2br w:val="nil"/>
              <w:tr2bl w:val="nil"/>
            </w:tcBorders>
            <w:vAlign w:val="center"/>
          </w:tcPr>
          <w:p w14:paraId="0820AFA9">
            <w:pPr>
              <w:spacing w:line="240" w:lineRule="auto"/>
              <w:ind w:firstLine="0" w:firstLineChars="0"/>
              <w:jc w:val="center"/>
              <w:rPr>
                <w:color w:val="auto"/>
                <w:sz w:val="21"/>
              </w:rPr>
            </w:pPr>
          </w:p>
        </w:tc>
      </w:tr>
      <w:tr w14:paraId="7FC5D28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16DB45D4">
            <w:pPr>
              <w:spacing w:line="240" w:lineRule="auto"/>
              <w:ind w:firstLine="0" w:firstLineChars="0"/>
              <w:jc w:val="center"/>
              <w:rPr>
                <w:color w:val="auto"/>
                <w:sz w:val="21"/>
              </w:rPr>
            </w:pPr>
          </w:p>
        </w:tc>
        <w:tc>
          <w:tcPr>
            <w:tcW w:w="886" w:type="pct"/>
            <w:vMerge w:val="continue"/>
            <w:tcBorders>
              <w:tl2br w:val="nil"/>
              <w:tr2bl w:val="nil"/>
            </w:tcBorders>
            <w:vAlign w:val="center"/>
          </w:tcPr>
          <w:p w14:paraId="3FAA63AA">
            <w:pPr>
              <w:spacing w:line="240" w:lineRule="auto"/>
              <w:ind w:firstLine="0" w:firstLineChars="0"/>
              <w:jc w:val="center"/>
              <w:rPr>
                <w:color w:val="auto"/>
                <w:sz w:val="21"/>
              </w:rPr>
            </w:pPr>
          </w:p>
        </w:tc>
        <w:tc>
          <w:tcPr>
            <w:tcW w:w="3094" w:type="pct"/>
            <w:tcBorders>
              <w:tl2br w:val="nil"/>
              <w:tr2bl w:val="nil"/>
            </w:tcBorders>
            <w:vAlign w:val="center"/>
          </w:tcPr>
          <w:p w14:paraId="400CEB65">
            <w:pPr>
              <w:spacing w:line="240" w:lineRule="auto"/>
              <w:ind w:firstLine="0" w:firstLineChars="0"/>
              <w:jc w:val="center"/>
              <w:rPr>
                <w:color w:val="auto"/>
                <w:sz w:val="21"/>
              </w:rPr>
            </w:pPr>
            <w:r>
              <w:rPr>
                <w:rFonts w:hint="eastAsia"/>
                <w:color w:val="auto"/>
                <w:sz w:val="21"/>
              </w:rPr>
              <w:t>2#戊类罐区</w:t>
            </w:r>
          </w:p>
        </w:tc>
        <w:tc>
          <w:tcPr>
            <w:tcW w:w="397" w:type="pct"/>
            <w:vMerge w:val="continue"/>
            <w:tcBorders>
              <w:tl2br w:val="nil"/>
              <w:tr2bl w:val="nil"/>
            </w:tcBorders>
            <w:vAlign w:val="center"/>
          </w:tcPr>
          <w:p w14:paraId="1CB2C176">
            <w:pPr>
              <w:spacing w:line="240" w:lineRule="auto"/>
              <w:ind w:firstLine="0" w:firstLineChars="0"/>
              <w:jc w:val="center"/>
              <w:rPr>
                <w:color w:val="auto"/>
                <w:sz w:val="21"/>
              </w:rPr>
            </w:pPr>
          </w:p>
        </w:tc>
      </w:tr>
      <w:tr w14:paraId="2BB0E86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c>
          <w:tcPr>
            <w:tcW w:w="621" w:type="pct"/>
            <w:vMerge w:val="continue"/>
            <w:tcBorders>
              <w:tl2br w:val="nil"/>
              <w:tr2bl w:val="nil"/>
            </w:tcBorders>
            <w:vAlign w:val="center"/>
          </w:tcPr>
          <w:p w14:paraId="04FBEDB7">
            <w:pPr>
              <w:spacing w:line="240" w:lineRule="auto"/>
              <w:ind w:firstLine="0" w:firstLineChars="0"/>
              <w:jc w:val="center"/>
              <w:rPr>
                <w:color w:val="auto"/>
                <w:sz w:val="21"/>
              </w:rPr>
            </w:pPr>
          </w:p>
        </w:tc>
        <w:tc>
          <w:tcPr>
            <w:tcW w:w="886" w:type="pct"/>
            <w:vMerge w:val="continue"/>
            <w:tcBorders>
              <w:tl2br w:val="nil"/>
              <w:tr2bl w:val="nil"/>
            </w:tcBorders>
            <w:vAlign w:val="center"/>
          </w:tcPr>
          <w:p w14:paraId="76A674B4">
            <w:pPr>
              <w:spacing w:line="240" w:lineRule="auto"/>
              <w:ind w:firstLine="0" w:firstLineChars="0"/>
              <w:jc w:val="center"/>
              <w:rPr>
                <w:color w:val="auto"/>
                <w:sz w:val="21"/>
              </w:rPr>
            </w:pPr>
          </w:p>
        </w:tc>
        <w:tc>
          <w:tcPr>
            <w:tcW w:w="3094" w:type="pct"/>
            <w:tcBorders>
              <w:tl2br w:val="nil"/>
              <w:tr2bl w:val="nil"/>
            </w:tcBorders>
            <w:vAlign w:val="center"/>
          </w:tcPr>
          <w:p w14:paraId="25AFD6EB">
            <w:pPr>
              <w:spacing w:line="240" w:lineRule="auto"/>
              <w:ind w:firstLine="0" w:firstLineChars="0"/>
              <w:jc w:val="center"/>
              <w:rPr>
                <w:color w:val="auto"/>
                <w:sz w:val="21"/>
              </w:rPr>
            </w:pPr>
            <w:r>
              <w:rPr>
                <w:rFonts w:hint="eastAsia"/>
                <w:color w:val="auto"/>
                <w:sz w:val="21"/>
              </w:rPr>
              <w:t>3#戊类罐区</w:t>
            </w:r>
          </w:p>
        </w:tc>
        <w:tc>
          <w:tcPr>
            <w:tcW w:w="397" w:type="pct"/>
            <w:vMerge w:val="continue"/>
            <w:tcBorders>
              <w:tl2br w:val="nil"/>
              <w:tr2bl w:val="nil"/>
            </w:tcBorders>
            <w:vAlign w:val="center"/>
          </w:tcPr>
          <w:p w14:paraId="0C8BCC05">
            <w:pPr>
              <w:spacing w:line="240" w:lineRule="auto"/>
              <w:ind w:firstLine="0" w:firstLineChars="0"/>
              <w:jc w:val="center"/>
              <w:rPr>
                <w:color w:val="auto"/>
                <w:sz w:val="21"/>
              </w:rPr>
            </w:pPr>
          </w:p>
        </w:tc>
      </w:tr>
      <w:tr w14:paraId="3979044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4B4FC841">
            <w:pPr>
              <w:spacing w:line="240" w:lineRule="auto"/>
              <w:ind w:firstLine="0" w:firstLineChars="0"/>
              <w:jc w:val="center"/>
              <w:rPr>
                <w:color w:val="auto"/>
                <w:sz w:val="21"/>
              </w:rPr>
            </w:pPr>
          </w:p>
        </w:tc>
        <w:tc>
          <w:tcPr>
            <w:tcW w:w="886" w:type="pct"/>
            <w:vMerge w:val="continue"/>
            <w:tcBorders>
              <w:tl2br w:val="nil"/>
              <w:tr2bl w:val="nil"/>
            </w:tcBorders>
            <w:vAlign w:val="center"/>
          </w:tcPr>
          <w:p w14:paraId="50A7E496">
            <w:pPr>
              <w:spacing w:line="240" w:lineRule="auto"/>
              <w:ind w:firstLine="0" w:firstLineChars="0"/>
              <w:jc w:val="center"/>
              <w:rPr>
                <w:color w:val="auto"/>
                <w:sz w:val="21"/>
              </w:rPr>
            </w:pPr>
          </w:p>
        </w:tc>
        <w:tc>
          <w:tcPr>
            <w:tcW w:w="3094" w:type="pct"/>
            <w:tcBorders>
              <w:tl2br w:val="nil"/>
              <w:tr2bl w:val="nil"/>
            </w:tcBorders>
            <w:vAlign w:val="center"/>
          </w:tcPr>
          <w:p w14:paraId="175730F8">
            <w:pPr>
              <w:spacing w:line="240" w:lineRule="auto"/>
              <w:ind w:firstLine="0" w:firstLineChars="0"/>
              <w:jc w:val="center"/>
              <w:rPr>
                <w:color w:val="auto"/>
                <w:sz w:val="21"/>
              </w:rPr>
            </w:pPr>
            <w:r>
              <w:rPr>
                <w:rFonts w:hint="eastAsia"/>
                <w:color w:val="auto"/>
                <w:sz w:val="21"/>
              </w:rPr>
              <w:t>4#戊类罐区</w:t>
            </w:r>
          </w:p>
        </w:tc>
        <w:tc>
          <w:tcPr>
            <w:tcW w:w="397" w:type="pct"/>
            <w:vMerge w:val="continue"/>
            <w:tcBorders>
              <w:tl2br w:val="nil"/>
              <w:tr2bl w:val="nil"/>
            </w:tcBorders>
            <w:vAlign w:val="center"/>
          </w:tcPr>
          <w:p w14:paraId="5B970D6C">
            <w:pPr>
              <w:spacing w:line="240" w:lineRule="auto"/>
              <w:ind w:firstLine="0" w:firstLineChars="0"/>
              <w:jc w:val="center"/>
              <w:rPr>
                <w:color w:val="auto"/>
                <w:sz w:val="21"/>
              </w:rPr>
            </w:pPr>
          </w:p>
        </w:tc>
      </w:tr>
      <w:tr w14:paraId="5790CE0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43A1C52D">
            <w:pPr>
              <w:spacing w:line="240" w:lineRule="auto"/>
              <w:ind w:firstLine="0" w:firstLineChars="0"/>
              <w:jc w:val="center"/>
              <w:rPr>
                <w:color w:val="auto"/>
                <w:sz w:val="21"/>
              </w:rPr>
            </w:pPr>
          </w:p>
        </w:tc>
        <w:tc>
          <w:tcPr>
            <w:tcW w:w="886" w:type="pct"/>
            <w:vMerge w:val="continue"/>
            <w:tcBorders>
              <w:tl2br w:val="nil"/>
              <w:tr2bl w:val="nil"/>
            </w:tcBorders>
            <w:vAlign w:val="center"/>
          </w:tcPr>
          <w:p w14:paraId="63F4DAB8">
            <w:pPr>
              <w:spacing w:line="240" w:lineRule="auto"/>
              <w:ind w:firstLine="0" w:firstLineChars="0"/>
              <w:jc w:val="center"/>
              <w:rPr>
                <w:color w:val="auto"/>
                <w:sz w:val="21"/>
              </w:rPr>
            </w:pPr>
          </w:p>
        </w:tc>
        <w:tc>
          <w:tcPr>
            <w:tcW w:w="3094" w:type="pct"/>
            <w:tcBorders>
              <w:tl2br w:val="nil"/>
              <w:tr2bl w:val="nil"/>
            </w:tcBorders>
            <w:vAlign w:val="center"/>
          </w:tcPr>
          <w:p w14:paraId="73296FD5">
            <w:pPr>
              <w:spacing w:line="240" w:lineRule="auto"/>
              <w:ind w:firstLine="0" w:firstLineChars="0"/>
              <w:jc w:val="center"/>
              <w:rPr>
                <w:color w:val="auto"/>
                <w:sz w:val="21"/>
              </w:rPr>
            </w:pPr>
            <w:r>
              <w:rPr>
                <w:rFonts w:hint="eastAsia"/>
                <w:color w:val="auto"/>
                <w:sz w:val="21"/>
              </w:rPr>
              <w:t>甲类罐区</w:t>
            </w:r>
          </w:p>
        </w:tc>
        <w:tc>
          <w:tcPr>
            <w:tcW w:w="397" w:type="pct"/>
            <w:vMerge w:val="continue"/>
            <w:tcBorders>
              <w:tl2br w:val="nil"/>
              <w:tr2bl w:val="nil"/>
            </w:tcBorders>
            <w:vAlign w:val="center"/>
          </w:tcPr>
          <w:p w14:paraId="5BA8D92F">
            <w:pPr>
              <w:spacing w:line="240" w:lineRule="auto"/>
              <w:ind w:firstLine="0" w:firstLineChars="0"/>
              <w:jc w:val="center"/>
              <w:rPr>
                <w:color w:val="auto"/>
                <w:sz w:val="21"/>
              </w:rPr>
            </w:pPr>
          </w:p>
        </w:tc>
      </w:tr>
      <w:tr w14:paraId="04CD285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c>
          <w:tcPr>
            <w:tcW w:w="621" w:type="pct"/>
            <w:vMerge w:val="continue"/>
            <w:tcBorders>
              <w:tl2br w:val="nil"/>
              <w:tr2bl w:val="nil"/>
            </w:tcBorders>
            <w:vAlign w:val="center"/>
          </w:tcPr>
          <w:p w14:paraId="7B154085">
            <w:pPr>
              <w:spacing w:line="240" w:lineRule="auto"/>
              <w:ind w:firstLine="0" w:firstLineChars="0"/>
              <w:jc w:val="center"/>
              <w:rPr>
                <w:color w:val="auto"/>
                <w:sz w:val="21"/>
              </w:rPr>
            </w:pPr>
          </w:p>
        </w:tc>
        <w:tc>
          <w:tcPr>
            <w:tcW w:w="886" w:type="pct"/>
            <w:tcBorders>
              <w:tl2br w:val="nil"/>
              <w:tr2bl w:val="nil"/>
            </w:tcBorders>
            <w:vAlign w:val="center"/>
          </w:tcPr>
          <w:p w14:paraId="52186E56">
            <w:pPr>
              <w:spacing w:line="240" w:lineRule="auto"/>
              <w:ind w:firstLine="0" w:firstLineChars="0"/>
              <w:jc w:val="center"/>
              <w:rPr>
                <w:color w:val="auto"/>
                <w:sz w:val="21"/>
              </w:rPr>
            </w:pPr>
            <w:r>
              <w:rPr>
                <w:rFonts w:hint="eastAsia"/>
                <w:color w:val="auto"/>
                <w:sz w:val="21"/>
              </w:rPr>
              <w:t>运输</w:t>
            </w:r>
          </w:p>
        </w:tc>
        <w:tc>
          <w:tcPr>
            <w:tcW w:w="3094" w:type="pct"/>
            <w:tcBorders>
              <w:tl2br w:val="nil"/>
              <w:tr2bl w:val="nil"/>
            </w:tcBorders>
            <w:vAlign w:val="center"/>
          </w:tcPr>
          <w:p w14:paraId="78893352">
            <w:pPr>
              <w:spacing w:line="240" w:lineRule="auto"/>
              <w:ind w:firstLine="0" w:firstLineChars="0"/>
              <w:jc w:val="center"/>
              <w:rPr>
                <w:color w:val="auto"/>
                <w:sz w:val="21"/>
              </w:rPr>
            </w:pPr>
            <w:r>
              <w:rPr>
                <w:color w:val="auto"/>
                <w:sz w:val="21"/>
              </w:rPr>
              <w:t>厂外汽车运输，厂内叉车、管道运输</w:t>
            </w:r>
          </w:p>
        </w:tc>
        <w:tc>
          <w:tcPr>
            <w:tcW w:w="397" w:type="pct"/>
            <w:vMerge w:val="continue"/>
            <w:tcBorders>
              <w:tl2br w:val="nil"/>
              <w:tr2bl w:val="nil"/>
            </w:tcBorders>
            <w:vAlign w:val="center"/>
          </w:tcPr>
          <w:p w14:paraId="32F40067">
            <w:pPr>
              <w:spacing w:line="240" w:lineRule="auto"/>
              <w:ind w:firstLine="0" w:firstLineChars="0"/>
              <w:jc w:val="center"/>
              <w:rPr>
                <w:color w:val="auto"/>
                <w:sz w:val="21"/>
              </w:rPr>
            </w:pPr>
          </w:p>
        </w:tc>
      </w:tr>
      <w:tr w14:paraId="27E0CEA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restart"/>
            <w:tcBorders>
              <w:tl2br w:val="nil"/>
              <w:tr2bl w:val="nil"/>
            </w:tcBorders>
            <w:vAlign w:val="center"/>
          </w:tcPr>
          <w:p w14:paraId="5313DCB8">
            <w:pPr>
              <w:spacing w:line="240" w:lineRule="auto"/>
              <w:ind w:firstLine="0" w:firstLineChars="0"/>
              <w:jc w:val="center"/>
              <w:rPr>
                <w:color w:val="auto"/>
                <w:sz w:val="21"/>
              </w:rPr>
            </w:pPr>
            <w:r>
              <w:rPr>
                <w:rFonts w:hint="eastAsia"/>
                <w:color w:val="auto"/>
                <w:sz w:val="21"/>
              </w:rPr>
              <w:t>公用工程</w:t>
            </w:r>
          </w:p>
        </w:tc>
        <w:tc>
          <w:tcPr>
            <w:tcW w:w="886" w:type="pct"/>
            <w:tcBorders>
              <w:tl2br w:val="nil"/>
              <w:tr2bl w:val="nil"/>
            </w:tcBorders>
            <w:vAlign w:val="center"/>
          </w:tcPr>
          <w:p w14:paraId="3F6B2E0B">
            <w:pPr>
              <w:spacing w:line="240" w:lineRule="auto"/>
              <w:ind w:firstLine="0" w:firstLineChars="0"/>
              <w:jc w:val="center"/>
              <w:rPr>
                <w:color w:val="auto"/>
                <w:sz w:val="21"/>
              </w:rPr>
            </w:pPr>
            <w:r>
              <w:rPr>
                <w:rFonts w:hint="eastAsia"/>
                <w:color w:val="auto"/>
                <w:sz w:val="21"/>
              </w:rPr>
              <w:t>供电</w:t>
            </w:r>
          </w:p>
        </w:tc>
        <w:tc>
          <w:tcPr>
            <w:tcW w:w="3094" w:type="pct"/>
            <w:tcBorders>
              <w:tl2br w:val="nil"/>
              <w:tr2bl w:val="nil"/>
            </w:tcBorders>
            <w:vAlign w:val="center"/>
          </w:tcPr>
          <w:p w14:paraId="70298ECC">
            <w:pPr>
              <w:spacing w:line="240" w:lineRule="auto"/>
              <w:ind w:firstLine="0" w:firstLineChars="0"/>
              <w:jc w:val="center"/>
              <w:rPr>
                <w:color w:val="auto"/>
                <w:sz w:val="21"/>
              </w:rPr>
            </w:pPr>
            <w:r>
              <w:rPr>
                <w:color w:val="auto"/>
                <w:sz w:val="21"/>
              </w:rPr>
              <w:t>园区中部现有已建一座110KV变电所，电源引自220KV汇龙变，规划主变容量为2×50MVA，根据对园区用电负荷的预测，规划远期将在园区东北侧新建一座110kV变电所，规划主变容量为2×50MVA。东西两座变电所由220KV汇龙变引两回110KV电源引来，上述两座变电所作为园区的主供电源基本能满足园区企业用电需求。</w:t>
            </w:r>
          </w:p>
        </w:tc>
        <w:tc>
          <w:tcPr>
            <w:tcW w:w="397" w:type="pct"/>
            <w:vMerge w:val="continue"/>
            <w:tcBorders>
              <w:tl2br w:val="nil"/>
              <w:tr2bl w:val="nil"/>
            </w:tcBorders>
            <w:vAlign w:val="center"/>
          </w:tcPr>
          <w:p w14:paraId="6483AA5D">
            <w:pPr>
              <w:spacing w:line="240" w:lineRule="auto"/>
              <w:ind w:firstLine="0" w:firstLineChars="0"/>
              <w:jc w:val="center"/>
              <w:rPr>
                <w:color w:val="auto"/>
                <w:sz w:val="21"/>
              </w:rPr>
            </w:pPr>
          </w:p>
        </w:tc>
      </w:tr>
      <w:tr w14:paraId="721F020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c>
          <w:tcPr>
            <w:tcW w:w="621" w:type="pct"/>
            <w:vMerge w:val="continue"/>
            <w:tcBorders>
              <w:tl2br w:val="nil"/>
              <w:tr2bl w:val="nil"/>
            </w:tcBorders>
            <w:vAlign w:val="center"/>
          </w:tcPr>
          <w:p w14:paraId="6508A896">
            <w:pPr>
              <w:spacing w:line="240" w:lineRule="auto"/>
              <w:ind w:firstLine="0" w:firstLineChars="0"/>
              <w:jc w:val="center"/>
              <w:rPr>
                <w:color w:val="auto"/>
                <w:sz w:val="21"/>
              </w:rPr>
            </w:pPr>
          </w:p>
        </w:tc>
        <w:tc>
          <w:tcPr>
            <w:tcW w:w="886" w:type="pct"/>
            <w:tcBorders>
              <w:tl2br w:val="nil"/>
              <w:tr2bl w:val="nil"/>
            </w:tcBorders>
            <w:vAlign w:val="center"/>
          </w:tcPr>
          <w:p w14:paraId="6CA950C3">
            <w:pPr>
              <w:spacing w:line="240" w:lineRule="auto"/>
              <w:ind w:firstLine="0" w:firstLineChars="0"/>
              <w:jc w:val="center"/>
              <w:rPr>
                <w:color w:val="auto"/>
                <w:sz w:val="21"/>
              </w:rPr>
            </w:pPr>
            <w:r>
              <w:rPr>
                <w:rFonts w:hint="eastAsia"/>
                <w:color w:val="auto"/>
                <w:sz w:val="21"/>
              </w:rPr>
              <w:t>供水</w:t>
            </w:r>
          </w:p>
        </w:tc>
        <w:tc>
          <w:tcPr>
            <w:tcW w:w="3094" w:type="pct"/>
            <w:tcBorders>
              <w:tl2br w:val="nil"/>
              <w:tr2bl w:val="nil"/>
            </w:tcBorders>
            <w:vAlign w:val="center"/>
          </w:tcPr>
          <w:p w14:paraId="5BDC3878">
            <w:pPr>
              <w:spacing w:line="240" w:lineRule="auto"/>
              <w:ind w:firstLine="0" w:firstLineChars="0"/>
              <w:jc w:val="center"/>
              <w:rPr>
                <w:color w:val="auto"/>
                <w:sz w:val="21"/>
              </w:rPr>
            </w:pPr>
            <w:r>
              <w:rPr>
                <w:rFonts w:hint="eastAsia"/>
                <w:color w:val="auto"/>
                <w:sz w:val="21"/>
              </w:rPr>
              <w:t>拟建</w:t>
            </w:r>
            <w:r>
              <w:rPr>
                <w:color w:val="auto"/>
                <w:sz w:val="21"/>
              </w:rPr>
              <w:t>项目总用水量</w:t>
            </w:r>
            <w:r>
              <w:rPr>
                <w:rFonts w:hint="eastAsia"/>
                <w:color w:val="auto"/>
                <w:sz w:val="21"/>
              </w:rPr>
              <w:t>9064</w:t>
            </w:r>
            <w:r>
              <w:rPr>
                <w:color w:val="auto"/>
                <w:sz w:val="21"/>
              </w:rPr>
              <w:t>m</w:t>
            </w:r>
            <w:r>
              <w:rPr>
                <w:color w:val="auto"/>
                <w:sz w:val="21"/>
                <w:vertAlign w:val="superscript"/>
              </w:rPr>
              <w:t>3</w:t>
            </w:r>
            <w:r>
              <w:rPr>
                <w:color w:val="auto"/>
                <w:sz w:val="21"/>
              </w:rPr>
              <w:t>/a来自地下水、地表水，取水能力分别为10万m</w:t>
            </w:r>
            <w:r>
              <w:rPr>
                <w:color w:val="auto"/>
                <w:sz w:val="21"/>
                <w:vertAlign w:val="superscript"/>
              </w:rPr>
              <w:t>3</w:t>
            </w:r>
            <w:r>
              <w:rPr>
                <w:color w:val="auto"/>
                <w:sz w:val="21"/>
              </w:rPr>
              <w:t>/a、30万m</w:t>
            </w:r>
            <w:r>
              <w:rPr>
                <w:color w:val="auto"/>
                <w:sz w:val="21"/>
                <w:vertAlign w:val="superscript"/>
              </w:rPr>
              <w:t>3</w:t>
            </w:r>
            <w:r>
              <w:rPr>
                <w:color w:val="auto"/>
                <w:sz w:val="21"/>
              </w:rPr>
              <w:t>/a，已获得取水许可证</w:t>
            </w:r>
            <w:r>
              <w:rPr>
                <w:rFonts w:hint="eastAsia"/>
                <w:color w:val="auto"/>
                <w:sz w:val="21"/>
              </w:rPr>
              <w:t>。</w:t>
            </w:r>
          </w:p>
        </w:tc>
        <w:tc>
          <w:tcPr>
            <w:tcW w:w="397" w:type="pct"/>
            <w:vMerge w:val="continue"/>
            <w:tcBorders>
              <w:tl2br w:val="nil"/>
              <w:tr2bl w:val="nil"/>
            </w:tcBorders>
            <w:vAlign w:val="center"/>
          </w:tcPr>
          <w:p w14:paraId="7CD7CEAF">
            <w:pPr>
              <w:spacing w:line="240" w:lineRule="auto"/>
              <w:ind w:firstLine="0" w:firstLineChars="0"/>
              <w:jc w:val="center"/>
              <w:rPr>
                <w:color w:val="auto"/>
                <w:sz w:val="21"/>
              </w:rPr>
            </w:pPr>
          </w:p>
        </w:tc>
      </w:tr>
      <w:tr w14:paraId="02DDAE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29FEC0CC">
            <w:pPr>
              <w:spacing w:line="240" w:lineRule="auto"/>
              <w:ind w:firstLine="0" w:firstLineChars="0"/>
              <w:jc w:val="center"/>
              <w:rPr>
                <w:color w:val="auto"/>
                <w:sz w:val="21"/>
              </w:rPr>
            </w:pPr>
          </w:p>
        </w:tc>
        <w:tc>
          <w:tcPr>
            <w:tcW w:w="886" w:type="pct"/>
            <w:tcBorders>
              <w:tl2br w:val="nil"/>
              <w:tr2bl w:val="nil"/>
            </w:tcBorders>
            <w:vAlign w:val="center"/>
          </w:tcPr>
          <w:p w14:paraId="77182BD8">
            <w:pPr>
              <w:spacing w:line="240" w:lineRule="auto"/>
              <w:ind w:firstLine="0" w:firstLineChars="0"/>
              <w:jc w:val="center"/>
              <w:rPr>
                <w:color w:val="auto"/>
                <w:sz w:val="21"/>
              </w:rPr>
            </w:pPr>
            <w:r>
              <w:rPr>
                <w:rFonts w:hint="eastAsia"/>
                <w:color w:val="auto"/>
                <w:sz w:val="21"/>
              </w:rPr>
              <w:t>供热</w:t>
            </w:r>
          </w:p>
        </w:tc>
        <w:tc>
          <w:tcPr>
            <w:tcW w:w="3094" w:type="pct"/>
            <w:tcBorders>
              <w:tl2br w:val="nil"/>
              <w:tr2bl w:val="nil"/>
            </w:tcBorders>
            <w:vAlign w:val="center"/>
          </w:tcPr>
          <w:p w14:paraId="46501DFE">
            <w:pPr>
              <w:spacing w:line="240" w:lineRule="auto"/>
              <w:ind w:firstLine="0" w:firstLineChars="0"/>
              <w:jc w:val="center"/>
              <w:rPr>
                <w:color w:val="auto"/>
                <w:sz w:val="21"/>
              </w:rPr>
            </w:pPr>
            <w:r>
              <w:rPr>
                <w:rFonts w:hint="eastAsia"/>
                <w:color w:val="auto"/>
                <w:sz w:val="21"/>
              </w:rPr>
              <w:t>由</w:t>
            </w:r>
            <w:r>
              <w:rPr>
                <w:color w:val="auto"/>
                <w:sz w:val="21"/>
              </w:rPr>
              <w:t>国信启东热电有限公司</w:t>
            </w:r>
            <w:r>
              <w:rPr>
                <w:rFonts w:hint="eastAsia"/>
                <w:color w:val="auto"/>
                <w:sz w:val="21"/>
              </w:rPr>
              <w:t>集中供汽，该热电厂目前建设有3台75t/h高温高压循环流化床锅炉、2台8.5MW背压式汽轮发电机组，可满足园区供汽需求。同时启东亚太自建焚硫炉，焚硫炉可回收蒸汽约15000吨/年，目前尚有6600吨/年余量可使用，拟建项目拟使用蒸汽5000t/a。</w:t>
            </w:r>
          </w:p>
        </w:tc>
        <w:tc>
          <w:tcPr>
            <w:tcW w:w="397" w:type="pct"/>
            <w:vMerge w:val="continue"/>
            <w:tcBorders>
              <w:tl2br w:val="nil"/>
              <w:tr2bl w:val="nil"/>
            </w:tcBorders>
            <w:vAlign w:val="center"/>
          </w:tcPr>
          <w:p w14:paraId="067AF304">
            <w:pPr>
              <w:spacing w:line="240" w:lineRule="auto"/>
              <w:ind w:firstLine="0" w:firstLineChars="0"/>
              <w:jc w:val="center"/>
              <w:rPr>
                <w:color w:val="auto"/>
                <w:sz w:val="21"/>
              </w:rPr>
            </w:pPr>
          </w:p>
        </w:tc>
      </w:tr>
      <w:tr w14:paraId="1E8B23E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0ABCA1AE">
            <w:pPr>
              <w:spacing w:line="240" w:lineRule="auto"/>
              <w:ind w:firstLine="0" w:firstLineChars="0"/>
              <w:jc w:val="center"/>
              <w:rPr>
                <w:color w:val="auto"/>
                <w:sz w:val="21"/>
              </w:rPr>
            </w:pPr>
          </w:p>
        </w:tc>
        <w:tc>
          <w:tcPr>
            <w:tcW w:w="886" w:type="pct"/>
            <w:tcBorders>
              <w:tl2br w:val="nil"/>
              <w:tr2bl w:val="nil"/>
            </w:tcBorders>
            <w:vAlign w:val="center"/>
          </w:tcPr>
          <w:p w14:paraId="21595994">
            <w:pPr>
              <w:spacing w:line="240" w:lineRule="auto"/>
              <w:ind w:firstLine="0" w:firstLineChars="0"/>
              <w:jc w:val="center"/>
              <w:rPr>
                <w:color w:val="auto"/>
                <w:sz w:val="21"/>
              </w:rPr>
            </w:pPr>
            <w:r>
              <w:rPr>
                <w:rFonts w:hint="eastAsia"/>
                <w:color w:val="auto"/>
                <w:sz w:val="21"/>
              </w:rPr>
              <w:t>排水</w:t>
            </w:r>
          </w:p>
        </w:tc>
        <w:tc>
          <w:tcPr>
            <w:tcW w:w="3094" w:type="pct"/>
            <w:tcBorders>
              <w:tl2br w:val="nil"/>
              <w:tr2bl w:val="nil"/>
            </w:tcBorders>
            <w:vAlign w:val="center"/>
          </w:tcPr>
          <w:p w14:paraId="6A1F45E9">
            <w:pPr>
              <w:spacing w:line="240" w:lineRule="auto"/>
              <w:ind w:firstLine="0" w:firstLineChars="0"/>
              <w:jc w:val="center"/>
              <w:rPr>
                <w:color w:val="auto"/>
                <w:sz w:val="21"/>
              </w:rPr>
            </w:pPr>
            <w:r>
              <w:rPr>
                <w:color w:val="auto"/>
                <w:sz w:val="21"/>
              </w:rPr>
              <w:t>清污分流，废水排入污水管网</w:t>
            </w:r>
            <w:r>
              <w:rPr>
                <w:rFonts w:hint="eastAsia"/>
                <w:color w:val="auto"/>
                <w:sz w:val="21"/>
              </w:rPr>
              <w:t>，拟建</w:t>
            </w:r>
            <w:r>
              <w:rPr>
                <w:color w:val="auto"/>
                <w:sz w:val="21"/>
              </w:rPr>
              <w:t>项目其他新增废水</w:t>
            </w:r>
            <w:r>
              <w:rPr>
                <w:rFonts w:hint="eastAsia"/>
                <w:color w:val="auto"/>
                <w:sz w:val="21"/>
              </w:rPr>
              <w:t>量为3.94t/a，</w:t>
            </w:r>
            <w:r>
              <w:rPr>
                <w:color w:val="auto"/>
                <w:sz w:val="21"/>
              </w:rPr>
              <w:t>接入新建</w:t>
            </w:r>
            <w:r>
              <w:rPr>
                <w:rFonts w:hint="eastAsia"/>
                <w:color w:val="auto"/>
                <w:sz w:val="21"/>
              </w:rPr>
              <w:t>1</w:t>
            </w:r>
            <w:r>
              <w:rPr>
                <w:color w:val="auto"/>
                <w:sz w:val="21"/>
              </w:rPr>
              <w:t>#</w:t>
            </w:r>
            <w:r>
              <w:rPr>
                <w:rFonts w:hint="eastAsia"/>
                <w:color w:val="auto"/>
                <w:sz w:val="21"/>
              </w:rPr>
              <w:t>污水</w:t>
            </w:r>
            <w:r>
              <w:rPr>
                <w:color w:val="auto"/>
                <w:sz w:val="21"/>
              </w:rPr>
              <w:t>站处理，设计能力为40</w:t>
            </w:r>
            <w:r>
              <w:rPr>
                <w:rFonts w:hint="eastAsia"/>
                <w:color w:val="auto"/>
                <w:sz w:val="21"/>
              </w:rPr>
              <w:t>8</w:t>
            </w:r>
            <w:r>
              <w:rPr>
                <w:color w:val="auto"/>
                <w:sz w:val="21"/>
              </w:rPr>
              <w:t>m</w:t>
            </w:r>
            <w:r>
              <w:rPr>
                <w:color w:val="auto"/>
                <w:sz w:val="21"/>
                <w:vertAlign w:val="superscript"/>
              </w:rPr>
              <w:t>3</w:t>
            </w:r>
            <w:r>
              <w:rPr>
                <w:color w:val="auto"/>
                <w:sz w:val="21"/>
              </w:rPr>
              <w:t>/d</w:t>
            </w:r>
            <w:r>
              <w:rPr>
                <w:rFonts w:hint="eastAsia"/>
                <w:color w:val="auto"/>
                <w:sz w:val="21"/>
              </w:rPr>
              <w:t>。</w:t>
            </w:r>
          </w:p>
        </w:tc>
        <w:tc>
          <w:tcPr>
            <w:tcW w:w="397" w:type="pct"/>
            <w:vMerge w:val="continue"/>
            <w:tcBorders>
              <w:tl2br w:val="nil"/>
              <w:tr2bl w:val="nil"/>
            </w:tcBorders>
            <w:vAlign w:val="center"/>
          </w:tcPr>
          <w:p w14:paraId="06427977">
            <w:pPr>
              <w:spacing w:line="240" w:lineRule="auto"/>
              <w:ind w:firstLine="0" w:firstLineChars="0"/>
              <w:jc w:val="center"/>
              <w:rPr>
                <w:color w:val="auto"/>
                <w:sz w:val="21"/>
              </w:rPr>
            </w:pPr>
          </w:p>
        </w:tc>
      </w:tr>
      <w:tr w14:paraId="51A392E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2F760606">
            <w:pPr>
              <w:spacing w:line="240" w:lineRule="auto"/>
              <w:ind w:firstLine="0" w:firstLineChars="0"/>
              <w:jc w:val="center"/>
              <w:rPr>
                <w:color w:val="auto"/>
                <w:sz w:val="21"/>
              </w:rPr>
            </w:pPr>
          </w:p>
        </w:tc>
        <w:tc>
          <w:tcPr>
            <w:tcW w:w="886" w:type="pct"/>
            <w:tcBorders>
              <w:tl2br w:val="nil"/>
              <w:tr2bl w:val="nil"/>
            </w:tcBorders>
            <w:vAlign w:val="center"/>
          </w:tcPr>
          <w:p w14:paraId="5B99F005">
            <w:pPr>
              <w:spacing w:line="240" w:lineRule="auto"/>
              <w:ind w:firstLine="0" w:firstLineChars="0"/>
              <w:jc w:val="center"/>
              <w:rPr>
                <w:color w:val="auto"/>
                <w:sz w:val="21"/>
              </w:rPr>
            </w:pPr>
            <w:r>
              <w:rPr>
                <w:rFonts w:hint="eastAsia"/>
                <w:color w:val="auto"/>
                <w:sz w:val="21"/>
              </w:rPr>
              <w:t>冷冻机组</w:t>
            </w:r>
          </w:p>
        </w:tc>
        <w:tc>
          <w:tcPr>
            <w:tcW w:w="3094" w:type="pct"/>
            <w:tcBorders>
              <w:tl2br w:val="nil"/>
              <w:tr2bl w:val="nil"/>
            </w:tcBorders>
            <w:vAlign w:val="center"/>
          </w:tcPr>
          <w:p w14:paraId="70487ECF">
            <w:pPr>
              <w:spacing w:line="240" w:lineRule="auto"/>
              <w:ind w:firstLine="0" w:firstLineChars="0"/>
              <w:jc w:val="center"/>
              <w:rPr>
                <w:color w:val="auto"/>
                <w:sz w:val="21"/>
              </w:rPr>
            </w:pPr>
            <w:r>
              <w:rPr>
                <w:rFonts w:hint="eastAsia"/>
                <w:color w:val="auto"/>
                <w:sz w:val="21"/>
              </w:rPr>
              <w:t>企业</w:t>
            </w:r>
            <w:r>
              <w:rPr>
                <w:color w:val="auto"/>
                <w:sz w:val="21"/>
              </w:rPr>
              <w:t>现有项目冷冻机房设有螺杆式冷冻机组3台，2台55万大卡/小时、1台38万大卡/小时</w:t>
            </w:r>
            <w:r>
              <w:rPr>
                <w:rFonts w:hint="eastAsia"/>
                <w:color w:val="auto"/>
                <w:sz w:val="21"/>
              </w:rPr>
              <w:t>，</w:t>
            </w:r>
            <w:r>
              <w:rPr>
                <w:color w:val="auto"/>
                <w:sz w:val="21"/>
              </w:rPr>
              <w:t>现有项目用冷量约80万大卡/小时，尚有68万大卡/小时余量，</w:t>
            </w:r>
            <w:r>
              <w:rPr>
                <w:rFonts w:hint="eastAsia"/>
                <w:color w:val="auto"/>
                <w:sz w:val="21"/>
              </w:rPr>
              <w:t>拟建</w:t>
            </w:r>
            <w:r>
              <w:rPr>
                <w:color w:val="auto"/>
                <w:sz w:val="21"/>
              </w:rPr>
              <w:t>项目生产过程需要约15万大卡/小时的用量</w:t>
            </w:r>
            <w:r>
              <w:rPr>
                <w:rFonts w:hint="eastAsia"/>
                <w:color w:val="auto"/>
                <w:sz w:val="21"/>
              </w:rPr>
              <w:t>。</w:t>
            </w:r>
          </w:p>
        </w:tc>
        <w:tc>
          <w:tcPr>
            <w:tcW w:w="397" w:type="pct"/>
            <w:vMerge w:val="continue"/>
            <w:tcBorders>
              <w:tl2br w:val="nil"/>
              <w:tr2bl w:val="nil"/>
            </w:tcBorders>
            <w:vAlign w:val="center"/>
          </w:tcPr>
          <w:p w14:paraId="090A734F">
            <w:pPr>
              <w:spacing w:line="240" w:lineRule="auto"/>
              <w:ind w:firstLine="0" w:firstLineChars="0"/>
              <w:jc w:val="center"/>
              <w:rPr>
                <w:color w:val="auto"/>
                <w:sz w:val="21"/>
              </w:rPr>
            </w:pPr>
          </w:p>
        </w:tc>
      </w:tr>
      <w:tr w14:paraId="4283F44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62CE0014">
            <w:pPr>
              <w:spacing w:line="240" w:lineRule="auto"/>
              <w:ind w:firstLine="0" w:firstLineChars="0"/>
              <w:jc w:val="center"/>
              <w:rPr>
                <w:color w:val="auto"/>
                <w:sz w:val="21"/>
              </w:rPr>
            </w:pPr>
          </w:p>
        </w:tc>
        <w:tc>
          <w:tcPr>
            <w:tcW w:w="886" w:type="pct"/>
            <w:tcBorders>
              <w:tl2br w:val="nil"/>
              <w:tr2bl w:val="nil"/>
            </w:tcBorders>
            <w:vAlign w:val="center"/>
          </w:tcPr>
          <w:p w14:paraId="36249F7E">
            <w:pPr>
              <w:spacing w:line="240" w:lineRule="auto"/>
              <w:ind w:firstLine="0" w:firstLineChars="0"/>
              <w:jc w:val="center"/>
              <w:rPr>
                <w:color w:val="auto"/>
                <w:sz w:val="21"/>
              </w:rPr>
            </w:pPr>
            <w:r>
              <w:rPr>
                <w:rFonts w:hint="eastAsia"/>
                <w:color w:val="auto"/>
                <w:sz w:val="21"/>
              </w:rPr>
              <w:t>压缩空气系统</w:t>
            </w:r>
          </w:p>
        </w:tc>
        <w:tc>
          <w:tcPr>
            <w:tcW w:w="3094" w:type="pct"/>
            <w:tcBorders>
              <w:tl2br w:val="nil"/>
              <w:tr2bl w:val="nil"/>
            </w:tcBorders>
            <w:vAlign w:val="center"/>
          </w:tcPr>
          <w:p w14:paraId="265FB80D">
            <w:pPr>
              <w:spacing w:line="240" w:lineRule="auto"/>
              <w:ind w:firstLine="0" w:firstLineChars="0"/>
              <w:jc w:val="center"/>
              <w:rPr>
                <w:color w:val="auto"/>
                <w:sz w:val="21"/>
              </w:rPr>
            </w:pPr>
            <w:r>
              <w:rPr>
                <w:color w:val="auto"/>
                <w:sz w:val="21"/>
              </w:rPr>
              <w:t>所用压缩空气和仪表空气由2台8Nm</w:t>
            </w:r>
            <w:r>
              <w:rPr>
                <w:color w:val="auto"/>
                <w:sz w:val="21"/>
                <w:vertAlign w:val="superscript"/>
              </w:rPr>
              <w:t>3</w:t>
            </w:r>
            <w:r>
              <w:rPr>
                <w:color w:val="auto"/>
                <w:sz w:val="21"/>
              </w:rPr>
              <w:t>/min螺杆式空气压缩机供应，一备一用</w:t>
            </w:r>
            <w:r>
              <w:rPr>
                <w:rFonts w:hint="eastAsia"/>
                <w:color w:val="auto"/>
                <w:sz w:val="21"/>
              </w:rPr>
              <w:t>。</w:t>
            </w:r>
          </w:p>
        </w:tc>
        <w:tc>
          <w:tcPr>
            <w:tcW w:w="397" w:type="pct"/>
            <w:vMerge w:val="continue"/>
            <w:tcBorders>
              <w:tl2br w:val="nil"/>
              <w:tr2bl w:val="nil"/>
            </w:tcBorders>
            <w:vAlign w:val="center"/>
          </w:tcPr>
          <w:p w14:paraId="19A73FEF">
            <w:pPr>
              <w:spacing w:line="240" w:lineRule="auto"/>
              <w:ind w:firstLine="0" w:firstLineChars="0"/>
              <w:jc w:val="center"/>
              <w:rPr>
                <w:color w:val="auto"/>
                <w:sz w:val="21"/>
              </w:rPr>
            </w:pPr>
          </w:p>
        </w:tc>
      </w:tr>
      <w:tr w14:paraId="32DD643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restart"/>
            <w:tcBorders>
              <w:tl2br w:val="nil"/>
              <w:tr2bl w:val="nil"/>
            </w:tcBorders>
            <w:vAlign w:val="center"/>
          </w:tcPr>
          <w:p w14:paraId="441868AE">
            <w:pPr>
              <w:spacing w:line="240" w:lineRule="auto"/>
              <w:ind w:firstLine="0" w:firstLineChars="0"/>
              <w:jc w:val="center"/>
              <w:rPr>
                <w:color w:val="auto"/>
                <w:sz w:val="21"/>
              </w:rPr>
            </w:pPr>
            <w:r>
              <w:rPr>
                <w:rFonts w:hint="eastAsia"/>
                <w:color w:val="auto"/>
                <w:sz w:val="21"/>
              </w:rPr>
              <w:t>环保工程</w:t>
            </w:r>
          </w:p>
        </w:tc>
        <w:tc>
          <w:tcPr>
            <w:tcW w:w="886" w:type="pct"/>
            <w:tcBorders>
              <w:tl2br w:val="nil"/>
              <w:tr2bl w:val="nil"/>
            </w:tcBorders>
            <w:vAlign w:val="center"/>
          </w:tcPr>
          <w:p w14:paraId="2504B87B">
            <w:pPr>
              <w:adjustRightInd/>
              <w:snapToGrid/>
              <w:spacing w:line="240" w:lineRule="auto"/>
              <w:ind w:firstLine="0" w:firstLineChars="0"/>
              <w:jc w:val="center"/>
              <w:rPr>
                <w:color w:val="auto"/>
                <w:sz w:val="21"/>
                <w:szCs w:val="21"/>
              </w:rPr>
            </w:pPr>
            <w:r>
              <w:rPr>
                <w:color w:val="auto"/>
                <w:sz w:val="21"/>
                <w:szCs w:val="21"/>
              </w:rPr>
              <w:t>污水处理设施</w:t>
            </w:r>
          </w:p>
        </w:tc>
        <w:tc>
          <w:tcPr>
            <w:tcW w:w="3094" w:type="pct"/>
            <w:tcBorders>
              <w:tl2br w:val="nil"/>
              <w:tr2bl w:val="nil"/>
            </w:tcBorders>
            <w:vAlign w:val="center"/>
          </w:tcPr>
          <w:p w14:paraId="7F94D5BF">
            <w:pPr>
              <w:spacing w:line="240" w:lineRule="auto"/>
              <w:ind w:firstLine="0" w:firstLineChars="0"/>
              <w:jc w:val="center"/>
              <w:rPr>
                <w:color w:val="auto"/>
                <w:sz w:val="21"/>
              </w:rPr>
            </w:pPr>
            <w:r>
              <w:rPr>
                <w:rFonts w:hint="eastAsia"/>
                <w:color w:val="auto"/>
                <w:sz w:val="21"/>
              </w:rPr>
              <w:t>拟建</w:t>
            </w:r>
            <w:r>
              <w:rPr>
                <w:color w:val="auto"/>
                <w:sz w:val="21"/>
              </w:rPr>
              <w:t>项目新增废水</w:t>
            </w:r>
            <w:r>
              <w:rPr>
                <w:rFonts w:hint="eastAsia"/>
                <w:color w:val="auto"/>
                <w:sz w:val="21"/>
              </w:rPr>
              <w:t>量合计3.94t/a</w:t>
            </w:r>
            <w:r>
              <w:rPr>
                <w:color w:val="auto"/>
                <w:sz w:val="21"/>
              </w:rPr>
              <w:t>由</w:t>
            </w:r>
            <w:r>
              <w:rPr>
                <w:rFonts w:hint="eastAsia"/>
                <w:color w:val="auto"/>
                <w:sz w:val="21"/>
              </w:rPr>
              <w:t>厂区现有1</w:t>
            </w:r>
            <w:r>
              <w:rPr>
                <w:color w:val="auto"/>
                <w:sz w:val="21"/>
              </w:rPr>
              <w:t>#污水处理站处理，采用“</w:t>
            </w:r>
            <w:r>
              <w:rPr>
                <w:rFonts w:hint="eastAsia"/>
                <w:color w:val="auto"/>
                <w:sz w:val="21"/>
              </w:rPr>
              <w:t>调节池</w:t>
            </w:r>
            <w:r>
              <w:rPr>
                <w:color w:val="auto"/>
                <w:sz w:val="21"/>
              </w:rPr>
              <w:t>+臭氧氧化”工艺，预处理达标后排入联合环境水务</w:t>
            </w:r>
            <w:r>
              <w:rPr>
                <w:rFonts w:hint="eastAsia"/>
                <w:color w:val="auto"/>
                <w:sz w:val="21"/>
              </w:rPr>
              <w:t>（</w:t>
            </w:r>
            <w:r>
              <w:rPr>
                <w:color w:val="auto"/>
                <w:sz w:val="21"/>
              </w:rPr>
              <w:t>启东</w:t>
            </w:r>
            <w:r>
              <w:rPr>
                <w:rFonts w:hint="eastAsia"/>
                <w:color w:val="auto"/>
                <w:sz w:val="21"/>
              </w:rPr>
              <w:t>）</w:t>
            </w:r>
            <w:r>
              <w:rPr>
                <w:color w:val="auto"/>
                <w:sz w:val="21"/>
              </w:rPr>
              <w:t>有限公司处理。</w:t>
            </w:r>
            <w:r>
              <w:rPr>
                <w:rFonts w:hint="eastAsia"/>
                <w:color w:val="auto"/>
                <w:sz w:val="21"/>
              </w:rPr>
              <w:t>1</w:t>
            </w:r>
            <w:r>
              <w:rPr>
                <w:color w:val="auto"/>
                <w:sz w:val="21"/>
              </w:rPr>
              <w:t>#污水站设计处理能力为40</w:t>
            </w:r>
            <w:r>
              <w:rPr>
                <w:rFonts w:hint="eastAsia"/>
                <w:color w:val="auto"/>
                <w:sz w:val="21"/>
              </w:rPr>
              <w:t>8</w:t>
            </w:r>
            <w:r>
              <w:rPr>
                <w:color w:val="auto"/>
                <w:sz w:val="21"/>
              </w:rPr>
              <w:t>m</w:t>
            </w:r>
            <w:r>
              <w:rPr>
                <w:color w:val="auto"/>
                <w:sz w:val="21"/>
                <w:vertAlign w:val="superscript"/>
              </w:rPr>
              <w:t>3</w:t>
            </w:r>
            <w:r>
              <w:rPr>
                <w:color w:val="auto"/>
                <w:sz w:val="21"/>
              </w:rPr>
              <w:t>/d</w:t>
            </w:r>
            <w:r>
              <w:rPr>
                <w:rFonts w:hint="eastAsia"/>
                <w:color w:val="auto"/>
                <w:sz w:val="21"/>
              </w:rPr>
              <w:t>。</w:t>
            </w:r>
          </w:p>
        </w:tc>
        <w:tc>
          <w:tcPr>
            <w:tcW w:w="397" w:type="pct"/>
            <w:vMerge w:val="continue"/>
            <w:tcBorders>
              <w:tl2br w:val="nil"/>
              <w:tr2bl w:val="nil"/>
            </w:tcBorders>
            <w:vAlign w:val="center"/>
          </w:tcPr>
          <w:p w14:paraId="07519E46">
            <w:pPr>
              <w:spacing w:line="240" w:lineRule="auto"/>
              <w:ind w:firstLine="0" w:firstLineChars="0"/>
              <w:jc w:val="center"/>
              <w:rPr>
                <w:color w:val="auto"/>
                <w:sz w:val="21"/>
              </w:rPr>
            </w:pPr>
          </w:p>
        </w:tc>
      </w:tr>
      <w:tr w14:paraId="3093F42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42398FB5">
            <w:pPr>
              <w:spacing w:line="240" w:lineRule="auto"/>
              <w:ind w:firstLine="0" w:firstLineChars="0"/>
              <w:jc w:val="center"/>
              <w:rPr>
                <w:color w:val="auto"/>
                <w:sz w:val="21"/>
              </w:rPr>
            </w:pPr>
          </w:p>
        </w:tc>
        <w:tc>
          <w:tcPr>
            <w:tcW w:w="886" w:type="pct"/>
            <w:tcBorders>
              <w:tl2br w:val="nil"/>
              <w:tr2bl w:val="nil"/>
            </w:tcBorders>
            <w:vAlign w:val="center"/>
          </w:tcPr>
          <w:p w14:paraId="7F6153DB">
            <w:pPr>
              <w:adjustRightInd/>
              <w:snapToGrid/>
              <w:spacing w:line="240" w:lineRule="auto"/>
              <w:ind w:firstLine="0" w:firstLineChars="0"/>
              <w:jc w:val="center"/>
              <w:rPr>
                <w:color w:val="auto"/>
                <w:sz w:val="21"/>
                <w:szCs w:val="21"/>
              </w:rPr>
            </w:pPr>
            <w:r>
              <w:rPr>
                <w:color w:val="auto"/>
                <w:sz w:val="21"/>
                <w:szCs w:val="21"/>
              </w:rPr>
              <w:t>废气处理设施</w:t>
            </w:r>
          </w:p>
        </w:tc>
        <w:tc>
          <w:tcPr>
            <w:tcW w:w="3094" w:type="pct"/>
            <w:tcBorders>
              <w:tl2br w:val="nil"/>
              <w:tr2bl w:val="nil"/>
            </w:tcBorders>
            <w:vAlign w:val="center"/>
          </w:tcPr>
          <w:p w14:paraId="05262C27">
            <w:pPr>
              <w:spacing w:line="240" w:lineRule="auto"/>
              <w:ind w:firstLine="0" w:firstLineChars="0"/>
              <w:jc w:val="center"/>
              <w:rPr>
                <w:color w:val="auto"/>
                <w:sz w:val="21"/>
              </w:rPr>
            </w:pPr>
            <w:r>
              <w:rPr>
                <w:color w:val="auto"/>
                <w:sz w:val="21"/>
              </w:rPr>
              <w:t>2#车间亚硫酸盐生产线废气</w:t>
            </w:r>
            <w:r>
              <w:rPr>
                <w:rFonts w:hint="eastAsia"/>
                <w:color w:val="auto"/>
                <w:sz w:val="21"/>
              </w:rPr>
              <w:t>统一收集后，经</w:t>
            </w:r>
            <w:r>
              <w:rPr>
                <w:color w:val="auto"/>
                <w:sz w:val="21"/>
              </w:rPr>
              <w:t>碱液吸收</w:t>
            </w:r>
            <w:r>
              <w:rPr>
                <w:rFonts w:hint="eastAsia"/>
                <w:color w:val="auto"/>
                <w:sz w:val="21"/>
              </w:rPr>
              <w:t>+</w:t>
            </w:r>
            <w:r>
              <w:rPr>
                <w:color w:val="auto"/>
                <w:sz w:val="21"/>
              </w:rPr>
              <w:t>水喷淋吸收+电除雾进行</w:t>
            </w:r>
            <w:r>
              <w:rPr>
                <w:rFonts w:hint="eastAsia"/>
                <w:color w:val="auto"/>
                <w:sz w:val="21"/>
              </w:rPr>
              <w:t>处理，</w:t>
            </w:r>
            <w:r>
              <w:rPr>
                <w:color w:val="auto"/>
                <w:sz w:val="21"/>
              </w:rPr>
              <w:t>最终</w:t>
            </w:r>
            <w:r>
              <w:rPr>
                <w:rFonts w:hint="eastAsia"/>
                <w:color w:val="auto"/>
                <w:sz w:val="21"/>
              </w:rPr>
              <w:t>由2</w:t>
            </w:r>
            <w:r>
              <w:rPr>
                <w:color w:val="auto"/>
                <w:sz w:val="21"/>
              </w:rPr>
              <w:t>#车间排口</w:t>
            </w:r>
            <w:r>
              <w:rPr>
                <w:rFonts w:hint="eastAsia"/>
                <w:color w:val="auto"/>
                <w:sz w:val="21"/>
              </w:rPr>
              <w:t>DA002</w:t>
            </w:r>
            <w:r>
              <w:rPr>
                <w:color w:val="auto"/>
                <w:sz w:val="21"/>
              </w:rPr>
              <w:t>进行排放</w:t>
            </w:r>
            <w:r>
              <w:rPr>
                <w:rFonts w:hint="eastAsia"/>
                <w:color w:val="auto"/>
                <w:sz w:val="21"/>
              </w:rPr>
              <w:t>；</w:t>
            </w:r>
          </w:p>
          <w:p w14:paraId="74749C75">
            <w:pPr>
              <w:spacing w:line="240" w:lineRule="auto"/>
              <w:ind w:firstLine="0" w:firstLineChars="0"/>
              <w:jc w:val="center"/>
              <w:rPr>
                <w:color w:val="auto"/>
                <w:sz w:val="21"/>
              </w:rPr>
            </w:pPr>
            <w:r>
              <w:rPr>
                <w:color w:val="auto"/>
                <w:sz w:val="21"/>
              </w:rPr>
              <w:t>1#车间内硫代硫酸盐</w:t>
            </w:r>
            <w:r>
              <w:rPr>
                <w:rFonts w:hint="eastAsia"/>
                <w:color w:val="auto"/>
                <w:sz w:val="21"/>
              </w:rPr>
              <w:t>工艺废气氨气统一收集后，经</w:t>
            </w:r>
            <w:r>
              <w:rPr>
                <w:color w:val="auto"/>
                <w:sz w:val="21"/>
              </w:rPr>
              <w:t>水喷淋吸收</w:t>
            </w:r>
            <w:r>
              <w:rPr>
                <w:rFonts w:hint="eastAsia"/>
                <w:color w:val="auto"/>
                <w:sz w:val="21"/>
              </w:rPr>
              <w:t>＋</w:t>
            </w:r>
            <w:r>
              <w:rPr>
                <w:color w:val="auto"/>
                <w:sz w:val="21"/>
              </w:rPr>
              <w:t>三级碱吸收+水喷淋+电除雾进行</w:t>
            </w:r>
            <w:r>
              <w:rPr>
                <w:rFonts w:hint="eastAsia"/>
                <w:color w:val="auto"/>
                <w:sz w:val="21"/>
              </w:rPr>
              <w:t>处理，</w:t>
            </w:r>
            <w:r>
              <w:rPr>
                <w:color w:val="auto"/>
                <w:sz w:val="21"/>
              </w:rPr>
              <w:t>最终</w:t>
            </w:r>
            <w:r>
              <w:rPr>
                <w:rFonts w:hint="eastAsia"/>
                <w:color w:val="auto"/>
                <w:sz w:val="21"/>
              </w:rPr>
              <w:t>由</w:t>
            </w:r>
            <w:r>
              <w:rPr>
                <w:color w:val="auto"/>
                <w:sz w:val="21"/>
              </w:rPr>
              <w:t>3#车间排口</w:t>
            </w:r>
            <w:r>
              <w:rPr>
                <w:rFonts w:hint="eastAsia"/>
                <w:color w:val="auto"/>
                <w:sz w:val="21"/>
              </w:rPr>
              <w:t>DA001</w:t>
            </w:r>
            <w:r>
              <w:rPr>
                <w:color w:val="auto"/>
                <w:sz w:val="21"/>
              </w:rPr>
              <w:t>排放</w:t>
            </w:r>
            <w:r>
              <w:rPr>
                <w:rFonts w:hint="eastAsia"/>
                <w:color w:val="auto"/>
                <w:sz w:val="21"/>
              </w:rPr>
              <w:t>；</w:t>
            </w:r>
          </w:p>
          <w:p w14:paraId="002D478E">
            <w:pPr>
              <w:spacing w:line="240" w:lineRule="auto"/>
              <w:ind w:firstLine="0" w:firstLineChars="0"/>
              <w:jc w:val="center"/>
              <w:rPr>
                <w:color w:val="auto"/>
                <w:sz w:val="21"/>
              </w:rPr>
            </w:pPr>
            <w:r>
              <w:rPr>
                <w:color w:val="auto"/>
                <w:sz w:val="21"/>
              </w:rPr>
              <w:t>1#车间内硫代硫酸镁</w:t>
            </w:r>
            <w:r>
              <w:rPr>
                <w:rFonts w:hint="eastAsia"/>
                <w:color w:val="auto"/>
                <w:sz w:val="21"/>
              </w:rPr>
              <w:t>产线工艺</w:t>
            </w:r>
            <w:r>
              <w:rPr>
                <w:color w:val="auto"/>
                <w:sz w:val="21"/>
              </w:rPr>
              <w:t>废气</w:t>
            </w:r>
            <w:r>
              <w:rPr>
                <w:rFonts w:hint="eastAsia"/>
                <w:color w:val="auto"/>
                <w:sz w:val="21"/>
              </w:rPr>
              <w:t>二氧化硫统一收集后，经水喷淋吸收+电除雾进行处理，最终由2#车间排口DA002排放；</w:t>
            </w:r>
          </w:p>
          <w:p w14:paraId="6587EC01">
            <w:pPr>
              <w:spacing w:line="240" w:lineRule="auto"/>
              <w:ind w:firstLine="0" w:firstLineChars="0"/>
              <w:jc w:val="center"/>
              <w:rPr>
                <w:color w:val="auto"/>
              </w:rPr>
            </w:pPr>
            <w:r>
              <w:rPr>
                <w:rFonts w:hint="eastAsia"/>
                <w:color w:val="auto"/>
                <w:sz w:val="21"/>
              </w:rPr>
              <w:t>危废暂存间废气经两级水喷淋处理后，最终由DA007排气筒排放。</w:t>
            </w:r>
          </w:p>
        </w:tc>
        <w:tc>
          <w:tcPr>
            <w:tcW w:w="397" w:type="pct"/>
            <w:vMerge w:val="continue"/>
            <w:tcBorders>
              <w:tl2br w:val="nil"/>
              <w:tr2bl w:val="nil"/>
            </w:tcBorders>
            <w:vAlign w:val="center"/>
          </w:tcPr>
          <w:p w14:paraId="0BFF195B">
            <w:pPr>
              <w:spacing w:line="240" w:lineRule="auto"/>
              <w:ind w:firstLine="0" w:firstLineChars="0"/>
              <w:jc w:val="center"/>
              <w:rPr>
                <w:color w:val="auto"/>
                <w:sz w:val="21"/>
              </w:rPr>
            </w:pPr>
          </w:p>
        </w:tc>
      </w:tr>
      <w:tr w14:paraId="2C5CABE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20988611">
            <w:pPr>
              <w:spacing w:line="240" w:lineRule="auto"/>
              <w:ind w:firstLine="0" w:firstLineChars="0"/>
              <w:jc w:val="center"/>
              <w:rPr>
                <w:color w:val="auto"/>
                <w:sz w:val="21"/>
              </w:rPr>
            </w:pPr>
          </w:p>
        </w:tc>
        <w:tc>
          <w:tcPr>
            <w:tcW w:w="886" w:type="pct"/>
            <w:tcBorders>
              <w:tl2br w:val="nil"/>
              <w:tr2bl w:val="nil"/>
            </w:tcBorders>
            <w:vAlign w:val="center"/>
          </w:tcPr>
          <w:p w14:paraId="6938CF1A">
            <w:pPr>
              <w:adjustRightInd/>
              <w:snapToGrid/>
              <w:spacing w:line="240" w:lineRule="auto"/>
              <w:ind w:firstLine="0" w:firstLineChars="0"/>
              <w:jc w:val="center"/>
              <w:rPr>
                <w:color w:val="auto"/>
                <w:sz w:val="21"/>
                <w:szCs w:val="21"/>
              </w:rPr>
            </w:pPr>
            <w:r>
              <w:rPr>
                <w:color w:val="auto"/>
                <w:sz w:val="21"/>
                <w:szCs w:val="21"/>
              </w:rPr>
              <w:t>危废</w:t>
            </w:r>
            <w:r>
              <w:rPr>
                <w:rFonts w:hint="eastAsia"/>
                <w:color w:val="auto"/>
                <w:sz w:val="21"/>
                <w:szCs w:val="21"/>
              </w:rPr>
              <w:t>暂存间</w:t>
            </w:r>
          </w:p>
        </w:tc>
        <w:tc>
          <w:tcPr>
            <w:tcW w:w="3094" w:type="pct"/>
            <w:tcBorders>
              <w:tl2br w:val="nil"/>
              <w:tr2bl w:val="nil"/>
            </w:tcBorders>
            <w:vAlign w:val="center"/>
          </w:tcPr>
          <w:p w14:paraId="3F44CE4C">
            <w:pPr>
              <w:spacing w:line="240" w:lineRule="auto"/>
              <w:ind w:firstLine="0" w:firstLineChars="0"/>
              <w:jc w:val="center"/>
              <w:rPr>
                <w:color w:val="auto"/>
                <w:sz w:val="21"/>
              </w:rPr>
            </w:pPr>
            <w:r>
              <w:rPr>
                <w:color w:val="auto"/>
                <w:sz w:val="21"/>
              </w:rPr>
              <w:t>110m</w:t>
            </w:r>
            <w:r>
              <w:rPr>
                <w:color w:val="auto"/>
                <w:sz w:val="21"/>
                <w:vertAlign w:val="superscript"/>
              </w:rPr>
              <w:t>2</w:t>
            </w:r>
          </w:p>
        </w:tc>
        <w:tc>
          <w:tcPr>
            <w:tcW w:w="397" w:type="pct"/>
            <w:vMerge w:val="continue"/>
            <w:tcBorders>
              <w:tl2br w:val="nil"/>
              <w:tr2bl w:val="nil"/>
            </w:tcBorders>
            <w:vAlign w:val="center"/>
          </w:tcPr>
          <w:p w14:paraId="5E422265">
            <w:pPr>
              <w:spacing w:line="240" w:lineRule="auto"/>
              <w:ind w:firstLine="0" w:firstLineChars="0"/>
              <w:jc w:val="center"/>
              <w:rPr>
                <w:color w:val="auto"/>
                <w:sz w:val="21"/>
              </w:rPr>
            </w:pPr>
          </w:p>
        </w:tc>
      </w:tr>
      <w:tr w14:paraId="230E70A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1" w:type="pct"/>
            <w:vMerge w:val="continue"/>
            <w:tcBorders>
              <w:tl2br w:val="nil"/>
              <w:tr2bl w:val="nil"/>
            </w:tcBorders>
            <w:vAlign w:val="center"/>
          </w:tcPr>
          <w:p w14:paraId="7F16ACBB">
            <w:pPr>
              <w:spacing w:line="240" w:lineRule="auto"/>
              <w:ind w:firstLine="0" w:firstLineChars="0"/>
              <w:jc w:val="center"/>
              <w:rPr>
                <w:color w:val="auto"/>
                <w:sz w:val="21"/>
              </w:rPr>
            </w:pPr>
          </w:p>
        </w:tc>
        <w:tc>
          <w:tcPr>
            <w:tcW w:w="886" w:type="pct"/>
            <w:tcBorders>
              <w:tl2br w:val="nil"/>
              <w:tr2bl w:val="nil"/>
            </w:tcBorders>
            <w:vAlign w:val="center"/>
          </w:tcPr>
          <w:p w14:paraId="6C2CFFD9">
            <w:pPr>
              <w:adjustRightInd/>
              <w:snapToGrid/>
              <w:spacing w:line="240" w:lineRule="auto"/>
              <w:ind w:firstLine="0" w:firstLineChars="0"/>
              <w:jc w:val="center"/>
              <w:rPr>
                <w:color w:val="auto"/>
                <w:sz w:val="21"/>
                <w:szCs w:val="21"/>
              </w:rPr>
            </w:pPr>
            <w:r>
              <w:rPr>
                <w:color w:val="auto"/>
                <w:sz w:val="21"/>
                <w:szCs w:val="21"/>
              </w:rPr>
              <w:t>初期雨水池</w:t>
            </w:r>
          </w:p>
        </w:tc>
        <w:tc>
          <w:tcPr>
            <w:tcW w:w="3094" w:type="pct"/>
            <w:tcBorders>
              <w:tl2br w:val="nil"/>
              <w:tr2bl w:val="nil"/>
            </w:tcBorders>
            <w:vAlign w:val="center"/>
          </w:tcPr>
          <w:p w14:paraId="783A7A26">
            <w:pPr>
              <w:spacing w:line="240" w:lineRule="auto"/>
              <w:ind w:firstLine="0" w:firstLineChars="0"/>
              <w:jc w:val="center"/>
              <w:rPr>
                <w:color w:val="auto"/>
                <w:sz w:val="21"/>
              </w:rPr>
            </w:pPr>
            <w:r>
              <w:rPr>
                <w:rFonts w:hint="eastAsia"/>
                <w:color w:val="auto"/>
                <w:sz w:val="21"/>
              </w:rPr>
              <w:t>350m</w:t>
            </w:r>
            <w:r>
              <w:rPr>
                <w:rFonts w:hint="eastAsia"/>
                <w:color w:val="auto"/>
                <w:sz w:val="21"/>
                <w:vertAlign w:val="superscript"/>
              </w:rPr>
              <w:t>3</w:t>
            </w:r>
          </w:p>
        </w:tc>
        <w:tc>
          <w:tcPr>
            <w:tcW w:w="397" w:type="pct"/>
            <w:vMerge w:val="continue"/>
            <w:tcBorders>
              <w:tl2br w:val="nil"/>
              <w:tr2bl w:val="nil"/>
            </w:tcBorders>
            <w:vAlign w:val="center"/>
          </w:tcPr>
          <w:p w14:paraId="6A3857C7">
            <w:pPr>
              <w:spacing w:line="240" w:lineRule="auto"/>
              <w:ind w:firstLine="0" w:firstLineChars="0"/>
              <w:jc w:val="center"/>
              <w:rPr>
                <w:color w:val="auto"/>
                <w:sz w:val="21"/>
              </w:rPr>
            </w:pPr>
          </w:p>
        </w:tc>
      </w:tr>
      <w:tr w14:paraId="3EE24F1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c>
          <w:tcPr>
            <w:tcW w:w="621" w:type="pct"/>
            <w:vMerge w:val="continue"/>
            <w:tcBorders>
              <w:tl2br w:val="nil"/>
              <w:tr2bl w:val="nil"/>
            </w:tcBorders>
            <w:vAlign w:val="center"/>
          </w:tcPr>
          <w:p w14:paraId="33266AFF">
            <w:pPr>
              <w:spacing w:line="240" w:lineRule="auto"/>
              <w:ind w:firstLine="0" w:firstLineChars="0"/>
              <w:jc w:val="center"/>
              <w:rPr>
                <w:color w:val="auto"/>
                <w:sz w:val="21"/>
              </w:rPr>
            </w:pPr>
          </w:p>
        </w:tc>
        <w:tc>
          <w:tcPr>
            <w:tcW w:w="886" w:type="pct"/>
            <w:tcBorders>
              <w:tl2br w:val="nil"/>
              <w:tr2bl w:val="nil"/>
            </w:tcBorders>
            <w:vAlign w:val="center"/>
          </w:tcPr>
          <w:p w14:paraId="1357C06A">
            <w:pPr>
              <w:adjustRightInd/>
              <w:snapToGrid/>
              <w:spacing w:line="240" w:lineRule="auto"/>
              <w:ind w:firstLine="0" w:firstLineChars="0"/>
              <w:jc w:val="center"/>
              <w:rPr>
                <w:color w:val="auto"/>
                <w:sz w:val="21"/>
                <w:szCs w:val="21"/>
              </w:rPr>
            </w:pPr>
            <w:r>
              <w:rPr>
                <w:color w:val="auto"/>
                <w:sz w:val="21"/>
                <w:szCs w:val="21"/>
              </w:rPr>
              <w:t>事故应急池</w:t>
            </w:r>
          </w:p>
        </w:tc>
        <w:tc>
          <w:tcPr>
            <w:tcW w:w="3094" w:type="pct"/>
            <w:tcBorders>
              <w:tl2br w:val="nil"/>
              <w:tr2bl w:val="nil"/>
            </w:tcBorders>
            <w:vAlign w:val="center"/>
          </w:tcPr>
          <w:p w14:paraId="1E20846E">
            <w:pPr>
              <w:spacing w:line="240" w:lineRule="auto"/>
              <w:ind w:firstLine="0" w:firstLineChars="0"/>
              <w:jc w:val="center"/>
              <w:rPr>
                <w:color w:val="auto"/>
                <w:sz w:val="21"/>
              </w:rPr>
            </w:pPr>
            <w:r>
              <w:rPr>
                <w:rFonts w:hint="eastAsia"/>
                <w:color w:val="auto"/>
                <w:sz w:val="21"/>
              </w:rPr>
              <w:t>770m</w:t>
            </w:r>
            <w:r>
              <w:rPr>
                <w:rFonts w:hint="eastAsia"/>
                <w:color w:val="auto"/>
                <w:sz w:val="21"/>
                <w:vertAlign w:val="superscript"/>
              </w:rPr>
              <w:t>3</w:t>
            </w:r>
          </w:p>
        </w:tc>
        <w:tc>
          <w:tcPr>
            <w:tcW w:w="397" w:type="pct"/>
            <w:vMerge w:val="continue"/>
            <w:tcBorders>
              <w:tl2br w:val="nil"/>
              <w:tr2bl w:val="nil"/>
            </w:tcBorders>
            <w:vAlign w:val="center"/>
          </w:tcPr>
          <w:p w14:paraId="0FD798DA">
            <w:pPr>
              <w:spacing w:line="240" w:lineRule="auto"/>
              <w:ind w:firstLine="0" w:firstLineChars="0"/>
              <w:jc w:val="center"/>
              <w:rPr>
                <w:color w:val="auto"/>
                <w:sz w:val="21"/>
              </w:rPr>
            </w:pPr>
          </w:p>
        </w:tc>
      </w:tr>
    </w:tbl>
    <w:p w14:paraId="00C8499C">
      <w:pPr>
        <w:spacing w:line="460" w:lineRule="exact"/>
        <w:ind w:firstLine="482"/>
        <w:rPr>
          <w:b/>
          <w:bCs/>
          <w:color w:val="auto"/>
        </w:rPr>
      </w:pPr>
      <w:r>
        <w:rPr>
          <w:rFonts w:hint="eastAsia"/>
          <w:b/>
          <w:bCs/>
          <w:color w:val="auto"/>
        </w:rPr>
        <w:t>1、给水</w:t>
      </w:r>
    </w:p>
    <w:p w14:paraId="4AD64350">
      <w:pPr>
        <w:spacing w:line="460" w:lineRule="exact"/>
        <w:ind w:firstLine="480"/>
        <w:rPr>
          <w:color w:val="auto"/>
        </w:rPr>
      </w:pPr>
      <w:r>
        <w:rPr>
          <w:color w:val="auto"/>
        </w:rPr>
        <w:t>拟建项目厂区供水系统分为：生产用水系统、循环冷却水系统</w:t>
      </w:r>
      <w:r>
        <w:rPr>
          <w:rFonts w:hint="eastAsia"/>
          <w:color w:val="auto"/>
        </w:rPr>
        <w:t>、</w:t>
      </w:r>
      <w:r>
        <w:rPr>
          <w:color w:val="auto"/>
        </w:rPr>
        <w:t>生活水系统、消防用水系统。</w:t>
      </w:r>
    </w:p>
    <w:p w14:paraId="590102A0">
      <w:pPr>
        <w:spacing w:line="460" w:lineRule="exact"/>
        <w:ind w:firstLine="480"/>
        <w:rPr>
          <w:color w:val="auto"/>
        </w:rPr>
      </w:pPr>
      <w:r>
        <w:rPr>
          <w:rFonts w:hint="eastAsia"/>
          <w:color w:val="auto"/>
        </w:rPr>
        <w:t>（1）</w:t>
      </w:r>
      <w:r>
        <w:rPr>
          <w:color w:val="auto"/>
        </w:rPr>
        <w:t>生产用水系统</w:t>
      </w:r>
    </w:p>
    <w:p w14:paraId="7F7DCD24">
      <w:pPr>
        <w:spacing w:line="460" w:lineRule="exact"/>
        <w:ind w:firstLine="480"/>
        <w:rPr>
          <w:color w:val="auto"/>
        </w:rPr>
      </w:pPr>
      <w:r>
        <w:rPr>
          <w:rFonts w:hint="eastAsia"/>
          <w:color w:val="auto"/>
        </w:rPr>
        <w:t>拟建项目生产用水主要为装置区的工艺用水及冲洗等用水，取自地下水和地表水，取水能力分别为10万m</w:t>
      </w:r>
      <w:r>
        <w:rPr>
          <w:rFonts w:hint="eastAsia"/>
          <w:color w:val="auto"/>
          <w:vertAlign w:val="superscript"/>
        </w:rPr>
        <w:t>3</w:t>
      </w:r>
      <w:r>
        <w:rPr>
          <w:rFonts w:hint="eastAsia"/>
          <w:color w:val="auto"/>
        </w:rPr>
        <w:t>/a、30万m</w:t>
      </w:r>
      <w:r>
        <w:rPr>
          <w:rFonts w:hint="eastAsia"/>
          <w:color w:val="auto"/>
          <w:vertAlign w:val="superscript"/>
        </w:rPr>
        <w:t>3</w:t>
      </w:r>
      <w:r>
        <w:rPr>
          <w:rFonts w:hint="eastAsia"/>
          <w:color w:val="auto"/>
        </w:rPr>
        <w:t>/a，已获得取水许可证（取水证号：20160046769），供水能力可满足拟建项目生产装置用水要求。</w:t>
      </w:r>
    </w:p>
    <w:p w14:paraId="3518F774">
      <w:pPr>
        <w:spacing w:line="460" w:lineRule="exact"/>
        <w:ind w:firstLine="480"/>
        <w:rPr>
          <w:color w:val="auto"/>
        </w:rPr>
      </w:pPr>
      <w:r>
        <w:rPr>
          <w:rFonts w:hint="eastAsia"/>
          <w:color w:val="auto"/>
        </w:rPr>
        <w:t>①设备清洗用水</w:t>
      </w:r>
    </w:p>
    <w:p w14:paraId="6DE78B6A">
      <w:pPr>
        <w:spacing w:line="460" w:lineRule="exact"/>
        <w:ind w:firstLine="480"/>
        <w:rPr>
          <w:color w:val="auto"/>
        </w:rPr>
      </w:pPr>
      <w:r>
        <w:rPr>
          <w:rFonts w:hint="eastAsia"/>
          <w:color w:val="auto"/>
        </w:rPr>
        <w:t>根据企业提供的资料，拟建项目每个月对生产使用的反应釜、结晶釜、浓缩釜、离心机等设备进行清洗。</w:t>
      </w:r>
    </w:p>
    <w:p w14:paraId="2ED1F492">
      <w:pPr>
        <w:spacing w:line="460" w:lineRule="exact"/>
        <w:ind w:firstLine="480"/>
        <w:rPr>
          <w:color w:val="auto"/>
        </w:rPr>
      </w:pPr>
      <w:r>
        <w:rPr>
          <w:rFonts w:hint="eastAsia"/>
          <w:color w:val="auto"/>
        </w:rPr>
        <w:t>（2）循环冷却水系统</w:t>
      </w:r>
    </w:p>
    <w:p w14:paraId="1A6C0807">
      <w:pPr>
        <w:spacing w:line="460" w:lineRule="exact"/>
        <w:ind w:firstLine="480"/>
        <w:rPr>
          <w:color w:val="auto"/>
        </w:rPr>
      </w:pPr>
      <w:r>
        <w:rPr>
          <w:rFonts w:hint="eastAsia"/>
          <w:color w:val="auto"/>
        </w:rPr>
        <w:t>拟建</w:t>
      </w:r>
      <w:r>
        <w:rPr>
          <w:color w:val="auto"/>
        </w:rPr>
        <w:t>项目依托现有循环冷却系统，循环水需求量约</w:t>
      </w:r>
      <w:r>
        <w:rPr>
          <w:rFonts w:hint="eastAsia"/>
          <w:color w:val="auto"/>
        </w:rPr>
        <w:t>120万</w:t>
      </w:r>
      <w:r>
        <w:rPr>
          <w:color w:val="auto"/>
        </w:rPr>
        <w:t>m</w:t>
      </w:r>
      <w:r>
        <w:rPr>
          <w:color w:val="auto"/>
          <w:vertAlign w:val="superscript"/>
        </w:rPr>
        <w:t>3</w:t>
      </w:r>
      <w:r>
        <w:rPr>
          <w:color w:val="auto"/>
        </w:rPr>
        <w:t>/</w:t>
      </w:r>
      <w:r>
        <w:rPr>
          <w:rFonts w:hint="eastAsia"/>
          <w:color w:val="auto"/>
        </w:rPr>
        <w:t>a</w:t>
      </w:r>
      <w:r>
        <w:rPr>
          <w:color w:val="auto"/>
        </w:rPr>
        <w:t>，主要用于生产线冷却降温，循环冷却系统所需蒸汽冷凝水量为</w:t>
      </w:r>
      <w:r>
        <w:rPr>
          <w:rFonts w:hint="eastAsia"/>
          <w:color w:val="auto"/>
        </w:rPr>
        <w:t>3500t/a</w:t>
      </w:r>
      <w:r>
        <w:rPr>
          <w:color w:val="auto"/>
        </w:rPr>
        <w:t>。</w:t>
      </w:r>
    </w:p>
    <w:p w14:paraId="6F5389A3">
      <w:pPr>
        <w:spacing w:line="460" w:lineRule="exact"/>
        <w:ind w:firstLine="480"/>
        <w:rPr>
          <w:color w:val="auto"/>
        </w:rPr>
      </w:pPr>
      <w:r>
        <w:rPr>
          <w:color w:val="auto"/>
        </w:rPr>
        <w:t>（3）消防水系统</w:t>
      </w:r>
    </w:p>
    <w:p w14:paraId="5898C836">
      <w:pPr>
        <w:spacing w:line="460" w:lineRule="exact"/>
        <w:ind w:firstLine="480"/>
        <w:rPr>
          <w:color w:val="auto"/>
        </w:rPr>
      </w:pPr>
      <w:r>
        <w:rPr>
          <w:color w:val="auto"/>
        </w:rPr>
        <w:t>消防水取自北新河，管径为DN300，水量水压均能满足生产及建筑物消防要求</w:t>
      </w:r>
      <w:r>
        <w:rPr>
          <w:rFonts w:hint="eastAsia"/>
          <w:color w:val="auto"/>
        </w:rPr>
        <w:t>。</w:t>
      </w:r>
    </w:p>
    <w:p w14:paraId="0F30C3A6">
      <w:pPr>
        <w:spacing w:line="460" w:lineRule="exact"/>
        <w:ind w:firstLine="480"/>
        <w:rPr>
          <w:color w:val="auto"/>
        </w:rPr>
      </w:pPr>
      <w:r>
        <w:rPr>
          <w:rFonts w:hint="eastAsia"/>
          <w:color w:val="auto"/>
        </w:rPr>
        <w:t>（4）生活用水</w:t>
      </w:r>
    </w:p>
    <w:p w14:paraId="54CECD36">
      <w:pPr>
        <w:spacing w:line="460" w:lineRule="exact"/>
        <w:ind w:firstLine="480"/>
        <w:rPr>
          <w:color w:val="auto"/>
        </w:rPr>
      </w:pPr>
      <w:r>
        <w:rPr>
          <w:color w:val="auto"/>
        </w:rPr>
        <w:t>生活用水来自地下水，用水量为</w:t>
      </w:r>
      <w:r>
        <w:rPr>
          <w:rFonts w:hint="eastAsia"/>
          <w:color w:val="auto"/>
        </w:rPr>
        <w:t>360</w:t>
      </w:r>
      <w:r>
        <w:rPr>
          <w:color w:val="auto"/>
        </w:rPr>
        <w:t>m</w:t>
      </w:r>
      <w:r>
        <w:rPr>
          <w:color w:val="auto"/>
          <w:vertAlign w:val="superscript"/>
        </w:rPr>
        <w:t>3</w:t>
      </w:r>
      <w:r>
        <w:rPr>
          <w:color w:val="auto"/>
        </w:rPr>
        <w:t>/a。</w:t>
      </w:r>
      <w:r>
        <w:rPr>
          <w:rFonts w:hint="eastAsia"/>
          <w:color w:val="auto"/>
        </w:rPr>
        <w:t>拟建</w:t>
      </w:r>
      <w:r>
        <w:rPr>
          <w:color w:val="auto"/>
        </w:rPr>
        <w:t>项目</w:t>
      </w:r>
      <w:r>
        <w:rPr>
          <w:rFonts w:hint="eastAsia"/>
          <w:color w:val="auto"/>
        </w:rPr>
        <w:t>不新增职工，依托现有</w:t>
      </w:r>
      <w:r>
        <w:rPr>
          <w:color w:val="auto"/>
        </w:rPr>
        <w:t>职工</w:t>
      </w:r>
      <w:r>
        <w:rPr>
          <w:rFonts w:hint="eastAsia"/>
          <w:color w:val="auto"/>
        </w:rPr>
        <w:t>10</w:t>
      </w:r>
      <w:r>
        <w:rPr>
          <w:color w:val="auto"/>
        </w:rPr>
        <w:t>人，采用四班三倒制，每班工作</w:t>
      </w:r>
      <w:r>
        <w:rPr>
          <w:rFonts w:hint="eastAsia"/>
          <w:color w:val="auto"/>
        </w:rPr>
        <w:t>6</w:t>
      </w:r>
      <w:r>
        <w:rPr>
          <w:color w:val="auto"/>
        </w:rPr>
        <w:t>小时，年工作日300天。</w:t>
      </w:r>
      <w:r>
        <w:rPr>
          <w:rFonts w:hint="eastAsia"/>
          <w:color w:val="auto"/>
        </w:rPr>
        <w:t>拟建</w:t>
      </w:r>
      <w:r>
        <w:rPr>
          <w:color w:val="auto"/>
        </w:rPr>
        <w:t>生活用水量按120L/人天计算(含洗衣用水)，则生活用水量为</w:t>
      </w:r>
      <w:r>
        <w:rPr>
          <w:rFonts w:hint="eastAsia"/>
          <w:color w:val="auto"/>
        </w:rPr>
        <w:t>360</w:t>
      </w:r>
      <w:r>
        <w:rPr>
          <w:color w:val="auto"/>
        </w:rPr>
        <w:t>m</w:t>
      </w:r>
      <w:r>
        <w:rPr>
          <w:color w:val="auto"/>
          <w:vertAlign w:val="superscript"/>
        </w:rPr>
        <w:t>3</w:t>
      </w:r>
      <w:r>
        <w:rPr>
          <w:color w:val="auto"/>
        </w:rPr>
        <w:t>/a。</w:t>
      </w:r>
    </w:p>
    <w:p w14:paraId="76AF1320">
      <w:pPr>
        <w:spacing w:line="460" w:lineRule="exact"/>
        <w:ind w:firstLine="482"/>
        <w:rPr>
          <w:b/>
          <w:bCs/>
          <w:color w:val="auto"/>
        </w:rPr>
      </w:pPr>
      <w:r>
        <w:rPr>
          <w:rFonts w:hint="eastAsia"/>
          <w:b/>
          <w:bCs/>
          <w:color w:val="auto"/>
        </w:rPr>
        <w:t>2、排水</w:t>
      </w:r>
    </w:p>
    <w:p w14:paraId="0BB4E6BF">
      <w:pPr>
        <w:spacing w:line="460" w:lineRule="exact"/>
        <w:ind w:firstLine="480"/>
        <w:rPr>
          <w:color w:val="auto"/>
        </w:rPr>
      </w:pPr>
      <w:r>
        <w:rPr>
          <w:color w:val="auto"/>
        </w:rPr>
        <w:t>亚太药业根据废水污染物特点分质收集，分类处理，全厂实行“清污分流、雨污分流”的排水体制</w:t>
      </w:r>
      <w:r>
        <w:rPr>
          <w:rFonts w:hint="eastAsia"/>
          <w:color w:val="auto"/>
        </w:rPr>
        <w:t>。拟建项目新增的实验室废水、空压机废水经厂区1#污水站的调节池+臭氧氧化单元预处理，纯水制备浓水与循环冷却系统排水进入厂区1#污水处理站集污池后，与实验室废水、空压机废水汇集，满足园区污水处理厂联合环境水务（启东）有限公司接管标准后，接管至该污水厂处理，最终排入长江。</w:t>
      </w:r>
    </w:p>
    <w:p w14:paraId="15395CC5">
      <w:pPr>
        <w:spacing w:line="460" w:lineRule="exact"/>
        <w:ind w:firstLine="480"/>
        <w:rPr>
          <w:color w:val="auto"/>
        </w:rPr>
      </w:pPr>
      <w:r>
        <w:rPr>
          <w:color w:val="auto"/>
        </w:rPr>
        <w:t>厂区道路排雨水、建筑物屋顶排雨水，进入</w:t>
      </w:r>
      <w:r>
        <w:rPr>
          <w:rFonts w:hint="eastAsia"/>
          <w:color w:val="auto"/>
        </w:rPr>
        <w:t>厂区雨水管网，接入2#污水处理站进行预处理后，接管至联合环境水务（启东）有限公司处理，最终排入长江。</w:t>
      </w:r>
    </w:p>
    <w:p w14:paraId="4EC4D15D">
      <w:pPr>
        <w:spacing w:line="460" w:lineRule="exact"/>
        <w:ind w:firstLine="482"/>
        <w:rPr>
          <w:b/>
          <w:bCs/>
          <w:color w:val="auto"/>
        </w:rPr>
      </w:pPr>
      <w:r>
        <w:rPr>
          <w:rFonts w:hint="eastAsia"/>
          <w:b/>
          <w:bCs/>
          <w:color w:val="auto"/>
        </w:rPr>
        <w:t>3、供电</w:t>
      </w:r>
    </w:p>
    <w:p w14:paraId="1BB1E1A2">
      <w:pPr>
        <w:spacing w:line="460" w:lineRule="exact"/>
        <w:ind w:firstLine="480"/>
        <w:rPr>
          <w:color w:val="auto"/>
        </w:rPr>
      </w:pPr>
      <w:r>
        <w:rPr>
          <w:color w:val="auto"/>
        </w:rPr>
        <w:t>公司配电间位于厂区中部北侧，公司供电电源为工业园区供电所供给，工艺要求供电电压为380/220V。企业现有630KVA的生产变压器3台，250KVA变压器1台，1000KVA变压器1台，2000KVA变压器1台，引自川洪变，以上变压器负荷合计5140KVA，目前公司现有项目只使用2000KVA左右，本项目</w:t>
      </w:r>
      <w:r>
        <w:rPr>
          <w:rFonts w:hint="eastAsia"/>
          <w:color w:val="auto"/>
        </w:rPr>
        <w:t>年用电总量约150</w:t>
      </w:r>
      <w:r>
        <w:rPr>
          <w:color w:val="auto"/>
        </w:rPr>
        <w:t>万kWh。公司现有供电能力可满足项目用电需求。</w:t>
      </w:r>
    </w:p>
    <w:p w14:paraId="1487B22F">
      <w:pPr>
        <w:spacing w:line="460" w:lineRule="exact"/>
        <w:ind w:firstLine="482"/>
        <w:rPr>
          <w:b/>
          <w:bCs/>
          <w:color w:val="auto"/>
        </w:rPr>
      </w:pPr>
      <w:r>
        <w:rPr>
          <w:rFonts w:hint="eastAsia"/>
          <w:b/>
          <w:bCs/>
          <w:color w:val="auto"/>
        </w:rPr>
        <w:t>4、供热</w:t>
      </w:r>
    </w:p>
    <w:p w14:paraId="06DE5942">
      <w:pPr>
        <w:spacing w:line="460" w:lineRule="exact"/>
        <w:ind w:firstLine="480"/>
        <w:rPr>
          <w:color w:val="auto"/>
        </w:rPr>
      </w:pPr>
      <w:r>
        <w:rPr>
          <w:rFonts w:hint="eastAsia"/>
          <w:color w:val="auto"/>
        </w:rPr>
        <w:t>企业</w:t>
      </w:r>
      <w:r>
        <w:rPr>
          <w:color w:val="auto"/>
        </w:rPr>
        <w:t>生产用蒸汽主要来自于本公司亚铵车间余热回收装置（蒸汽发生器），蒸汽产生量约4t/h，蒸汽压力1.0MPa，目前尚有6600吨/年余量未发挥；当系统产蒸汽不足时，打开园区集中供热系统，园区蒸汽由国信热电公司提供，该热电厂目前建设有3台75t/h高温高压循环流化床锅炉、2台8.5MW背压式汽轮发电机组，可满足园区供汽需求</w:t>
      </w:r>
      <w:r>
        <w:rPr>
          <w:rFonts w:hint="eastAsia"/>
          <w:color w:val="auto"/>
        </w:rPr>
        <w:t>，</w:t>
      </w:r>
      <w:r>
        <w:rPr>
          <w:color w:val="auto"/>
        </w:rPr>
        <w:t>拟建项目拟使用蒸汽5000t/a</w:t>
      </w:r>
      <w:r>
        <w:rPr>
          <w:rFonts w:hint="eastAsia"/>
          <w:color w:val="auto"/>
        </w:rPr>
        <w:t>，可满足项目需求</w:t>
      </w:r>
      <w:r>
        <w:rPr>
          <w:color w:val="auto"/>
        </w:rPr>
        <w:t>。</w:t>
      </w:r>
    </w:p>
    <w:p w14:paraId="6BC30A6F">
      <w:pPr>
        <w:spacing w:line="460" w:lineRule="exact"/>
        <w:ind w:firstLine="482"/>
        <w:rPr>
          <w:b/>
          <w:bCs/>
          <w:color w:val="auto"/>
        </w:rPr>
      </w:pPr>
      <w:r>
        <w:rPr>
          <w:rFonts w:hint="eastAsia"/>
          <w:b/>
          <w:bCs/>
          <w:color w:val="auto"/>
        </w:rPr>
        <w:t>5、供冷</w:t>
      </w:r>
    </w:p>
    <w:p w14:paraId="054DA79F">
      <w:pPr>
        <w:spacing w:line="460" w:lineRule="exact"/>
        <w:ind w:firstLine="480"/>
        <w:rPr>
          <w:color w:val="auto"/>
        </w:rPr>
      </w:pPr>
      <w:r>
        <w:rPr>
          <w:color w:val="auto"/>
        </w:rPr>
        <w:t>公司设置有冷冻机房，位于厂区中部（3#车间东侧），冷冻机房内设有螺杆式冷冻机组（氨制冷）3台，2台55万大卡/小时、1台38万大卡/小时。冷冻机组依托配套BMF-3000型薄膜蒸发器，其循环量为204m</w:t>
      </w:r>
      <w:r>
        <w:rPr>
          <w:color w:val="auto"/>
          <w:vertAlign w:val="superscript"/>
        </w:rPr>
        <w:t>3</w:t>
      </w:r>
      <w:r>
        <w:rPr>
          <w:color w:val="auto"/>
        </w:rPr>
        <w:t>/h。现有项目用冷量约80万大卡/小时，尚有68万大卡/小时余量，</w:t>
      </w:r>
      <w:r>
        <w:rPr>
          <w:rFonts w:hint="eastAsia"/>
          <w:color w:val="auto"/>
        </w:rPr>
        <w:t>拟建</w:t>
      </w:r>
      <w:r>
        <w:rPr>
          <w:color w:val="auto"/>
        </w:rPr>
        <w:t>亚硫酸钾/铵/钠固体生产过程需要约15万大卡/小时的用量，故现在设施满足</w:t>
      </w:r>
      <w:r>
        <w:rPr>
          <w:rFonts w:hint="eastAsia"/>
          <w:color w:val="auto"/>
        </w:rPr>
        <w:t>拟建</w:t>
      </w:r>
      <w:r>
        <w:rPr>
          <w:color w:val="auto"/>
        </w:rPr>
        <w:t>需求。</w:t>
      </w:r>
    </w:p>
    <w:p w14:paraId="53D9FB01">
      <w:pPr>
        <w:spacing w:line="460" w:lineRule="exact"/>
        <w:ind w:firstLine="482"/>
        <w:rPr>
          <w:b/>
          <w:bCs/>
          <w:color w:val="auto"/>
        </w:rPr>
      </w:pPr>
      <w:r>
        <w:rPr>
          <w:b/>
          <w:bCs/>
          <w:color w:val="auto"/>
        </w:rPr>
        <w:t>6、空压、氮气供应</w:t>
      </w:r>
    </w:p>
    <w:p w14:paraId="2DA98A43">
      <w:pPr>
        <w:spacing w:line="460" w:lineRule="exact"/>
        <w:ind w:firstLine="480"/>
        <w:rPr>
          <w:color w:val="auto"/>
        </w:rPr>
      </w:pPr>
      <w:r>
        <w:rPr>
          <w:color w:val="auto"/>
        </w:rPr>
        <w:t>亚太药业现有项目所用压缩空气和仪表空气由2台螺杆式空气压缩机供应；空压机型号分别为：DHH-6.0，DM-60A，供气能力为8Nm</w:t>
      </w:r>
      <w:r>
        <w:rPr>
          <w:rFonts w:hint="eastAsia"/>
          <w:color w:val="auto"/>
          <w:vertAlign w:val="superscript"/>
        </w:rPr>
        <w:t>3</w:t>
      </w:r>
      <w:r>
        <w:rPr>
          <w:color w:val="auto"/>
        </w:rPr>
        <w:t>/min，配有1台V=3m</w:t>
      </w:r>
      <w:r>
        <w:rPr>
          <w:color w:val="auto"/>
          <w:vertAlign w:val="superscript"/>
        </w:rPr>
        <w:t>3</w:t>
      </w:r>
      <w:r>
        <w:rPr>
          <w:color w:val="auto"/>
        </w:rPr>
        <w:t>和1台V=10m</w:t>
      </w:r>
      <w:r>
        <w:rPr>
          <w:color w:val="auto"/>
          <w:vertAlign w:val="superscript"/>
        </w:rPr>
        <w:t>3</w:t>
      </w:r>
      <w:r>
        <w:rPr>
          <w:color w:val="auto"/>
        </w:rPr>
        <w:t>的总储气罐</w:t>
      </w:r>
      <w:r>
        <w:rPr>
          <w:rFonts w:hint="eastAsia"/>
          <w:color w:val="auto"/>
        </w:rPr>
        <w:t>，</w:t>
      </w:r>
      <w:r>
        <w:rPr>
          <w:color w:val="auto"/>
        </w:rPr>
        <w:t>并配有1台V=10m3的压料用空气储罐，1台V=3m</w:t>
      </w:r>
      <w:r>
        <w:rPr>
          <w:color w:val="auto"/>
          <w:vertAlign w:val="superscript"/>
        </w:rPr>
        <w:t>3</w:t>
      </w:r>
      <w:r>
        <w:rPr>
          <w:color w:val="auto"/>
        </w:rPr>
        <w:t>的仪表空气储罐。公司项目用气能力为5Nm</w:t>
      </w:r>
      <w:r>
        <w:rPr>
          <w:rFonts w:hint="eastAsia"/>
          <w:color w:val="auto"/>
          <w:vertAlign w:val="superscript"/>
        </w:rPr>
        <w:t>3</w:t>
      </w:r>
      <w:r>
        <w:rPr>
          <w:color w:val="auto"/>
        </w:rPr>
        <w:t>/min（其中生产用气4.8Nm</w:t>
      </w:r>
      <w:r>
        <w:rPr>
          <w:rFonts w:hint="eastAsia"/>
          <w:color w:val="auto"/>
          <w:vertAlign w:val="superscript"/>
        </w:rPr>
        <w:t>3</w:t>
      </w:r>
      <w:r>
        <w:rPr>
          <w:color w:val="auto"/>
        </w:rPr>
        <w:t>/min、仪表用气为0.2Nm</w:t>
      </w:r>
      <w:r>
        <w:rPr>
          <w:rFonts w:hint="eastAsia"/>
          <w:color w:val="auto"/>
          <w:vertAlign w:val="superscript"/>
        </w:rPr>
        <w:t>3</w:t>
      </w:r>
      <w:r>
        <w:rPr>
          <w:color w:val="auto"/>
        </w:rPr>
        <w:t>/min）。</w:t>
      </w:r>
      <w:r>
        <w:rPr>
          <w:rFonts w:hint="eastAsia"/>
          <w:color w:val="auto"/>
        </w:rPr>
        <w:t>拟建</w:t>
      </w:r>
      <w:r>
        <w:rPr>
          <w:color w:val="auto"/>
        </w:rPr>
        <w:t>压缩空气用量约1m</w:t>
      </w:r>
      <w:r>
        <w:rPr>
          <w:color w:val="auto"/>
          <w:vertAlign w:val="superscript"/>
        </w:rPr>
        <w:t>3</w:t>
      </w:r>
      <w:r>
        <w:rPr>
          <w:color w:val="auto"/>
        </w:rPr>
        <w:t>/h，现有空压站余量可满足</w:t>
      </w:r>
      <w:r>
        <w:rPr>
          <w:rFonts w:hint="eastAsia"/>
          <w:color w:val="auto"/>
        </w:rPr>
        <w:t>拟建</w:t>
      </w:r>
      <w:r>
        <w:rPr>
          <w:color w:val="auto"/>
        </w:rPr>
        <w:t>需求。</w:t>
      </w:r>
    </w:p>
    <w:p w14:paraId="726CB81C">
      <w:pPr>
        <w:spacing w:line="460" w:lineRule="exact"/>
        <w:ind w:firstLine="480"/>
        <w:rPr>
          <w:color w:val="auto"/>
        </w:rPr>
      </w:pPr>
      <w:r>
        <w:rPr>
          <w:color w:val="auto"/>
        </w:rPr>
        <w:t>现有氮气供应站设置在环保车间一北侧，氮气站设5m</w:t>
      </w:r>
      <w:r>
        <w:rPr>
          <w:rFonts w:hint="eastAsia"/>
          <w:color w:val="auto"/>
          <w:vertAlign w:val="superscript"/>
        </w:rPr>
        <w:t>3</w:t>
      </w:r>
      <w:r>
        <w:rPr>
          <w:color w:val="auto"/>
        </w:rPr>
        <w:t>液氮储罐一只，配套气化器型号SSN-50-35，气化量50Nm³/h，产气压力为0.3～0.8MPa。经减压至0.08Mpa后供车间使用。</w:t>
      </w:r>
      <w:r>
        <w:rPr>
          <w:rFonts w:hint="eastAsia"/>
          <w:color w:val="auto"/>
        </w:rPr>
        <w:t>拟建</w:t>
      </w:r>
      <w:r>
        <w:rPr>
          <w:color w:val="auto"/>
        </w:rPr>
        <w:t>氮气使用量约为15Nm</w:t>
      </w:r>
      <w:r>
        <w:rPr>
          <w:rFonts w:hint="eastAsia"/>
          <w:color w:val="auto"/>
          <w:vertAlign w:val="superscript"/>
        </w:rPr>
        <w:t>3</w:t>
      </w:r>
      <w:r>
        <w:rPr>
          <w:color w:val="auto"/>
        </w:rPr>
        <w:t>/h。</w:t>
      </w:r>
    </w:p>
    <w:p w14:paraId="1EB0D1A5">
      <w:pPr>
        <w:spacing w:line="460" w:lineRule="exact"/>
        <w:ind w:firstLine="482"/>
        <w:rPr>
          <w:b/>
          <w:bCs/>
          <w:color w:val="auto"/>
        </w:rPr>
      </w:pPr>
      <w:r>
        <w:rPr>
          <w:b/>
          <w:bCs/>
          <w:color w:val="auto"/>
        </w:rPr>
        <w:t>7、物料储存及运输</w:t>
      </w:r>
    </w:p>
    <w:p w14:paraId="38A8CD07">
      <w:pPr>
        <w:spacing w:line="460" w:lineRule="exact"/>
        <w:ind w:firstLine="480"/>
        <w:rPr>
          <w:color w:val="auto"/>
        </w:rPr>
      </w:pPr>
      <w:r>
        <w:rPr>
          <w:rFonts w:hint="eastAsia"/>
          <w:color w:val="auto"/>
        </w:rPr>
        <w:t>拟建项目需储存的物料主要为原辅材料、产品，主要存放于危险化学品仓库及罐区，存储设施均依托厂区现有。同时拟建项目规划</w:t>
      </w:r>
      <w:r>
        <w:rPr>
          <w:color w:val="auto"/>
        </w:rPr>
        <w:t>调整现有丙类仓库的储存方案，用于</w:t>
      </w:r>
      <w:r>
        <w:rPr>
          <w:rFonts w:hint="eastAsia"/>
          <w:color w:val="auto"/>
        </w:rPr>
        <w:t>项目</w:t>
      </w:r>
      <w:r>
        <w:rPr>
          <w:color w:val="auto"/>
        </w:rPr>
        <w:t>亚硫酸钾、亚硫酸钠、亚硫酸铵产品、硫代硫酸铵溶液、硫代硫酸钙溶液、硫代硫酸镁溶液、硫代硫酸钾溶液产品的储存。</w:t>
      </w:r>
      <w:r>
        <w:rPr>
          <w:rFonts w:hint="eastAsia"/>
          <w:color w:val="auto"/>
        </w:rPr>
        <w:t>丙类仓库位于厂区西南侧，建筑面积4006.98m</w:t>
      </w:r>
      <w:r>
        <w:rPr>
          <w:rFonts w:hint="eastAsia"/>
          <w:color w:val="auto"/>
          <w:vertAlign w:val="superscript"/>
        </w:rPr>
        <w:t>2</w:t>
      </w:r>
      <w:r>
        <w:rPr>
          <w:rFonts w:hint="eastAsia"/>
          <w:color w:val="auto"/>
        </w:rPr>
        <w:t>。</w:t>
      </w:r>
    </w:p>
    <w:p w14:paraId="22CF6A41">
      <w:pPr>
        <w:pStyle w:val="4"/>
        <w:rPr>
          <w:b w:val="0"/>
          <w:bCs w:val="0"/>
          <w:color w:val="auto"/>
        </w:rPr>
        <w:sectPr>
          <w:pgSz w:w="11906" w:h="16838"/>
          <w:pgMar w:top="1134" w:right="1134" w:bottom="1134" w:left="1134" w:header="851" w:footer="992" w:gutter="0"/>
          <w:cols w:space="425" w:num="1"/>
          <w:docGrid w:type="lines" w:linePitch="312" w:charSpace="0"/>
        </w:sectPr>
      </w:pPr>
    </w:p>
    <w:p w14:paraId="41D4BE1C">
      <w:pPr>
        <w:pStyle w:val="49"/>
        <w:rPr>
          <w:color w:val="auto"/>
        </w:rPr>
      </w:pPr>
      <w:r>
        <w:rPr>
          <w:color w:val="auto"/>
        </w:rPr>
        <w:t>表4.2-</w:t>
      </w:r>
      <w:r>
        <w:rPr>
          <w:rFonts w:hint="eastAsia"/>
          <w:color w:val="auto"/>
        </w:rPr>
        <w:t>2</w:t>
      </w:r>
      <w:r>
        <w:rPr>
          <w:color w:val="auto"/>
        </w:rPr>
        <w:t xml:space="preserve"> </w:t>
      </w:r>
      <w:r>
        <w:rPr>
          <w:rFonts w:hint="eastAsia"/>
          <w:color w:val="auto"/>
        </w:rPr>
        <w:t xml:space="preserve"> </w:t>
      </w:r>
      <w:r>
        <w:rPr>
          <w:color w:val="auto"/>
        </w:rPr>
        <w:t>拟建项目仓库原辅材料、产成品存放情况一览表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7" w:type="dxa"/>
          <w:bottom w:w="0" w:type="dxa"/>
          <w:right w:w="17" w:type="dxa"/>
        </w:tblCellMar>
      </w:tblPr>
      <w:tblGrid>
        <w:gridCol w:w="713"/>
        <w:gridCol w:w="1789"/>
        <w:gridCol w:w="2526"/>
        <w:gridCol w:w="693"/>
        <w:gridCol w:w="1123"/>
        <w:gridCol w:w="1324"/>
        <w:gridCol w:w="1865"/>
        <w:gridCol w:w="1205"/>
        <w:gridCol w:w="1368"/>
        <w:gridCol w:w="982"/>
        <w:gridCol w:w="1016"/>
      </w:tblGrid>
      <w:tr w14:paraId="46CA32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408" w:hRule="atLeast"/>
          <w:jc w:val="center"/>
        </w:trPr>
        <w:tc>
          <w:tcPr>
            <w:tcW w:w="244" w:type="pct"/>
            <w:vAlign w:val="center"/>
          </w:tcPr>
          <w:p w14:paraId="172461FD">
            <w:pPr>
              <w:spacing w:line="240" w:lineRule="auto"/>
              <w:ind w:firstLine="0" w:firstLineChars="0"/>
              <w:jc w:val="center"/>
              <w:textAlignment w:val="baseline"/>
              <w:rPr>
                <w:b/>
                <w:bCs/>
                <w:color w:val="auto"/>
                <w:kern w:val="0"/>
                <w:sz w:val="21"/>
                <w:szCs w:val="21"/>
              </w:rPr>
            </w:pPr>
            <w:r>
              <w:rPr>
                <w:b/>
                <w:bCs/>
                <w:color w:val="auto"/>
                <w:kern w:val="0"/>
                <w:sz w:val="21"/>
                <w:szCs w:val="21"/>
              </w:rPr>
              <w:t>序号</w:t>
            </w:r>
          </w:p>
        </w:tc>
        <w:tc>
          <w:tcPr>
            <w:tcW w:w="612" w:type="pct"/>
            <w:noWrap/>
            <w:vAlign w:val="center"/>
          </w:tcPr>
          <w:p w14:paraId="4167EE10">
            <w:pPr>
              <w:spacing w:line="240" w:lineRule="auto"/>
              <w:ind w:firstLine="0" w:firstLineChars="0"/>
              <w:jc w:val="center"/>
              <w:textAlignment w:val="baseline"/>
              <w:rPr>
                <w:b/>
                <w:bCs/>
                <w:color w:val="auto"/>
                <w:kern w:val="0"/>
                <w:sz w:val="21"/>
                <w:szCs w:val="21"/>
              </w:rPr>
            </w:pPr>
            <w:r>
              <w:rPr>
                <w:b/>
                <w:bCs/>
                <w:color w:val="auto"/>
                <w:kern w:val="0"/>
                <w:sz w:val="21"/>
                <w:szCs w:val="21"/>
              </w:rPr>
              <w:t>产品</w:t>
            </w:r>
          </w:p>
        </w:tc>
        <w:tc>
          <w:tcPr>
            <w:tcW w:w="864" w:type="pct"/>
            <w:noWrap/>
            <w:vAlign w:val="center"/>
          </w:tcPr>
          <w:p w14:paraId="60334E00">
            <w:pPr>
              <w:spacing w:line="240" w:lineRule="auto"/>
              <w:ind w:firstLine="0" w:firstLineChars="0"/>
              <w:jc w:val="center"/>
              <w:textAlignment w:val="baseline"/>
              <w:rPr>
                <w:b/>
                <w:bCs/>
                <w:color w:val="auto"/>
                <w:kern w:val="0"/>
                <w:sz w:val="21"/>
                <w:szCs w:val="21"/>
              </w:rPr>
            </w:pPr>
            <w:r>
              <w:rPr>
                <w:b/>
                <w:bCs/>
                <w:color w:val="auto"/>
                <w:kern w:val="0"/>
                <w:sz w:val="21"/>
                <w:szCs w:val="21"/>
              </w:rPr>
              <w:t>原料</w:t>
            </w:r>
            <w:r>
              <w:rPr>
                <w:rFonts w:hint="eastAsia"/>
                <w:b/>
                <w:bCs/>
                <w:color w:val="auto"/>
                <w:kern w:val="0"/>
                <w:sz w:val="21"/>
                <w:szCs w:val="21"/>
              </w:rPr>
              <w:t>/产成品</w:t>
            </w:r>
            <w:r>
              <w:rPr>
                <w:b/>
                <w:bCs/>
                <w:color w:val="auto"/>
                <w:kern w:val="0"/>
                <w:sz w:val="21"/>
                <w:szCs w:val="21"/>
              </w:rPr>
              <w:t>名称</w:t>
            </w:r>
          </w:p>
        </w:tc>
        <w:tc>
          <w:tcPr>
            <w:tcW w:w="237" w:type="pct"/>
            <w:vAlign w:val="center"/>
          </w:tcPr>
          <w:p w14:paraId="24A59488">
            <w:pPr>
              <w:spacing w:line="240" w:lineRule="auto"/>
              <w:ind w:firstLine="0" w:firstLineChars="0"/>
              <w:jc w:val="center"/>
              <w:textAlignment w:val="baseline"/>
              <w:rPr>
                <w:b/>
                <w:bCs/>
                <w:color w:val="auto"/>
                <w:kern w:val="0"/>
                <w:sz w:val="21"/>
                <w:szCs w:val="21"/>
              </w:rPr>
            </w:pPr>
            <w:r>
              <w:rPr>
                <w:b/>
                <w:bCs/>
                <w:color w:val="auto"/>
                <w:kern w:val="0"/>
                <w:sz w:val="21"/>
                <w:szCs w:val="21"/>
              </w:rPr>
              <w:t>形态</w:t>
            </w:r>
          </w:p>
        </w:tc>
        <w:tc>
          <w:tcPr>
            <w:tcW w:w="384" w:type="pct"/>
            <w:vAlign w:val="center"/>
          </w:tcPr>
          <w:p w14:paraId="4A85476C">
            <w:pPr>
              <w:spacing w:line="240" w:lineRule="auto"/>
              <w:ind w:firstLine="0" w:firstLineChars="0"/>
              <w:jc w:val="center"/>
              <w:textAlignment w:val="baseline"/>
              <w:rPr>
                <w:b/>
                <w:bCs/>
                <w:color w:val="auto"/>
                <w:kern w:val="0"/>
                <w:sz w:val="21"/>
                <w:szCs w:val="21"/>
              </w:rPr>
            </w:pPr>
            <w:r>
              <w:rPr>
                <w:b/>
                <w:bCs/>
                <w:color w:val="auto"/>
                <w:sz w:val="21"/>
                <w:szCs w:val="21"/>
              </w:rPr>
              <w:t>包装</w:t>
            </w:r>
          </w:p>
        </w:tc>
        <w:tc>
          <w:tcPr>
            <w:tcW w:w="453" w:type="pct"/>
            <w:vAlign w:val="center"/>
          </w:tcPr>
          <w:p w14:paraId="2A85C9B7">
            <w:pPr>
              <w:spacing w:line="240" w:lineRule="auto"/>
              <w:ind w:firstLine="0" w:firstLineChars="0"/>
              <w:jc w:val="center"/>
              <w:textAlignment w:val="baseline"/>
              <w:rPr>
                <w:b/>
                <w:bCs/>
                <w:color w:val="auto"/>
                <w:kern w:val="0"/>
                <w:sz w:val="21"/>
                <w:szCs w:val="21"/>
              </w:rPr>
            </w:pPr>
            <w:r>
              <w:rPr>
                <w:rFonts w:hint="eastAsia"/>
                <w:b/>
                <w:bCs/>
                <w:color w:val="auto"/>
                <w:kern w:val="0"/>
                <w:sz w:val="21"/>
                <w:szCs w:val="21"/>
              </w:rPr>
              <w:t>最大暂存量/t</w:t>
            </w:r>
          </w:p>
        </w:tc>
        <w:tc>
          <w:tcPr>
            <w:tcW w:w="638" w:type="pct"/>
            <w:vAlign w:val="center"/>
          </w:tcPr>
          <w:p w14:paraId="170FB3D1">
            <w:pPr>
              <w:spacing w:line="240" w:lineRule="auto"/>
              <w:ind w:firstLine="0" w:firstLineChars="0"/>
              <w:jc w:val="center"/>
              <w:textAlignment w:val="baseline"/>
              <w:rPr>
                <w:b/>
                <w:bCs/>
                <w:color w:val="auto"/>
                <w:kern w:val="0"/>
                <w:sz w:val="21"/>
                <w:szCs w:val="21"/>
              </w:rPr>
            </w:pPr>
            <w:r>
              <w:rPr>
                <w:b/>
                <w:bCs/>
                <w:color w:val="auto"/>
                <w:kern w:val="0"/>
                <w:sz w:val="21"/>
                <w:szCs w:val="21"/>
              </w:rPr>
              <w:t>存储位置</w:t>
            </w:r>
          </w:p>
        </w:tc>
        <w:tc>
          <w:tcPr>
            <w:tcW w:w="412" w:type="pct"/>
            <w:vAlign w:val="center"/>
          </w:tcPr>
          <w:p w14:paraId="742BCF44">
            <w:pPr>
              <w:spacing w:line="240" w:lineRule="auto"/>
              <w:ind w:firstLine="0" w:firstLineChars="0"/>
              <w:jc w:val="center"/>
              <w:textAlignment w:val="baseline"/>
              <w:rPr>
                <w:b/>
                <w:bCs/>
                <w:color w:val="auto"/>
                <w:kern w:val="0"/>
                <w:sz w:val="21"/>
                <w:szCs w:val="21"/>
              </w:rPr>
            </w:pPr>
            <w:r>
              <w:rPr>
                <w:b/>
                <w:bCs/>
                <w:color w:val="auto"/>
                <w:kern w:val="0"/>
                <w:sz w:val="21"/>
                <w:szCs w:val="21"/>
              </w:rPr>
              <w:t>储罐高度/m</w:t>
            </w:r>
          </w:p>
        </w:tc>
        <w:tc>
          <w:tcPr>
            <w:tcW w:w="468" w:type="pct"/>
            <w:vAlign w:val="center"/>
          </w:tcPr>
          <w:p w14:paraId="7DE278CD">
            <w:pPr>
              <w:spacing w:line="240" w:lineRule="auto"/>
              <w:ind w:firstLine="0" w:firstLineChars="0"/>
              <w:jc w:val="center"/>
              <w:textAlignment w:val="baseline"/>
              <w:rPr>
                <w:b/>
                <w:bCs/>
                <w:color w:val="auto"/>
                <w:kern w:val="0"/>
                <w:sz w:val="21"/>
                <w:szCs w:val="21"/>
              </w:rPr>
            </w:pPr>
            <w:r>
              <w:rPr>
                <w:b/>
                <w:bCs/>
                <w:color w:val="auto"/>
                <w:kern w:val="0"/>
                <w:sz w:val="21"/>
                <w:szCs w:val="21"/>
              </w:rPr>
              <w:t>罐体直径/m</w:t>
            </w:r>
          </w:p>
        </w:tc>
        <w:tc>
          <w:tcPr>
            <w:tcW w:w="336" w:type="pct"/>
            <w:vAlign w:val="center"/>
          </w:tcPr>
          <w:p w14:paraId="5187F8C6">
            <w:pPr>
              <w:spacing w:line="240" w:lineRule="auto"/>
              <w:ind w:firstLine="0" w:firstLineChars="0"/>
              <w:jc w:val="center"/>
              <w:textAlignment w:val="baseline"/>
              <w:rPr>
                <w:b/>
                <w:bCs/>
                <w:color w:val="auto"/>
                <w:kern w:val="0"/>
                <w:sz w:val="21"/>
                <w:szCs w:val="21"/>
              </w:rPr>
            </w:pPr>
            <w:r>
              <w:rPr>
                <w:b/>
                <w:bCs/>
                <w:color w:val="auto"/>
                <w:kern w:val="0"/>
                <w:sz w:val="21"/>
                <w:szCs w:val="21"/>
              </w:rPr>
              <w:t>工作温度/℃</w:t>
            </w:r>
          </w:p>
        </w:tc>
        <w:tc>
          <w:tcPr>
            <w:tcW w:w="347" w:type="pct"/>
            <w:vAlign w:val="center"/>
          </w:tcPr>
          <w:p w14:paraId="4AC8C513">
            <w:pPr>
              <w:spacing w:line="240" w:lineRule="auto"/>
              <w:ind w:firstLine="0" w:firstLineChars="0"/>
              <w:jc w:val="center"/>
              <w:textAlignment w:val="baseline"/>
              <w:rPr>
                <w:b/>
                <w:bCs/>
                <w:color w:val="auto"/>
                <w:kern w:val="0"/>
                <w:sz w:val="21"/>
                <w:szCs w:val="21"/>
              </w:rPr>
            </w:pPr>
            <w:r>
              <w:rPr>
                <w:b/>
                <w:bCs/>
                <w:color w:val="auto"/>
                <w:kern w:val="0"/>
                <w:sz w:val="21"/>
                <w:szCs w:val="21"/>
              </w:rPr>
              <w:t>工作压力/MPa</w:t>
            </w:r>
          </w:p>
        </w:tc>
      </w:tr>
      <w:tr w14:paraId="77918A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17C46C8F">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w:t>
            </w:r>
          </w:p>
        </w:tc>
        <w:tc>
          <w:tcPr>
            <w:tcW w:w="612" w:type="pct"/>
            <w:vMerge w:val="restart"/>
            <w:noWrap/>
            <w:vAlign w:val="center"/>
          </w:tcPr>
          <w:p w14:paraId="6432E04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亚硫酸钾溶液/</w:t>
            </w:r>
          </w:p>
          <w:p w14:paraId="658631F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亚硫酸钾固体</w:t>
            </w:r>
          </w:p>
        </w:tc>
        <w:tc>
          <w:tcPr>
            <w:tcW w:w="864" w:type="pct"/>
            <w:noWrap/>
            <w:vAlign w:val="center"/>
          </w:tcPr>
          <w:p w14:paraId="194F8DE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99.5%液硫</w:t>
            </w:r>
          </w:p>
        </w:tc>
        <w:tc>
          <w:tcPr>
            <w:tcW w:w="237" w:type="pct"/>
            <w:vAlign w:val="center"/>
          </w:tcPr>
          <w:p w14:paraId="1EF481C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120E651D">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0062C104">
            <w:pPr>
              <w:spacing w:line="240" w:lineRule="auto"/>
              <w:ind w:firstLine="0" w:firstLineChars="0"/>
              <w:jc w:val="center"/>
              <w:rPr>
                <w:color w:val="auto"/>
                <w:sz w:val="21"/>
                <w:szCs w:val="21"/>
              </w:rPr>
            </w:pPr>
          </w:p>
        </w:tc>
        <w:tc>
          <w:tcPr>
            <w:tcW w:w="638" w:type="pct"/>
            <w:vAlign w:val="center"/>
          </w:tcPr>
          <w:p w14:paraId="4207A3D6">
            <w:pPr>
              <w:widowControl/>
              <w:spacing w:line="240" w:lineRule="auto"/>
              <w:ind w:firstLine="0" w:firstLineChars="0"/>
              <w:jc w:val="center"/>
              <w:textAlignment w:val="center"/>
              <w:rPr>
                <w:color w:val="auto"/>
                <w:kern w:val="0"/>
                <w:sz w:val="21"/>
                <w:szCs w:val="21"/>
              </w:rPr>
            </w:pPr>
          </w:p>
        </w:tc>
        <w:tc>
          <w:tcPr>
            <w:tcW w:w="412" w:type="pct"/>
            <w:vAlign w:val="center"/>
          </w:tcPr>
          <w:p w14:paraId="0A4C4E48">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0D44B8EA">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1808C7FA">
            <w:pPr>
              <w:spacing w:line="240" w:lineRule="auto"/>
              <w:ind w:firstLine="0" w:firstLineChars="0"/>
              <w:jc w:val="center"/>
              <w:rPr>
                <w:color w:val="auto"/>
                <w:sz w:val="21"/>
                <w:szCs w:val="21"/>
              </w:rPr>
            </w:pPr>
            <w:r>
              <w:rPr>
                <w:rFonts w:hint="eastAsia"/>
                <w:color w:val="auto"/>
                <w:sz w:val="21"/>
                <w:szCs w:val="21"/>
              </w:rPr>
              <w:t>135-145</w:t>
            </w:r>
          </w:p>
        </w:tc>
        <w:tc>
          <w:tcPr>
            <w:tcW w:w="347" w:type="pct"/>
            <w:vAlign w:val="center"/>
          </w:tcPr>
          <w:p w14:paraId="30587E14">
            <w:pPr>
              <w:spacing w:line="240" w:lineRule="auto"/>
              <w:ind w:firstLine="0" w:firstLineChars="0"/>
              <w:jc w:val="center"/>
              <w:rPr>
                <w:color w:val="auto"/>
                <w:sz w:val="21"/>
                <w:szCs w:val="21"/>
              </w:rPr>
            </w:pPr>
            <w:r>
              <w:rPr>
                <w:rFonts w:hint="eastAsia"/>
                <w:color w:val="auto"/>
                <w:sz w:val="21"/>
                <w:szCs w:val="21"/>
              </w:rPr>
              <w:t>常压</w:t>
            </w:r>
          </w:p>
        </w:tc>
      </w:tr>
      <w:tr w14:paraId="43F5E0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7A79904A">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w:t>
            </w:r>
          </w:p>
        </w:tc>
        <w:tc>
          <w:tcPr>
            <w:tcW w:w="612" w:type="pct"/>
            <w:vMerge w:val="continue"/>
            <w:noWrap/>
            <w:vAlign w:val="center"/>
          </w:tcPr>
          <w:p w14:paraId="69046587">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35F5474A">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48%氢氧化钾</w:t>
            </w:r>
          </w:p>
        </w:tc>
        <w:tc>
          <w:tcPr>
            <w:tcW w:w="237" w:type="pct"/>
            <w:vAlign w:val="center"/>
          </w:tcPr>
          <w:p w14:paraId="75EAF3E0">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56F5D2A5">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588DBDAD">
            <w:pPr>
              <w:spacing w:line="240" w:lineRule="auto"/>
              <w:ind w:firstLine="0" w:firstLineChars="0"/>
              <w:jc w:val="center"/>
              <w:rPr>
                <w:color w:val="auto"/>
                <w:sz w:val="21"/>
                <w:szCs w:val="21"/>
              </w:rPr>
            </w:pPr>
          </w:p>
        </w:tc>
        <w:tc>
          <w:tcPr>
            <w:tcW w:w="638" w:type="pct"/>
            <w:vAlign w:val="center"/>
          </w:tcPr>
          <w:p w14:paraId="20FFD725">
            <w:pPr>
              <w:widowControl/>
              <w:spacing w:line="240" w:lineRule="auto"/>
              <w:ind w:firstLine="0" w:firstLineChars="0"/>
              <w:jc w:val="center"/>
              <w:textAlignment w:val="center"/>
              <w:rPr>
                <w:color w:val="auto"/>
                <w:kern w:val="0"/>
                <w:sz w:val="21"/>
                <w:szCs w:val="21"/>
              </w:rPr>
            </w:pPr>
          </w:p>
        </w:tc>
        <w:tc>
          <w:tcPr>
            <w:tcW w:w="412" w:type="pct"/>
            <w:vAlign w:val="center"/>
          </w:tcPr>
          <w:p w14:paraId="3BB30749">
            <w:pPr>
              <w:spacing w:line="240" w:lineRule="auto"/>
              <w:ind w:firstLine="0" w:firstLineChars="0"/>
              <w:jc w:val="center"/>
              <w:rPr>
                <w:color w:val="auto"/>
                <w:sz w:val="21"/>
                <w:szCs w:val="21"/>
              </w:rPr>
            </w:pPr>
            <w:r>
              <w:rPr>
                <w:rFonts w:hint="eastAsia"/>
                <w:color w:val="auto"/>
                <w:sz w:val="21"/>
                <w:szCs w:val="21"/>
              </w:rPr>
              <w:t>7.5</w:t>
            </w:r>
          </w:p>
        </w:tc>
        <w:tc>
          <w:tcPr>
            <w:tcW w:w="468" w:type="pct"/>
            <w:vAlign w:val="center"/>
          </w:tcPr>
          <w:p w14:paraId="755A1031">
            <w:pPr>
              <w:spacing w:line="240" w:lineRule="auto"/>
              <w:ind w:firstLine="0" w:firstLineChars="0"/>
              <w:jc w:val="center"/>
              <w:rPr>
                <w:color w:val="auto"/>
                <w:sz w:val="21"/>
                <w:szCs w:val="21"/>
              </w:rPr>
            </w:pPr>
            <w:r>
              <w:rPr>
                <w:rFonts w:hint="eastAsia"/>
                <w:color w:val="auto"/>
                <w:sz w:val="21"/>
                <w:szCs w:val="21"/>
              </w:rPr>
              <w:t>3.2</w:t>
            </w:r>
          </w:p>
        </w:tc>
        <w:tc>
          <w:tcPr>
            <w:tcW w:w="336" w:type="pct"/>
            <w:vAlign w:val="center"/>
          </w:tcPr>
          <w:p w14:paraId="78F3320E">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18A8C687">
            <w:pPr>
              <w:spacing w:line="240" w:lineRule="auto"/>
              <w:ind w:firstLine="0" w:firstLineChars="0"/>
              <w:jc w:val="center"/>
              <w:rPr>
                <w:color w:val="auto"/>
                <w:sz w:val="21"/>
                <w:szCs w:val="21"/>
              </w:rPr>
            </w:pPr>
            <w:r>
              <w:rPr>
                <w:rFonts w:hint="eastAsia"/>
                <w:color w:val="auto"/>
                <w:sz w:val="21"/>
                <w:szCs w:val="21"/>
              </w:rPr>
              <w:t>常压</w:t>
            </w:r>
          </w:p>
        </w:tc>
      </w:tr>
      <w:tr w14:paraId="055A78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90" w:hRule="atLeast"/>
          <w:jc w:val="center"/>
        </w:trPr>
        <w:tc>
          <w:tcPr>
            <w:tcW w:w="244" w:type="pct"/>
            <w:vAlign w:val="center"/>
          </w:tcPr>
          <w:p w14:paraId="7D6805A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3</w:t>
            </w:r>
          </w:p>
        </w:tc>
        <w:tc>
          <w:tcPr>
            <w:tcW w:w="612" w:type="pct"/>
            <w:vMerge w:val="restart"/>
            <w:noWrap/>
            <w:vAlign w:val="center"/>
          </w:tcPr>
          <w:p w14:paraId="72E5FBD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亚硫酸钠溶液/</w:t>
            </w:r>
          </w:p>
          <w:p w14:paraId="5AF2CAB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亚硫酸钠固体</w:t>
            </w:r>
          </w:p>
        </w:tc>
        <w:tc>
          <w:tcPr>
            <w:tcW w:w="864" w:type="pct"/>
            <w:noWrap/>
            <w:vAlign w:val="center"/>
          </w:tcPr>
          <w:p w14:paraId="0022F413">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99.5%液硫</w:t>
            </w:r>
          </w:p>
        </w:tc>
        <w:tc>
          <w:tcPr>
            <w:tcW w:w="237" w:type="pct"/>
            <w:vAlign w:val="center"/>
          </w:tcPr>
          <w:p w14:paraId="16B1F06F">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26B94BCF">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18DFFA6D">
            <w:pPr>
              <w:spacing w:line="240" w:lineRule="auto"/>
              <w:ind w:firstLine="0" w:firstLineChars="0"/>
              <w:jc w:val="center"/>
              <w:rPr>
                <w:color w:val="auto"/>
                <w:sz w:val="21"/>
                <w:szCs w:val="21"/>
              </w:rPr>
            </w:pPr>
          </w:p>
        </w:tc>
        <w:tc>
          <w:tcPr>
            <w:tcW w:w="638" w:type="pct"/>
            <w:vAlign w:val="center"/>
          </w:tcPr>
          <w:p w14:paraId="76F7FE56">
            <w:pPr>
              <w:widowControl/>
              <w:spacing w:line="240" w:lineRule="auto"/>
              <w:ind w:firstLine="0" w:firstLineChars="0"/>
              <w:jc w:val="center"/>
              <w:textAlignment w:val="center"/>
              <w:rPr>
                <w:color w:val="auto"/>
                <w:kern w:val="0"/>
                <w:sz w:val="21"/>
                <w:szCs w:val="21"/>
              </w:rPr>
            </w:pPr>
          </w:p>
        </w:tc>
        <w:tc>
          <w:tcPr>
            <w:tcW w:w="412" w:type="pct"/>
            <w:vAlign w:val="center"/>
          </w:tcPr>
          <w:p w14:paraId="46A62AD0">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4281743A">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049A8A2C">
            <w:pPr>
              <w:spacing w:line="240" w:lineRule="auto"/>
              <w:ind w:firstLine="0" w:firstLineChars="0"/>
              <w:jc w:val="center"/>
              <w:rPr>
                <w:color w:val="auto"/>
                <w:sz w:val="21"/>
                <w:szCs w:val="21"/>
              </w:rPr>
            </w:pPr>
            <w:r>
              <w:rPr>
                <w:rFonts w:hint="eastAsia"/>
                <w:color w:val="auto"/>
                <w:sz w:val="21"/>
                <w:szCs w:val="21"/>
              </w:rPr>
              <w:t>135-145</w:t>
            </w:r>
          </w:p>
        </w:tc>
        <w:tc>
          <w:tcPr>
            <w:tcW w:w="347" w:type="pct"/>
            <w:vAlign w:val="center"/>
          </w:tcPr>
          <w:p w14:paraId="37E09B4F">
            <w:pPr>
              <w:spacing w:line="240" w:lineRule="auto"/>
              <w:ind w:firstLine="0" w:firstLineChars="0"/>
              <w:jc w:val="center"/>
              <w:rPr>
                <w:color w:val="auto"/>
                <w:sz w:val="21"/>
                <w:szCs w:val="21"/>
              </w:rPr>
            </w:pPr>
            <w:r>
              <w:rPr>
                <w:rFonts w:hint="eastAsia"/>
                <w:color w:val="auto"/>
                <w:sz w:val="21"/>
                <w:szCs w:val="21"/>
              </w:rPr>
              <w:t>常压</w:t>
            </w:r>
          </w:p>
        </w:tc>
      </w:tr>
      <w:tr w14:paraId="03F45E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Merge w:val="restart"/>
            <w:vAlign w:val="center"/>
          </w:tcPr>
          <w:p w14:paraId="44DB14D6">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4</w:t>
            </w:r>
          </w:p>
        </w:tc>
        <w:tc>
          <w:tcPr>
            <w:tcW w:w="612" w:type="pct"/>
            <w:vMerge w:val="continue"/>
            <w:noWrap/>
            <w:vAlign w:val="center"/>
          </w:tcPr>
          <w:p w14:paraId="2CEEFC03">
            <w:pPr>
              <w:widowControl/>
              <w:spacing w:line="240" w:lineRule="auto"/>
              <w:ind w:firstLine="0" w:firstLineChars="0"/>
              <w:jc w:val="center"/>
              <w:textAlignment w:val="center"/>
              <w:rPr>
                <w:color w:val="auto"/>
                <w:kern w:val="0"/>
                <w:sz w:val="21"/>
                <w:szCs w:val="21"/>
                <w:lang w:bidi="ar"/>
              </w:rPr>
            </w:pPr>
          </w:p>
        </w:tc>
        <w:tc>
          <w:tcPr>
            <w:tcW w:w="864" w:type="pct"/>
            <w:vMerge w:val="restart"/>
            <w:noWrap/>
            <w:vAlign w:val="center"/>
          </w:tcPr>
          <w:p w14:paraId="4F99AD39">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32%氢氧化钠</w:t>
            </w:r>
          </w:p>
        </w:tc>
        <w:tc>
          <w:tcPr>
            <w:tcW w:w="237" w:type="pct"/>
            <w:vMerge w:val="restart"/>
            <w:vAlign w:val="center"/>
          </w:tcPr>
          <w:p w14:paraId="6A22E272">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0B33309A">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08D97F96">
            <w:pPr>
              <w:spacing w:line="240" w:lineRule="auto"/>
              <w:ind w:firstLine="0" w:firstLineChars="0"/>
              <w:jc w:val="center"/>
              <w:rPr>
                <w:color w:val="auto"/>
                <w:sz w:val="21"/>
                <w:szCs w:val="21"/>
              </w:rPr>
            </w:pPr>
          </w:p>
        </w:tc>
        <w:tc>
          <w:tcPr>
            <w:tcW w:w="638" w:type="pct"/>
            <w:vAlign w:val="center"/>
          </w:tcPr>
          <w:p w14:paraId="0D2F07BF">
            <w:pPr>
              <w:widowControl/>
              <w:spacing w:line="240" w:lineRule="auto"/>
              <w:ind w:firstLine="0" w:firstLineChars="0"/>
              <w:jc w:val="center"/>
              <w:textAlignment w:val="center"/>
              <w:rPr>
                <w:color w:val="auto"/>
                <w:kern w:val="0"/>
                <w:sz w:val="21"/>
                <w:szCs w:val="21"/>
              </w:rPr>
            </w:pPr>
          </w:p>
        </w:tc>
        <w:tc>
          <w:tcPr>
            <w:tcW w:w="412" w:type="pct"/>
            <w:vAlign w:val="center"/>
          </w:tcPr>
          <w:p w14:paraId="3AFABC14">
            <w:pPr>
              <w:spacing w:line="240" w:lineRule="auto"/>
              <w:ind w:firstLine="0" w:firstLineChars="0"/>
              <w:jc w:val="center"/>
              <w:rPr>
                <w:color w:val="auto"/>
                <w:sz w:val="21"/>
                <w:szCs w:val="21"/>
              </w:rPr>
            </w:pPr>
            <w:r>
              <w:rPr>
                <w:rFonts w:hint="eastAsia"/>
                <w:color w:val="auto"/>
                <w:sz w:val="21"/>
                <w:szCs w:val="21"/>
              </w:rPr>
              <w:t>7.5</w:t>
            </w:r>
          </w:p>
        </w:tc>
        <w:tc>
          <w:tcPr>
            <w:tcW w:w="468" w:type="pct"/>
            <w:vAlign w:val="center"/>
          </w:tcPr>
          <w:p w14:paraId="2CCEDE13">
            <w:pPr>
              <w:spacing w:line="240" w:lineRule="auto"/>
              <w:ind w:firstLine="0" w:firstLineChars="0"/>
              <w:jc w:val="center"/>
              <w:rPr>
                <w:color w:val="auto"/>
                <w:sz w:val="21"/>
                <w:szCs w:val="21"/>
              </w:rPr>
            </w:pPr>
            <w:r>
              <w:rPr>
                <w:rFonts w:hint="eastAsia"/>
                <w:color w:val="auto"/>
                <w:sz w:val="21"/>
                <w:szCs w:val="21"/>
              </w:rPr>
              <w:t>3.2</w:t>
            </w:r>
          </w:p>
        </w:tc>
        <w:tc>
          <w:tcPr>
            <w:tcW w:w="336" w:type="pct"/>
            <w:vAlign w:val="center"/>
          </w:tcPr>
          <w:p w14:paraId="60548FDE">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71D90537">
            <w:pPr>
              <w:spacing w:line="240" w:lineRule="auto"/>
              <w:ind w:firstLine="0" w:firstLineChars="0"/>
              <w:jc w:val="center"/>
              <w:rPr>
                <w:color w:val="auto"/>
                <w:sz w:val="21"/>
                <w:szCs w:val="21"/>
              </w:rPr>
            </w:pPr>
            <w:r>
              <w:rPr>
                <w:rFonts w:hint="eastAsia"/>
                <w:color w:val="auto"/>
                <w:sz w:val="21"/>
                <w:szCs w:val="21"/>
              </w:rPr>
              <w:t>常压</w:t>
            </w:r>
          </w:p>
        </w:tc>
      </w:tr>
      <w:tr w14:paraId="11D6D2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Merge w:val="continue"/>
            <w:vAlign w:val="center"/>
          </w:tcPr>
          <w:p w14:paraId="632BF6B1">
            <w:pPr>
              <w:widowControl/>
              <w:spacing w:line="240" w:lineRule="auto"/>
              <w:ind w:firstLine="0" w:firstLineChars="0"/>
              <w:jc w:val="center"/>
              <w:textAlignment w:val="center"/>
              <w:rPr>
                <w:color w:val="auto"/>
                <w:kern w:val="0"/>
                <w:sz w:val="21"/>
                <w:szCs w:val="21"/>
              </w:rPr>
            </w:pPr>
          </w:p>
        </w:tc>
        <w:tc>
          <w:tcPr>
            <w:tcW w:w="612" w:type="pct"/>
            <w:vMerge w:val="continue"/>
            <w:noWrap/>
            <w:vAlign w:val="center"/>
          </w:tcPr>
          <w:p w14:paraId="043471FD">
            <w:pPr>
              <w:widowControl/>
              <w:spacing w:line="240" w:lineRule="auto"/>
              <w:ind w:firstLine="0" w:firstLineChars="0"/>
              <w:jc w:val="center"/>
              <w:textAlignment w:val="center"/>
              <w:rPr>
                <w:color w:val="auto"/>
                <w:kern w:val="0"/>
                <w:sz w:val="21"/>
                <w:szCs w:val="21"/>
                <w:lang w:bidi="ar"/>
              </w:rPr>
            </w:pPr>
          </w:p>
        </w:tc>
        <w:tc>
          <w:tcPr>
            <w:tcW w:w="864" w:type="pct"/>
            <w:vMerge w:val="continue"/>
            <w:noWrap/>
            <w:vAlign w:val="center"/>
          </w:tcPr>
          <w:p w14:paraId="530C7AD8">
            <w:pPr>
              <w:widowControl/>
              <w:spacing w:line="240" w:lineRule="auto"/>
              <w:ind w:firstLine="0" w:firstLineChars="0"/>
              <w:jc w:val="center"/>
              <w:textAlignment w:val="center"/>
              <w:rPr>
                <w:color w:val="auto"/>
                <w:kern w:val="0"/>
                <w:sz w:val="21"/>
                <w:szCs w:val="21"/>
              </w:rPr>
            </w:pPr>
          </w:p>
        </w:tc>
        <w:tc>
          <w:tcPr>
            <w:tcW w:w="237" w:type="pct"/>
            <w:vMerge w:val="continue"/>
            <w:vAlign w:val="center"/>
          </w:tcPr>
          <w:p w14:paraId="631CC697">
            <w:pPr>
              <w:widowControl/>
              <w:spacing w:line="240" w:lineRule="auto"/>
              <w:ind w:firstLine="0" w:firstLineChars="0"/>
              <w:jc w:val="center"/>
              <w:textAlignment w:val="center"/>
              <w:rPr>
                <w:color w:val="auto"/>
                <w:kern w:val="0"/>
                <w:sz w:val="21"/>
                <w:szCs w:val="21"/>
              </w:rPr>
            </w:pPr>
          </w:p>
        </w:tc>
        <w:tc>
          <w:tcPr>
            <w:tcW w:w="384" w:type="pct"/>
            <w:vAlign w:val="center"/>
          </w:tcPr>
          <w:p w14:paraId="28E950B0">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3A792E6C">
            <w:pPr>
              <w:spacing w:line="240" w:lineRule="auto"/>
              <w:ind w:firstLine="0" w:firstLineChars="0"/>
              <w:jc w:val="center"/>
              <w:rPr>
                <w:color w:val="auto"/>
                <w:sz w:val="21"/>
                <w:szCs w:val="21"/>
              </w:rPr>
            </w:pPr>
          </w:p>
        </w:tc>
        <w:tc>
          <w:tcPr>
            <w:tcW w:w="638" w:type="pct"/>
            <w:vAlign w:val="center"/>
          </w:tcPr>
          <w:p w14:paraId="06128D15">
            <w:pPr>
              <w:widowControl/>
              <w:spacing w:line="240" w:lineRule="auto"/>
              <w:ind w:firstLine="0" w:firstLineChars="0"/>
              <w:jc w:val="center"/>
              <w:textAlignment w:val="center"/>
              <w:rPr>
                <w:color w:val="auto"/>
                <w:kern w:val="0"/>
                <w:sz w:val="21"/>
                <w:szCs w:val="21"/>
              </w:rPr>
            </w:pPr>
          </w:p>
        </w:tc>
        <w:tc>
          <w:tcPr>
            <w:tcW w:w="412" w:type="pct"/>
            <w:vAlign w:val="center"/>
          </w:tcPr>
          <w:p w14:paraId="5442D4CE">
            <w:pPr>
              <w:spacing w:line="240" w:lineRule="auto"/>
              <w:ind w:firstLine="0" w:firstLineChars="0"/>
              <w:jc w:val="center"/>
              <w:rPr>
                <w:color w:val="auto"/>
                <w:sz w:val="21"/>
                <w:szCs w:val="21"/>
              </w:rPr>
            </w:pPr>
            <w:r>
              <w:rPr>
                <w:rFonts w:hint="eastAsia"/>
                <w:color w:val="auto"/>
                <w:sz w:val="21"/>
                <w:szCs w:val="21"/>
              </w:rPr>
              <w:t>10</w:t>
            </w:r>
          </w:p>
        </w:tc>
        <w:tc>
          <w:tcPr>
            <w:tcW w:w="468" w:type="pct"/>
            <w:vAlign w:val="center"/>
          </w:tcPr>
          <w:p w14:paraId="3AF48564">
            <w:pPr>
              <w:spacing w:line="240" w:lineRule="auto"/>
              <w:ind w:firstLine="0" w:firstLineChars="0"/>
              <w:jc w:val="center"/>
              <w:rPr>
                <w:color w:val="auto"/>
                <w:sz w:val="21"/>
                <w:szCs w:val="21"/>
              </w:rPr>
            </w:pPr>
            <w:r>
              <w:rPr>
                <w:rFonts w:hint="eastAsia"/>
                <w:color w:val="auto"/>
                <w:sz w:val="21"/>
                <w:szCs w:val="21"/>
              </w:rPr>
              <w:t>6</w:t>
            </w:r>
          </w:p>
        </w:tc>
        <w:tc>
          <w:tcPr>
            <w:tcW w:w="336" w:type="pct"/>
            <w:vAlign w:val="center"/>
          </w:tcPr>
          <w:p w14:paraId="10AA6F4B">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45D414BD">
            <w:pPr>
              <w:spacing w:line="240" w:lineRule="auto"/>
              <w:ind w:firstLine="0" w:firstLineChars="0"/>
              <w:jc w:val="center"/>
              <w:rPr>
                <w:color w:val="auto"/>
                <w:sz w:val="21"/>
                <w:szCs w:val="21"/>
              </w:rPr>
            </w:pPr>
            <w:r>
              <w:rPr>
                <w:rFonts w:hint="eastAsia"/>
                <w:color w:val="auto"/>
                <w:sz w:val="21"/>
                <w:szCs w:val="21"/>
              </w:rPr>
              <w:t>常压</w:t>
            </w:r>
          </w:p>
        </w:tc>
      </w:tr>
      <w:tr w14:paraId="13EAEE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341B0A9F">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5</w:t>
            </w:r>
          </w:p>
        </w:tc>
        <w:tc>
          <w:tcPr>
            <w:tcW w:w="612" w:type="pct"/>
            <w:vMerge w:val="restart"/>
            <w:noWrap/>
            <w:vAlign w:val="center"/>
          </w:tcPr>
          <w:p w14:paraId="2C697A5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硫代硫酸铵</w:t>
            </w:r>
          </w:p>
        </w:tc>
        <w:tc>
          <w:tcPr>
            <w:tcW w:w="864" w:type="pct"/>
            <w:noWrap/>
            <w:vAlign w:val="center"/>
          </w:tcPr>
          <w:p w14:paraId="3611D03B">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液氨</w:t>
            </w:r>
          </w:p>
        </w:tc>
        <w:tc>
          <w:tcPr>
            <w:tcW w:w="237" w:type="pct"/>
            <w:vAlign w:val="center"/>
          </w:tcPr>
          <w:p w14:paraId="2278DCE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28CA5B9C">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1A74302A">
            <w:pPr>
              <w:spacing w:line="240" w:lineRule="auto"/>
              <w:ind w:firstLine="0" w:firstLineChars="0"/>
              <w:jc w:val="center"/>
              <w:rPr>
                <w:color w:val="auto"/>
                <w:sz w:val="21"/>
                <w:szCs w:val="21"/>
              </w:rPr>
            </w:pPr>
          </w:p>
        </w:tc>
        <w:tc>
          <w:tcPr>
            <w:tcW w:w="638" w:type="pct"/>
            <w:vAlign w:val="center"/>
          </w:tcPr>
          <w:p w14:paraId="5D231321">
            <w:pPr>
              <w:widowControl/>
              <w:spacing w:line="240" w:lineRule="auto"/>
              <w:ind w:firstLine="0" w:firstLineChars="0"/>
              <w:jc w:val="center"/>
              <w:textAlignment w:val="center"/>
              <w:rPr>
                <w:color w:val="auto"/>
                <w:kern w:val="0"/>
                <w:sz w:val="21"/>
                <w:szCs w:val="21"/>
              </w:rPr>
            </w:pPr>
          </w:p>
        </w:tc>
        <w:tc>
          <w:tcPr>
            <w:tcW w:w="880" w:type="pct"/>
            <w:gridSpan w:val="2"/>
            <w:vAlign w:val="center"/>
          </w:tcPr>
          <w:p w14:paraId="49759AC8">
            <w:pPr>
              <w:spacing w:line="240" w:lineRule="auto"/>
              <w:ind w:firstLine="0" w:firstLineChars="0"/>
              <w:jc w:val="center"/>
              <w:rPr>
                <w:color w:val="auto"/>
                <w:sz w:val="21"/>
                <w:szCs w:val="21"/>
              </w:rPr>
            </w:pPr>
            <w:r>
              <w:rPr>
                <w:rFonts w:hint="eastAsia"/>
                <w:color w:val="auto"/>
                <w:sz w:val="21"/>
                <w:szCs w:val="21"/>
              </w:rPr>
              <w:t>18m³</w:t>
            </w:r>
          </w:p>
        </w:tc>
        <w:tc>
          <w:tcPr>
            <w:tcW w:w="336" w:type="pct"/>
            <w:vAlign w:val="center"/>
          </w:tcPr>
          <w:p w14:paraId="621830D6">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28478EB2">
            <w:pPr>
              <w:spacing w:line="240" w:lineRule="auto"/>
              <w:ind w:firstLine="0" w:firstLineChars="0"/>
              <w:jc w:val="center"/>
              <w:rPr>
                <w:color w:val="auto"/>
                <w:sz w:val="21"/>
                <w:szCs w:val="21"/>
              </w:rPr>
            </w:pPr>
            <w:r>
              <w:rPr>
                <w:rFonts w:hint="eastAsia"/>
                <w:color w:val="auto"/>
                <w:sz w:val="21"/>
                <w:szCs w:val="21"/>
              </w:rPr>
              <w:t>1.2</w:t>
            </w:r>
          </w:p>
        </w:tc>
      </w:tr>
      <w:tr w14:paraId="78B085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Merge w:val="restart"/>
            <w:vAlign w:val="center"/>
          </w:tcPr>
          <w:p w14:paraId="0844C7EF">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6</w:t>
            </w:r>
          </w:p>
        </w:tc>
        <w:tc>
          <w:tcPr>
            <w:tcW w:w="612" w:type="pct"/>
            <w:vMerge w:val="continue"/>
            <w:noWrap/>
            <w:vAlign w:val="center"/>
          </w:tcPr>
          <w:p w14:paraId="11B120DF">
            <w:pPr>
              <w:widowControl/>
              <w:spacing w:line="240" w:lineRule="auto"/>
              <w:ind w:firstLine="0" w:firstLineChars="0"/>
              <w:jc w:val="center"/>
              <w:textAlignment w:val="center"/>
              <w:rPr>
                <w:color w:val="auto"/>
                <w:kern w:val="0"/>
                <w:sz w:val="21"/>
                <w:szCs w:val="21"/>
                <w:lang w:bidi="ar"/>
              </w:rPr>
            </w:pPr>
          </w:p>
        </w:tc>
        <w:tc>
          <w:tcPr>
            <w:tcW w:w="864" w:type="pct"/>
            <w:vMerge w:val="restart"/>
            <w:noWrap/>
            <w:vAlign w:val="center"/>
          </w:tcPr>
          <w:p w14:paraId="3CF51680">
            <w:pPr>
              <w:widowControl/>
              <w:spacing w:line="240" w:lineRule="auto"/>
              <w:ind w:firstLine="0" w:firstLineChars="0"/>
              <w:jc w:val="center"/>
              <w:textAlignment w:val="center"/>
              <w:rPr>
                <w:color w:val="auto"/>
                <w:sz w:val="21"/>
                <w:szCs w:val="21"/>
              </w:rPr>
            </w:pPr>
            <w:r>
              <w:rPr>
                <w:rFonts w:hint="eastAsia"/>
                <w:color w:val="auto"/>
                <w:sz w:val="21"/>
                <w:szCs w:val="21"/>
              </w:rPr>
              <w:t>70%亚硫酸氢铵</w:t>
            </w:r>
          </w:p>
        </w:tc>
        <w:tc>
          <w:tcPr>
            <w:tcW w:w="237" w:type="pct"/>
            <w:vMerge w:val="restart"/>
            <w:vAlign w:val="center"/>
          </w:tcPr>
          <w:p w14:paraId="0A1DD6DB">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60AE1A0D">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1966224F">
            <w:pPr>
              <w:spacing w:line="240" w:lineRule="auto"/>
              <w:ind w:firstLine="0" w:firstLineChars="0"/>
              <w:jc w:val="center"/>
              <w:rPr>
                <w:color w:val="auto"/>
                <w:sz w:val="21"/>
                <w:szCs w:val="21"/>
              </w:rPr>
            </w:pPr>
          </w:p>
        </w:tc>
        <w:tc>
          <w:tcPr>
            <w:tcW w:w="638" w:type="pct"/>
            <w:vAlign w:val="center"/>
          </w:tcPr>
          <w:p w14:paraId="58A39B77">
            <w:pPr>
              <w:widowControl/>
              <w:spacing w:line="240" w:lineRule="auto"/>
              <w:ind w:firstLine="0" w:firstLineChars="0"/>
              <w:jc w:val="center"/>
              <w:textAlignment w:val="center"/>
              <w:rPr>
                <w:color w:val="auto"/>
                <w:kern w:val="0"/>
                <w:sz w:val="21"/>
                <w:szCs w:val="21"/>
              </w:rPr>
            </w:pPr>
          </w:p>
        </w:tc>
        <w:tc>
          <w:tcPr>
            <w:tcW w:w="412" w:type="pct"/>
            <w:vAlign w:val="center"/>
          </w:tcPr>
          <w:p w14:paraId="63B84C41">
            <w:pPr>
              <w:spacing w:line="240" w:lineRule="auto"/>
              <w:ind w:firstLine="0" w:firstLineChars="0"/>
              <w:jc w:val="center"/>
              <w:rPr>
                <w:color w:val="auto"/>
                <w:sz w:val="21"/>
                <w:szCs w:val="21"/>
              </w:rPr>
            </w:pPr>
            <w:r>
              <w:rPr>
                <w:rFonts w:hint="eastAsia"/>
                <w:color w:val="auto"/>
                <w:sz w:val="21"/>
                <w:szCs w:val="21"/>
              </w:rPr>
              <w:t>6</w:t>
            </w:r>
          </w:p>
        </w:tc>
        <w:tc>
          <w:tcPr>
            <w:tcW w:w="468" w:type="pct"/>
            <w:vAlign w:val="center"/>
          </w:tcPr>
          <w:p w14:paraId="587D0250">
            <w:pPr>
              <w:spacing w:line="240" w:lineRule="auto"/>
              <w:ind w:firstLine="0" w:firstLineChars="0"/>
              <w:jc w:val="center"/>
              <w:rPr>
                <w:color w:val="auto"/>
                <w:sz w:val="21"/>
                <w:szCs w:val="21"/>
              </w:rPr>
            </w:pPr>
            <w:r>
              <w:rPr>
                <w:rFonts w:hint="eastAsia"/>
                <w:color w:val="auto"/>
                <w:sz w:val="21"/>
                <w:szCs w:val="21"/>
              </w:rPr>
              <w:t>12</w:t>
            </w:r>
          </w:p>
        </w:tc>
        <w:tc>
          <w:tcPr>
            <w:tcW w:w="336" w:type="pct"/>
            <w:vAlign w:val="center"/>
          </w:tcPr>
          <w:p w14:paraId="28630A86">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08854F03">
            <w:pPr>
              <w:spacing w:line="240" w:lineRule="auto"/>
              <w:ind w:firstLine="0" w:firstLineChars="0"/>
              <w:jc w:val="center"/>
              <w:rPr>
                <w:color w:val="auto"/>
                <w:sz w:val="21"/>
                <w:szCs w:val="21"/>
              </w:rPr>
            </w:pPr>
            <w:r>
              <w:rPr>
                <w:rFonts w:hint="eastAsia"/>
                <w:color w:val="auto"/>
                <w:sz w:val="21"/>
                <w:szCs w:val="21"/>
              </w:rPr>
              <w:t>常压</w:t>
            </w:r>
          </w:p>
        </w:tc>
      </w:tr>
      <w:tr w14:paraId="28F155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Merge w:val="continue"/>
            <w:vAlign w:val="center"/>
          </w:tcPr>
          <w:p w14:paraId="1A1F16F2">
            <w:pPr>
              <w:widowControl/>
              <w:spacing w:line="240" w:lineRule="auto"/>
              <w:ind w:firstLine="0" w:firstLineChars="0"/>
              <w:jc w:val="center"/>
              <w:textAlignment w:val="center"/>
              <w:rPr>
                <w:color w:val="auto"/>
                <w:kern w:val="0"/>
                <w:sz w:val="21"/>
                <w:szCs w:val="21"/>
              </w:rPr>
            </w:pPr>
          </w:p>
        </w:tc>
        <w:tc>
          <w:tcPr>
            <w:tcW w:w="612" w:type="pct"/>
            <w:vMerge w:val="continue"/>
            <w:noWrap/>
            <w:vAlign w:val="center"/>
          </w:tcPr>
          <w:p w14:paraId="5B41D84C">
            <w:pPr>
              <w:widowControl/>
              <w:spacing w:line="240" w:lineRule="auto"/>
              <w:ind w:firstLine="0" w:firstLineChars="0"/>
              <w:jc w:val="center"/>
              <w:textAlignment w:val="center"/>
              <w:rPr>
                <w:color w:val="auto"/>
                <w:kern w:val="0"/>
                <w:sz w:val="21"/>
                <w:szCs w:val="21"/>
                <w:lang w:bidi="ar"/>
              </w:rPr>
            </w:pPr>
          </w:p>
        </w:tc>
        <w:tc>
          <w:tcPr>
            <w:tcW w:w="864" w:type="pct"/>
            <w:vMerge w:val="continue"/>
            <w:noWrap/>
            <w:vAlign w:val="center"/>
          </w:tcPr>
          <w:p w14:paraId="62895EAF">
            <w:pPr>
              <w:widowControl/>
              <w:spacing w:line="240" w:lineRule="auto"/>
              <w:ind w:firstLine="0" w:firstLineChars="0"/>
              <w:jc w:val="center"/>
              <w:textAlignment w:val="center"/>
              <w:rPr>
                <w:color w:val="auto"/>
                <w:sz w:val="21"/>
                <w:szCs w:val="21"/>
              </w:rPr>
            </w:pPr>
          </w:p>
        </w:tc>
        <w:tc>
          <w:tcPr>
            <w:tcW w:w="237" w:type="pct"/>
            <w:vMerge w:val="continue"/>
            <w:vAlign w:val="center"/>
          </w:tcPr>
          <w:p w14:paraId="50FE8543">
            <w:pPr>
              <w:widowControl/>
              <w:spacing w:line="240" w:lineRule="auto"/>
              <w:ind w:firstLine="0" w:firstLineChars="0"/>
              <w:jc w:val="center"/>
              <w:textAlignment w:val="center"/>
              <w:rPr>
                <w:color w:val="auto"/>
                <w:kern w:val="0"/>
                <w:sz w:val="21"/>
                <w:szCs w:val="21"/>
              </w:rPr>
            </w:pPr>
          </w:p>
        </w:tc>
        <w:tc>
          <w:tcPr>
            <w:tcW w:w="384" w:type="pct"/>
            <w:vAlign w:val="center"/>
          </w:tcPr>
          <w:p w14:paraId="4716788A">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1641AF7A">
            <w:pPr>
              <w:spacing w:line="240" w:lineRule="auto"/>
              <w:ind w:firstLine="0" w:firstLineChars="0"/>
              <w:jc w:val="center"/>
              <w:rPr>
                <w:color w:val="auto"/>
                <w:kern w:val="0"/>
                <w:sz w:val="21"/>
                <w:szCs w:val="21"/>
              </w:rPr>
            </w:pPr>
          </w:p>
        </w:tc>
        <w:tc>
          <w:tcPr>
            <w:tcW w:w="638" w:type="pct"/>
            <w:vAlign w:val="center"/>
          </w:tcPr>
          <w:p w14:paraId="5D5584CA">
            <w:pPr>
              <w:widowControl/>
              <w:spacing w:line="240" w:lineRule="auto"/>
              <w:ind w:firstLine="0" w:firstLineChars="0"/>
              <w:jc w:val="center"/>
              <w:textAlignment w:val="center"/>
              <w:rPr>
                <w:color w:val="auto"/>
                <w:kern w:val="0"/>
                <w:sz w:val="21"/>
                <w:szCs w:val="21"/>
              </w:rPr>
            </w:pPr>
          </w:p>
        </w:tc>
        <w:tc>
          <w:tcPr>
            <w:tcW w:w="412" w:type="pct"/>
            <w:vAlign w:val="center"/>
          </w:tcPr>
          <w:p w14:paraId="0B9015F4">
            <w:pPr>
              <w:spacing w:line="240" w:lineRule="auto"/>
              <w:ind w:firstLine="0" w:firstLineChars="0"/>
              <w:jc w:val="center"/>
              <w:rPr>
                <w:color w:val="auto"/>
                <w:sz w:val="21"/>
                <w:szCs w:val="21"/>
              </w:rPr>
            </w:pPr>
            <w:r>
              <w:rPr>
                <w:rFonts w:hint="eastAsia"/>
                <w:color w:val="auto"/>
                <w:sz w:val="21"/>
                <w:szCs w:val="21"/>
              </w:rPr>
              <w:t>6</w:t>
            </w:r>
          </w:p>
        </w:tc>
        <w:tc>
          <w:tcPr>
            <w:tcW w:w="468" w:type="pct"/>
            <w:vAlign w:val="center"/>
          </w:tcPr>
          <w:p w14:paraId="6D1C2B13">
            <w:pPr>
              <w:spacing w:line="240" w:lineRule="auto"/>
              <w:ind w:firstLine="0" w:firstLineChars="0"/>
              <w:jc w:val="center"/>
              <w:rPr>
                <w:color w:val="auto"/>
                <w:sz w:val="21"/>
                <w:szCs w:val="21"/>
              </w:rPr>
            </w:pPr>
            <w:r>
              <w:rPr>
                <w:rFonts w:hint="eastAsia"/>
                <w:color w:val="auto"/>
                <w:sz w:val="21"/>
                <w:szCs w:val="21"/>
              </w:rPr>
              <w:t>10</w:t>
            </w:r>
          </w:p>
        </w:tc>
        <w:tc>
          <w:tcPr>
            <w:tcW w:w="336" w:type="pct"/>
            <w:vAlign w:val="center"/>
          </w:tcPr>
          <w:p w14:paraId="55E81269">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06CE760B">
            <w:pPr>
              <w:spacing w:line="240" w:lineRule="auto"/>
              <w:ind w:firstLine="0" w:firstLineChars="0"/>
              <w:jc w:val="center"/>
              <w:rPr>
                <w:color w:val="auto"/>
                <w:sz w:val="21"/>
                <w:szCs w:val="21"/>
              </w:rPr>
            </w:pPr>
            <w:r>
              <w:rPr>
                <w:rFonts w:hint="eastAsia"/>
                <w:color w:val="auto"/>
                <w:sz w:val="21"/>
                <w:szCs w:val="21"/>
              </w:rPr>
              <w:t>常压</w:t>
            </w:r>
          </w:p>
        </w:tc>
      </w:tr>
      <w:tr w14:paraId="15BE95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Merge w:val="continue"/>
            <w:vAlign w:val="center"/>
          </w:tcPr>
          <w:p w14:paraId="1C8A080C">
            <w:pPr>
              <w:widowControl/>
              <w:spacing w:line="240" w:lineRule="auto"/>
              <w:ind w:firstLine="0" w:firstLineChars="0"/>
              <w:jc w:val="center"/>
              <w:textAlignment w:val="center"/>
              <w:rPr>
                <w:color w:val="auto"/>
                <w:kern w:val="0"/>
                <w:sz w:val="21"/>
                <w:szCs w:val="21"/>
              </w:rPr>
            </w:pPr>
          </w:p>
        </w:tc>
        <w:tc>
          <w:tcPr>
            <w:tcW w:w="612" w:type="pct"/>
            <w:vMerge w:val="continue"/>
            <w:noWrap/>
            <w:vAlign w:val="center"/>
          </w:tcPr>
          <w:p w14:paraId="0EE3DDB5">
            <w:pPr>
              <w:widowControl/>
              <w:spacing w:line="240" w:lineRule="auto"/>
              <w:ind w:firstLine="0" w:firstLineChars="0"/>
              <w:jc w:val="center"/>
              <w:textAlignment w:val="center"/>
              <w:rPr>
                <w:color w:val="auto"/>
                <w:kern w:val="0"/>
                <w:sz w:val="21"/>
                <w:szCs w:val="21"/>
                <w:lang w:bidi="ar"/>
              </w:rPr>
            </w:pPr>
          </w:p>
        </w:tc>
        <w:tc>
          <w:tcPr>
            <w:tcW w:w="864" w:type="pct"/>
            <w:vMerge w:val="continue"/>
            <w:noWrap/>
            <w:vAlign w:val="center"/>
          </w:tcPr>
          <w:p w14:paraId="1FB7CE20">
            <w:pPr>
              <w:widowControl/>
              <w:spacing w:line="240" w:lineRule="auto"/>
              <w:ind w:firstLine="0" w:firstLineChars="0"/>
              <w:jc w:val="center"/>
              <w:textAlignment w:val="center"/>
              <w:rPr>
                <w:color w:val="auto"/>
                <w:sz w:val="21"/>
                <w:szCs w:val="21"/>
              </w:rPr>
            </w:pPr>
          </w:p>
        </w:tc>
        <w:tc>
          <w:tcPr>
            <w:tcW w:w="237" w:type="pct"/>
            <w:vMerge w:val="continue"/>
            <w:vAlign w:val="center"/>
          </w:tcPr>
          <w:p w14:paraId="6760F2C7">
            <w:pPr>
              <w:widowControl/>
              <w:spacing w:line="240" w:lineRule="auto"/>
              <w:ind w:firstLine="0" w:firstLineChars="0"/>
              <w:jc w:val="center"/>
              <w:textAlignment w:val="center"/>
              <w:rPr>
                <w:color w:val="auto"/>
                <w:kern w:val="0"/>
                <w:sz w:val="21"/>
                <w:szCs w:val="21"/>
              </w:rPr>
            </w:pPr>
          </w:p>
        </w:tc>
        <w:tc>
          <w:tcPr>
            <w:tcW w:w="384" w:type="pct"/>
            <w:vAlign w:val="center"/>
          </w:tcPr>
          <w:p w14:paraId="0123CBB4">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0387C62E">
            <w:pPr>
              <w:spacing w:line="240" w:lineRule="auto"/>
              <w:ind w:firstLine="0" w:firstLineChars="0"/>
              <w:jc w:val="center"/>
              <w:rPr>
                <w:color w:val="auto"/>
                <w:kern w:val="0"/>
                <w:sz w:val="21"/>
                <w:szCs w:val="21"/>
              </w:rPr>
            </w:pPr>
          </w:p>
        </w:tc>
        <w:tc>
          <w:tcPr>
            <w:tcW w:w="638" w:type="pct"/>
            <w:vAlign w:val="center"/>
          </w:tcPr>
          <w:p w14:paraId="48041FF5">
            <w:pPr>
              <w:widowControl/>
              <w:spacing w:line="240" w:lineRule="auto"/>
              <w:ind w:firstLine="0" w:firstLineChars="0"/>
              <w:jc w:val="center"/>
              <w:textAlignment w:val="center"/>
              <w:rPr>
                <w:color w:val="auto"/>
                <w:kern w:val="0"/>
                <w:sz w:val="21"/>
                <w:szCs w:val="21"/>
              </w:rPr>
            </w:pPr>
          </w:p>
        </w:tc>
        <w:tc>
          <w:tcPr>
            <w:tcW w:w="412" w:type="pct"/>
            <w:vAlign w:val="center"/>
          </w:tcPr>
          <w:p w14:paraId="471E74F3">
            <w:pPr>
              <w:spacing w:line="240" w:lineRule="auto"/>
              <w:ind w:firstLine="0" w:firstLineChars="0"/>
              <w:jc w:val="center"/>
              <w:rPr>
                <w:color w:val="auto"/>
                <w:sz w:val="21"/>
                <w:szCs w:val="21"/>
              </w:rPr>
            </w:pPr>
            <w:r>
              <w:rPr>
                <w:rFonts w:hint="eastAsia"/>
                <w:color w:val="auto"/>
                <w:sz w:val="21"/>
                <w:szCs w:val="21"/>
              </w:rPr>
              <w:t>11</w:t>
            </w:r>
          </w:p>
        </w:tc>
        <w:tc>
          <w:tcPr>
            <w:tcW w:w="468" w:type="pct"/>
            <w:vAlign w:val="center"/>
          </w:tcPr>
          <w:p w14:paraId="1A3A8F7B">
            <w:pPr>
              <w:spacing w:line="240" w:lineRule="auto"/>
              <w:ind w:firstLine="0" w:firstLineChars="0"/>
              <w:jc w:val="center"/>
              <w:rPr>
                <w:color w:val="auto"/>
                <w:sz w:val="21"/>
                <w:szCs w:val="21"/>
              </w:rPr>
            </w:pPr>
            <w:r>
              <w:rPr>
                <w:rFonts w:hint="eastAsia"/>
                <w:color w:val="auto"/>
                <w:sz w:val="21"/>
                <w:szCs w:val="21"/>
              </w:rPr>
              <w:t>14</w:t>
            </w:r>
          </w:p>
        </w:tc>
        <w:tc>
          <w:tcPr>
            <w:tcW w:w="336" w:type="pct"/>
            <w:vAlign w:val="center"/>
          </w:tcPr>
          <w:p w14:paraId="18D2D2E0">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05CBDFB2">
            <w:pPr>
              <w:spacing w:line="240" w:lineRule="auto"/>
              <w:ind w:firstLine="0" w:firstLineChars="0"/>
              <w:jc w:val="center"/>
              <w:rPr>
                <w:color w:val="auto"/>
                <w:sz w:val="21"/>
                <w:szCs w:val="21"/>
              </w:rPr>
            </w:pPr>
            <w:r>
              <w:rPr>
                <w:rFonts w:hint="eastAsia"/>
                <w:color w:val="auto"/>
                <w:sz w:val="21"/>
                <w:szCs w:val="21"/>
              </w:rPr>
              <w:t>常压</w:t>
            </w:r>
          </w:p>
        </w:tc>
      </w:tr>
      <w:tr w14:paraId="2332B4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Merge w:val="continue"/>
            <w:vAlign w:val="center"/>
          </w:tcPr>
          <w:p w14:paraId="58CF8F08">
            <w:pPr>
              <w:widowControl/>
              <w:spacing w:line="240" w:lineRule="auto"/>
              <w:ind w:firstLine="0" w:firstLineChars="0"/>
              <w:jc w:val="center"/>
              <w:textAlignment w:val="center"/>
              <w:rPr>
                <w:color w:val="auto"/>
                <w:kern w:val="0"/>
                <w:sz w:val="21"/>
                <w:szCs w:val="21"/>
              </w:rPr>
            </w:pPr>
          </w:p>
        </w:tc>
        <w:tc>
          <w:tcPr>
            <w:tcW w:w="612" w:type="pct"/>
            <w:vMerge w:val="continue"/>
            <w:noWrap/>
            <w:vAlign w:val="center"/>
          </w:tcPr>
          <w:p w14:paraId="5A4EBAAE">
            <w:pPr>
              <w:widowControl/>
              <w:spacing w:line="240" w:lineRule="auto"/>
              <w:ind w:firstLine="0" w:firstLineChars="0"/>
              <w:jc w:val="center"/>
              <w:textAlignment w:val="center"/>
              <w:rPr>
                <w:color w:val="auto"/>
                <w:kern w:val="0"/>
                <w:sz w:val="21"/>
                <w:szCs w:val="21"/>
                <w:lang w:bidi="ar"/>
              </w:rPr>
            </w:pPr>
          </w:p>
        </w:tc>
        <w:tc>
          <w:tcPr>
            <w:tcW w:w="864" w:type="pct"/>
            <w:vMerge w:val="continue"/>
            <w:noWrap/>
            <w:vAlign w:val="center"/>
          </w:tcPr>
          <w:p w14:paraId="16CA9B44">
            <w:pPr>
              <w:widowControl/>
              <w:spacing w:line="240" w:lineRule="auto"/>
              <w:ind w:firstLine="0" w:firstLineChars="0"/>
              <w:jc w:val="center"/>
              <w:textAlignment w:val="center"/>
              <w:rPr>
                <w:color w:val="auto"/>
                <w:sz w:val="21"/>
                <w:szCs w:val="21"/>
              </w:rPr>
            </w:pPr>
          </w:p>
        </w:tc>
        <w:tc>
          <w:tcPr>
            <w:tcW w:w="237" w:type="pct"/>
            <w:vMerge w:val="continue"/>
            <w:vAlign w:val="center"/>
          </w:tcPr>
          <w:p w14:paraId="6AB6F7A8">
            <w:pPr>
              <w:widowControl/>
              <w:spacing w:line="240" w:lineRule="auto"/>
              <w:ind w:firstLine="0" w:firstLineChars="0"/>
              <w:jc w:val="center"/>
              <w:textAlignment w:val="center"/>
              <w:rPr>
                <w:color w:val="auto"/>
                <w:kern w:val="0"/>
                <w:sz w:val="21"/>
                <w:szCs w:val="21"/>
              </w:rPr>
            </w:pPr>
          </w:p>
        </w:tc>
        <w:tc>
          <w:tcPr>
            <w:tcW w:w="384" w:type="pct"/>
            <w:vAlign w:val="center"/>
          </w:tcPr>
          <w:p w14:paraId="0EC03628">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27240336">
            <w:pPr>
              <w:spacing w:line="240" w:lineRule="auto"/>
              <w:ind w:firstLine="0" w:firstLineChars="0"/>
              <w:jc w:val="center"/>
              <w:rPr>
                <w:color w:val="auto"/>
                <w:kern w:val="0"/>
                <w:sz w:val="21"/>
                <w:szCs w:val="21"/>
              </w:rPr>
            </w:pPr>
          </w:p>
        </w:tc>
        <w:tc>
          <w:tcPr>
            <w:tcW w:w="638" w:type="pct"/>
            <w:vAlign w:val="center"/>
          </w:tcPr>
          <w:p w14:paraId="0252DB05">
            <w:pPr>
              <w:widowControl/>
              <w:spacing w:line="240" w:lineRule="auto"/>
              <w:ind w:firstLine="0" w:firstLineChars="0"/>
              <w:jc w:val="center"/>
              <w:textAlignment w:val="center"/>
              <w:rPr>
                <w:color w:val="auto"/>
                <w:kern w:val="0"/>
                <w:sz w:val="21"/>
                <w:szCs w:val="21"/>
              </w:rPr>
            </w:pPr>
          </w:p>
        </w:tc>
        <w:tc>
          <w:tcPr>
            <w:tcW w:w="412" w:type="pct"/>
            <w:vAlign w:val="center"/>
          </w:tcPr>
          <w:p w14:paraId="774E4A88">
            <w:pPr>
              <w:spacing w:line="240" w:lineRule="auto"/>
              <w:ind w:firstLine="0" w:firstLineChars="0"/>
              <w:jc w:val="center"/>
              <w:rPr>
                <w:color w:val="auto"/>
                <w:sz w:val="21"/>
                <w:szCs w:val="21"/>
              </w:rPr>
            </w:pPr>
            <w:r>
              <w:rPr>
                <w:rFonts w:hint="eastAsia"/>
                <w:color w:val="auto"/>
                <w:sz w:val="21"/>
                <w:szCs w:val="21"/>
              </w:rPr>
              <w:t>6.6</w:t>
            </w:r>
          </w:p>
        </w:tc>
        <w:tc>
          <w:tcPr>
            <w:tcW w:w="468" w:type="pct"/>
            <w:vAlign w:val="center"/>
          </w:tcPr>
          <w:p w14:paraId="26328A56">
            <w:pPr>
              <w:spacing w:line="240" w:lineRule="auto"/>
              <w:ind w:firstLine="0" w:firstLineChars="0"/>
              <w:jc w:val="center"/>
              <w:rPr>
                <w:color w:val="auto"/>
                <w:sz w:val="21"/>
                <w:szCs w:val="21"/>
              </w:rPr>
            </w:pPr>
            <w:r>
              <w:rPr>
                <w:rFonts w:hint="eastAsia"/>
                <w:color w:val="auto"/>
                <w:sz w:val="21"/>
                <w:szCs w:val="21"/>
              </w:rPr>
              <w:t>12</w:t>
            </w:r>
          </w:p>
        </w:tc>
        <w:tc>
          <w:tcPr>
            <w:tcW w:w="336" w:type="pct"/>
            <w:vAlign w:val="center"/>
          </w:tcPr>
          <w:p w14:paraId="217EBC9A">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7F6CA8D2">
            <w:pPr>
              <w:spacing w:line="240" w:lineRule="auto"/>
              <w:ind w:firstLine="0" w:firstLineChars="0"/>
              <w:jc w:val="center"/>
              <w:rPr>
                <w:color w:val="auto"/>
                <w:sz w:val="21"/>
                <w:szCs w:val="21"/>
              </w:rPr>
            </w:pPr>
            <w:r>
              <w:rPr>
                <w:rFonts w:hint="eastAsia"/>
                <w:color w:val="auto"/>
                <w:sz w:val="21"/>
                <w:szCs w:val="21"/>
              </w:rPr>
              <w:t>常压</w:t>
            </w:r>
          </w:p>
        </w:tc>
      </w:tr>
      <w:tr w14:paraId="50F987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176DF625">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7</w:t>
            </w:r>
          </w:p>
        </w:tc>
        <w:tc>
          <w:tcPr>
            <w:tcW w:w="612" w:type="pct"/>
            <w:vMerge w:val="continue"/>
            <w:noWrap/>
            <w:vAlign w:val="center"/>
          </w:tcPr>
          <w:p w14:paraId="5987B818">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62D8059B">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99.5%液硫</w:t>
            </w:r>
          </w:p>
        </w:tc>
        <w:tc>
          <w:tcPr>
            <w:tcW w:w="237" w:type="pct"/>
            <w:vAlign w:val="center"/>
          </w:tcPr>
          <w:p w14:paraId="6413E781">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3A9E711F">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0410A317">
            <w:pPr>
              <w:spacing w:line="240" w:lineRule="auto"/>
              <w:ind w:firstLine="0" w:firstLineChars="0"/>
              <w:jc w:val="center"/>
              <w:rPr>
                <w:color w:val="auto"/>
                <w:sz w:val="21"/>
                <w:szCs w:val="21"/>
              </w:rPr>
            </w:pPr>
          </w:p>
        </w:tc>
        <w:tc>
          <w:tcPr>
            <w:tcW w:w="638" w:type="pct"/>
            <w:vAlign w:val="center"/>
          </w:tcPr>
          <w:p w14:paraId="394B66F2">
            <w:pPr>
              <w:widowControl/>
              <w:spacing w:line="240" w:lineRule="auto"/>
              <w:ind w:firstLine="0" w:firstLineChars="0"/>
              <w:jc w:val="center"/>
              <w:textAlignment w:val="center"/>
              <w:rPr>
                <w:color w:val="auto"/>
                <w:kern w:val="0"/>
                <w:sz w:val="21"/>
                <w:szCs w:val="21"/>
              </w:rPr>
            </w:pPr>
          </w:p>
        </w:tc>
        <w:tc>
          <w:tcPr>
            <w:tcW w:w="412" w:type="pct"/>
            <w:vAlign w:val="center"/>
          </w:tcPr>
          <w:p w14:paraId="125CC218">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20AD70C4">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00702CEF">
            <w:pPr>
              <w:spacing w:line="240" w:lineRule="auto"/>
              <w:ind w:firstLine="0" w:firstLineChars="0"/>
              <w:jc w:val="center"/>
              <w:rPr>
                <w:color w:val="auto"/>
                <w:sz w:val="21"/>
                <w:szCs w:val="21"/>
              </w:rPr>
            </w:pPr>
            <w:r>
              <w:rPr>
                <w:rFonts w:hint="eastAsia"/>
                <w:color w:val="auto"/>
                <w:sz w:val="21"/>
                <w:szCs w:val="21"/>
              </w:rPr>
              <w:t>135-145</w:t>
            </w:r>
          </w:p>
        </w:tc>
        <w:tc>
          <w:tcPr>
            <w:tcW w:w="347" w:type="pct"/>
            <w:vAlign w:val="center"/>
          </w:tcPr>
          <w:p w14:paraId="15F8CD50">
            <w:pPr>
              <w:spacing w:line="240" w:lineRule="auto"/>
              <w:ind w:firstLine="0" w:firstLineChars="0"/>
              <w:jc w:val="center"/>
              <w:rPr>
                <w:color w:val="auto"/>
                <w:sz w:val="21"/>
                <w:szCs w:val="21"/>
              </w:rPr>
            </w:pPr>
            <w:r>
              <w:rPr>
                <w:rFonts w:hint="eastAsia"/>
                <w:color w:val="auto"/>
                <w:sz w:val="21"/>
                <w:szCs w:val="21"/>
              </w:rPr>
              <w:t>常压</w:t>
            </w:r>
          </w:p>
        </w:tc>
      </w:tr>
      <w:tr w14:paraId="374CB9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10A0AE2D">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8</w:t>
            </w:r>
          </w:p>
        </w:tc>
        <w:tc>
          <w:tcPr>
            <w:tcW w:w="612" w:type="pct"/>
            <w:vMerge w:val="continue"/>
            <w:noWrap/>
            <w:vAlign w:val="center"/>
          </w:tcPr>
          <w:p w14:paraId="403E3EF9">
            <w:pPr>
              <w:widowControl/>
              <w:spacing w:line="240" w:lineRule="auto"/>
              <w:ind w:firstLine="0" w:firstLineChars="0"/>
              <w:jc w:val="center"/>
              <w:textAlignment w:val="center"/>
              <w:rPr>
                <w:color w:val="auto"/>
                <w:kern w:val="0"/>
                <w:sz w:val="21"/>
                <w:szCs w:val="21"/>
              </w:rPr>
            </w:pPr>
          </w:p>
        </w:tc>
        <w:tc>
          <w:tcPr>
            <w:tcW w:w="864" w:type="pct"/>
            <w:noWrap/>
            <w:vAlign w:val="center"/>
          </w:tcPr>
          <w:p w14:paraId="6CCF629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硫代硫酸钙回收的氨水</w:t>
            </w:r>
          </w:p>
        </w:tc>
        <w:tc>
          <w:tcPr>
            <w:tcW w:w="237" w:type="pct"/>
            <w:vAlign w:val="center"/>
          </w:tcPr>
          <w:p w14:paraId="0A9E79EE">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25D4B913">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589FC2F3">
            <w:pPr>
              <w:spacing w:line="240" w:lineRule="auto"/>
              <w:ind w:firstLine="0" w:firstLineChars="0"/>
              <w:jc w:val="center"/>
              <w:rPr>
                <w:color w:val="auto"/>
                <w:sz w:val="21"/>
                <w:szCs w:val="21"/>
              </w:rPr>
            </w:pPr>
          </w:p>
        </w:tc>
        <w:tc>
          <w:tcPr>
            <w:tcW w:w="638" w:type="pct"/>
            <w:vAlign w:val="center"/>
          </w:tcPr>
          <w:p w14:paraId="3390B8DD">
            <w:pPr>
              <w:widowControl/>
              <w:spacing w:line="240" w:lineRule="auto"/>
              <w:ind w:firstLine="0" w:firstLineChars="0"/>
              <w:jc w:val="center"/>
              <w:textAlignment w:val="center"/>
              <w:rPr>
                <w:color w:val="auto"/>
                <w:kern w:val="0"/>
                <w:sz w:val="21"/>
                <w:szCs w:val="21"/>
              </w:rPr>
            </w:pPr>
          </w:p>
        </w:tc>
        <w:tc>
          <w:tcPr>
            <w:tcW w:w="412" w:type="pct"/>
            <w:vAlign w:val="center"/>
          </w:tcPr>
          <w:p w14:paraId="6BC21A90">
            <w:pPr>
              <w:spacing w:line="240" w:lineRule="auto"/>
              <w:ind w:firstLine="0" w:firstLineChars="0"/>
              <w:jc w:val="center"/>
              <w:rPr>
                <w:color w:val="auto"/>
                <w:sz w:val="21"/>
                <w:szCs w:val="21"/>
              </w:rPr>
            </w:pPr>
            <w:r>
              <w:rPr>
                <w:rFonts w:hint="eastAsia"/>
                <w:color w:val="auto"/>
                <w:sz w:val="21"/>
                <w:szCs w:val="21"/>
              </w:rPr>
              <w:t>1.8</w:t>
            </w:r>
          </w:p>
        </w:tc>
        <w:tc>
          <w:tcPr>
            <w:tcW w:w="468" w:type="pct"/>
            <w:vAlign w:val="center"/>
          </w:tcPr>
          <w:p w14:paraId="51CDD5D7">
            <w:pPr>
              <w:spacing w:line="240" w:lineRule="auto"/>
              <w:ind w:firstLine="0" w:firstLineChars="0"/>
              <w:jc w:val="center"/>
              <w:rPr>
                <w:color w:val="auto"/>
                <w:sz w:val="21"/>
                <w:szCs w:val="21"/>
              </w:rPr>
            </w:pPr>
            <w:r>
              <w:rPr>
                <w:rFonts w:hint="eastAsia"/>
                <w:color w:val="auto"/>
                <w:sz w:val="21"/>
                <w:szCs w:val="21"/>
              </w:rPr>
              <w:t>4.4</w:t>
            </w:r>
          </w:p>
        </w:tc>
        <w:tc>
          <w:tcPr>
            <w:tcW w:w="336" w:type="pct"/>
            <w:vAlign w:val="center"/>
          </w:tcPr>
          <w:p w14:paraId="4FA3F407">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301656B3">
            <w:pPr>
              <w:spacing w:line="240" w:lineRule="auto"/>
              <w:ind w:firstLine="0" w:firstLineChars="0"/>
              <w:jc w:val="center"/>
              <w:rPr>
                <w:color w:val="auto"/>
                <w:sz w:val="21"/>
                <w:szCs w:val="21"/>
              </w:rPr>
            </w:pPr>
            <w:r>
              <w:rPr>
                <w:rFonts w:hint="eastAsia"/>
                <w:color w:val="auto"/>
                <w:sz w:val="21"/>
                <w:szCs w:val="21"/>
              </w:rPr>
              <w:t>常压</w:t>
            </w:r>
          </w:p>
        </w:tc>
      </w:tr>
      <w:tr w14:paraId="13D97F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5E0670FF">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9</w:t>
            </w:r>
          </w:p>
        </w:tc>
        <w:tc>
          <w:tcPr>
            <w:tcW w:w="612" w:type="pct"/>
            <w:vMerge w:val="restart"/>
            <w:noWrap/>
            <w:vAlign w:val="center"/>
          </w:tcPr>
          <w:p w14:paraId="3A7CBBE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硫代硫酸钙</w:t>
            </w:r>
          </w:p>
        </w:tc>
        <w:tc>
          <w:tcPr>
            <w:tcW w:w="864" w:type="pct"/>
            <w:noWrap/>
            <w:vAlign w:val="center"/>
          </w:tcPr>
          <w:p w14:paraId="10EFCB7A">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氧化钙</w:t>
            </w:r>
          </w:p>
        </w:tc>
        <w:tc>
          <w:tcPr>
            <w:tcW w:w="237" w:type="pct"/>
            <w:vAlign w:val="center"/>
          </w:tcPr>
          <w:p w14:paraId="714C2D31">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固态</w:t>
            </w:r>
          </w:p>
        </w:tc>
        <w:tc>
          <w:tcPr>
            <w:tcW w:w="384" w:type="pct"/>
            <w:vAlign w:val="center"/>
          </w:tcPr>
          <w:p w14:paraId="49324228">
            <w:pPr>
              <w:spacing w:line="240" w:lineRule="auto"/>
              <w:ind w:firstLine="0" w:firstLineChars="0"/>
              <w:jc w:val="center"/>
              <w:rPr>
                <w:color w:val="auto"/>
                <w:sz w:val="21"/>
                <w:szCs w:val="21"/>
              </w:rPr>
            </w:pPr>
            <w:r>
              <w:rPr>
                <w:rFonts w:hint="eastAsia"/>
                <w:color w:val="auto"/>
                <w:sz w:val="21"/>
                <w:szCs w:val="21"/>
              </w:rPr>
              <w:t>袋装</w:t>
            </w:r>
          </w:p>
        </w:tc>
        <w:tc>
          <w:tcPr>
            <w:tcW w:w="453" w:type="pct"/>
            <w:vAlign w:val="center"/>
          </w:tcPr>
          <w:p w14:paraId="0F8BB961">
            <w:pPr>
              <w:spacing w:line="240" w:lineRule="auto"/>
              <w:ind w:firstLine="0" w:firstLineChars="0"/>
              <w:jc w:val="center"/>
              <w:rPr>
                <w:color w:val="auto"/>
                <w:sz w:val="21"/>
                <w:szCs w:val="21"/>
              </w:rPr>
            </w:pPr>
          </w:p>
        </w:tc>
        <w:tc>
          <w:tcPr>
            <w:tcW w:w="638" w:type="pct"/>
            <w:vAlign w:val="center"/>
          </w:tcPr>
          <w:p w14:paraId="716A6828">
            <w:pPr>
              <w:widowControl/>
              <w:spacing w:line="240" w:lineRule="auto"/>
              <w:ind w:firstLine="0" w:firstLineChars="0"/>
              <w:jc w:val="center"/>
              <w:textAlignment w:val="center"/>
              <w:rPr>
                <w:color w:val="auto"/>
                <w:kern w:val="0"/>
                <w:sz w:val="21"/>
                <w:szCs w:val="21"/>
              </w:rPr>
            </w:pPr>
          </w:p>
        </w:tc>
        <w:tc>
          <w:tcPr>
            <w:tcW w:w="412" w:type="pct"/>
            <w:vAlign w:val="center"/>
          </w:tcPr>
          <w:p w14:paraId="666FF1AF">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4D43AF05">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11947AC8">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3B231257">
            <w:pPr>
              <w:spacing w:line="240" w:lineRule="auto"/>
              <w:ind w:firstLine="0" w:firstLineChars="0"/>
              <w:jc w:val="center"/>
              <w:rPr>
                <w:color w:val="auto"/>
                <w:sz w:val="21"/>
                <w:szCs w:val="21"/>
              </w:rPr>
            </w:pPr>
            <w:r>
              <w:rPr>
                <w:rFonts w:hint="eastAsia"/>
                <w:color w:val="auto"/>
                <w:sz w:val="21"/>
                <w:szCs w:val="21"/>
              </w:rPr>
              <w:t>/</w:t>
            </w:r>
          </w:p>
        </w:tc>
      </w:tr>
      <w:tr w14:paraId="15BD92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1EB3417E">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10</w:t>
            </w:r>
          </w:p>
        </w:tc>
        <w:tc>
          <w:tcPr>
            <w:tcW w:w="612" w:type="pct"/>
            <w:vMerge w:val="continue"/>
            <w:noWrap/>
            <w:vAlign w:val="center"/>
          </w:tcPr>
          <w:p w14:paraId="3A08A19B">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54212CE1">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59%硫代硫酸铵</w:t>
            </w:r>
          </w:p>
        </w:tc>
        <w:tc>
          <w:tcPr>
            <w:tcW w:w="237" w:type="pct"/>
            <w:vAlign w:val="center"/>
          </w:tcPr>
          <w:p w14:paraId="2A226FEE">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1C17CF35">
            <w:pPr>
              <w:spacing w:line="240" w:lineRule="auto"/>
              <w:ind w:firstLine="0" w:firstLineChars="0"/>
              <w:jc w:val="center"/>
              <w:rPr>
                <w:color w:val="auto"/>
                <w:sz w:val="21"/>
                <w:szCs w:val="21"/>
              </w:rPr>
            </w:pPr>
            <w:r>
              <w:rPr>
                <w:rFonts w:hint="eastAsia"/>
                <w:color w:val="auto"/>
                <w:sz w:val="21"/>
                <w:szCs w:val="21"/>
              </w:rPr>
              <w:t>吨桶</w:t>
            </w:r>
          </w:p>
        </w:tc>
        <w:tc>
          <w:tcPr>
            <w:tcW w:w="453" w:type="pct"/>
            <w:vAlign w:val="center"/>
          </w:tcPr>
          <w:p w14:paraId="5104B9FE">
            <w:pPr>
              <w:spacing w:line="240" w:lineRule="auto"/>
              <w:ind w:firstLine="0" w:firstLineChars="0"/>
              <w:jc w:val="center"/>
              <w:rPr>
                <w:color w:val="auto"/>
                <w:sz w:val="21"/>
                <w:szCs w:val="21"/>
              </w:rPr>
            </w:pPr>
          </w:p>
        </w:tc>
        <w:tc>
          <w:tcPr>
            <w:tcW w:w="638" w:type="pct"/>
            <w:vAlign w:val="center"/>
          </w:tcPr>
          <w:p w14:paraId="53E6CCD0">
            <w:pPr>
              <w:widowControl/>
              <w:spacing w:line="240" w:lineRule="auto"/>
              <w:ind w:firstLine="0" w:firstLineChars="0"/>
              <w:jc w:val="center"/>
              <w:textAlignment w:val="center"/>
              <w:rPr>
                <w:color w:val="auto"/>
                <w:kern w:val="0"/>
                <w:sz w:val="21"/>
                <w:szCs w:val="21"/>
              </w:rPr>
            </w:pPr>
          </w:p>
        </w:tc>
        <w:tc>
          <w:tcPr>
            <w:tcW w:w="412" w:type="pct"/>
            <w:vAlign w:val="center"/>
          </w:tcPr>
          <w:p w14:paraId="0A6D3EE5">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120926F9">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405CB68A">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49A4E922">
            <w:pPr>
              <w:spacing w:line="240" w:lineRule="auto"/>
              <w:ind w:firstLine="0" w:firstLineChars="0"/>
              <w:jc w:val="center"/>
              <w:rPr>
                <w:color w:val="auto"/>
                <w:sz w:val="21"/>
                <w:szCs w:val="21"/>
              </w:rPr>
            </w:pPr>
            <w:r>
              <w:rPr>
                <w:rFonts w:hint="eastAsia"/>
                <w:color w:val="auto"/>
                <w:sz w:val="21"/>
                <w:szCs w:val="21"/>
              </w:rPr>
              <w:t>/</w:t>
            </w:r>
          </w:p>
        </w:tc>
      </w:tr>
      <w:tr w14:paraId="7AB213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3507EB01">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11</w:t>
            </w:r>
          </w:p>
        </w:tc>
        <w:tc>
          <w:tcPr>
            <w:tcW w:w="612" w:type="pct"/>
            <w:vMerge w:val="restart"/>
            <w:noWrap/>
            <w:vAlign w:val="center"/>
          </w:tcPr>
          <w:p w14:paraId="63981B0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硫代硫酸镁</w:t>
            </w:r>
          </w:p>
        </w:tc>
        <w:tc>
          <w:tcPr>
            <w:tcW w:w="864" w:type="pct"/>
            <w:noWrap/>
            <w:vAlign w:val="center"/>
          </w:tcPr>
          <w:p w14:paraId="362A03DE">
            <w:pPr>
              <w:widowControl/>
              <w:spacing w:line="240" w:lineRule="auto"/>
              <w:ind w:firstLine="0" w:firstLineChars="0"/>
              <w:jc w:val="center"/>
              <w:textAlignment w:val="center"/>
              <w:rPr>
                <w:color w:val="auto"/>
                <w:sz w:val="21"/>
                <w:szCs w:val="21"/>
              </w:rPr>
            </w:pPr>
            <w:r>
              <w:rPr>
                <w:rFonts w:hint="eastAsia"/>
                <w:color w:val="auto"/>
                <w:sz w:val="21"/>
                <w:szCs w:val="21"/>
              </w:rPr>
              <w:t>99.99%碳酸镁</w:t>
            </w:r>
          </w:p>
        </w:tc>
        <w:tc>
          <w:tcPr>
            <w:tcW w:w="237" w:type="pct"/>
            <w:vAlign w:val="center"/>
          </w:tcPr>
          <w:p w14:paraId="5AD65227">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固态</w:t>
            </w:r>
          </w:p>
        </w:tc>
        <w:tc>
          <w:tcPr>
            <w:tcW w:w="384" w:type="pct"/>
            <w:vAlign w:val="center"/>
          </w:tcPr>
          <w:p w14:paraId="3524DD1C">
            <w:pPr>
              <w:spacing w:line="240" w:lineRule="auto"/>
              <w:ind w:firstLine="0" w:firstLineChars="0"/>
              <w:jc w:val="center"/>
              <w:rPr>
                <w:color w:val="auto"/>
                <w:sz w:val="21"/>
                <w:szCs w:val="21"/>
              </w:rPr>
            </w:pPr>
            <w:r>
              <w:rPr>
                <w:rFonts w:hint="eastAsia"/>
                <w:color w:val="auto"/>
                <w:sz w:val="21"/>
                <w:szCs w:val="21"/>
              </w:rPr>
              <w:t>袋装</w:t>
            </w:r>
          </w:p>
        </w:tc>
        <w:tc>
          <w:tcPr>
            <w:tcW w:w="453" w:type="pct"/>
            <w:vAlign w:val="center"/>
          </w:tcPr>
          <w:p w14:paraId="1C42DA76">
            <w:pPr>
              <w:spacing w:line="240" w:lineRule="auto"/>
              <w:ind w:firstLine="0" w:firstLineChars="0"/>
              <w:jc w:val="center"/>
              <w:rPr>
                <w:color w:val="auto"/>
                <w:sz w:val="21"/>
                <w:szCs w:val="21"/>
              </w:rPr>
            </w:pPr>
          </w:p>
        </w:tc>
        <w:tc>
          <w:tcPr>
            <w:tcW w:w="638" w:type="pct"/>
            <w:vAlign w:val="center"/>
          </w:tcPr>
          <w:p w14:paraId="42D96E4D">
            <w:pPr>
              <w:widowControl/>
              <w:spacing w:line="240" w:lineRule="auto"/>
              <w:ind w:firstLine="0" w:firstLineChars="0"/>
              <w:jc w:val="center"/>
              <w:textAlignment w:val="center"/>
              <w:rPr>
                <w:color w:val="auto"/>
                <w:kern w:val="0"/>
                <w:sz w:val="21"/>
                <w:szCs w:val="21"/>
              </w:rPr>
            </w:pPr>
          </w:p>
        </w:tc>
        <w:tc>
          <w:tcPr>
            <w:tcW w:w="412" w:type="pct"/>
            <w:vAlign w:val="center"/>
          </w:tcPr>
          <w:p w14:paraId="43ACEA3D">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5A8AA118">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08D3D516">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52A3234D">
            <w:pPr>
              <w:spacing w:line="240" w:lineRule="auto"/>
              <w:ind w:firstLine="0" w:firstLineChars="0"/>
              <w:jc w:val="center"/>
              <w:rPr>
                <w:color w:val="auto"/>
                <w:sz w:val="21"/>
                <w:szCs w:val="21"/>
              </w:rPr>
            </w:pPr>
            <w:r>
              <w:rPr>
                <w:rFonts w:hint="eastAsia"/>
                <w:color w:val="auto"/>
                <w:sz w:val="21"/>
                <w:szCs w:val="21"/>
              </w:rPr>
              <w:t>/</w:t>
            </w:r>
          </w:p>
        </w:tc>
      </w:tr>
      <w:tr w14:paraId="2AC76D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2F52DFFB">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12</w:t>
            </w:r>
          </w:p>
        </w:tc>
        <w:tc>
          <w:tcPr>
            <w:tcW w:w="612" w:type="pct"/>
            <w:vMerge w:val="continue"/>
            <w:noWrap/>
            <w:vAlign w:val="center"/>
          </w:tcPr>
          <w:p w14:paraId="16B30931">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26CE0D84">
            <w:pPr>
              <w:widowControl/>
              <w:spacing w:line="240" w:lineRule="auto"/>
              <w:ind w:firstLine="0" w:firstLineChars="0"/>
              <w:jc w:val="center"/>
              <w:textAlignment w:val="center"/>
              <w:rPr>
                <w:color w:val="auto"/>
                <w:sz w:val="21"/>
                <w:szCs w:val="21"/>
              </w:rPr>
            </w:pPr>
            <w:r>
              <w:rPr>
                <w:rFonts w:hint="eastAsia"/>
                <w:color w:val="auto"/>
                <w:sz w:val="21"/>
                <w:szCs w:val="21"/>
              </w:rPr>
              <w:t>二氧化硫</w:t>
            </w:r>
          </w:p>
        </w:tc>
        <w:tc>
          <w:tcPr>
            <w:tcW w:w="237" w:type="pct"/>
            <w:vAlign w:val="center"/>
          </w:tcPr>
          <w:p w14:paraId="481258A6">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气态</w:t>
            </w:r>
          </w:p>
        </w:tc>
        <w:tc>
          <w:tcPr>
            <w:tcW w:w="384" w:type="pct"/>
            <w:vAlign w:val="center"/>
          </w:tcPr>
          <w:p w14:paraId="486C4F03">
            <w:pPr>
              <w:widowControl/>
              <w:spacing w:line="240" w:lineRule="auto"/>
              <w:ind w:firstLine="0" w:firstLineChars="0"/>
              <w:jc w:val="center"/>
              <w:rPr>
                <w:color w:val="auto"/>
                <w:sz w:val="21"/>
                <w:szCs w:val="21"/>
              </w:rPr>
            </w:pPr>
            <w:r>
              <w:rPr>
                <w:rFonts w:hint="eastAsia"/>
                <w:color w:val="auto"/>
                <w:sz w:val="21"/>
                <w:szCs w:val="21"/>
              </w:rPr>
              <w:t>/</w:t>
            </w:r>
          </w:p>
        </w:tc>
        <w:tc>
          <w:tcPr>
            <w:tcW w:w="453" w:type="pct"/>
            <w:vAlign w:val="center"/>
          </w:tcPr>
          <w:p w14:paraId="457186F6">
            <w:pPr>
              <w:spacing w:line="240" w:lineRule="auto"/>
              <w:ind w:firstLine="0" w:firstLineChars="0"/>
              <w:jc w:val="center"/>
              <w:rPr>
                <w:color w:val="auto"/>
                <w:sz w:val="21"/>
                <w:szCs w:val="21"/>
              </w:rPr>
            </w:pPr>
          </w:p>
        </w:tc>
        <w:tc>
          <w:tcPr>
            <w:tcW w:w="638" w:type="pct"/>
            <w:vAlign w:val="center"/>
          </w:tcPr>
          <w:p w14:paraId="500B4407">
            <w:pPr>
              <w:widowControl/>
              <w:spacing w:line="240" w:lineRule="auto"/>
              <w:ind w:firstLine="0" w:firstLineChars="0"/>
              <w:jc w:val="center"/>
              <w:textAlignment w:val="center"/>
              <w:rPr>
                <w:color w:val="auto"/>
                <w:kern w:val="0"/>
                <w:sz w:val="21"/>
                <w:szCs w:val="21"/>
              </w:rPr>
            </w:pPr>
          </w:p>
        </w:tc>
        <w:tc>
          <w:tcPr>
            <w:tcW w:w="412" w:type="pct"/>
            <w:vAlign w:val="center"/>
          </w:tcPr>
          <w:p w14:paraId="2087EE09">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1F9BF0CB">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421FD59A">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0D32258F">
            <w:pPr>
              <w:spacing w:line="240" w:lineRule="auto"/>
              <w:ind w:firstLine="0" w:firstLineChars="0"/>
              <w:jc w:val="center"/>
              <w:rPr>
                <w:color w:val="auto"/>
                <w:sz w:val="21"/>
                <w:szCs w:val="21"/>
              </w:rPr>
            </w:pPr>
            <w:r>
              <w:rPr>
                <w:rFonts w:hint="eastAsia"/>
                <w:color w:val="auto"/>
                <w:sz w:val="21"/>
                <w:szCs w:val="21"/>
              </w:rPr>
              <w:t>/</w:t>
            </w:r>
          </w:p>
        </w:tc>
      </w:tr>
      <w:tr w14:paraId="3A80D5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173DF59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13</w:t>
            </w:r>
          </w:p>
        </w:tc>
        <w:tc>
          <w:tcPr>
            <w:tcW w:w="612" w:type="pct"/>
            <w:vMerge w:val="continue"/>
            <w:noWrap/>
            <w:vAlign w:val="center"/>
          </w:tcPr>
          <w:p w14:paraId="664EA3EE">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36614D6D">
            <w:pPr>
              <w:widowControl/>
              <w:spacing w:line="240" w:lineRule="auto"/>
              <w:ind w:firstLine="0" w:firstLineChars="0"/>
              <w:jc w:val="center"/>
              <w:textAlignment w:val="center"/>
              <w:rPr>
                <w:color w:val="auto"/>
                <w:sz w:val="21"/>
                <w:szCs w:val="21"/>
              </w:rPr>
            </w:pPr>
            <w:r>
              <w:rPr>
                <w:rFonts w:hint="eastAsia"/>
                <w:color w:val="auto"/>
                <w:kern w:val="0"/>
                <w:sz w:val="21"/>
                <w:szCs w:val="21"/>
              </w:rPr>
              <w:t>硫磺</w:t>
            </w:r>
          </w:p>
        </w:tc>
        <w:tc>
          <w:tcPr>
            <w:tcW w:w="237" w:type="pct"/>
            <w:vAlign w:val="center"/>
          </w:tcPr>
          <w:p w14:paraId="70B9F61A">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固态</w:t>
            </w:r>
          </w:p>
        </w:tc>
        <w:tc>
          <w:tcPr>
            <w:tcW w:w="384" w:type="pct"/>
            <w:vAlign w:val="center"/>
          </w:tcPr>
          <w:p w14:paraId="566A6E60">
            <w:pPr>
              <w:spacing w:line="240" w:lineRule="auto"/>
              <w:ind w:firstLine="0" w:firstLineChars="0"/>
              <w:jc w:val="center"/>
              <w:rPr>
                <w:color w:val="auto"/>
                <w:sz w:val="21"/>
                <w:szCs w:val="21"/>
              </w:rPr>
            </w:pPr>
            <w:r>
              <w:rPr>
                <w:rFonts w:hint="eastAsia"/>
                <w:color w:val="auto"/>
                <w:sz w:val="21"/>
                <w:szCs w:val="21"/>
              </w:rPr>
              <w:t>袋装</w:t>
            </w:r>
          </w:p>
        </w:tc>
        <w:tc>
          <w:tcPr>
            <w:tcW w:w="453" w:type="pct"/>
            <w:vAlign w:val="center"/>
          </w:tcPr>
          <w:p w14:paraId="2ACB7B81">
            <w:pPr>
              <w:spacing w:line="240" w:lineRule="auto"/>
              <w:ind w:firstLine="0" w:firstLineChars="0"/>
              <w:jc w:val="center"/>
              <w:rPr>
                <w:color w:val="auto"/>
                <w:sz w:val="21"/>
                <w:szCs w:val="21"/>
              </w:rPr>
            </w:pPr>
          </w:p>
        </w:tc>
        <w:tc>
          <w:tcPr>
            <w:tcW w:w="638" w:type="pct"/>
            <w:vAlign w:val="center"/>
          </w:tcPr>
          <w:p w14:paraId="212B560D">
            <w:pPr>
              <w:widowControl/>
              <w:spacing w:line="240" w:lineRule="auto"/>
              <w:ind w:firstLine="0" w:firstLineChars="0"/>
              <w:jc w:val="center"/>
              <w:textAlignment w:val="center"/>
              <w:rPr>
                <w:color w:val="auto"/>
                <w:kern w:val="0"/>
                <w:sz w:val="21"/>
                <w:szCs w:val="21"/>
              </w:rPr>
            </w:pPr>
          </w:p>
        </w:tc>
        <w:tc>
          <w:tcPr>
            <w:tcW w:w="412" w:type="pct"/>
            <w:vAlign w:val="center"/>
          </w:tcPr>
          <w:p w14:paraId="0C24C09B">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287D55F2">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743D30F7">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3F8D49F3">
            <w:pPr>
              <w:spacing w:line="240" w:lineRule="auto"/>
              <w:ind w:firstLine="0" w:firstLineChars="0"/>
              <w:jc w:val="center"/>
              <w:rPr>
                <w:color w:val="auto"/>
                <w:sz w:val="21"/>
                <w:szCs w:val="21"/>
              </w:rPr>
            </w:pPr>
            <w:r>
              <w:rPr>
                <w:rFonts w:hint="eastAsia"/>
                <w:color w:val="auto"/>
                <w:sz w:val="21"/>
                <w:szCs w:val="21"/>
              </w:rPr>
              <w:t>/</w:t>
            </w:r>
          </w:p>
        </w:tc>
      </w:tr>
      <w:tr w14:paraId="4DF475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90" w:hRule="atLeast"/>
          <w:jc w:val="center"/>
        </w:trPr>
        <w:tc>
          <w:tcPr>
            <w:tcW w:w="244" w:type="pct"/>
            <w:vAlign w:val="center"/>
          </w:tcPr>
          <w:p w14:paraId="31DDE3F7">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14</w:t>
            </w:r>
          </w:p>
        </w:tc>
        <w:tc>
          <w:tcPr>
            <w:tcW w:w="612" w:type="pct"/>
            <w:vMerge w:val="restart"/>
            <w:noWrap/>
            <w:vAlign w:val="center"/>
          </w:tcPr>
          <w:p w14:paraId="4529F0D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硫代硫酸钾</w:t>
            </w:r>
          </w:p>
        </w:tc>
        <w:tc>
          <w:tcPr>
            <w:tcW w:w="864" w:type="pct"/>
            <w:noWrap/>
            <w:vAlign w:val="center"/>
          </w:tcPr>
          <w:p w14:paraId="57857434">
            <w:pPr>
              <w:widowControl/>
              <w:spacing w:line="240" w:lineRule="auto"/>
              <w:ind w:firstLine="0" w:firstLineChars="0"/>
              <w:jc w:val="center"/>
              <w:textAlignment w:val="center"/>
              <w:rPr>
                <w:color w:val="auto"/>
                <w:sz w:val="21"/>
                <w:szCs w:val="21"/>
              </w:rPr>
            </w:pPr>
            <w:r>
              <w:rPr>
                <w:rFonts w:hint="eastAsia"/>
                <w:color w:val="auto"/>
                <w:sz w:val="21"/>
                <w:szCs w:val="21"/>
              </w:rPr>
              <w:t>46%亚硫酸钾</w:t>
            </w:r>
          </w:p>
        </w:tc>
        <w:tc>
          <w:tcPr>
            <w:tcW w:w="237" w:type="pct"/>
            <w:vAlign w:val="center"/>
          </w:tcPr>
          <w:p w14:paraId="1D61B95B">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21FC8B05">
            <w:pPr>
              <w:spacing w:line="240" w:lineRule="auto"/>
              <w:ind w:firstLine="0" w:firstLineChars="0"/>
              <w:jc w:val="center"/>
              <w:rPr>
                <w:color w:val="auto"/>
                <w:sz w:val="21"/>
                <w:szCs w:val="21"/>
              </w:rPr>
            </w:pPr>
            <w:r>
              <w:rPr>
                <w:rFonts w:hint="eastAsia"/>
                <w:color w:val="auto"/>
                <w:sz w:val="21"/>
                <w:szCs w:val="21"/>
              </w:rPr>
              <w:t>吨桶</w:t>
            </w:r>
          </w:p>
        </w:tc>
        <w:tc>
          <w:tcPr>
            <w:tcW w:w="453" w:type="pct"/>
            <w:vAlign w:val="center"/>
          </w:tcPr>
          <w:p w14:paraId="572B2E1D">
            <w:pPr>
              <w:spacing w:line="240" w:lineRule="auto"/>
              <w:ind w:firstLine="0" w:firstLineChars="0"/>
              <w:jc w:val="center"/>
              <w:rPr>
                <w:color w:val="auto"/>
                <w:sz w:val="21"/>
                <w:szCs w:val="21"/>
              </w:rPr>
            </w:pPr>
          </w:p>
        </w:tc>
        <w:tc>
          <w:tcPr>
            <w:tcW w:w="638" w:type="pct"/>
            <w:vAlign w:val="center"/>
          </w:tcPr>
          <w:p w14:paraId="7F1B4085">
            <w:pPr>
              <w:widowControl/>
              <w:spacing w:line="240" w:lineRule="auto"/>
              <w:ind w:firstLine="0" w:firstLineChars="0"/>
              <w:jc w:val="center"/>
              <w:textAlignment w:val="center"/>
              <w:rPr>
                <w:color w:val="auto"/>
                <w:kern w:val="0"/>
                <w:sz w:val="21"/>
                <w:szCs w:val="21"/>
              </w:rPr>
            </w:pPr>
          </w:p>
        </w:tc>
        <w:tc>
          <w:tcPr>
            <w:tcW w:w="412" w:type="pct"/>
            <w:vAlign w:val="center"/>
          </w:tcPr>
          <w:p w14:paraId="63919C86">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4F004528">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6FC28EEE">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5A247830">
            <w:pPr>
              <w:spacing w:line="240" w:lineRule="auto"/>
              <w:ind w:firstLine="0" w:firstLineChars="0"/>
              <w:jc w:val="center"/>
              <w:rPr>
                <w:color w:val="auto"/>
                <w:sz w:val="21"/>
                <w:szCs w:val="21"/>
              </w:rPr>
            </w:pPr>
            <w:r>
              <w:rPr>
                <w:rFonts w:hint="eastAsia"/>
                <w:color w:val="auto"/>
                <w:sz w:val="21"/>
                <w:szCs w:val="21"/>
              </w:rPr>
              <w:t>/</w:t>
            </w:r>
          </w:p>
        </w:tc>
      </w:tr>
      <w:tr w14:paraId="317654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90" w:hRule="atLeast"/>
          <w:jc w:val="center"/>
        </w:trPr>
        <w:tc>
          <w:tcPr>
            <w:tcW w:w="244" w:type="pct"/>
            <w:vAlign w:val="center"/>
          </w:tcPr>
          <w:p w14:paraId="124A879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15</w:t>
            </w:r>
          </w:p>
        </w:tc>
        <w:tc>
          <w:tcPr>
            <w:tcW w:w="612" w:type="pct"/>
            <w:vMerge w:val="continue"/>
            <w:noWrap/>
            <w:vAlign w:val="center"/>
          </w:tcPr>
          <w:p w14:paraId="3E307016">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3E701F0F">
            <w:pPr>
              <w:widowControl/>
              <w:spacing w:line="240" w:lineRule="auto"/>
              <w:ind w:firstLine="0" w:firstLineChars="0"/>
              <w:jc w:val="center"/>
              <w:textAlignment w:val="center"/>
              <w:rPr>
                <w:color w:val="auto"/>
                <w:sz w:val="21"/>
                <w:szCs w:val="21"/>
              </w:rPr>
            </w:pPr>
            <w:r>
              <w:rPr>
                <w:rFonts w:hint="eastAsia"/>
                <w:color w:val="auto"/>
                <w:kern w:val="0"/>
                <w:sz w:val="21"/>
                <w:szCs w:val="21"/>
              </w:rPr>
              <w:t>硫磺</w:t>
            </w:r>
          </w:p>
        </w:tc>
        <w:tc>
          <w:tcPr>
            <w:tcW w:w="237" w:type="pct"/>
            <w:vAlign w:val="center"/>
          </w:tcPr>
          <w:p w14:paraId="6398B80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固态</w:t>
            </w:r>
          </w:p>
        </w:tc>
        <w:tc>
          <w:tcPr>
            <w:tcW w:w="384" w:type="pct"/>
            <w:vAlign w:val="center"/>
          </w:tcPr>
          <w:p w14:paraId="5257C843">
            <w:pPr>
              <w:spacing w:line="240" w:lineRule="auto"/>
              <w:ind w:firstLine="0" w:firstLineChars="0"/>
              <w:jc w:val="center"/>
              <w:rPr>
                <w:color w:val="auto"/>
                <w:sz w:val="21"/>
                <w:szCs w:val="21"/>
              </w:rPr>
            </w:pPr>
            <w:r>
              <w:rPr>
                <w:rFonts w:hint="eastAsia"/>
                <w:color w:val="auto"/>
                <w:sz w:val="21"/>
                <w:szCs w:val="21"/>
              </w:rPr>
              <w:t>袋装</w:t>
            </w:r>
          </w:p>
        </w:tc>
        <w:tc>
          <w:tcPr>
            <w:tcW w:w="453" w:type="pct"/>
            <w:vAlign w:val="center"/>
          </w:tcPr>
          <w:p w14:paraId="460AA215">
            <w:pPr>
              <w:spacing w:line="240" w:lineRule="auto"/>
              <w:ind w:firstLine="0" w:firstLineChars="0"/>
              <w:jc w:val="center"/>
              <w:rPr>
                <w:color w:val="auto"/>
                <w:sz w:val="21"/>
                <w:szCs w:val="21"/>
              </w:rPr>
            </w:pPr>
          </w:p>
        </w:tc>
        <w:tc>
          <w:tcPr>
            <w:tcW w:w="638" w:type="pct"/>
            <w:vAlign w:val="center"/>
          </w:tcPr>
          <w:p w14:paraId="1AC3075A">
            <w:pPr>
              <w:widowControl/>
              <w:spacing w:line="240" w:lineRule="auto"/>
              <w:ind w:firstLine="0" w:firstLineChars="0"/>
              <w:jc w:val="center"/>
              <w:textAlignment w:val="center"/>
              <w:rPr>
                <w:color w:val="auto"/>
                <w:kern w:val="0"/>
                <w:sz w:val="21"/>
                <w:szCs w:val="21"/>
              </w:rPr>
            </w:pPr>
          </w:p>
        </w:tc>
        <w:tc>
          <w:tcPr>
            <w:tcW w:w="412" w:type="pct"/>
            <w:vAlign w:val="center"/>
          </w:tcPr>
          <w:p w14:paraId="57F6AC1C">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461D47C5">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30F13BC8">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3BAF5239">
            <w:pPr>
              <w:spacing w:line="240" w:lineRule="auto"/>
              <w:ind w:firstLine="0" w:firstLineChars="0"/>
              <w:jc w:val="center"/>
              <w:rPr>
                <w:color w:val="auto"/>
                <w:sz w:val="21"/>
                <w:szCs w:val="21"/>
              </w:rPr>
            </w:pPr>
            <w:r>
              <w:rPr>
                <w:rFonts w:hint="eastAsia"/>
                <w:color w:val="auto"/>
                <w:sz w:val="21"/>
                <w:szCs w:val="21"/>
              </w:rPr>
              <w:t>/</w:t>
            </w:r>
          </w:p>
        </w:tc>
      </w:tr>
      <w:tr w14:paraId="75B646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Merge w:val="restart"/>
            <w:vAlign w:val="center"/>
          </w:tcPr>
          <w:p w14:paraId="52B65085">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16</w:t>
            </w:r>
          </w:p>
        </w:tc>
        <w:tc>
          <w:tcPr>
            <w:tcW w:w="612" w:type="pct"/>
            <w:vMerge w:val="restart"/>
            <w:noWrap/>
            <w:vAlign w:val="center"/>
          </w:tcPr>
          <w:p w14:paraId="3B86441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一水亚硫酸铵</w:t>
            </w:r>
          </w:p>
          <w:p w14:paraId="55A197F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（氨工艺）</w:t>
            </w:r>
          </w:p>
        </w:tc>
        <w:tc>
          <w:tcPr>
            <w:tcW w:w="864" w:type="pct"/>
            <w:vMerge w:val="restart"/>
            <w:noWrap/>
            <w:vAlign w:val="center"/>
          </w:tcPr>
          <w:p w14:paraId="58340B6D">
            <w:pPr>
              <w:widowControl/>
              <w:spacing w:line="240" w:lineRule="auto"/>
              <w:ind w:firstLine="0" w:firstLineChars="0"/>
              <w:jc w:val="center"/>
              <w:textAlignment w:val="center"/>
              <w:rPr>
                <w:color w:val="auto"/>
                <w:sz w:val="21"/>
                <w:szCs w:val="21"/>
              </w:rPr>
            </w:pPr>
            <w:r>
              <w:rPr>
                <w:rFonts w:hint="eastAsia"/>
                <w:color w:val="auto"/>
                <w:sz w:val="21"/>
                <w:szCs w:val="21"/>
              </w:rPr>
              <w:t>70%亚硫酸氢铵</w:t>
            </w:r>
          </w:p>
        </w:tc>
        <w:tc>
          <w:tcPr>
            <w:tcW w:w="237" w:type="pct"/>
            <w:vMerge w:val="restart"/>
            <w:vAlign w:val="center"/>
          </w:tcPr>
          <w:p w14:paraId="5FAF38AD">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03577140">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72703F65">
            <w:pPr>
              <w:spacing w:line="240" w:lineRule="auto"/>
              <w:ind w:firstLine="0" w:firstLineChars="0"/>
              <w:jc w:val="center"/>
              <w:rPr>
                <w:color w:val="auto"/>
                <w:sz w:val="21"/>
                <w:szCs w:val="21"/>
              </w:rPr>
            </w:pPr>
          </w:p>
        </w:tc>
        <w:tc>
          <w:tcPr>
            <w:tcW w:w="638" w:type="pct"/>
            <w:vAlign w:val="center"/>
          </w:tcPr>
          <w:p w14:paraId="437060EE">
            <w:pPr>
              <w:widowControl/>
              <w:spacing w:line="240" w:lineRule="auto"/>
              <w:ind w:firstLine="0" w:firstLineChars="0"/>
              <w:jc w:val="center"/>
              <w:textAlignment w:val="center"/>
              <w:rPr>
                <w:color w:val="auto"/>
                <w:kern w:val="0"/>
                <w:sz w:val="21"/>
                <w:szCs w:val="21"/>
              </w:rPr>
            </w:pPr>
          </w:p>
        </w:tc>
        <w:tc>
          <w:tcPr>
            <w:tcW w:w="412" w:type="pct"/>
            <w:vAlign w:val="center"/>
          </w:tcPr>
          <w:p w14:paraId="44623CA8">
            <w:pPr>
              <w:spacing w:line="240" w:lineRule="auto"/>
              <w:ind w:firstLine="0" w:firstLineChars="0"/>
              <w:jc w:val="center"/>
              <w:rPr>
                <w:color w:val="auto"/>
                <w:sz w:val="21"/>
                <w:szCs w:val="21"/>
              </w:rPr>
            </w:pPr>
            <w:r>
              <w:rPr>
                <w:rFonts w:hint="eastAsia"/>
                <w:color w:val="auto"/>
                <w:sz w:val="21"/>
                <w:szCs w:val="21"/>
              </w:rPr>
              <w:t>6</w:t>
            </w:r>
          </w:p>
        </w:tc>
        <w:tc>
          <w:tcPr>
            <w:tcW w:w="468" w:type="pct"/>
            <w:vAlign w:val="center"/>
          </w:tcPr>
          <w:p w14:paraId="4AEB3F4B">
            <w:pPr>
              <w:spacing w:line="240" w:lineRule="auto"/>
              <w:ind w:firstLine="0" w:firstLineChars="0"/>
              <w:jc w:val="center"/>
              <w:rPr>
                <w:color w:val="auto"/>
                <w:sz w:val="21"/>
                <w:szCs w:val="21"/>
              </w:rPr>
            </w:pPr>
            <w:r>
              <w:rPr>
                <w:rFonts w:hint="eastAsia"/>
                <w:color w:val="auto"/>
                <w:sz w:val="21"/>
                <w:szCs w:val="21"/>
              </w:rPr>
              <w:t>12</w:t>
            </w:r>
          </w:p>
        </w:tc>
        <w:tc>
          <w:tcPr>
            <w:tcW w:w="336" w:type="pct"/>
            <w:vAlign w:val="center"/>
          </w:tcPr>
          <w:p w14:paraId="26BF8525">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5812F196">
            <w:pPr>
              <w:spacing w:line="240" w:lineRule="auto"/>
              <w:ind w:firstLine="0" w:firstLineChars="0"/>
              <w:jc w:val="center"/>
              <w:rPr>
                <w:color w:val="auto"/>
                <w:sz w:val="21"/>
                <w:szCs w:val="21"/>
              </w:rPr>
            </w:pPr>
            <w:r>
              <w:rPr>
                <w:rFonts w:hint="eastAsia"/>
                <w:color w:val="auto"/>
                <w:sz w:val="21"/>
                <w:szCs w:val="21"/>
              </w:rPr>
              <w:t>常压</w:t>
            </w:r>
          </w:p>
        </w:tc>
      </w:tr>
      <w:tr w14:paraId="59319D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Merge w:val="continue"/>
            <w:vAlign w:val="center"/>
          </w:tcPr>
          <w:p w14:paraId="31ADA2F7">
            <w:pPr>
              <w:widowControl/>
              <w:spacing w:line="240" w:lineRule="auto"/>
              <w:ind w:firstLine="0" w:firstLineChars="0"/>
              <w:jc w:val="center"/>
              <w:textAlignment w:val="center"/>
              <w:rPr>
                <w:color w:val="auto"/>
                <w:kern w:val="0"/>
                <w:sz w:val="21"/>
                <w:szCs w:val="21"/>
              </w:rPr>
            </w:pPr>
          </w:p>
        </w:tc>
        <w:tc>
          <w:tcPr>
            <w:tcW w:w="612" w:type="pct"/>
            <w:vMerge w:val="continue"/>
            <w:noWrap/>
            <w:vAlign w:val="center"/>
          </w:tcPr>
          <w:p w14:paraId="57800163">
            <w:pPr>
              <w:widowControl/>
              <w:spacing w:line="240" w:lineRule="auto"/>
              <w:ind w:firstLine="0" w:firstLineChars="0"/>
              <w:jc w:val="center"/>
              <w:textAlignment w:val="center"/>
              <w:rPr>
                <w:color w:val="auto"/>
                <w:kern w:val="0"/>
                <w:sz w:val="21"/>
                <w:szCs w:val="21"/>
                <w:lang w:bidi="ar"/>
              </w:rPr>
            </w:pPr>
          </w:p>
        </w:tc>
        <w:tc>
          <w:tcPr>
            <w:tcW w:w="864" w:type="pct"/>
            <w:vMerge w:val="continue"/>
            <w:noWrap/>
            <w:vAlign w:val="center"/>
          </w:tcPr>
          <w:p w14:paraId="38981BA6">
            <w:pPr>
              <w:widowControl/>
              <w:spacing w:line="240" w:lineRule="auto"/>
              <w:ind w:firstLine="0" w:firstLineChars="0"/>
              <w:jc w:val="center"/>
              <w:textAlignment w:val="center"/>
              <w:rPr>
                <w:color w:val="auto"/>
                <w:sz w:val="21"/>
                <w:szCs w:val="21"/>
              </w:rPr>
            </w:pPr>
          </w:p>
        </w:tc>
        <w:tc>
          <w:tcPr>
            <w:tcW w:w="237" w:type="pct"/>
            <w:vMerge w:val="continue"/>
            <w:vAlign w:val="center"/>
          </w:tcPr>
          <w:p w14:paraId="17226B83">
            <w:pPr>
              <w:widowControl/>
              <w:spacing w:line="240" w:lineRule="auto"/>
              <w:ind w:firstLine="0" w:firstLineChars="0"/>
              <w:jc w:val="center"/>
              <w:textAlignment w:val="center"/>
              <w:rPr>
                <w:color w:val="auto"/>
                <w:kern w:val="0"/>
                <w:sz w:val="21"/>
                <w:szCs w:val="21"/>
              </w:rPr>
            </w:pPr>
          </w:p>
        </w:tc>
        <w:tc>
          <w:tcPr>
            <w:tcW w:w="384" w:type="pct"/>
            <w:vAlign w:val="center"/>
          </w:tcPr>
          <w:p w14:paraId="5DA7AFD2">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18B31F8F">
            <w:pPr>
              <w:spacing w:line="240" w:lineRule="auto"/>
              <w:ind w:firstLine="0" w:firstLineChars="0"/>
              <w:jc w:val="center"/>
              <w:rPr>
                <w:color w:val="auto"/>
                <w:kern w:val="0"/>
                <w:sz w:val="21"/>
                <w:szCs w:val="21"/>
              </w:rPr>
            </w:pPr>
          </w:p>
        </w:tc>
        <w:tc>
          <w:tcPr>
            <w:tcW w:w="638" w:type="pct"/>
            <w:vAlign w:val="center"/>
          </w:tcPr>
          <w:p w14:paraId="66BE5F53">
            <w:pPr>
              <w:widowControl/>
              <w:spacing w:line="240" w:lineRule="auto"/>
              <w:ind w:firstLine="0" w:firstLineChars="0"/>
              <w:jc w:val="center"/>
              <w:textAlignment w:val="center"/>
              <w:rPr>
                <w:color w:val="auto"/>
                <w:kern w:val="0"/>
                <w:sz w:val="21"/>
                <w:szCs w:val="21"/>
              </w:rPr>
            </w:pPr>
          </w:p>
        </w:tc>
        <w:tc>
          <w:tcPr>
            <w:tcW w:w="412" w:type="pct"/>
            <w:vAlign w:val="center"/>
          </w:tcPr>
          <w:p w14:paraId="6A0923B0">
            <w:pPr>
              <w:spacing w:line="240" w:lineRule="auto"/>
              <w:ind w:firstLine="0" w:firstLineChars="0"/>
              <w:jc w:val="center"/>
              <w:rPr>
                <w:color w:val="auto"/>
                <w:sz w:val="21"/>
                <w:szCs w:val="21"/>
              </w:rPr>
            </w:pPr>
            <w:r>
              <w:rPr>
                <w:rFonts w:hint="eastAsia"/>
                <w:color w:val="auto"/>
                <w:sz w:val="21"/>
                <w:szCs w:val="21"/>
              </w:rPr>
              <w:t>6</w:t>
            </w:r>
          </w:p>
        </w:tc>
        <w:tc>
          <w:tcPr>
            <w:tcW w:w="468" w:type="pct"/>
            <w:vAlign w:val="center"/>
          </w:tcPr>
          <w:p w14:paraId="11430547">
            <w:pPr>
              <w:spacing w:line="240" w:lineRule="auto"/>
              <w:ind w:firstLine="0" w:firstLineChars="0"/>
              <w:jc w:val="center"/>
              <w:rPr>
                <w:color w:val="auto"/>
                <w:sz w:val="21"/>
                <w:szCs w:val="21"/>
              </w:rPr>
            </w:pPr>
            <w:r>
              <w:rPr>
                <w:rFonts w:hint="eastAsia"/>
                <w:color w:val="auto"/>
                <w:sz w:val="21"/>
                <w:szCs w:val="21"/>
              </w:rPr>
              <w:t>10</w:t>
            </w:r>
          </w:p>
        </w:tc>
        <w:tc>
          <w:tcPr>
            <w:tcW w:w="336" w:type="pct"/>
            <w:vAlign w:val="center"/>
          </w:tcPr>
          <w:p w14:paraId="536D2A64">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1B68FB5F">
            <w:pPr>
              <w:spacing w:line="240" w:lineRule="auto"/>
              <w:ind w:firstLine="0" w:firstLineChars="0"/>
              <w:jc w:val="center"/>
              <w:rPr>
                <w:color w:val="auto"/>
                <w:sz w:val="21"/>
                <w:szCs w:val="21"/>
              </w:rPr>
            </w:pPr>
            <w:r>
              <w:rPr>
                <w:rFonts w:hint="eastAsia"/>
                <w:color w:val="auto"/>
                <w:sz w:val="21"/>
                <w:szCs w:val="21"/>
              </w:rPr>
              <w:t>常压</w:t>
            </w:r>
          </w:p>
        </w:tc>
      </w:tr>
      <w:tr w14:paraId="439809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Merge w:val="continue"/>
            <w:vAlign w:val="center"/>
          </w:tcPr>
          <w:p w14:paraId="70804559">
            <w:pPr>
              <w:widowControl/>
              <w:spacing w:line="240" w:lineRule="auto"/>
              <w:ind w:firstLine="0" w:firstLineChars="0"/>
              <w:jc w:val="center"/>
              <w:textAlignment w:val="center"/>
              <w:rPr>
                <w:color w:val="auto"/>
                <w:kern w:val="0"/>
                <w:sz w:val="21"/>
                <w:szCs w:val="21"/>
              </w:rPr>
            </w:pPr>
          </w:p>
        </w:tc>
        <w:tc>
          <w:tcPr>
            <w:tcW w:w="612" w:type="pct"/>
            <w:vMerge w:val="continue"/>
            <w:noWrap/>
            <w:vAlign w:val="center"/>
          </w:tcPr>
          <w:p w14:paraId="7CF1822B">
            <w:pPr>
              <w:widowControl/>
              <w:spacing w:line="240" w:lineRule="auto"/>
              <w:ind w:firstLine="0" w:firstLineChars="0"/>
              <w:jc w:val="center"/>
              <w:textAlignment w:val="center"/>
              <w:rPr>
                <w:color w:val="auto"/>
                <w:kern w:val="0"/>
                <w:sz w:val="21"/>
                <w:szCs w:val="21"/>
                <w:lang w:bidi="ar"/>
              </w:rPr>
            </w:pPr>
          </w:p>
        </w:tc>
        <w:tc>
          <w:tcPr>
            <w:tcW w:w="864" w:type="pct"/>
            <w:vMerge w:val="continue"/>
            <w:noWrap/>
            <w:vAlign w:val="center"/>
          </w:tcPr>
          <w:p w14:paraId="6E03CB39">
            <w:pPr>
              <w:widowControl/>
              <w:spacing w:line="240" w:lineRule="auto"/>
              <w:ind w:firstLine="0" w:firstLineChars="0"/>
              <w:jc w:val="center"/>
              <w:textAlignment w:val="center"/>
              <w:rPr>
                <w:color w:val="auto"/>
                <w:sz w:val="21"/>
                <w:szCs w:val="21"/>
              </w:rPr>
            </w:pPr>
          </w:p>
        </w:tc>
        <w:tc>
          <w:tcPr>
            <w:tcW w:w="237" w:type="pct"/>
            <w:vMerge w:val="continue"/>
            <w:vAlign w:val="center"/>
          </w:tcPr>
          <w:p w14:paraId="2B2DF195">
            <w:pPr>
              <w:widowControl/>
              <w:spacing w:line="240" w:lineRule="auto"/>
              <w:ind w:firstLine="0" w:firstLineChars="0"/>
              <w:jc w:val="center"/>
              <w:textAlignment w:val="center"/>
              <w:rPr>
                <w:color w:val="auto"/>
                <w:kern w:val="0"/>
                <w:sz w:val="21"/>
                <w:szCs w:val="21"/>
              </w:rPr>
            </w:pPr>
          </w:p>
        </w:tc>
        <w:tc>
          <w:tcPr>
            <w:tcW w:w="384" w:type="pct"/>
            <w:vAlign w:val="center"/>
          </w:tcPr>
          <w:p w14:paraId="06937B59">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704FDFF6">
            <w:pPr>
              <w:spacing w:line="240" w:lineRule="auto"/>
              <w:ind w:firstLine="0" w:firstLineChars="0"/>
              <w:jc w:val="center"/>
              <w:rPr>
                <w:color w:val="auto"/>
                <w:kern w:val="0"/>
                <w:sz w:val="21"/>
                <w:szCs w:val="21"/>
              </w:rPr>
            </w:pPr>
          </w:p>
        </w:tc>
        <w:tc>
          <w:tcPr>
            <w:tcW w:w="638" w:type="pct"/>
            <w:vAlign w:val="center"/>
          </w:tcPr>
          <w:p w14:paraId="5805A4FC">
            <w:pPr>
              <w:widowControl/>
              <w:spacing w:line="240" w:lineRule="auto"/>
              <w:ind w:firstLine="0" w:firstLineChars="0"/>
              <w:jc w:val="center"/>
              <w:textAlignment w:val="center"/>
              <w:rPr>
                <w:color w:val="auto"/>
                <w:kern w:val="0"/>
                <w:sz w:val="21"/>
                <w:szCs w:val="21"/>
              </w:rPr>
            </w:pPr>
          </w:p>
        </w:tc>
        <w:tc>
          <w:tcPr>
            <w:tcW w:w="412" w:type="pct"/>
            <w:vAlign w:val="center"/>
          </w:tcPr>
          <w:p w14:paraId="209035D2">
            <w:pPr>
              <w:spacing w:line="240" w:lineRule="auto"/>
              <w:ind w:firstLine="0" w:firstLineChars="0"/>
              <w:jc w:val="center"/>
              <w:rPr>
                <w:color w:val="auto"/>
                <w:sz w:val="21"/>
                <w:szCs w:val="21"/>
              </w:rPr>
            </w:pPr>
            <w:r>
              <w:rPr>
                <w:rFonts w:hint="eastAsia"/>
                <w:color w:val="auto"/>
                <w:sz w:val="21"/>
                <w:szCs w:val="21"/>
              </w:rPr>
              <w:t>11</w:t>
            </w:r>
          </w:p>
        </w:tc>
        <w:tc>
          <w:tcPr>
            <w:tcW w:w="468" w:type="pct"/>
            <w:vAlign w:val="center"/>
          </w:tcPr>
          <w:p w14:paraId="0A5F36CE">
            <w:pPr>
              <w:spacing w:line="240" w:lineRule="auto"/>
              <w:ind w:firstLine="0" w:firstLineChars="0"/>
              <w:jc w:val="center"/>
              <w:rPr>
                <w:color w:val="auto"/>
                <w:sz w:val="21"/>
                <w:szCs w:val="21"/>
              </w:rPr>
            </w:pPr>
            <w:r>
              <w:rPr>
                <w:rFonts w:hint="eastAsia"/>
                <w:color w:val="auto"/>
                <w:sz w:val="21"/>
                <w:szCs w:val="21"/>
              </w:rPr>
              <w:t>14</w:t>
            </w:r>
          </w:p>
        </w:tc>
        <w:tc>
          <w:tcPr>
            <w:tcW w:w="336" w:type="pct"/>
            <w:vAlign w:val="center"/>
          </w:tcPr>
          <w:p w14:paraId="4D4D8759">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6027B5C4">
            <w:pPr>
              <w:spacing w:line="240" w:lineRule="auto"/>
              <w:ind w:firstLine="0" w:firstLineChars="0"/>
              <w:jc w:val="center"/>
              <w:rPr>
                <w:color w:val="auto"/>
                <w:sz w:val="21"/>
                <w:szCs w:val="21"/>
              </w:rPr>
            </w:pPr>
            <w:r>
              <w:rPr>
                <w:rFonts w:hint="eastAsia"/>
                <w:color w:val="auto"/>
                <w:sz w:val="21"/>
                <w:szCs w:val="21"/>
              </w:rPr>
              <w:t>常压</w:t>
            </w:r>
          </w:p>
        </w:tc>
      </w:tr>
      <w:tr w14:paraId="19B6A1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Merge w:val="continue"/>
            <w:vAlign w:val="center"/>
          </w:tcPr>
          <w:p w14:paraId="791F8EDA">
            <w:pPr>
              <w:widowControl/>
              <w:spacing w:line="240" w:lineRule="auto"/>
              <w:ind w:firstLine="0" w:firstLineChars="0"/>
              <w:jc w:val="center"/>
              <w:textAlignment w:val="center"/>
              <w:rPr>
                <w:color w:val="auto"/>
                <w:kern w:val="0"/>
                <w:sz w:val="21"/>
                <w:szCs w:val="21"/>
              </w:rPr>
            </w:pPr>
          </w:p>
        </w:tc>
        <w:tc>
          <w:tcPr>
            <w:tcW w:w="612" w:type="pct"/>
            <w:vMerge w:val="continue"/>
            <w:noWrap/>
            <w:vAlign w:val="center"/>
          </w:tcPr>
          <w:p w14:paraId="10A9F070">
            <w:pPr>
              <w:widowControl/>
              <w:spacing w:line="240" w:lineRule="auto"/>
              <w:ind w:firstLine="0" w:firstLineChars="0"/>
              <w:jc w:val="center"/>
              <w:textAlignment w:val="center"/>
              <w:rPr>
                <w:color w:val="auto"/>
                <w:kern w:val="0"/>
                <w:sz w:val="21"/>
                <w:szCs w:val="21"/>
                <w:lang w:bidi="ar"/>
              </w:rPr>
            </w:pPr>
          </w:p>
        </w:tc>
        <w:tc>
          <w:tcPr>
            <w:tcW w:w="864" w:type="pct"/>
            <w:vMerge w:val="continue"/>
            <w:noWrap/>
            <w:vAlign w:val="center"/>
          </w:tcPr>
          <w:p w14:paraId="5B071127">
            <w:pPr>
              <w:widowControl/>
              <w:spacing w:line="240" w:lineRule="auto"/>
              <w:ind w:firstLine="0" w:firstLineChars="0"/>
              <w:jc w:val="center"/>
              <w:textAlignment w:val="center"/>
              <w:rPr>
                <w:color w:val="auto"/>
                <w:sz w:val="21"/>
                <w:szCs w:val="21"/>
              </w:rPr>
            </w:pPr>
          </w:p>
        </w:tc>
        <w:tc>
          <w:tcPr>
            <w:tcW w:w="237" w:type="pct"/>
            <w:vMerge w:val="continue"/>
            <w:vAlign w:val="center"/>
          </w:tcPr>
          <w:p w14:paraId="10592FFE">
            <w:pPr>
              <w:widowControl/>
              <w:spacing w:line="240" w:lineRule="auto"/>
              <w:ind w:firstLine="0" w:firstLineChars="0"/>
              <w:jc w:val="center"/>
              <w:textAlignment w:val="center"/>
              <w:rPr>
                <w:color w:val="auto"/>
                <w:kern w:val="0"/>
                <w:sz w:val="21"/>
                <w:szCs w:val="21"/>
              </w:rPr>
            </w:pPr>
          </w:p>
        </w:tc>
        <w:tc>
          <w:tcPr>
            <w:tcW w:w="384" w:type="pct"/>
            <w:vAlign w:val="center"/>
          </w:tcPr>
          <w:p w14:paraId="09AB90AF">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1C9F8CAC">
            <w:pPr>
              <w:spacing w:line="240" w:lineRule="auto"/>
              <w:ind w:firstLine="0" w:firstLineChars="0"/>
              <w:jc w:val="center"/>
              <w:rPr>
                <w:color w:val="auto"/>
                <w:kern w:val="0"/>
                <w:sz w:val="21"/>
                <w:szCs w:val="21"/>
              </w:rPr>
            </w:pPr>
          </w:p>
        </w:tc>
        <w:tc>
          <w:tcPr>
            <w:tcW w:w="638" w:type="pct"/>
            <w:vAlign w:val="center"/>
          </w:tcPr>
          <w:p w14:paraId="5A2BBBEC">
            <w:pPr>
              <w:widowControl/>
              <w:spacing w:line="240" w:lineRule="auto"/>
              <w:ind w:firstLine="0" w:firstLineChars="0"/>
              <w:jc w:val="center"/>
              <w:textAlignment w:val="center"/>
              <w:rPr>
                <w:color w:val="auto"/>
                <w:kern w:val="0"/>
                <w:sz w:val="21"/>
                <w:szCs w:val="21"/>
              </w:rPr>
            </w:pPr>
          </w:p>
        </w:tc>
        <w:tc>
          <w:tcPr>
            <w:tcW w:w="412" w:type="pct"/>
            <w:vAlign w:val="center"/>
          </w:tcPr>
          <w:p w14:paraId="180ACC36">
            <w:pPr>
              <w:spacing w:line="240" w:lineRule="auto"/>
              <w:ind w:firstLine="0" w:firstLineChars="0"/>
              <w:jc w:val="center"/>
              <w:rPr>
                <w:color w:val="auto"/>
                <w:sz w:val="21"/>
                <w:szCs w:val="21"/>
              </w:rPr>
            </w:pPr>
            <w:r>
              <w:rPr>
                <w:rFonts w:hint="eastAsia"/>
                <w:color w:val="auto"/>
                <w:sz w:val="21"/>
                <w:szCs w:val="21"/>
              </w:rPr>
              <w:t>6.6</w:t>
            </w:r>
          </w:p>
        </w:tc>
        <w:tc>
          <w:tcPr>
            <w:tcW w:w="468" w:type="pct"/>
            <w:vAlign w:val="center"/>
          </w:tcPr>
          <w:p w14:paraId="24F821F0">
            <w:pPr>
              <w:spacing w:line="240" w:lineRule="auto"/>
              <w:ind w:firstLine="0" w:firstLineChars="0"/>
              <w:jc w:val="center"/>
              <w:rPr>
                <w:color w:val="auto"/>
                <w:sz w:val="21"/>
                <w:szCs w:val="21"/>
              </w:rPr>
            </w:pPr>
            <w:r>
              <w:rPr>
                <w:rFonts w:hint="eastAsia"/>
                <w:color w:val="auto"/>
                <w:sz w:val="21"/>
                <w:szCs w:val="21"/>
              </w:rPr>
              <w:t>12</w:t>
            </w:r>
          </w:p>
        </w:tc>
        <w:tc>
          <w:tcPr>
            <w:tcW w:w="336" w:type="pct"/>
            <w:vAlign w:val="center"/>
          </w:tcPr>
          <w:p w14:paraId="1015D398">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431B8796">
            <w:pPr>
              <w:spacing w:line="240" w:lineRule="auto"/>
              <w:ind w:firstLine="0" w:firstLineChars="0"/>
              <w:jc w:val="center"/>
              <w:rPr>
                <w:color w:val="auto"/>
                <w:sz w:val="21"/>
                <w:szCs w:val="21"/>
              </w:rPr>
            </w:pPr>
            <w:r>
              <w:rPr>
                <w:rFonts w:hint="eastAsia"/>
                <w:color w:val="auto"/>
                <w:sz w:val="21"/>
                <w:szCs w:val="21"/>
              </w:rPr>
              <w:t>常压</w:t>
            </w:r>
          </w:p>
        </w:tc>
      </w:tr>
      <w:tr w14:paraId="0F9A36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90" w:hRule="atLeast"/>
          <w:jc w:val="center"/>
        </w:trPr>
        <w:tc>
          <w:tcPr>
            <w:tcW w:w="244" w:type="pct"/>
            <w:vAlign w:val="center"/>
          </w:tcPr>
          <w:p w14:paraId="4CA4D3BD">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17</w:t>
            </w:r>
          </w:p>
        </w:tc>
        <w:tc>
          <w:tcPr>
            <w:tcW w:w="612" w:type="pct"/>
            <w:vMerge w:val="continue"/>
            <w:noWrap/>
            <w:vAlign w:val="center"/>
          </w:tcPr>
          <w:p w14:paraId="0E5879BC">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4722A133">
            <w:pPr>
              <w:widowControl/>
              <w:spacing w:line="240" w:lineRule="auto"/>
              <w:ind w:firstLine="0" w:firstLineChars="0"/>
              <w:jc w:val="center"/>
              <w:textAlignment w:val="center"/>
              <w:rPr>
                <w:color w:val="auto"/>
                <w:sz w:val="21"/>
                <w:szCs w:val="21"/>
              </w:rPr>
            </w:pPr>
            <w:r>
              <w:rPr>
                <w:rFonts w:hint="eastAsia"/>
                <w:color w:val="auto"/>
                <w:sz w:val="21"/>
                <w:szCs w:val="21"/>
              </w:rPr>
              <w:t>99%氨水</w:t>
            </w:r>
          </w:p>
        </w:tc>
        <w:tc>
          <w:tcPr>
            <w:tcW w:w="237" w:type="pct"/>
            <w:vAlign w:val="center"/>
          </w:tcPr>
          <w:p w14:paraId="6C03DE4D">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45419843">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0EC55DCC">
            <w:pPr>
              <w:spacing w:line="240" w:lineRule="auto"/>
              <w:ind w:firstLine="0" w:firstLineChars="0"/>
              <w:jc w:val="center"/>
              <w:rPr>
                <w:color w:val="auto"/>
                <w:sz w:val="21"/>
                <w:szCs w:val="21"/>
              </w:rPr>
            </w:pPr>
          </w:p>
        </w:tc>
        <w:tc>
          <w:tcPr>
            <w:tcW w:w="638" w:type="pct"/>
            <w:vAlign w:val="center"/>
          </w:tcPr>
          <w:p w14:paraId="1DDA8EA1">
            <w:pPr>
              <w:widowControl/>
              <w:spacing w:line="240" w:lineRule="auto"/>
              <w:ind w:firstLine="0" w:firstLineChars="0"/>
              <w:jc w:val="center"/>
              <w:textAlignment w:val="center"/>
              <w:rPr>
                <w:color w:val="auto"/>
                <w:kern w:val="0"/>
                <w:sz w:val="21"/>
                <w:szCs w:val="21"/>
              </w:rPr>
            </w:pPr>
          </w:p>
        </w:tc>
        <w:tc>
          <w:tcPr>
            <w:tcW w:w="412" w:type="pct"/>
            <w:vAlign w:val="center"/>
          </w:tcPr>
          <w:p w14:paraId="4D51D661">
            <w:pPr>
              <w:spacing w:line="240" w:lineRule="auto"/>
              <w:ind w:firstLine="0" w:firstLineChars="0"/>
              <w:jc w:val="center"/>
              <w:rPr>
                <w:color w:val="auto"/>
                <w:sz w:val="21"/>
                <w:szCs w:val="21"/>
              </w:rPr>
            </w:pPr>
            <w:r>
              <w:rPr>
                <w:rFonts w:hint="eastAsia"/>
                <w:color w:val="auto"/>
                <w:sz w:val="21"/>
                <w:szCs w:val="21"/>
              </w:rPr>
              <w:t>10</w:t>
            </w:r>
          </w:p>
        </w:tc>
        <w:tc>
          <w:tcPr>
            <w:tcW w:w="468" w:type="pct"/>
            <w:vAlign w:val="center"/>
          </w:tcPr>
          <w:p w14:paraId="0742903C">
            <w:pPr>
              <w:spacing w:line="240" w:lineRule="auto"/>
              <w:ind w:firstLine="0" w:firstLineChars="0"/>
              <w:jc w:val="center"/>
              <w:rPr>
                <w:color w:val="auto"/>
                <w:sz w:val="21"/>
                <w:szCs w:val="21"/>
              </w:rPr>
            </w:pPr>
            <w:r>
              <w:rPr>
                <w:rFonts w:hint="eastAsia"/>
                <w:color w:val="auto"/>
                <w:sz w:val="21"/>
                <w:szCs w:val="21"/>
              </w:rPr>
              <w:t>6</w:t>
            </w:r>
          </w:p>
        </w:tc>
        <w:tc>
          <w:tcPr>
            <w:tcW w:w="336" w:type="pct"/>
            <w:vAlign w:val="center"/>
          </w:tcPr>
          <w:p w14:paraId="7F70587B">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4AE96331">
            <w:pPr>
              <w:spacing w:line="240" w:lineRule="auto"/>
              <w:ind w:firstLine="0" w:firstLineChars="0"/>
              <w:jc w:val="center"/>
              <w:rPr>
                <w:color w:val="auto"/>
                <w:sz w:val="21"/>
                <w:szCs w:val="21"/>
              </w:rPr>
            </w:pPr>
            <w:r>
              <w:rPr>
                <w:rFonts w:hint="eastAsia"/>
                <w:color w:val="auto"/>
                <w:sz w:val="21"/>
                <w:szCs w:val="21"/>
              </w:rPr>
              <w:t>常压</w:t>
            </w:r>
          </w:p>
        </w:tc>
      </w:tr>
      <w:tr w14:paraId="3D18AA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34458EBB">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18</w:t>
            </w:r>
          </w:p>
        </w:tc>
        <w:tc>
          <w:tcPr>
            <w:tcW w:w="612" w:type="pct"/>
            <w:vMerge w:val="restart"/>
            <w:noWrap/>
            <w:vAlign w:val="center"/>
          </w:tcPr>
          <w:p w14:paraId="51B0E48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一水亚硫酸铵</w:t>
            </w:r>
          </w:p>
          <w:p w14:paraId="733BFD3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（碳酸氢铵工艺）</w:t>
            </w:r>
          </w:p>
        </w:tc>
        <w:tc>
          <w:tcPr>
            <w:tcW w:w="864" w:type="pct"/>
            <w:vMerge w:val="restart"/>
            <w:noWrap/>
            <w:vAlign w:val="center"/>
          </w:tcPr>
          <w:p w14:paraId="043773B9">
            <w:pPr>
              <w:widowControl/>
              <w:spacing w:line="240" w:lineRule="auto"/>
              <w:ind w:firstLine="0" w:firstLineChars="0"/>
              <w:jc w:val="center"/>
              <w:textAlignment w:val="center"/>
              <w:rPr>
                <w:color w:val="auto"/>
                <w:sz w:val="21"/>
                <w:szCs w:val="21"/>
              </w:rPr>
            </w:pPr>
            <w:r>
              <w:rPr>
                <w:rFonts w:hint="eastAsia"/>
                <w:color w:val="auto"/>
                <w:sz w:val="21"/>
                <w:szCs w:val="21"/>
              </w:rPr>
              <w:t>70%亚硫酸氢铵</w:t>
            </w:r>
          </w:p>
        </w:tc>
        <w:tc>
          <w:tcPr>
            <w:tcW w:w="237" w:type="pct"/>
            <w:vMerge w:val="restart"/>
            <w:vAlign w:val="center"/>
          </w:tcPr>
          <w:p w14:paraId="5FFB0CD4">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液态</w:t>
            </w:r>
          </w:p>
        </w:tc>
        <w:tc>
          <w:tcPr>
            <w:tcW w:w="384" w:type="pct"/>
            <w:vAlign w:val="center"/>
          </w:tcPr>
          <w:p w14:paraId="4093D3C3">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07D6D77C">
            <w:pPr>
              <w:spacing w:line="240" w:lineRule="auto"/>
              <w:ind w:firstLine="0" w:firstLineChars="0"/>
              <w:jc w:val="center"/>
              <w:rPr>
                <w:color w:val="auto"/>
                <w:sz w:val="21"/>
                <w:szCs w:val="21"/>
              </w:rPr>
            </w:pPr>
          </w:p>
        </w:tc>
        <w:tc>
          <w:tcPr>
            <w:tcW w:w="638" w:type="pct"/>
            <w:vAlign w:val="center"/>
          </w:tcPr>
          <w:p w14:paraId="0AEBBFD5">
            <w:pPr>
              <w:widowControl/>
              <w:spacing w:line="240" w:lineRule="auto"/>
              <w:ind w:firstLine="0" w:firstLineChars="0"/>
              <w:jc w:val="center"/>
              <w:textAlignment w:val="center"/>
              <w:rPr>
                <w:color w:val="auto"/>
                <w:kern w:val="0"/>
                <w:sz w:val="21"/>
                <w:szCs w:val="21"/>
              </w:rPr>
            </w:pPr>
          </w:p>
        </w:tc>
        <w:tc>
          <w:tcPr>
            <w:tcW w:w="412" w:type="pct"/>
            <w:vAlign w:val="center"/>
          </w:tcPr>
          <w:p w14:paraId="71C2438A">
            <w:pPr>
              <w:spacing w:line="240" w:lineRule="auto"/>
              <w:ind w:firstLine="0" w:firstLineChars="0"/>
              <w:jc w:val="center"/>
              <w:rPr>
                <w:color w:val="auto"/>
                <w:sz w:val="21"/>
                <w:szCs w:val="21"/>
              </w:rPr>
            </w:pPr>
            <w:r>
              <w:rPr>
                <w:rFonts w:hint="eastAsia"/>
                <w:color w:val="auto"/>
                <w:sz w:val="21"/>
                <w:szCs w:val="21"/>
              </w:rPr>
              <w:t>6</w:t>
            </w:r>
          </w:p>
        </w:tc>
        <w:tc>
          <w:tcPr>
            <w:tcW w:w="468" w:type="pct"/>
            <w:vAlign w:val="center"/>
          </w:tcPr>
          <w:p w14:paraId="64378A49">
            <w:pPr>
              <w:spacing w:line="240" w:lineRule="auto"/>
              <w:ind w:firstLine="0" w:firstLineChars="0"/>
              <w:jc w:val="center"/>
              <w:rPr>
                <w:color w:val="auto"/>
                <w:sz w:val="21"/>
                <w:szCs w:val="21"/>
              </w:rPr>
            </w:pPr>
            <w:r>
              <w:rPr>
                <w:rFonts w:hint="eastAsia"/>
                <w:color w:val="auto"/>
                <w:sz w:val="21"/>
                <w:szCs w:val="21"/>
              </w:rPr>
              <w:t>12</w:t>
            </w:r>
          </w:p>
        </w:tc>
        <w:tc>
          <w:tcPr>
            <w:tcW w:w="336" w:type="pct"/>
            <w:vAlign w:val="center"/>
          </w:tcPr>
          <w:p w14:paraId="2816A9F9">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078A0943">
            <w:pPr>
              <w:spacing w:line="240" w:lineRule="auto"/>
              <w:ind w:firstLine="0" w:firstLineChars="0"/>
              <w:jc w:val="center"/>
              <w:rPr>
                <w:color w:val="auto"/>
                <w:sz w:val="21"/>
                <w:szCs w:val="21"/>
              </w:rPr>
            </w:pPr>
            <w:r>
              <w:rPr>
                <w:rFonts w:hint="eastAsia"/>
                <w:color w:val="auto"/>
                <w:sz w:val="21"/>
                <w:szCs w:val="21"/>
              </w:rPr>
              <w:t>常压</w:t>
            </w:r>
          </w:p>
        </w:tc>
      </w:tr>
      <w:tr w14:paraId="535ED8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63E9E452">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19</w:t>
            </w:r>
          </w:p>
        </w:tc>
        <w:tc>
          <w:tcPr>
            <w:tcW w:w="612" w:type="pct"/>
            <w:vMerge w:val="continue"/>
            <w:noWrap/>
            <w:vAlign w:val="center"/>
          </w:tcPr>
          <w:p w14:paraId="38B7CEB9">
            <w:pPr>
              <w:widowControl/>
              <w:spacing w:line="240" w:lineRule="auto"/>
              <w:ind w:firstLine="0" w:firstLineChars="0"/>
              <w:jc w:val="center"/>
              <w:textAlignment w:val="center"/>
              <w:rPr>
                <w:color w:val="auto"/>
                <w:kern w:val="0"/>
                <w:sz w:val="21"/>
                <w:szCs w:val="21"/>
                <w:lang w:bidi="ar"/>
              </w:rPr>
            </w:pPr>
          </w:p>
        </w:tc>
        <w:tc>
          <w:tcPr>
            <w:tcW w:w="864" w:type="pct"/>
            <w:vMerge w:val="continue"/>
            <w:noWrap/>
            <w:vAlign w:val="center"/>
          </w:tcPr>
          <w:p w14:paraId="4C0BFE98">
            <w:pPr>
              <w:widowControl/>
              <w:spacing w:line="240" w:lineRule="auto"/>
              <w:ind w:firstLine="0" w:firstLineChars="0"/>
              <w:jc w:val="center"/>
              <w:textAlignment w:val="center"/>
              <w:rPr>
                <w:color w:val="auto"/>
                <w:sz w:val="21"/>
                <w:szCs w:val="21"/>
              </w:rPr>
            </w:pPr>
          </w:p>
        </w:tc>
        <w:tc>
          <w:tcPr>
            <w:tcW w:w="237" w:type="pct"/>
            <w:vMerge w:val="continue"/>
            <w:vAlign w:val="center"/>
          </w:tcPr>
          <w:p w14:paraId="7B3977BB">
            <w:pPr>
              <w:widowControl/>
              <w:spacing w:line="240" w:lineRule="auto"/>
              <w:ind w:firstLine="0" w:firstLineChars="0"/>
              <w:jc w:val="center"/>
              <w:textAlignment w:val="center"/>
              <w:rPr>
                <w:color w:val="auto"/>
                <w:kern w:val="0"/>
                <w:sz w:val="21"/>
                <w:szCs w:val="21"/>
              </w:rPr>
            </w:pPr>
          </w:p>
        </w:tc>
        <w:tc>
          <w:tcPr>
            <w:tcW w:w="384" w:type="pct"/>
            <w:vAlign w:val="center"/>
          </w:tcPr>
          <w:p w14:paraId="5DCB8726">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58E563D7">
            <w:pPr>
              <w:spacing w:line="240" w:lineRule="auto"/>
              <w:ind w:firstLine="0" w:firstLineChars="0"/>
              <w:jc w:val="center"/>
              <w:rPr>
                <w:color w:val="auto"/>
                <w:kern w:val="0"/>
                <w:sz w:val="21"/>
                <w:szCs w:val="21"/>
              </w:rPr>
            </w:pPr>
          </w:p>
        </w:tc>
        <w:tc>
          <w:tcPr>
            <w:tcW w:w="638" w:type="pct"/>
            <w:vAlign w:val="center"/>
          </w:tcPr>
          <w:p w14:paraId="0BAB5D1A">
            <w:pPr>
              <w:widowControl/>
              <w:spacing w:line="240" w:lineRule="auto"/>
              <w:ind w:firstLine="0" w:firstLineChars="0"/>
              <w:jc w:val="center"/>
              <w:textAlignment w:val="center"/>
              <w:rPr>
                <w:color w:val="auto"/>
                <w:kern w:val="0"/>
                <w:sz w:val="21"/>
                <w:szCs w:val="21"/>
              </w:rPr>
            </w:pPr>
          </w:p>
        </w:tc>
        <w:tc>
          <w:tcPr>
            <w:tcW w:w="412" w:type="pct"/>
            <w:vAlign w:val="center"/>
          </w:tcPr>
          <w:p w14:paraId="3AA8EF65">
            <w:pPr>
              <w:spacing w:line="240" w:lineRule="auto"/>
              <w:ind w:firstLine="0" w:firstLineChars="0"/>
              <w:jc w:val="center"/>
              <w:rPr>
                <w:color w:val="auto"/>
                <w:sz w:val="21"/>
                <w:szCs w:val="21"/>
              </w:rPr>
            </w:pPr>
            <w:r>
              <w:rPr>
                <w:rFonts w:hint="eastAsia"/>
                <w:color w:val="auto"/>
                <w:sz w:val="21"/>
                <w:szCs w:val="21"/>
              </w:rPr>
              <w:t>6</w:t>
            </w:r>
          </w:p>
        </w:tc>
        <w:tc>
          <w:tcPr>
            <w:tcW w:w="468" w:type="pct"/>
            <w:vAlign w:val="center"/>
          </w:tcPr>
          <w:p w14:paraId="716FADC6">
            <w:pPr>
              <w:spacing w:line="240" w:lineRule="auto"/>
              <w:ind w:firstLine="0" w:firstLineChars="0"/>
              <w:jc w:val="center"/>
              <w:rPr>
                <w:color w:val="auto"/>
                <w:sz w:val="21"/>
                <w:szCs w:val="21"/>
              </w:rPr>
            </w:pPr>
            <w:r>
              <w:rPr>
                <w:rFonts w:hint="eastAsia"/>
                <w:color w:val="auto"/>
                <w:sz w:val="21"/>
                <w:szCs w:val="21"/>
              </w:rPr>
              <w:t>10</w:t>
            </w:r>
          </w:p>
        </w:tc>
        <w:tc>
          <w:tcPr>
            <w:tcW w:w="336" w:type="pct"/>
            <w:vAlign w:val="center"/>
          </w:tcPr>
          <w:p w14:paraId="0A5771D7">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39D01AD0">
            <w:pPr>
              <w:spacing w:line="240" w:lineRule="auto"/>
              <w:ind w:firstLine="0" w:firstLineChars="0"/>
              <w:jc w:val="center"/>
              <w:rPr>
                <w:color w:val="auto"/>
                <w:sz w:val="21"/>
                <w:szCs w:val="21"/>
              </w:rPr>
            </w:pPr>
            <w:r>
              <w:rPr>
                <w:rFonts w:hint="eastAsia"/>
                <w:color w:val="auto"/>
                <w:sz w:val="21"/>
                <w:szCs w:val="21"/>
              </w:rPr>
              <w:t>常压</w:t>
            </w:r>
          </w:p>
        </w:tc>
      </w:tr>
      <w:tr w14:paraId="5C01DB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674EE32B">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20</w:t>
            </w:r>
          </w:p>
        </w:tc>
        <w:tc>
          <w:tcPr>
            <w:tcW w:w="612" w:type="pct"/>
            <w:vMerge w:val="continue"/>
            <w:noWrap/>
            <w:vAlign w:val="center"/>
          </w:tcPr>
          <w:p w14:paraId="23A48914">
            <w:pPr>
              <w:widowControl/>
              <w:spacing w:line="240" w:lineRule="auto"/>
              <w:ind w:firstLine="0" w:firstLineChars="0"/>
              <w:jc w:val="center"/>
              <w:textAlignment w:val="center"/>
              <w:rPr>
                <w:color w:val="auto"/>
                <w:kern w:val="0"/>
                <w:sz w:val="21"/>
                <w:szCs w:val="21"/>
                <w:lang w:bidi="ar"/>
              </w:rPr>
            </w:pPr>
          </w:p>
        </w:tc>
        <w:tc>
          <w:tcPr>
            <w:tcW w:w="864" w:type="pct"/>
            <w:vMerge w:val="continue"/>
            <w:noWrap/>
            <w:vAlign w:val="center"/>
          </w:tcPr>
          <w:p w14:paraId="3086B158">
            <w:pPr>
              <w:widowControl/>
              <w:spacing w:line="240" w:lineRule="auto"/>
              <w:ind w:firstLine="0" w:firstLineChars="0"/>
              <w:jc w:val="center"/>
              <w:textAlignment w:val="center"/>
              <w:rPr>
                <w:color w:val="auto"/>
                <w:sz w:val="21"/>
                <w:szCs w:val="21"/>
              </w:rPr>
            </w:pPr>
          </w:p>
        </w:tc>
        <w:tc>
          <w:tcPr>
            <w:tcW w:w="237" w:type="pct"/>
            <w:vMerge w:val="continue"/>
            <w:vAlign w:val="center"/>
          </w:tcPr>
          <w:p w14:paraId="60FDCCAE">
            <w:pPr>
              <w:widowControl/>
              <w:spacing w:line="240" w:lineRule="auto"/>
              <w:ind w:firstLine="0" w:firstLineChars="0"/>
              <w:jc w:val="center"/>
              <w:textAlignment w:val="center"/>
              <w:rPr>
                <w:color w:val="auto"/>
                <w:kern w:val="0"/>
                <w:sz w:val="21"/>
                <w:szCs w:val="21"/>
              </w:rPr>
            </w:pPr>
          </w:p>
        </w:tc>
        <w:tc>
          <w:tcPr>
            <w:tcW w:w="384" w:type="pct"/>
            <w:vAlign w:val="center"/>
          </w:tcPr>
          <w:p w14:paraId="30AA23B0">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22F55218">
            <w:pPr>
              <w:spacing w:line="240" w:lineRule="auto"/>
              <w:ind w:firstLine="0" w:firstLineChars="0"/>
              <w:jc w:val="center"/>
              <w:rPr>
                <w:color w:val="auto"/>
                <w:kern w:val="0"/>
                <w:sz w:val="21"/>
                <w:szCs w:val="21"/>
              </w:rPr>
            </w:pPr>
          </w:p>
        </w:tc>
        <w:tc>
          <w:tcPr>
            <w:tcW w:w="638" w:type="pct"/>
            <w:vAlign w:val="center"/>
          </w:tcPr>
          <w:p w14:paraId="27A19CC0">
            <w:pPr>
              <w:widowControl/>
              <w:spacing w:line="240" w:lineRule="auto"/>
              <w:ind w:firstLine="0" w:firstLineChars="0"/>
              <w:jc w:val="center"/>
              <w:textAlignment w:val="center"/>
              <w:rPr>
                <w:color w:val="auto"/>
                <w:kern w:val="0"/>
                <w:sz w:val="21"/>
                <w:szCs w:val="21"/>
              </w:rPr>
            </w:pPr>
          </w:p>
        </w:tc>
        <w:tc>
          <w:tcPr>
            <w:tcW w:w="412" w:type="pct"/>
            <w:vAlign w:val="center"/>
          </w:tcPr>
          <w:p w14:paraId="013518A5">
            <w:pPr>
              <w:spacing w:line="240" w:lineRule="auto"/>
              <w:ind w:firstLine="0" w:firstLineChars="0"/>
              <w:jc w:val="center"/>
              <w:rPr>
                <w:color w:val="auto"/>
                <w:sz w:val="21"/>
                <w:szCs w:val="21"/>
              </w:rPr>
            </w:pPr>
            <w:r>
              <w:rPr>
                <w:rFonts w:hint="eastAsia"/>
                <w:color w:val="auto"/>
                <w:sz w:val="21"/>
                <w:szCs w:val="21"/>
              </w:rPr>
              <w:t>11</w:t>
            </w:r>
          </w:p>
        </w:tc>
        <w:tc>
          <w:tcPr>
            <w:tcW w:w="468" w:type="pct"/>
            <w:vAlign w:val="center"/>
          </w:tcPr>
          <w:p w14:paraId="77B79855">
            <w:pPr>
              <w:spacing w:line="240" w:lineRule="auto"/>
              <w:ind w:firstLine="0" w:firstLineChars="0"/>
              <w:jc w:val="center"/>
              <w:rPr>
                <w:color w:val="auto"/>
                <w:sz w:val="21"/>
                <w:szCs w:val="21"/>
              </w:rPr>
            </w:pPr>
            <w:r>
              <w:rPr>
                <w:rFonts w:hint="eastAsia"/>
                <w:color w:val="auto"/>
                <w:sz w:val="21"/>
                <w:szCs w:val="21"/>
              </w:rPr>
              <w:t>14</w:t>
            </w:r>
          </w:p>
        </w:tc>
        <w:tc>
          <w:tcPr>
            <w:tcW w:w="336" w:type="pct"/>
            <w:vAlign w:val="center"/>
          </w:tcPr>
          <w:p w14:paraId="55D5AD5A">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7A16AA8B">
            <w:pPr>
              <w:spacing w:line="240" w:lineRule="auto"/>
              <w:ind w:firstLine="0" w:firstLineChars="0"/>
              <w:jc w:val="center"/>
              <w:rPr>
                <w:color w:val="auto"/>
                <w:sz w:val="21"/>
                <w:szCs w:val="21"/>
              </w:rPr>
            </w:pPr>
            <w:r>
              <w:rPr>
                <w:rFonts w:hint="eastAsia"/>
                <w:color w:val="auto"/>
                <w:sz w:val="21"/>
                <w:szCs w:val="21"/>
              </w:rPr>
              <w:t>常压</w:t>
            </w:r>
          </w:p>
        </w:tc>
      </w:tr>
      <w:tr w14:paraId="59382B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194072D6">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21</w:t>
            </w:r>
          </w:p>
        </w:tc>
        <w:tc>
          <w:tcPr>
            <w:tcW w:w="612" w:type="pct"/>
            <w:vMerge w:val="continue"/>
            <w:noWrap/>
            <w:vAlign w:val="center"/>
          </w:tcPr>
          <w:p w14:paraId="64937404">
            <w:pPr>
              <w:widowControl/>
              <w:spacing w:line="240" w:lineRule="auto"/>
              <w:ind w:firstLine="0" w:firstLineChars="0"/>
              <w:jc w:val="center"/>
              <w:textAlignment w:val="center"/>
              <w:rPr>
                <w:color w:val="auto"/>
                <w:kern w:val="0"/>
                <w:sz w:val="21"/>
                <w:szCs w:val="21"/>
                <w:lang w:bidi="ar"/>
              </w:rPr>
            </w:pPr>
          </w:p>
        </w:tc>
        <w:tc>
          <w:tcPr>
            <w:tcW w:w="864" w:type="pct"/>
            <w:vMerge w:val="continue"/>
            <w:noWrap/>
            <w:vAlign w:val="center"/>
          </w:tcPr>
          <w:p w14:paraId="1E2F8030">
            <w:pPr>
              <w:widowControl/>
              <w:spacing w:line="240" w:lineRule="auto"/>
              <w:ind w:firstLine="0" w:firstLineChars="0"/>
              <w:jc w:val="center"/>
              <w:textAlignment w:val="center"/>
              <w:rPr>
                <w:color w:val="auto"/>
                <w:sz w:val="21"/>
                <w:szCs w:val="21"/>
              </w:rPr>
            </w:pPr>
          </w:p>
        </w:tc>
        <w:tc>
          <w:tcPr>
            <w:tcW w:w="237" w:type="pct"/>
            <w:vMerge w:val="continue"/>
            <w:vAlign w:val="center"/>
          </w:tcPr>
          <w:p w14:paraId="0259D105">
            <w:pPr>
              <w:widowControl/>
              <w:spacing w:line="240" w:lineRule="auto"/>
              <w:ind w:firstLine="0" w:firstLineChars="0"/>
              <w:jc w:val="center"/>
              <w:textAlignment w:val="center"/>
              <w:rPr>
                <w:color w:val="auto"/>
                <w:kern w:val="0"/>
                <w:sz w:val="21"/>
                <w:szCs w:val="21"/>
              </w:rPr>
            </w:pPr>
          </w:p>
        </w:tc>
        <w:tc>
          <w:tcPr>
            <w:tcW w:w="384" w:type="pct"/>
            <w:vAlign w:val="center"/>
          </w:tcPr>
          <w:p w14:paraId="5FE42CE0">
            <w:pPr>
              <w:spacing w:line="240" w:lineRule="auto"/>
              <w:ind w:firstLine="0" w:firstLineChars="0"/>
              <w:jc w:val="center"/>
              <w:rPr>
                <w:color w:val="auto"/>
                <w:sz w:val="21"/>
                <w:szCs w:val="21"/>
              </w:rPr>
            </w:pPr>
            <w:r>
              <w:rPr>
                <w:rFonts w:hint="eastAsia"/>
                <w:color w:val="auto"/>
                <w:sz w:val="21"/>
                <w:szCs w:val="21"/>
              </w:rPr>
              <w:t>储罐</w:t>
            </w:r>
          </w:p>
        </w:tc>
        <w:tc>
          <w:tcPr>
            <w:tcW w:w="453" w:type="pct"/>
            <w:vAlign w:val="center"/>
          </w:tcPr>
          <w:p w14:paraId="52E0F18F">
            <w:pPr>
              <w:spacing w:line="240" w:lineRule="auto"/>
              <w:ind w:firstLine="0" w:firstLineChars="0"/>
              <w:jc w:val="center"/>
              <w:rPr>
                <w:color w:val="auto"/>
                <w:kern w:val="0"/>
                <w:sz w:val="21"/>
                <w:szCs w:val="21"/>
              </w:rPr>
            </w:pPr>
          </w:p>
        </w:tc>
        <w:tc>
          <w:tcPr>
            <w:tcW w:w="638" w:type="pct"/>
            <w:vAlign w:val="center"/>
          </w:tcPr>
          <w:p w14:paraId="4BF702E7">
            <w:pPr>
              <w:widowControl/>
              <w:spacing w:line="240" w:lineRule="auto"/>
              <w:ind w:firstLine="0" w:firstLineChars="0"/>
              <w:jc w:val="center"/>
              <w:textAlignment w:val="center"/>
              <w:rPr>
                <w:color w:val="auto"/>
                <w:kern w:val="0"/>
                <w:sz w:val="21"/>
                <w:szCs w:val="21"/>
              </w:rPr>
            </w:pPr>
          </w:p>
        </w:tc>
        <w:tc>
          <w:tcPr>
            <w:tcW w:w="412" w:type="pct"/>
            <w:vAlign w:val="center"/>
          </w:tcPr>
          <w:p w14:paraId="4E1D2D9E">
            <w:pPr>
              <w:spacing w:line="240" w:lineRule="auto"/>
              <w:ind w:firstLine="0" w:firstLineChars="0"/>
              <w:jc w:val="center"/>
              <w:rPr>
                <w:color w:val="auto"/>
                <w:sz w:val="21"/>
                <w:szCs w:val="21"/>
              </w:rPr>
            </w:pPr>
            <w:r>
              <w:rPr>
                <w:rFonts w:hint="eastAsia"/>
                <w:color w:val="auto"/>
                <w:sz w:val="21"/>
                <w:szCs w:val="21"/>
              </w:rPr>
              <w:t>6.6</w:t>
            </w:r>
          </w:p>
        </w:tc>
        <w:tc>
          <w:tcPr>
            <w:tcW w:w="468" w:type="pct"/>
            <w:vAlign w:val="center"/>
          </w:tcPr>
          <w:p w14:paraId="3C03D10F">
            <w:pPr>
              <w:spacing w:line="240" w:lineRule="auto"/>
              <w:ind w:firstLine="0" w:firstLineChars="0"/>
              <w:jc w:val="center"/>
              <w:rPr>
                <w:color w:val="auto"/>
                <w:sz w:val="21"/>
                <w:szCs w:val="21"/>
              </w:rPr>
            </w:pPr>
            <w:r>
              <w:rPr>
                <w:rFonts w:hint="eastAsia"/>
                <w:color w:val="auto"/>
                <w:sz w:val="21"/>
                <w:szCs w:val="21"/>
              </w:rPr>
              <w:t>12</w:t>
            </w:r>
          </w:p>
        </w:tc>
        <w:tc>
          <w:tcPr>
            <w:tcW w:w="336" w:type="pct"/>
            <w:vAlign w:val="center"/>
          </w:tcPr>
          <w:p w14:paraId="16450F31">
            <w:pPr>
              <w:spacing w:line="240" w:lineRule="auto"/>
              <w:ind w:firstLine="0" w:firstLineChars="0"/>
              <w:jc w:val="center"/>
              <w:rPr>
                <w:color w:val="auto"/>
                <w:sz w:val="21"/>
                <w:szCs w:val="21"/>
              </w:rPr>
            </w:pPr>
            <w:r>
              <w:rPr>
                <w:rFonts w:hint="eastAsia"/>
                <w:color w:val="auto"/>
                <w:sz w:val="21"/>
                <w:szCs w:val="21"/>
              </w:rPr>
              <w:t>常温</w:t>
            </w:r>
          </w:p>
        </w:tc>
        <w:tc>
          <w:tcPr>
            <w:tcW w:w="347" w:type="pct"/>
            <w:vAlign w:val="center"/>
          </w:tcPr>
          <w:p w14:paraId="46CD4FED">
            <w:pPr>
              <w:spacing w:line="240" w:lineRule="auto"/>
              <w:ind w:firstLine="0" w:firstLineChars="0"/>
              <w:jc w:val="center"/>
              <w:rPr>
                <w:color w:val="auto"/>
                <w:sz w:val="21"/>
                <w:szCs w:val="21"/>
              </w:rPr>
            </w:pPr>
            <w:r>
              <w:rPr>
                <w:rFonts w:hint="eastAsia"/>
                <w:color w:val="auto"/>
                <w:sz w:val="21"/>
                <w:szCs w:val="21"/>
              </w:rPr>
              <w:t>常压</w:t>
            </w:r>
          </w:p>
        </w:tc>
      </w:tr>
      <w:tr w14:paraId="535BE2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3B6FC837">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22</w:t>
            </w:r>
          </w:p>
        </w:tc>
        <w:tc>
          <w:tcPr>
            <w:tcW w:w="612" w:type="pct"/>
            <w:vMerge w:val="continue"/>
            <w:noWrap/>
            <w:vAlign w:val="center"/>
          </w:tcPr>
          <w:p w14:paraId="0DE1AC90">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177B5228">
            <w:pPr>
              <w:widowControl/>
              <w:spacing w:line="240" w:lineRule="auto"/>
              <w:ind w:firstLine="0" w:firstLineChars="0"/>
              <w:jc w:val="center"/>
              <w:textAlignment w:val="center"/>
              <w:rPr>
                <w:color w:val="auto"/>
                <w:sz w:val="21"/>
                <w:szCs w:val="21"/>
              </w:rPr>
            </w:pPr>
            <w:r>
              <w:rPr>
                <w:rFonts w:hint="eastAsia"/>
                <w:color w:val="auto"/>
                <w:sz w:val="21"/>
                <w:szCs w:val="21"/>
              </w:rPr>
              <w:t>99%碳酸氢铵</w:t>
            </w:r>
          </w:p>
        </w:tc>
        <w:tc>
          <w:tcPr>
            <w:tcW w:w="237" w:type="pct"/>
            <w:vAlign w:val="center"/>
          </w:tcPr>
          <w:p w14:paraId="6625887B">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固态</w:t>
            </w:r>
          </w:p>
        </w:tc>
        <w:tc>
          <w:tcPr>
            <w:tcW w:w="384" w:type="pct"/>
            <w:vAlign w:val="center"/>
          </w:tcPr>
          <w:p w14:paraId="25276EAA">
            <w:pPr>
              <w:spacing w:line="240" w:lineRule="auto"/>
              <w:ind w:firstLine="0" w:firstLineChars="0"/>
              <w:jc w:val="center"/>
              <w:rPr>
                <w:color w:val="auto"/>
                <w:sz w:val="21"/>
                <w:szCs w:val="21"/>
              </w:rPr>
            </w:pPr>
            <w:r>
              <w:rPr>
                <w:rFonts w:hint="eastAsia"/>
                <w:color w:val="auto"/>
                <w:sz w:val="21"/>
                <w:szCs w:val="21"/>
              </w:rPr>
              <w:t>袋装</w:t>
            </w:r>
          </w:p>
        </w:tc>
        <w:tc>
          <w:tcPr>
            <w:tcW w:w="453" w:type="pct"/>
            <w:vAlign w:val="center"/>
          </w:tcPr>
          <w:p w14:paraId="4A7CF5D6">
            <w:pPr>
              <w:spacing w:line="240" w:lineRule="auto"/>
              <w:ind w:firstLine="0" w:firstLineChars="0"/>
              <w:jc w:val="center"/>
              <w:rPr>
                <w:color w:val="auto"/>
                <w:sz w:val="21"/>
                <w:szCs w:val="21"/>
              </w:rPr>
            </w:pPr>
          </w:p>
        </w:tc>
        <w:tc>
          <w:tcPr>
            <w:tcW w:w="638" w:type="pct"/>
            <w:vAlign w:val="center"/>
          </w:tcPr>
          <w:p w14:paraId="38E6B05B">
            <w:pPr>
              <w:widowControl/>
              <w:spacing w:line="240" w:lineRule="auto"/>
              <w:ind w:firstLine="0" w:firstLineChars="0"/>
              <w:jc w:val="center"/>
              <w:textAlignment w:val="center"/>
              <w:rPr>
                <w:color w:val="auto"/>
                <w:kern w:val="0"/>
                <w:sz w:val="21"/>
                <w:szCs w:val="21"/>
              </w:rPr>
            </w:pPr>
          </w:p>
        </w:tc>
        <w:tc>
          <w:tcPr>
            <w:tcW w:w="412" w:type="pct"/>
            <w:vAlign w:val="center"/>
          </w:tcPr>
          <w:p w14:paraId="7D7F1684">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43E5570C">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747F8A33">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65182466">
            <w:pPr>
              <w:spacing w:line="240" w:lineRule="auto"/>
              <w:ind w:firstLine="0" w:firstLineChars="0"/>
              <w:jc w:val="center"/>
              <w:rPr>
                <w:color w:val="auto"/>
                <w:sz w:val="21"/>
                <w:szCs w:val="21"/>
              </w:rPr>
            </w:pPr>
            <w:r>
              <w:rPr>
                <w:rFonts w:hint="eastAsia"/>
                <w:color w:val="auto"/>
                <w:sz w:val="21"/>
                <w:szCs w:val="21"/>
              </w:rPr>
              <w:t>/</w:t>
            </w:r>
          </w:p>
        </w:tc>
      </w:tr>
      <w:tr w14:paraId="0C3103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5FC638DF">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23</w:t>
            </w:r>
          </w:p>
        </w:tc>
        <w:tc>
          <w:tcPr>
            <w:tcW w:w="612" w:type="pct"/>
            <w:vMerge w:val="restart"/>
            <w:noWrap/>
            <w:vAlign w:val="center"/>
          </w:tcPr>
          <w:p w14:paraId="3CF771D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产品</w:t>
            </w:r>
          </w:p>
        </w:tc>
        <w:tc>
          <w:tcPr>
            <w:tcW w:w="864" w:type="pct"/>
            <w:noWrap/>
            <w:vAlign w:val="center"/>
          </w:tcPr>
          <w:p w14:paraId="2016AAA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亚硫酸钾溶液</w:t>
            </w:r>
          </w:p>
        </w:tc>
        <w:tc>
          <w:tcPr>
            <w:tcW w:w="237" w:type="pct"/>
            <w:vAlign w:val="center"/>
          </w:tcPr>
          <w:p w14:paraId="261EC0C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液态</w:t>
            </w:r>
          </w:p>
        </w:tc>
        <w:tc>
          <w:tcPr>
            <w:tcW w:w="384" w:type="pct"/>
            <w:vAlign w:val="center"/>
          </w:tcPr>
          <w:p w14:paraId="243E461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吨箱/吨桶/槽罐车</w:t>
            </w:r>
          </w:p>
        </w:tc>
        <w:tc>
          <w:tcPr>
            <w:tcW w:w="453" w:type="pct"/>
            <w:vAlign w:val="center"/>
          </w:tcPr>
          <w:p w14:paraId="347C17AF">
            <w:pPr>
              <w:spacing w:line="240" w:lineRule="auto"/>
              <w:ind w:firstLine="0" w:firstLineChars="0"/>
              <w:jc w:val="center"/>
              <w:rPr>
                <w:color w:val="auto"/>
                <w:sz w:val="21"/>
                <w:szCs w:val="21"/>
              </w:rPr>
            </w:pPr>
          </w:p>
        </w:tc>
        <w:tc>
          <w:tcPr>
            <w:tcW w:w="638" w:type="pct"/>
            <w:vAlign w:val="center"/>
          </w:tcPr>
          <w:p w14:paraId="1B3665A5">
            <w:pPr>
              <w:widowControl/>
              <w:spacing w:line="240" w:lineRule="auto"/>
              <w:ind w:firstLine="0" w:firstLineChars="0"/>
              <w:jc w:val="center"/>
              <w:textAlignment w:val="center"/>
              <w:rPr>
                <w:color w:val="auto"/>
                <w:kern w:val="0"/>
                <w:sz w:val="21"/>
                <w:szCs w:val="21"/>
              </w:rPr>
            </w:pPr>
          </w:p>
        </w:tc>
        <w:tc>
          <w:tcPr>
            <w:tcW w:w="412" w:type="pct"/>
            <w:vAlign w:val="center"/>
          </w:tcPr>
          <w:p w14:paraId="7BB276EC">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4A6A77E6">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31FBE35D">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1BB95ACE">
            <w:pPr>
              <w:spacing w:line="240" w:lineRule="auto"/>
              <w:ind w:firstLine="0" w:firstLineChars="0"/>
              <w:jc w:val="center"/>
              <w:rPr>
                <w:color w:val="auto"/>
                <w:sz w:val="21"/>
                <w:szCs w:val="21"/>
              </w:rPr>
            </w:pPr>
            <w:r>
              <w:rPr>
                <w:rFonts w:hint="eastAsia"/>
                <w:color w:val="auto"/>
                <w:sz w:val="21"/>
                <w:szCs w:val="21"/>
              </w:rPr>
              <w:t>/</w:t>
            </w:r>
          </w:p>
        </w:tc>
      </w:tr>
      <w:tr w14:paraId="645B18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0BC5B5B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24</w:t>
            </w:r>
          </w:p>
        </w:tc>
        <w:tc>
          <w:tcPr>
            <w:tcW w:w="612" w:type="pct"/>
            <w:vMerge w:val="continue"/>
            <w:noWrap/>
            <w:vAlign w:val="center"/>
          </w:tcPr>
          <w:p w14:paraId="19A5381C">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26F23DE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亚硫酸钾固体</w:t>
            </w:r>
          </w:p>
        </w:tc>
        <w:tc>
          <w:tcPr>
            <w:tcW w:w="237" w:type="pct"/>
            <w:vAlign w:val="center"/>
          </w:tcPr>
          <w:p w14:paraId="507BE76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固态</w:t>
            </w:r>
          </w:p>
        </w:tc>
        <w:tc>
          <w:tcPr>
            <w:tcW w:w="384" w:type="pct"/>
            <w:vAlign w:val="center"/>
          </w:tcPr>
          <w:p w14:paraId="04662AC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纸筒/真空包装袋</w:t>
            </w:r>
          </w:p>
        </w:tc>
        <w:tc>
          <w:tcPr>
            <w:tcW w:w="453" w:type="pct"/>
            <w:vAlign w:val="center"/>
          </w:tcPr>
          <w:p w14:paraId="666797E3">
            <w:pPr>
              <w:spacing w:line="240" w:lineRule="auto"/>
              <w:ind w:firstLine="0" w:firstLineChars="0"/>
              <w:jc w:val="center"/>
              <w:rPr>
                <w:color w:val="auto"/>
                <w:sz w:val="21"/>
                <w:szCs w:val="21"/>
              </w:rPr>
            </w:pPr>
          </w:p>
        </w:tc>
        <w:tc>
          <w:tcPr>
            <w:tcW w:w="638" w:type="pct"/>
            <w:vAlign w:val="center"/>
          </w:tcPr>
          <w:p w14:paraId="56E570AE">
            <w:pPr>
              <w:widowControl/>
              <w:spacing w:line="240" w:lineRule="auto"/>
              <w:ind w:firstLine="0" w:firstLineChars="0"/>
              <w:jc w:val="center"/>
              <w:textAlignment w:val="center"/>
              <w:rPr>
                <w:color w:val="auto"/>
                <w:kern w:val="0"/>
                <w:sz w:val="21"/>
                <w:szCs w:val="21"/>
              </w:rPr>
            </w:pPr>
          </w:p>
        </w:tc>
        <w:tc>
          <w:tcPr>
            <w:tcW w:w="412" w:type="pct"/>
            <w:vAlign w:val="center"/>
          </w:tcPr>
          <w:p w14:paraId="50839EC9">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503E66E3">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58230273">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0F675EC4">
            <w:pPr>
              <w:spacing w:line="240" w:lineRule="auto"/>
              <w:ind w:firstLine="0" w:firstLineChars="0"/>
              <w:jc w:val="center"/>
              <w:rPr>
                <w:color w:val="auto"/>
                <w:sz w:val="21"/>
                <w:szCs w:val="21"/>
              </w:rPr>
            </w:pPr>
            <w:r>
              <w:rPr>
                <w:rFonts w:hint="eastAsia"/>
                <w:color w:val="auto"/>
                <w:sz w:val="21"/>
                <w:szCs w:val="21"/>
              </w:rPr>
              <w:t>/</w:t>
            </w:r>
          </w:p>
        </w:tc>
      </w:tr>
      <w:tr w14:paraId="73F27F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497" w:hRule="atLeast"/>
          <w:jc w:val="center"/>
        </w:trPr>
        <w:tc>
          <w:tcPr>
            <w:tcW w:w="244" w:type="pct"/>
            <w:vAlign w:val="center"/>
          </w:tcPr>
          <w:p w14:paraId="5CB8B9BE">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25</w:t>
            </w:r>
          </w:p>
        </w:tc>
        <w:tc>
          <w:tcPr>
            <w:tcW w:w="612" w:type="pct"/>
            <w:vMerge w:val="continue"/>
            <w:noWrap/>
            <w:vAlign w:val="center"/>
          </w:tcPr>
          <w:p w14:paraId="1FF290A1">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29335B2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亚硫酸钠溶液</w:t>
            </w:r>
          </w:p>
        </w:tc>
        <w:tc>
          <w:tcPr>
            <w:tcW w:w="237" w:type="pct"/>
            <w:vAlign w:val="center"/>
          </w:tcPr>
          <w:p w14:paraId="6B2D441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液态</w:t>
            </w:r>
          </w:p>
        </w:tc>
        <w:tc>
          <w:tcPr>
            <w:tcW w:w="384" w:type="pct"/>
            <w:vAlign w:val="center"/>
          </w:tcPr>
          <w:p w14:paraId="219F320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吨箱/吨桶/槽罐车</w:t>
            </w:r>
          </w:p>
        </w:tc>
        <w:tc>
          <w:tcPr>
            <w:tcW w:w="453" w:type="pct"/>
            <w:vAlign w:val="center"/>
          </w:tcPr>
          <w:p w14:paraId="13850F3D">
            <w:pPr>
              <w:spacing w:line="240" w:lineRule="auto"/>
              <w:ind w:firstLine="0" w:firstLineChars="0"/>
              <w:jc w:val="center"/>
              <w:rPr>
                <w:color w:val="auto"/>
                <w:sz w:val="21"/>
                <w:szCs w:val="21"/>
              </w:rPr>
            </w:pPr>
          </w:p>
        </w:tc>
        <w:tc>
          <w:tcPr>
            <w:tcW w:w="638" w:type="pct"/>
            <w:vAlign w:val="center"/>
          </w:tcPr>
          <w:p w14:paraId="5ECB6AFD">
            <w:pPr>
              <w:widowControl/>
              <w:spacing w:line="240" w:lineRule="auto"/>
              <w:ind w:firstLine="0" w:firstLineChars="0"/>
              <w:jc w:val="center"/>
              <w:textAlignment w:val="center"/>
              <w:rPr>
                <w:color w:val="auto"/>
                <w:kern w:val="0"/>
                <w:sz w:val="21"/>
                <w:szCs w:val="21"/>
              </w:rPr>
            </w:pPr>
          </w:p>
        </w:tc>
        <w:tc>
          <w:tcPr>
            <w:tcW w:w="412" w:type="pct"/>
            <w:vAlign w:val="center"/>
          </w:tcPr>
          <w:p w14:paraId="62367115">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4BBCC642">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2C9EC778">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1858CD8D">
            <w:pPr>
              <w:spacing w:line="240" w:lineRule="auto"/>
              <w:ind w:firstLine="0" w:firstLineChars="0"/>
              <w:jc w:val="center"/>
              <w:rPr>
                <w:color w:val="auto"/>
                <w:sz w:val="21"/>
                <w:szCs w:val="21"/>
              </w:rPr>
            </w:pPr>
            <w:r>
              <w:rPr>
                <w:rFonts w:hint="eastAsia"/>
                <w:color w:val="auto"/>
                <w:sz w:val="21"/>
                <w:szCs w:val="21"/>
              </w:rPr>
              <w:t>/</w:t>
            </w:r>
          </w:p>
        </w:tc>
      </w:tr>
      <w:tr w14:paraId="5F44DC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285A4654">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26</w:t>
            </w:r>
          </w:p>
        </w:tc>
        <w:tc>
          <w:tcPr>
            <w:tcW w:w="612" w:type="pct"/>
            <w:vMerge w:val="continue"/>
            <w:noWrap/>
            <w:vAlign w:val="center"/>
          </w:tcPr>
          <w:p w14:paraId="2382CC12">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6F7A75D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亚硫酸钠固体</w:t>
            </w:r>
          </w:p>
        </w:tc>
        <w:tc>
          <w:tcPr>
            <w:tcW w:w="237" w:type="pct"/>
            <w:vAlign w:val="center"/>
          </w:tcPr>
          <w:p w14:paraId="409A25C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固态</w:t>
            </w:r>
          </w:p>
        </w:tc>
        <w:tc>
          <w:tcPr>
            <w:tcW w:w="384" w:type="pct"/>
            <w:vAlign w:val="center"/>
          </w:tcPr>
          <w:p w14:paraId="7D4CEC6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袋装</w:t>
            </w:r>
          </w:p>
        </w:tc>
        <w:tc>
          <w:tcPr>
            <w:tcW w:w="453" w:type="pct"/>
            <w:vAlign w:val="center"/>
          </w:tcPr>
          <w:p w14:paraId="759E4966">
            <w:pPr>
              <w:spacing w:line="240" w:lineRule="auto"/>
              <w:ind w:firstLine="0" w:firstLineChars="0"/>
              <w:jc w:val="center"/>
              <w:rPr>
                <w:color w:val="auto"/>
                <w:sz w:val="21"/>
                <w:szCs w:val="21"/>
              </w:rPr>
            </w:pPr>
          </w:p>
        </w:tc>
        <w:tc>
          <w:tcPr>
            <w:tcW w:w="638" w:type="pct"/>
            <w:vAlign w:val="center"/>
          </w:tcPr>
          <w:p w14:paraId="0727EA47">
            <w:pPr>
              <w:widowControl/>
              <w:spacing w:line="240" w:lineRule="auto"/>
              <w:ind w:firstLine="0" w:firstLineChars="0"/>
              <w:jc w:val="center"/>
              <w:textAlignment w:val="center"/>
              <w:rPr>
                <w:color w:val="auto"/>
                <w:kern w:val="0"/>
                <w:sz w:val="21"/>
                <w:szCs w:val="21"/>
              </w:rPr>
            </w:pPr>
          </w:p>
        </w:tc>
        <w:tc>
          <w:tcPr>
            <w:tcW w:w="412" w:type="pct"/>
            <w:vAlign w:val="center"/>
          </w:tcPr>
          <w:p w14:paraId="31836081">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14437ED1">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4385BAE9">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0AE68A1E">
            <w:pPr>
              <w:spacing w:line="240" w:lineRule="auto"/>
              <w:ind w:firstLine="0" w:firstLineChars="0"/>
              <w:jc w:val="center"/>
              <w:rPr>
                <w:color w:val="auto"/>
                <w:sz w:val="21"/>
                <w:szCs w:val="21"/>
              </w:rPr>
            </w:pPr>
            <w:r>
              <w:rPr>
                <w:rFonts w:hint="eastAsia"/>
                <w:color w:val="auto"/>
                <w:sz w:val="21"/>
                <w:szCs w:val="21"/>
              </w:rPr>
              <w:t>/</w:t>
            </w:r>
          </w:p>
        </w:tc>
      </w:tr>
      <w:tr w14:paraId="4C4C04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7DB9AE97">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27</w:t>
            </w:r>
          </w:p>
        </w:tc>
        <w:tc>
          <w:tcPr>
            <w:tcW w:w="612" w:type="pct"/>
            <w:vMerge w:val="continue"/>
            <w:noWrap/>
            <w:vAlign w:val="center"/>
          </w:tcPr>
          <w:p w14:paraId="6C7E77B9">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0D98650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硫代硫酸铵</w:t>
            </w:r>
          </w:p>
        </w:tc>
        <w:tc>
          <w:tcPr>
            <w:tcW w:w="237" w:type="pct"/>
            <w:vAlign w:val="center"/>
          </w:tcPr>
          <w:p w14:paraId="2D192BC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液态</w:t>
            </w:r>
          </w:p>
        </w:tc>
        <w:tc>
          <w:tcPr>
            <w:tcW w:w="384" w:type="pct"/>
            <w:vAlign w:val="center"/>
          </w:tcPr>
          <w:p w14:paraId="30E4EBD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吨箱/吨桶/槽罐车</w:t>
            </w:r>
          </w:p>
        </w:tc>
        <w:tc>
          <w:tcPr>
            <w:tcW w:w="453" w:type="pct"/>
            <w:vAlign w:val="center"/>
          </w:tcPr>
          <w:p w14:paraId="1627A7BB">
            <w:pPr>
              <w:spacing w:line="240" w:lineRule="auto"/>
              <w:ind w:firstLine="0" w:firstLineChars="0"/>
              <w:jc w:val="center"/>
              <w:rPr>
                <w:color w:val="auto"/>
                <w:sz w:val="21"/>
                <w:szCs w:val="21"/>
              </w:rPr>
            </w:pPr>
          </w:p>
        </w:tc>
        <w:tc>
          <w:tcPr>
            <w:tcW w:w="638" w:type="pct"/>
            <w:vAlign w:val="center"/>
          </w:tcPr>
          <w:p w14:paraId="29C0B416">
            <w:pPr>
              <w:widowControl/>
              <w:spacing w:line="240" w:lineRule="auto"/>
              <w:ind w:firstLine="0" w:firstLineChars="0"/>
              <w:jc w:val="center"/>
              <w:textAlignment w:val="center"/>
              <w:rPr>
                <w:color w:val="auto"/>
                <w:kern w:val="0"/>
                <w:sz w:val="21"/>
                <w:szCs w:val="21"/>
              </w:rPr>
            </w:pPr>
          </w:p>
        </w:tc>
        <w:tc>
          <w:tcPr>
            <w:tcW w:w="412" w:type="pct"/>
            <w:vAlign w:val="center"/>
          </w:tcPr>
          <w:p w14:paraId="406D6379">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6364634C">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18ADF154">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3ECB9025">
            <w:pPr>
              <w:spacing w:line="240" w:lineRule="auto"/>
              <w:ind w:firstLine="0" w:firstLineChars="0"/>
              <w:jc w:val="center"/>
              <w:rPr>
                <w:color w:val="auto"/>
                <w:sz w:val="21"/>
                <w:szCs w:val="21"/>
              </w:rPr>
            </w:pPr>
            <w:r>
              <w:rPr>
                <w:rFonts w:hint="eastAsia"/>
                <w:color w:val="auto"/>
                <w:sz w:val="21"/>
                <w:szCs w:val="21"/>
              </w:rPr>
              <w:t>/</w:t>
            </w:r>
          </w:p>
        </w:tc>
      </w:tr>
      <w:tr w14:paraId="41E9C3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43F97448">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28</w:t>
            </w:r>
          </w:p>
        </w:tc>
        <w:tc>
          <w:tcPr>
            <w:tcW w:w="612" w:type="pct"/>
            <w:vMerge w:val="continue"/>
            <w:noWrap/>
            <w:vAlign w:val="center"/>
          </w:tcPr>
          <w:p w14:paraId="44366CE1">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39295D0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硫代硫酸钙</w:t>
            </w:r>
          </w:p>
        </w:tc>
        <w:tc>
          <w:tcPr>
            <w:tcW w:w="237" w:type="pct"/>
            <w:vAlign w:val="center"/>
          </w:tcPr>
          <w:p w14:paraId="5FD92BD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液态</w:t>
            </w:r>
          </w:p>
        </w:tc>
        <w:tc>
          <w:tcPr>
            <w:tcW w:w="384" w:type="pct"/>
            <w:vAlign w:val="center"/>
          </w:tcPr>
          <w:p w14:paraId="6FE6142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吨箱/吨桶/槽罐车</w:t>
            </w:r>
          </w:p>
        </w:tc>
        <w:tc>
          <w:tcPr>
            <w:tcW w:w="453" w:type="pct"/>
            <w:vAlign w:val="center"/>
          </w:tcPr>
          <w:p w14:paraId="6A021B70">
            <w:pPr>
              <w:spacing w:line="240" w:lineRule="auto"/>
              <w:ind w:firstLine="0" w:firstLineChars="0"/>
              <w:jc w:val="center"/>
              <w:rPr>
                <w:color w:val="auto"/>
                <w:sz w:val="21"/>
                <w:szCs w:val="21"/>
              </w:rPr>
            </w:pPr>
          </w:p>
        </w:tc>
        <w:tc>
          <w:tcPr>
            <w:tcW w:w="638" w:type="pct"/>
            <w:vAlign w:val="center"/>
          </w:tcPr>
          <w:p w14:paraId="6E23B882">
            <w:pPr>
              <w:widowControl/>
              <w:spacing w:line="240" w:lineRule="auto"/>
              <w:ind w:firstLine="0" w:firstLineChars="0"/>
              <w:jc w:val="center"/>
              <w:textAlignment w:val="center"/>
              <w:rPr>
                <w:color w:val="auto"/>
                <w:kern w:val="0"/>
                <w:sz w:val="21"/>
                <w:szCs w:val="21"/>
              </w:rPr>
            </w:pPr>
          </w:p>
        </w:tc>
        <w:tc>
          <w:tcPr>
            <w:tcW w:w="412" w:type="pct"/>
            <w:vAlign w:val="center"/>
          </w:tcPr>
          <w:p w14:paraId="21CACBCE">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22FB5E25">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78C577F8">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213DB621">
            <w:pPr>
              <w:spacing w:line="240" w:lineRule="auto"/>
              <w:ind w:firstLine="0" w:firstLineChars="0"/>
              <w:jc w:val="center"/>
              <w:rPr>
                <w:color w:val="auto"/>
                <w:sz w:val="21"/>
                <w:szCs w:val="21"/>
              </w:rPr>
            </w:pPr>
            <w:r>
              <w:rPr>
                <w:rFonts w:hint="eastAsia"/>
                <w:color w:val="auto"/>
                <w:sz w:val="21"/>
                <w:szCs w:val="21"/>
              </w:rPr>
              <w:t>/</w:t>
            </w:r>
          </w:p>
        </w:tc>
      </w:tr>
      <w:tr w14:paraId="4EFE52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75D737A0">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29</w:t>
            </w:r>
          </w:p>
        </w:tc>
        <w:tc>
          <w:tcPr>
            <w:tcW w:w="612" w:type="pct"/>
            <w:vMerge w:val="continue"/>
            <w:noWrap/>
            <w:vAlign w:val="center"/>
          </w:tcPr>
          <w:p w14:paraId="47D5EFE2">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55981CD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硫代硫酸镁</w:t>
            </w:r>
          </w:p>
        </w:tc>
        <w:tc>
          <w:tcPr>
            <w:tcW w:w="237" w:type="pct"/>
            <w:vAlign w:val="center"/>
          </w:tcPr>
          <w:p w14:paraId="1CB4267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液态</w:t>
            </w:r>
          </w:p>
        </w:tc>
        <w:tc>
          <w:tcPr>
            <w:tcW w:w="384" w:type="pct"/>
            <w:vAlign w:val="center"/>
          </w:tcPr>
          <w:p w14:paraId="711663E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吨箱/吨桶/槽罐车</w:t>
            </w:r>
          </w:p>
        </w:tc>
        <w:tc>
          <w:tcPr>
            <w:tcW w:w="453" w:type="pct"/>
            <w:vAlign w:val="center"/>
          </w:tcPr>
          <w:p w14:paraId="066EA51C">
            <w:pPr>
              <w:spacing w:line="240" w:lineRule="auto"/>
              <w:ind w:firstLine="0" w:firstLineChars="0"/>
              <w:jc w:val="center"/>
              <w:rPr>
                <w:color w:val="auto"/>
                <w:sz w:val="21"/>
                <w:szCs w:val="21"/>
              </w:rPr>
            </w:pPr>
          </w:p>
        </w:tc>
        <w:tc>
          <w:tcPr>
            <w:tcW w:w="638" w:type="pct"/>
            <w:vAlign w:val="center"/>
          </w:tcPr>
          <w:p w14:paraId="25BDCDF4">
            <w:pPr>
              <w:widowControl/>
              <w:spacing w:line="240" w:lineRule="auto"/>
              <w:ind w:firstLine="0" w:firstLineChars="0"/>
              <w:jc w:val="center"/>
              <w:textAlignment w:val="center"/>
              <w:rPr>
                <w:color w:val="auto"/>
                <w:kern w:val="0"/>
                <w:sz w:val="21"/>
                <w:szCs w:val="21"/>
              </w:rPr>
            </w:pPr>
          </w:p>
        </w:tc>
        <w:tc>
          <w:tcPr>
            <w:tcW w:w="412" w:type="pct"/>
            <w:vAlign w:val="center"/>
          </w:tcPr>
          <w:p w14:paraId="42FF7597">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2DBEBDC7">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25B161A0">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2826B348">
            <w:pPr>
              <w:spacing w:line="240" w:lineRule="auto"/>
              <w:ind w:firstLine="0" w:firstLineChars="0"/>
              <w:jc w:val="center"/>
              <w:rPr>
                <w:color w:val="auto"/>
                <w:sz w:val="21"/>
                <w:szCs w:val="21"/>
              </w:rPr>
            </w:pPr>
            <w:r>
              <w:rPr>
                <w:rFonts w:hint="eastAsia"/>
                <w:color w:val="auto"/>
                <w:sz w:val="21"/>
                <w:szCs w:val="21"/>
              </w:rPr>
              <w:t>/</w:t>
            </w:r>
          </w:p>
        </w:tc>
      </w:tr>
      <w:tr w14:paraId="56F5E8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2709F26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30</w:t>
            </w:r>
          </w:p>
        </w:tc>
        <w:tc>
          <w:tcPr>
            <w:tcW w:w="612" w:type="pct"/>
            <w:vMerge w:val="continue"/>
            <w:noWrap/>
            <w:vAlign w:val="center"/>
          </w:tcPr>
          <w:p w14:paraId="21338F81">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791DB954">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硫代硫酸钾</w:t>
            </w:r>
          </w:p>
        </w:tc>
        <w:tc>
          <w:tcPr>
            <w:tcW w:w="237" w:type="pct"/>
            <w:vAlign w:val="center"/>
          </w:tcPr>
          <w:p w14:paraId="7CE3BD3B">
            <w:pPr>
              <w:spacing w:line="240" w:lineRule="auto"/>
              <w:ind w:firstLine="0" w:firstLineChars="0"/>
              <w:jc w:val="center"/>
              <w:rPr>
                <w:color w:val="auto"/>
                <w:sz w:val="21"/>
                <w:szCs w:val="21"/>
              </w:rPr>
            </w:pPr>
            <w:r>
              <w:rPr>
                <w:rFonts w:hint="eastAsia"/>
                <w:color w:val="auto"/>
                <w:sz w:val="21"/>
                <w:szCs w:val="21"/>
              </w:rPr>
              <w:t>液态</w:t>
            </w:r>
          </w:p>
        </w:tc>
        <w:tc>
          <w:tcPr>
            <w:tcW w:w="384" w:type="pct"/>
            <w:vAlign w:val="center"/>
          </w:tcPr>
          <w:p w14:paraId="4293D00B">
            <w:pPr>
              <w:spacing w:line="240" w:lineRule="auto"/>
              <w:ind w:firstLine="0" w:firstLineChars="0"/>
              <w:jc w:val="center"/>
              <w:rPr>
                <w:color w:val="auto"/>
                <w:sz w:val="21"/>
                <w:szCs w:val="21"/>
              </w:rPr>
            </w:pPr>
            <w:r>
              <w:rPr>
                <w:rFonts w:hint="eastAsia"/>
                <w:color w:val="auto"/>
                <w:kern w:val="0"/>
                <w:sz w:val="21"/>
                <w:szCs w:val="21"/>
                <w:lang w:bidi="ar"/>
              </w:rPr>
              <w:t>吨箱/吨桶/槽罐车</w:t>
            </w:r>
          </w:p>
        </w:tc>
        <w:tc>
          <w:tcPr>
            <w:tcW w:w="453" w:type="pct"/>
            <w:vAlign w:val="center"/>
          </w:tcPr>
          <w:p w14:paraId="6510ED2A">
            <w:pPr>
              <w:spacing w:line="240" w:lineRule="auto"/>
              <w:ind w:firstLine="0" w:firstLineChars="0"/>
              <w:jc w:val="center"/>
              <w:rPr>
                <w:color w:val="auto"/>
                <w:sz w:val="21"/>
                <w:szCs w:val="21"/>
              </w:rPr>
            </w:pPr>
          </w:p>
        </w:tc>
        <w:tc>
          <w:tcPr>
            <w:tcW w:w="638" w:type="pct"/>
            <w:vAlign w:val="center"/>
          </w:tcPr>
          <w:p w14:paraId="188342E8">
            <w:pPr>
              <w:widowControl/>
              <w:spacing w:line="240" w:lineRule="auto"/>
              <w:ind w:firstLine="0" w:firstLineChars="0"/>
              <w:jc w:val="center"/>
              <w:textAlignment w:val="center"/>
              <w:rPr>
                <w:color w:val="auto"/>
                <w:kern w:val="0"/>
                <w:sz w:val="21"/>
                <w:szCs w:val="21"/>
              </w:rPr>
            </w:pPr>
          </w:p>
        </w:tc>
        <w:tc>
          <w:tcPr>
            <w:tcW w:w="412" w:type="pct"/>
            <w:vAlign w:val="center"/>
          </w:tcPr>
          <w:p w14:paraId="77936D9D">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5C7FCE70">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7E2DE2F2">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654839EF">
            <w:pPr>
              <w:spacing w:line="240" w:lineRule="auto"/>
              <w:ind w:firstLine="0" w:firstLineChars="0"/>
              <w:jc w:val="center"/>
              <w:rPr>
                <w:color w:val="auto"/>
                <w:sz w:val="21"/>
                <w:szCs w:val="21"/>
              </w:rPr>
            </w:pPr>
            <w:r>
              <w:rPr>
                <w:rFonts w:hint="eastAsia"/>
                <w:color w:val="auto"/>
                <w:sz w:val="21"/>
                <w:szCs w:val="21"/>
              </w:rPr>
              <w:t>/</w:t>
            </w:r>
          </w:p>
        </w:tc>
      </w:tr>
      <w:tr w14:paraId="2F187E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3" w:hRule="atLeast"/>
          <w:jc w:val="center"/>
        </w:trPr>
        <w:tc>
          <w:tcPr>
            <w:tcW w:w="244" w:type="pct"/>
            <w:vAlign w:val="center"/>
          </w:tcPr>
          <w:p w14:paraId="0A7B6CCF">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31</w:t>
            </w:r>
          </w:p>
        </w:tc>
        <w:tc>
          <w:tcPr>
            <w:tcW w:w="612" w:type="pct"/>
            <w:vMerge w:val="continue"/>
            <w:noWrap/>
            <w:vAlign w:val="center"/>
          </w:tcPr>
          <w:p w14:paraId="507E219D">
            <w:pPr>
              <w:widowControl/>
              <w:spacing w:line="240" w:lineRule="auto"/>
              <w:ind w:firstLine="0" w:firstLineChars="0"/>
              <w:jc w:val="center"/>
              <w:textAlignment w:val="center"/>
              <w:rPr>
                <w:color w:val="auto"/>
                <w:kern w:val="0"/>
                <w:sz w:val="21"/>
                <w:szCs w:val="21"/>
                <w:lang w:bidi="ar"/>
              </w:rPr>
            </w:pPr>
          </w:p>
        </w:tc>
        <w:tc>
          <w:tcPr>
            <w:tcW w:w="864" w:type="pct"/>
            <w:noWrap/>
            <w:vAlign w:val="center"/>
          </w:tcPr>
          <w:p w14:paraId="0DC1EC47">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一水亚硫酸铵</w:t>
            </w:r>
          </w:p>
        </w:tc>
        <w:tc>
          <w:tcPr>
            <w:tcW w:w="237" w:type="pct"/>
            <w:vAlign w:val="center"/>
          </w:tcPr>
          <w:p w14:paraId="7231352D">
            <w:pPr>
              <w:spacing w:line="240" w:lineRule="auto"/>
              <w:ind w:firstLine="0" w:firstLineChars="0"/>
              <w:jc w:val="center"/>
              <w:rPr>
                <w:color w:val="auto"/>
                <w:sz w:val="21"/>
                <w:szCs w:val="21"/>
              </w:rPr>
            </w:pPr>
            <w:r>
              <w:rPr>
                <w:rFonts w:hint="eastAsia"/>
                <w:color w:val="auto"/>
                <w:sz w:val="21"/>
                <w:szCs w:val="21"/>
              </w:rPr>
              <w:t>固态</w:t>
            </w:r>
          </w:p>
        </w:tc>
        <w:tc>
          <w:tcPr>
            <w:tcW w:w="384" w:type="pct"/>
            <w:vAlign w:val="center"/>
          </w:tcPr>
          <w:p w14:paraId="0D4E8F16">
            <w:pPr>
              <w:widowControl/>
              <w:spacing w:line="240" w:lineRule="auto"/>
              <w:ind w:firstLine="0" w:firstLineChars="0"/>
              <w:jc w:val="center"/>
              <w:rPr>
                <w:color w:val="auto"/>
                <w:sz w:val="21"/>
                <w:szCs w:val="21"/>
              </w:rPr>
            </w:pPr>
            <w:r>
              <w:rPr>
                <w:rFonts w:hint="eastAsia"/>
                <w:color w:val="auto"/>
                <w:kern w:val="0"/>
                <w:sz w:val="21"/>
                <w:szCs w:val="21"/>
                <w:lang w:bidi="ar"/>
              </w:rPr>
              <w:t>纸筒/真空包装袋</w:t>
            </w:r>
          </w:p>
        </w:tc>
        <w:tc>
          <w:tcPr>
            <w:tcW w:w="453" w:type="pct"/>
            <w:vAlign w:val="center"/>
          </w:tcPr>
          <w:p w14:paraId="231ED5CC">
            <w:pPr>
              <w:spacing w:line="240" w:lineRule="auto"/>
              <w:ind w:firstLine="0" w:firstLineChars="0"/>
              <w:jc w:val="center"/>
              <w:rPr>
                <w:color w:val="auto"/>
                <w:sz w:val="21"/>
                <w:szCs w:val="21"/>
              </w:rPr>
            </w:pPr>
          </w:p>
        </w:tc>
        <w:tc>
          <w:tcPr>
            <w:tcW w:w="638" w:type="pct"/>
            <w:vAlign w:val="center"/>
          </w:tcPr>
          <w:p w14:paraId="192A970F">
            <w:pPr>
              <w:widowControl/>
              <w:spacing w:line="240" w:lineRule="auto"/>
              <w:ind w:firstLine="0" w:firstLineChars="0"/>
              <w:jc w:val="center"/>
              <w:textAlignment w:val="center"/>
              <w:rPr>
                <w:color w:val="auto"/>
                <w:kern w:val="0"/>
                <w:sz w:val="21"/>
                <w:szCs w:val="21"/>
              </w:rPr>
            </w:pPr>
          </w:p>
        </w:tc>
        <w:tc>
          <w:tcPr>
            <w:tcW w:w="412" w:type="pct"/>
            <w:vAlign w:val="center"/>
          </w:tcPr>
          <w:p w14:paraId="086D1576">
            <w:pPr>
              <w:spacing w:line="240" w:lineRule="auto"/>
              <w:ind w:firstLine="0" w:firstLineChars="0"/>
              <w:jc w:val="center"/>
              <w:rPr>
                <w:color w:val="auto"/>
                <w:sz w:val="21"/>
                <w:szCs w:val="21"/>
              </w:rPr>
            </w:pPr>
            <w:r>
              <w:rPr>
                <w:rFonts w:hint="eastAsia"/>
                <w:color w:val="auto"/>
                <w:sz w:val="21"/>
                <w:szCs w:val="21"/>
              </w:rPr>
              <w:t>/</w:t>
            </w:r>
          </w:p>
        </w:tc>
        <w:tc>
          <w:tcPr>
            <w:tcW w:w="468" w:type="pct"/>
            <w:vAlign w:val="center"/>
          </w:tcPr>
          <w:p w14:paraId="084440E6">
            <w:pPr>
              <w:spacing w:line="240" w:lineRule="auto"/>
              <w:ind w:firstLine="0" w:firstLineChars="0"/>
              <w:jc w:val="center"/>
              <w:rPr>
                <w:color w:val="auto"/>
                <w:sz w:val="21"/>
                <w:szCs w:val="21"/>
              </w:rPr>
            </w:pPr>
            <w:r>
              <w:rPr>
                <w:rFonts w:hint="eastAsia"/>
                <w:color w:val="auto"/>
                <w:sz w:val="21"/>
                <w:szCs w:val="21"/>
              </w:rPr>
              <w:t>/</w:t>
            </w:r>
          </w:p>
        </w:tc>
        <w:tc>
          <w:tcPr>
            <w:tcW w:w="336" w:type="pct"/>
            <w:vAlign w:val="center"/>
          </w:tcPr>
          <w:p w14:paraId="3FDB04F0">
            <w:pPr>
              <w:spacing w:line="240" w:lineRule="auto"/>
              <w:ind w:firstLine="0" w:firstLineChars="0"/>
              <w:jc w:val="center"/>
              <w:rPr>
                <w:color w:val="auto"/>
                <w:sz w:val="21"/>
                <w:szCs w:val="21"/>
              </w:rPr>
            </w:pPr>
            <w:r>
              <w:rPr>
                <w:rFonts w:hint="eastAsia"/>
                <w:color w:val="auto"/>
                <w:sz w:val="21"/>
                <w:szCs w:val="21"/>
              </w:rPr>
              <w:t>/</w:t>
            </w:r>
          </w:p>
        </w:tc>
        <w:tc>
          <w:tcPr>
            <w:tcW w:w="347" w:type="pct"/>
            <w:vAlign w:val="center"/>
          </w:tcPr>
          <w:p w14:paraId="717088FF">
            <w:pPr>
              <w:spacing w:line="240" w:lineRule="auto"/>
              <w:ind w:firstLine="0" w:firstLineChars="0"/>
              <w:jc w:val="center"/>
              <w:rPr>
                <w:color w:val="auto"/>
                <w:sz w:val="21"/>
                <w:szCs w:val="21"/>
              </w:rPr>
            </w:pPr>
            <w:r>
              <w:rPr>
                <w:rFonts w:hint="eastAsia"/>
                <w:color w:val="auto"/>
                <w:sz w:val="21"/>
                <w:szCs w:val="21"/>
              </w:rPr>
              <w:t>/</w:t>
            </w:r>
          </w:p>
        </w:tc>
      </w:tr>
    </w:tbl>
    <w:p w14:paraId="06AACF28">
      <w:pPr>
        <w:ind w:firstLine="480"/>
        <w:rPr>
          <w:color w:val="auto"/>
        </w:rPr>
        <w:sectPr>
          <w:pgSz w:w="16838" w:h="11906" w:orient="landscape"/>
          <w:pgMar w:top="1134" w:right="1134" w:bottom="1134" w:left="1134" w:header="851" w:footer="992" w:gutter="0"/>
          <w:cols w:space="425" w:num="1"/>
          <w:docGrid w:type="lines" w:linePitch="312" w:charSpace="0"/>
        </w:sectPr>
      </w:pPr>
    </w:p>
    <w:p w14:paraId="4BC2C422">
      <w:pPr>
        <w:spacing w:line="460" w:lineRule="exact"/>
        <w:ind w:firstLine="480"/>
        <w:rPr>
          <w:color w:val="auto"/>
        </w:rPr>
      </w:pPr>
      <w:r>
        <w:rPr>
          <w:rFonts w:hint="eastAsia"/>
          <w:color w:val="auto"/>
        </w:rPr>
        <w:t>运输方式：拟建项目原料、成品全部采用公路汽车运输。对外运输车辆主要依靠社会具有危险化学品运输资质的公司承担，制订仓库、罐区管理制度，做到“五必查”，拟建不配置场外运输设备，场内运输以叉车为主。</w:t>
      </w:r>
    </w:p>
    <w:p w14:paraId="42BA5F6A">
      <w:pPr>
        <w:pStyle w:val="3"/>
        <w:spacing w:before="312"/>
        <w:rPr>
          <w:color w:val="auto"/>
        </w:rPr>
      </w:pPr>
      <w:bookmarkStart w:id="132" w:name="_Toc13021"/>
      <w:r>
        <w:rPr>
          <w:rFonts w:hint="eastAsia"/>
          <w:color w:val="auto"/>
        </w:rPr>
        <w:t>4.3</w:t>
      </w:r>
      <w:r>
        <w:rPr>
          <w:color w:val="auto"/>
        </w:rPr>
        <w:t>公司厂区总平面布置</w:t>
      </w:r>
      <w:r>
        <w:rPr>
          <w:rFonts w:hint="eastAsia"/>
          <w:color w:val="auto"/>
        </w:rPr>
        <w:t>及厂界周围状况</w:t>
      </w:r>
      <w:bookmarkEnd w:id="132"/>
    </w:p>
    <w:p w14:paraId="5841E4DC">
      <w:pPr>
        <w:spacing w:line="460" w:lineRule="exact"/>
        <w:ind w:firstLine="480"/>
        <w:rPr>
          <w:color w:val="auto"/>
        </w:rPr>
      </w:pPr>
      <w:r>
        <w:rPr>
          <w:color w:val="auto"/>
        </w:rPr>
        <w:t>1、厂区平面布置</w:t>
      </w:r>
    </w:p>
    <w:p w14:paraId="0AF63DF9">
      <w:pPr>
        <w:spacing w:line="460" w:lineRule="exact"/>
        <w:ind w:firstLine="480"/>
        <w:rPr>
          <w:color w:val="auto"/>
        </w:rPr>
      </w:pPr>
      <w:r>
        <w:rPr>
          <w:color w:val="auto"/>
        </w:rPr>
        <w:t>亚太药业全厂总平布置呈梯形，厂区大门位于西南方向，办公楼位于厂区西南侧，生产装置位于厂区东侧及北侧，厂区内共设两个二道门，分别位于厂区入口的东侧及北侧；车间分别为：苯肼/环保车间、2#亚铵车间、3#车间、石膏车间、环保车间二、1#车间、机修车间</w:t>
      </w:r>
      <w:r>
        <w:rPr>
          <w:rFonts w:hint="eastAsia"/>
          <w:color w:val="auto"/>
        </w:rPr>
        <w:t>、精制车间、制剂一体化车间、合成车间、研发车间。</w:t>
      </w:r>
      <w:r>
        <w:rPr>
          <w:color w:val="auto"/>
        </w:rPr>
        <w:t>；仓库：乙类仓库、丙类仓库；两个生产辅助装置：氨水配制区、制冷间。厂区南侧自西向东依次为机修车间、苯肼/环保车间、环保车间二、应急池、丙类仓库；厂区北侧自西向东依次为：1#戊类罐区、氨水配制区、工具间、配电间、2#戊类罐区、3#戊类罐区、4#戊类罐区</w:t>
      </w:r>
      <w:r>
        <w:rPr>
          <w:rFonts w:hint="eastAsia"/>
          <w:color w:val="auto"/>
        </w:rPr>
        <w:t>、2#污水处理站、甲类罐区</w:t>
      </w:r>
      <w:r>
        <w:rPr>
          <w:color w:val="auto"/>
        </w:rPr>
        <w:t>。厂区中部自西向东依次为乙类仓库、3#车间、制冷间、2#亚铵车间、1#车间、石膏车间</w:t>
      </w:r>
      <w:r>
        <w:rPr>
          <w:rFonts w:hint="eastAsia"/>
          <w:color w:val="auto"/>
        </w:rPr>
        <w:t>、</w:t>
      </w:r>
      <w:r>
        <w:rPr>
          <w:color w:val="auto"/>
        </w:rPr>
        <w:t>甲类仓库、精制车间、制剂一体化车间、合成车间、研发车间</w:t>
      </w:r>
      <w:r>
        <w:rPr>
          <w:rFonts w:hint="eastAsia"/>
          <w:color w:val="auto"/>
        </w:rPr>
        <w:t>。</w:t>
      </w:r>
    </w:p>
    <w:p w14:paraId="7DCB525E">
      <w:pPr>
        <w:spacing w:line="460" w:lineRule="exact"/>
        <w:ind w:firstLine="480"/>
        <w:rPr>
          <w:color w:val="auto"/>
        </w:rPr>
      </w:pPr>
      <w:r>
        <w:rPr>
          <w:rFonts w:hint="eastAsia"/>
          <w:color w:val="auto"/>
        </w:rPr>
        <w:t>拟建项目利用厂区现有2#车间扩建亚硫酸钾溶液和亚硫酸钠溶液生产线，利用1#车间扩建亚硫酸钾固体产品和亚硫酸钠固体产品生产线，利用1#车间扩建硫代硫酸铵溶液、硫代硫酸钙溶液(、硫代硫酸镁溶液、硫代硫酸钾溶液和一水亚硫酸铵生产线。</w:t>
      </w:r>
    </w:p>
    <w:p w14:paraId="43E25901">
      <w:pPr>
        <w:spacing w:line="460" w:lineRule="exact"/>
        <w:ind w:firstLine="480"/>
        <w:rPr>
          <w:color w:val="auto"/>
        </w:rPr>
      </w:pPr>
      <w:r>
        <w:rPr>
          <w:color w:val="auto"/>
        </w:rPr>
        <w:t>拟建项目公用工程、环保设施等均依托厂区已有设施，各建（构）筑物相对集中布置，节约用地；相互联系方便快捷，物料运输和管线短捷，节约能源；功能区划分明。拟建项目平面布置具体见图</w:t>
      </w:r>
      <w:r>
        <w:rPr>
          <w:rFonts w:hint="eastAsia"/>
          <w:color w:val="auto"/>
        </w:rPr>
        <w:t>3.3-1。</w:t>
      </w:r>
    </w:p>
    <w:p w14:paraId="275C6658">
      <w:pPr>
        <w:spacing w:line="460" w:lineRule="exact"/>
        <w:ind w:firstLine="480"/>
        <w:rPr>
          <w:color w:val="auto"/>
        </w:rPr>
      </w:pPr>
      <w:r>
        <w:rPr>
          <w:rFonts w:hint="eastAsia"/>
          <w:color w:val="auto"/>
        </w:rPr>
        <w:t>2、厂房布置合理性</w:t>
      </w:r>
    </w:p>
    <w:p w14:paraId="12980C47">
      <w:pPr>
        <w:spacing w:line="460" w:lineRule="exact"/>
        <w:ind w:firstLine="480"/>
        <w:rPr>
          <w:color w:val="auto"/>
        </w:rPr>
      </w:pPr>
      <w:r>
        <w:rPr>
          <w:rFonts w:hint="eastAsia"/>
          <w:color w:val="auto"/>
        </w:rPr>
        <w:t>厂区</w:t>
      </w:r>
      <w:r>
        <w:rPr>
          <w:color w:val="auto"/>
        </w:rPr>
        <w:t>总平面布置、功能区划分根据《化工企业安全卫生设计规定》、《建筑设计防火规范》对拟建项目设备、厂房进行合理布置。各生产车间、仓库、罐区的设置符合安全距离的要求。同时企业将车间等均布置在厂区的中部，尽量远离厂区边界，尽可能减少突发情况下对外环境的影响，同时厂内厂房还兼具生产需要进行了布置。</w:t>
      </w:r>
    </w:p>
    <w:p w14:paraId="34A9B9DD">
      <w:pPr>
        <w:spacing w:line="460" w:lineRule="exact"/>
        <w:ind w:firstLine="480"/>
        <w:rPr>
          <w:color w:val="auto"/>
        </w:rPr>
      </w:pPr>
      <w:r>
        <w:rPr>
          <w:rFonts w:hint="eastAsia"/>
          <w:color w:val="auto"/>
        </w:rPr>
        <w:t>3、厂界周围状况</w:t>
      </w:r>
    </w:p>
    <w:p w14:paraId="3F432368">
      <w:pPr>
        <w:spacing w:line="460" w:lineRule="exact"/>
        <w:ind w:firstLine="480"/>
        <w:rPr>
          <w:color w:val="auto"/>
        </w:rPr>
      </w:pPr>
      <w:r>
        <w:rPr>
          <w:color w:val="auto"/>
        </w:rPr>
        <w:t>启东亚太药业有限公司位于江苏省启东市启东生命健康产业园苏州路58号，东</w:t>
      </w:r>
      <w:r>
        <w:rPr>
          <w:rFonts w:hint="eastAsia"/>
          <w:color w:val="auto"/>
        </w:rPr>
        <w:t>南</w:t>
      </w:r>
      <w:r>
        <w:rPr>
          <w:color w:val="auto"/>
        </w:rPr>
        <w:t>侧为南通宝凯药业有限公司，南侧和西侧为江苏好收成韦恩农化有限公司，北侧为园区卫生防护带。</w:t>
      </w:r>
      <w:r>
        <w:rPr>
          <w:rFonts w:hint="eastAsia"/>
          <w:color w:val="auto"/>
        </w:rPr>
        <w:t>拟建</w:t>
      </w:r>
      <w:r>
        <w:rPr>
          <w:color w:val="auto"/>
        </w:rPr>
        <w:t>周边环境概况见图</w:t>
      </w:r>
      <w:r>
        <w:rPr>
          <w:rFonts w:hint="eastAsia"/>
          <w:color w:val="auto"/>
        </w:rPr>
        <w:t>4.3-2。</w:t>
      </w:r>
    </w:p>
    <w:p w14:paraId="2D8A63A4">
      <w:pPr>
        <w:spacing w:line="460" w:lineRule="exact"/>
        <w:ind w:firstLine="480"/>
        <w:rPr>
          <w:color w:val="auto"/>
        </w:rPr>
      </w:pPr>
    </w:p>
    <w:p w14:paraId="6A7F3839">
      <w:pPr>
        <w:pStyle w:val="3"/>
        <w:spacing w:before="312"/>
        <w:rPr>
          <w:color w:val="auto"/>
        </w:rPr>
      </w:pPr>
      <w:bookmarkStart w:id="133" w:name="_Toc11178"/>
      <w:r>
        <w:rPr>
          <w:rFonts w:hint="eastAsia"/>
          <w:color w:val="auto"/>
        </w:rPr>
        <w:t>4.4</w:t>
      </w:r>
      <w:r>
        <w:rPr>
          <w:color w:val="auto"/>
        </w:rPr>
        <w:t>工程分析</w:t>
      </w:r>
      <w:bookmarkEnd w:id="133"/>
    </w:p>
    <w:p w14:paraId="5089375B">
      <w:pPr>
        <w:pStyle w:val="4"/>
        <w:rPr>
          <w:color w:val="auto"/>
        </w:rPr>
      </w:pPr>
      <w:bookmarkStart w:id="134" w:name="_Toc6852"/>
      <w:r>
        <w:rPr>
          <w:rFonts w:hint="eastAsia"/>
          <w:color w:val="auto"/>
        </w:rPr>
        <w:t>4.4.1</w:t>
      </w:r>
      <w:r>
        <w:rPr>
          <w:color w:val="auto"/>
        </w:rPr>
        <w:t>工艺流程及产污环节</w:t>
      </w:r>
      <w:bookmarkEnd w:id="134"/>
    </w:p>
    <w:p w14:paraId="45271362">
      <w:pPr>
        <w:spacing w:line="460" w:lineRule="exact"/>
        <w:ind w:firstLine="480"/>
        <w:rPr>
          <w:color w:val="auto"/>
        </w:rPr>
      </w:pPr>
    </w:p>
    <w:p w14:paraId="02B4C1EA">
      <w:pPr>
        <w:spacing w:line="460" w:lineRule="exact"/>
        <w:ind w:firstLine="480"/>
        <w:rPr>
          <w:color w:val="auto"/>
        </w:rPr>
        <w:sectPr>
          <w:pgSz w:w="11906" w:h="16838"/>
          <w:pgMar w:top="1134" w:right="1134" w:bottom="1134" w:left="1134" w:header="851" w:footer="992" w:gutter="0"/>
          <w:cols w:space="425" w:num="1"/>
          <w:docGrid w:type="lines" w:linePitch="312" w:charSpace="0"/>
        </w:sectPr>
      </w:pPr>
    </w:p>
    <w:p w14:paraId="4AD28642">
      <w:pPr>
        <w:pStyle w:val="4"/>
        <w:rPr>
          <w:color w:val="auto"/>
        </w:rPr>
      </w:pPr>
      <w:bookmarkStart w:id="135" w:name="_Toc32033"/>
      <w:r>
        <w:rPr>
          <w:rFonts w:hint="eastAsia"/>
          <w:color w:val="auto"/>
        </w:rPr>
        <w:t>4.4.2原辅材料消耗</w:t>
      </w:r>
      <w:bookmarkEnd w:id="135"/>
    </w:p>
    <w:p w14:paraId="12069900">
      <w:pPr>
        <w:pStyle w:val="13"/>
        <w:ind w:firstLine="480"/>
        <w:rPr>
          <w:rFonts w:hint="eastAsia" w:hAnsi="宋体"/>
          <w:color w:val="auto"/>
        </w:rPr>
      </w:pPr>
      <w:r>
        <w:rPr>
          <w:rFonts w:hint="eastAsia" w:hAnsi="宋体"/>
          <w:color w:val="auto"/>
        </w:rPr>
        <w:t>拟建项目主要原辅材料及</w:t>
      </w:r>
      <w:r>
        <w:rPr>
          <w:rFonts w:hAnsi="宋体"/>
          <w:color w:val="auto"/>
        </w:rPr>
        <w:t>能源</w:t>
      </w:r>
      <w:r>
        <w:rPr>
          <w:rFonts w:hint="eastAsia" w:hAnsi="宋体"/>
          <w:color w:val="auto"/>
        </w:rPr>
        <w:t>消耗详见表</w:t>
      </w:r>
      <w:r>
        <w:rPr>
          <w:rFonts w:hAnsi="宋体"/>
          <w:color w:val="auto"/>
        </w:rPr>
        <w:t>4.4-</w:t>
      </w:r>
      <w:r>
        <w:rPr>
          <w:rFonts w:hint="eastAsia" w:hAnsi="宋体"/>
          <w:color w:val="auto"/>
        </w:rPr>
        <w:t>3，项目主要原辅材料及产品的理化性质、毒性毒理等详见表</w:t>
      </w:r>
      <w:r>
        <w:rPr>
          <w:rFonts w:hAnsi="宋体"/>
          <w:color w:val="auto"/>
        </w:rPr>
        <w:t>4.</w:t>
      </w:r>
      <w:r>
        <w:rPr>
          <w:rFonts w:hint="eastAsia" w:hAnsi="宋体"/>
          <w:color w:val="auto"/>
        </w:rPr>
        <w:t>4</w:t>
      </w:r>
      <w:r>
        <w:rPr>
          <w:rFonts w:hAnsi="宋体"/>
          <w:color w:val="auto"/>
        </w:rPr>
        <w:t>-</w:t>
      </w:r>
      <w:r>
        <w:rPr>
          <w:rFonts w:hint="eastAsia" w:hAnsi="宋体"/>
          <w:color w:val="auto"/>
        </w:rPr>
        <w:t>4，项目产品储存情况见表4.4-5。</w:t>
      </w:r>
    </w:p>
    <w:p w14:paraId="0DDB7F45">
      <w:pPr>
        <w:pStyle w:val="49"/>
        <w:rPr>
          <w:color w:val="auto"/>
        </w:rPr>
      </w:pPr>
      <w:r>
        <w:rPr>
          <w:color w:val="auto"/>
        </w:rPr>
        <w:t>表4.4-</w:t>
      </w:r>
      <w:r>
        <w:rPr>
          <w:rFonts w:hint="eastAsia"/>
          <w:color w:val="auto"/>
        </w:rPr>
        <w:t>3</w:t>
      </w:r>
      <w:r>
        <w:rPr>
          <w:color w:val="auto"/>
        </w:rPr>
        <w:t xml:space="preserve"> </w:t>
      </w:r>
      <w:r>
        <w:rPr>
          <w:rFonts w:hint="eastAsia"/>
          <w:color w:val="auto"/>
        </w:rPr>
        <w:t xml:space="preserve"> </w:t>
      </w:r>
      <w:r>
        <w:rPr>
          <w:color w:val="auto"/>
        </w:rPr>
        <w:t>拟建项目主要原辅材料及能源消耗</w:t>
      </w:r>
      <w:r>
        <w:rPr>
          <w:rFonts w:hint="eastAsia"/>
          <w:color w:val="auto"/>
        </w:rPr>
        <w:t>一览表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1246"/>
        <w:gridCol w:w="998"/>
        <w:gridCol w:w="701"/>
        <w:gridCol w:w="998"/>
        <w:gridCol w:w="1177"/>
        <w:gridCol w:w="1006"/>
        <w:gridCol w:w="872"/>
        <w:gridCol w:w="1209"/>
        <w:gridCol w:w="1144"/>
      </w:tblGrid>
      <w:tr w14:paraId="101E18CE">
        <w:tblPrEx>
          <w:tblCellMar>
            <w:top w:w="0" w:type="dxa"/>
            <w:left w:w="108" w:type="dxa"/>
            <w:bottom w:w="0" w:type="dxa"/>
            <w:right w:w="108" w:type="dxa"/>
          </w:tblCellMar>
        </w:tblPrEx>
        <w:trPr>
          <w:trHeight w:val="340" w:hRule="atLeast"/>
          <w:jc w:val="center"/>
        </w:trPr>
        <w:tc>
          <w:tcPr>
            <w:tcW w:w="250" w:type="pct"/>
            <w:vAlign w:val="center"/>
          </w:tcPr>
          <w:p w14:paraId="56C862DF">
            <w:pPr>
              <w:spacing w:line="240" w:lineRule="auto"/>
              <w:ind w:firstLine="0" w:firstLineChars="0"/>
              <w:jc w:val="center"/>
              <w:rPr>
                <w:b/>
                <w:bCs/>
                <w:color w:val="auto"/>
                <w:sz w:val="21"/>
                <w:szCs w:val="21"/>
              </w:rPr>
            </w:pPr>
            <w:r>
              <w:rPr>
                <w:b/>
                <w:bCs/>
                <w:color w:val="auto"/>
                <w:sz w:val="21"/>
                <w:szCs w:val="21"/>
              </w:rPr>
              <w:t>序号</w:t>
            </w:r>
          </w:p>
        </w:tc>
        <w:tc>
          <w:tcPr>
            <w:tcW w:w="633" w:type="pct"/>
            <w:vAlign w:val="center"/>
          </w:tcPr>
          <w:p w14:paraId="342DDDE5">
            <w:pPr>
              <w:spacing w:line="240" w:lineRule="auto"/>
              <w:ind w:firstLine="0" w:firstLineChars="0"/>
              <w:jc w:val="center"/>
              <w:rPr>
                <w:b/>
                <w:bCs/>
                <w:color w:val="auto"/>
                <w:sz w:val="21"/>
                <w:szCs w:val="21"/>
              </w:rPr>
            </w:pPr>
            <w:r>
              <w:rPr>
                <w:b/>
                <w:bCs/>
                <w:color w:val="auto"/>
                <w:sz w:val="21"/>
                <w:szCs w:val="21"/>
              </w:rPr>
              <w:t>物料名称</w:t>
            </w:r>
          </w:p>
        </w:tc>
        <w:tc>
          <w:tcPr>
            <w:tcW w:w="507" w:type="pct"/>
            <w:vAlign w:val="center"/>
          </w:tcPr>
          <w:p w14:paraId="7FD510B7">
            <w:pPr>
              <w:spacing w:line="240" w:lineRule="auto"/>
              <w:ind w:firstLine="0" w:firstLineChars="0"/>
              <w:jc w:val="center"/>
              <w:rPr>
                <w:b/>
                <w:bCs/>
                <w:color w:val="auto"/>
                <w:sz w:val="21"/>
                <w:szCs w:val="21"/>
              </w:rPr>
            </w:pPr>
            <w:r>
              <w:rPr>
                <w:b/>
                <w:bCs/>
                <w:color w:val="auto"/>
                <w:sz w:val="21"/>
                <w:szCs w:val="21"/>
              </w:rPr>
              <w:t>规格</w:t>
            </w:r>
          </w:p>
        </w:tc>
        <w:tc>
          <w:tcPr>
            <w:tcW w:w="356" w:type="pct"/>
            <w:vAlign w:val="center"/>
          </w:tcPr>
          <w:p w14:paraId="7297FBA8">
            <w:pPr>
              <w:spacing w:line="240" w:lineRule="auto"/>
              <w:ind w:firstLine="0" w:firstLineChars="0"/>
              <w:jc w:val="center"/>
              <w:textAlignment w:val="baseline"/>
              <w:rPr>
                <w:b/>
                <w:bCs/>
                <w:color w:val="auto"/>
                <w:kern w:val="0"/>
                <w:sz w:val="21"/>
                <w:szCs w:val="21"/>
              </w:rPr>
            </w:pPr>
            <w:r>
              <w:rPr>
                <w:b/>
                <w:bCs/>
                <w:color w:val="auto"/>
                <w:kern w:val="0"/>
                <w:sz w:val="21"/>
                <w:szCs w:val="21"/>
              </w:rPr>
              <w:t>形态</w:t>
            </w:r>
          </w:p>
        </w:tc>
        <w:tc>
          <w:tcPr>
            <w:tcW w:w="507" w:type="pct"/>
            <w:vAlign w:val="center"/>
          </w:tcPr>
          <w:p w14:paraId="486B3032">
            <w:pPr>
              <w:spacing w:line="240" w:lineRule="auto"/>
              <w:ind w:firstLine="0" w:firstLineChars="0"/>
              <w:jc w:val="center"/>
              <w:textAlignment w:val="baseline"/>
              <w:rPr>
                <w:b/>
                <w:bCs/>
                <w:color w:val="auto"/>
                <w:kern w:val="0"/>
                <w:sz w:val="21"/>
                <w:szCs w:val="21"/>
              </w:rPr>
            </w:pPr>
            <w:r>
              <w:rPr>
                <w:b/>
                <w:bCs/>
                <w:color w:val="auto"/>
                <w:kern w:val="0"/>
                <w:sz w:val="21"/>
                <w:szCs w:val="21"/>
              </w:rPr>
              <w:t>单位产品消耗量</w:t>
            </w:r>
            <w:r>
              <w:rPr>
                <w:rFonts w:hint="eastAsia"/>
                <w:b/>
                <w:bCs/>
                <w:color w:val="auto"/>
                <w:kern w:val="0"/>
                <w:sz w:val="21"/>
                <w:szCs w:val="21"/>
              </w:rPr>
              <w:t>（t/t）</w:t>
            </w:r>
          </w:p>
        </w:tc>
        <w:tc>
          <w:tcPr>
            <w:tcW w:w="598" w:type="pct"/>
            <w:vAlign w:val="center"/>
          </w:tcPr>
          <w:p w14:paraId="367D51BA">
            <w:pPr>
              <w:spacing w:line="240" w:lineRule="auto"/>
              <w:ind w:firstLine="0" w:firstLineChars="0"/>
              <w:jc w:val="center"/>
              <w:textAlignment w:val="baseline"/>
              <w:rPr>
                <w:b/>
                <w:bCs/>
                <w:color w:val="auto"/>
                <w:kern w:val="0"/>
                <w:sz w:val="21"/>
                <w:szCs w:val="21"/>
              </w:rPr>
            </w:pPr>
            <w:r>
              <w:rPr>
                <w:b/>
                <w:bCs/>
                <w:color w:val="auto"/>
                <w:kern w:val="0"/>
                <w:sz w:val="21"/>
                <w:szCs w:val="21"/>
              </w:rPr>
              <w:t>年用量</w:t>
            </w:r>
            <w:r>
              <w:rPr>
                <w:rFonts w:hint="eastAsia"/>
                <w:b/>
                <w:bCs/>
                <w:color w:val="auto"/>
                <w:kern w:val="0"/>
                <w:sz w:val="21"/>
                <w:szCs w:val="21"/>
              </w:rPr>
              <w:t>（t/a）</w:t>
            </w:r>
          </w:p>
        </w:tc>
        <w:tc>
          <w:tcPr>
            <w:tcW w:w="511" w:type="pct"/>
            <w:vAlign w:val="center"/>
          </w:tcPr>
          <w:p w14:paraId="79A84C76">
            <w:pPr>
              <w:spacing w:line="240" w:lineRule="auto"/>
              <w:ind w:firstLine="0" w:firstLineChars="0"/>
              <w:jc w:val="center"/>
              <w:textAlignment w:val="baseline"/>
              <w:rPr>
                <w:b/>
                <w:bCs/>
                <w:color w:val="auto"/>
                <w:kern w:val="0"/>
                <w:sz w:val="21"/>
                <w:szCs w:val="21"/>
              </w:rPr>
            </w:pPr>
            <w:r>
              <w:rPr>
                <w:rFonts w:hint="eastAsia"/>
                <w:b/>
                <w:bCs/>
                <w:color w:val="auto"/>
                <w:kern w:val="0"/>
                <w:sz w:val="21"/>
                <w:szCs w:val="21"/>
              </w:rPr>
              <w:t>最大储存量（t/a）</w:t>
            </w:r>
          </w:p>
        </w:tc>
        <w:tc>
          <w:tcPr>
            <w:tcW w:w="443" w:type="pct"/>
            <w:vAlign w:val="center"/>
          </w:tcPr>
          <w:p w14:paraId="3E47FDAE">
            <w:pPr>
              <w:spacing w:line="240" w:lineRule="auto"/>
              <w:ind w:firstLine="0" w:firstLineChars="0"/>
              <w:jc w:val="center"/>
              <w:textAlignment w:val="baseline"/>
              <w:rPr>
                <w:b/>
                <w:bCs/>
                <w:color w:val="auto"/>
                <w:kern w:val="0"/>
                <w:sz w:val="21"/>
                <w:szCs w:val="21"/>
              </w:rPr>
            </w:pPr>
            <w:r>
              <w:rPr>
                <w:rFonts w:hint="eastAsia"/>
                <w:b/>
                <w:bCs/>
                <w:color w:val="auto"/>
                <w:kern w:val="0"/>
                <w:sz w:val="21"/>
                <w:szCs w:val="21"/>
              </w:rPr>
              <w:t>贮存方式</w:t>
            </w:r>
          </w:p>
        </w:tc>
        <w:tc>
          <w:tcPr>
            <w:tcW w:w="614" w:type="pct"/>
            <w:vAlign w:val="center"/>
          </w:tcPr>
          <w:p w14:paraId="22757481">
            <w:pPr>
              <w:spacing w:line="240" w:lineRule="auto"/>
              <w:ind w:firstLine="0" w:firstLineChars="0"/>
              <w:jc w:val="center"/>
              <w:textAlignment w:val="baseline"/>
              <w:rPr>
                <w:b/>
                <w:bCs/>
                <w:color w:val="auto"/>
                <w:kern w:val="0"/>
                <w:sz w:val="21"/>
                <w:szCs w:val="21"/>
              </w:rPr>
            </w:pPr>
            <w:r>
              <w:rPr>
                <w:rFonts w:hint="eastAsia"/>
                <w:b/>
                <w:bCs/>
                <w:color w:val="auto"/>
                <w:kern w:val="0"/>
                <w:sz w:val="21"/>
                <w:szCs w:val="21"/>
              </w:rPr>
              <w:t>储存位置</w:t>
            </w:r>
          </w:p>
        </w:tc>
        <w:tc>
          <w:tcPr>
            <w:tcW w:w="576" w:type="pct"/>
            <w:vAlign w:val="center"/>
          </w:tcPr>
          <w:p w14:paraId="6BEFB190">
            <w:pPr>
              <w:spacing w:line="240" w:lineRule="auto"/>
              <w:ind w:firstLine="0" w:firstLineChars="0"/>
              <w:jc w:val="center"/>
              <w:textAlignment w:val="baseline"/>
              <w:rPr>
                <w:b/>
                <w:bCs/>
                <w:color w:val="auto"/>
                <w:kern w:val="0"/>
                <w:sz w:val="21"/>
                <w:szCs w:val="21"/>
              </w:rPr>
            </w:pPr>
            <w:r>
              <w:rPr>
                <w:b/>
                <w:bCs/>
                <w:color w:val="auto"/>
                <w:kern w:val="0"/>
                <w:sz w:val="21"/>
                <w:szCs w:val="21"/>
              </w:rPr>
              <w:t>来源及运输</w:t>
            </w:r>
          </w:p>
        </w:tc>
      </w:tr>
      <w:tr w14:paraId="3E9DF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14:paraId="00B99EB2">
            <w:pPr>
              <w:widowControl/>
              <w:spacing w:line="240" w:lineRule="auto"/>
              <w:ind w:firstLine="0" w:firstLineChars="0"/>
              <w:jc w:val="center"/>
              <w:rPr>
                <w:color w:val="auto"/>
                <w:kern w:val="0"/>
                <w:sz w:val="21"/>
                <w:szCs w:val="21"/>
              </w:rPr>
            </w:pPr>
            <w:r>
              <w:rPr>
                <w:rFonts w:hint="eastAsia"/>
                <w:b/>
                <w:bCs/>
                <w:color w:val="auto"/>
                <w:kern w:val="0"/>
                <w:sz w:val="21"/>
                <w:szCs w:val="21"/>
              </w:rPr>
              <w:t>亚硫酸钾溶液</w:t>
            </w:r>
          </w:p>
        </w:tc>
      </w:tr>
      <w:tr w14:paraId="47026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3C38FC60">
            <w:pPr>
              <w:spacing w:line="240" w:lineRule="auto"/>
              <w:ind w:firstLine="0" w:firstLineChars="0"/>
              <w:jc w:val="center"/>
              <w:rPr>
                <w:color w:val="auto"/>
                <w:sz w:val="21"/>
                <w:szCs w:val="21"/>
              </w:rPr>
            </w:pPr>
            <w:r>
              <w:rPr>
                <w:rFonts w:hint="eastAsia"/>
                <w:color w:val="auto"/>
                <w:sz w:val="21"/>
                <w:szCs w:val="21"/>
              </w:rPr>
              <w:t>1</w:t>
            </w:r>
          </w:p>
        </w:tc>
        <w:tc>
          <w:tcPr>
            <w:tcW w:w="633" w:type="pct"/>
            <w:vAlign w:val="center"/>
          </w:tcPr>
          <w:p w14:paraId="63D391C9">
            <w:pPr>
              <w:pStyle w:val="34"/>
              <w:spacing w:beforeLines="0" w:after="0"/>
              <w:rPr>
                <w:rFonts w:hAnsi="Times New Roman" w:cs="Times New Roman"/>
                <w:color w:val="auto"/>
                <w:sz w:val="21"/>
                <w:szCs w:val="21"/>
              </w:rPr>
            </w:pPr>
            <w:r>
              <w:rPr>
                <w:rFonts w:hint="eastAsia" w:hAnsi="Times New Roman" w:cs="Times New Roman"/>
                <w:color w:val="auto"/>
                <w:sz w:val="21"/>
                <w:szCs w:val="21"/>
              </w:rPr>
              <w:t>液硫</w:t>
            </w:r>
          </w:p>
        </w:tc>
        <w:tc>
          <w:tcPr>
            <w:tcW w:w="507" w:type="pct"/>
            <w:vAlign w:val="center"/>
          </w:tcPr>
          <w:p w14:paraId="4EB8B9CD">
            <w:pPr>
              <w:pStyle w:val="34"/>
              <w:spacing w:beforeLines="0" w:after="0"/>
              <w:rPr>
                <w:rFonts w:hAnsi="Times New Roman" w:cs="Times New Roman"/>
                <w:color w:val="auto"/>
                <w:sz w:val="21"/>
                <w:szCs w:val="21"/>
              </w:rPr>
            </w:pPr>
            <w:r>
              <w:rPr>
                <w:rFonts w:hint="eastAsia" w:hAnsi="Times New Roman" w:cs="Times New Roman"/>
                <w:color w:val="auto"/>
                <w:sz w:val="21"/>
                <w:szCs w:val="21"/>
              </w:rPr>
              <w:t>99.5%</w:t>
            </w:r>
          </w:p>
        </w:tc>
        <w:tc>
          <w:tcPr>
            <w:tcW w:w="356" w:type="pct"/>
            <w:vAlign w:val="center"/>
          </w:tcPr>
          <w:p w14:paraId="134FD3F3">
            <w:pPr>
              <w:pStyle w:val="34"/>
              <w:spacing w:beforeLines="0" w:after="0"/>
              <w:rPr>
                <w:rFonts w:hAnsi="Times New Roman" w:cs="Times New Roman"/>
                <w:color w:val="auto"/>
                <w:sz w:val="21"/>
                <w:szCs w:val="21"/>
              </w:rPr>
            </w:pPr>
            <w:r>
              <w:rPr>
                <w:rFonts w:hint="eastAsia" w:hAnsi="Times New Roman" w:cs="Times New Roman"/>
                <w:color w:val="auto"/>
                <w:sz w:val="21"/>
                <w:szCs w:val="21"/>
              </w:rPr>
              <w:t>液态</w:t>
            </w:r>
          </w:p>
        </w:tc>
        <w:tc>
          <w:tcPr>
            <w:tcW w:w="507" w:type="pct"/>
            <w:vAlign w:val="center"/>
          </w:tcPr>
          <w:p w14:paraId="185E253F">
            <w:pPr>
              <w:pStyle w:val="34"/>
              <w:spacing w:beforeLines="0" w:after="0"/>
              <w:rPr>
                <w:rFonts w:hAnsi="Times New Roman" w:cs="Times New Roman"/>
                <w:color w:val="auto"/>
                <w:sz w:val="21"/>
                <w:szCs w:val="21"/>
              </w:rPr>
            </w:pPr>
          </w:p>
        </w:tc>
        <w:tc>
          <w:tcPr>
            <w:tcW w:w="598" w:type="pct"/>
            <w:vAlign w:val="center"/>
          </w:tcPr>
          <w:p w14:paraId="7A48E375">
            <w:pPr>
              <w:spacing w:line="240" w:lineRule="auto"/>
              <w:ind w:firstLine="0" w:firstLineChars="0"/>
              <w:jc w:val="center"/>
              <w:rPr>
                <w:color w:val="auto"/>
                <w:sz w:val="21"/>
                <w:szCs w:val="21"/>
              </w:rPr>
            </w:pPr>
          </w:p>
        </w:tc>
        <w:tc>
          <w:tcPr>
            <w:tcW w:w="511" w:type="pct"/>
            <w:vAlign w:val="center"/>
          </w:tcPr>
          <w:p w14:paraId="0428BC57">
            <w:pPr>
              <w:spacing w:line="240" w:lineRule="auto"/>
              <w:ind w:firstLine="0" w:firstLineChars="0"/>
              <w:jc w:val="center"/>
              <w:rPr>
                <w:color w:val="auto"/>
                <w:sz w:val="21"/>
                <w:szCs w:val="21"/>
              </w:rPr>
            </w:pPr>
          </w:p>
        </w:tc>
        <w:tc>
          <w:tcPr>
            <w:tcW w:w="443" w:type="pct"/>
            <w:vAlign w:val="center"/>
          </w:tcPr>
          <w:p w14:paraId="7810D20E">
            <w:pPr>
              <w:pStyle w:val="34"/>
              <w:spacing w:beforeLines="0" w:after="0"/>
              <w:rPr>
                <w:rFonts w:hAnsi="Times New Roman" w:cs="Times New Roman"/>
                <w:color w:val="auto"/>
                <w:sz w:val="21"/>
                <w:szCs w:val="21"/>
              </w:rPr>
            </w:pPr>
            <w:r>
              <w:rPr>
                <w:rFonts w:hint="eastAsia" w:hAnsi="Times New Roman" w:cs="Times New Roman"/>
                <w:color w:val="auto"/>
                <w:sz w:val="21"/>
                <w:szCs w:val="21"/>
              </w:rPr>
              <w:t>地槽</w:t>
            </w:r>
          </w:p>
        </w:tc>
        <w:tc>
          <w:tcPr>
            <w:tcW w:w="614" w:type="pct"/>
            <w:vAlign w:val="center"/>
          </w:tcPr>
          <w:p w14:paraId="2152C184">
            <w:pPr>
              <w:pStyle w:val="34"/>
              <w:spacing w:beforeLines="0" w:after="0"/>
              <w:rPr>
                <w:rFonts w:hAnsi="Times New Roman" w:cs="Times New Roman"/>
                <w:color w:val="auto"/>
                <w:sz w:val="21"/>
                <w:szCs w:val="21"/>
              </w:rPr>
            </w:pPr>
            <w:r>
              <w:rPr>
                <w:rFonts w:hint="eastAsia" w:hAnsi="Times New Roman" w:cs="Times New Roman"/>
                <w:color w:val="auto"/>
                <w:sz w:val="21"/>
                <w:szCs w:val="21"/>
              </w:rPr>
              <w:t>亚铵车间</w:t>
            </w:r>
          </w:p>
        </w:tc>
        <w:tc>
          <w:tcPr>
            <w:tcW w:w="576" w:type="pct"/>
            <w:vAlign w:val="center"/>
          </w:tcPr>
          <w:p w14:paraId="31B57216">
            <w:pPr>
              <w:widowControl/>
              <w:spacing w:line="240" w:lineRule="auto"/>
              <w:ind w:firstLine="0" w:firstLineChars="0"/>
              <w:jc w:val="center"/>
              <w:rPr>
                <w:color w:val="auto"/>
                <w:sz w:val="21"/>
                <w:szCs w:val="21"/>
              </w:rPr>
            </w:pPr>
            <w:r>
              <w:rPr>
                <w:rFonts w:hint="eastAsia"/>
                <w:color w:val="auto"/>
                <w:sz w:val="21"/>
                <w:szCs w:val="21"/>
              </w:rPr>
              <w:t>外购、汽车</w:t>
            </w:r>
          </w:p>
        </w:tc>
      </w:tr>
      <w:tr w14:paraId="254CB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6FB0B022">
            <w:pPr>
              <w:spacing w:line="240" w:lineRule="auto"/>
              <w:ind w:firstLine="0" w:firstLineChars="0"/>
              <w:jc w:val="center"/>
              <w:rPr>
                <w:color w:val="auto"/>
                <w:sz w:val="21"/>
                <w:szCs w:val="21"/>
              </w:rPr>
            </w:pPr>
            <w:r>
              <w:rPr>
                <w:rFonts w:hint="eastAsia"/>
                <w:color w:val="auto"/>
                <w:sz w:val="21"/>
                <w:szCs w:val="21"/>
              </w:rPr>
              <w:t>2</w:t>
            </w:r>
          </w:p>
        </w:tc>
        <w:tc>
          <w:tcPr>
            <w:tcW w:w="633" w:type="pct"/>
            <w:vAlign w:val="center"/>
          </w:tcPr>
          <w:p w14:paraId="57CAB72D">
            <w:pPr>
              <w:pStyle w:val="34"/>
              <w:spacing w:beforeLines="0" w:after="0"/>
              <w:rPr>
                <w:rFonts w:hAnsi="Times New Roman" w:cs="Times New Roman"/>
                <w:color w:val="auto"/>
                <w:sz w:val="21"/>
                <w:szCs w:val="21"/>
              </w:rPr>
            </w:pPr>
            <w:r>
              <w:rPr>
                <w:rFonts w:hint="eastAsia" w:hAnsi="Times New Roman" w:cs="Times New Roman"/>
                <w:color w:val="auto"/>
                <w:sz w:val="21"/>
                <w:szCs w:val="21"/>
              </w:rPr>
              <w:t>氢氧化钾</w:t>
            </w:r>
          </w:p>
        </w:tc>
        <w:tc>
          <w:tcPr>
            <w:tcW w:w="507" w:type="pct"/>
            <w:vAlign w:val="center"/>
          </w:tcPr>
          <w:p w14:paraId="12E53D0A">
            <w:pPr>
              <w:pStyle w:val="34"/>
              <w:spacing w:beforeLines="0" w:after="0"/>
              <w:rPr>
                <w:rFonts w:hAnsi="Times New Roman" w:cs="Times New Roman"/>
                <w:color w:val="auto"/>
                <w:sz w:val="21"/>
                <w:szCs w:val="21"/>
              </w:rPr>
            </w:pPr>
            <w:r>
              <w:rPr>
                <w:rFonts w:hint="eastAsia" w:hAnsi="Times New Roman" w:cs="Times New Roman"/>
                <w:color w:val="auto"/>
                <w:sz w:val="21"/>
                <w:szCs w:val="21"/>
              </w:rPr>
              <w:t>48%</w:t>
            </w:r>
          </w:p>
        </w:tc>
        <w:tc>
          <w:tcPr>
            <w:tcW w:w="356" w:type="pct"/>
            <w:vAlign w:val="center"/>
          </w:tcPr>
          <w:p w14:paraId="681B3724">
            <w:pPr>
              <w:pStyle w:val="34"/>
              <w:spacing w:beforeLines="0" w:after="0"/>
              <w:rPr>
                <w:rFonts w:hAnsi="Times New Roman" w:cs="Times New Roman"/>
                <w:color w:val="auto"/>
                <w:sz w:val="21"/>
                <w:szCs w:val="21"/>
              </w:rPr>
            </w:pPr>
            <w:r>
              <w:rPr>
                <w:rFonts w:hint="eastAsia" w:hAnsi="Times New Roman" w:cs="Times New Roman"/>
                <w:color w:val="auto"/>
                <w:sz w:val="21"/>
                <w:szCs w:val="21"/>
              </w:rPr>
              <w:t>液态</w:t>
            </w:r>
          </w:p>
        </w:tc>
        <w:tc>
          <w:tcPr>
            <w:tcW w:w="507" w:type="pct"/>
            <w:vAlign w:val="center"/>
          </w:tcPr>
          <w:p w14:paraId="6696F0DD">
            <w:pPr>
              <w:pStyle w:val="34"/>
              <w:spacing w:beforeLines="0" w:after="0"/>
              <w:rPr>
                <w:rFonts w:hAnsi="Times New Roman" w:cs="Times New Roman"/>
                <w:color w:val="auto"/>
                <w:sz w:val="21"/>
                <w:szCs w:val="21"/>
              </w:rPr>
            </w:pPr>
          </w:p>
        </w:tc>
        <w:tc>
          <w:tcPr>
            <w:tcW w:w="598" w:type="pct"/>
            <w:vAlign w:val="center"/>
          </w:tcPr>
          <w:p w14:paraId="396D1D37">
            <w:pPr>
              <w:pStyle w:val="34"/>
              <w:spacing w:beforeLines="0" w:after="0"/>
              <w:rPr>
                <w:rFonts w:hAnsi="Times New Roman" w:cs="Times New Roman"/>
                <w:color w:val="auto"/>
                <w:sz w:val="21"/>
                <w:szCs w:val="21"/>
              </w:rPr>
            </w:pPr>
          </w:p>
        </w:tc>
        <w:tc>
          <w:tcPr>
            <w:tcW w:w="511" w:type="pct"/>
            <w:vAlign w:val="center"/>
          </w:tcPr>
          <w:p w14:paraId="7B98EC4E">
            <w:pPr>
              <w:pStyle w:val="34"/>
              <w:spacing w:beforeLines="0" w:after="0"/>
              <w:rPr>
                <w:rFonts w:hAnsi="Times New Roman" w:cs="Times New Roman"/>
                <w:color w:val="auto"/>
                <w:sz w:val="21"/>
                <w:szCs w:val="21"/>
              </w:rPr>
            </w:pPr>
          </w:p>
        </w:tc>
        <w:tc>
          <w:tcPr>
            <w:tcW w:w="443" w:type="pct"/>
            <w:vAlign w:val="center"/>
          </w:tcPr>
          <w:p w14:paraId="0532FD3B">
            <w:pPr>
              <w:pStyle w:val="34"/>
              <w:spacing w:beforeLines="0" w:after="0"/>
              <w:rPr>
                <w:rFonts w:hAnsi="Times New Roman" w:cs="Times New Roman"/>
                <w:color w:val="auto"/>
                <w:sz w:val="21"/>
                <w:szCs w:val="21"/>
              </w:rPr>
            </w:pPr>
            <w:r>
              <w:rPr>
                <w:rFonts w:hint="eastAsia" w:hAnsi="Times New Roman" w:cs="Times New Roman"/>
                <w:color w:val="auto"/>
                <w:sz w:val="21"/>
                <w:szCs w:val="21"/>
              </w:rPr>
              <w:t>储罐</w:t>
            </w:r>
          </w:p>
        </w:tc>
        <w:tc>
          <w:tcPr>
            <w:tcW w:w="614" w:type="pct"/>
            <w:vAlign w:val="center"/>
          </w:tcPr>
          <w:p w14:paraId="723AEA46">
            <w:pPr>
              <w:pStyle w:val="34"/>
              <w:spacing w:beforeLines="0" w:after="0"/>
              <w:rPr>
                <w:rFonts w:hAnsi="Times New Roman" w:cs="Times New Roman"/>
                <w:color w:val="auto"/>
                <w:sz w:val="21"/>
                <w:szCs w:val="21"/>
              </w:rPr>
            </w:pPr>
            <w:r>
              <w:rPr>
                <w:rFonts w:hint="eastAsia" w:hAnsi="Times New Roman" w:cs="Times New Roman"/>
                <w:color w:val="auto"/>
                <w:sz w:val="21"/>
                <w:szCs w:val="21"/>
              </w:rPr>
              <w:t>环保一车间西侧</w:t>
            </w:r>
          </w:p>
        </w:tc>
        <w:tc>
          <w:tcPr>
            <w:tcW w:w="576" w:type="pct"/>
            <w:vAlign w:val="center"/>
          </w:tcPr>
          <w:p w14:paraId="71D9D3B2">
            <w:pPr>
              <w:widowControl/>
              <w:spacing w:line="240" w:lineRule="auto"/>
              <w:ind w:firstLine="0" w:firstLineChars="0"/>
              <w:jc w:val="center"/>
              <w:rPr>
                <w:color w:val="auto"/>
                <w:sz w:val="21"/>
                <w:szCs w:val="21"/>
              </w:rPr>
            </w:pPr>
            <w:r>
              <w:rPr>
                <w:rFonts w:hint="eastAsia"/>
                <w:color w:val="auto"/>
                <w:sz w:val="21"/>
                <w:szCs w:val="21"/>
              </w:rPr>
              <w:t>外购、汽车</w:t>
            </w:r>
          </w:p>
        </w:tc>
      </w:tr>
      <w:tr w14:paraId="38798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14:paraId="568BB870">
            <w:pPr>
              <w:widowControl/>
              <w:spacing w:line="240" w:lineRule="auto"/>
              <w:ind w:firstLine="0" w:firstLineChars="0"/>
              <w:jc w:val="center"/>
              <w:rPr>
                <w:color w:val="auto"/>
                <w:sz w:val="21"/>
                <w:szCs w:val="21"/>
              </w:rPr>
            </w:pPr>
            <w:r>
              <w:rPr>
                <w:rFonts w:hint="eastAsia"/>
                <w:b/>
                <w:bCs/>
                <w:color w:val="auto"/>
                <w:sz w:val="21"/>
                <w:szCs w:val="21"/>
              </w:rPr>
              <w:t>亚硫酸钠溶液</w:t>
            </w:r>
          </w:p>
        </w:tc>
      </w:tr>
      <w:tr w14:paraId="6C6DE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6CF2913C">
            <w:pPr>
              <w:spacing w:line="240" w:lineRule="auto"/>
              <w:ind w:firstLine="0" w:firstLineChars="0"/>
              <w:jc w:val="center"/>
              <w:rPr>
                <w:color w:val="auto"/>
                <w:sz w:val="21"/>
                <w:szCs w:val="21"/>
              </w:rPr>
            </w:pPr>
            <w:r>
              <w:rPr>
                <w:rFonts w:hint="eastAsia"/>
                <w:color w:val="auto"/>
                <w:sz w:val="21"/>
                <w:szCs w:val="21"/>
              </w:rPr>
              <w:t>1</w:t>
            </w:r>
          </w:p>
        </w:tc>
        <w:tc>
          <w:tcPr>
            <w:tcW w:w="633" w:type="pct"/>
            <w:vAlign w:val="center"/>
          </w:tcPr>
          <w:p w14:paraId="373AB26F">
            <w:pPr>
              <w:pStyle w:val="34"/>
              <w:spacing w:beforeLines="0" w:after="0"/>
              <w:rPr>
                <w:rFonts w:hAnsi="Times New Roman" w:cs="Times New Roman"/>
                <w:color w:val="auto"/>
                <w:sz w:val="21"/>
                <w:szCs w:val="21"/>
              </w:rPr>
            </w:pPr>
            <w:r>
              <w:rPr>
                <w:rFonts w:hint="eastAsia" w:hAnsi="Times New Roman" w:cs="Times New Roman"/>
                <w:color w:val="auto"/>
                <w:sz w:val="21"/>
                <w:szCs w:val="21"/>
              </w:rPr>
              <w:t>液硫</w:t>
            </w:r>
          </w:p>
        </w:tc>
        <w:tc>
          <w:tcPr>
            <w:tcW w:w="507" w:type="pct"/>
            <w:vAlign w:val="center"/>
          </w:tcPr>
          <w:p w14:paraId="46F82B71">
            <w:pPr>
              <w:pStyle w:val="34"/>
              <w:spacing w:beforeLines="0" w:after="0"/>
              <w:rPr>
                <w:rFonts w:hAnsi="Times New Roman" w:cs="Times New Roman"/>
                <w:color w:val="auto"/>
                <w:sz w:val="21"/>
                <w:szCs w:val="21"/>
              </w:rPr>
            </w:pPr>
            <w:r>
              <w:rPr>
                <w:rFonts w:hint="eastAsia" w:hAnsi="Times New Roman" w:cs="Times New Roman"/>
                <w:color w:val="auto"/>
                <w:sz w:val="21"/>
                <w:szCs w:val="21"/>
              </w:rPr>
              <w:t>99.5%</w:t>
            </w:r>
          </w:p>
        </w:tc>
        <w:tc>
          <w:tcPr>
            <w:tcW w:w="356" w:type="pct"/>
            <w:vAlign w:val="center"/>
          </w:tcPr>
          <w:p w14:paraId="325791C5">
            <w:pPr>
              <w:pStyle w:val="34"/>
              <w:spacing w:beforeLines="0" w:after="0"/>
              <w:rPr>
                <w:rFonts w:hAnsi="Times New Roman" w:cs="Times New Roman"/>
                <w:color w:val="auto"/>
                <w:sz w:val="21"/>
                <w:szCs w:val="21"/>
              </w:rPr>
            </w:pPr>
            <w:r>
              <w:rPr>
                <w:rFonts w:hint="eastAsia" w:hAnsi="Times New Roman" w:cs="Times New Roman"/>
                <w:color w:val="auto"/>
                <w:sz w:val="21"/>
                <w:szCs w:val="21"/>
              </w:rPr>
              <w:t>液态</w:t>
            </w:r>
          </w:p>
        </w:tc>
        <w:tc>
          <w:tcPr>
            <w:tcW w:w="507" w:type="pct"/>
            <w:vAlign w:val="center"/>
          </w:tcPr>
          <w:p w14:paraId="2EA6C97D">
            <w:pPr>
              <w:pStyle w:val="34"/>
              <w:spacing w:beforeLines="0" w:after="0"/>
              <w:rPr>
                <w:rFonts w:hAnsi="Times New Roman" w:cs="Times New Roman"/>
                <w:color w:val="auto"/>
                <w:sz w:val="21"/>
                <w:szCs w:val="21"/>
              </w:rPr>
            </w:pPr>
          </w:p>
        </w:tc>
        <w:tc>
          <w:tcPr>
            <w:tcW w:w="598" w:type="pct"/>
            <w:vAlign w:val="center"/>
          </w:tcPr>
          <w:p w14:paraId="68F174A4">
            <w:pPr>
              <w:spacing w:line="240" w:lineRule="auto"/>
              <w:ind w:firstLine="0" w:firstLineChars="0"/>
              <w:jc w:val="center"/>
              <w:rPr>
                <w:color w:val="auto"/>
                <w:sz w:val="21"/>
                <w:szCs w:val="21"/>
              </w:rPr>
            </w:pPr>
          </w:p>
        </w:tc>
        <w:tc>
          <w:tcPr>
            <w:tcW w:w="511" w:type="pct"/>
            <w:vAlign w:val="center"/>
          </w:tcPr>
          <w:p w14:paraId="711533D2">
            <w:pPr>
              <w:spacing w:line="240" w:lineRule="auto"/>
              <w:ind w:firstLine="0" w:firstLineChars="0"/>
              <w:jc w:val="center"/>
              <w:rPr>
                <w:color w:val="auto"/>
                <w:sz w:val="21"/>
                <w:szCs w:val="21"/>
              </w:rPr>
            </w:pPr>
          </w:p>
        </w:tc>
        <w:tc>
          <w:tcPr>
            <w:tcW w:w="443" w:type="pct"/>
            <w:vAlign w:val="center"/>
          </w:tcPr>
          <w:p w14:paraId="03AD6F4B">
            <w:pPr>
              <w:pStyle w:val="34"/>
              <w:spacing w:beforeLines="0" w:after="0"/>
              <w:rPr>
                <w:rFonts w:hAnsi="Times New Roman" w:cs="Times New Roman"/>
                <w:color w:val="auto"/>
                <w:sz w:val="21"/>
                <w:szCs w:val="21"/>
              </w:rPr>
            </w:pPr>
            <w:r>
              <w:rPr>
                <w:rFonts w:hint="eastAsia" w:hAnsi="Times New Roman" w:cs="Times New Roman"/>
                <w:color w:val="auto"/>
                <w:sz w:val="21"/>
                <w:szCs w:val="21"/>
              </w:rPr>
              <w:t>储罐</w:t>
            </w:r>
          </w:p>
        </w:tc>
        <w:tc>
          <w:tcPr>
            <w:tcW w:w="614" w:type="pct"/>
            <w:vAlign w:val="center"/>
          </w:tcPr>
          <w:p w14:paraId="0FD595BD">
            <w:pPr>
              <w:pStyle w:val="34"/>
              <w:spacing w:beforeLines="0" w:after="0"/>
              <w:rPr>
                <w:rFonts w:hAnsi="Times New Roman" w:cs="Times New Roman"/>
                <w:color w:val="auto"/>
                <w:sz w:val="21"/>
                <w:szCs w:val="21"/>
              </w:rPr>
            </w:pPr>
            <w:r>
              <w:rPr>
                <w:rFonts w:hint="eastAsia" w:hAnsi="Times New Roman" w:cs="Times New Roman"/>
                <w:color w:val="auto"/>
                <w:sz w:val="21"/>
                <w:szCs w:val="21"/>
              </w:rPr>
              <w:t>亚铵车间</w:t>
            </w:r>
          </w:p>
        </w:tc>
        <w:tc>
          <w:tcPr>
            <w:tcW w:w="576" w:type="pct"/>
            <w:vAlign w:val="center"/>
          </w:tcPr>
          <w:p w14:paraId="259FC6C9">
            <w:pPr>
              <w:widowControl/>
              <w:spacing w:line="240" w:lineRule="auto"/>
              <w:ind w:firstLine="0" w:firstLineChars="0"/>
              <w:jc w:val="center"/>
              <w:rPr>
                <w:color w:val="auto"/>
                <w:sz w:val="21"/>
                <w:szCs w:val="21"/>
              </w:rPr>
            </w:pPr>
            <w:r>
              <w:rPr>
                <w:rFonts w:hint="eastAsia"/>
                <w:color w:val="auto"/>
                <w:sz w:val="21"/>
                <w:szCs w:val="21"/>
              </w:rPr>
              <w:t>外购、汽车</w:t>
            </w:r>
          </w:p>
        </w:tc>
      </w:tr>
      <w:tr w14:paraId="4309C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4C365A21">
            <w:pPr>
              <w:spacing w:line="240" w:lineRule="auto"/>
              <w:ind w:firstLine="0" w:firstLineChars="0"/>
              <w:jc w:val="center"/>
              <w:rPr>
                <w:color w:val="auto"/>
                <w:sz w:val="21"/>
                <w:szCs w:val="21"/>
              </w:rPr>
            </w:pPr>
            <w:r>
              <w:rPr>
                <w:rFonts w:hint="eastAsia"/>
                <w:color w:val="auto"/>
                <w:sz w:val="21"/>
                <w:szCs w:val="21"/>
              </w:rPr>
              <w:t>2</w:t>
            </w:r>
          </w:p>
        </w:tc>
        <w:tc>
          <w:tcPr>
            <w:tcW w:w="633" w:type="pct"/>
            <w:vAlign w:val="center"/>
          </w:tcPr>
          <w:p w14:paraId="77F19F41">
            <w:pPr>
              <w:pStyle w:val="34"/>
              <w:spacing w:beforeLines="0" w:after="0"/>
              <w:rPr>
                <w:rFonts w:hAnsi="Times New Roman" w:cs="Times New Roman"/>
                <w:color w:val="auto"/>
                <w:sz w:val="21"/>
                <w:szCs w:val="21"/>
              </w:rPr>
            </w:pPr>
            <w:r>
              <w:rPr>
                <w:rFonts w:hint="eastAsia" w:hAnsi="Times New Roman" w:cs="Times New Roman"/>
                <w:color w:val="auto"/>
                <w:sz w:val="21"/>
                <w:szCs w:val="21"/>
              </w:rPr>
              <w:t>氢氧化钠</w:t>
            </w:r>
          </w:p>
        </w:tc>
        <w:tc>
          <w:tcPr>
            <w:tcW w:w="507" w:type="pct"/>
            <w:vAlign w:val="center"/>
          </w:tcPr>
          <w:p w14:paraId="5CBC712F">
            <w:pPr>
              <w:pStyle w:val="34"/>
              <w:spacing w:beforeLines="0" w:after="0"/>
              <w:rPr>
                <w:rFonts w:hAnsi="Times New Roman" w:cs="Times New Roman"/>
                <w:color w:val="auto"/>
                <w:sz w:val="21"/>
                <w:szCs w:val="21"/>
              </w:rPr>
            </w:pPr>
            <w:r>
              <w:rPr>
                <w:rFonts w:hint="eastAsia" w:hAnsi="Times New Roman" w:cs="Times New Roman"/>
                <w:color w:val="auto"/>
                <w:sz w:val="21"/>
                <w:szCs w:val="21"/>
              </w:rPr>
              <w:t>98%</w:t>
            </w:r>
          </w:p>
        </w:tc>
        <w:tc>
          <w:tcPr>
            <w:tcW w:w="356" w:type="pct"/>
            <w:vAlign w:val="center"/>
          </w:tcPr>
          <w:p w14:paraId="109CE1E1">
            <w:pPr>
              <w:pStyle w:val="34"/>
              <w:spacing w:beforeLines="0" w:after="0"/>
              <w:rPr>
                <w:rFonts w:hAnsi="Times New Roman" w:cs="Times New Roman"/>
                <w:color w:val="auto"/>
                <w:sz w:val="21"/>
                <w:szCs w:val="21"/>
              </w:rPr>
            </w:pPr>
            <w:r>
              <w:rPr>
                <w:rFonts w:hint="eastAsia" w:hAnsi="Times New Roman" w:cs="Times New Roman"/>
                <w:color w:val="auto"/>
                <w:sz w:val="21"/>
                <w:szCs w:val="21"/>
              </w:rPr>
              <w:t>液态</w:t>
            </w:r>
          </w:p>
        </w:tc>
        <w:tc>
          <w:tcPr>
            <w:tcW w:w="507" w:type="pct"/>
            <w:vAlign w:val="center"/>
          </w:tcPr>
          <w:p w14:paraId="2FD12987">
            <w:pPr>
              <w:pStyle w:val="34"/>
              <w:spacing w:beforeLines="0" w:after="0"/>
              <w:rPr>
                <w:rFonts w:hAnsi="Times New Roman" w:cs="Times New Roman"/>
                <w:color w:val="auto"/>
                <w:sz w:val="21"/>
                <w:szCs w:val="21"/>
              </w:rPr>
            </w:pPr>
          </w:p>
        </w:tc>
        <w:tc>
          <w:tcPr>
            <w:tcW w:w="598" w:type="pct"/>
            <w:vAlign w:val="center"/>
          </w:tcPr>
          <w:p w14:paraId="2C756676">
            <w:pPr>
              <w:pStyle w:val="34"/>
              <w:spacing w:beforeLines="0" w:after="0"/>
              <w:rPr>
                <w:rFonts w:hAnsi="Times New Roman" w:cs="Times New Roman"/>
                <w:color w:val="auto"/>
                <w:sz w:val="21"/>
                <w:szCs w:val="21"/>
              </w:rPr>
            </w:pPr>
          </w:p>
        </w:tc>
        <w:tc>
          <w:tcPr>
            <w:tcW w:w="511" w:type="pct"/>
            <w:vAlign w:val="center"/>
          </w:tcPr>
          <w:p w14:paraId="5A5E760D">
            <w:pPr>
              <w:pStyle w:val="34"/>
              <w:spacing w:beforeLines="0" w:after="0"/>
              <w:rPr>
                <w:rFonts w:hAnsi="Times New Roman" w:cs="Times New Roman"/>
                <w:color w:val="auto"/>
                <w:sz w:val="21"/>
                <w:szCs w:val="21"/>
              </w:rPr>
            </w:pPr>
          </w:p>
        </w:tc>
        <w:tc>
          <w:tcPr>
            <w:tcW w:w="443" w:type="pct"/>
            <w:vAlign w:val="center"/>
          </w:tcPr>
          <w:p w14:paraId="743DADF5">
            <w:pPr>
              <w:pStyle w:val="34"/>
              <w:spacing w:beforeLines="0" w:after="0"/>
              <w:rPr>
                <w:rFonts w:hAnsi="Times New Roman" w:cs="Times New Roman"/>
                <w:color w:val="auto"/>
                <w:sz w:val="21"/>
                <w:szCs w:val="21"/>
              </w:rPr>
            </w:pPr>
            <w:r>
              <w:rPr>
                <w:rFonts w:hint="eastAsia" w:hAnsi="Times New Roman" w:cs="Times New Roman"/>
                <w:color w:val="auto"/>
                <w:sz w:val="21"/>
                <w:szCs w:val="21"/>
              </w:rPr>
              <w:t>储罐</w:t>
            </w:r>
          </w:p>
        </w:tc>
        <w:tc>
          <w:tcPr>
            <w:tcW w:w="614" w:type="pct"/>
            <w:vAlign w:val="center"/>
          </w:tcPr>
          <w:p w14:paraId="6EF7005B">
            <w:pPr>
              <w:pStyle w:val="34"/>
              <w:spacing w:beforeLines="0" w:after="0"/>
              <w:rPr>
                <w:rFonts w:hAnsi="Times New Roman" w:cs="Times New Roman"/>
                <w:color w:val="auto"/>
                <w:sz w:val="21"/>
                <w:szCs w:val="21"/>
              </w:rPr>
            </w:pPr>
            <w:r>
              <w:rPr>
                <w:rFonts w:hint="eastAsia" w:hAnsi="Times New Roman" w:cs="Times New Roman"/>
                <w:color w:val="auto"/>
                <w:sz w:val="21"/>
                <w:szCs w:val="21"/>
              </w:rPr>
              <w:t>环保一车间西侧、1#戊类罐区</w:t>
            </w:r>
          </w:p>
        </w:tc>
        <w:tc>
          <w:tcPr>
            <w:tcW w:w="576" w:type="pct"/>
            <w:vAlign w:val="center"/>
          </w:tcPr>
          <w:p w14:paraId="74E78A3E">
            <w:pPr>
              <w:widowControl/>
              <w:spacing w:line="240" w:lineRule="auto"/>
              <w:ind w:firstLine="0" w:firstLineChars="0"/>
              <w:jc w:val="center"/>
              <w:rPr>
                <w:color w:val="auto"/>
                <w:sz w:val="21"/>
                <w:szCs w:val="21"/>
              </w:rPr>
            </w:pPr>
            <w:r>
              <w:rPr>
                <w:rFonts w:hint="eastAsia"/>
                <w:color w:val="auto"/>
                <w:sz w:val="21"/>
                <w:szCs w:val="21"/>
              </w:rPr>
              <w:t>外购、汽车</w:t>
            </w:r>
          </w:p>
        </w:tc>
      </w:tr>
      <w:tr w14:paraId="6AF40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14:paraId="77110916">
            <w:pPr>
              <w:widowControl/>
              <w:spacing w:line="240" w:lineRule="auto"/>
              <w:ind w:firstLine="0" w:firstLineChars="0"/>
              <w:jc w:val="center"/>
              <w:rPr>
                <w:color w:val="auto"/>
                <w:sz w:val="21"/>
                <w:szCs w:val="21"/>
              </w:rPr>
            </w:pPr>
            <w:r>
              <w:rPr>
                <w:rFonts w:hint="eastAsia"/>
                <w:b/>
                <w:bCs/>
                <w:color w:val="auto"/>
                <w:sz w:val="21"/>
                <w:szCs w:val="21"/>
              </w:rPr>
              <w:t>硫代硫酸铵</w:t>
            </w:r>
          </w:p>
        </w:tc>
      </w:tr>
      <w:tr w14:paraId="7AB87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7F9D205C">
            <w:pPr>
              <w:spacing w:line="240" w:lineRule="auto"/>
              <w:ind w:firstLine="0" w:firstLineChars="0"/>
              <w:jc w:val="center"/>
              <w:rPr>
                <w:color w:val="auto"/>
                <w:sz w:val="21"/>
                <w:szCs w:val="21"/>
              </w:rPr>
            </w:pPr>
            <w:r>
              <w:rPr>
                <w:rFonts w:hint="eastAsia"/>
                <w:color w:val="auto"/>
                <w:sz w:val="21"/>
                <w:szCs w:val="21"/>
              </w:rPr>
              <w:t>1</w:t>
            </w:r>
          </w:p>
        </w:tc>
        <w:tc>
          <w:tcPr>
            <w:tcW w:w="633" w:type="pct"/>
            <w:vAlign w:val="center"/>
          </w:tcPr>
          <w:p w14:paraId="423DE598">
            <w:pPr>
              <w:spacing w:line="240" w:lineRule="auto"/>
              <w:ind w:firstLine="0" w:firstLineChars="0"/>
              <w:jc w:val="center"/>
              <w:rPr>
                <w:color w:val="auto"/>
                <w:sz w:val="21"/>
                <w:szCs w:val="21"/>
              </w:rPr>
            </w:pPr>
            <w:r>
              <w:rPr>
                <w:rFonts w:hint="eastAsia"/>
                <w:color w:val="auto"/>
                <w:sz w:val="21"/>
                <w:szCs w:val="21"/>
              </w:rPr>
              <w:t>氨</w:t>
            </w:r>
          </w:p>
        </w:tc>
        <w:tc>
          <w:tcPr>
            <w:tcW w:w="507" w:type="pct"/>
            <w:vAlign w:val="center"/>
          </w:tcPr>
          <w:p w14:paraId="41EDECE0">
            <w:pPr>
              <w:spacing w:line="240" w:lineRule="auto"/>
              <w:ind w:firstLine="0" w:firstLineChars="0"/>
              <w:jc w:val="center"/>
              <w:rPr>
                <w:color w:val="auto"/>
                <w:sz w:val="21"/>
                <w:szCs w:val="21"/>
              </w:rPr>
            </w:pPr>
            <w:r>
              <w:rPr>
                <w:rFonts w:hint="eastAsia"/>
                <w:color w:val="auto"/>
                <w:sz w:val="21"/>
                <w:szCs w:val="21"/>
              </w:rPr>
              <w:t>99.99%</w:t>
            </w:r>
          </w:p>
        </w:tc>
        <w:tc>
          <w:tcPr>
            <w:tcW w:w="356" w:type="pct"/>
            <w:vAlign w:val="center"/>
          </w:tcPr>
          <w:p w14:paraId="450115F8">
            <w:pPr>
              <w:spacing w:line="240" w:lineRule="auto"/>
              <w:ind w:firstLine="0" w:firstLineChars="0"/>
              <w:jc w:val="center"/>
              <w:rPr>
                <w:color w:val="auto"/>
                <w:sz w:val="21"/>
                <w:szCs w:val="21"/>
              </w:rPr>
            </w:pPr>
            <w:r>
              <w:rPr>
                <w:rFonts w:hint="eastAsia"/>
                <w:color w:val="auto"/>
                <w:sz w:val="21"/>
                <w:szCs w:val="21"/>
              </w:rPr>
              <w:t>气态</w:t>
            </w:r>
          </w:p>
        </w:tc>
        <w:tc>
          <w:tcPr>
            <w:tcW w:w="507" w:type="pct"/>
            <w:vAlign w:val="center"/>
          </w:tcPr>
          <w:p w14:paraId="5B17FE50">
            <w:pPr>
              <w:pStyle w:val="34"/>
              <w:spacing w:beforeLines="0" w:after="0"/>
              <w:rPr>
                <w:rFonts w:hAnsi="Times New Roman" w:cs="Times New Roman"/>
                <w:color w:val="auto"/>
                <w:sz w:val="21"/>
                <w:szCs w:val="21"/>
              </w:rPr>
            </w:pPr>
          </w:p>
        </w:tc>
        <w:tc>
          <w:tcPr>
            <w:tcW w:w="598" w:type="pct"/>
            <w:vAlign w:val="center"/>
          </w:tcPr>
          <w:p w14:paraId="4B9CA21B">
            <w:pPr>
              <w:spacing w:line="240" w:lineRule="auto"/>
              <w:ind w:firstLine="0" w:firstLineChars="0"/>
              <w:jc w:val="center"/>
              <w:rPr>
                <w:color w:val="auto"/>
                <w:sz w:val="21"/>
                <w:szCs w:val="21"/>
              </w:rPr>
            </w:pPr>
          </w:p>
        </w:tc>
        <w:tc>
          <w:tcPr>
            <w:tcW w:w="511" w:type="pct"/>
            <w:vAlign w:val="center"/>
          </w:tcPr>
          <w:p w14:paraId="1C5FCF9E">
            <w:pPr>
              <w:spacing w:line="240" w:lineRule="auto"/>
              <w:ind w:firstLine="0" w:firstLineChars="0"/>
              <w:jc w:val="center"/>
              <w:rPr>
                <w:color w:val="auto"/>
                <w:sz w:val="21"/>
                <w:szCs w:val="21"/>
              </w:rPr>
            </w:pPr>
          </w:p>
        </w:tc>
        <w:tc>
          <w:tcPr>
            <w:tcW w:w="443" w:type="pct"/>
            <w:vAlign w:val="center"/>
          </w:tcPr>
          <w:p w14:paraId="06D35F7E">
            <w:pPr>
              <w:spacing w:line="240" w:lineRule="auto"/>
              <w:ind w:firstLine="0" w:firstLineChars="0"/>
              <w:jc w:val="center"/>
              <w:rPr>
                <w:color w:val="auto"/>
                <w:sz w:val="21"/>
                <w:szCs w:val="21"/>
              </w:rPr>
            </w:pPr>
            <w:r>
              <w:rPr>
                <w:rFonts w:hint="eastAsia"/>
                <w:color w:val="auto"/>
                <w:sz w:val="21"/>
                <w:szCs w:val="21"/>
              </w:rPr>
              <w:t>储罐</w:t>
            </w:r>
          </w:p>
        </w:tc>
        <w:tc>
          <w:tcPr>
            <w:tcW w:w="614" w:type="pct"/>
            <w:vAlign w:val="center"/>
          </w:tcPr>
          <w:p w14:paraId="59895D10">
            <w:pPr>
              <w:spacing w:line="240" w:lineRule="auto"/>
              <w:ind w:firstLine="0" w:firstLineChars="0"/>
              <w:jc w:val="center"/>
              <w:rPr>
                <w:color w:val="auto"/>
                <w:sz w:val="21"/>
                <w:szCs w:val="21"/>
              </w:rPr>
            </w:pPr>
            <w:r>
              <w:rPr>
                <w:rFonts w:hint="eastAsia"/>
                <w:color w:val="auto"/>
                <w:sz w:val="21"/>
                <w:szCs w:val="21"/>
              </w:rPr>
              <w:t>氨水配制区</w:t>
            </w:r>
          </w:p>
        </w:tc>
        <w:tc>
          <w:tcPr>
            <w:tcW w:w="576" w:type="pct"/>
            <w:vAlign w:val="center"/>
          </w:tcPr>
          <w:p w14:paraId="4FDAA79D">
            <w:pPr>
              <w:widowControl/>
              <w:spacing w:line="240" w:lineRule="auto"/>
              <w:ind w:firstLine="0" w:firstLineChars="0"/>
              <w:jc w:val="center"/>
              <w:rPr>
                <w:color w:val="auto"/>
                <w:kern w:val="0"/>
                <w:sz w:val="21"/>
                <w:szCs w:val="21"/>
              </w:rPr>
            </w:pPr>
            <w:r>
              <w:rPr>
                <w:rFonts w:hint="eastAsia"/>
                <w:color w:val="auto"/>
                <w:sz w:val="21"/>
                <w:szCs w:val="21"/>
              </w:rPr>
              <w:t>外购、汽车</w:t>
            </w:r>
          </w:p>
        </w:tc>
      </w:tr>
      <w:tr w14:paraId="65F0E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6CB8DF70">
            <w:pPr>
              <w:spacing w:line="240" w:lineRule="auto"/>
              <w:ind w:firstLine="0" w:firstLineChars="0"/>
              <w:jc w:val="center"/>
              <w:rPr>
                <w:color w:val="auto"/>
                <w:sz w:val="21"/>
                <w:szCs w:val="21"/>
              </w:rPr>
            </w:pPr>
            <w:r>
              <w:rPr>
                <w:rFonts w:hint="eastAsia"/>
                <w:color w:val="auto"/>
                <w:sz w:val="21"/>
                <w:szCs w:val="21"/>
              </w:rPr>
              <w:t>2</w:t>
            </w:r>
          </w:p>
        </w:tc>
        <w:tc>
          <w:tcPr>
            <w:tcW w:w="633" w:type="pct"/>
            <w:vAlign w:val="center"/>
          </w:tcPr>
          <w:p w14:paraId="4321638C">
            <w:pPr>
              <w:spacing w:line="240" w:lineRule="auto"/>
              <w:ind w:firstLine="0" w:firstLineChars="0"/>
              <w:jc w:val="center"/>
              <w:rPr>
                <w:color w:val="auto"/>
                <w:sz w:val="21"/>
                <w:szCs w:val="21"/>
              </w:rPr>
            </w:pPr>
            <w:r>
              <w:rPr>
                <w:rFonts w:hint="eastAsia"/>
                <w:color w:val="auto"/>
                <w:sz w:val="21"/>
                <w:szCs w:val="21"/>
              </w:rPr>
              <w:t>亚硫酸氢铵</w:t>
            </w:r>
          </w:p>
        </w:tc>
        <w:tc>
          <w:tcPr>
            <w:tcW w:w="507" w:type="pct"/>
            <w:vAlign w:val="center"/>
          </w:tcPr>
          <w:p w14:paraId="551C04CF">
            <w:pPr>
              <w:spacing w:line="240" w:lineRule="auto"/>
              <w:ind w:firstLine="0" w:firstLineChars="0"/>
              <w:jc w:val="center"/>
              <w:rPr>
                <w:color w:val="auto"/>
                <w:sz w:val="21"/>
                <w:szCs w:val="21"/>
              </w:rPr>
            </w:pPr>
            <w:r>
              <w:rPr>
                <w:rFonts w:hint="eastAsia"/>
                <w:color w:val="auto"/>
                <w:sz w:val="21"/>
                <w:szCs w:val="21"/>
              </w:rPr>
              <w:t>70%</w:t>
            </w:r>
          </w:p>
        </w:tc>
        <w:tc>
          <w:tcPr>
            <w:tcW w:w="356" w:type="pct"/>
            <w:vAlign w:val="center"/>
          </w:tcPr>
          <w:p w14:paraId="29D318E0">
            <w:pPr>
              <w:spacing w:line="240" w:lineRule="auto"/>
              <w:ind w:firstLine="0" w:firstLineChars="0"/>
              <w:jc w:val="center"/>
              <w:rPr>
                <w:color w:val="auto"/>
                <w:sz w:val="21"/>
                <w:szCs w:val="21"/>
              </w:rPr>
            </w:pPr>
            <w:r>
              <w:rPr>
                <w:rFonts w:hint="eastAsia"/>
                <w:color w:val="auto"/>
                <w:sz w:val="21"/>
                <w:szCs w:val="21"/>
              </w:rPr>
              <w:t>液态</w:t>
            </w:r>
          </w:p>
        </w:tc>
        <w:tc>
          <w:tcPr>
            <w:tcW w:w="507" w:type="pct"/>
            <w:vAlign w:val="center"/>
          </w:tcPr>
          <w:p w14:paraId="54BEF34E">
            <w:pPr>
              <w:pStyle w:val="34"/>
              <w:spacing w:beforeLines="0" w:after="0"/>
              <w:rPr>
                <w:rFonts w:hAnsi="Times New Roman" w:cs="Times New Roman"/>
                <w:color w:val="auto"/>
                <w:sz w:val="21"/>
                <w:szCs w:val="21"/>
              </w:rPr>
            </w:pPr>
          </w:p>
        </w:tc>
        <w:tc>
          <w:tcPr>
            <w:tcW w:w="598" w:type="pct"/>
            <w:vAlign w:val="center"/>
          </w:tcPr>
          <w:p w14:paraId="505363BE">
            <w:pPr>
              <w:spacing w:line="240" w:lineRule="auto"/>
              <w:ind w:firstLine="0" w:firstLineChars="0"/>
              <w:jc w:val="center"/>
              <w:rPr>
                <w:color w:val="auto"/>
                <w:sz w:val="21"/>
                <w:szCs w:val="21"/>
              </w:rPr>
            </w:pPr>
          </w:p>
        </w:tc>
        <w:tc>
          <w:tcPr>
            <w:tcW w:w="511" w:type="pct"/>
            <w:vAlign w:val="center"/>
          </w:tcPr>
          <w:p w14:paraId="1663AA92">
            <w:pPr>
              <w:spacing w:line="240" w:lineRule="auto"/>
              <w:ind w:firstLine="0" w:firstLineChars="0"/>
              <w:jc w:val="center"/>
              <w:rPr>
                <w:color w:val="auto"/>
                <w:sz w:val="21"/>
                <w:szCs w:val="21"/>
              </w:rPr>
            </w:pPr>
          </w:p>
        </w:tc>
        <w:tc>
          <w:tcPr>
            <w:tcW w:w="443" w:type="pct"/>
            <w:vAlign w:val="center"/>
          </w:tcPr>
          <w:p w14:paraId="25F87CBC">
            <w:pPr>
              <w:spacing w:line="240" w:lineRule="auto"/>
              <w:ind w:firstLine="0" w:firstLineChars="0"/>
              <w:jc w:val="center"/>
              <w:rPr>
                <w:color w:val="auto"/>
                <w:sz w:val="21"/>
                <w:szCs w:val="21"/>
              </w:rPr>
            </w:pPr>
            <w:r>
              <w:rPr>
                <w:rFonts w:hint="eastAsia"/>
                <w:color w:val="auto"/>
                <w:sz w:val="21"/>
                <w:szCs w:val="21"/>
              </w:rPr>
              <w:t>储罐</w:t>
            </w:r>
          </w:p>
        </w:tc>
        <w:tc>
          <w:tcPr>
            <w:tcW w:w="614" w:type="pct"/>
            <w:vAlign w:val="center"/>
          </w:tcPr>
          <w:p w14:paraId="2E12E915">
            <w:pPr>
              <w:spacing w:line="240" w:lineRule="auto"/>
              <w:ind w:firstLine="0" w:firstLineChars="0"/>
              <w:jc w:val="center"/>
              <w:rPr>
                <w:color w:val="auto"/>
                <w:sz w:val="21"/>
                <w:szCs w:val="21"/>
              </w:rPr>
            </w:pPr>
            <w:r>
              <w:rPr>
                <w:rFonts w:hint="eastAsia"/>
                <w:color w:val="auto"/>
                <w:sz w:val="21"/>
                <w:szCs w:val="21"/>
              </w:rPr>
              <w:t>1#戊类罐区、亚铵中间罐</w:t>
            </w:r>
          </w:p>
        </w:tc>
        <w:tc>
          <w:tcPr>
            <w:tcW w:w="576" w:type="pct"/>
            <w:vAlign w:val="center"/>
          </w:tcPr>
          <w:p w14:paraId="2E8F9C6A">
            <w:pPr>
              <w:widowControl/>
              <w:spacing w:line="240" w:lineRule="auto"/>
              <w:ind w:firstLine="0" w:firstLineChars="0"/>
              <w:jc w:val="center"/>
              <w:rPr>
                <w:color w:val="auto"/>
                <w:kern w:val="0"/>
                <w:sz w:val="21"/>
                <w:szCs w:val="21"/>
              </w:rPr>
            </w:pPr>
            <w:r>
              <w:rPr>
                <w:rFonts w:hint="eastAsia"/>
                <w:color w:val="auto"/>
                <w:kern w:val="0"/>
                <w:sz w:val="21"/>
                <w:szCs w:val="21"/>
              </w:rPr>
              <w:t>自产，管道输送</w:t>
            </w:r>
          </w:p>
        </w:tc>
      </w:tr>
      <w:tr w14:paraId="56858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3C88E061">
            <w:pPr>
              <w:spacing w:line="240" w:lineRule="auto"/>
              <w:ind w:firstLine="0" w:firstLineChars="0"/>
              <w:jc w:val="center"/>
              <w:rPr>
                <w:color w:val="auto"/>
                <w:sz w:val="21"/>
                <w:szCs w:val="21"/>
              </w:rPr>
            </w:pPr>
            <w:r>
              <w:rPr>
                <w:rFonts w:hint="eastAsia"/>
                <w:color w:val="auto"/>
                <w:sz w:val="21"/>
                <w:szCs w:val="21"/>
              </w:rPr>
              <w:t>3</w:t>
            </w:r>
          </w:p>
        </w:tc>
        <w:tc>
          <w:tcPr>
            <w:tcW w:w="633" w:type="pct"/>
            <w:vAlign w:val="center"/>
          </w:tcPr>
          <w:p w14:paraId="111C9901">
            <w:pPr>
              <w:spacing w:line="240" w:lineRule="auto"/>
              <w:ind w:firstLine="0" w:firstLineChars="0"/>
              <w:jc w:val="center"/>
              <w:rPr>
                <w:color w:val="auto"/>
                <w:sz w:val="21"/>
                <w:szCs w:val="21"/>
              </w:rPr>
            </w:pPr>
            <w:r>
              <w:rPr>
                <w:rFonts w:hint="eastAsia"/>
                <w:color w:val="auto"/>
                <w:sz w:val="21"/>
                <w:szCs w:val="21"/>
              </w:rPr>
              <w:t>硫代硫酸钙的副产氨水</w:t>
            </w:r>
          </w:p>
        </w:tc>
        <w:tc>
          <w:tcPr>
            <w:tcW w:w="507" w:type="pct"/>
            <w:vAlign w:val="center"/>
          </w:tcPr>
          <w:p w14:paraId="14064FE3">
            <w:pPr>
              <w:spacing w:line="240" w:lineRule="auto"/>
              <w:ind w:firstLine="0" w:firstLineChars="0"/>
              <w:jc w:val="center"/>
              <w:rPr>
                <w:color w:val="auto"/>
                <w:sz w:val="21"/>
                <w:szCs w:val="21"/>
              </w:rPr>
            </w:pPr>
            <w:r>
              <w:rPr>
                <w:rFonts w:hint="eastAsia"/>
                <w:color w:val="auto"/>
                <w:sz w:val="21"/>
                <w:szCs w:val="21"/>
              </w:rPr>
              <w:t>8%</w:t>
            </w:r>
          </w:p>
        </w:tc>
        <w:tc>
          <w:tcPr>
            <w:tcW w:w="356" w:type="pct"/>
            <w:vAlign w:val="center"/>
          </w:tcPr>
          <w:p w14:paraId="6CDAF2A6">
            <w:pPr>
              <w:pStyle w:val="35"/>
              <w:spacing w:beforeLines="0" w:after="0"/>
              <w:rPr>
                <w:rFonts w:hAnsi="Times New Roman" w:cs="Times New Roman"/>
                <w:color w:val="auto"/>
                <w:spacing w:val="-10"/>
                <w:szCs w:val="21"/>
              </w:rPr>
            </w:pPr>
            <w:r>
              <w:rPr>
                <w:rFonts w:hint="eastAsia" w:hAnsi="Times New Roman" w:cs="Times New Roman"/>
                <w:color w:val="auto"/>
                <w:spacing w:val="-10"/>
                <w:szCs w:val="21"/>
              </w:rPr>
              <w:t>液态</w:t>
            </w:r>
          </w:p>
        </w:tc>
        <w:tc>
          <w:tcPr>
            <w:tcW w:w="507" w:type="pct"/>
            <w:vAlign w:val="center"/>
          </w:tcPr>
          <w:p w14:paraId="176A8552">
            <w:pPr>
              <w:pStyle w:val="34"/>
              <w:spacing w:beforeLines="0" w:after="0"/>
              <w:rPr>
                <w:rFonts w:hAnsi="Times New Roman" w:cs="Times New Roman"/>
                <w:color w:val="auto"/>
                <w:sz w:val="21"/>
                <w:szCs w:val="21"/>
              </w:rPr>
            </w:pPr>
          </w:p>
        </w:tc>
        <w:tc>
          <w:tcPr>
            <w:tcW w:w="598" w:type="pct"/>
            <w:vAlign w:val="center"/>
          </w:tcPr>
          <w:p w14:paraId="1D3B17E5">
            <w:pPr>
              <w:spacing w:line="240" w:lineRule="auto"/>
              <w:ind w:firstLine="0" w:firstLineChars="0"/>
              <w:jc w:val="center"/>
              <w:rPr>
                <w:color w:val="auto"/>
                <w:sz w:val="21"/>
                <w:szCs w:val="21"/>
              </w:rPr>
            </w:pPr>
          </w:p>
        </w:tc>
        <w:tc>
          <w:tcPr>
            <w:tcW w:w="511" w:type="pct"/>
            <w:vAlign w:val="center"/>
          </w:tcPr>
          <w:p w14:paraId="7A6E8E2C">
            <w:pPr>
              <w:spacing w:line="240" w:lineRule="auto"/>
              <w:ind w:firstLine="0" w:firstLineChars="0"/>
              <w:jc w:val="center"/>
              <w:rPr>
                <w:color w:val="auto"/>
                <w:sz w:val="21"/>
                <w:szCs w:val="21"/>
              </w:rPr>
            </w:pPr>
          </w:p>
        </w:tc>
        <w:tc>
          <w:tcPr>
            <w:tcW w:w="443" w:type="pct"/>
            <w:vAlign w:val="center"/>
          </w:tcPr>
          <w:p w14:paraId="23EDE03B">
            <w:pPr>
              <w:spacing w:line="240" w:lineRule="auto"/>
              <w:ind w:firstLine="0" w:firstLineChars="0"/>
              <w:jc w:val="center"/>
              <w:rPr>
                <w:color w:val="auto"/>
                <w:sz w:val="21"/>
                <w:szCs w:val="21"/>
              </w:rPr>
            </w:pPr>
            <w:r>
              <w:rPr>
                <w:rFonts w:hint="eastAsia"/>
                <w:color w:val="auto"/>
                <w:sz w:val="21"/>
                <w:szCs w:val="21"/>
              </w:rPr>
              <w:t>储罐</w:t>
            </w:r>
          </w:p>
        </w:tc>
        <w:tc>
          <w:tcPr>
            <w:tcW w:w="614" w:type="pct"/>
            <w:vAlign w:val="center"/>
          </w:tcPr>
          <w:p w14:paraId="67490D85">
            <w:pPr>
              <w:spacing w:line="240" w:lineRule="auto"/>
              <w:ind w:firstLine="0" w:firstLineChars="0"/>
              <w:jc w:val="center"/>
              <w:rPr>
                <w:color w:val="auto"/>
                <w:sz w:val="21"/>
                <w:szCs w:val="21"/>
              </w:rPr>
            </w:pPr>
            <w:r>
              <w:rPr>
                <w:rFonts w:hint="eastAsia"/>
                <w:color w:val="auto"/>
                <w:sz w:val="21"/>
                <w:szCs w:val="21"/>
              </w:rPr>
              <w:t>车间中间罐</w:t>
            </w:r>
          </w:p>
        </w:tc>
        <w:tc>
          <w:tcPr>
            <w:tcW w:w="576" w:type="pct"/>
            <w:vAlign w:val="center"/>
          </w:tcPr>
          <w:p w14:paraId="593D1562">
            <w:pPr>
              <w:widowControl/>
              <w:spacing w:line="240" w:lineRule="auto"/>
              <w:ind w:firstLine="0" w:firstLineChars="0"/>
              <w:jc w:val="center"/>
              <w:rPr>
                <w:color w:val="auto"/>
                <w:kern w:val="0"/>
                <w:sz w:val="21"/>
                <w:szCs w:val="21"/>
              </w:rPr>
            </w:pPr>
            <w:r>
              <w:rPr>
                <w:rFonts w:hint="eastAsia"/>
                <w:color w:val="auto"/>
                <w:kern w:val="0"/>
                <w:sz w:val="21"/>
                <w:szCs w:val="21"/>
              </w:rPr>
              <w:t>自产，管道输送</w:t>
            </w:r>
          </w:p>
        </w:tc>
      </w:tr>
      <w:tr w14:paraId="30DD7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57F4E79A">
            <w:pPr>
              <w:spacing w:line="240" w:lineRule="auto"/>
              <w:ind w:firstLine="0" w:firstLineChars="0"/>
              <w:jc w:val="center"/>
              <w:rPr>
                <w:color w:val="auto"/>
                <w:sz w:val="21"/>
                <w:szCs w:val="21"/>
              </w:rPr>
            </w:pPr>
          </w:p>
        </w:tc>
        <w:tc>
          <w:tcPr>
            <w:tcW w:w="633" w:type="pct"/>
            <w:vAlign w:val="center"/>
          </w:tcPr>
          <w:p w14:paraId="13F7A054">
            <w:pPr>
              <w:spacing w:line="240" w:lineRule="auto"/>
              <w:ind w:firstLine="0" w:firstLineChars="0"/>
              <w:jc w:val="center"/>
              <w:rPr>
                <w:color w:val="auto"/>
                <w:sz w:val="21"/>
                <w:szCs w:val="21"/>
              </w:rPr>
            </w:pPr>
            <w:r>
              <w:rPr>
                <w:rFonts w:hint="eastAsia"/>
                <w:color w:val="auto"/>
                <w:sz w:val="21"/>
                <w:szCs w:val="21"/>
              </w:rPr>
              <w:t>硫磺</w:t>
            </w:r>
          </w:p>
        </w:tc>
        <w:tc>
          <w:tcPr>
            <w:tcW w:w="998" w:type="dxa"/>
            <w:vAlign w:val="center"/>
          </w:tcPr>
          <w:p w14:paraId="5BF2BD9B">
            <w:pPr>
              <w:pStyle w:val="34"/>
              <w:spacing w:beforeLines="0" w:after="0"/>
              <w:rPr>
                <w:color w:val="auto"/>
                <w:sz w:val="21"/>
                <w:szCs w:val="21"/>
              </w:rPr>
            </w:pPr>
            <w:r>
              <w:rPr>
                <w:rFonts w:hint="eastAsia" w:hAnsi="Times New Roman" w:cs="Times New Roman"/>
                <w:color w:val="auto"/>
                <w:sz w:val="21"/>
                <w:szCs w:val="21"/>
              </w:rPr>
              <w:t>99.5%</w:t>
            </w:r>
          </w:p>
        </w:tc>
        <w:tc>
          <w:tcPr>
            <w:tcW w:w="701" w:type="dxa"/>
            <w:vAlign w:val="center"/>
          </w:tcPr>
          <w:p w14:paraId="09E722FF">
            <w:pPr>
              <w:pStyle w:val="34"/>
              <w:spacing w:beforeLines="0" w:after="0"/>
              <w:rPr>
                <w:rFonts w:hAnsi="Times New Roman" w:cs="Times New Roman"/>
                <w:color w:val="auto"/>
                <w:szCs w:val="21"/>
              </w:rPr>
            </w:pPr>
            <w:r>
              <w:rPr>
                <w:rFonts w:hint="eastAsia" w:hAnsi="Times New Roman" w:cs="Times New Roman"/>
                <w:color w:val="auto"/>
                <w:sz w:val="21"/>
                <w:szCs w:val="21"/>
              </w:rPr>
              <w:t>固态</w:t>
            </w:r>
          </w:p>
        </w:tc>
        <w:tc>
          <w:tcPr>
            <w:tcW w:w="998" w:type="dxa"/>
            <w:vAlign w:val="center"/>
          </w:tcPr>
          <w:p w14:paraId="592FE078">
            <w:pPr>
              <w:pStyle w:val="34"/>
              <w:spacing w:beforeLines="0" w:after="0"/>
              <w:rPr>
                <w:rFonts w:hAnsi="Times New Roman" w:cs="Times New Roman"/>
                <w:color w:val="auto"/>
                <w:sz w:val="21"/>
                <w:szCs w:val="21"/>
              </w:rPr>
            </w:pPr>
          </w:p>
        </w:tc>
        <w:tc>
          <w:tcPr>
            <w:tcW w:w="1177" w:type="dxa"/>
            <w:vAlign w:val="center"/>
          </w:tcPr>
          <w:p w14:paraId="15BB4107">
            <w:pPr>
              <w:spacing w:line="240" w:lineRule="auto"/>
              <w:ind w:firstLine="0" w:firstLineChars="0"/>
              <w:jc w:val="center"/>
              <w:rPr>
                <w:color w:val="auto"/>
                <w:sz w:val="21"/>
                <w:szCs w:val="21"/>
              </w:rPr>
            </w:pPr>
          </w:p>
        </w:tc>
        <w:tc>
          <w:tcPr>
            <w:tcW w:w="1006" w:type="dxa"/>
            <w:vAlign w:val="center"/>
          </w:tcPr>
          <w:p w14:paraId="31FAFBD3">
            <w:pPr>
              <w:spacing w:line="240" w:lineRule="auto"/>
              <w:ind w:firstLine="0" w:firstLineChars="0"/>
              <w:jc w:val="center"/>
              <w:rPr>
                <w:color w:val="auto"/>
                <w:sz w:val="21"/>
                <w:szCs w:val="21"/>
              </w:rPr>
            </w:pPr>
          </w:p>
        </w:tc>
        <w:tc>
          <w:tcPr>
            <w:tcW w:w="872" w:type="dxa"/>
            <w:vAlign w:val="center"/>
          </w:tcPr>
          <w:p w14:paraId="065B73DB">
            <w:pPr>
              <w:pStyle w:val="34"/>
              <w:spacing w:beforeLines="0" w:after="0"/>
              <w:rPr>
                <w:color w:val="auto"/>
                <w:sz w:val="21"/>
                <w:szCs w:val="21"/>
              </w:rPr>
            </w:pPr>
            <w:r>
              <w:rPr>
                <w:rFonts w:hint="eastAsia" w:hAnsi="Times New Roman" w:cs="Times New Roman"/>
                <w:color w:val="auto"/>
                <w:sz w:val="21"/>
                <w:szCs w:val="21"/>
              </w:rPr>
              <w:t>袋装</w:t>
            </w:r>
          </w:p>
        </w:tc>
        <w:tc>
          <w:tcPr>
            <w:tcW w:w="1209" w:type="dxa"/>
            <w:vAlign w:val="center"/>
          </w:tcPr>
          <w:p w14:paraId="46FC1739">
            <w:pPr>
              <w:pStyle w:val="34"/>
              <w:spacing w:beforeLines="0" w:after="0"/>
              <w:rPr>
                <w:color w:val="auto"/>
                <w:sz w:val="21"/>
                <w:szCs w:val="21"/>
              </w:rPr>
            </w:pPr>
            <w:r>
              <w:rPr>
                <w:rFonts w:hint="eastAsia" w:hAnsi="Times New Roman" w:cs="Times New Roman"/>
                <w:color w:val="auto"/>
                <w:sz w:val="21"/>
                <w:szCs w:val="21"/>
              </w:rPr>
              <w:t>丙类仓库</w:t>
            </w:r>
          </w:p>
        </w:tc>
        <w:tc>
          <w:tcPr>
            <w:tcW w:w="1144" w:type="dxa"/>
            <w:vAlign w:val="center"/>
          </w:tcPr>
          <w:p w14:paraId="115AEB07">
            <w:pPr>
              <w:widowControl/>
              <w:spacing w:line="240" w:lineRule="auto"/>
              <w:ind w:firstLine="0" w:firstLineChars="0"/>
              <w:jc w:val="center"/>
              <w:rPr>
                <w:color w:val="auto"/>
                <w:kern w:val="0"/>
                <w:sz w:val="21"/>
                <w:szCs w:val="21"/>
              </w:rPr>
            </w:pPr>
            <w:r>
              <w:rPr>
                <w:rFonts w:hint="eastAsia"/>
                <w:color w:val="auto"/>
                <w:sz w:val="21"/>
                <w:szCs w:val="21"/>
              </w:rPr>
              <w:t>外购、汽车</w:t>
            </w:r>
          </w:p>
        </w:tc>
      </w:tr>
      <w:tr w14:paraId="7112D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14:paraId="69D75CAF">
            <w:pPr>
              <w:widowControl/>
              <w:spacing w:line="240" w:lineRule="auto"/>
              <w:ind w:firstLine="0" w:firstLineChars="0"/>
              <w:jc w:val="center"/>
              <w:rPr>
                <w:color w:val="auto"/>
                <w:kern w:val="0"/>
                <w:sz w:val="21"/>
                <w:szCs w:val="21"/>
              </w:rPr>
            </w:pPr>
            <w:r>
              <w:rPr>
                <w:rFonts w:hint="eastAsia"/>
                <w:b/>
                <w:bCs/>
                <w:color w:val="auto"/>
                <w:kern w:val="0"/>
                <w:sz w:val="21"/>
                <w:szCs w:val="21"/>
              </w:rPr>
              <w:t>硫代硫酸钙</w:t>
            </w:r>
          </w:p>
        </w:tc>
      </w:tr>
      <w:tr w14:paraId="48B05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75452F82">
            <w:pPr>
              <w:spacing w:line="240" w:lineRule="auto"/>
              <w:ind w:firstLine="0" w:firstLineChars="0"/>
              <w:jc w:val="center"/>
              <w:rPr>
                <w:color w:val="auto"/>
                <w:sz w:val="21"/>
                <w:szCs w:val="21"/>
              </w:rPr>
            </w:pPr>
            <w:r>
              <w:rPr>
                <w:rFonts w:hint="eastAsia"/>
                <w:color w:val="auto"/>
                <w:sz w:val="21"/>
                <w:szCs w:val="21"/>
              </w:rPr>
              <w:t>1</w:t>
            </w:r>
          </w:p>
        </w:tc>
        <w:tc>
          <w:tcPr>
            <w:tcW w:w="633" w:type="pct"/>
            <w:vAlign w:val="center"/>
          </w:tcPr>
          <w:p w14:paraId="144465D1">
            <w:pPr>
              <w:spacing w:line="240" w:lineRule="auto"/>
              <w:ind w:firstLine="0" w:firstLineChars="0"/>
              <w:jc w:val="center"/>
              <w:rPr>
                <w:color w:val="auto"/>
                <w:sz w:val="21"/>
                <w:szCs w:val="21"/>
              </w:rPr>
            </w:pPr>
            <w:r>
              <w:rPr>
                <w:rFonts w:hint="eastAsia"/>
                <w:color w:val="auto"/>
                <w:sz w:val="21"/>
                <w:szCs w:val="21"/>
              </w:rPr>
              <w:t>氧化钙</w:t>
            </w:r>
          </w:p>
        </w:tc>
        <w:tc>
          <w:tcPr>
            <w:tcW w:w="507" w:type="pct"/>
            <w:vAlign w:val="center"/>
          </w:tcPr>
          <w:p w14:paraId="1843B018">
            <w:pPr>
              <w:spacing w:line="240" w:lineRule="auto"/>
              <w:ind w:firstLine="0" w:firstLineChars="0"/>
              <w:jc w:val="center"/>
              <w:rPr>
                <w:color w:val="auto"/>
                <w:sz w:val="21"/>
                <w:szCs w:val="21"/>
              </w:rPr>
            </w:pPr>
            <w:r>
              <w:rPr>
                <w:rFonts w:hint="eastAsia"/>
                <w:color w:val="auto"/>
                <w:sz w:val="21"/>
                <w:szCs w:val="21"/>
              </w:rPr>
              <w:t>99.99%</w:t>
            </w:r>
          </w:p>
        </w:tc>
        <w:tc>
          <w:tcPr>
            <w:tcW w:w="356" w:type="pct"/>
            <w:vAlign w:val="center"/>
          </w:tcPr>
          <w:p w14:paraId="71ED15C9">
            <w:pPr>
              <w:pStyle w:val="35"/>
              <w:spacing w:beforeLines="0" w:after="0"/>
              <w:rPr>
                <w:rFonts w:hAnsi="Times New Roman" w:cs="Times New Roman"/>
                <w:color w:val="auto"/>
                <w:spacing w:val="-10"/>
                <w:szCs w:val="21"/>
              </w:rPr>
            </w:pPr>
            <w:r>
              <w:rPr>
                <w:rFonts w:hint="eastAsia" w:hAnsi="Times New Roman" w:cs="Times New Roman"/>
                <w:color w:val="auto"/>
                <w:spacing w:val="-10"/>
                <w:szCs w:val="21"/>
              </w:rPr>
              <w:t>固态</w:t>
            </w:r>
          </w:p>
        </w:tc>
        <w:tc>
          <w:tcPr>
            <w:tcW w:w="507" w:type="pct"/>
            <w:vAlign w:val="center"/>
          </w:tcPr>
          <w:p w14:paraId="0289943F">
            <w:pPr>
              <w:pStyle w:val="34"/>
              <w:spacing w:beforeLines="0" w:after="0"/>
              <w:rPr>
                <w:rFonts w:hAnsi="Times New Roman" w:cs="Times New Roman"/>
                <w:color w:val="auto"/>
                <w:sz w:val="21"/>
                <w:szCs w:val="21"/>
              </w:rPr>
            </w:pPr>
          </w:p>
        </w:tc>
        <w:tc>
          <w:tcPr>
            <w:tcW w:w="598" w:type="pct"/>
            <w:vAlign w:val="center"/>
          </w:tcPr>
          <w:p w14:paraId="3C02E27C">
            <w:pPr>
              <w:spacing w:line="240" w:lineRule="auto"/>
              <w:ind w:firstLine="0" w:firstLineChars="0"/>
              <w:jc w:val="center"/>
              <w:rPr>
                <w:color w:val="auto"/>
                <w:sz w:val="21"/>
                <w:szCs w:val="21"/>
              </w:rPr>
            </w:pPr>
          </w:p>
        </w:tc>
        <w:tc>
          <w:tcPr>
            <w:tcW w:w="511" w:type="pct"/>
            <w:vAlign w:val="center"/>
          </w:tcPr>
          <w:p w14:paraId="01F339B2">
            <w:pPr>
              <w:spacing w:line="240" w:lineRule="auto"/>
              <w:ind w:firstLine="0" w:firstLineChars="0"/>
              <w:jc w:val="center"/>
              <w:rPr>
                <w:color w:val="auto"/>
                <w:sz w:val="21"/>
                <w:szCs w:val="21"/>
              </w:rPr>
            </w:pPr>
          </w:p>
        </w:tc>
        <w:tc>
          <w:tcPr>
            <w:tcW w:w="443" w:type="pct"/>
            <w:vAlign w:val="center"/>
          </w:tcPr>
          <w:p w14:paraId="353D0CF6">
            <w:pPr>
              <w:spacing w:line="240" w:lineRule="auto"/>
              <w:ind w:firstLine="0" w:firstLineChars="0"/>
              <w:jc w:val="center"/>
              <w:rPr>
                <w:color w:val="auto"/>
                <w:sz w:val="21"/>
                <w:szCs w:val="21"/>
              </w:rPr>
            </w:pPr>
            <w:r>
              <w:rPr>
                <w:rFonts w:hint="eastAsia"/>
                <w:color w:val="auto"/>
                <w:sz w:val="21"/>
                <w:szCs w:val="21"/>
              </w:rPr>
              <w:t>吨袋</w:t>
            </w:r>
          </w:p>
        </w:tc>
        <w:tc>
          <w:tcPr>
            <w:tcW w:w="614" w:type="pct"/>
            <w:vAlign w:val="center"/>
          </w:tcPr>
          <w:p w14:paraId="00718642">
            <w:pPr>
              <w:spacing w:line="240" w:lineRule="auto"/>
              <w:ind w:firstLine="0" w:firstLineChars="0"/>
              <w:jc w:val="center"/>
              <w:rPr>
                <w:color w:val="auto"/>
                <w:sz w:val="21"/>
                <w:szCs w:val="21"/>
              </w:rPr>
            </w:pPr>
            <w:r>
              <w:rPr>
                <w:rFonts w:hint="eastAsia"/>
                <w:color w:val="auto"/>
                <w:sz w:val="21"/>
                <w:szCs w:val="21"/>
              </w:rPr>
              <w:t>丙类仓库</w:t>
            </w:r>
          </w:p>
        </w:tc>
        <w:tc>
          <w:tcPr>
            <w:tcW w:w="576" w:type="pct"/>
            <w:vAlign w:val="center"/>
          </w:tcPr>
          <w:p w14:paraId="7467371C">
            <w:pPr>
              <w:widowControl/>
              <w:spacing w:line="240" w:lineRule="auto"/>
              <w:ind w:firstLine="0" w:firstLineChars="0"/>
              <w:jc w:val="center"/>
              <w:rPr>
                <w:color w:val="auto"/>
                <w:kern w:val="0"/>
                <w:sz w:val="21"/>
                <w:szCs w:val="21"/>
              </w:rPr>
            </w:pPr>
            <w:r>
              <w:rPr>
                <w:rFonts w:hint="eastAsia"/>
                <w:color w:val="auto"/>
                <w:sz w:val="21"/>
                <w:szCs w:val="21"/>
              </w:rPr>
              <w:t>外购、汽车</w:t>
            </w:r>
          </w:p>
        </w:tc>
      </w:tr>
      <w:tr w14:paraId="6DFD0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052B2E0D">
            <w:pPr>
              <w:spacing w:line="240" w:lineRule="auto"/>
              <w:ind w:firstLine="0" w:firstLineChars="0"/>
              <w:jc w:val="center"/>
              <w:rPr>
                <w:color w:val="auto"/>
                <w:sz w:val="21"/>
                <w:szCs w:val="21"/>
              </w:rPr>
            </w:pPr>
            <w:r>
              <w:rPr>
                <w:rFonts w:hint="eastAsia"/>
                <w:color w:val="auto"/>
                <w:sz w:val="21"/>
                <w:szCs w:val="21"/>
              </w:rPr>
              <w:t>2</w:t>
            </w:r>
          </w:p>
        </w:tc>
        <w:tc>
          <w:tcPr>
            <w:tcW w:w="633" w:type="pct"/>
            <w:vAlign w:val="center"/>
          </w:tcPr>
          <w:p w14:paraId="28ED5606">
            <w:pPr>
              <w:spacing w:line="240" w:lineRule="auto"/>
              <w:ind w:firstLine="0" w:firstLineChars="0"/>
              <w:jc w:val="center"/>
              <w:rPr>
                <w:color w:val="auto"/>
                <w:sz w:val="21"/>
                <w:szCs w:val="21"/>
              </w:rPr>
            </w:pPr>
            <w:r>
              <w:rPr>
                <w:rFonts w:hint="eastAsia"/>
                <w:color w:val="auto"/>
                <w:sz w:val="21"/>
                <w:szCs w:val="21"/>
              </w:rPr>
              <w:t>硫代硫酸铵</w:t>
            </w:r>
          </w:p>
        </w:tc>
        <w:tc>
          <w:tcPr>
            <w:tcW w:w="507" w:type="pct"/>
            <w:vAlign w:val="center"/>
          </w:tcPr>
          <w:p w14:paraId="08CAD35C">
            <w:pPr>
              <w:spacing w:line="240" w:lineRule="auto"/>
              <w:ind w:firstLine="0" w:firstLineChars="0"/>
              <w:jc w:val="center"/>
              <w:rPr>
                <w:color w:val="auto"/>
                <w:sz w:val="21"/>
                <w:szCs w:val="21"/>
              </w:rPr>
            </w:pPr>
            <w:r>
              <w:rPr>
                <w:rFonts w:hint="eastAsia"/>
                <w:color w:val="auto"/>
                <w:sz w:val="21"/>
                <w:szCs w:val="21"/>
              </w:rPr>
              <w:t>59%</w:t>
            </w:r>
          </w:p>
        </w:tc>
        <w:tc>
          <w:tcPr>
            <w:tcW w:w="356" w:type="pct"/>
            <w:vAlign w:val="center"/>
          </w:tcPr>
          <w:p w14:paraId="432076F7">
            <w:pPr>
              <w:pStyle w:val="35"/>
              <w:spacing w:beforeLines="0" w:after="0"/>
              <w:rPr>
                <w:rFonts w:hAnsi="Times New Roman" w:cs="Times New Roman"/>
                <w:color w:val="auto"/>
                <w:spacing w:val="-10"/>
                <w:szCs w:val="21"/>
              </w:rPr>
            </w:pPr>
            <w:r>
              <w:rPr>
                <w:rFonts w:hint="eastAsia" w:hAnsi="Times New Roman" w:cs="Times New Roman"/>
                <w:color w:val="auto"/>
                <w:spacing w:val="-10"/>
                <w:szCs w:val="21"/>
              </w:rPr>
              <w:t>液态</w:t>
            </w:r>
          </w:p>
        </w:tc>
        <w:tc>
          <w:tcPr>
            <w:tcW w:w="507" w:type="pct"/>
            <w:vAlign w:val="center"/>
          </w:tcPr>
          <w:p w14:paraId="43E31E11">
            <w:pPr>
              <w:pStyle w:val="34"/>
              <w:spacing w:beforeLines="0" w:after="0"/>
              <w:rPr>
                <w:rFonts w:hAnsi="Times New Roman" w:cs="Times New Roman"/>
                <w:color w:val="auto"/>
                <w:sz w:val="21"/>
                <w:szCs w:val="21"/>
              </w:rPr>
            </w:pPr>
          </w:p>
        </w:tc>
        <w:tc>
          <w:tcPr>
            <w:tcW w:w="598" w:type="pct"/>
            <w:vAlign w:val="center"/>
          </w:tcPr>
          <w:p w14:paraId="34C0843A">
            <w:pPr>
              <w:spacing w:line="240" w:lineRule="auto"/>
              <w:ind w:firstLine="0" w:firstLineChars="0"/>
              <w:jc w:val="center"/>
              <w:rPr>
                <w:color w:val="auto"/>
                <w:sz w:val="21"/>
                <w:szCs w:val="21"/>
              </w:rPr>
            </w:pPr>
          </w:p>
        </w:tc>
        <w:tc>
          <w:tcPr>
            <w:tcW w:w="511" w:type="pct"/>
            <w:vAlign w:val="center"/>
          </w:tcPr>
          <w:p w14:paraId="4816856C">
            <w:pPr>
              <w:spacing w:line="240" w:lineRule="auto"/>
              <w:ind w:firstLine="0" w:firstLineChars="0"/>
              <w:jc w:val="center"/>
              <w:rPr>
                <w:color w:val="auto"/>
                <w:sz w:val="21"/>
                <w:szCs w:val="21"/>
              </w:rPr>
            </w:pPr>
          </w:p>
        </w:tc>
        <w:tc>
          <w:tcPr>
            <w:tcW w:w="443" w:type="pct"/>
            <w:vAlign w:val="center"/>
          </w:tcPr>
          <w:p w14:paraId="62CDB841">
            <w:pPr>
              <w:spacing w:line="240" w:lineRule="auto"/>
              <w:ind w:firstLine="0" w:firstLineChars="0"/>
              <w:jc w:val="center"/>
              <w:rPr>
                <w:color w:val="auto"/>
                <w:sz w:val="21"/>
                <w:szCs w:val="21"/>
              </w:rPr>
            </w:pPr>
            <w:r>
              <w:rPr>
                <w:rFonts w:hint="eastAsia"/>
                <w:color w:val="auto"/>
                <w:sz w:val="21"/>
                <w:szCs w:val="21"/>
              </w:rPr>
              <w:t>吨桶</w:t>
            </w:r>
          </w:p>
        </w:tc>
        <w:tc>
          <w:tcPr>
            <w:tcW w:w="614" w:type="pct"/>
            <w:vAlign w:val="center"/>
          </w:tcPr>
          <w:p w14:paraId="3CFEA3FB">
            <w:pPr>
              <w:spacing w:line="240" w:lineRule="auto"/>
              <w:ind w:firstLine="0" w:firstLineChars="0"/>
              <w:jc w:val="center"/>
              <w:rPr>
                <w:color w:val="auto"/>
                <w:sz w:val="21"/>
                <w:szCs w:val="21"/>
              </w:rPr>
            </w:pPr>
            <w:r>
              <w:rPr>
                <w:rFonts w:hint="eastAsia"/>
                <w:color w:val="auto"/>
                <w:sz w:val="21"/>
                <w:szCs w:val="21"/>
              </w:rPr>
              <w:t>丙类仓库</w:t>
            </w:r>
          </w:p>
        </w:tc>
        <w:tc>
          <w:tcPr>
            <w:tcW w:w="576" w:type="pct"/>
            <w:vAlign w:val="center"/>
          </w:tcPr>
          <w:p w14:paraId="4D8D69FE">
            <w:pPr>
              <w:widowControl/>
              <w:spacing w:line="240" w:lineRule="auto"/>
              <w:ind w:firstLine="0" w:firstLineChars="0"/>
              <w:jc w:val="center"/>
              <w:rPr>
                <w:color w:val="auto"/>
                <w:kern w:val="0"/>
                <w:sz w:val="21"/>
                <w:szCs w:val="21"/>
              </w:rPr>
            </w:pPr>
            <w:r>
              <w:rPr>
                <w:rFonts w:hint="eastAsia"/>
                <w:color w:val="auto"/>
                <w:sz w:val="21"/>
                <w:szCs w:val="21"/>
              </w:rPr>
              <w:t>外购、汽车</w:t>
            </w:r>
          </w:p>
        </w:tc>
      </w:tr>
      <w:tr w14:paraId="540AC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14:paraId="0E669D38">
            <w:pPr>
              <w:widowControl/>
              <w:spacing w:line="240" w:lineRule="auto"/>
              <w:ind w:firstLine="0" w:firstLineChars="0"/>
              <w:jc w:val="center"/>
              <w:rPr>
                <w:color w:val="auto"/>
                <w:kern w:val="0"/>
                <w:sz w:val="21"/>
                <w:szCs w:val="21"/>
              </w:rPr>
            </w:pPr>
            <w:r>
              <w:rPr>
                <w:rFonts w:hint="eastAsia"/>
                <w:b/>
                <w:bCs/>
                <w:color w:val="auto"/>
                <w:kern w:val="0"/>
                <w:sz w:val="21"/>
                <w:szCs w:val="21"/>
              </w:rPr>
              <w:t>硫代硫酸镁</w:t>
            </w:r>
          </w:p>
        </w:tc>
      </w:tr>
      <w:tr w14:paraId="5AA4C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4A0428DA">
            <w:pPr>
              <w:spacing w:line="240" w:lineRule="auto"/>
              <w:ind w:firstLine="0" w:firstLineChars="0"/>
              <w:jc w:val="center"/>
              <w:rPr>
                <w:color w:val="auto"/>
                <w:sz w:val="21"/>
                <w:szCs w:val="21"/>
              </w:rPr>
            </w:pPr>
            <w:r>
              <w:rPr>
                <w:rFonts w:hint="eastAsia"/>
                <w:color w:val="auto"/>
                <w:sz w:val="21"/>
                <w:szCs w:val="21"/>
              </w:rPr>
              <w:t>1</w:t>
            </w:r>
          </w:p>
        </w:tc>
        <w:tc>
          <w:tcPr>
            <w:tcW w:w="633" w:type="pct"/>
            <w:vAlign w:val="center"/>
          </w:tcPr>
          <w:p w14:paraId="50C12266">
            <w:pPr>
              <w:spacing w:line="240" w:lineRule="auto"/>
              <w:ind w:firstLine="0" w:firstLineChars="0"/>
              <w:jc w:val="center"/>
              <w:rPr>
                <w:color w:val="auto"/>
                <w:sz w:val="21"/>
                <w:szCs w:val="21"/>
              </w:rPr>
            </w:pPr>
            <w:r>
              <w:rPr>
                <w:rFonts w:hint="eastAsia"/>
                <w:color w:val="auto"/>
                <w:sz w:val="21"/>
                <w:szCs w:val="21"/>
              </w:rPr>
              <w:t>碳酸镁</w:t>
            </w:r>
          </w:p>
        </w:tc>
        <w:tc>
          <w:tcPr>
            <w:tcW w:w="507" w:type="pct"/>
            <w:vAlign w:val="center"/>
          </w:tcPr>
          <w:p w14:paraId="7699E332">
            <w:pPr>
              <w:spacing w:line="240" w:lineRule="auto"/>
              <w:ind w:firstLine="0" w:firstLineChars="0"/>
              <w:jc w:val="center"/>
              <w:rPr>
                <w:color w:val="auto"/>
                <w:sz w:val="21"/>
                <w:szCs w:val="21"/>
              </w:rPr>
            </w:pPr>
            <w:r>
              <w:rPr>
                <w:rFonts w:hint="eastAsia"/>
                <w:color w:val="auto"/>
                <w:sz w:val="21"/>
                <w:szCs w:val="21"/>
              </w:rPr>
              <w:t>99.99%</w:t>
            </w:r>
          </w:p>
        </w:tc>
        <w:tc>
          <w:tcPr>
            <w:tcW w:w="356" w:type="pct"/>
            <w:vAlign w:val="center"/>
          </w:tcPr>
          <w:p w14:paraId="3E3D55C3">
            <w:pPr>
              <w:pStyle w:val="35"/>
              <w:spacing w:beforeLines="0" w:after="0"/>
              <w:rPr>
                <w:rFonts w:hAnsi="Times New Roman" w:cs="Times New Roman"/>
                <w:color w:val="auto"/>
                <w:spacing w:val="-10"/>
                <w:szCs w:val="21"/>
              </w:rPr>
            </w:pPr>
            <w:r>
              <w:rPr>
                <w:rFonts w:hint="eastAsia" w:hAnsi="Times New Roman" w:cs="Times New Roman"/>
                <w:color w:val="auto"/>
                <w:spacing w:val="-10"/>
                <w:szCs w:val="21"/>
              </w:rPr>
              <w:t>固态</w:t>
            </w:r>
          </w:p>
        </w:tc>
        <w:tc>
          <w:tcPr>
            <w:tcW w:w="507" w:type="pct"/>
            <w:vAlign w:val="center"/>
          </w:tcPr>
          <w:p w14:paraId="6B9A6ED3">
            <w:pPr>
              <w:pStyle w:val="34"/>
              <w:spacing w:beforeLines="0" w:after="0"/>
              <w:rPr>
                <w:rFonts w:hAnsi="Times New Roman" w:cs="Times New Roman"/>
                <w:color w:val="auto"/>
                <w:sz w:val="21"/>
                <w:szCs w:val="21"/>
              </w:rPr>
            </w:pPr>
          </w:p>
        </w:tc>
        <w:tc>
          <w:tcPr>
            <w:tcW w:w="598" w:type="pct"/>
            <w:vAlign w:val="center"/>
          </w:tcPr>
          <w:p w14:paraId="24B3661B">
            <w:pPr>
              <w:spacing w:line="240" w:lineRule="auto"/>
              <w:ind w:firstLine="0" w:firstLineChars="0"/>
              <w:jc w:val="center"/>
              <w:rPr>
                <w:color w:val="auto"/>
                <w:sz w:val="21"/>
                <w:szCs w:val="21"/>
              </w:rPr>
            </w:pPr>
          </w:p>
        </w:tc>
        <w:tc>
          <w:tcPr>
            <w:tcW w:w="511" w:type="pct"/>
            <w:vAlign w:val="center"/>
          </w:tcPr>
          <w:p w14:paraId="4CACC597">
            <w:pPr>
              <w:spacing w:line="240" w:lineRule="auto"/>
              <w:ind w:firstLine="0" w:firstLineChars="0"/>
              <w:jc w:val="center"/>
              <w:rPr>
                <w:color w:val="auto"/>
                <w:sz w:val="21"/>
                <w:szCs w:val="21"/>
              </w:rPr>
            </w:pPr>
          </w:p>
        </w:tc>
        <w:tc>
          <w:tcPr>
            <w:tcW w:w="443" w:type="pct"/>
            <w:vAlign w:val="center"/>
          </w:tcPr>
          <w:p w14:paraId="748EC36E">
            <w:pPr>
              <w:spacing w:line="240" w:lineRule="auto"/>
              <w:ind w:firstLine="0" w:firstLineChars="0"/>
              <w:jc w:val="center"/>
              <w:rPr>
                <w:color w:val="auto"/>
                <w:sz w:val="21"/>
                <w:szCs w:val="21"/>
              </w:rPr>
            </w:pPr>
            <w:r>
              <w:rPr>
                <w:rFonts w:hint="eastAsia"/>
                <w:color w:val="auto"/>
                <w:sz w:val="21"/>
                <w:szCs w:val="21"/>
              </w:rPr>
              <w:t>袋装</w:t>
            </w:r>
          </w:p>
        </w:tc>
        <w:tc>
          <w:tcPr>
            <w:tcW w:w="614" w:type="pct"/>
            <w:vAlign w:val="center"/>
          </w:tcPr>
          <w:p w14:paraId="6A182F09">
            <w:pPr>
              <w:spacing w:line="240" w:lineRule="auto"/>
              <w:ind w:firstLine="0" w:firstLineChars="0"/>
              <w:jc w:val="center"/>
              <w:rPr>
                <w:color w:val="auto"/>
                <w:sz w:val="21"/>
                <w:szCs w:val="21"/>
              </w:rPr>
            </w:pPr>
            <w:r>
              <w:rPr>
                <w:rFonts w:hint="eastAsia"/>
                <w:color w:val="auto"/>
                <w:sz w:val="21"/>
                <w:szCs w:val="21"/>
              </w:rPr>
              <w:t>丙类仓库</w:t>
            </w:r>
          </w:p>
        </w:tc>
        <w:tc>
          <w:tcPr>
            <w:tcW w:w="576" w:type="pct"/>
            <w:vAlign w:val="center"/>
          </w:tcPr>
          <w:p w14:paraId="5C5F1EF0">
            <w:pPr>
              <w:widowControl/>
              <w:spacing w:line="240" w:lineRule="auto"/>
              <w:ind w:firstLine="0" w:firstLineChars="0"/>
              <w:jc w:val="center"/>
              <w:rPr>
                <w:color w:val="auto"/>
                <w:kern w:val="0"/>
                <w:sz w:val="21"/>
                <w:szCs w:val="21"/>
              </w:rPr>
            </w:pPr>
            <w:r>
              <w:rPr>
                <w:rFonts w:hint="eastAsia"/>
                <w:color w:val="auto"/>
                <w:sz w:val="21"/>
                <w:szCs w:val="21"/>
              </w:rPr>
              <w:t>外购、汽车</w:t>
            </w:r>
          </w:p>
        </w:tc>
      </w:tr>
      <w:tr w14:paraId="77D5E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50" w:type="pct"/>
            <w:vAlign w:val="center"/>
          </w:tcPr>
          <w:p w14:paraId="77D9721C">
            <w:pPr>
              <w:spacing w:line="240" w:lineRule="auto"/>
              <w:ind w:firstLine="0" w:firstLineChars="0"/>
              <w:jc w:val="center"/>
              <w:rPr>
                <w:color w:val="auto"/>
                <w:sz w:val="21"/>
                <w:szCs w:val="21"/>
              </w:rPr>
            </w:pPr>
            <w:r>
              <w:rPr>
                <w:rFonts w:hint="eastAsia"/>
                <w:color w:val="auto"/>
                <w:sz w:val="21"/>
                <w:szCs w:val="21"/>
              </w:rPr>
              <w:t>2</w:t>
            </w:r>
          </w:p>
        </w:tc>
        <w:tc>
          <w:tcPr>
            <w:tcW w:w="633" w:type="pct"/>
            <w:vAlign w:val="center"/>
          </w:tcPr>
          <w:p w14:paraId="4D377C3D">
            <w:pPr>
              <w:spacing w:line="240" w:lineRule="auto"/>
              <w:ind w:firstLine="0" w:firstLineChars="0"/>
              <w:jc w:val="center"/>
              <w:rPr>
                <w:color w:val="auto"/>
                <w:sz w:val="21"/>
                <w:szCs w:val="21"/>
              </w:rPr>
            </w:pPr>
            <w:r>
              <w:rPr>
                <w:rFonts w:hint="eastAsia"/>
                <w:color w:val="auto"/>
                <w:sz w:val="21"/>
                <w:szCs w:val="21"/>
              </w:rPr>
              <w:t>二氧化硫</w:t>
            </w:r>
          </w:p>
        </w:tc>
        <w:tc>
          <w:tcPr>
            <w:tcW w:w="507" w:type="pct"/>
            <w:vAlign w:val="center"/>
          </w:tcPr>
          <w:p w14:paraId="6FF31DC9">
            <w:pPr>
              <w:spacing w:line="240" w:lineRule="auto"/>
              <w:ind w:firstLine="0" w:firstLineChars="0"/>
              <w:jc w:val="center"/>
              <w:rPr>
                <w:color w:val="auto"/>
                <w:sz w:val="21"/>
                <w:szCs w:val="21"/>
              </w:rPr>
            </w:pPr>
            <w:r>
              <w:rPr>
                <w:rFonts w:hint="eastAsia"/>
                <w:color w:val="auto"/>
                <w:sz w:val="21"/>
                <w:szCs w:val="21"/>
              </w:rPr>
              <w:t>99.99%</w:t>
            </w:r>
          </w:p>
        </w:tc>
        <w:tc>
          <w:tcPr>
            <w:tcW w:w="356" w:type="pct"/>
            <w:vAlign w:val="center"/>
          </w:tcPr>
          <w:p w14:paraId="04AD6FED">
            <w:pPr>
              <w:pStyle w:val="35"/>
              <w:spacing w:beforeLines="0" w:after="0"/>
              <w:rPr>
                <w:rFonts w:hAnsi="Times New Roman" w:cs="Times New Roman"/>
                <w:color w:val="auto"/>
                <w:spacing w:val="-10"/>
                <w:szCs w:val="21"/>
              </w:rPr>
            </w:pPr>
            <w:r>
              <w:rPr>
                <w:rFonts w:hint="eastAsia" w:hAnsi="Times New Roman" w:cs="Times New Roman"/>
                <w:color w:val="auto"/>
                <w:spacing w:val="-10"/>
                <w:szCs w:val="21"/>
              </w:rPr>
              <w:t>气态</w:t>
            </w:r>
          </w:p>
        </w:tc>
        <w:tc>
          <w:tcPr>
            <w:tcW w:w="507" w:type="pct"/>
            <w:vAlign w:val="center"/>
          </w:tcPr>
          <w:p w14:paraId="3A528862">
            <w:pPr>
              <w:pStyle w:val="34"/>
              <w:spacing w:beforeLines="0" w:after="0"/>
              <w:rPr>
                <w:rFonts w:hAnsi="Times New Roman" w:cs="Times New Roman"/>
                <w:color w:val="auto"/>
                <w:sz w:val="21"/>
                <w:szCs w:val="21"/>
              </w:rPr>
            </w:pPr>
          </w:p>
        </w:tc>
        <w:tc>
          <w:tcPr>
            <w:tcW w:w="598" w:type="pct"/>
            <w:vAlign w:val="center"/>
          </w:tcPr>
          <w:p w14:paraId="09938397">
            <w:pPr>
              <w:spacing w:line="240" w:lineRule="auto"/>
              <w:ind w:firstLine="0" w:firstLineChars="0"/>
              <w:jc w:val="center"/>
              <w:rPr>
                <w:color w:val="auto"/>
                <w:sz w:val="21"/>
                <w:szCs w:val="21"/>
              </w:rPr>
            </w:pPr>
          </w:p>
        </w:tc>
        <w:tc>
          <w:tcPr>
            <w:tcW w:w="511" w:type="pct"/>
            <w:vAlign w:val="center"/>
          </w:tcPr>
          <w:p w14:paraId="37B11E24">
            <w:pPr>
              <w:spacing w:line="240" w:lineRule="auto"/>
              <w:ind w:firstLine="0" w:firstLineChars="0"/>
              <w:jc w:val="center"/>
              <w:rPr>
                <w:color w:val="auto"/>
                <w:sz w:val="21"/>
                <w:szCs w:val="21"/>
              </w:rPr>
            </w:pPr>
          </w:p>
        </w:tc>
        <w:tc>
          <w:tcPr>
            <w:tcW w:w="443" w:type="pct"/>
            <w:vAlign w:val="center"/>
          </w:tcPr>
          <w:p w14:paraId="4B8FF567">
            <w:pPr>
              <w:spacing w:line="240" w:lineRule="auto"/>
              <w:ind w:firstLine="0" w:firstLineChars="0"/>
              <w:jc w:val="center"/>
              <w:rPr>
                <w:color w:val="auto"/>
                <w:sz w:val="21"/>
                <w:szCs w:val="21"/>
              </w:rPr>
            </w:pPr>
            <w:r>
              <w:rPr>
                <w:rFonts w:hint="eastAsia"/>
                <w:color w:val="auto"/>
                <w:sz w:val="21"/>
                <w:szCs w:val="21"/>
              </w:rPr>
              <w:t>/</w:t>
            </w:r>
          </w:p>
        </w:tc>
        <w:tc>
          <w:tcPr>
            <w:tcW w:w="614" w:type="pct"/>
            <w:vAlign w:val="center"/>
          </w:tcPr>
          <w:p w14:paraId="2FE17672">
            <w:pPr>
              <w:spacing w:line="240" w:lineRule="auto"/>
              <w:ind w:firstLine="0" w:firstLineChars="0"/>
              <w:jc w:val="center"/>
              <w:rPr>
                <w:color w:val="auto"/>
                <w:sz w:val="21"/>
                <w:szCs w:val="21"/>
              </w:rPr>
            </w:pPr>
            <w:r>
              <w:rPr>
                <w:rFonts w:hint="eastAsia"/>
                <w:color w:val="auto"/>
                <w:sz w:val="21"/>
                <w:szCs w:val="21"/>
              </w:rPr>
              <w:t>亚铵车间中间产物</w:t>
            </w:r>
          </w:p>
        </w:tc>
        <w:tc>
          <w:tcPr>
            <w:tcW w:w="576" w:type="pct"/>
            <w:vAlign w:val="center"/>
          </w:tcPr>
          <w:p w14:paraId="4A89B966">
            <w:pPr>
              <w:widowControl/>
              <w:spacing w:line="240" w:lineRule="auto"/>
              <w:ind w:firstLine="0" w:firstLineChars="0"/>
              <w:jc w:val="center"/>
              <w:rPr>
                <w:color w:val="auto"/>
                <w:kern w:val="0"/>
                <w:sz w:val="21"/>
                <w:szCs w:val="21"/>
              </w:rPr>
            </w:pPr>
            <w:r>
              <w:rPr>
                <w:rFonts w:hint="eastAsia"/>
                <w:color w:val="auto"/>
                <w:kern w:val="0"/>
                <w:sz w:val="21"/>
                <w:szCs w:val="21"/>
              </w:rPr>
              <w:t>管道</w:t>
            </w:r>
          </w:p>
        </w:tc>
      </w:tr>
      <w:tr w14:paraId="3D5C3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1C1E7BC4">
            <w:pPr>
              <w:spacing w:line="240" w:lineRule="auto"/>
              <w:ind w:firstLine="0" w:firstLineChars="0"/>
              <w:jc w:val="center"/>
              <w:rPr>
                <w:color w:val="auto"/>
                <w:sz w:val="21"/>
                <w:szCs w:val="21"/>
              </w:rPr>
            </w:pPr>
            <w:r>
              <w:rPr>
                <w:rFonts w:hint="eastAsia"/>
                <w:color w:val="auto"/>
                <w:sz w:val="21"/>
                <w:szCs w:val="21"/>
              </w:rPr>
              <w:t>3</w:t>
            </w:r>
          </w:p>
        </w:tc>
        <w:tc>
          <w:tcPr>
            <w:tcW w:w="633" w:type="pct"/>
            <w:vAlign w:val="center"/>
          </w:tcPr>
          <w:p w14:paraId="023E3ABA">
            <w:pPr>
              <w:pStyle w:val="34"/>
              <w:spacing w:beforeLines="0" w:after="0"/>
              <w:rPr>
                <w:rFonts w:hAnsi="Times New Roman" w:cs="Times New Roman"/>
                <w:color w:val="auto"/>
                <w:sz w:val="21"/>
                <w:szCs w:val="21"/>
              </w:rPr>
            </w:pPr>
            <w:r>
              <w:rPr>
                <w:rFonts w:hint="eastAsia" w:hAnsi="Times New Roman" w:cs="Times New Roman"/>
                <w:color w:val="auto"/>
                <w:sz w:val="21"/>
                <w:szCs w:val="21"/>
              </w:rPr>
              <w:t>硫磺</w:t>
            </w:r>
          </w:p>
        </w:tc>
        <w:tc>
          <w:tcPr>
            <w:tcW w:w="507" w:type="pct"/>
            <w:vAlign w:val="center"/>
          </w:tcPr>
          <w:p w14:paraId="561B6532">
            <w:pPr>
              <w:pStyle w:val="34"/>
              <w:spacing w:beforeLines="0" w:after="0"/>
              <w:rPr>
                <w:rFonts w:hAnsi="Times New Roman" w:cs="Times New Roman"/>
                <w:color w:val="auto"/>
                <w:sz w:val="21"/>
                <w:szCs w:val="21"/>
              </w:rPr>
            </w:pPr>
            <w:r>
              <w:rPr>
                <w:rFonts w:hint="eastAsia" w:hAnsi="Times New Roman" w:cs="Times New Roman"/>
                <w:color w:val="auto"/>
                <w:sz w:val="21"/>
                <w:szCs w:val="21"/>
              </w:rPr>
              <w:t>99.5%</w:t>
            </w:r>
          </w:p>
        </w:tc>
        <w:tc>
          <w:tcPr>
            <w:tcW w:w="356" w:type="pct"/>
            <w:vAlign w:val="center"/>
          </w:tcPr>
          <w:p w14:paraId="5035A91D">
            <w:pPr>
              <w:pStyle w:val="34"/>
              <w:spacing w:beforeLines="0" w:after="0"/>
              <w:rPr>
                <w:rFonts w:hAnsi="Times New Roman" w:cs="Times New Roman"/>
                <w:color w:val="auto"/>
                <w:szCs w:val="21"/>
              </w:rPr>
            </w:pPr>
            <w:r>
              <w:rPr>
                <w:rFonts w:hint="eastAsia" w:hAnsi="Times New Roman" w:cs="Times New Roman"/>
                <w:color w:val="auto"/>
                <w:sz w:val="21"/>
                <w:szCs w:val="21"/>
              </w:rPr>
              <w:t>固态</w:t>
            </w:r>
          </w:p>
        </w:tc>
        <w:tc>
          <w:tcPr>
            <w:tcW w:w="507" w:type="pct"/>
            <w:vAlign w:val="center"/>
          </w:tcPr>
          <w:p w14:paraId="6301A443">
            <w:pPr>
              <w:pStyle w:val="34"/>
              <w:spacing w:beforeLines="0" w:after="0"/>
              <w:rPr>
                <w:rFonts w:hAnsi="Times New Roman" w:cs="Times New Roman"/>
                <w:color w:val="auto"/>
                <w:sz w:val="21"/>
                <w:szCs w:val="21"/>
              </w:rPr>
            </w:pPr>
          </w:p>
        </w:tc>
        <w:tc>
          <w:tcPr>
            <w:tcW w:w="598" w:type="pct"/>
            <w:vAlign w:val="center"/>
          </w:tcPr>
          <w:p w14:paraId="1A1C52D4">
            <w:pPr>
              <w:spacing w:line="240" w:lineRule="auto"/>
              <w:ind w:firstLine="0" w:firstLineChars="0"/>
              <w:jc w:val="center"/>
              <w:rPr>
                <w:color w:val="auto"/>
                <w:sz w:val="21"/>
                <w:szCs w:val="21"/>
              </w:rPr>
            </w:pPr>
          </w:p>
        </w:tc>
        <w:tc>
          <w:tcPr>
            <w:tcW w:w="511" w:type="pct"/>
            <w:vAlign w:val="center"/>
          </w:tcPr>
          <w:p w14:paraId="11D17AA0">
            <w:pPr>
              <w:spacing w:line="240" w:lineRule="auto"/>
              <w:ind w:firstLine="0" w:firstLineChars="0"/>
              <w:jc w:val="center"/>
              <w:rPr>
                <w:color w:val="auto"/>
                <w:sz w:val="21"/>
                <w:szCs w:val="21"/>
              </w:rPr>
            </w:pPr>
          </w:p>
        </w:tc>
        <w:tc>
          <w:tcPr>
            <w:tcW w:w="443" w:type="pct"/>
            <w:vAlign w:val="center"/>
          </w:tcPr>
          <w:p w14:paraId="1220A58F">
            <w:pPr>
              <w:pStyle w:val="34"/>
              <w:spacing w:beforeLines="0" w:after="0"/>
              <w:rPr>
                <w:rFonts w:hAnsi="Times New Roman" w:cs="Times New Roman"/>
                <w:color w:val="auto"/>
                <w:sz w:val="21"/>
                <w:szCs w:val="21"/>
              </w:rPr>
            </w:pPr>
            <w:r>
              <w:rPr>
                <w:rFonts w:hint="eastAsia" w:hAnsi="Times New Roman" w:cs="Times New Roman"/>
                <w:color w:val="auto"/>
                <w:sz w:val="21"/>
                <w:szCs w:val="21"/>
              </w:rPr>
              <w:t>袋装</w:t>
            </w:r>
          </w:p>
        </w:tc>
        <w:tc>
          <w:tcPr>
            <w:tcW w:w="614" w:type="pct"/>
            <w:vAlign w:val="center"/>
          </w:tcPr>
          <w:p w14:paraId="61AA1A64">
            <w:pPr>
              <w:pStyle w:val="34"/>
              <w:spacing w:beforeLines="0" w:after="0"/>
              <w:rPr>
                <w:rFonts w:hAnsi="Times New Roman" w:cs="Times New Roman"/>
                <w:color w:val="auto"/>
                <w:sz w:val="21"/>
                <w:szCs w:val="21"/>
              </w:rPr>
            </w:pPr>
            <w:r>
              <w:rPr>
                <w:rFonts w:hint="eastAsia" w:hAnsi="Times New Roman" w:cs="Times New Roman"/>
                <w:color w:val="auto"/>
                <w:sz w:val="21"/>
                <w:szCs w:val="21"/>
              </w:rPr>
              <w:t>丙类仓库</w:t>
            </w:r>
          </w:p>
        </w:tc>
        <w:tc>
          <w:tcPr>
            <w:tcW w:w="576" w:type="pct"/>
            <w:vAlign w:val="center"/>
          </w:tcPr>
          <w:p w14:paraId="74879208">
            <w:pPr>
              <w:widowControl/>
              <w:spacing w:line="240" w:lineRule="auto"/>
              <w:ind w:firstLine="0" w:firstLineChars="0"/>
              <w:jc w:val="center"/>
              <w:rPr>
                <w:color w:val="auto"/>
                <w:kern w:val="0"/>
                <w:sz w:val="21"/>
                <w:szCs w:val="21"/>
              </w:rPr>
            </w:pPr>
            <w:r>
              <w:rPr>
                <w:rFonts w:hint="eastAsia"/>
                <w:color w:val="auto"/>
                <w:sz w:val="21"/>
                <w:szCs w:val="21"/>
              </w:rPr>
              <w:t>外购、汽车</w:t>
            </w:r>
          </w:p>
        </w:tc>
      </w:tr>
      <w:tr w14:paraId="4E805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14:paraId="7E581E7F">
            <w:pPr>
              <w:widowControl/>
              <w:spacing w:line="240" w:lineRule="auto"/>
              <w:ind w:firstLine="0" w:firstLineChars="0"/>
              <w:jc w:val="center"/>
              <w:rPr>
                <w:color w:val="auto"/>
                <w:kern w:val="0"/>
                <w:sz w:val="21"/>
                <w:szCs w:val="21"/>
              </w:rPr>
            </w:pPr>
            <w:r>
              <w:rPr>
                <w:rFonts w:hint="eastAsia"/>
                <w:b/>
                <w:bCs/>
                <w:color w:val="auto"/>
                <w:kern w:val="0"/>
                <w:sz w:val="21"/>
                <w:szCs w:val="21"/>
              </w:rPr>
              <w:t>硫代硫酸钾</w:t>
            </w:r>
          </w:p>
        </w:tc>
      </w:tr>
      <w:tr w14:paraId="5BD70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137F86CE">
            <w:pPr>
              <w:spacing w:line="240" w:lineRule="auto"/>
              <w:ind w:firstLine="0" w:firstLineChars="0"/>
              <w:jc w:val="center"/>
              <w:rPr>
                <w:color w:val="auto"/>
                <w:sz w:val="21"/>
                <w:szCs w:val="21"/>
              </w:rPr>
            </w:pPr>
            <w:r>
              <w:rPr>
                <w:rFonts w:hint="eastAsia"/>
                <w:color w:val="auto"/>
                <w:sz w:val="21"/>
                <w:szCs w:val="21"/>
              </w:rPr>
              <w:t>1</w:t>
            </w:r>
          </w:p>
        </w:tc>
        <w:tc>
          <w:tcPr>
            <w:tcW w:w="633" w:type="pct"/>
            <w:vAlign w:val="center"/>
          </w:tcPr>
          <w:p w14:paraId="460E80F1">
            <w:pPr>
              <w:spacing w:line="240" w:lineRule="auto"/>
              <w:ind w:firstLine="0" w:firstLineChars="0"/>
              <w:jc w:val="center"/>
              <w:rPr>
                <w:color w:val="auto"/>
                <w:sz w:val="21"/>
                <w:szCs w:val="21"/>
              </w:rPr>
            </w:pPr>
            <w:r>
              <w:rPr>
                <w:rFonts w:hint="eastAsia"/>
                <w:color w:val="auto"/>
                <w:sz w:val="21"/>
                <w:szCs w:val="21"/>
              </w:rPr>
              <w:t>亚硫酸钾</w:t>
            </w:r>
          </w:p>
        </w:tc>
        <w:tc>
          <w:tcPr>
            <w:tcW w:w="507" w:type="pct"/>
            <w:vAlign w:val="center"/>
          </w:tcPr>
          <w:p w14:paraId="1F2E6F50">
            <w:pPr>
              <w:spacing w:line="240" w:lineRule="auto"/>
              <w:ind w:firstLine="0" w:firstLineChars="0"/>
              <w:jc w:val="center"/>
              <w:rPr>
                <w:color w:val="auto"/>
                <w:sz w:val="21"/>
                <w:szCs w:val="21"/>
              </w:rPr>
            </w:pPr>
            <w:r>
              <w:rPr>
                <w:rFonts w:hint="eastAsia"/>
                <w:color w:val="auto"/>
                <w:sz w:val="21"/>
                <w:szCs w:val="21"/>
              </w:rPr>
              <w:t>46%</w:t>
            </w:r>
          </w:p>
        </w:tc>
        <w:tc>
          <w:tcPr>
            <w:tcW w:w="356" w:type="pct"/>
            <w:vAlign w:val="center"/>
          </w:tcPr>
          <w:p w14:paraId="1216F67B">
            <w:pPr>
              <w:pStyle w:val="35"/>
              <w:spacing w:beforeLines="0" w:after="0"/>
              <w:rPr>
                <w:rFonts w:hAnsi="Times New Roman" w:cs="Times New Roman"/>
                <w:color w:val="auto"/>
                <w:spacing w:val="-10"/>
                <w:szCs w:val="21"/>
              </w:rPr>
            </w:pPr>
            <w:r>
              <w:rPr>
                <w:rFonts w:hint="eastAsia" w:hAnsi="Times New Roman" w:cs="Times New Roman"/>
                <w:color w:val="auto"/>
                <w:spacing w:val="-10"/>
                <w:szCs w:val="21"/>
              </w:rPr>
              <w:t>液态</w:t>
            </w:r>
          </w:p>
        </w:tc>
        <w:tc>
          <w:tcPr>
            <w:tcW w:w="507" w:type="pct"/>
            <w:vAlign w:val="center"/>
          </w:tcPr>
          <w:p w14:paraId="372D7613">
            <w:pPr>
              <w:pStyle w:val="34"/>
              <w:spacing w:beforeLines="0" w:after="0"/>
              <w:rPr>
                <w:rFonts w:hAnsi="Times New Roman" w:cs="Times New Roman"/>
                <w:color w:val="auto"/>
                <w:sz w:val="21"/>
                <w:szCs w:val="21"/>
              </w:rPr>
            </w:pPr>
          </w:p>
        </w:tc>
        <w:tc>
          <w:tcPr>
            <w:tcW w:w="598" w:type="pct"/>
            <w:vAlign w:val="center"/>
          </w:tcPr>
          <w:p w14:paraId="7D2115EF">
            <w:pPr>
              <w:spacing w:line="240" w:lineRule="auto"/>
              <w:ind w:firstLine="0" w:firstLineChars="0"/>
              <w:jc w:val="center"/>
              <w:rPr>
                <w:color w:val="auto"/>
                <w:sz w:val="21"/>
                <w:szCs w:val="21"/>
              </w:rPr>
            </w:pPr>
          </w:p>
        </w:tc>
        <w:tc>
          <w:tcPr>
            <w:tcW w:w="511" w:type="pct"/>
            <w:vAlign w:val="center"/>
          </w:tcPr>
          <w:p w14:paraId="6A4BECC3">
            <w:pPr>
              <w:spacing w:line="240" w:lineRule="auto"/>
              <w:ind w:firstLine="0" w:firstLineChars="0"/>
              <w:jc w:val="center"/>
              <w:rPr>
                <w:color w:val="auto"/>
                <w:sz w:val="21"/>
                <w:szCs w:val="21"/>
              </w:rPr>
            </w:pPr>
          </w:p>
        </w:tc>
        <w:tc>
          <w:tcPr>
            <w:tcW w:w="443" w:type="pct"/>
            <w:vAlign w:val="center"/>
          </w:tcPr>
          <w:p w14:paraId="7AF6CAF5">
            <w:pPr>
              <w:spacing w:line="240" w:lineRule="auto"/>
              <w:ind w:firstLine="0" w:firstLineChars="0"/>
              <w:jc w:val="center"/>
              <w:rPr>
                <w:color w:val="auto"/>
                <w:sz w:val="21"/>
                <w:szCs w:val="21"/>
              </w:rPr>
            </w:pPr>
            <w:r>
              <w:rPr>
                <w:rFonts w:hint="eastAsia"/>
                <w:color w:val="auto"/>
                <w:sz w:val="21"/>
                <w:szCs w:val="21"/>
              </w:rPr>
              <w:t>吨桶</w:t>
            </w:r>
          </w:p>
        </w:tc>
        <w:tc>
          <w:tcPr>
            <w:tcW w:w="614" w:type="pct"/>
            <w:vAlign w:val="center"/>
          </w:tcPr>
          <w:p w14:paraId="584886EF">
            <w:pPr>
              <w:spacing w:line="240" w:lineRule="auto"/>
              <w:ind w:firstLine="0" w:firstLineChars="0"/>
              <w:jc w:val="center"/>
              <w:rPr>
                <w:color w:val="auto"/>
                <w:sz w:val="21"/>
                <w:szCs w:val="21"/>
              </w:rPr>
            </w:pPr>
            <w:r>
              <w:rPr>
                <w:rFonts w:hint="eastAsia"/>
                <w:color w:val="auto"/>
                <w:sz w:val="21"/>
                <w:szCs w:val="21"/>
              </w:rPr>
              <w:t>丙类仓库</w:t>
            </w:r>
          </w:p>
        </w:tc>
        <w:tc>
          <w:tcPr>
            <w:tcW w:w="576" w:type="pct"/>
            <w:vAlign w:val="center"/>
          </w:tcPr>
          <w:p w14:paraId="3F4AE1A5">
            <w:pPr>
              <w:widowControl/>
              <w:spacing w:line="240" w:lineRule="auto"/>
              <w:ind w:firstLine="0" w:firstLineChars="0"/>
              <w:jc w:val="center"/>
              <w:rPr>
                <w:color w:val="auto"/>
                <w:kern w:val="0"/>
                <w:sz w:val="21"/>
                <w:szCs w:val="21"/>
              </w:rPr>
            </w:pPr>
            <w:r>
              <w:rPr>
                <w:rFonts w:hint="eastAsia"/>
                <w:color w:val="auto"/>
                <w:kern w:val="0"/>
                <w:sz w:val="21"/>
                <w:szCs w:val="21"/>
              </w:rPr>
              <w:t>自产</w:t>
            </w:r>
          </w:p>
        </w:tc>
      </w:tr>
      <w:tr w14:paraId="38237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65B2777A">
            <w:pPr>
              <w:spacing w:line="240" w:lineRule="auto"/>
              <w:ind w:firstLine="0" w:firstLineChars="0"/>
              <w:jc w:val="center"/>
              <w:rPr>
                <w:color w:val="auto"/>
                <w:sz w:val="21"/>
                <w:szCs w:val="21"/>
              </w:rPr>
            </w:pPr>
            <w:r>
              <w:rPr>
                <w:rFonts w:hint="eastAsia"/>
                <w:color w:val="auto"/>
                <w:sz w:val="21"/>
                <w:szCs w:val="21"/>
              </w:rPr>
              <w:t>2</w:t>
            </w:r>
          </w:p>
        </w:tc>
        <w:tc>
          <w:tcPr>
            <w:tcW w:w="633" w:type="pct"/>
            <w:vAlign w:val="center"/>
          </w:tcPr>
          <w:p w14:paraId="703CBCBC">
            <w:pPr>
              <w:pStyle w:val="34"/>
              <w:spacing w:beforeLines="0" w:after="0"/>
              <w:rPr>
                <w:color w:val="auto"/>
                <w:sz w:val="21"/>
                <w:szCs w:val="21"/>
              </w:rPr>
            </w:pPr>
            <w:r>
              <w:rPr>
                <w:rFonts w:hint="eastAsia" w:hAnsi="Times New Roman" w:cs="Times New Roman"/>
                <w:color w:val="auto"/>
                <w:sz w:val="21"/>
                <w:szCs w:val="21"/>
              </w:rPr>
              <w:t>硫磺</w:t>
            </w:r>
          </w:p>
        </w:tc>
        <w:tc>
          <w:tcPr>
            <w:tcW w:w="507" w:type="pct"/>
            <w:vAlign w:val="center"/>
          </w:tcPr>
          <w:p w14:paraId="1AFADBE1">
            <w:pPr>
              <w:pStyle w:val="34"/>
              <w:spacing w:beforeLines="0" w:after="0"/>
              <w:rPr>
                <w:color w:val="auto"/>
                <w:sz w:val="21"/>
                <w:szCs w:val="21"/>
              </w:rPr>
            </w:pPr>
            <w:r>
              <w:rPr>
                <w:rFonts w:hint="eastAsia" w:hAnsi="Times New Roman" w:cs="Times New Roman"/>
                <w:color w:val="auto"/>
                <w:sz w:val="21"/>
                <w:szCs w:val="21"/>
              </w:rPr>
              <w:t>99.5%</w:t>
            </w:r>
          </w:p>
        </w:tc>
        <w:tc>
          <w:tcPr>
            <w:tcW w:w="356" w:type="pct"/>
            <w:vAlign w:val="center"/>
          </w:tcPr>
          <w:p w14:paraId="04775A4E">
            <w:pPr>
              <w:pStyle w:val="34"/>
              <w:spacing w:beforeLines="0" w:after="0"/>
              <w:rPr>
                <w:rFonts w:hAnsi="Times New Roman" w:cs="Times New Roman"/>
                <w:color w:val="auto"/>
                <w:szCs w:val="21"/>
              </w:rPr>
            </w:pPr>
            <w:r>
              <w:rPr>
                <w:rFonts w:hint="eastAsia" w:hAnsi="Times New Roman" w:cs="Times New Roman"/>
                <w:color w:val="auto"/>
                <w:sz w:val="21"/>
                <w:szCs w:val="21"/>
              </w:rPr>
              <w:t>固态</w:t>
            </w:r>
          </w:p>
        </w:tc>
        <w:tc>
          <w:tcPr>
            <w:tcW w:w="507" w:type="pct"/>
            <w:vAlign w:val="center"/>
          </w:tcPr>
          <w:p w14:paraId="735C9580">
            <w:pPr>
              <w:pStyle w:val="34"/>
              <w:spacing w:beforeLines="0" w:after="0"/>
              <w:rPr>
                <w:rFonts w:hAnsi="Times New Roman" w:cs="Times New Roman"/>
                <w:color w:val="auto"/>
                <w:sz w:val="21"/>
                <w:szCs w:val="21"/>
              </w:rPr>
            </w:pPr>
          </w:p>
        </w:tc>
        <w:tc>
          <w:tcPr>
            <w:tcW w:w="598" w:type="pct"/>
            <w:vAlign w:val="center"/>
          </w:tcPr>
          <w:p w14:paraId="7459E2CB">
            <w:pPr>
              <w:spacing w:line="240" w:lineRule="auto"/>
              <w:ind w:firstLine="0" w:firstLineChars="0"/>
              <w:jc w:val="center"/>
              <w:rPr>
                <w:color w:val="auto"/>
                <w:sz w:val="21"/>
                <w:szCs w:val="21"/>
              </w:rPr>
            </w:pPr>
          </w:p>
        </w:tc>
        <w:tc>
          <w:tcPr>
            <w:tcW w:w="511" w:type="pct"/>
            <w:vAlign w:val="center"/>
          </w:tcPr>
          <w:p w14:paraId="56F9F5FD">
            <w:pPr>
              <w:spacing w:line="240" w:lineRule="auto"/>
              <w:ind w:firstLine="0" w:firstLineChars="0"/>
              <w:jc w:val="center"/>
              <w:rPr>
                <w:color w:val="auto"/>
                <w:sz w:val="21"/>
                <w:szCs w:val="21"/>
              </w:rPr>
            </w:pPr>
          </w:p>
        </w:tc>
        <w:tc>
          <w:tcPr>
            <w:tcW w:w="443" w:type="pct"/>
            <w:vAlign w:val="center"/>
          </w:tcPr>
          <w:p w14:paraId="2B701A2B">
            <w:pPr>
              <w:pStyle w:val="34"/>
              <w:spacing w:beforeLines="0" w:after="0"/>
              <w:rPr>
                <w:rFonts w:hAnsi="Times New Roman" w:cs="Times New Roman"/>
                <w:color w:val="auto"/>
                <w:sz w:val="21"/>
                <w:szCs w:val="21"/>
              </w:rPr>
            </w:pPr>
            <w:r>
              <w:rPr>
                <w:rFonts w:hint="eastAsia" w:hAnsi="Times New Roman" w:cs="Times New Roman"/>
                <w:color w:val="auto"/>
                <w:sz w:val="21"/>
                <w:szCs w:val="21"/>
              </w:rPr>
              <w:t>袋装</w:t>
            </w:r>
          </w:p>
        </w:tc>
        <w:tc>
          <w:tcPr>
            <w:tcW w:w="614" w:type="pct"/>
            <w:vAlign w:val="center"/>
          </w:tcPr>
          <w:p w14:paraId="5E281B0F">
            <w:pPr>
              <w:pStyle w:val="34"/>
              <w:spacing w:beforeLines="0" w:after="0"/>
              <w:rPr>
                <w:rFonts w:hAnsi="Times New Roman" w:cs="Times New Roman"/>
                <w:color w:val="auto"/>
                <w:sz w:val="21"/>
                <w:szCs w:val="21"/>
              </w:rPr>
            </w:pPr>
            <w:r>
              <w:rPr>
                <w:rFonts w:hint="eastAsia" w:hAnsi="Times New Roman" w:cs="Times New Roman"/>
                <w:color w:val="auto"/>
                <w:sz w:val="21"/>
                <w:szCs w:val="21"/>
              </w:rPr>
              <w:t>丙类仓库</w:t>
            </w:r>
          </w:p>
        </w:tc>
        <w:tc>
          <w:tcPr>
            <w:tcW w:w="576" w:type="pct"/>
            <w:vAlign w:val="center"/>
          </w:tcPr>
          <w:p w14:paraId="5AE7BEC7">
            <w:pPr>
              <w:widowControl/>
              <w:spacing w:line="240" w:lineRule="auto"/>
              <w:ind w:firstLine="0" w:firstLineChars="0"/>
              <w:jc w:val="center"/>
              <w:rPr>
                <w:color w:val="auto"/>
                <w:kern w:val="0"/>
                <w:sz w:val="21"/>
                <w:szCs w:val="21"/>
              </w:rPr>
            </w:pPr>
            <w:r>
              <w:rPr>
                <w:rFonts w:hint="eastAsia"/>
                <w:color w:val="auto"/>
                <w:sz w:val="21"/>
                <w:szCs w:val="21"/>
              </w:rPr>
              <w:t>外购、汽车</w:t>
            </w:r>
          </w:p>
        </w:tc>
      </w:tr>
      <w:tr w14:paraId="0116B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14:paraId="56193A36">
            <w:pPr>
              <w:widowControl/>
              <w:spacing w:line="240" w:lineRule="auto"/>
              <w:ind w:firstLine="0" w:firstLineChars="0"/>
              <w:jc w:val="center"/>
              <w:rPr>
                <w:color w:val="auto"/>
                <w:kern w:val="0"/>
                <w:sz w:val="21"/>
                <w:szCs w:val="21"/>
              </w:rPr>
            </w:pPr>
            <w:r>
              <w:rPr>
                <w:rFonts w:hint="eastAsia"/>
                <w:b/>
                <w:bCs/>
                <w:color w:val="auto"/>
                <w:kern w:val="0"/>
                <w:sz w:val="21"/>
                <w:szCs w:val="21"/>
              </w:rPr>
              <w:t>一水亚硫酸铵（氨工艺）</w:t>
            </w:r>
          </w:p>
        </w:tc>
      </w:tr>
      <w:tr w14:paraId="37F58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4C6EAA97">
            <w:pPr>
              <w:spacing w:line="240" w:lineRule="auto"/>
              <w:ind w:firstLine="0" w:firstLineChars="0"/>
              <w:jc w:val="center"/>
              <w:rPr>
                <w:color w:val="auto"/>
                <w:sz w:val="21"/>
                <w:szCs w:val="21"/>
              </w:rPr>
            </w:pPr>
            <w:r>
              <w:rPr>
                <w:rFonts w:hint="eastAsia"/>
                <w:color w:val="auto"/>
                <w:sz w:val="21"/>
                <w:szCs w:val="21"/>
              </w:rPr>
              <w:t>1</w:t>
            </w:r>
          </w:p>
        </w:tc>
        <w:tc>
          <w:tcPr>
            <w:tcW w:w="633" w:type="pct"/>
            <w:vAlign w:val="center"/>
          </w:tcPr>
          <w:p w14:paraId="31F8C63E">
            <w:pPr>
              <w:spacing w:line="240" w:lineRule="auto"/>
              <w:ind w:firstLine="0" w:firstLineChars="0"/>
              <w:jc w:val="center"/>
              <w:rPr>
                <w:color w:val="auto"/>
                <w:sz w:val="21"/>
                <w:szCs w:val="21"/>
              </w:rPr>
            </w:pPr>
            <w:r>
              <w:rPr>
                <w:rFonts w:hint="eastAsia"/>
                <w:color w:val="auto"/>
                <w:sz w:val="21"/>
                <w:szCs w:val="21"/>
              </w:rPr>
              <w:t>亚硫酸氢铵</w:t>
            </w:r>
          </w:p>
        </w:tc>
        <w:tc>
          <w:tcPr>
            <w:tcW w:w="507" w:type="pct"/>
            <w:vAlign w:val="center"/>
          </w:tcPr>
          <w:p w14:paraId="6D8098D8">
            <w:pPr>
              <w:spacing w:line="240" w:lineRule="auto"/>
              <w:ind w:firstLine="0" w:firstLineChars="0"/>
              <w:jc w:val="center"/>
              <w:rPr>
                <w:color w:val="auto"/>
                <w:sz w:val="21"/>
                <w:szCs w:val="21"/>
              </w:rPr>
            </w:pPr>
            <w:r>
              <w:rPr>
                <w:rFonts w:hint="eastAsia"/>
                <w:color w:val="auto"/>
                <w:sz w:val="21"/>
                <w:szCs w:val="21"/>
              </w:rPr>
              <w:t>70%</w:t>
            </w:r>
          </w:p>
        </w:tc>
        <w:tc>
          <w:tcPr>
            <w:tcW w:w="356" w:type="pct"/>
            <w:vAlign w:val="center"/>
          </w:tcPr>
          <w:p w14:paraId="77B150F7">
            <w:pPr>
              <w:pStyle w:val="35"/>
              <w:spacing w:beforeLines="0" w:after="0"/>
              <w:rPr>
                <w:rFonts w:hAnsi="Times New Roman" w:cs="Times New Roman"/>
                <w:color w:val="auto"/>
                <w:spacing w:val="-10"/>
                <w:szCs w:val="21"/>
              </w:rPr>
            </w:pPr>
            <w:r>
              <w:rPr>
                <w:rFonts w:hint="eastAsia" w:hAnsi="Times New Roman" w:cs="Times New Roman"/>
                <w:color w:val="auto"/>
                <w:spacing w:val="-10"/>
                <w:szCs w:val="21"/>
              </w:rPr>
              <w:t>液态</w:t>
            </w:r>
          </w:p>
        </w:tc>
        <w:tc>
          <w:tcPr>
            <w:tcW w:w="507" w:type="pct"/>
            <w:vAlign w:val="center"/>
          </w:tcPr>
          <w:p w14:paraId="653E3DEE">
            <w:pPr>
              <w:pStyle w:val="34"/>
              <w:spacing w:beforeLines="0" w:after="0"/>
              <w:rPr>
                <w:rFonts w:hAnsi="Times New Roman" w:cs="Times New Roman"/>
                <w:color w:val="auto"/>
                <w:sz w:val="21"/>
                <w:szCs w:val="21"/>
              </w:rPr>
            </w:pPr>
          </w:p>
        </w:tc>
        <w:tc>
          <w:tcPr>
            <w:tcW w:w="598" w:type="pct"/>
            <w:vAlign w:val="center"/>
          </w:tcPr>
          <w:p w14:paraId="4DB6858C">
            <w:pPr>
              <w:spacing w:line="240" w:lineRule="auto"/>
              <w:ind w:firstLine="0" w:firstLineChars="0"/>
              <w:jc w:val="center"/>
              <w:rPr>
                <w:color w:val="auto"/>
                <w:sz w:val="21"/>
                <w:szCs w:val="21"/>
              </w:rPr>
            </w:pPr>
          </w:p>
        </w:tc>
        <w:tc>
          <w:tcPr>
            <w:tcW w:w="511" w:type="pct"/>
            <w:vAlign w:val="center"/>
          </w:tcPr>
          <w:p w14:paraId="01B56057">
            <w:pPr>
              <w:spacing w:line="240" w:lineRule="auto"/>
              <w:ind w:firstLine="0" w:firstLineChars="0"/>
              <w:jc w:val="center"/>
              <w:rPr>
                <w:color w:val="auto"/>
                <w:sz w:val="21"/>
                <w:szCs w:val="21"/>
              </w:rPr>
            </w:pPr>
          </w:p>
        </w:tc>
        <w:tc>
          <w:tcPr>
            <w:tcW w:w="443" w:type="pct"/>
            <w:vAlign w:val="center"/>
          </w:tcPr>
          <w:p w14:paraId="083A4CA8">
            <w:pPr>
              <w:spacing w:line="240" w:lineRule="auto"/>
              <w:ind w:firstLine="0" w:firstLineChars="0"/>
              <w:jc w:val="center"/>
              <w:rPr>
                <w:color w:val="auto"/>
                <w:sz w:val="21"/>
                <w:szCs w:val="21"/>
              </w:rPr>
            </w:pPr>
            <w:r>
              <w:rPr>
                <w:rFonts w:hint="eastAsia"/>
                <w:color w:val="auto"/>
                <w:sz w:val="21"/>
                <w:szCs w:val="21"/>
              </w:rPr>
              <w:t>储罐</w:t>
            </w:r>
          </w:p>
        </w:tc>
        <w:tc>
          <w:tcPr>
            <w:tcW w:w="614" w:type="pct"/>
            <w:vAlign w:val="center"/>
          </w:tcPr>
          <w:p w14:paraId="0F790D2C">
            <w:pPr>
              <w:spacing w:line="240" w:lineRule="auto"/>
              <w:ind w:firstLine="0" w:firstLineChars="0"/>
              <w:jc w:val="center"/>
              <w:rPr>
                <w:color w:val="auto"/>
                <w:sz w:val="21"/>
                <w:szCs w:val="21"/>
              </w:rPr>
            </w:pPr>
            <w:r>
              <w:rPr>
                <w:rFonts w:hint="eastAsia"/>
                <w:color w:val="auto"/>
                <w:sz w:val="21"/>
                <w:szCs w:val="21"/>
              </w:rPr>
              <w:t>1#戊类罐区、亚铵中间罐</w:t>
            </w:r>
          </w:p>
        </w:tc>
        <w:tc>
          <w:tcPr>
            <w:tcW w:w="576" w:type="pct"/>
            <w:vAlign w:val="center"/>
          </w:tcPr>
          <w:p w14:paraId="525696D7">
            <w:pPr>
              <w:widowControl/>
              <w:spacing w:line="240" w:lineRule="auto"/>
              <w:ind w:firstLine="0" w:firstLineChars="0"/>
              <w:jc w:val="center"/>
              <w:rPr>
                <w:color w:val="auto"/>
                <w:kern w:val="0"/>
                <w:sz w:val="21"/>
                <w:szCs w:val="21"/>
              </w:rPr>
            </w:pPr>
            <w:r>
              <w:rPr>
                <w:rFonts w:hint="eastAsia"/>
                <w:color w:val="auto"/>
                <w:sz w:val="21"/>
                <w:szCs w:val="21"/>
              </w:rPr>
              <w:t>外购、汽车</w:t>
            </w:r>
          </w:p>
        </w:tc>
      </w:tr>
      <w:tr w14:paraId="24B41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6C426042">
            <w:pPr>
              <w:spacing w:line="240" w:lineRule="auto"/>
              <w:ind w:firstLine="0" w:firstLineChars="0"/>
              <w:jc w:val="center"/>
              <w:rPr>
                <w:color w:val="auto"/>
                <w:sz w:val="21"/>
                <w:szCs w:val="21"/>
              </w:rPr>
            </w:pPr>
            <w:r>
              <w:rPr>
                <w:rFonts w:hint="eastAsia"/>
                <w:color w:val="auto"/>
                <w:sz w:val="21"/>
                <w:szCs w:val="21"/>
              </w:rPr>
              <w:t>2</w:t>
            </w:r>
          </w:p>
        </w:tc>
        <w:tc>
          <w:tcPr>
            <w:tcW w:w="633" w:type="pct"/>
            <w:vAlign w:val="center"/>
          </w:tcPr>
          <w:p w14:paraId="500F4789">
            <w:pPr>
              <w:spacing w:line="240" w:lineRule="auto"/>
              <w:ind w:firstLine="0" w:firstLineChars="0"/>
              <w:jc w:val="center"/>
              <w:rPr>
                <w:color w:val="auto"/>
                <w:sz w:val="21"/>
                <w:szCs w:val="21"/>
              </w:rPr>
            </w:pPr>
            <w:r>
              <w:rPr>
                <w:rFonts w:hint="eastAsia"/>
                <w:color w:val="auto"/>
                <w:sz w:val="21"/>
                <w:szCs w:val="21"/>
              </w:rPr>
              <w:t>氨</w:t>
            </w:r>
          </w:p>
        </w:tc>
        <w:tc>
          <w:tcPr>
            <w:tcW w:w="507" w:type="pct"/>
            <w:vAlign w:val="center"/>
          </w:tcPr>
          <w:p w14:paraId="6163A7AB">
            <w:pPr>
              <w:spacing w:line="240" w:lineRule="auto"/>
              <w:ind w:firstLine="0" w:firstLineChars="0"/>
              <w:jc w:val="center"/>
              <w:rPr>
                <w:color w:val="auto"/>
                <w:sz w:val="21"/>
                <w:szCs w:val="21"/>
              </w:rPr>
            </w:pPr>
            <w:r>
              <w:rPr>
                <w:rFonts w:hint="eastAsia"/>
                <w:color w:val="auto"/>
                <w:sz w:val="21"/>
                <w:szCs w:val="21"/>
              </w:rPr>
              <w:t>99.99%</w:t>
            </w:r>
          </w:p>
        </w:tc>
        <w:tc>
          <w:tcPr>
            <w:tcW w:w="356" w:type="pct"/>
            <w:vAlign w:val="center"/>
          </w:tcPr>
          <w:p w14:paraId="6128B3EC">
            <w:pPr>
              <w:pStyle w:val="35"/>
              <w:spacing w:beforeLines="0" w:after="0"/>
              <w:rPr>
                <w:rFonts w:hAnsi="Times New Roman" w:cs="Times New Roman"/>
                <w:color w:val="auto"/>
                <w:spacing w:val="-10"/>
                <w:szCs w:val="21"/>
              </w:rPr>
            </w:pPr>
            <w:r>
              <w:rPr>
                <w:rFonts w:hint="eastAsia" w:hAnsi="Times New Roman" w:cs="Times New Roman"/>
                <w:color w:val="auto"/>
                <w:spacing w:val="-10"/>
                <w:szCs w:val="21"/>
              </w:rPr>
              <w:t>气态</w:t>
            </w:r>
          </w:p>
        </w:tc>
        <w:tc>
          <w:tcPr>
            <w:tcW w:w="507" w:type="pct"/>
            <w:vAlign w:val="center"/>
          </w:tcPr>
          <w:p w14:paraId="4365DFB8">
            <w:pPr>
              <w:pStyle w:val="34"/>
              <w:spacing w:beforeLines="0" w:after="0"/>
              <w:rPr>
                <w:rFonts w:hAnsi="Times New Roman" w:cs="Times New Roman"/>
                <w:color w:val="auto"/>
                <w:sz w:val="21"/>
                <w:szCs w:val="21"/>
              </w:rPr>
            </w:pPr>
          </w:p>
        </w:tc>
        <w:tc>
          <w:tcPr>
            <w:tcW w:w="598" w:type="pct"/>
            <w:vAlign w:val="center"/>
          </w:tcPr>
          <w:p w14:paraId="0AC78E33">
            <w:pPr>
              <w:spacing w:line="240" w:lineRule="auto"/>
              <w:ind w:firstLine="0" w:firstLineChars="0"/>
              <w:jc w:val="center"/>
              <w:rPr>
                <w:color w:val="auto"/>
                <w:sz w:val="21"/>
                <w:szCs w:val="21"/>
              </w:rPr>
            </w:pPr>
          </w:p>
        </w:tc>
        <w:tc>
          <w:tcPr>
            <w:tcW w:w="511" w:type="pct"/>
            <w:vAlign w:val="center"/>
          </w:tcPr>
          <w:p w14:paraId="25AD5998">
            <w:pPr>
              <w:spacing w:line="240" w:lineRule="auto"/>
              <w:ind w:firstLine="0" w:firstLineChars="0"/>
              <w:jc w:val="center"/>
              <w:rPr>
                <w:color w:val="auto"/>
                <w:sz w:val="21"/>
                <w:szCs w:val="21"/>
              </w:rPr>
            </w:pPr>
          </w:p>
        </w:tc>
        <w:tc>
          <w:tcPr>
            <w:tcW w:w="443" w:type="pct"/>
            <w:vAlign w:val="center"/>
          </w:tcPr>
          <w:p w14:paraId="0167A3A0">
            <w:pPr>
              <w:spacing w:line="240" w:lineRule="auto"/>
              <w:ind w:firstLine="0" w:firstLineChars="0"/>
              <w:jc w:val="center"/>
              <w:rPr>
                <w:color w:val="auto"/>
                <w:sz w:val="21"/>
                <w:szCs w:val="21"/>
              </w:rPr>
            </w:pPr>
            <w:r>
              <w:rPr>
                <w:rFonts w:hint="eastAsia"/>
                <w:color w:val="auto"/>
                <w:sz w:val="21"/>
                <w:szCs w:val="21"/>
              </w:rPr>
              <w:t>储罐</w:t>
            </w:r>
          </w:p>
        </w:tc>
        <w:tc>
          <w:tcPr>
            <w:tcW w:w="614" w:type="pct"/>
            <w:vAlign w:val="center"/>
          </w:tcPr>
          <w:p w14:paraId="752B372A">
            <w:pPr>
              <w:spacing w:line="240" w:lineRule="auto"/>
              <w:ind w:firstLine="0" w:firstLineChars="0"/>
              <w:jc w:val="center"/>
              <w:rPr>
                <w:color w:val="auto"/>
                <w:sz w:val="21"/>
                <w:szCs w:val="21"/>
              </w:rPr>
            </w:pPr>
            <w:r>
              <w:rPr>
                <w:rFonts w:hint="eastAsia"/>
                <w:color w:val="auto"/>
                <w:sz w:val="21"/>
                <w:szCs w:val="21"/>
              </w:rPr>
              <w:t>氨水配制区</w:t>
            </w:r>
          </w:p>
        </w:tc>
        <w:tc>
          <w:tcPr>
            <w:tcW w:w="576" w:type="pct"/>
            <w:vAlign w:val="center"/>
          </w:tcPr>
          <w:p w14:paraId="289BB061">
            <w:pPr>
              <w:widowControl/>
              <w:spacing w:line="240" w:lineRule="auto"/>
              <w:ind w:firstLine="0" w:firstLineChars="0"/>
              <w:jc w:val="center"/>
              <w:rPr>
                <w:color w:val="auto"/>
                <w:kern w:val="0"/>
                <w:sz w:val="21"/>
                <w:szCs w:val="21"/>
              </w:rPr>
            </w:pPr>
            <w:r>
              <w:rPr>
                <w:rFonts w:hint="eastAsia"/>
                <w:color w:val="auto"/>
                <w:sz w:val="21"/>
                <w:szCs w:val="21"/>
              </w:rPr>
              <w:t>外购、汽车</w:t>
            </w:r>
          </w:p>
        </w:tc>
      </w:tr>
      <w:tr w14:paraId="350DD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14:paraId="2793A148">
            <w:pPr>
              <w:widowControl/>
              <w:spacing w:line="240" w:lineRule="auto"/>
              <w:ind w:firstLine="0" w:firstLineChars="0"/>
              <w:jc w:val="center"/>
              <w:rPr>
                <w:color w:val="auto"/>
                <w:kern w:val="0"/>
                <w:sz w:val="21"/>
                <w:szCs w:val="21"/>
              </w:rPr>
            </w:pPr>
            <w:r>
              <w:rPr>
                <w:rFonts w:hint="eastAsia"/>
                <w:b/>
                <w:bCs/>
                <w:color w:val="auto"/>
                <w:kern w:val="0"/>
                <w:sz w:val="21"/>
                <w:szCs w:val="21"/>
              </w:rPr>
              <w:t>一水亚硫酸铵（碳酸氢铵工艺）</w:t>
            </w:r>
          </w:p>
        </w:tc>
      </w:tr>
      <w:tr w14:paraId="16B36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01F9D556">
            <w:pPr>
              <w:spacing w:line="240" w:lineRule="auto"/>
              <w:ind w:firstLine="0" w:firstLineChars="0"/>
              <w:jc w:val="center"/>
              <w:rPr>
                <w:color w:val="auto"/>
                <w:sz w:val="21"/>
                <w:szCs w:val="21"/>
              </w:rPr>
            </w:pPr>
            <w:r>
              <w:rPr>
                <w:rFonts w:hint="eastAsia"/>
                <w:color w:val="auto"/>
                <w:sz w:val="21"/>
                <w:szCs w:val="21"/>
              </w:rPr>
              <w:t>1</w:t>
            </w:r>
          </w:p>
        </w:tc>
        <w:tc>
          <w:tcPr>
            <w:tcW w:w="633" w:type="pct"/>
            <w:vAlign w:val="center"/>
          </w:tcPr>
          <w:p w14:paraId="2E308992">
            <w:pPr>
              <w:spacing w:line="240" w:lineRule="auto"/>
              <w:ind w:firstLine="0" w:firstLineChars="0"/>
              <w:jc w:val="center"/>
              <w:rPr>
                <w:color w:val="auto"/>
                <w:sz w:val="21"/>
                <w:szCs w:val="21"/>
              </w:rPr>
            </w:pPr>
            <w:r>
              <w:rPr>
                <w:rFonts w:hint="eastAsia"/>
                <w:color w:val="auto"/>
                <w:sz w:val="21"/>
                <w:szCs w:val="21"/>
              </w:rPr>
              <w:t>亚硫酸氢铵</w:t>
            </w:r>
          </w:p>
        </w:tc>
        <w:tc>
          <w:tcPr>
            <w:tcW w:w="507" w:type="pct"/>
            <w:vAlign w:val="center"/>
          </w:tcPr>
          <w:p w14:paraId="18B1E654">
            <w:pPr>
              <w:spacing w:line="240" w:lineRule="auto"/>
              <w:ind w:firstLine="0" w:firstLineChars="0"/>
              <w:jc w:val="center"/>
              <w:rPr>
                <w:color w:val="auto"/>
                <w:sz w:val="21"/>
                <w:szCs w:val="21"/>
              </w:rPr>
            </w:pPr>
            <w:r>
              <w:rPr>
                <w:rFonts w:hint="eastAsia"/>
                <w:color w:val="auto"/>
                <w:sz w:val="21"/>
                <w:szCs w:val="21"/>
              </w:rPr>
              <w:t>70%</w:t>
            </w:r>
          </w:p>
        </w:tc>
        <w:tc>
          <w:tcPr>
            <w:tcW w:w="356" w:type="pct"/>
            <w:vAlign w:val="center"/>
          </w:tcPr>
          <w:p w14:paraId="3D34A2FD">
            <w:pPr>
              <w:pStyle w:val="35"/>
              <w:spacing w:beforeLines="0" w:after="0"/>
              <w:rPr>
                <w:rFonts w:hAnsi="Times New Roman" w:cs="Times New Roman"/>
                <w:color w:val="auto"/>
                <w:spacing w:val="-10"/>
                <w:szCs w:val="21"/>
              </w:rPr>
            </w:pPr>
            <w:r>
              <w:rPr>
                <w:rFonts w:hint="eastAsia" w:hAnsi="Times New Roman" w:cs="Times New Roman"/>
                <w:color w:val="auto"/>
                <w:spacing w:val="-10"/>
                <w:szCs w:val="21"/>
              </w:rPr>
              <w:t>液态</w:t>
            </w:r>
          </w:p>
        </w:tc>
        <w:tc>
          <w:tcPr>
            <w:tcW w:w="507" w:type="pct"/>
            <w:vAlign w:val="center"/>
          </w:tcPr>
          <w:p w14:paraId="31EFA1D2">
            <w:pPr>
              <w:pStyle w:val="34"/>
              <w:spacing w:beforeLines="0" w:after="0"/>
              <w:rPr>
                <w:rFonts w:hAnsi="Times New Roman" w:cs="Times New Roman"/>
                <w:color w:val="auto"/>
                <w:sz w:val="21"/>
                <w:szCs w:val="21"/>
              </w:rPr>
            </w:pPr>
          </w:p>
        </w:tc>
        <w:tc>
          <w:tcPr>
            <w:tcW w:w="598" w:type="pct"/>
            <w:vAlign w:val="center"/>
          </w:tcPr>
          <w:p w14:paraId="42A4CB16">
            <w:pPr>
              <w:spacing w:line="240" w:lineRule="auto"/>
              <w:ind w:firstLine="0" w:firstLineChars="0"/>
              <w:jc w:val="center"/>
              <w:rPr>
                <w:color w:val="auto"/>
                <w:sz w:val="21"/>
                <w:szCs w:val="21"/>
              </w:rPr>
            </w:pPr>
          </w:p>
        </w:tc>
        <w:tc>
          <w:tcPr>
            <w:tcW w:w="511" w:type="pct"/>
            <w:vAlign w:val="center"/>
          </w:tcPr>
          <w:p w14:paraId="31083C1B">
            <w:pPr>
              <w:spacing w:line="240" w:lineRule="auto"/>
              <w:ind w:firstLine="0" w:firstLineChars="0"/>
              <w:jc w:val="center"/>
              <w:rPr>
                <w:color w:val="auto"/>
                <w:sz w:val="21"/>
                <w:szCs w:val="21"/>
              </w:rPr>
            </w:pPr>
          </w:p>
        </w:tc>
        <w:tc>
          <w:tcPr>
            <w:tcW w:w="443" w:type="pct"/>
            <w:vAlign w:val="center"/>
          </w:tcPr>
          <w:p w14:paraId="33251A71">
            <w:pPr>
              <w:spacing w:line="240" w:lineRule="auto"/>
              <w:ind w:firstLine="0" w:firstLineChars="0"/>
              <w:jc w:val="center"/>
              <w:rPr>
                <w:color w:val="auto"/>
                <w:sz w:val="21"/>
                <w:szCs w:val="21"/>
              </w:rPr>
            </w:pPr>
            <w:r>
              <w:rPr>
                <w:rFonts w:hint="eastAsia"/>
                <w:color w:val="auto"/>
                <w:sz w:val="21"/>
                <w:szCs w:val="21"/>
              </w:rPr>
              <w:t>储罐</w:t>
            </w:r>
          </w:p>
        </w:tc>
        <w:tc>
          <w:tcPr>
            <w:tcW w:w="614" w:type="pct"/>
            <w:vAlign w:val="center"/>
          </w:tcPr>
          <w:p w14:paraId="374AE540">
            <w:pPr>
              <w:spacing w:line="240" w:lineRule="auto"/>
              <w:ind w:firstLine="0" w:firstLineChars="0"/>
              <w:jc w:val="center"/>
              <w:rPr>
                <w:color w:val="auto"/>
                <w:sz w:val="21"/>
                <w:szCs w:val="21"/>
              </w:rPr>
            </w:pPr>
            <w:r>
              <w:rPr>
                <w:rFonts w:hint="eastAsia"/>
                <w:color w:val="auto"/>
                <w:sz w:val="21"/>
                <w:szCs w:val="21"/>
              </w:rPr>
              <w:t>1#戊类罐区、亚铵中间罐</w:t>
            </w:r>
          </w:p>
        </w:tc>
        <w:tc>
          <w:tcPr>
            <w:tcW w:w="576" w:type="pct"/>
            <w:vAlign w:val="center"/>
          </w:tcPr>
          <w:p w14:paraId="254FA1B6">
            <w:pPr>
              <w:widowControl/>
              <w:spacing w:line="240" w:lineRule="auto"/>
              <w:ind w:firstLine="0" w:firstLineChars="0"/>
              <w:jc w:val="center"/>
              <w:rPr>
                <w:color w:val="auto"/>
                <w:kern w:val="0"/>
                <w:sz w:val="21"/>
                <w:szCs w:val="21"/>
              </w:rPr>
            </w:pPr>
            <w:r>
              <w:rPr>
                <w:rFonts w:hint="eastAsia"/>
                <w:color w:val="auto"/>
                <w:sz w:val="21"/>
                <w:szCs w:val="21"/>
              </w:rPr>
              <w:t>外购、汽车</w:t>
            </w:r>
          </w:p>
        </w:tc>
      </w:tr>
      <w:tr w14:paraId="15F62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3F940AE5">
            <w:pPr>
              <w:spacing w:line="240" w:lineRule="auto"/>
              <w:ind w:firstLine="0" w:firstLineChars="0"/>
              <w:jc w:val="center"/>
              <w:rPr>
                <w:color w:val="auto"/>
                <w:sz w:val="21"/>
                <w:szCs w:val="21"/>
              </w:rPr>
            </w:pPr>
            <w:r>
              <w:rPr>
                <w:rFonts w:hint="eastAsia"/>
                <w:color w:val="auto"/>
                <w:sz w:val="21"/>
                <w:szCs w:val="21"/>
              </w:rPr>
              <w:t>2</w:t>
            </w:r>
          </w:p>
        </w:tc>
        <w:tc>
          <w:tcPr>
            <w:tcW w:w="633" w:type="pct"/>
            <w:vAlign w:val="center"/>
          </w:tcPr>
          <w:p w14:paraId="7DD8E6DA">
            <w:pPr>
              <w:spacing w:line="240" w:lineRule="auto"/>
              <w:ind w:firstLine="0" w:firstLineChars="0"/>
              <w:jc w:val="center"/>
              <w:rPr>
                <w:color w:val="auto"/>
                <w:sz w:val="21"/>
                <w:szCs w:val="21"/>
              </w:rPr>
            </w:pPr>
            <w:r>
              <w:rPr>
                <w:rFonts w:hint="eastAsia"/>
                <w:color w:val="auto"/>
                <w:sz w:val="21"/>
                <w:szCs w:val="21"/>
              </w:rPr>
              <w:t>碳酸氢铵</w:t>
            </w:r>
          </w:p>
        </w:tc>
        <w:tc>
          <w:tcPr>
            <w:tcW w:w="507" w:type="pct"/>
            <w:vAlign w:val="center"/>
          </w:tcPr>
          <w:p w14:paraId="5EFAF253">
            <w:pPr>
              <w:spacing w:line="240" w:lineRule="auto"/>
              <w:ind w:firstLine="0" w:firstLineChars="0"/>
              <w:jc w:val="center"/>
              <w:rPr>
                <w:color w:val="auto"/>
                <w:sz w:val="21"/>
                <w:szCs w:val="21"/>
              </w:rPr>
            </w:pPr>
            <w:r>
              <w:rPr>
                <w:rFonts w:hint="eastAsia"/>
                <w:color w:val="auto"/>
                <w:sz w:val="21"/>
                <w:szCs w:val="21"/>
              </w:rPr>
              <w:t>99.99%</w:t>
            </w:r>
          </w:p>
        </w:tc>
        <w:tc>
          <w:tcPr>
            <w:tcW w:w="356" w:type="pct"/>
            <w:vAlign w:val="center"/>
          </w:tcPr>
          <w:p w14:paraId="30125865">
            <w:pPr>
              <w:pStyle w:val="35"/>
              <w:spacing w:beforeLines="0" w:after="0"/>
              <w:rPr>
                <w:rFonts w:hAnsi="Times New Roman" w:cs="Times New Roman"/>
                <w:color w:val="auto"/>
                <w:spacing w:val="-10"/>
                <w:szCs w:val="21"/>
              </w:rPr>
            </w:pPr>
            <w:r>
              <w:rPr>
                <w:rFonts w:hint="eastAsia" w:hAnsi="Times New Roman" w:cs="Times New Roman"/>
                <w:color w:val="auto"/>
                <w:spacing w:val="-10"/>
                <w:szCs w:val="21"/>
              </w:rPr>
              <w:t>固态</w:t>
            </w:r>
          </w:p>
        </w:tc>
        <w:tc>
          <w:tcPr>
            <w:tcW w:w="507" w:type="pct"/>
            <w:vAlign w:val="center"/>
          </w:tcPr>
          <w:p w14:paraId="7A848219">
            <w:pPr>
              <w:pStyle w:val="34"/>
              <w:spacing w:beforeLines="0" w:after="0"/>
              <w:rPr>
                <w:rFonts w:hAnsi="Times New Roman" w:cs="Times New Roman"/>
                <w:color w:val="auto"/>
                <w:sz w:val="21"/>
                <w:szCs w:val="21"/>
              </w:rPr>
            </w:pPr>
          </w:p>
        </w:tc>
        <w:tc>
          <w:tcPr>
            <w:tcW w:w="598" w:type="pct"/>
            <w:vAlign w:val="center"/>
          </w:tcPr>
          <w:p w14:paraId="10C8296D">
            <w:pPr>
              <w:spacing w:line="240" w:lineRule="auto"/>
              <w:ind w:firstLine="0" w:firstLineChars="0"/>
              <w:jc w:val="center"/>
              <w:rPr>
                <w:color w:val="auto"/>
                <w:sz w:val="21"/>
                <w:szCs w:val="21"/>
              </w:rPr>
            </w:pPr>
          </w:p>
        </w:tc>
        <w:tc>
          <w:tcPr>
            <w:tcW w:w="511" w:type="pct"/>
            <w:vAlign w:val="center"/>
          </w:tcPr>
          <w:p w14:paraId="1C19D2CF">
            <w:pPr>
              <w:spacing w:line="240" w:lineRule="auto"/>
              <w:ind w:firstLine="0" w:firstLineChars="0"/>
              <w:jc w:val="center"/>
              <w:rPr>
                <w:color w:val="auto"/>
                <w:sz w:val="21"/>
                <w:szCs w:val="21"/>
              </w:rPr>
            </w:pPr>
          </w:p>
        </w:tc>
        <w:tc>
          <w:tcPr>
            <w:tcW w:w="443" w:type="pct"/>
            <w:vAlign w:val="center"/>
          </w:tcPr>
          <w:p w14:paraId="7433798E">
            <w:pPr>
              <w:spacing w:line="240" w:lineRule="auto"/>
              <w:ind w:firstLine="0" w:firstLineChars="0"/>
              <w:jc w:val="center"/>
              <w:rPr>
                <w:color w:val="auto"/>
                <w:sz w:val="21"/>
                <w:szCs w:val="21"/>
              </w:rPr>
            </w:pPr>
            <w:r>
              <w:rPr>
                <w:rFonts w:hint="eastAsia"/>
                <w:color w:val="auto"/>
                <w:sz w:val="21"/>
                <w:szCs w:val="21"/>
              </w:rPr>
              <w:t>袋装</w:t>
            </w:r>
          </w:p>
        </w:tc>
        <w:tc>
          <w:tcPr>
            <w:tcW w:w="614" w:type="pct"/>
            <w:vAlign w:val="center"/>
          </w:tcPr>
          <w:p w14:paraId="3943B2A3">
            <w:pPr>
              <w:spacing w:line="240" w:lineRule="auto"/>
              <w:ind w:firstLine="0" w:firstLineChars="0"/>
              <w:jc w:val="center"/>
              <w:rPr>
                <w:color w:val="auto"/>
                <w:sz w:val="21"/>
                <w:szCs w:val="21"/>
              </w:rPr>
            </w:pPr>
            <w:r>
              <w:rPr>
                <w:rFonts w:hint="eastAsia"/>
                <w:color w:val="auto"/>
                <w:sz w:val="21"/>
                <w:szCs w:val="21"/>
              </w:rPr>
              <w:t>丙类仓库</w:t>
            </w:r>
          </w:p>
        </w:tc>
        <w:tc>
          <w:tcPr>
            <w:tcW w:w="576" w:type="pct"/>
            <w:vAlign w:val="center"/>
          </w:tcPr>
          <w:p w14:paraId="63B8599A">
            <w:pPr>
              <w:widowControl/>
              <w:spacing w:line="240" w:lineRule="auto"/>
              <w:ind w:firstLine="0" w:firstLineChars="0"/>
              <w:jc w:val="center"/>
              <w:rPr>
                <w:color w:val="auto"/>
                <w:kern w:val="0"/>
                <w:sz w:val="21"/>
                <w:szCs w:val="21"/>
              </w:rPr>
            </w:pPr>
            <w:r>
              <w:rPr>
                <w:rFonts w:hint="eastAsia"/>
                <w:color w:val="auto"/>
                <w:sz w:val="21"/>
                <w:szCs w:val="21"/>
              </w:rPr>
              <w:t>外购、汽车</w:t>
            </w:r>
          </w:p>
        </w:tc>
      </w:tr>
    </w:tbl>
    <w:p w14:paraId="239D5D15">
      <w:pPr>
        <w:pStyle w:val="13"/>
        <w:spacing w:line="240" w:lineRule="auto"/>
        <w:ind w:firstLine="0" w:firstLineChars="0"/>
        <w:jc w:val="center"/>
        <w:rPr>
          <w:b/>
          <w:bCs/>
          <w:color w:val="auto"/>
        </w:rPr>
      </w:pPr>
    </w:p>
    <w:p w14:paraId="702C94A2">
      <w:pPr>
        <w:pStyle w:val="49"/>
        <w:rPr>
          <w:color w:val="auto"/>
        </w:rPr>
      </w:pPr>
      <w:r>
        <w:rPr>
          <w:rFonts w:hint="eastAsia"/>
          <w:color w:val="auto"/>
        </w:rPr>
        <w:t>表4.4-4  拟建项目主要原辅材料及产品理化性质和毒性</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201"/>
        <w:gridCol w:w="4288"/>
        <w:gridCol w:w="2927"/>
      </w:tblGrid>
      <w:tr w14:paraId="55C2B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038040CA">
            <w:pPr>
              <w:pStyle w:val="13"/>
              <w:wordWrap w:val="0"/>
              <w:spacing w:line="240" w:lineRule="auto"/>
              <w:ind w:firstLine="0" w:firstLineChars="0"/>
              <w:jc w:val="center"/>
              <w:rPr>
                <w:b/>
                <w:bCs/>
                <w:color w:val="auto"/>
                <w:sz w:val="21"/>
                <w:szCs w:val="21"/>
              </w:rPr>
            </w:pPr>
            <w:r>
              <w:rPr>
                <w:b/>
                <w:bCs/>
                <w:color w:val="auto"/>
                <w:sz w:val="21"/>
                <w:szCs w:val="21"/>
              </w:rPr>
              <w:t>名称/分子式</w:t>
            </w:r>
          </w:p>
        </w:tc>
        <w:tc>
          <w:tcPr>
            <w:tcW w:w="619" w:type="pct"/>
            <w:tcMar>
              <w:left w:w="28" w:type="dxa"/>
              <w:right w:w="28" w:type="dxa"/>
            </w:tcMar>
            <w:vAlign w:val="center"/>
          </w:tcPr>
          <w:p w14:paraId="54B03DBD">
            <w:pPr>
              <w:pStyle w:val="13"/>
              <w:wordWrap w:val="0"/>
              <w:spacing w:line="240" w:lineRule="auto"/>
              <w:ind w:firstLine="0" w:firstLineChars="0"/>
              <w:jc w:val="center"/>
              <w:rPr>
                <w:b/>
                <w:bCs/>
                <w:color w:val="auto"/>
                <w:sz w:val="21"/>
                <w:szCs w:val="21"/>
              </w:rPr>
            </w:pPr>
            <w:r>
              <w:rPr>
                <w:b/>
                <w:bCs/>
                <w:color w:val="auto"/>
                <w:sz w:val="21"/>
                <w:szCs w:val="21"/>
              </w:rPr>
              <w:t>CAS号</w:t>
            </w:r>
          </w:p>
        </w:tc>
        <w:tc>
          <w:tcPr>
            <w:tcW w:w="2211" w:type="pct"/>
            <w:vAlign w:val="center"/>
          </w:tcPr>
          <w:p w14:paraId="4F084A76">
            <w:pPr>
              <w:pStyle w:val="13"/>
              <w:wordWrap w:val="0"/>
              <w:spacing w:line="240" w:lineRule="auto"/>
              <w:ind w:firstLine="0" w:firstLineChars="0"/>
              <w:jc w:val="center"/>
              <w:rPr>
                <w:b/>
                <w:bCs/>
                <w:color w:val="auto"/>
                <w:sz w:val="21"/>
                <w:szCs w:val="21"/>
              </w:rPr>
            </w:pPr>
            <w:r>
              <w:rPr>
                <w:b/>
                <w:bCs/>
                <w:color w:val="auto"/>
                <w:sz w:val="21"/>
                <w:szCs w:val="21"/>
              </w:rPr>
              <w:t>理化特性</w:t>
            </w:r>
          </w:p>
        </w:tc>
        <w:tc>
          <w:tcPr>
            <w:tcW w:w="1509" w:type="pct"/>
            <w:tcMar>
              <w:left w:w="28" w:type="dxa"/>
              <w:right w:w="28" w:type="dxa"/>
            </w:tcMar>
            <w:vAlign w:val="center"/>
          </w:tcPr>
          <w:p w14:paraId="03C2D2FD">
            <w:pPr>
              <w:pStyle w:val="13"/>
              <w:wordWrap w:val="0"/>
              <w:spacing w:line="240" w:lineRule="auto"/>
              <w:ind w:firstLine="0" w:firstLineChars="0"/>
              <w:jc w:val="center"/>
              <w:rPr>
                <w:b/>
                <w:bCs/>
                <w:color w:val="auto"/>
                <w:sz w:val="21"/>
                <w:szCs w:val="21"/>
              </w:rPr>
            </w:pPr>
            <w:r>
              <w:rPr>
                <w:b/>
                <w:bCs/>
                <w:color w:val="auto"/>
                <w:sz w:val="21"/>
                <w:szCs w:val="21"/>
              </w:rPr>
              <w:t>毒性毒理及燃烧爆炸性</w:t>
            </w:r>
          </w:p>
        </w:tc>
      </w:tr>
      <w:tr w14:paraId="6D392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014004B7">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硫磺</w:t>
            </w:r>
          </w:p>
        </w:tc>
        <w:tc>
          <w:tcPr>
            <w:tcW w:w="619" w:type="pct"/>
            <w:tcMar>
              <w:left w:w="28" w:type="dxa"/>
              <w:right w:w="28" w:type="dxa"/>
            </w:tcMar>
            <w:vAlign w:val="center"/>
          </w:tcPr>
          <w:p w14:paraId="019D37DE">
            <w:pPr>
              <w:wordWrap w:val="0"/>
              <w:spacing w:line="240" w:lineRule="auto"/>
              <w:ind w:firstLine="0" w:firstLineChars="0"/>
              <w:jc w:val="center"/>
              <w:rPr>
                <w:color w:val="auto"/>
                <w:sz w:val="21"/>
                <w:szCs w:val="21"/>
              </w:rPr>
            </w:pPr>
            <w:r>
              <w:rPr>
                <w:rFonts w:hint="eastAsia"/>
                <w:color w:val="auto"/>
                <w:sz w:val="21"/>
                <w:szCs w:val="21"/>
              </w:rPr>
              <w:t>7704-34-9</w:t>
            </w:r>
          </w:p>
        </w:tc>
        <w:tc>
          <w:tcPr>
            <w:tcW w:w="2211" w:type="pct"/>
            <w:vAlign w:val="center"/>
          </w:tcPr>
          <w:p w14:paraId="22658F0D">
            <w:pPr>
              <w:wordWrap w:val="0"/>
              <w:spacing w:line="240" w:lineRule="auto"/>
              <w:ind w:firstLine="0" w:firstLineChars="0"/>
              <w:jc w:val="center"/>
              <w:rPr>
                <w:color w:val="auto"/>
                <w:sz w:val="21"/>
                <w:szCs w:val="21"/>
              </w:rPr>
            </w:pPr>
            <w:r>
              <w:rPr>
                <w:rFonts w:hint="eastAsia"/>
                <w:color w:val="auto"/>
                <w:sz w:val="21"/>
                <w:szCs w:val="21"/>
              </w:rPr>
              <w:t>淡黄色脆性结晶或粉末，有特殊臭味，熔点/℃：119，沸点/℃：444.6；不溶于水，微溶于乙醇、醚，易溶于二硫化碳。与卤素、金属粉末等接触剧烈反应。硫磺为不良导体，在储运过程中易产生静电荷，可导致硫尘起火。粉尘或蒸气与空气或氧化剂混合形成爆炸性混合物。</w:t>
            </w:r>
          </w:p>
        </w:tc>
        <w:tc>
          <w:tcPr>
            <w:tcW w:w="1509" w:type="pct"/>
            <w:tcMar>
              <w:left w:w="28" w:type="dxa"/>
              <w:right w:w="28" w:type="dxa"/>
            </w:tcMar>
            <w:vAlign w:val="center"/>
          </w:tcPr>
          <w:p w14:paraId="2FDCAED6">
            <w:pPr>
              <w:widowControl/>
              <w:wordWrap w:val="0"/>
              <w:spacing w:line="240" w:lineRule="auto"/>
              <w:ind w:firstLine="0" w:firstLineChars="0"/>
              <w:jc w:val="center"/>
              <w:rPr>
                <w:color w:val="auto"/>
                <w:sz w:val="21"/>
                <w:szCs w:val="21"/>
              </w:rPr>
            </w:pPr>
            <w:r>
              <w:rPr>
                <w:rFonts w:hint="eastAsia"/>
                <w:color w:val="auto"/>
                <w:sz w:val="21"/>
                <w:szCs w:val="21"/>
              </w:rPr>
              <w:t>易燃，爆炸极限：≥35mg/m</w:t>
            </w:r>
            <w:r>
              <w:rPr>
                <w:rFonts w:hint="eastAsia"/>
                <w:color w:val="auto"/>
                <w:sz w:val="21"/>
                <w:szCs w:val="21"/>
                <w:vertAlign w:val="superscript"/>
              </w:rPr>
              <w:t>3</w:t>
            </w:r>
          </w:p>
        </w:tc>
      </w:tr>
      <w:tr w14:paraId="71398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2CA4F021">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氢氧化钾</w:t>
            </w:r>
          </w:p>
        </w:tc>
        <w:tc>
          <w:tcPr>
            <w:tcW w:w="619" w:type="pct"/>
            <w:tcMar>
              <w:left w:w="28" w:type="dxa"/>
              <w:right w:w="28" w:type="dxa"/>
            </w:tcMar>
            <w:vAlign w:val="center"/>
          </w:tcPr>
          <w:p w14:paraId="6D34A963">
            <w:pPr>
              <w:wordWrap w:val="0"/>
              <w:spacing w:line="240" w:lineRule="auto"/>
              <w:ind w:firstLine="0" w:firstLineChars="0"/>
              <w:jc w:val="center"/>
              <w:rPr>
                <w:color w:val="auto"/>
                <w:sz w:val="21"/>
                <w:szCs w:val="21"/>
              </w:rPr>
            </w:pPr>
            <w:r>
              <w:rPr>
                <w:rFonts w:hint="eastAsia"/>
                <w:color w:val="auto"/>
                <w:sz w:val="21"/>
                <w:szCs w:val="21"/>
              </w:rPr>
              <w:t>1310-58-3</w:t>
            </w:r>
          </w:p>
        </w:tc>
        <w:tc>
          <w:tcPr>
            <w:tcW w:w="2211" w:type="pct"/>
            <w:vAlign w:val="center"/>
          </w:tcPr>
          <w:p w14:paraId="1F812A6B">
            <w:pPr>
              <w:wordWrap w:val="0"/>
              <w:spacing w:line="240" w:lineRule="auto"/>
              <w:ind w:firstLine="0" w:firstLineChars="0"/>
              <w:jc w:val="center"/>
              <w:rPr>
                <w:color w:val="auto"/>
                <w:sz w:val="21"/>
                <w:szCs w:val="21"/>
              </w:rPr>
            </w:pPr>
            <w:r>
              <w:rPr>
                <w:rFonts w:hint="eastAsia"/>
                <w:color w:val="auto"/>
                <w:sz w:val="21"/>
                <w:szCs w:val="21"/>
              </w:rPr>
              <w:t>白色结晶性粉末，工业品多为片状或粒状；易潮解，易溶于水并放出大量热，也溶于乙醇；熔点360.4℃，沸点1320℃，密度1.450g/cm</w:t>
            </w:r>
            <w:r>
              <w:rPr>
                <w:rFonts w:hint="eastAsia"/>
                <w:color w:val="auto"/>
                <w:sz w:val="21"/>
                <w:szCs w:val="21"/>
                <w:vertAlign w:val="superscript"/>
              </w:rPr>
              <w:t>3</w:t>
            </w:r>
            <w:r>
              <w:rPr>
                <w:rFonts w:hint="eastAsia"/>
                <w:color w:val="auto"/>
                <w:sz w:val="21"/>
                <w:szCs w:val="21"/>
              </w:rPr>
              <w:t>（20℃）；饱和蒸气压0.13kPa（719℃）；水溶液呈强碱性，具有强腐蚀性。</w:t>
            </w:r>
          </w:p>
        </w:tc>
        <w:tc>
          <w:tcPr>
            <w:tcW w:w="1509" w:type="pct"/>
            <w:tcMar>
              <w:left w:w="28" w:type="dxa"/>
              <w:right w:w="28" w:type="dxa"/>
            </w:tcMar>
            <w:vAlign w:val="center"/>
          </w:tcPr>
          <w:p w14:paraId="2D55C6C2">
            <w:pPr>
              <w:tabs>
                <w:tab w:val="left" w:pos="9180"/>
              </w:tabs>
              <w:wordWrap w:val="0"/>
              <w:spacing w:line="240" w:lineRule="auto"/>
              <w:ind w:firstLine="0" w:firstLineChars="0"/>
              <w:jc w:val="center"/>
              <w:rPr>
                <w:color w:val="auto"/>
                <w:sz w:val="21"/>
                <w:szCs w:val="21"/>
              </w:rPr>
            </w:pPr>
            <w:r>
              <w:rPr>
                <w:rFonts w:hint="eastAsia"/>
                <w:color w:val="auto"/>
                <w:sz w:val="21"/>
                <w:szCs w:val="21"/>
              </w:rPr>
              <w:t>急性毒性：LD</w:t>
            </w:r>
            <w:r>
              <w:rPr>
                <w:rFonts w:hint="eastAsia"/>
                <w:color w:val="auto"/>
                <w:sz w:val="21"/>
                <w:szCs w:val="21"/>
                <w:vertAlign w:val="subscript"/>
              </w:rPr>
              <w:t>50</w:t>
            </w:r>
            <w:r>
              <w:rPr>
                <w:rFonts w:hint="eastAsia"/>
                <w:color w:val="auto"/>
                <w:sz w:val="21"/>
                <w:szCs w:val="21"/>
              </w:rPr>
              <w:t>：273mg/kg（大鼠经口）。危险特性：不燃，强腐蚀性；遇潮对铝、锌等金属有腐蚀性，可放出易燃易爆的氢气；与酸发生剧烈中和反应，放出大量热，有灼伤风险。</w:t>
            </w:r>
          </w:p>
        </w:tc>
      </w:tr>
      <w:tr w14:paraId="2751F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2BAEF0A4">
            <w:pPr>
              <w:pStyle w:val="34"/>
              <w:wordWrap w:val="0"/>
              <w:adjustRightInd w:val="0"/>
              <w:snapToGrid w:val="0"/>
              <w:spacing w:beforeLines="0" w:after="0"/>
              <w:rPr>
                <w:rFonts w:hAnsi="Times New Roman" w:cs="Times New Roman"/>
                <w:color w:val="auto"/>
                <w:spacing w:val="0"/>
                <w:sz w:val="21"/>
                <w:szCs w:val="21"/>
              </w:rPr>
            </w:pPr>
            <w:r>
              <w:rPr>
                <w:rFonts w:hint="eastAsia" w:hAnsi="Times New Roman" w:cs="Times New Roman"/>
                <w:color w:val="auto"/>
                <w:sz w:val="21"/>
                <w:szCs w:val="21"/>
              </w:rPr>
              <w:t>氢氧化钠</w:t>
            </w:r>
          </w:p>
        </w:tc>
        <w:tc>
          <w:tcPr>
            <w:tcW w:w="619" w:type="pct"/>
            <w:tcMar>
              <w:left w:w="28" w:type="dxa"/>
              <w:right w:w="28" w:type="dxa"/>
            </w:tcMar>
            <w:vAlign w:val="center"/>
          </w:tcPr>
          <w:p w14:paraId="07575591">
            <w:pPr>
              <w:wordWrap w:val="0"/>
              <w:spacing w:line="240" w:lineRule="auto"/>
              <w:ind w:firstLine="0" w:firstLineChars="0"/>
              <w:jc w:val="center"/>
              <w:rPr>
                <w:color w:val="auto"/>
                <w:sz w:val="21"/>
                <w:szCs w:val="21"/>
              </w:rPr>
            </w:pPr>
            <w:r>
              <w:rPr>
                <w:rFonts w:cs="Segoe UI Emoji"/>
                <w:color w:val="auto"/>
                <w:sz w:val="21"/>
                <w:shd w:val="clear" w:color="auto" w:fill="FFFFFF"/>
              </w:rPr>
              <w:t>1310-73-2</w:t>
            </w:r>
          </w:p>
        </w:tc>
        <w:tc>
          <w:tcPr>
            <w:tcW w:w="2211" w:type="pct"/>
            <w:vAlign w:val="center"/>
          </w:tcPr>
          <w:p w14:paraId="54C6C040">
            <w:pPr>
              <w:wordWrap w:val="0"/>
              <w:spacing w:line="240" w:lineRule="auto"/>
              <w:ind w:firstLine="0" w:firstLineChars="0"/>
              <w:jc w:val="center"/>
              <w:rPr>
                <w:color w:val="auto"/>
                <w:sz w:val="21"/>
                <w:szCs w:val="21"/>
              </w:rPr>
            </w:pPr>
            <w:r>
              <w:rPr>
                <w:rFonts w:cs="Segoe UI Emoji"/>
                <w:color w:val="auto"/>
                <w:sz w:val="21"/>
                <w:shd w:val="clear" w:color="auto" w:fill="FFFFFF"/>
              </w:rPr>
              <w:t>白色半透明块状或粒状固体，无臭；熔点318.4℃，沸点1390℃，密度2.13</w:t>
            </w:r>
            <w:r>
              <w:rPr>
                <w:rFonts w:hint="eastAsia"/>
                <w:color w:val="auto"/>
                <w:sz w:val="21"/>
                <w:szCs w:val="21"/>
              </w:rPr>
              <w:t>g/cm</w:t>
            </w:r>
            <w:r>
              <w:rPr>
                <w:rFonts w:hint="eastAsia"/>
                <w:color w:val="auto"/>
                <w:sz w:val="21"/>
                <w:szCs w:val="21"/>
                <w:vertAlign w:val="superscript"/>
              </w:rPr>
              <w:t>3</w:t>
            </w:r>
            <w:r>
              <w:rPr>
                <w:rFonts w:cs="Segoe UI Emoji"/>
                <w:color w:val="auto"/>
                <w:sz w:val="21"/>
                <w:shd w:val="clear" w:color="auto" w:fill="FFFFFF"/>
              </w:rPr>
              <w:t>；易潮解，易溶于水、乙醇和甘油，不溶于乙醚、丙酮；水溶液呈强碱性，易吸收空气中的水分和二氧化碳。</w:t>
            </w:r>
          </w:p>
        </w:tc>
        <w:tc>
          <w:tcPr>
            <w:tcW w:w="1509" w:type="pct"/>
            <w:tcMar>
              <w:left w:w="28" w:type="dxa"/>
              <w:right w:w="28" w:type="dxa"/>
            </w:tcMar>
            <w:vAlign w:val="center"/>
          </w:tcPr>
          <w:p w14:paraId="03CD7265">
            <w:pPr>
              <w:tabs>
                <w:tab w:val="left" w:pos="9180"/>
              </w:tabs>
              <w:wordWrap w:val="0"/>
              <w:spacing w:line="240" w:lineRule="auto"/>
              <w:ind w:firstLine="0" w:firstLineChars="0"/>
              <w:jc w:val="center"/>
              <w:rPr>
                <w:color w:val="auto"/>
                <w:sz w:val="21"/>
                <w:szCs w:val="21"/>
              </w:rPr>
            </w:pPr>
            <w:r>
              <w:rPr>
                <w:rFonts w:cs="Segoe UI Emoji"/>
                <w:color w:val="auto"/>
                <w:sz w:val="21"/>
                <w:shd w:val="clear" w:color="auto" w:fill="FFFFFF"/>
              </w:rPr>
              <w:t>急性毒性：</w:t>
            </w:r>
            <w:r>
              <w:rPr>
                <w:rFonts w:hint="eastAsia"/>
                <w:color w:val="auto"/>
                <w:sz w:val="21"/>
                <w:szCs w:val="21"/>
              </w:rPr>
              <w:t>LD</w:t>
            </w:r>
            <w:r>
              <w:rPr>
                <w:rFonts w:hint="eastAsia"/>
                <w:color w:val="auto"/>
                <w:sz w:val="21"/>
                <w:szCs w:val="21"/>
                <w:vertAlign w:val="subscript"/>
              </w:rPr>
              <w:t>50</w:t>
            </w:r>
            <w:r>
              <w:rPr>
                <w:rFonts w:hint="eastAsia"/>
                <w:color w:val="auto"/>
                <w:sz w:val="21"/>
                <w:szCs w:val="21"/>
              </w:rPr>
              <w:t>：40mg/kg（</w:t>
            </w:r>
            <w:r>
              <w:rPr>
                <w:rFonts w:cs="Segoe UI Emoji"/>
                <w:color w:val="auto"/>
                <w:sz w:val="21"/>
                <w:shd w:val="clear" w:color="auto" w:fill="FFFFFF"/>
              </w:rPr>
              <w:t>大鼠腹腔）。危险特性：不燃，强腐蚀性；遇潮对铝、锌等金属有腐蚀性，放出易燃易爆的氢气；与酸剧烈反应放热，可引起灼伤；粉尘对呼吸道、皮肤和眼睛有强烈刺激和腐蚀作用。</w:t>
            </w:r>
          </w:p>
        </w:tc>
      </w:tr>
      <w:tr w14:paraId="09F52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607A378F">
            <w:pPr>
              <w:pStyle w:val="34"/>
              <w:wordWrap w:val="0"/>
              <w:adjustRightInd w:val="0"/>
              <w:snapToGrid w:val="0"/>
              <w:spacing w:beforeLines="0" w:after="0"/>
              <w:rPr>
                <w:rFonts w:hAnsi="Times New Roman" w:cs="Times New Roman"/>
                <w:color w:val="auto"/>
                <w:spacing w:val="0"/>
                <w:sz w:val="21"/>
                <w:szCs w:val="21"/>
              </w:rPr>
            </w:pPr>
            <w:r>
              <w:rPr>
                <w:rFonts w:hint="eastAsia" w:hAnsi="Times New Roman" w:cs="Times New Roman"/>
                <w:color w:val="auto"/>
                <w:spacing w:val="0"/>
                <w:sz w:val="21"/>
                <w:szCs w:val="21"/>
              </w:rPr>
              <w:t>液氨</w:t>
            </w:r>
          </w:p>
        </w:tc>
        <w:tc>
          <w:tcPr>
            <w:tcW w:w="619" w:type="pct"/>
            <w:tcMar>
              <w:left w:w="28" w:type="dxa"/>
              <w:right w:w="28" w:type="dxa"/>
            </w:tcMar>
            <w:vAlign w:val="center"/>
          </w:tcPr>
          <w:p w14:paraId="271F8183">
            <w:pPr>
              <w:wordWrap w:val="0"/>
              <w:spacing w:line="240" w:lineRule="auto"/>
              <w:ind w:firstLine="0" w:firstLineChars="0"/>
              <w:jc w:val="center"/>
              <w:rPr>
                <w:color w:val="auto"/>
                <w:sz w:val="21"/>
                <w:szCs w:val="21"/>
              </w:rPr>
            </w:pPr>
            <w:r>
              <w:rPr>
                <w:rFonts w:cs="Segoe UI Emoji"/>
                <w:color w:val="auto"/>
                <w:sz w:val="21"/>
                <w:shd w:val="clear" w:color="auto" w:fill="FFFFFF"/>
              </w:rPr>
              <w:t>7664-41-7</w:t>
            </w:r>
          </w:p>
        </w:tc>
        <w:tc>
          <w:tcPr>
            <w:tcW w:w="2211" w:type="pct"/>
            <w:vAlign w:val="center"/>
          </w:tcPr>
          <w:p w14:paraId="6A25F9A9">
            <w:pPr>
              <w:wordWrap w:val="0"/>
              <w:spacing w:line="240" w:lineRule="auto"/>
              <w:ind w:firstLine="0" w:firstLineChars="0"/>
              <w:jc w:val="center"/>
              <w:rPr>
                <w:color w:val="auto"/>
                <w:sz w:val="21"/>
                <w:szCs w:val="21"/>
              </w:rPr>
            </w:pPr>
            <w:r>
              <w:rPr>
                <w:rFonts w:cs="Segoe UI Emoji"/>
                <w:color w:val="auto"/>
                <w:sz w:val="21"/>
                <w:shd w:val="clear" w:color="auto" w:fill="FFFFFF"/>
              </w:rPr>
              <w:t>常温常压下为无色有强烈刺激性恶臭的气体；熔点-77.7℃，沸点-33.5℃，相对密度（空气=1）0.59，相对密度（水=1）0.7（液态）；易溶于水，水溶液呈碱性；饱和蒸气压506.62kPa（4.7℃）；闪点-54℃。</w:t>
            </w:r>
          </w:p>
        </w:tc>
        <w:tc>
          <w:tcPr>
            <w:tcW w:w="1509" w:type="pct"/>
            <w:tcMar>
              <w:left w:w="28" w:type="dxa"/>
              <w:right w:w="28" w:type="dxa"/>
            </w:tcMar>
            <w:vAlign w:val="center"/>
          </w:tcPr>
          <w:p w14:paraId="2794F7EC">
            <w:pPr>
              <w:tabs>
                <w:tab w:val="left" w:pos="9180"/>
              </w:tabs>
              <w:wordWrap w:val="0"/>
              <w:spacing w:line="240" w:lineRule="auto"/>
              <w:ind w:firstLine="0" w:firstLineChars="0"/>
              <w:jc w:val="center"/>
              <w:rPr>
                <w:color w:val="auto"/>
                <w:sz w:val="21"/>
                <w:szCs w:val="21"/>
              </w:rPr>
            </w:pPr>
            <w:r>
              <w:rPr>
                <w:rFonts w:cs="Segoe UI Emoji"/>
                <w:color w:val="auto"/>
                <w:sz w:val="21"/>
                <w:shd w:val="clear" w:color="auto" w:fill="FFFFFF"/>
              </w:rPr>
              <w:t>急性毒性：LC</w:t>
            </w:r>
            <w:r>
              <w:rPr>
                <w:rFonts w:hint="eastAsia" w:cs="Segoe UI Emoji"/>
                <w:color w:val="auto"/>
                <w:sz w:val="21"/>
                <w:shd w:val="clear" w:color="auto" w:fill="FFFFFF"/>
                <w:vertAlign w:val="subscript"/>
              </w:rPr>
              <w:t>50</w:t>
            </w:r>
            <w:r>
              <w:rPr>
                <w:rFonts w:cs="Segoe UI Emoji"/>
                <w:color w:val="auto"/>
                <w:sz w:val="21"/>
                <w:shd w:val="clear" w:color="auto" w:fill="FFFFFF"/>
              </w:rPr>
              <w:t>：1390mg/m³（大鼠吸入，4h）；属低毒类，对眼、呼吸道黏膜有强烈刺激性和腐蚀性。危险特性：易燃，爆炸极限 15%~28%（体积分数）；与空气混合能形成爆炸性混合物，遇明火、高热能引起燃烧爆炸；与氟、氯等接触会发生剧烈反应，燃烧生成有毒的氮氧化物。</w:t>
            </w:r>
          </w:p>
        </w:tc>
      </w:tr>
      <w:tr w14:paraId="3A948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2F84E401">
            <w:pPr>
              <w:pStyle w:val="34"/>
              <w:wordWrap w:val="0"/>
              <w:adjustRightInd w:val="0"/>
              <w:snapToGrid w:val="0"/>
              <w:spacing w:beforeLines="0" w:after="0"/>
              <w:rPr>
                <w:rFonts w:hAnsi="Times New Roman" w:cs="Times New Roman"/>
                <w:color w:val="auto"/>
                <w:spacing w:val="0"/>
                <w:sz w:val="21"/>
                <w:szCs w:val="21"/>
              </w:rPr>
            </w:pPr>
            <w:r>
              <w:rPr>
                <w:rFonts w:hint="eastAsia" w:hAnsi="Times New Roman" w:cs="Times New Roman"/>
                <w:color w:val="auto"/>
                <w:spacing w:val="0"/>
                <w:sz w:val="21"/>
                <w:szCs w:val="21"/>
              </w:rPr>
              <w:t>氨水</w:t>
            </w:r>
          </w:p>
        </w:tc>
        <w:tc>
          <w:tcPr>
            <w:tcW w:w="619" w:type="pct"/>
            <w:tcMar>
              <w:left w:w="28" w:type="dxa"/>
              <w:right w:w="28" w:type="dxa"/>
            </w:tcMar>
            <w:vAlign w:val="center"/>
          </w:tcPr>
          <w:p w14:paraId="16DFB036">
            <w:pPr>
              <w:wordWrap w:val="0"/>
              <w:spacing w:line="240" w:lineRule="auto"/>
              <w:ind w:firstLine="0" w:firstLineChars="0"/>
              <w:jc w:val="center"/>
              <w:rPr>
                <w:rFonts w:cs="Segoe UI Emoji"/>
                <w:color w:val="auto"/>
                <w:sz w:val="21"/>
                <w:shd w:val="clear" w:color="auto" w:fill="FFFFFF"/>
              </w:rPr>
            </w:pPr>
            <w:r>
              <w:rPr>
                <w:rFonts w:hint="eastAsia" w:cs="Segoe UI Emoji"/>
                <w:color w:val="auto"/>
                <w:sz w:val="21"/>
                <w:shd w:val="clear" w:color="auto" w:fill="FFFFFF"/>
              </w:rPr>
              <w:t>1336-21-6</w:t>
            </w:r>
          </w:p>
        </w:tc>
        <w:tc>
          <w:tcPr>
            <w:tcW w:w="2211" w:type="pct"/>
            <w:vAlign w:val="center"/>
          </w:tcPr>
          <w:p w14:paraId="04CEEED9">
            <w:pPr>
              <w:wordWrap w:val="0"/>
              <w:spacing w:line="240" w:lineRule="auto"/>
              <w:ind w:firstLine="0" w:firstLineChars="0"/>
              <w:jc w:val="center"/>
              <w:rPr>
                <w:rFonts w:cs="Segoe UI Emoji"/>
                <w:color w:val="auto"/>
                <w:sz w:val="21"/>
                <w:shd w:val="clear" w:color="auto" w:fill="FFFFFF"/>
              </w:rPr>
            </w:pPr>
            <w:r>
              <w:rPr>
                <w:rFonts w:hint="eastAsia" w:cs="Segoe UI Emoji"/>
                <w:color w:val="auto"/>
                <w:sz w:val="21"/>
                <w:shd w:val="clear" w:color="auto" w:fill="FFFFFF"/>
              </w:rPr>
              <w:t>一种无色水状的溶液，密度0.91g/mL at 20°C，</w:t>
            </w:r>
            <w:r>
              <w:rPr>
                <w:rFonts w:cs="Segoe UI Emoji"/>
                <w:color w:val="auto"/>
                <w:sz w:val="21"/>
                <w:shd w:val="clear" w:color="auto" w:fill="FFFFFF"/>
              </w:rPr>
              <w:t>沸点</w:t>
            </w:r>
            <w:r>
              <w:rPr>
                <w:rFonts w:hint="eastAsia" w:cs="Segoe UI Emoji"/>
                <w:color w:val="auto"/>
                <w:sz w:val="21"/>
                <w:shd w:val="clear" w:color="auto" w:fill="FFFFFF"/>
              </w:rPr>
              <w:t>36</w:t>
            </w:r>
            <w:r>
              <w:rPr>
                <w:rFonts w:cs="Segoe UI Emoji"/>
                <w:color w:val="auto"/>
                <w:sz w:val="21"/>
                <w:shd w:val="clear" w:color="auto" w:fill="FFFFFF"/>
              </w:rPr>
              <w:t>℃</w:t>
            </w:r>
            <w:r>
              <w:rPr>
                <w:rFonts w:hint="eastAsia" w:cs="Segoe UI Emoji"/>
                <w:color w:val="auto"/>
                <w:sz w:val="21"/>
                <w:shd w:val="clear" w:color="auto" w:fill="FFFFFF"/>
              </w:rPr>
              <w:t>，</w:t>
            </w:r>
            <w:r>
              <w:rPr>
                <w:rFonts w:cs="Segoe UI Emoji"/>
                <w:color w:val="auto"/>
                <w:sz w:val="21"/>
                <w:shd w:val="clear" w:color="auto" w:fill="FFFFFF"/>
              </w:rPr>
              <w:t>熔点-77.7℃</w:t>
            </w:r>
            <w:r>
              <w:rPr>
                <w:rFonts w:hint="eastAsia" w:cs="Segoe UI Emoji"/>
                <w:color w:val="auto"/>
                <w:sz w:val="21"/>
                <w:shd w:val="clear" w:color="auto" w:fill="FFFFFF"/>
              </w:rPr>
              <w:t>。氨含量越多，密度越小，呈强碱性。</w:t>
            </w:r>
          </w:p>
        </w:tc>
        <w:tc>
          <w:tcPr>
            <w:tcW w:w="1509" w:type="pct"/>
            <w:tcMar>
              <w:left w:w="28" w:type="dxa"/>
              <w:right w:w="28" w:type="dxa"/>
            </w:tcMar>
            <w:vAlign w:val="center"/>
          </w:tcPr>
          <w:p w14:paraId="5F76CFE1">
            <w:pPr>
              <w:tabs>
                <w:tab w:val="left" w:pos="9180"/>
              </w:tabs>
              <w:wordWrap w:val="0"/>
              <w:spacing w:line="240" w:lineRule="auto"/>
              <w:ind w:firstLine="0" w:firstLineChars="0"/>
              <w:jc w:val="center"/>
              <w:rPr>
                <w:rFonts w:cs="Segoe UI Emoji"/>
                <w:color w:val="auto"/>
                <w:sz w:val="21"/>
                <w:shd w:val="clear" w:color="auto" w:fill="FFFFFF"/>
              </w:rPr>
            </w:pPr>
            <w:r>
              <w:rPr>
                <w:color w:val="auto"/>
                <w:kern w:val="0"/>
                <w:sz w:val="21"/>
                <w:szCs w:val="21"/>
                <w:lang w:bidi="ar"/>
              </w:rPr>
              <w:t>LD</w:t>
            </w:r>
            <w:r>
              <w:rPr>
                <w:color w:val="auto"/>
                <w:kern w:val="0"/>
                <w:sz w:val="21"/>
                <w:szCs w:val="21"/>
                <w:vertAlign w:val="subscript"/>
              </w:rPr>
              <w:t>50</w:t>
            </w:r>
            <w:r>
              <w:rPr>
                <w:color w:val="auto"/>
                <w:kern w:val="0"/>
                <w:sz w:val="21"/>
                <w:szCs w:val="21"/>
              </w:rPr>
              <w:t>：</w:t>
            </w:r>
            <w:r>
              <w:rPr>
                <w:color w:val="auto"/>
                <w:kern w:val="0"/>
                <w:sz w:val="21"/>
                <w:szCs w:val="21"/>
                <w:lang w:bidi="ar"/>
              </w:rPr>
              <w:t>350 mg/kg（大鼠经口）</w:t>
            </w:r>
            <w:r>
              <w:rPr>
                <w:rFonts w:hint="eastAsia"/>
                <w:color w:val="auto"/>
                <w:kern w:val="0"/>
                <w:sz w:val="21"/>
                <w:szCs w:val="21"/>
                <w:lang w:bidi="ar"/>
              </w:rPr>
              <w:t>，能吸收空气中的二氧化碳。遇酸激烈反应、放热并生成盐类。能与乙醇混溶.若遇高热，容器内压增大，有开裂和爆炸的危险。在氧气中燃烧生成氮气。</w:t>
            </w:r>
          </w:p>
        </w:tc>
      </w:tr>
      <w:tr w14:paraId="3A5B5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7684D10A">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亚硫酸氢铵</w:t>
            </w:r>
          </w:p>
        </w:tc>
        <w:tc>
          <w:tcPr>
            <w:tcW w:w="619" w:type="pct"/>
            <w:tcMar>
              <w:left w:w="28" w:type="dxa"/>
              <w:right w:w="28" w:type="dxa"/>
            </w:tcMar>
            <w:vAlign w:val="center"/>
          </w:tcPr>
          <w:p w14:paraId="748663A0">
            <w:pPr>
              <w:wordWrap w:val="0"/>
              <w:spacing w:line="240" w:lineRule="auto"/>
              <w:ind w:firstLine="0" w:firstLineChars="0"/>
              <w:jc w:val="center"/>
              <w:rPr>
                <w:color w:val="auto"/>
                <w:sz w:val="21"/>
                <w:szCs w:val="21"/>
              </w:rPr>
            </w:pPr>
            <w:r>
              <w:rPr>
                <w:rFonts w:cs="Helvetica"/>
                <w:color w:val="auto"/>
                <w:sz w:val="21"/>
                <w:szCs w:val="18"/>
                <w:shd w:val="clear" w:color="auto" w:fill="FFFFFF"/>
              </w:rPr>
              <w:t>10192-30-0</w:t>
            </w:r>
          </w:p>
        </w:tc>
        <w:tc>
          <w:tcPr>
            <w:tcW w:w="2211" w:type="pct"/>
            <w:vAlign w:val="center"/>
          </w:tcPr>
          <w:p w14:paraId="6AD1E35B">
            <w:pPr>
              <w:wordWrap w:val="0"/>
              <w:spacing w:line="240" w:lineRule="auto"/>
              <w:ind w:firstLine="0" w:firstLineChars="0"/>
              <w:jc w:val="center"/>
              <w:rPr>
                <w:color w:val="auto"/>
                <w:sz w:val="21"/>
                <w:szCs w:val="21"/>
              </w:rPr>
            </w:pPr>
            <w:r>
              <w:rPr>
                <w:rFonts w:cs="Segoe UI Emoji"/>
                <w:color w:val="auto"/>
                <w:sz w:val="21"/>
                <w:shd w:val="clear" w:color="auto" w:fill="FFFFFF"/>
              </w:rPr>
              <w:t>白色斜方棱晶，工业品常为黄褐色溶液，有二氧化硫气味；熔点150℃（分解），密度2.03g/cm³；溶于水，仅在溶液中稳定，空气中易被氧化；受热分解生成氨、二氧化硫和水。</w:t>
            </w:r>
          </w:p>
        </w:tc>
        <w:tc>
          <w:tcPr>
            <w:tcW w:w="1509" w:type="pct"/>
            <w:tcMar>
              <w:left w:w="28" w:type="dxa"/>
              <w:right w:w="28" w:type="dxa"/>
            </w:tcMar>
            <w:vAlign w:val="center"/>
          </w:tcPr>
          <w:p w14:paraId="2965C424">
            <w:pPr>
              <w:tabs>
                <w:tab w:val="left" w:pos="9180"/>
              </w:tabs>
              <w:wordWrap w:val="0"/>
              <w:spacing w:line="240" w:lineRule="auto"/>
              <w:ind w:firstLine="0" w:firstLineChars="0"/>
              <w:jc w:val="center"/>
              <w:rPr>
                <w:color w:val="auto"/>
                <w:sz w:val="21"/>
                <w:szCs w:val="21"/>
              </w:rPr>
            </w:pPr>
            <w:r>
              <w:rPr>
                <w:rFonts w:cs="Segoe UI Emoji"/>
                <w:color w:val="auto"/>
                <w:sz w:val="21"/>
                <w:shd w:val="clear" w:color="auto" w:fill="FFFFFF"/>
              </w:rPr>
              <w:t>低毒，浓溶液对皮肤、眼睛和呼吸道有轻度刺激作用；急性毒性数据低。危险特性：不燃，受热分解产生有毒的二氧化硫和氮氧化物气体；与强氧化剂反应可引起放热，有腐蚀和刺激风险。</w:t>
            </w:r>
          </w:p>
        </w:tc>
      </w:tr>
      <w:tr w14:paraId="2CEAD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7D448537">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氧化钙</w:t>
            </w:r>
          </w:p>
        </w:tc>
        <w:tc>
          <w:tcPr>
            <w:tcW w:w="619" w:type="pct"/>
            <w:tcMar>
              <w:left w:w="28" w:type="dxa"/>
              <w:right w:w="28" w:type="dxa"/>
            </w:tcMar>
            <w:vAlign w:val="center"/>
          </w:tcPr>
          <w:p w14:paraId="16651DD0">
            <w:pPr>
              <w:wordWrap w:val="0"/>
              <w:spacing w:line="240" w:lineRule="auto"/>
              <w:ind w:firstLine="0" w:firstLineChars="0"/>
              <w:jc w:val="center"/>
              <w:rPr>
                <w:color w:val="auto"/>
                <w:sz w:val="21"/>
                <w:szCs w:val="21"/>
              </w:rPr>
            </w:pPr>
            <w:r>
              <w:rPr>
                <w:rFonts w:cs="Segoe UI Emoji"/>
                <w:color w:val="auto"/>
                <w:sz w:val="21"/>
                <w:shd w:val="clear" w:color="auto" w:fill="FFFFFF"/>
              </w:rPr>
              <w:t>1305-78-8</w:t>
            </w:r>
          </w:p>
        </w:tc>
        <w:tc>
          <w:tcPr>
            <w:tcW w:w="2211" w:type="pct"/>
            <w:vAlign w:val="center"/>
          </w:tcPr>
          <w:p w14:paraId="143C66E9">
            <w:pPr>
              <w:wordWrap w:val="0"/>
              <w:spacing w:line="240" w:lineRule="auto"/>
              <w:ind w:firstLine="0" w:firstLineChars="0"/>
              <w:jc w:val="center"/>
              <w:rPr>
                <w:color w:val="auto"/>
                <w:sz w:val="21"/>
                <w:szCs w:val="21"/>
              </w:rPr>
            </w:pPr>
            <w:r>
              <w:rPr>
                <w:rFonts w:cs="Segoe UI Emoji"/>
                <w:color w:val="auto"/>
                <w:sz w:val="21"/>
                <w:shd w:val="clear" w:color="auto" w:fill="FFFFFF"/>
              </w:rPr>
              <w:t>白色或灰白色块状或粉末，不纯时呈淡黄色；熔点2572℃，沸点2850℃，相对密度3.35g/cm</w:t>
            </w:r>
            <w:r>
              <w:rPr>
                <w:rFonts w:hint="eastAsia" w:cs="Segoe UI Emoji"/>
                <w:color w:val="auto"/>
                <w:sz w:val="21"/>
                <w:shd w:val="clear" w:color="auto" w:fill="FFFFFF"/>
                <w:vertAlign w:val="superscript"/>
              </w:rPr>
              <w:t>3</w:t>
            </w:r>
            <w:r>
              <w:rPr>
                <w:rFonts w:cs="Segoe UI Emoji"/>
                <w:color w:val="auto"/>
                <w:sz w:val="21"/>
                <w:shd w:val="clear" w:color="auto" w:fill="FFFFFF"/>
              </w:rPr>
              <w:t>；易从空气中吸收水分和二氧化碳；遇水剧烈反应生成氢氧化钙，放出大量热，微溶于酸，几乎不溶于乙醇。</w:t>
            </w:r>
          </w:p>
        </w:tc>
        <w:tc>
          <w:tcPr>
            <w:tcW w:w="1509" w:type="pct"/>
            <w:tcMar>
              <w:left w:w="28" w:type="dxa"/>
              <w:right w:w="28" w:type="dxa"/>
            </w:tcMar>
            <w:vAlign w:val="center"/>
          </w:tcPr>
          <w:p w14:paraId="5C05A50D">
            <w:pPr>
              <w:tabs>
                <w:tab w:val="left" w:pos="9180"/>
              </w:tabs>
              <w:wordWrap w:val="0"/>
              <w:spacing w:line="240" w:lineRule="auto"/>
              <w:ind w:firstLine="0" w:firstLineChars="0"/>
              <w:jc w:val="center"/>
              <w:rPr>
                <w:color w:val="auto"/>
                <w:sz w:val="21"/>
                <w:szCs w:val="21"/>
              </w:rPr>
            </w:pPr>
            <w:r>
              <w:rPr>
                <w:rFonts w:cs="Segoe UI Emoji"/>
                <w:color w:val="auto"/>
                <w:sz w:val="21"/>
                <w:shd w:val="clear" w:color="auto" w:fill="FFFFFF"/>
              </w:rPr>
              <w:t>急性毒性：LD</w:t>
            </w:r>
            <w:r>
              <w:rPr>
                <w:rFonts w:hint="eastAsia" w:cs="Segoe UI Emoji"/>
                <w:color w:val="auto"/>
                <w:sz w:val="21"/>
                <w:shd w:val="clear" w:color="auto" w:fill="FFFFFF"/>
                <w:vertAlign w:val="subscript"/>
              </w:rPr>
              <w:t>50</w:t>
            </w:r>
            <w:r>
              <w:rPr>
                <w:rFonts w:cs="Segoe UI Emoji"/>
                <w:color w:val="auto"/>
                <w:sz w:val="21"/>
                <w:shd w:val="clear" w:color="auto" w:fill="FFFFFF"/>
              </w:rPr>
              <w:t>：3059mg/kg（小鼠腹腔）；粉尘对呼吸道、皮肤和眼睛有强烈刺激和腐蚀性，可引起灼伤。危险特性：不燃，与水反应放热，热量可使有机物燃烧；粉状氧化钙与水混合在密闭容器中可能引发爆炸；与酸剧烈反应放热。</w:t>
            </w:r>
          </w:p>
        </w:tc>
      </w:tr>
      <w:tr w14:paraId="24AE8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5061233C">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硫代硫酸铵</w:t>
            </w:r>
          </w:p>
        </w:tc>
        <w:tc>
          <w:tcPr>
            <w:tcW w:w="619" w:type="pct"/>
            <w:tcMar>
              <w:left w:w="28" w:type="dxa"/>
              <w:right w:w="28" w:type="dxa"/>
            </w:tcMar>
            <w:vAlign w:val="center"/>
          </w:tcPr>
          <w:p w14:paraId="324D8A5C">
            <w:pPr>
              <w:widowControl/>
              <w:spacing w:line="240" w:lineRule="auto"/>
              <w:ind w:firstLine="0" w:firstLineChars="0"/>
              <w:jc w:val="center"/>
              <w:rPr>
                <w:color w:val="auto"/>
                <w:sz w:val="21"/>
                <w:szCs w:val="21"/>
              </w:rPr>
            </w:pPr>
            <w:r>
              <w:rPr>
                <w:rFonts w:cs="Segoe UI Emoji"/>
                <w:color w:val="auto"/>
                <w:kern w:val="0"/>
                <w:sz w:val="21"/>
                <w:lang w:bidi="ar"/>
              </w:rPr>
              <w:t>7783-18-8</w:t>
            </w:r>
          </w:p>
        </w:tc>
        <w:tc>
          <w:tcPr>
            <w:tcW w:w="2211" w:type="pct"/>
            <w:vAlign w:val="center"/>
          </w:tcPr>
          <w:p w14:paraId="15AE7105">
            <w:pPr>
              <w:widowControl/>
              <w:spacing w:line="240" w:lineRule="auto"/>
              <w:ind w:firstLine="0" w:firstLineChars="0"/>
              <w:jc w:val="center"/>
              <w:rPr>
                <w:color w:val="auto"/>
                <w:sz w:val="21"/>
                <w:szCs w:val="21"/>
              </w:rPr>
            </w:pPr>
            <w:r>
              <w:rPr>
                <w:rFonts w:cs="Segoe UI Emoji"/>
                <w:color w:val="auto"/>
                <w:kern w:val="0"/>
                <w:sz w:val="21"/>
                <w:lang w:bidi="ar"/>
              </w:rPr>
              <w:t>无色单斜晶系结晶，易潮解；熔点150℃（分解），密度1.679g/mL；易溶于水，微溶于丙酮，不溶于乙醇、乙醚；水溶液久置会析出硫单质，受热分解生成亚硫酸铵、硫、氨和硫化氢。</w:t>
            </w:r>
          </w:p>
        </w:tc>
        <w:tc>
          <w:tcPr>
            <w:tcW w:w="1509" w:type="pct"/>
            <w:tcMar>
              <w:left w:w="28" w:type="dxa"/>
              <w:right w:w="28" w:type="dxa"/>
            </w:tcMar>
            <w:vAlign w:val="center"/>
          </w:tcPr>
          <w:p w14:paraId="390BBC70">
            <w:pPr>
              <w:widowControl/>
              <w:spacing w:line="240" w:lineRule="auto"/>
              <w:ind w:firstLine="0" w:firstLineChars="0"/>
              <w:jc w:val="center"/>
              <w:rPr>
                <w:color w:val="auto"/>
                <w:sz w:val="21"/>
                <w:szCs w:val="21"/>
              </w:rPr>
            </w:pPr>
            <w:r>
              <w:rPr>
                <w:rFonts w:cs="Segoe UI Emoji"/>
                <w:color w:val="auto"/>
                <w:kern w:val="0"/>
                <w:sz w:val="21"/>
                <w:lang w:bidi="ar"/>
              </w:rPr>
              <w:t>急性毒性：LD₅₀：2980mg/kg（大鼠经口）；粉尘对呼吸道、皮肤和眼睛有刺激性。危险特性：不燃，受热分解产生有毒的硫化氢、氨和硫氧化物气体；与强氧化剂接触可发生放热反应，与金属粉末接触可能引发反应。</w:t>
            </w:r>
          </w:p>
        </w:tc>
      </w:tr>
      <w:tr w14:paraId="4C26E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07FFF36C">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碳酸镁</w:t>
            </w:r>
          </w:p>
        </w:tc>
        <w:tc>
          <w:tcPr>
            <w:tcW w:w="619" w:type="pct"/>
            <w:tcMar>
              <w:left w:w="28" w:type="dxa"/>
              <w:right w:w="28" w:type="dxa"/>
            </w:tcMar>
            <w:vAlign w:val="center"/>
          </w:tcPr>
          <w:p w14:paraId="5AB36C51">
            <w:pPr>
              <w:widowControl/>
              <w:spacing w:line="240" w:lineRule="auto"/>
              <w:ind w:firstLine="0" w:firstLineChars="0"/>
              <w:jc w:val="center"/>
              <w:rPr>
                <w:color w:val="auto"/>
                <w:sz w:val="21"/>
                <w:szCs w:val="21"/>
              </w:rPr>
            </w:pPr>
            <w:r>
              <w:rPr>
                <w:rFonts w:cs="Segoe UI Emoji"/>
                <w:color w:val="auto"/>
                <w:kern w:val="0"/>
                <w:sz w:val="21"/>
                <w:lang w:bidi="ar"/>
              </w:rPr>
              <w:t>546-93-0</w:t>
            </w:r>
          </w:p>
        </w:tc>
        <w:tc>
          <w:tcPr>
            <w:tcW w:w="2211" w:type="pct"/>
            <w:vAlign w:val="center"/>
          </w:tcPr>
          <w:p w14:paraId="6E577930">
            <w:pPr>
              <w:widowControl/>
              <w:spacing w:line="240" w:lineRule="auto"/>
              <w:ind w:firstLine="0" w:firstLineChars="0"/>
              <w:jc w:val="center"/>
              <w:rPr>
                <w:color w:val="auto"/>
                <w:sz w:val="21"/>
                <w:szCs w:val="21"/>
              </w:rPr>
            </w:pPr>
            <w:r>
              <w:rPr>
                <w:rFonts w:cs="Segoe UI Emoji"/>
                <w:color w:val="auto"/>
                <w:kern w:val="0"/>
                <w:sz w:val="21"/>
                <w:lang w:bidi="ar"/>
              </w:rPr>
              <w:t>白色颗粒性粉末，无臭；熔点990℃，相对密度3.05；微溶于冷水，几乎不溶于乙醇，溶于稀酸并放出二氧化碳；加热至350℃以上分解为氧化镁和二氧化碳。</w:t>
            </w:r>
          </w:p>
        </w:tc>
        <w:tc>
          <w:tcPr>
            <w:tcW w:w="1509" w:type="pct"/>
            <w:tcMar>
              <w:left w:w="28" w:type="dxa"/>
              <w:right w:w="28" w:type="dxa"/>
            </w:tcMar>
            <w:vAlign w:val="center"/>
          </w:tcPr>
          <w:p w14:paraId="66A7E4BE">
            <w:pPr>
              <w:widowControl/>
              <w:spacing w:line="240" w:lineRule="auto"/>
              <w:ind w:firstLine="0" w:firstLineChars="0"/>
              <w:jc w:val="center"/>
              <w:rPr>
                <w:color w:val="auto"/>
                <w:sz w:val="21"/>
                <w:szCs w:val="21"/>
              </w:rPr>
            </w:pPr>
            <w:r>
              <w:rPr>
                <w:rFonts w:cs="Segoe UI Emoji"/>
                <w:color w:val="auto"/>
                <w:kern w:val="0"/>
                <w:sz w:val="21"/>
                <w:lang w:bidi="ar"/>
              </w:rPr>
              <w:t>低毒，急性毒性：LD₅₀：&gt;5000mg/kg（大鼠经口）；粉尘对呼吸道有轻度刺激作用。危险特性：不燃，受热分解产生二氧化碳气体；无燃烧爆炸风险，性质稳定。</w:t>
            </w:r>
          </w:p>
        </w:tc>
      </w:tr>
      <w:tr w14:paraId="674C6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0A4FA31A">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二氧化硫</w:t>
            </w:r>
          </w:p>
        </w:tc>
        <w:tc>
          <w:tcPr>
            <w:tcW w:w="619" w:type="pct"/>
            <w:tcMar>
              <w:left w:w="28" w:type="dxa"/>
              <w:right w:w="28" w:type="dxa"/>
            </w:tcMar>
            <w:vAlign w:val="center"/>
          </w:tcPr>
          <w:p w14:paraId="08BCDBBB">
            <w:pPr>
              <w:widowControl/>
              <w:spacing w:line="240" w:lineRule="auto"/>
              <w:ind w:firstLine="0" w:firstLineChars="0"/>
              <w:jc w:val="center"/>
              <w:rPr>
                <w:color w:val="auto"/>
                <w:sz w:val="21"/>
                <w:szCs w:val="21"/>
              </w:rPr>
            </w:pPr>
            <w:r>
              <w:rPr>
                <w:rFonts w:cs="Segoe UI Emoji"/>
                <w:color w:val="auto"/>
                <w:kern w:val="0"/>
                <w:sz w:val="21"/>
                <w:lang w:bidi="ar"/>
              </w:rPr>
              <w:t>7446-09-5</w:t>
            </w:r>
          </w:p>
        </w:tc>
        <w:tc>
          <w:tcPr>
            <w:tcW w:w="2211" w:type="pct"/>
            <w:vAlign w:val="center"/>
          </w:tcPr>
          <w:p w14:paraId="1E643111">
            <w:pPr>
              <w:widowControl/>
              <w:spacing w:line="240" w:lineRule="auto"/>
              <w:ind w:firstLine="0" w:firstLineChars="0"/>
              <w:jc w:val="center"/>
              <w:rPr>
                <w:color w:val="auto"/>
                <w:sz w:val="21"/>
                <w:szCs w:val="21"/>
              </w:rPr>
            </w:pPr>
            <w:r>
              <w:rPr>
                <w:rFonts w:cs="Segoe UI Emoji"/>
                <w:color w:val="auto"/>
                <w:kern w:val="0"/>
                <w:sz w:val="21"/>
                <w:lang w:bidi="ar"/>
              </w:rPr>
              <w:t>无色透明气体，有强烈刺激性臭味；熔点-75.5℃，沸点-10℃，相对密度（空气=1）2.26，液态密度1.436g/cm³；易溶于水、乙醇和乙醚，常温常压下1体积水可溶解40体积二氧化硫；易液化，液态性质稳定。</w:t>
            </w:r>
          </w:p>
        </w:tc>
        <w:tc>
          <w:tcPr>
            <w:tcW w:w="1509" w:type="pct"/>
            <w:tcMar>
              <w:left w:w="28" w:type="dxa"/>
              <w:right w:w="28" w:type="dxa"/>
            </w:tcMar>
            <w:vAlign w:val="center"/>
          </w:tcPr>
          <w:p w14:paraId="74CC673F">
            <w:pPr>
              <w:widowControl/>
              <w:spacing w:line="240" w:lineRule="auto"/>
              <w:ind w:firstLine="0" w:firstLineChars="0"/>
              <w:jc w:val="center"/>
              <w:rPr>
                <w:color w:val="auto"/>
                <w:sz w:val="21"/>
                <w:szCs w:val="21"/>
              </w:rPr>
            </w:pPr>
            <w:r>
              <w:rPr>
                <w:rFonts w:cs="Segoe UI Emoji"/>
                <w:color w:val="auto"/>
                <w:kern w:val="0"/>
                <w:sz w:val="21"/>
                <w:lang w:bidi="ar"/>
              </w:rPr>
              <w:t>有毒，对眼、呼吸道黏膜有强烈刺激作用，可引起支气管炎、肺气肿等疾病；LC₅₀：6600mg/m³（大鼠吸入，1h）。危险特性：不燃，无爆炸极限；遇水或水蒸气反应生成亚硫酸，具有腐蚀性；与强还原剂、金属粉末等接触可发生剧烈反应。</w:t>
            </w:r>
          </w:p>
        </w:tc>
      </w:tr>
      <w:tr w14:paraId="7BEBD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9" w:type="pct"/>
            <w:tcMar>
              <w:left w:w="28" w:type="dxa"/>
              <w:right w:w="28" w:type="dxa"/>
            </w:tcMar>
            <w:vAlign w:val="center"/>
          </w:tcPr>
          <w:p w14:paraId="56C8613F">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亚硫酸钾</w:t>
            </w:r>
          </w:p>
        </w:tc>
        <w:tc>
          <w:tcPr>
            <w:tcW w:w="619" w:type="pct"/>
            <w:tcMar>
              <w:left w:w="28" w:type="dxa"/>
              <w:right w:w="28" w:type="dxa"/>
            </w:tcMar>
            <w:vAlign w:val="center"/>
          </w:tcPr>
          <w:p w14:paraId="31E29C0F">
            <w:pPr>
              <w:widowControl/>
              <w:spacing w:line="240" w:lineRule="auto"/>
              <w:ind w:firstLine="0" w:firstLineChars="0"/>
              <w:jc w:val="center"/>
              <w:rPr>
                <w:color w:val="auto"/>
                <w:sz w:val="21"/>
                <w:szCs w:val="21"/>
              </w:rPr>
            </w:pPr>
            <w:r>
              <w:rPr>
                <w:rFonts w:cs="Segoe UI Emoji"/>
                <w:color w:val="auto"/>
                <w:kern w:val="0"/>
                <w:sz w:val="21"/>
                <w:lang w:bidi="ar"/>
              </w:rPr>
              <w:t>10117-38-1</w:t>
            </w:r>
          </w:p>
        </w:tc>
        <w:tc>
          <w:tcPr>
            <w:tcW w:w="2211" w:type="pct"/>
            <w:vAlign w:val="center"/>
          </w:tcPr>
          <w:p w14:paraId="75D3C9C3">
            <w:pPr>
              <w:widowControl/>
              <w:spacing w:line="240" w:lineRule="auto"/>
              <w:ind w:firstLine="0" w:firstLineChars="0"/>
              <w:jc w:val="center"/>
              <w:rPr>
                <w:color w:val="auto"/>
                <w:sz w:val="21"/>
                <w:szCs w:val="21"/>
              </w:rPr>
            </w:pPr>
            <w:r>
              <w:rPr>
                <w:rFonts w:cs="Segoe UI Emoji"/>
                <w:color w:val="auto"/>
                <w:kern w:val="0"/>
                <w:sz w:val="21"/>
                <w:lang w:bidi="ar"/>
              </w:rPr>
              <w:t>白色单斜晶系结晶或粉末，无臭；熔点912℃，密度 1.74g/cm³；易溶于水，水溶液呈弱碱性，微溶于乙醇；在空气中缓慢氧化为硫酸钾，遇酸分解放出二氧化硫。</w:t>
            </w:r>
          </w:p>
        </w:tc>
        <w:tc>
          <w:tcPr>
            <w:tcW w:w="1509" w:type="pct"/>
            <w:tcMar>
              <w:left w:w="28" w:type="dxa"/>
              <w:right w:w="28" w:type="dxa"/>
            </w:tcMar>
            <w:vAlign w:val="center"/>
          </w:tcPr>
          <w:p w14:paraId="6A4325DB">
            <w:pPr>
              <w:widowControl/>
              <w:spacing w:line="240" w:lineRule="auto"/>
              <w:ind w:firstLine="0" w:firstLineChars="0"/>
              <w:jc w:val="center"/>
              <w:rPr>
                <w:color w:val="auto"/>
                <w:sz w:val="21"/>
                <w:szCs w:val="21"/>
              </w:rPr>
            </w:pPr>
            <w:r>
              <w:rPr>
                <w:rFonts w:cs="Segoe UI Emoji"/>
                <w:color w:val="auto"/>
                <w:kern w:val="0"/>
                <w:sz w:val="21"/>
                <w:lang w:bidi="ar"/>
              </w:rPr>
              <w:t>低毒，对皮肤、眼睛和呼吸道有轻度刺激作用；无明确急性毒性数据。危险特性：不燃，受热分解产生有毒的二氧化硫气体；与强氧化剂接触可发生放热反应，无爆炸风险。</w:t>
            </w:r>
          </w:p>
        </w:tc>
      </w:tr>
      <w:tr w14:paraId="2971E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9" w:type="pct"/>
            <w:tcMar>
              <w:left w:w="28" w:type="dxa"/>
              <w:right w:w="28" w:type="dxa"/>
            </w:tcMar>
            <w:vAlign w:val="center"/>
          </w:tcPr>
          <w:p w14:paraId="735DCB90">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碳酸氢铵</w:t>
            </w:r>
          </w:p>
        </w:tc>
        <w:tc>
          <w:tcPr>
            <w:tcW w:w="619" w:type="pct"/>
            <w:tcMar>
              <w:left w:w="28" w:type="dxa"/>
              <w:right w:w="28" w:type="dxa"/>
            </w:tcMar>
            <w:vAlign w:val="center"/>
          </w:tcPr>
          <w:p w14:paraId="32088DE2">
            <w:pPr>
              <w:wordWrap w:val="0"/>
              <w:spacing w:line="240" w:lineRule="auto"/>
              <w:ind w:firstLine="0" w:firstLineChars="0"/>
              <w:jc w:val="center"/>
              <w:rPr>
                <w:color w:val="auto"/>
                <w:sz w:val="21"/>
                <w:szCs w:val="21"/>
              </w:rPr>
            </w:pPr>
            <w:r>
              <w:rPr>
                <w:rFonts w:cs="宋体"/>
                <w:color w:val="auto"/>
                <w:sz w:val="21"/>
              </w:rPr>
              <w:t>1066-33-7</w:t>
            </w:r>
          </w:p>
        </w:tc>
        <w:tc>
          <w:tcPr>
            <w:tcW w:w="2211" w:type="pct"/>
            <w:vAlign w:val="center"/>
          </w:tcPr>
          <w:p w14:paraId="62FA7C1B">
            <w:pPr>
              <w:wordWrap w:val="0"/>
              <w:spacing w:line="240" w:lineRule="auto"/>
              <w:ind w:firstLine="0" w:firstLineChars="0"/>
              <w:jc w:val="center"/>
              <w:rPr>
                <w:color w:val="auto"/>
                <w:sz w:val="21"/>
                <w:szCs w:val="21"/>
              </w:rPr>
            </w:pPr>
            <w:r>
              <w:rPr>
                <w:rFonts w:cs="宋体"/>
                <w:color w:val="auto"/>
                <w:sz w:val="21"/>
              </w:rPr>
              <w:t>白色单斜晶系结晶或粉末，有氨味；熔点36-60℃（分解），相对密度1.58；易溶于水，水溶液呈弱碱性，不溶于乙醇；受热易分解为氨、二氧化碳和水，常温下也缓慢分解。急性毒性：LD₅₀：1576mg/kg（大鼠经口）；</w:t>
            </w:r>
          </w:p>
        </w:tc>
        <w:tc>
          <w:tcPr>
            <w:tcW w:w="1509" w:type="pct"/>
            <w:tcMar>
              <w:left w:w="28" w:type="dxa"/>
              <w:right w:w="28" w:type="dxa"/>
            </w:tcMar>
            <w:vAlign w:val="center"/>
          </w:tcPr>
          <w:p w14:paraId="1E827980">
            <w:pPr>
              <w:wordWrap w:val="0"/>
              <w:spacing w:line="240" w:lineRule="auto"/>
              <w:ind w:firstLine="0" w:firstLineChars="0"/>
              <w:jc w:val="center"/>
              <w:rPr>
                <w:color w:val="auto"/>
                <w:sz w:val="21"/>
                <w:szCs w:val="21"/>
              </w:rPr>
            </w:pPr>
            <w:r>
              <w:rPr>
                <w:rFonts w:cs="宋体"/>
                <w:color w:val="auto"/>
                <w:sz w:val="21"/>
              </w:rPr>
              <w:t>低毒，对皮肤、黏膜有轻度刺激性。危险特性：不燃，受热分解产生刺激性氨和二氧化碳气体；无燃烧爆炸风险。</w:t>
            </w:r>
          </w:p>
        </w:tc>
      </w:tr>
      <w:tr w14:paraId="3A6A7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4A6DD89B">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亚硫酸钠</w:t>
            </w:r>
          </w:p>
        </w:tc>
        <w:tc>
          <w:tcPr>
            <w:tcW w:w="619" w:type="pct"/>
            <w:tcMar>
              <w:left w:w="28" w:type="dxa"/>
              <w:right w:w="28" w:type="dxa"/>
            </w:tcMar>
            <w:vAlign w:val="center"/>
          </w:tcPr>
          <w:p w14:paraId="1C20CCBA">
            <w:pPr>
              <w:wordWrap w:val="0"/>
              <w:spacing w:line="240" w:lineRule="auto"/>
              <w:ind w:firstLine="0" w:firstLineChars="0"/>
              <w:jc w:val="center"/>
              <w:rPr>
                <w:color w:val="auto"/>
                <w:sz w:val="21"/>
                <w:szCs w:val="21"/>
              </w:rPr>
            </w:pPr>
            <w:r>
              <w:rPr>
                <w:rFonts w:cs="宋体"/>
                <w:color w:val="auto"/>
                <w:sz w:val="21"/>
              </w:rPr>
              <w:t>7757-83-7</w:t>
            </w:r>
          </w:p>
        </w:tc>
        <w:tc>
          <w:tcPr>
            <w:tcW w:w="2211" w:type="pct"/>
            <w:vAlign w:val="center"/>
          </w:tcPr>
          <w:p w14:paraId="45ADC022">
            <w:pPr>
              <w:wordWrap w:val="0"/>
              <w:spacing w:line="240" w:lineRule="auto"/>
              <w:ind w:firstLine="0" w:firstLineChars="0"/>
              <w:jc w:val="center"/>
              <w:rPr>
                <w:color w:val="auto"/>
                <w:sz w:val="21"/>
                <w:szCs w:val="21"/>
              </w:rPr>
            </w:pPr>
            <w:r>
              <w:rPr>
                <w:rFonts w:cs="宋体"/>
                <w:color w:val="auto"/>
                <w:sz w:val="21"/>
              </w:rPr>
              <w:t>白色结晶性粉末或颗粒，无臭；熔点无水物250℃（分解），相对密度2.63；易溶于水，水溶液呈弱碱性，微溶于乙醇；在空气中易被氧化为硫酸钠，遇酸分解放出二氧化硫。</w:t>
            </w:r>
          </w:p>
        </w:tc>
        <w:tc>
          <w:tcPr>
            <w:tcW w:w="1509" w:type="pct"/>
            <w:tcMar>
              <w:left w:w="28" w:type="dxa"/>
              <w:right w:w="28" w:type="dxa"/>
            </w:tcMar>
            <w:vAlign w:val="center"/>
          </w:tcPr>
          <w:p w14:paraId="215B7455">
            <w:pPr>
              <w:wordWrap w:val="0"/>
              <w:spacing w:line="240" w:lineRule="auto"/>
              <w:ind w:firstLine="0" w:firstLineChars="0"/>
              <w:jc w:val="center"/>
              <w:rPr>
                <w:color w:val="auto"/>
                <w:sz w:val="21"/>
                <w:szCs w:val="21"/>
              </w:rPr>
            </w:pPr>
            <w:r>
              <w:rPr>
                <w:rFonts w:cs="宋体"/>
                <w:color w:val="auto"/>
                <w:sz w:val="21"/>
              </w:rPr>
              <w:t>急性毒性：LD₅₀：3800mg/kg（大鼠经口）；低毒，对皮肤、眼睛和呼吸道有轻度刺激。危险特性：不燃，受热分解产生有毒的二氧化硫气体；与强氧化剂接触可发生放热反应，无爆炸风险。</w:t>
            </w:r>
          </w:p>
        </w:tc>
      </w:tr>
      <w:tr w14:paraId="5F24D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73EDC219">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硫代硫酸钙</w:t>
            </w:r>
          </w:p>
        </w:tc>
        <w:tc>
          <w:tcPr>
            <w:tcW w:w="619" w:type="pct"/>
            <w:tcMar>
              <w:left w:w="28" w:type="dxa"/>
              <w:right w:w="28" w:type="dxa"/>
            </w:tcMar>
            <w:vAlign w:val="center"/>
          </w:tcPr>
          <w:p w14:paraId="1096BD77">
            <w:pPr>
              <w:wordWrap w:val="0"/>
              <w:spacing w:line="240" w:lineRule="auto"/>
              <w:ind w:firstLine="0" w:firstLineChars="0"/>
              <w:jc w:val="center"/>
              <w:rPr>
                <w:color w:val="auto"/>
                <w:sz w:val="21"/>
                <w:szCs w:val="21"/>
              </w:rPr>
            </w:pPr>
            <w:r>
              <w:rPr>
                <w:rFonts w:cs="宋体"/>
                <w:color w:val="auto"/>
                <w:sz w:val="21"/>
              </w:rPr>
              <w:t>10101-55-0</w:t>
            </w:r>
          </w:p>
        </w:tc>
        <w:tc>
          <w:tcPr>
            <w:tcW w:w="2211" w:type="pct"/>
            <w:vAlign w:val="center"/>
          </w:tcPr>
          <w:p w14:paraId="37A8AB58">
            <w:pPr>
              <w:wordWrap w:val="0"/>
              <w:spacing w:line="240" w:lineRule="auto"/>
              <w:ind w:firstLine="0" w:firstLineChars="0"/>
              <w:jc w:val="center"/>
              <w:rPr>
                <w:color w:val="auto"/>
                <w:sz w:val="21"/>
                <w:szCs w:val="21"/>
              </w:rPr>
            </w:pPr>
            <w:r>
              <w:rPr>
                <w:rFonts w:cs="宋体"/>
                <w:color w:val="auto"/>
                <w:sz w:val="21"/>
              </w:rPr>
              <w:t>无色单斜晶系结晶，含5个结晶水；密度1.87g/cm³；易溶于水，不溶于乙醇；水溶液不稳定，遇酸分解为硫、二氧化硫和水，加热至100℃失去结晶水并分解。</w:t>
            </w:r>
          </w:p>
        </w:tc>
        <w:tc>
          <w:tcPr>
            <w:tcW w:w="1509" w:type="pct"/>
            <w:tcMar>
              <w:left w:w="28" w:type="dxa"/>
              <w:right w:w="28" w:type="dxa"/>
            </w:tcMar>
            <w:vAlign w:val="center"/>
          </w:tcPr>
          <w:p w14:paraId="153398B3">
            <w:pPr>
              <w:wordWrap w:val="0"/>
              <w:spacing w:line="240" w:lineRule="auto"/>
              <w:ind w:firstLine="0" w:firstLineChars="0"/>
              <w:jc w:val="center"/>
              <w:rPr>
                <w:color w:val="auto"/>
                <w:sz w:val="21"/>
                <w:szCs w:val="21"/>
              </w:rPr>
            </w:pPr>
            <w:r>
              <w:rPr>
                <w:rFonts w:cs="宋体"/>
                <w:color w:val="auto"/>
                <w:sz w:val="21"/>
              </w:rPr>
              <w:t>低毒，粉尘对呼吸道、皮肤有轻度刺激。危险特性：不燃，受热或遇酸分解产生有毒的硫氧化物和硫化氢气体；与强氧化剂接触可发生放热反应。</w:t>
            </w:r>
          </w:p>
        </w:tc>
      </w:tr>
      <w:tr w14:paraId="1818A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6DDA9B2D">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硫代硫酸镁</w:t>
            </w:r>
          </w:p>
        </w:tc>
        <w:tc>
          <w:tcPr>
            <w:tcW w:w="619" w:type="pct"/>
            <w:tcMar>
              <w:left w:w="28" w:type="dxa"/>
              <w:right w:w="28" w:type="dxa"/>
            </w:tcMar>
            <w:vAlign w:val="center"/>
          </w:tcPr>
          <w:p w14:paraId="0FDD27D1">
            <w:pPr>
              <w:pStyle w:val="34"/>
              <w:wordWrap w:val="0"/>
              <w:adjustRightInd w:val="0"/>
              <w:snapToGrid w:val="0"/>
              <w:spacing w:beforeLines="0" w:after="0"/>
              <w:rPr>
                <w:rFonts w:hAnsi="Times New Roman" w:cs="Times New Roman"/>
                <w:color w:val="auto"/>
                <w:spacing w:val="0"/>
                <w:sz w:val="21"/>
                <w:szCs w:val="21"/>
              </w:rPr>
            </w:pPr>
            <w:r>
              <w:rPr>
                <w:rFonts w:hAnsi="Times New Roman"/>
                <w:color w:val="auto"/>
                <w:sz w:val="21"/>
                <w:szCs w:val="24"/>
              </w:rPr>
              <w:t>10124-53-5</w:t>
            </w:r>
          </w:p>
        </w:tc>
        <w:tc>
          <w:tcPr>
            <w:tcW w:w="2211" w:type="pct"/>
            <w:vAlign w:val="center"/>
          </w:tcPr>
          <w:p w14:paraId="2CBE1E6C">
            <w:pPr>
              <w:pStyle w:val="34"/>
              <w:wordWrap w:val="0"/>
              <w:adjustRightInd w:val="0"/>
              <w:snapToGrid w:val="0"/>
              <w:spacing w:beforeLines="0" w:after="0"/>
              <w:rPr>
                <w:rFonts w:hAnsi="Times New Roman" w:cs="Times New Roman"/>
                <w:color w:val="auto"/>
                <w:spacing w:val="0"/>
                <w:sz w:val="21"/>
                <w:szCs w:val="21"/>
              </w:rPr>
            </w:pPr>
            <w:r>
              <w:rPr>
                <w:rFonts w:hAnsi="Times New Roman"/>
                <w:color w:val="auto"/>
                <w:sz w:val="21"/>
                <w:szCs w:val="24"/>
              </w:rPr>
              <w:t>无色单斜晶系结晶，含</w:t>
            </w:r>
            <w:r>
              <w:rPr>
                <w:rFonts w:hint="eastAsia" w:hAnsi="Times New Roman"/>
                <w:color w:val="auto"/>
                <w:sz w:val="21"/>
                <w:szCs w:val="24"/>
              </w:rPr>
              <w:t>6</w:t>
            </w:r>
            <w:r>
              <w:rPr>
                <w:rFonts w:hAnsi="Times New Roman"/>
                <w:color w:val="auto"/>
                <w:sz w:val="21"/>
                <w:szCs w:val="24"/>
              </w:rPr>
              <w:t>个结晶水；密度1.818g/cm³；易溶于水，不溶于乙醇；水溶液呈中性，遇酸分解，加热至170℃失去结晶水并分解为硫酸镁、硫和二氧化硫。</w:t>
            </w:r>
          </w:p>
        </w:tc>
        <w:tc>
          <w:tcPr>
            <w:tcW w:w="1509" w:type="pct"/>
            <w:tcMar>
              <w:left w:w="28" w:type="dxa"/>
              <w:right w:w="28" w:type="dxa"/>
            </w:tcMar>
            <w:vAlign w:val="center"/>
          </w:tcPr>
          <w:p w14:paraId="4DD9A5D8">
            <w:pPr>
              <w:pStyle w:val="34"/>
              <w:wordWrap w:val="0"/>
              <w:adjustRightInd w:val="0"/>
              <w:snapToGrid w:val="0"/>
              <w:spacing w:beforeLines="0" w:after="0"/>
              <w:rPr>
                <w:rFonts w:hAnsi="Times New Roman" w:cs="Times New Roman"/>
                <w:color w:val="auto"/>
                <w:spacing w:val="0"/>
                <w:sz w:val="21"/>
                <w:szCs w:val="21"/>
              </w:rPr>
            </w:pPr>
            <w:r>
              <w:rPr>
                <w:rFonts w:hAnsi="Times New Roman"/>
                <w:color w:val="auto"/>
                <w:sz w:val="21"/>
                <w:szCs w:val="24"/>
              </w:rPr>
              <w:t>低毒，粉尘对呼吸道、皮肤有轻度刺激。危险特性：不燃，受热或遇酸分解产生有毒的硫氧化物和硫化氢气体；与强氧化剂接触可发生放热反应。</w:t>
            </w:r>
          </w:p>
        </w:tc>
      </w:tr>
      <w:tr w14:paraId="5FF85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70C93FBD">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硫代硫酸钾</w:t>
            </w:r>
          </w:p>
        </w:tc>
        <w:tc>
          <w:tcPr>
            <w:tcW w:w="619" w:type="pct"/>
            <w:tcMar>
              <w:left w:w="28" w:type="dxa"/>
              <w:right w:w="28" w:type="dxa"/>
            </w:tcMar>
            <w:vAlign w:val="center"/>
          </w:tcPr>
          <w:p w14:paraId="3AF587E5">
            <w:pPr>
              <w:pStyle w:val="34"/>
              <w:wordWrap w:val="0"/>
              <w:adjustRightInd w:val="0"/>
              <w:snapToGrid w:val="0"/>
              <w:spacing w:beforeLines="0" w:after="0"/>
              <w:rPr>
                <w:rFonts w:hAnsi="Times New Roman" w:cs="Times New Roman"/>
                <w:color w:val="auto"/>
                <w:spacing w:val="0"/>
                <w:sz w:val="21"/>
                <w:szCs w:val="21"/>
              </w:rPr>
            </w:pPr>
            <w:r>
              <w:rPr>
                <w:rFonts w:hAnsi="Times New Roman"/>
                <w:color w:val="auto"/>
                <w:sz w:val="21"/>
                <w:szCs w:val="24"/>
              </w:rPr>
              <w:t>10101-96-9</w:t>
            </w:r>
          </w:p>
        </w:tc>
        <w:tc>
          <w:tcPr>
            <w:tcW w:w="2211" w:type="pct"/>
            <w:vAlign w:val="center"/>
          </w:tcPr>
          <w:p w14:paraId="6CB5A51C">
            <w:pPr>
              <w:pStyle w:val="34"/>
              <w:wordWrap w:val="0"/>
              <w:adjustRightInd w:val="0"/>
              <w:snapToGrid w:val="0"/>
              <w:spacing w:beforeLines="0" w:after="0"/>
              <w:rPr>
                <w:rFonts w:hAnsi="Times New Roman" w:cs="Times New Roman"/>
                <w:color w:val="auto"/>
                <w:spacing w:val="0"/>
                <w:sz w:val="21"/>
                <w:szCs w:val="21"/>
              </w:rPr>
            </w:pPr>
            <w:r>
              <w:rPr>
                <w:rFonts w:hAnsi="Times New Roman"/>
                <w:color w:val="auto"/>
                <w:sz w:val="21"/>
                <w:szCs w:val="24"/>
              </w:rPr>
              <w:t>无色单斜晶系结晶，含0.5个结晶水；密度2.59g/cm</w:t>
            </w:r>
            <w:r>
              <w:rPr>
                <w:rFonts w:hint="eastAsia" w:hAnsi="Times New Roman"/>
                <w:color w:val="auto"/>
                <w:sz w:val="21"/>
                <w:szCs w:val="24"/>
                <w:vertAlign w:val="superscript"/>
              </w:rPr>
              <w:t>3</w:t>
            </w:r>
            <w:r>
              <w:rPr>
                <w:rFonts w:hAnsi="Times New Roman"/>
                <w:color w:val="auto"/>
                <w:sz w:val="21"/>
                <w:szCs w:val="24"/>
              </w:rPr>
              <w:t>；易溶于水，水溶液呈弱碱性，不溶于乙醇；遇酸分解，加热至100℃失去结晶水，更高温度分解为硫酸钾、硫化钾和硫。</w:t>
            </w:r>
          </w:p>
        </w:tc>
        <w:tc>
          <w:tcPr>
            <w:tcW w:w="1509" w:type="pct"/>
            <w:tcMar>
              <w:left w:w="28" w:type="dxa"/>
              <w:right w:w="28" w:type="dxa"/>
            </w:tcMar>
            <w:vAlign w:val="center"/>
          </w:tcPr>
          <w:p w14:paraId="46F1A047">
            <w:pPr>
              <w:pStyle w:val="34"/>
              <w:wordWrap w:val="0"/>
              <w:adjustRightInd w:val="0"/>
              <w:snapToGrid w:val="0"/>
              <w:spacing w:beforeLines="0" w:after="0"/>
              <w:rPr>
                <w:rFonts w:hAnsi="Times New Roman" w:cs="Times New Roman"/>
                <w:color w:val="auto"/>
                <w:spacing w:val="0"/>
                <w:sz w:val="21"/>
                <w:szCs w:val="21"/>
              </w:rPr>
            </w:pPr>
            <w:r>
              <w:rPr>
                <w:rFonts w:hint="eastAsia" w:hAnsi="Times New Roman"/>
                <w:color w:val="auto"/>
                <w:sz w:val="21"/>
                <w:szCs w:val="24"/>
              </w:rPr>
              <w:t>低毒类物质，大鼠经口急性毒性LD</w:t>
            </w:r>
            <w:r>
              <w:rPr>
                <w:rFonts w:hint="eastAsia" w:hAnsi="Times New Roman"/>
                <w:color w:val="auto"/>
                <w:sz w:val="21"/>
                <w:szCs w:val="24"/>
                <w:vertAlign w:val="subscript"/>
              </w:rPr>
              <w:t>50</w:t>
            </w:r>
            <w:r>
              <w:rPr>
                <w:rFonts w:hint="eastAsia" w:hAnsi="Times New Roman"/>
                <w:color w:val="auto"/>
                <w:sz w:val="21"/>
                <w:szCs w:val="24"/>
              </w:rPr>
              <w:t>约2000–2500mg/kg，粉尘或溶液对皮肤、黏膜及呼吸道有轻度刺激作用，无致敏、致突变及生殖毒性风险；本品不燃，无燃烧爆炸特性，受热或遇酸会分解释放二氧化硫、硫化氢等有毒气体，与强氧化剂接触可发生放热反应，常规工艺条件下无剧烈爆炸风险。</w:t>
            </w:r>
          </w:p>
        </w:tc>
      </w:tr>
      <w:tr w14:paraId="02FC4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Mar>
              <w:left w:w="28" w:type="dxa"/>
              <w:right w:w="28" w:type="dxa"/>
            </w:tcMar>
            <w:vAlign w:val="center"/>
          </w:tcPr>
          <w:p w14:paraId="5743B7B2">
            <w:pPr>
              <w:pStyle w:val="34"/>
              <w:wordWrap w:val="0"/>
              <w:adjustRightInd w:val="0"/>
              <w:snapToGrid w:val="0"/>
              <w:spacing w:beforeLines="0" w:after="0"/>
              <w:rPr>
                <w:rFonts w:hAnsi="Times New Roman" w:cs="Times New Roman"/>
                <w:color w:val="auto"/>
                <w:sz w:val="21"/>
                <w:szCs w:val="21"/>
              </w:rPr>
            </w:pPr>
            <w:r>
              <w:rPr>
                <w:rFonts w:hint="eastAsia" w:hAnsi="Times New Roman" w:cs="Times New Roman"/>
                <w:color w:val="auto"/>
                <w:sz w:val="21"/>
                <w:szCs w:val="21"/>
              </w:rPr>
              <w:t>一水亚硫酸铵</w:t>
            </w:r>
          </w:p>
        </w:tc>
        <w:tc>
          <w:tcPr>
            <w:tcW w:w="619" w:type="pct"/>
            <w:tcMar>
              <w:left w:w="28" w:type="dxa"/>
              <w:right w:w="28" w:type="dxa"/>
            </w:tcMar>
            <w:vAlign w:val="center"/>
          </w:tcPr>
          <w:p w14:paraId="582E3343">
            <w:pPr>
              <w:pStyle w:val="34"/>
              <w:wordWrap w:val="0"/>
              <w:adjustRightInd w:val="0"/>
              <w:snapToGrid w:val="0"/>
              <w:spacing w:beforeLines="0" w:after="0"/>
              <w:rPr>
                <w:rFonts w:hAnsi="Times New Roman" w:cs="Times New Roman"/>
                <w:color w:val="auto"/>
                <w:spacing w:val="0"/>
                <w:sz w:val="21"/>
                <w:szCs w:val="21"/>
              </w:rPr>
            </w:pPr>
            <w:r>
              <w:rPr>
                <w:rFonts w:hAnsi="Times New Roman"/>
                <w:color w:val="auto"/>
                <w:sz w:val="21"/>
                <w:szCs w:val="24"/>
              </w:rPr>
              <w:t>7783-11-1</w:t>
            </w:r>
          </w:p>
        </w:tc>
        <w:tc>
          <w:tcPr>
            <w:tcW w:w="2211" w:type="pct"/>
            <w:vAlign w:val="center"/>
          </w:tcPr>
          <w:p w14:paraId="0ECC4C61">
            <w:pPr>
              <w:pStyle w:val="34"/>
              <w:wordWrap w:val="0"/>
              <w:adjustRightInd w:val="0"/>
              <w:snapToGrid w:val="0"/>
              <w:spacing w:beforeLines="0" w:after="0"/>
              <w:rPr>
                <w:rFonts w:hAnsi="Times New Roman" w:cs="Times New Roman"/>
                <w:color w:val="auto"/>
                <w:spacing w:val="0"/>
                <w:sz w:val="21"/>
                <w:szCs w:val="21"/>
              </w:rPr>
            </w:pPr>
            <w:r>
              <w:rPr>
                <w:rFonts w:hAnsi="Times New Roman"/>
                <w:color w:val="auto"/>
                <w:sz w:val="21"/>
                <w:szCs w:val="24"/>
              </w:rPr>
              <w:t>无色单斜晶系结晶，含</w:t>
            </w:r>
            <w:r>
              <w:rPr>
                <w:rFonts w:hint="eastAsia" w:hAnsi="Times New Roman"/>
                <w:color w:val="auto"/>
                <w:sz w:val="21"/>
                <w:szCs w:val="24"/>
              </w:rPr>
              <w:t>1</w:t>
            </w:r>
            <w:r>
              <w:rPr>
                <w:rFonts w:hAnsi="Times New Roman"/>
                <w:color w:val="auto"/>
                <w:sz w:val="21"/>
                <w:szCs w:val="24"/>
              </w:rPr>
              <w:t>个结晶水；密度1.41g/cm³；易溶于水，水溶液呈弱碱性，微溶于乙醇；空气中易被氧化为硫酸铵，遇酸分解放出二氧化硫，加热至150℃分解为氨、二氧化硫和水。</w:t>
            </w:r>
          </w:p>
        </w:tc>
        <w:tc>
          <w:tcPr>
            <w:tcW w:w="1509" w:type="pct"/>
            <w:tcMar>
              <w:left w:w="28" w:type="dxa"/>
              <w:right w:w="28" w:type="dxa"/>
            </w:tcMar>
            <w:vAlign w:val="center"/>
          </w:tcPr>
          <w:p w14:paraId="7CF16B19">
            <w:pPr>
              <w:pStyle w:val="34"/>
              <w:wordWrap w:val="0"/>
              <w:adjustRightInd w:val="0"/>
              <w:snapToGrid w:val="0"/>
              <w:spacing w:beforeLines="0" w:after="0"/>
              <w:rPr>
                <w:rFonts w:hAnsi="Times New Roman" w:cs="Times New Roman"/>
                <w:color w:val="auto"/>
                <w:spacing w:val="0"/>
                <w:sz w:val="21"/>
                <w:szCs w:val="21"/>
              </w:rPr>
            </w:pPr>
            <w:r>
              <w:rPr>
                <w:rFonts w:hint="eastAsia" w:hAnsi="Times New Roman" w:cs="Times New Roman"/>
                <w:color w:val="auto"/>
                <w:spacing w:val="0"/>
                <w:sz w:val="21"/>
                <w:szCs w:val="21"/>
              </w:rPr>
              <w:t>低毒，粉尘或溶液对皮肤、黏膜、呼吸道有轻度刺激作用，可引起短暂的局部刺激反应，无强腐蚀灼伤风险。</w:t>
            </w:r>
          </w:p>
        </w:tc>
      </w:tr>
    </w:tbl>
    <w:p w14:paraId="4EF74C91">
      <w:pPr>
        <w:spacing w:line="460" w:lineRule="exact"/>
        <w:ind w:firstLine="480"/>
        <w:rPr>
          <w:color w:val="auto"/>
        </w:rPr>
      </w:pPr>
    </w:p>
    <w:p w14:paraId="18E25BE4">
      <w:pPr>
        <w:pStyle w:val="4"/>
        <w:rPr>
          <w:color w:val="auto"/>
        </w:rPr>
      </w:pPr>
      <w:bookmarkStart w:id="136" w:name="_Toc21110"/>
      <w:r>
        <w:rPr>
          <w:rFonts w:hint="eastAsia"/>
          <w:color w:val="auto"/>
        </w:rPr>
        <w:t>4.4.3主要生产设备</w:t>
      </w:r>
      <w:bookmarkEnd w:id="136"/>
    </w:p>
    <w:p w14:paraId="65C123E7">
      <w:pPr>
        <w:spacing w:line="460" w:lineRule="exact"/>
        <w:ind w:firstLine="480"/>
        <w:rPr>
          <w:color w:val="auto"/>
        </w:rPr>
      </w:pPr>
      <w:r>
        <w:rPr>
          <w:rFonts w:hint="eastAsia"/>
          <w:color w:val="auto"/>
        </w:rPr>
        <w:t>拟建项目具体生产设备及生产辅助设备均利用现有生产线设施，亚硫酸盐生产线利用现有2#车间内亚硫酸氢铵生产装置，硫代硫酸盐生产线利用1#车间现有硫代硫酸钠生产装置，不新增设备，主要生产设备详见表4.4-6。</w:t>
      </w:r>
    </w:p>
    <w:p w14:paraId="1771FCEA">
      <w:pPr>
        <w:pStyle w:val="49"/>
        <w:rPr>
          <w:color w:val="auto"/>
        </w:rPr>
      </w:pPr>
      <w:r>
        <w:rPr>
          <w:rFonts w:hint="eastAsia"/>
          <w:color w:val="auto"/>
        </w:rPr>
        <w:t>表4.4-6  拟建项目主要生产设备一览表</w:t>
      </w:r>
    </w:p>
    <w:tbl>
      <w:tblPr>
        <w:tblStyle w:val="24"/>
        <w:tblW w:w="5089"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39"/>
        <w:gridCol w:w="1933"/>
        <w:gridCol w:w="2291"/>
        <w:gridCol w:w="989"/>
        <w:gridCol w:w="1916"/>
        <w:gridCol w:w="1388"/>
        <w:gridCol w:w="873"/>
      </w:tblGrid>
      <w:tr w14:paraId="2C02E67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1" w:hRule="atLeast"/>
          <w:tblHeader/>
          <w:jc w:val="center"/>
        </w:trPr>
        <w:tc>
          <w:tcPr>
            <w:tcW w:w="319" w:type="pct"/>
            <w:tcBorders>
              <w:tl2br w:val="nil"/>
              <w:tr2bl w:val="nil"/>
            </w:tcBorders>
            <w:vAlign w:val="center"/>
          </w:tcPr>
          <w:p w14:paraId="70D7AD0E">
            <w:pPr>
              <w:widowControl/>
              <w:adjustRightInd/>
              <w:snapToGrid/>
              <w:spacing w:line="240" w:lineRule="auto"/>
              <w:ind w:firstLine="0" w:firstLineChars="0"/>
              <w:jc w:val="center"/>
              <w:rPr>
                <w:b/>
                <w:bCs/>
                <w:color w:val="auto"/>
                <w:kern w:val="0"/>
                <w:sz w:val="21"/>
                <w:szCs w:val="21"/>
              </w:rPr>
            </w:pPr>
            <w:r>
              <w:rPr>
                <w:b/>
                <w:bCs/>
                <w:color w:val="auto"/>
                <w:kern w:val="0"/>
                <w:sz w:val="21"/>
                <w:szCs w:val="21"/>
              </w:rPr>
              <w:t>序号</w:t>
            </w:r>
          </w:p>
        </w:tc>
        <w:tc>
          <w:tcPr>
            <w:tcW w:w="964" w:type="pct"/>
            <w:tcBorders>
              <w:tl2br w:val="nil"/>
              <w:tr2bl w:val="nil"/>
            </w:tcBorders>
            <w:vAlign w:val="center"/>
          </w:tcPr>
          <w:p w14:paraId="65968262">
            <w:pPr>
              <w:widowControl/>
              <w:adjustRightInd/>
              <w:snapToGrid/>
              <w:spacing w:line="240" w:lineRule="auto"/>
              <w:ind w:firstLine="0" w:firstLineChars="0"/>
              <w:jc w:val="center"/>
              <w:rPr>
                <w:b/>
                <w:bCs/>
                <w:color w:val="auto"/>
                <w:kern w:val="0"/>
                <w:sz w:val="21"/>
                <w:szCs w:val="21"/>
              </w:rPr>
            </w:pPr>
            <w:r>
              <w:rPr>
                <w:b/>
                <w:bCs/>
                <w:color w:val="auto"/>
                <w:kern w:val="0"/>
                <w:sz w:val="21"/>
                <w:szCs w:val="21"/>
              </w:rPr>
              <w:t>设备名称</w:t>
            </w:r>
          </w:p>
        </w:tc>
        <w:tc>
          <w:tcPr>
            <w:tcW w:w="1142" w:type="pct"/>
            <w:tcBorders>
              <w:tl2br w:val="nil"/>
              <w:tr2bl w:val="nil"/>
            </w:tcBorders>
            <w:vAlign w:val="center"/>
          </w:tcPr>
          <w:p w14:paraId="5961E40B">
            <w:pPr>
              <w:widowControl/>
              <w:adjustRightInd/>
              <w:snapToGrid/>
              <w:spacing w:line="240" w:lineRule="auto"/>
              <w:ind w:firstLine="0" w:firstLineChars="0"/>
              <w:jc w:val="center"/>
              <w:rPr>
                <w:b/>
                <w:bCs/>
                <w:color w:val="auto"/>
                <w:kern w:val="0"/>
                <w:sz w:val="21"/>
                <w:szCs w:val="21"/>
              </w:rPr>
            </w:pPr>
            <w:r>
              <w:rPr>
                <w:b/>
                <w:bCs/>
                <w:color w:val="auto"/>
                <w:kern w:val="0"/>
                <w:sz w:val="21"/>
                <w:szCs w:val="21"/>
              </w:rPr>
              <w:t>规格尺寸</w:t>
            </w:r>
          </w:p>
        </w:tc>
        <w:tc>
          <w:tcPr>
            <w:tcW w:w="493" w:type="pct"/>
            <w:tcBorders>
              <w:tl2br w:val="nil"/>
              <w:tr2bl w:val="nil"/>
            </w:tcBorders>
            <w:vAlign w:val="center"/>
          </w:tcPr>
          <w:p w14:paraId="2FDEACDF">
            <w:pPr>
              <w:widowControl/>
              <w:adjustRightInd/>
              <w:snapToGrid/>
              <w:spacing w:line="240" w:lineRule="auto"/>
              <w:ind w:firstLine="0" w:firstLineChars="0"/>
              <w:jc w:val="center"/>
              <w:rPr>
                <w:b/>
                <w:bCs/>
                <w:color w:val="auto"/>
                <w:kern w:val="0"/>
                <w:sz w:val="21"/>
                <w:szCs w:val="21"/>
              </w:rPr>
            </w:pPr>
            <w:r>
              <w:rPr>
                <w:b/>
                <w:bCs/>
                <w:color w:val="auto"/>
                <w:kern w:val="0"/>
                <w:sz w:val="21"/>
                <w:szCs w:val="21"/>
              </w:rPr>
              <w:t>数量（台）</w:t>
            </w:r>
          </w:p>
        </w:tc>
        <w:tc>
          <w:tcPr>
            <w:tcW w:w="955" w:type="pct"/>
            <w:tcBorders>
              <w:tl2br w:val="nil"/>
              <w:tr2bl w:val="nil"/>
            </w:tcBorders>
            <w:vAlign w:val="center"/>
          </w:tcPr>
          <w:p w14:paraId="5285AFD9">
            <w:pPr>
              <w:widowControl/>
              <w:adjustRightInd/>
              <w:snapToGrid/>
              <w:spacing w:line="240" w:lineRule="auto"/>
              <w:ind w:firstLine="0" w:firstLineChars="0"/>
              <w:jc w:val="center"/>
              <w:rPr>
                <w:b/>
                <w:bCs/>
                <w:color w:val="auto"/>
                <w:kern w:val="0"/>
                <w:sz w:val="21"/>
                <w:szCs w:val="21"/>
              </w:rPr>
            </w:pPr>
            <w:r>
              <w:rPr>
                <w:b/>
                <w:bCs/>
                <w:color w:val="auto"/>
                <w:kern w:val="0"/>
                <w:sz w:val="21"/>
                <w:szCs w:val="21"/>
              </w:rPr>
              <w:t>单台功率（kw/台）</w:t>
            </w:r>
          </w:p>
        </w:tc>
        <w:tc>
          <w:tcPr>
            <w:tcW w:w="691" w:type="pct"/>
            <w:tcBorders>
              <w:tl2br w:val="nil"/>
              <w:tr2bl w:val="nil"/>
            </w:tcBorders>
            <w:vAlign w:val="center"/>
          </w:tcPr>
          <w:p w14:paraId="0797B630">
            <w:pPr>
              <w:widowControl/>
              <w:adjustRightInd/>
              <w:snapToGrid/>
              <w:spacing w:line="240" w:lineRule="auto"/>
              <w:ind w:firstLine="0" w:firstLineChars="0"/>
              <w:jc w:val="center"/>
              <w:rPr>
                <w:b/>
                <w:bCs/>
                <w:color w:val="auto"/>
                <w:kern w:val="0"/>
                <w:sz w:val="21"/>
                <w:szCs w:val="21"/>
              </w:rPr>
            </w:pPr>
            <w:r>
              <w:rPr>
                <w:b/>
                <w:bCs/>
                <w:color w:val="auto"/>
                <w:kern w:val="0"/>
                <w:sz w:val="21"/>
                <w:szCs w:val="21"/>
              </w:rPr>
              <w:t>材质</w:t>
            </w:r>
          </w:p>
        </w:tc>
        <w:tc>
          <w:tcPr>
            <w:tcW w:w="434" w:type="pct"/>
            <w:tcBorders>
              <w:tl2br w:val="nil"/>
              <w:tr2bl w:val="nil"/>
            </w:tcBorders>
            <w:vAlign w:val="center"/>
          </w:tcPr>
          <w:p w14:paraId="1654FB0D">
            <w:pPr>
              <w:widowControl/>
              <w:adjustRightInd/>
              <w:snapToGrid/>
              <w:spacing w:line="240" w:lineRule="auto"/>
              <w:ind w:firstLine="0" w:firstLineChars="0"/>
              <w:jc w:val="center"/>
              <w:rPr>
                <w:b/>
                <w:bCs/>
                <w:color w:val="auto"/>
                <w:kern w:val="0"/>
                <w:sz w:val="21"/>
                <w:szCs w:val="21"/>
              </w:rPr>
            </w:pPr>
            <w:r>
              <w:rPr>
                <w:b/>
                <w:bCs/>
                <w:color w:val="auto"/>
                <w:kern w:val="0"/>
                <w:sz w:val="21"/>
                <w:szCs w:val="21"/>
              </w:rPr>
              <w:t>来源</w:t>
            </w:r>
          </w:p>
        </w:tc>
      </w:tr>
      <w:tr w14:paraId="31BD051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3" w:hRule="atLeast"/>
          <w:jc w:val="center"/>
        </w:trPr>
        <w:tc>
          <w:tcPr>
            <w:tcW w:w="5000" w:type="pct"/>
            <w:gridSpan w:val="7"/>
            <w:tcBorders>
              <w:tl2br w:val="nil"/>
              <w:tr2bl w:val="nil"/>
            </w:tcBorders>
            <w:noWrap/>
            <w:vAlign w:val="center"/>
          </w:tcPr>
          <w:p w14:paraId="35E5493B">
            <w:pPr>
              <w:widowControl/>
              <w:adjustRightInd/>
              <w:snapToGrid/>
              <w:spacing w:line="240" w:lineRule="auto"/>
              <w:ind w:firstLine="0" w:firstLineChars="0"/>
              <w:jc w:val="center"/>
              <w:rPr>
                <w:b/>
                <w:bCs/>
                <w:color w:val="auto"/>
                <w:kern w:val="0"/>
                <w:sz w:val="21"/>
                <w:szCs w:val="21"/>
              </w:rPr>
            </w:pPr>
            <w:r>
              <w:rPr>
                <w:rFonts w:hint="eastAsia"/>
                <w:b/>
                <w:bCs/>
                <w:color w:val="auto"/>
                <w:kern w:val="0"/>
                <w:sz w:val="21"/>
                <w:szCs w:val="21"/>
              </w:rPr>
              <w:t>硫代硫酸盐系列产品生产线</w:t>
            </w:r>
          </w:p>
        </w:tc>
      </w:tr>
      <w:tr w14:paraId="7ABD557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61D32DC0">
            <w:pPr>
              <w:widowControl/>
              <w:adjustRightInd/>
              <w:snapToGrid/>
              <w:spacing w:line="240" w:lineRule="auto"/>
              <w:ind w:firstLine="0" w:firstLineChars="0"/>
              <w:jc w:val="center"/>
              <w:rPr>
                <w:color w:val="auto"/>
                <w:kern w:val="0"/>
                <w:sz w:val="21"/>
                <w:szCs w:val="21"/>
              </w:rPr>
            </w:pPr>
            <w:r>
              <w:rPr>
                <w:color w:val="auto"/>
                <w:kern w:val="0"/>
                <w:sz w:val="21"/>
                <w:szCs w:val="21"/>
              </w:rPr>
              <w:t>1</w:t>
            </w:r>
          </w:p>
        </w:tc>
        <w:tc>
          <w:tcPr>
            <w:tcW w:w="964" w:type="pct"/>
            <w:tcBorders>
              <w:tl2br w:val="nil"/>
              <w:tr2bl w:val="nil"/>
            </w:tcBorders>
            <w:noWrap/>
            <w:vAlign w:val="center"/>
          </w:tcPr>
          <w:p w14:paraId="0C079002">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09133B92">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65334DBF">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7E6259A5">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22D7D34B">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30005FE1">
            <w:pPr>
              <w:widowControl/>
              <w:adjustRightInd/>
              <w:snapToGrid/>
              <w:spacing w:line="240" w:lineRule="auto"/>
              <w:ind w:firstLine="0" w:firstLineChars="0"/>
              <w:jc w:val="center"/>
              <w:rPr>
                <w:color w:val="auto"/>
                <w:kern w:val="0"/>
                <w:sz w:val="21"/>
                <w:szCs w:val="21"/>
              </w:rPr>
            </w:pPr>
          </w:p>
        </w:tc>
      </w:tr>
      <w:tr w14:paraId="1AF7D4F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695426B4">
            <w:pPr>
              <w:widowControl/>
              <w:adjustRightInd/>
              <w:snapToGrid/>
              <w:spacing w:line="240" w:lineRule="auto"/>
              <w:ind w:firstLine="0" w:firstLineChars="0"/>
              <w:jc w:val="center"/>
              <w:rPr>
                <w:color w:val="auto"/>
                <w:kern w:val="0"/>
                <w:sz w:val="21"/>
                <w:szCs w:val="21"/>
              </w:rPr>
            </w:pPr>
            <w:r>
              <w:rPr>
                <w:color w:val="auto"/>
                <w:kern w:val="0"/>
                <w:sz w:val="21"/>
                <w:szCs w:val="21"/>
              </w:rPr>
              <w:t>2</w:t>
            </w:r>
          </w:p>
        </w:tc>
        <w:tc>
          <w:tcPr>
            <w:tcW w:w="964" w:type="pct"/>
            <w:tcBorders>
              <w:tl2br w:val="nil"/>
              <w:tr2bl w:val="nil"/>
            </w:tcBorders>
            <w:noWrap/>
            <w:vAlign w:val="center"/>
          </w:tcPr>
          <w:p w14:paraId="15C2316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5686BBE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50BAB22">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129C6A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AC0CBB9">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60B1A0E2">
            <w:pPr>
              <w:widowControl/>
              <w:adjustRightInd/>
              <w:snapToGrid/>
              <w:spacing w:line="240" w:lineRule="auto"/>
              <w:ind w:firstLine="0" w:firstLineChars="0"/>
              <w:jc w:val="center"/>
              <w:rPr>
                <w:color w:val="auto"/>
                <w:kern w:val="0"/>
                <w:sz w:val="21"/>
                <w:szCs w:val="21"/>
              </w:rPr>
            </w:pPr>
          </w:p>
        </w:tc>
      </w:tr>
      <w:tr w14:paraId="4DE62E4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37BD56FE">
            <w:pPr>
              <w:widowControl/>
              <w:adjustRightInd/>
              <w:snapToGrid/>
              <w:spacing w:line="240" w:lineRule="auto"/>
              <w:ind w:firstLine="0" w:firstLineChars="0"/>
              <w:jc w:val="center"/>
              <w:rPr>
                <w:color w:val="auto"/>
                <w:kern w:val="0"/>
                <w:sz w:val="21"/>
                <w:szCs w:val="21"/>
              </w:rPr>
            </w:pPr>
            <w:r>
              <w:rPr>
                <w:color w:val="auto"/>
                <w:kern w:val="0"/>
                <w:sz w:val="21"/>
                <w:szCs w:val="21"/>
              </w:rPr>
              <w:t>3</w:t>
            </w:r>
          </w:p>
        </w:tc>
        <w:tc>
          <w:tcPr>
            <w:tcW w:w="964" w:type="pct"/>
            <w:tcBorders>
              <w:tl2br w:val="nil"/>
              <w:tr2bl w:val="nil"/>
            </w:tcBorders>
            <w:noWrap/>
            <w:vAlign w:val="center"/>
          </w:tcPr>
          <w:p w14:paraId="144A63B6">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1F6DF4A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14261B7">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50E5872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39FBD9EB">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F2D41C9">
            <w:pPr>
              <w:widowControl/>
              <w:adjustRightInd/>
              <w:snapToGrid/>
              <w:spacing w:line="240" w:lineRule="auto"/>
              <w:ind w:firstLine="0" w:firstLineChars="0"/>
              <w:jc w:val="center"/>
              <w:rPr>
                <w:color w:val="auto"/>
                <w:kern w:val="0"/>
                <w:sz w:val="21"/>
                <w:szCs w:val="21"/>
              </w:rPr>
            </w:pPr>
          </w:p>
        </w:tc>
      </w:tr>
      <w:tr w14:paraId="7C97E0A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425BCEB4">
            <w:pPr>
              <w:widowControl/>
              <w:adjustRightInd/>
              <w:snapToGrid/>
              <w:spacing w:line="240" w:lineRule="auto"/>
              <w:ind w:firstLine="0" w:firstLineChars="0"/>
              <w:jc w:val="center"/>
              <w:rPr>
                <w:color w:val="auto"/>
                <w:kern w:val="0"/>
                <w:sz w:val="21"/>
                <w:szCs w:val="21"/>
              </w:rPr>
            </w:pPr>
            <w:r>
              <w:rPr>
                <w:color w:val="auto"/>
                <w:kern w:val="0"/>
                <w:sz w:val="21"/>
                <w:szCs w:val="21"/>
              </w:rPr>
              <w:t>4</w:t>
            </w:r>
          </w:p>
        </w:tc>
        <w:tc>
          <w:tcPr>
            <w:tcW w:w="964" w:type="pct"/>
            <w:tcBorders>
              <w:tl2br w:val="nil"/>
              <w:tr2bl w:val="nil"/>
            </w:tcBorders>
            <w:noWrap/>
            <w:vAlign w:val="center"/>
          </w:tcPr>
          <w:p w14:paraId="3DC17FDA">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751F0384">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48A8E0E">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148A4B3">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81DAA5D">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4109EA54">
            <w:pPr>
              <w:widowControl/>
              <w:adjustRightInd/>
              <w:snapToGrid/>
              <w:spacing w:line="240" w:lineRule="auto"/>
              <w:ind w:firstLine="0" w:firstLineChars="0"/>
              <w:jc w:val="center"/>
              <w:rPr>
                <w:color w:val="auto"/>
                <w:kern w:val="0"/>
                <w:sz w:val="21"/>
                <w:szCs w:val="21"/>
              </w:rPr>
            </w:pPr>
          </w:p>
        </w:tc>
      </w:tr>
      <w:tr w14:paraId="0DB51D3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57BA6063">
            <w:pPr>
              <w:widowControl/>
              <w:adjustRightInd/>
              <w:snapToGrid/>
              <w:spacing w:line="240" w:lineRule="auto"/>
              <w:ind w:firstLine="0" w:firstLineChars="0"/>
              <w:jc w:val="center"/>
              <w:rPr>
                <w:color w:val="auto"/>
                <w:kern w:val="0"/>
                <w:sz w:val="21"/>
                <w:szCs w:val="21"/>
              </w:rPr>
            </w:pPr>
            <w:r>
              <w:rPr>
                <w:color w:val="auto"/>
                <w:kern w:val="0"/>
                <w:sz w:val="21"/>
                <w:szCs w:val="21"/>
              </w:rPr>
              <w:t>5</w:t>
            </w:r>
          </w:p>
        </w:tc>
        <w:tc>
          <w:tcPr>
            <w:tcW w:w="964" w:type="pct"/>
            <w:tcBorders>
              <w:tl2br w:val="nil"/>
              <w:tr2bl w:val="nil"/>
            </w:tcBorders>
            <w:noWrap/>
            <w:vAlign w:val="center"/>
          </w:tcPr>
          <w:p w14:paraId="2219385B">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19A73C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544AFD7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2252B525">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33CE030">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DA78726">
            <w:pPr>
              <w:widowControl/>
              <w:adjustRightInd/>
              <w:snapToGrid/>
              <w:spacing w:line="240" w:lineRule="auto"/>
              <w:ind w:firstLine="0" w:firstLineChars="0"/>
              <w:jc w:val="center"/>
              <w:rPr>
                <w:color w:val="auto"/>
                <w:kern w:val="0"/>
                <w:sz w:val="21"/>
                <w:szCs w:val="21"/>
              </w:rPr>
            </w:pPr>
          </w:p>
        </w:tc>
      </w:tr>
      <w:tr w14:paraId="7EA61D6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4C50526">
            <w:pPr>
              <w:widowControl/>
              <w:adjustRightInd/>
              <w:snapToGrid/>
              <w:spacing w:line="240" w:lineRule="auto"/>
              <w:ind w:firstLine="0" w:firstLineChars="0"/>
              <w:jc w:val="center"/>
              <w:rPr>
                <w:color w:val="auto"/>
                <w:kern w:val="0"/>
                <w:sz w:val="21"/>
                <w:szCs w:val="21"/>
              </w:rPr>
            </w:pPr>
            <w:r>
              <w:rPr>
                <w:color w:val="auto"/>
                <w:kern w:val="0"/>
                <w:sz w:val="21"/>
                <w:szCs w:val="21"/>
              </w:rPr>
              <w:t>6</w:t>
            </w:r>
          </w:p>
        </w:tc>
        <w:tc>
          <w:tcPr>
            <w:tcW w:w="964" w:type="pct"/>
            <w:tcBorders>
              <w:tl2br w:val="nil"/>
              <w:tr2bl w:val="nil"/>
            </w:tcBorders>
            <w:noWrap/>
            <w:vAlign w:val="center"/>
          </w:tcPr>
          <w:p w14:paraId="098724A5">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B6454A2">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0AFB9DC9">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45FE56E2">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B65E048">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20A46FED">
            <w:pPr>
              <w:widowControl/>
              <w:adjustRightInd/>
              <w:snapToGrid/>
              <w:spacing w:line="240" w:lineRule="auto"/>
              <w:ind w:firstLine="0" w:firstLineChars="0"/>
              <w:jc w:val="center"/>
              <w:rPr>
                <w:color w:val="auto"/>
                <w:kern w:val="0"/>
                <w:sz w:val="21"/>
                <w:szCs w:val="21"/>
              </w:rPr>
            </w:pPr>
          </w:p>
        </w:tc>
      </w:tr>
      <w:tr w14:paraId="5C6F554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04FFE20D">
            <w:pPr>
              <w:widowControl/>
              <w:adjustRightInd/>
              <w:snapToGrid/>
              <w:spacing w:line="240" w:lineRule="auto"/>
              <w:ind w:firstLine="0" w:firstLineChars="0"/>
              <w:jc w:val="center"/>
              <w:rPr>
                <w:color w:val="auto"/>
                <w:kern w:val="0"/>
                <w:sz w:val="21"/>
                <w:szCs w:val="21"/>
              </w:rPr>
            </w:pPr>
            <w:r>
              <w:rPr>
                <w:color w:val="auto"/>
                <w:kern w:val="0"/>
                <w:sz w:val="21"/>
                <w:szCs w:val="21"/>
              </w:rPr>
              <w:t>7</w:t>
            </w:r>
          </w:p>
        </w:tc>
        <w:tc>
          <w:tcPr>
            <w:tcW w:w="964" w:type="pct"/>
            <w:tcBorders>
              <w:tl2br w:val="nil"/>
              <w:tr2bl w:val="nil"/>
            </w:tcBorders>
            <w:noWrap/>
            <w:vAlign w:val="center"/>
          </w:tcPr>
          <w:p w14:paraId="02F57CA4">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3DE93339">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59655C27">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400AB423">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1F0F9C4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37C91BDB">
            <w:pPr>
              <w:widowControl/>
              <w:adjustRightInd/>
              <w:snapToGrid/>
              <w:spacing w:line="240" w:lineRule="auto"/>
              <w:ind w:firstLine="0" w:firstLineChars="0"/>
              <w:jc w:val="center"/>
              <w:rPr>
                <w:color w:val="auto"/>
                <w:kern w:val="0"/>
                <w:sz w:val="21"/>
                <w:szCs w:val="21"/>
              </w:rPr>
            </w:pPr>
          </w:p>
        </w:tc>
      </w:tr>
      <w:tr w14:paraId="0BF2FF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585C3ED1">
            <w:pPr>
              <w:widowControl/>
              <w:adjustRightInd/>
              <w:snapToGrid/>
              <w:spacing w:line="240" w:lineRule="auto"/>
              <w:ind w:firstLine="0" w:firstLineChars="0"/>
              <w:jc w:val="center"/>
              <w:rPr>
                <w:color w:val="auto"/>
                <w:kern w:val="0"/>
                <w:sz w:val="21"/>
                <w:szCs w:val="21"/>
              </w:rPr>
            </w:pPr>
            <w:r>
              <w:rPr>
                <w:color w:val="auto"/>
                <w:kern w:val="0"/>
                <w:sz w:val="21"/>
                <w:szCs w:val="21"/>
              </w:rPr>
              <w:t>8</w:t>
            </w:r>
          </w:p>
        </w:tc>
        <w:tc>
          <w:tcPr>
            <w:tcW w:w="964" w:type="pct"/>
            <w:tcBorders>
              <w:tl2br w:val="nil"/>
              <w:tr2bl w:val="nil"/>
            </w:tcBorders>
            <w:noWrap/>
            <w:vAlign w:val="center"/>
          </w:tcPr>
          <w:p w14:paraId="223CC245">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24972B3">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2EDAF1AA">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24AEC72E">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7246A569">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354FE349">
            <w:pPr>
              <w:widowControl/>
              <w:adjustRightInd/>
              <w:snapToGrid/>
              <w:spacing w:line="240" w:lineRule="auto"/>
              <w:ind w:firstLine="0" w:firstLineChars="0"/>
              <w:jc w:val="center"/>
              <w:rPr>
                <w:color w:val="auto"/>
                <w:kern w:val="0"/>
                <w:sz w:val="21"/>
                <w:szCs w:val="21"/>
              </w:rPr>
            </w:pPr>
          </w:p>
        </w:tc>
      </w:tr>
      <w:tr w14:paraId="2F6543C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71B720C4">
            <w:pPr>
              <w:widowControl/>
              <w:adjustRightInd/>
              <w:snapToGrid/>
              <w:spacing w:line="240" w:lineRule="auto"/>
              <w:ind w:firstLine="0" w:firstLineChars="0"/>
              <w:jc w:val="center"/>
              <w:rPr>
                <w:color w:val="auto"/>
                <w:kern w:val="0"/>
                <w:sz w:val="21"/>
                <w:szCs w:val="21"/>
              </w:rPr>
            </w:pPr>
            <w:r>
              <w:rPr>
                <w:color w:val="auto"/>
                <w:kern w:val="0"/>
                <w:sz w:val="21"/>
                <w:szCs w:val="21"/>
              </w:rPr>
              <w:t>9</w:t>
            </w:r>
          </w:p>
        </w:tc>
        <w:tc>
          <w:tcPr>
            <w:tcW w:w="964" w:type="pct"/>
            <w:tcBorders>
              <w:tl2br w:val="nil"/>
              <w:tr2bl w:val="nil"/>
            </w:tcBorders>
            <w:noWrap/>
            <w:vAlign w:val="center"/>
          </w:tcPr>
          <w:p w14:paraId="713EFF8D">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CE146FE">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1C35A86E">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7356F60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0FED22C6">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49D97D56">
            <w:pPr>
              <w:widowControl/>
              <w:adjustRightInd/>
              <w:snapToGrid/>
              <w:spacing w:line="240" w:lineRule="auto"/>
              <w:ind w:firstLine="0" w:firstLineChars="0"/>
              <w:jc w:val="center"/>
              <w:rPr>
                <w:color w:val="auto"/>
                <w:kern w:val="0"/>
                <w:sz w:val="21"/>
                <w:szCs w:val="21"/>
              </w:rPr>
            </w:pPr>
          </w:p>
        </w:tc>
      </w:tr>
      <w:tr w14:paraId="1378F09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6DB30EA0">
            <w:pPr>
              <w:widowControl/>
              <w:adjustRightInd/>
              <w:snapToGrid/>
              <w:spacing w:line="240" w:lineRule="auto"/>
              <w:ind w:firstLine="0" w:firstLineChars="0"/>
              <w:jc w:val="center"/>
              <w:rPr>
                <w:color w:val="auto"/>
                <w:kern w:val="0"/>
                <w:sz w:val="21"/>
                <w:szCs w:val="21"/>
              </w:rPr>
            </w:pPr>
            <w:r>
              <w:rPr>
                <w:color w:val="auto"/>
                <w:kern w:val="0"/>
                <w:sz w:val="21"/>
                <w:szCs w:val="21"/>
              </w:rPr>
              <w:t>10</w:t>
            </w:r>
          </w:p>
        </w:tc>
        <w:tc>
          <w:tcPr>
            <w:tcW w:w="964" w:type="pct"/>
            <w:tcBorders>
              <w:tl2br w:val="nil"/>
              <w:tr2bl w:val="nil"/>
            </w:tcBorders>
            <w:noWrap/>
            <w:vAlign w:val="center"/>
          </w:tcPr>
          <w:p w14:paraId="3C450FC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6E04D3C">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033CD1CA">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030F3D0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F47856F">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6D4247C5">
            <w:pPr>
              <w:widowControl/>
              <w:adjustRightInd/>
              <w:snapToGrid/>
              <w:spacing w:line="240" w:lineRule="auto"/>
              <w:ind w:firstLine="0" w:firstLineChars="0"/>
              <w:jc w:val="center"/>
              <w:rPr>
                <w:color w:val="auto"/>
                <w:kern w:val="0"/>
                <w:sz w:val="21"/>
                <w:szCs w:val="21"/>
              </w:rPr>
            </w:pPr>
          </w:p>
        </w:tc>
      </w:tr>
      <w:tr w14:paraId="1064217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38D92BEF">
            <w:pPr>
              <w:widowControl/>
              <w:adjustRightInd/>
              <w:snapToGrid/>
              <w:spacing w:line="240" w:lineRule="auto"/>
              <w:ind w:firstLine="0" w:firstLineChars="0"/>
              <w:jc w:val="center"/>
              <w:rPr>
                <w:color w:val="auto"/>
                <w:kern w:val="0"/>
                <w:sz w:val="21"/>
                <w:szCs w:val="21"/>
              </w:rPr>
            </w:pPr>
            <w:r>
              <w:rPr>
                <w:color w:val="auto"/>
                <w:kern w:val="0"/>
                <w:sz w:val="21"/>
                <w:szCs w:val="21"/>
              </w:rPr>
              <w:t>11</w:t>
            </w:r>
          </w:p>
        </w:tc>
        <w:tc>
          <w:tcPr>
            <w:tcW w:w="964" w:type="pct"/>
            <w:tcBorders>
              <w:tl2br w:val="nil"/>
              <w:tr2bl w:val="nil"/>
            </w:tcBorders>
            <w:noWrap/>
            <w:vAlign w:val="center"/>
          </w:tcPr>
          <w:p w14:paraId="499A0604">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69222D7">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54B6F96E">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4A31DE10">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00F78E58">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52B4DD3">
            <w:pPr>
              <w:widowControl/>
              <w:snapToGrid/>
              <w:spacing w:line="240" w:lineRule="auto"/>
              <w:ind w:firstLine="0" w:firstLineChars="0"/>
              <w:jc w:val="center"/>
              <w:rPr>
                <w:color w:val="auto"/>
                <w:kern w:val="0"/>
                <w:sz w:val="21"/>
                <w:szCs w:val="21"/>
              </w:rPr>
            </w:pPr>
          </w:p>
        </w:tc>
      </w:tr>
      <w:tr w14:paraId="2F81977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3E7B787A">
            <w:pPr>
              <w:widowControl/>
              <w:adjustRightInd/>
              <w:snapToGrid/>
              <w:spacing w:line="240" w:lineRule="auto"/>
              <w:ind w:firstLine="0" w:firstLineChars="0"/>
              <w:jc w:val="center"/>
              <w:rPr>
                <w:color w:val="auto"/>
                <w:kern w:val="0"/>
                <w:sz w:val="21"/>
                <w:szCs w:val="21"/>
              </w:rPr>
            </w:pPr>
            <w:r>
              <w:rPr>
                <w:color w:val="auto"/>
                <w:kern w:val="0"/>
                <w:sz w:val="21"/>
                <w:szCs w:val="21"/>
              </w:rPr>
              <w:t>12</w:t>
            </w:r>
          </w:p>
        </w:tc>
        <w:tc>
          <w:tcPr>
            <w:tcW w:w="964" w:type="pct"/>
            <w:tcBorders>
              <w:tl2br w:val="nil"/>
              <w:tr2bl w:val="nil"/>
            </w:tcBorders>
            <w:noWrap/>
            <w:vAlign w:val="center"/>
          </w:tcPr>
          <w:p w14:paraId="4E8F830B">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58C03B8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6BEC14D4">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3D3CEFB">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0DA70AFB">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20CFFA1F">
            <w:pPr>
              <w:widowControl/>
              <w:snapToGrid/>
              <w:spacing w:line="240" w:lineRule="auto"/>
              <w:ind w:firstLine="0" w:firstLineChars="0"/>
              <w:jc w:val="center"/>
              <w:rPr>
                <w:color w:val="auto"/>
                <w:kern w:val="0"/>
                <w:sz w:val="21"/>
                <w:szCs w:val="21"/>
              </w:rPr>
            </w:pPr>
          </w:p>
        </w:tc>
      </w:tr>
      <w:tr w14:paraId="2DC39DA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5E94F033">
            <w:pPr>
              <w:widowControl/>
              <w:adjustRightInd/>
              <w:snapToGrid/>
              <w:spacing w:line="240" w:lineRule="auto"/>
              <w:ind w:firstLine="0" w:firstLineChars="0"/>
              <w:jc w:val="center"/>
              <w:rPr>
                <w:color w:val="auto"/>
                <w:kern w:val="0"/>
                <w:sz w:val="21"/>
                <w:szCs w:val="21"/>
              </w:rPr>
            </w:pPr>
            <w:r>
              <w:rPr>
                <w:color w:val="auto"/>
                <w:kern w:val="0"/>
                <w:sz w:val="21"/>
                <w:szCs w:val="21"/>
              </w:rPr>
              <w:t>13</w:t>
            </w:r>
          </w:p>
        </w:tc>
        <w:tc>
          <w:tcPr>
            <w:tcW w:w="964" w:type="pct"/>
            <w:tcBorders>
              <w:tl2br w:val="nil"/>
              <w:tr2bl w:val="nil"/>
            </w:tcBorders>
            <w:noWrap/>
            <w:vAlign w:val="center"/>
          </w:tcPr>
          <w:p w14:paraId="72345D0E">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0F2FDA5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35E02382">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017AAE4">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1C608AB8">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2D273C9">
            <w:pPr>
              <w:widowControl/>
              <w:snapToGrid/>
              <w:spacing w:line="240" w:lineRule="auto"/>
              <w:ind w:firstLine="0" w:firstLineChars="0"/>
              <w:jc w:val="center"/>
              <w:rPr>
                <w:color w:val="auto"/>
                <w:kern w:val="0"/>
                <w:sz w:val="21"/>
                <w:szCs w:val="21"/>
              </w:rPr>
            </w:pPr>
          </w:p>
        </w:tc>
      </w:tr>
      <w:tr w14:paraId="14D2F50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8522849">
            <w:pPr>
              <w:widowControl/>
              <w:adjustRightInd/>
              <w:snapToGrid/>
              <w:spacing w:line="240" w:lineRule="auto"/>
              <w:ind w:firstLine="0" w:firstLineChars="0"/>
              <w:jc w:val="center"/>
              <w:rPr>
                <w:color w:val="auto"/>
                <w:kern w:val="0"/>
                <w:sz w:val="21"/>
                <w:szCs w:val="21"/>
              </w:rPr>
            </w:pPr>
            <w:r>
              <w:rPr>
                <w:color w:val="auto"/>
                <w:kern w:val="0"/>
                <w:sz w:val="21"/>
                <w:szCs w:val="21"/>
              </w:rPr>
              <w:t>14</w:t>
            </w:r>
          </w:p>
        </w:tc>
        <w:tc>
          <w:tcPr>
            <w:tcW w:w="964" w:type="pct"/>
            <w:tcBorders>
              <w:tl2br w:val="nil"/>
              <w:tr2bl w:val="nil"/>
            </w:tcBorders>
            <w:noWrap/>
            <w:vAlign w:val="center"/>
          </w:tcPr>
          <w:p w14:paraId="5C5FB11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0E9E885">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13AE3F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2966F67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08290A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30D2057D">
            <w:pPr>
              <w:widowControl/>
              <w:snapToGrid/>
              <w:spacing w:line="240" w:lineRule="auto"/>
              <w:ind w:firstLine="0" w:firstLineChars="0"/>
              <w:jc w:val="center"/>
              <w:rPr>
                <w:color w:val="auto"/>
                <w:kern w:val="0"/>
                <w:sz w:val="21"/>
                <w:szCs w:val="21"/>
              </w:rPr>
            </w:pPr>
          </w:p>
        </w:tc>
      </w:tr>
      <w:tr w14:paraId="2CE4B83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AED7CF0">
            <w:pPr>
              <w:widowControl/>
              <w:adjustRightInd/>
              <w:snapToGrid/>
              <w:spacing w:line="240" w:lineRule="auto"/>
              <w:ind w:firstLine="0" w:firstLineChars="0"/>
              <w:jc w:val="center"/>
              <w:rPr>
                <w:color w:val="auto"/>
                <w:kern w:val="0"/>
                <w:sz w:val="21"/>
                <w:szCs w:val="21"/>
              </w:rPr>
            </w:pPr>
            <w:r>
              <w:rPr>
                <w:color w:val="auto"/>
                <w:kern w:val="0"/>
                <w:sz w:val="21"/>
                <w:szCs w:val="21"/>
              </w:rPr>
              <w:t>15</w:t>
            </w:r>
          </w:p>
        </w:tc>
        <w:tc>
          <w:tcPr>
            <w:tcW w:w="964" w:type="pct"/>
            <w:tcBorders>
              <w:tl2br w:val="nil"/>
              <w:tr2bl w:val="nil"/>
            </w:tcBorders>
            <w:noWrap/>
            <w:vAlign w:val="center"/>
          </w:tcPr>
          <w:p w14:paraId="36D401FC">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131A4121">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77CA48F4">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DDAAAF1">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79DE62D">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5634D1B2">
            <w:pPr>
              <w:widowControl/>
              <w:snapToGrid/>
              <w:spacing w:line="240" w:lineRule="auto"/>
              <w:ind w:firstLine="0" w:firstLineChars="0"/>
              <w:jc w:val="center"/>
              <w:rPr>
                <w:color w:val="auto"/>
                <w:kern w:val="0"/>
                <w:sz w:val="21"/>
                <w:szCs w:val="21"/>
              </w:rPr>
            </w:pPr>
          </w:p>
        </w:tc>
      </w:tr>
      <w:tr w14:paraId="62EC020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7A5E7F36">
            <w:pPr>
              <w:widowControl/>
              <w:adjustRightInd/>
              <w:snapToGrid/>
              <w:spacing w:line="240" w:lineRule="auto"/>
              <w:ind w:firstLine="0" w:firstLineChars="0"/>
              <w:jc w:val="center"/>
              <w:rPr>
                <w:color w:val="auto"/>
                <w:kern w:val="0"/>
                <w:sz w:val="21"/>
                <w:szCs w:val="21"/>
              </w:rPr>
            </w:pPr>
            <w:r>
              <w:rPr>
                <w:color w:val="auto"/>
                <w:kern w:val="0"/>
                <w:sz w:val="21"/>
                <w:szCs w:val="21"/>
              </w:rPr>
              <w:t>16</w:t>
            </w:r>
          </w:p>
        </w:tc>
        <w:tc>
          <w:tcPr>
            <w:tcW w:w="964" w:type="pct"/>
            <w:tcBorders>
              <w:tl2br w:val="nil"/>
              <w:tr2bl w:val="nil"/>
            </w:tcBorders>
            <w:noWrap/>
            <w:vAlign w:val="center"/>
          </w:tcPr>
          <w:p w14:paraId="5B0EC7F6">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2AA2FD02">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58AB8F7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53F081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20F770CB">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7E43776">
            <w:pPr>
              <w:widowControl/>
              <w:snapToGrid/>
              <w:spacing w:line="240" w:lineRule="auto"/>
              <w:ind w:firstLine="0" w:firstLineChars="0"/>
              <w:jc w:val="center"/>
              <w:rPr>
                <w:color w:val="auto"/>
                <w:kern w:val="0"/>
                <w:sz w:val="21"/>
                <w:szCs w:val="21"/>
              </w:rPr>
            </w:pPr>
          </w:p>
        </w:tc>
      </w:tr>
      <w:tr w14:paraId="3A70772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492188FD">
            <w:pPr>
              <w:widowControl/>
              <w:adjustRightInd/>
              <w:snapToGrid/>
              <w:spacing w:line="240" w:lineRule="auto"/>
              <w:ind w:firstLine="0" w:firstLineChars="0"/>
              <w:jc w:val="center"/>
              <w:rPr>
                <w:color w:val="auto"/>
                <w:kern w:val="0"/>
                <w:sz w:val="21"/>
                <w:szCs w:val="21"/>
              </w:rPr>
            </w:pPr>
            <w:r>
              <w:rPr>
                <w:color w:val="auto"/>
                <w:kern w:val="0"/>
                <w:sz w:val="21"/>
                <w:szCs w:val="21"/>
              </w:rPr>
              <w:t>17</w:t>
            </w:r>
          </w:p>
        </w:tc>
        <w:tc>
          <w:tcPr>
            <w:tcW w:w="964" w:type="pct"/>
            <w:tcBorders>
              <w:tl2br w:val="nil"/>
              <w:tr2bl w:val="nil"/>
            </w:tcBorders>
            <w:noWrap/>
            <w:vAlign w:val="center"/>
          </w:tcPr>
          <w:p w14:paraId="3B88B69F">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86413C1">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42C1DF2">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E0E84A3">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156B5A0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60FE951">
            <w:pPr>
              <w:widowControl/>
              <w:snapToGrid/>
              <w:spacing w:line="240" w:lineRule="auto"/>
              <w:ind w:firstLine="0" w:firstLineChars="0"/>
              <w:jc w:val="center"/>
              <w:rPr>
                <w:color w:val="auto"/>
                <w:kern w:val="0"/>
                <w:sz w:val="21"/>
                <w:szCs w:val="21"/>
              </w:rPr>
            </w:pPr>
          </w:p>
        </w:tc>
      </w:tr>
      <w:tr w14:paraId="07B8C1F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487014DF">
            <w:pPr>
              <w:widowControl/>
              <w:adjustRightInd/>
              <w:snapToGrid/>
              <w:spacing w:line="240" w:lineRule="auto"/>
              <w:ind w:firstLine="0" w:firstLineChars="0"/>
              <w:jc w:val="center"/>
              <w:rPr>
                <w:color w:val="auto"/>
                <w:kern w:val="0"/>
                <w:sz w:val="21"/>
                <w:szCs w:val="21"/>
              </w:rPr>
            </w:pPr>
            <w:r>
              <w:rPr>
                <w:color w:val="auto"/>
                <w:kern w:val="0"/>
                <w:sz w:val="21"/>
                <w:szCs w:val="21"/>
              </w:rPr>
              <w:t>18</w:t>
            </w:r>
          </w:p>
        </w:tc>
        <w:tc>
          <w:tcPr>
            <w:tcW w:w="964" w:type="pct"/>
            <w:tcBorders>
              <w:tl2br w:val="nil"/>
              <w:tr2bl w:val="nil"/>
            </w:tcBorders>
            <w:noWrap/>
            <w:vAlign w:val="center"/>
          </w:tcPr>
          <w:p w14:paraId="549A626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41CE524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7E8E9D54">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100D65A5">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3693C12">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164CF7B0">
            <w:pPr>
              <w:widowControl/>
              <w:snapToGrid/>
              <w:spacing w:line="240" w:lineRule="auto"/>
              <w:ind w:firstLine="0" w:firstLineChars="0"/>
              <w:jc w:val="center"/>
              <w:rPr>
                <w:color w:val="auto"/>
                <w:kern w:val="0"/>
                <w:sz w:val="21"/>
                <w:szCs w:val="21"/>
              </w:rPr>
            </w:pPr>
          </w:p>
        </w:tc>
      </w:tr>
      <w:tr w14:paraId="3104BA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4181E75B">
            <w:pPr>
              <w:widowControl/>
              <w:adjustRightInd/>
              <w:snapToGrid/>
              <w:spacing w:line="240" w:lineRule="auto"/>
              <w:ind w:firstLine="0" w:firstLineChars="0"/>
              <w:jc w:val="center"/>
              <w:rPr>
                <w:color w:val="auto"/>
                <w:kern w:val="0"/>
                <w:sz w:val="21"/>
                <w:szCs w:val="21"/>
              </w:rPr>
            </w:pPr>
            <w:r>
              <w:rPr>
                <w:color w:val="auto"/>
                <w:kern w:val="0"/>
                <w:sz w:val="21"/>
                <w:szCs w:val="21"/>
              </w:rPr>
              <w:t>19</w:t>
            </w:r>
          </w:p>
        </w:tc>
        <w:tc>
          <w:tcPr>
            <w:tcW w:w="964" w:type="pct"/>
            <w:tcBorders>
              <w:tl2br w:val="nil"/>
              <w:tr2bl w:val="nil"/>
            </w:tcBorders>
            <w:noWrap/>
            <w:vAlign w:val="center"/>
          </w:tcPr>
          <w:p w14:paraId="6BA560C0">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46A83A30">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0DF86A9">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77E0520E">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303D0E3A">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4DE75957">
            <w:pPr>
              <w:widowControl/>
              <w:snapToGrid/>
              <w:spacing w:line="240" w:lineRule="auto"/>
              <w:ind w:firstLine="0" w:firstLineChars="0"/>
              <w:jc w:val="center"/>
              <w:rPr>
                <w:color w:val="auto"/>
                <w:kern w:val="0"/>
                <w:sz w:val="21"/>
                <w:szCs w:val="21"/>
              </w:rPr>
            </w:pPr>
          </w:p>
        </w:tc>
      </w:tr>
      <w:tr w14:paraId="6B9618C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5FBE2516">
            <w:pPr>
              <w:widowControl/>
              <w:adjustRightInd/>
              <w:snapToGrid/>
              <w:spacing w:line="240" w:lineRule="auto"/>
              <w:ind w:firstLine="0" w:firstLineChars="0"/>
              <w:jc w:val="center"/>
              <w:rPr>
                <w:color w:val="auto"/>
                <w:kern w:val="0"/>
                <w:sz w:val="21"/>
                <w:szCs w:val="21"/>
              </w:rPr>
            </w:pPr>
            <w:r>
              <w:rPr>
                <w:color w:val="auto"/>
                <w:kern w:val="0"/>
                <w:sz w:val="21"/>
                <w:szCs w:val="21"/>
              </w:rPr>
              <w:t>20</w:t>
            </w:r>
          </w:p>
        </w:tc>
        <w:tc>
          <w:tcPr>
            <w:tcW w:w="964" w:type="pct"/>
            <w:tcBorders>
              <w:tl2br w:val="nil"/>
              <w:tr2bl w:val="nil"/>
            </w:tcBorders>
            <w:noWrap/>
            <w:vAlign w:val="center"/>
          </w:tcPr>
          <w:p w14:paraId="0E37CAC0">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7262587">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2AE5D02B">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4D137CC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312FDE0">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5B6C3C2">
            <w:pPr>
              <w:widowControl/>
              <w:snapToGrid/>
              <w:spacing w:line="240" w:lineRule="auto"/>
              <w:ind w:firstLine="0" w:firstLineChars="0"/>
              <w:jc w:val="center"/>
              <w:rPr>
                <w:color w:val="auto"/>
                <w:kern w:val="0"/>
                <w:sz w:val="21"/>
                <w:szCs w:val="21"/>
              </w:rPr>
            </w:pPr>
          </w:p>
        </w:tc>
      </w:tr>
      <w:tr w14:paraId="0D65DD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08752E57">
            <w:pPr>
              <w:widowControl/>
              <w:adjustRightInd/>
              <w:snapToGrid/>
              <w:spacing w:line="240" w:lineRule="auto"/>
              <w:ind w:firstLine="0" w:firstLineChars="0"/>
              <w:jc w:val="center"/>
              <w:rPr>
                <w:color w:val="auto"/>
                <w:kern w:val="0"/>
                <w:sz w:val="21"/>
                <w:szCs w:val="21"/>
              </w:rPr>
            </w:pPr>
            <w:r>
              <w:rPr>
                <w:color w:val="auto"/>
                <w:kern w:val="0"/>
                <w:sz w:val="21"/>
                <w:szCs w:val="21"/>
              </w:rPr>
              <w:t>21</w:t>
            </w:r>
          </w:p>
        </w:tc>
        <w:tc>
          <w:tcPr>
            <w:tcW w:w="964" w:type="pct"/>
            <w:tcBorders>
              <w:tl2br w:val="nil"/>
              <w:tr2bl w:val="nil"/>
            </w:tcBorders>
            <w:noWrap/>
            <w:vAlign w:val="center"/>
          </w:tcPr>
          <w:p w14:paraId="7A817E82">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35045C0">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499FE5EF">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7508B6B0">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903ADC2">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47639C30">
            <w:pPr>
              <w:widowControl/>
              <w:snapToGrid/>
              <w:spacing w:line="240" w:lineRule="auto"/>
              <w:ind w:firstLine="0" w:firstLineChars="0"/>
              <w:jc w:val="center"/>
              <w:rPr>
                <w:color w:val="auto"/>
                <w:kern w:val="0"/>
                <w:sz w:val="21"/>
                <w:szCs w:val="21"/>
              </w:rPr>
            </w:pPr>
          </w:p>
        </w:tc>
      </w:tr>
      <w:tr w14:paraId="5A84B6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13CC973">
            <w:pPr>
              <w:widowControl/>
              <w:adjustRightInd/>
              <w:snapToGrid/>
              <w:spacing w:line="240" w:lineRule="auto"/>
              <w:ind w:firstLine="0" w:firstLineChars="0"/>
              <w:jc w:val="center"/>
              <w:rPr>
                <w:color w:val="auto"/>
                <w:kern w:val="0"/>
                <w:sz w:val="21"/>
                <w:szCs w:val="21"/>
              </w:rPr>
            </w:pPr>
            <w:r>
              <w:rPr>
                <w:color w:val="auto"/>
                <w:kern w:val="0"/>
                <w:sz w:val="21"/>
                <w:szCs w:val="21"/>
              </w:rPr>
              <w:t>22</w:t>
            </w:r>
          </w:p>
        </w:tc>
        <w:tc>
          <w:tcPr>
            <w:tcW w:w="964" w:type="pct"/>
            <w:tcBorders>
              <w:tl2br w:val="nil"/>
              <w:tr2bl w:val="nil"/>
            </w:tcBorders>
            <w:noWrap/>
            <w:vAlign w:val="center"/>
          </w:tcPr>
          <w:p w14:paraId="22EF6F1E">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DB81C8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451CAD06">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36AD564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74FC33C6">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3DD5E0AF">
            <w:pPr>
              <w:widowControl/>
              <w:snapToGrid/>
              <w:spacing w:line="240" w:lineRule="auto"/>
              <w:ind w:firstLine="0" w:firstLineChars="0"/>
              <w:jc w:val="center"/>
              <w:rPr>
                <w:color w:val="auto"/>
                <w:kern w:val="0"/>
                <w:sz w:val="21"/>
                <w:szCs w:val="21"/>
              </w:rPr>
            </w:pPr>
          </w:p>
        </w:tc>
      </w:tr>
      <w:tr w14:paraId="58882D6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386A446D">
            <w:pPr>
              <w:widowControl/>
              <w:adjustRightInd/>
              <w:snapToGrid/>
              <w:spacing w:line="240" w:lineRule="auto"/>
              <w:ind w:firstLine="0" w:firstLineChars="0"/>
              <w:jc w:val="center"/>
              <w:rPr>
                <w:color w:val="auto"/>
                <w:kern w:val="0"/>
                <w:sz w:val="21"/>
                <w:szCs w:val="21"/>
              </w:rPr>
            </w:pPr>
            <w:r>
              <w:rPr>
                <w:color w:val="auto"/>
                <w:kern w:val="0"/>
                <w:sz w:val="21"/>
                <w:szCs w:val="21"/>
              </w:rPr>
              <w:t>23</w:t>
            </w:r>
          </w:p>
        </w:tc>
        <w:tc>
          <w:tcPr>
            <w:tcW w:w="964" w:type="pct"/>
            <w:tcBorders>
              <w:tl2br w:val="nil"/>
              <w:tr2bl w:val="nil"/>
            </w:tcBorders>
            <w:noWrap/>
            <w:vAlign w:val="center"/>
          </w:tcPr>
          <w:p w14:paraId="08291EA3">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CB34AB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28002AC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403BDB77">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7C9E068D">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E44830B">
            <w:pPr>
              <w:widowControl/>
              <w:snapToGrid/>
              <w:spacing w:line="240" w:lineRule="auto"/>
              <w:ind w:firstLine="0" w:firstLineChars="0"/>
              <w:jc w:val="center"/>
              <w:rPr>
                <w:color w:val="auto"/>
                <w:kern w:val="0"/>
                <w:sz w:val="21"/>
                <w:szCs w:val="21"/>
              </w:rPr>
            </w:pPr>
          </w:p>
        </w:tc>
      </w:tr>
      <w:tr w14:paraId="31BF084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52BAF2E">
            <w:pPr>
              <w:widowControl/>
              <w:adjustRightInd/>
              <w:snapToGrid/>
              <w:spacing w:line="240" w:lineRule="auto"/>
              <w:ind w:firstLine="0" w:firstLineChars="0"/>
              <w:jc w:val="center"/>
              <w:rPr>
                <w:color w:val="auto"/>
                <w:kern w:val="0"/>
                <w:sz w:val="21"/>
                <w:szCs w:val="21"/>
              </w:rPr>
            </w:pPr>
            <w:r>
              <w:rPr>
                <w:color w:val="auto"/>
                <w:kern w:val="0"/>
                <w:sz w:val="21"/>
                <w:szCs w:val="21"/>
              </w:rPr>
              <w:t>24</w:t>
            </w:r>
          </w:p>
        </w:tc>
        <w:tc>
          <w:tcPr>
            <w:tcW w:w="964" w:type="pct"/>
            <w:tcBorders>
              <w:tl2br w:val="nil"/>
              <w:tr2bl w:val="nil"/>
            </w:tcBorders>
            <w:noWrap/>
            <w:vAlign w:val="center"/>
          </w:tcPr>
          <w:p w14:paraId="2292691E">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55415B2">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52302FD6">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659A83E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29DB61A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B8EBAF4">
            <w:pPr>
              <w:widowControl/>
              <w:snapToGrid/>
              <w:spacing w:line="240" w:lineRule="auto"/>
              <w:ind w:firstLine="0" w:firstLineChars="0"/>
              <w:jc w:val="center"/>
              <w:rPr>
                <w:color w:val="auto"/>
                <w:kern w:val="0"/>
                <w:sz w:val="21"/>
                <w:szCs w:val="21"/>
              </w:rPr>
            </w:pPr>
          </w:p>
        </w:tc>
      </w:tr>
      <w:tr w14:paraId="6E026E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34B2CBF5">
            <w:pPr>
              <w:widowControl/>
              <w:adjustRightInd/>
              <w:snapToGrid/>
              <w:spacing w:line="240" w:lineRule="auto"/>
              <w:ind w:firstLine="0" w:firstLineChars="0"/>
              <w:jc w:val="center"/>
              <w:rPr>
                <w:color w:val="auto"/>
                <w:kern w:val="0"/>
                <w:sz w:val="21"/>
                <w:szCs w:val="21"/>
              </w:rPr>
            </w:pPr>
            <w:r>
              <w:rPr>
                <w:color w:val="auto"/>
                <w:kern w:val="0"/>
                <w:sz w:val="21"/>
                <w:szCs w:val="21"/>
              </w:rPr>
              <w:t>25</w:t>
            </w:r>
          </w:p>
        </w:tc>
        <w:tc>
          <w:tcPr>
            <w:tcW w:w="964" w:type="pct"/>
            <w:tcBorders>
              <w:tl2br w:val="nil"/>
              <w:tr2bl w:val="nil"/>
            </w:tcBorders>
            <w:noWrap/>
            <w:vAlign w:val="center"/>
          </w:tcPr>
          <w:p w14:paraId="10ED3F5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23E7F5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23850F51">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09F1055A">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B9E4C30">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446DA973">
            <w:pPr>
              <w:widowControl/>
              <w:snapToGrid/>
              <w:spacing w:line="240" w:lineRule="auto"/>
              <w:ind w:firstLine="0" w:firstLineChars="0"/>
              <w:jc w:val="center"/>
              <w:rPr>
                <w:color w:val="auto"/>
                <w:kern w:val="0"/>
                <w:sz w:val="21"/>
                <w:szCs w:val="21"/>
              </w:rPr>
            </w:pPr>
          </w:p>
        </w:tc>
      </w:tr>
      <w:tr w14:paraId="0F79E90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4D797645">
            <w:pPr>
              <w:widowControl/>
              <w:adjustRightInd/>
              <w:snapToGrid/>
              <w:spacing w:line="240" w:lineRule="auto"/>
              <w:ind w:firstLine="0" w:firstLineChars="0"/>
              <w:jc w:val="center"/>
              <w:rPr>
                <w:color w:val="auto"/>
                <w:kern w:val="0"/>
                <w:sz w:val="21"/>
                <w:szCs w:val="21"/>
              </w:rPr>
            </w:pPr>
            <w:r>
              <w:rPr>
                <w:color w:val="auto"/>
                <w:kern w:val="0"/>
                <w:sz w:val="21"/>
                <w:szCs w:val="21"/>
              </w:rPr>
              <w:t>26</w:t>
            </w:r>
          </w:p>
        </w:tc>
        <w:tc>
          <w:tcPr>
            <w:tcW w:w="964" w:type="pct"/>
            <w:tcBorders>
              <w:tl2br w:val="nil"/>
              <w:tr2bl w:val="nil"/>
            </w:tcBorders>
            <w:noWrap/>
            <w:vAlign w:val="center"/>
          </w:tcPr>
          <w:p w14:paraId="1F3DD77B">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50CB7EA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2BBF0B0F">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096D25AD">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02E08CAC">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235D460D">
            <w:pPr>
              <w:widowControl/>
              <w:snapToGrid/>
              <w:spacing w:line="240" w:lineRule="auto"/>
              <w:ind w:firstLine="0" w:firstLineChars="0"/>
              <w:jc w:val="center"/>
              <w:rPr>
                <w:color w:val="auto"/>
                <w:kern w:val="0"/>
                <w:sz w:val="21"/>
                <w:szCs w:val="21"/>
              </w:rPr>
            </w:pPr>
          </w:p>
        </w:tc>
      </w:tr>
      <w:tr w14:paraId="7DECD0F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F169F36">
            <w:pPr>
              <w:widowControl/>
              <w:adjustRightInd/>
              <w:snapToGrid/>
              <w:spacing w:line="240" w:lineRule="auto"/>
              <w:ind w:firstLine="0" w:firstLineChars="0"/>
              <w:jc w:val="center"/>
              <w:rPr>
                <w:color w:val="auto"/>
                <w:kern w:val="0"/>
                <w:sz w:val="21"/>
                <w:szCs w:val="21"/>
              </w:rPr>
            </w:pPr>
            <w:r>
              <w:rPr>
                <w:color w:val="auto"/>
                <w:kern w:val="0"/>
                <w:sz w:val="21"/>
                <w:szCs w:val="21"/>
              </w:rPr>
              <w:t>27</w:t>
            </w:r>
          </w:p>
        </w:tc>
        <w:tc>
          <w:tcPr>
            <w:tcW w:w="964" w:type="pct"/>
            <w:tcBorders>
              <w:tl2br w:val="nil"/>
              <w:tr2bl w:val="nil"/>
            </w:tcBorders>
            <w:noWrap/>
            <w:vAlign w:val="center"/>
          </w:tcPr>
          <w:p w14:paraId="64F448A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99C1E17">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2C0B779">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0E11135B">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66C94F35">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75A1BC43">
            <w:pPr>
              <w:widowControl/>
              <w:snapToGrid/>
              <w:spacing w:line="240" w:lineRule="auto"/>
              <w:ind w:firstLine="0" w:firstLineChars="0"/>
              <w:jc w:val="center"/>
              <w:rPr>
                <w:color w:val="auto"/>
                <w:kern w:val="0"/>
                <w:sz w:val="21"/>
                <w:szCs w:val="21"/>
              </w:rPr>
            </w:pPr>
          </w:p>
        </w:tc>
      </w:tr>
      <w:tr w14:paraId="1A96195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58F1C81">
            <w:pPr>
              <w:widowControl/>
              <w:adjustRightInd/>
              <w:snapToGrid/>
              <w:spacing w:line="240" w:lineRule="auto"/>
              <w:ind w:firstLine="0" w:firstLineChars="0"/>
              <w:jc w:val="center"/>
              <w:rPr>
                <w:color w:val="auto"/>
                <w:kern w:val="0"/>
                <w:sz w:val="21"/>
                <w:szCs w:val="21"/>
              </w:rPr>
            </w:pPr>
            <w:r>
              <w:rPr>
                <w:color w:val="auto"/>
                <w:kern w:val="0"/>
                <w:sz w:val="21"/>
                <w:szCs w:val="21"/>
              </w:rPr>
              <w:t>28</w:t>
            </w:r>
          </w:p>
        </w:tc>
        <w:tc>
          <w:tcPr>
            <w:tcW w:w="964" w:type="pct"/>
            <w:tcBorders>
              <w:tl2br w:val="nil"/>
              <w:tr2bl w:val="nil"/>
            </w:tcBorders>
            <w:noWrap/>
            <w:vAlign w:val="center"/>
          </w:tcPr>
          <w:p w14:paraId="1E81B7A6">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2AECDF8">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4FE228E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50F51237">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70DE6C58">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484E2F5">
            <w:pPr>
              <w:widowControl/>
              <w:snapToGrid/>
              <w:spacing w:line="240" w:lineRule="auto"/>
              <w:ind w:firstLine="0" w:firstLineChars="0"/>
              <w:jc w:val="center"/>
              <w:rPr>
                <w:color w:val="auto"/>
                <w:kern w:val="0"/>
                <w:sz w:val="21"/>
                <w:szCs w:val="21"/>
              </w:rPr>
            </w:pPr>
          </w:p>
        </w:tc>
      </w:tr>
      <w:tr w14:paraId="5BF60E9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419B22A0">
            <w:pPr>
              <w:widowControl/>
              <w:adjustRightInd/>
              <w:snapToGrid/>
              <w:spacing w:line="240" w:lineRule="auto"/>
              <w:ind w:firstLine="0" w:firstLineChars="0"/>
              <w:jc w:val="center"/>
              <w:rPr>
                <w:color w:val="auto"/>
                <w:kern w:val="0"/>
                <w:sz w:val="21"/>
                <w:szCs w:val="21"/>
              </w:rPr>
            </w:pPr>
            <w:r>
              <w:rPr>
                <w:color w:val="auto"/>
                <w:kern w:val="0"/>
                <w:sz w:val="21"/>
                <w:szCs w:val="21"/>
              </w:rPr>
              <w:t>29</w:t>
            </w:r>
          </w:p>
        </w:tc>
        <w:tc>
          <w:tcPr>
            <w:tcW w:w="964" w:type="pct"/>
            <w:tcBorders>
              <w:tl2br w:val="nil"/>
              <w:tr2bl w:val="nil"/>
            </w:tcBorders>
            <w:noWrap/>
            <w:vAlign w:val="center"/>
          </w:tcPr>
          <w:p w14:paraId="7784ACD5">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F0B35E4">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36703CB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490C97D6">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70217B4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15B8BDFD">
            <w:pPr>
              <w:widowControl/>
              <w:snapToGrid/>
              <w:spacing w:line="240" w:lineRule="auto"/>
              <w:ind w:firstLine="0" w:firstLineChars="0"/>
              <w:jc w:val="center"/>
              <w:rPr>
                <w:color w:val="auto"/>
                <w:kern w:val="0"/>
                <w:sz w:val="21"/>
                <w:szCs w:val="21"/>
              </w:rPr>
            </w:pPr>
          </w:p>
        </w:tc>
      </w:tr>
      <w:tr w14:paraId="0C4FD6C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17FE7E4">
            <w:pPr>
              <w:widowControl/>
              <w:adjustRightInd/>
              <w:snapToGrid/>
              <w:spacing w:line="240" w:lineRule="auto"/>
              <w:ind w:firstLine="0" w:firstLineChars="0"/>
              <w:jc w:val="center"/>
              <w:rPr>
                <w:color w:val="auto"/>
                <w:kern w:val="0"/>
                <w:sz w:val="21"/>
                <w:szCs w:val="21"/>
              </w:rPr>
            </w:pPr>
            <w:r>
              <w:rPr>
                <w:color w:val="auto"/>
                <w:kern w:val="0"/>
                <w:sz w:val="21"/>
                <w:szCs w:val="21"/>
              </w:rPr>
              <w:t>30</w:t>
            </w:r>
          </w:p>
        </w:tc>
        <w:tc>
          <w:tcPr>
            <w:tcW w:w="964" w:type="pct"/>
            <w:tcBorders>
              <w:tl2br w:val="nil"/>
              <w:tr2bl w:val="nil"/>
            </w:tcBorders>
            <w:noWrap/>
            <w:vAlign w:val="center"/>
          </w:tcPr>
          <w:p w14:paraId="17EDB3FA">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859D43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7F9D0C9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2C07AFA7">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739B907E">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2CC78776">
            <w:pPr>
              <w:widowControl/>
              <w:snapToGrid/>
              <w:spacing w:line="240" w:lineRule="auto"/>
              <w:ind w:firstLine="0" w:firstLineChars="0"/>
              <w:jc w:val="center"/>
              <w:rPr>
                <w:color w:val="auto"/>
                <w:kern w:val="0"/>
                <w:sz w:val="21"/>
                <w:szCs w:val="21"/>
              </w:rPr>
            </w:pPr>
          </w:p>
        </w:tc>
      </w:tr>
      <w:tr w14:paraId="0D2975C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A85BCA4">
            <w:pPr>
              <w:widowControl/>
              <w:adjustRightInd/>
              <w:snapToGrid/>
              <w:spacing w:line="240" w:lineRule="auto"/>
              <w:ind w:firstLine="0" w:firstLineChars="0"/>
              <w:jc w:val="center"/>
              <w:rPr>
                <w:color w:val="auto"/>
                <w:kern w:val="0"/>
                <w:sz w:val="21"/>
                <w:szCs w:val="21"/>
              </w:rPr>
            </w:pPr>
            <w:r>
              <w:rPr>
                <w:color w:val="auto"/>
                <w:kern w:val="0"/>
                <w:sz w:val="21"/>
                <w:szCs w:val="21"/>
              </w:rPr>
              <w:t>31</w:t>
            </w:r>
          </w:p>
        </w:tc>
        <w:tc>
          <w:tcPr>
            <w:tcW w:w="964" w:type="pct"/>
            <w:tcBorders>
              <w:tl2br w:val="nil"/>
              <w:tr2bl w:val="nil"/>
            </w:tcBorders>
            <w:noWrap/>
            <w:vAlign w:val="center"/>
          </w:tcPr>
          <w:p w14:paraId="51BC9EDC">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44F3AA4">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1E068B06">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281C00D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0AE66AD">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369FFEC7">
            <w:pPr>
              <w:widowControl/>
              <w:snapToGrid/>
              <w:spacing w:line="240" w:lineRule="auto"/>
              <w:ind w:firstLine="0" w:firstLineChars="0"/>
              <w:jc w:val="center"/>
              <w:rPr>
                <w:color w:val="auto"/>
                <w:kern w:val="0"/>
                <w:sz w:val="21"/>
                <w:szCs w:val="21"/>
              </w:rPr>
            </w:pPr>
          </w:p>
        </w:tc>
      </w:tr>
      <w:tr w14:paraId="4708F4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6EEF6D0">
            <w:pPr>
              <w:widowControl/>
              <w:adjustRightInd/>
              <w:snapToGrid/>
              <w:spacing w:line="240" w:lineRule="auto"/>
              <w:ind w:firstLine="0" w:firstLineChars="0"/>
              <w:jc w:val="center"/>
              <w:rPr>
                <w:color w:val="auto"/>
                <w:kern w:val="0"/>
                <w:sz w:val="21"/>
                <w:szCs w:val="21"/>
              </w:rPr>
            </w:pPr>
            <w:r>
              <w:rPr>
                <w:color w:val="auto"/>
                <w:kern w:val="0"/>
                <w:sz w:val="21"/>
                <w:szCs w:val="21"/>
              </w:rPr>
              <w:t>32</w:t>
            </w:r>
          </w:p>
        </w:tc>
        <w:tc>
          <w:tcPr>
            <w:tcW w:w="964" w:type="pct"/>
            <w:tcBorders>
              <w:tl2br w:val="nil"/>
              <w:tr2bl w:val="nil"/>
            </w:tcBorders>
            <w:noWrap/>
            <w:vAlign w:val="center"/>
          </w:tcPr>
          <w:p w14:paraId="47E9754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A0B6C42">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3DE0B48D">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67BEDE4">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77230F42">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296C8BB3">
            <w:pPr>
              <w:widowControl/>
              <w:snapToGrid/>
              <w:spacing w:line="240" w:lineRule="auto"/>
              <w:ind w:firstLine="0" w:firstLineChars="0"/>
              <w:jc w:val="center"/>
              <w:rPr>
                <w:color w:val="auto"/>
                <w:kern w:val="0"/>
                <w:sz w:val="21"/>
                <w:szCs w:val="21"/>
              </w:rPr>
            </w:pPr>
          </w:p>
        </w:tc>
      </w:tr>
      <w:tr w14:paraId="0DA99F6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A95ADBB">
            <w:pPr>
              <w:widowControl/>
              <w:adjustRightInd/>
              <w:snapToGrid/>
              <w:spacing w:line="240" w:lineRule="auto"/>
              <w:ind w:firstLine="0" w:firstLineChars="0"/>
              <w:jc w:val="center"/>
              <w:rPr>
                <w:color w:val="auto"/>
                <w:kern w:val="0"/>
                <w:sz w:val="21"/>
                <w:szCs w:val="21"/>
              </w:rPr>
            </w:pPr>
            <w:r>
              <w:rPr>
                <w:color w:val="auto"/>
                <w:kern w:val="0"/>
                <w:sz w:val="21"/>
                <w:szCs w:val="21"/>
              </w:rPr>
              <w:t>33</w:t>
            </w:r>
          </w:p>
        </w:tc>
        <w:tc>
          <w:tcPr>
            <w:tcW w:w="964" w:type="pct"/>
            <w:tcBorders>
              <w:tl2br w:val="nil"/>
              <w:tr2bl w:val="nil"/>
            </w:tcBorders>
            <w:noWrap/>
            <w:vAlign w:val="center"/>
          </w:tcPr>
          <w:p w14:paraId="6EB40EB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2DE024A">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33A5856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0583A51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02DE31A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33B413F5">
            <w:pPr>
              <w:widowControl/>
              <w:snapToGrid/>
              <w:spacing w:line="240" w:lineRule="auto"/>
              <w:ind w:firstLine="0" w:firstLineChars="0"/>
              <w:jc w:val="center"/>
              <w:rPr>
                <w:color w:val="auto"/>
                <w:kern w:val="0"/>
                <w:sz w:val="21"/>
                <w:szCs w:val="21"/>
              </w:rPr>
            </w:pPr>
          </w:p>
        </w:tc>
      </w:tr>
      <w:tr w14:paraId="418F086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092D1EBA">
            <w:pPr>
              <w:widowControl/>
              <w:adjustRightInd/>
              <w:snapToGrid/>
              <w:spacing w:line="240" w:lineRule="auto"/>
              <w:ind w:firstLine="0" w:firstLineChars="0"/>
              <w:jc w:val="center"/>
              <w:rPr>
                <w:color w:val="auto"/>
                <w:kern w:val="0"/>
                <w:sz w:val="21"/>
                <w:szCs w:val="21"/>
              </w:rPr>
            </w:pPr>
            <w:r>
              <w:rPr>
                <w:color w:val="auto"/>
                <w:kern w:val="0"/>
                <w:sz w:val="21"/>
                <w:szCs w:val="21"/>
              </w:rPr>
              <w:t>34</w:t>
            </w:r>
          </w:p>
        </w:tc>
        <w:tc>
          <w:tcPr>
            <w:tcW w:w="964" w:type="pct"/>
            <w:tcBorders>
              <w:tl2br w:val="nil"/>
              <w:tr2bl w:val="nil"/>
            </w:tcBorders>
            <w:noWrap/>
            <w:vAlign w:val="center"/>
          </w:tcPr>
          <w:p w14:paraId="44579A4D">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0CFBA72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7623EAE">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0ACC4C35">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5F0A73C">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06102B90">
            <w:pPr>
              <w:widowControl/>
              <w:snapToGrid/>
              <w:spacing w:line="240" w:lineRule="auto"/>
              <w:ind w:firstLine="0" w:firstLineChars="0"/>
              <w:jc w:val="center"/>
              <w:rPr>
                <w:color w:val="auto"/>
                <w:kern w:val="0"/>
                <w:sz w:val="21"/>
                <w:szCs w:val="21"/>
              </w:rPr>
            </w:pPr>
          </w:p>
        </w:tc>
      </w:tr>
      <w:tr w14:paraId="0D1AF12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6D04A8F">
            <w:pPr>
              <w:widowControl/>
              <w:adjustRightInd/>
              <w:snapToGrid/>
              <w:spacing w:line="240" w:lineRule="auto"/>
              <w:ind w:firstLine="0" w:firstLineChars="0"/>
              <w:jc w:val="center"/>
              <w:rPr>
                <w:color w:val="auto"/>
                <w:kern w:val="0"/>
                <w:sz w:val="21"/>
                <w:szCs w:val="21"/>
              </w:rPr>
            </w:pPr>
            <w:r>
              <w:rPr>
                <w:color w:val="auto"/>
                <w:kern w:val="0"/>
                <w:sz w:val="21"/>
                <w:szCs w:val="21"/>
              </w:rPr>
              <w:t>35</w:t>
            </w:r>
          </w:p>
        </w:tc>
        <w:tc>
          <w:tcPr>
            <w:tcW w:w="964" w:type="pct"/>
            <w:tcBorders>
              <w:tl2br w:val="nil"/>
              <w:tr2bl w:val="nil"/>
            </w:tcBorders>
            <w:noWrap/>
            <w:vAlign w:val="center"/>
          </w:tcPr>
          <w:p w14:paraId="3F6FC58B">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noWrap/>
            <w:vAlign w:val="center"/>
          </w:tcPr>
          <w:p w14:paraId="4E288E0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E36F2FF">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2D7BE0A3">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3D9D57D3">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0F83BD12">
            <w:pPr>
              <w:widowControl/>
              <w:snapToGrid/>
              <w:spacing w:line="240" w:lineRule="auto"/>
              <w:ind w:firstLine="0" w:firstLineChars="0"/>
              <w:jc w:val="center"/>
              <w:rPr>
                <w:color w:val="auto"/>
                <w:kern w:val="0"/>
                <w:sz w:val="21"/>
                <w:szCs w:val="21"/>
              </w:rPr>
            </w:pPr>
          </w:p>
        </w:tc>
      </w:tr>
      <w:tr w14:paraId="504CE57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7C5179E7">
            <w:pPr>
              <w:widowControl/>
              <w:adjustRightInd/>
              <w:snapToGrid/>
              <w:spacing w:line="240" w:lineRule="auto"/>
              <w:ind w:firstLine="0" w:firstLineChars="0"/>
              <w:jc w:val="center"/>
              <w:rPr>
                <w:color w:val="auto"/>
                <w:kern w:val="0"/>
                <w:sz w:val="21"/>
                <w:szCs w:val="21"/>
              </w:rPr>
            </w:pPr>
            <w:r>
              <w:rPr>
                <w:color w:val="auto"/>
                <w:kern w:val="0"/>
                <w:sz w:val="21"/>
                <w:szCs w:val="21"/>
              </w:rPr>
              <w:t>36</w:t>
            </w:r>
          </w:p>
        </w:tc>
        <w:tc>
          <w:tcPr>
            <w:tcW w:w="964" w:type="pct"/>
            <w:tcBorders>
              <w:tl2br w:val="nil"/>
              <w:tr2bl w:val="nil"/>
            </w:tcBorders>
            <w:noWrap/>
            <w:vAlign w:val="center"/>
          </w:tcPr>
          <w:p w14:paraId="0C026823">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F3FB794">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1F162426">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0DB72B2A">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2126A670">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C7F4020">
            <w:pPr>
              <w:widowControl/>
              <w:snapToGrid/>
              <w:spacing w:line="240" w:lineRule="auto"/>
              <w:ind w:firstLine="0" w:firstLineChars="0"/>
              <w:jc w:val="center"/>
              <w:rPr>
                <w:color w:val="auto"/>
                <w:kern w:val="0"/>
                <w:sz w:val="21"/>
                <w:szCs w:val="21"/>
              </w:rPr>
            </w:pPr>
          </w:p>
        </w:tc>
      </w:tr>
      <w:tr w14:paraId="7A33496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09F65AD2">
            <w:pPr>
              <w:widowControl/>
              <w:adjustRightInd/>
              <w:snapToGrid/>
              <w:spacing w:line="240" w:lineRule="auto"/>
              <w:ind w:firstLine="0" w:firstLineChars="0"/>
              <w:jc w:val="center"/>
              <w:rPr>
                <w:color w:val="auto"/>
                <w:kern w:val="0"/>
                <w:sz w:val="21"/>
                <w:szCs w:val="21"/>
              </w:rPr>
            </w:pPr>
            <w:r>
              <w:rPr>
                <w:color w:val="auto"/>
                <w:kern w:val="0"/>
                <w:sz w:val="21"/>
                <w:szCs w:val="21"/>
              </w:rPr>
              <w:t>37</w:t>
            </w:r>
          </w:p>
        </w:tc>
        <w:tc>
          <w:tcPr>
            <w:tcW w:w="964" w:type="pct"/>
            <w:tcBorders>
              <w:tl2br w:val="nil"/>
              <w:tr2bl w:val="nil"/>
            </w:tcBorders>
            <w:noWrap/>
            <w:vAlign w:val="center"/>
          </w:tcPr>
          <w:p w14:paraId="29803AA3">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B92CA9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26B50C66">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743082E">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F7CA90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2C8A1382">
            <w:pPr>
              <w:widowControl/>
              <w:snapToGrid/>
              <w:spacing w:line="240" w:lineRule="auto"/>
              <w:ind w:firstLine="0" w:firstLineChars="0"/>
              <w:jc w:val="center"/>
              <w:rPr>
                <w:color w:val="auto"/>
                <w:kern w:val="0"/>
                <w:sz w:val="21"/>
                <w:szCs w:val="21"/>
              </w:rPr>
            </w:pPr>
          </w:p>
        </w:tc>
      </w:tr>
      <w:tr w14:paraId="1258BE9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8EE163D">
            <w:pPr>
              <w:widowControl/>
              <w:adjustRightInd/>
              <w:snapToGrid/>
              <w:spacing w:line="240" w:lineRule="auto"/>
              <w:ind w:firstLine="0" w:firstLineChars="0"/>
              <w:jc w:val="center"/>
              <w:rPr>
                <w:color w:val="auto"/>
                <w:kern w:val="0"/>
                <w:sz w:val="21"/>
                <w:szCs w:val="21"/>
              </w:rPr>
            </w:pPr>
            <w:r>
              <w:rPr>
                <w:color w:val="auto"/>
                <w:kern w:val="0"/>
                <w:sz w:val="21"/>
                <w:szCs w:val="21"/>
              </w:rPr>
              <w:t>38</w:t>
            </w:r>
          </w:p>
        </w:tc>
        <w:tc>
          <w:tcPr>
            <w:tcW w:w="964" w:type="pct"/>
            <w:tcBorders>
              <w:tl2br w:val="nil"/>
              <w:tr2bl w:val="nil"/>
            </w:tcBorders>
            <w:noWrap/>
            <w:vAlign w:val="center"/>
          </w:tcPr>
          <w:p w14:paraId="10061AA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97D669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2C5CB501">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2F9A6D4A">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4F812F33">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36A7CC94">
            <w:pPr>
              <w:widowControl/>
              <w:snapToGrid/>
              <w:spacing w:line="240" w:lineRule="auto"/>
              <w:ind w:firstLine="0" w:firstLineChars="0"/>
              <w:jc w:val="center"/>
              <w:rPr>
                <w:color w:val="auto"/>
                <w:kern w:val="0"/>
                <w:sz w:val="21"/>
                <w:szCs w:val="21"/>
              </w:rPr>
            </w:pPr>
          </w:p>
        </w:tc>
      </w:tr>
      <w:tr w14:paraId="2196A62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055C4674">
            <w:pPr>
              <w:widowControl/>
              <w:adjustRightInd/>
              <w:snapToGrid/>
              <w:spacing w:line="240" w:lineRule="auto"/>
              <w:ind w:firstLine="0" w:firstLineChars="0"/>
              <w:jc w:val="center"/>
              <w:rPr>
                <w:color w:val="auto"/>
                <w:kern w:val="0"/>
                <w:sz w:val="21"/>
                <w:szCs w:val="21"/>
              </w:rPr>
            </w:pPr>
            <w:r>
              <w:rPr>
                <w:color w:val="auto"/>
                <w:kern w:val="0"/>
                <w:sz w:val="21"/>
                <w:szCs w:val="21"/>
              </w:rPr>
              <w:t>39</w:t>
            </w:r>
          </w:p>
        </w:tc>
        <w:tc>
          <w:tcPr>
            <w:tcW w:w="964" w:type="pct"/>
            <w:tcBorders>
              <w:tl2br w:val="nil"/>
              <w:tr2bl w:val="nil"/>
            </w:tcBorders>
            <w:noWrap/>
            <w:vAlign w:val="center"/>
          </w:tcPr>
          <w:p w14:paraId="1A2D42FA">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283793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394EA15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02EBC53D">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29E15D3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5E966B71">
            <w:pPr>
              <w:widowControl/>
              <w:snapToGrid/>
              <w:spacing w:line="240" w:lineRule="auto"/>
              <w:ind w:firstLine="0" w:firstLineChars="0"/>
              <w:jc w:val="center"/>
              <w:rPr>
                <w:color w:val="auto"/>
                <w:kern w:val="0"/>
                <w:sz w:val="21"/>
                <w:szCs w:val="21"/>
              </w:rPr>
            </w:pPr>
          </w:p>
        </w:tc>
      </w:tr>
      <w:tr w14:paraId="7371E7C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5424993E">
            <w:pPr>
              <w:widowControl/>
              <w:adjustRightInd/>
              <w:snapToGrid/>
              <w:spacing w:line="240" w:lineRule="auto"/>
              <w:ind w:firstLine="0" w:firstLineChars="0"/>
              <w:jc w:val="center"/>
              <w:rPr>
                <w:color w:val="auto"/>
                <w:kern w:val="0"/>
                <w:sz w:val="21"/>
                <w:szCs w:val="21"/>
              </w:rPr>
            </w:pPr>
            <w:r>
              <w:rPr>
                <w:color w:val="auto"/>
                <w:kern w:val="0"/>
                <w:sz w:val="21"/>
                <w:szCs w:val="21"/>
              </w:rPr>
              <w:t>40</w:t>
            </w:r>
          </w:p>
        </w:tc>
        <w:tc>
          <w:tcPr>
            <w:tcW w:w="964" w:type="pct"/>
            <w:tcBorders>
              <w:tl2br w:val="nil"/>
              <w:tr2bl w:val="nil"/>
            </w:tcBorders>
            <w:noWrap/>
            <w:vAlign w:val="center"/>
          </w:tcPr>
          <w:p w14:paraId="500C545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4B92EE7">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41D0549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7CEAF986">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95387FE">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6D51AC8">
            <w:pPr>
              <w:widowControl/>
              <w:snapToGrid/>
              <w:spacing w:line="240" w:lineRule="auto"/>
              <w:ind w:firstLine="0" w:firstLineChars="0"/>
              <w:jc w:val="center"/>
              <w:rPr>
                <w:color w:val="auto"/>
                <w:kern w:val="0"/>
                <w:sz w:val="21"/>
                <w:szCs w:val="21"/>
              </w:rPr>
            </w:pPr>
          </w:p>
        </w:tc>
      </w:tr>
      <w:tr w14:paraId="729EE12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308F2438">
            <w:pPr>
              <w:widowControl/>
              <w:adjustRightInd/>
              <w:snapToGrid/>
              <w:spacing w:line="240" w:lineRule="auto"/>
              <w:ind w:firstLine="0" w:firstLineChars="0"/>
              <w:jc w:val="center"/>
              <w:rPr>
                <w:color w:val="auto"/>
                <w:kern w:val="0"/>
                <w:sz w:val="21"/>
                <w:szCs w:val="21"/>
              </w:rPr>
            </w:pPr>
            <w:r>
              <w:rPr>
                <w:color w:val="auto"/>
                <w:kern w:val="0"/>
                <w:sz w:val="21"/>
                <w:szCs w:val="21"/>
              </w:rPr>
              <w:t>41</w:t>
            </w:r>
          </w:p>
        </w:tc>
        <w:tc>
          <w:tcPr>
            <w:tcW w:w="964" w:type="pct"/>
            <w:tcBorders>
              <w:tl2br w:val="nil"/>
              <w:tr2bl w:val="nil"/>
            </w:tcBorders>
            <w:noWrap/>
            <w:vAlign w:val="center"/>
          </w:tcPr>
          <w:p w14:paraId="22A6264E">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A9C8C58">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348FB472">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47D848EC">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3913322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49F66D15">
            <w:pPr>
              <w:widowControl/>
              <w:snapToGrid/>
              <w:spacing w:line="240" w:lineRule="auto"/>
              <w:ind w:firstLine="0" w:firstLineChars="0"/>
              <w:jc w:val="center"/>
              <w:rPr>
                <w:color w:val="auto"/>
                <w:kern w:val="0"/>
                <w:sz w:val="21"/>
                <w:szCs w:val="21"/>
              </w:rPr>
            </w:pPr>
          </w:p>
        </w:tc>
      </w:tr>
      <w:tr w14:paraId="1F1EF61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09020460">
            <w:pPr>
              <w:widowControl/>
              <w:adjustRightInd/>
              <w:snapToGrid/>
              <w:spacing w:line="240" w:lineRule="auto"/>
              <w:ind w:firstLine="0" w:firstLineChars="0"/>
              <w:jc w:val="center"/>
              <w:rPr>
                <w:color w:val="auto"/>
                <w:kern w:val="0"/>
                <w:sz w:val="21"/>
                <w:szCs w:val="21"/>
              </w:rPr>
            </w:pPr>
            <w:r>
              <w:rPr>
                <w:color w:val="auto"/>
                <w:kern w:val="0"/>
                <w:sz w:val="21"/>
                <w:szCs w:val="21"/>
              </w:rPr>
              <w:t>42</w:t>
            </w:r>
          </w:p>
        </w:tc>
        <w:tc>
          <w:tcPr>
            <w:tcW w:w="964" w:type="pct"/>
            <w:tcBorders>
              <w:tl2br w:val="nil"/>
              <w:tr2bl w:val="nil"/>
            </w:tcBorders>
            <w:noWrap/>
            <w:vAlign w:val="center"/>
          </w:tcPr>
          <w:p w14:paraId="45D544C3">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53EC5B1">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4B7A5A83">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C31C1EF">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2C9E589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18B9C33F">
            <w:pPr>
              <w:widowControl/>
              <w:snapToGrid/>
              <w:spacing w:line="240" w:lineRule="auto"/>
              <w:ind w:firstLine="0" w:firstLineChars="0"/>
              <w:jc w:val="center"/>
              <w:rPr>
                <w:color w:val="auto"/>
                <w:kern w:val="0"/>
                <w:sz w:val="21"/>
                <w:szCs w:val="21"/>
              </w:rPr>
            </w:pPr>
          </w:p>
        </w:tc>
      </w:tr>
      <w:tr w14:paraId="5F9C504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0F3222ED">
            <w:pPr>
              <w:widowControl/>
              <w:adjustRightInd/>
              <w:snapToGrid/>
              <w:spacing w:line="240" w:lineRule="auto"/>
              <w:ind w:firstLine="0" w:firstLineChars="0"/>
              <w:jc w:val="center"/>
              <w:rPr>
                <w:color w:val="auto"/>
                <w:kern w:val="0"/>
                <w:sz w:val="21"/>
                <w:szCs w:val="21"/>
              </w:rPr>
            </w:pPr>
            <w:r>
              <w:rPr>
                <w:color w:val="auto"/>
                <w:kern w:val="0"/>
                <w:sz w:val="21"/>
                <w:szCs w:val="21"/>
              </w:rPr>
              <w:t>43</w:t>
            </w:r>
          </w:p>
        </w:tc>
        <w:tc>
          <w:tcPr>
            <w:tcW w:w="964" w:type="pct"/>
            <w:tcBorders>
              <w:tl2br w:val="nil"/>
              <w:tr2bl w:val="nil"/>
            </w:tcBorders>
            <w:noWrap/>
            <w:vAlign w:val="center"/>
          </w:tcPr>
          <w:p w14:paraId="0BBEF3ED">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ADAC843">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433369D4">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4716C6D5">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71B77C4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2D44D01">
            <w:pPr>
              <w:widowControl/>
              <w:snapToGrid/>
              <w:spacing w:line="240" w:lineRule="auto"/>
              <w:ind w:firstLine="0" w:firstLineChars="0"/>
              <w:jc w:val="center"/>
              <w:rPr>
                <w:color w:val="auto"/>
                <w:kern w:val="0"/>
                <w:sz w:val="21"/>
                <w:szCs w:val="21"/>
              </w:rPr>
            </w:pPr>
          </w:p>
        </w:tc>
      </w:tr>
      <w:tr w14:paraId="7D78D48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0AFB79B5">
            <w:pPr>
              <w:widowControl/>
              <w:adjustRightInd/>
              <w:snapToGrid/>
              <w:spacing w:line="240" w:lineRule="auto"/>
              <w:ind w:firstLine="0" w:firstLineChars="0"/>
              <w:jc w:val="center"/>
              <w:rPr>
                <w:color w:val="auto"/>
                <w:kern w:val="0"/>
                <w:sz w:val="21"/>
                <w:szCs w:val="21"/>
              </w:rPr>
            </w:pPr>
            <w:r>
              <w:rPr>
                <w:color w:val="auto"/>
                <w:kern w:val="0"/>
                <w:sz w:val="21"/>
                <w:szCs w:val="21"/>
              </w:rPr>
              <w:t>44</w:t>
            </w:r>
          </w:p>
        </w:tc>
        <w:tc>
          <w:tcPr>
            <w:tcW w:w="964" w:type="pct"/>
            <w:tcBorders>
              <w:tl2br w:val="nil"/>
              <w:tr2bl w:val="nil"/>
            </w:tcBorders>
            <w:noWrap/>
            <w:vAlign w:val="center"/>
          </w:tcPr>
          <w:p w14:paraId="79601A1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9D9B60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625F576E">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29FA072F">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87F6E36">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13361C85">
            <w:pPr>
              <w:widowControl/>
              <w:snapToGrid/>
              <w:spacing w:line="240" w:lineRule="auto"/>
              <w:ind w:firstLine="0" w:firstLineChars="0"/>
              <w:jc w:val="center"/>
              <w:rPr>
                <w:color w:val="auto"/>
                <w:kern w:val="0"/>
                <w:sz w:val="21"/>
                <w:szCs w:val="21"/>
              </w:rPr>
            </w:pPr>
          </w:p>
        </w:tc>
      </w:tr>
      <w:tr w14:paraId="132A6C4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55E78A3E">
            <w:pPr>
              <w:widowControl/>
              <w:adjustRightInd/>
              <w:snapToGrid/>
              <w:spacing w:line="240" w:lineRule="auto"/>
              <w:ind w:firstLine="0" w:firstLineChars="0"/>
              <w:jc w:val="center"/>
              <w:rPr>
                <w:color w:val="auto"/>
                <w:kern w:val="0"/>
                <w:sz w:val="21"/>
                <w:szCs w:val="21"/>
              </w:rPr>
            </w:pPr>
            <w:r>
              <w:rPr>
                <w:color w:val="auto"/>
                <w:kern w:val="0"/>
                <w:sz w:val="21"/>
                <w:szCs w:val="21"/>
              </w:rPr>
              <w:t>45</w:t>
            </w:r>
          </w:p>
        </w:tc>
        <w:tc>
          <w:tcPr>
            <w:tcW w:w="964" w:type="pct"/>
            <w:tcBorders>
              <w:tl2br w:val="nil"/>
              <w:tr2bl w:val="nil"/>
            </w:tcBorders>
            <w:noWrap/>
            <w:vAlign w:val="center"/>
          </w:tcPr>
          <w:p w14:paraId="47C6B102">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4A45268">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5FFABE9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34EB2A33">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41C363B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1F8002FD">
            <w:pPr>
              <w:widowControl/>
              <w:snapToGrid/>
              <w:spacing w:line="240" w:lineRule="auto"/>
              <w:ind w:firstLine="0" w:firstLineChars="0"/>
              <w:jc w:val="center"/>
              <w:rPr>
                <w:color w:val="auto"/>
                <w:kern w:val="0"/>
                <w:sz w:val="21"/>
                <w:szCs w:val="21"/>
              </w:rPr>
            </w:pPr>
          </w:p>
        </w:tc>
      </w:tr>
      <w:tr w14:paraId="160927C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270CA66">
            <w:pPr>
              <w:widowControl/>
              <w:adjustRightInd/>
              <w:snapToGrid/>
              <w:spacing w:line="240" w:lineRule="auto"/>
              <w:ind w:firstLine="0" w:firstLineChars="0"/>
              <w:jc w:val="center"/>
              <w:rPr>
                <w:color w:val="auto"/>
                <w:kern w:val="0"/>
                <w:sz w:val="21"/>
                <w:szCs w:val="21"/>
              </w:rPr>
            </w:pPr>
            <w:r>
              <w:rPr>
                <w:color w:val="auto"/>
                <w:kern w:val="0"/>
                <w:sz w:val="21"/>
                <w:szCs w:val="21"/>
              </w:rPr>
              <w:t>46</w:t>
            </w:r>
          </w:p>
        </w:tc>
        <w:tc>
          <w:tcPr>
            <w:tcW w:w="964" w:type="pct"/>
            <w:tcBorders>
              <w:tl2br w:val="nil"/>
              <w:tr2bl w:val="nil"/>
            </w:tcBorders>
            <w:noWrap/>
            <w:vAlign w:val="center"/>
          </w:tcPr>
          <w:p w14:paraId="28D550C7">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77B270C">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21CFDAB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7DA8748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2D4A4D0F">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A12D4F3">
            <w:pPr>
              <w:widowControl/>
              <w:snapToGrid/>
              <w:spacing w:line="240" w:lineRule="auto"/>
              <w:ind w:firstLine="0" w:firstLineChars="0"/>
              <w:jc w:val="center"/>
              <w:rPr>
                <w:color w:val="auto"/>
                <w:kern w:val="0"/>
                <w:sz w:val="21"/>
                <w:szCs w:val="21"/>
              </w:rPr>
            </w:pPr>
          </w:p>
        </w:tc>
      </w:tr>
      <w:tr w14:paraId="066051B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5DD6FC6">
            <w:pPr>
              <w:widowControl/>
              <w:adjustRightInd/>
              <w:snapToGrid/>
              <w:spacing w:line="240" w:lineRule="auto"/>
              <w:ind w:firstLine="0" w:firstLineChars="0"/>
              <w:jc w:val="center"/>
              <w:rPr>
                <w:color w:val="auto"/>
                <w:kern w:val="0"/>
                <w:sz w:val="21"/>
                <w:szCs w:val="21"/>
              </w:rPr>
            </w:pPr>
            <w:r>
              <w:rPr>
                <w:color w:val="auto"/>
                <w:kern w:val="0"/>
                <w:sz w:val="21"/>
                <w:szCs w:val="21"/>
              </w:rPr>
              <w:t>47</w:t>
            </w:r>
          </w:p>
        </w:tc>
        <w:tc>
          <w:tcPr>
            <w:tcW w:w="964" w:type="pct"/>
            <w:tcBorders>
              <w:tl2br w:val="nil"/>
              <w:tr2bl w:val="nil"/>
            </w:tcBorders>
            <w:noWrap/>
            <w:vAlign w:val="center"/>
          </w:tcPr>
          <w:p w14:paraId="044B9D2C">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B4730D2">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217E8509">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6229B7C2">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7AA8422B">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6E581FB">
            <w:pPr>
              <w:widowControl/>
              <w:snapToGrid/>
              <w:spacing w:line="240" w:lineRule="auto"/>
              <w:ind w:firstLine="0" w:firstLineChars="0"/>
              <w:jc w:val="center"/>
              <w:rPr>
                <w:color w:val="auto"/>
                <w:kern w:val="0"/>
                <w:sz w:val="21"/>
                <w:szCs w:val="21"/>
              </w:rPr>
            </w:pPr>
          </w:p>
        </w:tc>
      </w:tr>
      <w:tr w14:paraId="1596B69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38F193F8">
            <w:pPr>
              <w:widowControl/>
              <w:adjustRightInd/>
              <w:snapToGrid/>
              <w:spacing w:line="240" w:lineRule="auto"/>
              <w:ind w:firstLine="0" w:firstLineChars="0"/>
              <w:jc w:val="center"/>
              <w:rPr>
                <w:color w:val="auto"/>
                <w:kern w:val="0"/>
                <w:sz w:val="21"/>
                <w:szCs w:val="21"/>
              </w:rPr>
            </w:pPr>
            <w:r>
              <w:rPr>
                <w:color w:val="auto"/>
                <w:kern w:val="0"/>
                <w:sz w:val="21"/>
                <w:szCs w:val="21"/>
              </w:rPr>
              <w:t>48</w:t>
            </w:r>
          </w:p>
        </w:tc>
        <w:tc>
          <w:tcPr>
            <w:tcW w:w="964" w:type="pct"/>
            <w:tcBorders>
              <w:tl2br w:val="nil"/>
              <w:tr2bl w:val="nil"/>
            </w:tcBorders>
            <w:noWrap/>
            <w:vAlign w:val="center"/>
          </w:tcPr>
          <w:p w14:paraId="3E2A6A93">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CB795B0">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19B9404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6C3F2A90">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2973AE0F">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B1EF5B7">
            <w:pPr>
              <w:widowControl/>
              <w:snapToGrid/>
              <w:spacing w:line="240" w:lineRule="auto"/>
              <w:ind w:firstLine="0" w:firstLineChars="0"/>
              <w:jc w:val="center"/>
              <w:rPr>
                <w:color w:val="auto"/>
                <w:kern w:val="0"/>
                <w:sz w:val="21"/>
                <w:szCs w:val="21"/>
              </w:rPr>
            </w:pPr>
          </w:p>
        </w:tc>
      </w:tr>
      <w:tr w14:paraId="6153101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67365365">
            <w:pPr>
              <w:widowControl/>
              <w:adjustRightInd/>
              <w:snapToGrid/>
              <w:spacing w:line="240" w:lineRule="auto"/>
              <w:ind w:firstLine="0" w:firstLineChars="0"/>
              <w:jc w:val="center"/>
              <w:rPr>
                <w:color w:val="auto"/>
                <w:kern w:val="0"/>
                <w:sz w:val="21"/>
                <w:szCs w:val="21"/>
              </w:rPr>
            </w:pPr>
            <w:r>
              <w:rPr>
                <w:color w:val="auto"/>
                <w:kern w:val="0"/>
                <w:sz w:val="21"/>
                <w:szCs w:val="21"/>
              </w:rPr>
              <w:t>49</w:t>
            </w:r>
          </w:p>
        </w:tc>
        <w:tc>
          <w:tcPr>
            <w:tcW w:w="964" w:type="pct"/>
            <w:tcBorders>
              <w:tl2br w:val="nil"/>
              <w:tr2bl w:val="nil"/>
            </w:tcBorders>
            <w:noWrap/>
            <w:vAlign w:val="center"/>
          </w:tcPr>
          <w:p w14:paraId="6A40F038">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C1C6D9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031CE60E">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C404D02">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CFFA69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6D2AC055">
            <w:pPr>
              <w:widowControl/>
              <w:snapToGrid/>
              <w:spacing w:line="240" w:lineRule="auto"/>
              <w:ind w:firstLine="0" w:firstLineChars="0"/>
              <w:jc w:val="center"/>
              <w:rPr>
                <w:color w:val="auto"/>
                <w:kern w:val="0"/>
                <w:sz w:val="21"/>
                <w:szCs w:val="21"/>
              </w:rPr>
            </w:pPr>
          </w:p>
        </w:tc>
      </w:tr>
      <w:tr w14:paraId="47FBE39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58B67E4A">
            <w:pPr>
              <w:widowControl/>
              <w:adjustRightInd/>
              <w:snapToGrid/>
              <w:spacing w:line="240" w:lineRule="auto"/>
              <w:ind w:firstLine="0" w:firstLineChars="0"/>
              <w:jc w:val="center"/>
              <w:rPr>
                <w:color w:val="auto"/>
                <w:kern w:val="0"/>
                <w:sz w:val="21"/>
                <w:szCs w:val="21"/>
              </w:rPr>
            </w:pPr>
            <w:r>
              <w:rPr>
                <w:color w:val="auto"/>
                <w:kern w:val="0"/>
                <w:sz w:val="21"/>
                <w:szCs w:val="21"/>
              </w:rPr>
              <w:t>50</w:t>
            </w:r>
          </w:p>
        </w:tc>
        <w:tc>
          <w:tcPr>
            <w:tcW w:w="964" w:type="pct"/>
            <w:tcBorders>
              <w:tl2br w:val="nil"/>
              <w:tr2bl w:val="nil"/>
            </w:tcBorders>
            <w:noWrap/>
            <w:vAlign w:val="center"/>
          </w:tcPr>
          <w:p w14:paraId="2C425794">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1A11E4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7421CB74">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3703853">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0E37C65A">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FFCB68C">
            <w:pPr>
              <w:widowControl/>
              <w:snapToGrid/>
              <w:spacing w:line="240" w:lineRule="auto"/>
              <w:ind w:firstLine="0" w:firstLineChars="0"/>
              <w:jc w:val="center"/>
              <w:rPr>
                <w:color w:val="auto"/>
                <w:kern w:val="0"/>
                <w:sz w:val="21"/>
                <w:szCs w:val="21"/>
              </w:rPr>
            </w:pPr>
          </w:p>
        </w:tc>
      </w:tr>
      <w:tr w14:paraId="56B4A8D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7F8466FD">
            <w:pPr>
              <w:widowControl/>
              <w:adjustRightInd/>
              <w:snapToGrid/>
              <w:spacing w:line="240" w:lineRule="auto"/>
              <w:ind w:firstLine="0" w:firstLineChars="0"/>
              <w:jc w:val="center"/>
              <w:rPr>
                <w:color w:val="auto"/>
                <w:kern w:val="0"/>
                <w:sz w:val="21"/>
                <w:szCs w:val="21"/>
              </w:rPr>
            </w:pPr>
            <w:r>
              <w:rPr>
                <w:color w:val="auto"/>
                <w:kern w:val="0"/>
                <w:sz w:val="21"/>
                <w:szCs w:val="21"/>
              </w:rPr>
              <w:t>51</w:t>
            </w:r>
          </w:p>
        </w:tc>
        <w:tc>
          <w:tcPr>
            <w:tcW w:w="964" w:type="pct"/>
            <w:tcBorders>
              <w:tl2br w:val="nil"/>
              <w:tr2bl w:val="nil"/>
            </w:tcBorders>
            <w:noWrap/>
            <w:vAlign w:val="center"/>
          </w:tcPr>
          <w:p w14:paraId="740CA946">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FD402EC">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0265B1C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49005D2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40772E7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E8883CD">
            <w:pPr>
              <w:widowControl/>
              <w:snapToGrid/>
              <w:spacing w:line="240" w:lineRule="auto"/>
              <w:ind w:firstLine="0" w:firstLineChars="0"/>
              <w:jc w:val="center"/>
              <w:rPr>
                <w:color w:val="auto"/>
                <w:kern w:val="0"/>
                <w:sz w:val="21"/>
                <w:szCs w:val="21"/>
              </w:rPr>
            </w:pPr>
          </w:p>
        </w:tc>
      </w:tr>
      <w:tr w14:paraId="485080E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64A3F8D">
            <w:pPr>
              <w:widowControl/>
              <w:adjustRightInd/>
              <w:snapToGrid/>
              <w:spacing w:line="240" w:lineRule="auto"/>
              <w:ind w:firstLine="0" w:firstLineChars="0"/>
              <w:jc w:val="center"/>
              <w:rPr>
                <w:color w:val="auto"/>
                <w:kern w:val="0"/>
                <w:sz w:val="21"/>
                <w:szCs w:val="21"/>
              </w:rPr>
            </w:pPr>
            <w:r>
              <w:rPr>
                <w:color w:val="auto"/>
                <w:kern w:val="0"/>
                <w:sz w:val="21"/>
                <w:szCs w:val="21"/>
              </w:rPr>
              <w:t>52</w:t>
            </w:r>
          </w:p>
        </w:tc>
        <w:tc>
          <w:tcPr>
            <w:tcW w:w="964" w:type="pct"/>
            <w:tcBorders>
              <w:tl2br w:val="nil"/>
              <w:tr2bl w:val="nil"/>
            </w:tcBorders>
            <w:noWrap/>
            <w:vAlign w:val="center"/>
          </w:tcPr>
          <w:p w14:paraId="6D1C67C0">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3AC40B0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37D7E202">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11F82F4">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1A23A348">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CF497DB">
            <w:pPr>
              <w:widowControl/>
              <w:snapToGrid/>
              <w:spacing w:line="240" w:lineRule="auto"/>
              <w:ind w:firstLine="0" w:firstLineChars="0"/>
              <w:jc w:val="center"/>
              <w:rPr>
                <w:color w:val="auto"/>
                <w:kern w:val="0"/>
                <w:sz w:val="21"/>
                <w:szCs w:val="21"/>
              </w:rPr>
            </w:pPr>
          </w:p>
        </w:tc>
      </w:tr>
      <w:tr w14:paraId="520E61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4D92281">
            <w:pPr>
              <w:widowControl/>
              <w:adjustRightInd/>
              <w:snapToGrid/>
              <w:spacing w:line="240" w:lineRule="auto"/>
              <w:ind w:firstLine="0" w:firstLineChars="0"/>
              <w:jc w:val="center"/>
              <w:rPr>
                <w:color w:val="auto"/>
                <w:kern w:val="0"/>
                <w:sz w:val="21"/>
                <w:szCs w:val="21"/>
              </w:rPr>
            </w:pPr>
            <w:r>
              <w:rPr>
                <w:color w:val="auto"/>
                <w:kern w:val="0"/>
                <w:sz w:val="21"/>
                <w:szCs w:val="21"/>
              </w:rPr>
              <w:t>53</w:t>
            </w:r>
          </w:p>
        </w:tc>
        <w:tc>
          <w:tcPr>
            <w:tcW w:w="964" w:type="pct"/>
            <w:tcBorders>
              <w:tl2br w:val="nil"/>
              <w:tr2bl w:val="nil"/>
            </w:tcBorders>
            <w:noWrap/>
            <w:vAlign w:val="center"/>
          </w:tcPr>
          <w:p w14:paraId="4A0055CA">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6647530">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44935F3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6D2CB293">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88910C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6046AB3D">
            <w:pPr>
              <w:widowControl/>
              <w:snapToGrid/>
              <w:spacing w:line="240" w:lineRule="auto"/>
              <w:ind w:firstLine="0" w:firstLineChars="0"/>
              <w:jc w:val="center"/>
              <w:rPr>
                <w:color w:val="auto"/>
                <w:kern w:val="0"/>
                <w:sz w:val="21"/>
                <w:szCs w:val="21"/>
              </w:rPr>
            </w:pPr>
          </w:p>
        </w:tc>
      </w:tr>
      <w:tr w14:paraId="6FB65C8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64D377DB">
            <w:pPr>
              <w:widowControl/>
              <w:adjustRightInd/>
              <w:snapToGrid/>
              <w:spacing w:line="240" w:lineRule="auto"/>
              <w:ind w:firstLine="0" w:firstLineChars="0"/>
              <w:jc w:val="center"/>
              <w:rPr>
                <w:color w:val="auto"/>
                <w:kern w:val="0"/>
                <w:sz w:val="21"/>
                <w:szCs w:val="21"/>
              </w:rPr>
            </w:pPr>
            <w:r>
              <w:rPr>
                <w:color w:val="auto"/>
                <w:kern w:val="0"/>
                <w:sz w:val="21"/>
                <w:szCs w:val="21"/>
              </w:rPr>
              <w:t>54</w:t>
            </w:r>
          </w:p>
        </w:tc>
        <w:tc>
          <w:tcPr>
            <w:tcW w:w="964" w:type="pct"/>
            <w:tcBorders>
              <w:tl2br w:val="nil"/>
              <w:tr2bl w:val="nil"/>
            </w:tcBorders>
            <w:noWrap/>
            <w:vAlign w:val="center"/>
          </w:tcPr>
          <w:p w14:paraId="5ED6635A">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ABB024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659CBE5B">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2A501AD5">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4E07C7E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25B66D1">
            <w:pPr>
              <w:widowControl/>
              <w:snapToGrid/>
              <w:spacing w:line="240" w:lineRule="auto"/>
              <w:ind w:firstLine="0" w:firstLineChars="0"/>
              <w:jc w:val="center"/>
              <w:rPr>
                <w:color w:val="auto"/>
                <w:kern w:val="0"/>
                <w:sz w:val="21"/>
                <w:szCs w:val="21"/>
              </w:rPr>
            </w:pPr>
          </w:p>
        </w:tc>
      </w:tr>
      <w:tr w14:paraId="406354F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5F8098CA">
            <w:pPr>
              <w:widowControl/>
              <w:adjustRightInd/>
              <w:snapToGrid/>
              <w:spacing w:line="240" w:lineRule="auto"/>
              <w:ind w:firstLine="0" w:firstLineChars="0"/>
              <w:jc w:val="center"/>
              <w:rPr>
                <w:color w:val="auto"/>
                <w:kern w:val="0"/>
                <w:sz w:val="21"/>
                <w:szCs w:val="21"/>
              </w:rPr>
            </w:pPr>
            <w:r>
              <w:rPr>
                <w:color w:val="auto"/>
                <w:kern w:val="0"/>
                <w:sz w:val="21"/>
                <w:szCs w:val="21"/>
              </w:rPr>
              <w:t>55</w:t>
            </w:r>
          </w:p>
        </w:tc>
        <w:tc>
          <w:tcPr>
            <w:tcW w:w="964" w:type="pct"/>
            <w:tcBorders>
              <w:tl2br w:val="nil"/>
              <w:tr2bl w:val="nil"/>
            </w:tcBorders>
            <w:noWrap/>
            <w:vAlign w:val="center"/>
          </w:tcPr>
          <w:p w14:paraId="67A57422">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F018325">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254FA9E9">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3AD8ECF4">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0D8117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34E01EDD">
            <w:pPr>
              <w:widowControl/>
              <w:snapToGrid/>
              <w:spacing w:line="240" w:lineRule="auto"/>
              <w:ind w:firstLine="0" w:firstLineChars="0"/>
              <w:jc w:val="center"/>
              <w:rPr>
                <w:color w:val="auto"/>
                <w:kern w:val="0"/>
                <w:sz w:val="21"/>
                <w:szCs w:val="21"/>
              </w:rPr>
            </w:pPr>
          </w:p>
        </w:tc>
      </w:tr>
      <w:tr w14:paraId="3DF15C8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0E1BCEE7">
            <w:pPr>
              <w:widowControl/>
              <w:adjustRightInd/>
              <w:snapToGrid/>
              <w:spacing w:line="240" w:lineRule="auto"/>
              <w:ind w:firstLine="0" w:firstLineChars="0"/>
              <w:jc w:val="center"/>
              <w:rPr>
                <w:color w:val="auto"/>
                <w:kern w:val="0"/>
                <w:sz w:val="21"/>
                <w:szCs w:val="21"/>
              </w:rPr>
            </w:pPr>
            <w:r>
              <w:rPr>
                <w:color w:val="auto"/>
                <w:kern w:val="0"/>
                <w:sz w:val="21"/>
                <w:szCs w:val="21"/>
              </w:rPr>
              <w:t>56</w:t>
            </w:r>
          </w:p>
        </w:tc>
        <w:tc>
          <w:tcPr>
            <w:tcW w:w="964" w:type="pct"/>
            <w:tcBorders>
              <w:tl2br w:val="nil"/>
              <w:tr2bl w:val="nil"/>
            </w:tcBorders>
            <w:noWrap/>
            <w:vAlign w:val="center"/>
          </w:tcPr>
          <w:p w14:paraId="71C615A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4A11A8A">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23E5D5BD">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227F2057">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51B81E93">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33B7F1B">
            <w:pPr>
              <w:widowControl/>
              <w:snapToGrid/>
              <w:spacing w:line="240" w:lineRule="auto"/>
              <w:ind w:firstLine="0" w:firstLineChars="0"/>
              <w:jc w:val="center"/>
              <w:rPr>
                <w:color w:val="auto"/>
                <w:kern w:val="0"/>
                <w:sz w:val="21"/>
                <w:szCs w:val="21"/>
              </w:rPr>
            </w:pPr>
          </w:p>
        </w:tc>
      </w:tr>
      <w:tr w14:paraId="639AE9C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66936830">
            <w:pPr>
              <w:widowControl/>
              <w:adjustRightInd/>
              <w:snapToGrid/>
              <w:spacing w:line="240" w:lineRule="auto"/>
              <w:ind w:firstLine="0" w:firstLineChars="0"/>
              <w:jc w:val="center"/>
              <w:rPr>
                <w:color w:val="auto"/>
                <w:kern w:val="0"/>
                <w:sz w:val="21"/>
                <w:szCs w:val="21"/>
              </w:rPr>
            </w:pPr>
            <w:r>
              <w:rPr>
                <w:color w:val="auto"/>
                <w:kern w:val="0"/>
                <w:sz w:val="21"/>
                <w:szCs w:val="21"/>
              </w:rPr>
              <w:t>57</w:t>
            </w:r>
          </w:p>
        </w:tc>
        <w:tc>
          <w:tcPr>
            <w:tcW w:w="964" w:type="pct"/>
            <w:tcBorders>
              <w:tl2br w:val="nil"/>
              <w:tr2bl w:val="nil"/>
            </w:tcBorders>
            <w:noWrap/>
            <w:vAlign w:val="center"/>
          </w:tcPr>
          <w:p w14:paraId="4C29B568">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4CE7581">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0615113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7B29E61B">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501817BC">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EEA12E9">
            <w:pPr>
              <w:widowControl/>
              <w:snapToGrid/>
              <w:spacing w:line="240" w:lineRule="auto"/>
              <w:ind w:firstLine="0" w:firstLineChars="0"/>
              <w:jc w:val="center"/>
              <w:rPr>
                <w:color w:val="auto"/>
                <w:kern w:val="0"/>
                <w:sz w:val="21"/>
                <w:szCs w:val="21"/>
              </w:rPr>
            </w:pPr>
          </w:p>
        </w:tc>
      </w:tr>
      <w:tr w14:paraId="6D5EFEB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C3298CC">
            <w:pPr>
              <w:widowControl/>
              <w:adjustRightInd/>
              <w:snapToGrid/>
              <w:spacing w:line="240" w:lineRule="auto"/>
              <w:ind w:firstLine="0" w:firstLineChars="0"/>
              <w:jc w:val="center"/>
              <w:rPr>
                <w:color w:val="auto"/>
                <w:kern w:val="0"/>
                <w:sz w:val="21"/>
                <w:szCs w:val="21"/>
              </w:rPr>
            </w:pPr>
            <w:r>
              <w:rPr>
                <w:color w:val="auto"/>
                <w:kern w:val="0"/>
                <w:sz w:val="21"/>
                <w:szCs w:val="21"/>
              </w:rPr>
              <w:t>58</w:t>
            </w:r>
          </w:p>
        </w:tc>
        <w:tc>
          <w:tcPr>
            <w:tcW w:w="964" w:type="pct"/>
            <w:tcBorders>
              <w:tl2br w:val="nil"/>
              <w:tr2bl w:val="nil"/>
            </w:tcBorders>
            <w:noWrap/>
            <w:vAlign w:val="center"/>
          </w:tcPr>
          <w:p w14:paraId="0E79ACDE">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6D27ADA">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1D06AEF9">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32812F14">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4E5AF469">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1C88A608">
            <w:pPr>
              <w:widowControl/>
              <w:snapToGrid/>
              <w:spacing w:line="240" w:lineRule="auto"/>
              <w:ind w:firstLine="0" w:firstLineChars="0"/>
              <w:jc w:val="center"/>
              <w:rPr>
                <w:color w:val="auto"/>
                <w:kern w:val="0"/>
                <w:sz w:val="21"/>
                <w:szCs w:val="21"/>
              </w:rPr>
            </w:pPr>
          </w:p>
        </w:tc>
      </w:tr>
      <w:tr w14:paraId="15B2821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2FB45F0">
            <w:pPr>
              <w:widowControl/>
              <w:adjustRightInd/>
              <w:snapToGrid/>
              <w:spacing w:line="240" w:lineRule="auto"/>
              <w:ind w:firstLine="0" w:firstLineChars="0"/>
              <w:jc w:val="center"/>
              <w:rPr>
                <w:color w:val="auto"/>
                <w:kern w:val="0"/>
                <w:sz w:val="21"/>
                <w:szCs w:val="21"/>
              </w:rPr>
            </w:pPr>
            <w:r>
              <w:rPr>
                <w:color w:val="auto"/>
                <w:kern w:val="0"/>
                <w:sz w:val="21"/>
                <w:szCs w:val="21"/>
              </w:rPr>
              <w:t>59</w:t>
            </w:r>
          </w:p>
        </w:tc>
        <w:tc>
          <w:tcPr>
            <w:tcW w:w="964" w:type="pct"/>
            <w:tcBorders>
              <w:tl2br w:val="nil"/>
              <w:tr2bl w:val="nil"/>
            </w:tcBorders>
            <w:noWrap/>
            <w:vAlign w:val="center"/>
          </w:tcPr>
          <w:p w14:paraId="029E59E3">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CF66D3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61BD3DE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410B4DDE">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04D99A0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3D7C5914">
            <w:pPr>
              <w:widowControl/>
              <w:snapToGrid/>
              <w:spacing w:line="240" w:lineRule="auto"/>
              <w:ind w:firstLine="0" w:firstLineChars="0"/>
              <w:jc w:val="center"/>
              <w:rPr>
                <w:color w:val="auto"/>
                <w:kern w:val="0"/>
                <w:sz w:val="21"/>
                <w:szCs w:val="21"/>
              </w:rPr>
            </w:pPr>
          </w:p>
        </w:tc>
      </w:tr>
      <w:tr w14:paraId="6D18C6D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319" w:type="pct"/>
            <w:tcBorders>
              <w:tl2br w:val="nil"/>
              <w:tr2bl w:val="nil"/>
            </w:tcBorders>
            <w:noWrap/>
            <w:vAlign w:val="center"/>
          </w:tcPr>
          <w:p w14:paraId="0D9ADFB3">
            <w:pPr>
              <w:widowControl/>
              <w:adjustRightInd/>
              <w:snapToGrid/>
              <w:spacing w:line="240" w:lineRule="auto"/>
              <w:ind w:firstLine="0" w:firstLineChars="0"/>
              <w:jc w:val="center"/>
              <w:rPr>
                <w:color w:val="auto"/>
                <w:kern w:val="0"/>
                <w:sz w:val="21"/>
                <w:szCs w:val="21"/>
              </w:rPr>
            </w:pPr>
            <w:r>
              <w:rPr>
                <w:color w:val="auto"/>
                <w:kern w:val="0"/>
                <w:sz w:val="21"/>
                <w:szCs w:val="21"/>
              </w:rPr>
              <w:t>60</w:t>
            </w:r>
          </w:p>
        </w:tc>
        <w:tc>
          <w:tcPr>
            <w:tcW w:w="964" w:type="pct"/>
            <w:tcBorders>
              <w:tl2br w:val="nil"/>
              <w:tr2bl w:val="nil"/>
            </w:tcBorders>
            <w:noWrap/>
            <w:vAlign w:val="center"/>
          </w:tcPr>
          <w:p w14:paraId="1832E413">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27BDBF8">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3F8A317B">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6691A83F">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2A531DF0">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6B17E312">
            <w:pPr>
              <w:widowControl/>
              <w:snapToGrid/>
              <w:spacing w:line="240" w:lineRule="auto"/>
              <w:ind w:firstLine="0" w:firstLineChars="0"/>
              <w:jc w:val="center"/>
              <w:rPr>
                <w:color w:val="auto"/>
                <w:kern w:val="0"/>
                <w:sz w:val="21"/>
                <w:szCs w:val="21"/>
              </w:rPr>
            </w:pPr>
          </w:p>
        </w:tc>
      </w:tr>
      <w:tr w14:paraId="6E7A337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510BBE4E">
            <w:pPr>
              <w:widowControl/>
              <w:adjustRightInd/>
              <w:snapToGrid/>
              <w:spacing w:line="240" w:lineRule="auto"/>
              <w:ind w:firstLine="0" w:firstLineChars="0"/>
              <w:jc w:val="center"/>
              <w:rPr>
                <w:color w:val="auto"/>
                <w:kern w:val="0"/>
                <w:sz w:val="21"/>
                <w:szCs w:val="21"/>
              </w:rPr>
            </w:pPr>
            <w:r>
              <w:rPr>
                <w:color w:val="auto"/>
                <w:kern w:val="0"/>
                <w:sz w:val="21"/>
                <w:szCs w:val="21"/>
              </w:rPr>
              <w:t>61</w:t>
            </w:r>
          </w:p>
        </w:tc>
        <w:tc>
          <w:tcPr>
            <w:tcW w:w="964" w:type="pct"/>
            <w:tcBorders>
              <w:tl2br w:val="nil"/>
              <w:tr2bl w:val="nil"/>
            </w:tcBorders>
            <w:noWrap/>
            <w:vAlign w:val="center"/>
          </w:tcPr>
          <w:p w14:paraId="6CC50BDF">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862C83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7459641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58F4595B">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6CCF11B6">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68609BC0">
            <w:pPr>
              <w:widowControl/>
              <w:snapToGrid/>
              <w:spacing w:line="240" w:lineRule="auto"/>
              <w:ind w:firstLine="0" w:firstLineChars="0"/>
              <w:jc w:val="center"/>
              <w:rPr>
                <w:color w:val="auto"/>
                <w:kern w:val="0"/>
                <w:sz w:val="21"/>
                <w:szCs w:val="21"/>
              </w:rPr>
            </w:pPr>
          </w:p>
        </w:tc>
      </w:tr>
      <w:tr w14:paraId="4655A98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6A93778">
            <w:pPr>
              <w:widowControl/>
              <w:adjustRightInd/>
              <w:snapToGrid/>
              <w:spacing w:line="240" w:lineRule="auto"/>
              <w:ind w:firstLine="0" w:firstLineChars="0"/>
              <w:jc w:val="center"/>
              <w:rPr>
                <w:color w:val="auto"/>
                <w:kern w:val="0"/>
                <w:sz w:val="21"/>
                <w:szCs w:val="21"/>
              </w:rPr>
            </w:pPr>
            <w:r>
              <w:rPr>
                <w:color w:val="auto"/>
                <w:kern w:val="0"/>
                <w:sz w:val="21"/>
                <w:szCs w:val="21"/>
              </w:rPr>
              <w:t>62</w:t>
            </w:r>
          </w:p>
        </w:tc>
        <w:tc>
          <w:tcPr>
            <w:tcW w:w="964" w:type="pct"/>
            <w:tcBorders>
              <w:tl2br w:val="nil"/>
              <w:tr2bl w:val="nil"/>
            </w:tcBorders>
            <w:noWrap/>
            <w:vAlign w:val="center"/>
          </w:tcPr>
          <w:p w14:paraId="34D0E8B6">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6BCCE8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425B6603">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29A20F6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58F591F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084BF66">
            <w:pPr>
              <w:widowControl/>
              <w:snapToGrid/>
              <w:spacing w:line="240" w:lineRule="auto"/>
              <w:ind w:firstLine="0" w:firstLineChars="0"/>
              <w:jc w:val="center"/>
              <w:rPr>
                <w:color w:val="auto"/>
                <w:kern w:val="0"/>
                <w:sz w:val="21"/>
                <w:szCs w:val="21"/>
              </w:rPr>
            </w:pPr>
          </w:p>
        </w:tc>
      </w:tr>
      <w:tr w14:paraId="59E3D05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D906BBE">
            <w:pPr>
              <w:widowControl/>
              <w:adjustRightInd/>
              <w:snapToGrid/>
              <w:spacing w:line="240" w:lineRule="auto"/>
              <w:ind w:firstLine="0" w:firstLineChars="0"/>
              <w:jc w:val="center"/>
              <w:rPr>
                <w:color w:val="auto"/>
                <w:kern w:val="0"/>
                <w:sz w:val="21"/>
                <w:szCs w:val="21"/>
              </w:rPr>
            </w:pPr>
            <w:r>
              <w:rPr>
                <w:color w:val="auto"/>
                <w:kern w:val="0"/>
                <w:sz w:val="21"/>
                <w:szCs w:val="21"/>
              </w:rPr>
              <w:t>63</w:t>
            </w:r>
          </w:p>
        </w:tc>
        <w:tc>
          <w:tcPr>
            <w:tcW w:w="964" w:type="pct"/>
            <w:tcBorders>
              <w:tl2br w:val="nil"/>
              <w:tr2bl w:val="nil"/>
            </w:tcBorders>
            <w:noWrap/>
            <w:vAlign w:val="center"/>
          </w:tcPr>
          <w:p w14:paraId="3E07D6E7">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59FB3D8">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00178FFD">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00608361">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79B0EFDC">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239DCBE0">
            <w:pPr>
              <w:widowControl/>
              <w:snapToGrid/>
              <w:spacing w:line="240" w:lineRule="auto"/>
              <w:ind w:firstLine="0" w:firstLineChars="0"/>
              <w:jc w:val="center"/>
              <w:rPr>
                <w:color w:val="auto"/>
                <w:kern w:val="0"/>
                <w:sz w:val="21"/>
                <w:szCs w:val="21"/>
              </w:rPr>
            </w:pPr>
          </w:p>
        </w:tc>
      </w:tr>
      <w:tr w14:paraId="0B01946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39C1F5A6">
            <w:pPr>
              <w:widowControl/>
              <w:adjustRightInd/>
              <w:snapToGrid/>
              <w:spacing w:line="240" w:lineRule="auto"/>
              <w:ind w:firstLine="0" w:firstLineChars="0"/>
              <w:jc w:val="center"/>
              <w:rPr>
                <w:color w:val="auto"/>
                <w:kern w:val="0"/>
                <w:sz w:val="21"/>
                <w:szCs w:val="21"/>
              </w:rPr>
            </w:pPr>
            <w:r>
              <w:rPr>
                <w:color w:val="auto"/>
                <w:kern w:val="0"/>
                <w:sz w:val="21"/>
                <w:szCs w:val="21"/>
              </w:rPr>
              <w:t>64</w:t>
            </w:r>
          </w:p>
        </w:tc>
        <w:tc>
          <w:tcPr>
            <w:tcW w:w="964" w:type="pct"/>
            <w:tcBorders>
              <w:tl2br w:val="nil"/>
              <w:tr2bl w:val="nil"/>
            </w:tcBorders>
            <w:noWrap/>
            <w:vAlign w:val="center"/>
          </w:tcPr>
          <w:p w14:paraId="7E69049B">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C6E862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6A23EE8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0F05E5EA">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0120C580">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1BA2AB95">
            <w:pPr>
              <w:widowControl/>
              <w:snapToGrid/>
              <w:spacing w:line="240" w:lineRule="auto"/>
              <w:ind w:firstLine="0" w:firstLineChars="0"/>
              <w:jc w:val="center"/>
              <w:rPr>
                <w:color w:val="auto"/>
                <w:kern w:val="0"/>
                <w:sz w:val="21"/>
                <w:szCs w:val="21"/>
              </w:rPr>
            </w:pPr>
          </w:p>
        </w:tc>
      </w:tr>
      <w:tr w14:paraId="7500CBB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3B033EB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65</w:t>
            </w:r>
          </w:p>
        </w:tc>
        <w:tc>
          <w:tcPr>
            <w:tcW w:w="964" w:type="pct"/>
            <w:tcBorders>
              <w:tl2br w:val="nil"/>
              <w:tr2bl w:val="nil"/>
            </w:tcBorders>
            <w:noWrap/>
            <w:vAlign w:val="center"/>
          </w:tcPr>
          <w:p w14:paraId="31A3D910">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0D1313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084AE72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2F563076">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13E3D4F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3D8831CC">
            <w:pPr>
              <w:widowControl/>
              <w:snapToGrid/>
              <w:spacing w:line="240" w:lineRule="auto"/>
              <w:ind w:firstLine="0" w:firstLineChars="0"/>
              <w:jc w:val="center"/>
              <w:rPr>
                <w:color w:val="auto"/>
                <w:kern w:val="0"/>
                <w:sz w:val="21"/>
                <w:szCs w:val="21"/>
              </w:rPr>
            </w:pPr>
          </w:p>
        </w:tc>
      </w:tr>
      <w:tr w14:paraId="287FEE3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281818B7">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66</w:t>
            </w:r>
          </w:p>
        </w:tc>
        <w:tc>
          <w:tcPr>
            <w:tcW w:w="964" w:type="pct"/>
            <w:tcBorders>
              <w:tl2br w:val="nil"/>
              <w:tr2bl w:val="nil"/>
            </w:tcBorders>
            <w:noWrap/>
            <w:vAlign w:val="center"/>
          </w:tcPr>
          <w:p w14:paraId="58019562">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CCA671C">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64E7A3D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58B71A5F">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4B43A3BF">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6A33201C">
            <w:pPr>
              <w:widowControl/>
              <w:snapToGrid/>
              <w:spacing w:line="240" w:lineRule="auto"/>
              <w:ind w:firstLine="0" w:firstLineChars="0"/>
              <w:jc w:val="center"/>
              <w:rPr>
                <w:color w:val="auto"/>
                <w:kern w:val="0"/>
                <w:sz w:val="21"/>
                <w:szCs w:val="21"/>
              </w:rPr>
            </w:pPr>
          </w:p>
        </w:tc>
      </w:tr>
      <w:tr w14:paraId="555A7A7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49A1EDB5">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67</w:t>
            </w:r>
          </w:p>
        </w:tc>
        <w:tc>
          <w:tcPr>
            <w:tcW w:w="964" w:type="pct"/>
            <w:tcBorders>
              <w:tl2br w:val="nil"/>
              <w:tr2bl w:val="nil"/>
            </w:tcBorders>
            <w:noWrap/>
            <w:vAlign w:val="center"/>
          </w:tcPr>
          <w:p w14:paraId="6177CA27">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D0ADDDA">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10E1F147">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1C967C3E">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101CA9E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0AD4DA0E">
            <w:pPr>
              <w:widowControl/>
              <w:snapToGrid/>
              <w:spacing w:line="240" w:lineRule="auto"/>
              <w:ind w:firstLine="0" w:firstLineChars="0"/>
              <w:jc w:val="center"/>
              <w:rPr>
                <w:color w:val="auto"/>
                <w:kern w:val="0"/>
                <w:sz w:val="21"/>
                <w:szCs w:val="21"/>
              </w:rPr>
            </w:pPr>
          </w:p>
        </w:tc>
      </w:tr>
      <w:tr w14:paraId="6A55352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noWrap/>
            <w:vAlign w:val="center"/>
          </w:tcPr>
          <w:p w14:paraId="1787B3A0">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68</w:t>
            </w:r>
          </w:p>
        </w:tc>
        <w:tc>
          <w:tcPr>
            <w:tcW w:w="964" w:type="pct"/>
            <w:tcBorders>
              <w:tl2br w:val="nil"/>
              <w:tr2bl w:val="nil"/>
            </w:tcBorders>
            <w:noWrap/>
            <w:vAlign w:val="center"/>
          </w:tcPr>
          <w:p w14:paraId="47167DF6">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0509963">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noWrap/>
            <w:vAlign w:val="center"/>
          </w:tcPr>
          <w:p w14:paraId="62000CC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noWrap/>
            <w:vAlign w:val="center"/>
          </w:tcPr>
          <w:p w14:paraId="38087910">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noWrap/>
            <w:vAlign w:val="center"/>
          </w:tcPr>
          <w:p w14:paraId="1043AD7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noWrap/>
            <w:vAlign w:val="center"/>
          </w:tcPr>
          <w:p w14:paraId="7F6E5935">
            <w:pPr>
              <w:widowControl/>
              <w:snapToGrid/>
              <w:spacing w:line="240" w:lineRule="auto"/>
              <w:ind w:firstLine="0" w:firstLineChars="0"/>
              <w:jc w:val="center"/>
              <w:rPr>
                <w:color w:val="auto"/>
                <w:kern w:val="0"/>
                <w:sz w:val="21"/>
                <w:szCs w:val="21"/>
              </w:rPr>
            </w:pPr>
          </w:p>
        </w:tc>
      </w:tr>
      <w:tr w14:paraId="471DDCF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434" w:type="pct"/>
          <w:trHeight w:val="20" w:hRule="atLeast"/>
          <w:jc w:val="center"/>
        </w:trPr>
        <w:tc>
          <w:tcPr>
            <w:tcW w:w="4565" w:type="pct"/>
            <w:gridSpan w:val="6"/>
            <w:tcBorders>
              <w:tl2br w:val="nil"/>
              <w:tr2bl w:val="nil"/>
            </w:tcBorders>
            <w:vAlign w:val="center"/>
          </w:tcPr>
          <w:p w14:paraId="434C80A9">
            <w:pPr>
              <w:widowControl/>
              <w:adjustRightInd/>
              <w:snapToGrid/>
              <w:spacing w:line="240" w:lineRule="auto"/>
              <w:ind w:firstLine="0" w:firstLineChars="0"/>
              <w:jc w:val="center"/>
              <w:rPr>
                <w:b/>
                <w:bCs/>
                <w:color w:val="auto"/>
                <w:kern w:val="0"/>
                <w:sz w:val="21"/>
                <w:szCs w:val="21"/>
              </w:rPr>
            </w:pPr>
          </w:p>
        </w:tc>
      </w:tr>
      <w:tr w14:paraId="4DDA7BB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6B426C2E">
            <w:pPr>
              <w:widowControl/>
              <w:adjustRightInd/>
              <w:snapToGrid/>
              <w:spacing w:line="240" w:lineRule="auto"/>
              <w:ind w:firstLine="0" w:firstLineChars="0"/>
              <w:jc w:val="center"/>
              <w:rPr>
                <w:color w:val="auto"/>
                <w:kern w:val="0"/>
                <w:sz w:val="21"/>
                <w:szCs w:val="21"/>
              </w:rPr>
            </w:pPr>
            <w:r>
              <w:rPr>
                <w:color w:val="auto"/>
                <w:kern w:val="0"/>
                <w:sz w:val="21"/>
                <w:szCs w:val="21"/>
              </w:rPr>
              <w:t>1</w:t>
            </w:r>
          </w:p>
        </w:tc>
        <w:tc>
          <w:tcPr>
            <w:tcW w:w="964" w:type="pct"/>
            <w:tcBorders>
              <w:tl2br w:val="nil"/>
              <w:tr2bl w:val="nil"/>
            </w:tcBorders>
            <w:vAlign w:val="center"/>
          </w:tcPr>
          <w:p w14:paraId="3408728B">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9A6738A">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BC0FC2E">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674FA68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1A9DD10C">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7900F1D8">
            <w:pPr>
              <w:widowControl/>
              <w:adjustRightInd/>
              <w:snapToGrid/>
              <w:spacing w:line="240" w:lineRule="auto"/>
              <w:ind w:firstLine="0" w:firstLineChars="0"/>
              <w:jc w:val="center"/>
              <w:rPr>
                <w:color w:val="auto"/>
                <w:kern w:val="0"/>
                <w:sz w:val="21"/>
                <w:szCs w:val="21"/>
              </w:rPr>
            </w:pPr>
          </w:p>
        </w:tc>
      </w:tr>
      <w:tr w14:paraId="4FAC708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067239CA">
            <w:pPr>
              <w:widowControl/>
              <w:adjustRightInd/>
              <w:snapToGrid/>
              <w:spacing w:line="240" w:lineRule="auto"/>
              <w:ind w:firstLine="0" w:firstLineChars="0"/>
              <w:jc w:val="center"/>
              <w:rPr>
                <w:color w:val="auto"/>
                <w:kern w:val="0"/>
                <w:sz w:val="21"/>
                <w:szCs w:val="21"/>
              </w:rPr>
            </w:pPr>
            <w:r>
              <w:rPr>
                <w:color w:val="auto"/>
                <w:kern w:val="0"/>
                <w:sz w:val="21"/>
                <w:szCs w:val="21"/>
              </w:rPr>
              <w:t>2</w:t>
            </w:r>
          </w:p>
        </w:tc>
        <w:tc>
          <w:tcPr>
            <w:tcW w:w="964" w:type="pct"/>
            <w:tcBorders>
              <w:tl2br w:val="nil"/>
              <w:tr2bl w:val="nil"/>
            </w:tcBorders>
            <w:vAlign w:val="center"/>
          </w:tcPr>
          <w:p w14:paraId="4EAF6EC5">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1E61653">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77794F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46BBE4E">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2A787D9D">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198E8E1F">
            <w:pPr>
              <w:widowControl/>
              <w:adjustRightInd/>
              <w:snapToGrid/>
              <w:spacing w:line="240" w:lineRule="auto"/>
              <w:ind w:firstLine="0" w:firstLineChars="0"/>
              <w:jc w:val="center"/>
              <w:rPr>
                <w:color w:val="auto"/>
                <w:kern w:val="0"/>
                <w:sz w:val="21"/>
                <w:szCs w:val="21"/>
              </w:rPr>
            </w:pPr>
          </w:p>
        </w:tc>
      </w:tr>
      <w:tr w14:paraId="3FB5FF6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69F6B3CB">
            <w:pPr>
              <w:widowControl/>
              <w:adjustRightInd/>
              <w:snapToGrid/>
              <w:spacing w:line="240" w:lineRule="auto"/>
              <w:ind w:firstLine="0" w:firstLineChars="0"/>
              <w:jc w:val="center"/>
              <w:rPr>
                <w:color w:val="auto"/>
                <w:kern w:val="0"/>
                <w:sz w:val="21"/>
                <w:szCs w:val="21"/>
              </w:rPr>
            </w:pPr>
            <w:r>
              <w:rPr>
                <w:color w:val="auto"/>
                <w:kern w:val="0"/>
                <w:sz w:val="21"/>
                <w:szCs w:val="21"/>
              </w:rPr>
              <w:t>3</w:t>
            </w:r>
          </w:p>
        </w:tc>
        <w:tc>
          <w:tcPr>
            <w:tcW w:w="964" w:type="pct"/>
            <w:tcBorders>
              <w:tl2br w:val="nil"/>
              <w:tr2bl w:val="nil"/>
            </w:tcBorders>
            <w:vAlign w:val="center"/>
          </w:tcPr>
          <w:p w14:paraId="112355A4">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D229FE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B44A48D">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6C209F3F">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825994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27C6D004">
            <w:pPr>
              <w:widowControl/>
              <w:adjustRightInd/>
              <w:snapToGrid/>
              <w:spacing w:line="240" w:lineRule="auto"/>
              <w:ind w:firstLine="0" w:firstLineChars="0"/>
              <w:jc w:val="center"/>
              <w:rPr>
                <w:color w:val="auto"/>
                <w:kern w:val="0"/>
                <w:sz w:val="21"/>
                <w:szCs w:val="21"/>
              </w:rPr>
            </w:pPr>
          </w:p>
        </w:tc>
      </w:tr>
      <w:tr w14:paraId="35DC3DC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56E88020">
            <w:pPr>
              <w:widowControl/>
              <w:adjustRightInd/>
              <w:snapToGrid/>
              <w:spacing w:line="240" w:lineRule="auto"/>
              <w:ind w:firstLine="0" w:firstLineChars="0"/>
              <w:jc w:val="center"/>
              <w:rPr>
                <w:color w:val="auto"/>
                <w:kern w:val="0"/>
                <w:sz w:val="21"/>
                <w:szCs w:val="21"/>
              </w:rPr>
            </w:pPr>
            <w:r>
              <w:rPr>
                <w:color w:val="auto"/>
                <w:kern w:val="0"/>
                <w:sz w:val="21"/>
                <w:szCs w:val="21"/>
              </w:rPr>
              <w:t>4</w:t>
            </w:r>
          </w:p>
        </w:tc>
        <w:tc>
          <w:tcPr>
            <w:tcW w:w="964" w:type="pct"/>
            <w:tcBorders>
              <w:tl2br w:val="nil"/>
              <w:tr2bl w:val="nil"/>
            </w:tcBorders>
            <w:vAlign w:val="center"/>
          </w:tcPr>
          <w:p w14:paraId="73C92342">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0ED9134">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23B3848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407549C2">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01E6AB8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2FC8F951">
            <w:pPr>
              <w:widowControl/>
              <w:adjustRightInd/>
              <w:snapToGrid/>
              <w:spacing w:line="240" w:lineRule="auto"/>
              <w:ind w:firstLine="0" w:firstLineChars="0"/>
              <w:jc w:val="center"/>
              <w:rPr>
                <w:color w:val="auto"/>
                <w:kern w:val="0"/>
                <w:sz w:val="21"/>
                <w:szCs w:val="21"/>
              </w:rPr>
            </w:pPr>
          </w:p>
        </w:tc>
      </w:tr>
      <w:tr w14:paraId="3AAFDE4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0B867185">
            <w:pPr>
              <w:widowControl/>
              <w:adjustRightInd/>
              <w:snapToGrid/>
              <w:spacing w:line="240" w:lineRule="auto"/>
              <w:ind w:firstLine="0" w:firstLineChars="0"/>
              <w:jc w:val="center"/>
              <w:rPr>
                <w:color w:val="auto"/>
                <w:kern w:val="0"/>
                <w:sz w:val="21"/>
                <w:szCs w:val="21"/>
              </w:rPr>
            </w:pPr>
            <w:r>
              <w:rPr>
                <w:color w:val="auto"/>
                <w:kern w:val="0"/>
                <w:sz w:val="21"/>
                <w:szCs w:val="21"/>
              </w:rPr>
              <w:t>5</w:t>
            </w:r>
          </w:p>
        </w:tc>
        <w:tc>
          <w:tcPr>
            <w:tcW w:w="964" w:type="pct"/>
            <w:tcBorders>
              <w:tl2br w:val="nil"/>
              <w:tr2bl w:val="nil"/>
            </w:tcBorders>
            <w:vAlign w:val="center"/>
          </w:tcPr>
          <w:p w14:paraId="6D56D78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3666DB0">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F6A4BF4">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1DFC9F06">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A0220DF">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1FE62D00">
            <w:pPr>
              <w:widowControl/>
              <w:adjustRightInd/>
              <w:snapToGrid/>
              <w:spacing w:line="240" w:lineRule="auto"/>
              <w:ind w:firstLine="0" w:firstLineChars="0"/>
              <w:jc w:val="center"/>
              <w:rPr>
                <w:color w:val="auto"/>
                <w:kern w:val="0"/>
                <w:sz w:val="21"/>
                <w:szCs w:val="21"/>
              </w:rPr>
            </w:pPr>
          </w:p>
        </w:tc>
      </w:tr>
      <w:tr w14:paraId="6398EF0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36470776">
            <w:pPr>
              <w:widowControl/>
              <w:adjustRightInd/>
              <w:snapToGrid/>
              <w:spacing w:line="240" w:lineRule="auto"/>
              <w:ind w:firstLine="0" w:firstLineChars="0"/>
              <w:jc w:val="center"/>
              <w:rPr>
                <w:color w:val="auto"/>
                <w:kern w:val="0"/>
                <w:sz w:val="21"/>
                <w:szCs w:val="21"/>
              </w:rPr>
            </w:pPr>
            <w:r>
              <w:rPr>
                <w:color w:val="auto"/>
                <w:kern w:val="0"/>
                <w:sz w:val="21"/>
                <w:szCs w:val="21"/>
              </w:rPr>
              <w:t>6</w:t>
            </w:r>
          </w:p>
        </w:tc>
        <w:tc>
          <w:tcPr>
            <w:tcW w:w="964" w:type="pct"/>
            <w:tcBorders>
              <w:tl2br w:val="nil"/>
              <w:tr2bl w:val="nil"/>
            </w:tcBorders>
            <w:vAlign w:val="center"/>
          </w:tcPr>
          <w:p w14:paraId="1D608E98">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F4DBB78">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DA082C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039BF957">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36F776E">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7F5E982">
            <w:pPr>
              <w:widowControl/>
              <w:adjustRightInd/>
              <w:snapToGrid/>
              <w:spacing w:line="240" w:lineRule="auto"/>
              <w:ind w:firstLine="0" w:firstLineChars="0"/>
              <w:jc w:val="center"/>
              <w:rPr>
                <w:color w:val="auto"/>
                <w:kern w:val="0"/>
                <w:sz w:val="21"/>
                <w:szCs w:val="21"/>
              </w:rPr>
            </w:pPr>
          </w:p>
        </w:tc>
      </w:tr>
      <w:tr w14:paraId="3B4C256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00464FB">
            <w:pPr>
              <w:widowControl/>
              <w:adjustRightInd/>
              <w:snapToGrid/>
              <w:spacing w:line="240" w:lineRule="auto"/>
              <w:ind w:firstLine="0" w:firstLineChars="0"/>
              <w:jc w:val="center"/>
              <w:rPr>
                <w:color w:val="auto"/>
                <w:kern w:val="0"/>
                <w:sz w:val="21"/>
                <w:szCs w:val="21"/>
              </w:rPr>
            </w:pPr>
            <w:r>
              <w:rPr>
                <w:color w:val="auto"/>
                <w:kern w:val="0"/>
                <w:sz w:val="21"/>
                <w:szCs w:val="21"/>
              </w:rPr>
              <w:t>7</w:t>
            </w:r>
          </w:p>
        </w:tc>
        <w:tc>
          <w:tcPr>
            <w:tcW w:w="964" w:type="pct"/>
            <w:tcBorders>
              <w:tl2br w:val="nil"/>
              <w:tr2bl w:val="nil"/>
            </w:tcBorders>
            <w:vAlign w:val="center"/>
          </w:tcPr>
          <w:p w14:paraId="367F2B03">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2FB893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EA74F6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47C8B340">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08A1CC56">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6CE069F3">
            <w:pPr>
              <w:widowControl/>
              <w:adjustRightInd/>
              <w:snapToGrid/>
              <w:spacing w:line="240" w:lineRule="auto"/>
              <w:ind w:firstLine="0" w:firstLineChars="0"/>
              <w:jc w:val="center"/>
              <w:rPr>
                <w:color w:val="auto"/>
                <w:kern w:val="0"/>
                <w:sz w:val="21"/>
                <w:szCs w:val="21"/>
              </w:rPr>
            </w:pPr>
          </w:p>
        </w:tc>
      </w:tr>
      <w:tr w14:paraId="077CD1B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0A954212">
            <w:pPr>
              <w:widowControl/>
              <w:adjustRightInd/>
              <w:snapToGrid/>
              <w:spacing w:line="240" w:lineRule="auto"/>
              <w:ind w:firstLine="0" w:firstLineChars="0"/>
              <w:jc w:val="center"/>
              <w:rPr>
                <w:color w:val="auto"/>
                <w:kern w:val="0"/>
                <w:sz w:val="21"/>
                <w:szCs w:val="21"/>
              </w:rPr>
            </w:pPr>
            <w:r>
              <w:rPr>
                <w:color w:val="auto"/>
                <w:kern w:val="0"/>
                <w:sz w:val="21"/>
                <w:szCs w:val="21"/>
              </w:rPr>
              <w:t>8</w:t>
            </w:r>
          </w:p>
        </w:tc>
        <w:tc>
          <w:tcPr>
            <w:tcW w:w="964" w:type="pct"/>
            <w:tcBorders>
              <w:tl2br w:val="nil"/>
              <w:tr2bl w:val="nil"/>
            </w:tcBorders>
            <w:vAlign w:val="center"/>
          </w:tcPr>
          <w:p w14:paraId="34788FB0">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DB6049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88278C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690E47D">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2AA09AC">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61534C0F">
            <w:pPr>
              <w:widowControl/>
              <w:adjustRightInd/>
              <w:snapToGrid/>
              <w:spacing w:line="240" w:lineRule="auto"/>
              <w:ind w:firstLine="0" w:firstLineChars="0"/>
              <w:jc w:val="center"/>
              <w:rPr>
                <w:color w:val="auto"/>
                <w:kern w:val="0"/>
                <w:sz w:val="21"/>
                <w:szCs w:val="21"/>
              </w:rPr>
            </w:pPr>
          </w:p>
        </w:tc>
      </w:tr>
      <w:tr w14:paraId="4FB417F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7355166">
            <w:pPr>
              <w:widowControl/>
              <w:adjustRightInd/>
              <w:snapToGrid/>
              <w:spacing w:line="240" w:lineRule="auto"/>
              <w:ind w:firstLine="0" w:firstLineChars="0"/>
              <w:jc w:val="center"/>
              <w:rPr>
                <w:color w:val="auto"/>
                <w:kern w:val="0"/>
                <w:sz w:val="21"/>
                <w:szCs w:val="21"/>
              </w:rPr>
            </w:pPr>
            <w:r>
              <w:rPr>
                <w:color w:val="auto"/>
                <w:kern w:val="0"/>
                <w:sz w:val="21"/>
                <w:szCs w:val="21"/>
              </w:rPr>
              <w:t>9</w:t>
            </w:r>
          </w:p>
        </w:tc>
        <w:tc>
          <w:tcPr>
            <w:tcW w:w="964" w:type="pct"/>
            <w:tcBorders>
              <w:tl2br w:val="nil"/>
              <w:tr2bl w:val="nil"/>
            </w:tcBorders>
            <w:vAlign w:val="center"/>
          </w:tcPr>
          <w:p w14:paraId="7F6A95EF">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5C40A19">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9AA2A65">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58124C1F">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0B91EB8A">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6F1A71A">
            <w:pPr>
              <w:widowControl/>
              <w:adjustRightInd/>
              <w:snapToGrid/>
              <w:spacing w:line="240" w:lineRule="auto"/>
              <w:ind w:firstLine="0" w:firstLineChars="0"/>
              <w:jc w:val="center"/>
              <w:rPr>
                <w:color w:val="auto"/>
                <w:kern w:val="0"/>
                <w:sz w:val="21"/>
                <w:szCs w:val="21"/>
              </w:rPr>
            </w:pPr>
          </w:p>
        </w:tc>
      </w:tr>
      <w:tr w14:paraId="5E949E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1E221741">
            <w:pPr>
              <w:widowControl/>
              <w:adjustRightInd/>
              <w:snapToGrid/>
              <w:spacing w:line="240" w:lineRule="auto"/>
              <w:ind w:firstLine="0" w:firstLineChars="0"/>
              <w:jc w:val="center"/>
              <w:rPr>
                <w:color w:val="auto"/>
                <w:kern w:val="0"/>
                <w:sz w:val="21"/>
                <w:szCs w:val="21"/>
              </w:rPr>
            </w:pPr>
            <w:r>
              <w:rPr>
                <w:color w:val="auto"/>
                <w:kern w:val="0"/>
                <w:sz w:val="21"/>
                <w:szCs w:val="21"/>
              </w:rPr>
              <w:t>10</w:t>
            </w:r>
          </w:p>
        </w:tc>
        <w:tc>
          <w:tcPr>
            <w:tcW w:w="964" w:type="pct"/>
            <w:tcBorders>
              <w:tl2br w:val="nil"/>
              <w:tr2bl w:val="nil"/>
            </w:tcBorders>
            <w:vAlign w:val="center"/>
          </w:tcPr>
          <w:p w14:paraId="4E08C930">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06B14D1">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6833E0CB">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437E0A5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4A9F0E5">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74661101">
            <w:pPr>
              <w:widowControl/>
              <w:adjustRightInd/>
              <w:snapToGrid/>
              <w:spacing w:line="240" w:lineRule="auto"/>
              <w:ind w:firstLine="0" w:firstLineChars="0"/>
              <w:jc w:val="center"/>
              <w:rPr>
                <w:color w:val="auto"/>
                <w:kern w:val="0"/>
                <w:sz w:val="21"/>
                <w:szCs w:val="21"/>
              </w:rPr>
            </w:pPr>
          </w:p>
        </w:tc>
      </w:tr>
      <w:tr w14:paraId="6FEF6F0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38146037">
            <w:pPr>
              <w:widowControl/>
              <w:adjustRightInd/>
              <w:snapToGrid/>
              <w:spacing w:line="240" w:lineRule="auto"/>
              <w:ind w:firstLine="0" w:firstLineChars="0"/>
              <w:jc w:val="center"/>
              <w:rPr>
                <w:color w:val="auto"/>
                <w:kern w:val="0"/>
                <w:sz w:val="21"/>
                <w:szCs w:val="21"/>
              </w:rPr>
            </w:pPr>
            <w:r>
              <w:rPr>
                <w:color w:val="auto"/>
                <w:kern w:val="0"/>
                <w:sz w:val="21"/>
                <w:szCs w:val="21"/>
              </w:rPr>
              <w:t>11</w:t>
            </w:r>
          </w:p>
        </w:tc>
        <w:tc>
          <w:tcPr>
            <w:tcW w:w="964" w:type="pct"/>
            <w:tcBorders>
              <w:tl2br w:val="nil"/>
              <w:tr2bl w:val="nil"/>
            </w:tcBorders>
            <w:vAlign w:val="center"/>
          </w:tcPr>
          <w:p w14:paraId="12819724">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787EFF7">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A6DBB8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2449BE3F">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8D5433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37C28621">
            <w:pPr>
              <w:widowControl/>
              <w:adjustRightInd/>
              <w:snapToGrid/>
              <w:spacing w:line="240" w:lineRule="auto"/>
              <w:ind w:firstLine="0" w:firstLineChars="0"/>
              <w:jc w:val="center"/>
              <w:rPr>
                <w:color w:val="auto"/>
                <w:kern w:val="0"/>
                <w:sz w:val="21"/>
                <w:szCs w:val="21"/>
              </w:rPr>
            </w:pPr>
          </w:p>
        </w:tc>
      </w:tr>
      <w:tr w14:paraId="0D2F6C5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504DEE54">
            <w:pPr>
              <w:widowControl/>
              <w:adjustRightInd/>
              <w:snapToGrid/>
              <w:spacing w:line="240" w:lineRule="auto"/>
              <w:ind w:firstLine="0" w:firstLineChars="0"/>
              <w:jc w:val="center"/>
              <w:rPr>
                <w:color w:val="auto"/>
                <w:kern w:val="0"/>
                <w:sz w:val="21"/>
                <w:szCs w:val="21"/>
              </w:rPr>
            </w:pPr>
            <w:r>
              <w:rPr>
                <w:color w:val="auto"/>
                <w:kern w:val="0"/>
                <w:sz w:val="21"/>
                <w:szCs w:val="21"/>
              </w:rPr>
              <w:t>12</w:t>
            </w:r>
          </w:p>
        </w:tc>
        <w:tc>
          <w:tcPr>
            <w:tcW w:w="964" w:type="pct"/>
            <w:tcBorders>
              <w:tl2br w:val="nil"/>
              <w:tr2bl w:val="nil"/>
            </w:tcBorders>
            <w:vAlign w:val="center"/>
          </w:tcPr>
          <w:p w14:paraId="1B93624D">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45EE301">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E38AAF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08A82256">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3779E5FD">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C71F2B2">
            <w:pPr>
              <w:widowControl/>
              <w:adjustRightInd/>
              <w:snapToGrid/>
              <w:spacing w:line="240" w:lineRule="auto"/>
              <w:ind w:firstLine="0" w:firstLineChars="0"/>
              <w:jc w:val="center"/>
              <w:rPr>
                <w:color w:val="auto"/>
                <w:kern w:val="0"/>
                <w:sz w:val="21"/>
                <w:szCs w:val="21"/>
              </w:rPr>
            </w:pPr>
          </w:p>
        </w:tc>
      </w:tr>
      <w:tr w14:paraId="0DA1F2D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B043515">
            <w:pPr>
              <w:widowControl/>
              <w:adjustRightInd/>
              <w:snapToGrid/>
              <w:spacing w:line="240" w:lineRule="auto"/>
              <w:ind w:firstLine="0" w:firstLineChars="0"/>
              <w:jc w:val="center"/>
              <w:rPr>
                <w:color w:val="auto"/>
                <w:kern w:val="0"/>
                <w:sz w:val="21"/>
                <w:szCs w:val="21"/>
              </w:rPr>
            </w:pPr>
            <w:r>
              <w:rPr>
                <w:color w:val="auto"/>
                <w:kern w:val="0"/>
                <w:sz w:val="21"/>
                <w:szCs w:val="21"/>
              </w:rPr>
              <w:t>13</w:t>
            </w:r>
          </w:p>
        </w:tc>
        <w:tc>
          <w:tcPr>
            <w:tcW w:w="964" w:type="pct"/>
            <w:tcBorders>
              <w:tl2br w:val="nil"/>
              <w:tr2bl w:val="nil"/>
            </w:tcBorders>
            <w:vAlign w:val="center"/>
          </w:tcPr>
          <w:p w14:paraId="25351DF4">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3D83C5C">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5FDB72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071F2522">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03BCBAD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250A7DAA">
            <w:pPr>
              <w:widowControl/>
              <w:adjustRightInd/>
              <w:snapToGrid/>
              <w:spacing w:line="240" w:lineRule="auto"/>
              <w:ind w:firstLine="0" w:firstLineChars="0"/>
              <w:jc w:val="center"/>
              <w:rPr>
                <w:color w:val="auto"/>
                <w:kern w:val="0"/>
                <w:sz w:val="21"/>
                <w:szCs w:val="21"/>
              </w:rPr>
            </w:pPr>
          </w:p>
        </w:tc>
      </w:tr>
      <w:tr w14:paraId="7211526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73ACE68F">
            <w:pPr>
              <w:widowControl/>
              <w:adjustRightInd/>
              <w:snapToGrid/>
              <w:spacing w:line="240" w:lineRule="auto"/>
              <w:ind w:firstLine="0" w:firstLineChars="0"/>
              <w:jc w:val="center"/>
              <w:rPr>
                <w:color w:val="auto"/>
                <w:kern w:val="0"/>
                <w:sz w:val="21"/>
                <w:szCs w:val="21"/>
              </w:rPr>
            </w:pPr>
            <w:r>
              <w:rPr>
                <w:color w:val="auto"/>
                <w:kern w:val="0"/>
                <w:sz w:val="21"/>
                <w:szCs w:val="21"/>
              </w:rPr>
              <w:t>14</w:t>
            </w:r>
          </w:p>
        </w:tc>
        <w:tc>
          <w:tcPr>
            <w:tcW w:w="964" w:type="pct"/>
            <w:tcBorders>
              <w:tl2br w:val="nil"/>
              <w:tr2bl w:val="nil"/>
            </w:tcBorders>
            <w:vAlign w:val="center"/>
          </w:tcPr>
          <w:p w14:paraId="00A5870C">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E6C42CE">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EEE3F1A">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2EBB5086">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B846D5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134B3C25">
            <w:pPr>
              <w:widowControl/>
              <w:adjustRightInd/>
              <w:snapToGrid/>
              <w:spacing w:line="240" w:lineRule="auto"/>
              <w:ind w:firstLine="0" w:firstLineChars="0"/>
              <w:jc w:val="center"/>
              <w:rPr>
                <w:color w:val="auto"/>
                <w:kern w:val="0"/>
                <w:sz w:val="21"/>
                <w:szCs w:val="21"/>
              </w:rPr>
            </w:pPr>
          </w:p>
        </w:tc>
      </w:tr>
      <w:tr w14:paraId="2629AA7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73ED8CB7">
            <w:pPr>
              <w:widowControl/>
              <w:adjustRightInd/>
              <w:snapToGrid/>
              <w:spacing w:line="240" w:lineRule="auto"/>
              <w:ind w:firstLine="0" w:firstLineChars="0"/>
              <w:jc w:val="center"/>
              <w:rPr>
                <w:color w:val="auto"/>
                <w:kern w:val="0"/>
                <w:sz w:val="21"/>
                <w:szCs w:val="21"/>
              </w:rPr>
            </w:pPr>
            <w:r>
              <w:rPr>
                <w:color w:val="auto"/>
                <w:kern w:val="0"/>
                <w:sz w:val="21"/>
                <w:szCs w:val="21"/>
              </w:rPr>
              <w:t>15</w:t>
            </w:r>
          </w:p>
        </w:tc>
        <w:tc>
          <w:tcPr>
            <w:tcW w:w="964" w:type="pct"/>
            <w:tcBorders>
              <w:tl2br w:val="nil"/>
              <w:tr2bl w:val="nil"/>
            </w:tcBorders>
            <w:vAlign w:val="center"/>
          </w:tcPr>
          <w:p w14:paraId="4EB5472D">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5B6E43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1465FD7">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6339C815">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327C5602">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458D0A2F">
            <w:pPr>
              <w:widowControl/>
              <w:adjustRightInd/>
              <w:snapToGrid/>
              <w:spacing w:line="240" w:lineRule="auto"/>
              <w:ind w:firstLine="0" w:firstLineChars="0"/>
              <w:jc w:val="center"/>
              <w:rPr>
                <w:color w:val="auto"/>
                <w:kern w:val="0"/>
                <w:sz w:val="21"/>
                <w:szCs w:val="21"/>
              </w:rPr>
            </w:pPr>
          </w:p>
        </w:tc>
      </w:tr>
      <w:tr w14:paraId="1E0D743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71525984">
            <w:pPr>
              <w:widowControl/>
              <w:adjustRightInd/>
              <w:snapToGrid/>
              <w:spacing w:line="240" w:lineRule="auto"/>
              <w:ind w:firstLine="0" w:firstLineChars="0"/>
              <w:jc w:val="center"/>
              <w:rPr>
                <w:color w:val="auto"/>
                <w:kern w:val="0"/>
                <w:sz w:val="21"/>
                <w:szCs w:val="21"/>
              </w:rPr>
            </w:pPr>
            <w:r>
              <w:rPr>
                <w:color w:val="auto"/>
                <w:kern w:val="0"/>
                <w:sz w:val="21"/>
                <w:szCs w:val="21"/>
              </w:rPr>
              <w:t>16</w:t>
            </w:r>
          </w:p>
        </w:tc>
        <w:tc>
          <w:tcPr>
            <w:tcW w:w="964" w:type="pct"/>
            <w:tcBorders>
              <w:tl2br w:val="nil"/>
              <w:tr2bl w:val="nil"/>
            </w:tcBorders>
            <w:vAlign w:val="center"/>
          </w:tcPr>
          <w:p w14:paraId="7AC2E99F">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CEBD62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277D2EA">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1C954104">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29B43569">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CC98A53">
            <w:pPr>
              <w:widowControl/>
              <w:adjustRightInd/>
              <w:snapToGrid/>
              <w:spacing w:line="240" w:lineRule="auto"/>
              <w:ind w:firstLine="0" w:firstLineChars="0"/>
              <w:jc w:val="center"/>
              <w:rPr>
                <w:color w:val="auto"/>
                <w:kern w:val="0"/>
                <w:sz w:val="21"/>
                <w:szCs w:val="21"/>
              </w:rPr>
            </w:pPr>
          </w:p>
        </w:tc>
      </w:tr>
      <w:tr w14:paraId="7AC4A0C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6C9031A5">
            <w:pPr>
              <w:widowControl/>
              <w:adjustRightInd/>
              <w:snapToGrid/>
              <w:spacing w:line="240" w:lineRule="auto"/>
              <w:ind w:firstLine="0" w:firstLineChars="0"/>
              <w:jc w:val="center"/>
              <w:rPr>
                <w:color w:val="auto"/>
                <w:kern w:val="0"/>
                <w:sz w:val="21"/>
                <w:szCs w:val="21"/>
              </w:rPr>
            </w:pPr>
            <w:r>
              <w:rPr>
                <w:color w:val="auto"/>
                <w:kern w:val="0"/>
                <w:sz w:val="21"/>
                <w:szCs w:val="21"/>
              </w:rPr>
              <w:t>17</w:t>
            </w:r>
          </w:p>
        </w:tc>
        <w:tc>
          <w:tcPr>
            <w:tcW w:w="964" w:type="pct"/>
            <w:tcBorders>
              <w:tl2br w:val="nil"/>
              <w:tr2bl w:val="nil"/>
            </w:tcBorders>
            <w:vAlign w:val="center"/>
          </w:tcPr>
          <w:p w14:paraId="41CB9094">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4E0481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5F992E3">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40C1C1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11604C7B">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7B173FF2">
            <w:pPr>
              <w:widowControl/>
              <w:adjustRightInd/>
              <w:snapToGrid/>
              <w:spacing w:line="240" w:lineRule="auto"/>
              <w:ind w:firstLine="0" w:firstLineChars="0"/>
              <w:jc w:val="center"/>
              <w:rPr>
                <w:color w:val="auto"/>
                <w:kern w:val="0"/>
                <w:sz w:val="21"/>
                <w:szCs w:val="21"/>
              </w:rPr>
            </w:pPr>
          </w:p>
        </w:tc>
      </w:tr>
      <w:tr w14:paraId="3A651A0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7A597D1D">
            <w:pPr>
              <w:widowControl/>
              <w:adjustRightInd/>
              <w:snapToGrid/>
              <w:spacing w:line="240" w:lineRule="auto"/>
              <w:ind w:firstLine="0" w:firstLineChars="0"/>
              <w:jc w:val="center"/>
              <w:rPr>
                <w:color w:val="auto"/>
                <w:kern w:val="0"/>
                <w:sz w:val="21"/>
                <w:szCs w:val="21"/>
              </w:rPr>
            </w:pPr>
            <w:r>
              <w:rPr>
                <w:color w:val="auto"/>
                <w:kern w:val="0"/>
                <w:sz w:val="21"/>
                <w:szCs w:val="21"/>
              </w:rPr>
              <w:t>18</w:t>
            </w:r>
          </w:p>
        </w:tc>
        <w:tc>
          <w:tcPr>
            <w:tcW w:w="964" w:type="pct"/>
            <w:tcBorders>
              <w:tl2br w:val="nil"/>
              <w:tr2bl w:val="nil"/>
            </w:tcBorders>
            <w:vAlign w:val="center"/>
          </w:tcPr>
          <w:p w14:paraId="71DEB41D">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AFE46A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F45AA1F">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2290C1A7">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71C17C0">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6B7728AA">
            <w:pPr>
              <w:widowControl/>
              <w:adjustRightInd/>
              <w:snapToGrid/>
              <w:spacing w:line="240" w:lineRule="auto"/>
              <w:ind w:firstLine="0" w:firstLineChars="0"/>
              <w:jc w:val="center"/>
              <w:rPr>
                <w:color w:val="auto"/>
                <w:kern w:val="0"/>
                <w:sz w:val="21"/>
                <w:szCs w:val="21"/>
              </w:rPr>
            </w:pPr>
          </w:p>
        </w:tc>
      </w:tr>
      <w:tr w14:paraId="06576E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135CEFA6">
            <w:pPr>
              <w:widowControl/>
              <w:adjustRightInd/>
              <w:snapToGrid/>
              <w:spacing w:line="240" w:lineRule="auto"/>
              <w:ind w:firstLine="0" w:firstLineChars="0"/>
              <w:jc w:val="center"/>
              <w:rPr>
                <w:color w:val="auto"/>
                <w:kern w:val="0"/>
                <w:sz w:val="21"/>
                <w:szCs w:val="21"/>
              </w:rPr>
            </w:pPr>
            <w:r>
              <w:rPr>
                <w:color w:val="auto"/>
                <w:kern w:val="0"/>
                <w:sz w:val="21"/>
                <w:szCs w:val="21"/>
              </w:rPr>
              <w:t>19</w:t>
            </w:r>
          </w:p>
        </w:tc>
        <w:tc>
          <w:tcPr>
            <w:tcW w:w="964" w:type="pct"/>
            <w:tcBorders>
              <w:tl2br w:val="nil"/>
              <w:tr2bl w:val="nil"/>
            </w:tcBorders>
            <w:vAlign w:val="center"/>
          </w:tcPr>
          <w:p w14:paraId="59C4BC26">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B2BB47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77C0A45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00531C3F">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213B17E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2337B981">
            <w:pPr>
              <w:widowControl/>
              <w:adjustRightInd/>
              <w:snapToGrid/>
              <w:spacing w:line="240" w:lineRule="auto"/>
              <w:ind w:firstLine="0" w:firstLineChars="0"/>
              <w:jc w:val="center"/>
              <w:rPr>
                <w:color w:val="auto"/>
                <w:kern w:val="0"/>
                <w:sz w:val="21"/>
                <w:szCs w:val="21"/>
              </w:rPr>
            </w:pPr>
          </w:p>
        </w:tc>
      </w:tr>
      <w:tr w14:paraId="234D991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7E6F2EFF">
            <w:pPr>
              <w:widowControl/>
              <w:adjustRightInd/>
              <w:snapToGrid/>
              <w:spacing w:line="240" w:lineRule="auto"/>
              <w:ind w:firstLine="0" w:firstLineChars="0"/>
              <w:jc w:val="center"/>
              <w:rPr>
                <w:color w:val="auto"/>
                <w:kern w:val="0"/>
                <w:sz w:val="21"/>
                <w:szCs w:val="21"/>
              </w:rPr>
            </w:pPr>
            <w:r>
              <w:rPr>
                <w:color w:val="auto"/>
                <w:kern w:val="0"/>
                <w:sz w:val="21"/>
                <w:szCs w:val="21"/>
              </w:rPr>
              <w:t>20</w:t>
            </w:r>
          </w:p>
        </w:tc>
        <w:tc>
          <w:tcPr>
            <w:tcW w:w="964" w:type="pct"/>
            <w:tcBorders>
              <w:tl2br w:val="nil"/>
              <w:tr2bl w:val="nil"/>
            </w:tcBorders>
            <w:vAlign w:val="center"/>
          </w:tcPr>
          <w:p w14:paraId="3A0BF814">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3F97C6A9">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32CEC5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7413F8DB">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21C32FB">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2BCBD302">
            <w:pPr>
              <w:widowControl/>
              <w:adjustRightInd/>
              <w:snapToGrid/>
              <w:spacing w:line="240" w:lineRule="auto"/>
              <w:ind w:firstLine="0" w:firstLineChars="0"/>
              <w:jc w:val="center"/>
              <w:rPr>
                <w:color w:val="auto"/>
                <w:kern w:val="0"/>
                <w:sz w:val="21"/>
                <w:szCs w:val="21"/>
              </w:rPr>
            </w:pPr>
          </w:p>
        </w:tc>
      </w:tr>
      <w:tr w14:paraId="5791330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B0CF23B">
            <w:pPr>
              <w:widowControl/>
              <w:adjustRightInd/>
              <w:snapToGrid/>
              <w:spacing w:line="240" w:lineRule="auto"/>
              <w:ind w:firstLine="0" w:firstLineChars="0"/>
              <w:jc w:val="center"/>
              <w:rPr>
                <w:color w:val="auto"/>
                <w:kern w:val="0"/>
                <w:sz w:val="21"/>
                <w:szCs w:val="21"/>
              </w:rPr>
            </w:pPr>
            <w:r>
              <w:rPr>
                <w:color w:val="auto"/>
                <w:kern w:val="0"/>
                <w:sz w:val="21"/>
                <w:szCs w:val="21"/>
              </w:rPr>
              <w:t>21</w:t>
            </w:r>
          </w:p>
        </w:tc>
        <w:tc>
          <w:tcPr>
            <w:tcW w:w="964" w:type="pct"/>
            <w:tcBorders>
              <w:tl2br w:val="nil"/>
              <w:tr2bl w:val="nil"/>
            </w:tcBorders>
            <w:vAlign w:val="center"/>
          </w:tcPr>
          <w:p w14:paraId="0FCB9F1C">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4C20DE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0138324">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51C0D5C2">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BEBAC6F">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344B32E7">
            <w:pPr>
              <w:widowControl/>
              <w:adjustRightInd/>
              <w:snapToGrid/>
              <w:spacing w:line="240" w:lineRule="auto"/>
              <w:ind w:firstLine="0" w:firstLineChars="0"/>
              <w:jc w:val="center"/>
              <w:rPr>
                <w:color w:val="auto"/>
                <w:kern w:val="0"/>
                <w:sz w:val="21"/>
                <w:szCs w:val="21"/>
              </w:rPr>
            </w:pPr>
          </w:p>
        </w:tc>
      </w:tr>
      <w:tr w14:paraId="0F5CC59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184BFE3D">
            <w:pPr>
              <w:widowControl/>
              <w:adjustRightInd/>
              <w:snapToGrid/>
              <w:spacing w:line="240" w:lineRule="auto"/>
              <w:ind w:firstLine="0" w:firstLineChars="0"/>
              <w:jc w:val="center"/>
              <w:rPr>
                <w:color w:val="auto"/>
                <w:kern w:val="0"/>
                <w:sz w:val="21"/>
                <w:szCs w:val="21"/>
              </w:rPr>
            </w:pPr>
            <w:r>
              <w:rPr>
                <w:color w:val="auto"/>
                <w:kern w:val="0"/>
                <w:sz w:val="21"/>
                <w:szCs w:val="21"/>
              </w:rPr>
              <w:t>22</w:t>
            </w:r>
          </w:p>
        </w:tc>
        <w:tc>
          <w:tcPr>
            <w:tcW w:w="964" w:type="pct"/>
            <w:tcBorders>
              <w:tl2br w:val="nil"/>
              <w:tr2bl w:val="nil"/>
            </w:tcBorders>
            <w:vAlign w:val="center"/>
          </w:tcPr>
          <w:p w14:paraId="1FDD9518">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D58C944">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20AC2D3B">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46C30772">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653BB86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932899F">
            <w:pPr>
              <w:widowControl/>
              <w:adjustRightInd/>
              <w:snapToGrid/>
              <w:spacing w:line="240" w:lineRule="auto"/>
              <w:ind w:firstLine="0" w:firstLineChars="0"/>
              <w:jc w:val="center"/>
              <w:rPr>
                <w:color w:val="auto"/>
                <w:kern w:val="0"/>
                <w:sz w:val="21"/>
                <w:szCs w:val="21"/>
              </w:rPr>
            </w:pPr>
          </w:p>
        </w:tc>
      </w:tr>
      <w:tr w14:paraId="21E508A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61CBAA81">
            <w:pPr>
              <w:widowControl/>
              <w:adjustRightInd/>
              <w:snapToGrid/>
              <w:spacing w:line="240" w:lineRule="auto"/>
              <w:ind w:firstLine="0" w:firstLineChars="0"/>
              <w:jc w:val="center"/>
              <w:rPr>
                <w:color w:val="auto"/>
                <w:kern w:val="0"/>
                <w:sz w:val="21"/>
                <w:szCs w:val="21"/>
              </w:rPr>
            </w:pPr>
            <w:r>
              <w:rPr>
                <w:color w:val="auto"/>
                <w:kern w:val="0"/>
                <w:sz w:val="21"/>
                <w:szCs w:val="21"/>
              </w:rPr>
              <w:t>23</w:t>
            </w:r>
          </w:p>
        </w:tc>
        <w:tc>
          <w:tcPr>
            <w:tcW w:w="964" w:type="pct"/>
            <w:tcBorders>
              <w:tl2br w:val="nil"/>
              <w:tr2bl w:val="nil"/>
            </w:tcBorders>
            <w:vAlign w:val="center"/>
          </w:tcPr>
          <w:p w14:paraId="7AF8254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C39AE7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2BC7C87">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44298FCE">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16951255">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638A4999">
            <w:pPr>
              <w:widowControl/>
              <w:adjustRightInd/>
              <w:snapToGrid/>
              <w:spacing w:line="240" w:lineRule="auto"/>
              <w:ind w:firstLine="0" w:firstLineChars="0"/>
              <w:jc w:val="center"/>
              <w:rPr>
                <w:color w:val="auto"/>
                <w:kern w:val="0"/>
                <w:sz w:val="21"/>
                <w:szCs w:val="21"/>
              </w:rPr>
            </w:pPr>
          </w:p>
        </w:tc>
      </w:tr>
      <w:tr w14:paraId="67771F0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BDB2778">
            <w:pPr>
              <w:widowControl/>
              <w:adjustRightInd/>
              <w:snapToGrid/>
              <w:spacing w:line="240" w:lineRule="auto"/>
              <w:ind w:firstLine="0" w:firstLineChars="0"/>
              <w:jc w:val="center"/>
              <w:rPr>
                <w:color w:val="auto"/>
                <w:kern w:val="0"/>
                <w:sz w:val="21"/>
                <w:szCs w:val="21"/>
              </w:rPr>
            </w:pPr>
            <w:r>
              <w:rPr>
                <w:color w:val="auto"/>
                <w:kern w:val="0"/>
                <w:sz w:val="21"/>
                <w:szCs w:val="21"/>
              </w:rPr>
              <w:t>24</w:t>
            </w:r>
          </w:p>
        </w:tc>
        <w:tc>
          <w:tcPr>
            <w:tcW w:w="964" w:type="pct"/>
            <w:tcBorders>
              <w:tl2br w:val="nil"/>
              <w:tr2bl w:val="nil"/>
            </w:tcBorders>
            <w:vAlign w:val="center"/>
          </w:tcPr>
          <w:p w14:paraId="14FADD9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81E6AC7">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20AC371A">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45E7C2A0">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A523308">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7EEFCDB9">
            <w:pPr>
              <w:widowControl/>
              <w:adjustRightInd/>
              <w:snapToGrid/>
              <w:spacing w:line="240" w:lineRule="auto"/>
              <w:ind w:firstLine="0" w:firstLineChars="0"/>
              <w:jc w:val="center"/>
              <w:rPr>
                <w:color w:val="auto"/>
                <w:kern w:val="0"/>
                <w:sz w:val="21"/>
                <w:szCs w:val="21"/>
              </w:rPr>
            </w:pPr>
          </w:p>
        </w:tc>
      </w:tr>
      <w:tr w14:paraId="5871975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55DBFD58">
            <w:pPr>
              <w:widowControl/>
              <w:adjustRightInd/>
              <w:snapToGrid/>
              <w:spacing w:line="240" w:lineRule="auto"/>
              <w:ind w:firstLine="0" w:firstLineChars="0"/>
              <w:jc w:val="center"/>
              <w:rPr>
                <w:color w:val="auto"/>
                <w:kern w:val="0"/>
                <w:sz w:val="21"/>
                <w:szCs w:val="21"/>
              </w:rPr>
            </w:pPr>
            <w:r>
              <w:rPr>
                <w:color w:val="auto"/>
                <w:kern w:val="0"/>
                <w:sz w:val="21"/>
                <w:szCs w:val="21"/>
              </w:rPr>
              <w:t>25</w:t>
            </w:r>
          </w:p>
        </w:tc>
        <w:tc>
          <w:tcPr>
            <w:tcW w:w="964" w:type="pct"/>
            <w:tcBorders>
              <w:tl2br w:val="nil"/>
              <w:tr2bl w:val="nil"/>
            </w:tcBorders>
            <w:vAlign w:val="center"/>
          </w:tcPr>
          <w:p w14:paraId="6E676B62">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3511CEC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28FEE2B">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84BBBBA">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A108F2E">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47928BF8">
            <w:pPr>
              <w:widowControl/>
              <w:adjustRightInd/>
              <w:snapToGrid/>
              <w:spacing w:line="240" w:lineRule="auto"/>
              <w:ind w:firstLine="0" w:firstLineChars="0"/>
              <w:jc w:val="center"/>
              <w:rPr>
                <w:color w:val="auto"/>
                <w:kern w:val="0"/>
                <w:sz w:val="21"/>
                <w:szCs w:val="21"/>
              </w:rPr>
            </w:pPr>
          </w:p>
        </w:tc>
      </w:tr>
      <w:tr w14:paraId="19CB0DD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6198C7CD">
            <w:pPr>
              <w:widowControl/>
              <w:adjustRightInd/>
              <w:snapToGrid/>
              <w:spacing w:line="240" w:lineRule="auto"/>
              <w:ind w:firstLine="0" w:firstLineChars="0"/>
              <w:jc w:val="center"/>
              <w:rPr>
                <w:color w:val="auto"/>
                <w:kern w:val="0"/>
                <w:sz w:val="21"/>
                <w:szCs w:val="21"/>
              </w:rPr>
            </w:pPr>
            <w:r>
              <w:rPr>
                <w:color w:val="auto"/>
                <w:kern w:val="0"/>
                <w:sz w:val="21"/>
                <w:szCs w:val="21"/>
              </w:rPr>
              <w:t>26</w:t>
            </w:r>
          </w:p>
        </w:tc>
        <w:tc>
          <w:tcPr>
            <w:tcW w:w="964" w:type="pct"/>
            <w:tcBorders>
              <w:tl2br w:val="nil"/>
              <w:tr2bl w:val="nil"/>
            </w:tcBorders>
            <w:vAlign w:val="center"/>
          </w:tcPr>
          <w:p w14:paraId="2046A137">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7DB63CE">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051AD1F">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2EA4114A">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37D63F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7C6D3DD">
            <w:pPr>
              <w:widowControl/>
              <w:adjustRightInd/>
              <w:snapToGrid/>
              <w:spacing w:line="240" w:lineRule="auto"/>
              <w:ind w:firstLine="0" w:firstLineChars="0"/>
              <w:jc w:val="center"/>
              <w:rPr>
                <w:color w:val="auto"/>
                <w:kern w:val="0"/>
                <w:sz w:val="21"/>
                <w:szCs w:val="21"/>
              </w:rPr>
            </w:pPr>
          </w:p>
        </w:tc>
      </w:tr>
      <w:tr w14:paraId="64B6301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273E3EBD">
            <w:pPr>
              <w:widowControl/>
              <w:adjustRightInd/>
              <w:snapToGrid/>
              <w:spacing w:line="240" w:lineRule="auto"/>
              <w:ind w:firstLine="0" w:firstLineChars="0"/>
              <w:jc w:val="center"/>
              <w:rPr>
                <w:color w:val="auto"/>
                <w:kern w:val="0"/>
                <w:sz w:val="21"/>
                <w:szCs w:val="21"/>
              </w:rPr>
            </w:pPr>
            <w:r>
              <w:rPr>
                <w:color w:val="auto"/>
                <w:kern w:val="0"/>
                <w:sz w:val="21"/>
                <w:szCs w:val="21"/>
              </w:rPr>
              <w:t>27</w:t>
            </w:r>
          </w:p>
        </w:tc>
        <w:tc>
          <w:tcPr>
            <w:tcW w:w="964" w:type="pct"/>
            <w:tcBorders>
              <w:tl2br w:val="nil"/>
              <w:tr2bl w:val="nil"/>
            </w:tcBorders>
            <w:vAlign w:val="center"/>
          </w:tcPr>
          <w:p w14:paraId="4DBB7638">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B332075">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6EB61E8F">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1F2F3AA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44D5372">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36E7800B">
            <w:pPr>
              <w:widowControl/>
              <w:adjustRightInd/>
              <w:snapToGrid/>
              <w:spacing w:line="240" w:lineRule="auto"/>
              <w:ind w:firstLine="0" w:firstLineChars="0"/>
              <w:jc w:val="center"/>
              <w:rPr>
                <w:color w:val="auto"/>
                <w:kern w:val="0"/>
                <w:sz w:val="21"/>
                <w:szCs w:val="21"/>
              </w:rPr>
            </w:pPr>
          </w:p>
        </w:tc>
      </w:tr>
      <w:tr w14:paraId="6143F32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0095CB2E">
            <w:pPr>
              <w:widowControl/>
              <w:adjustRightInd/>
              <w:snapToGrid/>
              <w:spacing w:line="240" w:lineRule="auto"/>
              <w:ind w:firstLine="0" w:firstLineChars="0"/>
              <w:jc w:val="center"/>
              <w:rPr>
                <w:color w:val="auto"/>
                <w:kern w:val="0"/>
                <w:sz w:val="21"/>
                <w:szCs w:val="21"/>
              </w:rPr>
            </w:pPr>
            <w:r>
              <w:rPr>
                <w:color w:val="auto"/>
                <w:kern w:val="0"/>
                <w:sz w:val="21"/>
                <w:szCs w:val="21"/>
              </w:rPr>
              <w:t>28</w:t>
            </w:r>
          </w:p>
        </w:tc>
        <w:tc>
          <w:tcPr>
            <w:tcW w:w="964" w:type="pct"/>
            <w:tcBorders>
              <w:tl2br w:val="nil"/>
              <w:tr2bl w:val="nil"/>
            </w:tcBorders>
            <w:vAlign w:val="center"/>
          </w:tcPr>
          <w:p w14:paraId="143F1E3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46ECCEE">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848E442">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57219AF3">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2F21D3D">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1EA5FBC4">
            <w:pPr>
              <w:widowControl/>
              <w:adjustRightInd/>
              <w:snapToGrid/>
              <w:spacing w:line="240" w:lineRule="auto"/>
              <w:ind w:firstLine="0" w:firstLineChars="0"/>
              <w:jc w:val="center"/>
              <w:rPr>
                <w:color w:val="auto"/>
                <w:kern w:val="0"/>
                <w:sz w:val="21"/>
                <w:szCs w:val="21"/>
              </w:rPr>
            </w:pPr>
          </w:p>
        </w:tc>
      </w:tr>
      <w:tr w14:paraId="5EF1C77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2030134F">
            <w:pPr>
              <w:widowControl/>
              <w:adjustRightInd/>
              <w:snapToGrid/>
              <w:spacing w:line="240" w:lineRule="auto"/>
              <w:ind w:firstLine="0" w:firstLineChars="0"/>
              <w:jc w:val="center"/>
              <w:rPr>
                <w:color w:val="auto"/>
                <w:kern w:val="0"/>
                <w:sz w:val="21"/>
                <w:szCs w:val="21"/>
              </w:rPr>
            </w:pPr>
            <w:r>
              <w:rPr>
                <w:color w:val="auto"/>
                <w:kern w:val="0"/>
                <w:sz w:val="21"/>
                <w:szCs w:val="21"/>
              </w:rPr>
              <w:t>29</w:t>
            </w:r>
          </w:p>
        </w:tc>
        <w:tc>
          <w:tcPr>
            <w:tcW w:w="964" w:type="pct"/>
            <w:tcBorders>
              <w:tl2br w:val="nil"/>
              <w:tr2bl w:val="nil"/>
            </w:tcBorders>
            <w:vAlign w:val="center"/>
          </w:tcPr>
          <w:p w14:paraId="211C383A">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F36FB0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513296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5869696D">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1D3C888B">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4CAC7D51">
            <w:pPr>
              <w:widowControl/>
              <w:adjustRightInd/>
              <w:snapToGrid/>
              <w:spacing w:line="240" w:lineRule="auto"/>
              <w:ind w:firstLine="0" w:firstLineChars="0"/>
              <w:jc w:val="center"/>
              <w:rPr>
                <w:color w:val="auto"/>
                <w:kern w:val="0"/>
                <w:sz w:val="21"/>
                <w:szCs w:val="21"/>
              </w:rPr>
            </w:pPr>
          </w:p>
        </w:tc>
      </w:tr>
      <w:tr w14:paraId="0B4CA45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319" w:type="pct"/>
            <w:tcBorders>
              <w:tl2br w:val="nil"/>
              <w:tr2bl w:val="nil"/>
            </w:tcBorders>
            <w:vAlign w:val="center"/>
          </w:tcPr>
          <w:p w14:paraId="689F4A28">
            <w:pPr>
              <w:widowControl/>
              <w:adjustRightInd/>
              <w:snapToGrid/>
              <w:spacing w:line="240" w:lineRule="auto"/>
              <w:ind w:firstLine="0" w:firstLineChars="0"/>
              <w:jc w:val="center"/>
              <w:rPr>
                <w:color w:val="auto"/>
                <w:kern w:val="0"/>
                <w:sz w:val="21"/>
                <w:szCs w:val="21"/>
              </w:rPr>
            </w:pPr>
            <w:r>
              <w:rPr>
                <w:color w:val="auto"/>
                <w:kern w:val="0"/>
                <w:sz w:val="21"/>
                <w:szCs w:val="21"/>
              </w:rPr>
              <w:t>30</w:t>
            </w:r>
          </w:p>
        </w:tc>
        <w:tc>
          <w:tcPr>
            <w:tcW w:w="964" w:type="pct"/>
            <w:tcBorders>
              <w:tl2br w:val="nil"/>
              <w:tr2bl w:val="nil"/>
            </w:tcBorders>
            <w:vAlign w:val="center"/>
          </w:tcPr>
          <w:p w14:paraId="277AEFB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C51D4D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02B562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140FDC2F">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33B95B5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21EDA560">
            <w:pPr>
              <w:widowControl/>
              <w:adjustRightInd/>
              <w:snapToGrid/>
              <w:spacing w:line="240" w:lineRule="auto"/>
              <w:ind w:firstLine="0" w:firstLineChars="0"/>
              <w:jc w:val="center"/>
              <w:rPr>
                <w:color w:val="auto"/>
                <w:kern w:val="0"/>
                <w:sz w:val="21"/>
                <w:szCs w:val="21"/>
              </w:rPr>
            </w:pPr>
          </w:p>
        </w:tc>
      </w:tr>
      <w:tr w14:paraId="58F2CF0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27110F0C">
            <w:pPr>
              <w:widowControl/>
              <w:adjustRightInd/>
              <w:snapToGrid/>
              <w:spacing w:line="240" w:lineRule="auto"/>
              <w:ind w:firstLine="0" w:firstLineChars="0"/>
              <w:jc w:val="center"/>
              <w:rPr>
                <w:color w:val="auto"/>
                <w:kern w:val="0"/>
                <w:sz w:val="21"/>
                <w:szCs w:val="21"/>
              </w:rPr>
            </w:pPr>
            <w:r>
              <w:rPr>
                <w:color w:val="auto"/>
                <w:kern w:val="0"/>
                <w:sz w:val="21"/>
                <w:szCs w:val="21"/>
              </w:rPr>
              <w:t>31</w:t>
            </w:r>
          </w:p>
        </w:tc>
        <w:tc>
          <w:tcPr>
            <w:tcW w:w="964" w:type="pct"/>
            <w:tcBorders>
              <w:tl2br w:val="nil"/>
              <w:tr2bl w:val="nil"/>
            </w:tcBorders>
            <w:vAlign w:val="center"/>
          </w:tcPr>
          <w:p w14:paraId="076A33DF">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9C1585C">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E99FE8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1600A526">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EF4DA8C">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796891E4">
            <w:pPr>
              <w:widowControl/>
              <w:adjustRightInd/>
              <w:snapToGrid/>
              <w:spacing w:line="240" w:lineRule="auto"/>
              <w:ind w:firstLine="0" w:firstLineChars="0"/>
              <w:jc w:val="center"/>
              <w:rPr>
                <w:color w:val="auto"/>
                <w:kern w:val="0"/>
                <w:sz w:val="21"/>
                <w:szCs w:val="21"/>
              </w:rPr>
            </w:pPr>
          </w:p>
        </w:tc>
      </w:tr>
      <w:tr w14:paraId="55E800F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064AC090">
            <w:pPr>
              <w:widowControl/>
              <w:adjustRightInd/>
              <w:snapToGrid/>
              <w:spacing w:line="240" w:lineRule="auto"/>
              <w:ind w:firstLine="0" w:firstLineChars="0"/>
              <w:jc w:val="center"/>
              <w:rPr>
                <w:color w:val="auto"/>
                <w:kern w:val="0"/>
                <w:sz w:val="21"/>
                <w:szCs w:val="21"/>
              </w:rPr>
            </w:pPr>
            <w:r>
              <w:rPr>
                <w:color w:val="auto"/>
                <w:kern w:val="0"/>
                <w:sz w:val="21"/>
                <w:szCs w:val="21"/>
              </w:rPr>
              <w:t>32</w:t>
            </w:r>
          </w:p>
        </w:tc>
        <w:tc>
          <w:tcPr>
            <w:tcW w:w="964" w:type="pct"/>
            <w:tcBorders>
              <w:tl2br w:val="nil"/>
              <w:tr2bl w:val="nil"/>
            </w:tcBorders>
            <w:vAlign w:val="center"/>
          </w:tcPr>
          <w:p w14:paraId="228252D8">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EA29CE5">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C802C4B">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63C2FACA">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1EE3E755">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1068A027">
            <w:pPr>
              <w:widowControl/>
              <w:adjustRightInd/>
              <w:snapToGrid/>
              <w:spacing w:line="240" w:lineRule="auto"/>
              <w:ind w:firstLine="0" w:firstLineChars="0"/>
              <w:jc w:val="center"/>
              <w:rPr>
                <w:color w:val="auto"/>
                <w:kern w:val="0"/>
                <w:sz w:val="21"/>
                <w:szCs w:val="21"/>
              </w:rPr>
            </w:pPr>
          </w:p>
        </w:tc>
      </w:tr>
      <w:tr w14:paraId="0BCD924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12AB4330">
            <w:pPr>
              <w:widowControl/>
              <w:adjustRightInd/>
              <w:snapToGrid/>
              <w:spacing w:line="240" w:lineRule="auto"/>
              <w:ind w:firstLine="0" w:firstLineChars="0"/>
              <w:jc w:val="center"/>
              <w:rPr>
                <w:color w:val="auto"/>
                <w:kern w:val="0"/>
                <w:sz w:val="21"/>
                <w:szCs w:val="21"/>
              </w:rPr>
            </w:pPr>
            <w:r>
              <w:rPr>
                <w:color w:val="auto"/>
                <w:kern w:val="0"/>
                <w:sz w:val="21"/>
                <w:szCs w:val="21"/>
              </w:rPr>
              <w:t>33</w:t>
            </w:r>
          </w:p>
        </w:tc>
        <w:tc>
          <w:tcPr>
            <w:tcW w:w="964" w:type="pct"/>
            <w:tcBorders>
              <w:tl2br w:val="nil"/>
              <w:tr2bl w:val="nil"/>
            </w:tcBorders>
            <w:vAlign w:val="center"/>
          </w:tcPr>
          <w:p w14:paraId="34258B7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D7D871A">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E14044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5CF6DB2">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6566A012">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74F91D28">
            <w:pPr>
              <w:widowControl/>
              <w:adjustRightInd/>
              <w:snapToGrid/>
              <w:spacing w:line="240" w:lineRule="auto"/>
              <w:ind w:firstLine="0" w:firstLineChars="0"/>
              <w:jc w:val="center"/>
              <w:rPr>
                <w:color w:val="auto"/>
                <w:kern w:val="0"/>
                <w:sz w:val="21"/>
                <w:szCs w:val="21"/>
              </w:rPr>
            </w:pPr>
          </w:p>
        </w:tc>
      </w:tr>
      <w:tr w14:paraId="73C31FE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3F4DB097">
            <w:pPr>
              <w:widowControl/>
              <w:adjustRightInd/>
              <w:snapToGrid/>
              <w:spacing w:line="240" w:lineRule="auto"/>
              <w:ind w:firstLine="0" w:firstLineChars="0"/>
              <w:jc w:val="center"/>
              <w:rPr>
                <w:color w:val="auto"/>
                <w:kern w:val="0"/>
                <w:sz w:val="21"/>
                <w:szCs w:val="21"/>
              </w:rPr>
            </w:pPr>
            <w:r>
              <w:rPr>
                <w:color w:val="auto"/>
                <w:kern w:val="0"/>
                <w:sz w:val="21"/>
                <w:szCs w:val="21"/>
              </w:rPr>
              <w:t>34</w:t>
            </w:r>
          </w:p>
        </w:tc>
        <w:tc>
          <w:tcPr>
            <w:tcW w:w="964" w:type="pct"/>
            <w:tcBorders>
              <w:tl2br w:val="nil"/>
              <w:tr2bl w:val="nil"/>
            </w:tcBorders>
            <w:vAlign w:val="center"/>
          </w:tcPr>
          <w:p w14:paraId="6CE8F49F">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6C8E790">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99F1C3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74CA5A7A">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0BD73ED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36EBC86F">
            <w:pPr>
              <w:widowControl/>
              <w:adjustRightInd/>
              <w:snapToGrid/>
              <w:spacing w:line="240" w:lineRule="auto"/>
              <w:ind w:firstLine="0" w:firstLineChars="0"/>
              <w:jc w:val="center"/>
              <w:rPr>
                <w:color w:val="auto"/>
                <w:kern w:val="0"/>
                <w:sz w:val="21"/>
                <w:szCs w:val="21"/>
              </w:rPr>
            </w:pPr>
          </w:p>
        </w:tc>
      </w:tr>
      <w:tr w14:paraId="1863D9A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30DD1796">
            <w:pPr>
              <w:widowControl/>
              <w:adjustRightInd/>
              <w:snapToGrid/>
              <w:spacing w:line="240" w:lineRule="auto"/>
              <w:ind w:firstLine="0" w:firstLineChars="0"/>
              <w:jc w:val="center"/>
              <w:rPr>
                <w:color w:val="auto"/>
                <w:kern w:val="0"/>
                <w:sz w:val="21"/>
                <w:szCs w:val="21"/>
              </w:rPr>
            </w:pPr>
            <w:r>
              <w:rPr>
                <w:color w:val="auto"/>
                <w:kern w:val="0"/>
                <w:sz w:val="21"/>
                <w:szCs w:val="21"/>
              </w:rPr>
              <w:t>35</w:t>
            </w:r>
          </w:p>
        </w:tc>
        <w:tc>
          <w:tcPr>
            <w:tcW w:w="964" w:type="pct"/>
            <w:tcBorders>
              <w:tl2br w:val="nil"/>
              <w:tr2bl w:val="nil"/>
            </w:tcBorders>
            <w:vAlign w:val="center"/>
          </w:tcPr>
          <w:p w14:paraId="0976C375">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B68842A">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23CDDDFB">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1C49CD9D">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9FBF753">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183BA7F3">
            <w:pPr>
              <w:widowControl/>
              <w:adjustRightInd/>
              <w:snapToGrid/>
              <w:spacing w:line="240" w:lineRule="auto"/>
              <w:ind w:firstLine="0" w:firstLineChars="0"/>
              <w:jc w:val="center"/>
              <w:rPr>
                <w:color w:val="auto"/>
                <w:kern w:val="0"/>
                <w:sz w:val="21"/>
                <w:szCs w:val="21"/>
              </w:rPr>
            </w:pPr>
          </w:p>
        </w:tc>
      </w:tr>
      <w:tr w14:paraId="4D1FD31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1F910D9A">
            <w:pPr>
              <w:widowControl/>
              <w:adjustRightInd/>
              <w:snapToGrid/>
              <w:spacing w:line="240" w:lineRule="auto"/>
              <w:ind w:firstLine="0" w:firstLineChars="0"/>
              <w:jc w:val="center"/>
              <w:rPr>
                <w:color w:val="auto"/>
                <w:kern w:val="0"/>
                <w:sz w:val="21"/>
                <w:szCs w:val="21"/>
              </w:rPr>
            </w:pPr>
            <w:r>
              <w:rPr>
                <w:color w:val="auto"/>
                <w:kern w:val="0"/>
                <w:sz w:val="21"/>
                <w:szCs w:val="21"/>
              </w:rPr>
              <w:t>36</w:t>
            </w:r>
          </w:p>
        </w:tc>
        <w:tc>
          <w:tcPr>
            <w:tcW w:w="964" w:type="pct"/>
            <w:tcBorders>
              <w:tl2br w:val="nil"/>
              <w:tr2bl w:val="nil"/>
            </w:tcBorders>
            <w:vAlign w:val="center"/>
          </w:tcPr>
          <w:p w14:paraId="37E20370">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7279CA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BE8C789">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038BDB61">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66FA9560">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27C2D3C">
            <w:pPr>
              <w:widowControl/>
              <w:adjustRightInd/>
              <w:snapToGrid/>
              <w:spacing w:line="240" w:lineRule="auto"/>
              <w:ind w:firstLine="0" w:firstLineChars="0"/>
              <w:jc w:val="center"/>
              <w:rPr>
                <w:color w:val="auto"/>
                <w:kern w:val="0"/>
                <w:sz w:val="21"/>
                <w:szCs w:val="21"/>
              </w:rPr>
            </w:pPr>
          </w:p>
        </w:tc>
      </w:tr>
      <w:tr w14:paraId="64EF381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70D611F">
            <w:pPr>
              <w:widowControl/>
              <w:adjustRightInd/>
              <w:snapToGrid/>
              <w:spacing w:line="240" w:lineRule="auto"/>
              <w:ind w:firstLine="0" w:firstLineChars="0"/>
              <w:jc w:val="center"/>
              <w:rPr>
                <w:color w:val="auto"/>
                <w:kern w:val="0"/>
                <w:sz w:val="21"/>
                <w:szCs w:val="21"/>
              </w:rPr>
            </w:pPr>
            <w:r>
              <w:rPr>
                <w:color w:val="auto"/>
                <w:kern w:val="0"/>
                <w:sz w:val="21"/>
                <w:szCs w:val="21"/>
              </w:rPr>
              <w:t>37</w:t>
            </w:r>
          </w:p>
        </w:tc>
        <w:tc>
          <w:tcPr>
            <w:tcW w:w="964" w:type="pct"/>
            <w:tcBorders>
              <w:tl2br w:val="nil"/>
              <w:tr2bl w:val="nil"/>
            </w:tcBorders>
            <w:vAlign w:val="center"/>
          </w:tcPr>
          <w:p w14:paraId="0B7FF80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C207435">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7600BF5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4D883BDB">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7E9F572">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7BF24F51">
            <w:pPr>
              <w:widowControl/>
              <w:adjustRightInd/>
              <w:snapToGrid/>
              <w:spacing w:line="240" w:lineRule="auto"/>
              <w:ind w:firstLine="0" w:firstLineChars="0"/>
              <w:jc w:val="center"/>
              <w:rPr>
                <w:color w:val="auto"/>
                <w:kern w:val="0"/>
                <w:sz w:val="21"/>
                <w:szCs w:val="21"/>
              </w:rPr>
            </w:pPr>
          </w:p>
        </w:tc>
      </w:tr>
      <w:tr w14:paraId="61FC4CE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31F753A5">
            <w:pPr>
              <w:widowControl/>
              <w:adjustRightInd/>
              <w:snapToGrid/>
              <w:spacing w:line="240" w:lineRule="auto"/>
              <w:ind w:firstLine="0" w:firstLineChars="0"/>
              <w:jc w:val="center"/>
              <w:rPr>
                <w:color w:val="auto"/>
                <w:kern w:val="0"/>
                <w:sz w:val="21"/>
                <w:szCs w:val="21"/>
              </w:rPr>
            </w:pPr>
            <w:r>
              <w:rPr>
                <w:color w:val="auto"/>
                <w:kern w:val="0"/>
                <w:sz w:val="21"/>
                <w:szCs w:val="21"/>
              </w:rPr>
              <w:t>38</w:t>
            </w:r>
          </w:p>
        </w:tc>
        <w:tc>
          <w:tcPr>
            <w:tcW w:w="964" w:type="pct"/>
            <w:tcBorders>
              <w:tl2br w:val="nil"/>
              <w:tr2bl w:val="nil"/>
            </w:tcBorders>
            <w:vAlign w:val="center"/>
          </w:tcPr>
          <w:p w14:paraId="60AC411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C942E2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46E7E6E">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AA0DC0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5C993E2">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7534ED23">
            <w:pPr>
              <w:widowControl/>
              <w:adjustRightInd/>
              <w:snapToGrid/>
              <w:spacing w:line="240" w:lineRule="auto"/>
              <w:ind w:firstLine="0" w:firstLineChars="0"/>
              <w:jc w:val="center"/>
              <w:rPr>
                <w:color w:val="auto"/>
                <w:kern w:val="0"/>
                <w:sz w:val="21"/>
                <w:szCs w:val="21"/>
              </w:rPr>
            </w:pPr>
          </w:p>
        </w:tc>
      </w:tr>
      <w:tr w14:paraId="70BC766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241CA27">
            <w:pPr>
              <w:widowControl/>
              <w:adjustRightInd/>
              <w:snapToGrid/>
              <w:spacing w:line="240" w:lineRule="auto"/>
              <w:ind w:firstLine="0" w:firstLineChars="0"/>
              <w:jc w:val="center"/>
              <w:rPr>
                <w:color w:val="auto"/>
                <w:kern w:val="0"/>
                <w:sz w:val="21"/>
                <w:szCs w:val="21"/>
              </w:rPr>
            </w:pPr>
            <w:r>
              <w:rPr>
                <w:color w:val="auto"/>
                <w:kern w:val="0"/>
                <w:sz w:val="21"/>
                <w:szCs w:val="21"/>
              </w:rPr>
              <w:t>39</w:t>
            </w:r>
          </w:p>
        </w:tc>
        <w:tc>
          <w:tcPr>
            <w:tcW w:w="964" w:type="pct"/>
            <w:tcBorders>
              <w:tl2br w:val="nil"/>
              <w:tr2bl w:val="nil"/>
            </w:tcBorders>
            <w:vAlign w:val="center"/>
          </w:tcPr>
          <w:p w14:paraId="310EDE4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3F78AA37">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32082AB">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7170EA1F">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33B62E0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63B06F66">
            <w:pPr>
              <w:widowControl/>
              <w:adjustRightInd/>
              <w:snapToGrid/>
              <w:spacing w:line="240" w:lineRule="auto"/>
              <w:ind w:firstLine="0" w:firstLineChars="0"/>
              <w:jc w:val="center"/>
              <w:rPr>
                <w:color w:val="auto"/>
                <w:kern w:val="0"/>
                <w:sz w:val="21"/>
                <w:szCs w:val="21"/>
              </w:rPr>
            </w:pPr>
          </w:p>
        </w:tc>
      </w:tr>
      <w:tr w14:paraId="4A6EE8B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0B669B0F">
            <w:pPr>
              <w:widowControl/>
              <w:adjustRightInd/>
              <w:snapToGrid/>
              <w:spacing w:line="240" w:lineRule="auto"/>
              <w:ind w:firstLine="0" w:firstLineChars="0"/>
              <w:jc w:val="center"/>
              <w:rPr>
                <w:color w:val="auto"/>
                <w:kern w:val="0"/>
                <w:sz w:val="21"/>
                <w:szCs w:val="21"/>
              </w:rPr>
            </w:pPr>
            <w:r>
              <w:rPr>
                <w:color w:val="auto"/>
                <w:kern w:val="0"/>
                <w:sz w:val="21"/>
                <w:szCs w:val="21"/>
              </w:rPr>
              <w:t>40</w:t>
            </w:r>
          </w:p>
        </w:tc>
        <w:tc>
          <w:tcPr>
            <w:tcW w:w="964" w:type="pct"/>
            <w:tcBorders>
              <w:tl2br w:val="nil"/>
              <w:tr2bl w:val="nil"/>
            </w:tcBorders>
            <w:vAlign w:val="center"/>
          </w:tcPr>
          <w:p w14:paraId="1A5C9CEC">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510BF81">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6D33745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45BA3C97">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37811C86">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0E2722BF">
            <w:pPr>
              <w:widowControl/>
              <w:adjustRightInd/>
              <w:snapToGrid/>
              <w:spacing w:line="240" w:lineRule="auto"/>
              <w:ind w:firstLine="0" w:firstLineChars="0"/>
              <w:jc w:val="center"/>
              <w:rPr>
                <w:color w:val="auto"/>
                <w:kern w:val="0"/>
                <w:sz w:val="21"/>
                <w:szCs w:val="21"/>
              </w:rPr>
            </w:pPr>
          </w:p>
        </w:tc>
      </w:tr>
      <w:tr w14:paraId="6432697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1B11C2A0">
            <w:pPr>
              <w:widowControl/>
              <w:adjustRightInd/>
              <w:snapToGrid/>
              <w:spacing w:line="240" w:lineRule="auto"/>
              <w:ind w:firstLine="0" w:firstLineChars="0"/>
              <w:jc w:val="center"/>
              <w:rPr>
                <w:color w:val="auto"/>
                <w:kern w:val="0"/>
                <w:sz w:val="21"/>
                <w:szCs w:val="21"/>
              </w:rPr>
            </w:pPr>
            <w:r>
              <w:rPr>
                <w:color w:val="auto"/>
                <w:kern w:val="0"/>
                <w:sz w:val="21"/>
                <w:szCs w:val="21"/>
              </w:rPr>
              <w:t>41</w:t>
            </w:r>
          </w:p>
        </w:tc>
        <w:tc>
          <w:tcPr>
            <w:tcW w:w="964" w:type="pct"/>
            <w:tcBorders>
              <w:tl2br w:val="nil"/>
              <w:tr2bl w:val="nil"/>
            </w:tcBorders>
            <w:vAlign w:val="center"/>
          </w:tcPr>
          <w:p w14:paraId="0E3ABFD0">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2A97759">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AA628A2">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7701FD8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25AC46FE">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640EC6BE">
            <w:pPr>
              <w:widowControl/>
              <w:adjustRightInd/>
              <w:snapToGrid/>
              <w:spacing w:line="240" w:lineRule="auto"/>
              <w:ind w:firstLine="0" w:firstLineChars="0"/>
              <w:jc w:val="center"/>
              <w:rPr>
                <w:color w:val="auto"/>
                <w:kern w:val="0"/>
                <w:sz w:val="21"/>
                <w:szCs w:val="21"/>
              </w:rPr>
            </w:pPr>
          </w:p>
        </w:tc>
      </w:tr>
      <w:tr w14:paraId="259F2E3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7FD86688">
            <w:pPr>
              <w:widowControl/>
              <w:adjustRightInd/>
              <w:snapToGrid/>
              <w:spacing w:line="240" w:lineRule="auto"/>
              <w:ind w:firstLine="0" w:firstLineChars="0"/>
              <w:jc w:val="center"/>
              <w:rPr>
                <w:color w:val="auto"/>
                <w:kern w:val="0"/>
                <w:sz w:val="21"/>
                <w:szCs w:val="21"/>
              </w:rPr>
            </w:pPr>
            <w:r>
              <w:rPr>
                <w:color w:val="auto"/>
                <w:kern w:val="0"/>
                <w:sz w:val="21"/>
                <w:szCs w:val="21"/>
              </w:rPr>
              <w:t>42</w:t>
            </w:r>
          </w:p>
        </w:tc>
        <w:tc>
          <w:tcPr>
            <w:tcW w:w="964" w:type="pct"/>
            <w:tcBorders>
              <w:tl2br w:val="nil"/>
              <w:tr2bl w:val="nil"/>
            </w:tcBorders>
            <w:vAlign w:val="center"/>
          </w:tcPr>
          <w:p w14:paraId="5BB6EA30">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7613621">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10F69DE">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6B24AEB7">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848A477">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212D0C3B">
            <w:pPr>
              <w:widowControl/>
              <w:adjustRightInd/>
              <w:snapToGrid/>
              <w:spacing w:line="240" w:lineRule="auto"/>
              <w:ind w:firstLine="0" w:firstLineChars="0"/>
              <w:jc w:val="center"/>
              <w:rPr>
                <w:color w:val="auto"/>
                <w:kern w:val="0"/>
                <w:sz w:val="21"/>
                <w:szCs w:val="21"/>
              </w:rPr>
            </w:pPr>
          </w:p>
        </w:tc>
      </w:tr>
      <w:tr w14:paraId="2AF2B07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111CD478">
            <w:pPr>
              <w:widowControl/>
              <w:adjustRightInd/>
              <w:snapToGrid/>
              <w:spacing w:line="240" w:lineRule="auto"/>
              <w:ind w:firstLine="0" w:firstLineChars="0"/>
              <w:jc w:val="center"/>
              <w:rPr>
                <w:color w:val="auto"/>
                <w:kern w:val="0"/>
                <w:sz w:val="21"/>
                <w:szCs w:val="21"/>
              </w:rPr>
            </w:pPr>
            <w:r>
              <w:rPr>
                <w:color w:val="auto"/>
                <w:kern w:val="0"/>
                <w:sz w:val="21"/>
                <w:szCs w:val="21"/>
              </w:rPr>
              <w:t>43</w:t>
            </w:r>
          </w:p>
        </w:tc>
        <w:tc>
          <w:tcPr>
            <w:tcW w:w="964" w:type="pct"/>
            <w:tcBorders>
              <w:tl2br w:val="nil"/>
              <w:tr2bl w:val="nil"/>
            </w:tcBorders>
            <w:vAlign w:val="center"/>
          </w:tcPr>
          <w:p w14:paraId="566F6470">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4E2989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21BDCD51">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76B2DAA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3A408F1F">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323CB935">
            <w:pPr>
              <w:widowControl/>
              <w:adjustRightInd/>
              <w:snapToGrid/>
              <w:spacing w:line="240" w:lineRule="auto"/>
              <w:ind w:firstLine="0" w:firstLineChars="0"/>
              <w:jc w:val="center"/>
              <w:rPr>
                <w:color w:val="auto"/>
                <w:kern w:val="0"/>
                <w:sz w:val="21"/>
                <w:szCs w:val="21"/>
              </w:rPr>
            </w:pPr>
          </w:p>
        </w:tc>
      </w:tr>
      <w:tr w14:paraId="08B9C01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7E4BB272">
            <w:pPr>
              <w:widowControl/>
              <w:adjustRightInd/>
              <w:snapToGrid/>
              <w:spacing w:line="240" w:lineRule="auto"/>
              <w:ind w:firstLine="0" w:firstLineChars="0"/>
              <w:jc w:val="center"/>
              <w:rPr>
                <w:color w:val="auto"/>
                <w:kern w:val="0"/>
                <w:sz w:val="21"/>
                <w:szCs w:val="21"/>
              </w:rPr>
            </w:pPr>
            <w:r>
              <w:rPr>
                <w:color w:val="auto"/>
                <w:kern w:val="0"/>
                <w:sz w:val="21"/>
                <w:szCs w:val="21"/>
              </w:rPr>
              <w:t>44</w:t>
            </w:r>
          </w:p>
        </w:tc>
        <w:tc>
          <w:tcPr>
            <w:tcW w:w="964" w:type="pct"/>
            <w:tcBorders>
              <w:tl2br w:val="nil"/>
              <w:tr2bl w:val="nil"/>
            </w:tcBorders>
            <w:vAlign w:val="center"/>
          </w:tcPr>
          <w:p w14:paraId="05ACFC4B">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2BBA714">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941FEC2">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9359285">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F97F43B">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B2D57A4">
            <w:pPr>
              <w:widowControl/>
              <w:adjustRightInd/>
              <w:snapToGrid/>
              <w:spacing w:line="240" w:lineRule="auto"/>
              <w:ind w:firstLine="0" w:firstLineChars="0"/>
              <w:jc w:val="center"/>
              <w:rPr>
                <w:color w:val="auto"/>
                <w:kern w:val="0"/>
                <w:sz w:val="21"/>
                <w:szCs w:val="21"/>
              </w:rPr>
            </w:pPr>
          </w:p>
        </w:tc>
      </w:tr>
      <w:tr w14:paraId="5DE5847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BE4AF71">
            <w:pPr>
              <w:widowControl/>
              <w:adjustRightInd/>
              <w:snapToGrid/>
              <w:spacing w:line="240" w:lineRule="auto"/>
              <w:ind w:firstLine="0" w:firstLineChars="0"/>
              <w:jc w:val="center"/>
              <w:rPr>
                <w:color w:val="auto"/>
                <w:kern w:val="0"/>
                <w:sz w:val="21"/>
                <w:szCs w:val="21"/>
              </w:rPr>
            </w:pPr>
            <w:r>
              <w:rPr>
                <w:color w:val="auto"/>
                <w:kern w:val="0"/>
                <w:sz w:val="21"/>
                <w:szCs w:val="21"/>
              </w:rPr>
              <w:t>45</w:t>
            </w:r>
          </w:p>
        </w:tc>
        <w:tc>
          <w:tcPr>
            <w:tcW w:w="964" w:type="pct"/>
            <w:tcBorders>
              <w:tl2br w:val="nil"/>
              <w:tr2bl w:val="nil"/>
            </w:tcBorders>
            <w:vAlign w:val="center"/>
          </w:tcPr>
          <w:p w14:paraId="42D6C03B">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001F303">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D7D073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7B1EE25D">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1A3611B">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7020588">
            <w:pPr>
              <w:widowControl/>
              <w:adjustRightInd/>
              <w:snapToGrid/>
              <w:spacing w:line="240" w:lineRule="auto"/>
              <w:ind w:firstLine="0" w:firstLineChars="0"/>
              <w:jc w:val="center"/>
              <w:rPr>
                <w:color w:val="auto"/>
                <w:kern w:val="0"/>
                <w:sz w:val="21"/>
                <w:szCs w:val="21"/>
              </w:rPr>
            </w:pPr>
          </w:p>
        </w:tc>
      </w:tr>
      <w:tr w14:paraId="4B5DD6C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65BB09A4">
            <w:pPr>
              <w:widowControl/>
              <w:adjustRightInd/>
              <w:snapToGrid/>
              <w:spacing w:line="240" w:lineRule="auto"/>
              <w:ind w:firstLine="0" w:firstLineChars="0"/>
              <w:jc w:val="center"/>
              <w:rPr>
                <w:color w:val="auto"/>
                <w:kern w:val="0"/>
                <w:sz w:val="21"/>
                <w:szCs w:val="21"/>
              </w:rPr>
            </w:pPr>
            <w:r>
              <w:rPr>
                <w:color w:val="auto"/>
                <w:kern w:val="0"/>
                <w:sz w:val="21"/>
                <w:szCs w:val="21"/>
              </w:rPr>
              <w:t>46</w:t>
            </w:r>
          </w:p>
        </w:tc>
        <w:tc>
          <w:tcPr>
            <w:tcW w:w="964" w:type="pct"/>
            <w:tcBorders>
              <w:tl2br w:val="nil"/>
              <w:tr2bl w:val="nil"/>
            </w:tcBorders>
            <w:vAlign w:val="center"/>
          </w:tcPr>
          <w:p w14:paraId="2C786395">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B915705">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16B941A">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5A326B0A">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3D20D879">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FE70DB6">
            <w:pPr>
              <w:widowControl/>
              <w:adjustRightInd/>
              <w:snapToGrid/>
              <w:spacing w:line="240" w:lineRule="auto"/>
              <w:ind w:firstLine="0" w:firstLineChars="0"/>
              <w:jc w:val="center"/>
              <w:rPr>
                <w:color w:val="auto"/>
                <w:kern w:val="0"/>
                <w:sz w:val="21"/>
                <w:szCs w:val="21"/>
              </w:rPr>
            </w:pPr>
          </w:p>
        </w:tc>
      </w:tr>
      <w:tr w14:paraId="5C39CC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39ECB24A">
            <w:pPr>
              <w:widowControl/>
              <w:adjustRightInd/>
              <w:snapToGrid/>
              <w:spacing w:line="240" w:lineRule="auto"/>
              <w:ind w:firstLine="0" w:firstLineChars="0"/>
              <w:jc w:val="center"/>
              <w:rPr>
                <w:color w:val="auto"/>
                <w:kern w:val="0"/>
                <w:sz w:val="21"/>
                <w:szCs w:val="21"/>
              </w:rPr>
            </w:pPr>
            <w:r>
              <w:rPr>
                <w:color w:val="auto"/>
                <w:kern w:val="0"/>
                <w:sz w:val="21"/>
                <w:szCs w:val="21"/>
              </w:rPr>
              <w:t>47</w:t>
            </w:r>
          </w:p>
        </w:tc>
        <w:tc>
          <w:tcPr>
            <w:tcW w:w="964" w:type="pct"/>
            <w:tcBorders>
              <w:tl2br w:val="nil"/>
              <w:tr2bl w:val="nil"/>
            </w:tcBorders>
            <w:vAlign w:val="center"/>
          </w:tcPr>
          <w:p w14:paraId="16CF0D1C">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6331694">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5BC6584">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48C35F65">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9E0D6B8">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04F0AE11">
            <w:pPr>
              <w:widowControl/>
              <w:adjustRightInd/>
              <w:snapToGrid/>
              <w:spacing w:line="240" w:lineRule="auto"/>
              <w:ind w:firstLine="0" w:firstLineChars="0"/>
              <w:jc w:val="center"/>
              <w:rPr>
                <w:color w:val="auto"/>
                <w:kern w:val="0"/>
                <w:sz w:val="21"/>
                <w:szCs w:val="21"/>
              </w:rPr>
            </w:pPr>
          </w:p>
        </w:tc>
      </w:tr>
      <w:tr w14:paraId="0F6C0D2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1232D24B">
            <w:pPr>
              <w:widowControl/>
              <w:adjustRightInd/>
              <w:snapToGrid/>
              <w:spacing w:line="240" w:lineRule="auto"/>
              <w:ind w:firstLine="0" w:firstLineChars="0"/>
              <w:jc w:val="center"/>
              <w:rPr>
                <w:color w:val="auto"/>
                <w:kern w:val="0"/>
                <w:sz w:val="21"/>
                <w:szCs w:val="21"/>
              </w:rPr>
            </w:pPr>
            <w:r>
              <w:rPr>
                <w:color w:val="auto"/>
                <w:kern w:val="0"/>
                <w:sz w:val="21"/>
                <w:szCs w:val="21"/>
              </w:rPr>
              <w:t>48</w:t>
            </w:r>
          </w:p>
        </w:tc>
        <w:tc>
          <w:tcPr>
            <w:tcW w:w="964" w:type="pct"/>
            <w:tcBorders>
              <w:tl2br w:val="nil"/>
              <w:tr2bl w:val="nil"/>
            </w:tcBorders>
            <w:vAlign w:val="center"/>
          </w:tcPr>
          <w:p w14:paraId="1EAAAC14">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70E8D58">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C100CB3">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6CCC4C10">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6A6875C">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BC9FAA3">
            <w:pPr>
              <w:widowControl/>
              <w:adjustRightInd/>
              <w:snapToGrid/>
              <w:spacing w:line="240" w:lineRule="auto"/>
              <w:ind w:firstLine="0" w:firstLineChars="0"/>
              <w:jc w:val="center"/>
              <w:rPr>
                <w:color w:val="auto"/>
                <w:kern w:val="0"/>
                <w:sz w:val="21"/>
                <w:szCs w:val="21"/>
              </w:rPr>
            </w:pPr>
          </w:p>
        </w:tc>
      </w:tr>
      <w:tr w14:paraId="160529D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C87BA44">
            <w:pPr>
              <w:widowControl/>
              <w:adjustRightInd/>
              <w:snapToGrid/>
              <w:spacing w:line="240" w:lineRule="auto"/>
              <w:ind w:firstLine="0" w:firstLineChars="0"/>
              <w:jc w:val="center"/>
              <w:rPr>
                <w:color w:val="auto"/>
                <w:kern w:val="0"/>
                <w:sz w:val="21"/>
                <w:szCs w:val="21"/>
              </w:rPr>
            </w:pPr>
            <w:r>
              <w:rPr>
                <w:color w:val="auto"/>
                <w:kern w:val="0"/>
                <w:sz w:val="21"/>
                <w:szCs w:val="21"/>
              </w:rPr>
              <w:t>49</w:t>
            </w:r>
          </w:p>
        </w:tc>
        <w:tc>
          <w:tcPr>
            <w:tcW w:w="964" w:type="pct"/>
            <w:tcBorders>
              <w:tl2br w:val="nil"/>
              <w:tr2bl w:val="nil"/>
            </w:tcBorders>
            <w:vAlign w:val="center"/>
          </w:tcPr>
          <w:p w14:paraId="1538346B">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02ACE0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E99CE17">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6F913132">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C061480">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34FDB7D7">
            <w:pPr>
              <w:widowControl/>
              <w:adjustRightInd/>
              <w:snapToGrid/>
              <w:spacing w:line="240" w:lineRule="auto"/>
              <w:ind w:firstLine="0" w:firstLineChars="0"/>
              <w:jc w:val="center"/>
              <w:rPr>
                <w:color w:val="auto"/>
                <w:kern w:val="0"/>
                <w:sz w:val="21"/>
                <w:szCs w:val="21"/>
              </w:rPr>
            </w:pPr>
          </w:p>
        </w:tc>
      </w:tr>
      <w:tr w14:paraId="0F2D23E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9C95722">
            <w:pPr>
              <w:widowControl/>
              <w:adjustRightInd/>
              <w:snapToGrid/>
              <w:spacing w:line="240" w:lineRule="auto"/>
              <w:ind w:firstLine="0" w:firstLineChars="0"/>
              <w:jc w:val="center"/>
              <w:rPr>
                <w:color w:val="auto"/>
                <w:kern w:val="0"/>
                <w:sz w:val="21"/>
                <w:szCs w:val="21"/>
              </w:rPr>
            </w:pPr>
            <w:r>
              <w:rPr>
                <w:color w:val="auto"/>
                <w:kern w:val="0"/>
                <w:sz w:val="21"/>
                <w:szCs w:val="21"/>
              </w:rPr>
              <w:t>50</w:t>
            </w:r>
          </w:p>
        </w:tc>
        <w:tc>
          <w:tcPr>
            <w:tcW w:w="964" w:type="pct"/>
            <w:tcBorders>
              <w:tl2br w:val="nil"/>
              <w:tr2bl w:val="nil"/>
            </w:tcBorders>
            <w:vAlign w:val="center"/>
          </w:tcPr>
          <w:p w14:paraId="00F30E52">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3B2E54AC">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3D15B41">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5877F64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256667F3">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74F7808E">
            <w:pPr>
              <w:widowControl/>
              <w:adjustRightInd/>
              <w:snapToGrid/>
              <w:spacing w:line="240" w:lineRule="auto"/>
              <w:ind w:firstLine="0" w:firstLineChars="0"/>
              <w:jc w:val="center"/>
              <w:rPr>
                <w:color w:val="auto"/>
                <w:kern w:val="0"/>
                <w:sz w:val="21"/>
                <w:szCs w:val="21"/>
              </w:rPr>
            </w:pPr>
          </w:p>
        </w:tc>
      </w:tr>
      <w:tr w14:paraId="0DD4950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21D2EF8C">
            <w:pPr>
              <w:widowControl/>
              <w:adjustRightInd/>
              <w:snapToGrid/>
              <w:spacing w:line="240" w:lineRule="auto"/>
              <w:ind w:firstLine="0" w:firstLineChars="0"/>
              <w:jc w:val="center"/>
              <w:rPr>
                <w:color w:val="auto"/>
                <w:kern w:val="0"/>
                <w:sz w:val="21"/>
                <w:szCs w:val="21"/>
              </w:rPr>
            </w:pPr>
            <w:r>
              <w:rPr>
                <w:color w:val="auto"/>
                <w:kern w:val="0"/>
                <w:sz w:val="21"/>
                <w:szCs w:val="21"/>
              </w:rPr>
              <w:t>51</w:t>
            </w:r>
          </w:p>
        </w:tc>
        <w:tc>
          <w:tcPr>
            <w:tcW w:w="964" w:type="pct"/>
            <w:tcBorders>
              <w:tl2br w:val="nil"/>
              <w:tr2bl w:val="nil"/>
            </w:tcBorders>
            <w:vAlign w:val="center"/>
          </w:tcPr>
          <w:p w14:paraId="3838EB8F">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E9F7579">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B7FD400">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2734A4DE">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11A0C220">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4FB3828C">
            <w:pPr>
              <w:widowControl/>
              <w:adjustRightInd/>
              <w:snapToGrid/>
              <w:spacing w:line="240" w:lineRule="auto"/>
              <w:ind w:firstLine="0" w:firstLineChars="0"/>
              <w:jc w:val="center"/>
              <w:rPr>
                <w:color w:val="auto"/>
                <w:kern w:val="0"/>
                <w:sz w:val="21"/>
                <w:szCs w:val="21"/>
              </w:rPr>
            </w:pPr>
          </w:p>
        </w:tc>
      </w:tr>
      <w:tr w14:paraId="16C49D8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7B786093">
            <w:pPr>
              <w:widowControl/>
              <w:adjustRightInd/>
              <w:snapToGrid/>
              <w:spacing w:line="240" w:lineRule="auto"/>
              <w:ind w:firstLine="0" w:firstLineChars="0"/>
              <w:jc w:val="center"/>
              <w:rPr>
                <w:color w:val="auto"/>
                <w:kern w:val="0"/>
                <w:sz w:val="21"/>
                <w:szCs w:val="21"/>
              </w:rPr>
            </w:pPr>
            <w:r>
              <w:rPr>
                <w:color w:val="auto"/>
                <w:kern w:val="0"/>
                <w:sz w:val="21"/>
                <w:szCs w:val="21"/>
              </w:rPr>
              <w:t>52</w:t>
            </w:r>
          </w:p>
        </w:tc>
        <w:tc>
          <w:tcPr>
            <w:tcW w:w="964" w:type="pct"/>
            <w:tcBorders>
              <w:tl2br w:val="nil"/>
              <w:tr2bl w:val="nil"/>
            </w:tcBorders>
            <w:vAlign w:val="center"/>
          </w:tcPr>
          <w:p w14:paraId="062B5D2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2573119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B629D9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1C4E782D">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B5F3A2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2E74E180">
            <w:pPr>
              <w:widowControl/>
              <w:adjustRightInd/>
              <w:snapToGrid/>
              <w:spacing w:line="240" w:lineRule="auto"/>
              <w:ind w:firstLine="0" w:firstLineChars="0"/>
              <w:jc w:val="center"/>
              <w:rPr>
                <w:color w:val="auto"/>
                <w:kern w:val="0"/>
                <w:sz w:val="21"/>
                <w:szCs w:val="21"/>
              </w:rPr>
            </w:pPr>
          </w:p>
        </w:tc>
      </w:tr>
      <w:tr w14:paraId="4B4C49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6A632DDA">
            <w:pPr>
              <w:widowControl/>
              <w:adjustRightInd/>
              <w:snapToGrid/>
              <w:spacing w:line="240" w:lineRule="auto"/>
              <w:ind w:firstLine="0" w:firstLineChars="0"/>
              <w:jc w:val="center"/>
              <w:rPr>
                <w:color w:val="auto"/>
                <w:kern w:val="0"/>
                <w:sz w:val="21"/>
                <w:szCs w:val="21"/>
              </w:rPr>
            </w:pPr>
            <w:r>
              <w:rPr>
                <w:color w:val="auto"/>
                <w:kern w:val="0"/>
                <w:sz w:val="21"/>
                <w:szCs w:val="21"/>
              </w:rPr>
              <w:t>53</w:t>
            </w:r>
          </w:p>
        </w:tc>
        <w:tc>
          <w:tcPr>
            <w:tcW w:w="964" w:type="pct"/>
            <w:tcBorders>
              <w:tl2br w:val="nil"/>
              <w:tr2bl w:val="nil"/>
            </w:tcBorders>
            <w:vAlign w:val="center"/>
          </w:tcPr>
          <w:p w14:paraId="48FA6611">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75F43BF">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223977C9">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2D90E24D">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114D54C4">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549A7AB2">
            <w:pPr>
              <w:widowControl/>
              <w:adjustRightInd/>
              <w:snapToGrid/>
              <w:spacing w:line="240" w:lineRule="auto"/>
              <w:ind w:firstLine="0" w:firstLineChars="0"/>
              <w:jc w:val="center"/>
              <w:rPr>
                <w:color w:val="auto"/>
                <w:kern w:val="0"/>
                <w:sz w:val="21"/>
                <w:szCs w:val="21"/>
              </w:rPr>
            </w:pPr>
          </w:p>
        </w:tc>
      </w:tr>
      <w:tr w14:paraId="1CDF03E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3B8099AD">
            <w:pPr>
              <w:widowControl/>
              <w:adjustRightInd/>
              <w:snapToGrid/>
              <w:spacing w:line="240" w:lineRule="auto"/>
              <w:ind w:firstLine="0" w:firstLineChars="0"/>
              <w:jc w:val="center"/>
              <w:rPr>
                <w:color w:val="auto"/>
                <w:kern w:val="0"/>
                <w:sz w:val="21"/>
                <w:szCs w:val="21"/>
              </w:rPr>
            </w:pPr>
            <w:r>
              <w:rPr>
                <w:color w:val="auto"/>
                <w:kern w:val="0"/>
                <w:sz w:val="21"/>
                <w:szCs w:val="21"/>
              </w:rPr>
              <w:t>54</w:t>
            </w:r>
          </w:p>
        </w:tc>
        <w:tc>
          <w:tcPr>
            <w:tcW w:w="964" w:type="pct"/>
            <w:tcBorders>
              <w:tl2br w:val="nil"/>
              <w:tr2bl w:val="nil"/>
            </w:tcBorders>
            <w:vAlign w:val="center"/>
          </w:tcPr>
          <w:p w14:paraId="1AE01746">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F6A48A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6F15D628">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0266878C">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53C23D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65566106">
            <w:pPr>
              <w:widowControl/>
              <w:adjustRightInd/>
              <w:snapToGrid/>
              <w:spacing w:line="240" w:lineRule="auto"/>
              <w:ind w:firstLine="0" w:firstLineChars="0"/>
              <w:jc w:val="center"/>
              <w:rPr>
                <w:color w:val="auto"/>
                <w:kern w:val="0"/>
                <w:sz w:val="21"/>
                <w:szCs w:val="21"/>
              </w:rPr>
            </w:pPr>
          </w:p>
        </w:tc>
      </w:tr>
      <w:tr w14:paraId="64D13D0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3ED2E7A3">
            <w:pPr>
              <w:widowControl/>
              <w:adjustRightInd/>
              <w:snapToGrid/>
              <w:spacing w:line="240" w:lineRule="auto"/>
              <w:ind w:firstLine="0" w:firstLineChars="0"/>
              <w:jc w:val="center"/>
              <w:rPr>
                <w:color w:val="auto"/>
                <w:kern w:val="0"/>
                <w:sz w:val="21"/>
                <w:szCs w:val="21"/>
              </w:rPr>
            </w:pPr>
            <w:r>
              <w:rPr>
                <w:color w:val="auto"/>
                <w:kern w:val="0"/>
                <w:sz w:val="21"/>
                <w:szCs w:val="21"/>
              </w:rPr>
              <w:t>55</w:t>
            </w:r>
          </w:p>
        </w:tc>
        <w:tc>
          <w:tcPr>
            <w:tcW w:w="964" w:type="pct"/>
            <w:tcBorders>
              <w:tl2br w:val="nil"/>
              <w:tr2bl w:val="nil"/>
            </w:tcBorders>
            <w:vAlign w:val="center"/>
          </w:tcPr>
          <w:p w14:paraId="59754CE5">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211AB11">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D77B0E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7003E69D">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0945BB5A">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077FABBC">
            <w:pPr>
              <w:widowControl/>
              <w:adjustRightInd/>
              <w:snapToGrid/>
              <w:spacing w:line="240" w:lineRule="auto"/>
              <w:ind w:firstLine="0" w:firstLineChars="0"/>
              <w:jc w:val="center"/>
              <w:rPr>
                <w:color w:val="auto"/>
                <w:kern w:val="0"/>
                <w:sz w:val="21"/>
                <w:szCs w:val="21"/>
              </w:rPr>
            </w:pPr>
          </w:p>
        </w:tc>
      </w:tr>
      <w:tr w14:paraId="7C16FB0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1EB365BB">
            <w:pPr>
              <w:widowControl/>
              <w:adjustRightInd/>
              <w:snapToGrid/>
              <w:spacing w:line="240" w:lineRule="auto"/>
              <w:ind w:firstLine="0" w:firstLineChars="0"/>
              <w:jc w:val="center"/>
              <w:rPr>
                <w:color w:val="auto"/>
                <w:kern w:val="0"/>
                <w:sz w:val="21"/>
                <w:szCs w:val="21"/>
              </w:rPr>
            </w:pPr>
            <w:r>
              <w:rPr>
                <w:color w:val="auto"/>
                <w:kern w:val="0"/>
                <w:sz w:val="21"/>
                <w:szCs w:val="21"/>
              </w:rPr>
              <w:t>56</w:t>
            </w:r>
          </w:p>
        </w:tc>
        <w:tc>
          <w:tcPr>
            <w:tcW w:w="964" w:type="pct"/>
            <w:tcBorders>
              <w:tl2br w:val="nil"/>
              <w:tr2bl w:val="nil"/>
            </w:tcBorders>
            <w:vAlign w:val="center"/>
          </w:tcPr>
          <w:p w14:paraId="76E8BC7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155B751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5BFAD271">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A2E6B4A">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0679630F">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40690F8F">
            <w:pPr>
              <w:widowControl/>
              <w:adjustRightInd/>
              <w:snapToGrid/>
              <w:spacing w:line="240" w:lineRule="auto"/>
              <w:ind w:firstLine="0" w:firstLineChars="0"/>
              <w:jc w:val="center"/>
              <w:rPr>
                <w:color w:val="auto"/>
                <w:kern w:val="0"/>
                <w:sz w:val="21"/>
                <w:szCs w:val="21"/>
              </w:rPr>
            </w:pPr>
          </w:p>
        </w:tc>
      </w:tr>
      <w:tr w14:paraId="5F5632B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2069552A">
            <w:pPr>
              <w:widowControl/>
              <w:adjustRightInd/>
              <w:snapToGrid/>
              <w:spacing w:line="240" w:lineRule="auto"/>
              <w:ind w:firstLine="0" w:firstLineChars="0"/>
              <w:jc w:val="center"/>
              <w:rPr>
                <w:color w:val="auto"/>
                <w:kern w:val="0"/>
                <w:sz w:val="21"/>
                <w:szCs w:val="21"/>
              </w:rPr>
            </w:pPr>
            <w:r>
              <w:rPr>
                <w:color w:val="auto"/>
                <w:kern w:val="0"/>
                <w:sz w:val="21"/>
                <w:szCs w:val="21"/>
              </w:rPr>
              <w:t>57</w:t>
            </w:r>
          </w:p>
        </w:tc>
        <w:tc>
          <w:tcPr>
            <w:tcW w:w="964" w:type="pct"/>
            <w:tcBorders>
              <w:tl2br w:val="nil"/>
              <w:tr2bl w:val="nil"/>
            </w:tcBorders>
            <w:vAlign w:val="center"/>
          </w:tcPr>
          <w:p w14:paraId="6DABCF66">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8363D94">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3E44CCB">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6FE9793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29FC486">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03F35906">
            <w:pPr>
              <w:widowControl/>
              <w:adjustRightInd/>
              <w:snapToGrid/>
              <w:spacing w:line="240" w:lineRule="auto"/>
              <w:ind w:firstLine="0" w:firstLineChars="0"/>
              <w:jc w:val="center"/>
              <w:rPr>
                <w:color w:val="auto"/>
                <w:kern w:val="0"/>
                <w:sz w:val="21"/>
                <w:szCs w:val="21"/>
              </w:rPr>
            </w:pPr>
          </w:p>
        </w:tc>
      </w:tr>
      <w:tr w14:paraId="7D43189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0E15B5B1">
            <w:pPr>
              <w:widowControl/>
              <w:adjustRightInd/>
              <w:snapToGrid/>
              <w:spacing w:line="240" w:lineRule="auto"/>
              <w:ind w:firstLine="0" w:firstLineChars="0"/>
              <w:jc w:val="center"/>
              <w:rPr>
                <w:color w:val="auto"/>
                <w:kern w:val="0"/>
                <w:sz w:val="21"/>
                <w:szCs w:val="21"/>
              </w:rPr>
            </w:pPr>
            <w:r>
              <w:rPr>
                <w:color w:val="auto"/>
                <w:kern w:val="0"/>
                <w:sz w:val="21"/>
                <w:szCs w:val="21"/>
              </w:rPr>
              <w:t>58</w:t>
            </w:r>
          </w:p>
        </w:tc>
        <w:tc>
          <w:tcPr>
            <w:tcW w:w="964" w:type="pct"/>
            <w:tcBorders>
              <w:tl2br w:val="nil"/>
              <w:tr2bl w:val="nil"/>
            </w:tcBorders>
            <w:vAlign w:val="center"/>
          </w:tcPr>
          <w:p w14:paraId="702C447C">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03CB18C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23C264E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6D509627">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2DC20231">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472A8A31">
            <w:pPr>
              <w:widowControl/>
              <w:adjustRightInd/>
              <w:snapToGrid/>
              <w:spacing w:line="240" w:lineRule="auto"/>
              <w:ind w:firstLine="0" w:firstLineChars="0"/>
              <w:jc w:val="center"/>
              <w:rPr>
                <w:color w:val="auto"/>
                <w:kern w:val="0"/>
                <w:sz w:val="21"/>
                <w:szCs w:val="21"/>
              </w:rPr>
            </w:pPr>
          </w:p>
        </w:tc>
      </w:tr>
      <w:tr w14:paraId="67804D3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2668C418">
            <w:pPr>
              <w:widowControl/>
              <w:adjustRightInd/>
              <w:snapToGrid/>
              <w:spacing w:line="240" w:lineRule="auto"/>
              <w:ind w:firstLine="0" w:firstLineChars="0"/>
              <w:jc w:val="center"/>
              <w:rPr>
                <w:color w:val="auto"/>
                <w:kern w:val="0"/>
                <w:sz w:val="21"/>
                <w:szCs w:val="21"/>
              </w:rPr>
            </w:pPr>
            <w:r>
              <w:rPr>
                <w:color w:val="auto"/>
                <w:kern w:val="0"/>
                <w:sz w:val="21"/>
                <w:szCs w:val="21"/>
              </w:rPr>
              <w:t>59</w:t>
            </w:r>
          </w:p>
        </w:tc>
        <w:tc>
          <w:tcPr>
            <w:tcW w:w="964" w:type="pct"/>
            <w:tcBorders>
              <w:tl2br w:val="nil"/>
              <w:tr2bl w:val="nil"/>
            </w:tcBorders>
            <w:vAlign w:val="center"/>
          </w:tcPr>
          <w:p w14:paraId="26583AB9">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1772236">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1B1826FE">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B616690">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27DF5EAA">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28CA5805">
            <w:pPr>
              <w:widowControl/>
              <w:adjustRightInd/>
              <w:snapToGrid/>
              <w:spacing w:line="240" w:lineRule="auto"/>
              <w:ind w:firstLine="0" w:firstLineChars="0"/>
              <w:jc w:val="center"/>
              <w:rPr>
                <w:color w:val="auto"/>
                <w:kern w:val="0"/>
                <w:sz w:val="21"/>
                <w:szCs w:val="21"/>
              </w:rPr>
            </w:pPr>
          </w:p>
        </w:tc>
      </w:tr>
      <w:tr w14:paraId="36B66EA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4B2E3CE9">
            <w:pPr>
              <w:widowControl/>
              <w:adjustRightInd/>
              <w:snapToGrid/>
              <w:spacing w:line="240" w:lineRule="auto"/>
              <w:ind w:firstLine="0" w:firstLineChars="0"/>
              <w:jc w:val="center"/>
              <w:rPr>
                <w:color w:val="auto"/>
                <w:kern w:val="0"/>
                <w:sz w:val="21"/>
                <w:szCs w:val="21"/>
              </w:rPr>
            </w:pPr>
            <w:r>
              <w:rPr>
                <w:color w:val="auto"/>
                <w:kern w:val="0"/>
                <w:sz w:val="21"/>
                <w:szCs w:val="21"/>
              </w:rPr>
              <w:t>60</w:t>
            </w:r>
          </w:p>
        </w:tc>
        <w:tc>
          <w:tcPr>
            <w:tcW w:w="964" w:type="pct"/>
            <w:tcBorders>
              <w:tl2br w:val="nil"/>
              <w:tr2bl w:val="nil"/>
            </w:tcBorders>
            <w:vAlign w:val="center"/>
          </w:tcPr>
          <w:p w14:paraId="19F9CEDA">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7BBE66C0">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59F4369">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0AB4C5E8">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78E0A9D">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3A8D0990">
            <w:pPr>
              <w:widowControl/>
              <w:adjustRightInd/>
              <w:snapToGrid/>
              <w:spacing w:line="240" w:lineRule="auto"/>
              <w:ind w:firstLine="0" w:firstLineChars="0"/>
              <w:jc w:val="center"/>
              <w:rPr>
                <w:color w:val="auto"/>
                <w:kern w:val="0"/>
                <w:sz w:val="21"/>
                <w:szCs w:val="21"/>
              </w:rPr>
            </w:pPr>
          </w:p>
        </w:tc>
      </w:tr>
      <w:tr w14:paraId="3D18A05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05C3A54D">
            <w:pPr>
              <w:widowControl/>
              <w:adjustRightInd/>
              <w:snapToGrid/>
              <w:spacing w:line="240" w:lineRule="auto"/>
              <w:ind w:firstLine="0" w:firstLineChars="0"/>
              <w:jc w:val="center"/>
              <w:rPr>
                <w:color w:val="auto"/>
                <w:kern w:val="0"/>
                <w:sz w:val="21"/>
                <w:szCs w:val="21"/>
              </w:rPr>
            </w:pPr>
            <w:r>
              <w:rPr>
                <w:color w:val="auto"/>
                <w:kern w:val="0"/>
                <w:sz w:val="21"/>
                <w:szCs w:val="21"/>
              </w:rPr>
              <w:t>61</w:t>
            </w:r>
          </w:p>
        </w:tc>
        <w:tc>
          <w:tcPr>
            <w:tcW w:w="964" w:type="pct"/>
            <w:tcBorders>
              <w:tl2br w:val="nil"/>
              <w:tr2bl w:val="nil"/>
            </w:tcBorders>
            <w:vAlign w:val="center"/>
          </w:tcPr>
          <w:p w14:paraId="55C4F988">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4C28C49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EAFD31C">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3FBF2C1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C727A8F">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07892310">
            <w:pPr>
              <w:widowControl/>
              <w:adjustRightInd/>
              <w:snapToGrid/>
              <w:spacing w:line="240" w:lineRule="auto"/>
              <w:ind w:firstLine="0" w:firstLineChars="0"/>
              <w:jc w:val="center"/>
              <w:rPr>
                <w:color w:val="auto"/>
                <w:kern w:val="0"/>
                <w:sz w:val="21"/>
                <w:szCs w:val="21"/>
              </w:rPr>
            </w:pPr>
          </w:p>
        </w:tc>
      </w:tr>
      <w:tr w14:paraId="68A5E7A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266B5572">
            <w:pPr>
              <w:widowControl/>
              <w:adjustRightInd/>
              <w:snapToGrid/>
              <w:spacing w:line="240" w:lineRule="auto"/>
              <w:ind w:firstLine="0" w:firstLineChars="0"/>
              <w:jc w:val="center"/>
              <w:rPr>
                <w:color w:val="auto"/>
                <w:kern w:val="0"/>
                <w:sz w:val="21"/>
                <w:szCs w:val="21"/>
              </w:rPr>
            </w:pPr>
            <w:r>
              <w:rPr>
                <w:color w:val="auto"/>
                <w:kern w:val="0"/>
                <w:sz w:val="21"/>
                <w:szCs w:val="21"/>
              </w:rPr>
              <w:t>62</w:t>
            </w:r>
          </w:p>
        </w:tc>
        <w:tc>
          <w:tcPr>
            <w:tcW w:w="964" w:type="pct"/>
            <w:tcBorders>
              <w:tl2br w:val="nil"/>
              <w:tr2bl w:val="nil"/>
            </w:tcBorders>
            <w:vAlign w:val="center"/>
          </w:tcPr>
          <w:p w14:paraId="021D184A">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62723D9D">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6728BEF4">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18872152">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5CDE0C0A">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4DC50A11">
            <w:pPr>
              <w:widowControl/>
              <w:adjustRightInd/>
              <w:snapToGrid/>
              <w:spacing w:line="240" w:lineRule="auto"/>
              <w:ind w:firstLine="0" w:firstLineChars="0"/>
              <w:jc w:val="center"/>
              <w:rPr>
                <w:color w:val="auto"/>
                <w:kern w:val="0"/>
                <w:sz w:val="21"/>
                <w:szCs w:val="21"/>
              </w:rPr>
            </w:pPr>
          </w:p>
        </w:tc>
      </w:tr>
      <w:tr w14:paraId="31F07B0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3D782EB4">
            <w:pPr>
              <w:widowControl/>
              <w:adjustRightInd/>
              <w:snapToGrid/>
              <w:spacing w:line="240" w:lineRule="auto"/>
              <w:ind w:firstLine="0" w:firstLineChars="0"/>
              <w:jc w:val="center"/>
              <w:rPr>
                <w:color w:val="auto"/>
                <w:kern w:val="0"/>
                <w:sz w:val="21"/>
                <w:szCs w:val="21"/>
              </w:rPr>
            </w:pPr>
            <w:r>
              <w:rPr>
                <w:color w:val="auto"/>
                <w:kern w:val="0"/>
                <w:sz w:val="21"/>
                <w:szCs w:val="21"/>
              </w:rPr>
              <w:t>63</w:t>
            </w:r>
          </w:p>
        </w:tc>
        <w:tc>
          <w:tcPr>
            <w:tcW w:w="964" w:type="pct"/>
            <w:tcBorders>
              <w:tl2br w:val="nil"/>
              <w:tr2bl w:val="nil"/>
            </w:tcBorders>
            <w:vAlign w:val="center"/>
          </w:tcPr>
          <w:p w14:paraId="0F8A2E2D">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3AE09707">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49A17877">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6FF6BA34">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757E4306">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3B931A26">
            <w:pPr>
              <w:widowControl/>
              <w:adjustRightInd/>
              <w:snapToGrid/>
              <w:spacing w:line="240" w:lineRule="auto"/>
              <w:ind w:firstLine="0" w:firstLineChars="0"/>
              <w:jc w:val="center"/>
              <w:rPr>
                <w:color w:val="auto"/>
                <w:kern w:val="0"/>
                <w:sz w:val="21"/>
                <w:szCs w:val="21"/>
              </w:rPr>
            </w:pPr>
          </w:p>
        </w:tc>
      </w:tr>
      <w:tr w14:paraId="6833EB5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06161703">
            <w:pPr>
              <w:widowControl/>
              <w:adjustRightInd/>
              <w:snapToGrid/>
              <w:spacing w:line="240" w:lineRule="auto"/>
              <w:ind w:firstLine="0" w:firstLineChars="0"/>
              <w:jc w:val="center"/>
              <w:rPr>
                <w:color w:val="auto"/>
                <w:kern w:val="0"/>
                <w:sz w:val="21"/>
                <w:szCs w:val="21"/>
              </w:rPr>
            </w:pPr>
            <w:r>
              <w:rPr>
                <w:color w:val="auto"/>
                <w:kern w:val="0"/>
                <w:sz w:val="21"/>
                <w:szCs w:val="21"/>
              </w:rPr>
              <w:t>64</w:t>
            </w:r>
          </w:p>
        </w:tc>
        <w:tc>
          <w:tcPr>
            <w:tcW w:w="964" w:type="pct"/>
            <w:tcBorders>
              <w:tl2br w:val="nil"/>
              <w:tr2bl w:val="nil"/>
            </w:tcBorders>
            <w:vAlign w:val="center"/>
          </w:tcPr>
          <w:p w14:paraId="2DA9BB4C">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36DE926B">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0F36DE7D">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14D3D4A4">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45A6D243">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640A1A9F">
            <w:pPr>
              <w:widowControl/>
              <w:adjustRightInd/>
              <w:snapToGrid/>
              <w:spacing w:line="240" w:lineRule="auto"/>
              <w:ind w:firstLine="0" w:firstLineChars="0"/>
              <w:jc w:val="center"/>
              <w:rPr>
                <w:color w:val="auto"/>
                <w:kern w:val="0"/>
                <w:sz w:val="21"/>
                <w:szCs w:val="21"/>
              </w:rPr>
            </w:pPr>
          </w:p>
        </w:tc>
      </w:tr>
      <w:tr w14:paraId="4D5D67D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19" w:type="pct"/>
            <w:tcBorders>
              <w:tl2br w:val="nil"/>
              <w:tr2bl w:val="nil"/>
            </w:tcBorders>
            <w:vAlign w:val="center"/>
          </w:tcPr>
          <w:p w14:paraId="3E526958">
            <w:pPr>
              <w:widowControl/>
              <w:adjustRightInd/>
              <w:snapToGrid/>
              <w:spacing w:line="240" w:lineRule="auto"/>
              <w:ind w:firstLine="0" w:firstLineChars="0"/>
              <w:jc w:val="center"/>
              <w:rPr>
                <w:color w:val="auto"/>
                <w:kern w:val="0"/>
                <w:sz w:val="21"/>
                <w:szCs w:val="21"/>
              </w:rPr>
            </w:pPr>
            <w:r>
              <w:rPr>
                <w:color w:val="auto"/>
                <w:kern w:val="0"/>
                <w:sz w:val="21"/>
                <w:szCs w:val="21"/>
              </w:rPr>
              <w:t>65</w:t>
            </w:r>
          </w:p>
        </w:tc>
        <w:tc>
          <w:tcPr>
            <w:tcW w:w="964" w:type="pct"/>
            <w:tcBorders>
              <w:tl2br w:val="nil"/>
              <w:tr2bl w:val="nil"/>
            </w:tcBorders>
            <w:vAlign w:val="center"/>
          </w:tcPr>
          <w:p w14:paraId="2B188D9D">
            <w:pPr>
              <w:widowControl/>
              <w:adjustRightInd/>
              <w:snapToGrid/>
              <w:spacing w:line="240" w:lineRule="auto"/>
              <w:ind w:firstLine="0" w:firstLineChars="0"/>
              <w:jc w:val="center"/>
              <w:rPr>
                <w:color w:val="auto"/>
                <w:kern w:val="0"/>
                <w:sz w:val="21"/>
                <w:szCs w:val="21"/>
              </w:rPr>
            </w:pPr>
          </w:p>
        </w:tc>
        <w:tc>
          <w:tcPr>
            <w:tcW w:w="1142" w:type="pct"/>
            <w:tcBorders>
              <w:tl2br w:val="nil"/>
              <w:tr2bl w:val="nil"/>
            </w:tcBorders>
            <w:vAlign w:val="center"/>
          </w:tcPr>
          <w:p w14:paraId="53D8925C">
            <w:pPr>
              <w:widowControl/>
              <w:adjustRightInd/>
              <w:snapToGrid/>
              <w:spacing w:line="240" w:lineRule="auto"/>
              <w:ind w:firstLine="0" w:firstLineChars="0"/>
              <w:jc w:val="center"/>
              <w:rPr>
                <w:color w:val="auto"/>
                <w:kern w:val="0"/>
                <w:sz w:val="21"/>
                <w:szCs w:val="21"/>
              </w:rPr>
            </w:pPr>
          </w:p>
        </w:tc>
        <w:tc>
          <w:tcPr>
            <w:tcW w:w="493" w:type="pct"/>
            <w:tcBorders>
              <w:tl2br w:val="nil"/>
              <w:tr2bl w:val="nil"/>
            </w:tcBorders>
            <w:vAlign w:val="center"/>
          </w:tcPr>
          <w:p w14:paraId="383B1A19">
            <w:pPr>
              <w:widowControl/>
              <w:adjustRightInd/>
              <w:snapToGrid/>
              <w:spacing w:line="240" w:lineRule="auto"/>
              <w:ind w:firstLine="0" w:firstLineChars="0"/>
              <w:jc w:val="center"/>
              <w:rPr>
                <w:color w:val="auto"/>
                <w:kern w:val="0"/>
                <w:sz w:val="21"/>
                <w:szCs w:val="21"/>
              </w:rPr>
            </w:pPr>
          </w:p>
        </w:tc>
        <w:tc>
          <w:tcPr>
            <w:tcW w:w="955" w:type="pct"/>
            <w:tcBorders>
              <w:tl2br w:val="nil"/>
              <w:tr2bl w:val="nil"/>
            </w:tcBorders>
            <w:vAlign w:val="center"/>
          </w:tcPr>
          <w:p w14:paraId="2DE5B729">
            <w:pPr>
              <w:widowControl/>
              <w:adjustRightInd/>
              <w:snapToGrid/>
              <w:spacing w:line="240" w:lineRule="auto"/>
              <w:ind w:firstLine="0" w:firstLineChars="0"/>
              <w:jc w:val="center"/>
              <w:rPr>
                <w:color w:val="auto"/>
                <w:kern w:val="0"/>
                <w:sz w:val="21"/>
                <w:szCs w:val="21"/>
              </w:rPr>
            </w:pPr>
          </w:p>
        </w:tc>
        <w:tc>
          <w:tcPr>
            <w:tcW w:w="691" w:type="pct"/>
            <w:tcBorders>
              <w:tl2br w:val="nil"/>
              <w:tr2bl w:val="nil"/>
            </w:tcBorders>
            <w:vAlign w:val="center"/>
          </w:tcPr>
          <w:p w14:paraId="6A668DAD">
            <w:pPr>
              <w:widowControl/>
              <w:adjustRightInd/>
              <w:snapToGrid/>
              <w:spacing w:line="240" w:lineRule="auto"/>
              <w:ind w:firstLine="0" w:firstLineChars="0"/>
              <w:jc w:val="center"/>
              <w:rPr>
                <w:color w:val="auto"/>
                <w:kern w:val="0"/>
                <w:sz w:val="21"/>
                <w:szCs w:val="21"/>
              </w:rPr>
            </w:pPr>
          </w:p>
        </w:tc>
        <w:tc>
          <w:tcPr>
            <w:tcW w:w="434" w:type="pct"/>
            <w:tcBorders>
              <w:tl2br w:val="nil"/>
              <w:tr2bl w:val="nil"/>
            </w:tcBorders>
            <w:vAlign w:val="center"/>
          </w:tcPr>
          <w:p w14:paraId="056F2AC3">
            <w:pPr>
              <w:widowControl/>
              <w:adjustRightInd/>
              <w:snapToGrid/>
              <w:spacing w:line="240" w:lineRule="auto"/>
              <w:ind w:firstLine="0" w:firstLineChars="0"/>
              <w:jc w:val="center"/>
              <w:rPr>
                <w:color w:val="auto"/>
                <w:kern w:val="0"/>
                <w:sz w:val="21"/>
                <w:szCs w:val="21"/>
              </w:rPr>
            </w:pPr>
          </w:p>
        </w:tc>
      </w:tr>
    </w:tbl>
    <w:p w14:paraId="3796EC78">
      <w:pPr>
        <w:pStyle w:val="4"/>
        <w:rPr>
          <w:color w:val="auto"/>
        </w:rPr>
      </w:pPr>
      <w:bookmarkStart w:id="137" w:name="_Toc31461"/>
      <w:r>
        <w:rPr>
          <w:rFonts w:hint="eastAsia"/>
          <w:color w:val="auto"/>
        </w:rPr>
        <w:t>4.4.4物料平衡</w:t>
      </w:r>
      <w:bookmarkEnd w:id="137"/>
    </w:p>
    <w:p w14:paraId="0234BA4D">
      <w:pPr>
        <w:pStyle w:val="5"/>
        <w:numPr>
          <w:ilvl w:val="0"/>
          <w:numId w:val="6"/>
        </w:numPr>
        <w:spacing w:before="156" w:after="156" w:afterLines="50"/>
        <w:rPr>
          <w:color w:val="auto"/>
        </w:rPr>
      </w:pPr>
      <w:r>
        <w:rPr>
          <w:color w:val="auto"/>
        </w:rPr>
        <w:t>生产物料平衡</w:t>
      </w:r>
    </w:p>
    <w:p w14:paraId="605AB8F7">
      <w:pPr>
        <w:pStyle w:val="6"/>
        <w:spacing w:before="156"/>
        <w:ind w:firstLine="482"/>
        <w:rPr>
          <w:color w:val="auto"/>
        </w:rPr>
      </w:pPr>
      <w:r>
        <w:rPr>
          <w:rFonts w:hint="eastAsia"/>
          <w:color w:val="auto"/>
        </w:rPr>
        <w:t>1.1亚硫酸钾生产物料平衡</w:t>
      </w:r>
    </w:p>
    <w:p w14:paraId="1DF5BE8F">
      <w:pPr>
        <w:ind w:firstLine="480"/>
        <w:rPr>
          <w:rFonts w:hint="eastAsia" w:hAnsi="宋体"/>
          <w:color w:val="auto"/>
        </w:rPr>
      </w:pPr>
      <w:r>
        <w:rPr>
          <w:rFonts w:hint="eastAsia" w:hAnsi="宋体"/>
          <w:color w:val="auto"/>
        </w:rPr>
        <w:t>亚硫酸钾年生产时间为7200h，单批次生产4.2h，全年生产1703批次。亚硫酸钾</w:t>
      </w:r>
      <w:r>
        <w:rPr>
          <w:rFonts w:hAnsi="宋体"/>
          <w:color w:val="auto"/>
        </w:rPr>
        <w:t>单批次、一年投入产出统计分别见表4.</w:t>
      </w:r>
      <w:r>
        <w:rPr>
          <w:rFonts w:hint="eastAsia" w:hAnsi="宋体"/>
          <w:color w:val="auto"/>
        </w:rPr>
        <w:t>4</w:t>
      </w:r>
      <w:r>
        <w:rPr>
          <w:rFonts w:hAnsi="宋体"/>
          <w:color w:val="auto"/>
        </w:rPr>
        <w:t>-7、4.</w:t>
      </w:r>
      <w:r>
        <w:rPr>
          <w:rFonts w:hint="eastAsia" w:hAnsi="宋体"/>
          <w:color w:val="auto"/>
        </w:rPr>
        <w:t>4</w:t>
      </w:r>
      <w:r>
        <w:rPr>
          <w:rFonts w:hAnsi="宋体"/>
          <w:color w:val="auto"/>
        </w:rPr>
        <w:t>-8。物料平衡图见图4.</w:t>
      </w:r>
      <w:r>
        <w:rPr>
          <w:rFonts w:hint="eastAsia" w:hAnsi="宋体"/>
          <w:color w:val="auto"/>
        </w:rPr>
        <w:t>4-9</w:t>
      </w:r>
      <w:r>
        <w:rPr>
          <w:rFonts w:hAnsi="宋体"/>
          <w:color w:val="auto"/>
        </w:rPr>
        <w:t>。</w:t>
      </w:r>
    </w:p>
    <w:p w14:paraId="472FE602">
      <w:pPr>
        <w:spacing w:line="240" w:lineRule="auto"/>
        <w:ind w:firstLine="0" w:firstLineChars="0"/>
        <w:jc w:val="center"/>
        <w:rPr>
          <w:b/>
          <w:bCs/>
          <w:color w:val="auto"/>
        </w:rPr>
      </w:pPr>
      <w:r>
        <w:rPr>
          <w:rFonts w:hint="eastAsia"/>
          <w:b/>
          <w:bCs/>
          <w:color w:val="auto"/>
        </w:rPr>
        <w:t>表4.4-7  亚硫酸钾生产物料投入--产出表</w:t>
      </w:r>
      <w:r>
        <w:rPr>
          <w:b/>
          <w:color w:val="auto"/>
        </w:rPr>
        <w:t>（kg/（批·釜））</w:t>
      </w:r>
    </w:p>
    <w:tbl>
      <w:tblPr>
        <w:tblStyle w:val="25"/>
        <w:tblW w:w="4999"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57"/>
        <w:gridCol w:w="1177"/>
        <w:gridCol w:w="873"/>
        <w:gridCol w:w="875"/>
        <w:gridCol w:w="1624"/>
        <w:gridCol w:w="1230"/>
        <w:gridCol w:w="1372"/>
        <w:gridCol w:w="1344"/>
      </w:tblGrid>
      <w:tr w14:paraId="7B9213E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86" w:type="pct"/>
            <w:gridSpan w:val="2"/>
            <w:tcBorders>
              <w:tl2br w:val="nil"/>
              <w:tr2bl w:val="nil"/>
            </w:tcBorders>
            <w:vAlign w:val="center"/>
          </w:tcPr>
          <w:p w14:paraId="631531E0">
            <w:pPr>
              <w:spacing w:line="240" w:lineRule="auto"/>
              <w:ind w:firstLine="0" w:firstLineChars="0"/>
              <w:jc w:val="center"/>
              <w:rPr>
                <w:b/>
                <w:bCs/>
                <w:color w:val="auto"/>
                <w:sz w:val="21"/>
              </w:rPr>
            </w:pPr>
            <w:r>
              <w:rPr>
                <w:rFonts w:hint="eastAsia"/>
                <w:b/>
                <w:bCs/>
                <w:color w:val="auto"/>
                <w:sz w:val="21"/>
              </w:rPr>
              <w:t>投入</w:t>
            </w:r>
          </w:p>
        </w:tc>
        <w:tc>
          <w:tcPr>
            <w:tcW w:w="3713" w:type="pct"/>
            <w:gridSpan w:val="6"/>
            <w:tcBorders>
              <w:tl2br w:val="nil"/>
              <w:tr2bl w:val="nil"/>
            </w:tcBorders>
            <w:vAlign w:val="center"/>
          </w:tcPr>
          <w:p w14:paraId="4D2A4B01">
            <w:pPr>
              <w:spacing w:line="240" w:lineRule="auto"/>
              <w:ind w:firstLine="0" w:firstLineChars="0"/>
              <w:jc w:val="center"/>
              <w:rPr>
                <w:b/>
                <w:bCs/>
                <w:color w:val="auto"/>
                <w:sz w:val="21"/>
              </w:rPr>
            </w:pPr>
            <w:r>
              <w:rPr>
                <w:rFonts w:hint="eastAsia"/>
                <w:b/>
                <w:bCs/>
                <w:color w:val="auto"/>
                <w:sz w:val="21"/>
              </w:rPr>
              <w:t>产出</w:t>
            </w:r>
          </w:p>
        </w:tc>
      </w:tr>
      <w:tr w14:paraId="2AAFDFD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23FB5B82">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597" w:type="pct"/>
            <w:tcBorders>
              <w:tl2br w:val="nil"/>
              <w:tr2bl w:val="nil"/>
            </w:tcBorders>
            <w:vAlign w:val="center"/>
          </w:tcPr>
          <w:p w14:paraId="1BE4723B">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43" w:type="pct"/>
            <w:tcBorders>
              <w:tl2br w:val="nil"/>
              <w:tr2bl w:val="nil"/>
            </w:tcBorders>
            <w:vAlign w:val="center"/>
          </w:tcPr>
          <w:p w14:paraId="7948C64B">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43" w:type="pct"/>
            <w:tcBorders>
              <w:tl2br w:val="nil"/>
              <w:tr2bl w:val="nil"/>
            </w:tcBorders>
            <w:vAlign w:val="center"/>
          </w:tcPr>
          <w:p w14:paraId="47154953">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448" w:type="pct"/>
            <w:gridSpan w:val="2"/>
            <w:tcBorders>
              <w:tl2br w:val="nil"/>
              <w:tr2bl w:val="nil"/>
            </w:tcBorders>
            <w:vAlign w:val="center"/>
          </w:tcPr>
          <w:p w14:paraId="4F9B9368">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377" w:type="pct"/>
            <w:gridSpan w:val="2"/>
            <w:tcBorders>
              <w:tl2br w:val="nil"/>
              <w:tr2bl w:val="nil"/>
            </w:tcBorders>
            <w:vAlign w:val="center"/>
          </w:tcPr>
          <w:p w14:paraId="301E88BF">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092D8CE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3454B4D3">
            <w:pPr>
              <w:widowControl/>
              <w:spacing w:line="240" w:lineRule="auto"/>
              <w:ind w:firstLine="0" w:firstLineChars="0"/>
              <w:jc w:val="center"/>
              <w:textAlignment w:val="center"/>
              <w:rPr>
                <w:color w:val="auto"/>
                <w:sz w:val="21"/>
              </w:rPr>
            </w:pPr>
          </w:p>
        </w:tc>
        <w:tc>
          <w:tcPr>
            <w:tcW w:w="1177" w:type="dxa"/>
            <w:tcBorders>
              <w:tl2br w:val="nil"/>
              <w:tr2bl w:val="nil"/>
            </w:tcBorders>
            <w:vAlign w:val="center"/>
          </w:tcPr>
          <w:p w14:paraId="50FF7F9E">
            <w:pPr>
              <w:spacing w:line="240" w:lineRule="auto"/>
              <w:ind w:firstLine="0" w:firstLineChars="0"/>
              <w:jc w:val="center"/>
              <w:rPr>
                <w:color w:val="auto"/>
                <w:sz w:val="21"/>
              </w:rPr>
            </w:pPr>
          </w:p>
        </w:tc>
        <w:tc>
          <w:tcPr>
            <w:tcW w:w="887" w:type="pct"/>
            <w:gridSpan w:val="2"/>
            <w:vMerge w:val="restart"/>
            <w:tcBorders>
              <w:tl2br w:val="nil"/>
              <w:tr2bl w:val="nil"/>
            </w:tcBorders>
            <w:vAlign w:val="center"/>
          </w:tcPr>
          <w:p w14:paraId="2B0C4998">
            <w:pPr>
              <w:spacing w:line="240" w:lineRule="auto"/>
              <w:ind w:firstLine="0" w:firstLineChars="0"/>
              <w:jc w:val="center"/>
              <w:rPr>
                <w:color w:val="auto"/>
                <w:sz w:val="21"/>
              </w:rPr>
            </w:pPr>
          </w:p>
        </w:tc>
        <w:tc>
          <w:tcPr>
            <w:tcW w:w="824" w:type="pct"/>
            <w:vMerge w:val="restart"/>
            <w:tcBorders>
              <w:tl2br w:val="nil"/>
              <w:tr2bl w:val="nil"/>
            </w:tcBorders>
            <w:vAlign w:val="center"/>
          </w:tcPr>
          <w:p w14:paraId="7D8C2D45">
            <w:pPr>
              <w:spacing w:line="240" w:lineRule="auto"/>
              <w:ind w:firstLine="0" w:firstLineChars="0"/>
              <w:jc w:val="center"/>
              <w:rPr>
                <w:color w:val="auto"/>
                <w:sz w:val="21"/>
              </w:rPr>
            </w:pPr>
          </w:p>
        </w:tc>
        <w:tc>
          <w:tcPr>
            <w:tcW w:w="623" w:type="pct"/>
            <w:tcBorders>
              <w:tl2br w:val="nil"/>
              <w:tr2bl w:val="nil"/>
            </w:tcBorders>
            <w:vAlign w:val="center"/>
          </w:tcPr>
          <w:p w14:paraId="6A1AFE8B">
            <w:pPr>
              <w:widowControl/>
              <w:spacing w:line="240" w:lineRule="auto"/>
              <w:ind w:firstLine="0" w:firstLineChars="0"/>
              <w:jc w:val="center"/>
              <w:textAlignment w:val="center"/>
              <w:rPr>
                <w:color w:val="auto"/>
                <w:sz w:val="21"/>
              </w:rPr>
            </w:pPr>
          </w:p>
        </w:tc>
        <w:tc>
          <w:tcPr>
            <w:tcW w:w="1372" w:type="dxa"/>
            <w:tcBorders>
              <w:tl2br w:val="nil"/>
              <w:tr2bl w:val="nil"/>
            </w:tcBorders>
            <w:vAlign w:val="center"/>
          </w:tcPr>
          <w:p w14:paraId="467125FB">
            <w:pPr>
              <w:spacing w:line="240" w:lineRule="auto"/>
              <w:ind w:firstLine="0" w:firstLineChars="0"/>
              <w:jc w:val="center"/>
              <w:rPr>
                <w:color w:val="auto"/>
                <w:sz w:val="21"/>
              </w:rPr>
            </w:pPr>
          </w:p>
        </w:tc>
        <w:tc>
          <w:tcPr>
            <w:tcW w:w="1344" w:type="dxa"/>
            <w:vMerge w:val="restart"/>
            <w:tcBorders>
              <w:tl2br w:val="nil"/>
              <w:tr2bl w:val="nil"/>
            </w:tcBorders>
            <w:vAlign w:val="center"/>
          </w:tcPr>
          <w:p w14:paraId="68A87EC9">
            <w:pPr>
              <w:spacing w:line="240" w:lineRule="auto"/>
              <w:ind w:firstLine="0" w:firstLineChars="0"/>
              <w:jc w:val="center"/>
              <w:rPr>
                <w:color w:val="auto"/>
                <w:sz w:val="21"/>
              </w:rPr>
            </w:pPr>
          </w:p>
        </w:tc>
      </w:tr>
      <w:tr w14:paraId="5C213CE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2C4CD228">
            <w:pPr>
              <w:widowControl/>
              <w:spacing w:line="240" w:lineRule="auto"/>
              <w:ind w:firstLine="0" w:firstLineChars="0"/>
              <w:jc w:val="center"/>
              <w:textAlignment w:val="center"/>
              <w:rPr>
                <w:color w:val="auto"/>
                <w:sz w:val="21"/>
              </w:rPr>
            </w:pPr>
          </w:p>
        </w:tc>
        <w:tc>
          <w:tcPr>
            <w:tcW w:w="1177" w:type="dxa"/>
            <w:tcBorders>
              <w:tl2br w:val="nil"/>
              <w:tr2bl w:val="nil"/>
            </w:tcBorders>
            <w:vAlign w:val="center"/>
          </w:tcPr>
          <w:p w14:paraId="44AC0841">
            <w:pPr>
              <w:spacing w:line="240" w:lineRule="auto"/>
              <w:ind w:firstLine="0" w:firstLineChars="0"/>
              <w:jc w:val="center"/>
              <w:rPr>
                <w:color w:val="auto"/>
                <w:sz w:val="21"/>
              </w:rPr>
            </w:pPr>
          </w:p>
        </w:tc>
        <w:tc>
          <w:tcPr>
            <w:tcW w:w="887" w:type="pct"/>
            <w:gridSpan w:val="2"/>
            <w:vMerge w:val="continue"/>
            <w:tcBorders>
              <w:tl2br w:val="nil"/>
              <w:tr2bl w:val="nil"/>
            </w:tcBorders>
            <w:vAlign w:val="center"/>
          </w:tcPr>
          <w:p w14:paraId="473FC40F">
            <w:pPr>
              <w:spacing w:line="240" w:lineRule="auto"/>
              <w:ind w:firstLine="0" w:firstLineChars="0"/>
              <w:jc w:val="center"/>
              <w:rPr>
                <w:color w:val="auto"/>
                <w:sz w:val="21"/>
              </w:rPr>
            </w:pPr>
          </w:p>
        </w:tc>
        <w:tc>
          <w:tcPr>
            <w:tcW w:w="824" w:type="pct"/>
            <w:vMerge w:val="continue"/>
            <w:tcBorders>
              <w:tl2br w:val="nil"/>
              <w:tr2bl w:val="nil"/>
            </w:tcBorders>
            <w:vAlign w:val="center"/>
          </w:tcPr>
          <w:p w14:paraId="1D08E51F">
            <w:pPr>
              <w:spacing w:line="240" w:lineRule="auto"/>
              <w:ind w:firstLine="0" w:firstLineChars="0"/>
              <w:jc w:val="center"/>
              <w:rPr>
                <w:color w:val="auto"/>
                <w:sz w:val="21"/>
              </w:rPr>
            </w:pPr>
          </w:p>
        </w:tc>
        <w:tc>
          <w:tcPr>
            <w:tcW w:w="623" w:type="pct"/>
            <w:tcBorders>
              <w:tl2br w:val="nil"/>
              <w:tr2bl w:val="nil"/>
            </w:tcBorders>
            <w:vAlign w:val="center"/>
          </w:tcPr>
          <w:p w14:paraId="660EA3F2">
            <w:pPr>
              <w:widowControl/>
              <w:spacing w:line="240" w:lineRule="auto"/>
              <w:ind w:firstLine="0" w:firstLineChars="0"/>
              <w:jc w:val="center"/>
              <w:textAlignment w:val="center"/>
              <w:rPr>
                <w:color w:val="auto"/>
                <w:sz w:val="21"/>
              </w:rPr>
            </w:pPr>
          </w:p>
        </w:tc>
        <w:tc>
          <w:tcPr>
            <w:tcW w:w="1372" w:type="dxa"/>
            <w:tcBorders>
              <w:tl2br w:val="nil"/>
              <w:tr2bl w:val="nil"/>
            </w:tcBorders>
            <w:vAlign w:val="center"/>
          </w:tcPr>
          <w:p w14:paraId="19053FA1">
            <w:pPr>
              <w:spacing w:line="240" w:lineRule="auto"/>
              <w:ind w:firstLine="0" w:firstLineChars="0"/>
              <w:jc w:val="center"/>
              <w:rPr>
                <w:color w:val="auto"/>
                <w:sz w:val="21"/>
              </w:rPr>
            </w:pPr>
          </w:p>
        </w:tc>
        <w:tc>
          <w:tcPr>
            <w:tcW w:w="681" w:type="pct"/>
            <w:vMerge w:val="continue"/>
            <w:tcBorders>
              <w:tl2br w:val="nil"/>
              <w:tr2bl w:val="nil"/>
            </w:tcBorders>
            <w:vAlign w:val="center"/>
          </w:tcPr>
          <w:p w14:paraId="5005EDF4">
            <w:pPr>
              <w:spacing w:line="240" w:lineRule="auto"/>
              <w:ind w:firstLine="0" w:firstLineChars="0"/>
              <w:jc w:val="center"/>
              <w:rPr>
                <w:color w:val="auto"/>
                <w:sz w:val="21"/>
              </w:rPr>
            </w:pPr>
          </w:p>
        </w:tc>
      </w:tr>
      <w:tr w14:paraId="400F640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59D2F0CB">
            <w:pPr>
              <w:widowControl/>
              <w:spacing w:line="240" w:lineRule="auto"/>
              <w:ind w:firstLine="0" w:firstLineChars="0"/>
              <w:jc w:val="center"/>
              <w:textAlignment w:val="center"/>
              <w:rPr>
                <w:color w:val="auto"/>
                <w:sz w:val="21"/>
              </w:rPr>
            </w:pPr>
          </w:p>
        </w:tc>
        <w:tc>
          <w:tcPr>
            <w:tcW w:w="1177" w:type="dxa"/>
            <w:tcBorders>
              <w:tl2br w:val="nil"/>
              <w:tr2bl w:val="nil"/>
            </w:tcBorders>
            <w:vAlign w:val="center"/>
          </w:tcPr>
          <w:p w14:paraId="1B763C49">
            <w:pPr>
              <w:spacing w:line="240" w:lineRule="auto"/>
              <w:ind w:firstLine="0" w:firstLineChars="0"/>
              <w:jc w:val="center"/>
              <w:rPr>
                <w:color w:val="auto"/>
                <w:sz w:val="21"/>
              </w:rPr>
            </w:pPr>
          </w:p>
        </w:tc>
        <w:tc>
          <w:tcPr>
            <w:tcW w:w="887" w:type="pct"/>
            <w:gridSpan w:val="2"/>
            <w:vMerge w:val="continue"/>
            <w:tcBorders>
              <w:tl2br w:val="nil"/>
              <w:tr2bl w:val="nil"/>
            </w:tcBorders>
            <w:vAlign w:val="center"/>
          </w:tcPr>
          <w:p w14:paraId="59405E6D">
            <w:pPr>
              <w:spacing w:line="240" w:lineRule="auto"/>
              <w:ind w:firstLine="0" w:firstLineChars="0"/>
              <w:jc w:val="center"/>
              <w:rPr>
                <w:color w:val="auto"/>
                <w:sz w:val="21"/>
              </w:rPr>
            </w:pPr>
          </w:p>
        </w:tc>
        <w:tc>
          <w:tcPr>
            <w:tcW w:w="824" w:type="pct"/>
            <w:vMerge w:val="continue"/>
            <w:tcBorders>
              <w:tl2br w:val="nil"/>
              <w:tr2bl w:val="nil"/>
            </w:tcBorders>
            <w:vAlign w:val="center"/>
          </w:tcPr>
          <w:p w14:paraId="09B1568D">
            <w:pPr>
              <w:spacing w:line="240" w:lineRule="auto"/>
              <w:ind w:firstLine="0" w:firstLineChars="0"/>
              <w:jc w:val="center"/>
              <w:rPr>
                <w:color w:val="auto"/>
                <w:sz w:val="21"/>
              </w:rPr>
            </w:pPr>
          </w:p>
        </w:tc>
        <w:tc>
          <w:tcPr>
            <w:tcW w:w="623" w:type="pct"/>
            <w:tcBorders>
              <w:tl2br w:val="nil"/>
              <w:tr2bl w:val="nil"/>
            </w:tcBorders>
            <w:vAlign w:val="center"/>
          </w:tcPr>
          <w:p w14:paraId="604DE607">
            <w:pPr>
              <w:widowControl/>
              <w:spacing w:line="240" w:lineRule="auto"/>
              <w:ind w:firstLine="0" w:firstLineChars="0"/>
              <w:jc w:val="center"/>
              <w:textAlignment w:val="center"/>
              <w:rPr>
                <w:color w:val="auto"/>
                <w:sz w:val="21"/>
              </w:rPr>
            </w:pPr>
          </w:p>
        </w:tc>
        <w:tc>
          <w:tcPr>
            <w:tcW w:w="1372" w:type="dxa"/>
            <w:tcBorders>
              <w:tl2br w:val="nil"/>
              <w:tr2bl w:val="nil"/>
            </w:tcBorders>
            <w:vAlign w:val="center"/>
          </w:tcPr>
          <w:p w14:paraId="7A2E059D">
            <w:pPr>
              <w:spacing w:line="240" w:lineRule="auto"/>
              <w:ind w:firstLine="0" w:firstLineChars="0"/>
              <w:jc w:val="center"/>
              <w:rPr>
                <w:color w:val="auto"/>
                <w:sz w:val="21"/>
              </w:rPr>
            </w:pPr>
          </w:p>
        </w:tc>
        <w:tc>
          <w:tcPr>
            <w:tcW w:w="681" w:type="pct"/>
            <w:vMerge w:val="continue"/>
            <w:tcBorders>
              <w:tl2br w:val="nil"/>
              <w:tr2bl w:val="nil"/>
            </w:tcBorders>
            <w:vAlign w:val="center"/>
          </w:tcPr>
          <w:p w14:paraId="268EB770">
            <w:pPr>
              <w:spacing w:line="240" w:lineRule="auto"/>
              <w:ind w:firstLine="0" w:firstLineChars="0"/>
              <w:jc w:val="center"/>
              <w:rPr>
                <w:color w:val="auto"/>
                <w:sz w:val="21"/>
              </w:rPr>
            </w:pPr>
          </w:p>
        </w:tc>
      </w:tr>
      <w:tr w14:paraId="26B3D4A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689" w:type="pct"/>
            <w:tcBorders>
              <w:tl2br w:val="nil"/>
              <w:tr2bl w:val="nil"/>
            </w:tcBorders>
            <w:vAlign w:val="center"/>
          </w:tcPr>
          <w:p w14:paraId="1B70380A">
            <w:pPr>
              <w:widowControl/>
              <w:spacing w:line="240" w:lineRule="auto"/>
              <w:ind w:firstLine="0" w:firstLineChars="0"/>
              <w:jc w:val="center"/>
              <w:textAlignment w:val="center"/>
              <w:rPr>
                <w:color w:val="auto"/>
                <w:sz w:val="21"/>
              </w:rPr>
            </w:pPr>
          </w:p>
        </w:tc>
        <w:tc>
          <w:tcPr>
            <w:tcW w:w="1177" w:type="dxa"/>
            <w:tcBorders>
              <w:tl2br w:val="nil"/>
              <w:tr2bl w:val="nil"/>
            </w:tcBorders>
            <w:vAlign w:val="center"/>
          </w:tcPr>
          <w:p w14:paraId="18899A74">
            <w:pPr>
              <w:spacing w:line="240" w:lineRule="auto"/>
              <w:ind w:firstLine="0" w:firstLineChars="0"/>
              <w:jc w:val="center"/>
              <w:rPr>
                <w:color w:val="auto"/>
                <w:sz w:val="21"/>
              </w:rPr>
            </w:pPr>
          </w:p>
        </w:tc>
        <w:tc>
          <w:tcPr>
            <w:tcW w:w="887" w:type="pct"/>
            <w:gridSpan w:val="2"/>
            <w:vMerge w:val="continue"/>
            <w:tcBorders>
              <w:tl2br w:val="nil"/>
              <w:tr2bl w:val="nil"/>
            </w:tcBorders>
            <w:vAlign w:val="center"/>
          </w:tcPr>
          <w:p w14:paraId="05187E8F">
            <w:pPr>
              <w:spacing w:line="240" w:lineRule="auto"/>
              <w:ind w:firstLine="0" w:firstLineChars="0"/>
              <w:jc w:val="center"/>
              <w:rPr>
                <w:color w:val="auto"/>
                <w:sz w:val="21"/>
              </w:rPr>
            </w:pPr>
          </w:p>
        </w:tc>
        <w:tc>
          <w:tcPr>
            <w:tcW w:w="824" w:type="pct"/>
            <w:vMerge w:val="continue"/>
            <w:tcBorders>
              <w:tl2br w:val="nil"/>
              <w:tr2bl w:val="nil"/>
            </w:tcBorders>
            <w:vAlign w:val="center"/>
          </w:tcPr>
          <w:p w14:paraId="271EFF65">
            <w:pPr>
              <w:spacing w:line="240" w:lineRule="auto"/>
              <w:ind w:firstLine="0" w:firstLineChars="0"/>
              <w:jc w:val="center"/>
              <w:rPr>
                <w:color w:val="auto"/>
                <w:sz w:val="21"/>
              </w:rPr>
            </w:pPr>
          </w:p>
        </w:tc>
        <w:tc>
          <w:tcPr>
            <w:tcW w:w="623" w:type="pct"/>
            <w:tcBorders>
              <w:tl2br w:val="nil"/>
              <w:tr2bl w:val="nil"/>
            </w:tcBorders>
            <w:vAlign w:val="center"/>
          </w:tcPr>
          <w:p w14:paraId="01E96019">
            <w:pPr>
              <w:widowControl/>
              <w:spacing w:line="240" w:lineRule="auto"/>
              <w:ind w:firstLine="0" w:firstLineChars="0"/>
              <w:jc w:val="center"/>
              <w:textAlignment w:val="center"/>
              <w:rPr>
                <w:color w:val="auto"/>
                <w:sz w:val="21"/>
              </w:rPr>
            </w:pPr>
          </w:p>
        </w:tc>
        <w:tc>
          <w:tcPr>
            <w:tcW w:w="1372" w:type="dxa"/>
            <w:tcBorders>
              <w:tl2br w:val="nil"/>
              <w:tr2bl w:val="nil"/>
            </w:tcBorders>
            <w:vAlign w:val="center"/>
          </w:tcPr>
          <w:p w14:paraId="3BA24B8C">
            <w:pPr>
              <w:spacing w:line="240" w:lineRule="auto"/>
              <w:ind w:firstLine="0" w:firstLineChars="0"/>
              <w:jc w:val="center"/>
              <w:rPr>
                <w:color w:val="auto"/>
                <w:sz w:val="21"/>
              </w:rPr>
            </w:pPr>
          </w:p>
        </w:tc>
        <w:tc>
          <w:tcPr>
            <w:tcW w:w="681" w:type="pct"/>
            <w:vMerge w:val="continue"/>
            <w:tcBorders>
              <w:tl2br w:val="nil"/>
              <w:tr2bl w:val="nil"/>
            </w:tcBorders>
            <w:vAlign w:val="center"/>
          </w:tcPr>
          <w:p w14:paraId="3A7AB629">
            <w:pPr>
              <w:spacing w:line="240" w:lineRule="auto"/>
              <w:ind w:firstLine="0" w:firstLineChars="0"/>
              <w:jc w:val="center"/>
              <w:rPr>
                <w:color w:val="auto"/>
                <w:sz w:val="21"/>
              </w:rPr>
            </w:pPr>
          </w:p>
        </w:tc>
      </w:tr>
      <w:tr w14:paraId="0E3053E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0133942E">
            <w:pPr>
              <w:widowControl/>
              <w:spacing w:line="240" w:lineRule="auto"/>
              <w:ind w:firstLine="0" w:firstLineChars="0"/>
              <w:jc w:val="center"/>
              <w:textAlignment w:val="center"/>
              <w:rPr>
                <w:color w:val="auto"/>
                <w:sz w:val="21"/>
              </w:rPr>
            </w:pPr>
          </w:p>
        </w:tc>
        <w:tc>
          <w:tcPr>
            <w:tcW w:w="1177" w:type="dxa"/>
            <w:tcBorders>
              <w:tl2br w:val="nil"/>
              <w:tr2bl w:val="nil"/>
            </w:tcBorders>
            <w:vAlign w:val="center"/>
          </w:tcPr>
          <w:p w14:paraId="79BAF986">
            <w:pPr>
              <w:spacing w:line="240" w:lineRule="auto"/>
              <w:ind w:firstLine="0" w:firstLineChars="0"/>
              <w:jc w:val="center"/>
              <w:rPr>
                <w:color w:val="auto"/>
                <w:sz w:val="21"/>
              </w:rPr>
            </w:pPr>
          </w:p>
        </w:tc>
        <w:tc>
          <w:tcPr>
            <w:tcW w:w="443" w:type="pct"/>
            <w:vMerge w:val="restart"/>
            <w:tcBorders>
              <w:tl2br w:val="nil"/>
              <w:tr2bl w:val="nil"/>
            </w:tcBorders>
            <w:vAlign w:val="center"/>
          </w:tcPr>
          <w:p w14:paraId="69CB8EEE">
            <w:pPr>
              <w:spacing w:line="240" w:lineRule="auto"/>
              <w:ind w:firstLine="0" w:firstLineChars="0"/>
              <w:jc w:val="center"/>
              <w:rPr>
                <w:color w:val="auto"/>
                <w:sz w:val="21"/>
              </w:rPr>
            </w:pPr>
          </w:p>
        </w:tc>
        <w:tc>
          <w:tcPr>
            <w:tcW w:w="443" w:type="pct"/>
            <w:tcBorders>
              <w:tl2br w:val="nil"/>
              <w:tr2bl w:val="nil"/>
            </w:tcBorders>
            <w:vAlign w:val="center"/>
          </w:tcPr>
          <w:p w14:paraId="06686E89">
            <w:pPr>
              <w:widowControl/>
              <w:spacing w:line="240" w:lineRule="auto"/>
              <w:ind w:firstLine="0" w:firstLineChars="0"/>
              <w:jc w:val="center"/>
              <w:textAlignment w:val="center"/>
              <w:rPr>
                <w:color w:val="auto"/>
                <w:sz w:val="21"/>
              </w:rPr>
            </w:pPr>
          </w:p>
        </w:tc>
        <w:tc>
          <w:tcPr>
            <w:tcW w:w="824" w:type="pct"/>
            <w:tcBorders>
              <w:tl2br w:val="nil"/>
              <w:tr2bl w:val="nil"/>
            </w:tcBorders>
            <w:vAlign w:val="center"/>
          </w:tcPr>
          <w:p w14:paraId="1CD2920E">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71C2E70E">
            <w:pPr>
              <w:widowControl/>
              <w:spacing w:line="240" w:lineRule="auto"/>
              <w:ind w:firstLine="0" w:firstLineChars="0"/>
              <w:jc w:val="center"/>
              <w:textAlignment w:val="center"/>
              <w:rPr>
                <w:color w:val="auto"/>
                <w:sz w:val="21"/>
              </w:rPr>
            </w:pPr>
          </w:p>
        </w:tc>
        <w:tc>
          <w:tcPr>
            <w:tcW w:w="1372" w:type="dxa"/>
            <w:tcBorders>
              <w:tl2br w:val="nil"/>
              <w:tr2bl w:val="nil"/>
            </w:tcBorders>
            <w:vAlign w:val="center"/>
          </w:tcPr>
          <w:p w14:paraId="155CE9B9">
            <w:pPr>
              <w:spacing w:line="240" w:lineRule="auto"/>
              <w:ind w:firstLine="0" w:firstLineChars="0"/>
              <w:jc w:val="center"/>
              <w:rPr>
                <w:color w:val="auto"/>
                <w:sz w:val="21"/>
              </w:rPr>
            </w:pPr>
          </w:p>
        </w:tc>
        <w:tc>
          <w:tcPr>
            <w:tcW w:w="1344" w:type="dxa"/>
            <w:vMerge w:val="restart"/>
            <w:tcBorders>
              <w:tl2br w:val="nil"/>
              <w:tr2bl w:val="nil"/>
            </w:tcBorders>
            <w:vAlign w:val="center"/>
          </w:tcPr>
          <w:p w14:paraId="690DE987">
            <w:pPr>
              <w:spacing w:line="240" w:lineRule="auto"/>
              <w:ind w:firstLine="0" w:firstLineChars="0"/>
              <w:jc w:val="center"/>
              <w:rPr>
                <w:color w:val="auto"/>
                <w:sz w:val="21"/>
              </w:rPr>
            </w:pPr>
          </w:p>
        </w:tc>
      </w:tr>
      <w:tr w14:paraId="2C16856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50845E12">
            <w:pPr>
              <w:spacing w:line="240" w:lineRule="auto"/>
              <w:ind w:firstLine="0" w:firstLineChars="0"/>
              <w:jc w:val="center"/>
              <w:rPr>
                <w:color w:val="auto"/>
                <w:sz w:val="21"/>
              </w:rPr>
            </w:pPr>
          </w:p>
        </w:tc>
        <w:tc>
          <w:tcPr>
            <w:tcW w:w="597" w:type="pct"/>
            <w:tcBorders>
              <w:tl2br w:val="nil"/>
              <w:tr2bl w:val="nil"/>
            </w:tcBorders>
            <w:vAlign w:val="center"/>
          </w:tcPr>
          <w:p w14:paraId="7B459F2C">
            <w:pPr>
              <w:spacing w:line="240" w:lineRule="auto"/>
              <w:ind w:firstLine="0" w:firstLineChars="0"/>
              <w:jc w:val="center"/>
              <w:rPr>
                <w:color w:val="auto"/>
                <w:sz w:val="21"/>
              </w:rPr>
            </w:pPr>
          </w:p>
        </w:tc>
        <w:tc>
          <w:tcPr>
            <w:tcW w:w="443" w:type="pct"/>
            <w:vMerge w:val="continue"/>
            <w:tcBorders>
              <w:tl2br w:val="nil"/>
              <w:tr2bl w:val="nil"/>
            </w:tcBorders>
            <w:vAlign w:val="center"/>
          </w:tcPr>
          <w:p w14:paraId="2AB49D63">
            <w:pPr>
              <w:spacing w:line="240" w:lineRule="auto"/>
              <w:ind w:firstLine="0" w:firstLineChars="0"/>
              <w:jc w:val="center"/>
              <w:rPr>
                <w:color w:val="auto"/>
                <w:sz w:val="21"/>
              </w:rPr>
            </w:pPr>
          </w:p>
        </w:tc>
        <w:tc>
          <w:tcPr>
            <w:tcW w:w="443" w:type="pct"/>
            <w:tcBorders>
              <w:tl2br w:val="nil"/>
              <w:tr2bl w:val="nil"/>
            </w:tcBorders>
            <w:vAlign w:val="center"/>
          </w:tcPr>
          <w:p w14:paraId="52A1DAE1">
            <w:pPr>
              <w:widowControl/>
              <w:spacing w:line="240" w:lineRule="auto"/>
              <w:ind w:firstLine="0" w:firstLineChars="0"/>
              <w:jc w:val="center"/>
              <w:textAlignment w:val="center"/>
              <w:rPr>
                <w:color w:val="auto"/>
                <w:sz w:val="21"/>
              </w:rPr>
            </w:pPr>
          </w:p>
        </w:tc>
        <w:tc>
          <w:tcPr>
            <w:tcW w:w="824" w:type="pct"/>
            <w:tcBorders>
              <w:tl2br w:val="nil"/>
              <w:tr2bl w:val="nil"/>
            </w:tcBorders>
            <w:vAlign w:val="center"/>
          </w:tcPr>
          <w:p w14:paraId="43575D1B">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2D4256A7">
            <w:pPr>
              <w:widowControl/>
              <w:spacing w:line="240" w:lineRule="auto"/>
              <w:ind w:firstLine="0" w:firstLineChars="0"/>
              <w:jc w:val="center"/>
              <w:textAlignment w:val="center"/>
              <w:rPr>
                <w:color w:val="auto"/>
                <w:sz w:val="21"/>
              </w:rPr>
            </w:pPr>
          </w:p>
        </w:tc>
        <w:tc>
          <w:tcPr>
            <w:tcW w:w="1372" w:type="dxa"/>
            <w:tcBorders>
              <w:tl2br w:val="nil"/>
              <w:tr2bl w:val="nil"/>
            </w:tcBorders>
            <w:vAlign w:val="center"/>
          </w:tcPr>
          <w:p w14:paraId="7AB34E92">
            <w:pPr>
              <w:spacing w:line="240" w:lineRule="auto"/>
              <w:ind w:firstLine="0" w:firstLineChars="0"/>
              <w:jc w:val="center"/>
              <w:rPr>
                <w:color w:val="auto"/>
                <w:sz w:val="21"/>
              </w:rPr>
            </w:pPr>
          </w:p>
        </w:tc>
        <w:tc>
          <w:tcPr>
            <w:tcW w:w="681" w:type="pct"/>
            <w:vMerge w:val="continue"/>
            <w:tcBorders>
              <w:tl2br w:val="nil"/>
              <w:tr2bl w:val="nil"/>
            </w:tcBorders>
            <w:vAlign w:val="center"/>
          </w:tcPr>
          <w:p w14:paraId="14CE2F46">
            <w:pPr>
              <w:spacing w:line="240" w:lineRule="auto"/>
              <w:ind w:firstLine="0" w:firstLineChars="0"/>
              <w:jc w:val="center"/>
              <w:rPr>
                <w:color w:val="auto"/>
                <w:sz w:val="21"/>
              </w:rPr>
            </w:pPr>
          </w:p>
        </w:tc>
      </w:tr>
      <w:tr w14:paraId="0054332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50E2A4D6">
            <w:pPr>
              <w:spacing w:line="240" w:lineRule="auto"/>
              <w:ind w:firstLine="0" w:firstLineChars="0"/>
              <w:jc w:val="center"/>
              <w:rPr>
                <w:color w:val="auto"/>
                <w:sz w:val="21"/>
              </w:rPr>
            </w:pPr>
          </w:p>
        </w:tc>
        <w:tc>
          <w:tcPr>
            <w:tcW w:w="597" w:type="pct"/>
            <w:tcBorders>
              <w:tl2br w:val="nil"/>
              <w:tr2bl w:val="nil"/>
            </w:tcBorders>
            <w:vAlign w:val="center"/>
          </w:tcPr>
          <w:p w14:paraId="30432293">
            <w:pPr>
              <w:spacing w:line="240" w:lineRule="auto"/>
              <w:ind w:firstLine="0" w:firstLineChars="0"/>
              <w:jc w:val="center"/>
              <w:rPr>
                <w:color w:val="auto"/>
                <w:sz w:val="21"/>
              </w:rPr>
            </w:pPr>
          </w:p>
        </w:tc>
        <w:tc>
          <w:tcPr>
            <w:tcW w:w="443" w:type="pct"/>
            <w:vMerge w:val="continue"/>
            <w:tcBorders>
              <w:tl2br w:val="nil"/>
              <w:tr2bl w:val="nil"/>
            </w:tcBorders>
            <w:vAlign w:val="center"/>
          </w:tcPr>
          <w:p w14:paraId="1E2B31A4">
            <w:pPr>
              <w:spacing w:line="240" w:lineRule="auto"/>
              <w:ind w:firstLine="0" w:firstLineChars="0"/>
              <w:jc w:val="center"/>
              <w:rPr>
                <w:color w:val="auto"/>
                <w:sz w:val="21"/>
              </w:rPr>
            </w:pPr>
          </w:p>
        </w:tc>
        <w:tc>
          <w:tcPr>
            <w:tcW w:w="443" w:type="pct"/>
            <w:tcBorders>
              <w:tl2br w:val="nil"/>
              <w:tr2bl w:val="nil"/>
            </w:tcBorders>
            <w:vAlign w:val="center"/>
          </w:tcPr>
          <w:p w14:paraId="3D32374C">
            <w:pPr>
              <w:widowControl/>
              <w:spacing w:line="240" w:lineRule="auto"/>
              <w:ind w:firstLine="0" w:firstLineChars="0"/>
              <w:jc w:val="center"/>
              <w:textAlignment w:val="center"/>
              <w:rPr>
                <w:color w:val="auto"/>
                <w:sz w:val="21"/>
              </w:rPr>
            </w:pPr>
          </w:p>
        </w:tc>
        <w:tc>
          <w:tcPr>
            <w:tcW w:w="824" w:type="pct"/>
            <w:tcBorders>
              <w:tl2br w:val="nil"/>
              <w:tr2bl w:val="nil"/>
            </w:tcBorders>
            <w:vAlign w:val="center"/>
          </w:tcPr>
          <w:p w14:paraId="4E21B5B1">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19DC5312">
            <w:pPr>
              <w:widowControl/>
              <w:spacing w:line="240" w:lineRule="auto"/>
              <w:ind w:firstLine="0" w:firstLineChars="0"/>
              <w:jc w:val="center"/>
              <w:textAlignment w:val="center"/>
              <w:rPr>
                <w:color w:val="auto"/>
                <w:sz w:val="21"/>
              </w:rPr>
            </w:pPr>
          </w:p>
        </w:tc>
        <w:tc>
          <w:tcPr>
            <w:tcW w:w="1372" w:type="dxa"/>
            <w:tcBorders>
              <w:tl2br w:val="nil"/>
              <w:tr2bl w:val="nil"/>
            </w:tcBorders>
            <w:vAlign w:val="center"/>
          </w:tcPr>
          <w:p w14:paraId="6E2F09B3">
            <w:pPr>
              <w:spacing w:line="240" w:lineRule="auto"/>
              <w:ind w:firstLine="0" w:firstLineChars="0"/>
              <w:jc w:val="center"/>
              <w:rPr>
                <w:color w:val="auto"/>
                <w:sz w:val="21"/>
              </w:rPr>
            </w:pPr>
          </w:p>
        </w:tc>
        <w:tc>
          <w:tcPr>
            <w:tcW w:w="681" w:type="pct"/>
            <w:vMerge w:val="continue"/>
            <w:tcBorders>
              <w:tl2br w:val="nil"/>
              <w:tr2bl w:val="nil"/>
            </w:tcBorders>
            <w:vAlign w:val="center"/>
          </w:tcPr>
          <w:p w14:paraId="5E64E9F4">
            <w:pPr>
              <w:spacing w:line="240" w:lineRule="auto"/>
              <w:ind w:firstLine="0" w:firstLineChars="0"/>
              <w:jc w:val="center"/>
              <w:rPr>
                <w:color w:val="auto"/>
                <w:sz w:val="21"/>
              </w:rPr>
            </w:pPr>
          </w:p>
        </w:tc>
      </w:tr>
      <w:tr w14:paraId="63CA56B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4E700362">
            <w:pPr>
              <w:spacing w:line="240" w:lineRule="auto"/>
              <w:ind w:firstLine="0" w:firstLineChars="0"/>
              <w:jc w:val="center"/>
              <w:rPr>
                <w:color w:val="auto"/>
                <w:sz w:val="21"/>
              </w:rPr>
            </w:pPr>
          </w:p>
        </w:tc>
        <w:tc>
          <w:tcPr>
            <w:tcW w:w="597" w:type="pct"/>
            <w:tcBorders>
              <w:tl2br w:val="nil"/>
              <w:tr2bl w:val="nil"/>
            </w:tcBorders>
            <w:vAlign w:val="center"/>
          </w:tcPr>
          <w:p w14:paraId="32FEE732">
            <w:pPr>
              <w:spacing w:line="240" w:lineRule="auto"/>
              <w:ind w:firstLine="0" w:firstLineChars="0"/>
              <w:jc w:val="center"/>
              <w:rPr>
                <w:color w:val="auto"/>
                <w:sz w:val="21"/>
              </w:rPr>
            </w:pPr>
          </w:p>
        </w:tc>
        <w:tc>
          <w:tcPr>
            <w:tcW w:w="1711" w:type="pct"/>
            <w:gridSpan w:val="3"/>
            <w:vMerge w:val="restart"/>
            <w:tcBorders>
              <w:tl2br w:val="nil"/>
              <w:tr2bl w:val="nil"/>
            </w:tcBorders>
            <w:vAlign w:val="center"/>
          </w:tcPr>
          <w:p w14:paraId="31BB3662">
            <w:pPr>
              <w:spacing w:line="240" w:lineRule="auto"/>
              <w:ind w:firstLine="0" w:firstLineChars="0"/>
              <w:jc w:val="center"/>
              <w:rPr>
                <w:color w:val="auto"/>
                <w:sz w:val="21"/>
              </w:rPr>
            </w:pPr>
          </w:p>
        </w:tc>
        <w:tc>
          <w:tcPr>
            <w:tcW w:w="623" w:type="pct"/>
            <w:tcBorders>
              <w:tl2br w:val="nil"/>
              <w:tr2bl w:val="nil"/>
            </w:tcBorders>
            <w:vAlign w:val="center"/>
          </w:tcPr>
          <w:p w14:paraId="771EE92E">
            <w:pPr>
              <w:widowControl/>
              <w:spacing w:line="240" w:lineRule="auto"/>
              <w:ind w:firstLine="0" w:firstLineChars="0"/>
              <w:jc w:val="center"/>
              <w:textAlignment w:val="center"/>
              <w:rPr>
                <w:color w:val="auto"/>
                <w:sz w:val="21"/>
              </w:rPr>
            </w:pPr>
          </w:p>
        </w:tc>
        <w:tc>
          <w:tcPr>
            <w:tcW w:w="1372" w:type="dxa"/>
            <w:tcBorders>
              <w:tl2br w:val="nil"/>
              <w:tr2bl w:val="nil"/>
            </w:tcBorders>
            <w:vAlign w:val="center"/>
          </w:tcPr>
          <w:p w14:paraId="302F267B">
            <w:pPr>
              <w:spacing w:line="240" w:lineRule="auto"/>
              <w:ind w:firstLine="0" w:firstLineChars="0"/>
              <w:jc w:val="center"/>
              <w:rPr>
                <w:color w:val="auto"/>
                <w:sz w:val="21"/>
              </w:rPr>
            </w:pPr>
          </w:p>
        </w:tc>
        <w:tc>
          <w:tcPr>
            <w:tcW w:w="1344" w:type="dxa"/>
            <w:vMerge w:val="restart"/>
            <w:tcBorders>
              <w:tl2br w:val="nil"/>
              <w:tr2bl w:val="nil"/>
            </w:tcBorders>
            <w:vAlign w:val="center"/>
          </w:tcPr>
          <w:p w14:paraId="147E3EB2">
            <w:pPr>
              <w:spacing w:line="240" w:lineRule="auto"/>
              <w:ind w:firstLine="0" w:firstLineChars="0"/>
              <w:jc w:val="center"/>
              <w:rPr>
                <w:color w:val="auto"/>
                <w:sz w:val="21"/>
              </w:rPr>
            </w:pPr>
          </w:p>
        </w:tc>
      </w:tr>
      <w:tr w14:paraId="44FFCEF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3D435957">
            <w:pPr>
              <w:spacing w:line="240" w:lineRule="auto"/>
              <w:ind w:firstLine="0" w:firstLineChars="0"/>
              <w:jc w:val="center"/>
              <w:rPr>
                <w:color w:val="auto"/>
                <w:sz w:val="21"/>
              </w:rPr>
            </w:pPr>
          </w:p>
        </w:tc>
        <w:tc>
          <w:tcPr>
            <w:tcW w:w="597" w:type="pct"/>
            <w:tcBorders>
              <w:tl2br w:val="nil"/>
              <w:tr2bl w:val="nil"/>
            </w:tcBorders>
            <w:vAlign w:val="center"/>
          </w:tcPr>
          <w:p w14:paraId="2174B9FC">
            <w:pPr>
              <w:spacing w:line="240" w:lineRule="auto"/>
              <w:ind w:firstLine="0" w:firstLineChars="0"/>
              <w:jc w:val="center"/>
              <w:rPr>
                <w:color w:val="auto"/>
                <w:sz w:val="21"/>
              </w:rPr>
            </w:pPr>
          </w:p>
        </w:tc>
        <w:tc>
          <w:tcPr>
            <w:tcW w:w="1711" w:type="pct"/>
            <w:gridSpan w:val="3"/>
            <w:vMerge w:val="continue"/>
            <w:tcBorders>
              <w:tl2br w:val="nil"/>
              <w:tr2bl w:val="nil"/>
            </w:tcBorders>
            <w:vAlign w:val="center"/>
          </w:tcPr>
          <w:p w14:paraId="6A2C2457">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4BD7E821">
            <w:pPr>
              <w:widowControl/>
              <w:spacing w:line="240" w:lineRule="auto"/>
              <w:ind w:firstLine="0" w:firstLineChars="0"/>
              <w:jc w:val="center"/>
              <w:textAlignment w:val="center"/>
              <w:rPr>
                <w:color w:val="auto"/>
                <w:sz w:val="21"/>
              </w:rPr>
            </w:pPr>
          </w:p>
        </w:tc>
        <w:tc>
          <w:tcPr>
            <w:tcW w:w="1372" w:type="dxa"/>
            <w:tcBorders>
              <w:tl2br w:val="nil"/>
              <w:tr2bl w:val="nil"/>
            </w:tcBorders>
            <w:vAlign w:val="center"/>
          </w:tcPr>
          <w:p w14:paraId="2C67AA8A">
            <w:pPr>
              <w:spacing w:line="240" w:lineRule="auto"/>
              <w:ind w:firstLine="0" w:firstLineChars="0"/>
              <w:jc w:val="center"/>
              <w:rPr>
                <w:color w:val="auto"/>
                <w:sz w:val="21"/>
              </w:rPr>
            </w:pPr>
          </w:p>
        </w:tc>
        <w:tc>
          <w:tcPr>
            <w:tcW w:w="681" w:type="pct"/>
            <w:vMerge w:val="continue"/>
            <w:tcBorders>
              <w:tl2br w:val="nil"/>
              <w:tr2bl w:val="nil"/>
            </w:tcBorders>
            <w:vAlign w:val="center"/>
          </w:tcPr>
          <w:p w14:paraId="76FD5332">
            <w:pPr>
              <w:spacing w:line="240" w:lineRule="auto"/>
              <w:ind w:firstLine="0" w:firstLineChars="0"/>
              <w:jc w:val="center"/>
              <w:rPr>
                <w:color w:val="auto"/>
                <w:sz w:val="21"/>
              </w:rPr>
            </w:pPr>
          </w:p>
        </w:tc>
      </w:tr>
      <w:tr w14:paraId="6761533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0B5EC471">
            <w:pPr>
              <w:spacing w:line="240" w:lineRule="auto"/>
              <w:ind w:firstLine="0" w:firstLineChars="0"/>
              <w:jc w:val="center"/>
              <w:rPr>
                <w:color w:val="auto"/>
                <w:sz w:val="21"/>
              </w:rPr>
            </w:pPr>
          </w:p>
        </w:tc>
        <w:tc>
          <w:tcPr>
            <w:tcW w:w="597" w:type="pct"/>
            <w:tcBorders>
              <w:tl2br w:val="nil"/>
              <w:tr2bl w:val="nil"/>
            </w:tcBorders>
            <w:vAlign w:val="center"/>
          </w:tcPr>
          <w:p w14:paraId="558D3101">
            <w:pPr>
              <w:spacing w:line="240" w:lineRule="auto"/>
              <w:ind w:firstLine="0" w:firstLineChars="0"/>
              <w:jc w:val="center"/>
              <w:rPr>
                <w:color w:val="auto"/>
                <w:sz w:val="21"/>
              </w:rPr>
            </w:pPr>
          </w:p>
        </w:tc>
        <w:tc>
          <w:tcPr>
            <w:tcW w:w="2335" w:type="pct"/>
            <w:gridSpan w:val="4"/>
            <w:tcBorders>
              <w:tl2br w:val="nil"/>
              <w:tr2bl w:val="nil"/>
            </w:tcBorders>
            <w:vAlign w:val="center"/>
          </w:tcPr>
          <w:p w14:paraId="388BDCCB">
            <w:pPr>
              <w:spacing w:line="240" w:lineRule="auto"/>
              <w:ind w:firstLine="0" w:firstLineChars="0"/>
              <w:jc w:val="center"/>
              <w:rPr>
                <w:color w:val="auto"/>
                <w:sz w:val="21"/>
              </w:rPr>
            </w:pPr>
          </w:p>
        </w:tc>
        <w:tc>
          <w:tcPr>
            <w:tcW w:w="1372" w:type="dxa"/>
            <w:tcBorders>
              <w:tl2br w:val="nil"/>
              <w:tr2bl w:val="nil"/>
            </w:tcBorders>
            <w:vAlign w:val="center"/>
          </w:tcPr>
          <w:p w14:paraId="0BF2929D">
            <w:pPr>
              <w:spacing w:line="240" w:lineRule="auto"/>
              <w:ind w:firstLine="0" w:firstLineChars="0"/>
              <w:jc w:val="center"/>
              <w:rPr>
                <w:color w:val="auto"/>
                <w:sz w:val="21"/>
              </w:rPr>
            </w:pPr>
          </w:p>
        </w:tc>
        <w:tc>
          <w:tcPr>
            <w:tcW w:w="1344" w:type="dxa"/>
            <w:tcBorders>
              <w:tl2br w:val="nil"/>
              <w:tr2bl w:val="nil"/>
            </w:tcBorders>
            <w:vAlign w:val="center"/>
          </w:tcPr>
          <w:p w14:paraId="12648EA9">
            <w:pPr>
              <w:spacing w:line="240" w:lineRule="auto"/>
              <w:ind w:firstLine="0" w:firstLineChars="0"/>
              <w:jc w:val="center"/>
              <w:rPr>
                <w:color w:val="auto"/>
                <w:sz w:val="21"/>
              </w:rPr>
            </w:pPr>
          </w:p>
        </w:tc>
      </w:tr>
      <w:tr w14:paraId="24D5E13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7FE91739">
            <w:pPr>
              <w:spacing w:line="240" w:lineRule="auto"/>
              <w:ind w:firstLine="0" w:firstLineChars="0"/>
              <w:jc w:val="center"/>
              <w:rPr>
                <w:color w:val="auto"/>
                <w:sz w:val="21"/>
              </w:rPr>
            </w:pPr>
          </w:p>
        </w:tc>
        <w:tc>
          <w:tcPr>
            <w:tcW w:w="597" w:type="pct"/>
            <w:tcBorders>
              <w:tl2br w:val="nil"/>
              <w:tr2bl w:val="nil"/>
            </w:tcBorders>
            <w:vAlign w:val="center"/>
          </w:tcPr>
          <w:p w14:paraId="65B899A9">
            <w:pPr>
              <w:spacing w:line="240" w:lineRule="auto"/>
              <w:ind w:firstLine="0" w:firstLineChars="0"/>
              <w:jc w:val="center"/>
              <w:rPr>
                <w:color w:val="auto"/>
                <w:sz w:val="21"/>
              </w:rPr>
            </w:pPr>
          </w:p>
        </w:tc>
        <w:tc>
          <w:tcPr>
            <w:tcW w:w="2335" w:type="pct"/>
            <w:gridSpan w:val="4"/>
            <w:tcBorders>
              <w:tl2br w:val="nil"/>
              <w:tr2bl w:val="nil"/>
            </w:tcBorders>
            <w:vAlign w:val="center"/>
          </w:tcPr>
          <w:p w14:paraId="38D46C18">
            <w:pPr>
              <w:spacing w:line="240" w:lineRule="auto"/>
              <w:ind w:firstLine="0" w:firstLineChars="0"/>
              <w:jc w:val="center"/>
              <w:rPr>
                <w:color w:val="auto"/>
                <w:sz w:val="21"/>
              </w:rPr>
            </w:pPr>
          </w:p>
        </w:tc>
        <w:tc>
          <w:tcPr>
            <w:tcW w:w="1372" w:type="dxa"/>
            <w:tcBorders>
              <w:tl2br w:val="nil"/>
              <w:tr2bl w:val="nil"/>
            </w:tcBorders>
            <w:vAlign w:val="center"/>
          </w:tcPr>
          <w:p w14:paraId="17B0CDFD">
            <w:pPr>
              <w:spacing w:line="240" w:lineRule="auto"/>
              <w:ind w:firstLine="0" w:firstLineChars="0"/>
              <w:jc w:val="center"/>
              <w:rPr>
                <w:color w:val="auto"/>
                <w:sz w:val="21"/>
              </w:rPr>
            </w:pPr>
          </w:p>
        </w:tc>
        <w:tc>
          <w:tcPr>
            <w:tcW w:w="1344" w:type="dxa"/>
            <w:tcBorders>
              <w:tl2br w:val="nil"/>
              <w:tr2bl w:val="nil"/>
            </w:tcBorders>
            <w:vAlign w:val="center"/>
          </w:tcPr>
          <w:p w14:paraId="0710395D">
            <w:pPr>
              <w:spacing w:line="240" w:lineRule="auto"/>
              <w:ind w:firstLine="0" w:firstLineChars="0"/>
              <w:jc w:val="center"/>
              <w:rPr>
                <w:color w:val="auto"/>
                <w:sz w:val="21"/>
              </w:rPr>
            </w:pPr>
          </w:p>
        </w:tc>
      </w:tr>
      <w:tr w14:paraId="13F8DE4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65E7E265">
            <w:pPr>
              <w:spacing w:line="240" w:lineRule="auto"/>
              <w:ind w:firstLine="0" w:firstLineChars="0"/>
              <w:jc w:val="center"/>
              <w:rPr>
                <w:color w:val="auto"/>
                <w:sz w:val="21"/>
              </w:rPr>
            </w:pPr>
          </w:p>
        </w:tc>
        <w:tc>
          <w:tcPr>
            <w:tcW w:w="597" w:type="pct"/>
            <w:tcBorders>
              <w:tl2br w:val="nil"/>
              <w:tr2bl w:val="nil"/>
            </w:tcBorders>
            <w:vAlign w:val="center"/>
          </w:tcPr>
          <w:p w14:paraId="7F9B4832">
            <w:pPr>
              <w:spacing w:line="240" w:lineRule="auto"/>
              <w:ind w:firstLine="0" w:firstLineChars="0"/>
              <w:jc w:val="center"/>
              <w:rPr>
                <w:color w:val="auto"/>
                <w:sz w:val="21"/>
              </w:rPr>
            </w:pPr>
          </w:p>
        </w:tc>
        <w:tc>
          <w:tcPr>
            <w:tcW w:w="3031" w:type="pct"/>
            <w:gridSpan w:val="5"/>
            <w:tcBorders>
              <w:tl2br w:val="nil"/>
              <w:tr2bl w:val="nil"/>
            </w:tcBorders>
            <w:vAlign w:val="center"/>
          </w:tcPr>
          <w:p w14:paraId="6B84ED05">
            <w:pPr>
              <w:spacing w:line="240" w:lineRule="auto"/>
              <w:ind w:firstLine="0" w:firstLineChars="0"/>
              <w:jc w:val="center"/>
              <w:rPr>
                <w:color w:val="auto"/>
                <w:sz w:val="21"/>
              </w:rPr>
            </w:pPr>
          </w:p>
        </w:tc>
        <w:tc>
          <w:tcPr>
            <w:tcW w:w="681" w:type="pct"/>
            <w:tcBorders>
              <w:tl2br w:val="nil"/>
              <w:tr2bl w:val="nil"/>
            </w:tcBorders>
            <w:vAlign w:val="center"/>
          </w:tcPr>
          <w:p w14:paraId="0D1CA7C3">
            <w:pPr>
              <w:spacing w:line="240" w:lineRule="auto"/>
              <w:ind w:firstLine="0" w:firstLineChars="0"/>
              <w:jc w:val="center"/>
              <w:rPr>
                <w:color w:val="auto"/>
                <w:sz w:val="21"/>
              </w:rPr>
            </w:pPr>
          </w:p>
        </w:tc>
      </w:tr>
    </w:tbl>
    <w:p w14:paraId="5808A10C">
      <w:pPr>
        <w:spacing w:line="240" w:lineRule="auto"/>
        <w:ind w:firstLine="0" w:firstLineChars="0"/>
        <w:jc w:val="center"/>
        <w:rPr>
          <w:b/>
          <w:bCs/>
          <w:color w:val="auto"/>
        </w:rPr>
      </w:pPr>
    </w:p>
    <w:p w14:paraId="5994DB14">
      <w:pPr>
        <w:spacing w:line="240" w:lineRule="auto"/>
        <w:ind w:firstLine="0" w:firstLineChars="0"/>
        <w:jc w:val="center"/>
        <w:rPr>
          <w:b/>
          <w:bCs/>
          <w:color w:val="auto"/>
        </w:rPr>
      </w:pPr>
      <w:r>
        <w:rPr>
          <w:rFonts w:hint="eastAsia"/>
          <w:b/>
          <w:bCs/>
          <w:color w:val="auto"/>
        </w:rPr>
        <w:t>表4.4-8  亚硫酸钾生产物料投入--产出表（t/a）</w:t>
      </w:r>
    </w:p>
    <w:tbl>
      <w:tblPr>
        <w:tblStyle w:val="25"/>
        <w:tblW w:w="4999"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57"/>
        <w:gridCol w:w="1177"/>
        <w:gridCol w:w="873"/>
        <w:gridCol w:w="875"/>
        <w:gridCol w:w="1624"/>
        <w:gridCol w:w="1230"/>
        <w:gridCol w:w="1372"/>
        <w:gridCol w:w="1344"/>
      </w:tblGrid>
      <w:tr w14:paraId="52A16DF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86" w:type="pct"/>
            <w:gridSpan w:val="2"/>
            <w:tcBorders>
              <w:tl2br w:val="nil"/>
              <w:tr2bl w:val="nil"/>
            </w:tcBorders>
            <w:vAlign w:val="center"/>
          </w:tcPr>
          <w:p w14:paraId="463C7528">
            <w:pPr>
              <w:spacing w:line="240" w:lineRule="auto"/>
              <w:ind w:firstLine="0" w:firstLineChars="0"/>
              <w:jc w:val="center"/>
              <w:rPr>
                <w:b/>
                <w:bCs/>
                <w:color w:val="auto"/>
                <w:sz w:val="21"/>
              </w:rPr>
            </w:pPr>
            <w:r>
              <w:rPr>
                <w:rFonts w:hint="eastAsia"/>
                <w:b/>
                <w:bCs/>
                <w:color w:val="auto"/>
                <w:sz w:val="21"/>
              </w:rPr>
              <w:t>投入</w:t>
            </w:r>
          </w:p>
        </w:tc>
        <w:tc>
          <w:tcPr>
            <w:tcW w:w="3713" w:type="pct"/>
            <w:gridSpan w:val="6"/>
            <w:tcBorders>
              <w:tl2br w:val="nil"/>
              <w:tr2bl w:val="nil"/>
            </w:tcBorders>
            <w:vAlign w:val="center"/>
          </w:tcPr>
          <w:p w14:paraId="11D32C94">
            <w:pPr>
              <w:spacing w:line="240" w:lineRule="auto"/>
              <w:ind w:firstLine="0" w:firstLineChars="0"/>
              <w:jc w:val="center"/>
              <w:rPr>
                <w:b/>
                <w:bCs/>
                <w:color w:val="auto"/>
                <w:sz w:val="21"/>
              </w:rPr>
            </w:pPr>
            <w:r>
              <w:rPr>
                <w:rFonts w:hint="eastAsia"/>
                <w:b/>
                <w:bCs/>
                <w:color w:val="auto"/>
                <w:sz w:val="21"/>
              </w:rPr>
              <w:t>产出</w:t>
            </w:r>
          </w:p>
        </w:tc>
      </w:tr>
      <w:tr w14:paraId="0B1E784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378A7E4F">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597" w:type="pct"/>
            <w:tcBorders>
              <w:tl2br w:val="nil"/>
              <w:tr2bl w:val="nil"/>
            </w:tcBorders>
            <w:vAlign w:val="center"/>
          </w:tcPr>
          <w:p w14:paraId="67DBB88F">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43" w:type="pct"/>
            <w:tcBorders>
              <w:tl2br w:val="nil"/>
              <w:tr2bl w:val="nil"/>
            </w:tcBorders>
            <w:vAlign w:val="center"/>
          </w:tcPr>
          <w:p w14:paraId="54E56459">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43" w:type="pct"/>
            <w:tcBorders>
              <w:tl2br w:val="nil"/>
              <w:tr2bl w:val="nil"/>
            </w:tcBorders>
            <w:vAlign w:val="center"/>
          </w:tcPr>
          <w:p w14:paraId="40FB7CEE">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448" w:type="pct"/>
            <w:gridSpan w:val="2"/>
            <w:tcBorders>
              <w:tl2br w:val="nil"/>
              <w:tr2bl w:val="nil"/>
            </w:tcBorders>
            <w:vAlign w:val="center"/>
          </w:tcPr>
          <w:p w14:paraId="1799DF77">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377" w:type="pct"/>
            <w:gridSpan w:val="2"/>
            <w:tcBorders>
              <w:tl2br w:val="nil"/>
              <w:tr2bl w:val="nil"/>
            </w:tcBorders>
            <w:vAlign w:val="center"/>
          </w:tcPr>
          <w:p w14:paraId="5F8B867E">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42B038B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12F58879">
            <w:pPr>
              <w:widowControl/>
              <w:spacing w:line="240" w:lineRule="auto"/>
              <w:ind w:firstLine="0" w:firstLineChars="0"/>
              <w:jc w:val="center"/>
              <w:textAlignment w:val="center"/>
              <w:rPr>
                <w:color w:val="auto"/>
                <w:sz w:val="21"/>
              </w:rPr>
            </w:pPr>
          </w:p>
        </w:tc>
        <w:tc>
          <w:tcPr>
            <w:tcW w:w="597" w:type="pct"/>
            <w:tcBorders>
              <w:tl2br w:val="nil"/>
              <w:tr2bl w:val="nil"/>
            </w:tcBorders>
            <w:vAlign w:val="center"/>
          </w:tcPr>
          <w:p w14:paraId="45BF8E76">
            <w:pPr>
              <w:widowControl/>
              <w:spacing w:line="240" w:lineRule="auto"/>
              <w:ind w:firstLine="0" w:firstLineChars="0"/>
              <w:jc w:val="center"/>
              <w:textAlignment w:val="center"/>
              <w:rPr>
                <w:color w:val="auto"/>
                <w:sz w:val="21"/>
              </w:rPr>
            </w:pPr>
          </w:p>
        </w:tc>
        <w:tc>
          <w:tcPr>
            <w:tcW w:w="887" w:type="pct"/>
            <w:gridSpan w:val="2"/>
            <w:vMerge w:val="restart"/>
            <w:tcBorders>
              <w:tl2br w:val="nil"/>
              <w:tr2bl w:val="nil"/>
            </w:tcBorders>
            <w:vAlign w:val="center"/>
          </w:tcPr>
          <w:p w14:paraId="04C570D4">
            <w:pPr>
              <w:spacing w:line="240" w:lineRule="auto"/>
              <w:ind w:firstLine="0" w:firstLineChars="0"/>
              <w:jc w:val="center"/>
              <w:rPr>
                <w:color w:val="auto"/>
                <w:sz w:val="21"/>
              </w:rPr>
            </w:pPr>
          </w:p>
        </w:tc>
        <w:tc>
          <w:tcPr>
            <w:tcW w:w="824" w:type="pct"/>
            <w:vMerge w:val="restart"/>
            <w:tcBorders>
              <w:tl2br w:val="nil"/>
              <w:tr2bl w:val="nil"/>
            </w:tcBorders>
            <w:vAlign w:val="center"/>
          </w:tcPr>
          <w:p w14:paraId="1588EB92">
            <w:pPr>
              <w:spacing w:line="240" w:lineRule="auto"/>
              <w:ind w:firstLine="0" w:firstLineChars="0"/>
              <w:jc w:val="center"/>
              <w:rPr>
                <w:color w:val="auto"/>
                <w:sz w:val="21"/>
              </w:rPr>
            </w:pPr>
          </w:p>
        </w:tc>
        <w:tc>
          <w:tcPr>
            <w:tcW w:w="623" w:type="pct"/>
            <w:tcBorders>
              <w:tl2br w:val="nil"/>
              <w:tr2bl w:val="nil"/>
            </w:tcBorders>
            <w:vAlign w:val="center"/>
          </w:tcPr>
          <w:p w14:paraId="1C9D446F">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15465680">
            <w:pPr>
              <w:widowControl/>
              <w:spacing w:line="240" w:lineRule="auto"/>
              <w:ind w:firstLine="0" w:firstLineChars="0"/>
              <w:jc w:val="center"/>
              <w:textAlignment w:val="center"/>
              <w:rPr>
                <w:rFonts w:cs="宋体"/>
                <w:color w:val="auto"/>
                <w:kern w:val="0"/>
                <w:sz w:val="21"/>
                <w:szCs w:val="22"/>
                <w:lang w:bidi="ar"/>
              </w:rPr>
            </w:pPr>
          </w:p>
        </w:tc>
        <w:tc>
          <w:tcPr>
            <w:tcW w:w="681" w:type="pct"/>
            <w:vMerge w:val="restart"/>
            <w:tcBorders>
              <w:tl2br w:val="nil"/>
              <w:tr2bl w:val="nil"/>
            </w:tcBorders>
            <w:vAlign w:val="center"/>
          </w:tcPr>
          <w:p w14:paraId="558E6F2E">
            <w:pPr>
              <w:spacing w:line="240" w:lineRule="auto"/>
              <w:ind w:firstLine="0" w:firstLineChars="0"/>
              <w:jc w:val="center"/>
              <w:rPr>
                <w:color w:val="auto"/>
                <w:sz w:val="21"/>
              </w:rPr>
            </w:pPr>
          </w:p>
        </w:tc>
      </w:tr>
      <w:tr w14:paraId="52FC8C8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399562CB">
            <w:pPr>
              <w:widowControl/>
              <w:spacing w:line="240" w:lineRule="auto"/>
              <w:ind w:firstLine="0" w:firstLineChars="0"/>
              <w:jc w:val="center"/>
              <w:textAlignment w:val="center"/>
              <w:rPr>
                <w:color w:val="auto"/>
                <w:sz w:val="21"/>
              </w:rPr>
            </w:pPr>
          </w:p>
        </w:tc>
        <w:tc>
          <w:tcPr>
            <w:tcW w:w="597" w:type="pct"/>
            <w:tcBorders>
              <w:tl2br w:val="nil"/>
              <w:tr2bl w:val="nil"/>
            </w:tcBorders>
            <w:vAlign w:val="center"/>
          </w:tcPr>
          <w:p w14:paraId="43ED7821">
            <w:pPr>
              <w:widowControl/>
              <w:spacing w:line="240" w:lineRule="auto"/>
              <w:ind w:firstLine="0" w:firstLineChars="0"/>
              <w:jc w:val="center"/>
              <w:textAlignment w:val="center"/>
              <w:rPr>
                <w:color w:val="auto"/>
                <w:sz w:val="21"/>
              </w:rPr>
            </w:pPr>
          </w:p>
        </w:tc>
        <w:tc>
          <w:tcPr>
            <w:tcW w:w="887" w:type="pct"/>
            <w:gridSpan w:val="2"/>
            <w:vMerge w:val="continue"/>
            <w:tcBorders>
              <w:tl2br w:val="nil"/>
              <w:tr2bl w:val="nil"/>
            </w:tcBorders>
            <w:vAlign w:val="center"/>
          </w:tcPr>
          <w:p w14:paraId="57A73519">
            <w:pPr>
              <w:spacing w:line="240" w:lineRule="auto"/>
              <w:ind w:firstLine="0" w:firstLineChars="0"/>
              <w:jc w:val="center"/>
              <w:rPr>
                <w:color w:val="auto"/>
                <w:sz w:val="21"/>
              </w:rPr>
            </w:pPr>
          </w:p>
        </w:tc>
        <w:tc>
          <w:tcPr>
            <w:tcW w:w="824" w:type="pct"/>
            <w:vMerge w:val="continue"/>
            <w:tcBorders>
              <w:tl2br w:val="nil"/>
              <w:tr2bl w:val="nil"/>
            </w:tcBorders>
            <w:vAlign w:val="center"/>
          </w:tcPr>
          <w:p w14:paraId="249985AA">
            <w:pPr>
              <w:spacing w:line="240" w:lineRule="auto"/>
              <w:ind w:firstLine="0" w:firstLineChars="0"/>
              <w:jc w:val="center"/>
              <w:rPr>
                <w:color w:val="auto"/>
                <w:sz w:val="21"/>
              </w:rPr>
            </w:pPr>
          </w:p>
        </w:tc>
        <w:tc>
          <w:tcPr>
            <w:tcW w:w="623" w:type="pct"/>
            <w:tcBorders>
              <w:tl2br w:val="nil"/>
              <w:tr2bl w:val="nil"/>
            </w:tcBorders>
            <w:vAlign w:val="center"/>
          </w:tcPr>
          <w:p w14:paraId="549CD461">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505E202E">
            <w:pPr>
              <w:widowControl/>
              <w:spacing w:line="240" w:lineRule="auto"/>
              <w:ind w:firstLine="0" w:firstLineChars="0"/>
              <w:jc w:val="center"/>
              <w:textAlignment w:val="center"/>
              <w:rPr>
                <w:rFonts w:cs="宋体"/>
                <w:color w:val="auto"/>
                <w:kern w:val="0"/>
                <w:sz w:val="21"/>
                <w:szCs w:val="22"/>
                <w:lang w:bidi="ar"/>
              </w:rPr>
            </w:pPr>
          </w:p>
        </w:tc>
        <w:tc>
          <w:tcPr>
            <w:tcW w:w="681" w:type="pct"/>
            <w:vMerge w:val="continue"/>
            <w:tcBorders>
              <w:tl2br w:val="nil"/>
              <w:tr2bl w:val="nil"/>
            </w:tcBorders>
            <w:vAlign w:val="center"/>
          </w:tcPr>
          <w:p w14:paraId="09C4142C">
            <w:pPr>
              <w:spacing w:line="240" w:lineRule="auto"/>
              <w:ind w:firstLine="0" w:firstLineChars="0"/>
              <w:jc w:val="center"/>
              <w:rPr>
                <w:color w:val="auto"/>
                <w:sz w:val="21"/>
              </w:rPr>
            </w:pPr>
          </w:p>
        </w:tc>
      </w:tr>
      <w:tr w14:paraId="2FB97BD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2514946A">
            <w:pPr>
              <w:widowControl/>
              <w:spacing w:line="240" w:lineRule="auto"/>
              <w:ind w:firstLine="0" w:firstLineChars="0"/>
              <w:jc w:val="center"/>
              <w:textAlignment w:val="center"/>
              <w:rPr>
                <w:color w:val="auto"/>
                <w:sz w:val="21"/>
              </w:rPr>
            </w:pPr>
          </w:p>
        </w:tc>
        <w:tc>
          <w:tcPr>
            <w:tcW w:w="597" w:type="pct"/>
            <w:tcBorders>
              <w:tl2br w:val="nil"/>
              <w:tr2bl w:val="nil"/>
            </w:tcBorders>
            <w:vAlign w:val="center"/>
          </w:tcPr>
          <w:p w14:paraId="3622D9B0">
            <w:pPr>
              <w:widowControl/>
              <w:spacing w:line="240" w:lineRule="auto"/>
              <w:ind w:firstLine="0" w:firstLineChars="0"/>
              <w:jc w:val="center"/>
              <w:textAlignment w:val="center"/>
              <w:rPr>
                <w:color w:val="auto"/>
                <w:sz w:val="21"/>
              </w:rPr>
            </w:pPr>
          </w:p>
        </w:tc>
        <w:tc>
          <w:tcPr>
            <w:tcW w:w="887" w:type="pct"/>
            <w:gridSpan w:val="2"/>
            <w:vMerge w:val="continue"/>
            <w:tcBorders>
              <w:tl2br w:val="nil"/>
              <w:tr2bl w:val="nil"/>
            </w:tcBorders>
            <w:vAlign w:val="center"/>
          </w:tcPr>
          <w:p w14:paraId="4655A6E0">
            <w:pPr>
              <w:spacing w:line="240" w:lineRule="auto"/>
              <w:ind w:firstLine="0" w:firstLineChars="0"/>
              <w:jc w:val="center"/>
              <w:rPr>
                <w:color w:val="auto"/>
                <w:sz w:val="21"/>
              </w:rPr>
            </w:pPr>
          </w:p>
        </w:tc>
        <w:tc>
          <w:tcPr>
            <w:tcW w:w="824" w:type="pct"/>
            <w:vMerge w:val="continue"/>
            <w:tcBorders>
              <w:tl2br w:val="nil"/>
              <w:tr2bl w:val="nil"/>
            </w:tcBorders>
            <w:vAlign w:val="center"/>
          </w:tcPr>
          <w:p w14:paraId="2CB867BF">
            <w:pPr>
              <w:spacing w:line="240" w:lineRule="auto"/>
              <w:ind w:firstLine="0" w:firstLineChars="0"/>
              <w:jc w:val="center"/>
              <w:rPr>
                <w:color w:val="auto"/>
                <w:sz w:val="21"/>
              </w:rPr>
            </w:pPr>
          </w:p>
        </w:tc>
        <w:tc>
          <w:tcPr>
            <w:tcW w:w="623" w:type="pct"/>
            <w:tcBorders>
              <w:tl2br w:val="nil"/>
              <w:tr2bl w:val="nil"/>
            </w:tcBorders>
            <w:vAlign w:val="center"/>
          </w:tcPr>
          <w:p w14:paraId="13FF82D7">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49EA5A3F">
            <w:pPr>
              <w:widowControl/>
              <w:spacing w:line="240" w:lineRule="auto"/>
              <w:ind w:firstLine="0" w:firstLineChars="0"/>
              <w:jc w:val="center"/>
              <w:textAlignment w:val="center"/>
              <w:rPr>
                <w:rFonts w:cs="宋体"/>
                <w:color w:val="auto"/>
                <w:kern w:val="0"/>
                <w:sz w:val="21"/>
                <w:szCs w:val="22"/>
                <w:lang w:bidi="ar"/>
              </w:rPr>
            </w:pPr>
          </w:p>
        </w:tc>
        <w:tc>
          <w:tcPr>
            <w:tcW w:w="681" w:type="pct"/>
            <w:vMerge w:val="continue"/>
            <w:tcBorders>
              <w:tl2br w:val="nil"/>
              <w:tr2bl w:val="nil"/>
            </w:tcBorders>
            <w:vAlign w:val="center"/>
          </w:tcPr>
          <w:p w14:paraId="6669BCB6">
            <w:pPr>
              <w:spacing w:line="240" w:lineRule="auto"/>
              <w:ind w:firstLine="0" w:firstLineChars="0"/>
              <w:jc w:val="center"/>
              <w:rPr>
                <w:color w:val="auto"/>
                <w:sz w:val="21"/>
              </w:rPr>
            </w:pPr>
          </w:p>
        </w:tc>
      </w:tr>
      <w:tr w14:paraId="562C1CA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092575EB">
            <w:pPr>
              <w:widowControl/>
              <w:spacing w:line="240" w:lineRule="auto"/>
              <w:ind w:firstLine="0" w:firstLineChars="0"/>
              <w:jc w:val="center"/>
              <w:textAlignment w:val="center"/>
              <w:rPr>
                <w:color w:val="auto"/>
                <w:sz w:val="21"/>
              </w:rPr>
            </w:pPr>
          </w:p>
        </w:tc>
        <w:tc>
          <w:tcPr>
            <w:tcW w:w="597" w:type="pct"/>
            <w:tcBorders>
              <w:tl2br w:val="nil"/>
              <w:tr2bl w:val="nil"/>
            </w:tcBorders>
            <w:vAlign w:val="center"/>
          </w:tcPr>
          <w:p w14:paraId="3D219AF4">
            <w:pPr>
              <w:widowControl/>
              <w:spacing w:line="240" w:lineRule="auto"/>
              <w:ind w:firstLine="0" w:firstLineChars="0"/>
              <w:jc w:val="center"/>
              <w:textAlignment w:val="center"/>
              <w:rPr>
                <w:color w:val="auto"/>
                <w:sz w:val="21"/>
              </w:rPr>
            </w:pPr>
          </w:p>
        </w:tc>
        <w:tc>
          <w:tcPr>
            <w:tcW w:w="887" w:type="pct"/>
            <w:gridSpan w:val="2"/>
            <w:vMerge w:val="continue"/>
            <w:tcBorders>
              <w:tl2br w:val="nil"/>
              <w:tr2bl w:val="nil"/>
            </w:tcBorders>
            <w:vAlign w:val="center"/>
          </w:tcPr>
          <w:p w14:paraId="0755756D">
            <w:pPr>
              <w:spacing w:line="240" w:lineRule="auto"/>
              <w:ind w:firstLine="0" w:firstLineChars="0"/>
              <w:jc w:val="center"/>
              <w:rPr>
                <w:color w:val="auto"/>
                <w:sz w:val="21"/>
              </w:rPr>
            </w:pPr>
          </w:p>
        </w:tc>
        <w:tc>
          <w:tcPr>
            <w:tcW w:w="824" w:type="pct"/>
            <w:vMerge w:val="continue"/>
            <w:tcBorders>
              <w:tl2br w:val="nil"/>
              <w:tr2bl w:val="nil"/>
            </w:tcBorders>
            <w:vAlign w:val="center"/>
          </w:tcPr>
          <w:p w14:paraId="7C1ED278">
            <w:pPr>
              <w:spacing w:line="240" w:lineRule="auto"/>
              <w:ind w:firstLine="0" w:firstLineChars="0"/>
              <w:jc w:val="center"/>
              <w:rPr>
                <w:color w:val="auto"/>
                <w:sz w:val="21"/>
              </w:rPr>
            </w:pPr>
          </w:p>
        </w:tc>
        <w:tc>
          <w:tcPr>
            <w:tcW w:w="623" w:type="pct"/>
            <w:tcBorders>
              <w:tl2br w:val="nil"/>
              <w:tr2bl w:val="nil"/>
            </w:tcBorders>
            <w:vAlign w:val="center"/>
          </w:tcPr>
          <w:p w14:paraId="608C0C58">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62C0C801">
            <w:pPr>
              <w:widowControl/>
              <w:spacing w:line="240" w:lineRule="auto"/>
              <w:ind w:firstLine="0" w:firstLineChars="0"/>
              <w:jc w:val="center"/>
              <w:textAlignment w:val="center"/>
              <w:rPr>
                <w:rFonts w:cs="宋体"/>
                <w:color w:val="auto"/>
                <w:kern w:val="0"/>
                <w:sz w:val="21"/>
                <w:szCs w:val="22"/>
                <w:lang w:bidi="ar"/>
              </w:rPr>
            </w:pPr>
          </w:p>
        </w:tc>
        <w:tc>
          <w:tcPr>
            <w:tcW w:w="681" w:type="pct"/>
            <w:vMerge w:val="continue"/>
            <w:tcBorders>
              <w:tl2br w:val="nil"/>
              <w:tr2bl w:val="nil"/>
            </w:tcBorders>
            <w:vAlign w:val="center"/>
          </w:tcPr>
          <w:p w14:paraId="265A865B">
            <w:pPr>
              <w:spacing w:line="240" w:lineRule="auto"/>
              <w:ind w:firstLine="0" w:firstLineChars="0"/>
              <w:jc w:val="center"/>
              <w:rPr>
                <w:color w:val="auto"/>
                <w:sz w:val="21"/>
              </w:rPr>
            </w:pPr>
          </w:p>
        </w:tc>
      </w:tr>
      <w:tr w14:paraId="6B66D04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16A3F35F">
            <w:pPr>
              <w:widowControl/>
              <w:spacing w:line="240" w:lineRule="auto"/>
              <w:ind w:firstLine="0" w:firstLineChars="0"/>
              <w:jc w:val="center"/>
              <w:textAlignment w:val="center"/>
              <w:rPr>
                <w:color w:val="auto"/>
                <w:sz w:val="21"/>
              </w:rPr>
            </w:pPr>
          </w:p>
        </w:tc>
        <w:tc>
          <w:tcPr>
            <w:tcW w:w="597" w:type="pct"/>
            <w:tcBorders>
              <w:tl2br w:val="nil"/>
              <w:tr2bl w:val="nil"/>
            </w:tcBorders>
            <w:vAlign w:val="center"/>
          </w:tcPr>
          <w:p w14:paraId="53015DA6">
            <w:pPr>
              <w:widowControl/>
              <w:spacing w:line="240" w:lineRule="auto"/>
              <w:ind w:firstLine="0" w:firstLineChars="0"/>
              <w:jc w:val="center"/>
              <w:textAlignment w:val="center"/>
              <w:rPr>
                <w:color w:val="auto"/>
                <w:sz w:val="21"/>
              </w:rPr>
            </w:pPr>
          </w:p>
        </w:tc>
        <w:tc>
          <w:tcPr>
            <w:tcW w:w="443" w:type="pct"/>
            <w:vMerge w:val="restart"/>
            <w:tcBorders>
              <w:tl2br w:val="nil"/>
              <w:tr2bl w:val="nil"/>
            </w:tcBorders>
            <w:vAlign w:val="center"/>
          </w:tcPr>
          <w:p w14:paraId="07F71D7D">
            <w:pPr>
              <w:spacing w:line="240" w:lineRule="auto"/>
              <w:ind w:firstLine="0" w:firstLineChars="0"/>
              <w:jc w:val="center"/>
              <w:rPr>
                <w:color w:val="auto"/>
                <w:sz w:val="21"/>
              </w:rPr>
            </w:pPr>
          </w:p>
        </w:tc>
        <w:tc>
          <w:tcPr>
            <w:tcW w:w="443" w:type="pct"/>
            <w:tcBorders>
              <w:tl2br w:val="nil"/>
              <w:tr2bl w:val="nil"/>
            </w:tcBorders>
            <w:vAlign w:val="center"/>
          </w:tcPr>
          <w:p w14:paraId="0B527B1D">
            <w:pPr>
              <w:widowControl/>
              <w:spacing w:line="240" w:lineRule="auto"/>
              <w:ind w:firstLine="0" w:firstLineChars="0"/>
              <w:jc w:val="center"/>
              <w:textAlignment w:val="center"/>
              <w:rPr>
                <w:color w:val="auto"/>
                <w:sz w:val="21"/>
              </w:rPr>
            </w:pPr>
          </w:p>
        </w:tc>
        <w:tc>
          <w:tcPr>
            <w:tcW w:w="824" w:type="pct"/>
            <w:tcBorders>
              <w:tl2br w:val="nil"/>
              <w:tr2bl w:val="nil"/>
            </w:tcBorders>
            <w:vAlign w:val="center"/>
          </w:tcPr>
          <w:p w14:paraId="4200C0BF">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299126DF">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7E61D80E">
            <w:pPr>
              <w:widowControl/>
              <w:spacing w:line="240" w:lineRule="auto"/>
              <w:ind w:firstLine="0" w:firstLineChars="0"/>
              <w:jc w:val="center"/>
              <w:textAlignment w:val="center"/>
              <w:rPr>
                <w:color w:val="auto"/>
                <w:sz w:val="21"/>
              </w:rPr>
            </w:pPr>
          </w:p>
        </w:tc>
        <w:tc>
          <w:tcPr>
            <w:tcW w:w="681" w:type="pct"/>
            <w:vMerge w:val="restart"/>
            <w:tcBorders>
              <w:tl2br w:val="nil"/>
              <w:tr2bl w:val="nil"/>
            </w:tcBorders>
            <w:vAlign w:val="center"/>
          </w:tcPr>
          <w:p w14:paraId="12FA68D4">
            <w:pPr>
              <w:spacing w:line="240" w:lineRule="auto"/>
              <w:ind w:firstLine="0" w:firstLineChars="0"/>
              <w:jc w:val="center"/>
              <w:rPr>
                <w:color w:val="auto"/>
                <w:sz w:val="21"/>
              </w:rPr>
            </w:pPr>
          </w:p>
        </w:tc>
      </w:tr>
      <w:tr w14:paraId="3F79613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2B308F0C">
            <w:pPr>
              <w:spacing w:line="240" w:lineRule="auto"/>
              <w:ind w:firstLine="0" w:firstLineChars="0"/>
              <w:jc w:val="center"/>
              <w:rPr>
                <w:color w:val="auto"/>
                <w:sz w:val="21"/>
              </w:rPr>
            </w:pPr>
          </w:p>
        </w:tc>
        <w:tc>
          <w:tcPr>
            <w:tcW w:w="597" w:type="pct"/>
            <w:tcBorders>
              <w:tl2br w:val="nil"/>
              <w:tr2bl w:val="nil"/>
            </w:tcBorders>
            <w:vAlign w:val="center"/>
          </w:tcPr>
          <w:p w14:paraId="13971CC2">
            <w:pPr>
              <w:spacing w:line="240" w:lineRule="auto"/>
              <w:ind w:firstLine="0" w:firstLineChars="0"/>
              <w:jc w:val="center"/>
              <w:rPr>
                <w:color w:val="auto"/>
                <w:sz w:val="21"/>
              </w:rPr>
            </w:pPr>
          </w:p>
        </w:tc>
        <w:tc>
          <w:tcPr>
            <w:tcW w:w="443" w:type="pct"/>
            <w:vMerge w:val="continue"/>
            <w:tcBorders>
              <w:tl2br w:val="nil"/>
              <w:tr2bl w:val="nil"/>
            </w:tcBorders>
            <w:vAlign w:val="center"/>
          </w:tcPr>
          <w:p w14:paraId="2B0664A6">
            <w:pPr>
              <w:spacing w:line="240" w:lineRule="auto"/>
              <w:ind w:firstLine="0" w:firstLineChars="0"/>
              <w:jc w:val="center"/>
              <w:rPr>
                <w:color w:val="auto"/>
                <w:sz w:val="21"/>
              </w:rPr>
            </w:pPr>
          </w:p>
        </w:tc>
        <w:tc>
          <w:tcPr>
            <w:tcW w:w="443" w:type="pct"/>
            <w:tcBorders>
              <w:tl2br w:val="nil"/>
              <w:tr2bl w:val="nil"/>
            </w:tcBorders>
            <w:vAlign w:val="center"/>
          </w:tcPr>
          <w:p w14:paraId="26A9021C">
            <w:pPr>
              <w:widowControl/>
              <w:spacing w:line="240" w:lineRule="auto"/>
              <w:ind w:firstLine="0" w:firstLineChars="0"/>
              <w:jc w:val="center"/>
              <w:textAlignment w:val="center"/>
              <w:rPr>
                <w:color w:val="auto"/>
                <w:sz w:val="21"/>
              </w:rPr>
            </w:pPr>
          </w:p>
        </w:tc>
        <w:tc>
          <w:tcPr>
            <w:tcW w:w="824" w:type="pct"/>
            <w:tcBorders>
              <w:tl2br w:val="nil"/>
              <w:tr2bl w:val="nil"/>
            </w:tcBorders>
            <w:vAlign w:val="center"/>
          </w:tcPr>
          <w:p w14:paraId="03C04958">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54471AE7">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1AB7E9F0">
            <w:pPr>
              <w:widowControl/>
              <w:spacing w:line="240" w:lineRule="auto"/>
              <w:ind w:firstLine="0" w:firstLineChars="0"/>
              <w:jc w:val="center"/>
              <w:textAlignment w:val="center"/>
              <w:rPr>
                <w:color w:val="auto"/>
                <w:sz w:val="21"/>
              </w:rPr>
            </w:pPr>
          </w:p>
        </w:tc>
        <w:tc>
          <w:tcPr>
            <w:tcW w:w="681" w:type="pct"/>
            <w:vMerge w:val="continue"/>
            <w:tcBorders>
              <w:tl2br w:val="nil"/>
              <w:tr2bl w:val="nil"/>
            </w:tcBorders>
            <w:vAlign w:val="center"/>
          </w:tcPr>
          <w:p w14:paraId="4237C3E2">
            <w:pPr>
              <w:spacing w:line="240" w:lineRule="auto"/>
              <w:ind w:firstLine="0" w:firstLineChars="0"/>
              <w:jc w:val="center"/>
              <w:rPr>
                <w:color w:val="auto"/>
                <w:sz w:val="21"/>
              </w:rPr>
            </w:pPr>
          </w:p>
        </w:tc>
      </w:tr>
      <w:tr w14:paraId="7AE34CF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7F60845A">
            <w:pPr>
              <w:spacing w:line="240" w:lineRule="auto"/>
              <w:ind w:firstLine="0" w:firstLineChars="0"/>
              <w:jc w:val="center"/>
              <w:rPr>
                <w:color w:val="auto"/>
                <w:sz w:val="21"/>
              </w:rPr>
            </w:pPr>
          </w:p>
        </w:tc>
        <w:tc>
          <w:tcPr>
            <w:tcW w:w="597" w:type="pct"/>
            <w:tcBorders>
              <w:tl2br w:val="nil"/>
              <w:tr2bl w:val="nil"/>
            </w:tcBorders>
            <w:vAlign w:val="center"/>
          </w:tcPr>
          <w:p w14:paraId="57A3F15E">
            <w:pPr>
              <w:spacing w:line="240" w:lineRule="auto"/>
              <w:ind w:firstLine="0" w:firstLineChars="0"/>
              <w:jc w:val="center"/>
              <w:rPr>
                <w:color w:val="auto"/>
                <w:sz w:val="21"/>
              </w:rPr>
            </w:pPr>
          </w:p>
        </w:tc>
        <w:tc>
          <w:tcPr>
            <w:tcW w:w="443" w:type="pct"/>
            <w:vMerge w:val="continue"/>
            <w:tcBorders>
              <w:tl2br w:val="nil"/>
              <w:tr2bl w:val="nil"/>
            </w:tcBorders>
            <w:vAlign w:val="center"/>
          </w:tcPr>
          <w:p w14:paraId="3D214CB7">
            <w:pPr>
              <w:spacing w:line="240" w:lineRule="auto"/>
              <w:ind w:firstLine="0" w:firstLineChars="0"/>
              <w:jc w:val="center"/>
              <w:rPr>
                <w:color w:val="auto"/>
                <w:sz w:val="21"/>
              </w:rPr>
            </w:pPr>
          </w:p>
        </w:tc>
        <w:tc>
          <w:tcPr>
            <w:tcW w:w="443" w:type="pct"/>
            <w:tcBorders>
              <w:tl2br w:val="nil"/>
              <w:tr2bl w:val="nil"/>
            </w:tcBorders>
            <w:vAlign w:val="center"/>
          </w:tcPr>
          <w:p w14:paraId="3BC9226F">
            <w:pPr>
              <w:widowControl/>
              <w:spacing w:line="240" w:lineRule="auto"/>
              <w:ind w:firstLine="0" w:firstLineChars="0"/>
              <w:jc w:val="center"/>
              <w:textAlignment w:val="center"/>
              <w:rPr>
                <w:color w:val="auto"/>
                <w:sz w:val="21"/>
              </w:rPr>
            </w:pPr>
          </w:p>
        </w:tc>
        <w:tc>
          <w:tcPr>
            <w:tcW w:w="824" w:type="pct"/>
            <w:tcBorders>
              <w:tl2br w:val="nil"/>
              <w:tr2bl w:val="nil"/>
            </w:tcBorders>
            <w:vAlign w:val="center"/>
          </w:tcPr>
          <w:p w14:paraId="12FD9703">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1F1E4428">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58C45593">
            <w:pPr>
              <w:widowControl/>
              <w:spacing w:line="240" w:lineRule="auto"/>
              <w:ind w:firstLine="0" w:firstLineChars="0"/>
              <w:jc w:val="center"/>
              <w:textAlignment w:val="center"/>
              <w:rPr>
                <w:color w:val="auto"/>
                <w:sz w:val="21"/>
              </w:rPr>
            </w:pPr>
          </w:p>
        </w:tc>
        <w:tc>
          <w:tcPr>
            <w:tcW w:w="681" w:type="pct"/>
            <w:vMerge w:val="continue"/>
            <w:tcBorders>
              <w:tl2br w:val="nil"/>
              <w:tr2bl w:val="nil"/>
            </w:tcBorders>
            <w:vAlign w:val="center"/>
          </w:tcPr>
          <w:p w14:paraId="758EAD60">
            <w:pPr>
              <w:spacing w:line="240" w:lineRule="auto"/>
              <w:ind w:firstLine="0" w:firstLineChars="0"/>
              <w:jc w:val="center"/>
              <w:rPr>
                <w:color w:val="auto"/>
                <w:sz w:val="21"/>
              </w:rPr>
            </w:pPr>
          </w:p>
        </w:tc>
      </w:tr>
      <w:tr w14:paraId="55CC947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4F5CA914">
            <w:pPr>
              <w:spacing w:line="240" w:lineRule="auto"/>
              <w:ind w:firstLine="0" w:firstLineChars="0"/>
              <w:jc w:val="center"/>
              <w:rPr>
                <w:color w:val="auto"/>
                <w:sz w:val="21"/>
              </w:rPr>
            </w:pPr>
          </w:p>
        </w:tc>
        <w:tc>
          <w:tcPr>
            <w:tcW w:w="597" w:type="pct"/>
            <w:tcBorders>
              <w:tl2br w:val="nil"/>
              <w:tr2bl w:val="nil"/>
            </w:tcBorders>
            <w:vAlign w:val="center"/>
          </w:tcPr>
          <w:p w14:paraId="7C992E04">
            <w:pPr>
              <w:spacing w:line="240" w:lineRule="auto"/>
              <w:ind w:firstLine="0" w:firstLineChars="0"/>
              <w:jc w:val="center"/>
              <w:rPr>
                <w:color w:val="auto"/>
                <w:sz w:val="21"/>
              </w:rPr>
            </w:pPr>
          </w:p>
        </w:tc>
        <w:tc>
          <w:tcPr>
            <w:tcW w:w="1711" w:type="pct"/>
            <w:gridSpan w:val="3"/>
            <w:vMerge w:val="restart"/>
            <w:tcBorders>
              <w:tl2br w:val="nil"/>
              <w:tr2bl w:val="nil"/>
            </w:tcBorders>
            <w:vAlign w:val="center"/>
          </w:tcPr>
          <w:p w14:paraId="376696AC">
            <w:pPr>
              <w:spacing w:line="240" w:lineRule="auto"/>
              <w:ind w:firstLine="0" w:firstLineChars="0"/>
              <w:jc w:val="center"/>
              <w:rPr>
                <w:color w:val="auto"/>
                <w:sz w:val="21"/>
              </w:rPr>
            </w:pPr>
          </w:p>
        </w:tc>
        <w:tc>
          <w:tcPr>
            <w:tcW w:w="623" w:type="pct"/>
            <w:tcBorders>
              <w:tl2br w:val="nil"/>
              <w:tr2bl w:val="nil"/>
            </w:tcBorders>
            <w:vAlign w:val="center"/>
          </w:tcPr>
          <w:p w14:paraId="2FF41A38">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4ACBE4FA">
            <w:pPr>
              <w:widowControl/>
              <w:spacing w:line="240" w:lineRule="auto"/>
              <w:ind w:firstLine="0" w:firstLineChars="0"/>
              <w:jc w:val="center"/>
              <w:textAlignment w:val="center"/>
              <w:rPr>
                <w:color w:val="auto"/>
                <w:sz w:val="21"/>
              </w:rPr>
            </w:pPr>
          </w:p>
        </w:tc>
        <w:tc>
          <w:tcPr>
            <w:tcW w:w="681" w:type="pct"/>
            <w:vMerge w:val="restart"/>
            <w:tcBorders>
              <w:tl2br w:val="nil"/>
              <w:tr2bl w:val="nil"/>
            </w:tcBorders>
            <w:vAlign w:val="center"/>
          </w:tcPr>
          <w:p w14:paraId="2393BFA1">
            <w:pPr>
              <w:spacing w:line="240" w:lineRule="auto"/>
              <w:ind w:firstLine="0" w:firstLineChars="0"/>
              <w:jc w:val="center"/>
              <w:rPr>
                <w:color w:val="auto"/>
                <w:sz w:val="21"/>
              </w:rPr>
            </w:pPr>
          </w:p>
        </w:tc>
      </w:tr>
      <w:tr w14:paraId="4C9D3A3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40994CC6">
            <w:pPr>
              <w:spacing w:line="240" w:lineRule="auto"/>
              <w:ind w:firstLine="0" w:firstLineChars="0"/>
              <w:jc w:val="center"/>
              <w:rPr>
                <w:color w:val="auto"/>
                <w:sz w:val="21"/>
              </w:rPr>
            </w:pPr>
          </w:p>
        </w:tc>
        <w:tc>
          <w:tcPr>
            <w:tcW w:w="597" w:type="pct"/>
            <w:tcBorders>
              <w:tl2br w:val="nil"/>
              <w:tr2bl w:val="nil"/>
            </w:tcBorders>
            <w:vAlign w:val="center"/>
          </w:tcPr>
          <w:p w14:paraId="02DDD968">
            <w:pPr>
              <w:spacing w:line="240" w:lineRule="auto"/>
              <w:ind w:firstLine="0" w:firstLineChars="0"/>
              <w:jc w:val="center"/>
              <w:rPr>
                <w:color w:val="auto"/>
                <w:sz w:val="21"/>
              </w:rPr>
            </w:pPr>
          </w:p>
        </w:tc>
        <w:tc>
          <w:tcPr>
            <w:tcW w:w="1711" w:type="pct"/>
            <w:gridSpan w:val="3"/>
            <w:vMerge w:val="continue"/>
            <w:tcBorders>
              <w:tl2br w:val="nil"/>
              <w:tr2bl w:val="nil"/>
            </w:tcBorders>
            <w:vAlign w:val="center"/>
          </w:tcPr>
          <w:p w14:paraId="5BC55743">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714E5718">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2775FE6F">
            <w:pPr>
              <w:widowControl/>
              <w:spacing w:line="240" w:lineRule="auto"/>
              <w:ind w:firstLine="0" w:firstLineChars="0"/>
              <w:jc w:val="center"/>
              <w:textAlignment w:val="center"/>
              <w:rPr>
                <w:color w:val="auto"/>
                <w:sz w:val="21"/>
              </w:rPr>
            </w:pPr>
          </w:p>
        </w:tc>
        <w:tc>
          <w:tcPr>
            <w:tcW w:w="681" w:type="pct"/>
            <w:vMerge w:val="continue"/>
            <w:tcBorders>
              <w:tl2br w:val="nil"/>
              <w:tr2bl w:val="nil"/>
            </w:tcBorders>
            <w:vAlign w:val="center"/>
          </w:tcPr>
          <w:p w14:paraId="4BFA6F79">
            <w:pPr>
              <w:spacing w:line="240" w:lineRule="auto"/>
              <w:ind w:firstLine="0" w:firstLineChars="0"/>
              <w:jc w:val="center"/>
              <w:rPr>
                <w:color w:val="auto"/>
                <w:sz w:val="21"/>
              </w:rPr>
            </w:pPr>
          </w:p>
        </w:tc>
      </w:tr>
      <w:tr w14:paraId="59EF65A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6BE5A071">
            <w:pPr>
              <w:spacing w:line="240" w:lineRule="auto"/>
              <w:ind w:firstLine="0" w:firstLineChars="0"/>
              <w:jc w:val="center"/>
              <w:rPr>
                <w:color w:val="auto"/>
                <w:sz w:val="21"/>
              </w:rPr>
            </w:pPr>
          </w:p>
        </w:tc>
        <w:tc>
          <w:tcPr>
            <w:tcW w:w="597" w:type="pct"/>
            <w:tcBorders>
              <w:tl2br w:val="nil"/>
              <w:tr2bl w:val="nil"/>
            </w:tcBorders>
            <w:vAlign w:val="center"/>
          </w:tcPr>
          <w:p w14:paraId="65BD0900">
            <w:pPr>
              <w:spacing w:line="240" w:lineRule="auto"/>
              <w:ind w:firstLine="0" w:firstLineChars="0"/>
              <w:jc w:val="center"/>
              <w:rPr>
                <w:color w:val="auto"/>
                <w:sz w:val="21"/>
              </w:rPr>
            </w:pPr>
          </w:p>
        </w:tc>
        <w:tc>
          <w:tcPr>
            <w:tcW w:w="2335" w:type="pct"/>
            <w:gridSpan w:val="4"/>
            <w:tcBorders>
              <w:tl2br w:val="nil"/>
              <w:tr2bl w:val="nil"/>
            </w:tcBorders>
            <w:vAlign w:val="center"/>
          </w:tcPr>
          <w:p w14:paraId="36AA75E6">
            <w:pPr>
              <w:spacing w:line="240" w:lineRule="auto"/>
              <w:ind w:firstLine="0" w:firstLineChars="0"/>
              <w:jc w:val="center"/>
              <w:rPr>
                <w:color w:val="auto"/>
                <w:sz w:val="21"/>
              </w:rPr>
            </w:pPr>
          </w:p>
        </w:tc>
        <w:tc>
          <w:tcPr>
            <w:tcW w:w="696" w:type="pct"/>
            <w:tcBorders>
              <w:tl2br w:val="nil"/>
              <w:tr2bl w:val="nil"/>
            </w:tcBorders>
            <w:vAlign w:val="center"/>
          </w:tcPr>
          <w:p w14:paraId="58833B8A">
            <w:pPr>
              <w:widowControl/>
              <w:spacing w:line="240" w:lineRule="auto"/>
              <w:ind w:firstLine="0" w:firstLineChars="0"/>
              <w:jc w:val="center"/>
              <w:textAlignment w:val="center"/>
              <w:rPr>
                <w:color w:val="auto"/>
                <w:sz w:val="21"/>
              </w:rPr>
            </w:pPr>
          </w:p>
        </w:tc>
        <w:tc>
          <w:tcPr>
            <w:tcW w:w="681" w:type="pct"/>
            <w:tcBorders>
              <w:tl2br w:val="nil"/>
              <w:tr2bl w:val="nil"/>
            </w:tcBorders>
            <w:vAlign w:val="center"/>
          </w:tcPr>
          <w:p w14:paraId="1D8BB27D">
            <w:pPr>
              <w:widowControl/>
              <w:spacing w:line="240" w:lineRule="auto"/>
              <w:ind w:firstLine="0" w:firstLineChars="0"/>
              <w:jc w:val="center"/>
              <w:textAlignment w:val="center"/>
              <w:rPr>
                <w:color w:val="auto"/>
                <w:sz w:val="21"/>
              </w:rPr>
            </w:pPr>
          </w:p>
        </w:tc>
      </w:tr>
      <w:tr w14:paraId="5C53349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763088A1">
            <w:pPr>
              <w:spacing w:line="240" w:lineRule="auto"/>
              <w:ind w:firstLine="0" w:firstLineChars="0"/>
              <w:jc w:val="center"/>
              <w:rPr>
                <w:color w:val="auto"/>
                <w:sz w:val="21"/>
              </w:rPr>
            </w:pPr>
          </w:p>
        </w:tc>
        <w:tc>
          <w:tcPr>
            <w:tcW w:w="597" w:type="pct"/>
            <w:tcBorders>
              <w:tl2br w:val="nil"/>
              <w:tr2bl w:val="nil"/>
            </w:tcBorders>
            <w:vAlign w:val="center"/>
          </w:tcPr>
          <w:p w14:paraId="4E450006">
            <w:pPr>
              <w:spacing w:line="240" w:lineRule="auto"/>
              <w:ind w:firstLine="0" w:firstLineChars="0"/>
              <w:jc w:val="center"/>
              <w:rPr>
                <w:color w:val="auto"/>
                <w:sz w:val="21"/>
              </w:rPr>
            </w:pPr>
          </w:p>
        </w:tc>
        <w:tc>
          <w:tcPr>
            <w:tcW w:w="2335" w:type="pct"/>
            <w:gridSpan w:val="4"/>
            <w:tcBorders>
              <w:tl2br w:val="nil"/>
              <w:tr2bl w:val="nil"/>
            </w:tcBorders>
            <w:vAlign w:val="center"/>
          </w:tcPr>
          <w:p w14:paraId="4B9EDF96">
            <w:pPr>
              <w:spacing w:line="240" w:lineRule="auto"/>
              <w:ind w:firstLine="0" w:firstLineChars="0"/>
              <w:jc w:val="center"/>
              <w:rPr>
                <w:color w:val="auto"/>
                <w:sz w:val="21"/>
              </w:rPr>
            </w:pPr>
          </w:p>
        </w:tc>
        <w:tc>
          <w:tcPr>
            <w:tcW w:w="696" w:type="pct"/>
            <w:tcBorders>
              <w:tl2br w:val="nil"/>
              <w:tr2bl w:val="nil"/>
            </w:tcBorders>
            <w:vAlign w:val="center"/>
          </w:tcPr>
          <w:p w14:paraId="28F65C13">
            <w:pPr>
              <w:widowControl/>
              <w:spacing w:line="240" w:lineRule="auto"/>
              <w:ind w:firstLine="0" w:firstLineChars="0"/>
              <w:jc w:val="center"/>
              <w:textAlignment w:val="center"/>
              <w:rPr>
                <w:color w:val="auto"/>
                <w:sz w:val="21"/>
              </w:rPr>
            </w:pPr>
          </w:p>
        </w:tc>
        <w:tc>
          <w:tcPr>
            <w:tcW w:w="681" w:type="pct"/>
            <w:tcBorders>
              <w:tl2br w:val="nil"/>
              <w:tr2bl w:val="nil"/>
            </w:tcBorders>
            <w:vAlign w:val="center"/>
          </w:tcPr>
          <w:p w14:paraId="07895F70">
            <w:pPr>
              <w:widowControl/>
              <w:spacing w:line="240" w:lineRule="auto"/>
              <w:ind w:firstLine="0" w:firstLineChars="0"/>
              <w:jc w:val="center"/>
              <w:textAlignment w:val="center"/>
              <w:rPr>
                <w:color w:val="auto"/>
                <w:sz w:val="21"/>
              </w:rPr>
            </w:pPr>
          </w:p>
        </w:tc>
      </w:tr>
      <w:tr w14:paraId="39A5F41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89" w:type="pct"/>
            <w:tcBorders>
              <w:tl2br w:val="nil"/>
              <w:tr2bl w:val="nil"/>
            </w:tcBorders>
            <w:vAlign w:val="center"/>
          </w:tcPr>
          <w:p w14:paraId="52AE551F">
            <w:pPr>
              <w:spacing w:line="240" w:lineRule="auto"/>
              <w:ind w:firstLine="0" w:firstLineChars="0"/>
              <w:jc w:val="center"/>
              <w:rPr>
                <w:color w:val="auto"/>
                <w:sz w:val="21"/>
              </w:rPr>
            </w:pPr>
          </w:p>
        </w:tc>
        <w:tc>
          <w:tcPr>
            <w:tcW w:w="597" w:type="pct"/>
            <w:tcBorders>
              <w:tl2br w:val="nil"/>
              <w:tr2bl w:val="nil"/>
            </w:tcBorders>
            <w:vAlign w:val="center"/>
          </w:tcPr>
          <w:p w14:paraId="66071057">
            <w:pPr>
              <w:spacing w:line="240" w:lineRule="auto"/>
              <w:ind w:firstLine="0" w:firstLineChars="0"/>
              <w:jc w:val="center"/>
              <w:rPr>
                <w:color w:val="auto"/>
                <w:sz w:val="21"/>
              </w:rPr>
            </w:pPr>
          </w:p>
        </w:tc>
        <w:tc>
          <w:tcPr>
            <w:tcW w:w="3031" w:type="pct"/>
            <w:gridSpan w:val="5"/>
            <w:tcBorders>
              <w:tl2br w:val="nil"/>
              <w:tr2bl w:val="nil"/>
            </w:tcBorders>
            <w:vAlign w:val="center"/>
          </w:tcPr>
          <w:p w14:paraId="7891752E">
            <w:pPr>
              <w:spacing w:line="240" w:lineRule="auto"/>
              <w:ind w:firstLine="0" w:firstLineChars="0"/>
              <w:jc w:val="center"/>
              <w:rPr>
                <w:color w:val="auto"/>
                <w:sz w:val="21"/>
              </w:rPr>
            </w:pPr>
          </w:p>
        </w:tc>
        <w:tc>
          <w:tcPr>
            <w:tcW w:w="681" w:type="pct"/>
            <w:tcBorders>
              <w:tl2br w:val="nil"/>
              <w:tr2bl w:val="nil"/>
            </w:tcBorders>
            <w:vAlign w:val="center"/>
          </w:tcPr>
          <w:p w14:paraId="47CFD82C">
            <w:pPr>
              <w:spacing w:line="240" w:lineRule="auto"/>
              <w:ind w:firstLine="0" w:firstLineChars="0"/>
              <w:jc w:val="center"/>
              <w:rPr>
                <w:color w:val="auto"/>
                <w:sz w:val="21"/>
              </w:rPr>
            </w:pPr>
          </w:p>
        </w:tc>
      </w:tr>
    </w:tbl>
    <w:p w14:paraId="4517375B">
      <w:pPr>
        <w:spacing w:line="240" w:lineRule="auto"/>
        <w:ind w:firstLine="480"/>
        <w:jc w:val="center"/>
        <w:rPr>
          <w:color w:val="auto"/>
        </w:rPr>
      </w:pPr>
    </w:p>
    <w:p w14:paraId="70147F0D">
      <w:pPr>
        <w:adjustRightInd/>
        <w:snapToGrid/>
        <w:spacing w:before="156" w:beforeLines="50" w:line="240" w:lineRule="auto"/>
        <w:ind w:firstLine="480"/>
        <w:jc w:val="center"/>
        <w:rPr>
          <w:color w:val="auto"/>
        </w:rPr>
      </w:pPr>
    </w:p>
    <w:p w14:paraId="096428A1">
      <w:pPr>
        <w:pStyle w:val="49"/>
        <w:rPr>
          <w:color w:val="auto"/>
        </w:rPr>
      </w:pPr>
      <w:r>
        <w:rPr>
          <w:rFonts w:hint="eastAsia"/>
          <w:color w:val="auto"/>
        </w:rPr>
        <w:t>图4.4-9  亚硫酸钾生产物料平衡图（t/a）</w:t>
      </w:r>
    </w:p>
    <w:p w14:paraId="78821944">
      <w:pPr>
        <w:ind w:firstLine="480"/>
        <w:rPr>
          <w:color w:val="auto"/>
        </w:rPr>
      </w:pPr>
    </w:p>
    <w:p w14:paraId="64D425B8">
      <w:pPr>
        <w:pStyle w:val="6"/>
        <w:spacing w:before="156"/>
        <w:ind w:firstLine="482"/>
        <w:rPr>
          <w:color w:val="auto"/>
        </w:rPr>
      </w:pPr>
      <w:r>
        <w:rPr>
          <w:rFonts w:hint="eastAsia"/>
          <w:color w:val="auto"/>
        </w:rPr>
        <w:t>1.2亚硫酸钠生产物料平衡</w:t>
      </w:r>
    </w:p>
    <w:p w14:paraId="0FAEE3D0">
      <w:pPr>
        <w:ind w:firstLine="480"/>
        <w:rPr>
          <w:rFonts w:hint="eastAsia" w:hAnsi="宋体"/>
          <w:color w:val="auto"/>
        </w:rPr>
      </w:pPr>
      <w:r>
        <w:rPr>
          <w:rFonts w:hint="eastAsia" w:hAnsi="宋体"/>
          <w:color w:val="auto"/>
        </w:rPr>
        <w:t>亚硫酸钠年生产时间为7200h，单批次生产5.3h，全年生产1344批次。亚硫酸钠</w:t>
      </w:r>
      <w:r>
        <w:rPr>
          <w:rFonts w:hAnsi="宋体"/>
          <w:color w:val="auto"/>
        </w:rPr>
        <w:t>单批次、一年投入产出统计分别见表4.</w:t>
      </w:r>
      <w:r>
        <w:rPr>
          <w:rFonts w:hint="eastAsia" w:hAnsi="宋体"/>
          <w:color w:val="auto"/>
        </w:rPr>
        <w:t>4</w:t>
      </w:r>
      <w:r>
        <w:rPr>
          <w:rFonts w:hAnsi="宋体"/>
          <w:color w:val="auto"/>
        </w:rPr>
        <w:t>-</w:t>
      </w:r>
      <w:r>
        <w:rPr>
          <w:rFonts w:hint="eastAsia" w:hAnsi="宋体"/>
          <w:color w:val="auto"/>
        </w:rPr>
        <w:t>9</w:t>
      </w:r>
      <w:r>
        <w:rPr>
          <w:rFonts w:hAnsi="宋体"/>
          <w:color w:val="auto"/>
        </w:rPr>
        <w:t>、4.</w:t>
      </w:r>
      <w:r>
        <w:rPr>
          <w:rFonts w:hint="eastAsia" w:hAnsi="宋体"/>
          <w:color w:val="auto"/>
        </w:rPr>
        <w:t>4</w:t>
      </w:r>
      <w:r>
        <w:rPr>
          <w:rFonts w:hAnsi="宋体"/>
          <w:color w:val="auto"/>
        </w:rPr>
        <w:t>-</w:t>
      </w:r>
      <w:r>
        <w:rPr>
          <w:rFonts w:hint="eastAsia" w:hAnsi="宋体"/>
          <w:color w:val="auto"/>
        </w:rPr>
        <w:t>10</w:t>
      </w:r>
      <w:r>
        <w:rPr>
          <w:rFonts w:hAnsi="宋体"/>
          <w:color w:val="auto"/>
        </w:rPr>
        <w:t>。物料平衡图见图4.</w:t>
      </w:r>
      <w:r>
        <w:rPr>
          <w:rFonts w:hint="eastAsia" w:hAnsi="宋体"/>
          <w:color w:val="auto"/>
        </w:rPr>
        <w:t>4-10</w:t>
      </w:r>
      <w:r>
        <w:rPr>
          <w:rFonts w:hAnsi="宋体"/>
          <w:color w:val="auto"/>
        </w:rPr>
        <w:t>。</w:t>
      </w:r>
    </w:p>
    <w:p w14:paraId="444C8075">
      <w:pPr>
        <w:spacing w:line="240" w:lineRule="auto"/>
        <w:ind w:firstLine="0" w:firstLineChars="0"/>
        <w:jc w:val="center"/>
        <w:rPr>
          <w:b/>
          <w:bCs/>
          <w:color w:val="auto"/>
        </w:rPr>
      </w:pPr>
    </w:p>
    <w:p w14:paraId="60DC1523">
      <w:pPr>
        <w:spacing w:line="240" w:lineRule="auto"/>
        <w:ind w:firstLine="0" w:firstLineChars="0"/>
        <w:jc w:val="center"/>
        <w:rPr>
          <w:b/>
          <w:bCs/>
          <w:color w:val="auto"/>
        </w:rPr>
      </w:pPr>
    </w:p>
    <w:p w14:paraId="7715895F">
      <w:pPr>
        <w:spacing w:line="240" w:lineRule="auto"/>
        <w:ind w:firstLine="0" w:firstLineChars="0"/>
        <w:jc w:val="center"/>
        <w:rPr>
          <w:b/>
          <w:bCs/>
          <w:color w:val="auto"/>
        </w:rPr>
      </w:pPr>
      <w:r>
        <w:rPr>
          <w:rFonts w:hint="eastAsia"/>
          <w:b/>
          <w:bCs/>
          <w:color w:val="auto"/>
        </w:rPr>
        <w:t>表4.4-9  亚硫酸钠生产物料投入--产出表</w:t>
      </w:r>
      <w:r>
        <w:rPr>
          <w:b/>
          <w:color w:val="auto"/>
        </w:rPr>
        <w:t>（kg/（批·釜））</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27"/>
        <w:gridCol w:w="1309"/>
        <w:gridCol w:w="943"/>
        <w:gridCol w:w="914"/>
        <w:gridCol w:w="1253"/>
        <w:gridCol w:w="1198"/>
        <w:gridCol w:w="2674"/>
        <w:gridCol w:w="236"/>
      </w:tblGrid>
      <w:tr w14:paraId="4DA2317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55BF311E">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1F7518CA">
            <w:pPr>
              <w:spacing w:line="240" w:lineRule="auto"/>
              <w:ind w:firstLine="0" w:firstLineChars="0"/>
              <w:jc w:val="center"/>
              <w:rPr>
                <w:b/>
                <w:bCs/>
                <w:color w:val="auto"/>
                <w:sz w:val="21"/>
              </w:rPr>
            </w:pPr>
            <w:r>
              <w:rPr>
                <w:rFonts w:hint="eastAsia"/>
                <w:b/>
                <w:bCs/>
                <w:color w:val="auto"/>
                <w:sz w:val="21"/>
              </w:rPr>
              <w:t>产出</w:t>
            </w:r>
          </w:p>
        </w:tc>
      </w:tr>
      <w:tr w14:paraId="4A3903C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556290DB">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81" w:type="pct"/>
            <w:tcBorders>
              <w:tl2br w:val="nil"/>
              <w:tr2bl w:val="nil"/>
            </w:tcBorders>
            <w:vAlign w:val="center"/>
          </w:tcPr>
          <w:p w14:paraId="3664888F">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7B3E9E7A">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7E1C988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276" w:type="pct"/>
            <w:gridSpan w:val="2"/>
            <w:tcBorders>
              <w:tl2br w:val="nil"/>
              <w:tr2bl w:val="nil"/>
            </w:tcBorders>
            <w:vAlign w:val="center"/>
          </w:tcPr>
          <w:p w14:paraId="4EDB484A">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376" w:type="pct"/>
            <w:gridSpan w:val="2"/>
            <w:tcBorders>
              <w:tl2br w:val="nil"/>
              <w:tr2bl w:val="nil"/>
            </w:tcBorders>
            <w:vAlign w:val="center"/>
          </w:tcPr>
          <w:p w14:paraId="2947824F">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12819DB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3ED387DA">
            <w:pPr>
              <w:widowControl/>
              <w:spacing w:line="240" w:lineRule="auto"/>
              <w:ind w:firstLine="0" w:firstLineChars="0"/>
              <w:jc w:val="center"/>
              <w:textAlignment w:val="center"/>
              <w:rPr>
                <w:color w:val="auto"/>
                <w:sz w:val="21"/>
              </w:rPr>
            </w:pPr>
          </w:p>
        </w:tc>
        <w:tc>
          <w:tcPr>
            <w:tcW w:w="1344" w:type="dxa"/>
            <w:tcBorders>
              <w:tl2br w:val="nil"/>
              <w:tr2bl w:val="nil"/>
            </w:tcBorders>
            <w:vAlign w:val="center"/>
          </w:tcPr>
          <w:p w14:paraId="7821FC19">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1949273D">
            <w:pPr>
              <w:spacing w:line="240" w:lineRule="auto"/>
              <w:ind w:firstLine="0" w:firstLineChars="0"/>
              <w:jc w:val="center"/>
              <w:rPr>
                <w:color w:val="auto"/>
                <w:sz w:val="21"/>
              </w:rPr>
            </w:pPr>
          </w:p>
        </w:tc>
        <w:tc>
          <w:tcPr>
            <w:tcW w:w="652" w:type="pct"/>
            <w:vMerge w:val="restart"/>
            <w:tcBorders>
              <w:tl2br w:val="nil"/>
              <w:tr2bl w:val="nil"/>
            </w:tcBorders>
            <w:vAlign w:val="center"/>
          </w:tcPr>
          <w:p w14:paraId="22047D4A">
            <w:pPr>
              <w:spacing w:line="240" w:lineRule="auto"/>
              <w:ind w:firstLine="0" w:firstLineChars="0"/>
              <w:jc w:val="center"/>
              <w:rPr>
                <w:color w:val="auto"/>
                <w:sz w:val="21"/>
              </w:rPr>
            </w:pPr>
          </w:p>
        </w:tc>
        <w:tc>
          <w:tcPr>
            <w:tcW w:w="623" w:type="pct"/>
            <w:tcBorders>
              <w:tl2br w:val="nil"/>
              <w:tr2bl w:val="nil"/>
            </w:tcBorders>
            <w:vAlign w:val="center"/>
          </w:tcPr>
          <w:p w14:paraId="37F4C76C">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3EEBD9E1">
            <w:pPr>
              <w:spacing w:line="240" w:lineRule="auto"/>
              <w:ind w:firstLine="0" w:firstLineChars="0"/>
              <w:jc w:val="center"/>
              <w:rPr>
                <w:color w:val="auto"/>
                <w:sz w:val="21"/>
              </w:rPr>
            </w:pPr>
          </w:p>
        </w:tc>
        <w:tc>
          <w:tcPr>
            <w:tcW w:w="1340" w:type="dxa"/>
            <w:vMerge w:val="restart"/>
            <w:tcBorders>
              <w:tl2br w:val="nil"/>
              <w:tr2bl w:val="nil"/>
            </w:tcBorders>
            <w:vAlign w:val="center"/>
          </w:tcPr>
          <w:p w14:paraId="048BB8DA">
            <w:pPr>
              <w:spacing w:line="240" w:lineRule="auto"/>
              <w:ind w:firstLine="0" w:firstLineChars="0"/>
              <w:jc w:val="center"/>
              <w:rPr>
                <w:color w:val="auto"/>
                <w:sz w:val="21"/>
              </w:rPr>
            </w:pPr>
          </w:p>
        </w:tc>
      </w:tr>
      <w:tr w14:paraId="327816C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04A02977">
            <w:pPr>
              <w:widowControl/>
              <w:spacing w:line="240" w:lineRule="auto"/>
              <w:ind w:firstLine="0" w:firstLineChars="0"/>
              <w:jc w:val="center"/>
              <w:textAlignment w:val="center"/>
              <w:rPr>
                <w:color w:val="auto"/>
                <w:sz w:val="21"/>
              </w:rPr>
            </w:pPr>
          </w:p>
        </w:tc>
        <w:tc>
          <w:tcPr>
            <w:tcW w:w="1344" w:type="dxa"/>
            <w:tcBorders>
              <w:tl2br w:val="nil"/>
              <w:tr2bl w:val="nil"/>
            </w:tcBorders>
            <w:vAlign w:val="center"/>
          </w:tcPr>
          <w:p w14:paraId="0B6C48CF">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5521129C">
            <w:pPr>
              <w:spacing w:line="240" w:lineRule="auto"/>
              <w:ind w:firstLine="0" w:firstLineChars="0"/>
              <w:jc w:val="center"/>
              <w:rPr>
                <w:color w:val="auto"/>
                <w:sz w:val="21"/>
              </w:rPr>
            </w:pPr>
          </w:p>
        </w:tc>
        <w:tc>
          <w:tcPr>
            <w:tcW w:w="652" w:type="pct"/>
            <w:vMerge w:val="continue"/>
            <w:tcBorders>
              <w:tl2br w:val="nil"/>
              <w:tr2bl w:val="nil"/>
            </w:tcBorders>
            <w:vAlign w:val="center"/>
          </w:tcPr>
          <w:p w14:paraId="1C296302">
            <w:pPr>
              <w:spacing w:line="240" w:lineRule="auto"/>
              <w:ind w:firstLine="0" w:firstLineChars="0"/>
              <w:jc w:val="center"/>
              <w:rPr>
                <w:color w:val="auto"/>
                <w:sz w:val="21"/>
              </w:rPr>
            </w:pPr>
          </w:p>
        </w:tc>
        <w:tc>
          <w:tcPr>
            <w:tcW w:w="623" w:type="pct"/>
            <w:tcBorders>
              <w:tl2br w:val="nil"/>
              <w:tr2bl w:val="nil"/>
            </w:tcBorders>
            <w:vAlign w:val="center"/>
          </w:tcPr>
          <w:p w14:paraId="30A1CC50">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457C871D">
            <w:pPr>
              <w:spacing w:line="240" w:lineRule="auto"/>
              <w:ind w:firstLine="0" w:firstLineChars="0"/>
              <w:jc w:val="center"/>
              <w:rPr>
                <w:color w:val="auto"/>
                <w:sz w:val="21"/>
              </w:rPr>
            </w:pPr>
          </w:p>
        </w:tc>
        <w:tc>
          <w:tcPr>
            <w:tcW w:w="679" w:type="pct"/>
            <w:vMerge w:val="continue"/>
            <w:tcBorders>
              <w:tl2br w:val="nil"/>
              <w:tr2bl w:val="nil"/>
            </w:tcBorders>
            <w:vAlign w:val="center"/>
          </w:tcPr>
          <w:p w14:paraId="7BB10183">
            <w:pPr>
              <w:spacing w:line="240" w:lineRule="auto"/>
              <w:ind w:firstLine="0" w:firstLineChars="0"/>
              <w:jc w:val="center"/>
              <w:rPr>
                <w:color w:val="auto"/>
                <w:sz w:val="21"/>
              </w:rPr>
            </w:pPr>
          </w:p>
        </w:tc>
      </w:tr>
      <w:tr w14:paraId="64C8CE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3779B94D">
            <w:pPr>
              <w:widowControl/>
              <w:spacing w:line="240" w:lineRule="auto"/>
              <w:ind w:firstLine="0" w:firstLineChars="0"/>
              <w:jc w:val="center"/>
              <w:textAlignment w:val="center"/>
              <w:rPr>
                <w:color w:val="auto"/>
                <w:sz w:val="21"/>
              </w:rPr>
            </w:pPr>
          </w:p>
        </w:tc>
        <w:tc>
          <w:tcPr>
            <w:tcW w:w="1344" w:type="dxa"/>
            <w:tcBorders>
              <w:tl2br w:val="nil"/>
              <w:tr2bl w:val="nil"/>
            </w:tcBorders>
            <w:vAlign w:val="center"/>
          </w:tcPr>
          <w:p w14:paraId="01384E80">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3CACBB32">
            <w:pPr>
              <w:spacing w:line="240" w:lineRule="auto"/>
              <w:ind w:firstLine="0" w:firstLineChars="0"/>
              <w:jc w:val="center"/>
              <w:rPr>
                <w:color w:val="auto"/>
                <w:sz w:val="21"/>
              </w:rPr>
            </w:pPr>
          </w:p>
        </w:tc>
        <w:tc>
          <w:tcPr>
            <w:tcW w:w="652" w:type="pct"/>
            <w:vMerge w:val="continue"/>
            <w:tcBorders>
              <w:tl2br w:val="nil"/>
              <w:tr2bl w:val="nil"/>
            </w:tcBorders>
            <w:vAlign w:val="center"/>
          </w:tcPr>
          <w:p w14:paraId="52D6EF29">
            <w:pPr>
              <w:spacing w:line="240" w:lineRule="auto"/>
              <w:ind w:firstLine="0" w:firstLineChars="0"/>
              <w:jc w:val="center"/>
              <w:rPr>
                <w:color w:val="auto"/>
                <w:sz w:val="21"/>
              </w:rPr>
            </w:pPr>
          </w:p>
        </w:tc>
        <w:tc>
          <w:tcPr>
            <w:tcW w:w="623" w:type="pct"/>
            <w:tcBorders>
              <w:tl2br w:val="nil"/>
              <w:tr2bl w:val="nil"/>
            </w:tcBorders>
            <w:vAlign w:val="center"/>
          </w:tcPr>
          <w:p w14:paraId="3C0826BB">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21944E9A">
            <w:pPr>
              <w:spacing w:line="240" w:lineRule="auto"/>
              <w:ind w:firstLine="0" w:firstLineChars="0"/>
              <w:jc w:val="center"/>
              <w:rPr>
                <w:color w:val="auto"/>
                <w:sz w:val="21"/>
              </w:rPr>
            </w:pPr>
          </w:p>
        </w:tc>
        <w:tc>
          <w:tcPr>
            <w:tcW w:w="679" w:type="pct"/>
            <w:vMerge w:val="continue"/>
            <w:tcBorders>
              <w:tl2br w:val="nil"/>
              <w:tr2bl w:val="nil"/>
            </w:tcBorders>
            <w:vAlign w:val="center"/>
          </w:tcPr>
          <w:p w14:paraId="1155B997">
            <w:pPr>
              <w:spacing w:line="240" w:lineRule="auto"/>
              <w:ind w:firstLine="0" w:firstLineChars="0"/>
              <w:jc w:val="center"/>
              <w:rPr>
                <w:color w:val="auto"/>
                <w:sz w:val="21"/>
              </w:rPr>
            </w:pPr>
          </w:p>
        </w:tc>
      </w:tr>
      <w:tr w14:paraId="2ED3C39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164F01CE">
            <w:pPr>
              <w:widowControl/>
              <w:spacing w:line="240" w:lineRule="auto"/>
              <w:ind w:firstLine="0" w:firstLineChars="0"/>
              <w:jc w:val="center"/>
              <w:textAlignment w:val="center"/>
              <w:rPr>
                <w:color w:val="auto"/>
                <w:sz w:val="21"/>
              </w:rPr>
            </w:pPr>
          </w:p>
        </w:tc>
        <w:tc>
          <w:tcPr>
            <w:tcW w:w="1344" w:type="dxa"/>
            <w:tcBorders>
              <w:tl2br w:val="nil"/>
              <w:tr2bl w:val="nil"/>
            </w:tcBorders>
            <w:vAlign w:val="center"/>
          </w:tcPr>
          <w:p w14:paraId="1805D79F">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594D0A23">
            <w:pPr>
              <w:spacing w:line="240" w:lineRule="auto"/>
              <w:ind w:firstLine="0" w:firstLineChars="0"/>
              <w:jc w:val="center"/>
              <w:rPr>
                <w:color w:val="auto"/>
                <w:sz w:val="21"/>
              </w:rPr>
            </w:pPr>
          </w:p>
        </w:tc>
        <w:tc>
          <w:tcPr>
            <w:tcW w:w="652" w:type="pct"/>
            <w:vMerge w:val="continue"/>
            <w:tcBorders>
              <w:tl2br w:val="nil"/>
              <w:tr2bl w:val="nil"/>
            </w:tcBorders>
            <w:vAlign w:val="center"/>
          </w:tcPr>
          <w:p w14:paraId="3D5C5056">
            <w:pPr>
              <w:spacing w:line="240" w:lineRule="auto"/>
              <w:ind w:firstLine="0" w:firstLineChars="0"/>
              <w:jc w:val="center"/>
              <w:rPr>
                <w:color w:val="auto"/>
                <w:sz w:val="21"/>
              </w:rPr>
            </w:pPr>
          </w:p>
        </w:tc>
        <w:tc>
          <w:tcPr>
            <w:tcW w:w="623" w:type="pct"/>
            <w:tcBorders>
              <w:tl2br w:val="nil"/>
              <w:tr2bl w:val="nil"/>
            </w:tcBorders>
            <w:vAlign w:val="center"/>
          </w:tcPr>
          <w:p w14:paraId="2404F186">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4EAFAA86">
            <w:pPr>
              <w:spacing w:line="240" w:lineRule="auto"/>
              <w:ind w:firstLine="0" w:firstLineChars="0"/>
              <w:jc w:val="center"/>
              <w:rPr>
                <w:color w:val="auto"/>
                <w:sz w:val="21"/>
              </w:rPr>
            </w:pPr>
          </w:p>
        </w:tc>
        <w:tc>
          <w:tcPr>
            <w:tcW w:w="679" w:type="pct"/>
            <w:vMerge w:val="continue"/>
            <w:tcBorders>
              <w:tl2br w:val="nil"/>
              <w:tr2bl w:val="nil"/>
            </w:tcBorders>
            <w:vAlign w:val="center"/>
          </w:tcPr>
          <w:p w14:paraId="3F18C48E">
            <w:pPr>
              <w:spacing w:line="240" w:lineRule="auto"/>
              <w:ind w:firstLine="0" w:firstLineChars="0"/>
              <w:jc w:val="center"/>
              <w:rPr>
                <w:color w:val="auto"/>
                <w:sz w:val="21"/>
              </w:rPr>
            </w:pPr>
          </w:p>
        </w:tc>
      </w:tr>
      <w:tr w14:paraId="57CC6DE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287AAAB5">
            <w:pPr>
              <w:widowControl/>
              <w:spacing w:line="240" w:lineRule="auto"/>
              <w:ind w:firstLine="0" w:firstLineChars="0"/>
              <w:jc w:val="center"/>
              <w:textAlignment w:val="center"/>
              <w:rPr>
                <w:color w:val="auto"/>
                <w:sz w:val="21"/>
              </w:rPr>
            </w:pPr>
          </w:p>
        </w:tc>
        <w:tc>
          <w:tcPr>
            <w:tcW w:w="1344" w:type="dxa"/>
            <w:tcBorders>
              <w:tl2br w:val="nil"/>
              <w:tr2bl w:val="nil"/>
            </w:tcBorders>
            <w:vAlign w:val="center"/>
          </w:tcPr>
          <w:p w14:paraId="46AF2262">
            <w:pPr>
              <w:spacing w:line="240" w:lineRule="auto"/>
              <w:ind w:firstLine="0" w:firstLineChars="0"/>
              <w:jc w:val="center"/>
              <w:rPr>
                <w:color w:val="auto"/>
                <w:sz w:val="21"/>
              </w:rPr>
            </w:pPr>
          </w:p>
        </w:tc>
        <w:tc>
          <w:tcPr>
            <w:tcW w:w="495" w:type="pct"/>
            <w:vMerge w:val="restart"/>
            <w:tcBorders>
              <w:tl2br w:val="nil"/>
              <w:tr2bl w:val="nil"/>
            </w:tcBorders>
            <w:vAlign w:val="center"/>
          </w:tcPr>
          <w:p w14:paraId="5C36F609">
            <w:pPr>
              <w:spacing w:line="240" w:lineRule="auto"/>
              <w:ind w:firstLine="0" w:firstLineChars="0"/>
              <w:jc w:val="center"/>
              <w:rPr>
                <w:color w:val="auto"/>
                <w:sz w:val="21"/>
              </w:rPr>
            </w:pPr>
          </w:p>
        </w:tc>
        <w:tc>
          <w:tcPr>
            <w:tcW w:w="480" w:type="pct"/>
            <w:tcBorders>
              <w:tl2br w:val="nil"/>
              <w:tr2bl w:val="nil"/>
            </w:tcBorders>
            <w:vAlign w:val="center"/>
          </w:tcPr>
          <w:p w14:paraId="54D6BCBC">
            <w:pPr>
              <w:widowControl/>
              <w:spacing w:line="240" w:lineRule="auto"/>
              <w:ind w:firstLine="0" w:firstLineChars="0"/>
              <w:jc w:val="center"/>
              <w:textAlignment w:val="center"/>
              <w:rPr>
                <w:color w:val="auto"/>
                <w:sz w:val="21"/>
              </w:rPr>
            </w:pPr>
          </w:p>
        </w:tc>
        <w:tc>
          <w:tcPr>
            <w:tcW w:w="652" w:type="pct"/>
            <w:tcBorders>
              <w:tl2br w:val="nil"/>
              <w:tr2bl w:val="nil"/>
            </w:tcBorders>
            <w:vAlign w:val="center"/>
          </w:tcPr>
          <w:p w14:paraId="6DD19BC6">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20995307">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311B44CF">
            <w:pPr>
              <w:spacing w:line="240" w:lineRule="auto"/>
              <w:ind w:firstLine="0" w:firstLineChars="0"/>
              <w:jc w:val="center"/>
              <w:rPr>
                <w:color w:val="auto"/>
                <w:sz w:val="21"/>
              </w:rPr>
            </w:pPr>
          </w:p>
        </w:tc>
        <w:tc>
          <w:tcPr>
            <w:tcW w:w="1340" w:type="dxa"/>
            <w:vMerge w:val="restart"/>
            <w:tcBorders>
              <w:tl2br w:val="nil"/>
              <w:tr2bl w:val="nil"/>
            </w:tcBorders>
            <w:vAlign w:val="center"/>
          </w:tcPr>
          <w:p w14:paraId="3875840C">
            <w:pPr>
              <w:spacing w:line="240" w:lineRule="auto"/>
              <w:ind w:firstLine="0" w:firstLineChars="0"/>
              <w:jc w:val="center"/>
              <w:rPr>
                <w:color w:val="auto"/>
                <w:sz w:val="21"/>
              </w:rPr>
            </w:pPr>
          </w:p>
        </w:tc>
      </w:tr>
      <w:tr w14:paraId="5AC7581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78AA9D36">
            <w:pPr>
              <w:spacing w:line="240" w:lineRule="auto"/>
              <w:ind w:firstLine="0" w:firstLineChars="0"/>
              <w:jc w:val="center"/>
              <w:rPr>
                <w:color w:val="auto"/>
                <w:sz w:val="21"/>
              </w:rPr>
            </w:pPr>
          </w:p>
        </w:tc>
        <w:tc>
          <w:tcPr>
            <w:tcW w:w="1344" w:type="dxa"/>
            <w:tcBorders>
              <w:tl2br w:val="nil"/>
              <w:tr2bl w:val="nil"/>
            </w:tcBorders>
            <w:vAlign w:val="center"/>
          </w:tcPr>
          <w:p w14:paraId="7E5890FA">
            <w:pPr>
              <w:ind w:firstLine="420"/>
              <w:jc w:val="center"/>
              <w:rPr>
                <w:color w:val="auto"/>
                <w:sz w:val="21"/>
              </w:rPr>
            </w:pPr>
          </w:p>
        </w:tc>
        <w:tc>
          <w:tcPr>
            <w:tcW w:w="495" w:type="pct"/>
            <w:vMerge w:val="continue"/>
            <w:tcBorders>
              <w:tl2br w:val="nil"/>
              <w:tr2bl w:val="nil"/>
            </w:tcBorders>
            <w:vAlign w:val="center"/>
          </w:tcPr>
          <w:p w14:paraId="7511F2B9">
            <w:pPr>
              <w:spacing w:line="240" w:lineRule="auto"/>
              <w:ind w:firstLine="0" w:firstLineChars="0"/>
              <w:jc w:val="center"/>
              <w:rPr>
                <w:color w:val="auto"/>
                <w:sz w:val="21"/>
              </w:rPr>
            </w:pPr>
          </w:p>
        </w:tc>
        <w:tc>
          <w:tcPr>
            <w:tcW w:w="480" w:type="pct"/>
            <w:tcBorders>
              <w:tl2br w:val="nil"/>
              <w:tr2bl w:val="nil"/>
            </w:tcBorders>
            <w:vAlign w:val="center"/>
          </w:tcPr>
          <w:p w14:paraId="448BEB8A">
            <w:pPr>
              <w:widowControl/>
              <w:spacing w:line="240" w:lineRule="auto"/>
              <w:ind w:firstLine="0" w:firstLineChars="0"/>
              <w:jc w:val="center"/>
              <w:textAlignment w:val="center"/>
              <w:rPr>
                <w:color w:val="auto"/>
                <w:sz w:val="21"/>
              </w:rPr>
            </w:pPr>
          </w:p>
        </w:tc>
        <w:tc>
          <w:tcPr>
            <w:tcW w:w="652" w:type="pct"/>
            <w:tcBorders>
              <w:tl2br w:val="nil"/>
              <w:tr2bl w:val="nil"/>
            </w:tcBorders>
            <w:vAlign w:val="center"/>
          </w:tcPr>
          <w:p w14:paraId="6987A2B4">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6CB51F86">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29B9ED22">
            <w:pPr>
              <w:spacing w:line="240" w:lineRule="auto"/>
              <w:ind w:firstLine="0" w:firstLineChars="0"/>
              <w:jc w:val="center"/>
              <w:rPr>
                <w:color w:val="auto"/>
                <w:sz w:val="21"/>
              </w:rPr>
            </w:pPr>
          </w:p>
        </w:tc>
        <w:tc>
          <w:tcPr>
            <w:tcW w:w="679" w:type="pct"/>
            <w:vMerge w:val="continue"/>
            <w:tcBorders>
              <w:tl2br w:val="nil"/>
              <w:tr2bl w:val="nil"/>
            </w:tcBorders>
            <w:vAlign w:val="center"/>
          </w:tcPr>
          <w:p w14:paraId="4E3CF072">
            <w:pPr>
              <w:spacing w:line="240" w:lineRule="auto"/>
              <w:ind w:firstLine="0" w:firstLineChars="0"/>
              <w:jc w:val="center"/>
              <w:rPr>
                <w:color w:val="auto"/>
                <w:sz w:val="21"/>
              </w:rPr>
            </w:pPr>
          </w:p>
        </w:tc>
      </w:tr>
      <w:tr w14:paraId="4D5B90E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07868B55">
            <w:pPr>
              <w:spacing w:line="240" w:lineRule="auto"/>
              <w:ind w:firstLine="0" w:firstLineChars="0"/>
              <w:jc w:val="center"/>
              <w:rPr>
                <w:color w:val="auto"/>
                <w:sz w:val="21"/>
              </w:rPr>
            </w:pPr>
          </w:p>
        </w:tc>
        <w:tc>
          <w:tcPr>
            <w:tcW w:w="1344" w:type="dxa"/>
            <w:tcBorders>
              <w:tl2br w:val="nil"/>
              <w:tr2bl w:val="nil"/>
            </w:tcBorders>
            <w:vAlign w:val="center"/>
          </w:tcPr>
          <w:p w14:paraId="4A244F8B">
            <w:pPr>
              <w:ind w:firstLine="420"/>
              <w:jc w:val="center"/>
              <w:rPr>
                <w:color w:val="auto"/>
                <w:sz w:val="21"/>
              </w:rPr>
            </w:pPr>
          </w:p>
        </w:tc>
        <w:tc>
          <w:tcPr>
            <w:tcW w:w="495" w:type="pct"/>
            <w:vMerge w:val="continue"/>
            <w:tcBorders>
              <w:tl2br w:val="nil"/>
              <w:tr2bl w:val="nil"/>
            </w:tcBorders>
            <w:vAlign w:val="center"/>
          </w:tcPr>
          <w:p w14:paraId="6AAAFD22">
            <w:pPr>
              <w:spacing w:line="240" w:lineRule="auto"/>
              <w:ind w:firstLine="0" w:firstLineChars="0"/>
              <w:jc w:val="center"/>
              <w:rPr>
                <w:color w:val="auto"/>
                <w:sz w:val="21"/>
              </w:rPr>
            </w:pPr>
          </w:p>
        </w:tc>
        <w:tc>
          <w:tcPr>
            <w:tcW w:w="480" w:type="pct"/>
            <w:tcBorders>
              <w:tl2br w:val="nil"/>
              <w:tr2bl w:val="nil"/>
            </w:tcBorders>
            <w:vAlign w:val="center"/>
          </w:tcPr>
          <w:p w14:paraId="60E54547">
            <w:pPr>
              <w:widowControl/>
              <w:spacing w:line="240" w:lineRule="auto"/>
              <w:ind w:firstLine="0" w:firstLineChars="0"/>
              <w:jc w:val="center"/>
              <w:textAlignment w:val="center"/>
              <w:rPr>
                <w:color w:val="auto"/>
                <w:sz w:val="21"/>
              </w:rPr>
            </w:pPr>
          </w:p>
        </w:tc>
        <w:tc>
          <w:tcPr>
            <w:tcW w:w="652" w:type="pct"/>
            <w:tcBorders>
              <w:tl2br w:val="nil"/>
              <w:tr2bl w:val="nil"/>
            </w:tcBorders>
            <w:vAlign w:val="center"/>
          </w:tcPr>
          <w:p w14:paraId="5993D1CE">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20D5F9AF">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60FC2C57">
            <w:pPr>
              <w:spacing w:line="240" w:lineRule="auto"/>
              <w:ind w:firstLine="0" w:firstLineChars="0"/>
              <w:jc w:val="center"/>
              <w:rPr>
                <w:color w:val="auto"/>
                <w:sz w:val="21"/>
              </w:rPr>
            </w:pPr>
          </w:p>
        </w:tc>
        <w:tc>
          <w:tcPr>
            <w:tcW w:w="679" w:type="pct"/>
            <w:vMerge w:val="continue"/>
            <w:tcBorders>
              <w:tl2br w:val="nil"/>
              <w:tr2bl w:val="nil"/>
            </w:tcBorders>
            <w:vAlign w:val="center"/>
          </w:tcPr>
          <w:p w14:paraId="2A44D44D">
            <w:pPr>
              <w:spacing w:line="240" w:lineRule="auto"/>
              <w:ind w:firstLine="0" w:firstLineChars="0"/>
              <w:jc w:val="center"/>
              <w:rPr>
                <w:color w:val="auto"/>
                <w:sz w:val="21"/>
              </w:rPr>
            </w:pPr>
          </w:p>
        </w:tc>
      </w:tr>
      <w:tr w14:paraId="6534F26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205CF332">
            <w:pPr>
              <w:spacing w:line="240" w:lineRule="auto"/>
              <w:ind w:firstLine="0" w:firstLineChars="0"/>
              <w:jc w:val="center"/>
              <w:rPr>
                <w:color w:val="auto"/>
                <w:sz w:val="21"/>
              </w:rPr>
            </w:pPr>
          </w:p>
        </w:tc>
        <w:tc>
          <w:tcPr>
            <w:tcW w:w="1344" w:type="dxa"/>
            <w:tcBorders>
              <w:tl2br w:val="nil"/>
              <w:tr2bl w:val="nil"/>
            </w:tcBorders>
            <w:vAlign w:val="center"/>
          </w:tcPr>
          <w:p w14:paraId="528F1909">
            <w:pPr>
              <w:ind w:firstLine="420"/>
              <w:jc w:val="center"/>
              <w:rPr>
                <w:color w:val="auto"/>
                <w:sz w:val="21"/>
              </w:rPr>
            </w:pPr>
          </w:p>
        </w:tc>
        <w:tc>
          <w:tcPr>
            <w:tcW w:w="2251" w:type="pct"/>
            <w:gridSpan w:val="4"/>
            <w:tcBorders>
              <w:tl2br w:val="nil"/>
              <w:tr2bl w:val="nil"/>
            </w:tcBorders>
            <w:vAlign w:val="center"/>
          </w:tcPr>
          <w:p w14:paraId="59C068E0">
            <w:pPr>
              <w:spacing w:line="240" w:lineRule="auto"/>
              <w:ind w:firstLine="0" w:firstLineChars="0"/>
              <w:jc w:val="center"/>
              <w:rPr>
                <w:color w:val="auto"/>
                <w:sz w:val="21"/>
              </w:rPr>
            </w:pPr>
          </w:p>
        </w:tc>
        <w:tc>
          <w:tcPr>
            <w:tcW w:w="1373" w:type="dxa"/>
            <w:tcBorders>
              <w:tl2br w:val="nil"/>
              <w:tr2bl w:val="nil"/>
            </w:tcBorders>
            <w:vAlign w:val="center"/>
          </w:tcPr>
          <w:p w14:paraId="3C16DD5E">
            <w:pPr>
              <w:spacing w:line="240" w:lineRule="auto"/>
              <w:ind w:firstLine="0" w:firstLineChars="0"/>
              <w:jc w:val="center"/>
              <w:rPr>
                <w:color w:val="auto"/>
                <w:sz w:val="21"/>
              </w:rPr>
            </w:pPr>
          </w:p>
        </w:tc>
        <w:tc>
          <w:tcPr>
            <w:tcW w:w="1340" w:type="dxa"/>
            <w:tcBorders>
              <w:tl2br w:val="nil"/>
              <w:tr2bl w:val="nil"/>
            </w:tcBorders>
            <w:vAlign w:val="center"/>
          </w:tcPr>
          <w:p w14:paraId="552125D5">
            <w:pPr>
              <w:spacing w:line="240" w:lineRule="auto"/>
              <w:ind w:firstLine="0" w:firstLineChars="0"/>
              <w:jc w:val="center"/>
              <w:rPr>
                <w:color w:val="auto"/>
                <w:sz w:val="21"/>
              </w:rPr>
            </w:pPr>
          </w:p>
        </w:tc>
      </w:tr>
      <w:tr w14:paraId="51074E2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1B2C1652">
            <w:pPr>
              <w:spacing w:line="240" w:lineRule="auto"/>
              <w:ind w:firstLine="0" w:firstLineChars="0"/>
              <w:jc w:val="center"/>
              <w:rPr>
                <w:color w:val="auto"/>
                <w:sz w:val="21"/>
              </w:rPr>
            </w:pPr>
          </w:p>
        </w:tc>
        <w:tc>
          <w:tcPr>
            <w:tcW w:w="1344" w:type="dxa"/>
            <w:tcBorders>
              <w:tl2br w:val="nil"/>
              <w:tr2bl w:val="nil"/>
            </w:tcBorders>
            <w:vAlign w:val="center"/>
          </w:tcPr>
          <w:p w14:paraId="2632211D">
            <w:pPr>
              <w:ind w:firstLine="420"/>
              <w:jc w:val="center"/>
              <w:rPr>
                <w:color w:val="auto"/>
                <w:sz w:val="21"/>
              </w:rPr>
            </w:pPr>
          </w:p>
        </w:tc>
        <w:tc>
          <w:tcPr>
            <w:tcW w:w="2251" w:type="pct"/>
            <w:gridSpan w:val="4"/>
            <w:tcBorders>
              <w:tl2br w:val="nil"/>
              <w:tr2bl w:val="nil"/>
            </w:tcBorders>
            <w:vAlign w:val="center"/>
          </w:tcPr>
          <w:p w14:paraId="7C491725">
            <w:pPr>
              <w:spacing w:line="240" w:lineRule="auto"/>
              <w:ind w:firstLine="0" w:firstLineChars="0"/>
              <w:jc w:val="center"/>
              <w:rPr>
                <w:color w:val="auto"/>
                <w:sz w:val="21"/>
              </w:rPr>
            </w:pPr>
          </w:p>
        </w:tc>
        <w:tc>
          <w:tcPr>
            <w:tcW w:w="1373" w:type="dxa"/>
            <w:tcBorders>
              <w:tl2br w:val="nil"/>
              <w:tr2bl w:val="nil"/>
            </w:tcBorders>
            <w:vAlign w:val="center"/>
          </w:tcPr>
          <w:p w14:paraId="7DB0D283">
            <w:pPr>
              <w:spacing w:line="240" w:lineRule="auto"/>
              <w:ind w:firstLine="0" w:firstLineChars="0"/>
              <w:jc w:val="center"/>
              <w:rPr>
                <w:color w:val="auto"/>
                <w:sz w:val="21"/>
              </w:rPr>
            </w:pPr>
          </w:p>
        </w:tc>
        <w:tc>
          <w:tcPr>
            <w:tcW w:w="1340" w:type="dxa"/>
            <w:tcBorders>
              <w:tl2br w:val="nil"/>
              <w:tr2bl w:val="nil"/>
            </w:tcBorders>
            <w:vAlign w:val="center"/>
          </w:tcPr>
          <w:p w14:paraId="30A1198E">
            <w:pPr>
              <w:spacing w:line="240" w:lineRule="auto"/>
              <w:ind w:firstLine="0" w:firstLineChars="0"/>
              <w:jc w:val="center"/>
              <w:rPr>
                <w:color w:val="auto"/>
                <w:sz w:val="21"/>
              </w:rPr>
            </w:pPr>
          </w:p>
        </w:tc>
      </w:tr>
      <w:tr w14:paraId="3F32449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5375C7D2">
            <w:pPr>
              <w:spacing w:line="240" w:lineRule="auto"/>
              <w:ind w:firstLine="0" w:firstLineChars="0"/>
              <w:jc w:val="center"/>
              <w:rPr>
                <w:color w:val="auto"/>
                <w:sz w:val="21"/>
              </w:rPr>
            </w:pPr>
          </w:p>
        </w:tc>
        <w:tc>
          <w:tcPr>
            <w:tcW w:w="1344" w:type="dxa"/>
            <w:tcBorders>
              <w:tl2br w:val="nil"/>
              <w:tr2bl w:val="nil"/>
            </w:tcBorders>
            <w:vAlign w:val="center"/>
          </w:tcPr>
          <w:p w14:paraId="3917429D">
            <w:pPr>
              <w:spacing w:line="240" w:lineRule="auto"/>
              <w:ind w:firstLine="0" w:firstLineChars="0"/>
              <w:jc w:val="center"/>
              <w:rPr>
                <w:color w:val="auto"/>
                <w:sz w:val="21"/>
              </w:rPr>
            </w:pPr>
          </w:p>
        </w:tc>
        <w:tc>
          <w:tcPr>
            <w:tcW w:w="2948" w:type="pct"/>
            <w:gridSpan w:val="5"/>
            <w:tcBorders>
              <w:tl2br w:val="nil"/>
              <w:tr2bl w:val="nil"/>
            </w:tcBorders>
            <w:vAlign w:val="center"/>
          </w:tcPr>
          <w:p w14:paraId="483BC185">
            <w:pPr>
              <w:spacing w:line="240" w:lineRule="auto"/>
              <w:ind w:firstLine="0" w:firstLineChars="0"/>
              <w:jc w:val="center"/>
              <w:rPr>
                <w:color w:val="auto"/>
                <w:sz w:val="21"/>
              </w:rPr>
            </w:pPr>
          </w:p>
        </w:tc>
        <w:tc>
          <w:tcPr>
            <w:tcW w:w="1340" w:type="dxa"/>
            <w:tcBorders>
              <w:tl2br w:val="nil"/>
              <w:tr2bl w:val="nil"/>
            </w:tcBorders>
            <w:vAlign w:val="center"/>
          </w:tcPr>
          <w:p w14:paraId="7F9B053A">
            <w:pPr>
              <w:spacing w:line="240" w:lineRule="auto"/>
              <w:ind w:firstLine="0" w:firstLineChars="0"/>
              <w:jc w:val="center"/>
              <w:rPr>
                <w:color w:val="auto"/>
                <w:sz w:val="21"/>
              </w:rPr>
            </w:pPr>
          </w:p>
        </w:tc>
      </w:tr>
    </w:tbl>
    <w:p w14:paraId="1DAF4A11">
      <w:pPr>
        <w:spacing w:line="240" w:lineRule="auto"/>
        <w:ind w:firstLine="0" w:firstLineChars="0"/>
        <w:jc w:val="center"/>
        <w:rPr>
          <w:b/>
          <w:bCs/>
          <w:color w:val="auto"/>
        </w:rPr>
      </w:pPr>
    </w:p>
    <w:p w14:paraId="466E290A">
      <w:pPr>
        <w:spacing w:line="240" w:lineRule="auto"/>
        <w:ind w:firstLine="0" w:firstLineChars="0"/>
        <w:jc w:val="center"/>
        <w:rPr>
          <w:b/>
          <w:bCs/>
          <w:color w:val="auto"/>
        </w:rPr>
      </w:pPr>
      <w:r>
        <w:rPr>
          <w:rFonts w:hint="eastAsia"/>
          <w:b/>
          <w:bCs/>
          <w:color w:val="auto"/>
        </w:rPr>
        <w:t>表4.4-10  亚硫酸钠生产物料投入--产出表（t/a）</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61"/>
        <w:gridCol w:w="1342"/>
        <w:gridCol w:w="976"/>
        <w:gridCol w:w="946"/>
        <w:gridCol w:w="1285"/>
        <w:gridCol w:w="1230"/>
        <w:gridCol w:w="1374"/>
        <w:gridCol w:w="1340"/>
      </w:tblGrid>
      <w:tr w14:paraId="764E7FE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7A5E7356">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13C1FAAE">
            <w:pPr>
              <w:spacing w:line="240" w:lineRule="auto"/>
              <w:ind w:firstLine="0" w:firstLineChars="0"/>
              <w:jc w:val="center"/>
              <w:rPr>
                <w:b/>
                <w:bCs/>
                <w:color w:val="auto"/>
                <w:sz w:val="21"/>
              </w:rPr>
            </w:pPr>
            <w:r>
              <w:rPr>
                <w:rFonts w:hint="eastAsia"/>
                <w:b/>
                <w:bCs/>
                <w:color w:val="auto"/>
                <w:sz w:val="21"/>
              </w:rPr>
              <w:t>产出</w:t>
            </w:r>
          </w:p>
        </w:tc>
      </w:tr>
      <w:tr w14:paraId="0DFDCB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21F70747">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81" w:type="pct"/>
            <w:tcBorders>
              <w:tl2br w:val="nil"/>
              <w:tr2bl w:val="nil"/>
            </w:tcBorders>
            <w:vAlign w:val="center"/>
          </w:tcPr>
          <w:p w14:paraId="6B0FC96A">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464ACBDA">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7096AF11">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276" w:type="pct"/>
            <w:gridSpan w:val="2"/>
            <w:tcBorders>
              <w:tl2br w:val="nil"/>
              <w:tr2bl w:val="nil"/>
            </w:tcBorders>
            <w:vAlign w:val="center"/>
          </w:tcPr>
          <w:p w14:paraId="2DE079C0">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376" w:type="pct"/>
            <w:gridSpan w:val="2"/>
            <w:tcBorders>
              <w:tl2br w:val="nil"/>
              <w:tr2bl w:val="nil"/>
            </w:tcBorders>
            <w:vAlign w:val="center"/>
          </w:tcPr>
          <w:p w14:paraId="2174C929">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0C4EB5D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3A20BCD4">
            <w:pPr>
              <w:widowControl/>
              <w:spacing w:line="240" w:lineRule="auto"/>
              <w:ind w:firstLine="0" w:firstLineChars="0"/>
              <w:jc w:val="center"/>
              <w:textAlignment w:val="center"/>
              <w:rPr>
                <w:color w:val="auto"/>
                <w:sz w:val="21"/>
              </w:rPr>
            </w:pPr>
          </w:p>
        </w:tc>
        <w:tc>
          <w:tcPr>
            <w:tcW w:w="681" w:type="pct"/>
            <w:tcBorders>
              <w:tl2br w:val="nil"/>
              <w:tr2bl w:val="nil"/>
            </w:tcBorders>
            <w:vAlign w:val="center"/>
          </w:tcPr>
          <w:p w14:paraId="291F0E40">
            <w:pPr>
              <w:widowControl/>
              <w:spacing w:line="240" w:lineRule="auto"/>
              <w:ind w:firstLine="0" w:firstLineChars="0"/>
              <w:jc w:val="center"/>
              <w:textAlignment w:val="center"/>
              <w:rPr>
                <w:color w:val="auto"/>
                <w:sz w:val="21"/>
              </w:rPr>
            </w:pPr>
          </w:p>
        </w:tc>
        <w:tc>
          <w:tcPr>
            <w:tcW w:w="975" w:type="pct"/>
            <w:gridSpan w:val="2"/>
            <w:vMerge w:val="restart"/>
            <w:tcBorders>
              <w:tl2br w:val="nil"/>
              <w:tr2bl w:val="nil"/>
            </w:tcBorders>
            <w:vAlign w:val="center"/>
          </w:tcPr>
          <w:p w14:paraId="0C4FAED7">
            <w:pPr>
              <w:spacing w:line="240" w:lineRule="auto"/>
              <w:ind w:firstLine="0" w:firstLineChars="0"/>
              <w:jc w:val="center"/>
              <w:rPr>
                <w:color w:val="auto"/>
                <w:sz w:val="21"/>
              </w:rPr>
            </w:pPr>
          </w:p>
        </w:tc>
        <w:tc>
          <w:tcPr>
            <w:tcW w:w="652" w:type="pct"/>
            <w:vMerge w:val="restart"/>
            <w:tcBorders>
              <w:tl2br w:val="nil"/>
              <w:tr2bl w:val="nil"/>
            </w:tcBorders>
            <w:vAlign w:val="center"/>
          </w:tcPr>
          <w:p w14:paraId="4F24B5D0">
            <w:pPr>
              <w:spacing w:line="240" w:lineRule="auto"/>
              <w:ind w:firstLine="0" w:firstLineChars="0"/>
              <w:jc w:val="center"/>
              <w:rPr>
                <w:color w:val="auto"/>
                <w:sz w:val="21"/>
              </w:rPr>
            </w:pPr>
          </w:p>
        </w:tc>
        <w:tc>
          <w:tcPr>
            <w:tcW w:w="623" w:type="pct"/>
            <w:tcBorders>
              <w:tl2br w:val="nil"/>
              <w:tr2bl w:val="nil"/>
            </w:tcBorders>
            <w:vAlign w:val="center"/>
          </w:tcPr>
          <w:p w14:paraId="025561E9">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76BFD850">
            <w:pPr>
              <w:widowControl/>
              <w:spacing w:line="240" w:lineRule="auto"/>
              <w:ind w:firstLine="0" w:firstLineChars="0"/>
              <w:jc w:val="center"/>
              <w:textAlignment w:val="center"/>
              <w:rPr>
                <w:rFonts w:cs="宋体"/>
                <w:color w:val="auto"/>
                <w:kern w:val="0"/>
                <w:sz w:val="21"/>
                <w:szCs w:val="22"/>
                <w:lang w:bidi="ar"/>
              </w:rPr>
            </w:pPr>
          </w:p>
        </w:tc>
        <w:tc>
          <w:tcPr>
            <w:tcW w:w="679" w:type="pct"/>
            <w:vMerge w:val="restart"/>
            <w:tcBorders>
              <w:tl2br w:val="nil"/>
              <w:tr2bl w:val="nil"/>
            </w:tcBorders>
            <w:vAlign w:val="center"/>
          </w:tcPr>
          <w:p w14:paraId="0E99CB63">
            <w:pPr>
              <w:spacing w:line="240" w:lineRule="auto"/>
              <w:ind w:firstLine="0" w:firstLineChars="0"/>
              <w:jc w:val="center"/>
              <w:rPr>
                <w:color w:val="auto"/>
                <w:sz w:val="21"/>
              </w:rPr>
            </w:pPr>
          </w:p>
        </w:tc>
      </w:tr>
      <w:tr w14:paraId="1E1B9AD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48F6274C">
            <w:pPr>
              <w:widowControl/>
              <w:spacing w:line="240" w:lineRule="auto"/>
              <w:ind w:firstLine="0" w:firstLineChars="0"/>
              <w:jc w:val="center"/>
              <w:textAlignment w:val="center"/>
              <w:rPr>
                <w:color w:val="auto"/>
                <w:sz w:val="21"/>
              </w:rPr>
            </w:pPr>
          </w:p>
        </w:tc>
        <w:tc>
          <w:tcPr>
            <w:tcW w:w="681" w:type="pct"/>
            <w:tcBorders>
              <w:tl2br w:val="nil"/>
              <w:tr2bl w:val="nil"/>
            </w:tcBorders>
            <w:vAlign w:val="center"/>
          </w:tcPr>
          <w:p w14:paraId="3CC717AE">
            <w:pPr>
              <w:widowControl/>
              <w:spacing w:line="240" w:lineRule="auto"/>
              <w:ind w:firstLine="0" w:firstLineChars="0"/>
              <w:jc w:val="center"/>
              <w:textAlignment w:val="center"/>
              <w:rPr>
                <w:color w:val="auto"/>
                <w:sz w:val="21"/>
              </w:rPr>
            </w:pPr>
          </w:p>
        </w:tc>
        <w:tc>
          <w:tcPr>
            <w:tcW w:w="975" w:type="pct"/>
            <w:gridSpan w:val="2"/>
            <w:vMerge w:val="continue"/>
            <w:tcBorders>
              <w:tl2br w:val="nil"/>
              <w:tr2bl w:val="nil"/>
            </w:tcBorders>
            <w:vAlign w:val="center"/>
          </w:tcPr>
          <w:p w14:paraId="19D85DF4">
            <w:pPr>
              <w:spacing w:line="240" w:lineRule="auto"/>
              <w:ind w:firstLine="0" w:firstLineChars="0"/>
              <w:jc w:val="center"/>
              <w:rPr>
                <w:color w:val="auto"/>
                <w:sz w:val="21"/>
              </w:rPr>
            </w:pPr>
          </w:p>
        </w:tc>
        <w:tc>
          <w:tcPr>
            <w:tcW w:w="652" w:type="pct"/>
            <w:vMerge w:val="continue"/>
            <w:tcBorders>
              <w:tl2br w:val="nil"/>
              <w:tr2bl w:val="nil"/>
            </w:tcBorders>
            <w:vAlign w:val="center"/>
          </w:tcPr>
          <w:p w14:paraId="2BF82CAE">
            <w:pPr>
              <w:spacing w:line="240" w:lineRule="auto"/>
              <w:ind w:firstLine="0" w:firstLineChars="0"/>
              <w:jc w:val="center"/>
              <w:rPr>
                <w:color w:val="auto"/>
                <w:sz w:val="21"/>
              </w:rPr>
            </w:pPr>
          </w:p>
        </w:tc>
        <w:tc>
          <w:tcPr>
            <w:tcW w:w="623" w:type="pct"/>
            <w:tcBorders>
              <w:tl2br w:val="nil"/>
              <w:tr2bl w:val="nil"/>
            </w:tcBorders>
            <w:vAlign w:val="center"/>
          </w:tcPr>
          <w:p w14:paraId="7E8268E9">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76551B0B">
            <w:pPr>
              <w:widowControl/>
              <w:spacing w:line="240" w:lineRule="auto"/>
              <w:ind w:firstLine="0" w:firstLineChars="0"/>
              <w:jc w:val="center"/>
              <w:textAlignment w:val="center"/>
              <w:rPr>
                <w:rFonts w:cs="宋体"/>
                <w:color w:val="auto"/>
                <w:kern w:val="0"/>
                <w:sz w:val="21"/>
                <w:szCs w:val="22"/>
                <w:lang w:bidi="ar"/>
              </w:rPr>
            </w:pPr>
          </w:p>
        </w:tc>
        <w:tc>
          <w:tcPr>
            <w:tcW w:w="679" w:type="pct"/>
            <w:vMerge w:val="continue"/>
            <w:tcBorders>
              <w:tl2br w:val="nil"/>
              <w:tr2bl w:val="nil"/>
            </w:tcBorders>
            <w:vAlign w:val="center"/>
          </w:tcPr>
          <w:p w14:paraId="45C05B86">
            <w:pPr>
              <w:spacing w:line="240" w:lineRule="auto"/>
              <w:ind w:firstLine="0" w:firstLineChars="0"/>
              <w:jc w:val="center"/>
              <w:rPr>
                <w:color w:val="auto"/>
                <w:sz w:val="21"/>
              </w:rPr>
            </w:pPr>
          </w:p>
        </w:tc>
      </w:tr>
      <w:tr w14:paraId="201FA96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122E4606">
            <w:pPr>
              <w:widowControl/>
              <w:spacing w:line="240" w:lineRule="auto"/>
              <w:ind w:firstLine="0" w:firstLineChars="0"/>
              <w:jc w:val="center"/>
              <w:textAlignment w:val="center"/>
              <w:rPr>
                <w:color w:val="auto"/>
                <w:sz w:val="21"/>
              </w:rPr>
            </w:pPr>
          </w:p>
        </w:tc>
        <w:tc>
          <w:tcPr>
            <w:tcW w:w="681" w:type="pct"/>
            <w:tcBorders>
              <w:tl2br w:val="nil"/>
              <w:tr2bl w:val="nil"/>
            </w:tcBorders>
            <w:vAlign w:val="center"/>
          </w:tcPr>
          <w:p w14:paraId="4C76E423">
            <w:pPr>
              <w:widowControl/>
              <w:spacing w:line="240" w:lineRule="auto"/>
              <w:ind w:firstLine="0" w:firstLineChars="0"/>
              <w:jc w:val="center"/>
              <w:textAlignment w:val="center"/>
              <w:rPr>
                <w:color w:val="auto"/>
                <w:sz w:val="21"/>
              </w:rPr>
            </w:pPr>
          </w:p>
        </w:tc>
        <w:tc>
          <w:tcPr>
            <w:tcW w:w="975" w:type="pct"/>
            <w:gridSpan w:val="2"/>
            <w:vMerge w:val="continue"/>
            <w:tcBorders>
              <w:tl2br w:val="nil"/>
              <w:tr2bl w:val="nil"/>
            </w:tcBorders>
            <w:vAlign w:val="center"/>
          </w:tcPr>
          <w:p w14:paraId="611F7482">
            <w:pPr>
              <w:spacing w:line="240" w:lineRule="auto"/>
              <w:ind w:firstLine="0" w:firstLineChars="0"/>
              <w:jc w:val="center"/>
              <w:rPr>
                <w:color w:val="auto"/>
                <w:sz w:val="21"/>
              </w:rPr>
            </w:pPr>
          </w:p>
        </w:tc>
        <w:tc>
          <w:tcPr>
            <w:tcW w:w="652" w:type="pct"/>
            <w:vMerge w:val="continue"/>
            <w:tcBorders>
              <w:tl2br w:val="nil"/>
              <w:tr2bl w:val="nil"/>
            </w:tcBorders>
            <w:vAlign w:val="center"/>
          </w:tcPr>
          <w:p w14:paraId="2C31A5E9">
            <w:pPr>
              <w:spacing w:line="240" w:lineRule="auto"/>
              <w:ind w:firstLine="0" w:firstLineChars="0"/>
              <w:jc w:val="center"/>
              <w:rPr>
                <w:color w:val="auto"/>
                <w:sz w:val="21"/>
              </w:rPr>
            </w:pPr>
          </w:p>
        </w:tc>
        <w:tc>
          <w:tcPr>
            <w:tcW w:w="623" w:type="pct"/>
            <w:tcBorders>
              <w:tl2br w:val="nil"/>
              <w:tr2bl w:val="nil"/>
            </w:tcBorders>
            <w:vAlign w:val="center"/>
          </w:tcPr>
          <w:p w14:paraId="303A0D3F">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7BAB30EA">
            <w:pPr>
              <w:widowControl/>
              <w:spacing w:line="240" w:lineRule="auto"/>
              <w:ind w:firstLine="0" w:firstLineChars="0"/>
              <w:jc w:val="center"/>
              <w:textAlignment w:val="center"/>
              <w:rPr>
                <w:rFonts w:cs="宋体"/>
                <w:color w:val="auto"/>
                <w:kern w:val="0"/>
                <w:sz w:val="21"/>
                <w:szCs w:val="22"/>
                <w:lang w:bidi="ar"/>
              </w:rPr>
            </w:pPr>
          </w:p>
        </w:tc>
        <w:tc>
          <w:tcPr>
            <w:tcW w:w="679" w:type="pct"/>
            <w:vMerge w:val="continue"/>
            <w:tcBorders>
              <w:tl2br w:val="nil"/>
              <w:tr2bl w:val="nil"/>
            </w:tcBorders>
            <w:vAlign w:val="center"/>
          </w:tcPr>
          <w:p w14:paraId="4152D8B2">
            <w:pPr>
              <w:spacing w:line="240" w:lineRule="auto"/>
              <w:ind w:firstLine="0" w:firstLineChars="0"/>
              <w:jc w:val="center"/>
              <w:rPr>
                <w:color w:val="auto"/>
                <w:sz w:val="21"/>
              </w:rPr>
            </w:pPr>
          </w:p>
        </w:tc>
      </w:tr>
      <w:tr w14:paraId="1757B29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44600FD9">
            <w:pPr>
              <w:widowControl/>
              <w:spacing w:line="240" w:lineRule="auto"/>
              <w:ind w:firstLine="0" w:firstLineChars="0"/>
              <w:jc w:val="center"/>
              <w:textAlignment w:val="center"/>
              <w:rPr>
                <w:color w:val="auto"/>
                <w:sz w:val="21"/>
              </w:rPr>
            </w:pPr>
          </w:p>
        </w:tc>
        <w:tc>
          <w:tcPr>
            <w:tcW w:w="681" w:type="pct"/>
            <w:tcBorders>
              <w:tl2br w:val="nil"/>
              <w:tr2bl w:val="nil"/>
            </w:tcBorders>
            <w:vAlign w:val="center"/>
          </w:tcPr>
          <w:p w14:paraId="646532EA">
            <w:pPr>
              <w:widowControl/>
              <w:spacing w:line="240" w:lineRule="auto"/>
              <w:ind w:firstLine="0" w:firstLineChars="0"/>
              <w:jc w:val="center"/>
              <w:textAlignment w:val="center"/>
              <w:rPr>
                <w:color w:val="auto"/>
                <w:sz w:val="21"/>
              </w:rPr>
            </w:pPr>
          </w:p>
        </w:tc>
        <w:tc>
          <w:tcPr>
            <w:tcW w:w="975" w:type="pct"/>
            <w:gridSpan w:val="2"/>
            <w:vMerge w:val="continue"/>
            <w:tcBorders>
              <w:tl2br w:val="nil"/>
              <w:tr2bl w:val="nil"/>
            </w:tcBorders>
            <w:vAlign w:val="center"/>
          </w:tcPr>
          <w:p w14:paraId="77B0661F">
            <w:pPr>
              <w:spacing w:line="240" w:lineRule="auto"/>
              <w:ind w:firstLine="0" w:firstLineChars="0"/>
              <w:jc w:val="center"/>
              <w:rPr>
                <w:color w:val="auto"/>
                <w:sz w:val="21"/>
              </w:rPr>
            </w:pPr>
          </w:p>
        </w:tc>
        <w:tc>
          <w:tcPr>
            <w:tcW w:w="652" w:type="pct"/>
            <w:vMerge w:val="continue"/>
            <w:tcBorders>
              <w:tl2br w:val="nil"/>
              <w:tr2bl w:val="nil"/>
            </w:tcBorders>
            <w:vAlign w:val="center"/>
          </w:tcPr>
          <w:p w14:paraId="6FD91573">
            <w:pPr>
              <w:spacing w:line="240" w:lineRule="auto"/>
              <w:ind w:firstLine="0" w:firstLineChars="0"/>
              <w:jc w:val="center"/>
              <w:rPr>
                <w:color w:val="auto"/>
                <w:sz w:val="21"/>
              </w:rPr>
            </w:pPr>
          </w:p>
        </w:tc>
        <w:tc>
          <w:tcPr>
            <w:tcW w:w="623" w:type="pct"/>
            <w:tcBorders>
              <w:tl2br w:val="nil"/>
              <w:tr2bl w:val="nil"/>
            </w:tcBorders>
            <w:vAlign w:val="center"/>
          </w:tcPr>
          <w:p w14:paraId="2E6C6686">
            <w:pPr>
              <w:widowControl/>
              <w:spacing w:line="240" w:lineRule="auto"/>
              <w:ind w:firstLine="0" w:firstLineChars="0"/>
              <w:jc w:val="center"/>
              <w:textAlignment w:val="center"/>
              <w:rPr>
                <w:color w:val="auto"/>
                <w:sz w:val="21"/>
              </w:rPr>
            </w:pPr>
          </w:p>
        </w:tc>
        <w:tc>
          <w:tcPr>
            <w:tcW w:w="1373" w:type="dxa"/>
            <w:tcBorders>
              <w:tl2br w:val="nil"/>
              <w:tr2bl w:val="nil"/>
            </w:tcBorders>
            <w:vAlign w:val="center"/>
          </w:tcPr>
          <w:p w14:paraId="1A1563B8">
            <w:pPr>
              <w:widowControl/>
              <w:spacing w:line="240" w:lineRule="auto"/>
              <w:ind w:firstLine="0" w:firstLineChars="0"/>
              <w:jc w:val="center"/>
              <w:textAlignment w:val="center"/>
              <w:rPr>
                <w:rFonts w:cs="宋体"/>
                <w:color w:val="auto"/>
                <w:kern w:val="0"/>
                <w:sz w:val="21"/>
                <w:szCs w:val="22"/>
                <w:lang w:bidi="ar"/>
              </w:rPr>
            </w:pPr>
          </w:p>
        </w:tc>
        <w:tc>
          <w:tcPr>
            <w:tcW w:w="679" w:type="pct"/>
            <w:vMerge w:val="continue"/>
            <w:tcBorders>
              <w:tl2br w:val="nil"/>
              <w:tr2bl w:val="nil"/>
            </w:tcBorders>
            <w:vAlign w:val="center"/>
          </w:tcPr>
          <w:p w14:paraId="28D53C09">
            <w:pPr>
              <w:spacing w:line="240" w:lineRule="auto"/>
              <w:ind w:firstLine="0" w:firstLineChars="0"/>
              <w:jc w:val="center"/>
              <w:rPr>
                <w:color w:val="auto"/>
                <w:sz w:val="21"/>
              </w:rPr>
            </w:pPr>
          </w:p>
        </w:tc>
      </w:tr>
      <w:tr w14:paraId="091E87E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4CB2ED3F">
            <w:pPr>
              <w:widowControl/>
              <w:spacing w:line="240" w:lineRule="auto"/>
              <w:ind w:firstLine="0" w:firstLineChars="0"/>
              <w:jc w:val="center"/>
              <w:textAlignment w:val="center"/>
              <w:rPr>
                <w:color w:val="auto"/>
                <w:sz w:val="21"/>
              </w:rPr>
            </w:pPr>
          </w:p>
        </w:tc>
        <w:tc>
          <w:tcPr>
            <w:tcW w:w="681" w:type="pct"/>
            <w:tcBorders>
              <w:tl2br w:val="nil"/>
              <w:tr2bl w:val="nil"/>
            </w:tcBorders>
            <w:vAlign w:val="center"/>
          </w:tcPr>
          <w:p w14:paraId="210A7FF5">
            <w:pPr>
              <w:widowControl/>
              <w:spacing w:line="240" w:lineRule="auto"/>
              <w:ind w:firstLine="0" w:firstLineChars="0"/>
              <w:jc w:val="center"/>
              <w:textAlignment w:val="center"/>
              <w:rPr>
                <w:color w:val="auto"/>
                <w:sz w:val="21"/>
              </w:rPr>
            </w:pPr>
          </w:p>
        </w:tc>
        <w:tc>
          <w:tcPr>
            <w:tcW w:w="495" w:type="pct"/>
            <w:vMerge w:val="restart"/>
            <w:tcBorders>
              <w:tl2br w:val="nil"/>
              <w:tr2bl w:val="nil"/>
            </w:tcBorders>
            <w:vAlign w:val="center"/>
          </w:tcPr>
          <w:p w14:paraId="53FC41A7">
            <w:pPr>
              <w:spacing w:line="240" w:lineRule="auto"/>
              <w:ind w:firstLine="0" w:firstLineChars="0"/>
              <w:jc w:val="center"/>
              <w:rPr>
                <w:color w:val="auto"/>
                <w:sz w:val="21"/>
              </w:rPr>
            </w:pPr>
          </w:p>
        </w:tc>
        <w:tc>
          <w:tcPr>
            <w:tcW w:w="480" w:type="pct"/>
            <w:tcBorders>
              <w:tl2br w:val="nil"/>
              <w:tr2bl w:val="nil"/>
            </w:tcBorders>
            <w:vAlign w:val="center"/>
          </w:tcPr>
          <w:p w14:paraId="3178C2D5">
            <w:pPr>
              <w:widowControl/>
              <w:spacing w:line="240" w:lineRule="auto"/>
              <w:ind w:firstLine="0" w:firstLineChars="0"/>
              <w:jc w:val="center"/>
              <w:textAlignment w:val="center"/>
              <w:rPr>
                <w:color w:val="auto"/>
                <w:sz w:val="21"/>
              </w:rPr>
            </w:pPr>
          </w:p>
        </w:tc>
        <w:tc>
          <w:tcPr>
            <w:tcW w:w="652" w:type="pct"/>
            <w:tcBorders>
              <w:tl2br w:val="nil"/>
              <w:tr2bl w:val="nil"/>
            </w:tcBorders>
            <w:vAlign w:val="center"/>
          </w:tcPr>
          <w:p w14:paraId="69F0731C">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25A7BC1A">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4F1F7709">
            <w:pPr>
              <w:widowControl/>
              <w:spacing w:line="240" w:lineRule="auto"/>
              <w:ind w:firstLine="0" w:firstLineChars="0"/>
              <w:jc w:val="center"/>
              <w:textAlignment w:val="center"/>
              <w:rPr>
                <w:color w:val="auto"/>
                <w:sz w:val="21"/>
              </w:rPr>
            </w:pPr>
          </w:p>
        </w:tc>
        <w:tc>
          <w:tcPr>
            <w:tcW w:w="679" w:type="pct"/>
            <w:vMerge w:val="restart"/>
            <w:tcBorders>
              <w:tl2br w:val="nil"/>
              <w:tr2bl w:val="nil"/>
            </w:tcBorders>
            <w:vAlign w:val="center"/>
          </w:tcPr>
          <w:p w14:paraId="5906B244">
            <w:pPr>
              <w:spacing w:line="240" w:lineRule="auto"/>
              <w:ind w:firstLine="0" w:firstLineChars="0"/>
              <w:jc w:val="center"/>
              <w:rPr>
                <w:color w:val="auto"/>
                <w:sz w:val="21"/>
              </w:rPr>
            </w:pPr>
          </w:p>
        </w:tc>
      </w:tr>
      <w:tr w14:paraId="014C25D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24A5B3CE">
            <w:pPr>
              <w:spacing w:line="240" w:lineRule="auto"/>
              <w:ind w:firstLine="0" w:firstLineChars="0"/>
              <w:jc w:val="center"/>
              <w:rPr>
                <w:color w:val="auto"/>
                <w:sz w:val="21"/>
              </w:rPr>
            </w:pPr>
          </w:p>
        </w:tc>
        <w:tc>
          <w:tcPr>
            <w:tcW w:w="681" w:type="pct"/>
            <w:tcBorders>
              <w:tl2br w:val="nil"/>
              <w:tr2bl w:val="nil"/>
            </w:tcBorders>
            <w:vAlign w:val="center"/>
          </w:tcPr>
          <w:p w14:paraId="244B8017">
            <w:pPr>
              <w:spacing w:line="240" w:lineRule="auto"/>
              <w:ind w:firstLine="0" w:firstLineChars="0"/>
              <w:jc w:val="center"/>
              <w:rPr>
                <w:color w:val="auto"/>
                <w:sz w:val="21"/>
              </w:rPr>
            </w:pPr>
          </w:p>
        </w:tc>
        <w:tc>
          <w:tcPr>
            <w:tcW w:w="495" w:type="pct"/>
            <w:vMerge w:val="continue"/>
            <w:tcBorders>
              <w:tl2br w:val="nil"/>
              <w:tr2bl w:val="nil"/>
            </w:tcBorders>
            <w:vAlign w:val="center"/>
          </w:tcPr>
          <w:p w14:paraId="17F8A775">
            <w:pPr>
              <w:spacing w:line="240" w:lineRule="auto"/>
              <w:ind w:firstLine="0" w:firstLineChars="0"/>
              <w:jc w:val="center"/>
              <w:rPr>
                <w:color w:val="auto"/>
                <w:sz w:val="21"/>
              </w:rPr>
            </w:pPr>
          </w:p>
        </w:tc>
        <w:tc>
          <w:tcPr>
            <w:tcW w:w="480" w:type="pct"/>
            <w:tcBorders>
              <w:tl2br w:val="nil"/>
              <w:tr2bl w:val="nil"/>
            </w:tcBorders>
            <w:vAlign w:val="center"/>
          </w:tcPr>
          <w:p w14:paraId="11A23885">
            <w:pPr>
              <w:widowControl/>
              <w:spacing w:line="240" w:lineRule="auto"/>
              <w:ind w:firstLine="0" w:firstLineChars="0"/>
              <w:jc w:val="center"/>
              <w:textAlignment w:val="center"/>
              <w:rPr>
                <w:color w:val="auto"/>
                <w:sz w:val="21"/>
              </w:rPr>
            </w:pPr>
          </w:p>
        </w:tc>
        <w:tc>
          <w:tcPr>
            <w:tcW w:w="652" w:type="pct"/>
            <w:tcBorders>
              <w:tl2br w:val="nil"/>
              <w:tr2bl w:val="nil"/>
            </w:tcBorders>
            <w:vAlign w:val="center"/>
          </w:tcPr>
          <w:p w14:paraId="0F9CB800">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3F3AEB13">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22C5EA23">
            <w:pPr>
              <w:widowControl/>
              <w:spacing w:line="240" w:lineRule="auto"/>
              <w:ind w:firstLine="0" w:firstLineChars="0"/>
              <w:jc w:val="center"/>
              <w:textAlignment w:val="center"/>
              <w:rPr>
                <w:color w:val="auto"/>
                <w:sz w:val="21"/>
              </w:rPr>
            </w:pPr>
          </w:p>
        </w:tc>
        <w:tc>
          <w:tcPr>
            <w:tcW w:w="679" w:type="pct"/>
            <w:vMerge w:val="continue"/>
            <w:tcBorders>
              <w:tl2br w:val="nil"/>
              <w:tr2bl w:val="nil"/>
            </w:tcBorders>
            <w:vAlign w:val="center"/>
          </w:tcPr>
          <w:p w14:paraId="3E274F35">
            <w:pPr>
              <w:spacing w:line="240" w:lineRule="auto"/>
              <w:ind w:firstLine="0" w:firstLineChars="0"/>
              <w:jc w:val="center"/>
              <w:rPr>
                <w:color w:val="auto"/>
                <w:sz w:val="21"/>
              </w:rPr>
            </w:pPr>
          </w:p>
        </w:tc>
      </w:tr>
      <w:tr w14:paraId="6A33FA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2A983A91">
            <w:pPr>
              <w:spacing w:line="240" w:lineRule="auto"/>
              <w:ind w:firstLine="0" w:firstLineChars="0"/>
              <w:jc w:val="center"/>
              <w:rPr>
                <w:color w:val="auto"/>
                <w:sz w:val="21"/>
              </w:rPr>
            </w:pPr>
          </w:p>
        </w:tc>
        <w:tc>
          <w:tcPr>
            <w:tcW w:w="681" w:type="pct"/>
            <w:tcBorders>
              <w:tl2br w:val="nil"/>
              <w:tr2bl w:val="nil"/>
            </w:tcBorders>
            <w:vAlign w:val="center"/>
          </w:tcPr>
          <w:p w14:paraId="40F6CF23">
            <w:pPr>
              <w:spacing w:line="240" w:lineRule="auto"/>
              <w:ind w:firstLine="0" w:firstLineChars="0"/>
              <w:jc w:val="center"/>
              <w:rPr>
                <w:color w:val="auto"/>
                <w:sz w:val="21"/>
              </w:rPr>
            </w:pPr>
          </w:p>
        </w:tc>
        <w:tc>
          <w:tcPr>
            <w:tcW w:w="495" w:type="pct"/>
            <w:vMerge w:val="continue"/>
            <w:tcBorders>
              <w:tl2br w:val="nil"/>
              <w:tr2bl w:val="nil"/>
            </w:tcBorders>
            <w:vAlign w:val="center"/>
          </w:tcPr>
          <w:p w14:paraId="0E540E96">
            <w:pPr>
              <w:spacing w:line="240" w:lineRule="auto"/>
              <w:ind w:firstLine="0" w:firstLineChars="0"/>
              <w:jc w:val="center"/>
              <w:rPr>
                <w:color w:val="auto"/>
                <w:sz w:val="21"/>
              </w:rPr>
            </w:pPr>
          </w:p>
        </w:tc>
        <w:tc>
          <w:tcPr>
            <w:tcW w:w="480" w:type="pct"/>
            <w:tcBorders>
              <w:tl2br w:val="nil"/>
              <w:tr2bl w:val="nil"/>
            </w:tcBorders>
            <w:vAlign w:val="center"/>
          </w:tcPr>
          <w:p w14:paraId="51969767">
            <w:pPr>
              <w:widowControl/>
              <w:spacing w:line="240" w:lineRule="auto"/>
              <w:ind w:firstLine="0" w:firstLineChars="0"/>
              <w:jc w:val="center"/>
              <w:textAlignment w:val="center"/>
              <w:rPr>
                <w:color w:val="auto"/>
                <w:sz w:val="21"/>
              </w:rPr>
            </w:pPr>
          </w:p>
        </w:tc>
        <w:tc>
          <w:tcPr>
            <w:tcW w:w="652" w:type="pct"/>
            <w:tcBorders>
              <w:tl2br w:val="nil"/>
              <w:tr2bl w:val="nil"/>
            </w:tcBorders>
            <w:vAlign w:val="center"/>
          </w:tcPr>
          <w:p w14:paraId="35AD8503">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068DFDD0">
            <w:pPr>
              <w:widowControl/>
              <w:spacing w:line="240" w:lineRule="auto"/>
              <w:ind w:firstLine="0" w:firstLineChars="0"/>
              <w:jc w:val="center"/>
              <w:textAlignment w:val="center"/>
              <w:rPr>
                <w:color w:val="auto"/>
                <w:sz w:val="21"/>
              </w:rPr>
            </w:pPr>
          </w:p>
        </w:tc>
        <w:tc>
          <w:tcPr>
            <w:tcW w:w="696" w:type="pct"/>
            <w:tcBorders>
              <w:tl2br w:val="nil"/>
              <w:tr2bl w:val="nil"/>
            </w:tcBorders>
            <w:vAlign w:val="center"/>
          </w:tcPr>
          <w:p w14:paraId="3AF5A97D">
            <w:pPr>
              <w:widowControl/>
              <w:spacing w:line="240" w:lineRule="auto"/>
              <w:ind w:firstLine="0" w:firstLineChars="0"/>
              <w:jc w:val="center"/>
              <w:textAlignment w:val="center"/>
              <w:rPr>
                <w:color w:val="auto"/>
                <w:sz w:val="21"/>
              </w:rPr>
            </w:pPr>
          </w:p>
        </w:tc>
        <w:tc>
          <w:tcPr>
            <w:tcW w:w="679" w:type="pct"/>
            <w:vMerge w:val="continue"/>
            <w:tcBorders>
              <w:tl2br w:val="nil"/>
              <w:tr2bl w:val="nil"/>
            </w:tcBorders>
            <w:vAlign w:val="center"/>
          </w:tcPr>
          <w:p w14:paraId="1E4799B8">
            <w:pPr>
              <w:spacing w:line="240" w:lineRule="auto"/>
              <w:ind w:firstLine="0" w:firstLineChars="0"/>
              <w:jc w:val="center"/>
              <w:rPr>
                <w:color w:val="auto"/>
                <w:sz w:val="21"/>
              </w:rPr>
            </w:pPr>
          </w:p>
        </w:tc>
      </w:tr>
      <w:tr w14:paraId="3BE2DBD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4094E0F7">
            <w:pPr>
              <w:spacing w:line="240" w:lineRule="auto"/>
              <w:ind w:firstLine="0" w:firstLineChars="0"/>
              <w:jc w:val="center"/>
              <w:rPr>
                <w:color w:val="auto"/>
                <w:sz w:val="21"/>
              </w:rPr>
            </w:pPr>
          </w:p>
        </w:tc>
        <w:tc>
          <w:tcPr>
            <w:tcW w:w="681" w:type="pct"/>
            <w:tcBorders>
              <w:tl2br w:val="nil"/>
              <w:tr2bl w:val="nil"/>
            </w:tcBorders>
            <w:vAlign w:val="center"/>
          </w:tcPr>
          <w:p w14:paraId="73A14F69">
            <w:pPr>
              <w:spacing w:line="240" w:lineRule="auto"/>
              <w:ind w:firstLine="0" w:firstLineChars="0"/>
              <w:jc w:val="center"/>
              <w:rPr>
                <w:color w:val="auto"/>
                <w:sz w:val="21"/>
              </w:rPr>
            </w:pPr>
          </w:p>
        </w:tc>
        <w:tc>
          <w:tcPr>
            <w:tcW w:w="2251" w:type="pct"/>
            <w:gridSpan w:val="4"/>
            <w:tcBorders>
              <w:tl2br w:val="nil"/>
              <w:tr2bl w:val="nil"/>
            </w:tcBorders>
            <w:vAlign w:val="center"/>
          </w:tcPr>
          <w:p w14:paraId="61624848">
            <w:pPr>
              <w:spacing w:line="240" w:lineRule="auto"/>
              <w:ind w:firstLine="0" w:firstLineChars="0"/>
              <w:jc w:val="center"/>
              <w:rPr>
                <w:color w:val="auto"/>
                <w:sz w:val="21"/>
              </w:rPr>
            </w:pPr>
          </w:p>
        </w:tc>
        <w:tc>
          <w:tcPr>
            <w:tcW w:w="1373" w:type="dxa"/>
            <w:tcBorders>
              <w:tl2br w:val="nil"/>
              <w:tr2bl w:val="nil"/>
            </w:tcBorders>
            <w:vAlign w:val="center"/>
          </w:tcPr>
          <w:p w14:paraId="350E2EA7">
            <w:pPr>
              <w:widowControl/>
              <w:spacing w:line="240" w:lineRule="auto"/>
              <w:ind w:firstLine="0" w:firstLineChars="0"/>
              <w:jc w:val="center"/>
              <w:textAlignment w:val="center"/>
              <w:rPr>
                <w:rFonts w:cs="宋体"/>
                <w:color w:val="auto"/>
                <w:kern w:val="0"/>
                <w:sz w:val="21"/>
                <w:szCs w:val="22"/>
                <w:lang w:bidi="ar"/>
              </w:rPr>
            </w:pPr>
          </w:p>
        </w:tc>
        <w:tc>
          <w:tcPr>
            <w:tcW w:w="1340" w:type="dxa"/>
            <w:tcBorders>
              <w:tl2br w:val="nil"/>
              <w:tr2bl w:val="nil"/>
            </w:tcBorders>
            <w:vAlign w:val="center"/>
          </w:tcPr>
          <w:p w14:paraId="6C3C8FC0">
            <w:pPr>
              <w:widowControl/>
              <w:spacing w:line="240" w:lineRule="auto"/>
              <w:ind w:firstLine="0" w:firstLineChars="0"/>
              <w:jc w:val="center"/>
              <w:textAlignment w:val="center"/>
              <w:rPr>
                <w:rFonts w:cs="宋体"/>
                <w:color w:val="auto"/>
                <w:kern w:val="0"/>
                <w:sz w:val="21"/>
                <w:szCs w:val="22"/>
                <w:lang w:bidi="ar"/>
              </w:rPr>
            </w:pPr>
          </w:p>
        </w:tc>
      </w:tr>
      <w:tr w14:paraId="6FCF93F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2C95843A">
            <w:pPr>
              <w:spacing w:line="240" w:lineRule="auto"/>
              <w:ind w:firstLine="0" w:firstLineChars="0"/>
              <w:jc w:val="center"/>
              <w:rPr>
                <w:color w:val="auto"/>
                <w:sz w:val="21"/>
              </w:rPr>
            </w:pPr>
          </w:p>
        </w:tc>
        <w:tc>
          <w:tcPr>
            <w:tcW w:w="681" w:type="pct"/>
            <w:tcBorders>
              <w:tl2br w:val="nil"/>
              <w:tr2bl w:val="nil"/>
            </w:tcBorders>
            <w:vAlign w:val="center"/>
          </w:tcPr>
          <w:p w14:paraId="25FD78ED">
            <w:pPr>
              <w:spacing w:line="240" w:lineRule="auto"/>
              <w:ind w:firstLine="0" w:firstLineChars="0"/>
              <w:jc w:val="center"/>
              <w:rPr>
                <w:color w:val="auto"/>
                <w:sz w:val="21"/>
              </w:rPr>
            </w:pPr>
          </w:p>
        </w:tc>
        <w:tc>
          <w:tcPr>
            <w:tcW w:w="2251" w:type="pct"/>
            <w:gridSpan w:val="4"/>
            <w:tcBorders>
              <w:tl2br w:val="nil"/>
              <w:tr2bl w:val="nil"/>
            </w:tcBorders>
            <w:vAlign w:val="center"/>
          </w:tcPr>
          <w:p w14:paraId="76571CC2">
            <w:pPr>
              <w:spacing w:line="240" w:lineRule="auto"/>
              <w:ind w:firstLine="0" w:firstLineChars="0"/>
              <w:jc w:val="center"/>
              <w:rPr>
                <w:color w:val="auto"/>
                <w:sz w:val="21"/>
              </w:rPr>
            </w:pPr>
          </w:p>
        </w:tc>
        <w:tc>
          <w:tcPr>
            <w:tcW w:w="696" w:type="pct"/>
            <w:tcBorders>
              <w:tl2br w:val="nil"/>
              <w:tr2bl w:val="nil"/>
            </w:tcBorders>
            <w:vAlign w:val="center"/>
          </w:tcPr>
          <w:p w14:paraId="22F14391">
            <w:pPr>
              <w:widowControl/>
              <w:spacing w:line="240" w:lineRule="auto"/>
              <w:ind w:firstLine="0" w:firstLineChars="0"/>
              <w:jc w:val="center"/>
              <w:textAlignment w:val="center"/>
              <w:rPr>
                <w:color w:val="auto"/>
                <w:sz w:val="21"/>
              </w:rPr>
            </w:pPr>
          </w:p>
        </w:tc>
        <w:tc>
          <w:tcPr>
            <w:tcW w:w="679" w:type="pct"/>
            <w:tcBorders>
              <w:tl2br w:val="nil"/>
              <w:tr2bl w:val="nil"/>
            </w:tcBorders>
            <w:vAlign w:val="center"/>
          </w:tcPr>
          <w:p w14:paraId="7D0B98CC">
            <w:pPr>
              <w:widowControl/>
              <w:spacing w:line="240" w:lineRule="auto"/>
              <w:ind w:firstLine="0" w:firstLineChars="0"/>
              <w:jc w:val="center"/>
              <w:textAlignment w:val="center"/>
              <w:rPr>
                <w:color w:val="auto"/>
                <w:sz w:val="21"/>
              </w:rPr>
            </w:pPr>
          </w:p>
        </w:tc>
      </w:tr>
      <w:tr w14:paraId="38E56E0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2DAD58B8">
            <w:pPr>
              <w:spacing w:line="240" w:lineRule="auto"/>
              <w:ind w:firstLine="0" w:firstLineChars="0"/>
              <w:jc w:val="center"/>
              <w:rPr>
                <w:color w:val="auto"/>
                <w:sz w:val="21"/>
              </w:rPr>
            </w:pPr>
          </w:p>
        </w:tc>
        <w:tc>
          <w:tcPr>
            <w:tcW w:w="681" w:type="pct"/>
            <w:tcBorders>
              <w:tl2br w:val="nil"/>
              <w:tr2bl w:val="nil"/>
            </w:tcBorders>
            <w:vAlign w:val="center"/>
          </w:tcPr>
          <w:p w14:paraId="7057B532">
            <w:pPr>
              <w:spacing w:line="240" w:lineRule="auto"/>
              <w:ind w:firstLine="0" w:firstLineChars="0"/>
              <w:jc w:val="center"/>
              <w:rPr>
                <w:color w:val="auto"/>
                <w:sz w:val="21"/>
              </w:rPr>
            </w:pPr>
          </w:p>
        </w:tc>
        <w:tc>
          <w:tcPr>
            <w:tcW w:w="2948" w:type="pct"/>
            <w:gridSpan w:val="5"/>
            <w:tcBorders>
              <w:tl2br w:val="nil"/>
              <w:tr2bl w:val="nil"/>
            </w:tcBorders>
            <w:vAlign w:val="center"/>
          </w:tcPr>
          <w:p w14:paraId="2A7F12B1">
            <w:pPr>
              <w:spacing w:line="240" w:lineRule="auto"/>
              <w:ind w:firstLine="0" w:firstLineChars="0"/>
              <w:jc w:val="center"/>
              <w:rPr>
                <w:color w:val="auto"/>
                <w:sz w:val="21"/>
              </w:rPr>
            </w:pPr>
          </w:p>
        </w:tc>
        <w:tc>
          <w:tcPr>
            <w:tcW w:w="679" w:type="pct"/>
            <w:tcBorders>
              <w:tl2br w:val="nil"/>
              <w:tr2bl w:val="nil"/>
            </w:tcBorders>
            <w:vAlign w:val="center"/>
          </w:tcPr>
          <w:p w14:paraId="233E65E3">
            <w:pPr>
              <w:spacing w:line="240" w:lineRule="auto"/>
              <w:ind w:firstLine="0" w:firstLineChars="0"/>
              <w:jc w:val="center"/>
              <w:rPr>
                <w:color w:val="auto"/>
                <w:sz w:val="21"/>
              </w:rPr>
            </w:pPr>
          </w:p>
        </w:tc>
      </w:tr>
    </w:tbl>
    <w:p w14:paraId="651B49BB">
      <w:pPr>
        <w:spacing w:line="240" w:lineRule="auto"/>
        <w:ind w:firstLine="480"/>
        <w:jc w:val="center"/>
        <w:rPr>
          <w:color w:val="auto"/>
        </w:rPr>
      </w:pPr>
    </w:p>
    <w:p w14:paraId="38ADE644">
      <w:pPr>
        <w:pStyle w:val="49"/>
        <w:rPr>
          <w:color w:val="auto"/>
        </w:rPr>
      </w:pPr>
      <w:r>
        <w:rPr>
          <w:rFonts w:hint="eastAsia"/>
          <w:color w:val="auto"/>
        </w:rPr>
        <w:t>图4.4-10  亚硫酸钠生产物料平衡图（t/a）</w:t>
      </w:r>
    </w:p>
    <w:p w14:paraId="7A2C906E">
      <w:pPr>
        <w:ind w:firstLine="480"/>
        <w:rPr>
          <w:color w:val="auto"/>
        </w:rPr>
      </w:pPr>
    </w:p>
    <w:p w14:paraId="6274438E">
      <w:pPr>
        <w:pStyle w:val="6"/>
        <w:spacing w:before="156"/>
        <w:ind w:firstLine="482"/>
        <w:rPr>
          <w:color w:val="auto"/>
        </w:rPr>
      </w:pPr>
      <w:r>
        <w:rPr>
          <w:rFonts w:hint="eastAsia"/>
          <w:color w:val="auto"/>
        </w:rPr>
        <w:t>1.3硫代硫酸铵生产物料平衡</w:t>
      </w:r>
    </w:p>
    <w:p w14:paraId="61D38B41">
      <w:pPr>
        <w:ind w:firstLine="480"/>
        <w:rPr>
          <w:rFonts w:hint="eastAsia" w:hAnsi="宋体"/>
          <w:color w:val="auto"/>
        </w:rPr>
      </w:pPr>
      <w:r>
        <w:rPr>
          <w:rFonts w:hint="eastAsia" w:hAnsi="宋体"/>
          <w:color w:val="auto"/>
        </w:rPr>
        <w:t>硫代硫酸铵年生产时间为4200h，单批次生产7h，全年生产600批次。硫代硫酸铵</w:t>
      </w:r>
      <w:r>
        <w:rPr>
          <w:rFonts w:hAnsi="宋体"/>
          <w:color w:val="auto"/>
        </w:rPr>
        <w:t>单批次、一年投入产出统计分别见表4.</w:t>
      </w:r>
      <w:r>
        <w:rPr>
          <w:rFonts w:hint="eastAsia" w:hAnsi="宋体"/>
          <w:color w:val="auto"/>
        </w:rPr>
        <w:t>4</w:t>
      </w:r>
      <w:r>
        <w:rPr>
          <w:rFonts w:hAnsi="宋体"/>
          <w:color w:val="auto"/>
        </w:rPr>
        <w:t>-</w:t>
      </w:r>
      <w:r>
        <w:rPr>
          <w:rFonts w:hint="eastAsia" w:hAnsi="宋体"/>
          <w:color w:val="auto"/>
        </w:rPr>
        <w:t>11</w:t>
      </w:r>
      <w:r>
        <w:rPr>
          <w:rFonts w:hAnsi="宋体"/>
          <w:color w:val="auto"/>
        </w:rPr>
        <w:t>、4.</w:t>
      </w:r>
      <w:r>
        <w:rPr>
          <w:rFonts w:hint="eastAsia" w:hAnsi="宋体"/>
          <w:color w:val="auto"/>
        </w:rPr>
        <w:t>4</w:t>
      </w:r>
      <w:r>
        <w:rPr>
          <w:rFonts w:hAnsi="宋体"/>
          <w:color w:val="auto"/>
        </w:rPr>
        <w:t>-</w:t>
      </w:r>
      <w:r>
        <w:rPr>
          <w:rFonts w:hint="eastAsia" w:hAnsi="宋体"/>
          <w:color w:val="auto"/>
        </w:rPr>
        <w:t>12</w:t>
      </w:r>
      <w:r>
        <w:rPr>
          <w:rFonts w:hAnsi="宋体"/>
          <w:color w:val="auto"/>
        </w:rPr>
        <w:t>。物料平衡图见图4.</w:t>
      </w:r>
      <w:r>
        <w:rPr>
          <w:rFonts w:hint="eastAsia" w:hAnsi="宋体"/>
          <w:color w:val="auto"/>
        </w:rPr>
        <w:t>4-11</w:t>
      </w:r>
      <w:r>
        <w:rPr>
          <w:rFonts w:hAnsi="宋体"/>
          <w:color w:val="auto"/>
        </w:rPr>
        <w:t>。</w:t>
      </w:r>
    </w:p>
    <w:p w14:paraId="2E85ABEA">
      <w:pPr>
        <w:spacing w:line="240" w:lineRule="auto"/>
        <w:ind w:firstLine="0" w:firstLineChars="0"/>
        <w:jc w:val="center"/>
        <w:rPr>
          <w:b/>
          <w:bCs/>
          <w:color w:val="auto"/>
        </w:rPr>
      </w:pPr>
      <w:r>
        <w:rPr>
          <w:rFonts w:hint="eastAsia"/>
          <w:b/>
          <w:bCs/>
          <w:color w:val="auto"/>
        </w:rPr>
        <w:t>表4.4-11  硫代硫酸铵生产物料投入--产出表</w:t>
      </w:r>
      <w:r>
        <w:rPr>
          <w:b/>
          <w:color w:val="auto"/>
        </w:rPr>
        <w:t>（kg/（批·釜））</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3"/>
        <w:gridCol w:w="1250"/>
        <w:gridCol w:w="977"/>
        <w:gridCol w:w="946"/>
        <w:gridCol w:w="1285"/>
        <w:gridCol w:w="1257"/>
        <w:gridCol w:w="1348"/>
        <w:gridCol w:w="1338"/>
      </w:tblGrid>
      <w:tr w14:paraId="2E3DEA8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7B21E01B">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27D439BE">
            <w:pPr>
              <w:spacing w:line="240" w:lineRule="auto"/>
              <w:ind w:firstLine="0" w:firstLineChars="0"/>
              <w:jc w:val="center"/>
              <w:rPr>
                <w:b/>
                <w:bCs/>
                <w:color w:val="auto"/>
                <w:sz w:val="21"/>
              </w:rPr>
            </w:pPr>
            <w:r>
              <w:rPr>
                <w:rFonts w:hint="eastAsia"/>
                <w:b/>
                <w:bCs/>
                <w:color w:val="auto"/>
                <w:sz w:val="21"/>
              </w:rPr>
              <w:t>产出</w:t>
            </w:r>
          </w:p>
        </w:tc>
      </w:tr>
      <w:tr w14:paraId="37383FB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9B1F8D1">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3069E43A">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2D317E5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2A5577A2">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276" w:type="pct"/>
            <w:gridSpan w:val="2"/>
            <w:tcBorders>
              <w:tl2br w:val="nil"/>
              <w:tr2bl w:val="nil"/>
            </w:tcBorders>
            <w:vAlign w:val="center"/>
          </w:tcPr>
          <w:p w14:paraId="068E7DBB">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376" w:type="pct"/>
            <w:gridSpan w:val="2"/>
            <w:tcBorders>
              <w:tl2br w:val="nil"/>
              <w:tr2bl w:val="nil"/>
            </w:tcBorders>
            <w:vAlign w:val="center"/>
          </w:tcPr>
          <w:p w14:paraId="101E2360">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6968BE2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8FDE586">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氨</w:t>
            </w:r>
          </w:p>
        </w:tc>
        <w:tc>
          <w:tcPr>
            <w:tcW w:w="1250" w:type="dxa"/>
            <w:tcBorders>
              <w:tl2br w:val="nil"/>
              <w:tr2bl w:val="nil"/>
            </w:tcBorders>
            <w:vAlign w:val="center"/>
          </w:tcPr>
          <w:p w14:paraId="1482518B">
            <w:pPr>
              <w:spacing w:line="240" w:lineRule="auto"/>
              <w:ind w:firstLine="0" w:firstLineChars="0"/>
              <w:jc w:val="center"/>
              <w:rPr>
                <w:color w:val="auto"/>
                <w:sz w:val="21"/>
              </w:rPr>
            </w:pPr>
            <w:r>
              <w:rPr>
                <w:color w:val="auto"/>
                <w:sz w:val="21"/>
              </w:rPr>
              <w:t xml:space="preserve">365.000 </w:t>
            </w:r>
          </w:p>
        </w:tc>
        <w:tc>
          <w:tcPr>
            <w:tcW w:w="975" w:type="pct"/>
            <w:gridSpan w:val="2"/>
            <w:vMerge w:val="restart"/>
            <w:tcBorders>
              <w:tl2br w:val="nil"/>
              <w:tr2bl w:val="nil"/>
            </w:tcBorders>
            <w:vAlign w:val="center"/>
          </w:tcPr>
          <w:p w14:paraId="0CD364B5">
            <w:pPr>
              <w:spacing w:line="240" w:lineRule="auto"/>
              <w:ind w:firstLine="0" w:firstLineChars="0"/>
              <w:jc w:val="center"/>
              <w:rPr>
                <w:color w:val="auto"/>
                <w:sz w:val="21"/>
              </w:rPr>
            </w:pPr>
            <w:r>
              <w:rPr>
                <w:rFonts w:hint="eastAsia"/>
                <w:color w:val="auto"/>
                <w:sz w:val="21"/>
              </w:rPr>
              <w:t>产品</w:t>
            </w:r>
          </w:p>
        </w:tc>
        <w:tc>
          <w:tcPr>
            <w:tcW w:w="652" w:type="pct"/>
            <w:vMerge w:val="restart"/>
            <w:tcBorders>
              <w:tl2br w:val="nil"/>
              <w:tr2bl w:val="nil"/>
            </w:tcBorders>
            <w:vAlign w:val="center"/>
          </w:tcPr>
          <w:p w14:paraId="2456BBBA">
            <w:pPr>
              <w:spacing w:line="240" w:lineRule="auto"/>
              <w:ind w:firstLine="0" w:firstLineChars="0"/>
              <w:jc w:val="center"/>
              <w:rPr>
                <w:color w:val="auto"/>
                <w:sz w:val="21"/>
              </w:rPr>
            </w:pPr>
            <w:r>
              <w:rPr>
                <w:rFonts w:hint="eastAsia"/>
                <w:color w:val="auto"/>
                <w:sz w:val="21"/>
              </w:rPr>
              <w:t>59%硫代硫酸铵</w:t>
            </w:r>
          </w:p>
        </w:tc>
        <w:tc>
          <w:tcPr>
            <w:tcW w:w="623" w:type="pct"/>
            <w:tcBorders>
              <w:tl2br w:val="nil"/>
              <w:tr2bl w:val="nil"/>
            </w:tcBorders>
            <w:vAlign w:val="center"/>
          </w:tcPr>
          <w:p w14:paraId="2E2B9366">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硫代硫酸铵</w:t>
            </w:r>
          </w:p>
        </w:tc>
        <w:tc>
          <w:tcPr>
            <w:tcW w:w="1373" w:type="dxa"/>
            <w:tcBorders>
              <w:tl2br w:val="nil"/>
              <w:tr2bl w:val="nil"/>
            </w:tcBorders>
            <w:vAlign w:val="center"/>
          </w:tcPr>
          <w:p w14:paraId="7BF9D0AD">
            <w:pPr>
              <w:spacing w:line="240" w:lineRule="auto"/>
              <w:ind w:firstLine="0" w:firstLineChars="0"/>
              <w:jc w:val="center"/>
              <w:rPr>
                <w:color w:val="auto"/>
                <w:sz w:val="21"/>
              </w:rPr>
            </w:pPr>
            <w:r>
              <w:rPr>
                <w:color w:val="auto"/>
                <w:sz w:val="21"/>
              </w:rPr>
              <w:t xml:space="preserve">4689.117 </w:t>
            </w:r>
          </w:p>
        </w:tc>
        <w:tc>
          <w:tcPr>
            <w:tcW w:w="1340" w:type="dxa"/>
            <w:vMerge w:val="restart"/>
            <w:tcBorders>
              <w:tl2br w:val="nil"/>
              <w:tr2bl w:val="nil"/>
            </w:tcBorders>
            <w:vAlign w:val="center"/>
          </w:tcPr>
          <w:p w14:paraId="03C2D662">
            <w:pPr>
              <w:spacing w:line="240" w:lineRule="auto"/>
              <w:ind w:firstLine="0" w:firstLineChars="0"/>
              <w:jc w:val="center"/>
              <w:rPr>
                <w:color w:val="auto"/>
                <w:sz w:val="21"/>
              </w:rPr>
            </w:pPr>
            <w:r>
              <w:rPr>
                <w:color w:val="auto"/>
                <w:sz w:val="21"/>
              </w:rPr>
              <w:t>7909.62</w:t>
            </w:r>
            <w:r>
              <w:rPr>
                <w:rFonts w:hint="eastAsia"/>
                <w:color w:val="auto"/>
                <w:sz w:val="21"/>
              </w:rPr>
              <w:t>8</w:t>
            </w:r>
            <w:r>
              <w:rPr>
                <w:color w:val="auto"/>
                <w:sz w:val="21"/>
              </w:rPr>
              <w:t xml:space="preserve"> </w:t>
            </w:r>
          </w:p>
        </w:tc>
      </w:tr>
      <w:tr w14:paraId="659557F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5A101B5">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70%亚硫酸氢铵溶液</w:t>
            </w:r>
          </w:p>
        </w:tc>
        <w:tc>
          <w:tcPr>
            <w:tcW w:w="1250" w:type="dxa"/>
            <w:tcBorders>
              <w:tl2br w:val="nil"/>
              <w:tr2bl w:val="nil"/>
            </w:tcBorders>
            <w:vAlign w:val="center"/>
          </w:tcPr>
          <w:p w14:paraId="1ADCFCDC">
            <w:pPr>
              <w:spacing w:line="240" w:lineRule="auto"/>
              <w:ind w:firstLine="0" w:firstLineChars="0"/>
              <w:jc w:val="center"/>
              <w:rPr>
                <w:color w:val="auto"/>
                <w:sz w:val="21"/>
              </w:rPr>
            </w:pPr>
            <w:r>
              <w:rPr>
                <w:color w:val="auto"/>
                <w:sz w:val="21"/>
              </w:rPr>
              <w:t xml:space="preserve">4520.000 </w:t>
            </w:r>
          </w:p>
        </w:tc>
        <w:tc>
          <w:tcPr>
            <w:tcW w:w="975" w:type="pct"/>
            <w:gridSpan w:val="2"/>
            <w:vMerge w:val="continue"/>
            <w:tcBorders>
              <w:tl2br w:val="nil"/>
              <w:tr2bl w:val="nil"/>
            </w:tcBorders>
            <w:vAlign w:val="center"/>
          </w:tcPr>
          <w:p w14:paraId="5A91551C">
            <w:pPr>
              <w:spacing w:line="240" w:lineRule="auto"/>
              <w:ind w:firstLine="0" w:firstLineChars="0"/>
              <w:jc w:val="center"/>
              <w:rPr>
                <w:color w:val="auto"/>
                <w:sz w:val="21"/>
              </w:rPr>
            </w:pPr>
          </w:p>
        </w:tc>
        <w:tc>
          <w:tcPr>
            <w:tcW w:w="652" w:type="pct"/>
            <w:vMerge w:val="continue"/>
            <w:tcBorders>
              <w:tl2br w:val="nil"/>
              <w:tr2bl w:val="nil"/>
            </w:tcBorders>
            <w:vAlign w:val="center"/>
          </w:tcPr>
          <w:p w14:paraId="68148FB8">
            <w:pPr>
              <w:spacing w:line="240" w:lineRule="auto"/>
              <w:ind w:firstLine="0" w:firstLineChars="0"/>
              <w:jc w:val="center"/>
              <w:rPr>
                <w:color w:val="auto"/>
                <w:sz w:val="21"/>
              </w:rPr>
            </w:pPr>
          </w:p>
        </w:tc>
        <w:tc>
          <w:tcPr>
            <w:tcW w:w="623" w:type="pct"/>
            <w:tcBorders>
              <w:tl2br w:val="nil"/>
              <w:tr2bl w:val="nil"/>
            </w:tcBorders>
            <w:vAlign w:val="center"/>
          </w:tcPr>
          <w:p w14:paraId="1DC1C9C2">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亚硫酸铵</w:t>
            </w:r>
          </w:p>
        </w:tc>
        <w:tc>
          <w:tcPr>
            <w:tcW w:w="1373" w:type="dxa"/>
            <w:tcBorders>
              <w:tl2br w:val="nil"/>
              <w:tr2bl w:val="nil"/>
            </w:tcBorders>
            <w:vAlign w:val="center"/>
          </w:tcPr>
          <w:p w14:paraId="27134238">
            <w:pPr>
              <w:spacing w:line="240" w:lineRule="auto"/>
              <w:ind w:firstLine="0" w:firstLineChars="0"/>
              <w:jc w:val="center"/>
              <w:rPr>
                <w:color w:val="auto"/>
                <w:sz w:val="21"/>
              </w:rPr>
            </w:pPr>
            <w:r>
              <w:rPr>
                <w:color w:val="auto"/>
                <w:sz w:val="21"/>
              </w:rPr>
              <w:t xml:space="preserve">31.688 </w:t>
            </w:r>
          </w:p>
        </w:tc>
        <w:tc>
          <w:tcPr>
            <w:tcW w:w="679" w:type="pct"/>
            <w:vMerge w:val="continue"/>
            <w:tcBorders>
              <w:tl2br w:val="nil"/>
              <w:tr2bl w:val="nil"/>
            </w:tcBorders>
            <w:vAlign w:val="center"/>
          </w:tcPr>
          <w:p w14:paraId="3B324CCE">
            <w:pPr>
              <w:spacing w:line="240" w:lineRule="auto"/>
              <w:ind w:firstLine="0" w:firstLineChars="0"/>
              <w:jc w:val="center"/>
              <w:rPr>
                <w:color w:val="auto"/>
                <w:sz w:val="21"/>
              </w:rPr>
            </w:pPr>
          </w:p>
        </w:tc>
      </w:tr>
      <w:tr w14:paraId="6B4986A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8311143">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99.5%硫磺</w:t>
            </w:r>
          </w:p>
        </w:tc>
        <w:tc>
          <w:tcPr>
            <w:tcW w:w="1250" w:type="dxa"/>
            <w:tcBorders>
              <w:tl2br w:val="nil"/>
              <w:tr2bl w:val="nil"/>
            </w:tcBorders>
            <w:vAlign w:val="center"/>
          </w:tcPr>
          <w:p w14:paraId="283CCA4D">
            <w:pPr>
              <w:spacing w:line="240" w:lineRule="auto"/>
              <w:ind w:firstLine="0" w:firstLineChars="0"/>
              <w:jc w:val="center"/>
              <w:rPr>
                <w:color w:val="auto"/>
                <w:sz w:val="21"/>
              </w:rPr>
            </w:pPr>
            <w:r>
              <w:rPr>
                <w:color w:val="auto"/>
                <w:sz w:val="21"/>
              </w:rPr>
              <w:t xml:space="preserve">1021.000 </w:t>
            </w:r>
          </w:p>
        </w:tc>
        <w:tc>
          <w:tcPr>
            <w:tcW w:w="975" w:type="pct"/>
            <w:gridSpan w:val="2"/>
            <w:vMerge w:val="continue"/>
            <w:tcBorders>
              <w:tl2br w:val="nil"/>
              <w:tr2bl w:val="nil"/>
            </w:tcBorders>
            <w:vAlign w:val="center"/>
          </w:tcPr>
          <w:p w14:paraId="6FD0A9E4">
            <w:pPr>
              <w:spacing w:line="240" w:lineRule="auto"/>
              <w:ind w:firstLine="0" w:firstLineChars="0"/>
              <w:jc w:val="center"/>
              <w:rPr>
                <w:color w:val="auto"/>
                <w:sz w:val="21"/>
              </w:rPr>
            </w:pPr>
          </w:p>
        </w:tc>
        <w:tc>
          <w:tcPr>
            <w:tcW w:w="652" w:type="pct"/>
            <w:vMerge w:val="continue"/>
            <w:tcBorders>
              <w:tl2br w:val="nil"/>
              <w:tr2bl w:val="nil"/>
            </w:tcBorders>
            <w:vAlign w:val="center"/>
          </w:tcPr>
          <w:p w14:paraId="43434149">
            <w:pPr>
              <w:spacing w:line="240" w:lineRule="auto"/>
              <w:ind w:firstLine="0" w:firstLineChars="0"/>
              <w:jc w:val="center"/>
              <w:rPr>
                <w:color w:val="auto"/>
                <w:sz w:val="21"/>
              </w:rPr>
            </w:pPr>
          </w:p>
        </w:tc>
        <w:tc>
          <w:tcPr>
            <w:tcW w:w="623" w:type="pct"/>
            <w:tcBorders>
              <w:tl2br w:val="nil"/>
              <w:tr2bl w:val="nil"/>
            </w:tcBorders>
            <w:vAlign w:val="center"/>
          </w:tcPr>
          <w:p w14:paraId="7A1EB22F">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亚硫酸氢铵</w:t>
            </w:r>
          </w:p>
        </w:tc>
        <w:tc>
          <w:tcPr>
            <w:tcW w:w="1373" w:type="dxa"/>
            <w:tcBorders>
              <w:tl2br w:val="nil"/>
              <w:tr2bl w:val="nil"/>
            </w:tcBorders>
            <w:vAlign w:val="center"/>
          </w:tcPr>
          <w:p w14:paraId="68EA387B">
            <w:pPr>
              <w:spacing w:line="240" w:lineRule="auto"/>
              <w:ind w:firstLine="0" w:firstLineChars="0"/>
              <w:jc w:val="center"/>
              <w:rPr>
                <w:color w:val="auto"/>
                <w:sz w:val="21"/>
              </w:rPr>
            </w:pPr>
            <w:r>
              <w:rPr>
                <w:color w:val="auto"/>
                <w:sz w:val="21"/>
              </w:rPr>
              <w:t xml:space="preserve">0.317 </w:t>
            </w:r>
          </w:p>
        </w:tc>
        <w:tc>
          <w:tcPr>
            <w:tcW w:w="679" w:type="pct"/>
            <w:vMerge w:val="continue"/>
            <w:tcBorders>
              <w:tl2br w:val="nil"/>
              <w:tr2bl w:val="nil"/>
            </w:tcBorders>
            <w:vAlign w:val="center"/>
          </w:tcPr>
          <w:p w14:paraId="517080B8">
            <w:pPr>
              <w:spacing w:line="240" w:lineRule="auto"/>
              <w:ind w:firstLine="0" w:firstLineChars="0"/>
              <w:jc w:val="center"/>
              <w:rPr>
                <w:color w:val="auto"/>
                <w:sz w:val="21"/>
              </w:rPr>
            </w:pPr>
          </w:p>
        </w:tc>
      </w:tr>
      <w:tr w14:paraId="34B33B2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285EBF5E">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1#车间水吸收回用母液中的20%氨水</w:t>
            </w:r>
          </w:p>
        </w:tc>
        <w:tc>
          <w:tcPr>
            <w:tcW w:w="1250" w:type="dxa"/>
            <w:tcBorders>
              <w:tl2br w:val="nil"/>
              <w:tr2bl w:val="nil"/>
            </w:tcBorders>
            <w:vAlign w:val="center"/>
          </w:tcPr>
          <w:p w14:paraId="38C1D804">
            <w:pPr>
              <w:spacing w:line="240" w:lineRule="auto"/>
              <w:ind w:firstLine="0" w:firstLineChars="0"/>
              <w:jc w:val="center"/>
              <w:rPr>
                <w:color w:val="auto"/>
                <w:sz w:val="21"/>
              </w:rPr>
            </w:pPr>
            <w:r>
              <w:rPr>
                <w:color w:val="auto"/>
                <w:sz w:val="21"/>
              </w:rPr>
              <w:t xml:space="preserve">25.000 </w:t>
            </w:r>
          </w:p>
        </w:tc>
        <w:tc>
          <w:tcPr>
            <w:tcW w:w="975" w:type="pct"/>
            <w:gridSpan w:val="2"/>
            <w:vMerge w:val="continue"/>
            <w:tcBorders>
              <w:tl2br w:val="nil"/>
              <w:tr2bl w:val="nil"/>
            </w:tcBorders>
            <w:vAlign w:val="center"/>
          </w:tcPr>
          <w:p w14:paraId="3A3BB637">
            <w:pPr>
              <w:spacing w:line="240" w:lineRule="auto"/>
              <w:ind w:firstLine="0" w:firstLineChars="0"/>
              <w:jc w:val="center"/>
              <w:rPr>
                <w:color w:val="auto"/>
                <w:sz w:val="21"/>
              </w:rPr>
            </w:pPr>
          </w:p>
        </w:tc>
        <w:tc>
          <w:tcPr>
            <w:tcW w:w="652" w:type="pct"/>
            <w:vMerge w:val="continue"/>
            <w:tcBorders>
              <w:tl2br w:val="nil"/>
              <w:tr2bl w:val="nil"/>
            </w:tcBorders>
            <w:vAlign w:val="center"/>
          </w:tcPr>
          <w:p w14:paraId="30A0FF8A">
            <w:pPr>
              <w:spacing w:line="240" w:lineRule="auto"/>
              <w:ind w:firstLine="0" w:firstLineChars="0"/>
              <w:jc w:val="center"/>
              <w:rPr>
                <w:color w:val="auto"/>
                <w:sz w:val="21"/>
              </w:rPr>
            </w:pPr>
          </w:p>
        </w:tc>
        <w:tc>
          <w:tcPr>
            <w:tcW w:w="623" w:type="pct"/>
            <w:tcBorders>
              <w:tl2br w:val="nil"/>
              <w:tr2bl w:val="nil"/>
            </w:tcBorders>
            <w:vAlign w:val="center"/>
          </w:tcPr>
          <w:p w14:paraId="7DDBDE57">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水</w:t>
            </w:r>
          </w:p>
        </w:tc>
        <w:tc>
          <w:tcPr>
            <w:tcW w:w="1373" w:type="dxa"/>
            <w:tcBorders>
              <w:tl2br w:val="nil"/>
              <w:tr2bl w:val="nil"/>
            </w:tcBorders>
            <w:vAlign w:val="center"/>
          </w:tcPr>
          <w:p w14:paraId="68140339">
            <w:pPr>
              <w:spacing w:line="240" w:lineRule="auto"/>
              <w:ind w:firstLine="0" w:firstLineChars="0"/>
              <w:jc w:val="center"/>
              <w:rPr>
                <w:color w:val="auto"/>
                <w:sz w:val="21"/>
              </w:rPr>
            </w:pPr>
            <w:r>
              <w:rPr>
                <w:color w:val="auto"/>
                <w:sz w:val="21"/>
              </w:rPr>
              <w:t xml:space="preserve">3181.368 </w:t>
            </w:r>
          </w:p>
        </w:tc>
        <w:tc>
          <w:tcPr>
            <w:tcW w:w="679" w:type="pct"/>
            <w:vMerge w:val="continue"/>
            <w:tcBorders>
              <w:tl2br w:val="nil"/>
              <w:tr2bl w:val="nil"/>
            </w:tcBorders>
            <w:vAlign w:val="center"/>
          </w:tcPr>
          <w:p w14:paraId="786A1798">
            <w:pPr>
              <w:spacing w:line="240" w:lineRule="auto"/>
              <w:ind w:firstLine="0" w:firstLineChars="0"/>
              <w:jc w:val="center"/>
              <w:rPr>
                <w:color w:val="auto"/>
                <w:sz w:val="21"/>
              </w:rPr>
            </w:pPr>
          </w:p>
        </w:tc>
      </w:tr>
      <w:tr w14:paraId="2B496C3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43C76E0">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硫代硫酸钙回收的8%氨水</w:t>
            </w:r>
          </w:p>
        </w:tc>
        <w:tc>
          <w:tcPr>
            <w:tcW w:w="1250" w:type="dxa"/>
            <w:tcBorders>
              <w:tl2br w:val="nil"/>
              <w:tr2bl w:val="nil"/>
            </w:tcBorders>
            <w:vAlign w:val="center"/>
          </w:tcPr>
          <w:p w14:paraId="5D5199F2">
            <w:pPr>
              <w:spacing w:line="240" w:lineRule="auto"/>
              <w:ind w:firstLine="0" w:firstLineChars="0"/>
              <w:jc w:val="center"/>
              <w:rPr>
                <w:color w:val="auto"/>
                <w:sz w:val="21"/>
              </w:rPr>
            </w:pPr>
            <w:r>
              <w:rPr>
                <w:color w:val="auto"/>
                <w:sz w:val="21"/>
              </w:rPr>
              <w:t xml:space="preserve">2315.117 </w:t>
            </w:r>
          </w:p>
        </w:tc>
        <w:tc>
          <w:tcPr>
            <w:tcW w:w="975" w:type="pct"/>
            <w:gridSpan w:val="2"/>
            <w:vMerge w:val="continue"/>
            <w:tcBorders>
              <w:tl2br w:val="nil"/>
              <w:tr2bl w:val="nil"/>
            </w:tcBorders>
            <w:vAlign w:val="center"/>
          </w:tcPr>
          <w:p w14:paraId="73A5EF68">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17A63BBB">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4F31759F">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硫磺</w:t>
            </w:r>
          </w:p>
        </w:tc>
        <w:tc>
          <w:tcPr>
            <w:tcW w:w="1373" w:type="dxa"/>
            <w:tcBorders>
              <w:tl2br w:val="nil"/>
              <w:tr2bl w:val="nil"/>
            </w:tcBorders>
            <w:vAlign w:val="center"/>
          </w:tcPr>
          <w:p w14:paraId="01CA3299">
            <w:pPr>
              <w:spacing w:line="240" w:lineRule="auto"/>
              <w:ind w:firstLine="0" w:firstLineChars="0"/>
              <w:jc w:val="center"/>
              <w:rPr>
                <w:color w:val="auto"/>
                <w:sz w:val="21"/>
              </w:rPr>
            </w:pPr>
            <w:r>
              <w:rPr>
                <w:color w:val="auto"/>
                <w:sz w:val="21"/>
              </w:rPr>
              <w:t xml:space="preserve">2.032 </w:t>
            </w:r>
          </w:p>
        </w:tc>
        <w:tc>
          <w:tcPr>
            <w:tcW w:w="679" w:type="pct"/>
            <w:vMerge w:val="continue"/>
            <w:tcBorders>
              <w:tl2br w:val="nil"/>
              <w:tr2bl w:val="nil"/>
            </w:tcBorders>
            <w:vAlign w:val="center"/>
          </w:tcPr>
          <w:p w14:paraId="737A6504">
            <w:pPr>
              <w:spacing w:line="240" w:lineRule="auto"/>
              <w:ind w:firstLine="0" w:firstLineChars="0"/>
              <w:jc w:val="center"/>
              <w:rPr>
                <w:color w:val="auto"/>
                <w:sz w:val="21"/>
              </w:rPr>
            </w:pPr>
          </w:p>
        </w:tc>
      </w:tr>
      <w:tr w14:paraId="2FB5D8A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243D42DF">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1002F646">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5D0AABC5">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251A48E2">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2809EC42">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杂质</w:t>
            </w:r>
          </w:p>
        </w:tc>
        <w:tc>
          <w:tcPr>
            <w:tcW w:w="1373" w:type="dxa"/>
            <w:tcBorders>
              <w:tl2br w:val="nil"/>
              <w:tr2bl w:val="nil"/>
            </w:tcBorders>
            <w:vAlign w:val="center"/>
          </w:tcPr>
          <w:p w14:paraId="325F5D3D">
            <w:pPr>
              <w:spacing w:line="240" w:lineRule="auto"/>
              <w:ind w:firstLine="0" w:firstLineChars="0"/>
              <w:jc w:val="center"/>
              <w:rPr>
                <w:color w:val="auto"/>
                <w:sz w:val="21"/>
              </w:rPr>
            </w:pPr>
            <w:r>
              <w:rPr>
                <w:color w:val="auto"/>
                <w:sz w:val="21"/>
              </w:rPr>
              <w:t xml:space="preserve">5.105 </w:t>
            </w:r>
          </w:p>
        </w:tc>
        <w:tc>
          <w:tcPr>
            <w:tcW w:w="679" w:type="pct"/>
            <w:vMerge w:val="continue"/>
            <w:tcBorders>
              <w:tl2br w:val="nil"/>
              <w:tr2bl w:val="nil"/>
            </w:tcBorders>
            <w:vAlign w:val="center"/>
          </w:tcPr>
          <w:p w14:paraId="756D029B">
            <w:pPr>
              <w:spacing w:line="240" w:lineRule="auto"/>
              <w:ind w:firstLine="0" w:firstLineChars="0"/>
              <w:jc w:val="center"/>
              <w:rPr>
                <w:color w:val="auto"/>
                <w:sz w:val="21"/>
              </w:rPr>
            </w:pPr>
          </w:p>
        </w:tc>
      </w:tr>
      <w:tr w14:paraId="44CDA7A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0D4E632">
            <w:pPr>
              <w:spacing w:line="240" w:lineRule="auto"/>
              <w:ind w:firstLine="0" w:firstLineChars="0"/>
              <w:jc w:val="center"/>
              <w:rPr>
                <w:color w:val="auto"/>
                <w:sz w:val="21"/>
              </w:rPr>
            </w:pPr>
          </w:p>
        </w:tc>
        <w:tc>
          <w:tcPr>
            <w:tcW w:w="634" w:type="pct"/>
            <w:tcBorders>
              <w:tl2br w:val="nil"/>
              <w:tr2bl w:val="nil"/>
            </w:tcBorders>
            <w:vAlign w:val="center"/>
          </w:tcPr>
          <w:p w14:paraId="1E545DD8">
            <w:pPr>
              <w:spacing w:line="240" w:lineRule="auto"/>
              <w:ind w:firstLine="0" w:firstLineChars="0"/>
              <w:jc w:val="center"/>
              <w:rPr>
                <w:color w:val="auto"/>
                <w:sz w:val="21"/>
              </w:rPr>
            </w:pPr>
          </w:p>
        </w:tc>
        <w:tc>
          <w:tcPr>
            <w:tcW w:w="495" w:type="pct"/>
            <w:vMerge w:val="restart"/>
            <w:tcBorders>
              <w:tl2br w:val="nil"/>
              <w:tr2bl w:val="nil"/>
            </w:tcBorders>
            <w:vAlign w:val="center"/>
          </w:tcPr>
          <w:p w14:paraId="4CF17EB0">
            <w:pPr>
              <w:spacing w:line="240" w:lineRule="auto"/>
              <w:ind w:firstLine="0" w:firstLineChars="0"/>
              <w:jc w:val="center"/>
              <w:rPr>
                <w:color w:val="auto"/>
                <w:sz w:val="21"/>
              </w:rPr>
            </w:pPr>
            <w:r>
              <w:rPr>
                <w:rFonts w:hint="eastAsia"/>
                <w:color w:val="auto"/>
                <w:sz w:val="21"/>
              </w:rPr>
              <w:t>废气</w:t>
            </w:r>
          </w:p>
        </w:tc>
        <w:tc>
          <w:tcPr>
            <w:tcW w:w="480" w:type="pct"/>
            <w:vMerge w:val="restart"/>
            <w:tcBorders>
              <w:tl2br w:val="nil"/>
              <w:tr2bl w:val="nil"/>
            </w:tcBorders>
            <w:vAlign w:val="center"/>
          </w:tcPr>
          <w:p w14:paraId="51FF5458">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G3-1</w:t>
            </w:r>
          </w:p>
        </w:tc>
        <w:tc>
          <w:tcPr>
            <w:tcW w:w="652" w:type="pct"/>
            <w:vMerge w:val="restart"/>
            <w:tcBorders>
              <w:tl2br w:val="nil"/>
              <w:tr2bl w:val="nil"/>
            </w:tcBorders>
            <w:vAlign w:val="center"/>
          </w:tcPr>
          <w:p w14:paraId="573757B3">
            <w:pPr>
              <w:widowControl/>
              <w:spacing w:line="240" w:lineRule="auto"/>
              <w:ind w:firstLine="0" w:firstLineChars="0"/>
              <w:jc w:val="center"/>
              <w:textAlignment w:val="center"/>
              <w:rPr>
                <w:color w:val="auto"/>
                <w:sz w:val="21"/>
              </w:rPr>
            </w:pPr>
            <w:r>
              <w:rPr>
                <w:rFonts w:hint="eastAsia" w:ascii="宋体" w:hAnsi="宋体" w:cs="宋体"/>
                <w:color w:val="auto"/>
                <w:kern w:val="0"/>
                <w:sz w:val="22"/>
                <w:szCs w:val="22"/>
                <w:lang w:bidi="ar"/>
              </w:rPr>
              <w:t>配置废气</w:t>
            </w:r>
          </w:p>
        </w:tc>
        <w:tc>
          <w:tcPr>
            <w:tcW w:w="623" w:type="pct"/>
            <w:tcBorders>
              <w:tl2br w:val="nil"/>
              <w:tr2bl w:val="nil"/>
            </w:tcBorders>
            <w:vAlign w:val="center"/>
          </w:tcPr>
          <w:p w14:paraId="67B84AA2">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氨气</w:t>
            </w:r>
          </w:p>
        </w:tc>
        <w:tc>
          <w:tcPr>
            <w:tcW w:w="1373" w:type="dxa"/>
            <w:tcBorders>
              <w:tl2br w:val="nil"/>
              <w:tr2bl w:val="nil"/>
            </w:tcBorders>
            <w:vAlign w:val="center"/>
          </w:tcPr>
          <w:p w14:paraId="1680F7E0">
            <w:pPr>
              <w:spacing w:line="240" w:lineRule="auto"/>
              <w:ind w:firstLine="0" w:firstLineChars="0"/>
              <w:jc w:val="center"/>
              <w:rPr>
                <w:color w:val="auto"/>
                <w:sz w:val="21"/>
              </w:rPr>
            </w:pPr>
            <w:r>
              <w:rPr>
                <w:color w:val="auto"/>
                <w:sz w:val="21"/>
              </w:rPr>
              <w:t xml:space="preserve">0.183 </w:t>
            </w:r>
          </w:p>
        </w:tc>
        <w:tc>
          <w:tcPr>
            <w:tcW w:w="1340" w:type="dxa"/>
            <w:vMerge w:val="restart"/>
            <w:tcBorders>
              <w:tl2br w:val="nil"/>
              <w:tr2bl w:val="nil"/>
            </w:tcBorders>
            <w:vAlign w:val="center"/>
          </w:tcPr>
          <w:p w14:paraId="14CCBDA0">
            <w:pPr>
              <w:spacing w:line="240" w:lineRule="auto"/>
              <w:ind w:firstLine="0" w:firstLineChars="0"/>
              <w:jc w:val="center"/>
              <w:rPr>
                <w:color w:val="auto"/>
                <w:sz w:val="21"/>
              </w:rPr>
            </w:pPr>
            <w:r>
              <w:rPr>
                <w:color w:val="auto"/>
                <w:sz w:val="21"/>
              </w:rPr>
              <w:t xml:space="preserve">21.682 </w:t>
            </w:r>
          </w:p>
        </w:tc>
      </w:tr>
      <w:tr w14:paraId="23D622F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2B2D9151">
            <w:pPr>
              <w:spacing w:line="240" w:lineRule="auto"/>
              <w:ind w:firstLine="0" w:firstLineChars="0"/>
              <w:jc w:val="center"/>
              <w:rPr>
                <w:color w:val="auto"/>
                <w:sz w:val="21"/>
              </w:rPr>
            </w:pPr>
          </w:p>
        </w:tc>
        <w:tc>
          <w:tcPr>
            <w:tcW w:w="634" w:type="pct"/>
            <w:tcBorders>
              <w:tl2br w:val="nil"/>
              <w:tr2bl w:val="nil"/>
            </w:tcBorders>
            <w:vAlign w:val="center"/>
          </w:tcPr>
          <w:p w14:paraId="1728ED9C">
            <w:pPr>
              <w:spacing w:line="240" w:lineRule="auto"/>
              <w:ind w:firstLine="0" w:firstLineChars="0"/>
              <w:jc w:val="center"/>
              <w:rPr>
                <w:color w:val="auto"/>
                <w:sz w:val="21"/>
              </w:rPr>
            </w:pPr>
          </w:p>
        </w:tc>
        <w:tc>
          <w:tcPr>
            <w:tcW w:w="495" w:type="pct"/>
            <w:vMerge w:val="continue"/>
            <w:tcBorders>
              <w:tl2br w:val="nil"/>
              <w:tr2bl w:val="nil"/>
            </w:tcBorders>
            <w:vAlign w:val="center"/>
          </w:tcPr>
          <w:p w14:paraId="5063C088">
            <w:pPr>
              <w:spacing w:line="240" w:lineRule="auto"/>
              <w:ind w:firstLine="0" w:firstLineChars="0"/>
              <w:jc w:val="center"/>
              <w:rPr>
                <w:color w:val="auto"/>
                <w:sz w:val="21"/>
              </w:rPr>
            </w:pPr>
          </w:p>
        </w:tc>
        <w:tc>
          <w:tcPr>
            <w:tcW w:w="480" w:type="pct"/>
            <w:vMerge w:val="continue"/>
            <w:tcBorders>
              <w:tl2br w:val="nil"/>
              <w:tr2bl w:val="nil"/>
            </w:tcBorders>
            <w:vAlign w:val="center"/>
          </w:tcPr>
          <w:p w14:paraId="654F15A3">
            <w:pPr>
              <w:widowControl/>
              <w:spacing w:line="240" w:lineRule="auto"/>
              <w:ind w:firstLine="0" w:firstLineChars="0"/>
              <w:jc w:val="center"/>
              <w:textAlignment w:val="center"/>
              <w:rPr>
                <w:rFonts w:cs="宋体"/>
                <w:color w:val="auto"/>
                <w:kern w:val="0"/>
                <w:sz w:val="21"/>
                <w:szCs w:val="22"/>
                <w:lang w:bidi="ar"/>
              </w:rPr>
            </w:pPr>
          </w:p>
        </w:tc>
        <w:tc>
          <w:tcPr>
            <w:tcW w:w="652" w:type="pct"/>
            <w:vMerge w:val="continue"/>
            <w:tcBorders>
              <w:tl2br w:val="nil"/>
              <w:tr2bl w:val="nil"/>
            </w:tcBorders>
            <w:vAlign w:val="center"/>
          </w:tcPr>
          <w:p w14:paraId="00F2DA72">
            <w:pPr>
              <w:widowControl/>
              <w:spacing w:line="240" w:lineRule="auto"/>
              <w:ind w:firstLine="0" w:firstLineChars="0"/>
              <w:jc w:val="center"/>
              <w:textAlignment w:val="center"/>
              <w:rPr>
                <w:rFonts w:hint="eastAsia" w:ascii="宋体" w:hAnsi="宋体" w:cs="宋体"/>
                <w:color w:val="auto"/>
                <w:kern w:val="0"/>
                <w:sz w:val="22"/>
                <w:szCs w:val="22"/>
                <w:lang w:bidi="ar"/>
              </w:rPr>
            </w:pPr>
          </w:p>
        </w:tc>
        <w:tc>
          <w:tcPr>
            <w:tcW w:w="623" w:type="pct"/>
            <w:tcBorders>
              <w:tl2br w:val="nil"/>
              <w:tr2bl w:val="nil"/>
            </w:tcBorders>
            <w:vAlign w:val="center"/>
          </w:tcPr>
          <w:p w14:paraId="6B1554FA">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水</w:t>
            </w:r>
          </w:p>
        </w:tc>
        <w:tc>
          <w:tcPr>
            <w:tcW w:w="1373" w:type="dxa"/>
            <w:tcBorders>
              <w:tl2br w:val="nil"/>
              <w:tr2bl w:val="nil"/>
            </w:tcBorders>
            <w:vAlign w:val="center"/>
          </w:tcPr>
          <w:p w14:paraId="027D3EF5">
            <w:pPr>
              <w:spacing w:line="240" w:lineRule="auto"/>
              <w:ind w:firstLine="0" w:firstLineChars="0"/>
              <w:jc w:val="center"/>
              <w:rPr>
                <w:color w:val="auto"/>
                <w:sz w:val="21"/>
              </w:rPr>
            </w:pPr>
            <w:r>
              <w:rPr>
                <w:color w:val="auto"/>
                <w:sz w:val="21"/>
              </w:rPr>
              <w:t xml:space="preserve">21.498 </w:t>
            </w:r>
          </w:p>
        </w:tc>
        <w:tc>
          <w:tcPr>
            <w:tcW w:w="679" w:type="pct"/>
            <w:vMerge w:val="continue"/>
            <w:tcBorders>
              <w:tl2br w:val="nil"/>
              <w:tr2bl w:val="nil"/>
            </w:tcBorders>
            <w:vAlign w:val="center"/>
          </w:tcPr>
          <w:p w14:paraId="754143E9">
            <w:pPr>
              <w:spacing w:line="240" w:lineRule="auto"/>
              <w:ind w:firstLine="0" w:firstLineChars="0"/>
              <w:jc w:val="center"/>
              <w:rPr>
                <w:color w:val="auto"/>
                <w:sz w:val="21"/>
              </w:rPr>
            </w:pPr>
          </w:p>
        </w:tc>
      </w:tr>
      <w:tr w14:paraId="6E47EA4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737" w:type="pct"/>
            <w:tcBorders>
              <w:tl2br w:val="nil"/>
              <w:tr2bl w:val="nil"/>
            </w:tcBorders>
            <w:vAlign w:val="center"/>
          </w:tcPr>
          <w:p w14:paraId="190F40BA">
            <w:pPr>
              <w:spacing w:line="240" w:lineRule="auto"/>
              <w:ind w:firstLine="0" w:firstLineChars="0"/>
              <w:jc w:val="center"/>
              <w:rPr>
                <w:color w:val="auto"/>
                <w:sz w:val="21"/>
              </w:rPr>
            </w:pPr>
          </w:p>
        </w:tc>
        <w:tc>
          <w:tcPr>
            <w:tcW w:w="634" w:type="pct"/>
            <w:tcBorders>
              <w:tl2br w:val="nil"/>
              <w:tr2bl w:val="nil"/>
            </w:tcBorders>
            <w:vAlign w:val="center"/>
          </w:tcPr>
          <w:p w14:paraId="7AB3CD54">
            <w:pPr>
              <w:spacing w:line="240" w:lineRule="auto"/>
              <w:ind w:firstLine="0" w:firstLineChars="0"/>
              <w:jc w:val="center"/>
              <w:rPr>
                <w:color w:val="auto"/>
                <w:sz w:val="21"/>
              </w:rPr>
            </w:pPr>
          </w:p>
        </w:tc>
        <w:tc>
          <w:tcPr>
            <w:tcW w:w="495" w:type="pct"/>
            <w:vMerge w:val="continue"/>
            <w:tcBorders>
              <w:tl2br w:val="nil"/>
              <w:tr2bl w:val="nil"/>
            </w:tcBorders>
            <w:vAlign w:val="center"/>
          </w:tcPr>
          <w:p w14:paraId="4F498516">
            <w:pPr>
              <w:spacing w:line="240" w:lineRule="auto"/>
              <w:ind w:firstLine="0" w:firstLineChars="0"/>
              <w:jc w:val="center"/>
              <w:rPr>
                <w:color w:val="auto"/>
                <w:sz w:val="21"/>
              </w:rPr>
            </w:pPr>
          </w:p>
        </w:tc>
        <w:tc>
          <w:tcPr>
            <w:tcW w:w="480" w:type="pct"/>
            <w:vMerge w:val="restart"/>
            <w:tcBorders>
              <w:tl2br w:val="nil"/>
              <w:tr2bl w:val="nil"/>
            </w:tcBorders>
            <w:vAlign w:val="center"/>
          </w:tcPr>
          <w:p w14:paraId="406322CF">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G3-2</w:t>
            </w:r>
          </w:p>
        </w:tc>
        <w:tc>
          <w:tcPr>
            <w:tcW w:w="652" w:type="pct"/>
            <w:vMerge w:val="restart"/>
            <w:tcBorders>
              <w:tl2br w:val="nil"/>
              <w:tr2bl w:val="nil"/>
            </w:tcBorders>
            <w:vAlign w:val="center"/>
          </w:tcPr>
          <w:p w14:paraId="6D60BAC9">
            <w:pPr>
              <w:widowControl/>
              <w:spacing w:line="240" w:lineRule="auto"/>
              <w:ind w:firstLine="0" w:firstLineChars="0"/>
              <w:jc w:val="center"/>
              <w:textAlignment w:val="center"/>
              <w:rPr>
                <w:color w:val="auto"/>
                <w:sz w:val="21"/>
              </w:rPr>
            </w:pPr>
            <w:r>
              <w:rPr>
                <w:rFonts w:hint="eastAsia" w:ascii="宋体" w:hAnsi="宋体" w:cs="宋体"/>
                <w:color w:val="auto"/>
                <w:kern w:val="0"/>
                <w:sz w:val="22"/>
                <w:szCs w:val="22"/>
                <w:lang w:bidi="ar"/>
              </w:rPr>
              <w:t>反应废气</w:t>
            </w:r>
          </w:p>
        </w:tc>
        <w:tc>
          <w:tcPr>
            <w:tcW w:w="623" w:type="pct"/>
            <w:tcBorders>
              <w:tl2br w:val="nil"/>
              <w:tr2bl w:val="nil"/>
            </w:tcBorders>
            <w:vAlign w:val="center"/>
          </w:tcPr>
          <w:p w14:paraId="6B91A277">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氨气</w:t>
            </w:r>
          </w:p>
        </w:tc>
        <w:tc>
          <w:tcPr>
            <w:tcW w:w="1373" w:type="dxa"/>
            <w:tcBorders>
              <w:tl2br w:val="nil"/>
              <w:tr2bl w:val="nil"/>
            </w:tcBorders>
            <w:vAlign w:val="center"/>
          </w:tcPr>
          <w:p w14:paraId="7C5D587F">
            <w:pPr>
              <w:spacing w:line="240" w:lineRule="auto"/>
              <w:ind w:firstLine="0" w:firstLineChars="0"/>
              <w:jc w:val="center"/>
              <w:rPr>
                <w:color w:val="auto"/>
                <w:sz w:val="21"/>
              </w:rPr>
            </w:pPr>
            <w:r>
              <w:rPr>
                <w:color w:val="auto"/>
                <w:sz w:val="21"/>
              </w:rPr>
              <w:t xml:space="preserve">11.767 </w:t>
            </w:r>
          </w:p>
        </w:tc>
        <w:tc>
          <w:tcPr>
            <w:tcW w:w="1340" w:type="dxa"/>
            <w:vMerge w:val="restart"/>
            <w:tcBorders>
              <w:tl2br w:val="nil"/>
              <w:tr2bl w:val="nil"/>
            </w:tcBorders>
            <w:vAlign w:val="center"/>
          </w:tcPr>
          <w:p w14:paraId="5F272FD2">
            <w:pPr>
              <w:spacing w:line="240" w:lineRule="auto"/>
              <w:ind w:firstLine="0" w:firstLineChars="0"/>
              <w:jc w:val="center"/>
              <w:rPr>
                <w:color w:val="auto"/>
                <w:sz w:val="21"/>
              </w:rPr>
            </w:pPr>
            <w:r>
              <w:rPr>
                <w:color w:val="auto"/>
                <w:sz w:val="21"/>
              </w:rPr>
              <w:t xml:space="preserve">147.367 </w:t>
            </w:r>
          </w:p>
        </w:tc>
      </w:tr>
      <w:tr w14:paraId="288F63D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2D784DA">
            <w:pPr>
              <w:spacing w:line="240" w:lineRule="auto"/>
              <w:ind w:firstLine="0" w:firstLineChars="0"/>
              <w:jc w:val="center"/>
              <w:rPr>
                <w:color w:val="auto"/>
                <w:sz w:val="21"/>
              </w:rPr>
            </w:pPr>
          </w:p>
        </w:tc>
        <w:tc>
          <w:tcPr>
            <w:tcW w:w="634" w:type="pct"/>
            <w:tcBorders>
              <w:tl2br w:val="nil"/>
              <w:tr2bl w:val="nil"/>
            </w:tcBorders>
            <w:vAlign w:val="center"/>
          </w:tcPr>
          <w:p w14:paraId="02FADC8D">
            <w:pPr>
              <w:spacing w:line="240" w:lineRule="auto"/>
              <w:ind w:firstLine="0" w:firstLineChars="0"/>
              <w:jc w:val="center"/>
              <w:rPr>
                <w:color w:val="auto"/>
                <w:sz w:val="21"/>
              </w:rPr>
            </w:pPr>
          </w:p>
        </w:tc>
        <w:tc>
          <w:tcPr>
            <w:tcW w:w="495" w:type="pct"/>
            <w:vMerge w:val="continue"/>
            <w:tcBorders>
              <w:tl2br w:val="nil"/>
              <w:tr2bl w:val="nil"/>
            </w:tcBorders>
            <w:vAlign w:val="center"/>
          </w:tcPr>
          <w:p w14:paraId="1D09158F">
            <w:pPr>
              <w:spacing w:line="240" w:lineRule="auto"/>
              <w:ind w:firstLine="0" w:firstLineChars="0"/>
              <w:jc w:val="center"/>
              <w:rPr>
                <w:color w:val="auto"/>
                <w:sz w:val="21"/>
              </w:rPr>
            </w:pPr>
          </w:p>
        </w:tc>
        <w:tc>
          <w:tcPr>
            <w:tcW w:w="480" w:type="pct"/>
            <w:vMerge w:val="continue"/>
            <w:tcBorders>
              <w:tl2br w:val="nil"/>
              <w:tr2bl w:val="nil"/>
            </w:tcBorders>
            <w:vAlign w:val="center"/>
          </w:tcPr>
          <w:p w14:paraId="5A48D9BF">
            <w:pPr>
              <w:widowControl/>
              <w:spacing w:line="240" w:lineRule="auto"/>
              <w:ind w:firstLine="0" w:firstLineChars="0"/>
              <w:jc w:val="center"/>
              <w:textAlignment w:val="center"/>
              <w:rPr>
                <w:rFonts w:cs="宋体"/>
                <w:color w:val="auto"/>
                <w:kern w:val="0"/>
                <w:sz w:val="21"/>
                <w:szCs w:val="22"/>
                <w:lang w:bidi="ar"/>
              </w:rPr>
            </w:pPr>
          </w:p>
        </w:tc>
        <w:tc>
          <w:tcPr>
            <w:tcW w:w="652" w:type="pct"/>
            <w:vMerge w:val="continue"/>
            <w:tcBorders>
              <w:tl2br w:val="nil"/>
              <w:tr2bl w:val="nil"/>
            </w:tcBorders>
            <w:vAlign w:val="center"/>
          </w:tcPr>
          <w:p w14:paraId="3FC74624">
            <w:pPr>
              <w:widowControl/>
              <w:spacing w:line="240" w:lineRule="auto"/>
              <w:ind w:firstLine="0" w:firstLineChars="0"/>
              <w:jc w:val="center"/>
              <w:textAlignment w:val="center"/>
              <w:rPr>
                <w:rFonts w:hint="eastAsia" w:ascii="宋体" w:hAnsi="宋体" w:cs="宋体"/>
                <w:color w:val="auto"/>
                <w:kern w:val="0"/>
                <w:sz w:val="22"/>
                <w:szCs w:val="22"/>
                <w:lang w:bidi="ar"/>
              </w:rPr>
            </w:pPr>
          </w:p>
        </w:tc>
        <w:tc>
          <w:tcPr>
            <w:tcW w:w="623" w:type="pct"/>
            <w:tcBorders>
              <w:tl2br w:val="nil"/>
              <w:tr2bl w:val="nil"/>
            </w:tcBorders>
            <w:vAlign w:val="center"/>
          </w:tcPr>
          <w:p w14:paraId="1B32D16E">
            <w:pPr>
              <w:widowControl/>
              <w:spacing w:line="240" w:lineRule="auto"/>
              <w:ind w:firstLine="0" w:firstLineChars="0"/>
              <w:jc w:val="center"/>
              <w:textAlignment w:val="center"/>
              <w:rPr>
                <w:rFonts w:cs="宋体"/>
                <w:color w:val="auto"/>
                <w:kern w:val="0"/>
                <w:sz w:val="21"/>
                <w:szCs w:val="22"/>
                <w:lang w:bidi="ar"/>
              </w:rPr>
            </w:pPr>
            <w:r>
              <w:rPr>
                <w:rFonts w:hint="eastAsia" w:ascii="宋体" w:hAnsi="宋体" w:cs="宋体"/>
                <w:color w:val="auto"/>
                <w:kern w:val="0"/>
                <w:sz w:val="22"/>
                <w:szCs w:val="22"/>
                <w:lang w:bidi="ar"/>
              </w:rPr>
              <w:t>水</w:t>
            </w:r>
          </w:p>
        </w:tc>
        <w:tc>
          <w:tcPr>
            <w:tcW w:w="1373" w:type="dxa"/>
            <w:tcBorders>
              <w:tl2br w:val="nil"/>
              <w:tr2bl w:val="nil"/>
            </w:tcBorders>
            <w:vAlign w:val="center"/>
          </w:tcPr>
          <w:p w14:paraId="258D72AD">
            <w:pPr>
              <w:spacing w:line="240" w:lineRule="auto"/>
              <w:ind w:firstLine="0" w:firstLineChars="0"/>
              <w:jc w:val="center"/>
              <w:rPr>
                <w:color w:val="auto"/>
                <w:sz w:val="21"/>
              </w:rPr>
            </w:pPr>
            <w:r>
              <w:rPr>
                <w:color w:val="auto"/>
                <w:sz w:val="21"/>
              </w:rPr>
              <w:t xml:space="preserve">135.600 </w:t>
            </w:r>
          </w:p>
        </w:tc>
        <w:tc>
          <w:tcPr>
            <w:tcW w:w="679" w:type="pct"/>
            <w:vMerge w:val="continue"/>
            <w:tcBorders>
              <w:tl2br w:val="nil"/>
              <w:tr2bl w:val="nil"/>
            </w:tcBorders>
            <w:vAlign w:val="center"/>
          </w:tcPr>
          <w:p w14:paraId="7D74F835">
            <w:pPr>
              <w:spacing w:line="240" w:lineRule="auto"/>
              <w:ind w:firstLine="0" w:firstLineChars="0"/>
              <w:jc w:val="center"/>
              <w:rPr>
                <w:color w:val="auto"/>
                <w:sz w:val="21"/>
              </w:rPr>
            </w:pPr>
          </w:p>
        </w:tc>
      </w:tr>
      <w:tr w14:paraId="7B5E27B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222204A6">
            <w:pPr>
              <w:spacing w:line="240" w:lineRule="auto"/>
              <w:ind w:firstLine="0" w:firstLineChars="0"/>
              <w:jc w:val="center"/>
              <w:rPr>
                <w:color w:val="auto"/>
                <w:sz w:val="21"/>
              </w:rPr>
            </w:pPr>
          </w:p>
        </w:tc>
        <w:tc>
          <w:tcPr>
            <w:tcW w:w="634" w:type="pct"/>
            <w:tcBorders>
              <w:tl2br w:val="nil"/>
              <w:tr2bl w:val="nil"/>
            </w:tcBorders>
            <w:vAlign w:val="center"/>
          </w:tcPr>
          <w:p w14:paraId="66293B0B">
            <w:pPr>
              <w:spacing w:line="240" w:lineRule="auto"/>
              <w:ind w:firstLine="0" w:firstLineChars="0"/>
              <w:jc w:val="center"/>
              <w:rPr>
                <w:color w:val="auto"/>
                <w:sz w:val="21"/>
              </w:rPr>
            </w:pPr>
          </w:p>
        </w:tc>
        <w:tc>
          <w:tcPr>
            <w:tcW w:w="975" w:type="pct"/>
            <w:gridSpan w:val="2"/>
            <w:tcBorders>
              <w:tl2br w:val="nil"/>
              <w:tr2bl w:val="nil"/>
            </w:tcBorders>
            <w:vAlign w:val="center"/>
          </w:tcPr>
          <w:p w14:paraId="20E47321">
            <w:pPr>
              <w:spacing w:line="240" w:lineRule="auto"/>
              <w:ind w:firstLine="0" w:firstLineChars="0"/>
              <w:jc w:val="center"/>
              <w:rPr>
                <w:color w:val="auto"/>
                <w:sz w:val="21"/>
              </w:rPr>
            </w:pPr>
            <w:r>
              <w:rPr>
                <w:rFonts w:hint="eastAsia"/>
                <w:color w:val="auto"/>
                <w:sz w:val="21"/>
              </w:rPr>
              <w:t>水蒸气</w:t>
            </w:r>
          </w:p>
        </w:tc>
        <w:tc>
          <w:tcPr>
            <w:tcW w:w="637" w:type="pct"/>
            <w:tcBorders>
              <w:tl2br w:val="nil"/>
              <w:tr2bl w:val="nil"/>
            </w:tcBorders>
            <w:vAlign w:val="center"/>
          </w:tcPr>
          <w:p w14:paraId="0B6D6CB5">
            <w:pPr>
              <w:spacing w:line="240" w:lineRule="auto"/>
              <w:ind w:firstLine="0" w:firstLineChars="0"/>
              <w:jc w:val="center"/>
              <w:rPr>
                <w:color w:val="auto"/>
                <w:sz w:val="21"/>
              </w:rPr>
            </w:pPr>
            <w:r>
              <w:rPr>
                <w:rFonts w:hint="eastAsia"/>
                <w:color w:val="auto"/>
                <w:sz w:val="21"/>
              </w:rPr>
              <w:t>/</w:t>
            </w:r>
          </w:p>
        </w:tc>
        <w:tc>
          <w:tcPr>
            <w:tcW w:w="638" w:type="pct"/>
            <w:tcBorders>
              <w:tl2br w:val="nil"/>
              <w:tr2bl w:val="nil"/>
            </w:tcBorders>
            <w:vAlign w:val="center"/>
          </w:tcPr>
          <w:p w14:paraId="17007CEF">
            <w:pPr>
              <w:spacing w:line="240" w:lineRule="auto"/>
              <w:ind w:firstLine="0" w:firstLineChars="0"/>
              <w:jc w:val="center"/>
              <w:rPr>
                <w:color w:val="auto"/>
                <w:sz w:val="21"/>
              </w:rPr>
            </w:pPr>
            <w:r>
              <w:rPr>
                <w:rFonts w:hint="eastAsia"/>
                <w:color w:val="auto"/>
                <w:sz w:val="21"/>
              </w:rPr>
              <w:t>水</w:t>
            </w:r>
          </w:p>
        </w:tc>
        <w:tc>
          <w:tcPr>
            <w:tcW w:w="1373" w:type="dxa"/>
            <w:tcBorders>
              <w:tl2br w:val="nil"/>
              <w:tr2bl w:val="nil"/>
            </w:tcBorders>
            <w:vAlign w:val="center"/>
          </w:tcPr>
          <w:p w14:paraId="11068C3F">
            <w:pPr>
              <w:spacing w:line="240" w:lineRule="auto"/>
              <w:ind w:firstLine="0" w:firstLineChars="0"/>
              <w:jc w:val="center"/>
              <w:rPr>
                <w:color w:val="auto"/>
                <w:sz w:val="21"/>
              </w:rPr>
            </w:pPr>
            <w:r>
              <w:rPr>
                <w:color w:val="auto"/>
                <w:sz w:val="21"/>
              </w:rPr>
              <w:t xml:space="preserve">167.440 </w:t>
            </w:r>
          </w:p>
        </w:tc>
        <w:tc>
          <w:tcPr>
            <w:tcW w:w="1340" w:type="dxa"/>
            <w:tcBorders>
              <w:tl2br w:val="nil"/>
              <w:tr2bl w:val="nil"/>
            </w:tcBorders>
            <w:vAlign w:val="center"/>
          </w:tcPr>
          <w:p w14:paraId="77E59EA2">
            <w:pPr>
              <w:spacing w:line="240" w:lineRule="auto"/>
              <w:ind w:firstLine="0" w:firstLineChars="0"/>
              <w:jc w:val="center"/>
              <w:rPr>
                <w:color w:val="auto"/>
                <w:sz w:val="21"/>
              </w:rPr>
            </w:pPr>
            <w:r>
              <w:rPr>
                <w:color w:val="auto"/>
                <w:sz w:val="21"/>
              </w:rPr>
              <w:t xml:space="preserve">167.440 </w:t>
            </w:r>
          </w:p>
        </w:tc>
      </w:tr>
      <w:tr w14:paraId="1345EF9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3125D5F">
            <w:pPr>
              <w:spacing w:line="240" w:lineRule="auto"/>
              <w:ind w:firstLine="0" w:firstLineChars="0"/>
              <w:jc w:val="center"/>
              <w:rPr>
                <w:color w:val="auto"/>
                <w:sz w:val="21"/>
              </w:rPr>
            </w:pPr>
            <w:r>
              <w:rPr>
                <w:rFonts w:hint="eastAsia"/>
                <w:color w:val="auto"/>
                <w:sz w:val="21"/>
              </w:rPr>
              <w:t>合计</w:t>
            </w:r>
          </w:p>
        </w:tc>
        <w:tc>
          <w:tcPr>
            <w:tcW w:w="634" w:type="pct"/>
            <w:tcBorders>
              <w:tl2br w:val="nil"/>
              <w:tr2bl w:val="nil"/>
            </w:tcBorders>
            <w:vAlign w:val="center"/>
          </w:tcPr>
          <w:p w14:paraId="2A63D247">
            <w:pPr>
              <w:spacing w:line="240" w:lineRule="auto"/>
              <w:ind w:firstLine="0" w:firstLineChars="0"/>
              <w:jc w:val="center"/>
              <w:rPr>
                <w:color w:val="auto"/>
                <w:sz w:val="21"/>
              </w:rPr>
            </w:pPr>
            <w:r>
              <w:rPr>
                <w:rFonts w:hint="eastAsia"/>
                <w:color w:val="auto"/>
                <w:sz w:val="21"/>
              </w:rPr>
              <w:t>8246.117</w:t>
            </w:r>
          </w:p>
        </w:tc>
        <w:tc>
          <w:tcPr>
            <w:tcW w:w="2948" w:type="pct"/>
            <w:gridSpan w:val="5"/>
            <w:tcBorders>
              <w:tl2br w:val="nil"/>
              <w:tr2bl w:val="nil"/>
            </w:tcBorders>
            <w:vAlign w:val="center"/>
          </w:tcPr>
          <w:p w14:paraId="18B4A87E">
            <w:pPr>
              <w:spacing w:line="240" w:lineRule="auto"/>
              <w:ind w:firstLine="0" w:firstLineChars="0"/>
              <w:jc w:val="center"/>
              <w:rPr>
                <w:color w:val="auto"/>
                <w:sz w:val="21"/>
              </w:rPr>
            </w:pPr>
            <w:r>
              <w:rPr>
                <w:rFonts w:hint="eastAsia"/>
                <w:color w:val="auto"/>
                <w:sz w:val="21"/>
              </w:rPr>
              <w:t>合计</w:t>
            </w:r>
          </w:p>
        </w:tc>
        <w:tc>
          <w:tcPr>
            <w:tcW w:w="679" w:type="pct"/>
            <w:tcBorders>
              <w:tl2br w:val="nil"/>
              <w:tr2bl w:val="nil"/>
            </w:tcBorders>
            <w:vAlign w:val="center"/>
          </w:tcPr>
          <w:p w14:paraId="0B13FF2C">
            <w:pPr>
              <w:spacing w:line="240" w:lineRule="auto"/>
              <w:ind w:firstLine="0" w:firstLineChars="0"/>
              <w:jc w:val="center"/>
              <w:rPr>
                <w:color w:val="auto"/>
                <w:sz w:val="21"/>
              </w:rPr>
            </w:pPr>
            <w:r>
              <w:rPr>
                <w:rFonts w:hint="eastAsia"/>
                <w:color w:val="auto"/>
                <w:sz w:val="21"/>
              </w:rPr>
              <w:t>8246.117</w:t>
            </w:r>
          </w:p>
        </w:tc>
      </w:tr>
    </w:tbl>
    <w:p w14:paraId="36BB72DE">
      <w:pPr>
        <w:ind w:firstLine="480"/>
        <w:rPr>
          <w:color w:val="auto"/>
        </w:rPr>
      </w:pPr>
    </w:p>
    <w:p w14:paraId="3ECC0841">
      <w:pPr>
        <w:spacing w:line="240" w:lineRule="auto"/>
        <w:ind w:firstLine="0" w:firstLineChars="0"/>
        <w:jc w:val="center"/>
        <w:rPr>
          <w:b/>
          <w:bCs/>
          <w:color w:val="auto"/>
        </w:rPr>
      </w:pPr>
      <w:r>
        <w:rPr>
          <w:rFonts w:hint="eastAsia"/>
          <w:b/>
          <w:bCs/>
          <w:color w:val="auto"/>
        </w:rPr>
        <w:t>表4.4-12  硫代硫酸铵生产物料投入--产出表（t/a）</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3"/>
        <w:gridCol w:w="1250"/>
        <w:gridCol w:w="976"/>
        <w:gridCol w:w="946"/>
        <w:gridCol w:w="1255"/>
        <w:gridCol w:w="30"/>
        <w:gridCol w:w="1230"/>
        <w:gridCol w:w="1374"/>
        <w:gridCol w:w="1340"/>
      </w:tblGrid>
      <w:tr w14:paraId="097B1CE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488DAE71">
            <w:pPr>
              <w:spacing w:line="240" w:lineRule="auto"/>
              <w:ind w:firstLine="0" w:firstLineChars="0"/>
              <w:jc w:val="center"/>
              <w:rPr>
                <w:b/>
                <w:bCs/>
                <w:color w:val="auto"/>
                <w:sz w:val="21"/>
              </w:rPr>
            </w:pPr>
            <w:r>
              <w:rPr>
                <w:rFonts w:hint="eastAsia"/>
                <w:b/>
                <w:bCs/>
                <w:color w:val="auto"/>
                <w:sz w:val="21"/>
              </w:rPr>
              <w:t>投入</w:t>
            </w:r>
          </w:p>
        </w:tc>
        <w:tc>
          <w:tcPr>
            <w:tcW w:w="3628" w:type="pct"/>
            <w:gridSpan w:val="7"/>
            <w:tcBorders>
              <w:tl2br w:val="nil"/>
              <w:tr2bl w:val="nil"/>
            </w:tcBorders>
            <w:vAlign w:val="center"/>
          </w:tcPr>
          <w:p w14:paraId="4C59337C">
            <w:pPr>
              <w:spacing w:line="240" w:lineRule="auto"/>
              <w:ind w:firstLine="0" w:firstLineChars="0"/>
              <w:jc w:val="center"/>
              <w:rPr>
                <w:b/>
                <w:bCs/>
                <w:color w:val="auto"/>
                <w:sz w:val="21"/>
              </w:rPr>
            </w:pPr>
            <w:r>
              <w:rPr>
                <w:rFonts w:hint="eastAsia"/>
                <w:b/>
                <w:bCs/>
                <w:color w:val="auto"/>
                <w:sz w:val="21"/>
              </w:rPr>
              <w:t>产出</w:t>
            </w:r>
          </w:p>
        </w:tc>
      </w:tr>
      <w:tr w14:paraId="0A45AEE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353C402">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2FB27370">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4341A9C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33C9E4A4">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276" w:type="pct"/>
            <w:gridSpan w:val="3"/>
            <w:tcBorders>
              <w:tl2br w:val="nil"/>
              <w:tr2bl w:val="nil"/>
            </w:tcBorders>
            <w:vAlign w:val="center"/>
          </w:tcPr>
          <w:p w14:paraId="628AFDB4">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376" w:type="pct"/>
            <w:gridSpan w:val="2"/>
            <w:tcBorders>
              <w:tl2br w:val="nil"/>
              <w:tr2bl w:val="nil"/>
            </w:tcBorders>
            <w:vAlign w:val="center"/>
          </w:tcPr>
          <w:p w14:paraId="696C98E3">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297BC26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6D0374C">
            <w:pPr>
              <w:widowControl/>
              <w:spacing w:line="240" w:lineRule="auto"/>
              <w:ind w:firstLine="0" w:firstLineChars="0"/>
              <w:jc w:val="center"/>
              <w:textAlignment w:val="center"/>
              <w:rPr>
                <w:color w:val="auto"/>
                <w:sz w:val="21"/>
              </w:rPr>
            </w:pPr>
          </w:p>
        </w:tc>
        <w:tc>
          <w:tcPr>
            <w:tcW w:w="634" w:type="pct"/>
            <w:tcBorders>
              <w:tl2br w:val="nil"/>
              <w:tr2bl w:val="nil"/>
            </w:tcBorders>
            <w:vAlign w:val="center"/>
          </w:tcPr>
          <w:p w14:paraId="33A52F7D">
            <w:pPr>
              <w:widowControl/>
              <w:spacing w:line="240" w:lineRule="auto"/>
              <w:ind w:firstLine="0" w:firstLineChars="0"/>
              <w:jc w:val="center"/>
              <w:textAlignment w:val="center"/>
              <w:rPr>
                <w:color w:val="auto"/>
                <w:sz w:val="21"/>
              </w:rPr>
            </w:pPr>
          </w:p>
        </w:tc>
        <w:tc>
          <w:tcPr>
            <w:tcW w:w="975" w:type="pct"/>
            <w:gridSpan w:val="2"/>
            <w:vMerge w:val="restart"/>
            <w:tcBorders>
              <w:tl2br w:val="nil"/>
              <w:tr2bl w:val="nil"/>
            </w:tcBorders>
            <w:vAlign w:val="center"/>
          </w:tcPr>
          <w:p w14:paraId="68D60438">
            <w:pPr>
              <w:spacing w:line="240" w:lineRule="auto"/>
              <w:ind w:firstLine="0" w:firstLineChars="0"/>
              <w:jc w:val="center"/>
              <w:rPr>
                <w:color w:val="auto"/>
                <w:sz w:val="21"/>
              </w:rPr>
            </w:pPr>
          </w:p>
        </w:tc>
        <w:tc>
          <w:tcPr>
            <w:tcW w:w="652" w:type="pct"/>
            <w:gridSpan w:val="2"/>
            <w:vMerge w:val="restart"/>
            <w:tcBorders>
              <w:tl2br w:val="nil"/>
              <w:tr2bl w:val="nil"/>
            </w:tcBorders>
            <w:vAlign w:val="center"/>
          </w:tcPr>
          <w:p w14:paraId="0DE4638E">
            <w:pPr>
              <w:spacing w:line="240" w:lineRule="auto"/>
              <w:ind w:firstLine="0" w:firstLineChars="0"/>
              <w:jc w:val="center"/>
              <w:rPr>
                <w:color w:val="auto"/>
                <w:sz w:val="21"/>
              </w:rPr>
            </w:pPr>
          </w:p>
        </w:tc>
        <w:tc>
          <w:tcPr>
            <w:tcW w:w="623" w:type="pct"/>
            <w:tcBorders>
              <w:tl2br w:val="nil"/>
              <w:tr2bl w:val="nil"/>
            </w:tcBorders>
            <w:vAlign w:val="center"/>
          </w:tcPr>
          <w:p w14:paraId="26269B7D">
            <w:pPr>
              <w:widowControl/>
              <w:spacing w:line="240" w:lineRule="auto"/>
              <w:ind w:firstLine="0" w:firstLineChars="0"/>
              <w:jc w:val="center"/>
              <w:textAlignment w:val="center"/>
              <w:rPr>
                <w:rFonts w:cs="宋体"/>
                <w:color w:val="auto"/>
                <w:kern w:val="0"/>
                <w:sz w:val="21"/>
                <w:szCs w:val="22"/>
                <w:lang w:bidi="ar"/>
              </w:rPr>
            </w:pPr>
          </w:p>
        </w:tc>
        <w:tc>
          <w:tcPr>
            <w:tcW w:w="696" w:type="pct"/>
            <w:tcBorders>
              <w:tl2br w:val="nil"/>
              <w:tr2bl w:val="nil"/>
            </w:tcBorders>
            <w:vAlign w:val="center"/>
          </w:tcPr>
          <w:p w14:paraId="1FD2246B">
            <w:pPr>
              <w:widowControl/>
              <w:spacing w:line="240" w:lineRule="auto"/>
              <w:ind w:firstLine="0" w:firstLineChars="0"/>
              <w:jc w:val="center"/>
              <w:textAlignment w:val="center"/>
              <w:rPr>
                <w:rFonts w:cs="宋体"/>
                <w:color w:val="auto"/>
                <w:kern w:val="0"/>
                <w:sz w:val="21"/>
                <w:szCs w:val="22"/>
                <w:lang w:bidi="ar"/>
              </w:rPr>
            </w:pPr>
          </w:p>
        </w:tc>
        <w:tc>
          <w:tcPr>
            <w:tcW w:w="679" w:type="pct"/>
            <w:vMerge w:val="restart"/>
            <w:tcBorders>
              <w:tl2br w:val="nil"/>
              <w:tr2bl w:val="nil"/>
            </w:tcBorders>
            <w:vAlign w:val="center"/>
          </w:tcPr>
          <w:p w14:paraId="43399A85">
            <w:pPr>
              <w:spacing w:line="240" w:lineRule="auto"/>
              <w:ind w:firstLine="0" w:firstLineChars="0"/>
              <w:jc w:val="center"/>
              <w:rPr>
                <w:color w:val="auto"/>
                <w:sz w:val="21"/>
              </w:rPr>
            </w:pPr>
          </w:p>
        </w:tc>
      </w:tr>
      <w:tr w14:paraId="3945316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DF0784E">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4535C0F7">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05B39251">
            <w:pPr>
              <w:spacing w:line="240" w:lineRule="auto"/>
              <w:ind w:firstLine="0" w:firstLineChars="0"/>
              <w:jc w:val="center"/>
              <w:rPr>
                <w:color w:val="auto"/>
                <w:sz w:val="21"/>
              </w:rPr>
            </w:pPr>
          </w:p>
        </w:tc>
        <w:tc>
          <w:tcPr>
            <w:tcW w:w="652" w:type="pct"/>
            <w:gridSpan w:val="2"/>
            <w:vMerge w:val="continue"/>
            <w:tcBorders>
              <w:tl2br w:val="nil"/>
              <w:tr2bl w:val="nil"/>
            </w:tcBorders>
            <w:vAlign w:val="center"/>
          </w:tcPr>
          <w:p w14:paraId="1819CA82">
            <w:pPr>
              <w:spacing w:line="240" w:lineRule="auto"/>
              <w:ind w:firstLine="0" w:firstLineChars="0"/>
              <w:jc w:val="center"/>
              <w:rPr>
                <w:color w:val="auto"/>
                <w:sz w:val="21"/>
              </w:rPr>
            </w:pPr>
          </w:p>
        </w:tc>
        <w:tc>
          <w:tcPr>
            <w:tcW w:w="623" w:type="pct"/>
            <w:tcBorders>
              <w:tl2br w:val="nil"/>
              <w:tr2bl w:val="nil"/>
            </w:tcBorders>
            <w:vAlign w:val="center"/>
          </w:tcPr>
          <w:p w14:paraId="20CAE81E">
            <w:pPr>
              <w:widowControl/>
              <w:spacing w:line="240" w:lineRule="auto"/>
              <w:ind w:firstLine="0" w:firstLineChars="0"/>
              <w:jc w:val="center"/>
              <w:textAlignment w:val="center"/>
              <w:rPr>
                <w:rFonts w:cs="宋体"/>
                <w:color w:val="auto"/>
                <w:kern w:val="0"/>
                <w:sz w:val="21"/>
                <w:szCs w:val="22"/>
                <w:lang w:bidi="ar"/>
              </w:rPr>
            </w:pPr>
          </w:p>
        </w:tc>
        <w:tc>
          <w:tcPr>
            <w:tcW w:w="696" w:type="pct"/>
            <w:tcBorders>
              <w:tl2br w:val="nil"/>
              <w:tr2bl w:val="nil"/>
            </w:tcBorders>
            <w:vAlign w:val="center"/>
          </w:tcPr>
          <w:p w14:paraId="2105E01B">
            <w:pPr>
              <w:widowControl/>
              <w:spacing w:line="240" w:lineRule="auto"/>
              <w:ind w:firstLine="0" w:firstLineChars="0"/>
              <w:jc w:val="center"/>
              <w:textAlignment w:val="center"/>
              <w:rPr>
                <w:rFonts w:cs="宋体"/>
                <w:color w:val="auto"/>
                <w:kern w:val="0"/>
                <w:sz w:val="21"/>
                <w:szCs w:val="22"/>
                <w:lang w:bidi="ar"/>
              </w:rPr>
            </w:pPr>
          </w:p>
        </w:tc>
        <w:tc>
          <w:tcPr>
            <w:tcW w:w="679" w:type="pct"/>
            <w:vMerge w:val="continue"/>
            <w:tcBorders>
              <w:tl2br w:val="nil"/>
              <w:tr2bl w:val="nil"/>
            </w:tcBorders>
            <w:vAlign w:val="center"/>
          </w:tcPr>
          <w:p w14:paraId="52CBEB2D">
            <w:pPr>
              <w:spacing w:line="240" w:lineRule="auto"/>
              <w:ind w:firstLine="0" w:firstLineChars="0"/>
              <w:jc w:val="center"/>
              <w:rPr>
                <w:color w:val="auto"/>
                <w:sz w:val="21"/>
              </w:rPr>
            </w:pPr>
          </w:p>
        </w:tc>
      </w:tr>
      <w:tr w14:paraId="1D1F343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492F9DD">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0820AD08">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3A65D7CE">
            <w:pPr>
              <w:spacing w:line="240" w:lineRule="auto"/>
              <w:ind w:firstLine="0" w:firstLineChars="0"/>
              <w:jc w:val="center"/>
              <w:rPr>
                <w:color w:val="auto"/>
                <w:sz w:val="21"/>
              </w:rPr>
            </w:pPr>
          </w:p>
        </w:tc>
        <w:tc>
          <w:tcPr>
            <w:tcW w:w="652" w:type="pct"/>
            <w:gridSpan w:val="2"/>
            <w:vMerge w:val="continue"/>
            <w:tcBorders>
              <w:tl2br w:val="nil"/>
              <w:tr2bl w:val="nil"/>
            </w:tcBorders>
            <w:vAlign w:val="center"/>
          </w:tcPr>
          <w:p w14:paraId="40E6C02B">
            <w:pPr>
              <w:spacing w:line="240" w:lineRule="auto"/>
              <w:ind w:firstLine="0" w:firstLineChars="0"/>
              <w:jc w:val="center"/>
              <w:rPr>
                <w:color w:val="auto"/>
                <w:sz w:val="21"/>
              </w:rPr>
            </w:pPr>
          </w:p>
        </w:tc>
        <w:tc>
          <w:tcPr>
            <w:tcW w:w="623" w:type="pct"/>
            <w:tcBorders>
              <w:tl2br w:val="nil"/>
              <w:tr2bl w:val="nil"/>
            </w:tcBorders>
            <w:vAlign w:val="center"/>
          </w:tcPr>
          <w:p w14:paraId="4F768FA8">
            <w:pPr>
              <w:widowControl/>
              <w:spacing w:line="240" w:lineRule="auto"/>
              <w:ind w:firstLine="0" w:firstLineChars="0"/>
              <w:jc w:val="center"/>
              <w:textAlignment w:val="center"/>
              <w:rPr>
                <w:rFonts w:cs="宋体"/>
                <w:color w:val="auto"/>
                <w:kern w:val="0"/>
                <w:sz w:val="21"/>
                <w:szCs w:val="22"/>
                <w:lang w:bidi="ar"/>
              </w:rPr>
            </w:pPr>
          </w:p>
        </w:tc>
        <w:tc>
          <w:tcPr>
            <w:tcW w:w="696" w:type="pct"/>
            <w:tcBorders>
              <w:tl2br w:val="nil"/>
              <w:tr2bl w:val="nil"/>
            </w:tcBorders>
            <w:vAlign w:val="center"/>
          </w:tcPr>
          <w:p w14:paraId="1A0A3201">
            <w:pPr>
              <w:widowControl/>
              <w:spacing w:line="240" w:lineRule="auto"/>
              <w:ind w:firstLine="0" w:firstLineChars="0"/>
              <w:jc w:val="center"/>
              <w:textAlignment w:val="center"/>
              <w:rPr>
                <w:rFonts w:cs="宋体"/>
                <w:color w:val="auto"/>
                <w:kern w:val="0"/>
                <w:sz w:val="21"/>
                <w:szCs w:val="22"/>
                <w:lang w:bidi="ar"/>
              </w:rPr>
            </w:pPr>
          </w:p>
        </w:tc>
        <w:tc>
          <w:tcPr>
            <w:tcW w:w="679" w:type="pct"/>
            <w:vMerge w:val="continue"/>
            <w:tcBorders>
              <w:tl2br w:val="nil"/>
              <w:tr2bl w:val="nil"/>
            </w:tcBorders>
            <w:vAlign w:val="center"/>
          </w:tcPr>
          <w:p w14:paraId="773DA6EE">
            <w:pPr>
              <w:spacing w:line="240" w:lineRule="auto"/>
              <w:ind w:firstLine="0" w:firstLineChars="0"/>
              <w:jc w:val="center"/>
              <w:rPr>
                <w:color w:val="auto"/>
                <w:sz w:val="21"/>
              </w:rPr>
            </w:pPr>
          </w:p>
        </w:tc>
      </w:tr>
      <w:tr w14:paraId="336A7DC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663318F">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3784025E">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07274F27">
            <w:pPr>
              <w:spacing w:line="240" w:lineRule="auto"/>
              <w:ind w:firstLine="0" w:firstLineChars="0"/>
              <w:jc w:val="center"/>
              <w:rPr>
                <w:color w:val="auto"/>
                <w:sz w:val="21"/>
              </w:rPr>
            </w:pPr>
          </w:p>
        </w:tc>
        <w:tc>
          <w:tcPr>
            <w:tcW w:w="652" w:type="pct"/>
            <w:gridSpan w:val="2"/>
            <w:vMerge w:val="continue"/>
            <w:tcBorders>
              <w:tl2br w:val="nil"/>
              <w:tr2bl w:val="nil"/>
            </w:tcBorders>
            <w:vAlign w:val="center"/>
          </w:tcPr>
          <w:p w14:paraId="6BC7C58B">
            <w:pPr>
              <w:spacing w:line="240" w:lineRule="auto"/>
              <w:ind w:firstLine="0" w:firstLineChars="0"/>
              <w:jc w:val="center"/>
              <w:rPr>
                <w:color w:val="auto"/>
                <w:sz w:val="21"/>
              </w:rPr>
            </w:pPr>
          </w:p>
        </w:tc>
        <w:tc>
          <w:tcPr>
            <w:tcW w:w="623" w:type="pct"/>
            <w:tcBorders>
              <w:tl2br w:val="nil"/>
              <w:tr2bl w:val="nil"/>
            </w:tcBorders>
            <w:vAlign w:val="center"/>
          </w:tcPr>
          <w:p w14:paraId="44EF7288">
            <w:pPr>
              <w:widowControl/>
              <w:spacing w:line="240" w:lineRule="auto"/>
              <w:ind w:firstLine="0" w:firstLineChars="0"/>
              <w:jc w:val="center"/>
              <w:textAlignment w:val="center"/>
              <w:rPr>
                <w:rFonts w:cs="宋体"/>
                <w:color w:val="auto"/>
                <w:kern w:val="0"/>
                <w:sz w:val="21"/>
                <w:szCs w:val="22"/>
                <w:lang w:bidi="ar"/>
              </w:rPr>
            </w:pPr>
          </w:p>
        </w:tc>
        <w:tc>
          <w:tcPr>
            <w:tcW w:w="696" w:type="pct"/>
            <w:tcBorders>
              <w:tl2br w:val="nil"/>
              <w:tr2bl w:val="nil"/>
            </w:tcBorders>
            <w:vAlign w:val="center"/>
          </w:tcPr>
          <w:p w14:paraId="5E751933">
            <w:pPr>
              <w:widowControl/>
              <w:spacing w:line="240" w:lineRule="auto"/>
              <w:ind w:firstLine="0" w:firstLineChars="0"/>
              <w:jc w:val="center"/>
              <w:textAlignment w:val="center"/>
              <w:rPr>
                <w:rFonts w:cs="宋体"/>
                <w:color w:val="auto"/>
                <w:kern w:val="0"/>
                <w:sz w:val="21"/>
                <w:szCs w:val="22"/>
                <w:lang w:bidi="ar"/>
              </w:rPr>
            </w:pPr>
          </w:p>
        </w:tc>
        <w:tc>
          <w:tcPr>
            <w:tcW w:w="679" w:type="pct"/>
            <w:vMerge w:val="continue"/>
            <w:tcBorders>
              <w:tl2br w:val="nil"/>
              <w:tr2bl w:val="nil"/>
            </w:tcBorders>
            <w:vAlign w:val="center"/>
          </w:tcPr>
          <w:p w14:paraId="227568D4">
            <w:pPr>
              <w:spacing w:line="240" w:lineRule="auto"/>
              <w:ind w:firstLine="0" w:firstLineChars="0"/>
              <w:jc w:val="center"/>
              <w:rPr>
                <w:color w:val="auto"/>
                <w:sz w:val="21"/>
              </w:rPr>
            </w:pPr>
          </w:p>
        </w:tc>
      </w:tr>
      <w:tr w14:paraId="7AAB1BF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E859DC3">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2A1CB68E">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67A92D51">
            <w:pPr>
              <w:widowControl/>
              <w:spacing w:line="240" w:lineRule="auto"/>
              <w:ind w:firstLine="0" w:firstLineChars="0"/>
              <w:jc w:val="center"/>
              <w:textAlignment w:val="center"/>
              <w:rPr>
                <w:color w:val="auto"/>
                <w:sz w:val="21"/>
              </w:rPr>
            </w:pPr>
          </w:p>
        </w:tc>
        <w:tc>
          <w:tcPr>
            <w:tcW w:w="652" w:type="pct"/>
            <w:gridSpan w:val="2"/>
            <w:vMerge w:val="continue"/>
            <w:tcBorders>
              <w:tl2br w:val="nil"/>
              <w:tr2bl w:val="nil"/>
            </w:tcBorders>
            <w:vAlign w:val="center"/>
          </w:tcPr>
          <w:p w14:paraId="7C64CD83">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43A0BF9C">
            <w:pPr>
              <w:widowControl/>
              <w:spacing w:line="240" w:lineRule="auto"/>
              <w:ind w:firstLine="0" w:firstLineChars="0"/>
              <w:jc w:val="center"/>
              <w:textAlignment w:val="center"/>
              <w:rPr>
                <w:rFonts w:cs="宋体"/>
                <w:color w:val="auto"/>
                <w:kern w:val="0"/>
                <w:sz w:val="21"/>
                <w:szCs w:val="22"/>
                <w:lang w:bidi="ar"/>
              </w:rPr>
            </w:pPr>
          </w:p>
        </w:tc>
        <w:tc>
          <w:tcPr>
            <w:tcW w:w="696" w:type="pct"/>
            <w:tcBorders>
              <w:tl2br w:val="nil"/>
              <w:tr2bl w:val="nil"/>
            </w:tcBorders>
            <w:vAlign w:val="center"/>
          </w:tcPr>
          <w:p w14:paraId="50DA0053">
            <w:pPr>
              <w:widowControl/>
              <w:spacing w:line="240" w:lineRule="auto"/>
              <w:ind w:firstLine="0" w:firstLineChars="0"/>
              <w:jc w:val="center"/>
              <w:textAlignment w:val="center"/>
              <w:rPr>
                <w:rFonts w:cs="宋体"/>
                <w:color w:val="auto"/>
                <w:kern w:val="0"/>
                <w:sz w:val="21"/>
                <w:szCs w:val="22"/>
                <w:lang w:bidi="ar"/>
              </w:rPr>
            </w:pPr>
          </w:p>
        </w:tc>
        <w:tc>
          <w:tcPr>
            <w:tcW w:w="679" w:type="pct"/>
            <w:vMerge w:val="continue"/>
            <w:tcBorders>
              <w:tl2br w:val="nil"/>
              <w:tr2bl w:val="nil"/>
            </w:tcBorders>
            <w:vAlign w:val="center"/>
          </w:tcPr>
          <w:p w14:paraId="31F2BBE9">
            <w:pPr>
              <w:spacing w:line="240" w:lineRule="auto"/>
              <w:ind w:firstLine="0" w:firstLineChars="0"/>
              <w:jc w:val="center"/>
              <w:rPr>
                <w:color w:val="auto"/>
                <w:sz w:val="21"/>
              </w:rPr>
            </w:pPr>
          </w:p>
        </w:tc>
      </w:tr>
      <w:tr w14:paraId="340AA90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6F6F16C">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360BA284">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516B3EFB">
            <w:pPr>
              <w:widowControl/>
              <w:spacing w:line="240" w:lineRule="auto"/>
              <w:ind w:firstLine="0" w:firstLineChars="0"/>
              <w:jc w:val="center"/>
              <w:textAlignment w:val="center"/>
              <w:rPr>
                <w:color w:val="auto"/>
                <w:sz w:val="21"/>
              </w:rPr>
            </w:pPr>
          </w:p>
        </w:tc>
        <w:tc>
          <w:tcPr>
            <w:tcW w:w="652" w:type="pct"/>
            <w:gridSpan w:val="2"/>
            <w:vMerge w:val="continue"/>
            <w:tcBorders>
              <w:tl2br w:val="nil"/>
              <w:tr2bl w:val="nil"/>
            </w:tcBorders>
            <w:vAlign w:val="center"/>
          </w:tcPr>
          <w:p w14:paraId="422CF87F">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290621FB">
            <w:pPr>
              <w:widowControl/>
              <w:spacing w:line="240" w:lineRule="auto"/>
              <w:ind w:firstLine="0" w:firstLineChars="0"/>
              <w:jc w:val="center"/>
              <w:textAlignment w:val="center"/>
              <w:rPr>
                <w:rFonts w:cs="宋体"/>
                <w:color w:val="auto"/>
                <w:kern w:val="0"/>
                <w:sz w:val="21"/>
                <w:szCs w:val="22"/>
                <w:lang w:bidi="ar"/>
              </w:rPr>
            </w:pPr>
          </w:p>
        </w:tc>
        <w:tc>
          <w:tcPr>
            <w:tcW w:w="696" w:type="pct"/>
            <w:tcBorders>
              <w:tl2br w:val="nil"/>
              <w:tr2bl w:val="nil"/>
            </w:tcBorders>
            <w:vAlign w:val="center"/>
          </w:tcPr>
          <w:p w14:paraId="5F9244DA">
            <w:pPr>
              <w:widowControl/>
              <w:spacing w:line="240" w:lineRule="auto"/>
              <w:ind w:firstLine="0" w:firstLineChars="0"/>
              <w:jc w:val="center"/>
              <w:textAlignment w:val="center"/>
              <w:rPr>
                <w:rFonts w:cs="宋体"/>
                <w:color w:val="auto"/>
                <w:kern w:val="0"/>
                <w:sz w:val="21"/>
                <w:szCs w:val="22"/>
                <w:lang w:bidi="ar"/>
              </w:rPr>
            </w:pPr>
          </w:p>
        </w:tc>
        <w:tc>
          <w:tcPr>
            <w:tcW w:w="679" w:type="pct"/>
            <w:vMerge w:val="continue"/>
            <w:tcBorders>
              <w:tl2br w:val="nil"/>
              <w:tr2bl w:val="nil"/>
            </w:tcBorders>
            <w:vAlign w:val="center"/>
          </w:tcPr>
          <w:p w14:paraId="5CD4594C">
            <w:pPr>
              <w:spacing w:line="240" w:lineRule="auto"/>
              <w:ind w:firstLine="0" w:firstLineChars="0"/>
              <w:jc w:val="center"/>
              <w:rPr>
                <w:color w:val="auto"/>
                <w:sz w:val="21"/>
              </w:rPr>
            </w:pPr>
          </w:p>
        </w:tc>
      </w:tr>
      <w:tr w14:paraId="7F32A76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93D9D66">
            <w:pPr>
              <w:spacing w:line="240" w:lineRule="auto"/>
              <w:ind w:firstLine="0" w:firstLineChars="0"/>
              <w:jc w:val="center"/>
              <w:rPr>
                <w:color w:val="auto"/>
                <w:sz w:val="21"/>
              </w:rPr>
            </w:pPr>
          </w:p>
        </w:tc>
        <w:tc>
          <w:tcPr>
            <w:tcW w:w="634" w:type="pct"/>
            <w:tcBorders>
              <w:tl2br w:val="nil"/>
              <w:tr2bl w:val="nil"/>
            </w:tcBorders>
            <w:vAlign w:val="center"/>
          </w:tcPr>
          <w:p w14:paraId="66D7AB17">
            <w:pPr>
              <w:spacing w:line="240" w:lineRule="auto"/>
              <w:ind w:firstLine="0" w:firstLineChars="0"/>
              <w:jc w:val="center"/>
              <w:rPr>
                <w:color w:val="auto"/>
                <w:sz w:val="21"/>
              </w:rPr>
            </w:pPr>
          </w:p>
        </w:tc>
        <w:tc>
          <w:tcPr>
            <w:tcW w:w="495" w:type="pct"/>
            <w:vMerge w:val="restart"/>
            <w:tcBorders>
              <w:tl2br w:val="nil"/>
              <w:tr2bl w:val="nil"/>
            </w:tcBorders>
            <w:vAlign w:val="center"/>
          </w:tcPr>
          <w:p w14:paraId="5C8AC47A">
            <w:pPr>
              <w:spacing w:line="240" w:lineRule="auto"/>
              <w:ind w:firstLine="0" w:firstLineChars="0"/>
              <w:jc w:val="center"/>
              <w:rPr>
                <w:color w:val="auto"/>
                <w:sz w:val="21"/>
              </w:rPr>
            </w:pPr>
          </w:p>
        </w:tc>
        <w:tc>
          <w:tcPr>
            <w:tcW w:w="480" w:type="pct"/>
            <w:vMerge w:val="restart"/>
            <w:tcBorders>
              <w:tl2br w:val="nil"/>
              <w:tr2bl w:val="nil"/>
            </w:tcBorders>
            <w:vAlign w:val="center"/>
          </w:tcPr>
          <w:p w14:paraId="1F68750B">
            <w:pPr>
              <w:widowControl/>
              <w:spacing w:line="240" w:lineRule="auto"/>
              <w:ind w:firstLine="0" w:firstLineChars="0"/>
              <w:jc w:val="center"/>
              <w:textAlignment w:val="center"/>
              <w:rPr>
                <w:color w:val="auto"/>
                <w:sz w:val="21"/>
              </w:rPr>
            </w:pPr>
          </w:p>
        </w:tc>
        <w:tc>
          <w:tcPr>
            <w:tcW w:w="652" w:type="pct"/>
            <w:gridSpan w:val="2"/>
            <w:vMerge w:val="restart"/>
            <w:tcBorders>
              <w:tl2br w:val="nil"/>
              <w:tr2bl w:val="nil"/>
            </w:tcBorders>
            <w:vAlign w:val="center"/>
          </w:tcPr>
          <w:p w14:paraId="7AE62C32">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395712F1">
            <w:pPr>
              <w:widowControl/>
              <w:spacing w:line="240" w:lineRule="auto"/>
              <w:ind w:firstLine="0" w:firstLineChars="0"/>
              <w:jc w:val="center"/>
              <w:textAlignment w:val="center"/>
              <w:rPr>
                <w:rFonts w:cs="宋体"/>
                <w:color w:val="auto"/>
                <w:kern w:val="0"/>
                <w:sz w:val="21"/>
                <w:szCs w:val="22"/>
                <w:lang w:bidi="ar"/>
              </w:rPr>
            </w:pPr>
          </w:p>
        </w:tc>
        <w:tc>
          <w:tcPr>
            <w:tcW w:w="696" w:type="pct"/>
            <w:tcBorders>
              <w:tl2br w:val="nil"/>
              <w:tr2bl w:val="nil"/>
            </w:tcBorders>
            <w:vAlign w:val="center"/>
          </w:tcPr>
          <w:p w14:paraId="4183F038">
            <w:pPr>
              <w:widowControl/>
              <w:spacing w:line="240" w:lineRule="auto"/>
              <w:ind w:firstLine="0" w:firstLineChars="0"/>
              <w:jc w:val="center"/>
              <w:textAlignment w:val="center"/>
              <w:rPr>
                <w:rFonts w:cs="宋体"/>
                <w:color w:val="auto"/>
                <w:kern w:val="0"/>
                <w:sz w:val="21"/>
                <w:szCs w:val="22"/>
                <w:lang w:bidi="ar"/>
              </w:rPr>
            </w:pPr>
          </w:p>
        </w:tc>
        <w:tc>
          <w:tcPr>
            <w:tcW w:w="679" w:type="pct"/>
            <w:vMerge w:val="restart"/>
            <w:tcBorders>
              <w:tl2br w:val="nil"/>
              <w:tr2bl w:val="nil"/>
            </w:tcBorders>
            <w:vAlign w:val="center"/>
          </w:tcPr>
          <w:p w14:paraId="5A737A37">
            <w:pPr>
              <w:spacing w:line="240" w:lineRule="auto"/>
              <w:ind w:firstLine="0" w:firstLineChars="0"/>
              <w:jc w:val="center"/>
              <w:rPr>
                <w:color w:val="auto"/>
                <w:sz w:val="21"/>
              </w:rPr>
            </w:pPr>
          </w:p>
        </w:tc>
      </w:tr>
      <w:tr w14:paraId="6A32BD5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4246501">
            <w:pPr>
              <w:spacing w:line="240" w:lineRule="auto"/>
              <w:ind w:firstLine="0" w:firstLineChars="0"/>
              <w:jc w:val="center"/>
              <w:rPr>
                <w:color w:val="auto"/>
                <w:sz w:val="21"/>
              </w:rPr>
            </w:pPr>
          </w:p>
        </w:tc>
        <w:tc>
          <w:tcPr>
            <w:tcW w:w="634" w:type="pct"/>
            <w:tcBorders>
              <w:tl2br w:val="nil"/>
              <w:tr2bl w:val="nil"/>
            </w:tcBorders>
            <w:vAlign w:val="center"/>
          </w:tcPr>
          <w:p w14:paraId="37F0EC85">
            <w:pPr>
              <w:spacing w:line="240" w:lineRule="auto"/>
              <w:ind w:firstLine="0" w:firstLineChars="0"/>
              <w:jc w:val="center"/>
              <w:rPr>
                <w:color w:val="auto"/>
                <w:sz w:val="21"/>
              </w:rPr>
            </w:pPr>
          </w:p>
        </w:tc>
        <w:tc>
          <w:tcPr>
            <w:tcW w:w="495" w:type="pct"/>
            <w:vMerge w:val="continue"/>
            <w:tcBorders>
              <w:tl2br w:val="nil"/>
              <w:tr2bl w:val="nil"/>
            </w:tcBorders>
            <w:vAlign w:val="center"/>
          </w:tcPr>
          <w:p w14:paraId="5089ABBD">
            <w:pPr>
              <w:spacing w:line="240" w:lineRule="auto"/>
              <w:ind w:firstLine="0" w:firstLineChars="0"/>
              <w:jc w:val="center"/>
              <w:rPr>
                <w:color w:val="auto"/>
                <w:sz w:val="21"/>
              </w:rPr>
            </w:pPr>
          </w:p>
        </w:tc>
        <w:tc>
          <w:tcPr>
            <w:tcW w:w="480" w:type="pct"/>
            <w:vMerge w:val="continue"/>
            <w:tcBorders>
              <w:tl2br w:val="nil"/>
              <w:tr2bl w:val="nil"/>
            </w:tcBorders>
            <w:vAlign w:val="center"/>
          </w:tcPr>
          <w:p w14:paraId="3C20352A">
            <w:pPr>
              <w:widowControl/>
              <w:spacing w:line="240" w:lineRule="auto"/>
              <w:ind w:firstLine="0" w:firstLineChars="0"/>
              <w:jc w:val="center"/>
              <w:textAlignment w:val="center"/>
              <w:rPr>
                <w:rFonts w:cs="宋体"/>
                <w:color w:val="auto"/>
                <w:kern w:val="0"/>
                <w:sz w:val="21"/>
                <w:szCs w:val="22"/>
                <w:lang w:bidi="ar"/>
              </w:rPr>
            </w:pPr>
          </w:p>
        </w:tc>
        <w:tc>
          <w:tcPr>
            <w:tcW w:w="652" w:type="pct"/>
            <w:gridSpan w:val="2"/>
            <w:vMerge w:val="continue"/>
            <w:tcBorders>
              <w:tl2br w:val="nil"/>
              <w:tr2bl w:val="nil"/>
            </w:tcBorders>
            <w:vAlign w:val="center"/>
          </w:tcPr>
          <w:p w14:paraId="1B681D30">
            <w:pPr>
              <w:widowControl/>
              <w:spacing w:line="240" w:lineRule="auto"/>
              <w:ind w:firstLine="0" w:firstLineChars="0"/>
              <w:jc w:val="center"/>
              <w:textAlignment w:val="center"/>
              <w:rPr>
                <w:rFonts w:hint="eastAsia" w:ascii="宋体" w:hAnsi="宋体" w:cs="宋体"/>
                <w:color w:val="auto"/>
                <w:kern w:val="0"/>
                <w:sz w:val="22"/>
                <w:szCs w:val="22"/>
                <w:lang w:bidi="ar"/>
              </w:rPr>
            </w:pPr>
          </w:p>
        </w:tc>
        <w:tc>
          <w:tcPr>
            <w:tcW w:w="623" w:type="pct"/>
            <w:tcBorders>
              <w:tl2br w:val="nil"/>
              <w:tr2bl w:val="nil"/>
            </w:tcBorders>
            <w:vAlign w:val="center"/>
          </w:tcPr>
          <w:p w14:paraId="402CEC42">
            <w:pPr>
              <w:widowControl/>
              <w:spacing w:line="240" w:lineRule="auto"/>
              <w:ind w:firstLine="0" w:firstLineChars="0"/>
              <w:jc w:val="center"/>
              <w:textAlignment w:val="center"/>
              <w:rPr>
                <w:rFonts w:cs="宋体"/>
                <w:color w:val="auto"/>
                <w:kern w:val="0"/>
                <w:sz w:val="21"/>
                <w:szCs w:val="22"/>
                <w:lang w:bidi="ar"/>
              </w:rPr>
            </w:pPr>
          </w:p>
        </w:tc>
        <w:tc>
          <w:tcPr>
            <w:tcW w:w="696" w:type="pct"/>
            <w:tcBorders>
              <w:tl2br w:val="nil"/>
              <w:tr2bl w:val="nil"/>
            </w:tcBorders>
            <w:vAlign w:val="center"/>
          </w:tcPr>
          <w:p w14:paraId="0250D35F">
            <w:pPr>
              <w:widowControl/>
              <w:spacing w:line="240" w:lineRule="auto"/>
              <w:ind w:firstLine="0" w:firstLineChars="0"/>
              <w:jc w:val="center"/>
              <w:textAlignment w:val="center"/>
              <w:rPr>
                <w:rFonts w:cs="宋体"/>
                <w:color w:val="auto"/>
                <w:kern w:val="0"/>
                <w:sz w:val="21"/>
                <w:szCs w:val="22"/>
                <w:lang w:bidi="ar"/>
              </w:rPr>
            </w:pPr>
          </w:p>
        </w:tc>
        <w:tc>
          <w:tcPr>
            <w:tcW w:w="679" w:type="pct"/>
            <w:vMerge w:val="continue"/>
            <w:tcBorders>
              <w:tl2br w:val="nil"/>
              <w:tr2bl w:val="nil"/>
            </w:tcBorders>
            <w:vAlign w:val="center"/>
          </w:tcPr>
          <w:p w14:paraId="08427736">
            <w:pPr>
              <w:spacing w:line="240" w:lineRule="auto"/>
              <w:ind w:firstLine="0" w:firstLineChars="0"/>
              <w:jc w:val="center"/>
              <w:rPr>
                <w:color w:val="auto"/>
                <w:sz w:val="21"/>
              </w:rPr>
            </w:pPr>
          </w:p>
        </w:tc>
      </w:tr>
      <w:tr w14:paraId="2A50E5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2208D97">
            <w:pPr>
              <w:spacing w:line="240" w:lineRule="auto"/>
              <w:ind w:firstLine="0" w:firstLineChars="0"/>
              <w:jc w:val="center"/>
              <w:rPr>
                <w:color w:val="auto"/>
                <w:sz w:val="21"/>
              </w:rPr>
            </w:pPr>
          </w:p>
        </w:tc>
        <w:tc>
          <w:tcPr>
            <w:tcW w:w="634" w:type="pct"/>
            <w:tcBorders>
              <w:tl2br w:val="nil"/>
              <w:tr2bl w:val="nil"/>
            </w:tcBorders>
            <w:vAlign w:val="center"/>
          </w:tcPr>
          <w:p w14:paraId="7FDCA6D2">
            <w:pPr>
              <w:spacing w:line="240" w:lineRule="auto"/>
              <w:ind w:firstLine="0" w:firstLineChars="0"/>
              <w:jc w:val="center"/>
              <w:rPr>
                <w:color w:val="auto"/>
                <w:sz w:val="21"/>
              </w:rPr>
            </w:pPr>
          </w:p>
        </w:tc>
        <w:tc>
          <w:tcPr>
            <w:tcW w:w="495" w:type="pct"/>
            <w:vMerge w:val="continue"/>
            <w:tcBorders>
              <w:tl2br w:val="nil"/>
              <w:tr2bl w:val="nil"/>
            </w:tcBorders>
            <w:vAlign w:val="center"/>
          </w:tcPr>
          <w:p w14:paraId="32F1CB2D">
            <w:pPr>
              <w:spacing w:line="240" w:lineRule="auto"/>
              <w:ind w:firstLine="0" w:firstLineChars="0"/>
              <w:jc w:val="center"/>
              <w:rPr>
                <w:color w:val="auto"/>
                <w:sz w:val="21"/>
              </w:rPr>
            </w:pPr>
          </w:p>
        </w:tc>
        <w:tc>
          <w:tcPr>
            <w:tcW w:w="480" w:type="pct"/>
            <w:vMerge w:val="restart"/>
            <w:tcBorders>
              <w:tl2br w:val="nil"/>
              <w:tr2bl w:val="nil"/>
            </w:tcBorders>
            <w:vAlign w:val="center"/>
          </w:tcPr>
          <w:p w14:paraId="47E14FE1">
            <w:pPr>
              <w:widowControl/>
              <w:spacing w:line="240" w:lineRule="auto"/>
              <w:ind w:firstLine="0" w:firstLineChars="0"/>
              <w:jc w:val="center"/>
              <w:textAlignment w:val="center"/>
              <w:rPr>
                <w:color w:val="auto"/>
                <w:sz w:val="21"/>
              </w:rPr>
            </w:pPr>
          </w:p>
        </w:tc>
        <w:tc>
          <w:tcPr>
            <w:tcW w:w="652" w:type="pct"/>
            <w:gridSpan w:val="2"/>
            <w:vMerge w:val="restart"/>
            <w:tcBorders>
              <w:tl2br w:val="nil"/>
              <w:tr2bl w:val="nil"/>
            </w:tcBorders>
            <w:vAlign w:val="center"/>
          </w:tcPr>
          <w:p w14:paraId="687A0C66">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14002B0C">
            <w:pPr>
              <w:widowControl/>
              <w:spacing w:line="240" w:lineRule="auto"/>
              <w:ind w:firstLine="0" w:firstLineChars="0"/>
              <w:jc w:val="center"/>
              <w:textAlignment w:val="center"/>
              <w:rPr>
                <w:rFonts w:cs="宋体"/>
                <w:color w:val="auto"/>
                <w:kern w:val="0"/>
                <w:sz w:val="21"/>
                <w:szCs w:val="22"/>
                <w:lang w:bidi="ar"/>
              </w:rPr>
            </w:pPr>
          </w:p>
        </w:tc>
        <w:tc>
          <w:tcPr>
            <w:tcW w:w="696" w:type="pct"/>
            <w:tcBorders>
              <w:tl2br w:val="nil"/>
              <w:tr2bl w:val="nil"/>
            </w:tcBorders>
            <w:vAlign w:val="center"/>
          </w:tcPr>
          <w:p w14:paraId="20AE5FC3">
            <w:pPr>
              <w:widowControl/>
              <w:spacing w:line="240" w:lineRule="auto"/>
              <w:ind w:firstLine="0" w:firstLineChars="0"/>
              <w:jc w:val="center"/>
              <w:textAlignment w:val="center"/>
              <w:rPr>
                <w:rFonts w:cs="宋体"/>
                <w:color w:val="auto"/>
                <w:kern w:val="0"/>
                <w:sz w:val="21"/>
                <w:szCs w:val="22"/>
                <w:lang w:bidi="ar"/>
              </w:rPr>
            </w:pPr>
          </w:p>
        </w:tc>
        <w:tc>
          <w:tcPr>
            <w:tcW w:w="679" w:type="pct"/>
            <w:vMerge w:val="restart"/>
            <w:tcBorders>
              <w:tl2br w:val="nil"/>
              <w:tr2bl w:val="nil"/>
            </w:tcBorders>
            <w:vAlign w:val="center"/>
          </w:tcPr>
          <w:p w14:paraId="33095D83">
            <w:pPr>
              <w:spacing w:line="240" w:lineRule="auto"/>
              <w:ind w:firstLine="0" w:firstLineChars="0"/>
              <w:jc w:val="center"/>
              <w:rPr>
                <w:color w:val="auto"/>
                <w:sz w:val="21"/>
              </w:rPr>
            </w:pPr>
          </w:p>
        </w:tc>
      </w:tr>
      <w:tr w14:paraId="2C5C013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A0A7E3B">
            <w:pPr>
              <w:spacing w:line="240" w:lineRule="auto"/>
              <w:ind w:firstLine="0" w:firstLineChars="0"/>
              <w:jc w:val="center"/>
              <w:rPr>
                <w:color w:val="auto"/>
                <w:sz w:val="21"/>
              </w:rPr>
            </w:pPr>
          </w:p>
        </w:tc>
        <w:tc>
          <w:tcPr>
            <w:tcW w:w="634" w:type="pct"/>
            <w:tcBorders>
              <w:tl2br w:val="nil"/>
              <w:tr2bl w:val="nil"/>
            </w:tcBorders>
            <w:vAlign w:val="center"/>
          </w:tcPr>
          <w:p w14:paraId="3CE802A3">
            <w:pPr>
              <w:spacing w:line="240" w:lineRule="auto"/>
              <w:ind w:firstLine="0" w:firstLineChars="0"/>
              <w:jc w:val="center"/>
              <w:rPr>
                <w:color w:val="auto"/>
                <w:sz w:val="21"/>
              </w:rPr>
            </w:pPr>
          </w:p>
        </w:tc>
        <w:tc>
          <w:tcPr>
            <w:tcW w:w="495" w:type="pct"/>
            <w:vMerge w:val="continue"/>
            <w:tcBorders>
              <w:tl2br w:val="nil"/>
              <w:tr2bl w:val="nil"/>
            </w:tcBorders>
            <w:vAlign w:val="center"/>
          </w:tcPr>
          <w:p w14:paraId="25A5D38E">
            <w:pPr>
              <w:spacing w:line="240" w:lineRule="auto"/>
              <w:ind w:firstLine="0" w:firstLineChars="0"/>
              <w:jc w:val="center"/>
              <w:rPr>
                <w:color w:val="auto"/>
                <w:sz w:val="21"/>
              </w:rPr>
            </w:pPr>
          </w:p>
        </w:tc>
        <w:tc>
          <w:tcPr>
            <w:tcW w:w="480" w:type="pct"/>
            <w:vMerge w:val="continue"/>
            <w:tcBorders>
              <w:tl2br w:val="nil"/>
              <w:tr2bl w:val="nil"/>
            </w:tcBorders>
            <w:vAlign w:val="center"/>
          </w:tcPr>
          <w:p w14:paraId="40A59BEB">
            <w:pPr>
              <w:widowControl/>
              <w:spacing w:line="240" w:lineRule="auto"/>
              <w:ind w:firstLine="0" w:firstLineChars="0"/>
              <w:jc w:val="center"/>
              <w:textAlignment w:val="center"/>
              <w:rPr>
                <w:rFonts w:cs="宋体"/>
                <w:color w:val="auto"/>
                <w:kern w:val="0"/>
                <w:sz w:val="21"/>
                <w:szCs w:val="22"/>
                <w:lang w:bidi="ar"/>
              </w:rPr>
            </w:pPr>
          </w:p>
        </w:tc>
        <w:tc>
          <w:tcPr>
            <w:tcW w:w="652" w:type="pct"/>
            <w:gridSpan w:val="2"/>
            <w:vMerge w:val="continue"/>
            <w:tcBorders>
              <w:tl2br w:val="nil"/>
              <w:tr2bl w:val="nil"/>
            </w:tcBorders>
            <w:vAlign w:val="center"/>
          </w:tcPr>
          <w:p w14:paraId="37D25C3B">
            <w:pPr>
              <w:widowControl/>
              <w:spacing w:line="240" w:lineRule="auto"/>
              <w:ind w:firstLine="0" w:firstLineChars="0"/>
              <w:jc w:val="center"/>
              <w:textAlignment w:val="center"/>
              <w:rPr>
                <w:rFonts w:hint="eastAsia" w:ascii="宋体" w:hAnsi="宋体" w:cs="宋体"/>
                <w:color w:val="auto"/>
                <w:kern w:val="0"/>
                <w:sz w:val="22"/>
                <w:szCs w:val="22"/>
                <w:lang w:bidi="ar"/>
              </w:rPr>
            </w:pPr>
          </w:p>
        </w:tc>
        <w:tc>
          <w:tcPr>
            <w:tcW w:w="623" w:type="pct"/>
            <w:tcBorders>
              <w:tl2br w:val="nil"/>
              <w:tr2bl w:val="nil"/>
            </w:tcBorders>
            <w:vAlign w:val="center"/>
          </w:tcPr>
          <w:p w14:paraId="16CC9230">
            <w:pPr>
              <w:widowControl/>
              <w:spacing w:line="240" w:lineRule="auto"/>
              <w:ind w:firstLine="0" w:firstLineChars="0"/>
              <w:jc w:val="center"/>
              <w:textAlignment w:val="center"/>
              <w:rPr>
                <w:rFonts w:cs="宋体"/>
                <w:color w:val="auto"/>
                <w:kern w:val="0"/>
                <w:sz w:val="21"/>
                <w:szCs w:val="22"/>
                <w:lang w:bidi="ar"/>
              </w:rPr>
            </w:pPr>
          </w:p>
        </w:tc>
        <w:tc>
          <w:tcPr>
            <w:tcW w:w="696" w:type="pct"/>
            <w:tcBorders>
              <w:tl2br w:val="nil"/>
              <w:tr2bl w:val="nil"/>
            </w:tcBorders>
            <w:vAlign w:val="center"/>
          </w:tcPr>
          <w:p w14:paraId="0F35AA00">
            <w:pPr>
              <w:widowControl/>
              <w:spacing w:line="240" w:lineRule="auto"/>
              <w:ind w:firstLine="0" w:firstLineChars="0"/>
              <w:jc w:val="center"/>
              <w:textAlignment w:val="center"/>
              <w:rPr>
                <w:rFonts w:cs="宋体"/>
                <w:color w:val="auto"/>
                <w:kern w:val="0"/>
                <w:sz w:val="21"/>
                <w:szCs w:val="22"/>
                <w:lang w:bidi="ar"/>
              </w:rPr>
            </w:pPr>
          </w:p>
        </w:tc>
        <w:tc>
          <w:tcPr>
            <w:tcW w:w="679" w:type="pct"/>
            <w:vMerge w:val="continue"/>
            <w:tcBorders>
              <w:tl2br w:val="nil"/>
              <w:tr2bl w:val="nil"/>
            </w:tcBorders>
            <w:vAlign w:val="center"/>
          </w:tcPr>
          <w:p w14:paraId="4A5E9C1D">
            <w:pPr>
              <w:spacing w:line="240" w:lineRule="auto"/>
              <w:ind w:firstLine="0" w:firstLineChars="0"/>
              <w:jc w:val="center"/>
              <w:rPr>
                <w:color w:val="auto"/>
                <w:sz w:val="21"/>
              </w:rPr>
            </w:pPr>
          </w:p>
        </w:tc>
      </w:tr>
      <w:tr w14:paraId="20538AB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455F6F7">
            <w:pPr>
              <w:spacing w:line="240" w:lineRule="auto"/>
              <w:ind w:firstLine="0" w:firstLineChars="0"/>
              <w:jc w:val="center"/>
              <w:rPr>
                <w:color w:val="auto"/>
                <w:sz w:val="21"/>
              </w:rPr>
            </w:pPr>
          </w:p>
        </w:tc>
        <w:tc>
          <w:tcPr>
            <w:tcW w:w="634" w:type="pct"/>
            <w:tcBorders>
              <w:tl2br w:val="nil"/>
              <w:tr2bl w:val="nil"/>
            </w:tcBorders>
            <w:vAlign w:val="center"/>
          </w:tcPr>
          <w:p w14:paraId="592A8CAC">
            <w:pPr>
              <w:spacing w:line="240" w:lineRule="auto"/>
              <w:ind w:firstLine="0" w:firstLineChars="0"/>
              <w:jc w:val="center"/>
              <w:rPr>
                <w:color w:val="auto"/>
                <w:sz w:val="21"/>
              </w:rPr>
            </w:pPr>
          </w:p>
        </w:tc>
        <w:tc>
          <w:tcPr>
            <w:tcW w:w="975" w:type="pct"/>
            <w:gridSpan w:val="2"/>
            <w:tcBorders>
              <w:tl2br w:val="nil"/>
              <w:tr2bl w:val="nil"/>
            </w:tcBorders>
            <w:vAlign w:val="center"/>
          </w:tcPr>
          <w:p w14:paraId="55113C55">
            <w:pPr>
              <w:spacing w:line="240" w:lineRule="auto"/>
              <w:ind w:firstLine="0" w:firstLineChars="0"/>
              <w:jc w:val="center"/>
              <w:rPr>
                <w:color w:val="auto"/>
                <w:sz w:val="21"/>
              </w:rPr>
            </w:pPr>
          </w:p>
        </w:tc>
        <w:tc>
          <w:tcPr>
            <w:tcW w:w="637" w:type="pct"/>
            <w:tcBorders>
              <w:tl2br w:val="nil"/>
              <w:tr2bl w:val="nil"/>
            </w:tcBorders>
            <w:vAlign w:val="center"/>
          </w:tcPr>
          <w:p w14:paraId="4E9C4A14">
            <w:pPr>
              <w:spacing w:line="240" w:lineRule="auto"/>
              <w:ind w:firstLine="0" w:firstLineChars="0"/>
              <w:jc w:val="center"/>
              <w:rPr>
                <w:color w:val="auto"/>
                <w:sz w:val="21"/>
              </w:rPr>
            </w:pPr>
          </w:p>
        </w:tc>
        <w:tc>
          <w:tcPr>
            <w:tcW w:w="638" w:type="pct"/>
            <w:gridSpan w:val="2"/>
            <w:tcBorders>
              <w:tl2br w:val="nil"/>
              <w:tr2bl w:val="nil"/>
            </w:tcBorders>
            <w:vAlign w:val="center"/>
          </w:tcPr>
          <w:p w14:paraId="56ED8C0B">
            <w:pPr>
              <w:spacing w:line="240" w:lineRule="auto"/>
              <w:ind w:firstLine="0" w:firstLineChars="0"/>
              <w:jc w:val="center"/>
              <w:rPr>
                <w:color w:val="auto"/>
                <w:sz w:val="21"/>
              </w:rPr>
            </w:pPr>
          </w:p>
        </w:tc>
        <w:tc>
          <w:tcPr>
            <w:tcW w:w="696" w:type="pct"/>
            <w:tcBorders>
              <w:tl2br w:val="nil"/>
              <w:tr2bl w:val="nil"/>
            </w:tcBorders>
            <w:vAlign w:val="center"/>
          </w:tcPr>
          <w:p w14:paraId="370346C8">
            <w:pPr>
              <w:widowControl/>
              <w:spacing w:line="240" w:lineRule="auto"/>
              <w:ind w:firstLine="0" w:firstLineChars="0"/>
              <w:jc w:val="center"/>
              <w:textAlignment w:val="center"/>
              <w:rPr>
                <w:color w:val="auto"/>
                <w:sz w:val="21"/>
              </w:rPr>
            </w:pPr>
          </w:p>
        </w:tc>
        <w:tc>
          <w:tcPr>
            <w:tcW w:w="679" w:type="pct"/>
            <w:tcBorders>
              <w:tl2br w:val="nil"/>
              <w:tr2bl w:val="nil"/>
            </w:tcBorders>
            <w:vAlign w:val="center"/>
          </w:tcPr>
          <w:p w14:paraId="1EB086F9">
            <w:pPr>
              <w:widowControl/>
              <w:spacing w:line="240" w:lineRule="auto"/>
              <w:ind w:firstLine="0" w:firstLineChars="0"/>
              <w:jc w:val="center"/>
              <w:textAlignment w:val="center"/>
              <w:rPr>
                <w:color w:val="auto"/>
                <w:sz w:val="21"/>
              </w:rPr>
            </w:pPr>
          </w:p>
        </w:tc>
      </w:tr>
      <w:tr w14:paraId="18D3950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D499573">
            <w:pPr>
              <w:spacing w:line="240" w:lineRule="auto"/>
              <w:ind w:firstLine="0" w:firstLineChars="0"/>
              <w:jc w:val="center"/>
              <w:rPr>
                <w:color w:val="auto"/>
                <w:sz w:val="21"/>
              </w:rPr>
            </w:pPr>
          </w:p>
        </w:tc>
        <w:tc>
          <w:tcPr>
            <w:tcW w:w="634" w:type="pct"/>
            <w:tcBorders>
              <w:tl2br w:val="nil"/>
              <w:tr2bl w:val="nil"/>
            </w:tcBorders>
            <w:vAlign w:val="center"/>
          </w:tcPr>
          <w:p w14:paraId="0A585AFC">
            <w:pPr>
              <w:spacing w:line="240" w:lineRule="auto"/>
              <w:ind w:firstLine="0" w:firstLineChars="0"/>
              <w:jc w:val="center"/>
              <w:rPr>
                <w:color w:val="auto"/>
                <w:sz w:val="21"/>
              </w:rPr>
            </w:pPr>
          </w:p>
        </w:tc>
        <w:tc>
          <w:tcPr>
            <w:tcW w:w="2948" w:type="pct"/>
            <w:gridSpan w:val="6"/>
            <w:tcBorders>
              <w:tl2br w:val="nil"/>
              <w:tr2bl w:val="nil"/>
            </w:tcBorders>
            <w:vAlign w:val="center"/>
          </w:tcPr>
          <w:p w14:paraId="0B8690D5">
            <w:pPr>
              <w:spacing w:line="240" w:lineRule="auto"/>
              <w:ind w:firstLine="0" w:firstLineChars="0"/>
              <w:jc w:val="center"/>
              <w:rPr>
                <w:color w:val="auto"/>
                <w:sz w:val="21"/>
              </w:rPr>
            </w:pPr>
          </w:p>
        </w:tc>
        <w:tc>
          <w:tcPr>
            <w:tcW w:w="679" w:type="pct"/>
            <w:tcBorders>
              <w:tl2br w:val="nil"/>
              <w:tr2bl w:val="nil"/>
            </w:tcBorders>
            <w:vAlign w:val="center"/>
          </w:tcPr>
          <w:p w14:paraId="26ADB4DB">
            <w:pPr>
              <w:spacing w:line="240" w:lineRule="auto"/>
              <w:ind w:firstLine="0" w:firstLineChars="0"/>
              <w:jc w:val="center"/>
              <w:rPr>
                <w:color w:val="auto"/>
                <w:sz w:val="21"/>
              </w:rPr>
            </w:pPr>
          </w:p>
        </w:tc>
      </w:tr>
    </w:tbl>
    <w:p w14:paraId="736E6B1B">
      <w:pPr>
        <w:pStyle w:val="49"/>
        <w:rPr>
          <w:color w:val="auto"/>
        </w:rPr>
      </w:pPr>
    </w:p>
    <w:p w14:paraId="7EE67C8B">
      <w:pPr>
        <w:pStyle w:val="49"/>
        <w:rPr>
          <w:color w:val="auto"/>
        </w:rPr>
      </w:pPr>
    </w:p>
    <w:p w14:paraId="16C71852">
      <w:pPr>
        <w:pStyle w:val="49"/>
        <w:rPr>
          <w:color w:val="auto"/>
        </w:rPr>
      </w:pPr>
      <w:r>
        <w:rPr>
          <w:rFonts w:hint="eastAsia"/>
          <w:color w:val="auto"/>
        </w:rPr>
        <w:t>图4.4-11  硫代硫酸铵生产物料平衡图（t/a）</w:t>
      </w:r>
    </w:p>
    <w:p w14:paraId="319951F5">
      <w:pPr>
        <w:pStyle w:val="6"/>
        <w:spacing w:before="156"/>
        <w:ind w:firstLine="482"/>
        <w:rPr>
          <w:color w:val="auto"/>
        </w:rPr>
      </w:pPr>
      <w:r>
        <w:rPr>
          <w:rFonts w:hint="eastAsia"/>
          <w:color w:val="auto"/>
        </w:rPr>
        <w:t>1.4硫代硫酸钙生产物料平衡</w:t>
      </w:r>
    </w:p>
    <w:p w14:paraId="1085D200">
      <w:pPr>
        <w:ind w:firstLine="480"/>
        <w:rPr>
          <w:rFonts w:hint="eastAsia" w:hAnsi="宋体"/>
          <w:color w:val="auto"/>
        </w:rPr>
      </w:pPr>
      <w:r>
        <w:rPr>
          <w:rFonts w:hint="eastAsia" w:hAnsi="宋体"/>
          <w:color w:val="auto"/>
        </w:rPr>
        <w:t>硫代硫酸钙年生产时间为1884h，单批次生产6h，全年生产314批次。硫代硫酸钙</w:t>
      </w:r>
      <w:r>
        <w:rPr>
          <w:rFonts w:hAnsi="宋体"/>
          <w:color w:val="auto"/>
        </w:rPr>
        <w:t>单批次、一年投入产出统计分别见表4.</w:t>
      </w:r>
      <w:r>
        <w:rPr>
          <w:rFonts w:hint="eastAsia" w:hAnsi="宋体"/>
          <w:color w:val="auto"/>
        </w:rPr>
        <w:t>4</w:t>
      </w:r>
      <w:r>
        <w:rPr>
          <w:rFonts w:hAnsi="宋体"/>
          <w:color w:val="auto"/>
        </w:rPr>
        <w:t>-</w:t>
      </w:r>
      <w:r>
        <w:rPr>
          <w:rFonts w:hint="eastAsia" w:hAnsi="宋体"/>
          <w:color w:val="auto"/>
        </w:rPr>
        <w:t>13</w:t>
      </w:r>
      <w:r>
        <w:rPr>
          <w:rFonts w:hAnsi="宋体"/>
          <w:color w:val="auto"/>
        </w:rPr>
        <w:t>、4.</w:t>
      </w:r>
      <w:r>
        <w:rPr>
          <w:rFonts w:hint="eastAsia" w:hAnsi="宋体"/>
          <w:color w:val="auto"/>
        </w:rPr>
        <w:t>4</w:t>
      </w:r>
      <w:r>
        <w:rPr>
          <w:rFonts w:hAnsi="宋体"/>
          <w:color w:val="auto"/>
        </w:rPr>
        <w:t>-</w:t>
      </w:r>
      <w:r>
        <w:rPr>
          <w:rFonts w:hint="eastAsia" w:hAnsi="宋体"/>
          <w:color w:val="auto"/>
        </w:rPr>
        <w:t>14</w:t>
      </w:r>
      <w:r>
        <w:rPr>
          <w:rFonts w:hAnsi="宋体"/>
          <w:color w:val="auto"/>
        </w:rPr>
        <w:t>。物料平衡图见图4.</w:t>
      </w:r>
      <w:r>
        <w:rPr>
          <w:rFonts w:hint="eastAsia" w:hAnsi="宋体"/>
          <w:color w:val="auto"/>
        </w:rPr>
        <w:t>4-12</w:t>
      </w:r>
      <w:r>
        <w:rPr>
          <w:rFonts w:hAnsi="宋体"/>
          <w:color w:val="auto"/>
        </w:rPr>
        <w:t>。</w:t>
      </w:r>
    </w:p>
    <w:p w14:paraId="08DC3C46">
      <w:pPr>
        <w:spacing w:line="240" w:lineRule="auto"/>
        <w:ind w:firstLine="0" w:firstLineChars="0"/>
        <w:jc w:val="center"/>
        <w:rPr>
          <w:b/>
          <w:bCs/>
          <w:color w:val="auto"/>
        </w:rPr>
      </w:pPr>
      <w:r>
        <w:rPr>
          <w:rFonts w:hint="eastAsia"/>
          <w:b/>
          <w:bCs/>
          <w:color w:val="auto"/>
        </w:rPr>
        <w:t>表4.4-13  硫代硫酸钙生产物料投入--产出表</w:t>
      </w:r>
      <w:r>
        <w:rPr>
          <w:b/>
          <w:color w:val="auto"/>
        </w:rPr>
        <w:t>（kg/（批·釜））</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3"/>
        <w:gridCol w:w="1250"/>
        <w:gridCol w:w="976"/>
        <w:gridCol w:w="946"/>
        <w:gridCol w:w="1285"/>
        <w:gridCol w:w="1230"/>
        <w:gridCol w:w="1374"/>
        <w:gridCol w:w="1340"/>
      </w:tblGrid>
      <w:tr w14:paraId="655307D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3F41F68F">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3F4C691E">
            <w:pPr>
              <w:spacing w:line="240" w:lineRule="auto"/>
              <w:ind w:firstLine="0" w:firstLineChars="0"/>
              <w:jc w:val="center"/>
              <w:rPr>
                <w:b/>
                <w:bCs/>
                <w:color w:val="auto"/>
                <w:sz w:val="21"/>
              </w:rPr>
            </w:pPr>
            <w:r>
              <w:rPr>
                <w:rFonts w:hint="eastAsia"/>
                <w:b/>
                <w:bCs/>
                <w:color w:val="auto"/>
                <w:sz w:val="21"/>
              </w:rPr>
              <w:t>产出</w:t>
            </w:r>
          </w:p>
        </w:tc>
      </w:tr>
      <w:tr w14:paraId="326ECD1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336AB0B">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30F9A175">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554FC980">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3CAE901B">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276" w:type="pct"/>
            <w:gridSpan w:val="2"/>
            <w:tcBorders>
              <w:tl2br w:val="nil"/>
              <w:tr2bl w:val="nil"/>
            </w:tcBorders>
            <w:vAlign w:val="center"/>
          </w:tcPr>
          <w:p w14:paraId="14695BF2">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376" w:type="pct"/>
            <w:gridSpan w:val="2"/>
            <w:tcBorders>
              <w:tl2br w:val="nil"/>
              <w:tr2bl w:val="nil"/>
            </w:tcBorders>
            <w:vAlign w:val="center"/>
          </w:tcPr>
          <w:p w14:paraId="6FFE852D">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5677013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C25A013">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氧化钙</w:t>
            </w:r>
          </w:p>
        </w:tc>
        <w:tc>
          <w:tcPr>
            <w:tcW w:w="1250" w:type="dxa"/>
            <w:tcBorders>
              <w:tl2br w:val="nil"/>
              <w:tr2bl w:val="nil"/>
            </w:tcBorders>
            <w:vAlign w:val="center"/>
          </w:tcPr>
          <w:p w14:paraId="023D5CD5">
            <w:pPr>
              <w:spacing w:line="240" w:lineRule="auto"/>
              <w:ind w:firstLine="0" w:firstLineChars="0"/>
              <w:jc w:val="center"/>
              <w:rPr>
                <w:color w:val="auto"/>
                <w:sz w:val="21"/>
              </w:rPr>
            </w:pPr>
            <w:r>
              <w:rPr>
                <w:color w:val="auto"/>
                <w:sz w:val="21"/>
              </w:rPr>
              <w:t xml:space="preserve">624.204 </w:t>
            </w:r>
          </w:p>
        </w:tc>
        <w:tc>
          <w:tcPr>
            <w:tcW w:w="975" w:type="pct"/>
            <w:gridSpan w:val="2"/>
            <w:vMerge w:val="restart"/>
            <w:tcBorders>
              <w:tl2br w:val="nil"/>
              <w:tr2bl w:val="nil"/>
            </w:tcBorders>
            <w:vAlign w:val="center"/>
          </w:tcPr>
          <w:p w14:paraId="5AD439B4">
            <w:pPr>
              <w:spacing w:line="240" w:lineRule="auto"/>
              <w:ind w:firstLine="0" w:firstLineChars="0"/>
              <w:jc w:val="center"/>
              <w:rPr>
                <w:color w:val="auto"/>
                <w:sz w:val="21"/>
              </w:rPr>
            </w:pPr>
            <w:r>
              <w:rPr>
                <w:rFonts w:hint="eastAsia"/>
                <w:color w:val="auto"/>
                <w:sz w:val="21"/>
              </w:rPr>
              <w:t>产品</w:t>
            </w:r>
          </w:p>
        </w:tc>
        <w:tc>
          <w:tcPr>
            <w:tcW w:w="652" w:type="pct"/>
            <w:vMerge w:val="restart"/>
            <w:tcBorders>
              <w:tl2br w:val="nil"/>
              <w:tr2bl w:val="nil"/>
            </w:tcBorders>
            <w:vAlign w:val="center"/>
          </w:tcPr>
          <w:p w14:paraId="50876CA2">
            <w:pPr>
              <w:spacing w:line="240" w:lineRule="auto"/>
              <w:ind w:firstLine="0" w:firstLineChars="0"/>
              <w:jc w:val="center"/>
              <w:rPr>
                <w:color w:val="auto"/>
                <w:sz w:val="21"/>
              </w:rPr>
            </w:pPr>
            <w:r>
              <w:rPr>
                <w:rFonts w:hint="eastAsia"/>
                <w:color w:val="auto"/>
                <w:sz w:val="21"/>
              </w:rPr>
              <w:t>24%硫代硫酸钙</w:t>
            </w:r>
          </w:p>
        </w:tc>
        <w:tc>
          <w:tcPr>
            <w:tcW w:w="623" w:type="pct"/>
            <w:tcBorders>
              <w:tl2br w:val="nil"/>
              <w:tr2bl w:val="nil"/>
            </w:tcBorders>
            <w:vAlign w:val="center"/>
          </w:tcPr>
          <w:p w14:paraId="61E31431">
            <w:pPr>
              <w:spacing w:line="240" w:lineRule="auto"/>
              <w:ind w:firstLine="0" w:firstLineChars="0"/>
              <w:jc w:val="center"/>
              <w:rPr>
                <w:color w:val="auto"/>
                <w:sz w:val="21"/>
              </w:rPr>
            </w:pPr>
            <w:r>
              <w:rPr>
                <w:rFonts w:hint="eastAsia"/>
                <w:color w:val="auto"/>
                <w:sz w:val="21"/>
              </w:rPr>
              <w:t>硫代硫酸钙</w:t>
            </w:r>
          </w:p>
        </w:tc>
        <w:tc>
          <w:tcPr>
            <w:tcW w:w="1373" w:type="dxa"/>
            <w:tcBorders>
              <w:tl2br w:val="nil"/>
              <w:tr2bl w:val="nil"/>
            </w:tcBorders>
            <w:vAlign w:val="center"/>
          </w:tcPr>
          <w:p w14:paraId="598BC5C1">
            <w:pPr>
              <w:spacing w:line="240" w:lineRule="auto"/>
              <w:ind w:firstLine="0" w:firstLineChars="0"/>
              <w:jc w:val="center"/>
              <w:rPr>
                <w:color w:val="auto"/>
                <w:sz w:val="21"/>
              </w:rPr>
            </w:pPr>
            <w:r>
              <w:rPr>
                <w:color w:val="auto"/>
                <w:sz w:val="21"/>
              </w:rPr>
              <w:t xml:space="preserve">1682.586 </w:t>
            </w:r>
          </w:p>
        </w:tc>
        <w:tc>
          <w:tcPr>
            <w:tcW w:w="1340" w:type="dxa"/>
            <w:vMerge w:val="restart"/>
            <w:tcBorders>
              <w:tl2br w:val="nil"/>
              <w:tr2bl w:val="nil"/>
            </w:tcBorders>
            <w:vAlign w:val="center"/>
          </w:tcPr>
          <w:p w14:paraId="3B4A5067">
            <w:pPr>
              <w:spacing w:line="240" w:lineRule="auto"/>
              <w:ind w:firstLine="0" w:firstLineChars="0"/>
              <w:jc w:val="center"/>
              <w:rPr>
                <w:color w:val="auto"/>
                <w:sz w:val="21"/>
              </w:rPr>
            </w:pPr>
            <w:r>
              <w:rPr>
                <w:color w:val="auto"/>
                <w:sz w:val="21"/>
              </w:rPr>
              <w:t xml:space="preserve">7016.682 </w:t>
            </w:r>
          </w:p>
        </w:tc>
      </w:tr>
      <w:tr w14:paraId="1C0DFD5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58ACD12">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59%硫代硫酸铵</w:t>
            </w:r>
          </w:p>
        </w:tc>
        <w:tc>
          <w:tcPr>
            <w:tcW w:w="1250" w:type="dxa"/>
            <w:tcBorders>
              <w:tl2br w:val="nil"/>
              <w:tr2bl w:val="nil"/>
            </w:tcBorders>
            <w:vAlign w:val="center"/>
          </w:tcPr>
          <w:p w14:paraId="17B05BDF">
            <w:pPr>
              <w:spacing w:line="240" w:lineRule="auto"/>
              <w:ind w:firstLine="0" w:firstLineChars="0"/>
              <w:jc w:val="center"/>
              <w:rPr>
                <w:color w:val="auto"/>
                <w:sz w:val="21"/>
              </w:rPr>
            </w:pPr>
            <w:r>
              <w:rPr>
                <w:color w:val="auto"/>
                <w:sz w:val="21"/>
              </w:rPr>
              <w:t xml:space="preserve">2777.070 </w:t>
            </w:r>
          </w:p>
        </w:tc>
        <w:tc>
          <w:tcPr>
            <w:tcW w:w="975" w:type="pct"/>
            <w:gridSpan w:val="2"/>
            <w:vMerge w:val="continue"/>
            <w:tcBorders>
              <w:tl2br w:val="nil"/>
              <w:tr2bl w:val="nil"/>
            </w:tcBorders>
            <w:vAlign w:val="center"/>
          </w:tcPr>
          <w:p w14:paraId="106F8CCE">
            <w:pPr>
              <w:spacing w:line="240" w:lineRule="auto"/>
              <w:ind w:firstLine="0" w:firstLineChars="0"/>
              <w:jc w:val="center"/>
              <w:rPr>
                <w:color w:val="auto"/>
                <w:sz w:val="21"/>
              </w:rPr>
            </w:pPr>
          </w:p>
        </w:tc>
        <w:tc>
          <w:tcPr>
            <w:tcW w:w="652" w:type="pct"/>
            <w:vMerge w:val="continue"/>
            <w:tcBorders>
              <w:tl2br w:val="nil"/>
              <w:tr2bl w:val="nil"/>
            </w:tcBorders>
            <w:vAlign w:val="center"/>
          </w:tcPr>
          <w:p w14:paraId="0799D6C6">
            <w:pPr>
              <w:spacing w:line="240" w:lineRule="auto"/>
              <w:ind w:firstLine="0" w:firstLineChars="0"/>
              <w:jc w:val="center"/>
              <w:rPr>
                <w:color w:val="auto"/>
                <w:sz w:val="21"/>
              </w:rPr>
            </w:pPr>
          </w:p>
        </w:tc>
        <w:tc>
          <w:tcPr>
            <w:tcW w:w="623" w:type="pct"/>
            <w:tcBorders>
              <w:tl2br w:val="nil"/>
              <w:tr2bl w:val="nil"/>
            </w:tcBorders>
            <w:vAlign w:val="center"/>
          </w:tcPr>
          <w:p w14:paraId="06B425B2">
            <w:pPr>
              <w:spacing w:line="240" w:lineRule="auto"/>
              <w:ind w:firstLine="0" w:firstLineChars="0"/>
              <w:jc w:val="center"/>
              <w:rPr>
                <w:color w:val="auto"/>
                <w:sz w:val="21"/>
              </w:rPr>
            </w:pPr>
            <w:r>
              <w:rPr>
                <w:rFonts w:hint="eastAsia"/>
                <w:color w:val="auto"/>
                <w:sz w:val="21"/>
              </w:rPr>
              <w:t>硫代硫酸铵</w:t>
            </w:r>
          </w:p>
        </w:tc>
        <w:tc>
          <w:tcPr>
            <w:tcW w:w="1373" w:type="dxa"/>
            <w:tcBorders>
              <w:tl2br w:val="nil"/>
              <w:tr2bl w:val="nil"/>
            </w:tcBorders>
            <w:vAlign w:val="center"/>
          </w:tcPr>
          <w:p w14:paraId="6C8B078E">
            <w:pPr>
              <w:spacing w:line="240" w:lineRule="auto"/>
              <w:ind w:firstLine="0" w:firstLineChars="0"/>
              <w:jc w:val="center"/>
              <w:rPr>
                <w:color w:val="auto"/>
                <w:sz w:val="21"/>
              </w:rPr>
            </w:pPr>
            <w:r>
              <w:rPr>
                <w:color w:val="auto"/>
                <w:sz w:val="21"/>
              </w:rPr>
              <w:t xml:space="preserve">0.162 </w:t>
            </w:r>
          </w:p>
        </w:tc>
        <w:tc>
          <w:tcPr>
            <w:tcW w:w="1340" w:type="dxa"/>
            <w:vMerge w:val="continue"/>
            <w:tcBorders>
              <w:tl2br w:val="nil"/>
              <w:tr2bl w:val="nil"/>
            </w:tcBorders>
            <w:vAlign w:val="center"/>
          </w:tcPr>
          <w:p w14:paraId="1461B9E0">
            <w:pPr>
              <w:ind w:firstLine="420"/>
              <w:jc w:val="center"/>
              <w:rPr>
                <w:color w:val="auto"/>
                <w:sz w:val="21"/>
              </w:rPr>
            </w:pPr>
          </w:p>
        </w:tc>
      </w:tr>
      <w:tr w14:paraId="4642087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1FD1FEA">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水</w:t>
            </w:r>
          </w:p>
        </w:tc>
        <w:tc>
          <w:tcPr>
            <w:tcW w:w="1250" w:type="dxa"/>
            <w:tcBorders>
              <w:tl2br w:val="nil"/>
              <w:tr2bl w:val="nil"/>
            </w:tcBorders>
            <w:vAlign w:val="center"/>
          </w:tcPr>
          <w:p w14:paraId="61314CE2">
            <w:pPr>
              <w:spacing w:line="240" w:lineRule="auto"/>
              <w:ind w:firstLine="0" w:firstLineChars="0"/>
              <w:jc w:val="center"/>
              <w:rPr>
                <w:color w:val="auto"/>
                <w:sz w:val="21"/>
              </w:rPr>
            </w:pPr>
            <w:r>
              <w:rPr>
                <w:color w:val="auto"/>
                <w:sz w:val="21"/>
              </w:rPr>
              <w:t xml:space="preserve">8065.573 </w:t>
            </w:r>
          </w:p>
        </w:tc>
        <w:tc>
          <w:tcPr>
            <w:tcW w:w="975" w:type="pct"/>
            <w:gridSpan w:val="2"/>
            <w:vMerge w:val="continue"/>
            <w:tcBorders>
              <w:tl2br w:val="nil"/>
              <w:tr2bl w:val="nil"/>
            </w:tcBorders>
            <w:vAlign w:val="center"/>
          </w:tcPr>
          <w:p w14:paraId="4C216EFE">
            <w:pPr>
              <w:spacing w:line="240" w:lineRule="auto"/>
              <w:ind w:firstLine="0" w:firstLineChars="0"/>
              <w:jc w:val="center"/>
              <w:rPr>
                <w:color w:val="auto"/>
                <w:sz w:val="21"/>
              </w:rPr>
            </w:pPr>
          </w:p>
        </w:tc>
        <w:tc>
          <w:tcPr>
            <w:tcW w:w="652" w:type="pct"/>
            <w:vMerge w:val="continue"/>
            <w:tcBorders>
              <w:tl2br w:val="nil"/>
              <w:tr2bl w:val="nil"/>
            </w:tcBorders>
            <w:vAlign w:val="center"/>
          </w:tcPr>
          <w:p w14:paraId="6D9FB363">
            <w:pPr>
              <w:spacing w:line="240" w:lineRule="auto"/>
              <w:ind w:firstLine="0" w:firstLineChars="0"/>
              <w:jc w:val="center"/>
              <w:rPr>
                <w:color w:val="auto"/>
                <w:sz w:val="21"/>
              </w:rPr>
            </w:pPr>
          </w:p>
        </w:tc>
        <w:tc>
          <w:tcPr>
            <w:tcW w:w="623" w:type="pct"/>
            <w:tcBorders>
              <w:tl2br w:val="nil"/>
              <w:tr2bl w:val="nil"/>
            </w:tcBorders>
            <w:vAlign w:val="center"/>
          </w:tcPr>
          <w:p w14:paraId="7A8231AC">
            <w:pPr>
              <w:spacing w:line="240" w:lineRule="auto"/>
              <w:ind w:firstLine="0" w:firstLineChars="0"/>
              <w:jc w:val="center"/>
              <w:rPr>
                <w:color w:val="auto"/>
                <w:sz w:val="21"/>
              </w:rPr>
            </w:pPr>
            <w:r>
              <w:rPr>
                <w:rFonts w:hint="eastAsia"/>
                <w:color w:val="auto"/>
                <w:sz w:val="21"/>
              </w:rPr>
              <w:t>氢氧化钙</w:t>
            </w:r>
          </w:p>
        </w:tc>
        <w:tc>
          <w:tcPr>
            <w:tcW w:w="1373" w:type="dxa"/>
            <w:tcBorders>
              <w:tl2br w:val="nil"/>
              <w:tr2bl w:val="nil"/>
            </w:tcBorders>
            <w:vAlign w:val="center"/>
          </w:tcPr>
          <w:p w14:paraId="251806D8">
            <w:pPr>
              <w:spacing w:line="240" w:lineRule="auto"/>
              <w:ind w:firstLine="0" w:firstLineChars="0"/>
              <w:jc w:val="center"/>
              <w:rPr>
                <w:color w:val="auto"/>
                <w:sz w:val="21"/>
              </w:rPr>
            </w:pPr>
            <w:r>
              <w:rPr>
                <w:color w:val="auto"/>
                <w:sz w:val="21"/>
              </w:rPr>
              <w:t xml:space="preserve">5.605 </w:t>
            </w:r>
          </w:p>
        </w:tc>
        <w:tc>
          <w:tcPr>
            <w:tcW w:w="1340" w:type="dxa"/>
            <w:vMerge w:val="continue"/>
            <w:tcBorders>
              <w:tl2br w:val="nil"/>
              <w:tr2bl w:val="nil"/>
            </w:tcBorders>
            <w:vAlign w:val="center"/>
          </w:tcPr>
          <w:p w14:paraId="18FF39F6">
            <w:pPr>
              <w:ind w:firstLine="420"/>
              <w:jc w:val="center"/>
              <w:rPr>
                <w:color w:val="auto"/>
                <w:sz w:val="21"/>
              </w:rPr>
            </w:pPr>
          </w:p>
        </w:tc>
      </w:tr>
      <w:tr w14:paraId="1545B14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1CA54BB">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35FBA073">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38EDDF43">
            <w:pPr>
              <w:spacing w:line="240" w:lineRule="auto"/>
              <w:ind w:firstLine="0" w:firstLineChars="0"/>
              <w:jc w:val="center"/>
              <w:rPr>
                <w:color w:val="auto"/>
                <w:sz w:val="21"/>
              </w:rPr>
            </w:pPr>
          </w:p>
        </w:tc>
        <w:tc>
          <w:tcPr>
            <w:tcW w:w="652" w:type="pct"/>
            <w:vMerge w:val="continue"/>
            <w:tcBorders>
              <w:tl2br w:val="nil"/>
              <w:tr2bl w:val="nil"/>
            </w:tcBorders>
            <w:vAlign w:val="center"/>
          </w:tcPr>
          <w:p w14:paraId="0B09834E">
            <w:pPr>
              <w:spacing w:line="240" w:lineRule="auto"/>
              <w:ind w:firstLine="0" w:firstLineChars="0"/>
              <w:jc w:val="center"/>
              <w:rPr>
                <w:color w:val="auto"/>
                <w:sz w:val="21"/>
              </w:rPr>
            </w:pPr>
          </w:p>
        </w:tc>
        <w:tc>
          <w:tcPr>
            <w:tcW w:w="623" w:type="pct"/>
            <w:tcBorders>
              <w:tl2br w:val="nil"/>
              <w:tr2bl w:val="nil"/>
            </w:tcBorders>
            <w:vAlign w:val="center"/>
          </w:tcPr>
          <w:p w14:paraId="1B11A3E9">
            <w:pPr>
              <w:spacing w:line="240" w:lineRule="auto"/>
              <w:ind w:firstLine="0" w:firstLineChars="0"/>
              <w:jc w:val="center"/>
              <w:rPr>
                <w:color w:val="auto"/>
                <w:sz w:val="21"/>
              </w:rPr>
            </w:pPr>
            <w:r>
              <w:rPr>
                <w:rFonts w:hint="eastAsia"/>
                <w:color w:val="auto"/>
                <w:sz w:val="21"/>
              </w:rPr>
              <w:t>氧化钙</w:t>
            </w:r>
          </w:p>
        </w:tc>
        <w:tc>
          <w:tcPr>
            <w:tcW w:w="1373" w:type="dxa"/>
            <w:tcBorders>
              <w:tl2br w:val="nil"/>
              <w:tr2bl w:val="nil"/>
            </w:tcBorders>
            <w:vAlign w:val="center"/>
          </w:tcPr>
          <w:p w14:paraId="63BC4D65">
            <w:pPr>
              <w:spacing w:line="240" w:lineRule="auto"/>
              <w:ind w:firstLine="0" w:firstLineChars="0"/>
              <w:jc w:val="center"/>
              <w:rPr>
                <w:color w:val="auto"/>
                <w:sz w:val="21"/>
              </w:rPr>
            </w:pPr>
            <w:r>
              <w:rPr>
                <w:color w:val="auto"/>
                <w:sz w:val="21"/>
              </w:rPr>
              <w:t xml:space="preserve">0.064 </w:t>
            </w:r>
          </w:p>
        </w:tc>
        <w:tc>
          <w:tcPr>
            <w:tcW w:w="1340" w:type="dxa"/>
            <w:vMerge w:val="continue"/>
            <w:tcBorders>
              <w:tl2br w:val="nil"/>
              <w:tr2bl w:val="nil"/>
            </w:tcBorders>
            <w:vAlign w:val="center"/>
          </w:tcPr>
          <w:p w14:paraId="5C75A114">
            <w:pPr>
              <w:ind w:firstLine="420"/>
              <w:jc w:val="center"/>
              <w:rPr>
                <w:color w:val="auto"/>
                <w:sz w:val="21"/>
              </w:rPr>
            </w:pPr>
          </w:p>
        </w:tc>
      </w:tr>
      <w:tr w14:paraId="190A3DB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1A00091">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1AA6756D">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7E3EFBE0">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12719004">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50A819C0">
            <w:pPr>
              <w:spacing w:line="240" w:lineRule="auto"/>
              <w:ind w:firstLine="0" w:firstLineChars="0"/>
              <w:jc w:val="center"/>
              <w:rPr>
                <w:color w:val="auto"/>
                <w:sz w:val="21"/>
              </w:rPr>
            </w:pPr>
            <w:r>
              <w:rPr>
                <w:rFonts w:hint="eastAsia"/>
                <w:color w:val="auto"/>
                <w:sz w:val="21"/>
              </w:rPr>
              <w:t>氨</w:t>
            </w:r>
          </w:p>
        </w:tc>
        <w:tc>
          <w:tcPr>
            <w:tcW w:w="1373" w:type="dxa"/>
            <w:tcBorders>
              <w:tl2br w:val="nil"/>
              <w:tr2bl w:val="nil"/>
            </w:tcBorders>
            <w:vAlign w:val="center"/>
          </w:tcPr>
          <w:p w14:paraId="51865F51">
            <w:pPr>
              <w:spacing w:line="240" w:lineRule="auto"/>
              <w:ind w:firstLine="0" w:firstLineChars="0"/>
              <w:jc w:val="center"/>
              <w:rPr>
                <w:color w:val="auto"/>
                <w:sz w:val="21"/>
              </w:rPr>
            </w:pPr>
            <w:r>
              <w:rPr>
                <w:color w:val="auto"/>
                <w:sz w:val="21"/>
              </w:rPr>
              <w:t xml:space="preserve">0.023 </w:t>
            </w:r>
          </w:p>
        </w:tc>
        <w:tc>
          <w:tcPr>
            <w:tcW w:w="1340" w:type="dxa"/>
            <w:vMerge w:val="continue"/>
            <w:tcBorders>
              <w:tl2br w:val="nil"/>
              <w:tr2bl w:val="nil"/>
            </w:tcBorders>
            <w:vAlign w:val="center"/>
          </w:tcPr>
          <w:p w14:paraId="7BF223B4">
            <w:pPr>
              <w:ind w:firstLine="420"/>
              <w:jc w:val="center"/>
              <w:rPr>
                <w:color w:val="auto"/>
                <w:sz w:val="21"/>
              </w:rPr>
            </w:pPr>
          </w:p>
        </w:tc>
      </w:tr>
      <w:tr w14:paraId="5A58973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2D3052F5">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0663AFE8">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3BD710F4">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4BB18A16">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30B723DF">
            <w:pPr>
              <w:spacing w:line="240" w:lineRule="auto"/>
              <w:ind w:firstLine="0" w:firstLineChars="0"/>
              <w:jc w:val="center"/>
              <w:rPr>
                <w:color w:val="auto"/>
                <w:sz w:val="21"/>
              </w:rPr>
            </w:pPr>
            <w:r>
              <w:rPr>
                <w:rFonts w:hint="eastAsia"/>
                <w:color w:val="auto"/>
                <w:sz w:val="21"/>
              </w:rPr>
              <w:t>水</w:t>
            </w:r>
          </w:p>
        </w:tc>
        <w:tc>
          <w:tcPr>
            <w:tcW w:w="1373" w:type="dxa"/>
            <w:tcBorders>
              <w:tl2br w:val="nil"/>
              <w:tr2bl w:val="nil"/>
            </w:tcBorders>
            <w:vAlign w:val="center"/>
          </w:tcPr>
          <w:p w14:paraId="75E556DB">
            <w:pPr>
              <w:spacing w:line="240" w:lineRule="auto"/>
              <w:ind w:firstLine="0" w:firstLineChars="0"/>
              <w:jc w:val="center"/>
              <w:rPr>
                <w:color w:val="auto"/>
                <w:sz w:val="21"/>
              </w:rPr>
            </w:pPr>
            <w:r>
              <w:rPr>
                <w:color w:val="auto"/>
                <w:sz w:val="21"/>
              </w:rPr>
              <w:t xml:space="preserve">5328.188 </w:t>
            </w:r>
          </w:p>
        </w:tc>
        <w:tc>
          <w:tcPr>
            <w:tcW w:w="1340" w:type="dxa"/>
            <w:vMerge w:val="continue"/>
            <w:tcBorders>
              <w:tl2br w:val="nil"/>
              <w:tr2bl w:val="nil"/>
            </w:tcBorders>
            <w:vAlign w:val="center"/>
          </w:tcPr>
          <w:p w14:paraId="4C3729CF">
            <w:pPr>
              <w:ind w:firstLine="420"/>
              <w:jc w:val="center"/>
              <w:rPr>
                <w:color w:val="auto"/>
                <w:sz w:val="21"/>
              </w:rPr>
            </w:pPr>
          </w:p>
        </w:tc>
      </w:tr>
      <w:tr w14:paraId="5305A12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EC452EB">
            <w:pPr>
              <w:spacing w:line="240" w:lineRule="auto"/>
              <w:ind w:firstLine="0" w:firstLineChars="0"/>
              <w:jc w:val="center"/>
              <w:rPr>
                <w:color w:val="auto"/>
                <w:sz w:val="21"/>
              </w:rPr>
            </w:pPr>
          </w:p>
        </w:tc>
        <w:tc>
          <w:tcPr>
            <w:tcW w:w="634" w:type="pct"/>
            <w:tcBorders>
              <w:tl2br w:val="nil"/>
              <w:tr2bl w:val="nil"/>
            </w:tcBorders>
            <w:vAlign w:val="center"/>
          </w:tcPr>
          <w:p w14:paraId="1C4D1715">
            <w:pPr>
              <w:spacing w:line="240" w:lineRule="auto"/>
              <w:ind w:firstLine="0" w:firstLineChars="0"/>
              <w:jc w:val="center"/>
              <w:rPr>
                <w:color w:val="auto"/>
                <w:sz w:val="21"/>
              </w:rPr>
            </w:pPr>
          </w:p>
        </w:tc>
        <w:tc>
          <w:tcPr>
            <w:tcW w:w="495" w:type="pct"/>
            <w:vMerge w:val="restart"/>
            <w:tcBorders>
              <w:tl2br w:val="nil"/>
              <w:tr2bl w:val="nil"/>
            </w:tcBorders>
            <w:vAlign w:val="center"/>
          </w:tcPr>
          <w:p w14:paraId="3203E12D">
            <w:pPr>
              <w:spacing w:line="240" w:lineRule="auto"/>
              <w:ind w:firstLine="0" w:firstLineChars="0"/>
              <w:jc w:val="center"/>
              <w:rPr>
                <w:color w:val="auto"/>
                <w:sz w:val="21"/>
              </w:rPr>
            </w:pPr>
            <w:r>
              <w:rPr>
                <w:rFonts w:hint="eastAsia"/>
                <w:color w:val="auto"/>
                <w:sz w:val="21"/>
              </w:rPr>
              <w:t>废气</w:t>
            </w:r>
          </w:p>
        </w:tc>
        <w:tc>
          <w:tcPr>
            <w:tcW w:w="480" w:type="pct"/>
            <w:vMerge w:val="restart"/>
            <w:tcBorders>
              <w:tl2br w:val="nil"/>
              <w:tr2bl w:val="nil"/>
            </w:tcBorders>
            <w:vAlign w:val="center"/>
          </w:tcPr>
          <w:p w14:paraId="2CC69579">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G4-1</w:t>
            </w:r>
          </w:p>
        </w:tc>
        <w:tc>
          <w:tcPr>
            <w:tcW w:w="652" w:type="pct"/>
            <w:vMerge w:val="restart"/>
            <w:tcBorders>
              <w:tl2br w:val="nil"/>
              <w:tr2bl w:val="nil"/>
            </w:tcBorders>
            <w:vAlign w:val="center"/>
          </w:tcPr>
          <w:p w14:paraId="6AE3FE49">
            <w:pPr>
              <w:widowControl/>
              <w:spacing w:line="240" w:lineRule="auto"/>
              <w:ind w:firstLine="0" w:firstLineChars="0"/>
              <w:jc w:val="center"/>
              <w:textAlignment w:val="center"/>
              <w:rPr>
                <w:color w:val="auto"/>
                <w:sz w:val="21"/>
              </w:rPr>
            </w:pPr>
            <w:r>
              <w:rPr>
                <w:rFonts w:hint="eastAsia" w:ascii="宋体" w:hAnsi="宋体" w:cs="宋体"/>
                <w:color w:val="auto"/>
                <w:kern w:val="0"/>
                <w:sz w:val="22"/>
                <w:szCs w:val="22"/>
                <w:lang w:bidi="ar"/>
              </w:rPr>
              <w:t>反应废气</w:t>
            </w:r>
          </w:p>
        </w:tc>
        <w:tc>
          <w:tcPr>
            <w:tcW w:w="623" w:type="pct"/>
            <w:tcBorders>
              <w:tl2br w:val="nil"/>
              <w:tr2bl w:val="nil"/>
            </w:tcBorders>
            <w:vAlign w:val="center"/>
          </w:tcPr>
          <w:p w14:paraId="4DFAD6B4">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氨气</w:t>
            </w:r>
          </w:p>
        </w:tc>
        <w:tc>
          <w:tcPr>
            <w:tcW w:w="1373" w:type="dxa"/>
            <w:tcBorders>
              <w:tl2br w:val="nil"/>
              <w:tr2bl w:val="nil"/>
            </w:tcBorders>
            <w:vAlign w:val="center"/>
          </w:tcPr>
          <w:p w14:paraId="3C60B8B9">
            <w:pPr>
              <w:spacing w:line="240" w:lineRule="auto"/>
              <w:ind w:firstLine="0" w:firstLineChars="0"/>
              <w:jc w:val="center"/>
              <w:rPr>
                <w:color w:val="auto"/>
                <w:sz w:val="21"/>
              </w:rPr>
            </w:pPr>
            <w:r>
              <w:rPr>
                <w:color w:val="auto"/>
                <w:sz w:val="21"/>
              </w:rPr>
              <w:t xml:space="preserve">3.764 </w:t>
            </w:r>
          </w:p>
        </w:tc>
        <w:tc>
          <w:tcPr>
            <w:tcW w:w="1340" w:type="dxa"/>
            <w:vMerge w:val="restart"/>
            <w:tcBorders>
              <w:tl2br w:val="nil"/>
              <w:tr2bl w:val="nil"/>
            </w:tcBorders>
            <w:vAlign w:val="center"/>
          </w:tcPr>
          <w:p w14:paraId="580C9F9B">
            <w:pPr>
              <w:spacing w:line="240" w:lineRule="auto"/>
              <w:ind w:firstLine="0" w:firstLineChars="0"/>
              <w:jc w:val="center"/>
              <w:rPr>
                <w:color w:val="auto"/>
                <w:sz w:val="21"/>
              </w:rPr>
            </w:pPr>
            <w:r>
              <w:rPr>
                <w:color w:val="auto"/>
                <w:sz w:val="21"/>
              </w:rPr>
              <w:t xml:space="preserve">7.748 </w:t>
            </w:r>
          </w:p>
        </w:tc>
      </w:tr>
      <w:tr w14:paraId="11F889F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6B1A2A8">
            <w:pPr>
              <w:spacing w:line="240" w:lineRule="auto"/>
              <w:ind w:firstLine="0" w:firstLineChars="0"/>
              <w:jc w:val="center"/>
              <w:rPr>
                <w:color w:val="auto"/>
                <w:sz w:val="21"/>
              </w:rPr>
            </w:pPr>
          </w:p>
        </w:tc>
        <w:tc>
          <w:tcPr>
            <w:tcW w:w="634" w:type="pct"/>
            <w:tcBorders>
              <w:tl2br w:val="nil"/>
              <w:tr2bl w:val="nil"/>
            </w:tcBorders>
            <w:vAlign w:val="center"/>
          </w:tcPr>
          <w:p w14:paraId="33C6F41A">
            <w:pPr>
              <w:spacing w:line="240" w:lineRule="auto"/>
              <w:ind w:firstLine="0" w:firstLineChars="0"/>
              <w:jc w:val="center"/>
              <w:rPr>
                <w:color w:val="auto"/>
                <w:sz w:val="21"/>
              </w:rPr>
            </w:pPr>
          </w:p>
        </w:tc>
        <w:tc>
          <w:tcPr>
            <w:tcW w:w="495" w:type="pct"/>
            <w:vMerge w:val="continue"/>
            <w:tcBorders>
              <w:tl2br w:val="nil"/>
              <w:tr2bl w:val="nil"/>
            </w:tcBorders>
            <w:vAlign w:val="center"/>
          </w:tcPr>
          <w:p w14:paraId="0A3F38BE">
            <w:pPr>
              <w:spacing w:line="240" w:lineRule="auto"/>
              <w:ind w:firstLine="0" w:firstLineChars="0"/>
              <w:jc w:val="center"/>
              <w:rPr>
                <w:color w:val="auto"/>
                <w:sz w:val="21"/>
              </w:rPr>
            </w:pPr>
          </w:p>
        </w:tc>
        <w:tc>
          <w:tcPr>
            <w:tcW w:w="480" w:type="pct"/>
            <w:vMerge w:val="continue"/>
            <w:tcBorders>
              <w:tl2br w:val="nil"/>
              <w:tr2bl w:val="nil"/>
            </w:tcBorders>
            <w:vAlign w:val="center"/>
          </w:tcPr>
          <w:p w14:paraId="4C432B1B">
            <w:pPr>
              <w:widowControl/>
              <w:spacing w:line="240" w:lineRule="auto"/>
              <w:ind w:firstLine="0" w:firstLineChars="0"/>
              <w:jc w:val="center"/>
              <w:textAlignment w:val="center"/>
              <w:rPr>
                <w:rFonts w:cs="宋体"/>
                <w:color w:val="auto"/>
                <w:kern w:val="0"/>
                <w:sz w:val="21"/>
                <w:szCs w:val="22"/>
                <w:lang w:bidi="ar"/>
              </w:rPr>
            </w:pPr>
          </w:p>
        </w:tc>
        <w:tc>
          <w:tcPr>
            <w:tcW w:w="652" w:type="pct"/>
            <w:vMerge w:val="continue"/>
            <w:tcBorders>
              <w:tl2br w:val="nil"/>
              <w:tr2bl w:val="nil"/>
            </w:tcBorders>
            <w:vAlign w:val="center"/>
          </w:tcPr>
          <w:p w14:paraId="1B0FB6B8">
            <w:pPr>
              <w:widowControl/>
              <w:spacing w:line="240" w:lineRule="auto"/>
              <w:ind w:firstLine="0" w:firstLineChars="0"/>
              <w:jc w:val="center"/>
              <w:textAlignment w:val="center"/>
              <w:rPr>
                <w:rFonts w:hint="eastAsia" w:ascii="宋体" w:hAnsi="宋体" w:cs="宋体"/>
                <w:color w:val="auto"/>
                <w:kern w:val="0"/>
                <w:sz w:val="22"/>
                <w:szCs w:val="22"/>
                <w:lang w:bidi="ar"/>
              </w:rPr>
            </w:pPr>
          </w:p>
        </w:tc>
        <w:tc>
          <w:tcPr>
            <w:tcW w:w="623" w:type="pct"/>
            <w:tcBorders>
              <w:tl2br w:val="nil"/>
              <w:tr2bl w:val="nil"/>
            </w:tcBorders>
            <w:vAlign w:val="center"/>
          </w:tcPr>
          <w:p w14:paraId="6BB10299">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水</w:t>
            </w:r>
          </w:p>
        </w:tc>
        <w:tc>
          <w:tcPr>
            <w:tcW w:w="1373" w:type="dxa"/>
            <w:tcBorders>
              <w:tl2br w:val="nil"/>
              <w:tr2bl w:val="nil"/>
            </w:tcBorders>
            <w:vAlign w:val="center"/>
          </w:tcPr>
          <w:p w14:paraId="7E3EFEED">
            <w:pPr>
              <w:spacing w:line="240" w:lineRule="auto"/>
              <w:ind w:firstLine="0" w:firstLineChars="0"/>
              <w:jc w:val="center"/>
              <w:rPr>
                <w:color w:val="auto"/>
                <w:sz w:val="21"/>
              </w:rPr>
            </w:pPr>
            <w:r>
              <w:rPr>
                <w:color w:val="auto"/>
                <w:sz w:val="21"/>
              </w:rPr>
              <w:t xml:space="preserve">3.984 </w:t>
            </w:r>
          </w:p>
        </w:tc>
        <w:tc>
          <w:tcPr>
            <w:tcW w:w="1340" w:type="dxa"/>
            <w:vMerge w:val="continue"/>
            <w:tcBorders>
              <w:tl2br w:val="nil"/>
              <w:tr2bl w:val="nil"/>
            </w:tcBorders>
            <w:vAlign w:val="center"/>
          </w:tcPr>
          <w:p w14:paraId="06EC43E6">
            <w:pPr>
              <w:ind w:firstLine="420"/>
              <w:jc w:val="center"/>
              <w:rPr>
                <w:color w:val="auto"/>
                <w:sz w:val="21"/>
              </w:rPr>
            </w:pPr>
          </w:p>
        </w:tc>
      </w:tr>
      <w:tr w14:paraId="465A0E7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1A9B785">
            <w:pPr>
              <w:spacing w:line="240" w:lineRule="auto"/>
              <w:ind w:firstLine="0" w:firstLineChars="0"/>
              <w:jc w:val="center"/>
              <w:rPr>
                <w:color w:val="auto"/>
                <w:sz w:val="21"/>
              </w:rPr>
            </w:pPr>
          </w:p>
        </w:tc>
        <w:tc>
          <w:tcPr>
            <w:tcW w:w="634" w:type="pct"/>
            <w:tcBorders>
              <w:tl2br w:val="nil"/>
              <w:tr2bl w:val="nil"/>
            </w:tcBorders>
            <w:vAlign w:val="center"/>
          </w:tcPr>
          <w:p w14:paraId="513DB67B">
            <w:pPr>
              <w:spacing w:line="240" w:lineRule="auto"/>
              <w:ind w:firstLine="0" w:firstLineChars="0"/>
              <w:jc w:val="center"/>
              <w:rPr>
                <w:color w:val="auto"/>
                <w:sz w:val="21"/>
              </w:rPr>
            </w:pPr>
          </w:p>
        </w:tc>
        <w:tc>
          <w:tcPr>
            <w:tcW w:w="495" w:type="pct"/>
            <w:vMerge w:val="continue"/>
            <w:tcBorders>
              <w:tl2br w:val="nil"/>
              <w:tr2bl w:val="nil"/>
            </w:tcBorders>
            <w:vAlign w:val="center"/>
          </w:tcPr>
          <w:p w14:paraId="4964EA48">
            <w:pPr>
              <w:spacing w:line="240" w:lineRule="auto"/>
              <w:ind w:firstLine="0" w:firstLineChars="0"/>
              <w:jc w:val="center"/>
              <w:rPr>
                <w:color w:val="auto"/>
                <w:sz w:val="21"/>
              </w:rPr>
            </w:pPr>
          </w:p>
        </w:tc>
        <w:tc>
          <w:tcPr>
            <w:tcW w:w="480" w:type="pct"/>
            <w:tcBorders>
              <w:tl2br w:val="nil"/>
              <w:tr2bl w:val="nil"/>
            </w:tcBorders>
            <w:vAlign w:val="center"/>
          </w:tcPr>
          <w:p w14:paraId="6BFAB4D2">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G4-2</w:t>
            </w:r>
          </w:p>
        </w:tc>
        <w:tc>
          <w:tcPr>
            <w:tcW w:w="652" w:type="pct"/>
            <w:tcBorders>
              <w:tl2br w:val="nil"/>
              <w:tr2bl w:val="nil"/>
            </w:tcBorders>
            <w:vAlign w:val="center"/>
          </w:tcPr>
          <w:p w14:paraId="4063064A">
            <w:pPr>
              <w:widowControl/>
              <w:spacing w:line="240" w:lineRule="auto"/>
              <w:ind w:firstLine="0" w:firstLineChars="0"/>
              <w:jc w:val="center"/>
              <w:textAlignment w:val="center"/>
              <w:rPr>
                <w:color w:val="auto"/>
                <w:sz w:val="21"/>
              </w:rPr>
            </w:pPr>
            <w:r>
              <w:rPr>
                <w:rFonts w:hint="eastAsia" w:ascii="宋体" w:hAnsi="宋体" w:cs="宋体"/>
                <w:color w:val="auto"/>
                <w:kern w:val="0"/>
                <w:sz w:val="22"/>
                <w:szCs w:val="22"/>
                <w:lang w:bidi="ar"/>
              </w:rPr>
              <w:t>吸收废气</w:t>
            </w:r>
          </w:p>
        </w:tc>
        <w:tc>
          <w:tcPr>
            <w:tcW w:w="623" w:type="pct"/>
            <w:tcBorders>
              <w:tl2br w:val="nil"/>
              <w:tr2bl w:val="nil"/>
            </w:tcBorders>
            <w:vAlign w:val="center"/>
          </w:tcPr>
          <w:p w14:paraId="367262F7">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氨气</w:t>
            </w:r>
          </w:p>
        </w:tc>
        <w:tc>
          <w:tcPr>
            <w:tcW w:w="1373" w:type="dxa"/>
            <w:tcBorders>
              <w:tl2br w:val="nil"/>
              <w:tr2bl w:val="nil"/>
            </w:tcBorders>
            <w:vAlign w:val="center"/>
          </w:tcPr>
          <w:p w14:paraId="1921F98A">
            <w:pPr>
              <w:spacing w:line="240" w:lineRule="auto"/>
              <w:ind w:firstLine="0" w:firstLineChars="0"/>
              <w:jc w:val="center"/>
              <w:rPr>
                <w:color w:val="auto"/>
                <w:sz w:val="21"/>
              </w:rPr>
            </w:pPr>
            <w:r>
              <w:rPr>
                <w:color w:val="auto"/>
                <w:sz w:val="21"/>
              </w:rPr>
              <w:t xml:space="preserve">18.627 </w:t>
            </w:r>
          </w:p>
        </w:tc>
        <w:tc>
          <w:tcPr>
            <w:tcW w:w="1340" w:type="dxa"/>
            <w:tcBorders>
              <w:tl2br w:val="nil"/>
              <w:tr2bl w:val="nil"/>
            </w:tcBorders>
            <w:vAlign w:val="center"/>
          </w:tcPr>
          <w:p w14:paraId="521978A4">
            <w:pPr>
              <w:spacing w:line="240" w:lineRule="auto"/>
              <w:ind w:firstLine="0" w:firstLineChars="0"/>
              <w:jc w:val="center"/>
              <w:rPr>
                <w:color w:val="auto"/>
                <w:sz w:val="21"/>
              </w:rPr>
            </w:pPr>
            <w:r>
              <w:rPr>
                <w:color w:val="auto"/>
                <w:sz w:val="21"/>
              </w:rPr>
              <w:t xml:space="preserve">18.627 </w:t>
            </w:r>
          </w:p>
        </w:tc>
      </w:tr>
      <w:tr w14:paraId="4BE3E6E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90E1B4F">
            <w:pPr>
              <w:spacing w:line="240" w:lineRule="auto"/>
              <w:ind w:firstLine="0" w:firstLineChars="0"/>
              <w:jc w:val="center"/>
              <w:rPr>
                <w:color w:val="auto"/>
                <w:sz w:val="21"/>
              </w:rPr>
            </w:pPr>
          </w:p>
        </w:tc>
        <w:tc>
          <w:tcPr>
            <w:tcW w:w="634" w:type="pct"/>
            <w:tcBorders>
              <w:tl2br w:val="nil"/>
              <w:tr2bl w:val="nil"/>
            </w:tcBorders>
            <w:vAlign w:val="center"/>
          </w:tcPr>
          <w:p w14:paraId="3740AE36">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2E8BC479">
            <w:pPr>
              <w:spacing w:line="240" w:lineRule="auto"/>
              <w:ind w:firstLine="0" w:firstLineChars="0"/>
              <w:jc w:val="center"/>
              <w:rPr>
                <w:color w:val="auto"/>
                <w:sz w:val="21"/>
              </w:rPr>
            </w:pPr>
            <w:r>
              <w:rPr>
                <w:rFonts w:hint="eastAsia"/>
                <w:color w:val="auto"/>
                <w:sz w:val="21"/>
              </w:rPr>
              <w:t>回收稀氨水</w:t>
            </w:r>
          </w:p>
        </w:tc>
        <w:tc>
          <w:tcPr>
            <w:tcW w:w="652" w:type="pct"/>
            <w:tcBorders>
              <w:tl2br w:val="nil"/>
              <w:tr2bl w:val="nil"/>
            </w:tcBorders>
            <w:vAlign w:val="center"/>
          </w:tcPr>
          <w:p w14:paraId="6E8B6953">
            <w:pPr>
              <w:spacing w:line="240" w:lineRule="auto"/>
              <w:ind w:firstLine="0" w:firstLineChars="0"/>
              <w:jc w:val="center"/>
              <w:rPr>
                <w:color w:val="auto"/>
                <w:sz w:val="21"/>
              </w:rPr>
            </w:pPr>
            <w:r>
              <w:rPr>
                <w:rFonts w:hint="eastAsia"/>
                <w:color w:val="auto"/>
                <w:sz w:val="21"/>
              </w:rPr>
              <w:t>/</w:t>
            </w:r>
          </w:p>
        </w:tc>
        <w:tc>
          <w:tcPr>
            <w:tcW w:w="623" w:type="pct"/>
            <w:tcBorders>
              <w:tl2br w:val="nil"/>
              <w:tr2bl w:val="nil"/>
            </w:tcBorders>
            <w:vAlign w:val="center"/>
          </w:tcPr>
          <w:p w14:paraId="28AD2D58">
            <w:pPr>
              <w:spacing w:line="240" w:lineRule="auto"/>
              <w:ind w:firstLine="0" w:firstLineChars="0"/>
              <w:jc w:val="center"/>
              <w:rPr>
                <w:color w:val="auto"/>
                <w:sz w:val="21"/>
              </w:rPr>
            </w:pPr>
            <w:r>
              <w:rPr>
                <w:rFonts w:hint="eastAsia"/>
                <w:color w:val="auto"/>
                <w:sz w:val="21"/>
              </w:rPr>
              <w:t>氨</w:t>
            </w:r>
          </w:p>
        </w:tc>
        <w:tc>
          <w:tcPr>
            <w:tcW w:w="1373" w:type="dxa"/>
            <w:tcBorders>
              <w:tl2br w:val="nil"/>
              <w:tr2bl w:val="nil"/>
            </w:tcBorders>
            <w:vAlign w:val="center"/>
          </w:tcPr>
          <w:p w14:paraId="12267568">
            <w:pPr>
              <w:spacing w:line="240" w:lineRule="auto"/>
              <w:ind w:firstLine="0" w:firstLineChars="0"/>
              <w:jc w:val="center"/>
              <w:rPr>
                <w:color w:val="auto"/>
                <w:sz w:val="21"/>
              </w:rPr>
            </w:pPr>
            <w:r>
              <w:rPr>
                <w:color w:val="auto"/>
                <w:sz w:val="21"/>
              </w:rPr>
              <w:t xml:space="preserve">353.904 </w:t>
            </w:r>
          </w:p>
        </w:tc>
        <w:tc>
          <w:tcPr>
            <w:tcW w:w="1340" w:type="dxa"/>
            <w:vMerge w:val="restart"/>
            <w:tcBorders>
              <w:tl2br w:val="nil"/>
              <w:tr2bl w:val="nil"/>
            </w:tcBorders>
            <w:vAlign w:val="center"/>
          </w:tcPr>
          <w:p w14:paraId="7BE7435E">
            <w:pPr>
              <w:spacing w:line="240" w:lineRule="auto"/>
              <w:ind w:firstLine="0" w:firstLineChars="0"/>
              <w:jc w:val="center"/>
              <w:rPr>
                <w:color w:val="auto"/>
                <w:sz w:val="21"/>
              </w:rPr>
            </w:pPr>
            <w:r>
              <w:rPr>
                <w:color w:val="auto"/>
                <w:sz w:val="21"/>
              </w:rPr>
              <w:t xml:space="preserve">4423.790 </w:t>
            </w:r>
          </w:p>
        </w:tc>
      </w:tr>
      <w:tr w14:paraId="7C6BD38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0A5CC32">
            <w:pPr>
              <w:spacing w:line="240" w:lineRule="auto"/>
              <w:ind w:firstLine="0" w:firstLineChars="0"/>
              <w:jc w:val="center"/>
              <w:rPr>
                <w:color w:val="auto"/>
                <w:sz w:val="21"/>
              </w:rPr>
            </w:pPr>
          </w:p>
        </w:tc>
        <w:tc>
          <w:tcPr>
            <w:tcW w:w="634" w:type="pct"/>
            <w:tcBorders>
              <w:tl2br w:val="nil"/>
              <w:tr2bl w:val="nil"/>
            </w:tcBorders>
            <w:vAlign w:val="center"/>
          </w:tcPr>
          <w:p w14:paraId="42592B1E">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102C06D1">
            <w:pPr>
              <w:spacing w:line="240" w:lineRule="auto"/>
              <w:ind w:firstLine="0" w:firstLineChars="0"/>
              <w:jc w:val="center"/>
              <w:rPr>
                <w:color w:val="auto"/>
                <w:sz w:val="21"/>
              </w:rPr>
            </w:pPr>
          </w:p>
        </w:tc>
        <w:tc>
          <w:tcPr>
            <w:tcW w:w="652" w:type="pct"/>
            <w:tcBorders>
              <w:tl2br w:val="nil"/>
              <w:tr2bl w:val="nil"/>
            </w:tcBorders>
            <w:vAlign w:val="center"/>
          </w:tcPr>
          <w:p w14:paraId="14DA867E">
            <w:pPr>
              <w:spacing w:line="240" w:lineRule="auto"/>
              <w:ind w:firstLine="0" w:firstLineChars="0"/>
              <w:jc w:val="center"/>
              <w:rPr>
                <w:color w:val="auto"/>
                <w:sz w:val="21"/>
              </w:rPr>
            </w:pPr>
            <w:r>
              <w:rPr>
                <w:rFonts w:hint="eastAsia"/>
                <w:color w:val="auto"/>
                <w:sz w:val="21"/>
              </w:rPr>
              <w:t>/</w:t>
            </w:r>
          </w:p>
        </w:tc>
        <w:tc>
          <w:tcPr>
            <w:tcW w:w="623" w:type="pct"/>
            <w:tcBorders>
              <w:tl2br w:val="nil"/>
              <w:tr2bl w:val="nil"/>
            </w:tcBorders>
            <w:vAlign w:val="center"/>
          </w:tcPr>
          <w:p w14:paraId="7109C287">
            <w:pPr>
              <w:spacing w:line="240" w:lineRule="auto"/>
              <w:ind w:firstLine="0" w:firstLineChars="0"/>
              <w:jc w:val="center"/>
              <w:rPr>
                <w:color w:val="auto"/>
                <w:sz w:val="21"/>
              </w:rPr>
            </w:pPr>
            <w:r>
              <w:rPr>
                <w:rFonts w:hint="eastAsia"/>
                <w:color w:val="auto"/>
                <w:sz w:val="21"/>
              </w:rPr>
              <w:t>水</w:t>
            </w:r>
          </w:p>
        </w:tc>
        <w:tc>
          <w:tcPr>
            <w:tcW w:w="696" w:type="pct"/>
            <w:tcBorders>
              <w:tl2br w:val="nil"/>
              <w:tr2bl w:val="nil"/>
            </w:tcBorders>
            <w:vAlign w:val="center"/>
          </w:tcPr>
          <w:p w14:paraId="6DDD64DB">
            <w:pPr>
              <w:spacing w:line="240" w:lineRule="auto"/>
              <w:ind w:firstLine="0" w:firstLineChars="0"/>
              <w:jc w:val="center"/>
              <w:rPr>
                <w:color w:val="auto"/>
                <w:sz w:val="21"/>
              </w:rPr>
            </w:pPr>
            <w:r>
              <w:rPr>
                <w:rFonts w:hint="eastAsia"/>
                <w:color w:val="auto"/>
                <w:sz w:val="21"/>
              </w:rPr>
              <w:t>4069.889</w:t>
            </w:r>
          </w:p>
        </w:tc>
        <w:tc>
          <w:tcPr>
            <w:tcW w:w="679" w:type="pct"/>
            <w:vMerge w:val="continue"/>
            <w:tcBorders>
              <w:tl2br w:val="nil"/>
              <w:tr2bl w:val="nil"/>
            </w:tcBorders>
            <w:vAlign w:val="center"/>
          </w:tcPr>
          <w:p w14:paraId="5E744494">
            <w:pPr>
              <w:widowControl/>
              <w:spacing w:line="240" w:lineRule="auto"/>
              <w:ind w:firstLine="0" w:firstLineChars="0"/>
              <w:jc w:val="center"/>
              <w:textAlignment w:val="center"/>
              <w:rPr>
                <w:rFonts w:cs="宋体"/>
                <w:color w:val="auto"/>
                <w:kern w:val="0"/>
                <w:sz w:val="21"/>
                <w:szCs w:val="22"/>
                <w:lang w:bidi="ar"/>
              </w:rPr>
            </w:pPr>
          </w:p>
        </w:tc>
      </w:tr>
      <w:tr w14:paraId="67C6641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BAD4B5F">
            <w:pPr>
              <w:spacing w:line="240" w:lineRule="auto"/>
              <w:ind w:firstLine="0" w:firstLineChars="0"/>
              <w:jc w:val="center"/>
              <w:rPr>
                <w:color w:val="auto"/>
                <w:sz w:val="21"/>
              </w:rPr>
            </w:pPr>
            <w:r>
              <w:rPr>
                <w:rFonts w:hint="eastAsia"/>
                <w:color w:val="auto"/>
                <w:sz w:val="21"/>
              </w:rPr>
              <w:t>合计</w:t>
            </w:r>
          </w:p>
        </w:tc>
        <w:tc>
          <w:tcPr>
            <w:tcW w:w="634" w:type="pct"/>
            <w:tcBorders>
              <w:tl2br w:val="nil"/>
              <w:tr2bl w:val="nil"/>
            </w:tcBorders>
            <w:vAlign w:val="center"/>
          </w:tcPr>
          <w:p w14:paraId="6B043075">
            <w:pPr>
              <w:spacing w:line="240" w:lineRule="auto"/>
              <w:ind w:firstLine="0" w:firstLineChars="0"/>
              <w:jc w:val="center"/>
              <w:rPr>
                <w:color w:val="auto"/>
                <w:sz w:val="21"/>
              </w:rPr>
            </w:pPr>
            <w:r>
              <w:rPr>
                <w:rFonts w:hint="eastAsia"/>
                <w:color w:val="auto"/>
                <w:sz w:val="21"/>
              </w:rPr>
              <w:t>11466.847</w:t>
            </w:r>
          </w:p>
        </w:tc>
        <w:tc>
          <w:tcPr>
            <w:tcW w:w="2948" w:type="pct"/>
            <w:gridSpan w:val="5"/>
            <w:tcBorders>
              <w:tl2br w:val="nil"/>
              <w:tr2bl w:val="nil"/>
            </w:tcBorders>
            <w:vAlign w:val="center"/>
          </w:tcPr>
          <w:p w14:paraId="7DA159E7">
            <w:pPr>
              <w:spacing w:line="240" w:lineRule="auto"/>
              <w:ind w:firstLine="0" w:firstLineChars="0"/>
              <w:jc w:val="center"/>
              <w:rPr>
                <w:color w:val="auto"/>
                <w:sz w:val="21"/>
              </w:rPr>
            </w:pPr>
            <w:r>
              <w:rPr>
                <w:rFonts w:hint="eastAsia"/>
                <w:color w:val="auto"/>
                <w:sz w:val="21"/>
              </w:rPr>
              <w:t>合计</w:t>
            </w:r>
          </w:p>
        </w:tc>
        <w:tc>
          <w:tcPr>
            <w:tcW w:w="679" w:type="pct"/>
            <w:tcBorders>
              <w:tl2br w:val="nil"/>
              <w:tr2bl w:val="nil"/>
            </w:tcBorders>
            <w:vAlign w:val="center"/>
          </w:tcPr>
          <w:p w14:paraId="2CB7E0B3">
            <w:pPr>
              <w:spacing w:line="240" w:lineRule="auto"/>
              <w:ind w:firstLine="0" w:firstLineChars="0"/>
              <w:jc w:val="center"/>
              <w:rPr>
                <w:color w:val="auto"/>
                <w:sz w:val="21"/>
              </w:rPr>
            </w:pPr>
            <w:r>
              <w:rPr>
                <w:rFonts w:hint="eastAsia"/>
                <w:color w:val="auto"/>
                <w:sz w:val="21"/>
              </w:rPr>
              <w:t>11466.847</w:t>
            </w:r>
          </w:p>
        </w:tc>
      </w:tr>
    </w:tbl>
    <w:p w14:paraId="46001779">
      <w:pPr>
        <w:spacing w:line="240" w:lineRule="auto"/>
        <w:ind w:firstLine="0" w:firstLineChars="0"/>
        <w:jc w:val="center"/>
        <w:rPr>
          <w:b/>
          <w:bCs/>
          <w:color w:val="auto"/>
        </w:rPr>
      </w:pPr>
    </w:p>
    <w:p w14:paraId="0FF1DE6C">
      <w:pPr>
        <w:spacing w:line="240" w:lineRule="auto"/>
        <w:ind w:firstLine="0" w:firstLineChars="0"/>
        <w:jc w:val="center"/>
        <w:rPr>
          <w:b/>
          <w:bCs/>
          <w:color w:val="auto"/>
        </w:rPr>
      </w:pPr>
      <w:r>
        <w:rPr>
          <w:rFonts w:hint="eastAsia"/>
          <w:b/>
          <w:bCs/>
          <w:color w:val="auto"/>
        </w:rPr>
        <w:t>表4.4-14  硫代硫酸钙生产物料投入--产出表（t/a）</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3"/>
        <w:gridCol w:w="1250"/>
        <w:gridCol w:w="976"/>
        <w:gridCol w:w="946"/>
        <w:gridCol w:w="1285"/>
        <w:gridCol w:w="1230"/>
        <w:gridCol w:w="1374"/>
        <w:gridCol w:w="1340"/>
      </w:tblGrid>
      <w:tr w14:paraId="1B35920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4A0FE87F">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46395DFA">
            <w:pPr>
              <w:spacing w:line="240" w:lineRule="auto"/>
              <w:ind w:firstLine="0" w:firstLineChars="0"/>
              <w:jc w:val="center"/>
              <w:rPr>
                <w:b/>
                <w:bCs/>
                <w:color w:val="auto"/>
                <w:sz w:val="21"/>
              </w:rPr>
            </w:pPr>
            <w:r>
              <w:rPr>
                <w:rFonts w:hint="eastAsia"/>
                <w:b/>
                <w:bCs/>
                <w:color w:val="auto"/>
                <w:sz w:val="21"/>
              </w:rPr>
              <w:t>产出</w:t>
            </w:r>
          </w:p>
        </w:tc>
      </w:tr>
      <w:tr w14:paraId="7D56574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F55A5D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20F88204">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27CFF944">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7B21BB3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276" w:type="pct"/>
            <w:gridSpan w:val="2"/>
            <w:tcBorders>
              <w:tl2br w:val="nil"/>
              <w:tr2bl w:val="nil"/>
            </w:tcBorders>
            <w:vAlign w:val="center"/>
          </w:tcPr>
          <w:p w14:paraId="4AF1C76B">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376" w:type="pct"/>
            <w:gridSpan w:val="2"/>
            <w:tcBorders>
              <w:tl2br w:val="nil"/>
              <w:tr2bl w:val="nil"/>
            </w:tcBorders>
            <w:vAlign w:val="center"/>
          </w:tcPr>
          <w:p w14:paraId="5F2666A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20C90F2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8F7C08E">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氧化钙</w:t>
            </w:r>
          </w:p>
        </w:tc>
        <w:tc>
          <w:tcPr>
            <w:tcW w:w="634" w:type="pct"/>
            <w:tcBorders>
              <w:tl2br w:val="nil"/>
              <w:tr2bl w:val="nil"/>
            </w:tcBorders>
            <w:vAlign w:val="center"/>
          </w:tcPr>
          <w:p w14:paraId="2DAD1B7C">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196.000</w:t>
            </w:r>
          </w:p>
        </w:tc>
        <w:tc>
          <w:tcPr>
            <w:tcW w:w="975" w:type="pct"/>
            <w:gridSpan w:val="2"/>
            <w:vMerge w:val="restart"/>
            <w:tcBorders>
              <w:tl2br w:val="nil"/>
              <w:tr2bl w:val="nil"/>
            </w:tcBorders>
            <w:vAlign w:val="center"/>
          </w:tcPr>
          <w:p w14:paraId="48714E0C">
            <w:pPr>
              <w:spacing w:line="240" w:lineRule="auto"/>
              <w:ind w:firstLine="0" w:firstLineChars="0"/>
              <w:jc w:val="center"/>
              <w:rPr>
                <w:color w:val="auto"/>
                <w:sz w:val="21"/>
              </w:rPr>
            </w:pPr>
            <w:r>
              <w:rPr>
                <w:rFonts w:hint="eastAsia"/>
                <w:color w:val="auto"/>
                <w:sz w:val="21"/>
              </w:rPr>
              <w:t>产品</w:t>
            </w:r>
          </w:p>
        </w:tc>
        <w:tc>
          <w:tcPr>
            <w:tcW w:w="652" w:type="pct"/>
            <w:vMerge w:val="restart"/>
            <w:tcBorders>
              <w:tl2br w:val="nil"/>
              <w:tr2bl w:val="nil"/>
            </w:tcBorders>
            <w:vAlign w:val="center"/>
          </w:tcPr>
          <w:p w14:paraId="3A40D1E4">
            <w:pPr>
              <w:spacing w:line="240" w:lineRule="auto"/>
              <w:ind w:firstLine="0" w:firstLineChars="0"/>
              <w:jc w:val="center"/>
              <w:rPr>
                <w:color w:val="auto"/>
                <w:sz w:val="21"/>
              </w:rPr>
            </w:pPr>
            <w:r>
              <w:rPr>
                <w:rFonts w:hint="eastAsia"/>
                <w:color w:val="auto"/>
                <w:sz w:val="21"/>
              </w:rPr>
              <w:t>24%硫代硫酸钙</w:t>
            </w:r>
          </w:p>
        </w:tc>
        <w:tc>
          <w:tcPr>
            <w:tcW w:w="623" w:type="pct"/>
            <w:tcBorders>
              <w:tl2br w:val="nil"/>
              <w:tr2bl w:val="nil"/>
            </w:tcBorders>
            <w:vAlign w:val="center"/>
          </w:tcPr>
          <w:p w14:paraId="617F14B3">
            <w:pPr>
              <w:spacing w:line="240" w:lineRule="auto"/>
              <w:ind w:firstLine="0" w:firstLineChars="0"/>
              <w:jc w:val="center"/>
              <w:rPr>
                <w:color w:val="auto"/>
                <w:sz w:val="21"/>
              </w:rPr>
            </w:pPr>
            <w:r>
              <w:rPr>
                <w:rFonts w:hint="eastAsia"/>
                <w:color w:val="auto"/>
                <w:sz w:val="21"/>
              </w:rPr>
              <w:t>硫代硫酸钙</w:t>
            </w:r>
          </w:p>
        </w:tc>
        <w:tc>
          <w:tcPr>
            <w:tcW w:w="696" w:type="pct"/>
            <w:tcBorders>
              <w:tl2br w:val="nil"/>
              <w:tr2bl w:val="nil"/>
            </w:tcBorders>
            <w:vAlign w:val="center"/>
          </w:tcPr>
          <w:p w14:paraId="3C9610BA">
            <w:pPr>
              <w:spacing w:line="240" w:lineRule="auto"/>
              <w:ind w:firstLine="0" w:firstLineChars="0"/>
              <w:jc w:val="center"/>
              <w:rPr>
                <w:color w:val="auto"/>
                <w:sz w:val="21"/>
              </w:rPr>
            </w:pPr>
            <w:r>
              <w:rPr>
                <w:rFonts w:hint="eastAsia"/>
                <w:color w:val="auto"/>
                <w:sz w:val="21"/>
              </w:rPr>
              <w:t xml:space="preserve">528.332 </w:t>
            </w:r>
          </w:p>
        </w:tc>
        <w:tc>
          <w:tcPr>
            <w:tcW w:w="679" w:type="pct"/>
            <w:vMerge w:val="restart"/>
            <w:tcBorders>
              <w:tl2br w:val="nil"/>
              <w:tr2bl w:val="nil"/>
            </w:tcBorders>
            <w:vAlign w:val="center"/>
          </w:tcPr>
          <w:p w14:paraId="54EF038F">
            <w:pPr>
              <w:spacing w:line="240" w:lineRule="auto"/>
              <w:ind w:firstLine="0" w:firstLineChars="0"/>
              <w:jc w:val="center"/>
              <w:rPr>
                <w:color w:val="auto"/>
                <w:sz w:val="21"/>
              </w:rPr>
            </w:pPr>
            <w:r>
              <w:rPr>
                <w:rFonts w:hint="eastAsia"/>
                <w:color w:val="auto"/>
                <w:sz w:val="21"/>
              </w:rPr>
              <w:t>2203.238</w:t>
            </w:r>
          </w:p>
        </w:tc>
      </w:tr>
      <w:tr w14:paraId="749E375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E9427BF">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59%硫代硫酸铵</w:t>
            </w:r>
          </w:p>
        </w:tc>
        <w:tc>
          <w:tcPr>
            <w:tcW w:w="634" w:type="pct"/>
            <w:tcBorders>
              <w:tl2br w:val="nil"/>
              <w:tr2bl w:val="nil"/>
            </w:tcBorders>
            <w:vAlign w:val="center"/>
          </w:tcPr>
          <w:p w14:paraId="5CD951AF">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 xml:space="preserve">872.000 </w:t>
            </w:r>
          </w:p>
        </w:tc>
        <w:tc>
          <w:tcPr>
            <w:tcW w:w="975" w:type="pct"/>
            <w:gridSpan w:val="2"/>
            <w:vMerge w:val="continue"/>
            <w:tcBorders>
              <w:tl2br w:val="nil"/>
              <w:tr2bl w:val="nil"/>
            </w:tcBorders>
            <w:vAlign w:val="center"/>
          </w:tcPr>
          <w:p w14:paraId="2DED4121">
            <w:pPr>
              <w:spacing w:line="240" w:lineRule="auto"/>
              <w:ind w:firstLine="0" w:firstLineChars="0"/>
              <w:jc w:val="center"/>
              <w:rPr>
                <w:color w:val="auto"/>
                <w:sz w:val="21"/>
              </w:rPr>
            </w:pPr>
          </w:p>
        </w:tc>
        <w:tc>
          <w:tcPr>
            <w:tcW w:w="652" w:type="pct"/>
            <w:vMerge w:val="continue"/>
            <w:tcBorders>
              <w:tl2br w:val="nil"/>
              <w:tr2bl w:val="nil"/>
            </w:tcBorders>
            <w:vAlign w:val="center"/>
          </w:tcPr>
          <w:p w14:paraId="5859AA81">
            <w:pPr>
              <w:spacing w:line="240" w:lineRule="auto"/>
              <w:ind w:firstLine="0" w:firstLineChars="0"/>
              <w:jc w:val="center"/>
              <w:rPr>
                <w:color w:val="auto"/>
                <w:sz w:val="21"/>
              </w:rPr>
            </w:pPr>
          </w:p>
        </w:tc>
        <w:tc>
          <w:tcPr>
            <w:tcW w:w="623" w:type="pct"/>
            <w:tcBorders>
              <w:tl2br w:val="nil"/>
              <w:tr2bl w:val="nil"/>
            </w:tcBorders>
            <w:vAlign w:val="center"/>
          </w:tcPr>
          <w:p w14:paraId="01B4DCC5">
            <w:pPr>
              <w:spacing w:line="240" w:lineRule="auto"/>
              <w:ind w:firstLine="0" w:firstLineChars="0"/>
              <w:jc w:val="center"/>
              <w:rPr>
                <w:color w:val="auto"/>
                <w:sz w:val="21"/>
              </w:rPr>
            </w:pPr>
            <w:r>
              <w:rPr>
                <w:rFonts w:hint="eastAsia"/>
                <w:color w:val="auto"/>
                <w:sz w:val="21"/>
              </w:rPr>
              <w:t>硫代硫酸铵</w:t>
            </w:r>
          </w:p>
        </w:tc>
        <w:tc>
          <w:tcPr>
            <w:tcW w:w="696" w:type="pct"/>
            <w:tcBorders>
              <w:tl2br w:val="nil"/>
              <w:tr2bl w:val="nil"/>
            </w:tcBorders>
            <w:vAlign w:val="center"/>
          </w:tcPr>
          <w:p w14:paraId="2060A3E0">
            <w:pPr>
              <w:spacing w:line="240" w:lineRule="auto"/>
              <w:ind w:firstLine="0" w:firstLineChars="0"/>
              <w:jc w:val="center"/>
              <w:rPr>
                <w:color w:val="auto"/>
                <w:sz w:val="21"/>
              </w:rPr>
            </w:pPr>
            <w:r>
              <w:rPr>
                <w:rFonts w:hint="eastAsia"/>
                <w:color w:val="auto"/>
                <w:sz w:val="21"/>
              </w:rPr>
              <w:t xml:space="preserve">0.051 </w:t>
            </w:r>
          </w:p>
        </w:tc>
        <w:tc>
          <w:tcPr>
            <w:tcW w:w="679" w:type="pct"/>
            <w:vMerge w:val="continue"/>
            <w:tcBorders>
              <w:tl2br w:val="nil"/>
              <w:tr2bl w:val="nil"/>
            </w:tcBorders>
            <w:vAlign w:val="center"/>
          </w:tcPr>
          <w:p w14:paraId="7B0BFB4B">
            <w:pPr>
              <w:spacing w:line="240" w:lineRule="auto"/>
              <w:ind w:firstLine="0" w:firstLineChars="0"/>
              <w:jc w:val="center"/>
              <w:rPr>
                <w:color w:val="auto"/>
                <w:sz w:val="21"/>
              </w:rPr>
            </w:pPr>
          </w:p>
        </w:tc>
      </w:tr>
      <w:tr w14:paraId="467DE4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DEA6668">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水</w:t>
            </w:r>
          </w:p>
        </w:tc>
        <w:tc>
          <w:tcPr>
            <w:tcW w:w="634" w:type="pct"/>
            <w:tcBorders>
              <w:tl2br w:val="nil"/>
              <w:tr2bl w:val="nil"/>
            </w:tcBorders>
            <w:vAlign w:val="center"/>
          </w:tcPr>
          <w:p w14:paraId="4E523183">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2532.590</w:t>
            </w:r>
          </w:p>
        </w:tc>
        <w:tc>
          <w:tcPr>
            <w:tcW w:w="975" w:type="pct"/>
            <w:gridSpan w:val="2"/>
            <w:vMerge w:val="continue"/>
            <w:tcBorders>
              <w:tl2br w:val="nil"/>
              <w:tr2bl w:val="nil"/>
            </w:tcBorders>
            <w:vAlign w:val="center"/>
          </w:tcPr>
          <w:p w14:paraId="0D320E8D">
            <w:pPr>
              <w:spacing w:line="240" w:lineRule="auto"/>
              <w:ind w:firstLine="0" w:firstLineChars="0"/>
              <w:jc w:val="center"/>
              <w:rPr>
                <w:color w:val="auto"/>
                <w:sz w:val="21"/>
              </w:rPr>
            </w:pPr>
          </w:p>
        </w:tc>
        <w:tc>
          <w:tcPr>
            <w:tcW w:w="652" w:type="pct"/>
            <w:vMerge w:val="continue"/>
            <w:tcBorders>
              <w:tl2br w:val="nil"/>
              <w:tr2bl w:val="nil"/>
            </w:tcBorders>
            <w:vAlign w:val="center"/>
          </w:tcPr>
          <w:p w14:paraId="3A1F19F1">
            <w:pPr>
              <w:spacing w:line="240" w:lineRule="auto"/>
              <w:ind w:firstLine="0" w:firstLineChars="0"/>
              <w:jc w:val="center"/>
              <w:rPr>
                <w:color w:val="auto"/>
                <w:sz w:val="21"/>
              </w:rPr>
            </w:pPr>
          </w:p>
        </w:tc>
        <w:tc>
          <w:tcPr>
            <w:tcW w:w="623" w:type="pct"/>
            <w:tcBorders>
              <w:tl2br w:val="nil"/>
              <w:tr2bl w:val="nil"/>
            </w:tcBorders>
            <w:vAlign w:val="center"/>
          </w:tcPr>
          <w:p w14:paraId="2164E5A1">
            <w:pPr>
              <w:spacing w:line="240" w:lineRule="auto"/>
              <w:ind w:firstLine="0" w:firstLineChars="0"/>
              <w:jc w:val="center"/>
              <w:rPr>
                <w:color w:val="auto"/>
                <w:sz w:val="21"/>
              </w:rPr>
            </w:pPr>
            <w:r>
              <w:rPr>
                <w:rFonts w:hint="eastAsia"/>
                <w:color w:val="auto"/>
                <w:sz w:val="21"/>
              </w:rPr>
              <w:t>氢氧化钙</w:t>
            </w:r>
          </w:p>
        </w:tc>
        <w:tc>
          <w:tcPr>
            <w:tcW w:w="696" w:type="pct"/>
            <w:tcBorders>
              <w:tl2br w:val="nil"/>
              <w:tr2bl w:val="nil"/>
            </w:tcBorders>
            <w:vAlign w:val="center"/>
          </w:tcPr>
          <w:p w14:paraId="2C445CFF">
            <w:pPr>
              <w:spacing w:line="240" w:lineRule="auto"/>
              <w:ind w:firstLine="0" w:firstLineChars="0"/>
              <w:jc w:val="center"/>
              <w:rPr>
                <w:color w:val="auto"/>
                <w:sz w:val="21"/>
              </w:rPr>
            </w:pPr>
            <w:r>
              <w:rPr>
                <w:rFonts w:hint="eastAsia"/>
                <w:color w:val="auto"/>
                <w:sz w:val="21"/>
              </w:rPr>
              <w:t xml:space="preserve">1.760 </w:t>
            </w:r>
          </w:p>
        </w:tc>
        <w:tc>
          <w:tcPr>
            <w:tcW w:w="679" w:type="pct"/>
            <w:vMerge w:val="continue"/>
            <w:tcBorders>
              <w:tl2br w:val="nil"/>
              <w:tr2bl w:val="nil"/>
            </w:tcBorders>
            <w:vAlign w:val="center"/>
          </w:tcPr>
          <w:p w14:paraId="652A7952">
            <w:pPr>
              <w:spacing w:line="240" w:lineRule="auto"/>
              <w:ind w:firstLine="0" w:firstLineChars="0"/>
              <w:jc w:val="center"/>
              <w:rPr>
                <w:color w:val="auto"/>
                <w:sz w:val="21"/>
              </w:rPr>
            </w:pPr>
          </w:p>
        </w:tc>
      </w:tr>
      <w:tr w14:paraId="214C72A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C2356BB">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23509238">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70D0B720">
            <w:pPr>
              <w:spacing w:line="240" w:lineRule="auto"/>
              <w:ind w:firstLine="0" w:firstLineChars="0"/>
              <w:jc w:val="center"/>
              <w:rPr>
                <w:color w:val="auto"/>
                <w:sz w:val="21"/>
              </w:rPr>
            </w:pPr>
          </w:p>
        </w:tc>
        <w:tc>
          <w:tcPr>
            <w:tcW w:w="652" w:type="pct"/>
            <w:vMerge w:val="continue"/>
            <w:tcBorders>
              <w:tl2br w:val="nil"/>
              <w:tr2bl w:val="nil"/>
            </w:tcBorders>
            <w:vAlign w:val="center"/>
          </w:tcPr>
          <w:p w14:paraId="48DDB080">
            <w:pPr>
              <w:spacing w:line="240" w:lineRule="auto"/>
              <w:ind w:firstLine="0" w:firstLineChars="0"/>
              <w:jc w:val="center"/>
              <w:rPr>
                <w:color w:val="auto"/>
                <w:sz w:val="21"/>
              </w:rPr>
            </w:pPr>
          </w:p>
        </w:tc>
        <w:tc>
          <w:tcPr>
            <w:tcW w:w="623" w:type="pct"/>
            <w:tcBorders>
              <w:tl2br w:val="nil"/>
              <w:tr2bl w:val="nil"/>
            </w:tcBorders>
            <w:vAlign w:val="center"/>
          </w:tcPr>
          <w:p w14:paraId="354669CD">
            <w:pPr>
              <w:spacing w:line="240" w:lineRule="auto"/>
              <w:ind w:firstLine="0" w:firstLineChars="0"/>
              <w:jc w:val="center"/>
              <w:rPr>
                <w:color w:val="auto"/>
                <w:sz w:val="21"/>
              </w:rPr>
            </w:pPr>
            <w:r>
              <w:rPr>
                <w:rFonts w:hint="eastAsia"/>
                <w:color w:val="auto"/>
                <w:sz w:val="21"/>
              </w:rPr>
              <w:t>氧化钙</w:t>
            </w:r>
          </w:p>
        </w:tc>
        <w:tc>
          <w:tcPr>
            <w:tcW w:w="696" w:type="pct"/>
            <w:tcBorders>
              <w:tl2br w:val="nil"/>
              <w:tr2bl w:val="nil"/>
            </w:tcBorders>
            <w:vAlign w:val="center"/>
          </w:tcPr>
          <w:p w14:paraId="2DD7133A">
            <w:pPr>
              <w:spacing w:line="240" w:lineRule="auto"/>
              <w:ind w:firstLine="0" w:firstLineChars="0"/>
              <w:jc w:val="center"/>
              <w:rPr>
                <w:color w:val="auto"/>
                <w:sz w:val="21"/>
              </w:rPr>
            </w:pPr>
            <w:r>
              <w:rPr>
                <w:rFonts w:hint="eastAsia"/>
                <w:color w:val="auto"/>
                <w:sz w:val="21"/>
              </w:rPr>
              <w:t xml:space="preserve">0.020 </w:t>
            </w:r>
          </w:p>
        </w:tc>
        <w:tc>
          <w:tcPr>
            <w:tcW w:w="679" w:type="pct"/>
            <w:vMerge w:val="continue"/>
            <w:tcBorders>
              <w:tl2br w:val="nil"/>
              <w:tr2bl w:val="nil"/>
            </w:tcBorders>
            <w:vAlign w:val="center"/>
          </w:tcPr>
          <w:p w14:paraId="7DCD507F">
            <w:pPr>
              <w:spacing w:line="240" w:lineRule="auto"/>
              <w:ind w:firstLine="0" w:firstLineChars="0"/>
              <w:jc w:val="center"/>
              <w:rPr>
                <w:color w:val="auto"/>
                <w:sz w:val="21"/>
              </w:rPr>
            </w:pPr>
          </w:p>
        </w:tc>
      </w:tr>
      <w:tr w14:paraId="6647F13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3895056">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68DD67E3">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37277180">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193592DB">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1AE11B3D">
            <w:pPr>
              <w:spacing w:line="240" w:lineRule="auto"/>
              <w:ind w:firstLine="0" w:firstLineChars="0"/>
              <w:jc w:val="center"/>
              <w:rPr>
                <w:color w:val="auto"/>
                <w:sz w:val="21"/>
              </w:rPr>
            </w:pPr>
            <w:r>
              <w:rPr>
                <w:rFonts w:hint="eastAsia"/>
                <w:color w:val="auto"/>
                <w:sz w:val="21"/>
              </w:rPr>
              <w:t>氨</w:t>
            </w:r>
          </w:p>
        </w:tc>
        <w:tc>
          <w:tcPr>
            <w:tcW w:w="696" w:type="pct"/>
            <w:tcBorders>
              <w:tl2br w:val="nil"/>
              <w:tr2bl w:val="nil"/>
            </w:tcBorders>
            <w:vAlign w:val="center"/>
          </w:tcPr>
          <w:p w14:paraId="150C3BBB">
            <w:pPr>
              <w:spacing w:line="240" w:lineRule="auto"/>
              <w:ind w:firstLine="0" w:firstLineChars="0"/>
              <w:jc w:val="center"/>
              <w:rPr>
                <w:color w:val="auto"/>
                <w:sz w:val="21"/>
              </w:rPr>
            </w:pPr>
            <w:r>
              <w:rPr>
                <w:rFonts w:hint="eastAsia"/>
                <w:color w:val="auto"/>
                <w:sz w:val="21"/>
              </w:rPr>
              <w:t xml:space="preserve">0.023 </w:t>
            </w:r>
          </w:p>
        </w:tc>
        <w:tc>
          <w:tcPr>
            <w:tcW w:w="679" w:type="pct"/>
            <w:vMerge w:val="continue"/>
            <w:tcBorders>
              <w:tl2br w:val="nil"/>
              <w:tr2bl w:val="nil"/>
            </w:tcBorders>
            <w:vAlign w:val="center"/>
          </w:tcPr>
          <w:p w14:paraId="2B099381">
            <w:pPr>
              <w:spacing w:line="240" w:lineRule="auto"/>
              <w:ind w:firstLine="0" w:firstLineChars="0"/>
              <w:jc w:val="center"/>
              <w:rPr>
                <w:color w:val="auto"/>
                <w:sz w:val="21"/>
              </w:rPr>
            </w:pPr>
          </w:p>
        </w:tc>
      </w:tr>
      <w:tr w14:paraId="5B9867B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D4600FC">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34B06FA5">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634F031C">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47CA3F0B">
            <w:pPr>
              <w:widowControl/>
              <w:spacing w:line="240" w:lineRule="auto"/>
              <w:ind w:firstLine="0" w:firstLineChars="0"/>
              <w:jc w:val="center"/>
              <w:textAlignment w:val="center"/>
              <w:rPr>
                <w:color w:val="auto"/>
                <w:sz w:val="21"/>
              </w:rPr>
            </w:pPr>
          </w:p>
        </w:tc>
        <w:tc>
          <w:tcPr>
            <w:tcW w:w="623" w:type="pct"/>
            <w:tcBorders>
              <w:tl2br w:val="nil"/>
              <w:tr2bl w:val="nil"/>
            </w:tcBorders>
            <w:vAlign w:val="center"/>
          </w:tcPr>
          <w:p w14:paraId="4FB53343">
            <w:pPr>
              <w:spacing w:line="240" w:lineRule="auto"/>
              <w:ind w:firstLine="0" w:firstLineChars="0"/>
              <w:jc w:val="center"/>
              <w:rPr>
                <w:color w:val="auto"/>
                <w:sz w:val="21"/>
              </w:rPr>
            </w:pPr>
            <w:r>
              <w:rPr>
                <w:rFonts w:hint="eastAsia"/>
                <w:color w:val="auto"/>
                <w:sz w:val="21"/>
              </w:rPr>
              <w:t>水</w:t>
            </w:r>
          </w:p>
        </w:tc>
        <w:tc>
          <w:tcPr>
            <w:tcW w:w="696" w:type="pct"/>
            <w:tcBorders>
              <w:tl2br w:val="nil"/>
              <w:tr2bl w:val="nil"/>
            </w:tcBorders>
            <w:vAlign w:val="center"/>
          </w:tcPr>
          <w:p w14:paraId="520DF6CF">
            <w:pPr>
              <w:spacing w:line="240" w:lineRule="auto"/>
              <w:ind w:firstLine="0" w:firstLineChars="0"/>
              <w:jc w:val="center"/>
              <w:rPr>
                <w:color w:val="auto"/>
                <w:sz w:val="21"/>
              </w:rPr>
            </w:pPr>
            <w:r>
              <w:rPr>
                <w:rFonts w:hint="eastAsia"/>
                <w:color w:val="auto"/>
                <w:sz w:val="21"/>
              </w:rPr>
              <w:t xml:space="preserve">1673.051 </w:t>
            </w:r>
          </w:p>
        </w:tc>
        <w:tc>
          <w:tcPr>
            <w:tcW w:w="679" w:type="pct"/>
            <w:vMerge w:val="continue"/>
            <w:tcBorders>
              <w:tl2br w:val="nil"/>
              <w:tr2bl w:val="nil"/>
            </w:tcBorders>
            <w:vAlign w:val="center"/>
          </w:tcPr>
          <w:p w14:paraId="2C4B7292">
            <w:pPr>
              <w:spacing w:line="240" w:lineRule="auto"/>
              <w:ind w:firstLine="0" w:firstLineChars="0"/>
              <w:jc w:val="center"/>
              <w:rPr>
                <w:color w:val="auto"/>
                <w:sz w:val="21"/>
              </w:rPr>
            </w:pPr>
          </w:p>
        </w:tc>
      </w:tr>
      <w:tr w14:paraId="12A93FF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3C694FD">
            <w:pPr>
              <w:spacing w:line="240" w:lineRule="auto"/>
              <w:ind w:firstLine="0" w:firstLineChars="0"/>
              <w:jc w:val="center"/>
              <w:rPr>
                <w:color w:val="auto"/>
                <w:sz w:val="21"/>
              </w:rPr>
            </w:pPr>
          </w:p>
        </w:tc>
        <w:tc>
          <w:tcPr>
            <w:tcW w:w="634" w:type="pct"/>
            <w:tcBorders>
              <w:tl2br w:val="nil"/>
              <w:tr2bl w:val="nil"/>
            </w:tcBorders>
            <w:vAlign w:val="center"/>
          </w:tcPr>
          <w:p w14:paraId="69D03A60">
            <w:pPr>
              <w:spacing w:line="240" w:lineRule="auto"/>
              <w:ind w:firstLine="0" w:firstLineChars="0"/>
              <w:jc w:val="center"/>
              <w:rPr>
                <w:color w:val="auto"/>
                <w:sz w:val="21"/>
              </w:rPr>
            </w:pPr>
          </w:p>
        </w:tc>
        <w:tc>
          <w:tcPr>
            <w:tcW w:w="495" w:type="pct"/>
            <w:vMerge w:val="restart"/>
            <w:tcBorders>
              <w:tl2br w:val="nil"/>
              <w:tr2bl w:val="nil"/>
            </w:tcBorders>
            <w:vAlign w:val="center"/>
          </w:tcPr>
          <w:p w14:paraId="14A9E93B">
            <w:pPr>
              <w:spacing w:line="240" w:lineRule="auto"/>
              <w:ind w:firstLine="0" w:firstLineChars="0"/>
              <w:jc w:val="center"/>
              <w:rPr>
                <w:color w:val="auto"/>
                <w:sz w:val="21"/>
              </w:rPr>
            </w:pPr>
            <w:r>
              <w:rPr>
                <w:rFonts w:hint="eastAsia"/>
                <w:color w:val="auto"/>
                <w:sz w:val="21"/>
              </w:rPr>
              <w:t>废气</w:t>
            </w:r>
          </w:p>
        </w:tc>
        <w:tc>
          <w:tcPr>
            <w:tcW w:w="480" w:type="pct"/>
            <w:vMerge w:val="restart"/>
            <w:tcBorders>
              <w:tl2br w:val="nil"/>
              <w:tr2bl w:val="nil"/>
            </w:tcBorders>
            <w:vAlign w:val="center"/>
          </w:tcPr>
          <w:p w14:paraId="2758CF39">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G4-1</w:t>
            </w:r>
          </w:p>
        </w:tc>
        <w:tc>
          <w:tcPr>
            <w:tcW w:w="652" w:type="pct"/>
            <w:vMerge w:val="restart"/>
            <w:tcBorders>
              <w:tl2br w:val="nil"/>
              <w:tr2bl w:val="nil"/>
            </w:tcBorders>
            <w:vAlign w:val="center"/>
          </w:tcPr>
          <w:p w14:paraId="7C233FA5">
            <w:pPr>
              <w:widowControl/>
              <w:spacing w:line="240" w:lineRule="auto"/>
              <w:ind w:firstLine="0" w:firstLineChars="0"/>
              <w:jc w:val="center"/>
              <w:textAlignment w:val="center"/>
              <w:rPr>
                <w:color w:val="auto"/>
                <w:sz w:val="21"/>
              </w:rPr>
            </w:pPr>
            <w:r>
              <w:rPr>
                <w:rFonts w:hint="eastAsia" w:ascii="宋体" w:hAnsi="宋体" w:cs="宋体"/>
                <w:color w:val="auto"/>
                <w:kern w:val="0"/>
                <w:sz w:val="22"/>
                <w:szCs w:val="22"/>
                <w:lang w:bidi="ar"/>
              </w:rPr>
              <w:t>反应废气</w:t>
            </w:r>
          </w:p>
        </w:tc>
        <w:tc>
          <w:tcPr>
            <w:tcW w:w="623" w:type="pct"/>
            <w:tcBorders>
              <w:tl2br w:val="nil"/>
              <w:tr2bl w:val="nil"/>
            </w:tcBorders>
            <w:vAlign w:val="center"/>
          </w:tcPr>
          <w:p w14:paraId="1244792F">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氨气</w:t>
            </w:r>
          </w:p>
        </w:tc>
        <w:tc>
          <w:tcPr>
            <w:tcW w:w="696" w:type="pct"/>
            <w:tcBorders>
              <w:tl2br w:val="nil"/>
              <w:tr2bl w:val="nil"/>
            </w:tcBorders>
            <w:vAlign w:val="center"/>
          </w:tcPr>
          <w:p w14:paraId="55953BBB">
            <w:pPr>
              <w:spacing w:line="240" w:lineRule="auto"/>
              <w:ind w:firstLine="0" w:firstLineChars="0"/>
              <w:jc w:val="center"/>
              <w:rPr>
                <w:color w:val="auto"/>
                <w:sz w:val="21"/>
              </w:rPr>
            </w:pPr>
            <w:r>
              <w:rPr>
                <w:rFonts w:hint="eastAsia"/>
                <w:color w:val="auto"/>
                <w:sz w:val="21"/>
              </w:rPr>
              <w:t xml:space="preserve">1.182 </w:t>
            </w:r>
          </w:p>
        </w:tc>
        <w:tc>
          <w:tcPr>
            <w:tcW w:w="679" w:type="pct"/>
            <w:vMerge w:val="restart"/>
            <w:tcBorders>
              <w:tl2br w:val="nil"/>
              <w:tr2bl w:val="nil"/>
            </w:tcBorders>
            <w:vAlign w:val="center"/>
          </w:tcPr>
          <w:p w14:paraId="5E0DB9B1">
            <w:pPr>
              <w:spacing w:line="240" w:lineRule="auto"/>
              <w:ind w:firstLine="0" w:firstLineChars="0"/>
              <w:jc w:val="center"/>
              <w:rPr>
                <w:color w:val="auto"/>
                <w:sz w:val="21"/>
              </w:rPr>
            </w:pPr>
            <w:r>
              <w:rPr>
                <w:rFonts w:hint="eastAsia"/>
                <w:color w:val="auto"/>
                <w:sz w:val="21"/>
              </w:rPr>
              <w:t>2.433</w:t>
            </w:r>
          </w:p>
        </w:tc>
      </w:tr>
      <w:tr w14:paraId="3DAF415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DC5CA3E">
            <w:pPr>
              <w:spacing w:line="240" w:lineRule="auto"/>
              <w:ind w:firstLine="0" w:firstLineChars="0"/>
              <w:jc w:val="center"/>
              <w:rPr>
                <w:color w:val="auto"/>
                <w:sz w:val="21"/>
              </w:rPr>
            </w:pPr>
          </w:p>
        </w:tc>
        <w:tc>
          <w:tcPr>
            <w:tcW w:w="634" w:type="pct"/>
            <w:tcBorders>
              <w:tl2br w:val="nil"/>
              <w:tr2bl w:val="nil"/>
            </w:tcBorders>
            <w:vAlign w:val="center"/>
          </w:tcPr>
          <w:p w14:paraId="3F8478C3">
            <w:pPr>
              <w:spacing w:line="240" w:lineRule="auto"/>
              <w:ind w:firstLine="0" w:firstLineChars="0"/>
              <w:jc w:val="center"/>
              <w:rPr>
                <w:color w:val="auto"/>
                <w:sz w:val="21"/>
              </w:rPr>
            </w:pPr>
          </w:p>
        </w:tc>
        <w:tc>
          <w:tcPr>
            <w:tcW w:w="495" w:type="pct"/>
            <w:vMerge w:val="continue"/>
            <w:tcBorders>
              <w:tl2br w:val="nil"/>
              <w:tr2bl w:val="nil"/>
            </w:tcBorders>
            <w:vAlign w:val="center"/>
          </w:tcPr>
          <w:p w14:paraId="31B383B8">
            <w:pPr>
              <w:spacing w:line="240" w:lineRule="auto"/>
              <w:ind w:firstLine="0" w:firstLineChars="0"/>
              <w:jc w:val="center"/>
              <w:rPr>
                <w:color w:val="auto"/>
                <w:sz w:val="21"/>
              </w:rPr>
            </w:pPr>
          </w:p>
        </w:tc>
        <w:tc>
          <w:tcPr>
            <w:tcW w:w="480" w:type="pct"/>
            <w:vMerge w:val="continue"/>
            <w:tcBorders>
              <w:tl2br w:val="nil"/>
              <w:tr2bl w:val="nil"/>
            </w:tcBorders>
            <w:vAlign w:val="center"/>
          </w:tcPr>
          <w:p w14:paraId="5D5DF050">
            <w:pPr>
              <w:widowControl/>
              <w:spacing w:line="240" w:lineRule="auto"/>
              <w:ind w:firstLine="0" w:firstLineChars="0"/>
              <w:jc w:val="center"/>
              <w:textAlignment w:val="center"/>
              <w:rPr>
                <w:rFonts w:cs="宋体"/>
                <w:color w:val="auto"/>
                <w:kern w:val="0"/>
                <w:sz w:val="21"/>
                <w:szCs w:val="22"/>
                <w:lang w:bidi="ar"/>
              </w:rPr>
            </w:pPr>
          </w:p>
        </w:tc>
        <w:tc>
          <w:tcPr>
            <w:tcW w:w="652" w:type="pct"/>
            <w:vMerge w:val="continue"/>
            <w:tcBorders>
              <w:tl2br w:val="nil"/>
              <w:tr2bl w:val="nil"/>
            </w:tcBorders>
            <w:vAlign w:val="center"/>
          </w:tcPr>
          <w:p w14:paraId="4A48275D">
            <w:pPr>
              <w:widowControl/>
              <w:spacing w:line="240" w:lineRule="auto"/>
              <w:ind w:firstLine="0" w:firstLineChars="0"/>
              <w:jc w:val="center"/>
              <w:textAlignment w:val="center"/>
              <w:rPr>
                <w:rFonts w:hint="eastAsia" w:ascii="宋体" w:hAnsi="宋体" w:cs="宋体"/>
                <w:color w:val="auto"/>
                <w:kern w:val="0"/>
                <w:sz w:val="22"/>
                <w:szCs w:val="22"/>
                <w:lang w:bidi="ar"/>
              </w:rPr>
            </w:pPr>
          </w:p>
        </w:tc>
        <w:tc>
          <w:tcPr>
            <w:tcW w:w="623" w:type="pct"/>
            <w:tcBorders>
              <w:tl2br w:val="nil"/>
              <w:tr2bl w:val="nil"/>
            </w:tcBorders>
            <w:vAlign w:val="center"/>
          </w:tcPr>
          <w:p w14:paraId="48D0CAF9">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水</w:t>
            </w:r>
          </w:p>
        </w:tc>
        <w:tc>
          <w:tcPr>
            <w:tcW w:w="696" w:type="pct"/>
            <w:tcBorders>
              <w:tl2br w:val="nil"/>
              <w:tr2bl w:val="nil"/>
            </w:tcBorders>
            <w:vAlign w:val="center"/>
          </w:tcPr>
          <w:p w14:paraId="40C29A13">
            <w:pPr>
              <w:spacing w:line="240" w:lineRule="auto"/>
              <w:ind w:firstLine="0" w:firstLineChars="0"/>
              <w:jc w:val="center"/>
              <w:rPr>
                <w:color w:val="auto"/>
                <w:sz w:val="21"/>
              </w:rPr>
            </w:pPr>
            <w:r>
              <w:rPr>
                <w:rFonts w:hint="eastAsia"/>
                <w:color w:val="auto"/>
                <w:sz w:val="21"/>
              </w:rPr>
              <w:t xml:space="preserve">1.251 </w:t>
            </w:r>
          </w:p>
        </w:tc>
        <w:tc>
          <w:tcPr>
            <w:tcW w:w="679" w:type="pct"/>
            <w:vMerge w:val="continue"/>
            <w:tcBorders>
              <w:tl2br w:val="nil"/>
              <w:tr2bl w:val="nil"/>
            </w:tcBorders>
            <w:vAlign w:val="center"/>
          </w:tcPr>
          <w:p w14:paraId="3BE58C70">
            <w:pPr>
              <w:spacing w:line="240" w:lineRule="auto"/>
              <w:ind w:firstLine="0" w:firstLineChars="0"/>
              <w:jc w:val="center"/>
              <w:rPr>
                <w:color w:val="auto"/>
                <w:sz w:val="21"/>
              </w:rPr>
            </w:pPr>
          </w:p>
        </w:tc>
      </w:tr>
      <w:tr w14:paraId="616AC51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65FBABE">
            <w:pPr>
              <w:spacing w:line="240" w:lineRule="auto"/>
              <w:ind w:firstLine="0" w:firstLineChars="0"/>
              <w:jc w:val="center"/>
              <w:rPr>
                <w:color w:val="auto"/>
                <w:sz w:val="21"/>
              </w:rPr>
            </w:pPr>
          </w:p>
        </w:tc>
        <w:tc>
          <w:tcPr>
            <w:tcW w:w="634" w:type="pct"/>
            <w:tcBorders>
              <w:tl2br w:val="nil"/>
              <w:tr2bl w:val="nil"/>
            </w:tcBorders>
            <w:vAlign w:val="center"/>
          </w:tcPr>
          <w:p w14:paraId="5D29C686">
            <w:pPr>
              <w:spacing w:line="240" w:lineRule="auto"/>
              <w:ind w:firstLine="0" w:firstLineChars="0"/>
              <w:jc w:val="center"/>
              <w:rPr>
                <w:color w:val="auto"/>
                <w:sz w:val="21"/>
              </w:rPr>
            </w:pPr>
          </w:p>
        </w:tc>
        <w:tc>
          <w:tcPr>
            <w:tcW w:w="495" w:type="pct"/>
            <w:vMerge w:val="continue"/>
            <w:tcBorders>
              <w:tl2br w:val="nil"/>
              <w:tr2bl w:val="nil"/>
            </w:tcBorders>
            <w:vAlign w:val="center"/>
          </w:tcPr>
          <w:p w14:paraId="47CB9795">
            <w:pPr>
              <w:spacing w:line="240" w:lineRule="auto"/>
              <w:ind w:firstLine="0" w:firstLineChars="0"/>
              <w:jc w:val="center"/>
              <w:rPr>
                <w:color w:val="auto"/>
                <w:sz w:val="21"/>
              </w:rPr>
            </w:pPr>
          </w:p>
        </w:tc>
        <w:tc>
          <w:tcPr>
            <w:tcW w:w="480" w:type="pct"/>
            <w:tcBorders>
              <w:tl2br w:val="nil"/>
              <w:tr2bl w:val="nil"/>
            </w:tcBorders>
            <w:vAlign w:val="center"/>
          </w:tcPr>
          <w:p w14:paraId="53CE3DC9">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G4-2</w:t>
            </w:r>
          </w:p>
        </w:tc>
        <w:tc>
          <w:tcPr>
            <w:tcW w:w="652" w:type="pct"/>
            <w:tcBorders>
              <w:tl2br w:val="nil"/>
              <w:tr2bl w:val="nil"/>
            </w:tcBorders>
            <w:vAlign w:val="center"/>
          </w:tcPr>
          <w:p w14:paraId="20960FEC">
            <w:pPr>
              <w:widowControl/>
              <w:spacing w:line="240" w:lineRule="auto"/>
              <w:ind w:firstLine="0" w:firstLineChars="0"/>
              <w:jc w:val="center"/>
              <w:textAlignment w:val="center"/>
              <w:rPr>
                <w:color w:val="auto"/>
                <w:sz w:val="21"/>
              </w:rPr>
            </w:pPr>
            <w:r>
              <w:rPr>
                <w:rFonts w:hint="eastAsia" w:ascii="宋体" w:hAnsi="宋体" w:cs="宋体"/>
                <w:color w:val="auto"/>
                <w:kern w:val="0"/>
                <w:sz w:val="22"/>
                <w:szCs w:val="22"/>
                <w:lang w:bidi="ar"/>
              </w:rPr>
              <w:t>吸收废气</w:t>
            </w:r>
          </w:p>
        </w:tc>
        <w:tc>
          <w:tcPr>
            <w:tcW w:w="623" w:type="pct"/>
            <w:tcBorders>
              <w:tl2br w:val="nil"/>
              <w:tr2bl w:val="nil"/>
            </w:tcBorders>
            <w:vAlign w:val="center"/>
          </w:tcPr>
          <w:p w14:paraId="272780A8">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氨气</w:t>
            </w:r>
          </w:p>
        </w:tc>
        <w:tc>
          <w:tcPr>
            <w:tcW w:w="696" w:type="pct"/>
            <w:tcBorders>
              <w:tl2br w:val="nil"/>
              <w:tr2bl w:val="nil"/>
            </w:tcBorders>
            <w:vAlign w:val="center"/>
          </w:tcPr>
          <w:p w14:paraId="15012C9D">
            <w:pPr>
              <w:spacing w:line="240" w:lineRule="auto"/>
              <w:ind w:firstLine="0" w:firstLineChars="0"/>
              <w:jc w:val="center"/>
              <w:rPr>
                <w:color w:val="auto"/>
                <w:sz w:val="21"/>
              </w:rPr>
            </w:pPr>
            <w:r>
              <w:rPr>
                <w:rFonts w:hint="eastAsia"/>
                <w:color w:val="auto"/>
                <w:sz w:val="21"/>
              </w:rPr>
              <w:t xml:space="preserve">5.849 </w:t>
            </w:r>
          </w:p>
        </w:tc>
        <w:tc>
          <w:tcPr>
            <w:tcW w:w="679" w:type="pct"/>
            <w:tcBorders>
              <w:tl2br w:val="nil"/>
              <w:tr2bl w:val="nil"/>
            </w:tcBorders>
            <w:vAlign w:val="center"/>
          </w:tcPr>
          <w:p w14:paraId="1F000C0C">
            <w:pPr>
              <w:spacing w:line="240" w:lineRule="auto"/>
              <w:ind w:firstLine="0" w:firstLineChars="0"/>
              <w:jc w:val="center"/>
              <w:rPr>
                <w:color w:val="auto"/>
                <w:sz w:val="21"/>
              </w:rPr>
            </w:pPr>
            <w:r>
              <w:rPr>
                <w:rFonts w:hint="eastAsia"/>
                <w:color w:val="auto"/>
                <w:sz w:val="21"/>
              </w:rPr>
              <w:t>5.849</w:t>
            </w:r>
          </w:p>
        </w:tc>
      </w:tr>
      <w:tr w14:paraId="4DDC8C0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ED3E4E3">
            <w:pPr>
              <w:spacing w:line="240" w:lineRule="auto"/>
              <w:ind w:firstLine="0" w:firstLineChars="0"/>
              <w:jc w:val="center"/>
              <w:rPr>
                <w:color w:val="auto"/>
                <w:sz w:val="21"/>
              </w:rPr>
            </w:pPr>
          </w:p>
        </w:tc>
        <w:tc>
          <w:tcPr>
            <w:tcW w:w="634" w:type="pct"/>
            <w:tcBorders>
              <w:tl2br w:val="nil"/>
              <w:tr2bl w:val="nil"/>
            </w:tcBorders>
            <w:vAlign w:val="center"/>
          </w:tcPr>
          <w:p w14:paraId="0C4C78DD">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05C67BFC">
            <w:pPr>
              <w:spacing w:line="240" w:lineRule="auto"/>
              <w:ind w:firstLine="0" w:firstLineChars="0"/>
              <w:jc w:val="center"/>
              <w:rPr>
                <w:color w:val="auto"/>
                <w:sz w:val="21"/>
              </w:rPr>
            </w:pPr>
            <w:r>
              <w:rPr>
                <w:rFonts w:hint="eastAsia"/>
                <w:color w:val="auto"/>
                <w:sz w:val="21"/>
              </w:rPr>
              <w:t>回收稀氨水</w:t>
            </w:r>
          </w:p>
        </w:tc>
        <w:tc>
          <w:tcPr>
            <w:tcW w:w="652" w:type="pct"/>
            <w:tcBorders>
              <w:tl2br w:val="nil"/>
              <w:tr2bl w:val="nil"/>
            </w:tcBorders>
            <w:vAlign w:val="center"/>
          </w:tcPr>
          <w:p w14:paraId="07D29C12">
            <w:pPr>
              <w:spacing w:line="240" w:lineRule="auto"/>
              <w:ind w:firstLine="0" w:firstLineChars="0"/>
              <w:jc w:val="center"/>
              <w:rPr>
                <w:color w:val="auto"/>
                <w:sz w:val="21"/>
              </w:rPr>
            </w:pPr>
            <w:r>
              <w:rPr>
                <w:rFonts w:hint="eastAsia"/>
                <w:color w:val="auto"/>
                <w:sz w:val="21"/>
              </w:rPr>
              <w:t>/</w:t>
            </w:r>
          </w:p>
        </w:tc>
        <w:tc>
          <w:tcPr>
            <w:tcW w:w="623" w:type="pct"/>
            <w:tcBorders>
              <w:tl2br w:val="nil"/>
              <w:tr2bl w:val="nil"/>
            </w:tcBorders>
            <w:vAlign w:val="center"/>
          </w:tcPr>
          <w:p w14:paraId="723CD3FB">
            <w:pPr>
              <w:spacing w:line="240" w:lineRule="auto"/>
              <w:ind w:firstLine="0" w:firstLineChars="0"/>
              <w:jc w:val="center"/>
              <w:rPr>
                <w:color w:val="auto"/>
                <w:sz w:val="21"/>
              </w:rPr>
            </w:pPr>
            <w:r>
              <w:rPr>
                <w:rFonts w:hint="eastAsia"/>
                <w:color w:val="auto"/>
                <w:sz w:val="21"/>
              </w:rPr>
              <w:t>氨</w:t>
            </w:r>
          </w:p>
        </w:tc>
        <w:tc>
          <w:tcPr>
            <w:tcW w:w="696" w:type="pct"/>
            <w:tcBorders>
              <w:tl2br w:val="nil"/>
              <w:tr2bl w:val="nil"/>
            </w:tcBorders>
            <w:vAlign w:val="center"/>
          </w:tcPr>
          <w:p w14:paraId="5645C79B">
            <w:pPr>
              <w:spacing w:line="240" w:lineRule="auto"/>
              <w:ind w:firstLine="0" w:firstLineChars="0"/>
              <w:jc w:val="center"/>
              <w:rPr>
                <w:color w:val="auto"/>
                <w:sz w:val="21"/>
              </w:rPr>
            </w:pPr>
            <w:r>
              <w:rPr>
                <w:rFonts w:hint="eastAsia"/>
                <w:color w:val="auto"/>
                <w:sz w:val="21"/>
              </w:rPr>
              <w:t>111.126</w:t>
            </w:r>
          </w:p>
        </w:tc>
        <w:tc>
          <w:tcPr>
            <w:tcW w:w="679" w:type="pct"/>
            <w:vMerge w:val="restart"/>
            <w:tcBorders>
              <w:tl2br w:val="nil"/>
              <w:tr2bl w:val="nil"/>
            </w:tcBorders>
            <w:vAlign w:val="center"/>
          </w:tcPr>
          <w:p w14:paraId="2D4522E2">
            <w:pPr>
              <w:spacing w:line="240" w:lineRule="auto"/>
              <w:ind w:firstLine="0" w:firstLineChars="0"/>
              <w:jc w:val="center"/>
              <w:rPr>
                <w:color w:val="auto"/>
                <w:sz w:val="21"/>
              </w:rPr>
            </w:pPr>
            <w:r>
              <w:rPr>
                <w:rFonts w:hint="eastAsia"/>
                <w:color w:val="auto"/>
                <w:sz w:val="21"/>
              </w:rPr>
              <w:t>1389.070</w:t>
            </w:r>
          </w:p>
        </w:tc>
      </w:tr>
      <w:tr w14:paraId="1ED5DE6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6937361">
            <w:pPr>
              <w:spacing w:line="240" w:lineRule="auto"/>
              <w:ind w:firstLine="0" w:firstLineChars="0"/>
              <w:jc w:val="center"/>
              <w:rPr>
                <w:color w:val="auto"/>
                <w:sz w:val="21"/>
              </w:rPr>
            </w:pPr>
          </w:p>
        </w:tc>
        <w:tc>
          <w:tcPr>
            <w:tcW w:w="634" w:type="pct"/>
            <w:tcBorders>
              <w:tl2br w:val="nil"/>
              <w:tr2bl w:val="nil"/>
            </w:tcBorders>
            <w:vAlign w:val="center"/>
          </w:tcPr>
          <w:p w14:paraId="3E06178C">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0F5D2CE5">
            <w:pPr>
              <w:spacing w:line="240" w:lineRule="auto"/>
              <w:ind w:firstLine="0" w:firstLineChars="0"/>
              <w:jc w:val="center"/>
              <w:rPr>
                <w:color w:val="auto"/>
                <w:sz w:val="21"/>
              </w:rPr>
            </w:pPr>
          </w:p>
        </w:tc>
        <w:tc>
          <w:tcPr>
            <w:tcW w:w="652" w:type="pct"/>
            <w:tcBorders>
              <w:tl2br w:val="nil"/>
              <w:tr2bl w:val="nil"/>
            </w:tcBorders>
            <w:vAlign w:val="center"/>
          </w:tcPr>
          <w:p w14:paraId="6DE5EC62">
            <w:pPr>
              <w:spacing w:line="240" w:lineRule="auto"/>
              <w:ind w:firstLine="0" w:firstLineChars="0"/>
              <w:jc w:val="center"/>
              <w:rPr>
                <w:color w:val="auto"/>
                <w:sz w:val="21"/>
              </w:rPr>
            </w:pPr>
            <w:r>
              <w:rPr>
                <w:rFonts w:hint="eastAsia"/>
                <w:color w:val="auto"/>
                <w:sz w:val="21"/>
              </w:rPr>
              <w:t>/</w:t>
            </w:r>
          </w:p>
        </w:tc>
        <w:tc>
          <w:tcPr>
            <w:tcW w:w="623" w:type="pct"/>
            <w:tcBorders>
              <w:tl2br w:val="nil"/>
              <w:tr2bl w:val="nil"/>
            </w:tcBorders>
            <w:vAlign w:val="center"/>
          </w:tcPr>
          <w:p w14:paraId="436A59A4">
            <w:pPr>
              <w:spacing w:line="240" w:lineRule="auto"/>
              <w:ind w:firstLine="0" w:firstLineChars="0"/>
              <w:jc w:val="center"/>
              <w:rPr>
                <w:color w:val="auto"/>
                <w:sz w:val="21"/>
              </w:rPr>
            </w:pPr>
            <w:r>
              <w:rPr>
                <w:rFonts w:hint="eastAsia"/>
                <w:color w:val="auto"/>
                <w:sz w:val="21"/>
              </w:rPr>
              <w:t>水</w:t>
            </w:r>
          </w:p>
        </w:tc>
        <w:tc>
          <w:tcPr>
            <w:tcW w:w="696" w:type="pct"/>
            <w:tcBorders>
              <w:tl2br w:val="nil"/>
              <w:tr2bl w:val="nil"/>
            </w:tcBorders>
            <w:vAlign w:val="center"/>
          </w:tcPr>
          <w:p w14:paraId="2889E005">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1277.945</w:t>
            </w:r>
          </w:p>
        </w:tc>
        <w:tc>
          <w:tcPr>
            <w:tcW w:w="679" w:type="pct"/>
            <w:vMerge w:val="continue"/>
            <w:tcBorders>
              <w:tl2br w:val="nil"/>
              <w:tr2bl w:val="nil"/>
            </w:tcBorders>
            <w:vAlign w:val="center"/>
          </w:tcPr>
          <w:p w14:paraId="2D870F7D">
            <w:pPr>
              <w:widowControl/>
              <w:spacing w:line="240" w:lineRule="auto"/>
              <w:ind w:firstLine="0" w:firstLineChars="0"/>
              <w:jc w:val="center"/>
              <w:textAlignment w:val="center"/>
              <w:rPr>
                <w:rFonts w:cs="宋体"/>
                <w:color w:val="auto"/>
                <w:kern w:val="0"/>
                <w:sz w:val="21"/>
                <w:szCs w:val="22"/>
                <w:lang w:bidi="ar"/>
              </w:rPr>
            </w:pPr>
          </w:p>
        </w:tc>
      </w:tr>
      <w:tr w14:paraId="0F69324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7F717C5">
            <w:pPr>
              <w:spacing w:line="240" w:lineRule="auto"/>
              <w:ind w:firstLine="0" w:firstLineChars="0"/>
              <w:jc w:val="center"/>
              <w:rPr>
                <w:color w:val="auto"/>
                <w:sz w:val="21"/>
              </w:rPr>
            </w:pPr>
            <w:r>
              <w:rPr>
                <w:rFonts w:hint="eastAsia"/>
                <w:color w:val="auto"/>
                <w:sz w:val="21"/>
              </w:rPr>
              <w:t>合计</w:t>
            </w:r>
          </w:p>
        </w:tc>
        <w:tc>
          <w:tcPr>
            <w:tcW w:w="634" w:type="pct"/>
            <w:tcBorders>
              <w:tl2br w:val="nil"/>
              <w:tr2bl w:val="nil"/>
            </w:tcBorders>
            <w:vAlign w:val="center"/>
          </w:tcPr>
          <w:p w14:paraId="33233D43">
            <w:pPr>
              <w:spacing w:line="240" w:lineRule="auto"/>
              <w:ind w:firstLine="0" w:firstLineChars="0"/>
              <w:jc w:val="center"/>
              <w:rPr>
                <w:color w:val="auto"/>
                <w:sz w:val="21"/>
              </w:rPr>
            </w:pPr>
            <w:r>
              <w:rPr>
                <w:rFonts w:hint="eastAsia"/>
                <w:color w:val="auto"/>
                <w:sz w:val="21"/>
              </w:rPr>
              <w:t>3600.590</w:t>
            </w:r>
          </w:p>
        </w:tc>
        <w:tc>
          <w:tcPr>
            <w:tcW w:w="2948" w:type="pct"/>
            <w:gridSpan w:val="5"/>
            <w:tcBorders>
              <w:tl2br w:val="nil"/>
              <w:tr2bl w:val="nil"/>
            </w:tcBorders>
            <w:vAlign w:val="center"/>
          </w:tcPr>
          <w:p w14:paraId="45748B3D">
            <w:pPr>
              <w:spacing w:line="240" w:lineRule="auto"/>
              <w:ind w:firstLine="0" w:firstLineChars="0"/>
              <w:jc w:val="center"/>
              <w:rPr>
                <w:color w:val="auto"/>
                <w:sz w:val="21"/>
              </w:rPr>
            </w:pPr>
            <w:r>
              <w:rPr>
                <w:rFonts w:hint="eastAsia"/>
                <w:color w:val="auto"/>
                <w:sz w:val="21"/>
              </w:rPr>
              <w:t>合计</w:t>
            </w:r>
          </w:p>
        </w:tc>
        <w:tc>
          <w:tcPr>
            <w:tcW w:w="679" w:type="pct"/>
            <w:tcBorders>
              <w:tl2br w:val="nil"/>
              <w:tr2bl w:val="nil"/>
            </w:tcBorders>
            <w:vAlign w:val="center"/>
          </w:tcPr>
          <w:p w14:paraId="219A43CB">
            <w:pPr>
              <w:spacing w:line="240" w:lineRule="auto"/>
              <w:ind w:firstLine="0" w:firstLineChars="0"/>
              <w:jc w:val="center"/>
              <w:rPr>
                <w:color w:val="auto"/>
                <w:sz w:val="21"/>
              </w:rPr>
            </w:pPr>
            <w:r>
              <w:rPr>
                <w:rFonts w:hint="eastAsia"/>
                <w:color w:val="auto"/>
                <w:sz w:val="21"/>
              </w:rPr>
              <w:t>3600.590</w:t>
            </w:r>
          </w:p>
        </w:tc>
      </w:tr>
    </w:tbl>
    <w:p w14:paraId="270C1D10">
      <w:pPr>
        <w:ind w:firstLine="480"/>
        <w:rPr>
          <w:color w:val="auto"/>
        </w:rPr>
      </w:pPr>
    </w:p>
    <w:p w14:paraId="6F82F903">
      <w:pPr>
        <w:pStyle w:val="49"/>
        <w:rPr>
          <w:color w:val="auto"/>
        </w:rPr>
      </w:pPr>
    </w:p>
    <w:p w14:paraId="77FBE9C6">
      <w:pPr>
        <w:pStyle w:val="49"/>
        <w:rPr>
          <w:color w:val="auto"/>
        </w:rPr>
      </w:pPr>
      <w:r>
        <w:rPr>
          <w:rFonts w:hint="eastAsia"/>
          <w:color w:val="auto"/>
        </w:rPr>
        <w:t>图4.4-12  硫代硫酸钙生产物料平衡图（t/a）</w:t>
      </w:r>
    </w:p>
    <w:p w14:paraId="4E74B010">
      <w:pPr>
        <w:pStyle w:val="49"/>
        <w:rPr>
          <w:color w:val="auto"/>
        </w:rPr>
      </w:pPr>
    </w:p>
    <w:p w14:paraId="26769C40">
      <w:pPr>
        <w:pStyle w:val="6"/>
        <w:spacing w:before="156"/>
        <w:ind w:firstLine="482"/>
        <w:rPr>
          <w:color w:val="auto"/>
        </w:rPr>
      </w:pPr>
      <w:r>
        <w:rPr>
          <w:rFonts w:hint="eastAsia"/>
          <w:color w:val="auto"/>
        </w:rPr>
        <w:t>1.5硫代硫酸镁生产物料平衡</w:t>
      </w:r>
    </w:p>
    <w:p w14:paraId="79475AD5">
      <w:pPr>
        <w:ind w:firstLine="480"/>
        <w:rPr>
          <w:rFonts w:hint="eastAsia" w:hAnsi="宋体"/>
          <w:color w:val="auto"/>
        </w:rPr>
      </w:pPr>
      <w:r>
        <w:rPr>
          <w:rFonts w:hint="eastAsia" w:hAnsi="宋体"/>
          <w:color w:val="auto"/>
        </w:rPr>
        <w:t>硫代硫酸镁年生产时间为390h，单批次生产6h，全年生产65批次。硫代硫酸镁</w:t>
      </w:r>
      <w:r>
        <w:rPr>
          <w:rFonts w:hAnsi="宋体"/>
          <w:color w:val="auto"/>
        </w:rPr>
        <w:t>单批次、一年投入产出统计分别见表4.</w:t>
      </w:r>
      <w:r>
        <w:rPr>
          <w:rFonts w:hint="eastAsia" w:hAnsi="宋体"/>
          <w:color w:val="auto"/>
        </w:rPr>
        <w:t>4</w:t>
      </w:r>
      <w:r>
        <w:rPr>
          <w:rFonts w:hAnsi="宋体"/>
          <w:color w:val="auto"/>
        </w:rPr>
        <w:t>-</w:t>
      </w:r>
      <w:r>
        <w:rPr>
          <w:rFonts w:hint="eastAsia" w:hAnsi="宋体"/>
          <w:color w:val="auto"/>
        </w:rPr>
        <w:t>15</w:t>
      </w:r>
      <w:r>
        <w:rPr>
          <w:rFonts w:hAnsi="宋体"/>
          <w:color w:val="auto"/>
        </w:rPr>
        <w:t>、4.</w:t>
      </w:r>
      <w:r>
        <w:rPr>
          <w:rFonts w:hint="eastAsia" w:hAnsi="宋体"/>
          <w:color w:val="auto"/>
        </w:rPr>
        <w:t>4</w:t>
      </w:r>
      <w:r>
        <w:rPr>
          <w:rFonts w:hAnsi="宋体"/>
          <w:color w:val="auto"/>
        </w:rPr>
        <w:t>-</w:t>
      </w:r>
      <w:r>
        <w:rPr>
          <w:rFonts w:hint="eastAsia" w:hAnsi="宋体"/>
          <w:color w:val="auto"/>
        </w:rPr>
        <w:t>16</w:t>
      </w:r>
      <w:r>
        <w:rPr>
          <w:rFonts w:hAnsi="宋体"/>
          <w:color w:val="auto"/>
        </w:rPr>
        <w:t>。物料平衡图见图4.</w:t>
      </w:r>
      <w:r>
        <w:rPr>
          <w:rFonts w:hint="eastAsia" w:hAnsi="宋体"/>
          <w:color w:val="auto"/>
        </w:rPr>
        <w:t>4-13</w:t>
      </w:r>
      <w:r>
        <w:rPr>
          <w:rFonts w:hAnsi="宋体"/>
          <w:color w:val="auto"/>
        </w:rPr>
        <w:t>。</w:t>
      </w:r>
    </w:p>
    <w:p w14:paraId="0F0AB94A">
      <w:pPr>
        <w:spacing w:line="240" w:lineRule="auto"/>
        <w:ind w:firstLine="0" w:firstLineChars="0"/>
        <w:jc w:val="center"/>
        <w:rPr>
          <w:b/>
          <w:bCs/>
          <w:color w:val="auto"/>
        </w:rPr>
      </w:pPr>
      <w:r>
        <w:rPr>
          <w:rFonts w:hint="eastAsia"/>
          <w:b/>
          <w:bCs/>
          <w:color w:val="auto"/>
        </w:rPr>
        <w:t>表4.4-15  硫代硫酸镁生产物料投入--产出表</w:t>
      </w:r>
      <w:r>
        <w:rPr>
          <w:b/>
          <w:color w:val="auto"/>
        </w:rPr>
        <w:t>（kg/（批·釜））</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45"/>
        <w:gridCol w:w="1242"/>
        <w:gridCol w:w="970"/>
        <w:gridCol w:w="940"/>
        <w:gridCol w:w="1279"/>
        <w:gridCol w:w="1409"/>
        <w:gridCol w:w="2333"/>
        <w:gridCol w:w="236"/>
      </w:tblGrid>
      <w:tr w14:paraId="462DDA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47A79F59">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3D8E0900">
            <w:pPr>
              <w:spacing w:line="240" w:lineRule="auto"/>
              <w:ind w:firstLine="0" w:firstLineChars="0"/>
              <w:jc w:val="center"/>
              <w:rPr>
                <w:b/>
                <w:bCs/>
                <w:color w:val="auto"/>
                <w:sz w:val="21"/>
              </w:rPr>
            </w:pPr>
            <w:r>
              <w:rPr>
                <w:rFonts w:hint="eastAsia"/>
                <w:b/>
                <w:bCs/>
                <w:color w:val="auto"/>
                <w:sz w:val="21"/>
              </w:rPr>
              <w:t>产出</w:t>
            </w:r>
          </w:p>
        </w:tc>
      </w:tr>
      <w:tr w14:paraId="6B631AF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276E307">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033FF4F5">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42B4A7AC">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5A0B3B1C">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370" w:type="pct"/>
            <w:gridSpan w:val="2"/>
            <w:tcBorders>
              <w:tl2br w:val="nil"/>
              <w:tr2bl w:val="nil"/>
            </w:tcBorders>
            <w:vAlign w:val="center"/>
          </w:tcPr>
          <w:p w14:paraId="57F1ABB4">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282" w:type="pct"/>
            <w:gridSpan w:val="2"/>
            <w:tcBorders>
              <w:tl2br w:val="nil"/>
              <w:tr2bl w:val="nil"/>
            </w:tcBorders>
            <w:vAlign w:val="center"/>
          </w:tcPr>
          <w:p w14:paraId="2B2F363F">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5CC30A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8550D21">
            <w:pPr>
              <w:spacing w:line="240" w:lineRule="auto"/>
              <w:ind w:firstLine="0" w:firstLineChars="0"/>
              <w:jc w:val="center"/>
              <w:rPr>
                <w:color w:val="auto"/>
                <w:sz w:val="21"/>
              </w:rPr>
            </w:pPr>
          </w:p>
        </w:tc>
        <w:tc>
          <w:tcPr>
            <w:tcW w:w="1250" w:type="dxa"/>
            <w:tcBorders>
              <w:tl2br w:val="nil"/>
              <w:tr2bl w:val="nil"/>
            </w:tcBorders>
            <w:vAlign w:val="center"/>
          </w:tcPr>
          <w:p w14:paraId="036B432B">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13E38176">
            <w:pPr>
              <w:spacing w:line="240" w:lineRule="auto"/>
              <w:ind w:firstLine="0" w:firstLineChars="0"/>
              <w:jc w:val="center"/>
              <w:rPr>
                <w:color w:val="auto"/>
                <w:sz w:val="21"/>
              </w:rPr>
            </w:pPr>
          </w:p>
        </w:tc>
        <w:tc>
          <w:tcPr>
            <w:tcW w:w="652" w:type="pct"/>
            <w:vMerge w:val="restart"/>
            <w:tcBorders>
              <w:tl2br w:val="nil"/>
              <w:tr2bl w:val="nil"/>
            </w:tcBorders>
            <w:vAlign w:val="center"/>
          </w:tcPr>
          <w:p w14:paraId="6777184B">
            <w:pPr>
              <w:spacing w:line="240" w:lineRule="auto"/>
              <w:ind w:firstLine="0" w:firstLineChars="0"/>
              <w:jc w:val="center"/>
              <w:rPr>
                <w:color w:val="auto"/>
                <w:sz w:val="21"/>
              </w:rPr>
            </w:pPr>
          </w:p>
        </w:tc>
        <w:tc>
          <w:tcPr>
            <w:tcW w:w="717" w:type="pct"/>
            <w:tcBorders>
              <w:tl2br w:val="nil"/>
              <w:tr2bl w:val="nil"/>
            </w:tcBorders>
            <w:vAlign w:val="center"/>
          </w:tcPr>
          <w:p w14:paraId="564B4CEA">
            <w:pPr>
              <w:spacing w:line="240" w:lineRule="auto"/>
              <w:ind w:firstLine="0" w:firstLineChars="0"/>
              <w:jc w:val="center"/>
              <w:rPr>
                <w:color w:val="auto"/>
                <w:sz w:val="21"/>
              </w:rPr>
            </w:pPr>
          </w:p>
        </w:tc>
        <w:tc>
          <w:tcPr>
            <w:tcW w:w="1187" w:type="dxa"/>
            <w:tcBorders>
              <w:tl2br w:val="nil"/>
              <w:tr2bl w:val="nil"/>
            </w:tcBorders>
            <w:vAlign w:val="center"/>
          </w:tcPr>
          <w:p w14:paraId="47147935">
            <w:pPr>
              <w:spacing w:line="240" w:lineRule="auto"/>
              <w:ind w:firstLine="0" w:firstLineChars="0"/>
              <w:jc w:val="center"/>
              <w:rPr>
                <w:color w:val="auto"/>
                <w:sz w:val="21"/>
              </w:rPr>
            </w:pPr>
          </w:p>
        </w:tc>
        <w:tc>
          <w:tcPr>
            <w:tcW w:w="1340" w:type="dxa"/>
            <w:vMerge w:val="restart"/>
            <w:tcBorders>
              <w:tl2br w:val="nil"/>
              <w:tr2bl w:val="nil"/>
            </w:tcBorders>
            <w:vAlign w:val="center"/>
          </w:tcPr>
          <w:p w14:paraId="0982AC05">
            <w:pPr>
              <w:spacing w:line="240" w:lineRule="auto"/>
              <w:ind w:firstLine="0" w:firstLineChars="0"/>
              <w:jc w:val="center"/>
              <w:rPr>
                <w:color w:val="auto"/>
                <w:sz w:val="21"/>
              </w:rPr>
            </w:pPr>
          </w:p>
        </w:tc>
      </w:tr>
      <w:tr w14:paraId="141E437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DF1C735">
            <w:pPr>
              <w:spacing w:line="240" w:lineRule="auto"/>
              <w:ind w:firstLine="0" w:firstLineChars="0"/>
              <w:jc w:val="center"/>
              <w:rPr>
                <w:color w:val="auto"/>
                <w:sz w:val="21"/>
              </w:rPr>
            </w:pPr>
          </w:p>
        </w:tc>
        <w:tc>
          <w:tcPr>
            <w:tcW w:w="1250" w:type="dxa"/>
            <w:tcBorders>
              <w:tl2br w:val="nil"/>
              <w:tr2bl w:val="nil"/>
            </w:tcBorders>
            <w:vAlign w:val="center"/>
          </w:tcPr>
          <w:p w14:paraId="04568EC2">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1AB17262">
            <w:pPr>
              <w:spacing w:line="240" w:lineRule="auto"/>
              <w:ind w:firstLine="0" w:firstLineChars="0"/>
              <w:jc w:val="center"/>
              <w:rPr>
                <w:color w:val="auto"/>
                <w:sz w:val="21"/>
              </w:rPr>
            </w:pPr>
          </w:p>
        </w:tc>
        <w:tc>
          <w:tcPr>
            <w:tcW w:w="652" w:type="pct"/>
            <w:vMerge w:val="continue"/>
            <w:tcBorders>
              <w:tl2br w:val="nil"/>
              <w:tr2bl w:val="nil"/>
            </w:tcBorders>
            <w:vAlign w:val="center"/>
          </w:tcPr>
          <w:p w14:paraId="75E2A315">
            <w:pPr>
              <w:spacing w:line="240" w:lineRule="auto"/>
              <w:ind w:firstLine="0" w:firstLineChars="0"/>
              <w:jc w:val="center"/>
              <w:rPr>
                <w:color w:val="auto"/>
                <w:sz w:val="21"/>
              </w:rPr>
            </w:pPr>
          </w:p>
        </w:tc>
        <w:tc>
          <w:tcPr>
            <w:tcW w:w="717" w:type="pct"/>
            <w:tcBorders>
              <w:tl2br w:val="nil"/>
              <w:tr2bl w:val="nil"/>
            </w:tcBorders>
            <w:vAlign w:val="center"/>
          </w:tcPr>
          <w:p w14:paraId="15149727">
            <w:pPr>
              <w:spacing w:line="240" w:lineRule="auto"/>
              <w:ind w:firstLine="0" w:firstLineChars="0"/>
              <w:jc w:val="center"/>
              <w:rPr>
                <w:color w:val="auto"/>
                <w:sz w:val="21"/>
              </w:rPr>
            </w:pPr>
          </w:p>
        </w:tc>
        <w:tc>
          <w:tcPr>
            <w:tcW w:w="1187" w:type="dxa"/>
            <w:tcBorders>
              <w:tl2br w:val="nil"/>
              <w:tr2bl w:val="nil"/>
            </w:tcBorders>
            <w:vAlign w:val="center"/>
          </w:tcPr>
          <w:p w14:paraId="53F7FFF5">
            <w:pPr>
              <w:spacing w:line="240" w:lineRule="auto"/>
              <w:ind w:firstLine="0" w:firstLineChars="0"/>
              <w:jc w:val="center"/>
              <w:rPr>
                <w:color w:val="auto"/>
                <w:sz w:val="21"/>
              </w:rPr>
            </w:pPr>
          </w:p>
        </w:tc>
        <w:tc>
          <w:tcPr>
            <w:tcW w:w="1340" w:type="dxa"/>
            <w:vMerge w:val="continue"/>
            <w:tcBorders>
              <w:tl2br w:val="nil"/>
              <w:tr2bl w:val="nil"/>
            </w:tcBorders>
            <w:vAlign w:val="center"/>
          </w:tcPr>
          <w:p w14:paraId="6E43F191">
            <w:pPr>
              <w:spacing w:line="240" w:lineRule="auto"/>
              <w:ind w:firstLine="0" w:firstLineChars="0"/>
              <w:jc w:val="center"/>
              <w:rPr>
                <w:color w:val="auto"/>
                <w:sz w:val="21"/>
              </w:rPr>
            </w:pPr>
          </w:p>
        </w:tc>
      </w:tr>
      <w:tr w14:paraId="4493C10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C7A407A">
            <w:pPr>
              <w:spacing w:line="240" w:lineRule="auto"/>
              <w:ind w:firstLine="0" w:firstLineChars="0"/>
              <w:jc w:val="center"/>
              <w:rPr>
                <w:color w:val="auto"/>
                <w:sz w:val="21"/>
              </w:rPr>
            </w:pPr>
          </w:p>
        </w:tc>
        <w:tc>
          <w:tcPr>
            <w:tcW w:w="1250" w:type="dxa"/>
            <w:tcBorders>
              <w:tl2br w:val="nil"/>
              <w:tr2bl w:val="nil"/>
            </w:tcBorders>
            <w:vAlign w:val="center"/>
          </w:tcPr>
          <w:p w14:paraId="44C2C7CC">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0105DB4C">
            <w:pPr>
              <w:spacing w:line="240" w:lineRule="auto"/>
              <w:ind w:firstLine="0" w:firstLineChars="0"/>
              <w:jc w:val="center"/>
              <w:rPr>
                <w:color w:val="auto"/>
                <w:sz w:val="21"/>
              </w:rPr>
            </w:pPr>
          </w:p>
        </w:tc>
        <w:tc>
          <w:tcPr>
            <w:tcW w:w="652" w:type="pct"/>
            <w:vMerge w:val="continue"/>
            <w:tcBorders>
              <w:tl2br w:val="nil"/>
              <w:tr2bl w:val="nil"/>
            </w:tcBorders>
            <w:vAlign w:val="center"/>
          </w:tcPr>
          <w:p w14:paraId="1A1089C8">
            <w:pPr>
              <w:spacing w:line="240" w:lineRule="auto"/>
              <w:ind w:firstLine="0" w:firstLineChars="0"/>
              <w:jc w:val="center"/>
              <w:rPr>
                <w:color w:val="auto"/>
                <w:sz w:val="21"/>
              </w:rPr>
            </w:pPr>
          </w:p>
        </w:tc>
        <w:tc>
          <w:tcPr>
            <w:tcW w:w="717" w:type="pct"/>
            <w:tcBorders>
              <w:tl2br w:val="nil"/>
              <w:tr2bl w:val="nil"/>
            </w:tcBorders>
            <w:vAlign w:val="center"/>
          </w:tcPr>
          <w:p w14:paraId="002E2DF6">
            <w:pPr>
              <w:spacing w:line="240" w:lineRule="auto"/>
              <w:ind w:firstLine="0" w:firstLineChars="0"/>
              <w:jc w:val="center"/>
              <w:rPr>
                <w:color w:val="auto"/>
                <w:sz w:val="21"/>
              </w:rPr>
            </w:pPr>
          </w:p>
        </w:tc>
        <w:tc>
          <w:tcPr>
            <w:tcW w:w="1187" w:type="dxa"/>
            <w:tcBorders>
              <w:tl2br w:val="nil"/>
              <w:tr2bl w:val="nil"/>
            </w:tcBorders>
            <w:vAlign w:val="center"/>
          </w:tcPr>
          <w:p w14:paraId="66398124">
            <w:pPr>
              <w:spacing w:line="240" w:lineRule="auto"/>
              <w:ind w:firstLine="0" w:firstLineChars="0"/>
              <w:jc w:val="center"/>
              <w:rPr>
                <w:color w:val="auto"/>
                <w:sz w:val="21"/>
              </w:rPr>
            </w:pPr>
          </w:p>
        </w:tc>
        <w:tc>
          <w:tcPr>
            <w:tcW w:w="1340" w:type="dxa"/>
            <w:vMerge w:val="continue"/>
            <w:tcBorders>
              <w:tl2br w:val="nil"/>
              <w:tr2bl w:val="nil"/>
            </w:tcBorders>
            <w:vAlign w:val="center"/>
          </w:tcPr>
          <w:p w14:paraId="3864FED1">
            <w:pPr>
              <w:spacing w:line="240" w:lineRule="auto"/>
              <w:ind w:firstLine="0" w:firstLineChars="0"/>
              <w:jc w:val="center"/>
              <w:rPr>
                <w:color w:val="auto"/>
                <w:sz w:val="21"/>
              </w:rPr>
            </w:pPr>
          </w:p>
        </w:tc>
      </w:tr>
      <w:tr w14:paraId="312713D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9501EAD">
            <w:pPr>
              <w:widowControl/>
              <w:spacing w:line="240" w:lineRule="auto"/>
              <w:ind w:firstLine="0" w:firstLineChars="0"/>
              <w:jc w:val="center"/>
              <w:textAlignment w:val="center"/>
              <w:rPr>
                <w:rFonts w:cs="宋体"/>
                <w:color w:val="auto"/>
                <w:kern w:val="0"/>
                <w:sz w:val="21"/>
                <w:szCs w:val="22"/>
                <w:lang w:bidi="ar"/>
              </w:rPr>
            </w:pPr>
          </w:p>
        </w:tc>
        <w:tc>
          <w:tcPr>
            <w:tcW w:w="1250" w:type="dxa"/>
            <w:tcBorders>
              <w:tl2br w:val="nil"/>
              <w:tr2bl w:val="nil"/>
            </w:tcBorders>
            <w:vAlign w:val="center"/>
          </w:tcPr>
          <w:p w14:paraId="7CCE81A1">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24308267">
            <w:pPr>
              <w:spacing w:line="240" w:lineRule="auto"/>
              <w:ind w:firstLine="0" w:firstLineChars="0"/>
              <w:jc w:val="center"/>
              <w:rPr>
                <w:color w:val="auto"/>
                <w:sz w:val="21"/>
              </w:rPr>
            </w:pPr>
          </w:p>
        </w:tc>
        <w:tc>
          <w:tcPr>
            <w:tcW w:w="652" w:type="pct"/>
            <w:vMerge w:val="continue"/>
            <w:tcBorders>
              <w:tl2br w:val="nil"/>
              <w:tr2bl w:val="nil"/>
            </w:tcBorders>
            <w:vAlign w:val="center"/>
          </w:tcPr>
          <w:p w14:paraId="14B46486">
            <w:pPr>
              <w:spacing w:line="240" w:lineRule="auto"/>
              <w:ind w:firstLine="0" w:firstLineChars="0"/>
              <w:jc w:val="center"/>
              <w:rPr>
                <w:color w:val="auto"/>
                <w:sz w:val="21"/>
              </w:rPr>
            </w:pPr>
          </w:p>
        </w:tc>
        <w:tc>
          <w:tcPr>
            <w:tcW w:w="717" w:type="pct"/>
            <w:tcBorders>
              <w:tl2br w:val="nil"/>
              <w:tr2bl w:val="nil"/>
            </w:tcBorders>
            <w:vAlign w:val="center"/>
          </w:tcPr>
          <w:p w14:paraId="611CFDBF">
            <w:pPr>
              <w:spacing w:line="240" w:lineRule="auto"/>
              <w:ind w:firstLine="0" w:firstLineChars="0"/>
              <w:jc w:val="center"/>
              <w:rPr>
                <w:color w:val="auto"/>
                <w:sz w:val="21"/>
              </w:rPr>
            </w:pPr>
          </w:p>
        </w:tc>
        <w:tc>
          <w:tcPr>
            <w:tcW w:w="1187" w:type="dxa"/>
            <w:tcBorders>
              <w:tl2br w:val="nil"/>
              <w:tr2bl w:val="nil"/>
            </w:tcBorders>
            <w:vAlign w:val="center"/>
          </w:tcPr>
          <w:p w14:paraId="230442E9">
            <w:pPr>
              <w:spacing w:line="240" w:lineRule="auto"/>
              <w:ind w:firstLine="0" w:firstLineChars="0"/>
              <w:jc w:val="center"/>
              <w:rPr>
                <w:color w:val="auto"/>
                <w:sz w:val="21"/>
              </w:rPr>
            </w:pPr>
          </w:p>
        </w:tc>
        <w:tc>
          <w:tcPr>
            <w:tcW w:w="1340" w:type="dxa"/>
            <w:vMerge w:val="continue"/>
            <w:tcBorders>
              <w:tl2br w:val="nil"/>
              <w:tr2bl w:val="nil"/>
            </w:tcBorders>
            <w:vAlign w:val="center"/>
          </w:tcPr>
          <w:p w14:paraId="4726B760">
            <w:pPr>
              <w:spacing w:line="240" w:lineRule="auto"/>
              <w:ind w:firstLine="0" w:firstLineChars="0"/>
              <w:jc w:val="center"/>
              <w:rPr>
                <w:color w:val="auto"/>
                <w:sz w:val="21"/>
              </w:rPr>
            </w:pPr>
          </w:p>
        </w:tc>
      </w:tr>
      <w:tr w14:paraId="4D71863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917F25F">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7BDC8796">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0D4EEB49">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262D13D0">
            <w:pPr>
              <w:widowControl/>
              <w:spacing w:line="240" w:lineRule="auto"/>
              <w:ind w:firstLine="0" w:firstLineChars="0"/>
              <w:jc w:val="center"/>
              <w:textAlignment w:val="center"/>
              <w:rPr>
                <w:color w:val="auto"/>
                <w:sz w:val="21"/>
              </w:rPr>
            </w:pPr>
          </w:p>
        </w:tc>
        <w:tc>
          <w:tcPr>
            <w:tcW w:w="717" w:type="pct"/>
            <w:tcBorders>
              <w:tl2br w:val="nil"/>
              <w:tr2bl w:val="nil"/>
            </w:tcBorders>
            <w:vAlign w:val="center"/>
          </w:tcPr>
          <w:p w14:paraId="7A075FC3">
            <w:pPr>
              <w:spacing w:line="240" w:lineRule="auto"/>
              <w:ind w:firstLine="0" w:firstLineChars="0"/>
              <w:jc w:val="center"/>
              <w:rPr>
                <w:color w:val="auto"/>
                <w:sz w:val="21"/>
              </w:rPr>
            </w:pPr>
          </w:p>
        </w:tc>
        <w:tc>
          <w:tcPr>
            <w:tcW w:w="1187" w:type="dxa"/>
            <w:tcBorders>
              <w:tl2br w:val="nil"/>
              <w:tr2bl w:val="nil"/>
            </w:tcBorders>
            <w:vAlign w:val="center"/>
          </w:tcPr>
          <w:p w14:paraId="3710BAB2">
            <w:pPr>
              <w:spacing w:line="240" w:lineRule="auto"/>
              <w:ind w:firstLine="0" w:firstLineChars="0"/>
              <w:jc w:val="center"/>
              <w:rPr>
                <w:color w:val="auto"/>
                <w:sz w:val="21"/>
              </w:rPr>
            </w:pPr>
          </w:p>
        </w:tc>
        <w:tc>
          <w:tcPr>
            <w:tcW w:w="1340" w:type="dxa"/>
            <w:vMerge w:val="continue"/>
            <w:tcBorders>
              <w:tl2br w:val="nil"/>
              <w:tr2bl w:val="nil"/>
            </w:tcBorders>
            <w:vAlign w:val="center"/>
          </w:tcPr>
          <w:p w14:paraId="25D9B9B5">
            <w:pPr>
              <w:spacing w:line="240" w:lineRule="auto"/>
              <w:ind w:firstLine="0" w:firstLineChars="0"/>
              <w:jc w:val="center"/>
              <w:rPr>
                <w:color w:val="auto"/>
                <w:sz w:val="21"/>
              </w:rPr>
            </w:pPr>
          </w:p>
        </w:tc>
      </w:tr>
      <w:tr w14:paraId="664BCC4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737" w:type="pct"/>
            <w:tcBorders>
              <w:tl2br w:val="nil"/>
              <w:tr2bl w:val="nil"/>
            </w:tcBorders>
            <w:vAlign w:val="center"/>
          </w:tcPr>
          <w:p w14:paraId="31A1A77E">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1306414C">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3C28B885">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44B21A02">
            <w:pPr>
              <w:widowControl/>
              <w:spacing w:line="240" w:lineRule="auto"/>
              <w:ind w:firstLine="0" w:firstLineChars="0"/>
              <w:jc w:val="center"/>
              <w:textAlignment w:val="center"/>
              <w:rPr>
                <w:color w:val="auto"/>
                <w:sz w:val="21"/>
              </w:rPr>
            </w:pPr>
          </w:p>
        </w:tc>
        <w:tc>
          <w:tcPr>
            <w:tcW w:w="717" w:type="pct"/>
            <w:tcBorders>
              <w:tl2br w:val="nil"/>
              <w:tr2bl w:val="nil"/>
            </w:tcBorders>
            <w:vAlign w:val="center"/>
          </w:tcPr>
          <w:p w14:paraId="3E0D8064">
            <w:pPr>
              <w:spacing w:line="240" w:lineRule="auto"/>
              <w:ind w:firstLine="0" w:firstLineChars="0"/>
              <w:jc w:val="center"/>
              <w:rPr>
                <w:color w:val="auto"/>
                <w:sz w:val="21"/>
              </w:rPr>
            </w:pPr>
          </w:p>
        </w:tc>
        <w:tc>
          <w:tcPr>
            <w:tcW w:w="1187" w:type="dxa"/>
            <w:tcBorders>
              <w:tl2br w:val="nil"/>
              <w:tr2bl w:val="nil"/>
            </w:tcBorders>
            <w:vAlign w:val="center"/>
          </w:tcPr>
          <w:p w14:paraId="64B53B69">
            <w:pPr>
              <w:spacing w:line="240" w:lineRule="auto"/>
              <w:ind w:firstLine="0" w:firstLineChars="0"/>
              <w:jc w:val="center"/>
              <w:rPr>
                <w:color w:val="auto"/>
                <w:sz w:val="21"/>
              </w:rPr>
            </w:pPr>
          </w:p>
        </w:tc>
        <w:tc>
          <w:tcPr>
            <w:tcW w:w="1340" w:type="dxa"/>
            <w:vMerge w:val="continue"/>
            <w:tcBorders>
              <w:tl2br w:val="nil"/>
              <w:tr2bl w:val="nil"/>
            </w:tcBorders>
            <w:vAlign w:val="center"/>
          </w:tcPr>
          <w:p w14:paraId="5424E8DC">
            <w:pPr>
              <w:spacing w:line="240" w:lineRule="auto"/>
              <w:ind w:firstLine="0" w:firstLineChars="0"/>
              <w:jc w:val="center"/>
              <w:rPr>
                <w:color w:val="auto"/>
                <w:sz w:val="21"/>
              </w:rPr>
            </w:pPr>
          </w:p>
        </w:tc>
      </w:tr>
      <w:tr w14:paraId="3E2950D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6A49C03">
            <w:pPr>
              <w:spacing w:line="240" w:lineRule="auto"/>
              <w:ind w:firstLine="0" w:firstLineChars="0"/>
              <w:jc w:val="center"/>
              <w:rPr>
                <w:color w:val="auto"/>
                <w:sz w:val="21"/>
              </w:rPr>
            </w:pPr>
          </w:p>
        </w:tc>
        <w:tc>
          <w:tcPr>
            <w:tcW w:w="634" w:type="pct"/>
            <w:tcBorders>
              <w:tl2br w:val="nil"/>
              <w:tr2bl w:val="nil"/>
            </w:tcBorders>
            <w:vAlign w:val="center"/>
          </w:tcPr>
          <w:p w14:paraId="46C749F0">
            <w:pPr>
              <w:spacing w:line="240" w:lineRule="auto"/>
              <w:ind w:firstLine="0" w:firstLineChars="0"/>
              <w:jc w:val="center"/>
              <w:rPr>
                <w:color w:val="auto"/>
                <w:sz w:val="21"/>
              </w:rPr>
            </w:pPr>
          </w:p>
        </w:tc>
        <w:tc>
          <w:tcPr>
            <w:tcW w:w="495" w:type="pct"/>
            <w:vMerge w:val="restart"/>
            <w:tcBorders>
              <w:tl2br w:val="nil"/>
              <w:tr2bl w:val="nil"/>
            </w:tcBorders>
            <w:vAlign w:val="center"/>
          </w:tcPr>
          <w:p w14:paraId="2ED63672">
            <w:pPr>
              <w:spacing w:line="240" w:lineRule="auto"/>
              <w:ind w:firstLine="0" w:firstLineChars="0"/>
              <w:jc w:val="center"/>
              <w:rPr>
                <w:color w:val="auto"/>
                <w:sz w:val="21"/>
              </w:rPr>
            </w:pPr>
          </w:p>
        </w:tc>
        <w:tc>
          <w:tcPr>
            <w:tcW w:w="480" w:type="pct"/>
            <w:vMerge w:val="restart"/>
            <w:tcBorders>
              <w:tl2br w:val="nil"/>
              <w:tr2bl w:val="nil"/>
            </w:tcBorders>
            <w:vAlign w:val="center"/>
          </w:tcPr>
          <w:p w14:paraId="337A022B">
            <w:pPr>
              <w:widowControl/>
              <w:spacing w:line="240" w:lineRule="auto"/>
              <w:ind w:firstLine="0" w:firstLineChars="0"/>
              <w:jc w:val="center"/>
              <w:textAlignment w:val="center"/>
              <w:rPr>
                <w:color w:val="auto"/>
                <w:sz w:val="21"/>
              </w:rPr>
            </w:pPr>
          </w:p>
        </w:tc>
        <w:tc>
          <w:tcPr>
            <w:tcW w:w="652" w:type="pct"/>
            <w:vMerge w:val="restart"/>
            <w:tcBorders>
              <w:tl2br w:val="nil"/>
              <w:tr2bl w:val="nil"/>
            </w:tcBorders>
            <w:vAlign w:val="center"/>
          </w:tcPr>
          <w:p w14:paraId="59C34A90">
            <w:pPr>
              <w:widowControl/>
              <w:spacing w:line="240" w:lineRule="auto"/>
              <w:ind w:firstLine="0" w:firstLineChars="0"/>
              <w:jc w:val="center"/>
              <w:textAlignment w:val="center"/>
              <w:rPr>
                <w:color w:val="auto"/>
                <w:sz w:val="21"/>
              </w:rPr>
            </w:pPr>
          </w:p>
        </w:tc>
        <w:tc>
          <w:tcPr>
            <w:tcW w:w="717" w:type="pct"/>
            <w:tcBorders>
              <w:tl2br w:val="nil"/>
              <w:tr2bl w:val="nil"/>
            </w:tcBorders>
            <w:vAlign w:val="center"/>
          </w:tcPr>
          <w:p w14:paraId="2E194BD2">
            <w:pPr>
              <w:widowControl/>
              <w:spacing w:line="240" w:lineRule="auto"/>
              <w:ind w:firstLine="0" w:firstLineChars="0"/>
              <w:jc w:val="center"/>
              <w:textAlignment w:val="center"/>
              <w:rPr>
                <w:rFonts w:cs="宋体"/>
                <w:color w:val="auto"/>
                <w:kern w:val="0"/>
                <w:sz w:val="21"/>
                <w:szCs w:val="22"/>
                <w:lang w:bidi="ar"/>
              </w:rPr>
            </w:pPr>
          </w:p>
        </w:tc>
        <w:tc>
          <w:tcPr>
            <w:tcW w:w="1187" w:type="dxa"/>
            <w:tcBorders>
              <w:tl2br w:val="nil"/>
              <w:tr2bl w:val="nil"/>
            </w:tcBorders>
            <w:vAlign w:val="center"/>
          </w:tcPr>
          <w:p w14:paraId="01F94F77">
            <w:pPr>
              <w:spacing w:line="240" w:lineRule="auto"/>
              <w:ind w:firstLine="0" w:firstLineChars="0"/>
              <w:jc w:val="center"/>
              <w:rPr>
                <w:color w:val="auto"/>
                <w:sz w:val="21"/>
              </w:rPr>
            </w:pPr>
          </w:p>
        </w:tc>
        <w:tc>
          <w:tcPr>
            <w:tcW w:w="1340" w:type="dxa"/>
            <w:vMerge w:val="restart"/>
            <w:tcBorders>
              <w:tl2br w:val="nil"/>
              <w:tr2bl w:val="nil"/>
            </w:tcBorders>
            <w:vAlign w:val="center"/>
          </w:tcPr>
          <w:p w14:paraId="790A6668">
            <w:pPr>
              <w:spacing w:line="240" w:lineRule="auto"/>
              <w:ind w:firstLine="0" w:firstLineChars="0"/>
              <w:jc w:val="center"/>
              <w:rPr>
                <w:color w:val="auto"/>
                <w:sz w:val="21"/>
              </w:rPr>
            </w:pPr>
          </w:p>
        </w:tc>
      </w:tr>
      <w:tr w14:paraId="0CDB754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8CC5AE7">
            <w:pPr>
              <w:spacing w:line="240" w:lineRule="auto"/>
              <w:ind w:firstLine="0" w:firstLineChars="0"/>
              <w:jc w:val="center"/>
              <w:rPr>
                <w:color w:val="auto"/>
                <w:sz w:val="21"/>
              </w:rPr>
            </w:pPr>
          </w:p>
        </w:tc>
        <w:tc>
          <w:tcPr>
            <w:tcW w:w="634" w:type="pct"/>
            <w:tcBorders>
              <w:tl2br w:val="nil"/>
              <w:tr2bl w:val="nil"/>
            </w:tcBorders>
            <w:vAlign w:val="center"/>
          </w:tcPr>
          <w:p w14:paraId="7EF60B43">
            <w:pPr>
              <w:spacing w:line="240" w:lineRule="auto"/>
              <w:ind w:firstLine="0" w:firstLineChars="0"/>
              <w:jc w:val="center"/>
              <w:rPr>
                <w:color w:val="auto"/>
                <w:sz w:val="21"/>
              </w:rPr>
            </w:pPr>
          </w:p>
        </w:tc>
        <w:tc>
          <w:tcPr>
            <w:tcW w:w="495" w:type="pct"/>
            <w:vMerge w:val="continue"/>
            <w:tcBorders>
              <w:tl2br w:val="nil"/>
              <w:tr2bl w:val="nil"/>
            </w:tcBorders>
            <w:vAlign w:val="center"/>
          </w:tcPr>
          <w:p w14:paraId="25841697">
            <w:pPr>
              <w:spacing w:line="240" w:lineRule="auto"/>
              <w:ind w:firstLine="0" w:firstLineChars="0"/>
              <w:jc w:val="center"/>
              <w:rPr>
                <w:color w:val="auto"/>
                <w:sz w:val="21"/>
              </w:rPr>
            </w:pPr>
          </w:p>
        </w:tc>
        <w:tc>
          <w:tcPr>
            <w:tcW w:w="480" w:type="pct"/>
            <w:vMerge w:val="continue"/>
            <w:tcBorders>
              <w:tl2br w:val="nil"/>
              <w:tr2bl w:val="nil"/>
            </w:tcBorders>
            <w:vAlign w:val="center"/>
          </w:tcPr>
          <w:p w14:paraId="312EEC76">
            <w:pPr>
              <w:widowControl/>
              <w:spacing w:line="240" w:lineRule="auto"/>
              <w:ind w:firstLine="0" w:firstLineChars="0"/>
              <w:jc w:val="center"/>
              <w:textAlignment w:val="center"/>
              <w:rPr>
                <w:rFonts w:cs="宋体"/>
                <w:color w:val="auto"/>
                <w:kern w:val="0"/>
                <w:sz w:val="21"/>
                <w:szCs w:val="22"/>
                <w:lang w:bidi="ar"/>
              </w:rPr>
            </w:pPr>
          </w:p>
        </w:tc>
        <w:tc>
          <w:tcPr>
            <w:tcW w:w="652" w:type="pct"/>
            <w:vMerge w:val="continue"/>
            <w:tcBorders>
              <w:tl2br w:val="nil"/>
              <w:tr2bl w:val="nil"/>
            </w:tcBorders>
            <w:vAlign w:val="center"/>
          </w:tcPr>
          <w:p w14:paraId="547B4923">
            <w:pPr>
              <w:widowControl/>
              <w:spacing w:line="240" w:lineRule="auto"/>
              <w:ind w:firstLine="0" w:firstLineChars="0"/>
              <w:jc w:val="center"/>
              <w:textAlignment w:val="center"/>
              <w:rPr>
                <w:rFonts w:hint="eastAsia" w:ascii="宋体" w:hAnsi="宋体" w:cs="宋体"/>
                <w:color w:val="auto"/>
                <w:kern w:val="0"/>
                <w:sz w:val="22"/>
                <w:szCs w:val="22"/>
                <w:lang w:bidi="ar"/>
              </w:rPr>
            </w:pPr>
          </w:p>
        </w:tc>
        <w:tc>
          <w:tcPr>
            <w:tcW w:w="717" w:type="pct"/>
            <w:tcBorders>
              <w:tl2br w:val="nil"/>
              <w:tr2bl w:val="nil"/>
            </w:tcBorders>
            <w:vAlign w:val="center"/>
          </w:tcPr>
          <w:p w14:paraId="5AD20D11">
            <w:pPr>
              <w:widowControl/>
              <w:spacing w:line="240" w:lineRule="auto"/>
              <w:ind w:firstLine="0" w:firstLineChars="0"/>
              <w:jc w:val="center"/>
              <w:textAlignment w:val="center"/>
              <w:rPr>
                <w:rFonts w:cs="宋体"/>
                <w:color w:val="auto"/>
                <w:kern w:val="0"/>
                <w:sz w:val="21"/>
                <w:szCs w:val="22"/>
                <w:lang w:bidi="ar"/>
              </w:rPr>
            </w:pPr>
          </w:p>
        </w:tc>
        <w:tc>
          <w:tcPr>
            <w:tcW w:w="1187" w:type="dxa"/>
            <w:tcBorders>
              <w:tl2br w:val="nil"/>
              <w:tr2bl w:val="nil"/>
            </w:tcBorders>
            <w:vAlign w:val="center"/>
          </w:tcPr>
          <w:p w14:paraId="5BE2BD41">
            <w:pPr>
              <w:spacing w:line="240" w:lineRule="auto"/>
              <w:ind w:firstLine="0" w:firstLineChars="0"/>
              <w:jc w:val="center"/>
              <w:rPr>
                <w:color w:val="auto"/>
                <w:sz w:val="21"/>
              </w:rPr>
            </w:pPr>
          </w:p>
        </w:tc>
        <w:tc>
          <w:tcPr>
            <w:tcW w:w="1340" w:type="dxa"/>
            <w:vMerge w:val="continue"/>
            <w:tcBorders>
              <w:tl2br w:val="nil"/>
              <w:tr2bl w:val="nil"/>
            </w:tcBorders>
            <w:vAlign w:val="center"/>
          </w:tcPr>
          <w:p w14:paraId="0D0824FE">
            <w:pPr>
              <w:spacing w:line="240" w:lineRule="auto"/>
              <w:ind w:firstLine="0" w:firstLineChars="0"/>
              <w:jc w:val="center"/>
              <w:rPr>
                <w:color w:val="auto"/>
                <w:sz w:val="21"/>
              </w:rPr>
            </w:pPr>
          </w:p>
        </w:tc>
      </w:tr>
      <w:tr w14:paraId="3A84CF8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92A25D6">
            <w:pPr>
              <w:spacing w:line="240" w:lineRule="auto"/>
              <w:ind w:firstLine="0" w:firstLineChars="0"/>
              <w:jc w:val="center"/>
              <w:rPr>
                <w:color w:val="auto"/>
                <w:sz w:val="21"/>
              </w:rPr>
            </w:pPr>
          </w:p>
        </w:tc>
        <w:tc>
          <w:tcPr>
            <w:tcW w:w="634" w:type="pct"/>
            <w:tcBorders>
              <w:tl2br w:val="nil"/>
              <w:tr2bl w:val="nil"/>
            </w:tcBorders>
            <w:vAlign w:val="center"/>
          </w:tcPr>
          <w:p w14:paraId="3799CECA">
            <w:pPr>
              <w:spacing w:line="240" w:lineRule="auto"/>
              <w:ind w:firstLine="0" w:firstLineChars="0"/>
              <w:jc w:val="center"/>
              <w:rPr>
                <w:color w:val="auto"/>
                <w:sz w:val="21"/>
              </w:rPr>
            </w:pPr>
          </w:p>
        </w:tc>
        <w:tc>
          <w:tcPr>
            <w:tcW w:w="975" w:type="pct"/>
            <w:gridSpan w:val="2"/>
            <w:tcBorders>
              <w:tl2br w:val="nil"/>
              <w:tr2bl w:val="nil"/>
            </w:tcBorders>
            <w:vAlign w:val="center"/>
          </w:tcPr>
          <w:p w14:paraId="49AF80A7">
            <w:pPr>
              <w:spacing w:line="240" w:lineRule="auto"/>
              <w:ind w:firstLine="0" w:firstLineChars="0"/>
              <w:jc w:val="center"/>
              <w:rPr>
                <w:color w:val="auto"/>
                <w:sz w:val="21"/>
              </w:rPr>
            </w:pPr>
          </w:p>
        </w:tc>
        <w:tc>
          <w:tcPr>
            <w:tcW w:w="652" w:type="pct"/>
            <w:tcBorders>
              <w:tl2br w:val="nil"/>
              <w:tr2bl w:val="nil"/>
            </w:tcBorders>
            <w:vAlign w:val="center"/>
          </w:tcPr>
          <w:p w14:paraId="111592B9">
            <w:pPr>
              <w:spacing w:line="240" w:lineRule="auto"/>
              <w:ind w:firstLine="0" w:firstLineChars="0"/>
              <w:jc w:val="center"/>
              <w:rPr>
                <w:color w:val="auto"/>
                <w:sz w:val="21"/>
              </w:rPr>
            </w:pPr>
          </w:p>
        </w:tc>
        <w:tc>
          <w:tcPr>
            <w:tcW w:w="717" w:type="pct"/>
            <w:tcBorders>
              <w:tl2br w:val="nil"/>
              <w:tr2bl w:val="nil"/>
            </w:tcBorders>
            <w:vAlign w:val="center"/>
          </w:tcPr>
          <w:p w14:paraId="73541F5A">
            <w:pPr>
              <w:spacing w:line="240" w:lineRule="auto"/>
              <w:ind w:firstLine="0" w:firstLineChars="0"/>
              <w:jc w:val="center"/>
              <w:rPr>
                <w:color w:val="auto"/>
                <w:sz w:val="21"/>
              </w:rPr>
            </w:pPr>
          </w:p>
        </w:tc>
        <w:tc>
          <w:tcPr>
            <w:tcW w:w="1187" w:type="dxa"/>
            <w:tcBorders>
              <w:tl2br w:val="nil"/>
              <w:tr2bl w:val="nil"/>
            </w:tcBorders>
            <w:vAlign w:val="center"/>
          </w:tcPr>
          <w:p w14:paraId="6ED936F5">
            <w:pPr>
              <w:spacing w:line="240" w:lineRule="auto"/>
              <w:ind w:firstLine="0" w:firstLineChars="0"/>
              <w:jc w:val="center"/>
              <w:rPr>
                <w:color w:val="auto"/>
                <w:sz w:val="21"/>
              </w:rPr>
            </w:pPr>
          </w:p>
        </w:tc>
        <w:tc>
          <w:tcPr>
            <w:tcW w:w="1340" w:type="dxa"/>
            <w:tcBorders>
              <w:tl2br w:val="nil"/>
              <w:tr2bl w:val="nil"/>
            </w:tcBorders>
            <w:vAlign w:val="center"/>
          </w:tcPr>
          <w:p w14:paraId="5956023D">
            <w:pPr>
              <w:spacing w:line="240" w:lineRule="auto"/>
              <w:ind w:firstLine="0" w:firstLineChars="0"/>
              <w:jc w:val="center"/>
              <w:rPr>
                <w:color w:val="auto"/>
                <w:sz w:val="21"/>
              </w:rPr>
            </w:pPr>
          </w:p>
        </w:tc>
      </w:tr>
      <w:tr w14:paraId="61C3A1C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2B9C563">
            <w:pPr>
              <w:spacing w:line="240" w:lineRule="auto"/>
              <w:ind w:firstLine="0" w:firstLineChars="0"/>
              <w:jc w:val="center"/>
              <w:rPr>
                <w:color w:val="auto"/>
                <w:sz w:val="21"/>
              </w:rPr>
            </w:pPr>
          </w:p>
        </w:tc>
        <w:tc>
          <w:tcPr>
            <w:tcW w:w="634" w:type="pct"/>
            <w:tcBorders>
              <w:tl2br w:val="nil"/>
              <w:tr2bl w:val="nil"/>
            </w:tcBorders>
            <w:vAlign w:val="center"/>
          </w:tcPr>
          <w:p w14:paraId="6857751C">
            <w:pPr>
              <w:spacing w:line="240" w:lineRule="auto"/>
              <w:ind w:firstLine="0" w:firstLineChars="0"/>
              <w:jc w:val="center"/>
              <w:rPr>
                <w:color w:val="auto"/>
                <w:sz w:val="21"/>
              </w:rPr>
            </w:pPr>
          </w:p>
        </w:tc>
        <w:tc>
          <w:tcPr>
            <w:tcW w:w="2948" w:type="pct"/>
            <w:gridSpan w:val="5"/>
            <w:tcBorders>
              <w:tl2br w:val="nil"/>
              <w:tr2bl w:val="nil"/>
            </w:tcBorders>
            <w:vAlign w:val="center"/>
          </w:tcPr>
          <w:p w14:paraId="58AA708D">
            <w:pPr>
              <w:spacing w:line="240" w:lineRule="auto"/>
              <w:ind w:firstLine="0" w:firstLineChars="0"/>
              <w:jc w:val="center"/>
              <w:rPr>
                <w:color w:val="auto"/>
                <w:sz w:val="21"/>
              </w:rPr>
            </w:pPr>
          </w:p>
        </w:tc>
        <w:tc>
          <w:tcPr>
            <w:tcW w:w="679" w:type="pct"/>
            <w:tcBorders>
              <w:tl2br w:val="nil"/>
              <w:tr2bl w:val="nil"/>
            </w:tcBorders>
            <w:vAlign w:val="center"/>
          </w:tcPr>
          <w:p w14:paraId="726193DC">
            <w:pPr>
              <w:spacing w:line="240" w:lineRule="auto"/>
              <w:ind w:firstLine="0" w:firstLineChars="0"/>
              <w:jc w:val="center"/>
              <w:rPr>
                <w:color w:val="auto"/>
                <w:sz w:val="21"/>
              </w:rPr>
            </w:pPr>
          </w:p>
        </w:tc>
      </w:tr>
    </w:tbl>
    <w:p w14:paraId="09E4F0CE">
      <w:pPr>
        <w:ind w:firstLine="480"/>
        <w:rPr>
          <w:color w:val="auto"/>
        </w:rPr>
      </w:pPr>
    </w:p>
    <w:p w14:paraId="4D1B30AA">
      <w:pPr>
        <w:spacing w:line="240" w:lineRule="auto"/>
        <w:ind w:firstLine="0" w:firstLineChars="0"/>
        <w:jc w:val="center"/>
        <w:rPr>
          <w:b/>
          <w:bCs/>
          <w:color w:val="auto"/>
        </w:rPr>
      </w:pPr>
      <w:r>
        <w:rPr>
          <w:rFonts w:hint="eastAsia"/>
          <w:b/>
          <w:bCs/>
          <w:color w:val="auto"/>
        </w:rPr>
        <w:t>表4.4-16  硫代硫酸镁生产物料投入--产出表（t/a）</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3"/>
        <w:gridCol w:w="1250"/>
        <w:gridCol w:w="977"/>
        <w:gridCol w:w="946"/>
        <w:gridCol w:w="1285"/>
        <w:gridCol w:w="1415"/>
        <w:gridCol w:w="1188"/>
        <w:gridCol w:w="1340"/>
      </w:tblGrid>
      <w:tr w14:paraId="49426D0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1554AFEA">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01254D24">
            <w:pPr>
              <w:spacing w:line="240" w:lineRule="auto"/>
              <w:ind w:firstLine="0" w:firstLineChars="0"/>
              <w:jc w:val="center"/>
              <w:rPr>
                <w:b/>
                <w:bCs/>
                <w:color w:val="auto"/>
                <w:sz w:val="21"/>
              </w:rPr>
            </w:pPr>
            <w:r>
              <w:rPr>
                <w:rFonts w:hint="eastAsia"/>
                <w:b/>
                <w:bCs/>
                <w:color w:val="auto"/>
                <w:sz w:val="21"/>
              </w:rPr>
              <w:t>产出</w:t>
            </w:r>
          </w:p>
        </w:tc>
      </w:tr>
      <w:tr w14:paraId="166A915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3CE56C9">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59DC6FF4">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6B1E16A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07ECF2B5">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370" w:type="pct"/>
            <w:gridSpan w:val="2"/>
            <w:tcBorders>
              <w:tl2br w:val="nil"/>
              <w:tr2bl w:val="nil"/>
            </w:tcBorders>
            <w:vAlign w:val="center"/>
          </w:tcPr>
          <w:p w14:paraId="3E769ABE">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282" w:type="pct"/>
            <w:gridSpan w:val="2"/>
            <w:tcBorders>
              <w:tl2br w:val="nil"/>
              <w:tr2bl w:val="nil"/>
            </w:tcBorders>
            <w:vAlign w:val="center"/>
          </w:tcPr>
          <w:p w14:paraId="65FBEF3D">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62F372E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D3D876C">
            <w:pPr>
              <w:spacing w:line="240" w:lineRule="auto"/>
              <w:ind w:firstLine="0" w:firstLineChars="0"/>
              <w:jc w:val="center"/>
              <w:rPr>
                <w:color w:val="auto"/>
                <w:sz w:val="21"/>
              </w:rPr>
            </w:pPr>
          </w:p>
        </w:tc>
        <w:tc>
          <w:tcPr>
            <w:tcW w:w="634" w:type="pct"/>
            <w:tcBorders>
              <w:tl2br w:val="nil"/>
              <w:tr2bl w:val="nil"/>
            </w:tcBorders>
            <w:vAlign w:val="center"/>
          </w:tcPr>
          <w:p w14:paraId="27332340">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380D3DAE">
            <w:pPr>
              <w:spacing w:line="240" w:lineRule="auto"/>
              <w:ind w:firstLine="0" w:firstLineChars="0"/>
              <w:jc w:val="center"/>
              <w:rPr>
                <w:color w:val="auto"/>
                <w:sz w:val="21"/>
              </w:rPr>
            </w:pPr>
          </w:p>
        </w:tc>
        <w:tc>
          <w:tcPr>
            <w:tcW w:w="652" w:type="pct"/>
            <w:vMerge w:val="restart"/>
            <w:tcBorders>
              <w:tl2br w:val="nil"/>
              <w:tr2bl w:val="nil"/>
            </w:tcBorders>
            <w:vAlign w:val="center"/>
          </w:tcPr>
          <w:p w14:paraId="593915D5">
            <w:pPr>
              <w:spacing w:line="240" w:lineRule="auto"/>
              <w:ind w:firstLine="0" w:firstLineChars="0"/>
              <w:jc w:val="center"/>
              <w:rPr>
                <w:color w:val="auto"/>
                <w:sz w:val="21"/>
              </w:rPr>
            </w:pPr>
          </w:p>
        </w:tc>
        <w:tc>
          <w:tcPr>
            <w:tcW w:w="717" w:type="pct"/>
            <w:tcBorders>
              <w:tl2br w:val="nil"/>
              <w:tr2bl w:val="nil"/>
            </w:tcBorders>
            <w:vAlign w:val="center"/>
          </w:tcPr>
          <w:p w14:paraId="071F68F1">
            <w:pPr>
              <w:spacing w:line="240" w:lineRule="auto"/>
              <w:ind w:firstLine="0" w:firstLineChars="0"/>
              <w:jc w:val="center"/>
              <w:rPr>
                <w:color w:val="auto"/>
                <w:sz w:val="21"/>
              </w:rPr>
            </w:pPr>
          </w:p>
        </w:tc>
        <w:tc>
          <w:tcPr>
            <w:tcW w:w="602" w:type="pct"/>
            <w:tcBorders>
              <w:tl2br w:val="nil"/>
              <w:tr2bl w:val="nil"/>
            </w:tcBorders>
            <w:vAlign w:val="center"/>
          </w:tcPr>
          <w:p w14:paraId="3FA4296C">
            <w:pPr>
              <w:spacing w:line="240" w:lineRule="auto"/>
              <w:ind w:firstLine="0" w:firstLineChars="0"/>
              <w:jc w:val="center"/>
              <w:rPr>
                <w:color w:val="auto"/>
                <w:sz w:val="21"/>
              </w:rPr>
            </w:pPr>
          </w:p>
        </w:tc>
        <w:tc>
          <w:tcPr>
            <w:tcW w:w="679" w:type="pct"/>
            <w:vMerge w:val="restart"/>
            <w:tcBorders>
              <w:tl2br w:val="nil"/>
              <w:tr2bl w:val="nil"/>
            </w:tcBorders>
            <w:vAlign w:val="center"/>
          </w:tcPr>
          <w:p w14:paraId="5FB28A9E">
            <w:pPr>
              <w:spacing w:line="240" w:lineRule="auto"/>
              <w:ind w:firstLine="0" w:firstLineChars="0"/>
              <w:jc w:val="center"/>
              <w:rPr>
                <w:color w:val="auto"/>
                <w:sz w:val="21"/>
              </w:rPr>
            </w:pPr>
          </w:p>
        </w:tc>
      </w:tr>
      <w:tr w14:paraId="1497D99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58E932E">
            <w:pPr>
              <w:spacing w:line="240" w:lineRule="auto"/>
              <w:ind w:firstLine="0" w:firstLineChars="0"/>
              <w:jc w:val="center"/>
              <w:rPr>
                <w:color w:val="auto"/>
                <w:sz w:val="21"/>
              </w:rPr>
            </w:pPr>
          </w:p>
        </w:tc>
        <w:tc>
          <w:tcPr>
            <w:tcW w:w="634" w:type="pct"/>
            <w:tcBorders>
              <w:tl2br w:val="nil"/>
              <w:tr2bl w:val="nil"/>
            </w:tcBorders>
            <w:vAlign w:val="center"/>
          </w:tcPr>
          <w:p w14:paraId="5827D7E9">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047AAA17">
            <w:pPr>
              <w:spacing w:line="240" w:lineRule="auto"/>
              <w:ind w:firstLine="0" w:firstLineChars="0"/>
              <w:jc w:val="center"/>
              <w:rPr>
                <w:color w:val="auto"/>
                <w:sz w:val="21"/>
              </w:rPr>
            </w:pPr>
          </w:p>
        </w:tc>
        <w:tc>
          <w:tcPr>
            <w:tcW w:w="652" w:type="pct"/>
            <w:vMerge w:val="continue"/>
            <w:tcBorders>
              <w:tl2br w:val="nil"/>
              <w:tr2bl w:val="nil"/>
            </w:tcBorders>
            <w:vAlign w:val="center"/>
          </w:tcPr>
          <w:p w14:paraId="527463BF">
            <w:pPr>
              <w:spacing w:line="240" w:lineRule="auto"/>
              <w:ind w:firstLine="0" w:firstLineChars="0"/>
              <w:jc w:val="center"/>
              <w:rPr>
                <w:color w:val="auto"/>
                <w:sz w:val="21"/>
              </w:rPr>
            </w:pPr>
          </w:p>
        </w:tc>
        <w:tc>
          <w:tcPr>
            <w:tcW w:w="717" w:type="pct"/>
            <w:tcBorders>
              <w:tl2br w:val="nil"/>
              <w:tr2bl w:val="nil"/>
            </w:tcBorders>
            <w:vAlign w:val="center"/>
          </w:tcPr>
          <w:p w14:paraId="391A3BF2">
            <w:pPr>
              <w:spacing w:line="240" w:lineRule="auto"/>
              <w:ind w:firstLine="0" w:firstLineChars="0"/>
              <w:jc w:val="center"/>
              <w:rPr>
                <w:color w:val="auto"/>
                <w:sz w:val="21"/>
              </w:rPr>
            </w:pPr>
          </w:p>
        </w:tc>
        <w:tc>
          <w:tcPr>
            <w:tcW w:w="602" w:type="pct"/>
            <w:tcBorders>
              <w:tl2br w:val="nil"/>
              <w:tr2bl w:val="nil"/>
            </w:tcBorders>
            <w:vAlign w:val="center"/>
          </w:tcPr>
          <w:p w14:paraId="398C1AC5">
            <w:pPr>
              <w:spacing w:line="240" w:lineRule="auto"/>
              <w:ind w:firstLine="0" w:firstLineChars="0"/>
              <w:jc w:val="center"/>
              <w:rPr>
                <w:color w:val="auto"/>
                <w:sz w:val="21"/>
              </w:rPr>
            </w:pPr>
          </w:p>
        </w:tc>
        <w:tc>
          <w:tcPr>
            <w:tcW w:w="679" w:type="pct"/>
            <w:vMerge w:val="continue"/>
            <w:tcBorders>
              <w:tl2br w:val="nil"/>
              <w:tr2bl w:val="nil"/>
            </w:tcBorders>
            <w:vAlign w:val="center"/>
          </w:tcPr>
          <w:p w14:paraId="5B7C47D2">
            <w:pPr>
              <w:spacing w:line="240" w:lineRule="auto"/>
              <w:ind w:firstLine="0" w:firstLineChars="0"/>
              <w:jc w:val="center"/>
              <w:rPr>
                <w:color w:val="auto"/>
                <w:sz w:val="21"/>
              </w:rPr>
            </w:pPr>
          </w:p>
        </w:tc>
      </w:tr>
      <w:tr w14:paraId="7C2653D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B1A251A">
            <w:pPr>
              <w:spacing w:line="240" w:lineRule="auto"/>
              <w:ind w:firstLine="0" w:firstLineChars="0"/>
              <w:jc w:val="center"/>
              <w:rPr>
                <w:color w:val="auto"/>
                <w:sz w:val="21"/>
              </w:rPr>
            </w:pPr>
          </w:p>
        </w:tc>
        <w:tc>
          <w:tcPr>
            <w:tcW w:w="634" w:type="pct"/>
            <w:tcBorders>
              <w:tl2br w:val="nil"/>
              <w:tr2bl w:val="nil"/>
            </w:tcBorders>
            <w:vAlign w:val="center"/>
          </w:tcPr>
          <w:p w14:paraId="3C30F29B">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335ADCFA">
            <w:pPr>
              <w:spacing w:line="240" w:lineRule="auto"/>
              <w:ind w:firstLine="0" w:firstLineChars="0"/>
              <w:jc w:val="center"/>
              <w:rPr>
                <w:color w:val="auto"/>
                <w:sz w:val="21"/>
              </w:rPr>
            </w:pPr>
          </w:p>
        </w:tc>
        <w:tc>
          <w:tcPr>
            <w:tcW w:w="652" w:type="pct"/>
            <w:vMerge w:val="continue"/>
            <w:tcBorders>
              <w:tl2br w:val="nil"/>
              <w:tr2bl w:val="nil"/>
            </w:tcBorders>
            <w:vAlign w:val="center"/>
          </w:tcPr>
          <w:p w14:paraId="7D0FCD1E">
            <w:pPr>
              <w:spacing w:line="240" w:lineRule="auto"/>
              <w:ind w:firstLine="0" w:firstLineChars="0"/>
              <w:jc w:val="center"/>
              <w:rPr>
                <w:color w:val="auto"/>
                <w:sz w:val="21"/>
              </w:rPr>
            </w:pPr>
          </w:p>
        </w:tc>
        <w:tc>
          <w:tcPr>
            <w:tcW w:w="717" w:type="pct"/>
            <w:tcBorders>
              <w:tl2br w:val="nil"/>
              <w:tr2bl w:val="nil"/>
            </w:tcBorders>
            <w:vAlign w:val="center"/>
          </w:tcPr>
          <w:p w14:paraId="62C73780">
            <w:pPr>
              <w:spacing w:line="240" w:lineRule="auto"/>
              <w:ind w:firstLine="0" w:firstLineChars="0"/>
              <w:jc w:val="center"/>
              <w:rPr>
                <w:color w:val="auto"/>
                <w:sz w:val="21"/>
              </w:rPr>
            </w:pPr>
          </w:p>
        </w:tc>
        <w:tc>
          <w:tcPr>
            <w:tcW w:w="602" w:type="pct"/>
            <w:tcBorders>
              <w:tl2br w:val="nil"/>
              <w:tr2bl w:val="nil"/>
            </w:tcBorders>
            <w:vAlign w:val="center"/>
          </w:tcPr>
          <w:p w14:paraId="42792AE3">
            <w:pPr>
              <w:spacing w:line="240" w:lineRule="auto"/>
              <w:ind w:firstLine="0" w:firstLineChars="0"/>
              <w:jc w:val="center"/>
              <w:rPr>
                <w:color w:val="auto"/>
                <w:sz w:val="21"/>
              </w:rPr>
            </w:pPr>
          </w:p>
        </w:tc>
        <w:tc>
          <w:tcPr>
            <w:tcW w:w="679" w:type="pct"/>
            <w:vMerge w:val="continue"/>
            <w:tcBorders>
              <w:tl2br w:val="nil"/>
              <w:tr2bl w:val="nil"/>
            </w:tcBorders>
            <w:vAlign w:val="center"/>
          </w:tcPr>
          <w:p w14:paraId="2A2B2F8D">
            <w:pPr>
              <w:spacing w:line="240" w:lineRule="auto"/>
              <w:ind w:firstLine="0" w:firstLineChars="0"/>
              <w:jc w:val="center"/>
              <w:rPr>
                <w:color w:val="auto"/>
                <w:sz w:val="21"/>
              </w:rPr>
            </w:pPr>
          </w:p>
        </w:tc>
      </w:tr>
      <w:tr w14:paraId="6D27335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5B50C97">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62543CCB">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48599B2F">
            <w:pPr>
              <w:spacing w:line="240" w:lineRule="auto"/>
              <w:ind w:firstLine="0" w:firstLineChars="0"/>
              <w:jc w:val="center"/>
              <w:rPr>
                <w:color w:val="auto"/>
                <w:sz w:val="21"/>
              </w:rPr>
            </w:pPr>
          </w:p>
        </w:tc>
        <w:tc>
          <w:tcPr>
            <w:tcW w:w="652" w:type="pct"/>
            <w:vMerge w:val="continue"/>
            <w:tcBorders>
              <w:tl2br w:val="nil"/>
              <w:tr2bl w:val="nil"/>
            </w:tcBorders>
            <w:vAlign w:val="center"/>
          </w:tcPr>
          <w:p w14:paraId="0D9560B0">
            <w:pPr>
              <w:spacing w:line="240" w:lineRule="auto"/>
              <w:ind w:firstLine="0" w:firstLineChars="0"/>
              <w:jc w:val="center"/>
              <w:rPr>
                <w:color w:val="auto"/>
                <w:sz w:val="21"/>
              </w:rPr>
            </w:pPr>
          </w:p>
        </w:tc>
        <w:tc>
          <w:tcPr>
            <w:tcW w:w="717" w:type="pct"/>
            <w:tcBorders>
              <w:tl2br w:val="nil"/>
              <w:tr2bl w:val="nil"/>
            </w:tcBorders>
            <w:vAlign w:val="center"/>
          </w:tcPr>
          <w:p w14:paraId="5E1A5F6A">
            <w:pPr>
              <w:spacing w:line="240" w:lineRule="auto"/>
              <w:ind w:firstLine="0" w:firstLineChars="0"/>
              <w:jc w:val="center"/>
              <w:rPr>
                <w:color w:val="auto"/>
                <w:sz w:val="21"/>
              </w:rPr>
            </w:pPr>
          </w:p>
        </w:tc>
        <w:tc>
          <w:tcPr>
            <w:tcW w:w="602" w:type="pct"/>
            <w:tcBorders>
              <w:tl2br w:val="nil"/>
              <w:tr2bl w:val="nil"/>
            </w:tcBorders>
            <w:vAlign w:val="center"/>
          </w:tcPr>
          <w:p w14:paraId="6D5508D8">
            <w:pPr>
              <w:spacing w:line="240" w:lineRule="auto"/>
              <w:ind w:firstLine="0" w:firstLineChars="0"/>
              <w:jc w:val="center"/>
              <w:rPr>
                <w:color w:val="auto"/>
                <w:sz w:val="21"/>
              </w:rPr>
            </w:pPr>
          </w:p>
        </w:tc>
        <w:tc>
          <w:tcPr>
            <w:tcW w:w="679" w:type="pct"/>
            <w:vMerge w:val="continue"/>
            <w:tcBorders>
              <w:tl2br w:val="nil"/>
              <w:tr2bl w:val="nil"/>
            </w:tcBorders>
            <w:vAlign w:val="center"/>
          </w:tcPr>
          <w:p w14:paraId="161D9CC3">
            <w:pPr>
              <w:spacing w:line="240" w:lineRule="auto"/>
              <w:ind w:firstLine="0" w:firstLineChars="0"/>
              <w:jc w:val="center"/>
              <w:rPr>
                <w:color w:val="auto"/>
                <w:sz w:val="21"/>
              </w:rPr>
            </w:pPr>
          </w:p>
        </w:tc>
      </w:tr>
      <w:tr w14:paraId="48AD43D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31011C3">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6E525885">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6F422ED6">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57BB13F5">
            <w:pPr>
              <w:widowControl/>
              <w:spacing w:line="240" w:lineRule="auto"/>
              <w:ind w:firstLine="0" w:firstLineChars="0"/>
              <w:jc w:val="center"/>
              <w:textAlignment w:val="center"/>
              <w:rPr>
                <w:color w:val="auto"/>
                <w:sz w:val="21"/>
              </w:rPr>
            </w:pPr>
          </w:p>
        </w:tc>
        <w:tc>
          <w:tcPr>
            <w:tcW w:w="717" w:type="pct"/>
            <w:tcBorders>
              <w:tl2br w:val="nil"/>
              <w:tr2bl w:val="nil"/>
            </w:tcBorders>
            <w:vAlign w:val="center"/>
          </w:tcPr>
          <w:p w14:paraId="29B1688A">
            <w:pPr>
              <w:spacing w:line="240" w:lineRule="auto"/>
              <w:ind w:firstLine="0" w:firstLineChars="0"/>
              <w:jc w:val="center"/>
              <w:rPr>
                <w:color w:val="auto"/>
                <w:sz w:val="21"/>
              </w:rPr>
            </w:pPr>
          </w:p>
        </w:tc>
        <w:tc>
          <w:tcPr>
            <w:tcW w:w="602" w:type="pct"/>
            <w:tcBorders>
              <w:tl2br w:val="nil"/>
              <w:tr2bl w:val="nil"/>
            </w:tcBorders>
            <w:vAlign w:val="center"/>
          </w:tcPr>
          <w:p w14:paraId="5B3083E9">
            <w:pPr>
              <w:spacing w:line="240" w:lineRule="auto"/>
              <w:ind w:firstLine="0" w:firstLineChars="0"/>
              <w:jc w:val="center"/>
              <w:rPr>
                <w:color w:val="auto"/>
                <w:sz w:val="21"/>
              </w:rPr>
            </w:pPr>
          </w:p>
        </w:tc>
        <w:tc>
          <w:tcPr>
            <w:tcW w:w="679" w:type="pct"/>
            <w:vMerge w:val="continue"/>
            <w:tcBorders>
              <w:tl2br w:val="nil"/>
              <w:tr2bl w:val="nil"/>
            </w:tcBorders>
            <w:vAlign w:val="center"/>
          </w:tcPr>
          <w:p w14:paraId="294E65D7">
            <w:pPr>
              <w:spacing w:line="240" w:lineRule="auto"/>
              <w:ind w:firstLine="0" w:firstLineChars="0"/>
              <w:jc w:val="center"/>
              <w:rPr>
                <w:color w:val="auto"/>
                <w:sz w:val="21"/>
              </w:rPr>
            </w:pPr>
          </w:p>
        </w:tc>
      </w:tr>
      <w:tr w14:paraId="48F7386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C59C06B">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30B8DF34">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23A05682">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18F1AA6B">
            <w:pPr>
              <w:widowControl/>
              <w:spacing w:line="240" w:lineRule="auto"/>
              <w:ind w:firstLine="0" w:firstLineChars="0"/>
              <w:jc w:val="center"/>
              <w:textAlignment w:val="center"/>
              <w:rPr>
                <w:color w:val="auto"/>
                <w:sz w:val="21"/>
              </w:rPr>
            </w:pPr>
          </w:p>
        </w:tc>
        <w:tc>
          <w:tcPr>
            <w:tcW w:w="717" w:type="pct"/>
            <w:tcBorders>
              <w:tl2br w:val="nil"/>
              <w:tr2bl w:val="nil"/>
            </w:tcBorders>
            <w:vAlign w:val="center"/>
          </w:tcPr>
          <w:p w14:paraId="5A711B9F">
            <w:pPr>
              <w:spacing w:line="240" w:lineRule="auto"/>
              <w:ind w:firstLine="0" w:firstLineChars="0"/>
              <w:jc w:val="center"/>
              <w:rPr>
                <w:color w:val="auto"/>
                <w:sz w:val="21"/>
              </w:rPr>
            </w:pPr>
          </w:p>
        </w:tc>
        <w:tc>
          <w:tcPr>
            <w:tcW w:w="602" w:type="pct"/>
            <w:tcBorders>
              <w:tl2br w:val="nil"/>
              <w:tr2bl w:val="nil"/>
            </w:tcBorders>
            <w:vAlign w:val="center"/>
          </w:tcPr>
          <w:p w14:paraId="69F7752F">
            <w:pPr>
              <w:spacing w:line="240" w:lineRule="auto"/>
              <w:ind w:firstLine="0" w:firstLineChars="0"/>
              <w:jc w:val="center"/>
              <w:rPr>
                <w:color w:val="auto"/>
                <w:sz w:val="21"/>
              </w:rPr>
            </w:pPr>
          </w:p>
        </w:tc>
        <w:tc>
          <w:tcPr>
            <w:tcW w:w="679" w:type="pct"/>
            <w:vMerge w:val="continue"/>
            <w:tcBorders>
              <w:tl2br w:val="nil"/>
              <w:tr2bl w:val="nil"/>
            </w:tcBorders>
            <w:vAlign w:val="center"/>
          </w:tcPr>
          <w:p w14:paraId="63E49FD9">
            <w:pPr>
              <w:spacing w:line="240" w:lineRule="auto"/>
              <w:ind w:firstLine="0" w:firstLineChars="0"/>
              <w:jc w:val="center"/>
              <w:rPr>
                <w:color w:val="auto"/>
                <w:sz w:val="21"/>
              </w:rPr>
            </w:pPr>
          </w:p>
        </w:tc>
      </w:tr>
      <w:tr w14:paraId="4A0AA38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877B9C4">
            <w:pPr>
              <w:spacing w:line="240" w:lineRule="auto"/>
              <w:ind w:firstLine="0" w:firstLineChars="0"/>
              <w:jc w:val="center"/>
              <w:rPr>
                <w:color w:val="auto"/>
                <w:sz w:val="21"/>
              </w:rPr>
            </w:pPr>
          </w:p>
        </w:tc>
        <w:tc>
          <w:tcPr>
            <w:tcW w:w="634" w:type="pct"/>
            <w:tcBorders>
              <w:tl2br w:val="nil"/>
              <w:tr2bl w:val="nil"/>
            </w:tcBorders>
            <w:vAlign w:val="center"/>
          </w:tcPr>
          <w:p w14:paraId="2EDE08DB">
            <w:pPr>
              <w:spacing w:line="240" w:lineRule="auto"/>
              <w:ind w:firstLine="0" w:firstLineChars="0"/>
              <w:jc w:val="center"/>
              <w:rPr>
                <w:color w:val="auto"/>
                <w:sz w:val="21"/>
              </w:rPr>
            </w:pPr>
          </w:p>
        </w:tc>
        <w:tc>
          <w:tcPr>
            <w:tcW w:w="495" w:type="pct"/>
            <w:vMerge w:val="restart"/>
            <w:tcBorders>
              <w:tl2br w:val="nil"/>
              <w:tr2bl w:val="nil"/>
            </w:tcBorders>
            <w:vAlign w:val="center"/>
          </w:tcPr>
          <w:p w14:paraId="6250B5A7">
            <w:pPr>
              <w:spacing w:line="240" w:lineRule="auto"/>
              <w:ind w:firstLine="0" w:firstLineChars="0"/>
              <w:jc w:val="center"/>
              <w:rPr>
                <w:color w:val="auto"/>
                <w:sz w:val="21"/>
              </w:rPr>
            </w:pPr>
          </w:p>
        </w:tc>
        <w:tc>
          <w:tcPr>
            <w:tcW w:w="480" w:type="pct"/>
            <w:vMerge w:val="restart"/>
            <w:tcBorders>
              <w:tl2br w:val="nil"/>
              <w:tr2bl w:val="nil"/>
            </w:tcBorders>
            <w:vAlign w:val="center"/>
          </w:tcPr>
          <w:p w14:paraId="41875A4E">
            <w:pPr>
              <w:widowControl/>
              <w:spacing w:line="240" w:lineRule="auto"/>
              <w:ind w:firstLine="0" w:firstLineChars="0"/>
              <w:jc w:val="center"/>
              <w:textAlignment w:val="center"/>
              <w:rPr>
                <w:color w:val="auto"/>
                <w:sz w:val="21"/>
              </w:rPr>
            </w:pPr>
          </w:p>
        </w:tc>
        <w:tc>
          <w:tcPr>
            <w:tcW w:w="652" w:type="pct"/>
            <w:vMerge w:val="restart"/>
            <w:tcBorders>
              <w:tl2br w:val="nil"/>
              <w:tr2bl w:val="nil"/>
            </w:tcBorders>
            <w:vAlign w:val="center"/>
          </w:tcPr>
          <w:p w14:paraId="043AA1D8">
            <w:pPr>
              <w:widowControl/>
              <w:spacing w:line="240" w:lineRule="auto"/>
              <w:ind w:firstLine="0" w:firstLineChars="0"/>
              <w:jc w:val="center"/>
              <w:textAlignment w:val="center"/>
              <w:rPr>
                <w:color w:val="auto"/>
                <w:sz w:val="21"/>
              </w:rPr>
            </w:pPr>
          </w:p>
        </w:tc>
        <w:tc>
          <w:tcPr>
            <w:tcW w:w="717" w:type="pct"/>
            <w:tcBorders>
              <w:tl2br w:val="nil"/>
              <w:tr2bl w:val="nil"/>
            </w:tcBorders>
            <w:vAlign w:val="center"/>
          </w:tcPr>
          <w:p w14:paraId="7A86AD7E">
            <w:pPr>
              <w:widowControl/>
              <w:spacing w:line="240" w:lineRule="auto"/>
              <w:ind w:firstLine="0" w:firstLineChars="0"/>
              <w:jc w:val="center"/>
              <w:textAlignment w:val="center"/>
              <w:rPr>
                <w:rFonts w:cs="宋体"/>
                <w:color w:val="auto"/>
                <w:kern w:val="0"/>
                <w:sz w:val="21"/>
                <w:szCs w:val="22"/>
                <w:lang w:bidi="ar"/>
              </w:rPr>
            </w:pPr>
          </w:p>
        </w:tc>
        <w:tc>
          <w:tcPr>
            <w:tcW w:w="602" w:type="pct"/>
            <w:tcBorders>
              <w:tl2br w:val="nil"/>
              <w:tr2bl w:val="nil"/>
            </w:tcBorders>
            <w:vAlign w:val="center"/>
          </w:tcPr>
          <w:p w14:paraId="0235BE9E">
            <w:pPr>
              <w:spacing w:line="240" w:lineRule="auto"/>
              <w:ind w:firstLine="0" w:firstLineChars="0"/>
              <w:jc w:val="center"/>
              <w:rPr>
                <w:color w:val="auto"/>
                <w:sz w:val="21"/>
              </w:rPr>
            </w:pPr>
          </w:p>
        </w:tc>
        <w:tc>
          <w:tcPr>
            <w:tcW w:w="679" w:type="pct"/>
            <w:vMerge w:val="restart"/>
            <w:tcBorders>
              <w:tl2br w:val="nil"/>
              <w:tr2bl w:val="nil"/>
            </w:tcBorders>
            <w:vAlign w:val="center"/>
          </w:tcPr>
          <w:p w14:paraId="004B7E7D">
            <w:pPr>
              <w:spacing w:line="240" w:lineRule="auto"/>
              <w:ind w:firstLine="0" w:firstLineChars="0"/>
              <w:jc w:val="center"/>
              <w:rPr>
                <w:color w:val="auto"/>
                <w:sz w:val="21"/>
              </w:rPr>
            </w:pPr>
          </w:p>
        </w:tc>
      </w:tr>
      <w:tr w14:paraId="65D6897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38809E7">
            <w:pPr>
              <w:spacing w:line="240" w:lineRule="auto"/>
              <w:ind w:firstLine="0" w:firstLineChars="0"/>
              <w:jc w:val="center"/>
              <w:rPr>
                <w:color w:val="auto"/>
                <w:sz w:val="21"/>
              </w:rPr>
            </w:pPr>
          </w:p>
        </w:tc>
        <w:tc>
          <w:tcPr>
            <w:tcW w:w="634" w:type="pct"/>
            <w:tcBorders>
              <w:tl2br w:val="nil"/>
              <w:tr2bl w:val="nil"/>
            </w:tcBorders>
            <w:vAlign w:val="center"/>
          </w:tcPr>
          <w:p w14:paraId="182B97AE">
            <w:pPr>
              <w:spacing w:line="240" w:lineRule="auto"/>
              <w:ind w:firstLine="0" w:firstLineChars="0"/>
              <w:jc w:val="center"/>
              <w:rPr>
                <w:color w:val="auto"/>
                <w:sz w:val="21"/>
              </w:rPr>
            </w:pPr>
          </w:p>
        </w:tc>
        <w:tc>
          <w:tcPr>
            <w:tcW w:w="495" w:type="pct"/>
            <w:vMerge w:val="continue"/>
            <w:tcBorders>
              <w:tl2br w:val="nil"/>
              <w:tr2bl w:val="nil"/>
            </w:tcBorders>
            <w:vAlign w:val="center"/>
          </w:tcPr>
          <w:p w14:paraId="41E539ED">
            <w:pPr>
              <w:spacing w:line="240" w:lineRule="auto"/>
              <w:ind w:firstLine="0" w:firstLineChars="0"/>
              <w:jc w:val="center"/>
              <w:rPr>
                <w:color w:val="auto"/>
                <w:sz w:val="21"/>
              </w:rPr>
            </w:pPr>
          </w:p>
        </w:tc>
        <w:tc>
          <w:tcPr>
            <w:tcW w:w="480" w:type="pct"/>
            <w:vMerge w:val="continue"/>
            <w:tcBorders>
              <w:tl2br w:val="nil"/>
              <w:tr2bl w:val="nil"/>
            </w:tcBorders>
            <w:vAlign w:val="center"/>
          </w:tcPr>
          <w:p w14:paraId="572CA7D7">
            <w:pPr>
              <w:widowControl/>
              <w:spacing w:line="240" w:lineRule="auto"/>
              <w:ind w:firstLine="0" w:firstLineChars="0"/>
              <w:jc w:val="center"/>
              <w:textAlignment w:val="center"/>
              <w:rPr>
                <w:rFonts w:cs="宋体"/>
                <w:color w:val="auto"/>
                <w:kern w:val="0"/>
                <w:sz w:val="21"/>
                <w:szCs w:val="22"/>
                <w:lang w:bidi="ar"/>
              </w:rPr>
            </w:pPr>
          </w:p>
        </w:tc>
        <w:tc>
          <w:tcPr>
            <w:tcW w:w="652" w:type="pct"/>
            <w:vMerge w:val="continue"/>
            <w:tcBorders>
              <w:tl2br w:val="nil"/>
              <w:tr2bl w:val="nil"/>
            </w:tcBorders>
            <w:vAlign w:val="center"/>
          </w:tcPr>
          <w:p w14:paraId="1A63D5A6">
            <w:pPr>
              <w:widowControl/>
              <w:spacing w:line="240" w:lineRule="auto"/>
              <w:ind w:firstLine="0" w:firstLineChars="0"/>
              <w:jc w:val="center"/>
              <w:textAlignment w:val="center"/>
              <w:rPr>
                <w:rFonts w:hint="eastAsia" w:ascii="宋体" w:hAnsi="宋体" w:cs="宋体"/>
                <w:color w:val="auto"/>
                <w:kern w:val="0"/>
                <w:sz w:val="22"/>
                <w:szCs w:val="22"/>
                <w:lang w:bidi="ar"/>
              </w:rPr>
            </w:pPr>
          </w:p>
        </w:tc>
        <w:tc>
          <w:tcPr>
            <w:tcW w:w="717" w:type="pct"/>
            <w:tcBorders>
              <w:tl2br w:val="nil"/>
              <w:tr2bl w:val="nil"/>
            </w:tcBorders>
            <w:vAlign w:val="center"/>
          </w:tcPr>
          <w:p w14:paraId="35C3DEF4">
            <w:pPr>
              <w:widowControl/>
              <w:spacing w:line="240" w:lineRule="auto"/>
              <w:ind w:firstLine="0" w:firstLineChars="0"/>
              <w:jc w:val="center"/>
              <w:textAlignment w:val="center"/>
              <w:rPr>
                <w:rFonts w:cs="宋体"/>
                <w:color w:val="auto"/>
                <w:kern w:val="0"/>
                <w:sz w:val="21"/>
                <w:szCs w:val="22"/>
                <w:lang w:bidi="ar"/>
              </w:rPr>
            </w:pPr>
          </w:p>
        </w:tc>
        <w:tc>
          <w:tcPr>
            <w:tcW w:w="602" w:type="pct"/>
            <w:tcBorders>
              <w:tl2br w:val="nil"/>
              <w:tr2bl w:val="nil"/>
            </w:tcBorders>
            <w:vAlign w:val="center"/>
          </w:tcPr>
          <w:p w14:paraId="7C516770">
            <w:pPr>
              <w:spacing w:line="240" w:lineRule="auto"/>
              <w:ind w:firstLine="0" w:firstLineChars="0"/>
              <w:jc w:val="center"/>
              <w:rPr>
                <w:color w:val="auto"/>
                <w:sz w:val="21"/>
              </w:rPr>
            </w:pPr>
          </w:p>
        </w:tc>
        <w:tc>
          <w:tcPr>
            <w:tcW w:w="679" w:type="pct"/>
            <w:vMerge w:val="continue"/>
            <w:tcBorders>
              <w:tl2br w:val="nil"/>
              <w:tr2bl w:val="nil"/>
            </w:tcBorders>
            <w:vAlign w:val="center"/>
          </w:tcPr>
          <w:p w14:paraId="61B7C4E0">
            <w:pPr>
              <w:spacing w:line="240" w:lineRule="auto"/>
              <w:ind w:firstLine="0" w:firstLineChars="0"/>
              <w:jc w:val="center"/>
              <w:rPr>
                <w:color w:val="auto"/>
                <w:sz w:val="21"/>
              </w:rPr>
            </w:pPr>
          </w:p>
        </w:tc>
      </w:tr>
      <w:tr w14:paraId="00A42FC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DD7875B">
            <w:pPr>
              <w:spacing w:line="240" w:lineRule="auto"/>
              <w:ind w:firstLine="0" w:firstLineChars="0"/>
              <w:jc w:val="center"/>
              <w:rPr>
                <w:color w:val="auto"/>
                <w:sz w:val="21"/>
              </w:rPr>
            </w:pPr>
          </w:p>
        </w:tc>
        <w:tc>
          <w:tcPr>
            <w:tcW w:w="634" w:type="pct"/>
            <w:tcBorders>
              <w:tl2br w:val="nil"/>
              <w:tr2bl w:val="nil"/>
            </w:tcBorders>
            <w:vAlign w:val="center"/>
          </w:tcPr>
          <w:p w14:paraId="1D90CC90">
            <w:pPr>
              <w:spacing w:line="240" w:lineRule="auto"/>
              <w:ind w:firstLine="0" w:firstLineChars="0"/>
              <w:jc w:val="center"/>
              <w:rPr>
                <w:color w:val="auto"/>
                <w:sz w:val="21"/>
              </w:rPr>
            </w:pPr>
          </w:p>
        </w:tc>
        <w:tc>
          <w:tcPr>
            <w:tcW w:w="975" w:type="pct"/>
            <w:gridSpan w:val="2"/>
            <w:tcBorders>
              <w:tl2br w:val="nil"/>
              <w:tr2bl w:val="nil"/>
            </w:tcBorders>
            <w:vAlign w:val="center"/>
          </w:tcPr>
          <w:p w14:paraId="62893002">
            <w:pPr>
              <w:spacing w:line="240" w:lineRule="auto"/>
              <w:ind w:firstLine="0" w:firstLineChars="0"/>
              <w:jc w:val="center"/>
              <w:rPr>
                <w:color w:val="auto"/>
                <w:sz w:val="21"/>
              </w:rPr>
            </w:pPr>
          </w:p>
        </w:tc>
        <w:tc>
          <w:tcPr>
            <w:tcW w:w="652" w:type="pct"/>
            <w:tcBorders>
              <w:tl2br w:val="nil"/>
              <w:tr2bl w:val="nil"/>
            </w:tcBorders>
            <w:vAlign w:val="center"/>
          </w:tcPr>
          <w:p w14:paraId="54C66658">
            <w:pPr>
              <w:spacing w:line="240" w:lineRule="auto"/>
              <w:ind w:firstLine="0" w:firstLineChars="0"/>
              <w:jc w:val="center"/>
              <w:rPr>
                <w:color w:val="auto"/>
                <w:sz w:val="21"/>
              </w:rPr>
            </w:pPr>
          </w:p>
        </w:tc>
        <w:tc>
          <w:tcPr>
            <w:tcW w:w="717" w:type="pct"/>
            <w:tcBorders>
              <w:tl2br w:val="nil"/>
              <w:tr2bl w:val="nil"/>
            </w:tcBorders>
            <w:vAlign w:val="center"/>
          </w:tcPr>
          <w:p w14:paraId="68452AC1">
            <w:pPr>
              <w:spacing w:line="240" w:lineRule="auto"/>
              <w:ind w:firstLine="0" w:firstLineChars="0"/>
              <w:jc w:val="center"/>
              <w:rPr>
                <w:color w:val="auto"/>
                <w:sz w:val="21"/>
              </w:rPr>
            </w:pPr>
          </w:p>
        </w:tc>
        <w:tc>
          <w:tcPr>
            <w:tcW w:w="602" w:type="pct"/>
            <w:tcBorders>
              <w:tl2br w:val="nil"/>
              <w:tr2bl w:val="nil"/>
            </w:tcBorders>
            <w:vAlign w:val="center"/>
          </w:tcPr>
          <w:p w14:paraId="002AD0F8">
            <w:pPr>
              <w:spacing w:line="240" w:lineRule="auto"/>
              <w:ind w:firstLine="0" w:firstLineChars="0"/>
              <w:jc w:val="center"/>
              <w:rPr>
                <w:color w:val="auto"/>
                <w:sz w:val="21"/>
              </w:rPr>
            </w:pPr>
          </w:p>
        </w:tc>
        <w:tc>
          <w:tcPr>
            <w:tcW w:w="679" w:type="pct"/>
            <w:tcBorders>
              <w:tl2br w:val="nil"/>
              <w:tr2bl w:val="nil"/>
            </w:tcBorders>
            <w:vAlign w:val="center"/>
          </w:tcPr>
          <w:p w14:paraId="2962406D">
            <w:pPr>
              <w:spacing w:line="240" w:lineRule="auto"/>
              <w:ind w:firstLine="0" w:firstLineChars="0"/>
              <w:jc w:val="center"/>
              <w:rPr>
                <w:color w:val="auto"/>
                <w:sz w:val="21"/>
              </w:rPr>
            </w:pPr>
          </w:p>
        </w:tc>
      </w:tr>
      <w:tr w14:paraId="13E96B4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36AE702">
            <w:pPr>
              <w:spacing w:line="240" w:lineRule="auto"/>
              <w:ind w:firstLine="0" w:firstLineChars="0"/>
              <w:jc w:val="center"/>
              <w:rPr>
                <w:color w:val="auto"/>
                <w:sz w:val="21"/>
              </w:rPr>
            </w:pPr>
          </w:p>
        </w:tc>
        <w:tc>
          <w:tcPr>
            <w:tcW w:w="634" w:type="pct"/>
            <w:tcBorders>
              <w:tl2br w:val="nil"/>
              <w:tr2bl w:val="nil"/>
            </w:tcBorders>
            <w:vAlign w:val="center"/>
          </w:tcPr>
          <w:p w14:paraId="66986238">
            <w:pPr>
              <w:spacing w:line="240" w:lineRule="auto"/>
              <w:ind w:firstLine="0" w:firstLineChars="0"/>
              <w:jc w:val="center"/>
              <w:rPr>
                <w:color w:val="auto"/>
                <w:sz w:val="21"/>
              </w:rPr>
            </w:pPr>
          </w:p>
        </w:tc>
        <w:tc>
          <w:tcPr>
            <w:tcW w:w="2948" w:type="pct"/>
            <w:gridSpan w:val="5"/>
            <w:tcBorders>
              <w:tl2br w:val="nil"/>
              <w:tr2bl w:val="nil"/>
            </w:tcBorders>
            <w:vAlign w:val="center"/>
          </w:tcPr>
          <w:p w14:paraId="225E19FC">
            <w:pPr>
              <w:spacing w:line="240" w:lineRule="auto"/>
              <w:ind w:firstLine="0" w:firstLineChars="0"/>
              <w:jc w:val="center"/>
              <w:rPr>
                <w:color w:val="auto"/>
                <w:sz w:val="21"/>
              </w:rPr>
            </w:pPr>
          </w:p>
        </w:tc>
        <w:tc>
          <w:tcPr>
            <w:tcW w:w="679" w:type="pct"/>
            <w:tcBorders>
              <w:tl2br w:val="nil"/>
              <w:tr2bl w:val="nil"/>
            </w:tcBorders>
            <w:vAlign w:val="center"/>
          </w:tcPr>
          <w:p w14:paraId="740B101E">
            <w:pPr>
              <w:spacing w:line="240" w:lineRule="auto"/>
              <w:ind w:firstLine="0" w:firstLineChars="0"/>
              <w:jc w:val="center"/>
              <w:rPr>
                <w:color w:val="auto"/>
                <w:sz w:val="21"/>
              </w:rPr>
            </w:pPr>
          </w:p>
        </w:tc>
      </w:tr>
    </w:tbl>
    <w:p w14:paraId="5F275103">
      <w:pPr>
        <w:pStyle w:val="49"/>
        <w:rPr>
          <w:color w:val="auto"/>
        </w:rPr>
      </w:pPr>
    </w:p>
    <w:p w14:paraId="012670B8">
      <w:pPr>
        <w:pStyle w:val="49"/>
        <w:rPr>
          <w:color w:val="auto"/>
        </w:rPr>
      </w:pPr>
    </w:p>
    <w:p w14:paraId="14316599">
      <w:pPr>
        <w:pStyle w:val="49"/>
        <w:rPr>
          <w:color w:val="auto"/>
        </w:rPr>
      </w:pPr>
    </w:p>
    <w:p w14:paraId="6760128A">
      <w:pPr>
        <w:pStyle w:val="49"/>
        <w:rPr>
          <w:color w:val="auto"/>
        </w:rPr>
      </w:pPr>
      <w:r>
        <w:rPr>
          <w:rFonts w:hint="eastAsia"/>
          <w:color w:val="auto"/>
        </w:rPr>
        <w:t>图4.4-13  硫代硫酸镁生产物料平衡图（t/a）</w:t>
      </w:r>
    </w:p>
    <w:p w14:paraId="768700AD">
      <w:pPr>
        <w:pStyle w:val="49"/>
        <w:rPr>
          <w:color w:val="auto"/>
        </w:rPr>
      </w:pPr>
    </w:p>
    <w:p w14:paraId="56D8DD3A">
      <w:pPr>
        <w:pStyle w:val="6"/>
        <w:spacing w:before="156"/>
        <w:ind w:firstLine="482"/>
        <w:rPr>
          <w:color w:val="auto"/>
        </w:rPr>
      </w:pPr>
      <w:r>
        <w:rPr>
          <w:rFonts w:hint="eastAsia"/>
          <w:color w:val="auto"/>
        </w:rPr>
        <w:t>1.6硫代硫酸钾生产物料平衡</w:t>
      </w:r>
    </w:p>
    <w:p w14:paraId="5B0891B3">
      <w:pPr>
        <w:ind w:firstLine="480"/>
        <w:rPr>
          <w:rFonts w:hint="eastAsia" w:hAnsi="宋体"/>
          <w:color w:val="auto"/>
        </w:rPr>
      </w:pPr>
      <w:r>
        <w:rPr>
          <w:rFonts w:hint="eastAsia" w:hAnsi="宋体"/>
          <w:color w:val="auto"/>
        </w:rPr>
        <w:t>硫代硫酸钾年生产时间为715h，单批次生产5.5h，全年生产130批次。硫代硫酸钾</w:t>
      </w:r>
      <w:r>
        <w:rPr>
          <w:rFonts w:hAnsi="宋体"/>
          <w:color w:val="auto"/>
        </w:rPr>
        <w:t>单批次、一年投入产出统计分别见表4.</w:t>
      </w:r>
      <w:r>
        <w:rPr>
          <w:rFonts w:hint="eastAsia" w:hAnsi="宋体"/>
          <w:color w:val="auto"/>
        </w:rPr>
        <w:t>4</w:t>
      </w:r>
      <w:r>
        <w:rPr>
          <w:rFonts w:hAnsi="宋体"/>
          <w:color w:val="auto"/>
        </w:rPr>
        <w:t>-</w:t>
      </w:r>
      <w:r>
        <w:rPr>
          <w:rFonts w:hint="eastAsia" w:hAnsi="宋体"/>
          <w:color w:val="auto"/>
        </w:rPr>
        <w:t>17</w:t>
      </w:r>
      <w:r>
        <w:rPr>
          <w:rFonts w:hAnsi="宋体"/>
          <w:color w:val="auto"/>
        </w:rPr>
        <w:t>、4.</w:t>
      </w:r>
      <w:r>
        <w:rPr>
          <w:rFonts w:hint="eastAsia" w:hAnsi="宋体"/>
          <w:color w:val="auto"/>
        </w:rPr>
        <w:t>4</w:t>
      </w:r>
      <w:r>
        <w:rPr>
          <w:rFonts w:hAnsi="宋体"/>
          <w:color w:val="auto"/>
        </w:rPr>
        <w:t>-</w:t>
      </w:r>
      <w:r>
        <w:rPr>
          <w:rFonts w:hint="eastAsia" w:hAnsi="宋体"/>
          <w:color w:val="auto"/>
        </w:rPr>
        <w:t>18</w:t>
      </w:r>
      <w:r>
        <w:rPr>
          <w:rFonts w:hAnsi="宋体"/>
          <w:color w:val="auto"/>
        </w:rPr>
        <w:t>。物料平衡图见图4.</w:t>
      </w:r>
      <w:r>
        <w:rPr>
          <w:rFonts w:hint="eastAsia" w:hAnsi="宋体"/>
          <w:color w:val="auto"/>
        </w:rPr>
        <w:t>4-14</w:t>
      </w:r>
      <w:r>
        <w:rPr>
          <w:rFonts w:hAnsi="宋体"/>
          <w:color w:val="auto"/>
        </w:rPr>
        <w:t>。</w:t>
      </w:r>
    </w:p>
    <w:p w14:paraId="0B383F4A">
      <w:pPr>
        <w:spacing w:line="240" w:lineRule="auto"/>
        <w:ind w:firstLine="0" w:firstLineChars="0"/>
        <w:jc w:val="center"/>
        <w:rPr>
          <w:b/>
          <w:bCs/>
          <w:color w:val="auto"/>
        </w:rPr>
      </w:pPr>
      <w:r>
        <w:rPr>
          <w:rFonts w:hint="eastAsia"/>
          <w:b/>
          <w:bCs/>
          <w:color w:val="auto"/>
        </w:rPr>
        <w:t>表4.4-17  硫代硫酸钾生产物料投入--产出表</w:t>
      </w:r>
      <w:r>
        <w:rPr>
          <w:b/>
          <w:color w:val="auto"/>
        </w:rPr>
        <w:t>（kg/（批·釜））</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45"/>
        <w:gridCol w:w="1242"/>
        <w:gridCol w:w="970"/>
        <w:gridCol w:w="940"/>
        <w:gridCol w:w="1279"/>
        <w:gridCol w:w="1409"/>
        <w:gridCol w:w="2333"/>
        <w:gridCol w:w="236"/>
      </w:tblGrid>
      <w:tr w14:paraId="09E6739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6F048E6B">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60EF56F2">
            <w:pPr>
              <w:spacing w:line="240" w:lineRule="auto"/>
              <w:ind w:firstLine="0" w:firstLineChars="0"/>
              <w:jc w:val="center"/>
              <w:rPr>
                <w:b/>
                <w:bCs/>
                <w:color w:val="auto"/>
                <w:sz w:val="21"/>
              </w:rPr>
            </w:pPr>
            <w:r>
              <w:rPr>
                <w:rFonts w:hint="eastAsia"/>
                <w:b/>
                <w:bCs/>
                <w:color w:val="auto"/>
                <w:sz w:val="21"/>
              </w:rPr>
              <w:t>产出</w:t>
            </w:r>
          </w:p>
        </w:tc>
      </w:tr>
      <w:tr w14:paraId="7E702F4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D35DC97">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0E395B2C">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74722050">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5E95A84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370" w:type="pct"/>
            <w:gridSpan w:val="2"/>
            <w:tcBorders>
              <w:tl2br w:val="nil"/>
              <w:tr2bl w:val="nil"/>
            </w:tcBorders>
            <w:vAlign w:val="center"/>
          </w:tcPr>
          <w:p w14:paraId="103A03E2">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282" w:type="pct"/>
            <w:gridSpan w:val="2"/>
            <w:tcBorders>
              <w:tl2br w:val="nil"/>
              <w:tr2bl w:val="nil"/>
            </w:tcBorders>
            <w:vAlign w:val="center"/>
          </w:tcPr>
          <w:p w14:paraId="5A85E2E5">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6B3BA8F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C6A0746">
            <w:pPr>
              <w:spacing w:line="240" w:lineRule="auto"/>
              <w:ind w:firstLine="0" w:firstLineChars="0"/>
              <w:jc w:val="center"/>
              <w:rPr>
                <w:color w:val="auto"/>
                <w:sz w:val="21"/>
              </w:rPr>
            </w:pPr>
          </w:p>
        </w:tc>
        <w:tc>
          <w:tcPr>
            <w:tcW w:w="1250" w:type="dxa"/>
            <w:tcBorders>
              <w:tl2br w:val="nil"/>
              <w:tr2bl w:val="nil"/>
            </w:tcBorders>
            <w:vAlign w:val="center"/>
          </w:tcPr>
          <w:p w14:paraId="346C3A78">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022159FE">
            <w:pPr>
              <w:spacing w:line="240" w:lineRule="auto"/>
              <w:ind w:firstLine="0" w:firstLineChars="0"/>
              <w:jc w:val="center"/>
              <w:rPr>
                <w:color w:val="auto"/>
                <w:sz w:val="21"/>
              </w:rPr>
            </w:pPr>
          </w:p>
        </w:tc>
        <w:tc>
          <w:tcPr>
            <w:tcW w:w="652" w:type="pct"/>
            <w:vMerge w:val="restart"/>
            <w:tcBorders>
              <w:tl2br w:val="nil"/>
              <w:tr2bl w:val="nil"/>
            </w:tcBorders>
            <w:vAlign w:val="center"/>
          </w:tcPr>
          <w:p w14:paraId="35413E50">
            <w:pPr>
              <w:spacing w:line="240" w:lineRule="auto"/>
              <w:ind w:firstLine="0" w:firstLineChars="0"/>
              <w:jc w:val="center"/>
              <w:rPr>
                <w:color w:val="auto"/>
                <w:sz w:val="21"/>
              </w:rPr>
            </w:pPr>
          </w:p>
        </w:tc>
        <w:tc>
          <w:tcPr>
            <w:tcW w:w="717" w:type="pct"/>
            <w:tcBorders>
              <w:tl2br w:val="nil"/>
              <w:tr2bl w:val="nil"/>
            </w:tcBorders>
            <w:vAlign w:val="center"/>
          </w:tcPr>
          <w:p w14:paraId="2177A1BF">
            <w:pPr>
              <w:spacing w:line="240" w:lineRule="auto"/>
              <w:ind w:firstLine="0" w:firstLineChars="0"/>
              <w:jc w:val="center"/>
              <w:rPr>
                <w:color w:val="auto"/>
                <w:sz w:val="21"/>
              </w:rPr>
            </w:pPr>
          </w:p>
        </w:tc>
        <w:tc>
          <w:tcPr>
            <w:tcW w:w="1187" w:type="dxa"/>
            <w:tcBorders>
              <w:tl2br w:val="nil"/>
              <w:tr2bl w:val="nil"/>
            </w:tcBorders>
            <w:vAlign w:val="center"/>
          </w:tcPr>
          <w:p w14:paraId="4E9E4D4D">
            <w:pPr>
              <w:spacing w:line="240" w:lineRule="auto"/>
              <w:ind w:firstLine="0" w:firstLineChars="0"/>
              <w:jc w:val="center"/>
              <w:rPr>
                <w:color w:val="auto"/>
                <w:sz w:val="21"/>
              </w:rPr>
            </w:pPr>
          </w:p>
        </w:tc>
        <w:tc>
          <w:tcPr>
            <w:tcW w:w="1340" w:type="dxa"/>
            <w:vMerge w:val="restart"/>
            <w:tcBorders>
              <w:tl2br w:val="nil"/>
              <w:tr2bl w:val="nil"/>
            </w:tcBorders>
            <w:vAlign w:val="center"/>
          </w:tcPr>
          <w:p w14:paraId="072C436B">
            <w:pPr>
              <w:spacing w:line="240" w:lineRule="auto"/>
              <w:ind w:firstLine="0" w:firstLineChars="0"/>
              <w:jc w:val="center"/>
              <w:rPr>
                <w:color w:val="auto"/>
                <w:sz w:val="21"/>
              </w:rPr>
            </w:pPr>
          </w:p>
        </w:tc>
      </w:tr>
      <w:tr w14:paraId="1F832A6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A7EE5D3">
            <w:pPr>
              <w:spacing w:line="240" w:lineRule="auto"/>
              <w:ind w:firstLine="0" w:firstLineChars="0"/>
              <w:jc w:val="center"/>
              <w:rPr>
                <w:color w:val="auto"/>
                <w:sz w:val="21"/>
              </w:rPr>
            </w:pPr>
          </w:p>
        </w:tc>
        <w:tc>
          <w:tcPr>
            <w:tcW w:w="1250" w:type="dxa"/>
            <w:tcBorders>
              <w:tl2br w:val="nil"/>
              <w:tr2bl w:val="nil"/>
            </w:tcBorders>
            <w:vAlign w:val="center"/>
          </w:tcPr>
          <w:p w14:paraId="3B3B1498">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4925FEA8">
            <w:pPr>
              <w:spacing w:line="240" w:lineRule="auto"/>
              <w:ind w:firstLine="0" w:firstLineChars="0"/>
              <w:jc w:val="center"/>
              <w:rPr>
                <w:color w:val="auto"/>
                <w:sz w:val="21"/>
              </w:rPr>
            </w:pPr>
          </w:p>
        </w:tc>
        <w:tc>
          <w:tcPr>
            <w:tcW w:w="652" w:type="pct"/>
            <w:vMerge w:val="continue"/>
            <w:tcBorders>
              <w:tl2br w:val="nil"/>
              <w:tr2bl w:val="nil"/>
            </w:tcBorders>
            <w:vAlign w:val="center"/>
          </w:tcPr>
          <w:p w14:paraId="7210F389">
            <w:pPr>
              <w:spacing w:line="240" w:lineRule="auto"/>
              <w:ind w:firstLine="0" w:firstLineChars="0"/>
              <w:jc w:val="center"/>
              <w:rPr>
                <w:color w:val="auto"/>
                <w:sz w:val="21"/>
              </w:rPr>
            </w:pPr>
          </w:p>
        </w:tc>
        <w:tc>
          <w:tcPr>
            <w:tcW w:w="717" w:type="pct"/>
            <w:tcBorders>
              <w:tl2br w:val="nil"/>
              <w:tr2bl w:val="nil"/>
            </w:tcBorders>
            <w:vAlign w:val="center"/>
          </w:tcPr>
          <w:p w14:paraId="5723F50E">
            <w:pPr>
              <w:spacing w:line="240" w:lineRule="auto"/>
              <w:ind w:firstLine="0" w:firstLineChars="0"/>
              <w:jc w:val="center"/>
              <w:rPr>
                <w:color w:val="auto"/>
                <w:sz w:val="21"/>
              </w:rPr>
            </w:pPr>
          </w:p>
        </w:tc>
        <w:tc>
          <w:tcPr>
            <w:tcW w:w="1187" w:type="dxa"/>
            <w:tcBorders>
              <w:tl2br w:val="nil"/>
              <w:tr2bl w:val="nil"/>
            </w:tcBorders>
            <w:vAlign w:val="center"/>
          </w:tcPr>
          <w:p w14:paraId="242B6300">
            <w:pPr>
              <w:spacing w:line="240" w:lineRule="auto"/>
              <w:ind w:firstLine="0" w:firstLineChars="0"/>
              <w:jc w:val="center"/>
              <w:rPr>
                <w:color w:val="auto"/>
                <w:sz w:val="21"/>
              </w:rPr>
            </w:pPr>
          </w:p>
        </w:tc>
        <w:tc>
          <w:tcPr>
            <w:tcW w:w="679" w:type="pct"/>
            <w:vMerge w:val="continue"/>
            <w:tcBorders>
              <w:tl2br w:val="nil"/>
              <w:tr2bl w:val="nil"/>
            </w:tcBorders>
            <w:vAlign w:val="center"/>
          </w:tcPr>
          <w:p w14:paraId="4B263111">
            <w:pPr>
              <w:spacing w:line="240" w:lineRule="auto"/>
              <w:ind w:firstLine="0" w:firstLineChars="0"/>
              <w:jc w:val="center"/>
              <w:rPr>
                <w:color w:val="auto"/>
                <w:sz w:val="21"/>
              </w:rPr>
            </w:pPr>
          </w:p>
        </w:tc>
      </w:tr>
      <w:tr w14:paraId="1024B57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1DC1A82">
            <w:pPr>
              <w:spacing w:line="240" w:lineRule="auto"/>
              <w:ind w:firstLine="0" w:firstLineChars="0"/>
              <w:jc w:val="center"/>
              <w:rPr>
                <w:color w:val="auto"/>
                <w:sz w:val="21"/>
              </w:rPr>
            </w:pPr>
          </w:p>
        </w:tc>
        <w:tc>
          <w:tcPr>
            <w:tcW w:w="1250" w:type="dxa"/>
            <w:tcBorders>
              <w:tl2br w:val="nil"/>
              <w:tr2bl w:val="nil"/>
            </w:tcBorders>
            <w:vAlign w:val="center"/>
          </w:tcPr>
          <w:p w14:paraId="63343080">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22E0A6A9">
            <w:pPr>
              <w:spacing w:line="240" w:lineRule="auto"/>
              <w:ind w:firstLine="0" w:firstLineChars="0"/>
              <w:jc w:val="center"/>
              <w:rPr>
                <w:color w:val="auto"/>
                <w:sz w:val="21"/>
              </w:rPr>
            </w:pPr>
          </w:p>
        </w:tc>
        <w:tc>
          <w:tcPr>
            <w:tcW w:w="652" w:type="pct"/>
            <w:vMerge w:val="continue"/>
            <w:tcBorders>
              <w:tl2br w:val="nil"/>
              <w:tr2bl w:val="nil"/>
            </w:tcBorders>
            <w:vAlign w:val="center"/>
          </w:tcPr>
          <w:p w14:paraId="71530E53">
            <w:pPr>
              <w:spacing w:line="240" w:lineRule="auto"/>
              <w:ind w:firstLine="0" w:firstLineChars="0"/>
              <w:jc w:val="center"/>
              <w:rPr>
                <w:color w:val="auto"/>
                <w:sz w:val="21"/>
              </w:rPr>
            </w:pPr>
          </w:p>
        </w:tc>
        <w:tc>
          <w:tcPr>
            <w:tcW w:w="717" w:type="pct"/>
            <w:tcBorders>
              <w:tl2br w:val="nil"/>
              <w:tr2bl w:val="nil"/>
            </w:tcBorders>
            <w:vAlign w:val="center"/>
          </w:tcPr>
          <w:p w14:paraId="5620871A">
            <w:pPr>
              <w:spacing w:line="240" w:lineRule="auto"/>
              <w:ind w:firstLine="0" w:firstLineChars="0"/>
              <w:jc w:val="center"/>
              <w:rPr>
                <w:color w:val="auto"/>
                <w:sz w:val="21"/>
              </w:rPr>
            </w:pPr>
          </w:p>
        </w:tc>
        <w:tc>
          <w:tcPr>
            <w:tcW w:w="1187" w:type="dxa"/>
            <w:tcBorders>
              <w:tl2br w:val="nil"/>
              <w:tr2bl w:val="nil"/>
            </w:tcBorders>
            <w:vAlign w:val="center"/>
          </w:tcPr>
          <w:p w14:paraId="6E3CCD4C">
            <w:pPr>
              <w:spacing w:line="240" w:lineRule="auto"/>
              <w:ind w:firstLine="0" w:firstLineChars="0"/>
              <w:jc w:val="center"/>
              <w:rPr>
                <w:color w:val="auto"/>
                <w:sz w:val="21"/>
              </w:rPr>
            </w:pPr>
          </w:p>
        </w:tc>
        <w:tc>
          <w:tcPr>
            <w:tcW w:w="679" w:type="pct"/>
            <w:vMerge w:val="continue"/>
            <w:tcBorders>
              <w:tl2br w:val="nil"/>
              <w:tr2bl w:val="nil"/>
            </w:tcBorders>
            <w:vAlign w:val="center"/>
          </w:tcPr>
          <w:p w14:paraId="29A7EE3D">
            <w:pPr>
              <w:spacing w:line="240" w:lineRule="auto"/>
              <w:ind w:firstLine="0" w:firstLineChars="0"/>
              <w:jc w:val="center"/>
              <w:rPr>
                <w:color w:val="auto"/>
                <w:sz w:val="21"/>
              </w:rPr>
            </w:pPr>
          </w:p>
        </w:tc>
      </w:tr>
      <w:tr w14:paraId="1B85567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2776D9BB">
            <w:pPr>
              <w:widowControl/>
              <w:spacing w:line="240" w:lineRule="auto"/>
              <w:ind w:firstLine="0" w:firstLineChars="0"/>
              <w:jc w:val="center"/>
              <w:textAlignment w:val="center"/>
              <w:rPr>
                <w:rFonts w:cs="宋体"/>
                <w:color w:val="auto"/>
                <w:kern w:val="0"/>
                <w:sz w:val="21"/>
                <w:szCs w:val="22"/>
                <w:lang w:bidi="ar"/>
              </w:rPr>
            </w:pPr>
          </w:p>
        </w:tc>
        <w:tc>
          <w:tcPr>
            <w:tcW w:w="1250" w:type="dxa"/>
            <w:tcBorders>
              <w:tl2br w:val="nil"/>
              <w:tr2bl w:val="nil"/>
            </w:tcBorders>
            <w:vAlign w:val="center"/>
          </w:tcPr>
          <w:p w14:paraId="2922C122">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1B969D36">
            <w:pPr>
              <w:spacing w:line="240" w:lineRule="auto"/>
              <w:ind w:firstLine="0" w:firstLineChars="0"/>
              <w:jc w:val="center"/>
              <w:rPr>
                <w:color w:val="auto"/>
                <w:sz w:val="21"/>
              </w:rPr>
            </w:pPr>
          </w:p>
        </w:tc>
        <w:tc>
          <w:tcPr>
            <w:tcW w:w="652" w:type="pct"/>
            <w:vMerge w:val="continue"/>
            <w:tcBorders>
              <w:tl2br w:val="nil"/>
              <w:tr2bl w:val="nil"/>
            </w:tcBorders>
            <w:vAlign w:val="center"/>
          </w:tcPr>
          <w:p w14:paraId="343A1386">
            <w:pPr>
              <w:spacing w:line="240" w:lineRule="auto"/>
              <w:ind w:firstLine="0" w:firstLineChars="0"/>
              <w:jc w:val="center"/>
              <w:rPr>
                <w:color w:val="auto"/>
                <w:sz w:val="21"/>
              </w:rPr>
            </w:pPr>
          </w:p>
        </w:tc>
        <w:tc>
          <w:tcPr>
            <w:tcW w:w="717" w:type="pct"/>
            <w:tcBorders>
              <w:tl2br w:val="nil"/>
              <w:tr2bl w:val="nil"/>
            </w:tcBorders>
            <w:vAlign w:val="center"/>
          </w:tcPr>
          <w:p w14:paraId="42C7B26C">
            <w:pPr>
              <w:spacing w:line="240" w:lineRule="auto"/>
              <w:ind w:firstLine="0" w:firstLineChars="0"/>
              <w:jc w:val="center"/>
              <w:rPr>
                <w:color w:val="auto"/>
                <w:sz w:val="21"/>
              </w:rPr>
            </w:pPr>
          </w:p>
        </w:tc>
        <w:tc>
          <w:tcPr>
            <w:tcW w:w="1187" w:type="dxa"/>
            <w:tcBorders>
              <w:tl2br w:val="nil"/>
              <w:tr2bl w:val="nil"/>
            </w:tcBorders>
            <w:vAlign w:val="center"/>
          </w:tcPr>
          <w:p w14:paraId="14247BCE">
            <w:pPr>
              <w:spacing w:line="240" w:lineRule="auto"/>
              <w:ind w:firstLine="0" w:firstLineChars="0"/>
              <w:jc w:val="center"/>
              <w:rPr>
                <w:color w:val="auto"/>
                <w:sz w:val="21"/>
              </w:rPr>
            </w:pPr>
          </w:p>
        </w:tc>
        <w:tc>
          <w:tcPr>
            <w:tcW w:w="679" w:type="pct"/>
            <w:vMerge w:val="continue"/>
            <w:tcBorders>
              <w:tl2br w:val="nil"/>
              <w:tr2bl w:val="nil"/>
            </w:tcBorders>
            <w:vAlign w:val="center"/>
          </w:tcPr>
          <w:p w14:paraId="1F276366">
            <w:pPr>
              <w:spacing w:line="240" w:lineRule="auto"/>
              <w:ind w:firstLine="0" w:firstLineChars="0"/>
              <w:jc w:val="center"/>
              <w:rPr>
                <w:color w:val="auto"/>
                <w:sz w:val="21"/>
              </w:rPr>
            </w:pPr>
          </w:p>
        </w:tc>
      </w:tr>
      <w:tr w14:paraId="7DE0BE5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8516640">
            <w:pPr>
              <w:widowControl/>
              <w:spacing w:line="240" w:lineRule="auto"/>
              <w:ind w:firstLine="0" w:firstLineChars="0"/>
              <w:jc w:val="center"/>
              <w:textAlignment w:val="center"/>
              <w:rPr>
                <w:rFonts w:cs="宋体"/>
                <w:color w:val="auto"/>
                <w:kern w:val="0"/>
                <w:sz w:val="21"/>
                <w:szCs w:val="22"/>
                <w:lang w:bidi="ar"/>
              </w:rPr>
            </w:pPr>
          </w:p>
        </w:tc>
        <w:tc>
          <w:tcPr>
            <w:tcW w:w="1250" w:type="dxa"/>
            <w:tcBorders>
              <w:tl2br w:val="nil"/>
              <w:tr2bl w:val="nil"/>
            </w:tcBorders>
            <w:vAlign w:val="center"/>
          </w:tcPr>
          <w:p w14:paraId="08B3CF0A">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72F10AAE">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171A859C">
            <w:pPr>
              <w:widowControl/>
              <w:spacing w:line="240" w:lineRule="auto"/>
              <w:ind w:firstLine="0" w:firstLineChars="0"/>
              <w:jc w:val="center"/>
              <w:textAlignment w:val="center"/>
              <w:rPr>
                <w:color w:val="auto"/>
                <w:sz w:val="21"/>
              </w:rPr>
            </w:pPr>
          </w:p>
        </w:tc>
        <w:tc>
          <w:tcPr>
            <w:tcW w:w="717" w:type="pct"/>
            <w:tcBorders>
              <w:tl2br w:val="nil"/>
              <w:tr2bl w:val="nil"/>
            </w:tcBorders>
            <w:vAlign w:val="center"/>
          </w:tcPr>
          <w:p w14:paraId="2D609DBE">
            <w:pPr>
              <w:spacing w:line="240" w:lineRule="auto"/>
              <w:ind w:firstLine="0" w:firstLineChars="0"/>
              <w:jc w:val="center"/>
              <w:rPr>
                <w:color w:val="auto"/>
                <w:sz w:val="21"/>
              </w:rPr>
            </w:pPr>
          </w:p>
        </w:tc>
        <w:tc>
          <w:tcPr>
            <w:tcW w:w="1187" w:type="dxa"/>
            <w:tcBorders>
              <w:tl2br w:val="nil"/>
              <w:tr2bl w:val="nil"/>
            </w:tcBorders>
            <w:vAlign w:val="center"/>
          </w:tcPr>
          <w:p w14:paraId="636F5C9D">
            <w:pPr>
              <w:spacing w:line="240" w:lineRule="auto"/>
              <w:ind w:firstLine="0" w:firstLineChars="0"/>
              <w:jc w:val="center"/>
              <w:rPr>
                <w:color w:val="auto"/>
                <w:sz w:val="21"/>
              </w:rPr>
            </w:pPr>
          </w:p>
        </w:tc>
        <w:tc>
          <w:tcPr>
            <w:tcW w:w="679" w:type="pct"/>
            <w:vMerge w:val="continue"/>
            <w:tcBorders>
              <w:tl2br w:val="nil"/>
              <w:tr2bl w:val="nil"/>
            </w:tcBorders>
            <w:vAlign w:val="center"/>
          </w:tcPr>
          <w:p w14:paraId="274BF4F3">
            <w:pPr>
              <w:spacing w:line="240" w:lineRule="auto"/>
              <w:ind w:firstLine="0" w:firstLineChars="0"/>
              <w:jc w:val="center"/>
              <w:rPr>
                <w:color w:val="auto"/>
                <w:sz w:val="21"/>
              </w:rPr>
            </w:pPr>
          </w:p>
        </w:tc>
      </w:tr>
      <w:tr w14:paraId="79E770F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9201FD8">
            <w:pPr>
              <w:spacing w:line="240" w:lineRule="auto"/>
              <w:ind w:firstLine="0" w:firstLineChars="0"/>
              <w:jc w:val="center"/>
              <w:rPr>
                <w:color w:val="auto"/>
                <w:sz w:val="21"/>
              </w:rPr>
            </w:pPr>
          </w:p>
        </w:tc>
        <w:tc>
          <w:tcPr>
            <w:tcW w:w="1250" w:type="dxa"/>
            <w:tcBorders>
              <w:tl2br w:val="nil"/>
              <w:tr2bl w:val="nil"/>
            </w:tcBorders>
            <w:vAlign w:val="center"/>
          </w:tcPr>
          <w:p w14:paraId="787DDF36">
            <w:pPr>
              <w:spacing w:line="240" w:lineRule="auto"/>
              <w:ind w:firstLine="0" w:firstLineChars="0"/>
              <w:jc w:val="center"/>
              <w:rPr>
                <w:color w:val="auto"/>
                <w:sz w:val="21"/>
              </w:rPr>
            </w:pPr>
          </w:p>
        </w:tc>
        <w:tc>
          <w:tcPr>
            <w:tcW w:w="975" w:type="pct"/>
            <w:gridSpan w:val="2"/>
            <w:tcBorders>
              <w:tl2br w:val="nil"/>
              <w:tr2bl w:val="nil"/>
            </w:tcBorders>
            <w:vAlign w:val="center"/>
          </w:tcPr>
          <w:p w14:paraId="76653BB0">
            <w:pPr>
              <w:spacing w:line="240" w:lineRule="auto"/>
              <w:ind w:firstLine="0" w:firstLineChars="0"/>
              <w:jc w:val="center"/>
              <w:rPr>
                <w:color w:val="auto"/>
                <w:sz w:val="21"/>
              </w:rPr>
            </w:pPr>
          </w:p>
        </w:tc>
        <w:tc>
          <w:tcPr>
            <w:tcW w:w="652" w:type="pct"/>
            <w:tcBorders>
              <w:tl2br w:val="nil"/>
              <w:tr2bl w:val="nil"/>
            </w:tcBorders>
            <w:vAlign w:val="center"/>
          </w:tcPr>
          <w:p w14:paraId="34952557">
            <w:pPr>
              <w:spacing w:line="240" w:lineRule="auto"/>
              <w:ind w:firstLine="0" w:firstLineChars="0"/>
              <w:jc w:val="center"/>
              <w:rPr>
                <w:color w:val="auto"/>
                <w:sz w:val="21"/>
              </w:rPr>
            </w:pPr>
          </w:p>
        </w:tc>
        <w:tc>
          <w:tcPr>
            <w:tcW w:w="717" w:type="pct"/>
            <w:tcBorders>
              <w:tl2br w:val="nil"/>
              <w:tr2bl w:val="nil"/>
            </w:tcBorders>
            <w:vAlign w:val="center"/>
          </w:tcPr>
          <w:p w14:paraId="4D2913BB">
            <w:pPr>
              <w:spacing w:line="240" w:lineRule="auto"/>
              <w:ind w:firstLine="0" w:firstLineChars="0"/>
              <w:jc w:val="center"/>
              <w:rPr>
                <w:color w:val="auto"/>
                <w:sz w:val="21"/>
              </w:rPr>
            </w:pPr>
          </w:p>
        </w:tc>
        <w:tc>
          <w:tcPr>
            <w:tcW w:w="1187" w:type="dxa"/>
            <w:tcBorders>
              <w:tl2br w:val="nil"/>
              <w:tr2bl w:val="nil"/>
            </w:tcBorders>
            <w:vAlign w:val="center"/>
          </w:tcPr>
          <w:p w14:paraId="6F9200C6">
            <w:pPr>
              <w:spacing w:line="240" w:lineRule="auto"/>
              <w:ind w:firstLine="0" w:firstLineChars="0"/>
              <w:jc w:val="center"/>
              <w:rPr>
                <w:color w:val="auto"/>
                <w:sz w:val="21"/>
              </w:rPr>
            </w:pPr>
          </w:p>
        </w:tc>
        <w:tc>
          <w:tcPr>
            <w:tcW w:w="1340" w:type="dxa"/>
            <w:tcBorders>
              <w:tl2br w:val="nil"/>
              <w:tr2bl w:val="nil"/>
            </w:tcBorders>
            <w:vAlign w:val="center"/>
          </w:tcPr>
          <w:p w14:paraId="70DEE703">
            <w:pPr>
              <w:spacing w:line="240" w:lineRule="auto"/>
              <w:ind w:firstLine="0" w:firstLineChars="0"/>
              <w:jc w:val="center"/>
              <w:rPr>
                <w:color w:val="auto"/>
                <w:sz w:val="21"/>
              </w:rPr>
            </w:pPr>
          </w:p>
        </w:tc>
      </w:tr>
      <w:tr w14:paraId="2A97CA0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8509C88">
            <w:pPr>
              <w:spacing w:line="240" w:lineRule="auto"/>
              <w:ind w:firstLine="0" w:firstLineChars="0"/>
              <w:jc w:val="center"/>
              <w:rPr>
                <w:color w:val="auto"/>
                <w:sz w:val="21"/>
              </w:rPr>
            </w:pPr>
          </w:p>
        </w:tc>
        <w:tc>
          <w:tcPr>
            <w:tcW w:w="1250" w:type="dxa"/>
            <w:tcBorders>
              <w:tl2br w:val="nil"/>
              <w:tr2bl w:val="nil"/>
            </w:tcBorders>
            <w:vAlign w:val="center"/>
          </w:tcPr>
          <w:p w14:paraId="144F0821">
            <w:pPr>
              <w:spacing w:line="240" w:lineRule="auto"/>
              <w:ind w:firstLine="0" w:firstLineChars="0"/>
              <w:jc w:val="center"/>
              <w:rPr>
                <w:color w:val="auto"/>
                <w:sz w:val="21"/>
              </w:rPr>
            </w:pPr>
          </w:p>
        </w:tc>
        <w:tc>
          <w:tcPr>
            <w:tcW w:w="2948" w:type="pct"/>
            <w:gridSpan w:val="5"/>
            <w:tcBorders>
              <w:tl2br w:val="nil"/>
              <w:tr2bl w:val="nil"/>
            </w:tcBorders>
            <w:vAlign w:val="center"/>
          </w:tcPr>
          <w:p w14:paraId="634DF4A9">
            <w:pPr>
              <w:spacing w:line="240" w:lineRule="auto"/>
              <w:ind w:firstLine="0" w:firstLineChars="0"/>
              <w:jc w:val="center"/>
              <w:rPr>
                <w:color w:val="auto"/>
                <w:sz w:val="21"/>
              </w:rPr>
            </w:pPr>
          </w:p>
        </w:tc>
        <w:tc>
          <w:tcPr>
            <w:tcW w:w="1340" w:type="dxa"/>
            <w:tcBorders>
              <w:tl2br w:val="nil"/>
              <w:tr2bl w:val="nil"/>
            </w:tcBorders>
            <w:vAlign w:val="center"/>
          </w:tcPr>
          <w:p w14:paraId="6B2ACD4C">
            <w:pPr>
              <w:spacing w:line="240" w:lineRule="auto"/>
              <w:ind w:firstLine="0" w:firstLineChars="0"/>
              <w:jc w:val="center"/>
              <w:rPr>
                <w:color w:val="auto"/>
                <w:sz w:val="21"/>
              </w:rPr>
            </w:pPr>
          </w:p>
        </w:tc>
      </w:tr>
    </w:tbl>
    <w:p w14:paraId="224893D4">
      <w:pPr>
        <w:ind w:firstLine="480"/>
        <w:rPr>
          <w:color w:val="auto"/>
        </w:rPr>
      </w:pPr>
    </w:p>
    <w:p w14:paraId="196ECB13">
      <w:pPr>
        <w:spacing w:line="240" w:lineRule="auto"/>
        <w:ind w:firstLine="0" w:firstLineChars="0"/>
        <w:jc w:val="center"/>
        <w:rPr>
          <w:b/>
          <w:bCs/>
          <w:color w:val="auto"/>
        </w:rPr>
      </w:pPr>
      <w:r>
        <w:rPr>
          <w:rFonts w:hint="eastAsia"/>
          <w:b/>
          <w:bCs/>
          <w:color w:val="auto"/>
        </w:rPr>
        <w:t>表4.4-18  硫代硫酸钾生产物料投入--产出表（t/a）</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3"/>
        <w:gridCol w:w="1250"/>
        <w:gridCol w:w="977"/>
        <w:gridCol w:w="946"/>
        <w:gridCol w:w="1285"/>
        <w:gridCol w:w="1415"/>
        <w:gridCol w:w="1188"/>
        <w:gridCol w:w="1340"/>
      </w:tblGrid>
      <w:tr w14:paraId="0727C5E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27A4BDB6">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7A267786">
            <w:pPr>
              <w:spacing w:line="240" w:lineRule="auto"/>
              <w:ind w:firstLine="0" w:firstLineChars="0"/>
              <w:jc w:val="center"/>
              <w:rPr>
                <w:b/>
                <w:bCs/>
                <w:color w:val="auto"/>
                <w:sz w:val="21"/>
              </w:rPr>
            </w:pPr>
            <w:r>
              <w:rPr>
                <w:rFonts w:hint="eastAsia"/>
                <w:b/>
                <w:bCs/>
                <w:color w:val="auto"/>
                <w:sz w:val="21"/>
              </w:rPr>
              <w:t>产出</w:t>
            </w:r>
          </w:p>
        </w:tc>
      </w:tr>
      <w:tr w14:paraId="0ECAF29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F510D7E">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35B33739">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27213A9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5150FEBA">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370" w:type="pct"/>
            <w:gridSpan w:val="2"/>
            <w:tcBorders>
              <w:tl2br w:val="nil"/>
              <w:tr2bl w:val="nil"/>
            </w:tcBorders>
            <w:vAlign w:val="center"/>
          </w:tcPr>
          <w:p w14:paraId="210D251E">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282" w:type="pct"/>
            <w:gridSpan w:val="2"/>
            <w:tcBorders>
              <w:tl2br w:val="nil"/>
              <w:tr2bl w:val="nil"/>
            </w:tcBorders>
            <w:vAlign w:val="center"/>
          </w:tcPr>
          <w:p w14:paraId="172904B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105DCF0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49E8F20">
            <w:pPr>
              <w:spacing w:line="240" w:lineRule="auto"/>
              <w:ind w:firstLine="0" w:firstLineChars="0"/>
              <w:jc w:val="center"/>
              <w:rPr>
                <w:color w:val="auto"/>
                <w:sz w:val="21"/>
              </w:rPr>
            </w:pPr>
          </w:p>
        </w:tc>
        <w:tc>
          <w:tcPr>
            <w:tcW w:w="634" w:type="pct"/>
            <w:tcBorders>
              <w:tl2br w:val="nil"/>
              <w:tr2bl w:val="nil"/>
            </w:tcBorders>
            <w:vAlign w:val="center"/>
          </w:tcPr>
          <w:p w14:paraId="616A9AD4">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5EDAFAB4">
            <w:pPr>
              <w:spacing w:line="240" w:lineRule="auto"/>
              <w:ind w:firstLine="0" w:firstLineChars="0"/>
              <w:jc w:val="center"/>
              <w:rPr>
                <w:color w:val="auto"/>
                <w:sz w:val="21"/>
              </w:rPr>
            </w:pPr>
          </w:p>
        </w:tc>
        <w:tc>
          <w:tcPr>
            <w:tcW w:w="652" w:type="pct"/>
            <w:vMerge w:val="restart"/>
            <w:tcBorders>
              <w:tl2br w:val="nil"/>
              <w:tr2bl w:val="nil"/>
            </w:tcBorders>
            <w:vAlign w:val="center"/>
          </w:tcPr>
          <w:p w14:paraId="7CB855A4">
            <w:pPr>
              <w:spacing w:line="240" w:lineRule="auto"/>
              <w:ind w:firstLine="0" w:firstLineChars="0"/>
              <w:jc w:val="center"/>
              <w:rPr>
                <w:color w:val="auto"/>
                <w:sz w:val="21"/>
              </w:rPr>
            </w:pPr>
          </w:p>
        </w:tc>
        <w:tc>
          <w:tcPr>
            <w:tcW w:w="717" w:type="pct"/>
            <w:tcBorders>
              <w:tl2br w:val="nil"/>
              <w:tr2bl w:val="nil"/>
            </w:tcBorders>
            <w:vAlign w:val="center"/>
          </w:tcPr>
          <w:p w14:paraId="7D1B31CB">
            <w:pPr>
              <w:spacing w:line="240" w:lineRule="auto"/>
              <w:ind w:firstLine="0" w:firstLineChars="0"/>
              <w:jc w:val="center"/>
              <w:rPr>
                <w:color w:val="auto"/>
                <w:sz w:val="21"/>
              </w:rPr>
            </w:pPr>
          </w:p>
        </w:tc>
        <w:tc>
          <w:tcPr>
            <w:tcW w:w="602" w:type="pct"/>
            <w:tcBorders>
              <w:tl2br w:val="nil"/>
              <w:tr2bl w:val="nil"/>
            </w:tcBorders>
            <w:vAlign w:val="center"/>
          </w:tcPr>
          <w:p w14:paraId="3E263461">
            <w:pPr>
              <w:spacing w:line="240" w:lineRule="auto"/>
              <w:ind w:firstLine="0" w:firstLineChars="0"/>
              <w:jc w:val="center"/>
              <w:rPr>
                <w:color w:val="auto"/>
                <w:sz w:val="21"/>
              </w:rPr>
            </w:pPr>
          </w:p>
        </w:tc>
        <w:tc>
          <w:tcPr>
            <w:tcW w:w="679" w:type="pct"/>
            <w:vMerge w:val="restart"/>
            <w:tcBorders>
              <w:tl2br w:val="nil"/>
              <w:tr2bl w:val="nil"/>
            </w:tcBorders>
            <w:vAlign w:val="center"/>
          </w:tcPr>
          <w:p w14:paraId="1F767FE0">
            <w:pPr>
              <w:spacing w:line="240" w:lineRule="auto"/>
              <w:ind w:firstLine="0" w:firstLineChars="0"/>
              <w:jc w:val="center"/>
              <w:rPr>
                <w:color w:val="auto"/>
                <w:sz w:val="21"/>
              </w:rPr>
            </w:pPr>
          </w:p>
        </w:tc>
      </w:tr>
      <w:tr w14:paraId="269639F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D0512BA">
            <w:pPr>
              <w:spacing w:line="240" w:lineRule="auto"/>
              <w:ind w:firstLine="0" w:firstLineChars="0"/>
              <w:jc w:val="center"/>
              <w:rPr>
                <w:color w:val="auto"/>
                <w:sz w:val="21"/>
              </w:rPr>
            </w:pPr>
          </w:p>
        </w:tc>
        <w:tc>
          <w:tcPr>
            <w:tcW w:w="634" w:type="pct"/>
            <w:tcBorders>
              <w:tl2br w:val="nil"/>
              <w:tr2bl w:val="nil"/>
            </w:tcBorders>
            <w:vAlign w:val="center"/>
          </w:tcPr>
          <w:p w14:paraId="04373400">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720D32A5">
            <w:pPr>
              <w:spacing w:line="240" w:lineRule="auto"/>
              <w:ind w:firstLine="0" w:firstLineChars="0"/>
              <w:jc w:val="center"/>
              <w:rPr>
                <w:color w:val="auto"/>
                <w:sz w:val="21"/>
              </w:rPr>
            </w:pPr>
          </w:p>
        </w:tc>
        <w:tc>
          <w:tcPr>
            <w:tcW w:w="652" w:type="pct"/>
            <w:vMerge w:val="continue"/>
            <w:tcBorders>
              <w:tl2br w:val="nil"/>
              <w:tr2bl w:val="nil"/>
            </w:tcBorders>
            <w:vAlign w:val="center"/>
          </w:tcPr>
          <w:p w14:paraId="6C8820F4">
            <w:pPr>
              <w:spacing w:line="240" w:lineRule="auto"/>
              <w:ind w:firstLine="0" w:firstLineChars="0"/>
              <w:jc w:val="center"/>
              <w:rPr>
                <w:color w:val="auto"/>
                <w:sz w:val="21"/>
              </w:rPr>
            </w:pPr>
          </w:p>
        </w:tc>
        <w:tc>
          <w:tcPr>
            <w:tcW w:w="717" w:type="pct"/>
            <w:tcBorders>
              <w:tl2br w:val="nil"/>
              <w:tr2bl w:val="nil"/>
            </w:tcBorders>
            <w:vAlign w:val="center"/>
          </w:tcPr>
          <w:p w14:paraId="28FA7F9E">
            <w:pPr>
              <w:spacing w:line="240" w:lineRule="auto"/>
              <w:ind w:firstLine="0" w:firstLineChars="0"/>
              <w:jc w:val="center"/>
              <w:rPr>
                <w:color w:val="auto"/>
                <w:sz w:val="21"/>
              </w:rPr>
            </w:pPr>
          </w:p>
        </w:tc>
        <w:tc>
          <w:tcPr>
            <w:tcW w:w="602" w:type="pct"/>
            <w:tcBorders>
              <w:tl2br w:val="nil"/>
              <w:tr2bl w:val="nil"/>
            </w:tcBorders>
            <w:vAlign w:val="center"/>
          </w:tcPr>
          <w:p w14:paraId="310D814F">
            <w:pPr>
              <w:spacing w:line="240" w:lineRule="auto"/>
              <w:ind w:firstLine="0" w:firstLineChars="0"/>
              <w:jc w:val="center"/>
              <w:rPr>
                <w:color w:val="auto"/>
                <w:sz w:val="21"/>
              </w:rPr>
            </w:pPr>
          </w:p>
        </w:tc>
        <w:tc>
          <w:tcPr>
            <w:tcW w:w="679" w:type="pct"/>
            <w:vMerge w:val="continue"/>
            <w:tcBorders>
              <w:tl2br w:val="nil"/>
              <w:tr2bl w:val="nil"/>
            </w:tcBorders>
            <w:vAlign w:val="center"/>
          </w:tcPr>
          <w:p w14:paraId="318C448D">
            <w:pPr>
              <w:spacing w:line="240" w:lineRule="auto"/>
              <w:ind w:firstLine="0" w:firstLineChars="0"/>
              <w:jc w:val="center"/>
              <w:rPr>
                <w:color w:val="auto"/>
                <w:sz w:val="21"/>
              </w:rPr>
            </w:pPr>
          </w:p>
        </w:tc>
      </w:tr>
      <w:tr w14:paraId="79A21C1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6204E06">
            <w:pPr>
              <w:spacing w:line="240" w:lineRule="auto"/>
              <w:ind w:firstLine="0" w:firstLineChars="0"/>
              <w:jc w:val="center"/>
              <w:rPr>
                <w:color w:val="auto"/>
                <w:sz w:val="21"/>
              </w:rPr>
            </w:pPr>
          </w:p>
        </w:tc>
        <w:tc>
          <w:tcPr>
            <w:tcW w:w="634" w:type="pct"/>
            <w:tcBorders>
              <w:tl2br w:val="nil"/>
              <w:tr2bl w:val="nil"/>
            </w:tcBorders>
            <w:vAlign w:val="center"/>
          </w:tcPr>
          <w:p w14:paraId="79336EFA">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5A7A8A30">
            <w:pPr>
              <w:spacing w:line="240" w:lineRule="auto"/>
              <w:ind w:firstLine="0" w:firstLineChars="0"/>
              <w:jc w:val="center"/>
              <w:rPr>
                <w:color w:val="auto"/>
                <w:sz w:val="21"/>
              </w:rPr>
            </w:pPr>
          </w:p>
        </w:tc>
        <w:tc>
          <w:tcPr>
            <w:tcW w:w="652" w:type="pct"/>
            <w:vMerge w:val="continue"/>
            <w:tcBorders>
              <w:tl2br w:val="nil"/>
              <w:tr2bl w:val="nil"/>
            </w:tcBorders>
            <w:vAlign w:val="center"/>
          </w:tcPr>
          <w:p w14:paraId="2679335B">
            <w:pPr>
              <w:spacing w:line="240" w:lineRule="auto"/>
              <w:ind w:firstLine="0" w:firstLineChars="0"/>
              <w:jc w:val="center"/>
              <w:rPr>
                <w:color w:val="auto"/>
                <w:sz w:val="21"/>
              </w:rPr>
            </w:pPr>
          </w:p>
        </w:tc>
        <w:tc>
          <w:tcPr>
            <w:tcW w:w="717" w:type="pct"/>
            <w:tcBorders>
              <w:tl2br w:val="nil"/>
              <w:tr2bl w:val="nil"/>
            </w:tcBorders>
            <w:vAlign w:val="center"/>
          </w:tcPr>
          <w:p w14:paraId="36FC00B4">
            <w:pPr>
              <w:spacing w:line="240" w:lineRule="auto"/>
              <w:ind w:firstLine="0" w:firstLineChars="0"/>
              <w:jc w:val="center"/>
              <w:rPr>
                <w:color w:val="auto"/>
                <w:sz w:val="21"/>
              </w:rPr>
            </w:pPr>
          </w:p>
        </w:tc>
        <w:tc>
          <w:tcPr>
            <w:tcW w:w="602" w:type="pct"/>
            <w:tcBorders>
              <w:tl2br w:val="nil"/>
              <w:tr2bl w:val="nil"/>
            </w:tcBorders>
            <w:vAlign w:val="center"/>
          </w:tcPr>
          <w:p w14:paraId="450E1E5B">
            <w:pPr>
              <w:spacing w:line="240" w:lineRule="auto"/>
              <w:ind w:firstLine="0" w:firstLineChars="0"/>
              <w:jc w:val="center"/>
              <w:rPr>
                <w:color w:val="auto"/>
                <w:sz w:val="21"/>
              </w:rPr>
            </w:pPr>
          </w:p>
        </w:tc>
        <w:tc>
          <w:tcPr>
            <w:tcW w:w="679" w:type="pct"/>
            <w:vMerge w:val="continue"/>
            <w:tcBorders>
              <w:tl2br w:val="nil"/>
              <w:tr2bl w:val="nil"/>
            </w:tcBorders>
            <w:vAlign w:val="center"/>
          </w:tcPr>
          <w:p w14:paraId="6719FF39">
            <w:pPr>
              <w:spacing w:line="240" w:lineRule="auto"/>
              <w:ind w:firstLine="0" w:firstLineChars="0"/>
              <w:jc w:val="center"/>
              <w:rPr>
                <w:color w:val="auto"/>
                <w:sz w:val="21"/>
              </w:rPr>
            </w:pPr>
          </w:p>
        </w:tc>
      </w:tr>
      <w:tr w14:paraId="2019F7F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F9D2A42">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47C34278">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144F9D8D">
            <w:pPr>
              <w:spacing w:line="240" w:lineRule="auto"/>
              <w:ind w:firstLine="0" w:firstLineChars="0"/>
              <w:jc w:val="center"/>
              <w:rPr>
                <w:color w:val="auto"/>
                <w:sz w:val="21"/>
              </w:rPr>
            </w:pPr>
          </w:p>
        </w:tc>
        <w:tc>
          <w:tcPr>
            <w:tcW w:w="652" w:type="pct"/>
            <w:vMerge w:val="continue"/>
            <w:tcBorders>
              <w:tl2br w:val="nil"/>
              <w:tr2bl w:val="nil"/>
            </w:tcBorders>
            <w:vAlign w:val="center"/>
          </w:tcPr>
          <w:p w14:paraId="4577F021">
            <w:pPr>
              <w:spacing w:line="240" w:lineRule="auto"/>
              <w:ind w:firstLine="0" w:firstLineChars="0"/>
              <w:jc w:val="center"/>
              <w:rPr>
                <w:color w:val="auto"/>
                <w:sz w:val="21"/>
              </w:rPr>
            </w:pPr>
          </w:p>
        </w:tc>
        <w:tc>
          <w:tcPr>
            <w:tcW w:w="717" w:type="pct"/>
            <w:tcBorders>
              <w:tl2br w:val="nil"/>
              <w:tr2bl w:val="nil"/>
            </w:tcBorders>
            <w:vAlign w:val="center"/>
          </w:tcPr>
          <w:p w14:paraId="73CDEA15">
            <w:pPr>
              <w:spacing w:line="240" w:lineRule="auto"/>
              <w:ind w:firstLine="0" w:firstLineChars="0"/>
              <w:jc w:val="center"/>
              <w:rPr>
                <w:color w:val="auto"/>
                <w:sz w:val="21"/>
              </w:rPr>
            </w:pPr>
          </w:p>
        </w:tc>
        <w:tc>
          <w:tcPr>
            <w:tcW w:w="602" w:type="pct"/>
            <w:tcBorders>
              <w:tl2br w:val="nil"/>
              <w:tr2bl w:val="nil"/>
            </w:tcBorders>
            <w:vAlign w:val="center"/>
          </w:tcPr>
          <w:p w14:paraId="7D6C6A32">
            <w:pPr>
              <w:spacing w:line="240" w:lineRule="auto"/>
              <w:ind w:firstLine="0" w:firstLineChars="0"/>
              <w:jc w:val="center"/>
              <w:rPr>
                <w:color w:val="auto"/>
                <w:sz w:val="21"/>
              </w:rPr>
            </w:pPr>
          </w:p>
        </w:tc>
        <w:tc>
          <w:tcPr>
            <w:tcW w:w="679" w:type="pct"/>
            <w:vMerge w:val="continue"/>
            <w:tcBorders>
              <w:tl2br w:val="nil"/>
              <w:tr2bl w:val="nil"/>
            </w:tcBorders>
            <w:vAlign w:val="center"/>
          </w:tcPr>
          <w:p w14:paraId="20D24DFA">
            <w:pPr>
              <w:spacing w:line="240" w:lineRule="auto"/>
              <w:ind w:firstLine="0" w:firstLineChars="0"/>
              <w:jc w:val="center"/>
              <w:rPr>
                <w:color w:val="auto"/>
                <w:sz w:val="21"/>
              </w:rPr>
            </w:pPr>
          </w:p>
        </w:tc>
      </w:tr>
      <w:tr w14:paraId="36920CA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B0F016A">
            <w:pPr>
              <w:widowControl/>
              <w:spacing w:line="240" w:lineRule="auto"/>
              <w:ind w:firstLine="0" w:firstLineChars="0"/>
              <w:jc w:val="center"/>
              <w:textAlignment w:val="center"/>
              <w:rPr>
                <w:rFonts w:cs="宋体"/>
                <w:color w:val="auto"/>
                <w:kern w:val="0"/>
                <w:sz w:val="21"/>
                <w:szCs w:val="22"/>
                <w:lang w:bidi="ar"/>
              </w:rPr>
            </w:pPr>
          </w:p>
        </w:tc>
        <w:tc>
          <w:tcPr>
            <w:tcW w:w="634" w:type="pct"/>
            <w:tcBorders>
              <w:tl2br w:val="nil"/>
              <w:tr2bl w:val="nil"/>
            </w:tcBorders>
            <w:vAlign w:val="center"/>
          </w:tcPr>
          <w:p w14:paraId="2F054E81">
            <w:pPr>
              <w:widowControl/>
              <w:spacing w:line="240" w:lineRule="auto"/>
              <w:ind w:firstLine="0" w:firstLineChars="0"/>
              <w:jc w:val="center"/>
              <w:textAlignment w:val="center"/>
              <w:rPr>
                <w:rFonts w:cs="宋体"/>
                <w:color w:val="auto"/>
                <w:kern w:val="0"/>
                <w:sz w:val="21"/>
                <w:szCs w:val="22"/>
                <w:lang w:bidi="ar"/>
              </w:rPr>
            </w:pPr>
          </w:p>
        </w:tc>
        <w:tc>
          <w:tcPr>
            <w:tcW w:w="975" w:type="pct"/>
            <w:gridSpan w:val="2"/>
            <w:vMerge w:val="continue"/>
            <w:tcBorders>
              <w:tl2br w:val="nil"/>
              <w:tr2bl w:val="nil"/>
            </w:tcBorders>
            <w:vAlign w:val="center"/>
          </w:tcPr>
          <w:p w14:paraId="3C53961C">
            <w:pPr>
              <w:widowControl/>
              <w:spacing w:line="240" w:lineRule="auto"/>
              <w:ind w:firstLine="0" w:firstLineChars="0"/>
              <w:jc w:val="center"/>
              <w:textAlignment w:val="center"/>
              <w:rPr>
                <w:color w:val="auto"/>
                <w:sz w:val="21"/>
              </w:rPr>
            </w:pPr>
          </w:p>
        </w:tc>
        <w:tc>
          <w:tcPr>
            <w:tcW w:w="652" w:type="pct"/>
            <w:vMerge w:val="continue"/>
            <w:tcBorders>
              <w:tl2br w:val="nil"/>
              <w:tr2bl w:val="nil"/>
            </w:tcBorders>
            <w:vAlign w:val="center"/>
          </w:tcPr>
          <w:p w14:paraId="10CE1F5D">
            <w:pPr>
              <w:widowControl/>
              <w:spacing w:line="240" w:lineRule="auto"/>
              <w:ind w:firstLine="0" w:firstLineChars="0"/>
              <w:jc w:val="center"/>
              <w:textAlignment w:val="center"/>
              <w:rPr>
                <w:color w:val="auto"/>
                <w:sz w:val="21"/>
              </w:rPr>
            </w:pPr>
          </w:p>
        </w:tc>
        <w:tc>
          <w:tcPr>
            <w:tcW w:w="717" w:type="pct"/>
            <w:tcBorders>
              <w:tl2br w:val="nil"/>
              <w:tr2bl w:val="nil"/>
            </w:tcBorders>
            <w:vAlign w:val="center"/>
          </w:tcPr>
          <w:p w14:paraId="035BBFA4">
            <w:pPr>
              <w:spacing w:line="240" w:lineRule="auto"/>
              <w:ind w:firstLine="0" w:firstLineChars="0"/>
              <w:jc w:val="center"/>
              <w:rPr>
                <w:color w:val="auto"/>
                <w:sz w:val="21"/>
              </w:rPr>
            </w:pPr>
          </w:p>
        </w:tc>
        <w:tc>
          <w:tcPr>
            <w:tcW w:w="602" w:type="pct"/>
            <w:tcBorders>
              <w:tl2br w:val="nil"/>
              <w:tr2bl w:val="nil"/>
            </w:tcBorders>
            <w:vAlign w:val="center"/>
          </w:tcPr>
          <w:p w14:paraId="2824ED50">
            <w:pPr>
              <w:spacing w:line="240" w:lineRule="auto"/>
              <w:ind w:firstLine="0" w:firstLineChars="0"/>
              <w:jc w:val="center"/>
              <w:rPr>
                <w:color w:val="auto"/>
                <w:sz w:val="21"/>
              </w:rPr>
            </w:pPr>
          </w:p>
        </w:tc>
        <w:tc>
          <w:tcPr>
            <w:tcW w:w="679" w:type="pct"/>
            <w:vMerge w:val="continue"/>
            <w:tcBorders>
              <w:tl2br w:val="nil"/>
              <w:tr2bl w:val="nil"/>
            </w:tcBorders>
            <w:vAlign w:val="center"/>
          </w:tcPr>
          <w:p w14:paraId="76E93636">
            <w:pPr>
              <w:spacing w:line="240" w:lineRule="auto"/>
              <w:ind w:firstLine="0" w:firstLineChars="0"/>
              <w:jc w:val="center"/>
              <w:rPr>
                <w:color w:val="auto"/>
                <w:sz w:val="21"/>
              </w:rPr>
            </w:pPr>
          </w:p>
        </w:tc>
      </w:tr>
      <w:tr w14:paraId="6BD0C7B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2697F4B">
            <w:pPr>
              <w:spacing w:line="240" w:lineRule="auto"/>
              <w:ind w:firstLine="0" w:firstLineChars="0"/>
              <w:jc w:val="center"/>
              <w:rPr>
                <w:color w:val="auto"/>
                <w:sz w:val="21"/>
              </w:rPr>
            </w:pPr>
          </w:p>
        </w:tc>
        <w:tc>
          <w:tcPr>
            <w:tcW w:w="634" w:type="pct"/>
            <w:tcBorders>
              <w:tl2br w:val="nil"/>
              <w:tr2bl w:val="nil"/>
            </w:tcBorders>
            <w:vAlign w:val="center"/>
          </w:tcPr>
          <w:p w14:paraId="26EE0B8B">
            <w:pPr>
              <w:spacing w:line="240" w:lineRule="auto"/>
              <w:ind w:firstLine="0" w:firstLineChars="0"/>
              <w:jc w:val="center"/>
              <w:rPr>
                <w:color w:val="auto"/>
                <w:sz w:val="21"/>
              </w:rPr>
            </w:pPr>
          </w:p>
        </w:tc>
        <w:tc>
          <w:tcPr>
            <w:tcW w:w="975" w:type="pct"/>
            <w:gridSpan w:val="2"/>
            <w:tcBorders>
              <w:tl2br w:val="nil"/>
              <w:tr2bl w:val="nil"/>
            </w:tcBorders>
            <w:vAlign w:val="center"/>
          </w:tcPr>
          <w:p w14:paraId="4C2ED3F3">
            <w:pPr>
              <w:spacing w:line="240" w:lineRule="auto"/>
              <w:ind w:firstLine="0" w:firstLineChars="0"/>
              <w:jc w:val="center"/>
              <w:rPr>
                <w:color w:val="auto"/>
                <w:sz w:val="21"/>
              </w:rPr>
            </w:pPr>
          </w:p>
        </w:tc>
        <w:tc>
          <w:tcPr>
            <w:tcW w:w="652" w:type="pct"/>
            <w:tcBorders>
              <w:tl2br w:val="nil"/>
              <w:tr2bl w:val="nil"/>
            </w:tcBorders>
            <w:vAlign w:val="center"/>
          </w:tcPr>
          <w:p w14:paraId="0AE5C953">
            <w:pPr>
              <w:spacing w:line="240" w:lineRule="auto"/>
              <w:ind w:firstLine="0" w:firstLineChars="0"/>
              <w:jc w:val="center"/>
              <w:rPr>
                <w:color w:val="auto"/>
                <w:sz w:val="21"/>
              </w:rPr>
            </w:pPr>
          </w:p>
        </w:tc>
        <w:tc>
          <w:tcPr>
            <w:tcW w:w="717" w:type="pct"/>
            <w:tcBorders>
              <w:tl2br w:val="nil"/>
              <w:tr2bl w:val="nil"/>
            </w:tcBorders>
            <w:vAlign w:val="center"/>
          </w:tcPr>
          <w:p w14:paraId="155A96D8">
            <w:pPr>
              <w:spacing w:line="240" w:lineRule="auto"/>
              <w:ind w:firstLine="0" w:firstLineChars="0"/>
              <w:jc w:val="center"/>
              <w:rPr>
                <w:color w:val="auto"/>
                <w:sz w:val="21"/>
              </w:rPr>
            </w:pPr>
          </w:p>
        </w:tc>
        <w:tc>
          <w:tcPr>
            <w:tcW w:w="602" w:type="pct"/>
            <w:tcBorders>
              <w:tl2br w:val="nil"/>
              <w:tr2bl w:val="nil"/>
            </w:tcBorders>
            <w:vAlign w:val="center"/>
          </w:tcPr>
          <w:p w14:paraId="15C71951">
            <w:pPr>
              <w:spacing w:line="240" w:lineRule="auto"/>
              <w:ind w:firstLine="0" w:firstLineChars="0"/>
              <w:jc w:val="center"/>
              <w:rPr>
                <w:color w:val="auto"/>
                <w:sz w:val="21"/>
              </w:rPr>
            </w:pPr>
          </w:p>
        </w:tc>
        <w:tc>
          <w:tcPr>
            <w:tcW w:w="679" w:type="pct"/>
            <w:tcBorders>
              <w:tl2br w:val="nil"/>
              <w:tr2bl w:val="nil"/>
            </w:tcBorders>
            <w:vAlign w:val="center"/>
          </w:tcPr>
          <w:p w14:paraId="451F0FEB">
            <w:pPr>
              <w:spacing w:line="240" w:lineRule="auto"/>
              <w:ind w:firstLine="0" w:firstLineChars="0"/>
              <w:jc w:val="center"/>
              <w:rPr>
                <w:color w:val="auto"/>
                <w:sz w:val="21"/>
              </w:rPr>
            </w:pPr>
          </w:p>
        </w:tc>
      </w:tr>
      <w:tr w14:paraId="6388FF2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0B28CF4">
            <w:pPr>
              <w:spacing w:line="240" w:lineRule="auto"/>
              <w:ind w:firstLine="0" w:firstLineChars="0"/>
              <w:jc w:val="center"/>
              <w:rPr>
                <w:color w:val="auto"/>
                <w:sz w:val="21"/>
              </w:rPr>
            </w:pPr>
          </w:p>
        </w:tc>
        <w:tc>
          <w:tcPr>
            <w:tcW w:w="634" w:type="pct"/>
            <w:tcBorders>
              <w:tl2br w:val="nil"/>
              <w:tr2bl w:val="nil"/>
            </w:tcBorders>
            <w:vAlign w:val="center"/>
          </w:tcPr>
          <w:p w14:paraId="0703DA14">
            <w:pPr>
              <w:spacing w:line="240" w:lineRule="auto"/>
              <w:ind w:firstLine="0" w:firstLineChars="0"/>
              <w:jc w:val="center"/>
              <w:rPr>
                <w:color w:val="auto"/>
                <w:sz w:val="21"/>
              </w:rPr>
            </w:pPr>
          </w:p>
        </w:tc>
        <w:tc>
          <w:tcPr>
            <w:tcW w:w="2948" w:type="pct"/>
            <w:gridSpan w:val="5"/>
            <w:tcBorders>
              <w:tl2br w:val="nil"/>
              <w:tr2bl w:val="nil"/>
            </w:tcBorders>
            <w:vAlign w:val="center"/>
          </w:tcPr>
          <w:p w14:paraId="65C8B4E9">
            <w:pPr>
              <w:spacing w:line="240" w:lineRule="auto"/>
              <w:ind w:firstLine="0" w:firstLineChars="0"/>
              <w:jc w:val="center"/>
              <w:rPr>
                <w:color w:val="auto"/>
                <w:sz w:val="21"/>
              </w:rPr>
            </w:pPr>
          </w:p>
        </w:tc>
        <w:tc>
          <w:tcPr>
            <w:tcW w:w="679" w:type="pct"/>
            <w:tcBorders>
              <w:tl2br w:val="nil"/>
              <w:tr2bl w:val="nil"/>
            </w:tcBorders>
            <w:vAlign w:val="center"/>
          </w:tcPr>
          <w:p w14:paraId="570D052E">
            <w:pPr>
              <w:spacing w:line="240" w:lineRule="auto"/>
              <w:ind w:firstLine="0" w:firstLineChars="0"/>
              <w:jc w:val="center"/>
              <w:rPr>
                <w:color w:val="auto"/>
                <w:sz w:val="21"/>
              </w:rPr>
            </w:pPr>
          </w:p>
        </w:tc>
      </w:tr>
    </w:tbl>
    <w:p w14:paraId="642C2E83">
      <w:pPr>
        <w:ind w:firstLine="480"/>
        <w:rPr>
          <w:color w:val="auto"/>
        </w:rPr>
      </w:pPr>
    </w:p>
    <w:p w14:paraId="66C16C1F">
      <w:pPr>
        <w:pStyle w:val="49"/>
        <w:rPr>
          <w:color w:val="auto"/>
        </w:rPr>
      </w:pPr>
    </w:p>
    <w:p w14:paraId="130D06BB">
      <w:pPr>
        <w:pStyle w:val="49"/>
        <w:rPr>
          <w:color w:val="auto"/>
        </w:rPr>
      </w:pPr>
      <w:r>
        <w:rPr>
          <w:rFonts w:hint="eastAsia"/>
          <w:color w:val="auto"/>
        </w:rPr>
        <w:t>图4.4-14  硫代硫酸钾生产物料平衡图（t/a）</w:t>
      </w:r>
    </w:p>
    <w:p w14:paraId="5F135080">
      <w:pPr>
        <w:pStyle w:val="49"/>
        <w:rPr>
          <w:color w:val="auto"/>
        </w:rPr>
      </w:pPr>
    </w:p>
    <w:p w14:paraId="0684CF97">
      <w:pPr>
        <w:pStyle w:val="6"/>
        <w:spacing w:before="156"/>
        <w:ind w:firstLine="482"/>
        <w:rPr>
          <w:color w:val="auto"/>
        </w:rPr>
      </w:pPr>
      <w:r>
        <w:rPr>
          <w:rFonts w:hint="eastAsia"/>
          <w:color w:val="auto"/>
        </w:rPr>
        <w:t>1.7一水亚硫酸铵生产物料平衡</w:t>
      </w:r>
    </w:p>
    <w:p w14:paraId="11840AEC">
      <w:pPr>
        <w:ind w:firstLine="480"/>
        <w:rPr>
          <w:rFonts w:hint="eastAsia" w:hAnsi="宋体"/>
          <w:color w:val="auto"/>
        </w:rPr>
      </w:pPr>
      <w:r>
        <w:rPr>
          <w:rFonts w:hint="eastAsia" w:hAnsi="宋体"/>
          <w:color w:val="auto"/>
        </w:rPr>
        <w:t>一水亚硫酸铵年生产时间为7200h，单批次生产6.1h，全年生产1167批次。一水亚硫酸铵</w:t>
      </w:r>
      <w:r>
        <w:rPr>
          <w:rFonts w:hAnsi="宋体"/>
          <w:color w:val="auto"/>
        </w:rPr>
        <w:t>单批次、一年投入产出统计分别见表4.</w:t>
      </w:r>
      <w:r>
        <w:rPr>
          <w:rFonts w:hint="eastAsia" w:hAnsi="宋体"/>
          <w:color w:val="auto"/>
        </w:rPr>
        <w:t>4</w:t>
      </w:r>
      <w:r>
        <w:rPr>
          <w:rFonts w:hAnsi="宋体"/>
          <w:color w:val="auto"/>
        </w:rPr>
        <w:t>-</w:t>
      </w:r>
      <w:r>
        <w:rPr>
          <w:rFonts w:hint="eastAsia" w:hAnsi="宋体"/>
          <w:color w:val="auto"/>
        </w:rPr>
        <w:t>19</w:t>
      </w:r>
      <w:r>
        <w:rPr>
          <w:rFonts w:hAnsi="宋体"/>
          <w:color w:val="auto"/>
        </w:rPr>
        <w:t>、4.</w:t>
      </w:r>
      <w:r>
        <w:rPr>
          <w:rFonts w:hint="eastAsia" w:hAnsi="宋体"/>
          <w:color w:val="auto"/>
        </w:rPr>
        <w:t>4</w:t>
      </w:r>
      <w:r>
        <w:rPr>
          <w:rFonts w:hAnsi="宋体"/>
          <w:color w:val="auto"/>
        </w:rPr>
        <w:t>-</w:t>
      </w:r>
      <w:r>
        <w:rPr>
          <w:rFonts w:hint="eastAsia" w:hAnsi="宋体"/>
          <w:color w:val="auto"/>
        </w:rPr>
        <w:t>20、4.4-21和4.4-22</w:t>
      </w:r>
      <w:r>
        <w:rPr>
          <w:rFonts w:hAnsi="宋体"/>
          <w:color w:val="auto"/>
        </w:rPr>
        <w:t>。物料平衡图见图4.</w:t>
      </w:r>
      <w:r>
        <w:rPr>
          <w:rFonts w:hint="eastAsia" w:hAnsi="宋体"/>
          <w:color w:val="auto"/>
        </w:rPr>
        <w:t>4-15和4.4-16</w:t>
      </w:r>
      <w:r>
        <w:rPr>
          <w:rFonts w:hAnsi="宋体"/>
          <w:color w:val="auto"/>
        </w:rPr>
        <w:t>。</w:t>
      </w:r>
    </w:p>
    <w:p w14:paraId="2278F7B8">
      <w:pPr>
        <w:spacing w:line="240" w:lineRule="auto"/>
        <w:ind w:firstLine="0" w:firstLineChars="0"/>
        <w:jc w:val="center"/>
        <w:rPr>
          <w:b/>
          <w:bCs/>
          <w:color w:val="auto"/>
        </w:rPr>
      </w:pPr>
      <w:r>
        <w:rPr>
          <w:rFonts w:hint="eastAsia"/>
          <w:b/>
          <w:bCs/>
          <w:color w:val="auto"/>
        </w:rPr>
        <w:t>表4.4-19  一水亚硫酸铵生产物料投入--产出表</w:t>
      </w:r>
      <w:r>
        <w:rPr>
          <w:b/>
          <w:color w:val="auto"/>
        </w:rPr>
        <w:t>（kg/（批·釜））</w:t>
      </w:r>
      <w:r>
        <w:rPr>
          <w:rFonts w:hint="eastAsia"/>
          <w:b/>
          <w:bCs/>
          <w:color w:val="auto"/>
        </w:rPr>
        <w:t>-氨工艺</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46"/>
        <w:gridCol w:w="1243"/>
        <w:gridCol w:w="954"/>
        <w:gridCol w:w="10"/>
        <w:gridCol w:w="941"/>
        <w:gridCol w:w="1280"/>
        <w:gridCol w:w="1410"/>
        <w:gridCol w:w="2334"/>
        <w:gridCol w:w="236"/>
      </w:tblGrid>
      <w:tr w14:paraId="0C4B081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277C2A9A">
            <w:pPr>
              <w:spacing w:line="240" w:lineRule="auto"/>
              <w:ind w:firstLine="0" w:firstLineChars="0"/>
              <w:jc w:val="center"/>
              <w:rPr>
                <w:b/>
                <w:bCs/>
                <w:color w:val="auto"/>
                <w:sz w:val="21"/>
              </w:rPr>
            </w:pPr>
            <w:r>
              <w:rPr>
                <w:rFonts w:hint="eastAsia"/>
                <w:b/>
                <w:bCs/>
                <w:color w:val="auto"/>
                <w:sz w:val="21"/>
              </w:rPr>
              <w:t>投入</w:t>
            </w:r>
          </w:p>
        </w:tc>
        <w:tc>
          <w:tcPr>
            <w:tcW w:w="3628" w:type="pct"/>
            <w:gridSpan w:val="7"/>
            <w:tcBorders>
              <w:tl2br w:val="nil"/>
              <w:tr2bl w:val="nil"/>
            </w:tcBorders>
            <w:vAlign w:val="center"/>
          </w:tcPr>
          <w:p w14:paraId="393D93E8">
            <w:pPr>
              <w:spacing w:line="240" w:lineRule="auto"/>
              <w:ind w:firstLine="0" w:firstLineChars="0"/>
              <w:jc w:val="center"/>
              <w:rPr>
                <w:b/>
                <w:bCs/>
                <w:color w:val="auto"/>
                <w:sz w:val="21"/>
              </w:rPr>
            </w:pPr>
            <w:r>
              <w:rPr>
                <w:rFonts w:hint="eastAsia"/>
                <w:b/>
                <w:bCs/>
                <w:color w:val="auto"/>
                <w:sz w:val="21"/>
              </w:rPr>
              <w:t>产出</w:t>
            </w:r>
          </w:p>
        </w:tc>
      </w:tr>
      <w:tr w14:paraId="5D81875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62375CF">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171CAA19">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gridSpan w:val="2"/>
            <w:tcBorders>
              <w:tl2br w:val="nil"/>
              <w:tr2bl w:val="nil"/>
            </w:tcBorders>
            <w:vAlign w:val="center"/>
          </w:tcPr>
          <w:p w14:paraId="1D0EC777">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47565D42">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370" w:type="pct"/>
            <w:gridSpan w:val="2"/>
            <w:tcBorders>
              <w:tl2br w:val="nil"/>
              <w:tr2bl w:val="nil"/>
            </w:tcBorders>
            <w:vAlign w:val="center"/>
          </w:tcPr>
          <w:p w14:paraId="2BCFD07D">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282" w:type="pct"/>
            <w:gridSpan w:val="2"/>
            <w:tcBorders>
              <w:tl2br w:val="nil"/>
              <w:tr2bl w:val="nil"/>
            </w:tcBorders>
            <w:vAlign w:val="center"/>
          </w:tcPr>
          <w:p w14:paraId="244A836D">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2AD1FFE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8552505">
            <w:pPr>
              <w:spacing w:line="240" w:lineRule="auto"/>
              <w:ind w:firstLine="0" w:firstLineChars="0"/>
              <w:jc w:val="center"/>
              <w:rPr>
                <w:color w:val="auto"/>
                <w:sz w:val="21"/>
              </w:rPr>
            </w:pPr>
          </w:p>
        </w:tc>
        <w:tc>
          <w:tcPr>
            <w:tcW w:w="1250" w:type="dxa"/>
            <w:tcBorders>
              <w:tl2br w:val="nil"/>
              <w:tr2bl w:val="nil"/>
            </w:tcBorders>
            <w:vAlign w:val="center"/>
          </w:tcPr>
          <w:p w14:paraId="5C1FF24E">
            <w:pPr>
              <w:spacing w:line="240" w:lineRule="auto"/>
              <w:ind w:firstLine="0" w:firstLineChars="0"/>
              <w:jc w:val="center"/>
              <w:rPr>
                <w:color w:val="auto"/>
                <w:sz w:val="21"/>
              </w:rPr>
            </w:pPr>
          </w:p>
        </w:tc>
        <w:tc>
          <w:tcPr>
            <w:tcW w:w="975" w:type="pct"/>
            <w:gridSpan w:val="3"/>
            <w:vMerge w:val="restart"/>
            <w:tcBorders>
              <w:tl2br w:val="nil"/>
              <w:tr2bl w:val="nil"/>
            </w:tcBorders>
            <w:vAlign w:val="center"/>
          </w:tcPr>
          <w:p w14:paraId="53E52A75">
            <w:pPr>
              <w:spacing w:line="240" w:lineRule="auto"/>
              <w:ind w:firstLine="0" w:firstLineChars="0"/>
              <w:jc w:val="center"/>
              <w:rPr>
                <w:color w:val="auto"/>
                <w:sz w:val="21"/>
              </w:rPr>
            </w:pPr>
          </w:p>
        </w:tc>
        <w:tc>
          <w:tcPr>
            <w:tcW w:w="652" w:type="pct"/>
            <w:vMerge w:val="restart"/>
            <w:tcBorders>
              <w:tl2br w:val="nil"/>
              <w:tr2bl w:val="nil"/>
            </w:tcBorders>
            <w:vAlign w:val="center"/>
          </w:tcPr>
          <w:p w14:paraId="3F902217">
            <w:pPr>
              <w:spacing w:line="240" w:lineRule="auto"/>
              <w:ind w:firstLine="0" w:firstLineChars="0"/>
              <w:jc w:val="center"/>
              <w:rPr>
                <w:color w:val="auto"/>
                <w:sz w:val="21"/>
              </w:rPr>
            </w:pPr>
          </w:p>
        </w:tc>
        <w:tc>
          <w:tcPr>
            <w:tcW w:w="717" w:type="pct"/>
            <w:tcBorders>
              <w:tl2br w:val="nil"/>
              <w:tr2bl w:val="nil"/>
            </w:tcBorders>
            <w:vAlign w:val="bottom"/>
          </w:tcPr>
          <w:p w14:paraId="28BDF804">
            <w:pPr>
              <w:spacing w:line="240" w:lineRule="auto"/>
              <w:ind w:firstLine="0" w:firstLineChars="0"/>
              <w:jc w:val="center"/>
              <w:rPr>
                <w:color w:val="auto"/>
                <w:sz w:val="21"/>
              </w:rPr>
            </w:pPr>
          </w:p>
        </w:tc>
        <w:tc>
          <w:tcPr>
            <w:tcW w:w="1187" w:type="dxa"/>
            <w:tcBorders>
              <w:tl2br w:val="nil"/>
              <w:tr2bl w:val="nil"/>
            </w:tcBorders>
            <w:vAlign w:val="center"/>
          </w:tcPr>
          <w:p w14:paraId="168A3073">
            <w:pPr>
              <w:widowControl/>
              <w:ind w:firstLine="420"/>
              <w:jc w:val="center"/>
              <w:textAlignment w:val="center"/>
              <w:rPr>
                <w:color w:val="auto"/>
                <w:sz w:val="21"/>
              </w:rPr>
            </w:pPr>
          </w:p>
        </w:tc>
        <w:tc>
          <w:tcPr>
            <w:tcW w:w="1340" w:type="dxa"/>
            <w:vMerge w:val="restart"/>
            <w:tcBorders>
              <w:tl2br w:val="nil"/>
              <w:tr2bl w:val="nil"/>
            </w:tcBorders>
            <w:vAlign w:val="center"/>
          </w:tcPr>
          <w:p w14:paraId="5346CF33">
            <w:pPr>
              <w:spacing w:line="240" w:lineRule="auto"/>
              <w:ind w:firstLine="0" w:firstLineChars="0"/>
              <w:jc w:val="center"/>
              <w:rPr>
                <w:color w:val="auto"/>
                <w:sz w:val="21"/>
              </w:rPr>
            </w:pPr>
          </w:p>
        </w:tc>
      </w:tr>
      <w:tr w14:paraId="389D8E9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87DB299">
            <w:pPr>
              <w:spacing w:line="240" w:lineRule="auto"/>
              <w:ind w:firstLine="0" w:firstLineChars="0"/>
              <w:jc w:val="center"/>
              <w:rPr>
                <w:color w:val="auto"/>
                <w:sz w:val="21"/>
              </w:rPr>
            </w:pPr>
          </w:p>
        </w:tc>
        <w:tc>
          <w:tcPr>
            <w:tcW w:w="1250" w:type="dxa"/>
            <w:tcBorders>
              <w:tl2br w:val="nil"/>
              <w:tr2bl w:val="nil"/>
            </w:tcBorders>
            <w:vAlign w:val="center"/>
          </w:tcPr>
          <w:p w14:paraId="1F9ABD37">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5F5113D4">
            <w:pPr>
              <w:spacing w:line="240" w:lineRule="auto"/>
              <w:ind w:firstLine="0" w:firstLineChars="0"/>
              <w:jc w:val="center"/>
              <w:rPr>
                <w:color w:val="auto"/>
                <w:sz w:val="21"/>
              </w:rPr>
            </w:pPr>
          </w:p>
        </w:tc>
        <w:tc>
          <w:tcPr>
            <w:tcW w:w="652" w:type="pct"/>
            <w:vMerge w:val="continue"/>
            <w:tcBorders>
              <w:tl2br w:val="nil"/>
              <w:tr2bl w:val="nil"/>
            </w:tcBorders>
            <w:vAlign w:val="center"/>
          </w:tcPr>
          <w:p w14:paraId="5B73E5BB">
            <w:pPr>
              <w:spacing w:line="240" w:lineRule="auto"/>
              <w:ind w:firstLine="0" w:firstLineChars="0"/>
              <w:jc w:val="center"/>
              <w:rPr>
                <w:color w:val="auto"/>
                <w:sz w:val="21"/>
              </w:rPr>
            </w:pPr>
          </w:p>
        </w:tc>
        <w:tc>
          <w:tcPr>
            <w:tcW w:w="717" w:type="pct"/>
            <w:tcBorders>
              <w:tl2br w:val="nil"/>
              <w:tr2bl w:val="nil"/>
            </w:tcBorders>
            <w:vAlign w:val="bottom"/>
          </w:tcPr>
          <w:p w14:paraId="12821E8A">
            <w:pPr>
              <w:spacing w:line="240" w:lineRule="auto"/>
              <w:ind w:firstLine="0" w:firstLineChars="0"/>
              <w:jc w:val="center"/>
              <w:rPr>
                <w:color w:val="auto"/>
                <w:sz w:val="21"/>
              </w:rPr>
            </w:pPr>
          </w:p>
        </w:tc>
        <w:tc>
          <w:tcPr>
            <w:tcW w:w="1187" w:type="dxa"/>
            <w:tcBorders>
              <w:tl2br w:val="nil"/>
              <w:tr2bl w:val="nil"/>
            </w:tcBorders>
            <w:vAlign w:val="center"/>
          </w:tcPr>
          <w:p w14:paraId="4C98FCB3">
            <w:pPr>
              <w:widowControl/>
              <w:ind w:firstLine="420"/>
              <w:jc w:val="center"/>
              <w:textAlignment w:val="center"/>
              <w:rPr>
                <w:color w:val="auto"/>
                <w:sz w:val="21"/>
              </w:rPr>
            </w:pPr>
          </w:p>
        </w:tc>
        <w:tc>
          <w:tcPr>
            <w:tcW w:w="679" w:type="pct"/>
            <w:vMerge w:val="continue"/>
            <w:tcBorders>
              <w:tl2br w:val="nil"/>
              <w:tr2bl w:val="nil"/>
            </w:tcBorders>
            <w:vAlign w:val="center"/>
          </w:tcPr>
          <w:p w14:paraId="0E45AA0C">
            <w:pPr>
              <w:spacing w:line="240" w:lineRule="auto"/>
              <w:ind w:firstLine="0" w:firstLineChars="0"/>
              <w:jc w:val="center"/>
              <w:rPr>
                <w:color w:val="auto"/>
                <w:sz w:val="21"/>
              </w:rPr>
            </w:pPr>
          </w:p>
        </w:tc>
      </w:tr>
      <w:tr w14:paraId="01DC792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D942E5C">
            <w:pPr>
              <w:spacing w:line="240" w:lineRule="auto"/>
              <w:ind w:firstLine="0" w:firstLineChars="0"/>
              <w:jc w:val="center"/>
              <w:rPr>
                <w:color w:val="auto"/>
                <w:sz w:val="21"/>
              </w:rPr>
            </w:pPr>
          </w:p>
        </w:tc>
        <w:tc>
          <w:tcPr>
            <w:tcW w:w="1250" w:type="dxa"/>
            <w:tcBorders>
              <w:tl2br w:val="nil"/>
              <w:tr2bl w:val="nil"/>
            </w:tcBorders>
            <w:vAlign w:val="center"/>
          </w:tcPr>
          <w:p w14:paraId="6E564DCA">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064D431F">
            <w:pPr>
              <w:spacing w:line="240" w:lineRule="auto"/>
              <w:ind w:firstLine="0" w:firstLineChars="0"/>
              <w:jc w:val="center"/>
              <w:rPr>
                <w:color w:val="auto"/>
                <w:sz w:val="21"/>
              </w:rPr>
            </w:pPr>
          </w:p>
        </w:tc>
        <w:tc>
          <w:tcPr>
            <w:tcW w:w="652" w:type="pct"/>
            <w:vMerge w:val="continue"/>
            <w:tcBorders>
              <w:tl2br w:val="nil"/>
              <w:tr2bl w:val="nil"/>
            </w:tcBorders>
            <w:vAlign w:val="center"/>
          </w:tcPr>
          <w:p w14:paraId="62F59130">
            <w:pPr>
              <w:spacing w:line="240" w:lineRule="auto"/>
              <w:ind w:firstLine="0" w:firstLineChars="0"/>
              <w:jc w:val="center"/>
              <w:rPr>
                <w:color w:val="auto"/>
                <w:sz w:val="21"/>
              </w:rPr>
            </w:pPr>
          </w:p>
        </w:tc>
        <w:tc>
          <w:tcPr>
            <w:tcW w:w="717" w:type="pct"/>
            <w:tcBorders>
              <w:tl2br w:val="nil"/>
              <w:tr2bl w:val="nil"/>
            </w:tcBorders>
            <w:vAlign w:val="center"/>
          </w:tcPr>
          <w:p w14:paraId="1C25431E">
            <w:pPr>
              <w:spacing w:line="240" w:lineRule="auto"/>
              <w:ind w:firstLine="0" w:firstLineChars="0"/>
              <w:jc w:val="center"/>
              <w:rPr>
                <w:color w:val="auto"/>
                <w:sz w:val="21"/>
              </w:rPr>
            </w:pPr>
          </w:p>
        </w:tc>
        <w:tc>
          <w:tcPr>
            <w:tcW w:w="1187" w:type="dxa"/>
            <w:tcBorders>
              <w:tl2br w:val="nil"/>
              <w:tr2bl w:val="nil"/>
            </w:tcBorders>
            <w:vAlign w:val="center"/>
          </w:tcPr>
          <w:p w14:paraId="600F9EA9">
            <w:pPr>
              <w:widowControl/>
              <w:ind w:firstLine="420"/>
              <w:jc w:val="center"/>
              <w:textAlignment w:val="center"/>
              <w:rPr>
                <w:color w:val="auto"/>
                <w:sz w:val="21"/>
              </w:rPr>
            </w:pPr>
          </w:p>
        </w:tc>
        <w:tc>
          <w:tcPr>
            <w:tcW w:w="679" w:type="pct"/>
            <w:vMerge w:val="continue"/>
            <w:tcBorders>
              <w:tl2br w:val="nil"/>
              <w:tr2bl w:val="nil"/>
            </w:tcBorders>
            <w:vAlign w:val="center"/>
          </w:tcPr>
          <w:p w14:paraId="36084C57">
            <w:pPr>
              <w:spacing w:line="240" w:lineRule="auto"/>
              <w:ind w:firstLine="0" w:firstLineChars="0"/>
              <w:jc w:val="center"/>
              <w:rPr>
                <w:color w:val="auto"/>
                <w:sz w:val="21"/>
              </w:rPr>
            </w:pPr>
          </w:p>
        </w:tc>
      </w:tr>
      <w:tr w14:paraId="693F5C7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2A79504F">
            <w:pPr>
              <w:spacing w:line="240" w:lineRule="auto"/>
              <w:ind w:firstLine="0" w:firstLineChars="0"/>
              <w:jc w:val="center"/>
              <w:rPr>
                <w:color w:val="auto"/>
                <w:sz w:val="21"/>
              </w:rPr>
            </w:pPr>
          </w:p>
        </w:tc>
        <w:tc>
          <w:tcPr>
            <w:tcW w:w="1250" w:type="dxa"/>
            <w:tcBorders>
              <w:tl2br w:val="nil"/>
              <w:tr2bl w:val="nil"/>
            </w:tcBorders>
            <w:vAlign w:val="center"/>
          </w:tcPr>
          <w:p w14:paraId="6D7F1EFF">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4C6B7D89">
            <w:pPr>
              <w:spacing w:line="240" w:lineRule="auto"/>
              <w:ind w:firstLine="0" w:firstLineChars="0"/>
              <w:jc w:val="center"/>
              <w:rPr>
                <w:color w:val="auto"/>
                <w:sz w:val="21"/>
              </w:rPr>
            </w:pPr>
          </w:p>
        </w:tc>
        <w:tc>
          <w:tcPr>
            <w:tcW w:w="652" w:type="pct"/>
            <w:vMerge w:val="continue"/>
            <w:tcBorders>
              <w:tl2br w:val="nil"/>
              <w:tr2bl w:val="nil"/>
            </w:tcBorders>
            <w:vAlign w:val="center"/>
          </w:tcPr>
          <w:p w14:paraId="4BF98B5F">
            <w:pPr>
              <w:spacing w:line="240" w:lineRule="auto"/>
              <w:ind w:firstLine="0" w:firstLineChars="0"/>
              <w:jc w:val="center"/>
              <w:rPr>
                <w:color w:val="auto"/>
                <w:sz w:val="21"/>
              </w:rPr>
            </w:pPr>
          </w:p>
        </w:tc>
        <w:tc>
          <w:tcPr>
            <w:tcW w:w="717" w:type="pct"/>
            <w:tcBorders>
              <w:tl2br w:val="nil"/>
              <w:tr2bl w:val="nil"/>
            </w:tcBorders>
            <w:vAlign w:val="center"/>
          </w:tcPr>
          <w:p w14:paraId="45E6243B">
            <w:pPr>
              <w:spacing w:line="240" w:lineRule="auto"/>
              <w:ind w:firstLine="0" w:firstLineChars="0"/>
              <w:jc w:val="center"/>
              <w:rPr>
                <w:color w:val="auto"/>
                <w:sz w:val="21"/>
              </w:rPr>
            </w:pPr>
          </w:p>
        </w:tc>
        <w:tc>
          <w:tcPr>
            <w:tcW w:w="1187" w:type="dxa"/>
            <w:tcBorders>
              <w:tl2br w:val="nil"/>
              <w:tr2bl w:val="nil"/>
            </w:tcBorders>
            <w:vAlign w:val="center"/>
          </w:tcPr>
          <w:p w14:paraId="29F21779">
            <w:pPr>
              <w:widowControl/>
              <w:ind w:firstLine="420"/>
              <w:jc w:val="center"/>
              <w:textAlignment w:val="center"/>
              <w:rPr>
                <w:color w:val="auto"/>
                <w:sz w:val="21"/>
              </w:rPr>
            </w:pPr>
          </w:p>
        </w:tc>
        <w:tc>
          <w:tcPr>
            <w:tcW w:w="679" w:type="pct"/>
            <w:vMerge w:val="continue"/>
            <w:tcBorders>
              <w:tl2br w:val="nil"/>
              <w:tr2bl w:val="nil"/>
            </w:tcBorders>
            <w:vAlign w:val="center"/>
          </w:tcPr>
          <w:p w14:paraId="224F5686">
            <w:pPr>
              <w:spacing w:line="240" w:lineRule="auto"/>
              <w:ind w:firstLine="0" w:firstLineChars="0"/>
              <w:jc w:val="center"/>
              <w:rPr>
                <w:color w:val="auto"/>
                <w:sz w:val="21"/>
              </w:rPr>
            </w:pPr>
          </w:p>
        </w:tc>
      </w:tr>
      <w:tr w14:paraId="1158BCD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904D547">
            <w:pPr>
              <w:spacing w:line="240" w:lineRule="auto"/>
              <w:ind w:firstLine="0" w:firstLineChars="0"/>
              <w:jc w:val="center"/>
              <w:rPr>
                <w:color w:val="auto"/>
                <w:sz w:val="21"/>
              </w:rPr>
            </w:pPr>
          </w:p>
        </w:tc>
        <w:tc>
          <w:tcPr>
            <w:tcW w:w="1250" w:type="dxa"/>
            <w:tcBorders>
              <w:tl2br w:val="nil"/>
              <w:tr2bl w:val="nil"/>
            </w:tcBorders>
            <w:vAlign w:val="center"/>
          </w:tcPr>
          <w:p w14:paraId="1892E4DA">
            <w:pPr>
              <w:spacing w:line="240" w:lineRule="auto"/>
              <w:ind w:firstLine="0" w:firstLineChars="0"/>
              <w:jc w:val="center"/>
              <w:rPr>
                <w:color w:val="auto"/>
                <w:sz w:val="21"/>
              </w:rPr>
            </w:pPr>
          </w:p>
        </w:tc>
        <w:tc>
          <w:tcPr>
            <w:tcW w:w="487" w:type="pct"/>
            <w:tcBorders>
              <w:tl2br w:val="nil"/>
              <w:tr2bl w:val="nil"/>
            </w:tcBorders>
            <w:vAlign w:val="center"/>
          </w:tcPr>
          <w:p w14:paraId="00E1F6CA">
            <w:pPr>
              <w:spacing w:line="240" w:lineRule="auto"/>
              <w:ind w:firstLine="0" w:firstLineChars="0"/>
              <w:jc w:val="center"/>
              <w:rPr>
                <w:color w:val="auto"/>
                <w:sz w:val="21"/>
              </w:rPr>
            </w:pPr>
          </w:p>
        </w:tc>
        <w:tc>
          <w:tcPr>
            <w:tcW w:w="488" w:type="pct"/>
            <w:gridSpan w:val="2"/>
            <w:tcBorders>
              <w:tl2br w:val="nil"/>
              <w:tr2bl w:val="nil"/>
            </w:tcBorders>
            <w:vAlign w:val="center"/>
          </w:tcPr>
          <w:p w14:paraId="04FD7426">
            <w:pPr>
              <w:spacing w:line="240" w:lineRule="auto"/>
              <w:ind w:firstLine="0" w:firstLineChars="0"/>
              <w:jc w:val="center"/>
              <w:rPr>
                <w:color w:val="auto"/>
                <w:sz w:val="21"/>
              </w:rPr>
            </w:pPr>
          </w:p>
        </w:tc>
        <w:tc>
          <w:tcPr>
            <w:tcW w:w="652" w:type="pct"/>
            <w:tcBorders>
              <w:tl2br w:val="nil"/>
              <w:tr2bl w:val="nil"/>
            </w:tcBorders>
            <w:vAlign w:val="center"/>
          </w:tcPr>
          <w:p w14:paraId="549ED9E7">
            <w:pPr>
              <w:spacing w:line="240" w:lineRule="auto"/>
              <w:ind w:firstLine="0" w:firstLineChars="0"/>
              <w:jc w:val="center"/>
              <w:rPr>
                <w:color w:val="auto"/>
                <w:sz w:val="21"/>
              </w:rPr>
            </w:pPr>
          </w:p>
        </w:tc>
        <w:tc>
          <w:tcPr>
            <w:tcW w:w="717" w:type="pct"/>
            <w:tcBorders>
              <w:tl2br w:val="nil"/>
              <w:tr2bl w:val="nil"/>
            </w:tcBorders>
            <w:vAlign w:val="center"/>
          </w:tcPr>
          <w:p w14:paraId="4FA4DA36">
            <w:pPr>
              <w:spacing w:line="240" w:lineRule="auto"/>
              <w:ind w:firstLine="0" w:firstLineChars="0"/>
              <w:jc w:val="center"/>
              <w:rPr>
                <w:color w:val="auto"/>
                <w:sz w:val="21"/>
              </w:rPr>
            </w:pPr>
          </w:p>
        </w:tc>
        <w:tc>
          <w:tcPr>
            <w:tcW w:w="1187" w:type="dxa"/>
            <w:tcBorders>
              <w:tl2br w:val="nil"/>
              <w:tr2bl w:val="nil"/>
            </w:tcBorders>
            <w:vAlign w:val="center"/>
          </w:tcPr>
          <w:p w14:paraId="610841E1">
            <w:pPr>
              <w:widowControl/>
              <w:ind w:firstLine="420"/>
              <w:jc w:val="center"/>
              <w:textAlignment w:val="center"/>
              <w:rPr>
                <w:color w:val="auto"/>
                <w:sz w:val="21"/>
              </w:rPr>
            </w:pPr>
          </w:p>
        </w:tc>
        <w:tc>
          <w:tcPr>
            <w:tcW w:w="1340" w:type="dxa"/>
            <w:tcBorders>
              <w:tl2br w:val="nil"/>
              <w:tr2bl w:val="nil"/>
            </w:tcBorders>
            <w:vAlign w:val="center"/>
          </w:tcPr>
          <w:p w14:paraId="0B9CEBF2">
            <w:pPr>
              <w:spacing w:line="240" w:lineRule="auto"/>
              <w:ind w:firstLine="0" w:firstLineChars="0"/>
              <w:jc w:val="center"/>
              <w:rPr>
                <w:color w:val="auto"/>
                <w:sz w:val="21"/>
              </w:rPr>
            </w:pPr>
          </w:p>
        </w:tc>
      </w:tr>
      <w:tr w14:paraId="2955D13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5AF3517">
            <w:pPr>
              <w:spacing w:line="240" w:lineRule="auto"/>
              <w:ind w:firstLine="0" w:firstLineChars="0"/>
              <w:jc w:val="center"/>
              <w:rPr>
                <w:color w:val="auto"/>
                <w:sz w:val="21"/>
              </w:rPr>
            </w:pPr>
          </w:p>
        </w:tc>
        <w:tc>
          <w:tcPr>
            <w:tcW w:w="1250" w:type="dxa"/>
            <w:tcBorders>
              <w:tl2br w:val="nil"/>
              <w:tr2bl w:val="nil"/>
            </w:tcBorders>
            <w:vAlign w:val="center"/>
          </w:tcPr>
          <w:p w14:paraId="6177464C">
            <w:pPr>
              <w:spacing w:line="240" w:lineRule="auto"/>
              <w:ind w:firstLine="0" w:firstLineChars="0"/>
              <w:jc w:val="center"/>
              <w:rPr>
                <w:color w:val="auto"/>
                <w:sz w:val="21"/>
              </w:rPr>
            </w:pPr>
          </w:p>
        </w:tc>
        <w:tc>
          <w:tcPr>
            <w:tcW w:w="975" w:type="pct"/>
            <w:gridSpan w:val="3"/>
            <w:vMerge w:val="restart"/>
            <w:tcBorders>
              <w:tl2br w:val="nil"/>
              <w:tr2bl w:val="nil"/>
            </w:tcBorders>
            <w:vAlign w:val="center"/>
          </w:tcPr>
          <w:p w14:paraId="1C99AC31">
            <w:pPr>
              <w:spacing w:line="240" w:lineRule="auto"/>
              <w:ind w:firstLine="0" w:firstLineChars="0"/>
              <w:jc w:val="center"/>
              <w:rPr>
                <w:color w:val="auto"/>
                <w:sz w:val="21"/>
              </w:rPr>
            </w:pPr>
          </w:p>
        </w:tc>
        <w:tc>
          <w:tcPr>
            <w:tcW w:w="652" w:type="pct"/>
            <w:tcBorders>
              <w:tl2br w:val="nil"/>
              <w:tr2bl w:val="nil"/>
            </w:tcBorders>
            <w:vAlign w:val="center"/>
          </w:tcPr>
          <w:p w14:paraId="476BF2FD">
            <w:pPr>
              <w:spacing w:line="240" w:lineRule="auto"/>
              <w:ind w:firstLine="0" w:firstLineChars="0"/>
              <w:jc w:val="center"/>
              <w:rPr>
                <w:color w:val="auto"/>
                <w:sz w:val="21"/>
              </w:rPr>
            </w:pPr>
          </w:p>
        </w:tc>
        <w:tc>
          <w:tcPr>
            <w:tcW w:w="717" w:type="pct"/>
            <w:tcBorders>
              <w:tl2br w:val="nil"/>
              <w:tr2bl w:val="nil"/>
            </w:tcBorders>
            <w:vAlign w:val="center"/>
          </w:tcPr>
          <w:p w14:paraId="43865C3B">
            <w:pPr>
              <w:spacing w:line="240" w:lineRule="auto"/>
              <w:ind w:firstLine="0" w:firstLineChars="0"/>
              <w:jc w:val="center"/>
              <w:rPr>
                <w:color w:val="auto"/>
                <w:sz w:val="21"/>
              </w:rPr>
            </w:pPr>
          </w:p>
        </w:tc>
        <w:tc>
          <w:tcPr>
            <w:tcW w:w="1187" w:type="dxa"/>
            <w:tcBorders>
              <w:tl2br w:val="nil"/>
              <w:tr2bl w:val="nil"/>
            </w:tcBorders>
            <w:vAlign w:val="center"/>
          </w:tcPr>
          <w:p w14:paraId="3B760C9E">
            <w:pPr>
              <w:widowControl/>
              <w:ind w:firstLine="420"/>
              <w:jc w:val="center"/>
              <w:textAlignment w:val="center"/>
              <w:rPr>
                <w:color w:val="auto"/>
                <w:sz w:val="21"/>
              </w:rPr>
            </w:pPr>
          </w:p>
        </w:tc>
        <w:tc>
          <w:tcPr>
            <w:tcW w:w="1340" w:type="dxa"/>
            <w:vMerge w:val="restart"/>
            <w:tcBorders>
              <w:tl2br w:val="nil"/>
              <w:tr2bl w:val="nil"/>
            </w:tcBorders>
            <w:vAlign w:val="center"/>
          </w:tcPr>
          <w:p w14:paraId="37A00C35">
            <w:pPr>
              <w:spacing w:line="240" w:lineRule="auto"/>
              <w:ind w:firstLine="0" w:firstLineChars="0"/>
              <w:jc w:val="center"/>
              <w:rPr>
                <w:color w:val="auto"/>
                <w:sz w:val="21"/>
              </w:rPr>
            </w:pPr>
          </w:p>
        </w:tc>
      </w:tr>
      <w:tr w14:paraId="78A52A5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AF6C65C">
            <w:pPr>
              <w:spacing w:line="240" w:lineRule="auto"/>
              <w:ind w:firstLine="0" w:firstLineChars="0"/>
              <w:jc w:val="center"/>
              <w:rPr>
                <w:color w:val="auto"/>
                <w:sz w:val="21"/>
              </w:rPr>
            </w:pPr>
          </w:p>
        </w:tc>
        <w:tc>
          <w:tcPr>
            <w:tcW w:w="1250" w:type="dxa"/>
            <w:tcBorders>
              <w:tl2br w:val="nil"/>
              <w:tr2bl w:val="nil"/>
            </w:tcBorders>
            <w:vAlign w:val="center"/>
          </w:tcPr>
          <w:p w14:paraId="266BB584">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2A7CC374">
            <w:pPr>
              <w:spacing w:line="240" w:lineRule="auto"/>
              <w:ind w:firstLine="0" w:firstLineChars="0"/>
              <w:jc w:val="center"/>
              <w:rPr>
                <w:color w:val="auto"/>
                <w:sz w:val="21"/>
              </w:rPr>
            </w:pPr>
          </w:p>
        </w:tc>
        <w:tc>
          <w:tcPr>
            <w:tcW w:w="652" w:type="pct"/>
            <w:tcBorders>
              <w:tl2br w:val="nil"/>
              <w:tr2bl w:val="nil"/>
            </w:tcBorders>
            <w:vAlign w:val="center"/>
          </w:tcPr>
          <w:p w14:paraId="7CE600E0">
            <w:pPr>
              <w:spacing w:line="240" w:lineRule="auto"/>
              <w:ind w:firstLine="0" w:firstLineChars="0"/>
              <w:jc w:val="center"/>
              <w:rPr>
                <w:color w:val="auto"/>
                <w:sz w:val="21"/>
              </w:rPr>
            </w:pPr>
          </w:p>
        </w:tc>
        <w:tc>
          <w:tcPr>
            <w:tcW w:w="717" w:type="pct"/>
            <w:tcBorders>
              <w:tl2br w:val="nil"/>
              <w:tr2bl w:val="nil"/>
            </w:tcBorders>
            <w:vAlign w:val="center"/>
          </w:tcPr>
          <w:p w14:paraId="06332136">
            <w:pPr>
              <w:spacing w:line="240" w:lineRule="auto"/>
              <w:ind w:firstLine="0" w:firstLineChars="0"/>
              <w:jc w:val="center"/>
              <w:rPr>
                <w:color w:val="auto"/>
                <w:sz w:val="21"/>
              </w:rPr>
            </w:pPr>
          </w:p>
        </w:tc>
        <w:tc>
          <w:tcPr>
            <w:tcW w:w="1187" w:type="dxa"/>
            <w:tcBorders>
              <w:tl2br w:val="nil"/>
              <w:tr2bl w:val="nil"/>
            </w:tcBorders>
            <w:vAlign w:val="center"/>
          </w:tcPr>
          <w:p w14:paraId="6C2E5054">
            <w:pPr>
              <w:widowControl/>
              <w:ind w:firstLine="420"/>
              <w:jc w:val="center"/>
              <w:textAlignment w:val="center"/>
              <w:rPr>
                <w:color w:val="auto"/>
                <w:sz w:val="21"/>
              </w:rPr>
            </w:pPr>
          </w:p>
        </w:tc>
        <w:tc>
          <w:tcPr>
            <w:tcW w:w="679" w:type="pct"/>
            <w:vMerge w:val="continue"/>
            <w:tcBorders>
              <w:tl2br w:val="nil"/>
              <w:tr2bl w:val="nil"/>
            </w:tcBorders>
            <w:vAlign w:val="center"/>
          </w:tcPr>
          <w:p w14:paraId="36A24208">
            <w:pPr>
              <w:spacing w:line="240" w:lineRule="auto"/>
              <w:ind w:firstLine="0" w:firstLineChars="0"/>
              <w:jc w:val="center"/>
              <w:rPr>
                <w:color w:val="auto"/>
                <w:sz w:val="21"/>
              </w:rPr>
            </w:pPr>
          </w:p>
        </w:tc>
      </w:tr>
      <w:tr w14:paraId="35FF1C3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A69D1F5">
            <w:pPr>
              <w:spacing w:line="240" w:lineRule="auto"/>
              <w:ind w:firstLine="0" w:firstLineChars="0"/>
              <w:jc w:val="center"/>
              <w:rPr>
                <w:color w:val="auto"/>
                <w:sz w:val="21"/>
              </w:rPr>
            </w:pPr>
          </w:p>
        </w:tc>
        <w:tc>
          <w:tcPr>
            <w:tcW w:w="1250" w:type="dxa"/>
            <w:tcBorders>
              <w:tl2br w:val="nil"/>
              <w:tr2bl w:val="nil"/>
            </w:tcBorders>
            <w:vAlign w:val="center"/>
          </w:tcPr>
          <w:p w14:paraId="117BD1EC">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5BF7DD49">
            <w:pPr>
              <w:spacing w:line="240" w:lineRule="auto"/>
              <w:ind w:firstLine="0" w:firstLineChars="0"/>
              <w:jc w:val="center"/>
              <w:rPr>
                <w:color w:val="auto"/>
                <w:sz w:val="21"/>
              </w:rPr>
            </w:pPr>
          </w:p>
        </w:tc>
        <w:tc>
          <w:tcPr>
            <w:tcW w:w="652" w:type="pct"/>
            <w:tcBorders>
              <w:tl2br w:val="nil"/>
              <w:tr2bl w:val="nil"/>
            </w:tcBorders>
            <w:vAlign w:val="center"/>
          </w:tcPr>
          <w:p w14:paraId="4A6A7BFD">
            <w:pPr>
              <w:spacing w:line="240" w:lineRule="auto"/>
              <w:ind w:firstLine="0" w:firstLineChars="0"/>
              <w:jc w:val="center"/>
              <w:rPr>
                <w:color w:val="auto"/>
                <w:sz w:val="21"/>
              </w:rPr>
            </w:pPr>
          </w:p>
        </w:tc>
        <w:tc>
          <w:tcPr>
            <w:tcW w:w="717" w:type="pct"/>
            <w:tcBorders>
              <w:tl2br w:val="nil"/>
              <w:tr2bl w:val="nil"/>
            </w:tcBorders>
            <w:vAlign w:val="center"/>
          </w:tcPr>
          <w:p w14:paraId="4067D4FA">
            <w:pPr>
              <w:spacing w:line="240" w:lineRule="auto"/>
              <w:ind w:firstLine="0" w:firstLineChars="0"/>
              <w:jc w:val="center"/>
              <w:rPr>
                <w:color w:val="auto"/>
                <w:sz w:val="21"/>
              </w:rPr>
            </w:pPr>
          </w:p>
        </w:tc>
        <w:tc>
          <w:tcPr>
            <w:tcW w:w="1187" w:type="dxa"/>
            <w:tcBorders>
              <w:tl2br w:val="nil"/>
              <w:tr2bl w:val="nil"/>
            </w:tcBorders>
            <w:vAlign w:val="center"/>
          </w:tcPr>
          <w:p w14:paraId="5C54CE04">
            <w:pPr>
              <w:widowControl/>
              <w:ind w:firstLine="420"/>
              <w:jc w:val="center"/>
              <w:textAlignment w:val="center"/>
              <w:rPr>
                <w:color w:val="auto"/>
                <w:sz w:val="21"/>
              </w:rPr>
            </w:pPr>
          </w:p>
        </w:tc>
        <w:tc>
          <w:tcPr>
            <w:tcW w:w="679" w:type="pct"/>
            <w:vMerge w:val="continue"/>
            <w:tcBorders>
              <w:tl2br w:val="nil"/>
              <w:tr2bl w:val="nil"/>
            </w:tcBorders>
            <w:vAlign w:val="center"/>
          </w:tcPr>
          <w:p w14:paraId="5FAA0CBC">
            <w:pPr>
              <w:spacing w:line="240" w:lineRule="auto"/>
              <w:ind w:firstLine="0" w:firstLineChars="0"/>
              <w:jc w:val="center"/>
              <w:rPr>
                <w:color w:val="auto"/>
                <w:sz w:val="21"/>
              </w:rPr>
            </w:pPr>
          </w:p>
        </w:tc>
      </w:tr>
      <w:tr w14:paraId="1C68326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9F6E5F8">
            <w:pPr>
              <w:spacing w:line="240" w:lineRule="auto"/>
              <w:ind w:firstLine="0" w:firstLineChars="0"/>
              <w:jc w:val="center"/>
              <w:rPr>
                <w:color w:val="auto"/>
                <w:sz w:val="21"/>
              </w:rPr>
            </w:pPr>
          </w:p>
        </w:tc>
        <w:tc>
          <w:tcPr>
            <w:tcW w:w="1250" w:type="dxa"/>
            <w:tcBorders>
              <w:tl2br w:val="nil"/>
              <w:tr2bl w:val="nil"/>
            </w:tcBorders>
            <w:vAlign w:val="center"/>
          </w:tcPr>
          <w:p w14:paraId="77AB62F1">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216E914F">
            <w:pPr>
              <w:spacing w:line="240" w:lineRule="auto"/>
              <w:ind w:firstLine="0" w:firstLineChars="0"/>
              <w:jc w:val="center"/>
              <w:rPr>
                <w:color w:val="auto"/>
                <w:sz w:val="21"/>
              </w:rPr>
            </w:pPr>
          </w:p>
        </w:tc>
        <w:tc>
          <w:tcPr>
            <w:tcW w:w="652" w:type="pct"/>
            <w:tcBorders>
              <w:tl2br w:val="nil"/>
              <w:tr2bl w:val="nil"/>
            </w:tcBorders>
            <w:vAlign w:val="center"/>
          </w:tcPr>
          <w:p w14:paraId="1A121A44">
            <w:pPr>
              <w:spacing w:line="240" w:lineRule="auto"/>
              <w:ind w:firstLine="0" w:firstLineChars="0"/>
              <w:jc w:val="center"/>
              <w:rPr>
                <w:color w:val="auto"/>
                <w:sz w:val="21"/>
              </w:rPr>
            </w:pPr>
          </w:p>
        </w:tc>
        <w:tc>
          <w:tcPr>
            <w:tcW w:w="717" w:type="pct"/>
            <w:tcBorders>
              <w:tl2br w:val="nil"/>
              <w:tr2bl w:val="nil"/>
            </w:tcBorders>
            <w:vAlign w:val="center"/>
          </w:tcPr>
          <w:p w14:paraId="6378E718">
            <w:pPr>
              <w:spacing w:line="240" w:lineRule="auto"/>
              <w:ind w:firstLine="0" w:firstLineChars="0"/>
              <w:jc w:val="center"/>
              <w:rPr>
                <w:color w:val="auto"/>
                <w:sz w:val="21"/>
              </w:rPr>
            </w:pPr>
          </w:p>
        </w:tc>
        <w:tc>
          <w:tcPr>
            <w:tcW w:w="1187" w:type="dxa"/>
            <w:tcBorders>
              <w:tl2br w:val="nil"/>
              <w:tr2bl w:val="nil"/>
            </w:tcBorders>
            <w:vAlign w:val="center"/>
          </w:tcPr>
          <w:p w14:paraId="7B1932CD">
            <w:pPr>
              <w:widowControl/>
              <w:ind w:firstLine="420"/>
              <w:jc w:val="center"/>
              <w:textAlignment w:val="center"/>
              <w:rPr>
                <w:color w:val="auto"/>
                <w:sz w:val="21"/>
              </w:rPr>
            </w:pPr>
          </w:p>
        </w:tc>
        <w:tc>
          <w:tcPr>
            <w:tcW w:w="679" w:type="pct"/>
            <w:vMerge w:val="continue"/>
            <w:tcBorders>
              <w:tl2br w:val="nil"/>
              <w:tr2bl w:val="nil"/>
            </w:tcBorders>
            <w:vAlign w:val="center"/>
          </w:tcPr>
          <w:p w14:paraId="799ED6E1">
            <w:pPr>
              <w:spacing w:line="240" w:lineRule="auto"/>
              <w:ind w:firstLine="0" w:firstLineChars="0"/>
              <w:jc w:val="center"/>
              <w:rPr>
                <w:color w:val="auto"/>
                <w:sz w:val="21"/>
              </w:rPr>
            </w:pPr>
          </w:p>
        </w:tc>
      </w:tr>
      <w:tr w14:paraId="2C1A3B0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8330131">
            <w:pPr>
              <w:spacing w:line="240" w:lineRule="auto"/>
              <w:ind w:firstLine="0" w:firstLineChars="0"/>
              <w:jc w:val="center"/>
              <w:rPr>
                <w:color w:val="auto"/>
                <w:sz w:val="21"/>
              </w:rPr>
            </w:pPr>
          </w:p>
        </w:tc>
        <w:tc>
          <w:tcPr>
            <w:tcW w:w="1250" w:type="dxa"/>
            <w:tcBorders>
              <w:tl2br w:val="nil"/>
              <w:tr2bl w:val="nil"/>
            </w:tcBorders>
            <w:vAlign w:val="center"/>
          </w:tcPr>
          <w:p w14:paraId="340D3BBA">
            <w:pPr>
              <w:spacing w:line="240" w:lineRule="auto"/>
              <w:ind w:firstLine="0" w:firstLineChars="0"/>
              <w:jc w:val="center"/>
              <w:rPr>
                <w:color w:val="auto"/>
                <w:sz w:val="21"/>
              </w:rPr>
            </w:pPr>
          </w:p>
        </w:tc>
        <w:tc>
          <w:tcPr>
            <w:tcW w:w="2948" w:type="pct"/>
            <w:gridSpan w:val="6"/>
            <w:tcBorders>
              <w:tl2br w:val="nil"/>
              <w:tr2bl w:val="nil"/>
            </w:tcBorders>
            <w:vAlign w:val="center"/>
          </w:tcPr>
          <w:p w14:paraId="6369B1A7">
            <w:pPr>
              <w:spacing w:line="240" w:lineRule="auto"/>
              <w:ind w:firstLine="0" w:firstLineChars="0"/>
              <w:jc w:val="center"/>
              <w:rPr>
                <w:color w:val="auto"/>
                <w:sz w:val="21"/>
              </w:rPr>
            </w:pPr>
          </w:p>
        </w:tc>
        <w:tc>
          <w:tcPr>
            <w:tcW w:w="1340" w:type="dxa"/>
            <w:tcBorders>
              <w:tl2br w:val="nil"/>
              <w:tr2bl w:val="nil"/>
            </w:tcBorders>
            <w:vAlign w:val="center"/>
          </w:tcPr>
          <w:p w14:paraId="197C6E82">
            <w:pPr>
              <w:spacing w:line="240" w:lineRule="auto"/>
              <w:ind w:firstLine="0" w:firstLineChars="0"/>
              <w:jc w:val="center"/>
              <w:rPr>
                <w:color w:val="auto"/>
                <w:sz w:val="21"/>
              </w:rPr>
            </w:pPr>
          </w:p>
        </w:tc>
      </w:tr>
    </w:tbl>
    <w:p w14:paraId="699207BD">
      <w:pPr>
        <w:ind w:firstLine="480"/>
        <w:rPr>
          <w:color w:val="auto"/>
        </w:rPr>
      </w:pPr>
    </w:p>
    <w:p w14:paraId="1B7AFA9D">
      <w:pPr>
        <w:spacing w:line="240" w:lineRule="auto"/>
        <w:ind w:firstLine="0" w:firstLineChars="0"/>
        <w:jc w:val="center"/>
        <w:rPr>
          <w:b/>
          <w:bCs/>
          <w:color w:val="auto"/>
        </w:rPr>
      </w:pPr>
      <w:r>
        <w:rPr>
          <w:rFonts w:hint="eastAsia"/>
          <w:b/>
          <w:bCs/>
          <w:color w:val="auto"/>
        </w:rPr>
        <w:t>表4.4-20  一水亚硫酸铵生产物料投入--产出表（t/a）-氨工艺</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3"/>
        <w:gridCol w:w="1250"/>
        <w:gridCol w:w="961"/>
        <w:gridCol w:w="16"/>
        <w:gridCol w:w="946"/>
        <w:gridCol w:w="1285"/>
        <w:gridCol w:w="1415"/>
        <w:gridCol w:w="1188"/>
        <w:gridCol w:w="1340"/>
      </w:tblGrid>
      <w:tr w14:paraId="493AD8B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77821722">
            <w:pPr>
              <w:spacing w:line="240" w:lineRule="auto"/>
              <w:ind w:firstLine="0" w:firstLineChars="0"/>
              <w:jc w:val="center"/>
              <w:rPr>
                <w:b/>
                <w:bCs/>
                <w:color w:val="auto"/>
                <w:sz w:val="21"/>
              </w:rPr>
            </w:pPr>
            <w:r>
              <w:rPr>
                <w:rFonts w:hint="eastAsia"/>
                <w:b/>
                <w:bCs/>
                <w:color w:val="auto"/>
                <w:sz w:val="21"/>
              </w:rPr>
              <w:t>投入</w:t>
            </w:r>
          </w:p>
        </w:tc>
        <w:tc>
          <w:tcPr>
            <w:tcW w:w="3628" w:type="pct"/>
            <w:gridSpan w:val="7"/>
            <w:tcBorders>
              <w:tl2br w:val="nil"/>
              <w:tr2bl w:val="nil"/>
            </w:tcBorders>
            <w:vAlign w:val="center"/>
          </w:tcPr>
          <w:p w14:paraId="1DB25A84">
            <w:pPr>
              <w:spacing w:line="240" w:lineRule="auto"/>
              <w:ind w:firstLine="0" w:firstLineChars="0"/>
              <w:jc w:val="center"/>
              <w:rPr>
                <w:b/>
                <w:bCs/>
                <w:color w:val="auto"/>
                <w:sz w:val="21"/>
              </w:rPr>
            </w:pPr>
            <w:r>
              <w:rPr>
                <w:rFonts w:hint="eastAsia"/>
                <w:b/>
                <w:bCs/>
                <w:color w:val="auto"/>
                <w:sz w:val="21"/>
              </w:rPr>
              <w:t>产出</w:t>
            </w:r>
          </w:p>
        </w:tc>
      </w:tr>
      <w:tr w14:paraId="3C21235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266ABCA">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6754A668">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gridSpan w:val="2"/>
            <w:tcBorders>
              <w:tl2br w:val="nil"/>
              <w:tr2bl w:val="nil"/>
            </w:tcBorders>
            <w:vAlign w:val="center"/>
          </w:tcPr>
          <w:p w14:paraId="480D5295">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32D14863">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370" w:type="pct"/>
            <w:gridSpan w:val="2"/>
            <w:tcBorders>
              <w:tl2br w:val="nil"/>
              <w:tr2bl w:val="nil"/>
            </w:tcBorders>
            <w:vAlign w:val="center"/>
          </w:tcPr>
          <w:p w14:paraId="070081BC">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282" w:type="pct"/>
            <w:gridSpan w:val="2"/>
            <w:tcBorders>
              <w:tl2br w:val="nil"/>
              <w:tr2bl w:val="nil"/>
            </w:tcBorders>
            <w:vAlign w:val="center"/>
          </w:tcPr>
          <w:p w14:paraId="72B04F2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04732A3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ABF0FAC">
            <w:pPr>
              <w:spacing w:line="240" w:lineRule="auto"/>
              <w:ind w:firstLine="0" w:firstLineChars="0"/>
              <w:jc w:val="center"/>
              <w:rPr>
                <w:color w:val="auto"/>
                <w:sz w:val="21"/>
              </w:rPr>
            </w:pPr>
          </w:p>
        </w:tc>
        <w:tc>
          <w:tcPr>
            <w:tcW w:w="634" w:type="pct"/>
            <w:tcBorders>
              <w:tl2br w:val="nil"/>
              <w:tr2bl w:val="nil"/>
            </w:tcBorders>
            <w:vAlign w:val="center"/>
          </w:tcPr>
          <w:p w14:paraId="4FFC0696">
            <w:pPr>
              <w:spacing w:line="240" w:lineRule="auto"/>
              <w:ind w:firstLine="0" w:firstLineChars="0"/>
              <w:jc w:val="center"/>
              <w:rPr>
                <w:color w:val="auto"/>
                <w:sz w:val="21"/>
              </w:rPr>
            </w:pPr>
          </w:p>
        </w:tc>
        <w:tc>
          <w:tcPr>
            <w:tcW w:w="975" w:type="pct"/>
            <w:gridSpan w:val="3"/>
            <w:vMerge w:val="restart"/>
            <w:tcBorders>
              <w:tl2br w:val="nil"/>
              <w:tr2bl w:val="nil"/>
            </w:tcBorders>
            <w:vAlign w:val="center"/>
          </w:tcPr>
          <w:p w14:paraId="570E33A9">
            <w:pPr>
              <w:spacing w:line="240" w:lineRule="auto"/>
              <w:ind w:firstLine="0" w:firstLineChars="0"/>
              <w:jc w:val="center"/>
              <w:rPr>
                <w:color w:val="auto"/>
                <w:sz w:val="21"/>
              </w:rPr>
            </w:pPr>
          </w:p>
        </w:tc>
        <w:tc>
          <w:tcPr>
            <w:tcW w:w="652" w:type="pct"/>
            <w:vMerge w:val="restart"/>
            <w:tcBorders>
              <w:tl2br w:val="nil"/>
              <w:tr2bl w:val="nil"/>
            </w:tcBorders>
            <w:vAlign w:val="center"/>
          </w:tcPr>
          <w:p w14:paraId="1BA152A1">
            <w:pPr>
              <w:spacing w:line="240" w:lineRule="auto"/>
              <w:ind w:firstLine="0" w:firstLineChars="0"/>
              <w:jc w:val="center"/>
              <w:rPr>
                <w:color w:val="auto"/>
                <w:sz w:val="21"/>
              </w:rPr>
            </w:pPr>
          </w:p>
        </w:tc>
        <w:tc>
          <w:tcPr>
            <w:tcW w:w="717" w:type="pct"/>
            <w:tcBorders>
              <w:tl2br w:val="nil"/>
              <w:tr2bl w:val="nil"/>
            </w:tcBorders>
            <w:vAlign w:val="bottom"/>
          </w:tcPr>
          <w:p w14:paraId="1B6D7767">
            <w:pPr>
              <w:spacing w:line="240" w:lineRule="auto"/>
              <w:ind w:firstLine="0" w:firstLineChars="0"/>
              <w:jc w:val="center"/>
              <w:rPr>
                <w:color w:val="auto"/>
                <w:sz w:val="21"/>
              </w:rPr>
            </w:pPr>
          </w:p>
        </w:tc>
        <w:tc>
          <w:tcPr>
            <w:tcW w:w="602" w:type="pct"/>
            <w:tcBorders>
              <w:tl2br w:val="nil"/>
              <w:tr2bl w:val="nil"/>
            </w:tcBorders>
            <w:vAlign w:val="center"/>
          </w:tcPr>
          <w:p w14:paraId="31F05F51">
            <w:pPr>
              <w:spacing w:line="240" w:lineRule="auto"/>
              <w:ind w:firstLine="0" w:firstLineChars="0"/>
              <w:jc w:val="center"/>
              <w:rPr>
                <w:color w:val="auto"/>
                <w:sz w:val="21"/>
              </w:rPr>
            </w:pPr>
          </w:p>
        </w:tc>
        <w:tc>
          <w:tcPr>
            <w:tcW w:w="679" w:type="pct"/>
            <w:vMerge w:val="restart"/>
            <w:tcBorders>
              <w:tl2br w:val="nil"/>
              <w:tr2bl w:val="nil"/>
            </w:tcBorders>
            <w:vAlign w:val="center"/>
          </w:tcPr>
          <w:p w14:paraId="7E6BE804">
            <w:pPr>
              <w:spacing w:line="240" w:lineRule="auto"/>
              <w:ind w:firstLine="0" w:firstLineChars="0"/>
              <w:jc w:val="center"/>
              <w:rPr>
                <w:color w:val="auto"/>
                <w:sz w:val="21"/>
              </w:rPr>
            </w:pPr>
          </w:p>
        </w:tc>
      </w:tr>
      <w:tr w14:paraId="166EADC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5829671">
            <w:pPr>
              <w:spacing w:line="240" w:lineRule="auto"/>
              <w:ind w:firstLine="0" w:firstLineChars="0"/>
              <w:jc w:val="center"/>
              <w:rPr>
                <w:color w:val="auto"/>
                <w:sz w:val="21"/>
              </w:rPr>
            </w:pPr>
          </w:p>
        </w:tc>
        <w:tc>
          <w:tcPr>
            <w:tcW w:w="634" w:type="pct"/>
            <w:tcBorders>
              <w:tl2br w:val="nil"/>
              <w:tr2bl w:val="nil"/>
            </w:tcBorders>
            <w:vAlign w:val="center"/>
          </w:tcPr>
          <w:p w14:paraId="34943A68">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3B79BC15">
            <w:pPr>
              <w:spacing w:line="240" w:lineRule="auto"/>
              <w:ind w:firstLine="0" w:firstLineChars="0"/>
              <w:jc w:val="center"/>
              <w:rPr>
                <w:color w:val="auto"/>
                <w:sz w:val="21"/>
              </w:rPr>
            </w:pPr>
          </w:p>
        </w:tc>
        <w:tc>
          <w:tcPr>
            <w:tcW w:w="652" w:type="pct"/>
            <w:vMerge w:val="continue"/>
            <w:tcBorders>
              <w:tl2br w:val="nil"/>
              <w:tr2bl w:val="nil"/>
            </w:tcBorders>
            <w:vAlign w:val="center"/>
          </w:tcPr>
          <w:p w14:paraId="6E7A9993">
            <w:pPr>
              <w:spacing w:line="240" w:lineRule="auto"/>
              <w:ind w:firstLine="0" w:firstLineChars="0"/>
              <w:jc w:val="center"/>
              <w:rPr>
                <w:color w:val="auto"/>
                <w:sz w:val="21"/>
              </w:rPr>
            </w:pPr>
          </w:p>
        </w:tc>
        <w:tc>
          <w:tcPr>
            <w:tcW w:w="717" w:type="pct"/>
            <w:tcBorders>
              <w:tl2br w:val="nil"/>
              <w:tr2bl w:val="nil"/>
            </w:tcBorders>
            <w:vAlign w:val="bottom"/>
          </w:tcPr>
          <w:p w14:paraId="4A294C60">
            <w:pPr>
              <w:spacing w:line="240" w:lineRule="auto"/>
              <w:ind w:firstLine="0" w:firstLineChars="0"/>
              <w:jc w:val="center"/>
              <w:rPr>
                <w:color w:val="auto"/>
                <w:sz w:val="21"/>
              </w:rPr>
            </w:pPr>
          </w:p>
        </w:tc>
        <w:tc>
          <w:tcPr>
            <w:tcW w:w="602" w:type="pct"/>
            <w:tcBorders>
              <w:tl2br w:val="nil"/>
              <w:tr2bl w:val="nil"/>
            </w:tcBorders>
            <w:vAlign w:val="center"/>
          </w:tcPr>
          <w:p w14:paraId="0E93D76B">
            <w:pPr>
              <w:spacing w:line="240" w:lineRule="auto"/>
              <w:ind w:firstLine="0" w:firstLineChars="0"/>
              <w:jc w:val="center"/>
              <w:rPr>
                <w:color w:val="auto"/>
                <w:sz w:val="21"/>
              </w:rPr>
            </w:pPr>
          </w:p>
        </w:tc>
        <w:tc>
          <w:tcPr>
            <w:tcW w:w="679" w:type="pct"/>
            <w:vMerge w:val="continue"/>
            <w:tcBorders>
              <w:tl2br w:val="nil"/>
              <w:tr2bl w:val="nil"/>
            </w:tcBorders>
            <w:vAlign w:val="center"/>
          </w:tcPr>
          <w:p w14:paraId="24C741E3">
            <w:pPr>
              <w:spacing w:line="240" w:lineRule="auto"/>
              <w:ind w:firstLine="0" w:firstLineChars="0"/>
              <w:jc w:val="center"/>
              <w:rPr>
                <w:color w:val="auto"/>
                <w:sz w:val="21"/>
              </w:rPr>
            </w:pPr>
          </w:p>
        </w:tc>
      </w:tr>
      <w:tr w14:paraId="1CA7B36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7FABA3E">
            <w:pPr>
              <w:spacing w:line="240" w:lineRule="auto"/>
              <w:ind w:firstLine="0" w:firstLineChars="0"/>
              <w:jc w:val="center"/>
              <w:rPr>
                <w:color w:val="auto"/>
                <w:sz w:val="21"/>
              </w:rPr>
            </w:pPr>
          </w:p>
        </w:tc>
        <w:tc>
          <w:tcPr>
            <w:tcW w:w="634" w:type="pct"/>
            <w:tcBorders>
              <w:tl2br w:val="nil"/>
              <w:tr2bl w:val="nil"/>
            </w:tcBorders>
            <w:vAlign w:val="center"/>
          </w:tcPr>
          <w:p w14:paraId="22FA3456">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59D03E1B">
            <w:pPr>
              <w:spacing w:line="240" w:lineRule="auto"/>
              <w:ind w:firstLine="0" w:firstLineChars="0"/>
              <w:jc w:val="center"/>
              <w:rPr>
                <w:color w:val="auto"/>
                <w:sz w:val="21"/>
              </w:rPr>
            </w:pPr>
          </w:p>
        </w:tc>
        <w:tc>
          <w:tcPr>
            <w:tcW w:w="652" w:type="pct"/>
            <w:vMerge w:val="continue"/>
            <w:tcBorders>
              <w:tl2br w:val="nil"/>
              <w:tr2bl w:val="nil"/>
            </w:tcBorders>
            <w:vAlign w:val="center"/>
          </w:tcPr>
          <w:p w14:paraId="0EC04CEC">
            <w:pPr>
              <w:spacing w:line="240" w:lineRule="auto"/>
              <w:ind w:firstLine="0" w:firstLineChars="0"/>
              <w:jc w:val="center"/>
              <w:rPr>
                <w:color w:val="auto"/>
                <w:sz w:val="21"/>
              </w:rPr>
            </w:pPr>
          </w:p>
        </w:tc>
        <w:tc>
          <w:tcPr>
            <w:tcW w:w="717" w:type="pct"/>
            <w:tcBorders>
              <w:tl2br w:val="nil"/>
              <w:tr2bl w:val="nil"/>
            </w:tcBorders>
            <w:vAlign w:val="center"/>
          </w:tcPr>
          <w:p w14:paraId="05080E41">
            <w:pPr>
              <w:spacing w:line="240" w:lineRule="auto"/>
              <w:ind w:firstLine="0" w:firstLineChars="0"/>
              <w:jc w:val="center"/>
              <w:rPr>
                <w:color w:val="auto"/>
                <w:sz w:val="21"/>
              </w:rPr>
            </w:pPr>
          </w:p>
        </w:tc>
        <w:tc>
          <w:tcPr>
            <w:tcW w:w="602" w:type="pct"/>
            <w:tcBorders>
              <w:tl2br w:val="nil"/>
              <w:tr2bl w:val="nil"/>
            </w:tcBorders>
            <w:vAlign w:val="center"/>
          </w:tcPr>
          <w:p w14:paraId="6675F726">
            <w:pPr>
              <w:spacing w:line="240" w:lineRule="auto"/>
              <w:ind w:firstLine="0" w:firstLineChars="0"/>
              <w:jc w:val="center"/>
              <w:rPr>
                <w:color w:val="auto"/>
                <w:sz w:val="21"/>
              </w:rPr>
            </w:pPr>
          </w:p>
        </w:tc>
        <w:tc>
          <w:tcPr>
            <w:tcW w:w="679" w:type="pct"/>
            <w:vMerge w:val="continue"/>
            <w:tcBorders>
              <w:tl2br w:val="nil"/>
              <w:tr2bl w:val="nil"/>
            </w:tcBorders>
            <w:vAlign w:val="center"/>
          </w:tcPr>
          <w:p w14:paraId="0DD779A7">
            <w:pPr>
              <w:spacing w:line="240" w:lineRule="auto"/>
              <w:ind w:firstLine="0" w:firstLineChars="0"/>
              <w:jc w:val="center"/>
              <w:rPr>
                <w:color w:val="auto"/>
                <w:sz w:val="21"/>
              </w:rPr>
            </w:pPr>
          </w:p>
        </w:tc>
      </w:tr>
      <w:tr w14:paraId="7643A5B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9E8251F">
            <w:pPr>
              <w:spacing w:line="240" w:lineRule="auto"/>
              <w:ind w:firstLine="0" w:firstLineChars="0"/>
              <w:jc w:val="center"/>
              <w:rPr>
                <w:color w:val="auto"/>
                <w:sz w:val="21"/>
              </w:rPr>
            </w:pPr>
          </w:p>
        </w:tc>
        <w:tc>
          <w:tcPr>
            <w:tcW w:w="634" w:type="pct"/>
            <w:tcBorders>
              <w:tl2br w:val="nil"/>
              <w:tr2bl w:val="nil"/>
            </w:tcBorders>
            <w:vAlign w:val="center"/>
          </w:tcPr>
          <w:p w14:paraId="13BB1799">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4E43F5C2">
            <w:pPr>
              <w:spacing w:line="240" w:lineRule="auto"/>
              <w:ind w:firstLine="0" w:firstLineChars="0"/>
              <w:jc w:val="center"/>
              <w:rPr>
                <w:color w:val="auto"/>
                <w:sz w:val="21"/>
              </w:rPr>
            </w:pPr>
          </w:p>
        </w:tc>
        <w:tc>
          <w:tcPr>
            <w:tcW w:w="652" w:type="pct"/>
            <w:vMerge w:val="continue"/>
            <w:tcBorders>
              <w:tl2br w:val="nil"/>
              <w:tr2bl w:val="nil"/>
            </w:tcBorders>
            <w:vAlign w:val="center"/>
          </w:tcPr>
          <w:p w14:paraId="7E63E2D6">
            <w:pPr>
              <w:spacing w:line="240" w:lineRule="auto"/>
              <w:ind w:firstLine="0" w:firstLineChars="0"/>
              <w:jc w:val="center"/>
              <w:rPr>
                <w:color w:val="auto"/>
                <w:sz w:val="21"/>
              </w:rPr>
            </w:pPr>
          </w:p>
        </w:tc>
        <w:tc>
          <w:tcPr>
            <w:tcW w:w="717" w:type="pct"/>
            <w:tcBorders>
              <w:tl2br w:val="nil"/>
              <w:tr2bl w:val="nil"/>
            </w:tcBorders>
            <w:vAlign w:val="center"/>
          </w:tcPr>
          <w:p w14:paraId="41CF6FFC">
            <w:pPr>
              <w:spacing w:line="240" w:lineRule="auto"/>
              <w:ind w:firstLine="0" w:firstLineChars="0"/>
              <w:jc w:val="center"/>
              <w:rPr>
                <w:color w:val="auto"/>
                <w:sz w:val="21"/>
              </w:rPr>
            </w:pPr>
          </w:p>
        </w:tc>
        <w:tc>
          <w:tcPr>
            <w:tcW w:w="602" w:type="pct"/>
            <w:tcBorders>
              <w:tl2br w:val="nil"/>
              <w:tr2bl w:val="nil"/>
            </w:tcBorders>
            <w:vAlign w:val="center"/>
          </w:tcPr>
          <w:p w14:paraId="1EF37852">
            <w:pPr>
              <w:spacing w:line="240" w:lineRule="auto"/>
              <w:ind w:firstLine="0" w:firstLineChars="0"/>
              <w:jc w:val="center"/>
              <w:rPr>
                <w:color w:val="auto"/>
                <w:sz w:val="21"/>
              </w:rPr>
            </w:pPr>
          </w:p>
        </w:tc>
        <w:tc>
          <w:tcPr>
            <w:tcW w:w="679" w:type="pct"/>
            <w:vMerge w:val="continue"/>
            <w:tcBorders>
              <w:tl2br w:val="nil"/>
              <w:tr2bl w:val="nil"/>
            </w:tcBorders>
            <w:vAlign w:val="center"/>
          </w:tcPr>
          <w:p w14:paraId="29BBA654">
            <w:pPr>
              <w:spacing w:line="240" w:lineRule="auto"/>
              <w:ind w:firstLine="0" w:firstLineChars="0"/>
              <w:jc w:val="center"/>
              <w:rPr>
                <w:color w:val="auto"/>
                <w:sz w:val="21"/>
              </w:rPr>
            </w:pPr>
          </w:p>
        </w:tc>
      </w:tr>
      <w:tr w14:paraId="0B01F6C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737" w:type="pct"/>
            <w:tcBorders>
              <w:tl2br w:val="nil"/>
              <w:tr2bl w:val="nil"/>
            </w:tcBorders>
            <w:vAlign w:val="center"/>
          </w:tcPr>
          <w:p w14:paraId="7695FBA9">
            <w:pPr>
              <w:spacing w:line="240" w:lineRule="auto"/>
              <w:ind w:firstLine="0" w:firstLineChars="0"/>
              <w:jc w:val="center"/>
              <w:rPr>
                <w:color w:val="auto"/>
                <w:sz w:val="21"/>
              </w:rPr>
            </w:pPr>
          </w:p>
        </w:tc>
        <w:tc>
          <w:tcPr>
            <w:tcW w:w="634" w:type="pct"/>
            <w:tcBorders>
              <w:tl2br w:val="nil"/>
              <w:tr2bl w:val="nil"/>
            </w:tcBorders>
            <w:vAlign w:val="center"/>
          </w:tcPr>
          <w:p w14:paraId="3500D46C">
            <w:pPr>
              <w:spacing w:line="240" w:lineRule="auto"/>
              <w:ind w:firstLine="0" w:firstLineChars="0"/>
              <w:jc w:val="center"/>
              <w:rPr>
                <w:color w:val="auto"/>
                <w:sz w:val="21"/>
              </w:rPr>
            </w:pPr>
          </w:p>
        </w:tc>
        <w:tc>
          <w:tcPr>
            <w:tcW w:w="487" w:type="pct"/>
            <w:tcBorders>
              <w:tl2br w:val="nil"/>
              <w:tr2bl w:val="nil"/>
            </w:tcBorders>
            <w:vAlign w:val="center"/>
          </w:tcPr>
          <w:p w14:paraId="6841AB43">
            <w:pPr>
              <w:spacing w:line="240" w:lineRule="auto"/>
              <w:ind w:firstLine="0" w:firstLineChars="0"/>
              <w:jc w:val="center"/>
              <w:rPr>
                <w:color w:val="auto"/>
                <w:sz w:val="21"/>
              </w:rPr>
            </w:pPr>
          </w:p>
        </w:tc>
        <w:tc>
          <w:tcPr>
            <w:tcW w:w="488" w:type="pct"/>
            <w:gridSpan w:val="2"/>
            <w:tcBorders>
              <w:tl2br w:val="nil"/>
              <w:tr2bl w:val="nil"/>
            </w:tcBorders>
            <w:vAlign w:val="center"/>
          </w:tcPr>
          <w:p w14:paraId="232C7B50">
            <w:pPr>
              <w:spacing w:line="240" w:lineRule="auto"/>
              <w:ind w:firstLine="0" w:firstLineChars="0"/>
              <w:jc w:val="center"/>
              <w:rPr>
                <w:color w:val="auto"/>
                <w:sz w:val="21"/>
              </w:rPr>
            </w:pPr>
          </w:p>
        </w:tc>
        <w:tc>
          <w:tcPr>
            <w:tcW w:w="652" w:type="pct"/>
            <w:tcBorders>
              <w:tl2br w:val="nil"/>
              <w:tr2bl w:val="nil"/>
            </w:tcBorders>
            <w:vAlign w:val="center"/>
          </w:tcPr>
          <w:p w14:paraId="0EA1906E">
            <w:pPr>
              <w:spacing w:line="240" w:lineRule="auto"/>
              <w:ind w:firstLine="0" w:firstLineChars="0"/>
              <w:jc w:val="center"/>
              <w:rPr>
                <w:color w:val="auto"/>
                <w:sz w:val="21"/>
              </w:rPr>
            </w:pPr>
          </w:p>
        </w:tc>
        <w:tc>
          <w:tcPr>
            <w:tcW w:w="717" w:type="pct"/>
            <w:tcBorders>
              <w:tl2br w:val="nil"/>
              <w:tr2bl w:val="nil"/>
            </w:tcBorders>
            <w:vAlign w:val="center"/>
          </w:tcPr>
          <w:p w14:paraId="71B4C027">
            <w:pPr>
              <w:spacing w:line="240" w:lineRule="auto"/>
              <w:ind w:firstLine="0" w:firstLineChars="0"/>
              <w:jc w:val="center"/>
              <w:rPr>
                <w:color w:val="auto"/>
                <w:sz w:val="21"/>
              </w:rPr>
            </w:pPr>
          </w:p>
        </w:tc>
        <w:tc>
          <w:tcPr>
            <w:tcW w:w="602" w:type="pct"/>
            <w:tcBorders>
              <w:tl2br w:val="nil"/>
              <w:tr2bl w:val="nil"/>
            </w:tcBorders>
            <w:vAlign w:val="center"/>
          </w:tcPr>
          <w:p w14:paraId="5F88FBEC">
            <w:pPr>
              <w:spacing w:line="240" w:lineRule="auto"/>
              <w:ind w:firstLine="0" w:firstLineChars="0"/>
              <w:jc w:val="center"/>
              <w:rPr>
                <w:color w:val="auto"/>
                <w:sz w:val="21"/>
              </w:rPr>
            </w:pPr>
          </w:p>
        </w:tc>
        <w:tc>
          <w:tcPr>
            <w:tcW w:w="679" w:type="pct"/>
            <w:tcBorders>
              <w:tl2br w:val="nil"/>
              <w:tr2bl w:val="nil"/>
            </w:tcBorders>
            <w:vAlign w:val="center"/>
          </w:tcPr>
          <w:p w14:paraId="3085F295">
            <w:pPr>
              <w:spacing w:line="240" w:lineRule="auto"/>
              <w:ind w:firstLine="0" w:firstLineChars="0"/>
              <w:jc w:val="center"/>
              <w:rPr>
                <w:color w:val="auto"/>
                <w:sz w:val="21"/>
              </w:rPr>
            </w:pPr>
          </w:p>
        </w:tc>
      </w:tr>
      <w:tr w14:paraId="76CAD51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FAECA74">
            <w:pPr>
              <w:spacing w:line="240" w:lineRule="auto"/>
              <w:ind w:firstLine="0" w:firstLineChars="0"/>
              <w:jc w:val="center"/>
              <w:rPr>
                <w:color w:val="auto"/>
                <w:sz w:val="21"/>
              </w:rPr>
            </w:pPr>
          </w:p>
        </w:tc>
        <w:tc>
          <w:tcPr>
            <w:tcW w:w="634" w:type="pct"/>
            <w:tcBorders>
              <w:tl2br w:val="nil"/>
              <w:tr2bl w:val="nil"/>
            </w:tcBorders>
            <w:vAlign w:val="center"/>
          </w:tcPr>
          <w:p w14:paraId="6FFC8A75">
            <w:pPr>
              <w:spacing w:line="240" w:lineRule="auto"/>
              <w:ind w:firstLine="0" w:firstLineChars="0"/>
              <w:jc w:val="center"/>
              <w:rPr>
                <w:color w:val="auto"/>
                <w:sz w:val="21"/>
              </w:rPr>
            </w:pPr>
          </w:p>
        </w:tc>
        <w:tc>
          <w:tcPr>
            <w:tcW w:w="975" w:type="pct"/>
            <w:gridSpan w:val="3"/>
            <w:vMerge w:val="restart"/>
            <w:tcBorders>
              <w:tl2br w:val="nil"/>
              <w:tr2bl w:val="nil"/>
            </w:tcBorders>
            <w:vAlign w:val="center"/>
          </w:tcPr>
          <w:p w14:paraId="08290EDB">
            <w:pPr>
              <w:spacing w:line="240" w:lineRule="auto"/>
              <w:ind w:firstLine="0" w:firstLineChars="0"/>
              <w:jc w:val="center"/>
              <w:rPr>
                <w:color w:val="auto"/>
                <w:sz w:val="21"/>
              </w:rPr>
            </w:pPr>
          </w:p>
        </w:tc>
        <w:tc>
          <w:tcPr>
            <w:tcW w:w="652" w:type="pct"/>
            <w:tcBorders>
              <w:tl2br w:val="nil"/>
              <w:tr2bl w:val="nil"/>
            </w:tcBorders>
            <w:vAlign w:val="center"/>
          </w:tcPr>
          <w:p w14:paraId="5D2AA1C7">
            <w:pPr>
              <w:spacing w:line="240" w:lineRule="auto"/>
              <w:ind w:firstLine="0" w:firstLineChars="0"/>
              <w:jc w:val="center"/>
              <w:rPr>
                <w:color w:val="auto"/>
                <w:sz w:val="21"/>
              </w:rPr>
            </w:pPr>
          </w:p>
        </w:tc>
        <w:tc>
          <w:tcPr>
            <w:tcW w:w="717" w:type="pct"/>
            <w:tcBorders>
              <w:tl2br w:val="nil"/>
              <w:tr2bl w:val="nil"/>
            </w:tcBorders>
            <w:vAlign w:val="center"/>
          </w:tcPr>
          <w:p w14:paraId="143CBC0F">
            <w:pPr>
              <w:spacing w:line="240" w:lineRule="auto"/>
              <w:ind w:firstLine="0" w:firstLineChars="0"/>
              <w:jc w:val="center"/>
              <w:rPr>
                <w:color w:val="auto"/>
                <w:sz w:val="21"/>
              </w:rPr>
            </w:pPr>
          </w:p>
        </w:tc>
        <w:tc>
          <w:tcPr>
            <w:tcW w:w="602" w:type="pct"/>
            <w:tcBorders>
              <w:tl2br w:val="nil"/>
              <w:tr2bl w:val="nil"/>
            </w:tcBorders>
            <w:vAlign w:val="center"/>
          </w:tcPr>
          <w:p w14:paraId="743B7EAB">
            <w:pPr>
              <w:spacing w:line="240" w:lineRule="auto"/>
              <w:ind w:firstLine="0" w:firstLineChars="0"/>
              <w:jc w:val="center"/>
              <w:rPr>
                <w:color w:val="auto"/>
                <w:sz w:val="21"/>
              </w:rPr>
            </w:pPr>
          </w:p>
        </w:tc>
        <w:tc>
          <w:tcPr>
            <w:tcW w:w="679" w:type="pct"/>
            <w:vMerge w:val="restart"/>
            <w:tcBorders>
              <w:tl2br w:val="nil"/>
              <w:tr2bl w:val="nil"/>
            </w:tcBorders>
            <w:vAlign w:val="center"/>
          </w:tcPr>
          <w:p w14:paraId="7E44D673">
            <w:pPr>
              <w:spacing w:line="240" w:lineRule="auto"/>
              <w:ind w:firstLine="0" w:firstLineChars="0"/>
              <w:jc w:val="center"/>
              <w:rPr>
                <w:color w:val="auto"/>
                <w:sz w:val="21"/>
              </w:rPr>
            </w:pPr>
          </w:p>
        </w:tc>
      </w:tr>
      <w:tr w14:paraId="43224A8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7878C59">
            <w:pPr>
              <w:spacing w:line="240" w:lineRule="auto"/>
              <w:ind w:firstLine="0" w:firstLineChars="0"/>
              <w:jc w:val="center"/>
              <w:rPr>
                <w:color w:val="auto"/>
                <w:sz w:val="21"/>
              </w:rPr>
            </w:pPr>
          </w:p>
        </w:tc>
        <w:tc>
          <w:tcPr>
            <w:tcW w:w="634" w:type="pct"/>
            <w:tcBorders>
              <w:tl2br w:val="nil"/>
              <w:tr2bl w:val="nil"/>
            </w:tcBorders>
            <w:vAlign w:val="center"/>
          </w:tcPr>
          <w:p w14:paraId="2E0C0022">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309208D5">
            <w:pPr>
              <w:spacing w:line="240" w:lineRule="auto"/>
              <w:ind w:firstLine="0" w:firstLineChars="0"/>
              <w:jc w:val="center"/>
              <w:rPr>
                <w:color w:val="auto"/>
                <w:sz w:val="21"/>
              </w:rPr>
            </w:pPr>
          </w:p>
        </w:tc>
        <w:tc>
          <w:tcPr>
            <w:tcW w:w="652" w:type="pct"/>
            <w:tcBorders>
              <w:tl2br w:val="nil"/>
              <w:tr2bl w:val="nil"/>
            </w:tcBorders>
            <w:vAlign w:val="center"/>
          </w:tcPr>
          <w:p w14:paraId="1A695329">
            <w:pPr>
              <w:spacing w:line="240" w:lineRule="auto"/>
              <w:ind w:firstLine="0" w:firstLineChars="0"/>
              <w:jc w:val="center"/>
              <w:rPr>
                <w:color w:val="auto"/>
                <w:sz w:val="21"/>
              </w:rPr>
            </w:pPr>
          </w:p>
        </w:tc>
        <w:tc>
          <w:tcPr>
            <w:tcW w:w="717" w:type="pct"/>
            <w:tcBorders>
              <w:tl2br w:val="nil"/>
              <w:tr2bl w:val="nil"/>
            </w:tcBorders>
            <w:vAlign w:val="center"/>
          </w:tcPr>
          <w:p w14:paraId="22AF47CB">
            <w:pPr>
              <w:spacing w:line="240" w:lineRule="auto"/>
              <w:ind w:firstLine="0" w:firstLineChars="0"/>
              <w:jc w:val="center"/>
              <w:rPr>
                <w:color w:val="auto"/>
                <w:sz w:val="21"/>
              </w:rPr>
            </w:pPr>
          </w:p>
        </w:tc>
        <w:tc>
          <w:tcPr>
            <w:tcW w:w="602" w:type="pct"/>
            <w:tcBorders>
              <w:tl2br w:val="nil"/>
              <w:tr2bl w:val="nil"/>
            </w:tcBorders>
            <w:vAlign w:val="center"/>
          </w:tcPr>
          <w:p w14:paraId="55F4AB4F">
            <w:pPr>
              <w:spacing w:line="240" w:lineRule="auto"/>
              <w:ind w:firstLine="0" w:firstLineChars="0"/>
              <w:jc w:val="center"/>
              <w:rPr>
                <w:color w:val="auto"/>
                <w:sz w:val="21"/>
              </w:rPr>
            </w:pPr>
          </w:p>
        </w:tc>
        <w:tc>
          <w:tcPr>
            <w:tcW w:w="679" w:type="pct"/>
            <w:vMerge w:val="continue"/>
            <w:tcBorders>
              <w:tl2br w:val="nil"/>
              <w:tr2bl w:val="nil"/>
            </w:tcBorders>
            <w:vAlign w:val="center"/>
          </w:tcPr>
          <w:p w14:paraId="7E9DCA92">
            <w:pPr>
              <w:spacing w:line="240" w:lineRule="auto"/>
              <w:ind w:firstLine="0" w:firstLineChars="0"/>
              <w:jc w:val="center"/>
              <w:rPr>
                <w:color w:val="auto"/>
                <w:sz w:val="21"/>
              </w:rPr>
            </w:pPr>
          </w:p>
        </w:tc>
      </w:tr>
      <w:tr w14:paraId="69E4973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99054C4">
            <w:pPr>
              <w:spacing w:line="240" w:lineRule="auto"/>
              <w:ind w:firstLine="0" w:firstLineChars="0"/>
              <w:jc w:val="center"/>
              <w:rPr>
                <w:color w:val="auto"/>
                <w:sz w:val="21"/>
              </w:rPr>
            </w:pPr>
          </w:p>
        </w:tc>
        <w:tc>
          <w:tcPr>
            <w:tcW w:w="634" w:type="pct"/>
            <w:tcBorders>
              <w:tl2br w:val="nil"/>
              <w:tr2bl w:val="nil"/>
            </w:tcBorders>
            <w:vAlign w:val="center"/>
          </w:tcPr>
          <w:p w14:paraId="69BE5CF0">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75D8BF52">
            <w:pPr>
              <w:spacing w:line="240" w:lineRule="auto"/>
              <w:ind w:firstLine="0" w:firstLineChars="0"/>
              <w:jc w:val="center"/>
              <w:rPr>
                <w:color w:val="auto"/>
                <w:sz w:val="21"/>
              </w:rPr>
            </w:pPr>
          </w:p>
        </w:tc>
        <w:tc>
          <w:tcPr>
            <w:tcW w:w="652" w:type="pct"/>
            <w:tcBorders>
              <w:tl2br w:val="nil"/>
              <w:tr2bl w:val="nil"/>
            </w:tcBorders>
            <w:vAlign w:val="center"/>
          </w:tcPr>
          <w:p w14:paraId="0ED3CD8F">
            <w:pPr>
              <w:spacing w:line="240" w:lineRule="auto"/>
              <w:ind w:firstLine="0" w:firstLineChars="0"/>
              <w:jc w:val="center"/>
              <w:rPr>
                <w:color w:val="auto"/>
                <w:sz w:val="21"/>
              </w:rPr>
            </w:pPr>
          </w:p>
        </w:tc>
        <w:tc>
          <w:tcPr>
            <w:tcW w:w="717" w:type="pct"/>
            <w:tcBorders>
              <w:tl2br w:val="nil"/>
              <w:tr2bl w:val="nil"/>
            </w:tcBorders>
            <w:vAlign w:val="center"/>
          </w:tcPr>
          <w:p w14:paraId="60D023CC">
            <w:pPr>
              <w:spacing w:line="240" w:lineRule="auto"/>
              <w:ind w:firstLine="0" w:firstLineChars="0"/>
              <w:jc w:val="center"/>
              <w:rPr>
                <w:color w:val="auto"/>
                <w:sz w:val="21"/>
              </w:rPr>
            </w:pPr>
          </w:p>
        </w:tc>
        <w:tc>
          <w:tcPr>
            <w:tcW w:w="602" w:type="pct"/>
            <w:tcBorders>
              <w:tl2br w:val="nil"/>
              <w:tr2bl w:val="nil"/>
            </w:tcBorders>
            <w:vAlign w:val="center"/>
          </w:tcPr>
          <w:p w14:paraId="6266EFF3">
            <w:pPr>
              <w:spacing w:line="240" w:lineRule="auto"/>
              <w:ind w:firstLine="0" w:firstLineChars="0"/>
              <w:jc w:val="center"/>
              <w:rPr>
                <w:color w:val="auto"/>
                <w:sz w:val="21"/>
              </w:rPr>
            </w:pPr>
          </w:p>
        </w:tc>
        <w:tc>
          <w:tcPr>
            <w:tcW w:w="679" w:type="pct"/>
            <w:vMerge w:val="continue"/>
            <w:tcBorders>
              <w:tl2br w:val="nil"/>
              <w:tr2bl w:val="nil"/>
            </w:tcBorders>
            <w:vAlign w:val="center"/>
          </w:tcPr>
          <w:p w14:paraId="313B69FF">
            <w:pPr>
              <w:spacing w:line="240" w:lineRule="auto"/>
              <w:ind w:firstLine="0" w:firstLineChars="0"/>
              <w:jc w:val="center"/>
              <w:rPr>
                <w:color w:val="auto"/>
                <w:sz w:val="21"/>
              </w:rPr>
            </w:pPr>
          </w:p>
        </w:tc>
      </w:tr>
      <w:tr w14:paraId="2F06116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AA18C99">
            <w:pPr>
              <w:spacing w:line="240" w:lineRule="auto"/>
              <w:ind w:firstLine="0" w:firstLineChars="0"/>
              <w:jc w:val="center"/>
              <w:rPr>
                <w:color w:val="auto"/>
                <w:sz w:val="21"/>
              </w:rPr>
            </w:pPr>
          </w:p>
        </w:tc>
        <w:tc>
          <w:tcPr>
            <w:tcW w:w="634" w:type="pct"/>
            <w:tcBorders>
              <w:tl2br w:val="nil"/>
              <w:tr2bl w:val="nil"/>
            </w:tcBorders>
            <w:vAlign w:val="center"/>
          </w:tcPr>
          <w:p w14:paraId="1B4CE1A1">
            <w:pPr>
              <w:spacing w:line="240" w:lineRule="auto"/>
              <w:ind w:firstLine="0" w:firstLineChars="0"/>
              <w:jc w:val="center"/>
              <w:rPr>
                <w:color w:val="auto"/>
                <w:sz w:val="21"/>
              </w:rPr>
            </w:pPr>
          </w:p>
        </w:tc>
        <w:tc>
          <w:tcPr>
            <w:tcW w:w="975" w:type="pct"/>
            <w:gridSpan w:val="3"/>
            <w:vMerge w:val="continue"/>
            <w:tcBorders>
              <w:tl2br w:val="nil"/>
              <w:tr2bl w:val="nil"/>
            </w:tcBorders>
            <w:vAlign w:val="center"/>
          </w:tcPr>
          <w:p w14:paraId="77012F3F">
            <w:pPr>
              <w:spacing w:line="240" w:lineRule="auto"/>
              <w:ind w:firstLine="0" w:firstLineChars="0"/>
              <w:jc w:val="center"/>
              <w:rPr>
                <w:color w:val="auto"/>
                <w:sz w:val="21"/>
              </w:rPr>
            </w:pPr>
          </w:p>
        </w:tc>
        <w:tc>
          <w:tcPr>
            <w:tcW w:w="652" w:type="pct"/>
            <w:tcBorders>
              <w:tl2br w:val="nil"/>
              <w:tr2bl w:val="nil"/>
            </w:tcBorders>
            <w:vAlign w:val="center"/>
          </w:tcPr>
          <w:p w14:paraId="66657A2B">
            <w:pPr>
              <w:spacing w:line="240" w:lineRule="auto"/>
              <w:ind w:firstLine="0" w:firstLineChars="0"/>
              <w:jc w:val="center"/>
              <w:rPr>
                <w:color w:val="auto"/>
                <w:sz w:val="21"/>
              </w:rPr>
            </w:pPr>
          </w:p>
        </w:tc>
        <w:tc>
          <w:tcPr>
            <w:tcW w:w="717" w:type="pct"/>
            <w:tcBorders>
              <w:tl2br w:val="nil"/>
              <w:tr2bl w:val="nil"/>
            </w:tcBorders>
            <w:vAlign w:val="center"/>
          </w:tcPr>
          <w:p w14:paraId="4E9D3128">
            <w:pPr>
              <w:spacing w:line="240" w:lineRule="auto"/>
              <w:ind w:firstLine="0" w:firstLineChars="0"/>
              <w:jc w:val="center"/>
              <w:rPr>
                <w:color w:val="auto"/>
                <w:sz w:val="21"/>
              </w:rPr>
            </w:pPr>
          </w:p>
        </w:tc>
        <w:tc>
          <w:tcPr>
            <w:tcW w:w="602" w:type="pct"/>
            <w:tcBorders>
              <w:tl2br w:val="nil"/>
              <w:tr2bl w:val="nil"/>
            </w:tcBorders>
            <w:vAlign w:val="center"/>
          </w:tcPr>
          <w:p w14:paraId="0F349D84">
            <w:pPr>
              <w:spacing w:line="240" w:lineRule="auto"/>
              <w:ind w:firstLine="0" w:firstLineChars="0"/>
              <w:jc w:val="center"/>
              <w:rPr>
                <w:color w:val="auto"/>
                <w:sz w:val="21"/>
              </w:rPr>
            </w:pPr>
          </w:p>
        </w:tc>
        <w:tc>
          <w:tcPr>
            <w:tcW w:w="679" w:type="pct"/>
            <w:vMerge w:val="continue"/>
            <w:tcBorders>
              <w:tl2br w:val="nil"/>
              <w:tr2bl w:val="nil"/>
            </w:tcBorders>
            <w:vAlign w:val="center"/>
          </w:tcPr>
          <w:p w14:paraId="2905C46A">
            <w:pPr>
              <w:spacing w:line="240" w:lineRule="auto"/>
              <w:ind w:firstLine="0" w:firstLineChars="0"/>
              <w:jc w:val="center"/>
              <w:rPr>
                <w:color w:val="auto"/>
                <w:sz w:val="21"/>
              </w:rPr>
            </w:pPr>
          </w:p>
        </w:tc>
      </w:tr>
      <w:tr w14:paraId="5E2C228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AC07299">
            <w:pPr>
              <w:spacing w:line="240" w:lineRule="auto"/>
              <w:ind w:firstLine="0" w:firstLineChars="0"/>
              <w:jc w:val="center"/>
              <w:rPr>
                <w:color w:val="auto"/>
                <w:sz w:val="21"/>
              </w:rPr>
            </w:pPr>
          </w:p>
        </w:tc>
        <w:tc>
          <w:tcPr>
            <w:tcW w:w="634" w:type="pct"/>
            <w:tcBorders>
              <w:tl2br w:val="nil"/>
              <w:tr2bl w:val="nil"/>
            </w:tcBorders>
            <w:vAlign w:val="center"/>
          </w:tcPr>
          <w:p w14:paraId="320147AB">
            <w:pPr>
              <w:spacing w:line="240" w:lineRule="auto"/>
              <w:ind w:firstLine="0" w:firstLineChars="0"/>
              <w:jc w:val="center"/>
              <w:rPr>
                <w:color w:val="auto"/>
                <w:sz w:val="21"/>
              </w:rPr>
            </w:pPr>
          </w:p>
        </w:tc>
        <w:tc>
          <w:tcPr>
            <w:tcW w:w="2948" w:type="pct"/>
            <w:gridSpan w:val="6"/>
            <w:tcBorders>
              <w:tl2br w:val="nil"/>
              <w:tr2bl w:val="nil"/>
            </w:tcBorders>
            <w:vAlign w:val="center"/>
          </w:tcPr>
          <w:p w14:paraId="26D63BD7">
            <w:pPr>
              <w:spacing w:line="240" w:lineRule="auto"/>
              <w:ind w:firstLine="0" w:firstLineChars="0"/>
              <w:jc w:val="center"/>
              <w:rPr>
                <w:color w:val="auto"/>
                <w:sz w:val="21"/>
              </w:rPr>
            </w:pPr>
          </w:p>
        </w:tc>
        <w:tc>
          <w:tcPr>
            <w:tcW w:w="679" w:type="pct"/>
            <w:tcBorders>
              <w:tl2br w:val="nil"/>
              <w:tr2bl w:val="nil"/>
            </w:tcBorders>
            <w:vAlign w:val="center"/>
          </w:tcPr>
          <w:p w14:paraId="139141B8">
            <w:pPr>
              <w:spacing w:line="240" w:lineRule="auto"/>
              <w:ind w:firstLine="0" w:firstLineChars="0"/>
              <w:jc w:val="center"/>
              <w:rPr>
                <w:color w:val="auto"/>
                <w:sz w:val="21"/>
              </w:rPr>
            </w:pPr>
          </w:p>
        </w:tc>
      </w:tr>
    </w:tbl>
    <w:p w14:paraId="7B707569">
      <w:pPr>
        <w:pStyle w:val="49"/>
        <w:rPr>
          <w:color w:val="auto"/>
        </w:rPr>
      </w:pPr>
    </w:p>
    <w:p w14:paraId="7488EEE2">
      <w:pPr>
        <w:pStyle w:val="49"/>
        <w:rPr>
          <w:color w:val="auto"/>
        </w:rPr>
      </w:pPr>
    </w:p>
    <w:p w14:paraId="03C83CD9">
      <w:pPr>
        <w:pStyle w:val="49"/>
        <w:rPr>
          <w:color w:val="auto"/>
        </w:rPr>
      </w:pPr>
    </w:p>
    <w:p w14:paraId="1557CB77">
      <w:pPr>
        <w:pStyle w:val="49"/>
        <w:rPr>
          <w:color w:val="auto"/>
        </w:rPr>
      </w:pPr>
    </w:p>
    <w:p w14:paraId="3AF6E18D">
      <w:pPr>
        <w:pStyle w:val="49"/>
        <w:rPr>
          <w:color w:val="auto"/>
        </w:rPr>
      </w:pPr>
      <w:r>
        <w:rPr>
          <w:rFonts w:hint="eastAsia"/>
          <w:color w:val="auto"/>
        </w:rPr>
        <w:t>图4.4-15  一水亚硫酸铵（氨工艺）生产物料平衡图（t/a）</w:t>
      </w:r>
    </w:p>
    <w:p w14:paraId="6197DEF0">
      <w:pPr>
        <w:pStyle w:val="49"/>
        <w:rPr>
          <w:color w:val="auto"/>
        </w:rPr>
      </w:pPr>
    </w:p>
    <w:p w14:paraId="2FC6F49F">
      <w:pPr>
        <w:spacing w:line="240" w:lineRule="auto"/>
        <w:ind w:firstLine="0" w:firstLineChars="0"/>
        <w:jc w:val="center"/>
        <w:rPr>
          <w:b/>
          <w:bCs/>
          <w:color w:val="auto"/>
        </w:rPr>
      </w:pPr>
      <w:r>
        <w:rPr>
          <w:rFonts w:hint="eastAsia"/>
          <w:b/>
          <w:bCs/>
          <w:color w:val="auto"/>
        </w:rPr>
        <w:t>表4.4-21  一水亚硫酸铵生产物料投入--产出表</w:t>
      </w:r>
      <w:r>
        <w:rPr>
          <w:b/>
          <w:color w:val="auto"/>
        </w:rPr>
        <w:t>（kg/（批·釜））</w:t>
      </w:r>
      <w:r>
        <w:rPr>
          <w:rFonts w:hint="eastAsia"/>
          <w:b/>
          <w:bCs/>
          <w:color w:val="auto"/>
        </w:rPr>
        <w:t>-碳酸氢铵工艺</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45"/>
        <w:gridCol w:w="1242"/>
        <w:gridCol w:w="970"/>
        <w:gridCol w:w="940"/>
        <w:gridCol w:w="1279"/>
        <w:gridCol w:w="1409"/>
        <w:gridCol w:w="2333"/>
        <w:gridCol w:w="236"/>
      </w:tblGrid>
      <w:tr w14:paraId="4035281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7B3F1C51">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2B17819F">
            <w:pPr>
              <w:spacing w:line="240" w:lineRule="auto"/>
              <w:ind w:firstLine="0" w:firstLineChars="0"/>
              <w:jc w:val="center"/>
              <w:rPr>
                <w:b/>
                <w:bCs/>
                <w:color w:val="auto"/>
                <w:sz w:val="21"/>
              </w:rPr>
            </w:pPr>
            <w:r>
              <w:rPr>
                <w:rFonts w:hint="eastAsia"/>
                <w:b/>
                <w:bCs/>
                <w:color w:val="auto"/>
                <w:sz w:val="21"/>
              </w:rPr>
              <w:t>产出</w:t>
            </w:r>
          </w:p>
        </w:tc>
      </w:tr>
      <w:tr w14:paraId="632840D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31433D6">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2FBF1575">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4ACEBC0F">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57BD7D5C">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370" w:type="pct"/>
            <w:gridSpan w:val="2"/>
            <w:tcBorders>
              <w:tl2br w:val="nil"/>
              <w:tr2bl w:val="nil"/>
            </w:tcBorders>
            <w:vAlign w:val="center"/>
          </w:tcPr>
          <w:p w14:paraId="2E5B44BD">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282" w:type="pct"/>
            <w:gridSpan w:val="2"/>
            <w:tcBorders>
              <w:tl2br w:val="nil"/>
              <w:tr2bl w:val="nil"/>
            </w:tcBorders>
            <w:vAlign w:val="center"/>
          </w:tcPr>
          <w:p w14:paraId="2D9A6B19">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5225F5F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7784752">
            <w:pPr>
              <w:spacing w:line="240" w:lineRule="auto"/>
              <w:ind w:firstLine="0" w:firstLineChars="0"/>
              <w:jc w:val="center"/>
              <w:rPr>
                <w:color w:val="auto"/>
                <w:sz w:val="21"/>
              </w:rPr>
            </w:pPr>
          </w:p>
        </w:tc>
        <w:tc>
          <w:tcPr>
            <w:tcW w:w="1250" w:type="dxa"/>
            <w:tcBorders>
              <w:tl2br w:val="nil"/>
              <w:tr2bl w:val="nil"/>
            </w:tcBorders>
            <w:vAlign w:val="center"/>
          </w:tcPr>
          <w:p w14:paraId="2EE50D22">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5D191BD9">
            <w:pPr>
              <w:spacing w:line="240" w:lineRule="auto"/>
              <w:ind w:firstLine="0" w:firstLineChars="0"/>
              <w:jc w:val="center"/>
              <w:rPr>
                <w:color w:val="auto"/>
                <w:sz w:val="21"/>
              </w:rPr>
            </w:pPr>
          </w:p>
        </w:tc>
        <w:tc>
          <w:tcPr>
            <w:tcW w:w="652" w:type="pct"/>
            <w:vMerge w:val="restart"/>
            <w:tcBorders>
              <w:tl2br w:val="nil"/>
              <w:tr2bl w:val="nil"/>
            </w:tcBorders>
            <w:vAlign w:val="center"/>
          </w:tcPr>
          <w:p w14:paraId="1F122BF8">
            <w:pPr>
              <w:spacing w:line="240" w:lineRule="auto"/>
              <w:ind w:firstLine="0" w:firstLineChars="0"/>
              <w:jc w:val="center"/>
              <w:rPr>
                <w:color w:val="auto"/>
                <w:sz w:val="21"/>
              </w:rPr>
            </w:pPr>
          </w:p>
        </w:tc>
        <w:tc>
          <w:tcPr>
            <w:tcW w:w="717" w:type="pct"/>
            <w:tcBorders>
              <w:tl2br w:val="nil"/>
              <w:tr2bl w:val="nil"/>
            </w:tcBorders>
            <w:vAlign w:val="bottom"/>
          </w:tcPr>
          <w:p w14:paraId="446DAC9A">
            <w:pPr>
              <w:spacing w:line="240" w:lineRule="auto"/>
              <w:ind w:firstLine="0" w:firstLineChars="0"/>
              <w:jc w:val="center"/>
              <w:rPr>
                <w:color w:val="auto"/>
                <w:sz w:val="21"/>
              </w:rPr>
            </w:pPr>
          </w:p>
        </w:tc>
        <w:tc>
          <w:tcPr>
            <w:tcW w:w="1187" w:type="dxa"/>
            <w:tcBorders>
              <w:tl2br w:val="nil"/>
              <w:tr2bl w:val="nil"/>
            </w:tcBorders>
            <w:vAlign w:val="center"/>
          </w:tcPr>
          <w:p w14:paraId="485CCD28">
            <w:pPr>
              <w:spacing w:line="240" w:lineRule="auto"/>
              <w:ind w:firstLine="0" w:firstLineChars="0"/>
              <w:jc w:val="center"/>
              <w:rPr>
                <w:color w:val="auto"/>
                <w:sz w:val="21"/>
              </w:rPr>
            </w:pPr>
          </w:p>
        </w:tc>
        <w:tc>
          <w:tcPr>
            <w:tcW w:w="1340" w:type="dxa"/>
            <w:vMerge w:val="restart"/>
            <w:tcBorders>
              <w:tl2br w:val="nil"/>
              <w:tr2bl w:val="nil"/>
            </w:tcBorders>
            <w:vAlign w:val="center"/>
          </w:tcPr>
          <w:p w14:paraId="2F7DDB55">
            <w:pPr>
              <w:spacing w:line="240" w:lineRule="auto"/>
              <w:ind w:firstLine="0" w:firstLineChars="0"/>
              <w:jc w:val="center"/>
              <w:rPr>
                <w:color w:val="auto"/>
                <w:sz w:val="21"/>
              </w:rPr>
            </w:pPr>
          </w:p>
        </w:tc>
      </w:tr>
      <w:tr w14:paraId="0C10A4B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5439D5EF">
            <w:pPr>
              <w:spacing w:line="240" w:lineRule="auto"/>
              <w:ind w:firstLine="0" w:firstLineChars="0"/>
              <w:jc w:val="center"/>
              <w:rPr>
                <w:color w:val="auto"/>
                <w:sz w:val="21"/>
              </w:rPr>
            </w:pPr>
          </w:p>
        </w:tc>
        <w:tc>
          <w:tcPr>
            <w:tcW w:w="1250" w:type="dxa"/>
            <w:tcBorders>
              <w:tl2br w:val="nil"/>
              <w:tr2bl w:val="nil"/>
            </w:tcBorders>
            <w:vAlign w:val="center"/>
          </w:tcPr>
          <w:p w14:paraId="7D92ED3A">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5B9D542E">
            <w:pPr>
              <w:spacing w:line="240" w:lineRule="auto"/>
              <w:ind w:firstLine="0" w:firstLineChars="0"/>
              <w:jc w:val="center"/>
              <w:rPr>
                <w:color w:val="auto"/>
                <w:sz w:val="21"/>
              </w:rPr>
            </w:pPr>
          </w:p>
        </w:tc>
        <w:tc>
          <w:tcPr>
            <w:tcW w:w="652" w:type="pct"/>
            <w:vMerge w:val="continue"/>
            <w:tcBorders>
              <w:tl2br w:val="nil"/>
              <w:tr2bl w:val="nil"/>
            </w:tcBorders>
            <w:vAlign w:val="center"/>
          </w:tcPr>
          <w:p w14:paraId="0E9BF650">
            <w:pPr>
              <w:spacing w:line="240" w:lineRule="auto"/>
              <w:ind w:firstLine="0" w:firstLineChars="0"/>
              <w:jc w:val="center"/>
              <w:rPr>
                <w:color w:val="auto"/>
                <w:sz w:val="21"/>
              </w:rPr>
            </w:pPr>
          </w:p>
        </w:tc>
        <w:tc>
          <w:tcPr>
            <w:tcW w:w="717" w:type="pct"/>
            <w:tcBorders>
              <w:tl2br w:val="nil"/>
              <w:tr2bl w:val="nil"/>
            </w:tcBorders>
            <w:vAlign w:val="bottom"/>
          </w:tcPr>
          <w:p w14:paraId="1F523AC2">
            <w:pPr>
              <w:spacing w:line="240" w:lineRule="auto"/>
              <w:ind w:firstLine="0" w:firstLineChars="0"/>
              <w:jc w:val="center"/>
              <w:rPr>
                <w:color w:val="auto"/>
                <w:sz w:val="21"/>
              </w:rPr>
            </w:pPr>
          </w:p>
        </w:tc>
        <w:tc>
          <w:tcPr>
            <w:tcW w:w="1187" w:type="dxa"/>
            <w:tcBorders>
              <w:tl2br w:val="nil"/>
              <w:tr2bl w:val="nil"/>
            </w:tcBorders>
            <w:vAlign w:val="center"/>
          </w:tcPr>
          <w:p w14:paraId="6F2ABD24">
            <w:pPr>
              <w:spacing w:line="240" w:lineRule="auto"/>
              <w:ind w:firstLine="0" w:firstLineChars="0"/>
              <w:jc w:val="center"/>
              <w:rPr>
                <w:color w:val="auto"/>
                <w:sz w:val="21"/>
              </w:rPr>
            </w:pPr>
          </w:p>
        </w:tc>
        <w:tc>
          <w:tcPr>
            <w:tcW w:w="679" w:type="pct"/>
            <w:vMerge w:val="continue"/>
            <w:tcBorders>
              <w:tl2br w:val="nil"/>
              <w:tr2bl w:val="nil"/>
            </w:tcBorders>
            <w:vAlign w:val="center"/>
          </w:tcPr>
          <w:p w14:paraId="0116A6DD">
            <w:pPr>
              <w:spacing w:line="240" w:lineRule="auto"/>
              <w:ind w:firstLine="0" w:firstLineChars="0"/>
              <w:jc w:val="center"/>
              <w:rPr>
                <w:color w:val="auto"/>
                <w:sz w:val="21"/>
              </w:rPr>
            </w:pPr>
          </w:p>
        </w:tc>
      </w:tr>
      <w:tr w14:paraId="7C2E45A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649D304">
            <w:pPr>
              <w:spacing w:line="240" w:lineRule="auto"/>
              <w:ind w:firstLine="0" w:firstLineChars="0"/>
              <w:jc w:val="center"/>
              <w:rPr>
                <w:color w:val="auto"/>
                <w:sz w:val="21"/>
              </w:rPr>
            </w:pPr>
          </w:p>
        </w:tc>
        <w:tc>
          <w:tcPr>
            <w:tcW w:w="1250" w:type="dxa"/>
            <w:tcBorders>
              <w:tl2br w:val="nil"/>
              <w:tr2bl w:val="nil"/>
            </w:tcBorders>
            <w:vAlign w:val="center"/>
          </w:tcPr>
          <w:p w14:paraId="5BEBA35A">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625843A2">
            <w:pPr>
              <w:spacing w:line="240" w:lineRule="auto"/>
              <w:ind w:firstLine="0" w:firstLineChars="0"/>
              <w:jc w:val="center"/>
              <w:rPr>
                <w:color w:val="auto"/>
                <w:sz w:val="21"/>
              </w:rPr>
            </w:pPr>
          </w:p>
        </w:tc>
        <w:tc>
          <w:tcPr>
            <w:tcW w:w="652" w:type="pct"/>
            <w:vMerge w:val="continue"/>
            <w:tcBorders>
              <w:tl2br w:val="nil"/>
              <w:tr2bl w:val="nil"/>
            </w:tcBorders>
            <w:vAlign w:val="center"/>
          </w:tcPr>
          <w:p w14:paraId="170ACA91">
            <w:pPr>
              <w:spacing w:line="240" w:lineRule="auto"/>
              <w:ind w:firstLine="0" w:firstLineChars="0"/>
              <w:jc w:val="center"/>
              <w:rPr>
                <w:color w:val="auto"/>
                <w:sz w:val="21"/>
              </w:rPr>
            </w:pPr>
          </w:p>
        </w:tc>
        <w:tc>
          <w:tcPr>
            <w:tcW w:w="717" w:type="pct"/>
            <w:tcBorders>
              <w:tl2br w:val="nil"/>
              <w:tr2bl w:val="nil"/>
            </w:tcBorders>
            <w:vAlign w:val="center"/>
          </w:tcPr>
          <w:p w14:paraId="5A67EF48">
            <w:pPr>
              <w:spacing w:line="240" w:lineRule="auto"/>
              <w:ind w:firstLine="0" w:firstLineChars="0"/>
              <w:jc w:val="center"/>
              <w:rPr>
                <w:color w:val="auto"/>
                <w:sz w:val="21"/>
              </w:rPr>
            </w:pPr>
          </w:p>
        </w:tc>
        <w:tc>
          <w:tcPr>
            <w:tcW w:w="1187" w:type="dxa"/>
            <w:tcBorders>
              <w:tl2br w:val="nil"/>
              <w:tr2bl w:val="nil"/>
            </w:tcBorders>
            <w:vAlign w:val="center"/>
          </w:tcPr>
          <w:p w14:paraId="014D8812">
            <w:pPr>
              <w:spacing w:line="240" w:lineRule="auto"/>
              <w:ind w:firstLine="0" w:firstLineChars="0"/>
              <w:jc w:val="center"/>
              <w:rPr>
                <w:color w:val="auto"/>
                <w:sz w:val="21"/>
              </w:rPr>
            </w:pPr>
          </w:p>
        </w:tc>
        <w:tc>
          <w:tcPr>
            <w:tcW w:w="679" w:type="pct"/>
            <w:vMerge w:val="continue"/>
            <w:tcBorders>
              <w:tl2br w:val="nil"/>
              <w:tr2bl w:val="nil"/>
            </w:tcBorders>
            <w:vAlign w:val="center"/>
          </w:tcPr>
          <w:p w14:paraId="0E09FD7D">
            <w:pPr>
              <w:spacing w:line="240" w:lineRule="auto"/>
              <w:ind w:firstLine="0" w:firstLineChars="0"/>
              <w:jc w:val="center"/>
              <w:rPr>
                <w:color w:val="auto"/>
                <w:sz w:val="21"/>
              </w:rPr>
            </w:pPr>
          </w:p>
        </w:tc>
      </w:tr>
      <w:tr w14:paraId="5390A6D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2D1D1D2F">
            <w:pPr>
              <w:spacing w:line="240" w:lineRule="auto"/>
              <w:ind w:firstLine="0" w:firstLineChars="0"/>
              <w:jc w:val="center"/>
              <w:rPr>
                <w:color w:val="auto"/>
                <w:sz w:val="21"/>
              </w:rPr>
            </w:pPr>
          </w:p>
        </w:tc>
        <w:tc>
          <w:tcPr>
            <w:tcW w:w="1250" w:type="dxa"/>
            <w:tcBorders>
              <w:tl2br w:val="nil"/>
              <w:tr2bl w:val="nil"/>
            </w:tcBorders>
            <w:vAlign w:val="center"/>
          </w:tcPr>
          <w:p w14:paraId="609BE595">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2DAC5AD0">
            <w:pPr>
              <w:spacing w:line="240" w:lineRule="auto"/>
              <w:ind w:firstLine="0" w:firstLineChars="0"/>
              <w:jc w:val="center"/>
              <w:rPr>
                <w:color w:val="auto"/>
                <w:sz w:val="21"/>
              </w:rPr>
            </w:pPr>
          </w:p>
        </w:tc>
        <w:tc>
          <w:tcPr>
            <w:tcW w:w="652" w:type="pct"/>
            <w:vMerge w:val="continue"/>
            <w:tcBorders>
              <w:tl2br w:val="nil"/>
              <w:tr2bl w:val="nil"/>
            </w:tcBorders>
            <w:vAlign w:val="center"/>
          </w:tcPr>
          <w:p w14:paraId="1729237F">
            <w:pPr>
              <w:spacing w:line="240" w:lineRule="auto"/>
              <w:ind w:firstLine="0" w:firstLineChars="0"/>
              <w:jc w:val="center"/>
              <w:rPr>
                <w:color w:val="auto"/>
                <w:sz w:val="21"/>
              </w:rPr>
            </w:pPr>
          </w:p>
        </w:tc>
        <w:tc>
          <w:tcPr>
            <w:tcW w:w="717" w:type="pct"/>
            <w:tcBorders>
              <w:tl2br w:val="nil"/>
              <w:tr2bl w:val="nil"/>
            </w:tcBorders>
            <w:vAlign w:val="center"/>
          </w:tcPr>
          <w:p w14:paraId="04239750">
            <w:pPr>
              <w:spacing w:line="240" w:lineRule="auto"/>
              <w:ind w:firstLine="0" w:firstLineChars="0"/>
              <w:jc w:val="center"/>
              <w:rPr>
                <w:color w:val="auto"/>
                <w:sz w:val="21"/>
              </w:rPr>
            </w:pPr>
          </w:p>
        </w:tc>
        <w:tc>
          <w:tcPr>
            <w:tcW w:w="1187" w:type="dxa"/>
            <w:tcBorders>
              <w:tl2br w:val="nil"/>
              <w:tr2bl w:val="nil"/>
            </w:tcBorders>
            <w:vAlign w:val="center"/>
          </w:tcPr>
          <w:p w14:paraId="691E4F98">
            <w:pPr>
              <w:spacing w:line="240" w:lineRule="auto"/>
              <w:ind w:firstLine="0" w:firstLineChars="0"/>
              <w:jc w:val="center"/>
              <w:rPr>
                <w:color w:val="auto"/>
                <w:sz w:val="21"/>
              </w:rPr>
            </w:pPr>
          </w:p>
        </w:tc>
        <w:tc>
          <w:tcPr>
            <w:tcW w:w="679" w:type="pct"/>
            <w:vMerge w:val="continue"/>
            <w:tcBorders>
              <w:tl2br w:val="nil"/>
              <w:tr2bl w:val="nil"/>
            </w:tcBorders>
            <w:vAlign w:val="center"/>
          </w:tcPr>
          <w:p w14:paraId="7AC448CB">
            <w:pPr>
              <w:spacing w:line="240" w:lineRule="auto"/>
              <w:ind w:firstLine="0" w:firstLineChars="0"/>
              <w:jc w:val="center"/>
              <w:rPr>
                <w:color w:val="auto"/>
                <w:sz w:val="21"/>
              </w:rPr>
            </w:pPr>
          </w:p>
        </w:tc>
      </w:tr>
      <w:tr w14:paraId="56C7B6C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0074762">
            <w:pPr>
              <w:spacing w:line="240" w:lineRule="auto"/>
              <w:ind w:firstLine="0" w:firstLineChars="0"/>
              <w:jc w:val="center"/>
              <w:rPr>
                <w:color w:val="auto"/>
                <w:sz w:val="21"/>
              </w:rPr>
            </w:pPr>
          </w:p>
        </w:tc>
        <w:tc>
          <w:tcPr>
            <w:tcW w:w="1250" w:type="dxa"/>
            <w:tcBorders>
              <w:tl2br w:val="nil"/>
              <w:tr2bl w:val="nil"/>
            </w:tcBorders>
            <w:vAlign w:val="center"/>
          </w:tcPr>
          <w:p w14:paraId="26832273">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0ABF29C9">
            <w:pPr>
              <w:spacing w:line="240" w:lineRule="auto"/>
              <w:ind w:firstLine="0" w:firstLineChars="0"/>
              <w:jc w:val="center"/>
              <w:rPr>
                <w:color w:val="auto"/>
                <w:sz w:val="21"/>
              </w:rPr>
            </w:pPr>
          </w:p>
        </w:tc>
        <w:tc>
          <w:tcPr>
            <w:tcW w:w="652" w:type="pct"/>
            <w:tcBorders>
              <w:tl2br w:val="nil"/>
              <w:tr2bl w:val="nil"/>
            </w:tcBorders>
            <w:vAlign w:val="center"/>
          </w:tcPr>
          <w:p w14:paraId="4AF6EF1B">
            <w:pPr>
              <w:spacing w:line="240" w:lineRule="auto"/>
              <w:ind w:firstLine="0" w:firstLineChars="0"/>
              <w:jc w:val="center"/>
              <w:rPr>
                <w:color w:val="auto"/>
                <w:sz w:val="21"/>
              </w:rPr>
            </w:pPr>
          </w:p>
        </w:tc>
        <w:tc>
          <w:tcPr>
            <w:tcW w:w="717" w:type="pct"/>
            <w:tcBorders>
              <w:tl2br w:val="nil"/>
              <w:tr2bl w:val="nil"/>
            </w:tcBorders>
            <w:vAlign w:val="center"/>
          </w:tcPr>
          <w:p w14:paraId="4A85A6A2">
            <w:pPr>
              <w:spacing w:line="240" w:lineRule="auto"/>
              <w:ind w:firstLine="0" w:firstLineChars="0"/>
              <w:jc w:val="center"/>
              <w:rPr>
                <w:color w:val="auto"/>
                <w:sz w:val="21"/>
              </w:rPr>
            </w:pPr>
          </w:p>
        </w:tc>
        <w:tc>
          <w:tcPr>
            <w:tcW w:w="1187" w:type="dxa"/>
            <w:tcBorders>
              <w:tl2br w:val="nil"/>
              <w:tr2bl w:val="nil"/>
            </w:tcBorders>
            <w:vAlign w:val="center"/>
          </w:tcPr>
          <w:p w14:paraId="64EFDD35">
            <w:pPr>
              <w:spacing w:line="240" w:lineRule="auto"/>
              <w:ind w:firstLine="0" w:firstLineChars="0"/>
              <w:jc w:val="center"/>
              <w:rPr>
                <w:color w:val="auto"/>
                <w:sz w:val="21"/>
              </w:rPr>
            </w:pPr>
          </w:p>
        </w:tc>
        <w:tc>
          <w:tcPr>
            <w:tcW w:w="1340" w:type="dxa"/>
            <w:vMerge w:val="restart"/>
            <w:tcBorders>
              <w:tl2br w:val="nil"/>
              <w:tr2bl w:val="nil"/>
            </w:tcBorders>
            <w:vAlign w:val="center"/>
          </w:tcPr>
          <w:p w14:paraId="709A9FE1">
            <w:pPr>
              <w:spacing w:line="240" w:lineRule="auto"/>
              <w:ind w:firstLine="0" w:firstLineChars="0"/>
              <w:jc w:val="center"/>
              <w:rPr>
                <w:color w:val="auto"/>
                <w:sz w:val="21"/>
              </w:rPr>
            </w:pPr>
          </w:p>
        </w:tc>
      </w:tr>
      <w:tr w14:paraId="18200EB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D4BC274">
            <w:pPr>
              <w:spacing w:line="240" w:lineRule="auto"/>
              <w:ind w:firstLine="0" w:firstLineChars="0"/>
              <w:jc w:val="center"/>
              <w:rPr>
                <w:color w:val="auto"/>
                <w:sz w:val="21"/>
              </w:rPr>
            </w:pPr>
          </w:p>
        </w:tc>
        <w:tc>
          <w:tcPr>
            <w:tcW w:w="1250" w:type="dxa"/>
            <w:tcBorders>
              <w:tl2br w:val="nil"/>
              <w:tr2bl w:val="nil"/>
            </w:tcBorders>
            <w:vAlign w:val="center"/>
          </w:tcPr>
          <w:p w14:paraId="725DA9B2">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23A737B8">
            <w:pPr>
              <w:spacing w:line="240" w:lineRule="auto"/>
              <w:ind w:firstLine="0" w:firstLineChars="0"/>
              <w:jc w:val="center"/>
              <w:rPr>
                <w:color w:val="auto"/>
                <w:sz w:val="21"/>
              </w:rPr>
            </w:pPr>
          </w:p>
        </w:tc>
        <w:tc>
          <w:tcPr>
            <w:tcW w:w="652" w:type="pct"/>
            <w:tcBorders>
              <w:tl2br w:val="nil"/>
              <w:tr2bl w:val="nil"/>
            </w:tcBorders>
            <w:vAlign w:val="center"/>
          </w:tcPr>
          <w:p w14:paraId="1361EC05">
            <w:pPr>
              <w:spacing w:line="240" w:lineRule="auto"/>
              <w:ind w:firstLine="0" w:firstLineChars="0"/>
              <w:jc w:val="center"/>
              <w:rPr>
                <w:color w:val="auto"/>
                <w:sz w:val="21"/>
              </w:rPr>
            </w:pPr>
          </w:p>
        </w:tc>
        <w:tc>
          <w:tcPr>
            <w:tcW w:w="717" w:type="pct"/>
            <w:tcBorders>
              <w:tl2br w:val="nil"/>
              <w:tr2bl w:val="nil"/>
            </w:tcBorders>
            <w:vAlign w:val="center"/>
          </w:tcPr>
          <w:p w14:paraId="49C9B05A">
            <w:pPr>
              <w:spacing w:line="240" w:lineRule="auto"/>
              <w:ind w:firstLine="0" w:firstLineChars="0"/>
              <w:jc w:val="center"/>
              <w:rPr>
                <w:color w:val="auto"/>
                <w:sz w:val="21"/>
              </w:rPr>
            </w:pPr>
          </w:p>
        </w:tc>
        <w:tc>
          <w:tcPr>
            <w:tcW w:w="1187" w:type="dxa"/>
            <w:tcBorders>
              <w:tl2br w:val="nil"/>
              <w:tr2bl w:val="nil"/>
            </w:tcBorders>
            <w:vAlign w:val="center"/>
          </w:tcPr>
          <w:p w14:paraId="271082E0">
            <w:pPr>
              <w:spacing w:line="240" w:lineRule="auto"/>
              <w:ind w:firstLine="0" w:firstLineChars="0"/>
              <w:jc w:val="center"/>
              <w:rPr>
                <w:color w:val="auto"/>
                <w:sz w:val="21"/>
              </w:rPr>
            </w:pPr>
          </w:p>
        </w:tc>
        <w:tc>
          <w:tcPr>
            <w:tcW w:w="679" w:type="pct"/>
            <w:vMerge w:val="continue"/>
            <w:tcBorders>
              <w:tl2br w:val="nil"/>
              <w:tr2bl w:val="nil"/>
            </w:tcBorders>
            <w:vAlign w:val="center"/>
          </w:tcPr>
          <w:p w14:paraId="1D75C345">
            <w:pPr>
              <w:spacing w:line="240" w:lineRule="auto"/>
              <w:ind w:firstLine="0" w:firstLineChars="0"/>
              <w:jc w:val="center"/>
              <w:rPr>
                <w:color w:val="auto"/>
                <w:sz w:val="21"/>
              </w:rPr>
            </w:pPr>
          </w:p>
        </w:tc>
      </w:tr>
      <w:tr w14:paraId="2F35D2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0D7770C">
            <w:pPr>
              <w:spacing w:line="240" w:lineRule="auto"/>
              <w:ind w:firstLine="0" w:firstLineChars="0"/>
              <w:jc w:val="center"/>
              <w:rPr>
                <w:color w:val="auto"/>
                <w:sz w:val="21"/>
              </w:rPr>
            </w:pPr>
          </w:p>
        </w:tc>
        <w:tc>
          <w:tcPr>
            <w:tcW w:w="1250" w:type="dxa"/>
            <w:tcBorders>
              <w:tl2br w:val="nil"/>
              <w:tr2bl w:val="nil"/>
            </w:tcBorders>
            <w:vAlign w:val="center"/>
          </w:tcPr>
          <w:p w14:paraId="6E641379">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48F63038">
            <w:pPr>
              <w:spacing w:line="240" w:lineRule="auto"/>
              <w:ind w:firstLine="0" w:firstLineChars="0"/>
              <w:jc w:val="center"/>
              <w:rPr>
                <w:color w:val="auto"/>
                <w:sz w:val="21"/>
              </w:rPr>
            </w:pPr>
          </w:p>
        </w:tc>
        <w:tc>
          <w:tcPr>
            <w:tcW w:w="652" w:type="pct"/>
            <w:tcBorders>
              <w:tl2br w:val="nil"/>
              <w:tr2bl w:val="nil"/>
            </w:tcBorders>
            <w:vAlign w:val="center"/>
          </w:tcPr>
          <w:p w14:paraId="4715F405">
            <w:pPr>
              <w:spacing w:line="240" w:lineRule="auto"/>
              <w:ind w:firstLine="0" w:firstLineChars="0"/>
              <w:jc w:val="center"/>
              <w:rPr>
                <w:color w:val="auto"/>
                <w:sz w:val="21"/>
              </w:rPr>
            </w:pPr>
          </w:p>
        </w:tc>
        <w:tc>
          <w:tcPr>
            <w:tcW w:w="717" w:type="pct"/>
            <w:tcBorders>
              <w:tl2br w:val="nil"/>
              <w:tr2bl w:val="nil"/>
            </w:tcBorders>
            <w:vAlign w:val="center"/>
          </w:tcPr>
          <w:p w14:paraId="6BB3384F">
            <w:pPr>
              <w:spacing w:line="240" w:lineRule="auto"/>
              <w:ind w:firstLine="0" w:firstLineChars="0"/>
              <w:jc w:val="center"/>
              <w:rPr>
                <w:color w:val="auto"/>
                <w:sz w:val="21"/>
              </w:rPr>
            </w:pPr>
          </w:p>
        </w:tc>
        <w:tc>
          <w:tcPr>
            <w:tcW w:w="1187" w:type="dxa"/>
            <w:tcBorders>
              <w:tl2br w:val="nil"/>
              <w:tr2bl w:val="nil"/>
            </w:tcBorders>
            <w:vAlign w:val="center"/>
          </w:tcPr>
          <w:p w14:paraId="44EA4E9B">
            <w:pPr>
              <w:spacing w:line="240" w:lineRule="auto"/>
              <w:ind w:firstLine="0" w:firstLineChars="0"/>
              <w:jc w:val="center"/>
              <w:rPr>
                <w:color w:val="auto"/>
                <w:sz w:val="21"/>
              </w:rPr>
            </w:pPr>
          </w:p>
        </w:tc>
        <w:tc>
          <w:tcPr>
            <w:tcW w:w="679" w:type="pct"/>
            <w:vMerge w:val="continue"/>
            <w:tcBorders>
              <w:tl2br w:val="nil"/>
              <w:tr2bl w:val="nil"/>
            </w:tcBorders>
            <w:vAlign w:val="center"/>
          </w:tcPr>
          <w:p w14:paraId="270674FA">
            <w:pPr>
              <w:spacing w:line="240" w:lineRule="auto"/>
              <w:ind w:firstLine="0" w:firstLineChars="0"/>
              <w:jc w:val="center"/>
              <w:rPr>
                <w:color w:val="auto"/>
                <w:sz w:val="21"/>
              </w:rPr>
            </w:pPr>
          </w:p>
        </w:tc>
      </w:tr>
      <w:tr w14:paraId="44DD12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24C37EE">
            <w:pPr>
              <w:spacing w:line="240" w:lineRule="auto"/>
              <w:ind w:firstLine="0" w:firstLineChars="0"/>
              <w:jc w:val="center"/>
              <w:rPr>
                <w:color w:val="auto"/>
                <w:sz w:val="21"/>
              </w:rPr>
            </w:pPr>
          </w:p>
        </w:tc>
        <w:tc>
          <w:tcPr>
            <w:tcW w:w="1250" w:type="dxa"/>
            <w:tcBorders>
              <w:tl2br w:val="nil"/>
              <w:tr2bl w:val="nil"/>
            </w:tcBorders>
            <w:vAlign w:val="center"/>
          </w:tcPr>
          <w:p w14:paraId="402C818A">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1CDB1433">
            <w:pPr>
              <w:spacing w:line="240" w:lineRule="auto"/>
              <w:ind w:firstLine="0" w:firstLineChars="0"/>
              <w:jc w:val="center"/>
              <w:rPr>
                <w:color w:val="auto"/>
                <w:sz w:val="21"/>
              </w:rPr>
            </w:pPr>
          </w:p>
        </w:tc>
        <w:tc>
          <w:tcPr>
            <w:tcW w:w="652" w:type="pct"/>
            <w:tcBorders>
              <w:tl2br w:val="nil"/>
              <w:tr2bl w:val="nil"/>
            </w:tcBorders>
            <w:vAlign w:val="center"/>
          </w:tcPr>
          <w:p w14:paraId="03CC76D2">
            <w:pPr>
              <w:spacing w:line="240" w:lineRule="auto"/>
              <w:ind w:firstLine="0" w:firstLineChars="0"/>
              <w:jc w:val="center"/>
              <w:rPr>
                <w:color w:val="auto"/>
                <w:sz w:val="21"/>
              </w:rPr>
            </w:pPr>
          </w:p>
        </w:tc>
        <w:tc>
          <w:tcPr>
            <w:tcW w:w="717" w:type="pct"/>
            <w:tcBorders>
              <w:tl2br w:val="nil"/>
              <w:tr2bl w:val="nil"/>
            </w:tcBorders>
            <w:vAlign w:val="center"/>
          </w:tcPr>
          <w:p w14:paraId="6D1E90D5">
            <w:pPr>
              <w:spacing w:line="240" w:lineRule="auto"/>
              <w:ind w:firstLine="0" w:firstLineChars="0"/>
              <w:jc w:val="center"/>
              <w:rPr>
                <w:color w:val="auto"/>
                <w:sz w:val="21"/>
              </w:rPr>
            </w:pPr>
          </w:p>
        </w:tc>
        <w:tc>
          <w:tcPr>
            <w:tcW w:w="1187" w:type="dxa"/>
            <w:tcBorders>
              <w:tl2br w:val="nil"/>
              <w:tr2bl w:val="nil"/>
            </w:tcBorders>
            <w:vAlign w:val="center"/>
          </w:tcPr>
          <w:p w14:paraId="0A7508F9">
            <w:pPr>
              <w:spacing w:line="240" w:lineRule="auto"/>
              <w:ind w:firstLine="0" w:firstLineChars="0"/>
              <w:jc w:val="center"/>
              <w:rPr>
                <w:color w:val="auto"/>
                <w:sz w:val="21"/>
              </w:rPr>
            </w:pPr>
          </w:p>
        </w:tc>
        <w:tc>
          <w:tcPr>
            <w:tcW w:w="679" w:type="pct"/>
            <w:vMerge w:val="continue"/>
            <w:tcBorders>
              <w:tl2br w:val="nil"/>
              <w:tr2bl w:val="nil"/>
            </w:tcBorders>
            <w:vAlign w:val="center"/>
          </w:tcPr>
          <w:p w14:paraId="37348BB5">
            <w:pPr>
              <w:spacing w:line="240" w:lineRule="auto"/>
              <w:ind w:firstLine="0" w:firstLineChars="0"/>
              <w:jc w:val="center"/>
              <w:rPr>
                <w:color w:val="auto"/>
                <w:sz w:val="21"/>
              </w:rPr>
            </w:pPr>
          </w:p>
        </w:tc>
      </w:tr>
      <w:tr w14:paraId="1249619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37CE02E">
            <w:pPr>
              <w:spacing w:line="240" w:lineRule="auto"/>
              <w:ind w:firstLine="0" w:firstLineChars="0"/>
              <w:jc w:val="center"/>
              <w:rPr>
                <w:color w:val="auto"/>
                <w:sz w:val="21"/>
              </w:rPr>
            </w:pPr>
          </w:p>
        </w:tc>
        <w:tc>
          <w:tcPr>
            <w:tcW w:w="1250" w:type="dxa"/>
            <w:tcBorders>
              <w:tl2br w:val="nil"/>
              <w:tr2bl w:val="nil"/>
            </w:tcBorders>
            <w:vAlign w:val="center"/>
          </w:tcPr>
          <w:p w14:paraId="706BB6EC">
            <w:pPr>
              <w:spacing w:line="240" w:lineRule="auto"/>
              <w:ind w:firstLine="0" w:firstLineChars="0"/>
              <w:jc w:val="center"/>
              <w:rPr>
                <w:color w:val="auto"/>
                <w:sz w:val="21"/>
              </w:rPr>
            </w:pPr>
          </w:p>
        </w:tc>
        <w:tc>
          <w:tcPr>
            <w:tcW w:w="975" w:type="pct"/>
            <w:gridSpan w:val="2"/>
            <w:tcBorders>
              <w:tl2br w:val="nil"/>
              <w:tr2bl w:val="nil"/>
            </w:tcBorders>
            <w:vAlign w:val="center"/>
          </w:tcPr>
          <w:p w14:paraId="78454560">
            <w:pPr>
              <w:spacing w:line="240" w:lineRule="auto"/>
              <w:ind w:firstLine="0" w:firstLineChars="0"/>
              <w:jc w:val="center"/>
              <w:rPr>
                <w:color w:val="auto"/>
                <w:sz w:val="21"/>
              </w:rPr>
            </w:pPr>
          </w:p>
        </w:tc>
        <w:tc>
          <w:tcPr>
            <w:tcW w:w="652" w:type="pct"/>
            <w:tcBorders>
              <w:tl2br w:val="nil"/>
              <w:tr2bl w:val="nil"/>
            </w:tcBorders>
            <w:vAlign w:val="center"/>
          </w:tcPr>
          <w:p w14:paraId="5ACAA354">
            <w:pPr>
              <w:spacing w:line="240" w:lineRule="auto"/>
              <w:ind w:firstLine="0" w:firstLineChars="0"/>
              <w:jc w:val="center"/>
              <w:rPr>
                <w:color w:val="auto"/>
                <w:sz w:val="21"/>
              </w:rPr>
            </w:pPr>
          </w:p>
        </w:tc>
        <w:tc>
          <w:tcPr>
            <w:tcW w:w="717" w:type="pct"/>
            <w:tcBorders>
              <w:tl2br w:val="nil"/>
              <w:tr2bl w:val="nil"/>
            </w:tcBorders>
            <w:vAlign w:val="center"/>
          </w:tcPr>
          <w:p w14:paraId="5F7203A6">
            <w:pPr>
              <w:spacing w:line="240" w:lineRule="auto"/>
              <w:ind w:firstLine="0" w:firstLineChars="0"/>
              <w:jc w:val="center"/>
              <w:rPr>
                <w:color w:val="auto"/>
                <w:sz w:val="21"/>
              </w:rPr>
            </w:pPr>
          </w:p>
        </w:tc>
        <w:tc>
          <w:tcPr>
            <w:tcW w:w="1187" w:type="dxa"/>
            <w:tcBorders>
              <w:tl2br w:val="nil"/>
              <w:tr2bl w:val="nil"/>
            </w:tcBorders>
            <w:vAlign w:val="center"/>
          </w:tcPr>
          <w:p w14:paraId="53BC9944">
            <w:pPr>
              <w:spacing w:line="240" w:lineRule="auto"/>
              <w:ind w:firstLine="0" w:firstLineChars="0"/>
              <w:jc w:val="center"/>
              <w:rPr>
                <w:color w:val="auto"/>
                <w:sz w:val="21"/>
              </w:rPr>
            </w:pPr>
          </w:p>
        </w:tc>
        <w:tc>
          <w:tcPr>
            <w:tcW w:w="1340" w:type="dxa"/>
            <w:tcBorders>
              <w:tl2br w:val="nil"/>
              <w:tr2bl w:val="nil"/>
            </w:tcBorders>
            <w:vAlign w:val="center"/>
          </w:tcPr>
          <w:p w14:paraId="6FA7E44A">
            <w:pPr>
              <w:spacing w:line="240" w:lineRule="auto"/>
              <w:ind w:firstLine="0" w:firstLineChars="0"/>
              <w:jc w:val="center"/>
              <w:rPr>
                <w:color w:val="auto"/>
                <w:sz w:val="21"/>
              </w:rPr>
            </w:pPr>
          </w:p>
        </w:tc>
      </w:tr>
      <w:tr w14:paraId="6D53F40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1D9F4EF1">
            <w:pPr>
              <w:spacing w:line="240" w:lineRule="auto"/>
              <w:ind w:firstLine="0" w:firstLineChars="0"/>
              <w:jc w:val="center"/>
              <w:rPr>
                <w:color w:val="auto"/>
                <w:sz w:val="21"/>
              </w:rPr>
            </w:pPr>
          </w:p>
        </w:tc>
        <w:tc>
          <w:tcPr>
            <w:tcW w:w="1250" w:type="dxa"/>
            <w:tcBorders>
              <w:tl2br w:val="nil"/>
              <w:tr2bl w:val="nil"/>
            </w:tcBorders>
            <w:vAlign w:val="center"/>
          </w:tcPr>
          <w:p w14:paraId="174C53A2">
            <w:pPr>
              <w:spacing w:line="240" w:lineRule="auto"/>
              <w:ind w:firstLine="0" w:firstLineChars="0"/>
              <w:jc w:val="center"/>
              <w:rPr>
                <w:color w:val="auto"/>
                <w:sz w:val="21"/>
              </w:rPr>
            </w:pPr>
          </w:p>
        </w:tc>
        <w:tc>
          <w:tcPr>
            <w:tcW w:w="2948" w:type="pct"/>
            <w:gridSpan w:val="5"/>
            <w:tcBorders>
              <w:tl2br w:val="nil"/>
              <w:tr2bl w:val="nil"/>
            </w:tcBorders>
            <w:vAlign w:val="center"/>
          </w:tcPr>
          <w:p w14:paraId="73C0F481">
            <w:pPr>
              <w:spacing w:line="240" w:lineRule="auto"/>
              <w:ind w:firstLine="0" w:firstLineChars="0"/>
              <w:jc w:val="center"/>
              <w:rPr>
                <w:color w:val="auto"/>
                <w:sz w:val="21"/>
              </w:rPr>
            </w:pPr>
          </w:p>
        </w:tc>
        <w:tc>
          <w:tcPr>
            <w:tcW w:w="1340" w:type="dxa"/>
            <w:tcBorders>
              <w:tl2br w:val="nil"/>
              <w:tr2bl w:val="nil"/>
            </w:tcBorders>
            <w:vAlign w:val="center"/>
          </w:tcPr>
          <w:p w14:paraId="4E1A9350">
            <w:pPr>
              <w:spacing w:line="240" w:lineRule="auto"/>
              <w:ind w:firstLine="0" w:firstLineChars="0"/>
              <w:jc w:val="center"/>
              <w:rPr>
                <w:color w:val="auto"/>
                <w:sz w:val="21"/>
              </w:rPr>
            </w:pPr>
          </w:p>
        </w:tc>
      </w:tr>
    </w:tbl>
    <w:p w14:paraId="2466327C">
      <w:pPr>
        <w:pStyle w:val="49"/>
        <w:rPr>
          <w:color w:val="auto"/>
        </w:rPr>
      </w:pPr>
    </w:p>
    <w:p w14:paraId="1B78C961">
      <w:pPr>
        <w:spacing w:line="240" w:lineRule="auto"/>
        <w:ind w:firstLine="0" w:firstLineChars="0"/>
        <w:jc w:val="center"/>
        <w:rPr>
          <w:b/>
          <w:bCs/>
          <w:color w:val="auto"/>
        </w:rPr>
      </w:pPr>
      <w:r>
        <w:rPr>
          <w:rFonts w:hint="eastAsia"/>
          <w:b/>
          <w:bCs/>
          <w:color w:val="auto"/>
        </w:rPr>
        <w:t>表4.4-22  一水亚硫酸铵生产物料投入--产出表（t/a）-碳酸氢铵工艺</w:t>
      </w:r>
    </w:p>
    <w:tbl>
      <w:tblPr>
        <w:tblStyle w:val="25"/>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3"/>
        <w:gridCol w:w="1250"/>
        <w:gridCol w:w="977"/>
        <w:gridCol w:w="946"/>
        <w:gridCol w:w="1285"/>
        <w:gridCol w:w="1415"/>
        <w:gridCol w:w="1188"/>
        <w:gridCol w:w="1340"/>
      </w:tblGrid>
      <w:tr w14:paraId="3965276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71" w:type="pct"/>
            <w:gridSpan w:val="2"/>
            <w:tcBorders>
              <w:tl2br w:val="nil"/>
              <w:tr2bl w:val="nil"/>
            </w:tcBorders>
            <w:vAlign w:val="center"/>
          </w:tcPr>
          <w:p w14:paraId="3D420068">
            <w:pPr>
              <w:spacing w:line="240" w:lineRule="auto"/>
              <w:ind w:firstLine="0" w:firstLineChars="0"/>
              <w:jc w:val="center"/>
              <w:rPr>
                <w:b/>
                <w:bCs/>
                <w:color w:val="auto"/>
                <w:sz w:val="21"/>
              </w:rPr>
            </w:pPr>
            <w:r>
              <w:rPr>
                <w:rFonts w:hint="eastAsia"/>
                <w:b/>
                <w:bCs/>
                <w:color w:val="auto"/>
                <w:sz w:val="21"/>
              </w:rPr>
              <w:t>投入</w:t>
            </w:r>
          </w:p>
        </w:tc>
        <w:tc>
          <w:tcPr>
            <w:tcW w:w="3628" w:type="pct"/>
            <w:gridSpan w:val="6"/>
            <w:tcBorders>
              <w:tl2br w:val="nil"/>
              <w:tr2bl w:val="nil"/>
            </w:tcBorders>
            <w:vAlign w:val="center"/>
          </w:tcPr>
          <w:p w14:paraId="4ACB2D57">
            <w:pPr>
              <w:spacing w:line="240" w:lineRule="auto"/>
              <w:ind w:firstLine="0" w:firstLineChars="0"/>
              <w:jc w:val="center"/>
              <w:rPr>
                <w:b/>
                <w:bCs/>
                <w:color w:val="auto"/>
                <w:sz w:val="21"/>
              </w:rPr>
            </w:pPr>
            <w:r>
              <w:rPr>
                <w:rFonts w:hint="eastAsia"/>
                <w:b/>
                <w:bCs/>
                <w:color w:val="auto"/>
                <w:sz w:val="21"/>
              </w:rPr>
              <w:t>产出</w:t>
            </w:r>
          </w:p>
        </w:tc>
      </w:tr>
      <w:tr w14:paraId="19C96C5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F254FDC">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物料名称</w:t>
            </w:r>
          </w:p>
        </w:tc>
        <w:tc>
          <w:tcPr>
            <w:tcW w:w="634" w:type="pct"/>
            <w:tcBorders>
              <w:tl2br w:val="nil"/>
              <w:tr2bl w:val="nil"/>
            </w:tcBorders>
            <w:vAlign w:val="center"/>
          </w:tcPr>
          <w:p w14:paraId="78084705">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c>
          <w:tcPr>
            <w:tcW w:w="495" w:type="pct"/>
            <w:tcBorders>
              <w:tl2br w:val="nil"/>
              <w:tr2bl w:val="nil"/>
            </w:tcBorders>
            <w:vAlign w:val="center"/>
          </w:tcPr>
          <w:p w14:paraId="0AA50F58">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类别</w:t>
            </w:r>
          </w:p>
        </w:tc>
        <w:tc>
          <w:tcPr>
            <w:tcW w:w="480" w:type="pct"/>
            <w:tcBorders>
              <w:tl2br w:val="nil"/>
              <w:tr2bl w:val="nil"/>
            </w:tcBorders>
            <w:vAlign w:val="center"/>
          </w:tcPr>
          <w:p w14:paraId="04C3BFDB">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编号</w:t>
            </w:r>
          </w:p>
        </w:tc>
        <w:tc>
          <w:tcPr>
            <w:tcW w:w="1370" w:type="pct"/>
            <w:gridSpan w:val="2"/>
            <w:tcBorders>
              <w:tl2br w:val="nil"/>
              <w:tr2bl w:val="nil"/>
            </w:tcBorders>
            <w:vAlign w:val="center"/>
          </w:tcPr>
          <w:p w14:paraId="01905340">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名称</w:t>
            </w:r>
          </w:p>
        </w:tc>
        <w:tc>
          <w:tcPr>
            <w:tcW w:w="1282" w:type="pct"/>
            <w:gridSpan w:val="2"/>
            <w:tcBorders>
              <w:tl2br w:val="nil"/>
              <w:tr2bl w:val="nil"/>
            </w:tcBorders>
            <w:vAlign w:val="center"/>
          </w:tcPr>
          <w:p w14:paraId="06265619">
            <w:pPr>
              <w:keepNext/>
              <w:widowControl/>
              <w:spacing w:line="240" w:lineRule="auto"/>
              <w:ind w:firstLine="0" w:firstLineChars="0"/>
              <w:jc w:val="center"/>
              <w:textAlignment w:val="center"/>
              <w:rPr>
                <w:b/>
                <w:bCs/>
                <w:color w:val="auto"/>
                <w:sz w:val="21"/>
              </w:rPr>
            </w:pPr>
            <w:r>
              <w:rPr>
                <w:rFonts w:hint="eastAsia" w:cs="宋体"/>
                <w:b/>
                <w:bCs/>
                <w:color w:val="auto"/>
                <w:kern w:val="0"/>
                <w:sz w:val="21"/>
                <w:szCs w:val="21"/>
                <w:lang w:bidi="ar"/>
              </w:rPr>
              <w:t>数量</w:t>
            </w:r>
          </w:p>
        </w:tc>
      </w:tr>
      <w:tr w14:paraId="14F2BBB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8A686ED">
            <w:pPr>
              <w:spacing w:line="240" w:lineRule="auto"/>
              <w:ind w:firstLine="0" w:firstLineChars="0"/>
              <w:jc w:val="center"/>
              <w:rPr>
                <w:color w:val="auto"/>
                <w:sz w:val="21"/>
              </w:rPr>
            </w:pPr>
          </w:p>
        </w:tc>
        <w:tc>
          <w:tcPr>
            <w:tcW w:w="634" w:type="pct"/>
            <w:tcBorders>
              <w:tl2br w:val="nil"/>
              <w:tr2bl w:val="nil"/>
            </w:tcBorders>
            <w:vAlign w:val="center"/>
          </w:tcPr>
          <w:p w14:paraId="3AAA66A8">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785BEDE0">
            <w:pPr>
              <w:spacing w:line="240" w:lineRule="auto"/>
              <w:ind w:firstLine="0" w:firstLineChars="0"/>
              <w:jc w:val="center"/>
              <w:rPr>
                <w:color w:val="auto"/>
                <w:sz w:val="21"/>
              </w:rPr>
            </w:pPr>
          </w:p>
        </w:tc>
        <w:tc>
          <w:tcPr>
            <w:tcW w:w="652" w:type="pct"/>
            <w:vMerge w:val="restart"/>
            <w:tcBorders>
              <w:tl2br w:val="nil"/>
              <w:tr2bl w:val="nil"/>
            </w:tcBorders>
            <w:vAlign w:val="center"/>
          </w:tcPr>
          <w:p w14:paraId="4BB10CC4">
            <w:pPr>
              <w:spacing w:line="240" w:lineRule="auto"/>
              <w:ind w:firstLine="0" w:firstLineChars="0"/>
              <w:jc w:val="center"/>
              <w:rPr>
                <w:color w:val="auto"/>
                <w:sz w:val="21"/>
              </w:rPr>
            </w:pPr>
          </w:p>
        </w:tc>
        <w:tc>
          <w:tcPr>
            <w:tcW w:w="717" w:type="pct"/>
            <w:tcBorders>
              <w:tl2br w:val="nil"/>
              <w:tr2bl w:val="nil"/>
            </w:tcBorders>
            <w:vAlign w:val="bottom"/>
          </w:tcPr>
          <w:p w14:paraId="4068430A">
            <w:pPr>
              <w:spacing w:line="240" w:lineRule="auto"/>
              <w:ind w:firstLine="0" w:firstLineChars="0"/>
              <w:jc w:val="center"/>
              <w:rPr>
                <w:color w:val="auto"/>
                <w:sz w:val="21"/>
              </w:rPr>
            </w:pPr>
          </w:p>
        </w:tc>
        <w:tc>
          <w:tcPr>
            <w:tcW w:w="602" w:type="pct"/>
            <w:tcBorders>
              <w:tl2br w:val="nil"/>
              <w:tr2bl w:val="nil"/>
            </w:tcBorders>
            <w:vAlign w:val="center"/>
          </w:tcPr>
          <w:p w14:paraId="730C2B67">
            <w:pPr>
              <w:spacing w:line="240" w:lineRule="auto"/>
              <w:ind w:firstLine="0" w:firstLineChars="0"/>
              <w:jc w:val="center"/>
              <w:rPr>
                <w:color w:val="auto"/>
                <w:sz w:val="21"/>
              </w:rPr>
            </w:pPr>
          </w:p>
        </w:tc>
        <w:tc>
          <w:tcPr>
            <w:tcW w:w="679" w:type="pct"/>
            <w:vMerge w:val="restart"/>
            <w:tcBorders>
              <w:tl2br w:val="nil"/>
              <w:tr2bl w:val="nil"/>
            </w:tcBorders>
            <w:vAlign w:val="center"/>
          </w:tcPr>
          <w:p w14:paraId="064386E0">
            <w:pPr>
              <w:spacing w:line="240" w:lineRule="auto"/>
              <w:ind w:firstLine="0" w:firstLineChars="0"/>
              <w:jc w:val="center"/>
              <w:rPr>
                <w:color w:val="auto"/>
                <w:sz w:val="21"/>
              </w:rPr>
            </w:pPr>
          </w:p>
        </w:tc>
      </w:tr>
      <w:tr w14:paraId="3C700D9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3E6CB983">
            <w:pPr>
              <w:spacing w:line="240" w:lineRule="auto"/>
              <w:ind w:firstLine="0" w:firstLineChars="0"/>
              <w:jc w:val="center"/>
              <w:rPr>
                <w:color w:val="auto"/>
                <w:sz w:val="21"/>
              </w:rPr>
            </w:pPr>
          </w:p>
        </w:tc>
        <w:tc>
          <w:tcPr>
            <w:tcW w:w="634" w:type="pct"/>
            <w:tcBorders>
              <w:tl2br w:val="nil"/>
              <w:tr2bl w:val="nil"/>
            </w:tcBorders>
            <w:vAlign w:val="center"/>
          </w:tcPr>
          <w:p w14:paraId="2F9DC00E">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4E068450">
            <w:pPr>
              <w:spacing w:line="240" w:lineRule="auto"/>
              <w:ind w:firstLine="0" w:firstLineChars="0"/>
              <w:jc w:val="center"/>
              <w:rPr>
                <w:color w:val="auto"/>
                <w:sz w:val="21"/>
              </w:rPr>
            </w:pPr>
          </w:p>
        </w:tc>
        <w:tc>
          <w:tcPr>
            <w:tcW w:w="652" w:type="pct"/>
            <w:vMerge w:val="continue"/>
            <w:tcBorders>
              <w:tl2br w:val="nil"/>
              <w:tr2bl w:val="nil"/>
            </w:tcBorders>
            <w:vAlign w:val="center"/>
          </w:tcPr>
          <w:p w14:paraId="5F8D4376">
            <w:pPr>
              <w:spacing w:line="240" w:lineRule="auto"/>
              <w:ind w:firstLine="0" w:firstLineChars="0"/>
              <w:jc w:val="center"/>
              <w:rPr>
                <w:color w:val="auto"/>
                <w:sz w:val="21"/>
              </w:rPr>
            </w:pPr>
          </w:p>
        </w:tc>
        <w:tc>
          <w:tcPr>
            <w:tcW w:w="717" w:type="pct"/>
            <w:tcBorders>
              <w:tl2br w:val="nil"/>
              <w:tr2bl w:val="nil"/>
            </w:tcBorders>
            <w:vAlign w:val="bottom"/>
          </w:tcPr>
          <w:p w14:paraId="1BE25BBF">
            <w:pPr>
              <w:spacing w:line="240" w:lineRule="auto"/>
              <w:ind w:firstLine="0" w:firstLineChars="0"/>
              <w:jc w:val="center"/>
              <w:rPr>
                <w:color w:val="auto"/>
                <w:sz w:val="21"/>
              </w:rPr>
            </w:pPr>
          </w:p>
        </w:tc>
        <w:tc>
          <w:tcPr>
            <w:tcW w:w="602" w:type="pct"/>
            <w:tcBorders>
              <w:tl2br w:val="nil"/>
              <w:tr2bl w:val="nil"/>
            </w:tcBorders>
            <w:vAlign w:val="center"/>
          </w:tcPr>
          <w:p w14:paraId="5F9D15CB">
            <w:pPr>
              <w:spacing w:line="240" w:lineRule="auto"/>
              <w:ind w:firstLine="0" w:firstLineChars="0"/>
              <w:jc w:val="center"/>
              <w:rPr>
                <w:color w:val="auto"/>
                <w:sz w:val="21"/>
              </w:rPr>
            </w:pPr>
          </w:p>
        </w:tc>
        <w:tc>
          <w:tcPr>
            <w:tcW w:w="679" w:type="pct"/>
            <w:vMerge w:val="continue"/>
            <w:tcBorders>
              <w:tl2br w:val="nil"/>
              <w:tr2bl w:val="nil"/>
            </w:tcBorders>
            <w:vAlign w:val="center"/>
          </w:tcPr>
          <w:p w14:paraId="033B8922">
            <w:pPr>
              <w:spacing w:line="240" w:lineRule="auto"/>
              <w:ind w:firstLine="0" w:firstLineChars="0"/>
              <w:jc w:val="center"/>
              <w:rPr>
                <w:color w:val="auto"/>
                <w:sz w:val="21"/>
              </w:rPr>
            </w:pPr>
          </w:p>
        </w:tc>
      </w:tr>
      <w:tr w14:paraId="19FC224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5591445">
            <w:pPr>
              <w:spacing w:line="240" w:lineRule="auto"/>
              <w:ind w:firstLine="0" w:firstLineChars="0"/>
              <w:jc w:val="center"/>
              <w:rPr>
                <w:color w:val="auto"/>
                <w:sz w:val="21"/>
              </w:rPr>
            </w:pPr>
          </w:p>
        </w:tc>
        <w:tc>
          <w:tcPr>
            <w:tcW w:w="634" w:type="pct"/>
            <w:tcBorders>
              <w:tl2br w:val="nil"/>
              <w:tr2bl w:val="nil"/>
            </w:tcBorders>
            <w:vAlign w:val="center"/>
          </w:tcPr>
          <w:p w14:paraId="267F2942">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30FB2326">
            <w:pPr>
              <w:spacing w:line="240" w:lineRule="auto"/>
              <w:ind w:firstLine="0" w:firstLineChars="0"/>
              <w:jc w:val="center"/>
              <w:rPr>
                <w:color w:val="auto"/>
                <w:sz w:val="21"/>
              </w:rPr>
            </w:pPr>
          </w:p>
        </w:tc>
        <w:tc>
          <w:tcPr>
            <w:tcW w:w="652" w:type="pct"/>
            <w:vMerge w:val="continue"/>
            <w:tcBorders>
              <w:tl2br w:val="nil"/>
              <w:tr2bl w:val="nil"/>
            </w:tcBorders>
            <w:vAlign w:val="center"/>
          </w:tcPr>
          <w:p w14:paraId="15CF1640">
            <w:pPr>
              <w:spacing w:line="240" w:lineRule="auto"/>
              <w:ind w:firstLine="0" w:firstLineChars="0"/>
              <w:jc w:val="center"/>
              <w:rPr>
                <w:color w:val="auto"/>
                <w:sz w:val="21"/>
              </w:rPr>
            </w:pPr>
          </w:p>
        </w:tc>
        <w:tc>
          <w:tcPr>
            <w:tcW w:w="717" w:type="pct"/>
            <w:tcBorders>
              <w:tl2br w:val="nil"/>
              <w:tr2bl w:val="nil"/>
            </w:tcBorders>
            <w:vAlign w:val="center"/>
          </w:tcPr>
          <w:p w14:paraId="5DE9A1FB">
            <w:pPr>
              <w:spacing w:line="240" w:lineRule="auto"/>
              <w:ind w:firstLine="0" w:firstLineChars="0"/>
              <w:jc w:val="center"/>
              <w:rPr>
                <w:color w:val="auto"/>
                <w:sz w:val="21"/>
              </w:rPr>
            </w:pPr>
          </w:p>
        </w:tc>
        <w:tc>
          <w:tcPr>
            <w:tcW w:w="602" w:type="pct"/>
            <w:tcBorders>
              <w:tl2br w:val="nil"/>
              <w:tr2bl w:val="nil"/>
            </w:tcBorders>
            <w:vAlign w:val="center"/>
          </w:tcPr>
          <w:p w14:paraId="1C113247">
            <w:pPr>
              <w:spacing w:line="240" w:lineRule="auto"/>
              <w:ind w:firstLine="0" w:firstLineChars="0"/>
              <w:jc w:val="center"/>
              <w:rPr>
                <w:color w:val="auto"/>
                <w:sz w:val="21"/>
              </w:rPr>
            </w:pPr>
          </w:p>
        </w:tc>
        <w:tc>
          <w:tcPr>
            <w:tcW w:w="679" w:type="pct"/>
            <w:vMerge w:val="continue"/>
            <w:tcBorders>
              <w:tl2br w:val="nil"/>
              <w:tr2bl w:val="nil"/>
            </w:tcBorders>
            <w:vAlign w:val="center"/>
          </w:tcPr>
          <w:p w14:paraId="7EB6A5CB">
            <w:pPr>
              <w:spacing w:line="240" w:lineRule="auto"/>
              <w:ind w:firstLine="0" w:firstLineChars="0"/>
              <w:jc w:val="center"/>
              <w:rPr>
                <w:color w:val="auto"/>
                <w:sz w:val="21"/>
              </w:rPr>
            </w:pPr>
          </w:p>
        </w:tc>
      </w:tr>
      <w:tr w14:paraId="6E22C75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30E12BF">
            <w:pPr>
              <w:spacing w:line="240" w:lineRule="auto"/>
              <w:ind w:firstLine="0" w:firstLineChars="0"/>
              <w:jc w:val="center"/>
              <w:rPr>
                <w:color w:val="auto"/>
                <w:sz w:val="21"/>
              </w:rPr>
            </w:pPr>
          </w:p>
        </w:tc>
        <w:tc>
          <w:tcPr>
            <w:tcW w:w="634" w:type="pct"/>
            <w:tcBorders>
              <w:tl2br w:val="nil"/>
              <w:tr2bl w:val="nil"/>
            </w:tcBorders>
            <w:vAlign w:val="center"/>
          </w:tcPr>
          <w:p w14:paraId="142C6878">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6945E645">
            <w:pPr>
              <w:spacing w:line="240" w:lineRule="auto"/>
              <w:ind w:firstLine="0" w:firstLineChars="0"/>
              <w:jc w:val="center"/>
              <w:rPr>
                <w:color w:val="auto"/>
                <w:sz w:val="21"/>
              </w:rPr>
            </w:pPr>
          </w:p>
        </w:tc>
        <w:tc>
          <w:tcPr>
            <w:tcW w:w="652" w:type="pct"/>
            <w:vMerge w:val="continue"/>
            <w:tcBorders>
              <w:tl2br w:val="nil"/>
              <w:tr2bl w:val="nil"/>
            </w:tcBorders>
            <w:vAlign w:val="center"/>
          </w:tcPr>
          <w:p w14:paraId="0984C5A2">
            <w:pPr>
              <w:spacing w:line="240" w:lineRule="auto"/>
              <w:ind w:firstLine="0" w:firstLineChars="0"/>
              <w:jc w:val="center"/>
              <w:rPr>
                <w:color w:val="auto"/>
                <w:sz w:val="21"/>
              </w:rPr>
            </w:pPr>
          </w:p>
        </w:tc>
        <w:tc>
          <w:tcPr>
            <w:tcW w:w="717" w:type="pct"/>
            <w:tcBorders>
              <w:tl2br w:val="nil"/>
              <w:tr2bl w:val="nil"/>
            </w:tcBorders>
            <w:vAlign w:val="center"/>
          </w:tcPr>
          <w:p w14:paraId="2AD17A12">
            <w:pPr>
              <w:spacing w:line="240" w:lineRule="auto"/>
              <w:ind w:firstLine="0" w:firstLineChars="0"/>
              <w:jc w:val="center"/>
              <w:rPr>
                <w:color w:val="auto"/>
                <w:sz w:val="21"/>
              </w:rPr>
            </w:pPr>
          </w:p>
        </w:tc>
        <w:tc>
          <w:tcPr>
            <w:tcW w:w="602" w:type="pct"/>
            <w:tcBorders>
              <w:tl2br w:val="nil"/>
              <w:tr2bl w:val="nil"/>
            </w:tcBorders>
            <w:vAlign w:val="center"/>
          </w:tcPr>
          <w:p w14:paraId="094FA2EF">
            <w:pPr>
              <w:spacing w:line="240" w:lineRule="auto"/>
              <w:ind w:firstLine="0" w:firstLineChars="0"/>
              <w:jc w:val="center"/>
              <w:rPr>
                <w:color w:val="auto"/>
                <w:sz w:val="21"/>
              </w:rPr>
            </w:pPr>
          </w:p>
        </w:tc>
        <w:tc>
          <w:tcPr>
            <w:tcW w:w="679" w:type="pct"/>
            <w:vMerge w:val="continue"/>
            <w:tcBorders>
              <w:tl2br w:val="nil"/>
              <w:tr2bl w:val="nil"/>
            </w:tcBorders>
            <w:vAlign w:val="center"/>
          </w:tcPr>
          <w:p w14:paraId="479E2C26">
            <w:pPr>
              <w:spacing w:line="240" w:lineRule="auto"/>
              <w:ind w:firstLine="0" w:firstLineChars="0"/>
              <w:jc w:val="center"/>
              <w:rPr>
                <w:color w:val="auto"/>
                <w:sz w:val="21"/>
              </w:rPr>
            </w:pPr>
          </w:p>
        </w:tc>
      </w:tr>
      <w:tr w14:paraId="46D8E71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7E36C16">
            <w:pPr>
              <w:spacing w:line="240" w:lineRule="auto"/>
              <w:ind w:firstLine="0" w:firstLineChars="0"/>
              <w:jc w:val="center"/>
              <w:rPr>
                <w:color w:val="auto"/>
                <w:sz w:val="21"/>
              </w:rPr>
            </w:pPr>
          </w:p>
        </w:tc>
        <w:tc>
          <w:tcPr>
            <w:tcW w:w="634" w:type="pct"/>
            <w:tcBorders>
              <w:tl2br w:val="nil"/>
              <w:tr2bl w:val="nil"/>
            </w:tcBorders>
            <w:vAlign w:val="center"/>
          </w:tcPr>
          <w:p w14:paraId="4CF7C79A">
            <w:pPr>
              <w:spacing w:line="240" w:lineRule="auto"/>
              <w:ind w:firstLine="0" w:firstLineChars="0"/>
              <w:jc w:val="center"/>
              <w:rPr>
                <w:color w:val="auto"/>
                <w:sz w:val="21"/>
              </w:rPr>
            </w:pPr>
          </w:p>
        </w:tc>
        <w:tc>
          <w:tcPr>
            <w:tcW w:w="975" w:type="pct"/>
            <w:gridSpan w:val="2"/>
            <w:vMerge w:val="restart"/>
            <w:tcBorders>
              <w:tl2br w:val="nil"/>
              <w:tr2bl w:val="nil"/>
            </w:tcBorders>
            <w:vAlign w:val="center"/>
          </w:tcPr>
          <w:p w14:paraId="573E7BED">
            <w:pPr>
              <w:spacing w:line="240" w:lineRule="auto"/>
              <w:ind w:firstLine="0" w:firstLineChars="0"/>
              <w:jc w:val="center"/>
              <w:rPr>
                <w:color w:val="auto"/>
                <w:sz w:val="21"/>
              </w:rPr>
            </w:pPr>
          </w:p>
        </w:tc>
        <w:tc>
          <w:tcPr>
            <w:tcW w:w="652" w:type="pct"/>
            <w:tcBorders>
              <w:tl2br w:val="nil"/>
              <w:tr2bl w:val="nil"/>
            </w:tcBorders>
            <w:vAlign w:val="center"/>
          </w:tcPr>
          <w:p w14:paraId="7DADC787">
            <w:pPr>
              <w:spacing w:line="240" w:lineRule="auto"/>
              <w:ind w:firstLine="0" w:firstLineChars="0"/>
              <w:jc w:val="center"/>
              <w:rPr>
                <w:color w:val="auto"/>
                <w:sz w:val="21"/>
              </w:rPr>
            </w:pPr>
          </w:p>
        </w:tc>
        <w:tc>
          <w:tcPr>
            <w:tcW w:w="717" w:type="pct"/>
            <w:tcBorders>
              <w:tl2br w:val="nil"/>
              <w:tr2bl w:val="nil"/>
            </w:tcBorders>
            <w:vAlign w:val="center"/>
          </w:tcPr>
          <w:p w14:paraId="6BF59409">
            <w:pPr>
              <w:spacing w:line="240" w:lineRule="auto"/>
              <w:ind w:firstLine="0" w:firstLineChars="0"/>
              <w:jc w:val="center"/>
              <w:rPr>
                <w:color w:val="auto"/>
                <w:sz w:val="21"/>
              </w:rPr>
            </w:pPr>
          </w:p>
        </w:tc>
        <w:tc>
          <w:tcPr>
            <w:tcW w:w="1187" w:type="dxa"/>
            <w:tcBorders>
              <w:tl2br w:val="nil"/>
              <w:tr2bl w:val="nil"/>
            </w:tcBorders>
            <w:vAlign w:val="center"/>
          </w:tcPr>
          <w:p w14:paraId="061FB2F5">
            <w:pPr>
              <w:spacing w:line="240" w:lineRule="auto"/>
              <w:ind w:firstLine="0" w:firstLineChars="0"/>
              <w:jc w:val="center"/>
              <w:rPr>
                <w:color w:val="auto"/>
                <w:sz w:val="21"/>
              </w:rPr>
            </w:pPr>
          </w:p>
        </w:tc>
        <w:tc>
          <w:tcPr>
            <w:tcW w:w="679" w:type="pct"/>
            <w:vMerge w:val="restart"/>
            <w:tcBorders>
              <w:tl2br w:val="nil"/>
              <w:tr2bl w:val="nil"/>
            </w:tcBorders>
            <w:vAlign w:val="center"/>
          </w:tcPr>
          <w:p w14:paraId="6DDFDC43">
            <w:pPr>
              <w:spacing w:line="240" w:lineRule="auto"/>
              <w:ind w:firstLine="0" w:firstLineChars="0"/>
              <w:jc w:val="center"/>
              <w:rPr>
                <w:color w:val="auto"/>
                <w:sz w:val="21"/>
              </w:rPr>
            </w:pPr>
          </w:p>
        </w:tc>
      </w:tr>
      <w:tr w14:paraId="4B3BF57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0F75AE6">
            <w:pPr>
              <w:spacing w:line="240" w:lineRule="auto"/>
              <w:ind w:firstLine="0" w:firstLineChars="0"/>
              <w:jc w:val="center"/>
              <w:rPr>
                <w:color w:val="auto"/>
                <w:sz w:val="21"/>
              </w:rPr>
            </w:pPr>
          </w:p>
        </w:tc>
        <w:tc>
          <w:tcPr>
            <w:tcW w:w="634" w:type="pct"/>
            <w:tcBorders>
              <w:tl2br w:val="nil"/>
              <w:tr2bl w:val="nil"/>
            </w:tcBorders>
            <w:vAlign w:val="center"/>
          </w:tcPr>
          <w:p w14:paraId="23420656">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42A5AE24">
            <w:pPr>
              <w:spacing w:line="240" w:lineRule="auto"/>
              <w:ind w:firstLine="0" w:firstLineChars="0"/>
              <w:jc w:val="center"/>
              <w:rPr>
                <w:color w:val="auto"/>
                <w:sz w:val="21"/>
              </w:rPr>
            </w:pPr>
          </w:p>
        </w:tc>
        <w:tc>
          <w:tcPr>
            <w:tcW w:w="652" w:type="pct"/>
            <w:tcBorders>
              <w:tl2br w:val="nil"/>
              <w:tr2bl w:val="nil"/>
            </w:tcBorders>
            <w:vAlign w:val="center"/>
          </w:tcPr>
          <w:p w14:paraId="49373E8F">
            <w:pPr>
              <w:spacing w:line="240" w:lineRule="auto"/>
              <w:ind w:firstLine="0" w:firstLineChars="0"/>
              <w:jc w:val="center"/>
              <w:rPr>
                <w:color w:val="auto"/>
                <w:sz w:val="21"/>
              </w:rPr>
            </w:pPr>
          </w:p>
        </w:tc>
        <w:tc>
          <w:tcPr>
            <w:tcW w:w="717" w:type="pct"/>
            <w:tcBorders>
              <w:tl2br w:val="nil"/>
              <w:tr2bl w:val="nil"/>
            </w:tcBorders>
            <w:vAlign w:val="center"/>
          </w:tcPr>
          <w:p w14:paraId="02DC5239">
            <w:pPr>
              <w:spacing w:line="240" w:lineRule="auto"/>
              <w:ind w:firstLine="0" w:firstLineChars="0"/>
              <w:jc w:val="center"/>
              <w:rPr>
                <w:color w:val="auto"/>
                <w:sz w:val="21"/>
              </w:rPr>
            </w:pPr>
          </w:p>
        </w:tc>
        <w:tc>
          <w:tcPr>
            <w:tcW w:w="1187" w:type="dxa"/>
            <w:tcBorders>
              <w:tl2br w:val="nil"/>
              <w:tr2bl w:val="nil"/>
            </w:tcBorders>
            <w:vAlign w:val="center"/>
          </w:tcPr>
          <w:p w14:paraId="0C2E5F99">
            <w:pPr>
              <w:spacing w:line="240" w:lineRule="auto"/>
              <w:ind w:firstLine="0" w:firstLineChars="0"/>
              <w:jc w:val="center"/>
              <w:rPr>
                <w:color w:val="auto"/>
                <w:sz w:val="21"/>
              </w:rPr>
            </w:pPr>
          </w:p>
        </w:tc>
        <w:tc>
          <w:tcPr>
            <w:tcW w:w="679" w:type="pct"/>
            <w:vMerge w:val="continue"/>
            <w:tcBorders>
              <w:tl2br w:val="nil"/>
              <w:tr2bl w:val="nil"/>
            </w:tcBorders>
            <w:vAlign w:val="center"/>
          </w:tcPr>
          <w:p w14:paraId="1D585392">
            <w:pPr>
              <w:spacing w:line="240" w:lineRule="auto"/>
              <w:ind w:firstLine="0" w:firstLineChars="0"/>
              <w:jc w:val="center"/>
              <w:rPr>
                <w:color w:val="auto"/>
                <w:sz w:val="21"/>
              </w:rPr>
            </w:pPr>
          </w:p>
        </w:tc>
      </w:tr>
      <w:tr w14:paraId="5E741F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7937BCE6">
            <w:pPr>
              <w:spacing w:line="240" w:lineRule="auto"/>
              <w:ind w:firstLine="0" w:firstLineChars="0"/>
              <w:jc w:val="center"/>
              <w:rPr>
                <w:color w:val="auto"/>
                <w:sz w:val="21"/>
              </w:rPr>
            </w:pPr>
          </w:p>
        </w:tc>
        <w:tc>
          <w:tcPr>
            <w:tcW w:w="634" w:type="pct"/>
            <w:tcBorders>
              <w:tl2br w:val="nil"/>
              <w:tr2bl w:val="nil"/>
            </w:tcBorders>
            <w:vAlign w:val="center"/>
          </w:tcPr>
          <w:p w14:paraId="73E938BF">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4BBBDB9A">
            <w:pPr>
              <w:spacing w:line="240" w:lineRule="auto"/>
              <w:ind w:firstLine="0" w:firstLineChars="0"/>
              <w:jc w:val="center"/>
              <w:rPr>
                <w:color w:val="auto"/>
                <w:sz w:val="21"/>
              </w:rPr>
            </w:pPr>
          </w:p>
        </w:tc>
        <w:tc>
          <w:tcPr>
            <w:tcW w:w="652" w:type="pct"/>
            <w:tcBorders>
              <w:tl2br w:val="nil"/>
              <w:tr2bl w:val="nil"/>
            </w:tcBorders>
            <w:vAlign w:val="center"/>
          </w:tcPr>
          <w:p w14:paraId="42B485E9">
            <w:pPr>
              <w:spacing w:line="240" w:lineRule="auto"/>
              <w:ind w:firstLine="0" w:firstLineChars="0"/>
              <w:jc w:val="center"/>
              <w:rPr>
                <w:color w:val="auto"/>
                <w:sz w:val="21"/>
              </w:rPr>
            </w:pPr>
          </w:p>
        </w:tc>
        <w:tc>
          <w:tcPr>
            <w:tcW w:w="717" w:type="pct"/>
            <w:tcBorders>
              <w:tl2br w:val="nil"/>
              <w:tr2bl w:val="nil"/>
            </w:tcBorders>
            <w:vAlign w:val="center"/>
          </w:tcPr>
          <w:p w14:paraId="6CB71D41">
            <w:pPr>
              <w:spacing w:line="240" w:lineRule="auto"/>
              <w:ind w:firstLine="0" w:firstLineChars="0"/>
              <w:jc w:val="center"/>
              <w:rPr>
                <w:color w:val="auto"/>
                <w:sz w:val="21"/>
              </w:rPr>
            </w:pPr>
          </w:p>
        </w:tc>
        <w:tc>
          <w:tcPr>
            <w:tcW w:w="1187" w:type="dxa"/>
            <w:tcBorders>
              <w:tl2br w:val="nil"/>
              <w:tr2bl w:val="nil"/>
            </w:tcBorders>
            <w:vAlign w:val="center"/>
          </w:tcPr>
          <w:p w14:paraId="06A27845">
            <w:pPr>
              <w:spacing w:line="240" w:lineRule="auto"/>
              <w:ind w:firstLine="0" w:firstLineChars="0"/>
              <w:jc w:val="center"/>
              <w:rPr>
                <w:color w:val="auto"/>
                <w:sz w:val="21"/>
              </w:rPr>
            </w:pPr>
          </w:p>
        </w:tc>
        <w:tc>
          <w:tcPr>
            <w:tcW w:w="679" w:type="pct"/>
            <w:vMerge w:val="continue"/>
            <w:tcBorders>
              <w:tl2br w:val="nil"/>
              <w:tr2bl w:val="nil"/>
            </w:tcBorders>
            <w:vAlign w:val="center"/>
          </w:tcPr>
          <w:p w14:paraId="61E390FA">
            <w:pPr>
              <w:spacing w:line="240" w:lineRule="auto"/>
              <w:ind w:firstLine="0" w:firstLineChars="0"/>
              <w:jc w:val="center"/>
              <w:rPr>
                <w:color w:val="auto"/>
                <w:sz w:val="21"/>
              </w:rPr>
            </w:pPr>
          </w:p>
        </w:tc>
      </w:tr>
      <w:tr w14:paraId="78600DC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6616031C">
            <w:pPr>
              <w:spacing w:line="240" w:lineRule="auto"/>
              <w:ind w:firstLine="0" w:firstLineChars="0"/>
              <w:jc w:val="center"/>
              <w:rPr>
                <w:color w:val="auto"/>
                <w:sz w:val="21"/>
              </w:rPr>
            </w:pPr>
          </w:p>
        </w:tc>
        <w:tc>
          <w:tcPr>
            <w:tcW w:w="634" w:type="pct"/>
            <w:tcBorders>
              <w:tl2br w:val="nil"/>
              <w:tr2bl w:val="nil"/>
            </w:tcBorders>
            <w:vAlign w:val="center"/>
          </w:tcPr>
          <w:p w14:paraId="391041F4">
            <w:pPr>
              <w:spacing w:line="240" w:lineRule="auto"/>
              <w:ind w:firstLine="0" w:firstLineChars="0"/>
              <w:jc w:val="center"/>
              <w:rPr>
                <w:color w:val="auto"/>
                <w:sz w:val="21"/>
              </w:rPr>
            </w:pPr>
          </w:p>
        </w:tc>
        <w:tc>
          <w:tcPr>
            <w:tcW w:w="975" w:type="pct"/>
            <w:gridSpan w:val="2"/>
            <w:vMerge w:val="continue"/>
            <w:tcBorders>
              <w:tl2br w:val="nil"/>
              <w:tr2bl w:val="nil"/>
            </w:tcBorders>
            <w:vAlign w:val="center"/>
          </w:tcPr>
          <w:p w14:paraId="36F3F300">
            <w:pPr>
              <w:spacing w:line="240" w:lineRule="auto"/>
              <w:ind w:firstLine="0" w:firstLineChars="0"/>
              <w:jc w:val="center"/>
              <w:rPr>
                <w:color w:val="auto"/>
                <w:sz w:val="21"/>
              </w:rPr>
            </w:pPr>
          </w:p>
        </w:tc>
        <w:tc>
          <w:tcPr>
            <w:tcW w:w="652" w:type="pct"/>
            <w:tcBorders>
              <w:tl2br w:val="nil"/>
              <w:tr2bl w:val="nil"/>
            </w:tcBorders>
            <w:vAlign w:val="center"/>
          </w:tcPr>
          <w:p w14:paraId="277EA46C">
            <w:pPr>
              <w:spacing w:line="240" w:lineRule="auto"/>
              <w:ind w:firstLine="0" w:firstLineChars="0"/>
              <w:jc w:val="center"/>
              <w:rPr>
                <w:color w:val="auto"/>
                <w:sz w:val="21"/>
              </w:rPr>
            </w:pPr>
          </w:p>
        </w:tc>
        <w:tc>
          <w:tcPr>
            <w:tcW w:w="717" w:type="pct"/>
            <w:tcBorders>
              <w:tl2br w:val="nil"/>
              <w:tr2bl w:val="nil"/>
            </w:tcBorders>
            <w:vAlign w:val="center"/>
          </w:tcPr>
          <w:p w14:paraId="4072181D">
            <w:pPr>
              <w:spacing w:line="240" w:lineRule="auto"/>
              <w:ind w:firstLine="0" w:firstLineChars="0"/>
              <w:jc w:val="center"/>
              <w:rPr>
                <w:color w:val="auto"/>
                <w:sz w:val="21"/>
              </w:rPr>
            </w:pPr>
          </w:p>
        </w:tc>
        <w:tc>
          <w:tcPr>
            <w:tcW w:w="1187" w:type="dxa"/>
            <w:tcBorders>
              <w:tl2br w:val="nil"/>
              <w:tr2bl w:val="nil"/>
            </w:tcBorders>
            <w:vAlign w:val="center"/>
          </w:tcPr>
          <w:p w14:paraId="2F70BA55">
            <w:pPr>
              <w:spacing w:line="240" w:lineRule="auto"/>
              <w:ind w:firstLine="0" w:firstLineChars="0"/>
              <w:jc w:val="center"/>
              <w:rPr>
                <w:color w:val="auto"/>
                <w:sz w:val="21"/>
              </w:rPr>
            </w:pPr>
          </w:p>
        </w:tc>
        <w:tc>
          <w:tcPr>
            <w:tcW w:w="679" w:type="pct"/>
            <w:vMerge w:val="continue"/>
            <w:tcBorders>
              <w:tl2br w:val="nil"/>
              <w:tr2bl w:val="nil"/>
            </w:tcBorders>
            <w:vAlign w:val="center"/>
          </w:tcPr>
          <w:p w14:paraId="67423A56">
            <w:pPr>
              <w:spacing w:line="240" w:lineRule="auto"/>
              <w:ind w:firstLine="0" w:firstLineChars="0"/>
              <w:jc w:val="center"/>
              <w:rPr>
                <w:color w:val="auto"/>
                <w:sz w:val="21"/>
              </w:rPr>
            </w:pPr>
          </w:p>
        </w:tc>
      </w:tr>
      <w:tr w14:paraId="0A45B3E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07D25089">
            <w:pPr>
              <w:spacing w:line="240" w:lineRule="auto"/>
              <w:ind w:firstLine="0" w:firstLineChars="0"/>
              <w:jc w:val="center"/>
              <w:rPr>
                <w:color w:val="auto"/>
                <w:sz w:val="21"/>
              </w:rPr>
            </w:pPr>
          </w:p>
        </w:tc>
        <w:tc>
          <w:tcPr>
            <w:tcW w:w="634" w:type="pct"/>
            <w:tcBorders>
              <w:tl2br w:val="nil"/>
              <w:tr2bl w:val="nil"/>
            </w:tcBorders>
            <w:vAlign w:val="center"/>
          </w:tcPr>
          <w:p w14:paraId="0021AFD7">
            <w:pPr>
              <w:spacing w:line="240" w:lineRule="auto"/>
              <w:ind w:firstLine="0" w:firstLineChars="0"/>
              <w:jc w:val="center"/>
              <w:rPr>
                <w:color w:val="auto"/>
                <w:sz w:val="21"/>
              </w:rPr>
            </w:pPr>
          </w:p>
        </w:tc>
        <w:tc>
          <w:tcPr>
            <w:tcW w:w="975" w:type="pct"/>
            <w:gridSpan w:val="2"/>
            <w:tcBorders>
              <w:tl2br w:val="nil"/>
              <w:tr2bl w:val="nil"/>
            </w:tcBorders>
            <w:vAlign w:val="center"/>
          </w:tcPr>
          <w:p w14:paraId="68041A1C">
            <w:pPr>
              <w:spacing w:line="240" w:lineRule="auto"/>
              <w:ind w:firstLine="0" w:firstLineChars="0"/>
              <w:jc w:val="center"/>
              <w:rPr>
                <w:color w:val="auto"/>
                <w:sz w:val="21"/>
              </w:rPr>
            </w:pPr>
          </w:p>
        </w:tc>
        <w:tc>
          <w:tcPr>
            <w:tcW w:w="652" w:type="pct"/>
            <w:tcBorders>
              <w:tl2br w:val="nil"/>
              <w:tr2bl w:val="nil"/>
            </w:tcBorders>
            <w:vAlign w:val="center"/>
          </w:tcPr>
          <w:p w14:paraId="2B3EA073">
            <w:pPr>
              <w:spacing w:line="240" w:lineRule="auto"/>
              <w:ind w:firstLine="0" w:firstLineChars="0"/>
              <w:jc w:val="center"/>
              <w:rPr>
                <w:color w:val="auto"/>
                <w:sz w:val="21"/>
              </w:rPr>
            </w:pPr>
          </w:p>
        </w:tc>
        <w:tc>
          <w:tcPr>
            <w:tcW w:w="717" w:type="pct"/>
            <w:tcBorders>
              <w:tl2br w:val="nil"/>
              <w:tr2bl w:val="nil"/>
            </w:tcBorders>
            <w:vAlign w:val="center"/>
          </w:tcPr>
          <w:p w14:paraId="5221BF71">
            <w:pPr>
              <w:spacing w:line="240" w:lineRule="auto"/>
              <w:ind w:firstLine="0" w:firstLineChars="0"/>
              <w:jc w:val="center"/>
              <w:rPr>
                <w:color w:val="auto"/>
                <w:sz w:val="21"/>
              </w:rPr>
            </w:pPr>
          </w:p>
        </w:tc>
        <w:tc>
          <w:tcPr>
            <w:tcW w:w="1187" w:type="dxa"/>
            <w:tcBorders>
              <w:tl2br w:val="nil"/>
              <w:tr2bl w:val="nil"/>
            </w:tcBorders>
            <w:vAlign w:val="center"/>
          </w:tcPr>
          <w:p w14:paraId="5E3D932C">
            <w:pPr>
              <w:spacing w:line="240" w:lineRule="auto"/>
              <w:ind w:firstLine="0" w:firstLineChars="0"/>
              <w:jc w:val="center"/>
              <w:rPr>
                <w:color w:val="auto"/>
                <w:sz w:val="21"/>
              </w:rPr>
            </w:pPr>
          </w:p>
        </w:tc>
        <w:tc>
          <w:tcPr>
            <w:tcW w:w="679" w:type="pct"/>
            <w:tcBorders>
              <w:tl2br w:val="nil"/>
              <w:tr2bl w:val="nil"/>
            </w:tcBorders>
            <w:vAlign w:val="center"/>
          </w:tcPr>
          <w:p w14:paraId="3BE7D1F0">
            <w:pPr>
              <w:spacing w:line="240" w:lineRule="auto"/>
              <w:ind w:firstLine="0" w:firstLineChars="0"/>
              <w:jc w:val="center"/>
              <w:rPr>
                <w:color w:val="auto"/>
                <w:sz w:val="21"/>
              </w:rPr>
            </w:pPr>
          </w:p>
        </w:tc>
      </w:tr>
      <w:tr w14:paraId="0D56139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7" w:type="pct"/>
            <w:tcBorders>
              <w:tl2br w:val="nil"/>
              <w:tr2bl w:val="nil"/>
            </w:tcBorders>
            <w:vAlign w:val="center"/>
          </w:tcPr>
          <w:p w14:paraId="43D6E2DA">
            <w:pPr>
              <w:spacing w:line="240" w:lineRule="auto"/>
              <w:ind w:firstLine="0" w:firstLineChars="0"/>
              <w:jc w:val="center"/>
              <w:rPr>
                <w:color w:val="auto"/>
                <w:sz w:val="21"/>
              </w:rPr>
            </w:pPr>
          </w:p>
        </w:tc>
        <w:tc>
          <w:tcPr>
            <w:tcW w:w="634" w:type="pct"/>
            <w:tcBorders>
              <w:tl2br w:val="nil"/>
              <w:tr2bl w:val="nil"/>
            </w:tcBorders>
            <w:vAlign w:val="center"/>
          </w:tcPr>
          <w:p w14:paraId="63858BCD">
            <w:pPr>
              <w:spacing w:line="240" w:lineRule="auto"/>
              <w:ind w:firstLine="0" w:firstLineChars="0"/>
              <w:jc w:val="center"/>
              <w:rPr>
                <w:color w:val="auto"/>
                <w:sz w:val="21"/>
              </w:rPr>
            </w:pPr>
          </w:p>
        </w:tc>
        <w:tc>
          <w:tcPr>
            <w:tcW w:w="2948" w:type="pct"/>
            <w:gridSpan w:val="5"/>
            <w:tcBorders>
              <w:tl2br w:val="nil"/>
              <w:tr2bl w:val="nil"/>
            </w:tcBorders>
            <w:vAlign w:val="center"/>
          </w:tcPr>
          <w:p w14:paraId="32B004FC">
            <w:pPr>
              <w:spacing w:line="240" w:lineRule="auto"/>
              <w:ind w:firstLine="0" w:firstLineChars="0"/>
              <w:jc w:val="center"/>
              <w:rPr>
                <w:color w:val="auto"/>
                <w:sz w:val="21"/>
              </w:rPr>
            </w:pPr>
          </w:p>
        </w:tc>
        <w:tc>
          <w:tcPr>
            <w:tcW w:w="679" w:type="pct"/>
            <w:tcBorders>
              <w:tl2br w:val="nil"/>
              <w:tr2bl w:val="nil"/>
            </w:tcBorders>
            <w:vAlign w:val="center"/>
          </w:tcPr>
          <w:p w14:paraId="150C545E">
            <w:pPr>
              <w:spacing w:line="240" w:lineRule="auto"/>
              <w:ind w:firstLine="0" w:firstLineChars="0"/>
              <w:jc w:val="center"/>
              <w:rPr>
                <w:color w:val="auto"/>
                <w:sz w:val="21"/>
              </w:rPr>
            </w:pPr>
          </w:p>
        </w:tc>
      </w:tr>
    </w:tbl>
    <w:p w14:paraId="24F5D9C3">
      <w:pPr>
        <w:pStyle w:val="49"/>
        <w:rPr>
          <w:color w:val="auto"/>
        </w:rPr>
      </w:pPr>
    </w:p>
    <w:p w14:paraId="24641FF4">
      <w:pPr>
        <w:pStyle w:val="49"/>
        <w:rPr>
          <w:color w:val="auto"/>
        </w:rPr>
      </w:pPr>
    </w:p>
    <w:p w14:paraId="4BCAEF3A">
      <w:pPr>
        <w:pStyle w:val="49"/>
        <w:rPr>
          <w:color w:val="auto"/>
        </w:rPr>
      </w:pPr>
    </w:p>
    <w:p w14:paraId="6112BDA9">
      <w:pPr>
        <w:pStyle w:val="49"/>
        <w:rPr>
          <w:color w:val="auto"/>
        </w:rPr>
        <w:sectPr>
          <w:pgSz w:w="11906" w:h="16838"/>
          <w:pgMar w:top="1134" w:right="1134" w:bottom="1134" w:left="1134" w:header="851" w:footer="992" w:gutter="0"/>
          <w:cols w:space="425" w:num="1"/>
          <w:docGrid w:type="lines" w:linePitch="312" w:charSpace="0"/>
        </w:sectPr>
      </w:pPr>
      <w:r>
        <w:rPr>
          <w:rFonts w:hint="eastAsia"/>
          <w:color w:val="auto"/>
        </w:rPr>
        <w:t>图4.4-16  一水亚硫酸铵（碳酸氢铵工艺）生产物料平衡图（t/a）</w:t>
      </w:r>
    </w:p>
    <w:p w14:paraId="21DFBD91">
      <w:pPr>
        <w:pStyle w:val="5"/>
        <w:numPr>
          <w:ilvl w:val="0"/>
          <w:numId w:val="6"/>
        </w:numPr>
        <w:spacing w:before="156" w:after="156" w:afterLines="50"/>
        <w:rPr>
          <w:color w:val="auto"/>
        </w:rPr>
      </w:pPr>
      <w:r>
        <w:rPr>
          <w:rFonts w:hint="eastAsia"/>
          <w:color w:val="auto"/>
        </w:rPr>
        <w:t>工艺水</w:t>
      </w:r>
      <w:r>
        <w:rPr>
          <w:color w:val="auto"/>
        </w:rPr>
        <w:t>平衡</w:t>
      </w:r>
    </w:p>
    <w:p w14:paraId="6D986D81">
      <w:pPr>
        <w:pStyle w:val="6"/>
        <w:spacing w:before="156"/>
        <w:ind w:firstLine="482"/>
        <w:rPr>
          <w:color w:val="auto"/>
        </w:rPr>
      </w:pPr>
      <w:r>
        <w:rPr>
          <w:rFonts w:hint="eastAsia"/>
          <w:color w:val="auto"/>
        </w:rPr>
        <w:t>2.1亚硫酸钾生产工艺水平衡</w:t>
      </w:r>
    </w:p>
    <w:tbl>
      <w:tblPr>
        <w:tblStyle w:val="24"/>
        <w:tblW w:w="5000" w:type="pct"/>
        <w:tblInd w:w="0" w:type="dxa"/>
        <w:tblLayout w:type="autofit"/>
        <w:tblCellMar>
          <w:top w:w="0" w:type="dxa"/>
          <w:left w:w="108" w:type="dxa"/>
          <w:bottom w:w="0" w:type="dxa"/>
          <w:right w:w="108" w:type="dxa"/>
        </w:tblCellMar>
      </w:tblPr>
      <w:tblGrid>
        <w:gridCol w:w="1462"/>
        <w:gridCol w:w="1776"/>
        <w:gridCol w:w="1900"/>
        <w:gridCol w:w="1585"/>
        <w:gridCol w:w="1188"/>
        <w:gridCol w:w="1943"/>
      </w:tblGrid>
      <w:tr w14:paraId="557FBF52">
        <w:tblPrEx>
          <w:tblCellMar>
            <w:top w:w="0" w:type="dxa"/>
            <w:left w:w="108" w:type="dxa"/>
            <w:bottom w:w="0" w:type="dxa"/>
            <w:right w:w="108" w:type="dxa"/>
          </w:tblCellMar>
        </w:tblPrEx>
        <w:trPr>
          <w:trHeight w:val="90" w:hRule="atLeast"/>
        </w:trPr>
        <w:tc>
          <w:tcPr>
            <w:tcW w:w="5000" w:type="pct"/>
            <w:gridSpan w:val="6"/>
            <w:tcBorders>
              <w:top w:val="nil"/>
              <w:left w:val="nil"/>
              <w:bottom w:val="single" w:color="000000" w:sz="12" w:space="0"/>
              <w:right w:val="nil"/>
            </w:tcBorders>
            <w:noWrap/>
            <w:vAlign w:val="center"/>
          </w:tcPr>
          <w:p w14:paraId="2E975729">
            <w:pPr>
              <w:spacing w:line="240" w:lineRule="auto"/>
              <w:ind w:firstLine="0" w:firstLineChars="0"/>
              <w:jc w:val="center"/>
              <w:rPr>
                <w:rFonts w:cs="宋体"/>
                <w:bCs/>
                <w:color w:val="auto"/>
                <w:sz w:val="21"/>
                <w:szCs w:val="22"/>
              </w:rPr>
            </w:pPr>
            <w:r>
              <w:rPr>
                <w:rFonts w:hint="eastAsia"/>
                <w:b/>
                <w:bCs/>
                <w:color w:val="auto"/>
              </w:rPr>
              <w:t>表4.4-23  亚硫酸钾生产工艺水平衡表（t/a）</w:t>
            </w:r>
          </w:p>
        </w:tc>
      </w:tr>
      <w:tr w14:paraId="616E3DBB">
        <w:tblPrEx>
          <w:tblCellMar>
            <w:top w:w="0" w:type="dxa"/>
            <w:left w:w="108" w:type="dxa"/>
            <w:bottom w:w="0" w:type="dxa"/>
            <w:right w:w="108" w:type="dxa"/>
          </w:tblCellMar>
        </w:tblPrEx>
        <w:trPr>
          <w:trHeight w:val="370" w:hRule="atLeast"/>
        </w:trPr>
        <w:tc>
          <w:tcPr>
            <w:tcW w:w="2607" w:type="pct"/>
            <w:gridSpan w:val="3"/>
            <w:tcBorders>
              <w:top w:val="single" w:color="000000" w:sz="12" w:space="0"/>
              <w:left w:val="nil"/>
              <w:bottom w:val="single" w:color="000000" w:sz="4" w:space="0"/>
              <w:right w:val="single" w:color="000000" w:sz="4" w:space="0"/>
            </w:tcBorders>
            <w:vAlign w:val="center"/>
          </w:tcPr>
          <w:p w14:paraId="1DC3EE68">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投入</w:t>
            </w:r>
          </w:p>
        </w:tc>
        <w:tc>
          <w:tcPr>
            <w:tcW w:w="2392" w:type="pct"/>
            <w:gridSpan w:val="3"/>
            <w:tcBorders>
              <w:top w:val="single" w:color="000000" w:sz="12" w:space="0"/>
              <w:left w:val="single" w:color="000000" w:sz="4" w:space="0"/>
              <w:bottom w:val="single" w:color="000000" w:sz="4" w:space="0"/>
              <w:right w:val="nil"/>
            </w:tcBorders>
            <w:vAlign w:val="center"/>
          </w:tcPr>
          <w:p w14:paraId="7059F87A">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产出</w:t>
            </w:r>
          </w:p>
        </w:tc>
      </w:tr>
      <w:tr w14:paraId="567B26BF">
        <w:tblPrEx>
          <w:tblCellMar>
            <w:top w:w="0" w:type="dxa"/>
            <w:left w:w="108" w:type="dxa"/>
            <w:bottom w:w="0" w:type="dxa"/>
            <w:right w:w="108" w:type="dxa"/>
          </w:tblCellMar>
        </w:tblPrEx>
        <w:trPr>
          <w:trHeight w:val="325" w:hRule="atLeast"/>
        </w:trPr>
        <w:tc>
          <w:tcPr>
            <w:tcW w:w="1643" w:type="pct"/>
            <w:gridSpan w:val="2"/>
            <w:tcBorders>
              <w:top w:val="single" w:color="000000" w:sz="4" w:space="0"/>
              <w:left w:val="nil"/>
              <w:bottom w:val="single" w:color="000000" w:sz="4" w:space="0"/>
              <w:right w:val="single" w:color="000000" w:sz="4" w:space="0"/>
            </w:tcBorders>
            <w:vAlign w:val="center"/>
          </w:tcPr>
          <w:p w14:paraId="3F586E9F">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964" w:type="pct"/>
            <w:tcBorders>
              <w:top w:val="single" w:color="000000" w:sz="4" w:space="0"/>
              <w:left w:val="single" w:color="000000" w:sz="4" w:space="0"/>
              <w:bottom w:val="single" w:color="000000" w:sz="4" w:space="0"/>
              <w:right w:val="single" w:color="000000" w:sz="4" w:space="0"/>
            </w:tcBorders>
            <w:vAlign w:val="center"/>
          </w:tcPr>
          <w:p w14:paraId="2F5DC183">
            <w:pPr>
              <w:widowControl/>
              <w:spacing w:line="240" w:lineRule="auto"/>
              <w:ind w:firstLine="0" w:firstLineChars="0"/>
              <w:jc w:val="center"/>
              <w:textAlignment w:val="center"/>
              <w:rPr>
                <w:rFonts w:cs="宋体"/>
                <w:b/>
                <w:color w:val="auto"/>
                <w:sz w:val="21"/>
                <w:szCs w:val="21"/>
              </w:rPr>
            </w:pPr>
            <w:r>
              <w:rPr>
                <w:rFonts w:hint="eastAsia" w:cs="宋体"/>
                <w:b/>
                <w:color w:val="auto"/>
                <w:sz w:val="21"/>
                <w:szCs w:val="21"/>
              </w:rPr>
              <w:t>数量</w:t>
            </w:r>
          </w:p>
        </w:tc>
        <w:tc>
          <w:tcPr>
            <w:tcW w:w="1407" w:type="pct"/>
            <w:gridSpan w:val="2"/>
            <w:tcBorders>
              <w:top w:val="single" w:color="000000" w:sz="4" w:space="0"/>
              <w:left w:val="single" w:color="000000" w:sz="4" w:space="0"/>
              <w:bottom w:val="single" w:color="000000" w:sz="4" w:space="0"/>
              <w:right w:val="single" w:color="000000" w:sz="4" w:space="0"/>
            </w:tcBorders>
            <w:vAlign w:val="center"/>
          </w:tcPr>
          <w:p w14:paraId="39FF8266">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984" w:type="pct"/>
            <w:tcBorders>
              <w:top w:val="single" w:color="000000" w:sz="4" w:space="0"/>
              <w:left w:val="single" w:color="000000" w:sz="4" w:space="0"/>
              <w:bottom w:val="single" w:color="000000" w:sz="4" w:space="0"/>
              <w:right w:val="nil"/>
            </w:tcBorders>
            <w:vAlign w:val="center"/>
          </w:tcPr>
          <w:p w14:paraId="67DC4D30">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数量</w:t>
            </w:r>
          </w:p>
        </w:tc>
      </w:tr>
      <w:tr w14:paraId="601A7318">
        <w:tblPrEx>
          <w:tblCellMar>
            <w:top w:w="0" w:type="dxa"/>
            <w:left w:w="108" w:type="dxa"/>
            <w:bottom w:w="0" w:type="dxa"/>
            <w:right w:w="108" w:type="dxa"/>
          </w:tblCellMar>
        </w:tblPrEx>
        <w:trPr>
          <w:trHeight w:val="310" w:hRule="atLeast"/>
        </w:trPr>
        <w:tc>
          <w:tcPr>
            <w:tcW w:w="742" w:type="pct"/>
            <w:vMerge w:val="restart"/>
            <w:tcBorders>
              <w:top w:val="single" w:color="000000" w:sz="4" w:space="0"/>
              <w:left w:val="nil"/>
              <w:bottom w:val="single" w:color="000000" w:sz="4" w:space="0"/>
              <w:right w:val="single" w:color="000000" w:sz="4" w:space="0"/>
            </w:tcBorders>
            <w:noWrap/>
            <w:vAlign w:val="center"/>
          </w:tcPr>
          <w:p w14:paraId="79C3EB1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原料带入水</w:t>
            </w:r>
          </w:p>
        </w:tc>
        <w:tc>
          <w:tcPr>
            <w:tcW w:w="900" w:type="pct"/>
            <w:tcBorders>
              <w:top w:val="single" w:color="000000" w:sz="4" w:space="0"/>
              <w:left w:val="single" w:color="000000" w:sz="4" w:space="0"/>
              <w:bottom w:val="single" w:color="000000" w:sz="4" w:space="0"/>
              <w:right w:val="single" w:color="000000" w:sz="4" w:space="0"/>
            </w:tcBorders>
            <w:vAlign w:val="center"/>
          </w:tcPr>
          <w:p w14:paraId="544CD2DF">
            <w:pPr>
              <w:widowControl/>
              <w:spacing w:line="240" w:lineRule="auto"/>
              <w:ind w:firstLine="0" w:firstLineChars="0"/>
              <w:jc w:val="center"/>
              <w:textAlignment w:val="center"/>
              <w:rPr>
                <w:color w:val="auto"/>
                <w:sz w:val="21"/>
                <w:szCs w:val="21"/>
              </w:rPr>
            </w:pPr>
            <w:r>
              <w:rPr>
                <w:color w:val="auto"/>
                <w:kern w:val="0"/>
                <w:sz w:val="21"/>
                <w:szCs w:val="21"/>
                <w:lang w:bidi="ar"/>
              </w:rPr>
              <w:t>48%</w:t>
            </w:r>
            <w:r>
              <w:rPr>
                <w:rFonts w:hint="eastAsia" w:cs="宋体"/>
                <w:color w:val="auto"/>
                <w:kern w:val="0"/>
                <w:sz w:val="21"/>
                <w:szCs w:val="21"/>
                <w:lang w:bidi="ar"/>
              </w:rPr>
              <w:t>氢氧化钾</w:t>
            </w:r>
          </w:p>
        </w:tc>
        <w:tc>
          <w:tcPr>
            <w:tcW w:w="964" w:type="pct"/>
            <w:tcBorders>
              <w:top w:val="single" w:color="000000" w:sz="4" w:space="0"/>
              <w:left w:val="single" w:color="000000" w:sz="4" w:space="0"/>
              <w:bottom w:val="single" w:color="000000" w:sz="4" w:space="0"/>
              <w:right w:val="single" w:color="000000" w:sz="4" w:space="0"/>
            </w:tcBorders>
            <w:vAlign w:val="center"/>
          </w:tcPr>
          <w:p w14:paraId="592DBC45">
            <w:pPr>
              <w:widowControl/>
              <w:spacing w:line="240" w:lineRule="auto"/>
              <w:ind w:firstLine="0" w:firstLineChars="0"/>
              <w:jc w:val="center"/>
              <w:textAlignment w:val="center"/>
              <w:rPr>
                <w:color w:val="auto"/>
                <w:sz w:val="21"/>
                <w:szCs w:val="21"/>
              </w:rPr>
            </w:pPr>
            <w:r>
              <w:rPr>
                <w:color w:val="auto"/>
                <w:kern w:val="0"/>
                <w:sz w:val="21"/>
                <w:szCs w:val="21"/>
                <w:lang w:bidi="ar"/>
              </w:rPr>
              <w:t>18200.000</w:t>
            </w:r>
          </w:p>
        </w:tc>
        <w:tc>
          <w:tcPr>
            <w:tcW w:w="1407" w:type="pct"/>
            <w:gridSpan w:val="2"/>
            <w:tcBorders>
              <w:top w:val="single" w:color="000000" w:sz="4" w:space="0"/>
              <w:left w:val="single" w:color="000000" w:sz="4" w:space="0"/>
              <w:bottom w:val="single" w:color="000000" w:sz="4" w:space="0"/>
              <w:right w:val="single" w:color="000000" w:sz="4" w:space="0"/>
            </w:tcBorders>
            <w:vAlign w:val="center"/>
          </w:tcPr>
          <w:p w14:paraId="6E69C0A9">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产品（96%亚硫酸钾）</w:t>
            </w:r>
          </w:p>
        </w:tc>
        <w:tc>
          <w:tcPr>
            <w:tcW w:w="984" w:type="pct"/>
            <w:tcBorders>
              <w:top w:val="single" w:color="000000" w:sz="4" w:space="0"/>
              <w:left w:val="single" w:color="000000" w:sz="4" w:space="0"/>
              <w:bottom w:val="single" w:color="000000" w:sz="4" w:space="0"/>
              <w:right w:val="nil"/>
            </w:tcBorders>
            <w:vAlign w:val="center"/>
          </w:tcPr>
          <w:p w14:paraId="5CF9D9D5">
            <w:pPr>
              <w:widowControl/>
              <w:spacing w:line="240" w:lineRule="auto"/>
              <w:ind w:firstLine="0" w:firstLineChars="0"/>
              <w:jc w:val="center"/>
              <w:textAlignment w:val="center"/>
              <w:rPr>
                <w:color w:val="auto"/>
                <w:sz w:val="21"/>
                <w:szCs w:val="21"/>
              </w:rPr>
            </w:pPr>
            <w:r>
              <w:rPr>
                <w:color w:val="auto"/>
                <w:kern w:val="0"/>
                <w:sz w:val="21"/>
                <w:szCs w:val="21"/>
                <w:lang w:bidi="ar"/>
              </w:rPr>
              <w:t>572.12</w:t>
            </w:r>
            <w:r>
              <w:rPr>
                <w:rFonts w:hint="eastAsia"/>
                <w:color w:val="auto"/>
                <w:kern w:val="0"/>
                <w:sz w:val="21"/>
                <w:szCs w:val="21"/>
                <w:lang w:bidi="ar"/>
              </w:rPr>
              <w:t>8</w:t>
            </w:r>
          </w:p>
        </w:tc>
      </w:tr>
      <w:tr w14:paraId="6CF5B80C">
        <w:tblPrEx>
          <w:tblCellMar>
            <w:top w:w="0" w:type="dxa"/>
            <w:left w:w="108" w:type="dxa"/>
            <w:bottom w:w="0" w:type="dxa"/>
            <w:right w:w="108" w:type="dxa"/>
          </w:tblCellMar>
        </w:tblPrEx>
        <w:trPr>
          <w:trHeight w:val="285" w:hRule="atLeast"/>
        </w:trPr>
        <w:tc>
          <w:tcPr>
            <w:tcW w:w="742" w:type="pct"/>
            <w:vMerge w:val="continue"/>
            <w:tcBorders>
              <w:top w:val="single" w:color="000000" w:sz="4" w:space="0"/>
              <w:left w:val="nil"/>
              <w:bottom w:val="single" w:color="000000" w:sz="4" w:space="0"/>
              <w:right w:val="single" w:color="000000" w:sz="4" w:space="0"/>
            </w:tcBorders>
            <w:noWrap/>
            <w:vAlign w:val="center"/>
          </w:tcPr>
          <w:p w14:paraId="7AF47446">
            <w:pPr>
              <w:widowControl/>
              <w:spacing w:line="240" w:lineRule="auto"/>
              <w:ind w:firstLine="0" w:firstLineChars="0"/>
              <w:jc w:val="center"/>
              <w:rPr>
                <w:rFonts w:cs="宋体"/>
                <w:color w:val="auto"/>
                <w:sz w:val="21"/>
                <w:szCs w:val="21"/>
              </w:rPr>
            </w:pPr>
          </w:p>
        </w:tc>
        <w:tc>
          <w:tcPr>
            <w:tcW w:w="900" w:type="pct"/>
            <w:tcBorders>
              <w:top w:val="single" w:color="000000" w:sz="4" w:space="0"/>
              <w:left w:val="single" w:color="000000" w:sz="4" w:space="0"/>
              <w:bottom w:val="single" w:color="000000" w:sz="4" w:space="0"/>
              <w:right w:val="single" w:color="000000" w:sz="4" w:space="0"/>
            </w:tcBorders>
            <w:vAlign w:val="center"/>
          </w:tcPr>
          <w:p w14:paraId="3C76281F">
            <w:pPr>
              <w:widowControl/>
              <w:spacing w:line="240" w:lineRule="auto"/>
              <w:ind w:firstLine="0" w:firstLineChars="0"/>
              <w:jc w:val="center"/>
              <w:textAlignment w:val="center"/>
              <w:rPr>
                <w:color w:val="auto"/>
                <w:sz w:val="21"/>
                <w:szCs w:val="21"/>
              </w:rPr>
            </w:pPr>
            <w:r>
              <w:rPr>
                <w:color w:val="auto"/>
                <w:kern w:val="0"/>
                <w:sz w:val="21"/>
                <w:szCs w:val="21"/>
                <w:lang w:bidi="ar"/>
              </w:rPr>
              <w:t>一次离心母液</w:t>
            </w:r>
          </w:p>
        </w:tc>
        <w:tc>
          <w:tcPr>
            <w:tcW w:w="964" w:type="pct"/>
            <w:tcBorders>
              <w:top w:val="single" w:color="000000" w:sz="4" w:space="0"/>
              <w:left w:val="single" w:color="000000" w:sz="4" w:space="0"/>
              <w:bottom w:val="single" w:color="000000" w:sz="4" w:space="0"/>
              <w:right w:val="single" w:color="000000" w:sz="4" w:space="0"/>
            </w:tcBorders>
            <w:vAlign w:val="center"/>
          </w:tcPr>
          <w:p w14:paraId="6E7419A2">
            <w:pPr>
              <w:widowControl/>
              <w:spacing w:line="240" w:lineRule="auto"/>
              <w:ind w:firstLine="0" w:firstLineChars="0"/>
              <w:jc w:val="center"/>
              <w:textAlignment w:val="center"/>
              <w:rPr>
                <w:color w:val="auto"/>
                <w:sz w:val="21"/>
                <w:szCs w:val="21"/>
              </w:rPr>
            </w:pPr>
            <w:r>
              <w:rPr>
                <w:color w:val="auto"/>
                <w:kern w:val="0"/>
                <w:sz w:val="21"/>
                <w:szCs w:val="21"/>
                <w:lang w:bidi="ar"/>
              </w:rPr>
              <w:t>624.282</w:t>
            </w:r>
          </w:p>
        </w:tc>
        <w:tc>
          <w:tcPr>
            <w:tcW w:w="1407" w:type="pct"/>
            <w:gridSpan w:val="2"/>
            <w:tcBorders>
              <w:top w:val="single" w:color="000000" w:sz="4" w:space="0"/>
              <w:left w:val="single" w:color="000000" w:sz="4" w:space="0"/>
              <w:bottom w:val="single" w:color="000000" w:sz="4" w:space="0"/>
              <w:right w:val="single" w:color="000000" w:sz="4" w:space="0"/>
            </w:tcBorders>
            <w:vAlign w:val="center"/>
          </w:tcPr>
          <w:p w14:paraId="65021833">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46%亚硫酸钾</w:t>
            </w:r>
          </w:p>
        </w:tc>
        <w:tc>
          <w:tcPr>
            <w:tcW w:w="984" w:type="pct"/>
            <w:tcBorders>
              <w:top w:val="single" w:color="000000" w:sz="4" w:space="0"/>
              <w:left w:val="single" w:color="000000" w:sz="4" w:space="0"/>
              <w:bottom w:val="single" w:color="000000" w:sz="4" w:space="0"/>
              <w:right w:val="nil"/>
            </w:tcBorders>
            <w:vAlign w:val="center"/>
          </w:tcPr>
          <w:p w14:paraId="755BF523">
            <w:pPr>
              <w:widowControl/>
              <w:spacing w:line="240" w:lineRule="auto"/>
              <w:ind w:firstLine="0" w:firstLineChars="0"/>
              <w:jc w:val="center"/>
              <w:textAlignment w:val="center"/>
              <w:rPr>
                <w:color w:val="auto"/>
                <w:sz w:val="21"/>
                <w:szCs w:val="21"/>
              </w:rPr>
            </w:pPr>
            <w:r>
              <w:rPr>
                <w:color w:val="auto"/>
                <w:kern w:val="0"/>
                <w:sz w:val="21"/>
                <w:szCs w:val="21"/>
                <w:lang w:bidi="ar"/>
              </w:rPr>
              <w:t>474.336</w:t>
            </w:r>
          </w:p>
        </w:tc>
      </w:tr>
      <w:tr w14:paraId="007DEF2F">
        <w:tblPrEx>
          <w:tblCellMar>
            <w:top w:w="0" w:type="dxa"/>
            <w:left w:w="108" w:type="dxa"/>
            <w:bottom w:w="0" w:type="dxa"/>
            <w:right w:w="108" w:type="dxa"/>
          </w:tblCellMar>
        </w:tblPrEx>
        <w:trPr>
          <w:trHeight w:val="525" w:hRule="atLeast"/>
        </w:trPr>
        <w:tc>
          <w:tcPr>
            <w:tcW w:w="742" w:type="pct"/>
            <w:vMerge w:val="continue"/>
            <w:tcBorders>
              <w:top w:val="single" w:color="000000" w:sz="4" w:space="0"/>
              <w:left w:val="nil"/>
              <w:bottom w:val="single" w:color="000000" w:sz="4" w:space="0"/>
              <w:right w:val="single" w:color="000000" w:sz="4" w:space="0"/>
            </w:tcBorders>
            <w:noWrap/>
            <w:vAlign w:val="center"/>
          </w:tcPr>
          <w:p w14:paraId="5E00E9CF">
            <w:pPr>
              <w:widowControl/>
              <w:spacing w:line="240" w:lineRule="auto"/>
              <w:ind w:firstLine="0" w:firstLineChars="0"/>
              <w:jc w:val="center"/>
              <w:rPr>
                <w:rFonts w:cs="宋体"/>
                <w:color w:val="auto"/>
                <w:sz w:val="21"/>
                <w:szCs w:val="21"/>
              </w:rPr>
            </w:pPr>
          </w:p>
        </w:tc>
        <w:tc>
          <w:tcPr>
            <w:tcW w:w="900" w:type="pct"/>
            <w:tcBorders>
              <w:top w:val="single" w:color="000000" w:sz="4" w:space="0"/>
              <w:left w:val="single" w:color="000000" w:sz="4" w:space="0"/>
              <w:bottom w:val="single" w:color="000000" w:sz="4" w:space="0"/>
              <w:right w:val="single" w:color="000000" w:sz="4" w:space="0"/>
            </w:tcBorders>
            <w:vAlign w:val="center"/>
          </w:tcPr>
          <w:p w14:paraId="7BE92240">
            <w:pPr>
              <w:widowControl/>
              <w:spacing w:line="240" w:lineRule="auto"/>
              <w:ind w:firstLine="0" w:firstLineChars="0"/>
              <w:jc w:val="center"/>
              <w:textAlignment w:val="center"/>
              <w:rPr>
                <w:color w:val="auto"/>
                <w:sz w:val="21"/>
                <w:szCs w:val="21"/>
              </w:rPr>
            </w:pPr>
            <w:r>
              <w:rPr>
                <w:color w:val="auto"/>
                <w:kern w:val="0"/>
                <w:sz w:val="21"/>
                <w:szCs w:val="21"/>
                <w:lang w:bidi="ar"/>
              </w:rPr>
              <w:t>二次离心母液</w:t>
            </w:r>
          </w:p>
        </w:tc>
        <w:tc>
          <w:tcPr>
            <w:tcW w:w="964" w:type="pct"/>
            <w:tcBorders>
              <w:top w:val="single" w:color="000000" w:sz="4" w:space="0"/>
              <w:left w:val="single" w:color="000000" w:sz="4" w:space="0"/>
              <w:bottom w:val="single" w:color="000000" w:sz="4" w:space="0"/>
              <w:right w:val="single" w:color="000000" w:sz="4" w:space="0"/>
            </w:tcBorders>
            <w:vAlign w:val="center"/>
          </w:tcPr>
          <w:p w14:paraId="112C23FE">
            <w:pPr>
              <w:widowControl/>
              <w:spacing w:line="240" w:lineRule="auto"/>
              <w:ind w:firstLine="0" w:firstLineChars="0"/>
              <w:jc w:val="center"/>
              <w:textAlignment w:val="center"/>
              <w:rPr>
                <w:color w:val="auto"/>
                <w:sz w:val="21"/>
                <w:szCs w:val="21"/>
              </w:rPr>
            </w:pPr>
            <w:r>
              <w:rPr>
                <w:color w:val="auto"/>
                <w:kern w:val="0"/>
                <w:sz w:val="21"/>
                <w:szCs w:val="21"/>
                <w:lang w:bidi="ar"/>
              </w:rPr>
              <w:t>637.112</w:t>
            </w:r>
          </w:p>
        </w:tc>
        <w:tc>
          <w:tcPr>
            <w:tcW w:w="804" w:type="pct"/>
            <w:vMerge w:val="restart"/>
            <w:tcBorders>
              <w:top w:val="single" w:color="000000" w:sz="4" w:space="0"/>
              <w:left w:val="single" w:color="000000" w:sz="4" w:space="0"/>
              <w:bottom w:val="single" w:color="000000" w:sz="4" w:space="0"/>
              <w:right w:val="single" w:color="000000" w:sz="4" w:space="0"/>
            </w:tcBorders>
            <w:vAlign w:val="center"/>
          </w:tcPr>
          <w:p w14:paraId="4500970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回收物料</w:t>
            </w:r>
          </w:p>
        </w:tc>
        <w:tc>
          <w:tcPr>
            <w:tcW w:w="603" w:type="pct"/>
            <w:tcBorders>
              <w:top w:val="single" w:color="000000" w:sz="4" w:space="0"/>
              <w:left w:val="single" w:color="000000" w:sz="4" w:space="0"/>
              <w:bottom w:val="single" w:color="000000" w:sz="4" w:space="0"/>
              <w:right w:val="single" w:color="000000" w:sz="4" w:space="0"/>
            </w:tcBorders>
            <w:vAlign w:val="center"/>
          </w:tcPr>
          <w:p w14:paraId="6E75603A">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一次离心母液</w:t>
            </w:r>
          </w:p>
        </w:tc>
        <w:tc>
          <w:tcPr>
            <w:tcW w:w="984" w:type="pct"/>
            <w:tcBorders>
              <w:top w:val="single" w:color="000000" w:sz="4" w:space="0"/>
              <w:left w:val="single" w:color="000000" w:sz="4" w:space="0"/>
              <w:bottom w:val="single" w:color="000000" w:sz="4" w:space="0"/>
              <w:right w:val="nil"/>
            </w:tcBorders>
            <w:noWrap/>
            <w:vAlign w:val="center"/>
          </w:tcPr>
          <w:p w14:paraId="6279FBDC">
            <w:pPr>
              <w:widowControl/>
              <w:spacing w:line="240" w:lineRule="auto"/>
              <w:ind w:firstLine="0" w:firstLineChars="0"/>
              <w:jc w:val="center"/>
              <w:textAlignment w:val="center"/>
              <w:rPr>
                <w:color w:val="auto"/>
                <w:sz w:val="21"/>
                <w:szCs w:val="21"/>
              </w:rPr>
            </w:pPr>
            <w:r>
              <w:rPr>
                <w:color w:val="auto"/>
                <w:kern w:val="0"/>
                <w:sz w:val="21"/>
                <w:szCs w:val="21"/>
                <w:lang w:bidi="ar"/>
              </w:rPr>
              <w:t>624.282</w:t>
            </w:r>
          </w:p>
        </w:tc>
      </w:tr>
      <w:tr w14:paraId="09B985E6">
        <w:tblPrEx>
          <w:tblCellMar>
            <w:top w:w="0" w:type="dxa"/>
            <w:left w:w="108" w:type="dxa"/>
            <w:bottom w:w="0" w:type="dxa"/>
            <w:right w:w="108" w:type="dxa"/>
          </w:tblCellMar>
        </w:tblPrEx>
        <w:trPr>
          <w:trHeight w:val="525" w:hRule="atLeast"/>
        </w:trPr>
        <w:tc>
          <w:tcPr>
            <w:tcW w:w="742" w:type="pct"/>
            <w:tcBorders>
              <w:top w:val="single" w:color="000000" w:sz="4" w:space="0"/>
              <w:left w:val="nil"/>
              <w:bottom w:val="single" w:color="000000" w:sz="4" w:space="0"/>
              <w:right w:val="single" w:color="000000" w:sz="4" w:space="0"/>
            </w:tcBorders>
            <w:noWrap/>
            <w:vAlign w:val="center"/>
          </w:tcPr>
          <w:p w14:paraId="6E6FB3B2">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反应生成水</w:t>
            </w:r>
          </w:p>
        </w:tc>
        <w:tc>
          <w:tcPr>
            <w:tcW w:w="900" w:type="pct"/>
            <w:tcBorders>
              <w:top w:val="single" w:color="000000" w:sz="4" w:space="0"/>
              <w:left w:val="single" w:color="000000" w:sz="4" w:space="0"/>
              <w:bottom w:val="single" w:color="000000" w:sz="4" w:space="0"/>
              <w:right w:val="single" w:color="000000" w:sz="4" w:space="0"/>
            </w:tcBorders>
            <w:noWrap/>
            <w:vAlign w:val="center"/>
          </w:tcPr>
          <w:p w14:paraId="286344BC">
            <w:pPr>
              <w:widowControl/>
              <w:spacing w:line="240" w:lineRule="auto"/>
              <w:ind w:firstLine="0" w:firstLineChars="0"/>
              <w:jc w:val="center"/>
              <w:textAlignment w:val="center"/>
              <w:rPr>
                <w:color w:val="auto"/>
                <w:sz w:val="21"/>
                <w:szCs w:val="21"/>
              </w:rPr>
            </w:pPr>
            <w:r>
              <w:rPr>
                <w:color w:val="auto"/>
                <w:kern w:val="0"/>
                <w:sz w:val="21"/>
                <w:szCs w:val="21"/>
                <w:lang w:bidi="ar"/>
              </w:rPr>
              <w:t>一段吸收</w:t>
            </w:r>
          </w:p>
        </w:tc>
        <w:tc>
          <w:tcPr>
            <w:tcW w:w="964" w:type="pct"/>
            <w:tcBorders>
              <w:top w:val="single" w:color="000000" w:sz="4" w:space="0"/>
              <w:left w:val="single" w:color="000000" w:sz="4" w:space="0"/>
              <w:bottom w:val="single" w:color="000000" w:sz="4" w:space="0"/>
              <w:right w:val="single" w:color="000000" w:sz="4" w:space="0"/>
            </w:tcBorders>
            <w:noWrap/>
            <w:vAlign w:val="center"/>
          </w:tcPr>
          <w:p w14:paraId="229A560E">
            <w:pPr>
              <w:widowControl/>
              <w:spacing w:line="240" w:lineRule="auto"/>
              <w:ind w:firstLine="0" w:firstLineChars="0"/>
              <w:jc w:val="center"/>
              <w:textAlignment w:val="center"/>
              <w:rPr>
                <w:color w:val="auto"/>
                <w:sz w:val="21"/>
                <w:szCs w:val="21"/>
              </w:rPr>
            </w:pPr>
            <w:r>
              <w:rPr>
                <w:color w:val="auto"/>
                <w:kern w:val="0"/>
                <w:sz w:val="21"/>
                <w:szCs w:val="21"/>
                <w:lang w:bidi="ar"/>
              </w:rPr>
              <w:t>1342.787</w:t>
            </w:r>
          </w:p>
        </w:tc>
        <w:tc>
          <w:tcPr>
            <w:tcW w:w="804" w:type="pct"/>
            <w:vMerge w:val="continue"/>
            <w:tcBorders>
              <w:top w:val="single" w:color="000000" w:sz="4" w:space="0"/>
              <w:left w:val="single" w:color="000000" w:sz="4" w:space="0"/>
              <w:bottom w:val="single" w:color="000000" w:sz="4" w:space="0"/>
              <w:right w:val="single" w:color="000000" w:sz="4" w:space="0"/>
            </w:tcBorders>
            <w:vAlign w:val="center"/>
          </w:tcPr>
          <w:p w14:paraId="7224E6BC">
            <w:pPr>
              <w:widowControl/>
              <w:spacing w:line="240" w:lineRule="auto"/>
              <w:ind w:firstLine="0" w:firstLineChars="0"/>
              <w:jc w:val="center"/>
              <w:rPr>
                <w:rFonts w:cs="宋体"/>
                <w:color w:val="auto"/>
                <w:sz w:val="21"/>
                <w:szCs w:val="21"/>
              </w:rPr>
            </w:pPr>
          </w:p>
        </w:tc>
        <w:tc>
          <w:tcPr>
            <w:tcW w:w="603" w:type="pct"/>
            <w:tcBorders>
              <w:top w:val="single" w:color="000000" w:sz="4" w:space="0"/>
              <w:left w:val="single" w:color="000000" w:sz="4" w:space="0"/>
              <w:bottom w:val="single" w:color="000000" w:sz="4" w:space="0"/>
              <w:right w:val="single" w:color="000000" w:sz="4" w:space="0"/>
            </w:tcBorders>
            <w:vAlign w:val="center"/>
          </w:tcPr>
          <w:p w14:paraId="3C123D2B">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二次离心母液</w:t>
            </w:r>
          </w:p>
        </w:tc>
        <w:tc>
          <w:tcPr>
            <w:tcW w:w="984" w:type="pct"/>
            <w:tcBorders>
              <w:top w:val="single" w:color="000000" w:sz="4" w:space="0"/>
              <w:left w:val="single" w:color="000000" w:sz="4" w:space="0"/>
              <w:bottom w:val="single" w:color="000000" w:sz="4" w:space="0"/>
              <w:right w:val="nil"/>
            </w:tcBorders>
            <w:noWrap/>
            <w:vAlign w:val="center"/>
          </w:tcPr>
          <w:p w14:paraId="291190C9">
            <w:pPr>
              <w:widowControl/>
              <w:spacing w:line="240" w:lineRule="auto"/>
              <w:ind w:firstLine="0" w:firstLineChars="0"/>
              <w:jc w:val="center"/>
              <w:textAlignment w:val="center"/>
              <w:rPr>
                <w:color w:val="auto"/>
                <w:sz w:val="21"/>
                <w:szCs w:val="21"/>
              </w:rPr>
            </w:pPr>
            <w:r>
              <w:rPr>
                <w:color w:val="auto"/>
                <w:kern w:val="0"/>
                <w:sz w:val="21"/>
                <w:szCs w:val="21"/>
                <w:lang w:bidi="ar"/>
              </w:rPr>
              <w:t>637.112</w:t>
            </w:r>
          </w:p>
        </w:tc>
      </w:tr>
      <w:tr w14:paraId="0566B699">
        <w:tblPrEx>
          <w:tblCellMar>
            <w:top w:w="0" w:type="dxa"/>
            <w:left w:w="108" w:type="dxa"/>
            <w:bottom w:w="0" w:type="dxa"/>
            <w:right w:w="108" w:type="dxa"/>
          </w:tblCellMar>
        </w:tblPrEx>
        <w:trPr>
          <w:trHeight w:val="1035" w:hRule="atLeast"/>
        </w:trPr>
        <w:tc>
          <w:tcPr>
            <w:tcW w:w="742" w:type="pct"/>
            <w:tcBorders>
              <w:top w:val="single" w:color="000000" w:sz="4" w:space="0"/>
              <w:left w:val="nil"/>
              <w:bottom w:val="single" w:color="000000" w:sz="4" w:space="0"/>
              <w:right w:val="single" w:color="000000" w:sz="4" w:space="0"/>
            </w:tcBorders>
            <w:noWrap/>
            <w:vAlign w:val="center"/>
          </w:tcPr>
          <w:p w14:paraId="723F85A3">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反应生成水</w:t>
            </w:r>
          </w:p>
        </w:tc>
        <w:tc>
          <w:tcPr>
            <w:tcW w:w="900" w:type="pct"/>
            <w:tcBorders>
              <w:top w:val="single" w:color="000000" w:sz="4" w:space="0"/>
              <w:left w:val="single" w:color="000000" w:sz="4" w:space="0"/>
              <w:bottom w:val="single" w:color="000000" w:sz="4" w:space="0"/>
              <w:right w:val="single" w:color="000000" w:sz="4" w:space="0"/>
            </w:tcBorders>
            <w:noWrap/>
            <w:vAlign w:val="center"/>
          </w:tcPr>
          <w:p w14:paraId="597A167B">
            <w:pPr>
              <w:widowControl/>
              <w:spacing w:line="240" w:lineRule="auto"/>
              <w:ind w:firstLine="0" w:firstLineChars="0"/>
              <w:jc w:val="center"/>
              <w:textAlignment w:val="center"/>
              <w:rPr>
                <w:color w:val="auto"/>
                <w:sz w:val="21"/>
                <w:szCs w:val="21"/>
              </w:rPr>
            </w:pPr>
            <w:r>
              <w:rPr>
                <w:color w:val="auto"/>
                <w:kern w:val="0"/>
                <w:sz w:val="21"/>
                <w:szCs w:val="21"/>
                <w:lang w:bidi="ar"/>
              </w:rPr>
              <w:t>二段吸收</w:t>
            </w:r>
          </w:p>
        </w:tc>
        <w:tc>
          <w:tcPr>
            <w:tcW w:w="964" w:type="pct"/>
            <w:tcBorders>
              <w:top w:val="single" w:color="000000" w:sz="4" w:space="0"/>
              <w:left w:val="single" w:color="000000" w:sz="4" w:space="0"/>
              <w:bottom w:val="single" w:color="000000" w:sz="4" w:space="0"/>
              <w:right w:val="single" w:color="000000" w:sz="4" w:space="0"/>
            </w:tcBorders>
            <w:noWrap/>
            <w:vAlign w:val="center"/>
          </w:tcPr>
          <w:p w14:paraId="31101DB4">
            <w:pPr>
              <w:widowControl/>
              <w:spacing w:line="240" w:lineRule="auto"/>
              <w:ind w:firstLine="0" w:firstLineChars="0"/>
              <w:jc w:val="center"/>
              <w:textAlignment w:val="center"/>
              <w:rPr>
                <w:color w:val="auto"/>
                <w:sz w:val="21"/>
                <w:szCs w:val="21"/>
              </w:rPr>
            </w:pPr>
            <w:r>
              <w:rPr>
                <w:color w:val="auto"/>
                <w:kern w:val="0"/>
                <w:sz w:val="21"/>
                <w:szCs w:val="21"/>
                <w:lang w:bidi="ar"/>
              </w:rPr>
              <w:t>1341.907</w:t>
            </w:r>
          </w:p>
        </w:tc>
        <w:tc>
          <w:tcPr>
            <w:tcW w:w="804" w:type="pct"/>
            <w:vMerge w:val="continue"/>
            <w:tcBorders>
              <w:top w:val="single" w:color="000000" w:sz="4" w:space="0"/>
              <w:left w:val="single" w:color="000000" w:sz="4" w:space="0"/>
              <w:bottom w:val="single" w:color="000000" w:sz="4" w:space="0"/>
              <w:right w:val="single" w:color="000000" w:sz="4" w:space="0"/>
            </w:tcBorders>
            <w:vAlign w:val="center"/>
          </w:tcPr>
          <w:p w14:paraId="4F66695E">
            <w:pPr>
              <w:widowControl/>
              <w:spacing w:line="240" w:lineRule="auto"/>
              <w:ind w:firstLine="0" w:firstLineChars="0"/>
              <w:jc w:val="center"/>
              <w:rPr>
                <w:rFonts w:cs="宋体"/>
                <w:color w:val="auto"/>
                <w:sz w:val="21"/>
                <w:szCs w:val="21"/>
              </w:rPr>
            </w:pPr>
          </w:p>
        </w:tc>
        <w:tc>
          <w:tcPr>
            <w:tcW w:w="603" w:type="pct"/>
            <w:tcBorders>
              <w:top w:val="single" w:color="000000" w:sz="4" w:space="0"/>
              <w:left w:val="single" w:color="000000" w:sz="4" w:space="0"/>
              <w:bottom w:val="single" w:color="000000" w:sz="4" w:space="0"/>
              <w:right w:val="single" w:color="000000" w:sz="4" w:space="0"/>
            </w:tcBorders>
            <w:vAlign w:val="center"/>
          </w:tcPr>
          <w:p w14:paraId="4A73F941">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浓缩工段回用于硫磺焚烧余热回收水</w:t>
            </w:r>
          </w:p>
        </w:tc>
        <w:tc>
          <w:tcPr>
            <w:tcW w:w="984" w:type="pct"/>
            <w:tcBorders>
              <w:top w:val="single" w:color="000000" w:sz="4" w:space="0"/>
              <w:left w:val="single" w:color="000000" w:sz="4" w:space="0"/>
              <w:bottom w:val="single" w:color="000000" w:sz="4" w:space="0"/>
              <w:right w:val="nil"/>
            </w:tcBorders>
            <w:noWrap/>
            <w:vAlign w:val="center"/>
          </w:tcPr>
          <w:p w14:paraId="6F7A55EA">
            <w:pPr>
              <w:widowControl/>
              <w:spacing w:line="240" w:lineRule="auto"/>
              <w:ind w:firstLine="0" w:firstLineChars="0"/>
              <w:jc w:val="center"/>
              <w:textAlignment w:val="center"/>
              <w:rPr>
                <w:color w:val="auto"/>
                <w:sz w:val="21"/>
                <w:szCs w:val="21"/>
              </w:rPr>
            </w:pPr>
            <w:r>
              <w:rPr>
                <w:color w:val="auto"/>
                <w:kern w:val="0"/>
                <w:sz w:val="21"/>
                <w:szCs w:val="21"/>
                <w:lang w:bidi="ar"/>
              </w:rPr>
              <w:t>5697.012</w:t>
            </w:r>
          </w:p>
        </w:tc>
      </w:tr>
      <w:tr w14:paraId="6618AA91">
        <w:tblPrEx>
          <w:tblCellMar>
            <w:top w:w="0" w:type="dxa"/>
            <w:left w:w="108" w:type="dxa"/>
            <w:bottom w:w="0" w:type="dxa"/>
            <w:right w:w="108" w:type="dxa"/>
          </w:tblCellMar>
        </w:tblPrEx>
        <w:trPr>
          <w:trHeight w:val="1035" w:hRule="atLeast"/>
        </w:trPr>
        <w:tc>
          <w:tcPr>
            <w:tcW w:w="1643" w:type="pct"/>
            <w:gridSpan w:val="2"/>
            <w:tcBorders>
              <w:top w:val="single" w:color="000000" w:sz="4" w:space="0"/>
              <w:left w:val="nil"/>
              <w:bottom w:val="single" w:color="000000" w:sz="4" w:space="0"/>
              <w:right w:val="single" w:color="000000" w:sz="4" w:space="0"/>
            </w:tcBorders>
            <w:noWrap/>
            <w:vAlign w:val="center"/>
          </w:tcPr>
          <w:p w14:paraId="2A29994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设备冲洗水</w:t>
            </w:r>
          </w:p>
        </w:tc>
        <w:tc>
          <w:tcPr>
            <w:tcW w:w="964" w:type="pct"/>
            <w:tcBorders>
              <w:top w:val="single" w:color="000000" w:sz="4" w:space="0"/>
              <w:left w:val="single" w:color="000000" w:sz="4" w:space="0"/>
              <w:bottom w:val="single" w:color="000000" w:sz="4" w:space="0"/>
              <w:right w:val="single" w:color="000000" w:sz="4" w:space="0"/>
            </w:tcBorders>
            <w:noWrap/>
            <w:vAlign w:val="center"/>
          </w:tcPr>
          <w:p w14:paraId="2C47006C">
            <w:pPr>
              <w:widowControl/>
              <w:spacing w:line="240" w:lineRule="auto"/>
              <w:ind w:firstLine="0" w:firstLineChars="0"/>
              <w:jc w:val="center"/>
              <w:textAlignment w:val="center"/>
              <w:rPr>
                <w:color w:val="auto"/>
                <w:sz w:val="21"/>
                <w:szCs w:val="21"/>
              </w:rPr>
            </w:pPr>
            <w:r>
              <w:rPr>
                <w:color w:val="auto"/>
                <w:kern w:val="0"/>
                <w:sz w:val="21"/>
                <w:szCs w:val="21"/>
                <w:lang w:bidi="ar"/>
              </w:rPr>
              <w:t>16.500</w:t>
            </w:r>
          </w:p>
        </w:tc>
        <w:tc>
          <w:tcPr>
            <w:tcW w:w="804" w:type="pct"/>
            <w:vMerge w:val="continue"/>
            <w:tcBorders>
              <w:top w:val="single" w:color="000000" w:sz="4" w:space="0"/>
              <w:left w:val="single" w:color="000000" w:sz="4" w:space="0"/>
              <w:bottom w:val="single" w:color="000000" w:sz="4" w:space="0"/>
              <w:right w:val="single" w:color="000000" w:sz="4" w:space="0"/>
            </w:tcBorders>
            <w:vAlign w:val="center"/>
          </w:tcPr>
          <w:p w14:paraId="2475A495">
            <w:pPr>
              <w:widowControl/>
              <w:spacing w:line="240" w:lineRule="auto"/>
              <w:ind w:firstLine="0" w:firstLineChars="0"/>
              <w:jc w:val="center"/>
              <w:rPr>
                <w:rFonts w:cs="宋体"/>
                <w:color w:val="auto"/>
                <w:sz w:val="21"/>
                <w:szCs w:val="21"/>
              </w:rPr>
            </w:pPr>
          </w:p>
        </w:tc>
        <w:tc>
          <w:tcPr>
            <w:tcW w:w="603" w:type="pct"/>
            <w:tcBorders>
              <w:top w:val="single" w:color="000000" w:sz="4" w:space="0"/>
              <w:left w:val="single" w:color="000000" w:sz="4" w:space="0"/>
              <w:bottom w:val="single" w:color="000000" w:sz="4" w:space="0"/>
              <w:right w:val="single" w:color="000000" w:sz="4" w:space="0"/>
            </w:tcBorders>
            <w:vAlign w:val="center"/>
          </w:tcPr>
          <w:p w14:paraId="13A67CF5">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干燥工段回用于硫磺焚烧余热回收水</w:t>
            </w:r>
          </w:p>
        </w:tc>
        <w:tc>
          <w:tcPr>
            <w:tcW w:w="984" w:type="pct"/>
            <w:tcBorders>
              <w:top w:val="single" w:color="000000" w:sz="4" w:space="0"/>
              <w:left w:val="single" w:color="000000" w:sz="4" w:space="0"/>
              <w:bottom w:val="single" w:color="000000" w:sz="4" w:space="0"/>
              <w:right w:val="nil"/>
            </w:tcBorders>
            <w:noWrap/>
            <w:vAlign w:val="center"/>
          </w:tcPr>
          <w:p w14:paraId="0FF9C60D">
            <w:pPr>
              <w:widowControl/>
              <w:spacing w:line="240" w:lineRule="auto"/>
              <w:ind w:firstLine="0" w:firstLineChars="0"/>
              <w:jc w:val="center"/>
              <w:textAlignment w:val="center"/>
              <w:rPr>
                <w:color w:val="auto"/>
                <w:sz w:val="21"/>
                <w:szCs w:val="21"/>
              </w:rPr>
            </w:pPr>
            <w:r>
              <w:rPr>
                <w:color w:val="auto"/>
                <w:kern w:val="0"/>
                <w:sz w:val="21"/>
                <w:szCs w:val="21"/>
                <w:lang w:bidi="ar"/>
              </w:rPr>
              <w:t>22312.</w:t>
            </w:r>
            <w:r>
              <w:rPr>
                <w:rFonts w:hint="eastAsia"/>
                <w:color w:val="auto"/>
                <w:kern w:val="0"/>
                <w:sz w:val="21"/>
                <w:szCs w:val="21"/>
                <w:lang w:bidi="ar"/>
              </w:rPr>
              <w:t>978</w:t>
            </w:r>
          </w:p>
        </w:tc>
      </w:tr>
      <w:tr w14:paraId="4967242D">
        <w:tblPrEx>
          <w:tblCellMar>
            <w:top w:w="0" w:type="dxa"/>
            <w:left w:w="108" w:type="dxa"/>
            <w:bottom w:w="0" w:type="dxa"/>
            <w:right w:w="108" w:type="dxa"/>
          </w:tblCellMar>
        </w:tblPrEx>
        <w:trPr>
          <w:trHeight w:val="780" w:hRule="atLeast"/>
        </w:trPr>
        <w:tc>
          <w:tcPr>
            <w:tcW w:w="1643" w:type="pct"/>
            <w:gridSpan w:val="2"/>
            <w:tcBorders>
              <w:top w:val="single" w:color="000000" w:sz="4" w:space="0"/>
              <w:left w:val="nil"/>
              <w:bottom w:val="single" w:color="000000" w:sz="4" w:space="0"/>
              <w:right w:val="single" w:color="000000" w:sz="4" w:space="0"/>
            </w:tcBorders>
            <w:noWrap/>
            <w:vAlign w:val="center"/>
          </w:tcPr>
          <w:p w14:paraId="645EDDF1">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去离子水</w:t>
            </w:r>
          </w:p>
        </w:tc>
        <w:tc>
          <w:tcPr>
            <w:tcW w:w="964" w:type="pct"/>
            <w:tcBorders>
              <w:top w:val="single" w:color="000000" w:sz="4" w:space="0"/>
              <w:left w:val="single" w:color="000000" w:sz="4" w:space="0"/>
              <w:bottom w:val="single" w:color="000000" w:sz="4" w:space="0"/>
              <w:right w:val="single" w:color="000000" w:sz="4" w:space="0"/>
            </w:tcBorders>
            <w:noWrap/>
            <w:vAlign w:val="center"/>
          </w:tcPr>
          <w:p w14:paraId="231FDCD6">
            <w:pPr>
              <w:widowControl/>
              <w:spacing w:line="240" w:lineRule="auto"/>
              <w:ind w:firstLine="0" w:firstLineChars="0"/>
              <w:jc w:val="center"/>
              <w:textAlignment w:val="center"/>
              <w:rPr>
                <w:color w:val="auto"/>
                <w:sz w:val="21"/>
                <w:szCs w:val="21"/>
              </w:rPr>
            </w:pPr>
            <w:r>
              <w:rPr>
                <w:color w:val="auto"/>
                <w:kern w:val="0"/>
                <w:sz w:val="21"/>
                <w:szCs w:val="21"/>
                <w:lang w:bidi="ar"/>
              </w:rPr>
              <w:t>8171.</w:t>
            </w:r>
            <w:r>
              <w:rPr>
                <w:rFonts w:hint="eastAsia"/>
                <w:color w:val="auto"/>
                <w:kern w:val="0"/>
                <w:sz w:val="21"/>
                <w:szCs w:val="21"/>
                <w:lang w:bidi="ar"/>
              </w:rPr>
              <w:t>760</w:t>
            </w:r>
          </w:p>
        </w:tc>
        <w:tc>
          <w:tcPr>
            <w:tcW w:w="804" w:type="pct"/>
            <w:vMerge w:val="continue"/>
            <w:tcBorders>
              <w:top w:val="single" w:color="000000" w:sz="4" w:space="0"/>
              <w:left w:val="single" w:color="000000" w:sz="4" w:space="0"/>
              <w:bottom w:val="single" w:color="000000" w:sz="4" w:space="0"/>
              <w:right w:val="single" w:color="000000" w:sz="4" w:space="0"/>
            </w:tcBorders>
            <w:vAlign w:val="center"/>
          </w:tcPr>
          <w:p w14:paraId="1F33F0AA">
            <w:pPr>
              <w:widowControl/>
              <w:spacing w:line="240" w:lineRule="auto"/>
              <w:ind w:firstLine="0" w:firstLineChars="0"/>
              <w:jc w:val="center"/>
              <w:rPr>
                <w:rFonts w:cs="宋体"/>
                <w:color w:val="auto"/>
                <w:sz w:val="21"/>
                <w:szCs w:val="21"/>
              </w:rPr>
            </w:pPr>
          </w:p>
        </w:tc>
        <w:tc>
          <w:tcPr>
            <w:tcW w:w="603" w:type="pct"/>
            <w:tcBorders>
              <w:top w:val="single" w:color="000000" w:sz="4" w:space="0"/>
              <w:left w:val="single" w:color="000000" w:sz="4" w:space="0"/>
              <w:bottom w:val="single" w:color="000000" w:sz="4" w:space="0"/>
              <w:right w:val="single" w:color="000000" w:sz="4" w:space="0"/>
            </w:tcBorders>
            <w:vAlign w:val="center"/>
          </w:tcPr>
          <w:p w14:paraId="10947033">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冲洗水回用至碱液配液</w:t>
            </w:r>
          </w:p>
        </w:tc>
        <w:tc>
          <w:tcPr>
            <w:tcW w:w="984" w:type="pct"/>
            <w:tcBorders>
              <w:top w:val="single" w:color="000000" w:sz="4" w:space="0"/>
              <w:left w:val="single" w:color="000000" w:sz="4" w:space="0"/>
              <w:bottom w:val="single" w:color="000000" w:sz="4" w:space="0"/>
              <w:right w:val="nil"/>
            </w:tcBorders>
            <w:noWrap/>
            <w:vAlign w:val="center"/>
          </w:tcPr>
          <w:p w14:paraId="562BEA5D">
            <w:pPr>
              <w:widowControl/>
              <w:spacing w:line="240" w:lineRule="auto"/>
              <w:ind w:firstLine="0" w:firstLineChars="0"/>
              <w:jc w:val="center"/>
              <w:textAlignment w:val="center"/>
              <w:rPr>
                <w:color w:val="auto"/>
                <w:sz w:val="21"/>
                <w:szCs w:val="21"/>
              </w:rPr>
            </w:pPr>
            <w:r>
              <w:rPr>
                <w:color w:val="auto"/>
                <w:kern w:val="0"/>
                <w:sz w:val="21"/>
                <w:szCs w:val="21"/>
                <w:lang w:bidi="ar"/>
              </w:rPr>
              <w:t>16.500</w:t>
            </w:r>
          </w:p>
        </w:tc>
      </w:tr>
      <w:tr w14:paraId="5D780E9F">
        <w:tblPrEx>
          <w:tblCellMar>
            <w:top w:w="0" w:type="dxa"/>
            <w:left w:w="108" w:type="dxa"/>
            <w:bottom w:w="0" w:type="dxa"/>
            <w:right w:w="108" w:type="dxa"/>
          </w:tblCellMar>
        </w:tblPrEx>
        <w:trPr>
          <w:trHeight w:val="285" w:hRule="atLeast"/>
        </w:trPr>
        <w:tc>
          <w:tcPr>
            <w:tcW w:w="1643" w:type="pct"/>
            <w:gridSpan w:val="2"/>
            <w:tcBorders>
              <w:top w:val="single" w:color="000000" w:sz="4" w:space="0"/>
              <w:left w:val="nil"/>
              <w:bottom w:val="single" w:color="000000" w:sz="12" w:space="0"/>
              <w:right w:val="single" w:color="000000" w:sz="4" w:space="0"/>
            </w:tcBorders>
            <w:noWrap/>
            <w:vAlign w:val="center"/>
          </w:tcPr>
          <w:p w14:paraId="5FEEE348">
            <w:pPr>
              <w:widowControl/>
              <w:spacing w:line="240" w:lineRule="auto"/>
              <w:ind w:firstLine="0" w:firstLineChars="0"/>
              <w:jc w:val="center"/>
              <w:rPr>
                <w:color w:val="auto"/>
                <w:sz w:val="21"/>
                <w:szCs w:val="21"/>
              </w:rPr>
            </w:pPr>
            <w:r>
              <w:rPr>
                <w:rFonts w:hint="eastAsia" w:cs="宋体"/>
                <w:color w:val="auto"/>
                <w:kern w:val="0"/>
                <w:sz w:val="21"/>
                <w:szCs w:val="21"/>
                <w:lang w:bidi="ar"/>
              </w:rPr>
              <w:t>合计</w:t>
            </w:r>
          </w:p>
        </w:tc>
        <w:tc>
          <w:tcPr>
            <w:tcW w:w="964" w:type="pct"/>
            <w:tcBorders>
              <w:top w:val="single" w:color="000000" w:sz="4" w:space="0"/>
              <w:left w:val="single" w:color="000000" w:sz="4" w:space="0"/>
              <w:bottom w:val="single" w:color="000000" w:sz="12" w:space="0"/>
              <w:right w:val="single" w:color="000000" w:sz="4" w:space="0"/>
            </w:tcBorders>
            <w:noWrap/>
            <w:vAlign w:val="center"/>
          </w:tcPr>
          <w:p w14:paraId="2DC14B04">
            <w:pPr>
              <w:widowControl/>
              <w:spacing w:line="240" w:lineRule="auto"/>
              <w:ind w:firstLine="0" w:firstLineChars="0"/>
              <w:jc w:val="center"/>
              <w:textAlignment w:val="center"/>
              <w:rPr>
                <w:color w:val="auto"/>
                <w:sz w:val="21"/>
                <w:szCs w:val="21"/>
              </w:rPr>
            </w:pPr>
            <w:r>
              <w:rPr>
                <w:color w:val="auto"/>
                <w:kern w:val="0"/>
                <w:sz w:val="21"/>
                <w:szCs w:val="21"/>
                <w:lang w:bidi="ar"/>
              </w:rPr>
              <w:t>30334.</w:t>
            </w:r>
            <w:r>
              <w:rPr>
                <w:rFonts w:hint="eastAsia"/>
                <w:color w:val="auto"/>
                <w:kern w:val="0"/>
                <w:sz w:val="21"/>
                <w:szCs w:val="21"/>
                <w:lang w:bidi="ar"/>
              </w:rPr>
              <w:t>347</w:t>
            </w:r>
          </w:p>
        </w:tc>
        <w:tc>
          <w:tcPr>
            <w:tcW w:w="1407" w:type="pct"/>
            <w:gridSpan w:val="2"/>
            <w:tcBorders>
              <w:top w:val="single" w:color="000000" w:sz="4" w:space="0"/>
              <w:left w:val="single" w:color="000000" w:sz="4" w:space="0"/>
              <w:bottom w:val="single" w:color="000000" w:sz="12" w:space="0"/>
              <w:right w:val="single" w:color="000000" w:sz="4" w:space="0"/>
            </w:tcBorders>
            <w:noWrap/>
            <w:vAlign w:val="center"/>
          </w:tcPr>
          <w:p w14:paraId="4A9B78B6">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合计</w:t>
            </w:r>
          </w:p>
        </w:tc>
        <w:tc>
          <w:tcPr>
            <w:tcW w:w="984" w:type="pct"/>
            <w:tcBorders>
              <w:top w:val="single" w:color="000000" w:sz="4" w:space="0"/>
              <w:left w:val="single" w:color="000000" w:sz="4" w:space="0"/>
              <w:bottom w:val="single" w:color="000000" w:sz="12" w:space="0"/>
              <w:right w:val="nil"/>
            </w:tcBorders>
            <w:noWrap/>
            <w:vAlign w:val="center"/>
          </w:tcPr>
          <w:p w14:paraId="19305A82">
            <w:pPr>
              <w:widowControl/>
              <w:spacing w:line="240" w:lineRule="auto"/>
              <w:ind w:firstLine="0" w:firstLineChars="0"/>
              <w:jc w:val="center"/>
              <w:textAlignment w:val="center"/>
              <w:rPr>
                <w:color w:val="auto"/>
                <w:sz w:val="21"/>
                <w:szCs w:val="21"/>
              </w:rPr>
            </w:pPr>
            <w:r>
              <w:rPr>
                <w:color w:val="auto"/>
                <w:kern w:val="0"/>
                <w:sz w:val="21"/>
                <w:szCs w:val="21"/>
                <w:lang w:bidi="ar"/>
              </w:rPr>
              <w:t>30334.</w:t>
            </w:r>
            <w:r>
              <w:rPr>
                <w:rFonts w:hint="eastAsia"/>
                <w:color w:val="auto"/>
                <w:kern w:val="0"/>
                <w:sz w:val="21"/>
                <w:szCs w:val="21"/>
                <w:lang w:bidi="ar"/>
              </w:rPr>
              <w:t>347</w:t>
            </w:r>
          </w:p>
        </w:tc>
      </w:tr>
    </w:tbl>
    <w:p w14:paraId="50910B73">
      <w:pPr>
        <w:ind w:firstLine="480"/>
        <w:rPr>
          <w:color w:val="auto"/>
        </w:rPr>
      </w:pPr>
    </w:p>
    <w:p w14:paraId="571D2D37">
      <w:pPr>
        <w:pStyle w:val="6"/>
        <w:spacing w:before="156"/>
        <w:ind w:firstLine="482"/>
        <w:rPr>
          <w:color w:val="auto"/>
        </w:rPr>
      </w:pPr>
      <w:r>
        <w:rPr>
          <w:rFonts w:hint="eastAsia"/>
          <w:color w:val="auto"/>
        </w:rPr>
        <w:t>2.1</w:t>
      </w:r>
      <w:r>
        <w:rPr>
          <w:rFonts w:hint="eastAsia"/>
          <w:bCs/>
          <w:color w:val="auto"/>
        </w:rPr>
        <w:t>亚硫酸钠</w:t>
      </w:r>
      <w:r>
        <w:rPr>
          <w:rFonts w:hint="eastAsia"/>
          <w:color w:val="auto"/>
        </w:rPr>
        <w:t>生产工艺水平衡</w:t>
      </w:r>
    </w:p>
    <w:p w14:paraId="56F8E3E8">
      <w:pPr>
        <w:spacing w:line="240" w:lineRule="auto"/>
        <w:ind w:firstLine="482"/>
        <w:jc w:val="center"/>
        <w:rPr>
          <w:color w:val="auto"/>
        </w:rPr>
      </w:pPr>
      <w:r>
        <w:rPr>
          <w:rFonts w:hint="eastAsia"/>
          <w:b/>
          <w:bCs/>
          <w:color w:val="auto"/>
        </w:rPr>
        <w:t>表4.4-24  亚硫酸钠生产工艺水平衡表（t/a）</w:t>
      </w:r>
    </w:p>
    <w:tbl>
      <w:tblPr>
        <w:tblStyle w:val="24"/>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66"/>
        <w:gridCol w:w="1684"/>
        <w:gridCol w:w="1806"/>
        <w:gridCol w:w="1294"/>
        <w:gridCol w:w="2011"/>
        <w:gridCol w:w="1591"/>
      </w:tblGrid>
      <w:tr w14:paraId="60DC6D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2594" w:type="pct"/>
            <w:gridSpan w:val="3"/>
            <w:tcBorders>
              <w:tl2br w:val="nil"/>
              <w:tr2bl w:val="nil"/>
            </w:tcBorders>
            <w:vAlign w:val="center"/>
          </w:tcPr>
          <w:p w14:paraId="69DBBE5E">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投入</w:t>
            </w:r>
          </w:p>
        </w:tc>
        <w:tc>
          <w:tcPr>
            <w:tcW w:w="2405" w:type="pct"/>
            <w:gridSpan w:val="3"/>
            <w:tcBorders>
              <w:tl2br w:val="nil"/>
              <w:tr2bl w:val="nil"/>
            </w:tcBorders>
            <w:vAlign w:val="center"/>
          </w:tcPr>
          <w:p w14:paraId="47928F98">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产出</w:t>
            </w:r>
          </w:p>
        </w:tc>
      </w:tr>
      <w:tr w14:paraId="4168BD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651" w:type="pct"/>
            <w:gridSpan w:val="2"/>
            <w:tcBorders>
              <w:tl2br w:val="nil"/>
              <w:tr2bl w:val="nil"/>
            </w:tcBorders>
            <w:vAlign w:val="center"/>
          </w:tcPr>
          <w:p w14:paraId="1E60DF03">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943" w:type="pct"/>
            <w:tcBorders>
              <w:tl2br w:val="nil"/>
              <w:tr2bl w:val="nil"/>
            </w:tcBorders>
            <w:vAlign w:val="center"/>
          </w:tcPr>
          <w:p w14:paraId="3E8A2EF7">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数量</w:t>
            </w:r>
          </w:p>
        </w:tc>
        <w:tc>
          <w:tcPr>
            <w:tcW w:w="1730" w:type="pct"/>
            <w:gridSpan w:val="2"/>
            <w:tcBorders>
              <w:tl2br w:val="nil"/>
              <w:tr2bl w:val="nil"/>
            </w:tcBorders>
            <w:vAlign w:val="center"/>
          </w:tcPr>
          <w:p w14:paraId="796CCB2F">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674" w:type="pct"/>
            <w:tcBorders>
              <w:tl2br w:val="nil"/>
              <w:tr2bl w:val="nil"/>
            </w:tcBorders>
            <w:vAlign w:val="center"/>
          </w:tcPr>
          <w:p w14:paraId="01E186D1">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数量</w:t>
            </w:r>
          </w:p>
        </w:tc>
      </w:tr>
      <w:tr w14:paraId="09DA52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70" w:type="pct"/>
            <w:vMerge w:val="restart"/>
            <w:tcBorders>
              <w:tl2br w:val="nil"/>
              <w:tr2bl w:val="nil"/>
            </w:tcBorders>
            <w:noWrap/>
            <w:vAlign w:val="center"/>
          </w:tcPr>
          <w:p w14:paraId="2DFBB1D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原料带入水</w:t>
            </w:r>
          </w:p>
        </w:tc>
        <w:tc>
          <w:tcPr>
            <w:tcW w:w="880" w:type="pct"/>
            <w:tcBorders>
              <w:tl2br w:val="nil"/>
              <w:tr2bl w:val="nil"/>
            </w:tcBorders>
            <w:vAlign w:val="center"/>
          </w:tcPr>
          <w:p w14:paraId="76E36A33">
            <w:pPr>
              <w:widowControl/>
              <w:spacing w:line="240" w:lineRule="auto"/>
              <w:ind w:firstLine="0" w:firstLineChars="0"/>
              <w:jc w:val="center"/>
              <w:textAlignment w:val="center"/>
              <w:rPr>
                <w:color w:val="auto"/>
                <w:sz w:val="21"/>
                <w:szCs w:val="21"/>
              </w:rPr>
            </w:pPr>
          </w:p>
        </w:tc>
        <w:tc>
          <w:tcPr>
            <w:tcW w:w="1736" w:type="dxa"/>
            <w:tcBorders>
              <w:tl2br w:val="nil"/>
              <w:tr2bl w:val="nil"/>
            </w:tcBorders>
            <w:vAlign w:val="center"/>
          </w:tcPr>
          <w:p w14:paraId="418BE98A">
            <w:pPr>
              <w:widowControl/>
              <w:spacing w:line="240" w:lineRule="auto"/>
              <w:ind w:firstLine="0" w:firstLineChars="0"/>
              <w:jc w:val="center"/>
              <w:textAlignment w:val="center"/>
              <w:rPr>
                <w:color w:val="auto"/>
                <w:kern w:val="0"/>
                <w:sz w:val="21"/>
                <w:szCs w:val="21"/>
                <w:lang w:bidi="ar"/>
              </w:rPr>
            </w:pPr>
          </w:p>
        </w:tc>
        <w:tc>
          <w:tcPr>
            <w:tcW w:w="1730" w:type="pct"/>
            <w:gridSpan w:val="2"/>
            <w:tcBorders>
              <w:tl2br w:val="nil"/>
              <w:tr2bl w:val="nil"/>
            </w:tcBorders>
            <w:vAlign w:val="center"/>
          </w:tcPr>
          <w:p w14:paraId="70B887AC">
            <w:pPr>
              <w:widowControl/>
              <w:spacing w:line="240" w:lineRule="auto"/>
              <w:ind w:firstLine="0" w:firstLineChars="0"/>
              <w:jc w:val="center"/>
              <w:textAlignment w:val="center"/>
              <w:rPr>
                <w:rFonts w:cs="宋体"/>
                <w:color w:val="auto"/>
                <w:sz w:val="21"/>
                <w:szCs w:val="21"/>
              </w:rPr>
            </w:pPr>
          </w:p>
        </w:tc>
        <w:tc>
          <w:tcPr>
            <w:tcW w:w="1590" w:type="dxa"/>
            <w:tcBorders>
              <w:tl2br w:val="nil"/>
              <w:tr2bl w:val="nil"/>
            </w:tcBorders>
            <w:vAlign w:val="center"/>
          </w:tcPr>
          <w:p w14:paraId="3AFFCBB4">
            <w:pPr>
              <w:widowControl/>
              <w:spacing w:line="240" w:lineRule="auto"/>
              <w:ind w:firstLine="0" w:firstLineChars="0"/>
              <w:jc w:val="center"/>
              <w:textAlignment w:val="center"/>
              <w:rPr>
                <w:color w:val="auto"/>
                <w:kern w:val="0"/>
                <w:sz w:val="21"/>
                <w:szCs w:val="21"/>
                <w:lang w:bidi="ar"/>
              </w:rPr>
            </w:pPr>
          </w:p>
        </w:tc>
      </w:tr>
      <w:tr w14:paraId="40DBC3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770" w:type="pct"/>
            <w:vMerge w:val="continue"/>
            <w:tcBorders>
              <w:tl2br w:val="nil"/>
              <w:tr2bl w:val="nil"/>
            </w:tcBorders>
            <w:noWrap/>
            <w:vAlign w:val="center"/>
          </w:tcPr>
          <w:p w14:paraId="677E807B">
            <w:pPr>
              <w:widowControl/>
              <w:spacing w:line="240" w:lineRule="auto"/>
              <w:ind w:firstLine="0" w:firstLineChars="0"/>
              <w:jc w:val="center"/>
              <w:rPr>
                <w:rFonts w:cs="宋体"/>
                <w:color w:val="auto"/>
                <w:sz w:val="21"/>
                <w:szCs w:val="21"/>
              </w:rPr>
            </w:pPr>
          </w:p>
        </w:tc>
        <w:tc>
          <w:tcPr>
            <w:tcW w:w="880" w:type="pct"/>
            <w:tcBorders>
              <w:tl2br w:val="nil"/>
              <w:tr2bl w:val="nil"/>
            </w:tcBorders>
            <w:vAlign w:val="center"/>
          </w:tcPr>
          <w:p w14:paraId="718900A8">
            <w:pPr>
              <w:widowControl/>
              <w:spacing w:line="240" w:lineRule="auto"/>
              <w:ind w:firstLine="0" w:firstLineChars="0"/>
              <w:jc w:val="center"/>
              <w:textAlignment w:val="center"/>
              <w:rPr>
                <w:color w:val="auto"/>
                <w:sz w:val="21"/>
                <w:szCs w:val="21"/>
              </w:rPr>
            </w:pPr>
          </w:p>
        </w:tc>
        <w:tc>
          <w:tcPr>
            <w:tcW w:w="1736" w:type="dxa"/>
            <w:tcBorders>
              <w:tl2br w:val="nil"/>
              <w:tr2bl w:val="nil"/>
            </w:tcBorders>
            <w:vAlign w:val="center"/>
          </w:tcPr>
          <w:p w14:paraId="071DF492">
            <w:pPr>
              <w:widowControl/>
              <w:spacing w:line="240" w:lineRule="auto"/>
              <w:ind w:firstLine="0" w:firstLineChars="0"/>
              <w:jc w:val="center"/>
              <w:textAlignment w:val="center"/>
              <w:rPr>
                <w:color w:val="auto"/>
                <w:kern w:val="0"/>
                <w:sz w:val="21"/>
                <w:szCs w:val="21"/>
                <w:lang w:bidi="ar"/>
              </w:rPr>
            </w:pPr>
          </w:p>
        </w:tc>
        <w:tc>
          <w:tcPr>
            <w:tcW w:w="683" w:type="pct"/>
            <w:vMerge w:val="restart"/>
            <w:tcBorders>
              <w:tl2br w:val="nil"/>
              <w:tr2bl w:val="nil"/>
            </w:tcBorders>
            <w:vAlign w:val="center"/>
          </w:tcPr>
          <w:p w14:paraId="509B1721">
            <w:pPr>
              <w:widowControl/>
              <w:spacing w:line="240" w:lineRule="auto"/>
              <w:ind w:firstLine="0" w:firstLineChars="0"/>
              <w:jc w:val="center"/>
              <w:textAlignment w:val="center"/>
              <w:rPr>
                <w:rFonts w:cs="宋体"/>
                <w:color w:val="auto"/>
                <w:sz w:val="21"/>
                <w:szCs w:val="21"/>
              </w:rPr>
            </w:pPr>
          </w:p>
        </w:tc>
        <w:tc>
          <w:tcPr>
            <w:tcW w:w="1047" w:type="pct"/>
            <w:tcBorders>
              <w:tl2br w:val="nil"/>
              <w:tr2bl w:val="nil"/>
            </w:tcBorders>
            <w:vAlign w:val="center"/>
          </w:tcPr>
          <w:p w14:paraId="14521D2C">
            <w:pPr>
              <w:widowControl/>
              <w:spacing w:line="240" w:lineRule="auto"/>
              <w:ind w:firstLine="0" w:firstLineChars="0"/>
              <w:jc w:val="center"/>
              <w:textAlignment w:val="center"/>
              <w:rPr>
                <w:rFonts w:cs="宋体"/>
                <w:color w:val="auto"/>
                <w:sz w:val="21"/>
                <w:szCs w:val="21"/>
              </w:rPr>
            </w:pPr>
          </w:p>
        </w:tc>
        <w:tc>
          <w:tcPr>
            <w:tcW w:w="1590" w:type="dxa"/>
            <w:tcBorders>
              <w:tl2br w:val="nil"/>
              <w:tr2bl w:val="nil"/>
            </w:tcBorders>
            <w:vAlign w:val="center"/>
          </w:tcPr>
          <w:p w14:paraId="36F16DEF">
            <w:pPr>
              <w:widowControl/>
              <w:spacing w:line="240" w:lineRule="auto"/>
              <w:ind w:firstLine="0" w:firstLineChars="0"/>
              <w:jc w:val="center"/>
              <w:textAlignment w:val="center"/>
              <w:rPr>
                <w:color w:val="auto"/>
                <w:kern w:val="0"/>
                <w:sz w:val="21"/>
                <w:szCs w:val="21"/>
                <w:lang w:bidi="ar"/>
              </w:rPr>
            </w:pPr>
          </w:p>
        </w:tc>
      </w:tr>
      <w:tr w14:paraId="2338A7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770" w:type="pct"/>
            <w:vMerge w:val="continue"/>
            <w:tcBorders>
              <w:tl2br w:val="nil"/>
              <w:tr2bl w:val="nil"/>
            </w:tcBorders>
            <w:noWrap/>
            <w:vAlign w:val="center"/>
          </w:tcPr>
          <w:p w14:paraId="2B1DE77A">
            <w:pPr>
              <w:widowControl/>
              <w:spacing w:line="240" w:lineRule="auto"/>
              <w:ind w:firstLine="0" w:firstLineChars="0"/>
              <w:jc w:val="center"/>
              <w:rPr>
                <w:rFonts w:cs="宋体"/>
                <w:color w:val="auto"/>
                <w:sz w:val="21"/>
                <w:szCs w:val="21"/>
              </w:rPr>
            </w:pPr>
          </w:p>
        </w:tc>
        <w:tc>
          <w:tcPr>
            <w:tcW w:w="880" w:type="pct"/>
            <w:tcBorders>
              <w:tl2br w:val="nil"/>
              <w:tr2bl w:val="nil"/>
            </w:tcBorders>
            <w:vAlign w:val="center"/>
          </w:tcPr>
          <w:p w14:paraId="5B9D66BA">
            <w:pPr>
              <w:widowControl/>
              <w:spacing w:line="240" w:lineRule="auto"/>
              <w:ind w:firstLine="0" w:firstLineChars="0"/>
              <w:jc w:val="center"/>
              <w:textAlignment w:val="center"/>
              <w:rPr>
                <w:color w:val="auto"/>
                <w:sz w:val="21"/>
                <w:szCs w:val="21"/>
              </w:rPr>
            </w:pPr>
          </w:p>
        </w:tc>
        <w:tc>
          <w:tcPr>
            <w:tcW w:w="1736" w:type="dxa"/>
            <w:tcBorders>
              <w:tl2br w:val="nil"/>
              <w:tr2bl w:val="nil"/>
            </w:tcBorders>
            <w:vAlign w:val="center"/>
          </w:tcPr>
          <w:p w14:paraId="4D3B2B3F">
            <w:pPr>
              <w:widowControl/>
              <w:spacing w:line="240" w:lineRule="auto"/>
              <w:ind w:firstLine="0" w:firstLineChars="0"/>
              <w:jc w:val="center"/>
              <w:textAlignment w:val="center"/>
              <w:rPr>
                <w:color w:val="auto"/>
                <w:kern w:val="0"/>
                <w:sz w:val="21"/>
                <w:szCs w:val="21"/>
                <w:lang w:bidi="ar"/>
              </w:rPr>
            </w:pPr>
          </w:p>
        </w:tc>
        <w:tc>
          <w:tcPr>
            <w:tcW w:w="683" w:type="pct"/>
            <w:vMerge w:val="continue"/>
            <w:tcBorders>
              <w:tl2br w:val="nil"/>
              <w:tr2bl w:val="nil"/>
            </w:tcBorders>
            <w:vAlign w:val="center"/>
          </w:tcPr>
          <w:p w14:paraId="7B652A5F">
            <w:pPr>
              <w:widowControl/>
              <w:spacing w:line="240" w:lineRule="auto"/>
              <w:ind w:firstLine="0" w:firstLineChars="0"/>
              <w:jc w:val="center"/>
              <w:rPr>
                <w:rFonts w:cs="宋体"/>
                <w:color w:val="auto"/>
                <w:sz w:val="21"/>
                <w:szCs w:val="21"/>
              </w:rPr>
            </w:pPr>
          </w:p>
        </w:tc>
        <w:tc>
          <w:tcPr>
            <w:tcW w:w="1047" w:type="pct"/>
            <w:tcBorders>
              <w:tl2br w:val="nil"/>
              <w:tr2bl w:val="nil"/>
            </w:tcBorders>
            <w:vAlign w:val="center"/>
          </w:tcPr>
          <w:p w14:paraId="34DBDFB7">
            <w:pPr>
              <w:widowControl/>
              <w:spacing w:line="240" w:lineRule="auto"/>
              <w:ind w:firstLine="0" w:firstLineChars="0"/>
              <w:jc w:val="center"/>
              <w:textAlignment w:val="center"/>
              <w:rPr>
                <w:rFonts w:cs="宋体"/>
                <w:color w:val="auto"/>
                <w:sz w:val="21"/>
                <w:szCs w:val="21"/>
              </w:rPr>
            </w:pPr>
          </w:p>
        </w:tc>
        <w:tc>
          <w:tcPr>
            <w:tcW w:w="1590" w:type="dxa"/>
            <w:tcBorders>
              <w:tl2br w:val="nil"/>
              <w:tr2bl w:val="nil"/>
            </w:tcBorders>
            <w:noWrap/>
            <w:vAlign w:val="center"/>
          </w:tcPr>
          <w:p w14:paraId="5305FDBC">
            <w:pPr>
              <w:widowControl/>
              <w:spacing w:line="240" w:lineRule="auto"/>
              <w:ind w:firstLine="0" w:firstLineChars="0"/>
              <w:jc w:val="center"/>
              <w:textAlignment w:val="center"/>
              <w:rPr>
                <w:color w:val="auto"/>
                <w:kern w:val="0"/>
                <w:sz w:val="21"/>
                <w:szCs w:val="21"/>
                <w:lang w:bidi="ar"/>
              </w:rPr>
            </w:pPr>
          </w:p>
        </w:tc>
      </w:tr>
      <w:tr w14:paraId="54F755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770" w:type="pct"/>
            <w:tcBorders>
              <w:tl2br w:val="nil"/>
              <w:tr2bl w:val="nil"/>
            </w:tcBorders>
            <w:noWrap/>
            <w:vAlign w:val="center"/>
          </w:tcPr>
          <w:p w14:paraId="1A21F494">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反应生成水</w:t>
            </w:r>
          </w:p>
        </w:tc>
        <w:tc>
          <w:tcPr>
            <w:tcW w:w="880" w:type="pct"/>
            <w:tcBorders>
              <w:tl2br w:val="nil"/>
              <w:tr2bl w:val="nil"/>
            </w:tcBorders>
            <w:noWrap/>
            <w:vAlign w:val="center"/>
          </w:tcPr>
          <w:p w14:paraId="2591D221">
            <w:pPr>
              <w:widowControl/>
              <w:spacing w:line="240" w:lineRule="auto"/>
              <w:ind w:firstLine="0" w:firstLineChars="0"/>
              <w:jc w:val="center"/>
              <w:textAlignment w:val="center"/>
              <w:rPr>
                <w:color w:val="auto"/>
                <w:sz w:val="21"/>
                <w:szCs w:val="21"/>
              </w:rPr>
            </w:pPr>
          </w:p>
        </w:tc>
        <w:tc>
          <w:tcPr>
            <w:tcW w:w="1736" w:type="dxa"/>
            <w:tcBorders>
              <w:tl2br w:val="nil"/>
              <w:tr2bl w:val="nil"/>
            </w:tcBorders>
            <w:noWrap/>
            <w:vAlign w:val="center"/>
          </w:tcPr>
          <w:p w14:paraId="612F1525">
            <w:pPr>
              <w:widowControl/>
              <w:spacing w:line="240" w:lineRule="auto"/>
              <w:ind w:firstLine="0" w:firstLineChars="0"/>
              <w:jc w:val="center"/>
              <w:textAlignment w:val="center"/>
              <w:rPr>
                <w:color w:val="auto"/>
                <w:kern w:val="0"/>
                <w:sz w:val="21"/>
                <w:szCs w:val="21"/>
                <w:lang w:bidi="ar"/>
              </w:rPr>
            </w:pPr>
          </w:p>
        </w:tc>
        <w:tc>
          <w:tcPr>
            <w:tcW w:w="683" w:type="pct"/>
            <w:vMerge w:val="continue"/>
            <w:tcBorders>
              <w:tl2br w:val="nil"/>
              <w:tr2bl w:val="nil"/>
            </w:tcBorders>
            <w:vAlign w:val="center"/>
          </w:tcPr>
          <w:p w14:paraId="5A67AE18">
            <w:pPr>
              <w:widowControl/>
              <w:spacing w:line="240" w:lineRule="auto"/>
              <w:ind w:firstLine="0" w:firstLineChars="0"/>
              <w:jc w:val="center"/>
              <w:rPr>
                <w:rFonts w:cs="宋体"/>
                <w:color w:val="auto"/>
                <w:sz w:val="21"/>
                <w:szCs w:val="21"/>
              </w:rPr>
            </w:pPr>
          </w:p>
        </w:tc>
        <w:tc>
          <w:tcPr>
            <w:tcW w:w="1047" w:type="pct"/>
            <w:tcBorders>
              <w:tl2br w:val="nil"/>
              <w:tr2bl w:val="nil"/>
            </w:tcBorders>
            <w:vAlign w:val="center"/>
          </w:tcPr>
          <w:p w14:paraId="7D409B80">
            <w:pPr>
              <w:widowControl/>
              <w:spacing w:line="240" w:lineRule="auto"/>
              <w:ind w:firstLine="0" w:firstLineChars="0"/>
              <w:jc w:val="center"/>
              <w:textAlignment w:val="center"/>
              <w:rPr>
                <w:rFonts w:cs="宋体"/>
                <w:color w:val="auto"/>
                <w:sz w:val="21"/>
                <w:szCs w:val="21"/>
              </w:rPr>
            </w:pPr>
          </w:p>
        </w:tc>
        <w:tc>
          <w:tcPr>
            <w:tcW w:w="1590" w:type="dxa"/>
            <w:tcBorders>
              <w:tl2br w:val="nil"/>
              <w:tr2bl w:val="nil"/>
            </w:tcBorders>
            <w:noWrap/>
            <w:vAlign w:val="center"/>
          </w:tcPr>
          <w:p w14:paraId="005C6F25">
            <w:pPr>
              <w:widowControl/>
              <w:spacing w:line="240" w:lineRule="auto"/>
              <w:ind w:firstLine="0" w:firstLineChars="0"/>
              <w:jc w:val="center"/>
              <w:textAlignment w:val="center"/>
              <w:rPr>
                <w:color w:val="auto"/>
                <w:kern w:val="0"/>
                <w:sz w:val="21"/>
                <w:szCs w:val="21"/>
                <w:lang w:bidi="ar"/>
              </w:rPr>
            </w:pPr>
          </w:p>
        </w:tc>
      </w:tr>
      <w:tr w14:paraId="002EE5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35" w:hRule="atLeast"/>
          <w:jc w:val="center"/>
        </w:trPr>
        <w:tc>
          <w:tcPr>
            <w:tcW w:w="770" w:type="pct"/>
            <w:tcBorders>
              <w:tl2br w:val="nil"/>
              <w:tr2bl w:val="nil"/>
            </w:tcBorders>
            <w:noWrap/>
            <w:vAlign w:val="center"/>
          </w:tcPr>
          <w:p w14:paraId="0116EC57">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反应生成水</w:t>
            </w:r>
          </w:p>
        </w:tc>
        <w:tc>
          <w:tcPr>
            <w:tcW w:w="880" w:type="pct"/>
            <w:tcBorders>
              <w:tl2br w:val="nil"/>
              <w:tr2bl w:val="nil"/>
            </w:tcBorders>
            <w:noWrap/>
            <w:vAlign w:val="center"/>
          </w:tcPr>
          <w:p w14:paraId="0A5E0E6F">
            <w:pPr>
              <w:widowControl/>
              <w:spacing w:line="240" w:lineRule="auto"/>
              <w:ind w:firstLine="0" w:firstLineChars="0"/>
              <w:jc w:val="center"/>
              <w:textAlignment w:val="center"/>
              <w:rPr>
                <w:color w:val="auto"/>
                <w:sz w:val="21"/>
                <w:szCs w:val="21"/>
              </w:rPr>
            </w:pPr>
          </w:p>
        </w:tc>
        <w:tc>
          <w:tcPr>
            <w:tcW w:w="1736" w:type="dxa"/>
            <w:tcBorders>
              <w:tl2br w:val="nil"/>
              <w:tr2bl w:val="nil"/>
            </w:tcBorders>
            <w:noWrap/>
            <w:vAlign w:val="center"/>
          </w:tcPr>
          <w:p w14:paraId="657C3CAE">
            <w:pPr>
              <w:widowControl/>
              <w:spacing w:line="240" w:lineRule="auto"/>
              <w:ind w:firstLine="0" w:firstLineChars="0"/>
              <w:jc w:val="center"/>
              <w:textAlignment w:val="center"/>
              <w:rPr>
                <w:color w:val="auto"/>
                <w:kern w:val="0"/>
                <w:sz w:val="21"/>
                <w:szCs w:val="21"/>
                <w:lang w:bidi="ar"/>
              </w:rPr>
            </w:pPr>
          </w:p>
        </w:tc>
        <w:tc>
          <w:tcPr>
            <w:tcW w:w="683" w:type="pct"/>
            <w:vMerge w:val="continue"/>
            <w:tcBorders>
              <w:tl2br w:val="nil"/>
              <w:tr2bl w:val="nil"/>
            </w:tcBorders>
            <w:vAlign w:val="center"/>
          </w:tcPr>
          <w:p w14:paraId="26365990">
            <w:pPr>
              <w:widowControl/>
              <w:spacing w:line="240" w:lineRule="auto"/>
              <w:ind w:firstLine="0" w:firstLineChars="0"/>
              <w:jc w:val="center"/>
              <w:rPr>
                <w:rFonts w:cs="宋体"/>
                <w:color w:val="auto"/>
                <w:sz w:val="21"/>
                <w:szCs w:val="21"/>
              </w:rPr>
            </w:pPr>
          </w:p>
        </w:tc>
        <w:tc>
          <w:tcPr>
            <w:tcW w:w="1047" w:type="pct"/>
            <w:tcBorders>
              <w:tl2br w:val="nil"/>
              <w:tr2bl w:val="nil"/>
            </w:tcBorders>
            <w:vAlign w:val="center"/>
          </w:tcPr>
          <w:p w14:paraId="16D4B93D">
            <w:pPr>
              <w:widowControl/>
              <w:spacing w:line="240" w:lineRule="auto"/>
              <w:ind w:firstLine="0" w:firstLineChars="0"/>
              <w:jc w:val="center"/>
              <w:textAlignment w:val="center"/>
              <w:rPr>
                <w:rFonts w:cs="宋体"/>
                <w:color w:val="auto"/>
                <w:sz w:val="21"/>
                <w:szCs w:val="21"/>
              </w:rPr>
            </w:pPr>
          </w:p>
        </w:tc>
        <w:tc>
          <w:tcPr>
            <w:tcW w:w="1590" w:type="dxa"/>
            <w:tcBorders>
              <w:tl2br w:val="nil"/>
              <w:tr2bl w:val="nil"/>
            </w:tcBorders>
            <w:noWrap/>
            <w:vAlign w:val="center"/>
          </w:tcPr>
          <w:p w14:paraId="6E79F077">
            <w:pPr>
              <w:widowControl/>
              <w:spacing w:line="240" w:lineRule="auto"/>
              <w:ind w:firstLine="0" w:firstLineChars="0"/>
              <w:jc w:val="center"/>
              <w:textAlignment w:val="center"/>
              <w:rPr>
                <w:color w:val="auto"/>
                <w:kern w:val="0"/>
                <w:sz w:val="21"/>
                <w:szCs w:val="21"/>
                <w:lang w:bidi="ar"/>
              </w:rPr>
            </w:pPr>
          </w:p>
        </w:tc>
      </w:tr>
      <w:tr w14:paraId="688870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651" w:type="pct"/>
            <w:gridSpan w:val="2"/>
            <w:tcBorders>
              <w:tl2br w:val="nil"/>
              <w:tr2bl w:val="nil"/>
            </w:tcBorders>
            <w:noWrap/>
            <w:vAlign w:val="center"/>
          </w:tcPr>
          <w:p w14:paraId="527FC0FC">
            <w:pPr>
              <w:widowControl/>
              <w:spacing w:line="240" w:lineRule="auto"/>
              <w:ind w:firstLine="0" w:firstLineChars="0"/>
              <w:jc w:val="center"/>
              <w:textAlignment w:val="center"/>
              <w:rPr>
                <w:rFonts w:cs="宋体"/>
                <w:color w:val="auto"/>
                <w:sz w:val="21"/>
                <w:szCs w:val="21"/>
              </w:rPr>
            </w:pPr>
          </w:p>
        </w:tc>
        <w:tc>
          <w:tcPr>
            <w:tcW w:w="1736" w:type="dxa"/>
            <w:tcBorders>
              <w:tl2br w:val="nil"/>
              <w:tr2bl w:val="nil"/>
            </w:tcBorders>
            <w:noWrap/>
            <w:vAlign w:val="center"/>
          </w:tcPr>
          <w:p w14:paraId="57892489">
            <w:pPr>
              <w:widowControl/>
              <w:spacing w:line="240" w:lineRule="auto"/>
              <w:ind w:firstLine="0" w:firstLineChars="0"/>
              <w:jc w:val="center"/>
              <w:textAlignment w:val="center"/>
              <w:rPr>
                <w:color w:val="auto"/>
                <w:kern w:val="0"/>
                <w:sz w:val="21"/>
                <w:szCs w:val="21"/>
                <w:lang w:bidi="ar"/>
              </w:rPr>
            </w:pPr>
          </w:p>
        </w:tc>
        <w:tc>
          <w:tcPr>
            <w:tcW w:w="683" w:type="pct"/>
            <w:tcBorders>
              <w:tl2br w:val="nil"/>
              <w:tr2bl w:val="nil"/>
            </w:tcBorders>
            <w:vAlign w:val="center"/>
          </w:tcPr>
          <w:p w14:paraId="5881F436">
            <w:pPr>
              <w:widowControl/>
              <w:spacing w:line="240" w:lineRule="auto"/>
              <w:ind w:firstLine="0" w:firstLineChars="0"/>
              <w:jc w:val="center"/>
              <w:rPr>
                <w:rFonts w:cs="宋体"/>
                <w:color w:val="auto"/>
                <w:sz w:val="21"/>
                <w:szCs w:val="21"/>
              </w:rPr>
            </w:pPr>
          </w:p>
        </w:tc>
        <w:tc>
          <w:tcPr>
            <w:tcW w:w="1047" w:type="pct"/>
            <w:tcBorders>
              <w:tl2br w:val="nil"/>
              <w:tr2bl w:val="nil"/>
            </w:tcBorders>
            <w:vAlign w:val="center"/>
          </w:tcPr>
          <w:p w14:paraId="42796F08">
            <w:pPr>
              <w:widowControl/>
              <w:spacing w:line="240" w:lineRule="auto"/>
              <w:ind w:firstLine="0" w:firstLineChars="0"/>
              <w:jc w:val="center"/>
              <w:rPr>
                <w:rFonts w:cs="宋体"/>
                <w:color w:val="auto"/>
                <w:sz w:val="21"/>
                <w:szCs w:val="21"/>
              </w:rPr>
            </w:pPr>
          </w:p>
        </w:tc>
        <w:tc>
          <w:tcPr>
            <w:tcW w:w="1590" w:type="dxa"/>
            <w:tcBorders>
              <w:tl2br w:val="nil"/>
              <w:tr2bl w:val="nil"/>
            </w:tcBorders>
            <w:noWrap/>
            <w:vAlign w:val="center"/>
          </w:tcPr>
          <w:p w14:paraId="7E5341F5">
            <w:pPr>
              <w:widowControl/>
              <w:spacing w:line="240" w:lineRule="auto"/>
              <w:ind w:firstLine="0" w:firstLineChars="0"/>
              <w:jc w:val="center"/>
              <w:textAlignment w:val="center"/>
              <w:rPr>
                <w:color w:val="auto"/>
                <w:kern w:val="0"/>
                <w:sz w:val="21"/>
                <w:szCs w:val="21"/>
                <w:lang w:bidi="ar"/>
              </w:rPr>
            </w:pPr>
          </w:p>
        </w:tc>
      </w:tr>
      <w:tr w14:paraId="09FE1B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651" w:type="pct"/>
            <w:gridSpan w:val="2"/>
            <w:tcBorders>
              <w:tl2br w:val="nil"/>
              <w:tr2bl w:val="nil"/>
            </w:tcBorders>
            <w:noWrap/>
            <w:vAlign w:val="center"/>
          </w:tcPr>
          <w:p w14:paraId="521B1952">
            <w:pPr>
              <w:widowControl/>
              <w:spacing w:line="240" w:lineRule="auto"/>
              <w:ind w:firstLine="0" w:firstLineChars="0"/>
              <w:jc w:val="center"/>
              <w:textAlignment w:val="center"/>
              <w:rPr>
                <w:rFonts w:cs="宋体"/>
                <w:color w:val="auto"/>
                <w:sz w:val="21"/>
                <w:szCs w:val="21"/>
              </w:rPr>
            </w:pPr>
          </w:p>
        </w:tc>
        <w:tc>
          <w:tcPr>
            <w:tcW w:w="1736" w:type="dxa"/>
            <w:tcBorders>
              <w:tl2br w:val="nil"/>
              <w:tr2bl w:val="nil"/>
            </w:tcBorders>
            <w:noWrap/>
            <w:vAlign w:val="center"/>
          </w:tcPr>
          <w:p w14:paraId="7F1F2E98">
            <w:pPr>
              <w:widowControl/>
              <w:spacing w:line="240" w:lineRule="auto"/>
              <w:ind w:firstLine="0" w:firstLineChars="0"/>
              <w:jc w:val="center"/>
              <w:textAlignment w:val="center"/>
              <w:rPr>
                <w:color w:val="auto"/>
                <w:kern w:val="0"/>
                <w:sz w:val="21"/>
                <w:szCs w:val="21"/>
                <w:lang w:bidi="ar"/>
              </w:rPr>
            </w:pPr>
          </w:p>
        </w:tc>
        <w:tc>
          <w:tcPr>
            <w:tcW w:w="1730" w:type="pct"/>
            <w:gridSpan w:val="2"/>
            <w:tcBorders>
              <w:tl2br w:val="nil"/>
              <w:tr2bl w:val="nil"/>
            </w:tcBorders>
            <w:noWrap/>
            <w:vAlign w:val="center"/>
          </w:tcPr>
          <w:p w14:paraId="60F88350">
            <w:pPr>
              <w:widowControl/>
              <w:spacing w:line="240" w:lineRule="auto"/>
              <w:ind w:firstLine="0" w:firstLineChars="0"/>
              <w:jc w:val="center"/>
              <w:textAlignment w:val="center"/>
              <w:rPr>
                <w:rFonts w:cs="宋体"/>
                <w:color w:val="auto"/>
                <w:sz w:val="21"/>
                <w:szCs w:val="21"/>
              </w:rPr>
            </w:pPr>
          </w:p>
        </w:tc>
        <w:tc>
          <w:tcPr>
            <w:tcW w:w="1590" w:type="dxa"/>
            <w:tcBorders>
              <w:tl2br w:val="nil"/>
              <w:tr2bl w:val="nil"/>
            </w:tcBorders>
            <w:noWrap/>
            <w:vAlign w:val="center"/>
          </w:tcPr>
          <w:p w14:paraId="36229705">
            <w:pPr>
              <w:widowControl/>
              <w:spacing w:line="240" w:lineRule="auto"/>
              <w:ind w:firstLine="0" w:firstLineChars="0"/>
              <w:jc w:val="center"/>
              <w:textAlignment w:val="center"/>
              <w:rPr>
                <w:color w:val="auto"/>
                <w:kern w:val="0"/>
                <w:sz w:val="21"/>
                <w:szCs w:val="21"/>
                <w:lang w:bidi="ar"/>
              </w:rPr>
            </w:pPr>
          </w:p>
        </w:tc>
      </w:tr>
    </w:tbl>
    <w:p w14:paraId="21F11BD7">
      <w:pPr>
        <w:ind w:firstLine="480"/>
        <w:rPr>
          <w:color w:val="auto"/>
        </w:rPr>
      </w:pPr>
    </w:p>
    <w:p w14:paraId="18059F42">
      <w:pPr>
        <w:ind w:firstLine="480"/>
        <w:rPr>
          <w:color w:val="auto"/>
        </w:rPr>
      </w:pPr>
    </w:p>
    <w:p w14:paraId="5A8C4B19">
      <w:pPr>
        <w:pStyle w:val="6"/>
        <w:spacing w:before="156"/>
        <w:ind w:firstLine="482"/>
        <w:rPr>
          <w:color w:val="auto"/>
        </w:rPr>
      </w:pPr>
      <w:r>
        <w:rPr>
          <w:rFonts w:hint="eastAsia"/>
          <w:color w:val="auto"/>
        </w:rPr>
        <w:t>2.1</w:t>
      </w:r>
      <w:r>
        <w:rPr>
          <w:rFonts w:hint="eastAsia"/>
          <w:bCs/>
          <w:color w:val="auto"/>
        </w:rPr>
        <w:t>硫代硫酸铵</w:t>
      </w:r>
      <w:r>
        <w:rPr>
          <w:rFonts w:hint="eastAsia"/>
          <w:color w:val="auto"/>
        </w:rPr>
        <w:t>生产工艺水平衡</w:t>
      </w:r>
    </w:p>
    <w:p w14:paraId="0A429CEF">
      <w:pPr>
        <w:spacing w:line="240" w:lineRule="auto"/>
        <w:ind w:firstLine="482"/>
        <w:jc w:val="center"/>
        <w:rPr>
          <w:color w:val="auto"/>
        </w:rPr>
      </w:pPr>
      <w:r>
        <w:rPr>
          <w:rFonts w:hint="eastAsia"/>
          <w:b/>
          <w:bCs/>
          <w:color w:val="auto"/>
        </w:rPr>
        <w:t>表4.4-25  硫代硫酸铵生产工艺水平衡表（t/a）</w:t>
      </w:r>
    </w:p>
    <w:tbl>
      <w:tblPr>
        <w:tblStyle w:val="24"/>
        <w:tblW w:w="4998" w:type="pct"/>
        <w:tblInd w:w="0" w:type="dxa"/>
        <w:tblLayout w:type="autofit"/>
        <w:tblCellMar>
          <w:top w:w="0" w:type="dxa"/>
          <w:left w:w="108" w:type="dxa"/>
          <w:bottom w:w="0" w:type="dxa"/>
          <w:right w:w="108" w:type="dxa"/>
        </w:tblCellMar>
      </w:tblPr>
      <w:tblGrid>
        <w:gridCol w:w="1746"/>
        <w:gridCol w:w="1746"/>
        <w:gridCol w:w="1799"/>
        <w:gridCol w:w="1115"/>
        <w:gridCol w:w="1127"/>
        <w:gridCol w:w="2317"/>
      </w:tblGrid>
      <w:tr w14:paraId="09C20458">
        <w:tblPrEx>
          <w:tblCellMar>
            <w:top w:w="0" w:type="dxa"/>
            <w:left w:w="108" w:type="dxa"/>
            <w:bottom w:w="0" w:type="dxa"/>
            <w:right w:w="108" w:type="dxa"/>
          </w:tblCellMar>
        </w:tblPrEx>
        <w:trPr>
          <w:trHeight w:val="300" w:hRule="atLeast"/>
        </w:trPr>
        <w:tc>
          <w:tcPr>
            <w:tcW w:w="2685" w:type="pct"/>
            <w:gridSpan w:val="3"/>
            <w:tcBorders>
              <w:top w:val="single" w:color="000000" w:sz="12" w:space="0"/>
              <w:left w:val="nil"/>
              <w:bottom w:val="single" w:color="000000" w:sz="8" w:space="0"/>
              <w:right w:val="single" w:color="000000" w:sz="8" w:space="0"/>
            </w:tcBorders>
            <w:vAlign w:val="center"/>
          </w:tcPr>
          <w:p w14:paraId="7D6E9256">
            <w:pPr>
              <w:widowControl/>
              <w:spacing w:line="240" w:lineRule="auto"/>
              <w:ind w:firstLine="422"/>
              <w:jc w:val="center"/>
              <w:textAlignment w:val="center"/>
              <w:rPr>
                <w:rFonts w:hint="eastAsia" w:ascii="宋体" w:hAnsi="宋体" w:cs="宋体"/>
                <w:b/>
                <w:bCs/>
                <w:color w:val="auto"/>
                <w:sz w:val="21"/>
                <w:szCs w:val="21"/>
              </w:rPr>
            </w:pPr>
            <w:r>
              <w:rPr>
                <w:rFonts w:hint="eastAsia" w:ascii="宋体" w:hAnsi="宋体" w:cs="宋体"/>
                <w:b/>
                <w:bCs/>
                <w:color w:val="auto"/>
                <w:kern w:val="0"/>
                <w:sz w:val="21"/>
                <w:szCs w:val="21"/>
                <w:lang w:bidi="ar"/>
              </w:rPr>
              <w:t>投入</w:t>
            </w:r>
          </w:p>
        </w:tc>
        <w:tc>
          <w:tcPr>
            <w:tcW w:w="2314" w:type="pct"/>
            <w:gridSpan w:val="3"/>
            <w:tcBorders>
              <w:top w:val="single" w:color="000000" w:sz="12" w:space="0"/>
              <w:left w:val="single" w:color="000000" w:sz="8" w:space="0"/>
              <w:bottom w:val="single" w:color="000000" w:sz="8" w:space="0"/>
              <w:right w:val="nil"/>
            </w:tcBorders>
            <w:vAlign w:val="center"/>
          </w:tcPr>
          <w:p w14:paraId="328BA482">
            <w:pPr>
              <w:widowControl/>
              <w:spacing w:line="240" w:lineRule="auto"/>
              <w:ind w:firstLine="422"/>
              <w:jc w:val="center"/>
              <w:textAlignment w:val="center"/>
              <w:rPr>
                <w:rFonts w:hint="eastAsia" w:ascii="宋体" w:hAnsi="宋体" w:cs="宋体"/>
                <w:b/>
                <w:bCs/>
                <w:color w:val="auto"/>
                <w:sz w:val="21"/>
                <w:szCs w:val="21"/>
              </w:rPr>
            </w:pPr>
            <w:r>
              <w:rPr>
                <w:rFonts w:hint="eastAsia" w:ascii="宋体" w:hAnsi="宋体" w:cs="宋体"/>
                <w:b/>
                <w:bCs/>
                <w:color w:val="auto"/>
                <w:kern w:val="0"/>
                <w:sz w:val="21"/>
                <w:szCs w:val="21"/>
                <w:lang w:bidi="ar"/>
              </w:rPr>
              <w:t>产出</w:t>
            </w:r>
          </w:p>
        </w:tc>
      </w:tr>
      <w:tr w14:paraId="0286DC01">
        <w:tblPrEx>
          <w:tblCellMar>
            <w:top w:w="0" w:type="dxa"/>
            <w:left w:w="108" w:type="dxa"/>
            <w:bottom w:w="0" w:type="dxa"/>
            <w:right w:w="108" w:type="dxa"/>
          </w:tblCellMar>
        </w:tblPrEx>
        <w:trPr>
          <w:trHeight w:val="285" w:hRule="atLeast"/>
        </w:trPr>
        <w:tc>
          <w:tcPr>
            <w:tcW w:w="1772" w:type="pct"/>
            <w:gridSpan w:val="2"/>
            <w:tcBorders>
              <w:top w:val="single" w:color="000000" w:sz="8" w:space="0"/>
              <w:left w:val="nil"/>
              <w:bottom w:val="single" w:color="000000" w:sz="8" w:space="0"/>
              <w:right w:val="single" w:color="000000" w:sz="8" w:space="0"/>
            </w:tcBorders>
            <w:vAlign w:val="center"/>
          </w:tcPr>
          <w:p w14:paraId="110EC931">
            <w:pPr>
              <w:widowControl/>
              <w:spacing w:line="240" w:lineRule="auto"/>
              <w:ind w:firstLine="422"/>
              <w:jc w:val="center"/>
              <w:textAlignment w:val="center"/>
              <w:rPr>
                <w:rFonts w:hint="eastAsia" w:ascii="宋体" w:hAnsi="宋体" w:cs="宋体"/>
                <w:b/>
                <w:bCs/>
                <w:color w:val="auto"/>
                <w:sz w:val="21"/>
                <w:szCs w:val="21"/>
              </w:rPr>
            </w:pPr>
            <w:r>
              <w:rPr>
                <w:rFonts w:hint="eastAsia" w:ascii="宋体" w:hAnsi="宋体" w:cs="宋体"/>
                <w:b/>
                <w:bCs/>
                <w:color w:val="auto"/>
                <w:kern w:val="0"/>
                <w:sz w:val="21"/>
                <w:szCs w:val="21"/>
                <w:lang w:bidi="ar"/>
              </w:rPr>
              <w:t>物料名称</w:t>
            </w:r>
          </w:p>
        </w:tc>
        <w:tc>
          <w:tcPr>
            <w:tcW w:w="913" w:type="pct"/>
            <w:tcBorders>
              <w:top w:val="single" w:color="000000" w:sz="8" w:space="0"/>
              <w:left w:val="single" w:color="000000" w:sz="8" w:space="0"/>
              <w:bottom w:val="single" w:color="000000" w:sz="8" w:space="0"/>
              <w:right w:val="single" w:color="000000" w:sz="8" w:space="0"/>
            </w:tcBorders>
            <w:vAlign w:val="center"/>
          </w:tcPr>
          <w:p w14:paraId="1715E62D">
            <w:pPr>
              <w:widowControl/>
              <w:spacing w:line="240" w:lineRule="auto"/>
              <w:ind w:firstLine="422"/>
              <w:jc w:val="center"/>
              <w:textAlignment w:val="center"/>
              <w:rPr>
                <w:rFonts w:hint="eastAsia" w:ascii="宋体" w:hAnsi="宋体" w:cs="宋体"/>
                <w:b/>
                <w:bCs/>
                <w:color w:val="auto"/>
                <w:sz w:val="21"/>
                <w:szCs w:val="21"/>
              </w:rPr>
            </w:pPr>
            <w:r>
              <w:rPr>
                <w:rFonts w:hint="eastAsia" w:ascii="宋体" w:hAnsi="宋体" w:cs="宋体"/>
                <w:b/>
                <w:bCs/>
                <w:color w:val="auto"/>
                <w:sz w:val="21"/>
                <w:szCs w:val="21"/>
              </w:rPr>
              <w:t>数量</w:t>
            </w:r>
          </w:p>
        </w:tc>
        <w:tc>
          <w:tcPr>
            <w:tcW w:w="1138" w:type="pct"/>
            <w:gridSpan w:val="2"/>
            <w:tcBorders>
              <w:top w:val="single" w:color="000000" w:sz="8" w:space="0"/>
              <w:left w:val="single" w:color="000000" w:sz="8" w:space="0"/>
              <w:bottom w:val="nil"/>
              <w:right w:val="single" w:color="000000" w:sz="8" w:space="0"/>
            </w:tcBorders>
            <w:vAlign w:val="center"/>
          </w:tcPr>
          <w:p w14:paraId="0E32CDA0">
            <w:pPr>
              <w:widowControl/>
              <w:spacing w:line="240" w:lineRule="auto"/>
              <w:ind w:firstLine="422"/>
              <w:jc w:val="center"/>
              <w:textAlignment w:val="center"/>
              <w:rPr>
                <w:rFonts w:hint="eastAsia" w:ascii="宋体" w:hAnsi="宋体" w:cs="宋体"/>
                <w:b/>
                <w:bCs/>
                <w:color w:val="auto"/>
                <w:sz w:val="21"/>
                <w:szCs w:val="21"/>
              </w:rPr>
            </w:pPr>
            <w:r>
              <w:rPr>
                <w:rFonts w:hint="eastAsia" w:ascii="宋体" w:hAnsi="宋体" w:cs="宋体"/>
                <w:b/>
                <w:bCs/>
                <w:color w:val="auto"/>
                <w:kern w:val="0"/>
                <w:sz w:val="21"/>
                <w:szCs w:val="21"/>
                <w:lang w:bidi="ar"/>
              </w:rPr>
              <w:t>物料名称</w:t>
            </w:r>
          </w:p>
        </w:tc>
        <w:tc>
          <w:tcPr>
            <w:tcW w:w="1175" w:type="pct"/>
            <w:tcBorders>
              <w:top w:val="single" w:color="000000" w:sz="8" w:space="0"/>
              <w:left w:val="single" w:color="000000" w:sz="8" w:space="0"/>
              <w:bottom w:val="single" w:color="000000" w:sz="8" w:space="0"/>
              <w:right w:val="nil"/>
            </w:tcBorders>
            <w:vAlign w:val="center"/>
          </w:tcPr>
          <w:p w14:paraId="552FFAC3">
            <w:pPr>
              <w:widowControl/>
              <w:spacing w:line="240" w:lineRule="auto"/>
              <w:ind w:firstLine="422"/>
              <w:jc w:val="center"/>
              <w:textAlignment w:val="center"/>
              <w:rPr>
                <w:rFonts w:hint="eastAsia" w:ascii="宋体" w:hAnsi="宋体" w:cs="宋体"/>
                <w:b/>
                <w:bCs/>
                <w:color w:val="auto"/>
                <w:sz w:val="21"/>
                <w:szCs w:val="21"/>
              </w:rPr>
            </w:pPr>
            <w:r>
              <w:rPr>
                <w:rFonts w:hint="eastAsia" w:ascii="宋体" w:hAnsi="宋体" w:cs="宋体"/>
                <w:b/>
                <w:bCs/>
                <w:color w:val="auto"/>
                <w:kern w:val="0"/>
                <w:sz w:val="21"/>
                <w:szCs w:val="21"/>
                <w:lang w:bidi="ar"/>
              </w:rPr>
              <w:t>数量</w:t>
            </w:r>
          </w:p>
        </w:tc>
      </w:tr>
      <w:tr w14:paraId="741E2A09">
        <w:tblPrEx>
          <w:tblCellMar>
            <w:top w:w="0" w:type="dxa"/>
            <w:left w:w="108" w:type="dxa"/>
            <w:bottom w:w="0" w:type="dxa"/>
            <w:right w:w="108" w:type="dxa"/>
          </w:tblCellMar>
        </w:tblPrEx>
        <w:trPr>
          <w:trHeight w:val="285" w:hRule="atLeast"/>
        </w:trPr>
        <w:tc>
          <w:tcPr>
            <w:tcW w:w="886" w:type="pct"/>
            <w:vMerge w:val="restart"/>
            <w:tcBorders>
              <w:top w:val="single" w:color="000000" w:sz="8" w:space="0"/>
              <w:left w:val="nil"/>
              <w:bottom w:val="single" w:color="000000" w:sz="8" w:space="0"/>
              <w:right w:val="single" w:color="000000" w:sz="8" w:space="0"/>
            </w:tcBorders>
            <w:noWrap/>
            <w:vAlign w:val="center"/>
          </w:tcPr>
          <w:p w14:paraId="48C6C7DE">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原料带入水</w:t>
            </w:r>
          </w:p>
        </w:tc>
        <w:tc>
          <w:tcPr>
            <w:tcW w:w="886" w:type="pct"/>
            <w:tcBorders>
              <w:top w:val="single" w:color="000000" w:sz="8" w:space="0"/>
              <w:left w:val="single" w:color="000000" w:sz="8" w:space="0"/>
              <w:bottom w:val="single" w:color="000000" w:sz="8" w:space="0"/>
              <w:right w:val="nil"/>
            </w:tcBorders>
            <w:noWrap/>
            <w:vAlign w:val="center"/>
          </w:tcPr>
          <w:p w14:paraId="4ECE1F63">
            <w:pPr>
              <w:widowControl/>
              <w:spacing w:line="240" w:lineRule="auto"/>
              <w:ind w:firstLine="0" w:firstLineChars="0"/>
              <w:jc w:val="center"/>
              <w:textAlignment w:val="center"/>
              <w:rPr>
                <w:rFonts w:hint="eastAsia" w:ascii="宋体" w:hAnsi="宋体" w:cs="宋体"/>
                <w:color w:val="auto"/>
                <w:sz w:val="21"/>
                <w:szCs w:val="21"/>
              </w:rPr>
            </w:pPr>
          </w:p>
        </w:tc>
        <w:tc>
          <w:tcPr>
            <w:tcW w:w="1799" w:type="dxa"/>
            <w:tcBorders>
              <w:top w:val="single" w:color="000000" w:sz="8" w:space="0"/>
              <w:left w:val="single" w:color="000000" w:sz="8" w:space="0"/>
              <w:bottom w:val="single" w:color="000000" w:sz="8" w:space="0"/>
              <w:right w:val="nil"/>
            </w:tcBorders>
            <w:noWrap/>
            <w:vAlign w:val="center"/>
          </w:tcPr>
          <w:p w14:paraId="28684B11">
            <w:pPr>
              <w:widowControl/>
              <w:spacing w:line="240" w:lineRule="auto"/>
              <w:ind w:firstLine="0" w:firstLineChars="0"/>
              <w:jc w:val="center"/>
              <w:textAlignment w:val="center"/>
              <w:rPr>
                <w:color w:val="auto"/>
                <w:kern w:val="0"/>
                <w:sz w:val="21"/>
                <w:szCs w:val="21"/>
                <w:lang w:bidi="ar"/>
              </w:rPr>
            </w:pPr>
          </w:p>
        </w:tc>
        <w:tc>
          <w:tcPr>
            <w:tcW w:w="1138" w:type="pct"/>
            <w:gridSpan w:val="2"/>
            <w:tcBorders>
              <w:top w:val="single" w:color="000000" w:sz="8" w:space="0"/>
              <w:left w:val="single" w:color="000000" w:sz="8" w:space="0"/>
              <w:bottom w:val="single" w:color="000000" w:sz="8" w:space="0"/>
              <w:right w:val="nil"/>
            </w:tcBorders>
            <w:noWrap/>
            <w:vAlign w:val="center"/>
          </w:tcPr>
          <w:p w14:paraId="1006A5C2">
            <w:pPr>
              <w:widowControl/>
              <w:spacing w:line="240" w:lineRule="auto"/>
              <w:ind w:firstLine="0" w:firstLineChars="0"/>
              <w:jc w:val="center"/>
              <w:textAlignment w:val="center"/>
              <w:rPr>
                <w:rFonts w:hint="eastAsia" w:ascii="宋体" w:hAnsi="宋体" w:cs="宋体"/>
                <w:color w:val="auto"/>
                <w:sz w:val="21"/>
                <w:szCs w:val="21"/>
              </w:rPr>
            </w:pPr>
          </w:p>
        </w:tc>
        <w:tc>
          <w:tcPr>
            <w:tcW w:w="2315" w:type="dxa"/>
            <w:tcBorders>
              <w:top w:val="single" w:color="000000" w:sz="8" w:space="0"/>
              <w:left w:val="single" w:color="000000" w:sz="8" w:space="0"/>
              <w:bottom w:val="single" w:color="000000" w:sz="8" w:space="0"/>
              <w:right w:val="nil"/>
            </w:tcBorders>
            <w:vAlign w:val="center"/>
          </w:tcPr>
          <w:p w14:paraId="583B4939">
            <w:pPr>
              <w:widowControl/>
              <w:spacing w:line="240" w:lineRule="auto"/>
              <w:ind w:firstLine="0" w:firstLineChars="0"/>
              <w:jc w:val="center"/>
              <w:textAlignment w:val="center"/>
              <w:rPr>
                <w:color w:val="auto"/>
                <w:sz w:val="21"/>
                <w:szCs w:val="21"/>
              </w:rPr>
            </w:pPr>
          </w:p>
        </w:tc>
      </w:tr>
      <w:tr w14:paraId="447536EA">
        <w:tblPrEx>
          <w:tblCellMar>
            <w:top w:w="0" w:type="dxa"/>
            <w:left w:w="108" w:type="dxa"/>
            <w:bottom w:w="0" w:type="dxa"/>
            <w:right w:w="108" w:type="dxa"/>
          </w:tblCellMar>
        </w:tblPrEx>
        <w:trPr>
          <w:trHeight w:val="525" w:hRule="atLeast"/>
        </w:trPr>
        <w:tc>
          <w:tcPr>
            <w:tcW w:w="886" w:type="pct"/>
            <w:vMerge w:val="continue"/>
            <w:tcBorders>
              <w:top w:val="single" w:color="000000" w:sz="8" w:space="0"/>
              <w:left w:val="nil"/>
              <w:bottom w:val="single" w:color="000000" w:sz="8" w:space="0"/>
              <w:right w:val="single" w:color="000000" w:sz="8" w:space="0"/>
            </w:tcBorders>
            <w:noWrap/>
            <w:vAlign w:val="center"/>
          </w:tcPr>
          <w:p w14:paraId="156EEDD5">
            <w:pPr>
              <w:widowControl/>
              <w:spacing w:line="240" w:lineRule="auto"/>
              <w:ind w:firstLine="0" w:firstLineChars="0"/>
              <w:jc w:val="center"/>
              <w:rPr>
                <w:rFonts w:hint="eastAsia" w:ascii="宋体" w:hAnsi="宋体" w:cs="宋体"/>
                <w:color w:val="auto"/>
                <w:sz w:val="21"/>
                <w:szCs w:val="21"/>
              </w:rPr>
            </w:pPr>
          </w:p>
        </w:tc>
        <w:tc>
          <w:tcPr>
            <w:tcW w:w="886" w:type="pct"/>
            <w:tcBorders>
              <w:top w:val="single" w:color="000000" w:sz="8" w:space="0"/>
              <w:left w:val="single" w:color="000000" w:sz="8" w:space="0"/>
              <w:bottom w:val="single" w:color="000000" w:sz="8" w:space="0"/>
              <w:right w:val="nil"/>
            </w:tcBorders>
            <w:vAlign w:val="center"/>
          </w:tcPr>
          <w:p w14:paraId="019BE997">
            <w:pPr>
              <w:widowControl/>
              <w:spacing w:line="240" w:lineRule="auto"/>
              <w:ind w:firstLine="0" w:firstLineChars="0"/>
              <w:jc w:val="center"/>
              <w:textAlignment w:val="center"/>
              <w:rPr>
                <w:rFonts w:hint="eastAsia" w:ascii="宋体" w:hAnsi="宋体" w:cs="宋体"/>
                <w:color w:val="auto"/>
                <w:sz w:val="21"/>
                <w:szCs w:val="21"/>
              </w:rPr>
            </w:pPr>
          </w:p>
        </w:tc>
        <w:tc>
          <w:tcPr>
            <w:tcW w:w="1799" w:type="dxa"/>
            <w:tcBorders>
              <w:top w:val="single" w:color="000000" w:sz="8" w:space="0"/>
              <w:left w:val="single" w:color="000000" w:sz="8" w:space="0"/>
              <w:bottom w:val="single" w:color="000000" w:sz="8" w:space="0"/>
              <w:right w:val="nil"/>
            </w:tcBorders>
            <w:noWrap/>
            <w:vAlign w:val="center"/>
          </w:tcPr>
          <w:p w14:paraId="5E38C848">
            <w:pPr>
              <w:widowControl/>
              <w:spacing w:line="240" w:lineRule="auto"/>
              <w:ind w:firstLine="0" w:firstLineChars="0"/>
              <w:jc w:val="center"/>
              <w:textAlignment w:val="center"/>
              <w:rPr>
                <w:color w:val="auto"/>
                <w:kern w:val="0"/>
                <w:sz w:val="21"/>
                <w:szCs w:val="21"/>
                <w:lang w:bidi="ar"/>
              </w:rPr>
            </w:pPr>
          </w:p>
        </w:tc>
        <w:tc>
          <w:tcPr>
            <w:tcW w:w="566" w:type="pct"/>
            <w:vMerge w:val="restart"/>
            <w:tcBorders>
              <w:top w:val="single" w:color="000000" w:sz="8" w:space="0"/>
              <w:left w:val="single" w:color="000000" w:sz="8" w:space="0"/>
              <w:bottom w:val="single" w:color="000000" w:sz="8" w:space="0"/>
              <w:right w:val="nil"/>
            </w:tcBorders>
            <w:noWrap/>
            <w:vAlign w:val="center"/>
          </w:tcPr>
          <w:p w14:paraId="1C532837">
            <w:pPr>
              <w:widowControl/>
              <w:spacing w:line="240" w:lineRule="auto"/>
              <w:ind w:firstLine="0" w:firstLineChars="0"/>
              <w:jc w:val="center"/>
              <w:textAlignment w:val="center"/>
              <w:rPr>
                <w:rFonts w:hint="eastAsia" w:ascii="宋体" w:hAnsi="宋体" w:cs="宋体"/>
                <w:color w:val="auto"/>
                <w:sz w:val="21"/>
                <w:szCs w:val="21"/>
              </w:rPr>
            </w:pPr>
          </w:p>
        </w:tc>
        <w:tc>
          <w:tcPr>
            <w:tcW w:w="572" w:type="pct"/>
            <w:tcBorders>
              <w:top w:val="single" w:color="000000" w:sz="8" w:space="0"/>
              <w:left w:val="single" w:color="000000" w:sz="8" w:space="0"/>
              <w:bottom w:val="single" w:color="000000" w:sz="8" w:space="0"/>
              <w:right w:val="nil"/>
            </w:tcBorders>
            <w:noWrap/>
            <w:vAlign w:val="center"/>
          </w:tcPr>
          <w:p w14:paraId="6963DB14">
            <w:pPr>
              <w:widowControl/>
              <w:spacing w:line="240" w:lineRule="auto"/>
              <w:ind w:firstLine="0" w:firstLineChars="0"/>
              <w:jc w:val="center"/>
              <w:textAlignment w:val="center"/>
              <w:rPr>
                <w:color w:val="auto"/>
                <w:sz w:val="21"/>
                <w:szCs w:val="21"/>
              </w:rPr>
            </w:pPr>
          </w:p>
        </w:tc>
        <w:tc>
          <w:tcPr>
            <w:tcW w:w="2315" w:type="dxa"/>
            <w:tcBorders>
              <w:top w:val="single" w:color="000000" w:sz="8" w:space="0"/>
              <w:left w:val="single" w:color="000000" w:sz="8" w:space="0"/>
              <w:bottom w:val="single" w:color="000000" w:sz="8" w:space="0"/>
              <w:right w:val="nil"/>
            </w:tcBorders>
            <w:vAlign w:val="center"/>
          </w:tcPr>
          <w:p w14:paraId="3B340CA2">
            <w:pPr>
              <w:widowControl/>
              <w:spacing w:line="240" w:lineRule="auto"/>
              <w:ind w:firstLine="0" w:firstLineChars="0"/>
              <w:jc w:val="center"/>
              <w:textAlignment w:val="center"/>
              <w:rPr>
                <w:color w:val="auto"/>
                <w:sz w:val="21"/>
                <w:szCs w:val="21"/>
              </w:rPr>
            </w:pPr>
          </w:p>
        </w:tc>
      </w:tr>
      <w:tr w14:paraId="1906E65D">
        <w:tblPrEx>
          <w:tblCellMar>
            <w:top w:w="0" w:type="dxa"/>
            <w:left w:w="108" w:type="dxa"/>
            <w:bottom w:w="0" w:type="dxa"/>
            <w:right w:w="108" w:type="dxa"/>
          </w:tblCellMar>
        </w:tblPrEx>
        <w:trPr>
          <w:trHeight w:val="285" w:hRule="atLeast"/>
        </w:trPr>
        <w:tc>
          <w:tcPr>
            <w:tcW w:w="886" w:type="pct"/>
            <w:vMerge w:val="continue"/>
            <w:tcBorders>
              <w:top w:val="single" w:color="000000" w:sz="8" w:space="0"/>
              <w:left w:val="nil"/>
              <w:bottom w:val="single" w:color="000000" w:sz="8" w:space="0"/>
              <w:right w:val="single" w:color="000000" w:sz="8" w:space="0"/>
            </w:tcBorders>
            <w:noWrap/>
            <w:vAlign w:val="center"/>
          </w:tcPr>
          <w:p w14:paraId="4102806D">
            <w:pPr>
              <w:widowControl/>
              <w:spacing w:line="240" w:lineRule="auto"/>
              <w:ind w:firstLine="0" w:firstLineChars="0"/>
              <w:jc w:val="center"/>
              <w:rPr>
                <w:rFonts w:hint="eastAsia" w:ascii="宋体" w:hAnsi="宋体" w:cs="宋体"/>
                <w:color w:val="auto"/>
                <w:sz w:val="21"/>
                <w:szCs w:val="21"/>
              </w:rPr>
            </w:pPr>
          </w:p>
        </w:tc>
        <w:tc>
          <w:tcPr>
            <w:tcW w:w="886" w:type="pct"/>
            <w:tcBorders>
              <w:top w:val="single" w:color="000000" w:sz="8" w:space="0"/>
              <w:left w:val="single" w:color="000000" w:sz="8" w:space="0"/>
              <w:bottom w:val="single" w:color="000000" w:sz="8" w:space="0"/>
              <w:right w:val="nil"/>
            </w:tcBorders>
            <w:noWrap/>
            <w:vAlign w:val="center"/>
          </w:tcPr>
          <w:p w14:paraId="2559BD84">
            <w:pPr>
              <w:widowControl/>
              <w:spacing w:line="240" w:lineRule="auto"/>
              <w:ind w:firstLine="0" w:firstLineChars="0"/>
              <w:jc w:val="center"/>
              <w:textAlignment w:val="center"/>
              <w:rPr>
                <w:rFonts w:hint="eastAsia" w:ascii="宋体" w:hAnsi="宋体" w:cs="宋体"/>
                <w:color w:val="auto"/>
                <w:sz w:val="21"/>
                <w:szCs w:val="21"/>
              </w:rPr>
            </w:pPr>
          </w:p>
        </w:tc>
        <w:tc>
          <w:tcPr>
            <w:tcW w:w="1799" w:type="dxa"/>
            <w:tcBorders>
              <w:top w:val="single" w:color="000000" w:sz="8" w:space="0"/>
              <w:left w:val="single" w:color="000000" w:sz="8" w:space="0"/>
              <w:bottom w:val="single" w:color="000000" w:sz="8" w:space="0"/>
              <w:right w:val="nil"/>
            </w:tcBorders>
            <w:noWrap/>
            <w:vAlign w:val="center"/>
          </w:tcPr>
          <w:p w14:paraId="3B95A874">
            <w:pPr>
              <w:widowControl/>
              <w:spacing w:line="240" w:lineRule="auto"/>
              <w:ind w:firstLine="0" w:firstLineChars="0"/>
              <w:jc w:val="center"/>
              <w:textAlignment w:val="center"/>
              <w:rPr>
                <w:color w:val="auto"/>
                <w:kern w:val="0"/>
                <w:sz w:val="21"/>
                <w:szCs w:val="21"/>
                <w:lang w:bidi="ar"/>
              </w:rPr>
            </w:pPr>
          </w:p>
        </w:tc>
        <w:tc>
          <w:tcPr>
            <w:tcW w:w="566" w:type="pct"/>
            <w:vMerge w:val="continue"/>
            <w:tcBorders>
              <w:top w:val="single" w:color="000000" w:sz="8" w:space="0"/>
              <w:left w:val="single" w:color="000000" w:sz="8" w:space="0"/>
              <w:bottom w:val="single" w:color="000000" w:sz="8" w:space="0"/>
              <w:right w:val="nil"/>
            </w:tcBorders>
            <w:noWrap/>
            <w:vAlign w:val="center"/>
          </w:tcPr>
          <w:p w14:paraId="79D730B7">
            <w:pPr>
              <w:widowControl/>
              <w:spacing w:line="240" w:lineRule="auto"/>
              <w:ind w:firstLine="0" w:firstLineChars="0"/>
              <w:jc w:val="center"/>
              <w:rPr>
                <w:rFonts w:hint="eastAsia" w:ascii="宋体" w:hAnsi="宋体" w:cs="宋体"/>
                <w:color w:val="auto"/>
                <w:sz w:val="21"/>
                <w:szCs w:val="21"/>
              </w:rPr>
            </w:pPr>
          </w:p>
        </w:tc>
        <w:tc>
          <w:tcPr>
            <w:tcW w:w="572" w:type="pct"/>
            <w:tcBorders>
              <w:top w:val="single" w:color="000000" w:sz="8" w:space="0"/>
              <w:left w:val="single" w:color="000000" w:sz="8" w:space="0"/>
              <w:bottom w:val="single" w:color="000000" w:sz="8" w:space="0"/>
              <w:right w:val="nil"/>
            </w:tcBorders>
            <w:noWrap/>
            <w:vAlign w:val="center"/>
          </w:tcPr>
          <w:p w14:paraId="1CEEF25D">
            <w:pPr>
              <w:widowControl/>
              <w:spacing w:line="240" w:lineRule="auto"/>
              <w:ind w:firstLine="0" w:firstLineChars="0"/>
              <w:jc w:val="center"/>
              <w:textAlignment w:val="center"/>
              <w:rPr>
                <w:color w:val="auto"/>
                <w:sz w:val="21"/>
                <w:szCs w:val="21"/>
              </w:rPr>
            </w:pPr>
          </w:p>
        </w:tc>
        <w:tc>
          <w:tcPr>
            <w:tcW w:w="2315" w:type="dxa"/>
            <w:tcBorders>
              <w:top w:val="single" w:color="000000" w:sz="8" w:space="0"/>
              <w:left w:val="single" w:color="000000" w:sz="8" w:space="0"/>
              <w:bottom w:val="single" w:color="000000" w:sz="8" w:space="0"/>
              <w:right w:val="nil"/>
            </w:tcBorders>
            <w:noWrap/>
            <w:vAlign w:val="center"/>
          </w:tcPr>
          <w:p w14:paraId="4AC7E26C">
            <w:pPr>
              <w:widowControl/>
              <w:spacing w:line="240" w:lineRule="auto"/>
              <w:ind w:firstLine="0" w:firstLineChars="0"/>
              <w:jc w:val="center"/>
              <w:textAlignment w:val="center"/>
              <w:rPr>
                <w:color w:val="auto"/>
                <w:sz w:val="21"/>
                <w:szCs w:val="21"/>
              </w:rPr>
            </w:pPr>
          </w:p>
        </w:tc>
      </w:tr>
      <w:tr w14:paraId="50A11C1C">
        <w:tblPrEx>
          <w:tblCellMar>
            <w:top w:w="0" w:type="dxa"/>
            <w:left w:w="108" w:type="dxa"/>
            <w:bottom w:w="0" w:type="dxa"/>
            <w:right w:w="108" w:type="dxa"/>
          </w:tblCellMar>
        </w:tblPrEx>
        <w:trPr>
          <w:trHeight w:val="285" w:hRule="atLeast"/>
        </w:trPr>
        <w:tc>
          <w:tcPr>
            <w:tcW w:w="886" w:type="pct"/>
            <w:tcBorders>
              <w:top w:val="single" w:color="000000" w:sz="8" w:space="0"/>
              <w:left w:val="nil"/>
              <w:bottom w:val="single" w:color="000000" w:sz="8" w:space="0"/>
              <w:right w:val="single" w:color="000000" w:sz="8" w:space="0"/>
            </w:tcBorders>
            <w:noWrap/>
            <w:vAlign w:val="center"/>
          </w:tcPr>
          <w:p w14:paraId="407D8223">
            <w:pPr>
              <w:widowControl/>
              <w:spacing w:line="240" w:lineRule="auto"/>
              <w:ind w:firstLine="0" w:firstLineChars="0"/>
              <w:jc w:val="center"/>
              <w:rPr>
                <w:rFonts w:hint="eastAsia" w:ascii="宋体" w:hAnsi="宋体" w:cs="宋体"/>
                <w:color w:val="auto"/>
                <w:sz w:val="21"/>
                <w:szCs w:val="21"/>
              </w:rPr>
            </w:pPr>
          </w:p>
        </w:tc>
        <w:tc>
          <w:tcPr>
            <w:tcW w:w="886" w:type="pct"/>
            <w:tcBorders>
              <w:top w:val="single" w:color="000000" w:sz="8" w:space="0"/>
              <w:left w:val="single" w:color="000000" w:sz="8" w:space="0"/>
              <w:bottom w:val="single" w:color="000000" w:sz="8" w:space="0"/>
              <w:right w:val="nil"/>
            </w:tcBorders>
            <w:noWrap/>
            <w:vAlign w:val="center"/>
          </w:tcPr>
          <w:p w14:paraId="2F823D52">
            <w:pPr>
              <w:widowControl/>
              <w:spacing w:line="240" w:lineRule="auto"/>
              <w:ind w:firstLine="0" w:firstLineChars="0"/>
              <w:jc w:val="center"/>
              <w:textAlignment w:val="center"/>
              <w:rPr>
                <w:rFonts w:hint="eastAsia" w:ascii="宋体" w:hAnsi="宋体" w:cs="宋体"/>
                <w:color w:val="auto"/>
                <w:kern w:val="0"/>
                <w:sz w:val="21"/>
                <w:szCs w:val="21"/>
                <w:lang w:bidi="ar"/>
              </w:rPr>
            </w:pPr>
          </w:p>
        </w:tc>
        <w:tc>
          <w:tcPr>
            <w:tcW w:w="1799" w:type="dxa"/>
            <w:tcBorders>
              <w:top w:val="single" w:color="000000" w:sz="8" w:space="0"/>
              <w:left w:val="single" w:color="000000" w:sz="8" w:space="0"/>
              <w:bottom w:val="single" w:color="000000" w:sz="8" w:space="0"/>
              <w:right w:val="nil"/>
            </w:tcBorders>
            <w:noWrap/>
            <w:vAlign w:val="center"/>
          </w:tcPr>
          <w:p w14:paraId="035CD7E0">
            <w:pPr>
              <w:spacing w:line="240" w:lineRule="auto"/>
              <w:ind w:firstLine="0" w:firstLineChars="0"/>
              <w:jc w:val="center"/>
              <w:rPr>
                <w:color w:val="auto"/>
                <w:kern w:val="0"/>
                <w:sz w:val="21"/>
                <w:szCs w:val="21"/>
                <w:lang w:bidi="ar"/>
              </w:rPr>
            </w:pPr>
          </w:p>
        </w:tc>
        <w:tc>
          <w:tcPr>
            <w:tcW w:w="1138" w:type="pct"/>
            <w:gridSpan w:val="2"/>
            <w:tcBorders>
              <w:top w:val="single" w:color="000000" w:sz="8" w:space="0"/>
              <w:left w:val="single" w:color="000000" w:sz="8" w:space="0"/>
              <w:bottom w:val="single" w:color="000000" w:sz="8" w:space="0"/>
              <w:right w:val="nil"/>
            </w:tcBorders>
            <w:noWrap/>
            <w:vAlign w:val="center"/>
          </w:tcPr>
          <w:p w14:paraId="14D5C71C">
            <w:pPr>
              <w:widowControl/>
              <w:spacing w:line="240" w:lineRule="auto"/>
              <w:ind w:firstLine="0" w:firstLineChars="0"/>
              <w:jc w:val="center"/>
              <w:textAlignment w:val="center"/>
              <w:rPr>
                <w:color w:val="auto"/>
                <w:kern w:val="0"/>
                <w:sz w:val="21"/>
                <w:szCs w:val="21"/>
                <w:lang w:bidi="ar"/>
              </w:rPr>
            </w:pPr>
          </w:p>
        </w:tc>
        <w:tc>
          <w:tcPr>
            <w:tcW w:w="2315" w:type="dxa"/>
            <w:tcBorders>
              <w:top w:val="single" w:color="000000" w:sz="8" w:space="0"/>
              <w:left w:val="single" w:color="000000" w:sz="8" w:space="0"/>
              <w:bottom w:val="single" w:color="000000" w:sz="8" w:space="0"/>
              <w:right w:val="nil"/>
            </w:tcBorders>
            <w:noWrap/>
            <w:vAlign w:val="center"/>
          </w:tcPr>
          <w:p w14:paraId="1C5450D5">
            <w:pPr>
              <w:widowControl/>
              <w:spacing w:line="240" w:lineRule="auto"/>
              <w:ind w:firstLine="0" w:firstLineChars="0"/>
              <w:jc w:val="center"/>
              <w:textAlignment w:val="center"/>
              <w:rPr>
                <w:color w:val="auto"/>
                <w:kern w:val="0"/>
                <w:sz w:val="21"/>
                <w:szCs w:val="21"/>
                <w:lang w:bidi="ar"/>
              </w:rPr>
            </w:pPr>
          </w:p>
        </w:tc>
      </w:tr>
      <w:tr w14:paraId="2031EE2B">
        <w:tblPrEx>
          <w:tblCellMar>
            <w:top w:w="0" w:type="dxa"/>
            <w:left w:w="108" w:type="dxa"/>
            <w:bottom w:w="0" w:type="dxa"/>
            <w:right w:w="108" w:type="dxa"/>
          </w:tblCellMar>
        </w:tblPrEx>
        <w:trPr>
          <w:trHeight w:val="285" w:hRule="atLeast"/>
        </w:trPr>
        <w:tc>
          <w:tcPr>
            <w:tcW w:w="1772" w:type="pct"/>
            <w:gridSpan w:val="2"/>
            <w:tcBorders>
              <w:top w:val="single" w:color="000000" w:sz="8" w:space="0"/>
              <w:left w:val="nil"/>
              <w:bottom w:val="single" w:color="000000" w:sz="12" w:space="0"/>
              <w:right w:val="single" w:color="000000" w:sz="8" w:space="0"/>
            </w:tcBorders>
            <w:noWrap/>
            <w:vAlign w:val="center"/>
          </w:tcPr>
          <w:p w14:paraId="5C50EF78">
            <w:pPr>
              <w:widowControl/>
              <w:spacing w:line="240" w:lineRule="auto"/>
              <w:ind w:firstLine="0" w:firstLineChars="0"/>
              <w:jc w:val="center"/>
              <w:textAlignment w:val="center"/>
              <w:rPr>
                <w:rFonts w:hint="eastAsia" w:ascii="宋体" w:hAnsi="宋体" w:cs="宋体"/>
                <w:color w:val="auto"/>
                <w:sz w:val="21"/>
                <w:szCs w:val="21"/>
              </w:rPr>
            </w:pPr>
          </w:p>
        </w:tc>
        <w:tc>
          <w:tcPr>
            <w:tcW w:w="1799" w:type="dxa"/>
            <w:tcBorders>
              <w:top w:val="single" w:color="000000" w:sz="8" w:space="0"/>
              <w:left w:val="single" w:color="000000" w:sz="8" w:space="0"/>
              <w:bottom w:val="single" w:color="000000" w:sz="12" w:space="0"/>
              <w:right w:val="single" w:color="000000" w:sz="8" w:space="0"/>
            </w:tcBorders>
            <w:noWrap/>
            <w:vAlign w:val="center"/>
          </w:tcPr>
          <w:p w14:paraId="27E02D5C">
            <w:pPr>
              <w:widowControl/>
              <w:spacing w:line="240" w:lineRule="auto"/>
              <w:ind w:firstLine="0" w:firstLineChars="0"/>
              <w:jc w:val="center"/>
              <w:textAlignment w:val="center"/>
              <w:rPr>
                <w:color w:val="auto"/>
                <w:kern w:val="0"/>
                <w:sz w:val="21"/>
                <w:szCs w:val="21"/>
                <w:lang w:bidi="ar"/>
              </w:rPr>
            </w:pPr>
          </w:p>
        </w:tc>
        <w:tc>
          <w:tcPr>
            <w:tcW w:w="1138" w:type="pct"/>
            <w:gridSpan w:val="2"/>
            <w:tcBorders>
              <w:top w:val="single" w:color="000000" w:sz="8" w:space="0"/>
              <w:left w:val="single" w:color="000000" w:sz="8" w:space="0"/>
              <w:bottom w:val="single" w:color="000000" w:sz="12" w:space="0"/>
              <w:right w:val="single" w:color="000000" w:sz="8" w:space="0"/>
            </w:tcBorders>
            <w:noWrap/>
            <w:vAlign w:val="center"/>
          </w:tcPr>
          <w:p w14:paraId="534141EE">
            <w:pPr>
              <w:widowControl/>
              <w:spacing w:line="240" w:lineRule="auto"/>
              <w:ind w:firstLine="0" w:firstLineChars="0"/>
              <w:jc w:val="center"/>
              <w:textAlignment w:val="center"/>
              <w:rPr>
                <w:rFonts w:hint="eastAsia" w:ascii="宋体" w:hAnsi="宋体" w:cs="宋体"/>
                <w:color w:val="auto"/>
                <w:sz w:val="21"/>
                <w:szCs w:val="21"/>
              </w:rPr>
            </w:pPr>
          </w:p>
        </w:tc>
        <w:tc>
          <w:tcPr>
            <w:tcW w:w="2315" w:type="dxa"/>
            <w:tcBorders>
              <w:top w:val="single" w:color="000000" w:sz="8" w:space="0"/>
              <w:left w:val="single" w:color="000000" w:sz="8" w:space="0"/>
              <w:bottom w:val="single" w:color="000000" w:sz="12" w:space="0"/>
              <w:right w:val="nil"/>
            </w:tcBorders>
            <w:noWrap/>
            <w:vAlign w:val="center"/>
          </w:tcPr>
          <w:p w14:paraId="63E0E3D2">
            <w:pPr>
              <w:widowControl/>
              <w:spacing w:line="240" w:lineRule="auto"/>
              <w:ind w:firstLine="0" w:firstLineChars="0"/>
              <w:jc w:val="center"/>
              <w:textAlignment w:val="center"/>
              <w:rPr>
                <w:color w:val="auto"/>
                <w:sz w:val="21"/>
                <w:szCs w:val="21"/>
              </w:rPr>
            </w:pPr>
          </w:p>
        </w:tc>
      </w:tr>
    </w:tbl>
    <w:p w14:paraId="5AD7DB09">
      <w:pPr>
        <w:spacing w:line="240" w:lineRule="auto"/>
        <w:ind w:firstLine="0" w:firstLineChars="0"/>
        <w:jc w:val="center"/>
        <w:rPr>
          <w:color w:val="auto"/>
        </w:rPr>
      </w:pPr>
    </w:p>
    <w:p w14:paraId="6F472A01">
      <w:pPr>
        <w:pStyle w:val="6"/>
        <w:spacing w:before="156"/>
        <w:ind w:firstLine="482"/>
        <w:rPr>
          <w:color w:val="auto"/>
        </w:rPr>
      </w:pPr>
      <w:r>
        <w:rPr>
          <w:rFonts w:hint="eastAsia"/>
          <w:color w:val="auto"/>
        </w:rPr>
        <w:t>2.1</w:t>
      </w:r>
      <w:r>
        <w:rPr>
          <w:rFonts w:hint="eastAsia"/>
          <w:bCs/>
          <w:color w:val="auto"/>
        </w:rPr>
        <w:t>硫代硫酸钙</w:t>
      </w:r>
      <w:r>
        <w:rPr>
          <w:rFonts w:hint="eastAsia"/>
          <w:color w:val="auto"/>
        </w:rPr>
        <w:t>生产工艺水平衡</w:t>
      </w:r>
    </w:p>
    <w:p w14:paraId="0FA6E189">
      <w:pPr>
        <w:spacing w:line="240" w:lineRule="auto"/>
        <w:ind w:firstLine="482"/>
        <w:jc w:val="center"/>
        <w:rPr>
          <w:color w:val="auto"/>
        </w:rPr>
      </w:pPr>
      <w:r>
        <w:rPr>
          <w:rFonts w:hint="eastAsia"/>
          <w:b/>
          <w:bCs/>
          <w:color w:val="auto"/>
        </w:rPr>
        <w:t>表4.4-26  硫代硫酸钙生产工艺水平衡表（t/a）</w:t>
      </w:r>
    </w:p>
    <w:tbl>
      <w:tblPr>
        <w:tblStyle w:val="24"/>
        <w:tblW w:w="4999" w:type="pct"/>
        <w:tblInd w:w="0" w:type="dxa"/>
        <w:tblLayout w:type="autofit"/>
        <w:tblCellMar>
          <w:top w:w="0" w:type="dxa"/>
          <w:left w:w="108" w:type="dxa"/>
          <w:bottom w:w="0" w:type="dxa"/>
          <w:right w:w="108" w:type="dxa"/>
        </w:tblCellMar>
      </w:tblPr>
      <w:tblGrid>
        <w:gridCol w:w="1460"/>
        <w:gridCol w:w="1947"/>
        <w:gridCol w:w="1815"/>
        <w:gridCol w:w="1596"/>
        <w:gridCol w:w="1429"/>
        <w:gridCol w:w="1605"/>
      </w:tblGrid>
      <w:tr w14:paraId="0BC7AC03">
        <w:tblPrEx>
          <w:tblCellMar>
            <w:top w:w="0" w:type="dxa"/>
            <w:left w:w="108" w:type="dxa"/>
            <w:bottom w:w="0" w:type="dxa"/>
            <w:right w:w="108" w:type="dxa"/>
          </w:tblCellMar>
        </w:tblPrEx>
        <w:trPr>
          <w:trHeight w:val="300" w:hRule="atLeast"/>
        </w:trPr>
        <w:tc>
          <w:tcPr>
            <w:tcW w:w="2650" w:type="pct"/>
            <w:gridSpan w:val="3"/>
            <w:tcBorders>
              <w:top w:val="single" w:color="000000" w:sz="12" w:space="0"/>
              <w:left w:val="nil"/>
              <w:bottom w:val="single" w:color="000000" w:sz="8" w:space="0"/>
              <w:right w:val="single" w:color="000000" w:sz="8" w:space="0"/>
            </w:tcBorders>
            <w:vAlign w:val="center"/>
          </w:tcPr>
          <w:p w14:paraId="798E343C">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投入</w:t>
            </w:r>
          </w:p>
        </w:tc>
        <w:tc>
          <w:tcPr>
            <w:tcW w:w="2349" w:type="pct"/>
            <w:gridSpan w:val="3"/>
            <w:tcBorders>
              <w:top w:val="single" w:color="000000" w:sz="12" w:space="0"/>
              <w:left w:val="single" w:color="000000" w:sz="8" w:space="0"/>
              <w:bottom w:val="single" w:color="000000" w:sz="8" w:space="0"/>
              <w:right w:val="nil"/>
            </w:tcBorders>
            <w:vAlign w:val="center"/>
          </w:tcPr>
          <w:p w14:paraId="1D2763A5">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产出</w:t>
            </w:r>
          </w:p>
        </w:tc>
      </w:tr>
      <w:tr w14:paraId="1BE8D303">
        <w:tblPrEx>
          <w:tblCellMar>
            <w:top w:w="0" w:type="dxa"/>
            <w:left w:w="108" w:type="dxa"/>
            <w:bottom w:w="0" w:type="dxa"/>
            <w:right w:w="108" w:type="dxa"/>
          </w:tblCellMar>
        </w:tblPrEx>
        <w:trPr>
          <w:trHeight w:val="285" w:hRule="atLeast"/>
        </w:trPr>
        <w:tc>
          <w:tcPr>
            <w:tcW w:w="1729" w:type="pct"/>
            <w:gridSpan w:val="2"/>
            <w:tcBorders>
              <w:top w:val="single" w:color="000000" w:sz="8" w:space="0"/>
              <w:left w:val="nil"/>
              <w:bottom w:val="single" w:color="000000" w:sz="8" w:space="0"/>
              <w:right w:val="single" w:color="000000" w:sz="8" w:space="0"/>
            </w:tcBorders>
            <w:vAlign w:val="center"/>
          </w:tcPr>
          <w:p w14:paraId="3B614DB9">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921" w:type="pct"/>
            <w:tcBorders>
              <w:top w:val="single" w:color="000000" w:sz="8" w:space="0"/>
              <w:left w:val="single" w:color="000000" w:sz="8" w:space="0"/>
              <w:bottom w:val="single" w:color="000000" w:sz="8" w:space="0"/>
              <w:right w:val="single" w:color="000000" w:sz="8" w:space="0"/>
            </w:tcBorders>
            <w:vAlign w:val="center"/>
          </w:tcPr>
          <w:p w14:paraId="240BD231">
            <w:pPr>
              <w:widowControl/>
              <w:spacing w:line="240" w:lineRule="auto"/>
              <w:ind w:firstLine="0" w:firstLineChars="0"/>
              <w:jc w:val="center"/>
              <w:textAlignment w:val="center"/>
              <w:rPr>
                <w:rFonts w:cs="宋体"/>
                <w:b/>
                <w:color w:val="auto"/>
                <w:sz w:val="21"/>
                <w:szCs w:val="21"/>
              </w:rPr>
            </w:pPr>
            <w:r>
              <w:rPr>
                <w:rFonts w:hint="eastAsia" w:cs="宋体"/>
                <w:b/>
                <w:color w:val="auto"/>
                <w:sz w:val="21"/>
                <w:szCs w:val="21"/>
              </w:rPr>
              <w:t>数量</w:t>
            </w:r>
          </w:p>
        </w:tc>
        <w:tc>
          <w:tcPr>
            <w:tcW w:w="1535" w:type="pct"/>
            <w:gridSpan w:val="2"/>
            <w:tcBorders>
              <w:top w:val="single" w:color="000000" w:sz="8" w:space="0"/>
              <w:left w:val="single" w:color="000000" w:sz="8" w:space="0"/>
              <w:bottom w:val="nil"/>
              <w:right w:val="single" w:color="000000" w:sz="8" w:space="0"/>
            </w:tcBorders>
            <w:vAlign w:val="center"/>
          </w:tcPr>
          <w:p w14:paraId="5679775E">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813" w:type="pct"/>
            <w:tcBorders>
              <w:top w:val="single" w:color="000000" w:sz="8" w:space="0"/>
              <w:left w:val="single" w:color="000000" w:sz="8" w:space="0"/>
              <w:bottom w:val="single" w:color="000000" w:sz="8" w:space="0"/>
              <w:right w:val="nil"/>
            </w:tcBorders>
            <w:vAlign w:val="center"/>
          </w:tcPr>
          <w:p w14:paraId="5DA3C315">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数量</w:t>
            </w:r>
          </w:p>
        </w:tc>
      </w:tr>
      <w:tr w14:paraId="5A2629AA">
        <w:tblPrEx>
          <w:tblCellMar>
            <w:top w:w="0" w:type="dxa"/>
            <w:left w:w="108" w:type="dxa"/>
            <w:bottom w:w="0" w:type="dxa"/>
            <w:right w:w="108" w:type="dxa"/>
          </w:tblCellMar>
        </w:tblPrEx>
        <w:trPr>
          <w:trHeight w:val="285" w:hRule="atLeast"/>
        </w:trPr>
        <w:tc>
          <w:tcPr>
            <w:tcW w:w="741" w:type="pct"/>
            <w:vMerge w:val="restart"/>
            <w:tcBorders>
              <w:top w:val="single" w:color="000000" w:sz="8" w:space="0"/>
              <w:left w:val="nil"/>
              <w:right w:val="single" w:color="000000" w:sz="8" w:space="0"/>
            </w:tcBorders>
            <w:noWrap/>
            <w:vAlign w:val="center"/>
          </w:tcPr>
          <w:p w14:paraId="2163807F">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原料带入水</w:t>
            </w:r>
          </w:p>
        </w:tc>
        <w:tc>
          <w:tcPr>
            <w:tcW w:w="988" w:type="pct"/>
            <w:tcBorders>
              <w:top w:val="single" w:color="000000" w:sz="8" w:space="0"/>
              <w:left w:val="nil"/>
              <w:bottom w:val="single" w:color="000000" w:sz="8" w:space="0"/>
              <w:right w:val="nil"/>
            </w:tcBorders>
            <w:vAlign w:val="center"/>
          </w:tcPr>
          <w:p w14:paraId="289511E1">
            <w:pPr>
              <w:widowControl/>
              <w:spacing w:line="240" w:lineRule="auto"/>
              <w:ind w:firstLine="0" w:firstLineChars="0"/>
              <w:jc w:val="center"/>
              <w:textAlignment w:val="center"/>
              <w:rPr>
                <w:rFonts w:cs="宋体"/>
                <w:color w:val="auto"/>
                <w:sz w:val="21"/>
                <w:szCs w:val="21"/>
              </w:rPr>
            </w:pPr>
          </w:p>
        </w:tc>
        <w:tc>
          <w:tcPr>
            <w:tcW w:w="921" w:type="pct"/>
            <w:tcBorders>
              <w:top w:val="single" w:color="000000" w:sz="8" w:space="0"/>
              <w:left w:val="single" w:color="000000" w:sz="8" w:space="0"/>
              <w:bottom w:val="single" w:color="000000" w:sz="8" w:space="0"/>
              <w:right w:val="nil"/>
            </w:tcBorders>
            <w:vAlign w:val="center"/>
          </w:tcPr>
          <w:p w14:paraId="12C2A819">
            <w:pPr>
              <w:widowControl/>
              <w:spacing w:line="240" w:lineRule="auto"/>
              <w:ind w:firstLine="0" w:firstLineChars="0"/>
              <w:jc w:val="center"/>
              <w:textAlignment w:val="center"/>
              <w:rPr>
                <w:color w:val="auto"/>
                <w:sz w:val="21"/>
                <w:szCs w:val="21"/>
              </w:rPr>
            </w:pPr>
          </w:p>
        </w:tc>
        <w:tc>
          <w:tcPr>
            <w:tcW w:w="1535" w:type="pct"/>
            <w:gridSpan w:val="2"/>
            <w:tcBorders>
              <w:top w:val="single" w:color="000000" w:sz="8" w:space="0"/>
              <w:left w:val="single" w:color="000000" w:sz="8" w:space="0"/>
              <w:bottom w:val="nil"/>
              <w:right w:val="single" w:color="000000" w:sz="8" w:space="0"/>
            </w:tcBorders>
            <w:vAlign w:val="center"/>
          </w:tcPr>
          <w:p w14:paraId="43F5C60A">
            <w:pPr>
              <w:widowControl/>
              <w:spacing w:line="240" w:lineRule="auto"/>
              <w:ind w:firstLine="0" w:firstLineChars="0"/>
              <w:jc w:val="center"/>
              <w:textAlignment w:val="center"/>
              <w:rPr>
                <w:rFonts w:cs="宋体"/>
                <w:color w:val="auto"/>
                <w:sz w:val="21"/>
                <w:szCs w:val="21"/>
              </w:rPr>
            </w:pPr>
          </w:p>
        </w:tc>
        <w:tc>
          <w:tcPr>
            <w:tcW w:w="813" w:type="pct"/>
            <w:tcBorders>
              <w:top w:val="single" w:color="000000" w:sz="8" w:space="0"/>
              <w:left w:val="single" w:color="000000" w:sz="8" w:space="0"/>
              <w:bottom w:val="single" w:color="000000" w:sz="8" w:space="0"/>
              <w:right w:val="nil"/>
            </w:tcBorders>
            <w:vAlign w:val="center"/>
          </w:tcPr>
          <w:p w14:paraId="738E1715">
            <w:pPr>
              <w:widowControl/>
              <w:spacing w:line="240" w:lineRule="auto"/>
              <w:ind w:firstLine="0" w:firstLineChars="0"/>
              <w:jc w:val="center"/>
              <w:textAlignment w:val="center"/>
              <w:rPr>
                <w:color w:val="auto"/>
                <w:sz w:val="21"/>
                <w:szCs w:val="21"/>
              </w:rPr>
            </w:pPr>
          </w:p>
        </w:tc>
      </w:tr>
      <w:tr w14:paraId="20C3FC84">
        <w:tblPrEx>
          <w:tblCellMar>
            <w:top w:w="0" w:type="dxa"/>
            <w:left w:w="108" w:type="dxa"/>
            <w:bottom w:w="0" w:type="dxa"/>
            <w:right w:w="108" w:type="dxa"/>
          </w:tblCellMar>
        </w:tblPrEx>
        <w:trPr>
          <w:trHeight w:val="285" w:hRule="atLeast"/>
        </w:trPr>
        <w:tc>
          <w:tcPr>
            <w:tcW w:w="741" w:type="pct"/>
            <w:vMerge w:val="continue"/>
            <w:tcBorders>
              <w:left w:val="nil"/>
              <w:right w:val="single" w:color="000000" w:sz="8" w:space="0"/>
            </w:tcBorders>
            <w:noWrap/>
            <w:vAlign w:val="center"/>
          </w:tcPr>
          <w:p w14:paraId="22AB9036">
            <w:pPr>
              <w:widowControl/>
              <w:spacing w:line="240" w:lineRule="auto"/>
              <w:ind w:firstLine="0" w:firstLineChars="0"/>
              <w:jc w:val="center"/>
              <w:rPr>
                <w:rFonts w:cs="宋体"/>
                <w:color w:val="auto"/>
                <w:sz w:val="21"/>
                <w:szCs w:val="21"/>
              </w:rPr>
            </w:pPr>
          </w:p>
        </w:tc>
        <w:tc>
          <w:tcPr>
            <w:tcW w:w="988" w:type="pct"/>
            <w:tcBorders>
              <w:top w:val="single" w:color="000000" w:sz="8" w:space="0"/>
              <w:left w:val="nil"/>
              <w:bottom w:val="single" w:color="000000" w:sz="8" w:space="0"/>
              <w:right w:val="nil"/>
            </w:tcBorders>
            <w:vAlign w:val="center"/>
          </w:tcPr>
          <w:p w14:paraId="0E885EE2">
            <w:pPr>
              <w:widowControl/>
              <w:spacing w:line="240" w:lineRule="auto"/>
              <w:ind w:firstLine="0" w:firstLineChars="0"/>
              <w:jc w:val="center"/>
              <w:textAlignment w:val="center"/>
              <w:rPr>
                <w:color w:val="auto"/>
                <w:sz w:val="21"/>
                <w:szCs w:val="21"/>
              </w:rPr>
            </w:pPr>
          </w:p>
        </w:tc>
        <w:tc>
          <w:tcPr>
            <w:tcW w:w="921" w:type="pct"/>
            <w:tcBorders>
              <w:top w:val="single" w:color="000000" w:sz="8" w:space="0"/>
              <w:left w:val="single" w:color="000000" w:sz="8" w:space="0"/>
              <w:bottom w:val="single" w:color="000000" w:sz="8" w:space="0"/>
              <w:right w:val="nil"/>
            </w:tcBorders>
            <w:vAlign w:val="center"/>
          </w:tcPr>
          <w:p w14:paraId="1A5D71B1">
            <w:pPr>
              <w:widowControl/>
              <w:spacing w:line="240" w:lineRule="auto"/>
              <w:ind w:firstLine="0" w:firstLineChars="0"/>
              <w:jc w:val="center"/>
              <w:textAlignment w:val="center"/>
              <w:rPr>
                <w:color w:val="auto"/>
                <w:sz w:val="21"/>
                <w:szCs w:val="21"/>
              </w:rPr>
            </w:pPr>
          </w:p>
        </w:tc>
        <w:tc>
          <w:tcPr>
            <w:tcW w:w="1535" w:type="pct"/>
            <w:gridSpan w:val="2"/>
            <w:tcBorders>
              <w:top w:val="single" w:color="000000" w:sz="8" w:space="0"/>
              <w:left w:val="single" w:color="000000" w:sz="8" w:space="0"/>
              <w:bottom w:val="nil"/>
              <w:right w:val="nil"/>
            </w:tcBorders>
            <w:vAlign w:val="center"/>
          </w:tcPr>
          <w:p w14:paraId="103B65D5">
            <w:pPr>
              <w:widowControl/>
              <w:spacing w:line="240" w:lineRule="auto"/>
              <w:ind w:firstLine="0" w:firstLineChars="0"/>
              <w:jc w:val="center"/>
              <w:textAlignment w:val="center"/>
              <w:rPr>
                <w:rFonts w:cs="宋体"/>
                <w:color w:val="auto"/>
                <w:sz w:val="21"/>
                <w:szCs w:val="21"/>
              </w:rPr>
            </w:pPr>
          </w:p>
        </w:tc>
        <w:tc>
          <w:tcPr>
            <w:tcW w:w="813" w:type="pct"/>
            <w:tcBorders>
              <w:top w:val="single" w:color="000000" w:sz="8" w:space="0"/>
              <w:left w:val="single" w:color="000000" w:sz="8" w:space="0"/>
              <w:bottom w:val="single" w:color="000000" w:sz="8" w:space="0"/>
              <w:right w:val="nil"/>
            </w:tcBorders>
            <w:vAlign w:val="center"/>
          </w:tcPr>
          <w:p w14:paraId="32944921">
            <w:pPr>
              <w:widowControl/>
              <w:spacing w:line="240" w:lineRule="auto"/>
              <w:ind w:firstLine="0" w:firstLineChars="0"/>
              <w:jc w:val="center"/>
              <w:textAlignment w:val="center"/>
              <w:rPr>
                <w:color w:val="auto"/>
                <w:sz w:val="21"/>
                <w:szCs w:val="21"/>
              </w:rPr>
            </w:pPr>
          </w:p>
        </w:tc>
      </w:tr>
      <w:tr w14:paraId="097CA182">
        <w:tblPrEx>
          <w:tblCellMar>
            <w:top w:w="0" w:type="dxa"/>
            <w:left w:w="108" w:type="dxa"/>
            <w:bottom w:w="0" w:type="dxa"/>
            <w:right w:w="108" w:type="dxa"/>
          </w:tblCellMar>
        </w:tblPrEx>
        <w:trPr>
          <w:trHeight w:val="285" w:hRule="atLeast"/>
        </w:trPr>
        <w:tc>
          <w:tcPr>
            <w:tcW w:w="741" w:type="pct"/>
            <w:vMerge w:val="continue"/>
            <w:tcBorders>
              <w:left w:val="nil"/>
              <w:right w:val="single" w:color="000000" w:sz="8" w:space="0"/>
            </w:tcBorders>
            <w:noWrap/>
            <w:vAlign w:val="center"/>
          </w:tcPr>
          <w:p w14:paraId="5F2708CC">
            <w:pPr>
              <w:widowControl/>
              <w:spacing w:line="240" w:lineRule="auto"/>
              <w:ind w:firstLine="0" w:firstLineChars="0"/>
              <w:jc w:val="center"/>
              <w:rPr>
                <w:rFonts w:cs="宋体"/>
                <w:color w:val="auto"/>
                <w:sz w:val="21"/>
                <w:szCs w:val="21"/>
              </w:rPr>
            </w:pPr>
          </w:p>
        </w:tc>
        <w:tc>
          <w:tcPr>
            <w:tcW w:w="988" w:type="pct"/>
            <w:tcBorders>
              <w:top w:val="single" w:color="000000" w:sz="8" w:space="0"/>
              <w:left w:val="nil"/>
              <w:bottom w:val="single" w:color="000000" w:sz="8" w:space="0"/>
              <w:right w:val="nil"/>
            </w:tcBorders>
            <w:vAlign w:val="center"/>
          </w:tcPr>
          <w:p w14:paraId="22EBCB46">
            <w:pPr>
              <w:widowControl/>
              <w:spacing w:line="240" w:lineRule="auto"/>
              <w:ind w:firstLine="0" w:firstLineChars="0"/>
              <w:jc w:val="center"/>
              <w:textAlignment w:val="center"/>
              <w:rPr>
                <w:rFonts w:cs="宋体"/>
                <w:color w:val="auto"/>
                <w:sz w:val="21"/>
                <w:szCs w:val="21"/>
              </w:rPr>
            </w:pPr>
          </w:p>
        </w:tc>
        <w:tc>
          <w:tcPr>
            <w:tcW w:w="921" w:type="pct"/>
            <w:tcBorders>
              <w:top w:val="single" w:color="000000" w:sz="8" w:space="0"/>
              <w:left w:val="single" w:color="000000" w:sz="8" w:space="0"/>
              <w:bottom w:val="single" w:color="000000" w:sz="8" w:space="0"/>
              <w:right w:val="nil"/>
            </w:tcBorders>
            <w:vAlign w:val="center"/>
          </w:tcPr>
          <w:p w14:paraId="290269FB">
            <w:pPr>
              <w:widowControl/>
              <w:spacing w:line="240" w:lineRule="auto"/>
              <w:ind w:firstLine="0" w:firstLineChars="0"/>
              <w:jc w:val="center"/>
              <w:textAlignment w:val="center"/>
              <w:rPr>
                <w:color w:val="auto"/>
                <w:sz w:val="21"/>
                <w:szCs w:val="21"/>
              </w:rPr>
            </w:pPr>
          </w:p>
        </w:tc>
        <w:tc>
          <w:tcPr>
            <w:tcW w:w="810" w:type="pct"/>
            <w:tcBorders>
              <w:top w:val="single" w:color="000000" w:sz="8" w:space="0"/>
              <w:left w:val="single" w:color="000000" w:sz="8" w:space="0"/>
              <w:bottom w:val="nil"/>
              <w:right w:val="single" w:color="000000" w:sz="8" w:space="0"/>
            </w:tcBorders>
            <w:vAlign w:val="center"/>
          </w:tcPr>
          <w:p w14:paraId="01865A2C">
            <w:pPr>
              <w:widowControl/>
              <w:spacing w:line="240" w:lineRule="auto"/>
              <w:ind w:firstLine="0" w:firstLineChars="0"/>
              <w:jc w:val="center"/>
              <w:textAlignment w:val="center"/>
              <w:rPr>
                <w:rFonts w:cs="宋体"/>
                <w:color w:val="auto"/>
                <w:sz w:val="21"/>
                <w:szCs w:val="21"/>
              </w:rPr>
            </w:pPr>
          </w:p>
        </w:tc>
        <w:tc>
          <w:tcPr>
            <w:tcW w:w="725" w:type="pct"/>
            <w:tcBorders>
              <w:top w:val="single" w:color="000000" w:sz="8" w:space="0"/>
              <w:left w:val="single" w:color="000000" w:sz="8" w:space="0"/>
              <w:bottom w:val="single" w:color="000000" w:sz="8" w:space="0"/>
              <w:right w:val="nil"/>
            </w:tcBorders>
            <w:vAlign w:val="center"/>
          </w:tcPr>
          <w:p w14:paraId="68659A07">
            <w:pPr>
              <w:widowControl/>
              <w:spacing w:line="240" w:lineRule="auto"/>
              <w:ind w:firstLine="0" w:firstLineChars="0"/>
              <w:jc w:val="center"/>
              <w:textAlignment w:val="center"/>
              <w:rPr>
                <w:rFonts w:cs="宋体"/>
                <w:color w:val="auto"/>
                <w:sz w:val="21"/>
                <w:szCs w:val="21"/>
              </w:rPr>
            </w:pPr>
          </w:p>
        </w:tc>
        <w:tc>
          <w:tcPr>
            <w:tcW w:w="813" w:type="pct"/>
            <w:tcBorders>
              <w:top w:val="single" w:color="000000" w:sz="8" w:space="0"/>
              <w:left w:val="single" w:color="000000" w:sz="8" w:space="0"/>
              <w:bottom w:val="single" w:color="000000" w:sz="8" w:space="0"/>
              <w:right w:val="nil"/>
            </w:tcBorders>
            <w:vAlign w:val="center"/>
          </w:tcPr>
          <w:p w14:paraId="498FCA9D">
            <w:pPr>
              <w:widowControl/>
              <w:spacing w:line="240" w:lineRule="auto"/>
              <w:ind w:firstLine="0" w:firstLineChars="0"/>
              <w:jc w:val="center"/>
              <w:textAlignment w:val="center"/>
              <w:rPr>
                <w:color w:val="auto"/>
                <w:sz w:val="21"/>
                <w:szCs w:val="21"/>
              </w:rPr>
            </w:pPr>
          </w:p>
        </w:tc>
      </w:tr>
      <w:tr w14:paraId="268D5BDA">
        <w:tblPrEx>
          <w:tblCellMar>
            <w:top w:w="0" w:type="dxa"/>
            <w:left w:w="108" w:type="dxa"/>
            <w:bottom w:w="0" w:type="dxa"/>
            <w:right w:w="108" w:type="dxa"/>
          </w:tblCellMar>
        </w:tblPrEx>
        <w:trPr>
          <w:trHeight w:val="285" w:hRule="atLeast"/>
        </w:trPr>
        <w:tc>
          <w:tcPr>
            <w:tcW w:w="741" w:type="pct"/>
            <w:vMerge w:val="continue"/>
            <w:tcBorders>
              <w:left w:val="nil"/>
              <w:right w:val="single" w:color="000000" w:sz="8" w:space="0"/>
            </w:tcBorders>
            <w:noWrap/>
            <w:vAlign w:val="center"/>
          </w:tcPr>
          <w:p w14:paraId="7B8A1206">
            <w:pPr>
              <w:widowControl/>
              <w:spacing w:line="240" w:lineRule="auto"/>
              <w:ind w:firstLine="0" w:firstLineChars="0"/>
              <w:jc w:val="center"/>
              <w:rPr>
                <w:rFonts w:cs="宋体"/>
                <w:color w:val="auto"/>
                <w:sz w:val="21"/>
                <w:szCs w:val="21"/>
              </w:rPr>
            </w:pPr>
          </w:p>
        </w:tc>
        <w:tc>
          <w:tcPr>
            <w:tcW w:w="988" w:type="pct"/>
            <w:tcBorders>
              <w:top w:val="single" w:color="000000" w:sz="8" w:space="0"/>
              <w:left w:val="nil"/>
              <w:bottom w:val="nil"/>
              <w:right w:val="single" w:color="000000" w:sz="8" w:space="0"/>
            </w:tcBorders>
            <w:noWrap/>
            <w:vAlign w:val="center"/>
          </w:tcPr>
          <w:p w14:paraId="2660055E">
            <w:pPr>
              <w:widowControl/>
              <w:spacing w:line="240" w:lineRule="auto"/>
              <w:ind w:firstLine="0" w:firstLineChars="0"/>
              <w:jc w:val="center"/>
              <w:textAlignment w:val="center"/>
              <w:rPr>
                <w:rFonts w:cs="宋体"/>
                <w:color w:val="auto"/>
                <w:sz w:val="21"/>
                <w:szCs w:val="21"/>
              </w:rPr>
            </w:pPr>
          </w:p>
        </w:tc>
        <w:tc>
          <w:tcPr>
            <w:tcW w:w="921" w:type="pct"/>
            <w:tcBorders>
              <w:top w:val="single" w:color="000000" w:sz="8" w:space="0"/>
              <w:left w:val="nil"/>
              <w:bottom w:val="single" w:color="000000" w:sz="8" w:space="0"/>
              <w:right w:val="single" w:color="000000" w:sz="8" w:space="0"/>
            </w:tcBorders>
            <w:noWrap/>
            <w:vAlign w:val="center"/>
          </w:tcPr>
          <w:p w14:paraId="400C668D">
            <w:pPr>
              <w:widowControl/>
              <w:spacing w:line="240" w:lineRule="auto"/>
              <w:ind w:firstLine="0" w:firstLineChars="0"/>
              <w:jc w:val="center"/>
              <w:textAlignment w:val="center"/>
              <w:rPr>
                <w:color w:val="auto"/>
                <w:sz w:val="21"/>
                <w:szCs w:val="21"/>
              </w:rPr>
            </w:pPr>
          </w:p>
        </w:tc>
        <w:tc>
          <w:tcPr>
            <w:tcW w:w="810" w:type="pct"/>
            <w:tcBorders>
              <w:top w:val="single" w:color="000000" w:sz="8" w:space="0"/>
              <w:left w:val="single" w:color="000000" w:sz="8" w:space="0"/>
              <w:bottom w:val="nil"/>
              <w:right w:val="single" w:color="000000" w:sz="8" w:space="0"/>
            </w:tcBorders>
            <w:vAlign w:val="center"/>
          </w:tcPr>
          <w:p w14:paraId="5C0B6CD2">
            <w:pPr>
              <w:widowControl/>
              <w:spacing w:line="240" w:lineRule="auto"/>
              <w:ind w:firstLine="0" w:firstLineChars="0"/>
              <w:jc w:val="center"/>
              <w:textAlignment w:val="center"/>
              <w:rPr>
                <w:rFonts w:cs="宋体"/>
                <w:color w:val="auto"/>
                <w:sz w:val="21"/>
                <w:szCs w:val="21"/>
              </w:rPr>
            </w:pPr>
          </w:p>
        </w:tc>
        <w:tc>
          <w:tcPr>
            <w:tcW w:w="725" w:type="pct"/>
            <w:tcBorders>
              <w:top w:val="single" w:color="000000" w:sz="8" w:space="0"/>
              <w:left w:val="single" w:color="000000" w:sz="8" w:space="0"/>
              <w:bottom w:val="single" w:color="000000" w:sz="8" w:space="0"/>
              <w:right w:val="nil"/>
            </w:tcBorders>
            <w:vAlign w:val="center"/>
          </w:tcPr>
          <w:p w14:paraId="4643D62B">
            <w:pPr>
              <w:widowControl/>
              <w:spacing w:line="240" w:lineRule="auto"/>
              <w:ind w:firstLine="0" w:firstLineChars="0"/>
              <w:jc w:val="center"/>
              <w:textAlignment w:val="center"/>
              <w:rPr>
                <w:rFonts w:cs="宋体"/>
                <w:color w:val="auto"/>
                <w:sz w:val="21"/>
                <w:szCs w:val="21"/>
              </w:rPr>
            </w:pPr>
          </w:p>
        </w:tc>
        <w:tc>
          <w:tcPr>
            <w:tcW w:w="813" w:type="pct"/>
            <w:tcBorders>
              <w:top w:val="single" w:color="000000" w:sz="8" w:space="0"/>
              <w:left w:val="single" w:color="000000" w:sz="8" w:space="0"/>
              <w:bottom w:val="single" w:color="000000" w:sz="8" w:space="0"/>
              <w:right w:val="nil"/>
            </w:tcBorders>
            <w:noWrap/>
            <w:vAlign w:val="center"/>
          </w:tcPr>
          <w:p w14:paraId="6C4AC356">
            <w:pPr>
              <w:widowControl/>
              <w:spacing w:line="240" w:lineRule="auto"/>
              <w:ind w:firstLine="0" w:firstLineChars="0"/>
              <w:jc w:val="center"/>
              <w:textAlignment w:val="center"/>
              <w:rPr>
                <w:color w:val="auto"/>
                <w:sz w:val="21"/>
                <w:szCs w:val="21"/>
              </w:rPr>
            </w:pPr>
          </w:p>
        </w:tc>
      </w:tr>
      <w:tr w14:paraId="4154C590">
        <w:tblPrEx>
          <w:tblCellMar>
            <w:top w:w="0" w:type="dxa"/>
            <w:left w:w="108" w:type="dxa"/>
            <w:bottom w:w="0" w:type="dxa"/>
            <w:right w:w="108" w:type="dxa"/>
          </w:tblCellMar>
        </w:tblPrEx>
        <w:trPr>
          <w:trHeight w:val="285" w:hRule="atLeast"/>
        </w:trPr>
        <w:tc>
          <w:tcPr>
            <w:tcW w:w="741" w:type="pct"/>
            <w:vMerge w:val="continue"/>
            <w:tcBorders>
              <w:left w:val="nil"/>
              <w:bottom w:val="nil"/>
              <w:right w:val="single" w:color="000000" w:sz="8" w:space="0"/>
            </w:tcBorders>
            <w:noWrap/>
            <w:vAlign w:val="center"/>
          </w:tcPr>
          <w:p w14:paraId="3EB57523">
            <w:pPr>
              <w:widowControl/>
              <w:spacing w:line="240" w:lineRule="auto"/>
              <w:ind w:firstLine="0" w:firstLineChars="0"/>
              <w:jc w:val="center"/>
              <w:rPr>
                <w:rFonts w:cs="宋体"/>
                <w:color w:val="auto"/>
                <w:sz w:val="21"/>
                <w:szCs w:val="21"/>
              </w:rPr>
            </w:pPr>
          </w:p>
        </w:tc>
        <w:tc>
          <w:tcPr>
            <w:tcW w:w="988" w:type="pct"/>
            <w:tcBorders>
              <w:top w:val="single" w:color="000000" w:sz="4" w:space="0"/>
              <w:left w:val="single" w:color="000000" w:sz="4" w:space="0"/>
              <w:bottom w:val="single" w:color="000000" w:sz="4" w:space="0"/>
              <w:right w:val="single" w:color="000000" w:sz="4" w:space="0"/>
            </w:tcBorders>
            <w:noWrap/>
            <w:vAlign w:val="center"/>
          </w:tcPr>
          <w:p w14:paraId="6C693E2A">
            <w:pPr>
              <w:widowControl/>
              <w:spacing w:line="240" w:lineRule="auto"/>
              <w:ind w:firstLine="0" w:firstLineChars="0"/>
              <w:jc w:val="center"/>
              <w:textAlignment w:val="center"/>
              <w:rPr>
                <w:rFonts w:cs="宋体"/>
                <w:color w:val="auto"/>
                <w:sz w:val="21"/>
                <w:szCs w:val="21"/>
              </w:rPr>
            </w:pPr>
          </w:p>
        </w:tc>
        <w:tc>
          <w:tcPr>
            <w:tcW w:w="921" w:type="pct"/>
            <w:tcBorders>
              <w:top w:val="single" w:color="000000" w:sz="8" w:space="0"/>
              <w:left w:val="nil"/>
              <w:bottom w:val="single" w:color="000000" w:sz="8" w:space="0"/>
              <w:right w:val="single" w:color="000000" w:sz="8" w:space="0"/>
            </w:tcBorders>
            <w:noWrap/>
            <w:vAlign w:val="center"/>
          </w:tcPr>
          <w:p w14:paraId="41E3E83F">
            <w:pPr>
              <w:widowControl/>
              <w:spacing w:line="240" w:lineRule="auto"/>
              <w:ind w:firstLine="0" w:firstLineChars="0"/>
              <w:jc w:val="center"/>
              <w:textAlignment w:val="center"/>
              <w:rPr>
                <w:color w:val="auto"/>
                <w:sz w:val="21"/>
                <w:szCs w:val="21"/>
              </w:rPr>
            </w:pPr>
          </w:p>
        </w:tc>
        <w:tc>
          <w:tcPr>
            <w:tcW w:w="810" w:type="pct"/>
            <w:tcBorders>
              <w:top w:val="single" w:color="000000" w:sz="8" w:space="0"/>
              <w:left w:val="single" w:color="000000" w:sz="8" w:space="0"/>
              <w:bottom w:val="nil"/>
              <w:right w:val="single" w:color="000000" w:sz="8" w:space="0"/>
            </w:tcBorders>
            <w:vAlign w:val="center"/>
          </w:tcPr>
          <w:p w14:paraId="37DB21EF">
            <w:pPr>
              <w:widowControl/>
              <w:spacing w:line="240" w:lineRule="auto"/>
              <w:ind w:firstLine="0" w:firstLineChars="0"/>
              <w:jc w:val="center"/>
              <w:rPr>
                <w:rFonts w:cs="宋体"/>
                <w:color w:val="auto"/>
                <w:sz w:val="21"/>
                <w:szCs w:val="21"/>
              </w:rPr>
            </w:pPr>
          </w:p>
        </w:tc>
        <w:tc>
          <w:tcPr>
            <w:tcW w:w="725" w:type="pct"/>
            <w:tcBorders>
              <w:top w:val="single" w:color="000000" w:sz="8" w:space="0"/>
              <w:left w:val="single" w:color="000000" w:sz="8" w:space="0"/>
              <w:bottom w:val="nil"/>
              <w:right w:val="single" w:color="000000" w:sz="8" w:space="0"/>
            </w:tcBorders>
            <w:vAlign w:val="center"/>
          </w:tcPr>
          <w:p w14:paraId="17BA11E6">
            <w:pPr>
              <w:widowControl/>
              <w:spacing w:line="240" w:lineRule="auto"/>
              <w:ind w:firstLine="0" w:firstLineChars="0"/>
              <w:jc w:val="center"/>
              <w:rPr>
                <w:rFonts w:cs="宋体"/>
                <w:color w:val="auto"/>
                <w:sz w:val="21"/>
                <w:szCs w:val="21"/>
              </w:rPr>
            </w:pPr>
          </w:p>
        </w:tc>
        <w:tc>
          <w:tcPr>
            <w:tcW w:w="813" w:type="pct"/>
            <w:tcBorders>
              <w:top w:val="single" w:color="000000" w:sz="8" w:space="0"/>
              <w:left w:val="single" w:color="000000" w:sz="8" w:space="0"/>
              <w:bottom w:val="single" w:color="000000" w:sz="8" w:space="0"/>
              <w:right w:val="nil"/>
            </w:tcBorders>
            <w:noWrap/>
            <w:vAlign w:val="center"/>
          </w:tcPr>
          <w:p w14:paraId="733717C2">
            <w:pPr>
              <w:widowControl/>
              <w:spacing w:line="240" w:lineRule="auto"/>
              <w:ind w:firstLine="0" w:firstLineChars="0"/>
              <w:jc w:val="center"/>
              <w:rPr>
                <w:color w:val="auto"/>
                <w:sz w:val="21"/>
                <w:szCs w:val="21"/>
              </w:rPr>
            </w:pPr>
          </w:p>
        </w:tc>
      </w:tr>
      <w:tr w14:paraId="059338B9">
        <w:tblPrEx>
          <w:tblCellMar>
            <w:top w:w="0" w:type="dxa"/>
            <w:left w:w="108" w:type="dxa"/>
            <w:bottom w:w="0" w:type="dxa"/>
            <w:right w:w="108" w:type="dxa"/>
          </w:tblCellMar>
        </w:tblPrEx>
        <w:trPr>
          <w:trHeight w:val="285" w:hRule="atLeast"/>
        </w:trPr>
        <w:tc>
          <w:tcPr>
            <w:tcW w:w="1729" w:type="pct"/>
            <w:gridSpan w:val="2"/>
            <w:tcBorders>
              <w:top w:val="single" w:color="000000" w:sz="8" w:space="0"/>
              <w:left w:val="nil"/>
              <w:bottom w:val="single" w:color="000000" w:sz="12" w:space="0"/>
              <w:right w:val="single" w:color="000000" w:sz="8" w:space="0"/>
            </w:tcBorders>
            <w:noWrap/>
            <w:vAlign w:val="center"/>
          </w:tcPr>
          <w:p w14:paraId="43DD9627">
            <w:pPr>
              <w:widowControl/>
              <w:spacing w:line="240" w:lineRule="auto"/>
              <w:ind w:firstLine="0" w:firstLineChars="0"/>
              <w:jc w:val="center"/>
              <w:textAlignment w:val="center"/>
              <w:rPr>
                <w:rFonts w:cs="宋体"/>
                <w:color w:val="auto"/>
                <w:sz w:val="21"/>
                <w:szCs w:val="21"/>
              </w:rPr>
            </w:pPr>
          </w:p>
        </w:tc>
        <w:tc>
          <w:tcPr>
            <w:tcW w:w="921" w:type="pct"/>
            <w:tcBorders>
              <w:top w:val="single" w:color="000000" w:sz="8" w:space="0"/>
              <w:left w:val="single" w:color="000000" w:sz="8" w:space="0"/>
              <w:bottom w:val="single" w:color="000000" w:sz="12" w:space="0"/>
              <w:right w:val="single" w:color="000000" w:sz="8" w:space="0"/>
            </w:tcBorders>
            <w:noWrap/>
            <w:vAlign w:val="center"/>
          </w:tcPr>
          <w:p w14:paraId="2606FBA1">
            <w:pPr>
              <w:widowControl/>
              <w:spacing w:line="240" w:lineRule="auto"/>
              <w:ind w:firstLine="0" w:firstLineChars="0"/>
              <w:jc w:val="center"/>
              <w:textAlignment w:val="center"/>
              <w:rPr>
                <w:color w:val="auto"/>
                <w:sz w:val="21"/>
                <w:szCs w:val="21"/>
              </w:rPr>
            </w:pPr>
          </w:p>
        </w:tc>
        <w:tc>
          <w:tcPr>
            <w:tcW w:w="1535" w:type="pct"/>
            <w:gridSpan w:val="2"/>
            <w:tcBorders>
              <w:top w:val="single" w:color="000000" w:sz="8" w:space="0"/>
              <w:left w:val="single" w:color="000000" w:sz="8" w:space="0"/>
              <w:bottom w:val="single" w:color="000000" w:sz="12" w:space="0"/>
              <w:right w:val="single" w:color="000000" w:sz="8" w:space="0"/>
            </w:tcBorders>
            <w:noWrap/>
            <w:vAlign w:val="center"/>
          </w:tcPr>
          <w:p w14:paraId="272AE2D1">
            <w:pPr>
              <w:widowControl/>
              <w:spacing w:line="240" w:lineRule="auto"/>
              <w:ind w:firstLine="0" w:firstLineChars="0"/>
              <w:jc w:val="center"/>
              <w:textAlignment w:val="center"/>
              <w:rPr>
                <w:rFonts w:cs="宋体"/>
                <w:color w:val="auto"/>
                <w:sz w:val="21"/>
                <w:szCs w:val="21"/>
              </w:rPr>
            </w:pPr>
          </w:p>
        </w:tc>
        <w:tc>
          <w:tcPr>
            <w:tcW w:w="813" w:type="pct"/>
            <w:tcBorders>
              <w:top w:val="single" w:color="000000" w:sz="8" w:space="0"/>
              <w:left w:val="single" w:color="000000" w:sz="8" w:space="0"/>
              <w:bottom w:val="single" w:color="000000" w:sz="12" w:space="0"/>
              <w:right w:val="nil"/>
            </w:tcBorders>
            <w:noWrap/>
            <w:vAlign w:val="center"/>
          </w:tcPr>
          <w:p w14:paraId="280805D2">
            <w:pPr>
              <w:widowControl/>
              <w:spacing w:line="240" w:lineRule="auto"/>
              <w:ind w:firstLine="0" w:firstLineChars="0"/>
              <w:jc w:val="center"/>
              <w:textAlignment w:val="center"/>
              <w:rPr>
                <w:color w:val="auto"/>
                <w:sz w:val="21"/>
                <w:szCs w:val="21"/>
              </w:rPr>
            </w:pPr>
          </w:p>
        </w:tc>
      </w:tr>
    </w:tbl>
    <w:p w14:paraId="23BD8C40">
      <w:pPr>
        <w:ind w:firstLine="480"/>
        <w:rPr>
          <w:color w:val="auto"/>
        </w:rPr>
      </w:pPr>
    </w:p>
    <w:p w14:paraId="6661203F">
      <w:pPr>
        <w:pStyle w:val="6"/>
        <w:spacing w:before="156"/>
        <w:ind w:firstLine="482"/>
        <w:rPr>
          <w:color w:val="auto"/>
        </w:rPr>
      </w:pPr>
      <w:r>
        <w:rPr>
          <w:rFonts w:hint="eastAsia"/>
          <w:color w:val="auto"/>
        </w:rPr>
        <w:t>2.1</w:t>
      </w:r>
      <w:r>
        <w:rPr>
          <w:rFonts w:hint="eastAsia"/>
          <w:bCs/>
          <w:color w:val="auto"/>
        </w:rPr>
        <w:t>硫代硫酸镁</w:t>
      </w:r>
      <w:r>
        <w:rPr>
          <w:rFonts w:hint="eastAsia"/>
          <w:color w:val="auto"/>
        </w:rPr>
        <w:t>生产工艺水平衡</w:t>
      </w:r>
    </w:p>
    <w:p w14:paraId="36A5DC82">
      <w:pPr>
        <w:spacing w:line="240" w:lineRule="auto"/>
        <w:ind w:firstLine="482"/>
        <w:jc w:val="center"/>
        <w:rPr>
          <w:color w:val="auto"/>
        </w:rPr>
      </w:pPr>
      <w:r>
        <w:rPr>
          <w:rFonts w:hint="eastAsia"/>
          <w:b/>
          <w:bCs/>
          <w:color w:val="auto"/>
        </w:rPr>
        <w:t>表4.4-27  硫代硫酸镁生产工艺水平衡表（t/a）</w:t>
      </w:r>
    </w:p>
    <w:tbl>
      <w:tblPr>
        <w:tblStyle w:val="24"/>
        <w:tblW w:w="4999" w:type="pct"/>
        <w:tblInd w:w="0" w:type="dxa"/>
        <w:tblLayout w:type="autofit"/>
        <w:tblCellMar>
          <w:top w:w="0" w:type="dxa"/>
          <w:left w:w="108" w:type="dxa"/>
          <w:bottom w:w="0" w:type="dxa"/>
          <w:right w:w="108" w:type="dxa"/>
        </w:tblCellMar>
      </w:tblPr>
      <w:tblGrid>
        <w:gridCol w:w="1460"/>
        <w:gridCol w:w="1715"/>
        <w:gridCol w:w="1866"/>
        <w:gridCol w:w="1689"/>
        <w:gridCol w:w="1224"/>
        <w:gridCol w:w="1898"/>
      </w:tblGrid>
      <w:tr w14:paraId="5AD1028F">
        <w:tblPrEx>
          <w:tblCellMar>
            <w:top w:w="0" w:type="dxa"/>
            <w:left w:w="108" w:type="dxa"/>
            <w:bottom w:w="0" w:type="dxa"/>
            <w:right w:w="108" w:type="dxa"/>
          </w:tblCellMar>
        </w:tblPrEx>
        <w:trPr>
          <w:trHeight w:val="300" w:hRule="atLeast"/>
        </w:trPr>
        <w:tc>
          <w:tcPr>
            <w:tcW w:w="2558" w:type="pct"/>
            <w:gridSpan w:val="3"/>
            <w:tcBorders>
              <w:top w:val="single" w:color="000000" w:sz="12" w:space="0"/>
              <w:left w:val="nil"/>
              <w:bottom w:val="single" w:color="000000" w:sz="8" w:space="0"/>
              <w:right w:val="single" w:color="000000" w:sz="8" w:space="0"/>
            </w:tcBorders>
            <w:vAlign w:val="center"/>
          </w:tcPr>
          <w:p w14:paraId="4AF2174C">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投入</w:t>
            </w:r>
          </w:p>
        </w:tc>
        <w:tc>
          <w:tcPr>
            <w:tcW w:w="2441" w:type="pct"/>
            <w:gridSpan w:val="3"/>
            <w:tcBorders>
              <w:top w:val="single" w:color="000000" w:sz="12" w:space="0"/>
              <w:left w:val="single" w:color="000000" w:sz="8" w:space="0"/>
              <w:bottom w:val="single" w:color="000000" w:sz="8" w:space="0"/>
              <w:right w:val="nil"/>
            </w:tcBorders>
            <w:vAlign w:val="center"/>
          </w:tcPr>
          <w:p w14:paraId="3CD6CC5A">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产出</w:t>
            </w:r>
          </w:p>
        </w:tc>
      </w:tr>
      <w:tr w14:paraId="34CFF049">
        <w:tblPrEx>
          <w:tblCellMar>
            <w:top w:w="0" w:type="dxa"/>
            <w:left w:w="108" w:type="dxa"/>
            <w:bottom w:w="0" w:type="dxa"/>
            <w:right w:w="108" w:type="dxa"/>
          </w:tblCellMar>
        </w:tblPrEx>
        <w:trPr>
          <w:trHeight w:val="285" w:hRule="atLeast"/>
        </w:trPr>
        <w:tc>
          <w:tcPr>
            <w:tcW w:w="1611" w:type="pct"/>
            <w:gridSpan w:val="2"/>
            <w:tcBorders>
              <w:top w:val="single" w:color="000000" w:sz="8" w:space="0"/>
              <w:left w:val="nil"/>
              <w:bottom w:val="single" w:color="000000" w:sz="8" w:space="0"/>
              <w:right w:val="single" w:color="000000" w:sz="8" w:space="0"/>
            </w:tcBorders>
            <w:vAlign w:val="center"/>
          </w:tcPr>
          <w:p w14:paraId="25AD4EC4">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946" w:type="pct"/>
            <w:tcBorders>
              <w:top w:val="single" w:color="000000" w:sz="8" w:space="0"/>
              <w:left w:val="single" w:color="000000" w:sz="8" w:space="0"/>
              <w:bottom w:val="single" w:color="000000" w:sz="8" w:space="0"/>
              <w:right w:val="single" w:color="000000" w:sz="8" w:space="0"/>
            </w:tcBorders>
            <w:vAlign w:val="center"/>
          </w:tcPr>
          <w:p w14:paraId="265B4898">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数量</w:t>
            </w:r>
          </w:p>
        </w:tc>
        <w:tc>
          <w:tcPr>
            <w:tcW w:w="1478" w:type="pct"/>
            <w:gridSpan w:val="2"/>
            <w:tcBorders>
              <w:top w:val="single" w:color="000000" w:sz="8" w:space="0"/>
              <w:left w:val="single" w:color="000000" w:sz="8" w:space="0"/>
              <w:bottom w:val="nil"/>
              <w:right w:val="single" w:color="000000" w:sz="8" w:space="0"/>
            </w:tcBorders>
            <w:vAlign w:val="center"/>
          </w:tcPr>
          <w:p w14:paraId="275B38C3">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963" w:type="pct"/>
            <w:tcBorders>
              <w:top w:val="single" w:color="000000" w:sz="8" w:space="0"/>
              <w:left w:val="single" w:color="000000" w:sz="8" w:space="0"/>
              <w:bottom w:val="single" w:color="000000" w:sz="8" w:space="0"/>
              <w:right w:val="nil"/>
            </w:tcBorders>
            <w:vAlign w:val="center"/>
          </w:tcPr>
          <w:p w14:paraId="65F798A2">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数量</w:t>
            </w:r>
          </w:p>
        </w:tc>
      </w:tr>
      <w:tr w14:paraId="59E25120">
        <w:tblPrEx>
          <w:tblCellMar>
            <w:top w:w="0" w:type="dxa"/>
            <w:left w:w="108" w:type="dxa"/>
            <w:bottom w:w="0" w:type="dxa"/>
            <w:right w:w="108" w:type="dxa"/>
          </w:tblCellMar>
        </w:tblPrEx>
        <w:trPr>
          <w:trHeight w:val="285" w:hRule="atLeast"/>
        </w:trPr>
        <w:tc>
          <w:tcPr>
            <w:tcW w:w="741" w:type="pct"/>
            <w:tcBorders>
              <w:top w:val="single" w:color="000000" w:sz="8" w:space="0"/>
              <w:left w:val="nil"/>
              <w:bottom w:val="single" w:color="000000" w:sz="4" w:space="0"/>
              <w:right w:val="single" w:color="000000" w:sz="4" w:space="0"/>
            </w:tcBorders>
            <w:noWrap/>
            <w:vAlign w:val="center"/>
          </w:tcPr>
          <w:p w14:paraId="21B7CB0B">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原料带入水</w:t>
            </w:r>
          </w:p>
        </w:tc>
        <w:tc>
          <w:tcPr>
            <w:tcW w:w="870" w:type="pct"/>
            <w:tcBorders>
              <w:top w:val="single" w:color="000000" w:sz="8" w:space="0"/>
              <w:left w:val="single" w:color="000000" w:sz="4" w:space="0"/>
              <w:bottom w:val="single" w:color="000000" w:sz="8" w:space="0"/>
              <w:right w:val="nil"/>
            </w:tcBorders>
            <w:vAlign w:val="center"/>
          </w:tcPr>
          <w:p w14:paraId="514C8222">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水</w:t>
            </w:r>
          </w:p>
        </w:tc>
        <w:tc>
          <w:tcPr>
            <w:tcW w:w="946" w:type="pct"/>
            <w:tcBorders>
              <w:top w:val="single" w:color="000000" w:sz="8" w:space="0"/>
              <w:left w:val="single" w:color="000000" w:sz="8" w:space="0"/>
              <w:bottom w:val="single" w:color="000000" w:sz="8" w:space="0"/>
              <w:right w:val="nil"/>
            </w:tcBorders>
            <w:vAlign w:val="center"/>
          </w:tcPr>
          <w:p w14:paraId="7A5A12A2">
            <w:pPr>
              <w:widowControl/>
              <w:spacing w:line="240" w:lineRule="auto"/>
              <w:ind w:firstLine="0" w:firstLineChars="0"/>
              <w:jc w:val="center"/>
              <w:textAlignment w:val="center"/>
              <w:rPr>
                <w:color w:val="auto"/>
                <w:sz w:val="21"/>
                <w:szCs w:val="21"/>
              </w:rPr>
            </w:pPr>
            <w:r>
              <w:rPr>
                <w:color w:val="auto"/>
                <w:kern w:val="0"/>
                <w:sz w:val="21"/>
                <w:szCs w:val="21"/>
                <w:lang w:bidi="ar"/>
              </w:rPr>
              <w:t>320.000</w:t>
            </w:r>
          </w:p>
        </w:tc>
        <w:tc>
          <w:tcPr>
            <w:tcW w:w="1478" w:type="pct"/>
            <w:gridSpan w:val="2"/>
            <w:tcBorders>
              <w:top w:val="single" w:color="000000" w:sz="8" w:space="0"/>
              <w:left w:val="single" w:color="000000" w:sz="8" w:space="0"/>
              <w:bottom w:val="nil"/>
              <w:right w:val="single" w:color="000000" w:sz="8" w:space="0"/>
            </w:tcBorders>
            <w:vAlign w:val="center"/>
          </w:tcPr>
          <w:p w14:paraId="378BC2D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产品</w:t>
            </w:r>
          </w:p>
        </w:tc>
        <w:tc>
          <w:tcPr>
            <w:tcW w:w="963" w:type="pct"/>
            <w:tcBorders>
              <w:top w:val="single" w:color="000000" w:sz="8" w:space="0"/>
              <w:left w:val="single" w:color="000000" w:sz="8" w:space="0"/>
              <w:bottom w:val="single" w:color="000000" w:sz="8" w:space="0"/>
              <w:right w:val="nil"/>
            </w:tcBorders>
            <w:vAlign w:val="center"/>
          </w:tcPr>
          <w:p w14:paraId="302A5852">
            <w:pPr>
              <w:widowControl/>
              <w:spacing w:line="240" w:lineRule="auto"/>
              <w:ind w:firstLine="0" w:firstLineChars="0"/>
              <w:jc w:val="center"/>
              <w:textAlignment w:val="center"/>
              <w:rPr>
                <w:color w:val="auto"/>
                <w:sz w:val="21"/>
                <w:szCs w:val="21"/>
              </w:rPr>
            </w:pPr>
            <w:r>
              <w:rPr>
                <w:color w:val="auto"/>
                <w:kern w:val="0"/>
                <w:sz w:val="21"/>
                <w:szCs w:val="21"/>
                <w:lang w:bidi="ar"/>
              </w:rPr>
              <w:t>309.201</w:t>
            </w:r>
          </w:p>
        </w:tc>
      </w:tr>
      <w:tr w14:paraId="404782F7">
        <w:tblPrEx>
          <w:tblCellMar>
            <w:top w:w="0" w:type="dxa"/>
            <w:left w:w="108" w:type="dxa"/>
            <w:bottom w:w="0" w:type="dxa"/>
            <w:right w:w="108" w:type="dxa"/>
          </w:tblCellMar>
        </w:tblPrEx>
        <w:trPr>
          <w:trHeight w:val="285" w:hRule="atLeast"/>
        </w:trPr>
        <w:tc>
          <w:tcPr>
            <w:tcW w:w="741" w:type="pct"/>
            <w:tcBorders>
              <w:top w:val="single" w:color="000000" w:sz="4" w:space="0"/>
              <w:left w:val="nil"/>
              <w:bottom w:val="nil"/>
              <w:right w:val="nil"/>
            </w:tcBorders>
            <w:noWrap/>
            <w:vAlign w:val="center"/>
          </w:tcPr>
          <w:p w14:paraId="23D0F1F3">
            <w:pPr>
              <w:widowControl/>
              <w:spacing w:line="240" w:lineRule="auto"/>
              <w:ind w:firstLine="0" w:firstLineChars="0"/>
              <w:jc w:val="center"/>
              <w:rPr>
                <w:rFonts w:cs="宋体"/>
                <w:color w:val="auto"/>
                <w:sz w:val="21"/>
                <w:szCs w:val="21"/>
              </w:rPr>
            </w:pPr>
          </w:p>
        </w:tc>
        <w:tc>
          <w:tcPr>
            <w:tcW w:w="870" w:type="pct"/>
            <w:tcBorders>
              <w:top w:val="single" w:color="000000" w:sz="8" w:space="0"/>
              <w:left w:val="single" w:color="000000" w:sz="8" w:space="0"/>
              <w:bottom w:val="single" w:color="000000" w:sz="8" w:space="0"/>
              <w:right w:val="nil"/>
            </w:tcBorders>
            <w:vAlign w:val="center"/>
          </w:tcPr>
          <w:p w14:paraId="27535A52">
            <w:pPr>
              <w:widowControl/>
              <w:spacing w:line="240" w:lineRule="auto"/>
              <w:ind w:firstLine="0" w:firstLineChars="0"/>
              <w:jc w:val="center"/>
              <w:rPr>
                <w:color w:val="auto"/>
                <w:sz w:val="21"/>
                <w:szCs w:val="21"/>
              </w:rPr>
            </w:pPr>
          </w:p>
        </w:tc>
        <w:tc>
          <w:tcPr>
            <w:tcW w:w="946" w:type="pct"/>
            <w:tcBorders>
              <w:top w:val="single" w:color="000000" w:sz="8" w:space="0"/>
              <w:left w:val="single" w:color="000000" w:sz="8" w:space="0"/>
              <w:bottom w:val="single" w:color="000000" w:sz="8" w:space="0"/>
              <w:right w:val="nil"/>
            </w:tcBorders>
            <w:vAlign w:val="center"/>
          </w:tcPr>
          <w:p w14:paraId="1276E4DD">
            <w:pPr>
              <w:widowControl/>
              <w:spacing w:line="240" w:lineRule="auto"/>
              <w:ind w:firstLine="0" w:firstLineChars="0"/>
              <w:jc w:val="center"/>
              <w:rPr>
                <w:color w:val="auto"/>
                <w:sz w:val="21"/>
                <w:szCs w:val="21"/>
              </w:rPr>
            </w:pPr>
          </w:p>
        </w:tc>
        <w:tc>
          <w:tcPr>
            <w:tcW w:w="857" w:type="pct"/>
            <w:tcBorders>
              <w:top w:val="single" w:color="000000" w:sz="8" w:space="0"/>
              <w:left w:val="single" w:color="000000" w:sz="8" w:space="0"/>
              <w:bottom w:val="nil"/>
              <w:right w:val="single" w:color="000000" w:sz="8" w:space="0"/>
            </w:tcBorders>
            <w:vAlign w:val="center"/>
          </w:tcPr>
          <w:p w14:paraId="7448DF1D">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废气</w:t>
            </w:r>
          </w:p>
        </w:tc>
        <w:tc>
          <w:tcPr>
            <w:tcW w:w="620" w:type="pct"/>
            <w:tcBorders>
              <w:top w:val="single" w:color="000000" w:sz="8" w:space="0"/>
              <w:left w:val="single" w:color="000000" w:sz="8" w:space="0"/>
              <w:bottom w:val="single" w:color="000000" w:sz="8" w:space="0"/>
              <w:right w:val="nil"/>
            </w:tcBorders>
            <w:vAlign w:val="center"/>
          </w:tcPr>
          <w:p w14:paraId="4A33F899">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G5-1</w:t>
            </w:r>
          </w:p>
        </w:tc>
        <w:tc>
          <w:tcPr>
            <w:tcW w:w="963" w:type="pct"/>
            <w:tcBorders>
              <w:top w:val="single" w:color="000000" w:sz="8" w:space="0"/>
              <w:left w:val="single" w:color="000000" w:sz="8" w:space="0"/>
              <w:bottom w:val="single" w:color="000000" w:sz="8" w:space="0"/>
              <w:right w:val="nil"/>
            </w:tcBorders>
            <w:vAlign w:val="center"/>
          </w:tcPr>
          <w:p w14:paraId="474B18C3">
            <w:pPr>
              <w:widowControl/>
              <w:spacing w:line="240" w:lineRule="auto"/>
              <w:ind w:firstLine="0" w:firstLineChars="0"/>
              <w:jc w:val="center"/>
              <w:textAlignment w:val="center"/>
              <w:rPr>
                <w:color w:val="auto"/>
                <w:sz w:val="21"/>
                <w:szCs w:val="21"/>
              </w:rPr>
            </w:pPr>
            <w:r>
              <w:rPr>
                <w:color w:val="auto"/>
                <w:kern w:val="0"/>
                <w:sz w:val="21"/>
                <w:szCs w:val="21"/>
                <w:lang w:bidi="ar"/>
              </w:rPr>
              <w:t>10.798</w:t>
            </w:r>
          </w:p>
        </w:tc>
      </w:tr>
      <w:tr w14:paraId="3515D6A1">
        <w:tblPrEx>
          <w:tblCellMar>
            <w:top w:w="0" w:type="dxa"/>
            <w:left w:w="108" w:type="dxa"/>
            <w:bottom w:w="0" w:type="dxa"/>
            <w:right w:w="108" w:type="dxa"/>
          </w:tblCellMar>
        </w:tblPrEx>
        <w:trPr>
          <w:trHeight w:val="285" w:hRule="atLeast"/>
        </w:trPr>
        <w:tc>
          <w:tcPr>
            <w:tcW w:w="1611" w:type="pct"/>
            <w:gridSpan w:val="2"/>
            <w:tcBorders>
              <w:top w:val="single" w:color="000000" w:sz="8" w:space="0"/>
              <w:left w:val="nil"/>
              <w:bottom w:val="single" w:color="000000" w:sz="12" w:space="0"/>
              <w:right w:val="single" w:color="000000" w:sz="8" w:space="0"/>
            </w:tcBorders>
            <w:noWrap/>
            <w:vAlign w:val="center"/>
          </w:tcPr>
          <w:p w14:paraId="25DA9A35">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合计</w:t>
            </w:r>
          </w:p>
        </w:tc>
        <w:tc>
          <w:tcPr>
            <w:tcW w:w="946" w:type="pct"/>
            <w:tcBorders>
              <w:top w:val="single" w:color="000000" w:sz="8" w:space="0"/>
              <w:left w:val="single" w:color="000000" w:sz="8" w:space="0"/>
              <w:bottom w:val="single" w:color="000000" w:sz="12" w:space="0"/>
              <w:right w:val="single" w:color="000000" w:sz="8" w:space="0"/>
            </w:tcBorders>
            <w:noWrap/>
            <w:vAlign w:val="center"/>
          </w:tcPr>
          <w:p w14:paraId="36C7FF7B">
            <w:pPr>
              <w:widowControl/>
              <w:spacing w:line="240" w:lineRule="auto"/>
              <w:ind w:firstLine="0" w:firstLineChars="0"/>
              <w:jc w:val="center"/>
              <w:rPr>
                <w:color w:val="auto"/>
                <w:sz w:val="21"/>
                <w:szCs w:val="21"/>
              </w:rPr>
            </w:pPr>
            <w:r>
              <w:rPr>
                <w:rFonts w:hint="eastAsia"/>
                <w:color w:val="auto"/>
                <w:sz w:val="21"/>
                <w:szCs w:val="21"/>
              </w:rPr>
              <w:t>320.000</w:t>
            </w:r>
          </w:p>
        </w:tc>
        <w:tc>
          <w:tcPr>
            <w:tcW w:w="1478" w:type="pct"/>
            <w:gridSpan w:val="2"/>
            <w:tcBorders>
              <w:top w:val="single" w:color="000000" w:sz="8" w:space="0"/>
              <w:left w:val="single" w:color="000000" w:sz="8" w:space="0"/>
              <w:bottom w:val="single" w:color="000000" w:sz="12" w:space="0"/>
              <w:right w:val="single" w:color="000000" w:sz="8" w:space="0"/>
            </w:tcBorders>
            <w:noWrap/>
            <w:vAlign w:val="center"/>
          </w:tcPr>
          <w:p w14:paraId="093AFF7E">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合计</w:t>
            </w:r>
          </w:p>
        </w:tc>
        <w:tc>
          <w:tcPr>
            <w:tcW w:w="963" w:type="pct"/>
            <w:tcBorders>
              <w:top w:val="single" w:color="000000" w:sz="8" w:space="0"/>
              <w:left w:val="single" w:color="000000" w:sz="8" w:space="0"/>
              <w:bottom w:val="single" w:color="000000" w:sz="12" w:space="0"/>
              <w:right w:val="nil"/>
            </w:tcBorders>
            <w:noWrap/>
            <w:vAlign w:val="center"/>
          </w:tcPr>
          <w:p w14:paraId="1A2D1D2E">
            <w:pPr>
              <w:widowControl/>
              <w:spacing w:line="240" w:lineRule="auto"/>
              <w:ind w:firstLine="0" w:firstLineChars="0"/>
              <w:jc w:val="center"/>
              <w:textAlignment w:val="center"/>
              <w:rPr>
                <w:color w:val="auto"/>
                <w:sz w:val="21"/>
                <w:szCs w:val="21"/>
              </w:rPr>
            </w:pPr>
            <w:r>
              <w:rPr>
                <w:color w:val="auto"/>
                <w:kern w:val="0"/>
                <w:sz w:val="21"/>
                <w:szCs w:val="21"/>
                <w:lang w:bidi="ar"/>
              </w:rPr>
              <w:t>320.00</w:t>
            </w:r>
            <w:r>
              <w:rPr>
                <w:rFonts w:hint="eastAsia"/>
                <w:color w:val="auto"/>
                <w:kern w:val="0"/>
                <w:sz w:val="21"/>
                <w:szCs w:val="21"/>
                <w:lang w:bidi="ar"/>
              </w:rPr>
              <w:t>0</w:t>
            </w:r>
          </w:p>
        </w:tc>
      </w:tr>
    </w:tbl>
    <w:p w14:paraId="293A6CA3">
      <w:pPr>
        <w:pStyle w:val="6"/>
        <w:spacing w:before="156"/>
        <w:ind w:firstLine="482"/>
        <w:rPr>
          <w:color w:val="auto"/>
        </w:rPr>
      </w:pPr>
      <w:r>
        <w:rPr>
          <w:rFonts w:hint="eastAsia"/>
          <w:color w:val="auto"/>
        </w:rPr>
        <w:t>2.1</w:t>
      </w:r>
      <w:r>
        <w:rPr>
          <w:rFonts w:hint="eastAsia"/>
          <w:bCs/>
          <w:color w:val="auto"/>
        </w:rPr>
        <w:t>硫代硫酸钾</w:t>
      </w:r>
      <w:r>
        <w:rPr>
          <w:rFonts w:hint="eastAsia"/>
          <w:color w:val="auto"/>
        </w:rPr>
        <w:t>生产工艺水平衡</w:t>
      </w:r>
    </w:p>
    <w:p w14:paraId="667C7BB0">
      <w:pPr>
        <w:spacing w:line="240" w:lineRule="auto"/>
        <w:ind w:firstLine="482"/>
        <w:jc w:val="center"/>
        <w:rPr>
          <w:color w:val="auto"/>
        </w:rPr>
      </w:pPr>
      <w:r>
        <w:rPr>
          <w:rFonts w:hint="eastAsia"/>
          <w:b/>
          <w:bCs/>
          <w:color w:val="auto"/>
        </w:rPr>
        <w:t>表4.4-28  硫代硫酸钾生产工艺水平衡表（t/a）</w:t>
      </w:r>
    </w:p>
    <w:tbl>
      <w:tblPr>
        <w:tblStyle w:val="24"/>
        <w:tblW w:w="4999" w:type="pct"/>
        <w:tblInd w:w="0" w:type="dxa"/>
        <w:tblLayout w:type="autofit"/>
        <w:tblCellMar>
          <w:top w:w="0" w:type="dxa"/>
          <w:left w:w="108" w:type="dxa"/>
          <w:bottom w:w="0" w:type="dxa"/>
          <w:right w:w="108" w:type="dxa"/>
        </w:tblCellMar>
      </w:tblPr>
      <w:tblGrid>
        <w:gridCol w:w="1350"/>
        <w:gridCol w:w="2107"/>
        <w:gridCol w:w="1596"/>
        <w:gridCol w:w="2899"/>
        <w:gridCol w:w="1900"/>
      </w:tblGrid>
      <w:tr w14:paraId="21576ECB">
        <w:tblPrEx>
          <w:tblCellMar>
            <w:top w:w="0" w:type="dxa"/>
            <w:left w:w="108" w:type="dxa"/>
            <w:bottom w:w="0" w:type="dxa"/>
            <w:right w:w="108" w:type="dxa"/>
          </w:tblCellMar>
        </w:tblPrEx>
        <w:trPr>
          <w:trHeight w:val="300" w:hRule="atLeast"/>
        </w:trPr>
        <w:tc>
          <w:tcPr>
            <w:tcW w:w="2564" w:type="pct"/>
            <w:gridSpan w:val="3"/>
            <w:tcBorders>
              <w:top w:val="single" w:color="000000" w:sz="12" w:space="0"/>
              <w:left w:val="nil"/>
              <w:bottom w:val="single" w:color="000000" w:sz="8" w:space="0"/>
              <w:right w:val="single" w:color="000000" w:sz="8" w:space="0"/>
            </w:tcBorders>
            <w:vAlign w:val="center"/>
          </w:tcPr>
          <w:p w14:paraId="757F3ED4">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投入</w:t>
            </w:r>
          </w:p>
        </w:tc>
        <w:tc>
          <w:tcPr>
            <w:tcW w:w="2435" w:type="pct"/>
            <w:gridSpan w:val="2"/>
            <w:tcBorders>
              <w:top w:val="single" w:color="000000" w:sz="12" w:space="0"/>
              <w:left w:val="single" w:color="000000" w:sz="8" w:space="0"/>
              <w:bottom w:val="single" w:color="000000" w:sz="8" w:space="0"/>
              <w:right w:val="nil"/>
            </w:tcBorders>
            <w:vAlign w:val="center"/>
          </w:tcPr>
          <w:p w14:paraId="4EBEA33A">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产出</w:t>
            </w:r>
          </w:p>
        </w:tc>
      </w:tr>
      <w:tr w14:paraId="375A049B">
        <w:tblPrEx>
          <w:tblCellMar>
            <w:top w:w="0" w:type="dxa"/>
            <w:left w:w="108" w:type="dxa"/>
            <w:bottom w:w="0" w:type="dxa"/>
            <w:right w:w="108" w:type="dxa"/>
          </w:tblCellMar>
        </w:tblPrEx>
        <w:trPr>
          <w:trHeight w:val="285" w:hRule="atLeast"/>
        </w:trPr>
        <w:tc>
          <w:tcPr>
            <w:tcW w:w="1754" w:type="pct"/>
            <w:gridSpan w:val="2"/>
            <w:tcBorders>
              <w:top w:val="single" w:color="000000" w:sz="8" w:space="0"/>
              <w:left w:val="nil"/>
              <w:bottom w:val="single" w:color="000000" w:sz="8" w:space="0"/>
              <w:right w:val="single" w:color="000000" w:sz="8" w:space="0"/>
            </w:tcBorders>
            <w:vAlign w:val="center"/>
          </w:tcPr>
          <w:p w14:paraId="29D38533">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810" w:type="pct"/>
            <w:tcBorders>
              <w:top w:val="single" w:color="000000" w:sz="8" w:space="0"/>
              <w:left w:val="single" w:color="000000" w:sz="8" w:space="0"/>
              <w:bottom w:val="single" w:color="000000" w:sz="8" w:space="0"/>
              <w:right w:val="single" w:color="000000" w:sz="8" w:space="0"/>
            </w:tcBorders>
            <w:vAlign w:val="center"/>
          </w:tcPr>
          <w:p w14:paraId="0BC07874">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数量</w:t>
            </w:r>
          </w:p>
        </w:tc>
        <w:tc>
          <w:tcPr>
            <w:tcW w:w="1471" w:type="pct"/>
            <w:tcBorders>
              <w:top w:val="single" w:color="000000" w:sz="8" w:space="0"/>
              <w:left w:val="single" w:color="000000" w:sz="8" w:space="0"/>
              <w:bottom w:val="nil"/>
              <w:right w:val="single" w:color="000000" w:sz="8" w:space="0"/>
            </w:tcBorders>
            <w:vAlign w:val="center"/>
          </w:tcPr>
          <w:p w14:paraId="101FDD34">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964" w:type="pct"/>
            <w:tcBorders>
              <w:top w:val="single" w:color="000000" w:sz="8" w:space="0"/>
              <w:left w:val="single" w:color="000000" w:sz="8" w:space="0"/>
              <w:bottom w:val="single" w:color="000000" w:sz="8" w:space="0"/>
              <w:right w:val="nil"/>
            </w:tcBorders>
            <w:vAlign w:val="center"/>
          </w:tcPr>
          <w:p w14:paraId="311F6317">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数量</w:t>
            </w:r>
          </w:p>
        </w:tc>
      </w:tr>
      <w:tr w14:paraId="7CE2DF18">
        <w:tblPrEx>
          <w:tblCellMar>
            <w:top w:w="0" w:type="dxa"/>
            <w:left w:w="108" w:type="dxa"/>
            <w:bottom w:w="0" w:type="dxa"/>
            <w:right w:w="108" w:type="dxa"/>
          </w:tblCellMar>
        </w:tblPrEx>
        <w:trPr>
          <w:trHeight w:val="525" w:hRule="atLeast"/>
        </w:trPr>
        <w:tc>
          <w:tcPr>
            <w:tcW w:w="685" w:type="pct"/>
            <w:vMerge w:val="restart"/>
            <w:tcBorders>
              <w:top w:val="single" w:color="000000" w:sz="8" w:space="0"/>
              <w:left w:val="nil"/>
              <w:bottom w:val="nil"/>
              <w:right w:val="nil"/>
            </w:tcBorders>
            <w:noWrap/>
            <w:vAlign w:val="center"/>
          </w:tcPr>
          <w:p w14:paraId="4DB14F42">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原料带入水</w:t>
            </w:r>
          </w:p>
        </w:tc>
        <w:tc>
          <w:tcPr>
            <w:tcW w:w="1069" w:type="pct"/>
            <w:tcBorders>
              <w:top w:val="single" w:color="000000" w:sz="8" w:space="0"/>
              <w:left w:val="single" w:color="000000" w:sz="4" w:space="0"/>
              <w:bottom w:val="single" w:color="000000" w:sz="8" w:space="0"/>
              <w:right w:val="nil"/>
            </w:tcBorders>
            <w:vAlign w:val="center"/>
          </w:tcPr>
          <w:p w14:paraId="2FFCA35E">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46%亚硫酸钾溶液</w:t>
            </w:r>
          </w:p>
        </w:tc>
        <w:tc>
          <w:tcPr>
            <w:tcW w:w="810" w:type="pct"/>
            <w:tcBorders>
              <w:top w:val="single" w:color="000000" w:sz="8" w:space="0"/>
              <w:left w:val="single" w:color="000000" w:sz="8" w:space="0"/>
              <w:bottom w:val="single" w:color="000000" w:sz="8" w:space="0"/>
              <w:right w:val="nil"/>
            </w:tcBorders>
            <w:vAlign w:val="center"/>
          </w:tcPr>
          <w:p w14:paraId="622673E3">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474.336 </w:t>
            </w:r>
          </w:p>
        </w:tc>
        <w:tc>
          <w:tcPr>
            <w:tcW w:w="1471" w:type="pct"/>
            <w:tcBorders>
              <w:top w:val="single" w:color="000000" w:sz="8" w:space="0"/>
              <w:left w:val="single" w:color="000000" w:sz="8" w:space="0"/>
              <w:bottom w:val="nil"/>
              <w:right w:val="single" w:color="000000" w:sz="8" w:space="0"/>
            </w:tcBorders>
            <w:vAlign w:val="center"/>
          </w:tcPr>
          <w:p w14:paraId="4844476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产品</w:t>
            </w:r>
          </w:p>
        </w:tc>
        <w:tc>
          <w:tcPr>
            <w:tcW w:w="964" w:type="pct"/>
            <w:tcBorders>
              <w:top w:val="single" w:color="000000" w:sz="8" w:space="0"/>
              <w:left w:val="single" w:color="000000" w:sz="8" w:space="0"/>
              <w:bottom w:val="single" w:color="000000" w:sz="8" w:space="0"/>
              <w:right w:val="nil"/>
            </w:tcBorders>
            <w:vAlign w:val="center"/>
          </w:tcPr>
          <w:p w14:paraId="2A949AF5">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549.590 </w:t>
            </w:r>
          </w:p>
        </w:tc>
      </w:tr>
      <w:tr w14:paraId="79139FDD">
        <w:tblPrEx>
          <w:tblCellMar>
            <w:top w:w="0" w:type="dxa"/>
            <w:left w:w="108" w:type="dxa"/>
            <w:bottom w:w="0" w:type="dxa"/>
            <w:right w:w="108" w:type="dxa"/>
          </w:tblCellMar>
        </w:tblPrEx>
        <w:trPr>
          <w:trHeight w:val="285" w:hRule="atLeast"/>
        </w:trPr>
        <w:tc>
          <w:tcPr>
            <w:tcW w:w="685" w:type="pct"/>
            <w:vMerge w:val="continue"/>
            <w:tcBorders>
              <w:top w:val="single" w:color="000000" w:sz="8" w:space="0"/>
              <w:left w:val="nil"/>
              <w:bottom w:val="nil"/>
              <w:right w:val="nil"/>
            </w:tcBorders>
            <w:noWrap/>
            <w:vAlign w:val="center"/>
          </w:tcPr>
          <w:p w14:paraId="7795271B">
            <w:pPr>
              <w:widowControl/>
              <w:spacing w:line="240" w:lineRule="auto"/>
              <w:ind w:firstLine="0" w:firstLineChars="0"/>
              <w:jc w:val="center"/>
              <w:rPr>
                <w:rFonts w:cs="宋体"/>
                <w:color w:val="auto"/>
                <w:sz w:val="21"/>
                <w:szCs w:val="21"/>
              </w:rPr>
            </w:pPr>
          </w:p>
        </w:tc>
        <w:tc>
          <w:tcPr>
            <w:tcW w:w="1069" w:type="pct"/>
            <w:tcBorders>
              <w:top w:val="single" w:color="000000" w:sz="8" w:space="0"/>
              <w:left w:val="single" w:color="000000" w:sz="8" w:space="0"/>
              <w:bottom w:val="single" w:color="000000" w:sz="8" w:space="0"/>
              <w:right w:val="nil"/>
            </w:tcBorders>
            <w:vAlign w:val="center"/>
          </w:tcPr>
          <w:p w14:paraId="6AE8A8FA">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水</w:t>
            </w:r>
          </w:p>
        </w:tc>
        <w:tc>
          <w:tcPr>
            <w:tcW w:w="810" w:type="pct"/>
            <w:tcBorders>
              <w:top w:val="single" w:color="000000" w:sz="8" w:space="0"/>
              <w:left w:val="single" w:color="000000" w:sz="8" w:space="0"/>
              <w:bottom w:val="single" w:color="000000" w:sz="8" w:space="0"/>
              <w:right w:val="nil"/>
            </w:tcBorders>
            <w:vAlign w:val="center"/>
          </w:tcPr>
          <w:p w14:paraId="2A93A80C">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122.688 </w:t>
            </w:r>
          </w:p>
        </w:tc>
        <w:tc>
          <w:tcPr>
            <w:tcW w:w="1471" w:type="pct"/>
            <w:tcBorders>
              <w:top w:val="single" w:color="000000" w:sz="8" w:space="0"/>
              <w:left w:val="single" w:color="000000" w:sz="8" w:space="0"/>
              <w:bottom w:val="nil"/>
              <w:right w:val="nil"/>
            </w:tcBorders>
            <w:vAlign w:val="center"/>
          </w:tcPr>
          <w:p w14:paraId="5AAD41AA">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水蒸气</w:t>
            </w:r>
          </w:p>
        </w:tc>
        <w:tc>
          <w:tcPr>
            <w:tcW w:w="964" w:type="pct"/>
            <w:tcBorders>
              <w:top w:val="single" w:color="000000" w:sz="8" w:space="0"/>
              <w:left w:val="single" w:color="000000" w:sz="8" w:space="0"/>
              <w:bottom w:val="single" w:color="000000" w:sz="8" w:space="0"/>
              <w:right w:val="nil"/>
            </w:tcBorders>
            <w:vAlign w:val="center"/>
          </w:tcPr>
          <w:p w14:paraId="01BB1B8D">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47.434 </w:t>
            </w:r>
          </w:p>
        </w:tc>
      </w:tr>
      <w:tr w14:paraId="5EFE6360">
        <w:tblPrEx>
          <w:tblCellMar>
            <w:top w:w="0" w:type="dxa"/>
            <w:left w:w="108" w:type="dxa"/>
            <w:bottom w:w="0" w:type="dxa"/>
            <w:right w:w="108" w:type="dxa"/>
          </w:tblCellMar>
        </w:tblPrEx>
        <w:trPr>
          <w:trHeight w:val="285" w:hRule="atLeast"/>
        </w:trPr>
        <w:tc>
          <w:tcPr>
            <w:tcW w:w="1754" w:type="pct"/>
            <w:gridSpan w:val="2"/>
            <w:tcBorders>
              <w:top w:val="single" w:color="000000" w:sz="8" w:space="0"/>
              <w:left w:val="nil"/>
              <w:bottom w:val="single" w:color="000000" w:sz="12" w:space="0"/>
              <w:right w:val="single" w:color="000000" w:sz="8" w:space="0"/>
            </w:tcBorders>
            <w:noWrap/>
            <w:vAlign w:val="center"/>
          </w:tcPr>
          <w:p w14:paraId="696205D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合计</w:t>
            </w:r>
          </w:p>
        </w:tc>
        <w:tc>
          <w:tcPr>
            <w:tcW w:w="810" w:type="pct"/>
            <w:tcBorders>
              <w:top w:val="single" w:color="000000" w:sz="8" w:space="0"/>
              <w:left w:val="single" w:color="000000" w:sz="8" w:space="0"/>
              <w:bottom w:val="single" w:color="000000" w:sz="12" w:space="0"/>
              <w:right w:val="single" w:color="000000" w:sz="8" w:space="0"/>
            </w:tcBorders>
            <w:noWrap/>
            <w:vAlign w:val="center"/>
          </w:tcPr>
          <w:p w14:paraId="195152DF">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597.024 </w:t>
            </w:r>
          </w:p>
        </w:tc>
        <w:tc>
          <w:tcPr>
            <w:tcW w:w="1471" w:type="pct"/>
            <w:tcBorders>
              <w:top w:val="single" w:color="000000" w:sz="8" w:space="0"/>
              <w:left w:val="single" w:color="000000" w:sz="8" w:space="0"/>
              <w:bottom w:val="single" w:color="000000" w:sz="12" w:space="0"/>
              <w:right w:val="single" w:color="000000" w:sz="8" w:space="0"/>
            </w:tcBorders>
            <w:noWrap/>
            <w:vAlign w:val="center"/>
          </w:tcPr>
          <w:p w14:paraId="15F72334">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合计</w:t>
            </w:r>
          </w:p>
        </w:tc>
        <w:tc>
          <w:tcPr>
            <w:tcW w:w="964" w:type="pct"/>
            <w:tcBorders>
              <w:top w:val="single" w:color="000000" w:sz="8" w:space="0"/>
              <w:left w:val="single" w:color="000000" w:sz="8" w:space="0"/>
              <w:bottom w:val="single" w:color="000000" w:sz="12" w:space="0"/>
              <w:right w:val="nil"/>
            </w:tcBorders>
            <w:noWrap/>
            <w:vAlign w:val="center"/>
          </w:tcPr>
          <w:p w14:paraId="2AA37DB3">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597.024 </w:t>
            </w:r>
          </w:p>
        </w:tc>
      </w:tr>
    </w:tbl>
    <w:p w14:paraId="13FCD3F3">
      <w:pPr>
        <w:ind w:firstLine="480"/>
        <w:rPr>
          <w:color w:val="auto"/>
        </w:rPr>
      </w:pPr>
    </w:p>
    <w:p w14:paraId="47B5995B">
      <w:pPr>
        <w:ind w:firstLine="480"/>
        <w:rPr>
          <w:color w:val="auto"/>
        </w:rPr>
      </w:pPr>
    </w:p>
    <w:p w14:paraId="492CEFD0">
      <w:pPr>
        <w:pStyle w:val="6"/>
        <w:spacing w:before="156"/>
        <w:ind w:firstLine="482"/>
        <w:rPr>
          <w:color w:val="auto"/>
        </w:rPr>
      </w:pPr>
      <w:r>
        <w:rPr>
          <w:rFonts w:hint="eastAsia"/>
          <w:color w:val="auto"/>
        </w:rPr>
        <w:t>2.1</w:t>
      </w:r>
      <w:r>
        <w:rPr>
          <w:rFonts w:hint="eastAsia"/>
          <w:bCs/>
          <w:color w:val="auto"/>
        </w:rPr>
        <w:t>一水亚硫酸铵</w:t>
      </w:r>
      <w:r>
        <w:rPr>
          <w:rFonts w:hint="eastAsia"/>
          <w:color w:val="auto"/>
        </w:rPr>
        <w:t>生产工艺水平衡</w:t>
      </w:r>
    </w:p>
    <w:p w14:paraId="663BAAB9">
      <w:pPr>
        <w:spacing w:line="240" w:lineRule="auto"/>
        <w:ind w:firstLine="482"/>
        <w:jc w:val="center"/>
        <w:rPr>
          <w:color w:val="auto"/>
        </w:rPr>
      </w:pPr>
      <w:r>
        <w:rPr>
          <w:rFonts w:hint="eastAsia"/>
          <w:b/>
          <w:bCs/>
          <w:color w:val="auto"/>
        </w:rPr>
        <w:t>表4.4-29  一水亚硫酸铵生产工艺水平衡表（氨工艺）（t/a）</w:t>
      </w:r>
    </w:p>
    <w:tbl>
      <w:tblPr>
        <w:tblStyle w:val="24"/>
        <w:tblW w:w="4998" w:type="pct"/>
        <w:tblInd w:w="0" w:type="dxa"/>
        <w:tblLayout w:type="autofit"/>
        <w:tblCellMar>
          <w:top w:w="0" w:type="dxa"/>
          <w:left w:w="108" w:type="dxa"/>
          <w:bottom w:w="0" w:type="dxa"/>
          <w:right w:w="108" w:type="dxa"/>
        </w:tblCellMar>
      </w:tblPr>
      <w:tblGrid>
        <w:gridCol w:w="1463"/>
        <w:gridCol w:w="2540"/>
        <w:gridCol w:w="1360"/>
        <w:gridCol w:w="1228"/>
        <w:gridCol w:w="2039"/>
        <w:gridCol w:w="1220"/>
      </w:tblGrid>
      <w:tr w14:paraId="5BE2D181">
        <w:tblPrEx>
          <w:tblCellMar>
            <w:top w:w="0" w:type="dxa"/>
            <w:left w:w="108" w:type="dxa"/>
            <w:bottom w:w="0" w:type="dxa"/>
            <w:right w:w="108" w:type="dxa"/>
          </w:tblCellMar>
        </w:tblPrEx>
        <w:trPr>
          <w:trHeight w:val="300" w:hRule="atLeast"/>
        </w:trPr>
        <w:tc>
          <w:tcPr>
            <w:tcW w:w="2722" w:type="pct"/>
            <w:gridSpan w:val="3"/>
            <w:tcBorders>
              <w:top w:val="single" w:color="000000" w:sz="12" w:space="0"/>
              <w:left w:val="nil"/>
              <w:bottom w:val="single" w:color="000000" w:sz="8" w:space="0"/>
              <w:right w:val="single" w:color="000000" w:sz="8" w:space="0"/>
            </w:tcBorders>
            <w:vAlign w:val="center"/>
          </w:tcPr>
          <w:p w14:paraId="3D9F21D8">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投入</w:t>
            </w:r>
          </w:p>
        </w:tc>
        <w:tc>
          <w:tcPr>
            <w:tcW w:w="2277" w:type="pct"/>
            <w:gridSpan w:val="3"/>
            <w:tcBorders>
              <w:top w:val="single" w:color="000000" w:sz="12" w:space="0"/>
              <w:left w:val="single" w:color="000000" w:sz="8" w:space="0"/>
              <w:bottom w:val="single" w:color="000000" w:sz="8" w:space="0"/>
              <w:right w:val="nil"/>
            </w:tcBorders>
            <w:vAlign w:val="center"/>
          </w:tcPr>
          <w:p w14:paraId="6039D623">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产出</w:t>
            </w:r>
          </w:p>
        </w:tc>
      </w:tr>
      <w:tr w14:paraId="7EE648D3">
        <w:tblPrEx>
          <w:tblCellMar>
            <w:top w:w="0" w:type="dxa"/>
            <w:left w:w="108" w:type="dxa"/>
            <w:bottom w:w="0" w:type="dxa"/>
            <w:right w:w="108" w:type="dxa"/>
          </w:tblCellMar>
        </w:tblPrEx>
        <w:trPr>
          <w:trHeight w:val="285" w:hRule="atLeast"/>
        </w:trPr>
        <w:tc>
          <w:tcPr>
            <w:tcW w:w="2032" w:type="pct"/>
            <w:gridSpan w:val="2"/>
            <w:tcBorders>
              <w:top w:val="single" w:color="000000" w:sz="8" w:space="0"/>
              <w:left w:val="nil"/>
              <w:bottom w:val="single" w:color="000000" w:sz="8" w:space="0"/>
              <w:right w:val="single" w:color="000000" w:sz="8" w:space="0"/>
            </w:tcBorders>
            <w:vAlign w:val="center"/>
          </w:tcPr>
          <w:p w14:paraId="33B0D2E0">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689" w:type="pct"/>
            <w:tcBorders>
              <w:top w:val="single" w:color="000000" w:sz="8" w:space="0"/>
              <w:left w:val="single" w:color="000000" w:sz="8" w:space="0"/>
              <w:bottom w:val="single" w:color="000000" w:sz="8" w:space="0"/>
              <w:right w:val="single" w:color="000000" w:sz="8" w:space="0"/>
            </w:tcBorders>
            <w:vAlign w:val="center"/>
          </w:tcPr>
          <w:p w14:paraId="5D072A09">
            <w:pPr>
              <w:widowControl/>
              <w:spacing w:line="240" w:lineRule="auto"/>
              <w:ind w:firstLine="0" w:firstLineChars="0"/>
              <w:jc w:val="center"/>
              <w:textAlignment w:val="center"/>
              <w:rPr>
                <w:rFonts w:cs="宋体"/>
                <w:b/>
                <w:color w:val="auto"/>
                <w:sz w:val="21"/>
                <w:szCs w:val="21"/>
              </w:rPr>
            </w:pPr>
            <w:r>
              <w:rPr>
                <w:rFonts w:hint="eastAsia" w:cs="宋体"/>
                <w:b/>
                <w:color w:val="auto"/>
                <w:sz w:val="21"/>
                <w:szCs w:val="21"/>
              </w:rPr>
              <w:t>数量</w:t>
            </w:r>
          </w:p>
        </w:tc>
        <w:tc>
          <w:tcPr>
            <w:tcW w:w="1658" w:type="pct"/>
            <w:gridSpan w:val="2"/>
            <w:tcBorders>
              <w:top w:val="single" w:color="000000" w:sz="8" w:space="0"/>
              <w:left w:val="single" w:color="000000" w:sz="8" w:space="0"/>
              <w:bottom w:val="nil"/>
              <w:right w:val="single" w:color="000000" w:sz="8" w:space="0"/>
            </w:tcBorders>
            <w:vAlign w:val="center"/>
          </w:tcPr>
          <w:p w14:paraId="27FBB58C">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619" w:type="pct"/>
            <w:tcBorders>
              <w:top w:val="single" w:color="000000" w:sz="8" w:space="0"/>
              <w:left w:val="single" w:color="000000" w:sz="8" w:space="0"/>
              <w:bottom w:val="single" w:color="000000" w:sz="8" w:space="0"/>
              <w:right w:val="nil"/>
            </w:tcBorders>
            <w:vAlign w:val="center"/>
          </w:tcPr>
          <w:p w14:paraId="0D04DFC6">
            <w:pPr>
              <w:widowControl/>
              <w:spacing w:line="240" w:lineRule="auto"/>
              <w:ind w:firstLine="0" w:firstLineChars="0"/>
              <w:jc w:val="center"/>
              <w:rPr>
                <w:rFonts w:cs="宋体"/>
                <w:b/>
                <w:color w:val="auto"/>
                <w:sz w:val="21"/>
                <w:szCs w:val="21"/>
              </w:rPr>
            </w:pPr>
            <w:r>
              <w:rPr>
                <w:rFonts w:hint="eastAsia" w:cs="宋体"/>
                <w:b/>
                <w:color w:val="auto"/>
                <w:sz w:val="21"/>
                <w:szCs w:val="21"/>
              </w:rPr>
              <w:t>数量</w:t>
            </w:r>
          </w:p>
        </w:tc>
      </w:tr>
      <w:tr w14:paraId="601B4B87">
        <w:tblPrEx>
          <w:tblCellMar>
            <w:top w:w="0" w:type="dxa"/>
            <w:left w:w="108" w:type="dxa"/>
            <w:bottom w:w="0" w:type="dxa"/>
            <w:right w:w="108" w:type="dxa"/>
          </w:tblCellMar>
        </w:tblPrEx>
        <w:trPr>
          <w:trHeight w:val="525" w:hRule="atLeast"/>
        </w:trPr>
        <w:tc>
          <w:tcPr>
            <w:tcW w:w="743" w:type="pct"/>
            <w:tcBorders>
              <w:top w:val="single" w:color="000000" w:sz="8" w:space="0"/>
              <w:left w:val="nil"/>
              <w:bottom w:val="nil"/>
              <w:right w:val="single" w:color="000000" w:sz="8" w:space="0"/>
            </w:tcBorders>
            <w:noWrap/>
            <w:vAlign w:val="center"/>
          </w:tcPr>
          <w:p w14:paraId="0FF842F2">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原料带入水</w:t>
            </w:r>
          </w:p>
        </w:tc>
        <w:tc>
          <w:tcPr>
            <w:tcW w:w="1289" w:type="pct"/>
            <w:tcBorders>
              <w:top w:val="single" w:color="000000" w:sz="8" w:space="0"/>
              <w:left w:val="nil"/>
              <w:bottom w:val="nil"/>
              <w:right w:val="nil"/>
            </w:tcBorders>
            <w:vAlign w:val="center"/>
          </w:tcPr>
          <w:p w14:paraId="2000F97E">
            <w:pPr>
              <w:widowControl/>
              <w:spacing w:line="240" w:lineRule="auto"/>
              <w:ind w:firstLine="0" w:firstLineChars="0"/>
              <w:jc w:val="center"/>
              <w:textAlignment w:val="center"/>
              <w:rPr>
                <w:rFonts w:cs="宋体"/>
                <w:color w:val="auto"/>
                <w:sz w:val="21"/>
                <w:szCs w:val="21"/>
              </w:rPr>
            </w:pPr>
          </w:p>
        </w:tc>
        <w:tc>
          <w:tcPr>
            <w:tcW w:w="689" w:type="pct"/>
            <w:tcBorders>
              <w:top w:val="single" w:color="000000" w:sz="8" w:space="0"/>
              <w:left w:val="single" w:color="000000" w:sz="8" w:space="0"/>
              <w:bottom w:val="single" w:color="000000" w:sz="8" w:space="0"/>
              <w:right w:val="nil"/>
            </w:tcBorders>
            <w:vAlign w:val="center"/>
          </w:tcPr>
          <w:p w14:paraId="0547584F">
            <w:pPr>
              <w:widowControl/>
              <w:spacing w:line="240" w:lineRule="auto"/>
              <w:ind w:firstLine="0" w:firstLineChars="0"/>
              <w:jc w:val="center"/>
              <w:textAlignment w:val="center"/>
              <w:rPr>
                <w:color w:val="auto"/>
                <w:sz w:val="21"/>
                <w:szCs w:val="21"/>
              </w:rPr>
            </w:pPr>
          </w:p>
        </w:tc>
        <w:tc>
          <w:tcPr>
            <w:tcW w:w="1658" w:type="pct"/>
            <w:gridSpan w:val="2"/>
            <w:tcBorders>
              <w:top w:val="single" w:color="000000" w:sz="8" w:space="0"/>
              <w:left w:val="single" w:color="000000" w:sz="8" w:space="0"/>
              <w:bottom w:val="nil"/>
              <w:right w:val="single" w:color="000000" w:sz="8" w:space="0"/>
            </w:tcBorders>
            <w:vAlign w:val="center"/>
          </w:tcPr>
          <w:p w14:paraId="5297BC31">
            <w:pPr>
              <w:widowControl/>
              <w:spacing w:line="240" w:lineRule="auto"/>
              <w:ind w:firstLine="0" w:firstLineChars="0"/>
              <w:jc w:val="center"/>
              <w:textAlignment w:val="center"/>
              <w:rPr>
                <w:rFonts w:cs="宋体"/>
                <w:color w:val="auto"/>
                <w:sz w:val="21"/>
                <w:szCs w:val="21"/>
              </w:rPr>
            </w:pPr>
          </w:p>
        </w:tc>
        <w:tc>
          <w:tcPr>
            <w:tcW w:w="619" w:type="pct"/>
            <w:tcBorders>
              <w:top w:val="single" w:color="000000" w:sz="8" w:space="0"/>
              <w:left w:val="single" w:color="000000" w:sz="8" w:space="0"/>
              <w:bottom w:val="single" w:color="000000" w:sz="8" w:space="0"/>
              <w:right w:val="nil"/>
            </w:tcBorders>
            <w:vAlign w:val="center"/>
          </w:tcPr>
          <w:p w14:paraId="581EABDA">
            <w:pPr>
              <w:widowControl/>
              <w:spacing w:line="240" w:lineRule="auto"/>
              <w:ind w:firstLine="0" w:firstLineChars="0"/>
              <w:jc w:val="center"/>
              <w:textAlignment w:val="center"/>
              <w:rPr>
                <w:color w:val="auto"/>
                <w:sz w:val="21"/>
                <w:szCs w:val="21"/>
              </w:rPr>
            </w:pPr>
          </w:p>
        </w:tc>
      </w:tr>
      <w:tr w14:paraId="5944F087">
        <w:tblPrEx>
          <w:tblCellMar>
            <w:top w:w="0" w:type="dxa"/>
            <w:left w:w="108" w:type="dxa"/>
            <w:bottom w:w="0" w:type="dxa"/>
            <w:right w:w="108" w:type="dxa"/>
          </w:tblCellMar>
        </w:tblPrEx>
        <w:trPr>
          <w:trHeight w:val="525" w:hRule="atLeast"/>
        </w:trPr>
        <w:tc>
          <w:tcPr>
            <w:tcW w:w="2032" w:type="pct"/>
            <w:gridSpan w:val="2"/>
            <w:tcBorders>
              <w:top w:val="single" w:color="000000" w:sz="4" w:space="0"/>
              <w:left w:val="nil"/>
              <w:bottom w:val="nil"/>
              <w:right w:val="nil"/>
            </w:tcBorders>
            <w:vAlign w:val="center"/>
          </w:tcPr>
          <w:p w14:paraId="0999B0F6">
            <w:pPr>
              <w:widowControl/>
              <w:spacing w:line="240" w:lineRule="auto"/>
              <w:ind w:firstLine="0" w:firstLineChars="0"/>
              <w:jc w:val="center"/>
              <w:textAlignment w:val="center"/>
              <w:rPr>
                <w:rFonts w:cs="宋体"/>
                <w:color w:val="auto"/>
                <w:sz w:val="21"/>
                <w:szCs w:val="21"/>
              </w:rPr>
            </w:pPr>
          </w:p>
        </w:tc>
        <w:tc>
          <w:tcPr>
            <w:tcW w:w="689" w:type="pct"/>
            <w:tcBorders>
              <w:top w:val="single" w:color="000000" w:sz="8" w:space="0"/>
              <w:left w:val="single" w:color="000000" w:sz="8" w:space="0"/>
              <w:bottom w:val="single" w:color="000000" w:sz="8" w:space="0"/>
              <w:right w:val="nil"/>
            </w:tcBorders>
            <w:vAlign w:val="center"/>
          </w:tcPr>
          <w:p w14:paraId="1C86FE63">
            <w:pPr>
              <w:widowControl/>
              <w:spacing w:line="240" w:lineRule="auto"/>
              <w:ind w:firstLine="0" w:firstLineChars="0"/>
              <w:jc w:val="center"/>
              <w:textAlignment w:val="center"/>
              <w:rPr>
                <w:color w:val="auto"/>
                <w:sz w:val="21"/>
                <w:szCs w:val="21"/>
              </w:rPr>
            </w:pPr>
          </w:p>
        </w:tc>
        <w:tc>
          <w:tcPr>
            <w:tcW w:w="623" w:type="pct"/>
            <w:vMerge w:val="restart"/>
            <w:tcBorders>
              <w:top w:val="single" w:color="000000" w:sz="8" w:space="0"/>
              <w:left w:val="single" w:color="000000" w:sz="8" w:space="0"/>
              <w:right w:val="single" w:color="000000" w:sz="8" w:space="0"/>
            </w:tcBorders>
            <w:vAlign w:val="center"/>
          </w:tcPr>
          <w:p w14:paraId="7C31196A">
            <w:pPr>
              <w:widowControl/>
              <w:spacing w:line="240" w:lineRule="auto"/>
              <w:ind w:firstLine="0" w:firstLineChars="0"/>
              <w:jc w:val="center"/>
              <w:textAlignment w:val="center"/>
              <w:rPr>
                <w:rFonts w:cs="宋体"/>
                <w:color w:val="auto"/>
                <w:sz w:val="21"/>
                <w:szCs w:val="21"/>
              </w:rPr>
            </w:pPr>
          </w:p>
        </w:tc>
        <w:tc>
          <w:tcPr>
            <w:tcW w:w="1035" w:type="pct"/>
            <w:tcBorders>
              <w:top w:val="single" w:color="000000" w:sz="8" w:space="0"/>
              <w:left w:val="single" w:color="000000" w:sz="8" w:space="0"/>
              <w:bottom w:val="single" w:color="000000" w:sz="8" w:space="0"/>
              <w:right w:val="nil"/>
            </w:tcBorders>
            <w:vAlign w:val="center"/>
          </w:tcPr>
          <w:p w14:paraId="51CE8E7F">
            <w:pPr>
              <w:widowControl/>
              <w:spacing w:line="240" w:lineRule="auto"/>
              <w:ind w:firstLine="0" w:firstLineChars="0"/>
              <w:jc w:val="center"/>
              <w:textAlignment w:val="center"/>
              <w:rPr>
                <w:rFonts w:cs="宋体"/>
                <w:color w:val="auto"/>
                <w:sz w:val="21"/>
                <w:szCs w:val="21"/>
              </w:rPr>
            </w:pPr>
          </w:p>
        </w:tc>
        <w:tc>
          <w:tcPr>
            <w:tcW w:w="619" w:type="pct"/>
            <w:tcBorders>
              <w:top w:val="single" w:color="000000" w:sz="8" w:space="0"/>
              <w:left w:val="single" w:color="000000" w:sz="8" w:space="0"/>
              <w:bottom w:val="single" w:color="000000" w:sz="8" w:space="0"/>
              <w:right w:val="nil"/>
            </w:tcBorders>
            <w:vAlign w:val="center"/>
          </w:tcPr>
          <w:p w14:paraId="6E68952E">
            <w:pPr>
              <w:widowControl/>
              <w:spacing w:line="240" w:lineRule="auto"/>
              <w:ind w:firstLine="0" w:firstLineChars="0"/>
              <w:jc w:val="center"/>
              <w:textAlignment w:val="center"/>
              <w:rPr>
                <w:color w:val="auto"/>
                <w:sz w:val="21"/>
                <w:szCs w:val="21"/>
              </w:rPr>
            </w:pPr>
          </w:p>
        </w:tc>
      </w:tr>
      <w:tr w14:paraId="02CC71AC">
        <w:tblPrEx>
          <w:tblCellMar>
            <w:top w:w="0" w:type="dxa"/>
            <w:left w:w="108" w:type="dxa"/>
            <w:bottom w:w="0" w:type="dxa"/>
            <w:right w:w="108" w:type="dxa"/>
          </w:tblCellMar>
        </w:tblPrEx>
        <w:trPr>
          <w:trHeight w:val="825" w:hRule="atLeast"/>
        </w:trPr>
        <w:tc>
          <w:tcPr>
            <w:tcW w:w="2032" w:type="pct"/>
            <w:gridSpan w:val="2"/>
            <w:tcBorders>
              <w:top w:val="single" w:color="000000" w:sz="4" w:space="0"/>
              <w:left w:val="nil"/>
              <w:bottom w:val="single" w:color="000000" w:sz="4" w:space="0"/>
              <w:right w:val="single" w:color="000000" w:sz="4" w:space="0"/>
            </w:tcBorders>
            <w:noWrap/>
            <w:vAlign w:val="center"/>
          </w:tcPr>
          <w:p w14:paraId="0B821BBD">
            <w:pPr>
              <w:widowControl/>
              <w:spacing w:line="240" w:lineRule="auto"/>
              <w:ind w:firstLine="0" w:firstLineChars="0"/>
              <w:jc w:val="center"/>
              <w:textAlignment w:val="center"/>
              <w:rPr>
                <w:rFonts w:cs="宋体"/>
                <w:color w:val="auto"/>
                <w:sz w:val="21"/>
                <w:szCs w:val="21"/>
              </w:rPr>
            </w:pPr>
          </w:p>
        </w:tc>
        <w:tc>
          <w:tcPr>
            <w:tcW w:w="689" w:type="pct"/>
            <w:tcBorders>
              <w:top w:val="single" w:color="000000" w:sz="8" w:space="0"/>
              <w:left w:val="nil"/>
              <w:bottom w:val="single" w:color="000000" w:sz="8" w:space="0"/>
              <w:right w:val="nil"/>
            </w:tcBorders>
            <w:vAlign w:val="center"/>
          </w:tcPr>
          <w:p w14:paraId="77B6FFC9">
            <w:pPr>
              <w:widowControl/>
              <w:spacing w:line="240" w:lineRule="auto"/>
              <w:ind w:firstLine="0" w:firstLineChars="0"/>
              <w:jc w:val="center"/>
              <w:textAlignment w:val="center"/>
              <w:rPr>
                <w:color w:val="auto"/>
                <w:sz w:val="21"/>
                <w:szCs w:val="21"/>
              </w:rPr>
            </w:pPr>
          </w:p>
        </w:tc>
        <w:tc>
          <w:tcPr>
            <w:tcW w:w="623" w:type="pct"/>
            <w:vMerge w:val="continue"/>
            <w:tcBorders>
              <w:left w:val="single" w:color="000000" w:sz="8" w:space="0"/>
              <w:bottom w:val="nil"/>
              <w:right w:val="single" w:color="000000" w:sz="8" w:space="0"/>
            </w:tcBorders>
            <w:vAlign w:val="center"/>
          </w:tcPr>
          <w:p w14:paraId="4EA9EFCA">
            <w:pPr>
              <w:widowControl/>
              <w:spacing w:line="240" w:lineRule="auto"/>
              <w:ind w:firstLine="0" w:firstLineChars="0"/>
              <w:jc w:val="center"/>
              <w:rPr>
                <w:rFonts w:cs="宋体"/>
                <w:color w:val="auto"/>
                <w:sz w:val="21"/>
                <w:szCs w:val="21"/>
              </w:rPr>
            </w:pPr>
          </w:p>
        </w:tc>
        <w:tc>
          <w:tcPr>
            <w:tcW w:w="1035" w:type="pct"/>
            <w:tcBorders>
              <w:top w:val="nil"/>
              <w:left w:val="nil"/>
              <w:bottom w:val="nil"/>
              <w:right w:val="nil"/>
            </w:tcBorders>
            <w:vAlign w:val="center"/>
          </w:tcPr>
          <w:p w14:paraId="52D127F7">
            <w:pPr>
              <w:widowControl/>
              <w:spacing w:line="240" w:lineRule="auto"/>
              <w:ind w:firstLine="0" w:firstLineChars="0"/>
              <w:jc w:val="center"/>
              <w:textAlignment w:val="center"/>
              <w:rPr>
                <w:rFonts w:cs="宋体"/>
                <w:color w:val="auto"/>
                <w:sz w:val="21"/>
                <w:szCs w:val="22"/>
              </w:rPr>
            </w:pPr>
          </w:p>
        </w:tc>
        <w:tc>
          <w:tcPr>
            <w:tcW w:w="619" w:type="pct"/>
            <w:tcBorders>
              <w:top w:val="single" w:color="000000" w:sz="8" w:space="0"/>
              <w:left w:val="single" w:color="000000" w:sz="8" w:space="0"/>
              <w:bottom w:val="single" w:color="000000" w:sz="8" w:space="0"/>
              <w:right w:val="nil"/>
            </w:tcBorders>
            <w:vAlign w:val="center"/>
          </w:tcPr>
          <w:p w14:paraId="20E1D663">
            <w:pPr>
              <w:widowControl/>
              <w:spacing w:line="240" w:lineRule="auto"/>
              <w:ind w:firstLine="0" w:firstLineChars="0"/>
              <w:jc w:val="center"/>
              <w:textAlignment w:val="center"/>
              <w:rPr>
                <w:color w:val="auto"/>
                <w:sz w:val="21"/>
                <w:szCs w:val="21"/>
              </w:rPr>
            </w:pPr>
          </w:p>
        </w:tc>
      </w:tr>
      <w:tr w14:paraId="04BD020C">
        <w:tblPrEx>
          <w:tblCellMar>
            <w:top w:w="0" w:type="dxa"/>
            <w:left w:w="108" w:type="dxa"/>
            <w:bottom w:w="0" w:type="dxa"/>
            <w:right w:w="108" w:type="dxa"/>
          </w:tblCellMar>
        </w:tblPrEx>
        <w:trPr>
          <w:trHeight w:val="285" w:hRule="atLeast"/>
        </w:trPr>
        <w:tc>
          <w:tcPr>
            <w:tcW w:w="2032" w:type="pct"/>
            <w:gridSpan w:val="2"/>
            <w:tcBorders>
              <w:top w:val="single" w:color="000000" w:sz="8" w:space="0"/>
              <w:left w:val="nil"/>
              <w:bottom w:val="single" w:color="000000" w:sz="12" w:space="0"/>
              <w:right w:val="single" w:color="000000" w:sz="8" w:space="0"/>
            </w:tcBorders>
            <w:noWrap/>
            <w:vAlign w:val="center"/>
          </w:tcPr>
          <w:p w14:paraId="0532B99F">
            <w:pPr>
              <w:widowControl/>
              <w:spacing w:line="240" w:lineRule="auto"/>
              <w:ind w:firstLine="0" w:firstLineChars="0"/>
              <w:jc w:val="center"/>
              <w:textAlignment w:val="center"/>
              <w:rPr>
                <w:rFonts w:cs="宋体"/>
                <w:color w:val="auto"/>
                <w:sz w:val="21"/>
                <w:szCs w:val="21"/>
              </w:rPr>
            </w:pPr>
          </w:p>
        </w:tc>
        <w:tc>
          <w:tcPr>
            <w:tcW w:w="689" w:type="pct"/>
            <w:tcBorders>
              <w:top w:val="single" w:color="000000" w:sz="8" w:space="0"/>
              <w:left w:val="single" w:color="000000" w:sz="8" w:space="0"/>
              <w:bottom w:val="single" w:color="000000" w:sz="12" w:space="0"/>
              <w:right w:val="single" w:color="000000" w:sz="8" w:space="0"/>
            </w:tcBorders>
            <w:noWrap/>
            <w:vAlign w:val="center"/>
          </w:tcPr>
          <w:p w14:paraId="46271F5C">
            <w:pPr>
              <w:widowControl/>
              <w:spacing w:line="240" w:lineRule="auto"/>
              <w:ind w:firstLine="0" w:firstLineChars="0"/>
              <w:jc w:val="center"/>
              <w:textAlignment w:val="center"/>
              <w:rPr>
                <w:color w:val="auto"/>
                <w:sz w:val="21"/>
                <w:szCs w:val="21"/>
              </w:rPr>
            </w:pPr>
          </w:p>
        </w:tc>
        <w:tc>
          <w:tcPr>
            <w:tcW w:w="1658" w:type="pct"/>
            <w:gridSpan w:val="2"/>
            <w:tcBorders>
              <w:top w:val="single" w:color="000000" w:sz="8" w:space="0"/>
              <w:left w:val="single" w:color="000000" w:sz="8" w:space="0"/>
              <w:bottom w:val="single" w:color="000000" w:sz="12" w:space="0"/>
              <w:right w:val="single" w:color="000000" w:sz="8" w:space="0"/>
            </w:tcBorders>
            <w:noWrap/>
            <w:vAlign w:val="center"/>
          </w:tcPr>
          <w:p w14:paraId="41EFE2F9">
            <w:pPr>
              <w:widowControl/>
              <w:spacing w:line="240" w:lineRule="auto"/>
              <w:ind w:firstLine="0" w:firstLineChars="0"/>
              <w:jc w:val="center"/>
              <w:textAlignment w:val="center"/>
              <w:rPr>
                <w:rFonts w:cs="宋体"/>
                <w:color w:val="auto"/>
                <w:sz w:val="21"/>
                <w:szCs w:val="21"/>
              </w:rPr>
            </w:pPr>
          </w:p>
        </w:tc>
        <w:tc>
          <w:tcPr>
            <w:tcW w:w="619" w:type="pct"/>
            <w:tcBorders>
              <w:top w:val="single" w:color="000000" w:sz="8" w:space="0"/>
              <w:left w:val="single" w:color="000000" w:sz="8" w:space="0"/>
              <w:bottom w:val="single" w:color="000000" w:sz="12" w:space="0"/>
              <w:right w:val="nil"/>
            </w:tcBorders>
            <w:noWrap/>
            <w:vAlign w:val="center"/>
          </w:tcPr>
          <w:p w14:paraId="69AC6E71">
            <w:pPr>
              <w:widowControl/>
              <w:spacing w:line="240" w:lineRule="auto"/>
              <w:ind w:firstLine="0" w:firstLineChars="0"/>
              <w:jc w:val="center"/>
              <w:textAlignment w:val="center"/>
              <w:rPr>
                <w:color w:val="auto"/>
                <w:sz w:val="21"/>
                <w:szCs w:val="21"/>
              </w:rPr>
            </w:pPr>
          </w:p>
        </w:tc>
      </w:tr>
    </w:tbl>
    <w:p w14:paraId="583FA739">
      <w:pPr>
        <w:ind w:firstLine="482"/>
        <w:rPr>
          <w:b/>
          <w:bCs/>
          <w:color w:val="auto"/>
        </w:rPr>
      </w:pPr>
    </w:p>
    <w:p w14:paraId="4F27FE60">
      <w:pPr>
        <w:spacing w:line="240" w:lineRule="auto"/>
        <w:ind w:firstLine="482"/>
        <w:jc w:val="center"/>
        <w:rPr>
          <w:b/>
          <w:bCs/>
          <w:color w:val="auto"/>
        </w:rPr>
      </w:pPr>
      <w:r>
        <w:rPr>
          <w:rFonts w:hint="eastAsia"/>
          <w:b/>
          <w:bCs/>
          <w:color w:val="auto"/>
        </w:rPr>
        <w:t>表4.4-30  一水亚硫酸铵生产工艺水平衡表（亚硫酸氢铵工艺）（t/a）</w:t>
      </w:r>
    </w:p>
    <w:tbl>
      <w:tblPr>
        <w:tblStyle w:val="24"/>
        <w:tblW w:w="4999" w:type="pct"/>
        <w:jc w:val="center"/>
        <w:tblLayout w:type="autofit"/>
        <w:tblCellMar>
          <w:top w:w="0" w:type="dxa"/>
          <w:left w:w="108" w:type="dxa"/>
          <w:bottom w:w="0" w:type="dxa"/>
          <w:right w:w="108" w:type="dxa"/>
        </w:tblCellMar>
      </w:tblPr>
      <w:tblGrid>
        <w:gridCol w:w="1460"/>
        <w:gridCol w:w="1823"/>
        <w:gridCol w:w="2107"/>
        <w:gridCol w:w="1350"/>
        <w:gridCol w:w="1210"/>
        <w:gridCol w:w="1902"/>
      </w:tblGrid>
      <w:tr w14:paraId="60233AFA">
        <w:tblPrEx>
          <w:tblCellMar>
            <w:top w:w="0" w:type="dxa"/>
            <w:left w:w="108" w:type="dxa"/>
            <w:bottom w:w="0" w:type="dxa"/>
            <w:right w:w="108" w:type="dxa"/>
          </w:tblCellMar>
        </w:tblPrEx>
        <w:trPr>
          <w:trHeight w:val="300" w:hRule="atLeast"/>
          <w:jc w:val="center"/>
        </w:trPr>
        <w:tc>
          <w:tcPr>
            <w:tcW w:w="2735" w:type="pct"/>
            <w:gridSpan w:val="3"/>
            <w:tcBorders>
              <w:top w:val="single" w:color="000000" w:sz="12" w:space="0"/>
              <w:left w:val="nil"/>
              <w:bottom w:val="single" w:color="000000" w:sz="8" w:space="0"/>
              <w:right w:val="single" w:color="000000" w:sz="8" w:space="0"/>
            </w:tcBorders>
            <w:vAlign w:val="center"/>
          </w:tcPr>
          <w:p w14:paraId="74870627">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投入</w:t>
            </w:r>
          </w:p>
        </w:tc>
        <w:tc>
          <w:tcPr>
            <w:tcW w:w="2264" w:type="pct"/>
            <w:gridSpan w:val="3"/>
            <w:tcBorders>
              <w:top w:val="single" w:color="000000" w:sz="12" w:space="0"/>
              <w:left w:val="single" w:color="000000" w:sz="8" w:space="0"/>
              <w:bottom w:val="single" w:color="000000" w:sz="8" w:space="0"/>
              <w:right w:val="nil"/>
            </w:tcBorders>
            <w:vAlign w:val="center"/>
          </w:tcPr>
          <w:p w14:paraId="7095DCB9">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产出</w:t>
            </w:r>
          </w:p>
        </w:tc>
      </w:tr>
      <w:tr w14:paraId="1FA6A5ED">
        <w:tblPrEx>
          <w:tblCellMar>
            <w:top w:w="0" w:type="dxa"/>
            <w:left w:w="108" w:type="dxa"/>
            <w:bottom w:w="0" w:type="dxa"/>
            <w:right w:w="108" w:type="dxa"/>
          </w:tblCellMar>
        </w:tblPrEx>
        <w:trPr>
          <w:trHeight w:val="285" w:hRule="atLeast"/>
          <w:jc w:val="center"/>
        </w:trPr>
        <w:tc>
          <w:tcPr>
            <w:tcW w:w="1666" w:type="pct"/>
            <w:gridSpan w:val="2"/>
            <w:tcBorders>
              <w:top w:val="single" w:color="000000" w:sz="8" w:space="0"/>
              <w:left w:val="nil"/>
              <w:bottom w:val="single" w:color="000000" w:sz="8" w:space="0"/>
              <w:right w:val="single" w:color="000000" w:sz="8" w:space="0"/>
            </w:tcBorders>
            <w:vAlign w:val="center"/>
          </w:tcPr>
          <w:p w14:paraId="7643DDC4">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1069" w:type="pct"/>
            <w:tcBorders>
              <w:top w:val="single" w:color="000000" w:sz="8" w:space="0"/>
              <w:left w:val="single" w:color="000000" w:sz="8" w:space="0"/>
              <w:bottom w:val="single" w:color="000000" w:sz="8" w:space="0"/>
              <w:right w:val="single" w:color="000000" w:sz="8" w:space="0"/>
            </w:tcBorders>
            <w:vAlign w:val="center"/>
          </w:tcPr>
          <w:p w14:paraId="3710203C">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数量</w:t>
            </w:r>
          </w:p>
        </w:tc>
        <w:tc>
          <w:tcPr>
            <w:tcW w:w="1299" w:type="pct"/>
            <w:gridSpan w:val="2"/>
            <w:tcBorders>
              <w:top w:val="single" w:color="000000" w:sz="8" w:space="0"/>
              <w:left w:val="single" w:color="000000" w:sz="8" w:space="0"/>
              <w:bottom w:val="nil"/>
              <w:right w:val="single" w:color="000000" w:sz="8" w:space="0"/>
            </w:tcBorders>
            <w:vAlign w:val="center"/>
          </w:tcPr>
          <w:p w14:paraId="3FE0E30E">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物料名称</w:t>
            </w:r>
          </w:p>
        </w:tc>
        <w:tc>
          <w:tcPr>
            <w:tcW w:w="965" w:type="pct"/>
            <w:tcBorders>
              <w:top w:val="single" w:color="000000" w:sz="8" w:space="0"/>
              <w:left w:val="single" w:color="000000" w:sz="8" w:space="0"/>
              <w:bottom w:val="single" w:color="000000" w:sz="8" w:space="0"/>
              <w:right w:val="nil"/>
            </w:tcBorders>
            <w:vAlign w:val="center"/>
          </w:tcPr>
          <w:p w14:paraId="52062EF0">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数量</w:t>
            </w:r>
          </w:p>
        </w:tc>
      </w:tr>
      <w:tr w14:paraId="4CF26350">
        <w:tblPrEx>
          <w:tblCellMar>
            <w:top w:w="0" w:type="dxa"/>
            <w:left w:w="108" w:type="dxa"/>
            <w:bottom w:w="0" w:type="dxa"/>
            <w:right w:w="108" w:type="dxa"/>
          </w:tblCellMar>
        </w:tblPrEx>
        <w:trPr>
          <w:trHeight w:val="525" w:hRule="atLeast"/>
          <w:jc w:val="center"/>
        </w:trPr>
        <w:tc>
          <w:tcPr>
            <w:tcW w:w="741" w:type="pct"/>
            <w:tcBorders>
              <w:top w:val="single" w:color="000000" w:sz="8" w:space="0"/>
              <w:left w:val="nil"/>
              <w:bottom w:val="nil"/>
              <w:right w:val="nil"/>
            </w:tcBorders>
            <w:noWrap/>
            <w:vAlign w:val="center"/>
          </w:tcPr>
          <w:p w14:paraId="28369E3E">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原料带入水</w:t>
            </w:r>
          </w:p>
        </w:tc>
        <w:tc>
          <w:tcPr>
            <w:tcW w:w="924" w:type="pct"/>
            <w:tcBorders>
              <w:top w:val="single" w:color="000000" w:sz="8" w:space="0"/>
              <w:left w:val="single" w:color="000000" w:sz="4" w:space="0"/>
              <w:bottom w:val="nil"/>
              <w:right w:val="nil"/>
            </w:tcBorders>
            <w:vAlign w:val="center"/>
          </w:tcPr>
          <w:p w14:paraId="6743CD43">
            <w:pPr>
              <w:widowControl/>
              <w:spacing w:line="240" w:lineRule="auto"/>
              <w:ind w:firstLine="0" w:firstLineChars="0"/>
              <w:jc w:val="center"/>
              <w:textAlignment w:val="center"/>
              <w:rPr>
                <w:rFonts w:cs="宋体"/>
                <w:color w:val="auto"/>
                <w:sz w:val="21"/>
                <w:szCs w:val="21"/>
              </w:rPr>
            </w:pPr>
          </w:p>
        </w:tc>
        <w:tc>
          <w:tcPr>
            <w:tcW w:w="1069" w:type="pct"/>
            <w:tcBorders>
              <w:top w:val="single" w:color="000000" w:sz="8" w:space="0"/>
              <w:left w:val="single" w:color="000000" w:sz="8" w:space="0"/>
              <w:bottom w:val="single" w:color="000000" w:sz="8" w:space="0"/>
              <w:right w:val="nil"/>
            </w:tcBorders>
            <w:vAlign w:val="center"/>
          </w:tcPr>
          <w:p w14:paraId="00375CF9">
            <w:pPr>
              <w:widowControl/>
              <w:spacing w:line="240" w:lineRule="auto"/>
              <w:ind w:firstLine="0" w:firstLineChars="0"/>
              <w:jc w:val="center"/>
              <w:textAlignment w:val="center"/>
              <w:rPr>
                <w:color w:val="auto"/>
                <w:sz w:val="21"/>
                <w:szCs w:val="21"/>
              </w:rPr>
            </w:pPr>
          </w:p>
        </w:tc>
        <w:tc>
          <w:tcPr>
            <w:tcW w:w="1299" w:type="pct"/>
            <w:gridSpan w:val="2"/>
            <w:tcBorders>
              <w:top w:val="single" w:color="000000" w:sz="8" w:space="0"/>
              <w:left w:val="single" w:color="000000" w:sz="8" w:space="0"/>
              <w:bottom w:val="nil"/>
              <w:right w:val="single" w:color="000000" w:sz="8" w:space="0"/>
            </w:tcBorders>
            <w:vAlign w:val="center"/>
          </w:tcPr>
          <w:p w14:paraId="60C48B5D">
            <w:pPr>
              <w:widowControl/>
              <w:spacing w:line="240" w:lineRule="auto"/>
              <w:ind w:firstLine="0" w:firstLineChars="0"/>
              <w:jc w:val="center"/>
              <w:textAlignment w:val="center"/>
              <w:rPr>
                <w:rFonts w:cs="宋体"/>
                <w:color w:val="auto"/>
                <w:sz w:val="21"/>
                <w:szCs w:val="21"/>
              </w:rPr>
            </w:pPr>
          </w:p>
        </w:tc>
        <w:tc>
          <w:tcPr>
            <w:tcW w:w="965" w:type="pct"/>
            <w:tcBorders>
              <w:top w:val="single" w:color="000000" w:sz="8" w:space="0"/>
              <w:left w:val="single" w:color="000000" w:sz="8" w:space="0"/>
              <w:bottom w:val="single" w:color="000000" w:sz="8" w:space="0"/>
              <w:right w:val="nil"/>
            </w:tcBorders>
            <w:vAlign w:val="center"/>
          </w:tcPr>
          <w:p w14:paraId="62E7CB88">
            <w:pPr>
              <w:widowControl/>
              <w:spacing w:line="240" w:lineRule="auto"/>
              <w:ind w:firstLine="0" w:firstLineChars="0"/>
              <w:jc w:val="center"/>
              <w:textAlignment w:val="center"/>
              <w:rPr>
                <w:color w:val="auto"/>
                <w:sz w:val="21"/>
                <w:szCs w:val="21"/>
              </w:rPr>
            </w:pPr>
          </w:p>
        </w:tc>
      </w:tr>
      <w:tr w14:paraId="45F474F4">
        <w:tblPrEx>
          <w:tblCellMar>
            <w:top w:w="0" w:type="dxa"/>
            <w:left w:w="108" w:type="dxa"/>
            <w:bottom w:w="0" w:type="dxa"/>
            <w:right w:w="108" w:type="dxa"/>
          </w:tblCellMar>
        </w:tblPrEx>
        <w:trPr>
          <w:trHeight w:val="525" w:hRule="atLeast"/>
          <w:jc w:val="center"/>
        </w:trPr>
        <w:tc>
          <w:tcPr>
            <w:tcW w:w="1666" w:type="pct"/>
            <w:gridSpan w:val="2"/>
            <w:tcBorders>
              <w:top w:val="single" w:color="000000" w:sz="4" w:space="0"/>
              <w:left w:val="nil"/>
              <w:bottom w:val="nil"/>
              <w:right w:val="nil"/>
            </w:tcBorders>
            <w:vAlign w:val="center"/>
          </w:tcPr>
          <w:p w14:paraId="1093595C">
            <w:pPr>
              <w:widowControl/>
              <w:spacing w:line="240" w:lineRule="auto"/>
              <w:ind w:firstLine="0" w:firstLineChars="0"/>
              <w:jc w:val="center"/>
              <w:textAlignment w:val="center"/>
              <w:rPr>
                <w:rFonts w:cs="宋体"/>
                <w:color w:val="auto"/>
                <w:sz w:val="21"/>
                <w:szCs w:val="21"/>
              </w:rPr>
            </w:pPr>
          </w:p>
        </w:tc>
        <w:tc>
          <w:tcPr>
            <w:tcW w:w="1069" w:type="pct"/>
            <w:tcBorders>
              <w:top w:val="single" w:color="000000" w:sz="8" w:space="0"/>
              <w:left w:val="single" w:color="000000" w:sz="8" w:space="0"/>
              <w:bottom w:val="single" w:color="000000" w:sz="8" w:space="0"/>
              <w:right w:val="nil"/>
            </w:tcBorders>
            <w:vAlign w:val="center"/>
          </w:tcPr>
          <w:p w14:paraId="50B9A664">
            <w:pPr>
              <w:widowControl/>
              <w:spacing w:line="240" w:lineRule="auto"/>
              <w:ind w:firstLine="0" w:firstLineChars="0"/>
              <w:jc w:val="center"/>
              <w:textAlignment w:val="center"/>
              <w:rPr>
                <w:color w:val="auto"/>
                <w:sz w:val="21"/>
                <w:szCs w:val="21"/>
              </w:rPr>
            </w:pPr>
          </w:p>
        </w:tc>
        <w:tc>
          <w:tcPr>
            <w:tcW w:w="685" w:type="pct"/>
            <w:vMerge w:val="restart"/>
            <w:tcBorders>
              <w:top w:val="single" w:color="000000" w:sz="8" w:space="0"/>
              <w:left w:val="single" w:color="000000" w:sz="8" w:space="0"/>
              <w:bottom w:val="nil"/>
              <w:right w:val="single" w:color="000000" w:sz="8" w:space="0"/>
            </w:tcBorders>
            <w:vAlign w:val="center"/>
          </w:tcPr>
          <w:p w14:paraId="5E429CAC">
            <w:pPr>
              <w:widowControl/>
              <w:spacing w:line="240" w:lineRule="auto"/>
              <w:ind w:firstLine="0" w:firstLineChars="0"/>
              <w:jc w:val="center"/>
              <w:textAlignment w:val="center"/>
              <w:rPr>
                <w:rFonts w:cs="宋体"/>
                <w:color w:val="auto"/>
                <w:sz w:val="21"/>
                <w:szCs w:val="21"/>
              </w:rPr>
            </w:pPr>
          </w:p>
        </w:tc>
        <w:tc>
          <w:tcPr>
            <w:tcW w:w="613" w:type="pct"/>
            <w:tcBorders>
              <w:top w:val="single" w:color="000000" w:sz="8" w:space="0"/>
              <w:left w:val="single" w:color="000000" w:sz="8" w:space="0"/>
              <w:bottom w:val="single" w:color="000000" w:sz="8" w:space="0"/>
              <w:right w:val="nil"/>
            </w:tcBorders>
            <w:vAlign w:val="center"/>
          </w:tcPr>
          <w:p w14:paraId="307391F2">
            <w:pPr>
              <w:widowControl/>
              <w:spacing w:line="240" w:lineRule="auto"/>
              <w:ind w:firstLine="0" w:firstLineChars="0"/>
              <w:jc w:val="center"/>
              <w:textAlignment w:val="center"/>
              <w:rPr>
                <w:rFonts w:cs="宋体"/>
                <w:color w:val="auto"/>
                <w:sz w:val="21"/>
                <w:szCs w:val="21"/>
              </w:rPr>
            </w:pPr>
          </w:p>
        </w:tc>
        <w:tc>
          <w:tcPr>
            <w:tcW w:w="965" w:type="pct"/>
            <w:tcBorders>
              <w:top w:val="single" w:color="000000" w:sz="8" w:space="0"/>
              <w:left w:val="single" w:color="000000" w:sz="8" w:space="0"/>
              <w:bottom w:val="single" w:color="000000" w:sz="8" w:space="0"/>
              <w:right w:val="nil"/>
            </w:tcBorders>
            <w:vAlign w:val="center"/>
          </w:tcPr>
          <w:p w14:paraId="548EF010">
            <w:pPr>
              <w:widowControl/>
              <w:spacing w:line="240" w:lineRule="auto"/>
              <w:ind w:firstLine="0" w:firstLineChars="0"/>
              <w:jc w:val="center"/>
              <w:textAlignment w:val="center"/>
              <w:rPr>
                <w:color w:val="auto"/>
                <w:sz w:val="21"/>
                <w:szCs w:val="21"/>
              </w:rPr>
            </w:pPr>
          </w:p>
        </w:tc>
      </w:tr>
      <w:tr w14:paraId="42623028">
        <w:tblPrEx>
          <w:tblCellMar>
            <w:top w:w="0" w:type="dxa"/>
            <w:left w:w="108" w:type="dxa"/>
            <w:bottom w:w="0" w:type="dxa"/>
            <w:right w:w="108" w:type="dxa"/>
          </w:tblCellMar>
        </w:tblPrEx>
        <w:trPr>
          <w:trHeight w:val="825" w:hRule="atLeast"/>
          <w:jc w:val="center"/>
        </w:trPr>
        <w:tc>
          <w:tcPr>
            <w:tcW w:w="1666" w:type="pct"/>
            <w:gridSpan w:val="2"/>
            <w:tcBorders>
              <w:top w:val="single" w:color="000000" w:sz="4" w:space="0"/>
              <w:left w:val="nil"/>
              <w:bottom w:val="single" w:color="000000" w:sz="4" w:space="0"/>
              <w:right w:val="single" w:color="000000" w:sz="4" w:space="0"/>
            </w:tcBorders>
            <w:noWrap/>
            <w:vAlign w:val="center"/>
          </w:tcPr>
          <w:p w14:paraId="62F123E2">
            <w:pPr>
              <w:widowControl/>
              <w:spacing w:line="240" w:lineRule="auto"/>
              <w:ind w:firstLine="0" w:firstLineChars="0"/>
              <w:jc w:val="center"/>
              <w:textAlignment w:val="center"/>
              <w:rPr>
                <w:rFonts w:cs="宋体"/>
                <w:color w:val="auto"/>
                <w:sz w:val="21"/>
                <w:szCs w:val="21"/>
              </w:rPr>
            </w:pPr>
          </w:p>
        </w:tc>
        <w:tc>
          <w:tcPr>
            <w:tcW w:w="1069" w:type="pct"/>
            <w:tcBorders>
              <w:top w:val="single" w:color="000000" w:sz="8" w:space="0"/>
              <w:left w:val="single" w:color="000000" w:sz="8" w:space="0"/>
              <w:bottom w:val="nil"/>
              <w:right w:val="nil"/>
            </w:tcBorders>
            <w:noWrap/>
            <w:vAlign w:val="center"/>
          </w:tcPr>
          <w:p w14:paraId="1B809DD8">
            <w:pPr>
              <w:widowControl/>
              <w:spacing w:line="240" w:lineRule="auto"/>
              <w:ind w:firstLine="0" w:firstLineChars="0"/>
              <w:jc w:val="center"/>
              <w:textAlignment w:val="center"/>
              <w:rPr>
                <w:color w:val="auto"/>
                <w:sz w:val="21"/>
                <w:szCs w:val="21"/>
              </w:rPr>
            </w:pPr>
          </w:p>
        </w:tc>
        <w:tc>
          <w:tcPr>
            <w:tcW w:w="685" w:type="pct"/>
            <w:vMerge w:val="continue"/>
            <w:tcBorders>
              <w:top w:val="single" w:color="000000" w:sz="8" w:space="0"/>
              <w:left w:val="single" w:color="000000" w:sz="8" w:space="0"/>
              <w:bottom w:val="nil"/>
              <w:right w:val="single" w:color="000000" w:sz="8" w:space="0"/>
            </w:tcBorders>
            <w:vAlign w:val="center"/>
          </w:tcPr>
          <w:p w14:paraId="02F1166E">
            <w:pPr>
              <w:widowControl/>
              <w:spacing w:line="240" w:lineRule="auto"/>
              <w:ind w:firstLine="0" w:firstLineChars="0"/>
              <w:jc w:val="center"/>
              <w:rPr>
                <w:rFonts w:cs="宋体"/>
                <w:color w:val="auto"/>
                <w:sz w:val="21"/>
                <w:szCs w:val="21"/>
              </w:rPr>
            </w:pPr>
          </w:p>
        </w:tc>
        <w:tc>
          <w:tcPr>
            <w:tcW w:w="613" w:type="pct"/>
            <w:tcBorders>
              <w:top w:val="nil"/>
              <w:left w:val="nil"/>
              <w:bottom w:val="nil"/>
              <w:right w:val="nil"/>
            </w:tcBorders>
            <w:vAlign w:val="center"/>
          </w:tcPr>
          <w:p w14:paraId="55EEE0AC">
            <w:pPr>
              <w:widowControl/>
              <w:spacing w:line="240" w:lineRule="auto"/>
              <w:ind w:firstLine="0" w:firstLineChars="0"/>
              <w:jc w:val="center"/>
              <w:textAlignment w:val="center"/>
              <w:rPr>
                <w:rFonts w:cs="宋体"/>
                <w:color w:val="auto"/>
                <w:sz w:val="21"/>
                <w:szCs w:val="22"/>
              </w:rPr>
            </w:pPr>
          </w:p>
        </w:tc>
        <w:tc>
          <w:tcPr>
            <w:tcW w:w="965" w:type="pct"/>
            <w:tcBorders>
              <w:top w:val="single" w:color="000000" w:sz="8" w:space="0"/>
              <w:left w:val="single" w:color="000000" w:sz="8" w:space="0"/>
              <w:bottom w:val="nil"/>
              <w:right w:val="nil"/>
            </w:tcBorders>
            <w:noWrap/>
            <w:vAlign w:val="center"/>
          </w:tcPr>
          <w:p w14:paraId="520FE658">
            <w:pPr>
              <w:widowControl/>
              <w:spacing w:line="240" w:lineRule="auto"/>
              <w:ind w:firstLine="0" w:firstLineChars="0"/>
              <w:jc w:val="center"/>
              <w:textAlignment w:val="center"/>
              <w:rPr>
                <w:color w:val="auto"/>
                <w:sz w:val="21"/>
                <w:szCs w:val="21"/>
              </w:rPr>
            </w:pPr>
          </w:p>
        </w:tc>
      </w:tr>
      <w:tr w14:paraId="5AB1FD6F">
        <w:trPr>
          <w:trHeight w:val="285" w:hRule="atLeast"/>
          <w:jc w:val="center"/>
        </w:trPr>
        <w:tc>
          <w:tcPr>
            <w:tcW w:w="1666" w:type="pct"/>
            <w:gridSpan w:val="2"/>
            <w:tcBorders>
              <w:top w:val="single" w:color="000000" w:sz="8" w:space="0"/>
              <w:left w:val="nil"/>
              <w:bottom w:val="single" w:color="000000" w:sz="12" w:space="0"/>
              <w:right w:val="single" w:color="000000" w:sz="8" w:space="0"/>
            </w:tcBorders>
            <w:noWrap/>
            <w:vAlign w:val="center"/>
          </w:tcPr>
          <w:p w14:paraId="124E387D">
            <w:pPr>
              <w:widowControl/>
              <w:spacing w:line="240" w:lineRule="auto"/>
              <w:ind w:firstLine="0" w:firstLineChars="0"/>
              <w:jc w:val="center"/>
              <w:textAlignment w:val="center"/>
              <w:rPr>
                <w:rFonts w:cs="宋体"/>
                <w:color w:val="auto"/>
                <w:sz w:val="21"/>
                <w:szCs w:val="21"/>
              </w:rPr>
            </w:pPr>
          </w:p>
        </w:tc>
        <w:tc>
          <w:tcPr>
            <w:tcW w:w="1069" w:type="pct"/>
            <w:tcBorders>
              <w:top w:val="single" w:color="000000" w:sz="8" w:space="0"/>
              <w:left w:val="single" w:color="000000" w:sz="8" w:space="0"/>
              <w:bottom w:val="single" w:color="000000" w:sz="12" w:space="0"/>
              <w:right w:val="single" w:color="000000" w:sz="8" w:space="0"/>
            </w:tcBorders>
            <w:noWrap/>
            <w:vAlign w:val="center"/>
          </w:tcPr>
          <w:p w14:paraId="07E31A11">
            <w:pPr>
              <w:widowControl/>
              <w:spacing w:line="240" w:lineRule="auto"/>
              <w:ind w:firstLine="0" w:firstLineChars="0"/>
              <w:jc w:val="center"/>
              <w:textAlignment w:val="center"/>
              <w:rPr>
                <w:color w:val="auto"/>
                <w:sz w:val="21"/>
                <w:szCs w:val="21"/>
              </w:rPr>
            </w:pPr>
          </w:p>
        </w:tc>
        <w:tc>
          <w:tcPr>
            <w:tcW w:w="1299" w:type="pct"/>
            <w:gridSpan w:val="2"/>
            <w:tcBorders>
              <w:top w:val="single" w:color="000000" w:sz="8" w:space="0"/>
              <w:left w:val="single" w:color="000000" w:sz="8" w:space="0"/>
              <w:bottom w:val="single" w:color="000000" w:sz="12" w:space="0"/>
              <w:right w:val="single" w:color="000000" w:sz="8" w:space="0"/>
            </w:tcBorders>
            <w:noWrap/>
            <w:vAlign w:val="center"/>
          </w:tcPr>
          <w:p w14:paraId="5E2B0AD2">
            <w:pPr>
              <w:widowControl/>
              <w:spacing w:line="240" w:lineRule="auto"/>
              <w:ind w:firstLine="0" w:firstLineChars="0"/>
              <w:jc w:val="center"/>
              <w:textAlignment w:val="center"/>
              <w:rPr>
                <w:rFonts w:cs="宋体"/>
                <w:color w:val="auto"/>
                <w:sz w:val="21"/>
                <w:szCs w:val="21"/>
              </w:rPr>
            </w:pPr>
          </w:p>
        </w:tc>
        <w:tc>
          <w:tcPr>
            <w:tcW w:w="965" w:type="pct"/>
            <w:tcBorders>
              <w:top w:val="single" w:color="000000" w:sz="8" w:space="0"/>
              <w:left w:val="single" w:color="000000" w:sz="8" w:space="0"/>
              <w:bottom w:val="single" w:color="000000" w:sz="12" w:space="0"/>
              <w:right w:val="nil"/>
            </w:tcBorders>
            <w:noWrap/>
            <w:vAlign w:val="center"/>
          </w:tcPr>
          <w:p w14:paraId="56F82E8A">
            <w:pPr>
              <w:widowControl/>
              <w:spacing w:line="240" w:lineRule="auto"/>
              <w:ind w:firstLine="0" w:firstLineChars="0"/>
              <w:jc w:val="center"/>
              <w:textAlignment w:val="center"/>
              <w:rPr>
                <w:color w:val="auto"/>
                <w:sz w:val="21"/>
                <w:szCs w:val="21"/>
              </w:rPr>
            </w:pPr>
          </w:p>
        </w:tc>
      </w:tr>
    </w:tbl>
    <w:p w14:paraId="4044552C">
      <w:pPr>
        <w:spacing w:line="240" w:lineRule="auto"/>
        <w:ind w:firstLine="482"/>
        <w:jc w:val="center"/>
        <w:rPr>
          <w:b/>
          <w:bCs/>
          <w:color w:val="auto"/>
        </w:rPr>
        <w:sectPr>
          <w:pgSz w:w="11906" w:h="16838"/>
          <w:pgMar w:top="1134" w:right="1134" w:bottom="1134" w:left="1134" w:header="851" w:footer="992" w:gutter="0"/>
          <w:cols w:space="425" w:num="1"/>
          <w:docGrid w:type="lines" w:linePitch="312" w:charSpace="0"/>
        </w:sectPr>
      </w:pPr>
    </w:p>
    <w:p w14:paraId="178E9EF3">
      <w:pPr>
        <w:pStyle w:val="3"/>
        <w:spacing w:before="312"/>
        <w:rPr>
          <w:color w:val="auto"/>
        </w:rPr>
      </w:pPr>
      <w:bookmarkStart w:id="138" w:name="_Toc28483"/>
      <w:r>
        <w:rPr>
          <w:rFonts w:hint="eastAsia"/>
          <w:color w:val="auto"/>
        </w:rPr>
        <w:t>4.5拟建</w:t>
      </w:r>
      <w:r>
        <w:rPr>
          <w:color w:val="auto"/>
        </w:rPr>
        <w:t>蒸汽及水平衡</w:t>
      </w:r>
      <w:bookmarkEnd w:id="138"/>
    </w:p>
    <w:p w14:paraId="5574918A">
      <w:pPr>
        <w:pStyle w:val="4"/>
        <w:rPr>
          <w:color w:val="auto"/>
        </w:rPr>
      </w:pPr>
      <w:bookmarkStart w:id="139" w:name="_Toc21598"/>
      <w:r>
        <w:rPr>
          <w:color w:val="auto"/>
        </w:rPr>
        <w:t>4.</w:t>
      </w:r>
      <w:r>
        <w:rPr>
          <w:rFonts w:hint="eastAsia"/>
          <w:color w:val="auto"/>
        </w:rPr>
        <w:t>5</w:t>
      </w:r>
      <w:r>
        <w:rPr>
          <w:color w:val="auto"/>
        </w:rPr>
        <w:t>.1蒸汽平衡</w:t>
      </w:r>
      <w:bookmarkEnd w:id="139"/>
    </w:p>
    <w:p w14:paraId="37205456">
      <w:pPr>
        <w:spacing w:line="460" w:lineRule="exact"/>
        <w:ind w:firstLine="480"/>
        <w:rPr>
          <w:color w:val="auto"/>
        </w:rPr>
      </w:pPr>
      <w:r>
        <w:rPr>
          <w:rFonts w:hint="eastAsia"/>
          <w:color w:val="auto"/>
        </w:rPr>
        <w:t>拟建项目和建成后全厂蒸汽平衡见图4.5-1和图4.5-2。</w:t>
      </w:r>
    </w:p>
    <w:p w14:paraId="41393531">
      <w:pPr>
        <w:spacing w:line="240" w:lineRule="auto"/>
        <w:ind w:firstLine="480"/>
        <w:jc w:val="center"/>
        <w:rPr>
          <w:rFonts w:eastAsia="仿宋_GB2312"/>
          <w:color w:val="auto"/>
        </w:rPr>
      </w:pPr>
      <w:r>
        <w:rPr>
          <w:rFonts w:eastAsia="仿宋_GB2312"/>
          <w:color w:val="auto"/>
        </w:rPr>
        <w:object>
          <v:shape id="_x0000_i1035" o:spt="75" type="#_x0000_t75" style="height:66.4pt;width:451.25pt;" o:ole="t" filled="f" o:preferrelative="t" stroked="f" coordsize="21600,21600">
            <v:path/>
            <v:fill on="f" focussize="0,0"/>
            <v:stroke on="f" joinstyle="miter"/>
            <v:imagedata r:id="rId27" o:title=""/>
            <o:lock v:ext="edit" aspectratio="f"/>
            <w10:wrap type="none"/>
            <w10:anchorlock/>
          </v:shape>
          <o:OLEObject Type="Embed" ProgID="Visio.Drawing.11" ShapeID="_x0000_i1035" DrawAspect="Content" ObjectID="_1468075730" r:id="rId26">
            <o:LockedField>false</o:LockedField>
          </o:OLEObject>
        </w:object>
      </w:r>
    </w:p>
    <w:p w14:paraId="0B4F3BC2">
      <w:pPr>
        <w:spacing w:line="240" w:lineRule="auto"/>
        <w:ind w:firstLine="482"/>
        <w:jc w:val="center"/>
        <w:rPr>
          <w:b/>
          <w:bCs/>
          <w:color w:val="auto"/>
          <w:szCs w:val="22"/>
        </w:rPr>
      </w:pPr>
      <w:r>
        <w:rPr>
          <w:rStyle w:val="54"/>
          <w:color w:val="auto"/>
        </w:rPr>
        <w:t>图4.</w:t>
      </w:r>
      <w:r>
        <w:rPr>
          <w:rStyle w:val="54"/>
          <w:rFonts w:hint="eastAsia"/>
          <w:color w:val="auto"/>
        </w:rPr>
        <w:t>5</w:t>
      </w:r>
      <w:r>
        <w:rPr>
          <w:rStyle w:val="54"/>
          <w:color w:val="auto"/>
        </w:rPr>
        <w:t>-1</w:t>
      </w:r>
      <w:r>
        <w:rPr>
          <w:rStyle w:val="54"/>
          <w:rFonts w:hint="eastAsia"/>
          <w:color w:val="auto"/>
        </w:rPr>
        <w:t xml:space="preserve">  拟建</w:t>
      </w:r>
      <w:r>
        <w:rPr>
          <w:rStyle w:val="54"/>
          <w:color w:val="auto"/>
        </w:rPr>
        <w:t>项目蒸汽平衡图（吨/年）</w:t>
      </w:r>
    </w:p>
    <w:p w14:paraId="2DD9F5F4">
      <w:pPr>
        <w:spacing w:line="240" w:lineRule="auto"/>
        <w:ind w:firstLine="480"/>
        <w:jc w:val="center"/>
        <w:rPr>
          <w:color w:val="auto"/>
        </w:rPr>
      </w:pPr>
    </w:p>
    <w:p w14:paraId="6AB788A1">
      <w:pPr>
        <w:spacing w:line="240" w:lineRule="auto"/>
        <w:ind w:firstLine="480"/>
        <w:jc w:val="center"/>
        <w:rPr>
          <w:rFonts w:eastAsia="仿宋_GB2312"/>
          <w:color w:val="auto"/>
        </w:rPr>
      </w:pPr>
      <w:r>
        <w:rPr>
          <w:rFonts w:eastAsia="仿宋_GB2312"/>
          <w:color w:val="auto"/>
        </w:rPr>
        <w:object>
          <v:shape id="_x0000_i1036" o:spt="75" type="#_x0000_t75" style="height:66.4pt;width:451.25pt;" o:ole="t" filled="f" o:preferrelative="t" stroked="f" coordsize="21600,21600">
            <v:path/>
            <v:fill on="f" focussize="0,0"/>
            <v:stroke on="f" joinstyle="miter"/>
            <v:imagedata r:id="rId29" o:title=""/>
            <o:lock v:ext="edit" aspectratio="f"/>
            <w10:wrap type="none"/>
            <w10:anchorlock/>
          </v:shape>
          <o:OLEObject Type="Embed" ProgID="Visio.Drawing.11" ShapeID="_x0000_i1036" DrawAspect="Content" ObjectID="_1468075731" r:id="rId28">
            <o:LockedField>false</o:LockedField>
          </o:OLEObject>
        </w:object>
      </w:r>
    </w:p>
    <w:p w14:paraId="5DDFF377">
      <w:pPr>
        <w:spacing w:line="240" w:lineRule="auto"/>
        <w:ind w:firstLine="482"/>
        <w:jc w:val="center"/>
        <w:rPr>
          <w:rStyle w:val="54"/>
          <w:color w:val="auto"/>
        </w:rPr>
        <w:sectPr>
          <w:pgSz w:w="11906" w:h="16838"/>
          <w:pgMar w:top="1134" w:right="1134" w:bottom="1134" w:left="1134" w:header="851" w:footer="992" w:gutter="0"/>
          <w:cols w:space="425" w:num="1"/>
          <w:docGrid w:type="lines" w:linePitch="312" w:charSpace="0"/>
        </w:sectPr>
      </w:pPr>
      <w:r>
        <w:rPr>
          <w:rStyle w:val="54"/>
          <w:color w:val="auto"/>
        </w:rPr>
        <w:t>图4.</w:t>
      </w:r>
      <w:r>
        <w:rPr>
          <w:rStyle w:val="54"/>
          <w:rFonts w:hint="eastAsia"/>
          <w:color w:val="auto"/>
        </w:rPr>
        <w:t>5</w:t>
      </w:r>
      <w:r>
        <w:rPr>
          <w:rStyle w:val="54"/>
          <w:color w:val="auto"/>
        </w:rPr>
        <w:t>-</w:t>
      </w:r>
      <w:r>
        <w:rPr>
          <w:rStyle w:val="54"/>
          <w:rFonts w:hint="eastAsia"/>
          <w:color w:val="auto"/>
        </w:rPr>
        <w:t>2  拟建</w:t>
      </w:r>
      <w:r>
        <w:rPr>
          <w:rStyle w:val="54"/>
          <w:color w:val="auto"/>
        </w:rPr>
        <w:t>项目</w:t>
      </w:r>
      <w:r>
        <w:rPr>
          <w:rStyle w:val="54"/>
          <w:rFonts w:hint="eastAsia"/>
          <w:color w:val="auto"/>
        </w:rPr>
        <w:t>建成后全厂</w:t>
      </w:r>
      <w:r>
        <w:rPr>
          <w:rStyle w:val="54"/>
          <w:color w:val="auto"/>
        </w:rPr>
        <w:t>蒸汽平衡图（吨/年）</w:t>
      </w:r>
    </w:p>
    <w:p w14:paraId="68BC22CA">
      <w:pPr>
        <w:pStyle w:val="4"/>
        <w:rPr>
          <w:color w:val="auto"/>
        </w:rPr>
      </w:pPr>
      <w:bookmarkStart w:id="140" w:name="_Toc31966"/>
      <w:r>
        <w:rPr>
          <w:rFonts w:hint="eastAsia"/>
          <w:color w:val="auto"/>
        </w:rPr>
        <w:t>4.5.2</w:t>
      </w:r>
      <w:r>
        <w:rPr>
          <w:color w:val="auto"/>
        </w:rPr>
        <w:t>水平衡</w:t>
      </w:r>
      <w:bookmarkEnd w:id="140"/>
    </w:p>
    <w:p w14:paraId="47C53675">
      <w:pPr>
        <w:ind w:firstLine="480"/>
        <w:rPr>
          <w:color w:val="auto"/>
        </w:rPr>
      </w:pPr>
      <w:r>
        <w:rPr>
          <w:rFonts w:hint="eastAsia"/>
          <w:color w:val="auto"/>
        </w:rPr>
        <w:t>拟建</w:t>
      </w:r>
      <w:r>
        <w:rPr>
          <w:color w:val="auto"/>
        </w:rPr>
        <w:t>项目生产用水平衡见图4.</w:t>
      </w:r>
      <w:r>
        <w:rPr>
          <w:rFonts w:hint="eastAsia"/>
          <w:color w:val="auto"/>
        </w:rPr>
        <w:t>5</w:t>
      </w:r>
      <w:r>
        <w:rPr>
          <w:color w:val="auto"/>
        </w:rPr>
        <w:t>-3，</w:t>
      </w:r>
      <w:r>
        <w:rPr>
          <w:rFonts w:hint="eastAsia"/>
          <w:color w:val="auto"/>
        </w:rPr>
        <w:t>拟建</w:t>
      </w:r>
      <w:r>
        <w:rPr>
          <w:color w:val="auto"/>
        </w:rPr>
        <w:t>项目水平衡见图4.</w:t>
      </w:r>
      <w:r>
        <w:rPr>
          <w:rFonts w:hint="eastAsia"/>
          <w:color w:val="auto"/>
        </w:rPr>
        <w:t>5</w:t>
      </w:r>
      <w:r>
        <w:rPr>
          <w:color w:val="auto"/>
        </w:rPr>
        <w:t>-4。</w:t>
      </w:r>
    </w:p>
    <w:p w14:paraId="3F81B44A">
      <w:pPr>
        <w:spacing w:line="240" w:lineRule="auto"/>
        <w:ind w:firstLine="0" w:firstLineChars="0"/>
        <w:jc w:val="center"/>
        <w:rPr>
          <w:color w:val="auto"/>
        </w:rPr>
      </w:pPr>
      <w:r>
        <w:rPr>
          <w:color w:val="auto"/>
        </w:rPr>
        <w:drawing>
          <wp:inline distT="0" distB="0" distL="114300" distR="114300">
            <wp:extent cx="5247005" cy="1150620"/>
            <wp:effectExtent l="0" t="0" r="1079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0"/>
                    <a:stretch>
                      <a:fillRect/>
                    </a:stretch>
                  </pic:blipFill>
                  <pic:spPr>
                    <a:xfrm>
                      <a:off x="0" y="0"/>
                      <a:ext cx="5247005" cy="1150620"/>
                    </a:xfrm>
                    <a:prstGeom prst="rect">
                      <a:avLst/>
                    </a:prstGeom>
                    <a:noFill/>
                    <a:ln>
                      <a:noFill/>
                    </a:ln>
                  </pic:spPr>
                </pic:pic>
              </a:graphicData>
            </a:graphic>
          </wp:inline>
        </w:drawing>
      </w:r>
    </w:p>
    <w:p w14:paraId="016D2679">
      <w:pPr>
        <w:pStyle w:val="49"/>
        <w:rPr>
          <w:bCs/>
          <w:color w:val="auto"/>
          <w:szCs w:val="22"/>
        </w:rPr>
        <w:sectPr>
          <w:pgSz w:w="11906" w:h="16838"/>
          <w:pgMar w:top="1134" w:right="1134" w:bottom="1134" w:left="1134" w:header="851" w:footer="992" w:gutter="0"/>
          <w:cols w:space="425" w:num="1"/>
          <w:docGrid w:type="lines" w:linePitch="312" w:charSpace="0"/>
        </w:sectPr>
      </w:pPr>
      <w:r>
        <w:rPr>
          <w:rFonts w:hint="eastAsia"/>
          <w:bCs/>
          <w:color w:val="auto"/>
          <w:szCs w:val="22"/>
        </w:rPr>
        <w:t>图</w:t>
      </w:r>
      <w:r>
        <w:rPr>
          <w:bCs/>
          <w:color w:val="auto"/>
          <w:szCs w:val="22"/>
        </w:rPr>
        <w:t>4.</w:t>
      </w:r>
      <w:r>
        <w:rPr>
          <w:rFonts w:hint="eastAsia"/>
          <w:bCs/>
          <w:color w:val="auto"/>
          <w:szCs w:val="22"/>
        </w:rPr>
        <w:t>5</w:t>
      </w:r>
      <w:r>
        <w:rPr>
          <w:bCs/>
          <w:color w:val="auto"/>
          <w:szCs w:val="22"/>
        </w:rPr>
        <w:t>-3</w:t>
      </w:r>
      <w:r>
        <w:rPr>
          <w:rFonts w:hint="eastAsia"/>
          <w:bCs/>
          <w:color w:val="auto"/>
          <w:szCs w:val="22"/>
        </w:rPr>
        <w:t xml:space="preserve">  拟建</w:t>
      </w:r>
      <w:r>
        <w:rPr>
          <w:bCs/>
          <w:color w:val="auto"/>
          <w:szCs w:val="22"/>
        </w:rPr>
        <w:t>项目工艺水平衡图（</w:t>
      </w:r>
      <w:r>
        <w:rPr>
          <w:rStyle w:val="54"/>
          <w:b/>
          <w:color w:val="auto"/>
        </w:rPr>
        <w:t>吨/年</w:t>
      </w:r>
      <w:r>
        <w:rPr>
          <w:bCs/>
          <w:color w:val="auto"/>
          <w:szCs w:val="22"/>
        </w:rPr>
        <w:t>）</w:t>
      </w:r>
    </w:p>
    <w:p w14:paraId="4E1CCF52">
      <w:pPr>
        <w:pStyle w:val="49"/>
        <w:rPr>
          <w:color w:val="auto"/>
        </w:rPr>
      </w:pPr>
      <w:r>
        <w:rPr>
          <w:color w:val="auto"/>
        </w:rPr>
        <w:drawing>
          <wp:inline distT="0" distB="0" distL="114300" distR="114300">
            <wp:extent cx="9021445" cy="3922395"/>
            <wp:effectExtent l="0" t="0" r="8255" b="190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1"/>
                    <a:stretch>
                      <a:fillRect/>
                    </a:stretch>
                  </pic:blipFill>
                  <pic:spPr>
                    <a:xfrm>
                      <a:off x="0" y="0"/>
                      <a:ext cx="9021445" cy="3922395"/>
                    </a:xfrm>
                    <a:prstGeom prst="rect">
                      <a:avLst/>
                    </a:prstGeom>
                    <a:noFill/>
                    <a:ln>
                      <a:noFill/>
                    </a:ln>
                  </pic:spPr>
                </pic:pic>
              </a:graphicData>
            </a:graphic>
          </wp:inline>
        </w:drawing>
      </w:r>
    </w:p>
    <w:p w14:paraId="66877737">
      <w:pPr>
        <w:pStyle w:val="49"/>
        <w:rPr>
          <w:color w:val="auto"/>
        </w:rPr>
      </w:pPr>
      <w:r>
        <w:rPr>
          <w:rFonts w:hint="eastAsia"/>
          <w:color w:val="auto"/>
        </w:rPr>
        <w:t>图</w:t>
      </w:r>
      <w:r>
        <w:rPr>
          <w:color w:val="auto"/>
        </w:rPr>
        <w:t>4.</w:t>
      </w:r>
      <w:r>
        <w:rPr>
          <w:rFonts w:hint="eastAsia"/>
          <w:color w:val="auto"/>
        </w:rPr>
        <w:t>5</w:t>
      </w:r>
      <w:r>
        <w:rPr>
          <w:color w:val="auto"/>
        </w:rPr>
        <w:t xml:space="preserve">-4 </w:t>
      </w:r>
      <w:r>
        <w:rPr>
          <w:rFonts w:hint="eastAsia"/>
          <w:color w:val="auto"/>
        </w:rPr>
        <w:t xml:space="preserve"> 拟建</w:t>
      </w:r>
      <w:r>
        <w:rPr>
          <w:color w:val="auto"/>
        </w:rPr>
        <w:t>项目水平衡图（</w:t>
      </w:r>
      <w:r>
        <w:rPr>
          <w:rFonts w:hint="eastAsia"/>
          <w:color w:val="auto"/>
        </w:rPr>
        <w:t>吨/年</w:t>
      </w:r>
      <w:r>
        <w:rPr>
          <w:color w:val="auto"/>
        </w:rPr>
        <w:t>）</w:t>
      </w:r>
    </w:p>
    <w:p w14:paraId="70ACCC2B">
      <w:pPr>
        <w:pStyle w:val="49"/>
        <w:rPr>
          <w:color w:val="auto"/>
        </w:rPr>
      </w:pPr>
    </w:p>
    <w:p w14:paraId="59F9A669">
      <w:pPr>
        <w:pStyle w:val="49"/>
        <w:rPr>
          <w:bCs/>
          <w:color w:val="auto"/>
          <w:szCs w:val="22"/>
        </w:rPr>
        <w:sectPr>
          <w:pgSz w:w="16838" w:h="11906" w:orient="landscape"/>
          <w:pgMar w:top="1134" w:right="1134" w:bottom="1134" w:left="1134" w:header="851" w:footer="992" w:gutter="0"/>
          <w:cols w:space="425" w:num="1"/>
          <w:docGrid w:type="lines" w:linePitch="312" w:charSpace="0"/>
        </w:sectPr>
      </w:pPr>
    </w:p>
    <w:p w14:paraId="055F5C01">
      <w:pPr>
        <w:pStyle w:val="49"/>
        <w:rPr>
          <w:color w:val="auto"/>
        </w:rPr>
      </w:pPr>
      <w:r>
        <w:rPr>
          <w:color w:val="auto"/>
        </w:rPr>
        <w:drawing>
          <wp:inline distT="0" distB="0" distL="114300" distR="114300">
            <wp:extent cx="7011035" cy="5600065"/>
            <wp:effectExtent l="0" t="0" r="18415" b="63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2"/>
                    <a:stretch>
                      <a:fillRect/>
                    </a:stretch>
                  </pic:blipFill>
                  <pic:spPr>
                    <a:xfrm>
                      <a:off x="0" y="0"/>
                      <a:ext cx="7011035" cy="5600065"/>
                    </a:xfrm>
                    <a:prstGeom prst="rect">
                      <a:avLst/>
                    </a:prstGeom>
                    <a:noFill/>
                    <a:ln>
                      <a:noFill/>
                    </a:ln>
                  </pic:spPr>
                </pic:pic>
              </a:graphicData>
            </a:graphic>
          </wp:inline>
        </w:drawing>
      </w:r>
    </w:p>
    <w:p w14:paraId="37816EE9">
      <w:pPr>
        <w:pStyle w:val="49"/>
        <w:rPr>
          <w:color w:val="auto"/>
        </w:rPr>
      </w:pPr>
      <w:r>
        <w:rPr>
          <w:rFonts w:hint="eastAsia"/>
          <w:color w:val="auto"/>
        </w:rPr>
        <w:t>图</w:t>
      </w:r>
      <w:r>
        <w:rPr>
          <w:color w:val="auto"/>
        </w:rPr>
        <w:t>4.</w:t>
      </w:r>
      <w:r>
        <w:rPr>
          <w:rFonts w:hint="eastAsia"/>
          <w:color w:val="auto"/>
        </w:rPr>
        <w:t>5</w:t>
      </w:r>
      <w:r>
        <w:rPr>
          <w:color w:val="auto"/>
        </w:rPr>
        <w:t>-</w:t>
      </w:r>
      <w:r>
        <w:rPr>
          <w:rFonts w:hint="eastAsia"/>
          <w:color w:val="auto"/>
        </w:rPr>
        <w:t>5</w:t>
      </w:r>
      <w:r>
        <w:rPr>
          <w:color w:val="auto"/>
        </w:rPr>
        <w:t xml:space="preserve"> </w:t>
      </w:r>
      <w:r>
        <w:rPr>
          <w:rFonts w:hint="eastAsia"/>
          <w:color w:val="auto"/>
        </w:rPr>
        <w:t xml:space="preserve"> 拟建</w:t>
      </w:r>
      <w:r>
        <w:rPr>
          <w:color w:val="auto"/>
        </w:rPr>
        <w:t>项目</w:t>
      </w:r>
      <w:r>
        <w:rPr>
          <w:rFonts w:hint="eastAsia"/>
          <w:color w:val="auto"/>
        </w:rPr>
        <w:t>建成后全厂</w:t>
      </w:r>
      <w:r>
        <w:rPr>
          <w:color w:val="auto"/>
        </w:rPr>
        <w:t>水平衡图（</w:t>
      </w:r>
      <w:r>
        <w:rPr>
          <w:rFonts w:hint="eastAsia"/>
          <w:color w:val="auto"/>
        </w:rPr>
        <w:t>吨/年</w:t>
      </w:r>
      <w:r>
        <w:rPr>
          <w:color w:val="auto"/>
        </w:rPr>
        <w:t>）</w:t>
      </w:r>
    </w:p>
    <w:p w14:paraId="466D4351">
      <w:pPr>
        <w:pStyle w:val="49"/>
        <w:rPr>
          <w:bCs/>
          <w:color w:val="auto"/>
          <w:szCs w:val="22"/>
        </w:rPr>
        <w:sectPr>
          <w:pgSz w:w="16838" w:h="11906" w:orient="landscape"/>
          <w:pgMar w:top="1134" w:right="1134" w:bottom="1134" w:left="1134" w:header="851" w:footer="992" w:gutter="0"/>
          <w:cols w:space="425" w:num="1"/>
          <w:docGrid w:type="lines" w:linePitch="312" w:charSpace="0"/>
        </w:sectPr>
      </w:pPr>
    </w:p>
    <w:p w14:paraId="0FB3D4D3">
      <w:pPr>
        <w:pStyle w:val="3"/>
        <w:spacing w:before="312"/>
        <w:rPr>
          <w:color w:val="auto"/>
        </w:rPr>
      </w:pPr>
      <w:bookmarkStart w:id="141" w:name="_Toc32699"/>
      <w:bookmarkStart w:id="142" w:name="_Toc24729"/>
      <w:bookmarkStart w:id="143" w:name="_Toc9253"/>
      <w:r>
        <w:rPr>
          <w:color w:val="auto"/>
        </w:rPr>
        <w:t>4.</w:t>
      </w:r>
      <w:r>
        <w:rPr>
          <w:rFonts w:hint="eastAsia"/>
          <w:color w:val="auto"/>
        </w:rPr>
        <w:t>6</w:t>
      </w:r>
      <w:r>
        <w:rPr>
          <w:color w:val="auto"/>
        </w:rPr>
        <w:t>污染源强分析</w:t>
      </w:r>
      <w:bookmarkEnd w:id="141"/>
      <w:bookmarkEnd w:id="142"/>
      <w:bookmarkEnd w:id="143"/>
    </w:p>
    <w:p w14:paraId="75932201">
      <w:pPr>
        <w:pStyle w:val="4"/>
        <w:rPr>
          <w:color w:val="auto"/>
        </w:rPr>
      </w:pPr>
      <w:bookmarkStart w:id="144" w:name="_Toc12197"/>
      <w:r>
        <w:rPr>
          <w:rFonts w:hint="eastAsia"/>
          <w:color w:val="auto"/>
        </w:rPr>
        <w:t>4.6.1</w:t>
      </w:r>
      <w:r>
        <w:rPr>
          <w:color w:val="auto"/>
        </w:rPr>
        <w:t>废水</w:t>
      </w:r>
      <w:bookmarkEnd w:id="144"/>
    </w:p>
    <w:p w14:paraId="77828A6E">
      <w:pPr>
        <w:ind w:firstLine="480"/>
        <w:rPr>
          <w:color w:val="auto"/>
        </w:rPr>
      </w:pPr>
      <w:r>
        <w:rPr>
          <w:color w:val="auto"/>
        </w:rPr>
        <w:t>拟建项目排水实行清污分流、分质处理的原则。</w:t>
      </w:r>
      <w:r>
        <w:rPr>
          <w:rFonts w:hint="eastAsia"/>
          <w:color w:val="auto"/>
        </w:rPr>
        <w:t>项目不产生生产工艺废水，新增废水</w:t>
      </w:r>
      <w:r>
        <w:rPr>
          <w:color w:val="auto"/>
        </w:rPr>
        <w:t>主要</w:t>
      </w:r>
      <w:r>
        <w:rPr>
          <w:rFonts w:hint="eastAsia"/>
          <w:color w:val="auto"/>
        </w:rPr>
        <w:t>包括</w:t>
      </w:r>
      <w:r>
        <w:rPr>
          <w:color w:val="auto"/>
        </w:rPr>
        <w:t>实验室废水、空压机废水、纯水制备浓水、循环冷却系统排水。</w:t>
      </w:r>
    </w:p>
    <w:p w14:paraId="0DE01C69">
      <w:pPr>
        <w:ind w:firstLine="480"/>
        <w:rPr>
          <w:color w:val="auto"/>
        </w:rPr>
      </w:pPr>
      <w:r>
        <w:rPr>
          <w:rFonts w:hint="eastAsia"/>
          <w:color w:val="auto"/>
        </w:rPr>
        <w:t>（1）实验室废水主要来源于需要利用去离子水对实验仪器/容器等进行冲洗，根据企业提供数据，实验室清洗去离子水用水总量约3.75t/a。其中：冲洗损耗按20%计，实验废水约为3t/a，经厂区污水处理设施处理，清洗废水中主要污染物浓度为COD 400mg/L、SS 200mg/L、氨氮30mg/L、总氮45mg/L、总磷8mg/L。</w:t>
      </w:r>
    </w:p>
    <w:p w14:paraId="580FF5A2">
      <w:pPr>
        <w:ind w:firstLine="480"/>
        <w:rPr>
          <w:color w:val="auto"/>
        </w:rPr>
      </w:pPr>
      <w:r>
        <w:rPr>
          <w:rFonts w:hint="eastAsia"/>
          <w:color w:val="auto"/>
        </w:rPr>
        <w:t>（2）常压饱和湿空气被压缩后压力升高、水汽饱和溶解度下降，部分水蒸气冷凝析出形成废水。拟建项目的氮气使用量约为15 Nm</w:t>
      </w:r>
      <w:r>
        <w:rPr>
          <w:rFonts w:hint="eastAsia"/>
          <w:color w:val="auto"/>
          <w:vertAlign w:val="superscript"/>
        </w:rPr>
        <w:t>3</w:t>
      </w:r>
      <w:r>
        <w:rPr>
          <w:rFonts w:hint="eastAsia"/>
          <w:color w:val="auto"/>
        </w:rPr>
        <w:t>/h，在制备压缩空气时，空气中约有一半水进入废水，则废水产生量为0.94m</w:t>
      </w:r>
      <w:r>
        <w:rPr>
          <w:rFonts w:hint="eastAsia"/>
          <w:color w:val="auto"/>
          <w:vertAlign w:val="superscript"/>
        </w:rPr>
        <w:t>3</w:t>
      </w:r>
      <w:r>
        <w:rPr>
          <w:rFonts w:hint="eastAsia"/>
          <w:color w:val="auto"/>
        </w:rPr>
        <w:t>/a，空压机自带油水分离器，类比同类设备废水，水质如下：COD 1200mg/L、SS600mg/L、石油类15mg/L，送入厂区污水处理站处理。</w:t>
      </w:r>
    </w:p>
    <w:p w14:paraId="493D11F0">
      <w:pPr>
        <w:ind w:firstLine="480"/>
        <w:rPr>
          <w:color w:val="auto"/>
        </w:rPr>
      </w:pPr>
      <w:r>
        <w:rPr>
          <w:rFonts w:hint="eastAsia"/>
          <w:color w:val="auto"/>
        </w:rPr>
        <w:t>（3）</w:t>
      </w:r>
      <w:r>
        <w:rPr>
          <w:color w:val="auto"/>
        </w:rPr>
        <w:t>循环冷却系统排水</w:t>
      </w:r>
    </w:p>
    <w:p w14:paraId="14C92990">
      <w:pPr>
        <w:ind w:firstLine="480"/>
        <w:rPr>
          <w:color w:val="auto"/>
        </w:rPr>
      </w:pPr>
      <w:r>
        <w:rPr>
          <w:rFonts w:hint="eastAsia"/>
          <w:color w:val="auto"/>
        </w:rPr>
        <w:t>拟建</w:t>
      </w:r>
      <w:r>
        <w:rPr>
          <w:color w:val="auto"/>
        </w:rPr>
        <w:t>项目不新增循环冷却塔，依托现有循环冷却系统，循环冷却水用量为</w:t>
      </w:r>
      <w:r>
        <w:rPr>
          <w:rFonts w:hint="eastAsia"/>
          <w:color w:val="auto"/>
        </w:rPr>
        <w:t>166.67</w:t>
      </w:r>
      <w:r>
        <w:rPr>
          <w:color w:val="auto"/>
        </w:rPr>
        <w:t>m</w:t>
      </w:r>
      <w:r>
        <w:rPr>
          <w:color w:val="auto"/>
          <w:vertAlign w:val="superscript"/>
        </w:rPr>
        <w:t>3</w:t>
      </w:r>
      <w:r>
        <w:rPr>
          <w:color w:val="auto"/>
        </w:rPr>
        <w:t>/h，主要用于生产线冷却降温，总循环水量为</w:t>
      </w:r>
      <w:r>
        <w:rPr>
          <w:rFonts w:hint="eastAsia"/>
          <w:color w:val="auto"/>
        </w:rPr>
        <w:t>1200000</w:t>
      </w:r>
      <w:r>
        <w:rPr>
          <w:color w:val="auto"/>
        </w:rPr>
        <w:t>m</w:t>
      </w:r>
      <w:r>
        <w:rPr>
          <w:color w:val="auto"/>
          <w:vertAlign w:val="superscript"/>
        </w:rPr>
        <w:t>3</w:t>
      </w:r>
      <w:r>
        <w:rPr>
          <w:color w:val="auto"/>
        </w:rPr>
        <w:t>/a，损耗量为补水量的1%，浓缩倍数取10倍，排放量约为补水量的10%，则循环冷却系统排水量为</w:t>
      </w:r>
      <w:r>
        <w:rPr>
          <w:rFonts w:hint="eastAsia"/>
          <w:color w:val="auto"/>
        </w:rPr>
        <w:t>1200</w:t>
      </w:r>
      <w:r>
        <w:rPr>
          <w:color w:val="auto"/>
        </w:rPr>
        <w:t>m</w:t>
      </w:r>
      <w:r>
        <w:rPr>
          <w:color w:val="auto"/>
          <w:vertAlign w:val="superscript"/>
        </w:rPr>
        <w:t>3</w:t>
      </w:r>
      <w:r>
        <w:rPr>
          <w:color w:val="auto"/>
        </w:rPr>
        <w:t>/a。类比现有项目，此部分循环冷却系统定排水COD约为40mg/L，SS约为30mg/L，排入厂区污水处理站处理。</w:t>
      </w:r>
    </w:p>
    <w:p w14:paraId="19BC5114">
      <w:pPr>
        <w:ind w:firstLine="480"/>
        <w:rPr>
          <w:color w:val="auto"/>
        </w:rPr>
      </w:pPr>
      <w:r>
        <w:rPr>
          <w:rFonts w:hint="eastAsia"/>
          <w:color w:val="auto"/>
        </w:rPr>
        <w:t>（4）</w:t>
      </w:r>
      <w:r>
        <w:rPr>
          <w:color w:val="auto"/>
        </w:rPr>
        <w:t>纯水制备浓水</w:t>
      </w:r>
    </w:p>
    <w:p w14:paraId="26DC325D">
      <w:pPr>
        <w:ind w:firstLine="480"/>
        <w:rPr>
          <w:color w:val="auto"/>
        </w:rPr>
      </w:pPr>
      <w:r>
        <w:rPr>
          <w:rFonts w:hint="eastAsia"/>
          <w:color w:val="auto"/>
        </w:rPr>
        <w:t>拟建</w:t>
      </w:r>
      <w:r>
        <w:rPr>
          <w:color w:val="auto"/>
        </w:rPr>
        <w:t>纯水主要用于生产和设备清洗，根据物料平衡可知，生产用水的需求量为</w:t>
      </w:r>
      <w:r>
        <w:rPr>
          <w:rFonts w:hint="eastAsia"/>
          <w:color w:val="auto"/>
        </w:rPr>
        <w:t>60592.681</w:t>
      </w:r>
      <w:r>
        <w:rPr>
          <w:color w:val="auto"/>
        </w:rPr>
        <w:t>m</w:t>
      </w:r>
      <w:r>
        <w:rPr>
          <w:color w:val="auto"/>
          <w:vertAlign w:val="superscript"/>
        </w:rPr>
        <w:t>3</w:t>
      </w:r>
      <w:r>
        <w:rPr>
          <w:color w:val="auto"/>
        </w:rPr>
        <w:t>/a，设备清洗的用水量为</w:t>
      </w:r>
      <w:r>
        <w:rPr>
          <w:rFonts w:hint="eastAsia"/>
          <w:color w:val="auto"/>
        </w:rPr>
        <w:t>18.333</w:t>
      </w:r>
      <w:r>
        <w:rPr>
          <w:color w:val="auto"/>
        </w:rPr>
        <w:t>m</w:t>
      </w:r>
      <w:r>
        <w:rPr>
          <w:color w:val="auto"/>
          <w:vertAlign w:val="superscript"/>
        </w:rPr>
        <w:t>3</w:t>
      </w:r>
      <w:r>
        <w:rPr>
          <w:color w:val="auto"/>
        </w:rPr>
        <w:t>/a。</w:t>
      </w:r>
      <w:r>
        <w:rPr>
          <w:rFonts w:hint="eastAsia"/>
          <w:color w:val="auto"/>
        </w:rPr>
        <w:t>拟建</w:t>
      </w:r>
      <w:r>
        <w:rPr>
          <w:color w:val="auto"/>
        </w:rPr>
        <w:t>纯水需求量</w:t>
      </w:r>
      <w:r>
        <w:rPr>
          <w:rFonts w:hint="eastAsia"/>
          <w:color w:val="auto"/>
        </w:rPr>
        <w:t>60611.014</w:t>
      </w:r>
      <w:r>
        <w:rPr>
          <w:color w:val="auto"/>
        </w:rPr>
        <w:t>m</w:t>
      </w:r>
      <w:r>
        <w:rPr>
          <w:color w:val="auto"/>
          <w:vertAlign w:val="superscript"/>
        </w:rPr>
        <w:t>3</w:t>
      </w:r>
      <w:r>
        <w:rPr>
          <w:color w:val="auto"/>
        </w:rPr>
        <w:t>/a，纯水机组的制水得水率在80%以上，则纯水系统新增水量</w:t>
      </w:r>
      <w:r>
        <w:rPr>
          <w:rFonts w:hint="eastAsia"/>
          <w:color w:val="auto"/>
        </w:rPr>
        <w:t>75763.768</w:t>
      </w:r>
      <w:r>
        <w:rPr>
          <w:color w:val="auto"/>
        </w:rPr>
        <w:t>m</w:t>
      </w:r>
      <w:r>
        <w:rPr>
          <w:color w:val="auto"/>
          <w:vertAlign w:val="superscript"/>
        </w:rPr>
        <w:t>3</w:t>
      </w:r>
      <w:r>
        <w:rPr>
          <w:color w:val="auto"/>
        </w:rPr>
        <w:t>/a，纯水制备系统废水约</w:t>
      </w:r>
      <w:r>
        <w:rPr>
          <w:rFonts w:hint="eastAsia"/>
          <w:color w:val="auto"/>
        </w:rPr>
        <w:t>15152.754</w:t>
      </w:r>
      <w:r>
        <w:rPr>
          <w:color w:val="auto"/>
        </w:rPr>
        <w:t>m</w:t>
      </w:r>
      <w:r>
        <w:rPr>
          <w:color w:val="auto"/>
          <w:vertAlign w:val="superscript"/>
        </w:rPr>
        <w:t>3</w:t>
      </w:r>
      <w:r>
        <w:rPr>
          <w:color w:val="auto"/>
        </w:rPr>
        <w:t>/a，废水中主要污染物为COD、SS，产生浓度分别为100mg/L、50mg/L。</w:t>
      </w:r>
    </w:p>
    <w:p w14:paraId="34ACFA9B">
      <w:pPr>
        <w:ind w:firstLine="480"/>
        <w:rPr>
          <w:color w:val="auto"/>
        </w:rPr>
      </w:pPr>
      <w:r>
        <w:rPr>
          <w:rFonts w:hint="eastAsia"/>
          <w:color w:val="auto"/>
        </w:rPr>
        <w:t>综上，拟建项目废水污染物</w:t>
      </w:r>
      <w:r>
        <w:rPr>
          <w:color w:val="auto"/>
        </w:rPr>
        <w:t>产生</w:t>
      </w:r>
      <w:r>
        <w:rPr>
          <w:rFonts w:hint="eastAsia"/>
          <w:color w:val="auto"/>
        </w:rPr>
        <w:t>情况详见表4.6-2，</w:t>
      </w:r>
      <w:r>
        <w:rPr>
          <w:color w:val="auto"/>
        </w:rPr>
        <w:t>排放情况</w:t>
      </w:r>
      <w:r>
        <w:rPr>
          <w:rFonts w:hint="eastAsia"/>
          <w:color w:val="auto"/>
        </w:rPr>
        <w:t>详</w:t>
      </w:r>
      <w:r>
        <w:rPr>
          <w:color w:val="auto"/>
        </w:rPr>
        <w:t>见表4.</w:t>
      </w:r>
      <w:r>
        <w:rPr>
          <w:rFonts w:hint="eastAsia"/>
          <w:color w:val="auto"/>
        </w:rPr>
        <w:t>6</w:t>
      </w:r>
      <w:r>
        <w:rPr>
          <w:color w:val="auto"/>
        </w:rPr>
        <w:t>-</w:t>
      </w:r>
      <w:r>
        <w:rPr>
          <w:rFonts w:hint="eastAsia"/>
          <w:color w:val="auto"/>
        </w:rPr>
        <w:t>3。</w:t>
      </w:r>
    </w:p>
    <w:p w14:paraId="17485379">
      <w:pPr>
        <w:pStyle w:val="49"/>
        <w:rPr>
          <w:color w:val="auto"/>
        </w:rPr>
      </w:pPr>
      <w:r>
        <w:rPr>
          <w:color w:val="auto"/>
        </w:rPr>
        <w:t>表4.</w:t>
      </w:r>
      <w:r>
        <w:rPr>
          <w:rFonts w:hint="eastAsia"/>
          <w:color w:val="auto"/>
        </w:rPr>
        <w:t>6</w:t>
      </w:r>
      <w:r>
        <w:rPr>
          <w:color w:val="auto"/>
        </w:rPr>
        <w:t>-</w:t>
      </w:r>
      <w:r>
        <w:rPr>
          <w:rFonts w:hint="eastAsia"/>
          <w:color w:val="auto"/>
        </w:rPr>
        <w:t>2  拟建</w:t>
      </w:r>
      <w:r>
        <w:rPr>
          <w:color w:val="auto"/>
        </w:rPr>
        <w:t>项目水污染物产生情况一览表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61"/>
        <w:gridCol w:w="1575"/>
        <w:gridCol w:w="1971"/>
        <w:gridCol w:w="1971"/>
        <w:gridCol w:w="1972"/>
      </w:tblGrid>
      <w:tr w14:paraId="09FE1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Align w:val="center"/>
          </w:tcPr>
          <w:p w14:paraId="78CB3F72">
            <w:pPr>
              <w:pStyle w:val="7"/>
              <w:spacing w:line="240" w:lineRule="auto"/>
              <w:ind w:firstLine="0" w:firstLineChars="0"/>
              <w:jc w:val="center"/>
              <w:rPr>
                <w:rFonts w:cs="宋体"/>
                <w:b/>
                <w:color w:val="auto"/>
                <w:kern w:val="0"/>
                <w:sz w:val="21"/>
                <w:szCs w:val="21"/>
                <w:lang w:bidi="ar"/>
              </w:rPr>
            </w:pPr>
            <w:r>
              <w:rPr>
                <w:rFonts w:hint="eastAsia" w:cs="宋体"/>
                <w:b/>
                <w:color w:val="auto"/>
                <w:kern w:val="0"/>
                <w:sz w:val="21"/>
                <w:szCs w:val="21"/>
                <w:lang w:bidi="ar"/>
              </w:rPr>
              <w:t>废水类别</w:t>
            </w:r>
          </w:p>
        </w:tc>
        <w:tc>
          <w:tcPr>
            <w:tcW w:w="799" w:type="pct"/>
            <w:vAlign w:val="center"/>
          </w:tcPr>
          <w:p w14:paraId="79BACFC8">
            <w:pPr>
              <w:pStyle w:val="7"/>
              <w:spacing w:line="240" w:lineRule="auto"/>
              <w:ind w:firstLine="0" w:firstLineChars="0"/>
              <w:jc w:val="center"/>
              <w:rPr>
                <w:rFonts w:cs="宋体"/>
                <w:b/>
                <w:color w:val="auto"/>
                <w:kern w:val="0"/>
                <w:sz w:val="21"/>
                <w:szCs w:val="21"/>
                <w:lang w:bidi="ar"/>
              </w:rPr>
            </w:pPr>
            <w:r>
              <w:rPr>
                <w:rFonts w:hint="eastAsia" w:cs="宋体"/>
                <w:b/>
                <w:color w:val="auto"/>
                <w:kern w:val="0"/>
                <w:sz w:val="21"/>
                <w:szCs w:val="21"/>
                <w:lang w:bidi="ar"/>
              </w:rPr>
              <w:t>废水量</w:t>
            </w:r>
            <w:r>
              <w:rPr>
                <w:b/>
                <w:color w:val="auto"/>
                <w:sz w:val="21"/>
                <w:szCs w:val="21"/>
              </w:rPr>
              <w:t>m</w:t>
            </w:r>
            <w:r>
              <w:rPr>
                <w:b/>
                <w:color w:val="auto"/>
                <w:sz w:val="21"/>
                <w:szCs w:val="21"/>
                <w:vertAlign w:val="superscript"/>
              </w:rPr>
              <w:t>3</w:t>
            </w:r>
            <w:r>
              <w:rPr>
                <w:rFonts w:hint="eastAsia" w:cs="宋体"/>
                <w:b/>
                <w:color w:val="auto"/>
                <w:kern w:val="0"/>
                <w:sz w:val="21"/>
                <w:szCs w:val="21"/>
                <w:lang w:bidi="ar"/>
              </w:rPr>
              <w:t>/a</w:t>
            </w:r>
          </w:p>
        </w:tc>
        <w:tc>
          <w:tcPr>
            <w:tcW w:w="1000" w:type="pct"/>
            <w:vAlign w:val="center"/>
          </w:tcPr>
          <w:p w14:paraId="040A9E7F">
            <w:pPr>
              <w:pStyle w:val="7"/>
              <w:spacing w:line="240" w:lineRule="auto"/>
              <w:ind w:firstLine="0" w:firstLineChars="0"/>
              <w:jc w:val="center"/>
              <w:rPr>
                <w:rFonts w:cs="宋体"/>
                <w:b/>
                <w:color w:val="auto"/>
                <w:kern w:val="0"/>
                <w:sz w:val="21"/>
                <w:szCs w:val="21"/>
                <w:lang w:bidi="ar"/>
              </w:rPr>
            </w:pPr>
            <w:r>
              <w:rPr>
                <w:rFonts w:hint="eastAsia" w:cs="宋体"/>
                <w:b/>
                <w:color w:val="auto"/>
                <w:kern w:val="0"/>
                <w:sz w:val="21"/>
                <w:szCs w:val="21"/>
                <w:lang w:bidi="ar"/>
              </w:rPr>
              <w:t>污染物名称</w:t>
            </w:r>
          </w:p>
        </w:tc>
        <w:tc>
          <w:tcPr>
            <w:tcW w:w="1000" w:type="pct"/>
            <w:vAlign w:val="center"/>
          </w:tcPr>
          <w:p w14:paraId="5FAF39F7">
            <w:pPr>
              <w:pStyle w:val="7"/>
              <w:spacing w:line="240" w:lineRule="auto"/>
              <w:ind w:firstLine="0" w:firstLineChars="0"/>
              <w:jc w:val="center"/>
              <w:rPr>
                <w:rFonts w:cs="宋体"/>
                <w:b/>
                <w:color w:val="auto"/>
                <w:kern w:val="0"/>
                <w:sz w:val="21"/>
                <w:szCs w:val="21"/>
                <w:lang w:bidi="ar"/>
              </w:rPr>
            </w:pPr>
            <w:r>
              <w:rPr>
                <w:rFonts w:hint="eastAsia" w:cs="宋体"/>
                <w:b/>
                <w:color w:val="auto"/>
                <w:kern w:val="0"/>
                <w:sz w:val="21"/>
                <w:szCs w:val="21"/>
                <w:lang w:bidi="ar"/>
              </w:rPr>
              <w:t>产生浓度mg/L</w:t>
            </w:r>
          </w:p>
        </w:tc>
        <w:tc>
          <w:tcPr>
            <w:tcW w:w="1000" w:type="pct"/>
            <w:vAlign w:val="center"/>
          </w:tcPr>
          <w:p w14:paraId="59A5E30C">
            <w:pPr>
              <w:pStyle w:val="7"/>
              <w:spacing w:line="240" w:lineRule="auto"/>
              <w:ind w:firstLine="0" w:firstLineChars="0"/>
              <w:jc w:val="center"/>
              <w:rPr>
                <w:rFonts w:cs="宋体"/>
                <w:b/>
                <w:color w:val="auto"/>
                <w:kern w:val="0"/>
                <w:sz w:val="21"/>
                <w:szCs w:val="21"/>
                <w:lang w:bidi="ar"/>
              </w:rPr>
            </w:pPr>
            <w:r>
              <w:rPr>
                <w:rFonts w:hint="eastAsia" w:cs="宋体"/>
                <w:b/>
                <w:color w:val="auto"/>
                <w:kern w:val="0"/>
                <w:sz w:val="21"/>
                <w:szCs w:val="21"/>
                <w:lang w:bidi="ar"/>
              </w:rPr>
              <w:t>产生量t/a</w:t>
            </w:r>
          </w:p>
        </w:tc>
      </w:tr>
      <w:tr w14:paraId="18944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restart"/>
            <w:vAlign w:val="center"/>
          </w:tcPr>
          <w:p w14:paraId="2805030E">
            <w:pPr>
              <w:pStyle w:val="7"/>
              <w:spacing w:line="240" w:lineRule="auto"/>
              <w:ind w:firstLine="0" w:firstLineChars="0"/>
              <w:jc w:val="center"/>
              <w:rPr>
                <w:bCs/>
                <w:color w:val="auto"/>
                <w:sz w:val="21"/>
                <w:szCs w:val="21"/>
              </w:rPr>
            </w:pPr>
            <w:r>
              <w:rPr>
                <w:rFonts w:hint="eastAsia"/>
                <w:bCs/>
                <w:color w:val="auto"/>
                <w:sz w:val="21"/>
                <w:szCs w:val="21"/>
              </w:rPr>
              <w:t>实验室废水</w:t>
            </w:r>
          </w:p>
        </w:tc>
        <w:tc>
          <w:tcPr>
            <w:tcW w:w="799" w:type="pct"/>
            <w:vMerge w:val="restart"/>
            <w:vAlign w:val="center"/>
          </w:tcPr>
          <w:p w14:paraId="55C4D94C">
            <w:pPr>
              <w:pStyle w:val="7"/>
              <w:spacing w:line="240" w:lineRule="auto"/>
              <w:ind w:firstLine="0" w:firstLineChars="0"/>
              <w:jc w:val="center"/>
              <w:rPr>
                <w:bCs/>
                <w:color w:val="auto"/>
                <w:sz w:val="21"/>
                <w:szCs w:val="21"/>
              </w:rPr>
            </w:pPr>
            <w:r>
              <w:rPr>
                <w:rFonts w:hint="eastAsia"/>
                <w:bCs/>
                <w:color w:val="auto"/>
                <w:sz w:val="21"/>
                <w:szCs w:val="21"/>
              </w:rPr>
              <w:t>3</w:t>
            </w:r>
          </w:p>
        </w:tc>
        <w:tc>
          <w:tcPr>
            <w:tcW w:w="1000" w:type="pct"/>
            <w:vAlign w:val="center"/>
          </w:tcPr>
          <w:p w14:paraId="71A95D09">
            <w:pPr>
              <w:widowControl/>
              <w:spacing w:line="240" w:lineRule="auto"/>
              <w:ind w:firstLine="0" w:firstLineChars="0"/>
              <w:jc w:val="center"/>
              <w:textAlignment w:val="center"/>
              <w:rPr>
                <w:color w:val="auto"/>
                <w:kern w:val="0"/>
                <w:sz w:val="21"/>
                <w:szCs w:val="21"/>
                <w:lang w:bidi="ar"/>
              </w:rPr>
            </w:pPr>
            <w:r>
              <w:rPr>
                <w:color w:val="auto"/>
                <w:kern w:val="0"/>
                <w:sz w:val="21"/>
                <w:szCs w:val="22"/>
                <w:lang w:bidi="ar"/>
              </w:rPr>
              <w:t>COD</w:t>
            </w:r>
          </w:p>
        </w:tc>
        <w:tc>
          <w:tcPr>
            <w:tcW w:w="1000" w:type="pct"/>
            <w:vAlign w:val="center"/>
          </w:tcPr>
          <w:p w14:paraId="52CA4D85">
            <w:pPr>
              <w:widowControl/>
              <w:spacing w:line="240" w:lineRule="auto"/>
              <w:ind w:firstLine="0" w:firstLineChars="0"/>
              <w:jc w:val="center"/>
              <w:textAlignment w:val="center"/>
              <w:rPr>
                <w:bCs/>
                <w:color w:val="auto"/>
                <w:sz w:val="21"/>
                <w:szCs w:val="21"/>
              </w:rPr>
            </w:pPr>
            <w:r>
              <w:rPr>
                <w:color w:val="auto"/>
                <w:kern w:val="0"/>
                <w:sz w:val="21"/>
                <w:szCs w:val="22"/>
                <w:lang w:bidi="ar"/>
              </w:rPr>
              <w:t>400</w:t>
            </w:r>
          </w:p>
        </w:tc>
        <w:tc>
          <w:tcPr>
            <w:tcW w:w="1000" w:type="pct"/>
            <w:vAlign w:val="center"/>
          </w:tcPr>
          <w:p w14:paraId="2599A19D">
            <w:pPr>
              <w:widowControl/>
              <w:spacing w:line="240" w:lineRule="auto"/>
              <w:ind w:firstLine="0" w:firstLineChars="0"/>
              <w:jc w:val="center"/>
              <w:textAlignment w:val="center"/>
              <w:rPr>
                <w:bCs/>
                <w:color w:val="auto"/>
                <w:sz w:val="21"/>
                <w:szCs w:val="21"/>
              </w:rPr>
            </w:pPr>
            <w:r>
              <w:rPr>
                <w:color w:val="auto"/>
                <w:kern w:val="0"/>
                <w:sz w:val="21"/>
                <w:szCs w:val="21"/>
                <w:lang w:bidi="ar"/>
              </w:rPr>
              <w:t xml:space="preserve">0.001 </w:t>
            </w:r>
          </w:p>
        </w:tc>
      </w:tr>
      <w:tr w14:paraId="304B0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0CF2E99D">
            <w:pPr>
              <w:pStyle w:val="7"/>
              <w:spacing w:line="240" w:lineRule="auto"/>
              <w:ind w:firstLine="0" w:firstLineChars="0"/>
              <w:jc w:val="center"/>
              <w:rPr>
                <w:bCs/>
                <w:color w:val="auto"/>
                <w:sz w:val="21"/>
                <w:szCs w:val="21"/>
              </w:rPr>
            </w:pPr>
          </w:p>
        </w:tc>
        <w:tc>
          <w:tcPr>
            <w:tcW w:w="799" w:type="pct"/>
            <w:vMerge w:val="continue"/>
            <w:vAlign w:val="center"/>
          </w:tcPr>
          <w:p w14:paraId="1B4CD4A1">
            <w:pPr>
              <w:pStyle w:val="7"/>
              <w:spacing w:line="240" w:lineRule="auto"/>
              <w:ind w:firstLine="0" w:firstLineChars="0"/>
              <w:jc w:val="center"/>
              <w:rPr>
                <w:bCs/>
                <w:color w:val="auto"/>
                <w:sz w:val="21"/>
                <w:szCs w:val="21"/>
              </w:rPr>
            </w:pPr>
          </w:p>
        </w:tc>
        <w:tc>
          <w:tcPr>
            <w:tcW w:w="1000" w:type="pct"/>
            <w:vAlign w:val="center"/>
          </w:tcPr>
          <w:p w14:paraId="3DA328B1">
            <w:pPr>
              <w:widowControl/>
              <w:spacing w:line="240" w:lineRule="auto"/>
              <w:ind w:firstLine="0" w:firstLineChars="0"/>
              <w:jc w:val="center"/>
              <w:textAlignment w:val="center"/>
              <w:rPr>
                <w:color w:val="auto"/>
                <w:kern w:val="0"/>
                <w:sz w:val="21"/>
                <w:szCs w:val="21"/>
                <w:lang w:bidi="ar"/>
              </w:rPr>
            </w:pPr>
            <w:r>
              <w:rPr>
                <w:color w:val="auto"/>
                <w:kern w:val="0"/>
                <w:sz w:val="21"/>
                <w:szCs w:val="22"/>
                <w:lang w:bidi="ar"/>
              </w:rPr>
              <w:t>SS</w:t>
            </w:r>
          </w:p>
        </w:tc>
        <w:tc>
          <w:tcPr>
            <w:tcW w:w="1000" w:type="pct"/>
            <w:vAlign w:val="center"/>
          </w:tcPr>
          <w:p w14:paraId="6A166205">
            <w:pPr>
              <w:widowControl/>
              <w:spacing w:line="240" w:lineRule="auto"/>
              <w:ind w:firstLine="0" w:firstLineChars="0"/>
              <w:jc w:val="center"/>
              <w:textAlignment w:val="center"/>
              <w:rPr>
                <w:bCs/>
                <w:color w:val="auto"/>
                <w:sz w:val="21"/>
                <w:szCs w:val="21"/>
              </w:rPr>
            </w:pPr>
            <w:r>
              <w:rPr>
                <w:color w:val="auto"/>
                <w:kern w:val="0"/>
                <w:sz w:val="21"/>
                <w:szCs w:val="22"/>
                <w:lang w:bidi="ar"/>
              </w:rPr>
              <w:t>200</w:t>
            </w:r>
          </w:p>
        </w:tc>
        <w:tc>
          <w:tcPr>
            <w:tcW w:w="1000" w:type="pct"/>
            <w:vAlign w:val="center"/>
          </w:tcPr>
          <w:p w14:paraId="37A72B44">
            <w:pPr>
              <w:widowControl/>
              <w:spacing w:line="240" w:lineRule="auto"/>
              <w:ind w:firstLine="0" w:firstLineChars="0"/>
              <w:jc w:val="center"/>
              <w:textAlignment w:val="center"/>
              <w:rPr>
                <w:bCs/>
                <w:color w:val="auto"/>
                <w:sz w:val="21"/>
                <w:szCs w:val="21"/>
              </w:rPr>
            </w:pPr>
            <w:r>
              <w:rPr>
                <w:rFonts w:hint="eastAsia" w:cs="宋体"/>
                <w:color w:val="auto"/>
                <w:kern w:val="0"/>
                <w:sz w:val="21"/>
                <w:szCs w:val="21"/>
                <w:lang w:bidi="ar"/>
              </w:rPr>
              <w:t>6.00E-04</w:t>
            </w:r>
          </w:p>
        </w:tc>
      </w:tr>
      <w:tr w14:paraId="5292B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1F38CE8A">
            <w:pPr>
              <w:pStyle w:val="7"/>
              <w:spacing w:line="240" w:lineRule="auto"/>
              <w:ind w:firstLine="0" w:firstLineChars="0"/>
              <w:jc w:val="center"/>
              <w:rPr>
                <w:bCs/>
                <w:color w:val="auto"/>
                <w:sz w:val="21"/>
                <w:szCs w:val="21"/>
              </w:rPr>
            </w:pPr>
          </w:p>
        </w:tc>
        <w:tc>
          <w:tcPr>
            <w:tcW w:w="799" w:type="pct"/>
            <w:vMerge w:val="continue"/>
            <w:vAlign w:val="center"/>
          </w:tcPr>
          <w:p w14:paraId="1A3ACEBD">
            <w:pPr>
              <w:pStyle w:val="7"/>
              <w:spacing w:line="240" w:lineRule="auto"/>
              <w:ind w:firstLine="0" w:firstLineChars="0"/>
              <w:jc w:val="center"/>
              <w:rPr>
                <w:bCs/>
                <w:color w:val="auto"/>
                <w:sz w:val="21"/>
                <w:szCs w:val="21"/>
              </w:rPr>
            </w:pPr>
          </w:p>
        </w:tc>
        <w:tc>
          <w:tcPr>
            <w:tcW w:w="1000" w:type="pct"/>
            <w:vAlign w:val="center"/>
          </w:tcPr>
          <w:p w14:paraId="41185AD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氨氮</w:t>
            </w:r>
          </w:p>
        </w:tc>
        <w:tc>
          <w:tcPr>
            <w:tcW w:w="1000" w:type="pct"/>
            <w:vAlign w:val="center"/>
          </w:tcPr>
          <w:p w14:paraId="5B03616E">
            <w:pPr>
              <w:widowControl/>
              <w:spacing w:line="240" w:lineRule="auto"/>
              <w:ind w:firstLine="0" w:firstLineChars="0"/>
              <w:jc w:val="center"/>
              <w:textAlignment w:val="center"/>
              <w:rPr>
                <w:bCs/>
                <w:color w:val="auto"/>
                <w:sz w:val="21"/>
                <w:szCs w:val="21"/>
              </w:rPr>
            </w:pPr>
            <w:r>
              <w:rPr>
                <w:color w:val="auto"/>
                <w:kern w:val="0"/>
                <w:sz w:val="21"/>
                <w:szCs w:val="22"/>
                <w:lang w:bidi="ar"/>
              </w:rPr>
              <w:t>30</w:t>
            </w:r>
          </w:p>
        </w:tc>
        <w:tc>
          <w:tcPr>
            <w:tcW w:w="1000" w:type="pct"/>
            <w:vAlign w:val="center"/>
          </w:tcPr>
          <w:p w14:paraId="5BE0700A">
            <w:pPr>
              <w:widowControl/>
              <w:spacing w:line="240" w:lineRule="auto"/>
              <w:ind w:firstLine="0" w:firstLineChars="0"/>
              <w:jc w:val="center"/>
              <w:textAlignment w:val="center"/>
              <w:rPr>
                <w:bCs/>
                <w:color w:val="auto"/>
                <w:sz w:val="21"/>
                <w:szCs w:val="21"/>
              </w:rPr>
            </w:pPr>
            <w:r>
              <w:rPr>
                <w:rFonts w:hint="eastAsia" w:cs="宋体"/>
                <w:color w:val="auto"/>
                <w:kern w:val="0"/>
                <w:sz w:val="21"/>
                <w:szCs w:val="21"/>
                <w:lang w:bidi="ar"/>
              </w:rPr>
              <w:t>9.00E-05</w:t>
            </w:r>
          </w:p>
        </w:tc>
      </w:tr>
      <w:tr w14:paraId="198B0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4AD85CB5">
            <w:pPr>
              <w:pStyle w:val="7"/>
              <w:spacing w:line="240" w:lineRule="auto"/>
              <w:ind w:firstLine="0" w:firstLineChars="0"/>
              <w:jc w:val="center"/>
              <w:rPr>
                <w:bCs/>
                <w:color w:val="auto"/>
                <w:sz w:val="21"/>
                <w:szCs w:val="21"/>
              </w:rPr>
            </w:pPr>
          </w:p>
        </w:tc>
        <w:tc>
          <w:tcPr>
            <w:tcW w:w="799" w:type="pct"/>
            <w:vMerge w:val="continue"/>
            <w:vAlign w:val="center"/>
          </w:tcPr>
          <w:p w14:paraId="7D30324F">
            <w:pPr>
              <w:pStyle w:val="7"/>
              <w:spacing w:line="240" w:lineRule="auto"/>
              <w:ind w:firstLine="0" w:firstLineChars="0"/>
              <w:jc w:val="center"/>
              <w:rPr>
                <w:bCs/>
                <w:color w:val="auto"/>
                <w:sz w:val="21"/>
                <w:szCs w:val="21"/>
              </w:rPr>
            </w:pPr>
          </w:p>
        </w:tc>
        <w:tc>
          <w:tcPr>
            <w:tcW w:w="1000" w:type="pct"/>
            <w:vAlign w:val="center"/>
          </w:tcPr>
          <w:p w14:paraId="64B3186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总氮</w:t>
            </w:r>
          </w:p>
        </w:tc>
        <w:tc>
          <w:tcPr>
            <w:tcW w:w="1000" w:type="pct"/>
            <w:vAlign w:val="center"/>
          </w:tcPr>
          <w:p w14:paraId="065C8822">
            <w:pPr>
              <w:widowControl/>
              <w:spacing w:line="240" w:lineRule="auto"/>
              <w:ind w:firstLine="0" w:firstLineChars="0"/>
              <w:jc w:val="center"/>
              <w:textAlignment w:val="center"/>
              <w:rPr>
                <w:bCs/>
                <w:color w:val="auto"/>
                <w:sz w:val="21"/>
                <w:szCs w:val="21"/>
              </w:rPr>
            </w:pPr>
            <w:r>
              <w:rPr>
                <w:color w:val="auto"/>
                <w:kern w:val="0"/>
                <w:sz w:val="21"/>
                <w:szCs w:val="22"/>
                <w:lang w:bidi="ar"/>
              </w:rPr>
              <w:t>45</w:t>
            </w:r>
          </w:p>
        </w:tc>
        <w:tc>
          <w:tcPr>
            <w:tcW w:w="1000" w:type="pct"/>
            <w:tcBorders>
              <w:top w:val="nil"/>
              <w:left w:val="nil"/>
              <w:bottom w:val="single" w:color="auto" w:sz="8" w:space="0"/>
              <w:right w:val="nil"/>
            </w:tcBorders>
            <w:vAlign w:val="center"/>
          </w:tcPr>
          <w:p w14:paraId="5E0CED8A">
            <w:pPr>
              <w:widowControl/>
              <w:spacing w:line="240" w:lineRule="auto"/>
              <w:ind w:firstLine="0" w:firstLineChars="0"/>
              <w:jc w:val="center"/>
              <w:textAlignment w:val="center"/>
              <w:rPr>
                <w:color w:val="auto"/>
                <w:sz w:val="21"/>
                <w:szCs w:val="21"/>
              </w:rPr>
            </w:pPr>
            <w:r>
              <w:rPr>
                <w:rFonts w:hint="eastAsia" w:cs="宋体"/>
                <w:color w:val="auto"/>
                <w:kern w:val="0"/>
                <w:sz w:val="21"/>
                <w:szCs w:val="21"/>
                <w:lang w:bidi="ar"/>
              </w:rPr>
              <w:t>1.35E-04</w:t>
            </w:r>
          </w:p>
        </w:tc>
      </w:tr>
      <w:tr w14:paraId="539AD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6613CB4E">
            <w:pPr>
              <w:pStyle w:val="7"/>
              <w:spacing w:line="240" w:lineRule="auto"/>
              <w:ind w:firstLine="0" w:firstLineChars="0"/>
              <w:jc w:val="center"/>
              <w:rPr>
                <w:bCs/>
                <w:color w:val="auto"/>
                <w:sz w:val="21"/>
                <w:szCs w:val="21"/>
              </w:rPr>
            </w:pPr>
          </w:p>
        </w:tc>
        <w:tc>
          <w:tcPr>
            <w:tcW w:w="799" w:type="pct"/>
            <w:vMerge w:val="continue"/>
            <w:vAlign w:val="center"/>
          </w:tcPr>
          <w:p w14:paraId="70C1D931">
            <w:pPr>
              <w:pStyle w:val="7"/>
              <w:spacing w:line="240" w:lineRule="auto"/>
              <w:ind w:firstLine="0" w:firstLineChars="0"/>
              <w:jc w:val="center"/>
              <w:rPr>
                <w:bCs/>
                <w:color w:val="auto"/>
                <w:sz w:val="21"/>
                <w:szCs w:val="21"/>
              </w:rPr>
            </w:pPr>
          </w:p>
        </w:tc>
        <w:tc>
          <w:tcPr>
            <w:tcW w:w="1000" w:type="pct"/>
            <w:vAlign w:val="center"/>
          </w:tcPr>
          <w:p w14:paraId="33EBCF7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总磷</w:t>
            </w:r>
          </w:p>
        </w:tc>
        <w:tc>
          <w:tcPr>
            <w:tcW w:w="1000" w:type="pct"/>
            <w:vAlign w:val="center"/>
          </w:tcPr>
          <w:p w14:paraId="2CD67A5B">
            <w:pPr>
              <w:widowControl/>
              <w:spacing w:line="240" w:lineRule="auto"/>
              <w:ind w:firstLine="0" w:firstLineChars="0"/>
              <w:jc w:val="center"/>
              <w:textAlignment w:val="center"/>
              <w:rPr>
                <w:bCs/>
                <w:color w:val="auto"/>
                <w:sz w:val="21"/>
                <w:szCs w:val="21"/>
              </w:rPr>
            </w:pPr>
            <w:r>
              <w:rPr>
                <w:color w:val="auto"/>
                <w:kern w:val="0"/>
                <w:sz w:val="21"/>
                <w:szCs w:val="22"/>
                <w:lang w:bidi="ar"/>
              </w:rPr>
              <w:t>8</w:t>
            </w:r>
          </w:p>
        </w:tc>
        <w:tc>
          <w:tcPr>
            <w:tcW w:w="1000" w:type="pct"/>
            <w:tcBorders>
              <w:top w:val="nil"/>
              <w:left w:val="nil"/>
              <w:bottom w:val="single" w:color="auto" w:sz="8" w:space="0"/>
              <w:right w:val="nil"/>
            </w:tcBorders>
            <w:vAlign w:val="center"/>
          </w:tcPr>
          <w:p w14:paraId="7B07EDDF">
            <w:pPr>
              <w:widowControl/>
              <w:spacing w:line="240" w:lineRule="auto"/>
              <w:ind w:firstLine="0" w:firstLineChars="0"/>
              <w:jc w:val="center"/>
              <w:textAlignment w:val="center"/>
              <w:rPr>
                <w:color w:val="auto"/>
                <w:sz w:val="21"/>
                <w:szCs w:val="21"/>
              </w:rPr>
            </w:pPr>
            <w:r>
              <w:rPr>
                <w:rFonts w:hint="eastAsia" w:cs="宋体"/>
                <w:color w:val="auto"/>
                <w:kern w:val="0"/>
                <w:sz w:val="21"/>
                <w:szCs w:val="21"/>
                <w:lang w:bidi="ar"/>
              </w:rPr>
              <w:t>2.40E-05</w:t>
            </w:r>
          </w:p>
        </w:tc>
      </w:tr>
      <w:tr w14:paraId="09868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restart"/>
            <w:vAlign w:val="center"/>
          </w:tcPr>
          <w:p w14:paraId="5AF27F0C">
            <w:pPr>
              <w:pStyle w:val="7"/>
              <w:spacing w:line="240" w:lineRule="auto"/>
              <w:ind w:firstLine="0" w:firstLineChars="0"/>
              <w:jc w:val="center"/>
              <w:rPr>
                <w:bCs/>
                <w:color w:val="auto"/>
                <w:sz w:val="21"/>
                <w:szCs w:val="21"/>
              </w:rPr>
            </w:pPr>
            <w:r>
              <w:rPr>
                <w:rFonts w:hint="eastAsia"/>
                <w:bCs/>
                <w:color w:val="auto"/>
                <w:sz w:val="21"/>
                <w:szCs w:val="21"/>
              </w:rPr>
              <w:t>空压机废水</w:t>
            </w:r>
          </w:p>
        </w:tc>
        <w:tc>
          <w:tcPr>
            <w:tcW w:w="799" w:type="pct"/>
            <w:vMerge w:val="restart"/>
            <w:vAlign w:val="center"/>
          </w:tcPr>
          <w:p w14:paraId="5D1065A0">
            <w:pPr>
              <w:pStyle w:val="7"/>
              <w:spacing w:line="240" w:lineRule="auto"/>
              <w:ind w:firstLine="0" w:firstLineChars="0"/>
              <w:jc w:val="center"/>
              <w:rPr>
                <w:bCs/>
                <w:color w:val="auto"/>
                <w:sz w:val="21"/>
                <w:szCs w:val="21"/>
              </w:rPr>
            </w:pPr>
            <w:r>
              <w:rPr>
                <w:rFonts w:hint="eastAsia"/>
                <w:bCs/>
                <w:color w:val="auto"/>
                <w:sz w:val="21"/>
                <w:szCs w:val="21"/>
              </w:rPr>
              <w:t>0.94</w:t>
            </w:r>
          </w:p>
        </w:tc>
        <w:tc>
          <w:tcPr>
            <w:tcW w:w="1000" w:type="pct"/>
            <w:vAlign w:val="center"/>
          </w:tcPr>
          <w:p w14:paraId="7E38BB6B">
            <w:pPr>
              <w:widowControl/>
              <w:spacing w:line="240" w:lineRule="auto"/>
              <w:ind w:firstLine="0" w:firstLineChars="0"/>
              <w:jc w:val="center"/>
              <w:textAlignment w:val="center"/>
              <w:rPr>
                <w:color w:val="auto"/>
                <w:kern w:val="0"/>
                <w:sz w:val="21"/>
                <w:szCs w:val="21"/>
                <w:lang w:bidi="ar"/>
              </w:rPr>
            </w:pPr>
            <w:r>
              <w:rPr>
                <w:color w:val="auto"/>
                <w:kern w:val="0"/>
                <w:sz w:val="21"/>
                <w:szCs w:val="22"/>
                <w:lang w:bidi="ar"/>
              </w:rPr>
              <w:t>COD</w:t>
            </w:r>
          </w:p>
        </w:tc>
        <w:tc>
          <w:tcPr>
            <w:tcW w:w="1000" w:type="pct"/>
            <w:vAlign w:val="center"/>
          </w:tcPr>
          <w:p w14:paraId="7FEC3D10">
            <w:pPr>
              <w:widowControl/>
              <w:spacing w:line="240" w:lineRule="auto"/>
              <w:ind w:firstLine="0" w:firstLineChars="0"/>
              <w:jc w:val="center"/>
              <w:textAlignment w:val="center"/>
              <w:rPr>
                <w:bCs/>
                <w:color w:val="auto"/>
                <w:sz w:val="21"/>
                <w:szCs w:val="21"/>
              </w:rPr>
            </w:pPr>
            <w:r>
              <w:rPr>
                <w:color w:val="auto"/>
                <w:kern w:val="0"/>
                <w:sz w:val="21"/>
                <w:szCs w:val="22"/>
                <w:lang w:bidi="ar"/>
              </w:rPr>
              <w:t>1200</w:t>
            </w:r>
          </w:p>
        </w:tc>
        <w:tc>
          <w:tcPr>
            <w:tcW w:w="1000" w:type="pct"/>
            <w:tcBorders>
              <w:top w:val="nil"/>
              <w:left w:val="nil"/>
              <w:bottom w:val="single" w:color="auto" w:sz="8" w:space="0"/>
              <w:right w:val="nil"/>
            </w:tcBorders>
            <w:vAlign w:val="center"/>
          </w:tcPr>
          <w:p w14:paraId="59D6DEC4">
            <w:pPr>
              <w:widowControl/>
              <w:spacing w:line="240" w:lineRule="auto"/>
              <w:ind w:firstLine="0" w:firstLineChars="0"/>
              <w:jc w:val="center"/>
              <w:textAlignment w:val="center"/>
              <w:rPr>
                <w:bCs/>
                <w:color w:val="auto"/>
                <w:sz w:val="21"/>
                <w:szCs w:val="21"/>
              </w:rPr>
            </w:pPr>
            <w:r>
              <w:rPr>
                <w:color w:val="auto"/>
                <w:kern w:val="0"/>
                <w:sz w:val="21"/>
                <w:szCs w:val="21"/>
                <w:lang w:bidi="ar"/>
              </w:rPr>
              <w:t xml:space="preserve">0.001 </w:t>
            </w:r>
          </w:p>
        </w:tc>
      </w:tr>
      <w:tr w14:paraId="4D6EE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7A937476">
            <w:pPr>
              <w:pStyle w:val="7"/>
              <w:spacing w:line="240" w:lineRule="auto"/>
              <w:ind w:firstLine="0" w:firstLineChars="0"/>
              <w:jc w:val="center"/>
              <w:rPr>
                <w:bCs/>
                <w:color w:val="auto"/>
                <w:sz w:val="21"/>
                <w:szCs w:val="21"/>
              </w:rPr>
            </w:pPr>
          </w:p>
        </w:tc>
        <w:tc>
          <w:tcPr>
            <w:tcW w:w="799" w:type="pct"/>
            <w:vMerge w:val="continue"/>
            <w:vAlign w:val="center"/>
          </w:tcPr>
          <w:p w14:paraId="5EB30002">
            <w:pPr>
              <w:pStyle w:val="7"/>
              <w:spacing w:line="240" w:lineRule="auto"/>
              <w:ind w:firstLine="0" w:firstLineChars="0"/>
              <w:jc w:val="center"/>
              <w:rPr>
                <w:bCs/>
                <w:color w:val="auto"/>
                <w:sz w:val="21"/>
                <w:szCs w:val="21"/>
              </w:rPr>
            </w:pPr>
          </w:p>
        </w:tc>
        <w:tc>
          <w:tcPr>
            <w:tcW w:w="1000" w:type="pct"/>
            <w:vAlign w:val="center"/>
          </w:tcPr>
          <w:p w14:paraId="3B64E304">
            <w:pPr>
              <w:widowControl/>
              <w:spacing w:line="240" w:lineRule="auto"/>
              <w:ind w:firstLine="0" w:firstLineChars="0"/>
              <w:jc w:val="center"/>
              <w:textAlignment w:val="center"/>
              <w:rPr>
                <w:color w:val="auto"/>
                <w:kern w:val="0"/>
                <w:sz w:val="21"/>
                <w:szCs w:val="21"/>
                <w:lang w:bidi="ar"/>
              </w:rPr>
            </w:pPr>
            <w:r>
              <w:rPr>
                <w:color w:val="auto"/>
                <w:kern w:val="0"/>
                <w:sz w:val="21"/>
                <w:szCs w:val="22"/>
                <w:lang w:bidi="ar"/>
              </w:rPr>
              <w:t>SS</w:t>
            </w:r>
          </w:p>
        </w:tc>
        <w:tc>
          <w:tcPr>
            <w:tcW w:w="1000" w:type="pct"/>
            <w:vAlign w:val="center"/>
          </w:tcPr>
          <w:p w14:paraId="06E14CC9">
            <w:pPr>
              <w:widowControl/>
              <w:spacing w:line="240" w:lineRule="auto"/>
              <w:ind w:firstLine="0" w:firstLineChars="0"/>
              <w:jc w:val="center"/>
              <w:textAlignment w:val="center"/>
              <w:rPr>
                <w:bCs/>
                <w:color w:val="auto"/>
                <w:sz w:val="21"/>
                <w:szCs w:val="21"/>
              </w:rPr>
            </w:pPr>
            <w:r>
              <w:rPr>
                <w:color w:val="auto"/>
                <w:kern w:val="0"/>
                <w:sz w:val="21"/>
                <w:szCs w:val="22"/>
                <w:lang w:bidi="ar"/>
              </w:rPr>
              <w:t>600</w:t>
            </w:r>
          </w:p>
        </w:tc>
        <w:tc>
          <w:tcPr>
            <w:tcW w:w="1000" w:type="pct"/>
            <w:vAlign w:val="center"/>
          </w:tcPr>
          <w:p w14:paraId="31B35FC9">
            <w:pPr>
              <w:widowControl/>
              <w:spacing w:line="240" w:lineRule="auto"/>
              <w:ind w:firstLine="0" w:firstLineChars="0"/>
              <w:jc w:val="center"/>
              <w:textAlignment w:val="center"/>
              <w:rPr>
                <w:bCs/>
                <w:color w:val="auto"/>
                <w:sz w:val="21"/>
                <w:szCs w:val="21"/>
              </w:rPr>
            </w:pPr>
            <w:r>
              <w:rPr>
                <w:color w:val="auto"/>
                <w:kern w:val="0"/>
                <w:sz w:val="21"/>
                <w:szCs w:val="21"/>
                <w:lang w:bidi="ar"/>
              </w:rPr>
              <w:t xml:space="preserve">0.001 </w:t>
            </w:r>
          </w:p>
        </w:tc>
      </w:tr>
      <w:tr w14:paraId="4C81B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6C94012F">
            <w:pPr>
              <w:pStyle w:val="7"/>
              <w:spacing w:line="240" w:lineRule="auto"/>
              <w:ind w:firstLine="0" w:firstLineChars="0"/>
              <w:jc w:val="center"/>
              <w:rPr>
                <w:bCs/>
                <w:color w:val="auto"/>
                <w:sz w:val="21"/>
                <w:szCs w:val="21"/>
              </w:rPr>
            </w:pPr>
          </w:p>
        </w:tc>
        <w:tc>
          <w:tcPr>
            <w:tcW w:w="799" w:type="pct"/>
            <w:vMerge w:val="continue"/>
            <w:vAlign w:val="center"/>
          </w:tcPr>
          <w:p w14:paraId="3E9B6DEF">
            <w:pPr>
              <w:pStyle w:val="7"/>
              <w:spacing w:line="240" w:lineRule="auto"/>
              <w:ind w:firstLine="0" w:firstLineChars="0"/>
              <w:jc w:val="center"/>
              <w:rPr>
                <w:bCs/>
                <w:color w:val="auto"/>
                <w:sz w:val="21"/>
                <w:szCs w:val="21"/>
              </w:rPr>
            </w:pPr>
          </w:p>
        </w:tc>
        <w:tc>
          <w:tcPr>
            <w:tcW w:w="1000" w:type="pct"/>
            <w:vAlign w:val="center"/>
          </w:tcPr>
          <w:p w14:paraId="1602B2D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石油类</w:t>
            </w:r>
          </w:p>
        </w:tc>
        <w:tc>
          <w:tcPr>
            <w:tcW w:w="1000" w:type="pct"/>
            <w:vAlign w:val="center"/>
          </w:tcPr>
          <w:p w14:paraId="6070E05D">
            <w:pPr>
              <w:widowControl/>
              <w:spacing w:line="240" w:lineRule="auto"/>
              <w:ind w:firstLine="0" w:firstLineChars="0"/>
              <w:jc w:val="center"/>
              <w:textAlignment w:val="center"/>
              <w:rPr>
                <w:bCs/>
                <w:color w:val="auto"/>
                <w:sz w:val="21"/>
                <w:szCs w:val="21"/>
              </w:rPr>
            </w:pPr>
            <w:r>
              <w:rPr>
                <w:color w:val="auto"/>
                <w:kern w:val="0"/>
                <w:sz w:val="21"/>
                <w:szCs w:val="22"/>
                <w:lang w:bidi="ar"/>
              </w:rPr>
              <w:t>15</w:t>
            </w:r>
          </w:p>
        </w:tc>
        <w:tc>
          <w:tcPr>
            <w:tcW w:w="1000" w:type="pct"/>
            <w:vAlign w:val="center"/>
          </w:tcPr>
          <w:p w14:paraId="6E87619E">
            <w:pPr>
              <w:widowControl/>
              <w:spacing w:line="240" w:lineRule="auto"/>
              <w:ind w:firstLine="0" w:firstLineChars="0"/>
              <w:jc w:val="center"/>
              <w:textAlignment w:val="center"/>
              <w:rPr>
                <w:bCs/>
                <w:color w:val="auto"/>
                <w:sz w:val="21"/>
                <w:szCs w:val="21"/>
              </w:rPr>
            </w:pPr>
            <w:r>
              <w:rPr>
                <w:rFonts w:hint="eastAsia" w:cs="宋体"/>
                <w:color w:val="auto"/>
                <w:kern w:val="0"/>
                <w:sz w:val="21"/>
                <w:szCs w:val="21"/>
                <w:lang w:bidi="ar"/>
              </w:rPr>
              <w:t>1.41E-05</w:t>
            </w:r>
          </w:p>
        </w:tc>
      </w:tr>
      <w:tr w14:paraId="68DBE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restart"/>
            <w:vAlign w:val="center"/>
          </w:tcPr>
          <w:p w14:paraId="04DBAE8F">
            <w:pPr>
              <w:pStyle w:val="7"/>
              <w:spacing w:line="240" w:lineRule="auto"/>
              <w:ind w:firstLine="0" w:firstLineChars="0"/>
              <w:jc w:val="center"/>
              <w:rPr>
                <w:bCs/>
                <w:color w:val="auto"/>
                <w:sz w:val="21"/>
                <w:szCs w:val="21"/>
              </w:rPr>
            </w:pPr>
            <w:r>
              <w:rPr>
                <w:rFonts w:hint="eastAsia"/>
                <w:bCs/>
                <w:color w:val="auto"/>
                <w:sz w:val="21"/>
                <w:szCs w:val="21"/>
              </w:rPr>
              <w:t>循环冷却废水</w:t>
            </w:r>
          </w:p>
        </w:tc>
        <w:tc>
          <w:tcPr>
            <w:tcW w:w="799" w:type="pct"/>
            <w:vMerge w:val="restart"/>
            <w:vAlign w:val="center"/>
          </w:tcPr>
          <w:p w14:paraId="5B379678">
            <w:pPr>
              <w:pStyle w:val="7"/>
              <w:spacing w:line="240" w:lineRule="auto"/>
              <w:ind w:firstLine="0" w:firstLineChars="0"/>
              <w:jc w:val="center"/>
              <w:rPr>
                <w:bCs/>
                <w:color w:val="auto"/>
                <w:sz w:val="21"/>
                <w:szCs w:val="21"/>
              </w:rPr>
            </w:pPr>
            <w:r>
              <w:rPr>
                <w:rFonts w:hint="eastAsia"/>
                <w:bCs/>
                <w:color w:val="auto"/>
                <w:sz w:val="21"/>
                <w:szCs w:val="21"/>
              </w:rPr>
              <w:t>1200</w:t>
            </w:r>
          </w:p>
        </w:tc>
        <w:tc>
          <w:tcPr>
            <w:tcW w:w="1000" w:type="pct"/>
            <w:vAlign w:val="center"/>
          </w:tcPr>
          <w:p w14:paraId="4B054705">
            <w:pPr>
              <w:widowControl/>
              <w:spacing w:line="240" w:lineRule="auto"/>
              <w:ind w:firstLine="0" w:firstLineChars="0"/>
              <w:jc w:val="center"/>
              <w:textAlignment w:val="center"/>
              <w:rPr>
                <w:bCs/>
                <w:color w:val="auto"/>
                <w:sz w:val="21"/>
                <w:szCs w:val="21"/>
              </w:rPr>
            </w:pPr>
            <w:r>
              <w:rPr>
                <w:color w:val="auto"/>
                <w:kern w:val="0"/>
                <w:sz w:val="21"/>
                <w:szCs w:val="22"/>
                <w:lang w:bidi="ar"/>
              </w:rPr>
              <w:t>COD</w:t>
            </w:r>
          </w:p>
        </w:tc>
        <w:tc>
          <w:tcPr>
            <w:tcW w:w="1000" w:type="pct"/>
            <w:vAlign w:val="center"/>
          </w:tcPr>
          <w:p w14:paraId="28BDA58F">
            <w:pPr>
              <w:widowControl/>
              <w:spacing w:line="240" w:lineRule="auto"/>
              <w:ind w:firstLine="0" w:firstLineChars="0"/>
              <w:jc w:val="center"/>
              <w:textAlignment w:val="center"/>
              <w:rPr>
                <w:bCs/>
                <w:color w:val="auto"/>
                <w:sz w:val="21"/>
                <w:szCs w:val="21"/>
              </w:rPr>
            </w:pPr>
            <w:r>
              <w:rPr>
                <w:color w:val="auto"/>
                <w:kern w:val="0"/>
                <w:sz w:val="21"/>
                <w:szCs w:val="21"/>
                <w:lang w:bidi="ar"/>
              </w:rPr>
              <w:t>40</w:t>
            </w:r>
          </w:p>
        </w:tc>
        <w:tc>
          <w:tcPr>
            <w:tcW w:w="1000" w:type="pct"/>
            <w:vAlign w:val="center"/>
          </w:tcPr>
          <w:p w14:paraId="25119201">
            <w:pPr>
              <w:widowControl/>
              <w:spacing w:line="240" w:lineRule="auto"/>
              <w:ind w:firstLine="0" w:firstLineChars="0"/>
              <w:jc w:val="center"/>
              <w:textAlignment w:val="center"/>
              <w:rPr>
                <w:bCs/>
                <w:color w:val="auto"/>
                <w:sz w:val="21"/>
                <w:szCs w:val="21"/>
              </w:rPr>
            </w:pPr>
            <w:r>
              <w:rPr>
                <w:color w:val="auto"/>
                <w:kern w:val="0"/>
                <w:sz w:val="21"/>
                <w:szCs w:val="21"/>
                <w:lang w:bidi="ar"/>
              </w:rPr>
              <w:t>0.048</w:t>
            </w:r>
          </w:p>
        </w:tc>
      </w:tr>
      <w:tr w14:paraId="39D3F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73667011">
            <w:pPr>
              <w:pStyle w:val="7"/>
              <w:spacing w:line="240" w:lineRule="auto"/>
              <w:ind w:firstLine="0" w:firstLineChars="0"/>
              <w:jc w:val="center"/>
              <w:rPr>
                <w:bCs/>
                <w:color w:val="auto"/>
                <w:sz w:val="21"/>
                <w:szCs w:val="21"/>
              </w:rPr>
            </w:pPr>
          </w:p>
        </w:tc>
        <w:tc>
          <w:tcPr>
            <w:tcW w:w="799" w:type="pct"/>
            <w:vMerge w:val="continue"/>
            <w:vAlign w:val="center"/>
          </w:tcPr>
          <w:p w14:paraId="3C6C948B">
            <w:pPr>
              <w:pStyle w:val="7"/>
              <w:spacing w:line="240" w:lineRule="auto"/>
              <w:ind w:firstLine="0" w:firstLineChars="0"/>
              <w:jc w:val="center"/>
              <w:rPr>
                <w:bCs/>
                <w:color w:val="auto"/>
                <w:sz w:val="21"/>
                <w:szCs w:val="21"/>
              </w:rPr>
            </w:pPr>
          </w:p>
        </w:tc>
        <w:tc>
          <w:tcPr>
            <w:tcW w:w="1000" w:type="pct"/>
            <w:vAlign w:val="center"/>
          </w:tcPr>
          <w:p w14:paraId="3A57E6DE">
            <w:pPr>
              <w:widowControl/>
              <w:spacing w:line="240" w:lineRule="auto"/>
              <w:ind w:firstLine="0" w:firstLineChars="0"/>
              <w:jc w:val="center"/>
              <w:textAlignment w:val="center"/>
              <w:rPr>
                <w:bCs/>
                <w:color w:val="auto"/>
                <w:sz w:val="21"/>
                <w:szCs w:val="21"/>
              </w:rPr>
            </w:pPr>
            <w:r>
              <w:rPr>
                <w:color w:val="auto"/>
                <w:kern w:val="0"/>
                <w:sz w:val="21"/>
                <w:szCs w:val="22"/>
                <w:lang w:bidi="ar"/>
              </w:rPr>
              <w:t>SS</w:t>
            </w:r>
          </w:p>
        </w:tc>
        <w:tc>
          <w:tcPr>
            <w:tcW w:w="1000" w:type="pct"/>
            <w:vAlign w:val="center"/>
          </w:tcPr>
          <w:p w14:paraId="61B51E6E">
            <w:pPr>
              <w:widowControl/>
              <w:spacing w:line="240" w:lineRule="auto"/>
              <w:ind w:firstLine="0" w:firstLineChars="0"/>
              <w:jc w:val="center"/>
              <w:textAlignment w:val="center"/>
              <w:rPr>
                <w:bCs/>
                <w:color w:val="auto"/>
                <w:sz w:val="21"/>
                <w:szCs w:val="21"/>
              </w:rPr>
            </w:pPr>
            <w:r>
              <w:rPr>
                <w:color w:val="auto"/>
                <w:kern w:val="0"/>
                <w:sz w:val="21"/>
                <w:szCs w:val="21"/>
                <w:lang w:bidi="ar"/>
              </w:rPr>
              <w:t>30</w:t>
            </w:r>
          </w:p>
        </w:tc>
        <w:tc>
          <w:tcPr>
            <w:tcW w:w="1000" w:type="pct"/>
            <w:vAlign w:val="center"/>
          </w:tcPr>
          <w:p w14:paraId="3EFD800C">
            <w:pPr>
              <w:widowControl/>
              <w:spacing w:line="240" w:lineRule="auto"/>
              <w:ind w:firstLine="0" w:firstLineChars="0"/>
              <w:jc w:val="center"/>
              <w:textAlignment w:val="center"/>
              <w:rPr>
                <w:bCs/>
                <w:color w:val="auto"/>
                <w:sz w:val="21"/>
                <w:szCs w:val="21"/>
              </w:rPr>
            </w:pPr>
            <w:r>
              <w:rPr>
                <w:color w:val="auto"/>
                <w:kern w:val="0"/>
                <w:sz w:val="21"/>
                <w:szCs w:val="21"/>
                <w:lang w:bidi="ar"/>
              </w:rPr>
              <w:t>0.036</w:t>
            </w:r>
          </w:p>
        </w:tc>
      </w:tr>
      <w:tr w14:paraId="1E72E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restart"/>
            <w:vAlign w:val="center"/>
          </w:tcPr>
          <w:p w14:paraId="5F6C7962">
            <w:pPr>
              <w:pStyle w:val="7"/>
              <w:spacing w:line="240" w:lineRule="auto"/>
              <w:ind w:firstLine="0" w:firstLineChars="0"/>
              <w:jc w:val="center"/>
              <w:rPr>
                <w:bCs/>
                <w:color w:val="auto"/>
                <w:sz w:val="21"/>
                <w:szCs w:val="21"/>
              </w:rPr>
            </w:pPr>
            <w:r>
              <w:rPr>
                <w:rFonts w:hint="eastAsia"/>
                <w:bCs/>
                <w:color w:val="auto"/>
                <w:sz w:val="21"/>
                <w:szCs w:val="21"/>
              </w:rPr>
              <w:t>纯水制备浓水</w:t>
            </w:r>
          </w:p>
        </w:tc>
        <w:tc>
          <w:tcPr>
            <w:tcW w:w="799" w:type="pct"/>
            <w:vMerge w:val="restart"/>
            <w:vAlign w:val="center"/>
          </w:tcPr>
          <w:p w14:paraId="274651B1">
            <w:pPr>
              <w:widowControl/>
              <w:spacing w:line="240" w:lineRule="auto"/>
              <w:ind w:firstLine="0" w:firstLineChars="0"/>
              <w:jc w:val="center"/>
              <w:textAlignment w:val="center"/>
              <w:rPr>
                <w:bCs/>
                <w:color w:val="auto"/>
                <w:sz w:val="21"/>
                <w:szCs w:val="21"/>
              </w:rPr>
            </w:pPr>
            <w:r>
              <w:rPr>
                <w:color w:val="auto"/>
                <w:kern w:val="0"/>
                <w:sz w:val="21"/>
                <w:szCs w:val="21"/>
                <w:lang w:bidi="ar"/>
              </w:rPr>
              <w:t>15152.754</w:t>
            </w:r>
          </w:p>
        </w:tc>
        <w:tc>
          <w:tcPr>
            <w:tcW w:w="1000" w:type="pct"/>
            <w:vAlign w:val="center"/>
          </w:tcPr>
          <w:p w14:paraId="69BDCFC9">
            <w:pPr>
              <w:widowControl/>
              <w:spacing w:line="240" w:lineRule="auto"/>
              <w:ind w:firstLine="0" w:firstLineChars="0"/>
              <w:jc w:val="center"/>
              <w:textAlignment w:val="center"/>
              <w:rPr>
                <w:bCs/>
                <w:color w:val="auto"/>
                <w:sz w:val="21"/>
                <w:szCs w:val="21"/>
              </w:rPr>
            </w:pPr>
            <w:r>
              <w:rPr>
                <w:color w:val="auto"/>
                <w:kern w:val="0"/>
                <w:sz w:val="21"/>
                <w:szCs w:val="22"/>
                <w:lang w:bidi="ar"/>
              </w:rPr>
              <w:t>COD</w:t>
            </w:r>
          </w:p>
        </w:tc>
        <w:tc>
          <w:tcPr>
            <w:tcW w:w="1000" w:type="pct"/>
            <w:vAlign w:val="center"/>
          </w:tcPr>
          <w:p w14:paraId="36FC2D92">
            <w:pPr>
              <w:widowControl/>
              <w:spacing w:line="240" w:lineRule="auto"/>
              <w:ind w:firstLine="0" w:firstLineChars="0"/>
              <w:jc w:val="center"/>
              <w:textAlignment w:val="center"/>
              <w:rPr>
                <w:bCs/>
                <w:color w:val="auto"/>
                <w:sz w:val="21"/>
                <w:szCs w:val="21"/>
              </w:rPr>
            </w:pPr>
            <w:r>
              <w:rPr>
                <w:color w:val="auto"/>
                <w:kern w:val="0"/>
                <w:sz w:val="21"/>
                <w:szCs w:val="22"/>
                <w:lang w:bidi="ar"/>
              </w:rPr>
              <w:t>100</w:t>
            </w:r>
          </w:p>
        </w:tc>
        <w:tc>
          <w:tcPr>
            <w:tcW w:w="1000" w:type="pct"/>
            <w:vAlign w:val="center"/>
          </w:tcPr>
          <w:p w14:paraId="40C1685A">
            <w:pPr>
              <w:widowControl/>
              <w:spacing w:line="240" w:lineRule="auto"/>
              <w:ind w:firstLine="0" w:firstLineChars="0"/>
              <w:jc w:val="center"/>
              <w:textAlignment w:val="center"/>
              <w:rPr>
                <w:bCs/>
                <w:color w:val="auto"/>
                <w:sz w:val="21"/>
                <w:szCs w:val="21"/>
              </w:rPr>
            </w:pPr>
            <w:r>
              <w:rPr>
                <w:color w:val="auto"/>
                <w:kern w:val="0"/>
                <w:sz w:val="21"/>
                <w:szCs w:val="21"/>
                <w:lang w:bidi="ar"/>
              </w:rPr>
              <w:t xml:space="preserve">1.515 </w:t>
            </w:r>
          </w:p>
        </w:tc>
      </w:tr>
      <w:tr w14:paraId="69820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6FF318B9">
            <w:pPr>
              <w:pStyle w:val="7"/>
              <w:spacing w:line="240" w:lineRule="auto"/>
              <w:ind w:firstLine="0" w:firstLineChars="0"/>
              <w:jc w:val="center"/>
              <w:rPr>
                <w:bCs/>
                <w:color w:val="auto"/>
                <w:sz w:val="21"/>
                <w:szCs w:val="21"/>
              </w:rPr>
            </w:pPr>
          </w:p>
        </w:tc>
        <w:tc>
          <w:tcPr>
            <w:tcW w:w="799" w:type="pct"/>
            <w:vMerge w:val="continue"/>
            <w:vAlign w:val="center"/>
          </w:tcPr>
          <w:p w14:paraId="0DEF9FB8">
            <w:pPr>
              <w:pStyle w:val="7"/>
              <w:spacing w:line="240" w:lineRule="auto"/>
              <w:ind w:firstLine="0" w:firstLineChars="0"/>
              <w:jc w:val="center"/>
              <w:rPr>
                <w:bCs/>
                <w:color w:val="auto"/>
                <w:sz w:val="21"/>
                <w:szCs w:val="21"/>
              </w:rPr>
            </w:pPr>
          </w:p>
        </w:tc>
        <w:tc>
          <w:tcPr>
            <w:tcW w:w="1000" w:type="pct"/>
            <w:vAlign w:val="center"/>
          </w:tcPr>
          <w:p w14:paraId="05918AEA">
            <w:pPr>
              <w:widowControl/>
              <w:spacing w:line="240" w:lineRule="auto"/>
              <w:ind w:firstLine="0" w:firstLineChars="0"/>
              <w:jc w:val="center"/>
              <w:textAlignment w:val="center"/>
              <w:rPr>
                <w:bCs/>
                <w:color w:val="auto"/>
                <w:sz w:val="21"/>
                <w:szCs w:val="21"/>
              </w:rPr>
            </w:pPr>
            <w:r>
              <w:rPr>
                <w:color w:val="auto"/>
                <w:kern w:val="0"/>
                <w:sz w:val="21"/>
                <w:szCs w:val="22"/>
                <w:lang w:bidi="ar"/>
              </w:rPr>
              <w:t>SS</w:t>
            </w:r>
          </w:p>
        </w:tc>
        <w:tc>
          <w:tcPr>
            <w:tcW w:w="1000" w:type="pct"/>
            <w:vAlign w:val="center"/>
          </w:tcPr>
          <w:p w14:paraId="5493BA53">
            <w:pPr>
              <w:widowControl/>
              <w:spacing w:line="240" w:lineRule="auto"/>
              <w:ind w:firstLine="0" w:firstLineChars="0"/>
              <w:jc w:val="center"/>
              <w:textAlignment w:val="center"/>
              <w:rPr>
                <w:bCs/>
                <w:color w:val="auto"/>
                <w:sz w:val="21"/>
                <w:szCs w:val="21"/>
              </w:rPr>
            </w:pPr>
            <w:r>
              <w:rPr>
                <w:color w:val="auto"/>
                <w:kern w:val="0"/>
                <w:sz w:val="21"/>
                <w:szCs w:val="22"/>
                <w:lang w:bidi="ar"/>
              </w:rPr>
              <w:t>50</w:t>
            </w:r>
          </w:p>
        </w:tc>
        <w:tc>
          <w:tcPr>
            <w:tcW w:w="1000" w:type="pct"/>
            <w:vAlign w:val="center"/>
          </w:tcPr>
          <w:p w14:paraId="20D6C48E">
            <w:pPr>
              <w:widowControl/>
              <w:spacing w:line="240" w:lineRule="auto"/>
              <w:ind w:firstLine="0" w:firstLineChars="0"/>
              <w:jc w:val="center"/>
              <w:textAlignment w:val="center"/>
              <w:rPr>
                <w:bCs/>
                <w:color w:val="auto"/>
                <w:sz w:val="21"/>
                <w:szCs w:val="21"/>
              </w:rPr>
            </w:pPr>
            <w:r>
              <w:rPr>
                <w:color w:val="auto"/>
                <w:kern w:val="0"/>
                <w:sz w:val="21"/>
                <w:szCs w:val="21"/>
                <w:lang w:bidi="ar"/>
              </w:rPr>
              <w:t xml:space="preserve">0.758 </w:t>
            </w:r>
          </w:p>
        </w:tc>
      </w:tr>
      <w:tr w14:paraId="76816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restart"/>
            <w:vAlign w:val="center"/>
          </w:tcPr>
          <w:p w14:paraId="7452F745">
            <w:pPr>
              <w:pStyle w:val="7"/>
              <w:spacing w:line="240" w:lineRule="auto"/>
              <w:ind w:firstLine="0" w:firstLineChars="0"/>
              <w:jc w:val="center"/>
              <w:rPr>
                <w:bCs/>
                <w:color w:val="auto"/>
                <w:sz w:val="21"/>
                <w:szCs w:val="21"/>
              </w:rPr>
            </w:pPr>
            <w:r>
              <w:rPr>
                <w:rFonts w:hint="eastAsia"/>
                <w:bCs/>
                <w:color w:val="auto"/>
                <w:sz w:val="21"/>
                <w:szCs w:val="21"/>
              </w:rPr>
              <w:t>综合废水</w:t>
            </w:r>
          </w:p>
        </w:tc>
        <w:tc>
          <w:tcPr>
            <w:tcW w:w="799" w:type="pct"/>
            <w:vMerge w:val="restart"/>
            <w:vAlign w:val="center"/>
          </w:tcPr>
          <w:p w14:paraId="1A099029">
            <w:pPr>
              <w:widowControl/>
              <w:spacing w:line="240" w:lineRule="auto"/>
              <w:ind w:firstLine="0" w:firstLineChars="0"/>
              <w:jc w:val="center"/>
              <w:textAlignment w:val="center"/>
              <w:rPr>
                <w:bCs/>
                <w:color w:val="auto"/>
                <w:sz w:val="21"/>
                <w:szCs w:val="21"/>
              </w:rPr>
            </w:pPr>
            <w:r>
              <w:rPr>
                <w:color w:val="auto"/>
                <w:kern w:val="0"/>
                <w:sz w:val="21"/>
                <w:szCs w:val="21"/>
                <w:lang w:bidi="ar"/>
              </w:rPr>
              <w:t>16356.694</w:t>
            </w:r>
          </w:p>
        </w:tc>
        <w:tc>
          <w:tcPr>
            <w:tcW w:w="1000" w:type="pct"/>
            <w:vAlign w:val="center"/>
          </w:tcPr>
          <w:p w14:paraId="0BA36DEF">
            <w:pPr>
              <w:widowControl/>
              <w:spacing w:line="240" w:lineRule="auto"/>
              <w:ind w:firstLine="0" w:firstLineChars="0"/>
              <w:jc w:val="center"/>
              <w:textAlignment w:val="center"/>
              <w:rPr>
                <w:color w:val="auto"/>
                <w:kern w:val="0"/>
                <w:sz w:val="21"/>
                <w:szCs w:val="21"/>
                <w:lang w:bidi="ar"/>
              </w:rPr>
            </w:pPr>
            <w:r>
              <w:rPr>
                <w:color w:val="auto"/>
                <w:kern w:val="0"/>
                <w:sz w:val="21"/>
                <w:szCs w:val="22"/>
                <w:lang w:bidi="ar"/>
              </w:rPr>
              <w:t>COD</w:t>
            </w:r>
          </w:p>
        </w:tc>
        <w:tc>
          <w:tcPr>
            <w:tcW w:w="1000" w:type="pct"/>
            <w:vAlign w:val="center"/>
          </w:tcPr>
          <w:p w14:paraId="28B5796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 xml:space="preserve">0.142 </w:t>
            </w:r>
          </w:p>
        </w:tc>
        <w:tc>
          <w:tcPr>
            <w:tcW w:w="1000" w:type="pct"/>
            <w:vAlign w:val="center"/>
          </w:tcPr>
          <w:p w14:paraId="36044A8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 xml:space="preserve">0.002 </w:t>
            </w:r>
          </w:p>
        </w:tc>
      </w:tr>
      <w:tr w14:paraId="2C6D2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8" w:type="pct"/>
            <w:vMerge w:val="continue"/>
            <w:vAlign w:val="center"/>
          </w:tcPr>
          <w:p w14:paraId="6D8CF3D3">
            <w:pPr>
              <w:pStyle w:val="7"/>
              <w:spacing w:line="240" w:lineRule="auto"/>
              <w:ind w:firstLine="0" w:firstLineChars="0"/>
              <w:jc w:val="center"/>
              <w:rPr>
                <w:bCs/>
                <w:color w:val="auto"/>
                <w:sz w:val="21"/>
                <w:szCs w:val="21"/>
              </w:rPr>
            </w:pPr>
          </w:p>
        </w:tc>
        <w:tc>
          <w:tcPr>
            <w:tcW w:w="799" w:type="pct"/>
            <w:vMerge w:val="continue"/>
            <w:vAlign w:val="center"/>
          </w:tcPr>
          <w:p w14:paraId="1A28D53E">
            <w:pPr>
              <w:pStyle w:val="7"/>
              <w:spacing w:line="240" w:lineRule="auto"/>
              <w:ind w:firstLine="0" w:firstLineChars="0"/>
              <w:jc w:val="center"/>
              <w:rPr>
                <w:bCs/>
                <w:color w:val="auto"/>
                <w:sz w:val="21"/>
                <w:szCs w:val="21"/>
              </w:rPr>
            </w:pPr>
          </w:p>
        </w:tc>
        <w:tc>
          <w:tcPr>
            <w:tcW w:w="1000" w:type="pct"/>
            <w:vAlign w:val="center"/>
          </w:tcPr>
          <w:p w14:paraId="67FF39A1">
            <w:pPr>
              <w:widowControl/>
              <w:spacing w:line="240" w:lineRule="auto"/>
              <w:ind w:firstLine="0" w:firstLineChars="0"/>
              <w:jc w:val="center"/>
              <w:textAlignment w:val="center"/>
              <w:rPr>
                <w:color w:val="auto"/>
                <w:kern w:val="0"/>
                <w:sz w:val="21"/>
                <w:szCs w:val="21"/>
                <w:lang w:bidi="ar"/>
              </w:rPr>
            </w:pPr>
            <w:r>
              <w:rPr>
                <w:color w:val="auto"/>
                <w:kern w:val="0"/>
                <w:sz w:val="21"/>
                <w:szCs w:val="22"/>
                <w:lang w:bidi="ar"/>
              </w:rPr>
              <w:t>SS</w:t>
            </w:r>
          </w:p>
        </w:tc>
        <w:tc>
          <w:tcPr>
            <w:tcW w:w="1000" w:type="pct"/>
            <w:vAlign w:val="center"/>
          </w:tcPr>
          <w:p w14:paraId="3B05345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 xml:space="preserve">0.071 </w:t>
            </w:r>
          </w:p>
        </w:tc>
        <w:tc>
          <w:tcPr>
            <w:tcW w:w="1000" w:type="pct"/>
            <w:vAlign w:val="center"/>
          </w:tcPr>
          <w:p w14:paraId="2B81BCC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 xml:space="preserve">0.001 </w:t>
            </w:r>
          </w:p>
        </w:tc>
      </w:tr>
      <w:tr w14:paraId="46A6E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044346F7">
            <w:pPr>
              <w:pStyle w:val="7"/>
              <w:spacing w:line="240" w:lineRule="auto"/>
              <w:ind w:firstLine="0" w:firstLineChars="0"/>
              <w:jc w:val="center"/>
              <w:rPr>
                <w:bCs/>
                <w:color w:val="auto"/>
                <w:sz w:val="21"/>
                <w:szCs w:val="21"/>
              </w:rPr>
            </w:pPr>
          </w:p>
        </w:tc>
        <w:tc>
          <w:tcPr>
            <w:tcW w:w="799" w:type="pct"/>
            <w:vMerge w:val="continue"/>
            <w:vAlign w:val="center"/>
          </w:tcPr>
          <w:p w14:paraId="59506A52">
            <w:pPr>
              <w:pStyle w:val="7"/>
              <w:spacing w:line="240" w:lineRule="auto"/>
              <w:ind w:firstLine="0" w:firstLineChars="0"/>
              <w:jc w:val="center"/>
              <w:rPr>
                <w:bCs/>
                <w:color w:val="auto"/>
                <w:sz w:val="21"/>
                <w:szCs w:val="21"/>
              </w:rPr>
            </w:pPr>
          </w:p>
        </w:tc>
        <w:tc>
          <w:tcPr>
            <w:tcW w:w="1000" w:type="pct"/>
            <w:vAlign w:val="center"/>
          </w:tcPr>
          <w:p w14:paraId="326F0A32">
            <w:pPr>
              <w:widowControl/>
              <w:spacing w:line="240" w:lineRule="auto"/>
              <w:ind w:firstLine="0" w:firstLineChars="0"/>
              <w:jc w:val="center"/>
              <w:textAlignment w:val="center"/>
              <w:rPr>
                <w:rFonts w:cs="宋体"/>
                <w:color w:val="auto"/>
                <w:kern w:val="0"/>
                <w:sz w:val="21"/>
                <w:szCs w:val="20"/>
                <w:lang w:bidi="ar"/>
              </w:rPr>
            </w:pPr>
            <w:r>
              <w:rPr>
                <w:rFonts w:hint="eastAsia" w:cs="宋体"/>
                <w:color w:val="auto"/>
                <w:kern w:val="0"/>
                <w:sz w:val="21"/>
                <w:szCs w:val="20"/>
                <w:lang w:bidi="ar"/>
              </w:rPr>
              <w:t>氨氮</w:t>
            </w:r>
          </w:p>
        </w:tc>
        <w:tc>
          <w:tcPr>
            <w:tcW w:w="1000" w:type="pct"/>
            <w:vAlign w:val="center"/>
          </w:tcPr>
          <w:p w14:paraId="11056D4E">
            <w:pPr>
              <w:widowControl/>
              <w:spacing w:line="240" w:lineRule="auto"/>
              <w:ind w:firstLine="0" w:firstLineChars="0"/>
              <w:jc w:val="center"/>
              <w:textAlignment w:val="center"/>
              <w:rPr>
                <w:color w:val="auto"/>
                <w:kern w:val="0"/>
                <w:sz w:val="21"/>
                <w:szCs w:val="22"/>
                <w:lang w:bidi="ar"/>
              </w:rPr>
            </w:pPr>
            <w:r>
              <w:rPr>
                <w:rFonts w:hint="eastAsia" w:cs="宋体"/>
                <w:color w:val="auto"/>
                <w:kern w:val="0"/>
                <w:sz w:val="21"/>
                <w:szCs w:val="21"/>
                <w:lang w:bidi="ar"/>
              </w:rPr>
              <w:t xml:space="preserve">0.006 </w:t>
            </w:r>
          </w:p>
        </w:tc>
        <w:tc>
          <w:tcPr>
            <w:tcW w:w="1000" w:type="pct"/>
            <w:vAlign w:val="center"/>
          </w:tcPr>
          <w:p w14:paraId="3397A1D2">
            <w:pPr>
              <w:widowControl/>
              <w:spacing w:line="240" w:lineRule="auto"/>
              <w:ind w:firstLine="0" w:firstLineChars="0"/>
              <w:jc w:val="center"/>
              <w:textAlignment w:val="center"/>
              <w:rPr>
                <w:color w:val="auto"/>
                <w:kern w:val="0"/>
                <w:sz w:val="21"/>
                <w:szCs w:val="22"/>
                <w:lang w:bidi="ar"/>
              </w:rPr>
            </w:pPr>
            <w:r>
              <w:rPr>
                <w:rFonts w:hint="eastAsia" w:cs="宋体"/>
                <w:color w:val="auto"/>
                <w:kern w:val="0"/>
                <w:sz w:val="21"/>
                <w:szCs w:val="21"/>
                <w:lang w:bidi="ar"/>
              </w:rPr>
              <w:t>9.00E-05</w:t>
            </w:r>
          </w:p>
        </w:tc>
      </w:tr>
      <w:tr w14:paraId="53A9C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4E3860B4">
            <w:pPr>
              <w:pStyle w:val="7"/>
              <w:spacing w:line="240" w:lineRule="auto"/>
              <w:ind w:firstLine="0" w:firstLineChars="0"/>
              <w:jc w:val="center"/>
              <w:rPr>
                <w:bCs/>
                <w:color w:val="auto"/>
                <w:sz w:val="21"/>
                <w:szCs w:val="21"/>
              </w:rPr>
            </w:pPr>
          </w:p>
        </w:tc>
        <w:tc>
          <w:tcPr>
            <w:tcW w:w="799" w:type="pct"/>
            <w:vMerge w:val="continue"/>
            <w:vAlign w:val="center"/>
          </w:tcPr>
          <w:p w14:paraId="4EF3B656">
            <w:pPr>
              <w:pStyle w:val="7"/>
              <w:spacing w:line="240" w:lineRule="auto"/>
              <w:ind w:firstLine="0" w:firstLineChars="0"/>
              <w:jc w:val="center"/>
              <w:rPr>
                <w:bCs/>
                <w:color w:val="auto"/>
                <w:sz w:val="21"/>
                <w:szCs w:val="21"/>
              </w:rPr>
            </w:pPr>
          </w:p>
        </w:tc>
        <w:tc>
          <w:tcPr>
            <w:tcW w:w="1000" w:type="pct"/>
            <w:vAlign w:val="center"/>
          </w:tcPr>
          <w:p w14:paraId="13FBA0CA">
            <w:pPr>
              <w:widowControl/>
              <w:spacing w:line="240" w:lineRule="auto"/>
              <w:ind w:firstLine="0" w:firstLineChars="0"/>
              <w:jc w:val="center"/>
              <w:textAlignment w:val="center"/>
              <w:rPr>
                <w:rFonts w:cs="宋体"/>
                <w:color w:val="auto"/>
                <w:kern w:val="0"/>
                <w:sz w:val="21"/>
                <w:szCs w:val="20"/>
                <w:lang w:bidi="ar"/>
              </w:rPr>
            </w:pPr>
            <w:r>
              <w:rPr>
                <w:rFonts w:hint="eastAsia" w:cs="宋体"/>
                <w:color w:val="auto"/>
                <w:kern w:val="0"/>
                <w:sz w:val="21"/>
                <w:szCs w:val="20"/>
                <w:lang w:bidi="ar"/>
              </w:rPr>
              <w:t>总磷</w:t>
            </w:r>
          </w:p>
        </w:tc>
        <w:tc>
          <w:tcPr>
            <w:tcW w:w="1000" w:type="pct"/>
            <w:vAlign w:val="center"/>
          </w:tcPr>
          <w:p w14:paraId="30745657">
            <w:pPr>
              <w:widowControl/>
              <w:spacing w:line="240" w:lineRule="auto"/>
              <w:ind w:firstLine="0" w:firstLineChars="0"/>
              <w:jc w:val="center"/>
              <w:textAlignment w:val="center"/>
              <w:rPr>
                <w:color w:val="auto"/>
                <w:kern w:val="0"/>
                <w:sz w:val="21"/>
                <w:szCs w:val="22"/>
                <w:lang w:bidi="ar"/>
              </w:rPr>
            </w:pPr>
            <w:r>
              <w:rPr>
                <w:rFonts w:hint="eastAsia" w:cs="宋体"/>
                <w:color w:val="auto"/>
                <w:kern w:val="0"/>
                <w:sz w:val="21"/>
                <w:szCs w:val="21"/>
                <w:lang w:bidi="ar"/>
              </w:rPr>
              <w:t xml:space="preserve">0.0015 </w:t>
            </w:r>
          </w:p>
        </w:tc>
        <w:tc>
          <w:tcPr>
            <w:tcW w:w="1000" w:type="pct"/>
            <w:vAlign w:val="center"/>
          </w:tcPr>
          <w:p w14:paraId="5703C984">
            <w:pPr>
              <w:widowControl/>
              <w:spacing w:line="240" w:lineRule="auto"/>
              <w:ind w:firstLine="0" w:firstLineChars="0"/>
              <w:jc w:val="center"/>
              <w:textAlignment w:val="center"/>
              <w:rPr>
                <w:color w:val="auto"/>
                <w:kern w:val="0"/>
                <w:sz w:val="21"/>
                <w:szCs w:val="22"/>
                <w:lang w:bidi="ar"/>
              </w:rPr>
            </w:pPr>
            <w:r>
              <w:rPr>
                <w:rFonts w:hint="eastAsia" w:cs="宋体"/>
                <w:color w:val="auto"/>
                <w:kern w:val="0"/>
                <w:sz w:val="21"/>
                <w:szCs w:val="21"/>
                <w:lang w:bidi="ar"/>
              </w:rPr>
              <w:t>2.40E-05</w:t>
            </w:r>
          </w:p>
        </w:tc>
      </w:tr>
      <w:tr w14:paraId="5D1E2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5574E755">
            <w:pPr>
              <w:pStyle w:val="7"/>
              <w:spacing w:line="240" w:lineRule="auto"/>
              <w:ind w:firstLine="0" w:firstLineChars="0"/>
              <w:jc w:val="center"/>
              <w:rPr>
                <w:bCs/>
                <w:color w:val="auto"/>
                <w:sz w:val="21"/>
                <w:szCs w:val="21"/>
              </w:rPr>
            </w:pPr>
          </w:p>
        </w:tc>
        <w:tc>
          <w:tcPr>
            <w:tcW w:w="799" w:type="pct"/>
            <w:vMerge w:val="continue"/>
            <w:vAlign w:val="center"/>
          </w:tcPr>
          <w:p w14:paraId="425E2FD6">
            <w:pPr>
              <w:pStyle w:val="7"/>
              <w:spacing w:line="240" w:lineRule="auto"/>
              <w:ind w:firstLine="0" w:firstLineChars="0"/>
              <w:jc w:val="center"/>
              <w:rPr>
                <w:bCs/>
                <w:color w:val="auto"/>
                <w:sz w:val="21"/>
                <w:szCs w:val="21"/>
              </w:rPr>
            </w:pPr>
          </w:p>
        </w:tc>
        <w:tc>
          <w:tcPr>
            <w:tcW w:w="1000" w:type="pct"/>
            <w:vAlign w:val="center"/>
          </w:tcPr>
          <w:p w14:paraId="62D4D609">
            <w:pPr>
              <w:widowControl/>
              <w:spacing w:line="240" w:lineRule="auto"/>
              <w:ind w:firstLine="0" w:firstLineChars="0"/>
              <w:jc w:val="center"/>
              <w:textAlignment w:val="center"/>
              <w:rPr>
                <w:rFonts w:cs="宋体"/>
                <w:color w:val="auto"/>
                <w:kern w:val="0"/>
                <w:sz w:val="21"/>
                <w:szCs w:val="20"/>
                <w:lang w:bidi="ar"/>
              </w:rPr>
            </w:pPr>
            <w:r>
              <w:rPr>
                <w:rFonts w:hint="eastAsia" w:cs="宋体"/>
                <w:color w:val="auto"/>
                <w:kern w:val="0"/>
                <w:sz w:val="21"/>
                <w:szCs w:val="20"/>
                <w:lang w:bidi="ar"/>
              </w:rPr>
              <w:t>总氮</w:t>
            </w:r>
          </w:p>
        </w:tc>
        <w:tc>
          <w:tcPr>
            <w:tcW w:w="1000" w:type="pct"/>
            <w:vAlign w:val="center"/>
          </w:tcPr>
          <w:p w14:paraId="6DA91948">
            <w:pPr>
              <w:widowControl/>
              <w:spacing w:line="240" w:lineRule="auto"/>
              <w:ind w:firstLine="0" w:firstLineChars="0"/>
              <w:jc w:val="center"/>
              <w:textAlignment w:val="center"/>
              <w:rPr>
                <w:color w:val="auto"/>
                <w:kern w:val="0"/>
                <w:sz w:val="21"/>
                <w:szCs w:val="22"/>
                <w:lang w:bidi="ar"/>
              </w:rPr>
            </w:pPr>
            <w:r>
              <w:rPr>
                <w:rFonts w:hint="eastAsia" w:cs="宋体"/>
                <w:color w:val="auto"/>
                <w:kern w:val="0"/>
                <w:sz w:val="21"/>
                <w:szCs w:val="21"/>
                <w:lang w:bidi="ar"/>
              </w:rPr>
              <w:t xml:space="preserve">0.008 </w:t>
            </w:r>
          </w:p>
        </w:tc>
        <w:tc>
          <w:tcPr>
            <w:tcW w:w="1000" w:type="pct"/>
            <w:vAlign w:val="center"/>
          </w:tcPr>
          <w:p w14:paraId="72631B76">
            <w:pPr>
              <w:widowControl/>
              <w:spacing w:line="240" w:lineRule="auto"/>
              <w:ind w:firstLine="0" w:firstLineChars="0"/>
              <w:jc w:val="center"/>
              <w:textAlignment w:val="center"/>
              <w:rPr>
                <w:color w:val="auto"/>
                <w:kern w:val="0"/>
                <w:sz w:val="21"/>
                <w:szCs w:val="22"/>
                <w:lang w:bidi="ar"/>
              </w:rPr>
            </w:pPr>
            <w:r>
              <w:rPr>
                <w:rFonts w:hint="eastAsia" w:cs="宋体"/>
                <w:color w:val="auto"/>
                <w:kern w:val="0"/>
                <w:sz w:val="21"/>
                <w:szCs w:val="22"/>
                <w:lang w:bidi="ar"/>
              </w:rPr>
              <w:t>1.35E-04</w:t>
            </w:r>
          </w:p>
        </w:tc>
      </w:tr>
      <w:tr w14:paraId="0D126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pct"/>
            <w:vMerge w:val="continue"/>
            <w:vAlign w:val="center"/>
          </w:tcPr>
          <w:p w14:paraId="6CEBD2DD">
            <w:pPr>
              <w:pStyle w:val="7"/>
              <w:spacing w:line="240" w:lineRule="auto"/>
              <w:ind w:firstLine="0" w:firstLineChars="0"/>
              <w:jc w:val="center"/>
              <w:rPr>
                <w:bCs/>
                <w:color w:val="auto"/>
                <w:sz w:val="21"/>
                <w:szCs w:val="21"/>
              </w:rPr>
            </w:pPr>
          </w:p>
        </w:tc>
        <w:tc>
          <w:tcPr>
            <w:tcW w:w="799" w:type="pct"/>
            <w:vMerge w:val="continue"/>
            <w:vAlign w:val="center"/>
          </w:tcPr>
          <w:p w14:paraId="51BF1635">
            <w:pPr>
              <w:pStyle w:val="7"/>
              <w:spacing w:line="240" w:lineRule="auto"/>
              <w:ind w:firstLine="0" w:firstLineChars="0"/>
              <w:jc w:val="center"/>
              <w:rPr>
                <w:bCs/>
                <w:color w:val="auto"/>
                <w:sz w:val="21"/>
                <w:szCs w:val="21"/>
              </w:rPr>
            </w:pPr>
          </w:p>
        </w:tc>
        <w:tc>
          <w:tcPr>
            <w:tcW w:w="1000" w:type="pct"/>
            <w:vAlign w:val="center"/>
          </w:tcPr>
          <w:p w14:paraId="5EA6F63C">
            <w:pPr>
              <w:widowControl/>
              <w:spacing w:line="240" w:lineRule="auto"/>
              <w:ind w:firstLine="0" w:firstLineChars="0"/>
              <w:jc w:val="center"/>
              <w:textAlignment w:val="center"/>
              <w:rPr>
                <w:bCs/>
                <w:color w:val="auto"/>
                <w:sz w:val="21"/>
                <w:szCs w:val="21"/>
              </w:rPr>
            </w:pPr>
            <w:r>
              <w:rPr>
                <w:rFonts w:hint="eastAsia" w:cs="宋体"/>
                <w:color w:val="auto"/>
                <w:kern w:val="0"/>
                <w:sz w:val="21"/>
                <w:szCs w:val="20"/>
                <w:lang w:bidi="ar"/>
              </w:rPr>
              <w:t>石油类</w:t>
            </w:r>
          </w:p>
        </w:tc>
        <w:tc>
          <w:tcPr>
            <w:tcW w:w="1000" w:type="pct"/>
            <w:vAlign w:val="center"/>
          </w:tcPr>
          <w:p w14:paraId="574AF375">
            <w:pPr>
              <w:widowControl/>
              <w:spacing w:line="240" w:lineRule="auto"/>
              <w:ind w:firstLine="0" w:firstLineChars="0"/>
              <w:jc w:val="center"/>
              <w:textAlignment w:val="center"/>
              <w:rPr>
                <w:color w:val="auto"/>
                <w:kern w:val="0"/>
                <w:sz w:val="21"/>
                <w:szCs w:val="22"/>
                <w:lang w:bidi="ar"/>
              </w:rPr>
            </w:pPr>
            <w:r>
              <w:rPr>
                <w:rFonts w:hint="eastAsia" w:cs="宋体"/>
                <w:color w:val="auto"/>
                <w:kern w:val="0"/>
                <w:sz w:val="21"/>
                <w:szCs w:val="21"/>
                <w:lang w:bidi="ar"/>
              </w:rPr>
              <w:t xml:space="preserve">0.0009 </w:t>
            </w:r>
          </w:p>
        </w:tc>
        <w:tc>
          <w:tcPr>
            <w:tcW w:w="1000" w:type="pct"/>
            <w:vAlign w:val="center"/>
          </w:tcPr>
          <w:p w14:paraId="5A60D93A">
            <w:pPr>
              <w:widowControl/>
              <w:spacing w:line="240" w:lineRule="auto"/>
              <w:ind w:firstLine="0" w:firstLineChars="0"/>
              <w:jc w:val="center"/>
              <w:textAlignment w:val="center"/>
              <w:rPr>
                <w:color w:val="auto"/>
                <w:kern w:val="0"/>
                <w:sz w:val="21"/>
                <w:szCs w:val="22"/>
                <w:lang w:bidi="ar"/>
              </w:rPr>
            </w:pPr>
            <w:r>
              <w:rPr>
                <w:rFonts w:hint="eastAsia" w:cs="宋体"/>
                <w:color w:val="auto"/>
                <w:kern w:val="0"/>
                <w:sz w:val="21"/>
                <w:szCs w:val="22"/>
                <w:lang w:bidi="ar"/>
              </w:rPr>
              <w:t>1.41E-05</w:t>
            </w:r>
          </w:p>
        </w:tc>
      </w:tr>
    </w:tbl>
    <w:p w14:paraId="156F3955">
      <w:pPr>
        <w:pStyle w:val="49"/>
        <w:rPr>
          <w:color w:val="auto"/>
        </w:rPr>
      </w:pPr>
    </w:p>
    <w:p w14:paraId="4103BEC5">
      <w:pPr>
        <w:pStyle w:val="49"/>
        <w:rPr>
          <w:color w:val="auto"/>
        </w:rPr>
      </w:pPr>
      <w:r>
        <w:rPr>
          <w:color w:val="auto"/>
        </w:rPr>
        <w:t>表4.</w:t>
      </w:r>
      <w:r>
        <w:rPr>
          <w:rFonts w:hint="eastAsia"/>
          <w:color w:val="auto"/>
        </w:rPr>
        <w:t>6</w:t>
      </w:r>
      <w:r>
        <w:rPr>
          <w:color w:val="auto"/>
        </w:rPr>
        <w:t>-</w:t>
      </w:r>
      <w:r>
        <w:rPr>
          <w:rFonts w:hint="eastAsia"/>
          <w:color w:val="auto"/>
        </w:rPr>
        <w:t>3</w:t>
      </w:r>
      <w:r>
        <w:rPr>
          <w:color w:val="auto"/>
        </w:rPr>
        <w:t xml:space="preserve"> </w:t>
      </w:r>
      <w:r>
        <w:rPr>
          <w:rFonts w:hint="eastAsia"/>
          <w:color w:val="auto"/>
        </w:rPr>
        <w:t xml:space="preserve"> </w:t>
      </w:r>
      <w:r>
        <w:rPr>
          <w:color w:val="auto"/>
        </w:rPr>
        <w:t>拟建项目水污染物产生和排放状况</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1109"/>
        <w:gridCol w:w="1038"/>
        <w:gridCol w:w="1038"/>
        <w:gridCol w:w="1039"/>
        <w:gridCol w:w="1183"/>
        <w:gridCol w:w="895"/>
        <w:gridCol w:w="1041"/>
        <w:gridCol w:w="836"/>
        <w:gridCol w:w="836"/>
      </w:tblGrid>
      <w:tr w14:paraId="7F2A8F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423" w:type="pct"/>
            <w:vMerge w:val="restart"/>
            <w:tcBorders>
              <w:tl2br w:val="nil"/>
              <w:tr2bl w:val="nil"/>
            </w:tcBorders>
            <w:vAlign w:val="center"/>
          </w:tcPr>
          <w:p w14:paraId="2205A442">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废水来源</w:t>
            </w:r>
          </w:p>
        </w:tc>
        <w:tc>
          <w:tcPr>
            <w:tcW w:w="562" w:type="pct"/>
            <w:vMerge w:val="restart"/>
            <w:tcBorders>
              <w:tl2br w:val="nil"/>
              <w:tr2bl w:val="nil"/>
            </w:tcBorders>
            <w:vAlign w:val="center"/>
          </w:tcPr>
          <w:p w14:paraId="4CF60A6C">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废水量</w:t>
            </w:r>
            <w:r>
              <w:rPr>
                <w:b/>
                <w:color w:val="auto"/>
                <w:kern w:val="0"/>
                <w:sz w:val="21"/>
                <w:szCs w:val="21"/>
                <w:lang w:bidi="ar"/>
              </w:rPr>
              <w:t>(m</w:t>
            </w:r>
            <w:r>
              <w:rPr>
                <w:b/>
                <w:color w:val="auto"/>
                <w:kern w:val="0"/>
                <w:sz w:val="21"/>
                <w:szCs w:val="21"/>
                <w:vertAlign w:val="superscript"/>
                <w:lang w:bidi="ar"/>
              </w:rPr>
              <w:t>3</w:t>
            </w:r>
            <w:r>
              <w:rPr>
                <w:b/>
                <w:color w:val="auto"/>
                <w:kern w:val="0"/>
                <w:sz w:val="21"/>
                <w:szCs w:val="21"/>
                <w:lang w:bidi="ar"/>
              </w:rPr>
              <w:t>/a)</w:t>
            </w:r>
          </w:p>
        </w:tc>
        <w:tc>
          <w:tcPr>
            <w:tcW w:w="527" w:type="pct"/>
            <w:vMerge w:val="restart"/>
            <w:tcBorders>
              <w:tl2br w:val="nil"/>
              <w:tr2bl w:val="nil"/>
            </w:tcBorders>
            <w:vAlign w:val="center"/>
          </w:tcPr>
          <w:p w14:paraId="31A07D9D">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污染物名称</w:t>
            </w:r>
          </w:p>
        </w:tc>
        <w:tc>
          <w:tcPr>
            <w:tcW w:w="1054" w:type="pct"/>
            <w:gridSpan w:val="2"/>
            <w:tcBorders>
              <w:tl2br w:val="nil"/>
              <w:tr2bl w:val="nil"/>
            </w:tcBorders>
            <w:vAlign w:val="center"/>
          </w:tcPr>
          <w:p w14:paraId="6E40BB27">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污染物产生量</w:t>
            </w:r>
          </w:p>
        </w:tc>
        <w:tc>
          <w:tcPr>
            <w:tcW w:w="600" w:type="pct"/>
            <w:vMerge w:val="restart"/>
            <w:tcBorders>
              <w:tl2br w:val="nil"/>
              <w:tr2bl w:val="nil"/>
            </w:tcBorders>
            <w:vAlign w:val="center"/>
          </w:tcPr>
          <w:p w14:paraId="351C5A02">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治理措施</w:t>
            </w:r>
          </w:p>
        </w:tc>
        <w:tc>
          <w:tcPr>
            <w:tcW w:w="982" w:type="pct"/>
            <w:gridSpan w:val="2"/>
            <w:tcBorders>
              <w:tl2br w:val="nil"/>
              <w:tr2bl w:val="nil"/>
            </w:tcBorders>
            <w:vAlign w:val="center"/>
          </w:tcPr>
          <w:p w14:paraId="78890E1E">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污染物排放量</w:t>
            </w:r>
          </w:p>
        </w:tc>
        <w:tc>
          <w:tcPr>
            <w:tcW w:w="424" w:type="pct"/>
            <w:vMerge w:val="restart"/>
            <w:tcBorders>
              <w:tl2br w:val="nil"/>
              <w:tr2bl w:val="nil"/>
            </w:tcBorders>
            <w:vAlign w:val="center"/>
          </w:tcPr>
          <w:p w14:paraId="64155664">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标准浓度限值</w:t>
            </w:r>
            <w:r>
              <w:rPr>
                <w:b/>
                <w:color w:val="auto"/>
                <w:kern w:val="0"/>
                <w:sz w:val="21"/>
                <w:szCs w:val="21"/>
                <w:lang w:bidi="ar"/>
              </w:rPr>
              <w:t>(mg/L)</w:t>
            </w:r>
          </w:p>
        </w:tc>
        <w:tc>
          <w:tcPr>
            <w:tcW w:w="424" w:type="pct"/>
            <w:vMerge w:val="restart"/>
            <w:tcBorders>
              <w:tl2br w:val="nil"/>
              <w:tr2bl w:val="nil"/>
            </w:tcBorders>
            <w:vAlign w:val="center"/>
          </w:tcPr>
          <w:p w14:paraId="5CAB1D9D">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排放方式与去向</w:t>
            </w:r>
          </w:p>
        </w:tc>
      </w:tr>
      <w:tr w14:paraId="0547D1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23" w:type="pct"/>
            <w:vMerge w:val="continue"/>
            <w:tcBorders>
              <w:tl2br w:val="nil"/>
              <w:tr2bl w:val="nil"/>
            </w:tcBorders>
            <w:vAlign w:val="center"/>
          </w:tcPr>
          <w:p w14:paraId="67FA54F3">
            <w:pPr>
              <w:widowControl/>
              <w:spacing w:line="240" w:lineRule="auto"/>
              <w:ind w:firstLine="0" w:firstLineChars="0"/>
              <w:jc w:val="center"/>
              <w:rPr>
                <w:rFonts w:cs="宋体"/>
                <w:b/>
                <w:color w:val="auto"/>
                <w:sz w:val="21"/>
                <w:szCs w:val="21"/>
              </w:rPr>
            </w:pPr>
          </w:p>
        </w:tc>
        <w:tc>
          <w:tcPr>
            <w:tcW w:w="562" w:type="pct"/>
            <w:vMerge w:val="continue"/>
            <w:tcBorders>
              <w:tl2br w:val="nil"/>
              <w:tr2bl w:val="nil"/>
            </w:tcBorders>
            <w:vAlign w:val="center"/>
          </w:tcPr>
          <w:p w14:paraId="4E20C90F">
            <w:pPr>
              <w:widowControl/>
              <w:spacing w:line="240" w:lineRule="auto"/>
              <w:ind w:firstLine="0" w:firstLineChars="0"/>
              <w:jc w:val="center"/>
              <w:rPr>
                <w:rFonts w:cs="宋体"/>
                <w:b/>
                <w:color w:val="auto"/>
                <w:sz w:val="21"/>
                <w:szCs w:val="21"/>
              </w:rPr>
            </w:pPr>
          </w:p>
        </w:tc>
        <w:tc>
          <w:tcPr>
            <w:tcW w:w="527" w:type="pct"/>
            <w:vMerge w:val="continue"/>
            <w:tcBorders>
              <w:tl2br w:val="nil"/>
              <w:tr2bl w:val="nil"/>
            </w:tcBorders>
            <w:vAlign w:val="center"/>
          </w:tcPr>
          <w:p w14:paraId="2218AF95">
            <w:pPr>
              <w:widowControl/>
              <w:spacing w:line="240" w:lineRule="auto"/>
              <w:ind w:firstLine="0" w:firstLineChars="0"/>
              <w:jc w:val="center"/>
              <w:rPr>
                <w:rFonts w:cs="宋体"/>
                <w:b/>
                <w:color w:val="auto"/>
                <w:sz w:val="21"/>
                <w:szCs w:val="21"/>
              </w:rPr>
            </w:pPr>
          </w:p>
        </w:tc>
        <w:tc>
          <w:tcPr>
            <w:tcW w:w="527" w:type="pct"/>
            <w:tcBorders>
              <w:tl2br w:val="nil"/>
              <w:tr2bl w:val="nil"/>
            </w:tcBorders>
            <w:vAlign w:val="center"/>
          </w:tcPr>
          <w:p w14:paraId="1E22E011">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浓度</w:t>
            </w:r>
          </w:p>
        </w:tc>
        <w:tc>
          <w:tcPr>
            <w:tcW w:w="527" w:type="pct"/>
            <w:tcBorders>
              <w:tl2br w:val="nil"/>
              <w:tr2bl w:val="nil"/>
            </w:tcBorders>
            <w:vAlign w:val="center"/>
          </w:tcPr>
          <w:p w14:paraId="2C1FE227">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产生量</w:t>
            </w:r>
          </w:p>
        </w:tc>
        <w:tc>
          <w:tcPr>
            <w:tcW w:w="600" w:type="pct"/>
            <w:vMerge w:val="continue"/>
            <w:tcBorders>
              <w:tl2br w:val="nil"/>
              <w:tr2bl w:val="nil"/>
            </w:tcBorders>
            <w:vAlign w:val="center"/>
          </w:tcPr>
          <w:p w14:paraId="13925EBF">
            <w:pPr>
              <w:widowControl/>
              <w:spacing w:line="240" w:lineRule="auto"/>
              <w:ind w:firstLine="0" w:firstLineChars="0"/>
              <w:jc w:val="center"/>
              <w:rPr>
                <w:rFonts w:cs="宋体"/>
                <w:b/>
                <w:color w:val="auto"/>
                <w:sz w:val="21"/>
                <w:szCs w:val="21"/>
              </w:rPr>
            </w:pPr>
          </w:p>
        </w:tc>
        <w:tc>
          <w:tcPr>
            <w:tcW w:w="454" w:type="pct"/>
            <w:tcBorders>
              <w:tl2br w:val="nil"/>
              <w:tr2bl w:val="nil"/>
            </w:tcBorders>
            <w:vAlign w:val="center"/>
          </w:tcPr>
          <w:p w14:paraId="79205D9A">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浓度</w:t>
            </w:r>
          </w:p>
        </w:tc>
        <w:tc>
          <w:tcPr>
            <w:tcW w:w="527" w:type="pct"/>
            <w:tcBorders>
              <w:tl2br w:val="nil"/>
              <w:tr2bl w:val="nil"/>
            </w:tcBorders>
            <w:vAlign w:val="center"/>
          </w:tcPr>
          <w:p w14:paraId="4E4F2BC0">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排放量</w:t>
            </w:r>
          </w:p>
        </w:tc>
        <w:tc>
          <w:tcPr>
            <w:tcW w:w="424" w:type="pct"/>
            <w:vMerge w:val="continue"/>
            <w:tcBorders>
              <w:tl2br w:val="nil"/>
              <w:tr2bl w:val="nil"/>
            </w:tcBorders>
            <w:vAlign w:val="center"/>
          </w:tcPr>
          <w:p w14:paraId="6A7A5C88">
            <w:pPr>
              <w:widowControl/>
              <w:spacing w:line="240" w:lineRule="auto"/>
              <w:ind w:firstLine="0" w:firstLineChars="0"/>
              <w:jc w:val="center"/>
              <w:rPr>
                <w:rFonts w:cs="宋体"/>
                <w:bCs/>
                <w:color w:val="auto"/>
                <w:sz w:val="21"/>
                <w:szCs w:val="21"/>
              </w:rPr>
            </w:pPr>
          </w:p>
        </w:tc>
        <w:tc>
          <w:tcPr>
            <w:tcW w:w="424" w:type="pct"/>
            <w:vMerge w:val="continue"/>
            <w:tcBorders>
              <w:tl2br w:val="nil"/>
              <w:tr2bl w:val="nil"/>
            </w:tcBorders>
            <w:vAlign w:val="center"/>
          </w:tcPr>
          <w:p w14:paraId="4E423C9F">
            <w:pPr>
              <w:widowControl/>
              <w:spacing w:line="240" w:lineRule="auto"/>
              <w:ind w:firstLine="0" w:firstLineChars="0"/>
              <w:jc w:val="center"/>
              <w:rPr>
                <w:rFonts w:cs="宋体"/>
                <w:bCs/>
                <w:color w:val="auto"/>
                <w:sz w:val="21"/>
                <w:szCs w:val="21"/>
              </w:rPr>
            </w:pPr>
          </w:p>
        </w:tc>
      </w:tr>
      <w:tr w14:paraId="1411E3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423" w:type="pct"/>
            <w:vMerge w:val="continue"/>
            <w:tcBorders>
              <w:tl2br w:val="nil"/>
              <w:tr2bl w:val="nil"/>
            </w:tcBorders>
            <w:vAlign w:val="center"/>
          </w:tcPr>
          <w:p w14:paraId="40460618">
            <w:pPr>
              <w:widowControl/>
              <w:spacing w:line="240" w:lineRule="auto"/>
              <w:ind w:firstLine="0" w:firstLineChars="0"/>
              <w:jc w:val="center"/>
              <w:rPr>
                <w:rFonts w:cs="宋体"/>
                <w:b/>
                <w:color w:val="auto"/>
                <w:sz w:val="21"/>
                <w:szCs w:val="21"/>
              </w:rPr>
            </w:pPr>
          </w:p>
        </w:tc>
        <w:tc>
          <w:tcPr>
            <w:tcW w:w="562" w:type="pct"/>
            <w:vMerge w:val="continue"/>
            <w:tcBorders>
              <w:tl2br w:val="nil"/>
              <w:tr2bl w:val="nil"/>
            </w:tcBorders>
            <w:vAlign w:val="center"/>
          </w:tcPr>
          <w:p w14:paraId="1B64AE78">
            <w:pPr>
              <w:widowControl/>
              <w:spacing w:line="240" w:lineRule="auto"/>
              <w:ind w:firstLine="0" w:firstLineChars="0"/>
              <w:jc w:val="center"/>
              <w:rPr>
                <w:rFonts w:cs="宋体"/>
                <w:b/>
                <w:color w:val="auto"/>
                <w:sz w:val="21"/>
                <w:szCs w:val="21"/>
              </w:rPr>
            </w:pPr>
          </w:p>
        </w:tc>
        <w:tc>
          <w:tcPr>
            <w:tcW w:w="527" w:type="pct"/>
            <w:vMerge w:val="continue"/>
            <w:tcBorders>
              <w:tl2br w:val="nil"/>
              <w:tr2bl w:val="nil"/>
            </w:tcBorders>
            <w:vAlign w:val="center"/>
          </w:tcPr>
          <w:p w14:paraId="138EC443">
            <w:pPr>
              <w:widowControl/>
              <w:spacing w:line="240" w:lineRule="auto"/>
              <w:ind w:firstLine="0" w:firstLineChars="0"/>
              <w:jc w:val="center"/>
              <w:rPr>
                <w:rFonts w:cs="宋体"/>
                <w:b/>
                <w:color w:val="auto"/>
                <w:sz w:val="21"/>
                <w:szCs w:val="21"/>
              </w:rPr>
            </w:pPr>
          </w:p>
        </w:tc>
        <w:tc>
          <w:tcPr>
            <w:tcW w:w="527" w:type="pct"/>
            <w:tcBorders>
              <w:tl2br w:val="nil"/>
              <w:tr2bl w:val="nil"/>
            </w:tcBorders>
            <w:vAlign w:val="center"/>
          </w:tcPr>
          <w:p w14:paraId="2AC27D14">
            <w:pPr>
              <w:widowControl/>
              <w:spacing w:line="240" w:lineRule="auto"/>
              <w:ind w:firstLine="0" w:firstLineChars="0"/>
              <w:jc w:val="center"/>
              <w:textAlignment w:val="center"/>
              <w:rPr>
                <w:b/>
                <w:color w:val="auto"/>
                <w:sz w:val="21"/>
                <w:szCs w:val="21"/>
              </w:rPr>
            </w:pPr>
            <w:r>
              <w:rPr>
                <w:b/>
                <w:color w:val="auto"/>
                <w:kern w:val="0"/>
                <w:sz w:val="21"/>
                <w:szCs w:val="21"/>
                <w:lang w:bidi="ar"/>
              </w:rPr>
              <w:t>(mg/L)</w:t>
            </w:r>
          </w:p>
        </w:tc>
        <w:tc>
          <w:tcPr>
            <w:tcW w:w="527" w:type="pct"/>
            <w:tcBorders>
              <w:tl2br w:val="nil"/>
              <w:tr2bl w:val="nil"/>
            </w:tcBorders>
            <w:vAlign w:val="center"/>
          </w:tcPr>
          <w:p w14:paraId="0F7F062E">
            <w:pPr>
              <w:widowControl/>
              <w:spacing w:line="240" w:lineRule="auto"/>
              <w:ind w:firstLine="0" w:firstLineChars="0"/>
              <w:jc w:val="center"/>
              <w:textAlignment w:val="center"/>
              <w:rPr>
                <w:b/>
                <w:color w:val="auto"/>
                <w:sz w:val="21"/>
                <w:szCs w:val="21"/>
              </w:rPr>
            </w:pPr>
            <w:r>
              <w:rPr>
                <w:b/>
                <w:color w:val="auto"/>
                <w:kern w:val="0"/>
                <w:sz w:val="21"/>
                <w:szCs w:val="21"/>
                <w:lang w:bidi="ar"/>
              </w:rPr>
              <w:t>(t/a)</w:t>
            </w:r>
          </w:p>
        </w:tc>
        <w:tc>
          <w:tcPr>
            <w:tcW w:w="600" w:type="pct"/>
            <w:vMerge w:val="continue"/>
            <w:tcBorders>
              <w:tl2br w:val="nil"/>
              <w:tr2bl w:val="nil"/>
            </w:tcBorders>
            <w:vAlign w:val="center"/>
          </w:tcPr>
          <w:p w14:paraId="518B9D96">
            <w:pPr>
              <w:widowControl/>
              <w:spacing w:line="240" w:lineRule="auto"/>
              <w:ind w:firstLine="0" w:firstLineChars="0"/>
              <w:jc w:val="center"/>
              <w:rPr>
                <w:rFonts w:cs="宋体"/>
                <w:b/>
                <w:color w:val="auto"/>
                <w:sz w:val="21"/>
                <w:szCs w:val="21"/>
              </w:rPr>
            </w:pPr>
          </w:p>
        </w:tc>
        <w:tc>
          <w:tcPr>
            <w:tcW w:w="454" w:type="pct"/>
            <w:tcBorders>
              <w:tl2br w:val="nil"/>
              <w:tr2bl w:val="nil"/>
            </w:tcBorders>
            <w:vAlign w:val="center"/>
          </w:tcPr>
          <w:p w14:paraId="27D0EB43">
            <w:pPr>
              <w:widowControl/>
              <w:spacing w:line="240" w:lineRule="auto"/>
              <w:ind w:firstLine="0" w:firstLineChars="0"/>
              <w:jc w:val="center"/>
              <w:textAlignment w:val="center"/>
              <w:rPr>
                <w:b/>
                <w:color w:val="auto"/>
                <w:sz w:val="21"/>
                <w:szCs w:val="21"/>
              </w:rPr>
            </w:pPr>
            <w:r>
              <w:rPr>
                <w:b/>
                <w:color w:val="auto"/>
                <w:kern w:val="0"/>
                <w:sz w:val="21"/>
                <w:szCs w:val="21"/>
                <w:lang w:bidi="ar"/>
              </w:rPr>
              <w:t>(mg/L)</w:t>
            </w:r>
          </w:p>
        </w:tc>
        <w:tc>
          <w:tcPr>
            <w:tcW w:w="527" w:type="pct"/>
            <w:tcBorders>
              <w:tl2br w:val="nil"/>
              <w:tr2bl w:val="nil"/>
            </w:tcBorders>
            <w:vAlign w:val="center"/>
          </w:tcPr>
          <w:p w14:paraId="32C0DBDF">
            <w:pPr>
              <w:widowControl/>
              <w:spacing w:line="240" w:lineRule="auto"/>
              <w:ind w:firstLine="0" w:firstLineChars="0"/>
              <w:jc w:val="center"/>
              <w:textAlignment w:val="center"/>
              <w:rPr>
                <w:b/>
                <w:color w:val="auto"/>
                <w:sz w:val="21"/>
                <w:szCs w:val="21"/>
              </w:rPr>
            </w:pPr>
            <w:r>
              <w:rPr>
                <w:b/>
                <w:color w:val="auto"/>
                <w:kern w:val="0"/>
                <w:sz w:val="21"/>
                <w:szCs w:val="21"/>
                <w:lang w:bidi="ar"/>
              </w:rPr>
              <w:t>(t/a)</w:t>
            </w:r>
          </w:p>
        </w:tc>
        <w:tc>
          <w:tcPr>
            <w:tcW w:w="424" w:type="pct"/>
            <w:vMerge w:val="continue"/>
            <w:tcBorders>
              <w:tl2br w:val="nil"/>
              <w:tr2bl w:val="nil"/>
            </w:tcBorders>
            <w:vAlign w:val="center"/>
          </w:tcPr>
          <w:p w14:paraId="612A87F7">
            <w:pPr>
              <w:widowControl/>
              <w:spacing w:line="240" w:lineRule="auto"/>
              <w:ind w:firstLine="0" w:firstLineChars="0"/>
              <w:jc w:val="center"/>
              <w:rPr>
                <w:rFonts w:cs="宋体"/>
                <w:bCs/>
                <w:color w:val="auto"/>
                <w:sz w:val="21"/>
                <w:szCs w:val="21"/>
              </w:rPr>
            </w:pPr>
          </w:p>
        </w:tc>
        <w:tc>
          <w:tcPr>
            <w:tcW w:w="424" w:type="pct"/>
            <w:vMerge w:val="continue"/>
            <w:tcBorders>
              <w:tl2br w:val="nil"/>
              <w:tr2bl w:val="nil"/>
            </w:tcBorders>
            <w:vAlign w:val="center"/>
          </w:tcPr>
          <w:p w14:paraId="332E2BE8">
            <w:pPr>
              <w:widowControl/>
              <w:spacing w:line="240" w:lineRule="auto"/>
              <w:ind w:firstLine="0" w:firstLineChars="0"/>
              <w:jc w:val="center"/>
              <w:rPr>
                <w:rFonts w:cs="宋体"/>
                <w:bCs/>
                <w:color w:val="auto"/>
                <w:sz w:val="21"/>
                <w:szCs w:val="21"/>
              </w:rPr>
            </w:pPr>
          </w:p>
        </w:tc>
      </w:tr>
      <w:tr w14:paraId="0BDD24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restart"/>
            <w:tcBorders>
              <w:tl2br w:val="nil"/>
              <w:tr2bl w:val="nil"/>
            </w:tcBorders>
            <w:vAlign w:val="center"/>
          </w:tcPr>
          <w:p w14:paraId="5C0A0DE6">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实验室废水</w:t>
            </w:r>
          </w:p>
        </w:tc>
        <w:tc>
          <w:tcPr>
            <w:tcW w:w="562" w:type="pct"/>
            <w:vMerge w:val="restart"/>
            <w:tcBorders>
              <w:tl2br w:val="nil"/>
              <w:tr2bl w:val="nil"/>
            </w:tcBorders>
            <w:vAlign w:val="center"/>
          </w:tcPr>
          <w:p w14:paraId="610E980D">
            <w:pPr>
              <w:widowControl/>
              <w:spacing w:line="240" w:lineRule="auto"/>
              <w:ind w:firstLine="0" w:firstLineChars="0"/>
              <w:jc w:val="center"/>
              <w:textAlignment w:val="center"/>
              <w:rPr>
                <w:color w:val="auto"/>
                <w:sz w:val="21"/>
                <w:szCs w:val="21"/>
              </w:rPr>
            </w:pPr>
            <w:r>
              <w:rPr>
                <w:color w:val="auto"/>
                <w:kern w:val="0"/>
                <w:sz w:val="21"/>
                <w:szCs w:val="21"/>
                <w:lang w:bidi="ar"/>
              </w:rPr>
              <w:t>3</w:t>
            </w:r>
          </w:p>
        </w:tc>
        <w:tc>
          <w:tcPr>
            <w:tcW w:w="527" w:type="pct"/>
            <w:tcBorders>
              <w:tl2br w:val="nil"/>
              <w:tr2bl w:val="nil"/>
            </w:tcBorders>
            <w:vAlign w:val="center"/>
          </w:tcPr>
          <w:p w14:paraId="793561F8">
            <w:pPr>
              <w:widowControl/>
              <w:spacing w:line="240" w:lineRule="auto"/>
              <w:ind w:firstLine="0" w:firstLineChars="0"/>
              <w:jc w:val="center"/>
              <w:textAlignment w:val="center"/>
              <w:rPr>
                <w:color w:val="auto"/>
                <w:sz w:val="21"/>
                <w:szCs w:val="22"/>
              </w:rPr>
            </w:pPr>
            <w:r>
              <w:rPr>
                <w:color w:val="auto"/>
                <w:kern w:val="0"/>
                <w:sz w:val="21"/>
                <w:szCs w:val="22"/>
                <w:lang w:bidi="ar"/>
              </w:rPr>
              <w:t>COD</w:t>
            </w:r>
          </w:p>
        </w:tc>
        <w:tc>
          <w:tcPr>
            <w:tcW w:w="527" w:type="pct"/>
            <w:tcBorders>
              <w:tl2br w:val="nil"/>
              <w:tr2bl w:val="nil"/>
            </w:tcBorders>
            <w:vAlign w:val="center"/>
          </w:tcPr>
          <w:p w14:paraId="6814DBCE">
            <w:pPr>
              <w:widowControl/>
              <w:spacing w:line="240" w:lineRule="auto"/>
              <w:ind w:firstLine="0" w:firstLineChars="0"/>
              <w:jc w:val="center"/>
              <w:textAlignment w:val="center"/>
              <w:rPr>
                <w:color w:val="auto"/>
                <w:sz w:val="21"/>
                <w:szCs w:val="22"/>
              </w:rPr>
            </w:pPr>
            <w:r>
              <w:rPr>
                <w:color w:val="auto"/>
                <w:kern w:val="0"/>
                <w:sz w:val="21"/>
                <w:szCs w:val="22"/>
                <w:lang w:bidi="ar"/>
              </w:rPr>
              <w:t>400</w:t>
            </w:r>
          </w:p>
        </w:tc>
        <w:tc>
          <w:tcPr>
            <w:tcW w:w="527" w:type="pct"/>
            <w:tcBorders>
              <w:tl2br w:val="nil"/>
              <w:tr2bl w:val="nil"/>
            </w:tcBorders>
            <w:vAlign w:val="center"/>
          </w:tcPr>
          <w:p w14:paraId="14618F61">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0.001 </w:t>
            </w:r>
          </w:p>
        </w:tc>
        <w:tc>
          <w:tcPr>
            <w:tcW w:w="600" w:type="pct"/>
            <w:vMerge w:val="restart"/>
            <w:tcBorders>
              <w:tl2br w:val="nil"/>
              <w:tr2bl w:val="nil"/>
            </w:tcBorders>
            <w:vAlign w:val="center"/>
          </w:tcPr>
          <w:p w14:paraId="05383415">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调节池+臭氧氧化</w:t>
            </w:r>
          </w:p>
        </w:tc>
        <w:tc>
          <w:tcPr>
            <w:tcW w:w="454" w:type="pct"/>
            <w:tcBorders>
              <w:tl2br w:val="nil"/>
              <w:tr2bl w:val="nil"/>
            </w:tcBorders>
            <w:vAlign w:val="center"/>
          </w:tcPr>
          <w:p w14:paraId="024CBC6E">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76337303">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00C36AB0">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restart"/>
            <w:tcBorders>
              <w:tl2br w:val="nil"/>
              <w:tr2bl w:val="nil"/>
            </w:tcBorders>
            <w:vAlign w:val="center"/>
          </w:tcPr>
          <w:p w14:paraId="477F174F">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园区污水处理厂</w:t>
            </w:r>
          </w:p>
        </w:tc>
      </w:tr>
      <w:tr w14:paraId="749533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1F0005D8">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795FB9ED">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2ADFB8AE">
            <w:pPr>
              <w:widowControl/>
              <w:spacing w:line="240" w:lineRule="auto"/>
              <w:ind w:firstLine="0" w:firstLineChars="0"/>
              <w:jc w:val="center"/>
              <w:textAlignment w:val="center"/>
              <w:rPr>
                <w:color w:val="auto"/>
                <w:sz w:val="21"/>
                <w:szCs w:val="22"/>
              </w:rPr>
            </w:pPr>
            <w:r>
              <w:rPr>
                <w:color w:val="auto"/>
                <w:kern w:val="0"/>
                <w:sz w:val="21"/>
                <w:szCs w:val="22"/>
                <w:lang w:bidi="ar"/>
              </w:rPr>
              <w:t>SS</w:t>
            </w:r>
          </w:p>
        </w:tc>
        <w:tc>
          <w:tcPr>
            <w:tcW w:w="527" w:type="pct"/>
            <w:tcBorders>
              <w:tl2br w:val="nil"/>
              <w:tr2bl w:val="nil"/>
            </w:tcBorders>
            <w:vAlign w:val="center"/>
          </w:tcPr>
          <w:p w14:paraId="2FA31E9A">
            <w:pPr>
              <w:widowControl/>
              <w:spacing w:line="240" w:lineRule="auto"/>
              <w:ind w:firstLine="0" w:firstLineChars="0"/>
              <w:jc w:val="center"/>
              <w:textAlignment w:val="center"/>
              <w:rPr>
                <w:color w:val="auto"/>
                <w:sz w:val="21"/>
                <w:szCs w:val="22"/>
              </w:rPr>
            </w:pPr>
            <w:r>
              <w:rPr>
                <w:color w:val="auto"/>
                <w:kern w:val="0"/>
                <w:sz w:val="21"/>
                <w:szCs w:val="22"/>
                <w:lang w:bidi="ar"/>
              </w:rPr>
              <w:t>200</w:t>
            </w:r>
          </w:p>
        </w:tc>
        <w:tc>
          <w:tcPr>
            <w:tcW w:w="527" w:type="pct"/>
            <w:tcBorders>
              <w:tl2br w:val="nil"/>
              <w:tr2bl w:val="nil"/>
            </w:tcBorders>
            <w:vAlign w:val="center"/>
          </w:tcPr>
          <w:p w14:paraId="403A097E">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6.00E-04</w:t>
            </w:r>
          </w:p>
        </w:tc>
        <w:tc>
          <w:tcPr>
            <w:tcW w:w="600" w:type="pct"/>
            <w:vMerge w:val="continue"/>
            <w:tcBorders>
              <w:tl2br w:val="nil"/>
              <w:tr2bl w:val="nil"/>
            </w:tcBorders>
            <w:vAlign w:val="center"/>
          </w:tcPr>
          <w:p w14:paraId="39B7229B">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3B144C8B">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6A92AD1A">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0F9921A4">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3375F112">
            <w:pPr>
              <w:widowControl/>
              <w:spacing w:line="240" w:lineRule="auto"/>
              <w:ind w:firstLine="0" w:firstLineChars="0"/>
              <w:jc w:val="center"/>
              <w:rPr>
                <w:rFonts w:cs="宋体"/>
                <w:color w:val="auto"/>
                <w:sz w:val="21"/>
                <w:szCs w:val="21"/>
              </w:rPr>
            </w:pPr>
          </w:p>
        </w:tc>
      </w:tr>
      <w:tr w14:paraId="5AC4A5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64DB8AA3">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0F2CC8EC">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593FA4A9">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氨氮</w:t>
            </w:r>
          </w:p>
        </w:tc>
        <w:tc>
          <w:tcPr>
            <w:tcW w:w="527" w:type="pct"/>
            <w:tcBorders>
              <w:tl2br w:val="nil"/>
              <w:tr2bl w:val="nil"/>
            </w:tcBorders>
            <w:vAlign w:val="center"/>
          </w:tcPr>
          <w:p w14:paraId="07254759">
            <w:pPr>
              <w:widowControl/>
              <w:spacing w:line="240" w:lineRule="auto"/>
              <w:ind w:firstLine="0" w:firstLineChars="0"/>
              <w:jc w:val="center"/>
              <w:textAlignment w:val="center"/>
              <w:rPr>
                <w:color w:val="auto"/>
                <w:sz w:val="21"/>
                <w:szCs w:val="22"/>
              </w:rPr>
            </w:pPr>
            <w:r>
              <w:rPr>
                <w:color w:val="auto"/>
                <w:kern w:val="0"/>
                <w:sz w:val="21"/>
                <w:szCs w:val="22"/>
                <w:lang w:bidi="ar"/>
              </w:rPr>
              <w:t>30</w:t>
            </w:r>
          </w:p>
        </w:tc>
        <w:tc>
          <w:tcPr>
            <w:tcW w:w="527" w:type="pct"/>
            <w:tcBorders>
              <w:tl2br w:val="nil"/>
              <w:tr2bl w:val="nil"/>
            </w:tcBorders>
            <w:vAlign w:val="center"/>
          </w:tcPr>
          <w:p w14:paraId="2CAA45F1">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9.00E-05</w:t>
            </w:r>
          </w:p>
        </w:tc>
        <w:tc>
          <w:tcPr>
            <w:tcW w:w="600" w:type="pct"/>
            <w:vMerge w:val="continue"/>
            <w:tcBorders>
              <w:tl2br w:val="nil"/>
              <w:tr2bl w:val="nil"/>
            </w:tcBorders>
            <w:vAlign w:val="center"/>
          </w:tcPr>
          <w:p w14:paraId="06DE2E97">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4EFB9B12">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2287A8E6">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0305C983">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29C59A33">
            <w:pPr>
              <w:widowControl/>
              <w:spacing w:line="240" w:lineRule="auto"/>
              <w:ind w:firstLine="0" w:firstLineChars="0"/>
              <w:jc w:val="center"/>
              <w:rPr>
                <w:rFonts w:cs="宋体"/>
                <w:color w:val="auto"/>
                <w:sz w:val="21"/>
                <w:szCs w:val="21"/>
              </w:rPr>
            </w:pPr>
          </w:p>
        </w:tc>
      </w:tr>
      <w:tr w14:paraId="6766A6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42C5102B">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655337F6">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66BD05D6">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总氮</w:t>
            </w:r>
          </w:p>
        </w:tc>
        <w:tc>
          <w:tcPr>
            <w:tcW w:w="527" w:type="pct"/>
            <w:tcBorders>
              <w:tl2br w:val="nil"/>
              <w:tr2bl w:val="nil"/>
            </w:tcBorders>
            <w:vAlign w:val="center"/>
          </w:tcPr>
          <w:p w14:paraId="0710B651">
            <w:pPr>
              <w:widowControl/>
              <w:spacing w:line="240" w:lineRule="auto"/>
              <w:ind w:firstLine="0" w:firstLineChars="0"/>
              <w:jc w:val="center"/>
              <w:textAlignment w:val="center"/>
              <w:rPr>
                <w:color w:val="auto"/>
                <w:sz w:val="21"/>
                <w:szCs w:val="22"/>
              </w:rPr>
            </w:pPr>
            <w:r>
              <w:rPr>
                <w:color w:val="auto"/>
                <w:kern w:val="0"/>
                <w:sz w:val="21"/>
                <w:szCs w:val="22"/>
                <w:lang w:bidi="ar"/>
              </w:rPr>
              <w:t>45</w:t>
            </w:r>
          </w:p>
        </w:tc>
        <w:tc>
          <w:tcPr>
            <w:tcW w:w="527" w:type="pct"/>
            <w:tcBorders>
              <w:tl2br w:val="nil"/>
              <w:tr2bl w:val="nil"/>
            </w:tcBorders>
            <w:vAlign w:val="center"/>
          </w:tcPr>
          <w:p w14:paraId="4CB5365D">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1.35E-04</w:t>
            </w:r>
          </w:p>
        </w:tc>
        <w:tc>
          <w:tcPr>
            <w:tcW w:w="600" w:type="pct"/>
            <w:vMerge w:val="continue"/>
            <w:tcBorders>
              <w:tl2br w:val="nil"/>
              <w:tr2bl w:val="nil"/>
            </w:tcBorders>
            <w:vAlign w:val="center"/>
          </w:tcPr>
          <w:p w14:paraId="6242550E">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464B1236">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120A5728">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5329CDF0">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2831FFF2">
            <w:pPr>
              <w:widowControl/>
              <w:spacing w:line="240" w:lineRule="auto"/>
              <w:ind w:firstLine="0" w:firstLineChars="0"/>
              <w:jc w:val="center"/>
              <w:rPr>
                <w:rFonts w:cs="宋体"/>
                <w:color w:val="auto"/>
                <w:sz w:val="21"/>
                <w:szCs w:val="21"/>
              </w:rPr>
            </w:pPr>
          </w:p>
        </w:tc>
      </w:tr>
      <w:tr w14:paraId="329ECE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423" w:type="pct"/>
            <w:vMerge w:val="continue"/>
            <w:tcBorders>
              <w:tl2br w:val="nil"/>
              <w:tr2bl w:val="nil"/>
            </w:tcBorders>
            <w:vAlign w:val="center"/>
          </w:tcPr>
          <w:p w14:paraId="20265CBA">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4E50EB41">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469264BB">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总磷</w:t>
            </w:r>
          </w:p>
        </w:tc>
        <w:tc>
          <w:tcPr>
            <w:tcW w:w="527" w:type="pct"/>
            <w:tcBorders>
              <w:tl2br w:val="nil"/>
              <w:tr2bl w:val="nil"/>
            </w:tcBorders>
            <w:vAlign w:val="center"/>
          </w:tcPr>
          <w:p w14:paraId="0810E655">
            <w:pPr>
              <w:widowControl/>
              <w:spacing w:line="240" w:lineRule="auto"/>
              <w:ind w:firstLine="0" w:firstLineChars="0"/>
              <w:jc w:val="center"/>
              <w:textAlignment w:val="center"/>
              <w:rPr>
                <w:color w:val="auto"/>
                <w:sz w:val="21"/>
                <w:szCs w:val="22"/>
              </w:rPr>
            </w:pPr>
            <w:r>
              <w:rPr>
                <w:color w:val="auto"/>
                <w:kern w:val="0"/>
                <w:sz w:val="21"/>
                <w:szCs w:val="22"/>
                <w:lang w:bidi="ar"/>
              </w:rPr>
              <w:t>8</w:t>
            </w:r>
          </w:p>
        </w:tc>
        <w:tc>
          <w:tcPr>
            <w:tcW w:w="527" w:type="pct"/>
            <w:tcBorders>
              <w:tl2br w:val="nil"/>
              <w:tr2bl w:val="nil"/>
            </w:tcBorders>
            <w:vAlign w:val="center"/>
          </w:tcPr>
          <w:p w14:paraId="42D22183">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2.40E-05</w:t>
            </w:r>
          </w:p>
        </w:tc>
        <w:tc>
          <w:tcPr>
            <w:tcW w:w="600" w:type="pct"/>
            <w:vMerge w:val="continue"/>
            <w:tcBorders>
              <w:tl2br w:val="nil"/>
              <w:tr2bl w:val="nil"/>
            </w:tcBorders>
            <w:vAlign w:val="center"/>
          </w:tcPr>
          <w:p w14:paraId="35A1482E">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1DEAE092">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2838C7CC">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6B8A4593">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361AEA67">
            <w:pPr>
              <w:widowControl/>
              <w:spacing w:line="240" w:lineRule="auto"/>
              <w:ind w:firstLine="0" w:firstLineChars="0"/>
              <w:jc w:val="center"/>
              <w:rPr>
                <w:rFonts w:cs="宋体"/>
                <w:color w:val="auto"/>
                <w:sz w:val="21"/>
                <w:szCs w:val="21"/>
              </w:rPr>
            </w:pPr>
          </w:p>
        </w:tc>
      </w:tr>
      <w:tr w14:paraId="267FBD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restart"/>
            <w:tcBorders>
              <w:tl2br w:val="nil"/>
              <w:tr2bl w:val="nil"/>
            </w:tcBorders>
            <w:vAlign w:val="center"/>
          </w:tcPr>
          <w:p w14:paraId="0336B4F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空压机废水</w:t>
            </w:r>
          </w:p>
        </w:tc>
        <w:tc>
          <w:tcPr>
            <w:tcW w:w="562" w:type="pct"/>
            <w:vMerge w:val="restart"/>
            <w:tcBorders>
              <w:tl2br w:val="nil"/>
              <w:tr2bl w:val="nil"/>
            </w:tcBorders>
            <w:vAlign w:val="center"/>
          </w:tcPr>
          <w:p w14:paraId="4EF19E4C">
            <w:pPr>
              <w:widowControl/>
              <w:spacing w:line="240" w:lineRule="auto"/>
              <w:ind w:firstLine="0" w:firstLineChars="0"/>
              <w:jc w:val="center"/>
              <w:textAlignment w:val="center"/>
              <w:rPr>
                <w:color w:val="auto"/>
                <w:sz w:val="21"/>
                <w:szCs w:val="21"/>
              </w:rPr>
            </w:pPr>
            <w:r>
              <w:rPr>
                <w:color w:val="auto"/>
                <w:kern w:val="0"/>
                <w:sz w:val="21"/>
                <w:szCs w:val="21"/>
                <w:lang w:bidi="ar"/>
              </w:rPr>
              <w:t>0.94</w:t>
            </w:r>
          </w:p>
        </w:tc>
        <w:tc>
          <w:tcPr>
            <w:tcW w:w="527" w:type="pct"/>
            <w:tcBorders>
              <w:tl2br w:val="nil"/>
              <w:tr2bl w:val="nil"/>
            </w:tcBorders>
            <w:vAlign w:val="center"/>
          </w:tcPr>
          <w:p w14:paraId="7D499EA5">
            <w:pPr>
              <w:widowControl/>
              <w:spacing w:line="240" w:lineRule="auto"/>
              <w:ind w:firstLine="0" w:firstLineChars="0"/>
              <w:jc w:val="center"/>
              <w:textAlignment w:val="center"/>
              <w:rPr>
                <w:color w:val="auto"/>
                <w:sz w:val="21"/>
                <w:szCs w:val="22"/>
              </w:rPr>
            </w:pPr>
            <w:r>
              <w:rPr>
                <w:color w:val="auto"/>
                <w:kern w:val="0"/>
                <w:sz w:val="21"/>
                <w:szCs w:val="22"/>
                <w:lang w:bidi="ar"/>
              </w:rPr>
              <w:t>COD</w:t>
            </w:r>
          </w:p>
        </w:tc>
        <w:tc>
          <w:tcPr>
            <w:tcW w:w="527" w:type="pct"/>
            <w:tcBorders>
              <w:tl2br w:val="nil"/>
              <w:tr2bl w:val="nil"/>
            </w:tcBorders>
            <w:vAlign w:val="center"/>
          </w:tcPr>
          <w:p w14:paraId="2706203F">
            <w:pPr>
              <w:widowControl/>
              <w:spacing w:line="240" w:lineRule="auto"/>
              <w:ind w:firstLine="0" w:firstLineChars="0"/>
              <w:jc w:val="center"/>
              <w:textAlignment w:val="center"/>
              <w:rPr>
                <w:color w:val="auto"/>
                <w:sz w:val="21"/>
                <w:szCs w:val="22"/>
              </w:rPr>
            </w:pPr>
            <w:r>
              <w:rPr>
                <w:color w:val="auto"/>
                <w:kern w:val="0"/>
                <w:sz w:val="21"/>
                <w:szCs w:val="22"/>
                <w:lang w:bidi="ar"/>
              </w:rPr>
              <w:t>1200</w:t>
            </w:r>
          </w:p>
        </w:tc>
        <w:tc>
          <w:tcPr>
            <w:tcW w:w="527" w:type="pct"/>
            <w:tcBorders>
              <w:tl2br w:val="nil"/>
              <w:tr2bl w:val="nil"/>
            </w:tcBorders>
            <w:vAlign w:val="center"/>
          </w:tcPr>
          <w:p w14:paraId="36DCFCDC">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0.001 </w:t>
            </w:r>
          </w:p>
        </w:tc>
        <w:tc>
          <w:tcPr>
            <w:tcW w:w="600" w:type="pct"/>
            <w:vMerge w:val="continue"/>
            <w:tcBorders>
              <w:tl2br w:val="nil"/>
              <w:tr2bl w:val="nil"/>
            </w:tcBorders>
            <w:vAlign w:val="center"/>
          </w:tcPr>
          <w:p w14:paraId="25E23E02">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5023E36B">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24E59C5D">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7F327C2C">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6521E1EC">
            <w:pPr>
              <w:widowControl/>
              <w:spacing w:line="240" w:lineRule="auto"/>
              <w:ind w:firstLine="0" w:firstLineChars="0"/>
              <w:jc w:val="center"/>
              <w:rPr>
                <w:rFonts w:cs="宋体"/>
                <w:color w:val="auto"/>
                <w:sz w:val="21"/>
                <w:szCs w:val="21"/>
              </w:rPr>
            </w:pPr>
          </w:p>
        </w:tc>
      </w:tr>
      <w:tr w14:paraId="282379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159A8A08">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0281FD4C">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6001F3A2">
            <w:pPr>
              <w:widowControl/>
              <w:spacing w:line="240" w:lineRule="auto"/>
              <w:ind w:firstLine="0" w:firstLineChars="0"/>
              <w:jc w:val="center"/>
              <w:textAlignment w:val="center"/>
              <w:rPr>
                <w:color w:val="auto"/>
                <w:sz w:val="21"/>
                <w:szCs w:val="22"/>
              </w:rPr>
            </w:pPr>
            <w:r>
              <w:rPr>
                <w:color w:val="auto"/>
                <w:kern w:val="0"/>
                <w:sz w:val="21"/>
                <w:szCs w:val="22"/>
                <w:lang w:bidi="ar"/>
              </w:rPr>
              <w:t>SS</w:t>
            </w:r>
          </w:p>
        </w:tc>
        <w:tc>
          <w:tcPr>
            <w:tcW w:w="527" w:type="pct"/>
            <w:tcBorders>
              <w:tl2br w:val="nil"/>
              <w:tr2bl w:val="nil"/>
            </w:tcBorders>
            <w:vAlign w:val="center"/>
          </w:tcPr>
          <w:p w14:paraId="60F1C035">
            <w:pPr>
              <w:widowControl/>
              <w:spacing w:line="240" w:lineRule="auto"/>
              <w:ind w:firstLine="0" w:firstLineChars="0"/>
              <w:jc w:val="center"/>
              <w:textAlignment w:val="center"/>
              <w:rPr>
                <w:color w:val="auto"/>
                <w:sz w:val="21"/>
                <w:szCs w:val="22"/>
              </w:rPr>
            </w:pPr>
            <w:r>
              <w:rPr>
                <w:color w:val="auto"/>
                <w:kern w:val="0"/>
                <w:sz w:val="21"/>
                <w:szCs w:val="22"/>
                <w:lang w:bidi="ar"/>
              </w:rPr>
              <w:t>600</w:t>
            </w:r>
          </w:p>
        </w:tc>
        <w:tc>
          <w:tcPr>
            <w:tcW w:w="527" w:type="pct"/>
            <w:tcBorders>
              <w:tl2br w:val="nil"/>
              <w:tr2bl w:val="nil"/>
            </w:tcBorders>
            <w:vAlign w:val="center"/>
          </w:tcPr>
          <w:p w14:paraId="4BBDA1F3">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0.001 </w:t>
            </w:r>
          </w:p>
        </w:tc>
        <w:tc>
          <w:tcPr>
            <w:tcW w:w="600" w:type="pct"/>
            <w:vMerge w:val="continue"/>
            <w:tcBorders>
              <w:tl2br w:val="nil"/>
              <w:tr2bl w:val="nil"/>
            </w:tcBorders>
            <w:vAlign w:val="center"/>
          </w:tcPr>
          <w:p w14:paraId="4FE80818">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5A3E717B">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713C13E5">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702EAA54">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4F55C2F0">
            <w:pPr>
              <w:widowControl/>
              <w:spacing w:line="240" w:lineRule="auto"/>
              <w:ind w:firstLine="0" w:firstLineChars="0"/>
              <w:jc w:val="center"/>
              <w:rPr>
                <w:rFonts w:cs="宋体"/>
                <w:color w:val="auto"/>
                <w:sz w:val="21"/>
                <w:szCs w:val="21"/>
              </w:rPr>
            </w:pPr>
          </w:p>
        </w:tc>
      </w:tr>
      <w:tr w14:paraId="5F8088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505B61DE">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524EE835">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0CEB8BD3">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石油类</w:t>
            </w:r>
          </w:p>
        </w:tc>
        <w:tc>
          <w:tcPr>
            <w:tcW w:w="527" w:type="pct"/>
            <w:tcBorders>
              <w:tl2br w:val="nil"/>
              <w:tr2bl w:val="nil"/>
            </w:tcBorders>
            <w:vAlign w:val="center"/>
          </w:tcPr>
          <w:p w14:paraId="58F30D12">
            <w:pPr>
              <w:widowControl/>
              <w:spacing w:line="240" w:lineRule="auto"/>
              <w:ind w:firstLine="0" w:firstLineChars="0"/>
              <w:jc w:val="center"/>
              <w:textAlignment w:val="center"/>
              <w:rPr>
                <w:color w:val="auto"/>
                <w:sz w:val="21"/>
                <w:szCs w:val="22"/>
              </w:rPr>
            </w:pPr>
            <w:r>
              <w:rPr>
                <w:color w:val="auto"/>
                <w:kern w:val="0"/>
                <w:sz w:val="21"/>
                <w:szCs w:val="22"/>
                <w:lang w:bidi="ar"/>
              </w:rPr>
              <w:t>15</w:t>
            </w:r>
          </w:p>
        </w:tc>
        <w:tc>
          <w:tcPr>
            <w:tcW w:w="527" w:type="pct"/>
            <w:tcBorders>
              <w:tl2br w:val="nil"/>
              <w:tr2bl w:val="nil"/>
            </w:tcBorders>
            <w:vAlign w:val="center"/>
          </w:tcPr>
          <w:p w14:paraId="573676A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1.41E-05</w:t>
            </w:r>
          </w:p>
        </w:tc>
        <w:tc>
          <w:tcPr>
            <w:tcW w:w="600" w:type="pct"/>
            <w:vMerge w:val="continue"/>
            <w:tcBorders>
              <w:tl2br w:val="nil"/>
              <w:tr2bl w:val="nil"/>
            </w:tcBorders>
            <w:vAlign w:val="center"/>
          </w:tcPr>
          <w:p w14:paraId="13F5D4C5">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290EF168">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36CE2A86">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noWrap/>
            <w:vAlign w:val="center"/>
          </w:tcPr>
          <w:p w14:paraId="7D6A1942">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6BBC9DBC">
            <w:pPr>
              <w:widowControl/>
              <w:spacing w:line="240" w:lineRule="auto"/>
              <w:ind w:firstLine="0" w:firstLineChars="0"/>
              <w:jc w:val="center"/>
              <w:rPr>
                <w:rFonts w:cs="宋体"/>
                <w:color w:val="auto"/>
                <w:sz w:val="21"/>
                <w:szCs w:val="21"/>
              </w:rPr>
            </w:pPr>
          </w:p>
        </w:tc>
      </w:tr>
      <w:tr w14:paraId="395D4B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3" w:type="pct"/>
            <w:vMerge w:val="restart"/>
            <w:tcBorders>
              <w:tl2br w:val="nil"/>
              <w:tr2bl w:val="nil"/>
            </w:tcBorders>
            <w:vAlign w:val="center"/>
          </w:tcPr>
          <w:p w14:paraId="2EFAEB16">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循环冷却废水</w:t>
            </w:r>
          </w:p>
        </w:tc>
        <w:tc>
          <w:tcPr>
            <w:tcW w:w="562" w:type="pct"/>
            <w:vMerge w:val="restart"/>
            <w:tcBorders>
              <w:tl2br w:val="nil"/>
              <w:tr2bl w:val="nil"/>
            </w:tcBorders>
            <w:vAlign w:val="center"/>
          </w:tcPr>
          <w:p w14:paraId="28D2B113">
            <w:pPr>
              <w:widowControl/>
              <w:spacing w:line="240" w:lineRule="auto"/>
              <w:ind w:firstLine="0" w:firstLineChars="0"/>
              <w:jc w:val="center"/>
              <w:textAlignment w:val="center"/>
              <w:rPr>
                <w:color w:val="auto"/>
                <w:sz w:val="21"/>
                <w:szCs w:val="21"/>
              </w:rPr>
            </w:pPr>
            <w:r>
              <w:rPr>
                <w:color w:val="auto"/>
                <w:kern w:val="0"/>
                <w:sz w:val="21"/>
                <w:szCs w:val="21"/>
                <w:lang w:bidi="ar"/>
              </w:rPr>
              <w:t>1200</w:t>
            </w:r>
          </w:p>
        </w:tc>
        <w:tc>
          <w:tcPr>
            <w:tcW w:w="527" w:type="pct"/>
            <w:tcBorders>
              <w:tl2br w:val="nil"/>
              <w:tr2bl w:val="nil"/>
            </w:tcBorders>
            <w:vAlign w:val="center"/>
          </w:tcPr>
          <w:p w14:paraId="2D8A15C1">
            <w:pPr>
              <w:widowControl/>
              <w:spacing w:line="240" w:lineRule="auto"/>
              <w:ind w:firstLine="0" w:firstLineChars="0"/>
              <w:jc w:val="center"/>
              <w:textAlignment w:val="center"/>
              <w:rPr>
                <w:color w:val="auto"/>
                <w:sz w:val="21"/>
                <w:szCs w:val="21"/>
              </w:rPr>
            </w:pPr>
            <w:r>
              <w:rPr>
                <w:color w:val="auto"/>
                <w:kern w:val="0"/>
                <w:sz w:val="21"/>
                <w:szCs w:val="21"/>
                <w:lang w:bidi="ar"/>
              </w:rPr>
              <w:t>COD</w:t>
            </w:r>
          </w:p>
        </w:tc>
        <w:tc>
          <w:tcPr>
            <w:tcW w:w="527" w:type="pct"/>
            <w:tcBorders>
              <w:tl2br w:val="nil"/>
              <w:tr2bl w:val="nil"/>
            </w:tcBorders>
            <w:vAlign w:val="center"/>
          </w:tcPr>
          <w:p w14:paraId="00CAF536">
            <w:pPr>
              <w:widowControl/>
              <w:spacing w:line="240" w:lineRule="auto"/>
              <w:ind w:firstLine="0" w:firstLineChars="0"/>
              <w:jc w:val="center"/>
              <w:textAlignment w:val="center"/>
              <w:rPr>
                <w:color w:val="auto"/>
                <w:sz w:val="21"/>
                <w:szCs w:val="21"/>
              </w:rPr>
            </w:pPr>
            <w:r>
              <w:rPr>
                <w:color w:val="auto"/>
                <w:kern w:val="0"/>
                <w:sz w:val="21"/>
                <w:szCs w:val="21"/>
                <w:lang w:bidi="ar"/>
              </w:rPr>
              <w:t>40</w:t>
            </w:r>
          </w:p>
        </w:tc>
        <w:tc>
          <w:tcPr>
            <w:tcW w:w="527" w:type="pct"/>
            <w:tcBorders>
              <w:tl2br w:val="nil"/>
              <w:tr2bl w:val="nil"/>
            </w:tcBorders>
            <w:vAlign w:val="center"/>
          </w:tcPr>
          <w:p w14:paraId="48378418">
            <w:pPr>
              <w:widowControl/>
              <w:spacing w:line="240" w:lineRule="auto"/>
              <w:ind w:firstLine="0" w:firstLineChars="0"/>
              <w:jc w:val="center"/>
              <w:textAlignment w:val="center"/>
              <w:rPr>
                <w:color w:val="auto"/>
                <w:sz w:val="21"/>
                <w:szCs w:val="21"/>
              </w:rPr>
            </w:pPr>
            <w:r>
              <w:rPr>
                <w:color w:val="auto"/>
                <w:kern w:val="0"/>
                <w:sz w:val="21"/>
                <w:szCs w:val="21"/>
                <w:lang w:bidi="ar"/>
              </w:rPr>
              <w:t>0.048</w:t>
            </w:r>
          </w:p>
        </w:tc>
        <w:tc>
          <w:tcPr>
            <w:tcW w:w="600" w:type="pct"/>
            <w:vMerge w:val="continue"/>
            <w:tcBorders>
              <w:tl2br w:val="nil"/>
              <w:tr2bl w:val="nil"/>
            </w:tcBorders>
            <w:vAlign w:val="center"/>
          </w:tcPr>
          <w:p w14:paraId="1875FB00">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6E60756F">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341D9870">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5E451B48">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1D6A7A7F">
            <w:pPr>
              <w:widowControl/>
              <w:spacing w:line="240" w:lineRule="auto"/>
              <w:ind w:firstLine="0" w:firstLineChars="0"/>
              <w:jc w:val="center"/>
              <w:rPr>
                <w:rFonts w:cs="宋体"/>
                <w:color w:val="auto"/>
                <w:sz w:val="21"/>
                <w:szCs w:val="21"/>
              </w:rPr>
            </w:pPr>
          </w:p>
        </w:tc>
      </w:tr>
      <w:tr w14:paraId="18E0B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3" w:type="pct"/>
            <w:vMerge w:val="continue"/>
            <w:tcBorders>
              <w:tl2br w:val="nil"/>
              <w:tr2bl w:val="nil"/>
            </w:tcBorders>
            <w:vAlign w:val="center"/>
          </w:tcPr>
          <w:p w14:paraId="13B9EFF7">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5A6E31A5">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052DE75F">
            <w:pPr>
              <w:widowControl/>
              <w:spacing w:line="240" w:lineRule="auto"/>
              <w:ind w:firstLine="0" w:firstLineChars="0"/>
              <w:jc w:val="center"/>
              <w:textAlignment w:val="center"/>
              <w:rPr>
                <w:color w:val="auto"/>
                <w:sz w:val="21"/>
                <w:szCs w:val="21"/>
              </w:rPr>
            </w:pPr>
            <w:r>
              <w:rPr>
                <w:color w:val="auto"/>
                <w:kern w:val="0"/>
                <w:sz w:val="21"/>
                <w:szCs w:val="21"/>
                <w:lang w:bidi="ar"/>
              </w:rPr>
              <w:t>SS</w:t>
            </w:r>
          </w:p>
        </w:tc>
        <w:tc>
          <w:tcPr>
            <w:tcW w:w="527" w:type="pct"/>
            <w:tcBorders>
              <w:tl2br w:val="nil"/>
              <w:tr2bl w:val="nil"/>
            </w:tcBorders>
            <w:vAlign w:val="center"/>
          </w:tcPr>
          <w:p w14:paraId="1993F1AB">
            <w:pPr>
              <w:widowControl/>
              <w:spacing w:line="240" w:lineRule="auto"/>
              <w:ind w:firstLine="0" w:firstLineChars="0"/>
              <w:jc w:val="center"/>
              <w:textAlignment w:val="center"/>
              <w:rPr>
                <w:color w:val="auto"/>
                <w:sz w:val="21"/>
                <w:szCs w:val="21"/>
              </w:rPr>
            </w:pPr>
            <w:r>
              <w:rPr>
                <w:color w:val="auto"/>
                <w:kern w:val="0"/>
                <w:sz w:val="21"/>
                <w:szCs w:val="21"/>
                <w:lang w:bidi="ar"/>
              </w:rPr>
              <w:t>30</w:t>
            </w:r>
          </w:p>
        </w:tc>
        <w:tc>
          <w:tcPr>
            <w:tcW w:w="527" w:type="pct"/>
            <w:tcBorders>
              <w:tl2br w:val="nil"/>
              <w:tr2bl w:val="nil"/>
            </w:tcBorders>
            <w:vAlign w:val="center"/>
          </w:tcPr>
          <w:p w14:paraId="71F50333">
            <w:pPr>
              <w:widowControl/>
              <w:spacing w:line="240" w:lineRule="auto"/>
              <w:ind w:firstLine="0" w:firstLineChars="0"/>
              <w:jc w:val="center"/>
              <w:textAlignment w:val="center"/>
              <w:rPr>
                <w:color w:val="auto"/>
                <w:sz w:val="21"/>
                <w:szCs w:val="21"/>
              </w:rPr>
            </w:pPr>
            <w:r>
              <w:rPr>
                <w:color w:val="auto"/>
                <w:kern w:val="0"/>
                <w:sz w:val="21"/>
                <w:szCs w:val="21"/>
                <w:lang w:bidi="ar"/>
              </w:rPr>
              <w:t>0.036</w:t>
            </w:r>
          </w:p>
        </w:tc>
        <w:tc>
          <w:tcPr>
            <w:tcW w:w="600" w:type="pct"/>
            <w:vMerge w:val="continue"/>
            <w:tcBorders>
              <w:tl2br w:val="nil"/>
              <w:tr2bl w:val="nil"/>
            </w:tcBorders>
            <w:vAlign w:val="center"/>
          </w:tcPr>
          <w:p w14:paraId="7307C1AE">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1E130F1A">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08A05833">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79514957">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6867FD39">
            <w:pPr>
              <w:widowControl/>
              <w:spacing w:line="240" w:lineRule="auto"/>
              <w:ind w:firstLine="0" w:firstLineChars="0"/>
              <w:jc w:val="center"/>
              <w:rPr>
                <w:rFonts w:cs="宋体"/>
                <w:color w:val="auto"/>
                <w:sz w:val="21"/>
                <w:szCs w:val="21"/>
              </w:rPr>
            </w:pPr>
          </w:p>
        </w:tc>
      </w:tr>
      <w:tr w14:paraId="712B03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restart"/>
            <w:tcBorders>
              <w:tl2br w:val="nil"/>
              <w:tr2bl w:val="nil"/>
            </w:tcBorders>
            <w:vAlign w:val="center"/>
          </w:tcPr>
          <w:p w14:paraId="140A5E1E">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纯水制备浓水</w:t>
            </w:r>
          </w:p>
        </w:tc>
        <w:tc>
          <w:tcPr>
            <w:tcW w:w="562" w:type="pct"/>
            <w:vMerge w:val="restart"/>
            <w:tcBorders>
              <w:tl2br w:val="nil"/>
              <w:tr2bl w:val="nil"/>
            </w:tcBorders>
            <w:vAlign w:val="center"/>
          </w:tcPr>
          <w:p w14:paraId="572BA235">
            <w:pPr>
              <w:widowControl/>
              <w:spacing w:line="240" w:lineRule="auto"/>
              <w:ind w:firstLine="0" w:firstLineChars="0"/>
              <w:jc w:val="center"/>
              <w:textAlignment w:val="center"/>
              <w:rPr>
                <w:color w:val="auto"/>
                <w:sz w:val="21"/>
                <w:szCs w:val="21"/>
              </w:rPr>
            </w:pPr>
            <w:r>
              <w:rPr>
                <w:color w:val="auto"/>
                <w:kern w:val="0"/>
                <w:sz w:val="21"/>
                <w:szCs w:val="21"/>
                <w:lang w:bidi="ar"/>
              </w:rPr>
              <w:t>15152.754</w:t>
            </w:r>
          </w:p>
        </w:tc>
        <w:tc>
          <w:tcPr>
            <w:tcW w:w="527" w:type="pct"/>
            <w:tcBorders>
              <w:tl2br w:val="nil"/>
              <w:tr2bl w:val="nil"/>
            </w:tcBorders>
            <w:vAlign w:val="center"/>
          </w:tcPr>
          <w:p w14:paraId="2E0EC658">
            <w:pPr>
              <w:widowControl/>
              <w:spacing w:line="240" w:lineRule="auto"/>
              <w:ind w:firstLine="0" w:firstLineChars="0"/>
              <w:jc w:val="center"/>
              <w:textAlignment w:val="center"/>
              <w:rPr>
                <w:color w:val="auto"/>
                <w:sz w:val="21"/>
                <w:szCs w:val="21"/>
              </w:rPr>
            </w:pPr>
            <w:r>
              <w:rPr>
                <w:color w:val="auto"/>
                <w:kern w:val="0"/>
                <w:sz w:val="21"/>
                <w:szCs w:val="21"/>
                <w:lang w:bidi="ar"/>
              </w:rPr>
              <w:t>COD</w:t>
            </w:r>
          </w:p>
        </w:tc>
        <w:tc>
          <w:tcPr>
            <w:tcW w:w="527" w:type="pct"/>
            <w:tcBorders>
              <w:tl2br w:val="nil"/>
              <w:tr2bl w:val="nil"/>
            </w:tcBorders>
            <w:vAlign w:val="center"/>
          </w:tcPr>
          <w:p w14:paraId="3C0D9AE4">
            <w:pPr>
              <w:widowControl/>
              <w:spacing w:line="240" w:lineRule="auto"/>
              <w:ind w:firstLine="0" w:firstLineChars="0"/>
              <w:jc w:val="center"/>
              <w:textAlignment w:val="center"/>
              <w:rPr>
                <w:color w:val="auto"/>
                <w:sz w:val="21"/>
                <w:szCs w:val="22"/>
              </w:rPr>
            </w:pPr>
            <w:r>
              <w:rPr>
                <w:color w:val="auto"/>
                <w:kern w:val="0"/>
                <w:sz w:val="21"/>
                <w:szCs w:val="22"/>
                <w:lang w:bidi="ar"/>
              </w:rPr>
              <w:t>100</w:t>
            </w:r>
          </w:p>
        </w:tc>
        <w:tc>
          <w:tcPr>
            <w:tcW w:w="527" w:type="pct"/>
            <w:tcBorders>
              <w:tl2br w:val="nil"/>
              <w:tr2bl w:val="nil"/>
            </w:tcBorders>
            <w:vAlign w:val="center"/>
          </w:tcPr>
          <w:p w14:paraId="0D5AEB74">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1.515 </w:t>
            </w:r>
          </w:p>
        </w:tc>
        <w:tc>
          <w:tcPr>
            <w:tcW w:w="600" w:type="pct"/>
            <w:vMerge w:val="continue"/>
            <w:tcBorders>
              <w:tl2br w:val="nil"/>
              <w:tr2bl w:val="nil"/>
            </w:tcBorders>
            <w:vAlign w:val="center"/>
          </w:tcPr>
          <w:p w14:paraId="0AF0A89E">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79D4B69A">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14B66B80">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6573EFD3">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582241F5">
            <w:pPr>
              <w:widowControl/>
              <w:spacing w:line="240" w:lineRule="auto"/>
              <w:ind w:firstLine="0" w:firstLineChars="0"/>
              <w:jc w:val="center"/>
              <w:rPr>
                <w:rFonts w:cs="宋体"/>
                <w:color w:val="auto"/>
                <w:sz w:val="21"/>
                <w:szCs w:val="21"/>
              </w:rPr>
            </w:pPr>
          </w:p>
        </w:tc>
      </w:tr>
      <w:tr w14:paraId="2ED260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36AAB740">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3966C715">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71CF6BF8">
            <w:pPr>
              <w:widowControl/>
              <w:spacing w:line="240" w:lineRule="auto"/>
              <w:ind w:firstLine="0" w:firstLineChars="0"/>
              <w:jc w:val="center"/>
              <w:textAlignment w:val="center"/>
              <w:rPr>
                <w:color w:val="auto"/>
                <w:sz w:val="21"/>
                <w:szCs w:val="21"/>
              </w:rPr>
            </w:pPr>
            <w:r>
              <w:rPr>
                <w:color w:val="auto"/>
                <w:kern w:val="0"/>
                <w:sz w:val="21"/>
                <w:szCs w:val="21"/>
                <w:lang w:bidi="ar"/>
              </w:rPr>
              <w:t>SS</w:t>
            </w:r>
          </w:p>
        </w:tc>
        <w:tc>
          <w:tcPr>
            <w:tcW w:w="527" w:type="pct"/>
            <w:tcBorders>
              <w:tl2br w:val="nil"/>
              <w:tr2bl w:val="nil"/>
            </w:tcBorders>
            <w:vAlign w:val="center"/>
          </w:tcPr>
          <w:p w14:paraId="4EDA7FD3">
            <w:pPr>
              <w:widowControl/>
              <w:spacing w:line="240" w:lineRule="auto"/>
              <w:ind w:firstLine="0" w:firstLineChars="0"/>
              <w:jc w:val="center"/>
              <w:textAlignment w:val="center"/>
              <w:rPr>
                <w:color w:val="auto"/>
                <w:sz w:val="21"/>
                <w:szCs w:val="22"/>
              </w:rPr>
            </w:pPr>
            <w:r>
              <w:rPr>
                <w:color w:val="auto"/>
                <w:kern w:val="0"/>
                <w:sz w:val="21"/>
                <w:szCs w:val="22"/>
                <w:lang w:bidi="ar"/>
              </w:rPr>
              <w:t>50</w:t>
            </w:r>
          </w:p>
        </w:tc>
        <w:tc>
          <w:tcPr>
            <w:tcW w:w="527" w:type="pct"/>
            <w:tcBorders>
              <w:tl2br w:val="nil"/>
              <w:tr2bl w:val="nil"/>
            </w:tcBorders>
            <w:vAlign w:val="center"/>
          </w:tcPr>
          <w:p w14:paraId="639B376B">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0.758 </w:t>
            </w:r>
          </w:p>
        </w:tc>
        <w:tc>
          <w:tcPr>
            <w:tcW w:w="600" w:type="pct"/>
            <w:vMerge w:val="continue"/>
            <w:tcBorders>
              <w:tl2br w:val="nil"/>
              <w:tr2bl w:val="nil"/>
            </w:tcBorders>
            <w:vAlign w:val="center"/>
          </w:tcPr>
          <w:p w14:paraId="00FCF3EE">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0D32A0D7">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527" w:type="pct"/>
            <w:tcBorders>
              <w:tl2br w:val="nil"/>
              <w:tr2bl w:val="nil"/>
            </w:tcBorders>
            <w:vAlign w:val="center"/>
          </w:tcPr>
          <w:p w14:paraId="356601F1">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vAlign w:val="center"/>
          </w:tcPr>
          <w:p w14:paraId="36AD1642">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vMerge w:val="continue"/>
            <w:tcBorders>
              <w:tl2br w:val="nil"/>
              <w:tr2bl w:val="nil"/>
            </w:tcBorders>
            <w:vAlign w:val="center"/>
          </w:tcPr>
          <w:p w14:paraId="34EF9232">
            <w:pPr>
              <w:widowControl/>
              <w:spacing w:line="240" w:lineRule="auto"/>
              <w:ind w:firstLine="0" w:firstLineChars="0"/>
              <w:jc w:val="center"/>
              <w:rPr>
                <w:rFonts w:cs="宋体"/>
                <w:color w:val="auto"/>
                <w:sz w:val="21"/>
                <w:szCs w:val="21"/>
              </w:rPr>
            </w:pPr>
          </w:p>
        </w:tc>
      </w:tr>
      <w:tr w14:paraId="5355F5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423" w:type="pct"/>
            <w:vMerge w:val="restart"/>
            <w:tcBorders>
              <w:tl2br w:val="nil"/>
              <w:tr2bl w:val="nil"/>
            </w:tcBorders>
            <w:vAlign w:val="center"/>
          </w:tcPr>
          <w:p w14:paraId="1FE14703">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综合废水</w:t>
            </w:r>
          </w:p>
        </w:tc>
        <w:tc>
          <w:tcPr>
            <w:tcW w:w="562" w:type="pct"/>
            <w:vMerge w:val="restart"/>
            <w:tcBorders>
              <w:tl2br w:val="nil"/>
              <w:tr2bl w:val="nil"/>
            </w:tcBorders>
            <w:vAlign w:val="center"/>
          </w:tcPr>
          <w:p w14:paraId="7B5076BC">
            <w:pPr>
              <w:widowControl/>
              <w:spacing w:line="240" w:lineRule="auto"/>
              <w:ind w:firstLine="0" w:firstLineChars="0"/>
              <w:jc w:val="center"/>
              <w:textAlignment w:val="center"/>
              <w:rPr>
                <w:color w:val="auto"/>
                <w:sz w:val="21"/>
                <w:szCs w:val="21"/>
              </w:rPr>
            </w:pPr>
            <w:r>
              <w:rPr>
                <w:color w:val="auto"/>
                <w:kern w:val="0"/>
                <w:sz w:val="21"/>
                <w:szCs w:val="21"/>
                <w:lang w:bidi="ar"/>
              </w:rPr>
              <w:t>16356.694</w:t>
            </w:r>
          </w:p>
        </w:tc>
        <w:tc>
          <w:tcPr>
            <w:tcW w:w="527" w:type="pct"/>
            <w:tcBorders>
              <w:tl2br w:val="nil"/>
              <w:tr2bl w:val="nil"/>
            </w:tcBorders>
            <w:vAlign w:val="center"/>
          </w:tcPr>
          <w:p w14:paraId="19EF53A6">
            <w:pPr>
              <w:widowControl/>
              <w:spacing w:line="240" w:lineRule="auto"/>
              <w:ind w:firstLine="0" w:firstLineChars="0"/>
              <w:jc w:val="center"/>
              <w:textAlignment w:val="center"/>
              <w:rPr>
                <w:color w:val="auto"/>
                <w:sz w:val="21"/>
                <w:szCs w:val="22"/>
              </w:rPr>
            </w:pPr>
            <w:r>
              <w:rPr>
                <w:color w:val="auto"/>
                <w:kern w:val="0"/>
                <w:sz w:val="21"/>
                <w:szCs w:val="22"/>
                <w:lang w:bidi="ar"/>
              </w:rPr>
              <w:t>COD</w:t>
            </w:r>
          </w:p>
        </w:tc>
        <w:tc>
          <w:tcPr>
            <w:tcW w:w="527" w:type="pct"/>
            <w:tcBorders>
              <w:tl2br w:val="nil"/>
              <w:tr2bl w:val="nil"/>
            </w:tcBorders>
            <w:vAlign w:val="center"/>
          </w:tcPr>
          <w:p w14:paraId="5175D173">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 xml:space="preserve">0.142 </w:t>
            </w:r>
          </w:p>
        </w:tc>
        <w:tc>
          <w:tcPr>
            <w:tcW w:w="527" w:type="pct"/>
            <w:tcBorders>
              <w:tl2br w:val="nil"/>
              <w:tr2bl w:val="nil"/>
            </w:tcBorders>
            <w:vAlign w:val="center"/>
          </w:tcPr>
          <w:p w14:paraId="3087A769">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 xml:space="preserve">0.002 </w:t>
            </w:r>
          </w:p>
        </w:tc>
        <w:tc>
          <w:tcPr>
            <w:tcW w:w="600" w:type="pct"/>
            <w:vMerge w:val="continue"/>
            <w:tcBorders>
              <w:tl2br w:val="nil"/>
              <w:tr2bl w:val="nil"/>
            </w:tcBorders>
            <w:vAlign w:val="center"/>
          </w:tcPr>
          <w:p w14:paraId="7715B038">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7B455B6F">
            <w:pPr>
              <w:widowControl/>
              <w:spacing w:line="240" w:lineRule="auto"/>
              <w:ind w:firstLine="0" w:firstLineChars="0"/>
              <w:jc w:val="center"/>
              <w:textAlignment w:val="center"/>
              <w:rPr>
                <w:color w:val="auto"/>
                <w:sz w:val="21"/>
                <w:szCs w:val="22"/>
              </w:rPr>
            </w:pPr>
            <w:r>
              <w:rPr>
                <w:color w:val="auto"/>
                <w:kern w:val="0"/>
                <w:sz w:val="21"/>
                <w:szCs w:val="22"/>
                <w:lang w:bidi="ar"/>
              </w:rPr>
              <w:t xml:space="preserve">0.100 </w:t>
            </w:r>
          </w:p>
        </w:tc>
        <w:tc>
          <w:tcPr>
            <w:tcW w:w="527" w:type="pct"/>
            <w:tcBorders>
              <w:tl2br w:val="nil"/>
              <w:tr2bl w:val="nil"/>
            </w:tcBorders>
            <w:vAlign w:val="center"/>
          </w:tcPr>
          <w:p w14:paraId="21A4FB0B">
            <w:pPr>
              <w:widowControl/>
              <w:spacing w:line="240" w:lineRule="auto"/>
              <w:ind w:firstLine="0" w:firstLineChars="0"/>
              <w:jc w:val="center"/>
              <w:textAlignment w:val="center"/>
              <w:rPr>
                <w:color w:val="auto"/>
                <w:sz w:val="21"/>
                <w:szCs w:val="22"/>
              </w:rPr>
            </w:pPr>
            <w:r>
              <w:rPr>
                <w:color w:val="auto"/>
                <w:kern w:val="0"/>
                <w:sz w:val="21"/>
                <w:szCs w:val="22"/>
                <w:lang w:bidi="ar"/>
              </w:rPr>
              <w:t xml:space="preserve">0.002 </w:t>
            </w:r>
          </w:p>
        </w:tc>
        <w:tc>
          <w:tcPr>
            <w:tcW w:w="424" w:type="pct"/>
            <w:tcBorders>
              <w:tl2br w:val="nil"/>
              <w:tr2bl w:val="nil"/>
            </w:tcBorders>
            <w:vAlign w:val="center"/>
          </w:tcPr>
          <w:p w14:paraId="065C7D9F">
            <w:pPr>
              <w:widowControl/>
              <w:spacing w:line="240" w:lineRule="auto"/>
              <w:ind w:firstLine="0" w:firstLineChars="0"/>
              <w:jc w:val="center"/>
              <w:textAlignment w:val="center"/>
              <w:rPr>
                <w:color w:val="auto"/>
                <w:sz w:val="21"/>
                <w:szCs w:val="21"/>
              </w:rPr>
            </w:pPr>
            <w:r>
              <w:rPr>
                <w:color w:val="auto"/>
                <w:kern w:val="0"/>
                <w:sz w:val="21"/>
                <w:szCs w:val="21"/>
                <w:lang w:bidi="ar"/>
              </w:rPr>
              <w:t>500</w:t>
            </w:r>
          </w:p>
        </w:tc>
        <w:tc>
          <w:tcPr>
            <w:tcW w:w="424" w:type="pct"/>
            <w:vMerge w:val="continue"/>
            <w:tcBorders>
              <w:tl2br w:val="nil"/>
              <w:tr2bl w:val="nil"/>
            </w:tcBorders>
            <w:vAlign w:val="center"/>
          </w:tcPr>
          <w:p w14:paraId="7F23E36F">
            <w:pPr>
              <w:widowControl/>
              <w:spacing w:line="240" w:lineRule="auto"/>
              <w:ind w:firstLine="0" w:firstLineChars="0"/>
              <w:jc w:val="center"/>
              <w:rPr>
                <w:rFonts w:cs="宋体"/>
                <w:color w:val="auto"/>
                <w:sz w:val="21"/>
                <w:szCs w:val="21"/>
              </w:rPr>
            </w:pPr>
          </w:p>
        </w:tc>
      </w:tr>
      <w:tr w14:paraId="7510A3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3821E6FF">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3F27A6AE">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7245FBD5">
            <w:pPr>
              <w:widowControl/>
              <w:spacing w:line="240" w:lineRule="auto"/>
              <w:ind w:firstLine="0" w:firstLineChars="0"/>
              <w:jc w:val="center"/>
              <w:textAlignment w:val="center"/>
              <w:rPr>
                <w:color w:val="auto"/>
                <w:sz w:val="21"/>
                <w:szCs w:val="22"/>
              </w:rPr>
            </w:pPr>
            <w:r>
              <w:rPr>
                <w:color w:val="auto"/>
                <w:kern w:val="0"/>
                <w:sz w:val="21"/>
                <w:szCs w:val="22"/>
                <w:lang w:bidi="ar"/>
              </w:rPr>
              <w:t>SS</w:t>
            </w:r>
          </w:p>
        </w:tc>
        <w:tc>
          <w:tcPr>
            <w:tcW w:w="527" w:type="pct"/>
            <w:tcBorders>
              <w:tl2br w:val="nil"/>
              <w:tr2bl w:val="nil"/>
            </w:tcBorders>
            <w:vAlign w:val="center"/>
          </w:tcPr>
          <w:p w14:paraId="324D61CB">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 xml:space="preserve">0.071 </w:t>
            </w:r>
          </w:p>
        </w:tc>
        <w:tc>
          <w:tcPr>
            <w:tcW w:w="527" w:type="pct"/>
            <w:tcBorders>
              <w:tl2br w:val="nil"/>
              <w:tr2bl w:val="nil"/>
            </w:tcBorders>
            <w:vAlign w:val="center"/>
          </w:tcPr>
          <w:p w14:paraId="05DD745A">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 xml:space="preserve">0.001 </w:t>
            </w:r>
          </w:p>
        </w:tc>
        <w:tc>
          <w:tcPr>
            <w:tcW w:w="600" w:type="pct"/>
            <w:vMerge w:val="continue"/>
            <w:tcBorders>
              <w:tl2br w:val="nil"/>
              <w:tr2bl w:val="nil"/>
            </w:tcBorders>
            <w:vAlign w:val="center"/>
          </w:tcPr>
          <w:p w14:paraId="136D00AC">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50845647">
            <w:pPr>
              <w:widowControl/>
              <w:spacing w:line="240" w:lineRule="auto"/>
              <w:ind w:firstLine="0" w:firstLineChars="0"/>
              <w:jc w:val="center"/>
              <w:textAlignment w:val="center"/>
              <w:rPr>
                <w:color w:val="auto"/>
                <w:sz w:val="21"/>
                <w:szCs w:val="22"/>
              </w:rPr>
            </w:pPr>
            <w:r>
              <w:rPr>
                <w:color w:val="auto"/>
                <w:kern w:val="0"/>
                <w:sz w:val="21"/>
                <w:szCs w:val="22"/>
                <w:lang w:bidi="ar"/>
              </w:rPr>
              <w:t xml:space="preserve">0.064 </w:t>
            </w:r>
          </w:p>
        </w:tc>
        <w:tc>
          <w:tcPr>
            <w:tcW w:w="527" w:type="pct"/>
            <w:tcBorders>
              <w:tl2br w:val="nil"/>
              <w:tr2bl w:val="nil"/>
            </w:tcBorders>
            <w:vAlign w:val="center"/>
          </w:tcPr>
          <w:p w14:paraId="139FE91E">
            <w:pPr>
              <w:widowControl/>
              <w:spacing w:line="240" w:lineRule="auto"/>
              <w:ind w:firstLine="0" w:firstLineChars="0"/>
              <w:jc w:val="center"/>
              <w:textAlignment w:val="center"/>
              <w:rPr>
                <w:color w:val="auto"/>
                <w:sz w:val="21"/>
                <w:szCs w:val="22"/>
              </w:rPr>
            </w:pPr>
            <w:r>
              <w:rPr>
                <w:color w:val="auto"/>
                <w:kern w:val="0"/>
                <w:sz w:val="21"/>
                <w:szCs w:val="22"/>
                <w:lang w:bidi="ar"/>
              </w:rPr>
              <w:t xml:space="preserve">0.0010 </w:t>
            </w:r>
          </w:p>
        </w:tc>
        <w:tc>
          <w:tcPr>
            <w:tcW w:w="424" w:type="pct"/>
            <w:tcBorders>
              <w:tl2br w:val="nil"/>
              <w:tr2bl w:val="nil"/>
            </w:tcBorders>
            <w:vAlign w:val="center"/>
          </w:tcPr>
          <w:p w14:paraId="1FF66536">
            <w:pPr>
              <w:widowControl/>
              <w:spacing w:line="240" w:lineRule="auto"/>
              <w:ind w:firstLine="0" w:firstLineChars="0"/>
              <w:jc w:val="center"/>
              <w:textAlignment w:val="center"/>
              <w:rPr>
                <w:color w:val="auto"/>
                <w:sz w:val="21"/>
                <w:szCs w:val="21"/>
              </w:rPr>
            </w:pPr>
            <w:r>
              <w:rPr>
                <w:color w:val="auto"/>
                <w:kern w:val="0"/>
                <w:sz w:val="21"/>
                <w:szCs w:val="21"/>
                <w:lang w:bidi="ar"/>
              </w:rPr>
              <w:t>100</w:t>
            </w:r>
          </w:p>
        </w:tc>
        <w:tc>
          <w:tcPr>
            <w:tcW w:w="424" w:type="pct"/>
            <w:vMerge w:val="continue"/>
            <w:tcBorders>
              <w:tl2br w:val="nil"/>
              <w:tr2bl w:val="nil"/>
            </w:tcBorders>
            <w:vAlign w:val="center"/>
          </w:tcPr>
          <w:p w14:paraId="42FA4847">
            <w:pPr>
              <w:widowControl/>
              <w:spacing w:line="240" w:lineRule="auto"/>
              <w:ind w:firstLine="0" w:firstLineChars="0"/>
              <w:jc w:val="center"/>
              <w:rPr>
                <w:rFonts w:cs="宋体"/>
                <w:color w:val="auto"/>
                <w:sz w:val="21"/>
                <w:szCs w:val="21"/>
              </w:rPr>
            </w:pPr>
          </w:p>
        </w:tc>
      </w:tr>
      <w:tr w14:paraId="794808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34AF4071">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3C0F9AED">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73B1198C">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氨氮</w:t>
            </w:r>
          </w:p>
        </w:tc>
        <w:tc>
          <w:tcPr>
            <w:tcW w:w="527" w:type="pct"/>
            <w:tcBorders>
              <w:tl2br w:val="nil"/>
              <w:tr2bl w:val="nil"/>
            </w:tcBorders>
            <w:vAlign w:val="center"/>
          </w:tcPr>
          <w:p w14:paraId="4ABDBABA">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 xml:space="preserve">0.006 </w:t>
            </w:r>
          </w:p>
        </w:tc>
        <w:tc>
          <w:tcPr>
            <w:tcW w:w="527" w:type="pct"/>
            <w:tcBorders>
              <w:tl2br w:val="nil"/>
              <w:tr2bl w:val="nil"/>
            </w:tcBorders>
            <w:vAlign w:val="center"/>
          </w:tcPr>
          <w:p w14:paraId="496C65E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9.00E-05</w:t>
            </w:r>
          </w:p>
        </w:tc>
        <w:tc>
          <w:tcPr>
            <w:tcW w:w="600" w:type="pct"/>
            <w:vMerge w:val="continue"/>
            <w:tcBorders>
              <w:tl2br w:val="nil"/>
              <w:tr2bl w:val="nil"/>
            </w:tcBorders>
            <w:vAlign w:val="center"/>
          </w:tcPr>
          <w:p w14:paraId="4972C4A7">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0E5667B8">
            <w:pPr>
              <w:widowControl/>
              <w:spacing w:line="240" w:lineRule="auto"/>
              <w:ind w:firstLine="0" w:firstLineChars="0"/>
              <w:jc w:val="center"/>
              <w:textAlignment w:val="center"/>
              <w:rPr>
                <w:color w:val="auto"/>
                <w:sz w:val="21"/>
                <w:szCs w:val="22"/>
              </w:rPr>
            </w:pPr>
            <w:r>
              <w:rPr>
                <w:color w:val="auto"/>
                <w:kern w:val="0"/>
                <w:sz w:val="21"/>
                <w:szCs w:val="22"/>
                <w:lang w:bidi="ar"/>
              </w:rPr>
              <w:t xml:space="preserve">0.006 </w:t>
            </w:r>
          </w:p>
        </w:tc>
        <w:tc>
          <w:tcPr>
            <w:tcW w:w="527" w:type="pct"/>
            <w:tcBorders>
              <w:tl2br w:val="nil"/>
              <w:tr2bl w:val="nil"/>
            </w:tcBorders>
            <w:vAlign w:val="center"/>
          </w:tcPr>
          <w:p w14:paraId="57336917">
            <w:pPr>
              <w:widowControl/>
              <w:spacing w:line="240" w:lineRule="auto"/>
              <w:ind w:firstLine="0" w:firstLineChars="0"/>
              <w:jc w:val="center"/>
              <w:textAlignment w:val="center"/>
              <w:rPr>
                <w:color w:val="auto"/>
                <w:sz w:val="21"/>
                <w:szCs w:val="22"/>
              </w:rPr>
            </w:pPr>
            <w:r>
              <w:rPr>
                <w:color w:val="auto"/>
                <w:kern w:val="0"/>
                <w:sz w:val="21"/>
                <w:szCs w:val="22"/>
                <w:lang w:bidi="ar"/>
              </w:rPr>
              <w:t>9.00E-05</w:t>
            </w:r>
          </w:p>
        </w:tc>
        <w:tc>
          <w:tcPr>
            <w:tcW w:w="424" w:type="pct"/>
            <w:tcBorders>
              <w:tl2br w:val="nil"/>
              <w:tr2bl w:val="nil"/>
            </w:tcBorders>
            <w:vAlign w:val="center"/>
          </w:tcPr>
          <w:p w14:paraId="6260A237">
            <w:pPr>
              <w:widowControl/>
              <w:spacing w:line="240" w:lineRule="auto"/>
              <w:ind w:firstLine="0" w:firstLineChars="0"/>
              <w:jc w:val="center"/>
              <w:textAlignment w:val="center"/>
              <w:rPr>
                <w:color w:val="auto"/>
                <w:sz w:val="21"/>
                <w:szCs w:val="21"/>
              </w:rPr>
            </w:pPr>
            <w:r>
              <w:rPr>
                <w:color w:val="auto"/>
                <w:kern w:val="0"/>
                <w:sz w:val="21"/>
                <w:szCs w:val="21"/>
                <w:lang w:bidi="ar"/>
              </w:rPr>
              <w:t>40</w:t>
            </w:r>
          </w:p>
        </w:tc>
        <w:tc>
          <w:tcPr>
            <w:tcW w:w="424" w:type="pct"/>
            <w:vMerge w:val="continue"/>
            <w:tcBorders>
              <w:tl2br w:val="nil"/>
              <w:tr2bl w:val="nil"/>
            </w:tcBorders>
            <w:vAlign w:val="center"/>
          </w:tcPr>
          <w:p w14:paraId="0DEA3C73">
            <w:pPr>
              <w:widowControl/>
              <w:spacing w:line="240" w:lineRule="auto"/>
              <w:ind w:firstLine="0" w:firstLineChars="0"/>
              <w:jc w:val="center"/>
              <w:rPr>
                <w:rFonts w:cs="宋体"/>
                <w:color w:val="auto"/>
                <w:sz w:val="21"/>
                <w:szCs w:val="21"/>
              </w:rPr>
            </w:pPr>
          </w:p>
        </w:tc>
      </w:tr>
      <w:tr w14:paraId="001F3E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1251258E">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091630A1">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737CAFCF">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总磷</w:t>
            </w:r>
          </w:p>
        </w:tc>
        <w:tc>
          <w:tcPr>
            <w:tcW w:w="527" w:type="pct"/>
            <w:tcBorders>
              <w:tl2br w:val="nil"/>
              <w:tr2bl w:val="nil"/>
            </w:tcBorders>
            <w:vAlign w:val="center"/>
          </w:tcPr>
          <w:p w14:paraId="6DB35C05">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 xml:space="preserve">0.0015 </w:t>
            </w:r>
          </w:p>
        </w:tc>
        <w:tc>
          <w:tcPr>
            <w:tcW w:w="527" w:type="pct"/>
            <w:tcBorders>
              <w:tl2br w:val="nil"/>
              <w:tr2bl w:val="nil"/>
            </w:tcBorders>
            <w:vAlign w:val="center"/>
          </w:tcPr>
          <w:p w14:paraId="3EE9C2A9">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2.40E-05</w:t>
            </w:r>
          </w:p>
        </w:tc>
        <w:tc>
          <w:tcPr>
            <w:tcW w:w="600" w:type="pct"/>
            <w:vMerge w:val="continue"/>
            <w:tcBorders>
              <w:tl2br w:val="nil"/>
              <w:tr2bl w:val="nil"/>
            </w:tcBorders>
            <w:vAlign w:val="center"/>
          </w:tcPr>
          <w:p w14:paraId="7FB6A2B9">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7745753E">
            <w:pPr>
              <w:widowControl/>
              <w:spacing w:line="240" w:lineRule="auto"/>
              <w:ind w:firstLine="0" w:firstLineChars="0"/>
              <w:jc w:val="center"/>
              <w:textAlignment w:val="center"/>
              <w:rPr>
                <w:color w:val="auto"/>
                <w:sz w:val="21"/>
                <w:szCs w:val="22"/>
              </w:rPr>
            </w:pPr>
            <w:r>
              <w:rPr>
                <w:color w:val="auto"/>
                <w:kern w:val="0"/>
                <w:sz w:val="21"/>
                <w:szCs w:val="22"/>
                <w:lang w:bidi="ar"/>
              </w:rPr>
              <w:t xml:space="preserve">0.0015 </w:t>
            </w:r>
          </w:p>
        </w:tc>
        <w:tc>
          <w:tcPr>
            <w:tcW w:w="527" w:type="pct"/>
            <w:tcBorders>
              <w:tl2br w:val="nil"/>
              <w:tr2bl w:val="nil"/>
            </w:tcBorders>
            <w:vAlign w:val="center"/>
          </w:tcPr>
          <w:p w14:paraId="71ED7BCB">
            <w:pPr>
              <w:widowControl/>
              <w:spacing w:line="240" w:lineRule="auto"/>
              <w:ind w:firstLine="0" w:firstLineChars="0"/>
              <w:jc w:val="center"/>
              <w:textAlignment w:val="center"/>
              <w:rPr>
                <w:color w:val="auto"/>
                <w:sz w:val="21"/>
                <w:szCs w:val="22"/>
              </w:rPr>
            </w:pPr>
            <w:r>
              <w:rPr>
                <w:color w:val="auto"/>
                <w:kern w:val="0"/>
                <w:sz w:val="21"/>
                <w:szCs w:val="22"/>
                <w:lang w:bidi="ar"/>
              </w:rPr>
              <w:t>2.40E-05</w:t>
            </w:r>
          </w:p>
        </w:tc>
        <w:tc>
          <w:tcPr>
            <w:tcW w:w="424" w:type="pct"/>
            <w:tcBorders>
              <w:tl2br w:val="nil"/>
              <w:tr2bl w:val="nil"/>
            </w:tcBorders>
            <w:vAlign w:val="center"/>
          </w:tcPr>
          <w:p w14:paraId="4A832218">
            <w:pPr>
              <w:widowControl/>
              <w:spacing w:line="240" w:lineRule="auto"/>
              <w:ind w:firstLine="0" w:firstLineChars="0"/>
              <w:jc w:val="center"/>
              <w:textAlignment w:val="center"/>
              <w:rPr>
                <w:color w:val="auto"/>
                <w:sz w:val="21"/>
                <w:szCs w:val="21"/>
              </w:rPr>
            </w:pPr>
            <w:r>
              <w:rPr>
                <w:color w:val="auto"/>
                <w:kern w:val="0"/>
                <w:sz w:val="21"/>
                <w:szCs w:val="21"/>
                <w:lang w:bidi="ar"/>
              </w:rPr>
              <w:t>3</w:t>
            </w:r>
          </w:p>
        </w:tc>
        <w:tc>
          <w:tcPr>
            <w:tcW w:w="424" w:type="pct"/>
            <w:vMerge w:val="continue"/>
            <w:tcBorders>
              <w:tl2br w:val="nil"/>
              <w:tr2bl w:val="nil"/>
            </w:tcBorders>
            <w:vAlign w:val="center"/>
          </w:tcPr>
          <w:p w14:paraId="50A68C79">
            <w:pPr>
              <w:widowControl/>
              <w:spacing w:line="240" w:lineRule="auto"/>
              <w:ind w:firstLine="0" w:firstLineChars="0"/>
              <w:jc w:val="center"/>
              <w:rPr>
                <w:rFonts w:cs="宋体"/>
                <w:color w:val="auto"/>
                <w:sz w:val="21"/>
                <w:szCs w:val="21"/>
              </w:rPr>
            </w:pPr>
          </w:p>
        </w:tc>
      </w:tr>
      <w:tr w14:paraId="5E50AA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4F1C3C40">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612FDD6F">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52E64083">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总氮</w:t>
            </w:r>
          </w:p>
        </w:tc>
        <w:tc>
          <w:tcPr>
            <w:tcW w:w="527" w:type="pct"/>
            <w:tcBorders>
              <w:tl2br w:val="nil"/>
              <w:tr2bl w:val="nil"/>
            </w:tcBorders>
            <w:vAlign w:val="center"/>
          </w:tcPr>
          <w:p w14:paraId="19F07886">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 xml:space="preserve">0.008 </w:t>
            </w:r>
          </w:p>
        </w:tc>
        <w:tc>
          <w:tcPr>
            <w:tcW w:w="527" w:type="pct"/>
            <w:tcBorders>
              <w:tl2br w:val="nil"/>
              <w:tr2bl w:val="nil"/>
            </w:tcBorders>
            <w:noWrap/>
            <w:vAlign w:val="center"/>
          </w:tcPr>
          <w:p w14:paraId="546DF768">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1.35E-04</w:t>
            </w:r>
          </w:p>
        </w:tc>
        <w:tc>
          <w:tcPr>
            <w:tcW w:w="600" w:type="pct"/>
            <w:vMerge w:val="continue"/>
            <w:tcBorders>
              <w:tl2br w:val="nil"/>
              <w:tr2bl w:val="nil"/>
            </w:tcBorders>
            <w:vAlign w:val="center"/>
          </w:tcPr>
          <w:p w14:paraId="2A7F2CF8">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631B102C">
            <w:pPr>
              <w:widowControl/>
              <w:spacing w:line="240" w:lineRule="auto"/>
              <w:ind w:firstLine="0" w:firstLineChars="0"/>
              <w:jc w:val="center"/>
              <w:textAlignment w:val="center"/>
              <w:rPr>
                <w:color w:val="auto"/>
                <w:sz w:val="21"/>
                <w:szCs w:val="22"/>
              </w:rPr>
            </w:pPr>
            <w:r>
              <w:rPr>
                <w:color w:val="auto"/>
                <w:kern w:val="0"/>
                <w:sz w:val="21"/>
                <w:szCs w:val="22"/>
                <w:lang w:bidi="ar"/>
              </w:rPr>
              <w:t xml:space="preserve">0.008 </w:t>
            </w:r>
          </w:p>
        </w:tc>
        <w:tc>
          <w:tcPr>
            <w:tcW w:w="527" w:type="pct"/>
            <w:tcBorders>
              <w:tl2br w:val="nil"/>
              <w:tr2bl w:val="nil"/>
            </w:tcBorders>
            <w:vAlign w:val="center"/>
          </w:tcPr>
          <w:p w14:paraId="417BEDA8">
            <w:pPr>
              <w:widowControl/>
              <w:spacing w:line="240" w:lineRule="auto"/>
              <w:ind w:firstLine="0" w:firstLineChars="0"/>
              <w:jc w:val="center"/>
              <w:textAlignment w:val="center"/>
              <w:rPr>
                <w:color w:val="auto"/>
                <w:sz w:val="21"/>
                <w:szCs w:val="22"/>
              </w:rPr>
            </w:pPr>
            <w:r>
              <w:rPr>
                <w:color w:val="auto"/>
                <w:kern w:val="0"/>
                <w:sz w:val="21"/>
                <w:szCs w:val="22"/>
                <w:lang w:bidi="ar"/>
              </w:rPr>
              <w:t>1.35E-04</w:t>
            </w:r>
          </w:p>
        </w:tc>
        <w:tc>
          <w:tcPr>
            <w:tcW w:w="424" w:type="pct"/>
            <w:tcBorders>
              <w:tl2br w:val="nil"/>
              <w:tr2bl w:val="nil"/>
            </w:tcBorders>
            <w:vAlign w:val="center"/>
          </w:tcPr>
          <w:p w14:paraId="741A29A9">
            <w:pPr>
              <w:widowControl/>
              <w:spacing w:line="240" w:lineRule="auto"/>
              <w:ind w:firstLine="0" w:firstLineChars="0"/>
              <w:jc w:val="center"/>
              <w:textAlignment w:val="center"/>
              <w:rPr>
                <w:color w:val="auto"/>
                <w:sz w:val="21"/>
                <w:szCs w:val="21"/>
              </w:rPr>
            </w:pPr>
            <w:r>
              <w:rPr>
                <w:color w:val="auto"/>
                <w:kern w:val="0"/>
                <w:sz w:val="21"/>
                <w:szCs w:val="21"/>
                <w:lang w:bidi="ar"/>
              </w:rPr>
              <w:t>45</w:t>
            </w:r>
          </w:p>
        </w:tc>
        <w:tc>
          <w:tcPr>
            <w:tcW w:w="424" w:type="pct"/>
            <w:vMerge w:val="continue"/>
            <w:tcBorders>
              <w:tl2br w:val="nil"/>
              <w:tr2bl w:val="nil"/>
            </w:tcBorders>
            <w:vAlign w:val="center"/>
          </w:tcPr>
          <w:p w14:paraId="52B2B754">
            <w:pPr>
              <w:widowControl/>
              <w:spacing w:line="240" w:lineRule="auto"/>
              <w:ind w:firstLine="0" w:firstLineChars="0"/>
              <w:jc w:val="center"/>
              <w:rPr>
                <w:rFonts w:cs="宋体"/>
                <w:color w:val="auto"/>
                <w:sz w:val="21"/>
                <w:szCs w:val="21"/>
              </w:rPr>
            </w:pPr>
          </w:p>
        </w:tc>
      </w:tr>
      <w:tr w14:paraId="2A8AAE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3" w:type="pct"/>
            <w:vMerge w:val="continue"/>
            <w:tcBorders>
              <w:tl2br w:val="nil"/>
              <w:tr2bl w:val="nil"/>
            </w:tcBorders>
            <w:vAlign w:val="center"/>
          </w:tcPr>
          <w:p w14:paraId="43914165">
            <w:pPr>
              <w:widowControl/>
              <w:spacing w:line="240" w:lineRule="auto"/>
              <w:ind w:firstLine="0" w:firstLineChars="0"/>
              <w:jc w:val="center"/>
              <w:rPr>
                <w:rFonts w:cs="宋体"/>
                <w:color w:val="auto"/>
                <w:sz w:val="21"/>
                <w:szCs w:val="21"/>
              </w:rPr>
            </w:pPr>
          </w:p>
        </w:tc>
        <w:tc>
          <w:tcPr>
            <w:tcW w:w="562" w:type="pct"/>
            <w:vMerge w:val="continue"/>
            <w:tcBorders>
              <w:tl2br w:val="nil"/>
              <w:tr2bl w:val="nil"/>
            </w:tcBorders>
            <w:vAlign w:val="center"/>
          </w:tcPr>
          <w:p w14:paraId="70ECB631">
            <w:pPr>
              <w:widowControl/>
              <w:spacing w:line="240" w:lineRule="auto"/>
              <w:ind w:firstLine="0" w:firstLineChars="0"/>
              <w:jc w:val="center"/>
              <w:rPr>
                <w:color w:val="auto"/>
                <w:sz w:val="21"/>
                <w:szCs w:val="21"/>
              </w:rPr>
            </w:pPr>
          </w:p>
        </w:tc>
        <w:tc>
          <w:tcPr>
            <w:tcW w:w="527" w:type="pct"/>
            <w:tcBorders>
              <w:tl2br w:val="nil"/>
              <w:tr2bl w:val="nil"/>
            </w:tcBorders>
            <w:vAlign w:val="center"/>
          </w:tcPr>
          <w:p w14:paraId="5CE565BB">
            <w:pPr>
              <w:widowControl/>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石油类</w:t>
            </w:r>
          </w:p>
        </w:tc>
        <w:tc>
          <w:tcPr>
            <w:tcW w:w="527" w:type="pct"/>
            <w:tcBorders>
              <w:tl2br w:val="nil"/>
              <w:tr2bl w:val="nil"/>
            </w:tcBorders>
            <w:vAlign w:val="center"/>
          </w:tcPr>
          <w:p w14:paraId="57A160E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 xml:space="preserve">0.0009 </w:t>
            </w:r>
          </w:p>
        </w:tc>
        <w:tc>
          <w:tcPr>
            <w:tcW w:w="527" w:type="pct"/>
            <w:tcBorders>
              <w:tl2br w:val="nil"/>
              <w:tr2bl w:val="nil"/>
            </w:tcBorders>
            <w:noWrap/>
            <w:vAlign w:val="center"/>
          </w:tcPr>
          <w:p w14:paraId="6967197D">
            <w:pPr>
              <w:widowControl/>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1.41E-05</w:t>
            </w:r>
          </w:p>
        </w:tc>
        <w:tc>
          <w:tcPr>
            <w:tcW w:w="600" w:type="pct"/>
            <w:vMerge w:val="continue"/>
            <w:tcBorders>
              <w:tl2br w:val="nil"/>
              <w:tr2bl w:val="nil"/>
            </w:tcBorders>
            <w:vAlign w:val="center"/>
          </w:tcPr>
          <w:p w14:paraId="1C8D8265">
            <w:pPr>
              <w:widowControl/>
              <w:spacing w:line="240" w:lineRule="auto"/>
              <w:ind w:firstLine="0" w:firstLineChars="0"/>
              <w:jc w:val="center"/>
              <w:rPr>
                <w:rFonts w:cs="宋体"/>
                <w:color w:val="auto"/>
                <w:sz w:val="21"/>
                <w:szCs w:val="21"/>
              </w:rPr>
            </w:pPr>
          </w:p>
        </w:tc>
        <w:tc>
          <w:tcPr>
            <w:tcW w:w="454" w:type="pct"/>
            <w:tcBorders>
              <w:tl2br w:val="nil"/>
              <w:tr2bl w:val="nil"/>
            </w:tcBorders>
            <w:vAlign w:val="center"/>
          </w:tcPr>
          <w:p w14:paraId="254F8C83">
            <w:pPr>
              <w:widowControl/>
              <w:spacing w:line="240" w:lineRule="auto"/>
              <w:ind w:firstLine="0" w:firstLineChars="0"/>
              <w:jc w:val="center"/>
              <w:textAlignment w:val="center"/>
              <w:rPr>
                <w:color w:val="auto"/>
                <w:sz w:val="21"/>
                <w:szCs w:val="22"/>
              </w:rPr>
            </w:pPr>
            <w:r>
              <w:rPr>
                <w:color w:val="auto"/>
                <w:kern w:val="0"/>
                <w:sz w:val="21"/>
                <w:szCs w:val="22"/>
                <w:lang w:bidi="ar"/>
              </w:rPr>
              <w:t xml:space="preserve">0.0009 </w:t>
            </w:r>
          </w:p>
        </w:tc>
        <w:tc>
          <w:tcPr>
            <w:tcW w:w="527" w:type="pct"/>
            <w:tcBorders>
              <w:tl2br w:val="nil"/>
              <w:tr2bl w:val="nil"/>
            </w:tcBorders>
            <w:vAlign w:val="center"/>
          </w:tcPr>
          <w:p w14:paraId="4CAFE906">
            <w:pPr>
              <w:widowControl/>
              <w:spacing w:line="240" w:lineRule="auto"/>
              <w:ind w:firstLine="0" w:firstLineChars="0"/>
              <w:jc w:val="center"/>
              <w:textAlignment w:val="center"/>
              <w:rPr>
                <w:color w:val="auto"/>
                <w:sz w:val="21"/>
                <w:szCs w:val="22"/>
              </w:rPr>
            </w:pPr>
            <w:r>
              <w:rPr>
                <w:color w:val="auto"/>
                <w:kern w:val="0"/>
                <w:sz w:val="21"/>
                <w:szCs w:val="22"/>
                <w:lang w:bidi="ar"/>
              </w:rPr>
              <w:t>1.41E-05</w:t>
            </w:r>
          </w:p>
        </w:tc>
        <w:tc>
          <w:tcPr>
            <w:tcW w:w="424" w:type="pct"/>
            <w:tcBorders>
              <w:tl2br w:val="nil"/>
              <w:tr2bl w:val="nil"/>
            </w:tcBorders>
            <w:vAlign w:val="center"/>
          </w:tcPr>
          <w:p w14:paraId="72AF8D86">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424" w:type="pct"/>
            <w:vMerge w:val="continue"/>
            <w:tcBorders>
              <w:tl2br w:val="nil"/>
              <w:tr2bl w:val="nil"/>
            </w:tcBorders>
            <w:vAlign w:val="center"/>
          </w:tcPr>
          <w:p w14:paraId="0DCC7A3B">
            <w:pPr>
              <w:widowControl/>
              <w:spacing w:line="240" w:lineRule="auto"/>
              <w:ind w:firstLine="0" w:firstLineChars="0"/>
              <w:jc w:val="center"/>
              <w:rPr>
                <w:rFonts w:cs="宋体"/>
                <w:color w:val="auto"/>
                <w:sz w:val="21"/>
                <w:szCs w:val="21"/>
              </w:rPr>
            </w:pPr>
          </w:p>
        </w:tc>
      </w:tr>
    </w:tbl>
    <w:p w14:paraId="1EA6BFBC">
      <w:pPr>
        <w:pStyle w:val="49"/>
        <w:jc w:val="left"/>
        <w:rPr>
          <w:color w:val="auto"/>
        </w:rPr>
      </w:pPr>
      <w:r>
        <w:rPr>
          <w:rFonts w:hint="eastAsia" w:hAnsi="宋体"/>
          <w:bCs/>
          <w:color w:val="auto"/>
          <w:sz w:val="21"/>
        </w:rPr>
        <w:t>注：拟建生产设备和废气处理设施均依托厂区1#和2#车间现有设备和现有喷淋塔等处理设施，车间地面冲洗废水、设备冲洗废水、真空泵排水、废气处理废水和初期雨水在现有项目环评中均已核算，此处不再赘述。</w:t>
      </w:r>
    </w:p>
    <w:p w14:paraId="6621BBD8">
      <w:pPr>
        <w:pStyle w:val="49"/>
        <w:rPr>
          <w:color w:val="auto"/>
        </w:rPr>
        <w:sectPr>
          <w:pgSz w:w="11906" w:h="16838"/>
          <w:pgMar w:top="1134" w:right="1134" w:bottom="1134" w:left="1134" w:header="851" w:footer="992" w:gutter="0"/>
          <w:cols w:space="425" w:num="1"/>
          <w:docGrid w:type="lines" w:linePitch="312" w:charSpace="0"/>
        </w:sectPr>
      </w:pPr>
    </w:p>
    <w:p w14:paraId="51B4E772">
      <w:pPr>
        <w:pStyle w:val="4"/>
        <w:rPr>
          <w:color w:val="auto"/>
        </w:rPr>
      </w:pPr>
      <w:bookmarkStart w:id="145" w:name="_Toc24059"/>
      <w:r>
        <w:rPr>
          <w:color w:val="auto"/>
        </w:rPr>
        <w:t>4.</w:t>
      </w:r>
      <w:r>
        <w:rPr>
          <w:rFonts w:hint="eastAsia"/>
          <w:color w:val="auto"/>
        </w:rPr>
        <w:t>6</w:t>
      </w:r>
      <w:r>
        <w:rPr>
          <w:color w:val="auto"/>
        </w:rPr>
        <w:t>.2废气</w:t>
      </w:r>
      <w:bookmarkEnd w:id="145"/>
    </w:p>
    <w:p w14:paraId="7812A069">
      <w:pPr>
        <w:pStyle w:val="5"/>
        <w:tabs>
          <w:tab w:val="left" w:pos="2145"/>
        </w:tabs>
        <w:spacing w:before="156" w:line="500" w:lineRule="atLeast"/>
        <w:rPr>
          <w:color w:val="auto"/>
        </w:rPr>
      </w:pPr>
      <w:r>
        <w:rPr>
          <w:rFonts w:hint="eastAsia"/>
          <w:color w:val="auto"/>
        </w:rPr>
        <w:t>4.6.2.1</w:t>
      </w:r>
      <w:r>
        <w:rPr>
          <w:color w:val="auto"/>
        </w:rPr>
        <w:t>有组织废气</w:t>
      </w:r>
    </w:p>
    <w:p w14:paraId="7FFBCFB4">
      <w:pPr>
        <w:pStyle w:val="7"/>
        <w:ind w:firstLine="482"/>
        <w:rPr>
          <w:b/>
          <w:bCs/>
          <w:color w:val="auto"/>
          <w:kern w:val="0"/>
          <w:szCs w:val="20"/>
        </w:rPr>
      </w:pPr>
      <w:r>
        <w:rPr>
          <w:rFonts w:hint="eastAsia"/>
          <w:b/>
          <w:bCs/>
          <w:color w:val="auto"/>
          <w:kern w:val="0"/>
          <w:szCs w:val="20"/>
        </w:rPr>
        <w:t>工艺废气</w:t>
      </w:r>
    </w:p>
    <w:p w14:paraId="47C93FDF">
      <w:pPr>
        <w:ind w:firstLine="480"/>
        <w:rPr>
          <w:rFonts w:hint="eastAsia" w:hAnsi="宋体"/>
          <w:color w:val="auto"/>
        </w:rPr>
        <w:sectPr>
          <w:pgSz w:w="11906" w:h="16838"/>
          <w:pgMar w:top="1134" w:right="1134" w:bottom="1134" w:left="1134" w:header="851" w:footer="992" w:gutter="0"/>
          <w:cols w:space="425" w:num="1"/>
          <w:docGrid w:type="lines" w:linePitch="312" w:charSpace="0"/>
        </w:sectPr>
      </w:pPr>
      <w:r>
        <w:rPr>
          <w:rFonts w:hAnsi="宋体"/>
          <w:color w:val="auto"/>
        </w:rPr>
        <w:t>拟建项目工艺过程中产生的废气采用物料衡算法核算，物料衡算中涉及原料用量、废气风量等数据均由建设单位、设计单位提供。拟建项目有组织工艺废气主要包括生产过程中产生的</w:t>
      </w:r>
      <w:r>
        <w:rPr>
          <w:rFonts w:hint="eastAsia" w:hAnsi="宋体"/>
          <w:color w:val="auto"/>
        </w:rPr>
        <w:t>二氧化硫、</w:t>
      </w:r>
      <w:r>
        <w:rPr>
          <w:rFonts w:hAnsi="宋体"/>
          <w:color w:val="auto"/>
        </w:rPr>
        <w:t>颗粒物</w:t>
      </w:r>
      <w:r>
        <w:rPr>
          <w:rFonts w:hint="eastAsia" w:hAnsi="宋体"/>
          <w:color w:val="auto"/>
        </w:rPr>
        <w:t>和氨</w:t>
      </w:r>
      <w:r>
        <w:rPr>
          <w:rFonts w:hAnsi="宋体"/>
          <w:color w:val="auto"/>
        </w:rPr>
        <w:t>。各股废气收集处理和排放情况，详见下表。</w:t>
      </w:r>
    </w:p>
    <w:p w14:paraId="30E339B3">
      <w:pPr>
        <w:pStyle w:val="49"/>
        <w:rPr>
          <w:color w:val="auto"/>
        </w:rPr>
      </w:pPr>
      <w:r>
        <w:rPr>
          <w:color w:val="auto"/>
        </w:rPr>
        <w:t>表4.</w:t>
      </w:r>
      <w:r>
        <w:rPr>
          <w:rFonts w:hint="eastAsia"/>
          <w:color w:val="auto"/>
        </w:rPr>
        <w:t>6</w:t>
      </w:r>
      <w:r>
        <w:rPr>
          <w:color w:val="auto"/>
        </w:rPr>
        <w:t>-</w:t>
      </w:r>
      <w:r>
        <w:rPr>
          <w:rFonts w:hint="eastAsia"/>
          <w:color w:val="auto"/>
        </w:rPr>
        <w:t>1</w:t>
      </w:r>
      <w:r>
        <w:rPr>
          <w:color w:val="auto"/>
        </w:rPr>
        <w:t xml:space="preserve"> </w:t>
      </w:r>
      <w:r>
        <w:rPr>
          <w:rFonts w:hint="eastAsia"/>
          <w:color w:val="auto"/>
        </w:rPr>
        <w:t xml:space="preserve"> </w:t>
      </w:r>
      <w:r>
        <w:rPr>
          <w:color w:val="auto"/>
        </w:rPr>
        <w:t>拟建项目各产品生产废气污染物产生情况</w:t>
      </w:r>
    </w:p>
    <w:tbl>
      <w:tblPr>
        <w:tblStyle w:val="24"/>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27"/>
        <w:gridCol w:w="1090"/>
        <w:gridCol w:w="1317"/>
        <w:gridCol w:w="1787"/>
        <w:gridCol w:w="1994"/>
        <w:gridCol w:w="1660"/>
        <w:gridCol w:w="2106"/>
        <w:gridCol w:w="1134"/>
        <w:gridCol w:w="2153"/>
      </w:tblGrid>
      <w:tr w14:paraId="26AC20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517" w:type="pct"/>
            <w:tcBorders>
              <w:tl2br w:val="nil"/>
              <w:tr2bl w:val="nil"/>
            </w:tcBorders>
            <w:vAlign w:val="center"/>
          </w:tcPr>
          <w:p w14:paraId="7DFA0A89">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编号</w:t>
            </w:r>
          </w:p>
        </w:tc>
        <w:tc>
          <w:tcPr>
            <w:tcW w:w="369" w:type="pct"/>
            <w:tcBorders>
              <w:tl2br w:val="nil"/>
              <w:tr2bl w:val="nil"/>
            </w:tcBorders>
            <w:vAlign w:val="center"/>
          </w:tcPr>
          <w:p w14:paraId="0E2342FA">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工序</w:t>
            </w:r>
          </w:p>
        </w:tc>
        <w:tc>
          <w:tcPr>
            <w:tcW w:w="446" w:type="pct"/>
            <w:tcBorders>
              <w:tl2br w:val="nil"/>
              <w:tr2bl w:val="nil"/>
            </w:tcBorders>
            <w:vAlign w:val="center"/>
          </w:tcPr>
          <w:p w14:paraId="517F8D59">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污染物名称</w:t>
            </w:r>
          </w:p>
        </w:tc>
        <w:tc>
          <w:tcPr>
            <w:tcW w:w="605" w:type="pct"/>
            <w:tcBorders>
              <w:tl2br w:val="nil"/>
              <w:tr2bl w:val="nil"/>
            </w:tcBorders>
            <w:vAlign w:val="center"/>
          </w:tcPr>
          <w:p w14:paraId="6D1537AA">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收集方式</w:t>
            </w:r>
          </w:p>
        </w:tc>
        <w:tc>
          <w:tcPr>
            <w:tcW w:w="675" w:type="pct"/>
            <w:tcBorders>
              <w:tl2br w:val="nil"/>
              <w:tr2bl w:val="nil"/>
            </w:tcBorders>
            <w:vAlign w:val="center"/>
          </w:tcPr>
          <w:p w14:paraId="0B6B3F98">
            <w:pPr>
              <w:widowControl/>
              <w:spacing w:line="240" w:lineRule="auto"/>
              <w:ind w:firstLine="0" w:firstLineChars="0"/>
              <w:jc w:val="center"/>
              <w:textAlignment w:val="center"/>
              <w:rPr>
                <w:rFonts w:cs="宋体"/>
                <w:b/>
                <w:color w:val="auto"/>
                <w:sz w:val="21"/>
                <w:szCs w:val="21"/>
              </w:rPr>
            </w:pPr>
            <w:r>
              <w:rPr>
                <w:rStyle w:val="38"/>
                <w:rFonts w:hint="default" w:ascii="Times New Roman" w:hAnsi="Times New Roman"/>
                <w:bCs w:val="0"/>
                <w:color w:val="auto"/>
                <w:lang w:bidi="ar"/>
              </w:rPr>
              <w:t>有组织产生量</w:t>
            </w:r>
            <w:r>
              <w:rPr>
                <w:rStyle w:val="39"/>
                <w:bCs w:val="0"/>
                <w:color w:val="auto"/>
                <w:lang w:bidi="ar"/>
              </w:rPr>
              <w:t>(t/a)</w:t>
            </w:r>
          </w:p>
        </w:tc>
        <w:tc>
          <w:tcPr>
            <w:tcW w:w="562" w:type="pct"/>
            <w:tcBorders>
              <w:tl2br w:val="nil"/>
              <w:tr2bl w:val="nil"/>
            </w:tcBorders>
            <w:vAlign w:val="center"/>
          </w:tcPr>
          <w:p w14:paraId="1191067A">
            <w:pPr>
              <w:widowControl/>
              <w:spacing w:line="240" w:lineRule="auto"/>
              <w:ind w:firstLine="0" w:firstLineChars="0"/>
              <w:jc w:val="center"/>
              <w:textAlignment w:val="center"/>
              <w:rPr>
                <w:rFonts w:cs="宋体"/>
                <w:b/>
                <w:color w:val="auto"/>
                <w:sz w:val="21"/>
                <w:szCs w:val="21"/>
              </w:rPr>
            </w:pPr>
            <w:r>
              <w:rPr>
                <w:rStyle w:val="38"/>
                <w:rFonts w:hint="default" w:ascii="Times New Roman" w:hAnsi="Times New Roman"/>
                <w:bCs w:val="0"/>
                <w:color w:val="auto"/>
                <w:lang w:bidi="ar"/>
              </w:rPr>
              <w:t>排放时间（</w:t>
            </w:r>
            <w:r>
              <w:rPr>
                <w:rStyle w:val="39"/>
                <w:bCs w:val="0"/>
                <w:color w:val="auto"/>
                <w:lang w:bidi="ar"/>
              </w:rPr>
              <w:t>h/a</w:t>
            </w:r>
            <w:r>
              <w:rPr>
                <w:rStyle w:val="38"/>
                <w:rFonts w:hint="default" w:ascii="Times New Roman" w:hAnsi="Times New Roman"/>
                <w:bCs w:val="0"/>
                <w:color w:val="auto"/>
                <w:lang w:bidi="ar"/>
              </w:rPr>
              <w:t>）</w:t>
            </w:r>
          </w:p>
        </w:tc>
        <w:tc>
          <w:tcPr>
            <w:tcW w:w="713" w:type="pct"/>
            <w:tcBorders>
              <w:tl2br w:val="nil"/>
              <w:tr2bl w:val="nil"/>
            </w:tcBorders>
            <w:vAlign w:val="center"/>
          </w:tcPr>
          <w:p w14:paraId="5FB1B857">
            <w:pPr>
              <w:widowControl/>
              <w:spacing w:line="240" w:lineRule="auto"/>
              <w:ind w:firstLine="0" w:firstLineChars="0"/>
              <w:jc w:val="center"/>
              <w:textAlignment w:val="center"/>
              <w:rPr>
                <w:rFonts w:cs="宋体"/>
                <w:b/>
                <w:color w:val="auto"/>
                <w:sz w:val="21"/>
                <w:szCs w:val="21"/>
              </w:rPr>
            </w:pPr>
            <w:r>
              <w:rPr>
                <w:rStyle w:val="38"/>
                <w:rFonts w:hint="default" w:ascii="Times New Roman" w:hAnsi="Times New Roman"/>
                <w:bCs w:val="0"/>
                <w:color w:val="auto"/>
                <w:lang w:bidi="ar"/>
              </w:rPr>
              <w:t>产生速率（</w:t>
            </w:r>
            <w:r>
              <w:rPr>
                <w:rStyle w:val="39"/>
                <w:bCs w:val="0"/>
                <w:color w:val="auto"/>
                <w:lang w:bidi="ar"/>
              </w:rPr>
              <w:t>kg/h</w:t>
            </w:r>
            <w:r>
              <w:rPr>
                <w:rStyle w:val="38"/>
                <w:rFonts w:hint="default" w:ascii="Times New Roman" w:hAnsi="Times New Roman"/>
                <w:bCs w:val="0"/>
                <w:color w:val="auto"/>
                <w:lang w:bidi="ar"/>
              </w:rPr>
              <w:t>）</w:t>
            </w:r>
          </w:p>
        </w:tc>
        <w:tc>
          <w:tcPr>
            <w:tcW w:w="384" w:type="pct"/>
            <w:tcBorders>
              <w:tl2br w:val="nil"/>
              <w:tr2bl w:val="nil"/>
            </w:tcBorders>
            <w:vAlign w:val="center"/>
          </w:tcPr>
          <w:p w14:paraId="060A3BC1">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排放方式</w:t>
            </w:r>
          </w:p>
        </w:tc>
        <w:tc>
          <w:tcPr>
            <w:tcW w:w="722" w:type="pct"/>
            <w:tcBorders>
              <w:tl2br w:val="nil"/>
              <w:tr2bl w:val="nil"/>
            </w:tcBorders>
            <w:vAlign w:val="center"/>
          </w:tcPr>
          <w:p w14:paraId="5F69E1DD">
            <w:pPr>
              <w:widowControl/>
              <w:spacing w:line="240" w:lineRule="auto"/>
              <w:ind w:firstLine="0" w:firstLineChars="0"/>
              <w:jc w:val="center"/>
              <w:textAlignment w:val="center"/>
              <w:rPr>
                <w:rFonts w:cs="宋体"/>
                <w:b/>
                <w:color w:val="auto"/>
                <w:sz w:val="21"/>
                <w:szCs w:val="21"/>
              </w:rPr>
            </w:pPr>
            <w:r>
              <w:rPr>
                <w:rFonts w:hint="eastAsia" w:cs="宋体"/>
                <w:b/>
                <w:color w:val="auto"/>
                <w:kern w:val="0"/>
                <w:sz w:val="21"/>
                <w:szCs w:val="21"/>
                <w:lang w:bidi="ar"/>
              </w:rPr>
              <w:t>废气治理</w:t>
            </w:r>
          </w:p>
        </w:tc>
      </w:tr>
      <w:tr w14:paraId="185B61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000" w:type="pct"/>
            <w:gridSpan w:val="9"/>
            <w:tcBorders>
              <w:tl2br w:val="nil"/>
              <w:tr2bl w:val="nil"/>
            </w:tcBorders>
            <w:vAlign w:val="center"/>
          </w:tcPr>
          <w:p w14:paraId="7DDFAE99">
            <w:pPr>
              <w:widowControl/>
              <w:spacing w:line="240" w:lineRule="auto"/>
              <w:ind w:firstLine="0" w:firstLineChars="0"/>
              <w:jc w:val="center"/>
              <w:textAlignment w:val="center"/>
              <w:rPr>
                <w:rFonts w:cs="宋体"/>
                <w:bCs/>
                <w:color w:val="auto"/>
                <w:sz w:val="21"/>
                <w:szCs w:val="21"/>
              </w:rPr>
            </w:pPr>
            <w:r>
              <w:rPr>
                <w:rFonts w:hint="eastAsia" w:cs="宋体"/>
                <w:b/>
                <w:color w:val="auto"/>
                <w:kern w:val="0"/>
                <w:sz w:val="21"/>
                <w:szCs w:val="21"/>
                <w:lang w:bidi="ar"/>
              </w:rPr>
              <w:t>亚硫酸钾</w:t>
            </w:r>
          </w:p>
        </w:tc>
      </w:tr>
      <w:tr w14:paraId="7BEFBF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17" w:type="pct"/>
            <w:tcBorders>
              <w:tl2br w:val="nil"/>
              <w:tr2bl w:val="nil"/>
            </w:tcBorders>
            <w:vAlign w:val="center"/>
          </w:tcPr>
          <w:p w14:paraId="36701766">
            <w:pPr>
              <w:widowControl/>
              <w:spacing w:line="240" w:lineRule="auto"/>
              <w:ind w:firstLine="0" w:firstLineChars="0"/>
              <w:jc w:val="center"/>
              <w:textAlignment w:val="center"/>
              <w:rPr>
                <w:color w:val="auto"/>
                <w:sz w:val="21"/>
                <w:szCs w:val="21"/>
              </w:rPr>
            </w:pPr>
            <w:r>
              <w:rPr>
                <w:color w:val="auto"/>
                <w:kern w:val="0"/>
                <w:sz w:val="21"/>
                <w:szCs w:val="21"/>
                <w:lang w:bidi="ar"/>
              </w:rPr>
              <w:t>G1-1</w:t>
            </w:r>
          </w:p>
        </w:tc>
        <w:tc>
          <w:tcPr>
            <w:tcW w:w="369" w:type="pct"/>
            <w:tcBorders>
              <w:tl2br w:val="nil"/>
              <w:tr2bl w:val="nil"/>
            </w:tcBorders>
            <w:vAlign w:val="center"/>
          </w:tcPr>
          <w:p w14:paraId="634BF4D6">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焚烧</w:t>
            </w:r>
          </w:p>
        </w:tc>
        <w:tc>
          <w:tcPr>
            <w:tcW w:w="446" w:type="pct"/>
            <w:tcBorders>
              <w:tl2br w:val="nil"/>
              <w:tr2bl w:val="nil"/>
            </w:tcBorders>
            <w:vAlign w:val="center"/>
          </w:tcPr>
          <w:p w14:paraId="7B140043">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SO</w:t>
            </w:r>
            <w:r>
              <w:rPr>
                <w:rFonts w:hint="eastAsia" w:cs="宋体"/>
                <w:color w:val="auto"/>
                <w:kern w:val="0"/>
                <w:sz w:val="21"/>
                <w:szCs w:val="21"/>
                <w:vertAlign w:val="subscript"/>
                <w:lang w:bidi="ar"/>
              </w:rPr>
              <w:t>2</w:t>
            </w:r>
          </w:p>
        </w:tc>
        <w:tc>
          <w:tcPr>
            <w:tcW w:w="605" w:type="pct"/>
            <w:tcBorders>
              <w:tl2br w:val="nil"/>
              <w:tr2bl w:val="nil"/>
            </w:tcBorders>
            <w:vAlign w:val="center"/>
          </w:tcPr>
          <w:p w14:paraId="7FE60E90">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4DB86A72">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9.552 </w:t>
            </w:r>
          </w:p>
        </w:tc>
        <w:tc>
          <w:tcPr>
            <w:tcW w:w="562" w:type="pct"/>
            <w:tcBorders>
              <w:tl2br w:val="nil"/>
              <w:tr2bl w:val="nil"/>
            </w:tcBorders>
            <w:vAlign w:val="center"/>
          </w:tcPr>
          <w:p w14:paraId="76C961FD">
            <w:pPr>
              <w:widowControl/>
              <w:spacing w:line="240" w:lineRule="auto"/>
              <w:ind w:firstLine="0" w:firstLineChars="0"/>
              <w:jc w:val="center"/>
              <w:textAlignment w:val="center"/>
              <w:rPr>
                <w:color w:val="auto"/>
                <w:sz w:val="21"/>
                <w:szCs w:val="21"/>
              </w:rPr>
            </w:pPr>
            <w:r>
              <w:rPr>
                <w:color w:val="auto"/>
                <w:kern w:val="0"/>
                <w:sz w:val="21"/>
                <w:szCs w:val="21"/>
                <w:lang w:bidi="ar"/>
              </w:rPr>
              <w:t>5000</w:t>
            </w:r>
          </w:p>
        </w:tc>
        <w:tc>
          <w:tcPr>
            <w:tcW w:w="713" w:type="pct"/>
            <w:tcBorders>
              <w:tl2br w:val="nil"/>
              <w:tr2bl w:val="nil"/>
            </w:tcBorders>
            <w:vAlign w:val="center"/>
          </w:tcPr>
          <w:p w14:paraId="5CFC8239">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1.910 </w:t>
            </w:r>
          </w:p>
        </w:tc>
        <w:tc>
          <w:tcPr>
            <w:tcW w:w="384" w:type="pct"/>
            <w:vMerge w:val="restart"/>
            <w:tcBorders>
              <w:tl2br w:val="nil"/>
              <w:tr2bl w:val="nil"/>
            </w:tcBorders>
            <w:vAlign w:val="center"/>
          </w:tcPr>
          <w:p w14:paraId="59F5513B">
            <w:pPr>
              <w:widowControl/>
              <w:spacing w:line="240" w:lineRule="auto"/>
              <w:ind w:firstLine="0" w:firstLineChars="0"/>
              <w:jc w:val="center"/>
              <w:textAlignment w:val="center"/>
              <w:rPr>
                <w:rFonts w:cs="宋体"/>
                <w:color w:val="auto"/>
                <w:sz w:val="21"/>
                <w:szCs w:val="21"/>
              </w:rPr>
            </w:pPr>
            <w:r>
              <w:rPr>
                <w:rFonts w:hint="eastAsia" w:cs="宋体"/>
                <w:color w:val="auto"/>
                <w:sz w:val="21"/>
                <w:szCs w:val="21"/>
              </w:rPr>
              <w:t>间歇</w:t>
            </w:r>
          </w:p>
        </w:tc>
        <w:tc>
          <w:tcPr>
            <w:tcW w:w="722" w:type="pct"/>
            <w:vMerge w:val="restart"/>
            <w:tcBorders>
              <w:tl2br w:val="nil"/>
              <w:tr2bl w:val="nil"/>
            </w:tcBorders>
            <w:vAlign w:val="center"/>
          </w:tcPr>
          <w:p w14:paraId="7289FFF9">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碱吸收+水喷淋＋电除雾</w:t>
            </w:r>
          </w:p>
        </w:tc>
      </w:tr>
      <w:tr w14:paraId="1747A3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17" w:type="pct"/>
            <w:tcBorders>
              <w:tl2br w:val="nil"/>
              <w:tr2bl w:val="nil"/>
            </w:tcBorders>
            <w:vAlign w:val="center"/>
          </w:tcPr>
          <w:p w14:paraId="118B9A92">
            <w:pPr>
              <w:widowControl/>
              <w:spacing w:line="240" w:lineRule="auto"/>
              <w:ind w:firstLine="0" w:firstLineChars="0"/>
              <w:jc w:val="center"/>
              <w:textAlignment w:val="center"/>
              <w:rPr>
                <w:color w:val="auto"/>
                <w:sz w:val="21"/>
                <w:szCs w:val="21"/>
              </w:rPr>
            </w:pPr>
            <w:r>
              <w:rPr>
                <w:color w:val="auto"/>
                <w:kern w:val="0"/>
                <w:sz w:val="21"/>
                <w:szCs w:val="21"/>
                <w:lang w:bidi="ar"/>
              </w:rPr>
              <w:t>G1-2</w:t>
            </w:r>
          </w:p>
        </w:tc>
        <w:tc>
          <w:tcPr>
            <w:tcW w:w="369" w:type="pct"/>
            <w:tcBorders>
              <w:tl2br w:val="nil"/>
              <w:tr2bl w:val="nil"/>
            </w:tcBorders>
            <w:vAlign w:val="center"/>
          </w:tcPr>
          <w:p w14:paraId="6179DC4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吸收</w:t>
            </w:r>
          </w:p>
        </w:tc>
        <w:tc>
          <w:tcPr>
            <w:tcW w:w="446" w:type="pct"/>
            <w:tcBorders>
              <w:tl2br w:val="nil"/>
              <w:tr2bl w:val="nil"/>
            </w:tcBorders>
            <w:vAlign w:val="center"/>
          </w:tcPr>
          <w:p w14:paraId="5F2875B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SO</w:t>
            </w:r>
            <w:r>
              <w:rPr>
                <w:rFonts w:hint="eastAsia" w:cs="宋体"/>
                <w:color w:val="auto"/>
                <w:kern w:val="0"/>
                <w:sz w:val="21"/>
                <w:szCs w:val="21"/>
                <w:vertAlign w:val="subscript"/>
                <w:lang w:bidi="ar"/>
              </w:rPr>
              <w:t>2</w:t>
            </w:r>
          </w:p>
        </w:tc>
        <w:tc>
          <w:tcPr>
            <w:tcW w:w="605" w:type="pct"/>
            <w:tcBorders>
              <w:tl2br w:val="nil"/>
              <w:tr2bl w:val="nil"/>
            </w:tcBorders>
            <w:vAlign w:val="center"/>
          </w:tcPr>
          <w:p w14:paraId="16F11C8D">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60D042F8">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0.477 </w:t>
            </w:r>
          </w:p>
        </w:tc>
        <w:tc>
          <w:tcPr>
            <w:tcW w:w="562" w:type="pct"/>
            <w:tcBorders>
              <w:tl2br w:val="nil"/>
              <w:tr2bl w:val="nil"/>
            </w:tcBorders>
            <w:vAlign w:val="center"/>
          </w:tcPr>
          <w:p w14:paraId="0801DCBA">
            <w:pPr>
              <w:widowControl/>
              <w:spacing w:line="240" w:lineRule="auto"/>
              <w:ind w:firstLine="0" w:firstLineChars="0"/>
              <w:jc w:val="center"/>
              <w:textAlignment w:val="center"/>
              <w:rPr>
                <w:color w:val="auto"/>
                <w:sz w:val="21"/>
                <w:szCs w:val="21"/>
              </w:rPr>
            </w:pPr>
            <w:r>
              <w:rPr>
                <w:color w:val="auto"/>
                <w:kern w:val="0"/>
                <w:sz w:val="21"/>
                <w:szCs w:val="21"/>
                <w:lang w:bidi="ar"/>
              </w:rPr>
              <w:t>5000</w:t>
            </w:r>
          </w:p>
        </w:tc>
        <w:tc>
          <w:tcPr>
            <w:tcW w:w="713" w:type="pct"/>
            <w:tcBorders>
              <w:tl2br w:val="nil"/>
              <w:tr2bl w:val="nil"/>
            </w:tcBorders>
            <w:vAlign w:val="center"/>
          </w:tcPr>
          <w:p w14:paraId="68C43DEF">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0.095 </w:t>
            </w:r>
          </w:p>
        </w:tc>
        <w:tc>
          <w:tcPr>
            <w:tcW w:w="384" w:type="pct"/>
            <w:vMerge w:val="continue"/>
            <w:tcBorders>
              <w:tl2br w:val="nil"/>
              <w:tr2bl w:val="nil"/>
            </w:tcBorders>
            <w:vAlign w:val="center"/>
          </w:tcPr>
          <w:p w14:paraId="0A428B84">
            <w:pPr>
              <w:spacing w:line="240" w:lineRule="auto"/>
              <w:ind w:firstLine="0" w:firstLineChars="0"/>
              <w:jc w:val="center"/>
              <w:rPr>
                <w:rFonts w:cs="宋体"/>
                <w:color w:val="auto"/>
                <w:sz w:val="21"/>
                <w:szCs w:val="21"/>
              </w:rPr>
            </w:pPr>
          </w:p>
        </w:tc>
        <w:tc>
          <w:tcPr>
            <w:tcW w:w="722" w:type="pct"/>
            <w:vMerge w:val="continue"/>
            <w:tcBorders>
              <w:tl2br w:val="nil"/>
              <w:tr2bl w:val="nil"/>
            </w:tcBorders>
            <w:vAlign w:val="center"/>
          </w:tcPr>
          <w:p w14:paraId="25D5D199">
            <w:pPr>
              <w:spacing w:line="240" w:lineRule="auto"/>
              <w:ind w:firstLine="0" w:firstLineChars="0"/>
              <w:jc w:val="center"/>
              <w:rPr>
                <w:rFonts w:cs="宋体"/>
                <w:color w:val="auto"/>
                <w:sz w:val="21"/>
                <w:szCs w:val="21"/>
              </w:rPr>
            </w:pPr>
          </w:p>
        </w:tc>
      </w:tr>
      <w:tr w14:paraId="383C48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17" w:type="pct"/>
            <w:tcBorders>
              <w:tl2br w:val="nil"/>
              <w:tr2bl w:val="nil"/>
            </w:tcBorders>
            <w:vAlign w:val="center"/>
          </w:tcPr>
          <w:p w14:paraId="63E53866">
            <w:pPr>
              <w:widowControl/>
              <w:spacing w:line="240" w:lineRule="auto"/>
              <w:ind w:firstLine="0" w:firstLineChars="0"/>
              <w:jc w:val="center"/>
              <w:textAlignment w:val="center"/>
              <w:rPr>
                <w:color w:val="auto"/>
                <w:sz w:val="21"/>
                <w:szCs w:val="21"/>
              </w:rPr>
            </w:pPr>
            <w:r>
              <w:rPr>
                <w:color w:val="auto"/>
                <w:kern w:val="0"/>
                <w:sz w:val="21"/>
                <w:szCs w:val="21"/>
                <w:lang w:bidi="ar"/>
              </w:rPr>
              <w:t>G1-</w:t>
            </w:r>
            <w:r>
              <w:rPr>
                <w:rFonts w:hint="eastAsia"/>
                <w:color w:val="auto"/>
                <w:kern w:val="0"/>
                <w:sz w:val="21"/>
                <w:szCs w:val="21"/>
                <w:lang w:bidi="ar"/>
              </w:rPr>
              <w:t>3</w:t>
            </w:r>
          </w:p>
        </w:tc>
        <w:tc>
          <w:tcPr>
            <w:tcW w:w="369" w:type="pct"/>
            <w:tcBorders>
              <w:tl2br w:val="nil"/>
              <w:tr2bl w:val="nil"/>
            </w:tcBorders>
            <w:vAlign w:val="center"/>
          </w:tcPr>
          <w:p w14:paraId="25E38354">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干燥</w:t>
            </w:r>
          </w:p>
        </w:tc>
        <w:tc>
          <w:tcPr>
            <w:tcW w:w="446" w:type="pct"/>
            <w:tcBorders>
              <w:tl2br w:val="nil"/>
              <w:tr2bl w:val="nil"/>
            </w:tcBorders>
            <w:vAlign w:val="center"/>
          </w:tcPr>
          <w:p w14:paraId="6C99E8CA">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颗粒物</w:t>
            </w:r>
          </w:p>
        </w:tc>
        <w:tc>
          <w:tcPr>
            <w:tcW w:w="605" w:type="pct"/>
            <w:tcBorders>
              <w:tl2br w:val="nil"/>
              <w:tr2bl w:val="nil"/>
            </w:tcBorders>
            <w:vAlign w:val="center"/>
          </w:tcPr>
          <w:p w14:paraId="47992E7B">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105FE504">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0.926 </w:t>
            </w:r>
          </w:p>
        </w:tc>
        <w:tc>
          <w:tcPr>
            <w:tcW w:w="562" w:type="pct"/>
            <w:tcBorders>
              <w:tl2br w:val="nil"/>
              <w:tr2bl w:val="nil"/>
            </w:tcBorders>
            <w:vAlign w:val="center"/>
          </w:tcPr>
          <w:p w14:paraId="6CAA114D">
            <w:pPr>
              <w:widowControl/>
              <w:spacing w:line="240" w:lineRule="auto"/>
              <w:ind w:firstLine="0" w:firstLineChars="0"/>
              <w:jc w:val="center"/>
              <w:textAlignment w:val="center"/>
              <w:rPr>
                <w:color w:val="auto"/>
                <w:sz w:val="21"/>
                <w:szCs w:val="21"/>
              </w:rPr>
            </w:pPr>
            <w:r>
              <w:rPr>
                <w:color w:val="auto"/>
                <w:kern w:val="0"/>
                <w:sz w:val="21"/>
                <w:szCs w:val="21"/>
                <w:lang w:bidi="ar"/>
              </w:rPr>
              <w:t>600</w:t>
            </w:r>
          </w:p>
        </w:tc>
        <w:tc>
          <w:tcPr>
            <w:tcW w:w="713" w:type="pct"/>
            <w:tcBorders>
              <w:tl2br w:val="nil"/>
              <w:tr2bl w:val="nil"/>
            </w:tcBorders>
            <w:vAlign w:val="center"/>
          </w:tcPr>
          <w:p w14:paraId="743E2321">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1.544 </w:t>
            </w:r>
          </w:p>
        </w:tc>
        <w:tc>
          <w:tcPr>
            <w:tcW w:w="384" w:type="pct"/>
            <w:vMerge w:val="continue"/>
            <w:tcBorders>
              <w:tl2br w:val="nil"/>
              <w:tr2bl w:val="nil"/>
            </w:tcBorders>
            <w:vAlign w:val="center"/>
          </w:tcPr>
          <w:p w14:paraId="18C90D40">
            <w:pPr>
              <w:spacing w:line="240" w:lineRule="auto"/>
              <w:ind w:firstLine="0" w:firstLineChars="0"/>
              <w:jc w:val="center"/>
              <w:rPr>
                <w:rFonts w:cs="宋体"/>
                <w:color w:val="auto"/>
                <w:sz w:val="21"/>
                <w:szCs w:val="21"/>
              </w:rPr>
            </w:pPr>
          </w:p>
        </w:tc>
        <w:tc>
          <w:tcPr>
            <w:tcW w:w="722" w:type="pct"/>
            <w:vMerge w:val="continue"/>
            <w:tcBorders>
              <w:tl2br w:val="nil"/>
              <w:tr2bl w:val="nil"/>
            </w:tcBorders>
            <w:vAlign w:val="center"/>
          </w:tcPr>
          <w:p w14:paraId="4FA5E604">
            <w:pPr>
              <w:spacing w:line="240" w:lineRule="auto"/>
              <w:ind w:firstLine="0" w:firstLineChars="0"/>
              <w:jc w:val="center"/>
              <w:rPr>
                <w:rFonts w:cs="宋体"/>
                <w:color w:val="auto"/>
                <w:sz w:val="21"/>
                <w:szCs w:val="21"/>
              </w:rPr>
            </w:pPr>
          </w:p>
        </w:tc>
      </w:tr>
      <w:tr w14:paraId="4936BD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000" w:type="pct"/>
            <w:gridSpan w:val="9"/>
            <w:tcBorders>
              <w:tl2br w:val="nil"/>
              <w:tr2bl w:val="nil"/>
            </w:tcBorders>
            <w:vAlign w:val="center"/>
          </w:tcPr>
          <w:p w14:paraId="5ED93374">
            <w:pPr>
              <w:widowControl/>
              <w:spacing w:line="240" w:lineRule="auto"/>
              <w:ind w:firstLine="0" w:firstLineChars="0"/>
              <w:jc w:val="center"/>
              <w:textAlignment w:val="center"/>
              <w:rPr>
                <w:rFonts w:cs="宋体"/>
                <w:bCs/>
                <w:color w:val="auto"/>
                <w:sz w:val="21"/>
                <w:szCs w:val="21"/>
              </w:rPr>
            </w:pPr>
            <w:r>
              <w:rPr>
                <w:rFonts w:hint="eastAsia" w:cs="宋体"/>
                <w:b/>
                <w:color w:val="auto"/>
                <w:kern w:val="0"/>
                <w:sz w:val="21"/>
                <w:szCs w:val="21"/>
                <w:lang w:bidi="ar"/>
              </w:rPr>
              <w:t>亚硫酸钠</w:t>
            </w:r>
          </w:p>
        </w:tc>
      </w:tr>
      <w:tr w14:paraId="735364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17" w:type="pct"/>
            <w:tcBorders>
              <w:tl2br w:val="nil"/>
              <w:tr2bl w:val="nil"/>
            </w:tcBorders>
            <w:vAlign w:val="center"/>
          </w:tcPr>
          <w:p w14:paraId="0DC0A1A4">
            <w:pPr>
              <w:widowControl/>
              <w:spacing w:line="240" w:lineRule="auto"/>
              <w:ind w:firstLine="0" w:firstLineChars="0"/>
              <w:jc w:val="center"/>
              <w:textAlignment w:val="center"/>
              <w:rPr>
                <w:color w:val="auto"/>
                <w:sz w:val="21"/>
                <w:szCs w:val="21"/>
              </w:rPr>
            </w:pPr>
            <w:r>
              <w:rPr>
                <w:color w:val="auto"/>
                <w:kern w:val="0"/>
                <w:sz w:val="21"/>
                <w:szCs w:val="21"/>
                <w:lang w:bidi="ar"/>
              </w:rPr>
              <w:t>G2-1</w:t>
            </w:r>
          </w:p>
        </w:tc>
        <w:tc>
          <w:tcPr>
            <w:tcW w:w="369" w:type="pct"/>
            <w:tcBorders>
              <w:tl2br w:val="nil"/>
              <w:tr2bl w:val="nil"/>
            </w:tcBorders>
            <w:vAlign w:val="center"/>
          </w:tcPr>
          <w:p w14:paraId="76F0CCF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焚烧</w:t>
            </w:r>
          </w:p>
        </w:tc>
        <w:tc>
          <w:tcPr>
            <w:tcW w:w="446" w:type="pct"/>
            <w:tcBorders>
              <w:tl2br w:val="nil"/>
              <w:tr2bl w:val="nil"/>
            </w:tcBorders>
            <w:vAlign w:val="center"/>
          </w:tcPr>
          <w:p w14:paraId="7A615726">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SO</w:t>
            </w:r>
            <w:r>
              <w:rPr>
                <w:rFonts w:hint="eastAsia" w:cs="宋体"/>
                <w:color w:val="auto"/>
                <w:kern w:val="0"/>
                <w:sz w:val="21"/>
                <w:szCs w:val="21"/>
                <w:vertAlign w:val="subscript"/>
                <w:lang w:bidi="ar"/>
              </w:rPr>
              <w:t>2</w:t>
            </w:r>
          </w:p>
        </w:tc>
        <w:tc>
          <w:tcPr>
            <w:tcW w:w="605" w:type="pct"/>
            <w:tcBorders>
              <w:tl2br w:val="nil"/>
              <w:tr2bl w:val="nil"/>
            </w:tcBorders>
            <w:vAlign w:val="center"/>
          </w:tcPr>
          <w:p w14:paraId="042D586D">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35AA4F44">
            <w:pPr>
              <w:widowControl/>
              <w:spacing w:line="240" w:lineRule="auto"/>
              <w:ind w:firstLine="0" w:firstLineChars="0"/>
              <w:jc w:val="center"/>
              <w:textAlignment w:val="center"/>
              <w:rPr>
                <w:color w:val="auto"/>
                <w:sz w:val="21"/>
                <w:szCs w:val="21"/>
              </w:rPr>
            </w:pPr>
            <w:r>
              <w:rPr>
                <w:color w:val="auto"/>
                <w:kern w:val="0"/>
                <w:sz w:val="21"/>
                <w:szCs w:val="21"/>
                <w:lang w:bidi="ar"/>
              </w:rPr>
              <w:t>9.552</w:t>
            </w:r>
          </w:p>
        </w:tc>
        <w:tc>
          <w:tcPr>
            <w:tcW w:w="562" w:type="pct"/>
            <w:tcBorders>
              <w:tl2br w:val="nil"/>
              <w:tr2bl w:val="nil"/>
            </w:tcBorders>
            <w:vAlign w:val="center"/>
          </w:tcPr>
          <w:p w14:paraId="0576220E">
            <w:pPr>
              <w:widowControl/>
              <w:spacing w:line="240" w:lineRule="auto"/>
              <w:ind w:firstLine="0" w:firstLineChars="0"/>
              <w:jc w:val="center"/>
              <w:textAlignment w:val="center"/>
              <w:rPr>
                <w:color w:val="auto"/>
                <w:sz w:val="21"/>
                <w:szCs w:val="21"/>
              </w:rPr>
            </w:pPr>
            <w:r>
              <w:rPr>
                <w:color w:val="auto"/>
                <w:kern w:val="0"/>
                <w:sz w:val="21"/>
                <w:szCs w:val="21"/>
                <w:lang w:bidi="ar"/>
              </w:rPr>
              <w:t>5000</w:t>
            </w:r>
          </w:p>
        </w:tc>
        <w:tc>
          <w:tcPr>
            <w:tcW w:w="713" w:type="pct"/>
            <w:tcBorders>
              <w:tl2br w:val="nil"/>
              <w:tr2bl w:val="nil"/>
            </w:tcBorders>
            <w:vAlign w:val="center"/>
          </w:tcPr>
          <w:p w14:paraId="1BF354B0">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1.910 </w:t>
            </w:r>
          </w:p>
        </w:tc>
        <w:tc>
          <w:tcPr>
            <w:tcW w:w="384" w:type="pct"/>
            <w:vMerge w:val="restart"/>
            <w:tcBorders>
              <w:tl2br w:val="nil"/>
              <w:tr2bl w:val="nil"/>
            </w:tcBorders>
            <w:vAlign w:val="center"/>
          </w:tcPr>
          <w:p w14:paraId="08DFC3E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间歇</w:t>
            </w:r>
          </w:p>
        </w:tc>
        <w:tc>
          <w:tcPr>
            <w:tcW w:w="722" w:type="pct"/>
            <w:vMerge w:val="restart"/>
            <w:tcBorders>
              <w:tl2br w:val="nil"/>
              <w:tr2bl w:val="nil"/>
            </w:tcBorders>
            <w:vAlign w:val="center"/>
          </w:tcPr>
          <w:p w14:paraId="7880E974">
            <w:pPr>
              <w:widowControl/>
              <w:spacing w:line="240" w:lineRule="auto"/>
              <w:ind w:firstLine="0" w:firstLineChars="0"/>
              <w:jc w:val="center"/>
              <w:textAlignment w:val="center"/>
              <w:rPr>
                <w:rFonts w:cs="宋体"/>
                <w:color w:val="auto"/>
                <w:sz w:val="21"/>
                <w:szCs w:val="21"/>
              </w:rPr>
            </w:pPr>
            <w:r>
              <w:rPr>
                <w:rStyle w:val="40"/>
                <w:rFonts w:hint="default" w:ascii="Times New Roman" w:hAnsi="Times New Roman"/>
                <w:color w:val="auto"/>
                <w:lang w:bidi="ar"/>
              </w:rPr>
              <w:t>碱吸收</w:t>
            </w:r>
            <w:r>
              <w:rPr>
                <w:rStyle w:val="41"/>
                <w:color w:val="auto"/>
                <w:lang w:bidi="ar"/>
              </w:rPr>
              <w:t>+</w:t>
            </w:r>
            <w:r>
              <w:rPr>
                <w:rStyle w:val="40"/>
                <w:rFonts w:hint="default" w:ascii="Times New Roman" w:hAnsi="Times New Roman"/>
                <w:color w:val="auto"/>
                <w:lang w:bidi="ar"/>
              </w:rPr>
              <w:t>水喷淋＋电除雾</w:t>
            </w:r>
          </w:p>
        </w:tc>
      </w:tr>
      <w:tr w14:paraId="6580E7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17" w:type="pct"/>
            <w:tcBorders>
              <w:tl2br w:val="nil"/>
              <w:tr2bl w:val="nil"/>
            </w:tcBorders>
            <w:vAlign w:val="center"/>
          </w:tcPr>
          <w:p w14:paraId="045F1156">
            <w:pPr>
              <w:widowControl/>
              <w:spacing w:line="240" w:lineRule="auto"/>
              <w:ind w:firstLine="0" w:firstLineChars="0"/>
              <w:jc w:val="center"/>
              <w:textAlignment w:val="center"/>
              <w:rPr>
                <w:color w:val="auto"/>
                <w:sz w:val="21"/>
                <w:szCs w:val="21"/>
              </w:rPr>
            </w:pPr>
            <w:r>
              <w:rPr>
                <w:color w:val="auto"/>
                <w:kern w:val="0"/>
                <w:sz w:val="21"/>
                <w:szCs w:val="21"/>
                <w:lang w:bidi="ar"/>
              </w:rPr>
              <w:t>G2-2</w:t>
            </w:r>
          </w:p>
        </w:tc>
        <w:tc>
          <w:tcPr>
            <w:tcW w:w="369" w:type="pct"/>
            <w:tcBorders>
              <w:tl2br w:val="nil"/>
              <w:tr2bl w:val="nil"/>
            </w:tcBorders>
            <w:vAlign w:val="center"/>
          </w:tcPr>
          <w:p w14:paraId="718D72F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吸收</w:t>
            </w:r>
          </w:p>
        </w:tc>
        <w:tc>
          <w:tcPr>
            <w:tcW w:w="446" w:type="pct"/>
            <w:tcBorders>
              <w:tl2br w:val="nil"/>
              <w:tr2bl w:val="nil"/>
            </w:tcBorders>
            <w:vAlign w:val="center"/>
          </w:tcPr>
          <w:p w14:paraId="64BF7B5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SO</w:t>
            </w:r>
            <w:r>
              <w:rPr>
                <w:rFonts w:hint="eastAsia" w:cs="宋体"/>
                <w:color w:val="auto"/>
                <w:kern w:val="0"/>
                <w:sz w:val="21"/>
                <w:szCs w:val="21"/>
                <w:vertAlign w:val="subscript"/>
                <w:lang w:bidi="ar"/>
              </w:rPr>
              <w:t>2</w:t>
            </w:r>
          </w:p>
        </w:tc>
        <w:tc>
          <w:tcPr>
            <w:tcW w:w="605" w:type="pct"/>
            <w:tcBorders>
              <w:tl2br w:val="nil"/>
              <w:tr2bl w:val="nil"/>
            </w:tcBorders>
            <w:vAlign w:val="center"/>
          </w:tcPr>
          <w:p w14:paraId="6DFC338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2D352606">
            <w:pPr>
              <w:widowControl/>
              <w:spacing w:line="240" w:lineRule="auto"/>
              <w:ind w:firstLine="0" w:firstLineChars="0"/>
              <w:jc w:val="center"/>
              <w:textAlignment w:val="center"/>
              <w:rPr>
                <w:color w:val="auto"/>
                <w:sz w:val="21"/>
                <w:szCs w:val="21"/>
              </w:rPr>
            </w:pPr>
            <w:r>
              <w:rPr>
                <w:color w:val="auto"/>
                <w:kern w:val="0"/>
                <w:sz w:val="21"/>
                <w:szCs w:val="21"/>
                <w:lang w:bidi="ar"/>
              </w:rPr>
              <w:t>0.477</w:t>
            </w:r>
          </w:p>
        </w:tc>
        <w:tc>
          <w:tcPr>
            <w:tcW w:w="562" w:type="pct"/>
            <w:tcBorders>
              <w:tl2br w:val="nil"/>
              <w:tr2bl w:val="nil"/>
            </w:tcBorders>
            <w:vAlign w:val="center"/>
          </w:tcPr>
          <w:p w14:paraId="1CFEE733">
            <w:pPr>
              <w:widowControl/>
              <w:spacing w:line="240" w:lineRule="auto"/>
              <w:ind w:firstLine="0" w:firstLineChars="0"/>
              <w:jc w:val="center"/>
              <w:textAlignment w:val="center"/>
              <w:rPr>
                <w:color w:val="auto"/>
                <w:sz w:val="21"/>
                <w:szCs w:val="21"/>
              </w:rPr>
            </w:pPr>
            <w:r>
              <w:rPr>
                <w:color w:val="auto"/>
                <w:kern w:val="0"/>
                <w:sz w:val="21"/>
                <w:szCs w:val="21"/>
                <w:lang w:bidi="ar"/>
              </w:rPr>
              <w:t>5000</w:t>
            </w:r>
          </w:p>
        </w:tc>
        <w:tc>
          <w:tcPr>
            <w:tcW w:w="713" w:type="pct"/>
            <w:tcBorders>
              <w:tl2br w:val="nil"/>
              <w:tr2bl w:val="nil"/>
            </w:tcBorders>
            <w:vAlign w:val="center"/>
          </w:tcPr>
          <w:p w14:paraId="13B80D82">
            <w:pPr>
              <w:widowControl/>
              <w:spacing w:line="240" w:lineRule="auto"/>
              <w:ind w:firstLine="0" w:firstLineChars="0"/>
              <w:jc w:val="center"/>
              <w:textAlignment w:val="center"/>
              <w:rPr>
                <w:color w:val="auto"/>
                <w:sz w:val="21"/>
                <w:szCs w:val="21"/>
              </w:rPr>
            </w:pPr>
            <w:r>
              <w:rPr>
                <w:color w:val="auto"/>
                <w:kern w:val="0"/>
                <w:sz w:val="21"/>
                <w:szCs w:val="21"/>
                <w:lang w:bidi="ar"/>
              </w:rPr>
              <w:t>0.095</w:t>
            </w:r>
          </w:p>
        </w:tc>
        <w:tc>
          <w:tcPr>
            <w:tcW w:w="384" w:type="pct"/>
            <w:vMerge w:val="continue"/>
            <w:tcBorders>
              <w:tl2br w:val="nil"/>
              <w:tr2bl w:val="nil"/>
            </w:tcBorders>
            <w:vAlign w:val="center"/>
          </w:tcPr>
          <w:p w14:paraId="42F9A113">
            <w:pPr>
              <w:spacing w:line="240" w:lineRule="auto"/>
              <w:ind w:firstLine="0" w:firstLineChars="0"/>
              <w:jc w:val="center"/>
              <w:rPr>
                <w:rFonts w:cs="宋体"/>
                <w:color w:val="auto"/>
                <w:sz w:val="21"/>
                <w:szCs w:val="21"/>
              </w:rPr>
            </w:pPr>
          </w:p>
        </w:tc>
        <w:tc>
          <w:tcPr>
            <w:tcW w:w="722" w:type="pct"/>
            <w:vMerge w:val="continue"/>
            <w:tcBorders>
              <w:tl2br w:val="nil"/>
              <w:tr2bl w:val="nil"/>
            </w:tcBorders>
            <w:vAlign w:val="center"/>
          </w:tcPr>
          <w:p w14:paraId="0F65D1C1">
            <w:pPr>
              <w:spacing w:line="240" w:lineRule="auto"/>
              <w:ind w:firstLine="0" w:firstLineChars="0"/>
              <w:jc w:val="center"/>
              <w:rPr>
                <w:rFonts w:cs="宋体"/>
                <w:color w:val="auto"/>
                <w:sz w:val="21"/>
                <w:szCs w:val="21"/>
              </w:rPr>
            </w:pPr>
          </w:p>
        </w:tc>
      </w:tr>
      <w:tr w14:paraId="6F997A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17" w:type="pct"/>
            <w:tcBorders>
              <w:tl2br w:val="nil"/>
              <w:tr2bl w:val="nil"/>
            </w:tcBorders>
            <w:vAlign w:val="center"/>
          </w:tcPr>
          <w:p w14:paraId="79DE6E0A">
            <w:pPr>
              <w:widowControl/>
              <w:spacing w:line="240" w:lineRule="auto"/>
              <w:ind w:firstLine="0" w:firstLineChars="0"/>
              <w:jc w:val="center"/>
              <w:textAlignment w:val="center"/>
              <w:rPr>
                <w:color w:val="auto"/>
                <w:sz w:val="21"/>
                <w:szCs w:val="21"/>
              </w:rPr>
            </w:pPr>
            <w:r>
              <w:rPr>
                <w:color w:val="auto"/>
                <w:kern w:val="0"/>
                <w:sz w:val="21"/>
                <w:szCs w:val="21"/>
                <w:lang w:bidi="ar"/>
              </w:rPr>
              <w:t>G2-</w:t>
            </w:r>
            <w:r>
              <w:rPr>
                <w:rFonts w:hint="eastAsia"/>
                <w:color w:val="auto"/>
                <w:kern w:val="0"/>
                <w:sz w:val="21"/>
                <w:szCs w:val="21"/>
                <w:lang w:bidi="ar"/>
              </w:rPr>
              <w:t>3</w:t>
            </w:r>
          </w:p>
        </w:tc>
        <w:tc>
          <w:tcPr>
            <w:tcW w:w="369" w:type="pct"/>
            <w:tcBorders>
              <w:tl2br w:val="nil"/>
              <w:tr2bl w:val="nil"/>
            </w:tcBorders>
            <w:vAlign w:val="center"/>
          </w:tcPr>
          <w:p w14:paraId="709FE800">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干燥</w:t>
            </w:r>
          </w:p>
        </w:tc>
        <w:tc>
          <w:tcPr>
            <w:tcW w:w="446" w:type="pct"/>
            <w:tcBorders>
              <w:tl2br w:val="nil"/>
              <w:tr2bl w:val="nil"/>
            </w:tcBorders>
            <w:vAlign w:val="center"/>
          </w:tcPr>
          <w:p w14:paraId="192549D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颗粒物</w:t>
            </w:r>
          </w:p>
        </w:tc>
        <w:tc>
          <w:tcPr>
            <w:tcW w:w="605" w:type="pct"/>
            <w:tcBorders>
              <w:tl2br w:val="nil"/>
              <w:tr2bl w:val="nil"/>
            </w:tcBorders>
            <w:vAlign w:val="center"/>
          </w:tcPr>
          <w:p w14:paraId="14FDF592">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32FF66A8">
            <w:pPr>
              <w:widowControl/>
              <w:spacing w:line="240" w:lineRule="auto"/>
              <w:ind w:firstLine="0" w:firstLineChars="0"/>
              <w:jc w:val="center"/>
              <w:textAlignment w:val="center"/>
              <w:rPr>
                <w:color w:val="auto"/>
                <w:sz w:val="21"/>
                <w:szCs w:val="21"/>
              </w:rPr>
            </w:pPr>
            <w:r>
              <w:rPr>
                <w:color w:val="auto"/>
                <w:kern w:val="0"/>
                <w:sz w:val="21"/>
                <w:szCs w:val="21"/>
                <w:lang w:bidi="ar"/>
              </w:rPr>
              <w:t>0.75</w:t>
            </w:r>
            <w:r>
              <w:rPr>
                <w:rFonts w:hint="eastAsia"/>
                <w:color w:val="auto"/>
                <w:kern w:val="0"/>
                <w:sz w:val="21"/>
                <w:szCs w:val="21"/>
                <w:lang w:bidi="ar"/>
              </w:rPr>
              <w:t>2</w:t>
            </w:r>
          </w:p>
        </w:tc>
        <w:tc>
          <w:tcPr>
            <w:tcW w:w="562" w:type="pct"/>
            <w:tcBorders>
              <w:tl2br w:val="nil"/>
              <w:tr2bl w:val="nil"/>
            </w:tcBorders>
            <w:vAlign w:val="center"/>
          </w:tcPr>
          <w:p w14:paraId="16884E49">
            <w:pPr>
              <w:widowControl/>
              <w:spacing w:line="240" w:lineRule="auto"/>
              <w:ind w:firstLine="0" w:firstLineChars="0"/>
              <w:jc w:val="center"/>
              <w:textAlignment w:val="center"/>
              <w:rPr>
                <w:color w:val="auto"/>
                <w:sz w:val="21"/>
                <w:szCs w:val="21"/>
              </w:rPr>
            </w:pPr>
            <w:r>
              <w:rPr>
                <w:color w:val="auto"/>
                <w:kern w:val="0"/>
                <w:sz w:val="21"/>
                <w:szCs w:val="21"/>
                <w:lang w:bidi="ar"/>
              </w:rPr>
              <w:t>600</w:t>
            </w:r>
          </w:p>
        </w:tc>
        <w:tc>
          <w:tcPr>
            <w:tcW w:w="713" w:type="pct"/>
            <w:tcBorders>
              <w:tl2br w:val="nil"/>
              <w:tr2bl w:val="nil"/>
            </w:tcBorders>
            <w:vAlign w:val="center"/>
          </w:tcPr>
          <w:p w14:paraId="6F4C69B3">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1.253 </w:t>
            </w:r>
          </w:p>
        </w:tc>
        <w:tc>
          <w:tcPr>
            <w:tcW w:w="384" w:type="pct"/>
            <w:vMerge w:val="continue"/>
            <w:tcBorders>
              <w:tl2br w:val="nil"/>
              <w:tr2bl w:val="nil"/>
            </w:tcBorders>
            <w:vAlign w:val="center"/>
          </w:tcPr>
          <w:p w14:paraId="008A68CB">
            <w:pPr>
              <w:spacing w:line="240" w:lineRule="auto"/>
              <w:ind w:firstLine="0" w:firstLineChars="0"/>
              <w:jc w:val="center"/>
              <w:rPr>
                <w:rFonts w:cs="宋体"/>
                <w:color w:val="auto"/>
                <w:sz w:val="21"/>
                <w:szCs w:val="21"/>
              </w:rPr>
            </w:pPr>
          </w:p>
        </w:tc>
        <w:tc>
          <w:tcPr>
            <w:tcW w:w="722" w:type="pct"/>
            <w:vMerge w:val="continue"/>
            <w:tcBorders>
              <w:tl2br w:val="nil"/>
              <w:tr2bl w:val="nil"/>
            </w:tcBorders>
            <w:vAlign w:val="center"/>
          </w:tcPr>
          <w:p w14:paraId="4CBCE4C7">
            <w:pPr>
              <w:spacing w:line="240" w:lineRule="auto"/>
              <w:ind w:firstLine="0" w:firstLineChars="0"/>
              <w:jc w:val="center"/>
              <w:rPr>
                <w:rFonts w:cs="宋体"/>
                <w:color w:val="auto"/>
                <w:sz w:val="21"/>
                <w:szCs w:val="21"/>
              </w:rPr>
            </w:pPr>
          </w:p>
        </w:tc>
      </w:tr>
      <w:tr w14:paraId="050AD6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000" w:type="pct"/>
            <w:gridSpan w:val="9"/>
            <w:tcBorders>
              <w:tl2br w:val="nil"/>
              <w:tr2bl w:val="nil"/>
            </w:tcBorders>
            <w:vAlign w:val="center"/>
          </w:tcPr>
          <w:p w14:paraId="6F8786AF">
            <w:pPr>
              <w:widowControl/>
              <w:spacing w:line="240" w:lineRule="auto"/>
              <w:ind w:firstLine="0" w:firstLineChars="0"/>
              <w:jc w:val="center"/>
              <w:textAlignment w:val="center"/>
              <w:rPr>
                <w:rFonts w:cs="宋体"/>
                <w:bCs/>
                <w:color w:val="auto"/>
                <w:sz w:val="21"/>
                <w:szCs w:val="21"/>
              </w:rPr>
            </w:pPr>
            <w:r>
              <w:rPr>
                <w:rFonts w:hint="eastAsia" w:cs="宋体"/>
                <w:b/>
                <w:color w:val="auto"/>
                <w:kern w:val="0"/>
                <w:sz w:val="21"/>
                <w:szCs w:val="21"/>
                <w:lang w:bidi="ar"/>
              </w:rPr>
              <w:t>硫代硫酸铵</w:t>
            </w:r>
          </w:p>
        </w:tc>
      </w:tr>
      <w:tr w14:paraId="7E5A1F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17" w:type="pct"/>
            <w:tcBorders>
              <w:tl2br w:val="nil"/>
              <w:tr2bl w:val="nil"/>
            </w:tcBorders>
            <w:vAlign w:val="center"/>
          </w:tcPr>
          <w:p w14:paraId="200BA9DE">
            <w:pPr>
              <w:widowControl/>
              <w:spacing w:line="240" w:lineRule="auto"/>
              <w:ind w:firstLine="0" w:firstLineChars="0"/>
              <w:jc w:val="center"/>
              <w:textAlignment w:val="center"/>
              <w:rPr>
                <w:color w:val="auto"/>
                <w:sz w:val="21"/>
                <w:szCs w:val="21"/>
              </w:rPr>
            </w:pPr>
            <w:r>
              <w:rPr>
                <w:color w:val="auto"/>
                <w:kern w:val="0"/>
                <w:sz w:val="21"/>
                <w:szCs w:val="21"/>
                <w:lang w:bidi="ar"/>
              </w:rPr>
              <w:t>G3-1</w:t>
            </w:r>
          </w:p>
        </w:tc>
        <w:tc>
          <w:tcPr>
            <w:tcW w:w="369" w:type="pct"/>
            <w:tcBorders>
              <w:tl2br w:val="nil"/>
              <w:tr2bl w:val="nil"/>
            </w:tcBorders>
            <w:vAlign w:val="center"/>
          </w:tcPr>
          <w:p w14:paraId="3424C26A">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配置</w:t>
            </w:r>
          </w:p>
        </w:tc>
        <w:tc>
          <w:tcPr>
            <w:tcW w:w="446" w:type="pct"/>
            <w:tcBorders>
              <w:tl2br w:val="nil"/>
              <w:tr2bl w:val="nil"/>
            </w:tcBorders>
            <w:vAlign w:val="center"/>
          </w:tcPr>
          <w:p w14:paraId="7C3CB7C9">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氨</w:t>
            </w:r>
          </w:p>
        </w:tc>
        <w:tc>
          <w:tcPr>
            <w:tcW w:w="605" w:type="pct"/>
            <w:tcBorders>
              <w:tl2br w:val="nil"/>
              <w:tr2bl w:val="nil"/>
            </w:tcBorders>
            <w:vAlign w:val="center"/>
          </w:tcPr>
          <w:p w14:paraId="3B4F4E9D">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0DFA59C5">
            <w:pPr>
              <w:widowControl/>
              <w:spacing w:line="240" w:lineRule="auto"/>
              <w:ind w:firstLine="0" w:firstLineChars="0"/>
              <w:jc w:val="center"/>
              <w:textAlignment w:val="center"/>
              <w:rPr>
                <w:color w:val="auto"/>
                <w:sz w:val="21"/>
                <w:szCs w:val="21"/>
              </w:rPr>
            </w:pPr>
            <w:r>
              <w:rPr>
                <w:color w:val="auto"/>
                <w:kern w:val="0"/>
                <w:sz w:val="21"/>
                <w:szCs w:val="21"/>
                <w:lang w:bidi="ar"/>
              </w:rPr>
              <w:t>0.111</w:t>
            </w:r>
          </w:p>
        </w:tc>
        <w:tc>
          <w:tcPr>
            <w:tcW w:w="562" w:type="pct"/>
            <w:tcBorders>
              <w:tl2br w:val="nil"/>
              <w:tr2bl w:val="nil"/>
            </w:tcBorders>
            <w:vAlign w:val="center"/>
          </w:tcPr>
          <w:p w14:paraId="48BBA9A1">
            <w:pPr>
              <w:widowControl/>
              <w:spacing w:line="240" w:lineRule="auto"/>
              <w:ind w:firstLine="0" w:firstLineChars="0"/>
              <w:jc w:val="center"/>
              <w:textAlignment w:val="center"/>
              <w:rPr>
                <w:color w:val="auto"/>
                <w:sz w:val="21"/>
                <w:szCs w:val="21"/>
              </w:rPr>
            </w:pPr>
            <w:r>
              <w:rPr>
                <w:color w:val="auto"/>
                <w:kern w:val="0"/>
                <w:sz w:val="21"/>
                <w:szCs w:val="21"/>
                <w:lang w:bidi="ar"/>
              </w:rPr>
              <w:t>4200</w:t>
            </w:r>
          </w:p>
        </w:tc>
        <w:tc>
          <w:tcPr>
            <w:tcW w:w="713" w:type="pct"/>
            <w:tcBorders>
              <w:tl2br w:val="nil"/>
              <w:tr2bl w:val="nil"/>
            </w:tcBorders>
            <w:vAlign w:val="center"/>
          </w:tcPr>
          <w:p w14:paraId="473191BA">
            <w:pPr>
              <w:widowControl/>
              <w:spacing w:line="240" w:lineRule="auto"/>
              <w:ind w:firstLine="0" w:firstLineChars="0"/>
              <w:jc w:val="center"/>
              <w:textAlignment w:val="center"/>
              <w:rPr>
                <w:color w:val="auto"/>
                <w:sz w:val="21"/>
                <w:szCs w:val="21"/>
              </w:rPr>
            </w:pPr>
            <w:r>
              <w:rPr>
                <w:color w:val="auto"/>
                <w:kern w:val="0"/>
                <w:sz w:val="21"/>
                <w:szCs w:val="21"/>
                <w:lang w:bidi="ar"/>
              </w:rPr>
              <w:t>0.026</w:t>
            </w:r>
          </w:p>
        </w:tc>
        <w:tc>
          <w:tcPr>
            <w:tcW w:w="384" w:type="pct"/>
            <w:vMerge w:val="restart"/>
            <w:tcBorders>
              <w:tl2br w:val="nil"/>
              <w:tr2bl w:val="nil"/>
            </w:tcBorders>
            <w:vAlign w:val="center"/>
          </w:tcPr>
          <w:p w14:paraId="6577AE4B">
            <w:pPr>
              <w:widowControl/>
              <w:spacing w:line="240" w:lineRule="auto"/>
              <w:ind w:firstLine="0" w:firstLineChars="0"/>
              <w:jc w:val="center"/>
              <w:textAlignment w:val="center"/>
              <w:rPr>
                <w:rFonts w:cs="宋体"/>
                <w:color w:val="auto"/>
                <w:sz w:val="21"/>
                <w:szCs w:val="21"/>
              </w:rPr>
            </w:pPr>
            <w:r>
              <w:rPr>
                <w:rFonts w:hint="eastAsia" w:cs="宋体"/>
                <w:color w:val="auto"/>
                <w:sz w:val="21"/>
                <w:szCs w:val="21"/>
              </w:rPr>
              <w:t>间歇</w:t>
            </w:r>
          </w:p>
        </w:tc>
        <w:tc>
          <w:tcPr>
            <w:tcW w:w="722" w:type="pct"/>
            <w:vMerge w:val="restart"/>
            <w:tcBorders>
              <w:tl2br w:val="nil"/>
              <w:tr2bl w:val="nil"/>
            </w:tcBorders>
            <w:vAlign w:val="center"/>
          </w:tcPr>
          <w:p w14:paraId="1E4FB8F7">
            <w:pPr>
              <w:widowControl/>
              <w:spacing w:line="240" w:lineRule="auto"/>
              <w:ind w:firstLine="0" w:firstLineChars="0"/>
              <w:jc w:val="center"/>
              <w:textAlignment w:val="center"/>
              <w:rPr>
                <w:rFonts w:cs="宋体"/>
                <w:color w:val="auto"/>
                <w:sz w:val="21"/>
                <w:szCs w:val="21"/>
              </w:rPr>
            </w:pPr>
            <w:r>
              <w:rPr>
                <w:rStyle w:val="40"/>
                <w:rFonts w:hint="default" w:ascii="Times New Roman" w:hAnsi="Times New Roman"/>
                <w:color w:val="auto"/>
                <w:lang w:bidi="ar"/>
              </w:rPr>
              <w:t>水喷淋吸收</w:t>
            </w:r>
            <w:r>
              <w:rPr>
                <w:rStyle w:val="41"/>
                <w:color w:val="auto"/>
                <w:lang w:bidi="ar"/>
              </w:rPr>
              <w:t>+3#</w:t>
            </w:r>
            <w:r>
              <w:rPr>
                <w:rStyle w:val="40"/>
                <w:rFonts w:hint="default" w:ascii="Times New Roman" w:hAnsi="Times New Roman"/>
                <w:color w:val="auto"/>
                <w:lang w:bidi="ar"/>
              </w:rPr>
              <w:t>车间三级碱吸收</w:t>
            </w:r>
            <w:r>
              <w:rPr>
                <w:rStyle w:val="41"/>
                <w:color w:val="auto"/>
                <w:lang w:bidi="ar"/>
              </w:rPr>
              <w:t>+</w:t>
            </w:r>
            <w:r>
              <w:rPr>
                <w:rStyle w:val="40"/>
                <w:rFonts w:hint="default" w:ascii="Times New Roman" w:hAnsi="Times New Roman"/>
                <w:color w:val="auto"/>
                <w:lang w:bidi="ar"/>
              </w:rPr>
              <w:t>水喷淋</w:t>
            </w:r>
          </w:p>
        </w:tc>
      </w:tr>
      <w:tr w14:paraId="7EAD4E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17" w:type="pct"/>
            <w:tcBorders>
              <w:tl2br w:val="nil"/>
              <w:tr2bl w:val="nil"/>
            </w:tcBorders>
            <w:vAlign w:val="center"/>
          </w:tcPr>
          <w:p w14:paraId="39997168">
            <w:pPr>
              <w:widowControl/>
              <w:spacing w:line="240" w:lineRule="auto"/>
              <w:ind w:firstLine="0" w:firstLineChars="0"/>
              <w:jc w:val="center"/>
              <w:textAlignment w:val="center"/>
              <w:rPr>
                <w:color w:val="auto"/>
                <w:sz w:val="21"/>
                <w:szCs w:val="21"/>
              </w:rPr>
            </w:pPr>
            <w:r>
              <w:rPr>
                <w:color w:val="auto"/>
                <w:kern w:val="0"/>
                <w:sz w:val="21"/>
                <w:szCs w:val="21"/>
                <w:lang w:bidi="ar"/>
              </w:rPr>
              <w:t>G3-2</w:t>
            </w:r>
          </w:p>
        </w:tc>
        <w:tc>
          <w:tcPr>
            <w:tcW w:w="369" w:type="pct"/>
            <w:tcBorders>
              <w:tl2br w:val="nil"/>
              <w:tr2bl w:val="nil"/>
            </w:tcBorders>
            <w:vAlign w:val="center"/>
          </w:tcPr>
          <w:p w14:paraId="657BD05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亚铵反应</w:t>
            </w:r>
          </w:p>
        </w:tc>
        <w:tc>
          <w:tcPr>
            <w:tcW w:w="446" w:type="pct"/>
            <w:tcBorders>
              <w:tl2br w:val="nil"/>
              <w:tr2bl w:val="nil"/>
            </w:tcBorders>
            <w:vAlign w:val="center"/>
          </w:tcPr>
          <w:p w14:paraId="0A7EBC84">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氨</w:t>
            </w:r>
          </w:p>
        </w:tc>
        <w:tc>
          <w:tcPr>
            <w:tcW w:w="605" w:type="pct"/>
            <w:tcBorders>
              <w:tl2br w:val="nil"/>
              <w:tr2bl w:val="nil"/>
            </w:tcBorders>
            <w:vAlign w:val="center"/>
          </w:tcPr>
          <w:p w14:paraId="260CEF8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1DBB9499">
            <w:pPr>
              <w:widowControl/>
              <w:spacing w:line="240" w:lineRule="auto"/>
              <w:ind w:firstLine="0" w:firstLineChars="0"/>
              <w:jc w:val="center"/>
              <w:textAlignment w:val="center"/>
              <w:rPr>
                <w:color w:val="auto"/>
                <w:sz w:val="21"/>
                <w:szCs w:val="21"/>
              </w:rPr>
            </w:pPr>
            <w:r>
              <w:rPr>
                <w:color w:val="auto"/>
                <w:kern w:val="0"/>
                <w:sz w:val="21"/>
                <w:szCs w:val="21"/>
                <w:lang w:bidi="ar"/>
              </w:rPr>
              <w:t>7.458</w:t>
            </w:r>
          </w:p>
        </w:tc>
        <w:tc>
          <w:tcPr>
            <w:tcW w:w="562" w:type="pct"/>
            <w:tcBorders>
              <w:tl2br w:val="nil"/>
              <w:tr2bl w:val="nil"/>
            </w:tcBorders>
            <w:vAlign w:val="center"/>
          </w:tcPr>
          <w:p w14:paraId="520247F6">
            <w:pPr>
              <w:widowControl/>
              <w:spacing w:line="240" w:lineRule="auto"/>
              <w:ind w:firstLine="0" w:firstLineChars="0"/>
              <w:jc w:val="center"/>
              <w:textAlignment w:val="center"/>
              <w:rPr>
                <w:color w:val="auto"/>
                <w:sz w:val="21"/>
                <w:szCs w:val="21"/>
              </w:rPr>
            </w:pPr>
            <w:r>
              <w:rPr>
                <w:color w:val="auto"/>
                <w:kern w:val="0"/>
                <w:sz w:val="21"/>
                <w:szCs w:val="21"/>
                <w:lang w:bidi="ar"/>
              </w:rPr>
              <w:t>4200</w:t>
            </w:r>
          </w:p>
        </w:tc>
        <w:tc>
          <w:tcPr>
            <w:tcW w:w="713" w:type="pct"/>
            <w:tcBorders>
              <w:tl2br w:val="nil"/>
              <w:tr2bl w:val="nil"/>
            </w:tcBorders>
            <w:vAlign w:val="center"/>
          </w:tcPr>
          <w:p w14:paraId="6C903BC0">
            <w:pPr>
              <w:widowControl/>
              <w:spacing w:line="240" w:lineRule="auto"/>
              <w:ind w:firstLine="0" w:firstLineChars="0"/>
              <w:jc w:val="center"/>
              <w:textAlignment w:val="center"/>
              <w:rPr>
                <w:color w:val="auto"/>
                <w:sz w:val="21"/>
                <w:szCs w:val="21"/>
              </w:rPr>
            </w:pPr>
            <w:r>
              <w:rPr>
                <w:color w:val="auto"/>
                <w:kern w:val="0"/>
                <w:sz w:val="21"/>
                <w:szCs w:val="21"/>
                <w:lang w:bidi="ar"/>
              </w:rPr>
              <w:t>1.776</w:t>
            </w:r>
          </w:p>
        </w:tc>
        <w:tc>
          <w:tcPr>
            <w:tcW w:w="384" w:type="pct"/>
            <w:vMerge w:val="continue"/>
            <w:tcBorders>
              <w:tl2br w:val="nil"/>
              <w:tr2bl w:val="nil"/>
            </w:tcBorders>
            <w:vAlign w:val="center"/>
          </w:tcPr>
          <w:p w14:paraId="0510A265">
            <w:pPr>
              <w:spacing w:line="240" w:lineRule="auto"/>
              <w:ind w:firstLine="0" w:firstLineChars="0"/>
              <w:jc w:val="center"/>
              <w:rPr>
                <w:rFonts w:cs="宋体"/>
                <w:color w:val="auto"/>
                <w:sz w:val="21"/>
                <w:szCs w:val="21"/>
              </w:rPr>
            </w:pPr>
          </w:p>
        </w:tc>
        <w:tc>
          <w:tcPr>
            <w:tcW w:w="722" w:type="pct"/>
            <w:vMerge w:val="continue"/>
            <w:tcBorders>
              <w:tl2br w:val="nil"/>
              <w:tr2bl w:val="nil"/>
            </w:tcBorders>
            <w:vAlign w:val="center"/>
          </w:tcPr>
          <w:p w14:paraId="07A55855">
            <w:pPr>
              <w:spacing w:line="240" w:lineRule="auto"/>
              <w:ind w:firstLine="0" w:firstLineChars="0"/>
              <w:jc w:val="center"/>
              <w:rPr>
                <w:rFonts w:cs="宋体"/>
                <w:color w:val="auto"/>
                <w:sz w:val="21"/>
                <w:szCs w:val="21"/>
              </w:rPr>
            </w:pPr>
          </w:p>
        </w:tc>
      </w:tr>
      <w:tr w14:paraId="084CE4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000" w:type="pct"/>
            <w:gridSpan w:val="9"/>
            <w:tcBorders>
              <w:tl2br w:val="nil"/>
              <w:tr2bl w:val="nil"/>
            </w:tcBorders>
            <w:vAlign w:val="center"/>
          </w:tcPr>
          <w:p w14:paraId="289053A3">
            <w:pPr>
              <w:widowControl/>
              <w:spacing w:line="240" w:lineRule="auto"/>
              <w:ind w:firstLine="0" w:firstLineChars="0"/>
              <w:jc w:val="center"/>
              <w:textAlignment w:val="center"/>
              <w:rPr>
                <w:rFonts w:cs="宋体"/>
                <w:bCs/>
                <w:color w:val="auto"/>
                <w:sz w:val="21"/>
                <w:szCs w:val="21"/>
              </w:rPr>
            </w:pPr>
            <w:r>
              <w:rPr>
                <w:rFonts w:hint="eastAsia" w:cs="宋体"/>
                <w:b/>
                <w:color w:val="auto"/>
                <w:kern w:val="0"/>
                <w:sz w:val="21"/>
                <w:szCs w:val="21"/>
                <w:lang w:bidi="ar"/>
              </w:rPr>
              <w:t>硫代硫酸钙</w:t>
            </w:r>
          </w:p>
        </w:tc>
      </w:tr>
      <w:tr w14:paraId="2D904A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17" w:type="pct"/>
            <w:tcBorders>
              <w:tl2br w:val="nil"/>
              <w:tr2bl w:val="nil"/>
            </w:tcBorders>
            <w:vAlign w:val="center"/>
          </w:tcPr>
          <w:p w14:paraId="7559E07F">
            <w:pPr>
              <w:widowControl/>
              <w:spacing w:line="240" w:lineRule="auto"/>
              <w:ind w:firstLine="0" w:firstLineChars="0"/>
              <w:jc w:val="center"/>
              <w:textAlignment w:val="center"/>
              <w:rPr>
                <w:color w:val="auto"/>
                <w:sz w:val="21"/>
                <w:szCs w:val="21"/>
              </w:rPr>
            </w:pPr>
            <w:r>
              <w:rPr>
                <w:color w:val="auto"/>
                <w:kern w:val="0"/>
                <w:sz w:val="21"/>
                <w:szCs w:val="21"/>
                <w:lang w:bidi="ar"/>
              </w:rPr>
              <w:t>G4-1</w:t>
            </w:r>
          </w:p>
        </w:tc>
        <w:tc>
          <w:tcPr>
            <w:tcW w:w="369" w:type="pct"/>
            <w:tcBorders>
              <w:tl2br w:val="nil"/>
              <w:tr2bl w:val="nil"/>
            </w:tcBorders>
            <w:vAlign w:val="center"/>
          </w:tcPr>
          <w:p w14:paraId="7CAA9F87">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复分解反应</w:t>
            </w:r>
          </w:p>
        </w:tc>
        <w:tc>
          <w:tcPr>
            <w:tcW w:w="446" w:type="pct"/>
            <w:tcBorders>
              <w:tl2br w:val="nil"/>
              <w:tr2bl w:val="nil"/>
            </w:tcBorders>
            <w:vAlign w:val="center"/>
          </w:tcPr>
          <w:p w14:paraId="604BF9A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氨</w:t>
            </w:r>
          </w:p>
        </w:tc>
        <w:tc>
          <w:tcPr>
            <w:tcW w:w="605" w:type="pct"/>
            <w:tcBorders>
              <w:tl2br w:val="nil"/>
              <w:tr2bl w:val="nil"/>
            </w:tcBorders>
            <w:vAlign w:val="center"/>
          </w:tcPr>
          <w:p w14:paraId="1F9DBAA3">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3531F257">
            <w:pPr>
              <w:widowControl/>
              <w:spacing w:line="240" w:lineRule="auto"/>
              <w:ind w:firstLine="0" w:firstLineChars="0"/>
              <w:jc w:val="center"/>
              <w:textAlignment w:val="center"/>
              <w:rPr>
                <w:color w:val="auto"/>
                <w:sz w:val="21"/>
                <w:szCs w:val="21"/>
              </w:rPr>
            </w:pPr>
            <w:r>
              <w:rPr>
                <w:color w:val="auto"/>
                <w:kern w:val="0"/>
                <w:sz w:val="21"/>
                <w:szCs w:val="21"/>
                <w:lang w:bidi="ar"/>
              </w:rPr>
              <w:t>1.187</w:t>
            </w:r>
          </w:p>
        </w:tc>
        <w:tc>
          <w:tcPr>
            <w:tcW w:w="562" w:type="pct"/>
            <w:tcBorders>
              <w:tl2br w:val="nil"/>
              <w:tr2bl w:val="nil"/>
            </w:tcBorders>
            <w:vAlign w:val="center"/>
          </w:tcPr>
          <w:p w14:paraId="4D3E742E">
            <w:pPr>
              <w:widowControl/>
              <w:spacing w:line="240" w:lineRule="auto"/>
              <w:ind w:firstLine="0" w:firstLineChars="0"/>
              <w:jc w:val="center"/>
              <w:textAlignment w:val="center"/>
              <w:rPr>
                <w:color w:val="auto"/>
                <w:sz w:val="21"/>
                <w:szCs w:val="21"/>
              </w:rPr>
            </w:pPr>
            <w:r>
              <w:rPr>
                <w:color w:val="auto"/>
                <w:kern w:val="0"/>
                <w:sz w:val="21"/>
                <w:szCs w:val="21"/>
                <w:lang w:bidi="ar"/>
              </w:rPr>
              <w:t>1884</w:t>
            </w:r>
          </w:p>
        </w:tc>
        <w:tc>
          <w:tcPr>
            <w:tcW w:w="713" w:type="pct"/>
            <w:tcBorders>
              <w:tl2br w:val="nil"/>
              <w:tr2bl w:val="nil"/>
            </w:tcBorders>
            <w:vAlign w:val="center"/>
          </w:tcPr>
          <w:p w14:paraId="52E11303">
            <w:pPr>
              <w:widowControl/>
              <w:spacing w:line="240" w:lineRule="auto"/>
              <w:ind w:firstLine="0" w:firstLineChars="0"/>
              <w:jc w:val="center"/>
              <w:textAlignment w:val="center"/>
              <w:rPr>
                <w:color w:val="auto"/>
                <w:sz w:val="21"/>
                <w:szCs w:val="21"/>
              </w:rPr>
            </w:pPr>
            <w:r>
              <w:rPr>
                <w:color w:val="auto"/>
                <w:kern w:val="0"/>
                <w:sz w:val="21"/>
                <w:szCs w:val="21"/>
                <w:lang w:bidi="ar"/>
              </w:rPr>
              <w:t>0.630</w:t>
            </w:r>
          </w:p>
        </w:tc>
        <w:tc>
          <w:tcPr>
            <w:tcW w:w="384" w:type="pct"/>
            <w:vMerge w:val="restart"/>
            <w:tcBorders>
              <w:tl2br w:val="nil"/>
              <w:tr2bl w:val="nil"/>
            </w:tcBorders>
            <w:vAlign w:val="center"/>
          </w:tcPr>
          <w:p w14:paraId="761F74AF">
            <w:pPr>
              <w:widowControl/>
              <w:spacing w:line="240" w:lineRule="auto"/>
              <w:ind w:firstLine="0" w:firstLineChars="0"/>
              <w:jc w:val="center"/>
              <w:textAlignment w:val="center"/>
              <w:rPr>
                <w:rFonts w:cs="宋体"/>
                <w:color w:val="auto"/>
                <w:sz w:val="21"/>
                <w:szCs w:val="21"/>
              </w:rPr>
            </w:pPr>
            <w:r>
              <w:rPr>
                <w:rFonts w:hint="eastAsia" w:cs="宋体"/>
                <w:color w:val="auto"/>
                <w:sz w:val="21"/>
                <w:szCs w:val="21"/>
              </w:rPr>
              <w:t>间歇</w:t>
            </w:r>
          </w:p>
        </w:tc>
        <w:tc>
          <w:tcPr>
            <w:tcW w:w="722" w:type="pct"/>
            <w:vMerge w:val="restart"/>
            <w:tcBorders>
              <w:tl2br w:val="nil"/>
              <w:tr2bl w:val="nil"/>
            </w:tcBorders>
            <w:vAlign w:val="center"/>
          </w:tcPr>
          <w:p w14:paraId="556906B2">
            <w:pPr>
              <w:widowControl/>
              <w:spacing w:line="240" w:lineRule="auto"/>
              <w:ind w:firstLine="0" w:firstLineChars="0"/>
              <w:jc w:val="center"/>
              <w:textAlignment w:val="center"/>
              <w:rPr>
                <w:rFonts w:cs="宋体"/>
                <w:color w:val="auto"/>
                <w:sz w:val="21"/>
                <w:szCs w:val="21"/>
              </w:rPr>
            </w:pPr>
            <w:r>
              <w:rPr>
                <w:rStyle w:val="40"/>
                <w:rFonts w:hint="default" w:ascii="Times New Roman" w:hAnsi="Times New Roman"/>
                <w:color w:val="auto"/>
                <w:lang w:bidi="ar"/>
              </w:rPr>
              <w:t>水喷淋吸收</w:t>
            </w:r>
            <w:r>
              <w:rPr>
                <w:rStyle w:val="41"/>
                <w:color w:val="auto"/>
                <w:lang w:bidi="ar"/>
              </w:rPr>
              <w:t>+3#</w:t>
            </w:r>
            <w:r>
              <w:rPr>
                <w:rStyle w:val="40"/>
                <w:rFonts w:hint="default" w:ascii="Times New Roman" w:hAnsi="Times New Roman"/>
                <w:color w:val="auto"/>
                <w:lang w:bidi="ar"/>
              </w:rPr>
              <w:t>车间三级碱吸收</w:t>
            </w:r>
            <w:r>
              <w:rPr>
                <w:rStyle w:val="41"/>
                <w:color w:val="auto"/>
                <w:lang w:bidi="ar"/>
              </w:rPr>
              <w:t>+</w:t>
            </w:r>
            <w:r>
              <w:rPr>
                <w:rStyle w:val="40"/>
                <w:rFonts w:hint="default" w:ascii="Times New Roman" w:hAnsi="Times New Roman"/>
                <w:color w:val="auto"/>
                <w:lang w:bidi="ar"/>
              </w:rPr>
              <w:t>水喷淋</w:t>
            </w:r>
          </w:p>
        </w:tc>
      </w:tr>
      <w:tr w14:paraId="154B47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17" w:type="pct"/>
            <w:tcBorders>
              <w:tl2br w:val="nil"/>
              <w:tr2bl w:val="nil"/>
            </w:tcBorders>
            <w:vAlign w:val="center"/>
          </w:tcPr>
          <w:p w14:paraId="128E0D04">
            <w:pPr>
              <w:widowControl/>
              <w:spacing w:line="240" w:lineRule="auto"/>
              <w:ind w:firstLine="0" w:firstLineChars="0"/>
              <w:jc w:val="center"/>
              <w:textAlignment w:val="center"/>
              <w:rPr>
                <w:color w:val="auto"/>
                <w:sz w:val="21"/>
                <w:szCs w:val="21"/>
              </w:rPr>
            </w:pPr>
            <w:r>
              <w:rPr>
                <w:color w:val="auto"/>
                <w:kern w:val="0"/>
                <w:sz w:val="21"/>
                <w:szCs w:val="21"/>
                <w:lang w:bidi="ar"/>
              </w:rPr>
              <w:t>G4-2</w:t>
            </w:r>
          </w:p>
        </w:tc>
        <w:tc>
          <w:tcPr>
            <w:tcW w:w="369" w:type="pct"/>
            <w:tcBorders>
              <w:tl2br w:val="nil"/>
              <w:tr2bl w:val="nil"/>
            </w:tcBorders>
            <w:vAlign w:val="center"/>
          </w:tcPr>
          <w:p w14:paraId="2A777FB0">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吸收</w:t>
            </w:r>
          </w:p>
        </w:tc>
        <w:tc>
          <w:tcPr>
            <w:tcW w:w="446" w:type="pct"/>
            <w:tcBorders>
              <w:tl2br w:val="nil"/>
              <w:tr2bl w:val="nil"/>
            </w:tcBorders>
            <w:vAlign w:val="center"/>
          </w:tcPr>
          <w:p w14:paraId="20DCD4C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氨</w:t>
            </w:r>
          </w:p>
        </w:tc>
        <w:tc>
          <w:tcPr>
            <w:tcW w:w="605" w:type="pct"/>
            <w:tcBorders>
              <w:tl2br w:val="nil"/>
              <w:tr2bl w:val="nil"/>
            </w:tcBorders>
            <w:vAlign w:val="center"/>
          </w:tcPr>
          <w:p w14:paraId="6FBCD5C5">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2C07F22E">
            <w:pPr>
              <w:widowControl/>
              <w:spacing w:line="240" w:lineRule="auto"/>
              <w:ind w:firstLine="0" w:firstLineChars="0"/>
              <w:jc w:val="center"/>
              <w:textAlignment w:val="center"/>
              <w:rPr>
                <w:color w:val="auto"/>
                <w:sz w:val="21"/>
                <w:szCs w:val="21"/>
              </w:rPr>
            </w:pPr>
            <w:r>
              <w:rPr>
                <w:color w:val="auto"/>
                <w:kern w:val="0"/>
                <w:sz w:val="21"/>
                <w:szCs w:val="21"/>
                <w:lang w:bidi="ar"/>
              </w:rPr>
              <w:t>5.876</w:t>
            </w:r>
          </w:p>
        </w:tc>
        <w:tc>
          <w:tcPr>
            <w:tcW w:w="562" w:type="pct"/>
            <w:tcBorders>
              <w:tl2br w:val="nil"/>
              <w:tr2bl w:val="nil"/>
            </w:tcBorders>
            <w:vAlign w:val="center"/>
          </w:tcPr>
          <w:p w14:paraId="4DDC4BE0">
            <w:pPr>
              <w:widowControl/>
              <w:spacing w:line="240" w:lineRule="auto"/>
              <w:ind w:firstLine="0" w:firstLineChars="0"/>
              <w:jc w:val="center"/>
              <w:textAlignment w:val="center"/>
              <w:rPr>
                <w:color w:val="auto"/>
                <w:sz w:val="21"/>
                <w:szCs w:val="21"/>
              </w:rPr>
            </w:pPr>
            <w:r>
              <w:rPr>
                <w:color w:val="auto"/>
                <w:kern w:val="0"/>
                <w:sz w:val="21"/>
                <w:szCs w:val="21"/>
                <w:lang w:bidi="ar"/>
              </w:rPr>
              <w:t>1884</w:t>
            </w:r>
          </w:p>
        </w:tc>
        <w:tc>
          <w:tcPr>
            <w:tcW w:w="713" w:type="pct"/>
            <w:tcBorders>
              <w:tl2br w:val="nil"/>
              <w:tr2bl w:val="nil"/>
            </w:tcBorders>
            <w:vAlign w:val="center"/>
          </w:tcPr>
          <w:p w14:paraId="02AF05DF">
            <w:pPr>
              <w:widowControl/>
              <w:spacing w:line="240" w:lineRule="auto"/>
              <w:ind w:firstLine="0" w:firstLineChars="0"/>
              <w:jc w:val="center"/>
              <w:textAlignment w:val="center"/>
              <w:rPr>
                <w:color w:val="auto"/>
                <w:sz w:val="21"/>
                <w:szCs w:val="21"/>
              </w:rPr>
            </w:pPr>
            <w:r>
              <w:rPr>
                <w:color w:val="auto"/>
                <w:kern w:val="0"/>
                <w:sz w:val="21"/>
                <w:szCs w:val="21"/>
                <w:lang w:bidi="ar"/>
              </w:rPr>
              <w:t>3.119</w:t>
            </w:r>
          </w:p>
        </w:tc>
        <w:tc>
          <w:tcPr>
            <w:tcW w:w="384" w:type="pct"/>
            <w:vMerge w:val="continue"/>
            <w:tcBorders>
              <w:tl2br w:val="nil"/>
              <w:tr2bl w:val="nil"/>
            </w:tcBorders>
            <w:vAlign w:val="center"/>
          </w:tcPr>
          <w:p w14:paraId="73B80B4F">
            <w:pPr>
              <w:spacing w:line="240" w:lineRule="auto"/>
              <w:ind w:firstLine="0" w:firstLineChars="0"/>
              <w:jc w:val="center"/>
              <w:rPr>
                <w:rFonts w:cs="宋体"/>
                <w:color w:val="auto"/>
                <w:sz w:val="21"/>
                <w:szCs w:val="21"/>
              </w:rPr>
            </w:pPr>
          </w:p>
        </w:tc>
        <w:tc>
          <w:tcPr>
            <w:tcW w:w="722" w:type="pct"/>
            <w:vMerge w:val="continue"/>
            <w:tcBorders>
              <w:tl2br w:val="nil"/>
              <w:tr2bl w:val="nil"/>
            </w:tcBorders>
            <w:vAlign w:val="center"/>
          </w:tcPr>
          <w:p w14:paraId="00A297FA">
            <w:pPr>
              <w:spacing w:line="240" w:lineRule="auto"/>
              <w:ind w:firstLine="0" w:firstLineChars="0"/>
              <w:jc w:val="center"/>
              <w:rPr>
                <w:rFonts w:cs="宋体"/>
                <w:color w:val="auto"/>
                <w:sz w:val="21"/>
                <w:szCs w:val="21"/>
              </w:rPr>
            </w:pPr>
          </w:p>
        </w:tc>
      </w:tr>
      <w:tr w14:paraId="1BDB12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000" w:type="pct"/>
            <w:gridSpan w:val="9"/>
            <w:tcBorders>
              <w:tl2br w:val="nil"/>
              <w:tr2bl w:val="nil"/>
            </w:tcBorders>
            <w:vAlign w:val="center"/>
          </w:tcPr>
          <w:p w14:paraId="7AB57572">
            <w:pPr>
              <w:widowControl/>
              <w:spacing w:line="240" w:lineRule="auto"/>
              <w:ind w:firstLine="0" w:firstLineChars="0"/>
              <w:jc w:val="center"/>
              <w:textAlignment w:val="center"/>
              <w:rPr>
                <w:rFonts w:cs="宋体"/>
                <w:bCs/>
                <w:color w:val="auto"/>
                <w:sz w:val="21"/>
                <w:szCs w:val="21"/>
              </w:rPr>
            </w:pPr>
            <w:r>
              <w:rPr>
                <w:rFonts w:hint="eastAsia" w:cs="宋体"/>
                <w:b/>
                <w:color w:val="auto"/>
                <w:kern w:val="0"/>
                <w:sz w:val="21"/>
                <w:szCs w:val="21"/>
                <w:lang w:bidi="ar"/>
              </w:rPr>
              <w:t>硫代硫酸镁</w:t>
            </w:r>
          </w:p>
        </w:tc>
      </w:tr>
      <w:tr w14:paraId="600CA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517" w:type="pct"/>
            <w:tcBorders>
              <w:tl2br w:val="nil"/>
              <w:tr2bl w:val="nil"/>
            </w:tcBorders>
            <w:vAlign w:val="center"/>
          </w:tcPr>
          <w:p w14:paraId="49D32EB5">
            <w:pPr>
              <w:widowControl/>
              <w:spacing w:line="240" w:lineRule="auto"/>
              <w:ind w:firstLine="0" w:firstLineChars="0"/>
              <w:jc w:val="center"/>
              <w:textAlignment w:val="center"/>
              <w:rPr>
                <w:color w:val="auto"/>
                <w:sz w:val="21"/>
                <w:szCs w:val="21"/>
              </w:rPr>
            </w:pPr>
            <w:r>
              <w:rPr>
                <w:color w:val="auto"/>
                <w:kern w:val="0"/>
                <w:sz w:val="21"/>
                <w:szCs w:val="21"/>
                <w:lang w:bidi="ar"/>
              </w:rPr>
              <w:t>G5-1</w:t>
            </w:r>
          </w:p>
        </w:tc>
        <w:tc>
          <w:tcPr>
            <w:tcW w:w="369" w:type="pct"/>
            <w:tcBorders>
              <w:tl2br w:val="nil"/>
              <w:tr2bl w:val="nil"/>
            </w:tcBorders>
            <w:vAlign w:val="center"/>
          </w:tcPr>
          <w:p w14:paraId="7FEE9E0E">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中和</w:t>
            </w:r>
          </w:p>
        </w:tc>
        <w:tc>
          <w:tcPr>
            <w:tcW w:w="446" w:type="pct"/>
            <w:tcBorders>
              <w:tl2br w:val="nil"/>
              <w:tr2bl w:val="nil"/>
            </w:tcBorders>
            <w:vAlign w:val="center"/>
          </w:tcPr>
          <w:p w14:paraId="1D79E635">
            <w:pPr>
              <w:widowControl/>
              <w:spacing w:line="240" w:lineRule="auto"/>
              <w:ind w:firstLine="0" w:firstLineChars="0"/>
              <w:jc w:val="center"/>
              <w:textAlignment w:val="center"/>
              <w:rPr>
                <w:color w:val="auto"/>
                <w:sz w:val="21"/>
                <w:szCs w:val="21"/>
              </w:rPr>
            </w:pPr>
            <w:r>
              <w:rPr>
                <w:rFonts w:hint="eastAsia" w:cs="宋体"/>
                <w:color w:val="auto"/>
                <w:kern w:val="0"/>
                <w:sz w:val="21"/>
                <w:szCs w:val="21"/>
                <w:lang w:bidi="ar"/>
              </w:rPr>
              <w:t>SO</w:t>
            </w:r>
            <w:r>
              <w:rPr>
                <w:rFonts w:hint="eastAsia" w:cs="宋体"/>
                <w:color w:val="auto"/>
                <w:kern w:val="0"/>
                <w:sz w:val="21"/>
                <w:szCs w:val="21"/>
                <w:vertAlign w:val="subscript"/>
                <w:lang w:bidi="ar"/>
              </w:rPr>
              <w:t>2</w:t>
            </w:r>
          </w:p>
        </w:tc>
        <w:tc>
          <w:tcPr>
            <w:tcW w:w="605" w:type="pct"/>
            <w:tcBorders>
              <w:tl2br w:val="nil"/>
              <w:tr2bl w:val="nil"/>
            </w:tcBorders>
            <w:vAlign w:val="center"/>
          </w:tcPr>
          <w:p w14:paraId="3C82FD3D">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1389931B">
            <w:pPr>
              <w:widowControl/>
              <w:spacing w:line="240" w:lineRule="auto"/>
              <w:ind w:firstLine="0" w:firstLineChars="0"/>
              <w:jc w:val="center"/>
              <w:textAlignment w:val="center"/>
              <w:rPr>
                <w:color w:val="auto"/>
                <w:sz w:val="21"/>
                <w:szCs w:val="21"/>
              </w:rPr>
            </w:pPr>
            <w:r>
              <w:rPr>
                <w:color w:val="auto"/>
                <w:kern w:val="0"/>
                <w:sz w:val="21"/>
                <w:szCs w:val="21"/>
                <w:lang w:bidi="ar"/>
              </w:rPr>
              <w:t>3.608</w:t>
            </w:r>
          </w:p>
        </w:tc>
        <w:tc>
          <w:tcPr>
            <w:tcW w:w="562" w:type="pct"/>
            <w:tcBorders>
              <w:tl2br w:val="nil"/>
              <w:tr2bl w:val="nil"/>
            </w:tcBorders>
            <w:vAlign w:val="center"/>
          </w:tcPr>
          <w:p w14:paraId="4C83D509">
            <w:pPr>
              <w:widowControl/>
              <w:spacing w:line="240" w:lineRule="auto"/>
              <w:ind w:firstLine="0" w:firstLineChars="0"/>
              <w:jc w:val="center"/>
              <w:textAlignment w:val="center"/>
              <w:rPr>
                <w:color w:val="auto"/>
                <w:sz w:val="21"/>
                <w:szCs w:val="21"/>
              </w:rPr>
            </w:pPr>
            <w:r>
              <w:rPr>
                <w:color w:val="auto"/>
                <w:kern w:val="0"/>
                <w:sz w:val="21"/>
                <w:szCs w:val="21"/>
                <w:lang w:bidi="ar"/>
              </w:rPr>
              <w:t>390</w:t>
            </w:r>
          </w:p>
        </w:tc>
        <w:tc>
          <w:tcPr>
            <w:tcW w:w="713" w:type="pct"/>
            <w:tcBorders>
              <w:tl2br w:val="nil"/>
              <w:tr2bl w:val="nil"/>
            </w:tcBorders>
            <w:vAlign w:val="center"/>
          </w:tcPr>
          <w:p w14:paraId="4EEF1F91">
            <w:pPr>
              <w:widowControl/>
              <w:spacing w:line="240" w:lineRule="auto"/>
              <w:ind w:firstLine="0" w:firstLineChars="0"/>
              <w:jc w:val="center"/>
              <w:textAlignment w:val="center"/>
              <w:rPr>
                <w:color w:val="auto"/>
                <w:sz w:val="21"/>
                <w:szCs w:val="21"/>
              </w:rPr>
            </w:pPr>
            <w:r>
              <w:rPr>
                <w:color w:val="auto"/>
                <w:kern w:val="0"/>
                <w:sz w:val="21"/>
                <w:szCs w:val="21"/>
                <w:lang w:bidi="ar"/>
              </w:rPr>
              <w:t>9.250</w:t>
            </w:r>
          </w:p>
        </w:tc>
        <w:tc>
          <w:tcPr>
            <w:tcW w:w="384" w:type="pct"/>
            <w:tcBorders>
              <w:tl2br w:val="nil"/>
              <w:tr2bl w:val="nil"/>
            </w:tcBorders>
            <w:vAlign w:val="center"/>
          </w:tcPr>
          <w:p w14:paraId="130FB6B7">
            <w:pPr>
              <w:widowControl/>
              <w:spacing w:line="240" w:lineRule="auto"/>
              <w:ind w:firstLine="0" w:firstLineChars="0"/>
              <w:jc w:val="center"/>
              <w:textAlignment w:val="center"/>
              <w:rPr>
                <w:rFonts w:cs="宋体"/>
                <w:color w:val="auto"/>
                <w:sz w:val="21"/>
                <w:szCs w:val="21"/>
              </w:rPr>
            </w:pPr>
            <w:r>
              <w:rPr>
                <w:rFonts w:hint="eastAsia" w:cs="宋体"/>
                <w:color w:val="auto"/>
                <w:sz w:val="21"/>
                <w:szCs w:val="21"/>
              </w:rPr>
              <w:t>间歇</w:t>
            </w:r>
          </w:p>
        </w:tc>
        <w:tc>
          <w:tcPr>
            <w:tcW w:w="722" w:type="pct"/>
            <w:tcBorders>
              <w:tl2br w:val="nil"/>
              <w:tr2bl w:val="nil"/>
            </w:tcBorders>
            <w:vAlign w:val="center"/>
          </w:tcPr>
          <w:p w14:paraId="554215C7">
            <w:pPr>
              <w:widowControl/>
              <w:spacing w:line="240" w:lineRule="auto"/>
              <w:ind w:firstLine="0" w:firstLineChars="0"/>
              <w:jc w:val="center"/>
              <w:textAlignment w:val="center"/>
              <w:rPr>
                <w:rFonts w:cs="宋体"/>
                <w:color w:val="auto"/>
                <w:sz w:val="21"/>
                <w:szCs w:val="21"/>
              </w:rPr>
            </w:pPr>
            <w:r>
              <w:rPr>
                <w:rStyle w:val="40"/>
                <w:rFonts w:hint="default" w:ascii="Times New Roman" w:hAnsi="Times New Roman"/>
                <w:color w:val="auto"/>
                <w:lang w:bidi="ar"/>
              </w:rPr>
              <w:t>水喷淋吸收</w:t>
            </w:r>
            <w:r>
              <w:rPr>
                <w:rStyle w:val="41"/>
                <w:color w:val="auto"/>
                <w:lang w:bidi="ar"/>
              </w:rPr>
              <w:t>+</w:t>
            </w:r>
            <w:r>
              <w:rPr>
                <w:rStyle w:val="40"/>
                <w:rFonts w:hint="default" w:ascii="Times New Roman" w:hAnsi="Times New Roman"/>
                <w:color w:val="auto"/>
                <w:lang w:bidi="ar"/>
              </w:rPr>
              <w:t>电除雾处理</w:t>
            </w:r>
          </w:p>
        </w:tc>
      </w:tr>
      <w:tr w14:paraId="3F3121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000" w:type="pct"/>
            <w:gridSpan w:val="9"/>
            <w:tcBorders>
              <w:tl2br w:val="nil"/>
              <w:tr2bl w:val="nil"/>
            </w:tcBorders>
            <w:vAlign w:val="center"/>
          </w:tcPr>
          <w:p w14:paraId="74E5FAD7">
            <w:pPr>
              <w:widowControl/>
              <w:spacing w:line="240" w:lineRule="auto"/>
              <w:ind w:firstLine="0" w:firstLineChars="0"/>
              <w:jc w:val="center"/>
              <w:textAlignment w:val="center"/>
              <w:rPr>
                <w:rFonts w:cs="宋体"/>
                <w:bCs/>
                <w:color w:val="auto"/>
                <w:sz w:val="21"/>
                <w:szCs w:val="21"/>
              </w:rPr>
            </w:pPr>
            <w:r>
              <w:rPr>
                <w:rFonts w:hint="eastAsia" w:cs="宋体"/>
                <w:b/>
                <w:color w:val="auto"/>
                <w:kern w:val="0"/>
                <w:sz w:val="21"/>
                <w:szCs w:val="21"/>
                <w:lang w:bidi="ar"/>
              </w:rPr>
              <w:t>一水亚硫酸铵（氨工艺）</w:t>
            </w:r>
          </w:p>
        </w:tc>
      </w:tr>
      <w:tr w14:paraId="13BA8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517" w:type="pct"/>
            <w:tcBorders>
              <w:tl2br w:val="nil"/>
              <w:tr2bl w:val="nil"/>
            </w:tcBorders>
            <w:vAlign w:val="center"/>
          </w:tcPr>
          <w:p w14:paraId="22D32EE3">
            <w:pPr>
              <w:widowControl/>
              <w:spacing w:line="240" w:lineRule="auto"/>
              <w:ind w:firstLine="0" w:firstLineChars="0"/>
              <w:jc w:val="center"/>
              <w:textAlignment w:val="center"/>
              <w:rPr>
                <w:color w:val="auto"/>
                <w:sz w:val="21"/>
                <w:szCs w:val="21"/>
              </w:rPr>
            </w:pPr>
            <w:r>
              <w:rPr>
                <w:color w:val="auto"/>
                <w:kern w:val="0"/>
                <w:sz w:val="21"/>
                <w:szCs w:val="21"/>
                <w:lang w:bidi="ar"/>
              </w:rPr>
              <w:t>G7-1</w:t>
            </w:r>
          </w:p>
        </w:tc>
        <w:tc>
          <w:tcPr>
            <w:tcW w:w="369" w:type="pct"/>
            <w:tcBorders>
              <w:tl2br w:val="nil"/>
              <w:tr2bl w:val="nil"/>
            </w:tcBorders>
            <w:vAlign w:val="center"/>
          </w:tcPr>
          <w:p w14:paraId="6C287A3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配置</w:t>
            </w:r>
          </w:p>
        </w:tc>
        <w:tc>
          <w:tcPr>
            <w:tcW w:w="446" w:type="pct"/>
            <w:tcBorders>
              <w:tl2br w:val="nil"/>
              <w:tr2bl w:val="nil"/>
            </w:tcBorders>
            <w:vAlign w:val="center"/>
          </w:tcPr>
          <w:p w14:paraId="454FDE65">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氨</w:t>
            </w:r>
          </w:p>
        </w:tc>
        <w:tc>
          <w:tcPr>
            <w:tcW w:w="605" w:type="pct"/>
            <w:tcBorders>
              <w:tl2br w:val="nil"/>
              <w:tr2bl w:val="nil"/>
            </w:tcBorders>
            <w:vAlign w:val="center"/>
          </w:tcPr>
          <w:p w14:paraId="5CB44A34">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密闭管道收集</w:t>
            </w:r>
          </w:p>
        </w:tc>
        <w:tc>
          <w:tcPr>
            <w:tcW w:w="675" w:type="pct"/>
            <w:tcBorders>
              <w:tl2br w:val="nil"/>
              <w:tr2bl w:val="nil"/>
            </w:tcBorders>
            <w:vAlign w:val="center"/>
          </w:tcPr>
          <w:p w14:paraId="579A80D4">
            <w:pPr>
              <w:widowControl/>
              <w:spacing w:line="240" w:lineRule="auto"/>
              <w:ind w:firstLine="0" w:firstLineChars="0"/>
              <w:jc w:val="center"/>
              <w:textAlignment w:val="center"/>
              <w:rPr>
                <w:color w:val="auto"/>
                <w:sz w:val="21"/>
                <w:szCs w:val="21"/>
              </w:rPr>
            </w:pPr>
            <w:r>
              <w:rPr>
                <w:color w:val="auto"/>
                <w:kern w:val="0"/>
                <w:sz w:val="21"/>
                <w:szCs w:val="21"/>
                <w:lang w:bidi="ar"/>
              </w:rPr>
              <w:t>2.475</w:t>
            </w:r>
          </w:p>
        </w:tc>
        <w:tc>
          <w:tcPr>
            <w:tcW w:w="562" w:type="pct"/>
            <w:tcBorders>
              <w:tl2br w:val="nil"/>
              <w:tr2bl w:val="nil"/>
            </w:tcBorders>
            <w:vAlign w:val="center"/>
          </w:tcPr>
          <w:p w14:paraId="69457382">
            <w:pPr>
              <w:widowControl/>
              <w:spacing w:line="240" w:lineRule="auto"/>
              <w:ind w:firstLine="0" w:firstLineChars="0"/>
              <w:jc w:val="center"/>
              <w:textAlignment w:val="center"/>
              <w:rPr>
                <w:color w:val="auto"/>
                <w:sz w:val="21"/>
                <w:szCs w:val="21"/>
              </w:rPr>
            </w:pPr>
            <w:r>
              <w:rPr>
                <w:color w:val="auto"/>
                <w:kern w:val="0"/>
                <w:sz w:val="21"/>
                <w:szCs w:val="21"/>
                <w:lang w:bidi="ar"/>
              </w:rPr>
              <w:t>7200</w:t>
            </w:r>
          </w:p>
        </w:tc>
        <w:tc>
          <w:tcPr>
            <w:tcW w:w="713" w:type="pct"/>
            <w:tcBorders>
              <w:tl2br w:val="nil"/>
              <w:tr2bl w:val="nil"/>
            </w:tcBorders>
            <w:vAlign w:val="center"/>
          </w:tcPr>
          <w:p w14:paraId="59D78EC0">
            <w:pPr>
              <w:widowControl/>
              <w:spacing w:line="240" w:lineRule="auto"/>
              <w:ind w:firstLine="0" w:firstLineChars="0"/>
              <w:jc w:val="center"/>
              <w:textAlignment w:val="center"/>
              <w:rPr>
                <w:color w:val="auto"/>
                <w:sz w:val="21"/>
                <w:szCs w:val="21"/>
              </w:rPr>
            </w:pPr>
            <w:r>
              <w:rPr>
                <w:color w:val="auto"/>
                <w:kern w:val="0"/>
                <w:sz w:val="21"/>
                <w:szCs w:val="21"/>
                <w:lang w:bidi="ar"/>
              </w:rPr>
              <w:t>0.344</w:t>
            </w:r>
          </w:p>
        </w:tc>
        <w:tc>
          <w:tcPr>
            <w:tcW w:w="384" w:type="pct"/>
            <w:tcBorders>
              <w:tl2br w:val="nil"/>
              <w:tr2bl w:val="nil"/>
            </w:tcBorders>
            <w:vAlign w:val="center"/>
          </w:tcPr>
          <w:p w14:paraId="1981CEFD">
            <w:pPr>
              <w:widowControl/>
              <w:spacing w:line="240" w:lineRule="auto"/>
              <w:ind w:firstLine="0" w:firstLineChars="0"/>
              <w:jc w:val="center"/>
              <w:textAlignment w:val="center"/>
              <w:rPr>
                <w:rFonts w:cs="宋体"/>
                <w:color w:val="auto"/>
                <w:sz w:val="21"/>
                <w:szCs w:val="21"/>
              </w:rPr>
            </w:pPr>
            <w:r>
              <w:rPr>
                <w:rFonts w:hint="eastAsia" w:cs="宋体"/>
                <w:color w:val="auto"/>
                <w:sz w:val="21"/>
                <w:szCs w:val="21"/>
              </w:rPr>
              <w:t>间歇</w:t>
            </w:r>
          </w:p>
        </w:tc>
        <w:tc>
          <w:tcPr>
            <w:tcW w:w="722" w:type="pct"/>
            <w:tcBorders>
              <w:tl2br w:val="nil"/>
              <w:tr2bl w:val="nil"/>
            </w:tcBorders>
            <w:vAlign w:val="center"/>
          </w:tcPr>
          <w:p w14:paraId="70FAF3D4">
            <w:pPr>
              <w:widowControl/>
              <w:spacing w:line="240" w:lineRule="auto"/>
              <w:ind w:firstLine="0" w:firstLineChars="0"/>
              <w:jc w:val="center"/>
              <w:textAlignment w:val="center"/>
              <w:rPr>
                <w:rFonts w:cs="宋体"/>
                <w:color w:val="auto"/>
                <w:sz w:val="21"/>
                <w:szCs w:val="21"/>
              </w:rPr>
            </w:pPr>
            <w:r>
              <w:rPr>
                <w:rStyle w:val="40"/>
                <w:rFonts w:hint="default" w:ascii="Times New Roman" w:hAnsi="Times New Roman"/>
                <w:color w:val="auto"/>
                <w:lang w:bidi="ar"/>
              </w:rPr>
              <w:t>碱吸收</w:t>
            </w:r>
            <w:r>
              <w:rPr>
                <w:rStyle w:val="41"/>
                <w:color w:val="auto"/>
                <w:lang w:bidi="ar"/>
              </w:rPr>
              <w:t>+</w:t>
            </w:r>
            <w:r>
              <w:rPr>
                <w:rStyle w:val="40"/>
                <w:rFonts w:hint="default" w:ascii="Times New Roman" w:hAnsi="Times New Roman"/>
                <w:color w:val="auto"/>
                <w:lang w:bidi="ar"/>
              </w:rPr>
              <w:t>水喷淋＋电除雾</w:t>
            </w:r>
          </w:p>
        </w:tc>
      </w:tr>
    </w:tbl>
    <w:p w14:paraId="6CB6B4F3">
      <w:pPr>
        <w:pStyle w:val="7"/>
        <w:ind w:firstLine="480"/>
        <w:rPr>
          <w:color w:val="auto"/>
          <w:kern w:val="0"/>
          <w:szCs w:val="20"/>
        </w:rPr>
        <w:sectPr>
          <w:pgSz w:w="16838" w:h="11906" w:orient="landscape"/>
          <w:pgMar w:top="1134" w:right="1134" w:bottom="1134" w:left="1134" w:header="851" w:footer="992" w:gutter="0"/>
          <w:cols w:space="425" w:num="1"/>
          <w:docGrid w:type="lines" w:linePitch="312" w:charSpace="0"/>
        </w:sectPr>
      </w:pPr>
    </w:p>
    <w:p w14:paraId="598EC34F">
      <w:pPr>
        <w:pStyle w:val="49"/>
        <w:rPr>
          <w:color w:val="auto"/>
        </w:rPr>
      </w:pPr>
      <w:r>
        <w:rPr>
          <w:color w:val="auto"/>
        </w:rPr>
        <w:t>表</w:t>
      </w:r>
      <w:r>
        <w:rPr>
          <w:rFonts w:hint="eastAsia"/>
          <w:color w:val="auto"/>
        </w:rPr>
        <w:t>3</w:t>
      </w:r>
      <w:r>
        <w:rPr>
          <w:color w:val="auto"/>
        </w:rPr>
        <w:t>.7</w:t>
      </w:r>
      <w:r>
        <w:rPr>
          <w:rFonts w:hint="eastAsia"/>
          <w:color w:val="auto"/>
        </w:rPr>
        <w:t>.2-6</w:t>
      </w:r>
      <w:r>
        <w:rPr>
          <w:color w:val="auto"/>
        </w:rPr>
        <w:t xml:space="preserve"> </w:t>
      </w:r>
      <w:r>
        <w:rPr>
          <w:rFonts w:hint="eastAsia"/>
          <w:color w:val="auto"/>
        </w:rPr>
        <w:t xml:space="preserve"> </w:t>
      </w:r>
      <w:r>
        <w:rPr>
          <w:color w:val="auto"/>
        </w:rPr>
        <w:t>拟建项目有组织废气产生、排放状况</w:t>
      </w:r>
    </w:p>
    <w:tbl>
      <w:tblPr>
        <w:tblStyle w:val="24"/>
        <w:tblW w:w="50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620"/>
        <w:gridCol w:w="1189"/>
        <w:gridCol w:w="1246"/>
        <w:gridCol w:w="621"/>
        <w:gridCol w:w="736"/>
        <w:gridCol w:w="644"/>
        <w:gridCol w:w="712"/>
        <w:gridCol w:w="1996"/>
        <w:gridCol w:w="444"/>
        <w:gridCol w:w="736"/>
        <w:gridCol w:w="802"/>
        <w:gridCol w:w="880"/>
        <w:gridCol w:w="637"/>
        <w:gridCol w:w="755"/>
        <w:gridCol w:w="549"/>
        <w:gridCol w:w="558"/>
        <w:gridCol w:w="558"/>
        <w:gridCol w:w="549"/>
        <w:gridCol w:w="621"/>
      </w:tblGrid>
      <w:tr w14:paraId="1E7916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vMerge w:val="restart"/>
            <w:tcBorders>
              <w:tl2br w:val="nil"/>
              <w:tr2bl w:val="nil"/>
            </w:tcBorders>
            <w:noWrap/>
            <w:vAlign w:val="center"/>
          </w:tcPr>
          <w:p w14:paraId="05032F29">
            <w:pPr>
              <w:widowControl/>
              <w:spacing w:line="240" w:lineRule="auto"/>
              <w:ind w:firstLine="0" w:firstLineChars="0"/>
              <w:jc w:val="center"/>
              <w:textAlignment w:val="center"/>
              <w:rPr>
                <w:b/>
                <w:color w:val="auto"/>
                <w:sz w:val="21"/>
                <w:szCs w:val="21"/>
              </w:rPr>
            </w:pPr>
            <w:r>
              <w:rPr>
                <w:b/>
                <w:color w:val="auto"/>
                <w:kern w:val="0"/>
                <w:sz w:val="21"/>
                <w:szCs w:val="21"/>
                <w:lang w:bidi="ar"/>
              </w:rPr>
              <w:t>废气编号</w:t>
            </w:r>
          </w:p>
        </w:tc>
        <w:tc>
          <w:tcPr>
            <w:tcW w:w="1189" w:type="dxa"/>
            <w:vMerge w:val="restart"/>
            <w:tcBorders>
              <w:tl2br w:val="nil"/>
              <w:tr2bl w:val="nil"/>
            </w:tcBorders>
            <w:noWrap/>
            <w:vAlign w:val="center"/>
          </w:tcPr>
          <w:p w14:paraId="6634FBED">
            <w:pPr>
              <w:widowControl/>
              <w:spacing w:line="240" w:lineRule="auto"/>
              <w:ind w:firstLine="0" w:firstLineChars="0"/>
              <w:jc w:val="center"/>
              <w:textAlignment w:val="center"/>
              <w:rPr>
                <w:b/>
                <w:color w:val="auto"/>
                <w:kern w:val="0"/>
                <w:sz w:val="21"/>
                <w:szCs w:val="21"/>
                <w:lang w:bidi="ar"/>
              </w:rPr>
            </w:pPr>
            <w:r>
              <w:rPr>
                <w:rFonts w:hint="eastAsia"/>
                <w:b/>
                <w:color w:val="auto"/>
                <w:kern w:val="0"/>
                <w:sz w:val="21"/>
                <w:szCs w:val="21"/>
                <w:lang w:bidi="ar"/>
              </w:rPr>
              <w:t>污染源名称</w:t>
            </w:r>
          </w:p>
        </w:tc>
        <w:tc>
          <w:tcPr>
            <w:tcW w:w="1246" w:type="dxa"/>
            <w:vMerge w:val="restart"/>
            <w:tcBorders>
              <w:tl2br w:val="nil"/>
              <w:tr2bl w:val="nil"/>
            </w:tcBorders>
            <w:noWrap/>
            <w:vAlign w:val="center"/>
          </w:tcPr>
          <w:p w14:paraId="19B1B09B">
            <w:pPr>
              <w:widowControl/>
              <w:spacing w:line="240" w:lineRule="auto"/>
              <w:ind w:firstLine="0" w:firstLineChars="0"/>
              <w:jc w:val="center"/>
              <w:textAlignment w:val="center"/>
              <w:rPr>
                <w:b/>
                <w:color w:val="auto"/>
                <w:sz w:val="21"/>
                <w:szCs w:val="21"/>
              </w:rPr>
            </w:pPr>
            <w:r>
              <w:rPr>
                <w:b/>
                <w:color w:val="auto"/>
                <w:kern w:val="0"/>
                <w:sz w:val="21"/>
                <w:szCs w:val="21"/>
                <w:lang w:bidi="ar"/>
              </w:rPr>
              <w:t>污染物名称</w:t>
            </w:r>
          </w:p>
        </w:tc>
        <w:tc>
          <w:tcPr>
            <w:tcW w:w="621" w:type="dxa"/>
            <w:vMerge w:val="restart"/>
            <w:tcBorders>
              <w:tl2br w:val="nil"/>
              <w:tr2bl w:val="nil"/>
            </w:tcBorders>
            <w:noWrap/>
            <w:vAlign w:val="center"/>
          </w:tcPr>
          <w:p w14:paraId="50D0E74D">
            <w:pPr>
              <w:widowControl/>
              <w:spacing w:line="240" w:lineRule="auto"/>
              <w:ind w:firstLine="0" w:firstLineChars="0"/>
              <w:jc w:val="center"/>
              <w:textAlignment w:val="center"/>
              <w:rPr>
                <w:b/>
                <w:color w:val="auto"/>
                <w:sz w:val="21"/>
                <w:szCs w:val="21"/>
              </w:rPr>
            </w:pPr>
            <w:r>
              <w:rPr>
                <w:b/>
                <w:color w:val="auto"/>
                <w:kern w:val="0"/>
                <w:sz w:val="21"/>
                <w:szCs w:val="21"/>
                <w:lang w:bidi="ar"/>
              </w:rPr>
              <w:t>废气量</w:t>
            </w:r>
            <w:r>
              <w:rPr>
                <w:b/>
                <w:color w:val="auto"/>
                <w:sz w:val="21"/>
                <w:szCs w:val="21"/>
                <w:lang w:bidi="ar"/>
              </w:rPr>
              <w:t>m</w:t>
            </w:r>
            <w:r>
              <w:rPr>
                <w:b/>
                <w:color w:val="auto"/>
                <w:sz w:val="21"/>
                <w:szCs w:val="21"/>
                <w:vertAlign w:val="superscript"/>
                <w:lang w:bidi="ar"/>
              </w:rPr>
              <w:t>3</w:t>
            </w:r>
            <w:r>
              <w:rPr>
                <w:b/>
                <w:color w:val="auto"/>
                <w:sz w:val="21"/>
                <w:szCs w:val="21"/>
                <w:lang w:bidi="ar"/>
              </w:rPr>
              <w:t>/h</w:t>
            </w:r>
          </w:p>
        </w:tc>
        <w:tc>
          <w:tcPr>
            <w:tcW w:w="2092" w:type="dxa"/>
            <w:gridSpan w:val="3"/>
            <w:tcBorders>
              <w:tl2br w:val="nil"/>
              <w:tr2bl w:val="nil"/>
            </w:tcBorders>
            <w:noWrap/>
            <w:vAlign w:val="center"/>
          </w:tcPr>
          <w:p w14:paraId="79464944">
            <w:pPr>
              <w:widowControl/>
              <w:spacing w:line="240" w:lineRule="auto"/>
              <w:ind w:firstLine="0" w:firstLineChars="0"/>
              <w:jc w:val="center"/>
              <w:textAlignment w:val="center"/>
              <w:rPr>
                <w:b/>
                <w:color w:val="auto"/>
                <w:sz w:val="21"/>
                <w:szCs w:val="21"/>
              </w:rPr>
            </w:pPr>
            <w:r>
              <w:rPr>
                <w:b/>
                <w:color w:val="auto"/>
                <w:kern w:val="0"/>
                <w:sz w:val="21"/>
                <w:szCs w:val="21"/>
                <w:lang w:bidi="ar"/>
              </w:rPr>
              <w:t>产生情况</w:t>
            </w:r>
          </w:p>
        </w:tc>
        <w:tc>
          <w:tcPr>
            <w:tcW w:w="1996" w:type="dxa"/>
            <w:vMerge w:val="restart"/>
            <w:tcBorders>
              <w:tl2br w:val="nil"/>
              <w:tr2bl w:val="nil"/>
            </w:tcBorders>
            <w:noWrap/>
            <w:vAlign w:val="center"/>
          </w:tcPr>
          <w:p w14:paraId="18759CCF">
            <w:pPr>
              <w:widowControl/>
              <w:spacing w:line="240" w:lineRule="auto"/>
              <w:ind w:firstLine="0" w:firstLineChars="0"/>
              <w:jc w:val="center"/>
              <w:textAlignment w:val="center"/>
              <w:rPr>
                <w:b/>
                <w:color w:val="auto"/>
                <w:sz w:val="21"/>
                <w:szCs w:val="21"/>
              </w:rPr>
            </w:pPr>
            <w:r>
              <w:rPr>
                <w:b/>
                <w:color w:val="auto"/>
                <w:kern w:val="0"/>
                <w:sz w:val="21"/>
                <w:szCs w:val="21"/>
                <w:lang w:bidi="ar"/>
              </w:rPr>
              <w:t>治理措施</w:t>
            </w:r>
          </w:p>
        </w:tc>
        <w:tc>
          <w:tcPr>
            <w:tcW w:w="444" w:type="dxa"/>
            <w:vMerge w:val="restart"/>
            <w:tcBorders>
              <w:tl2br w:val="nil"/>
              <w:tr2bl w:val="nil"/>
            </w:tcBorders>
            <w:noWrap/>
            <w:vAlign w:val="center"/>
          </w:tcPr>
          <w:p w14:paraId="730D6246">
            <w:pPr>
              <w:widowControl/>
              <w:spacing w:line="240" w:lineRule="auto"/>
              <w:ind w:firstLine="0" w:firstLineChars="0"/>
              <w:jc w:val="center"/>
              <w:textAlignment w:val="center"/>
              <w:rPr>
                <w:b/>
                <w:color w:val="auto"/>
                <w:sz w:val="21"/>
                <w:szCs w:val="21"/>
              </w:rPr>
            </w:pPr>
            <w:r>
              <w:rPr>
                <w:rStyle w:val="43"/>
                <w:bCs w:val="0"/>
                <w:color w:val="auto"/>
                <w:sz w:val="21"/>
                <w:szCs w:val="21"/>
                <w:lang w:bidi="ar"/>
              </w:rPr>
              <w:t>去除率</w:t>
            </w:r>
            <w:r>
              <w:rPr>
                <w:rStyle w:val="44"/>
                <w:b/>
                <w:color w:val="auto"/>
                <w:sz w:val="21"/>
                <w:szCs w:val="21"/>
                <w:lang w:bidi="ar"/>
              </w:rPr>
              <w:t>%</w:t>
            </w:r>
          </w:p>
        </w:tc>
        <w:tc>
          <w:tcPr>
            <w:tcW w:w="2418" w:type="dxa"/>
            <w:gridSpan w:val="3"/>
            <w:tcBorders>
              <w:tl2br w:val="nil"/>
              <w:tr2bl w:val="nil"/>
            </w:tcBorders>
            <w:noWrap/>
            <w:vAlign w:val="center"/>
          </w:tcPr>
          <w:p w14:paraId="638016A8">
            <w:pPr>
              <w:widowControl/>
              <w:spacing w:line="240" w:lineRule="auto"/>
              <w:ind w:firstLine="0" w:firstLineChars="0"/>
              <w:jc w:val="center"/>
              <w:textAlignment w:val="center"/>
              <w:rPr>
                <w:b/>
                <w:color w:val="auto"/>
                <w:sz w:val="21"/>
                <w:szCs w:val="21"/>
              </w:rPr>
            </w:pPr>
            <w:r>
              <w:rPr>
                <w:b/>
                <w:color w:val="auto"/>
                <w:kern w:val="0"/>
                <w:sz w:val="21"/>
                <w:szCs w:val="21"/>
                <w:lang w:bidi="ar"/>
              </w:rPr>
              <w:t>排放情况</w:t>
            </w:r>
          </w:p>
        </w:tc>
        <w:tc>
          <w:tcPr>
            <w:tcW w:w="1392" w:type="dxa"/>
            <w:gridSpan w:val="2"/>
            <w:tcBorders>
              <w:tl2br w:val="nil"/>
              <w:tr2bl w:val="nil"/>
            </w:tcBorders>
            <w:noWrap/>
            <w:vAlign w:val="center"/>
          </w:tcPr>
          <w:p w14:paraId="43F2155B">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执行标准</w:t>
            </w:r>
          </w:p>
        </w:tc>
        <w:tc>
          <w:tcPr>
            <w:tcW w:w="549" w:type="dxa"/>
            <w:vMerge w:val="restart"/>
            <w:tcBorders>
              <w:tl2br w:val="nil"/>
              <w:tr2bl w:val="nil"/>
            </w:tcBorders>
            <w:noWrap/>
            <w:vAlign w:val="center"/>
          </w:tcPr>
          <w:p w14:paraId="392A143C">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排气筒</w:t>
            </w:r>
          </w:p>
        </w:tc>
        <w:tc>
          <w:tcPr>
            <w:tcW w:w="1665" w:type="dxa"/>
            <w:gridSpan w:val="3"/>
            <w:tcBorders>
              <w:tl2br w:val="nil"/>
              <w:tr2bl w:val="nil"/>
            </w:tcBorders>
            <w:noWrap/>
            <w:vAlign w:val="center"/>
          </w:tcPr>
          <w:p w14:paraId="1E5702E9">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排放源参数</w:t>
            </w:r>
          </w:p>
        </w:tc>
        <w:tc>
          <w:tcPr>
            <w:tcW w:w="621" w:type="dxa"/>
            <w:tcBorders>
              <w:tl2br w:val="nil"/>
              <w:tr2bl w:val="nil"/>
            </w:tcBorders>
            <w:noWrap/>
            <w:vAlign w:val="center"/>
          </w:tcPr>
          <w:p w14:paraId="0B177891">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排放时间</w:t>
            </w:r>
          </w:p>
        </w:tc>
      </w:tr>
      <w:tr w14:paraId="71ED2A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vMerge w:val="continue"/>
            <w:tcBorders>
              <w:tl2br w:val="nil"/>
              <w:tr2bl w:val="nil"/>
            </w:tcBorders>
            <w:noWrap/>
            <w:vAlign w:val="center"/>
          </w:tcPr>
          <w:p w14:paraId="2671BADF">
            <w:pPr>
              <w:widowControl/>
              <w:spacing w:line="240" w:lineRule="auto"/>
              <w:ind w:firstLine="0" w:firstLineChars="0"/>
              <w:jc w:val="center"/>
              <w:textAlignment w:val="center"/>
              <w:rPr>
                <w:b/>
                <w:color w:val="auto"/>
                <w:sz w:val="21"/>
                <w:szCs w:val="21"/>
              </w:rPr>
            </w:pPr>
          </w:p>
        </w:tc>
        <w:tc>
          <w:tcPr>
            <w:tcW w:w="1189" w:type="dxa"/>
            <w:vMerge w:val="continue"/>
            <w:tcBorders>
              <w:tl2br w:val="nil"/>
              <w:tr2bl w:val="nil"/>
            </w:tcBorders>
            <w:noWrap/>
            <w:vAlign w:val="center"/>
          </w:tcPr>
          <w:p w14:paraId="741AD400">
            <w:pPr>
              <w:widowControl/>
              <w:spacing w:line="240" w:lineRule="auto"/>
              <w:ind w:firstLine="0" w:firstLineChars="0"/>
              <w:jc w:val="center"/>
              <w:textAlignment w:val="center"/>
              <w:rPr>
                <w:b/>
                <w:color w:val="auto"/>
                <w:kern w:val="0"/>
                <w:sz w:val="21"/>
                <w:szCs w:val="21"/>
                <w:lang w:bidi="ar"/>
              </w:rPr>
            </w:pPr>
          </w:p>
        </w:tc>
        <w:tc>
          <w:tcPr>
            <w:tcW w:w="1246" w:type="dxa"/>
            <w:vMerge w:val="continue"/>
            <w:tcBorders>
              <w:tl2br w:val="nil"/>
              <w:tr2bl w:val="nil"/>
            </w:tcBorders>
            <w:noWrap/>
            <w:vAlign w:val="center"/>
          </w:tcPr>
          <w:p w14:paraId="4443FFC8">
            <w:pPr>
              <w:widowControl/>
              <w:spacing w:line="240" w:lineRule="auto"/>
              <w:ind w:firstLine="0" w:firstLineChars="0"/>
              <w:jc w:val="center"/>
              <w:textAlignment w:val="center"/>
              <w:rPr>
                <w:b/>
                <w:color w:val="auto"/>
                <w:sz w:val="21"/>
                <w:szCs w:val="21"/>
              </w:rPr>
            </w:pPr>
          </w:p>
        </w:tc>
        <w:tc>
          <w:tcPr>
            <w:tcW w:w="621" w:type="dxa"/>
            <w:vMerge w:val="continue"/>
            <w:tcBorders>
              <w:tl2br w:val="nil"/>
              <w:tr2bl w:val="nil"/>
            </w:tcBorders>
            <w:noWrap/>
            <w:vAlign w:val="center"/>
          </w:tcPr>
          <w:p w14:paraId="7FB87830">
            <w:pPr>
              <w:widowControl/>
              <w:spacing w:line="240" w:lineRule="auto"/>
              <w:ind w:firstLine="0" w:firstLineChars="0"/>
              <w:jc w:val="center"/>
              <w:textAlignment w:val="center"/>
              <w:rPr>
                <w:b/>
                <w:color w:val="auto"/>
                <w:sz w:val="21"/>
                <w:szCs w:val="21"/>
              </w:rPr>
            </w:pPr>
          </w:p>
        </w:tc>
        <w:tc>
          <w:tcPr>
            <w:tcW w:w="736" w:type="dxa"/>
            <w:tcBorders>
              <w:tl2br w:val="nil"/>
              <w:tr2bl w:val="nil"/>
            </w:tcBorders>
            <w:noWrap/>
            <w:vAlign w:val="center"/>
          </w:tcPr>
          <w:p w14:paraId="62E7D627">
            <w:pPr>
              <w:widowControl/>
              <w:spacing w:line="240" w:lineRule="auto"/>
              <w:ind w:firstLine="0" w:firstLineChars="0"/>
              <w:jc w:val="center"/>
              <w:textAlignment w:val="center"/>
              <w:rPr>
                <w:b/>
                <w:color w:val="auto"/>
                <w:sz w:val="21"/>
                <w:szCs w:val="21"/>
              </w:rPr>
            </w:pPr>
            <w:r>
              <w:rPr>
                <w:b/>
                <w:color w:val="auto"/>
                <w:kern w:val="0"/>
                <w:sz w:val="21"/>
                <w:szCs w:val="21"/>
                <w:lang w:bidi="ar"/>
              </w:rPr>
              <w:t>浓度mg/m</w:t>
            </w:r>
            <w:r>
              <w:rPr>
                <w:b/>
                <w:color w:val="auto"/>
                <w:kern w:val="0"/>
                <w:sz w:val="21"/>
                <w:szCs w:val="21"/>
                <w:vertAlign w:val="superscript"/>
                <w:lang w:bidi="ar"/>
              </w:rPr>
              <w:t>3</w:t>
            </w:r>
          </w:p>
        </w:tc>
        <w:tc>
          <w:tcPr>
            <w:tcW w:w="644" w:type="dxa"/>
            <w:tcBorders>
              <w:tl2br w:val="nil"/>
              <w:tr2bl w:val="nil"/>
            </w:tcBorders>
            <w:noWrap/>
            <w:vAlign w:val="center"/>
          </w:tcPr>
          <w:p w14:paraId="730F74CD">
            <w:pPr>
              <w:widowControl/>
              <w:spacing w:line="240" w:lineRule="auto"/>
              <w:ind w:firstLine="0" w:firstLineChars="0"/>
              <w:jc w:val="center"/>
              <w:textAlignment w:val="center"/>
              <w:rPr>
                <w:b/>
                <w:color w:val="auto"/>
                <w:sz w:val="21"/>
                <w:szCs w:val="21"/>
              </w:rPr>
            </w:pPr>
            <w:r>
              <w:rPr>
                <w:b/>
                <w:color w:val="auto"/>
                <w:kern w:val="0"/>
                <w:sz w:val="21"/>
                <w:szCs w:val="21"/>
                <w:lang w:bidi="ar"/>
              </w:rPr>
              <w:t>速率kg/h</w:t>
            </w:r>
          </w:p>
        </w:tc>
        <w:tc>
          <w:tcPr>
            <w:tcW w:w="712" w:type="dxa"/>
            <w:tcBorders>
              <w:tl2br w:val="nil"/>
              <w:tr2bl w:val="nil"/>
            </w:tcBorders>
            <w:noWrap/>
            <w:vAlign w:val="center"/>
          </w:tcPr>
          <w:p w14:paraId="3300C61F">
            <w:pPr>
              <w:widowControl/>
              <w:spacing w:line="240" w:lineRule="auto"/>
              <w:ind w:firstLine="0" w:firstLineChars="0"/>
              <w:jc w:val="center"/>
              <w:textAlignment w:val="center"/>
              <w:rPr>
                <w:b/>
                <w:color w:val="auto"/>
                <w:sz w:val="21"/>
                <w:szCs w:val="21"/>
              </w:rPr>
            </w:pPr>
            <w:r>
              <w:rPr>
                <w:b/>
                <w:color w:val="auto"/>
                <w:kern w:val="0"/>
                <w:sz w:val="21"/>
                <w:szCs w:val="21"/>
                <w:lang w:bidi="ar"/>
              </w:rPr>
              <w:t>产生量t/a</w:t>
            </w:r>
          </w:p>
        </w:tc>
        <w:tc>
          <w:tcPr>
            <w:tcW w:w="1996" w:type="dxa"/>
            <w:vMerge w:val="continue"/>
            <w:tcBorders>
              <w:tl2br w:val="nil"/>
              <w:tr2bl w:val="nil"/>
            </w:tcBorders>
            <w:noWrap/>
            <w:vAlign w:val="center"/>
          </w:tcPr>
          <w:p w14:paraId="3FBD7199">
            <w:pPr>
              <w:widowControl/>
              <w:spacing w:line="240" w:lineRule="auto"/>
              <w:ind w:firstLine="0" w:firstLineChars="0"/>
              <w:jc w:val="center"/>
              <w:rPr>
                <w:b/>
                <w:color w:val="auto"/>
                <w:sz w:val="21"/>
                <w:szCs w:val="21"/>
              </w:rPr>
            </w:pPr>
          </w:p>
        </w:tc>
        <w:tc>
          <w:tcPr>
            <w:tcW w:w="444" w:type="dxa"/>
            <w:vMerge w:val="continue"/>
            <w:tcBorders>
              <w:tl2br w:val="nil"/>
              <w:tr2bl w:val="nil"/>
            </w:tcBorders>
            <w:noWrap/>
            <w:vAlign w:val="center"/>
          </w:tcPr>
          <w:p w14:paraId="61BBC85B">
            <w:pPr>
              <w:widowControl/>
              <w:spacing w:line="240" w:lineRule="auto"/>
              <w:ind w:firstLine="0" w:firstLineChars="0"/>
              <w:jc w:val="center"/>
              <w:rPr>
                <w:b/>
                <w:color w:val="auto"/>
                <w:sz w:val="21"/>
                <w:szCs w:val="21"/>
              </w:rPr>
            </w:pPr>
          </w:p>
        </w:tc>
        <w:tc>
          <w:tcPr>
            <w:tcW w:w="736" w:type="dxa"/>
            <w:tcBorders>
              <w:tl2br w:val="nil"/>
              <w:tr2bl w:val="nil"/>
            </w:tcBorders>
            <w:noWrap/>
            <w:vAlign w:val="center"/>
          </w:tcPr>
          <w:p w14:paraId="7C0239B9">
            <w:pPr>
              <w:widowControl/>
              <w:spacing w:line="240" w:lineRule="auto"/>
              <w:ind w:firstLine="0" w:firstLineChars="0"/>
              <w:jc w:val="center"/>
              <w:textAlignment w:val="center"/>
              <w:rPr>
                <w:b/>
                <w:color w:val="auto"/>
                <w:sz w:val="21"/>
                <w:szCs w:val="21"/>
              </w:rPr>
            </w:pPr>
            <w:r>
              <w:rPr>
                <w:b/>
                <w:color w:val="auto"/>
                <w:kern w:val="0"/>
                <w:sz w:val="21"/>
                <w:szCs w:val="21"/>
                <w:lang w:bidi="ar"/>
              </w:rPr>
              <w:t>浓度mg/m</w:t>
            </w:r>
            <w:r>
              <w:rPr>
                <w:b/>
                <w:color w:val="auto"/>
                <w:kern w:val="0"/>
                <w:sz w:val="21"/>
                <w:szCs w:val="21"/>
                <w:vertAlign w:val="superscript"/>
                <w:lang w:bidi="ar"/>
              </w:rPr>
              <w:t>3</w:t>
            </w:r>
          </w:p>
        </w:tc>
        <w:tc>
          <w:tcPr>
            <w:tcW w:w="802" w:type="dxa"/>
            <w:tcBorders>
              <w:tl2br w:val="nil"/>
              <w:tr2bl w:val="nil"/>
            </w:tcBorders>
            <w:noWrap/>
            <w:vAlign w:val="center"/>
          </w:tcPr>
          <w:p w14:paraId="7C6D7945">
            <w:pPr>
              <w:widowControl/>
              <w:spacing w:line="240" w:lineRule="auto"/>
              <w:ind w:firstLine="0" w:firstLineChars="0"/>
              <w:jc w:val="center"/>
              <w:textAlignment w:val="center"/>
              <w:rPr>
                <w:b/>
                <w:color w:val="auto"/>
                <w:sz w:val="21"/>
                <w:szCs w:val="21"/>
              </w:rPr>
            </w:pPr>
            <w:r>
              <w:rPr>
                <w:b/>
                <w:color w:val="auto"/>
                <w:kern w:val="0"/>
                <w:sz w:val="21"/>
                <w:szCs w:val="21"/>
                <w:lang w:bidi="ar"/>
              </w:rPr>
              <w:t>速率kg/h</w:t>
            </w:r>
          </w:p>
        </w:tc>
        <w:tc>
          <w:tcPr>
            <w:tcW w:w="880" w:type="dxa"/>
            <w:tcBorders>
              <w:tl2br w:val="nil"/>
              <w:tr2bl w:val="nil"/>
            </w:tcBorders>
            <w:noWrap/>
            <w:vAlign w:val="center"/>
          </w:tcPr>
          <w:p w14:paraId="0ED25111">
            <w:pPr>
              <w:widowControl/>
              <w:spacing w:line="240" w:lineRule="auto"/>
              <w:ind w:firstLine="0" w:firstLineChars="0"/>
              <w:jc w:val="center"/>
              <w:textAlignment w:val="center"/>
              <w:rPr>
                <w:b/>
                <w:color w:val="auto"/>
                <w:sz w:val="21"/>
                <w:szCs w:val="21"/>
              </w:rPr>
            </w:pPr>
            <w:r>
              <w:rPr>
                <w:rFonts w:hint="eastAsia"/>
                <w:b/>
                <w:color w:val="auto"/>
                <w:kern w:val="0"/>
                <w:sz w:val="21"/>
                <w:szCs w:val="21"/>
                <w:lang w:bidi="ar"/>
              </w:rPr>
              <w:t>排放</w:t>
            </w:r>
            <w:r>
              <w:rPr>
                <w:b/>
                <w:color w:val="auto"/>
                <w:kern w:val="0"/>
                <w:sz w:val="21"/>
                <w:szCs w:val="21"/>
                <w:lang w:bidi="ar"/>
              </w:rPr>
              <w:t>量t/a</w:t>
            </w:r>
          </w:p>
        </w:tc>
        <w:tc>
          <w:tcPr>
            <w:tcW w:w="637" w:type="dxa"/>
            <w:tcBorders>
              <w:tl2br w:val="nil"/>
              <w:tr2bl w:val="nil"/>
            </w:tcBorders>
            <w:noWrap/>
            <w:vAlign w:val="center"/>
          </w:tcPr>
          <w:p w14:paraId="357CBC8A">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浓度mg/m</w:t>
            </w:r>
            <w:r>
              <w:rPr>
                <w:b/>
                <w:color w:val="auto"/>
                <w:kern w:val="0"/>
                <w:sz w:val="21"/>
                <w:szCs w:val="21"/>
                <w:vertAlign w:val="superscript"/>
                <w:lang w:bidi="ar"/>
              </w:rPr>
              <w:t>3</w:t>
            </w:r>
          </w:p>
        </w:tc>
        <w:tc>
          <w:tcPr>
            <w:tcW w:w="755" w:type="dxa"/>
            <w:tcBorders>
              <w:tl2br w:val="nil"/>
              <w:tr2bl w:val="nil"/>
            </w:tcBorders>
            <w:noWrap/>
            <w:vAlign w:val="center"/>
          </w:tcPr>
          <w:p w14:paraId="0D59B8ED">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速率kg/h</w:t>
            </w:r>
          </w:p>
        </w:tc>
        <w:tc>
          <w:tcPr>
            <w:tcW w:w="549" w:type="dxa"/>
            <w:vMerge w:val="continue"/>
            <w:tcBorders>
              <w:tl2br w:val="nil"/>
              <w:tr2bl w:val="nil"/>
            </w:tcBorders>
            <w:noWrap/>
            <w:vAlign w:val="center"/>
          </w:tcPr>
          <w:p w14:paraId="461817D1">
            <w:pPr>
              <w:widowControl/>
              <w:spacing w:line="240" w:lineRule="auto"/>
              <w:ind w:firstLine="0" w:firstLineChars="0"/>
              <w:jc w:val="center"/>
              <w:textAlignment w:val="center"/>
              <w:rPr>
                <w:b/>
                <w:color w:val="auto"/>
                <w:kern w:val="0"/>
                <w:sz w:val="21"/>
                <w:szCs w:val="21"/>
                <w:lang w:bidi="ar"/>
              </w:rPr>
            </w:pPr>
          </w:p>
        </w:tc>
        <w:tc>
          <w:tcPr>
            <w:tcW w:w="558" w:type="dxa"/>
            <w:tcBorders>
              <w:tl2br w:val="nil"/>
              <w:tr2bl w:val="nil"/>
            </w:tcBorders>
            <w:noWrap/>
            <w:vAlign w:val="center"/>
          </w:tcPr>
          <w:p w14:paraId="25567DDA">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高度m</w:t>
            </w:r>
          </w:p>
        </w:tc>
        <w:tc>
          <w:tcPr>
            <w:tcW w:w="558" w:type="dxa"/>
            <w:tcBorders>
              <w:tl2br w:val="nil"/>
              <w:tr2bl w:val="nil"/>
            </w:tcBorders>
            <w:noWrap/>
            <w:vAlign w:val="center"/>
          </w:tcPr>
          <w:p w14:paraId="0226CE45">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直径m</w:t>
            </w:r>
          </w:p>
        </w:tc>
        <w:tc>
          <w:tcPr>
            <w:tcW w:w="549" w:type="dxa"/>
            <w:tcBorders>
              <w:tl2br w:val="nil"/>
              <w:tr2bl w:val="nil"/>
            </w:tcBorders>
            <w:noWrap/>
            <w:vAlign w:val="center"/>
          </w:tcPr>
          <w:p w14:paraId="25C3D7C7">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温度℃</w:t>
            </w:r>
          </w:p>
        </w:tc>
        <w:tc>
          <w:tcPr>
            <w:tcW w:w="621" w:type="dxa"/>
            <w:tcBorders>
              <w:tl2br w:val="nil"/>
              <w:tr2bl w:val="nil"/>
            </w:tcBorders>
            <w:noWrap/>
            <w:vAlign w:val="center"/>
          </w:tcPr>
          <w:p w14:paraId="6539B54D">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h</w:t>
            </w:r>
          </w:p>
        </w:tc>
      </w:tr>
      <w:tr w14:paraId="43252B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vAlign w:val="center"/>
          </w:tcPr>
          <w:p w14:paraId="329006E4">
            <w:pPr>
              <w:widowControl/>
              <w:spacing w:line="240" w:lineRule="auto"/>
              <w:ind w:firstLine="0" w:firstLineChars="0"/>
              <w:jc w:val="center"/>
              <w:textAlignment w:val="center"/>
              <w:rPr>
                <w:color w:val="auto"/>
                <w:sz w:val="21"/>
                <w:szCs w:val="21"/>
              </w:rPr>
            </w:pPr>
            <w:r>
              <w:rPr>
                <w:color w:val="auto"/>
                <w:kern w:val="0"/>
                <w:sz w:val="21"/>
                <w:szCs w:val="21"/>
                <w:lang w:bidi="ar"/>
              </w:rPr>
              <w:t>G1-1</w:t>
            </w:r>
          </w:p>
        </w:tc>
        <w:tc>
          <w:tcPr>
            <w:tcW w:w="1189" w:type="dxa"/>
            <w:vMerge w:val="restart"/>
            <w:tcBorders>
              <w:tl2br w:val="nil"/>
              <w:tr2bl w:val="nil"/>
            </w:tcBorders>
            <w:noWrap/>
            <w:vAlign w:val="center"/>
          </w:tcPr>
          <w:p w14:paraId="5A651B9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工艺废气</w:t>
            </w:r>
          </w:p>
        </w:tc>
        <w:tc>
          <w:tcPr>
            <w:tcW w:w="1246" w:type="dxa"/>
            <w:tcBorders>
              <w:tl2br w:val="nil"/>
              <w:tr2bl w:val="nil"/>
            </w:tcBorders>
            <w:noWrap/>
            <w:vAlign w:val="center"/>
          </w:tcPr>
          <w:p w14:paraId="73E0439F">
            <w:pPr>
              <w:widowControl/>
              <w:spacing w:line="240" w:lineRule="auto"/>
              <w:ind w:firstLine="0" w:firstLineChars="0"/>
              <w:jc w:val="center"/>
              <w:textAlignment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621" w:type="dxa"/>
            <w:vMerge w:val="restart"/>
            <w:tcBorders>
              <w:tl2br w:val="nil"/>
              <w:tr2bl w:val="nil"/>
            </w:tcBorders>
            <w:noWrap/>
            <w:vAlign w:val="center"/>
          </w:tcPr>
          <w:p w14:paraId="295ED202">
            <w:pPr>
              <w:widowControl/>
              <w:spacing w:line="240" w:lineRule="auto"/>
              <w:ind w:firstLine="0" w:firstLineChars="0"/>
              <w:jc w:val="center"/>
              <w:rPr>
                <w:color w:val="auto"/>
                <w:sz w:val="21"/>
                <w:szCs w:val="21"/>
              </w:rPr>
            </w:pPr>
            <w:r>
              <w:rPr>
                <w:rFonts w:hint="eastAsia"/>
                <w:color w:val="auto"/>
                <w:sz w:val="21"/>
                <w:szCs w:val="21"/>
              </w:rPr>
              <w:t>4500</w:t>
            </w:r>
          </w:p>
        </w:tc>
        <w:tc>
          <w:tcPr>
            <w:tcW w:w="736" w:type="dxa"/>
            <w:tcBorders>
              <w:tl2br w:val="nil"/>
              <w:tr2bl w:val="nil"/>
            </w:tcBorders>
            <w:noWrap/>
            <w:vAlign w:val="center"/>
          </w:tcPr>
          <w:p w14:paraId="78DD528F">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424.533 </w:t>
            </w:r>
          </w:p>
        </w:tc>
        <w:tc>
          <w:tcPr>
            <w:tcW w:w="644" w:type="dxa"/>
            <w:tcBorders>
              <w:tl2br w:val="nil"/>
              <w:tr2bl w:val="nil"/>
            </w:tcBorders>
            <w:noWrap/>
            <w:vAlign w:val="center"/>
          </w:tcPr>
          <w:p w14:paraId="5DB53B99">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1.910 </w:t>
            </w:r>
          </w:p>
        </w:tc>
        <w:tc>
          <w:tcPr>
            <w:tcW w:w="712" w:type="dxa"/>
            <w:tcBorders>
              <w:tl2br w:val="nil"/>
              <w:tr2bl w:val="nil"/>
            </w:tcBorders>
            <w:noWrap/>
            <w:vAlign w:val="center"/>
          </w:tcPr>
          <w:p w14:paraId="0CBC3BF8">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9.552 </w:t>
            </w:r>
          </w:p>
        </w:tc>
        <w:tc>
          <w:tcPr>
            <w:tcW w:w="1996" w:type="dxa"/>
            <w:vMerge w:val="restart"/>
            <w:tcBorders>
              <w:tl2br w:val="nil"/>
              <w:tr2bl w:val="nil"/>
            </w:tcBorders>
            <w:noWrap/>
            <w:vAlign w:val="center"/>
          </w:tcPr>
          <w:p w14:paraId="2C555556">
            <w:pPr>
              <w:widowControl/>
              <w:spacing w:line="240" w:lineRule="auto"/>
              <w:ind w:firstLine="0" w:firstLineChars="0"/>
              <w:jc w:val="center"/>
              <w:rPr>
                <w:color w:val="auto"/>
                <w:sz w:val="21"/>
                <w:szCs w:val="21"/>
              </w:rPr>
            </w:pPr>
            <w:r>
              <w:rPr>
                <w:rFonts w:hint="eastAsia"/>
                <w:color w:val="auto"/>
                <w:sz w:val="21"/>
                <w:szCs w:val="21"/>
              </w:rPr>
              <w:t>碱吸收+水喷淋＋电除雾</w:t>
            </w:r>
          </w:p>
        </w:tc>
        <w:tc>
          <w:tcPr>
            <w:tcW w:w="444" w:type="dxa"/>
            <w:tcBorders>
              <w:tl2br w:val="nil"/>
              <w:tr2bl w:val="nil"/>
            </w:tcBorders>
            <w:noWrap/>
            <w:vAlign w:val="center"/>
          </w:tcPr>
          <w:p w14:paraId="60B79F94">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7F71DAB6">
            <w:pPr>
              <w:widowControl/>
              <w:spacing w:line="240" w:lineRule="auto"/>
              <w:ind w:firstLine="0" w:firstLineChars="0"/>
              <w:jc w:val="center"/>
              <w:textAlignment w:val="center"/>
              <w:rPr>
                <w:color w:val="auto"/>
                <w:sz w:val="21"/>
                <w:szCs w:val="21"/>
              </w:rPr>
            </w:pPr>
            <w:r>
              <w:rPr>
                <w:color w:val="auto"/>
                <w:kern w:val="0"/>
                <w:sz w:val="22"/>
                <w:szCs w:val="22"/>
                <w:lang w:bidi="ar"/>
              </w:rPr>
              <w:t>4.245</w:t>
            </w:r>
          </w:p>
        </w:tc>
        <w:tc>
          <w:tcPr>
            <w:tcW w:w="802" w:type="dxa"/>
            <w:tcBorders>
              <w:tl2br w:val="nil"/>
              <w:tr2bl w:val="nil"/>
            </w:tcBorders>
            <w:noWrap/>
            <w:vAlign w:val="center"/>
          </w:tcPr>
          <w:p w14:paraId="4DE0722D">
            <w:pPr>
              <w:widowControl/>
              <w:spacing w:line="240" w:lineRule="auto"/>
              <w:ind w:firstLine="0" w:firstLineChars="0"/>
              <w:jc w:val="center"/>
              <w:textAlignment w:val="center"/>
              <w:rPr>
                <w:color w:val="auto"/>
                <w:sz w:val="21"/>
                <w:szCs w:val="21"/>
              </w:rPr>
            </w:pPr>
            <w:r>
              <w:rPr>
                <w:color w:val="auto"/>
                <w:kern w:val="0"/>
                <w:sz w:val="22"/>
                <w:szCs w:val="22"/>
                <w:lang w:bidi="ar"/>
              </w:rPr>
              <w:t>0.019</w:t>
            </w:r>
          </w:p>
        </w:tc>
        <w:tc>
          <w:tcPr>
            <w:tcW w:w="880" w:type="dxa"/>
            <w:tcBorders>
              <w:tl2br w:val="nil"/>
              <w:tr2bl w:val="nil"/>
            </w:tcBorders>
            <w:noWrap/>
            <w:vAlign w:val="center"/>
          </w:tcPr>
          <w:p w14:paraId="3688FE24">
            <w:pPr>
              <w:widowControl/>
              <w:spacing w:line="240" w:lineRule="auto"/>
              <w:ind w:firstLine="0" w:firstLineChars="0"/>
              <w:jc w:val="center"/>
              <w:textAlignment w:val="center"/>
              <w:rPr>
                <w:color w:val="auto"/>
                <w:sz w:val="21"/>
                <w:szCs w:val="21"/>
              </w:rPr>
            </w:pPr>
            <w:r>
              <w:rPr>
                <w:color w:val="auto"/>
                <w:kern w:val="0"/>
                <w:sz w:val="22"/>
                <w:szCs w:val="22"/>
                <w:lang w:bidi="ar"/>
              </w:rPr>
              <w:t>0.096</w:t>
            </w:r>
          </w:p>
        </w:tc>
        <w:tc>
          <w:tcPr>
            <w:tcW w:w="637" w:type="dxa"/>
            <w:tcBorders>
              <w:tl2br w:val="nil"/>
              <w:tr2bl w:val="nil"/>
            </w:tcBorders>
            <w:noWrap/>
            <w:vAlign w:val="center"/>
          </w:tcPr>
          <w:p w14:paraId="408A8418">
            <w:pPr>
              <w:widowControl/>
              <w:spacing w:line="240" w:lineRule="auto"/>
              <w:ind w:firstLine="0" w:firstLineChars="0"/>
              <w:jc w:val="center"/>
              <w:rPr>
                <w:color w:val="auto"/>
                <w:sz w:val="21"/>
                <w:szCs w:val="21"/>
              </w:rPr>
            </w:pPr>
            <w:r>
              <w:rPr>
                <w:rFonts w:hint="eastAsia"/>
                <w:color w:val="auto"/>
                <w:sz w:val="21"/>
                <w:szCs w:val="21"/>
              </w:rPr>
              <w:t>100</w:t>
            </w:r>
          </w:p>
        </w:tc>
        <w:tc>
          <w:tcPr>
            <w:tcW w:w="755" w:type="dxa"/>
            <w:tcBorders>
              <w:tl2br w:val="nil"/>
              <w:tr2bl w:val="nil"/>
            </w:tcBorders>
            <w:noWrap/>
            <w:vAlign w:val="center"/>
          </w:tcPr>
          <w:p w14:paraId="1CFA5E78">
            <w:pPr>
              <w:widowControl/>
              <w:spacing w:line="240" w:lineRule="auto"/>
              <w:ind w:firstLine="0" w:firstLineChars="0"/>
              <w:jc w:val="center"/>
              <w:rPr>
                <w:color w:val="auto"/>
                <w:sz w:val="21"/>
                <w:szCs w:val="21"/>
              </w:rPr>
            </w:pPr>
            <w:r>
              <w:rPr>
                <w:rFonts w:hint="eastAsia"/>
                <w:color w:val="auto"/>
                <w:sz w:val="21"/>
                <w:szCs w:val="21"/>
              </w:rPr>
              <w:t>/</w:t>
            </w:r>
          </w:p>
        </w:tc>
        <w:tc>
          <w:tcPr>
            <w:tcW w:w="549" w:type="dxa"/>
            <w:vMerge w:val="restart"/>
            <w:tcBorders>
              <w:tl2br w:val="nil"/>
              <w:tr2bl w:val="nil"/>
            </w:tcBorders>
            <w:noWrap/>
            <w:vAlign w:val="center"/>
          </w:tcPr>
          <w:p w14:paraId="4C06DB9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DA002</w:t>
            </w:r>
          </w:p>
        </w:tc>
        <w:tc>
          <w:tcPr>
            <w:tcW w:w="558" w:type="dxa"/>
            <w:vMerge w:val="restart"/>
            <w:tcBorders>
              <w:tl2br w:val="nil"/>
              <w:tr2bl w:val="nil"/>
            </w:tcBorders>
            <w:noWrap/>
            <w:vAlign w:val="center"/>
          </w:tcPr>
          <w:p w14:paraId="3E22F9F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40</w:t>
            </w:r>
          </w:p>
        </w:tc>
        <w:tc>
          <w:tcPr>
            <w:tcW w:w="558" w:type="dxa"/>
            <w:vMerge w:val="restart"/>
            <w:tcBorders>
              <w:tl2br w:val="nil"/>
              <w:tr2bl w:val="nil"/>
            </w:tcBorders>
            <w:noWrap/>
            <w:vAlign w:val="center"/>
          </w:tcPr>
          <w:p w14:paraId="5EDC1E7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0.3</w:t>
            </w:r>
          </w:p>
        </w:tc>
        <w:tc>
          <w:tcPr>
            <w:tcW w:w="549" w:type="dxa"/>
            <w:vMerge w:val="restart"/>
            <w:tcBorders>
              <w:tl2br w:val="nil"/>
              <w:tr2bl w:val="nil"/>
            </w:tcBorders>
            <w:noWrap/>
            <w:vAlign w:val="center"/>
          </w:tcPr>
          <w:p w14:paraId="3D8AB69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40</w:t>
            </w:r>
          </w:p>
        </w:tc>
        <w:tc>
          <w:tcPr>
            <w:tcW w:w="621" w:type="dxa"/>
            <w:tcBorders>
              <w:tl2br w:val="nil"/>
              <w:tr2bl w:val="nil"/>
            </w:tcBorders>
            <w:noWrap/>
            <w:vAlign w:val="center"/>
          </w:tcPr>
          <w:p w14:paraId="0D8BB18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5000</w:t>
            </w:r>
          </w:p>
        </w:tc>
      </w:tr>
      <w:tr w14:paraId="2EB5B5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vAlign w:val="center"/>
          </w:tcPr>
          <w:p w14:paraId="0403C472">
            <w:pPr>
              <w:widowControl/>
              <w:spacing w:line="240" w:lineRule="auto"/>
              <w:ind w:firstLine="0" w:firstLineChars="0"/>
              <w:jc w:val="center"/>
              <w:textAlignment w:val="center"/>
              <w:rPr>
                <w:color w:val="auto"/>
                <w:sz w:val="21"/>
                <w:szCs w:val="21"/>
              </w:rPr>
            </w:pPr>
            <w:r>
              <w:rPr>
                <w:color w:val="auto"/>
                <w:kern w:val="0"/>
                <w:sz w:val="21"/>
                <w:szCs w:val="21"/>
                <w:lang w:bidi="ar"/>
              </w:rPr>
              <w:t>G1-2</w:t>
            </w:r>
          </w:p>
        </w:tc>
        <w:tc>
          <w:tcPr>
            <w:tcW w:w="1189" w:type="dxa"/>
            <w:vMerge w:val="continue"/>
            <w:tcBorders>
              <w:tl2br w:val="nil"/>
              <w:tr2bl w:val="nil"/>
            </w:tcBorders>
            <w:noWrap/>
            <w:vAlign w:val="center"/>
          </w:tcPr>
          <w:p w14:paraId="1F93FA32">
            <w:pPr>
              <w:widowControl/>
              <w:spacing w:line="240" w:lineRule="auto"/>
              <w:ind w:firstLine="0" w:firstLineChars="0"/>
              <w:jc w:val="center"/>
              <w:textAlignment w:val="center"/>
              <w:rPr>
                <w:color w:val="auto"/>
                <w:kern w:val="0"/>
                <w:sz w:val="21"/>
                <w:szCs w:val="21"/>
                <w:lang w:bidi="ar"/>
              </w:rPr>
            </w:pPr>
          </w:p>
        </w:tc>
        <w:tc>
          <w:tcPr>
            <w:tcW w:w="1246" w:type="dxa"/>
            <w:tcBorders>
              <w:tl2br w:val="nil"/>
              <w:tr2bl w:val="nil"/>
            </w:tcBorders>
            <w:noWrap/>
            <w:vAlign w:val="center"/>
          </w:tcPr>
          <w:p w14:paraId="0AF20D29">
            <w:pPr>
              <w:widowControl/>
              <w:spacing w:line="240" w:lineRule="auto"/>
              <w:ind w:firstLine="0" w:firstLineChars="0"/>
              <w:jc w:val="center"/>
              <w:textAlignment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621" w:type="dxa"/>
            <w:vMerge w:val="continue"/>
            <w:tcBorders>
              <w:tl2br w:val="nil"/>
              <w:tr2bl w:val="nil"/>
            </w:tcBorders>
            <w:noWrap/>
            <w:vAlign w:val="center"/>
          </w:tcPr>
          <w:p w14:paraId="02EF8BD4">
            <w:pPr>
              <w:widowControl/>
              <w:spacing w:line="240" w:lineRule="auto"/>
              <w:ind w:firstLine="0" w:firstLineChars="0"/>
              <w:jc w:val="center"/>
              <w:textAlignment w:val="center"/>
              <w:rPr>
                <w:color w:val="auto"/>
                <w:sz w:val="21"/>
                <w:szCs w:val="21"/>
              </w:rPr>
            </w:pPr>
          </w:p>
        </w:tc>
        <w:tc>
          <w:tcPr>
            <w:tcW w:w="736" w:type="dxa"/>
            <w:tcBorders>
              <w:tl2br w:val="nil"/>
              <w:tr2bl w:val="nil"/>
            </w:tcBorders>
            <w:noWrap/>
            <w:vAlign w:val="center"/>
          </w:tcPr>
          <w:p w14:paraId="3AD404C1">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21.208 </w:t>
            </w:r>
          </w:p>
        </w:tc>
        <w:tc>
          <w:tcPr>
            <w:tcW w:w="644" w:type="dxa"/>
            <w:tcBorders>
              <w:tl2br w:val="nil"/>
              <w:tr2bl w:val="nil"/>
            </w:tcBorders>
            <w:noWrap/>
            <w:vAlign w:val="center"/>
          </w:tcPr>
          <w:p w14:paraId="72C7378E">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0.095 </w:t>
            </w:r>
          </w:p>
        </w:tc>
        <w:tc>
          <w:tcPr>
            <w:tcW w:w="712" w:type="dxa"/>
            <w:tcBorders>
              <w:tl2br w:val="nil"/>
              <w:tr2bl w:val="nil"/>
            </w:tcBorders>
            <w:noWrap/>
            <w:vAlign w:val="center"/>
          </w:tcPr>
          <w:p w14:paraId="5FAB3274">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0.477 </w:t>
            </w:r>
          </w:p>
        </w:tc>
        <w:tc>
          <w:tcPr>
            <w:tcW w:w="1996" w:type="dxa"/>
            <w:vMerge w:val="continue"/>
            <w:tcBorders>
              <w:tl2br w:val="nil"/>
              <w:tr2bl w:val="nil"/>
            </w:tcBorders>
            <w:noWrap/>
            <w:vAlign w:val="center"/>
          </w:tcPr>
          <w:p w14:paraId="45BB6D53">
            <w:pPr>
              <w:widowControl/>
              <w:spacing w:line="240" w:lineRule="auto"/>
              <w:ind w:firstLine="0" w:firstLineChars="0"/>
              <w:jc w:val="center"/>
              <w:rPr>
                <w:color w:val="auto"/>
                <w:sz w:val="21"/>
                <w:szCs w:val="21"/>
              </w:rPr>
            </w:pPr>
          </w:p>
        </w:tc>
        <w:tc>
          <w:tcPr>
            <w:tcW w:w="444" w:type="dxa"/>
            <w:tcBorders>
              <w:tl2br w:val="nil"/>
              <w:tr2bl w:val="nil"/>
            </w:tcBorders>
            <w:noWrap/>
            <w:vAlign w:val="center"/>
          </w:tcPr>
          <w:p w14:paraId="425DD32F">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247B773C">
            <w:pPr>
              <w:widowControl/>
              <w:spacing w:line="240" w:lineRule="auto"/>
              <w:ind w:firstLine="0" w:firstLineChars="0"/>
              <w:jc w:val="center"/>
              <w:textAlignment w:val="center"/>
              <w:rPr>
                <w:color w:val="auto"/>
                <w:sz w:val="21"/>
                <w:szCs w:val="21"/>
              </w:rPr>
            </w:pPr>
            <w:r>
              <w:rPr>
                <w:color w:val="auto"/>
                <w:kern w:val="0"/>
                <w:sz w:val="22"/>
                <w:szCs w:val="22"/>
                <w:lang w:bidi="ar"/>
              </w:rPr>
              <w:t>0.212</w:t>
            </w:r>
          </w:p>
        </w:tc>
        <w:tc>
          <w:tcPr>
            <w:tcW w:w="802" w:type="dxa"/>
            <w:tcBorders>
              <w:tl2br w:val="nil"/>
              <w:tr2bl w:val="nil"/>
            </w:tcBorders>
            <w:noWrap/>
            <w:vAlign w:val="center"/>
          </w:tcPr>
          <w:p w14:paraId="2F9A0560">
            <w:pPr>
              <w:widowControl/>
              <w:spacing w:line="240" w:lineRule="auto"/>
              <w:ind w:firstLine="0" w:firstLineChars="0"/>
              <w:jc w:val="center"/>
              <w:textAlignment w:val="center"/>
              <w:rPr>
                <w:color w:val="auto"/>
                <w:sz w:val="21"/>
                <w:szCs w:val="21"/>
              </w:rPr>
            </w:pPr>
            <w:r>
              <w:rPr>
                <w:color w:val="auto"/>
                <w:kern w:val="0"/>
                <w:sz w:val="22"/>
                <w:szCs w:val="22"/>
                <w:lang w:bidi="ar"/>
              </w:rPr>
              <w:t>0.001</w:t>
            </w:r>
          </w:p>
        </w:tc>
        <w:tc>
          <w:tcPr>
            <w:tcW w:w="880" w:type="dxa"/>
            <w:tcBorders>
              <w:tl2br w:val="nil"/>
              <w:tr2bl w:val="nil"/>
            </w:tcBorders>
            <w:noWrap/>
            <w:vAlign w:val="center"/>
          </w:tcPr>
          <w:p w14:paraId="42CCFFC7">
            <w:pPr>
              <w:widowControl/>
              <w:spacing w:line="240" w:lineRule="auto"/>
              <w:ind w:firstLine="0" w:firstLineChars="0"/>
              <w:jc w:val="center"/>
              <w:textAlignment w:val="center"/>
              <w:rPr>
                <w:color w:val="auto"/>
                <w:sz w:val="21"/>
                <w:szCs w:val="21"/>
              </w:rPr>
            </w:pPr>
            <w:r>
              <w:rPr>
                <w:color w:val="auto"/>
                <w:kern w:val="0"/>
                <w:sz w:val="22"/>
                <w:szCs w:val="22"/>
                <w:lang w:bidi="ar"/>
              </w:rPr>
              <w:t>0.005</w:t>
            </w:r>
          </w:p>
        </w:tc>
        <w:tc>
          <w:tcPr>
            <w:tcW w:w="637" w:type="dxa"/>
            <w:tcBorders>
              <w:tl2br w:val="nil"/>
              <w:tr2bl w:val="nil"/>
            </w:tcBorders>
            <w:noWrap/>
            <w:vAlign w:val="center"/>
          </w:tcPr>
          <w:p w14:paraId="4D7D4F35">
            <w:pPr>
              <w:widowControl/>
              <w:spacing w:line="240" w:lineRule="auto"/>
              <w:ind w:firstLine="0" w:firstLineChars="0"/>
              <w:jc w:val="center"/>
              <w:rPr>
                <w:color w:val="auto"/>
                <w:sz w:val="21"/>
                <w:szCs w:val="21"/>
              </w:rPr>
            </w:pPr>
            <w:r>
              <w:rPr>
                <w:rFonts w:hint="eastAsia"/>
                <w:color w:val="auto"/>
                <w:sz w:val="21"/>
                <w:szCs w:val="21"/>
              </w:rPr>
              <w:t>200</w:t>
            </w:r>
          </w:p>
        </w:tc>
        <w:tc>
          <w:tcPr>
            <w:tcW w:w="755" w:type="dxa"/>
            <w:tcBorders>
              <w:tl2br w:val="nil"/>
              <w:tr2bl w:val="nil"/>
            </w:tcBorders>
            <w:noWrap/>
            <w:vAlign w:val="center"/>
          </w:tcPr>
          <w:p w14:paraId="5B547CE5">
            <w:pPr>
              <w:widowControl/>
              <w:spacing w:line="240" w:lineRule="auto"/>
              <w:ind w:firstLine="0" w:firstLineChars="0"/>
              <w:jc w:val="center"/>
              <w:rPr>
                <w:color w:val="auto"/>
                <w:sz w:val="21"/>
                <w:szCs w:val="21"/>
              </w:rPr>
            </w:pPr>
            <w:r>
              <w:rPr>
                <w:rFonts w:hint="eastAsia"/>
                <w:color w:val="auto"/>
                <w:sz w:val="21"/>
                <w:szCs w:val="21"/>
              </w:rPr>
              <w:t>1.4</w:t>
            </w:r>
          </w:p>
        </w:tc>
        <w:tc>
          <w:tcPr>
            <w:tcW w:w="549" w:type="dxa"/>
            <w:vMerge w:val="continue"/>
            <w:tcBorders>
              <w:tl2br w:val="nil"/>
              <w:tr2bl w:val="nil"/>
            </w:tcBorders>
            <w:noWrap/>
            <w:vAlign w:val="center"/>
          </w:tcPr>
          <w:p w14:paraId="53483275">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13C4A778">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7A596ED2">
            <w:pPr>
              <w:widowControl/>
              <w:spacing w:line="240" w:lineRule="auto"/>
              <w:ind w:firstLine="0" w:firstLineChars="0"/>
              <w:jc w:val="center"/>
              <w:textAlignment w:val="center"/>
              <w:rPr>
                <w:color w:val="auto"/>
                <w:kern w:val="0"/>
                <w:sz w:val="21"/>
                <w:szCs w:val="21"/>
                <w:lang w:bidi="ar"/>
              </w:rPr>
            </w:pPr>
          </w:p>
        </w:tc>
        <w:tc>
          <w:tcPr>
            <w:tcW w:w="549" w:type="dxa"/>
            <w:vMerge w:val="continue"/>
            <w:tcBorders>
              <w:tl2br w:val="nil"/>
              <w:tr2bl w:val="nil"/>
            </w:tcBorders>
            <w:noWrap/>
            <w:vAlign w:val="center"/>
          </w:tcPr>
          <w:p w14:paraId="53FD7263">
            <w:pPr>
              <w:widowControl/>
              <w:spacing w:line="240" w:lineRule="auto"/>
              <w:ind w:firstLine="0" w:firstLineChars="0"/>
              <w:jc w:val="center"/>
              <w:textAlignment w:val="center"/>
              <w:rPr>
                <w:color w:val="auto"/>
                <w:kern w:val="0"/>
                <w:sz w:val="21"/>
                <w:szCs w:val="21"/>
                <w:lang w:bidi="ar"/>
              </w:rPr>
            </w:pPr>
          </w:p>
        </w:tc>
        <w:tc>
          <w:tcPr>
            <w:tcW w:w="621" w:type="dxa"/>
            <w:tcBorders>
              <w:tl2br w:val="nil"/>
              <w:tr2bl w:val="nil"/>
            </w:tcBorders>
            <w:noWrap/>
            <w:vAlign w:val="center"/>
          </w:tcPr>
          <w:p w14:paraId="3D1A22C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5000</w:t>
            </w:r>
          </w:p>
        </w:tc>
      </w:tr>
      <w:tr w14:paraId="1B25E4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vAlign w:val="center"/>
          </w:tcPr>
          <w:p w14:paraId="4A73DB0A">
            <w:pPr>
              <w:widowControl/>
              <w:spacing w:line="240" w:lineRule="auto"/>
              <w:ind w:firstLine="0" w:firstLineChars="0"/>
              <w:jc w:val="center"/>
              <w:rPr>
                <w:color w:val="auto"/>
                <w:sz w:val="21"/>
                <w:szCs w:val="21"/>
              </w:rPr>
            </w:pPr>
            <w:r>
              <w:rPr>
                <w:color w:val="auto"/>
                <w:kern w:val="0"/>
                <w:sz w:val="21"/>
                <w:szCs w:val="21"/>
                <w:lang w:bidi="ar"/>
              </w:rPr>
              <w:t>G1</w:t>
            </w:r>
            <w:r>
              <w:rPr>
                <w:rFonts w:hint="eastAsia"/>
                <w:color w:val="auto"/>
                <w:kern w:val="0"/>
                <w:sz w:val="21"/>
                <w:szCs w:val="21"/>
                <w:lang w:bidi="ar"/>
              </w:rPr>
              <w:t>-3</w:t>
            </w:r>
          </w:p>
        </w:tc>
        <w:tc>
          <w:tcPr>
            <w:tcW w:w="1189" w:type="dxa"/>
            <w:vMerge w:val="continue"/>
            <w:tcBorders>
              <w:tl2br w:val="nil"/>
              <w:tr2bl w:val="nil"/>
            </w:tcBorders>
            <w:noWrap/>
            <w:vAlign w:val="center"/>
          </w:tcPr>
          <w:p w14:paraId="59A6ECD1">
            <w:pPr>
              <w:widowControl/>
              <w:spacing w:line="240" w:lineRule="auto"/>
              <w:ind w:firstLine="0" w:firstLineChars="0"/>
              <w:jc w:val="center"/>
              <w:rPr>
                <w:color w:val="auto"/>
                <w:sz w:val="21"/>
                <w:szCs w:val="21"/>
              </w:rPr>
            </w:pPr>
          </w:p>
        </w:tc>
        <w:tc>
          <w:tcPr>
            <w:tcW w:w="1246" w:type="dxa"/>
            <w:tcBorders>
              <w:tl2br w:val="nil"/>
              <w:tr2bl w:val="nil"/>
            </w:tcBorders>
            <w:noWrap/>
            <w:vAlign w:val="center"/>
          </w:tcPr>
          <w:p w14:paraId="73D7F420">
            <w:pPr>
              <w:widowControl/>
              <w:spacing w:line="240" w:lineRule="auto"/>
              <w:ind w:firstLine="0" w:firstLineChars="0"/>
              <w:jc w:val="center"/>
              <w:textAlignment w:val="center"/>
              <w:rPr>
                <w:color w:val="auto"/>
                <w:sz w:val="21"/>
                <w:szCs w:val="21"/>
              </w:rPr>
            </w:pPr>
            <w:r>
              <w:rPr>
                <w:rFonts w:hint="eastAsia" w:ascii="宋体" w:hAnsi="宋体" w:cs="宋体"/>
                <w:color w:val="auto"/>
                <w:kern w:val="0"/>
                <w:sz w:val="21"/>
                <w:szCs w:val="21"/>
                <w:lang w:bidi="ar"/>
              </w:rPr>
              <w:t>颗粒物</w:t>
            </w:r>
          </w:p>
        </w:tc>
        <w:tc>
          <w:tcPr>
            <w:tcW w:w="621" w:type="dxa"/>
            <w:vMerge w:val="continue"/>
            <w:tcBorders>
              <w:tl2br w:val="nil"/>
              <w:tr2bl w:val="nil"/>
            </w:tcBorders>
            <w:noWrap/>
            <w:vAlign w:val="center"/>
          </w:tcPr>
          <w:p w14:paraId="3EBD6689">
            <w:pPr>
              <w:widowControl/>
              <w:spacing w:line="240" w:lineRule="auto"/>
              <w:ind w:firstLine="0" w:firstLineChars="0"/>
              <w:jc w:val="center"/>
              <w:textAlignment w:val="center"/>
              <w:rPr>
                <w:color w:val="auto"/>
                <w:sz w:val="21"/>
                <w:szCs w:val="21"/>
              </w:rPr>
            </w:pPr>
          </w:p>
        </w:tc>
        <w:tc>
          <w:tcPr>
            <w:tcW w:w="736" w:type="dxa"/>
            <w:tcBorders>
              <w:tl2br w:val="nil"/>
              <w:tr2bl w:val="nil"/>
            </w:tcBorders>
            <w:noWrap/>
            <w:vAlign w:val="center"/>
          </w:tcPr>
          <w:p w14:paraId="031379CE">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343.106 </w:t>
            </w:r>
          </w:p>
        </w:tc>
        <w:tc>
          <w:tcPr>
            <w:tcW w:w="644" w:type="dxa"/>
            <w:tcBorders>
              <w:tl2br w:val="nil"/>
              <w:tr2bl w:val="nil"/>
            </w:tcBorders>
            <w:noWrap/>
            <w:vAlign w:val="center"/>
          </w:tcPr>
          <w:p w14:paraId="1D3473C2">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1.544 </w:t>
            </w:r>
          </w:p>
        </w:tc>
        <w:tc>
          <w:tcPr>
            <w:tcW w:w="712" w:type="dxa"/>
            <w:tcBorders>
              <w:tl2br w:val="nil"/>
              <w:tr2bl w:val="nil"/>
            </w:tcBorders>
            <w:noWrap/>
            <w:vAlign w:val="center"/>
          </w:tcPr>
          <w:p w14:paraId="00499B7F">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0.926 </w:t>
            </w:r>
          </w:p>
        </w:tc>
        <w:tc>
          <w:tcPr>
            <w:tcW w:w="1996" w:type="dxa"/>
            <w:vMerge w:val="continue"/>
            <w:tcBorders>
              <w:tl2br w:val="nil"/>
              <w:tr2bl w:val="nil"/>
            </w:tcBorders>
            <w:noWrap/>
            <w:vAlign w:val="center"/>
          </w:tcPr>
          <w:p w14:paraId="22DEFC3A">
            <w:pPr>
              <w:widowControl/>
              <w:spacing w:line="240" w:lineRule="auto"/>
              <w:ind w:firstLine="0" w:firstLineChars="0"/>
              <w:jc w:val="center"/>
              <w:rPr>
                <w:color w:val="auto"/>
                <w:sz w:val="21"/>
                <w:szCs w:val="21"/>
              </w:rPr>
            </w:pPr>
          </w:p>
        </w:tc>
        <w:tc>
          <w:tcPr>
            <w:tcW w:w="444" w:type="dxa"/>
            <w:tcBorders>
              <w:tl2br w:val="nil"/>
              <w:tr2bl w:val="nil"/>
            </w:tcBorders>
            <w:noWrap/>
            <w:vAlign w:val="center"/>
          </w:tcPr>
          <w:p w14:paraId="5F7F138A">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291D6E86">
            <w:pPr>
              <w:widowControl/>
              <w:spacing w:line="240" w:lineRule="auto"/>
              <w:ind w:firstLine="0" w:firstLineChars="0"/>
              <w:jc w:val="center"/>
              <w:textAlignment w:val="center"/>
              <w:rPr>
                <w:color w:val="auto"/>
                <w:sz w:val="21"/>
                <w:szCs w:val="21"/>
              </w:rPr>
            </w:pPr>
            <w:r>
              <w:rPr>
                <w:color w:val="auto"/>
                <w:kern w:val="0"/>
                <w:sz w:val="22"/>
                <w:szCs w:val="22"/>
                <w:lang w:bidi="ar"/>
              </w:rPr>
              <w:t>3.431</w:t>
            </w:r>
          </w:p>
        </w:tc>
        <w:tc>
          <w:tcPr>
            <w:tcW w:w="802" w:type="dxa"/>
            <w:tcBorders>
              <w:tl2br w:val="nil"/>
              <w:tr2bl w:val="nil"/>
            </w:tcBorders>
            <w:noWrap/>
            <w:vAlign w:val="center"/>
          </w:tcPr>
          <w:p w14:paraId="6925D8E7">
            <w:pPr>
              <w:widowControl/>
              <w:spacing w:line="240" w:lineRule="auto"/>
              <w:ind w:firstLine="0" w:firstLineChars="0"/>
              <w:jc w:val="center"/>
              <w:textAlignment w:val="center"/>
              <w:rPr>
                <w:color w:val="auto"/>
                <w:sz w:val="21"/>
                <w:szCs w:val="21"/>
              </w:rPr>
            </w:pPr>
            <w:r>
              <w:rPr>
                <w:color w:val="auto"/>
                <w:kern w:val="0"/>
                <w:sz w:val="22"/>
                <w:szCs w:val="22"/>
                <w:lang w:bidi="ar"/>
              </w:rPr>
              <w:t>0.015</w:t>
            </w:r>
          </w:p>
        </w:tc>
        <w:tc>
          <w:tcPr>
            <w:tcW w:w="880" w:type="dxa"/>
            <w:tcBorders>
              <w:tl2br w:val="nil"/>
              <w:tr2bl w:val="nil"/>
            </w:tcBorders>
            <w:noWrap/>
            <w:vAlign w:val="center"/>
          </w:tcPr>
          <w:p w14:paraId="6BFF0808">
            <w:pPr>
              <w:widowControl/>
              <w:spacing w:line="240" w:lineRule="auto"/>
              <w:ind w:firstLine="0" w:firstLineChars="0"/>
              <w:jc w:val="center"/>
              <w:textAlignment w:val="center"/>
              <w:rPr>
                <w:color w:val="auto"/>
                <w:sz w:val="21"/>
                <w:szCs w:val="21"/>
              </w:rPr>
            </w:pPr>
            <w:r>
              <w:rPr>
                <w:color w:val="auto"/>
                <w:kern w:val="0"/>
                <w:sz w:val="22"/>
                <w:szCs w:val="22"/>
                <w:lang w:bidi="ar"/>
              </w:rPr>
              <w:t>0.009</w:t>
            </w:r>
          </w:p>
        </w:tc>
        <w:tc>
          <w:tcPr>
            <w:tcW w:w="637" w:type="dxa"/>
            <w:tcBorders>
              <w:tl2br w:val="nil"/>
              <w:tr2bl w:val="nil"/>
            </w:tcBorders>
            <w:noWrap/>
            <w:vAlign w:val="center"/>
          </w:tcPr>
          <w:p w14:paraId="31E40D3F">
            <w:pPr>
              <w:widowControl/>
              <w:spacing w:line="240" w:lineRule="auto"/>
              <w:ind w:firstLine="0" w:firstLineChars="0"/>
              <w:jc w:val="center"/>
              <w:rPr>
                <w:color w:val="auto"/>
                <w:sz w:val="21"/>
                <w:szCs w:val="21"/>
              </w:rPr>
            </w:pPr>
          </w:p>
        </w:tc>
        <w:tc>
          <w:tcPr>
            <w:tcW w:w="755" w:type="dxa"/>
            <w:tcBorders>
              <w:tl2br w:val="nil"/>
              <w:tr2bl w:val="nil"/>
            </w:tcBorders>
            <w:noWrap/>
            <w:vAlign w:val="center"/>
          </w:tcPr>
          <w:p w14:paraId="14DD0AEC">
            <w:pPr>
              <w:widowControl/>
              <w:spacing w:line="240" w:lineRule="auto"/>
              <w:ind w:firstLine="0" w:firstLineChars="0"/>
              <w:jc w:val="center"/>
              <w:rPr>
                <w:color w:val="auto"/>
                <w:sz w:val="21"/>
                <w:szCs w:val="21"/>
              </w:rPr>
            </w:pPr>
          </w:p>
        </w:tc>
        <w:tc>
          <w:tcPr>
            <w:tcW w:w="549" w:type="dxa"/>
            <w:vMerge w:val="continue"/>
            <w:tcBorders>
              <w:tl2br w:val="nil"/>
              <w:tr2bl w:val="nil"/>
            </w:tcBorders>
            <w:noWrap/>
            <w:vAlign w:val="center"/>
          </w:tcPr>
          <w:p w14:paraId="7EF8BBD3">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274A816B">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7053B1C5">
            <w:pPr>
              <w:widowControl/>
              <w:spacing w:line="240" w:lineRule="auto"/>
              <w:ind w:firstLine="0" w:firstLineChars="0"/>
              <w:jc w:val="center"/>
              <w:textAlignment w:val="center"/>
              <w:rPr>
                <w:color w:val="auto"/>
                <w:kern w:val="0"/>
                <w:sz w:val="21"/>
                <w:szCs w:val="21"/>
                <w:lang w:bidi="ar"/>
              </w:rPr>
            </w:pPr>
          </w:p>
        </w:tc>
        <w:tc>
          <w:tcPr>
            <w:tcW w:w="549" w:type="dxa"/>
            <w:vMerge w:val="continue"/>
            <w:tcBorders>
              <w:tl2br w:val="nil"/>
              <w:tr2bl w:val="nil"/>
            </w:tcBorders>
            <w:noWrap/>
            <w:vAlign w:val="center"/>
          </w:tcPr>
          <w:p w14:paraId="55D7D2D8">
            <w:pPr>
              <w:widowControl/>
              <w:spacing w:line="240" w:lineRule="auto"/>
              <w:ind w:firstLine="0" w:firstLineChars="0"/>
              <w:jc w:val="center"/>
              <w:textAlignment w:val="center"/>
              <w:rPr>
                <w:color w:val="auto"/>
                <w:kern w:val="0"/>
                <w:sz w:val="21"/>
                <w:szCs w:val="21"/>
                <w:lang w:bidi="ar"/>
              </w:rPr>
            </w:pPr>
          </w:p>
        </w:tc>
        <w:tc>
          <w:tcPr>
            <w:tcW w:w="621" w:type="dxa"/>
            <w:tcBorders>
              <w:tl2br w:val="nil"/>
              <w:tr2bl w:val="nil"/>
            </w:tcBorders>
            <w:noWrap/>
            <w:vAlign w:val="center"/>
          </w:tcPr>
          <w:p w14:paraId="53C0811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600</w:t>
            </w:r>
          </w:p>
        </w:tc>
      </w:tr>
      <w:tr w14:paraId="7CD58B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vAlign w:val="center"/>
          </w:tcPr>
          <w:p w14:paraId="17B991A7">
            <w:pPr>
              <w:widowControl/>
              <w:spacing w:line="240" w:lineRule="auto"/>
              <w:ind w:firstLine="0" w:firstLineChars="0"/>
              <w:jc w:val="center"/>
              <w:textAlignment w:val="center"/>
              <w:rPr>
                <w:color w:val="auto"/>
                <w:sz w:val="21"/>
                <w:szCs w:val="21"/>
              </w:rPr>
            </w:pPr>
            <w:r>
              <w:rPr>
                <w:color w:val="auto"/>
                <w:kern w:val="0"/>
                <w:sz w:val="21"/>
                <w:szCs w:val="21"/>
                <w:lang w:bidi="ar"/>
              </w:rPr>
              <w:t>G2-1</w:t>
            </w:r>
          </w:p>
        </w:tc>
        <w:tc>
          <w:tcPr>
            <w:tcW w:w="1189" w:type="dxa"/>
            <w:vMerge w:val="continue"/>
            <w:tcBorders>
              <w:tl2br w:val="nil"/>
              <w:tr2bl w:val="nil"/>
            </w:tcBorders>
            <w:noWrap/>
            <w:vAlign w:val="center"/>
          </w:tcPr>
          <w:p w14:paraId="45157BE6">
            <w:pPr>
              <w:widowControl/>
              <w:spacing w:line="240" w:lineRule="auto"/>
              <w:ind w:firstLine="0" w:firstLineChars="0"/>
              <w:jc w:val="center"/>
              <w:textAlignment w:val="center"/>
              <w:rPr>
                <w:color w:val="auto"/>
                <w:kern w:val="0"/>
                <w:sz w:val="21"/>
                <w:szCs w:val="21"/>
                <w:lang w:bidi="ar"/>
              </w:rPr>
            </w:pPr>
          </w:p>
        </w:tc>
        <w:tc>
          <w:tcPr>
            <w:tcW w:w="1246" w:type="dxa"/>
            <w:tcBorders>
              <w:tl2br w:val="nil"/>
              <w:tr2bl w:val="nil"/>
            </w:tcBorders>
            <w:noWrap/>
            <w:vAlign w:val="center"/>
          </w:tcPr>
          <w:p w14:paraId="643F044A">
            <w:pPr>
              <w:widowControl/>
              <w:spacing w:line="240" w:lineRule="auto"/>
              <w:ind w:firstLine="0" w:firstLineChars="0"/>
              <w:jc w:val="center"/>
              <w:textAlignment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621" w:type="dxa"/>
            <w:vMerge w:val="continue"/>
            <w:tcBorders>
              <w:tl2br w:val="nil"/>
              <w:tr2bl w:val="nil"/>
            </w:tcBorders>
            <w:noWrap/>
            <w:vAlign w:val="center"/>
          </w:tcPr>
          <w:p w14:paraId="60946DA3">
            <w:pPr>
              <w:widowControl/>
              <w:spacing w:line="240" w:lineRule="auto"/>
              <w:ind w:firstLine="0" w:firstLineChars="0"/>
              <w:jc w:val="center"/>
              <w:textAlignment w:val="center"/>
              <w:rPr>
                <w:color w:val="auto"/>
                <w:sz w:val="21"/>
                <w:szCs w:val="21"/>
              </w:rPr>
            </w:pPr>
          </w:p>
        </w:tc>
        <w:tc>
          <w:tcPr>
            <w:tcW w:w="736" w:type="dxa"/>
            <w:tcBorders>
              <w:tl2br w:val="nil"/>
              <w:tr2bl w:val="nil"/>
            </w:tcBorders>
            <w:noWrap/>
            <w:vAlign w:val="center"/>
          </w:tcPr>
          <w:p w14:paraId="393EEF7D">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424.533 </w:t>
            </w:r>
          </w:p>
        </w:tc>
        <w:tc>
          <w:tcPr>
            <w:tcW w:w="644" w:type="dxa"/>
            <w:tcBorders>
              <w:tl2br w:val="nil"/>
              <w:tr2bl w:val="nil"/>
            </w:tcBorders>
            <w:noWrap/>
            <w:vAlign w:val="center"/>
          </w:tcPr>
          <w:p w14:paraId="3E76701E">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1.910 </w:t>
            </w:r>
          </w:p>
        </w:tc>
        <w:tc>
          <w:tcPr>
            <w:tcW w:w="712" w:type="dxa"/>
            <w:tcBorders>
              <w:tl2br w:val="nil"/>
              <w:tr2bl w:val="nil"/>
            </w:tcBorders>
            <w:noWrap/>
            <w:vAlign w:val="center"/>
          </w:tcPr>
          <w:p w14:paraId="60B80357">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9.552 </w:t>
            </w:r>
          </w:p>
        </w:tc>
        <w:tc>
          <w:tcPr>
            <w:tcW w:w="1996" w:type="dxa"/>
            <w:vMerge w:val="continue"/>
            <w:tcBorders>
              <w:tl2br w:val="nil"/>
              <w:tr2bl w:val="nil"/>
            </w:tcBorders>
            <w:noWrap/>
            <w:vAlign w:val="center"/>
          </w:tcPr>
          <w:p w14:paraId="0E6515A6">
            <w:pPr>
              <w:widowControl/>
              <w:spacing w:line="240" w:lineRule="auto"/>
              <w:ind w:firstLine="0" w:firstLineChars="0"/>
              <w:jc w:val="center"/>
              <w:rPr>
                <w:color w:val="auto"/>
                <w:sz w:val="21"/>
                <w:szCs w:val="21"/>
              </w:rPr>
            </w:pPr>
          </w:p>
        </w:tc>
        <w:tc>
          <w:tcPr>
            <w:tcW w:w="444" w:type="dxa"/>
            <w:tcBorders>
              <w:tl2br w:val="nil"/>
              <w:tr2bl w:val="nil"/>
            </w:tcBorders>
            <w:noWrap/>
            <w:vAlign w:val="center"/>
          </w:tcPr>
          <w:p w14:paraId="56FC2A24">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22E980B2">
            <w:pPr>
              <w:widowControl/>
              <w:spacing w:line="240" w:lineRule="auto"/>
              <w:ind w:firstLine="0" w:firstLineChars="0"/>
              <w:jc w:val="center"/>
              <w:textAlignment w:val="center"/>
              <w:rPr>
                <w:color w:val="auto"/>
                <w:sz w:val="21"/>
                <w:szCs w:val="21"/>
              </w:rPr>
            </w:pPr>
            <w:r>
              <w:rPr>
                <w:color w:val="auto"/>
                <w:kern w:val="0"/>
                <w:sz w:val="22"/>
                <w:szCs w:val="22"/>
                <w:lang w:bidi="ar"/>
              </w:rPr>
              <w:t>4.245</w:t>
            </w:r>
          </w:p>
        </w:tc>
        <w:tc>
          <w:tcPr>
            <w:tcW w:w="802" w:type="dxa"/>
            <w:tcBorders>
              <w:tl2br w:val="nil"/>
              <w:tr2bl w:val="nil"/>
            </w:tcBorders>
            <w:noWrap/>
            <w:vAlign w:val="center"/>
          </w:tcPr>
          <w:p w14:paraId="72FAE96E">
            <w:pPr>
              <w:widowControl/>
              <w:spacing w:line="240" w:lineRule="auto"/>
              <w:ind w:firstLine="0" w:firstLineChars="0"/>
              <w:jc w:val="center"/>
              <w:textAlignment w:val="center"/>
              <w:rPr>
                <w:color w:val="auto"/>
                <w:sz w:val="21"/>
                <w:szCs w:val="21"/>
              </w:rPr>
            </w:pPr>
            <w:r>
              <w:rPr>
                <w:color w:val="auto"/>
                <w:kern w:val="0"/>
                <w:sz w:val="22"/>
                <w:szCs w:val="22"/>
                <w:lang w:bidi="ar"/>
              </w:rPr>
              <w:t>0.019</w:t>
            </w:r>
          </w:p>
        </w:tc>
        <w:tc>
          <w:tcPr>
            <w:tcW w:w="880" w:type="dxa"/>
            <w:tcBorders>
              <w:tl2br w:val="nil"/>
              <w:tr2bl w:val="nil"/>
            </w:tcBorders>
            <w:noWrap/>
            <w:vAlign w:val="center"/>
          </w:tcPr>
          <w:p w14:paraId="1EDA06B7">
            <w:pPr>
              <w:widowControl/>
              <w:spacing w:line="240" w:lineRule="auto"/>
              <w:ind w:firstLine="0" w:firstLineChars="0"/>
              <w:jc w:val="center"/>
              <w:textAlignment w:val="center"/>
              <w:rPr>
                <w:color w:val="auto"/>
                <w:sz w:val="21"/>
                <w:szCs w:val="21"/>
              </w:rPr>
            </w:pPr>
            <w:r>
              <w:rPr>
                <w:color w:val="auto"/>
                <w:kern w:val="0"/>
                <w:sz w:val="22"/>
                <w:szCs w:val="22"/>
                <w:lang w:bidi="ar"/>
              </w:rPr>
              <w:t>0.096</w:t>
            </w:r>
          </w:p>
        </w:tc>
        <w:tc>
          <w:tcPr>
            <w:tcW w:w="637" w:type="dxa"/>
            <w:tcBorders>
              <w:tl2br w:val="nil"/>
              <w:tr2bl w:val="nil"/>
            </w:tcBorders>
            <w:noWrap/>
            <w:vAlign w:val="center"/>
          </w:tcPr>
          <w:p w14:paraId="2D4067BC">
            <w:pPr>
              <w:widowControl/>
              <w:spacing w:line="240" w:lineRule="auto"/>
              <w:ind w:firstLine="0" w:firstLineChars="0"/>
              <w:jc w:val="center"/>
              <w:rPr>
                <w:color w:val="auto"/>
                <w:sz w:val="21"/>
                <w:szCs w:val="21"/>
              </w:rPr>
            </w:pPr>
          </w:p>
        </w:tc>
        <w:tc>
          <w:tcPr>
            <w:tcW w:w="755" w:type="dxa"/>
            <w:tcBorders>
              <w:tl2br w:val="nil"/>
              <w:tr2bl w:val="nil"/>
            </w:tcBorders>
            <w:noWrap/>
            <w:vAlign w:val="center"/>
          </w:tcPr>
          <w:p w14:paraId="1AD85531">
            <w:pPr>
              <w:widowControl/>
              <w:spacing w:line="240" w:lineRule="auto"/>
              <w:ind w:firstLine="0" w:firstLineChars="0"/>
              <w:jc w:val="center"/>
              <w:rPr>
                <w:color w:val="auto"/>
                <w:sz w:val="21"/>
                <w:szCs w:val="21"/>
              </w:rPr>
            </w:pPr>
          </w:p>
        </w:tc>
        <w:tc>
          <w:tcPr>
            <w:tcW w:w="549" w:type="dxa"/>
            <w:vMerge w:val="continue"/>
            <w:tcBorders>
              <w:tl2br w:val="nil"/>
              <w:tr2bl w:val="nil"/>
            </w:tcBorders>
            <w:noWrap/>
            <w:vAlign w:val="center"/>
          </w:tcPr>
          <w:p w14:paraId="7848ED9F">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20D0EF24">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0A72EDA8">
            <w:pPr>
              <w:widowControl/>
              <w:spacing w:line="240" w:lineRule="auto"/>
              <w:ind w:firstLine="0" w:firstLineChars="0"/>
              <w:jc w:val="center"/>
              <w:textAlignment w:val="center"/>
              <w:rPr>
                <w:color w:val="auto"/>
                <w:kern w:val="0"/>
                <w:sz w:val="21"/>
                <w:szCs w:val="21"/>
                <w:lang w:bidi="ar"/>
              </w:rPr>
            </w:pPr>
          </w:p>
        </w:tc>
        <w:tc>
          <w:tcPr>
            <w:tcW w:w="549" w:type="dxa"/>
            <w:vMerge w:val="continue"/>
            <w:tcBorders>
              <w:tl2br w:val="nil"/>
              <w:tr2bl w:val="nil"/>
            </w:tcBorders>
            <w:noWrap/>
            <w:vAlign w:val="center"/>
          </w:tcPr>
          <w:p w14:paraId="7613F4A2">
            <w:pPr>
              <w:widowControl/>
              <w:spacing w:line="240" w:lineRule="auto"/>
              <w:ind w:firstLine="0" w:firstLineChars="0"/>
              <w:jc w:val="center"/>
              <w:textAlignment w:val="center"/>
              <w:rPr>
                <w:color w:val="auto"/>
                <w:kern w:val="0"/>
                <w:sz w:val="21"/>
                <w:szCs w:val="21"/>
                <w:lang w:bidi="ar"/>
              </w:rPr>
            </w:pPr>
          </w:p>
        </w:tc>
        <w:tc>
          <w:tcPr>
            <w:tcW w:w="621" w:type="dxa"/>
            <w:tcBorders>
              <w:tl2br w:val="nil"/>
              <w:tr2bl w:val="nil"/>
            </w:tcBorders>
            <w:noWrap/>
            <w:vAlign w:val="center"/>
          </w:tcPr>
          <w:p w14:paraId="769CEA4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5000</w:t>
            </w:r>
          </w:p>
        </w:tc>
      </w:tr>
      <w:tr w14:paraId="6043AB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vAlign w:val="center"/>
          </w:tcPr>
          <w:p w14:paraId="27472DE8">
            <w:pPr>
              <w:widowControl/>
              <w:spacing w:line="240" w:lineRule="auto"/>
              <w:ind w:firstLine="0" w:firstLineChars="0"/>
              <w:jc w:val="center"/>
              <w:textAlignment w:val="center"/>
              <w:rPr>
                <w:color w:val="auto"/>
                <w:sz w:val="21"/>
                <w:szCs w:val="21"/>
              </w:rPr>
            </w:pPr>
            <w:r>
              <w:rPr>
                <w:color w:val="auto"/>
                <w:kern w:val="0"/>
                <w:sz w:val="21"/>
                <w:szCs w:val="21"/>
                <w:lang w:bidi="ar"/>
              </w:rPr>
              <w:t>G2-2</w:t>
            </w:r>
          </w:p>
        </w:tc>
        <w:tc>
          <w:tcPr>
            <w:tcW w:w="1189" w:type="dxa"/>
            <w:vMerge w:val="continue"/>
            <w:tcBorders>
              <w:tl2br w:val="nil"/>
              <w:tr2bl w:val="nil"/>
            </w:tcBorders>
            <w:noWrap/>
            <w:vAlign w:val="center"/>
          </w:tcPr>
          <w:p w14:paraId="70B8EAAE">
            <w:pPr>
              <w:widowControl/>
              <w:spacing w:line="240" w:lineRule="auto"/>
              <w:ind w:firstLine="0" w:firstLineChars="0"/>
              <w:jc w:val="center"/>
              <w:textAlignment w:val="center"/>
              <w:rPr>
                <w:color w:val="auto"/>
                <w:kern w:val="0"/>
                <w:sz w:val="21"/>
                <w:szCs w:val="21"/>
                <w:lang w:bidi="ar"/>
              </w:rPr>
            </w:pPr>
          </w:p>
        </w:tc>
        <w:tc>
          <w:tcPr>
            <w:tcW w:w="1246" w:type="dxa"/>
            <w:tcBorders>
              <w:tl2br w:val="nil"/>
              <w:tr2bl w:val="nil"/>
            </w:tcBorders>
            <w:noWrap/>
            <w:vAlign w:val="center"/>
          </w:tcPr>
          <w:p w14:paraId="01100768">
            <w:pPr>
              <w:widowControl/>
              <w:spacing w:line="240" w:lineRule="auto"/>
              <w:ind w:firstLine="0" w:firstLineChars="0"/>
              <w:jc w:val="center"/>
              <w:textAlignment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621" w:type="dxa"/>
            <w:vMerge w:val="continue"/>
            <w:tcBorders>
              <w:tl2br w:val="nil"/>
              <w:tr2bl w:val="nil"/>
            </w:tcBorders>
            <w:noWrap/>
            <w:vAlign w:val="center"/>
          </w:tcPr>
          <w:p w14:paraId="5EF8CD5D">
            <w:pPr>
              <w:widowControl/>
              <w:spacing w:line="240" w:lineRule="auto"/>
              <w:ind w:firstLine="0" w:firstLineChars="0"/>
              <w:jc w:val="center"/>
              <w:textAlignment w:val="center"/>
              <w:rPr>
                <w:color w:val="auto"/>
                <w:kern w:val="0"/>
                <w:sz w:val="21"/>
                <w:szCs w:val="21"/>
                <w:lang w:bidi="ar"/>
              </w:rPr>
            </w:pPr>
          </w:p>
        </w:tc>
        <w:tc>
          <w:tcPr>
            <w:tcW w:w="736" w:type="dxa"/>
            <w:tcBorders>
              <w:tl2br w:val="nil"/>
              <w:tr2bl w:val="nil"/>
            </w:tcBorders>
            <w:noWrap/>
            <w:vAlign w:val="center"/>
          </w:tcPr>
          <w:p w14:paraId="09EB458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 xml:space="preserve">21.205 </w:t>
            </w:r>
          </w:p>
        </w:tc>
        <w:tc>
          <w:tcPr>
            <w:tcW w:w="644" w:type="dxa"/>
            <w:tcBorders>
              <w:tl2br w:val="nil"/>
              <w:tr2bl w:val="nil"/>
            </w:tcBorders>
            <w:noWrap/>
            <w:vAlign w:val="center"/>
          </w:tcPr>
          <w:p w14:paraId="21D7EC3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 xml:space="preserve">0.095 </w:t>
            </w:r>
          </w:p>
        </w:tc>
        <w:tc>
          <w:tcPr>
            <w:tcW w:w="712" w:type="dxa"/>
            <w:tcBorders>
              <w:tl2br w:val="nil"/>
              <w:tr2bl w:val="nil"/>
            </w:tcBorders>
            <w:noWrap/>
            <w:vAlign w:val="center"/>
          </w:tcPr>
          <w:p w14:paraId="738DEA7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 xml:space="preserve">0.477 </w:t>
            </w:r>
          </w:p>
        </w:tc>
        <w:tc>
          <w:tcPr>
            <w:tcW w:w="1996" w:type="dxa"/>
            <w:vMerge w:val="continue"/>
            <w:tcBorders>
              <w:tl2br w:val="nil"/>
              <w:tr2bl w:val="nil"/>
            </w:tcBorders>
            <w:noWrap/>
            <w:vAlign w:val="center"/>
          </w:tcPr>
          <w:p w14:paraId="266809E8">
            <w:pPr>
              <w:widowControl/>
              <w:spacing w:line="240" w:lineRule="auto"/>
              <w:ind w:firstLine="0" w:firstLineChars="0"/>
              <w:jc w:val="center"/>
              <w:textAlignment w:val="center"/>
              <w:rPr>
                <w:color w:val="auto"/>
                <w:kern w:val="0"/>
                <w:sz w:val="21"/>
                <w:szCs w:val="21"/>
                <w:lang w:bidi="ar"/>
              </w:rPr>
            </w:pPr>
          </w:p>
        </w:tc>
        <w:tc>
          <w:tcPr>
            <w:tcW w:w="444" w:type="dxa"/>
            <w:tcBorders>
              <w:tl2br w:val="nil"/>
              <w:tr2bl w:val="nil"/>
            </w:tcBorders>
            <w:noWrap/>
            <w:vAlign w:val="center"/>
          </w:tcPr>
          <w:p w14:paraId="0050D1B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99</w:t>
            </w:r>
          </w:p>
        </w:tc>
        <w:tc>
          <w:tcPr>
            <w:tcW w:w="736" w:type="dxa"/>
            <w:tcBorders>
              <w:tl2br w:val="nil"/>
              <w:tr2bl w:val="nil"/>
            </w:tcBorders>
            <w:noWrap/>
            <w:vAlign w:val="center"/>
          </w:tcPr>
          <w:p w14:paraId="378B0BF0">
            <w:pPr>
              <w:widowControl/>
              <w:spacing w:line="240" w:lineRule="auto"/>
              <w:ind w:firstLine="0" w:firstLineChars="0"/>
              <w:jc w:val="center"/>
              <w:textAlignment w:val="center"/>
              <w:rPr>
                <w:color w:val="auto"/>
                <w:kern w:val="0"/>
                <w:sz w:val="21"/>
                <w:szCs w:val="21"/>
                <w:lang w:bidi="ar"/>
              </w:rPr>
            </w:pPr>
            <w:r>
              <w:rPr>
                <w:color w:val="auto"/>
                <w:kern w:val="0"/>
                <w:sz w:val="22"/>
                <w:szCs w:val="22"/>
                <w:lang w:bidi="ar"/>
              </w:rPr>
              <w:t>0.212</w:t>
            </w:r>
          </w:p>
        </w:tc>
        <w:tc>
          <w:tcPr>
            <w:tcW w:w="802" w:type="dxa"/>
            <w:tcBorders>
              <w:tl2br w:val="nil"/>
              <w:tr2bl w:val="nil"/>
            </w:tcBorders>
            <w:noWrap/>
            <w:vAlign w:val="center"/>
          </w:tcPr>
          <w:p w14:paraId="6C55CC94">
            <w:pPr>
              <w:widowControl/>
              <w:spacing w:line="240" w:lineRule="auto"/>
              <w:ind w:firstLine="0" w:firstLineChars="0"/>
              <w:jc w:val="center"/>
              <w:textAlignment w:val="center"/>
              <w:rPr>
                <w:color w:val="auto"/>
                <w:kern w:val="0"/>
                <w:sz w:val="21"/>
                <w:szCs w:val="21"/>
                <w:lang w:bidi="ar"/>
              </w:rPr>
            </w:pPr>
            <w:r>
              <w:rPr>
                <w:color w:val="auto"/>
                <w:kern w:val="0"/>
                <w:sz w:val="22"/>
                <w:szCs w:val="22"/>
                <w:lang w:bidi="ar"/>
              </w:rPr>
              <w:t>0.001</w:t>
            </w:r>
          </w:p>
        </w:tc>
        <w:tc>
          <w:tcPr>
            <w:tcW w:w="880" w:type="dxa"/>
            <w:tcBorders>
              <w:tl2br w:val="nil"/>
              <w:tr2bl w:val="nil"/>
            </w:tcBorders>
            <w:noWrap/>
            <w:vAlign w:val="center"/>
          </w:tcPr>
          <w:p w14:paraId="3296428D">
            <w:pPr>
              <w:widowControl/>
              <w:spacing w:line="240" w:lineRule="auto"/>
              <w:ind w:firstLine="0" w:firstLineChars="0"/>
              <w:jc w:val="center"/>
              <w:textAlignment w:val="center"/>
              <w:rPr>
                <w:color w:val="auto"/>
                <w:kern w:val="0"/>
                <w:sz w:val="21"/>
                <w:szCs w:val="21"/>
                <w:lang w:bidi="ar"/>
              </w:rPr>
            </w:pPr>
            <w:r>
              <w:rPr>
                <w:color w:val="auto"/>
                <w:kern w:val="0"/>
                <w:sz w:val="22"/>
                <w:szCs w:val="22"/>
                <w:lang w:bidi="ar"/>
              </w:rPr>
              <w:t>0.005</w:t>
            </w:r>
          </w:p>
        </w:tc>
        <w:tc>
          <w:tcPr>
            <w:tcW w:w="637" w:type="dxa"/>
            <w:tcBorders>
              <w:tl2br w:val="nil"/>
              <w:tr2bl w:val="nil"/>
            </w:tcBorders>
            <w:noWrap/>
            <w:vAlign w:val="center"/>
          </w:tcPr>
          <w:p w14:paraId="4983ED92">
            <w:pPr>
              <w:widowControl/>
              <w:spacing w:line="240" w:lineRule="auto"/>
              <w:ind w:firstLine="0" w:firstLineChars="0"/>
              <w:jc w:val="center"/>
              <w:rPr>
                <w:color w:val="auto"/>
                <w:sz w:val="21"/>
                <w:szCs w:val="21"/>
              </w:rPr>
            </w:pPr>
          </w:p>
        </w:tc>
        <w:tc>
          <w:tcPr>
            <w:tcW w:w="755" w:type="dxa"/>
            <w:tcBorders>
              <w:tl2br w:val="nil"/>
              <w:tr2bl w:val="nil"/>
            </w:tcBorders>
            <w:noWrap/>
            <w:vAlign w:val="center"/>
          </w:tcPr>
          <w:p w14:paraId="653DC56A">
            <w:pPr>
              <w:widowControl/>
              <w:spacing w:line="240" w:lineRule="auto"/>
              <w:ind w:firstLine="0" w:firstLineChars="0"/>
              <w:jc w:val="center"/>
              <w:rPr>
                <w:color w:val="auto"/>
                <w:sz w:val="21"/>
                <w:szCs w:val="21"/>
              </w:rPr>
            </w:pPr>
          </w:p>
        </w:tc>
        <w:tc>
          <w:tcPr>
            <w:tcW w:w="549" w:type="dxa"/>
            <w:vMerge w:val="continue"/>
            <w:tcBorders>
              <w:tl2br w:val="nil"/>
              <w:tr2bl w:val="nil"/>
            </w:tcBorders>
            <w:noWrap/>
            <w:vAlign w:val="center"/>
          </w:tcPr>
          <w:p w14:paraId="0DCB6960">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4F9630A3">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4FD4AFDC">
            <w:pPr>
              <w:widowControl/>
              <w:spacing w:line="240" w:lineRule="auto"/>
              <w:ind w:firstLine="0" w:firstLineChars="0"/>
              <w:jc w:val="center"/>
              <w:textAlignment w:val="center"/>
              <w:rPr>
                <w:color w:val="auto"/>
                <w:kern w:val="0"/>
                <w:sz w:val="21"/>
                <w:szCs w:val="21"/>
                <w:lang w:bidi="ar"/>
              </w:rPr>
            </w:pPr>
          </w:p>
        </w:tc>
        <w:tc>
          <w:tcPr>
            <w:tcW w:w="549" w:type="dxa"/>
            <w:vMerge w:val="continue"/>
            <w:tcBorders>
              <w:tl2br w:val="nil"/>
              <w:tr2bl w:val="nil"/>
            </w:tcBorders>
            <w:noWrap/>
            <w:vAlign w:val="center"/>
          </w:tcPr>
          <w:p w14:paraId="2D6B722D">
            <w:pPr>
              <w:widowControl/>
              <w:spacing w:line="240" w:lineRule="auto"/>
              <w:ind w:firstLine="0" w:firstLineChars="0"/>
              <w:jc w:val="center"/>
              <w:textAlignment w:val="center"/>
              <w:rPr>
                <w:color w:val="auto"/>
                <w:kern w:val="0"/>
                <w:sz w:val="21"/>
                <w:szCs w:val="21"/>
                <w:lang w:bidi="ar"/>
              </w:rPr>
            </w:pPr>
          </w:p>
        </w:tc>
        <w:tc>
          <w:tcPr>
            <w:tcW w:w="621" w:type="dxa"/>
            <w:tcBorders>
              <w:tl2br w:val="nil"/>
              <w:tr2bl w:val="nil"/>
            </w:tcBorders>
            <w:noWrap/>
            <w:vAlign w:val="center"/>
          </w:tcPr>
          <w:p w14:paraId="0E07E75E">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5000</w:t>
            </w:r>
          </w:p>
        </w:tc>
      </w:tr>
      <w:tr w14:paraId="240308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vAlign w:val="center"/>
          </w:tcPr>
          <w:p w14:paraId="3E8BBF3C">
            <w:pPr>
              <w:widowControl/>
              <w:spacing w:line="240" w:lineRule="auto"/>
              <w:ind w:firstLine="0" w:firstLineChars="0"/>
              <w:jc w:val="center"/>
              <w:textAlignment w:val="center"/>
              <w:rPr>
                <w:color w:val="auto"/>
                <w:sz w:val="21"/>
                <w:szCs w:val="21"/>
              </w:rPr>
            </w:pPr>
            <w:r>
              <w:rPr>
                <w:color w:val="auto"/>
                <w:kern w:val="0"/>
                <w:sz w:val="21"/>
                <w:szCs w:val="21"/>
                <w:lang w:bidi="ar"/>
              </w:rPr>
              <w:t>G2-</w:t>
            </w:r>
            <w:r>
              <w:rPr>
                <w:rFonts w:hint="eastAsia"/>
                <w:color w:val="auto"/>
                <w:kern w:val="0"/>
                <w:sz w:val="21"/>
                <w:szCs w:val="21"/>
                <w:lang w:bidi="ar"/>
              </w:rPr>
              <w:t>3</w:t>
            </w:r>
          </w:p>
        </w:tc>
        <w:tc>
          <w:tcPr>
            <w:tcW w:w="1189" w:type="dxa"/>
            <w:vMerge w:val="continue"/>
            <w:tcBorders>
              <w:tl2br w:val="nil"/>
              <w:tr2bl w:val="nil"/>
            </w:tcBorders>
            <w:noWrap/>
            <w:vAlign w:val="center"/>
          </w:tcPr>
          <w:p w14:paraId="1234413C">
            <w:pPr>
              <w:widowControl/>
              <w:spacing w:line="240" w:lineRule="auto"/>
              <w:ind w:firstLine="0" w:firstLineChars="0"/>
              <w:jc w:val="center"/>
              <w:rPr>
                <w:color w:val="auto"/>
                <w:sz w:val="21"/>
                <w:szCs w:val="21"/>
              </w:rPr>
            </w:pPr>
          </w:p>
        </w:tc>
        <w:tc>
          <w:tcPr>
            <w:tcW w:w="1246" w:type="dxa"/>
            <w:tcBorders>
              <w:tl2br w:val="nil"/>
              <w:tr2bl w:val="nil"/>
            </w:tcBorders>
            <w:noWrap/>
            <w:vAlign w:val="center"/>
          </w:tcPr>
          <w:p w14:paraId="79B74581">
            <w:pPr>
              <w:widowControl/>
              <w:spacing w:line="240" w:lineRule="auto"/>
              <w:ind w:firstLine="0" w:firstLineChars="0"/>
              <w:jc w:val="center"/>
              <w:textAlignment w:val="center"/>
              <w:rPr>
                <w:color w:val="auto"/>
                <w:sz w:val="21"/>
                <w:szCs w:val="21"/>
              </w:rPr>
            </w:pPr>
            <w:r>
              <w:rPr>
                <w:rFonts w:hint="eastAsia" w:ascii="宋体" w:hAnsi="宋体" w:cs="宋体"/>
                <w:color w:val="auto"/>
                <w:kern w:val="0"/>
                <w:sz w:val="21"/>
                <w:szCs w:val="21"/>
                <w:lang w:bidi="ar"/>
              </w:rPr>
              <w:t>颗粒物</w:t>
            </w:r>
          </w:p>
        </w:tc>
        <w:tc>
          <w:tcPr>
            <w:tcW w:w="621" w:type="dxa"/>
            <w:vMerge w:val="continue"/>
            <w:tcBorders>
              <w:tl2br w:val="nil"/>
              <w:tr2bl w:val="nil"/>
            </w:tcBorders>
            <w:noWrap/>
            <w:vAlign w:val="center"/>
          </w:tcPr>
          <w:p w14:paraId="06F2543D">
            <w:pPr>
              <w:widowControl/>
              <w:spacing w:line="240" w:lineRule="auto"/>
              <w:ind w:firstLine="0" w:firstLineChars="0"/>
              <w:jc w:val="center"/>
              <w:textAlignment w:val="center"/>
              <w:rPr>
                <w:color w:val="auto"/>
                <w:sz w:val="21"/>
                <w:szCs w:val="21"/>
              </w:rPr>
            </w:pPr>
          </w:p>
        </w:tc>
        <w:tc>
          <w:tcPr>
            <w:tcW w:w="736" w:type="dxa"/>
            <w:tcBorders>
              <w:tl2br w:val="nil"/>
              <w:tr2bl w:val="nil"/>
            </w:tcBorders>
            <w:noWrap/>
            <w:vAlign w:val="center"/>
          </w:tcPr>
          <w:p w14:paraId="19964AB4">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278.925 </w:t>
            </w:r>
          </w:p>
        </w:tc>
        <w:tc>
          <w:tcPr>
            <w:tcW w:w="644" w:type="dxa"/>
            <w:tcBorders>
              <w:tl2br w:val="nil"/>
              <w:tr2bl w:val="nil"/>
            </w:tcBorders>
            <w:noWrap/>
            <w:vAlign w:val="center"/>
          </w:tcPr>
          <w:p w14:paraId="35BCAB1E">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1.255 </w:t>
            </w:r>
          </w:p>
        </w:tc>
        <w:tc>
          <w:tcPr>
            <w:tcW w:w="712" w:type="dxa"/>
            <w:tcBorders>
              <w:tl2br w:val="nil"/>
              <w:tr2bl w:val="nil"/>
            </w:tcBorders>
            <w:noWrap/>
            <w:vAlign w:val="center"/>
          </w:tcPr>
          <w:p w14:paraId="21FD5B91">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0.753 </w:t>
            </w:r>
          </w:p>
        </w:tc>
        <w:tc>
          <w:tcPr>
            <w:tcW w:w="1996" w:type="dxa"/>
            <w:vMerge w:val="continue"/>
            <w:tcBorders>
              <w:tl2br w:val="nil"/>
              <w:tr2bl w:val="nil"/>
            </w:tcBorders>
            <w:noWrap/>
            <w:vAlign w:val="center"/>
          </w:tcPr>
          <w:p w14:paraId="0FAE8FF6">
            <w:pPr>
              <w:widowControl/>
              <w:spacing w:line="240" w:lineRule="auto"/>
              <w:ind w:firstLine="0" w:firstLineChars="0"/>
              <w:jc w:val="center"/>
              <w:rPr>
                <w:color w:val="auto"/>
                <w:sz w:val="21"/>
                <w:szCs w:val="21"/>
              </w:rPr>
            </w:pPr>
          </w:p>
        </w:tc>
        <w:tc>
          <w:tcPr>
            <w:tcW w:w="444" w:type="dxa"/>
            <w:tcBorders>
              <w:tl2br w:val="nil"/>
              <w:tr2bl w:val="nil"/>
            </w:tcBorders>
            <w:noWrap/>
            <w:vAlign w:val="center"/>
          </w:tcPr>
          <w:p w14:paraId="36D59261">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3A5D6E0D">
            <w:pPr>
              <w:widowControl/>
              <w:spacing w:line="240" w:lineRule="auto"/>
              <w:ind w:firstLine="0" w:firstLineChars="0"/>
              <w:jc w:val="center"/>
              <w:textAlignment w:val="center"/>
              <w:rPr>
                <w:color w:val="auto"/>
                <w:sz w:val="21"/>
                <w:szCs w:val="21"/>
              </w:rPr>
            </w:pPr>
            <w:r>
              <w:rPr>
                <w:color w:val="auto"/>
                <w:kern w:val="0"/>
                <w:sz w:val="22"/>
                <w:szCs w:val="22"/>
                <w:lang w:bidi="ar"/>
              </w:rPr>
              <w:t>2.789</w:t>
            </w:r>
          </w:p>
        </w:tc>
        <w:tc>
          <w:tcPr>
            <w:tcW w:w="802" w:type="dxa"/>
            <w:tcBorders>
              <w:tl2br w:val="nil"/>
              <w:tr2bl w:val="nil"/>
            </w:tcBorders>
            <w:noWrap/>
            <w:vAlign w:val="center"/>
          </w:tcPr>
          <w:p w14:paraId="2D53C842">
            <w:pPr>
              <w:widowControl/>
              <w:spacing w:line="240" w:lineRule="auto"/>
              <w:ind w:firstLine="0" w:firstLineChars="0"/>
              <w:jc w:val="center"/>
              <w:textAlignment w:val="center"/>
              <w:rPr>
                <w:color w:val="auto"/>
                <w:sz w:val="21"/>
                <w:szCs w:val="21"/>
              </w:rPr>
            </w:pPr>
            <w:r>
              <w:rPr>
                <w:color w:val="auto"/>
                <w:kern w:val="0"/>
                <w:sz w:val="22"/>
                <w:szCs w:val="22"/>
                <w:lang w:bidi="ar"/>
              </w:rPr>
              <w:t>0.01</w:t>
            </w:r>
            <w:r>
              <w:rPr>
                <w:rFonts w:hint="eastAsia"/>
                <w:color w:val="auto"/>
                <w:kern w:val="0"/>
                <w:sz w:val="22"/>
                <w:szCs w:val="22"/>
                <w:lang w:bidi="ar"/>
              </w:rPr>
              <w:t>3</w:t>
            </w:r>
          </w:p>
        </w:tc>
        <w:tc>
          <w:tcPr>
            <w:tcW w:w="880" w:type="dxa"/>
            <w:tcBorders>
              <w:tl2br w:val="nil"/>
              <w:tr2bl w:val="nil"/>
            </w:tcBorders>
            <w:noWrap/>
            <w:vAlign w:val="center"/>
          </w:tcPr>
          <w:p w14:paraId="02365629">
            <w:pPr>
              <w:widowControl/>
              <w:spacing w:line="240" w:lineRule="auto"/>
              <w:ind w:firstLine="0" w:firstLineChars="0"/>
              <w:jc w:val="center"/>
              <w:textAlignment w:val="center"/>
              <w:rPr>
                <w:color w:val="auto"/>
                <w:sz w:val="21"/>
                <w:szCs w:val="21"/>
              </w:rPr>
            </w:pPr>
            <w:r>
              <w:rPr>
                <w:color w:val="auto"/>
                <w:kern w:val="0"/>
                <w:sz w:val="22"/>
                <w:szCs w:val="22"/>
                <w:lang w:bidi="ar"/>
              </w:rPr>
              <w:t>0.008</w:t>
            </w:r>
          </w:p>
        </w:tc>
        <w:tc>
          <w:tcPr>
            <w:tcW w:w="637" w:type="dxa"/>
            <w:tcBorders>
              <w:tl2br w:val="nil"/>
              <w:tr2bl w:val="nil"/>
            </w:tcBorders>
            <w:noWrap/>
            <w:vAlign w:val="center"/>
          </w:tcPr>
          <w:p w14:paraId="79940FA0">
            <w:pPr>
              <w:widowControl/>
              <w:spacing w:line="240" w:lineRule="auto"/>
              <w:ind w:firstLine="0" w:firstLineChars="0"/>
              <w:jc w:val="center"/>
              <w:rPr>
                <w:color w:val="auto"/>
                <w:sz w:val="21"/>
                <w:szCs w:val="21"/>
              </w:rPr>
            </w:pPr>
          </w:p>
        </w:tc>
        <w:tc>
          <w:tcPr>
            <w:tcW w:w="755" w:type="dxa"/>
            <w:tcBorders>
              <w:tl2br w:val="nil"/>
              <w:tr2bl w:val="nil"/>
            </w:tcBorders>
            <w:noWrap/>
            <w:vAlign w:val="center"/>
          </w:tcPr>
          <w:p w14:paraId="402857D3">
            <w:pPr>
              <w:widowControl/>
              <w:spacing w:line="240" w:lineRule="auto"/>
              <w:ind w:firstLine="0" w:firstLineChars="0"/>
              <w:jc w:val="center"/>
              <w:rPr>
                <w:color w:val="auto"/>
                <w:sz w:val="21"/>
                <w:szCs w:val="21"/>
              </w:rPr>
            </w:pPr>
          </w:p>
        </w:tc>
        <w:tc>
          <w:tcPr>
            <w:tcW w:w="549" w:type="dxa"/>
            <w:vMerge w:val="continue"/>
            <w:tcBorders>
              <w:tl2br w:val="nil"/>
              <w:tr2bl w:val="nil"/>
            </w:tcBorders>
            <w:noWrap/>
            <w:vAlign w:val="center"/>
          </w:tcPr>
          <w:p w14:paraId="66BE1D61">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267A0960">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32C67A5F">
            <w:pPr>
              <w:widowControl/>
              <w:spacing w:line="240" w:lineRule="auto"/>
              <w:ind w:firstLine="0" w:firstLineChars="0"/>
              <w:jc w:val="center"/>
              <w:textAlignment w:val="center"/>
              <w:rPr>
                <w:color w:val="auto"/>
                <w:kern w:val="0"/>
                <w:sz w:val="21"/>
                <w:szCs w:val="21"/>
                <w:lang w:bidi="ar"/>
              </w:rPr>
            </w:pPr>
          </w:p>
        </w:tc>
        <w:tc>
          <w:tcPr>
            <w:tcW w:w="549" w:type="dxa"/>
            <w:vMerge w:val="continue"/>
            <w:tcBorders>
              <w:tl2br w:val="nil"/>
              <w:tr2bl w:val="nil"/>
            </w:tcBorders>
            <w:noWrap/>
            <w:vAlign w:val="center"/>
          </w:tcPr>
          <w:p w14:paraId="035167D5">
            <w:pPr>
              <w:widowControl/>
              <w:spacing w:line="240" w:lineRule="auto"/>
              <w:ind w:firstLine="0" w:firstLineChars="0"/>
              <w:jc w:val="center"/>
              <w:textAlignment w:val="center"/>
              <w:rPr>
                <w:color w:val="auto"/>
                <w:kern w:val="0"/>
                <w:sz w:val="21"/>
                <w:szCs w:val="21"/>
                <w:lang w:bidi="ar"/>
              </w:rPr>
            </w:pPr>
          </w:p>
        </w:tc>
        <w:tc>
          <w:tcPr>
            <w:tcW w:w="621" w:type="dxa"/>
            <w:tcBorders>
              <w:tl2br w:val="nil"/>
              <w:tr2bl w:val="nil"/>
            </w:tcBorders>
            <w:noWrap/>
            <w:vAlign w:val="center"/>
          </w:tcPr>
          <w:p w14:paraId="6508F74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600</w:t>
            </w:r>
          </w:p>
        </w:tc>
      </w:tr>
      <w:tr w14:paraId="6B8BE3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vAlign w:val="center"/>
          </w:tcPr>
          <w:p w14:paraId="23627AF2">
            <w:pPr>
              <w:widowControl/>
              <w:spacing w:line="240" w:lineRule="auto"/>
              <w:ind w:firstLine="0" w:firstLineChars="0"/>
              <w:jc w:val="center"/>
              <w:textAlignment w:val="center"/>
              <w:rPr>
                <w:color w:val="auto"/>
                <w:sz w:val="21"/>
                <w:szCs w:val="21"/>
              </w:rPr>
            </w:pPr>
            <w:r>
              <w:rPr>
                <w:rFonts w:hint="eastAsia"/>
                <w:color w:val="auto"/>
                <w:sz w:val="21"/>
                <w:szCs w:val="21"/>
              </w:rPr>
              <w:t>G3-1</w:t>
            </w:r>
          </w:p>
        </w:tc>
        <w:tc>
          <w:tcPr>
            <w:tcW w:w="1189" w:type="dxa"/>
            <w:vMerge w:val="continue"/>
            <w:tcBorders>
              <w:tl2br w:val="nil"/>
              <w:tr2bl w:val="nil"/>
            </w:tcBorders>
            <w:noWrap/>
            <w:vAlign w:val="center"/>
          </w:tcPr>
          <w:p w14:paraId="14134AE4">
            <w:pPr>
              <w:widowControl/>
              <w:spacing w:line="240" w:lineRule="auto"/>
              <w:ind w:firstLine="0" w:firstLineChars="0"/>
              <w:jc w:val="center"/>
              <w:textAlignment w:val="center"/>
              <w:rPr>
                <w:color w:val="auto"/>
                <w:kern w:val="0"/>
                <w:sz w:val="21"/>
                <w:szCs w:val="21"/>
                <w:lang w:bidi="ar"/>
              </w:rPr>
            </w:pPr>
          </w:p>
        </w:tc>
        <w:tc>
          <w:tcPr>
            <w:tcW w:w="1246" w:type="dxa"/>
            <w:tcBorders>
              <w:tl2br w:val="nil"/>
              <w:tr2bl w:val="nil"/>
            </w:tcBorders>
            <w:noWrap/>
            <w:vAlign w:val="center"/>
          </w:tcPr>
          <w:p w14:paraId="432CD06A">
            <w:pPr>
              <w:widowControl/>
              <w:spacing w:line="240" w:lineRule="auto"/>
              <w:ind w:firstLine="0" w:firstLineChars="0"/>
              <w:jc w:val="center"/>
              <w:textAlignment w:val="center"/>
              <w:rPr>
                <w:color w:val="auto"/>
                <w:sz w:val="21"/>
                <w:szCs w:val="21"/>
              </w:rPr>
            </w:pPr>
            <w:r>
              <w:rPr>
                <w:rFonts w:hint="eastAsia"/>
                <w:color w:val="auto"/>
                <w:sz w:val="21"/>
                <w:szCs w:val="21"/>
              </w:rPr>
              <w:t>氨</w:t>
            </w:r>
          </w:p>
        </w:tc>
        <w:tc>
          <w:tcPr>
            <w:tcW w:w="621" w:type="dxa"/>
            <w:vMerge w:val="restart"/>
            <w:tcBorders>
              <w:tl2br w:val="nil"/>
              <w:tr2bl w:val="nil"/>
            </w:tcBorders>
            <w:noWrap/>
            <w:vAlign w:val="center"/>
          </w:tcPr>
          <w:p w14:paraId="29444634">
            <w:pPr>
              <w:widowControl/>
              <w:spacing w:line="240" w:lineRule="auto"/>
              <w:ind w:firstLine="0" w:firstLineChars="0"/>
              <w:jc w:val="center"/>
              <w:textAlignment w:val="center"/>
              <w:rPr>
                <w:color w:val="auto"/>
                <w:sz w:val="21"/>
                <w:szCs w:val="21"/>
              </w:rPr>
            </w:pPr>
            <w:r>
              <w:rPr>
                <w:rFonts w:hint="eastAsia"/>
                <w:color w:val="auto"/>
                <w:sz w:val="21"/>
                <w:szCs w:val="21"/>
              </w:rPr>
              <w:t>30000</w:t>
            </w:r>
          </w:p>
        </w:tc>
        <w:tc>
          <w:tcPr>
            <w:tcW w:w="736" w:type="dxa"/>
            <w:tcBorders>
              <w:tl2br w:val="nil"/>
              <w:tr2bl w:val="nil"/>
            </w:tcBorders>
            <w:noWrap/>
            <w:vAlign w:val="center"/>
          </w:tcPr>
          <w:p w14:paraId="3B460E9C">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0.881 </w:t>
            </w:r>
          </w:p>
        </w:tc>
        <w:tc>
          <w:tcPr>
            <w:tcW w:w="644" w:type="dxa"/>
            <w:tcBorders>
              <w:tl2br w:val="nil"/>
              <w:tr2bl w:val="nil"/>
            </w:tcBorders>
            <w:noWrap/>
            <w:vAlign w:val="center"/>
          </w:tcPr>
          <w:p w14:paraId="09AB48B9">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0.026 </w:t>
            </w:r>
          </w:p>
        </w:tc>
        <w:tc>
          <w:tcPr>
            <w:tcW w:w="712" w:type="dxa"/>
            <w:tcBorders>
              <w:tl2br w:val="nil"/>
              <w:tr2bl w:val="nil"/>
            </w:tcBorders>
            <w:noWrap/>
            <w:vAlign w:val="center"/>
          </w:tcPr>
          <w:p w14:paraId="0B1190B7">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0.111 </w:t>
            </w:r>
          </w:p>
        </w:tc>
        <w:tc>
          <w:tcPr>
            <w:tcW w:w="1996" w:type="dxa"/>
            <w:vMerge w:val="restart"/>
            <w:tcBorders>
              <w:tl2br w:val="nil"/>
              <w:tr2bl w:val="nil"/>
            </w:tcBorders>
            <w:noWrap/>
            <w:vAlign w:val="center"/>
          </w:tcPr>
          <w:p w14:paraId="3BE9761A">
            <w:pPr>
              <w:widowControl/>
              <w:spacing w:line="240" w:lineRule="auto"/>
              <w:ind w:firstLine="0" w:firstLineChars="0"/>
              <w:jc w:val="center"/>
              <w:rPr>
                <w:color w:val="auto"/>
                <w:sz w:val="21"/>
                <w:szCs w:val="21"/>
              </w:rPr>
            </w:pPr>
            <w:r>
              <w:rPr>
                <w:rFonts w:hint="eastAsia"/>
                <w:color w:val="auto"/>
                <w:sz w:val="21"/>
                <w:szCs w:val="21"/>
              </w:rPr>
              <w:t>水喷淋吸收+三级碱吸收+水喷淋</w:t>
            </w:r>
          </w:p>
        </w:tc>
        <w:tc>
          <w:tcPr>
            <w:tcW w:w="444" w:type="dxa"/>
            <w:tcBorders>
              <w:tl2br w:val="nil"/>
              <w:tr2bl w:val="nil"/>
            </w:tcBorders>
            <w:noWrap/>
            <w:vAlign w:val="center"/>
          </w:tcPr>
          <w:p w14:paraId="06649113">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5B1E4045">
            <w:pPr>
              <w:widowControl/>
              <w:spacing w:line="240" w:lineRule="auto"/>
              <w:ind w:firstLine="0" w:firstLineChars="0"/>
              <w:jc w:val="center"/>
              <w:textAlignment w:val="center"/>
              <w:rPr>
                <w:color w:val="auto"/>
                <w:sz w:val="21"/>
                <w:szCs w:val="21"/>
              </w:rPr>
            </w:pPr>
            <w:r>
              <w:rPr>
                <w:color w:val="auto"/>
                <w:kern w:val="0"/>
                <w:sz w:val="22"/>
                <w:szCs w:val="22"/>
                <w:lang w:bidi="ar"/>
              </w:rPr>
              <w:t>0.009</w:t>
            </w:r>
          </w:p>
        </w:tc>
        <w:tc>
          <w:tcPr>
            <w:tcW w:w="802" w:type="dxa"/>
            <w:tcBorders>
              <w:tl2br w:val="nil"/>
              <w:tr2bl w:val="nil"/>
            </w:tcBorders>
            <w:noWrap/>
            <w:vAlign w:val="center"/>
          </w:tcPr>
          <w:p w14:paraId="32948403">
            <w:pPr>
              <w:widowControl/>
              <w:spacing w:line="240" w:lineRule="auto"/>
              <w:ind w:firstLine="0" w:firstLineChars="0"/>
              <w:jc w:val="center"/>
              <w:textAlignment w:val="center"/>
              <w:rPr>
                <w:color w:val="auto"/>
                <w:sz w:val="21"/>
                <w:szCs w:val="21"/>
              </w:rPr>
            </w:pPr>
            <w:r>
              <w:rPr>
                <w:color w:val="auto"/>
                <w:kern w:val="0"/>
                <w:sz w:val="22"/>
                <w:szCs w:val="22"/>
                <w:lang w:bidi="ar"/>
              </w:rPr>
              <w:t>0.0003</w:t>
            </w:r>
          </w:p>
        </w:tc>
        <w:tc>
          <w:tcPr>
            <w:tcW w:w="880" w:type="dxa"/>
            <w:tcBorders>
              <w:tl2br w:val="nil"/>
              <w:tr2bl w:val="nil"/>
            </w:tcBorders>
            <w:noWrap/>
            <w:vAlign w:val="center"/>
          </w:tcPr>
          <w:p w14:paraId="069944FB">
            <w:pPr>
              <w:widowControl/>
              <w:spacing w:line="240" w:lineRule="auto"/>
              <w:ind w:firstLine="0" w:firstLineChars="0"/>
              <w:jc w:val="center"/>
              <w:textAlignment w:val="center"/>
              <w:rPr>
                <w:color w:val="auto"/>
                <w:sz w:val="21"/>
                <w:szCs w:val="21"/>
              </w:rPr>
            </w:pPr>
            <w:r>
              <w:rPr>
                <w:color w:val="auto"/>
                <w:kern w:val="0"/>
                <w:sz w:val="22"/>
                <w:szCs w:val="22"/>
                <w:lang w:bidi="ar"/>
              </w:rPr>
              <w:t>0.001</w:t>
            </w:r>
          </w:p>
        </w:tc>
        <w:tc>
          <w:tcPr>
            <w:tcW w:w="637" w:type="dxa"/>
            <w:tcBorders>
              <w:tl2br w:val="nil"/>
              <w:tr2bl w:val="nil"/>
            </w:tcBorders>
            <w:noWrap/>
            <w:vAlign w:val="center"/>
          </w:tcPr>
          <w:p w14:paraId="40F7F526">
            <w:pPr>
              <w:widowControl/>
              <w:spacing w:line="240" w:lineRule="auto"/>
              <w:ind w:firstLine="0" w:firstLineChars="0"/>
              <w:jc w:val="center"/>
              <w:rPr>
                <w:color w:val="auto"/>
                <w:sz w:val="21"/>
                <w:szCs w:val="21"/>
              </w:rPr>
            </w:pPr>
          </w:p>
        </w:tc>
        <w:tc>
          <w:tcPr>
            <w:tcW w:w="755" w:type="dxa"/>
            <w:tcBorders>
              <w:tl2br w:val="nil"/>
              <w:tr2bl w:val="nil"/>
            </w:tcBorders>
            <w:noWrap/>
            <w:vAlign w:val="center"/>
          </w:tcPr>
          <w:p w14:paraId="038493D7">
            <w:pPr>
              <w:widowControl/>
              <w:spacing w:line="240" w:lineRule="auto"/>
              <w:ind w:firstLine="0" w:firstLineChars="0"/>
              <w:jc w:val="center"/>
              <w:rPr>
                <w:color w:val="auto"/>
                <w:sz w:val="21"/>
                <w:szCs w:val="21"/>
              </w:rPr>
            </w:pPr>
          </w:p>
        </w:tc>
        <w:tc>
          <w:tcPr>
            <w:tcW w:w="549" w:type="dxa"/>
            <w:vMerge w:val="restart"/>
            <w:tcBorders>
              <w:tl2br w:val="nil"/>
              <w:tr2bl w:val="nil"/>
            </w:tcBorders>
            <w:noWrap/>
            <w:vAlign w:val="center"/>
          </w:tcPr>
          <w:p w14:paraId="10285B3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DA001</w:t>
            </w:r>
          </w:p>
        </w:tc>
        <w:tc>
          <w:tcPr>
            <w:tcW w:w="558" w:type="dxa"/>
            <w:vMerge w:val="restart"/>
            <w:tcBorders>
              <w:tl2br w:val="nil"/>
              <w:tr2bl w:val="nil"/>
            </w:tcBorders>
            <w:noWrap/>
            <w:vAlign w:val="center"/>
          </w:tcPr>
          <w:p w14:paraId="773F80E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35</w:t>
            </w:r>
          </w:p>
        </w:tc>
        <w:tc>
          <w:tcPr>
            <w:tcW w:w="558" w:type="dxa"/>
            <w:vMerge w:val="restart"/>
            <w:tcBorders>
              <w:tl2br w:val="nil"/>
              <w:tr2bl w:val="nil"/>
            </w:tcBorders>
            <w:noWrap/>
            <w:vAlign w:val="center"/>
          </w:tcPr>
          <w:p w14:paraId="5A41F64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0.9</w:t>
            </w:r>
          </w:p>
        </w:tc>
        <w:tc>
          <w:tcPr>
            <w:tcW w:w="549" w:type="dxa"/>
            <w:vMerge w:val="restart"/>
            <w:tcBorders>
              <w:tl2br w:val="nil"/>
              <w:tr2bl w:val="nil"/>
            </w:tcBorders>
            <w:noWrap/>
            <w:vAlign w:val="center"/>
          </w:tcPr>
          <w:p w14:paraId="2F9247D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20</w:t>
            </w:r>
          </w:p>
        </w:tc>
        <w:tc>
          <w:tcPr>
            <w:tcW w:w="621" w:type="dxa"/>
            <w:tcBorders>
              <w:tl2br w:val="nil"/>
              <w:tr2bl w:val="nil"/>
            </w:tcBorders>
            <w:noWrap/>
            <w:vAlign w:val="center"/>
          </w:tcPr>
          <w:p w14:paraId="19DA6CC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4200</w:t>
            </w:r>
          </w:p>
        </w:tc>
      </w:tr>
      <w:tr w14:paraId="7CEAB8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vAlign w:val="center"/>
          </w:tcPr>
          <w:p w14:paraId="70977A8E">
            <w:pPr>
              <w:widowControl/>
              <w:spacing w:line="240" w:lineRule="auto"/>
              <w:ind w:firstLine="0" w:firstLineChars="0"/>
              <w:jc w:val="center"/>
              <w:textAlignment w:val="center"/>
              <w:rPr>
                <w:color w:val="auto"/>
                <w:sz w:val="21"/>
                <w:szCs w:val="21"/>
              </w:rPr>
            </w:pPr>
            <w:r>
              <w:rPr>
                <w:rFonts w:hint="eastAsia"/>
                <w:color w:val="auto"/>
                <w:sz w:val="21"/>
                <w:szCs w:val="21"/>
              </w:rPr>
              <w:t>G3-2</w:t>
            </w:r>
          </w:p>
        </w:tc>
        <w:tc>
          <w:tcPr>
            <w:tcW w:w="1189" w:type="dxa"/>
            <w:vMerge w:val="continue"/>
            <w:tcBorders>
              <w:tl2br w:val="nil"/>
              <w:tr2bl w:val="nil"/>
            </w:tcBorders>
            <w:noWrap/>
            <w:vAlign w:val="center"/>
          </w:tcPr>
          <w:p w14:paraId="7E459CC8">
            <w:pPr>
              <w:widowControl/>
              <w:spacing w:line="240" w:lineRule="auto"/>
              <w:ind w:firstLine="0" w:firstLineChars="0"/>
              <w:jc w:val="center"/>
              <w:rPr>
                <w:color w:val="auto"/>
                <w:kern w:val="0"/>
                <w:sz w:val="21"/>
                <w:szCs w:val="21"/>
                <w:lang w:bidi="ar"/>
              </w:rPr>
            </w:pPr>
          </w:p>
        </w:tc>
        <w:tc>
          <w:tcPr>
            <w:tcW w:w="1246" w:type="dxa"/>
            <w:tcBorders>
              <w:tl2br w:val="nil"/>
              <w:tr2bl w:val="nil"/>
            </w:tcBorders>
            <w:noWrap/>
            <w:vAlign w:val="center"/>
          </w:tcPr>
          <w:p w14:paraId="4F9CA6F5">
            <w:pPr>
              <w:widowControl/>
              <w:spacing w:line="240" w:lineRule="auto"/>
              <w:ind w:firstLine="0" w:firstLineChars="0"/>
              <w:jc w:val="center"/>
              <w:textAlignment w:val="center"/>
              <w:rPr>
                <w:color w:val="auto"/>
                <w:sz w:val="21"/>
                <w:szCs w:val="21"/>
              </w:rPr>
            </w:pPr>
            <w:r>
              <w:rPr>
                <w:rFonts w:hint="eastAsia"/>
                <w:color w:val="auto"/>
                <w:sz w:val="21"/>
                <w:szCs w:val="21"/>
              </w:rPr>
              <w:t>氨</w:t>
            </w:r>
          </w:p>
        </w:tc>
        <w:tc>
          <w:tcPr>
            <w:tcW w:w="621" w:type="dxa"/>
            <w:vMerge w:val="continue"/>
            <w:tcBorders>
              <w:tl2br w:val="nil"/>
              <w:tr2bl w:val="nil"/>
            </w:tcBorders>
            <w:noWrap/>
            <w:vAlign w:val="center"/>
          </w:tcPr>
          <w:p w14:paraId="47BDDA0C">
            <w:pPr>
              <w:widowControl/>
              <w:spacing w:line="240" w:lineRule="auto"/>
              <w:ind w:firstLine="0" w:firstLineChars="0"/>
              <w:jc w:val="center"/>
              <w:textAlignment w:val="center"/>
              <w:rPr>
                <w:color w:val="auto"/>
                <w:sz w:val="21"/>
                <w:szCs w:val="21"/>
              </w:rPr>
            </w:pPr>
          </w:p>
        </w:tc>
        <w:tc>
          <w:tcPr>
            <w:tcW w:w="736" w:type="dxa"/>
            <w:tcBorders>
              <w:tl2br w:val="nil"/>
              <w:tr2bl w:val="nil"/>
            </w:tcBorders>
            <w:noWrap/>
            <w:vAlign w:val="center"/>
          </w:tcPr>
          <w:p w14:paraId="5962DE6B">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59.191 </w:t>
            </w:r>
          </w:p>
        </w:tc>
        <w:tc>
          <w:tcPr>
            <w:tcW w:w="644" w:type="dxa"/>
            <w:tcBorders>
              <w:tl2br w:val="nil"/>
              <w:tr2bl w:val="nil"/>
            </w:tcBorders>
            <w:noWrap/>
            <w:vAlign w:val="center"/>
          </w:tcPr>
          <w:p w14:paraId="40FB8377">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1.776 </w:t>
            </w:r>
          </w:p>
        </w:tc>
        <w:tc>
          <w:tcPr>
            <w:tcW w:w="712" w:type="dxa"/>
            <w:tcBorders>
              <w:tl2br w:val="nil"/>
              <w:tr2bl w:val="nil"/>
            </w:tcBorders>
            <w:noWrap/>
            <w:vAlign w:val="center"/>
          </w:tcPr>
          <w:p w14:paraId="0BEF48D8">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7.458 </w:t>
            </w:r>
          </w:p>
        </w:tc>
        <w:tc>
          <w:tcPr>
            <w:tcW w:w="1996" w:type="dxa"/>
            <w:vMerge w:val="continue"/>
            <w:tcBorders>
              <w:tl2br w:val="nil"/>
              <w:tr2bl w:val="nil"/>
            </w:tcBorders>
            <w:noWrap/>
            <w:vAlign w:val="center"/>
          </w:tcPr>
          <w:p w14:paraId="75CA4D6C">
            <w:pPr>
              <w:widowControl/>
              <w:spacing w:line="240" w:lineRule="auto"/>
              <w:ind w:firstLine="0" w:firstLineChars="0"/>
              <w:jc w:val="center"/>
              <w:rPr>
                <w:color w:val="auto"/>
                <w:sz w:val="21"/>
                <w:szCs w:val="21"/>
              </w:rPr>
            </w:pPr>
          </w:p>
        </w:tc>
        <w:tc>
          <w:tcPr>
            <w:tcW w:w="444" w:type="dxa"/>
            <w:tcBorders>
              <w:tl2br w:val="nil"/>
              <w:tr2bl w:val="nil"/>
            </w:tcBorders>
            <w:noWrap/>
            <w:vAlign w:val="center"/>
          </w:tcPr>
          <w:p w14:paraId="6D0928F5">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1375419B">
            <w:pPr>
              <w:widowControl/>
              <w:spacing w:line="240" w:lineRule="auto"/>
              <w:ind w:firstLine="0" w:firstLineChars="0"/>
              <w:jc w:val="center"/>
              <w:textAlignment w:val="center"/>
              <w:rPr>
                <w:color w:val="auto"/>
                <w:sz w:val="21"/>
                <w:szCs w:val="21"/>
              </w:rPr>
            </w:pPr>
            <w:r>
              <w:rPr>
                <w:color w:val="auto"/>
                <w:kern w:val="0"/>
                <w:sz w:val="22"/>
                <w:szCs w:val="22"/>
                <w:lang w:bidi="ar"/>
              </w:rPr>
              <w:t>0.592</w:t>
            </w:r>
          </w:p>
        </w:tc>
        <w:tc>
          <w:tcPr>
            <w:tcW w:w="802" w:type="dxa"/>
            <w:tcBorders>
              <w:tl2br w:val="nil"/>
              <w:tr2bl w:val="nil"/>
            </w:tcBorders>
            <w:noWrap/>
            <w:vAlign w:val="center"/>
          </w:tcPr>
          <w:p w14:paraId="1462A1DD">
            <w:pPr>
              <w:widowControl/>
              <w:spacing w:line="240" w:lineRule="auto"/>
              <w:ind w:firstLine="0" w:firstLineChars="0"/>
              <w:jc w:val="center"/>
              <w:textAlignment w:val="center"/>
              <w:rPr>
                <w:color w:val="auto"/>
                <w:sz w:val="21"/>
                <w:szCs w:val="21"/>
              </w:rPr>
            </w:pPr>
            <w:r>
              <w:rPr>
                <w:color w:val="auto"/>
                <w:kern w:val="0"/>
                <w:sz w:val="22"/>
                <w:szCs w:val="22"/>
                <w:lang w:bidi="ar"/>
              </w:rPr>
              <w:t>0.01</w:t>
            </w:r>
            <w:r>
              <w:rPr>
                <w:rFonts w:hint="eastAsia"/>
                <w:color w:val="auto"/>
                <w:kern w:val="0"/>
                <w:sz w:val="22"/>
                <w:szCs w:val="22"/>
                <w:lang w:bidi="ar"/>
              </w:rPr>
              <w:t>8</w:t>
            </w:r>
          </w:p>
        </w:tc>
        <w:tc>
          <w:tcPr>
            <w:tcW w:w="880" w:type="dxa"/>
            <w:tcBorders>
              <w:tl2br w:val="nil"/>
              <w:tr2bl w:val="nil"/>
            </w:tcBorders>
            <w:noWrap/>
            <w:vAlign w:val="center"/>
          </w:tcPr>
          <w:p w14:paraId="26E86ADC">
            <w:pPr>
              <w:widowControl/>
              <w:spacing w:line="240" w:lineRule="auto"/>
              <w:ind w:firstLine="0" w:firstLineChars="0"/>
              <w:jc w:val="center"/>
              <w:textAlignment w:val="center"/>
              <w:rPr>
                <w:color w:val="auto"/>
                <w:sz w:val="21"/>
                <w:szCs w:val="21"/>
              </w:rPr>
            </w:pPr>
            <w:r>
              <w:rPr>
                <w:color w:val="auto"/>
                <w:kern w:val="0"/>
                <w:sz w:val="22"/>
                <w:szCs w:val="22"/>
                <w:lang w:bidi="ar"/>
              </w:rPr>
              <w:t>0.075</w:t>
            </w:r>
          </w:p>
        </w:tc>
        <w:tc>
          <w:tcPr>
            <w:tcW w:w="637" w:type="dxa"/>
            <w:tcBorders>
              <w:tl2br w:val="nil"/>
              <w:tr2bl w:val="nil"/>
            </w:tcBorders>
            <w:noWrap/>
            <w:vAlign w:val="center"/>
          </w:tcPr>
          <w:p w14:paraId="3D585004">
            <w:pPr>
              <w:widowControl/>
              <w:spacing w:line="240" w:lineRule="auto"/>
              <w:ind w:firstLine="0" w:firstLineChars="0"/>
              <w:jc w:val="center"/>
              <w:rPr>
                <w:color w:val="auto"/>
                <w:sz w:val="21"/>
                <w:szCs w:val="21"/>
              </w:rPr>
            </w:pPr>
          </w:p>
        </w:tc>
        <w:tc>
          <w:tcPr>
            <w:tcW w:w="755" w:type="dxa"/>
            <w:tcBorders>
              <w:tl2br w:val="nil"/>
              <w:tr2bl w:val="nil"/>
            </w:tcBorders>
            <w:noWrap/>
            <w:vAlign w:val="center"/>
          </w:tcPr>
          <w:p w14:paraId="000277FB">
            <w:pPr>
              <w:widowControl/>
              <w:spacing w:line="240" w:lineRule="auto"/>
              <w:ind w:firstLine="0" w:firstLineChars="0"/>
              <w:jc w:val="center"/>
              <w:rPr>
                <w:color w:val="auto"/>
                <w:sz w:val="21"/>
                <w:szCs w:val="21"/>
              </w:rPr>
            </w:pPr>
          </w:p>
        </w:tc>
        <w:tc>
          <w:tcPr>
            <w:tcW w:w="549" w:type="dxa"/>
            <w:vMerge w:val="continue"/>
            <w:tcBorders>
              <w:tl2br w:val="nil"/>
              <w:tr2bl w:val="nil"/>
            </w:tcBorders>
            <w:noWrap/>
            <w:vAlign w:val="center"/>
          </w:tcPr>
          <w:p w14:paraId="79C19971">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13288C46">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159A2363">
            <w:pPr>
              <w:widowControl/>
              <w:spacing w:line="240" w:lineRule="auto"/>
              <w:ind w:firstLine="0" w:firstLineChars="0"/>
              <w:jc w:val="center"/>
              <w:textAlignment w:val="center"/>
              <w:rPr>
                <w:color w:val="auto"/>
                <w:kern w:val="0"/>
                <w:sz w:val="21"/>
                <w:szCs w:val="21"/>
                <w:lang w:bidi="ar"/>
              </w:rPr>
            </w:pPr>
          </w:p>
        </w:tc>
        <w:tc>
          <w:tcPr>
            <w:tcW w:w="549" w:type="dxa"/>
            <w:vMerge w:val="continue"/>
            <w:tcBorders>
              <w:tl2br w:val="nil"/>
              <w:tr2bl w:val="nil"/>
            </w:tcBorders>
            <w:noWrap/>
            <w:vAlign w:val="center"/>
          </w:tcPr>
          <w:p w14:paraId="554C4B28">
            <w:pPr>
              <w:widowControl/>
              <w:spacing w:line="240" w:lineRule="auto"/>
              <w:ind w:firstLine="0" w:firstLineChars="0"/>
              <w:jc w:val="center"/>
              <w:textAlignment w:val="center"/>
              <w:rPr>
                <w:color w:val="auto"/>
                <w:kern w:val="0"/>
                <w:sz w:val="21"/>
                <w:szCs w:val="21"/>
                <w:lang w:bidi="ar"/>
              </w:rPr>
            </w:pPr>
          </w:p>
        </w:tc>
        <w:tc>
          <w:tcPr>
            <w:tcW w:w="621" w:type="dxa"/>
            <w:tcBorders>
              <w:tl2br w:val="nil"/>
              <w:tr2bl w:val="nil"/>
            </w:tcBorders>
            <w:noWrap/>
            <w:vAlign w:val="center"/>
          </w:tcPr>
          <w:p w14:paraId="6AEC0E3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4200</w:t>
            </w:r>
          </w:p>
        </w:tc>
      </w:tr>
      <w:tr w14:paraId="592FA1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vAlign w:val="center"/>
          </w:tcPr>
          <w:p w14:paraId="53C692CD">
            <w:pPr>
              <w:widowControl/>
              <w:spacing w:line="240" w:lineRule="auto"/>
              <w:ind w:firstLine="0" w:firstLineChars="0"/>
              <w:jc w:val="center"/>
              <w:textAlignment w:val="center"/>
              <w:rPr>
                <w:color w:val="auto"/>
                <w:sz w:val="21"/>
                <w:szCs w:val="21"/>
              </w:rPr>
            </w:pPr>
            <w:r>
              <w:rPr>
                <w:rFonts w:hint="eastAsia"/>
                <w:color w:val="auto"/>
                <w:sz w:val="21"/>
                <w:szCs w:val="21"/>
              </w:rPr>
              <w:t>G4-1</w:t>
            </w:r>
          </w:p>
        </w:tc>
        <w:tc>
          <w:tcPr>
            <w:tcW w:w="1189" w:type="dxa"/>
            <w:vMerge w:val="continue"/>
            <w:tcBorders>
              <w:tl2br w:val="nil"/>
              <w:tr2bl w:val="nil"/>
            </w:tcBorders>
            <w:noWrap/>
            <w:vAlign w:val="center"/>
          </w:tcPr>
          <w:p w14:paraId="03FAAFCC">
            <w:pPr>
              <w:widowControl/>
              <w:spacing w:line="240" w:lineRule="auto"/>
              <w:ind w:firstLine="0" w:firstLineChars="0"/>
              <w:jc w:val="center"/>
              <w:textAlignment w:val="center"/>
              <w:rPr>
                <w:color w:val="auto"/>
                <w:kern w:val="0"/>
                <w:sz w:val="21"/>
                <w:szCs w:val="21"/>
                <w:lang w:bidi="ar"/>
              </w:rPr>
            </w:pPr>
          </w:p>
        </w:tc>
        <w:tc>
          <w:tcPr>
            <w:tcW w:w="1246" w:type="dxa"/>
            <w:tcBorders>
              <w:tl2br w:val="nil"/>
              <w:tr2bl w:val="nil"/>
            </w:tcBorders>
            <w:noWrap/>
            <w:vAlign w:val="center"/>
          </w:tcPr>
          <w:p w14:paraId="4336D91C">
            <w:pPr>
              <w:widowControl/>
              <w:spacing w:line="240" w:lineRule="auto"/>
              <w:ind w:firstLine="0" w:firstLineChars="0"/>
              <w:jc w:val="center"/>
              <w:textAlignment w:val="center"/>
              <w:rPr>
                <w:color w:val="auto"/>
                <w:sz w:val="21"/>
                <w:szCs w:val="21"/>
              </w:rPr>
            </w:pPr>
            <w:r>
              <w:rPr>
                <w:rFonts w:hint="eastAsia"/>
                <w:color w:val="auto"/>
                <w:sz w:val="21"/>
                <w:szCs w:val="21"/>
              </w:rPr>
              <w:t>氨</w:t>
            </w:r>
          </w:p>
        </w:tc>
        <w:tc>
          <w:tcPr>
            <w:tcW w:w="621" w:type="dxa"/>
            <w:vMerge w:val="continue"/>
            <w:tcBorders>
              <w:tl2br w:val="nil"/>
              <w:tr2bl w:val="nil"/>
            </w:tcBorders>
            <w:noWrap/>
            <w:vAlign w:val="center"/>
          </w:tcPr>
          <w:p w14:paraId="2A33E343">
            <w:pPr>
              <w:widowControl/>
              <w:spacing w:line="240" w:lineRule="auto"/>
              <w:ind w:firstLine="0" w:firstLineChars="0"/>
              <w:jc w:val="center"/>
              <w:textAlignment w:val="center"/>
              <w:rPr>
                <w:color w:val="auto"/>
                <w:sz w:val="21"/>
                <w:szCs w:val="21"/>
              </w:rPr>
            </w:pPr>
          </w:p>
        </w:tc>
        <w:tc>
          <w:tcPr>
            <w:tcW w:w="736" w:type="dxa"/>
            <w:tcBorders>
              <w:tl2br w:val="nil"/>
              <w:tr2bl w:val="nil"/>
            </w:tcBorders>
            <w:noWrap/>
            <w:vAlign w:val="center"/>
          </w:tcPr>
          <w:p w14:paraId="23A23DE2">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21.005 </w:t>
            </w:r>
          </w:p>
        </w:tc>
        <w:tc>
          <w:tcPr>
            <w:tcW w:w="644" w:type="dxa"/>
            <w:tcBorders>
              <w:tl2br w:val="nil"/>
              <w:tr2bl w:val="nil"/>
            </w:tcBorders>
            <w:noWrap/>
            <w:vAlign w:val="center"/>
          </w:tcPr>
          <w:p w14:paraId="222CD7F4">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0.630 </w:t>
            </w:r>
          </w:p>
        </w:tc>
        <w:tc>
          <w:tcPr>
            <w:tcW w:w="712" w:type="dxa"/>
            <w:tcBorders>
              <w:tl2br w:val="nil"/>
              <w:tr2bl w:val="nil"/>
            </w:tcBorders>
            <w:noWrap/>
            <w:vAlign w:val="center"/>
          </w:tcPr>
          <w:p w14:paraId="2D655EBE">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1.187 </w:t>
            </w:r>
          </w:p>
        </w:tc>
        <w:tc>
          <w:tcPr>
            <w:tcW w:w="1996" w:type="dxa"/>
            <w:vMerge w:val="continue"/>
            <w:tcBorders>
              <w:tl2br w:val="nil"/>
              <w:tr2bl w:val="nil"/>
            </w:tcBorders>
            <w:noWrap/>
            <w:vAlign w:val="center"/>
          </w:tcPr>
          <w:p w14:paraId="24F07438">
            <w:pPr>
              <w:widowControl/>
              <w:spacing w:line="240" w:lineRule="auto"/>
              <w:ind w:firstLine="0" w:firstLineChars="0"/>
              <w:jc w:val="center"/>
              <w:rPr>
                <w:color w:val="auto"/>
                <w:sz w:val="21"/>
                <w:szCs w:val="21"/>
              </w:rPr>
            </w:pPr>
          </w:p>
        </w:tc>
        <w:tc>
          <w:tcPr>
            <w:tcW w:w="444" w:type="dxa"/>
            <w:tcBorders>
              <w:tl2br w:val="nil"/>
              <w:tr2bl w:val="nil"/>
            </w:tcBorders>
            <w:noWrap/>
            <w:vAlign w:val="center"/>
          </w:tcPr>
          <w:p w14:paraId="37A74FFA">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28B3F62D">
            <w:pPr>
              <w:widowControl/>
              <w:spacing w:line="240" w:lineRule="auto"/>
              <w:ind w:firstLine="0" w:firstLineChars="0"/>
              <w:jc w:val="center"/>
              <w:textAlignment w:val="center"/>
              <w:rPr>
                <w:color w:val="auto"/>
                <w:sz w:val="21"/>
                <w:szCs w:val="21"/>
              </w:rPr>
            </w:pPr>
            <w:r>
              <w:rPr>
                <w:color w:val="auto"/>
                <w:kern w:val="0"/>
                <w:sz w:val="22"/>
                <w:szCs w:val="22"/>
                <w:lang w:bidi="ar"/>
              </w:rPr>
              <w:t>0.210</w:t>
            </w:r>
          </w:p>
        </w:tc>
        <w:tc>
          <w:tcPr>
            <w:tcW w:w="802" w:type="dxa"/>
            <w:tcBorders>
              <w:tl2br w:val="nil"/>
              <w:tr2bl w:val="nil"/>
            </w:tcBorders>
            <w:noWrap/>
            <w:vAlign w:val="center"/>
          </w:tcPr>
          <w:p w14:paraId="1AF7D359">
            <w:pPr>
              <w:widowControl/>
              <w:spacing w:line="240" w:lineRule="auto"/>
              <w:ind w:firstLine="0" w:firstLineChars="0"/>
              <w:jc w:val="center"/>
              <w:textAlignment w:val="center"/>
              <w:rPr>
                <w:color w:val="auto"/>
                <w:sz w:val="21"/>
                <w:szCs w:val="21"/>
              </w:rPr>
            </w:pPr>
            <w:r>
              <w:rPr>
                <w:color w:val="auto"/>
                <w:kern w:val="0"/>
                <w:sz w:val="22"/>
                <w:szCs w:val="22"/>
                <w:lang w:bidi="ar"/>
              </w:rPr>
              <w:t>0.006</w:t>
            </w:r>
          </w:p>
        </w:tc>
        <w:tc>
          <w:tcPr>
            <w:tcW w:w="880" w:type="dxa"/>
            <w:tcBorders>
              <w:tl2br w:val="nil"/>
              <w:tr2bl w:val="nil"/>
            </w:tcBorders>
            <w:noWrap/>
            <w:vAlign w:val="center"/>
          </w:tcPr>
          <w:p w14:paraId="3073BD3F">
            <w:pPr>
              <w:widowControl/>
              <w:spacing w:line="240" w:lineRule="auto"/>
              <w:ind w:firstLine="0" w:firstLineChars="0"/>
              <w:jc w:val="center"/>
              <w:textAlignment w:val="center"/>
              <w:rPr>
                <w:color w:val="auto"/>
                <w:sz w:val="21"/>
                <w:szCs w:val="21"/>
              </w:rPr>
            </w:pPr>
            <w:r>
              <w:rPr>
                <w:color w:val="auto"/>
                <w:kern w:val="0"/>
                <w:sz w:val="22"/>
                <w:szCs w:val="22"/>
                <w:lang w:bidi="ar"/>
              </w:rPr>
              <w:t>0.012</w:t>
            </w:r>
          </w:p>
        </w:tc>
        <w:tc>
          <w:tcPr>
            <w:tcW w:w="637" w:type="dxa"/>
            <w:tcBorders>
              <w:tl2br w:val="nil"/>
              <w:tr2bl w:val="nil"/>
            </w:tcBorders>
            <w:noWrap/>
            <w:vAlign w:val="center"/>
          </w:tcPr>
          <w:p w14:paraId="632FF167">
            <w:pPr>
              <w:widowControl/>
              <w:spacing w:line="240" w:lineRule="auto"/>
              <w:ind w:firstLine="0" w:firstLineChars="0"/>
              <w:jc w:val="center"/>
              <w:rPr>
                <w:color w:val="auto"/>
                <w:sz w:val="21"/>
                <w:szCs w:val="21"/>
              </w:rPr>
            </w:pPr>
          </w:p>
        </w:tc>
        <w:tc>
          <w:tcPr>
            <w:tcW w:w="755" w:type="dxa"/>
            <w:tcBorders>
              <w:tl2br w:val="nil"/>
              <w:tr2bl w:val="nil"/>
            </w:tcBorders>
            <w:noWrap/>
            <w:vAlign w:val="center"/>
          </w:tcPr>
          <w:p w14:paraId="414CDC40">
            <w:pPr>
              <w:widowControl/>
              <w:spacing w:line="240" w:lineRule="auto"/>
              <w:ind w:firstLine="0" w:firstLineChars="0"/>
              <w:jc w:val="center"/>
              <w:rPr>
                <w:color w:val="auto"/>
                <w:sz w:val="21"/>
                <w:szCs w:val="21"/>
              </w:rPr>
            </w:pPr>
          </w:p>
        </w:tc>
        <w:tc>
          <w:tcPr>
            <w:tcW w:w="549" w:type="dxa"/>
            <w:vMerge w:val="continue"/>
            <w:tcBorders>
              <w:tl2br w:val="nil"/>
              <w:tr2bl w:val="nil"/>
            </w:tcBorders>
            <w:noWrap/>
            <w:vAlign w:val="center"/>
          </w:tcPr>
          <w:p w14:paraId="3CAA694E">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709697F2">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5C500B1C">
            <w:pPr>
              <w:widowControl/>
              <w:spacing w:line="240" w:lineRule="auto"/>
              <w:ind w:firstLine="0" w:firstLineChars="0"/>
              <w:jc w:val="center"/>
              <w:textAlignment w:val="center"/>
              <w:rPr>
                <w:color w:val="auto"/>
                <w:kern w:val="0"/>
                <w:sz w:val="21"/>
                <w:szCs w:val="21"/>
                <w:lang w:bidi="ar"/>
              </w:rPr>
            </w:pPr>
          </w:p>
        </w:tc>
        <w:tc>
          <w:tcPr>
            <w:tcW w:w="549" w:type="dxa"/>
            <w:vMerge w:val="continue"/>
            <w:tcBorders>
              <w:tl2br w:val="nil"/>
              <w:tr2bl w:val="nil"/>
            </w:tcBorders>
            <w:noWrap/>
            <w:vAlign w:val="center"/>
          </w:tcPr>
          <w:p w14:paraId="05C7161B">
            <w:pPr>
              <w:widowControl/>
              <w:spacing w:line="240" w:lineRule="auto"/>
              <w:ind w:firstLine="0" w:firstLineChars="0"/>
              <w:jc w:val="center"/>
              <w:textAlignment w:val="center"/>
              <w:rPr>
                <w:color w:val="auto"/>
                <w:kern w:val="0"/>
                <w:sz w:val="21"/>
                <w:szCs w:val="21"/>
                <w:lang w:bidi="ar"/>
              </w:rPr>
            </w:pPr>
          </w:p>
        </w:tc>
        <w:tc>
          <w:tcPr>
            <w:tcW w:w="621" w:type="dxa"/>
            <w:tcBorders>
              <w:tl2br w:val="nil"/>
              <w:tr2bl w:val="nil"/>
            </w:tcBorders>
            <w:noWrap/>
            <w:vAlign w:val="center"/>
          </w:tcPr>
          <w:p w14:paraId="41A7B09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1884</w:t>
            </w:r>
          </w:p>
        </w:tc>
      </w:tr>
      <w:tr w14:paraId="593394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vAlign w:val="center"/>
          </w:tcPr>
          <w:p w14:paraId="134228AC">
            <w:pPr>
              <w:widowControl/>
              <w:spacing w:line="240" w:lineRule="auto"/>
              <w:ind w:firstLine="0" w:firstLineChars="0"/>
              <w:jc w:val="center"/>
              <w:textAlignment w:val="center"/>
              <w:rPr>
                <w:color w:val="auto"/>
                <w:sz w:val="21"/>
                <w:szCs w:val="21"/>
              </w:rPr>
            </w:pPr>
            <w:r>
              <w:rPr>
                <w:rFonts w:hint="eastAsia"/>
                <w:color w:val="auto"/>
                <w:sz w:val="21"/>
                <w:szCs w:val="21"/>
              </w:rPr>
              <w:t>G4-2</w:t>
            </w:r>
          </w:p>
        </w:tc>
        <w:tc>
          <w:tcPr>
            <w:tcW w:w="1189" w:type="dxa"/>
            <w:vMerge w:val="continue"/>
            <w:tcBorders>
              <w:tl2br w:val="nil"/>
              <w:tr2bl w:val="nil"/>
            </w:tcBorders>
            <w:noWrap/>
            <w:vAlign w:val="center"/>
          </w:tcPr>
          <w:p w14:paraId="6C1F03C2">
            <w:pPr>
              <w:widowControl/>
              <w:spacing w:line="240" w:lineRule="auto"/>
              <w:ind w:firstLine="0" w:firstLineChars="0"/>
              <w:jc w:val="center"/>
              <w:rPr>
                <w:color w:val="auto"/>
                <w:kern w:val="0"/>
                <w:sz w:val="21"/>
                <w:szCs w:val="21"/>
                <w:lang w:bidi="ar"/>
              </w:rPr>
            </w:pPr>
          </w:p>
        </w:tc>
        <w:tc>
          <w:tcPr>
            <w:tcW w:w="1246" w:type="dxa"/>
            <w:tcBorders>
              <w:tl2br w:val="nil"/>
              <w:tr2bl w:val="nil"/>
            </w:tcBorders>
            <w:noWrap/>
            <w:vAlign w:val="center"/>
          </w:tcPr>
          <w:p w14:paraId="7CE008EF">
            <w:pPr>
              <w:widowControl/>
              <w:spacing w:line="240" w:lineRule="auto"/>
              <w:ind w:firstLine="0" w:firstLineChars="0"/>
              <w:jc w:val="center"/>
              <w:textAlignment w:val="center"/>
              <w:rPr>
                <w:color w:val="auto"/>
                <w:sz w:val="21"/>
                <w:szCs w:val="21"/>
              </w:rPr>
            </w:pPr>
            <w:r>
              <w:rPr>
                <w:rFonts w:hint="eastAsia"/>
                <w:color w:val="auto"/>
                <w:sz w:val="21"/>
                <w:szCs w:val="21"/>
              </w:rPr>
              <w:t>氨</w:t>
            </w:r>
          </w:p>
        </w:tc>
        <w:tc>
          <w:tcPr>
            <w:tcW w:w="621" w:type="dxa"/>
            <w:vMerge w:val="continue"/>
            <w:tcBorders>
              <w:tl2br w:val="nil"/>
              <w:tr2bl w:val="nil"/>
            </w:tcBorders>
            <w:noWrap/>
            <w:vAlign w:val="center"/>
          </w:tcPr>
          <w:p w14:paraId="39C3A28C">
            <w:pPr>
              <w:widowControl/>
              <w:spacing w:line="240" w:lineRule="auto"/>
              <w:ind w:firstLine="0" w:firstLineChars="0"/>
              <w:jc w:val="center"/>
              <w:textAlignment w:val="center"/>
              <w:rPr>
                <w:color w:val="auto"/>
                <w:sz w:val="21"/>
                <w:szCs w:val="21"/>
              </w:rPr>
            </w:pPr>
          </w:p>
        </w:tc>
        <w:tc>
          <w:tcPr>
            <w:tcW w:w="736" w:type="dxa"/>
            <w:tcBorders>
              <w:tl2br w:val="nil"/>
              <w:tr2bl w:val="nil"/>
            </w:tcBorders>
            <w:noWrap/>
            <w:vAlign w:val="center"/>
          </w:tcPr>
          <w:p w14:paraId="213FBA17">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103.955 </w:t>
            </w:r>
          </w:p>
        </w:tc>
        <w:tc>
          <w:tcPr>
            <w:tcW w:w="644" w:type="dxa"/>
            <w:tcBorders>
              <w:tl2br w:val="nil"/>
              <w:tr2bl w:val="nil"/>
            </w:tcBorders>
            <w:noWrap/>
            <w:vAlign w:val="center"/>
          </w:tcPr>
          <w:p w14:paraId="24D2C70B">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3.119 </w:t>
            </w:r>
          </w:p>
        </w:tc>
        <w:tc>
          <w:tcPr>
            <w:tcW w:w="712" w:type="dxa"/>
            <w:tcBorders>
              <w:tl2br w:val="nil"/>
              <w:tr2bl w:val="nil"/>
            </w:tcBorders>
            <w:noWrap/>
            <w:vAlign w:val="center"/>
          </w:tcPr>
          <w:p w14:paraId="452ABDCC">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5.876 </w:t>
            </w:r>
          </w:p>
        </w:tc>
        <w:tc>
          <w:tcPr>
            <w:tcW w:w="1996" w:type="dxa"/>
            <w:vMerge w:val="continue"/>
            <w:tcBorders>
              <w:tl2br w:val="nil"/>
              <w:tr2bl w:val="nil"/>
            </w:tcBorders>
            <w:noWrap/>
            <w:vAlign w:val="center"/>
          </w:tcPr>
          <w:p w14:paraId="13C01BEB">
            <w:pPr>
              <w:widowControl/>
              <w:spacing w:line="240" w:lineRule="auto"/>
              <w:ind w:firstLine="0" w:firstLineChars="0"/>
              <w:jc w:val="center"/>
              <w:rPr>
                <w:color w:val="auto"/>
                <w:sz w:val="21"/>
                <w:szCs w:val="21"/>
              </w:rPr>
            </w:pPr>
          </w:p>
        </w:tc>
        <w:tc>
          <w:tcPr>
            <w:tcW w:w="444" w:type="dxa"/>
            <w:tcBorders>
              <w:tl2br w:val="nil"/>
              <w:tr2bl w:val="nil"/>
            </w:tcBorders>
            <w:noWrap/>
            <w:vAlign w:val="center"/>
          </w:tcPr>
          <w:p w14:paraId="4BFBD3EC">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16FDDE80">
            <w:pPr>
              <w:widowControl/>
              <w:spacing w:line="240" w:lineRule="auto"/>
              <w:ind w:firstLine="0" w:firstLineChars="0"/>
              <w:jc w:val="center"/>
              <w:textAlignment w:val="center"/>
              <w:rPr>
                <w:color w:val="auto"/>
                <w:sz w:val="21"/>
                <w:szCs w:val="21"/>
              </w:rPr>
            </w:pPr>
            <w:r>
              <w:rPr>
                <w:color w:val="auto"/>
                <w:kern w:val="0"/>
                <w:sz w:val="22"/>
                <w:szCs w:val="22"/>
                <w:lang w:bidi="ar"/>
              </w:rPr>
              <w:t>1.040</w:t>
            </w:r>
          </w:p>
        </w:tc>
        <w:tc>
          <w:tcPr>
            <w:tcW w:w="802" w:type="dxa"/>
            <w:tcBorders>
              <w:tl2br w:val="nil"/>
              <w:tr2bl w:val="nil"/>
            </w:tcBorders>
            <w:noWrap/>
            <w:vAlign w:val="center"/>
          </w:tcPr>
          <w:p w14:paraId="244D9F35">
            <w:pPr>
              <w:widowControl/>
              <w:spacing w:line="240" w:lineRule="auto"/>
              <w:ind w:firstLine="0" w:firstLineChars="0"/>
              <w:jc w:val="center"/>
              <w:textAlignment w:val="center"/>
              <w:rPr>
                <w:color w:val="auto"/>
                <w:sz w:val="21"/>
                <w:szCs w:val="21"/>
              </w:rPr>
            </w:pPr>
            <w:r>
              <w:rPr>
                <w:color w:val="auto"/>
                <w:kern w:val="0"/>
                <w:sz w:val="22"/>
                <w:szCs w:val="22"/>
                <w:lang w:bidi="ar"/>
              </w:rPr>
              <w:t>0.031</w:t>
            </w:r>
          </w:p>
        </w:tc>
        <w:tc>
          <w:tcPr>
            <w:tcW w:w="880" w:type="dxa"/>
            <w:tcBorders>
              <w:tl2br w:val="nil"/>
              <w:tr2bl w:val="nil"/>
            </w:tcBorders>
            <w:noWrap/>
            <w:vAlign w:val="center"/>
          </w:tcPr>
          <w:p w14:paraId="50E16B67">
            <w:pPr>
              <w:widowControl/>
              <w:spacing w:line="240" w:lineRule="auto"/>
              <w:ind w:firstLine="0" w:firstLineChars="0"/>
              <w:jc w:val="center"/>
              <w:textAlignment w:val="center"/>
              <w:rPr>
                <w:color w:val="auto"/>
                <w:sz w:val="21"/>
                <w:szCs w:val="21"/>
              </w:rPr>
            </w:pPr>
            <w:r>
              <w:rPr>
                <w:color w:val="auto"/>
                <w:kern w:val="0"/>
                <w:sz w:val="22"/>
                <w:szCs w:val="22"/>
                <w:lang w:bidi="ar"/>
              </w:rPr>
              <w:t>0.059</w:t>
            </w:r>
          </w:p>
        </w:tc>
        <w:tc>
          <w:tcPr>
            <w:tcW w:w="637" w:type="dxa"/>
            <w:tcBorders>
              <w:tl2br w:val="nil"/>
              <w:tr2bl w:val="nil"/>
            </w:tcBorders>
            <w:noWrap/>
            <w:vAlign w:val="center"/>
          </w:tcPr>
          <w:p w14:paraId="72E21C44">
            <w:pPr>
              <w:widowControl/>
              <w:spacing w:line="240" w:lineRule="auto"/>
              <w:ind w:firstLine="0" w:firstLineChars="0"/>
              <w:jc w:val="center"/>
              <w:rPr>
                <w:color w:val="auto"/>
                <w:sz w:val="21"/>
                <w:szCs w:val="21"/>
              </w:rPr>
            </w:pPr>
          </w:p>
        </w:tc>
        <w:tc>
          <w:tcPr>
            <w:tcW w:w="755" w:type="dxa"/>
            <w:tcBorders>
              <w:tl2br w:val="nil"/>
              <w:tr2bl w:val="nil"/>
            </w:tcBorders>
            <w:noWrap/>
            <w:vAlign w:val="center"/>
          </w:tcPr>
          <w:p w14:paraId="67635257">
            <w:pPr>
              <w:widowControl/>
              <w:spacing w:line="240" w:lineRule="auto"/>
              <w:ind w:firstLine="0" w:firstLineChars="0"/>
              <w:jc w:val="center"/>
              <w:rPr>
                <w:color w:val="auto"/>
                <w:sz w:val="21"/>
                <w:szCs w:val="21"/>
              </w:rPr>
            </w:pPr>
          </w:p>
        </w:tc>
        <w:tc>
          <w:tcPr>
            <w:tcW w:w="549" w:type="dxa"/>
            <w:vMerge w:val="continue"/>
            <w:tcBorders>
              <w:tl2br w:val="nil"/>
              <w:tr2bl w:val="nil"/>
            </w:tcBorders>
            <w:noWrap/>
            <w:vAlign w:val="center"/>
          </w:tcPr>
          <w:p w14:paraId="685AB456">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7AC5342F">
            <w:pPr>
              <w:widowControl/>
              <w:spacing w:line="240" w:lineRule="auto"/>
              <w:ind w:firstLine="0" w:firstLineChars="0"/>
              <w:jc w:val="center"/>
              <w:textAlignment w:val="center"/>
              <w:rPr>
                <w:color w:val="auto"/>
                <w:kern w:val="0"/>
                <w:sz w:val="21"/>
                <w:szCs w:val="21"/>
                <w:lang w:bidi="ar"/>
              </w:rPr>
            </w:pPr>
          </w:p>
        </w:tc>
        <w:tc>
          <w:tcPr>
            <w:tcW w:w="558" w:type="dxa"/>
            <w:vMerge w:val="continue"/>
            <w:tcBorders>
              <w:tl2br w:val="nil"/>
              <w:tr2bl w:val="nil"/>
            </w:tcBorders>
            <w:noWrap/>
            <w:vAlign w:val="center"/>
          </w:tcPr>
          <w:p w14:paraId="7A6FF352">
            <w:pPr>
              <w:widowControl/>
              <w:spacing w:line="240" w:lineRule="auto"/>
              <w:ind w:firstLine="0" w:firstLineChars="0"/>
              <w:jc w:val="center"/>
              <w:textAlignment w:val="center"/>
              <w:rPr>
                <w:color w:val="auto"/>
                <w:kern w:val="0"/>
                <w:sz w:val="21"/>
                <w:szCs w:val="21"/>
                <w:lang w:bidi="ar"/>
              </w:rPr>
            </w:pPr>
          </w:p>
        </w:tc>
        <w:tc>
          <w:tcPr>
            <w:tcW w:w="549" w:type="dxa"/>
            <w:vMerge w:val="continue"/>
            <w:tcBorders>
              <w:tl2br w:val="nil"/>
              <w:tr2bl w:val="nil"/>
            </w:tcBorders>
            <w:noWrap/>
            <w:vAlign w:val="center"/>
          </w:tcPr>
          <w:p w14:paraId="33D6818F">
            <w:pPr>
              <w:widowControl/>
              <w:spacing w:line="240" w:lineRule="auto"/>
              <w:ind w:firstLine="0" w:firstLineChars="0"/>
              <w:jc w:val="center"/>
              <w:textAlignment w:val="center"/>
              <w:rPr>
                <w:color w:val="auto"/>
                <w:kern w:val="0"/>
                <w:sz w:val="21"/>
                <w:szCs w:val="21"/>
                <w:lang w:bidi="ar"/>
              </w:rPr>
            </w:pPr>
          </w:p>
        </w:tc>
        <w:tc>
          <w:tcPr>
            <w:tcW w:w="621" w:type="dxa"/>
            <w:tcBorders>
              <w:tl2br w:val="nil"/>
              <w:tr2bl w:val="nil"/>
            </w:tcBorders>
            <w:noWrap/>
            <w:vAlign w:val="center"/>
          </w:tcPr>
          <w:p w14:paraId="47350CA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1884</w:t>
            </w:r>
          </w:p>
        </w:tc>
      </w:tr>
      <w:tr w14:paraId="39459C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noWrap/>
            <w:vAlign w:val="center"/>
          </w:tcPr>
          <w:p w14:paraId="2ADC60AF">
            <w:pPr>
              <w:widowControl/>
              <w:spacing w:line="240" w:lineRule="auto"/>
              <w:ind w:firstLine="0" w:firstLineChars="0"/>
              <w:jc w:val="center"/>
              <w:textAlignment w:val="center"/>
              <w:rPr>
                <w:color w:val="auto"/>
                <w:sz w:val="21"/>
                <w:szCs w:val="21"/>
              </w:rPr>
            </w:pPr>
            <w:r>
              <w:rPr>
                <w:rFonts w:hint="eastAsia"/>
                <w:color w:val="auto"/>
                <w:sz w:val="21"/>
                <w:szCs w:val="21"/>
              </w:rPr>
              <w:t>G5-1</w:t>
            </w:r>
          </w:p>
        </w:tc>
        <w:tc>
          <w:tcPr>
            <w:tcW w:w="1189" w:type="dxa"/>
            <w:vMerge w:val="continue"/>
            <w:tcBorders>
              <w:tl2br w:val="nil"/>
              <w:tr2bl w:val="nil"/>
            </w:tcBorders>
            <w:noWrap/>
            <w:vAlign w:val="center"/>
          </w:tcPr>
          <w:p w14:paraId="6375E241">
            <w:pPr>
              <w:widowControl/>
              <w:spacing w:line="240" w:lineRule="auto"/>
              <w:ind w:firstLine="0" w:firstLineChars="0"/>
              <w:jc w:val="center"/>
              <w:textAlignment w:val="center"/>
              <w:rPr>
                <w:color w:val="auto"/>
                <w:kern w:val="0"/>
                <w:sz w:val="21"/>
                <w:szCs w:val="21"/>
                <w:lang w:bidi="ar"/>
              </w:rPr>
            </w:pPr>
          </w:p>
        </w:tc>
        <w:tc>
          <w:tcPr>
            <w:tcW w:w="1246" w:type="dxa"/>
            <w:tcBorders>
              <w:tl2br w:val="nil"/>
              <w:tr2bl w:val="nil"/>
            </w:tcBorders>
            <w:noWrap/>
            <w:vAlign w:val="center"/>
          </w:tcPr>
          <w:p w14:paraId="3C75B8CC">
            <w:pPr>
              <w:widowControl/>
              <w:spacing w:line="240" w:lineRule="auto"/>
              <w:ind w:firstLine="0" w:firstLineChars="0"/>
              <w:jc w:val="center"/>
              <w:textAlignment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621" w:type="dxa"/>
            <w:tcBorders>
              <w:tl2br w:val="nil"/>
              <w:tr2bl w:val="nil"/>
            </w:tcBorders>
            <w:noWrap/>
            <w:vAlign w:val="center"/>
          </w:tcPr>
          <w:p w14:paraId="0B3F3424">
            <w:pPr>
              <w:widowControl/>
              <w:spacing w:line="240" w:lineRule="auto"/>
              <w:ind w:firstLine="0" w:firstLineChars="0"/>
              <w:jc w:val="center"/>
              <w:textAlignment w:val="center"/>
              <w:rPr>
                <w:color w:val="auto"/>
                <w:sz w:val="21"/>
                <w:szCs w:val="21"/>
              </w:rPr>
            </w:pPr>
            <w:r>
              <w:rPr>
                <w:rFonts w:hint="eastAsia"/>
                <w:color w:val="auto"/>
                <w:sz w:val="21"/>
                <w:szCs w:val="21"/>
              </w:rPr>
              <w:t>4500</w:t>
            </w:r>
          </w:p>
        </w:tc>
        <w:tc>
          <w:tcPr>
            <w:tcW w:w="736" w:type="dxa"/>
            <w:tcBorders>
              <w:tl2br w:val="nil"/>
              <w:tr2bl w:val="nil"/>
            </w:tcBorders>
            <w:noWrap/>
            <w:vAlign w:val="center"/>
          </w:tcPr>
          <w:p w14:paraId="12C00E3D">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2055.658 </w:t>
            </w:r>
          </w:p>
        </w:tc>
        <w:tc>
          <w:tcPr>
            <w:tcW w:w="644" w:type="dxa"/>
            <w:tcBorders>
              <w:tl2br w:val="nil"/>
              <w:tr2bl w:val="nil"/>
            </w:tcBorders>
            <w:noWrap/>
            <w:vAlign w:val="center"/>
          </w:tcPr>
          <w:p w14:paraId="6CEF06BC">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9.250 </w:t>
            </w:r>
          </w:p>
        </w:tc>
        <w:tc>
          <w:tcPr>
            <w:tcW w:w="712" w:type="dxa"/>
            <w:tcBorders>
              <w:tl2br w:val="nil"/>
              <w:tr2bl w:val="nil"/>
            </w:tcBorders>
            <w:noWrap/>
            <w:vAlign w:val="center"/>
          </w:tcPr>
          <w:p w14:paraId="28E24C90">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3.608 </w:t>
            </w:r>
          </w:p>
        </w:tc>
        <w:tc>
          <w:tcPr>
            <w:tcW w:w="1996" w:type="dxa"/>
            <w:tcBorders>
              <w:tl2br w:val="nil"/>
              <w:tr2bl w:val="nil"/>
            </w:tcBorders>
            <w:noWrap/>
            <w:vAlign w:val="center"/>
          </w:tcPr>
          <w:p w14:paraId="0CA00A4E">
            <w:pPr>
              <w:widowControl/>
              <w:spacing w:line="240" w:lineRule="auto"/>
              <w:ind w:firstLine="0" w:firstLineChars="0"/>
              <w:jc w:val="center"/>
              <w:rPr>
                <w:color w:val="auto"/>
                <w:sz w:val="21"/>
                <w:szCs w:val="21"/>
              </w:rPr>
            </w:pPr>
            <w:r>
              <w:rPr>
                <w:rFonts w:hint="eastAsia"/>
                <w:color w:val="auto"/>
                <w:sz w:val="21"/>
                <w:szCs w:val="21"/>
              </w:rPr>
              <w:t>水喷淋吸收+电除雾处理</w:t>
            </w:r>
          </w:p>
        </w:tc>
        <w:tc>
          <w:tcPr>
            <w:tcW w:w="444" w:type="dxa"/>
            <w:tcBorders>
              <w:tl2br w:val="nil"/>
              <w:tr2bl w:val="nil"/>
            </w:tcBorders>
            <w:noWrap/>
            <w:vAlign w:val="center"/>
          </w:tcPr>
          <w:p w14:paraId="72B80B94">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19A12447">
            <w:pPr>
              <w:widowControl/>
              <w:spacing w:line="240" w:lineRule="auto"/>
              <w:ind w:firstLine="0" w:firstLineChars="0"/>
              <w:jc w:val="center"/>
              <w:textAlignment w:val="center"/>
              <w:rPr>
                <w:color w:val="auto"/>
                <w:sz w:val="22"/>
                <w:szCs w:val="22"/>
              </w:rPr>
            </w:pPr>
            <w:r>
              <w:rPr>
                <w:color w:val="auto"/>
                <w:kern w:val="0"/>
                <w:sz w:val="22"/>
                <w:szCs w:val="22"/>
                <w:lang w:bidi="ar"/>
              </w:rPr>
              <w:t xml:space="preserve">20.557 </w:t>
            </w:r>
          </w:p>
        </w:tc>
        <w:tc>
          <w:tcPr>
            <w:tcW w:w="802" w:type="dxa"/>
            <w:tcBorders>
              <w:tl2br w:val="nil"/>
              <w:tr2bl w:val="nil"/>
            </w:tcBorders>
            <w:noWrap/>
            <w:vAlign w:val="center"/>
          </w:tcPr>
          <w:p w14:paraId="55F986D7">
            <w:pPr>
              <w:widowControl/>
              <w:spacing w:line="240" w:lineRule="auto"/>
              <w:ind w:firstLine="0" w:firstLineChars="0"/>
              <w:jc w:val="center"/>
              <w:textAlignment w:val="center"/>
              <w:rPr>
                <w:color w:val="auto"/>
                <w:sz w:val="22"/>
                <w:szCs w:val="22"/>
              </w:rPr>
            </w:pPr>
            <w:r>
              <w:rPr>
                <w:color w:val="auto"/>
                <w:kern w:val="0"/>
                <w:sz w:val="22"/>
                <w:szCs w:val="22"/>
                <w:lang w:bidi="ar"/>
              </w:rPr>
              <w:t>0.09</w:t>
            </w:r>
            <w:r>
              <w:rPr>
                <w:rFonts w:hint="eastAsia"/>
                <w:color w:val="auto"/>
                <w:kern w:val="0"/>
                <w:sz w:val="22"/>
                <w:szCs w:val="22"/>
                <w:lang w:bidi="ar"/>
              </w:rPr>
              <w:t>3</w:t>
            </w:r>
          </w:p>
        </w:tc>
        <w:tc>
          <w:tcPr>
            <w:tcW w:w="880" w:type="dxa"/>
            <w:tcBorders>
              <w:tl2br w:val="nil"/>
              <w:tr2bl w:val="nil"/>
            </w:tcBorders>
            <w:noWrap/>
            <w:vAlign w:val="center"/>
          </w:tcPr>
          <w:p w14:paraId="60B6D825">
            <w:pPr>
              <w:widowControl/>
              <w:spacing w:line="240" w:lineRule="auto"/>
              <w:ind w:firstLine="0" w:firstLineChars="0"/>
              <w:jc w:val="center"/>
              <w:textAlignment w:val="center"/>
              <w:rPr>
                <w:color w:val="auto"/>
                <w:sz w:val="22"/>
                <w:szCs w:val="22"/>
              </w:rPr>
            </w:pPr>
            <w:r>
              <w:rPr>
                <w:color w:val="auto"/>
                <w:kern w:val="0"/>
                <w:sz w:val="22"/>
                <w:szCs w:val="22"/>
                <w:lang w:bidi="ar"/>
              </w:rPr>
              <w:t>0.036</w:t>
            </w:r>
          </w:p>
        </w:tc>
        <w:tc>
          <w:tcPr>
            <w:tcW w:w="637" w:type="dxa"/>
            <w:tcBorders>
              <w:tl2br w:val="nil"/>
              <w:tr2bl w:val="nil"/>
            </w:tcBorders>
            <w:noWrap/>
            <w:vAlign w:val="center"/>
          </w:tcPr>
          <w:p w14:paraId="618EEED0">
            <w:pPr>
              <w:widowControl/>
              <w:spacing w:line="240" w:lineRule="auto"/>
              <w:ind w:firstLine="0" w:firstLineChars="0"/>
              <w:jc w:val="center"/>
              <w:rPr>
                <w:color w:val="auto"/>
                <w:sz w:val="21"/>
                <w:szCs w:val="21"/>
              </w:rPr>
            </w:pPr>
          </w:p>
        </w:tc>
        <w:tc>
          <w:tcPr>
            <w:tcW w:w="755" w:type="dxa"/>
            <w:tcBorders>
              <w:tl2br w:val="nil"/>
              <w:tr2bl w:val="nil"/>
            </w:tcBorders>
            <w:noWrap/>
            <w:vAlign w:val="center"/>
          </w:tcPr>
          <w:p w14:paraId="436C8691">
            <w:pPr>
              <w:widowControl/>
              <w:spacing w:line="240" w:lineRule="auto"/>
              <w:ind w:firstLine="0" w:firstLineChars="0"/>
              <w:jc w:val="center"/>
              <w:rPr>
                <w:color w:val="auto"/>
                <w:sz w:val="21"/>
                <w:szCs w:val="21"/>
              </w:rPr>
            </w:pPr>
          </w:p>
        </w:tc>
        <w:tc>
          <w:tcPr>
            <w:tcW w:w="549" w:type="dxa"/>
            <w:tcBorders>
              <w:tl2br w:val="nil"/>
              <w:tr2bl w:val="nil"/>
            </w:tcBorders>
            <w:noWrap/>
            <w:vAlign w:val="center"/>
          </w:tcPr>
          <w:p w14:paraId="35733CD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DA002</w:t>
            </w:r>
          </w:p>
        </w:tc>
        <w:tc>
          <w:tcPr>
            <w:tcW w:w="558" w:type="dxa"/>
            <w:tcBorders>
              <w:tl2br w:val="nil"/>
              <w:tr2bl w:val="nil"/>
            </w:tcBorders>
            <w:noWrap/>
            <w:vAlign w:val="center"/>
          </w:tcPr>
          <w:p w14:paraId="20F11D7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40</w:t>
            </w:r>
          </w:p>
        </w:tc>
        <w:tc>
          <w:tcPr>
            <w:tcW w:w="558" w:type="dxa"/>
            <w:tcBorders>
              <w:tl2br w:val="nil"/>
              <w:tr2bl w:val="nil"/>
            </w:tcBorders>
            <w:noWrap/>
            <w:vAlign w:val="center"/>
          </w:tcPr>
          <w:p w14:paraId="5D03CAD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0.3</w:t>
            </w:r>
          </w:p>
        </w:tc>
        <w:tc>
          <w:tcPr>
            <w:tcW w:w="549" w:type="dxa"/>
            <w:tcBorders>
              <w:tl2br w:val="nil"/>
              <w:tr2bl w:val="nil"/>
            </w:tcBorders>
            <w:noWrap/>
            <w:vAlign w:val="center"/>
          </w:tcPr>
          <w:p w14:paraId="7588D8C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40</w:t>
            </w:r>
          </w:p>
        </w:tc>
        <w:tc>
          <w:tcPr>
            <w:tcW w:w="621" w:type="dxa"/>
            <w:tcBorders>
              <w:tl2br w:val="nil"/>
              <w:tr2bl w:val="nil"/>
            </w:tcBorders>
            <w:noWrap/>
            <w:vAlign w:val="center"/>
          </w:tcPr>
          <w:p w14:paraId="1DF0C86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390</w:t>
            </w:r>
          </w:p>
        </w:tc>
      </w:tr>
      <w:tr w14:paraId="303962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21" w:type="dxa"/>
            <w:tcBorders>
              <w:tl2br w:val="nil"/>
              <w:tr2bl w:val="nil"/>
            </w:tcBorders>
            <w:noWrap/>
            <w:vAlign w:val="center"/>
          </w:tcPr>
          <w:p w14:paraId="3E8D9B45">
            <w:pPr>
              <w:widowControl/>
              <w:spacing w:line="240" w:lineRule="auto"/>
              <w:ind w:firstLine="0" w:firstLineChars="0"/>
              <w:jc w:val="center"/>
              <w:rPr>
                <w:color w:val="auto"/>
                <w:sz w:val="21"/>
                <w:szCs w:val="21"/>
              </w:rPr>
            </w:pPr>
            <w:r>
              <w:rPr>
                <w:rFonts w:hint="eastAsia"/>
                <w:color w:val="auto"/>
                <w:sz w:val="21"/>
                <w:szCs w:val="21"/>
              </w:rPr>
              <w:t>G6-1</w:t>
            </w:r>
          </w:p>
        </w:tc>
        <w:tc>
          <w:tcPr>
            <w:tcW w:w="1189" w:type="dxa"/>
            <w:vMerge w:val="continue"/>
            <w:tcBorders>
              <w:tl2br w:val="nil"/>
              <w:tr2bl w:val="nil"/>
            </w:tcBorders>
            <w:noWrap/>
            <w:vAlign w:val="center"/>
          </w:tcPr>
          <w:p w14:paraId="598A71F8">
            <w:pPr>
              <w:widowControl/>
              <w:spacing w:line="240" w:lineRule="auto"/>
              <w:ind w:firstLine="0" w:firstLineChars="0"/>
              <w:jc w:val="center"/>
              <w:rPr>
                <w:color w:val="auto"/>
                <w:sz w:val="21"/>
                <w:szCs w:val="21"/>
              </w:rPr>
            </w:pPr>
          </w:p>
        </w:tc>
        <w:tc>
          <w:tcPr>
            <w:tcW w:w="1246" w:type="dxa"/>
            <w:tcBorders>
              <w:tl2br w:val="nil"/>
              <w:tr2bl w:val="nil"/>
            </w:tcBorders>
            <w:noWrap/>
            <w:vAlign w:val="center"/>
          </w:tcPr>
          <w:p w14:paraId="2F431102">
            <w:pPr>
              <w:widowControl/>
              <w:spacing w:line="240" w:lineRule="auto"/>
              <w:ind w:firstLine="0" w:firstLineChars="0"/>
              <w:jc w:val="center"/>
              <w:textAlignment w:val="center"/>
              <w:rPr>
                <w:color w:val="auto"/>
                <w:sz w:val="21"/>
                <w:szCs w:val="21"/>
              </w:rPr>
            </w:pPr>
            <w:r>
              <w:rPr>
                <w:rFonts w:hint="eastAsia"/>
                <w:color w:val="auto"/>
                <w:sz w:val="21"/>
                <w:szCs w:val="21"/>
              </w:rPr>
              <w:t>氨</w:t>
            </w:r>
          </w:p>
        </w:tc>
        <w:tc>
          <w:tcPr>
            <w:tcW w:w="621" w:type="dxa"/>
            <w:tcBorders>
              <w:tl2br w:val="nil"/>
              <w:tr2bl w:val="nil"/>
            </w:tcBorders>
            <w:noWrap/>
            <w:vAlign w:val="center"/>
          </w:tcPr>
          <w:p w14:paraId="3AF0525E">
            <w:pPr>
              <w:widowControl/>
              <w:spacing w:line="240" w:lineRule="auto"/>
              <w:ind w:firstLine="0" w:firstLineChars="0"/>
              <w:jc w:val="center"/>
              <w:rPr>
                <w:color w:val="auto"/>
                <w:sz w:val="21"/>
                <w:szCs w:val="21"/>
              </w:rPr>
            </w:pPr>
            <w:r>
              <w:rPr>
                <w:rFonts w:hint="eastAsia"/>
                <w:color w:val="auto"/>
                <w:sz w:val="21"/>
                <w:szCs w:val="21"/>
              </w:rPr>
              <w:t>30000</w:t>
            </w:r>
          </w:p>
        </w:tc>
        <w:tc>
          <w:tcPr>
            <w:tcW w:w="736" w:type="dxa"/>
            <w:tcBorders>
              <w:tl2br w:val="nil"/>
              <w:tr2bl w:val="nil"/>
            </w:tcBorders>
            <w:noWrap/>
            <w:vAlign w:val="center"/>
          </w:tcPr>
          <w:p w14:paraId="3094B56B">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11.458 </w:t>
            </w:r>
          </w:p>
        </w:tc>
        <w:tc>
          <w:tcPr>
            <w:tcW w:w="644" w:type="dxa"/>
            <w:tcBorders>
              <w:tl2br w:val="nil"/>
              <w:tr2bl w:val="nil"/>
            </w:tcBorders>
            <w:noWrap/>
            <w:vAlign w:val="center"/>
          </w:tcPr>
          <w:p w14:paraId="54009878">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0.344 </w:t>
            </w:r>
          </w:p>
        </w:tc>
        <w:tc>
          <w:tcPr>
            <w:tcW w:w="712" w:type="dxa"/>
            <w:tcBorders>
              <w:tl2br w:val="nil"/>
              <w:tr2bl w:val="nil"/>
            </w:tcBorders>
            <w:noWrap/>
            <w:vAlign w:val="center"/>
          </w:tcPr>
          <w:p w14:paraId="35E62230">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2.475 </w:t>
            </w:r>
          </w:p>
        </w:tc>
        <w:tc>
          <w:tcPr>
            <w:tcW w:w="1996" w:type="dxa"/>
            <w:tcBorders>
              <w:tl2br w:val="nil"/>
              <w:tr2bl w:val="nil"/>
            </w:tcBorders>
            <w:noWrap/>
            <w:vAlign w:val="center"/>
          </w:tcPr>
          <w:p w14:paraId="58BA692C">
            <w:pPr>
              <w:widowControl/>
              <w:spacing w:line="240" w:lineRule="auto"/>
              <w:ind w:firstLine="0" w:firstLineChars="0"/>
              <w:jc w:val="center"/>
              <w:rPr>
                <w:color w:val="auto"/>
                <w:sz w:val="21"/>
                <w:szCs w:val="21"/>
              </w:rPr>
            </w:pPr>
            <w:r>
              <w:rPr>
                <w:rFonts w:hint="eastAsia"/>
                <w:color w:val="auto"/>
                <w:sz w:val="21"/>
                <w:szCs w:val="21"/>
              </w:rPr>
              <w:t>碱吸收+水喷淋＋电除雾</w:t>
            </w:r>
          </w:p>
        </w:tc>
        <w:tc>
          <w:tcPr>
            <w:tcW w:w="444" w:type="dxa"/>
            <w:tcBorders>
              <w:tl2br w:val="nil"/>
              <w:tr2bl w:val="nil"/>
            </w:tcBorders>
            <w:noWrap/>
            <w:vAlign w:val="center"/>
          </w:tcPr>
          <w:p w14:paraId="02619FBE">
            <w:pPr>
              <w:widowControl/>
              <w:spacing w:line="240" w:lineRule="auto"/>
              <w:ind w:firstLine="0" w:firstLineChars="0"/>
              <w:jc w:val="center"/>
              <w:rPr>
                <w:color w:val="auto"/>
                <w:sz w:val="21"/>
                <w:szCs w:val="21"/>
              </w:rPr>
            </w:pPr>
            <w:r>
              <w:rPr>
                <w:rFonts w:hint="eastAsia"/>
                <w:color w:val="auto"/>
                <w:sz w:val="21"/>
                <w:szCs w:val="21"/>
              </w:rPr>
              <w:t>99</w:t>
            </w:r>
          </w:p>
        </w:tc>
        <w:tc>
          <w:tcPr>
            <w:tcW w:w="736" w:type="dxa"/>
            <w:tcBorders>
              <w:tl2br w:val="nil"/>
              <w:tr2bl w:val="nil"/>
            </w:tcBorders>
            <w:noWrap/>
            <w:vAlign w:val="center"/>
          </w:tcPr>
          <w:p w14:paraId="7639FEEE">
            <w:pPr>
              <w:widowControl/>
              <w:spacing w:line="240" w:lineRule="auto"/>
              <w:ind w:firstLine="0" w:firstLineChars="0"/>
              <w:jc w:val="center"/>
              <w:textAlignment w:val="center"/>
              <w:rPr>
                <w:color w:val="auto"/>
                <w:sz w:val="22"/>
                <w:szCs w:val="22"/>
              </w:rPr>
            </w:pPr>
            <w:r>
              <w:rPr>
                <w:color w:val="auto"/>
                <w:kern w:val="0"/>
                <w:sz w:val="22"/>
                <w:szCs w:val="22"/>
                <w:lang w:bidi="ar"/>
              </w:rPr>
              <w:t>0.115</w:t>
            </w:r>
          </w:p>
        </w:tc>
        <w:tc>
          <w:tcPr>
            <w:tcW w:w="802" w:type="dxa"/>
            <w:tcBorders>
              <w:tl2br w:val="nil"/>
              <w:tr2bl w:val="nil"/>
            </w:tcBorders>
            <w:noWrap/>
            <w:vAlign w:val="center"/>
          </w:tcPr>
          <w:p w14:paraId="29F5F889">
            <w:pPr>
              <w:widowControl/>
              <w:spacing w:line="240" w:lineRule="auto"/>
              <w:ind w:firstLine="0" w:firstLineChars="0"/>
              <w:jc w:val="center"/>
              <w:textAlignment w:val="center"/>
              <w:rPr>
                <w:color w:val="auto"/>
                <w:sz w:val="22"/>
                <w:szCs w:val="22"/>
              </w:rPr>
            </w:pPr>
            <w:r>
              <w:rPr>
                <w:color w:val="auto"/>
                <w:kern w:val="0"/>
                <w:sz w:val="22"/>
                <w:szCs w:val="22"/>
                <w:lang w:bidi="ar"/>
              </w:rPr>
              <w:t>0.003</w:t>
            </w:r>
          </w:p>
        </w:tc>
        <w:tc>
          <w:tcPr>
            <w:tcW w:w="880" w:type="dxa"/>
            <w:tcBorders>
              <w:tl2br w:val="nil"/>
              <w:tr2bl w:val="nil"/>
            </w:tcBorders>
            <w:noWrap/>
            <w:vAlign w:val="center"/>
          </w:tcPr>
          <w:p w14:paraId="5C4C64ED">
            <w:pPr>
              <w:widowControl/>
              <w:spacing w:line="240" w:lineRule="auto"/>
              <w:ind w:firstLine="0" w:firstLineChars="0"/>
              <w:jc w:val="center"/>
              <w:textAlignment w:val="center"/>
              <w:rPr>
                <w:color w:val="auto"/>
                <w:sz w:val="22"/>
                <w:szCs w:val="22"/>
              </w:rPr>
            </w:pPr>
            <w:r>
              <w:rPr>
                <w:color w:val="auto"/>
                <w:kern w:val="0"/>
                <w:sz w:val="22"/>
                <w:szCs w:val="22"/>
                <w:lang w:bidi="ar"/>
              </w:rPr>
              <w:t>0.025</w:t>
            </w:r>
          </w:p>
        </w:tc>
        <w:tc>
          <w:tcPr>
            <w:tcW w:w="637" w:type="dxa"/>
            <w:tcBorders>
              <w:tl2br w:val="nil"/>
              <w:tr2bl w:val="nil"/>
            </w:tcBorders>
            <w:noWrap/>
            <w:vAlign w:val="center"/>
          </w:tcPr>
          <w:p w14:paraId="79C8CB09">
            <w:pPr>
              <w:widowControl/>
              <w:spacing w:line="240" w:lineRule="auto"/>
              <w:ind w:firstLine="0" w:firstLineChars="0"/>
              <w:jc w:val="center"/>
              <w:rPr>
                <w:color w:val="auto"/>
                <w:sz w:val="21"/>
                <w:szCs w:val="21"/>
              </w:rPr>
            </w:pPr>
          </w:p>
        </w:tc>
        <w:tc>
          <w:tcPr>
            <w:tcW w:w="755" w:type="dxa"/>
            <w:tcBorders>
              <w:tl2br w:val="nil"/>
              <w:tr2bl w:val="nil"/>
            </w:tcBorders>
            <w:noWrap/>
            <w:vAlign w:val="center"/>
          </w:tcPr>
          <w:p w14:paraId="27220A89">
            <w:pPr>
              <w:widowControl/>
              <w:spacing w:line="240" w:lineRule="auto"/>
              <w:ind w:firstLine="0" w:firstLineChars="0"/>
              <w:jc w:val="center"/>
              <w:rPr>
                <w:color w:val="auto"/>
                <w:sz w:val="21"/>
                <w:szCs w:val="21"/>
              </w:rPr>
            </w:pPr>
          </w:p>
        </w:tc>
        <w:tc>
          <w:tcPr>
            <w:tcW w:w="549" w:type="dxa"/>
            <w:tcBorders>
              <w:tl2br w:val="nil"/>
              <w:tr2bl w:val="nil"/>
            </w:tcBorders>
            <w:noWrap/>
            <w:vAlign w:val="center"/>
          </w:tcPr>
          <w:p w14:paraId="5FFB03C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DA001</w:t>
            </w:r>
          </w:p>
        </w:tc>
        <w:tc>
          <w:tcPr>
            <w:tcW w:w="558" w:type="dxa"/>
            <w:tcBorders>
              <w:tl2br w:val="nil"/>
              <w:tr2bl w:val="nil"/>
            </w:tcBorders>
            <w:noWrap/>
            <w:vAlign w:val="center"/>
          </w:tcPr>
          <w:p w14:paraId="3BCC091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35</w:t>
            </w:r>
          </w:p>
        </w:tc>
        <w:tc>
          <w:tcPr>
            <w:tcW w:w="558" w:type="dxa"/>
            <w:tcBorders>
              <w:tl2br w:val="nil"/>
              <w:tr2bl w:val="nil"/>
            </w:tcBorders>
            <w:noWrap/>
            <w:vAlign w:val="center"/>
          </w:tcPr>
          <w:p w14:paraId="1D85622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0.9</w:t>
            </w:r>
          </w:p>
        </w:tc>
        <w:tc>
          <w:tcPr>
            <w:tcW w:w="549" w:type="dxa"/>
            <w:tcBorders>
              <w:tl2br w:val="nil"/>
              <w:tr2bl w:val="nil"/>
            </w:tcBorders>
            <w:noWrap/>
            <w:vAlign w:val="center"/>
          </w:tcPr>
          <w:p w14:paraId="2112CE0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20</w:t>
            </w:r>
          </w:p>
        </w:tc>
        <w:tc>
          <w:tcPr>
            <w:tcW w:w="621" w:type="dxa"/>
            <w:tcBorders>
              <w:tl2br w:val="nil"/>
              <w:tr2bl w:val="nil"/>
            </w:tcBorders>
            <w:noWrap/>
            <w:vAlign w:val="center"/>
          </w:tcPr>
          <w:p w14:paraId="6977B3C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7200</w:t>
            </w:r>
          </w:p>
        </w:tc>
      </w:tr>
    </w:tbl>
    <w:p w14:paraId="6F3A3350">
      <w:pPr>
        <w:pStyle w:val="4"/>
        <w:rPr>
          <w:color w:val="auto"/>
        </w:rPr>
        <w:sectPr>
          <w:pgSz w:w="16838" w:h="11906" w:orient="landscape"/>
          <w:pgMar w:top="1134" w:right="1134" w:bottom="1134" w:left="1134" w:header="851" w:footer="992" w:gutter="0"/>
          <w:cols w:space="425" w:num="1"/>
          <w:docGrid w:type="lines" w:linePitch="312" w:charSpace="0"/>
        </w:sectPr>
      </w:pPr>
    </w:p>
    <w:p w14:paraId="4A2D8AC2">
      <w:pPr>
        <w:pStyle w:val="49"/>
        <w:rPr>
          <w:color w:val="auto"/>
        </w:rPr>
      </w:pPr>
      <w:r>
        <w:rPr>
          <w:color w:val="auto"/>
        </w:rPr>
        <w:t>表4.</w:t>
      </w:r>
      <w:r>
        <w:rPr>
          <w:rFonts w:hint="eastAsia"/>
          <w:color w:val="auto"/>
        </w:rPr>
        <w:t>6</w:t>
      </w:r>
      <w:r>
        <w:rPr>
          <w:color w:val="auto"/>
        </w:rPr>
        <w:t>-</w:t>
      </w:r>
      <w:r>
        <w:rPr>
          <w:rFonts w:hint="eastAsia"/>
          <w:color w:val="auto"/>
        </w:rPr>
        <w:t xml:space="preserve">10 </w:t>
      </w:r>
      <w:r>
        <w:rPr>
          <w:color w:val="auto"/>
        </w:rPr>
        <w:t xml:space="preserve"> 拟建项目有组织废气</w:t>
      </w:r>
      <w:r>
        <w:rPr>
          <w:rFonts w:hint="eastAsia"/>
          <w:color w:val="auto"/>
        </w:rPr>
        <w:t>排放汇总表（最大排放情况）</w:t>
      </w:r>
    </w:p>
    <w:tbl>
      <w:tblPr>
        <w:tblStyle w:val="24"/>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73"/>
        <w:gridCol w:w="1309"/>
        <w:gridCol w:w="983"/>
        <w:gridCol w:w="1032"/>
        <w:gridCol w:w="1304"/>
        <w:gridCol w:w="1239"/>
        <w:gridCol w:w="964"/>
        <w:gridCol w:w="1174"/>
        <w:gridCol w:w="1744"/>
        <w:gridCol w:w="1815"/>
        <w:gridCol w:w="1437"/>
      </w:tblGrid>
      <w:tr w14:paraId="3C080A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600" w:type="pct"/>
            <w:vMerge w:val="restart"/>
            <w:vAlign w:val="center"/>
          </w:tcPr>
          <w:p w14:paraId="56C9A44C">
            <w:pPr>
              <w:widowControl/>
              <w:spacing w:line="240" w:lineRule="auto"/>
              <w:ind w:firstLine="0" w:firstLineChars="0"/>
              <w:jc w:val="center"/>
              <w:textAlignment w:val="center"/>
              <w:rPr>
                <w:b/>
                <w:color w:val="auto"/>
                <w:sz w:val="21"/>
                <w:szCs w:val="18"/>
              </w:rPr>
            </w:pPr>
            <w:r>
              <w:rPr>
                <w:b/>
                <w:color w:val="auto"/>
                <w:kern w:val="0"/>
                <w:sz w:val="21"/>
                <w:szCs w:val="18"/>
                <w:lang w:bidi="ar"/>
              </w:rPr>
              <w:t>污染物名称</w:t>
            </w:r>
          </w:p>
        </w:tc>
        <w:tc>
          <w:tcPr>
            <w:tcW w:w="1125" w:type="pct"/>
            <w:gridSpan w:val="3"/>
            <w:vAlign w:val="center"/>
          </w:tcPr>
          <w:p w14:paraId="42BF350B">
            <w:pPr>
              <w:widowControl/>
              <w:spacing w:line="240" w:lineRule="auto"/>
              <w:ind w:firstLine="0" w:firstLineChars="0"/>
              <w:jc w:val="center"/>
              <w:textAlignment w:val="center"/>
              <w:rPr>
                <w:b/>
                <w:color w:val="auto"/>
                <w:kern w:val="0"/>
                <w:sz w:val="21"/>
                <w:szCs w:val="18"/>
                <w:lang w:bidi="ar"/>
              </w:rPr>
            </w:pPr>
            <w:r>
              <w:rPr>
                <w:rFonts w:hint="eastAsia"/>
                <w:b/>
                <w:color w:val="auto"/>
                <w:kern w:val="0"/>
                <w:sz w:val="21"/>
                <w:szCs w:val="18"/>
                <w:lang w:bidi="ar"/>
              </w:rPr>
              <w:t>最大排放状况</w:t>
            </w:r>
          </w:p>
        </w:tc>
        <w:tc>
          <w:tcPr>
            <w:tcW w:w="1583" w:type="pct"/>
            <w:gridSpan w:val="4"/>
            <w:vAlign w:val="center"/>
          </w:tcPr>
          <w:p w14:paraId="30924006">
            <w:pPr>
              <w:widowControl/>
              <w:spacing w:line="240" w:lineRule="auto"/>
              <w:ind w:firstLine="0" w:firstLineChars="0"/>
              <w:jc w:val="center"/>
              <w:textAlignment w:val="center"/>
              <w:rPr>
                <w:b/>
                <w:color w:val="auto"/>
                <w:kern w:val="0"/>
                <w:sz w:val="21"/>
                <w:szCs w:val="18"/>
                <w:lang w:bidi="ar"/>
              </w:rPr>
            </w:pPr>
            <w:r>
              <w:rPr>
                <w:rFonts w:hint="eastAsia"/>
                <w:b/>
                <w:color w:val="auto"/>
                <w:kern w:val="0"/>
                <w:sz w:val="21"/>
                <w:szCs w:val="18"/>
                <w:lang w:bidi="ar"/>
              </w:rPr>
              <w:t>排气筒参数</w:t>
            </w:r>
          </w:p>
        </w:tc>
        <w:tc>
          <w:tcPr>
            <w:tcW w:w="1204" w:type="pct"/>
            <w:gridSpan w:val="2"/>
            <w:vAlign w:val="center"/>
          </w:tcPr>
          <w:p w14:paraId="7E6E564F">
            <w:pPr>
              <w:widowControl/>
              <w:spacing w:line="240" w:lineRule="auto"/>
              <w:ind w:firstLine="0" w:firstLineChars="0"/>
              <w:jc w:val="center"/>
              <w:textAlignment w:val="center"/>
              <w:rPr>
                <w:b/>
                <w:color w:val="auto"/>
                <w:sz w:val="21"/>
                <w:szCs w:val="18"/>
              </w:rPr>
            </w:pPr>
            <w:r>
              <w:rPr>
                <w:b/>
                <w:color w:val="auto"/>
                <w:kern w:val="0"/>
                <w:sz w:val="21"/>
                <w:szCs w:val="18"/>
                <w:lang w:bidi="ar"/>
              </w:rPr>
              <w:t>执行标准</w:t>
            </w:r>
          </w:p>
        </w:tc>
        <w:tc>
          <w:tcPr>
            <w:tcW w:w="486" w:type="pct"/>
            <w:vMerge w:val="restart"/>
            <w:vAlign w:val="center"/>
          </w:tcPr>
          <w:p w14:paraId="03A04A41">
            <w:pPr>
              <w:widowControl/>
              <w:spacing w:line="240" w:lineRule="auto"/>
              <w:ind w:firstLine="0" w:firstLineChars="0"/>
              <w:jc w:val="center"/>
              <w:textAlignment w:val="center"/>
              <w:rPr>
                <w:b/>
                <w:color w:val="auto"/>
                <w:kern w:val="0"/>
                <w:sz w:val="21"/>
                <w:szCs w:val="18"/>
                <w:lang w:bidi="ar"/>
              </w:rPr>
            </w:pPr>
            <w:r>
              <w:rPr>
                <w:rFonts w:hint="eastAsia"/>
                <w:b/>
                <w:color w:val="auto"/>
                <w:kern w:val="0"/>
                <w:sz w:val="21"/>
                <w:szCs w:val="18"/>
                <w:lang w:bidi="ar"/>
              </w:rPr>
              <w:t>排放去向</w:t>
            </w:r>
          </w:p>
        </w:tc>
      </w:tr>
      <w:tr w14:paraId="76DE05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1" w:hRule="atLeast"/>
          <w:jc w:val="center"/>
        </w:trPr>
        <w:tc>
          <w:tcPr>
            <w:tcW w:w="600" w:type="pct"/>
            <w:vMerge w:val="continue"/>
            <w:vAlign w:val="center"/>
          </w:tcPr>
          <w:p w14:paraId="439CFBEA">
            <w:pPr>
              <w:spacing w:line="240" w:lineRule="auto"/>
              <w:ind w:firstLine="0" w:firstLineChars="0"/>
              <w:jc w:val="center"/>
              <w:rPr>
                <w:bCs/>
                <w:color w:val="auto"/>
                <w:sz w:val="21"/>
                <w:szCs w:val="18"/>
              </w:rPr>
            </w:pPr>
          </w:p>
        </w:tc>
        <w:tc>
          <w:tcPr>
            <w:tcW w:w="443" w:type="pct"/>
            <w:vAlign w:val="center"/>
          </w:tcPr>
          <w:p w14:paraId="5EC13356">
            <w:pPr>
              <w:widowControl/>
              <w:spacing w:line="240" w:lineRule="auto"/>
              <w:ind w:firstLine="0" w:firstLineChars="0"/>
              <w:jc w:val="center"/>
              <w:textAlignment w:val="center"/>
              <w:rPr>
                <w:b/>
                <w:color w:val="auto"/>
                <w:kern w:val="0"/>
                <w:sz w:val="21"/>
                <w:szCs w:val="18"/>
                <w:lang w:bidi="ar"/>
              </w:rPr>
            </w:pPr>
            <w:r>
              <w:rPr>
                <w:rFonts w:hint="eastAsia"/>
                <w:b/>
                <w:color w:val="auto"/>
                <w:kern w:val="0"/>
                <w:sz w:val="21"/>
                <w:szCs w:val="18"/>
                <w:lang w:bidi="ar"/>
              </w:rPr>
              <w:t>排放</w:t>
            </w:r>
            <w:r>
              <w:rPr>
                <w:b/>
                <w:color w:val="auto"/>
                <w:kern w:val="0"/>
                <w:sz w:val="21"/>
                <w:szCs w:val="18"/>
                <w:lang w:bidi="ar"/>
              </w:rPr>
              <w:t>量t/a</w:t>
            </w:r>
          </w:p>
        </w:tc>
        <w:tc>
          <w:tcPr>
            <w:tcW w:w="333" w:type="pct"/>
            <w:vAlign w:val="center"/>
          </w:tcPr>
          <w:p w14:paraId="568590D1">
            <w:pPr>
              <w:widowControl/>
              <w:spacing w:line="240" w:lineRule="auto"/>
              <w:ind w:firstLine="0" w:firstLineChars="0"/>
              <w:jc w:val="center"/>
              <w:textAlignment w:val="center"/>
              <w:rPr>
                <w:b/>
                <w:color w:val="auto"/>
                <w:kern w:val="0"/>
                <w:sz w:val="21"/>
                <w:szCs w:val="18"/>
                <w:lang w:bidi="ar"/>
              </w:rPr>
            </w:pPr>
            <w:r>
              <w:rPr>
                <w:b/>
                <w:color w:val="auto"/>
                <w:kern w:val="0"/>
                <w:sz w:val="21"/>
                <w:szCs w:val="18"/>
                <w:lang w:bidi="ar"/>
              </w:rPr>
              <w:t>速率kg/h</w:t>
            </w:r>
          </w:p>
        </w:tc>
        <w:tc>
          <w:tcPr>
            <w:tcW w:w="349" w:type="pct"/>
            <w:vAlign w:val="center"/>
          </w:tcPr>
          <w:p w14:paraId="4CAD08CD">
            <w:pPr>
              <w:widowControl/>
              <w:spacing w:line="240" w:lineRule="auto"/>
              <w:ind w:firstLine="0" w:firstLineChars="0"/>
              <w:jc w:val="center"/>
              <w:textAlignment w:val="center"/>
              <w:rPr>
                <w:b/>
                <w:color w:val="auto"/>
                <w:kern w:val="0"/>
                <w:sz w:val="21"/>
                <w:szCs w:val="18"/>
                <w:lang w:bidi="ar"/>
              </w:rPr>
            </w:pPr>
            <w:r>
              <w:rPr>
                <w:b/>
                <w:color w:val="auto"/>
                <w:kern w:val="0"/>
                <w:sz w:val="21"/>
                <w:szCs w:val="18"/>
                <w:lang w:bidi="ar"/>
              </w:rPr>
              <w:t>浓度mg/m</w:t>
            </w:r>
            <w:r>
              <w:rPr>
                <w:b/>
                <w:color w:val="auto"/>
                <w:kern w:val="0"/>
                <w:sz w:val="21"/>
                <w:szCs w:val="18"/>
                <w:vertAlign w:val="superscript"/>
                <w:lang w:bidi="ar"/>
              </w:rPr>
              <w:t>3</w:t>
            </w:r>
          </w:p>
        </w:tc>
        <w:tc>
          <w:tcPr>
            <w:tcW w:w="441" w:type="pct"/>
            <w:vAlign w:val="center"/>
          </w:tcPr>
          <w:p w14:paraId="18231DCB">
            <w:pPr>
              <w:widowControl/>
              <w:spacing w:line="240" w:lineRule="auto"/>
              <w:ind w:firstLine="0" w:firstLineChars="0"/>
              <w:jc w:val="center"/>
              <w:textAlignment w:val="center"/>
              <w:rPr>
                <w:b/>
                <w:bCs/>
                <w:color w:val="auto"/>
                <w:kern w:val="0"/>
                <w:sz w:val="21"/>
                <w:szCs w:val="18"/>
                <w:lang w:bidi="ar"/>
              </w:rPr>
            </w:pPr>
            <w:r>
              <w:rPr>
                <w:b/>
                <w:bCs/>
                <w:color w:val="auto"/>
                <w:kern w:val="0"/>
                <w:sz w:val="21"/>
                <w:szCs w:val="18"/>
                <w:lang w:bidi="ar"/>
              </w:rPr>
              <w:t>风量m</w:t>
            </w:r>
            <w:r>
              <w:rPr>
                <w:b/>
                <w:bCs/>
                <w:color w:val="auto"/>
                <w:kern w:val="0"/>
                <w:sz w:val="21"/>
                <w:szCs w:val="18"/>
                <w:vertAlign w:val="superscript"/>
                <w:lang w:bidi="ar"/>
              </w:rPr>
              <w:t>3</w:t>
            </w:r>
            <w:r>
              <w:rPr>
                <w:b/>
                <w:bCs/>
                <w:color w:val="auto"/>
                <w:kern w:val="0"/>
                <w:sz w:val="21"/>
                <w:szCs w:val="18"/>
                <w:lang w:bidi="ar"/>
              </w:rPr>
              <w:t>/h</w:t>
            </w:r>
          </w:p>
        </w:tc>
        <w:tc>
          <w:tcPr>
            <w:tcW w:w="419" w:type="pct"/>
            <w:vAlign w:val="center"/>
          </w:tcPr>
          <w:p w14:paraId="16243B3D">
            <w:pPr>
              <w:widowControl/>
              <w:spacing w:line="240" w:lineRule="auto"/>
              <w:ind w:firstLine="0" w:firstLineChars="0"/>
              <w:jc w:val="center"/>
              <w:textAlignment w:val="center"/>
              <w:rPr>
                <w:b/>
                <w:bCs/>
                <w:color w:val="auto"/>
                <w:kern w:val="0"/>
                <w:sz w:val="21"/>
                <w:szCs w:val="18"/>
                <w:lang w:bidi="ar"/>
              </w:rPr>
            </w:pPr>
            <w:r>
              <w:rPr>
                <w:b/>
                <w:bCs/>
                <w:color w:val="auto"/>
                <w:kern w:val="0"/>
                <w:sz w:val="21"/>
                <w:szCs w:val="18"/>
                <w:lang w:bidi="ar"/>
              </w:rPr>
              <w:t>编号及高度m</w:t>
            </w:r>
          </w:p>
        </w:tc>
        <w:tc>
          <w:tcPr>
            <w:tcW w:w="326" w:type="pct"/>
            <w:vAlign w:val="center"/>
          </w:tcPr>
          <w:p w14:paraId="42AA10DA">
            <w:pPr>
              <w:widowControl/>
              <w:spacing w:line="240" w:lineRule="auto"/>
              <w:ind w:firstLine="0" w:firstLineChars="0"/>
              <w:jc w:val="center"/>
              <w:textAlignment w:val="center"/>
              <w:rPr>
                <w:b/>
                <w:bCs/>
                <w:color w:val="auto"/>
                <w:kern w:val="0"/>
                <w:sz w:val="21"/>
                <w:szCs w:val="18"/>
                <w:lang w:bidi="ar"/>
              </w:rPr>
            </w:pPr>
            <w:r>
              <w:rPr>
                <w:b/>
                <w:bCs/>
                <w:color w:val="auto"/>
                <w:kern w:val="0"/>
                <w:sz w:val="21"/>
                <w:szCs w:val="18"/>
                <w:lang w:bidi="ar"/>
              </w:rPr>
              <w:t>直径</w:t>
            </w:r>
          </w:p>
          <w:p w14:paraId="5C43C33A">
            <w:pPr>
              <w:widowControl/>
              <w:spacing w:line="240" w:lineRule="auto"/>
              <w:ind w:firstLine="0" w:firstLineChars="0"/>
              <w:jc w:val="center"/>
              <w:textAlignment w:val="center"/>
              <w:rPr>
                <w:b/>
                <w:bCs/>
                <w:color w:val="auto"/>
                <w:kern w:val="0"/>
                <w:sz w:val="21"/>
                <w:szCs w:val="18"/>
                <w:lang w:bidi="ar"/>
              </w:rPr>
            </w:pPr>
            <w:r>
              <w:rPr>
                <w:b/>
                <w:bCs/>
                <w:color w:val="auto"/>
                <w:kern w:val="0"/>
                <w:sz w:val="21"/>
                <w:szCs w:val="18"/>
                <w:lang w:bidi="ar"/>
              </w:rPr>
              <w:t>m</w:t>
            </w:r>
          </w:p>
        </w:tc>
        <w:tc>
          <w:tcPr>
            <w:tcW w:w="397" w:type="pct"/>
            <w:vAlign w:val="center"/>
          </w:tcPr>
          <w:p w14:paraId="524F2A22">
            <w:pPr>
              <w:widowControl/>
              <w:spacing w:line="240" w:lineRule="auto"/>
              <w:ind w:firstLine="0" w:firstLineChars="0"/>
              <w:jc w:val="center"/>
              <w:textAlignment w:val="center"/>
              <w:rPr>
                <w:b/>
                <w:bCs/>
                <w:color w:val="auto"/>
                <w:kern w:val="0"/>
                <w:sz w:val="21"/>
                <w:szCs w:val="18"/>
                <w:lang w:bidi="ar"/>
              </w:rPr>
            </w:pPr>
            <w:r>
              <w:rPr>
                <w:b/>
                <w:bCs/>
                <w:color w:val="auto"/>
                <w:kern w:val="0"/>
                <w:sz w:val="21"/>
                <w:szCs w:val="18"/>
                <w:lang w:bidi="ar"/>
              </w:rPr>
              <w:t>温度℃</w:t>
            </w:r>
          </w:p>
        </w:tc>
        <w:tc>
          <w:tcPr>
            <w:tcW w:w="590" w:type="pct"/>
            <w:vAlign w:val="center"/>
          </w:tcPr>
          <w:p w14:paraId="7C401535">
            <w:pPr>
              <w:widowControl/>
              <w:spacing w:line="240" w:lineRule="auto"/>
              <w:ind w:firstLine="0" w:firstLineChars="0"/>
              <w:jc w:val="center"/>
              <w:textAlignment w:val="center"/>
              <w:rPr>
                <w:b/>
                <w:color w:val="auto"/>
                <w:sz w:val="21"/>
                <w:szCs w:val="18"/>
              </w:rPr>
            </w:pPr>
            <w:r>
              <w:rPr>
                <w:b/>
                <w:color w:val="auto"/>
                <w:kern w:val="0"/>
                <w:sz w:val="21"/>
                <w:szCs w:val="18"/>
                <w:lang w:bidi="ar"/>
              </w:rPr>
              <w:t>速率kg/h</w:t>
            </w:r>
          </w:p>
        </w:tc>
        <w:tc>
          <w:tcPr>
            <w:tcW w:w="614" w:type="pct"/>
            <w:vAlign w:val="center"/>
          </w:tcPr>
          <w:p w14:paraId="16283F64">
            <w:pPr>
              <w:widowControl/>
              <w:spacing w:line="240" w:lineRule="auto"/>
              <w:ind w:firstLine="0" w:firstLineChars="0"/>
              <w:jc w:val="center"/>
              <w:textAlignment w:val="center"/>
              <w:rPr>
                <w:b/>
                <w:color w:val="auto"/>
                <w:sz w:val="21"/>
                <w:szCs w:val="18"/>
              </w:rPr>
            </w:pPr>
            <w:r>
              <w:rPr>
                <w:b/>
                <w:color w:val="auto"/>
                <w:kern w:val="0"/>
                <w:sz w:val="21"/>
                <w:szCs w:val="18"/>
                <w:lang w:bidi="ar"/>
              </w:rPr>
              <w:t>浓度mg/m</w:t>
            </w:r>
            <w:r>
              <w:rPr>
                <w:b/>
                <w:color w:val="auto"/>
                <w:kern w:val="0"/>
                <w:sz w:val="21"/>
                <w:szCs w:val="18"/>
                <w:vertAlign w:val="superscript"/>
                <w:lang w:bidi="ar"/>
              </w:rPr>
              <w:t>3</w:t>
            </w:r>
          </w:p>
        </w:tc>
        <w:tc>
          <w:tcPr>
            <w:tcW w:w="486" w:type="pct"/>
            <w:vMerge w:val="continue"/>
            <w:vAlign w:val="center"/>
          </w:tcPr>
          <w:p w14:paraId="219BC8AA">
            <w:pPr>
              <w:widowControl/>
              <w:spacing w:line="240" w:lineRule="auto"/>
              <w:ind w:firstLine="0" w:firstLineChars="0"/>
              <w:jc w:val="center"/>
              <w:textAlignment w:val="center"/>
              <w:rPr>
                <w:b/>
                <w:color w:val="auto"/>
                <w:kern w:val="0"/>
                <w:sz w:val="21"/>
                <w:szCs w:val="18"/>
                <w:lang w:bidi="ar"/>
              </w:rPr>
            </w:pPr>
          </w:p>
        </w:tc>
      </w:tr>
      <w:tr w14:paraId="71C650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00" w:type="pct"/>
            <w:noWrap/>
            <w:vAlign w:val="center"/>
          </w:tcPr>
          <w:p w14:paraId="778FB73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氨</w:t>
            </w:r>
          </w:p>
        </w:tc>
        <w:tc>
          <w:tcPr>
            <w:tcW w:w="1255" w:type="dxa"/>
            <w:vAlign w:val="center"/>
          </w:tcPr>
          <w:p w14:paraId="0B79CD0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 xml:space="preserve">0.167 </w:t>
            </w:r>
          </w:p>
        </w:tc>
        <w:tc>
          <w:tcPr>
            <w:tcW w:w="944" w:type="dxa"/>
            <w:vAlign w:val="center"/>
          </w:tcPr>
          <w:p w14:paraId="5F657E4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 xml:space="preserve">0.058 </w:t>
            </w:r>
          </w:p>
        </w:tc>
        <w:tc>
          <w:tcPr>
            <w:tcW w:w="989" w:type="dxa"/>
            <w:vAlign w:val="center"/>
          </w:tcPr>
          <w:p w14:paraId="7CE2B776">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 xml:space="preserve">1.928 </w:t>
            </w:r>
          </w:p>
        </w:tc>
        <w:tc>
          <w:tcPr>
            <w:tcW w:w="1221" w:type="dxa"/>
            <w:vAlign w:val="center"/>
          </w:tcPr>
          <w:p w14:paraId="7C95AF2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30000</w:t>
            </w:r>
          </w:p>
        </w:tc>
        <w:tc>
          <w:tcPr>
            <w:tcW w:w="419" w:type="pct"/>
            <w:vAlign w:val="center"/>
          </w:tcPr>
          <w:p w14:paraId="292D6D7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DA001</w:t>
            </w:r>
          </w:p>
        </w:tc>
        <w:tc>
          <w:tcPr>
            <w:tcW w:w="326" w:type="pct"/>
            <w:vAlign w:val="center"/>
          </w:tcPr>
          <w:p w14:paraId="01A72C4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0.9</w:t>
            </w:r>
          </w:p>
        </w:tc>
        <w:tc>
          <w:tcPr>
            <w:tcW w:w="397" w:type="pct"/>
            <w:vAlign w:val="center"/>
          </w:tcPr>
          <w:p w14:paraId="6AF9F77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20</w:t>
            </w:r>
          </w:p>
        </w:tc>
        <w:tc>
          <w:tcPr>
            <w:tcW w:w="590" w:type="pct"/>
            <w:vAlign w:val="center"/>
          </w:tcPr>
          <w:p w14:paraId="668BF65C">
            <w:pPr>
              <w:spacing w:line="240" w:lineRule="auto"/>
              <w:ind w:firstLine="0" w:firstLineChars="0"/>
              <w:jc w:val="center"/>
              <w:rPr>
                <w:color w:val="auto"/>
                <w:kern w:val="0"/>
                <w:sz w:val="21"/>
                <w:szCs w:val="21"/>
                <w:lang w:bidi="ar"/>
              </w:rPr>
            </w:pPr>
            <w:r>
              <w:rPr>
                <w:rFonts w:hint="eastAsia"/>
                <w:color w:val="auto"/>
                <w:kern w:val="0"/>
                <w:sz w:val="21"/>
                <w:szCs w:val="21"/>
                <w:lang w:bidi="ar"/>
              </w:rPr>
              <w:t>/</w:t>
            </w:r>
          </w:p>
        </w:tc>
        <w:tc>
          <w:tcPr>
            <w:tcW w:w="614" w:type="pct"/>
            <w:vAlign w:val="center"/>
          </w:tcPr>
          <w:p w14:paraId="5E21D3C6">
            <w:pPr>
              <w:spacing w:line="240" w:lineRule="auto"/>
              <w:ind w:firstLine="0" w:firstLineChars="0"/>
              <w:jc w:val="center"/>
              <w:rPr>
                <w:color w:val="auto"/>
                <w:kern w:val="0"/>
                <w:sz w:val="21"/>
                <w:szCs w:val="21"/>
                <w:lang w:bidi="ar"/>
              </w:rPr>
            </w:pPr>
            <w:r>
              <w:rPr>
                <w:rFonts w:hint="eastAsia"/>
                <w:color w:val="auto"/>
                <w:kern w:val="0"/>
                <w:sz w:val="21"/>
                <w:szCs w:val="21"/>
                <w:lang w:bidi="ar"/>
              </w:rPr>
              <w:t>10</w:t>
            </w:r>
          </w:p>
        </w:tc>
        <w:tc>
          <w:tcPr>
            <w:tcW w:w="486" w:type="pct"/>
            <w:vMerge w:val="restart"/>
            <w:vAlign w:val="center"/>
          </w:tcPr>
          <w:p w14:paraId="37F5F457">
            <w:pPr>
              <w:spacing w:line="240" w:lineRule="auto"/>
              <w:ind w:firstLine="0" w:firstLineChars="0"/>
              <w:jc w:val="center"/>
              <w:rPr>
                <w:color w:val="auto"/>
                <w:sz w:val="21"/>
                <w:szCs w:val="21"/>
              </w:rPr>
            </w:pPr>
            <w:r>
              <w:rPr>
                <w:rFonts w:hint="eastAsia"/>
                <w:color w:val="auto"/>
                <w:sz w:val="21"/>
                <w:szCs w:val="21"/>
              </w:rPr>
              <w:t>大气环境</w:t>
            </w:r>
          </w:p>
        </w:tc>
      </w:tr>
      <w:tr w14:paraId="2A875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00" w:type="pct"/>
            <w:noWrap/>
            <w:vAlign w:val="center"/>
          </w:tcPr>
          <w:p w14:paraId="7D0E3471">
            <w:pPr>
              <w:widowControl/>
              <w:spacing w:line="240" w:lineRule="auto"/>
              <w:ind w:firstLine="0" w:firstLineChars="0"/>
              <w:jc w:val="center"/>
              <w:textAlignment w:val="center"/>
              <w:rPr>
                <w:color w:val="auto"/>
                <w:kern w:val="0"/>
                <w:sz w:val="21"/>
                <w:szCs w:val="21"/>
                <w:lang w:bidi="ar"/>
              </w:rPr>
            </w:pPr>
            <w:r>
              <w:rPr>
                <w:rFonts w:hint="eastAsia"/>
                <w:color w:val="auto"/>
                <w:sz w:val="21"/>
                <w:szCs w:val="21"/>
              </w:rPr>
              <w:t>SO</w:t>
            </w:r>
            <w:r>
              <w:rPr>
                <w:rFonts w:hint="eastAsia"/>
                <w:color w:val="auto"/>
                <w:sz w:val="21"/>
                <w:szCs w:val="21"/>
                <w:vertAlign w:val="subscript"/>
              </w:rPr>
              <w:t>2</w:t>
            </w:r>
          </w:p>
        </w:tc>
        <w:tc>
          <w:tcPr>
            <w:tcW w:w="1309" w:type="dxa"/>
            <w:vAlign w:val="center"/>
          </w:tcPr>
          <w:p w14:paraId="616924E8">
            <w:pPr>
              <w:widowControl/>
              <w:spacing w:line="240" w:lineRule="auto"/>
              <w:ind w:firstLine="0" w:firstLineChars="0"/>
              <w:jc w:val="center"/>
              <w:textAlignment w:val="center"/>
              <w:rPr>
                <w:color w:val="auto"/>
                <w:kern w:val="0"/>
                <w:sz w:val="21"/>
                <w:szCs w:val="21"/>
                <w:lang w:bidi="ar"/>
              </w:rPr>
            </w:pPr>
            <w:r>
              <w:rPr>
                <w:color w:val="auto"/>
                <w:kern w:val="0"/>
                <w:sz w:val="22"/>
                <w:szCs w:val="22"/>
                <w:lang w:bidi="ar"/>
              </w:rPr>
              <w:t xml:space="preserve">0.237 </w:t>
            </w:r>
          </w:p>
        </w:tc>
        <w:tc>
          <w:tcPr>
            <w:tcW w:w="983" w:type="dxa"/>
            <w:vAlign w:val="center"/>
          </w:tcPr>
          <w:p w14:paraId="1BC2095A">
            <w:pPr>
              <w:widowControl/>
              <w:spacing w:line="240" w:lineRule="auto"/>
              <w:ind w:firstLine="0" w:firstLineChars="0"/>
              <w:jc w:val="center"/>
              <w:textAlignment w:val="center"/>
              <w:rPr>
                <w:color w:val="auto"/>
                <w:kern w:val="0"/>
                <w:sz w:val="21"/>
                <w:szCs w:val="21"/>
                <w:lang w:bidi="ar"/>
              </w:rPr>
            </w:pPr>
            <w:r>
              <w:rPr>
                <w:color w:val="auto"/>
                <w:kern w:val="0"/>
                <w:sz w:val="22"/>
                <w:szCs w:val="22"/>
                <w:lang w:bidi="ar"/>
              </w:rPr>
              <w:t xml:space="preserve">0.133 </w:t>
            </w:r>
          </w:p>
        </w:tc>
        <w:tc>
          <w:tcPr>
            <w:tcW w:w="1032" w:type="dxa"/>
            <w:vAlign w:val="center"/>
          </w:tcPr>
          <w:p w14:paraId="0986516F">
            <w:pPr>
              <w:widowControl/>
              <w:spacing w:line="240" w:lineRule="auto"/>
              <w:ind w:firstLine="0" w:firstLineChars="0"/>
              <w:jc w:val="center"/>
              <w:textAlignment w:val="center"/>
              <w:rPr>
                <w:color w:val="auto"/>
                <w:kern w:val="0"/>
                <w:sz w:val="21"/>
                <w:szCs w:val="21"/>
                <w:lang w:bidi="ar"/>
              </w:rPr>
            </w:pPr>
            <w:r>
              <w:rPr>
                <w:color w:val="auto"/>
                <w:kern w:val="0"/>
                <w:sz w:val="22"/>
                <w:szCs w:val="22"/>
                <w:lang w:bidi="ar"/>
              </w:rPr>
              <w:t xml:space="preserve">29.471 </w:t>
            </w:r>
          </w:p>
        </w:tc>
        <w:tc>
          <w:tcPr>
            <w:tcW w:w="441" w:type="pct"/>
            <w:vMerge w:val="restart"/>
            <w:vAlign w:val="center"/>
          </w:tcPr>
          <w:p w14:paraId="0F9D499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4500</w:t>
            </w:r>
          </w:p>
        </w:tc>
        <w:tc>
          <w:tcPr>
            <w:tcW w:w="419" w:type="pct"/>
            <w:vMerge w:val="restart"/>
            <w:vAlign w:val="center"/>
          </w:tcPr>
          <w:p w14:paraId="0ECFE55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DA002</w:t>
            </w:r>
          </w:p>
        </w:tc>
        <w:tc>
          <w:tcPr>
            <w:tcW w:w="326" w:type="pct"/>
            <w:vMerge w:val="restart"/>
            <w:vAlign w:val="center"/>
          </w:tcPr>
          <w:p w14:paraId="2EC43C2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0.3</w:t>
            </w:r>
          </w:p>
        </w:tc>
        <w:tc>
          <w:tcPr>
            <w:tcW w:w="397" w:type="pct"/>
            <w:vMerge w:val="restart"/>
            <w:vAlign w:val="center"/>
          </w:tcPr>
          <w:p w14:paraId="274228D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40</w:t>
            </w:r>
          </w:p>
        </w:tc>
        <w:tc>
          <w:tcPr>
            <w:tcW w:w="590" w:type="pct"/>
            <w:vAlign w:val="center"/>
          </w:tcPr>
          <w:p w14:paraId="45F2C9CF">
            <w:pPr>
              <w:spacing w:line="240" w:lineRule="auto"/>
              <w:ind w:firstLine="0" w:firstLineChars="0"/>
              <w:jc w:val="center"/>
              <w:rPr>
                <w:color w:val="auto"/>
                <w:kern w:val="0"/>
                <w:sz w:val="21"/>
                <w:szCs w:val="21"/>
                <w:lang w:bidi="ar"/>
              </w:rPr>
            </w:pPr>
            <w:r>
              <w:rPr>
                <w:rFonts w:hint="eastAsia"/>
                <w:color w:val="auto"/>
                <w:kern w:val="0"/>
                <w:sz w:val="21"/>
                <w:szCs w:val="21"/>
                <w:lang w:bidi="ar"/>
              </w:rPr>
              <w:t>/</w:t>
            </w:r>
          </w:p>
        </w:tc>
        <w:tc>
          <w:tcPr>
            <w:tcW w:w="614" w:type="pct"/>
            <w:vAlign w:val="center"/>
          </w:tcPr>
          <w:p w14:paraId="3BE081CA">
            <w:pPr>
              <w:spacing w:line="240" w:lineRule="auto"/>
              <w:ind w:firstLine="0" w:firstLineChars="0"/>
              <w:jc w:val="center"/>
              <w:rPr>
                <w:color w:val="auto"/>
                <w:kern w:val="0"/>
                <w:sz w:val="21"/>
                <w:szCs w:val="21"/>
                <w:lang w:bidi="ar"/>
              </w:rPr>
            </w:pPr>
            <w:r>
              <w:rPr>
                <w:rFonts w:hint="eastAsia"/>
                <w:color w:val="auto"/>
                <w:kern w:val="0"/>
                <w:sz w:val="21"/>
                <w:szCs w:val="21"/>
                <w:lang w:bidi="ar"/>
              </w:rPr>
              <w:t>100</w:t>
            </w:r>
          </w:p>
        </w:tc>
        <w:tc>
          <w:tcPr>
            <w:tcW w:w="486" w:type="pct"/>
            <w:vMerge w:val="continue"/>
            <w:vAlign w:val="center"/>
          </w:tcPr>
          <w:p w14:paraId="32B4F99C">
            <w:pPr>
              <w:spacing w:line="240" w:lineRule="auto"/>
              <w:ind w:firstLine="0" w:firstLineChars="0"/>
              <w:jc w:val="center"/>
              <w:rPr>
                <w:color w:val="auto"/>
                <w:sz w:val="21"/>
                <w:szCs w:val="21"/>
              </w:rPr>
            </w:pPr>
          </w:p>
        </w:tc>
      </w:tr>
      <w:tr w14:paraId="7D9AAF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00" w:type="pct"/>
            <w:noWrap/>
            <w:vAlign w:val="center"/>
          </w:tcPr>
          <w:p w14:paraId="6EDE862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1309" w:type="dxa"/>
            <w:noWrap/>
            <w:vAlign w:val="center"/>
          </w:tcPr>
          <w:p w14:paraId="2C7DAC2C">
            <w:pPr>
              <w:widowControl/>
              <w:spacing w:line="240" w:lineRule="auto"/>
              <w:ind w:firstLine="0" w:firstLineChars="0"/>
              <w:jc w:val="center"/>
              <w:textAlignment w:val="center"/>
              <w:rPr>
                <w:color w:val="auto"/>
                <w:kern w:val="0"/>
                <w:sz w:val="21"/>
                <w:szCs w:val="21"/>
                <w:lang w:bidi="ar"/>
              </w:rPr>
            </w:pPr>
            <w:r>
              <w:rPr>
                <w:color w:val="auto"/>
                <w:kern w:val="0"/>
                <w:sz w:val="22"/>
                <w:szCs w:val="22"/>
                <w:lang w:bidi="ar"/>
              </w:rPr>
              <w:t xml:space="preserve">0.017 </w:t>
            </w:r>
          </w:p>
        </w:tc>
        <w:tc>
          <w:tcPr>
            <w:tcW w:w="983" w:type="dxa"/>
            <w:noWrap/>
            <w:vAlign w:val="center"/>
          </w:tcPr>
          <w:p w14:paraId="24587601">
            <w:pPr>
              <w:widowControl/>
              <w:spacing w:line="240" w:lineRule="auto"/>
              <w:ind w:firstLine="0" w:firstLineChars="0"/>
              <w:jc w:val="center"/>
              <w:textAlignment w:val="center"/>
              <w:rPr>
                <w:color w:val="auto"/>
                <w:kern w:val="0"/>
                <w:sz w:val="21"/>
                <w:szCs w:val="21"/>
                <w:lang w:bidi="ar"/>
              </w:rPr>
            </w:pPr>
            <w:r>
              <w:rPr>
                <w:color w:val="auto"/>
                <w:kern w:val="0"/>
                <w:sz w:val="22"/>
                <w:szCs w:val="22"/>
                <w:lang w:bidi="ar"/>
              </w:rPr>
              <w:t xml:space="preserve">0.028 </w:t>
            </w:r>
          </w:p>
        </w:tc>
        <w:tc>
          <w:tcPr>
            <w:tcW w:w="1032" w:type="dxa"/>
            <w:noWrap/>
            <w:vAlign w:val="center"/>
          </w:tcPr>
          <w:p w14:paraId="3470E88C">
            <w:pPr>
              <w:widowControl/>
              <w:spacing w:line="240" w:lineRule="auto"/>
              <w:ind w:firstLine="0" w:firstLineChars="0"/>
              <w:jc w:val="center"/>
              <w:textAlignment w:val="center"/>
              <w:rPr>
                <w:color w:val="auto"/>
                <w:kern w:val="0"/>
                <w:sz w:val="21"/>
                <w:szCs w:val="21"/>
                <w:lang w:bidi="ar"/>
              </w:rPr>
            </w:pPr>
            <w:r>
              <w:rPr>
                <w:color w:val="auto"/>
                <w:kern w:val="0"/>
                <w:sz w:val="22"/>
                <w:szCs w:val="22"/>
                <w:lang w:bidi="ar"/>
              </w:rPr>
              <w:t xml:space="preserve">6.215 </w:t>
            </w:r>
          </w:p>
        </w:tc>
        <w:tc>
          <w:tcPr>
            <w:tcW w:w="441" w:type="pct"/>
            <w:vMerge w:val="continue"/>
            <w:noWrap/>
            <w:vAlign w:val="center"/>
          </w:tcPr>
          <w:p w14:paraId="55BE12D0">
            <w:pPr>
              <w:widowControl/>
              <w:spacing w:line="240" w:lineRule="auto"/>
              <w:ind w:firstLine="0" w:firstLineChars="0"/>
              <w:jc w:val="center"/>
              <w:textAlignment w:val="center"/>
              <w:rPr>
                <w:color w:val="auto"/>
                <w:kern w:val="0"/>
                <w:sz w:val="21"/>
                <w:szCs w:val="21"/>
                <w:lang w:bidi="ar"/>
              </w:rPr>
            </w:pPr>
          </w:p>
        </w:tc>
        <w:tc>
          <w:tcPr>
            <w:tcW w:w="419" w:type="pct"/>
            <w:vMerge w:val="continue"/>
            <w:noWrap/>
            <w:vAlign w:val="center"/>
          </w:tcPr>
          <w:p w14:paraId="40FB3635">
            <w:pPr>
              <w:widowControl/>
              <w:spacing w:line="240" w:lineRule="auto"/>
              <w:ind w:firstLine="0" w:firstLineChars="0"/>
              <w:jc w:val="center"/>
              <w:textAlignment w:val="center"/>
              <w:rPr>
                <w:color w:val="auto"/>
                <w:kern w:val="0"/>
                <w:sz w:val="21"/>
                <w:szCs w:val="21"/>
                <w:lang w:bidi="ar"/>
              </w:rPr>
            </w:pPr>
          </w:p>
        </w:tc>
        <w:tc>
          <w:tcPr>
            <w:tcW w:w="326" w:type="pct"/>
            <w:vMerge w:val="continue"/>
            <w:noWrap/>
            <w:vAlign w:val="center"/>
          </w:tcPr>
          <w:p w14:paraId="097E9415">
            <w:pPr>
              <w:widowControl/>
              <w:spacing w:line="240" w:lineRule="auto"/>
              <w:ind w:firstLine="0" w:firstLineChars="0"/>
              <w:jc w:val="center"/>
              <w:textAlignment w:val="center"/>
              <w:rPr>
                <w:color w:val="auto"/>
                <w:kern w:val="0"/>
                <w:sz w:val="21"/>
                <w:szCs w:val="21"/>
                <w:lang w:bidi="ar"/>
              </w:rPr>
            </w:pPr>
          </w:p>
        </w:tc>
        <w:tc>
          <w:tcPr>
            <w:tcW w:w="397" w:type="pct"/>
            <w:vMerge w:val="continue"/>
            <w:noWrap/>
            <w:vAlign w:val="center"/>
          </w:tcPr>
          <w:p w14:paraId="0D13EED5">
            <w:pPr>
              <w:widowControl/>
              <w:spacing w:line="240" w:lineRule="auto"/>
              <w:ind w:firstLine="0" w:firstLineChars="0"/>
              <w:jc w:val="center"/>
              <w:textAlignment w:val="center"/>
              <w:rPr>
                <w:color w:val="auto"/>
                <w:kern w:val="0"/>
                <w:sz w:val="21"/>
                <w:szCs w:val="21"/>
                <w:lang w:bidi="ar"/>
              </w:rPr>
            </w:pPr>
          </w:p>
        </w:tc>
        <w:tc>
          <w:tcPr>
            <w:tcW w:w="590" w:type="pct"/>
            <w:noWrap/>
            <w:vAlign w:val="center"/>
          </w:tcPr>
          <w:p w14:paraId="09436E27">
            <w:pPr>
              <w:spacing w:line="240" w:lineRule="auto"/>
              <w:ind w:firstLine="0" w:firstLineChars="0"/>
              <w:jc w:val="center"/>
              <w:rPr>
                <w:color w:val="auto"/>
                <w:kern w:val="0"/>
                <w:sz w:val="21"/>
                <w:szCs w:val="21"/>
                <w:lang w:bidi="ar"/>
              </w:rPr>
            </w:pPr>
            <w:r>
              <w:rPr>
                <w:rFonts w:hint="eastAsia"/>
                <w:color w:val="auto"/>
                <w:kern w:val="0"/>
                <w:sz w:val="21"/>
                <w:szCs w:val="21"/>
                <w:lang w:bidi="ar"/>
              </w:rPr>
              <w:t>/</w:t>
            </w:r>
          </w:p>
        </w:tc>
        <w:tc>
          <w:tcPr>
            <w:tcW w:w="614" w:type="pct"/>
            <w:vAlign w:val="center"/>
          </w:tcPr>
          <w:p w14:paraId="60E9B667">
            <w:pPr>
              <w:spacing w:line="240" w:lineRule="auto"/>
              <w:ind w:firstLine="0" w:firstLineChars="0"/>
              <w:jc w:val="center"/>
              <w:rPr>
                <w:color w:val="auto"/>
                <w:kern w:val="0"/>
                <w:sz w:val="21"/>
                <w:szCs w:val="21"/>
                <w:lang w:bidi="ar"/>
              </w:rPr>
            </w:pPr>
            <w:r>
              <w:rPr>
                <w:rFonts w:hint="eastAsia"/>
                <w:color w:val="auto"/>
                <w:kern w:val="0"/>
                <w:sz w:val="21"/>
                <w:szCs w:val="21"/>
                <w:lang w:bidi="ar"/>
              </w:rPr>
              <w:t>10</w:t>
            </w:r>
          </w:p>
        </w:tc>
        <w:tc>
          <w:tcPr>
            <w:tcW w:w="486" w:type="pct"/>
            <w:vMerge w:val="continue"/>
            <w:vAlign w:val="center"/>
          </w:tcPr>
          <w:p w14:paraId="6FD13D70">
            <w:pPr>
              <w:spacing w:line="240" w:lineRule="auto"/>
              <w:ind w:firstLine="0" w:firstLineChars="0"/>
              <w:jc w:val="center"/>
              <w:rPr>
                <w:color w:val="auto"/>
                <w:kern w:val="0"/>
                <w:sz w:val="21"/>
                <w:szCs w:val="21"/>
                <w:lang w:bidi="ar"/>
              </w:rPr>
            </w:pPr>
          </w:p>
        </w:tc>
      </w:tr>
    </w:tbl>
    <w:p w14:paraId="4713BD29">
      <w:pPr>
        <w:pStyle w:val="49"/>
        <w:rPr>
          <w:color w:val="auto"/>
        </w:rPr>
      </w:pPr>
    </w:p>
    <w:p w14:paraId="5CCADC47">
      <w:pPr>
        <w:pStyle w:val="49"/>
        <w:rPr>
          <w:color w:val="auto"/>
        </w:rPr>
        <w:sectPr>
          <w:pgSz w:w="16838" w:h="11906" w:orient="landscape"/>
          <w:pgMar w:top="1134" w:right="1134" w:bottom="1134" w:left="1134" w:header="851" w:footer="992" w:gutter="0"/>
          <w:cols w:space="425" w:num="1"/>
          <w:docGrid w:type="lines" w:linePitch="312" w:charSpace="0"/>
        </w:sectPr>
      </w:pPr>
    </w:p>
    <w:p w14:paraId="5D18C578">
      <w:pPr>
        <w:pStyle w:val="5"/>
        <w:spacing w:before="156"/>
        <w:rPr>
          <w:color w:val="auto"/>
        </w:rPr>
      </w:pPr>
      <w:r>
        <w:rPr>
          <w:rFonts w:hint="eastAsia"/>
          <w:color w:val="auto"/>
        </w:rPr>
        <w:t>4.6.2.2</w:t>
      </w:r>
      <w:r>
        <w:rPr>
          <w:color w:val="auto"/>
        </w:rPr>
        <w:t>非正常工况</w:t>
      </w:r>
    </w:p>
    <w:p w14:paraId="07BBCCFA">
      <w:pPr>
        <w:ind w:firstLine="480"/>
        <w:rPr>
          <w:rFonts w:hint="eastAsia" w:hAnsi="宋体"/>
          <w:color w:val="auto"/>
        </w:rPr>
      </w:pPr>
      <w:r>
        <w:rPr>
          <w:rFonts w:hint="eastAsia" w:hAnsi="宋体"/>
          <w:color w:val="auto"/>
        </w:rPr>
        <w:t>非正常排放指生产设施或污染防治（控制）措施非正常工况下的污染物排放。例如：水吸收塔启、停机时废气处理系统非正常排放，或其他工艺设备运转异常、污染防治设施达不到应有治理效率、同步运转率等非正常工况下的排放。</w:t>
      </w:r>
    </w:p>
    <w:p w14:paraId="2A03C203">
      <w:pPr>
        <w:ind w:firstLine="480"/>
        <w:rPr>
          <w:rFonts w:hint="eastAsia" w:hAnsi="宋体"/>
          <w:color w:val="auto"/>
        </w:rPr>
      </w:pPr>
      <w:r>
        <w:rPr>
          <w:rFonts w:hint="eastAsia" w:hAnsi="宋体"/>
          <w:color w:val="auto"/>
        </w:rPr>
        <w:t>企业各装置严格按开停车的设备顺序操作。开车时，先开启后端环保设施，再由后端向前端依次开启生产设备；停车时，先关停生产设备，最后关停环保设施。在上游原料加入停止后，下游反应未结束前不得开启反应器阀门，必须在系统内的物料反应完毕、并导入可靠的储存罐及处理系统后，再开启系统进行检修。拟建通过控制开停设备的顺序及完备的污染物排放预防措施可基本消除开停车污染物超标排放问题。</w:t>
      </w:r>
    </w:p>
    <w:p w14:paraId="12943E71">
      <w:pPr>
        <w:ind w:firstLine="480"/>
        <w:rPr>
          <w:rFonts w:hint="eastAsia" w:hAnsi="宋体"/>
          <w:color w:val="auto"/>
        </w:rPr>
      </w:pPr>
      <w:r>
        <w:rPr>
          <w:rFonts w:hint="eastAsia" w:hAnsi="宋体"/>
          <w:color w:val="auto"/>
        </w:rPr>
        <w:t>拟建非正常排放主要考虑生产设备在开车状态，废气处理设施未能正常运行状态下的污染物排放情况，非正常工况时间估算约为30min。具体非正常工况有组织废气排放情况（按最不利情况统计，即废气处理效率为0）见下表。</w:t>
      </w:r>
    </w:p>
    <w:p w14:paraId="5C2C363D">
      <w:pPr>
        <w:pStyle w:val="49"/>
        <w:rPr>
          <w:color w:val="auto"/>
        </w:rPr>
      </w:pPr>
      <w:bookmarkStart w:id="146" w:name="_Hlk51923478"/>
      <w:r>
        <w:rPr>
          <w:color w:val="auto"/>
        </w:rPr>
        <w:t>表</w:t>
      </w:r>
      <w:r>
        <w:rPr>
          <w:rFonts w:hint="eastAsia"/>
          <w:color w:val="auto"/>
        </w:rPr>
        <w:t>3</w:t>
      </w:r>
      <w:r>
        <w:rPr>
          <w:color w:val="auto"/>
        </w:rPr>
        <w:t>.7</w:t>
      </w:r>
      <w:r>
        <w:rPr>
          <w:rFonts w:hint="eastAsia"/>
          <w:color w:val="auto"/>
        </w:rPr>
        <w:t xml:space="preserve">.2-8  </w:t>
      </w:r>
      <w:r>
        <w:rPr>
          <w:color w:val="auto"/>
        </w:rPr>
        <w:t>拟建项目废气非正常排放情况表</w:t>
      </w:r>
    </w:p>
    <w:bookmarkEnd w:id="146"/>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35"/>
        <w:gridCol w:w="1007"/>
        <w:gridCol w:w="1129"/>
        <w:gridCol w:w="1690"/>
        <w:gridCol w:w="1579"/>
        <w:gridCol w:w="1578"/>
        <w:gridCol w:w="1576"/>
      </w:tblGrid>
      <w:tr w14:paraId="231E3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85" w:type="pct"/>
            <w:vAlign w:val="center"/>
          </w:tcPr>
          <w:p w14:paraId="1509BFE9">
            <w:pPr>
              <w:spacing w:line="240" w:lineRule="auto"/>
              <w:ind w:firstLine="0" w:firstLineChars="0"/>
              <w:jc w:val="center"/>
              <w:rPr>
                <w:b/>
                <w:color w:val="auto"/>
                <w:sz w:val="21"/>
                <w:szCs w:val="21"/>
              </w:rPr>
            </w:pPr>
            <w:r>
              <w:rPr>
                <w:b/>
                <w:color w:val="auto"/>
                <w:sz w:val="21"/>
                <w:szCs w:val="21"/>
              </w:rPr>
              <w:t>非正常排放源</w:t>
            </w:r>
          </w:p>
        </w:tc>
        <w:tc>
          <w:tcPr>
            <w:tcW w:w="519" w:type="pct"/>
            <w:vAlign w:val="center"/>
          </w:tcPr>
          <w:p w14:paraId="32140F82">
            <w:pPr>
              <w:spacing w:line="240" w:lineRule="auto"/>
              <w:ind w:firstLine="0" w:firstLineChars="0"/>
              <w:jc w:val="center"/>
              <w:rPr>
                <w:b/>
                <w:color w:val="auto"/>
                <w:sz w:val="21"/>
                <w:szCs w:val="21"/>
              </w:rPr>
            </w:pPr>
            <w:r>
              <w:rPr>
                <w:b/>
                <w:color w:val="auto"/>
                <w:sz w:val="21"/>
                <w:szCs w:val="21"/>
              </w:rPr>
              <w:t>非正常排放原因</w:t>
            </w:r>
          </w:p>
        </w:tc>
        <w:tc>
          <w:tcPr>
            <w:tcW w:w="582" w:type="pct"/>
            <w:vAlign w:val="center"/>
          </w:tcPr>
          <w:p w14:paraId="46A3BB1A">
            <w:pPr>
              <w:spacing w:line="240" w:lineRule="auto"/>
              <w:ind w:firstLine="0" w:firstLineChars="0"/>
              <w:jc w:val="center"/>
              <w:rPr>
                <w:b/>
                <w:color w:val="auto"/>
                <w:sz w:val="21"/>
                <w:szCs w:val="21"/>
              </w:rPr>
            </w:pPr>
            <w:r>
              <w:rPr>
                <w:b/>
                <w:color w:val="auto"/>
                <w:sz w:val="21"/>
                <w:szCs w:val="21"/>
              </w:rPr>
              <w:t>排气量（m</w:t>
            </w:r>
            <w:r>
              <w:rPr>
                <w:b/>
                <w:color w:val="auto"/>
                <w:sz w:val="21"/>
                <w:szCs w:val="21"/>
                <w:vertAlign w:val="superscript"/>
              </w:rPr>
              <w:t>3</w:t>
            </w:r>
            <w:r>
              <w:rPr>
                <w:b/>
                <w:color w:val="auto"/>
                <w:sz w:val="21"/>
                <w:szCs w:val="21"/>
              </w:rPr>
              <w:t>/h）</w:t>
            </w:r>
          </w:p>
        </w:tc>
        <w:tc>
          <w:tcPr>
            <w:tcW w:w="871" w:type="pct"/>
            <w:vAlign w:val="center"/>
          </w:tcPr>
          <w:p w14:paraId="124DBC39">
            <w:pPr>
              <w:spacing w:line="240" w:lineRule="auto"/>
              <w:ind w:firstLine="0" w:firstLineChars="0"/>
              <w:jc w:val="center"/>
              <w:rPr>
                <w:b/>
                <w:color w:val="auto"/>
                <w:sz w:val="21"/>
                <w:szCs w:val="21"/>
              </w:rPr>
            </w:pPr>
            <w:r>
              <w:rPr>
                <w:b/>
                <w:color w:val="auto"/>
                <w:sz w:val="21"/>
                <w:szCs w:val="21"/>
              </w:rPr>
              <w:t>污染物名称</w:t>
            </w:r>
          </w:p>
        </w:tc>
        <w:tc>
          <w:tcPr>
            <w:tcW w:w="814" w:type="pct"/>
            <w:vAlign w:val="center"/>
          </w:tcPr>
          <w:p w14:paraId="4B3AA023">
            <w:pPr>
              <w:spacing w:line="240" w:lineRule="auto"/>
              <w:ind w:firstLine="0" w:firstLineChars="0"/>
              <w:jc w:val="center"/>
              <w:rPr>
                <w:b/>
                <w:color w:val="auto"/>
                <w:sz w:val="21"/>
                <w:szCs w:val="21"/>
              </w:rPr>
            </w:pPr>
            <w:r>
              <w:rPr>
                <w:b/>
                <w:color w:val="auto"/>
                <w:sz w:val="21"/>
                <w:szCs w:val="21"/>
              </w:rPr>
              <w:t>产生速率（kg/h）</w:t>
            </w:r>
          </w:p>
        </w:tc>
        <w:tc>
          <w:tcPr>
            <w:tcW w:w="813" w:type="pct"/>
            <w:vAlign w:val="center"/>
          </w:tcPr>
          <w:p w14:paraId="47CF02F3">
            <w:pPr>
              <w:spacing w:line="240" w:lineRule="auto"/>
              <w:ind w:firstLine="0" w:firstLineChars="0"/>
              <w:jc w:val="center"/>
              <w:rPr>
                <w:b/>
                <w:color w:val="auto"/>
                <w:sz w:val="21"/>
                <w:szCs w:val="21"/>
              </w:rPr>
            </w:pPr>
            <w:r>
              <w:rPr>
                <w:b/>
                <w:color w:val="auto"/>
                <w:sz w:val="21"/>
                <w:szCs w:val="21"/>
              </w:rPr>
              <w:t>持续时间（h）</w:t>
            </w:r>
          </w:p>
        </w:tc>
        <w:tc>
          <w:tcPr>
            <w:tcW w:w="812" w:type="pct"/>
            <w:vAlign w:val="center"/>
          </w:tcPr>
          <w:p w14:paraId="308A60A1">
            <w:pPr>
              <w:spacing w:line="240" w:lineRule="auto"/>
              <w:ind w:firstLine="0" w:firstLineChars="0"/>
              <w:jc w:val="center"/>
              <w:rPr>
                <w:b/>
                <w:color w:val="auto"/>
                <w:sz w:val="21"/>
                <w:szCs w:val="21"/>
              </w:rPr>
            </w:pPr>
            <w:r>
              <w:rPr>
                <w:b/>
                <w:color w:val="auto"/>
                <w:sz w:val="21"/>
                <w:szCs w:val="21"/>
              </w:rPr>
              <w:t>年发生频次（次）</w:t>
            </w:r>
          </w:p>
        </w:tc>
      </w:tr>
      <w:tr w14:paraId="1DD5C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85" w:type="pct"/>
            <w:vAlign w:val="center"/>
          </w:tcPr>
          <w:p w14:paraId="5977F0BD">
            <w:pPr>
              <w:spacing w:line="240" w:lineRule="auto"/>
              <w:ind w:firstLine="0" w:firstLineChars="0"/>
              <w:jc w:val="center"/>
              <w:textAlignment w:val="center"/>
              <w:rPr>
                <w:color w:val="auto"/>
                <w:sz w:val="21"/>
                <w:szCs w:val="21"/>
              </w:rPr>
            </w:pPr>
            <w:r>
              <w:rPr>
                <w:color w:val="auto"/>
                <w:kern w:val="0"/>
                <w:sz w:val="21"/>
                <w:szCs w:val="21"/>
                <w:lang w:bidi="ar"/>
              </w:rPr>
              <w:t>DA</w:t>
            </w:r>
            <w:r>
              <w:rPr>
                <w:rFonts w:hint="eastAsia"/>
                <w:color w:val="auto"/>
                <w:kern w:val="0"/>
                <w:sz w:val="21"/>
                <w:szCs w:val="21"/>
                <w:lang w:bidi="ar"/>
              </w:rPr>
              <w:t>001</w:t>
            </w:r>
          </w:p>
        </w:tc>
        <w:tc>
          <w:tcPr>
            <w:tcW w:w="519" w:type="pct"/>
            <w:vMerge w:val="restart"/>
            <w:vAlign w:val="center"/>
          </w:tcPr>
          <w:p w14:paraId="695B71ED">
            <w:pPr>
              <w:spacing w:line="240" w:lineRule="auto"/>
              <w:ind w:firstLine="0" w:firstLineChars="0"/>
              <w:jc w:val="center"/>
              <w:textAlignment w:val="center"/>
              <w:rPr>
                <w:color w:val="auto"/>
                <w:sz w:val="21"/>
                <w:szCs w:val="21"/>
              </w:rPr>
            </w:pPr>
            <w:r>
              <w:rPr>
                <w:color w:val="auto"/>
                <w:sz w:val="21"/>
                <w:szCs w:val="21"/>
              </w:rPr>
              <w:t>废气处理设备未正常运行</w:t>
            </w:r>
          </w:p>
        </w:tc>
        <w:tc>
          <w:tcPr>
            <w:tcW w:w="582" w:type="pct"/>
            <w:vAlign w:val="center"/>
          </w:tcPr>
          <w:p w14:paraId="742E872F">
            <w:pPr>
              <w:spacing w:line="240" w:lineRule="auto"/>
              <w:ind w:firstLine="0" w:firstLineChars="0"/>
              <w:jc w:val="center"/>
              <w:textAlignment w:val="center"/>
              <w:rPr>
                <w:color w:val="auto"/>
                <w:sz w:val="21"/>
                <w:szCs w:val="21"/>
              </w:rPr>
            </w:pPr>
            <w:r>
              <w:rPr>
                <w:rFonts w:hint="eastAsia"/>
                <w:color w:val="auto"/>
                <w:sz w:val="21"/>
                <w:szCs w:val="21"/>
              </w:rPr>
              <w:t>30000</w:t>
            </w:r>
          </w:p>
        </w:tc>
        <w:tc>
          <w:tcPr>
            <w:tcW w:w="871" w:type="pct"/>
            <w:vAlign w:val="center"/>
          </w:tcPr>
          <w:p w14:paraId="3804FA1B">
            <w:pPr>
              <w:widowControl/>
              <w:spacing w:line="240" w:lineRule="auto"/>
              <w:ind w:firstLine="0" w:firstLineChars="0"/>
              <w:jc w:val="center"/>
              <w:textAlignment w:val="center"/>
              <w:rPr>
                <w:color w:val="auto"/>
                <w:sz w:val="21"/>
                <w:szCs w:val="21"/>
              </w:rPr>
            </w:pPr>
            <w:r>
              <w:rPr>
                <w:rFonts w:hint="eastAsia"/>
                <w:color w:val="auto"/>
                <w:sz w:val="21"/>
                <w:szCs w:val="21"/>
              </w:rPr>
              <w:t>氨</w:t>
            </w:r>
          </w:p>
        </w:tc>
        <w:tc>
          <w:tcPr>
            <w:tcW w:w="1576" w:type="dxa"/>
            <w:vAlign w:val="center"/>
          </w:tcPr>
          <w:p w14:paraId="31FBA42B">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5.439 </w:t>
            </w:r>
          </w:p>
        </w:tc>
        <w:tc>
          <w:tcPr>
            <w:tcW w:w="813" w:type="pct"/>
            <w:vAlign w:val="center"/>
          </w:tcPr>
          <w:p w14:paraId="7D90A1CB">
            <w:pPr>
              <w:widowControl/>
              <w:spacing w:line="240" w:lineRule="auto"/>
              <w:ind w:firstLine="0" w:firstLineChars="0"/>
              <w:jc w:val="center"/>
              <w:textAlignment w:val="center"/>
              <w:rPr>
                <w:color w:val="auto"/>
                <w:sz w:val="21"/>
                <w:szCs w:val="21"/>
              </w:rPr>
            </w:pPr>
            <w:r>
              <w:rPr>
                <w:color w:val="auto"/>
                <w:sz w:val="21"/>
                <w:szCs w:val="21"/>
              </w:rPr>
              <w:t>0.5</w:t>
            </w:r>
          </w:p>
        </w:tc>
        <w:tc>
          <w:tcPr>
            <w:tcW w:w="812" w:type="pct"/>
            <w:vAlign w:val="center"/>
          </w:tcPr>
          <w:p w14:paraId="5A09FB9C">
            <w:pPr>
              <w:widowControl/>
              <w:spacing w:line="240" w:lineRule="auto"/>
              <w:ind w:firstLine="0" w:firstLineChars="0"/>
              <w:jc w:val="center"/>
              <w:textAlignment w:val="center"/>
              <w:rPr>
                <w:color w:val="auto"/>
                <w:sz w:val="21"/>
                <w:szCs w:val="21"/>
              </w:rPr>
            </w:pPr>
            <w:r>
              <w:rPr>
                <w:color w:val="auto"/>
                <w:sz w:val="21"/>
                <w:szCs w:val="21"/>
              </w:rPr>
              <w:t>1</w:t>
            </w:r>
          </w:p>
        </w:tc>
      </w:tr>
      <w:tr w14:paraId="5DB34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85" w:type="pct"/>
            <w:vMerge w:val="restart"/>
            <w:vAlign w:val="center"/>
          </w:tcPr>
          <w:p w14:paraId="6280C3C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DA0</w:t>
            </w:r>
            <w:r>
              <w:rPr>
                <w:rFonts w:hint="eastAsia"/>
                <w:color w:val="auto"/>
                <w:kern w:val="0"/>
                <w:sz w:val="21"/>
                <w:szCs w:val="21"/>
                <w:lang w:bidi="ar"/>
              </w:rPr>
              <w:t>02</w:t>
            </w:r>
          </w:p>
        </w:tc>
        <w:tc>
          <w:tcPr>
            <w:tcW w:w="519" w:type="pct"/>
            <w:vMerge w:val="continue"/>
            <w:vAlign w:val="center"/>
          </w:tcPr>
          <w:p w14:paraId="773B8181">
            <w:pPr>
              <w:widowControl/>
              <w:spacing w:line="240" w:lineRule="auto"/>
              <w:ind w:firstLine="0" w:firstLineChars="0"/>
              <w:jc w:val="center"/>
              <w:textAlignment w:val="center"/>
              <w:rPr>
                <w:color w:val="auto"/>
                <w:kern w:val="0"/>
                <w:sz w:val="21"/>
                <w:szCs w:val="21"/>
                <w:lang w:bidi="ar"/>
              </w:rPr>
            </w:pPr>
          </w:p>
        </w:tc>
        <w:tc>
          <w:tcPr>
            <w:tcW w:w="582" w:type="pct"/>
            <w:vMerge w:val="restart"/>
            <w:vAlign w:val="center"/>
          </w:tcPr>
          <w:p w14:paraId="28B9AACE">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w:t>
            </w:r>
            <w:r>
              <w:rPr>
                <w:rFonts w:hint="eastAsia"/>
                <w:color w:val="auto"/>
                <w:kern w:val="0"/>
                <w:sz w:val="21"/>
                <w:szCs w:val="21"/>
                <w:lang w:bidi="ar"/>
              </w:rPr>
              <w:t>5</w:t>
            </w:r>
            <w:r>
              <w:rPr>
                <w:color w:val="auto"/>
                <w:kern w:val="0"/>
                <w:sz w:val="21"/>
                <w:szCs w:val="21"/>
                <w:lang w:bidi="ar"/>
              </w:rPr>
              <w:t>00</w:t>
            </w:r>
          </w:p>
        </w:tc>
        <w:tc>
          <w:tcPr>
            <w:tcW w:w="871" w:type="pct"/>
            <w:vAlign w:val="center"/>
          </w:tcPr>
          <w:p w14:paraId="09737531">
            <w:pPr>
              <w:widowControl/>
              <w:spacing w:line="240" w:lineRule="auto"/>
              <w:ind w:firstLine="0" w:firstLineChars="0"/>
              <w:jc w:val="center"/>
              <w:textAlignment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1576" w:type="dxa"/>
            <w:vAlign w:val="center"/>
          </w:tcPr>
          <w:p w14:paraId="2D63835D">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13.262 </w:t>
            </w:r>
          </w:p>
        </w:tc>
        <w:tc>
          <w:tcPr>
            <w:tcW w:w="813" w:type="pct"/>
            <w:vMerge w:val="restart"/>
            <w:vAlign w:val="center"/>
          </w:tcPr>
          <w:p w14:paraId="63145C11">
            <w:pPr>
              <w:widowControl/>
              <w:spacing w:line="240" w:lineRule="auto"/>
              <w:ind w:firstLine="0" w:firstLineChars="0"/>
              <w:jc w:val="center"/>
              <w:textAlignment w:val="center"/>
              <w:rPr>
                <w:color w:val="auto"/>
                <w:sz w:val="21"/>
                <w:szCs w:val="21"/>
              </w:rPr>
            </w:pPr>
            <w:r>
              <w:rPr>
                <w:color w:val="auto"/>
                <w:sz w:val="21"/>
                <w:szCs w:val="21"/>
              </w:rPr>
              <w:t>0.5</w:t>
            </w:r>
          </w:p>
        </w:tc>
        <w:tc>
          <w:tcPr>
            <w:tcW w:w="812" w:type="pct"/>
            <w:vMerge w:val="restart"/>
            <w:vAlign w:val="center"/>
          </w:tcPr>
          <w:p w14:paraId="3528B8CA">
            <w:pPr>
              <w:widowControl/>
              <w:spacing w:line="240" w:lineRule="auto"/>
              <w:ind w:firstLine="0" w:firstLineChars="0"/>
              <w:jc w:val="center"/>
              <w:textAlignment w:val="center"/>
              <w:rPr>
                <w:color w:val="auto"/>
                <w:sz w:val="21"/>
                <w:szCs w:val="21"/>
              </w:rPr>
            </w:pPr>
            <w:r>
              <w:rPr>
                <w:color w:val="auto"/>
                <w:sz w:val="21"/>
                <w:szCs w:val="21"/>
              </w:rPr>
              <w:t>1</w:t>
            </w:r>
          </w:p>
        </w:tc>
      </w:tr>
      <w:tr w14:paraId="14A2B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85" w:type="pct"/>
            <w:vMerge w:val="continue"/>
            <w:vAlign w:val="center"/>
          </w:tcPr>
          <w:p w14:paraId="1CF84E6F">
            <w:pPr>
              <w:widowControl/>
              <w:spacing w:line="240" w:lineRule="auto"/>
              <w:ind w:firstLine="0" w:firstLineChars="0"/>
              <w:jc w:val="center"/>
              <w:textAlignment w:val="center"/>
              <w:rPr>
                <w:color w:val="auto"/>
                <w:kern w:val="0"/>
                <w:sz w:val="21"/>
                <w:szCs w:val="21"/>
                <w:lang w:bidi="ar"/>
              </w:rPr>
            </w:pPr>
          </w:p>
        </w:tc>
        <w:tc>
          <w:tcPr>
            <w:tcW w:w="519" w:type="pct"/>
            <w:vMerge w:val="continue"/>
            <w:vAlign w:val="center"/>
          </w:tcPr>
          <w:p w14:paraId="7CE5CBCA">
            <w:pPr>
              <w:widowControl/>
              <w:spacing w:line="240" w:lineRule="auto"/>
              <w:ind w:firstLine="0" w:firstLineChars="0"/>
              <w:jc w:val="center"/>
              <w:textAlignment w:val="center"/>
              <w:rPr>
                <w:color w:val="auto"/>
                <w:kern w:val="0"/>
                <w:sz w:val="21"/>
                <w:szCs w:val="21"/>
                <w:lang w:bidi="ar"/>
              </w:rPr>
            </w:pPr>
          </w:p>
        </w:tc>
        <w:tc>
          <w:tcPr>
            <w:tcW w:w="582" w:type="pct"/>
            <w:vMerge w:val="continue"/>
            <w:vAlign w:val="center"/>
          </w:tcPr>
          <w:p w14:paraId="16C811ED">
            <w:pPr>
              <w:widowControl/>
              <w:spacing w:line="240" w:lineRule="auto"/>
              <w:ind w:firstLine="0" w:firstLineChars="0"/>
              <w:jc w:val="center"/>
              <w:textAlignment w:val="center"/>
              <w:rPr>
                <w:color w:val="auto"/>
                <w:kern w:val="0"/>
                <w:sz w:val="21"/>
                <w:szCs w:val="21"/>
                <w:lang w:bidi="ar"/>
              </w:rPr>
            </w:pPr>
          </w:p>
        </w:tc>
        <w:tc>
          <w:tcPr>
            <w:tcW w:w="871" w:type="pct"/>
            <w:vAlign w:val="center"/>
          </w:tcPr>
          <w:p w14:paraId="14646939">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颗粒物</w:t>
            </w:r>
          </w:p>
        </w:tc>
        <w:tc>
          <w:tcPr>
            <w:tcW w:w="1576" w:type="dxa"/>
            <w:vAlign w:val="center"/>
          </w:tcPr>
          <w:p w14:paraId="6B25650E">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2.797 </w:t>
            </w:r>
          </w:p>
        </w:tc>
        <w:tc>
          <w:tcPr>
            <w:tcW w:w="813" w:type="pct"/>
            <w:vMerge w:val="continue"/>
            <w:vAlign w:val="center"/>
          </w:tcPr>
          <w:p w14:paraId="059FC564">
            <w:pPr>
              <w:widowControl/>
              <w:spacing w:line="240" w:lineRule="auto"/>
              <w:ind w:firstLine="0" w:firstLineChars="0"/>
              <w:jc w:val="center"/>
              <w:textAlignment w:val="center"/>
              <w:rPr>
                <w:color w:val="auto"/>
                <w:sz w:val="21"/>
                <w:szCs w:val="21"/>
              </w:rPr>
            </w:pPr>
          </w:p>
        </w:tc>
        <w:tc>
          <w:tcPr>
            <w:tcW w:w="812" w:type="pct"/>
            <w:vMerge w:val="continue"/>
            <w:vAlign w:val="center"/>
          </w:tcPr>
          <w:p w14:paraId="21791F01">
            <w:pPr>
              <w:widowControl/>
              <w:spacing w:line="240" w:lineRule="auto"/>
              <w:ind w:firstLine="0" w:firstLineChars="0"/>
              <w:jc w:val="center"/>
              <w:textAlignment w:val="center"/>
              <w:rPr>
                <w:color w:val="auto"/>
                <w:sz w:val="21"/>
                <w:szCs w:val="21"/>
              </w:rPr>
            </w:pPr>
          </w:p>
        </w:tc>
      </w:tr>
    </w:tbl>
    <w:p w14:paraId="285E8B49">
      <w:pPr>
        <w:pStyle w:val="49"/>
        <w:rPr>
          <w:color w:val="auto"/>
        </w:rPr>
      </w:pPr>
    </w:p>
    <w:p w14:paraId="23498493">
      <w:pPr>
        <w:pStyle w:val="5"/>
        <w:tabs>
          <w:tab w:val="left" w:pos="2145"/>
        </w:tabs>
        <w:spacing w:before="156" w:line="500" w:lineRule="atLeast"/>
        <w:rPr>
          <w:color w:val="auto"/>
        </w:rPr>
      </w:pPr>
      <w:r>
        <w:rPr>
          <w:rFonts w:hint="eastAsia"/>
          <w:color w:val="auto"/>
        </w:rPr>
        <w:t>4.6.2.3</w:t>
      </w:r>
      <w:r>
        <w:rPr>
          <w:color w:val="auto"/>
        </w:rPr>
        <w:t>无组织废气</w:t>
      </w:r>
    </w:p>
    <w:p w14:paraId="1055613A">
      <w:pPr>
        <w:ind w:firstLine="480"/>
        <w:rPr>
          <w:rFonts w:hint="eastAsia" w:hAnsi="宋体"/>
          <w:color w:val="auto"/>
        </w:rPr>
      </w:pPr>
      <w:r>
        <w:rPr>
          <w:rFonts w:hint="eastAsia" w:hAnsi="宋体"/>
          <w:color w:val="auto"/>
        </w:rPr>
        <w:t>拟建项目生产工序产生的废气均为密闭管道收集，拟建项目无组织废气主要为储罐呼吸废气，管道、集气罩没有收集到的废气，按废气未收集部分的量计算。</w:t>
      </w:r>
    </w:p>
    <w:p w14:paraId="796605EA">
      <w:pPr>
        <w:ind w:firstLine="480"/>
        <w:rPr>
          <w:rFonts w:hint="eastAsia" w:hAnsi="宋体"/>
          <w:color w:val="auto"/>
        </w:rPr>
      </w:pPr>
      <w:r>
        <w:rPr>
          <w:rFonts w:hint="eastAsia" w:hAnsi="宋体"/>
          <w:color w:val="auto"/>
        </w:rPr>
        <w:t>综上所述，拟建项目无组织废气排放情况详见下表。</w:t>
      </w:r>
    </w:p>
    <w:p w14:paraId="641900F8">
      <w:pPr>
        <w:ind w:firstLine="482"/>
        <w:rPr>
          <w:b/>
          <w:bCs/>
          <w:color w:val="auto"/>
          <w:kern w:val="0"/>
          <w:szCs w:val="20"/>
        </w:rPr>
      </w:pPr>
      <w:r>
        <w:rPr>
          <w:b/>
          <w:bCs/>
          <w:color w:val="auto"/>
          <w:kern w:val="0"/>
          <w:szCs w:val="20"/>
        </w:rPr>
        <w:t>储罐废气</w:t>
      </w:r>
    </w:p>
    <w:p w14:paraId="327DE51B">
      <w:pPr>
        <w:ind w:firstLine="480"/>
        <w:rPr>
          <w:rFonts w:hint="eastAsia" w:hAnsi="宋体"/>
          <w:color w:val="auto"/>
        </w:rPr>
      </w:pPr>
      <w:bookmarkStart w:id="147" w:name="_Hlk191262144"/>
      <w:r>
        <w:rPr>
          <w:rFonts w:hint="eastAsia" w:hAnsi="宋体"/>
          <w:color w:val="auto"/>
        </w:rPr>
        <w:t>拟建依托现有储罐，包括氢氧化钾储罐、氢氧化钠储罐及氨水储罐。依托现有的储罐小呼吸废气量不增加，增加罐内物质周转量。本次按新增周转量核算新增大呼吸废气量。</w:t>
      </w:r>
      <w:bookmarkEnd w:id="147"/>
    </w:p>
    <w:p w14:paraId="597D8803">
      <w:pPr>
        <w:ind w:firstLine="480"/>
        <w:rPr>
          <w:rFonts w:hint="eastAsia" w:hAnsi="宋体"/>
          <w:color w:val="auto"/>
        </w:rPr>
      </w:pPr>
      <w:r>
        <w:rPr>
          <w:rFonts w:hint="eastAsia" w:hAnsi="宋体"/>
          <w:color w:val="auto"/>
        </w:rPr>
        <w:t>大呼吸排放是由于人为的装料与卸料而产生的损失。因装料的结果，罐内压力超过释放压力时，蒸气从罐内压出；而卸料损失发生于液面排空，空气被抽入罐体内，因空气变成有机蒸气饱和的气体而膨胀，因而超过蒸气空间容纳的能力。</w:t>
      </w:r>
    </w:p>
    <w:p w14:paraId="667DFA4A">
      <w:pPr>
        <w:ind w:firstLine="480"/>
        <w:rPr>
          <w:rFonts w:hint="eastAsia" w:hAnsi="宋体"/>
          <w:color w:val="auto"/>
        </w:rPr>
      </w:pPr>
      <w:r>
        <w:rPr>
          <w:rFonts w:hint="eastAsia" w:hAnsi="宋体"/>
          <w:color w:val="auto"/>
        </w:rPr>
        <w:t>固定顶罐大呼吸损耗计算公式：</w:t>
      </w:r>
    </w:p>
    <w:p w14:paraId="5EBE3502">
      <w:pPr>
        <w:ind w:firstLine="0" w:firstLineChars="0"/>
        <w:jc w:val="center"/>
        <w:rPr>
          <w:rFonts w:hint="eastAsia" w:hAnsi="宋体"/>
          <w:color w:val="auto"/>
        </w:rPr>
      </w:pPr>
      <w:r>
        <w:rPr>
          <w:rFonts w:hAnsi="宋体"/>
          <w:color w:val="auto"/>
        </w:rPr>
        <w:t>LW=4.188×10</w:t>
      </w:r>
      <w:r>
        <w:rPr>
          <w:rFonts w:hAnsi="宋体"/>
          <w:color w:val="auto"/>
          <w:vertAlign w:val="superscript"/>
        </w:rPr>
        <w:t>-7</w:t>
      </w:r>
      <w:r>
        <w:rPr>
          <w:rFonts w:hAnsi="宋体"/>
          <w:color w:val="auto"/>
        </w:rPr>
        <w:t>×M×P×K</w:t>
      </w:r>
      <w:r>
        <w:rPr>
          <w:rFonts w:hAnsi="宋体"/>
          <w:color w:val="auto"/>
          <w:vertAlign w:val="subscript"/>
        </w:rPr>
        <w:t>N</w:t>
      </w:r>
      <w:r>
        <w:rPr>
          <w:rFonts w:hAnsi="宋体"/>
          <w:color w:val="auto"/>
        </w:rPr>
        <w:t>×K</w:t>
      </w:r>
      <w:r>
        <w:rPr>
          <w:rFonts w:hAnsi="宋体"/>
          <w:color w:val="auto"/>
          <w:vertAlign w:val="subscript"/>
        </w:rPr>
        <w:t>C</w:t>
      </w:r>
    </w:p>
    <w:p w14:paraId="65FEC5E8">
      <w:pPr>
        <w:ind w:firstLine="480"/>
        <w:rPr>
          <w:rFonts w:hint="eastAsia" w:hAnsi="宋体"/>
          <w:color w:val="auto"/>
        </w:rPr>
      </w:pPr>
      <w:r>
        <w:rPr>
          <w:rFonts w:hAnsi="宋体"/>
          <w:color w:val="auto"/>
        </w:rPr>
        <w:t>式中：LW—工作损失（kg/m</w:t>
      </w:r>
      <w:r>
        <w:rPr>
          <w:rFonts w:hAnsi="宋体"/>
          <w:color w:val="auto"/>
          <w:vertAlign w:val="superscript"/>
        </w:rPr>
        <w:t>3</w:t>
      </w:r>
      <w:r>
        <w:rPr>
          <w:rFonts w:hint="eastAsia" w:hAnsi="宋体"/>
          <w:color w:val="auto"/>
        </w:rPr>
        <w:t>投入量</w:t>
      </w:r>
      <w:r>
        <w:rPr>
          <w:rFonts w:hAnsi="宋体"/>
          <w:color w:val="auto"/>
        </w:rPr>
        <w:t>）；</w:t>
      </w:r>
    </w:p>
    <w:p w14:paraId="169E09AB">
      <w:pPr>
        <w:ind w:firstLine="480"/>
        <w:rPr>
          <w:rFonts w:hint="eastAsia" w:hAnsi="宋体"/>
          <w:color w:val="auto"/>
        </w:rPr>
      </w:pPr>
      <w:r>
        <w:rPr>
          <w:rFonts w:hAnsi="宋体"/>
          <w:color w:val="auto"/>
        </w:rPr>
        <w:t>M—储罐内蒸气的分子量</w:t>
      </w:r>
      <w:r>
        <w:rPr>
          <w:rFonts w:hint="eastAsia" w:hAnsi="宋体"/>
          <w:color w:val="auto"/>
        </w:rPr>
        <w:t>（g/mol）</w:t>
      </w:r>
      <w:r>
        <w:rPr>
          <w:rFonts w:hAnsi="宋体"/>
          <w:color w:val="auto"/>
        </w:rPr>
        <w:t>；</w:t>
      </w:r>
    </w:p>
    <w:p w14:paraId="46104D88">
      <w:pPr>
        <w:ind w:firstLine="480"/>
        <w:rPr>
          <w:rFonts w:hint="eastAsia" w:hAnsi="宋体"/>
          <w:color w:val="auto"/>
        </w:rPr>
      </w:pPr>
      <w:r>
        <w:rPr>
          <w:rFonts w:hAnsi="宋体"/>
          <w:color w:val="auto"/>
        </w:rPr>
        <w:t>P—在大量液体状态下，真实的蒸气压力（Pa）；</w:t>
      </w:r>
    </w:p>
    <w:p w14:paraId="74766AC1">
      <w:pPr>
        <w:ind w:firstLine="480"/>
        <w:rPr>
          <w:rFonts w:hint="eastAsia" w:hAnsi="宋体"/>
          <w:color w:val="auto"/>
        </w:rPr>
      </w:pPr>
      <w:r>
        <w:rPr>
          <w:rFonts w:hAnsi="宋体"/>
          <w:color w:val="auto"/>
        </w:rPr>
        <w:t>KN—周转因子（无量纲），取值按年周转次数（K）确定：</w:t>
      </w:r>
    </w:p>
    <w:p w14:paraId="57DEF51D">
      <w:pPr>
        <w:ind w:firstLine="480"/>
        <w:rPr>
          <w:rFonts w:hint="eastAsia" w:hAnsi="宋体"/>
          <w:color w:val="auto"/>
        </w:rPr>
      </w:pPr>
      <w:r>
        <w:rPr>
          <w:rFonts w:hAnsi="宋体"/>
          <w:color w:val="auto"/>
        </w:rPr>
        <w:t>K≤36</w:t>
      </w:r>
      <w:r>
        <w:rPr>
          <w:rFonts w:hint="eastAsia" w:hAnsi="宋体"/>
          <w:color w:val="auto"/>
        </w:rPr>
        <w:t>，</w:t>
      </w:r>
      <w:r>
        <w:rPr>
          <w:rFonts w:hAnsi="宋体"/>
          <w:color w:val="auto"/>
        </w:rPr>
        <w:t>K</w:t>
      </w:r>
      <w:r>
        <w:rPr>
          <w:rFonts w:hAnsi="宋体"/>
          <w:color w:val="auto"/>
          <w:vertAlign w:val="subscript"/>
        </w:rPr>
        <w:t>N</w:t>
      </w:r>
      <w:r>
        <w:rPr>
          <w:rFonts w:hAnsi="宋体"/>
          <w:color w:val="auto"/>
        </w:rPr>
        <w:t>=1；36&lt;K≤220</w:t>
      </w:r>
      <w:r>
        <w:rPr>
          <w:rFonts w:hint="eastAsia" w:hAnsi="宋体"/>
          <w:color w:val="auto"/>
        </w:rPr>
        <w:t>，</w:t>
      </w:r>
      <w:r>
        <w:rPr>
          <w:rFonts w:hAnsi="宋体"/>
          <w:color w:val="auto"/>
        </w:rPr>
        <w:t>K</w:t>
      </w:r>
      <w:r>
        <w:rPr>
          <w:rFonts w:hAnsi="宋体"/>
          <w:color w:val="auto"/>
          <w:vertAlign w:val="subscript"/>
        </w:rPr>
        <w:t>N</w:t>
      </w:r>
      <w:r>
        <w:rPr>
          <w:rFonts w:hAnsi="宋体"/>
          <w:color w:val="auto"/>
        </w:rPr>
        <w:t>=11.467×K-0.7026；K&gt;220</w:t>
      </w:r>
      <w:r>
        <w:rPr>
          <w:rFonts w:hint="eastAsia" w:hAnsi="宋体"/>
          <w:color w:val="auto"/>
        </w:rPr>
        <w:t>，</w:t>
      </w:r>
      <w:r>
        <w:rPr>
          <w:rFonts w:hAnsi="宋体"/>
          <w:color w:val="auto"/>
        </w:rPr>
        <w:t>K</w:t>
      </w:r>
      <w:r>
        <w:rPr>
          <w:rFonts w:hAnsi="宋体"/>
          <w:color w:val="auto"/>
          <w:vertAlign w:val="subscript"/>
        </w:rPr>
        <w:t>N</w:t>
      </w:r>
      <w:r>
        <w:rPr>
          <w:rFonts w:hAnsi="宋体"/>
          <w:color w:val="auto"/>
        </w:rPr>
        <w:t>=0.26；</w:t>
      </w:r>
    </w:p>
    <w:p w14:paraId="044027D2">
      <w:pPr>
        <w:ind w:firstLine="480"/>
        <w:rPr>
          <w:rFonts w:hint="eastAsia" w:hAnsi="宋体"/>
          <w:color w:val="auto"/>
        </w:rPr>
      </w:pPr>
      <w:r>
        <w:rPr>
          <w:rFonts w:hAnsi="宋体"/>
          <w:color w:val="auto"/>
        </w:rPr>
        <w:t>K</w:t>
      </w:r>
      <w:r>
        <w:rPr>
          <w:rFonts w:hAnsi="宋体"/>
          <w:color w:val="auto"/>
          <w:vertAlign w:val="subscript"/>
        </w:rPr>
        <w:t>C</w:t>
      </w:r>
      <w:r>
        <w:rPr>
          <w:rFonts w:hAnsi="宋体"/>
          <w:color w:val="auto"/>
        </w:rPr>
        <w:t>—产品因子（有机液体取1.0）</w:t>
      </w:r>
    </w:p>
    <w:p w14:paraId="6497D165">
      <w:pPr>
        <w:ind w:firstLine="480"/>
        <w:rPr>
          <w:rFonts w:hint="eastAsia" w:hAnsi="宋体"/>
          <w:color w:val="auto"/>
        </w:rPr>
      </w:pPr>
      <w:r>
        <w:rPr>
          <w:rFonts w:hint="eastAsia" w:hAnsi="宋体"/>
          <w:color w:val="auto"/>
        </w:rPr>
        <w:t>氨水储罐设置气相平衡管，储罐装卸物料时，采取装有气相平衡管的密封循环系统，使大呼吸尾气形成闭路循环，可有效控制装卸时产生的大呼吸废气。通过对原料储罐、计量罐等一并采取气相平衡原理设置气相平衡管，使呼吸尾气形成闭路循环，大呼吸废气外排量较少。根据文献《利用气相平衡管原理控制有机污染物的无组织排放》，采用气相平衡管技术后，大呼吸气可减少90%。</w:t>
      </w:r>
    </w:p>
    <w:p w14:paraId="0792C080">
      <w:pPr>
        <w:ind w:firstLine="480"/>
        <w:rPr>
          <w:rFonts w:hint="eastAsia" w:hAnsi="宋体"/>
          <w:color w:val="auto"/>
        </w:rPr>
      </w:pPr>
      <w:r>
        <w:rPr>
          <w:rFonts w:hAnsi="宋体"/>
          <w:color w:val="auto"/>
        </w:rPr>
        <w:t>现有项目未核算</w:t>
      </w:r>
      <w:r>
        <w:rPr>
          <w:rFonts w:hint="eastAsia" w:hAnsi="宋体"/>
          <w:color w:val="auto"/>
        </w:rPr>
        <w:t>目前全厂储罐废气，本次评价考虑全厂氨水储罐产生的废气。</w:t>
      </w:r>
    </w:p>
    <w:p w14:paraId="3F0E9FDF">
      <w:pPr>
        <w:ind w:firstLine="480"/>
        <w:rPr>
          <w:rFonts w:hint="eastAsia" w:hAnsi="宋体"/>
          <w:color w:val="auto"/>
        </w:rPr>
      </w:pPr>
      <w:r>
        <w:rPr>
          <w:rFonts w:hAnsi="宋体"/>
          <w:color w:val="auto"/>
        </w:rPr>
        <w:t>经计算，拟建项目储罐的废气排放情况见下表。</w:t>
      </w:r>
    </w:p>
    <w:p w14:paraId="49769CE2">
      <w:pPr>
        <w:spacing w:line="240" w:lineRule="auto"/>
        <w:ind w:firstLine="0" w:firstLineChars="0"/>
        <w:jc w:val="center"/>
        <w:rPr>
          <w:b/>
          <w:color w:val="auto"/>
        </w:rPr>
      </w:pPr>
      <w:r>
        <w:rPr>
          <w:b/>
          <w:color w:val="auto"/>
        </w:rPr>
        <w:t>表</w:t>
      </w:r>
      <w:r>
        <w:rPr>
          <w:rFonts w:hint="eastAsia"/>
          <w:b/>
          <w:color w:val="auto"/>
        </w:rPr>
        <w:t xml:space="preserve">4.6-2 </w:t>
      </w:r>
      <w:r>
        <w:rPr>
          <w:b/>
          <w:color w:val="auto"/>
        </w:rPr>
        <w:t xml:space="preserve"> 储罐废气产生情况一览表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75"/>
        <w:gridCol w:w="1348"/>
        <w:gridCol w:w="1169"/>
        <w:gridCol w:w="1088"/>
        <w:gridCol w:w="1053"/>
        <w:gridCol w:w="1631"/>
        <w:gridCol w:w="1674"/>
      </w:tblGrid>
      <w:tr w14:paraId="5A40F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568" w:type="pct"/>
            <w:gridSpan w:val="2"/>
            <w:vMerge w:val="restart"/>
            <w:vAlign w:val="center"/>
          </w:tcPr>
          <w:p w14:paraId="56F734E9">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污染物名称</w:t>
            </w:r>
          </w:p>
        </w:tc>
        <w:tc>
          <w:tcPr>
            <w:tcW w:w="1716" w:type="pct"/>
            <w:gridSpan w:val="3"/>
            <w:vAlign w:val="center"/>
          </w:tcPr>
          <w:p w14:paraId="2BC1FD03">
            <w:pPr>
              <w:widowControl/>
              <w:spacing w:line="240" w:lineRule="auto"/>
              <w:ind w:firstLine="0" w:firstLineChars="0"/>
              <w:jc w:val="center"/>
              <w:textAlignment w:val="center"/>
              <w:rPr>
                <w:b/>
                <w:bCs/>
                <w:color w:val="auto"/>
                <w:kern w:val="0"/>
                <w:sz w:val="21"/>
                <w:szCs w:val="21"/>
                <w:lang w:bidi="ar"/>
              </w:rPr>
            </w:pPr>
            <w:r>
              <w:rPr>
                <w:rFonts w:hint="eastAsia"/>
                <w:b/>
                <w:bCs/>
                <w:color w:val="auto"/>
                <w:kern w:val="0"/>
                <w:sz w:val="21"/>
                <w:szCs w:val="21"/>
                <w:lang w:bidi="ar"/>
              </w:rPr>
              <w:t>废气</w:t>
            </w:r>
            <w:r>
              <w:rPr>
                <w:b/>
                <w:bCs/>
                <w:color w:val="auto"/>
                <w:kern w:val="0"/>
                <w:sz w:val="21"/>
                <w:szCs w:val="21"/>
                <w:lang w:bidi="ar"/>
              </w:rPr>
              <w:t>产生</w:t>
            </w:r>
            <w:r>
              <w:rPr>
                <w:rFonts w:hint="eastAsia"/>
                <w:b/>
                <w:bCs/>
                <w:color w:val="auto"/>
                <w:kern w:val="0"/>
                <w:sz w:val="21"/>
                <w:szCs w:val="21"/>
                <w:lang w:bidi="ar"/>
              </w:rPr>
              <w:t>量</w:t>
            </w:r>
          </w:p>
        </w:tc>
        <w:tc>
          <w:tcPr>
            <w:tcW w:w="846" w:type="pct"/>
            <w:vMerge w:val="restart"/>
            <w:vAlign w:val="center"/>
          </w:tcPr>
          <w:p w14:paraId="3766C17A">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有组织收集</w:t>
            </w:r>
          </w:p>
        </w:tc>
        <w:tc>
          <w:tcPr>
            <w:tcW w:w="868" w:type="pct"/>
            <w:vMerge w:val="restart"/>
            <w:vAlign w:val="center"/>
          </w:tcPr>
          <w:p w14:paraId="6021A259">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无组织排放</w:t>
            </w:r>
          </w:p>
        </w:tc>
      </w:tr>
      <w:tr w14:paraId="20FA8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568" w:type="pct"/>
            <w:gridSpan w:val="2"/>
            <w:vMerge w:val="continue"/>
            <w:vAlign w:val="center"/>
          </w:tcPr>
          <w:p w14:paraId="19546462">
            <w:pPr>
              <w:widowControl/>
              <w:spacing w:line="240" w:lineRule="auto"/>
              <w:ind w:firstLine="0" w:firstLineChars="0"/>
              <w:jc w:val="center"/>
              <w:textAlignment w:val="center"/>
              <w:rPr>
                <w:b/>
                <w:bCs/>
                <w:color w:val="auto"/>
                <w:kern w:val="0"/>
                <w:sz w:val="21"/>
                <w:szCs w:val="21"/>
                <w:lang w:bidi="ar"/>
              </w:rPr>
            </w:pPr>
          </w:p>
        </w:tc>
        <w:tc>
          <w:tcPr>
            <w:tcW w:w="606" w:type="pct"/>
            <w:vAlign w:val="center"/>
          </w:tcPr>
          <w:p w14:paraId="45424523">
            <w:pPr>
              <w:widowControl/>
              <w:spacing w:line="240" w:lineRule="auto"/>
              <w:ind w:firstLine="0" w:firstLineChars="0"/>
              <w:jc w:val="center"/>
              <w:textAlignment w:val="center"/>
              <w:rPr>
                <w:b/>
                <w:bCs/>
                <w:color w:val="auto"/>
                <w:kern w:val="0"/>
                <w:sz w:val="21"/>
                <w:szCs w:val="21"/>
                <w:lang w:bidi="ar"/>
              </w:rPr>
            </w:pPr>
            <w:r>
              <w:rPr>
                <w:rFonts w:hint="eastAsia"/>
                <w:b/>
                <w:bCs/>
                <w:color w:val="auto"/>
                <w:kern w:val="0"/>
                <w:sz w:val="21"/>
                <w:szCs w:val="21"/>
                <w:lang w:bidi="ar"/>
              </w:rPr>
              <w:t>大</w:t>
            </w:r>
            <w:r>
              <w:rPr>
                <w:b/>
                <w:bCs/>
                <w:color w:val="auto"/>
                <w:kern w:val="0"/>
                <w:sz w:val="21"/>
                <w:szCs w:val="21"/>
                <w:lang w:bidi="ar"/>
              </w:rPr>
              <w:t>呼吸</w:t>
            </w:r>
          </w:p>
        </w:tc>
        <w:tc>
          <w:tcPr>
            <w:tcW w:w="564" w:type="pct"/>
            <w:vAlign w:val="center"/>
          </w:tcPr>
          <w:p w14:paraId="65FBDFAB">
            <w:pPr>
              <w:widowControl/>
              <w:spacing w:line="240" w:lineRule="auto"/>
              <w:ind w:firstLine="0" w:firstLineChars="0"/>
              <w:jc w:val="center"/>
              <w:textAlignment w:val="center"/>
              <w:rPr>
                <w:b/>
                <w:bCs/>
                <w:color w:val="auto"/>
                <w:kern w:val="0"/>
                <w:sz w:val="21"/>
                <w:szCs w:val="21"/>
                <w:lang w:bidi="ar"/>
              </w:rPr>
            </w:pPr>
            <w:r>
              <w:rPr>
                <w:rFonts w:hint="eastAsia"/>
                <w:b/>
                <w:bCs/>
                <w:color w:val="auto"/>
                <w:kern w:val="0"/>
                <w:sz w:val="21"/>
                <w:szCs w:val="21"/>
                <w:lang w:bidi="ar"/>
              </w:rPr>
              <w:t>小</w:t>
            </w:r>
            <w:r>
              <w:rPr>
                <w:b/>
                <w:bCs/>
                <w:color w:val="auto"/>
                <w:kern w:val="0"/>
                <w:sz w:val="21"/>
                <w:szCs w:val="21"/>
                <w:lang w:bidi="ar"/>
              </w:rPr>
              <w:t>呼吸</w:t>
            </w:r>
          </w:p>
        </w:tc>
        <w:tc>
          <w:tcPr>
            <w:tcW w:w="545" w:type="pct"/>
            <w:vAlign w:val="center"/>
          </w:tcPr>
          <w:p w14:paraId="234CB127">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合计</w:t>
            </w:r>
          </w:p>
        </w:tc>
        <w:tc>
          <w:tcPr>
            <w:tcW w:w="846" w:type="pct"/>
            <w:vMerge w:val="continue"/>
            <w:vAlign w:val="center"/>
          </w:tcPr>
          <w:p w14:paraId="30B8BCFA">
            <w:pPr>
              <w:widowControl/>
              <w:spacing w:line="240" w:lineRule="auto"/>
              <w:ind w:firstLine="0" w:firstLineChars="0"/>
              <w:jc w:val="center"/>
              <w:textAlignment w:val="center"/>
              <w:rPr>
                <w:b/>
                <w:bCs/>
                <w:color w:val="auto"/>
                <w:kern w:val="0"/>
                <w:sz w:val="21"/>
                <w:szCs w:val="21"/>
                <w:lang w:bidi="ar"/>
              </w:rPr>
            </w:pPr>
          </w:p>
        </w:tc>
        <w:tc>
          <w:tcPr>
            <w:tcW w:w="868" w:type="pct"/>
            <w:vMerge w:val="continue"/>
            <w:vAlign w:val="center"/>
          </w:tcPr>
          <w:p w14:paraId="7171DD64">
            <w:pPr>
              <w:widowControl/>
              <w:spacing w:line="240" w:lineRule="auto"/>
              <w:ind w:firstLine="0" w:firstLineChars="0"/>
              <w:jc w:val="center"/>
              <w:textAlignment w:val="center"/>
              <w:rPr>
                <w:b/>
                <w:bCs/>
                <w:color w:val="auto"/>
                <w:kern w:val="0"/>
                <w:sz w:val="21"/>
                <w:szCs w:val="21"/>
                <w:lang w:bidi="ar"/>
              </w:rPr>
            </w:pPr>
          </w:p>
        </w:tc>
      </w:tr>
      <w:tr w14:paraId="4A570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69" w:type="pct"/>
            <w:vAlign w:val="center"/>
          </w:tcPr>
          <w:p w14:paraId="2A44CC94">
            <w:pPr>
              <w:widowControl/>
              <w:spacing w:line="240" w:lineRule="auto"/>
              <w:ind w:firstLine="0" w:firstLineChars="0"/>
              <w:jc w:val="center"/>
              <w:textAlignment w:val="center"/>
              <w:rPr>
                <w:color w:val="auto"/>
                <w:sz w:val="21"/>
                <w:szCs w:val="21"/>
              </w:rPr>
            </w:pPr>
            <w:r>
              <w:rPr>
                <w:rFonts w:hint="eastAsia" w:ascii="宋体" w:hAnsi="宋体" w:cs="宋体"/>
                <w:color w:val="auto"/>
                <w:kern w:val="0"/>
                <w:sz w:val="21"/>
                <w:szCs w:val="21"/>
                <w:lang w:bidi="ar"/>
              </w:rPr>
              <w:t>1#戊类罐区</w:t>
            </w:r>
          </w:p>
        </w:tc>
        <w:tc>
          <w:tcPr>
            <w:tcW w:w="699" w:type="pct"/>
            <w:vAlign w:val="center"/>
          </w:tcPr>
          <w:p w14:paraId="16625917">
            <w:pPr>
              <w:widowControl/>
              <w:spacing w:line="240" w:lineRule="auto"/>
              <w:ind w:firstLine="0" w:firstLineChars="0"/>
              <w:jc w:val="center"/>
              <w:textAlignment w:val="center"/>
              <w:rPr>
                <w:color w:val="auto"/>
                <w:sz w:val="21"/>
                <w:szCs w:val="21"/>
              </w:rPr>
            </w:pPr>
            <w:r>
              <w:rPr>
                <w:rFonts w:hint="eastAsia"/>
                <w:color w:val="auto"/>
                <w:sz w:val="21"/>
                <w:szCs w:val="21"/>
              </w:rPr>
              <w:t>氨</w:t>
            </w:r>
          </w:p>
        </w:tc>
        <w:tc>
          <w:tcPr>
            <w:tcW w:w="606" w:type="pct"/>
            <w:vAlign w:val="center"/>
          </w:tcPr>
          <w:p w14:paraId="713BE6CE">
            <w:pPr>
              <w:widowControl/>
              <w:spacing w:line="240" w:lineRule="auto"/>
              <w:ind w:firstLine="0" w:firstLineChars="0"/>
              <w:jc w:val="center"/>
              <w:textAlignment w:val="center"/>
              <w:rPr>
                <w:color w:val="auto"/>
                <w:sz w:val="21"/>
                <w:szCs w:val="21"/>
              </w:rPr>
            </w:pPr>
            <w:r>
              <w:rPr>
                <w:color w:val="auto"/>
                <w:kern w:val="0"/>
                <w:sz w:val="21"/>
                <w:szCs w:val="21"/>
                <w:lang w:bidi="ar"/>
              </w:rPr>
              <w:t>0.</w:t>
            </w:r>
            <w:r>
              <w:rPr>
                <w:rFonts w:hint="eastAsia"/>
                <w:color w:val="auto"/>
                <w:kern w:val="0"/>
                <w:sz w:val="21"/>
                <w:szCs w:val="21"/>
                <w:lang w:bidi="ar"/>
              </w:rPr>
              <w:t>027</w:t>
            </w:r>
          </w:p>
        </w:tc>
        <w:tc>
          <w:tcPr>
            <w:tcW w:w="564" w:type="pct"/>
            <w:vAlign w:val="center"/>
          </w:tcPr>
          <w:p w14:paraId="6862EFD1">
            <w:pPr>
              <w:widowControl/>
              <w:spacing w:line="240" w:lineRule="auto"/>
              <w:ind w:firstLine="0" w:firstLineChars="0"/>
              <w:jc w:val="center"/>
              <w:textAlignment w:val="center"/>
              <w:rPr>
                <w:color w:val="auto"/>
                <w:sz w:val="21"/>
                <w:szCs w:val="21"/>
              </w:rPr>
            </w:pPr>
            <w:r>
              <w:rPr>
                <w:color w:val="auto"/>
                <w:kern w:val="0"/>
                <w:sz w:val="21"/>
                <w:szCs w:val="21"/>
                <w:lang w:bidi="ar"/>
              </w:rPr>
              <w:t>0.066</w:t>
            </w:r>
          </w:p>
        </w:tc>
        <w:tc>
          <w:tcPr>
            <w:tcW w:w="545" w:type="pct"/>
            <w:vAlign w:val="center"/>
          </w:tcPr>
          <w:p w14:paraId="3EF38B5B">
            <w:pPr>
              <w:widowControl/>
              <w:spacing w:line="240" w:lineRule="auto"/>
              <w:ind w:firstLine="0" w:firstLineChars="0"/>
              <w:jc w:val="center"/>
              <w:textAlignment w:val="center"/>
              <w:rPr>
                <w:color w:val="auto"/>
                <w:sz w:val="21"/>
                <w:szCs w:val="21"/>
              </w:rPr>
            </w:pPr>
            <w:r>
              <w:rPr>
                <w:color w:val="auto"/>
                <w:kern w:val="0"/>
                <w:sz w:val="21"/>
                <w:szCs w:val="21"/>
                <w:lang w:bidi="ar"/>
              </w:rPr>
              <w:t>0.</w:t>
            </w:r>
            <w:r>
              <w:rPr>
                <w:rFonts w:hint="eastAsia"/>
                <w:color w:val="auto"/>
                <w:kern w:val="0"/>
                <w:sz w:val="21"/>
                <w:szCs w:val="21"/>
                <w:lang w:bidi="ar"/>
              </w:rPr>
              <w:t>094</w:t>
            </w:r>
          </w:p>
        </w:tc>
        <w:tc>
          <w:tcPr>
            <w:tcW w:w="846" w:type="pct"/>
            <w:vAlign w:val="center"/>
          </w:tcPr>
          <w:p w14:paraId="279F6100">
            <w:pPr>
              <w:widowControl/>
              <w:spacing w:line="240" w:lineRule="auto"/>
              <w:ind w:firstLine="0" w:firstLineChars="0"/>
              <w:jc w:val="center"/>
              <w:textAlignment w:val="center"/>
              <w:rPr>
                <w:color w:val="auto"/>
                <w:sz w:val="21"/>
                <w:szCs w:val="21"/>
              </w:rPr>
            </w:pPr>
            <w:r>
              <w:rPr>
                <w:color w:val="auto"/>
                <w:kern w:val="0"/>
                <w:sz w:val="21"/>
                <w:szCs w:val="21"/>
                <w:lang w:bidi="ar"/>
              </w:rPr>
              <w:t>0.</w:t>
            </w:r>
            <w:r>
              <w:rPr>
                <w:rFonts w:hint="eastAsia"/>
                <w:color w:val="auto"/>
                <w:kern w:val="0"/>
                <w:sz w:val="21"/>
                <w:szCs w:val="21"/>
                <w:lang w:bidi="ar"/>
              </w:rPr>
              <w:t>093</w:t>
            </w:r>
          </w:p>
        </w:tc>
        <w:tc>
          <w:tcPr>
            <w:tcW w:w="868" w:type="pct"/>
            <w:vAlign w:val="center"/>
          </w:tcPr>
          <w:p w14:paraId="6276AF78">
            <w:pPr>
              <w:widowControl/>
              <w:spacing w:line="240" w:lineRule="auto"/>
              <w:ind w:firstLine="0" w:firstLineChars="0"/>
              <w:jc w:val="center"/>
              <w:textAlignment w:val="center"/>
              <w:rPr>
                <w:color w:val="auto"/>
                <w:sz w:val="21"/>
                <w:szCs w:val="21"/>
              </w:rPr>
            </w:pPr>
            <w:r>
              <w:rPr>
                <w:color w:val="auto"/>
                <w:kern w:val="0"/>
                <w:sz w:val="21"/>
                <w:szCs w:val="21"/>
                <w:lang w:bidi="ar"/>
              </w:rPr>
              <w:t>0.0</w:t>
            </w:r>
            <w:r>
              <w:rPr>
                <w:rFonts w:hint="eastAsia"/>
                <w:color w:val="auto"/>
                <w:kern w:val="0"/>
                <w:sz w:val="21"/>
                <w:szCs w:val="21"/>
                <w:lang w:bidi="ar"/>
              </w:rPr>
              <w:t>01</w:t>
            </w:r>
          </w:p>
        </w:tc>
      </w:tr>
    </w:tbl>
    <w:p w14:paraId="490D4702">
      <w:pPr>
        <w:ind w:firstLine="480"/>
        <w:rPr>
          <w:rFonts w:hint="eastAsia" w:hAnsi="宋体"/>
          <w:color w:val="auto"/>
        </w:rPr>
      </w:pPr>
      <w:r>
        <w:rPr>
          <w:rFonts w:hint="eastAsia" w:hAnsi="宋体"/>
          <w:color w:val="auto"/>
        </w:rPr>
        <w:t>氨水储罐大小呼吸废气经罐顶呼吸阀，依靠罐内微正压密闭输送至罐顶废气吸收塔，收集效率按99%计，未收集部分无组织排放。</w:t>
      </w:r>
    </w:p>
    <w:p w14:paraId="16E0409C">
      <w:pPr>
        <w:pStyle w:val="5"/>
        <w:tabs>
          <w:tab w:val="left" w:pos="2145"/>
        </w:tabs>
        <w:spacing w:before="156" w:line="500" w:lineRule="atLeast"/>
        <w:rPr>
          <w:color w:val="auto"/>
        </w:rPr>
      </w:pPr>
      <w:r>
        <w:rPr>
          <w:rFonts w:hint="eastAsia"/>
          <w:color w:val="auto"/>
        </w:rPr>
        <w:t>4.6.2.4</w:t>
      </w:r>
      <w:r>
        <w:rPr>
          <w:color w:val="auto"/>
        </w:rPr>
        <w:t>新增交通运输移动源废气</w:t>
      </w:r>
    </w:p>
    <w:p w14:paraId="341B4F47">
      <w:pPr>
        <w:ind w:firstLine="480"/>
        <w:rPr>
          <w:rFonts w:hint="eastAsia" w:hAnsi="宋体"/>
          <w:color w:val="auto"/>
        </w:rPr>
      </w:pPr>
      <w:r>
        <w:rPr>
          <w:rFonts w:hint="eastAsia" w:hAnsi="宋体"/>
          <w:color w:val="auto"/>
        </w:rPr>
        <w:t>本工程原辅材料采用汽车运输，根据本工程原辅材料使用量及产品新增量，拟建项目汽运量约76307t/a，按照重型柴油货车运输（按50t载重量计），约新增年运输流量1527次，汽运距离按100km/次计，增加的总汽运距离约152700km。重型柴油货车污染物排放系数来源于《道路机动车大气污染物排放清单编制技术指南》。拟建项目交通运输移动源废气产生情况见下表。</w:t>
      </w:r>
    </w:p>
    <w:p w14:paraId="16BD2FE3">
      <w:pPr>
        <w:pStyle w:val="49"/>
        <w:rPr>
          <w:color w:val="auto"/>
        </w:rPr>
      </w:pPr>
      <w:r>
        <w:rPr>
          <w:color w:val="auto"/>
        </w:rPr>
        <w:t>表</w:t>
      </w:r>
      <w:r>
        <w:rPr>
          <w:rFonts w:hint="eastAsia"/>
          <w:color w:val="auto"/>
        </w:rPr>
        <w:t xml:space="preserve">3.7.2-10  </w:t>
      </w:r>
      <w:r>
        <w:rPr>
          <w:color w:val="auto"/>
        </w:rPr>
        <w:t>本工程交通运输移动源废气产生情况</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36" w:type="dxa"/>
          <w:left w:w="0" w:type="dxa"/>
          <w:bottom w:w="7" w:type="dxa"/>
          <w:right w:w="0" w:type="dxa"/>
        </w:tblCellMar>
      </w:tblPr>
      <w:tblGrid>
        <w:gridCol w:w="2422"/>
        <w:gridCol w:w="3026"/>
        <w:gridCol w:w="4190"/>
      </w:tblGrid>
      <w:tr w14:paraId="2254A7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36" w:type="dxa"/>
            <w:left w:w="0" w:type="dxa"/>
            <w:bottom w:w="7" w:type="dxa"/>
            <w:right w:w="0" w:type="dxa"/>
          </w:tblCellMar>
        </w:tblPrEx>
        <w:trPr>
          <w:cantSplit/>
          <w:trHeight w:val="142" w:hRule="atLeast"/>
          <w:jc w:val="center"/>
        </w:trPr>
        <w:tc>
          <w:tcPr>
            <w:tcW w:w="1256" w:type="pct"/>
            <w:tcBorders>
              <w:tl2br w:val="nil"/>
              <w:tr2bl w:val="nil"/>
            </w:tcBorders>
            <w:vAlign w:val="center"/>
          </w:tcPr>
          <w:p w14:paraId="72E2C9D0">
            <w:pPr>
              <w:spacing w:line="240" w:lineRule="auto"/>
              <w:ind w:firstLine="0" w:firstLineChars="0"/>
              <w:jc w:val="center"/>
              <w:rPr>
                <w:b/>
                <w:bCs/>
                <w:color w:val="auto"/>
                <w:sz w:val="21"/>
                <w:szCs w:val="21"/>
              </w:rPr>
            </w:pPr>
            <w:r>
              <w:rPr>
                <w:b/>
                <w:bCs/>
                <w:color w:val="auto"/>
                <w:sz w:val="21"/>
                <w:szCs w:val="21"/>
              </w:rPr>
              <w:t>项目</w:t>
            </w:r>
          </w:p>
        </w:tc>
        <w:tc>
          <w:tcPr>
            <w:tcW w:w="1569" w:type="pct"/>
            <w:tcBorders>
              <w:tl2br w:val="nil"/>
              <w:tr2bl w:val="nil"/>
            </w:tcBorders>
            <w:vAlign w:val="center"/>
          </w:tcPr>
          <w:p w14:paraId="0165332B">
            <w:pPr>
              <w:spacing w:line="240" w:lineRule="auto"/>
              <w:ind w:firstLine="0" w:firstLineChars="0"/>
              <w:jc w:val="center"/>
              <w:rPr>
                <w:b/>
                <w:bCs/>
                <w:color w:val="auto"/>
                <w:sz w:val="21"/>
                <w:szCs w:val="21"/>
              </w:rPr>
            </w:pPr>
            <w:r>
              <w:rPr>
                <w:b/>
                <w:bCs/>
                <w:color w:val="auto"/>
                <w:sz w:val="21"/>
                <w:szCs w:val="21"/>
              </w:rPr>
              <w:t>污染物排放系数（g/km）</w:t>
            </w:r>
          </w:p>
        </w:tc>
        <w:tc>
          <w:tcPr>
            <w:tcW w:w="2173" w:type="pct"/>
            <w:tcBorders>
              <w:tl2br w:val="nil"/>
              <w:tr2bl w:val="nil"/>
            </w:tcBorders>
            <w:vAlign w:val="center"/>
          </w:tcPr>
          <w:p w14:paraId="22689CD0">
            <w:pPr>
              <w:spacing w:line="240" w:lineRule="auto"/>
              <w:ind w:firstLine="0" w:firstLineChars="0"/>
              <w:jc w:val="center"/>
              <w:rPr>
                <w:b/>
                <w:bCs/>
                <w:color w:val="auto"/>
                <w:sz w:val="21"/>
                <w:szCs w:val="21"/>
              </w:rPr>
            </w:pPr>
            <w:r>
              <w:rPr>
                <w:b/>
                <w:bCs/>
                <w:color w:val="auto"/>
                <w:sz w:val="21"/>
                <w:szCs w:val="21"/>
              </w:rPr>
              <w:t>污染物排放量/t</w:t>
            </w:r>
          </w:p>
        </w:tc>
      </w:tr>
      <w:tr w14:paraId="71686A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36" w:type="dxa"/>
            <w:left w:w="0" w:type="dxa"/>
            <w:bottom w:w="7" w:type="dxa"/>
            <w:right w:w="0" w:type="dxa"/>
          </w:tblCellMar>
        </w:tblPrEx>
        <w:trPr>
          <w:cantSplit/>
          <w:trHeight w:val="119" w:hRule="atLeast"/>
          <w:jc w:val="center"/>
        </w:trPr>
        <w:tc>
          <w:tcPr>
            <w:tcW w:w="1256" w:type="pct"/>
            <w:tcBorders>
              <w:tl2br w:val="nil"/>
              <w:tr2bl w:val="nil"/>
            </w:tcBorders>
            <w:vAlign w:val="center"/>
          </w:tcPr>
          <w:p w14:paraId="249CCB50">
            <w:pPr>
              <w:spacing w:line="240" w:lineRule="auto"/>
              <w:ind w:firstLine="0" w:firstLineChars="0"/>
              <w:jc w:val="center"/>
              <w:rPr>
                <w:color w:val="auto"/>
                <w:sz w:val="21"/>
                <w:szCs w:val="21"/>
              </w:rPr>
            </w:pPr>
            <w:r>
              <w:rPr>
                <w:color w:val="auto"/>
                <w:sz w:val="21"/>
                <w:szCs w:val="21"/>
              </w:rPr>
              <w:t>CO</w:t>
            </w:r>
          </w:p>
        </w:tc>
        <w:tc>
          <w:tcPr>
            <w:tcW w:w="1569" w:type="pct"/>
            <w:tcBorders>
              <w:tl2br w:val="nil"/>
              <w:tr2bl w:val="nil"/>
            </w:tcBorders>
            <w:vAlign w:val="center"/>
          </w:tcPr>
          <w:p w14:paraId="2E3072E0">
            <w:pPr>
              <w:widowControl/>
              <w:spacing w:line="240" w:lineRule="auto"/>
              <w:ind w:firstLine="0" w:firstLineChars="0"/>
              <w:jc w:val="center"/>
              <w:textAlignment w:val="center"/>
              <w:rPr>
                <w:color w:val="auto"/>
                <w:sz w:val="21"/>
                <w:szCs w:val="21"/>
              </w:rPr>
            </w:pPr>
            <w:r>
              <w:rPr>
                <w:color w:val="auto"/>
                <w:kern w:val="0"/>
                <w:sz w:val="21"/>
                <w:szCs w:val="21"/>
                <w:lang w:bidi="ar"/>
              </w:rPr>
              <w:t>2.2</w:t>
            </w:r>
          </w:p>
        </w:tc>
        <w:tc>
          <w:tcPr>
            <w:tcW w:w="3612" w:type="dxa"/>
            <w:tcBorders>
              <w:tl2br w:val="nil"/>
              <w:tr2bl w:val="nil"/>
            </w:tcBorders>
            <w:vAlign w:val="center"/>
          </w:tcPr>
          <w:p w14:paraId="13B3BD0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0.336</w:t>
            </w:r>
          </w:p>
        </w:tc>
      </w:tr>
      <w:tr w14:paraId="7E6512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36" w:type="dxa"/>
            <w:left w:w="0" w:type="dxa"/>
            <w:bottom w:w="7" w:type="dxa"/>
            <w:right w:w="0" w:type="dxa"/>
          </w:tblCellMar>
        </w:tblPrEx>
        <w:trPr>
          <w:cantSplit/>
          <w:trHeight w:val="119" w:hRule="atLeast"/>
          <w:jc w:val="center"/>
        </w:trPr>
        <w:tc>
          <w:tcPr>
            <w:tcW w:w="1256" w:type="pct"/>
            <w:tcBorders>
              <w:tl2br w:val="nil"/>
              <w:tr2bl w:val="nil"/>
            </w:tcBorders>
            <w:vAlign w:val="center"/>
          </w:tcPr>
          <w:p w14:paraId="4DC52A51">
            <w:pPr>
              <w:spacing w:line="240" w:lineRule="auto"/>
              <w:ind w:firstLine="0" w:firstLineChars="0"/>
              <w:jc w:val="center"/>
              <w:rPr>
                <w:color w:val="auto"/>
                <w:sz w:val="21"/>
                <w:szCs w:val="21"/>
              </w:rPr>
            </w:pPr>
            <w:r>
              <w:rPr>
                <w:color w:val="auto"/>
                <w:sz w:val="21"/>
                <w:szCs w:val="21"/>
              </w:rPr>
              <w:t>HC</w:t>
            </w:r>
          </w:p>
        </w:tc>
        <w:tc>
          <w:tcPr>
            <w:tcW w:w="1569" w:type="pct"/>
            <w:tcBorders>
              <w:tl2br w:val="nil"/>
              <w:tr2bl w:val="nil"/>
            </w:tcBorders>
            <w:vAlign w:val="center"/>
          </w:tcPr>
          <w:p w14:paraId="1FF55466">
            <w:pPr>
              <w:widowControl/>
              <w:spacing w:line="240" w:lineRule="auto"/>
              <w:ind w:firstLine="0" w:firstLineChars="0"/>
              <w:jc w:val="center"/>
              <w:textAlignment w:val="center"/>
              <w:rPr>
                <w:color w:val="auto"/>
                <w:sz w:val="21"/>
                <w:szCs w:val="21"/>
              </w:rPr>
            </w:pPr>
            <w:r>
              <w:rPr>
                <w:color w:val="auto"/>
                <w:kern w:val="0"/>
                <w:sz w:val="21"/>
                <w:szCs w:val="21"/>
                <w:lang w:bidi="ar"/>
              </w:rPr>
              <w:t>0.129</w:t>
            </w:r>
          </w:p>
        </w:tc>
        <w:tc>
          <w:tcPr>
            <w:tcW w:w="3612" w:type="dxa"/>
            <w:tcBorders>
              <w:tl2br w:val="nil"/>
              <w:tr2bl w:val="nil"/>
            </w:tcBorders>
            <w:vAlign w:val="center"/>
          </w:tcPr>
          <w:p w14:paraId="21B380E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0.020</w:t>
            </w:r>
          </w:p>
        </w:tc>
      </w:tr>
      <w:tr w14:paraId="0DE9F5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36" w:type="dxa"/>
            <w:left w:w="0" w:type="dxa"/>
            <w:bottom w:w="7" w:type="dxa"/>
            <w:right w:w="0" w:type="dxa"/>
          </w:tblCellMar>
        </w:tblPrEx>
        <w:trPr>
          <w:cantSplit/>
          <w:trHeight w:val="119" w:hRule="atLeast"/>
          <w:jc w:val="center"/>
        </w:trPr>
        <w:tc>
          <w:tcPr>
            <w:tcW w:w="1256" w:type="pct"/>
            <w:tcBorders>
              <w:tl2br w:val="nil"/>
              <w:tr2bl w:val="nil"/>
            </w:tcBorders>
            <w:vAlign w:val="center"/>
          </w:tcPr>
          <w:p w14:paraId="0680F11D">
            <w:pPr>
              <w:spacing w:line="240" w:lineRule="auto"/>
              <w:ind w:firstLine="0" w:firstLineChars="0"/>
              <w:jc w:val="center"/>
              <w:rPr>
                <w:color w:val="auto"/>
                <w:sz w:val="21"/>
                <w:szCs w:val="21"/>
              </w:rPr>
            </w:pPr>
            <w:r>
              <w:rPr>
                <w:color w:val="auto"/>
                <w:sz w:val="21"/>
                <w:szCs w:val="21"/>
              </w:rPr>
              <w:t>NOx</w:t>
            </w:r>
          </w:p>
        </w:tc>
        <w:tc>
          <w:tcPr>
            <w:tcW w:w="1569" w:type="pct"/>
            <w:tcBorders>
              <w:tl2br w:val="nil"/>
              <w:tr2bl w:val="nil"/>
            </w:tcBorders>
            <w:vAlign w:val="center"/>
          </w:tcPr>
          <w:p w14:paraId="1BAE8F6C">
            <w:pPr>
              <w:widowControl/>
              <w:spacing w:line="240" w:lineRule="auto"/>
              <w:ind w:firstLine="0" w:firstLineChars="0"/>
              <w:jc w:val="center"/>
              <w:textAlignment w:val="center"/>
              <w:rPr>
                <w:color w:val="auto"/>
                <w:sz w:val="21"/>
                <w:szCs w:val="21"/>
              </w:rPr>
            </w:pPr>
            <w:r>
              <w:rPr>
                <w:color w:val="auto"/>
                <w:kern w:val="0"/>
                <w:sz w:val="21"/>
                <w:szCs w:val="21"/>
                <w:lang w:bidi="ar"/>
              </w:rPr>
              <w:t>4.721</w:t>
            </w:r>
          </w:p>
        </w:tc>
        <w:tc>
          <w:tcPr>
            <w:tcW w:w="3612" w:type="dxa"/>
            <w:tcBorders>
              <w:tl2br w:val="nil"/>
              <w:tr2bl w:val="nil"/>
            </w:tcBorders>
            <w:vAlign w:val="center"/>
          </w:tcPr>
          <w:p w14:paraId="12C0EA5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0.721</w:t>
            </w:r>
          </w:p>
        </w:tc>
      </w:tr>
      <w:tr w14:paraId="146155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36" w:type="dxa"/>
            <w:left w:w="0" w:type="dxa"/>
            <w:bottom w:w="7" w:type="dxa"/>
            <w:right w:w="0" w:type="dxa"/>
          </w:tblCellMar>
        </w:tblPrEx>
        <w:trPr>
          <w:cantSplit/>
          <w:trHeight w:val="132" w:hRule="atLeast"/>
          <w:jc w:val="center"/>
        </w:trPr>
        <w:tc>
          <w:tcPr>
            <w:tcW w:w="1256" w:type="pct"/>
            <w:tcBorders>
              <w:tl2br w:val="nil"/>
              <w:tr2bl w:val="nil"/>
            </w:tcBorders>
            <w:vAlign w:val="center"/>
          </w:tcPr>
          <w:p w14:paraId="637176B4">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1569" w:type="pct"/>
            <w:tcBorders>
              <w:tl2br w:val="nil"/>
              <w:tr2bl w:val="nil"/>
            </w:tcBorders>
            <w:vAlign w:val="center"/>
          </w:tcPr>
          <w:p w14:paraId="12E3BFEB">
            <w:pPr>
              <w:widowControl/>
              <w:spacing w:line="240" w:lineRule="auto"/>
              <w:ind w:firstLine="0" w:firstLineChars="0"/>
              <w:jc w:val="center"/>
              <w:textAlignment w:val="center"/>
              <w:rPr>
                <w:color w:val="auto"/>
                <w:sz w:val="21"/>
                <w:szCs w:val="21"/>
              </w:rPr>
            </w:pPr>
            <w:r>
              <w:rPr>
                <w:color w:val="auto"/>
                <w:kern w:val="0"/>
                <w:sz w:val="21"/>
                <w:szCs w:val="21"/>
                <w:lang w:bidi="ar"/>
              </w:rPr>
              <w:t>0.03</w:t>
            </w:r>
          </w:p>
        </w:tc>
        <w:tc>
          <w:tcPr>
            <w:tcW w:w="3612" w:type="dxa"/>
            <w:tcBorders>
              <w:tl2br w:val="nil"/>
              <w:tr2bl w:val="nil"/>
            </w:tcBorders>
            <w:vAlign w:val="center"/>
          </w:tcPr>
          <w:p w14:paraId="46465CC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0.005</w:t>
            </w:r>
          </w:p>
        </w:tc>
      </w:tr>
    </w:tbl>
    <w:p w14:paraId="7839C583">
      <w:pPr>
        <w:ind w:firstLine="480"/>
        <w:rPr>
          <w:color w:val="auto"/>
        </w:rPr>
        <w:sectPr>
          <w:pgSz w:w="11906" w:h="16838"/>
          <w:pgMar w:top="1134" w:right="1134" w:bottom="1134" w:left="1134" w:header="851" w:footer="992" w:gutter="0"/>
          <w:cols w:space="425" w:num="1"/>
          <w:docGrid w:type="lines" w:linePitch="312" w:charSpace="0"/>
        </w:sectPr>
      </w:pPr>
    </w:p>
    <w:p w14:paraId="7524317E">
      <w:pPr>
        <w:pStyle w:val="4"/>
        <w:rPr>
          <w:color w:val="auto"/>
        </w:rPr>
      </w:pPr>
      <w:bookmarkStart w:id="148" w:name="_Toc8701"/>
      <w:r>
        <w:rPr>
          <w:rFonts w:hint="eastAsia"/>
          <w:color w:val="auto"/>
        </w:rPr>
        <w:t>4.6.3</w:t>
      </w:r>
      <w:r>
        <w:rPr>
          <w:color w:val="auto"/>
        </w:rPr>
        <w:t>噪声</w:t>
      </w:r>
      <w:bookmarkEnd w:id="148"/>
    </w:p>
    <w:p w14:paraId="349878EA">
      <w:pPr>
        <w:ind w:firstLine="480"/>
        <w:rPr>
          <w:rFonts w:hint="eastAsia" w:hAnsi="宋体"/>
          <w:color w:val="auto"/>
        </w:rPr>
        <w:sectPr>
          <w:pgSz w:w="11906" w:h="16838"/>
          <w:pgMar w:top="1134" w:right="1134" w:bottom="1134" w:left="1134" w:header="851" w:footer="992" w:gutter="0"/>
          <w:cols w:space="425" w:num="1"/>
          <w:docGrid w:type="lines" w:linePitch="312" w:charSpace="0"/>
        </w:sectPr>
      </w:pPr>
      <w:bookmarkStart w:id="149" w:name="_Hlk34924594"/>
      <w:r>
        <w:rPr>
          <w:rFonts w:hint="eastAsia" w:hAnsi="宋体"/>
          <w:color w:val="auto"/>
        </w:rPr>
        <w:t>拟建项目主要生产设备、公辅设施、环保设施均依托现有，不新增生产设备。</w:t>
      </w:r>
      <w:bookmarkEnd w:id="149"/>
    </w:p>
    <w:p w14:paraId="24A47213">
      <w:pPr>
        <w:pStyle w:val="4"/>
        <w:rPr>
          <w:color w:val="auto"/>
        </w:rPr>
      </w:pPr>
      <w:bookmarkStart w:id="150" w:name="_Toc17565"/>
      <w:r>
        <w:rPr>
          <w:rFonts w:hint="eastAsia"/>
          <w:color w:val="auto"/>
        </w:rPr>
        <w:t>4.6.4固体废物</w:t>
      </w:r>
      <w:bookmarkEnd w:id="150"/>
    </w:p>
    <w:p w14:paraId="7CFEB7DE">
      <w:pPr>
        <w:ind w:firstLine="480"/>
        <w:rPr>
          <w:rFonts w:hint="eastAsia" w:hAnsi="宋体"/>
          <w:color w:val="auto"/>
        </w:rPr>
      </w:pPr>
      <w:r>
        <w:rPr>
          <w:rFonts w:hAnsi="宋体"/>
          <w:color w:val="auto"/>
        </w:rPr>
        <w:t>1、固体废物属性判定</w:t>
      </w:r>
    </w:p>
    <w:p w14:paraId="4C8A8304">
      <w:pPr>
        <w:ind w:firstLine="480"/>
        <w:rPr>
          <w:rFonts w:hint="eastAsia" w:hAnsi="宋体"/>
          <w:color w:val="auto"/>
        </w:rPr>
      </w:pPr>
      <w:r>
        <w:rPr>
          <w:rFonts w:hAnsi="宋体"/>
          <w:color w:val="auto"/>
        </w:rPr>
        <w:t>根据《中华人民共和国固体废物污染环境防治法》、《固体废物鉴别标准 通则》（GB3433-2025）、《国家危险废物名录》（2025年），判断拟建项目生产过程中产生的副产物是否属于固体废物。</w:t>
      </w:r>
    </w:p>
    <w:p w14:paraId="4D32D61F">
      <w:pPr>
        <w:ind w:firstLine="480"/>
        <w:rPr>
          <w:rFonts w:hint="eastAsia" w:hAnsi="宋体"/>
          <w:color w:val="auto"/>
        </w:rPr>
      </w:pPr>
      <w:r>
        <w:rPr>
          <w:rFonts w:hAnsi="宋体"/>
          <w:color w:val="auto"/>
        </w:rPr>
        <w:t>2、危险废物判定</w:t>
      </w:r>
    </w:p>
    <w:p w14:paraId="6C22DFEA">
      <w:pPr>
        <w:ind w:firstLine="480"/>
        <w:rPr>
          <w:rFonts w:hint="eastAsia" w:hAnsi="宋体"/>
          <w:color w:val="auto"/>
        </w:rPr>
      </w:pPr>
      <w:r>
        <w:rPr>
          <w:rFonts w:hAnsi="宋体"/>
          <w:color w:val="auto"/>
        </w:rPr>
        <w:t>根据《国家危险废物名录》以及《危险废物鉴别标准 通则》（GB5085.7-2019），判定建设项目的固体废物是否属于危险废物，具体判定结果见表3.7-12。</w:t>
      </w:r>
    </w:p>
    <w:p w14:paraId="4E994377">
      <w:pPr>
        <w:ind w:firstLine="480"/>
        <w:rPr>
          <w:rFonts w:hint="eastAsia" w:hAnsi="宋体"/>
          <w:color w:val="auto"/>
        </w:rPr>
      </w:pPr>
      <w:r>
        <w:rPr>
          <w:rFonts w:hAnsi="宋体"/>
          <w:color w:val="auto"/>
        </w:rPr>
        <w:t>3、固体废物分析情况汇总</w:t>
      </w:r>
    </w:p>
    <w:p w14:paraId="7C10739D">
      <w:pPr>
        <w:ind w:firstLine="480"/>
        <w:rPr>
          <w:rFonts w:hint="eastAsia" w:hAnsi="宋体"/>
          <w:color w:val="auto"/>
        </w:rPr>
      </w:pPr>
      <w:r>
        <w:rPr>
          <w:rFonts w:hint="eastAsia" w:hAnsi="宋体"/>
          <w:color w:val="auto"/>
        </w:rPr>
        <w:t>根据物料平衡，拟建项目不产生工艺固废。</w:t>
      </w:r>
    </w:p>
    <w:p w14:paraId="3E80E1B2">
      <w:pPr>
        <w:ind w:firstLine="480"/>
        <w:rPr>
          <w:rFonts w:hint="eastAsia" w:hAnsi="宋体"/>
          <w:color w:val="auto"/>
        </w:rPr>
      </w:pPr>
      <w:r>
        <w:rPr>
          <w:rFonts w:hint="eastAsia" w:hAnsi="宋体"/>
          <w:color w:val="auto"/>
        </w:rPr>
        <w:t>（1）</w:t>
      </w:r>
      <w:r>
        <w:rPr>
          <w:rFonts w:hAnsi="宋体"/>
          <w:color w:val="auto"/>
        </w:rPr>
        <w:t>废过滤材料</w:t>
      </w:r>
    </w:p>
    <w:p w14:paraId="680CFD5C">
      <w:pPr>
        <w:ind w:firstLine="480"/>
        <w:rPr>
          <w:rFonts w:hint="eastAsia" w:hAnsi="宋体"/>
          <w:color w:val="auto"/>
        </w:rPr>
      </w:pPr>
      <w:r>
        <w:rPr>
          <w:rFonts w:hint="eastAsia" w:hAnsi="宋体"/>
          <w:color w:val="auto"/>
        </w:rPr>
        <w:t>拟建</w:t>
      </w:r>
      <w:r>
        <w:rPr>
          <w:rFonts w:hAnsi="宋体"/>
          <w:color w:val="auto"/>
        </w:rPr>
        <w:t>过滤工艺中会产生废滤袋、滤网，根据建设单位提供的资料，新增量</w:t>
      </w:r>
      <w:r>
        <w:rPr>
          <w:rFonts w:hint="eastAsia" w:hAnsi="宋体"/>
          <w:color w:val="auto"/>
        </w:rPr>
        <w:t>大约1.54t/a</w:t>
      </w:r>
      <w:r>
        <w:rPr>
          <w:rFonts w:hAnsi="宋体"/>
          <w:color w:val="auto"/>
        </w:rPr>
        <w:t>。</w:t>
      </w:r>
    </w:p>
    <w:p w14:paraId="1C827B18">
      <w:pPr>
        <w:ind w:firstLine="480"/>
        <w:rPr>
          <w:rFonts w:hint="eastAsia" w:hAnsi="宋体"/>
          <w:color w:val="auto"/>
        </w:rPr>
      </w:pPr>
      <w:r>
        <w:rPr>
          <w:rFonts w:hint="eastAsia" w:hAnsi="宋体"/>
          <w:color w:val="auto"/>
        </w:rPr>
        <w:t>（2）废包装桶</w:t>
      </w:r>
    </w:p>
    <w:p w14:paraId="276C0B01">
      <w:pPr>
        <w:ind w:firstLine="480"/>
        <w:rPr>
          <w:rFonts w:hint="eastAsia" w:hAnsi="宋体"/>
          <w:color w:val="auto"/>
        </w:rPr>
      </w:pPr>
      <w:r>
        <w:rPr>
          <w:rFonts w:hint="eastAsia" w:hAnsi="宋体"/>
          <w:color w:val="auto"/>
        </w:rPr>
        <w:t>拟建新增原料产生废包装材料，根据建设单位提供的资料，新增量约10t/a，此类废包装袋和废包装桶均用来装化学原料和废液，收集后暂存于危废暂存库，定期委托有资质单位处置。</w:t>
      </w:r>
    </w:p>
    <w:p w14:paraId="70E5E2B8">
      <w:pPr>
        <w:ind w:firstLine="480"/>
        <w:rPr>
          <w:rFonts w:hint="eastAsia" w:hAnsi="宋体"/>
          <w:color w:val="auto"/>
        </w:rPr>
      </w:pPr>
      <w:r>
        <w:rPr>
          <w:rFonts w:hint="eastAsia" w:hAnsi="宋体"/>
          <w:color w:val="auto"/>
        </w:rPr>
        <w:t>（3）</w:t>
      </w:r>
      <w:r>
        <w:rPr>
          <w:rFonts w:hAnsi="宋体"/>
          <w:color w:val="auto"/>
        </w:rPr>
        <w:t>废RO膜</w:t>
      </w:r>
    </w:p>
    <w:p w14:paraId="65971B9E">
      <w:pPr>
        <w:ind w:firstLine="480"/>
        <w:rPr>
          <w:rFonts w:hint="eastAsia" w:hAnsi="宋体"/>
          <w:color w:val="auto"/>
        </w:rPr>
      </w:pPr>
      <w:r>
        <w:rPr>
          <w:rFonts w:hint="eastAsia" w:hAnsi="宋体"/>
          <w:color w:val="auto"/>
        </w:rPr>
        <w:t>拟建</w:t>
      </w:r>
      <w:r>
        <w:rPr>
          <w:rFonts w:hAnsi="宋体"/>
          <w:color w:val="auto"/>
        </w:rPr>
        <w:t>纯水制备RO膜由设备厂家定期更换，年更换量为</w:t>
      </w:r>
      <w:r>
        <w:rPr>
          <w:rFonts w:hint="eastAsia" w:hAnsi="宋体"/>
          <w:color w:val="auto"/>
        </w:rPr>
        <w:t>2t/a</w:t>
      </w:r>
      <w:r>
        <w:rPr>
          <w:rFonts w:hAnsi="宋体"/>
          <w:color w:val="auto"/>
        </w:rPr>
        <w:t>。</w:t>
      </w:r>
    </w:p>
    <w:p w14:paraId="61F97176">
      <w:pPr>
        <w:ind w:firstLine="480"/>
        <w:rPr>
          <w:rFonts w:hint="eastAsia" w:hAnsi="宋体"/>
          <w:color w:val="auto"/>
        </w:rPr>
      </w:pPr>
      <w:r>
        <w:rPr>
          <w:rFonts w:hint="eastAsia" w:hAnsi="宋体"/>
          <w:color w:val="auto"/>
        </w:rPr>
        <w:t>（4）</w:t>
      </w:r>
      <w:r>
        <w:rPr>
          <w:rFonts w:hAnsi="宋体"/>
          <w:color w:val="auto"/>
        </w:rPr>
        <w:t>除尘灰</w:t>
      </w:r>
    </w:p>
    <w:p w14:paraId="270854A9">
      <w:pPr>
        <w:ind w:firstLine="480"/>
        <w:rPr>
          <w:rFonts w:hint="eastAsia" w:hAnsi="宋体"/>
          <w:color w:val="auto"/>
        </w:rPr>
      </w:pPr>
      <w:r>
        <w:rPr>
          <w:rFonts w:hint="eastAsia" w:hAnsi="宋体"/>
          <w:color w:val="auto"/>
        </w:rPr>
        <w:t>拟建生产工艺中离心、</w:t>
      </w:r>
      <w:r>
        <w:rPr>
          <w:rFonts w:hAnsi="宋体"/>
          <w:color w:val="auto"/>
        </w:rPr>
        <w:t>干燥工序产生的粉尘</w:t>
      </w:r>
      <w:r>
        <w:rPr>
          <w:rFonts w:hint="eastAsia" w:hAnsi="宋体"/>
          <w:color w:val="auto"/>
        </w:rPr>
        <w:t>由密闭管道统一</w:t>
      </w:r>
      <w:r>
        <w:rPr>
          <w:rFonts w:hAnsi="宋体"/>
          <w:color w:val="auto"/>
        </w:rPr>
        <w:t>收集</w:t>
      </w:r>
      <w:r>
        <w:rPr>
          <w:rFonts w:hint="eastAsia" w:hAnsi="宋体"/>
          <w:color w:val="auto"/>
        </w:rPr>
        <w:t>后，经</w:t>
      </w:r>
      <w:r>
        <w:rPr>
          <w:rFonts w:hAnsi="宋体"/>
          <w:color w:val="auto"/>
        </w:rPr>
        <w:t>除尘器</w:t>
      </w:r>
      <w:r>
        <w:rPr>
          <w:rFonts w:hint="eastAsia" w:hAnsi="宋体"/>
          <w:color w:val="auto"/>
        </w:rPr>
        <w:t>进行</w:t>
      </w:r>
      <w:r>
        <w:rPr>
          <w:rFonts w:hAnsi="宋体"/>
          <w:color w:val="auto"/>
        </w:rPr>
        <w:t>处理，</w:t>
      </w:r>
      <w:r>
        <w:rPr>
          <w:rFonts w:hint="eastAsia" w:hAnsi="宋体"/>
          <w:color w:val="auto"/>
        </w:rPr>
        <w:t>收集效率99%，除尘器处理效率99%，</w:t>
      </w:r>
      <w:r>
        <w:rPr>
          <w:rFonts w:hAnsi="宋体"/>
          <w:color w:val="auto"/>
        </w:rPr>
        <w:t>粉尘收集量约为</w:t>
      </w:r>
      <w:r>
        <w:rPr>
          <w:rFonts w:hint="eastAsia" w:hAnsi="宋体"/>
          <w:color w:val="auto"/>
        </w:rPr>
        <w:t>5.76</w:t>
      </w:r>
      <w:r>
        <w:rPr>
          <w:rFonts w:hAnsi="宋体"/>
          <w:color w:val="auto"/>
        </w:rPr>
        <w:t>t/a。</w:t>
      </w:r>
    </w:p>
    <w:p w14:paraId="39A7C45D">
      <w:pPr>
        <w:ind w:firstLine="480"/>
        <w:rPr>
          <w:rFonts w:hint="eastAsia" w:hAnsi="宋体"/>
          <w:color w:val="auto"/>
        </w:rPr>
      </w:pPr>
      <w:r>
        <w:rPr>
          <w:rFonts w:hint="eastAsia" w:hAnsi="宋体"/>
          <w:color w:val="auto"/>
        </w:rPr>
        <w:t>（5）</w:t>
      </w:r>
      <w:r>
        <w:rPr>
          <w:rFonts w:hAnsi="宋体"/>
          <w:color w:val="auto"/>
        </w:rPr>
        <w:t>实验室废物</w:t>
      </w:r>
    </w:p>
    <w:p w14:paraId="1888E572">
      <w:pPr>
        <w:ind w:firstLine="480"/>
        <w:rPr>
          <w:rFonts w:hint="eastAsia" w:hAnsi="宋体"/>
          <w:color w:val="auto"/>
        </w:rPr>
      </w:pPr>
      <w:r>
        <w:rPr>
          <w:rFonts w:hint="eastAsia" w:hAnsi="宋体"/>
          <w:color w:val="auto"/>
        </w:rPr>
        <w:t>拟建</w:t>
      </w:r>
      <w:r>
        <w:rPr>
          <w:rFonts w:hAnsi="宋体"/>
          <w:color w:val="auto"/>
        </w:rPr>
        <w:t>在现有办公楼一层设置一间实验室，开展产品质量检测工作，</w:t>
      </w:r>
      <w:r>
        <w:rPr>
          <w:rFonts w:hint="eastAsia" w:hAnsi="宋体"/>
          <w:color w:val="auto"/>
        </w:rPr>
        <w:t>类别现有项目，本次</w:t>
      </w:r>
      <w:r>
        <w:rPr>
          <w:rFonts w:hAnsi="宋体"/>
          <w:color w:val="auto"/>
        </w:rPr>
        <w:t>实验室废物</w:t>
      </w:r>
      <w:r>
        <w:rPr>
          <w:rFonts w:hint="eastAsia" w:hAnsi="宋体"/>
          <w:color w:val="auto"/>
        </w:rPr>
        <w:t>新增</w:t>
      </w:r>
      <w:r>
        <w:rPr>
          <w:rFonts w:hAnsi="宋体"/>
          <w:color w:val="auto"/>
        </w:rPr>
        <w:t>量约</w:t>
      </w:r>
      <w:r>
        <w:rPr>
          <w:rFonts w:hint="eastAsia" w:hAnsi="宋体"/>
          <w:color w:val="auto"/>
        </w:rPr>
        <w:t>0.5</w:t>
      </w:r>
      <w:r>
        <w:rPr>
          <w:rFonts w:hAnsi="宋体"/>
          <w:color w:val="auto"/>
        </w:rPr>
        <w:t>t/a。</w:t>
      </w:r>
    </w:p>
    <w:p w14:paraId="1011A827">
      <w:pPr>
        <w:ind w:firstLine="480"/>
        <w:rPr>
          <w:rFonts w:hint="eastAsia" w:hAnsi="宋体"/>
          <w:color w:val="auto"/>
        </w:rPr>
      </w:pPr>
      <w:r>
        <w:rPr>
          <w:rFonts w:hint="eastAsia" w:hAnsi="宋体"/>
          <w:color w:val="auto"/>
        </w:rPr>
        <w:t>（6）</w:t>
      </w:r>
      <w:r>
        <w:rPr>
          <w:rFonts w:hAnsi="宋体"/>
          <w:color w:val="auto"/>
        </w:rPr>
        <w:t>污水处理污泥</w:t>
      </w:r>
    </w:p>
    <w:p w14:paraId="5E534B41">
      <w:pPr>
        <w:ind w:firstLine="480"/>
        <w:rPr>
          <w:rFonts w:hint="eastAsia" w:hAnsi="宋体"/>
          <w:color w:val="auto"/>
        </w:rPr>
      </w:pPr>
      <w:r>
        <w:rPr>
          <w:rFonts w:hint="eastAsia" w:hAnsi="宋体"/>
          <w:color w:val="auto"/>
        </w:rPr>
        <w:t>拟建</w:t>
      </w:r>
      <w:r>
        <w:rPr>
          <w:rFonts w:hAnsi="宋体"/>
          <w:color w:val="auto"/>
        </w:rPr>
        <w:t>废水处理过程中产生污泥，类别现有项目，</w:t>
      </w:r>
      <w:r>
        <w:rPr>
          <w:rFonts w:hint="eastAsia" w:hAnsi="宋体"/>
          <w:color w:val="auto"/>
        </w:rPr>
        <w:t>本次</w:t>
      </w:r>
      <w:r>
        <w:rPr>
          <w:rFonts w:hAnsi="宋体"/>
          <w:color w:val="auto"/>
        </w:rPr>
        <w:t>新增污泥量约为</w:t>
      </w:r>
      <w:r>
        <w:rPr>
          <w:rFonts w:hint="eastAsia" w:hAnsi="宋体"/>
          <w:color w:val="auto"/>
        </w:rPr>
        <w:t>11.57</w:t>
      </w:r>
      <w:r>
        <w:rPr>
          <w:rFonts w:hAnsi="宋体"/>
          <w:color w:val="auto"/>
        </w:rPr>
        <w:t>t/a。</w:t>
      </w:r>
    </w:p>
    <w:p w14:paraId="5AE6445C">
      <w:pPr>
        <w:ind w:firstLine="480"/>
        <w:rPr>
          <w:rFonts w:hint="eastAsia" w:hAnsi="宋体"/>
          <w:color w:val="auto"/>
        </w:rPr>
        <w:sectPr>
          <w:pgSz w:w="11906" w:h="16838"/>
          <w:pgMar w:top="1134" w:right="1134" w:bottom="1134" w:left="1134" w:header="851" w:footer="992" w:gutter="0"/>
          <w:cols w:space="425" w:num="1"/>
          <w:docGrid w:type="lines" w:linePitch="312" w:charSpace="0"/>
        </w:sectPr>
      </w:pPr>
      <w:r>
        <w:rPr>
          <w:rFonts w:hAnsi="宋体"/>
          <w:color w:val="auto"/>
        </w:rPr>
        <w:t>项目固体废物产生处置情况见下表。</w:t>
      </w:r>
    </w:p>
    <w:p w14:paraId="40681101">
      <w:pPr>
        <w:pStyle w:val="49"/>
        <w:rPr>
          <w:color w:val="auto"/>
        </w:rPr>
      </w:pPr>
      <w:bookmarkStart w:id="151" w:name="_Hlk54248894"/>
      <w:r>
        <w:rPr>
          <w:color w:val="auto"/>
        </w:rPr>
        <w:t>表</w:t>
      </w:r>
      <w:r>
        <w:rPr>
          <w:rFonts w:hint="eastAsia"/>
          <w:color w:val="auto"/>
        </w:rPr>
        <w:t>4.6-1  拟建</w:t>
      </w:r>
      <w:r>
        <w:rPr>
          <w:color w:val="auto"/>
        </w:rPr>
        <w:t>项目副产物属性判定表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372"/>
        <w:gridCol w:w="789"/>
        <w:gridCol w:w="1544"/>
        <w:gridCol w:w="1331"/>
        <w:gridCol w:w="949"/>
        <w:gridCol w:w="3102"/>
        <w:gridCol w:w="1567"/>
        <w:gridCol w:w="1214"/>
        <w:gridCol w:w="938"/>
        <w:gridCol w:w="1747"/>
      </w:tblGrid>
      <w:tr w14:paraId="799E5B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471" w:type="pct"/>
            <w:vMerge w:val="restart"/>
            <w:tcBorders>
              <w:tl2br w:val="nil"/>
              <w:tr2bl w:val="nil"/>
            </w:tcBorders>
            <w:vAlign w:val="center"/>
          </w:tcPr>
          <w:p w14:paraId="7A1F1086">
            <w:pPr>
              <w:spacing w:line="240" w:lineRule="auto"/>
              <w:ind w:firstLine="0" w:firstLineChars="0"/>
              <w:jc w:val="center"/>
              <w:rPr>
                <w:b/>
                <w:color w:val="auto"/>
                <w:sz w:val="21"/>
                <w:szCs w:val="21"/>
              </w:rPr>
            </w:pPr>
            <w:r>
              <w:rPr>
                <w:b/>
                <w:color w:val="auto"/>
                <w:sz w:val="21"/>
                <w:szCs w:val="21"/>
              </w:rPr>
              <w:t>产生装置</w:t>
            </w:r>
          </w:p>
        </w:tc>
        <w:tc>
          <w:tcPr>
            <w:tcW w:w="271" w:type="pct"/>
            <w:vMerge w:val="restart"/>
            <w:tcBorders>
              <w:tl2br w:val="nil"/>
              <w:tr2bl w:val="nil"/>
            </w:tcBorders>
            <w:vAlign w:val="center"/>
          </w:tcPr>
          <w:p w14:paraId="7160A4A4">
            <w:pPr>
              <w:spacing w:line="240" w:lineRule="auto"/>
              <w:ind w:firstLine="0" w:firstLineChars="0"/>
              <w:jc w:val="center"/>
              <w:rPr>
                <w:b/>
                <w:color w:val="auto"/>
                <w:sz w:val="21"/>
                <w:szCs w:val="21"/>
              </w:rPr>
            </w:pPr>
            <w:r>
              <w:rPr>
                <w:b/>
                <w:color w:val="auto"/>
                <w:sz w:val="21"/>
                <w:szCs w:val="21"/>
              </w:rPr>
              <w:t>编号</w:t>
            </w:r>
          </w:p>
        </w:tc>
        <w:tc>
          <w:tcPr>
            <w:tcW w:w="530" w:type="pct"/>
            <w:vMerge w:val="restart"/>
            <w:tcBorders>
              <w:tl2br w:val="nil"/>
              <w:tr2bl w:val="nil"/>
            </w:tcBorders>
            <w:vAlign w:val="center"/>
          </w:tcPr>
          <w:p w14:paraId="6F2FF367">
            <w:pPr>
              <w:spacing w:line="240" w:lineRule="auto"/>
              <w:ind w:firstLine="0" w:firstLineChars="0"/>
              <w:jc w:val="center"/>
              <w:rPr>
                <w:b/>
                <w:color w:val="auto"/>
                <w:sz w:val="21"/>
                <w:szCs w:val="21"/>
              </w:rPr>
            </w:pPr>
            <w:r>
              <w:rPr>
                <w:b/>
                <w:color w:val="auto"/>
                <w:sz w:val="21"/>
                <w:szCs w:val="21"/>
              </w:rPr>
              <w:t>副产物名称</w:t>
            </w:r>
          </w:p>
        </w:tc>
        <w:tc>
          <w:tcPr>
            <w:tcW w:w="457" w:type="pct"/>
            <w:vMerge w:val="restart"/>
            <w:tcBorders>
              <w:tl2br w:val="nil"/>
              <w:tr2bl w:val="nil"/>
            </w:tcBorders>
            <w:vAlign w:val="center"/>
          </w:tcPr>
          <w:p w14:paraId="4077BB8A">
            <w:pPr>
              <w:spacing w:line="240" w:lineRule="auto"/>
              <w:ind w:firstLine="0" w:firstLineChars="0"/>
              <w:jc w:val="center"/>
              <w:rPr>
                <w:b/>
                <w:color w:val="auto"/>
                <w:sz w:val="21"/>
                <w:szCs w:val="21"/>
              </w:rPr>
            </w:pPr>
            <w:r>
              <w:rPr>
                <w:b/>
                <w:color w:val="auto"/>
                <w:sz w:val="21"/>
                <w:szCs w:val="21"/>
              </w:rPr>
              <w:t>产生工序</w:t>
            </w:r>
          </w:p>
        </w:tc>
        <w:tc>
          <w:tcPr>
            <w:tcW w:w="326" w:type="pct"/>
            <w:vMerge w:val="restart"/>
            <w:tcBorders>
              <w:tl2br w:val="nil"/>
              <w:tr2bl w:val="nil"/>
            </w:tcBorders>
            <w:vAlign w:val="center"/>
          </w:tcPr>
          <w:p w14:paraId="4277FDA4">
            <w:pPr>
              <w:spacing w:line="240" w:lineRule="auto"/>
              <w:ind w:firstLine="0" w:firstLineChars="0"/>
              <w:jc w:val="center"/>
              <w:rPr>
                <w:b/>
                <w:color w:val="auto"/>
                <w:sz w:val="21"/>
                <w:szCs w:val="21"/>
              </w:rPr>
            </w:pPr>
            <w:r>
              <w:rPr>
                <w:b/>
                <w:color w:val="auto"/>
                <w:sz w:val="21"/>
                <w:szCs w:val="21"/>
              </w:rPr>
              <w:t>形态</w:t>
            </w:r>
          </w:p>
        </w:tc>
        <w:tc>
          <w:tcPr>
            <w:tcW w:w="1065" w:type="pct"/>
            <w:vMerge w:val="restart"/>
            <w:tcBorders>
              <w:tl2br w:val="nil"/>
              <w:tr2bl w:val="nil"/>
            </w:tcBorders>
            <w:vAlign w:val="center"/>
          </w:tcPr>
          <w:p w14:paraId="7C40FB6A">
            <w:pPr>
              <w:spacing w:line="240" w:lineRule="auto"/>
              <w:ind w:firstLine="0" w:firstLineChars="0"/>
              <w:jc w:val="center"/>
              <w:rPr>
                <w:b/>
                <w:color w:val="auto"/>
                <w:sz w:val="21"/>
                <w:szCs w:val="21"/>
              </w:rPr>
            </w:pPr>
            <w:r>
              <w:rPr>
                <w:b/>
                <w:color w:val="auto"/>
                <w:sz w:val="21"/>
                <w:szCs w:val="21"/>
              </w:rPr>
              <w:t>主要组分</w:t>
            </w:r>
          </w:p>
        </w:tc>
        <w:tc>
          <w:tcPr>
            <w:tcW w:w="538" w:type="pct"/>
            <w:vMerge w:val="restart"/>
            <w:tcBorders>
              <w:tl2br w:val="nil"/>
              <w:tr2bl w:val="nil"/>
            </w:tcBorders>
            <w:vAlign w:val="center"/>
          </w:tcPr>
          <w:p w14:paraId="09F14826">
            <w:pPr>
              <w:spacing w:line="240" w:lineRule="auto"/>
              <w:ind w:firstLine="0" w:firstLineChars="0"/>
              <w:jc w:val="center"/>
              <w:rPr>
                <w:b/>
                <w:color w:val="auto"/>
                <w:sz w:val="21"/>
                <w:szCs w:val="21"/>
              </w:rPr>
            </w:pPr>
            <w:r>
              <w:rPr>
                <w:b/>
                <w:color w:val="auto"/>
                <w:sz w:val="21"/>
                <w:szCs w:val="21"/>
              </w:rPr>
              <w:t>预测产生量（t/a）</w:t>
            </w:r>
          </w:p>
        </w:tc>
        <w:tc>
          <w:tcPr>
            <w:tcW w:w="1339" w:type="pct"/>
            <w:gridSpan w:val="3"/>
            <w:tcBorders>
              <w:tl2br w:val="nil"/>
              <w:tr2bl w:val="nil"/>
            </w:tcBorders>
            <w:vAlign w:val="center"/>
          </w:tcPr>
          <w:p w14:paraId="7F86926D">
            <w:pPr>
              <w:spacing w:line="240" w:lineRule="auto"/>
              <w:ind w:firstLine="0" w:firstLineChars="0"/>
              <w:jc w:val="center"/>
              <w:rPr>
                <w:b/>
                <w:color w:val="auto"/>
                <w:sz w:val="21"/>
                <w:szCs w:val="21"/>
              </w:rPr>
            </w:pPr>
            <w:r>
              <w:rPr>
                <w:b/>
                <w:color w:val="auto"/>
                <w:sz w:val="21"/>
                <w:szCs w:val="21"/>
              </w:rPr>
              <w:t>种类判断</w:t>
            </w:r>
          </w:p>
        </w:tc>
      </w:tr>
      <w:tr w14:paraId="732B6D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471" w:type="pct"/>
            <w:vMerge w:val="continue"/>
            <w:tcBorders>
              <w:tl2br w:val="nil"/>
              <w:tr2bl w:val="nil"/>
            </w:tcBorders>
            <w:vAlign w:val="center"/>
          </w:tcPr>
          <w:p w14:paraId="36420593">
            <w:pPr>
              <w:spacing w:line="240" w:lineRule="auto"/>
              <w:ind w:firstLine="0" w:firstLineChars="0"/>
              <w:jc w:val="center"/>
              <w:rPr>
                <w:color w:val="auto"/>
                <w:sz w:val="21"/>
                <w:szCs w:val="21"/>
              </w:rPr>
            </w:pPr>
          </w:p>
        </w:tc>
        <w:tc>
          <w:tcPr>
            <w:tcW w:w="271" w:type="pct"/>
            <w:vMerge w:val="continue"/>
            <w:tcBorders>
              <w:tl2br w:val="nil"/>
              <w:tr2bl w:val="nil"/>
            </w:tcBorders>
            <w:vAlign w:val="center"/>
          </w:tcPr>
          <w:p w14:paraId="4F4A61A2">
            <w:pPr>
              <w:spacing w:line="240" w:lineRule="auto"/>
              <w:ind w:firstLine="0" w:firstLineChars="0"/>
              <w:jc w:val="center"/>
              <w:rPr>
                <w:color w:val="auto"/>
                <w:sz w:val="21"/>
                <w:szCs w:val="21"/>
              </w:rPr>
            </w:pPr>
          </w:p>
        </w:tc>
        <w:tc>
          <w:tcPr>
            <w:tcW w:w="530" w:type="pct"/>
            <w:vMerge w:val="continue"/>
            <w:tcBorders>
              <w:tl2br w:val="nil"/>
              <w:tr2bl w:val="nil"/>
            </w:tcBorders>
            <w:vAlign w:val="center"/>
          </w:tcPr>
          <w:p w14:paraId="290B7FB3">
            <w:pPr>
              <w:spacing w:line="240" w:lineRule="auto"/>
              <w:ind w:firstLine="0" w:firstLineChars="0"/>
              <w:jc w:val="center"/>
              <w:rPr>
                <w:color w:val="auto"/>
                <w:sz w:val="21"/>
                <w:szCs w:val="21"/>
              </w:rPr>
            </w:pPr>
          </w:p>
        </w:tc>
        <w:tc>
          <w:tcPr>
            <w:tcW w:w="457" w:type="pct"/>
            <w:vMerge w:val="continue"/>
            <w:tcBorders>
              <w:tl2br w:val="nil"/>
              <w:tr2bl w:val="nil"/>
            </w:tcBorders>
            <w:vAlign w:val="center"/>
          </w:tcPr>
          <w:p w14:paraId="7EFE8218">
            <w:pPr>
              <w:spacing w:line="240" w:lineRule="auto"/>
              <w:ind w:firstLine="0" w:firstLineChars="0"/>
              <w:jc w:val="center"/>
              <w:rPr>
                <w:color w:val="auto"/>
                <w:sz w:val="21"/>
                <w:szCs w:val="21"/>
              </w:rPr>
            </w:pPr>
          </w:p>
        </w:tc>
        <w:tc>
          <w:tcPr>
            <w:tcW w:w="326" w:type="pct"/>
            <w:vMerge w:val="continue"/>
            <w:tcBorders>
              <w:tl2br w:val="nil"/>
              <w:tr2bl w:val="nil"/>
            </w:tcBorders>
            <w:vAlign w:val="center"/>
          </w:tcPr>
          <w:p w14:paraId="042B7E83">
            <w:pPr>
              <w:spacing w:line="240" w:lineRule="auto"/>
              <w:ind w:firstLine="0" w:firstLineChars="0"/>
              <w:jc w:val="center"/>
              <w:rPr>
                <w:color w:val="auto"/>
                <w:sz w:val="21"/>
                <w:szCs w:val="21"/>
              </w:rPr>
            </w:pPr>
          </w:p>
        </w:tc>
        <w:tc>
          <w:tcPr>
            <w:tcW w:w="1065" w:type="pct"/>
            <w:vMerge w:val="continue"/>
            <w:tcBorders>
              <w:tl2br w:val="nil"/>
              <w:tr2bl w:val="nil"/>
            </w:tcBorders>
            <w:vAlign w:val="center"/>
          </w:tcPr>
          <w:p w14:paraId="33D351DF">
            <w:pPr>
              <w:spacing w:line="240" w:lineRule="auto"/>
              <w:ind w:firstLine="0" w:firstLineChars="0"/>
              <w:jc w:val="center"/>
              <w:rPr>
                <w:color w:val="auto"/>
                <w:sz w:val="21"/>
                <w:szCs w:val="21"/>
              </w:rPr>
            </w:pPr>
          </w:p>
        </w:tc>
        <w:tc>
          <w:tcPr>
            <w:tcW w:w="538" w:type="pct"/>
            <w:vMerge w:val="continue"/>
            <w:tcBorders>
              <w:tl2br w:val="nil"/>
              <w:tr2bl w:val="nil"/>
            </w:tcBorders>
            <w:vAlign w:val="center"/>
          </w:tcPr>
          <w:p w14:paraId="14E54877">
            <w:pPr>
              <w:spacing w:line="240" w:lineRule="auto"/>
              <w:ind w:firstLine="0" w:firstLineChars="0"/>
              <w:jc w:val="center"/>
              <w:rPr>
                <w:color w:val="auto"/>
                <w:sz w:val="21"/>
                <w:szCs w:val="21"/>
              </w:rPr>
            </w:pPr>
          </w:p>
        </w:tc>
        <w:tc>
          <w:tcPr>
            <w:tcW w:w="417" w:type="pct"/>
            <w:tcBorders>
              <w:tl2br w:val="nil"/>
              <w:tr2bl w:val="nil"/>
            </w:tcBorders>
            <w:vAlign w:val="center"/>
          </w:tcPr>
          <w:p w14:paraId="4DFA66AE">
            <w:pPr>
              <w:tabs>
                <w:tab w:val="left" w:pos="2896"/>
              </w:tabs>
              <w:spacing w:line="240" w:lineRule="auto"/>
              <w:ind w:firstLine="0" w:firstLineChars="0"/>
              <w:jc w:val="center"/>
              <w:rPr>
                <w:b/>
                <w:bCs/>
                <w:color w:val="auto"/>
                <w:sz w:val="21"/>
                <w:szCs w:val="21"/>
              </w:rPr>
            </w:pPr>
            <w:r>
              <w:rPr>
                <w:b/>
                <w:bCs/>
                <w:color w:val="auto"/>
                <w:sz w:val="21"/>
                <w:szCs w:val="21"/>
              </w:rPr>
              <w:t>固体废物</w:t>
            </w:r>
          </w:p>
        </w:tc>
        <w:tc>
          <w:tcPr>
            <w:tcW w:w="322" w:type="pct"/>
            <w:tcBorders>
              <w:tl2br w:val="nil"/>
              <w:tr2bl w:val="nil"/>
            </w:tcBorders>
            <w:vAlign w:val="center"/>
          </w:tcPr>
          <w:p w14:paraId="1A3027C7">
            <w:pPr>
              <w:tabs>
                <w:tab w:val="left" w:pos="2896"/>
              </w:tabs>
              <w:spacing w:line="240" w:lineRule="auto"/>
              <w:ind w:firstLine="0" w:firstLineChars="0"/>
              <w:jc w:val="center"/>
              <w:rPr>
                <w:b/>
                <w:bCs/>
                <w:color w:val="auto"/>
                <w:sz w:val="21"/>
                <w:szCs w:val="21"/>
              </w:rPr>
            </w:pPr>
            <w:r>
              <w:rPr>
                <w:b/>
                <w:bCs/>
                <w:color w:val="auto"/>
                <w:sz w:val="21"/>
                <w:szCs w:val="21"/>
              </w:rPr>
              <w:t>副产品</w:t>
            </w:r>
          </w:p>
        </w:tc>
        <w:tc>
          <w:tcPr>
            <w:tcW w:w="599" w:type="pct"/>
            <w:tcBorders>
              <w:tl2br w:val="nil"/>
              <w:tr2bl w:val="nil"/>
            </w:tcBorders>
            <w:vAlign w:val="center"/>
          </w:tcPr>
          <w:p w14:paraId="7685A652">
            <w:pPr>
              <w:tabs>
                <w:tab w:val="left" w:pos="2896"/>
              </w:tabs>
              <w:spacing w:line="240" w:lineRule="auto"/>
              <w:ind w:firstLine="0" w:firstLineChars="0"/>
              <w:jc w:val="center"/>
              <w:rPr>
                <w:b/>
                <w:bCs/>
                <w:color w:val="auto"/>
                <w:sz w:val="21"/>
                <w:szCs w:val="21"/>
              </w:rPr>
            </w:pPr>
            <w:r>
              <w:rPr>
                <w:b/>
                <w:bCs/>
                <w:color w:val="auto"/>
                <w:sz w:val="21"/>
                <w:szCs w:val="21"/>
              </w:rPr>
              <w:t>判定依据</w:t>
            </w:r>
          </w:p>
        </w:tc>
      </w:tr>
      <w:tr w14:paraId="503401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94" w:hRule="atLeast"/>
          <w:tblHeader/>
          <w:jc w:val="center"/>
        </w:trPr>
        <w:tc>
          <w:tcPr>
            <w:tcW w:w="471" w:type="pct"/>
            <w:tcBorders>
              <w:tl2br w:val="nil"/>
              <w:tr2bl w:val="nil"/>
            </w:tcBorders>
            <w:vAlign w:val="center"/>
          </w:tcPr>
          <w:p w14:paraId="6437F501">
            <w:pPr>
              <w:widowControl/>
              <w:spacing w:line="240" w:lineRule="auto"/>
              <w:ind w:firstLine="0" w:firstLineChars="0"/>
              <w:jc w:val="center"/>
              <w:textAlignment w:val="center"/>
              <w:rPr>
                <w:color w:val="auto"/>
                <w:sz w:val="21"/>
                <w:szCs w:val="21"/>
              </w:rPr>
            </w:pPr>
            <w:r>
              <w:rPr>
                <w:rFonts w:hint="eastAsia"/>
                <w:color w:val="auto"/>
                <w:sz w:val="21"/>
                <w:szCs w:val="21"/>
              </w:rPr>
              <w:t>过滤</w:t>
            </w:r>
          </w:p>
        </w:tc>
        <w:tc>
          <w:tcPr>
            <w:tcW w:w="271" w:type="pct"/>
            <w:tcBorders>
              <w:tl2br w:val="nil"/>
              <w:tr2bl w:val="nil"/>
            </w:tcBorders>
            <w:vAlign w:val="center"/>
          </w:tcPr>
          <w:p w14:paraId="3FFDE3C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S1</w:t>
            </w:r>
          </w:p>
        </w:tc>
        <w:tc>
          <w:tcPr>
            <w:tcW w:w="530" w:type="pct"/>
            <w:tcBorders>
              <w:tl2br w:val="nil"/>
              <w:tr2bl w:val="nil"/>
            </w:tcBorders>
            <w:vAlign w:val="center"/>
          </w:tcPr>
          <w:p w14:paraId="5A722C2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废过滤材料</w:t>
            </w:r>
          </w:p>
        </w:tc>
        <w:tc>
          <w:tcPr>
            <w:tcW w:w="457" w:type="pct"/>
            <w:tcBorders>
              <w:tl2br w:val="nil"/>
              <w:tr2bl w:val="nil"/>
            </w:tcBorders>
            <w:vAlign w:val="center"/>
          </w:tcPr>
          <w:p w14:paraId="6DFFE95C">
            <w:pPr>
              <w:widowControl/>
              <w:spacing w:line="240" w:lineRule="auto"/>
              <w:ind w:firstLine="0" w:firstLineChars="0"/>
              <w:jc w:val="center"/>
              <w:textAlignment w:val="center"/>
              <w:rPr>
                <w:color w:val="auto"/>
                <w:kern w:val="0"/>
                <w:sz w:val="21"/>
                <w:szCs w:val="21"/>
                <w:lang w:bidi="ar"/>
              </w:rPr>
            </w:pPr>
            <w:r>
              <w:rPr>
                <w:rFonts w:hint="eastAsia"/>
                <w:color w:val="auto"/>
                <w:sz w:val="21"/>
                <w:szCs w:val="21"/>
              </w:rPr>
              <w:t>过滤</w:t>
            </w:r>
          </w:p>
        </w:tc>
        <w:tc>
          <w:tcPr>
            <w:tcW w:w="326" w:type="pct"/>
            <w:tcBorders>
              <w:tl2br w:val="nil"/>
              <w:tr2bl w:val="nil"/>
            </w:tcBorders>
            <w:vAlign w:val="center"/>
          </w:tcPr>
          <w:p w14:paraId="01E1478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w:t>
            </w:r>
          </w:p>
        </w:tc>
        <w:tc>
          <w:tcPr>
            <w:tcW w:w="1065" w:type="pct"/>
            <w:tcBorders>
              <w:tl2br w:val="nil"/>
              <w:tr2bl w:val="nil"/>
            </w:tcBorders>
            <w:vAlign w:val="center"/>
          </w:tcPr>
          <w:p w14:paraId="655DF47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过滤袋、滤网、滤布</w:t>
            </w:r>
          </w:p>
        </w:tc>
        <w:tc>
          <w:tcPr>
            <w:tcW w:w="538" w:type="pct"/>
            <w:tcBorders>
              <w:tl2br w:val="nil"/>
              <w:tr2bl w:val="nil"/>
            </w:tcBorders>
            <w:vAlign w:val="center"/>
          </w:tcPr>
          <w:p w14:paraId="07F1F3B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1.54</w:t>
            </w:r>
          </w:p>
        </w:tc>
        <w:tc>
          <w:tcPr>
            <w:tcW w:w="417" w:type="pct"/>
            <w:tcBorders>
              <w:tl2br w:val="nil"/>
              <w:tr2bl w:val="nil"/>
            </w:tcBorders>
            <w:vAlign w:val="center"/>
          </w:tcPr>
          <w:p w14:paraId="5592223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322" w:type="pct"/>
            <w:tcBorders>
              <w:tl2br w:val="nil"/>
              <w:tr2bl w:val="nil"/>
            </w:tcBorders>
            <w:vAlign w:val="center"/>
          </w:tcPr>
          <w:p w14:paraId="4A6547A5">
            <w:pPr>
              <w:widowControl/>
              <w:spacing w:line="240" w:lineRule="auto"/>
              <w:ind w:firstLine="0" w:firstLineChars="0"/>
              <w:jc w:val="center"/>
              <w:textAlignment w:val="center"/>
              <w:rPr>
                <w:color w:val="auto"/>
                <w:kern w:val="0"/>
                <w:sz w:val="21"/>
                <w:szCs w:val="21"/>
                <w:lang w:bidi="ar"/>
              </w:rPr>
            </w:pPr>
          </w:p>
        </w:tc>
        <w:tc>
          <w:tcPr>
            <w:tcW w:w="599" w:type="pct"/>
            <w:vMerge w:val="restart"/>
            <w:tcBorders>
              <w:tl2br w:val="nil"/>
              <w:tr2bl w:val="nil"/>
            </w:tcBorders>
            <w:vAlign w:val="center"/>
          </w:tcPr>
          <w:p w14:paraId="0061BC5A">
            <w:pPr>
              <w:tabs>
                <w:tab w:val="left" w:pos="2896"/>
              </w:tabs>
              <w:spacing w:line="240" w:lineRule="auto"/>
              <w:ind w:firstLine="0" w:firstLineChars="0"/>
              <w:jc w:val="center"/>
              <w:rPr>
                <w:color w:val="auto"/>
                <w:sz w:val="21"/>
                <w:szCs w:val="21"/>
              </w:rPr>
            </w:pPr>
            <w:r>
              <w:rPr>
                <w:color w:val="auto"/>
                <w:sz w:val="21"/>
                <w:szCs w:val="21"/>
              </w:rPr>
              <w:t>《固体废物鉴别标准通则》（</w:t>
            </w:r>
            <w:r>
              <w:rPr>
                <w:rFonts w:hint="eastAsia"/>
                <w:color w:val="auto"/>
                <w:sz w:val="21"/>
                <w:szCs w:val="21"/>
              </w:rPr>
              <w:t>GB34330-2025</w:t>
            </w:r>
            <w:r>
              <w:rPr>
                <w:color w:val="auto"/>
                <w:sz w:val="21"/>
                <w:szCs w:val="21"/>
              </w:rPr>
              <w:t>）</w:t>
            </w:r>
          </w:p>
          <w:p w14:paraId="79776ADF">
            <w:pPr>
              <w:tabs>
                <w:tab w:val="left" w:pos="2896"/>
              </w:tabs>
              <w:spacing w:line="240" w:lineRule="auto"/>
              <w:ind w:firstLine="0" w:firstLineChars="0"/>
              <w:jc w:val="center"/>
              <w:rPr>
                <w:color w:val="auto"/>
                <w:sz w:val="21"/>
                <w:szCs w:val="21"/>
              </w:rPr>
            </w:pPr>
            <w:r>
              <w:rPr>
                <w:color w:val="auto"/>
                <w:sz w:val="21"/>
                <w:szCs w:val="21"/>
              </w:rPr>
              <w:t>《国家危险废物名录》（2025年版）</w:t>
            </w:r>
          </w:p>
          <w:p w14:paraId="1E402242">
            <w:pPr>
              <w:widowControl/>
              <w:spacing w:line="240" w:lineRule="auto"/>
              <w:ind w:firstLine="0" w:firstLineChars="0"/>
              <w:jc w:val="center"/>
              <w:textAlignment w:val="center"/>
              <w:rPr>
                <w:color w:val="auto"/>
                <w:kern w:val="0"/>
                <w:sz w:val="21"/>
                <w:szCs w:val="21"/>
                <w:lang w:bidi="ar"/>
              </w:rPr>
            </w:pPr>
            <w:r>
              <w:rPr>
                <w:color w:val="auto"/>
                <w:sz w:val="21"/>
                <w:szCs w:val="21"/>
              </w:rPr>
              <w:t>《危险废物鉴别标准通则》（GB5085.7）</w:t>
            </w:r>
          </w:p>
        </w:tc>
      </w:tr>
      <w:tr w14:paraId="1D03F6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895" w:hRule="atLeast"/>
          <w:tblHeader/>
          <w:jc w:val="center"/>
        </w:trPr>
        <w:tc>
          <w:tcPr>
            <w:tcW w:w="471" w:type="pct"/>
            <w:tcBorders>
              <w:tl2br w:val="nil"/>
              <w:tr2bl w:val="nil"/>
            </w:tcBorders>
            <w:vAlign w:val="center"/>
          </w:tcPr>
          <w:p w14:paraId="23A1F20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原料包装</w:t>
            </w:r>
          </w:p>
        </w:tc>
        <w:tc>
          <w:tcPr>
            <w:tcW w:w="271" w:type="pct"/>
            <w:tcBorders>
              <w:tl2br w:val="nil"/>
              <w:tr2bl w:val="nil"/>
            </w:tcBorders>
            <w:vAlign w:val="center"/>
          </w:tcPr>
          <w:p w14:paraId="306928A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S2</w:t>
            </w:r>
          </w:p>
        </w:tc>
        <w:tc>
          <w:tcPr>
            <w:tcW w:w="530" w:type="pct"/>
            <w:tcBorders>
              <w:tl2br w:val="nil"/>
              <w:tr2bl w:val="nil"/>
            </w:tcBorders>
            <w:vAlign w:val="center"/>
          </w:tcPr>
          <w:p w14:paraId="56FDF72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废包装桶</w:t>
            </w:r>
          </w:p>
        </w:tc>
        <w:tc>
          <w:tcPr>
            <w:tcW w:w="457" w:type="pct"/>
            <w:tcBorders>
              <w:tl2br w:val="nil"/>
              <w:tr2bl w:val="nil"/>
            </w:tcBorders>
            <w:vAlign w:val="center"/>
          </w:tcPr>
          <w:p w14:paraId="301593D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原料包装</w:t>
            </w:r>
          </w:p>
        </w:tc>
        <w:tc>
          <w:tcPr>
            <w:tcW w:w="326" w:type="pct"/>
            <w:tcBorders>
              <w:tl2br w:val="nil"/>
              <w:tr2bl w:val="nil"/>
            </w:tcBorders>
            <w:vAlign w:val="center"/>
          </w:tcPr>
          <w:p w14:paraId="331E959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w:t>
            </w:r>
          </w:p>
        </w:tc>
        <w:tc>
          <w:tcPr>
            <w:tcW w:w="1065" w:type="pct"/>
            <w:tcBorders>
              <w:tl2br w:val="nil"/>
              <w:tr2bl w:val="nil"/>
            </w:tcBorders>
            <w:vAlign w:val="center"/>
          </w:tcPr>
          <w:p w14:paraId="25F89A2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沾染了化学原料和废液的包装袋、包装桶</w:t>
            </w:r>
          </w:p>
        </w:tc>
        <w:tc>
          <w:tcPr>
            <w:tcW w:w="538" w:type="pct"/>
            <w:tcBorders>
              <w:tl2br w:val="nil"/>
              <w:tr2bl w:val="nil"/>
            </w:tcBorders>
            <w:vAlign w:val="center"/>
          </w:tcPr>
          <w:p w14:paraId="3C4758C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10</w:t>
            </w:r>
          </w:p>
        </w:tc>
        <w:tc>
          <w:tcPr>
            <w:tcW w:w="417" w:type="pct"/>
            <w:tcBorders>
              <w:tl2br w:val="nil"/>
              <w:tr2bl w:val="nil"/>
            </w:tcBorders>
            <w:vAlign w:val="center"/>
          </w:tcPr>
          <w:p w14:paraId="2E6B4B0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322" w:type="pct"/>
            <w:tcBorders>
              <w:tl2br w:val="nil"/>
              <w:tr2bl w:val="nil"/>
            </w:tcBorders>
            <w:vAlign w:val="center"/>
          </w:tcPr>
          <w:p w14:paraId="7784721C">
            <w:pPr>
              <w:widowControl/>
              <w:spacing w:line="240" w:lineRule="auto"/>
              <w:ind w:firstLine="0" w:firstLineChars="0"/>
              <w:jc w:val="center"/>
              <w:textAlignment w:val="center"/>
              <w:rPr>
                <w:color w:val="auto"/>
                <w:kern w:val="0"/>
                <w:sz w:val="21"/>
                <w:szCs w:val="21"/>
                <w:lang w:bidi="ar"/>
              </w:rPr>
            </w:pPr>
          </w:p>
        </w:tc>
        <w:tc>
          <w:tcPr>
            <w:tcW w:w="599" w:type="pct"/>
            <w:vMerge w:val="continue"/>
            <w:tcBorders>
              <w:tl2br w:val="nil"/>
              <w:tr2bl w:val="nil"/>
            </w:tcBorders>
            <w:vAlign w:val="center"/>
          </w:tcPr>
          <w:p w14:paraId="3AC3EAC5">
            <w:pPr>
              <w:widowControl/>
              <w:spacing w:line="240" w:lineRule="auto"/>
              <w:ind w:firstLine="0" w:firstLineChars="0"/>
              <w:jc w:val="center"/>
              <w:textAlignment w:val="center"/>
              <w:rPr>
                <w:color w:val="auto"/>
                <w:sz w:val="21"/>
                <w:szCs w:val="21"/>
              </w:rPr>
            </w:pPr>
          </w:p>
        </w:tc>
      </w:tr>
      <w:tr w14:paraId="497858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353" w:hRule="atLeast"/>
          <w:tblHeader/>
          <w:jc w:val="center"/>
        </w:trPr>
        <w:tc>
          <w:tcPr>
            <w:tcW w:w="471" w:type="pct"/>
            <w:tcBorders>
              <w:tl2br w:val="nil"/>
              <w:tr2bl w:val="nil"/>
            </w:tcBorders>
            <w:vAlign w:val="center"/>
          </w:tcPr>
          <w:p w14:paraId="10593A5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纯水制备装置</w:t>
            </w:r>
          </w:p>
        </w:tc>
        <w:tc>
          <w:tcPr>
            <w:tcW w:w="271" w:type="pct"/>
            <w:tcBorders>
              <w:tl2br w:val="nil"/>
              <w:tr2bl w:val="nil"/>
            </w:tcBorders>
            <w:vAlign w:val="center"/>
          </w:tcPr>
          <w:p w14:paraId="5D3EC93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S3</w:t>
            </w:r>
          </w:p>
        </w:tc>
        <w:tc>
          <w:tcPr>
            <w:tcW w:w="530" w:type="pct"/>
            <w:tcBorders>
              <w:tl2br w:val="nil"/>
              <w:tr2bl w:val="nil"/>
            </w:tcBorders>
            <w:vAlign w:val="center"/>
          </w:tcPr>
          <w:p w14:paraId="49AA134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废RO膜</w:t>
            </w:r>
          </w:p>
        </w:tc>
        <w:tc>
          <w:tcPr>
            <w:tcW w:w="457" w:type="pct"/>
            <w:tcBorders>
              <w:tl2br w:val="nil"/>
              <w:tr2bl w:val="nil"/>
            </w:tcBorders>
            <w:vAlign w:val="center"/>
          </w:tcPr>
          <w:p w14:paraId="3E5374C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纯水制备</w:t>
            </w:r>
          </w:p>
        </w:tc>
        <w:tc>
          <w:tcPr>
            <w:tcW w:w="326" w:type="pct"/>
            <w:tcBorders>
              <w:tl2br w:val="nil"/>
              <w:tr2bl w:val="nil"/>
            </w:tcBorders>
            <w:vAlign w:val="center"/>
          </w:tcPr>
          <w:p w14:paraId="380616B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固</w:t>
            </w:r>
          </w:p>
        </w:tc>
        <w:tc>
          <w:tcPr>
            <w:tcW w:w="1065" w:type="pct"/>
            <w:tcBorders>
              <w:tl2br w:val="nil"/>
              <w:tr2bl w:val="nil"/>
            </w:tcBorders>
            <w:vAlign w:val="center"/>
          </w:tcPr>
          <w:p w14:paraId="3BA33FC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杂质、膜等</w:t>
            </w:r>
          </w:p>
        </w:tc>
        <w:tc>
          <w:tcPr>
            <w:tcW w:w="538" w:type="pct"/>
            <w:tcBorders>
              <w:tl2br w:val="nil"/>
              <w:tr2bl w:val="nil"/>
            </w:tcBorders>
            <w:vAlign w:val="center"/>
          </w:tcPr>
          <w:p w14:paraId="762FAB3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w:t>
            </w:r>
          </w:p>
        </w:tc>
        <w:tc>
          <w:tcPr>
            <w:tcW w:w="417" w:type="pct"/>
            <w:tcBorders>
              <w:tl2br w:val="nil"/>
              <w:tr2bl w:val="nil"/>
            </w:tcBorders>
            <w:vAlign w:val="center"/>
          </w:tcPr>
          <w:p w14:paraId="59035C2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322" w:type="pct"/>
            <w:tcBorders>
              <w:tl2br w:val="nil"/>
              <w:tr2bl w:val="nil"/>
            </w:tcBorders>
            <w:vAlign w:val="center"/>
          </w:tcPr>
          <w:p w14:paraId="109DABC4">
            <w:pPr>
              <w:widowControl/>
              <w:spacing w:line="240" w:lineRule="auto"/>
              <w:ind w:firstLine="0" w:firstLineChars="0"/>
              <w:jc w:val="center"/>
              <w:textAlignment w:val="center"/>
              <w:rPr>
                <w:color w:val="auto"/>
                <w:kern w:val="0"/>
                <w:sz w:val="21"/>
                <w:szCs w:val="21"/>
                <w:lang w:bidi="ar"/>
              </w:rPr>
            </w:pPr>
          </w:p>
        </w:tc>
        <w:tc>
          <w:tcPr>
            <w:tcW w:w="599" w:type="pct"/>
            <w:vMerge w:val="continue"/>
            <w:tcBorders>
              <w:tl2br w:val="nil"/>
              <w:tr2bl w:val="nil"/>
            </w:tcBorders>
            <w:vAlign w:val="center"/>
          </w:tcPr>
          <w:p w14:paraId="5E664AAC">
            <w:pPr>
              <w:widowControl/>
              <w:spacing w:line="240" w:lineRule="auto"/>
              <w:ind w:firstLine="0" w:firstLineChars="0"/>
              <w:jc w:val="center"/>
              <w:textAlignment w:val="center"/>
              <w:rPr>
                <w:color w:val="auto"/>
                <w:sz w:val="21"/>
                <w:szCs w:val="21"/>
              </w:rPr>
            </w:pPr>
          </w:p>
        </w:tc>
      </w:tr>
      <w:tr w14:paraId="0B129D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599" w:hRule="atLeast"/>
          <w:tblHeader/>
          <w:jc w:val="center"/>
        </w:trPr>
        <w:tc>
          <w:tcPr>
            <w:tcW w:w="471" w:type="pct"/>
            <w:tcBorders>
              <w:tl2br w:val="nil"/>
              <w:tr2bl w:val="nil"/>
            </w:tcBorders>
            <w:vAlign w:val="center"/>
          </w:tcPr>
          <w:p w14:paraId="72FC876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除尘器</w:t>
            </w:r>
          </w:p>
        </w:tc>
        <w:tc>
          <w:tcPr>
            <w:tcW w:w="271" w:type="pct"/>
            <w:tcBorders>
              <w:tl2br w:val="nil"/>
              <w:tr2bl w:val="nil"/>
            </w:tcBorders>
            <w:vAlign w:val="center"/>
          </w:tcPr>
          <w:p w14:paraId="3736CCD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S4</w:t>
            </w:r>
          </w:p>
        </w:tc>
        <w:tc>
          <w:tcPr>
            <w:tcW w:w="530" w:type="pct"/>
            <w:tcBorders>
              <w:tl2br w:val="nil"/>
              <w:tr2bl w:val="nil"/>
            </w:tcBorders>
            <w:vAlign w:val="center"/>
          </w:tcPr>
          <w:p w14:paraId="48FC9A7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除尘灰</w:t>
            </w:r>
          </w:p>
        </w:tc>
        <w:tc>
          <w:tcPr>
            <w:tcW w:w="457" w:type="pct"/>
            <w:tcBorders>
              <w:tl2br w:val="nil"/>
              <w:tr2bl w:val="nil"/>
            </w:tcBorders>
            <w:vAlign w:val="center"/>
          </w:tcPr>
          <w:p w14:paraId="456285C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废气处理</w:t>
            </w:r>
          </w:p>
        </w:tc>
        <w:tc>
          <w:tcPr>
            <w:tcW w:w="326" w:type="pct"/>
            <w:tcBorders>
              <w:tl2br w:val="nil"/>
              <w:tr2bl w:val="nil"/>
            </w:tcBorders>
            <w:vAlign w:val="center"/>
          </w:tcPr>
          <w:p w14:paraId="6889299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固</w:t>
            </w:r>
          </w:p>
        </w:tc>
        <w:tc>
          <w:tcPr>
            <w:tcW w:w="1065" w:type="pct"/>
            <w:tcBorders>
              <w:tl2br w:val="nil"/>
              <w:tr2bl w:val="nil"/>
            </w:tcBorders>
            <w:vAlign w:val="center"/>
          </w:tcPr>
          <w:p w14:paraId="2FBDF98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538" w:type="pct"/>
            <w:tcBorders>
              <w:tl2br w:val="nil"/>
              <w:tr2bl w:val="nil"/>
            </w:tcBorders>
            <w:vAlign w:val="center"/>
          </w:tcPr>
          <w:p w14:paraId="7865E51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5.76</w:t>
            </w:r>
          </w:p>
        </w:tc>
        <w:tc>
          <w:tcPr>
            <w:tcW w:w="417" w:type="pct"/>
            <w:tcBorders>
              <w:tl2br w:val="nil"/>
              <w:tr2bl w:val="nil"/>
            </w:tcBorders>
            <w:vAlign w:val="center"/>
          </w:tcPr>
          <w:p w14:paraId="1279DBC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322" w:type="pct"/>
            <w:tcBorders>
              <w:tl2br w:val="nil"/>
              <w:tr2bl w:val="nil"/>
            </w:tcBorders>
            <w:vAlign w:val="center"/>
          </w:tcPr>
          <w:p w14:paraId="603C86D5">
            <w:pPr>
              <w:widowControl/>
              <w:spacing w:line="240" w:lineRule="auto"/>
              <w:ind w:firstLine="0" w:firstLineChars="0"/>
              <w:jc w:val="center"/>
              <w:textAlignment w:val="center"/>
              <w:rPr>
                <w:color w:val="auto"/>
                <w:kern w:val="0"/>
                <w:sz w:val="21"/>
                <w:szCs w:val="21"/>
                <w:lang w:bidi="ar"/>
              </w:rPr>
            </w:pPr>
          </w:p>
        </w:tc>
        <w:tc>
          <w:tcPr>
            <w:tcW w:w="599" w:type="pct"/>
            <w:vMerge w:val="continue"/>
            <w:tcBorders>
              <w:tl2br w:val="nil"/>
              <w:tr2bl w:val="nil"/>
            </w:tcBorders>
            <w:vAlign w:val="center"/>
          </w:tcPr>
          <w:p w14:paraId="3994ED53">
            <w:pPr>
              <w:widowControl/>
              <w:spacing w:line="240" w:lineRule="auto"/>
              <w:ind w:firstLine="0" w:firstLineChars="0"/>
              <w:jc w:val="center"/>
              <w:textAlignment w:val="center"/>
              <w:rPr>
                <w:color w:val="auto"/>
                <w:sz w:val="21"/>
                <w:szCs w:val="21"/>
              </w:rPr>
            </w:pPr>
          </w:p>
        </w:tc>
      </w:tr>
      <w:tr w14:paraId="6D11DE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3" w:hRule="atLeast"/>
          <w:tblHeader/>
          <w:jc w:val="center"/>
        </w:trPr>
        <w:tc>
          <w:tcPr>
            <w:tcW w:w="471" w:type="pct"/>
            <w:tcBorders>
              <w:tl2br w:val="nil"/>
              <w:tr2bl w:val="nil"/>
            </w:tcBorders>
            <w:vAlign w:val="center"/>
          </w:tcPr>
          <w:p w14:paraId="0017744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化验</w:t>
            </w:r>
          </w:p>
        </w:tc>
        <w:tc>
          <w:tcPr>
            <w:tcW w:w="271" w:type="pct"/>
            <w:tcBorders>
              <w:tl2br w:val="nil"/>
              <w:tr2bl w:val="nil"/>
            </w:tcBorders>
            <w:vAlign w:val="center"/>
          </w:tcPr>
          <w:p w14:paraId="1F742F7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S5</w:t>
            </w:r>
          </w:p>
        </w:tc>
        <w:tc>
          <w:tcPr>
            <w:tcW w:w="530" w:type="pct"/>
            <w:tcBorders>
              <w:tl2br w:val="nil"/>
              <w:tr2bl w:val="nil"/>
            </w:tcBorders>
            <w:vAlign w:val="center"/>
          </w:tcPr>
          <w:p w14:paraId="2A40C94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实验室废物</w:t>
            </w:r>
          </w:p>
        </w:tc>
        <w:tc>
          <w:tcPr>
            <w:tcW w:w="457" w:type="pct"/>
            <w:tcBorders>
              <w:tl2br w:val="nil"/>
              <w:tr2bl w:val="nil"/>
            </w:tcBorders>
            <w:vAlign w:val="center"/>
          </w:tcPr>
          <w:p w14:paraId="4AD2A5F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化验</w:t>
            </w:r>
          </w:p>
        </w:tc>
        <w:tc>
          <w:tcPr>
            <w:tcW w:w="326" w:type="pct"/>
            <w:tcBorders>
              <w:tl2br w:val="nil"/>
              <w:tr2bl w:val="nil"/>
            </w:tcBorders>
            <w:vAlign w:val="center"/>
          </w:tcPr>
          <w:p w14:paraId="6F54F93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固</w:t>
            </w:r>
            <w:r>
              <w:rPr>
                <w:rFonts w:hint="eastAsia"/>
                <w:color w:val="auto"/>
                <w:kern w:val="0"/>
                <w:sz w:val="21"/>
                <w:szCs w:val="21"/>
                <w:lang w:bidi="ar"/>
              </w:rPr>
              <w:t>/液</w:t>
            </w:r>
          </w:p>
        </w:tc>
        <w:tc>
          <w:tcPr>
            <w:tcW w:w="1065" w:type="pct"/>
            <w:tcBorders>
              <w:tl2br w:val="nil"/>
              <w:tr2bl w:val="nil"/>
            </w:tcBorders>
            <w:vAlign w:val="center"/>
          </w:tcPr>
          <w:p w14:paraId="1A45AC7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硫酸、盐酸、高锰酸盐等</w:t>
            </w:r>
          </w:p>
        </w:tc>
        <w:tc>
          <w:tcPr>
            <w:tcW w:w="538" w:type="pct"/>
            <w:tcBorders>
              <w:tl2br w:val="nil"/>
              <w:tr2bl w:val="nil"/>
            </w:tcBorders>
            <w:vAlign w:val="center"/>
          </w:tcPr>
          <w:p w14:paraId="7610F14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0.5</w:t>
            </w:r>
          </w:p>
        </w:tc>
        <w:tc>
          <w:tcPr>
            <w:tcW w:w="417" w:type="pct"/>
            <w:tcBorders>
              <w:tl2br w:val="nil"/>
              <w:tr2bl w:val="nil"/>
            </w:tcBorders>
            <w:vAlign w:val="center"/>
          </w:tcPr>
          <w:p w14:paraId="5001435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322" w:type="pct"/>
            <w:tcBorders>
              <w:tl2br w:val="nil"/>
              <w:tr2bl w:val="nil"/>
            </w:tcBorders>
            <w:vAlign w:val="center"/>
          </w:tcPr>
          <w:p w14:paraId="353A6E0B">
            <w:pPr>
              <w:widowControl/>
              <w:spacing w:line="240" w:lineRule="auto"/>
              <w:ind w:firstLine="0" w:firstLineChars="0"/>
              <w:jc w:val="center"/>
              <w:textAlignment w:val="center"/>
              <w:rPr>
                <w:color w:val="auto"/>
                <w:kern w:val="0"/>
                <w:sz w:val="21"/>
                <w:szCs w:val="21"/>
                <w:lang w:bidi="ar"/>
              </w:rPr>
            </w:pPr>
          </w:p>
        </w:tc>
        <w:tc>
          <w:tcPr>
            <w:tcW w:w="599" w:type="pct"/>
            <w:vMerge w:val="continue"/>
            <w:tcBorders>
              <w:tl2br w:val="nil"/>
              <w:tr2bl w:val="nil"/>
            </w:tcBorders>
            <w:vAlign w:val="center"/>
          </w:tcPr>
          <w:p w14:paraId="5C0500C6">
            <w:pPr>
              <w:widowControl/>
              <w:spacing w:line="240" w:lineRule="auto"/>
              <w:ind w:firstLine="0" w:firstLineChars="0"/>
              <w:jc w:val="center"/>
              <w:textAlignment w:val="center"/>
              <w:rPr>
                <w:color w:val="auto"/>
                <w:sz w:val="21"/>
                <w:szCs w:val="21"/>
              </w:rPr>
            </w:pPr>
          </w:p>
        </w:tc>
      </w:tr>
      <w:tr w14:paraId="5FB852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blHeader/>
          <w:jc w:val="center"/>
        </w:trPr>
        <w:tc>
          <w:tcPr>
            <w:tcW w:w="471" w:type="pct"/>
            <w:tcBorders>
              <w:tl2br w:val="nil"/>
              <w:tr2bl w:val="nil"/>
            </w:tcBorders>
            <w:vAlign w:val="center"/>
          </w:tcPr>
          <w:p w14:paraId="6738666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污水处理装置</w:t>
            </w:r>
          </w:p>
        </w:tc>
        <w:tc>
          <w:tcPr>
            <w:tcW w:w="271" w:type="pct"/>
            <w:tcBorders>
              <w:tl2br w:val="nil"/>
              <w:tr2bl w:val="nil"/>
            </w:tcBorders>
            <w:vAlign w:val="center"/>
          </w:tcPr>
          <w:p w14:paraId="7803072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S6</w:t>
            </w:r>
          </w:p>
        </w:tc>
        <w:tc>
          <w:tcPr>
            <w:tcW w:w="530" w:type="pct"/>
            <w:tcBorders>
              <w:tl2br w:val="nil"/>
              <w:tr2bl w:val="nil"/>
            </w:tcBorders>
            <w:vAlign w:val="center"/>
          </w:tcPr>
          <w:p w14:paraId="70EDDFB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污水处理污泥</w:t>
            </w:r>
          </w:p>
        </w:tc>
        <w:tc>
          <w:tcPr>
            <w:tcW w:w="457" w:type="pct"/>
            <w:tcBorders>
              <w:tl2br w:val="nil"/>
              <w:tr2bl w:val="nil"/>
            </w:tcBorders>
            <w:vAlign w:val="center"/>
          </w:tcPr>
          <w:p w14:paraId="7F831BA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污水处理</w:t>
            </w:r>
          </w:p>
        </w:tc>
        <w:tc>
          <w:tcPr>
            <w:tcW w:w="326" w:type="pct"/>
            <w:tcBorders>
              <w:tl2br w:val="nil"/>
              <w:tr2bl w:val="nil"/>
            </w:tcBorders>
            <w:vAlign w:val="center"/>
          </w:tcPr>
          <w:p w14:paraId="63E350A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固/液</w:t>
            </w:r>
          </w:p>
        </w:tc>
        <w:tc>
          <w:tcPr>
            <w:tcW w:w="1065" w:type="pct"/>
            <w:tcBorders>
              <w:tl2br w:val="nil"/>
              <w:tr2bl w:val="nil"/>
            </w:tcBorders>
            <w:vAlign w:val="center"/>
          </w:tcPr>
          <w:p w14:paraId="7A92D11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污泥、水等</w:t>
            </w:r>
          </w:p>
        </w:tc>
        <w:tc>
          <w:tcPr>
            <w:tcW w:w="538" w:type="pct"/>
            <w:tcBorders>
              <w:tl2br w:val="nil"/>
              <w:tr2bl w:val="nil"/>
            </w:tcBorders>
            <w:vAlign w:val="center"/>
          </w:tcPr>
          <w:p w14:paraId="522479B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11.57</w:t>
            </w:r>
          </w:p>
        </w:tc>
        <w:tc>
          <w:tcPr>
            <w:tcW w:w="417" w:type="pct"/>
            <w:tcBorders>
              <w:tl2br w:val="nil"/>
              <w:tr2bl w:val="nil"/>
            </w:tcBorders>
            <w:vAlign w:val="center"/>
          </w:tcPr>
          <w:p w14:paraId="3C9B5419">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322" w:type="pct"/>
            <w:tcBorders>
              <w:tl2br w:val="nil"/>
              <w:tr2bl w:val="nil"/>
            </w:tcBorders>
            <w:vAlign w:val="center"/>
          </w:tcPr>
          <w:p w14:paraId="5D65107B">
            <w:pPr>
              <w:widowControl/>
              <w:spacing w:line="240" w:lineRule="auto"/>
              <w:ind w:firstLine="0" w:firstLineChars="0"/>
              <w:jc w:val="center"/>
              <w:textAlignment w:val="center"/>
              <w:rPr>
                <w:color w:val="auto"/>
                <w:kern w:val="0"/>
                <w:sz w:val="21"/>
                <w:szCs w:val="21"/>
                <w:lang w:bidi="ar"/>
              </w:rPr>
            </w:pPr>
          </w:p>
        </w:tc>
        <w:tc>
          <w:tcPr>
            <w:tcW w:w="599" w:type="pct"/>
            <w:vMerge w:val="continue"/>
            <w:tcBorders>
              <w:tl2br w:val="nil"/>
              <w:tr2bl w:val="nil"/>
            </w:tcBorders>
            <w:vAlign w:val="center"/>
          </w:tcPr>
          <w:p w14:paraId="0BB0A0AA">
            <w:pPr>
              <w:widowControl/>
              <w:spacing w:line="240" w:lineRule="auto"/>
              <w:ind w:firstLine="0" w:firstLineChars="0"/>
              <w:jc w:val="center"/>
              <w:textAlignment w:val="center"/>
              <w:rPr>
                <w:color w:val="auto"/>
                <w:sz w:val="21"/>
                <w:szCs w:val="21"/>
              </w:rPr>
            </w:pPr>
          </w:p>
        </w:tc>
      </w:tr>
      <w:bookmarkEnd w:id="151"/>
    </w:tbl>
    <w:p w14:paraId="0D3CDEF8">
      <w:pPr>
        <w:pStyle w:val="49"/>
        <w:rPr>
          <w:color w:val="auto"/>
        </w:rPr>
      </w:pPr>
      <w:bookmarkStart w:id="152" w:name="_Hlk54249021"/>
    </w:p>
    <w:p w14:paraId="73373666">
      <w:pPr>
        <w:pStyle w:val="49"/>
        <w:rPr>
          <w:color w:val="auto"/>
        </w:rPr>
      </w:pPr>
      <w:r>
        <w:rPr>
          <w:color w:val="auto"/>
        </w:rPr>
        <w:t>表</w:t>
      </w:r>
      <w:r>
        <w:rPr>
          <w:rFonts w:hint="eastAsia"/>
          <w:color w:val="auto"/>
        </w:rPr>
        <w:t>4.6-2  拟建</w:t>
      </w:r>
      <w:r>
        <w:rPr>
          <w:color w:val="auto"/>
        </w:rPr>
        <w:t>项目固体废物分析结果汇总表</w:t>
      </w:r>
    </w:p>
    <w:tbl>
      <w:tblPr>
        <w:tblStyle w:val="24"/>
        <w:tblW w:w="4883"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513"/>
        <w:gridCol w:w="1310"/>
        <w:gridCol w:w="940"/>
        <w:gridCol w:w="1145"/>
        <w:gridCol w:w="710"/>
        <w:gridCol w:w="2417"/>
        <w:gridCol w:w="1131"/>
        <w:gridCol w:w="1007"/>
        <w:gridCol w:w="1781"/>
        <w:gridCol w:w="1238"/>
        <w:gridCol w:w="1050"/>
        <w:gridCol w:w="987"/>
      </w:tblGrid>
      <w:tr w14:paraId="150E3E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180" w:type="pct"/>
            <w:tcBorders>
              <w:tl2br w:val="nil"/>
              <w:tr2bl w:val="nil"/>
            </w:tcBorders>
            <w:vAlign w:val="center"/>
          </w:tcPr>
          <w:p w14:paraId="3848A4E9">
            <w:pPr>
              <w:spacing w:line="240" w:lineRule="auto"/>
              <w:ind w:firstLine="0" w:firstLineChars="0"/>
              <w:jc w:val="center"/>
              <w:rPr>
                <w:b/>
                <w:color w:val="auto"/>
                <w:sz w:val="21"/>
                <w:szCs w:val="21"/>
              </w:rPr>
            </w:pPr>
            <w:r>
              <w:rPr>
                <w:b/>
                <w:color w:val="auto"/>
                <w:sz w:val="21"/>
                <w:szCs w:val="21"/>
              </w:rPr>
              <w:t>编号</w:t>
            </w:r>
          </w:p>
        </w:tc>
        <w:tc>
          <w:tcPr>
            <w:tcW w:w="459" w:type="pct"/>
            <w:tcBorders>
              <w:tl2br w:val="nil"/>
              <w:tr2bl w:val="nil"/>
            </w:tcBorders>
            <w:vAlign w:val="center"/>
          </w:tcPr>
          <w:p w14:paraId="158E6100">
            <w:pPr>
              <w:spacing w:line="240" w:lineRule="auto"/>
              <w:ind w:firstLine="0" w:firstLineChars="0"/>
              <w:jc w:val="center"/>
              <w:rPr>
                <w:b/>
                <w:color w:val="auto"/>
                <w:sz w:val="21"/>
                <w:szCs w:val="21"/>
              </w:rPr>
            </w:pPr>
            <w:r>
              <w:rPr>
                <w:b/>
                <w:color w:val="auto"/>
                <w:sz w:val="21"/>
                <w:szCs w:val="21"/>
              </w:rPr>
              <w:t>固废名称</w:t>
            </w:r>
          </w:p>
        </w:tc>
        <w:tc>
          <w:tcPr>
            <w:tcW w:w="330" w:type="pct"/>
            <w:tcBorders>
              <w:tl2br w:val="nil"/>
              <w:tr2bl w:val="nil"/>
            </w:tcBorders>
            <w:vAlign w:val="center"/>
          </w:tcPr>
          <w:p w14:paraId="56F8E3EA">
            <w:pPr>
              <w:widowControl/>
              <w:spacing w:line="240" w:lineRule="auto"/>
              <w:ind w:firstLine="0" w:firstLineChars="0"/>
              <w:jc w:val="center"/>
              <w:rPr>
                <w:b/>
                <w:color w:val="auto"/>
                <w:kern w:val="0"/>
                <w:sz w:val="21"/>
                <w:szCs w:val="21"/>
              </w:rPr>
            </w:pPr>
            <w:r>
              <w:rPr>
                <w:b/>
                <w:color w:val="auto"/>
                <w:kern w:val="0"/>
                <w:sz w:val="21"/>
                <w:szCs w:val="21"/>
              </w:rPr>
              <w:t>属性</w:t>
            </w:r>
          </w:p>
        </w:tc>
        <w:tc>
          <w:tcPr>
            <w:tcW w:w="402" w:type="pct"/>
            <w:tcBorders>
              <w:tl2br w:val="nil"/>
              <w:tr2bl w:val="nil"/>
            </w:tcBorders>
            <w:vAlign w:val="center"/>
          </w:tcPr>
          <w:p w14:paraId="3D5FCB18">
            <w:pPr>
              <w:widowControl/>
              <w:spacing w:line="240" w:lineRule="auto"/>
              <w:ind w:firstLine="0" w:firstLineChars="0"/>
              <w:jc w:val="center"/>
              <w:rPr>
                <w:b/>
                <w:color w:val="auto"/>
                <w:kern w:val="0"/>
                <w:sz w:val="21"/>
                <w:szCs w:val="21"/>
              </w:rPr>
            </w:pPr>
            <w:r>
              <w:rPr>
                <w:b/>
                <w:color w:val="auto"/>
                <w:kern w:val="0"/>
                <w:sz w:val="21"/>
                <w:szCs w:val="21"/>
              </w:rPr>
              <w:t>产生工序</w:t>
            </w:r>
          </w:p>
        </w:tc>
        <w:tc>
          <w:tcPr>
            <w:tcW w:w="249" w:type="pct"/>
            <w:tcBorders>
              <w:tl2br w:val="nil"/>
              <w:tr2bl w:val="nil"/>
            </w:tcBorders>
            <w:vAlign w:val="center"/>
          </w:tcPr>
          <w:p w14:paraId="633A78F7">
            <w:pPr>
              <w:widowControl/>
              <w:spacing w:line="240" w:lineRule="auto"/>
              <w:ind w:firstLine="0" w:firstLineChars="0"/>
              <w:jc w:val="center"/>
              <w:rPr>
                <w:b/>
                <w:color w:val="auto"/>
                <w:kern w:val="0"/>
                <w:sz w:val="21"/>
                <w:szCs w:val="21"/>
              </w:rPr>
            </w:pPr>
            <w:r>
              <w:rPr>
                <w:b/>
                <w:color w:val="auto"/>
                <w:kern w:val="0"/>
                <w:sz w:val="21"/>
                <w:szCs w:val="21"/>
              </w:rPr>
              <w:t>形态</w:t>
            </w:r>
          </w:p>
        </w:tc>
        <w:tc>
          <w:tcPr>
            <w:tcW w:w="848" w:type="pct"/>
            <w:tcBorders>
              <w:tl2br w:val="nil"/>
              <w:tr2bl w:val="nil"/>
            </w:tcBorders>
            <w:vAlign w:val="center"/>
          </w:tcPr>
          <w:p w14:paraId="2396FF39">
            <w:pPr>
              <w:widowControl/>
              <w:spacing w:line="240" w:lineRule="auto"/>
              <w:ind w:firstLine="0" w:firstLineChars="0"/>
              <w:jc w:val="center"/>
              <w:rPr>
                <w:b/>
                <w:color w:val="auto"/>
                <w:kern w:val="0"/>
                <w:sz w:val="21"/>
                <w:szCs w:val="21"/>
              </w:rPr>
            </w:pPr>
            <w:r>
              <w:rPr>
                <w:b/>
                <w:color w:val="auto"/>
                <w:kern w:val="0"/>
                <w:sz w:val="21"/>
                <w:szCs w:val="21"/>
              </w:rPr>
              <w:t>主要成分</w:t>
            </w:r>
          </w:p>
        </w:tc>
        <w:tc>
          <w:tcPr>
            <w:tcW w:w="397" w:type="pct"/>
            <w:tcBorders>
              <w:tl2br w:val="nil"/>
              <w:tr2bl w:val="nil"/>
            </w:tcBorders>
            <w:vAlign w:val="center"/>
          </w:tcPr>
          <w:p w14:paraId="4353417D">
            <w:pPr>
              <w:widowControl/>
              <w:spacing w:line="240" w:lineRule="auto"/>
              <w:ind w:firstLine="0" w:firstLineChars="0"/>
              <w:jc w:val="center"/>
              <w:rPr>
                <w:b/>
                <w:color w:val="auto"/>
                <w:kern w:val="0"/>
                <w:sz w:val="21"/>
                <w:szCs w:val="21"/>
              </w:rPr>
            </w:pPr>
            <w:r>
              <w:rPr>
                <w:b/>
                <w:color w:val="auto"/>
                <w:kern w:val="0"/>
                <w:sz w:val="21"/>
                <w:szCs w:val="21"/>
              </w:rPr>
              <w:t>危险特性鉴别方法</w:t>
            </w:r>
          </w:p>
        </w:tc>
        <w:tc>
          <w:tcPr>
            <w:tcW w:w="354" w:type="pct"/>
            <w:tcBorders>
              <w:tl2br w:val="nil"/>
              <w:tr2bl w:val="nil"/>
            </w:tcBorders>
            <w:vAlign w:val="center"/>
          </w:tcPr>
          <w:p w14:paraId="65B7BFDB">
            <w:pPr>
              <w:widowControl/>
              <w:spacing w:line="240" w:lineRule="auto"/>
              <w:ind w:firstLine="0" w:firstLineChars="0"/>
              <w:jc w:val="center"/>
              <w:rPr>
                <w:b/>
                <w:color w:val="auto"/>
                <w:kern w:val="0"/>
                <w:sz w:val="21"/>
                <w:szCs w:val="21"/>
              </w:rPr>
            </w:pPr>
            <w:r>
              <w:rPr>
                <w:b/>
                <w:color w:val="auto"/>
                <w:kern w:val="0"/>
                <w:sz w:val="21"/>
                <w:szCs w:val="21"/>
              </w:rPr>
              <w:t>危废特性</w:t>
            </w:r>
          </w:p>
        </w:tc>
        <w:tc>
          <w:tcPr>
            <w:tcW w:w="625" w:type="pct"/>
            <w:tcBorders>
              <w:tl2br w:val="nil"/>
              <w:tr2bl w:val="nil"/>
            </w:tcBorders>
            <w:vAlign w:val="center"/>
          </w:tcPr>
          <w:p w14:paraId="045B22AF">
            <w:pPr>
              <w:widowControl/>
              <w:spacing w:line="240" w:lineRule="auto"/>
              <w:ind w:firstLine="0" w:firstLineChars="0"/>
              <w:jc w:val="center"/>
              <w:rPr>
                <w:b/>
                <w:color w:val="auto"/>
                <w:kern w:val="0"/>
                <w:sz w:val="21"/>
                <w:szCs w:val="21"/>
              </w:rPr>
            </w:pPr>
            <w:r>
              <w:rPr>
                <w:b/>
                <w:color w:val="auto"/>
                <w:kern w:val="0"/>
                <w:sz w:val="21"/>
                <w:szCs w:val="21"/>
              </w:rPr>
              <w:t>废物类别</w:t>
            </w:r>
          </w:p>
        </w:tc>
        <w:tc>
          <w:tcPr>
            <w:tcW w:w="434" w:type="pct"/>
            <w:tcBorders>
              <w:tl2br w:val="nil"/>
              <w:tr2bl w:val="nil"/>
            </w:tcBorders>
            <w:vAlign w:val="center"/>
          </w:tcPr>
          <w:p w14:paraId="7CB0736A">
            <w:pPr>
              <w:widowControl/>
              <w:spacing w:line="240" w:lineRule="auto"/>
              <w:ind w:firstLine="0" w:firstLineChars="0"/>
              <w:jc w:val="center"/>
              <w:rPr>
                <w:b/>
                <w:color w:val="auto"/>
                <w:kern w:val="0"/>
                <w:sz w:val="21"/>
                <w:szCs w:val="21"/>
              </w:rPr>
            </w:pPr>
            <w:r>
              <w:rPr>
                <w:b/>
                <w:color w:val="auto"/>
                <w:kern w:val="0"/>
                <w:sz w:val="21"/>
                <w:szCs w:val="21"/>
              </w:rPr>
              <w:t>废物代码</w:t>
            </w:r>
          </w:p>
        </w:tc>
        <w:tc>
          <w:tcPr>
            <w:tcW w:w="369" w:type="pct"/>
            <w:tcBorders>
              <w:tl2br w:val="nil"/>
              <w:tr2bl w:val="nil"/>
            </w:tcBorders>
            <w:vAlign w:val="center"/>
          </w:tcPr>
          <w:p w14:paraId="6521EAA7">
            <w:pPr>
              <w:widowControl/>
              <w:spacing w:line="240" w:lineRule="auto"/>
              <w:ind w:firstLine="0" w:firstLineChars="0"/>
              <w:jc w:val="center"/>
              <w:rPr>
                <w:b/>
                <w:color w:val="auto"/>
                <w:kern w:val="0"/>
                <w:sz w:val="21"/>
                <w:szCs w:val="21"/>
              </w:rPr>
            </w:pPr>
            <w:r>
              <w:rPr>
                <w:b/>
                <w:color w:val="auto"/>
                <w:kern w:val="0"/>
                <w:sz w:val="21"/>
                <w:szCs w:val="21"/>
              </w:rPr>
              <w:t>预测产生量（吨/年）</w:t>
            </w:r>
          </w:p>
        </w:tc>
        <w:tc>
          <w:tcPr>
            <w:tcW w:w="347" w:type="pct"/>
            <w:tcBorders>
              <w:tl2br w:val="nil"/>
              <w:tr2bl w:val="nil"/>
            </w:tcBorders>
            <w:vAlign w:val="center"/>
          </w:tcPr>
          <w:p w14:paraId="19132BBD">
            <w:pPr>
              <w:widowControl/>
              <w:spacing w:line="240" w:lineRule="auto"/>
              <w:ind w:firstLine="0" w:firstLineChars="0"/>
              <w:jc w:val="center"/>
              <w:rPr>
                <w:b/>
                <w:color w:val="auto"/>
                <w:kern w:val="0"/>
                <w:sz w:val="21"/>
                <w:szCs w:val="21"/>
              </w:rPr>
            </w:pPr>
            <w:r>
              <w:rPr>
                <w:b/>
                <w:color w:val="auto"/>
                <w:kern w:val="0"/>
                <w:sz w:val="21"/>
                <w:szCs w:val="21"/>
              </w:rPr>
              <w:t>处置途径</w:t>
            </w:r>
          </w:p>
        </w:tc>
      </w:tr>
      <w:tr w14:paraId="7DE6E7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180" w:type="pct"/>
            <w:tcBorders>
              <w:tl2br w:val="nil"/>
              <w:tr2bl w:val="nil"/>
            </w:tcBorders>
            <w:vAlign w:val="center"/>
          </w:tcPr>
          <w:p w14:paraId="1EA1569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S1</w:t>
            </w:r>
          </w:p>
        </w:tc>
        <w:tc>
          <w:tcPr>
            <w:tcW w:w="459" w:type="pct"/>
            <w:tcBorders>
              <w:tl2br w:val="nil"/>
              <w:tr2bl w:val="nil"/>
            </w:tcBorders>
            <w:vAlign w:val="center"/>
          </w:tcPr>
          <w:p w14:paraId="60ADA52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废过滤材料</w:t>
            </w:r>
          </w:p>
        </w:tc>
        <w:tc>
          <w:tcPr>
            <w:tcW w:w="330" w:type="pct"/>
            <w:vMerge w:val="restart"/>
            <w:tcBorders>
              <w:tl2br w:val="nil"/>
              <w:tr2bl w:val="nil"/>
            </w:tcBorders>
            <w:vAlign w:val="center"/>
          </w:tcPr>
          <w:p w14:paraId="2462F0DA">
            <w:pPr>
              <w:spacing w:line="240" w:lineRule="auto"/>
              <w:ind w:firstLine="0" w:firstLineChars="0"/>
              <w:jc w:val="center"/>
              <w:rPr>
                <w:color w:val="auto"/>
                <w:sz w:val="21"/>
                <w:szCs w:val="21"/>
              </w:rPr>
            </w:pPr>
            <w:r>
              <w:rPr>
                <w:rFonts w:hint="eastAsia"/>
                <w:color w:val="auto"/>
                <w:sz w:val="21"/>
                <w:szCs w:val="21"/>
              </w:rPr>
              <w:t>危险废物</w:t>
            </w:r>
          </w:p>
        </w:tc>
        <w:tc>
          <w:tcPr>
            <w:tcW w:w="402" w:type="pct"/>
            <w:tcBorders>
              <w:tl2br w:val="nil"/>
              <w:tr2bl w:val="nil"/>
            </w:tcBorders>
            <w:vAlign w:val="center"/>
          </w:tcPr>
          <w:p w14:paraId="59E0FC2A">
            <w:pPr>
              <w:widowControl/>
              <w:spacing w:line="240" w:lineRule="auto"/>
              <w:ind w:firstLine="0" w:firstLineChars="0"/>
              <w:jc w:val="center"/>
              <w:textAlignment w:val="center"/>
              <w:rPr>
                <w:color w:val="auto"/>
                <w:kern w:val="0"/>
                <w:sz w:val="21"/>
                <w:szCs w:val="21"/>
                <w:lang w:bidi="ar"/>
              </w:rPr>
            </w:pPr>
            <w:r>
              <w:rPr>
                <w:rFonts w:hint="eastAsia"/>
                <w:color w:val="auto"/>
                <w:sz w:val="21"/>
                <w:szCs w:val="21"/>
              </w:rPr>
              <w:t>过滤</w:t>
            </w:r>
          </w:p>
        </w:tc>
        <w:tc>
          <w:tcPr>
            <w:tcW w:w="249" w:type="pct"/>
            <w:tcBorders>
              <w:tl2br w:val="nil"/>
              <w:tr2bl w:val="nil"/>
            </w:tcBorders>
            <w:noWrap/>
            <w:vAlign w:val="center"/>
          </w:tcPr>
          <w:p w14:paraId="6DCECBC0">
            <w:pPr>
              <w:widowControl/>
              <w:spacing w:line="240" w:lineRule="auto"/>
              <w:ind w:firstLine="0" w:firstLineChars="0"/>
              <w:jc w:val="center"/>
              <w:textAlignment w:val="center"/>
              <w:rPr>
                <w:color w:val="auto"/>
                <w:sz w:val="21"/>
                <w:szCs w:val="21"/>
              </w:rPr>
            </w:pPr>
            <w:r>
              <w:rPr>
                <w:rFonts w:hint="eastAsia"/>
                <w:color w:val="auto"/>
                <w:sz w:val="21"/>
                <w:szCs w:val="21"/>
              </w:rPr>
              <w:t>固</w:t>
            </w:r>
          </w:p>
        </w:tc>
        <w:tc>
          <w:tcPr>
            <w:tcW w:w="848" w:type="pct"/>
            <w:tcBorders>
              <w:tl2br w:val="nil"/>
              <w:tr2bl w:val="nil"/>
            </w:tcBorders>
            <w:vAlign w:val="center"/>
          </w:tcPr>
          <w:p w14:paraId="2DE432B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过滤袋、滤网、滤布</w:t>
            </w:r>
          </w:p>
        </w:tc>
        <w:tc>
          <w:tcPr>
            <w:tcW w:w="397" w:type="pct"/>
            <w:vMerge w:val="restart"/>
            <w:tcBorders>
              <w:tl2br w:val="nil"/>
              <w:tr2bl w:val="nil"/>
            </w:tcBorders>
            <w:vAlign w:val="center"/>
          </w:tcPr>
          <w:p w14:paraId="7F7A22E9">
            <w:pPr>
              <w:tabs>
                <w:tab w:val="left" w:pos="2896"/>
              </w:tabs>
              <w:spacing w:line="240" w:lineRule="auto"/>
              <w:ind w:firstLine="0" w:firstLineChars="0"/>
              <w:jc w:val="center"/>
              <w:rPr>
                <w:color w:val="auto"/>
                <w:kern w:val="0"/>
                <w:sz w:val="21"/>
                <w:szCs w:val="21"/>
                <w:lang w:bidi="ar"/>
              </w:rPr>
            </w:pPr>
            <w:r>
              <w:rPr>
                <w:rFonts w:hint="eastAsia"/>
                <w:color w:val="auto"/>
                <w:kern w:val="0"/>
                <w:sz w:val="21"/>
                <w:szCs w:val="21"/>
                <w:lang w:bidi="ar"/>
              </w:rPr>
              <w:t>《国家危险废物名录》（2025年版）</w:t>
            </w:r>
          </w:p>
        </w:tc>
        <w:tc>
          <w:tcPr>
            <w:tcW w:w="354" w:type="pct"/>
            <w:tcBorders>
              <w:tl2br w:val="nil"/>
              <w:tr2bl w:val="nil"/>
            </w:tcBorders>
            <w:vAlign w:val="center"/>
          </w:tcPr>
          <w:p w14:paraId="02C505E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T/In/C/R</w:t>
            </w:r>
          </w:p>
        </w:tc>
        <w:tc>
          <w:tcPr>
            <w:tcW w:w="625" w:type="pct"/>
            <w:tcBorders>
              <w:tl2br w:val="nil"/>
              <w:tr2bl w:val="nil"/>
            </w:tcBorders>
            <w:vAlign w:val="center"/>
          </w:tcPr>
          <w:p w14:paraId="69E5F95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HW49</w:t>
            </w:r>
          </w:p>
        </w:tc>
        <w:tc>
          <w:tcPr>
            <w:tcW w:w="434" w:type="pct"/>
            <w:tcBorders>
              <w:tl2br w:val="nil"/>
              <w:tr2bl w:val="nil"/>
            </w:tcBorders>
            <w:vAlign w:val="center"/>
          </w:tcPr>
          <w:p w14:paraId="52AFDC4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900-041-49</w:t>
            </w:r>
          </w:p>
        </w:tc>
        <w:tc>
          <w:tcPr>
            <w:tcW w:w="369" w:type="pct"/>
            <w:tcBorders>
              <w:tl2br w:val="nil"/>
              <w:tr2bl w:val="nil"/>
            </w:tcBorders>
            <w:vAlign w:val="center"/>
          </w:tcPr>
          <w:p w14:paraId="1D81D45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1.54</w:t>
            </w:r>
          </w:p>
        </w:tc>
        <w:tc>
          <w:tcPr>
            <w:tcW w:w="347" w:type="pct"/>
            <w:vMerge w:val="restart"/>
            <w:tcBorders>
              <w:tl2br w:val="nil"/>
              <w:tr2bl w:val="nil"/>
            </w:tcBorders>
            <w:vAlign w:val="center"/>
          </w:tcPr>
          <w:p w14:paraId="355CA09D">
            <w:pPr>
              <w:spacing w:line="240" w:lineRule="auto"/>
              <w:ind w:firstLine="0" w:firstLineChars="0"/>
              <w:jc w:val="center"/>
              <w:rPr>
                <w:color w:val="auto"/>
                <w:sz w:val="21"/>
                <w:szCs w:val="21"/>
              </w:rPr>
            </w:pPr>
            <w:r>
              <w:rPr>
                <w:rFonts w:hint="eastAsia"/>
                <w:color w:val="auto"/>
                <w:sz w:val="21"/>
                <w:szCs w:val="21"/>
              </w:rPr>
              <w:t>暂存危废暂存库，定期委托有资质单位处置</w:t>
            </w:r>
          </w:p>
        </w:tc>
      </w:tr>
      <w:tr w14:paraId="38DB44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180" w:type="pct"/>
            <w:tcBorders>
              <w:tl2br w:val="nil"/>
              <w:tr2bl w:val="nil"/>
            </w:tcBorders>
            <w:vAlign w:val="center"/>
          </w:tcPr>
          <w:p w14:paraId="5B56C63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S2</w:t>
            </w:r>
          </w:p>
        </w:tc>
        <w:tc>
          <w:tcPr>
            <w:tcW w:w="459" w:type="pct"/>
            <w:tcBorders>
              <w:tl2br w:val="nil"/>
              <w:tr2bl w:val="nil"/>
            </w:tcBorders>
            <w:vAlign w:val="center"/>
          </w:tcPr>
          <w:p w14:paraId="58DA2E5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废包装桶</w:t>
            </w:r>
          </w:p>
        </w:tc>
        <w:tc>
          <w:tcPr>
            <w:tcW w:w="330" w:type="pct"/>
            <w:vMerge w:val="continue"/>
            <w:tcBorders>
              <w:tl2br w:val="nil"/>
              <w:tr2bl w:val="nil"/>
            </w:tcBorders>
            <w:vAlign w:val="center"/>
          </w:tcPr>
          <w:p w14:paraId="2BD9CD35">
            <w:pPr>
              <w:spacing w:line="240" w:lineRule="auto"/>
              <w:ind w:firstLine="0" w:firstLineChars="0"/>
              <w:jc w:val="center"/>
              <w:rPr>
                <w:color w:val="auto"/>
                <w:sz w:val="21"/>
                <w:szCs w:val="21"/>
              </w:rPr>
            </w:pPr>
          </w:p>
        </w:tc>
        <w:tc>
          <w:tcPr>
            <w:tcW w:w="402" w:type="pct"/>
            <w:tcBorders>
              <w:tl2br w:val="nil"/>
              <w:tr2bl w:val="nil"/>
            </w:tcBorders>
            <w:vAlign w:val="center"/>
          </w:tcPr>
          <w:p w14:paraId="20A9758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原料包装</w:t>
            </w:r>
          </w:p>
        </w:tc>
        <w:tc>
          <w:tcPr>
            <w:tcW w:w="249" w:type="pct"/>
            <w:tcBorders>
              <w:tl2br w:val="nil"/>
              <w:tr2bl w:val="nil"/>
            </w:tcBorders>
            <w:noWrap/>
            <w:vAlign w:val="center"/>
          </w:tcPr>
          <w:p w14:paraId="2D26C7F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w:t>
            </w:r>
          </w:p>
        </w:tc>
        <w:tc>
          <w:tcPr>
            <w:tcW w:w="848" w:type="pct"/>
            <w:tcBorders>
              <w:tl2br w:val="nil"/>
              <w:tr2bl w:val="nil"/>
            </w:tcBorders>
            <w:vAlign w:val="center"/>
          </w:tcPr>
          <w:p w14:paraId="5FF5C6A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沾染了化学原料和废液的包装袋、包装桶</w:t>
            </w:r>
          </w:p>
        </w:tc>
        <w:tc>
          <w:tcPr>
            <w:tcW w:w="397" w:type="pct"/>
            <w:vMerge w:val="continue"/>
            <w:tcBorders>
              <w:tl2br w:val="nil"/>
              <w:tr2bl w:val="nil"/>
            </w:tcBorders>
            <w:vAlign w:val="center"/>
          </w:tcPr>
          <w:p w14:paraId="00F4CA82">
            <w:pPr>
              <w:widowControl/>
              <w:spacing w:line="240" w:lineRule="auto"/>
              <w:ind w:firstLine="0" w:firstLineChars="0"/>
              <w:jc w:val="center"/>
              <w:textAlignment w:val="center"/>
              <w:rPr>
                <w:color w:val="auto"/>
                <w:kern w:val="0"/>
                <w:sz w:val="21"/>
                <w:szCs w:val="21"/>
                <w:lang w:bidi="ar"/>
              </w:rPr>
            </w:pPr>
          </w:p>
        </w:tc>
        <w:tc>
          <w:tcPr>
            <w:tcW w:w="354" w:type="pct"/>
            <w:tcBorders>
              <w:tl2br w:val="nil"/>
              <w:tr2bl w:val="nil"/>
            </w:tcBorders>
            <w:vAlign w:val="center"/>
          </w:tcPr>
          <w:p w14:paraId="03FDDC8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T/In/C/R</w:t>
            </w:r>
          </w:p>
        </w:tc>
        <w:tc>
          <w:tcPr>
            <w:tcW w:w="625" w:type="pct"/>
            <w:tcBorders>
              <w:tl2br w:val="nil"/>
              <w:tr2bl w:val="nil"/>
            </w:tcBorders>
            <w:vAlign w:val="center"/>
          </w:tcPr>
          <w:p w14:paraId="64EC684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HW49</w:t>
            </w:r>
          </w:p>
        </w:tc>
        <w:tc>
          <w:tcPr>
            <w:tcW w:w="434" w:type="pct"/>
            <w:tcBorders>
              <w:tl2br w:val="nil"/>
              <w:tr2bl w:val="nil"/>
            </w:tcBorders>
            <w:vAlign w:val="center"/>
          </w:tcPr>
          <w:p w14:paraId="5F6511A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900-041-49</w:t>
            </w:r>
          </w:p>
        </w:tc>
        <w:tc>
          <w:tcPr>
            <w:tcW w:w="369" w:type="pct"/>
            <w:tcBorders>
              <w:tl2br w:val="nil"/>
              <w:tr2bl w:val="nil"/>
            </w:tcBorders>
            <w:vAlign w:val="center"/>
          </w:tcPr>
          <w:p w14:paraId="0C3B563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10</w:t>
            </w:r>
          </w:p>
        </w:tc>
        <w:tc>
          <w:tcPr>
            <w:tcW w:w="347" w:type="pct"/>
            <w:vMerge w:val="continue"/>
            <w:tcBorders>
              <w:tl2br w:val="nil"/>
              <w:tr2bl w:val="nil"/>
            </w:tcBorders>
            <w:vAlign w:val="center"/>
          </w:tcPr>
          <w:p w14:paraId="7DED4527">
            <w:pPr>
              <w:spacing w:line="240" w:lineRule="auto"/>
              <w:ind w:firstLine="0" w:firstLineChars="0"/>
              <w:jc w:val="center"/>
              <w:rPr>
                <w:color w:val="auto"/>
                <w:sz w:val="21"/>
                <w:szCs w:val="21"/>
              </w:rPr>
            </w:pPr>
          </w:p>
        </w:tc>
      </w:tr>
      <w:tr w14:paraId="59C03F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180" w:type="pct"/>
            <w:tcBorders>
              <w:tl2br w:val="nil"/>
              <w:tr2bl w:val="nil"/>
            </w:tcBorders>
            <w:vAlign w:val="center"/>
          </w:tcPr>
          <w:p w14:paraId="1C88EFA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S3</w:t>
            </w:r>
          </w:p>
        </w:tc>
        <w:tc>
          <w:tcPr>
            <w:tcW w:w="459" w:type="pct"/>
            <w:tcBorders>
              <w:tl2br w:val="nil"/>
              <w:tr2bl w:val="nil"/>
            </w:tcBorders>
            <w:vAlign w:val="center"/>
          </w:tcPr>
          <w:p w14:paraId="29931BB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除尘灰</w:t>
            </w:r>
          </w:p>
        </w:tc>
        <w:tc>
          <w:tcPr>
            <w:tcW w:w="330" w:type="pct"/>
            <w:vMerge w:val="continue"/>
            <w:tcBorders>
              <w:tl2br w:val="nil"/>
              <w:tr2bl w:val="nil"/>
            </w:tcBorders>
            <w:vAlign w:val="center"/>
          </w:tcPr>
          <w:p w14:paraId="791ACE5E">
            <w:pPr>
              <w:widowControl/>
              <w:spacing w:line="240" w:lineRule="auto"/>
              <w:ind w:firstLine="0" w:firstLineChars="0"/>
              <w:jc w:val="center"/>
              <w:textAlignment w:val="center"/>
              <w:rPr>
                <w:color w:val="auto"/>
                <w:kern w:val="0"/>
                <w:sz w:val="21"/>
                <w:szCs w:val="21"/>
                <w:lang w:bidi="ar"/>
              </w:rPr>
            </w:pPr>
          </w:p>
        </w:tc>
        <w:tc>
          <w:tcPr>
            <w:tcW w:w="402" w:type="pct"/>
            <w:tcBorders>
              <w:tl2br w:val="nil"/>
              <w:tr2bl w:val="nil"/>
            </w:tcBorders>
            <w:vAlign w:val="center"/>
          </w:tcPr>
          <w:p w14:paraId="021056A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废气处理</w:t>
            </w:r>
          </w:p>
        </w:tc>
        <w:tc>
          <w:tcPr>
            <w:tcW w:w="249" w:type="pct"/>
            <w:tcBorders>
              <w:tl2br w:val="nil"/>
              <w:tr2bl w:val="nil"/>
            </w:tcBorders>
            <w:noWrap/>
            <w:vAlign w:val="center"/>
          </w:tcPr>
          <w:p w14:paraId="5403D8E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w:t>
            </w:r>
          </w:p>
        </w:tc>
        <w:tc>
          <w:tcPr>
            <w:tcW w:w="848" w:type="pct"/>
            <w:tcBorders>
              <w:tl2br w:val="nil"/>
              <w:tr2bl w:val="nil"/>
            </w:tcBorders>
            <w:vAlign w:val="center"/>
          </w:tcPr>
          <w:p w14:paraId="350FB6D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397" w:type="pct"/>
            <w:vMerge w:val="continue"/>
            <w:tcBorders>
              <w:tl2br w:val="nil"/>
              <w:tr2bl w:val="nil"/>
            </w:tcBorders>
            <w:vAlign w:val="center"/>
          </w:tcPr>
          <w:p w14:paraId="15414D49">
            <w:pPr>
              <w:widowControl/>
              <w:spacing w:line="240" w:lineRule="auto"/>
              <w:ind w:firstLine="0" w:firstLineChars="0"/>
              <w:jc w:val="center"/>
              <w:textAlignment w:val="center"/>
              <w:rPr>
                <w:color w:val="auto"/>
                <w:kern w:val="0"/>
                <w:sz w:val="21"/>
                <w:szCs w:val="21"/>
                <w:lang w:bidi="ar"/>
              </w:rPr>
            </w:pPr>
          </w:p>
        </w:tc>
        <w:tc>
          <w:tcPr>
            <w:tcW w:w="354" w:type="pct"/>
            <w:tcBorders>
              <w:tl2br w:val="nil"/>
              <w:tr2bl w:val="nil"/>
            </w:tcBorders>
            <w:vAlign w:val="center"/>
          </w:tcPr>
          <w:p w14:paraId="7EA65A6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T</w:t>
            </w:r>
          </w:p>
        </w:tc>
        <w:tc>
          <w:tcPr>
            <w:tcW w:w="625" w:type="pct"/>
            <w:tcBorders>
              <w:tl2br w:val="nil"/>
              <w:tr2bl w:val="nil"/>
            </w:tcBorders>
            <w:vAlign w:val="center"/>
          </w:tcPr>
          <w:p w14:paraId="6752350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HW02</w:t>
            </w:r>
          </w:p>
        </w:tc>
        <w:tc>
          <w:tcPr>
            <w:tcW w:w="434" w:type="pct"/>
            <w:tcBorders>
              <w:tl2br w:val="nil"/>
              <w:tr2bl w:val="nil"/>
            </w:tcBorders>
            <w:vAlign w:val="center"/>
          </w:tcPr>
          <w:p w14:paraId="4E0E798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271-005-02</w:t>
            </w:r>
          </w:p>
        </w:tc>
        <w:tc>
          <w:tcPr>
            <w:tcW w:w="369" w:type="pct"/>
            <w:tcBorders>
              <w:tl2br w:val="nil"/>
              <w:tr2bl w:val="nil"/>
            </w:tcBorders>
            <w:vAlign w:val="center"/>
          </w:tcPr>
          <w:p w14:paraId="65439B8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5.76</w:t>
            </w:r>
          </w:p>
        </w:tc>
        <w:tc>
          <w:tcPr>
            <w:tcW w:w="347" w:type="pct"/>
            <w:vMerge w:val="continue"/>
            <w:tcBorders>
              <w:tl2br w:val="nil"/>
              <w:tr2bl w:val="nil"/>
            </w:tcBorders>
            <w:vAlign w:val="center"/>
          </w:tcPr>
          <w:p w14:paraId="15ABF729">
            <w:pPr>
              <w:spacing w:line="240" w:lineRule="auto"/>
              <w:ind w:firstLine="0" w:firstLineChars="0"/>
              <w:jc w:val="center"/>
              <w:rPr>
                <w:color w:val="auto"/>
                <w:sz w:val="21"/>
                <w:szCs w:val="21"/>
              </w:rPr>
            </w:pPr>
          </w:p>
        </w:tc>
      </w:tr>
      <w:tr w14:paraId="54B5AC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180" w:type="pct"/>
            <w:tcBorders>
              <w:tl2br w:val="nil"/>
              <w:tr2bl w:val="nil"/>
            </w:tcBorders>
            <w:vAlign w:val="center"/>
          </w:tcPr>
          <w:p w14:paraId="380C516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S4</w:t>
            </w:r>
          </w:p>
        </w:tc>
        <w:tc>
          <w:tcPr>
            <w:tcW w:w="459" w:type="pct"/>
            <w:tcBorders>
              <w:tl2br w:val="nil"/>
              <w:tr2bl w:val="nil"/>
            </w:tcBorders>
            <w:vAlign w:val="center"/>
          </w:tcPr>
          <w:p w14:paraId="1CF85B5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实验室废物</w:t>
            </w:r>
          </w:p>
        </w:tc>
        <w:tc>
          <w:tcPr>
            <w:tcW w:w="330" w:type="pct"/>
            <w:vMerge w:val="continue"/>
            <w:tcBorders>
              <w:tl2br w:val="nil"/>
              <w:tr2bl w:val="nil"/>
            </w:tcBorders>
            <w:vAlign w:val="center"/>
          </w:tcPr>
          <w:p w14:paraId="5A0C606F">
            <w:pPr>
              <w:widowControl/>
              <w:spacing w:line="240" w:lineRule="auto"/>
              <w:ind w:firstLine="0" w:firstLineChars="0"/>
              <w:jc w:val="center"/>
              <w:textAlignment w:val="center"/>
              <w:rPr>
                <w:color w:val="auto"/>
                <w:kern w:val="0"/>
                <w:sz w:val="21"/>
                <w:szCs w:val="21"/>
                <w:lang w:bidi="ar"/>
              </w:rPr>
            </w:pPr>
          </w:p>
        </w:tc>
        <w:tc>
          <w:tcPr>
            <w:tcW w:w="402" w:type="pct"/>
            <w:tcBorders>
              <w:tl2br w:val="nil"/>
              <w:tr2bl w:val="nil"/>
            </w:tcBorders>
            <w:vAlign w:val="center"/>
          </w:tcPr>
          <w:p w14:paraId="78AE090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化验</w:t>
            </w:r>
          </w:p>
        </w:tc>
        <w:tc>
          <w:tcPr>
            <w:tcW w:w="249" w:type="pct"/>
            <w:tcBorders>
              <w:tl2br w:val="nil"/>
              <w:tr2bl w:val="nil"/>
            </w:tcBorders>
            <w:noWrap/>
            <w:vAlign w:val="center"/>
          </w:tcPr>
          <w:p w14:paraId="4592773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固/液</w:t>
            </w:r>
          </w:p>
        </w:tc>
        <w:tc>
          <w:tcPr>
            <w:tcW w:w="848" w:type="pct"/>
            <w:tcBorders>
              <w:tl2br w:val="nil"/>
              <w:tr2bl w:val="nil"/>
            </w:tcBorders>
            <w:vAlign w:val="center"/>
          </w:tcPr>
          <w:p w14:paraId="247520F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硫酸、盐酸、高锰酸盐等</w:t>
            </w:r>
          </w:p>
        </w:tc>
        <w:tc>
          <w:tcPr>
            <w:tcW w:w="397" w:type="pct"/>
            <w:vMerge w:val="continue"/>
            <w:tcBorders>
              <w:tl2br w:val="nil"/>
              <w:tr2bl w:val="nil"/>
            </w:tcBorders>
            <w:vAlign w:val="center"/>
          </w:tcPr>
          <w:p w14:paraId="391A2CF1">
            <w:pPr>
              <w:widowControl/>
              <w:spacing w:line="240" w:lineRule="auto"/>
              <w:ind w:firstLine="0" w:firstLineChars="0"/>
              <w:jc w:val="center"/>
              <w:textAlignment w:val="center"/>
              <w:rPr>
                <w:color w:val="auto"/>
                <w:kern w:val="0"/>
                <w:sz w:val="21"/>
                <w:szCs w:val="21"/>
                <w:lang w:bidi="ar"/>
              </w:rPr>
            </w:pPr>
          </w:p>
        </w:tc>
        <w:tc>
          <w:tcPr>
            <w:tcW w:w="354" w:type="pct"/>
            <w:tcBorders>
              <w:tl2br w:val="nil"/>
              <w:tr2bl w:val="nil"/>
            </w:tcBorders>
            <w:vAlign w:val="center"/>
          </w:tcPr>
          <w:p w14:paraId="4C59A7C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T/In/C/R</w:t>
            </w:r>
          </w:p>
        </w:tc>
        <w:tc>
          <w:tcPr>
            <w:tcW w:w="625" w:type="pct"/>
            <w:tcBorders>
              <w:tl2br w:val="nil"/>
              <w:tr2bl w:val="nil"/>
            </w:tcBorders>
            <w:vAlign w:val="center"/>
          </w:tcPr>
          <w:p w14:paraId="315EE66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HW49</w:t>
            </w:r>
          </w:p>
        </w:tc>
        <w:tc>
          <w:tcPr>
            <w:tcW w:w="434" w:type="pct"/>
            <w:tcBorders>
              <w:tl2br w:val="nil"/>
              <w:tr2bl w:val="nil"/>
            </w:tcBorders>
            <w:vAlign w:val="center"/>
          </w:tcPr>
          <w:p w14:paraId="38ABA24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900-047-49</w:t>
            </w:r>
          </w:p>
        </w:tc>
        <w:tc>
          <w:tcPr>
            <w:tcW w:w="369" w:type="pct"/>
            <w:tcBorders>
              <w:tl2br w:val="nil"/>
              <w:tr2bl w:val="nil"/>
            </w:tcBorders>
            <w:vAlign w:val="center"/>
          </w:tcPr>
          <w:p w14:paraId="1B4B032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0.5</w:t>
            </w:r>
          </w:p>
        </w:tc>
        <w:tc>
          <w:tcPr>
            <w:tcW w:w="347" w:type="pct"/>
            <w:vMerge w:val="continue"/>
            <w:tcBorders>
              <w:tl2br w:val="nil"/>
              <w:tr2bl w:val="nil"/>
            </w:tcBorders>
            <w:vAlign w:val="center"/>
          </w:tcPr>
          <w:p w14:paraId="3EF0EA2E">
            <w:pPr>
              <w:spacing w:line="240" w:lineRule="auto"/>
              <w:ind w:firstLine="0" w:firstLineChars="0"/>
              <w:jc w:val="center"/>
              <w:rPr>
                <w:color w:val="auto"/>
                <w:sz w:val="21"/>
                <w:szCs w:val="21"/>
              </w:rPr>
            </w:pPr>
          </w:p>
        </w:tc>
      </w:tr>
      <w:tr w14:paraId="64FB2D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95" w:hRule="atLeast"/>
          <w:jc w:val="center"/>
        </w:trPr>
        <w:tc>
          <w:tcPr>
            <w:tcW w:w="180" w:type="pct"/>
            <w:tcBorders>
              <w:tl2br w:val="nil"/>
              <w:tr2bl w:val="nil"/>
            </w:tcBorders>
            <w:vAlign w:val="center"/>
          </w:tcPr>
          <w:p w14:paraId="1B2CDF6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S5</w:t>
            </w:r>
          </w:p>
        </w:tc>
        <w:tc>
          <w:tcPr>
            <w:tcW w:w="459" w:type="pct"/>
            <w:tcBorders>
              <w:tl2br w:val="nil"/>
              <w:tr2bl w:val="nil"/>
            </w:tcBorders>
            <w:vAlign w:val="center"/>
          </w:tcPr>
          <w:p w14:paraId="489284A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污水处理污泥</w:t>
            </w:r>
          </w:p>
        </w:tc>
        <w:tc>
          <w:tcPr>
            <w:tcW w:w="330" w:type="pct"/>
            <w:vMerge w:val="continue"/>
            <w:tcBorders>
              <w:tl2br w:val="nil"/>
              <w:tr2bl w:val="nil"/>
            </w:tcBorders>
            <w:vAlign w:val="center"/>
          </w:tcPr>
          <w:p w14:paraId="330FC8E1">
            <w:pPr>
              <w:widowControl/>
              <w:spacing w:line="240" w:lineRule="auto"/>
              <w:ind w:firstLine="0" w:firstLineChars="0"/>
              <w:jc w:val="center"/>
              <w:rPr>
                <w:color w:val="auto"/>
                <w:kern w:val="0"/>
                <w:sz w:val="21"/>
                <w:szCs w:val="21"/>
              </w:rPr>
            </w:pPr>
          </w:p>
        </w:tc>
        <w:tc>
          <w:tcPr>
            <w:tcW w:w="402" w:type="pct"/>
            <w:tcBorders>
              <w:tl2br w:val="nil"/>
              <w:tr2bl w:val="nil"/>
            </w:tcBorders>
            <w:vAlign w:val="center"/>
          </w:tcPr>
          <w:p w14:paraId="79B0AD3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污水处理</w:t>
            </w:r>
          </w:p>
        </w:tc>
        <w:tc>
          <w:tcPr>
            <w:tcW w:w="249" w:type="pct"/>
            <w:tcBorders>
              <w:tl2br w:val="nil"/>
              <w:tr2bl w:val="nil"/>
            </w:tcBorders>
            <w:noWrap/>
            <w:vAlign w:val="center"/>
          </w:tcPr>
          <w:p w14:paraId="1BC7E075">
            <w:pPr>
              <w:widowControl/>
              <w:spacing w:line="240" w:lineRule="auto"/>
              <w:ind w:firstLine="0" w:firstLineChars="0"/>
              <w:jc w:val="center"/>
              <w:rPr>
                <w:color w:val="auto"/>
                <w:kern w:val="0"/>
                <w:sz w:val="21"/>
                <w:szCs w:val="21"/>
              </w:rPr>
            </w:pPr>
            <w:r>
              <w:rPr>
                <w:rFonts w:hint="eastAsia"/>
                <w:color w:val="auto"/>
                <w:kern w:val="0"/>
                <w:sz w:val="21"/>
                <w:szCs w:val="21"/>
                <w:lang w:bidi="ar"/>
              </w:rPr>
              <w:t>固/液</w:t>
            </w:r>
          </w:p>
        </w:tc>
        <w:tc>
          <w:tcPr>
            <w:tcW w:w="848" w:type="pct"/>
            <w:tcBorders>
              <w:tl2br w:val="nil"/>
              <w:tr2bl w:val="nil"/>
            </w:tcBorders>
            <w:vAlign w:val="center"/>
          </w:tcPr>
          <w:p w14:paraId="7E1E4ED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污泥、水等</w:t>
            </w:r>
          </w:p>
        </w:tc>
        <w:tc>
          <w:tcPr>
            <w:tcW w:w="397" w:type="pct"/>
            <w:vMerge w:val="continue"/>
            <w:tcBorders>
              <w:tl2br w:val="nil"/>
              <w:tr2bl w:val="nil"/>
            </w:tcBorders>
            <w:vAlign w:val="center"/>
          </w:tcPr>
          <w:p w14:paraId="777719F2">
            <w:pPr>
              <w:widowControl/>
              <w:spacing w:line="240" w:lineRule="auto"/>
              <w:ind w:firstLine="0" w:firstLineChars="0"/>
              <w:jc w:val="center"/>
              <w:rPr>
                <w:color w:val="auto"/>
                <w:kern w:val="0"/>
                <w:sz w:val="21"/>
                <w:szCs w:val="21"/>
              </w:rPr>
            </w:pPr>
          </w:p>
        </w:tc>
        <w:tc>
          <w:tcPr>
            <w:tcW w:w="354" w:type="pct"/>
            <w:tcBorders>
              <w:tl2br w:val="nil"/>
              <w:tr2bl w:val="nil"/>
            </w:tcBorders>
            <w:vAlign w:val="center"/>
          </w:tcPr>
          <w:p w14:paraId="44D59E3E">
            <w:pPr>
              <w:widowControl/>
              <w:spacing w:line="240" w:lineRule="auto"/>
              <w:ind w:firstLine="0" w:firstLineChars="0"/>
              <w:jc w:val="center"/>
              <w:rPr>
                <w:color w:val="auto"/>
                <w:kern w:val="0"/>
                <w:sz w:val="21"/>
                <w:szCs w:val="21"/>
              </w:rPr>
            </w:pPr>
            <w:r>
              <w:rPr>
                <w:rFonts w:hint="eastAsia"/>
                <w:color w:val="auto"/>
                <w:kern w:val="0"/>
                <w:sz w:val="21"/>
                <w:szCs w:val="21"/>
              </w:rPr>
              <w:t>T/In</w:t>
            </w:r>
          </w:p>
        </w:tc>
        <w:tc>
          <w:tcPr>
            <w:tcW w:w="625" w:type="pct"/>
            <w:tcBorders>
              <w:tl2br w:val="nil"/>
              <w:tr2bl w:val="nil"/>
            </w:tcBorders>
            <w:vAlign w:val="center"/>
          </w:tcPr>
          <w:p w14:paraId="48E8B8A7">
            <w:pPr>
              <w:widowControl/>
              <w:spacing w:line="240" w:lineRule="auto"/>
              <w:ind w:firstLine="0" w:firstLineChars="0"/>
              <w:jc w:val="center"/>
              <w:rPr>
                <w:color w:val="auto"/>
                <w:kern w:val="0"/>
                <w:sz w:val="21"/>
                <w:szCs w:val="21"/>
              </w:rPr>
            </w:pPr>
            <w:r>
              <w:rPr>
                <w:rFonts w:hint="eastAsia"/>
                <w:color w:val="auto"/>
                <w:kern w:val="0"/>
                <w:sz w:val="21"/>
                <w:szCs w:val="21"/>
                <w:lang w:bidi="ar"/>
              </w:rPr>
              <w:t>HW49</w:t>
            </w:r>
          </w:p>
        </w:tc>
        <w:tc>
          <w:tcPr>
            <w:tcW w:w="434" w:type="pct"/>
            <w:tcBorders>
              <w:tl2br w:val="nil"/>
              <w:tr2bl w:val="nil"/>
            </w:tcBorders>
            <w:vAlign w:val="center"/>
          </w:tcPr>
          <w:p w14:paraId="2A7829D8">
            <w:pPr>
              <w:widowControl/>
              <w:spacing w:line="240" w:lineRule="auto"/>
              <w:ind w:firstLine="0" w:firstLineChars="0"/>
              <w:jc w:val="center"/>
              <w:rPr>
                <w:color w:val="auto"/>
                <w:kern w:val="0"/>
                <w:sz w:val="21"/>
                <w:szCs w:val="21"/>
              </w:rPr>
            </w:pPr>
            <w:r>
              <w:rPr>
                <w:rFonts w:hint="eastAsia"/>
                <w:color w:val="auto"/>
                <w:kern w:val="0"/>
                <w:sz w:val="21"/>
                <w:szCs w:val="21"/>
              </w:rPr>
              <w:t>772-006-49</w:t>
            </w:r>
          </w:p>
        </w:tc>
        <w:tc>
          <w:tcPr>
            <w:tcW w:w="369" w:type="pct"/>
            <w:tcBorders>
              <w:tl2br w:val="nil"/>
              <w:tr2bl w:val="nil"/>
            </w:tcBorders>
            <w:vAlign w:val="center"/>
          </w:tcPr>
          <w:p w14:paraId="61CBC8EA">
            <w:pPr>
              <w:widowControl/>
              <w:spacing w:line="240" w:lineRule="auto"/>
              <w:ind w:firstLine="0" w:firstLineChars="0"/>
              <w:jc w:val="center"/>
              <w:rPr>
                <w:color w:val="auto"/>
                <w:kern w:val="0"/>
                <w:sz w:val="21"/>
                <w:szCs w:val="21"/>
              </w:rPr>
            </w:pPr>
            <w:r>
              <w:rPr>
                <w:rFonts w:hint="eastAsia"/>
                <w:color w:val="auto"/>
                <w:kern w:val="0"/>
                <w:sz w:val="21"/>
                <w:szCs w:val="21"/>
              </w:rPr>
              <w:t>11.57</w:t>
            </w:r>
          </w:p>
        </w:tc>
        <w:tc>
          <w:tcPr>
            <w:tcW w:w="347" w:type="pct"/>
            <w:vMerge w:val="continue"/>
            <w:tcBorders>
              <w:tl2br w:val="nil"/>
              <w:tr2bl w:val="nil"/>
            </w:tcBorders>
            <w:vAlign w:val="center"/>
          </w:tcPr>
          <w:p w14:paraId="31F1B4FC">
            <w:pPr>
              <w:spacing w:line="240" w:lineRule="auto"/>
              <w:ind w:firstLine="0" w:firstLineChars="0"/>
              <w:jc w:val="center"/>
              <w:rPr>
                <w:color w:val="auto"/>
                <w:sz w:val="21"/>
                <w:szCs w:val="21"/>
              </w:rPr>
            </w:pPr>
          </w:p>
        </w:tc>
      </w:tr>
      <w:tr w14:paraId="652D25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180" w:type="pct"/>
            <w:tcBorders>
              <w:tl2br w:val="nil"/>
              <w:tr2bl w:val="nil"/>
            </w:tcBorders>
            <w:vAlign w:val="center"/>
          </w:tcPr>
          <w:p w14:paraId="62538F0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S3</w:t>
            </w:r>
          </w:p>
        </w:tc>
        <w:tc>
          <w:tcPr>
            <w:tcW w:w="459" w:type="pct"/>
            <w:tcBorders>
              <w:tl2br w:val="nil"/>
              <w:tr2bl w:val="nil"/>
            </w:tcBorders>
            <w:vAlign w:val="center"/>
          </w:tcPr>
          <w:p w14:paraId="7A44403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废RO膜</w:t>
            </w:r>
          </w:p>
        </w:tc>
        <w:tc>
          <w:tcPr>
            <w:tcW w:w="330" w:type="pct"/>
            <w:tcBorders>
              <w:tl2br w:val="nil"/>
              <w:tr2bl w:val="nil"/>
            </w:tcBorders>
            <w:vAlign w:val="center"/>
          </w:tcPr>
          <w:p w14:paraId="27AB2B3D">
            <w:pPr>
              <w:spacing w:line="240" w:lineRule="auto"/>
              <w:ind w:firstLine="0" w:firstLineChars="0"/>
              <w:jc w:val="center"/>
              <w:rPr>
                <w:color w:val="auto"/>
                <w:sz w:val="21"/>
                <w:szCs w:val="21"/>
              </w:rPr>
            </w:pPr>
            <w:r>
              <w:rPr>
                <w:rFonts w:hint="eastAsia"/>
                <w:color w:val="auto"/>
                <w:sz w:val="21"/>
                <w:szCs w:val="21"/>
              </w:rPr>
              <w:t>一般固废</w:t>
            </w:r>
          </w:p>
        </w:tc>
        <w:tc>
          <w:tcPr>
            <w:tcW w:w="402" w:type="pct"/>
            <w:tcBorders>
              <w:tl2br w:val="nil"/>
              <w:tr2bl w:val="nil"/>
            </w:tcBorders>
            <w:vAlign w:val="center"/>
          </w:tcPr>
          <w:p w14:paraId="118F33DD">
            <w:pPr>
              <w:spacing w:line="240" w:lineRule="auto"/>
              <w:ind w:firstLine="0" w:firstLineChars="0"/>
              <w:jc w:val="center"/>
              <w:rPr>
                <w:color w:val="auto"/>
                <w:sz w:val="21"/>
                <w:szCs w:val="21"/>
              </w:rPr>
            </w:pPr>
            <w:r>
              <w:rPr>
                <w:rFonts w:hint="eastAsia"/>
                <w:color w:val="auto"/>
                <w:kern w:val="0"/>
                <w:sz w:val="21"/>
                <w:szCs w:val="21"/>
                <w:lang w:bidi="ar"/>
              </w:rPr>
              <w:t>纯水制备</w:t>
            </w:r>
          </w:p>
        </w:tc>
        <w:tc>
          <w:tcPr>
            <w:tcW w:w="249" w:type="pct"/>
            <w:tcBorders>
              <w:tl2br w:val="nil"/>
              <w:tr2bl w:val="nil"/>
            </w:tcBorders>
            <w:noWrap/>
            <w:vAlign w:val="center"/>
          </w:tcPr>
          <w:p w14:paraId="5BF6E181">
            <w:pPr>
              <w:spacing w:line="240" w:lineRule="auto"/>
              <w:ind w:firstLine="0" w:firstLineChars="0"/>
              <w:jc w:val="center"/>
              <w:rPr>
                <w:color w:val="auto"/>
                <w:sz w:val="21"/>
                <w:szCs w:val="21"/>
              </w:rPr>
            </w:pPr>
            <w:r>
              <w:rPr>
                <w:rFonts w:hint="eastAsia"/>
                <w:color w:val="auto"/>
                <w:sz w:val="21"/>
                <w:szCs w:val="21"/>
              </w:rPr>
              <w:t>固</w:t>
            </w:r>
          </w:p>
        </w:tc>
        <w:tc>
          <w:tcPr>
            <w:tcW w:w="848" w:type="pct"/>
            <w:tcBorders>
              <w:tl2br w:val="nil"/>
              <w:tr2bl w:val="nil"/>
            </w:tcBorders>
            <w:vAlign w:val="center"/>
          </w:tcPr>
          <w:p w14:paraId="00DDB0EE">
            <w:pPr>
              <w:spacing w:line="240" w:lineRule="auto"/>
              <w:ind w:firstLine="0" w:firstLineChars="0"/>
              <w:jc w:val="center"/>
              <w:rPr>
                <w:color w:val="auto"/>
                <w:kern w:val="0"/>
                <w:sz w:val="21"/>
                <w:szCs w:val="21"/>
              </w:rPr>
            </w:pPr>
            <w:r>
              <w:rPr>
                <w:rFonts w:hint="eastAsia"/>
                <w:color w:val="auto"/>
                <w:kern w:val="0"/>
                <w:sz w:val="21"/>
                <w:szCs w:val="21"/>
              </w:rPr>
              <w:t>杂质、膜等</w:t>
            </w:r>
          </w:p>
        </w:tc>
        <w:tc>
          <w:tcPr>
            <w:tcW w:w="397" w:type="pct"/>
            <w:tcBorders>
              <w:tl2br w:val="nil"/>
              <w:tr2bl w:val="nil"/>
            </w:tcBorders>
            <w:vAlign w:val="center"/>
          </w:tcPr>
          <w:p w14:paraId="37F0BD6E">
            <w:pPr>
              <w:widowControl/>
              <w:spacing w:line="240" w:lineRule="auto"/>
              <w:ind w:firstLine="0" w:firstLineChars="0"/>
              <w:jc w:val="center"/>
              <w:textAlignment w:val="center"/>
              <w:rPr>
                <w:color w:val="auto"/>
                <w:kern w:val="0"/>
                <w:sz w:val="21"/>
                <w:szCs w:val="21"/>
                <w:lang w:bidi="ar"/>
              </w:rPr>
            </w:pPr>
          </w:p>
        </w:tc>
        <w:tc>
          <w:tcPr>
            <w:tcW w:w="354" w:type="pct"/>
            <w:tcBorders>
              <w:tl2br w:val="nil"/>
              <w:tr2bl w:val="nil"/>
            </w:tcBorders>
            <w:vAlign w:val="center"/>
          </w:tcPr>
          <w:p w14:paraId="4B1AC18D">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625" w:type="pct"/>
            <w:tcBorders>
              <w:tl2br w:val="nil"/>
              <w:tr2bl w:val="nil"/>
            </w:tcBorders>
            <w:vAlign w:val="center"/>
          </w:tcPr>
          <w:p w14:paraId="02F7FA82">
            <w:pPr>
              <w:widowControl/>
              <w:spacing w:line="240" w:lineRule="auto"/>
              <w:ind w:firstLine="0" w:firstLineChars="0"/>
              <w:jc w:val="center"/>
              <w:rPr>
                <w:color w:val="auto"/>
                <w:kern w:val="0"/>
                <w:sz w:val="21"/>
                <w:szCs w:val="21"/>
              </w:rPr>
            </w:pPr>
            <w:r>
              <w:rPr>
                <w:rFonts w:hint="eastAsia"/>
                <w:color w:val="auto"/>
                <w:kern w:val="0"/>
                <w:sz w:val="21"/>
                <w:szCs w:val="21"/>
              </w:rPr>
              <w:t>S59</w:t>
            </w:r>
          </w:p>
        </w:tc>
        <w:tc>
          <w:tcPr>
            <w:tcW w:w="434" w:type="pct"/>
            <w:tcBorders>
              <w:tl2br w:val="nil"/>
              <w:tr2bl w:val="nil"/>
            </w:tcBorders>
            <w:vAlign w:val="center"/>
          </w:tcPr>
          <w:p w14:paraId="09AE812C">
            <w:pPr>
              <w:widowControl/>
              <w:spacing w:line="240" w:lineRule="auto"/>
              <w:ind w:firstLine="0" w:firstLineChars="0"/>
              <w:jc w:val="center"/>
              <w:rPr>
                <w:color w:val="auto"/>
                <w:kern w:val="0"/>
                <w:sz w:val="21"/>
                <w:szCs w:val="21"/>
              </w:rPr>
            </w:pPr>
            <w:r>
              <w:rPr>
                <w:rFonts w:hint="eastAsia"/>
                <w:color w:val="auto"/>
                <w:kern w:val="0"/>
                <w:sz w:val="21"/>
                <w:szCs w:val="21"/>
              </w:rPr>
              <w:t>900-009-S59</w:t>
            </w:r>
          </w:p>
        </w:tc>
        <w:tc>
          <w:tcPr>
            <w:tcW w:w="369" w:type="pct"/>
            <w:tcBorders>
              <w:tl2br w:val="nil"/>
              <w:tr2bl w:val="nil"/>
            </w:tcBorders>
            <w:vAlign w:val="center"/>
          </w:tcPr>
          <w:p w14:paraId="3735DB5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w:t>
            </w:r>
          </w:p>
        </w:tc>
        <w:tc>
          <w:tcPr>
            <w:tcW w:w="347" w:type="pct"/>
            <w:tcBorders>
              <w:tl2br w:val="nil"/>
              <w:tr2bl w:val="nil"/>
            </w:tcBorders>
            <w:vAlign w:val="center"/>
          </w:tcPr>
          <w:p w14:paraId="7EDBD6D3">
            <w:pPr>
              <w:spacing w:line="240" w:lineRule="auto"/>
              <w:ind w:firstLine="0" w:firstLineChars="0"/>
              <w:jc w:val="center"/>
              <w:rPr>
                <w:color w:val="auto"/>
                <w:sz w:val="21"/>
                <w:szCs w:val="21"/>
              </w:rPr>
            </w:pPr>
            <w:r>
              <w:rPr>
                <w:rFonts w:hint="eastAsia"/>
                <w:color w:val="auto"/>
                <w:sz w:val="21"/>
                <w:szCs w:val="21"/>
              </w:rPr>
              <w:t>委托膜厂家定期回收</w:t>
            </w:r>
          </w:p>
        </w:tc>
      </w:tr>
    </w:tbl>
    <w:p w14:paraId="4168DA7A">
      <w:pPr>
        <w:pStyle w:val="49"/>
        <w:rPr>
          <w:color w:val="auto"/>
        </w:rPr>
      </w:pPr>
      <w:bookmarkStart w:id="153" w:name="_Ref478202037"/>
    </w:p>
    <w:p w14:paraId="02325716">
      <w:pPr>
        <w:pStyle w:val="49"/>
        <w:rPr>
          <w:color w:val="auto"/>
        </w:rPr>
      </w:pPr>
      <w:r>
        <w:rPr>
          <w:color w:val="auto"/>
        </w:rPr>
        <w:t>表</w:t>
      </w:r>
      <w:bookmarkEnd w:id="153"/>
      <w:r>
        <w:rPr>
          <w:rFonts w:hint="eastAsia"/>
          <w:color w:val="auto"/>
        </w:rPr>
        <w:t>4.6-3  拟建项目</w:t>
      </w:r>
      <w:r>
        <w:rPr>
          <w:color w:val="auto"/>
        </w:rPr>
        <w:t>危险废物产生与处置情况汇总表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382"/>
        <w:gridCol w:w="1371"/>
        <w:gridCol w:w="1395"/>
        <w:gridCol w:w="1444"/>
        <w:gridCol w:w="1147"/>
        <w:gridCol w:w="1500"/>
        <w:gridCol w:w="610"/>
        <w:gridCol w:w="1841"/>
        <w:gridCol w:w="1625"/>
        <w:gridCol w:w="578"/>
        <w:gridCol w:w="1430"/>
        <w:gridCol w:w="1247"/>
      </w:tblGrid>
      <w:tr w14:paraId="4F202C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131" w:type="pct"/>
            <w:tcBorders>
              <w:tl2br w:val="nil"/>
              <w:tr2bl w:val="nil"/>
            </w:tcBorders>
            <w:vAlign w:val="center"/>
          </w:tcPr>
          <w:p w14:paraId="3EB78DCB">
            <w:pPr>
              <w:spacing w:line="240" w:lineRule="auto"/>
              <w:ind w:firstLine="0" w:firstLineChars="0"/>
              <w:jc w:val="center"/>
              <w:rPr>
                <w:b/>
                <w:color w:val="auto"/>
                <w:kern w:val="0"/>
                <w:sz w:val="21"/>
                <w:szCs w:val="21"/>
              </w:rPr>
            </w:pPr>
            <w:r>
              <w:rPr>
                <w:b/>
                <w:color w:val="auto"/>
                <w:kern w:val="0"/>
                <w:sz w:val="21"/>
                <w:szCs w:val="21"/>
              </w:rPr>
              <w:t>序号</w:t>
            </w:r>
          </w:p>
        </w:tc>
        <w:tc>
          <w:tcPr>
            <w:tcW w:w="470" w:type="pct"/>
            <w:tcBorders>
              <w:tl2br w:val="nil"/>
              <w:tr2bl w:val="nil"/>
            </w:tcBorders>
            <w:vAlign w:val="center"/>
          </w:tcPr>
          <w:p w14:paraId="2D8682EB">
            <w:pPr>
              <w:spacing w:line="240" w:lineRule="auto"/>
              <w:ind w:firstLine="0" w:firstLineChars="0"/>
              <w:jc w:val="center"/>
              <w:rPr>
                <w:b/>
                <w:color w:val="auto"/>
                <w:kern w:val="0"/>
                <w:sz w:val="21"/>
                <w:szCs w:val="21"/>
              </w:rPr>
            </w:pPr>
            <w:r>
              <w:rPr>
                <w:b/>
                <w:color w:val="auto"/>
                <w:kern w:val="0"/>
                <w:sz w:val="21"/>
                <w:szCs w:val="21"/>
              </w:rPr>
              <w:t>危险废物名称</w:t>
            </w:r>
          </w:p>
        </w:tc>
        <w:tc>
          <w:tcPr>
            <w:tcW w:w="478" w:type="pct"/>
            <w:tcBorders>
              <w:tl2br w:val="nil"/>
              <w:tr2bl w:val="nil"/>
            </w:tcBorders>
            <w:vAlign w:val="center"/>
          </w:tcPr>
          <w:p w14:paraId="03F14177">
            <w:pPr>
              <w:spacing w:line="240" w:lineRule="auto"/>
              <w:ind w:firstLine="0" w:firstLineChars="0"/>
              <w:jc w:val="center"/>
              <w:rPr>
                <w:b/>
                <w:color w:val="auto"/>
                <w:kern w:val="0"/>
                <w:sz w:val="21"/>
                <w:szCs w:val="21"/>
              </w:rPr>
            </w:pPr>
            <w:r>
              <w:rPr>
                <w:b/>
                <w:color w:val="auto"/>
                <w:kern w:val="0"/>
                <w:sz w:val="21"/>
                <w:szCs w:val="21"/>
              </w:rPr>
              <w:t>危险废物类别</w:t>
            </w:r>
          </w:p>
        </w:tc>
        <w:tc>
          <w:tcPr>
            <w:tcW w:w="495" w:type="pct"/>
            <w:tcBorders>
              <w:tl2br w:val="nil"/>
              <w:tr2bl w:val="nil"/>
            </w:tcBorders>
            <w:vAlign w:val="center"/>
          </w:tcPr>
          <w:p w14:paraId="44B624F3">
            <w:pPr>
              <w:spacing w:line="240" w:lineRule="auto"/>
              <w:ind w:firstLine="0" w:firstLineChars="0"/>
              <w:jc w:val="center"/>
              <w:rPr>
                <w:b/>
                <w:color w:val="auto"/>
                <w:kern w:val="0"/>
                <w:sz w:val="21"/>
                <w:szCs w:val="21"/>
              </w:rPr>
            </w:pPr>
            <w:r>
              <w:rPr>
                <w:b/>
                <w:color w:val="auto"/>
                <w:kern w:val="0"/>
                <w:sz w:val="21"/>
                <w:szCs w:val="21"/>
              </w:rPr>
              <w:t>危险废物代码</w:t>
            </w:r>
          </w:p>
        </w:tc>
        <w:tc>
          <w:tcPr>
            <w:tcW w:w="393" w:type="pct"/>
            <w:tcBorders>
              <w:tl2br w:val="nil"/>
              <w:tr2bl w:val="nil"/>
            </w:tcBorders>
            <w:vAlign w:val="center"/>
          </w:tcPr>
          <w:p w14:paraId="66FABB16">
            <w:pPr>
              <w:spacing w:line="240" w:lineRule="auto"/>
              <w:ind w:firstLine="0" w:firstLineChars="0"/>
              <w:jc w:val="center"/>
              <w:rPr>
                <w:b/>
                <w:color w:val="auto"/>
                <w:kern w:val="0"/>
                <w:sz w:val="21"/>
                <w:szCs w:val="21"/>
              </w:rPr>
            </w:pPr>
            <w:r>
              <w:rPr>
                <w:b/>
                <w:color w:val="auto"/>
                <w:kern w:val="0"/>
                <w:sz w:val="21"/>
                <w:szCs w:val="21"/>
              </w:rPr>
              <w:t>产生量（t/a）</w:t>
            </w:r>
          </w:p>
        </w:tc>
        <w:tc>
          <w:tcPr>
            <w:tcW w:w="514" w:type="pct"/>
            <w:tcBorders>
              <w:tl2br w:val="nil"/>
              <w:tr2bl w:val="nil"/>
            </w:tcBorders>
            <w:vAlign w:val="center"/>
          </w:tcPr>
          <w:p w14:paraId="3D8A45D7">
            <w:pPr>
              <w:spacing w:line="240" w:lineRule="auto"/>
              <w:ind w:firstLine="0" w:firstLineChars="0"/>
              <w:jc w:val="center"/>
              <w:rPr>
                <w:b/>
                <w:color w:val="auto"/>
                <w:kern w:val="0"/>
                <w:sz w:val="21"/>
                <w:szCs w:val="21"/>
              </w:rPr>
            </w:pPr>
            <w:r>
              <w:rPr>
                <w:b/>
                <w:color w:val="auto"/>
                <w:kern w:val="0"/>
                <w:sz w:val="21"/>
                <w:szCs w:val="21"/>
              </w:rPr>
              <w:t>产生工序及装置</w:t>
            </w:r>
          </w:p>
        </w:tc>
        <w:tc>
          <w:tcPr>
            <w:tcW w:w="209" w:type="pct"/>
            <w:tcBorders>
              <w:tl2br w:val="nil"/>
              <w:tr2bl w:val="nil"/>
            </w:tcBorders>
            <w:vAlign w:val="center"/>
          </w:tcPr>
          <w:p w14:paraId="25C5ACF2">
            <w:pPr>
              <w:spacing w:line="240" w:lineRule="auto"/>
              <w:ind w:firstLine="0" w:firstLineChars="0"/>
              <w:jc w:val="center"/>
              <w:rPr>
                <w:b/>
                <w:color w:val="auto"/>
                <w:kern w:val="0"/>
                <w:sz w:val="21"/>
                <w:szCs w:val="21"/>
              </w:rPr>
            </w:pPr>
            <w:r>
              <w:rPr>
                <w:b/>
                <w:color w:val="auto"/>
                <w:kern w:val="0"/>
                <w:sz w:val="21"/>
                <w:szCs w:val="21"/>
              </w:rPr>
              <w:t>形态</w:t>
            </w:r>
          </w:p>
        </w:tc>
        <w:tc>
          <w:tcPr>
            <w:tcW w:w="631" w:type="pct"/>
            <w:tcBorders>
              <w:tl2br w:val="nil"/>
              <w:tr2bl w:val="nil"/>
            </w:tcBorders>
            <w:vAlign w:val="center"/>
          </w:tcPr>
          <w:p w14:paraId="31C6182F">
            <w:pPr>
              <w:spacing w:line="240" w:lineRule="auto"/>
              <w:ind w:firstLine="0" w:firstLineChars="0"/>
              <w:jc w:val="center"/>
              <w:rPr>
                <w:b/>
                <w:color w:val="auto"/>
                <w:kern w:val="0"/>
                <w:sz w:val="21"/>
                <w:szCs w:val="21"/>
              </w:rPr>
            </w:pPr>
            <w:r>
              <w:rPr>
                <w:b/>
                <w:color w:val="auto"/>
                <w:kern w:val="0"/>
                <w:sz w:val="21"/>
                <w:szCs w:val="21"/>
              </w:rPr>
              <w:t>主要成分</w:t>
            </w:r>
          </w:p>
        </w:tc>
        <w:tc>
          <w:tcPr>
            <w:tcW w:w="557" w:type="pct"/>
            <w:tcBorders>
              <w:tl2br w:val="nil"/>
              <w:tr2bl w:val="nil"/>
            </w:tcBorders>
            <w:vAlign w:val="center"/>
          </w:tcPr>
          <w:p w14:paraId="4EECF16D">
            <w:pPr>
              <w:spacing w:line="240" w:lineRule="auto"/>
              <w:ind w:firstLine="0" w:firstLineChars="0"/>
              <w:jc w:val="center"/>
              <w:rPr>
                <w:b/>
                <w:color w:val="auto"/>
                <w:kern w:val="0"/>
                <w:sz w:val="21"/>
                <w:szCs w:val="21"/>
              </w:rPr>
            </w:pPr>
            <w:r>
              <w:rPr>
                <w:b/>
                <w:color w:val="auto"/>
                <w:kern w:val="0"/>
                <w:sz w:val="21"/>
                <w:szCs w:val="21"/>
              </w:rPr>
              <w:t>有害成分</w:t>
            </w:r>
          </w:p>
        </w:tc>
        <w:tc>
          <w:tcPr>
            <w:tcW w:w="198" w:type="pct"/>
            <w:tcBorders>
              <w:tl2br w:val="nil"/>
              <w:tr2bl w:val="nil"/>
            </w:tcBorders>
            <w:vAlign w:val="center"/>
          </w:tcPr>
          <w:p w14:paraId="4EEAD246">
            <w:pPr>
              <w:spacing w:line="240" w:lineRule="auto"/>
              <w:ind w:firstLine="0" w:firstLineChars="0"/>
              <w:jc w:val="center"/>
              <w:rPr>
                <w:b/>
                <w:color w:val="auto"/>
                <w:kern w:val="0"/>
                <w:sz w:val="21"/>
                <w:szCs w:val="21"/>
              </w:rPr>
            </w:pPr>
            <w:r>
              <w:rPr>
                <w:b/>
                <w:color w:val="auto"/>
                <w:kern w:val="0"/>
                <w:sz w:val="21"/>
                <w:szCs w:val="21"/>
              </w:rPr>
              <w:t>产废</w:t>
            </w:r>
          </w:p>
          <w:p w14:paraId="12EB15CA">
            <w:pPr>
              <w:spacing w:line="240" w:lineRule="auto"/>
              <w:ind w:firstLine="0" w:firstLineChars="0"/>
              <w:jc w:val="center"/>
              <w:rPr>
                <w:b/>
                <w:color w:val="auto"/>
                <w:kern w:val="0"/>
                <w:sz w:val="21"/>
                <w:szCs w:val="21"/>
              </w:rPr>
            </w:pPr>
            <w:r>
              <w:rPr>
                <w:b/>
                <w:color w:val="auto"/>
                <w:kern w:val="0"/>
                <w:sz w:val="21"/>
                <w:szCs w:val="21"/>
              </w:rPr>
              <w:t>周期</w:t>
            </w:r>
          </w:p>
        </w:tc>
        <w:tc>
          <w:tcPr>
            <w:tcW w:w="490" w:type="pct"/>
            <w:tcBorders>
              <w:tl2br w:val="nil"/>
              <w:tr2bl w:val="nil"/>
            </w:tcBorders>
            <w:vAlign w:val="center"/>
          </w:tcPr>
          <w:p w14:paraId="2E871E88">
            <w:pPr>
              <w:spacing w:line="240" w:lineRule="auto"/>
              <w:ind w:firstLine="0" w:firstLineChars="0"/>
              <w:jc w:val="center"/>
              <w:rPr>
                <w:b/>
                <w:color w:val="auto"/>
                <w:kern w:val="0"/>
                <w:sz w:val="21"/>
                <w:szCs w:val="21"/>
              </w:rPr>
            </w:pPr>
            <w:r>
              <w:rPr>
                <w:b/>
                <w:color w:val="auto"/>
                <w:kern w:val="0"/>
                <w:sz w:val="21"/>
                <w:szCs w:val="21"/>
              </w:rPr>
              <w:t>危险</w:t>
            </w:r>
          </w:p>
          <w:p w14:paraId="3A25D6FA">
            <w:pPr>
              <w:spacing w:line="240" w:lineRule="auto"/>
              <w:ind w:firstLine="0" w:firstLineChars="0"/>
              <w:jc w:val="center"/>
              <w:rPr>
                <w:b/>
                <w:color w:val="auto"/>
                <w:kern w:val="0"/>
                <w:sz w:val="21"/>
                <w:szCs w:val="21"/>
              </w:rPr>
            </w:pPr>
            <w:r>
              <w:rPr>
                <w:b/>
                <w:color w:val="auto"/>
                <w:kern w:val="0"/>
                <w:sz w:val="21"/>
                <w:szCs w:val="21"/>
              </w:rPr>
              <w:t>特性</w:t>
            </w:r>
          </w:p>
        </w:tc>
        <w:tc>
          <w:tcPr>
            <w:tcW w:w="427" w:type="pct"/>
            <w:tcBorders>
              <w:tl2br w:val="nil"/>
              <w:tr2bl w:val="nil"/>
            </w:tcBorders>
            <w:vAlign w:val="center"/>
          </w:tcPr>
          <w:p w14:paraId="2F469495">
            <w:pPr>
              <w:spacing w:line="240" w:lineRule="auto"/>
              <w:ind w:firstLine="0" w:firstLineChars="0"/>
              <w:jc w:val="center"/>
              <w:rPr>
                <w:b/>
                <w:color w:val="auto"/>
                <w:kern w:val="0"/>
                <w:sz w:val="21"/>
                <w:szCs w:val="21"/>
              </w:rPr>
            </w:pPr>
            <w:r>
              <w:rPr>
                <w:b/>
                <w:color w:val="auto"/>
                <w:kern w:val="0"/>
                <w:sz w:val="21"/>
                <w:szCs w:val="21"/>
              </w:rPr>
              <w:t>污染防治措施</w:t>
            </w:r>
          </w:p>
        </w:tc>
      </w:tr>
      <w:tr w14:paraId="55C9C1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131" w:type="pct"/>
            <w:tcBorders>
              <w:tl2br w:val="nil"/>
              <w:tr2bl w:val="nil"/>
            </w:tcBorders>
            <w:vAlign w:val="center"/>
          </w:tcPr>
          <w:p w14:paraId="0DCA968F">
            <w:pPr>
              <w:spacing w:line="240" w:lineRule="auto"/>
              <w:ind w:firstLine="0" w:firstLineChars="0"/>
              <w:jc w:val="center"/>
              <w:rPr>
                <w:color w:val="auto"/>
                <w:kern w:val="0"/>
                <w:sz w:val="21"/>
                <w:szCs w:val="21"/>
              </w:rPr>
            </w:pPr>
            <w:r>
              <w:rPr>
                <w:color w:val="auto"/>
                <w:kern w:val="0"/>
                <w:sz w:val="21"/>
                <w:szCs w:val="21"/>
              </w:rPr>
              <w:t>1</w:t>
            </w:r>
          </w:p>
        </w:tc>
        <w:tc>
          <w:tcPr>
            <w:tcW w:w="470" w:type="pct"/>
            <w:tcBorders>
              <w:tl2br w:val="nil"/>
              <w:tr2bl w:val="nil"/>
            </w:tcBorders>
            <w:vAlign w:val="center"/>
          </w:tcPr>
          <w:p w14:paraId="434DB423">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废过滤材料</w:t>
            </w:r>
          </w:p>
        </w:tc>
        <w:tc>
          <w:tcPr>
            <w:tcW w:w="478" w:type="pct"/>
            <w:tcBorders>
              <w:tl2br w:val="nil"/>
              <w:tr2bl w:val="nil"/>
            </w:tcBorders>
            <w:vAlign w:val="center"/>
          </w:tcPr>
          <w:p w14:paraId="783618B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HW49</w:t>
            </w:r>
          </w:p>
        </w:tc>
        <w:tc>
          <w:tcPr>
            <w:tcW w:w="495" w:type="pct"/>
            <w:tcBorders>
              <w:tl2br w:val="nil"/>
              <w:tr2bl w:val="nil"/>
            </w:tcBorders>
            <w:vAlign w:val="center"/>
          </w:tcPr>
          <w:p w14:paraId="6EB0B78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900-041-49</w:t>
            </w:r>
          </w:p>
        </w:tc>
        <w:tc>
          <w:tcPr>
            <w:tcW w:w="393" w:type="pct"/>
            <w:tcBorders>
              <w:tl2br w:val="nil"/>
              <w:tr2bl w:val="nil"/>
            </w:tcBorders>
            <w:vAlign w:val="center"/>
          </w:tcPr>
          <w:p w14:paraId="193ABC1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1.54</w:t>
            </w:r>
          </w:p>
        </w:tc>
        <w:tc>
          <w:tcPr>
            <w:tcW w:w="514" w:type="pct"/>
            <w:tcBorders>
              <w:tl2br w:val="nil"/>
              <w:tr2bl w:val="nil"/>
            </w:tcBorders>
            <w:vAlign w:val="center"/>
          </w:tcPr>
          <w:p w14:paraId="1CE83AC3">
            <w:pPr>
              <w:widowControl/>
              <w:spacing w:line="240" w:lineRule="auto"/>
              <w:ind w:firstLine="0" w:firstLineChars="0"/>
              <w:jc w:val="center"/>
              <w:textAlignment w:val="center"/>
              <w:rPr>
                <w:color w:val="auto"/>
                <w:sz w:val="21"/>
                <w:szCs w:val="21"/>
              </w:rPr>
            </w:pPr>
            <w:r>
              <w:rPr>
                <w:rFonts w:hint="eastAsia"/>
                <w:color w:val="auto"/>
                <w:sz w:val="21"/>
                <w:szCs w:val="21"/>
              </w:rPr>
              <w:t>过滤</w:t>
            </w:r>
          </w:p>
        </w:tc>
        <w:tc>
          <w:tcPr>
            <w:tcW w:w="209" w:type="pct"/>
            <w:tcBorders>
              <w:tl2br w:val="nil"/>
              <w:tr2bl w:val="nil"/>
            </w:tcBorders>
            <w:vAlign w:val="center"/>
          </w:tcPr>
          <w:p w14:paraId="619DCB1D">
            <w:pPr>
              <w:widowControl/>
              <w:spacing w:line="240" w:lineRule="auto"/>
              <w:ind w:firstLine="0" w:firstLineChars="0"/>
              <w:jc w:val="center"/>
              <w:textAlignment w:val="center"/>
              <w:rPr>
                <w:color w:val="auto"/>
                <w:sz w:val="21"/>
                <w:szCs w:val="21"/>
              </w:rPr>
            </w:pPr>
            <w:r>
              <w:rPr>
                <w:rFonts w:hint="eastAsia"/>
                <w:color w:val="auto"/>
                <w:sz w:val="21"/>
                <w:szCs w:val="21"/>
              </w:rPr>
              <w:t>固</w:t>
            </w:r>
          </w:p>
        </w:tc>
        <w:tc>
          <w:tcPr>
            <w:tcW w:w="631" w:type="pct"/>
            <w:tcBorders>
              <w:tl2br w:val="nil"/>
              <w:tr2bl w:val="nil"/>
            </w:tcBorders>
            <w:vAlign w:val="center"/>
          </w:tcPr>
          <w:p w14:paraId="49D74F2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过滤袋、滤网、滤布</w:t>
            </w:r>
          </w:p>
        </w:tc>
        <w:tc>
          <w:tcPr>
            <w:tcW w:w="557" w:type="pct"/>
            <w:tcBorders>
              <w:tl2br w:val="nil"/>
              <w:tr2bl w:val="nil"/>
            </w:tcBorders>
            <w:vAlign w:val="center"/>
          </w:tcPr>
          <w:p w14:paraId="12CB629D">
            <w:pPr>
              <w:spacing w:line="240" w:lineRule="auto"/>
              <w:ind w:firstLine="0" w:firstLineChars="0"/>
              <w:jc w:val="center"/>
              <w:rPr>
                <w:color w:val="auto"/>
                <w:sz w:val="21"/>
                <w:szCs w:val="21"/>
              </w:rPr>
            </w:pPr>
            <w:r>
              <w:rPr>
                <w:rFonts w:hint="eastAsia"/>
                <w:color w:val="auto"/>
                <w:sz w:val="21"/>
                <w:szCs w:val="21"/>
              </w:rPr>
              <w:t>沾染的有毒有害物料</w:t>
            </w:r>
          </w:p>
        </w:tc>
        <w:tc>
          <w:tcPr>
            <w:tcW w:w="198" w:type="pct"/>
            <w:tcBorders>
              <w:tl2br w:val="nil"/>
              <w:tr2bl w:val="nil"/>
            </w:tcBorders>
            <w:vAlign w:val="center"/>
          </w:tcPr>
          <w:p w14:paraId="34626E32">
            <w:pPr>
              <w:spacing w:line="240" w:lineRule="auto"/>
              <w:ind w:firstLine="0" w:firstLineChars="0"/>
              <w:jc w:val="center"/>
              <w:rPr>
                <w:color w:val="auto"/>
                <w:kern w:val="0"/>
                <w:sz w:val="21"/>
                <w:szCs w:val="21"/>
              </w:rPr>
            </w:pPr>
            <w:r>
              <w:rPr>
                <w:rFonts w:hint="eastAsia"/>
                <w:color w:val="auto"/>
                <w:kern w:val="0"/>
                <w:sz w:val="21"/>
                <w:szCs w:val="21"/>
              </w:rPr>
              <w:t>连续</w:t>
            </w:r>
          </w:p>
        </w:tc>
        <w:tc>
          <w:tcPr>
            <w:tcW w:w="490" w:type="pct"/>
            <w:tcBorders>
              <w:tl2br w:val="nil"/>
              <w:tr2bl w:val="nil"/>
            </w:tcBorders>
            <w:vAlign w:val="center"/>
          </w:tcPr>
          <w:p w14:paraId="56A2C6B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T/In/C/R</w:t>
            </w:r>
          </w:p>
        </w:tc>
        <w:tc>
          <w:tcPr>
            <w:tcW w:w="427" w:type="pct"/>
            <w:vMerge w:val="restart"/>
            <w:tcBorders>
              <w:tl2br w:val="nil"/>
              <w:tr2bl w:val="nil"/>
            </w:tcBorders>
            <w:vAlign w:val="center"/>
          </w:tcPr>
          <w:p w14:paraId="164BD8E3">
            <w:pPr>
              <w:spacing w:line="240" w:lineRule="auto"/>
              <w:ind w:firstLine="0" w:firstLineChars="0"/>
              <w:jc w:val="center"/>
              <w:rPr>
                <w:color w:val="auto"/>
                <w:sz w:val="21"/>
                <w:szCs w:val="21"/>
              </w:rPr>
            </w:pPr>
            <w:r>
              <w:rPr>
                <w:color w:val="auto"/>
                <w:sz w:val="21"/>
                <w:szCs w:val="21"/>
              </w:rPr>
              <w:t>暂存</w:t>
            </w:r>
            <w:r>
              <w:rPr>
                <w:rFonts w:hint="eastAsia"/>
                <w:color w:val="auto"/>
                <w:sz w:val="21"/>
                <w:szCs w:val="21"/>
              </w:rPr>
              <w:t>危废暂存库</w:t>
            </w:r>
            <w:r>
              <w:rPr>
                <w:color w:val="auto"/>
                <w:sz w:val="21"/>
                <w:szCs w:val="21"/>
              </w:rPr>
              <w:t>，委托有资质单位处置</w:t>
            </w:r>
          </w:p>
        </w:tc>
      </w:tr>
      <w:tr w14:paraId="548472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131" w:type="pct"/>
            <w:tcBorders>
              <w:tl2br w:val="nil"/>
              <w:tr2bl w:val="nil"/>
            </w:tcBorders>
            <w:vAlign w:val="center"/>
          </w:tcPr>
          <w:p w14:paraId="38622629">
            <w:pPr>
              <w:spacing w:line="240" w:lineRule="auto"/>
              <w:ind w:firstLine="0" w:firstLineChars="0"/>
              <w:jc w:val="center"/>
              <w:rPr>
                <w:color w:val="auto"/>
                <w:kern w:val="0"/>
                <w:sz w:val="21"/>
                <w:szCs w:val="21"/>
              </w:rPr>
            </w:pPr>
            <w:r>
              <w:rPr>
                <w:color w:val="auto"/>
                <w:kern w:val="0"/>
                <w:sz w:val="21"/>
                <w:szCs w:val="21"/>
              </w:rPr>
              <w:t>2</w:t>
            </w:r>
          </w:p>
        </w:tc>
        <w:tc>
          <w:tcPr>
            <w:tcW w:w="470" w:type="pct"/>
            <w:tcBorders>
              <w:tl2br w:val="nil"/>
              <w:tr2bl w:val="nil"/>
            </w:tcBorders>
            <w:vAlign w:val="center"/>
          </w:tcPr>
          <w:p w14:paraId="2C41234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废包装桶</w:t>
            </w:r>
          </w:p>
        </w:tc>
        <w:tc>
          <w:tcPr>
            <w:tcW w:w="478" w:type="pct"/>
            <w:tcBorders>
              <w:tl2br w:val="nil"/>
              <w:tr2bl w:val="nil"/>
            </w:tcBorders>
            <w:vAlign w:val="center"/>
          </w:tcPr>
          <w:p w14:paraId="61965F3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HW49</w:t>
            </w:r>
          </w:p>
        </w:tc>
        <w:tc>
          <w:tcPr>
            <w:tcW w:w="495" w:type="pct"/>
            <w:tcBorders>
              <w:tl2br w:val="nil"/>
              <w:tr2bl w:val="nil"/>
            </w:tcBorders>
            <w:vAlign w:val="center"/>
          </w:tcPr>
          <w:p w14:paraId="2D85B48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900-041-49</w:t>
            </w:r>
          </w:p>
        </w:tc>
        <w:tc>
          <w:tcPr>
            <w:tcW w:w="393" w:type="pct"/>
            <w:tcBorders>
              <w:tl2br w:val="nil"/>
              <w:tr2bl w:val="nil"/>
            </w:tcBorders>
            <w:vAlign w:val="center"/>
          </w:tcPr>
          <w:p w14:paraId="4CA0590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10</w:t>
            </w:r>
          </w:p>
        </w:tc>
        <w:tc>
          <w:tcPr>
            <w:tcW w:w="514" w:type="pct"/>
            <w:tcBorders>
              <w:tl2br w:val="nil"/>
              <w:tr2bl w:val="nil"/>
            </w:tcBorders>
            <w:vAlign w:val="center"/>
          </w:tcPr>
          <w:p w14:paraId="4162869F">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原料包装</w:t>
            </w:r>
          </w:p>
        </w:tc>
        <w:tc>
          <w:tcPr>
            <w:tcW w:w="209" w:type="pct"/>
            <w:tcBorders>
              <w:tl2br w:val="nil"/>
              <w:tr2bl w:val="nil"/>
            </w:tcBorders>
            <w:vAlign w:val="center"/>
          </w:tcPr>
          <w:p w14:paraId="4AAFD28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w:t>
            </w:r>
          </w:p>
        </w:tc>
        <w:tc>
          <w:tcPr>
            <w:tcW w:w="631" w:type="pct"/>
            <w:tcBorders>
              <w:tl2br w:val="nil"/>
              <w:tr2bl w:val="nil"/>
            </w:tcBorders>
            <w:vAlign w:val="center"/>
          </w:tcPr>
          <w:p w14:paraId="40DCEF5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沾染了化学原料和废液的包装袋、包装桶</w:t>
            </w:r>
          </w:p>
        </w:tc>
        <w:tc>
          <w:tcPr>
            <w:tcW w:w="557" w:type="pct"/>
            <w:tcBorders>
              <w:tl2br w:val="nil"/>
              <w:tr2bl w:val="nil"/>
            </w:tcBorders>
            <w:vAlign w:val="center"/>
          </w:tcPr>
          <w:p w14:paraId="32345EAC">
            <w:pPr>
              <w:spacing w:line="240" w:lineRule="auto"/>
              <w:ind w:firstLine="0" w:firstLineChars="0"/>
              <w:jc w:val="center"/>
              <w:rPr>
                <w:color w:val="auto"/>
                <w:sz w:val="21"/>
                <w:szCs w:val="21"/>
              </w:rPr>
            </w:pPr>
            <w:r>
              <w:rPr>
                <w:rFonts w:hint="eastAsia"/>
                <w:color w:val="auto"/>
                <w:sz w:val="21"/>
                <w:szCs w:val="21"/>
              </w:rPr>
              <w:t>沾染的有毒有害物料</w:t>
            </w:r>
          </w:p>
        </w:tc>
        <w:tc>
          <w:tcPr>
            <w:tcW w:w="198" w:type="pct"/>
            <w:tcBorders>
              <w:tl2br w:val="nil"/>
              <w:tr2bl w:val="nil"/>
            </w:tcBorders>
            <w:vAlign w:val="center"/>
          </w:tcPr>
          <w:p w14:paraId="3E6D9551">
            <w:pPr>
              <w:spacing w:line="240" w:lineRule="auto"/>
              <w:ind w:firstLine="0" w:firstLineChars="0"/>
              <w:jc w:val="center"/>
              <w:rPr>
                <w:color w:val="auto"/>
                <w:kern w:val="0"/>
                <w:sz w:val="21"/>
                <w:szCs w:val="21"/>
              </w:rPr>
            </w:pPr>
            <w:r>
              <w:rPr>
                <w:rFonts w:hint="eastAsia"/>
                <w:color w:val="auto"/>
                <w:kern w:val="0"/>
                <w:sz w:val="21"/>
                <w:szCs w:val="21"/>
              </w:rPr>
              <w:t>连续</w:t>
            </w:r>
          </w:p>
        </w:tc>
        <w:tc>
          <w:tcPr>
            <w:tcW w:w="490" w:type="pct"/>
            <w:tcBorders>
              <w:tl2br w:val="nil"/>
              <w:tr2bl w:val="nil"/>
            </w:tcBorders>
            <w:vAlign w:val="center"/>
          </w:tcPr>
          <w:p w14:paraId="793CB6A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T/In/C/R</w:t>
            </w:r>
          </w:p>
        </w:tc>
        <w:tc>
          <w:tcPr>
            <w:tcW w:w="427" w:type="pct"/>
            <w:vMerge w:val="continue"/>
            <w:tcBorders>
              <w:tl2br w:val="nil"/>
              <w:tr2bl w:val="nil"/>
            </w:tcBorders>
            <w:vAlign w:val="center"/>
          </w:tcPr>
          <w:p w14:paraId="50E679FE">
            <w:pPr>
              <w:spacing w:line="240" w:lineRule="auto"/>
              <w:ind w:firstLine="0" w:firstLineChars="0"/>
              <w:jc w:val="center"/>
              <w:rPr>
                <w:color w:val="auto"/>
                <w:sz w:val="21"/>
                <w:szCs w:val="21"/>
              </w:rPr>
            </w:pPr>
          </w:p>
        </w:tc>
      </w:tr>
      <w:tr w14:paraId="1BE195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131" w:type="pct"/>
            <w:tcBorders>
              <w:tl2br w:val="nil"/>
              <w:tr2bl w:val="nil"/>
            </w:tcBorders>
            <w:vAlign w:val="center"/>
          </w:tcPr>
          <w:p w14:paraId="4D36FCCA">
            <w:pPr>
              <w:spacing w:line="240" w:lineRule="auto"/>
              <w:ind w:firstLine="0" w:firstLineChars="0"/>
              <w:jc w:val="center"/>
              <w:rPr>
                <w:color w:val="auto"/>
                <w:kern w:val="0"/>
                <w:sz w:val="21"/>
                <w:szCs w:val="21"/>
              </w:rPr>
            </w:pPr>
            <w:r>
              <w:rPr>
                <w:color w:val="auto"/>
                <w:kern w:val="0"/>
                <w:sz w:val="21"/>
                <w:szCs w:val="21"/>
              </w:rPr>
              <w:t>3</w:t>
            </w:r>
          </w:p>
        </w:tc>
        <w:tc>
          <w:tcPr>
            <w:tcW w:w="470" w:type="pct"/>
            <w:tcBorders>
              <w:tl2br w:val="nil"/>
              <w:tr2bl w:val="nil"/>
            </w:tcBorders>
            <w:vAlign w:val="center"/>
          </w:tcPr>
          <w:p w14:paraId="0CD841F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除尘灰</w:t>
            </w:r>
          </w:p>
        </w:tc>
        <w:tc>
          <w:tcPr>
            <w:tcW w:w="478" w:type="pct"/>
            <w:tcBorders>
              <w:tl2br w:val="nil"/>
              <w:tr2bl w:val="nil"/>
            </w:tcBorders>
            <w:vAlign w:val="center"/>
          </w:tcPr>
          <w:p w14:paraId="720F0C5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HW02</w:t>
            </w:r>
          </w:p>
        </w:tc>
        <w:tc>
          <w:tcPr>
            <w:tcW w:w="495" w:type="pct"/>
            <w:tcBorders>
              <w:tl2br w:val="nil"/>
              <w:tr2bl w:val="nil"/>
            </w:tcBorders>
            <w:vAlign w:val="center"/>
          </w:tcPr>
          <w:p w14:paraId="6F1B2DA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271-005-02</w:t>
            </w:r>
          </w:p>
        </w:tc>
        <w:tc>
          <w:tcPr>
            <w:tcW w:w="393" w:type="pct"/>
            <w:tcBorders>
              <w:tl2br w:val="nil"/>
              <w:tr2bl w:val="nil"/>
            </w:tcBorders>
            <w:vAlign w:val="center"/>
          </w:tcPr>
          <w:p w14:paraId="6A23E9D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5.76</w:t>
            </w:r>
          </w:p>
        </w:tc>
        <w:tc>
          <w:tcPr>
            <w:tcW w:w="514" w:type="pct"/>
            <w:tcBorders>
              <w:tl2br w:val="nil"/>
              <w:tr2bl w:val="nil"/>
            </w:tcBorders>
            <w:vAlign w:val="center"/>
          </w:tcPr>
          <w:p w14:paraId="21A8B26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废气处理</w:t>
            </w:r>
          </w:p>
        </w:tc>
        <w:tc>
          <w:tcPr>
            <w:tcW w:w="209" w:type="pct"/>
            <w:tcBorders>
              <w:tl2br w:val="nil"/>
              <w:tr2bl w:val="nil"/>
            </w:tcBorders>
            <w:vAlign w:val="center"/>
          </w:tcPr>
          <w:p w14:paraId="033211B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w:t>
            </w:r>
          </w:p>
        </w:tc>
        <w:tc>
          <w:tcPr>
            <w:tcW w:w="631" w:type="pct"/>
            <w:tcBorders>
              <w:tl2br w:val="nil"/>
              <w:tr2bl w:val="nil"/>
            </w:tcBorders>
            <w:vAlign w:val="center"/>
          </w:tcPr>
          <w:p w14:paraId="2C82422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557" w:type="pct"/>
            <w:tcBorders>
              <w:tl2br w:val="nil"/>
              <w:tr2bl w:val="nil"/>
            </w:tcBorders>
            <w:vAlign w:val="center"/>
          </w:tcPr>
          <w:p w14:paraId="215886D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198" w:type="pct"/>
            <w:tcBorders>
              <w:tl2br w:val="nil"/>
              <w:tr2bl w:val="nil"/>
            </w:tcBorders>
            <w:vAlign w:val="center"/>
          </w:tcPr>
          <w:p w14:paraId="6E772C2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rPr>
              <w:t>连续</w:t>
            </w:r>
          </w:p>
        </w:tc>
        <w:tc>
          <w:tcPr>
            <w:tcW w:w="490" w:type="pct"/>
            <w:tcBorders>
              <w:tl2br w:val="nil"/>
              <w:tr2bl w:val="nil"/>
            </w:tcBorders>
            <w:vAlign w:val="center"/>
          </w:tcPr>
          <w:p w14:paraId="245D084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T</w:t>
            </w:r>
          </w:p>
        </w:tc>
        <w:tc>
          <w:tcPr>
            <w:tcW w:w="427" w:type="pct"/>
            <w:vMerge w:val="continue"/>
            <w:tcBorders>
              <w:tl2br w:val="nil"/>
              <w:tr2bl w:val="nil"/>
            </w:tcBorders>
            <w:vAlign w:val="center"/>
          </w:tcPr>
          <w:p w14:paraId="17D1713B">
            <w:pPr>
              <w:spacing w:line="240" w:lineRule="auto"/>
              <w:ind w:firstLine="0" w:firstLineChars="0"/>
              <w:jc w:val="center"/>
              <w:rPr>
                <w:color w:val="auto"/>
                <w:sz w:val="21"/>
                <w:szCs w:val="21"/>
              </w:rPr>
            </w:pPr>
          </w:p>
        </w:tc>
      </w:tr>
      <w:tr w14:paraId="38C13B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131" w:type="pct"/>
            <w:tcBorders>
              <w:tl2br w:val="nil"/>
              <w:tr2bl w:val="nil"/>
            </w:tcBorders>
            <w:vAlign w:val="center"/>
          </w:tcPr>
          <w:p w14:paraId="6EE48392">
            <w:pPr>
              <w:spacing w:line="240" w:lineRule="auto"/>
              <w:ind w:firstLine="0" w:firstLineChars="0"/>
              <w:jc w:val="center"/>
              <w:rPr>
                <w:color w:val="auto"/>
                <w:kern w:val="0"/>
                <w:sz w:val="21"/>
                <w:szCs w:val="21"/>
              </w:rPr>
            </w:pPr>
            <w:r>
              <w:rPr>
                <w:rFonts w:hint="eastAsia"/>
                <w:color w:val="auto"/>
                <w:kern w:val="0"/>
                <w:sz w:val="21"/>
                <w:szCs w:val="21"/>
              </w:rPr>
              <w:t>4</w:t>
            </w:r>
          </w:p>
        </w:tc>
        <w:tc>
          <w:tcPr>
            <w:tcW w:w="470" w:type="pct"/>
            <w:tcBorders>
              <w:tl2br w:val="nil"/>
              <w:tr2bl w:val="nil"/>
            </w:tcBorders>
            <w:vAlign w:val="center"/>
          </w:tcPr>
          <w:p w14:paraId="099503B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实验室废物</w:t>
            </w:r>
          </w:p>
        </w:tc>
        <w:tc>
          <w:tcPr>
            <w:tcW w:w="478" w:type="pct"/>
            <w:tcBorders>
              <w:tl2br w:val="nil"/>
              <w:tr2bl w:val="nil"/>
            </w:tcBorders>
            <w:vAlign w:val="center"/>
          </w:tcPr>
          <w:p w14:paraId="07A5CC9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HW49</w:t>
            </w:r>
          </w:p>
        </w:tc>
        <w:tc>
          <w:tcPr>
            <w:tcW w:w="495" w:type="pct"/>
            <w:tcBorders>
              <w:tl2br w:val="nil"/>
              <w:tr2bl w:val="nil"/>
            </w:tcBorders>
            <w:vAlign w:val="center"/>
          </w:tcPr>
          <w:p w14:paraId="2965EC1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900-047-49</w:t>
            </w:r>
          </w:p>
        </w:tc>
        <w:tc>
          <w:tcPr>
            <w:tcW w:w="393" w:type="pct"/>
            <w:tcBorders>
              <w:tl2br w:val="nil"/>
              <w:tr2bl w:val="nil"/>
            </w:tcBorders>
            <w:vAlign w:val="center"/>
          </w:tcPr>
          <w:p w14:paraId="3B2DD19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0.5</w:t>
            </w:r>
          </w:p>
        </w:tc>
        <w:tc>
          <w:tcPr>
            <w:tcW w:w="514" w:type="pct"/>
            <w:tcBorders>
              <w:tl2br w:val="nil"/>
              <w:tr2bl w:val="nil"/>
            </w:tcBorders>
            <w:vAlign w:val="center"/>
          </w:tcPr>
          <w:p w14:paraId="480FC97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化验</w:t>
            </w:r>
          </w:p>
        </w:tc>
        <w:tc>
          <w:tcPr>
            <w:tcW w:w="209" w:type="pct"/>
            <w:tcBorders>
              <w:tl2br w:val="nil"/>
              <w:tr2bl w:val="nil"/>
            </w:tcBorders>
            <w:vAlign w:val="center"/>
          </w:tcPr>
          <w:p w14:paraId="5D6ED2F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固/液</w:t>
            </w:r>
          </w:p>
        </w:tc>
        <w:tc>
          <w:tcPr>
            <w:tcW w:w="631" w:type="pct"/>
            <w:tcBorders>
              <w:tl2br w:val="nil"/>
              <w:tr2bl w:val="nil"/>
            </w:tcBorders>
            <w:vAlign w:val="center"/>
          </w:tcPr>
          <w:p w14:paraId="4C20999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硫酸、盐酸、高锰酸盐等</w:t>
            </w:r>
          </w:p>
        </w:tc>
        <w:tc>
          <w:tcPr>
            <w:tcW w:w="557" w:type="pct"/>
            <w:tcBorders>
              <w:tl2br w:val="nil"/>
              <w:tr2bl w:val="nil"/>
            </w:tcBorders>
            <w:vAlign w:val="center"/>
          </w:tcPr>
          <w:p w14:paraId="3965554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硫酸、盐酸、高锰酸盐等</w:t>
            </w:r>
          </w:p>
        </w:tc>
        <w:tc>
          <w:tcPr>
            <w:tcW w:w="198" w:type="pct"/>
            <w:tcBorders>
              <w:tl2br w:val="nil"/>
              <w:tr2bl w:val="nil"/>
            </w:tcBorders>
            <w:vAlign w:val="center"/>
          </w:tcPr>
          <w:p w14:paraId="226501E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间歇</w:t>
            </w:r>
          </w:p>
        </w:tc>
        <w:tc>
          <w:tcPr>
            <w:tcW w:w="490" w:type="pct"/>
            <w:tcBorders>
              <w:tl2br w:val="nil"/>
              <w:tr2bl w:val="nil"/>
            </w:tcBorders>
            <w:vAlign w:val="center"/>
          </w:tcPr>
          <w:p w14:paraId="215E912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T/In/C/R</w:t>
            </w:r>
          </w:p>
        </w:tc>
        <w:tc>
          <w:tcPr>
            <w:tcW w:w="427" w:type="pct"/>
            <w:vMerge w:val="continue"/>
            <w:tcBorders>
              <w:tl2br w:val="nil"/>
              <w:tr2bl w:val="nil"/>
            </w:tcBorders>
            <w:vAlign w:val="center"/>
          </w:tcPr>
          <w:p w14:paraId="6B6C2511">
            <w:pPr>
              <w:spacing w:line="240" w:lineRule="auto"/>
              <w:ind w:firstLine="0" w:firstLineChars="0"/>
              <w:jc w:val="center"/>
              <w:rPr>
                <w:color w:val="auto"/>
                <w:sz w:val="21"/>
                <w:szCs w:val="21"/>
              </w:rPr>
            </w:pPr>
          </w:p>
        </w:tc>
      </w:tr>
      <w:tr w14:paraId="64FD12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131" w:type="pct"/>
            <w:tcBorders>
              <w:tl2br w:val="nil"/>
              <w:tr2bl w:val="nil"/>
            </w:tcBorders>
            <w:vAlign w:val="center"/>
          </w:tcPr>
          <w:p w14:paraId="38F57485">
            <w:pPr>
              <w:spacing w:line="240" w:lineRule="auto"/>
              <w:ind w:firstLine="0" w:firstLineChars="0"/>
              <w:jc w:val="center"/>
              <w:rPr>
                <w:color w:val="auto"/>
                <w:kern w:val="0"/>
                <w:sz w:val="21"/>
                <w:szCs w:val="21"/>
              </w:rPr>
            </w:pPr>
            <w:r>
              <w:rPr>
                <w:color w:val="auto"/>
                <w:kern w:val="0"/>
                <w:sz w:val="21"/>
                <w:szCs w:val="21"/>
              </w:rPr>
              <w:t>5</w:t>
            </w:r>
          </w:p>
        </w:tc>
        <w:tc>
          <w:tcPr>
            <w:tcW w:w="470" w:type="pct"/>
            <w:tcBorders>
              <w:tl2br w:val="nil"/>
              <w:tr2bl w:val="nil"/>
            </w:tcBorders>
            <w:vAlign w:val="center"/>
          </w:tcPr>
          <w:p w14:paraId="51D065FD">
            <w:pPr>
              <w:widowControl/>
              <w:spacing w:line="240" w:lineRule="auto"/>
              <w:ind w:firstLine="0" w:firstLineChars="0"/>
              <w:jc w:val="center"/>
              <w:textAlignment w:val="center"/>
              <w:rPr>
                <w:color w:val="auto"/>
                <w:kern w:val="0"/>
                <w:sz w:val="21"/>
                <w:szCs w:val="21"/>
              </w:rPr>
            </w:pPr>
            <w:r>
              <w:rPr>
                <w:rFonts w:hint="eastAsia"/>
                <w:color w:val="auto"/>
                <w:kern w:val="0"/>
                <w:sz w:val="21"/>
                <w:szCs w:val="21"/>
                <w:lang w:bidi="ar"/>
              </w:rPr>
              <w:t>污水处理污泥</w:t>
            </w:r>
          </w:p>
        </w:tc>
        <w:tc>
          <w:tcPr>
            <w:tcW w:w="478" w:type="pct"/>
            <w:tcBorders>
              <w:tl2br w:val="nil"/>
              <w:tr2bl w:val="nil"/>
            </w:tcBorders>
            <w:vAlign w:val="center"/>
          </w:tcPr>
          <w:p w14:paraId="4C7895C1">
            <w:pPr>
              <w:widowControl/>
              <w:spacing w:line="240" w:lineRule="auto"/>
              <w:ind w:firstLine="0" w:firstLineChars="0"/>
              <w:jc w:val="center"/>
              <w:rPr>
                <w:color w:val="auto"/>
                <w:kern w:val="0"/>
                <w:sz w:val="21"/>
                <w:szCs w:val="21"/>
              </w:rPr>
            </w:pPr>
            <w:r>
              <w:rPr>
                <w:rFonts w:hint="eastAsia"/>
                <w:color w:val="auto"/>
                <w:kern w:val="0"/>
                <w:sz w:val="21"/>
                <w:szCs w:val="21"/>
                <w:lang w:bidi="ar"/>
              </w:rPr>
              <w:t>HW49</w:t>
            </w:r>
          </w:p>
        </w:tc>
        <w:tc>
          <w:tcPr>
            <w:tcW w:w="495" w:type="pct"/>
            <w:tcBorders>
              <w:tl2br w:val="nil"/>
              <w:tr2bl w:val="nil"/>
            </w:tcBorders>
            <w:vAlign w:val="center"/>
          </w:tcPr>
          <w:p w14:paraId="01616A35">
            <w:pPr>
              <w:widowControl/>
              <w:spacing w:line="240" w:lineRule="auto"/>
              <w:ind w:firstLine="0" w:firstLineChars="0"/>
              <w:jc w:val="center"/>
              <w:rPr>
                <w:color w:val="auto"/>
                <w:kern w:val="0"/>
                <w:sz w:val="21"/>
                <w:szCs w:val="21"/>
              </w:rPr>
            </w:pPr>
            <w:r>
              <w:rPr>
                <w:rFonts w:hint="eastAsia"/>
                <w:color w:val="auto"/>
                <w:kern w:val="0"/>
                <w:sz w:val="21"/>
                <w:szCs w:val="21"/>
              </w:rPr>
              <w:t>772-006-49</w:t>
            </w:r>
          </w:p>
        </w:tc>
        <w:tc>
          <w:tcPr>
            <w:tcW w:w="393" w:type="pct"/>
            <w:tcBorders>
              <w:tl2br w:val="nil"/>
              <w:tr2bl w:val="nil"/>
            </w:tcBorders>
            <w:vAlign w:val="center"/>
          </w:tcPr>
          <w:p w14:paraId="0E598448">
            <w:pPr>
              <w:widowControl/>
              <w:spacing w:line="240" w:lineRule="auto"/>
              <w:ind w:firstLine="0" w:firstLineChars="0"/>
              <w:jc w:val="center"/>
              <w:rPr>
                <w:color w:val="auto"/>
                <w:kern w:val="0"/>
                <w:sz w:val="21"/>
                <w:szCs w:val="21"/>
              </w:rPr>
            </w:pPr>
            <w:r>
              <w:rPr>
                <w:rFonts w:hint="eastAsia"/>
                <w:color w:val="auto"/>
                <w:kern w:val="0"/>
                <w:sz w:val="21"/>
                <w:szCs w:val="21"/>
              </w:rPr>
              <w:t>11.57</w:t>
            </w:r>
          </w:p>
        </w:tc>
        <w:tc>
          <w:tcPr>
            <w:tcW w:w="514" w:type="pct"/>
            <w:tcBorders>
              <w:tl2br w:val="nil"/>
              <w:tr2bl w:val="nil"/>
            </w:tcBorders>
            <w:vAlign w:val="center"/>
          </w:tcPr>
          <w:p w14:paraId="78D11C02">
            <w:pPr>
              <w:widowControl/>
              <w:spacing w:line="240" w:lineRule="auto"/>
              <w:ind w:firstLine="0" w:firstLineChars="0"/>
              <w:jc w:val="center"/>
              <w:textAlignment w:val="center"/>
              <w:rPr>
                <w:color w:val="auto"/>
                <w:kern w:val="0"/>
                <w:sz w:val="21"/>
                <w:szCs w:val="21"/>
              </w:rPr>
            </w:pPr>
            <w:r>
              <w:rPr>
                <w:rFonts w:hint="eastAsia"/>
                <w:color w:val="auto"/>
                <w:kern w:val="0"/>
                <w:sz w:val="21"/>
                <w:szCs w:val="21"/>
                <w:lang w:bidi="ar"/>
              </w:rPr>
              <w:t>污水处理</w:t>
            </w:r>
          </w:p>
        </w:tc>
        <w:tc>
          <w:tcPr>
            <w:tcW w:w="209" w:type="pct"/>
            <w:tcBorders>
              <w:tl2br w:val="nil"/>
              <w:tr2bl w:val="nil"/>
            </w:tcBorders>
            <w:vAlign w:val="center"/>
          </w:tcPr>
          <w:p w14:paraId="2E05E9B1">
            <w:pPr>
              <w:widowControl/>
              <w:spacing w:line="240" w:lineRule="auto"/>
              <w:ind w:firstLine="0" w:firstLineChars="0"/>
              <w:jc w:val="center"/>
              <w:rPr>
                <w:color w:val="auto"/>
                <w:kern w:val="0"/>
                <w:sz w:val="21"/>
                <w:szCs w:val="21"/>
              </w:rPr>
            </w:pPr>
            <w:r>
              <w:rPr>
                <w:rFonts w:hint="eastAsia"/>
                <w:color w:val="auto"/>
                <w:kern w:val="0"/>
                <w:sz w:val="21"/>
                <w:szCs w:val="21"/>
                <w:lang w:bidi="ar"/>
              </w:rPr>
              <w:t>固/液</w:t>
            </w:r>
          </w:p>
        </w:tc>
        <w:tc>
          <w:tcPr>
            <w:tcW w:w="631" w:type="pct"/>
            <w:tcBorders>
              <w:tl2br w:val="nil"/>
              <w:tr2bl w:val="nil"/>
            </w:tcBorders>
            <w:vAlign w:val="center"/>
          </w:tcPr>
          <w:p w14:paraId="0026F17A">
            <w:pPr>
              <w:widowControl/>
              <w:spacing w:line="240" w:lineRule="auto"/>
              <w:ind w:firstLine="0" w:firstLineChars="0"/>
              <w:jc w:val="center"/>
              <w:textAlignment w:val="center"/>
              <w:rPr>
                <w:color w:val="auto"/>
                <w:kern w:val="0"/>
                <w:sz w:val="21"/>
                <w:szCs w:val="21"/>
              </w:rPr>
            </w:pPr>
            <w:r>
              <w:rPr>
                <w:rFonts w:hint="eastAsia"/>
                <w:color w:val="auto"/>
                <w:kern w:val="0"/>
                <w:sz w:val="21"/>
                <w:szCs w:val="21"/>
                <w:lang w:bidi="ar"/>
              </w:rPr>
              <w:t>污泥、水等</w:t>
            </w:r>
          </w:p>
        </w:tc>
        <w:tc>
          <w:tcPr>
            <w:tcW w:w="557" w:type="pct"/>
            <w:tcBorders>
              <w:tl2br w:val="nil"/>
              <w:tr2bl w:val="nil"/>
            </w:tcBorders>
            <w:vAlign w:val="center"/>
          </w:tcPr>
          <w:p w14:paraId="37A6BCF7">
            <w:pPr>
              <w:widowControl/>
              <w:spacing w:line="240" w:lineRule="auto"/>
              <w:ind w:firstLine="0" w:firstLineChars="0"/>
              <w:jc w:val="center"/>
              <w:textAlignment w:val="center"/>
              <w:rPr>
                <w:color w:val="auto"/>
                <w:kern w:val="0"/>
                <w:sz w:val="21"/>
                <w:szCs w:val="21"/>
              </w:rPr>
            </w:pPr>
            <w:r>
              <w:rPr>
                <w:rFonts w:hint="eastAsia"/>
                <w:color w:val="auto"/>
                <w:kern w:val="0"/>
                <w:sz w:val="21"/>
                <w:szCs w:val="21"/>
                <w:lang w:bidi="ar"/>
              </w:rPr>
              <w:t>污泥、水等</w:t>
            </w:r>
          </w:p>
        </w:tc>
        <w:tc>
          <w:tcPr>
            <w:tcW w:w="198" w:type="pct"/>
            <w:tcBorders>
              <w:tl2br w:val="nil"/>
              <w:tr2bl w:val="nil"/>
            </w:tcBorders>
            <w:vAlign w:val="center"/>
          </w:tcPr>
          <w:p w14:paraId="75D3A51A">
            <w:pPr>
              <w:widowControl/>
              <w:spacing w:line="240" w:lineRule="auto"/>
              <w:ind w:firstLine="0" w:firstLineChars="0"/>
              <w:jc w:val="center"/>
              <w:rPr>
                <w:color w:val="auto"/>
                <w:kern w:val="0"/>
                <w:sz w:val="21"/>
                <w:szCs w:val="21"/>
              </w:rPr>
            </w:pPr>
            <w:r>
              <w:rPr>
                <w:rFonts w:hint="eastAsia"/>
                <w:color w:val="auto"/>
                <w:kern w:val="0"/>
                <w:sz w:val="21"/>
                <w:szCs w:val="21"/>
              </w:rPr>
              <w:t>连续</w:t>
            </w:r>
          </w:p>
        </w:tc>
        <w:tc>
          <w:tcPr>
            <w:tcW w:w="490" w:type="pct"/>
            <w:tcBorders>
              <w:tl2br w:val="nil"/>
              <w:tr2bl w:val="nil"/>
            </w:tcBorders>
            <w:vAlign w:val="center"/>
          </w:tcPr>
          <w:p w14:paraId="578C46FE">
            <w:pPr>
              <w:widowControl/>
              <w:spacing w:line="240" w:lineRule="auto"/>
              <w:ind w:firstLine="0" w:firstLineChars="0"/>
              <w:jc w:val="center"/>
              <w:rPr>
                <w:color w:val="auto"/>
                <w:kern w:val="0"/>
                <w:sz w:val="21"/>
                <w:szCs w:val="21"/>
              </w:rPr>
            </w:pPr>
            <w:r>
              <w:rPr>
                <w:rFonts w:hint="eastAsia"/>
                <w:color w:val="auto"/>
                <w:kern w:val="0"/>
                <w:sz w:val="21"/>
                <w:szCs w:val="21"/>
              </w:rPr>
              <w:t>T/In</w:t>
            </w:r>
          </w:p>
        </w:tc>
        <w:tc>
          <w:tcPr>
            <w:tcW w:w="427" w:type="pct"/>
            <w:vMerge w:val="continue"/>
            <w:tcBorders>
              <w:tl2br w:val="nil"/>
              <w:tr2bl w:val="nil"/>
            </w:tcBorders>
            <w:vAlign w:val="center"/>
          </w:tcPr>
          <w:p w14:paraId="009397D3">
            <w:pPr>
              <w:spacing w:line="240" w:lineRule="auto"/>
              <w:ind w:firstLine="0" w:firstLineChars="0"/>
              <w:jc w:val="center"/>
              <w:rPr>
                <w:color w:val="auto"/>
                <w:sz w:val="21"/>
                <w:szCs w:val="21"/>
              </w:rPr>
            </w:pPr>
          </w:p>
        </w:tc>
      </w:tr>
      <w:bookmarkEnd w:id="152"/>
    </w:tbl>
    <w:p w14:paraId="525DCCFD">
      <w:pPr>
        <w:ind w:firstLine="480"/>
        <w:rPr>
          <w:rFonts w:hint="eastAsia" w:hAnsi="宋体"/>
          <w:color w:val="auto"/>
        </w:rPr>
        <w:sectPr>
          <w:pgSz w:w="16838" w:h="11906" w:orient="landscape"/>
          <w:pgMar w:top="1134" w:right="1134" w:bottom="1134" w:left="1134" w:header="851" w:footer="992" w:gutter="0"/>
          <w:cols w:space="425" w:num="1"/>
          <w:docGrid w:type="lines" w:linePitch="312" w:charSpace="0"/>
        </w:sectPr>
      </w:pPr>
    </w:p>
    <w:p w14:paraId="7E45CF21">
      <w:pPr>
        <w:pStyle w:val="4"/>
        <w:rPr>
          <w:color w:val="auto"/>
        </w:rPr>
      </w:pPr>
      <w:bookmarkStart w:id="154" w:name="_Toc15801"/>
      <w:r>
        <w:rPr>
          <w:rFonts w:hint="eastAsia"/>
          <w:color w:val="auto"/>
        </w:rPr>
        <w:t>4.6.5</w:t>
      </w:r>
      <w:r>
        <w:rPr>
          <w:color w:val="auto"/>
        </w:rPr>
        <w:t>污染物总量</w:t>
      </w:r>
      <w:bookmarkEnd w:id="154"/>
    </w:p>
    <w:p w14:paraId="100ED6D2">
      <w:pPr>
        <w:spacing w:line="460" w:lineRule="exact"/>
        <w:ind w:firstLine="480"/>
        <w:rPr>
          <w:b/>
          <w:color w:val="auto"/>
          <w:szCs w:val="20"/>
        </w:rPr>
      </w:pPr>
      <w:r>
        <w:rPr>
          <w:rFonts w:hint="eastAsia" w:hAnsi="宋体"/>
          <w:color w:val="auto"/>
        </w:rPr>
        <w:t>拟建</w:t>
      </w:r>
      <w:r>
        <w:rPr>
          <w:rFonts w:hAnsi="宋体"/>
          <w:color w:val="auto"/>
        </w:rPr>
        <w:t>项目</w:t>
      </w:r>
      <w:r>
        <w:rPr>
          <w:rFonts w:hint="eastAsia" w:hAnsi="宋体"/>
          <w:color w:val="auto"/>
        </w:rPr>
        <w:t>污染物排放情况见表</w:t>
      </w:r>
      <w:r>
        <w:rPr>
          <w:rFonts w:hAnsi="宋体"/>
          <w:color w:val="auto"/>
        </w:rPr>
        <w:t>4.</w:t>
      </w:r>
      <w:r>
        <w:rPr>
          <w:rFonts w:hint="eastAsia" w:hAnsi="宋体"/>
          <w:color w:val="auto"/>
        </w:rPr>
        <w:t>6-4，拟建</w:t>
      </w:r>
      <w:r>
        <w:rPr>
          <w:rFonts w:hAnsi="宋体"/>
          <w:color w:val="auto"/>
        </w:rPr>
        <w:t>项目</w:t>
      </w:r>
      <w:r>
        <w:rPr>
          <w:rFonts w:hint="eastAsia" w:hAnsi="宋体"/>
          <w:color w:val="auto"/>
        </w:rPr>
        <w:t>建成后全厂污染物排放情况</w:t>
      </w:r>
      <w:r>
        <w:rPr>
          <w:rFonts w:hAnsi="宋体"/>
          <w:color w:val="auto"/>
        </w:rPr>
        <w:t>见表4.</w:t>
      </w:r>
      <w:r>
        <w:rPr>
          <w:rFonts w:hint="eastAsia" w:hAnsi="宋体"/>
          <w:color w:val="auto"/>
        </w:rPr>
        <w:t>6-5。</w:t>
      </w:r>
    </w:p>
    <w:p w14:paraId="6192CEF5">
      <w:pPr>
        <w:pStyle w:val="49"/>
        <w:rPr>
          <w:color w:val="auto"/>
        </w:rPr>
      </w:pPr>
      <w:r>
        <w:rPr>
          <w:rFonts w:hint="eastAsia"/>
          <w:color w:val="auto"/>
        </w:rPr>
        <w:t>表4.6-4  拟建项目污染物排放情况表（单位：t/a）</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38"/>
        <w:gridCol w:w="1173"/>
        <w:gridCol w:w="1411"/>
        <w:gridCol w:w="1687"/>
        <w:gridCol w:w="1577"/>
        <w:gridCol w:w="1687"/>
        <w:gridCol w:w="1777"/>
      </w:tblGrid>
      <w:tr w14:paraId="0C587B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8" w:type="pct"/>
            <w:gridSpan w:val="2"/>
            <w:vAlign w:val="center"/>
          </w:tcPr>
          <w:p w14:paraId="7C0D9BDF">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类别</w:t>
            </w:r>
          </w:p>
        </w:tc>
        <w:tc>
          <w:tcPr>
            <w:tcW w:w="716" w:type="pct"/>
            <w:vAlign w:val="center"/>
          </w:tcPr>
          <w:p w14:paraId="4985C4EA">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污染物</w:t>
            </w:r>
          </w:p>
        </w:tc>
        <w:tc>
          <w:tcPr>
            <w:tcW w:w="856" w:type="pct"/>
            <w:vAlign w:val="center"/>
          </w:tcPr>
          <w:p w14:paraId="2130B672">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产生量</w:t>
            </w:r>
          </w:p>
        </w:tc>
        <w:tc>
          <w:tcPr>
            <w:tcW w:w="800" w:type="pct"/>
            <w:vAlign w:val="center"/>
          </w:tcPr>
          <w:p w14:paraId="2697CB0A">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削减量*</w:t>
            </w:r>
          </w:p>
        </w:tc>
        <w:tc>
          <w:tcPr>
            <w:tcW w:w="856" w:type="pct"/>
            <w:vAlign w:val="center"/>
          </w:tcPr>
          <w:p w14:paraId="4D943343">
            <w:pPr>
              <w:widowControl/>
              <w:spacing w:line="240" w:lineRule="auto"/>
              <w:ind w:firstLine="0" w:firstLineChars="0"/>
              <w:jc w:val="center"/>
              <w:textAlignment w:val="center"/>
              <w:rPr>
                <w:rFonts w:cs="宋体"/>
                <w:b/>
                <w:bCs/>
                <w:color w:val="auto"/>
                <w:kern w:val="0"/>
                <w:sz w:val="21"/>
                <w:szCs w:val="21"/>
                <w:lang w:bidi="ar"/>
              </w:rPr>
            </w:pPr>
            <w:r>
              <w:rPr>
                <w:rFonts w:hint="eastAsia" w:cs="宋体"/>
                <w:b/>
                <w:bCs/>
                <w:color w:val="auto"/>
                <w:kern w:val="0"/>
                <w:sz w:val="21"/>
                <w:szCs w:val="21"/>
                <w:lang w:bidi="ar"/>
              </w:rPr>
              <w:t>接管量</w:t>
            </w:r>
          </w:p>
        </w:tc>
        <w:tc>
          <w:tcPr>
            <w:tcW w:w="901" w:type="pct"/>
            <w:vAlign w:val="center"/>
          </w:tcPr>
          <w:p w14:paraId="3DED5ADF">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排放量*</w:t>
            </w:r>
          </w:p>
        </w:tc>
      </w:tr>
      <w:tr w14:paraId="27A0AB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3" w:type="pct"/>
            <w:vMerge w:val="restart"/>
            <w:vAlign w:val="center"/>
          </w:tcPr>
          <w:p w14:paraId="45A04BF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废气</w:t>
            </w:r>
          </w:p>
        </w:tc>
        <w:tc>
          <w:tcPr>
            <w:tcW w:w="594" w:type="pct"/>
            <w:vMerge w:val="restart"/>
            <w:vAlign w:val="center"/>
          </w:tcPr>
          <w:p w14:paraId="28965ED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有组织</w:t>
            </w:r>
          </w:p>
        </w:tc>
        <w:tc>
          <w:tcPr>
            <w:tcW w:w="716" w:type="pct"/>
            <w:noWrap/>
            <w:vAlign w:val="center"/>
          </w:tcPr>
          <w:p w14:paraId="27F1F47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二氧化硫</w:t>
            </w:r>
          </w:p>
        </w:tc>
        <w:tc>
          <w:tcPr>
            <w:tcW w:w="856" w:type="pct"/>
            <w:vAlign w:val="center"/>
          </w:tcPr>
          <w:p w14:paraId="1A53DBD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23.666</w:t>
            </w:r>
          </w:p>
        </w:tc>
        <w:tc>
          <w:tcPr>
            <w:tcW w:w="800" w:type="pct"/>
            <w:vAlign w:val="center"/>
          </w:tcPr>
          <w:p w14:paraId="01EE7B4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23.429</w:t>
            </w:r>
          </w:p>
        </w:tc>
        <w:tc>
          <w:tcPr>
            <w:tcW w:w="856" w:type="pct"/>
            <w:vAlign w:val="center"/>
          </w:tcPr>
          <w:p w14:paraId="1CC0B17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901" w:type="pct"/>
            <w:vAlign w:val="center"/>
          </w:tcPr>
          <w:p w14:paraId="6B46C0A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0.237</w:t>
            </w:r>
          </w:p>
        </w:tc>
      </w:tr>
      <w:tr w14:paraId="4FB144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3" w:type="pct"/>
            <w:vMerge w:val="continue"/>
            <w:vAlign w:val="center"/>
          </w:tcPr>
          <w:p w14:paraId="429F7126">
            <w:pPr>
              <w:spacing w:line="240" w:lineRule="auto"/>
              <w:ind w:firstLine="0" w:firstLineChars="0"/>
              <w:jc w:val="center"/>
              <w:rPr>
                <w:rFonts w:cs="宋体"/>
                <w:color w:val="auto"/>
                <w:sz w:val="21"/>
                <w:szCs w:val="21"/>
              </w:rPr>
            </w:pPr>
          </w:p>
        </w:tc>
        <w:tc>
          <w:tcPr>
            <w:tcW w:w="594" w:type="pct"/>
            <w:vMerge w:val="continue"/>
            <w:vAlign w:val="center"/>
          </w:tcPr>
          <w:p w14:paraId="21AB3DE7">
            <w:pPr>
              <w:widowControl/>
              <w:spacing w:line="240" w:lineRule="auto"/>
              <w:ind w:firstLine="0" w:firstLineChars="0"/>
              <w:jc w:val="center"/>
              <w:textAlignment w:val="center"/>
              <w:rPr>
                <w:color w:val="auto"/>
                <w:kern w:val="0"/>
                <w:sz w:val="21"/>
                <w:szCs w:val="21"/>
                <w:lang w:bidi="ar"/>
              </w:rPr>
            </w:pPr>
          </w:p>
        </w:tc>
        <w:tc>
          <w:tcPr>
            <w:tcW w:w="716" w:type="pct"/>
            <w:noWrap/>
            <w:vAlign w:val="center"/>
          </w:tcPr>
          <w:p w14:paraId="178120D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颗粒物</w:t>
            </w:r>
          </w:p>
        </w:tc>
        <w:tc>
          <w:tcPr>
            <w:tcW w:w="856" w:type="pct"/>
            <w:vAlign w:val="center"/>
          </w:tcPr>
          <w:p w14:paraId="1253B98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1.678</w:t>
            </w:r>
          </w:p>
        </w:tc>
        <w:tc>
          <w:tcPr>
            <w:tcW w:w="800" w:type="pct"/>
            <w:vAlign w:val="center"/>
          </w:tcPr>
          <w:p w14:paraId="7CF2CAB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1.661</w:t>
            </w:r>
          </w:p>
        </w:tc>
        <w:tc>
          <w:tcPr>
            <w:tcW w:w="856" w:type="pct"/>
            <w:vAlign w:val="center"/>
          </w:tcPr>
          <w:p w14:paraId="6119FBF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901" w:type="pct"/>
            <w:vAlign w:val="center"/>
          </w:tcPr>
          <w:p w14:paraId="0AA4F39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0.017</w:t>
            </w:r>
          </w:p>
        </w:tc>
      </w:tr>
      <w:tr w14:paraId="2041C1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3" w:type="pct"/>
            <w:vMerge w:val="continue"/>
            <w:vAlign w:val="center"/>
          </w:tcPr>
          <w:p w14:paraId="35EE8B5B">
            <w:pPr>
              <w:spacing w:line="240" w:lineRule="auto"/>
              <w:ind w:firstLine="0" w:firstLineChars="0"/>
              <w:jc w:val="center"/>
              <w:rPr>
                <w:rFonts w:cs="宋体"/>
                <w:color w:val="auto"/>
                <w:sz w:val="21"/>
                <w:szCs w:val="21"/>
              </w:rPr>
            </w:pPr>
          </w:p>
        </w:tc>
        <w:tc>
          <w:tcPr>
            <w:tcW w:w="594" w:type="pct"/>
            <w:vMerge w:val="continue"/>
            <w:vAlign w:val="center"/>
          </w:tcPr>
          <w:p w14:paraId="3BC3F120">
            <w:pPr>
              <w:widowControl/>
              <w:spacing w:line="240" w:lineRule="auto"/>
              <w:ind w:firstLine="0" w:firstLineChars="0"/>
              <w:jc w:val="center"/>
              <w:textAlignment w:val="center"/>
              <w:rPr>
                <w:color w:val="auto"/>
                <w:kern w:val="0"/>
                <w:sz w:val="21"/>
                <w:szCs w:val="21"/>
                <w:lang w:bidi="ar"/>
              </w:rPr>
            </w:pPr>
          </w:p>
        </w:tc>
        <w:tc>
          <w:tcPr>
            <w:tcW w:w="716" w:type="pct"/>
            <w:vAlign w:val="center"/>
          </w:tcPr>
          <w:p w14:paraId="3BF9DBD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氨</w:t>
            </w:r>
          </w:p>
        </w:tc>
        <w:tc>
          <w:tcPr>
            <w:tcW w:w="856" w:type="pct"/>
            <w:vAlign w:val="center"/>
          </w:tcPr>
          <w:p w14:paraId="1CDBD03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16.676</w:t>
            </w:r>
          </w:p>
        </w:tc>
        <w:tc>
          <w:tcPr>
            <w:tcW w:w="800" w:type="pct"/>
            <w:vAlign w:val="center"/>
          </w:tcPr>
          <w:p w14:paraId="4512CC3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16.509</w:t>
            </w:r>
          </w:p>
        </w:tc>
        <w:tc>
          <w:tcPr>
            <w:tcW w:w="856" w:type="pct"/>
            <w:vAlign w:val="center"/>
          </w:tcPr>
          <w:p w14:paraId="51F080A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901" w:type="pct"/>
            <w:vAlign w:val="center"/>
          </w:tcPr>
          <w:p w14:paraId="3828778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0.167</w:t>
            </w:r>
          </w:p>
        </w:tc>
      </w:tr>
      <w:tr w14:paraId="33FDE4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3" w:type="pct"/>
            <w:vMerge w:val="continue"/>
            <w:vAlign w:val="center"/>
          </w:tcPr>
          <w:p w14:paraId="51BC5262">
            <w:pPr>
              <w:widowControl/>
              <w:spacing w:line="240" w:lineRule="auto"/>
              <w:ind w:firstLine="0" w:firstLineChars="0"/>
              <w:jc w:val="center"/>
              <w:textAlignment w:val="center"/>
              <w:rPr>
                <w:rFonts w:cs="宋体"/>
                <w:color w:val="auto"/>
                <w:sz w:val="21"/>
                <w:szCs w:val="21"/>
              </w:rPr>
            </w:pPr>
          </w:p>
        </w:tc>
        <w:tc>
          <w:tcPr>
            <w:tcW w:w="594" w:type="pct"/>
            <w:vAlign w:val="center"/>
          </w:tcPr>
          <w:p w14:paraId="69276CF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无组织</w:t>
            </w:r>
          </w:p>
        </w:tc>
        <w:tc>
          <w:tcPr>
            <w:tcW w:w="716" w:type="pct"/>
            <w:noWrap/>
            <w:vAlign w:val="center"/>
          </w:tcPr>
          <w:p w14:paraId="10351F2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氨</w:t>
            </w:r>
          </w:p>
        </w:tc>
        <w:tc>
          <w:tcPr>
            <w:tcW w:w="856" w:type="pct"/>
            <w:vAlign w:val="center"/>
          </w:tcPr>
          <w:p w14:paraId="5997FE5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0.094</w:t>
            </w:r>
          </w:p>
        </w:tc>
        <w:tc>
          <w:tcPr>
            <w:tcW w:w="800" w:type="pct"/>
            <w:vAlign w:val="center"/>
          </w:tcPr>
          <w:p w14:paraId="2796CDCE">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0.093</w:t>
            </w:r>
          </w:p>
        </w:tc>
        <w:tc>
          <w:tcPr>
            <w:tcW w:w="856" w:type="pct"/>
            <w:vAlign w:val="center"/>
          </w:tcPr>
          <w:p w14:paraId="3CB70BC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901" w:type="pct"/>
            <w:vAlign w:val="center"/>
          </w:tcPr>
          <w:p w14:paraId="0B1545F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0.001</w:t>
            </w:r>
          </w:p>
        </w:tc>
      </w:tr>
      <w:tr w14:paraId="7F5FFD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8" w:type="pct"/>
            <w:gridSpan w:val="2"/>
            <w:vMerge w:val="restart"/>
            <w:vAlign w:val="center"/>
          </w:tcPr>
          <w:p w14:paraId="50E6963E">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废水</w:t>
            </w:r>
          </w:p>
        </w:tc>
        <w:tc>
          <w:tcPr>
            <w:tcW w:w="716" w:type="pct"/>
            <w:vAlign w:val="center"/>
          </w:tcPr>
          <w:p w14:paraId="7B93F1B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废水量</w:t>
            </w:r>
          </w:p>
        </w:tc>
        <w:tc>
          <w:tcPr>
            <w:tcW w:w="1687" w:type="dxa"/>
            <w:vAlign w:val="center"/>
          </w:tcPr>
          <w:p w14:paraId="67F8766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16356.694</w:t>
            </w:r>
          </w:p>
        </w:tc>
        <w:tc>
          <w:tcPr>
            <w:tcW w:w="1577" w:type="dxa"/>
            <w:vAlign w:val="center"/>
          </w:tcPr>
          <w:p w14:paraId="474066C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1687" w:type="dxa"/>
            <w:vAlign w:val="center"/>
          </w:tcPr>
          <w:p w14:paraId="454BB5D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16356.694</w:t>
            </w:r>
          </w:p>
        </w:tc>
        <w:tc>
          <w:tcPr>
            <w:tcW w:w="1777" w:type="dxa"/>
            <w:vAlign w:val="center"/>
          </w:tcPr>
          <w:p w14:paraId="732B8A8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16356.694</w:t>
            </w:r>
          </w:p>
        </w:tc>
      </w:tr>
      <w:tr w14:paraId="16D665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8" w:type="pct"/>
            <w:gridSpan w:val="2"/>
            <w:vMerge w:val="continue"/>
            <w:vAlign w:val="center"/>
          </w:tcPr>
          <w:p w14:paraId="4DDDA948">
            <w:pPr>
              <w:spacing w:line="240" w:lineRule="auto"/>
              <w:ind w:firstLine="0" w:firstLineChars="0"/>
              <w:jc w:val="center"/>
              <w:rPr>
                <w:rFonts w:cs="宋体"/>
                <w:color w:val="auto"/>
                <w:sz w:val="21"/>
                <w:szCs w:val="21"/>
              </w:rPr>
            </w:pPr>
          </w:p>
        </w:tc>
        <w:tc>
          <w:tcPr>
            <w:tcW w:w="716" w:type="pct"/>
            <w:vAlign w:val="center"/>
          </w:tcPr>
          <w:p w14:paraId="7786C27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COD</w:t>
            </w:r>
          </w:p>
        </w:tc>
        <w:tc>
          <w:tcPr>
            <w:tcW w:w="1687" w:type="dxa"/>
            <w:vAlign w:val="center"/>
          </w:tcPr>
          <w:p w14:paraId="21022FFE">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0.002</w:t>
            </w:r>
          </w:p>
        </w:tc>
        <w:tc>
          <w:tcPr>
            <w:tcW w:w="1577" w:type="dxa"/>
            <w:vAlign w:val="center"/>
          </w:tcPr>
          <w:p w14:paraId="564EC3D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0.001</w:t>
            </w:r>
          </w:p>
        </w:tc>
        <w:tc>
          <w:tcPr>
            <w:tcW w:w="1687" w:type="dxa"/>
            <w:vAlign w:val="center"/>
          </w:tcPr>
          <w:p w14:paraId="2C4E5A9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0.002</w:t>
            </w:r>
          </w:p>
        </w:tc>
        <w:tc>
          <w:tcPr>
            <w:tcW w:w="1777" w:type="dxa"/>
            <w:vAlign w:val="center"/>
          </w:tcPr>
          <w:p w14:paraId="3388CA0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0.818</w:t>
            </w:r>
          </w:p>
        </w:tc>
      </w:tr>
      <w:tr w14:paraId="3D5A22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8" w:type="pct"/>
            <w:gridSpan w:val="2"/>
            <w:vMerge w:val="continue"/>
            <w:vAlign w:val="center"/>
          </w:tcPr>
          <w:p w14:paraId="79D6C4B1">
            <w:pPr>
              <w:spacing w:line="240" w:lineRule="auto"/>
              <w:ind w:firstLine="0" w:firstLineChars="0"/>
              <w:jc w:val="center"/>
              <w:rPr>
                <w:rFonts w:cs="宋体"/>
                <w:color w:val="auto"/>
                <w:sz w:val="21"/>
                <w:szCs w:val="21"/>
              </w:rPr>
            </w:pPr>
          </w:p>
        </w:tc>
        <w:tc>
          <w:tcPr>
            <w:tcW w:w="716" w:type="pct"/>
            <w:vAlign w:val="center"/>
          </w:tcPr>
          <w:p w14:paraId="3B25F56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SS</w:t>
            </w:r>
          </w:p>
        </w:tc>
        <w:tc>
          <w:tcPr>
            <w:tcW w:w="1687" w:type="dxa"/>
            <w:vAlign w:val="center"/>
          </w:tcPr>
          <w:p w14:paraId="26AB68A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0.001</w:t>
            </w:r>
          </w:p>
        </w:tc>
        <w:tc>
          <w:tcPr>
            <w:tcW w:w="1577" w:type="dxa"/>
            <w:vAlign w:val="center"/>
          </w:tcPr>
          <w:p w14:paraId="2CC0225E">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0.0001</w:t>
            </w:r>
          </w:p>
        </w:tc>
        <w:tc>
          <w:tcPr>
            <w:tcW w:w="1687" w:type="dxa"/>
            <w:vAlign w:val="center"/>
          </w:tcPr>
          <w:p w14:paraId="0A9BBFE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0.001</w:t>
            </w:r>
          </w:p>
        </w:tc>
        <w:tc>
          <w:tcPr>
            <w:tcW w:w="1777" w:type="dxa"/>
            <w:vAlign w:val="center"/>
          </w:tcPr>
          <w:p w14:paraId="21FD02F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0.327</w:t>
            </w:r>
          </w:p>
        </w:tc>
      </w:tr>
      <w:tr w14:paraId="3B024D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8" w:type="pct"/>
            <w:gridSpan w:val="2"/>
            <w:vMerge w:val="continue"/>
            <w:vAlign w:val="center"/>
          </w:tcPr>
          <w:p w14:paraId="1A8B1B3C">
            <w:pPr>
              <w:spacing w:line="240" w:lineRule="auto"/>
              <w:ind w:firstLine="0" w:firstLineChars="0"/>
              <w:jc w:val="center"/>
              <w:rPr>
                <w:rFonts w:cs="宋体"/>
                <w:color w:val="auto"/>
                <w:sz w:val="21"/>
                <w:szCs w:val="21"/>
              </w:rPr>
            </w:pPr>
          </w:p>
        </w:tc>
        <w:tc>
          <w:tcPr>
            <w:tcW w:w="716" w:type="pct"/>
            <w:vAlign w:val="center"/>
          </w:tcPr>
          <w:p w14:paraId="7339EB8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氨氮</w:t>
            </w:r>
          </w:p>
        </w:tc>
        <w:tc>
          <w:tcPr>
            <w:tcW w:w="1687" w:type="dxa"/>
            <w:vAlign w:val="center"/>
          </w:tcPr>
          <w:p w14:paraId="2F1999C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9.00E-05</w:t>
            </w:r>
          </w:p>
        </w:tc>
        <w:tc>
          <w:tcPr>
            <w:tcW w:w="1577" w:type="dxa"/>
            <w:vAlign w:val="center"/>
          </w:tcPr>
          <w:p w14:paraId="0CAD85A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1687" w:type="dxa"/>
            <w:vAlign w:val="center"/>
          </w:tcPr>
          <w:p w14:paraId="3DD4B62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9.00E-05</w:t>
            </w:r>
          </w:p>
        </w:tc>
        <w:tc>
          <w:tcPr>
            <w:tcW w:w="1777" w:type="dxa"/>
            <w:vAlign w:val="center"/>
          </w:tcPr>
          <w:p w14:paraId="2B6C1A2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0.082</w:t>
            </w:r>
          </w:p>
        </w:tc>
      </w:tr>
      <w:tr w14:paraId="153B88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8" w:type="pct"/>
            <w:gridSpan w:val="2"/>
            <w:vMerge w:val="continue"/>
            <w:vAlign w:val="center"/>
          </w:tcPr>
          <w:p w14:paraId="2AFFC503">
            <w:pPr>
              <w:spacing w:line="240" w:lineRule="auto"/>
              <w:ind w:firstLine="0" w:firstLineChars="0"/>
              <w:jc w:val="center"/>
              <w:rPr>
                <w:rFonts w:cs="宋体"/>
                <w:color w:val="auto"/>
                <w:sz w:val="21"/>
                <w:szCs w:val="21"/>
              </w:rPr>
            </w:pPr>
          </w:p>
        </w:tc>
        <w:tc>
          <w:tcPr>
            <w:tcW w:w="716" w:type="pct"/>
            <w:vAlign w:val="center"/>
          </w:tcPr>
          <w:p w14:paraId="103480F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总磷</w:t>
            </w:r>
          </w:p>
        </w:tc>
        <w:tc>
          <w:tcPr>
            <w:tcW w:w="1687" w:type="dxa"/>
            <w:vAlign w:val="center"/>
          </w:tcPr>
          <w:p w14:paraId="31C3F9E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2.40E-05</w:t>
            </w:r>
          </w:p>
        </w:tc>
        <w:tc>
          <w:tcPr>
            <w:tcW w:w="1577" w:type="dxa"/>
            <w:vAlign w:val="center"/>
          </w:tcPr>
          <w:p w14:paraId="65FBB76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1687" w:type="dxa"/>
            <w:vAlign w:val="center"/>
          </w:tcPr>
          <w:p w14:paraId="0CAB5ED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2.40E-05</w:t>
            </w:r>
          </w:p>
        </w:tc>
        <w:tc>
          <w:tcPr>
            <w:tcW w:w="1777" w:type="dxa"/>
            <w:vAlign w:val="center"/>
          </w:tcPr>
          <w:p w14:paraId="05C261B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0.008</w:t>
            </w:r>
          </w:p>
        </w:tc>
      </w:tr>
      <w:tr w14:paraId="092EEF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8" w:type="pct"/>
            <w:gridSpan w:val="2"/>
            <w:vMerge w:val="continue"/>
            <w:vAlign w:val="center"/>
          </w:tcPr>
          <w:p w14:paraId="544CAE24">
            <w:pPr>
              <w:spacing w:line="240" w:lineRule="auto"/>
              <w:ind w:firstLine="0" w:firstLineChars="0"/>
              <w:jc w:val="center"/>
              <w:rPr>
                <w:rFonts w:cs="宋体"/>
                <w:color w:val="auto"/>
                <w:sz w:val="21"/>
                <w:szCs w:val="21"/>
              </w:rPr>
            </w:pPr>
          </w:p>
        </w:tc>
        <w:tc>
          <w:tcPr>
            <w:tcW w:w="716" w:type="pct"/>
            <w:vAlign w:val="center"/>
          </w:tcPr>
          <w:p w14:paraId="4ABCF7E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总氮</w:t>
            </w:r>
          </w:p>
        </w:tc>
        <w:tc>
          <w:tcPr>
            <w:tcW w:w="1687" w:type="dxa"/>
            <w:vAlign w:val="center"/>
          </w:tcPr>
          <w:p w14:paraId="34E913F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0.0001 </w:t>
            </w:r>
          </w:p>
        </w:tc>
        <w:tc>
          <w:tcPr>
            <w:tcW w:w="1577" w:type="dxa"/>
            <w:vAlign w:val="center"/>
          </w:tcPr>
          <w:p w14:paraId="61B7FC6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1687" w:type="dxa"/>
            <w:vAlign w:val="center"/>
          </w:tcPr>
          <w:p w14:paraId="415E3BE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1.35E-04</w:t>
            </w:r>
          </w:p>
        </w:tc>
        <w:tc>
          <w:tcPr>
            <w:tcW w:w="1777" w:type="dxa"/>
            <w:vAlign w:val="center"/>
          </w:tcPr>
          <w:p w14:paraId="14F155B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0.245</w:t>
            </w:r>
          </w:p>
        </w:tc>
      </w:tr>
      <w:tr w14:paraId="084E8C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8" w:type="pct"/>
            <w:gridSpan w:val="2"/>
            <w:vMerge w:val="continue"/>
            <w:vAlign w:val="center"/>
          </w:tcPr>
          <w:p w14:paraId="4E699E94">
            <w:pPr>
              <w:spacing w:line="240" w:lineRule="auto"/>
              <w:ind w:firstLine="0" w:firstLineChars="0"/>
              <w:jc w:val="center"/>
              <w:rPr>
                <w:rFonts w:cs="宋体"/>
                <w:color w:val="auto"/>
                <w:sz w:val="21"/>
                <w:szCs w:val="21"/>
              </w:rPr>
            </w:pPr>
          </w:p>
        </w:tc>
        <w:tc>
          <w:tcPr>
            <w:tcW w:w="716" w:type="pct"/>
            <w:vAlign w:val="center"/>
          </w:tcPr>
          <w:p w14:paraId="4B8170F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石油类</w:t>
            </w:r>
          </w:p>
        </w:tc>
        <w:tc>
          <w:tcPr>
            <w:tcW w:w="1687" w:type="dxa"/>
            <w:vAlign w:val="center"/>
          </w:tcPr>
          <w:p w14:paraId="72907D8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1.41E-05</w:t>
            </w:r>
          </w:p>
        </w:tc>
        <w:tc>
          <w:tcPr>
            <w:tcW w:w="1577" w:type="dxa"/>
            <w:vAlign w:val="center"/>
          </w:tcPr>
          <w:p w14:paraId="4E0518A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1687" w:type="dxa"/>
            <w:vAlign w:val="center"/>
          </w:tcPr>
          <w:p w14:paraId="5680893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1.41E-05</w:t>
            </w:r>
          </w:p>
        </w:tc>
        <w:tc>
          <w:tcPr>
            <w:tcW w:w="1777" w:type="dxa"/>
            <w:vAlign w:val="center"/>
          </w:tcPr>
          <w:p w14:paraId="23DC69A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0.327</w:t>
            </w:r>
          </w:p>
        </w:tc>
      </w:tr>
      <w:tr w14:paraId="6ED5B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8" w:type="pct"/>
            <w:gridSpan w:val="2"/>
            <w:vMerge w:val="restart"/>
            <w:vAlign w:val="center"/>
          </w:tcPr>
          <w:p w14:paraId="3A780886">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固废</w:t>
            </w:r>
          </w:p>
        </w:tc>
        <w:tc>
          <w:tcPr>
            <w:tcW w:w="716" w:type="pct"/>
            <w:vAlign w:val="center"/>
          </w:tcPr>
          <w:p w14:paraId="24C43B4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危险废物</w:t>
            </w:r>
          </w:p>
        </w:tc>
        <w:tc>
          <w:tcPr>
            <w:tcW w:w="1687" w:type="dxa"/>
            <w:vAlign w:val="center"/>
          </w:tcPr>
          <w:p w14:paraId="4576437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29.37</w:t>
            </w:r>
          </w:p>
        </w:tc>
        <w:tc>
          <w:tcPr>
            <w:tcW w:w="1577" w:type="dxa"/>
            <w:vAlign w:val="center"/>
          </w:tcPr>
          <w:p w14:paraId="17863EF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29.37</w:t>
            </w:r>
          </w:p>
        </w:tc>
        <w:tc>
          <w:tcPr>
            <w:tcW w:w="1687" w:type="dxa"/>
            <w:vAlign w:val="center"/>
          </w:tcPr>
          <w:p w14:paraId="72B24E9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1777" w:type="dxa"/>
            <w:vAlign w:val="center"/>
          </w:tcPr>
          <w:p w14:paraId="4AF14C76">
            <w:pPr>
              <w:spacing w:line="240" w:lineRule="auto"/>
              <w:ind w:firstLine="0" w:firstLineChars="0"/>
              <w:jc w:val="center"/>
              <w:rPr>
                <w:color w:val="auto"/>
                <w:kern w:val="0"/>
                <w:sz w:val="21"/>
                <w:szCs w:val="21"/>
                <w:lang w:bidi="ar"/>
              </w:rPr>
            </w:pPr>
            <w:r>
              <w:rPr>
                <w:rFonts w:hint="eastAsia"/>
                <w:color w:val="auto"/>
                <w:kern w:val="0"/>
                <w:sz w:val="21"/>
                <w:szCs w:val="21"/>
                <w:lang w:bidi="ar"/>
              </w:rPr>
              <w:t>0</w:t>
            </w:r>
          </w:p>
        </w:tc>
      </w:tr>
      <w:tr w14:paraId="1FC2C5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8" w:type="pct"/>
            <w:gridSpan w:val="2"/>
            <w:vMerge w:val="continue"/>
            <w:vAlign w:val="center"/>
          </w:tcPr>
          <w:p w14:paraId="1265970D">
            <w:pPr>
              <w:spacing w:line="240" w:lineRule="auto"/>
              <w:ind w:firstLine="0" w:firstLineChars="0"/>
              <w:jc w:val="center"/>
              <w:rPr>
                <w:rFonts w:cs="宋体"/>
                <w:color w:val="auto"/>
                <w:sz w:val="21"/>
                <w:szCs w:val="21"/>
              </w:rPr>
            </w:pPr>
          </w:p>
        </w:tc>
        <w:tc>
          <w:tcPr>
            <w:tcW w:w="716" w:type="pct"/>
            <w:noWrap/>
            <w:vAlign w:val="center"/>
          </w:tcPr>
          <w:p w14:paraId="3ADCD03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一般固废</w:t>
            </w:r>
          </w:p>
        </w:tc>
        <w:tc>
          <w:tcPr>
            <w:tcW w:w="1687" w:type="dxa"/>
            <w:noWrap/>
            <w:vAlign w:val="center"/>
          </w:tcPr>
          <w:p w14:paraId="465A074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2</w:t>
            </w:r>
          </w:p>
        </w:tc>
        <w:tc>
          <w:tcPr>
            <w:tcW w:w="1577" w:type="dxa"/>
            <w:noWrap/>
            <w:vAlign w:val="center"/>
          </w:tcPr>
          <w:p w14:paraId="03EA934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2</w:t>
            </w:r>
          </w:p>
        </w:tc>
        <w:tc>
          <w:tcPr>
            <w:tcW w:w="1687" w:type="dxa"/>
            <w:noWrap/>
            <w:vAlign w:val="center"/>
          </w:tcPr>
          <w:p w14:paraId="122517B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1777" w:type="dxa"/>
            <w:noWrap/>
            <w:vAlign w:val="center"/>
          </w:tcPr>
          <w:p w14:paraId="3039200D">
            <w:pPr>
              <w:spacing w:line="240" w:lineRule="auto"/>
              <w:ind w:firstLine="0" w:firstLineChars="0"/>
              <w:jc w:val="center"/>
              <w:rPr>
                <w:color w:val="auto"/>
                <w:kern w:val="0"/>
                <w:sz w:val="21"/>
                <w:szCs w:val="21"/>
                <w:lang w:bidi="ar"/>
              </w:rPr>
            </w:pPr>
            <w:r>
              <w:rPr>
                <w:rFonts w:hint="eastAsia"/>
                <w:color w:val="auto"/>
                <w:kern w:val="0"/>
                <w:sz w:val="21"/>
                <w:szCs w:val="21"/>
                <w:lang w:bidi="ar"/>
              </w:rPr>
              <w:t>0</w:t>
            </w:r>
          </w:p>
        </w:tc>
      </w:tr>
    </w:tbl>
    <w:p w14:paraId="12B8B783">
      <w:pPr>
        <w:spacing w:line="300" w:lineRule="auto"/>
        <w:ind w:firstLine="0" w:firstLineChars="0"/>
        <w:rPr>
          <w:rFonts w:hint="eastAsia" w:hAnsi="宋体"/>
          <w:color w:val="auto"/>
        </w:rPr>
      </w:pPr>
      <w:r>
        <w:rPr>
          <w:rFonts w:hint="eastAsia"/>
          <w:b/>
          <w:bCs/>
          <w:color w:val="auto"/>
          <w:sz w:val="21"/>
          <w:szCs w:val="21"/>
        </w:rPr>
        <w:t>注：*拟建项目废水污染物排放量根据园区接管污水处理厂排放标准计算。</w:t>
      </w:r>
    </w:p>
    <w:p w14:paraId="6511EFDE">
      <w:pPr>
        <w:ind w:firstLine="480"/>
        <w:rPr>
          <w:rFonts w:hint="eastAsia" w:hAnsi="宋体"/>
          <w:color w:val="auto"/>
        </w:rPr>
      </w:pPr>
    </w:p>
    <w:p w14:paraId="69D3BDBB">
      <w:pPr>
        <w:ind w:firstLine="480"/>
        <w:rPr>
          <w:rFonts w:hint="eastAsia" w:hAnsi="宋体"/>
          <w:color w:val="auto"/>
        </w:rPr>
        <w:sectPr>
          <w:pgSz w:w="11906" w:h="16838"/>
          <w:pgMar w:top="1134" w:right="1134" w:bottom="1134" w:left="1134" w:header="851" w:footer="992" w:gutter="0"/>
          <w:cols w:space="425" w:num="1"/>
          <w:docGrid w:type="lines" w:linePitch="312" w:charSpace="0"/>
        </w:sectPr>
      </w:pPr>
    </w:p>
    <w:p w14:paraId="7769394F">
      <w:pPr>
        <w:pStyle w:val="49"/>
        <w:rPr>
          <w:color w:val="auto"/>
        </w:rPr>
      </w:pPr>
      <w:r>
        <w:rPr>
          <w:rFonts w:hint="eastAsia"/>
          <w:color w:val="auto"/>
        </w:rPr>
        <w:t>表4.6-5  拟建项目建成后全厂污染物排放情况表（单位：t/a）</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9"/>
        <w:gridCol w:w="1688"/>
        <w:gridCol w:w="1823"/>
        <w:gridCol w:w="1110"/>
        <w:gridCol w:w="1113"/>
        <w:gridCol w:w="1077"/>
        <w:gridCol w:w="1077"/>
        <w:gridCol w:w="1007"/>
        <w:gridCol w:w="1007"/>
        <w:gridCol w:w="1110"/>
        <w:gridCol w:w="1113"/>
        <w:gridCol w:w="1006"/>
        <w:gridCol w:w="1006"/>
      </w:tblGrid>
      <w:tr w14:paraId="56715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0" w:hRule="atLeast"/>
          <w:tblHeader/>
          <w:jc w:val="center"/>
        </w:trPr>
        <w:tc>
          <w:tcPr>
            <w:tcW w:w="755" w:type="pct"/>
            <w:gridSpan w:val="2"/>
            <w:vAlign w:val="center"/>
          </w:tcPr>
          <w:p w14:paraId="7F032F85">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类别</w:t>
            </w:r>
          </w:p>
        </w:tc>
        <w:tc>
          <w:tcPr>
            <w:tcW w:w="621" w:type="pct"/>
            <w:vAlign w:val="center"/>
          </w:tcPr>
          <w:p w14:paraId="3619AFF1">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污染物</w:t>
            </w:r>
          </w:p>
        </w:tc>
        <w:tc>
          <w:tcPr>
            <w:tcW w:w="757" w:type="pct"/>
            <w:gridSpan w:val="2"/>
            <w:vAlign w:val="center"/>
          </w:tcPr>
          <w:p w14:paraId="36AD032E">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现有项目排放量</w:t>
            </w:r>
          </w:p>
        </w:tc>
        <w:tc>
          <w:tcPr>
            <w:tcW w:w="734" w:type="pct"/>
            <w:gridSpan w:val="2"/>
            <w:vAlign w:val="center"/>
          </w:tcPr>
          <w:p w14:paraId="3F211248">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以新带老削减量*</w:t>
            </w:r>
          </w:p>
        </w:tc>
        <w:tc>
          <w:tcPr>
            <w:tcW w:w="686" w:type="pct"/>
            <w:gridSpan w:val="2"/>
            <w:vAlign w:val="center"/>
          </w:tcPr>
          <w:p w14:paraId="1F11A86B">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拟建项目排放量</w:t>
            </w:r>
          </w:p>
        </w:tc>
        <w:tc>
          <w:tcPr>
            <w:tcW w:w="757" w:type="pct"/>
            <w:gridSpan w:val="2"/>
            <w:vAlign w:val="center"/>
          </w:tcPr>
          <w:p w14:paraId="53D73E91">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全厂排放量</w:t>
            </w:r>
          </w:p>
        </w:tc>
        <w:tc>
          <w:tcPr>
            <w:tcW w:w="686" w:type="pct"/>
            <w:gridSpan w:val="2"/>
            <w:vAlign w:val="center"/>
          </w:tcPr>
          <w:p w14:paraId="47DC0096">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变化量</w:t>
            </w:r>
          </w:p>
        </w:tc>
      </w:tr>
      <w:tr w14:paraId="107FB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5" w:hRule="atLeast"/>
          <w:tblHeader/>
          <w:jc w:val="center"/>
        </w:trPr>
        <w:tc>
          <w:tcPr>
            <w:tcW w:w="180" w:type="pct"/>
            <w:vMerge w:val="restart"/>
            <w:noWrap/>
            <w:vAlign w:val="center"/>
          </w:tcPr>
          <w:p w14:paraId="3CDD0D8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废气</w:t>
            </w:r>
          </w:p>
        </w:tc>
        <w:tc>
          <w:tcPr>
            <w:tcW w:w="574" w:type="pct"/>
            <w:vMerge w:val="restart"/>
            <w:noWrap/>
            <w:vAlign w:val="center"/>
          </w:tcPr>
          <w:p w14:paraId="04883F5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有组织</w:t>
            </w:r>
          </w:p>
        </w:tc>
        <w:tc>
          <w:tcPr>
            <w:tcW w:w="621" w:type="pct"/>
            <w:vAlign w:val="center"/>
          </w:tcPr>
          <w:p w14:paraId="7BD5FA5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二氧化硫</w:t>
            </w:r>
          </w:p>
        </w:tc>
        <w:tc>
          <w:tcPr>
            <w:tcW w:w="2223" w:type="dxa"/>
            <w:gridSpan w:val="2"/>
            <w:vAlign w:val="center"/>
          </w:tcPr>
          <w:p w14:paraId="492FB9A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10.873</w:t>
            </w:r>
          </w:p>
        </w:tc>
        <w:tc>
          <w:tcPr>
            <w:tcW w:w="2156" w:type="dxa"/>
            <w:gridSpan w:val="2"/>
            <w:noWrap/>
            <w:vAlign w:val="center"/>
          </w:tcPr>
          <w:p w14:paraId="343C55F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4.900</w:t>
            </w:r>
          </w:p>
        </w:tc>
        <w:tc>
          <w:tcPr>
            <w:tcW w:w="2014" w:type="dxa"/>
            <w:gridSpan w:val="2"/>
            <w:noWrap/>
            <w:vAlign w:val="center"/>
          </w:tcPr>
          <w:p w14:paraId="7F63A28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0.237 </w:t>
            </w:r>
          </w:p>
        </w:tc>
        <w:tc>
          <w:tcPr>
            <w:tcW w:w="2223" w:type="dxa"/>
            <w:gridSpan w:val="2"/>
            <w:noWrap/>
            <w:vAlign w:val="center"/>
          </w:tcPr>
          <w:p w14:paraId="4D837AD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6.210 </w:t>
            </w:r>
          </w:p>
        </w:tc>
        <w:tc>
          <w:tcPr>
            <w:tcW w:w="2014" w:type="dxa"/>
            <w:gridSpan w:val="2"/>
            <w:noWrap/>
            <w:vAlign w:val="center"/>
          </w:tcPr>
          <w:p w14:paraId="6B3B9BE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-4.663 </w:t>
            </w:r>
          </w:p>
        </w:tc>
      </w:tr>
      <w:tr w14:paraId="5126A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02593C55">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6A788BE3">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5BF4BB8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2223" w:type="dxa"/>
            <w:gridSpan w:val="2"/>
            <w:vAlign w:val="center"/>
          </w:tcPr>
          <w:p w14:paraId="2D3B25F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3.545</w:t>
            </w:r>
          </w:p>
        </w:tc>
        <w:tc>
          <w:tcPr>
            <w:tcW w:w="2156" w:type="dxa"/>
            <w:gridSpan w:val="2"/>
            <w:noWrap/>
            <w:vAlign w:val="center"/>
          </w:tcPr>
          <w:p w14:paraId="68C121E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0.433</w:t>
            </w:r>
          </w:p>
        </w:tc>
        <w:tc>
          <w:tcPr>
            <w:tcW w:w="2014" w:type="dxa"/>
            <w:gridSpan w:val="2"/>
            <w:noWrap/>
            <w:vAlign w:val="center"/>
          </w:tcPr>
          <w:p w14:paraId="32CB1A0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0.017 </w:t>
            </w:r>
          </w:p>
        </w:tc>
        <w:tc>
          <w:tcPr>
            <w:tcW w:w="2223" w:type="dxa"/>
            <w:gridSpan w:val="2"/>
            <w:noWrap/>
            <w:vAlign w:val="center"/>
          </w:tcPr>
          <w:p w14:paraId="712020B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3.129 </w:t>
            </w:r>
          </w:p>
        </w:tc>
        <w:tc>
          <w:tcPr>
            <w:tcW w:w="2014" w:type="dxa"/>
            <w:gridSpan w:val="2"/>
            <w:noWrap/>
            <w:vAlign w:val="center"/>
          </w:tcPr>
          <w:p w14:paraId="768F37D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-0.416 </w:t>
            </w:r>
          </w:p>
        </w:tc>
      </w:tr>
      <w:tr w14:paraId="06AC2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4FC5AD59">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461BF2FC">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142D495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氨</w:t>
            </w:r>
          </w:p>
        </w:tc>
        <w:tc>
          <w:tcPr>
            <w:tcW w:w="2223" w:type="dxa"/>
            <w:gridSpan w:val="2"/>
            <w:vAlign w:val="center"/>
          </w:tcPr>
          <w:p w14:paraId="6EC73AF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0.831</w:t>
            </w:r>
          </w:p>
        </w:tc>
        <w:tc>
          <w:tcPr>
            <w:tcW w:w="2156" w:type="dxa"/>
            <w:gridSpan w:val="2"/>
            <w:noWrap/>
            <w:vAlign w:val="center"/>
          </w:tcPr>
          <w:p w14:paraId="37F04FF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  </w:t>
            </w:r>
          </w:p>
        </w:tc>
        <w:tc>
          <w:tcPr>
            <w:tcW w:w="2014" w:type="dxa"/>
            <w:gridSpan w:val="2"/>
            <w:noWrap/>
            <w:vAlign w:val="center"/>
          </w:tcPr>
          <w:p w14:paraId="7241907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0.167 </w:t>
            </w:r>
          </w:p>
        </w:tc>
        <w:tc>
          <w:tcPr>
            <w:tcW w:w="2223" w:type="dxa"/>
            <w:gridSpan w:val="2"/>
            <w:noWrap/>
            <w:vAlign w:val="center"/>
          </w:tcPr>
          <w:p w14:paraId="4F69EE8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0.998 </w:t>
            </w:r>
          </w:p>
        </w:tc>
        <w:tc>
          <w:tcPr>
            <w:tcW w:w="2014" w:type="dxa"/>
            <w:gridSpan w:val="2"/>
            <w:noWrap/>
            <w:vAlign w:val="center"/>
          </w:tcPr>
          <w:p w14:paraId="4BD12C4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0.167 </w:t>
            </w:r>
          </w:p>
        </w:tc>
      </w:tr>
      <w:tr w14:paraId="263E3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30A0B4B2">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0C828998">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67FA864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氮氧化物</w:t>
            </w:r>
          </w:p>
        </w:tc>
        <w:tc>
          <w:tcPr>
            <w:tcW w:w="2223" w:type="dxa"/>
            <w:gridSpan w:val="2"/>
            <w:vAlign w:val="center"/>
          </w:tcPr>
          <w:p w14:paraId="64E149B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34.920</w:t>
            </w:r>
          </w:p>
        </w:tc>
        <w:tc>
          <w:tcPr>
            <w:tcW w:w="2156" w:type="dxa"/>
            <w:gridSpan w:val="2"/>
            <w:noWrap/>
            <w:vAlign w:val="center"/>
          </w:tcPr>
          <w:p w14:paraId="08060C3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44DAB44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0A769F2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34.920 </w:t>
            </w:r>
          </w:p>
        </w:tc>
        <w:tc>
          <w:tcPr>
            <w:tcW w:w="2014" w:type="dxa"/>
            <w:gridSpan w:val="2"/>
            <w:noWrap/>
            <w:vAlign w:val="center"/>
          </w:tcPr>
          <w:p w14:paraId="41B2C3C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01D7F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421F0BB2">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488D0CD1">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5140CDF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苯肼</w:t>
            </w:r>
          </w:p>
        </w:tc>
        <w:tc>
          <w:tcPr>
            <w:tcW w:w="2223" w:type="dxa"/>
            <w:gridSpan w:val="2"/>
            <w:vAlign w:val="center"/>
          </w:tcPr>
          <w:p w14:paraId="76CBD92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0.003</w:t>
            </w:r>
          </w:p>
        </w:tc>
        <w:tc>
          <w:tcPr>
            <w:tcW w:w="2156" w:type="dxa"/>
            <w:gridSpan w:val="2"/>
            <w:noWrap/>
            <w:vAlign w:val="center"/>
          </w:tcPr>
          <w:p w14:paraId="1F64421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4B52DD4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20743B1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0.003 </w:t>
            </w:r>
          </w:p>
        </w:tc>
        <w:tc>
          <w:tcPr>
            <w:tcW w:w="2014" w:type="dxa"/>
            <w:gridSpan w:val="2"/>
            <w:noWrap/>
            <w:vAlign w:val="center"/>
          </w:tcPr>
          <w:p w14:paraId="7F0F04B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70C8B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7AFB1912">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16F75309">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61F38F4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乙酰乙酸乙酯</w:t>
            </w:r>
          </w:p>
        </w:tc>
        <w:tc>
          <w:tcPr>
            <w:tcW w:w="2223" w:type="dxa"/>
            <w:gridSpan w:val="2"/>
            <w:vAlign w:val="center"/>
          </w:tcPr>
          <w:p w14:paraId="094C0BD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0.011 </w:t>
            </w:r>
          </w:p>
        </w:tc>
        <w:tc>
          <w:tcPr>
            <w:tcW w:w="2156" w:type="dxa"/>
            <w:gridSpan w:val="2"/>
            <w:noWrap/>
            <w:vAlign w:val="center"/>
          </w:tcPr>
          <w:p w14:paraId="67A488D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0C8A43B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060C5CC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0.011 </w:t>
            </w:r>
          </w:p>
        </w:tc>
        <w:tc>
          <w:tcPr>
            <w:tcW w:w="2014" w:type="dxa"/>
            <w:gridSpan w:val="2"/>
            <w:noWrap/>
            <w:vAlign w:val="center"/>
          </w:tcPr>
          <w:p w14:paraId="1D3E52A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4B1A0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1DE6844A">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4BA17CE0">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2CBB9C5E">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乙酸</w:t>
            </w:r>
          </w:p>
        </w:tc>
        <w:tc>
          <w:tcPr>
            <w:tcW w:w="2223" w:type="dxa"/>
            <w:gridSpan w:val="2"/>
            <w:vAlign w:val="center"/>
          </w:tcPr>
          <w:p w14:paraId="6753FE9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0.001 </w:t>
            </w:r>
          </w:p>
        </w:tc>
        <w:tc>
          <w:tcPr>
            <w:tcW w:w="2156" w:type="dxa"/>
            <w:gridSpan w:val="2"/>
            <w:noWrap/>
            <w:vAlign w:val="center"/>
          </w:tcPr>
          <w:p w14:paraId="0E53ABF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79E6B90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6D6B942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0.001 </w:t>
            </w:r>
          </w:p>
        </w:tc>
        <w:tc>
          <w:tcPr>
            <w:tcW w:w="2014" w:type="dxa"/>
            <w:gridSpan w:val="2"/>
            <w:noWrap/>
            <w:vAlign w:val="center"/>
          </w:tcPr>
          <w:p w14:paraId="774F18D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76583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09032FE8">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3BA65098">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1C444B2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乙醇</w:t>
            </w:r>
          </w:p>
        </w:tc>
        <w:tc>
          <w:tcPr>
            <w:tcW w:w="2223" w:type="dxa"/>
            <w:gridSpan w:val="2"/>
            <w:vAlign w:val="center"/>
          </w:tcPr>
          <w:p w14:paraId="2814CEF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0.092 </w:t>
            </w:r>
          </w:p>
        </w:tc>
        <w:tc>
          <w:tcPr>
            <w:tcW w:w="2156" w:type="dxa"/>
            <w:gridSpan w:val="2"/>
            <w:noWrap/>
            <w:vAlign w:val="center"/>
          </w:tcPr>
          <w:p w14:paraId="7EB41A5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06E4492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7FDBE11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0.092 </w:t>
            </w:r>
          </w:p>
        </w:tc>
        <w:tc>
          <w:tcPr>
            <w:tcW w:w="2014" w:type="dxa"/>
            <w:gridSpan w:val="2"/>
            <w:noWrap/>
            <w:vAlign w:val="center"/>
          </w:tcPr>
          <w:p w14:paraId="67D95DF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4D47F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1D5948D9">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42746F3C">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629CBA1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甲醇</w:t>
            </w:r>
          </w:p>
        </w:tc>
        <w:tc>
          <w:tcPr>
            <w:tcW w:w="2223" w:type="dxa"/>
            <w:gridSpan w:val="2"/>
            <w:vAlign w:val="center"/>
          </w:tcPr>
          <w:p w14:paraId="4F96D07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0.122 </w:t>
            </w:r>
          </w:p>
        </w:tc>
        <w:tc>
          <w:tcPr>
            <w:tcW w:w="2156" w:type="dxa"/>
            <w:gridSpan w:val="2"/>
            <w:noWrap/>
            <w:vAlign w:val="center"/>
          </w:tcPr>
          <w:p w14:paraId="3391A99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11D504B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08A4C1AE">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0.122 </w:t>
            </w:r>
          </w:p>
        </w:tc>
        <w:tc>
          <w:tcPr>
            <w:tcW w:w="2014" w:type="dxa"/>
            <w:gridSpan w:val="2"/>
            <w:noWrap/>
            <w:vAlign w:val="center"/>
          </w:tcPr>
          <w:p w14:paraId="1827373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0B702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2A066D8F">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6105C245">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394E982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丙酮</w:t>
            </w:r>
          </w:p>
        </w:tc>
        <w:tc>
          <w:tcPr>
            <w:tcW w:w="2223" w:type="dxa"/>
            <w:gridSpan w:val="2"/>
            <w:vAlign w:val="center"/>
          </w:tcPr>
          <w:p w14:paraId="65534BA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0.123 </w:t>
            </w:r>
          </w:p>
        </w:tc>
        <w:tc>
          <w:tcPr>
            <w:tcW w:w="2156" w:type="dxa"/>
            <w:gridSpan w:val="2"/>
            <w:noWrap/>
            <w:vAlign w:val="center"/>
          </w:tcPr>
          <w:p w14:paraId="1E8BC04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0477D8E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6FB6B3C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0.123 </w:t>
            </w:r>
          </w:p>
        </w:tc>
        <w:tc>
          <w:tcPr>
            <w:tcW w:w="2014" w:type="dxa"/>
            <w:gridSpan w:val="2"/>
            <w:noWrap/>
            <w:vAlign w:val="center"/>
          </w:tcPr>
          <w:p w14:paraId="50A5EDA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1D372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7A097DFD">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1E3D0CE0">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28A2476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VOCs(以非甲烷总烃计)</w:t>
            </w:r>
          </w:p>
        </w:tc>
        <w:tc>
          <w:tcPr>
            <w:tcW w:w="2223" w:type="dxa"/>
            <w:gridSpan w:val="2"/>
            <w:vAlign w:val="center"/>
          </w:tcPr>
          <w:p w14:paraId="7DD5D3E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13.331 </w:t>
            </w:r>
          </w:p>
        </w:tc>
        <w:tc>
          <w:tcPr>
            <w:tcW w:w="2156" w:type="dxa"/>
            <w:gridSpan w:val="2"/>
            <w:noWrap/>
            <w:vAlign w:val="center"/>
          </w:tcPr>
          <w:p w14:paraId="661833C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27CC548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2FCB07C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13.331 </w:t>
            </w:r>
          </w:p>
        </w:tc>
        <w:tc>
          <w:tcPr>
            <w:tcW w:w="2014" w:type="dxa"/>
            <w:gridSpan w:val="2"/>
            <w:noWrap/>
            <w:vAlign w:val="center"/>
          </w:tcPr>
          <w:p w14:paraId="70A2EA4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10AF5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51C36BDE">
            <w:pPr>
              <w:widowControl/>
              <w:spacing w:line="240" w:lineRule="auto"/>
              <w:ind w:firstLine="0" w:firstLineChars="0"/>
              <w:jc w:val="center"/>
              <w:textAlignment w:val="center"/>
              <w:rPr>
                <w:color w:val="auto"/>
                <w:kern w:val="0"/>
                <w:sz w:val="21"/>
                <w:szCs w:val="21"/>
                <w:lang w:bidi="ar"/>
              </w:rPr>
            </w:pPr>
          </w:p>
        </w:tc>
        <w:tc>
          <w:tcPr>
            <w:tcW w:w="574" w:type="pct"/>
            <w:vMerge w:val="restart"/>
            <w:noWrap/>
            <w:vAlign w:val="center"/>
          </w:tcPr>
          <w:p w14:paraId="1488281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无组织</w:t>
            </w:r>
          </w:p>
        </w:tc>
        <w:tc>
          <w:tcPr>
            <w:tcW w:w="621" w:type="pct"/>
            <w:vAlign w:val="center"/>
          </w:tcPr>
          <w:p w14:paraId="6D0E017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二氧化硫</w:t>
            </w:r>
          </w:p>
        </w:tc>
        <w:tc>
          <w:tcPr>
            <w:tcW w:w="2223" w:type="dxa"/>
            <w:gridSpan w:val="2"/>
            <w:vAlign w:val="center"/>
          </w:tcPr>
          <w:p w14:paraId="59690FB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1.200 </w:t>
            </w:r>
          </w:p>
        </w:tc>
        <w:tc>
          <w:tcPr>
            <w:tcW w:w="2156" w:type="dxa"/>
            <w:gridSpan w:val="2"/>
            <w:noWrap/>
            <w:vAlign w:val="center"/>
          </w:tcPr>
          <w:p w14:paraId="3D2F6D4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0FBD056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3B0AA4A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1.200 </w:t>
            </w:r>
          </w:p>
        </w:tc>
        <w:tc>
          <w:tcPr>
            <w:tcW w:w="2014" w:type="dxa"/>
            <w:gridSpan w:val="2"/>
            <w:noWrap/>
            <w:vAlign w:val="center"/>
          </w:tcPr>
          <w:p w14:paraId="66AA03F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17448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1C74B20E">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27BDF39B">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2C82E1F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2223" w:type="dxa"/>
            <w:gridSpan w:val="2"/>
            <w:vAlign w:val="center"/>
          </w:tcPr>
          <w:p w14:paraId="236E4B8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0.101 </w:t>
            </w:r>
          </w:p>
        </w:tc>
        <w:tc>
          <w:tcPr>
            <w:tcW w:w="2156" w:type="dxa"/>
            <w:gridSpan w:val="2"/>
            <w:noWrap/>
            <w:vAlign w:val="center"/>
          </w:tcPr>
          <w:p w14:paraId="0CAC3D8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75F5B6E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7D8102F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0.101 </w:t>
            </w:r>
          </w:p>
        </w:tc>
        <w:tc>
          <w:tcPr>
            <w:tcW w:w="2014" w:type="dxa"/>
            <w:gridSpan w:val="2"/>
            <w:noWrap/>
            <w:vAlign w:val="center"/>
          </w:tcPr>
          <w:p w14:paraId="4550AF1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3D3BF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0DBDAD78">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77D097D1">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093EF7D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氨</w:t>
            </w:r>
          </w:p>
        </w:tc>
        <w:tc>
          <w:tcPr>
            <w:tcW w:w="2223" w:type="dxa"/>
            <w:gridSpan w:val="2"/>
            <w:vAlign w:val="center"/>
          </w:tcPr>
          <w:p w14:paraId="413C4DC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0.456 </w:t>
            </w:r>
          </w:p>
        </w:tc>
        <w:tc>
          <w:tcPr>
            <w:tcW w:w="2156" w:type="dxa"/>
            <w:gridSpan w:val="2"/>
            <w:noWrap/>
            <w:vAlign w:val="center"/>
          </w:tcPr>
          <w:p w14:paraId="5316E8D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6394E89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0.001 </w:t>
            </w:r>
          </w:p>
        </w:tc>
        <w:tc>
          <w:tcPr>
            <w:tcW w:w="2223" w:type="dxa"/>
            <w:gridSpan w:val="2"/>
            <w:noWrap/>
            <w:vAlign w:val="center"/>
          </w:tcPr>
          <w:p w14:paraId="0739516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0.457 </w:t>
            </w:r>
          </w:p>
        </w:tc>
        <w:tc>
          <w:tcPr>
            <w:tcW w:w="2014" w:type="dxa"/>
            <w:gridSpan w:val="2"/>
            <w:noWrap/>
            <w:vAlign w:val="center"/>
          </w:tcPr>
          <w:p w14:paraId="33BADA0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0.001 </w:t>
            </w:r>
          </w:p>
        </w:tc>
      </w:tr>
      <w:tr w14:paraId="769F5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1DD661AC">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4C30737B">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00550D9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甲醇</w:t>
            </w:r>
          </w:p>
        </w:tc>
        <w:tc>
          <w:tcPr>
            <w:tcW w:w="2223" w:type="dxa"/>
            <w:gridSpan w:val="2"/>
            <w:vAlign w:val="center"/>
          </w:tcPr>
          <w:p w14:paraId="308A311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0.069 </w:t>
            </w:r>
          </w:p>
        </w:tc>
        <w:tc>
          <w:tcPr>
            <w:tcW w:w="2156" w:type="dxa"/>
            <w:gridSpan w:val="2"/>
            <w:noWrap/>
            <w:vAlign w:val="center"/>
          </w:tcPr>
          <w:p w14:paraId="37357F7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2014" w:type="dxa"/>
            <w:gridSpan w:val="2"/>
            <w:noWrap/>
            <w:vAlign w:val="center"/>
          </w:tcPr>
          <w:p w14:paraId="0E6D28A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2223" w:type="dxa"/>
            <w:gridSpan w:val="2"/>
            <w:noWrap/>
            <w:vAlign w:val="center"/>
          </w:tcPr>
          <w:p w14:paraId="14FCD03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0.069 </w:t>
            </w:r>
          </w:p>
        </w:tc>
        <w:tc>
          <w:tcPr>
            <w:tcW w:w="2014" w:type="dxa"/>
            <w:gridSpan w:val="2"/>
            <w:noWrap/>
            <w:vAlign w:val="center"/>
          </w:tcPr>
          <w:p w14:paraId="5804E35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r w14:paraId="3FFD4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1FEFDAA9">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77AF577B">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74ED78A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丙酮</w:t>
            </w:r>
          </w:p>
        </w:tc>
        <w:tc>
          <w:tcPr>
            <w:tcW w:w="2223" w:type="dxa"/>
            <w:gridSpan w:val="2"/>
            <w:vAlign w:val="center"/>
          </w:tcPr>
          <w:p w14:paraId="0D8507F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0.091 </w:t>
            </w:r>
          </w:p>
        </w:tc>
        <w:tc>
          <w:tcPr>
            <w:tcW w:w="2156" w:type="dxa"/>
            <w:gridSpan w:val="2"/>
            <w:noWrap/>
            <w:vAlign w:val="center"/>
          </w:tcPr>
          <w:p w14:paraId="404AFCA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36534BE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57DC957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0.091 </w:t>
            </w:r>
          </w:p>
        </w:tc>
        <w:tc>
          <w:tcPr>
            <w:tcW w:w="2014" w:type="dxa"/>
            <w:gridSpan w:val="2"/>
            <w:noWrap/>
            <w:vAlign w:val="center"/>
          </w:tcPr>
          <w:p w14:paraId="2FB8386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64D2D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609560A2">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23518286">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778CEDA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硫化氢</w:t>
            </w:r>
          </w:p>
        </w:tc>
        <w:tc>
          <w:tcPr>
            <w:tcW w:w="2223" w:type="dxa"/>
            <w:gridSpan w:val="2"/>
            <w:vAlign w:val="center"/>
          </w:tcPr>
          <w:p w14:paraId="779D234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0.000 </w:t>
            </w:r>
          </w:p>
        </w:tc>
        <w:tc>
          <w:tcPr>
            <w:tcW w:w="2156" w:type="dxa"/>
            <w:gridSpan w:val="2"/>
            <w:noWrap/>
            <w:vAlign w:val="center"/>
          </w:tcPr>
          <w:p w14:paraId="7210B34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7AD6210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7765F14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0.000 </w:t>
            </w:r>
          </w:p>
        </w:tc>
        <w:tc>
          <w:tcPr>
            <w:tcW w:w="2014" w:type="dxa"/>
            <w:gridSpan w:val="2"/>
            <w:noWrap/>
            <w:vAlign w:val="center"/>
          </w:tcPr>
          <w:p w14:paraId="07E9677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37906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5ADC913B">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05704A82">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2C604BD9">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VOCs(以非甲烷总烃计)</w:t>
            </w:r>
          </w:p>
        </w:tc>
        <w:tc>
          <w:tcPr>
            <w:tcW w:w="2223" w:type="dxa"/>
            <w:gridSpan w:val="2"/>
            <w:vAlign w:val="center"/>
          </w:tcPr>
          <w:p w14:paraId="05C7F0D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0.872 </w:t>
            </w:r>
          </w:p>
        </w:tc>
        <w:tc>
          <w:tcPr>
            <w:tcW w:w="2156" w:type="dxa"/>
            <w:gridSpan w:val="2"/>
            <w:noWrap/>
            <w:vAlign w:val="center"/>
          </w:tcPr>
          <w:p w14:paraId="51EE045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13C85A8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32A12F3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0.872 </w:t>
            </w:r>
          </w:p>
        </w:tc>
        <w:tc>
          <w:tcPr>
            <w:tcW w:w="2014" w:type="dxa"/>
            <w:gridSpan w:val="2"/>
            <w:noWrap/>
            <w:vAlign w:val="center"/>
          </w:tcPr>
          <w:p w14:paraId="25958DEE">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27538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restart"/>
            <w:vAlign w:val="center"/>
          </w:tcPr>
          <w:p w14:paraId="3E16DC2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废水</w:t>
            </w:r>
          </w:p>
        </w:tc>
        <w:tc>
          <w:tcPr>
            <w:tcW w:w="621" w:type="pct"/>
            <w:vAlign w:val="center"/>
          </w:tcPr>
          <w:p w14:paraId="02898706">
            <w:pPr>
              <w:widowControl/>
              <w:spacing w:line="240" w:lineRule="auto"/>
              <w:ind w:firstLine="0" w:firstLineChars="0"/>
              <w:jc w:val="center"/>
              <w:textAlignment w:val="center"/>
              <w:rPr>
                <w:bCs/>
                <w:color w:val="auto"/>
                <w:kern w:val="0"/>
                <w:sz w:val="21"/>
                <w:szCs w:val="21"/>
                <w:lang w:bidi="ar"/>
              </w:rPr>
            </w:pPr>
            <w:r>
              <w:rPr>
                <w:rFonts w:hint="eastAsia"/>
                <w:bCs/>
                <w:color w:val="auto"/>
                <w:kern w:val="0"/>
                <w:sz w:val="21"/>
                <w:szCs w:val="21"/>
                <w:lang w:bidi="ar"/>
              </w:rPr>
              <w:t>污染物</w:t>
            </w:r>
          </w:p>
        </w:tc>
        <w:tc>
          <w:tcPr>
            <w:tcW w:w="378" w:type="pct"/>
            <w:vAlign w:val="center"/>
          </w:tcPr>
          <w:p w14:paraId="5E076681">
            <w:pPr>
              <w:widowControl/>
              <w:spacing w:line="240" w:lineRule="auto"/>
              <w:ind w:firstLine="0" w:firstLineChars="0"/>
              <w:jc w:val="center"/>
              <w:textAlignment w:val="center"/>
              <w:rPr>
                <w:bCs/>
                <w:color w:val="auto"/>
                <w:kern w:val="0"/>
                <w:sz w:val="21"/>
                <w:szCs w:val="21"/>
                <w:lang w:bidi="ar"/>
              </w:rPr>
            </w:pPr>
            <w:r>
              <w:rPr>
                <w:rFonts w:hint="eastAsia"/>
                <w:bCs/>
                <w:color w:val="auto"/>
                <w:kern w:val="0"/>
                <w:sz w:val="21"/>
                <w:szCs w:val="21"/>
                <w:lang w:bidi="ar"/>
              </w:rPr>
              <w:t>接管量</w:t>
            </w:r>
          </w:p>
        </w:tc>
        <w:tc>
          <w:tcPr>
            <w:tcW w:w="379" w:type="pct"/>
            <w:noWrap/>
            <w:vAlign w:val="center"/>
          </w:tcPr>
          <w:p w14:paraId="227BBC23">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排放量</w:t>
            </w:r>
          </w:p>
        </w:tc>
        <w:tc>
          <w:tcPr>
            <w:tcW w:w="367" w:type="pct"/>
            <w:noWrap/>
            <w:vAlign w:val="center"/>
          </w:tcPr>
          <w:p w14:paraId="68A1F0C1">
            <w:pPr>
              <w:widowControl/>
              <w:spacing w:line="240" w:lineRule="auto"/>
              <w:ind w:firstLine="0" w:firstLineChars="0"/>
              <w:jc w:val="center"/>
              <w:textAlignment w:val="center"/>
              <w:rPr>
                <w:bCs/>
                <w:color w:val="auto"/>
                <w:kern w:val="0"/>
                <w:sz w:val="21"/>
                <w:szCs w:val="21"/>
                <w:lang w:bidi="ar"/>
              </w:rPr>
            </w:pPr>
            <w:r>
              <w:rPr>
                <w:rFonts w:hint="eastAsia"/>
                <w:bCs/>
                <w:color w:val="auto"/>
                <w:kern w:val="0"/>
                <w:sz w:val="21"/>
                <w:szCs w:val="21"/>
                <w:lang w:bidi="ar"/>
              </w:rPr>
              <w:t>接管量</w:t>
            </w:r>
          </w:p>
        </w:tc>
        <w:tc>
          <w:tcPr>
            <w:tcW w:w="367" w:type="pct"/>
            <w:noWrap/>
            <w:vAlign w:val="center"/>
          </w:tcPr>
          <w:p w14:paraId="7E5E06FD">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排放量</w:t>
            </w:r>
          </w:p>
        </w:tc>
        <w:tc>
          <w:tcPr>
            <w:tcW w:w="343" w:type="pct"/>
            <w:noWrap/>
            <w:vAlign w:val="center"/>
          </w:tcPr>
          <w:p w14:paraId="05D78807">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接管量</w:t>
            </w:r>
          </w:p>
        </w:tc>
        <w:tc>
          <w:tcPr>
            <w:tcW w:w="343" w:type="pct"/>
            <w:vAlign w:val="center"/>
          </w:tcPr>
          <w:p w14:paraId="14C9CEB1">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排放量</w:t>
            </w:r>
            <w:r>
              <w:rPr>
                <w:rFonts w:hint="eastAsia"/>
                <w:bCs/>
                <w:color w:val="auto"/>
                <w:kern w:val="0"/>
                <w:sz w:val="21"/>
                <w:szCs w:val="21"/>
                <w:lang w:bidi="ar"/>
              </w:rPr>
              <w:t>*</w:t>
            </w:r>
          </w:p>
        </w:tc>
        <w:tc>
          <w:tcPr>
            <w:tcW w:w="378" w:type="pct"/>
            <w:vAlign w:val="center"/>
          </w:tcPr>
          <w:p w14:paraId="1AD5EB47">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接管量</w:t>
            </w:r>
          </w:p>
        </w:tc>
        <w:tc>
          <w:tcPr>
            <w:tcW w:w="379" w:type="pct"/>
            <w:vAlign w:val="center"/>
          </w:tcPr>
          <w:p w14:paraId="4CEBBAB6">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排放量</w:t>
            </w:r>
          </w:p>
        </w:tc>
        <w:tc>
          <w:tcPr>
            <w:tcW w:w="343" w:type="pct"/>
            <w:vAlign w:val="center"/>
          </w:tcPr>
          <w:p w14:paraId="4E6F7807">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接管量</w:t>
            </w:r>
          </w:p>
        </w:tc>
        <w:tc>
          <w:tcPr>
            <w:tcW w:w="343" w:type="pct"/>
            <w:vAlign w:val="center"/>
          </w:tcPr>
          <w:p w14:paraId="390DFB91">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排放量</w:t>
            </w:r>
          </w:p>
        </w:tc>
      </w:tr>
      <w:tr w14:paraId="67985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2C41322A">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55C68E1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废水量</w:t>
            </w:r>
          </w:p>
        </w:tc>
        <w:tc>
          <w:tcPr>
            <w:tcW w:w="1110" w:type="dxa"/>
            <w:vAlign w:val="center"/>
          </w:tcPr>
          <w:p w14:paraId="277F72A5">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98899.659</w:t>
            </w:r>
          </w:p>
        </w:tc>
        <w:tc>
          <w:tcPr>
            <w:tcW w:w="1113" w:type="dxa"/>
            <w:noWrap/>
            <w:vAlign w:val="center"/>
          </w:tcPr>
          <w:p w14:paraId="64F93B63">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98899.659</w:t>
            </w:r>
          </w:p>
        </w:tc>
        <w:tc>
          <w:tcPr>
            <w:tcW w:w="1078" w:type="dxa"/>
            <w:noWrap/>
            <w:vAlign w:val="center"/>
          </w:tcPr>
          <w:p w14:paraId="5AB34F9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5C4AC2F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19F4BAF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16356.694</w:t>
            </w:r>
          </w:p>
        </w:tc>
        <w:tc>
          <w:tcPr>
            <w:tcW w:w="1007" w:type="dxa"/>
            <w:vAlign w:val="center"/>
          </w:tcPr>
          <w:p w14:paraId="6114ABB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16356.694</w:t>
            </w:r>
          </w:p>
        </w:tc>
        <w:tc>
          <w:tcPr>
            <w:tcW w:w="1110" w:type="dxa"/>
            <w:vAlign w:val="center"/>
          </w:tcPr>
          <w:p w14:paraId="72272002">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115256.353 </w:t>
            </w:r>
          </w:p>
        </w:tc>
        <w:tc>
          <w:tcPr>
            <w:tcW w:w="1113" w:type="dxa"/>
            <w:vAlign w:val="center"/>
          </w:tcPr>
          <w:p w14:paraId="394AADB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115256.353 </w:t>
            </w:r>
          </w:p>
        </w:tc>
        <w:tc>
          <w:tcPr>
            <w:tcW w:w="1007" w:type="dxa"/>
            <w:vAlign w:val="center"/>
          </w:tcPr>
          <w:p w14:paraId="5C0A203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16356.694</w:t>
            </w:r>
          </w:p>
        </w:tc>
        <w:tc>
          <w:tcPr>
            <w:tcW w:w="1007" w:type="dxa"/>
            <w:vAlign w:val="center"/>
          </w:tcPr>
          <w:p w14:paraId="522EBE7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16356.694 </w:t>
            </w:r>
          </w:p>
        </w:tc>
      </w:tr>
      <w:tr w14:paraId="0EBA3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11652EFD">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0DEDD02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COD</w:t>
            </w:r>
          </w:p>
        </w:tc>
        <w:tc>
          <w:tcPr>
            <w:tcW w:w="1110" w:type="dxa"/>
            <w:vAlign w:val="center"/>
          </w:tcPr>
          <w:p w14:paraId="31F3A538">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36.324</w:t>
            </w:r>
          </w:p>
        </w:tc>
        <w:tc>
          <w:tcPr>
            <w:tcW w:w="1113" w:type="dxa"/>
            <w:noWrap/>
            <w:vAlign w:val="center"/>
          </w:tcPr>
          <w:p w14:paraId="25D43C6E">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4.945</w:t>
            </w:r>
          </w:p>
        </w:tc>
        <w:tc>
          <w:tcPr>
            <w:tcW w:w="1078" w:type="dxa"/>
            <w:noWrap/>
            <w:vAlign w:val="center"/>
          </w:tcPr>
          <w:p w14:paraId="0EB3C36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3B80813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5DB5089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0.002 </w:t>
            </w:r>
          </w:p>
        </w:tc>
        <w:tc>
          <w:tcPr>
            <w:tcW w:w="1007" w:type="dxa"/>
            <w:vAlign w:val="center"/>
          </w:tcPr>
          <w:p w14:paraId="72AD4AF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0.818 </w:t>
            </w:r>
          </w:p>
        </w:tc>
        <w:tc>
          <w:tcPr>
            <w:tcW w:w="1110" w:type="dxa"/>
            <w:vAlign w:val="center"/>
          </w:tcPr>
          <w:p w14:paraId="0F85357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36.326 </w:t>
            </w:r>
          </w:p>
        </w:tc>
        <w:tc>
          <w:tcPr>
            <w:tcW w:w="1113" w:type="dxa"/>
            <w:vAlign w:val="center"/>
          </w:tcPr>
          <w:p w14:paraId="6A58AF0E">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5.763 </w:t>
            </w:r>
          </w:p>
        </w:tc>
        <w:tc>
          <w:tcPr>
            <w:tcW w:w="1007" w:type="dxa"/>
            <w:vAlign w:val="center"/>
          </w:tcPr>
          <w:p w14:paraId="79EF85C5">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0.002 </w:t>
            </w:r>
          </w:p>
        </w:tc>
        <w:tc>
          <w:tcPr>
            <w:tcW w:w="1007" w:type="dxa"/>
            <w:vAlign w:val="center"/>
          </w:tcPr>
          <w:p w14:paraId="1C39324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0.818 </w:t>
            </w:r>
          </w:p>
        </w:tc>
      </w:tr>
      <w:tr w14:paraId="63D94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450AD16C">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65C5D031">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SS</w:t>
            </w:r>
          </w:p>
        </w:tc>
        <w:tc>
          <w:tcPr>
            <w:tcW w:w="1110" w:type="dxa"/>
            <w:vAlign w:val="center"/>
          </w:tcPr>
          <w:p w14:paraId="2067709C">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8.909</w:t>
            </w:r>
          </w:p>
        </w:tc>
        <w:tc>
          <w:tcPr>
            <w:tcW w:w="1113" w:type="dxa"/>
            <w:noWrap/>
            <w:vAlign w:val="center"/>
          </w:tcPr>
          <w:p w14:paraId="497BC835">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1.978</w:t>
            </w:r>
          </w:p>
        </w:tc>
        <w:tc>
          <w:tcPr>
            <w:tcW w:w="1078" w:type="dxa"/>
            <w:noWrap/>
            <w:vAlign w:val="center"/>
          </w:tcPr>
          <w:p w14:paraId="2F65917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2057CDB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3534252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0.001 </w:t>
            </w:r>
          </w:p>
        </w:tc>
        <w:tc>
          <w:tcPr>
            <w:tcW w:w="1007" w:type="dxa"/>
            <w:vAlign w:val="center"/>
          </w:tcPr>
          <w:p w14:paraId="2134506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0.327 </w:t>
            </w:r>
          </w:p>
        </w:tc>
        <w:tc>
          <w:tcPr>
            <w:tcW w:w="1110" w:type="dxa"/>
            <w:vAlign w:val="center"/>
          </w:tcPr>
          <w:p w14:paraId="4F6B897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8.910 </w:t>
            </w:r>
          </w:p>
        </w:tc>
        <w:tc>
          <w:tcPr>
            <w:tcW w:w="1113" w:type="dxa"/>
            <w:vAlign w:val="center"/>
          </w:tcPr>
          <w:p w14:paraId="5853908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2.305 </w:t>
            </w:r>
          </w:p>
        </w:tc>
        <w:tc>
          <w:tcPr>
            <w:tcW w:w="1007" w:type="dxa"/>
            <w:vAlign w:val="center"/>
          </w:tcPr>
          <w:p w14:paraId="4FD33E85">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0.001 </w:t>
            </w:r>
          </w:p>
        </w:tc>
        <w:tc>
          <w:tcPr>
            <w:tcW w:w="1007" w:type="dxa"/>
            <w:vAlign w:val="center"/>
          </w:tcPr>
          <w:p w14:paraId="6E10FAB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0.327 </w:t>
            </w:r>
          </w:p>
        </w:tc>
      </w:tr>
      <w:tr w14:paraId="141EB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7C8FFB1B">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44F3841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氨氮</w:t>
            </w:r>
          </w:p>
        </w:tc>
        <w:tc>
          <w:tcPr>
            <w:tcW w:w="1110" w:type="dxa"/>
            <w:vAlign w:val="center"/>
          </w:tcPr>
          <w:p w14:paraId="48989B25">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3.01</w:t>
            </w:r>
          </w:p>
        </w:tc>
        <w:tc>
          <w:tcPr>
            <w:tcW w:w="1113" w:type="dxa"/>
            <w:noWrap/>
            <w:vAlign w:val="center"/>
          </w:tcPr>
          <w:p w14:paraId="7A1842BA">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0.494</w:t>
            </w:r>
          </w:p>
        </w:tc>
        <w:tc>
          <w:tcPr>
            <w:tcW w:w="1078" w:type="dxa"/>
            <w:noWrap/>
            <w:vAlign w:val="center"/>
          </w:tcPr>
          <w:p w14:paraId="1485C5C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556E830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4F3030A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9.00E-05</w:t>
            </w:r>
          </w:p>
        </w:tc>
        <w:tc>
          <w:tcPr>
            <w:tcW w:w="1007" w:type="dxa"/>
            <w:vAlign w:val="center"/>
          </w:tcPr>
          <w:p w14:paraId="6325A16E">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0.082 </w:t>
            </w:r>
          </w:p>
        </w:tc>
        <w:tc>
          <w:tcPr>
            <w:tcW w:w="1110" w:type="dxa"/>
            <w:vAlign w:val="center"/>
          </w:tcPr>
          <w:p w14:paraId="22E0465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3.010 </w:t>
            </w:r>
          </w:p>
        </w:tc>
        <w:tc>
          <w:tcPr>
            <w:tcW w:w="1113" w:type="dxa"/>
            <w:vAlign w:val="center"/>
          </w:tcPr>
          <w:p w14:paraId="03D694C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0.576 </w:t>
            </w:r>
          </w:p>
        </w:tc>
        <w:tc>
          <w:tcPr>
            <w:tcW w:w="1007" w:type="dxa"/>
            <w:vAlign w:val="center"/>
          </w:tcPr>
          <w:p w14:paraId="5F5ACC6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9E-05</w:t>
            </w:r>
          </w:p>
        </w:tc>
        <w:tc>
          <w:tcPr>
            <w:tcW w:w="1007" w:type="dxa"/>
            <w:vAlign w:val="center"/>
          </w:tcPr>
          <w:p w14:paraId="0DF43E65">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0.082 </w:t>
            </w:r>
          </w:p>
        </w:tc>
      </w:tr>
      <w:tr w14:paraId="69552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2D45F3FB">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7A3A61C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总氮</w:t>
            </w:r>
          </w:p>
        </w:tc>
        <w:tc>
          <w:tcPr>
            <w:tcW w:w="1110" w:type="dxa"/>
            <w:vAlign w:val="center"/>
          </w:tcPr>
          <w:p w14:paraId="0D2D052E">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3.247</w:t>
            </w:r>
          </w:p>
        </w:tc>
        <w:tc>
          <w:tcPr>
            <w:tcW w:w="1113" w:type="dxa"/>
            <w:noWrap/>
            <w:vAlign w:val="center"/>
          </w:tcPr>
          <w:p w14:paraId="68007FC1">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1.483</w:t>
            </w:r>
          </w:p>
        </w:tc>
        <w:tc>
          <w:tcPr>
            <w:tcW w:w="1078" w:type="dxa"/>
            <w:noWrap/>
            <w:vAlign w:val="center"/>
          </w:tcPr>
          <w:p w14:paraId="4D2B999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572B9D1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116A5AF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1.35E-04</w:t>
            </w:r>
          </w:p>
        </w:tc>
        <w:tc>
          <w:tcPr>
            <w:tcW w:w="1007" w:type="dxa"/>
            <w:vAlign w:val="center"/>
          </w:tcPr>
          <w:p w14:paraId="10AD54C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0.245 </w:t>
            </w:r>
          </w:p>
        </w:tc>
        <w:tc>
          <w:tcPr>
            <w:tcW w:w="1110" w:type="dxa"/>
            <w:vAlign w:val="center"/>
          </w:tcPr>
          <w:p w14:paraId="0AAFB64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3.247 </w:t>
            </w:r>
          </w:p>
        </w:tc>
        <w:tc>
          <w:tcPr>
            <w:tcW w:w="1113" w:type="dxa"/>
            <w:vAlign w:val="center"/>
          </w:tcPr>
          <w:p w14:paraId="7A1ED46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1.728 </w:t>
            </w:r>
          </w:p>
        </w:tc>
        <w:tc>
          <w:tcPr>
            <w:tcW w:w="1007" w:type="dxa"/>
            <w:vAlign w:val="center"/>
          </w:tcPr>
          <w:p w14:paraId="0E2E16C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0.0001 </w:t>
            </w:r>
          </w:p>
        </w:tc>
        <w:tc>
          <w:tcPr>
            <w:tcW w:w="1007" w:type="dxa"/>
            <w:vAlign w:val="center"/>
          </w:tcPr>
          <w:p w14:paraId="4845C74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0.245 </w:t>
            </w:r>
          </w:p>
        </w:tc>
      </w:tr>
      <w:tr w14:paraId="161E4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5A2D530D">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5A851A1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总磷</w:t>
            </w:r>
          </w:p>
        </w:tc>
        <w:tc>
          <w:tcPr>
            <w:tcW w:w="1110" w:type="dxa"/>
            <w:vAlign w:val="center"/>
          </w:tcPr>
          <w:p w14:paraId="58AAEAC6">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0.049</w:t>
            </w:r>
          </w:p>
        </w:tc>
        <w:tc>
          <w:tcPr>
            <w:tcW w:w="1113" w:type="dxa"/>
            <w:noWrap/>
            <w:vAlign w:val="center"/>
          </w:tcPr>
          <w:p w14:paraId="49BCA2AB">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0.035</w:t>
            </w:r>
          </w:p>
        </w:tc>
        <w:tc>
          <w:tcPr>
            <w:tcW w:w="1078" w:type="dxa"/>
            <w:noWrap/>
            <w:vAlign w:val="center"/>
          </w:tcPr>
          <w:p w14:paraId="7EE5CF0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51A6AF4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3DD43DD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2.40E-05</w:t>
            </w:r>
          </w:p>
        </w:tc>
        <w:tc>
          <w:tcPr>
            <w:tcW w:w="1007" w:type="dxa"/>
            <w:vAlign w:val="center"/>
          </w:tcPr>
          <w:p w14:paraId="2AE288C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0.008 </w:t>
            </w:r>
          </w:p>
        </w:tc>
        <w:tc>
          <w:tcPr>
            <w:tcW w:w="1110" w:type="dxa"/>
            <w:vAlign w:val="center"/>
          </w:tcPr>
          <w:p w14:paraId="143A7AB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0.049 </w:t>
            </w:r>
          </w:p>
        </w:tc>
        <w:tc>
          <w:tcPr>
            <w:tcW w:w="1113" w:type="dxa"/>
            <w:vAlign w:val="center"/>
          </w:tcPr>
          <w:p w14:paraId="006A664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0.043 </w:t>
            </w:r>
          </w:p>
        </w:tc>
        <w:tc>
          <w:tcPr>
            <w:tcW w:w="1007" w:type="dxa"/>
            <w:vAlign w:val="center"/>
          </w:tcPr>
          <w:p w14:paraId="722C033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2.4E-05</w:t>
            </w:r>
          </w:p>
        </w:tc>
        <w:tc>
          <w:tcPr>
            <w:tcW w:w="1007" w:type="dxa"/>
            <w:vAlign w:val="center"/>
          </w:tcPr>
          <w:p w14:paraId="79076335">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0.008 </w:t>
            </w:r>
          </w:p>
        </w:tc>
      </w:tr>
      <w:tr w14:paraId="574B8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1840A857">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29C7C88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全盐量</w:t>
            </w:r>
          </w:p>
        </w:tc>
        <w:tc>
          <w:tcPr>
            <w:tcW w:w="1110" w:type="dxa"/>
            <w:vAlign w:val="center"/>
          </w:tcPr>
          <w:p w14:paraId="4220573E">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241.898</w:t>
            </w:r>
          </w:p>
        </w:tc>
        <w:tc>
          <w:tcPr>
            <w:tcW w:w="1113" w:type="dxa"/>
            <w:noWrap/>
            <w:vAlign w:val="center"/>
          </w:tcPr>
          <w:p w14:paraId="1D29AD25">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241.898</w:t>
            </w:r>
          </w:p>
        </w:tc>
        <w:tc>
          <w:tcPr>
            <w:tcW w:w="1078" w:type="dxa"/>
            <w:noWrap/>
            <w:vAlign w:val="center"/>
          </w:tcPr>
          <w:p w14:paraId="5D65508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653DFF2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25BDE4FE">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w:t>
            </w:r>
          </w:p>
        </w:tc>
        <w:tc>
          <w:tcPr>
            <w:tcW w:w="1007" w:type="dxa"/>
            <w:vAlign w:val="center"/>
          </w:tcPr>
          <w:p w14:paraId="13ECCEC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w:t>
            </w:r>
          </w:p>
        </w:tc>
        <w:tc>
          <w:tcPr>
            <w:tcW w:w="1110" w:type="dxa"/>
            <w:vAlign w:val="center"/>
          </w:tcPr>
          <w:p w14:paraId="7CBDE61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241.898 </w:t>
            </w:r>
          </w:p>
        </w:tc>
        <w:tc>
          <w:tcPr>
            <w:tcW w:w="1113" w:type="dxa"/>
            <w:vAlign w:val="center"/>
          </w:tcPr>
          <w:p w14:paraId="0E02FB1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241.898 </w:t>
            </w:r>
          </w:p>
        </w:tc>
        <w:tc>
          <w:tcPr>
            <w:tcW w:w="1007" w:type="dxa"/>
            <w:vAlign w:val="center"/>
          </w:tcPr>
          <w:p w14:paraId="2E10E26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6A25A24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r w14:paraId="4B39F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672BB233">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4E16758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石油类</w:t>
            </w:r>
          </w:p>
        </w:tc>
        <w:tc>
          <w:tcPr>
            <w:tcW w:w="1110" w:type="dxa"/>
            <w:vAlign w:val="center"/>
          </w:tcPr>
          <w:p w14:paraId="022682F6">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0.015</w:t>
            </w:r>
          </w:p>
        </w:tc>
        <w:tc>
          <w:tcPr>
            <w:tcW w:w="1113" w:type="dxa"/>
            <w:noWrap/>
            <w:vAlign w:val="center"/>
          </w:tcPr>
          <w:p w14:paraId="6F427884">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0.015</w:t>
            </w:r>
          </w:p>
        </w:tc>
        <w:tc>
          <w:tcPr>
            <w:tcW w:w="1078" w:type="dxa"/>
            <w:noWrap/>
            <w:vAlign w:val="center"/>
          </w:tcPr>
          <w:p w14:paraId="65F3450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4BA692EE">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66B6C1C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1.41E-05</w:t>
            </w:r>
          </w:p>
        </w:tc>
        <w:tc>
          <w:tcPr>
            <w:tcW w:w="1007" w:type="dxa"/>
            <w:vAlign w:val="center"/>
          </w:tcPr>
          <w:p w14:paraId="741DE04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0.327 </w:t>
            </w:r>
          </w:p>
        </w:tc>
        <w:tc>
          <w:tcPr>
            <w:tcW w:w="1110" w:type="dxa"/>
            <w:vAlign w:val="center"/>
          </w:tcPr>
          <w:p w14:paraId="4631189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0.015 </w:t>
            </w:r>
          </w:p>
        </w:tc>
        <w:tc>
          <w:tcPr>
            <w:tcW w:w="1113" w:type="dxa"/>
            <w:vAlign w:val="center"/>
          </w:tcPr>
          <w:p w14:paraId="0269D0D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0.342 </w:t>
            </w:r>
          </w:p>
        </w:tc>
        <w:tc>
          <w:tcPr>
            <w:tcW w:w="1007" w:type="dxa"/>
            <w:vAlign w:val="center"/>
          </w:tcPr>
          <w:p w14:paraId="7B44940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1.41E-05</w:t>
            </w:r>
          </w:p>
        </w:tc>
        <w:tc>
          <w:tcPr>
            <w:tcW w:w="1007" w:type="dxa"/>
            <w:vAlign w:val="center"/>
          </w:tcPr>
          <w:p w14:paraId="4A32A31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0.327 </w:t>
            </w:r>
          </w:p>
        </w:tc>
      </w:tr>
      <w:tr w14:paraId="4452A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0" w:hRule="atLeast"/>
          <w:tblHeader/>
          <w:jc w:val="center"/>
        </w:trPr>
        <w:tc>
          <w:tcPr>
            <w:tcW w:w="755" w:type="pct"/>
            <w:gridSpan w:val="2"/>
            <w:vMerge w:val="continue"/>
            <w:vAlign w:val="center"/>
          </w:tcPr>
          <w:p w14:paraId="2D3C2787">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0D9A2BF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苯胺类</w:t>
            </w:r>
          </w:p>
        </w:tc>
        <w:tc>
          <w:tcPr>
            <w:tcW w:w="1110" w:type="dxa"/>
            <w:vAlign w:val="center"/>
          </w:tcPr>
          <w:p w14:paraId="62561EC8">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0.451</w:t>
            </w:r>
          </w:p>
        </w:tc>
        <w:tc>
          <w:tcPr>
            <w:tcW w:w="1113" w:type="dxa"/>
            <w:noWrap/>
            <w:vAlign w:val="center"/>
          </w:tcPr>
          <w:p w14:paraId="2A310603">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0.049</w:t>
            </w:r>
          </w:p>
        </w:tc>
        <w:tc>
          <w:tcPr>
            <w:tcW w:w="1078" w:type="dxa"/>
            <w:noWrap/>
            <w:vAlign w:val="center"/>
          </w:tcPr>
          <w:p w14:paraId="4638F535">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101C01C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43BA7AF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w:t>
            </w:r>
          </w:p>
        </w:tc>
        <w:tc>
          <w:tcPr>
            <w:tcW w:w="1007" w:type="dxa"/>
            <w:vAlign w:val="center"/>
          </w:tcPr>
          <w:p w14:paraId="3C85BE2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w:t>
            </w:r>
          </w:p>
        </w:tc>
        <w:tc>
          <w:tcPr>
            <w:tcW w:w="1110" w:type="dxa"/>
            <w:vAlign w:val="center"/>
          </w:tcPr>
          <w:p w14:paraId="34E6AF7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0.451 </w:t>
            </w:r>
          </w:p>
        </w:tc>
        <w:tc>
          <w:tcPr>
            <w:tcW w:w="1113" w:type="dxa"/>
            <w:vAlign w:val="center"/>
          </w:tcPr>
          <w:p w14:paraId="291C446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0.049 </w:t>
            </w:r>
          </w:p>
        </w:tc>
        <w:tc>
          <w:tcPr>
            <w:tcW w:w="1007" w:type="dxa"/>
            <w:vAlign w:val="center"/>
          </w:tcPr>
          <w:p w14:paraId="4C0B7E8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54EA9BB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r w14:paraId="2C2B3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0" w:hRule="atLeast"/>
          <w:tblHeader/>
          <w:jc w:val="center"/>
        </w:trPr>
        <w:tc>
          <w:tcPr>
            <w:tcW w:w="755" w:type="pct"/>
            <w:gridSpan w:val="2"/>
            <w:vMerge w:val="restart"/>
            <w:vAlign w:val="center"/>
          </w:tcPr>
          <w:p w14:paraId="7473DA0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固体废物</w:t>
            </w:r>
          </w:p>
        </w:tc>
        <w:tc>
          <w:tcPr>
            <w:tcW w:w="1823" w:type="dxa"/>
            <w:vAlign w:val="center"/>
          </w:tcPr>
          <w:p w14:paraId="3364D16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危险废物</w:t>
            </w:r>
          </w:p>
        </w:tc>
        <w:tc>
          <w:tcPr>
            <w:tcW w:w="1110" w:type="dxa"/>
            <w:vAlign w:val="center"/>
          </w:tcPr>
          <w:p w14:paraId="3C18405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noWrap/>
            <w:vAlign w:val="center"/>
          </w:tcPr>
          <w:p w14:paraId="0520BB6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7BE9215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2E75DE9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04133145">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69ADA37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0" w:type="dxa"/>
            <w:vAlign w:val="center"/>
          </w:tcPr>
          <w:p w14:paraId="20E2FC1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vAlign w:val="center"/>
          </w:tcPr>
          <w:p w14:paraId="3745DEA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7FA8881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60138D6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r w14:paraId="42726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0" w:hRule="atLeast"/>
          <w:tblHeader/>
          <w:jc w:val="center"/>
        </w:trPr>
        <w:tc>
          <w:tcPr>
            <w:tcW w:w="755" w:type="pct"/>
            <w:gridSpan w:val="2"/>
            <w:vMerge w:val="continue"/>
            <w:vAlign w:val="center"/>
          </w:tcPr>
          <w:p w14:paraId="6DDE8EA7">
            <w:pPr>
              <w:widowControl/>
              <w:spacing w:line="240" w:lineRule="auto"/>
              <w:ind w:firstLine="0" w:firstLineChars="0"/>
              <w:jc w:val="center"/>
              <w:textAlignment w:val="center"/>
              <w:rPr>
                <w:color w:val="auto"/>
                <w:kern w:val="0"/>
                <w:sz w:val="21"/>
                <w:szCs w:val="21"/>
                <w:lang w:bidi="ar"/>
              </w:rPr>
            </w:pPr>
          </w:p>
        </w:tc>
        <w:tc>
          <w:tcPr>
            <w:tcW w:w="1823" w:type="dxa"/>
            <w:vAlign w:val="center"/>
          </w:tcPr>
          <w:p w14:paraId="4F66D82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一般工业固废</w:t>
            </w:r>
          </w:p>
        </w:tc>
        <w:tc>
          <w:tcPr>
            <w:tcW w:w="1110" w:type="dxa"/>
            <w:vAlign w:val="center"/>
          </w:tcPr>
          <w:p w14:paraId="3A73F8F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noWrap/>
            <w:vAlign w:val="center"/>
          </w:tcPr>
          <w:p w14:paraId="5380494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1CF4F3C5">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6C95267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04BAE9E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236082C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0" w:type="dxa"/>
            <w:vAlign w:val="center"/>
          </w:tcPr>
          <w:p w14:paraId="7D4057E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vAlign w:val="center"/>
          </w:tcPr>
          <w:p w14:paraId="29ACCA52">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3F97D59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6D74D8D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r w14:paraId="4A721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0" w:hRule="atLeast"/>
          <w:tblHeader/>
          <w:jc w:val="center"/>
        </w:trPr>
        <w:tc>
          <w:tcPr>
            <w:tcW w:w="755" w:type="pct"/>
            <w:gridSpan w:val="2"/>
            <w:vMerge w:val="continue"/>
            <w:vAlign w:val="center"/>
          </w:tcPr>
          <w:p w14:paraId="72C1458D">
            <w:pPr>
              <w:widowControl/>
              <w:spacing w:line="240" w:lineRule="auto"/>
              <w:ind w:firstLine="0" w:firstLineChars="0"/>
              <w:jc w:val="center"/>
              <w:textAlignment w:val="center"/>
              <w:rPr>
                <w:color w:val="auto"/>
                <w:kern w:val="0"/>
                <w:sz w:val="21"/>
                <w:szCs w:val="21"/>
                <w:lang w:bidi="ar"/>
              </w:rPr>
            </w:pPr>
          </w:p>
        </w:tc>
        <w:tc>
          <w:tcPr>
            <w:tcW w:w="1823" w:type="dxa"/>
            <w:vAlign w:val="center"/>
          </w:tcPr>
          <w:p w14:paraId="6A94FB1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生活垃圾</w:t>
            </w:r>
          </w:p>
        </w:tc>
        <w:tc>
          <w:tcPr>
            <w:tcW w:w="1110" w:type="dxa"/>
            <w:vAlign w:val="center"/>
          </w:tcPr>
          <w:p w14:paraId="2405C54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noWrap/>
            <w:vAlign w:val="center"/>
          </w:tcPr>
          <w:p w14:paraId="1830139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2C0AC64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13217D4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690A105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28F337E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0" w:type="dxa"/>
            <w:vAlign w:val="center"/>
          </w:tcPr>
          <w:p w14:paraId="6D76EEE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vAlign w:val="center"/>
          </w:tcPr>
          <w:p w14:paraId="20A2207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5CE6DD5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0BCBFEC2">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bl>
    <w:p w14:paraId="2D06D371">
      <w:pPr>
        <w:spacing w:line="240" w:lineRule="auto"/>
        <w:ind w:firstLine="0" w:firstLineChars="0"/>
        <w:rPr>
          <w:b/>
          <w:bCs/>
          <w:color w:val="auto"/>
          <w:sz w:val="21"/>
          <w:szCs w:val="21"/>
        </w:rPr>
      </w:pPr>
      <w:r>
        <w:rPr>
          <w:rFonts w:hint="eastAsia"/>
          <w:b/>
          <w:bCs/>
          <w:color w:val="auto"/>
          <w:sz w:val="21"/>
          <w:szCs w:val="21"/>
        </w:rPr>
        <w:t>注：*本次废气以新带老削减量指由于现有项目2#车间废气处理设施优化升级和石膏车间废气处理设施优化升级减少的废气排放量；</w:t>
      </w:r>
    </w:p>
    <w:p w14:paraId="1373F6EF">
      <w:pPr>
        <w:spacing w:line="240" w:lineRule="auto"/>
        <w:ind w:firstLine="0" w:firstLineChars="0"/>
        <w:rPr>
          <w:b/>
          <w:bCs/>
          <w:color w:val="auto"/>
          <w:sz w:val="21"/>
          <w:szCs w:val="21"/>
        </w:rPr>
      </w:pPr>
      <w:r>
        <w:rPr>
          <w:rFonts w:hint="eastAsia"/>
          <w:b/>
          <w:bCs/>
          <w:color w:val="auto"/>
          <w:sz w:val="21"/>
          <w:szCs w:val="21"/>
        </w:rPr>
        <w:t>拟建项目废水污染物排放量根据园区接管污水处理厂排放标准计算。</w:t>
      </w:r>
    </w:p>
    <w:p w14:paraId="6C7F4BF4">
      <w:pPr>
        <w:pStyle w:val="4"/>
        <w:rPr>
          <w:color w:val="auto"/>
        </w:rPr>
        <w:sectPr>
          <w:pgSz w:w="16838" w:h="11906" w:orient="landscape"/>
          <w:pgMar w:top="1134" w:right="1134" w:bottom="1134" w:left="1134" w:header="851" w:footer="992" w:gutter="0"/>
          <w:cols w:space="425" w:num="1"/>
          <w:docGrid w:type="lines" w:linePitch="312" w:charSpace="0"/>
        </w:sectPr>
      </w:pPr>
    </w:p>
    <w:p w14:paraId="3BE9A6E9">
      <w:pPr>
        <w:pStyle w:val="3"/>
        <w:spacing w:before="312"/>
        <w:rPr>
          <w:color w:val="auto"/>
        </w:rPr>
      </w:pPr>
      <w:bookmarkStart w:id="155" w:name="_Toc26783"/>
      <w:r>
        <w:rPr>
          <w:rFonts w:hint="eastAsia"/>
          <w:color w:val="auto"/>
        </w:rPr>
        <w:t>4.7</w:t>
      </w:r>
      <w:r>
        <w:rPr>
          <w:color w:val="auto"/>
        </w:rPr>
        <w:t>环境风险识别</w:t>
      </w:r>
      <w:bookmarkEnd w:id="155"/>
    </w:p>
    <w:p w14:paraId="1A3AE76A">
      <w:pPr>
        <w:pStyle w:val="4"/>
        <w:rPr>
          <w:color w:val="auto"/>
        </w:rPr>
      </w:pPr>
      <w:bookmarkStart w:id="156" w:name="_Toc14766"/>
      <w:r>
        <w:rPr>
          <w:rFonts w:hint="eastAsia"/>
          <w:color w:val="auto"/>
        </w:rPr>
        <w:t>4.7.1</w:t>
      </w:r>
      <w:r>
        <w:rPr>
          <w:color w:val="auto"/>
        </w:rPr>
        <w:t>物质危险性识别</w:t>
      </w:r>
      <w:bookmarkEnd w:id="156"/>
    </w:p>
    <w:p w14:paraId="5151207E">
      <w:pPr>
        <w:ind w:firstLine="480"/>
        <w:rPr>
          <w:rFonts w:hint="eastAsia" w:hAnsi="宋体"/>
          <w:color w:val="auto"/>
        </w:rPr>
      </w:pPr>
      <w:r>
        <w:rPr>
          <w:rFonts w:hAnsi="宋体"/>
          <w:color w:val="auto"/>
        </w:rPr>
        <w:t>根据《建设项目环境风险评价技术导则》（HJ169-2018）附录B，识别拟建项目涉及风险物质主要为</w:t>
      </w:r>
      <w:r>
        <w:rPr>
          <w:rFonts w:hint="eastAsia" w:hAnsi="宋体"/>
          <w:color w:val="auto"/>
        </w:rPr>
        <w:t>硫磺、氢氧化钠、氢氧化钾、氨、亚硫酸氢铵、氧化钙、二氧化硫、碳酸氢铵、亚硫酸钾、亚硫酸钠、硫代硫酸铵、硫代硫酸钙、硫代硫酸镁、硫代硫酸钾、一水亚硫酸铵和危废暂存间的危险废物，具体见表4.7-1。</w:t>
      </w:r>
    </w:p>
    <w:p w14:paraId="099C8C00">
      <w:pPr>
        <w:pStyle w:val="49"/>
        <w:rPr>
          <w:color w:val="auto"/>
        </w:rPr>
      </w:pPr>
      <w:r>
        <w:rPr>
          <w:color w:val="auto"/>
        </w:rPr>
        <w:t>表4.</w:t>
      </w:r>
      <w:r>
        <w:rPr>
          <w:rFonts w:hint="eastAsia"/>
          <w:color w:val="auto"/>
        </w:rPr>
        <w:t>7</w:t>
      </w:r>
      <w:r>
        <w:rPr>
          <w:color w:val="auto"/>
        </w:rPr>
        <w:t>-1  拟建项目风险物质识别表</w:t>
      </w:r>
    </w:p>
    <w:tbl>
      <w:tblPr>
        <w:tblStyle w:val="25"/>
        <w:tblW w:w="0" w:type="auto"/>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07"/>
        <w:gridCol w:w="1218"/>
        <w:gridCol w:w="2785"/>
        <w:gridCol w:w="3482"/>
        <w:gridCol w:w="1462"/>
      </w:tblGrid>
      <w:tr w14:paraId="59CD622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7" w:type="dxa"/>
            <w:tcBorders>
              <w:tl2br w:val="nil"/>
              <w:tr2bl w:val="nil"/>
            </w:tcBorders>
            <w:vAlign w:val="center"/>
          </w:tcPr>
          <w:p w14:paraId="778E0D23">
            <w:pPr>
              <w:spacing w:line="240" w:lineRule="auto"/>
              <w:ind w:firstLine="0" w:firstLineChars="0"/>
              <w:jc w:val="center"/>
              <w:rPr>
                <w:b/>
                <w:color w:val="auto"/>
                <w:sz w:val="21"/>
              </w:rPr>
            </w:pPr>
            <w:r>
              <w:rPr>
                <w:b/>
                <w:color w:val="auto"/>
                <w:sz w:val="21"/>
                <w:szCs w:val="21"/>
              </w:rPr>
              <w:t>类别</w:t>
            </w:r>
          </w:p>
        </w:tc>
        <w:tc>
          <w:tcPr>
            <w:tcW w:w="1218" w:type="dxa"/>
            <w:tcBorders>
              <w:tl2br w:val="nil"/>
              <w:tr2bl w:val="nil"/>
            </w:tcBorders>
            <w:vAlign w:val="center"/>
          </w:tcPr>
          <w:p w14:paraId="01C1E188">
            <w:pPr>
              <w:spacing w:line="240" w:lineRule="auto"/>
              <w:ind w:firstLine="0" w:firstLineChars="0"/>
              <w:jc w:val="center"/>
              <w:rPr>
                <w:b/>
                <w:color w:val="auto"/>
                <w:sz w:val="21"/>
              </w:rPr>
            </w:pPr>
            <w:r>
              <w:rPr>
                <w:b/>
                <w:color w:val="auto"/>
                <w:sz w:val="21"/>
                <w:szCs w:val="21"/>
              </w:rPr>
              <w:t>风险物质</w:t>
            </w:r>
          </w:p>
        </w:tc>
        <w:tc>
          <w:tcPr>
            <w:tcW w:w="2785" w:type="dxa"/>
            <w:tcBorders>
              <w:tl2br w:val="nil"/>
              <w:tr2bl w:val="nil"/>
            </w:tcBorders>
            <w:vAlign w:val="center"/>
          </w:tcPr>
          <w:p w14:paraId="1B6CD98F">
            <w:pPr>
              <w:spacing w:line="240" w:lineRule="auto"/>
              <w:ind w:firstLine="0" w:firstLineChars="0"/>
              <w:jc w:val="center"/>
              <w:rPr>
                <w:b/>
                <w:color w:val="auto"/>
                <w:sz w:val="21"/>
              </w:rPr>
            </w:pPr>
            <w:r>
              <w:rPr>
                <w:b/>
                <w:color w:val="auto"/>
                <w:sz w:val="21"/>
                <w:szCs w:val="21"/>
              </w:rPr>
              <w:t>有毒有害性</w:t>
            </w:r>
          </w:p>
        </w:tc>
        <w:tc>
          <w:tcPr>
            <w:tcW w:w="3482" w:type="dxa"/>
            <w:tcBorders>
              <w:tl2br w:val="nil"/>
              <w:tr2bl w:val="nil"/>
            </w:tcBorders>
            <w:vAlign w:val="center"/>
          </w:tcPr>
          <w:p w14:paraId="2A651DCA">
            <w:pPr>
              <w:spacing w:line="240" w:lineRule="auto"/>
              <w:ind w:firstLine="0" w:firstLineChars="0"/>
              <w:jc w:val="center"/>
              <w:rPr>
                <w:b/>
                <w:color w:val="auto"/>
                <w:sz w:val="21"/>
              </w:rPr>
            </w:pPr>
            <w:r>
              <w:rPr>
                <w:b/>
                <w:color w:val="auto"/>
                <w:sz w:val="21"/>
                <w:szCs w:val="21"/>
              </w:rPr>
              <w:t>易燃易爆性</w:t>
            </w:r>
          </w:p>
        </w:tc>
        <w:tc>
          <w:tcPr>
            <w:tcW w:w="1462" w:type="dxa"/>
            <w:tcBorders>
              <w:tl2br w:val="nil"/>
              <w:tr2bl w:val="nil"/>
            </w:tcBorders>
            <w:vAlign w:val="center"/>
          </w:tcPr>
          <w:p w14:paraId="62B0B3F1">
            <w:pPr>
              <w:spacing w:line="240" w:lineRule="auto"/>
              <w:ind w:firstLine="0" w:firstLineChars="0"/>
              <w:jc w:val="center"/>
              <w:rPr>
                <w:b/>
                <w:color w:val="auto"/>
                <w:sz w:val="21"/>
              </w:rPr>
            </w:pPr>
            <w:r>
              <w:rPr>
                <w:b/>
                <w:color w:val="auto"/>
                <w:sz w:val="21"/>
                <w:szCs w:val="21"/>
              </w:rPr>
              <w:t>存在区域</w:t>
            </w:r>
          </w:p>
        </w:tc>
      </w:tr>
      <w:tr w14:paraId="1EF7579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c>
          <w:tcPr>
            <w:tcW w:w="907" w:type="dxa"/>
            <w:vMerge w:val="restart"/>
            <w:tcBorders>
              <w:tl2br w:val="nil"/>
              <w:tr2bl w:val="nil"/>
            </w:tcBorders>
            <w:vAlign w:val="center"/>
          </w:tcPr>
          <w:p w14:paraId="131175D9">
            <w:pPr>
              <w:pStyle w:val="49"/>
              <w:rPr>
                <w:b w:val="0"/>
                <w:color w:val="auto"/>
                <w:sz w:val="21"/>
              </w:rPr>
            </w:pPr>
            <w:r>
              <w:rPr>
                <w:b w:val="0"/>
                <w:color w:val="auto"/>
                <w:sz w:val="21"/>
              </w:rPr>
              <w:t>原辅料</w:t>
            </w:r>
          </w:p>
        </w:tc>
        <w:tc>
          <w:tcPr>
            <w:tcW w:w="1218" w:type="dxa"/>
            <w:tcBorders>
              <w:tl2br w:val="nil"/>
              <w:tr2bl w:val="nil"/>
            </w:tcBorders>
            <w:vAlign w:val="center"/>
          </w:tcPr>
          <w:p w14:paraId="77C0EB16">
            <w:pPr>
              <w:pStyle w:val="49"/>
              <w:rPr>
                <w:b w:val="0"/>
                <w:color w:val="auto"/>
                <w:sz w:val="21"/>
              </w:rPr>
            </w:pPr>
            <w:r>
              <w:rPr>
                <w:rFonts w:hint="eastAsia"/>
                <w:b w:val="0"/>
                <w:color w:val="auto"/>
                <w:sz w:val="21"/>
              </w:rPr>
              <w:t>硫磺</w:t>
            </w:r>
          </w:p>
        </w:tc>
        <w:tc>
          <w:tcPr>
            <w:tcW w:w="2785" w:type="dxa"/>
            <w:tcBorders>
              <w:tl2br w:val="nil"/>
              <w:tr2bl w:val="nil"/>
            </w:tcBorders>
            <w:vAlign w:val="center"/>
          </w:tcPr>
          <w:p w14:paraId="21BFD8DB">
            <w:pPr>
              <w:pStyle w:val="49"/>
              <w:rPr>
                <w:b w:val="0"/>
                <w:color w:val="auto"/>
                <w:sz w:val="21"/>
              </w:rPr>
            </w:pPr>
            <w:r>
              <w:rPr>
                <w:rFonts w:hint="eastAsia"/>
                <w:b w:val="0"/>
                <w:color w:val="auto"/>
                <w:sz w:val="21"/>
              </w:rPr>
              <w:t>/</w:t>
            </w:r>
          </w:p>
        </w:tc>
        <w:tc>
          <w:tcPr>
            <w:tcW w:w="3482" w:type="dxa"/>
            <w:tcBorders>
              <w:tl2br w:val="nil"/>
              <w:tr2bl w:val="nil"/>
            </w:tcBorders>
            <w:vAlign w:val="center"/>
          </w:tcPr>
          <w:p w14:paraId="726C32C6">
            <w:pPr>
              <w:pStyle w:val="49"/>
              <w:rPr>
                <w:b w:val="0"/>
                <w:color w:val="auto"/>
                <w:sz w:val="21"/>
              </w:rPr>
            </w:pPr>
            <w:r>
              <w:rPr>
                <w:b w:val="0"/>
                <w:color w:val="auto"/>
                <w:sz w:val="21"/>
              </w:rPr>
              <w:t>易燃，爆炸极限：≥35mg/m</w:t>
            </w:r>
            <w:r>
              <w:rPr>
                <w:b w:val="0"/>
                <w:color w:val="auto"/>
                <w:sz w:val="21"/>
                <w:vertAlign w:val="superscript"/>
              </w:rPr>
              <w:t>3</w:t>
            </w:r>
          </w:p>
        </w:tc>
        <w:tc>
          <w:tcPr>
            <w:tcW w:w="1462" w:type="dxa"/>
            <w:tcBorders>
              <w:tl2br w:val="nil"/>
              <w:tr2bl w:val="nil"/>
            </w:tcBorders>
            <w:vAlign w:val="center"/>
          </w:tcPr>
          <w:p w14:paraId="06F82CD4">
            <w:pPr>
              <w:pStyle w:val="49"/>
              <w:rPr>
                <w:b w:val="0"/>
                <w:color w:val="auto"/>
                <w:sz w:val="21"/>
              </w:rPr>
            </w:pPr>
            <w:r>
              <w:rPr>
                <w:b w:val="0"/>
                <w:color w:val="auto"/>
                <w:sz w:val="21"/>
              </w:rPr>
              <w:t>丙类仓库、生产装置</w:t>
            </w:r>
          </w:p>
        </w:tc>
      </w:tr>
      <w:tr w14:paraId="27D3EA9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7" w:type="dxa"/>
            <w:vMerge w:val="continue"/>
            <w:tcBorders>
              <w:tl2br w:val="nil"/>
              <w:tr2bl w:val="nil"/>
            </w:tcBorders>
            <w:vAlign w:val="center"/>
          </w:tcPr>
          <w:p w14:paraId="7EED411B">
            <w:pPr>
              <w:pStyle w:val="49"/>
              <w:rPr>
                <w:b w:val="0"/>
                <w:color w:val="auto"/>
                <w:sz w:val="21"/>
              </w:rPr>
            </w:pPr>
          </w:p>
        </w:tc>
        <w:tc>
          <w:tcPr>
            <w:tcW w:w="1218" w:type="dxa"/>
            <w:tcBorders>
              <w:tl2br w:val="nil"/>
              <w:tr2bl w:val="nil"/>
            </w:tcBorders>
            <w:vAlign w:val="center"/>
          </w:tcPr>
          <w:p w14:paraId="5AF20474">
            <w:pPr>
              <w:pStyle w:val="49"/>
              <w:rPr>
                <w:b w:val="0"/>
                <w:color w:val="auto"/>
                <w:sz w:val="21"/>
              </w:rPr>
            </w:pPr>
            <w:r>
              <w:rPr>
                <w:rFonts w:hint="eastAsia"/>
                <w:b w:val="0"/>
                <w:color w:val="auto"/>
                <w:sz w:val="21"/>
              </w:rPr>
              <w:t>氢氧化钾</w:t>
            </w:r>
          </w:p>
        </w:tc>
        <w:tc>
          <w:tcPr>
            <w:tcW w:w="2785" w:type="dxa"/>
            <w:tcBorders>
              <w:tl2br w:val="nil"/>
              <w:tr2bl w:val="nil"/>
            </w:tcBorders>
            <w:vAlign w:val="center"/>
          </w:tcPr>
          <w:p w14:paraId="2D72CA75">
            <w:pPr>
              <w:pStyle w:val="49"/>
              <w:rPr>
                <w:b w:val="0"/>
                <w:color w:val="auto"/>
                <w:sz w:val="21"/>
              </w:rPr>
            </w:pPr>
            <w:r>
              <w:rPr>
                <w:rFonts w:hint="eastAsia"/>
                <w:b w:val="0"/>
                <w:color w:val="auto"/>
                <w:sz w:val="21"/>
                <w:szCs w:val="21"/>
              </w:rPr>
              <w:t>LD</w:t>
            </w:r>
            <w:r>
              <w:rPr>
                <w:rFonts w:hint="eastAsia"/>
                <w:b w:val="0"/>
                <w:color w:val="auto"/>
                <w:sz w:val="21"/>
                <w:szCs w:val="21"/>
                <w:vertAlign w:val="subscript"/>
              </w:rPr>
              <w:t>50</w:t>
            </w:r>
            <w:r>
              <w:rPr>
                <w:rFonts w:hint="eastAsia"/>
                <w:b w:val="0"/>
                <w:color w:val="auto"/>
                <w:sz w:val="21"/>
                <w:szCs w:val="21"/>
              </w:rPr>
              <w:t>：273mg/kg（大鼠经口）</w:t>
            </w:r>
          </w:p>
        </w:tc>
        <w:tc>
          <w:tcPr>
            <w:tcW w:w="3482" w:type="dxa"/>
            <w:tcBorders>
              <w:tl2br w:val="nil"/>
              <w:tr2bl w:val="nil"/>
            </w:tcBorders>
            <w:vAlign w:val="center"/>
          </w:tcPr>
          <w:p w14:paraId="23C4B3D7">
            <w:pPr>
              <w:pStyle w:val="49"/>
              <w:rPr>
                <w:b w:val="0"/>
                <w:color w:val="auto"/>
                <w:sz w:val="21"/>
              </w:rPr>
            </w:pPr>
            <w:r>
              <w:rPr>
                <w:b w:val="0"/>
                <w:color w:val="auto"/>
                <w:sz w:val="21"/>
              </w:rPr>
              <w:t>不燃，具强腐蚀性、强刺激性，可致人体灼伤。与酸发生中和反应并放热，遇潮时对铝、锌和锡有腐蚀性，并放出易燃易爆的氢气，本品不会燃烧，遇水和水蒸气大量放热，形成腐蚀性溶液，具有强腐蚀性。</w:t>
            </w:r>
          </w:p>
        </w:tc>
        <w:tc>
          <w:tcPr>
            <w:tcW w:w="1462" w:type="dxa"/>
            <w:tcBorders>
              <w:tl2br w:val="nil"/>
              <w:tr2bl w:val="nil"/>
            </w:tcBorders>
            <w:vAlign w:val="center"/>
          </w:tcPr>
          <w:p w14:paraId="0D71E4C1">
            <w:pPr>
              <w:pStyle w:val="34"/>
              <w:spacing w:beforeLines="0" w:after="0"/>
              <w:rPr>
                <w:rFonts w:hAnsi="Times New Roman" w:cs="Times New Roman"/>
                <w:color w:val="auto"/>
                <w:sz w:val="21"/>
                <w:szCs w:val="21"/>
              </w:rPr>
            </w:pPr>
            <w:r>
              <w:rPr>
                <w:rFonts w:hint="eastAsia" w:hAnsi="Times New Roman" w:cs="Times New Roman"/>
                <w:color w:val="auto"/>
                <w:sz w:val="21"/>
                <w:szCs w:val="21"/>
              </w:rPr>
              <w:t>环保一车间西侧</w:t>
            </w:r>
          </w:p>
        </w:tc>
      </w:tr>
      <w:tr w14:paraId="0494963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7" w:type="dxa"/>
            <w:vMerge w:val="continue"/>
            <w:tcBorders>
              <w:tl2br w:val="nil"/>
              <w:tr2bl w:val="nil"/>
            </w:tcBorders>
            <w:vAlign w:val="center"/>
          </w:tcPr>
          <w:p w14:paraId="31C7C53F">
            <w:pPr>
              <w:pStyle w:val="49"/>
              <w:rPr>
                <w:b w:val="0"/>
                <w:color w:val="auto"/>
                <w:sz w:val="21"/>
              </w:rPr>
            </w:pPr>
          </w:p>
        </w:tc>
        <w:tc>
          <w:tcPr>
            <w:tcW w:w="1218" w:type="dxa"/>
            <w:tcBorders>
              <w:tl2br w:val="nil"/>
              <w:tr2bl w:val="nil"/>
            </w:tcBorders>
            <w:vAlign w:val="center"/>
          </w:tcPr>
          <w:p w14:paraId="7233ACAD">
            <w:pPr>
              <w:pStyle w:val="49"/>
              <w:rPr>
                <w:b w:val="0"/>
                <w:color w:val="auto"/>
                <w:sz w:val="21"/>
              </w:rPr>
            </w:pPr>
            <w:r>
              <w:rPr>
                <w:rFonts w:hint="eastAsia"/>
                <w:b w:val="0"/>
                <w:color w:val="auto"/>
                <w:sz w:val="21"/>
              </w:rPr>
              <w:t>氢氧化钠</w:t>
            </w:r>
          </w:p>
        </w:tc>
        <w:tc>
          <w:tcPr>
            <w:tcW w:w="2785" w:type="dxa"/>
            <w:tcBorders>
              <w:tl2br w:val="nil"/>
              <w:tr2bl w:val="nil"/>
            </w:tcBorders>
            <w:vAlign w:val="center"/>
          </w:tcPr>
          <w:p w14:paraId="2684AD1C">
            <w:pPr>
              <w:pStyle w:val="49"/>
              <w:rPr>
                <w:b w:val="0"/>
                <w:color w:val="auto"/>
                <w:sz w:val="21"/>
              </w:rPr>
            </w:pPr>
            <w:r>
              <w:rPr>
                <w:rFonts w:hint="eastAsia"/>
                <w:b w:val="0"/>
                <w:color w:val="auto"/>
                <w:sz w:val="21"/>
                <w:szCs w:val="21"/>
              </w:rPr>
              <w:t>LD</w:t>
            </w:r>
            <w:r>
              <w:rPr>
                <w:rFonts w:hint="eastAsia"/>
                <w:b w:val="0"/>
                <w:color w:val="auto"/>
                <w:sz w:val="21"/>
                <w:szCs w:val="21"/>
                <w:vertAlign w:val="subscript"/>
              </w:rPr>
              <w:t>50</w:t>
            </w:r>
            <w:r>
              <w:rPr>
                <w:rFonts w:hint="eastAsia"/>
                <w:b w:val="0"/>
                <w:color w:val="auto"/>
                <w:sz w:val="21"/>
                <w:szCs w:val="21"/>
              </w:rPr>
              <w:t>：273mg/kg（大鼠经口）</w:t>
            </w:r>
          </w:p>
        </w:tc>
        <w:tc>
          <w:tcPr>
            <w:tcW w:w="3482" w:type="dxa"/>
            <w:tcBorders>
              <w:tl2br w:val="nil"/>
              <w:tr2bl w:val="nil"/>
            </w:tcBorders>
            <w:vAlign w:val="center"/>
          </w:tcPr>
          <w:p w14:paraId="412F2063">
            <w:pPr>
              <w:pStyle w:val="49"/>
              <w:rPr>
                <w:b w:val="0"/>
                <w:color w:val="auto"/>
                <w:sz w:val="21"/>
              </w:rPr>
            </w:pPr>
            <w:r>
              <w:rPr>
                <w:rFonts w:hint="eastAsia"/>
                <w:b w:val="0"/>
                <w:color w:val="auto"/>
                <w:sz w:val="21"/>
                <w:szCs w:val="21"/>
              </w:rPr>
              <w:t>不燃，强腐蚀性；遇潮对铝、锌等金属有腐蚀性，可放出易燃易爆的氢气；与酸发生剧烈中和反应，放出大量热，有灼伤风险。</w:t>
            </w:r>
          </w:p>
        </w:tc>
        <w:tc>
          <w:tcPr>
            <w:tcW w:w="1462" w:type="dxa"/>
            <w:tcBorders>
              <w:tl2br w:val="nil"/>
              <w:tr2bl w:val="nil"/>
            </w:tcBorders>
            <w:vAlign w:val="center"/>
          </w:tcPr>
          <w:p w14:paraId="7878C7AD">
            <w:pPr>
              <w:pStyle w:val="49"/>
              <w:rPr>
                <w:b w:val="0"/>
                <w:color w:val="auto"/>
                <w:sz w:val="21"/>
              </w:rPr>
            </w:pPr>
            <w:r>
              <w:rPr>
                <w:rFonts w:hint="eastAsia"/>
                <w:b w:val="0"/>
                <w:color w:val="auto"/>
                <w:sz w:val="21"/>
                <w:szCs w:val="21"/>
              </w:rPr>
              <w:t>环保一车间西侧、1#戊类罐区</w:t>
            </w:r>
          </w:p>
        </w:tc>
      </w:tr>
      <w:tr w14:paraId="6F2FAF3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7" w:type="dxa"/>
            <w:vMerge w:val="continue"/>
            <w:tcBorders>
              <w:tl2br w:val="nil"/>
              <w:tr2bl w:val="nil"/>
            </w:tcBorders>
            <w:vAlign w:val="center"/>
          </w:tcPr>
          <w:p w14:paraId="095DF4D8">
            <w:pPr>
              <w:pStyle w:val="49"/>
              <w:rPr>
                <w:b w:val="0"/>
                <w:color w:val="auto"/>
                <w:sz w:val="21"/>
              </w:rPr>
            </w:pPr>
          </w:p>
        </w:tc>
        <w:tc>
          <w:tcPr>
            <w:tcW w:w="1218" w:type="dxa"/>
            <w:tcBorders>
              <w:tl2br w:val="nil"/>
              <w:tr2bl w:val="nil"/>
            </w:tcBorders>
            <w:vAlign w:val="center"/>
          </w:tcPr>
          <w:p w14:paraId="7107E3FD">
            <w:pPr>
              <w:pStyle w:val="49"/>
              <w:rPr>
                <w:b w:val="0"/>
                <w:color w:val="auto"/>
                <w:sz w:val="21"/>
              </w:rPr>
            </w:pPr>
            <w:r>
              <w:rPr>
                <w:rFonts w:hint="eastAsia"/>
                <w:b w:val="0"/>
                <w:color w:val="auto"/>
                <w:sz w:val="21"/>
              </w:rPr>
              <w:t>液氨</w:t>
            </w:r>
          </w:p>
        </w:tc>
        <w:tc>
          <w:tcPr>
            <w:tcW w:w="2785" w:type="dxa"/>
            <w:tcBorders>
              <w:tl2br w:val="nil"/>
              <w:tr2bl w:val="nil"/>
            </w:tcBorders>
            <w:vAlign w:val="center"/>
          </w:tcPr>
          <w:p w14:paraId="502C34F0">
            <w:pPr>
              <w:pStyle w:val="49"/>
              <w:rPr>
                <w:b w:val="0"/>
                <w:color w:val="auto"/>
                <w:sz w:val="21"/>
              </w:rPr>
            </w:pPr>
            <w:r>
              <w:rPr>
                <w:b w:val="0"/>
                <w:color w:val="auto"/>
                <w:kern w:val="0"/>
                <w:sz w:val="21"/>
                <w:szCs w:val="21"/>
                <w:lang w:bidi="ar"/>
              </w:rPr>
              <w:t>LD</w:t>
            </w:r>
            <w:r>
              <w:rPr>
                <w:b w:val="0"/>
                <w:color w:val="auto"/>
                <w:kern w:val="0"/>
                <w:sz w:val="21"/>
                <w:szCs w:val="21"/>
                <w:vertAlign w:val="subscript"/>
              </w:rPr>
              <w:t>50</w:t>
            </w:r>
            <w:r>
              <w:rPr>
                <w:b w:val="0"/>
                <w:color w:val="auto"/>
                <w:kern w:val="0"/>
                <w:sz w:val="21"/>
                <w:szCs w:val="21"/>
              </w:rPr>
              <w:t>：</w:t>
            </w:r>
            <w:r>
              <w:rPr>
                <w:b w:val="0"/>
                <w:color w:val="auto"/>
                <w:kern w:val="0"/>
                <w:sz w:val="21"/>
                <w:szCs w:val="21"/>
                <w:lang w:bidi="ar"/>
              </w:rPr>
              <w:t>350 mg/kg（大鼠经口）</w:t>
            </w:r>
          </w:p>
        </w:tc>
        <w:tc>
          <w:tcPr>
            <w:tcW w:w="3482" w:type="dxa"/>
            <w:tcBorders>
              <w:tl2br w:val="nil"/>
              <w:tr2bl w:val="nil"/>
            </w:tcBorders>
            <w:vAlign w:val="center"/>
          </w:tcPr>
          <w:p w14:paraId="29864F33">
            <w:pPr>
              <w:pStyle w:val="49"/>
              <w:rPr>
                <w:b w:val="0"/>
                <w:color w:val="auto"/>
                <w:sz w:val="21"/>
              </w:rPr>
            </w:pPr>
            <w:r>
              <w:rPr>
                <w:b w:val="0"/>
                <w:color w:val="auto"/>
                <w:kern w:val="0"/>
                <w:sz w:val="21"/>
                <w:szCs w:val="21"/>
                <w:lang w:bidi="ar"/>
              </w:rPr>
              <w:t>遇明火、高热能引起燃烧爆炸。</w:t>
            </w:r>
          </w:p>
        </w:tc>
        <w:tc>
          <w:tcPr>
            <w:tcW w:w="1462" w:type="dxa"/>
            <w:tcBorders>
              <w:tl2br w:val="nil"/>
              <w:tr2bl w:val="nil"/>
            </w:tcBorders>
            <w:vAlign w:val="center"/>
          </w:tcPr>
          <w:p w14:paraId="7617BCFA">
            <w:pPr>
              <w:pStyle w:val="49"/>
              <w:rPr>
                <w:b w:val="0"/>
                <w:color w:val="auto"/>
                <w:sz w:val="21"/>
              </w:rPr>
            </w:pPr>
            <w:r>
              <w:rPr>
                <w:rFonts w:hint="eastAsia"/>
                <w:b w:val="0"/>
                <w:color w:val="auto"/>
                <w:sz w:val="21"/>
                <w:szCs w:val="21"/>
              </w:rPr>
              <w:t>氨水配制区</w:t>
            </w:r>
          </w:p>
        </w:tc>
      </w:tr>
      <w:tr w14:paraId="19E27FB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7" w:type="dxa"/>
            <w:vMerge w:val="continue"/>
            <w:tcBorders>
              <w:tl2br w:val="nil"/>
              <w:tr2bl w:val="nil"/>
            </w:tcBorders>
            <w:vAlign w:val="center"/>
          </w:tcPr>
          <w:p w14:paraId="4E948269">
            <w:pPr>
              <w:pStyle w:val="49"/>
              <w:rPr>
                <w:b w:val="0"/>
                <w:color w:val="auto"/>
                <w:sz w:val="21"/>
              </w:rPr>
            </w:pPr>
          </w:p>
        </w:tc>
        <w:tc>
          <w:tcPr>
            <w:tcW w:w="1218" w:type="dxa"/>
            <w:tcBorders>
              <w:tl2br w:val="nil"/>
              <w:tr2bl w:val="nil"/>
            </w:tcBorders>
            <w:vAlign w:val="center"/>
          </w:tcPr>
          <w:p w14:paraId="264EF9D9">
            <w:pPr>
              <w:pStyle w:val="49"/>
              <w:rPr>
                <w:b w:val="0"/>
                <w:color w:val="auto"/>
                <w:sz w:val="21"/>
              </w:rPr>
            </w:pPr>
            <w:r>
              <w:rPr>
                <w:rFonts w:hint="eastAsia"/>
                <w:b w:val="0"/>
                <w:color w:val="auto"/>
                <w:sz w:val="21"/>
              </w:rPr>
              <w:t>氨水</w:t>
            </w:r>
          </w:p>
        </w:tc>
        <w:tc>
          <w:tcPr>
            <w:tcW w:w="2785" w:type="dxa"/>
            <w:tcBorders>
              <w:tl2br w:val="nil"/>
              <w:tr2bl w:val="nil"/>
            </w:tcBorders>
            <w:vAlign w:val="center"/>
          </w:tcPr>
          <w:p w14:paraId="3061D7AE">
            <w:pPr>
              <w:pStyle w:val="49"/>
              <w:rPr>
                <w:b w:val="0"/>
                <w:color w:val="auto"/>
                <w:kern w:val="0"/>
                <w:sz w:val="21"/>
                <w:szCs w:val="21"/>
                <w:lang w:bidi="ar"/>
              </w:rPr>
            </w:pPr>
            <w:r>
              <w:rPr>
                <w:b w:val="0"/>
                <w:color w:val="auto"/>
                <w:kern w:val="0"/>
                <w:sz w:val="21"/>
                <w:szCs w:val="21"/>
                <w:lang w:bidi="ar"/>
              </w:rPr>
              <w:t>LD</w:t>
            </w:r>
            <w:r>
              <w:rPr>
                <w:b w:val="0"/>
                <w:color w:val="auto"/>
                <w:kern w:val="0"/>
                <w:sz w:val="21"/>
                <w:szCs w:val="21"/>
                <w:vertAlign w:val="subscript"/>
              </w:rPr>
              <w:t>50</w:t>
            </w:r>
            <w:r>
              <w:rPr>
                <w:b w:val="0"/>
                <w:color w:val="auto"/>
                <w:kern w:val="0"/>
                <w:sz w:val="21"/>
                <w:szCs w:val="21"/>
              </w:rPr>
              <w:t>：</w:t>
            </w:r>
            <w:r>
              <w:rPr>
                <w:b w:val="0"/>
                <w:color w:val="auto"/>
                <w:kern w:val="0"/>
                <w:sz w:val="21"/>
                <w:szCs w:val="21"/>
                <w:lang w:bidi="ar"/>
              </w:rPr>
              <w:t>350 mg/kg（大鼠经口）</w:t>
            </w:r>
          </w:p>
        </w:tc>
        <w:tc>
          <w:tcPr>
            <w:tcW w:w="3482" w:type="dxa"/>
            <w:tcBorders>
              <w:tl2br w:val="nil"/>
              <w:tr2bl w:val="nil"/>
            </w:tcBorders>
            <w:vAlign w:val="center"/>
          </w:tcPr>
          <w:p w14:paraId="4FB5588E">
            <w:pPr>
              <w:pStyle w:val="49"/>
              <w:rPr>
                <w:b w:val="0"/>
                <w:color w:val="auto"/>
                <w:kern w:val="0"/>
                <w:sz w:val="21"/>
                <w:szCs w:val="21"/>
                <w:lang w:bidi="ar"/>
              </w:rPr>
            </w:pPr>
            <w:r>
              <w:rPr>
                <w:rFonts w:hint="eastAsia"/>
                <w:b w:val="0"/>
                <w:color w:val="auto"/>
                <w:kern w:val="0"/>
                <w:sz w:val="21"/>
                <w:szCs w:val="21"/>
                <w:lang w:bidi="ar"/>
              </w:rPr>
              <w:t>能吸收空气中的二氧化碳。遇酸激烈反应、放热并生成盐类。能与乙醇混溶.若遇高热，容器内压增大，有开裂和爆炸的危险。在氧气中燃烧生成氮气。</w:t>
            </w:r>
          </w:p>
        </w:tc>
        <w:tc>
          <w:tcPr>
            <w:tcW w:w="1462" w:type="dxa"/>
            <w:tcBorders>
              <w:tl2br w:val="nil"/>
              <w:tr2bl w:val="nil"/>
            </w:tcBorders>
            <w:vAlign w:val="center"/>
          </w:tcPr>
          <w:p w14:paraId="18FF70E6">
            <w:pPr>
              <w:pStyle w:val="49"/>
              <w:rPr>
                <w:b w:val="0"/>
                <w:color w:val="auto"/>
                <w:sz w:val="21"/>
              </w:rPr>
            </w:pPr>
            <w:r>
              <w:rPr>
                <w:rFonts w:hint="eastAsia"/>
                <w:b w:val="0"/>
                <w:color w:val="auto"/>
                <w:sz w:val="21"/>
              </w:rPr>
              <w:t>储罐区</w:t>
            </w:r>
          </w:p>
        </w:tc>
      </w:tr>
      <w:tr w14:paraId="3E56C4F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7" w:type="dxa"/>
            <w:vMerge w:val="continue"/>
            <w:tcBorders>
              <w:tl2br w:val="nil"/>
              <w:tr2bl w:val="nil"/>
            </w:tcBorders>
            <w:vAlign w:val="center"/>
          </w:tcPr>
          <w:p w14:paraId="5E49EBAB">
            <w:pPr>
              <w:pStyle w:val="49"/>
              <w:rPr>
                <w:b w:val="0"/>
                <w:color w:val="auto"/>
                <w:sz w:val="21"/>
              </w:rPr>
            </w:pPr>
            <w:r>
              <w:rPr>
                <w:rFonts w:hint="eastAsia"/>
                <w:b w:val="0"/>
                <w:color w:val="auto"/>
                <w:sz w:val="21"/>
              </w:rPr>
              <w:t xml:space="preserve"> </w:t>
            </w:r>
          </w:p>
        </w:tc>
        <w:tc>
          <w:tcPr>
            <w:tcW w:w="1218" w:type="dxa"/>
            <w:tcBorders>
              <w:tl2br w:val="nil"/>
              <w:tr2bl w:val="nil"/>
            </w:tcBorders>
            <w:vAlign w:val="center"/>
          </w:tcPr>
          <w:p w14:paraId="37D9D771">
            <w:pPr>
              <w:pStyle w:val="49"/>
              <w:rPr>
                <w:b w:val="0"/>
                <w:color w:val="auto"/>
                <w:sz w:val="21"/>
              </w:rPr>
            </w:pPr>
            <w:r>
              <w:rPr>
                <w:rFonts w:hint="eastAsia"/>
                <w:b w:val="0"/>
                <w:color w:val="auto"/>
                <w:sz w:val="21"/>
              </w:rPr>
              <w:t>亚硫酸氢铵</w:t>
            </w:r>
          </w:p>
        </w:tc>
        <w:tc>
          <w:tcPr>
            <w:tcW w:w="2785" w:type="dxa"/>
            <w:tcBorders>
              <w:tl2br w:val="nil"/>
              <w:tr2bl w:val="nil"/>
            </w:tcBorders>
            <w:vAlign w:val="center"/>
          </w:tcPr>
          <w:p w14:paraId="5E517F78">
            <w:pPr>
              <w:pStyle w:val="49"/>
              <w:rPr>
                <w:b w:val="0"/>
                <w:color w:val="auto"/>
                <w:sz w:val="21"/>
              </w:rPr>
            </w:pPr>
            <w:r>
              <w:rPr>
                <w:b w:val="0"/>
                <w:color w:val="auto"/>
                <w:sz w:val="21"/>
              </w:rPr>
              <w:t>低毒</w:t>
            </w:r>
          </w:p>
        </w:tc>
        <w:tc>
          <w:tcPr>
            <w:tcW w:w="3482" w:type="dxa"/>
            <w:tcBorders>
              <w:tl2br w:val="nil"/>
              <w:tr2bl w:val="nil"/>
            </w:tcBorders>
            <w:vAlign w:val="center"/>
          </w:tcPr>
          <w:p w14:paraId="5B616418">
            <w:pPr>
              <w:pStyle w:val="49"/>
              <w:rPr>
                <w:b w:val="0"/>
                <w:color w:val="auto"/>
                <w:sz w:val="21"/>
              </w:rPr>
            </w:pPr>
            <w:r>
              <w:rPr>
                <w:rFonts w:cs="Segoe UI Emoji"/>
                <w:b w:val="0"/>
                <w:color w:val="auto"/>
                <w:sz w:val="21"/>
                <w:shd w:val="clear" w:color="auto" w:fill="FFFFFF"/>
              </w:rPr>
              <w:t>不燃，受热分解产生有毒的二氧化硫和氮氧化物气体；与强氧化剂反应可引起放热，有腐蚀和刺激风险</w:t>
            </w:r>
          </w:p>
        </w:tc>
        <w:tc>
          <w:tcPr>
            <w:tcW w:w="1462" w:type="dxa"/>
            <w:tcBorders>
              <w:tl2br w:val="nil"/>
              <w:tr2bl w:val="nil"/>
            </w:tcBorders>
            <w:vAlign w:val="center"/>
          </w:tcPr>
          <w:p w14:paraId="64A7CE2E">
            <w:pPr>
              <w:pStyle w:val="49"/>
              <w:rPr>
                <w:b w:val="0"/>
                <w:color w:val="auto"/>
                <w:sz w:val="21"/>
              </w:rPr>
            </w:pPr>
            <w:r>
              <w:rPr>
                <w:b w:val="0"/>
                <w:color w:val="auto"/>
                <w:sz w:val="21"/>
              </w:rPr>
              <w:t>环保二车间罐区</w:t>
            </w:r>
          </w:p>
        </w:tc>
      </w:tr>
      <w:tr w14:paraId="1EB3728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7" w:type="dxa"/>
            <w:vMerge w:val="continue"/>
            <w:tcBorders>
              <w:tl2br w:val="nil"/>
              <w:tr2bl w:val="nil"/>
            </w:tcBorders>
            <w:vAlign w:val="center"/>
          </w:tcPr>
          <w:p w14:paraId="6822CC79">
            <w:pPr>
              <w:pStyle w:val="49"/>
              <w:rPr>
                <w:b w:val="0"/>
                <w:color w:val="auto"/>
                <w:sz w:val="21"/>
              </w:rPr>
            </w:pPr>
          </w:p>
        </w:tc>
        <w:tc>
          <w:tcPr>
            <w:tcW w:w="1218" w:type="dxa"/>
            <w:tcBorders>
              <w:tl2br w:val="nil"/>
              <w:tr2bl w:val="nil"/>
            </w:tcBorders>
            <w:vAlign w:val="center"/>
          </w:tcPr>
          <w:p w14:paraId="30EE42B6">
            <w:pPr>
              <w:pStyle w:val="49"/>
              <w:rPr>
                <w:b w:val="0"/>
                <w:color w:val="auto"/>
                <w:sz w:val="21"/>
              </w:rPr>
            </w:pPr>
            <w:r>
              <w:rPr>
                <w:rFonts w:hint="eastAsia"/>
                <w:b w:val="0"/>
                <w:color w:val="auto"/>
                <w:sz w:val="21"/>
              </w:rPr>
              <w:t>氧化钙</w:t>
            </w:r>
          </w:p>
        </w:tc>
        <w:tc>
          <w:tcPr>
            <w:tcW w:w="2785" w:type="dxa"/>
            <w:tcBorders>
              <w:tl2br w:val="nil"/>
              <w:tr2bl w:val="nil"/>
            </w:tcBorders>
            <w:vAlign w:val="center"/>
          </w:tcPr>
          <w:p w14:paraId="4A12EBC4">
            <w:pPr>
              <w:pStyle w:val="49"/>
              <w:rPr>
                <w:b w:val="0"/>
                <w:color w:val="auto"/>
                <w:sz w:val="21"/>
              </w:rPr>
            </w:pPr>
            <w:r>
              <w:rPr>
                <w:rFonts w:cs="Segoe UI Emoji"/>
                <w:b w:val="0"/>
                <w:color w:val="auto"/>
                <w:sz w:val="21"/>
                <w:shd w:val="clear" w:color="auto" w:fill="FFFFFF"/>
              </w:rPr>
              <w:t>LD</w:t>
            </w:r>
            <w:r>
              <w:rPr>
                <w:rFonts w:hint="eastAsia" w:cs="Segoe UI Emoji"/>
                <w:b w:val="0"/>
                <w:color w:val="auto"/>
                <w:sz w:val="21"/>
                <w:shd w:val="clear" w:color="auto" w:fill="FFFFFF"/>
                <w:vertAlign w:val="subscript"/>
              </w:rPr>
              <w:t>50</w:t>
            </w:r>
            <w:r>
              <w:rPr>
                <w:rFonts w:cs="Segoe UI Emoji"/>
                <w:b w:val="0"/>
                <w:color w:val="auto"/>
                <w:sz w:val="21"/>
                <w:shd w:val="clear" w:color="auto" w:fill="FFFFFF"/>
              </w:rPr>
              <w:t>：3059mg/kg（小鼠腹腔）</w:t>
            </w:r>
          </w:p>
        </w:tc>
        <w:tc>
          <w:tcPr>
            <w:tcW w:w="3482" w:type="dxa"/>
            <w:tcBorders>
              <w:tl2br w:val="nil"/>
              <w:tr2bl w:val="nil"/>
            </w:tcBorders>
            <w:vAlign w:val="center"/>
          </w:tcPr>
          <w:p w14:paraId="315187D3">
            <w:pPr>
              <w:pStyle w:val="49"/>
              <w:rPr>
                <w:b w:val="0"/>
                <w:color w:val="auto"/>
                <w:sz w:val="21"/>
              </w:rPr>
            </w:pPr>
            <w:r>
              <w:rPr>
                <w:rFonts w:cs="Segoe UI Emoji"/>
                <w:b w:val="0"/>
                <w:color w:val="auto"/>
                <w:sz w:val="21"/>
                <w:shd w:val="clear" w:color="auto" w:fill="FFFFFF"/>
              </w:rPr>
              <w:t>不燃，与水反应放热，热量可使有机物燃烧；粉状氧化钙与水混合在密闭容器中可能引发爆炸；与酸剧烈反应放热。</w:t>
            </w:r>
          </w:p>
        </w:tc>
        <w:tc>
          <w:tcPr>
            <w:tcW w:w="1462" w:type="dxa"/>
            <w:tcBorders>
              <w:tl2br w:val="nil"/>
              <w:tr2bl w:val="nil"/>
            </w:tcBorders>
            <w:vAlign w:val="center"/>
          </w:tcPr>
          <w:p w14:paraId="7BF21986">
            <w:pPr>
              <w:pStyle w:val="49"/>
              <w:rPr>
                <w:b w:val="0"/>
                <w:color w:val="auto"/>
                <w:sz w:val="21"/>
              </w:rPr>
            </w:pPr>
            <w:r>
              <w:rPr>
                <w:rFonts w:hint="eastAsia"/>
                <w:color w:val="auto"/>
                <w:sz w:val="21"/>
                <w:szCs w:val="21"/>
              </w:rPr>
              <w:t>丙类仓库</w:t>
            </w:r>
          </w:p>
        </w:tc>
      </w:tr>
      <w:tr w14:paraId="32DBC2C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7" w:type="dxa"/>
            <w:vMerge w:val="continue"/>
            <w:tcBorders>
              <w:tl2br w:val="nil"/>
              <w:tr2bl w:val="nil"/>
            </w:tcBorders>
            <w:vAlign w:val="center"/>
          </w:tcPr>
          <w:p w14:paraId="5A0AD15E">
            <w:pPr>
              <w:pStyle w:val="49"/>
              <w:rPr>
                <w:b w:val="0"/>
                <w:color w:val="auto"/>
                <w:sz w:val="21"/>
              </w:rPr>
            </w:pPr>
          </w:p>
        </w:tc>
        <w:tc>
          <w:tcPr>
            <w:tcW w:w="1218" w:type="dxa"/>
            <w:tcBorders>
              <w:tl2br w:val="nil"/>
              <w:tr2bl w:val="nil"/>
            </w:tcBorders>
            <w:vAlign w:val="center"/>
          </w:tcPr>
          <w:p w14:paraId="1D551E68">
            <w:pPr>
              <w:pStyle w:val="49"/>
              <w:rPr>
                <w:b w:val="0"/>
                <w:color w:val="auto"/>
                <w:sz w:val="21"/>
              </w:rPr>
            </w:pPr>
            <w:r>
              <w:rPr>
                <w:rFonts w:hint="eastAsia"/>
                <w:b w:val="0"/>
                <w:color w:val="auto"/>
                <w:sz w:val="21"/>
              </w:rPr>
              <w:t>二氧化硫</w:t>
            </w:r>
          </w:p>
        </w:tc>
        <w:tc>
          <w:tcPr>
            <w:tcW w:w="2785" w:type="dxa"/>
            <w:tcBorders>
              <w:tl2br w:val="nil"/>
              <w:tr2bl w:val="nil"/>
            </w:tcBorders>
            <w:vAlign w:val="center"/>
          </w:tcPr>
          <w:p w14:paraId="20467856">
            <w:pPr>
              <w:pStyle w:val="49"/>
              <w:rPr>
                <w:b w:val="0"/>
                <w:color w:val="auto"/>
                <w:sz w:val="21"/>
              </w:rPr>
            </w:pPr>
            <w:r>
              <w:rPr>
                <w:rFonts w:cs="Segoe UI Emoji"/>
                <w:b w:val="0"/>
                <w:color w:val="auto"/>
                <w:kern w:val="0"/>
                <w:sz w:val="21"/>
                <w:lang w:bidi="ar"/>
              </w:rPr>
              <w:t>有毒，对眼、呼吸道黏膜有强烈刺激作用，可引起支气管炎、肺气肿等疾病；LC₅₀：6600mg/m³（大鼠吸入，1h）</w:t>
            </w:r>
          </w:p>
        </w:tc>
        <w:tc>
          <w:tcPr>
            <w:tcW w:w="3482" w:type="dxa"/>
            <w:tcBorders>
              <w:tl2br w:val="nil"/>
              <w:tr2bl w:val="nil"/>
            </w:tcBorders>
            <w:vAlign w:val="center"/>
          </w:tcPr>
          <w:p w14:paraId="0D0ACDD0">
            <w:pPr>
              <w:pStyle w:val="49"/>
              <w:rPr>
                <w:b w:val="0"/>
                <w:color w:val="auto"/>
                <w:sz w:val="21"/>
              </w:rPr>
            </w:pPr>
            <w:r>
              <w:rPr>
                <w:rFonts w:cs="Segoe UI Emoji"/>
                <w:b w:val="0"/>
                <w:color w:val="auto"/>
                <w:kern w:val="0"/>
                <w:sz w:val="21"/>
                <w:lang w:bidi="ar"/>
              </w:rPr>
              <w:t>不燃，无爆炸极限；遇水或水蒸气反应生成亚硫酸，具有腐蚀性；与强还原剂、金属粉末等接触可发生剧烈反应</w:t>
            </w:r>
          </w:p>
        </w:tc>
        <w:tc>
          <w:tcPr>
            <w:tcW w:w="1462" w:type="dxa"/>
            <w:tcBorders>
              <w:tl2br w:val="nil"/>
              <w:tr2bl w:val="nil"/>
            </w:tcBorders>
            <w:vAlign w:val="center"/>
          </w:tcPr>
          <w:p w14:paraId="6EE0EBBF">
            <w:pPr>
              <w:pStyle w:val="49"/>
              <w:rPr>
                <w:b w:val="0"/>
                <w:color w:val="auto"/>
                <w:sz w:val="21"/>
              </w:rPr>
            </w:pPr>
            <w:r>
              <w:rPr>
                <w:b w:val="0"/>
                <w:color w:val="auto"/>
                <w:sz w:val="21"/>
              </w:rPr>
              <w:t>焚硫炉（中间产物）</w:t>
            </w:r>
          </w:p>
        </w:tc>
      </w:tr>
      <w:tr w14:paraId="3850A1E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7" w:type="dxa"/>
            <w:vMerge w:val="continue"/>
            <w:tcBorders>
              <w:tl2br w:val="nil"/>
              <w:tr2bl w:val="nil"/>
            </w:tcBorders>
            <w:vAlign w:val="center"/>
          </w:tcPr>
          <w:p w14:paraId="5D6C1196">
            <w:pPr>
              <w:pStyle w:val="49"/>
              <w:rPr>
                <w:b w:val="0"/>
                <w:color w:val="auto"/>
                <w:sz w:val="21"/>
              </w:rPr>
            </w:pPr>
          </w:p>
        </w:tc>
        <w:tc>
          <w:tcPr>
            <w:tcW w:w="1218" w:type="dxa"/>
            <w:tcBorders>
              <w:tl2br w:val="nil"/>
              <w:tr2bl w:val="nil"/>
            </w:tcBorders>
            <w:vAlign w:val="center"/>
          </w:tcPr>
          <w:p w14:paraId="3E08A063">
            <w:pPr>
              <w:pStyle w:val="49"/>
              <w:rPr>
                <w:b w:val="0"/>
                <w:color w:val="auto"/>
                <w:sz w:val="21"/>
              </w:rPr>
            </w:pPr>
            <w:r>
              <w:rPr>
                <w:rFonts w:hint="eastAsia"/>
                <w:b w:val="0"/>
                <w:color w:val="auto"/>
                <w:sz w:val="21"/>
              </w:rPr>
              <w:t>碳酸氢铵</w:t>
            </w:r>
          </w:p>
        </w:tc>
        <w:tc>
          <w:tcPr>
            <w:tcW w:w="2785" w:type="dxa"/>
            <w:tcBorders>
              <w:tl2br w:val="nil"/>
              <w:tr2bl w:val="nil"/>
            </w:tcBorders>
            <w:vAlign w:val="center"/>
          </w:tcPr>
          <w:p w14:paraId="134031CC">
            <w:pPr>
              <w:pStyle w:val="49"/>
              <w:rPr>
                <w:b w:val="0"/>
                <w:color w:val="auto"/>
                <w:sz w:val="21"/>
              </w:rPr>
            </w:pPr>
            <w:r>
              <w:rPr>
                <w:b w:val="0"/>
                <w:color w:val="auto"/>
                <w:sz w:val="21"/>
              </w:rPr>
              <w:t>低毒</w:t>
            </w:r>
          </w:p>
        </w:tc>
        <w:tc>
          <w:tcPr>
            <w:tcW w:w="3482" w:type="dxa"/>
            <w:tcBorders>
              <w:tl2br w:val="nil"/>
              <w:tr2bl w:val="nil"/>
            </w:tcBorders>
            <w:vAlign w:val="center"/>
          </w:tcPr>
          <w:p w14:paraId="69FD2B0B">
            <w:pPr>
              <w:pStyle w:val="49"/>
              <w:rPr>
                <w:b w:val="0"/>
                <w:color w:val="auto"/>
                <w:sz w:val="21"/>
              </w:rPr>
            </w:pPr>
            <w:r>
              <w:rPr>
                <w:rFonts w:cs="宋体"/>
                <w:b w:val="0"/>
                <w:color w:val="auto"/>
                <w:sz w:val="21"/>
              </w:rPr>
              <w:t>不燃，受热分解产生刺激性氨和二氧化碳气体；无燃烧爆炸风险。</w:t>
            </w:r>
          </w:p>
        </w:tc>
        <w:tc>
          <w:tcPr>
            <w:tcW w:w="1462" w:type="dxa"/>
            <w:tcBorders>
              <w:tl2br w:val="nil"/>
              <w:tr2bl w:val="nil"/>
            </w:tcBorders>
            <w:vAlign w:val="center"/>
          </w:tcPr>
          <w:p w14:paraId="3F9DEC5E">
            <w:pPr>
              <w:pStyle w:val="49"/>
              <w:rPr>
                <w:b w:val="0"/>
                <w:color w:val="auto"/>
                <w:sz w:val="21"/>
              </w:rPr>
            </w:pPr>
            <w:r>
              <w:rPr>
                <w:b w:val="0"/>
                <w:color w:val="auto"/>
                <w:sz w:val="21"/>
              </w:rPr>
              <w:t>1#戊类罐区、亚铵中间罐</w:t>
            </w:r>
          </w:p>
        </w:tc>
      </w:tr>
      <w:tr w14:paraId="4927351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7" w:type="dxa"/>
            <w:tcBorders>
              <w:tl2br w:val="nil"/>
              <w:tr2bl w:val="nil"/>
            </w:tcBorders>
            <w:vAlign w:val="center"/>
          </w:tcPr>
          <w:p w14:paraId="6F9E98D2">
            <w:pPr>
              <w:pStyle w:val="49"/>
              <w:rPr>
                <w:b w:val="0"/>
                <w:color w:val="auto"/>
                <w:sz w:val="21"/>
              </w:rPr>
            </w:pPr>
            <w:r>
              <w:rPr>
                <w:b w:val="0"/>
                <w:color w:val="auto"/>
                <w:sz w:val="21"/>
              </w:rPr>
              <w:t>危险废物</w:t>
            </w:r>
          </w:p>
        </w:tc>
        <w:tc>
          <w:tcPr>
            <w:tcW w:w="1218" w:type="dxa"/>
            <w:tcBorders>
              <w:tl2br w:val="nil"/>
              <w:tr2bl w:val="nil"/>
            </w:tcBorders>
            <w:vAlign w:val="center"/>
          </w:tcPr>
          <w:p w14:paraId="56E3E40D">
            <w:pPr>
              <w:pStyle w:val="49"/>
              <w:rPr>
                <w:b w:val="0"/>
                <w:color w:val="auto"/>
                <w:sz w:val="21"/>
              </w:rPr>
            </w:pPr>
            <w:r>
              <w:rPr>
                <w:b w:val="0"/>
                <w:color w:val="auto"/>
                <w:sz w:val="21"/>
              </w:rPr>
              <w:t>危险废物</w:t>
            </w:r>
          </w:p>
        </w:tc>
        <w:tc>
          <w:tcPr>
            <w:tcW w:w="2785" w:type="dxa"/>
            <w:tcBorders>
              <w:tl2br w:val="nil"/>
              <w:tr2bl w:val="nil"/>
            </w:tcBorders>
            <w:vAlign w:val="center"/>
          </w:tcPr>
          <w:p w14:paraId="663F659D">
            <w:pPr>
              <w:pStyle w:val="49"/>
              <w:rPr>
                <w:b w:val="0"/>
                <w:color w:val="auto"/>
                <w:sz w:val="21"/>
              </w:rPr>
            </w:pPr>
            <w:r>
              <w:rPr>
                <w:rFonts w:hint="eastAsia"/>
                <w:b w:val="0"/>
                <w:color w:val="auto"/>
                <w:sz w:val="21"/>
              </w:rPr>
              <w:t>有毒</w:t>
            </w:r>
          </w:p>
        </w:tc>
        <w:tc>
          <w:tcPr>
            <w:tcW w:w="3482" w:type="dxa"/>
            <w:tcBorders>
              <w:tl2br w:val="nil"/>
              <w:tr2bl w:val="nil"/>
            </w:tcBorders>
            <w:vAlign w:val="center"/>
          </w:tcPr>
          <w:p w14:paraId="1F95FDCC">
            <w:pPr>
              <w:pStyle w:val="49"/>
              <w:rPr>
                <w:b w:val="0"/>
                <w:color w:val="auto"/>
                <w:sz w:val="21"/>
              </w:rPr>
            </w:pPr>
            <w:r>
              <w:rPr>
                <w:b w:val="0"/>
                <w:color w:val="auto"/>
                <w:sz w:val="21"/>
              </w:rPr>
              <w:t>部分可燃</w:t>
            </w:r>
          </w:p>
        </w:tc>
        <w:tc>
          <w:tcPr>
            <w:tcW w:w="1462" w:type="dxa"/>
            <w:tcBorders>
              <w:tl2br w:val="nil"/>
              <w:tr2bl w:val="nil"/>
            </w:tcBorders>
            <w:vAlign w:val="center"/>
          </w:tcPr>
          <w:p w14:paraId="77C0D66D">
            <w:pPr>
              <w:pStyle w:val="49"/>
              <w:rPr>
                <w:b w:val="0"/>
                <w:color w:val="auto"/>
                <w:sz w:val="21"/>
              </w:rPr>
            </w:pPr>
            <w:r>
              <w:rPr>
                <w:rFonts w:hint="eastAsia"/>
                <w:b w:val="0"/>
                <w:color w:val="auto"/>
                <w:sz w:val="21"/>
              </w:rPr>
              <w:t>危废暂存库</w:t>
            </w:r>
          </w:p>
        </w:tc>
      </w:tr>
    </w:tbl>
    <w:p w14:paraId="709AF47D">
      <w:pPr>
        <w:pStyle w:val="49"/>
        <w:rPr>
          <w:color w:val="auto"/>
        </w:rPr>
      </w:pPr>
    </w:p>
    <w:p w14:paraId="16CC2ACD">
      <w:pPr>
        <w:pStyle w:val="49"/>
        <w:rPr>
          <w:color w:val="auto"/>
        </w:rPr>
      </w:pPr>
    </w:p>
    <w:p w14:paraId="3323FFEE">
      <w:pPr>
        <w:pStyle w:val="49"/>
        <w:rPr>
          <w:color w:val="auto"/>
        </w:rPr>
      </w:pPr>
    </w:p>
    <w:p w14:paraId="623710C8">
      <w:pPr>
        <w:pStyle w:val="49"/>
        <w:rPr>
          <w:color w:val="auto"/>
        </w:rPr>
      </w:pPr>
    </w:p>
    <w:p w14:paraId="082EEF8A">
      <w:pPr>
        <w:pStyle w:val="4"/>
        <w:rPr>
          <w:color w:val="auto"/>
        </w:rPr>
      </w:pPr>
      <w:bookmarkStart w:id="157" w:name="_Toc21485"/>
      <w:r>
        <w:rPr>
          <w:rFonts w:hint="eastAsia"/>
          <w:color w:val="auto"/>
        </w:rPr>
        <w:t>4.7.2</w:t>
      </w:r>
      <w:r>
        <w:rPr>
          <w:color w:val="auto"/>
        </w:rPr>
        <w:t>建设项目危险性识别</w:t>
      </w:r>
      <w:bookmarkEnd w:id="157"/>
    </w:p>
    <w:p w14:paraId="2CBC3CEB">
      <w:pPr>
        <w:pStyle w:val="5"/>
        <w:spacing w:before="156"/>
        <w:rPr>
          <w:color w:val="auto"/>
        </w:rPr>
      </w:pPr>
      <w:r>
        <w:rPr>
          <w:color w:val="auto"/>
        </w:rPr>
        <w:t>4.</w:t>
      </w:r>
      <w:r>
        <w:rPr>
          <w:rFonts w:hint="eastAsia"/>
          <w:color w:val="auto"/>
        </w:rPr>
        <w:t>7</w:t>
      </w:r>
      <w:r>
        <w:rPr>
          <w:color w:val="auto"/>
        </w:rPr>
        <w:t>.2.1工艺过程风险识别</w:t>
      </w:r>
    </w:p>
    <w:p w14:paraId="01BC3C2F">
      <w:pPr>
        <w:ind w:firstLine="480"/>
        <w:rPr>
          <w:color w:val="auto"/>
        </w:rPr>
      </w:pPr>
      <w:r>
        <w:rPr>
          <w:rFonts w:hint="eastAsia"/>
          <w:color w:val="auto"/>
        </w:rPr>
        <w:t>对本次拟建项目在生产过程中涉及到的风险进行识别，详见表4.7-2。</w:t>
      </w:r>
    </w:p>
    <w:p w14:paraId="14CEDAA7">
      <w:pPr>
        <w:pStyle w:val="49"/>
        <w:rPr>
          <w:bCs/>
          <w:color w:val="auto"/>
          <w:kern w:val="0"/>
        </w:rPr>
      </w:pPr>
      <w:r>
        <w:rPr>
          <w:bCs/>
          <w:color w:val="auto"/>
          <w:kern w:val="0"/>
        </w:rPr>
        <w:t>表4.</w:t>
      </w:r>
      <w:r>
        <w:rPr>
          <w:rFonts w:hint="eastAsia"/>
          <w:bCs/>
          <w:color w:val="auto"/>
          <w:kern w:val="0"/>
        </w:rPr>
        <w:t>7</w:t>
      </w:r>
      <w:r>
        <w:rPr>
          <w:bCs/>
          <w:color w:val="auto"/>
          <w:kern w:val="0"/>
        </w:rPr>
        <w:t xml:space="preserve">-2 </w:t>
      </w:r>
      <w:r>
        <w:rPr>
          <w:rFonts w:hint="eastAsia"/>
          <w:bCs/>
          <w:color w:val="auto"/>
          <w:kern w:val="0"/>
        </w:rPr>
        <w:t xml:space="preserve"> </w:t>
      </w:r>
      <w:r>
        <w:rPr>
          <w:bCs/>
          <w:color w:val="auto"/>
          <w:kern w:val="0"/>
        </w:rPr>
        <w:t>生产过程中潜在的危险性</w:t>
      </w:r>
    </w:p>
    <w:tbl>
      <w:tblPr>
        <w:tblStyle w:val="25"/>
        <w:tblW w:w="5000"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40"/>
        <w:gridCol w:w="4527"/>
        <w:gridCol w:w="3787"/>
      </w:tblGrid>
      <w:tr w14:paraId="09C6197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tcBorders>
              <w:tl2br w:val="nil"/>
              <w:tr2bl w:val="nil"/>
            </w:tcBorders>
            <w:vAlign w:val="center"/>
          </w:tcPr>
          <w:p w14:paraId="7A1EBD07">
            <w:pPr>
              <w:spacing w:line="240" w:lineRule="auto"/>
              <w:ind w:firstLine="0" w:firstLineChars="0"/>
              <w:jc w:val="center"/>
              <w:rPr>
                <w:b/>
                <w:color w:val="auto"/>
                <w:kern w:val="0"/>
                <w:sz w:val="21"/>
              </w:rPr>
            </w:pPr>
            <w:r>
              <w:rPr>
                <w:rFonts w:hint="eastAsia"/>
                <w:b/>
                <w:color w:val="auto"/>
                <w:kern w:val="0"/>
                <w:sz w:val="21"/>
                <w:szCs w:val="21"/>
              </w:rPr>
              <w:t>生产过程</w:t>
            </w:r>
          </w:p>
        </w:tc>
        <w:tc>
          <w:tcPr>
            <w:tcW w:w="2296" w:type="pct"/>
            <w:tcBorders>
              <w:tl2br w:val="nil"/>
              <w:tr2bl w:val="nil"/>
            </w:tcBorders>
            <w:vAlign w:val="center"/>
          </w:tcPr>
          <w:p w14:paraId="7BAD33EE">
            <w:pPr>
              <w:spacing w:line="240" w:lineRule="auto"/>
              <w:ind w:firstLine="0" w:firstLineChars="0"/>
              <w:jc w:val="center"/>
              <w:rPr>
                <w:b/>
                <w:color w:val="auto"/>
                <w:kern w:val="0"/>
                <w:sz w:val="21"/>
              </w:rPr>
            </w:pPr>
            <w:r>
              <w:rPr>
                <w:rFonts w:hint="eastAsia"/>
                <w:b/>
                <w:color w:val="auto"/>
                <w:kern w:val="0"/>
                <w:sz w:val="21"/>
                <w:szCs w:val="21"/>
              </w:rPr>
              <w:t>潜在危险性</w:t>
            </w:r>
          </w:p>
        </w:tc>
        <w:tc>
          <w:tcPr>
            <w:tcW w:w="1921" w:type="pct"/>
            <w:tcBorders>
              <w:tl2br w:val="nil"/>
              <w:tr2bl w:val="nil"/>
            </w:tcBorders>
            <w:vAlign w:val="center"/>
          </w:tcPr>
          <w:p w14:paraId="1FF5FCC1">
            <w:pPr>
              <w:spacing w:line="240" w:lineRule="auto"/>
              <w:ind w:firstLine="0" w:firstLineChars="0"/>
              <w:jc w:val="center"/>
              <w:rPr>
                <w:b/>
                <w:color w:val="auto"/>
                <w:kern w:val="0"/>
                <w:sz w:val="21"/>
              </w:rPr>
            </w:pPr>
            <w:r>
              <w:rPr>
                <w:rFonts w:hint="eastAsia"/>
                <w:b/>
                <w:color w:val="auto"/>
                <w:kern w:val="0"/>
                <w:sz w:val="21"/>
                <w:szCs w:val="21"/>
              </w:rPr>
              <w:t>后果</w:t>
            </w:r>
          </w:p>
        </w:tc>
      </w:tr>
      <w:tr w14:paraId="3C6DA49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restart"/>
            <w:tcBorders>
              <w:tl2br w:val="nil"/>
              <w:tr2bl w:val="nil"/>
            </w:tcBorders>
            <w:vAlign w:val="center"/>
          </w:tcPr>
          <w:p w14:paraId="415220B1">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物料输送</w:t>
            </w:r>
          </w:p>
        </w:tc>
        <w:tc>
          <w:tcPr>
            <w:tcW w:w="2296" w:type="pct"/>
            <w:tcBorders>
              <w:tl2br w:val="nil"/>
              <w:tr2bl w:val="nil"/>
            </w:tcBorders>
            <w:vAlign w:val="center"/>
          </w:tcPr>
          <w:p w14:paraId="29EF4BBD">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管道振动造成法兰、接头密封失效</w:t>
            </w:r>
          </w:p>
        </w:tc>
        <w:tc>
          <w:tcPr>
            <w:tcW w:w="1921" w:type="pct"/>
            <w:tcBorders>
              <w:tl2br w:val="nil"/>
              <w:tr2bl w:val="nil"/>
            </w:tcBorders>
            <w:vAlign w:val="center"/>
          </w:tcPr>
          <w:p w14:paraId="32D04195">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物料泄漏，腐蚀性液体外溢，人员灼伤、设备腐蚀</w:t>
            </w:r>
          </w:p>
        </w:tc>
      </w:tr>
      <w:tr w14:paraId="1EF0F72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3BEBA5AC">
            <w:pPr>
              <w:spacing w:line="240" w:lineRule="auto"/>
              <w:ind w:firstLine="0" w:firstLineChars="0"/>
              <w:jc w:val="center"/>
              <w:rPr>
                <w:bCs/>
                <w:color w:val="auto"/>
                <w:kern w:val="0"/>
                <w:sz w:val="21"/>
              </w:rPr>
            </w:pPr>
          </w:p>
        </w:tc>
        <w:tc>
          <w:tcPr>
            <w:tcW w:w="2296" w:type="pct"/>
            <w:tcBorders>
              <w:tl2br w:val="nil"/>
              <w:tr2bl w:val="nil"/>
            </w:tcBorders>
            <w:vAlign w:val="center"/>
          </w:tcPr>
          <w:p w14:paraId="3A450C89">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泵或风机吸入空气，与亚硫酸盐、硫代硫酸盐溶液接触</w:t>
            </w:r>
          </w:p>
        </w:tc>
        <w:tc>
          <w:tcPr>
            <w:tcW w:w="1921" w:type="pct"/>
            <w:tcBorders>
              <w:tl2br w:val="nil"/>
              <w:tr2bl w:val="nil"/>
            </w:tcBorders>
            <w:vAlign w:val="center"/>
          </w:tcPr>
          <w:p w14:paraId="2D759455">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氧化反应加剧，局部放热、物料分解，引发燃爆风险</w:t>
            </w:r>
          </w:p>
        </w:tc>
      </w:tr>
      <w:tr w14:paraId="5F25399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40505EB9">
            <w:pPr>
              <w:spacing w:line="240" w:lineRule="auto"/>
              <w:ind w:firstLine="0" w:firstLineChars="0"/>
              <w:jc w:val="center"/>
              <w:rPr>
                <w:bCs/>
                <w:color w:val="auto"/>
                <w:kern w:val="0"/>
                <w:sz w:val="21"/>
              </w:rPr>
            </w:pPr>
          </w:p>
        </w:tc>
        <w:tc>
          <w:tcPr>
            <w:tcW w:w="2296" w:type="pct"/>
            <w:tcBorders>
              <w:tl2br w:val="nil"/>
              <w:tr2bl w:val="nil"/>
            </w:tcBorders>
            <w:vAlign w:val="center"/>
          </w:tcPr>
          <w:p w14:paraId="50156AE2">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输送流速过快或轴承过热</w:t>
            </w:r>
          </w:p>
        </w:tc>
        <w:tc>
          <w:tcPr>
            <w:tcW w:w="1921" w:type="pct"/>
            <w:tcBorders>
              <w:tl2br w:val="nil"/>
              <w:tr2bl w:val="nil"/>
            </w:tcBorders>
            <w:vAlign w:val="center"/>
          </w:tcPr>
          <w:p w14:paraId="298A101E">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摩擦生热，局部温度升高，导致物料分解、分解气体积聚</w:t>
            </w:r>
          </w:p>
        </w:tc>
      </w:tr>
      <w:tr w14:paraId="4792941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5192E83A">
            <w:pPr>
              <w:spacing w:line="240" w:lineRule="auto"/>
              <w:ind w:firstLine="0" w:firstLineChars="0"/>
              <w:jc w:val="center"/>
              <w:rPr>
                <w:bCs/>
                <w:color w:val="auto"/>
                <w:kern w:val="0"/>
                <w:sz w:val="21"/>
              </w:rPr>
            </w:pPr>
          </w:p>
        </w:tc>
        <w:tc>
          <w:tcPr>
            <w:tcW w:w="2296" w:type="pct"/>
            <w:tcBorders>
              <w:tl2br w:val="nil"/>
              <w:tr2bl w:val="nil"/>
            </w:tcBorders>
            <w:vAlign w:val="center"/>
          </w:tcPr>
          <w:p w14:paraId="4B4393D1">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输送泵、风机、压缩机机械故障（卡涩、抱死）</w:t>
            </w:r>
          </w:p>
        </w:tc>
        <w:tc>
          <w:tcPr>
            <w:tcW w:w="1921" w:type="pct"/>
            <w:tcBorders>
              <w:tl2br w:val="nil"/>
              <w:tr2bl w:val="nil"/>
            </w:tcBorders>
            <w:vAlign w:val="center"/>
          </w:tcPr>
          <w:p w14:paraId="1FEB1C6E">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异常噪声、设备损坏，引发工艺中断、物料溢出</w:t>
            </w:r>
          </w:p>
        </w:tc>
      </w:tr>
      <w:tr w14:paraId="117E66A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restart"/>
            <w:tcBorders>
              <w:tl2br w:val="nil"/>
              <w:tr2bl w:val="nil"/>
            </w:tcBorders>
            <w:vAlign w:val="center"/>
          </w:tcPr>
          <w:p w14:paraId="0C828218">
            <w:pPr>
              <w:widowControl/>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反应过程</w:t>
            </w:r>
          </w:p>
          <w:p w14:paraId="668D40E0">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（中和/合成）</w:t>
            </w:r>
          </w:p>
        </w:tc>
        <w:tc>
          <w:tcPr>
            <w:tcW w:w="2296" w:type="pct"/>
            <w:tcBorders>
              <w:tl2br w:val="nil"/>
              <w:tr2bl w:val="nil"/>
            </w:tcBorders>
            <w:vAlign w:val="center"/>
          </w:tcPr>
          <w:p w14:paraId="7625998F">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加料速度过快，反应放热剧烈</w:t>
            </w:r>
          </w:p>
        </w:tc>
        <w:tc>
          <w:tcPr>
            <w:tcW w:w="1921" w:type="pct"/>
            <w:tcBorders>
              <w:tl2br w:val="nil"/>
              <w:tr2bl w:val="nil"/>
            </w:tcBorders>
            <w:vAlign w:val="center"/>
          </w:tcPr>
          <w:p w14:paraId="26347B2B">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釜内温度、压力骤升，超压引发釜体破裂、物料喷溅</w:t>
            </w:r>
          </w:p>
        </w:tc>
      </w:tr>
      <w:tr w14:paraId="6C2CFE2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40743ADB">
            <w:pPr>
              <w:spacing w:line="240" w:lineRule="auto"/>
              <w:ind w:firstLine="0" w:firstLineChars="0"/>
              <w:jc w:val="center"/>
              <w:rPr>
                <w:bCs/>
                <w:color w:val="auto"/>
                <w:kern w:val="0"/>
                <w:sz w:val="21"/>
              </w:rPr>
            </w:pPr>
          </w:p>
        </w:tc>
        <w:tc>
          <w:tcPr>
            <w:tcW w:w="2296" w:type="pct"/>
            <w:tcBorders>
              <w:tl2br w:val="nil"/>
              <w:tr2bl w:val="nil"/>
            </w:tcBorders>
            <w:vAlign w:val="center"/>
          </w:tcPr>
          <w:p w14:paraId="02274BC0">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反应釜搅拌失效、搅拌不均</w:t>
            </w:r>
          </w:p>
        </w:tc>
        <w:tc>
          <w:tcPr>
            <w:tcW w:w="1921" w:type="pct"/>
            <w:tcBorders>
              <w:tl2br w:val="nil"/>
              <w:tr2bl w:val="nil"/>
            </w:tcBorders>
            <w:vAlign w:val="center"/>
          </w:tcPr>
          <w:p w14:paraId="5D35F108">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局部过热、反应不完全，副反应加剧，产生含硫有毒气体</w:t>
            </w:r>
          </w:p>
        </w:tc>
      </w:tr>
      <w:tr w14:paraId="15BCFAE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c>
          <w:tcPr>
            <w:tcW w:w="781" w:type="pct"/>
            <w:vMerge w:val="continue"/>
            <w:tcBorders>
              <w:tl2br w:val="nil"/>
              <w:tr2bl w:val="nil"/>
            </w:tcBorders>
            <w:vAlign w:val="center"/>
          </w:tcPr>
          <w:p w14:paraId="706D3D1B">
            <w:pPr>
              <w:spacing w:line="240" w:lineRule="auto"/>
              <w:ind w:firstLine="0" w:firstLineChars="0"/>
              <w:jc w:val="center"/>
              <w:rPr>
                <w:bCs/>
                <w:color w:val="auto"/>
                <w:kern w:val="0"/>
                <w:sz w:val="21"/>
              </w:rPr>
            </w:pPr>
          </w:p>
        </w:tc>
        <w:tc>
          <w:tcPr>
            <w:tcW w:w="2296" w:type="pct"/>
            <w:tcBorders>
              <w:tl2br w:val="nil"/>
              <w:tr2bl w:val="nil"/>
            </w:tcBorders>
            <w:vAlign w:val="center"/>
          </w:tcPr>
          <w:p w14:paraId="3DA98073">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反应釜密闭不良或混入空气</w:t>
            </w:r>
          </w:p>
        </w:tc>
        <w:tc>
          <w:tcPr>
            <w:tcW w:w="1921" w:type="pct"/>
            <w:tcBorders>
              <w:tl2br w:val="nil"/>
              <w:tr2bl w:val="nil"/>
            </w:tcBorders>
            <w:vAlign w:val="center"/>
          </w:tcPr>
          <w:p w14:paraId="60354ABC">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物料氧化分解，生成有毒有害气体，引发中毒或燃爆</w:t>
            </w:r>
          </w:p>
        </w:tc>
      </w:tr>
      <w:tr w14:paraId="2E07B95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50A5CDF5">
            <w:pPr>
              <w:spacing w:line="240" w:lineRule="auto"/>
              <w:ind w:firstLine="0" w:firstLineChars="0"/>
              <w:jc w:val="center"/>
              <w:rPr>
                <w:bCs/>
                <w:color w:val="auto"/>
                <w:kern w:val="0"/>
                <w:sz w:val="21"/>
              </w:rPr>
            </w:pPr>
          </w:p>
        </w:tc>
        <w:tc>
          <w:tcPr>
            <w:tcW w:w="2296" w:type="pct"/>
            <w:tcBorders>
              <w:tl2br w:val="nil"/>
              <w:tr2bl w:val="nil"/>
            </w:tcBorders>
            <w:vAlign w:val="center"/>
          </w:tcPr>
          <w:p w14:paraId="17305E06">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反应温度、pH控制不当</w:t>
            </w:r>
          </w:p>
        </w:tc>
        <w:tc>
          <w:tcPr>
            <w:tcW w:w="1921" w:type="pct"/>
            <w:tcBorders>
              <w:tl2br w:val="nil"/>
              <w:tr2bl w:val="nil"/>
            </w:tcBorders>
            <w:vAlign w:val="center"/>
          </w:tcPr>
          <w:p w14:paraId="7247B122">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物料分解失效，副产物增多，釜内压力异常升高</w:t>
            </w:r>
          </w:p>
        </w:tc>
      </w:tr>
      <w:tr w14:paraId="7515B1A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restart"/>
            <w:tcBorders>
              <w:tl2br w:val="nil"/>
              <w:tr2bl w:val="nil"/>
            </w:tcBorders>
            <w:vAlign w:val="center"/>
          </w:tcPr>
          <w:p w14:paraId="47F8ABD4">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浓缩过程</w:t>
            </w:r>
          </w:p>
        </w:tc>
        <w:tc>
          <w:tcPr>
            <w:tcW w:w="2296" w:type="pct"/>
            <w:tcBorders>
              <w:tl2br w:val="nil"/>
              <w:tr2bl w:val="nil"/>
            </w:tcBorders>
            <w:vAlign w:val="center"/>
          </w:tcPr>
          <w:p w14:paraId="04047124">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升温过快，局部过热</w:t>
            </w:r>
          </w:p>
        </w:tc>
        <w:tc>
          <w:tcPr>
            <w:tcW w:w="1921" w:type="pct"/>
            <w:tcBorders>
              <w:tl2br w:val="nil"/>
              <w:tr2bl w:val="nil"/>
            </w:tcBorders>
            <w:vAlign w:val="center"/>
          </w:tcPr>
          <w:p w14:paraId="27A6B1AA">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亚硫酸盐、硫代硫酸盐分解，产生 SO</w:t>
            </w:r>
            <w:r>
              <w:rPr>
                <w:rFonts w:hint="eastAsia" w:cs="宋体"/>
                <w:color w:val="auto"/>
                <w:kern w:val="0"/>
                <w:sz w:val="21"/>
                <w:szCs w:val="22"/>
                <w:vertAlign w:val="subscript"/>
                <w:lang w:bidi="ar"/>
              </w:rPr>
              <w:t>2</w:t>
            </w:r>
            <w:r>
              <w:rPr>
                <w:rFonts w:hint="eastAsia" w:cs="宋体"/>
                <w:color w:val="auto"/>
                <w:kern w:val="0"/>
                <w:sz w:val="21"/>
                <w:szCs w:val="22"/>
                <w:lang w:bidi="ar"/>
              </w:rPr>
              <w:t>等有毒气体，引发釜内超压</w:t>
            </w:r>
          </w:p>
        </w:tc>
      </w:tr>
      <w:tr w14:paraId="575FE91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39AD17F0">
            <w:pPr>
              <w:spacing w:line="240" w:lineRule="auto"/>
              <w:ind w:firstLine="0" w:firstLineChars="0"/>
              <w:jc w:val="center"/>
              <w:rPr>
                <w:bCs/>
                <w:color w:val="auto"/>
                <w:kern w:val="0"/>
                <w:sz w:val="21"/>
              </w:rPr>
            </w:pPr>
          </w:p>
        </w:tc>
        <w:tc>
          <w:tcPr>
            <w:tcW w:w="2296" w:type="pct"/>
            <w:tcBorders>
              <w:tl2br w:val="nil"/>
              <w:tr2bl w:val="nil"/>
            </w:tcBorders>
            <w:vAlign w:val="center"/>
          </w:tcPr>
          <w:p w14:paraId="5BCBAA56">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加热盘管泄漏，导热介质混入物料</w:t>
            </w:r>
          </w:p>
        </w:tc>
        <w:tc>
          <w:tcPr>
            <w:tcW w:w="1921" w:type="pct"/>
            <w:tcBorders>
              <w:tl2br w:val="nil"/>
              <w:tr2bl w:val="nil"/>
            </w:tcBorders>
            <w:vAlign w:val="center"/>
          </w:tcPr>
          <w:p w14:paraId="2B62E49C">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物料污染，局部温度不均，引发分解、爆沸</w:t>
            </w:r>
          </w:p>
        </w:tc>
      </w:tr>
      <w:tr w14:paraId="285292A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4660EED1">
            <w:pPr>
              <w:spacing w:line="240" w:lineRule="auto"/>
              <w:ind w:firstLine="0" w:firstLineChars="0"/>
              <w:jc w:val="center"/>
              <w:rPr>
                <w:bCs/>
                <w:color w:val="auto"/>
                <w:kern w:val="0"/>
                <w:sz w:val="21"/>
              </w:rPr>
            </w:pPr>
          </w:p>
        </w:tc>
        <w:tc>
          <w:tcPr>
            <w:tcW w:w="2296" w:type="pct"/>
            <w:tcBorders>
              <w:tl2br w:val="nil"/>
              <w:tr2bl w:val="nil"/>
            </w:tcBorders>
            <w:vAlign w:val="center"/>
          </w:tcPr>
          <w:p w14:paraId="7EE1E26E">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设备结垢严重，传热效率下降</w:t>
            </w:r>
          </w:p>
        </w:tc>
        <w:tc>
          <w:tcPr>
            <w:tcW w:w="1921" w:type="pct"/>
            <w:tcBorders>
              <w:tl2br w:val="nil"/>
              <w:tr2bl w:val="nil"/>
            </w:tcBorders>
            <w:vAlign w:val="center"/>
          </w:tcPr>
          <w:p w14:paraId="2944C38F">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加热不均，局部过热分解，釜内压力骤增，引发跑料</w:t>
            </w:r>
          </w:p>
        </w:tc>
      </w:tr>
      <w:tr w14:paraId="521E8D4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restart"/>
            <w:tcBorders>
              <w:tl2br w:val="nil"/>
              <w:tr2bl w:val="nil"/>
            </w:tcBorders>
            <w:vAlign w:val="center"/>
          </w:tcPr>
          <w:p w14:paraId="4E228326">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冷却</w:t>
            </w:r>
          </w:p>
        </w:tc>
        <w:tc>
          <w:tcPr>
            <w:tcW w:w="2296" w:type="pct"/>
            <w:tcBorders>
              <w:tl2br w:val="nil"/>
              <w:tr2bl w:val="nil"/>
            </w:tcBorders>
            <w:vAlign w:val="center"/>
          </w:tcPr>
          <w:p w14:paraId="6D596AF6">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冷却介质中断，热量积聚</w:t>
            </w:r>
          </w:p>
        </w:tc>
        <w:tc>
          <w:tcPr>
            <w:tcW w:w="1921" w:type="pct"/>
            <w:tcBorders>
              <w:tl2br w:val="nil"/>
              <w:tr2bl w:val="nil"/>
            </w:tcBorders>
            <w:vAlign w:val="center"/>
          </w:tcPr>
          <w:p w14:paraId="326B9FAD">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釜内压力骤增，容器超压破裂，有毒物料、分解气体扩散</w:t>
            </w:r>
          </w:p>
        </w:tc>
      </w:tr>
      <w:tr w14:paraId="44F3F3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523534E3">
            <w:pPr>
              <w:spacing w:line="240" w:lineRule="auto"/>
              <w:ind w:firstLine="0" w:firstLineChars="0"/>
              <w:jc w:val="center"/>
              <w:rPr>
                <w:bCs/>
                <w:color w:val="auto"/>
                <w:kern w:val="0"/>
                <w:sz w:val="21"/>
              </w:rPr>
            </w:pPr>
          </w:p>
        </w:tc>
        <w:tc>
          <w:tcPr>
            <w:tcW w:w="2296" w:type="pct"/>
            <w:tcBorders>
              <w:tl2br w:val="nil"/>
              <w:tr2bl w:val="nil"/>
            </w:tcBorders>
            <w:vAlign w:val="center"/>
          </w:tcPr>
          <w:p w14:paraId="108E8CF1">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冷凝负荷不足，气相物料无法完全冷凝</w:t>
            </w:r>
          </w:p>
        </w:tc>
        <w:tc>
          <w:tcPr>
            <w:tcW w:w="1921" w:type="pct"/>
            <w:tcBorders>
              <w:tl2br w:val="nil"/>
              <w:tr2bl w:val="nil"/>
            </w:tcBorders>
            <w:vAlign w:val="center"/>
          </w:tcPr>
          <w:p w14:paraId="5B67B835">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含硫废气直排，污染大气环境，引发人员中毒风险</w:t>
            </w:r>
          </w:p>
        </w:tc>
      </w:tr>
      <w:tr w14:paraId="2456EA0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23785E36">
            <w:pPr>
              <w:spacing w:line="240" w:lineRule="auto"/>
              <w:ind w:firstLine="0" w:firstLineChars="0"/>
              <w:jc w:val="center"/>
              <w:rPr>
                <w:bCs/>
                <w:color w:val="auto"/>
                <w:kern w:val="0"/>
                <w:sz w:val="21"/>
              </w:rPr>
            </w:pPr>
          </w:p>
        </w:tc>
        <w:tc>
          <w:tcPr>
            <w:tcW w:w="2296" w:type="pct"/>
            <w:tcBorders>
              <w:tl2br w:val="nil"/>
              <w:tr2bl w:val="nil"/>
            </w:tcBorders>
            <w:vAlign w:val="center"/>
          </w:tcPr>
          <w:p w14:paraId="4EC11343">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冷却盘管腐蚀穿孔，冷却介质泄漏</w:t>
            </w:r>
          </w:p>
        </w:tc>
        <w:tc>
          <w:tcPr>
            <w:tcW w:w="1921" w:type="pct"/>
            <w:tcBorders>
              <w:tl2br w:val="nil"/>
              <w:tr2bl w:val="nil"/>
            </w:tcBorders>
            <w:vAlign w:val="center"/>
          </w:tcPr>
          <w:p w14:paraId="764C9E22">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物料稀释、反应失控，釜内压力异常，引发跑料</w:t>
            </w:r>
          </w:p>
        </w:tc>
      </w:tr>
      <w:tr w14:paraId="5ADB470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restart"/>
            <w:tcBorders>
              <w:tl2br w:val="nil"/>
              <w:tr2bl w:val="nil"/>
            </w:tcBorders>
            <w:vAlign w:val="center"/>
          </w:tcPr>
          <w:p w14:paraId="1BC02B31">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结晶/离心过程</w:t>
            </w:r>
          </w:p>
        </w:tc>
        <w:tc>
          <w:tcPr>
            <w:tcW w:w="2296" w:type="pct"/>
            <w:tcBorders>
              <w:tl2br w:val="nil"/>
              <w:tr2bl w:val="nil"/>
            </w:tcBorders>
            <w:vAlign w:val="center"/>
          </w:tcPr>
          <w:p w14:paraId="547978D6">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离心过程密闭不良，粉尘外溢</w:t>
            </w:r>
          </w:p>
        </w:tc>
        <w:tc>
          <w:tcPr>
            <w:tcW w:w="1921" w:type="pct"/>
            <w:tcBorders>
              <w:tl2br w:val="nil"/>
              <w:tr2bl w:val="nil"/>
            </w:tcBorders>
            <w:vAlign w:val="center"/>
          </w:tcPr>
          <w:p w14:paraId="70F6F2D3">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亚硫酸盐/硫代硫酸盐粉尘扩散，刺激呼吸道，引发职业健康风险</w:t>
            </w:r>
          </w:p>
        </w:tc>
      </w:tr>
      <w:tr w14:paraId="328A792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63635CCF">
            <w:pPr>
              <w:spacing w:line="240" w:lineRule="auto"/>
              <w:ind w:firstLine="0" w:firstLineChars="0"/>
              <w:jc w:val="center"/>
              <w:rPr>
                <w:bCs/>
                <w:color w:val="auto"/>
                <w:kern w:val="0"/>
                <w:sz w:val="21"/>
              </w:rPr>
            </w:pPr>
          </w:p>
        </w:tc>
        <w:tc>
          <w:tcPr>
            <w:tcW w:w="2296" w:type="pct"/>
            <w:tcBorders>
              <w:tl2br w:val="nil"/>
              <w:tr2bl w:val="nil"/>
            </w:tcBorders>
            <w:vAlign w:val="center"/>
          </w:tcPr>
          <w:p w14:paraId="72F8FDB4">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离心机机械故障，转鼓失衡</w:t>
            </w:r>
          </w:p>
        </w:tc>
        <w:tc>
          <w:tcPr>
            <w:tcW w:w="1921" w:type="pct"/>
            <w:tcBorders>
              <w:tl2br w:val="nil"/>
              <w:tr2bl w:val="nil"/>
            </w:tcBorders>
            <w:vAlign w:val="center"/>
          </w:tcPr>
          <w:p w14:paraId="1C0C205B">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剧烈振动、设备损坏，引发物料喷溅、设备爆炸</w:t>
            </w:r>
          </w:p>
        </w:tc>
      </w:tr>
      <w:tr w14:paraId="65D57B3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1A3D9861">
            <w:pPr>
              <w:spacing w:line="240" w:lineRule="auto"/>
              <w:ind w:firstLine="0" w:firstLineChars="0"/>
              <w:jc w:val="center"/>
              <w:rPr>
                <w:bCs/>
                <w:color w:val="auto"/>
                <w:kern w:val="0"/>
                <w:sz w:val="21"/>
              </w:rPr>
            </w:pPr>
          </w:p>
        </w:tc>
        <w:tc>
          <w:tcPr>
            <w:tcW w:w="2296" w:type="pct"/>
            <w:tcBorders>
              <w:tl2br w:val="nil"/>
              <w:tr2bl w:val="nil"/>
            </w:tcBorders>
            <w:vAlign w:val="center"/>
          </w:tcPr>
          <w:p w14:paraId="25CF12C6">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结晶母液输送管道堵塞，压力异常</w:t>
            </w:r>
          </w:p>
        </w:tc>
        <w:tc>
          <w:tcPr>
            <w:tcW w:w="1921" w:type="pct"/>
            <w:tcBorders>
              <w:tl2br w:val="nil"/>
              <w:tr2bl w:val="nil"/>
            </w:tcBorders>
            <w:vAlign w:val="center"/>
          </w:tcPr>
          <w:p w14:paraId="6F6277BF">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管道破裂，母液泄漏，污染土壤和地下水</w:t>
            </w:r>
          </w:p>
        </w:tc>
      </w:tr>
      <w:tr w14:paraId="0C82420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restart"/>
            <w:tcBorders>
              <w:tl2br w:val="nil"/>
              <w:tr2bl w:val="nil"/>
            </w:tcBorders>
            <w:vAlign w:val="center"/>
          </w:tcPr>
          <w:p w14:paraId="2F671E49">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干燥过程</w:t>
            </w:r>
          </w:p>
        </w:tc>
        <w:tc>
          <w:tcPr>
            <w:tcW w:w="2296" w:type="pct"/>
            <w:tcBorders>
              <w:tl2br w:val="nil"/>
              <w:tr2bl w:val="nil"/>
            </w:tcBorders>
            <w:vAlign w:val="center"/>
          </w:tcPr>
          <w:p w14:paraId="002B1563">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干燥温度过高、时间过长</w:t>
            </w:r>
          </w:p>
        </w:tc>
        <w:tc>
          <w:tcPr>
            <w:tcW w:w="1921" w:type="pct"/>
            <w:tcBorders>
              <w:tl2br w:val="nil"/>
              <w:tr2bl w:val="nil"/>
            </w:tcBorders>
            <w:vAlign w:val="center"/>
          </w:tcPr>
          <w:p w14:paraId="5C19C536">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物料分解，产生SO</w:t>
            </w:r>
            <w:r>
              <w:rPr>
                <w:rFonts w:hint="eastAsia" w:cs="宋体"/>
                <w:color w:val="auto"/>
                <w:kern w:val="0"/>
                <w:sz w:val="21"/>
                <w:szCs w:val="22"/>
                <w:vertAlign w:val="subscript"/>
                <w:lang w:bidi="ar"/>
              </w:rPr>
              <w:t>2</w:t>
            </w:r>
            <w:r>
              <w:rPr>
                <w:rFonts w:hint="eastAsia" w:cs="宋体"/>
                <w:color w:val="auto"/>
                <w:kern w:val="0"/>
                <w:sz w:val="21"/>
                <w:szCs w:val="22"/>
                <w:lang w:bidi="ar"/>
              </w:rPr>
              <w:t>等有毒气体，粉尘遇热自燃或粉尘爆炸</w:t>
            </w:r>
          </w:p>
        </w:tc>
      </w:tr>
      <w:tr w14:paraId="4C12CF8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0DDD056E">
            <w:pPr>
              <w:spacing w:line="240" w:lineRule="auto"/>
              <w:ind w:firstLine="0" w:firstLineChars="0"/>
              <w:jc w:val="center"/>
              <w:rPr>
                <w:bCs/>
                <w:color w:val="auto"/>
                <w:kern w:val="0"/>
                <w:sz w:val="21"/>
              </w:rPr>
            </w:pPr>
          </w:p>
        </w:tc>
        <w:tc>
          <w:tcPr>
            <w:tcW w:w="2296" w:type="pct"/>
            <w:tcBorders>
              <w:tl2br w:val="nil"/>
              <w:tr2bl w:val="nil"/>
            </w:tcBorders>
            <w:vAlign w:val="center"/>
          </w:tcPr>
          <w:p w14:paraId="5055557A">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干燥系统通风不良，粉尘积聚</w:t>
            </w:r>
          </w:p>
        </w:tc>
        <w:tc>
          <w:tcPr>
            <w:tcW w:w="1921" w:type="pct"/>
            <w:tcBorders>
              <w:tl2br w:val="nil"/>
              <w:tr2bl w:val="nil"/>
            </w:tcBorders>
            <w:vAlign w:val="center"/>
          </w:tcPr>
          <w:p w14:paraId="6F15006C">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粉尘浓度超标，遇静电或高温引发粉尘爆炸</w:t>
            </w:r>
          </w:p>
        </w:tc>
      </w:tr>
      <w:tr w14:paraId="5DCD80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5AFEDC89">
            <w:pPr>
              <w:spacing w:line="240" w:lineRule="auto"/>
              <w:ind w:firstLine="0" w:firstLineChars="0"/>
              <w:jc w:val="center"/>
              <w:rPr>
                <w:bCs/>
                <w:color w:val="auto"/>
                <w:kern w:val="0"/>
                <w:sz w:val="21"/>
              </w:rPr>
            </w:pPr>
          </w:p>
        </w:tc>
        <w:tc>
          <w:tcPr>
            <w:tcW w:w="2296" w:type="pct"/>
            <w:tcBorders>
              <w:tl2br w:val="nil"/>
              <w:tr2bl w:val="nil"/>
            </w:tcBorders>
            <w:vAlign w:val="center"/>
          </w:tcPr>
          <w:p w14:paraId="3B12B052">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干燥介质含氧量过高</w:t>
            </w:r>
          </w:p>
        </w:tc>
        <w:tc>
          <w:tcPr>
            <w:tcW w:w="1921" w:type="pct"/>
            <w:tcBorders>
              <w:tl2br w:val="nil"/>
              <w:tr2bl w:val="nil"/>
            </w:tcBorders>
            <w:vAlign w:val="center"/>
          </w:tcPr>
          <w:p w14:paraId="6781217F">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物料氧化分解加剧，局部放热引发燃烧</w:t>
            </w:r>
          </w:p>
        </w:tc>
      </w:tr>
      <w:tr w14:paraId="57E71F2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restart"/>
            <w:tcBorders>
              <w:tl2br w:val="nil"/>
              <w:tr2bl w:val="nil"/>
            </w:tcBorders>
            <w:vAlign w:val="center"/>
          </w:tcPr>
          <w:p w14:paraId="0CECD093">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尾气处理过程</w:t>
            </w:r>
          </w:p>
        </w:tc>
        <w:tc>
          <w:tcPr>
            <w:tcW w:w="2296" w:type="pct"/>
            <w:tcBorders>
              <w:tl2br w:val="nil"/>
              <w:tr2bl w:val="nil"/>
            </w:tcBorders>
            <w:vAlign w:val="center"/>
          </w:tcPr>
          <w:p w14:paraId="37FA118A">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吸收塔液气比不足，吸收效率下降</w:t>
            </w:r>
          </w:p>
        </w:tc>
        <w:tc>
          <w:tcPr>
            <w:tcW w:w="1921" w:type="pct"/>
            <w:tcBorders>
              <w:tl2br w:val="nil"/>
              <w:tr2bl w:val="nil"/>
            </w:tcBorders>
            <w:vAlign w:val="center"/>
          </w:tcPr>
          <w:p w14:paraId="468340D9">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含硫废气超标排放，污染大气，引发异味和中毒风险</w:t>
            </w:r>
          </w:p>
        </w:tc>
      </w:tr>
      <w:tr w14:paraId="0375F49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25163ACC">
            <w:pPr>
              <w:spacing w:line="240" w:lineRule="auto"/>
              <w:ind w:firstLine="0" w:firstLineChars="0"/>
              <w:jc w:val="center"/>
              <w:rPr>
                <w:bCs/>
                <w:color w:val="auto"/>
                <w:kern w:val="0"/>
                <w:sz w:val="21"/>
              </w:rPr>
            </w:pPr>
          </w:p>
        </w:tc>
        <w:tc>
          <w:tcPr>
            <w:tcW w:w="2296" w:type="pct"/>
            <w:tcBorders>
              <w:tl2br w:val="nil"/>
              <w:tr2bl w:val="nil"/>
            </w:tcBorders>
            <w:vAlign w:val="center"/>
          </w:tcPr>
          <w:p w14:paraId="375EFF81">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吸收液循环泵故障，吸收液中断</w:t>
            </w:r>
          </w:p>
        </w:tc>
        <w:tc>
          <w:tcPr>
            <w:tcW w:w="1921" w:type="pct"/>
            <w:tcBorders>
              <w:tl2br w:val="nil"/>
              <w:tr2bl w:val="nil"/>
            </w:tcBorders>
            <w:vAlign w:val="center"/>
          </w:tcPr>
          <w:p w14:paraId="579D48A6">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尾气直排，SO</w:t>
            </w:r>
            <w:r>
              <w:rPr>
                <w:rFonts w:hint="eastAsia" w:cs="宋体"/>
                <w:color w:val="auto"/>
                <w:kern w:val="0"/>
                <w:sz w:val="21"/>
                <w:szCs w:val="22"/>
                <w:vertAlign w:val="subscript"/>
                <w:lang w:bidi="ar"/>
              </w:rPr>
              <w:t>2</w:t>
            </w:r>
            <w:r>
              <w:rPr>
                <w:rFonts w:hint="eastAsia" w:cs="宋体"/>
                <w:color w:val="auto"/>
                <w:kern w:val="0"/>
                <w:sz w:val="21"/>
                <w:szCs w:val="22"/>
                <w:lang w:bidi="ar"/>
              </w:rPr>
              <w:t>等有毒气体扩散，引发环境和健康风险</w:t>
            </w:r>
          </w:p>
        </w:tc>
      </w:tr>
      <w:tr w14:paraId="5858FD3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6A30394F">
            <w:pPr>
              <w:spacing w:line="240" w:lineRule="auto"/>
              <w:ind w:firstLine="0" w:firstLineChars="0"/>
              <w:jc w:val="center"/>
              <w:rPr>
                <w:bCs/>
                <w:color w:val="auto"/>
                <w:kern w:val="0"/>
                <w:sz w:val="21"/>
              </w:rPr>
            </w:pPr>
          </w:p>
        </w:tc>
        <w:tc>
          <w:tcPr>
            <w:tcW w:w="2296" w:type="pct"/>
            <w:tcBorders>
              <w:tl2br w:val="nil"/>
              <w:tr2bl w:val="nil"/>
            </w:tcBorders>
            <w:vAlign w:val="center"/>
          </w:tcPr>
          <w:p w14:paraId="2FF9C472">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吸收塔填料堵塞，塔内阻力升高</w:t>
            </w:r>
          </w:p>
        </w:tc>
        <w:tc>
          <w:tcPr>
            <w:tcW w:w="1921" w:type="pct"/>
            <w:tcBorders>
              <w:tl2br w:val="nil"/>
              <w:tr2bl w:val="nil"/>
            </w:tcBorders>
            <w:vAlign w:val="center"/>
          </w:tcPr>
          <w:p w14:paraId="5A9DA67F">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塔体超压破裂，吸收液外溢，引发二次污染</w:t>
            </w:r>
          </w:p>
        </w:tc>
      </w:tr>
      <w:tr w14:paraId="6C1ADD1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restart"/>
            <w:tcBorders>
              <w:tl2br w:val="nil"/>
              <w:tr2bl w:val="nil"/>
            </w:tcBorders>
            <w:vAlign w:val="center"/>
          </w:tcPr>
          <w:p w14:paraId="67FA2322">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储存过程（溶液/成品）</w:t>
            </w:r>
          </w:p>
        </w:tc>
        <w:tc>
          <w:tcPr>
            <w:tcW w:w="2296" w:type="pct"/>
            <w:tcBorders>
              <w:tl2br w:val="nil"/>
              <w:tr2bl w:val="nil"/>
            </w:tcBorders>
            <w:vAlign w:val="center"/>
          </w:tcPr>
          <w:p w14:paraId="01B2BF4E">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储罐密封失效、呼吸阀故障</w:t>
            </w:r>
          </w:p>
        </w:tc>
        <w:tc>
          <w:tcPr>
            <w:tcW w:w="1921" w:type="pct"/>
            <w:tcBorders>
              <w:tl2br w:val="nil"/>
              <w:tr2bl w:val="nil"/>
            </w:tcBorders>
            <w:vAlign w:val="center"/>
          </w:tcPr>
          <w:p w14:paraId="54B91613">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物料挥发、分解气体积聚，引发储罐超压或物料泄漏</w:t>
            </w:r>
          </w:p>
        </w:tc>
      </w:tr>
      <w:tr w14:paraId="196F382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6D51D34E">
            <w:pPr>
              <w:spacing w:line="240" w:lineRule="auto"/>
              <w:ind w:firstLine="0" w:firstLineChars="0"/>
              <w:jc w:val="center"/>
              <w:rPr>
                <w:bCs/>
                <w:color w:val="auto"/>
                <w:kern w:val="0"/>
                <w:sz w:val="21"/>
              </w:rPr>
            </w:pPr>
          </w:p>
        </w:tc>
        <w:tc>
          <w:tcPr>
            <w:tcW w:w="2296" w:type="pct"/>
            <w:tcBorders>
              <w:tl2br w:val="nil"/>
              <w:tr2bl w:val="nil"/>
            </w:tcBorders>
            <w:vAlign w:val="center"/>
          </w:tcPr>
          <w:p w14:paraId="12C14491">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储罐温度过高，物料受热分解</w:t>
            </w:r>
          </w:p>
        </w:tc>
        <w:tc>
          <w:tcPr>
            <w:tcW w:w="1921" w:type="pct"/>
            <w:tcBorders>
              <w:tl2br w:val="nil"/>
              <w:tr2bl w:val="nil"/>
            </w:tcBorders>
            <w:vAlign w:val="center"/>
          </w:tcPr>
          <w:p w14:paraId="7591DB5B">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罐内压力骤增，储罐破裂，有毒物料扩散</w:t>
            </w:r>
          </w:p>
        </w:tc>
      </w:tr>
      <w:tr w14:paraId="5E1A5AE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1" w:type="pct"/>
            <w:vMerge w:val="continue"/>
            <w:tcBorders>
              <w:tl2br w:val="nil"/>
              <w:tr2bl w:val="nil"/>
            </w:tcBorders>
            <w:vAlign w:val="center"/>
          </w:tcPr>
          <w:p w14:paraId="283097B9">
            <w:pPr>
              <w:spacing w:line="240" w:lineRule="auto"/>
              <w:ind w:firstLine="0" w:firstLineChars="0"/>
              <w:jc w:val="center"/>
              <w:rPr>
                <w:bCs/>
                <w:color w:val="auto"/>
                <w:kern w:val="0"/>
                <w:sz w:val="21"/>
              </w:rPr>
            </w:pPr>
          </w:p>
        </w:tc>
        <w:tc>
          <w:tcPr>
            <w:tcW w:w="2296" w:type="pct"/>
            <w:tcBorders>
              <w:tl2br w:val="nil"/>
              <w:tr2bl w:val="nil"/>
            </w:tcBorders>
            <w:vAlign w:val="center"/>
          </w:tcPr>
          <w:p w14:paraId="54F5DB56">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储罐腐蚀穿孔，物料泄漏</w:t>
            </w:r>
          </w:p>
        </w:tc>
        <w:tc>
          <w:tcPr>
            <w:tcW w:w="1921" w:type="pct"/>
            <w:tcBorders>
              <w:tl2br w:val="nil"/>
              <w:tr2bl w:val="nil"/>
            </w:tcBorders>
            <w:vAlign w:val="center"/>
          </w:tcPr>
          <w:p w14:paraId="608E2B8F">
            <w:pPr>
              <w:widowControl/>
              <w:spacing w:line="240" w:lineRule="auto"/>
              <w:ind w:firstLine="0" w:firstLineChars="0"/>
              <w:jc w:val="center"/>
              <w:textAlignment w:val="center"/>
              <w:rPr>
                <w:bCs/>
                <w:color w:val="auto"/>
                <w:kern w:val="0"/>
                <w:sz w:val="21"/>
              </w:rPr>
            </w:pPr>
            <w:r>
              <w:rPr>
                <w:rFonts w:hint="eastAsia" w:cs="宋体"/>
                <w:color w:val="auto"/>
                <w:kern w:val="0"/>
                <w:sz w:val="21"/>
                <w:szCs w:val="22"/>
                <w:lang w:bidi="ar"/>
              </w:rPr>
              <w:t>液体物料外溢，污染土壤和地下水，引发腐蚀性危害</w:t>
            </w:r>
          </w:p>
        </w:tc>
      </w:tr>
    </w:tbl>
    <w:p w14:paraId="4B651406">
      <w:pPr>
        <w:ind w:firstLine="480"/>
        <w:rPr>
          <w:color w:val="auto"/>
        </w:rPr>
      </w:pPr>
      <w:r>
        <w:rPr>
          <w:color w:val="auto"/>
        </w:rPr>
        <w:t>拟建项目在生产过程中主要涉及的风险如下</w:t>
      </w:r>
      <w:r>
        <w:rPr>
          <w:rFonts w:hint="eastAsia"/>
          <w:color w:val="auto"/>
        </w:rPr>
        <w:t>：</w:t>
      </w:r>
    </w:p>
    <w:p w14:paraId="4E471622">
      <w:pPr>
        <w:pStyle w:val="49"/>
        <w:spacing w:line="500" w:lineRule="exact"/>
        <w:ind w:firstLine="480" w:firstLineChars="200"/>
        <w:jc w:val="both"/>
        <w:rPr>
          <w:b w:val="0"/>
          <w:color w:val="auto"/>
        </w:rPr>
      </w:pPr>
      <w:r>
        <w:rPr>
          <w:b w:val="0"/>
          <w:color w:val="auto"/>
        </w:rPr>
        <w:t>（1）焚硫炉及SO</w:t>
      </w:r>
      <w:r>
        <w:rPr>
          <w:rFonts w:hint="eastAsia"/>
          <w:b w:val="0"/>
          <w:color w:val="auto"/>
          <w:vertAlign w:val="subscript"/>
        </w:rPr>
        <w:t>2</w:t>
      </w:r>
      <w:r>
        <w:rPr>
          <w:b w:val="0"/>
          <w:color w:val="auto"/>
        </w:rPr>
        <w:t>制备阶段</w:t>
      </w:r>
    </w:p>
    <w:p w14:paraId="6281E50F">
      <w:pPr>
        <w:pStyle w:val="49"/>
        <w:spacing w:line="500" w:lineRule="exact"/>
        <w:ind w:firstLine="480" w:firstLineChars="200"/>
        <w:jc w:val="both"/>
        <w:rPr>
          <w:b w:val="0"/>
          <w:color w:val="auto"/>
        </w:rPr>
      </w:pPr>
      <w:r>
        <w:rPr>
          <w:b w:val="0"/>
          <w:color w:val="auto"/>
        </w:rPr>
        <w:t>焚烧温度与SO</w:t>
      </w:r>
      <w:r>
        <w:rPr>
          <w:rFonts w:hint="eastAsia"/>
          <w:b w:val="0"/>
          <w:color w:val="auto"/>
          <w:vertAlign w:val="subscript"/>
        </w:rPr>
        <w:t>2</w:t>
      </w:r>
      <w:r>
        <w:rPr>
          <w:b w:val="0"/>
          <w:color w:val="auto"/>
        </w:rPr>
        <w:t>泄漏风险：焚硫炉焚烧温度控制在 900~1000℃，若液硫雾化不良、风量配比失调，易造成局部过热或不完全燃烧，炉内温度失控可能导致设备烧损；若炉体、烟道或热交换系统出现腐蚀穿孔、密封失效，高温 SO₂气体泄漏将引发人员中毒与环境风险。</w:t>
      </w:r>
    </w:p>
    <w:p w14:paraId="4F00FCBC">
      <w:pPr>
        <w:pStyle w:val="49"/>
        <w:spacing w:line="500" w:lineRule="exact"/>
        <w:ind w:firstLine="480" w:firstLineChars="200"/>
        <w:jc w:val="both"/>
        <w:rPr>
          <w:b w:val="0"/>
          <w:color w:val="auto"/>
        </w:rPr>
      </w:pPr>
      <w:r>
        <w:rPr>
          <w:b w:val="0"/>
          <w:color w:val="auto"/>
        </w:rPr>
        <w:t>热交换系统故障风险：高温SO</w:t>
      </w:r>
      <w:r>
        <w:rPr>
          <w:rFonts w:hint="eastAsia"/>
          <w:b w:val="0"/>
          <w:color w:val="auto"/>
          <w:vertAlign w:val="subscript"/>
        </w:rPr>
        <w:t>2</w:t>
      </w:r>
      <w:r>
        <w:rPr>
          <w:b w:val="0"/>
          <w:color w:val="auto"/>
        </w:rPr>
        <w:t>气体经蒸汽发生器、空气预热器、水冷器换热降温，若换热设备结垢堵塞、冷却系统故障，会导致烟气降温不足，后续吸收塔塔壁腐蚀加剧；若蒸汽系统压力失控，还可能引发设备超压破裂、蒸汽喷溅伤人。</w:t>
      </w:r>
    </w:p>
    <w:p w14:paraId="4C019DC2">
      <w:pPr>
        <w:pStyle w:val="49"/>
        <w:spacing w:line="500" w:lineRule="exact"/>
        <w:ind w:firstLine="480" w:firstLineChars="200"/>
        <w:jc w:val="both"/>
        <w:rPr>
          <w:b w:val="0"/>
          <w:color w:val="auto"/>
        </w:rPr>
      </w:pPr>
      <w:r>
        <w:rPr>
          <w:b w:val="0"/>
          <w:color w:val="auto"/>
        </w:rPr>
        <w:t>（2）亚硫酸盐吸收与浓缩阶段</w:t>
      </w:r>
    </w:p>
    <w:p w14:paraId="4B75F4CC">
      <w:pPr>
        <w:pStyle w:val="49"/>
        <w:spacing w:line="500" w:lineRule="exact"/>
        <w:ind w:firstLine="480" w:firstLineChars="200"/>
        <w:jc w:val="both"/>
        <w:rPr>
          <w:b w:val="0"/>
          <w:color w:val="auto"/>
        </w:rPr>
      </w:pPr>
      <w:r>
        <w:rPr>
          <w:b w:val="0"/>
          <w:color w:val="auto"/>
        </w:rPr>
        <w:t>SO</w:t>
      </w:r>
      <w:r>
        <w:rPr>
          <w:rFonts w:hint="eastAsia"/>
          <w:b w:val="0"/>
          <w:color w:val="auto"/>
          <w:vertAlign w:val="subscript"/>
        </w:rPr>
        <w:t>2</w:t>
      </w:r>
      <w:r>
        <w:rPr>
          <w:b w:val="0"/>
          <w:color w:val="auto"/>
        </w:rPr>
        <w:t>吸收与碱液配比风险：SO</w:t>
      </w:r>
      <w:r>
        <w:rPr>
          <w:rFonts w:hint="eastAsia"/>
          <w:b w:val="0"/>
          <w:color w:val="auto"/>
          <w:vertAlign w:val="subscript"/>
        </w:rPr>
        <w:t>2</w:t>
      </w:r>
      <w:r>
        <w:rPr>
          <w:b w:val="0"/>
          <w:color w:val="auto"/>
        </w:rPr>
        <w:t>气体与氢氧化钾/氢氧化钠/氨水在填料塔内吸收反应，若SO</w:t>
      </w:r>
      <w:r>
        <w:rPr>
          <w:rFonts w:hint="eastAsia"/>
          <w:b w:val="0"/>
          <w:color w:val="auto"/>
          <w:vertAlign w:val="subscript"/>
        </w:rPr>
        <w:t>2</w:t>
      </w:r>
      <w:r>
        <w:rPr>
          <w:b w:val="0"/>
          <w:color w:val="auto"/>
        </w:rPr>
        <w:t>进气流量波动、碱液循环泵故障或液气比失衡，会导致吸收效率下降，SO</w:t>
      </w:r>
      <w:r>
        <w:rPr>
          <w:rFonts w:hint="eastAsia"/>
          <w:b w:val="0"/>
          <w:color w:val="auto"/>
          <w:vertAlign w:val="subscript"/>
        </w:rPr>
        <w:t>2</w:t>
      </w:r>
      <w:r>
        <w:rPr>
          <w:b w:val="0"/>
          <w:color w:val="auto"/>
        </w:rPr>
        <w:t>尾气超标排放；若碱液过量或不足，会导致副反应加剧，生成亚硫酸氢盐或多硫化物，影响产品纯度。</w:t>
      </w:r>
    </w:p>
    <w:p w14:paraId="3E829379">
      <w:pPr>
        <w:pStyle w:val="49"/>
        <w:spacing w:line="500" w:lineRule="exact"/>
        <w:ind w:firstLine="480" w:firstLineChars="200"/>
        <w:jc w:val="both"/>
        <w:rPr>
          <w:b w:val="0"/>
          <w:color w:val="auto"/>
        </w:rPr>
      </w:pPr>
      <w:r>
        <w:rPr>
          <w:b w:val="0"/>
          <w:color w:val="auto"/>
        </w:rPr>
        <w:t>减压浓缩温度与氧化风险：亚硫酸钾/钠溶液减压浓缩过程中，温度需严格控制在≤60℃，若加热系统失控、温度过高，会导致亚硫酸盐分解释放SO</w:t>
      </w:r>
      <w:r>
        <w:rPr>
          <w:rFonts w:hint="eastAsia"/>
          <w:b w:val="0"/>
          <w:color w:val="auto"/>
          <w:vertAlign w:val="subscript"/>
        </w:rPr>
        <w:t>2</w:t>
      </w:r>
      <w:r>
        <w:rPr>
          <w:b w:val="0"/>
          <w:color w:val="auto"/>
        </w:rPr>
        <w:t>或被空气氧化为硫酸盐；若氮气保护不足、系统漏入空气，会加剧物料氧化反应，同时局部放热可能引发溶液爆沸、冲料。</w:t>
      </w:r>
    </w:p>
    <w:p w14:paraId="66A2DCDD">
      <w:pPr>
        <w:pStyle w:val="49"/>
        <w:spacing w:line="500" w:lineRule="exact"/>
        <w:ind w:firstLine="480" w:firstLineChars="200"/>
        <w:jc w:val="both"/>
        <w:rPr>
          <w:b w:val="0"/>
          <w:color w:val="auto"/>
        </w:rPr>
      </w:pPr>
      <w:r>
        <w:rPr>
          <w:b w:val="0"/>
          <w:color w:val="auto"/>
        </w:rPr>
        <w:t>尾气吸收塔运行风险：若吸收液循环中断、塔内填料堵塞或电除雾装置故障，未吸收的SO</w:t>
      </w:r>
      <w:r>
        <w:rPr>
          <w:rFonts w:hint="eastAsia"/>
          <w:b w:val="0"/>
          <w:color w:val="auto"/>
          <w:vertAlign w:val="subscript"/>
        </w:rPr>
        <w:t>2</w:t>
      </w:r>
      <w:r>
        <w:rPr>
          <w:b w:val="0"/>
          <w:color w:val="auto"/>
        </w:rPr>
        <w:t>、氨气将直接外排，引发大气污染与异味扰民；若吸收塔液位控制不当，可能导致倒吸、液泛，造成物料外溢或设备损坏。</w:t>
      </w:r>
    </w:p>
    <w:p w14:paraId="4A56C98E">
      <w:pPr>
        <w:pStyle w:val="49"/>
        <w:spacing w:line="500" w:lineRule="exact"/>
        <w:ind w:firstLine="480" w:firstLineChars="200"/>
        <w:jc w:val="both"/>
        <w:rPr>
          <w:b w:val="0"/>
          <w:color w:val="auto"/>
        </w:rPr>
      </w:pPr>
      <w:r>
        <w:rPr>
          <w:b w:val="0"/>
          <w:color w:val="auto"/>
        </w:rPr>
        <w:t>（3）硫代硫酸盐合成阶段</w:t>
      </w:r>
    </w:p>
    <w:p w14:paraId="1B5A4170">
      <w:pPr>
        <w:pStyle w:val="49"/>
        <w:spacing w:line="500" w:lineRule="exact"/>
        <w:ind w:firstLine="480" w:firstLineChars="200"/>
        <w:jc w:val="both"/>
        <w:rPr>
          <w:b w:val="0"/>
          <w:color w:val="auto"/>
        </w:rPr>
      </w:pPr>
      <w:r>
        <w:rPr>
          <w:b w:val="0"/>
          <w:color w:val="auto"/>
        </w:rPr>
        <w:t>硫代硫酸铵合成风险：亚硫酸氢铵与氨水反应制备亚铵溶液，若氨水加料过快、冷却系统故障，反应放热会导致釜温骤升（超过 60℃），引发亚硫酸铵分解，释放氨气与SO</w:t>
      </w:r>
      <w:r>
        <w:rPr>
          <w:rFonts w:hint="eastAsia"/>
          <w:b w:val="0"/>
          <w:color w:val="auto"/>
          <w:vertAlign w:val="subscript"/>
        </w:rPr>
        <w:t>2</w:t>
      </w:r>
      <w:r>
        <w:rPr>
          <w:b w:val="0"/>
          <w:color w:val="auto"/>
        </w:rPr>
        <w:t>；后续加硫反应阶段，升温至 105℃保温过程中，若蒸汽加热失控、搅拌失效，会导致局部过热，物料分解生成H</w:t>
      </w:r>
      <w:r>
        <w:rPr>
          <w:rFonts w:hint="eastAsia"/>
          <w:b w:val="0"/>
          <w:color w:val="auto"/>
          <w:vertAlign w:val="subscript"/>
        </w:rPr>
        <w:t>2</w:t>
      </w:r>
      <w:r>
        <w:rPr>
          <w:b w:val="0"/>
          <w:color w:val="auto"/>
        </w:rPr>
        <w:t>S、SO</w:t>
      </w:r>
      <w:r>
        <w:rPr>
          <w:rFonts w:hint="eastAsia"/>
          <w:b w:val="0"/>
          <w:color w:val="auto"/>
          <w:vertAlign w:val="subscript"/>
        </w:rPr>
        <w:t>2</w:t>
      </w:r>
      <w:r>
        <w:rPr>
          <w:b w:val="0"/>
          <w:color w:val="auto"/>
        </w:rPr>
        <w:t>等有毒气体，釜内压力骤增可能引发超压泄漏。</w:t>
      </w:r>
    </w:p>
    <w:p w14:paraId="1029ADF3">
      <w:pPr>
        <w:pStyle w:val="49"/>
        <w:spacing w:line="500" w:lineRule="exact"/>
        <w:ind w:firstLine="480" w:firstLineChars="200"/>
        <w:jc w:val="both"/>
        <w:rPr>
          <w:b w:val="0"/>
          <w:color w:val="auto"/>
        </w:rPr>
      </w:pPr>
      <w:r>
        <w:rPr>
          <w:b w:val="0"/>
          <w:color w:val="auto"/>
        </w:rPr>
        <w:t>硫代硫酸钙脱氨风险：硫代硫酸铵与氧化钙反应后，脱氨釜需在≤70℃、-0.085MPa真空条件下脱氨，若真空系统故障（泄漏、真空泵停机），会导致空气倒吸，氨气与空气形成爆炸性混合物；若脱氨温度过高、时间过长，硫代硫酸钙会发生分解，影响产品质量并释放有毒气体。</w:t>
      </w:r>
    </w:p>
    <w:p w14:paraId="0990127B">
      <w:pPr>
        <w:pStyle w:val="49"/>
        <w:spacing w:line="500" w:lineRule="exact"/>
        <w:ind w:firstLine="480" w:firstLineChars="200"/>
        <w:jc w:val="both"/>
        <w:rPr>
          <w:b w:val="0"/>
          <w:color w:val="auto"/>
        </w:rPr>
      </w:pPr>
      <w:r>
        <w:rPr>
          <w:b w:val="0"/>
          <w:color w:val="auto"/>
        </w:rPr>
        <w:t>硫代硫酸镁反应控制风险：碳酸镁溶解产生 CO</w:t>
      </w:r>
      <w:r>
        <w:rPr>
          <w:rFonts w:hint="eastAsia"/>
          <w:b w:val="0"/>
          <w:color w:val="auto"/>
          <w:vertAlign w:val="subscript"/>
        </w:rPr>
        <w:t>2</w:t>
      </w:r>
      <w:r>
        <w:rPr>
          <w:b w:val="0"/>
          <w:color w:val="auto"/>
        </w:rPr>
        <w:t>气体，若加料过快、排气不畅，会导致反应釜内压力骤增；SO</w:t>
      </w:r>
      <w:r>
        <w:rPr>
          <w:rFonts w:hint="eastAsia"/>
          <w:b w:val="0"/>
          <w:color w:val="auto"/>
          <w:vertAlign w:val="subscript"/>
        </w:rPr>
        <w:t>2</w:t>
      </w:r>
      <w:r>
        <w:rPr>
          <w:b w:val="0"/>
          <w:color w:val="auto"/>
        </w:rPr>
        <w:t>通入反应釜制备亚硫酸镁时，若 pH控制不当，会导致副反应加剧；后续加硫升温至 105℃反应过程中，若蒸汽加热不均、搅拌不足，会造成局部过热，物料分解并引发釜内超压。</w:t>
      </w:r>
    </w:p>
    <w:p w14:paraId="06DE47FA">
      <w:pPr>
        <w:pStyle w:val="49"/>
        <w:spacing w:line="500" w:lineRule="exact"/>
        <w:ind w:firstLine="480" w:firstLineChars="200"/>
        <w:jc w:val="both"/>
        <w:rPr>
          <w:b w:val="0"/>
          <w:color w:val="auto"/>
        </w:rPr>
      </w:pPr>
      <w:r>
        <w:rPr>
          <w:b w:val="0"/>
          <w:color w:val="auto"/>
        </w:rPr>
        <w:t>硫代硫酸钾氧化与分解风险：亚硫酸钾溶液与硫磺反应过程中，温度需控制在 90~100℃，若温度过高或系统漏入空气，会导致硫代硫酸钾氧化分解，生成硫酸盐、多硫化物并释放SO</w:t>
      </w:r>
      <w:r>
        <w:rPr>
          <w:rFonts w:hint="eastAsia"/>
          <w:b w:val="0"/>
          <w:color w:val="auto"/>
          <w:vertAlign w:val="subscript"/>
        </w:rPr>
        <w:t>2</w:t>
      </w:r>
      <w:r>
        <w:rPr>
          <w:b w:val="0"/>
          <w:color w:val="auto"/>
        </w:rPr>
        <w:t>；反应釜若密封不良，分解产生的气体积聚可能引发超压泄漏。</w:t>
      </w:r>
    </w:p>
    <w:p w14:paraId="3CD12DE7">
      <w:pPr>
        <w:pStyle w:val="49"/>
        <w:spacing w:line="500" w:lineRule="exact"/>
        <w:ind w:firstLine="480" w:firstLineChars="200"/>
        <w:jc w:val="both"/>
        <w:rPr>
          <w:b w:val="0"/>
          <w:color w:val="auto"/>
        </w:rPr>
      </w:pPr>
      <w:r>
        <w:rPr>
          <w:b w:val="0"/>
          <w:color w:val="auto"/>
        </w:rPr>
        <w:t>（4）结晶、离心与干燥阶段</w:t>
      </w:r>
    </w:p>
    <w:p w14:paraId="72C328B1">
      <w:pPr>
        <w:pStyle w:val="49"/>
        <w:spacing w:line="500" w:lineRule="exact"/>
        <w:ind w:firstLine="480" w:firstLineChars="200"/>
        <w:jc w:val="both"/>
        <w:rPr>
          <w:b w:val="0"/>
          <w:color w:val="auto"/>
        </w:rPr>
      </w:pPr>
      <w:r>
        <w:rPr>
          <w:b w:val="0"/>
          <w:color w:val="auto"/>
        </w:rPr>
        <w:t>结晶过程风险：亚硫酸钾/钠溶液冷却结晶过程中，若降温速率过快、搅拌不均，会导致结晶颗粒过小，后续离心分离困难；若结晶温度控制不当，可能引发晶体结块、挂壁，堵塞设备管道。</w:t>
      </w:r>
    </w:p>
    <w:p w14:paraId="2C6D2F49">
      <w:pPr>
        <w:pStyle w:val="49"/>
        <w:spacing w:line="500" w:lineRule="exact"/>
        <w:ind w:firstLine="480" w:firstLineChars="200"/>
        <w:jc w:val="both"/>
        <w:rPr>
          <w:b w:val="0"/>
          <w:color w:val="auto"/>
        </w:rPr>
      </w:pPr>
      <w:r>
        <w:rPr>
          <w:b w:val="0"/>
          <w:color w:val="auto"/>
        </w:rPr>
        <w:t>离心分离风险：离心机运行过程中，若设备动平衡失效、转速失控，会引发剧烈振动甚至设备解体；若离心机密封不良，物料粉尘外溢会刺激呼吸道，且亚硫酸盐粉尘遇高温、静电存在粉尘爆炸风险；离心母液若泄漏，会造成土壤与水体污染。</w:t>
      </w:r>
    </w:p>
    <w:p w14:paraId="09DE5F74">
      <w:pPr>
        <w:pStyle w:val="49"/>
        <w:spacing w:line="500" w:lineRule="exact"/>
        <w:ind w:firstLine="480" w:firstLineChars="200"/>
        <w:jc w:val="both"/>
        <w:rPr>
          <w:b w:val="0"/>
          <w:color w:val="auto"/>
        </w:rPr>
      </w:pPr>
      <w:r>
        <w:rPr>
          <w:b w:val="0"/>
          <w:color w:val="auto"/>
        </w:rPr>
        <w:t>真空干燥氧化风险：亚硫酸盐晶体真空干燥过程中，需氮气保护防止氧化，若真空系统故障、氮气置换不彻底，空气进入干燥箱会导致晶体氧化、变色；若干燥温度过高、时间过长，晶体可能分解粉化，甚至引发粉尘自燃或爆炸。</w:t>
      </w:r>
    </w:p>
    <w:p w14:paraId="54A9C64F">
      <w:pPr>
        <w:pStyle w:val="49"/>
        <w:spacing w:line="500" w:lineRule="exact"/>
        <w:ind w:firstLine="480" w:firstLineChars="200"/>
        <w:jc w:val="both"/>
        <w:rPr>
          <w:b w:val="0"/>
          <w:color w:val="auto"/>
        </w:rPr>
      </w:pPr>
      <w:r>
        <w:rPr>
          <w:b w:val="0"/>
          <w:color w:val="auto"/>
        </w:rPr>
        <w:t>（5）尾气处理与公用工程阶段</w:t>
      </w:r>
    </w:p>
    <w:p w14:paraId="4EE3604C">
      <w:pPr>
        <w:pStyle w:val="49"/>
        <w:spacing w:line="500" w:lineRule="exact"/>
        <w:ind w:firstLine="480" w:firstLineChars="200"/>
        <w:jc w:val="both"/>
        <w:rPr>
          <w:b w:val="0"/>
          <w:color w:val="auto"/>
        </w:rPr>
      </w:pPr>
      <w:r>
        <w:rPr>
          <w:b w:val="0"/>
          <w:color w:val="auto"/>
        </w:rPr>
        <w:t>废气吸收系统故障风险：各阶段产生的含氨、含硫废气均经水/氨水吸收处理，若吸收液循环泵故障、吸收塔填料堵塞，会导致废气直排，引发环境与职业健康风险；若吸收液浓度过高或过低，会影响吸收效率，甚至产生二次污染物。</w:t>
      </w:r>
    </w:p>
    <w:p w14:paraId="5D553178">
      <w:pPr>
        <w:pStyle w:val="49"/>
        <w:spacing w:line="500" w:lineRule="exact"/>
        <w:ind w:firstLine="480" w:firstLineChars="200"/>
        <w:jc w:val="both"/>
        <w:rPr>
          <w:b w:val="0"/>
          <w:color w:val="auto"/>
        </w:rPr>
      </w:pPr>
      <w:r>
        <w:rPr>
          <w:b w:val="0"/>
          <w:color w:val="auto"/>
        </w:rPr>
        <w:t>冷却与循环水系统风险：反应釜、冷凝器的冷却水中断时，反应放热无法及时移除，会导致釜内温度、压力骤升，引发物料分解、冲料甚至设备爆炸；若冷却盘管腐蚀穿孔，冷却水泄漏会污染反应物料，导致反应失控。</w:t>
      </w:r>
    </w:p>
    <w:p w14:paraId="586CE8A9">
      <w:pPr>
        <w:pStyle w:val="5"/>
        <w:spacing w:before="156"/>
        <w:rPr>
          <w:color w:val="auto"/>
        </w:rPr>
      </w:pPr>
      <w:r>
        <w:rPr>
          <w:color w:val="auto"/>
        </w:rPr>
        <w:t>4.</w:t>
      </w:r>
      <w:r>
        <w:rPr>
          <w:rFonts w:hint="eastAsia"/>
          <w:color w:val="auto"/>
        </w:rPr>
        <w:t>7</w:t>
      </w:r>
      <w:r>
        <w:rPr>
          <w:color w:val="auto"/>
        </w:rPr>
        <w:t>.2.2生产装置的危险有害因素识别</w:t>
      </w:r>
    </w:p>
    <w:p w14:paraId="7D8493DC">
      <w:pPr>
        <w:ind w:firstLine="484"/>
        <w:rPr>
          <w:rFonts w:cs="宋体"/>
          <w:color w:val="auto"/>
        </w:rPr>
      </w:pPr>
      <w:r>
        <w:rPr>
          <w:rFonts w:hint="eastAsia" w:cs="宋体"/>
          <w:color w:val="auto"/>
          <w:spacing w:val="1"/>
        </w:rPr>
        <w:t>拟建</w:t>
      </w:r>
      <w:r>
        <w:rPr>
          <w:rFonts w:cs="宋体"/>
          <w:color w:val="auto"/>
          <w:spacing w:val="1"/>
        </w:rPr>
        <w:t>生产过程</w:t>
      </w:r>
      <w:r>
        <w:rPr>
          <w:rFonts w:hint="eastAsia" w:cs="宋体"/>
          <w:color w:val="auto"/>
          <w:spacing w:val="1"/>
        </w:rPr>
        <w:t>中生产装置</w:t>
      </w:r>
      <w:r>
        <w:rPr>
          <w:rFonts w:cs="宋体"/>
          <w:color w:val="auto"/>
          <w:spacing w:val="1"/>
        </w:rPr>
        <w:t>所涉及到的危险化学品为可燃液体和毒害品，因此，</w:t>
      </w:r>
      <w:r>
        <w:rPr>
          <w:rFonts w:hint="eastAsia" w:cs="宋体"/>
          <w:color w:val="auto"/>
          <w:spacing w:val="1"/>
        </w:rPr>
        <w:t>拟建</w:t>
      </w:r>
      <w:r>
        <w:rPr>
          <w:rFonts w:cs="宋体"/>
          <w:color w:val="auto"/>
          <w:spacing w:val="1"/>
        </w:rPr>
        <w:t>在生产过程中存在火灾爆炸、中</w:t>
      </w:r>
      <w:r>
        <w:rPr>
          <w:rFonts w:cs="宋体"/>
          <w:color w:val="auto"/>
          <w:spacing w:val="-6"/>
        </w:rPr>
        <w:t>毒和窒息、容器爆炸、灼烫、机械伤害、触电、高处坠落、物体打击、车辆伤害、淹溺、</w:t>
      </w:r>
      <w:r>
        <w:rPr>
          <w:rFonts w:cs="宋体"/>
          <w:color w:val="auto"/>
          <w:spacing w:val="-2"/>
        </w:rPr>
        <w:t>坍塌、毒物危害、噪声、振动、高温等危险、有害因素。</w:t>
      </w:r>
    </w:p>
    <w:p w14:paraId="2B3C094A">
      <w:pPr>
        <w:ind w:firstLine="452"/>
        <w:rPr>
          <w:rFonts w:cs="宋体"/>
          <w:color w:val="auto"/>
        </w:rPr>
      </w:pPr>
      <w:r>
        <w:rPr>
          <w:color w:val="auto"/>
          <w:spacing w:val="-7"/>
        </w:rPr>
        <w:t>1</w:t>
      </w:r>
      <w:r>
        <w:rPr>
          <w:rFonts w:cs="宋体"/>
          <w:color w:val="auto"/>
          <w:spacing w:val="-7"/>
        </w:rPr>
        <w:t>、火灾爆炸</w:t>
      </w:r>
    </w:p>
    <w:p w14:paraId="77EF8D65">
      <w:pPr>
        <w:ind w:firstLine="452"/>
        <w:rPr>
          <w:rFonts w:cs="宋体"/>
          <w:color w:val="auto"/>
        </w:rPr>
      </w:pPr>
      <w:r>
        <w:rPr>
          <w:color w:val="auto"/>
          <w:spacing w:val="-7"/>
        </w:rPr>
        <w:t>1</w:t>
      </w:r>
      <w:r>
        <w:rPr>
          <w:rFonts w:cs="宋体"/>
          <w:color w:val="auto"/>
          <w:spacing w:val="-7"/>
        </w:rPr>
        <w:t>）在生产过程中涉及的</w:t>
      </w:r>
      <w:r>
        <w:rPr>
          <w:rFonts w:hint="eastAsia" w:cs="宋体"/>
          <w:color w:val="auto"/>
          <w:spacing w:val="-7"/>
        </w:rPr>
        <w:t>乙酸</w:t>
      </w:r>
      <w:r>
        <w:rPr>
          <w:rFonts w:cs="宋体"/>
          <w:color w:val="auto"/>
          <w:spacing w:val="-7"/>
        </w:rPr>
        <w:t>、液氨、乙腈、丙酮等为甲、乙类火灾危险物</w:t>
      </w:r>
      <w:r>
        <w:rPr>
          <w:rFonts w:cs="宋体"/>
          <w:color w:val="auto"/>
          <w:spacing w:val="-8"/>
        </w:rPr>
        <w:t>质，为易</w:t>
      </w:r>
      <w:r>
        <w:rPr>
          <w:rFonts w:cs="宋体"/>
          <w:color w:val="auto"/>
          <w:spacing w:val="1"/>
        </w:rPr>
        <w:t>燃物质，如果一旦上述物质泄露，遇到明火、电气火花及静电火花即可发生火灾或者爆</w:t>
      </w:r>
      <w:r>
        <w:rPr>
          <w:rFonts w:cs="宋体"/>
          <w:color w:val="auto"/>
          <w:spacing w:val="-12"/>
        </w:rPr>
        <w:t>炸。</w:t>
      </w:r>
    </w:p>
    <w:p w14:paraId="7BD7FE82">
      <w:pPr>
        <w:ind w:firstLine="472"/>
        <w:rPr>
          <w:rFonts w:cs="宋体"/>
          <w:color w:val="auto"/>
        </w:rPr>
      </w:pPr>
      <w:r>
        <w:rPr>
          <w:color w:val="auto"/>
          <w:spacing w:val="-2"/>
        </w:rPr>
        <w:t>2</w:t>
      </w:r>
      <w:r>
        <w:rPr>
          <w:rFonts w:cs="宋体"/>
          <w:color w:val="auto"/>
          <w:spacing w:val="-2"/>
        </w:rPr>
        <w:t>）局部设备检修，未经批准在禁火区或反应器中违章施焊时，有引燃其他场所易燃物料或塔、反应器中残余物料发生火灾、爆炸的危险。</w:t>
      </w:r>
    </w:p>
    <w:p w14:paraId="3E881876">
      <w:pPr>
        <w:ind w:firstLine="480"/>
        <w:rPr>
          <w:rFonts w:cs="宋体"/>
          <w:color w:val="auto"/>
        </w:rPr>
      </w:pPr>
      <w:r>
        <w:rPr>
          <w:color w:val="auto"/>
        </w:rPr>
        <w:t>3</w:t>
      </w:r>
      <w:r>
        <w:rPr>
          <w:rFonts w:cs="宋体"/>
          <w:color w:val="auto"/>
        </w:rPr>
        <w:t>）易燃易爆物料的管道、设备、贮罐若无静电接地、无跨接或静电接</w:t>
      </w:r>
      <w:r>
        <w:rPr>
          <w:rFonts w:cs="宋体"/>
          <w:color w:val="auto"/>
          <w:spacing w:val="-1"/>
        </w:rPr>
        <w:t>地电阻超标，遭遇雷击或静电不能及时有序的放电时，有引燃物料造成</w:t>
      </w:r>
      <w:r>
        <w:rPr>
          <w:rFonts w:cs="宋体"/>
          <w:color w:val="auto"/>
          <w:spacing w:val="-2"/>
        </w:rPr>
        <w:t>火灾、爆炸的危险。</w:t>
      </w:r>
    </w:p>
    <w:p w14:paraId="0BA2E090">
      <w:pPr>
        <w:ind w:firstLine="472"/>
        <w:rPr>
          <w:rFonts w:cs="宋体"/>
          <w:color w:val="auto"/>
        </w:rPr>
      </w:pPr>
      <w:r>
        <w:rPr>
          <w:color w:val="auto"/>
          <w:spacing w:val="-2"/>
        </w:rPr>
        <w:t>4</w:t>
      </w:r>
      <w:r>
        <w:rPr>
          <w:rFonts w:cs="宋体"/>
          <w:color w:val="auto"/>
          <w:spacing w:val="-2"/>
        </w:rPr>
        <w:t>）开车前、停车后整个生产系统内的易燃易爆性危险化学品，没有整体置换或置换</w:t>
      </w:r>
      <w:r>
        <w:rPr>
          <w:rFonts w:cs="宋体"/>
          <w:color w:val="auto"/>
          <w:spacing w:val="1"/>
        </w:rPr>
        <w:t>不完全，温度较高时吸入空气形成爆炸性混合气体，遇明火、火花有引发火灾爆炸的危</w:t>
      </w:r>
      <w:r>
        <w:rPr>
          <w:rFonts w:cs="宋体"/>
          <w:color w:val="auto"/>
          <w:spacing w:val="-12"/>
        </w:rPr>
        <w:t>险。</w:t>
      </w:r>
    </w:p>
    <w:p w14:paraId="6CB653B2">
      <w:pPr>
        <w:ind w:firstLine="472"/>
        <w:rPr>
          <w:rFonts w:cs="宋体"/>
          <w:color w:val="auto"/>
        </w:rPr>
      </w:pPr>
      <w:r>
        <w:rPr>
          <w:color w:val="auto"/>
          <w:spacing w:val="-2"/>
        </w:rPr>
        <w:t>5</w:t>
      </w:r>
      <w:r>
        <w:rPr>
          <w:rFonts w:cs="宋体"/>
          <w:color w:val="auto"/>
          <w:spacing w:val="-2"/>
        </w:rPr>
        <w:t>）易燃、易爆危险作业场所，如果电器装置、开关、照明设施不</w:t>
      </w:r>
      <w:r>
        <w:rPr>
          <w:rFonts w:cs="宋体"/>
          <w:color w:val="auto"/>
          <w:spacing w:val="-3"/>
        </w:rPr>
        <w:t>防爆或防爆等级不</w:t>
      </w:r>
      <w:r>
        <w:rPr>
          <w:rFonts w:cs="宋体"/>
          <w:color w:val="auto"/>
          <w:spacing w:val="-2"/>
        </w:rPr>
        <w:t>能满足国家规范、标准要求，有电火花引发火灾爆炸的危险。</w:t>
      </w:r>
    </w:p>
    <w:p w14:paraId="4DE85FED">
      <w:pPr>
        <w:ind w:firstLine="468"/>
        <w:rPr>
          <w:rFonts w:cs="宋体"/>
          <w:color w:val="auto"/>
        </w:rPr>
      </w:pPr>
      <w:r>
        <w:rPr>
          <w:color w:val="auto"/>
          <w:spacing w:val="-3"/>
        </w:rPr>
        <w:t>6</w:t>
      </w:r>
      <w:r>
        <w:rPr>
          <w:rFonts w:cs="宋体"/>
          <w:color w:val="auto"/>
          <w:spacing w:val="-3"/>
        </w:rPr>
        <w:t>）引起物料火灾爆炸危险的火源主要可能来自以下途径：</w:t>
      </w:r>
    </w:p>
    <w:p w14:paraId="3825E767">
      <w:pPr>
        <w:ind w:firstLine="456"/>
        <w:rPr>
          <w:rFonts w:cs="宋体"/>
          <w:color w:val="auto"/>
        </w:rPr>
      </w:pPr>
      <w:r>
        <w:rPr>
          <w:rFonts w:cs="宋体"/>
          <w:color w:val="auto"/>
          <w:spacing w:val="-6"/>
        </w:rPr>
        <w:t>①明火：生产场所存在的明火源可能有：</w:t>
      </w:r>
    </w:p>
    <w:p w14:paraId="162F4420">
      <w:pPr>
        <w:ind w:firstLine="468"/>
        <w:rPr>
          <w:rFonts w:cs="宋体"/>
          <w:color w:val="auto"/>
        </w:rPr>
      </w:pPr>
      <w:r>
        <w:rPr>
          <w:rFonts w:cs="宋体"/>
          <w:color w:val="auto"/>
          <w:spacing w:val="-3"/>
        </w:rPr>
        <w:t>生产过程中明火使用不慎可能引起意外失火。</w:t>
      </w:r>
    </w:p>
    <w:p w14:paraId="16B1705B">
      <w:pPr>
        <w:ind w:firstLine="472"/>
        <w:rPr>
          <w:rFonts w:cs="宋体"/>
          <w:color w:val="auto"/>
        </w:rPr>
      </w:pPr>
      <w:r>
        <w:rPr>
          <w:rFonts w:cs="宋体"/>
          <w:color w:val="auto"/>
          <w:spacing w:val="-2"/>
        </w:rPr>
        <w:t>检修动火：生产设备检修使用切割、焊接等作业产生明火源。</w:t>
      </w:r>
    </w:p>
    <w:p w14:paraId="71B9A8F1">
      <w:pPr>
        <w:ind w:firstLine="452"/>
        <w:rPr>
          <w:rFonts w:cs="宋体"/>
          <w:color w:val="auto"/>
        </w:rPr>
      </w:pPr>
      <w:r>
        <w:rPr>
          <w:rFonts w:cs="宋体"/>
          <w:color w:val="auto"/>
          <w:spacing w:val="-7"/>
        </w:rPr>
        <w:t>在爆炸危险区域内，使用非防爆电器、普通灯具照明、吸烟和携带火种等</w:t>
      </w:r>
      <w:r>
        <w:rPr>
          <w:rFonts w:cs="宋体"/>
          <w:color w:val="auto"/>
          <w:spacing w:val="-8"/>
        </w:rPr>
        <w:t>，都有引起</w:t>
      </w:r>
      <w:r>
        <w:rPr>
          <w:rFonts w:cs="宋体"/>
          <w:color w:val="auto"/>
          <w:spacing w:val="-6"/>
        </w:rPr>
        <w:t>火灾危险的可能。</w:t>
      </w:r>
    </w:p>
    <w:p w14:paraId="6291A736">
      <w:pPr>
        <w:ind w:firstLine="476"/>
        <w:rPr>
          <w:rFonts w:cs="宋体"/>
          <w:color w:val="auto"/>
        </w:rPr>
      </w:pPr>
      <w:r>
        <w:rPr>
          <w:rFonts w:cs="宋体"/>
          <w:color w:val="auto"/>
          <w:spacing w:val="-1"/>
        </w:rPr>
        <w:t>②摩擦与撞击</w:t>
      </w:r>
    </w:p>
    <w:p w14:paraId="21CDF414">
      <w:pPr>
        <w:ind w:firstLine="484"/>
        <w:rPr>
          <w:rFonts w:cs="宋体"/>
          <w:color w:val="auto"/>
        </w:rPr>
      </w:pPr>
      <w:r>
        <w:rPr>
          <w:rFonts w:cs="宋体"/>
          <w:color w:val="auto"/>
          <w:spacing w:val="1"/>
        </w:rPr>
        <w:t>摩擦与撞击往往成为引起火灾爆炸事故的原因。如机器上轴承等摩擦部位发热；金属零件、铁钉等落入设备内，由于铁器和机件的撞击起火；铁器工具相撞击或与混凝土地面撞击发生火花；导管或容器破裂，内部溶液和气体喷出时摩擦起火；穿带钉鞋进行</w:t>
      </w:r>
      <w:r>
        <w:rPr>
          <w:rFonts w:cs="宋体"/>
          <w:color w:val="auto"/>
          <w:spacing w:val="-3"/>
        </w:rPr>
        <w:t>作业等会引起碰撞或摩擦火花。</w:t>
      </w:r>
    </w:p>
    <w:p w14:paraId="346E7829">
      <w:pPr>
        <w:ind w:firstLine="476"/>
        <w:rPr>
          <w:rFonts w:cs="宋体"/>
          <w:color w:val="auto"/>
        </w:rPr>
      </w:pPr>
      <w:r>
        <w:rPr>
          <w:rFonts w:cs="宋体"/>
          <w:color w:val="auto"/>
          <w:spacing w:val="-1"/>
        </w:rPr>
        <w:t>③静电火花</w:t>
      </w:r>
    </w:p>
    <w:p w14:paraId="2CC2A00F">
      <w:pPr>
        <w:ind w:firstLine="484"/>
        <w:rPr>
          <w:rFonts w:cs="宋体"/>
          <w:color w:val="auto"/>
          <w:spacing w:val="1"/>
        </w:rPr>
      </w:pPr>
      <w:r>
        <w:rPr>
          <w:rFonts w:cs="宋体"/>
          <w:color w:val="auto"/>
          <w:spacing w:val="1"/>
        </w:rPr>
        <w:t>物料在设备管道内流动时会因与管道摩擦而产生静电，工人穿非棉制工作服操作过程中与设备摩擦等都有可能产生静电火花，若静电导除不良，有可能因静电积累而产生静电火花。</w:t>
      </w:r>
    </w:p>
    <w:p w14:paraId="03B7BAAA">
      <w:pPr>
        <w:ind w:firstLine="460"/>
        <w:rPr>
          <w:rFonts w:cs="宋体"/>
          <w:color w:val="auto"/>
        </w:rPr>
      </w:pPr>
      <w:r>
        <w:rPr>
          <w:rFonts w:cs="宋体"/>
          <w:color w:val="auto"/>
          <w:spacing w:val="-5"/>
        </w:rPr>
        <w:t>④雷电</w:t>
      </w:r>
    </w:p>
    <w:p w14:paraId="4D363011">
      <w:pPr>
        <w:ind w:firstLine="460"/>
        <w:rPr>
          <w:rFonts w:cs="宋体"/>
          <w:color w:val="auto"/>
        </w:rPr>
      </w:pPr>
      <w:r>
        <w:rPr>
          <w:rFonts w:cs="宋体"/>
          <w:color w:val="auto"/>
          <w:spacing w:val="-5"/>
        </w:rPr>
        <w:t>若防雷设施不齐全或储罐、建（构）筑物防雷接地措施不符合要求，雷电产生的</w:t>
      </w:r>
      <w:r>
        <w:rPr>
          <w:rFonts w:cs="宋体"/>
          <w:color w:val="auto"/>
          <w:spacing w:val="-6"/>
        </w:rPr>
        <w:t>火花</w:t>
      </w:r>
      <w:r>
        <w:rPr>
          <w:rFonts w:cs="宋体"/>
          <w:color w:val="auto"/>
          <w:spacing w:val="-4"/>
        </w:rPr>
        <w:t>极易引起火灾爆炸事故。</w:t>
      </w:r>
    </w:p>
    <w:p w14:paraId="29AC8DE3">
      <w:pPr>
        <w:ind w:firstLine="460"/>
        <w:rPr>
          <w:rFonts w:cs="宋体"/>
          <w:color w:val="auto"/>
        </w:rPr>
      </w:pPr>
      <w:r>
        <w:rPr>
          <w:color w:val="auto"/>
          <w:spacing w:val="-5"/>
        </w:rPr>
        <w:t>7</w:t>
      </w:r>
      <w:r>
        <w:rPr>
          <w:rFonts w:cs="宋体"/>
          <w:color w:val="auto"/>
          <w:spacing w:val="-5"/>
        </w:rPr>
        <w:t>）反应釜反应中若反应温度控制不当、监控不力等原因造成反应温度</w:t>
      </w:r>
      <w:r>
        <w:rPr>
          <w:rFonts w:cs="宋体"/>
          <w:color w:val="auto"/>
          <w:spacing w:val="-6"/>
        </w:rPr>
        <w:t>失控，温度过</w:t>
      </w:r>
      <w:r>
        <w:rPr>
          <w:rFonts w:cs="宋体"/>
          <w:color w:val="auto"/>
          <w:spacing w:val="-3"/>
        </w:rPr>
        <w:t>高或物料溢出，有发生火灾、爆炸的危险。</w:t>
      </w:r>
    </w:p>
    <w:p w14:paraId="1849D332">
      <w:pPr>
        <w:ind w:firstLine="468"/>
        <w:rPr>
          <w:rFonts w:cs="宋体"/>
          <w:color w:val="auto"/>
        </w:rPr>
      </w:pPr>
      <w:r>
        <w:rPr>
          <w:color w:val="auto"/>
          <w:spacing w:val="-3"/>
        </w:rPr>
        <w:t>8</w:t>
      </w:r>
      <w:r>
        <w:rPr>
          <w:rFonts w:cs="宋体"/>
          <w:color w:val="auto"/>
          <w:spacing w:val="-3"/>
        </w:rPr>
        <w:t>）易燃爆危险作业场所的电气装置、开关、照明设施不防爆或防爆等级不能满足国</w:t>
      </w:r>
      <w:r>
        <w:rPr>
          <w:rFonts w:cs="宋体"/>
          <w:color w:val="auto"/>
          <w:spacing w:val="-2"/>
        </w:rPr>
        <w:t>家规范、标准要求，有因产生电火花导致火灾爆炸的危险。</w:t>
      </w:r>
    </w:p>
    <w:p w14:paraId="14741B23">
      <w:pPr>
        <w:ind w:firstLine="452"/>
        <w:rPr>
          <w:rFonts w:cs="宋体"/>
          <w:color w:val="auto"/>
        </w:rPr>
      </w:pPr>
      <w:r>
        <w:rPr>
          <w:color w:val="auto"/>
          <w:spacing w:val="-7"/>
        </w:rPr>
        <w:t>9</w:t>
      </w:r>
      <w:r>
        <w:rPr>
          <w:rFonts w:cs="宋体"/>
          <w:color w:val="auto"/>
          <w:spacing w:val="-7"/>
        </w:rPr>
        <w:t>）火灾爆炸危险场所未设置可燃、有毒气体报警仪，生产场所通风不良，当泄漏的</w:t>
      </w:r>
      <w:r>
        <w:rPr>
          <w:rFonts w:cs="宋体"/>
          <w:color w:val="auto"/>
          <w:spacing w:val="-2"/>
        </w:rPr>
        <w:t>可燃、有毒气体积聚达到爆炸极限范围时，遇火源将造成火灾爆炸事故。</w:t>
      </w:r>
    </w:p>
    <w:p w14:paraId="7D001E7A">
      <w:pPr>
        <w:ind w:firstLine="456"/>
        <w:rPr>
          <w:rFonts w:cs="宋体"/>
          <w:color w:val="auto"/>
        </w:rPr>
      </w:pPr>
      <w:r>
        <w:rPr>
          <w:color w:val="auto"/>
          <w:spacing w:val="-6"/>
        </w:rPr>
        <w:t>10</w:t>
      </w:r>
      <w:r>
        <w:rPr>
          <w:rFonts w:cs="宋体"/>
          <w:color w:val="auto"/>
          <w:spacing w:val="-6"/>
        </w:rPr>
        <w:t>）建筑物、物料管道等部位，没有避雷设施或避雷设施不健全、引下线断线、接地</w:t>
      </w:r>
      <w:r>
        <w:rPr>
          <w:rFonts w:cs="宋体"/>
          <w:color w:val="auto"/>
          <w:spacing w:val="-4"/>
        </w:rPr>
        <w:t>电阻超标，容易遭受雷击而引发火灾爆炸事故。</w:t>
      </w:r>
    </w:p>
    <w:p w14:paraId="2C56FD95">
      <w:pPr>
        <w:ind w:firstLine="456"/>
        <w:rPr>
          <w:rFonts w:cs="宋体"/>
          <w:color w:val="auto"/>
        </w:rPr>
      </w:pPr>
      <w:r>
        <w:rPr>
          <w:color w:val="auto"/>
          <w:spacing w:val="-6"/>
        </w:rPr>
        <w:t>11</w:t>
      </w:r>
      <w:r>
        <w:rPr>
          <w:rFonts w:cs="宋体"/>
          <w:color w:val="auto"/>
          <w:spacing w:val="-6"/>
        </w:rPr>
        <w:t>）禁火区内未严格执行动火制度，违章进行动火作业，可能因施焊造成明火引发火</w:t>
      </w:r>
      <w:r>
        <w:rPr>
          <w:rFonts w:cs="宋体"/>
          <w:color w:val="auto"/>
          <w:spacing w:val="-7"/>
        </w:rPr>
        <w:t>灾爆炸事故。</w:t>
      </w:r>
    </w:p>
    <w:p w14:paraId="29F2B28E">
      <w:pPr>
        <w:ind w:firstLine="448"/>
        <w:rPr>
          <w:rFonts w:cs="宋体"/>
          <w:color w:val="auto"/>
        </w:rPr>
      </w:pPr>
      <w:r>
        <w:rPr>
          <w:color w:val="auto"/>
          <w:spacing w:val="-8"/>
        </w:rPr>
        <w:t>12</w:t>
      </w:r>
      <w:r>
        <w:rPr>
          <w:rFonts w:cs="宋体"/>
          <w:color w:val="auto"/>
          <w:spacing w:val="-8"/>
        </w:rPr>
        <w:t>）没有建立健全安全管理制度，导致管理混乱，工人责任心不强、技术素质差，违</w:t>
      </w:r>
      <w:r>
        <w:rPr>
          <w:rFonts w:cs="宋体"/>
          <w:color w:val="auto"/>
          <w:spacing w:val="-10"/>
        </w:rPr>
        <w:t>章、盲目、误操作，或有关人员在现场私自吸烟、存放易燃易爆物品，从而引发火灾爆炸的危险。</w:t>
      </w:r>
    </w:p>
    <w:p w14:paraId="7A2E441A">
      <w:pPr>
        <w:ind w:firstLine="484"/>
        <w:rPr>
          <w:rFonts w:cs="宋体"/>
          <w:color w:val="auto"/>
        </w:rPr>
      </w:pPr>
      <w:r>
        <w:rPr>
          <w:color w:val="auto"/>
          <w:spacing w:val="1"/>
        </w:rPr>
        <w:t>13</w:t>
      </w:r>
      <w:r>
        <w:rPr>
          <w:rFonts w:cs="宋体"/>
          <w:color w:val="auto"/>
          <w:spacing w:val="1"/>
        </w:rPr>
        <w:t>）企业若没有根据生产实际情况编制事故</w:t>
      </w:r>
      <w:r>
        <w:rPr>
          <w:rFonts w:cs="宋体"/>
          <w:color w:val="auto"/>
        </w:rPr>
        <w:t>应急救援预案，或有预案没有定期组织</w:t>
      </w:r>
      <w:r>
        <w:rPr>
          <w:rFonts w:cs="宋体"/>
          <w:color w:val="auto"/>
          <w:spacing w:val="-1"/>
        </w:rPr>
        <w:t>培训演练，出现物料泄漏等突发事故不能、不会处理，有</w:t>
      </w:r>
      <w:r>
        <w:rPr>
          <w:rFonts w:cs="宋体"/>
          <w:color w:val="auto"/>
          <w:spacing w:val="-2"/>
        </w:rPr>
        <w:t>引发火灾爆炸的危险。</w:t>
      </w:r>
    </w:p>
    <w:p w14:paraId="3BEDE5C3">
      <w:pPr>
        <w:ind w:firstLine="452"/>
        <w:rPr>
          <w:rFonts w:cs="宋体"/>
          <w:color w:val="auto"/>
        </w:rPr>
      </w:pPr>
      <w:r>
        <w:rPr>
          <w:color w:val="auto"/>
          <w:spacing w:val="-7"/>
        </w:rPr>
        <w:t>14</w:t>
      </w:r>
      <w:r>
        <w:rPr>
          <w:rFonts w:cs="宋体"/>
          <w:color w:val="auto"/>
          <w:spacing w:val="-7"/>
        </w:rPr>
        <w:t>）各种电气设备的电气控制箱柜、电气线路、电气开关等既是点火源也是可燃物，</w:t>
      </w:r>
      <w:r>
        <w:rPr>
          <w:rFonts w:cs="宋体"/>
          <w:color w:val="auto"/>
          <w:spacing w:val="-2"/>
        </w:rPr>
        <w:t>当线路老化、绝缘下降，短路超负荷等都会引起局部过热而引发电气火灾。</w:t>
      </w:r>
    </w:p>
    <w:p w14:paraId="6496F4A4">
      <w:pPr>
        <w:widowControl/>
        <w:overflowPunct w:val="0"/>
        <w:ind w:firstLine="484"/>
        <w:rPr>
          <w:color w:val="auto"/>
          <w:kern w:val="0"/>
        </w:rPr>
      </w:pPr>
      <w:r>
        <w:rPr>
          <w:color w:val="auto"/>
          <w:spacing w:val="1"/>
        </w:rPr>
        <w:t>15</w:t>
      </w:r>
      <w:r>
        <w:rPr>
          <w:rFonts w:cs="宋体"/>
          <w:color w:val="auto"/>
          <w:spacing w:val="1"/>
        </w:rPr>
        <w:t>）爆炸和火灾危险场所使用的仪器、仪表</w:t>
      </w:r>
      <w:r>
        <w:rPr>
          <w:rFonts w:cs="宋体"/>
          <w:color w:val="auto"/>
        </w:rPr>
        <w:t xml:space="preserve">如果防爆等级不足、选型不当或安装不 </w:t>
      </w:r>
      <w:r>
        <w:rPr>
          <w:rFonts w:cs="宋体"/>
          <w:color w:val="auto"/>
          <w:spacing w:val="-1"/>
        </w:rPr>
        <w:t>规范等，在使用过程中有电火花产生，有引燃爆炸混合气体发</w:t>
      </w:r>
      <w:r>
        <w:rPr>
          <w:rFonts w:cs="宋体"/>
          <w:color w:val="auto"/>
          <w:spacing w:val="-2"/>
        </w:rPr>
        <w:t>生火灾爆炸的危险。</w:t>
      </w:r>
      <w:r>
        <w:rPr>
          <w:rFonts w:hint="eastAsia"/>
          <w:color w:val="auto"/>
          <w:kern w:val="0"/>
        </w:rPr>
        <w:t>生产装置及设备的危险、有害因素，最常见的是设备缺陷危害，设备缺陷导致泄漏事故的发生，泄漏引发火灾、爆炸、中毒、灼烫等事故的发生，具有较大的危险性。拟建生产装置的设备主要有反应釜、蒸馏装置、换热器、原辅料输送泵等，存在以下危险、有害因素。</w:t>
      </w:r>
    </w:p>
    <w:p w14:paraId="22C8ED81">
      <w:pPr>
        <w:ind w:firstLine="464"/>
        <w:rPr>
          <w:rFonts w:cs="宋体"/>
          <w:color w:val="auto"/>
        </w:rPr>
      </w:pPr>
      <w:r>
        <w:rPr>
          <w:color w:val="auto"/>
          <w:spacing w:val="-4"/>
        </w:rPr>
        <w:t>2</w:t>
      </w:r>
      <w:r>
        <w:rPr>
          <w:rFonts w:cs="宋体"/>
          <w:color w:val="auto"/>
          <w:spacing w:val="-4"/>
        </w:rPr>
        <w:t>、中毒窒息</w:t>
      </w:r>
    </w:p>
    <w:p w14:paraId="387BB03E">
      <w:pPr>
        <w:ind w:firstLine="456"/>
        <w:rPr>
          <w:rFonts w:cs="宋体"/>
          <w:color w:val="auto"/>
        </w:rPr>
      </w:pPr>
      <w:r>
        <w:rPr>
          <w:rFonts w:hint="eastAsia" w:cs="宋体"/>
          <w:color w:val="auto"/>
          <w:spacing w:val="-6"/>
        </w:rPr>
        <w:t>拟建</w:t>
      </w:r>
      <w:r>
        <w:rPr>
          <w:rFonts w:cs="宋体"/>
          <w:color w:val="auto"/>
          <w:spacing w:val="-6"/>
        </w:rPr>
        <w:t>涉及的危险化学品中液氨为高毒品，还有</w:t>
      </w:r>
      <w:r>
        <w:rPr>
          <w:rFonts w:cs="宋体"/>
          <w:color w:val="auto"/>
          <w:spacing w:val="-7"/>
        </w:rPr>
        <w:t>一些具有刺激性、致敏性、窒息性，</w:t>
      </w:r>
      <w:r>
        <w:rPr>
          <w:rFonts w:cs="宋体"/>
          <w:color w:val="auto"/>
          <w:spacing w:val="-6"/>
        </w:rPr>
        <w:t>有的还具强烈的腐蚀性，如果发生泄漏或不慎大量接触、吸入，会造成严重的中毒伤害，</w:t>
      </w:r>
      <w:r>
        <w:rPr>
          <w:rFonts w:cs="宋体"/>
          <w:color w:val="auto"/>
        </w:rPr>
        <w:t>由于种种原因，均可能造成有毒物质泄漏或者作业场所毒物浓度超标，致使操作人员、</w:t>
      </w:r>
      <w:r>
        <w:rPr>
          <w:rFonts w:cs="宋体"/>
          <w:color w:val="auto"/>
          <w:spacing w:val="-4"/>
        </w:rPr>
        <w:t>检查维修作业人员中毒。主要有以下情况：</w:t>
      </w:r>
    </w:p>
    <w:p w14:paraId="1C68F039">
      <w:pPr>
        <w:ind w:firstLine="460"/>
        <w:rPr>
          <w:color w:val="auto"/>
        </w:rPr>
      </w:pPr>
      <w:r>
        <w:rPr>
          <w:color w:val="auto"/>
          <w:spacing w:val="-5"/>
        </w:rPr>
        <w:t>1</w:t>
      </w:r>
      <w:r>
        <w:rPr>
          <w:rFonts w:cs="宋体"/>
          <w:color w:val="auto"/>
          <w:spacing w:val="-5"/>
        </w:rPr>
        <w:t>）个体防护不到位接触毒物造成中毒；</w:t>
      </w:r>
    </w:p>
    <w:p w14:paraId="56F4F629">
      <w:pPr>
        <w:ind w:firstLine="472"/>
        <w:rPr>
          <w:rFonts w:cs="宋体"/>
          <w:color w:val="auto"/>
        </w:rPr>
      </w:pPr>
      <w:r>
        <w:rPr>
          <w:color w:val="auto"/>
          <w:spacing w:val="-2"/>
        </w:rPr>
        <w:t>2</w:t>
      </w:r>
      <w:r>
        <w:rPr>
          <w:rFonts w:cs="宋体"/>
          <w:color w:val="auto"/>
          <w:spacing w:val="-2"/>
        </w:rPr>
        <w:t>）开停车或生产不稳定造成排污、置换中有毒物质泄漏、挥发而致人员中毒；</w:t>
      </w:r>
    </w:p>
    <w:p w14:paraId="4D7C416B">
      <w:pPr>
        <w:ind w:firstLine="468"/>
        <w:rPr>
          <w:rFonts w:cs="宋体"/>
          <w:color w:val="auto"/>
        </w:rPr>
      </w:pPr>
      <w:r>
        <w:rPr>
          <w:color w:val="auto"/>
          <w:spacing w:val="-3"/>
        </w:rPr>
        <w:t>3</w:t>
      </w:r>
      <w:r>
        <w:rPr>
          <w:rFonts w:cs="宋体"/>
          <w:color w:val="auto"/>
          <w:spacing w:val="-3"/>
        </w:rPr>
        <w:t>）检修机泵时，设备内残留毒物喷溅引起中毒；</w:t>
      </w:r>
    </w:p>
    <w:p w14:paraId="348A782B">
      <w:pPr>
        <w:ind w:firstLine="452"/>
        <w:rPr>
          <w:rFonts w:cs="宋体"/>
          <w:color w:val="auto"/>
        </w:rPr>
      </w:pPr>
      <w:r>
        <w:rPr>
          <w:color w:val="auto"/>
          <w:spacing w:val="-7"/>
        </w:rPr>
        <w:t>4</w:t>
      </w:r>
      <w:r>
        <w:rPr>
          <w:rFonts w:cs="宋体"/>
          <w:color w:val="auto"/>
          <w:spacing w:val="-7"/>
        </w:rPr>
        <w:t>）容器内部检修、清扫、检查时，</w:t>
      </w:r>
      <w:r>
        <w:rPr>
          <w:rFonts w:cs="宋体"/>
          <w:color w:val="auto"/>
          <w:spacing w:val="77"/>
        </w:rPr>
        <w:t xml:space="preserve"> </w:t>
      </w:r>
      <w:r>
        <w:rPr>
          <w:rFonts w:cs="宋体"/>
          <w:color w:val="auto"/>
          <w:spacing w:val="-7"/>
        </w:rPr>
        <w:t>由于置换不</w:t>
      </w:r>
      <w:r>
        <w:rPr>
          <w:rFonts w:cs="宋体"/>
          <w:color w:val="auto"/>
          <w:spacing w:val="-8"/>
        </w:rPr>
        <w:t>彻底而致物料残存或未加盲板与生产</w:t>
      </w:r>
      <w:r>
        <w:rPr>
          <w:rFonts w:cs="宋体"/>
          <w:color w:val="auto"/>
          <w:spacing w:val="-4"/>
        </w:rPr>
        <w:t>系统断开致使物料跑（串</w:t>
      </w:r>
      <w:r>
        <w:rPr>
          <w:rFonts w:cs="宋体"/>
          <w:color w:val="auto"/>
          <w:spacing w:val="5"/>
        </w:rPr>
        <w:t>），</w:t>
      </w:r>
      <w:r>
        <w:rPr>
          <w:rFonts w:cs="宋体"/>
          <w:color w:val="auto"/>
          <w:spacing w:val="-4"/>
        </w:rPr>
        <w:t>进而引发中毒事故；</w:t>
      </w:r>
    </w:p>
    <w:p w14:paraId="0B238562">
      <w:pPr>
        <w:ind w:firstLine="472"/>
        <w:rPr>
          <w:rFonts w:cs="宋体"/>
          <w:color w:val="auto"/>
        </w:rPr>
      </w:pPr>
      <w:r>
        <w:rPr>
          <w:color w:val="auto"/>
          <w:spacing w:val="-2"/>
        </w:rPr>
        <w:t>5</w:t>
      </w:r>
      <w:r>
        <w:rPr>
          <w:rFonts w:cs="宋体"/>
          <w:color w:val="auto"/>
          <w:spacing w:val="-2"/>
        </w:rPr>
        <w:t>）生产过程中的误操作造成超温超压和有毒物料喷</w:t>
      </w:r>
      <w:r>
        <w:rPr>
          <w:rFonts w:cs="宋体"/>
          <w:color w:val="auto"/>
          <w:spacing w:val="-3"/>
        </w:rPr>
        <w:t>出使人员中毒；</w:t>
      </w:r>
    </w:p>
    <w:p w14:paraId="4997E3D1">
      <w:pPr>
        <w:ind w:firstLine="472"/>
        <w:rPr>
          <w:rFonts w:cs="宋体"/>
          <w:color w:val="auto"/>
        </w:rPr>
      </w:pPr>
      <w:r>
        <w:rPr>
          <w:color w:val="auto"/>
          <w:spacing w:val="-2"/>
        </w:rPr>
        <w:t>6</w:t>
      </w:r>
      <w:r>
        <w:rPr>
          <w:rFonts w:cs="宋体"/>
          <w:color w:val="auto"/>
          <w:spacing w:val="-2"/>
        </w:rPr>
        <w:t>）设备质量缺陷或维护保养不到位造成物料泄漏。</w:t>
      </w:r>
    </w:p>
    <w:p w14:paraId="7ED3104B">
      <w:pPr>
        <w:ind w:firstLine="464"/>
        <w:rPr>
          <w:rFonts w:cs="宋体"/>
          <w:color w:val="auto"/>
        </w:rPr>
      </w:pPr>
      <w:r>
        <w:rPr>
          <w:color w:val="auto"/>
          <w:spacing w:val="-4"/>
        </w:rPr>
        <w:t>3</w:t>
      </w:r>
      <w:r>
        <w:rPr>
          <w:rFonts w:cs="宋体"/>
          <w:color w:val="auto"/>
          <w:spacing w:val="-4"/>
        </w:rPr>
        <w:t>、容器爆炸</w:t>
      </w:r>
    </w:p>
    <w:p w14:paraId="132702F6">
      <w:pPr>
        <w:ind w:firstLine="484"/>
        <w:rPr>
          <w:rFonts w:cs="宋体"/>
          <w:color w:val="auto"/>
        </w:rPr>
      </w:pPr>
      <w:r>
        <w:rPr>
          <w:rFonts w:cs="宋体"/>
          <w:color w:val="auto"/>
          <w:spacing w:val="1"/>
        </w:rPr>
        <w:t>该项目中存在压力容器，压力容器超压、超温或其他情况时，在薄弱处就可能发生物理爆炸。一旦压力容器发生物理性爆炸，极易发生化学性火灾爆炸事故。归结压力容</w:t>
      </w:r>
      <w:r>
        <w:rPr>
          <w:rFonts w:cs="宋体"/>
          <w:color w:val="auto"/>
          <w:spacing w:val="-6"/>
        </w:rPr>
        <w:t>器爆炸的原因，主要有：</w:t>
      </w:r>
    </w:p>
    <w:p w14:paraId="188C1818">
      <w:pPr>
        <w:ind w:firstLine="468"/>
        <w:rPr>
          <w:rFonts w:cs="宋体"/>
          <w:color w:val="auto"/>
        </w:rPr>
      </w:pPr>
      <w:r>
        <w:rPr>
          <w:color w:val="auto"/>
          <w:spacing w:val="-3"/>
        </w:rPr>
        <w:t>1</w:t>
      </w:r>
      <w:r>
        <w:rPr>
          <w:rFonts w:cs="宋体"/>
          <w:color w:val="auto"/>
          <w:spacing w:val="-3"/>
        </w:rPr>
        <w:t>）压力容器选材不当导致脆性断裂或腐蚀破裂。</w:t>
      </w:r>
    </w:p>
    <w:p w14:paraId="786937AC">
      <w:pPr>
        <w:ind w:firstLine="472"/>
        <w:rPr>
          <w:rFonts w:cs="宋体"/>
          <w:color w:val="auto"/>
        </w:rPr>
      </w:pPr>
      <w:r>
        <w:rPr>
          <w:color w:val="auto"/>
          <w:spacing w:val="-2"/>
        </w:rPr>
        <w:t>2</w:t>
      </w:r>
      <w:r>
        <w:rPr>
          <w:rFonts w:cs="宋体"/>
          <w:color w:val="auto"/>
          <w:spacing w:val="-2"/>
        </w:rPr>
        <w:t>）压力容器结构设计不合理使容器某些部件产生过高的局部应力，导致容器疲劳破</w:t>
      </w:r>
      <w:r>
        <w:rPr>
          <w:rFonts w:cs="宋体"/>
          <w:color w:val="auto"/>
          <w:spacing w:val="-6"/>
        </w:rPr>
        <w:t>裂或脆性破裂。</w:t>
      </w:r>
    </w:p>
    <w:p w14:paraId="0C7AE14C">
      <w:pPr>
        <w:ind w:firstLine="476"/>
        <w:rPr>
          <w:rFonts w:cs="宋体"/>
          <w:color w:val="auto"/>
        </w:rPr>
      </w:pPr>
      <w:r>
        <w:rPr>
          <w:color w:val="auto"/>
          <w:spacing w:val="-1"/>
        </w:rPr>
        <w:t>3</w:t>
      </w:r>
      <w:r>
        <w:rPr>
          <w:rFonts w:cs="宋体"/>
          <w:color w:val="auto"/>
          <w:spacing w:val="-1"/>
        </w:rPr>
        <w:t>）压力容器制造质量低劣、未进行正规压力试验即</w:t>
      </w:r>
      <w:r>
        <w:rPr>
          <w:rFonts w:cs="宋体"/>
          <w:color w:val="auto"/>
          <w:spacing w:val="-2"/>
        </w:rPr>
        <w:t>投入使用导致发生事故。</w:t>
      </w:r>
    </w:p>
    <w:p w14:paraId="45E9A56F">
      <w:pPr>
        <w:ind w:firstLine="480"/>
        <w:rPr>
          <w:rFonts w:cs="宋体"/>
          <w:color w:val="auto"/>
        </w:rPr>
      </w:pPr>
      <w:r>
        <w:rPr>
          <w:color w:val="auto"/>
        </w:rPr>
        <w:t>4</w:t>
      </w:r>
      <w:r>
        <w:rPr>
          <w:rFonts w:cs="宋体"/>
          <w:color w:val="auto"/>
        </w:rPr>
        <w:t>）压力容器在生产中长期承受压力，且受到介质的腐蚀性或高温流体的冲刷磨损，</w:t>
      </w:r>
      <w:r>
        <w:rPr>
          <w:rFonts w:cs="宋体"/>
          <w:color w:val="auto"/>
          <w:spacing w:val="1"/>
        </w:rPr>
        <w:t>以及操作压力、温度波动的影响，在使用过程中会产生缺陷，压力容器未根据检验周期</w:t>
      </w:r>
      <w:r>
        <w:rPr>
          <w:rFonts w:cs="宋体"/>
          <w:color w:val="auto"/>
          <w:spacing w:val="4"/>
        </w:rPr>
        <w:t xml:space="preserve"> </w:t>
      </w:r>
      <w:r>
        <w:rPr>
          <w:rFonts w:cs="宋体"/>
          <w:color w:val="auto"/>
          <w:spacing w:val="-4"/>
        </w:rPr>
        <w:t>定期进行检验而可能发生爆炸。</w:t>
      </w:r>
    </w:p>
    <w:p w14:paraId="6810101C">
      <w:pPr>
        <w:ind w:firstLine="472"/>
        <w:rPr>
          <w:rFonts w:cs="宋体"/>
          <w:color w:val="auto"/>
        </w:rPr>
      </w:pPr>
      <w:r>
        <w:rPr>
          <w:color w:val="auto"/>
          <w:spacing w:val="-2"/>
        </w:rPr>
        <w:t>5</w:t>
      </w:r>
      <w:r>
        <w:rPr>
          <w:rFonts w:cs="宋体"/>
          <w:color w:val="auto"/>
          <w:spacing w:val="-2"/>
        </w:rPr>
        <w:t>）压力容器安全附件不齐全，如安全阀、压力表等，或未定</w:t>
      </w:r>
      <w:r>
        <w:rPr>
          <w:rFonts w:cs="宋体"/>
          <w:color w:val="auto"/>
          <w:spacing w:val="-3"/>
        </w:rPr>
        <w:t>期检验，造成无法正常</w:t>
      </w:r>
      <w:r>
        <w:rPr>
          <w:rFonts w:cs="宋体"/>
          <w:color w:val="auto"/>
        </w:rPr>
        <w:t xml:space="preserve"> </w:t>
      </w:r>
      <w:r>
        <w:rPr>
          <w:rFonts w:cs="宋体"/>
          <w:color w:val="auto"/>
          <w:spacing w:val="-4"/>
        </w:rPr>
        <w:t>使用，而导致压力容器爆裂。</w:t>
      </w:r>
    </w:p>
    <w:p w14:paraId="2EFDD97F">
      <w:pPr>
        <w:ind w:firstLine="472"/>
        <w:rPr>
          <w:rFonts w:cs="宋体"/>
          <w:color w:val="auto"/>
        </w:rPr>
      </w:pPr>
      <w:r>
        <w:rPr>
          <w:color w:val="auto"/>
          <w:spacing w:val="-2"/>
        </w:rPr>
        <w:t>6</w:t>
      </w:r>
      <w:r>
        <w:rPr>
          <w:rFonts w:cs="宋体"/>
          <w:color w:val="auto"/>
          <w:spacing w:val="-2"/>
        </w:rPr>
        <w:t>）压力容器未根据安全规程要求精心操作和正确使用压力容器等。</w:t>
      </w:r>
    </w:p>
    <w:p w14:paraId="10D06BDB">
      <w:pPr>
        <w:ind w:firstLine="472"/>
        <w:rPr>
          <w:rFonts w:cs="宋体"/>
          <w:color w:val="auto"/>
        </w:rPr>
      </w:pPr>
      <w:r>
        <w:rPr>
          <w:color w:val="auto"/>
          <w:spacing w:val="-2"/>
        </w:rPr>
        <w:t>7</w:t>
      </w:r>
      <w:r>
        <w:rPr>
          <w:rFonts w:cs="宋体"/>
          <w:color w:val="auto"/>
          <w:spacing w:val="-2"/>
        </w:rPr>
        <w:t>）设备、管道因应力腐蚀损坏、苛性脆化损坏、氢腐蚀损坏</w:t>
      </w:r>
      <w:r>
        <w:rPr>
          <w:rFonts w:cs="宋体"/>
          <w:color w:val="auto"/>
          <w:spacing w:val="-3"/>
        </w:rPr>
        <w:t>、垢下腐蚀损坏、氧腐</w:t>
      </w:r>
      <w:r>
        <w:rPr>
          <w:rFonts w:cs="宋体"/>
          <w:color w:val="auto"/>
          <w:spacing w:val="-1"/>
        </w:rPr>
        <w:t>蚀损坏、电化学腐蚀损坏等而发生爆管，进</w:t>
      </w:r>
      <w:r>
        <w:rPr>
          <w:rFonts w:cs="宋体"/>
          <w:color w:val="auto"/>
          <w:spacing w:val="-2"/>
        </w:rPr>
        <w:t>而引起化学火灾爆炸事故。</w:t>
      </w:r>
    </w:p>
    <w:p w14:paraId="535793B3">
      <w:pPr>
        <w:ind w:firstLine="472"/>
        <w:rPr>
          <w:rFonts w:cs="宋体"/>
          <w:color w:val="auto"/>
        </w:rPr>
      </w:pPr>
      <w:r>
        <w:rPr>
          <w:color w:val="auto"/>
          <w:spacing w:val="-2"/>
        </w:rPr>
        <w:t>8</w:t>
      </w:r>
      <w:r>
        <w:rPr>
          <w:rFonts w:cs="宋体"/>
          <w:color w:val="auto"/>
          <w:spacing w:val="-2"/>
        </w:rPr>
        <w:t>）在管道的连接处，由于焊接质量和缺陷，未被及时发现而发生破裂。</w:t>
      </w:r>
    </w:p>
    <w:p w14:paraId="3F5F5BBE">
      <w:pPr>
        <w:ind w:firstLine="468"/>
        <w:rPr>
          <w:rFonts w:cs="宋体"/>
          <w:color w:val="auto"/>
        </w:rPr>
      </w:pPr>
      <w:r>
        <w:rPr>
          <w:color w:val="auto"/>
          <w:spacing w:val="-3"/>
        </w:rPr>
        <w:t>4</w:t>
      </w:r>
      <w:r>
        <w:rPr>
          <w:rFonts w:cs="宋体"/>
          <w:color w:val="auto"/>
          <w:spacing w:val="-3"/>
        </w:rPr>
        <w:t>、灼烫伤</w:t>
      </w:r>
    </w:p>
    <w:p w14:paraId="6728099C">
      <w:pPr>
        <w:ind w:firstLine="460"/>
        <w:rPr>
          <w:rFonts w:cs="宋体"/>
          <w:color w:val="auto"/>
        </w:rPr>
      </w:pPr>
      <w:r>
        <w:rPr>
          <w:rFonts w:cs="宋体"/>
          <w:color w:val="auto"/>
          <w:spacing w:val="-5"/>
        </w:rPr>
        <w:t>蒸汽管道、反应釜、多效蒸发等设备若没有保温或保温损坏，人体接触高温体</w:t>
      </w:r>
      <w:r>
        <w:rPr>
          <w:rFonts w:cs="宋体"/>
          <w:color w:val="auto"/>
          <w:spacing w:val="-6"/>
        </w:rPr>
        <w:t>，或安</w:t>
      </w:r>
      <w:r>
        <w:rPr>
          <w:rFonts w:cs="宋体"/>
          <w:color w:val="auto"/>
          <w:spacing w:val="-1"/>
        </w:rPr>
        <w:t>全阀排汽口朝向人员工作面，一旦蒸汽喷出并触及</w:t>
      </w:r>
      <w:r>
        <w:rPr>
          <w:rFonts w:cs="宋体"/>
          <w:color w:val="auto"/>
          <w:spacing w:val="-2"/>
        </w:rPr>
        <w:t>人体即会造成高温烫伤。</w:t>
      </w:r>
    </w:p>
    <w:p w14:paraId="0AC6DDA9">
      <w:pPr>
        <w:ind w:firstLine="460"/>
        <w:rPr>
          <w:rFonts w:cs="宋体"/>
          <w:color w:val="auto"/>
        </w:rPr>
      </w:pPr>
      <w:r>
        <w:rPr>
          <w:color w:val="auto"/>
          <w:spacing w:val="-5"/>
        </w:rPr>
        <w:t>5</w:t>
      </w:r>
      <w:r>
        <w:rPr>
          <w:rFonts w:cs="宋体"/>
          <w:color w:val="auto"/>
          <w:spacing w:val="-5"/>
        </w:rPr>
        <w:t>、机械伤害</w:t>
      </w:r>
    </w:p>
    <w:p w14:paraId="6AD63121">
      <w:pPr>
        <w:ind w:firstLine="452"/>
        <w:rPr>
          <w:rFonts w:cs="宋体"/>
          <w:color w:val="auto"/>
        </w:rPr>
      </w:pPr>
      <w:r>
        <w:rPr>
          <w:color w:val="auto"/>
          <w:spacing w:val="-7"/>
        </w:rPr>
        <w:t>1</w:t>
      </w:r>
      <w:r>
        <w:rPr>
          <w:rFonts w:cs="宋体"/>
          <w:color w:val="auto"/>
          <w:spacing w:val="-7"/>
        </w:rPr>
        <w:t>）生产装置中机械设备的旋转部位、啮合部位、挤压部位等均</w:t>
      </w:r>
      <w:r>
        <w:rPr>
          <w:rFonts w:cs="宋体"/>
          <w:color w:val="auto"/>
          <w:spacing w:val="-8"/>
        </w:rPr>
        <w:t>属运转设备，</w:t>
      </w:r>
      <w:r>
        <w:rPr>
          <w:rFonts w:cs="宋体"/>
          <w:color w:val="auto"/>
          <w:spacing w:val="50"/>
        </w:rPr>
        <w:t xml:space="preserve"> </w:t>
      </w:r>
      <w:r>
        <w:rPr>
          <w:rFonts w:cs="宋体"/>
          <w:color w:val="auto"/>
          <w:spacing w:val="-8"/>
        </w:rPr>
        <w:t>其暴露</w:t>
      </w:r>
      <w:r>
        <w:rPr>
          <w:rFonts w:cs="宋体"/>
          <w:color w:val="auto"/>
        </w:rPr>
        <w:t xml:space="preserve"> </w:t>
      </w:r>
      <w:r>
        <w:rPr>
          <w:rFonts w:cs="宋体"/>
          <w:color w:val="auto"/>
          <w:spacing w:val="-1"/>
        </w:rPr>
        <w:t>在外的运转部位如果没有防护罩，作业人员作业时，存在受到</w:t>
      </w:r>
      <w:r>
        <w:rPr>
          <w:rFonts w:cs="宋体"/>
          <w:color w:val="auto"/>
          <w:spacing w:val="-2"/>
        </w:rPr>
        <w:t>机械伤害的危险。</w:t>
      </w:r>
    </w:p>
    <w:p w14:paraId="7A52B132">
      <w:pPr>
        <w:ind w:firstLine="452"/>
        <w:rPr>
          <w:color w:val="auto"/>
          <w:spacing w:val="-7"/>
        </w:rPr>
      </w:pPr>
      <w:r>
        <w:rPr>
          <w:color w:val="auto"/>
          <w:spacing w:val="-7"/>
        </w:rPr>
        <w:t>2）作业人员没有按照设备操作规程来操作，或者设备操作规程不完善，作业人员</w:t>
      </w:r>
      <w:r>
        <w:rPr>
          <w:rFonts w:hint="eastAsia"/>
          <w:color w:val="auto"/>
          <w:spacing w:val="-7"/>
        </w:rPr>
        <w:t>作业时存在受到机械伤害的危险。</w:t>
      </w:r>
    </w:p>
    <w:p w14:paraId="23F67409">
      <w:pPr>
        <w:ind w:firstLine="472"/>
        <w:rPr>
          <w:color w:val="auto"/>
          <w:spacing w:val="-2"/>
        </w:rPr>
      </w:pPr>
      <w:r>
        <w:rPr>
          <w:rFonts w:hint="eastAsia"/>
          <w:color w:val="auto"/>
          <w:spacing w:val="-2"/>
        </w:rPr>
        <w:t>3）检修转动设备时，电气开关按钮没有悬挂“禁止启动”警示牌或没将开关封锁，检修人员在检修时，其他人员不慎启动开关，存在造成检修人员受到机械伤害的危险。</w:t>
      </w:r>
    </w:p>
    <w:p w14:paraId="6E2CF9C9">
      <w:pPr>
        <w:ind w:firstLine="472"/>
        <w:rPr>
          <w:color w:val="auto"/>
          <w:spacing w:val="-2"/>
        </w:rPr>
      </w:pPr>
      <w:r>
        <w:rPr>
          <w:rFonts w:hint="eastAsia"/>
          <w:color w:val="auto"/>
          <w:spacing w:val="-2"/>
        </w:rPr>
        <w:t>6、触电</w:t>
      </w:r>
    </w:p>
    <w:p w14:paraId="72691FD7">
      <w:pPr>
        <w:ind w:firstLine="472"/>
        <w:rPr>
          <w:color w:val="auto"/>
          <w:spacing w:val="-2"/>
        </w:rPr>
      </w:pPr>
      <w:r>
        <w:rPr>
          <w:rFonts w:hint="eastAsia" w:cs="宋体"/>
          <w:color w:val="auto"/>
          <w:spacing w:val="-2"/>
        </w:rPr>
        <w:t>生</w:t>
      </w:r>
      <w:r>
        <w:rPr>
          <w:rFonts w:hint="eastAsia"/>
          <w:color w:val="auto"/>
          <w:spacing w:val="-2"/>
        </w:rPr>
        <w:t>产现场配置的电气设备、开关箱、用电机械设备、电机等金属外壳没有防触电保护接零（地），或保护接零（地）线对地电阻超标，装置出现漏电时，有使作业人员发生触电的危险。管理不当、高温、振动、污染、腐蚀、潮湿造成电线绝缘部分破损或在潮湿多雨的夏季，易发生触电事故。</w:t>
      </w:r>
    </w:p>
    <w:p w14:paraId="5753384D">
      <w:pPr>
        <w:ind w:firstLine="472"/>
        <w:rPr>
          <w:color w:val="auto"/>
          <w:spacing w:val="-2"/>
        </w:rPr>
      </w:pPr>
      <w:r>
        <w:rPr>
          <w:rFonts w:hint="eastAsia" w:cs="宋体"/>
          <w:color w:val="auto"/>
          <w:spacing w:val="-2"/>
        </w:rPr>
        <w:t>在</w:t>
      </w:r>
      <w:r>
        <w:rPr>
          <w:rFonts w:hint="eastAsia"/>
          <w:color w:val="auto"/>
          <w:spacing w:val="-2"/>
        </w:rPr>
        <w:t>下列情况下，都可能发生触电事故：</w:t>
      </w:r>
    </w:p>
    <w:p w14:paraId="60DEDC65">
      <w:pPr>
        <w:ind w:firstLine="472"/>
        <w:rPr>
          <w:color w:val="auto"/>
          <w:spacing w:val="-2"/>
        </w:rPr>
      </w:pPr>
      <w:r>
        <w:rPr>
          <w:rFonts w:hint="eastAsia"/>
          <w:color w:val="auto"/>
          <w:spacing w:val="-2"/>
        </w:rPr>
        <w:t>1）人体接触带电体，如裸露的导线、带电操作等；</w:t>
      </w:r>
    </w:p>
    <w:p w14:paraId="60DF7D59">
      <w:pPr>
        <w:ind w:firstLine="472"/>
        <w:rPr>
          <w:color w:val="auto"/>
          <w:spacing w:val="-2"/>
        </w:rPr>
      </w:pPr>
      <w:r>
        <w:rPr>
          <w:rFonts w:hint="eastAsia"/>
          <w:color w:val="auto"/>
          <w:spacing w:val="-2"/>
        </w:rPr>
        <w:t>2）人体接触发生故障（漏电）的电气设备，如绝缘破坏、接地故障等；</w:t>
      </w:r>
    </w:p>
    <w:p w14:paraId="0511193B">
      <w:pPr>
        <w:ind w:firstLine="472"/>
        <w:rPr>
          <w:color w:val="auto"/>
          <w:spacing w:val="-2"/>
        </w:rPr>
      </w:pPr>
      <w:r>
        <w:rPr>
          <w:rFonts w:hint="eastAsia"/>
          <w:color w:val="auto"/>
          <w:spacing w:val="-2"/>
        </w:rPr>
        <w:t>3）使用的移动电动工具电压不符合安全要求或绝缘强度不够；</w:t>
      </w:r>
    </w:p>
    <w:p w14:paraId="13285713">
      <w:pPr>
        <w:ind w:firstLine="472"/>
        <w:rPr>
          <w:color w:val="auto"/>
          <w:spacing w:val="-2"/>
        </w:rPr>
      </w:pPr>
      <w:r>
        <w:rPr>
          <w:rFonts w:hint="eastAsia"/>
          <w:color w:val="auto"/>
          <w:spacing w:val="-2"/>
        </w:rPr>
        <w:t>4）移动电动工具没有安装漏电保护器；</w:t>
      </w:r>
    </w:p>
    <w:p w14:paraId="74DE8FFE">
      <w:pPr>
        <w:ind w:firstLine="472"/>
        <w:rPr>
          <w:color w:val="auto"/>
          <w:spacing w:val="-2"/>
        </w:rPr>
      </w:pPr>
      <w:r>
        <w:rPr>
          <w:rFonts w:hint="eastAsia"/>
          <w:color w:val="auto"/>
          <w:spacing w:val="-2"/>
        </w:rPr>
        <w:t>5）电源中性线（零线）未作重复接地，当电源进线中性线（零线）断线时，导致中 性点偏移，使接零设备的外壳带有危险电压；</w:t>
      </w:r>
    </w:p>
    <w:p w14:paraId="54951D86">
      <w:pPr>
        <w:ind w:firstLine="472"/>
        <w:rPr>
          <w:color w:val="auto"/>
          <w:spacing w:val="-2"/>
        </w:rPr>
      </w:pPr>
      <w:r>
        <w:rPr>
          <w:rFonts w:hint="eastAsia"/>
          <w:color w:val="auto"/>
          <w:spacing w:val="-2"/>
        </w:rPr>
        <w:t>6）电工无证上岗、停电时不挂警示牌、送电时有人未撤离、人员劳动防护用品穿戴不全等，以及在生产过程中由于作业人员未按照电气工作安全操作规程进行操作或缺乏安全用电常识等原因。</w:t>
      </w:r>
    </w:p>
    <w:p w14:paraId="37DEE761">
      <w:pPr>
        <w:ind w:firstLine="472"/>
        <w:rPr>
          <w:color w:val="auto"/>
          <w:spacing w:val="-2"/>
        </w:rPr>
      </w:pPr>
      <w:r>
        <w:rPr>
          <w:rFonts w:hint="eastAsia"/>
          <w:color w:val="auto"/>
          <w:spacing w:val="-2"/>
        </w:rPr>
        <w:t>7、高处坠落</w:t>
      </w:r>
    </w:p>
    <w:p w14:paraId="3FF70DB4">
      <w:pPr>
        <w:ind w:firstLine="472"/>
        <w:rPr>
          <w:color w:val="auto"/>
          <w:spacing w:val="-2"/>
        </w:rPr>
      </w:pPr>
      <w:r>
        <w:rPr>
          <w:rFonts w:hint="eastAsia" w:cs="宋体"/>
          <w:color w:val="auto"/>
          <w:spacing w:val="-2"/>
        </w:rPr>
        <w:t>生</w:t>
      </w:r>
      <w:r>
        <w:rPr>
          <w:rFonts w:hint="eastAsia"/>
          <w:color w:val="auto"/>
          <w:spacing w:val="-2"/>
        </w:rPr>
        <w:t>产过程的高处坠落危险，主要集中在操作平台和设备的检修操作中。</w:t>
      </w:r>
    </w:p>
    <w:p w14:paraId="4C5F8217">
      <w:pPr>
        <w:ind w:firstLine="472"/>
        <w:rPr>
          <w:color w:val="auto"/>
          <w:spacing w:val="-2"/>
        </w:rPr>
      </w:pPr>
      <w:r>
        <w:rPr>
          <w:rFonts w:hint="eastAsia"/>
          <w:color w:val="auto"/>
          <w:spacing w:val="-2"/>
        </w:rPr>
        <w:t>1）生产系统中平台栏杆、扶梯设置不全、损坏或私自改动原有的结构，致使不符合 要求，存在操作、检修人员高处坠落的危险。</w:t>
      </w:r>
    </w:p>
    <w:p w14:paraId="55220FF4">
      <w:pPr>
        <w:ind w:firstLine="472"/>
        <w:rPr>
          <w:color w:val="auto"/>
          <w:spacing w:val="-2"/>
        </w:rPr>
      </w:pPr>
      <w:r>
        <w:rPr>
          <w:rFonts w:hint="eastAsia"/>
          <w:color w:val="auto"/>
          <w:spacing w:val="-2"/>
        </w:rPr>
        <w:t>2）操作人员、电工、维修人员在登高作业时， 因倾倒、打滑或钢梯强度不足或攀沿 物失修腐蚀脱落，有发生人员高处坠落的危险。</w:t>
      </w:r>
    </w:p>
    <w:p w14:paraId="494C2D6F">
      <w:pPr>
        <w:ind w:firstLine="472"/>
        <w:rPr>
          <w:color w:val="auto"/>
          <w:spacing w:val="-2"/>
        </w:rPr>
      </w:pPr>
      <w:r>
        <w:rPr>
          <w:rFonts w:hint="eastAsia"/>
          <w:color w:val="auto"/>
          <w:spacing w:val="-2"/>
        </w:rPr>
        <w:t>3）在阴雨天气或冬天因结冰造成钢梯、扶手、检修平台路滑的条件下，作业人员登 高作业，有滑倒摔伤或高处坠落的可能。</w:t>
      </w:r>
    </w:p>
    <w:p w14:paraId="773763FA">
      <w:pPr>
        <w:ind w:firstLine="472"/>
        <w:rPr>
          <w:color w:val="auto"/>
          <w:spacing w:val="-2"/>
        </w:rPr>
      </w:pPr>
      <w:r>
        <w:rPr>
          <w:rFonts w:hint="eastAsia"/>
          <w:color w:val="auto"/>
          <w:spacing w:val="-2"/>
        </w:rPr>
        <w:t>4）工作平台没有防滑措施、护栏高度不够、没有踢脚板，钢斜梯踏板厚度不够4mm、扶手高不够900mm、扶手直径不在30～50mm之间，有发生作业人员高处坠落的危险。</w:t>
      </w:r>
    </w:p>
    <w:p w14:paraId="03C17BF7">
      <w:pPr>
        <w:ind w:firstLine="472"/>
        <w:rPr>
          <w:color w:val="auto"/>
          <w:spacing w:val="-2"/>
        </w:rPr>
      </w:pPr>
      <w:r>
        <w:rPr>
          <w:rFonts w:hint="eastAsia"/>
          <w:color w:val="auto"/>
          <w:spacing w:val="-2"/>
        </w:rPr>
        <w:t>5）操作者未按高处作业规定进行高处作业，无安全防护措施（安全带、安全绳），操作失误易发生高处坠落。</w:t>
      </w:r>
    </w:p>
    <w:p w14:paraId="4DD2A81C">
      <w:pPr>
        <w:ind w:firstLine="472"/>
        <w:rPr>
          <w:rFonts w:cs="宋体"/>
          <w:color w:val="auto"/>
          <w:spacing w:val="-2"/>
        </w:rPr>
      </w:pPr>
      <w:r>
        <w:rPr>
          <w:rFonts w:hint="eastAsia" w:cs="宋体"/>
          <w:color w:val="auto"/>
          <w:spacing w:val="-2"/>
        </w:rPr>
        <w:t>8、物体打击</w:t>
      </w:r>
    </w:p>
    <w:p w14:paraId="5199C301">
      <w:pPr>
        <w:ind w:firstLine="472"/>
        <w:rPr>
          <w:rFonts w:cs="宋体"/>
          <w:color w:val="auto"/>
          <w:spacing w:val="-2"/>
        </w:rPr>
      </w:pPr>
      <w:r>
        <w:rPr>
          <w:rFonts w:hint="eastAsia" w:cs="宋体"/>
          <w:color w:val="auto"/>
          <w:spacing w:val="-2"/>
        </w:rPr>
        <w:t>物体打击指物体在重力或其他外力的作用下产生运动，打击人体造成人身伤亡事故。</w:t>
      </w:r>
    </w:p>
    <w:p w14:paraId="50650EBE">
      <w:pPr>
        <w:ind w:firstLine="472"/>
        <w:rPr>
          <w:rFonts w:cs="宋体"/>
          <w:color w:val="auto"/>
          <w:spacing w:val="-2"/>
        </w:rPr>
      </w:pPr>
      <w:r>
        <w:rPr>
          <w:rFonts w:hint="eastAsia" w:cs="宋体"/>
          <w:color w:val="auto"/>
          <w:spacing w:val="-2"/>
        </w:rPr>
        <w:t>1）搬运原料、产品过程中，因物体摆放不当或摆放过高，有发生物体坠落对人员的砸伤、挤伤等。</w:t>
      </w:r>
    </w:p>
    <w:p w14:paraId="3F74A465">
      <w:pPr>
        <w:ind w:firstLine="472"/>
        <w:rPr>
          <w:rFonts w:cs="宋体"/>
          <w:color w:val="auto"/>
          <w:spacing w:val="-2"/>
        </w:rPr>
      </w:pPr>
      <w:r>
        <w:rPr>
          <w:rFonts w:hint="eastAsia" w:cs="宋体"/>
          <w:color w:val="auto"/>
          <w:spacing w:val="-2"/>
        </w:rPr>
        <w:t>2）操作中上下交叉作业，操作平台或设备上的物品受外力的作用掉落，易使平台下方及周围的人员遭受物体打击。</w:t>
      </w:r>
    </w:p>
    <w:p w14:paraId="4ED5B326">
      <w:pPr>
        <w:ind w:firstLine="472"/>
        <w:rPr>
          <w:rFonts w:cs="宋体"/>
          <w:color w:val="auto"/>
          <w:spacing w:val="-2"/>
        </w:rPr>
      </w:pPr>
      <w:r>
        <w:rPr>
          <w:rFonts w:hint="eastAsia" w:cs="宋体"/>
          <w:color w:val="auto"/>
          <w:spacing w:val="-2"/>
        </w:rPr>
        <w:t>3）在设备检修过程中，因工具、零部件存放不当，维修现场混乱，违章蛮干，而发 生工具、设备和其他物品的砸伤。</w:t>
      </w:r>
    </w:p>
    <w:p w14:paraId="4E147819">
      <w:pPr>
        <w:ind w:firstLine="472"/>
        <w:rPr>
          <w:rFonts w:cs="宋体"/>
          <w:color w:val="auto"/>
          <w:spacing w:val="-2"/>
        </w:rPr>
      </w:pPr>
      <w:r>
        <w:rPr>
          <w:rFonts w:hint="eastAsia" w:cs="宋体"/>
          <w:color w:val="auto"/>
          <w:spacing w:val="-2"/>
        </w:rPr>
        <w:t>4）高处作业现场没有监护人、没有设立警示牌，高处作业位置下有无关人员通过，有高处作业人员失手造成工具等重物坠落，砸伤无关人员的危险。</w:t>
      </w:r>
    </w:p>
    <w:p w14:paraId="44F1FF89">
      <w:pPr>
        <w:ind w:firstLine="472"/>
        <w:rPr>
          <w:rFonts w:cs="宋体"/>
          <w:color w:val="auto"/>
          <w:spacing w:val="-2"/>
        </w:rPr>
      </w:pPr>
      <w:r>
        <w:rPr>
          <w:rFonts w:hint="eastAsia" w:cs="宋体"/>
          <w:color w:val="auto"/>
          <w:spacing w:val="-2"/>
        </w:rPr>
        <w:t>9、车辆伤害</w:t>
      </w:r>
    </w:p>
    <w:p w14:paraId="2C014A8F">
      <w:pPr>
        <w:ind w:firstLine="472"/>
        <w:rPr>
          <w:rFonts w:cs="宋体"/>
          <w:color w:val="auto"/>
          <w:spacing w:val="-2"/>
        </w:rPr>
      </w:pPr>
      <w:r>
        <w:rPr>
          <w:rFonts w:hint="eastAsia" w:cs="宋体"/>
          <w:color w:val="auto"/>
          <w:spacing w:val="-2"/>
        </w:rPr>
        <w:t>厂区内装卸车辆、运输车辆及其他机动车辆不按规则行驶，行驶路线视野不清，驾驶员疲劳驾驶，车辆故障失控等，对厂内人员、设施碰撞可造成人员伤亡或经济损失。</w:t>
      </w:r>
    </w:p>
    <w:p w14:paraId="031D2883">
      <w:pPr>
        <w:ind w:firstLine="472"/>
        <w:rPr>
          <w:rFonts w:cs="宋体"/>
          <w:color w:val="auto"/>
          <w:spacing w:val="-2"/>
        </w:rPr>
      </w:pPr>
      <w:r>
        <w:rPr>
          <w:rFonts w:hint="eastAsia" w:cs="宋体"/>
          <w:color w:val="auto"/>
          <w:spacing w:val="-2"/>
        </w:rPr>
        <w:t>10、淹溺</w:t>
      </w:r>
    </w:p>
    <w:p w14:paraId="6C639EF1">
      <w:pPr>
        <w:ind w:firstLine="472"/>
        <w:rPr>
          <w:rFonts w:cs="宋体"/>
          <w:color w:val="auto"/>
          <w:spacing w:val="-2"/>
        </w:rPr>
      </w:pPr>
      <w:r>
        <w:rPr>
          <w:rFonts w:hint="eastAsia" w:cs="宋体"/>
          <w:color w:val="auto"/>
          <w:spacing w:val="-2"/>
        </w:rPr>
        <w:t>淹溺危险主要分布于循环水消防水泵站和废水处理站周围。若未设置防护设施或设置不符合要求，防护设施缺损，操作巡检时不慎滑入，有造成淹溺的危险。</w:t>
      </w:r>
    </w:p>
    <w:p w14:paraId="6A7CCE33">
      <w:pPr>
        <w:ind w:firstLine="472"/>
        <w:rPr>
          <w:rFonts w:cs="宋体"/>
          <w:color w:val="auto"/>
          <w:spacing w:val="-2"/>
        </w:rPr>
      </w:pPr>
      <w:r>
        <w:rPr>
          <w:rFonts w:hint="eastAsia" w:cs="宋体"/>
          <w:color w:val="auto"/>
          <w:spacing w:val="-2"/>
        </w:rPr>
        <w:t>11、坍塌</w:t>
      </w:r>
    </w:p>
    <w:p w14:paraId="2985F45D">
      <w:pPr>
        <w:ind w:firstLine="472"/>
        <w:rPr>
          <w:rFonts w:cs="宋体"/>
          <w:color w:val="auto"/>
          <w:spacing w:val="-2"/>
        </w:rPr>
      </w:pPr>
      <w:r>
        <w:rPr>
          <w:rFonts w:hint="eastAsia" w:cs="宋体"/>
          <w:color w:val="auto"/>
          <w:spacing w:val="-2"/>
        </w:rPr>
        <w:t>各种建筑物、设备等在外力或重力作用下，超过自身的强度极限或因结构稳定性破坏而造成事故。</w:t>
      </w:r>
    </w:p>
    <w:p w14:paraId="06520ED8">
      <w:pPr>
        <w:ind w:firstLine="472"/>
        <w:rPr>
          <w:rFonts w:cs="宋体"/>
          <w:color w:val="auto"/>
          <w:spacing w:val="-2"/>
        </w:rPr>
      </w:pPr>
      <w:r>
        <w:rPr>
          <w:rFonts w:hint="eastAsia" w:cs="宋体"/>
          <w:color w:val="auto"/>
          <w:spacing w:val="-2"/>
        </w:rPr>
        <w:t>装置设计依据的资料不准确，抗震烈度不符合规范，材料强度不够，安全系数不足，以及建造安装质量不良，在地震、台风、暴风雪等恶劣自然条件下以及火灾爆炸事故情况下，可能发生坍塌事故，会造成人员伤亡和财产损失。</w:t>
      </w:r>
    </w:p>
    <w:p w14:paraId="46F76EB5">
      <w:pPr>
        <w:ind w:firstLine="472"/>
        <w:rPr>
          <w:rFonts w:cs="宋体"/>
          <w:color w:val="auto"/>
          <w:spacing w:val="-2"/>
        </w:rPr>
      </w:pPr>
      <w:r>
        <w:rPr>
          <w:rFonts w:hint="eastAsia" w:cs="宋体"/>
          <w:color w:val="auto"/>
          <w:spacing w:val="-2"/>
        </w:rPr>
        <w:t>12、毒物危害</w:t>
      </w:r>
    </w:p>
    <w:p w14:paraId="2BCFE443">
      <w:pPr>
        <w:ind w:firstLine="472"/>
        <w:rPr>
          <w:rFonts w:cs="宋体"/>
          <w:color w:val="auto"/>
          <w:spacing w:val="-2"/>
        </w:rPr>
      </w:pPr>
      <w:r>
        <w:rPr>
          <w:rFonts w:hint="eastAsia" w:cs="宋体"/>
          <w:color w:val="auto"/>
          <w:spacing w:val="-2"/>
        </w:rPr>
        <w:t>该项目生产过程中，具有毒害特性的物料较多，生产过程中可能存在生产性毒物污染释放源，毒物可以经过呼吸道、消化道、皮肤等途径进入作业人员体内，造成作业人员职业性中毒。</w:t>
      </w:r>
    </w:p>
    <w:p w14:paraId="6F2E4790">
      <w:pPr>
        <w:ind w:firstLine="472"/>
        <w:rPr>
          <w:rFonts w:cs="宋体"/>
          <w:color w:val="auto"/>
          <w:spacing w:val="-2"/>
        </w:rPr>
      </w:pPr>
      <w:r>
        <w:rPr>
          <w:rFonts w:hint="eastAsia" w:cs="宋体"/>
          <w:color w:val="auto"/>
          <w:spacing w:val="-2"/>
        </w:rPr>
        <w:t>生产过程中可能出现的生产性毒物污染释放源主要有：</w:t>
      </w:r>
    </w:p>
    <w:p w14:paraId="20E2B7D4">
      <w:pPr>
        <w:ind w:firstLine="472"/>
        <w:rPr>
          <w:rFonts w:cs="宋体"/>
          <w:color w:val="auto"/>
          <w:spacing w:val="-2"/>
        </w:rPr>
      </w:pPr>
      <w:r>
        <w:rPr>
          <w:rFonts w:hint="eastAsia" w:cs="宋体"/>
          <w:color w:val="auto"/>
          <w:spacing w:val="-2"/>
        </w:rPr>
        <w:t>1）泄漏扩散：如设备、容器、管道密封处的泄漏，如果未采取有效的通风排毒措施，泄漏量有时虽然微不足道，但积累起来却是一个主要释放源。</w:t>
      </w:r>
    </w:p>
    <w:p w14:paraId="53677BB5">
      <w:pPr>
        <w:ind w:firstLine="472"/>
        <w:rPr>
          <w:rFonts w:cs="宋体"/>
          <w:color w:val="auto"/>
          <w:spacing w:val="-2"/>
        </w:rPr>
      </w:pPr>
      <w:r>
        <w:rPr>
          <w:rFonts w:hint="eastAsia" w:cs="宋体"/>
          <w:color w:val="auto"/>
          <w:spacing w:val="-2"/>
        </w:rPr>
        <w:t>2）工艺操作过程：如加料、取样、废气放空、设备容器清洗过程、故障处理过程等。</w:t>
      </w:r>
    </w:p>
    <w:p w14:paraId="24250E33">
      <w:pPr>
        <w:ind w:firstLine="472"/>
        <w:rPr>
          <w:rFonts w:cs="宋体"/>
          <w:color w:val="auto"/>
          <w:spacing w:val="-2"/>
        </w:rPr>
      </w:pPr>
      <w:r>
        <w:rPr>
          <w:rFonts w:hint="eastAsia" w:cs="宋体"/>
          <w:color w:val="auto"/>
          <w:spacing w:val="-2"/>
        </w:rPr>
        <w:t>3）设备维修过程。</w:t>
      </w:r>
    </w:p>
    <w:p w14:paraId="1A5AEB63">
      <w:pPr>
        <w:ind w:firstLine="472"/>
        <w:rPr>
          <w:rFonts w:cs="宋体"/>
          <w:color w:val="auto"/>
          <w:spacing w:val="-2"/>
        </w:rPr>
      </w:pPr>
      <w:r>
        <w:rPr>
          <w:rFonts w:hint="eastAsia" w:cs="宋体"/>
          <w:color w:val="auto"/>
          <w:spacing w:val="-2"/>
        </w:rPr>
        <w:t>4）废弃物处理过程：如废液、废渣排放与处理、散落物料处理、废弃包装处理过程 等。</w:t>
      </w:r>
    </w:p>
    <w:p w14:paraId="739FC4CA">
      <w:pPr>
        <w:ind w:firstLine="472"/>
        <w:rPr>
          <w:rFonts w:cs="宋体"/>
          <w:color w:val="auto"/>
          <w:spacing w:val="-2"/>
        </w:rPr>
      </w:pPr>
      <w:r>
        <w:rPr>
          <w:rFonts w:hint="eastAsia" w:cs="宋体"/>
          <w:color w:val="auto"/>
          <w:spacing w:val="-2"/>
        </w:rPr>
        <w:t>5）爆炸引起的毒害物质扩散。</w:t>
      </w:r>
    </w:p>
    <w:p w14:paraId="2CD04090">
      <w:pPr>
        <w:ind w:firstLine="472"/>
        <w:rPr>
          <w:rFonts w:cs="宋体"/>
          <w:color w:val="auto"/>
          <w:spacing w:val="-2"/>
        </w:rPr>
      </w:pPr>
      <w:r>
        <w:rPr>
          <w:rFonts w:hint="eastAsia" w:cs="宋体"/>
          <w:color w:val="auto"/>
          <w:spacing w:val="-2"/>
        </w:rPr>
        <w:t>13、噪声、振动</w:t>
      </w:r>
    </w:p>
    <w:p w14:paraId="74A4E523">
      <w:pPr>
        <w:ind w:firstLine="472"/>
        <w:rPr>
          <w:rFonts w:cs="宋体"/>
          <w:color w:val="auto"/>
          <w:spacing w:val="-2"/>
        </w:rPr>
      </w:pPr>
      <w:r>
        <w:rPr>
          <w:rFonts w:hint="eastAsia" w:cs="宋体"/>
          <w:color w:val="auto"/>
          <w:spacing w:val="-2"/>
        </w:rPr>
        <w:t>厂房的噪声主要来自电机、泵等设备。如果未采取消音、吸音、隔音等处理等防护措施，职工长时间在噪声环境下工作，就会引起听觉功能敏感度下降，甚至造成耳聋，或引起神经衰弱、心血管及消化系统疾病。噪声还干扰、影响信息的交流，使操作失误率上升。振动可导致人体患发振动病，主要表现为足的损害，还可有神经衰弱征候群及植物神经功能紊乱。</w:t>
      </w:r>
    </w:p>
    <w:p w14:paraId="050B63FE">
      <w:pPr>
        <w:ind w:firstLine="472"/>
        <w:rPr>
          <w:rFonts w:cs="宋体"/>
          <w:color w:val="auto"/>
          <w:spacing w:val="-2"/>
        </w:rPr>
      </w:pPr>
      <w:r>
        <w:rPr>
          <w:rFonts w:hint="eastAsia" w:cs="宋体"/>
          <w:color w:val="auto"/>
          <w:spacing w:val="-2"/>
        </w:rPr>
        <w:t>14、高温</w:t>
      </w:r>
    </w:p>
    <w:p w14:paraId="36D409E3">
      <w:pPr>
        <w:pStyle w:val="49"/>
        <w:spacing w:line="500" w:lineRule="exact"/>
        <w:ind w:firstLine="472" w:firstLineChars="200"/>
        <w:jc w:val="both"/>
        <w:rPr>
          <w:rFonts w:cs="宋体"/>
          <w:b w:val="0"/>
          <w:color w:val="auto"/>
          <w:spacing w:val="-2"/>
        </w:rPr>
      </w:pPr>
      <w:r>
        <w:rPr>
          <w:rFonts w:hint="eastAsia" w:cs="宋体"/>
          <w:b w:val="0"/>
          <w:color w:val="auto"/>
          <w:spacing w:val="-2"/>
        </w:rPr>
        <w:t>该项目生产过程中存在着高温介质、高温设备及管道等生产性热源，所以生产过程中存在着高温危害。高温环境会引起作业中毒，会加速毒物的吸收，会导致操作失误率升高，会加速材料的腐蚀。高温环境可使火灾危险性增大，可使材料、设备强度下降。</w:t>
      </w:r>
    </w:p>
    <w:p w14:paraId="7E676619">
      <w:pPr>
        <w:pStyle w:val="5"/>
        <w:spacing w:before="156"/>
        <w:rPr>
          <w:color w:val="auto"/>
        </w:rPr>
      </w:pPr>
      <w:r>
        <w:rPr>
          <w:color w:val="auto"/>
        </w:rPr>
        <w:t>4.</w:t>
      </w:r>
      <w:r>
        <w:rPr>
          <w:rFonts w:hint="eastAsia"/>
          <w:color w:val="auto"/>
        </w:rPr>
        <w:t>7</w:t>
      </w:r>
      <w:r>
        <w:rPr>
          <w:color w:val="auto"/>
        </w:rPr>
        <w:t>.2.3储存过程中的危险有害因素识别</w:t>
      </w:r>
    </w:p>
    <w:p w14:paraId="5C502928">
      <w:pPr>
        <w:pStyle w:val="49"/>
        <w:spacing w:line="500" w:lineRule="exact"/>
        <w:ind w:firstLine="472" w:firstLineChars="200"/>
        <w:jc w:val="both"/>
        <w:rPr>
          <w:rFonts w:cs="宋体"/>
          <w:b w:val="0"/>
          <w:color w:val="auto"/>
          <w:spacing w:val="-2"/>
        </w:rPr>
      </w:pPr>
      <w:r>
        <w:rPr>
          <w:rFonts w:hint="eastAsia" w:cs="宋体"/>
          <w:b w:val="0"/>
          <w:color w:val="auto"/>
          <w:spacing w:val="-2"/>
        </w:rPr>
        <w:t>（一）储罐区危险、有害因素分析</w:t>
      </w:r>
    </w:p>
    <w:p w14:paraId="5996E99E">
      <w:pPr>
        <w:pStyle w:val="49"/>
        <w:spacing w:line="500" w:lineRule="exact"/>
        <w:ind w:firstLine="472" w:firstLineChars="200"/>
        <w:jc w:val="both"/>
        <w:rPr>
          <w:rFonts w:cs="宋体"/>
          <w:b w:val="0"/>
          <w:color w:val="auto"/>
          <w:spacing w:val="-2"/>
        </w:rPr>
      </w:pPr>
      <w:r>
        <w:rPr>
          <w:rFonts w:hint="eastAsia" w:cs="宋体"/>
          <w:b w:val="0"/>
          <w:color w:val="auto"/>
          <w:spacing w:val="-2"/>
        </w:rPr>
        <w:t>拟建项目罐区主要储存液氨、亚硫酸钾溶液、亚硫酸钠溶液、硫代硫酸铵溶液等产品物料，上述水溶液物料及气态介质在贮存过程中存在以下危险性：</w:t>
      </w:r>
    </w:p>
    <w:p w14:paraId="7468A961">
      <w:pPr>
        <w:pStyle w:val="49"/>
        <w:spacing w:line="500" w:lineRule="exact"/>
        <w:ind w:firstLine="472" w:firstLineChars="200"/>
        <w:jc w:val="both"/>
        <w:rPr>
          <w:rFonts w:cs="宋体"/>
          <w:b w:val="0"/>
          <w:color w:val="auto"/>
          <w:spacing w:val="-2"/>
        </w:rPr>
      </w:pPr>
      <w:r>
        <w:rPr>
          <w:rFonts w:hint="eastAsia" w:cs="宋体"/>
          <w:b w:val="0"/>
          <w:color w:val="auto"/>
          <w:spacing w:val="-2"/>
        </w:rPr>
        <w:t>（1）储罐罐体焊缝开裂、接管、法兰、人孔密封失效、垫片老化破损，或日常操作不当造成超液位、超压储存，导致含硫、含氨物料泄漏，引发腐蚀伤害、有毒气体逸散、人员中毒及环境污染危害。</w:t>
      </w:r>
    </w:p>
    <w:p w14:paraId="612A00C3">
      <w:pPr>
        <w:pStyle w:val="49"/>
        <w:spacing w:line="500" w:lineRule="exact"/>
        <w:ind w:firstLine="472" w:firstLineChars="200"/>
        <w:jc w:val="both"/>
        <w:rPr>
          <w:rFonts w:cs="宋体"/>
          <w:b w:val="0"/>
          <w:color w:val="auto"/>
          <w:spacing w:val="-2"/>
        </w:rPr>
      </w:pPr>
      <w:r>
        <w:rPr>
          <w:rFonts w:hint="eastAsia" w:cs="宋体"/>
          <w:b w:val="0"/>
          <w:color w:val="auto"/>
          <w:spacing w:val="-2"/>
        </w:rPr>
        <w:t>（2）储罐长期储存亚硫酸盐、硫代硫酸盐腐蚀性溶液，罐体焊缝、焊接接点易发生应力腐蚀、电化学腐蚀，产生裂纹、穿孔，造成物料泄漏，引发腐蚀、中毒及水体、土壤污染事故。</w:t>
      </w:r>
    </w:p>
    <w:p w14:paraId="15918905">
      <w:pPr>
        <w:pStyle w:val="49"/>
        <w:spacing w:line="500" w:lineRule="exact"/>
        <w:ind w:firstLine="472" w:firstLineChars="200"/>
        <w:jc w:val="both"/>
        <w:rPr>
          <w:rFonts w:cs="宋体"/>
          <w:b w:val="0"/>
          <w:color w:val="auto"/>
          <w:spacing w:val="-2"/>
        </w:rPr>
      </w:pPr>
      <w:r>
        <w:rPr>
          <w:rFonts w:hint="eastAsia" w:cs="宋体"/>
          <w:b w:val="0"/>
          <w:color w:val="auto"/>
          <w:spacing w:val="-2"/>
        </w:rPr>
        <w:t>（3）储罐高液位报警、液位计、有毒气体报警装置及联锁保护设施失灵、损坏，易造成储罐超量充装、溢料，导致有毒腐蚀性物料外溢，引发人员灼伤、中毒及环境风险。</w:t>
      </w:r>
    </w:p>
    <w:p w14:paraId="073F56D4">
      <w:pPr>
        <w:pStyle w:val="49"/>
        <w:spacing w:line="500" w:lineRule="exact"/>
        <w:ind w:firstLine="472" w:firstLineChars="200"/>
        <w:jc w:val="both"/>
        <w:rPr>
          <w:rFonts w:cs="宋体"/>
          <w:b w:val="0"/>
          <w:color w:val="auto"/>
          <w:spacing w:val="-2"/>
        </w:rPr>
      </w:pPr>
      <w:r>
        <w:rPr>
          <w:rFonts w:hint="eastAsia" w:cs="宋体"/>
          <w:b w:val="0"/>
          <w:color w:val="auto"/>
          <w:spacing w:val="-2"/>
        </w:rPr>
        <w:t>（4）储罐液位监测装置损坏、自控系统失灵、输送管线老化破裂，可造成罐内物料非正常外溢，逸出的物料分解产生二氧化硫、氨气等有毒气体，引发人员中毒、环境空气污染事故。</w:t>
      </w:r>
    </w:p>
    <w:p w14:paraId="0F652082">
      <w:pPr>
        <w:pStyle w:val="49"/>
        <w:spacing w:line="500" w:lineRule="exact"/>
        <w:ind w:firstLine="472" w:firstLineChars="200"/>
        <w:jc w:val="both"/>
        <w:rPr>
          <w:rFonts w:cs="宋体"/>
          <w:b w:val="0"/>
          <w:color w:val="auto"/>
          <w:spacing w:val="-2"/>
        </w:rPr>
      </w:pPr>
      <w:r>
        <w:rPr>
          <w:rFonts w:hint="eastAsia" w:cs="宋体"/>
          <w:b w:val="0"/>
          <w:color w:val="auto"/>
          <w:spacing w:val="-2"/>
        </w:rPr>
        <w:t>（5）储罐静电导除装置缺失或失效，物料进出储罐流速过快产生静电积聚，静电放电可引燃、激活泄漏物料发生分解反应；储罐防雷装置失效，遭受雷击易引发设备损坏、物料分解泄漏风险。</w:t>
      </w:r>
    </w:p>
    <w:p w14:paraId="344AA355">
      <w:pPr>
        <w:pStyle w:val="49"/>
        <w:spacing w:line="500" w:lineRule="exact"/>
        <w:ind w:firstLine="472" w:firstLineChars="200"/>
        <w:jc w:val="both"/>
        <w:rPr>
          <w:rFonts w:cs="宋体"/>
          <w:b w:val="0"/>
          <w:color w:val="auto"/>
          <w:spacing w:val="-2"/>
        </w:rPr>
      </w:pPr>
      <w:r>
        <w:rPr>
          <w:rFonts w:hint="eastAsia" w:cs="宋体"/>
          <w:b w:val="0"/>
          <w:color w:val="auto"/>
          <w:spacing w:val="-2"/>
        </w:rPr>
        <w:t>（6）储罐基础施工缺陷、地基不均匀沉降，造成罐体变形、破损，导致大量有毒腐蚀性物料泄漏，存在人员腐蚀灼伤、中毒及区域环境污染危险。</w:t>
      </w:r>
    </w:p>
    <w:p w14:paraId="0EE2607D">
      <w:pPr>
        <w:pStyle w:val="49"/>
        <w:spacing w:line="500" w:lineRule="exact"/>
        <w:ind w:firstLine="472" w:firstLineChars="200"/>
        <w:jc w:val="both"/>
        <w:rPr>
          <w:rFonts w:cs="宋体"/>
          <w:b w:val="0"/>
          <w:color w:val="auto"/>
          <w:spacing w:val="-2"/>
        </w:rPr>
      </w:pPr>
      <w:r>
        <w:rPr>
          <w:rFonts w:hint="eastAsia" w:cs="宋体"/>
          <w:b w:val="0"/>
          <w:color w:val="auto"/>
          <w:spacing w:val="-2"/>
        </w:rPr>
        <w:t>（7）罐区防火堤、围堰设置不规范、防渗设施破损、应急收集池失效，一旦有毒腐蚀性物料泄漏，易流淌扩散，进入雨水、污水管网，造成区域水体、土壤严重污染。</w:t>
      </w:r>
    </w:p>
    <w:p w14:paraId="195F52EC">
      <w:pPr>
        <w:pStyle w:val="49"/>
        <w:spacing w:line="500" w:lineRule="exact"/>
        <w:ind w:firstLine="472" w:firstLineChars="200"/>
        <w:jc w:val="both"/>
        <w:rPr>
          <w:rFonts w:cs="宋体"/>
          <w:b w:val="0"/>
          <w:color w:val="auto"/>
          <w:spacing w:val="-2"/>
        </w:rPr>
      </w:pPr>
      <w:r>
        <w:rPr>
          <w:rFonts w:hint="eastAsia" w:cs="宋体"/>
          <w:b w:val="0"/>
          <w:color w:val="auto"/>
          <w:spacing w:val="-2"/>
        </w:rPr>
        <w:t>（8）罐区电气设备不防爆、电气线路老化破损、穿线封堵不严，作业过程产生电火花，可诱发泄漏物料分解产气发生次生风险，引发设备损坏及安全事故。</w:t>
      </w:r>
    </w:p>
    <w:p w14:paraId="79D5B88D">
      <w:pPr>
        <w:pStyle w:val="49"/>
        <w:spacing w:line="500" w:lineRule="exact"/>
        <w:ind w:firstLine="472" w:firstLineChars="200"/>
        <w:jc w:val="both"/>
        <w:rPr>
          <w:rFonts w:cs="宋体"/>
          <w:b w:val="0"/>
          <w:color w:val="auto"/>
          <w:spacing w:val="-2"/>
        </w:rPr>
      </w:pPr>
      <w:r>
        <w:rPr>
          <w:rFonts w:hint="eastAsia" w:cs="宋体"/>
          <w:b w:val="0"/>
          <w:color w:val="auto"/>
          <w:spacing w:val="-2"/>
        </w:rPr>
        <w:t>（9）储罐呼吸阀、放空设施堵塞或失灵，物料储存、温度变化过程中罐内压力无法正常调节，易造成储罐胀罐、瘪罐，引发罐体变形、破裂泄漏事故；储存负荷超标也会超出呼吸阀设计负荷，造成压力异常。</w:t>
      </w:r>
    </w:p>
    <w:p w14:paraId="4E31A3FA">
      <w:pPr>
        <w:pStyle w:val="49"/>
        <w:spacing w:line="500" w:lineRule="exact"/>
        <w:ind w:firstLine="472" w:firstLineChars="200"/>
        <w:jc w:val="both"/>
        <w:rPr>
          <w:rFonts w:cs="宋体"/>
          <w:b w:val="0"/>
          <w:color w:val="auto"/>
          <w:spacing w:val="-2"/>
        </w:rPr>
      </w:pPr>
      <w:r>
        <w:rPr>
          <w:rFonts w:hint="eastAsia" w:cs="宋体"/>
          <w:b w:val="0"/>
          <w:color w:val="auto"/>
          <w:spacing w:val="-2"/>
        </w:rPr>
        <w:t>（10）储罐区防雷、防静电接地装置未定期检测、失效，无法有效导除静电及雷电电流，易引发雷击损坏、物料泄漏、有毒气体扩散风险。</w:t>
      </w:r>
    </w:p>
    <w:p w14:paraId="0306F68F">
      <w:pPr>
        <w:pStyle w:val="49"/>
        <w:spacing w:line="500" w:lineRule="exact"/>
        <w:ind w:firstLine="472" w:firstLineChars="200"/>
        <w:jc w:val="both"/>
        <w:rPr>
          <w:rFonts w:cs="宋体"/>
          <w:b w:val="0"/>
          <w:color w:val="auto"/>
          <w:spacing w:val="-2"/>
        </w:rPr>
      </w:pPr>
      <w:r>
        <w:rPr>
          <w:rFonts w:hint="eastAsia" w:cs="宋体"/>
          <w:b w:val="0"/>
          <w:color w:val="auto"/>
          <w:spacing w:val="-2"/>
        </w:rPr>
        <w:t>（11）罐区消防器材、应急喷淋、吸附防渗应急设施配置不足或失效，发生物料泄漏、污染事故时无法及时处置，易导致事故扩大、污染范围加剧。</w:t>
      </w:r>
    </w:p>
    <w:p w14:paraId="339CFF96">
      <w:pPr>
        <w:pStyle w:val="49"/>
        <w:spacing w:line="500" w:lineRule="exact"/>
        <w:ind w:firstLine="472" w:firstLineChars="200"/>
        <w:jc w:val="both"/>
        <w:rPr>
          <w:rFonts w:cs="宋体"/>
          <w:b w:val="0"/>
          <w:color w:val="auto"/>
          <w:spacing w:val="-2"/>
        </w:rPr>
      </w:pPr>
      <w:r>
        <w:rPr>
          <w:rFonts w:hint="eastAsia" w:cs="宋体"/>
          <w:b w:val="0"/>
          <w:color w:val="auto"/>
          <w:spacing w:val="-2"/>
        </w:rPr>
        <w:t>（12）储罐储存环境温度过高、夏季无降温遮阳措施，亚硫酸盐、硫代硫酸盐溶液受热稳定性下降，易发生热分解，释放二氧化硫、氨气等有毒腐蚀性气体，加剧泄漏及中毒污染风险。</w:t>
      </w:r>
    </w:p>
    <w:p w14:paraId="53898513">
      <w:pPr>
        <w:pStyle w:val="49"/>
        <w:spacing w:line="500" w:lineRule="exact"/>
        <w:ind w:firstLine="472" w:firstLineChars="200"/>
        <w:jc w:val="both"/>
        <w:rPr>
          <w:rFonts w:cs="宋体"/>
          <w:b w:val="0"/>
          <w:color w:val="auto"/>
          <w:spacing w:val="-2"/>
        </w:rPr>
      </w:pPr>
      <w:r>
        <w:rPr>
          <w:rFonts w:hint="eastAsia" w:cs="宋体"/>
          <w:b w:val="0"/>
          <w:color w:val="auto"/>
          <w:spacing w:val="-2"/>
        </w:rPr>
        <w:t>（二）仓库危险、有害因素分析</w:t>
      </w:r>
    </w:p>
    <w:p w14:paraId="5DF25D81">
      <w:pPr>
        <w:pStyle w:val="49"/>
        <w:spacing w:line="500" w:lineRule="exact"/>
        <w:ind w:firstLine="472" w:firstLineChars="200"/>
        <w:jc w:val="both"/>
        <w:rPr>
          <w:rFonts w:cs="宋体"/>
          <w:b w:val="0"/>
          <w:color w:val="auto"/>
          <w:spacing w:val="-2"/>
        </w:rPr>
      </w:pPr>
      <w:r>
        <w:rPr>
          <w:rFonts w:hint="eastAsia" w:cs="宋体"/>
          <w:b w:val="0"/>
          <w:color w:val="auto"/>
          <w:spacing w:val="-2"/>
        </w:rPr>
        <w:t>拟建项目成品仓库主要桶装储存外售硫代硫酸盐、亚硫酸盐液态成品，同时储存亚硫酸钾、亚硫酸钠、一水亚硫酸铵、硫代硫酸铵、硫代硫酸钙、硫代硫酸镁、硫代硫酸钾等固体粉体产品及少量原料硫磺、碳酸氢铵等，液态、粉体物料均具有还原性、潮解性、遇酸分解产毒特性，储存过程存在以下危险性：</w:t>
      </w:r>
    </w:p>
    <w:p w14:paraId="0D1A414F">
      <w:pPr>
        <w:pStyle w:val="49"/>
        <w:spacing w:line="500" w:lineRule="exact"/>
        <w:ind w:firstLine="472" w:firstLineChars="200"/>
        <w:jc w:val="both"/>
        <w:rPr>
          <w:rFonts w:cs="宋体"/>
          <w:b w:val="0"/>
          <w:color w:val="auto"/>
          <w:spacing w:val="-2"/>
        </w:rPr>
      </w:pPr>
      <w:r>
        <w:rPr>
          <w:rFonts w:hint="eastAsia" w:cs="宋体"/>
          <w:b w:val="0"/>
          <w:color w:val="auto"/>
          <w:spacing w:val="-2"/>
        </w:rPr>
        <w:t>（1）仓库桶装液态硫代硫酸盐、亚硫酸盐物料若桶体破损、密封失效、堆放倾倒，易造成腐蚀性溶液泄漏，引发地面腐蚀、人员灼伤风险；粉体物料堆放过程中，粉尘易悬浮于空气中，长期积聚可形成刺激性粉尘环境；各类硫系物料遇酸、遇湿易分解释放二氧化硫、氨气等有毒气体，引发人员呼吸道刺激、中毒危害。</w:t>
      </w:r>
    </w:p>
    <w:p w14:paraId="7C3AB932">
      <w:pPr>
        <w:pStyle w:val="49"/>
        <w:spacing w:line="500" w:lineRule="exact"/>
        <w:ind w:firstLine="472" w:firstLineChars="200"/>
        <w:jc w:val="both"/>
        <w:rPr>
          <w:rFonts w:cs="宋体"/>
          <w:b w:val="0"/>
          <w:color w:val="auto"/>
          <w:spacing w:val="-2"/>
        </w:rPr>
      </w:pPr>
      <w:r>
        <w:rPr>
          <w:rFonts w:hint="eastAsia" w:cs="宋体"/>
          <w:b w:val="0"/>
          <w:color w:val="auto"/>
          <w:spacing w:val="-2"/>
        </w:rPr>
        <w:t>（2）仓库有毒气体、粉尘报警装置失效，无法及时监测库内物料分解逸散的有毒气体及粉尘浓度，不能及时预警泄漏、分解风险，易造成人员慢性中毒、急性伤害事故。</w:t>
      </w:r>
    </w:p>
    <w:p w14:paraId="3255C895">
      <w:pPr>
        <w:pStyle w:val="49"/>
        <w:spacing w:line="500" w:lineRule="exact"/>
        <w:ind w:firstLine="472" w:firstLineChars="200"/>
        <w:jc w:val="both"/>
        <w:rPr>
          <w:rFonts w:cs="宋体"/>
          <w:b w:val="0"/>
          <w:color w:val="auto"/>
          <w:spacing w:val="-2"/>
        </w:rPr>
      </w:pPr>
      <w:r>
        <w:rPr>
          <w:rFonts w:hint="eastAsia" w:cs="宋体"/>
          <w:b w:val="0"/>
          <w:color w:val="auto"/>
          <w:spacing w:val="-2"/>
        </w:rPr>
        <w:t>（3）仓库内违规动火作业、携带明火、非防爆电气设备及机具进场，电气防爆性能不达标，可诱发粉尘、有毒气体环境发生次生安全事故，加剧风险危害。</w:t>
      </w:r>
    </w:p>
    <w:p w14:paraId="00B76C3B">
      <w:pPr>
        <w:pStyle w:val="49"/>
        <w:spacing w:line="500" w:lineRule="exact"/>
        <w:ind w:firstLine="472" w:firstLineChars="200"/>
        <w:jc w:val="both"/>
        <w:rPr>
          <w:rFonts w:cs="宋体"/>
          <w:b w:val="0"/>
          <w:color w:val="auto"/>
          <w:spacing w:val="-2"/>
        </w:rPr>
      </w:pPr>
      <w:r>
        <w:rPr>
          <w:rFonts w:hint="eastAsia" w:cs="宋体"/>
          <w:b w:val="0"/>
          <w:color w:val="auto"/>
          <w:spacing w:val="-2"/>
        </w:rPr>
        <w:t>（4）仓库消防器材、应急防护用品摆放不规范、取用不便或过期失效，发生物料泄漏、粉尘扩散、局部反应异常事故时，无法及时应急处置，导致事故扩大。</w:t>
      </w:r>
    </w:p>
    <w:p w14:paraId="32140A63">
      <w:pPr>
        <w:pStyle w:val="49"/>
        <w:spacing w:line="500" w:lineRule="exact"/>
        <w:ind w:firstLine="472" w:firstLineChars="200"/>
        <w:jc w:val="both"/>
        <w:rPr>
          <w:rFonts w:cs="宋体"/>
          <w:b w:val="0"/>
          <w:color w:val="auto"/>
          <w:spacing w:val="-2"/>
        </w:rPr>
      </w:pPr>
      <w:r>
        <w:rPr>
          <w:rFonts w:hint="eastAsia" w:cs="宋体"/>
          <w:b w:val="0"/>
          <w:color w:val="auto"/>
          <w:spacing w:val="-2"/>
        </w:rPr>
        <w:t>（5）仓库避雷设施缺失、未定期校验或失效，遭遇雷雨天气易发生雷击放电，引发库房设备损坏、物料受热分解，诱发安全及污染事故。</w:t>
      </w:r>
    </w:p>
    <w:p w14:paraId="07FE9719">
      <w:pPr>
        <w:pStyle w:val="49"/>
        <w:spacing w:line="500" w:lineRule="exact"/>
        <w:ind w:firstLine="472" w:firstLineChars="200"/>
        <w:jc w:val="both"/>
        <w:rPr>
          <w:rFonts w:cs="宋体"/>
          <w:b w:val="0"/>
          <w:color w:val="auto"/>
          <w:spacing w:val="-2"/>
        </w:rPr>
      </w:pPr>
      <w:r>
        <w:rPr>
          <w:rFonts w:hint="eastAsia" w:cs="宋体"/>
          <w:b w:val="0"/>
          <w:color w:val="auto"/>
          <w:spacing w:val="-2"/>
        </w:rPr>
        <w:t>（6）仓库内部电气线路老化、乱拉乱接、线路绝缘破损，产生电气火花、过热现象，可引发粉体物料局部受热分解、粉尘异常反应风险。</w:t>
      </w:r>
    </w:p>
    <w:p w14:paraId="4F3F2207">
      <w:pPr>
        <w:pStyle w:val="49"/>
        <w:spacing w:line="500" w:lineRule="exact"/>
        <w:ind w:firstLine="472" w:firstLineChars="200"/>
        <w:jc w:val="both"/>
        <w:rPr>
          <w:rFonts w:cs="宋体"/>
          <w:b w:val="0"/>
          <w:color w:val="auto"/>
          <w:spacing w:val="-2"/>
        </w:rPr>
      </w:pPr>
      <w:r>
        <w:rPr>
          <w:rFonts w:hint="eastAsia" w:cs="宋体"/>
          <w:b w:val="0"/>
          <w:color w:val="auto"/>
          <w:spacing w:val="-2"/>
        </w:rPr>
        <w:t>（7）仓库消防通道堵塞、堆垛挤占通道，一旦发生泄漏、分解、中毒事故，应急救援、疏散抢险难度增大，延误处置时机，扩大事故损失。</w:t>
      </w:r>
    </w:p>
    <w:p w14:paraId="79633062">
      <w:pPr>
        <w:pStyle w:val="49"/>
        <w:spacing w:line="500" w:lineRule="exact"/>
        <w:ind w:firstLine="472" w:firstLineChars="200"/>
        <w:jc w:val="both"/>
        <w:rPr>
          <w:rFonts w:cs="宋体"/>
          <w:b w:val="0"/>
          <w:color w:val="auto"/>
          <w:spacing w:val="-2"/>
        </w:rPr>
      </w:pPr>
      <w:r>
        <w:rPr>
          <w:rFonts w:hint="eastAsia" w:cs="宋体"/>
          <w:b w:val="0"/>
          <w:color w:val="auto"/>
          <w:spacing w:val="-2"/>
        </w:rPr>
        <w:t>（8）仓库通风不良、密闭潮湿，粉体物料易吸潮结块、受潮分解，持续释放有毒刺激性气体，操作人员长期作业易引发职业健康损害、中毒不适。</w:t>
      </w:r>
    </w:p>
    <w:p w14:paraId="368FEEDF">
      <w:pPr>
        <w:pStyle w:val="49"/>
        <w:spacing w:line="500" w:lineRule="exact"/>
        <w:ind w:firstLine="472" w:firstLineChars="200"/>
        <w:jc w:val="both"/>
        <w:rPr>
          <w:rFonts w:cs="宋体"/>
          <w:b w:val="0"/>
          <w:color w:val="auto"/>
          <w:spacing w:val="-2"/>
        </w:rPr>
      </w:pPr>
      <w:r>
        <w:rPr>
          <w:rFonts w:hint="eastAsia" w:cs="宋体"/>
          <w:b w:val="0"/>
          <w:color w:val="auto"/>
          <w:spacing w:val="-2"/>
        </w:rPr>
        <w:t>（9）仓库物料堆垛过高、堆放无序、通道狭窄，存在物体打击、高处坠落、物料坍塌风险，易造成设备损坏、物料洒落泄漏，诱发次生污染事故。</w:t>
      </w:r>
    </w:p>
    <w:p w14:paraId="30C0641F">
      <w:pPr>
        <w:pStyle w:val="49"/>
        <w:spacing w:line="500" w:lineRule="exact"/>
        <w:ind w:firstLine="472" w:firstLineChars="200"/>
        <w:jc w:val="both"/>
        <w:rPr>
          <w:rFonts w:cs="宋体"/>
          <w:b w:val="0"/>
          <w:color w:val="auto"/>
          <w:spacing w:val="-2"/>
        </w:rPr>
      </w:pPr>
      <w:r>
        <w:rPr>
          <w:rFonts w:hint="eastAsia" w:cs="宋体"/>
          <w:b w:val="0"/>
          <w:color w:val="auto"/>
          <w:spacing w:val="-2"/>
        </w:rPr>
        <w:t>（10）仓库物料未分区、分类、分隔存放，还原性硫系物料与酸性、氧化性物料混存，易发生化学反应，导致物料分解、产气、放热，引发中毒、腐蚀及安全事故；物料标识不清易导致误用、混存，引发生产及安全事故。</w:t>
      </w:r>
    </w:p>
    <w:p w14:paraId="4962295A">
      <w:pPr>
        <w:pStyle w:val="49"/>
        <w:spacing w:line="500" w:lineRule="exact"/>
        <w:ind w:firstLine="472" w:firstLineChars="200"/>
        <w:jc w:val="both"/>
        <w:rPr>
          <w:rFonts w:cs="宋体"/>
          <w:b w:val="0"/>
          <w:color w:val="auto"/>
          <w:spacing w:val="-2"/>
        </w:rPr>
      </w:pPr>
      <w:r>
        <w:rPr>
          <w:rFonts w:hint="eastAsia" w:cs="宋体"/>
          <w:b w:val="0"/>
          <w:color w:val="auto"/>
          <w:spacing w:val="-2"/>
        </w:rPr>
        <w:t>（三）装卸、输送过程危险、有害因素分析</w:t>
      </w:r>
    </w:p>
    <w:p w14:paraId="320F4D54">
      <w:pPr>
        <w:pStyle w:val="49"/>
        <w:spacing w:line="500" w:lineRule="exact"/>
        <w:ind w:firstLine="472" w:firstLineChars="200"/>
        <w:jc w:val="both"/>
        <w:rPr>
          <w:rFonts w:cs="宋体"/>
          <w:b w:val="0"/>
          <w:color w:val="auto"/>
          <w:spacing w:val="-2"/>
        </w:rPr>
      </w:pPr>
      <w:r>
        <w:rPr>
          <w:rFonts w:hint="eastAsia" w:cs="宋体"/>
          <w:b w:val="0"/>
          <w:color w:val="auto"/>
          <w:spacing w:val="-2"/>
        </w:rPr>
        <w:t>拟建物料输送及装卸作业主要涉及液氨、罐区储存的各类亚硫酸盐/硫代硫酸盐溶液、仓库桶装液态成品、固体粉体原料及成品，作业过程主要危险因素为物料泄漏、有毒气体逸散、腐蚀灼伤、中毒、环境污染等，具体分析如下：</w:t>
      </w:r>
    </w:p>
    <w:p w14:paraId="48129A95">
      <w:pPr>
        <w:pStyle w:val="49"/>
        <w:spacing w:line="500" w:lineRule="exact"/>
        <w:ind w:firstLine="472" w:firstLineChars="200"/>
        <w:jc w:val="both"/>
        <w:rPr>
          <w:rFonts w:cs="宋体"/>
          <w:b w:val="0"/>
          <w:color w:val="auto"/>
          <w:spacing w:val="-2"/>
        </w:rPr>
      </w:pPr>
      <w:r>
        <w:rPr>
          <w:rFonts w:hint="eastAsia" w:cs="宋体"/>
          <w:b w:val="0"/>
          <w:color w:val="auto"/>
          <w:spacing w:val="-2"/>
        </w:rPr>
        <w:t>（1）液态物料装卸前车辆未静置、未规范静电接地，装卸流速过快、静电跨接不规范，易造成静电积聚，诱发物料局部分解、产气异常，引发次生安全风险。</w:t>
      </w:r>
    </w:p>
    <w:p w14:paraId="3D2ED502">
      <w:pPr>
        <w:pStyle w:val="49"/>
        <w:spacing w:line="500" w:lineRule="exact"/>
        <w:ind w:firstLine="472" w:firstLineChars="200"/>
        <w:jc w:val="both"/>
        <w:rPr>
          <w:rFonts w:cs="宋体"/>
          <w:b w:val="0"/>
          <w:color w:val="auto"/>
          <w:spacing w:val="-2"/>
        </w:rPr>
      </w:pPr>
      <w:r>
        <w:rPr>
          <w:rFonts w:hint="eastAsia" w:cs="宋体"/>
          <w:b w:val="0"/>
          <w:color w:val="auto"/>
          <w:spacing w:val="-2"/>
        </w:rPr>
        <w:t>（2）物料运输车辆未规范佩戴阻火器，外来人员携带明火、作业人员穿戴非防静电工作服、硬底铁钉鞋进入作业区域，可引燃、激活泄漏逸散的有毒有害气体及粉尘，诱发安全事故。</w:t>
      </w:r>
    </w:p>
    <w:p w14:paraId="47D13B39">
      <w:pPr>
        <w:pStyle w:val="49"/>
        <w:spacing w:line="500" w:lineRule="exact"/>
        <w:ind w:firstLine="472" w:firstLineChars="200"/>
        <w:jc w:val="both"/>
        <w:rPr>
          <w:rFonts w:cs="宋体"/>
          <w:b w:val="0"/>
          <w:color w:val="auto"/>
          <w:spacing w:val="-2"/>
        </w:rPr>
      </w:pPr>
      <w:r>
        <w:rPr>
          <w:rFonts w:hint="eastAsia" w:cs="宋体"/>
          <w:b w:val="0"/>
          <w:color w:val="auto"/>
          <w:spacing w:val="-2"/>
        </w:rPr>
        <w:t>（3）物料输送管道、阀门、法兰、泵体密封件、轴封老化破损、变形移位，桶装物料装卸、搬运过程中桶体碰撞、翻滚、倾倒破损，或装卸操作不规范、阀门开关失误，易造成有毒、腐蚀性溶液及粉体物料泄漏，引发人员腐蚀灼伤、中毒及地面、水体污染事故。</w:t>
      </w:r>
    </w:p>
    <w:p w14:paraId="778D6B68">
      <w:pPr>
        <w:pStyle w:val="49"/>
        <w:spacing w:line="500" w:lineRule="exact"/>
        <w:ind w:firstLine="472" w:firstLineChars="200"/>
        <w:jc w:val="both"/>
        <w:rPr>
          <w:rFonts w:cs="宋体"/>
          <w:b w:val="0"/>
          <w:color w:val="auto"/>
          <w:spacing w:val="-2"/>
        </w:rPr>
      </w:pPr>
      <w:r>
        <w:rPr>
          <w:rFonts w:hint="eastAsia" w:cs="宋体"/>
          <w:b w:val="0"/>
          <w:color w:val="auto"/>
          <w:spacing w:val="-2"/>
        </w:rPr>
        <w:t>（4）雷雨、高温天气开展装卸作业，雷电干扰、环境高温易导致物料稳定性下降，加速物料分解产气，引发有毒气体大量逸散、次生风险升高。</w:t>
      </w:r>
    </w:p>
    <w:p w14:paraId="3885624C">
      <w:pPr>
        <w:pStyle w:val="49"/>
        <w:spacing w:line="500" w:lineRule="exact"/>
        <w:ind w:firstLine="472" w:firstLineChars="200"/>
        <w:jc w:val="both"/>
        <w:rPr>
          <w:rFonts w:cs="宋体"/>
          <w:b w:val="0"/>
          <w:color w:val="auto"/>
          <w:spacing w:val="-2"/>
        </w:rPr>
      </w:pPr>
      <w:r>
        <w:rPr>
          <w:rFonts w:hint="eastAsia" w:cs="宋体"/>
          <w:b w:val="0"/>
          <w:color w:val="auto"/>
          <w:spacing w:val="-2"/>
        </w:rPr>
        <w:t>（5）厂区物料转运车辆、装卸设备违规操作、作业不规范，易引发物体打击、车辆伤害、设备碰撞破损，造成管道、储罐破损泄漏，诱发泄漏污染、人员伤害事故。</w:t>
      </w:r>
    </w:p>
    <w:p w14:paraId="0A3BBB8B">
      <w:pPr>
        <w:pStyle w:val="5"/>
        <w:spacing w:before="156"/>
        <w:rPr>
          <w:color w:val="auto"/>
        </w:rPr>
      </w:pPr>
      <w:r>
        <w:rPr>
          <w:color w:val="auto"/>
        </w:rPr>
        <w:t>4.7.2.4公用工程中的危险有害因素识别</w:t>
      </w:r>
    </w:p>
    <w:p w14:paraId="1A4305E5">
      <w:pPr>
        <w:pStyle w:val="49"/>
        <w:spacing w:line="500" w:lineRule="exact"/>
        <w:ind w:firstLine="472" w:firstLineChars="200"/>
        <w:jc w:val="both"/>
        <w:rPr>
          <w:rFonts w:cs="宋体"/>
          <w:b w:val="0"/>
          <w:color w:val="auto"/>
          <w:spacing w:val="-2"/>
        </w:rPr>
      </w:pPr>
      <w:r>
        <w:rPr>
          <w:rFonts w:hint="eastAsia" w:cs="宋体"/>
          <w:b w:val="0"/>
          <w:color w:val="auto"/>
          <w:spacing w:val="-2"/>
        </w:rPr>
        <w:t>拟建</w:t>
      </w:r>
      <w:r>
        <w:rPr>
          <w:rFonts w:cs="宋体"/>
          <w:b w:val="0"/>
          <w:color w:val="auto"/>
          <w:spacing w:val="-2"/>
        </w:rPr>
        <w:t>依托厂区现有公用工程系统，包括供电、供水、供热、排水、冷冻机组、压缩空气系统、消防系统等，各系统运行过程中存在的危险有害因素识别如下：</w:t>
      </w:r>
    </w:p>
    <w:p w14:paraId="53923FEA">
      <w:pPr>
        <w:pStyle w:val="49"/>
        <w:spacing w:line="500" w:lineRule="exact"/>
        <w:ind w:firstLine="472" w:firstLineChars="200"/>
        <w:jc w:val="both"/>
        <w:rPr>
          <w:rFonts w:cs="宋体"/>
          <w:b w:val="0"/>
          <w:color w:val="auto"/>
          <w:spacing w:val="-2"/>
        </w:rPr>
      </w:pPr>
      <w:r>
        <w:rPr>
          <w:rFonts w:hint="eastAsia" w:cs="宋体"/>
          <w:b w:val="0"/>
          <w:color w:val="auto"/>
          <w:spacing w:val="-2"/>
        </w:rPr>
        <w:t>（一）</w:t>
      </w:r>
      <w:r>
        <w:rPr>
          <w:rFonts w:cs="宋体"/>
          <w:b w:val="0"/>
          <w:color w:val="auto"/>
          <w:spacing w:val="-2"/>
        </w:rPr>
        <w:t>供电系统</w:t>
      </w:r>
    </w:p>
    <w:p w14:paraId="3E19BD38">
      <w:pPr>
        <w:pStyle w:val="49"/>
        <w:spacing w:line="500" w:lineRule="exact"/>
        <w:ind w:firstLine="472" w:firstLineChars="200"/>
        <w:jc w:val="both"/>
        <w:rPr>
          <w:rFonts w:cs="宋体"/>
          <w:b w:val="0"/>
          <w:color w:val="auto"/>
          <w:spacing w:val="-2"/>
        </w:rPr>
      </w:pPr>
      <w:r>
        <w:rPr>
          <w:rFonts w:cs="宋体"/>
          <w:b w:val="0"/>
          <w:color w:val="auto"/>
          <w:spacing w:val="-2"/>
        </w:rPr>
        <w:t>厂区由园区两座 110kV 变电所供电，电源引自 220kV 汇龙变，运行过程中存在以下危险有害因素：</w:t>
      </w:r>
    </w:p>
    <w:p w14:paraId="5CCA8BA2">
      <w:pPr>
        <w:pStyle w:val="49"/>
        <w:spacing w:line="500" w:lineRule="exact"/>
        <w:ind w:firstLine="472" w:firstLineChars="200"/>
        <w:jc w:val="both"/>
        <w:rPr>
          <w:rFonts w:cs="宋体"/>
          <w:b w:val="0"/>
          <w:color w:val="auto"/>
          <w:spacing w:val="-2"/>
        </w:rPr>
      </w:pPr>
      <w:r>
        <w:rPr>
          <w:rFonts w:hint="eastAsia" w:cs="宋体"/>
          <w:b w:val="0"/>
          <w:color w:val="auto"/>
          <w:spacing w:val="-2"/>
        </w:rPr>
        <w:t>（1）</w:t>
      </w:r>
      <w:r>
        <w:rPr>
          <w:rFonts w:cs="宋体"/>
          <w:b w:val="0"/>
          <w:color w:val="auto"/>
          <w:spacing w:val="-2"/>
        </w:rPr>
        <w:t>电气设备、线路长期运行易发生绝缘老化、线路破损，引发漏电、短路，造成触电伤害或电气火灾；</w:t>
      </w:r>
    </w:p>
    <w:p w14:paraId="6FD4C71A">
      <w:pPr>
        <w:pStyle w:val="49"/>
        <w:spacing w:line="500" w:lineRule="exact"/>
        <w:ind w:firstLine="472" w:firstLineChars="200"/>
        <w:jc w:val="both"/>
        <w:rPr>
          <w:rFonts w:cs="宋体"/>
          <w:b w:val="0"/>
          <w:color w:val="auto"/>
          <w:spacing w:val="-2"/>
        </w:rPr>
      </w:pPr>
      <w:r>
        <w:rPr>
          <w:rFonts w:hint="eastAsia" w:cs="宋体"/>
          <w:b w:val="0"/>
          <w:color w:val="auto"/>
          <w:spacing w:val="-2"/>
        </w:rPr>
        <w:t>（2）</w:t>
      </w:r>
      <w:r>
        <w:rPr>
          <w:rFonts w:cs="宋体"/>
          <w:b w:val="0"/>
          <w:color w:val="auto"/>
          <w:spacing w:val="-2"/>
        </w:rPr>
        <w:t>生产车间部分区域属于腐蚀性、有毒气体环境，电气设备若未采取防腐、防爆措施，或防爆性能下降，运行时产生的电火花可能引燃、引爆泄漏的有毒、易燃介质；</w:t>
      </w:r>
    </w:p>
    <w:p w14:paraId="32251E3F">
      <w:pPr>
        <w:pStyle w:val="49"/>
        <w:spacing w:line="500" w:lineRule="exact"/>
        <w:ind w:firstLine="472" w:firstLineChars="200"/>
        <w:jc w:val="both"/>
        <w:rPr>
          <w:rFonts w:cs="宋体"/>
          <w:b w:val="0"/>
          <w:color w:val="auto"/>
          <w:spacing w:val="-2"/>
        </w:rPr>
      </w:pPr>
      <w:r>
        <w:rPr>
          <w:rFonts w:hint="eastAsia" w:cs="宋体"/>
          <w:b w:val="0"/>
          <w:color w:val="auto"/>
          <w:spacing w:val="-2"/>
        </w:rPr>
        <w:t>（3）</w:t>
      </w:r>
      <w:r>
        <w:rPr>
          <w:rFonts w:cs="宋体"/>
          <w:b w:val="0"/>
          <w:color w:val="auto"/>
          <w:spacing w:val="-2"/>
        </w:rPr>
        <w:t>防雷、防静电接地装置失效或未定期检测，雷击或静电积聚可引发设备损坏、火灾爆炸事故；</w:t>
      </w:r>
    </w:p>
    <w:p w14:paraId="7D476BE7">
      <w:pPr>
        <w:pStyle w:val="49"/>
        <w:spacing w:line="500" w:lineRule="exact"/>
        <w:ind w:firstLine="472" w:firstLineChars="200"/>
        <w:jc w:val="both"/>
        <w:rPr>
          <w:rFonts w:cs="宋体"/>
          <w:b w:val="0"/>
          <w:color w:val="auto"/>
          <w:spacing w:val="-2"/>
        </w:rPr>
      </w:pPr>
      <w:r>
        <w:rPr>
          <w:rFonts w:hint="eastAsia" w:cs="宋体"/>
          <w:b w:val="0"/>
          <w:color w:val="auto"/>
          <w:spacing w:val="-2"/>
        </w:rPr>
        <w:t>（4）</w:t>
      </w:r>
      <w:r>
        <w:rPr>
          <w:rFonts w:cs="宋体"/>
          <w:b w:val="0"/>
          <w:color w:val="auto"/>
          <w:spacing w:val="-2"/>
        </w:rPr>
        <w:t>变配电设施维护不当，操作失误可能导致电气设备故障，造成全厂或局部停电，引发工艺冷却中断、反应失控等次生事故。</w:t>
      </w:r>
    </w:p>
    <w:p w14:paraId="6BDCB389">
      <w:pPr>
        <w:pStyle w:val="49"/>
        <w:spacing w:line="500" w:lineRule="exact"/>
        <w:ind w:firstLine="472" w:firstLineChars="200"/>
        <w:jc w:val="both"/>
        <w:rPr>
          <w:rFonts w:cs="宋体"/>
          <w:b w:val="0"/>
          <w:color w:val="auto"/>
          <w:spacing w:val="-2"/>
        </w:rPr>
      </w:pPr>
      <w:r>
        <w:rPr>
          <w:rFonts w:cs="宋体"/>
          <w:b w:val="0"/>
          <w:color w:val="auto"/>
          <w:spacing w:val="-2"/>
        </w:rPr>
        <w:t>（</w:t>
      </w:r>
      <w:r>
        <w:rPr>
          <w:rFonts w:hint="eastAsia" w:cs="宋体"/>
          <w:b w:val="0"/>
          <w:color w:val="auto"/>
          <w:spacing w:val="-2"/>
        </w:rPr>
        <w:t>二</w:t>
      </w:r>
      <w:r>
        <w:rPr>
          <w:rFonts w:cs="宋体"/>
          <w:b w:val="0"/>
          <w:color w:val="auto"/>
          <w:spacing w:val="-2"/>
        </w:rPr>
        <w:t>）供水系统</w:t>
      </w:r>
    </w:p>
    <w:p w14:paraId="5686DBC4">
      <w:pPr>
        <w:pStyle w:val="49"/>
        <w:spacing w:line="500" w:lineRule="exact"/>
        <w:ind w:firstLine="472" w:firstLineChars="200"/>
        <w:jc w:val="both"/>
        <w:rPr>
          <w:rFonts w:cs="宋体"/>
          <w:b w:val="0"/>
          <w:color w:val="auto"/>
          <w:spacing w:val="-2"/>
        </w:rPr>
      </w:pPr>
      <w:r>
        <w:rPr>
          <w:rFonts w:cs="宋体"/>
          <w:b w:val="0"/>
          <w:color w:val="auto"/>
          <w:spacing w:val="-2"/>
        </w:rPr>
        <w:t>拟建项目用水取自地下水、地表水，依托厂区现有供水系统，运行过程中存在以下危险有害因素：</w:t>
      </w:r>
    </w:p>
    <w:p w14:paraId="6FB39EA7">
      <w:pPr>
        <w:pStyle w:val="49"/>
        <w:spacing w:line="500" w:lineRule="exact"/>
        <w:ind w:firstLine="472" w:firstLineChars="200"/>
        <w:jc w:val="both"/>
        <w:rPr>
          <w:rFonts w:cs="宋体"/>
          <w:b w:val="0"/>
          <w:color w:val="auto"/>
          <w:spacing w:val="-2"/>
        </w:rPr>
      </w:pPr>
      <w:r>
        <w:rPr>
          <w:rFonts w:hint="eastAsia" w:cs="宋体"/>
          <w:b w:val="0"/>
          <w:color w:val="auto"/>
          <w:spacing w:val="-2"/>
        </w:rPr>
        <w:t>（1）</w:t>
      </w:r>
      <w:r>
        <w:rPr>
          <w:rFonts w:cs="宋体"/>
          <w:b w:val="0"/>
          <w:color w:val="auto"/>
          <w:spacing w:val="-2"/>
        </w:rPr>
        <w:t>供水管道长期受水质腐蚀、结垢，可能导致管道破裂、泄漏，造成厂区积水、设备损坏；</w:t>
      </w:r>
    </w:p>
    <w:p w14:paraId="3616DAD6">
      <w:pPr>
        <w:pStyle w:val="49"/>
        <w:spacing w:line="500" w:lineRule="exact"/>
        <w:ind w:firstLine="472" w:firstLineChars="200"/>
        <w:jc w:val="both"/>
        <w:rPr>
          <w:rFonts w:cs="宋体"/>
          <w:b w:val="0"/>
          <w:color w:val="auto"/>
          <w:spacing w:val="-2"/>
        </w:rPr>
      </w:pPr>
      <w:r>
        <w:rPr>
          <w:rFonts w:hint="eastAsia" w:cs="宋体"/>
          <w:b w:val="0"/>
          <w:color w:val="auto"/>
          <w:spacing w:val="-2"/>
        </w:rPr>
        <w:t>（2）</w:t>
      </w:r>
      <w:r>
        <w:rPr>
          <w:rFonts w:cs="宋体"/>
          <w:b w:val="0"/>
          <w:color w:val="auto"/>
          <w:spacing w:val="-2"/>
        </w:rPr>
        <w:t>供水管网压力异常波动，可能导致供水不足或断水，影响冷却、工艺用水供应，引发工艺过程温度、压力失控；</w:t>
      </w:r>
    </w:p>
    <w:p w14:paraId="4940420E">
      <w:pPr>
        <w:pStyle w:val="49"/>
        <w:spacing w:line="500" w:lineRule="exact"/>
        <w:ind w:firstLine="472" w:firstLineChars="200"/>
        <w:jc w:val="both"/>
        <w:rPr>
          <w:rFonts w:cs="宋体"/>
          <w:b w:val="0"/>
          <w:color w:val="auto"/>
          <w:spacing w:val="-2"/>
        </w:rPr>
      </w:pPr>
      <w:r>
        <w:rPr>
          <w:rFonts w:hint="eastAsia" w:cs="宋体"/>
          <w:b w:val="0"/>
          <w:color w:val="auto"/>
          <w:spacing w:val="-2"/>
        </w:rPr>
        <w:t>（3）</w:t>
      </w:r>
      <w:r>
        <w:rPr>
          <w:rFonts w:cs="宋体"/>
          <w:b w:val="0"/>
          <w:color w:val="auto"/>
          <w:spacing w:val="-2"/>
        </w:rPr>
        <w:t>储水设施若防护不当、缺少警示标志，存在人员淹溺、滑倒伤害风险。</w:t>
      </w:r>
    </w:p>
    <w:p w14:paraId="2449FAC1">
      <w:pPr>
        <w:pStyle w:val="49"/>
        <w:spacing w:line="500" w:lineRule="exact"/>
        <w:ind w:firstLine="472" w:firstLineChars="200"/>
        <w:jc w:val="both"/>
        <w:rPr>
          <w:rFonts w:cs="宋体"/>
          <w:b w:val="0"/>
          <w:color w:val="auto"/>
          <w:spacing w:val="-2"/>
        </w:rPr>
      </w:pPr>
      <w:r>
        <w:rPr>
          <w:rFonts w:hint="eastAsia" w:cs="宋体"/>
          <w:b w:val="0"/>
          <w:color w:val="auto"/>
          <w:spacing w:val="-2"/>
        </w:rPr>
        <w:t>（三）</w:t>
      </w:r>
      <w:r>
        <w:rPr>
          <w:rFonts w:cs="宋体"/>
          <w:b w:val="0"/>
          <w:color w:val="auto"/>
          <w:spacing w:val="-2"/>
        </w:rPr>
        <w:t>供热/蒸汽系统</w:t>
      </w:r>
    </w:p>
    <w:p w14:paraId="58FEE883">
      <w:pPr>
        <w:pStyle w:val="49"/>
        <w:spacing w:line="500" w:lineRule="exact"/>
        <w:ind w:firstLine="472" w:firstLineChars="200"/>
        <w:jc w:val="both"/>
        <w:rPr>
          <w:rFonts w:cs="宋体"/>
          <w:b w:val="0"/>
          <w:color w:val="auto"/>
          <w:spacing w:val="-2"/>
        </w:rPr>
      </w:pPr>
      <w:r>
        <w:rPr>
          <w:rFonts w:cs="宋体"/>
          <w:b w:val="0"/>
          <w:color w:val="auto"/>
          <w:spacing w:val="-2"/>
        </w:rPr>
        <w:t>项目蒸汽由国信启东热电集中供应，同时依托企业现有焚烧炉回收蒸汽，运行过程中存在以下危险有害因素：</w:t>
      </w:r>
    </w:p>
    <w:p w14:paraId="4AF18E2B">
      <w:pPr>
        <w:pStyle w:val="49"/>
        <w:spacing w:line="500" w:lineRule="exact"/>
        <w:ind w:firstLine="472" w:firstLineChars="200"/>
        <w:jc w:val="both"/>
        <w:rPr>
          <w:rFonts w:cs="宋体"/>
          <w:b w:val="0"/>
          <w:color w:val="auto"/>
          <w:spacing w:val="-2"/>
        </w:rPr>
      </w:pPr>
      <w:r>
        <w:rPr>
          <w:rFonts w:hint="eastAsia" w:cs="宋体"/>
          <w:b w:val="0"/>
          <w:color w:val="auto"/>
          <w:spacing w:val="-2"/>
        </w:rPr>
        <w:t>（1）</w:t>
      </w:r>
      <w:r>
        <w:rPr>
          <w:rFonts w:cs="宋体"/>
          <w:b w:val="0"/>
          <w:color w:val="auto"/>
          <w:spacing w:val="-2"/>
        </w:rPr>
        <w:t>蒸汽管道、阀门、法兰、密封件长期受高温、高压影响，易发生腐蚀、疲劳破损，导致蒸汽泄漏，引发人员烫伤、灼伤；</w:t>
      </w:r>
    </w:p>
    <w:p w14:paraId="03B2AE78">
      <w:pPr>
        <w:pStyle w:val="49"/>
        <w:spacing w:line="500" w:lineRule="exact"/>
        <w:ind w:firstLine="472" w:firstLineChars="200"/>
        <w:jc w:val="both"/>
        <w:rPr>
          <w:rFonts w:cs="宋体"/>
          <w:b w:val="0"/>
          <w:color w:val="auto"/>
          <w:spacing w:val="-2"/>
        </w:rPr>
      </w:pPr>
      <w:r>
        <w:rPr>
          <w:rFonts w:hint="eastAsia" w:cs="宋体"/>
          <w:b w:val="0"/>
          <w:color w:val="auto"/>
          <w:spacing w:val="-2"/>
        </w:rPr>
        <w:t>（2）</w:t>
      </w:r>
      <w:r>
        <w:rPr>
          <w:rFonts w:cs="宋体"/>
          <w:b w:val="0"/>
          <w:color w:val="auto"/>
          <w:spacing w:val="-2"/>
        </w:rPr>
        <w:t>蒸汽系统安全阀、压力表、减压阀等安全附件未定期校验、失灵，可能导致设备超压运行，引发物理爆炸事故；</w:t>
      </w:r>
    </w:p>
    <w:p w14:paraId="19BF3B02">
      <w:pPr>
        <w:pStyle w:val="49"/>
        <w:spacing w:line="500" w:lineRule="exact"/>
        <w:ind w:firstLine="472" w:firstLineChars="200"/>
        <w:jc w:val="both"/>
        <w:rPr>
          <w:rFonts w:cs="宋体"/>
          <w:b w:val="0"/>
          <w:color w:val="auto"/>
          <w:spacing w:val="-2"/>
        </w:rPr>
      </w:pPr>
      <w:r>
        <w:rPr>
          <w:rFonts w:hint="eastAsia" w:cs="宋体"/>
          <w:b w:val="0"/>
          <w:color w:val="auto"/>
          <w:spacing w:val="-2"/>
        </w:rPr>
        <w:t>（3）</w:t>
      </w:r>
      <w:r>
        <w:rPr>
          <w:rFonts w:cs="宋体"/>
          <w:b w:val="0"/>
          <w:color w:val="auto"/>
          <w:spacing w:val="-2"/>
        </w:rPr>
        <w:t>蒸汽管道保温层破损，高温管壁裸露，易造成人员烫伤；管道支架松动、移位，可能导致管道变形、破裂，引发蒸汽泄漏事故。</w:t>
      </w:r>
    </w:p>
    <w:p w14:paraId="02FCD0CC">
      <w:pPr>
        <w:pStyle w:val="49"/>
        <w:spacing w:line="500" w:lineRule="exact"/>
        <w:ind w:firstLine="472" w:firstLineChars="200"/>
        <w:jc w:val="both"/>
        <w:rPr>
          <w:rFonts w:cs="宋体"/>
          <w:b w:val="0"/>
          <w:color w:val="auto"/>
          <w:spacing w:val="-2"/>
        </w:rPr>
      </w:pPr>
      <w:r>
        <w:rPr>
          <w:rFonts w:cs="宋体"/>
          <w:b w:val="0"/>
          <w:color w:val="auto"/>
          <w:spacing w:val="-2"/>
        </w:rPr>
        <w:t>（</w:t>
      </w:r>
      <w:r>
        <w:rPr>
          <w:rFonts w:hint="eastAsia" w:cs="宋体"/>
          <w:b w:val="0"/>
          <w:color w:val="auto"/>
          <w:spacing w:val="-2"/>
        </w:rPr>
        <w:t>四</w:t>
      </w:r>
      <w:r>
        <w:rPr>
          <w:rFonts w:cs="宋体"/>
          <w:b w:val="0"/>
          <w:color w:val="auto"/>
          <w:spacing w:val="-2"/>
        </w:rPr>
        <w:t>）排水系统</w:t>
      </w:r>
    </w:p>
    <w:p w14:paraId="07C96ACA">
      <w:pPr>
        <w:pStyle w:val="49"/>
        <w:spacing w:line="500" w:lineRule="exact"/>
        <w:ind w:firstLine="472" w:firstLineChars="200"/>
        <w:jc w:val="both"/>
        <w:rPr>
          <w:rFonts w:cs="宋体"/>
          <w:b w:val="0"/>
          <w:color w:val="auto"/>
          <w:spacing w:val="-2"/>
        </w:rPr>
      </w:pPr>
      <w:r>
        <w:rPr>
          <w:rFonts w:cs="宋体"/>
          <w:b w:val="0"/>
          <w:color w:val="auto"/>
          <w:spacing w:val="-2"/>
        </w:rPr>
        <w:t xml:space="preserve">项目实施清污分流，废水依托新建 </w:t>
      </w:r>
      <w:r>
        <w:rPr>
          <w:rFonts w:hint="eastAsia" w:cs="宋体"/>
          <w:b w:val="0"/>
          <w:color w:val="auto"/>
          <w:spacing w:val="-2"/>
          <w:lang w:val="en-US" w:eastAsia="zh-CN"/>
        </w:rPr>
        <w:t>1</w:t>
      </w:r>
      <w:r>
        <w:rPr>
          <w:rFonts w:cs="宋体"/>
          <w:b w:val="0"/>
          <w:color w:val="auto"/>
          <w:spacing w:val="-2"/>
        </w:rPr>
        <w:t># 废水站处理，运行过程中存在以下危险有害因素：</w:t>
      </w:r>
    </w:p>
    <w:p w14:paraId="5466C954">
      <w:pPr>
        <w:pStyle w:val="49"/>
        <w:spacing w:line="500" w:lineRule="exact"/>
        <w:ind w:firstLine="472" w:firstLineChars="200"/>
        <w:jc w:val="both"/>
        <w:rPr>
          <w:rFonts w:cs="宋体"/>
          <w:b w:val="0"/>
          <w:color w:val="auto"/>
          <w:spacing w:val="-2"/>
        </w:rPr>
      </w:pPr>
      <w:r>
        <w:rPr>
          <w:rFonts w:hint="eastAsia" w:cs="宋体"/>
          <w:b w:val="0"/>
          <w:color w:val="auto"/>
          <w:spacing w:val="-2"/>
        </w:rPr>
        <w:t>（1）</w:t>
      </w:r>
      <w:r>
        <w:rPr>
          <w:rFonts w:cs="宋体"/>
          <w:b w:val="0"/>
          <w:color w:val="auto"/>
          <w:spacing w:val="-2"/>
        </w:rPr>
        <w:t>排水管道、集水井若发生堵塞、破裂，含腐蚀性、有毒物质的废水可能外溢，造成厂区环境污染及人员接触伤害；</w:t>
      </w:r>
    </w:p>
    <w:p w14:paraId="42009008">
      <w:pPr>
        <w:pStyle w:val="49"/>
        <w:spacing w:line="500" w:lineRule="exact"/>
        <w:ind w:firstLine="472" w:firstLineChars="200"/>
        <w:jc w:val="both"/>
        <w:rPr>
          <w:rFonts w:cs="宋体"/>
          <w:b w:val="0"/>
          <w:color w:val="auto"/>
          <w:spacing w:val="-2"/>
        </w:rPr>
      </w:pPr>
      <w:r>
        <w:rPr>
          <w:rFonts w:hint="eastAsia" w:cs="宋体"/>
          <w:b w:val="0"/>
          <w:color w:val="auto"/>
          <w:spacing w:val="-2"/>
        </w:rPr>
        <w:t>（2）</w:t>
      </w:r>
      <w:r>
        <w:rPr>
          <w:rFonts w:cs="宋体"/>
          <w:b w:val="0"/>
          <w:color w:val="auto"/>
          <w:spacing w:val="-2"/>
        </w:rPr>
        <w:t>废水处理站设备（水泵、曝气装置、加药设备）运行维护不当，易发生漏电、机械伤害事故；</w:t>
      </w:r>
    </w:p>
    <w:p w14:paraId="1694954B">
      <w:pPr>
        <w:pStyle w:val="49"/>
        <w:spacing w:line="500" w:lineRule="exact"/>
        <w:ind w:firstLine="472" w:firstLineChars="200"/>
        <w:jc w:val="both"/>
        <w:rPr>
          <w:rFonts w:cs="宋体"/>
          <w:b w:val="0"/>
          <w:color w:val="auto"/>
          <w:spacing w:val="-2"/>
        </w:rPr>
      </w:pPr>
      <w:r>
        <w:rPr>
          <w:rFonts w:hint="eastAsia" w:cs="宋体"/>
          <w:b w:val="0"/>
          <w:color w:val="auto"/>
          <w:spacing w:val="-2"/>
        </w:rPr>
        <w:t>（3）</w:t>
      </w:r>
      <w:r>
        <w:rPr>
          <w:rFonts w:cs="宋体"/>
          <w:b w:val="0"/>
          <w:color w:val="auto"/>
          <w:spacing w:val="-2"/>
        </w:rPr>
        <w:t>废水池、调节池等设施若缺少防护栏、盖板或警示标志，存在人员坠落、淹溺风险；</w:t>
      </w:r>
    </w:p>
    <w:p w14:paraId="1F277AD6">
      <w:pPr>
        <w:pStyle w:val="49"/>
        <w:spacing w:line="500" w:lineRule="exact"/>
        <w:ind w:firstLine="472" w:firstLineChars="200"/>
        <w:jc w:val="both"/>
        <w:rPr>
          <w:rFonts w:cs="宋体"/>
          <w:b w:val="0"/>
          <w:color w:val="auto"/>
          <w:spacing w:val="-2"/>
        </w:rPr>
      </w:pPr>
      <w:r>
        <w:rPr>
          <w:rFonts w:hint="eastAsia" w:cs="宋体"/>
          <w:b w:val="0"/>
          <w:color w:val="auto"/>
          <w:spacing w:val="-2"/>
        </w:rPr>
        <w:t>（4）</w:t>
      </w:r>
      <w:r>
        <w:rPr>
          <w:rFonts w:cs="宋体"/>
          <w:b w:val="0"/>
          <w:color w:val="auto"/>
          <w:spacing w:val="-2"/>
        </w:rPr>
        <w:t>废水处理过程中，若药剂储存、投加不当，可能引发腐蚀性伤害或药剂反应异常。</w:t>
      </w:r>
    </w:p>
    <w:p w14:paraId="2D43FF32">
      <w:pPr>
        <w:pStyle w:val="49"/>
        <w:spacing w:line="500" w:lineRule="exact"/>
        <w:ind w:firstLine="472" w:firstLineChars="200"/>
        <w:jc w:val="both"/>
        <w:rPr>
          <w:rFonts w:cs="宋体"/>
          <w:b w:val="0"/>
          <w:color w:val="auto"/>
          <w:spacing w:val="-2"/>
        </w:rPr>
      </w:pPr>
      <w:r>
        <w:rPr>
          <w:rFonts w:cs="宋体"/>
          <w:b w:val="0"/>
          <w:color w:val="auto"/>
          <w:spacing w:val="-2"/>
        </w:rPr>
        <w:t>（</w:t>
      </w:r>
      <w:r>
        <w:rPr>
          <w:rFonts w:hint="eastAsia" w:cs="宋体"/>
          <w:b w:val="0"/>
          <w:color w:val="auto"/>
          <w:spacing w:val="-2"/>
        </w:rPr>
        <w:t>五</w:t>
      </w:r>
      <w:r>
        <w:rPr>
          <w:rFonts w:cs="宋体"/>
          <w:b w:val="0"/>
          <w:color w:val="auto"/>
          <w:spacing w:val="-2"/>
        </w:rPr>
        <w:t>）冷冻机组系统</w:t>
      </w:r>
    </w:p>
    <w:p w14:paraId="4FF8B718">
      <w:pPr>
        <w:pStyle w:val="49"/>
        <w:spacing w:line="500" w:lineRule="exact"/>
        <w:ind w:firstLine="472" w:firstLineChars="200"/>
        <w:jc w:val="both"/>
        <w:rPr>
          <w:rFonts w:cs="宋体"/>
          <w:b w:val="0"/>
          <w:color w:val="auto"/>
          <w:spacing w:val="-2"/>
        </w:rPr>
      </w:pPr>
      <w:r>
        <w:rPr>
          <w:rFonts w:cs="宋体"/>
          <w:b w:val="0"/>
          <w:color w:val="auto"/>
          <w:spacing w:val="-2"/>
        </w:rPr>
        <w:t>企业现有冷冻机房设置螺杆式冷冻机组，拟建项目依托其富余冷量，运行过程中存在以下危险有害因素：</w:t>
      </w:r>
    </w:p>
    <w:p w14:paraId="69741FB7">
      <w:pPr>
        <w:pStyle w:val="49"/>
        <w:spacing w:line="500" w:lineRule="exact"/>
        <w:ind w:firstLine="472" w:firstLineChars="200"/>
        <w:jc w:val="both"/>
        <w:rPr>
          <w:rFonts w:cs="宋体"/>
          <w:b w:val="0"/>
          <w:color w:val="auto"/>
          <w:spacing w:val="-2"/>
        </w:rPr>
      </w:pPr>
      <w:r>
        <w:rPr>
          <w:rFonts w:hint="eastAsia" w:cs="宋体"/>
          <w:b w:val="0"/>
          <w:color w:val="auto"/>
          <w:spacing w:val="-2"/>
        </w:rPr>
        <w:t>（1）</w:t>
      </w:r>
      <w:r>
        <w:rPr>
          <w:rFonts w:cs="宋体"/>
          <w:b w:val="0"/>
          <w:color w:val="auto"/>
          <w:spacing w:val="-2"/>
        </w:rPr>
        <w:t>机组的冷凝器、蒸发器、制冷剂储罐等属压力容器，若存在设计、制造缺陷，或安全附件（安全阀、压力表）失灵，易发生物理爆炸事故；</w:t>
      </w:r>
    </w:p>
    <w:p w14:paraId="6371F589">
      <w:pPr>
        <w:pStyle w:val="49"/>
        <w:spacing w:line="500" w:lineRule="exact"/>
        <w:ind w:firstLine="472" w:firstLineChars="200"/>
        <w:jc w:val="both"/>
        <w:rPr>
          <w:rFonts w:cs="宋体"/>
          <w:b w:val="0"/>
          <w:color w:val="auto"/>
          <w:spacing w:val="-2"/>
        </w:rPr>
      </w:pPr>
      <w:r>
        <w:rPr>
          <w:rFonts w:hint="eastAsia" w:cs="宋体"/>
          <w:b w:val="0"/>
          <w:color w:val="auto"/>
          <w:spacing w:val="-2"/>
        </w:rPr>
        <w:t>（2）</w:t>
      </w:r>
      <w:r>
        <w:rPr>
          <w:rFonts w:cs="宋体"/>
          <w:b w:val="0"/>
          <w:color w:val="auto"/>
          <w:spacing w:val="-2"/>
        </w:rPr>
        <w:t>机组长期运行易产生机械磨损、润滑不良，可能导致设备卡涩、过热，引发故障甚至火灾；</w:t>
      </w:r>
    </w:p>
    <w:p w14:paraId="7DEF5D23">
      <w:pPr>
        <w:pStyle w:val="49"/>
        <w:spacing w:line="500" w:lineRule="exact"/>
        <w:ind w:firstLine="472" w:firstLineChars="200"/>
        <w:jc w:val="both"/>
        <w:rPr>
          <w:rFonts w:cs="宋体"/>
          <w:b w:val="0"/>
          <w:color w:val="auto"/>
          <w:spacing w:val="-2"/>
        </w:rPr>
      </w:pPr>
      <w:r>
        <w:rPr>
          <w:rFonts w:hint="eastAsia" w:cs="宋体"/>
          <w:b w:val="0"/>
          <w:color w:val="auto"/>
          <w:spacing w:val="-2"/>
        </w:rPr>
        <w:t>（3）</w:t>
      </w:r>
      <w:r>
        <w:rPr>
          <w:rFonts w:cs="宋体"/>
          <w:b w:val="0"/>
          <w:color w:val="auto"/>
          <w:spacing w:val="-2"/>
        </w:rPr>
        <w:t>机组运行过程中会产生高噪声，长期接触可造成作业人员噪声危害；</w:t>
      </w:r>
    </w:p>
    <w:p w14:paraId="0C045EA5">
      <w:pPr>
        <w:pStyle w:val="49"/>
        <w:spacing w:line="500" w:lineRule="exact"/>
        <w:ind w:firstLine="472" w:firstLineChars="200"/>
        <w:jc w:val="both"/>
        <w:rPr>
          <w:rFonts w:cs="宋体"/>
          <w:b w:val="0"/>
          <w:color w:val="auto"/>
          <w:spacing w:val="-2"/>
        </w:rPr>
      </w:pPr>
      <w:r>
        <w:rPr>
          <w:rFonts w:hint="eastAsia" w:cs="宋体"/>
          <w:b w:val="0"/>
          <w:color w:val="auto"/>
          <w:spacing w:val="-2"/>
        </w:rPr>
        <w:t>（4）</w:t>
      </w:r>
      <w:r>
        <w:rPr>
          <w:rFonts w:cs="宋体"/>
          <w:b w:val="0"/>
          <w:color w:val="auto"/>
          <w:spacing w:val="-2"/>
        </w:rPr>
        <w:t>冷冻机房设备防护不当，转动部件易造成机械伤害；电气线路、设备若未采取防护措施，存在触电风险；</w:t>
      </w:r>
    </w:p>
    <w:p w14:paraId="5565B87A">
      <w:pPr>
        <w:pStyle w:val="49"/>
        <w:spacing w:line="500" w:lineRule="exact"/>
        <w:ind w:firstLine="472" w:firstLineChars="200"/>
        <w:jc w:val="both"/>
        <w:rPr>
          <w:rFonts w:cs="宋体"/>
          <w:b w:val="0"/>
          <w:color w:val="auto"/>
          <w:spacing w:val="-2"/>
        </w:rPr>
      </w:pPr>
      <w:r>
        <w:rPr>
          <w:rFonts w:hint="eastAsia" w:cs="宋体"/>
          <w:b w:val="0"/>
          <w:color w:val="auto"/>
          <w:spacing w:val="-2"/>
        </w:rPr>
        <w:t>（5）</w:t>
      </w:r>
      <w:r>
        <w:rPr>
          <w:rFonts w:cs="宋体"/>
          <w:b w:val="0"/>
          <w:color w:val="auto"/>
          <w:spacing w:val="-2"/>
        </w:rPr>
        <w:t>冷冻水、盐水池若缺少盖板、护栏，可能造成人员淹溺、滑倒伤害。</w:t>
      </w:r>
    </w:p>
    <w:p w14:paraId="4C21C287">
      <w:pPr>
        <w:pStyle w:val="49"/>
        <w:spacing w:line="500" w:lineRule="exact"/>
        <w:ind w:firstLine="472" w:firstLineChars="200"/>
        <w:jc w:val="both"/>
        <w:rPr>
          <w:rFonts w:cs="宋体"/>
          <w:b w:val="0"/>
          <w:color w:val="auto"/>
          <w:spacing w:val="-2"/>
        </w:rPr>
      </w:pPr>
      <w:r>
        <w:rPr>
          <w:rFonts w:cs="宋体"/>
          <w:b w:val="0"/>
          <w:color w:val="auto"/>
          <w:spacing w:val="-2"/>
        </w:rPr>
        <w:t>（</w:t>
      </w:r>
      <w:r>
        <w:rPr>
          <w:rFonts w:hint="eastAsia" w:cs="宋体"/>
          <w:b w:val="0"/>
          <w:color w:val="auto"/>
          <w:spacing w:val="-2"/>
        </w:rPr>
        <w:t>六</w:t>
      </w:r>
      <w:r>
        <w:rPr>
          <w:rFonts w:cs="宋体"/>
          <w:b w:val="0"/>
          <w:color w:val="auto"/>
          <w:spacing w:val="-2"/>
        </w:rPr>
        <w:t>）压缩空气系统</w:t>
      </w:r>
    </w:p>
    <w:p w14:paraId="263D5B6E">
      <w:pPr>
        <w:pStyle w:val="49"/>
        <w:spacing w:line="500" w:lineRule="exact"/>
        <w:ind w:firstLine="472" w:firstLineChars="200"/>
        <w:jc w:val="both"/>
        <w:rPr>
          <w:rFonts w:cs="宋体"/>
          <w:b w:val="0"/>
          <w:color w:val="auto"/>
          <w:spacing w:val="-2"/>
        </w:rPr>
      </w:pPr>
      <w:r>
        <w:rPr>
          <w:rFonts w:cs="宋体"/>
          <w:b w:val="0"/>
          <w:color w:val="auto"/>
          <w:spacing w:val="-2"/>
        </w:rPr>
        <w:t>项目压缩空气和仪表空气由2台8Nm³/min螺杆式空气压缩机供应，一用一备，运行过程中存在以下危险有害因素：</w:t>
      </w:r>
    </w:p>
    <w:p w14:paraId="0FD62D12">
      <w:pPr>
        <w:pStyle w:val="49"/>
        <w:spacing w:line="500" w:lineRule="exact"/>
        <w:ind w:firstLine="472" w:firstLineChars="200"/>
        <w:jc w:val="both"/>
        <w:rPr>
          <w:rFonts w:cs="宋体"/>
          <w:b w:val="0"/>
          <w:color w:val="auto"/>
          <w:spacing w:val="-2"/>
        </w:rPr>
      </w:pPr>
      <w:r>
        <w:rPr>
          <w:rFonts w:hint="eastAsia" w:cs="宋体"/>
          <w:b w:val="0"/>
          <w:color w:val="auto"/>
          <w:spacing w:val="-2"/>
        </w:rPr>
        <w:t>（1）</w:t>
      </w:r>
      <w:r>
        <w:rPr>
          <w:rFonts w:cs="宋体"/>
          <w:b w:val="0"/>
          <w:color w:val="auto"/>
          <w:spacing w:val="-2"/>
        </w:rPr>
        <w:t>压缩机气缸、排气管道、储气罐内壁长期运行易形成积炭，在高温、机械撞击或遇火源条件下，可能引发自燃、燃烧甚至爆炸；</w:t>
      </w:r>
    </w:p>
    <w:p w14:paraId="38BF4C8F">
      <w:pPr>
        <w:pStyle w:val="49"/>
        <w:spacing w:line="500" w:lineRule="exact"/>
        <w:ind w:firstLine="472" w:firstLineChars="200"/>
        <w:jc w:val="both"/>
        <w:rPr>
          <w:rFonts w:cs="宋体"/>
          <w:b w:val="0"/>
          <w:color w:val="auto"/>
          <w:spacing w:val="-2"/>
        </w:rPr>
      </w:pPr>
      <w:r>
        <w:rPr>
          <w:rFonts w:hint="eastAsia" w:cs="宋体"/>
          <w:b w:val="0"/>
          <w:color w:val="auto"/>
          <w:spacing w:val="-2"/>
        </w:rPr>
        <w:t>（2）</w:t>
      </w:r>
      <w:r>
        <w:rPr>
          <w:rFonts w:cs="宋体"/>
          <w:b w:val="0"/>
          <w:color w:val="auto"/>
          <w:spacing w:val="-2"/>
        </w:rPr>
        <w:t>压缩机冷却不良、润滑不当，或设备维护不良、年久失修，可能导致设备破裂，引发爆炸事故；</w:t>
      </w:r>
    </w:p>
    <w:p w14:paraId="7CFA0378">
      <w:pPr>
        <w:pStyle w:val="49"/>
        <w:spacing w:line="500" w:lineRule="exact"/>
        <w:ind w:firstLine="472" w:firstLineChars="200"/>
        <w:jc w:val="both"/>
        <w:rPr>
          <w:rFonts w:cs="宋体"/>
          <w:b w:val="0"/>
          <w:color w:val="auto"/>
          <w:spacing w:val="-2"/>
        </w:rPr>
      </w:pPr>
      <w:r>
        <w:rPr>
          <w:rFonts w:hint="eastAsia" w:cs="宋体"/>
          <w:b w:val="0"/>
          <w:color w:val="auto"/>
          <w:spacing w:val="-2"/>
        </w:rPr>
        <w:t>（3）</w:t>
      </w:r>
      <w:r>
        <w:rPr>
          <w:rFonts w:cs="宋体"/>
          <w:b w:val="0"/>
          <w:color w:val="auto"/>
          <w:spacing w:val="-2"/>
        </w:rPr>
        <w:t>压缩空气储罐安全阀、压力表等安全附件缺损、失灵，可能导致超压运行，引发爆炸事故；</w:t>
      </w:r>
    </w:p>
    <w:p w14:paraId="11043382">
      <w:pPr>
        <w:pStyle w:val="49"/>
        <w:spacing w:line="500" w:lineRule="exact"/>
        <w:ind w:firstLine="472" w:firstLineChars="200"/>
        <w:jc w:val="both"/>
        <w:rPr>
          <w:rFonts w:cs="宋体"/>
          <w:b w:val="0"/>
          <w:color w:val="auto"/>
          <w:spacing w:val="-2"/>
        </w:rPr>
      </w:pPr>
      <w:r>
        <w:rPr>
          <w:rFonts w:hint="eastAsia" w:cs="宋体"/>
          <w:b w:val="0"/>
          <w:color w:val="auto"/>
          <w:spacing w:val="-2"/>
        </w:rPr>
        <w:t>（4）</w:t>
      </w:r>
      <w:r>
        <w:rPr>
          <w:rFonts w:cs="宋体"/>
          <w:b w:val="0"/>
          <w:color w:val="auto"/>
          <w:spacing w:val="-2"/>
        </w:rPr>
        <w:t>空压机转动部件防护不当，易造成机械伤害；运行过程中产生的高噪声，会对作业人员造成噪声危害。</w:t>
      </w:r>
    </w:p>
    <w:p w14:paraId="58175130">
      <w:pPr>
        <w:pStyle w:val="49"/>
        <w:spacing w:line="500" w:lineRule="exact"/>
        <w:ind w:firstLine="472" w:firstLineChars="200"/>
        <w:jc w:val="both"/>
        <w:rPr>
          <w:rFonts w:cs="宋体"/>
          <w:b w:val="0"/>
          <w:color w:val="auto"/>
          <w:spacing w:val="-2"/>
        </w:rPr>
      </w:pPr>
      <w:r>
        <w:rPr>
          <w:rFonts w:cs="宋体"/>
          <w:b w:val="0"/>
          <w:color w:val="auto"/>
          <w:spacing w:val="-2"/>
        </w:rPr>
        <w:t>（</w:t>
      </w:r>
      <w:r>
        <w:rPr>
          <w:rFonts w:hint="eastAsia" w:cs="宋体"/>
          <w:b w:val="0"/>
          <w:color w:val="auto"/>
          <w:spacing w:val="-2"/>
        </w:rPr>
        <w:t>七</w:t>
      </w:r>
      <w:r>
        <w:rPr>
          <w:rFonts w:cs="宋体"/>
          <w:b w:val="0"/>
          <w:color w:val="auto"/>
          <w:spacing w:val="-2"/>
        </w:rPr>
        <w:t>）消防系统</w:t>
      </w:r>
    </w:p>
    <w:p w14:paraId="74B7108B">
      <w:pPr>
        <w:pStyle w:val="49"/>
        <w:spacing w:line="500" w:lineRule="exact"/>
        <w:ind w:firstLine="472" w:firstLineChars="200"/>
        <w:jc w:val="both"/>
        <w:rPr>
          <w:rFonts w:cs="宋体"/>
          <w:b w:val="0"/>
          <w:color w:val="auto"/>
          <w:spacing w:val="-2"/>
        </w:rPr>
      </w:pPr>
      <w:r>
        <w:rPr>
          <w:rFonts w:cs="宋体"/>
          <w:b w:val="0"/>
          <w:color w:val="auto"/>
          <w:spacing w:val="-2"/>
        </w:rPr>
        <w:t>厂区设置消防水泵、稳压水泵、泡沫灭火系统等消防设施，运行过程中存在以下危险有害因素：</w:t>
      </w:r>
    </w:p>
    <w:p w14:paraId="7524DBC8">
      <w:pPr>
        <w:pStyle w:val="49"/>
        <w:spacing w:line="500" w:lineRule="exact"/>
        <w:ind w:firstLine="472" w:firstLineChars="200"/>
        <w:jc w:val="both"/>
        <w:rPr>
          <w:rFonts w:cs="宋体"/>
          <w:b w:val="0"/>
          <w:color w:val="auto"/>
          <w:spacing w:val="-2"/>
        </w:rPr>
      </w:pPr>
      <w:r>
        <w:rPr>
          <w:rFonts w:hint="eastAsia" w:cs="宋体"/>
          <w:b w:val="0"/>
          <w:color w:val="auto"/>
          <w:spacing w:val="-2"/>
        </w:rPr>
        <w:t>（1）</w:t>
      </w:r>
      <w:r>
        <w:rPr>
          <w:rFonts w:cs="宋体"/>
          <w:b w:val="0"/>
          <w:color w:val="auto"/>
          <w:spacing w:val="-2"/>
        </w:rPr>
        <w:t>消防水泵运行时产生的噪声、转动部件防护不当，易造成机械伤害；电气线路、设备漏电，可能引发触电事故；</w:t>
      </w:r>
    </w:p>
    <w:p w14:paraId="3400C70C">
      <w:pPr>
        <w:pStyle w:val="49"/>
        <w:spacing w:line="500" w:lineRule="exact"/>
        <w:ind w:firstLine="472" w:firstLineChars="200"/>
        <w:jc w:val="both"/>
        <w:rPr>
          <w:rFonts w:cs="宋体"/>
          <w:b w:val="0"/>
          <w:color w:val="auto"/>
          <w:spacing w:val="-2"/>
        </w:rPr>
      </w:pPr>
      <w:r>
        <w:rPr>
          <w:rFonts w:hint="eastAsia" w:cs="宋体"/>
          <w:b w:val="0"/>
          <w:color w:val="auto"/>
          <w:spacing w:val="-2"/>
        </w:rPr>
        <w:t>（2）</w:t>
      </w:r>
      <w:r>
        <w:rPr>
          <w:rFonts w:cs="宋体"/>
          <w:b w:val="0"/>
          <w:color w:val="auto"/>
          <w:spacing w:val="-2"/>
        </w:rPr>
        <w:t>消防水池、消防管网若维护不当，可能出现堵塞、泄漏，影响消防供水能力，发生火灾时无法及时灭火，导致事故扩大；</w:t>
      </w:r>
    </w:p>
    <w:p w14:paraId="3268FE7C">
      <w:pPr>
        <w:pStyle w:val="49"/>
        <w:spacing w:line="500" w:lineRule="exact"/>
        <w:ind w:firstLine="472" w:firstLineChars="200"/>
        <w:jc w:val="both"/>
        <w:rPr>
          <w:rFonts w:cs="宋体"/>
          <w:b w:val="0"/>
          <w:color w:val="auto"/>
          <w:spacing w:val="-2"/>
        </w:rPr>
      </w:pPr>
      <w:r>
        <w:rPr>
          <w:rFonts w:hint="eastAsia" w:cs="宋体"/>
          <w:b w:val="0"/>
          <w:color w:val="auto"/>
          <w:spacing w:val="-2"/>
        </w:rPr>
        <w:t>（3）</w:t>
      </w:r>
      <w:r>
        <w:rPr>
          <w:rFonts w:cs="宋体"/>
          <w:b w:val="0"/>
          <w:color w:val="auto"/>
          <w:spacing w:val="-2"/>
        </w:rPr>
        <w:t>泡沫灭火系统药剂过期、设备故障，可能导致灭火失效，加剧火灾、爆炸事故后果。</w:t>
      </w:r>
    </w:p>
    <w:p w14:paraId="1A428DB0">
      <w:pPr>
        <w:pStyle w:val="49"/>
        <w:spacing w:line="500" w:lineRule="exact"/>
        <w:ind w:firstLine="482" w:firstLineChars="200"/>
        <w:jc w:val="both"/>
        <w:rPr>
          <w:bCs/>
          <w:color w:val="auto"/>
        </w:rPr>
      </w:pPr>
      <w:r>
        <w:rPr>
          <w:bCs/>
          <w:color w:val="auto"/>
        </w:rPr>
        <w:t>4.</w:t>
      </w:r>
      <w:r>
        <w:rPr>
          <w:rFonts w:hint="eastAsia"/>
          <w:bCs/>
          <w:color w:val="auto"/>
        </w:rPr>
        <w:t>7</w:t>
      </w:r>
      <w:r>
        <w:rPr>
          <w:bCs/>
          <w:color w:val="auto"/>
        </w:rPr>
        <w:t>.2.5环保设施有害因素识别</w:t>
      </w:r>
    </w:p>
    <w:p w14:paraId="5C9D74FF">
      <w:pPr>
        <w:pStyle w:val="49"/>
        <w:spacing w:line="500" w:lineRule="exact"/>
        <w:ind w:firstLine="472" w:firstLineChars="200"/>
        <w:jc w:val="both"/>
        <w:rPr>
          <w:rFonts w:cs="宋体"/>
          <w:b w:val="0"/>
          <w:color w:val="auto"/>
          <w:spacing w:val="-2"/>
        </w:rPr>
      </w:pPr>
      <w:r>
        <w:rPr>
          <w:rFonts w:cs="宋体"/>
          <w:b w:val="0"/>
          <w:color w:val="auto"/>
          <w:spacing w:val="-2"/>
        </w:rPr>
        <w:t>（1）废气处理装置</w:t>
      </w:r>
    </w:p>
    <w:p w14:paraId="287BEE36">
      <w:pPr>
        <w:pStyle w:val="49"/>
        <w:spacing w:line="500" w:lineRule="exact"/>
        <w:ind w:firstLine="472" w:firstLineChars="200"/>
        <w:jc w:val="both"/>
        <w:rPr>
          <w:rFonts w:cs="宋体"/>
          <w:b w:val="0"/>
          <w:color w:val="auto"/>
          <w:spacing w:val="-2"/>
        </w:rPr>
      </w:pPr>
      <w:r>
        <w:rPr>
          <w:rFonts w:cs="宋体"/>
          <w:b w:val="0"/>
          <w:color w:val="auto"/>
          <w:spacing w:val="-2"/>
        </w:rPr>
        <w:t>拟建项目废气主要包括亚硫酸盐生产线废气、硫代硫酸盐工艺废气、危废暂存间废气，依托厂区现有废气处理设施进行处理。若废气处理装置运行故障或处理效率下降，含氨、二氧化硫等废气污染物无法得到有效去除，将通过排气筒超标排放，对周围大气环境造成较大影响；若吸收液循环系统中断、喷淋塔堵塞或电除雾装置失效，还可能导致有毒气体无组织逸散，引发异味扰民及人员中毒风险。</w:t>
      </w:r>
    </w:p>
    <w:p w14:paraId="203035E0">
      <w:pPr>
        <w:pStyle w:val="49"/>
        <w:spacing w:line="500" w:lineRule="exact"/>
        <w:ind w:firstLine="472" w:firstLineChars="200"/>
        <w:jc w:val="both"/>
        <w:rPr>
          <w:rFonts w:cs="宋体"/>
          <w:b w:val="0"/>
          <w:color w:val="auto"/>
          <w:spacing w:val="-2"/>
        </w:rPr>
      </w:pPr>
      <w:r>
        <w:rPr>
          <w:rFonts w:cs="宋体"/>
          <w:b w:val="0"/>
          <w:color w:val="auto"/>
          <w:spacing w:val="-2"/>
        </w:rPr>
        <w:t>（2）废水处理装置</w:t>
      </w:r>
    </w:p>
    <w:p w14:paraId="5DF020E3">
      <w:pPr>
        <w:pStyle w:val="49"/>
        <w:spacing w:line="500" w:lineRule="exact"/>
        <w:ind w:firstLine="472" w:firstLineChars="200"/>
        <w:jc w:val="both"/>
        <w:rPr>
          <w:rFonts w:cs="宋体"/>
          <w:b w:val="0"/>
          <w:color w:val="auto"/>
          <w:spacing w:val="-2"/>
        </w:rPr>
      </w:pPr>
      <w:r>
        <w:rPr>
          <w:rFonts w:cs="宋体"/>
          <w:b w:val="0"/>
          <w:color w:val="auto"/>
          <w:spacing w:val="-2"/>
        </w:rPr>
        <w:t>拟建项目新增废水依托</w:t>
      </w:r>
      <w:r>
        <w:rPr>
          <w:rFonts w:hint="eastAsia" w:cs="宋体"/>
          <w:b w:val="0"/>
          <w:color w:val="auto"/>
          <w:spacing w:val="-2"/>
        </w:rPr>
        <w:t>厂区现有污水站</w:t>
      </w:r>
      <w:r>
        <w:rPr>
          <w:rFonts w:cs="宋体"/>
          <w:b w:val="0"/>
          <w:color w:val="auto"/>
          <w:spacing w:val="-2"/>
        </w:rPr>
        <w:t>处理，采用“</w:t>
      </w:r>
      <w:r>
        <w:rPr>
          <w:rFonts w:hint="eastAsia" w:cs="宋体"/>
          <w:b w:val="0"/>
          <w:color w:val="auto"/>
          <w:spacing w:val="-2"/>
        </w:rPr>
        <w:t>调节池</w:t>
      </w:r>
      <w:r>
        <w:rPr>
          <w:rFonts w:cs="宋体"/>
          <w:b w:val="0"/>
          <w:color w:val="auto"/>
          <w:spacing w:val="-2"/>
        </w:rPr>
        <w:t>+臭氧催化氧化”工艺，预处理达标后排入园区污水处理厂。若废水处理设施运行失效，污水未经处理直接排放，将对园区污水处理厂处理系统造成冲击，影响其稳定运行，进而对纳污水域产生一定的污染影响。由于</w:t>
      </w:r>
      <w:r>
        <w:rPr>
          <w:rFonts w:hint="eastAsia" w:cs="宋体"/>
          <w:b w:val="0"/>
          <w:color w:val="auto"/>
          <w:spacing w:val="-2"/>
        </w:rPr>
        <w:t>拟建</w:t>
      </w:r>
      <w:r>
        <w:rPr>
          <w:rFonts w:cs="宋体"/>
          <w:b w:val="0"/>
          <w:color w:val="auto"/>
          <w:spacing w:val="-2"/>
        </w:rPr>
        <w:t>厂内设置770m</w:t>
      </w:r>
      <w:r>
        <w:rPr>
          <w:rFonts w:hint="eastAsia" w:cs="宋体"/>
          <w:b w:val="0"/>
          <w:color w:val="auto"/>
          <w:spacing w:val="-2"/>
          <w:vertAlign w:val="superscript"/>
        </w:rPr>
        <w:t>3</w:t>
      </w:r>
      <w:r>
        <w:rPr>
          <w:rFonts w:cs="宋体"/>
          <w:b w:val="0"/>
          <w:color w:val="auto"/>
          <w:spacing w:val="-2"/>
        </w:rPr>
        <w:t>事故应急池，可用于储存事故状态下的废水，且项目废水不直接向纳污水体排放，事故废水可有效收集并导入废水站处理，能在一定程度上降低废水事故性排放对周边环境的影响。</w:t>
      </w:r>
    </w:p>
    <w:p w14:paraId="3670530A">
      <w:pPr>
        <w:pStyle w:val="49"/>
        <w:spacing w:line="500" w:lineRule="exact"/>
        <w:ind w:firstLine="472" w:firstLineChars="200"/>
        <w:jc w:val="both"/>
        <w:rPr>
          <w:rFonts w:cs="宋体"/>
          <w:b w:val="0"/>
          <w:color w:val="auto"/>
          <w:spacing w:val="-2"/>
        </w:rPr>
      </w:pPr>
      <w:r>
        <w:rPr>
          <w:rFonts w:cs="宋体"/>
          <w:b w:val="0"/>
          <w:color w:val="auto"/>
          <w:spacing w:val="-2"/>
        </w:rPr>
        <w:t>（3）固废及危废暂存设施</w:t>
      </w:r>
    </w:p>
    <w:p w14:paraId="72C82D16">
      <w:pPr>
        <w:pStyle w:val="49"/>
        <w:spacing w:line="500" w:lineRule="exact"/>
        <w:ind w:firstLine="472" w:firstLineChars="200"/>
        <w:jc w:val="both"/>
        <w:rPr>
          <w:rFonts w:cs="宋体"/>
          <w:b w:val="0"/>
          <w:color w:val="auto"/>
          <w:spacing w:val="-2"/>
        </w:rPr>
      </w:pPr>
      <w:r>
        <w:rPr>
          <w:rFonts w:cs="宋体"/>
          <w:b w:val="0"/>
          <w:color w:val="auto"/>
          <w:spacing w:val="-2"/>
        </w:rPr>
        <w:t>项目生产过程中产生的硫磺残渣、废催化剂、废吸收液等危险废物，依托厂内110m</w:t>
      </w:r>
      <w:r>
        <w:rPr>
          <w:rFonts w:hint="eastAsia" w:cs="宋体"/>
          <w:b w:val="0"/>
          <w:color w:val="auto"/>
          <w:spacing w:val="-2"/>
          <w:vertAlign w:val="superscript"/>
        </w:rPr>
        <w:t>2</w:t>
      </w:r>
      <w:r>
        <w:rPr>
          <w:rFonts w:cs="宋体"/>
          <w:b w:val="0"/>
          <w:color w:val="auto"/>
          <w:spacing w:val="-2"/>
        </w:rPr>
        <w:t>危废暂存间暂存。若危废暂存间防渗层破损、收集沟堵塞，危险废物渗滤液可能泄漏，对土壤及地下水造成污染；若暂存间通风不良、废气收集处理设施失效，危废分解产生的有毒气体易积聚，引发人员中毒或异味扰民；若危险废物分类存放不当，发生混存反应，可能引发次生环境风险。</w:t>
      </w:r>
    </w:p>
    <w:p w14:paraId="2121AE9A">
      <w:pPr>
        <w:pStyle w:val="49"/>
        <w:spacing w:line="500" w:lineRule="exact"/>
        <w:ind w:firstLine="472" w:firstLineChars="200"/>
        <w:jc w:val="both"/>
        <w:rPr>
          <w:rFonts w:cs="宋体"/>
          <w:b w:val="0"/>
          <w:color w:val="auto"/>
          <w:spacing w:val="-2"/>
        </w:rPr>
      </w:pPr>
      <w:r>
        <w:rPr>
          <w:rFonts w:cs="宋体"/>
          <w:b w:val="0"/>
          <w:color w:val="auto"/>
          <w:spacing w:val="-2"/>
        </w:rPr>
        <w:t>（4）初期雨水收集设施</w:t>
      </w:r>
    </w:p>
    <w:p w14:paraId="79A1301A">
      <w:pPr>
        <w:pStyle w:val="49"/>
        <w:spacing w:line="500" w:lineRule="exact"/>
        <w:ind w:firstLine="472" w:firstLineChars="200"/>
        <w:jc w:val="both"/>
        <w:rPr>
          <w:rFonts w:cs="宋体"/>
          <w:b w:val="0"/>
          <w:color w:val="auto"/>
          <w:spacing w:val="-2"/>
        </w:rPr>
      </w:pPr>
      <w:r>
        <w:rPr>
          <w:rFonts w:cs="宋体"/>
          <w:b w:val="0"/>
          <w:color w:val="auto"/>
          <w:spacing w:val="-2"/>
        </w:rPr>
        <w:t>厂区设置350m</w:t>
      </w:r>
      <w:r>
        <w:rPr>
          <w:rFonts w:hint="eastAsia" w:cs="宋体"/>
          <w:b w:val="0"/>
          <w:color w:val="auto"/>
          <w:spacing w:val="-2"/>
          <w:vertAlign w:val="superscript"/>
        </w:rPr>
        <w:t>3</w:t>
      </w:r>
      <w:r>
        <w:rPr>
          <w:rFonts w:cs="宋体"/>
          <w:b w:val="0"/>
          <w:color w:val="auto"/>
          <w:spacing w:val="-2"/>
        </w:rPr>
        <w:t>初期雨水池，用于收集初期污染雨水。若初期雨水收集池防渗失效、收集管网堵塞，初期雨水无法有效收集，含污染物的雨水将直接外排，对周边水环境造成污染；若初期雨水未按要求排入废水处理系统，直接进入雨水管网，也可能对纳污水体造成影响。</w:t>
      </w:r>
    </w:p>
    <w:p w14:paraId="3B1C0F1C">
      <w:pPr>
        <w:pStyle w:val="5"/>
        <w:spacing w:before="156"/>
        <w:rPr>
          <w:color w:val="auto"/>
        </w:rPr>
      </w:pPr>
      <w:r>
        <w:rPr>
          <w:color w:val="auto"/>
        </w:rPr>
        <w:t>4.</w:t>
      </w:r>
      <w:r>
        <w:rPr>
          <w:rFonts w:hint="eastAsia"/>
          <w:color w:val="auto"/>
        </w:rPr>
        <w:t>7</w:t>
      </w:r>
      <w:r>
        <w:rPr>
          <w:color w:val="auto"/>
        </w:rPr>
        <w:t>.2.</w:t>
      </w:r>
      <w:r>
        <w:rPr>
          <w:rFonts w:hint="eastAsia"/>
          <w:color w:val="auto"/>
        </w:rPr>
        <w:t>5</w:t>
      </w:r>
      <w:r>
        <w:rPr>
          <w:color w:val="auto"/>
        </w:rPr>
        <w:t>事故连锁效应和重叠继发事故的危险性分析</w:t>
      </w:r>
    </w:p>
    <w:p w14:paraId="6BA88C37">
      <w:pPr>
        <w:overflowPunct w:val="0"/>
        <w:ind w:firstLine="480"/>
        <w:rPr>
          <w:color w:val="auto"/>
          <w:kern w:val="0"/>
        </w:rPr>
      </w:pPr>
      <w:r>
        <w:rPr>
          <w:color w:val="auto"/>
          <w:kern w:val="0"/>
        </w:rPr>
        <w:t>事故连锁效应是指一个设备或储罐发生火灾、爆炸等事故，因火灾热辐射、爆炸冲击波以及管道连接等因素，导致邻近的或上下游的设备、储罐发生火灾、爆炸等事故的效应。</w:t>
      </w:r>
      <w:r>
        <w:rPr>
          <w:rFonts w:hint="eastAsia"/>
          <w:color w:val="auto"/>
          <w:kern w:val="0"/>
        </w:rPr>
        <w:t>拟建</w:t>
      </w:r>
      <w:r>
        <w:rPr>
          <w:color w:val="auto"/>
          <w:kern w:val="0"/>
        </w:rPr>
        <w:t>涉及的易燃、易爆的危险物质，在生产过程中上下游关系紧密。当其中一设备发生火灾、爆炸事故时，若不采取及时、有效的措施，巨大的辐射或冲击波有可能克服设备距离的阻碍，发生事故链锁，造成事故蔓延、事态扩大的可能性很大。同时，项目仓储区贮有易燃易爆的危险物质，当某一仓储设备发生火灾事故时，邻近仓储设备的物料经过长时间高温烘烤，温度升高，也存在引发新的火灾爆炸的可能性。</w:t>
      </w:r>
    </w:p>
    <w:p w14:paraId="7C0B3FF6">
      <w:pPr>
        <w:overflowPunct w:val="0"/>
        <w:ind w:firstLine="480"/>
        <w:rPr>
          <w:color w:val="auto"/>
          <w:kern w:val="0"/>
        </w:rPr>
      </w:pPr>
      <w:r>
        <w:rPr>
          <w:color w:val="auto"/>
          <w:kern w:val="0"/>
        </w:rPr>
        <w:t>事故重叠是指某一设备或仓储设备火灾、爆炸和泄漏事故同时发生或相继发生。根据统计资料表明，石化行业的重大安全事故多为事故重叠，究其原因主要为管线或设备破损导致易燃易爆危险性物</w:t>
      </w:r>
      <w:r>
        <w:rPr>
          <w:rFonts w:hint="eastAsia"/>
          <w:color w:val="auto"/>
          <w:kern w:val="0"/>
        </w:rPr>
        <w:t>质大量泄漏，或自燃、或遇明火点燃而形成火灾爆炸事故，而火灾爆炸本身又可能造成更多危险性物质的泄漏。火灾爆炸的最大可信事故即属于事故重叠。</w:t>
      </w:r>
    </w:p>
    <w:p w14:paraId="495FF978">
      <w:pPr>
        <w:overflowPunct w:val="0"/>
        <w:ind w:firstLine="480"/>
        <w:rPr>
          <w:color w:val="auto"/>
          <w:kern w:val="0"/>
        </w:rPr>
      </w:pPr>
      <w:r>
        <w:rPr>
          <w:rFonts w:hint="eastAsia"/>
          <w:color w:val="auto"/>
          <w:kern w:val="0"/>
        </w:rPr>
        <w:t>事故连锁效应关系见图</w:t>
      </w:r>
      <w:r>
        <w:rPr>
          <w:color w:val="auto"/>
          <w:kern w:val="0"/>
        </w:rPr>
        <w:t>4.</w:t>
      </w:r>
      <w:r>
        <w:rPr>
          <w:rFonts w:hint="eastAsia"/>
          <w:color w:val="auto"/>
          <w:kern w:val="0"/>
        </w:rPr>
        <w:t>7</w:t>
      </w:r>
      <w:r>
        <w:rPr>
          <w:color w:val="auto"/>
          <w:kern w:val="0"/>
        </w:rPr>
        <w:t>-1</w:t>
      </w:r>
      <w:r>
        <w:rPr>
          <w:rFonts w:hint="eastAsia"/>
          <w:color w:val="auto"/>
          <w:kern w:val="0"/>
        </w:rPr>
        <w:t>。</w:t>
      </w:r>
    </w:p>
    <w:p w14:paraId="2A8B32B0">
      <w:pPr>
        <w:spacing w:before="156" w:beforeLines="50" w:line="240" w:lineRule="auto"/>
        <w:ind w:firstLine="480"/>
        <w:jc w:val="center"/>
        <w:rPr>
          <w:rFonts w:ascii="黑体" w:eastAsia="黑体"/>
          <w:color w:val="auto"/>
          <w:kern w:val="0"/>
        </w:rPr>
      </w:pPr>
      <w:r>
        <w:rPr>
          <w:rFonts w:hint="eastAsia" w:ascii="黑体" w:eastAsia="黑体"/>
          <w:color w:val="auto"/>
          <w:kern w:val="0"/>
        </w:rPr>
        <w:drawing>
          <wp:inline distT="0" distB="0" distL="114300" distR="114300">
            <wp:extent cx="4883150" cy="2487930"/>
            <wp:effectExtent l="0" t="0" r="12700" b="762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3"/>
                    <a:stretch>
                      <a:fillRect/>
                    </a:stretch>
                  </pic:blipFill>
                  <pic:spPr>
                    <a:xfrm>
                      <a:off x="0" y="0"/>
                      <a:ext cx="4883150" cy="2487930"/>
                    </a:xfrm>
                    <a:prstGeom prst="rect">
                      <a:avLst/>
                    </a:prstGeom>
                    <a:noFill/>
                    <a:ln>
                      <a:noFill/>
                    </a:ln>
                  </pic:spPr>
                </pic:pic>
              </a:graphicData>
            </a:graphic>
          </wp:inline>
        </w:drawing>
      </w:r>
    </w:p>
    <w:p w14:paraId="14BFD93E">
      <w:pPr>
        <w:spacing w:line="460" w:lineRule="exact"/>
        <w:ind w:firstLine="482"/>
        <w:jc w:val="center"/>
        <w:rPr>
          <w:b/>
          <w:bCs/>
          <w:color w:val="auto"/>
        </w:rPr>
      </w:pPr>
      <w:r>
        <w:rPr>
          <w:b/>
          <w:bCs/>
          <w:color w:val="auto"/>
        </w:rPr>
        <w:t>图4.</w:t>
      </w:r>
      <w:r>
        <w:rPr>
          <w:rFonts w:hint="eastAsia"/>
          <w:b/>
          <w:bCs/>
          <w:color w:val="auto"/>
        </w:rPr>
        <w:t>7</w:t>
      </w:r>
      <w:r>
        <w:rPr>
          <w:b/>
          <w:bCs/>
          <w:color w:val="auto"/>
        </w:rPr>
        <w:t>-1</w:t>
      </w:r>
      <w:r>
        <w:rPr>
          <w:rFonts w:hint="eastAsia"/>
          <w:b/>
          <w:bCs/>
          <w:color w:val="auto"/>
        </w:rPr>
        <w:t xml:space="preserve"> </w:t>
      </w:r>
      <w:r>
        <w:rPr>
          <w:b/>
          <w:bCs/>
          <w:color w:val="auto"/>
        </w:rPr>
        <w:t xml:space="preserve"> 项目连锁危险性分析</w:t>
      </w:r>
    </w:p>
    <w:p w14:paraId="159B35B5">
      <w:pPr>
        <w:overflowPunct w:val="0"/>
        <w:ind w:firstLine="480"/>
        <w:rPr>
          <w:color w:val="auto"/>
          <w:kern w:val="0"/>
        </w:rPr>
      </w:pPr>
      <w:r>
        <w:rPr>
          <w:color w:val="auto"/>
          <w:kern w:val="0"/>
        </w:rPr>
        <w:t>车间内，有易燃和有毒物物质，装置设备较多，一个环节的事故发生就有可能产生周边设备、物料的连锁效应和重叠继发事故。</w:t>
      </w:r>
    </w:p>
    <w:p w14:paraId="32B3F0BC">
      <w:pPr>
        <w:pStyle w:val="5"/>
        <w:spacing w:before="156"/>
        <w:rPr>
          <w:color w:val="auto"/>
        </w:rPr>
      </w:pPr>
      <w:r>
        <w:rPr>
          <w:color w:val="auto"/>
        </w:rPr>
        <w:t>4.</w:t>
      </w:r>
      <w:r>
        <w:rPr>
          <w:rFonts w:hint="eastAsia"/>
          <w:color w:val="auto"/>
        </w:rPr>
        <w:t>7</w:t>
      </w:r>
      <w:r>
        <w:rPr>
          <w:color w:val="auto"/>
        </w:rPr>
        <w:t>.2.</w:t>
      </w:r>
      <w:r>
        <w:rPr>
          <w:rFonts w:hint="eastAsia"/>
          <w:color w:val="auto"/>
        </w:rPr>
        <w:t>6</w:t>
      </w:r>
      <w:r>
        <w:rPr>
          <w:color w:val="auto"/>
        </w:rPr>
        <w:t>事故中伴生/次生危险性分析</w:t>
      </w:r>
    </w:p>
    <w:p w14:paraId="69CC1E7E">
      <w:pPr>
        <w:overflowPunct w:val="0"/>
        <w:ind w:firstLine="480"/>
        <w:rPr>
          <w:color w:val="auto"/>
          <w:kern w:val="0"/>
        </w:rPr>
      </w:pPr>
      <w:r>
        <w:rPr>
          <w:color w:val="auto"/>
          <w:kern w:val="0"/>
        </w:rPr>
        <w:t>事故中发生伴生/次生作用，主要决定于物质性质和事故类型。物质性质是指事故中物质可能通过氧化、水解、热解、物料间反应等过程产生对环境污染的危害性；事故类型的不同，可能产生相应的上述过程不同，如燃烧可能产生物料氧化、热解过程，泄漏冲洗可能发生水解过程、物料不相容过程等</w:t>
      </w:r>
      <w:r>
        <w:rPr>
          <w:rFonts w:hint="eastAsia"/>
          <w:color w:val="auto"/>
          <w:kern w:val="0"/>
        </w:rPr>
        <w:t>。事故中伴生、次生危险性分析见图</w:t>
      </w:r>
      <w:r>
        <w:rPr>
          <w:color w:val="auto"/>
          <w:kern w:val="0"/>
        </w:rPr>
        <w:t>4.8-2</w:t>
      </w:r>
      <w:r>
        <w:rPr>
          <w:rFonts w:hint="eastAsia"/>
          <w:color w:val="auto"/>
          <w:kern w:val="0"/>
        </w:rPr>
        <w:t>。</w:t>
      </w:r>
    </w:p>
    <w:p w14:paraId="5D34C8D4">
      <w:pPr>
        <w:spacing w:line="240" w:lineRule="auto"/>
        <w:ind w:firstLine="482"/>
        <w:jc w:val="center"/>
        <w:rPr>
          <w:b/>
          <w:color w:val="auto"/>
          <w:kern w:val="0"/>
        </w:rPr>
      </w:pPr>
      <w:r>
        <w:rPr>
          <w:b/>
          <w:color w:val="auto"/>
        </w:rPr>
        <w:drawing>
          <wp:inline distT="0" distB="0" distL="114300" distR="114300">
            <wp:extent cx="4502785" cy="3458210"/>
            <wp:effectExtent l="0" t="0" r="12065" b="889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4"/>
                    <a:srcRect l="2428" t="2921" r="3879" b="3406"/>
                    <a:stretch>
                      <a:fillRect/>
                    </a:stretch>
                  </pic:blipFill>
                  <pic:spPr>
                    <a:xfrm>
                      <a:off x="0" y="0"/>
                      <a:ext cx="4502785" cy="3458210"/>
                    </a:xfrm>
                    <a:prstGeom prst="rect">
                      <a:avLst/>
                    </a:prstGeom>
                    <a:noFill/>
                    <a:ln>
                      <a:noFill/>
                    </a:ln>
                  </pic:spPr>
                </pic:pic>
              </a:graphicData>
            </a:graphic>
          </wp:inline>
        </w:drawing>
      </w:r>
    </w:p>
    <w:p w14:paraId="3F27A1CD">
      <w:pPr>
        <w:adjustRightInd/>
        <w:snapToGrid/>
        <w:spacing w:line="460" w:lineRule="exact"/>
        <w:ind w:firstLine="482"/>
        <w:jc w:val="center"/>
        <w:rPr>
          <w:b/>
          <w:bCs/>
          <w:color w:val="auto"/>
          <w:kern w:val="0"/>
          <w:szCs w:val="20"/>
        </w:rPr>
      </w:pPr>
      <w:r>
        <w:rPr>
          <w:b/>
          <w:bCs/>
          <w:color w:val="auto"/>
          <w:kern w:val="0"/>
        </w:rPr>
        <w:t>图4.</w:t>
      </w:r>
      <w:r>
        <w:rPr>
          <w:rFonts w:hint="eastAsia"/>
          <w:b/>
          <w:bCs/>
          <w:color w:val="auto"/>
          <w:kern w:val="0"/>
        </w:rPr>
        <w:t>7</w:t>
      </w:r>
      <w:r>
        <w:rPr>
          <w:b/>
          <w:bCs/>
          <w:color w:val="auto"/>
          <w:kern w:val="0"/>
        </w:rPr>
        <w:t xml:space="preserve">-2 </w:t>
      </w:r>
      <w:r>
        <w:rPr>
          <w:rFonts w:hint="eastAsia"/>
          <w:b/>
          <w:bCs/>
          <w:color w:val="auto"/>
          <w:kern w:val="0"/>
        </w:rPr>
        <w:t xml:space="preserve"> </w:t>
      </w:r>
      <w:r>
        <w:rPr>
          <w:b/>
          <w:bCs/>
          <w:color w:val="auto"/>
          <w:kern w:val="0"/>
        </w:rPr>
        <w:t>事故状况伴生和次生危险性分析</w:t>
      </w:r>
    </w:p>
    <w:p w14:paraId="0EF4C082">
      <w:pPr>
        <w:overflowPunct w:val="0"/>
        <w:ind w:firstLine="480"/>
        <w:rPr>
          <w:color w:val="auto"/>
          <w:kern w:val="0"/>
        </w:rPr>
      </w:pPr>
      <w:r>
        <w:rPr>
          <w:rFonts w:hint="eastAsia"/>
          <w:color w:val="auto"/>
          <w:kern w:val="0"/>
        </w:rPr>
        <w:t>拟建项目涉及的可燃、腐蚀性及有毒物质若发生大量泄漏，极有可能引发火灾爆炸事故，产生的次生、伴生污染物主要有：硫磺、硫代硫酸盐、亚硫酸盐类物料燃烧或受热分解产生的SO</w:t>
      </w:r>
      <w:r>
        <w:rPr>
          <w:rFonts w:hint="eastAsia"/>
          <w:color w:val="auto"/>
          <w:kern w:val="0"/>
          <w:vertAlign w:val="subscript"/>
        </w:rPr>
        <w:t>2</w:t>
      </w:r>
      <w:r>
        <w:rPr>
          <w:rFonts w:hint="eastAsia"/>
          <w:color w:val="auto"/>
          <w:kern w:val="0"/>
        </w:rPr>
        <w:t>、H</w:t>
      </w:r>
      <w:r>
        <w:rPr>
          <w:rFonts w:hint="eastAsia"/>
          <w:color w:val="auto"/>
          <w:kern w:val="0"/>
          <w:vertAlign w:val="subscript"/>
        </w:rPr>
        <w:t>2</w:t>
      </w:r>
      <w:r>
        <w:rPr>
          <w:rFonts w:hint="eastAsia"/>
          <w:color w:val="auto"/>
          <w:kern w:val="0"/>
        </w:rPr>
        <w:t>S、CO等有毒有害气体；氨水泄漏或受热分解产生氨气。</w:t>
      </w:r>
    </w:p>
    <w:p w14:paraId="2B782481">
      <w:pPr>
        <w:overflowPunct w:val="0"/>
        <w:ind w:firstLine="480"/>
        <w:rPr>
          <w:color w:val="auto"/>
          <w:kern w:val="0"/>
        </w:rPr>
      </w:pPr>
      <w:r>
        <w:rPr>
          <w:rFonts w:hint="eastAsia"/>
          <w:color w:val="auto"/>
          <w:kern w:val="0"/>
        </w:rPr>
        <w:t>事故应急救援中产生的消防废水将伴有一定的物料，若沿管网外排，将对受纳水体产生严重污染；堵漏过程中可能使用的大量拦截、堵漏材料，掺杂一定的物料，若事故排放后随意丢弃、排放，将对环境产生二次污染。</w:t>
      </w:r>
    </w:p>
    <w:p w14:paraId="2CB06294">
      <w:pPr>
        <w:overflowPunct w:val="0"/>
        <w:ind w:firstLine="480"/>
        <w:rPr>
          <w:color w:val="auto"/>
          <w:kern w:val="0"/>
        </w:rPr>
      </w:pPr>
      <w:r>
        <w:rPr>
          <w:rFonts w:hint="eastAsia"/>
          <w:color w:val="auto"/>
          <w:kern w:val="0"/>
        </w:rPr>
        <w:t>为避免事故状况下泄漏的有毒物质及火灾爆炸期间消防污水污染水环境，企业必须制定严格的排水规划，设置消防污水收集池、管网、切换阀和监控池等，使消防水排水处于监控状态，严禁事故废水排出厂外，次生危害造成水体污染。</w:t>
      </w:r>
    </w:p>
    <w:p w14:paraId="7DAD6CD9">
      <w:pPr>
        <w:overflowPunct w:val="0"/>
        <w:ind w:firstLine="480"/>
        <w:rPr>
          <w:color w:val="auto"/>
          <w:kern w:val="0"/>
        </w:rPr>
      </w:pPr>
      <w:r>
        <w:rPr>
          <w:rFonts w:hint="eastAsia"/>
          <w:color w:val="auto"/>
          <w:kern w:val="0"/>
        </w:rPr>
        <w:t>拟建项目涉及的环境风险物质事故状况下的伴生</w:t>
      </w:r>
      <w:r>
        <w:rPr>
          <w:color w:val="auto"/>
          <w:kern w:val="0"/>
        </w:rPr>
        <w:t>/</w:t>
      </w:r>
      <w:r>
        <w:rPr>
          <w:rFonts w:hint="eastAsia"/>
          <w:color w:val="auto"/>
          <w:kern w:val="0"/>
        </w:rPr>
        <w:t>次生危害具体见表</w:t>
      </w:r>
      <w:r>
        <w:rPr>
          <w:color w:val="auto"/>
          <w:kern w:val="0"/>
        </w:rPr>
        <w:t>4.8-</w:t>
      </w:r>
      <w:r>
        <w:rPr>
          <w:rFonts w:hint="eastAsia"/>
          <w:color w:val="auto"/>
          <w:kern w:val="0"/>
        </w:rPr>
        <w:t>3。</w:t>
      </w:r>
    </w:p>
    <w:p w14:paraId="558A0DD9">
      <w:pPr>
        <w:adjustRightInd/>
        <w:snapToGrid/>
        <w:spacing w:line="460" w:lineRule="exact"/>
        <w:ind w:firstLine="482"/>
        <w:jc w:val="center"/>
        <w:rPr>
          <w:b/>
          <w:bCs/>
          <w:color w:val="auto"/>
        </w:rPr>
      </w:pPr>
      <w:r>
        <w:rPr>
          <w:b/>
          <w:bCs/>
          <w:color w:val="auto"/>
          <w:kern w:val="0"/>
        </w:rPr>
        <w:t>表4.</w:t>
      </w:r>
      <w:r>
        <w:rPr>
          <w:rFonts w:hint="eastAsia"/>
          <w:b/>
          <w:bCs/>
          <w:color w:val="auto"/>
          <w:kern w:val="0"/>
        </w:rPr>
        <w:t>7</w:t>
      </w:r>
      <w:r>
        <w:rPr>
          <w:b/>
          <w:bCs/>
          <w:color w:val="auto"/>
          <w:kern w:val="0"/>
        </w:rPr>
        <w:t xml:space="preserve">-3 </w:t>
      </w:r>
      <w:r>
        <w:rPr>
          <w:rFonts w:hint="eastAsia"/>
          <w:b/>
          <w:bCs/>
          <w:color w:val="auto"/>
          <w:kern w:val="0"/>
        </w:rPr>
        <w:t xml:space="preserve"> </w:t>
      </w:r>
      <w:r>
        <w:rPr>
          <w:b/>
          <w:bCs/>
          <w:color w:val="auto"/>
          <w:kern w:val="0"/>
        </w:rPr>
        <w:t>拟建项目风险物质事故状况下的伴生/次生危害一览表</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2"/>
        <w:gridCol w:w="1626"/>
        <w:gridCol w:w="3699"/>
        <w:gridCol w:w="1489"/>
        <w:gridCol w:w="1502"/>
      </w:tblGrid>
      <w:tr w14:paraId="6C0487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6" w:type="pct"/>
            <w:vMerge w:val="restart"/>
            <w:vAlign w:val="center"/>
          </w:tcPr>
          <w:p w14:paraId="7F579D79">
            <w:pPr>
              <w:adjustRightInd/>
              <w:snapToGrid/>
              <w:spacing w:line="240" w:lineRule="auto"/>
              <w:ind w:firstLine="0" w:firstLineChars="0"/>
              <w:jc w:val="center"/>
              <w:rPr>
                <w:b/>
                <w:bCs/>
                <w:color w:val="auto"/>
                <w:sz w:val="21"/>
                <w:szCs w:val="21"/>
              </w:rPr>
            </w:pPr>
            <w:r>
              <w:rPr>
                <w:b/>
                <w:bCs/>
                <w:color w:val="auto"/>
                <w:sz w:val="21"/>
                <w:szCs w:val="21"/>
              </w:rPr>
              <w:t>化学品名称</w:t>
            </w:r>
          </w:p>
        </w:tc>
        <w:tc>
          <w:tcPr>
            <w:tcW w:w="843" w:type="pct"/>
            <w:vMerge w:val="restart"/>
            <w:vAlign w:val="center"/>
          </w:tcPr>
          <w:p w14:paraId="7F620048">
            <w:pPr>
              <w:adjustRightInd/>
              <w:snapToGrid/>
              <w:spacing w:line="240" w:lineRule="auto"/>
              <w:ind w:firstLine="0" w:firstLineChars="0"/>
              <w:jc w:val="center"/>
              <w:rPr>
                <w:b/>
                <w:bCs/>
                <w:color w:val="auto"/>
                <w:sz w:val="21"/>
                <w:szCs w:val="21"/>
              </w:rPr>
            </w:pPr>
            <w:r>
              <w:rPr>
                <w:b/>
                <w:bCs/>
                <w:color w:val="auto"/>
                <w:sz w:val="21"/>
                <w:szCs w:val="21"/>
              </w:rPr>
              <w:t>条件</w:t>
            </w:r>
          </w:p>
        </w:tc>
        <w:tc>
          <w:tcPr>
            <w:tcW w:w="1918" w:type="pct"/>
            <w:vMerge w:val="restart"/>
            <w:vAlign w:val="center"/>
          </w:tcPr>
          <w:p w14:paraId="0AC1652F">
            <w:pPr>
              <w:adjustRightInd/>
              <w:snapToGrid/>
              <w:spacing w:line="240" w:lineRule="auto"/>
              <w:ind w:firstLine="0" w:firstLineChars="0"/>
              <w:jc w:val="center"/>
              <w:rPr>
                <w:b/>
                <w:bCs/>
                <w:color w:val="auto"/>
                <w:sz w:val="21"/>
                <w:szCs w:val="21"/>
              </w:rPr>
            </w:pPr>
            <w:r>
              <w:rPr>
                <w:b/>
                <w:bCs/>
                <w:color w:val="auto"/>
                <w:sz w:val="21"/>
                <w:szCs w:val="21"/>
              </w:rPr>
              <w:t>伴生和次生事故及产物</w:t>
            </w:r>
          </w:p>
        </w:tc>
        <w:tc>
          <w:tcPr>
            <w:tcW w:w="1551" w:type="pct"/>
            <w:gridSpan w:val="2"/>
            <w:vAlign w:val="center"/>
          </w:tcPr>
          <w:p w14:paraId="7FCC8EE7">
            <w:pPr>
              <w:adjustRightInd/>
              <w:snapToGrid/>
              <w:spacing w:line="240" w:lineRule="auto"/>
              <w:ind w:firstLine="0" w:firstLineChars="0"/>
              <w:jc w:val="center"/>
              <w:rPr>
                <w:b/>
                <w:bCs/>
                <w:color w:val="auto"/>
                <w:sz w:val="21"/>
                <w:szCs w:val="21"/>
              </w:rPr>
            </w:pPr>
            <w:r>
              <w:rPr>
                <w:b/>
                <w:bCs/>
                <w:color w:val="auto"/>
                <w:sz w:val="21"/>
                <w:szCs w:val="21"/>
              </w:rPr>
              <w:t>危害后果</w:t>
            </w:r>
          </w:p>
        </w:tc>
      </w:tr>
      <w:tr w14:paraId="186442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6" w:type="pct"/>
            <w:vMerge w:val="continue"/>
            <w:vAlign w:val="center"/>
          </w:tcPr>
          <w:p w14:paraId="65752B06">
            <w:pPr>
              <w:adjustRightInd/>
              <w:snapToGrid/>
              <w:spacing w:line="240" w:lineRule="auto"/>
              <w:ind w:firstLine="0" w:firstLineChars="0"/>
              <w:jc w:val="center"/>
              <w:rPr>
                <w:b/>
                <w:bCs/>
                <w:color w:val="auto"/>
                <w:sz w:val="21"/>
                <w:szCs w:val="21"/>
              </w:rPr>
            </w:pPr>
          </w:p>
        </w:tc>
        <w:tc>
          <w:tcPr>
            <w:tcW w:w="843" w:type="pct"/>
            <w:vMerge w:val="continue"/>
            <w:vAlign w:val="center"/>
          </w:tcPr>
          <w:p w14:paraId="19A026D6">
            <w:pPr>
              <w:adjustRightInd/>
              <w:snapToGrid/>
              <w:spacing w:line="240" w:lineRule="auto"/>
              <w:ind w:firstLine="0" w:firstLineChars="0"/>
              <w:jc w:val="center"/>
              <w:rPr>
                <w:b/>
                <w:bCs/>
                <w:color w:val="auto"/>
                <w:sz w:val="21"/>
                <w:szCs w:val="21"/>
              </w:rPr>
            </w:pPr>
          </w:p>
        </w:tc>
        <w:tc>
          <w:tcPr>
            <w:tcW w:w="1918" w:type="pct"/>
            <w:vMerge w:val="continue"/>
            <w:vAlign w:val="center"/>
          </w:tcPr>
          <w:p w14:paraId="3FCD2EDF">
            <w:pPr>
              <w:adjustRightInd/>
              <w:snapToGrid/>
              <w:spacing w:line="240" w:lineRule="auto"/>
              <w:ind w:firstLine="0" w:firstLineChars="0"/>
              <w:jc w:val="center"/>
              <w:rPr>
                <w:b/>
                <w:bCs/>
                <w:color w:val="auto"/>
                <w:sz w:val="21"/>
                <w:szCs w:val="21"/>
              </w:rPr>
            </w:pPr>
          </w:p>
        </w:tc>
        <w:tc>
          <w:tcPr>
            <w:tcW w:w="772" w:type="pct"/>
            <w:vAlign w:val="center"/>
          </w:tcPr>
          <w:p w14:paraId="25A7151E">
            <w:pPr>
              <w:adjustRightInd/>
              <w:snapToGrid/>
              <w:spacing w:line="240" w:lineRule="auto"/>
              <w:ind w:firstLine="0" w:firstLineChars="0"/>
              <w:jc w:val="center"/>
              <w:rPr>
                <w:b/>
                <w:bCs/>
                <w:color w:val="auto"/>
                <w:sz w:val="21"/>
                <w:szCs w:val="21"/>
              </w:rPr>
            </w:pPr>
            <w:r>
              <w:rPr>
                <w:b/>
                <w:bCs/>
                <w:color w:val="auto"/>
                <w:sz w:val="21"/>
                <w:szCs w:val="21"/>
              </w:rPr>
              <w:t>大气污染</w:t>
            </w:r>
          </w:p>
        </w:tc>
        <w:tc>
          <w:tcPr>
            <w:tcW w:w="778" w:type="pct"/>
            <w:vAlign w:val="center"/>
          </w:tcPr>
          <w:p w14:paraId="32C27274">
            <w:pPr>
              <w:adjustRightInd/>
              <w:snapToGrid/>
              <w:spacing w:line="240" w:lineRule="auto"/>
              <w:ind w:firstLine="0" w:firstLineChars="0"/>
              <w:jc w:val="center"/>
              <w:rPr>
                <w:b/>
                <w:bCs/>
                <w:color w:val="auto"/>
                <w:sz w:val="21"/>
                <w:szCs w:val="21"/>
              </w:rPr>
            </w:pPr>
            <w:r>
              <w:rPr>
                <w:b/>
                <w:bCs/>
                <w:color w:val="auto"/>
                <w:sz w:val="21"/>
                <w:szCs w:val="21"/>
              </w:rPr>
              <w:t>水体污染</w:t>
            </w:r>
          </w:p>
        </w:tc>
      </w:tr>
      <w:tr w14:paraId="1EFC9D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6" w:type="pct"/>
            <w:vAlign w:val="center"/>
          </w:tcPr>
          <w:p w14:paraId="0337F5ED">
            <w:pPr>
              <w:widowControl/>
              <w:spacing w:line="240" w:lineRule="auto"/>
              <w:ind w:firstLine="0" w:firstLineChars="0"/>
              <w:jc w:val="center"/>
              <w:textAlignment w:val="center"/>
              <w:rPr>
                <w:color w:val="auto"/>
                <w:sz w:val="21"/>
                <w:szCs w:val="21"/>
              </w:rPr>
            </w:pPr>
            <w:r>
              <w:rPr>
                <w:rFonts w:hint="eastAsia" w:ascii="宋体" w:hAnsi="宋体" w:cs="宋体"/>
                <w:color w:val="auto"/>
                <w:kern w:val="0"/>
                <w:sz w:val="22"/>
                <w:szCs w:val="22"/>
                <w:lang w:bidi="ar"/>
              </w:rPr>
              <w:t>硫磺</w:t>
            </w:r>
          </w:p>
        </w:tc>
        <w:tc>
          <w:tcPr>
            <w:tcW w:w="843" w:type="pct"/>
            <w:vAlign w:val="center"/>
          </w:tcPr>
          <w:p w14:paraId="3175B084">
            <w:pPr>
              <w:widowControl/>
              <w:spacing w:line="240" w:lineRule="auto"/>
              <w:ind w:firstLine="0" w:firstLineChars="0"/>
              <w:jc w:val="center"/>
              <w:textAlignment w:val="center"/>
              <w:rPr>
                <w:color w:val="auto"/>
                <w:sz w:val="21"/>
                <w:szCs w:val="21"/>
              </w:rPr>
            </w:pPr>
            <w:r>
              <w:rPr>
                <w:rFonts w:hint="eastAsia" w:ascii="宋体" w:hAnsi="宋体" w:cs="宋体"/>
                <w:color w:val="auto"/>
                <w:kern w:val="0"/>
                <w:sz w:val="22"/>
                <w:szCs w:val="22"/>
                <w:lang w:bidi="ar"/>
              </w:rPr>
              <w:t>遇明火、高热或强氧化剂</w:t>
            </w:r>
          </w:p>
        </w:tc>
        <w:tc>
          <w:tcPr>
            <w:tcW w:w="1918" w:type="pct"/>
            <w:vAlign w:val="center"/>
          </w:tcPr>
          <w:p w14:paraId="5E9D388C">
            <w:pPr>
              <w:widowControl/>
              <w:spacing w:line="240" w:lineRule="auto"/>
              <w:ind w:firstLine="0" w:firstLineChars="0"/>
              <w:jc w:val="center"/>
              <w:textAlignment w:val="center"/>
              <w:rPr>
                <w:color w:val="auto"/>
                <w:sz w:val="21"/>
                <w:szCs w:val="21"/>
              </w:rPr>
            </w:pPr>
            <w:r>
              <w:rPr>
                <w:rFonts w:hint="eastAsia" w:ascii="宋体" w:hAnsi="宋体" w:cs="宋体"/>
                <w:color w:val="auto"/>
                <w:kern w:val="0"/>
                <w:sz w:val="22"/>
                <w:szCs w:val="22"/>
                <w:lang w:bidi="ar"/>
              </w:rPr>
              <w:t>易燃烧，伴生二氧化硫、三氧化硫、一氧化碳</w:t>
            </w:r>
          </w:p>
        </w:tc>
        <w:tc>
          <w:tcPr>
            <w:tcW w:w="772" w:type="pct"/>
            <w:vMerge w:val="restart"/>
            <w:vAlign w:val="center"/>
          </w:tcPr>
          <w:p w14:paraId="57A7F0F5">
            <w:pPr>
              <w:spacing w:line="240" w:lineRule="auto"/>
              <w:ind w:firstLine="0" w:firstLineChars="0"/>
              <w:jc w:val="center"/>
              <w:rPr>
                <w:color w:val="auto"/>
                <w:sz w:val="21"/>
                <w:szCs w:val="21"/>
              </w:rPr>
            </w:pPr>
            <w:r>
              <w:rPr>
                <w:color w:val="auto"/>
                <w:sz w:val="21"/>
                <w:szCs w:val="21"/>
              </w:rPr>
              <w:t>有毒物质自身和次生的有毒物质以气态形式挥发进入大气，产生的的伴生/次生危害，造成大气污染。</w:t>
            </w:r>
          </w:p>
        </w:tc>
        <w:tc>
          <w:tcPr>
            <w:tcW w:w="778" w:type="pct"/>
            <w:vMerge w:val="restart"/>
            <w:vAlign w:val="center"/>
          </w:tcPr>
          <w:p w14:paraId="0BD566CA">
            <w:pPr>
              <w:spacing w:line="240" w:lineRule="auto"/>
              <w:ind w:firstLine="0" w:firstLineChars="0"/>
              <w:jc w:val="center"/>
              <w:rPr>
                <w:color w:val="auto"/>
                <w:sz w:val="21"/>
                <w:szCs w:val="21"/>
              </w:rPr>
            </w:pPr>
            <w:r>
              <w:rPr>
                <w:color w:val="auto"/>
                <w:sz w:val="21"/>
                <w:szCs w:val="21"/>
              </w:rPr>
              <w:t>有毒物质经清净下水管等排水管网混入清净下水、消防水、雨水中经厂区排水管线流入地表水体，造成水体污染。</w:t>
            </w:r>
          </w:p>
        </w:tc>
      </w:tr>
      <w:tr w14:paraId="1A5244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686" w:type="pct"/>
            <w:vAlign w:val="center"/>
          </w:tcPr>
          <w:p w14:paraId="30927D43">
            <w:pPr>
              <w:widowControl/>
              <w:spacing w:line="240" w:lineRule="auto"/>
              <w:ind w:firstLine="0" w:firstLineChars="0"/>
              <w:jc w:val="center"/>
              <w:textAlignment w:val="center"/>
              <w:rPr>
                <w:color w:val="auto"/>
                <w:sz w:val="21"/>
                <w:szCs w:val="21"/>
              </w:rPr>
            </w:pPr>
            <w:r>
              <w:rPr>
                <w:rFonts w:hint="eastAsia" w:ascii="宋体" w:hAnsi="宋体" w:cs="宋体"/>
                <w:color w:val="auto"/>
                <w:kern w:val="0"/>
                <w:sz w:val="22"/>
                <w:szCs w:val="22"/>
                <w:lang w:bidi="ar"/>
              </w:rPr>
              <w:t>液氨</w:t>
            </w:r>
          </w:p>
        </w:tc>
        <w:tc>
          <w:tcPr>
            <w:tcW w:w="843" w:type="pct"/>
            <w:vAlign w:val="center"/>
          </w:tcPr>
          <w:p w14:paraId="23425531">
            <w:pPr>
              <w:widowControl/>
              <w:spacing w:line="240" w:lineRule="auto"/>
              <w:ind w:firstLine="0" w:firstLineChars="0"/>
              <w:jc w:val="center"/>
              <w:textAlignment w:val="center"/>
              <w:rPr>
                <w:color w:val="auto"/>
                <w:sz w:val="21"/>
                <w:szCs w:val="21"/>
              </w:rPr>
            </w:pPr>
            <w:r>
              <w:rPr>
                <w:rFonts w:hint="eastAsia" w:ascii="宋体" w:hAnsi="宋体" w:cs="宋体"/>
                <w:color w:val="auto"/>
                <w:kern w:val="0"/>
                <w:sz w:val="22"/>
                <w:szCs w:val="22"/>
                <w:lang w:bidi="ar"/>
              </w:rPr>
              <w:t>遇明火、高热或强氧化剂</w:t>
            </w:r>
          </w:p>
        </w:tc>
        <w:tc>
          <w:tcPr>
            <w:tcW w:w="1918" w:type="pct"/>
            <w:vAlign w:val="center"/>
          </w:tcPr>
          <w:p w14:paraId="50C6606E">
            <w:pPr>
              <w:widowControl/>
              <w:spacing w:line="240" w:lineRule="auto"/>
              <w:ind w:firstLine="0" w:firstLineChars="0"/>
              <w:jc w:val="center"/>
              <w:textAlignment w:val="center"/>
              <w:rPr>
                <w:color w:val="auto"/>
                <w:sz w:val="21"/>
                <w:szCs w:val="21"/>
              </w:rPr>
            </w:pPr>
            <w:r>
              <w:rPr>
                <w:rFonts w:hint="eastAsia" w:ascii="宋体" w:hAnsi="宋体" w:cs="宋体"/>
                <w:color w:val="auto"/>
                <w:kern w:val="0"/>
                <w:sz w:val="22"/>
                <w:szCs w:val="22"/>
                <w:lang w:bidi="ar"/>
              </w:rPr>
              <w:t>易燃烧爆炸，伴生氮气、氮氧化物</w:t>
            </w:r>
          </w:p>
        </w:tc>
        <w:tc>
          <w:tcPr>
            <w:tcW w:w="772" w:type="pct"/>
            <w:vMerge w:val="continue"/>
            <w:vAlign w:val="center"/>
          </w:tcPr>
          <w:p w14:paraId="4E14CDDE">
            <w:pPr>
              <w:adjustRightInd/>
              <w:snapToGrid/>
              <w:spacing w:line="240" w:lineRule="auto"/>
              <w:ind w:firstLine="0" w:firstLineChars="0"/>
              <w:jc w:val="center"/>
              <w:rPr>
                <w:color w:val="auto"/>
                <w:sz w:val="21"/>
                <w:szCs w:val="21"/>
              </w:rPr>
            </w:pPr>
          </w:p>
        </w:tc>
        <w:tc>
          <w:tcPr>
            <w:tcW w:w="778" w:type="pct"/>
            <w:vMerge w:val="continue"/>
            <w:vAlign w:val="center"/>
          </w:tcPr>
          <w:p w14:paraId="474A4EBD">
            <w:pPr>
              <w:adjustRightInd/>
              <w:snapToGrid/>
              <w:spacing w:line="240" w:lineRule="auto"/>
              <w:ind w:firstLine="0" w:firstLineChars="0"/>
              <w:jc w:val="center"/>
              <w:rPr>
                <w:color w:val="auto"/>
                <w:sz w:val="21"/>
                <w:szCs w:val="21"/>
              </w:rPr>
            </w:pPr>
          </w:p>
        </w:tc>
      </w:tr>
    </w:tbl>
    <w:p w14:paraId="1C27FE4A">
      <w:pPr>
        <w:pStyle w:val="4"/>
        <w:rPr>
          <w:color w:val="auto"/>
        </w:rPr>
      </w:pPr>
      <w:bookmarkStart w:id="158" w:name="_Toc2164"/>
      <w:bookmarkStart w:id="159" w:name="_Toc5338"/>
      <w:r>
        <w:rPr>
          <w:color w:val="auto"/>
        </w:rPr>
        <w:t>4.</w:t>
      </w:r>
      <w:r>
        <w:rPr>
          <w:rFonts w:hint="eastAsia"/>
          <w:color w:val="auto"/>
        </w:rPr>
        <w:t>7</w:t>
      </w:r>
      <w:r>
        <w:rPr>
          <w:color w:val="auto"/>
        </w:rPr>
        <w:t>.3危险物质环境转移途径识别</w:t>
      </w:r>
      <w:bookmarkEnd w:id="158"/>
      <w:bookmarkEnd w:id="159"/>
    </w:p>
    <w:p w14:paraId="3C1F2EAC">
      <w:pPr>
        <w:adjustRightInd/>
        <w:snapToGrid/>
        <w:spacing w:line="460" w:lineRule="exact"/>
        <w:ind w:firstLine="480"/>
        <w:rPr>
          <w:rFonts w:hint="eastAsia" w:hAnsi="宋体"/>
          <w:color w:val="auto"/>
          <w:kern w:val="0"/>
          <w:szCs w:val="20"/>
        </w:rPr>
      </w:pPr>
      <w:r>
        <w:rPr>
          <w:rFonts w:hint="eastAsia" w:hAnsi="宋体"/>
          <w:color w:val="auto"/>
          <w:kern w:val="0"/>
          <w:szCs w:val="20"/>
        </w:rPr>
        <w:t>根据可能发生突发环境事件的情况下，污染物的转移途径如表</w:t>
      </w:r>
      <w:r>
        <w:rPr>
          <w:rFonts w:hAnsi="宋体"/>
          <w:color w:val="auto"/>
          <w:kern w:val="0"/>
          <w:szCs w:val="20"/>
        </w:rPr>
        <w:t>4.</w:t>
      </w:r>
      <w:r>
        <w:rPr>
          <w:rFonts w:hint="eastAsia" w:hAnsi="宋体"/>
          <w:color w:val="auto"/>
          <w:kern w:val="0"/>
          <w:szCs w:val="20"/>
        </w:rPr>
        <w:t>7</w:t>
      </w:r>
      <w:r>
        <w:rPr>
          <w:rFonts w:hAnsi="宋体"/>
          <w:color w:val="auto"/>
          <w:kern w:val="0"/>
          <w:szCs w:val="20"/>
        </w:rPr>
        <w:t>-</w:t>
      </w:r>
      <w:r>
        <w:rPr>
          <w:rFonts w:hint="eastAsia" w:hAnsi="宋体"/>
          <w:color w:val="auto"/>
          <w:kern w:val="0"/>
          <w:szCs w:val="20"/>
        </w:rPr>
        <w:t>4。</w:t>
      </w:r>
    </w:p>
    <w:p w14:paraId="4F805B49">
      <w:pPr>
        <w:adjustRightInd/>
        <w:snapToGrid/>
        <w:spacing w:line="460" w:lineRule="exact"/>
        <w:ind w:firstLine="482"/>
        <w:jc w:val="center"/>
        <w:rPr>
          <w:rFonts w:ascii="黑体" w:eastAsia="黑体"/>
          <w:color w:val="auto"/>
          <w:kern w:val="0"/>
        </w:rPr>
      </w:pPr>
      <w:r>
        <w:rPr>
          <w:b/>
          <w:bCs/>
          <w:color w:val="auto"/>
          <w:kern w:val="0"/>
        </w:rPr>
        <w:t>表4.</w:t>
      </w:r>
      <w:r>
        <w:rPr>
          <w:rFonts w:hint="eastAsia"/>
          <w:b/>
          <w:bCs/>
          <w:color w:val="auto"/>
          <w:kern w:val="0"/>
        </w:rPr>
        <w:t>7</w:t>
      </w:r>
      <w:r>
        <w:rPr>
          <w:b/>
          <w:bCs/>
          <w:color w:val="auto"/>
          <w:kern w:val="0"/>
        </w:rPr>
        <w:t xml:space="preserve">-4 </w:t>
      </w:r>
      <w:r>
        <w:rPr>
          <w:rFonts w:hint="eastAsia"/>
          <w:b/>
          <w:bCs/>
          <w:color w:val="auto"/>
          <w:kern w:val="0"/>
        </w:rPr>
        <w:t xml:space="preserve"> </w:t>
      </w:r>
      <w:r>
        <w:rPr>
          <w:b/>
          <w:bCs/>
          <w:color w:val="auto"/>
          <w:kern w:val="0"/>
        </w:rPr>
        <w:t>事故污染物转移途径及影响方式</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0" w:type="dxa"/>
          <w:bottom w:w="0" w:type="dxa"/>
          <w:right w:w="0" w:type="dxa"/>
        </w:tblCellMar>
      </w:tblPr>
      <w:tblGrid>
        <w:gridCol w:w="1174"/>
        <w:gridCol w:w="1623"/>
        <w:gridCol w:w="1606"/>
        <w:gridCol w:w="1484"/>
        <w:gridCol w:w="2059"/>
        <w:gridCol w:w="1692"/>
      </w:tblGrid>
      <w:tr w14:paraId="1DA7F48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restart"/>
            <w:vAlign w:val="center"/>
          </w:tcPr>
          <w:p w14:paraId="7E26AC78">
            <w:pPr>
              <w:spacing w:line="240" w:lineRule="auto"/>
              <w:ind w:firstLine="0" w:firstLineChars="0"/>
              <w:jc w:val="center"/>
              <w:rPr>
                <w:rFonts w:hint="eastAsia" w:hAnsi="宋体"/>
                <w:b/>
                <w:color w:val="auto"/>
                <w:sz w:val="21"/>
                <w:szCs w:val="21"/>
              </w:rPr>
            </w:pPr>
            <w:r>
              <w:rPr>
                <w:rFonts w:hint="eastAsia" w:hAnsi="宋体"/>
                <w:b/>
                <w:color w:val="auto"/>
                <w:sz w:val="21"/>
                <w:szCs w:val="21"/>
              </w:rPr>
              <w:t>事故类型</w:t>
            </w:r>
          </w:p>
        </w:tc>
        <w:tc>
          <w:tcPr>
            <w:tcW w:w="842" w:type="pct"/>
            <w:vMerge w:val="restart"/>
            <w:vAlign w:val="center"/>
          </w:tcPr>
          <w:p w14:paraId="7F52A466">
            <w:pPr>
              <w:spacing w:line="240" w:lineRule="auto"/>
              <w:ind w:firstLine="0" w:firstLineChars="0"/>
              <w:jc w:val="center"/>
              <w:rPr>
                <w:rFonts w:hint="eastAsia" w:hAnsi="宋体"/>
                <w:b/>
                <w:color w:val="auto"/>
                <w:sz w:val="21"/>
                <w:szCs w:val="21"/>
              </w:rPr>
            </w:pPr>
            <w:r>
              <w:rPr>
                <w:rFonts w:hint="eastAsia" w:hAnsi="宋体"/>
                <w:b/>
                <w:color w:val="auto"/>
                <w:sz w:val="21"/>
                <w:szCs w:val="21"/>
              </w:rPr>
              <w:t>事故位置</w:t>
            </w:r>
          </w:p>
        </w:tc>
        <w:tc>
          <w:tcPr>
            <w:tcW w:w="833" w:type="pct"/>
            <w:vMerge w:val="restart"/>
            <w:vAlign w:val="center"/>
          </w:tcPr>
          <w:p w14:paraId="2A8A5E28">
            <w:pPr>
              <w:spacing w:line="240" w:lineRule="auto"/>
              <w:ind w:firstLine="0" w:firstLineChars="0"/>
              <w:jc w:val="center"/>
              <w:rPr>
                <w:rFonts w:hint="eastAsia" w:hAnsi="宋体"/>
                <w:b/>
                <w:color w:val="auto"/>
                <w:sz w:val="21"/>
                <w:szCs w:val="21"/>
              </w:rPr>
            </w:pPr>
            <w:r>
              <w:rPr>
                <w:rFonts w:hint="eastAsia" w:hAnsi="宋体"/>
                <w:b/>
                <w:color w:val="auto"/>
                <w:sz w:val="21"/>
                <w:szCs w:val="21"/>
              </w:rPr>
              <w:t>事故危害形式</w:t>
            </w:r>
          </w:p>
        </w:tc>
        <w:tc>
          <w:tcPr>
            <w:tcW w:w="2716" w:type="pct"/>
            <w:gridSpan w:val="3"/>
            <w:vAlign w:val="center"/>
          </w:tcPr>
          <w:p w14:paraId="4DD91D8C">
            <w:pPr>
              <w:spacing w:line="240" w:lineRule="auto"/>
              <w:ind w:firstLine="0" w:firstLineChars="0"/>
              <w:jc w:val="center"/>
              <w:rPr>
                <w:rFonts w:hint="eastAsia" w:hAnsi="宋体"/>
                <w:b/>
                <w:color w:val="auto"/>
                <w:sz w:val="21"/>
                <w:szCs w:val="21"/>
              </w:rPr>
            </w:pPr>
            <w:r>
              <w:rPr>
                <w:rFonts w:hint="eastAsia" w:hAnsi="宋体"/>
                <w:b/>
                <w:color w:val="auto"/>
                <w:sz w:val="21"/>
                <w:szCs w:val="21"/>
              </w:rPr>
              <w:t>危险物质向环境转移的可能途径和影响方式</w:t>
            </w:r>
          </w:p>
        </w:tc>
      </w:tr>
      <w:tr w14:paraId="130A753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39C176D8">
            <w:pPr>
              <w:spacing w:line="240" w:lineRule="auto"/>
              <w:ind w:firstLine="0" w:firstLineChars="0"/>
              <w:jc w:val="center"/>
              <w:rPr>
                <w:rFonts w:hint="eastAsia" w:hAnsi="宋体"/>
                <w:b/>
                <w:color w:val="auto"/>
                <w:sz w:val="21"/>
                <w:szCs w:val="21"/>
              </w:rPr>
            </w:pPr>
          </w:p>
        </w:tc>
        <w:tc>
          <w:tcPr>
            <w:tcW w:w="842" w:type="pct"/>
            <w:vMerge w:val="continue"/>
            <w:vAlign w:val="center"/>
          </w:tcPr>
          <w:p w14:paraId="6BD2F820">
            <w:pPr>
              <w:spacing w:line="240" w:lineRule="auto"/>
              <w:ind w:firstLine="0" w:firstLineChars="0"/>
              <w:jc w:val="center"/>
              <w:rPr>
                <w:rFonts w:hint="eastAsia" w:hAnsi="宋体"/>
                <w:b/>
                <w:color w:val="auto"/>
                <w:sz w:val="21"/>
                <w:szCs w:val="21"/>
              </w:rPr>
            </w:pPr>
          </w:p>
        </w:tc>
        <w:tc>
          <w:tcPr>
            <w:tcW w:w="833" w:type="pct"/>
            <w:vMerge w:val="continue"/>
            <w:vAlign w:val="center"/>
          </w:tcPr>
          <w:p w14:paraId="25201449">
            <w:pPr>
              <w:spacing w:line="240" w:lineRule="auto"/>
              <w:ind w:firstLine="0" w:firstLineChars="0"/>
              <w:jc w:val="center"/>
              <w:rPr>
                <w:rFonts w:hint="eastAsia" w:hAnsi="宋体"/>
                <w:b/>
                <w:color w:val="auto"/>
                <w:sz w:val="21"/>
                <w:szCs w:val="21"/>
              </w:rPr>
            </w:pPr>
          </w:p>
        </w:tc>
        <w:tc>
          <w:tcPr>
            <w:tcW w:w="770" w:type="pct"/>
            <w:vAlign w:val="center"/>
          </w:tcPr>
          <w:p w14:paraId="31B94110">
            <w:pPr>
              <w:spacing w:line="240" w:lineRule="auto"/>
              <w:ind w:firstLine="0" w:firstLineChars="0"/>
              <w:jc w:val="center"/>
              <w:rPr>
                <w:rFonts w:hint="eastAsia" w:hAnsi="宋体"/>
                <w:b/>
                <w:color w:val="auto"/>
                <w:sz w:val="21"/>
                <w:szCs w:val="21"/>
              </w:rPr>
            </w:pPr>
            <w:r>
              <w:rPr>
                <w:rFonts w:hint="eastAsia" w:hAnsi="宋体"/>
                <w:b/>
                <w:color w:val="auto"/>
                <w:sz w:val="21"/>
                <w:szCs w:val="21"/>
              </w:rPr>
              <w:t>大气</w:t>
            </w:r>
          </w:p>
        </w:tc>
        <w:tc>
          <w:tcPr>
            <w:tcW w:w="1068" w:type="pct"/>
            <w:vAlign w:val="center"/>
          </w:tcPr>
          <w:p w14:paraId="76B99586">
            <w:pPr>
              <w:spacing w:line="240" w:lineRule="auto"/>
              <w:ind w:firstLine="0" w:firstLineChars="0"/>
              <w:jc w:val="center"/>
              <w:rPr>
                <w:rFonts w:hint="eastAsia" w:hAnsi="宋体"/>
                <w:b/>
                <w:color w:val="auto"/>
                <w:sz w:val="21"/>
                <w:szCs w:val="21"/>
              </w:rPr>
            </w:pPr>
            <w:r>
              <w:rPr>
                <w:rFonts w:hint="eastAsia" w:hAnsi="宋体"/>
                <w:b/>
                <w:color w:val="auto"/>
                <w:sz w:val="21"/>
                <w:szCs w:val="21"/>
              </w:rPr>
              <w:t>排水系统</w:t>
            </w:r>
          </w:p>
        </w:tc>
        <w:tc>
          <w:tcPr>
            <w:tcW w:w="878" w:type="pct"/>
            <w:vAlign w:val="center"/>
          </w:tcPr>
          <w:p w14:paraId="682589D1">
            <w:pPr>
              <w:spacing w:line="240" w:lineRule="auto"/>
              <w:ind w:firstLine="0" w:firstLineChars="0"/>
              <w:jc w:val="center"/>
              <w:rPr>
                <w:rFonts w:hint="eastAsia" w:hAnsi="宋体"/>
                <w:b/>
                <w:color w:val="auto"/>
                <w:sz w:val="21"/>
                <w:szCs w:val="21"/>
              </w:rPr>
            </w:pPr>
            <w:r>
              <w:rPr>
                <w:rFonts w:hint="eastAsia" w:hAnsi="宋体"/>
                <w:b/>
                <w:color w:val="auto"/>
                <w:sz w:val="21"/>
                <w:szCs w:val="21"/>
              </w:rPr>
              <w:t>土壤、地下水</w:t>
            </w:r>
          </w:p>
        </w:tc>
      </w:tr>
      <w:tr w14:paraId="79C6C8B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restart"/>
            <w:vAlign w:val="center"/>
          </w:tcPr>
          <w:p w14:paraId="19FAC1D6">
            <w:pPr>
              <w:spacing w:line="240" w:lineRule="auto"/>
              <w:ind w:firstLine="0" w:firstLineChars="0"/>
              <w:jc w:val="center"/>
              <w:rPr>
                <w:rFonts w:hint="eastAsia" w:hAnsi="宋体"/>
                <w:color w:val="auto"/>
                <w:sz w:val="21"/>
                <w:szCs w:val="21"/>
              </w:rPr>
            </w:pPr>
            <w:r>
              <w:rPr>
                <w:rFonts w:hint="eastAsia" w:hAnsi="宋体"/>
                <w:color w:val="auto"/>
                <w:sz w:val="21"/>
                <w:szCs w:val="21"/>
              </w:rPr>
              <w:t>泄漏</w:t>
            </w:r>
          </w:p>
        </w:tc>
        <w:tc>
          <w:tcPr>
            <w:tcW w:w="842" w:type="pct"/>
            <w:vMerge w:val="restart"/>
            <w:vAlign w:val="center"/>
          </w:tcPr>
          <w:p w14:paraId="348574ED">
            <w:pPr>
              <w:spacing w:line="240" w:lineRule="auto"/>
              <w:ind w:firstLine="0" w:firstLineChars="0"/>
              <w:jc w:val="center"/>
              <w:rPr>
                <w:rFonts w:hint="eastAsia" w:hAnsi="宋体"/>
                <w:color w:val="auto"/>
                <w:sz w:val="21"/>
                <w:szCs w:val="21"/>
              </w:rPr>
            </w:pPr>
            <w:r>
              <w:rPr>
                <w:rFonts w:hint="eastAsia" w:hAnsi="宋体"/>
                <w:color w:val="auto"/>
                <w:sz w:val="21"/>
                <w:szCs w:val="21"/>
              </w:rPr>
              <w:t>生产装置、储存系统、危废仓库</w:t>
            </w:r>
          </w:p>
        </w:tc>
        <w:tc>
          <w:tcPr>
            <w:tcW w:w="833" w:type="pct"/>
            <w:vAlign w:val="center"/>
          </w:tcPr>
          <w:p w14:paraId="3DDC46CA">
            <w:pPr>
              <w:spacing w:line="240" w:lineRule="auto"/>
              <w:ind w:firstLine="0" w:firstLineChars="0"/>
              <w:jc w:val="center"/>
              <w:rPr>
                <w:rFonts w:hint="eastAsia" w:hAnsi="宋体"/>
                <w:color w:val="auto"/>
                <w:sz w:val="21"/>
                <w:szCs w:val="21"/>
              </w:rPr>
            </w:pPr>
            <w:r>
              <w:rPr>
                <w:rFonts w:hint="eastAsia" w:hAnsi="宋体"/>
                <w:color w:val="auto"/>
                <w:sz w:val="21"/>
                <w:szCs w:val="21"/>
              </w:rPr>
              <w:t>气态</w:t>
            </w:r>
          </w:p>
        </w:tc>
        <w:tc>
          <w:tcPr>
            <w:tcW w:w="770" w:type="pct"/>
            <w:vAlign w:val="center"/>
          </w:tcPr>
          <w:p w14:paraId="7CA07699">
            <w:pPr>
              <w:spacing w:line="240" w:lineRule="auto"/>
              <w:ind w:firstLine="0" w:firstLineChars="0"/>
              <w:jc w:val="center"/>
              <w:rPr>
                <w:rFonts w:hint="eastAsia" w:hAnsi="宋体"/>
                <w:color w:val="auto"/>
                <w:sz w:val="21"/>
                <w:szCs w:val="21"/>
              </w:rPr>
            </w:pPr>
            <w:r>
              <w:rPr>
                <w:rFonts w:hint="eastAsia" w:hAnsi="宋体"/>
                <w:color w:val="auto"/>
                <w:sz w:val="21"/>
                <w:szCs w:val="21"/>
              </w:rPr>
              <w:t>扩散</w:t>
            </w:r>
          </w:p>
        </w:tc>
        <w:tc>
          <w:tcPr>
            <w:tcW w:w="1068" w:type="pct"/>
            <w:vAlign w:val="center"/>
          </w:tcPr>
          <w:p w14:paraId="65035A3C">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878" w:type="pct"/>
            <w:vAlign w:val="center"/>
          </w:tcPr>
          <w:p w14:paraId="4907F392">
            <w:pPr>
              <w:spacing w:line="240" w:lineRule="auto"/>
              <w:ind w:firstLine="0" w:firstLineChars="0"/>
              <w:jc w:val="center"/>
              <w:rPr>
                <w:rFonts w:hint="eastAsia" w:hAnsi="宋体"/>
                <w:color w:val="auto"/>
                <w:sz w:val="21"/>
                <w:szCs w:val="21"/>
              </w:rPr>
            </w:pPr>
            <w:r>
              <w:rPr>
                <w:rFonts w:hAnsi="宋体"/>
                <w:color w:val="auto"/>
                <w:sz w:val="21"/>
                <w:szCs w:val="21"/>
              </w:rPr>
              <w:t>/</w:t>
            </w:r>
          </w:p>
        </w:tc>
      </w:tr>
      <w:tr w14:paraId="4D3856A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72E497EC">
            <w:pPr>
              <w:spacing w:line="240" w:lineRule="auto"/>
              <w:ind w:firstLine="0" w:firstLineChars="0"/>
              <w:jc w:val="center"/>
              <w:rPr>
                <w:rFonts w:hint="eastAsia" w:hAnsi="宋体"/>
                <w:color w:val="auto"/>
                <w:sz w:val="21"/>
                <w:szCs w:val="21"/>
              </w:rPr>
            </w:pPr>
          </w:p>
        </w:tc>
        <w:tc>
          <w:tcPr>
            <w:tcW w:w="842" w:type="pct"/>
            <w:vMerge w:val="continue"/>
            <w:vAlign w:val="center"/>
          </w:tcPr>
          <w:p w14:paraId="432FCBBB">
            <w:pPr>
              <w:spacing w:line="240" w:lineRule="auto"/>
              <w:ind w:firstLine="0" w:firstLineChars="0"/>
              <w:jc w:val="center"/>
              <w:rPr>
                <w:rFonts w:hint="eastAsia" w:hAnsi="宋体"/>
                <w:color w:val="auto"/>
                <w:sz w:val="21"/>
                <w:szCs w:val="21"/>
              </w:rPr>
            </w:pPr>
          </w:p>
        </w:tc>
        <w:tc>
          <w:tcPr>
            <w:tcW w:w="833" w:type="pct"/>
            <w:vMerge w:val="restart"/>
            <w:vAlign w:val="center"/>
          </w:tcPr>
          <w:p w14:paraId="29A97901">
            <w:pPr>
              <w:spacing w:line="240" w:lineRule="auto"/>
              <w:ind w:firstLine="0" w:firstLineChars="0"/>
              <w:jc w:val="center"/>
              <w:rPr>
                <w:rFonts w:hint="eastAsia" w:hAnsi="宋体"/>
                <w:color w:val="auto"/>
                <w:sz w:val="21"/>
                <w:szCs w:val="21"/>
              </w:rPr>
            </w:pPr>
            <w:r>
              <w:rPr>
                <w:rFonts w:hint="eastAsia" w:hAnsi="宋体"/>
                <w:color w:val="auto"/>
                <w:sz w:val="21"/>
                <w:szCs w:val="21"/>
              </w:rPr>
              <w:t>液态</w:t>
            </w:r>
          </w:p>
        </w:tc>
        <w:tc>
          <w:tcPr>
            <w:tcW w:w="770" w:type="pct"/>
            <w:vAlign w:val="center"/>
          </w:tcPr>
          <w:p w14:paraId="65936DB1">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1068" w:type="pct"/>
            <w:vAlign w:val="center"/>
          </w:tcPr>
          <w:p w14:paraId="6BACAF86">
            <w:pPr>
              <w:spacing w:line="240" w:lineRule="auto"/>
              <w:ind w:firstLine="0" w:firstLineChars="0"/>
              <w:jc w:val="center"/>
              <w:rPr>
                <w:rFonts w:hint="eastAsia" w:hAnsi="宋体"/>
                <w:color w:val="auto"/>
                <w:sz w:val="21"/>
                <w:szCs w:val="21"/>
              </w:rPr>
            </w:pPr>
            <w:r>
              <w:rPr>
                <w:rFonts w:hint="eastAsia" w:hAnsi="宋体"/>
                <w:color w:val="auto"/>
                <w:sz w:val="21"/>
                <w:szCs w:val="21"/>
              </w:rPr>
              <w:t>漫流</w:t>
            </w:r>
          </w:p>
        </w:tc>
        <w:tc>
          <w:tcPr>
            <w:tcW w:w="878" w:type="pct"/>
            <w:vAlign w:val="center"/>
          </w:tcPr>
          <w:p w14:paraId="62281F99">
            <w:pPr>
              <w:spacing w:line="240" w:lineRule="auto"/>
              <w:ind w:firstLine="0" w:firstLineChars="0"/>
              <w:jc w:val="center"/>
              <w:rPr>
                <w:rFonts w:hint="eastAsia" w:hAnsi="宋体"/>
                <w:color w:val="auto"/>
                <w:sz w:val="21"/>
                <w:szCs w:val="21"/>
              </w:rPr>
            </w:pPr>
            <w:r>
              <w:rPr>
                <w:rFonts w:hint="eastAsia" w:hAnsi="宋体"/>
                <w:color w:val="auto"/>
                <w:sz w:val="21"/>
                <w:szCs w:val="21"/>
              </w:rPr>
              <w:t>渗透、吸收</w:t>
            </w:r>
          </w:p>
        </w:tc>
      </w:tr>
      <w:tr w14:paraId="2399E14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59BBB4BB">
            <w:pPr>
              <w:spacing w:line="240" w:lineRule="auto"/>
              <w:ind w:firstLine="0" w:firstLineChars="0"/>
              <w:jc w:val="center"/>
              <w:rPr>
                <w:rFonts w:hint="eastAsia" w:hAnsi="宋体"/>
                <w:color w:val="auto"/>
                <w:sz w:val="21"/>
                <w:szCs w:val="21"/>
              </w:rPr>
            </w:pPr>
          </w:p>
        </w:tc>
        <w:tc>
          <w:tcPr>
            <w:tcW w:w="842" w:type="pct"/>
            <w:vMerge w:val="continue"/>
            <w:vAlign w:val="center"/>
          </w:tcPr>
          <w:p w14:paraId="2F8E29C6">
            <w:pPr>
              <w:spacing w:line="240" w:lineRule="auto"/>
              <w:ind w:firstLine="0" w:firstLineChars="0"/>
              <w:jc w:val="center"/>
              <w:rPr>
                <w:rFonts w:hint="eastAsia" w:hAnsi="宋体"/>
                <w:color w:val="auto"/>
                <w:sz w:val="21"/>
                <w:szCs w:val="21"/>
              </w:rPr>
            </w:pPr>
          </w:p>
        </w:tc>
        <w:tc>
          <w:tcPr>
            <w:tcW w:w="833" w:type="pct"/>
            <w:vMerge w:val="continue"/>
            <w:vAlign w:val="center"/>
          </w:tcPr>
          <w:p w14:paraId="566302AD">
            <w:pPr>
              <w:spacing w:line="240" w:lineRule="auto"/>
              <w:ind w:firstLine="0" w:firstLineChars="0"/>
              <w:jc w:val="center"/>
              <w:rPr>
                <w:rFonts w:hint="eastAsia" w:hAnsi="宋体"/>
                <w:color w:val="auto"/>
                <w:sz w:val="21"/>
                <w:szCs w:val="21"/>
              </w:rPr>
            </w:pPr>
          </w:p>
        </w:tc>
        <w:tc>
          <w:tcPr>
            <w:tcW w:w="770" w:type="pct"/>
            <w:vAlign w:val="center"/>
          </w:tcPr>
          <w:p w14:paraId="2E04255F">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1068" w:type="pct"/>
            <w:vAlign w:val="center"/>
          </w:tcPr>
          <w:p w14:paraId="60898C98">
            <w:pPr>
              <w:spacing w:line="240" w:lineRule="auto"/>
              <w:ind w:firstLine="0" w:firstLineChars="0"/>
              <w:jc w:val="center"/>
              <w:rPr>
                <w:rFonts w:hint="eastAsia" w:hAnsi="宋体"/>
                <w:color w:val="auto"/>
                <w:sz w:val="21"/>
                <w:szCs w:val="21"/>
              </w:rPr>
            </w:pPr>
            <w:r>
              <w:rPr>
                <w:rFonts w:hint="eastAsia" w:hAnsi="宋体"/>
                <w:color w:val="auto"/>
                <w:sz w:val="21"/>
                <w:szCs w:val="21"/>
              </w:rPr>
              <w:t>生产废水、清下水、雨水、消防废水</w:t>
            </w:r>
          </w:p>
        </w:tc>
        <w:tc>
          <w:tcPr>
            <w:tcW w:w="878" w:type="pct"/>
            <w:vAlign w:val="center"/>
          </w:tcPr>
          <w:p w14:paraId="28B9AB7D">
            <w:pPr>
              <w:spacing w:line="240" w:lineRule="auto"/>
              <w:ind w:firstLine="0" w:firstLineChars="0"/>
              <w:jc w:val="center"/>
              <w:rPr>
                <w:rFonts w:hint="eastAsia" w:hAnsi="宋体"/>
                <w:color w:val="auto"/>
                <w:sz w:val="21"/>
                <w:szCs w:val="21"/>
              </w:rPr>
            </w:pPr>
            <w:r>
              <w:rPr>
                <w:rFonts w:hint="eastAsia" w:hAnsi="宋体"/>
                <w:color w:val="auto"/>
                <w:sz w:val="21"/>
                <w:szCs w:val="21"/>
              </w:rPr>
              <w:t>渗透、吸收</w:t>
            </w:r>
          </w:p>
        </w:tc>
      </w:tr>
      <w:tr w14:paraId="3274C75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restart"/>
            <w:vAlign w:val="center"/>
          </w:tcPr>
          <w:p w14:paraId="7E3EE2F2">
            <w:pPr>
              <w:spacing w:line="240" w:lineRule="auto"/>
              <w:ind w:firstLine="0" w:firstLineChars="0"/>
              <w:jc w:val="center"/>
              <w:rPr>
                <w:rFonts w:hint="eastAsia" w:hAnsi="宋体"/>
                <w:color w:val="auto"/>
                <w:sz w:val="21"/>
                <w:szCs w:val="21"/>
              </w:rPr>
            </w:pPr>
            <w:r>
              <w:rPr>
                <w:rFonts w:hint="eastAsia" w:hAnsi="宋体"/>
                <w:color w:val="auto"/>
                <w:sz w:val="21"/>
                <w:szCs w:val="21"/>
              </w:rPr>
              <w:t>火灾爆炸引发的次伴生污染</w:t>
            </w:r>
          </w:p>
        </w:tc>
        <w:tc>
          <w:tcPr>
            <w:tcW w:w="842" w:type="pct"/>
            <w:vMerge w:val="restart"/>
            <w:vAlign w:val="center"/>
          </w:tcPr>
          <w:p w14:paraId="589E2872">
            <w:pPr>
              <w:spacing w:line="240" w:lineRule="auto"/>
              <w:ind w:firstLine="0" w:firstLineChars="0"/>
              <w:jc w:val="center"/>
              <w:rPr>
                <w:rFonts w:hint="eastAsia" w:hAnsi="宋体"/>
                <w:color w:val="auto"/>
                <w:sz w:val="21"/>
                <w:szCs w:val="21"/>
              </w:rPr>
            </w:pPr>
            <w:r>
              <w:rPr>
                <w:rFonts w:hint="eastAsia" w:hAnsi="宋体"/>
                <w:color w:val="auto"/>
                <w:sz w:val="21"/>
                <w:szCs w:val="21"/>
              </w:rPr>
              <w:t>生产装置、储存系统、危废仓库</w:t>
            </w:r>
          </w:p>
        </w:tc>
        <w:tc>
          <w:tcPr>
            <w:tcW w:w="833" w:type="pct"/>
            <w:vAlign w:val="center"/>
          </w:tcPr>
          <w:p w14:paraId="123A7F54">
            <w:pPr>
              <w:spacing w:line="240" w:lineRule="auto"/>
              <w:ind w:firstLine="0" w:firstLineChars="0"/>
              <w:jc w:val="center"/>
              <w:rPr>
                <w:rFonts w:hint="eastAsia" w:hAnsi="宋体"/>
                <w:color w:val="auto"/>
                <w:sz w:val="21"/>
                <w:szCs w:val="21"/>
              </w:rPr>
            </w:pPr>
            <w:r>
              <w:rPr>
                <w:rFonts w:hint="eastAsia" w:hAnsi="宋体"/>
                <w:color w:val="auto"/>
                <w:sz w:val="21"/>
                <w:szCs w:val="21"/>
              </w:rPr>
              <w:t>毒物蒸发</w:t>
            </w:r>
          </w:p>
        </w:tc>
        <w:tc>
          <w:tcPr>
            <w:tcW w:w="770" w:type="pct"/>
            <w:vAlign w:val="center"/>
          </w:tcPr>
          <w:p w14:paraId="2C4E3B99">
            <w:pPr>
              <w:spacing w:line="240" w:lineRule="auto"/>
              <w:ind w:firstLine="0" w:firstLineChars="0"/>
              <w:jc w:val="center"/>
              <w:rPr>
                <w:rFonts w:hint="eastAsia" w:hAnsi="宋体"/>
                <w:color w:val="auto"/>
                <w:sz w:val="21"/>
                <w:szCs w:val="21"/>
              </w:rPr>
            </w:pPr>
            <w:r>
              <w:rPr>
                <w:rFonts w:hint="eastAsia" w:hAnsi="宋体"/>
                <w:color w:val="auto"/>
                <w:sz w:val="21"/>
                <w:szCs w:val="21"/>
              </w:rPr>
              <w:t>扩散</w:t>
            </w:r>
          </w:p>
        </w:tc>
        <w:tc>
          <w:tcPr>
            <w:tcW w:w="1068" w:type="pct"/>
            <w:vAlign w:val="center"/>
          </w:tcPr>
          <w:p w14:paraId="43CE44DE">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878" w:type="pct"/>
            <w:vAlign w:val="center"/>
          </w:tcPr>
          <w:p w14:paraId="1B7BC948">
            <w:pPr>
              <w:spacing w:line="240" w:lineRule="auto"/>
              <w:ind w:firstLine="0" w:firstLineChars="0"/>
              <w:jc w:val="center"/>
              <w:rPr>
                <w:rFonts w:hint="eastAsia" w:hAnsi="宋体"/>
                <w:color w:val="auto"/>
                <w:sz w:val="21"/>
                <w:szCs w:val="21"/>
              </w:rPr>
            </w:pPr>
            <w:r>
              <w:rPr>
                <w:rFonts w:hAnsi="宋体"/>
                <w:color w:val="auto"/>
                <w:sz w:val="21"/>
                <w:szCs w:val="21"/>
              </w:rPr>
              <w:t>/</w:t>
            </w:r>
          </w:p>
        </w:tc>
      </w:tr>
      <w:tr w14:paraId="075BF98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6F1773D2">
            <w:pPr>
              <w:spacing w:line="240" w:lineRule="auto"/>
              <w:ind w:firstLine="0" w:firstLineChars="0"/>
              <w:jc w:val="center"/>
              <w:rPr>
                <w:rFonts w:hint="eastAsia" w:hAnsi="宋体"/>
                <w:color w:val="auto"/>
                <w:sz w:val="21"/>
                <w:szCs w:val="21"/>
              </w:rPr>
            </w:pPr>
          </w:p>
        </w:tc>
        <w:tc>
          <w:tcPr>
            <w:tcW w:w="842" w:type="pct"/>
            <w:vMerge w:val="continue"/>
            <w:vAlign w:val="center"/>
          </w:tcPr>
          <w:p w14:paraId="3BB69D89">
            <w:pPr>
              <w:spacing w:line="240" w:lineRule="auto"/>
              <w:ind w:firstLine="0" w:firstLineChars="0"/>
              <w:jc w:val="center"/>
              <w:rPr>
                <w:rFonts w:hint="eastAsia" w:hAnsi="宋体"/>
                <w:color w:val="auto"/>
                <w:sz w:val="21"/>
                <w:szCs w:val="21"/>
              </w:rPr>
            </w:pPr>
          </w:p>
        </w:tc>
        <w:tc>
          <w:tcPr>
            <w:tcW w:w="833" w:type="pct"/>
            <w:vAlign w:val="center"/>
          </w:tcPr>
          <w:p w14:paraId="363BAAEB">
            <w:pPr>
              <w:spacing w:line="240" w:lineRule="auto"/>
              <w:ind w:firstLine="0" w:firstLineChars="0"/>
              <w:jc w:val="center"/>
              <w:rPr>
                <w:rFonts w:hint="eastAsia" w:hAnsi="宋体"/>
                <w:color w:val="auto"/>
                <w:sz w:val="21"/>
                <w:szCs w:val="21"/>
              </w:rPr>
            </w:pPr>
            <w:r>
              <w:rPr>
                <w:rFonts w:hint="eastAsia" w:hAnsi="宋体"/>
                <w:color w:val="auto"/>
                <w:sz w:val="21"/>
                <w:szCs w:val="21"/>
              </w:rPr>
              <w:t>伴生毒物</w:t>
            </w:r>
          </w:p>
        </w:tc>
        <w:tc>
          <w:tcPr>
            <w:tcW w:w="770" w:type="pct"/>
            <w:vAlign w:val="center"/>
          </w:tcPr>
          <w:p w14:paraId="7748005F">
            <w:pPr>
              <w:spacing w:line="240" w:lineRule="auto"/>
              <w:ind w:firstLine="0" w:firstLineChars="0"/>
              <w:jc w:val="center"/>
              <w:rPr>
                <w:rFonts w:hint="eastAsia" w:hAnsi="宋体"/>
                <w:color w:val="auto"/>
                <w:sz w:val="21"/>
                <w:szCs w:val="21"/>
              </w:rPr>
            </w:pPr>
            <w:r>
              <w:rPr>
                <w:rFonts w:hint="eastAsia" w:hAnsi="宋体"/>
                <w:color w:val="auto"/>
                <w:sz w:val="21"/>
                <w:szCs w:val="21"/>
              </w:rPr>
              <w:t>扩散</w:t>
            </w:r>
          </w:p>
        </w:tc>
        <w:tc>
          <w:tcPr>
            <w:tcW w:w="1068" w:type="pct"/>
            <w:vAlign w:val="center"/>
          </w:tcPr>
          <w:p w14:paraId="05CF365C">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878" w:type="pct"/>
            <w:vAlign w:val="center"/>
          </w:tcPr>
          <w:p w14:paraId="77EDE67A">
            <w:pPr>
              <w:spacing w:line="240" w:lineRule="auto"/>
              <w:ind w:firstLine="0" w:firstLineChars="0"/>
              <w:jc w:val="center"/>
              <w:rPr>
                <w:rFonts w:hint="eastAsia" w:hAnsi="宋体"/>
                <w:color w:val="auto"/>
                <w:sz w:val="21"/>
                <w:szCs w:val="21"/>
              </w:rPr>
            </w:pPr>
            <w:r>
              <w:rPr>
                <w:rFonts w:hAnsi="宋体"/>
                <w:color w:val="auto"/>
                <w:sz w:val="21"/>
                <w:szCs w:val="21"/>
              </w:rPr>
              <w:t>/</w:t>
            </w:r>
          </w:p>
        </w:tc>
      </w:tr>
      <w:tr w14:paraId="273F5398">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0B6BB1EC">
            <w:pPr>
              <w:spacing w:line="240" w:lineRule="auto"/>
              <w:ind w:firstLine="0" w:firstLineChars="0"/>
              <w:jc w:val="center"/>
              <w:rPr>
                <w:rFonts w:hint="eastAsia" w:hAnsi="宋体"/>
                <w:color w:val="auto"/>
                <w:sz w:val="21"/>
                <w:szCs w:val="21"/>
              </w:rPr>
            </w:pPr>
          </w:p>
        </w:tc>
        <w:tc>
          <w:tcPr>
            <w:tcW w:w="842" w:type="pct"/>
            <w:vMerge w:val="continue"/>
            <w:vAlign w:val="center"/>
          </w:tcPr>
          <w:p w14:paraId="23331675">
            <w:pPr>
              <w:spacing w:line="240" w:lineRule="auto"/>
              <w:ind w:firstLine="0" w:firstLineChars="0"/>
              <w:jc w:val="center"/>
              <w:rPr>
                <w:rFonts w:hint="eastAsia" w:hAnsi="宋体"/>
                <w:color w:val="auto"/>
                <w:sz w:val="21"/>
                <w:szCs w:val="21"/>
              </w:rPr>
            </w:pPr>
          </w:p>
        </w:tc>
        <w:tc>
          <w:tcPr>
            <w:tcW w:w="833" w:type="pct"/>
            <w:vAlign w:val="center"/>
          </w:tcPr>
          <w:p w14:paraId="4F8D9B0F">
            <w:pPr>
              <w:spacing w:line="240" w:lineRule="auto"/>
              <w:ind w:firstLine="0" w:firstLineChars="0"/>
              <w:jc w:val="center"/>
              <w:rPr>
                <w:rFonts w:hint="eastAsia" w:hAnsi="宋体"/>
                <w:color w:val="auto"/>
                <w:sz w:val="21"/>
                <w:szCs w:val="21"/>
              </w:rPr>
            </w:pPr>
            <w:r>
              <w:rPr>
                <w:rFonts w:hint="eastAsia" w:hAnsi="宋体"/>
                <w:color w:val="auto"/>
                <w:sz w:val="21"/>
                <w:szCs w:val="21"/>
              </w:rPr>
              <w:t>消防废水</w:t>
            </w:r>
          </w:p>
        </w:tc>
        <w:tc>
          <w:tcPr>
            <w:tcW w:w="770" w:type="pct"/>
            <w:vAlign w:val="center"/>
          </w:tcPr>
          <w:p w14:paraId="5F44A9AF">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1068" w:type="pct"/>
            <w:vAlign w:val="center"/>
          </w:tcPr>
          <w:p w14:paraId="433209C4">
            <w:pPr>
              <w:spacing w:line="240" w:lineRule="auto"/>
              <w:ind w:firstLine="0" w:firstLineChars="0"/>
              <w:jc w:val="center"/>
              <w:rPr>
                <w:rFonts w:hint="eastAsia" w:hAnsi="宋体"/>
                <w:color w:val="auto"/>
                <w:sz w:val="21"/>
                <w:szCs w:val="21"/>
              </w:rPr>
            </w:pPr>
            <w:r>
              <w:rPr>
                <w:rFonts w:hint="eastAsia" w:hAnsi="宋体"/>
                <w:color w:val="auto"/>
                <w:sz w:val="21"/>
                <w:szCs w:val="21"/>
              </w:rPr>
              <w:t>生产废水、清下水、雨水、消防废水</w:t>
            </w:r>
          </w:p>
        </w:tc>
        <w:tc>
          <w:tcPr>
            <w:tcW w:w="878" w:type="pct"/>
            <w:vAlign w:val="center"/>
          </w:tcPr>
          <w:p w14:paraId="3F2B4635">
            <w:pPr>
              <w:spacing w:line="240" w:lineRule="auto"/>
              <w:ind w:firstLine="0" w:firstLineChars="0"/>
              <w:jc w:val="center"/>
              <w:rPr>
                <w:rFonts w:hint="eastAsia" w:hAnsi="宋体"/>
                <w:color w:val="auto"/>
                <w:sz w:val="21"/>
                <w:szCs w:val="21"/>
              </w:rPr>
            </w:pPr>
            <w:r>
              <w:rPr>
                <w:rFonts w:hint="eastAsia" w:hAnsi="宋体"/>
                <w:color w:val="auto"/>
                <w:sz w:val="21"/>
                <w:szCs w:val="21"/>
              </w:rPr>
              <w:t>渗透、吸收</w:t>
            </w:r>
          </w:p>
        </w:tc>
      </w:tr>
      <w:tr w14:paraId="4555CF8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restart"/>
            <w:vAlign w:val="center"/>
          </w:tcPr>
          <w:p w14:paraId="4FB920E5">
            <w:pPr>
              <w:spacing w:line="240" w:lineRule="auto"/>
              <w:ind w:firstLine="0" w:firstLineChars="0"/>
              <w:jc w:val="center"/>
              <w:rPr>
                <w:rFonts w:hint="eastAsia" w:hAnsi="宋体"/>
                <w:color w:val="auto"/>
                <w:sz w:val="21"/>
                <w:szCs w:val="21"/>
              </w:rPr>
            </w:pPr>
            <w:r>
              <w:rPr>
                <w:rFonts w:hint="eastAsia" w:hAnsi="宋体"/>
                <w:color w:val="auto"/>
                <w:sz w:val="21"/>
                <w:szCs w:val="21"/>
              </w:rPr>
              <w:t>环境风险防控设施失灵或非正常操作</w:t>
            </w:r>
          </w:p>
        </w:tc>
        <w:tc>
          <w:tcPr>
            <w:tcW w:w="842" w:type="pct"/>
            <w:vMerge w:val="restart"/>
            <w:vAlign w:val="center"/>
          </w:tcPr>
          <w:p w14:paraId="7A52E9C1">
            <w:pPr>
              <w:spacing w:line="240" w:lineRule="auto"/>
              <w:ind w:firstLine="0" w:firstLineChars="0"/>
              <w:jc w:val="center"/>
              <w:rPr>
                <w:rFonts w:hint="eastAsia" w:hAnsi="宋体"/>
                <w:color w:val="auto"/>
                <w:sz w:val="21"/>
                <w:szCs w:val="21"/>
              </w:rPr>
            </w:pPr>
            <w:r>
              <w:rPr>
                <w:rFonts w:hint="eastAsia" w:hAnsi="宋体"/>
                <w:color w:val="auto"/>
                <w:sz w:val="21"/>
                <w:szCs w:val="21"/>
              </w:rPr>
              <w:t>环境风险防控设施</w:t>
            </w:r>
          </w:p>
        </w:tc>
        <w:tc>
          <w:tcPr>
            <w:tcW w:w="833" w:type="pct"/>
            <w:vAlign w:val="center"/>
          </w:tcPr>
          <w:p w14:paraId="66EDE4B0">
            <w:pPr>
              <w:spacing w:line="240" w:lineRule="auto"/>
              <w:ind w:firstLine="0" w:firstLineChars="0"/>
              <w:jc w:val="center"/>
              <w:rPr>
                <w:rFonts w:hint="eastAsia" w:hAnsi="宋体"/>
                <w:color w:val="auto"/>
                <w:sz w:val="21"/>
                <w:szCs w:val="21"/>
              </w:rPr>
            </w:pPr>
            <w:r>
              <w:rPr>
                <w:rFonts w:hint="eastAsia" w:hAnsi="宋体"/>
                <w:color w:val="auto"/>
                <w:sz w:val="21"/>
                <w:szCs w:val="21"/>
              </w:rPr>
              <w:t>气态</w:t>
            </w:r>
          </w:p>
        </w:tc>
        <w:tc>
          <w:tcPr>
            <w:tcW w:w="770" w:type="pct"/>
            <w:vAlign w:val="center"/>
          </w:tcPr>
          <w:p w14:paraId="2129E191">
            <w:pPr>
              <w:spacing w:line="240" w:lineRule="auto"/>
              <w:ind w:firstLine="0" w:firstLineChars="0"/>
              <w:jc w:val="center"/>
              <w:rPr>
                <w:rFonts w:hint="eastAsia" w:hAnsi="宋体"/>
                <w:color w:val="auto"/>
                <w:sz w:val="21"/>
                <w:szCs w:val="21"/>
              </w:rPr>
            </w:pPr>
            <w:r>
              <w:rPr>
                <w:rFonts w:hint="eastAsia" w:hAnsi="宋体"/>
                <w:color w:val="auto"/>
                <w:sz w:val="21"/>
                <w:szCs w:val="21"/>
              </w:rPr>
              <w:t>扩散</w:t>
            </w:r>
          </w:p>
        </w:tc>
        <w:tc>
          <w:tcPr>
            <w:tcW w:w="1068" w:type="pct"/>
            <w:vAlign w:val="center"/>
          </w:tcPr>
          <w:p w14:paraId="16304602">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878" w:type="pct"/>
            <w:vAlign w:val="center"/>
          </w:tcPr>
          <w:p w14:paraId="0FC4E9A2">
            <w:pPr>
              <w:spacing w:line="240" w:lineRule="auto"/>
              <w:ind w:firstLine="0" w:firstLineChars="0"/>
              <w:jc w:val="center"/>
              <w:rPr>
                <w:rFonts w:hint="eastAsia" w:hAnsi="宋体"/>
                <w:color w:val="auto"/>
                <w:sz w:val="21"/>
                <w:szCs w:val="21"/>
              </w:rPr>
            </w:pPr>
            <w:r>
              <w:rPr>
                <w:rFonts w:hAnsi="宋体"/>
                <w:color w:val="auto"/>
                <w:sz w:val="21"/>
                <w:szCs w:val="21"/>
              </w:rPr>
              <w:t>/</w:t>
            </w:r>
          </w:p>
        </w:tc>
      </w:tr>
      <w:tr w14:paraId="061CE1F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48A219C5">
            <w:pPr>
              <w:spacing w:line="240" w:lineRule="auto"/>
              <w:ind w:firstLine="0" w:firstLineChars="0"/>
              <w:jc w:val="center"/>
              <w:rPr>
                <w:rFonts w:hint="eastAsia" w:hAnsi="宋体"/>
                <w:color w:val="auto"/>
                <w:sz w:val="21"/>
                <w:szCs w:val="21"/>
              </w:rPr>
            </w:pPr>
          </w:p>
        </w:tc>
        <w:tc>
          <w:tcPr>
            <w:tcW w:w="842" w:type="pct"/>
            <w:vMerge w:val="continue"/>
            <w:vAlign w:val="center"/>
          </w:tcPr>
          <w:p w14:paraId="3D0762A7">
            <w:pPr>
              <w:spacing w:line="240" w:lineRule="auto"/>
              <w:ind w:firstLine="0" w:firstLineChars="0"/>
              <w:jc w:val="center"/>
              <w:rPr>
                <w:rFonts w:hint="eastAsia" w:hAnsi="宋体"/>
                <w:color w:val="auto"/>
                <w:sz w:val="21"/>
                <w:szCs w:val="21"/>
              </w:rPr>
            </w:pPr>
          </w:p>
        </w:tc>
        <w:tc>
          <w:tcPr>
            <w:tcW w:w="833" w:type="pct"/>
            <w:vAlign w:val="center"/>
          </w:tcPr>
          <w:p w14:paraId="469D28C0">
            <w:pPr>
              <w:spacing w:line="240" w:lineRule="auto"/>
              <w:ind w:firstLine="0" w:firstLineChars="0"/>
              <w:jc w:val="center"/>
              <w:rPr>
                <w:rFonts w:hint="eastAsia" w:hAnsi="宋体"/>
                <w:color w:val="auto"/>
                <w:sz w:val="21"/>
                <w:szCs w:val="21"/>
              </w:rPr>
            </w:pPr>
            <w:r>
              <w:rPr>
                <w:rFonts w:hint="eastAsia" w:hAnsi="宋体"/>
                <w:color w:val="auto"/>
                <w:sz w:val="21"/>
                <w:szCs w:val="21"/>
              </w:rPr>
              <w:t>液态</w:t>
            </w:r>
          </w:p>
        </w:tc>
        <w:tc>
          <w:tcPr>
            <w:tcW w:w="770" w:type="pct"/>
            <w:vAlign w:val="center"/>
          </w:tcPr>
          <w:p w14:paraId="6066F80D">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1068" w:type="pct"/>
            <w:vAlign w:val="center"/>
          </w:tcPr>
          <w:p w14:paraId="033A45D7">
            <w:pPr>
              <w:spacing w:line="240" w:lineRule="auto"/>
              <w:ind w:firstLine="0" w:firstLineChars="0"/>
              <w:jc w:val="center"/>
              <w:rPr>
                <w:rFonts w:hint="eastAsia" w:hAnsi="宋体"/>
                <w:color w:val="auto"/>
                <w:sz w:val="21"/>
                <w:szCs w:val="21"/>
              </w:rPr>
            </w:pPr>
            <w:r>
              <w:rPr>
                <w:rFonts w:hint="eastAsia" w:hAnsi="宋体"/>
                <w:color w:val="auto"/>
                <w:sz w:val="21"/>
                <w:szCs w:val="21"/>
              </w:rPr>
              <w:t>生产废水、清下水、雨水、消防废水</w:t>
            </w:r>
          </w:p>
        </w:tc>
        <w:tc>
          <w:tcPr>
            <w:tcW w:w="878" w:type="pct"/>
            <w:vAlign w:val="center"/>
          </w:tcPr>
          <w:p w14:paraId="49731768">
            <w:pPr>
              <w:spacing w:line="240" w:lineRule="auto"/>
              <w:ind w:firstLine="0" w:firstLineChars="0"/>
              <w:jc w:val="center"/>
              <w:rPr>
                <w:rFonts w:hint="eastAsia" w:hAnsi="宋体"/>
                <w:color w:val="auto"/>
                <w:sz w:val="21"/>
                <w:szCs w:val="21"/>
              </w:rPr>
            </w:pPr>
            <w:r>
              <w:rPr>
                <w:rFonts w:hint="eastAsia" w:hAnsi="宋体"/>
                <w:color w:val="auto"/>
                <w:sz w:val="21"/>
                <w:szCs w:val="21"/>
              </w:rPr>
              <w:t>渗透、吸收</w:t>
            </w:r>
          </w:p>
        </w:tc>
      </w:tr>
      <w:tr w14:paraId="404B658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1AEE3B58">
            <w:pPr>
              <w:spacing w:line="240" w:lineRule="auto"/>
              <w:ind w:firstLine="0" w:firstLineChars="0"/>
              <w:jc w:val="center"/>
              <w:rPr>
                <w:rFonts w:hint="eastAsia" w:hAnsi="宋体"/>
                <w:color w:val="auto"/>
                <w:sz w:val="21"/>
                <w:szCs w:val="21"/>
              </w:rPr>
            </w:pPr>
          </w:p>
        </w:tc>
        <w:tc>
          <w:tcPr>
            <w:tcW w:w="842" w:type="pct"/>
            <w:vMerge w:val="continue"/>
            <w:vAlign w:val="center"/>
          </w:tcPr>
          <w:p w14:paraId="5B8C6D75">
            <w:pPr>
              <w:spacing w:line="240" w:lineRule="auto"/>
              <w:ind w:firstLine="0" w:firstLineChars="0"/>
              <w:jc w:val="center"/>
              <w:rPr>
                <w:rFonts w:hint="eastAsia" w:hAnsi="宋体"/>
                <w:color w:val="auto"/>
                <w:sz w:val="21"/>
                <w:szCs w:val="21"/>
              </w:rPr>
            </w:pPr>
          </w:p>
        </w:tc>
        <w:tc>
          <w:tcPr>
            <w:tcW w:w="833" w:type="pct"/>
            <w:vAlign w:val="center"/>
          </w:tcPr>
          <w:p w14:paraId="6A8BAA90">
            <w:pPr>
              <w:spacing w:line="240" w:lineRule="auto"/>
              <w:ind w:firstLine="0" w:firstLineChars="0"/>
              <w:jc w:val="center"/>
              <w:rPr>
                <w:rFonts w:hint="eastAsia" w:hAnsi="宋体"/>
                <w:color w:val="auto"/>
                <w:sz w:val="21"/>
                <w:szCs w:val="21"/>
              </w:rPr>
            </w:pPr>
            <w:r>
              <w:rPr>
                <w:rFonts w:hint="eastAsia" w:hAnsi="宋体"/>
                <w:color w:val="auto"/>
                <w:sz w:val="21"/>
                <w:szCs w:val="21"/>
              </w:rPr>
              <w:t>固态</w:t>
            </w:r>
          </w:p>
        </w:tc>
        <w:tc>
          <w:tcPr>
            <w:tcW w:w="770" w:type="pct"/>
            <w:vAlign w:val="center"/>
          </w:tcPr>
          <w:p w14:paraId="0DDDFF65">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1068" w:type="pct"/>
            <w:vAlign w:val="center"/>
          </w:tcPr>
          <w:p w14:paraId="128975C3">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878" w:type="pct"/>
            <w:vAlign w:val="center"/>
          </w:tcPr>
          <w:p w14:paraId="46E485D3">
            <w:pPr>
              <w:spacing w:line="240" w:lineRule="auto"/>
              <w:ind w:firstLine="0" w:firstLineChars="0"/>
              <w:jc w:val="center"/>
              <w:rPr>
                <w:rFonts w:hint="eastAsia" w:hAnsi="宋体"/>
                <w:color w:val="auto"/>
                <w:sz w:val="21"/>
                <w:szCs w:val="21"/>
              </w:rPr>
            </w:pPr>
            <w:r>
              <w:rPr>
                <w:rFonts w:hint="eastAsia" w:hAnsi="宋体"/>
                <w:color w:val="auto"/>
                <w:sz w:val="21"/>
                <w:szCs w:val="21"/>
              </w:rPr>
              <w:t>渗透、吸收</w:t>
            </w:r>
          </w:p>
        </w:tc>
      </w:tr>
      <w:tr w14:paraId="50A84F1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restart"/>
            <w:vAlign w:val="center"/>
          </w:tcPr>
          <w:p w14:paraId="617DBECE">
            <w:pPr>
              <w:spacing w:line="240" w:lineRule="auto"/>
              <w:ind w:firstLine="0" w:firstLineChars="0"/>
              <w:jc w:val="center"/>
              <w:rPr>
                <w:rFonts w:hint="eastAsia" w:hAnsi="宋体"/>
                <w:color w:val="auto"/>
                <w:sz w:val="21"/>
                <w:szCs w:val="21"/>
              </w:rPr>
            </w:pPr>
            <w:r>
              <w:rPr>
                <w:rFonts w:hint="eastAsia" w:hAnsi="宋体"/>
                <w:color w:val="auto"/>
                <w:sz w:val="21"/>
                <w:szCs w:val="21"/>
              </w:rPr>
              <w:t>非正常工况</w:t>
            </w:r>
          </w:p>
        </w:tc>
        <w:tc>
          <w:tcPr>
            <w:tcW w:w="842" w:type="pct"/>
            <w:vMerge w:val="restart"/>
            <w:vAlign w:val="center"/>
          </w:tcPr>
          <w:p w14:paraId="7DE8F171">
            <w:pPr>
              <w:spacing w:line="240" w:lineRule="auto"/>
              <w:ind w:firstLine="0" w:firstLineChars="0"/>
              <w:jc w:val="center"/>
              <w:rPr>
                <w:rFonts w:hint="eastAsia" w:hAnsi="宋体"/>
                <w:color w:val="auto"/>
                <w:sz w:val="21"/>
                <w:szCs w:val="21"/>
              </w:rPr>
            </w:pPr>
            <w:r>
              <w:rPr>
                <w:rFonts w:hint="eastAsia" w:hAnsi="宋体"/>
                <w:color w:val="auto"/>
                <w:sz w:val="21"/>
                <w:szCs w:val="21"/>
              </w:rPr>
              <w:t>生产装置、储存系统</w:t>
            </w:r>
          </w:p>
        </w:tc>
        <w:tc>
          <w:tcPr>
            <w:tcW w:w="833" w:type="pct"/>
            <w:vAlign w:val="center"/>
          </w:tcPr>
          <w:p w14:paraId="6EF49559">
            <w:pPr>
              <w:spacing w:line="240" w:lineRule="auto"/>
              <w:ind w:firstLine="0" w:firstLineChars="0"/>
              <w:jc w:val="center"/>
              <w:rPr>
                <w:rFonts w:hint="eastAsia" w:hAnsi="宋体"/>
                <w:color w:val="auto"/>
                <w:sz w:val="21"/>
                <w:szCs w:val="21"/>
              </w:rPr>
            </w:pPr>
            <w:r>
              <w:rPr>
                <w:rFonts w:hint="eastAsia" w:hAnsi="宋体"/>
                <w:color w:val="auto"/>
                <w:sz w:val="21"/>
                <w:szCs w:val="21"/>
              </w:rPr>
              <w:t>气态</w:t>
            </w:r>
          </w:p>
        </w:tc>
        <w:tc>
          <w:tcPr>
            <w:tcW w:w="770" w:type="pct"/>
            <w:vAlign w:val="center"/>
          </w:tcPr>
          <w:p w14:paraId="270DCB1D">
            <w:pPr>
              <w:spacing w:line="240" w:lineRule="auto"/>
              <w:ind w:firstLine="0" w:firstLineChars="0"/>
              <w:jc w:val="center"/>
              <w:rPr>
                <w:rFonts w:hint="eastAsia" w:hAnsi="宋体"/>
                <w:color w:val="auto"/>
                <w:sz w:val="21"/>
                <w:szCs w:val="21"/>
              </w:rPr>
            </w:pPr>
            <w:r>
              <w:rPr>
                <w:rFonts w:hint="eastAsia" w:hAnsi="宋体"/>
                <w:color w:val="auto"/>
                <w:sz w:val="21"/>
                <w:szCs w:val="21"/>
              </w:rPr>
              <w:t>扩散</w:t>
            </w:r>
          </w:p>
        </w:tc>
        <w:tc>
          <w:tcPr>
            <w:tcW w:w="1068" w:type="pct"/>
            <w:vAlign w:val="center"/>
          </w:tcPr>
          <w:p w14:paraId="53DA4144">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878" w:type="pct"/>
            <w:vAlign w:val="center"/>
          </w:tcPr>
          <w:p w14:paraId="1A4FD684">
            <w:pPr>
              <w:spacing w:line="240" w:lineRule="auto"/>
              <w:ind w:firstLine="0" w:firstLineChars="0"/>
              <w:jc w:val="center"/>
              <w:rPr>
                <w:rFonts w:hint="eastAsia" w:hAnsi="宋体"/>
                <w:color w:val="auto"/>
                <w:sz w:val="21"/>
                <w:szCs w:val="21"/>
              </w:rPr>
            </w:pPr>
            <w:r>
              <w:rPr>
                <w:rFonts w:hAnsi="宋体"/>
                <w:color w:val="auto"/>
                <w:sz w:val="21"/>
                <w:szCs w:val="21"/>
              </w:rPr>
              <w:t>/</w:t>
            </w:r>
          </w:p>
        </w:tc>
      </w:tr>
      <w:tr w14:paraId="0B09B9A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2953B79E">
            <w:pPr>
              <w:spacing w:line="240" w:lineRule="auto"/>
              <w:ind w:firstLine="0" w:firstLineChars="0"/>
              <w:jc w:val="center"/>
              <w:rPr>
                <w:rFonts w:hint="eastAsia" w:hAnsi="宋体"/>
                <w:color w:val="auto"/>
                <w:sz w:val="21"/>
                <w:szCs w:val="21"/>
              </w:rPr>
            </w:pPr>
          </w:p>
        </w:tc>
        <w:tc>
          <w:tcPr>
            <w:tcW w:w="842" w:type="pct"/>
            <w:vMerge w:val="continue"/>
            <w:vAlign w:val="center"/>
          </w:tcPr>
          <w:p w14:paraId="5F92A4EC">
            <w:pPr>
              <w:spacing w:line="240" w:lineRule="auto"/>
              <w:ind w:firstLine="0" w:firstLineChars="0"/>
              <w:jc w:val="center"/>
              <w:rPr>
                <w:rFonts w:hint="eastAsia" w:hAnsi="宋体"/>
                <w:color w:val="auto"/>
                <w:sz w:val="21"/>
                <w:szCs w:val="21"/>
              </w:rPr>
            </w:pPr>
          </w:p>
        </w:tc>
        <w:tc>
          <w:tcPr>
            <w:tcW w:w="833" w:type="pct"/>
            <w:vAlign w:val="center"/>
          </w:tcPr>
          <w:p w14:paraId="07541E3F">
            <w:pPr>
              <w:spacing w:line="240" w:lineRule="auto"/>
              <w:ind w:firstLine="0" w:firstLineChars="0"/>
              <w:jc w:val="center"/>
              <w:rPr>
                <w:rFonts w:hint="eastAsia" w:hAnsi="宋体"/>
                <w:color w:val="auto"/>
                <w:sz w:val="21"/>
                <w:szCs w:val="21"/>
              </w:rPr>
            </w:pPr>
            <w:r>
              <w:rPr>
                <w:rFonts w:hint="eastAsia" w:hAnsi="宋体"/>
                <w:color w:val="auto"/>
                <w:sz w:val="21"/>
                <w:szCs w:val="21"/>
              </w:rPr>
              <w:t>液态</w:t>
            </w:r>
          </w:p>
        </w:tc>
        <w:tc>
          <w:tcPr>
            <w:tcW w:w="770" w:type="pct"/>
            <w:vAlign w:val="center"/>
          </w:tcPr>
          <w:p w14:paraId="1FE2C1DE">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1068" w:type="pct"/>
            <w:vAlign w:val="center"/>
          </w:tcPr>
          <w:p w14:paraId="069A7187">
            <w:pPr>
              <w:spacing w:line="240" w:lineRule="auto"/>
              <w:ind w:firstLine="0" w:firstLineChars="0"/>
              <w:jc w:val="center"/>
              <w:rPr>
                <w:rFonts w:hint="eastAsia" w:hAnsi="宋体"/>
                <w:color w:val="auto"/>
                <w:sz w:val="21"/>
                <w:szCs w:val="21"/>
              </w:rPr>
            </w:pPr>
            <w:r>
              <w:rPr>
                <w:rFonts w:hint="eastAsia" w:hAnsi="宋体"/>
                <w:color w:val="auto"/>
                <w:sz w:val="21"/>
                <w:szCs w:val="21"/>
              </w:rPr>
              <w:t>生产废水、清下水、雨水、消防废水</w:t>
            </w:r>
          </w:p>
        </w:tc>
        <w:tc>
          <w:tcPr>
            <w:tcW w:w="878" w:type="pct"/>
            <w:vAlign w:val="center"/>
          </w:tcPr>
          <w:p w14:paraId="186F8F22">
            <w:pPr>
              <w:spacing w:line="240" w:lineRule="auto"/>
              <w:ind w:firstLine="0" w:firstLineChars="0"/>
              <w:jc w:val="center"/>
              <w:rPr>
                <w:rFonts w:hint="eastAsia" w:hAnsi="宋体"/>
                <w:color w:val="auto"/>
                <w:sz w:val="21"/>
                <w:szCs w:val="21"/>
              </w:rPr>
            </w:pPr>
            <w:r>
              <w:rPr>
                <w:rFonts w:hint="eastAsia" w:hAnsi="宋体"/>
                <w:color w:val="auto"/>
                <w:sz w:val="21"/>
                <w:szCs w:val="21"/>
              </w:rPr>
              <w:t>渗透、吸收</w:t>
            </w:r>
          </w:p>
        </w:tc>
      </w:tr>
      <w:tr w14:paraId="33CDF88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restart"/>
            <w:vAlign w:val="center"/>
          </w:tcPr>
          <w:p w14:paraId="66A158B1">
            <w:pPr>
              <w:spacing w:line="240" w:lineRule="auto"/>
              <w:ind w:firstLine="0" w:firstLineChars="0"/>
              <w:jc w:val="center"/>
              <w:rPr>
                <w:rFonts w:hint="eastAsia" w:hAnsi="宋体"/>
                <w:color w:val="auto"/>
                <w:sz w:val="21"/>
                <w:szCs w:val="21"/>
              </w:rPr>
            </w:pPr>
            <w:r>
              <w:rPr>
                <w:rFonts w:hint="eastAsia" w:hAnsi="宋体"/>
                <w:color w:val="auto"/>
                <w:sz w:val="21"/>
                <w:szCs w:val="21"/>
              </w:rPr>
              <w:t>污染治理设施非正常运行</w:t>
            </w:r>
          </w:p>
        </w:tc>
        <w:tc>
          <w:tcPr>
            <w:tcW w:w="842" w:type="pct"/>
            <w:vAlign w:val="center"/>
          </w:tcPr>
          <w:p w14:paraId="024971DC">
            <w:pPr>
              <w:spacing w:line="240" w:lineRule="auto"/>
              <w:ind w:firstLine="0" w:firstLineChars="0"/>
              <w:jc w:val="center"/>
              <w:rPr>
                <w:rFonts w:hint="eastAsia" w:hAnsi="宋体"/>
                <w:color w:val="auto"/>
                <w:sz w:val="21"/>
                <w:szCs w:val="21"/>
              </w:rPr>
            </w:pPr>
            <w:r>
              <w:rPr>
                <w:rFonts w:hint="eastAsia" w:hAnsi="宋体"/>
                <w:color w:val="auto"/>
                <w:sz w:val="21"/>
                <w:szCs w:val="21"/>
              </w:rPr>
              <w:t>污水处理站</w:t>
            </w:r>
          </w:p>
        </w:tc>
        <w:tc>
          <w:tcPr>
            <w:tcW w:w="833" w:type="pct"/>
            <w:vAlign w:val="center"/>
          </w:tcPr>
          <w:p w14:paraId="1C59E831">
            <w:pPr>
              <w:spacing w:line="240" w:lineRule="auto"/>
              <w:ind w:firstLine="0" w:firstLineChars="0"/>
              <w:jc w:val="center"/>
              <w:rPr>
                <w:rFonts w:hint="eastAsia" w:hAnsi="宋体"/>
                <w:color w:val="auto"/>
                <w:sz w:val="21"/>
                <w:szCs w:val="21"/>
              </w:rPr>
            </w:pPr>
            <w:r>
              <w:rPr>
                <w:rFonts w:hint="eastAsia" w:hAnsi="宋体"/>
                <w:color w:val="auto"/>
                <w:sz w:val="21"/>
                <w:szCs w:val="21"/>
              </w:rPr>
              <w:t>废水</w:t>
            </w:r>
          </w:p>
        </w:tc>
        <w:tc>
          <w:tcPr>
            <w:tcW w:w="770" w:type="pct"/>
            <w:vAlign w:val="center"/>
          </w:tcPr>
          <w:p w14:paraId="6FE267EE">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1068" w:type="pct"/>
            <w:vAlign w:val="center"/>
          </w:tcPr>
          <w:p w14:paraId="51D526EE">
            <w:pPr>
              <w:spacing w:line="240" w:lineRule="auto"/>
              <w:ind w:firstLine="0" w:firstLineChars="0"/>
              <w:jc w:val="center"/>
              <w:rPr>
                <w:rFonts w:hint="eastAsia" w:hAnsi="宋体"/>
                <w:color w:val="auto"/>
                <w:sz w:val="21"/>
                <w:szCs w:val="21"/>
              </w:rPr>
            </w:pPr>
            <w:r>
              <w:rPr>
                <w:rFonts w:hint="eastAsia" w:hAnsi="宋体"/>
                <w:color w:val="auto"/>
                <w:sz w:val="21"/>
                <w:szCs w:val="21"/>
              </w:rPr>
              <w:t>生产废水</w:t>
            </w:r>
          </w:p>
        </w:tc>
        <w:tc>
          <w:tcPr>
            <w:tcW w:w="878" w:type="pct"/>
            <w:vAlign w:val="center"/>
          </w:tcPr>
          <w:p w14:paraId="30C0A0C3">
            <w:pPr>
              <w:spacing w:line="240" w:lineRule="auto"/>
              <w:ind w:firstLine="0" w:firstLineChars="0"/>
              <w:jc w:val="center"/>
              <w:rPr>
                <w:rFonts w:hint="eastAsia" w:hAnsi="宋体"/>
                <w:color w:val="auto"/>
                <w:sz w:val="21"/>
                <w:szCs w:val="21"/>
              </w:rPr>
            </w:pPr>
            <w:r>
              <w:rPr>
                <w:rFonts w:hint="eastAsia" w:hAnsi="宋体"/>
                <w:color w:val="auto"/>
                <w:sz w:val="21"/>
                <w:szCs w:val="21"/>
              </w:rPr>
              <w:t>渗透、吸收</w:t>
            </w:r>
          </w:p>
        </w:tc>
      </w:tr>
      <w:tr w14:paraId="17125C4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54F594D5">
            <w:pPr>
              <w:spacing w:line="240" w:lineRule="auto"/>
              <w:ind w:firstLine="0" w:firstLineChars="0"/>
              <w:jc w:val="center"/>
              <w:rPr>
                <w:rFonts w:hint="eastAsia" w:hAnsi="宋体"/>
                <w:color w:val="auto"/>
                <w:sz w:val="21"/>
                <w:szCs w:val="21"/>
              </w:rPr>
            </w:pPr>
          </w:p>
        </w:tc>
        <w:tc>
          <w:tcPr>
            <w:tcW w:w="842" w:type="pct"/>
            <w:vAlign w:val="center"/>
          </w:tcPr>
          <w:p w14:paraId="4530C2CF">
            <w:pPr>
              <w:spacing w:line="240" w:lineRule="auto"/>
              <w:ind w:firstLine="0" w:firstLineChars="0"/>
              <w:jc w:val="center"/>
              <w:rPr>
                <w:rFonts w:hint="eastAsia" w:hAnsi="宋体"/>
                <w:color w:val="auto"/>
                <w:sz w:val="21"/>
                <w:szCs w:val="21"/>
              </w:rPr>
            </w:pPr>
            <w:r>
              <w:rPr>
                <w:rFonts w:hint="eastAsia" w:hAnsi="宋体"/>
                <w:color w:val="auto"/>
                <w:sz w:val="21"/>
                <w:szCs w:val="21"/>
              </w:rPr>
              <w:t>废气处理系统</w:t>
            </w:r>
          </w:p>
        </w:tc>
        <w:tc>
          <w:tcPr>
            <w:tcW w:w="833" w:type="pct"/>
            <w:vAlign w:val="center"/>
          </w:tcPr>
          <w:p w14:paraId="6693B545">
            <w:pPr>
              <w:spacing w:line="240" w:lineRule="auto"/>
              <w:ind w:firstLine="0" w:firstLineChars="0"/>
              <w:jc w:val="center"/>
              <w:rPr>
                <w:rFonts w:hint="eastAsia" w:hAnsi="宋体"/>
                <w:color w:val="auto"/>
                <w:sz w:val="21"/>
                <w:szCs w:val="21"/>
              </w:rPr>
            </w:pPr>
            <w:r>
              <w:rPr>
                <w:rFonts w:hint="eastAsia" w:hAnsi="宋体"/>
                <w:color w:val="auto"/>
                <w:sz w:val="21"/>
                <w:szCs w:val="21"/>
              </w:rPr>
              <w:t>废气</w:t>
            </w:r>
          </w:p>
        </w:tc>
        <w:tc>
          <w:tcPr>
            <w:tcW w:w="770" w:type="pct"/>
            <w:vAlign w:val="center"/>
          </w:tcPr>
          <w:p w14:paraId="0E7582BF">
            <w:pPr>
              <w:spacing w:line="240" w:lineRule="auto"/>
              <w:ind w:firstLine="0" w:firstLineChars="0"/>
              <w:jc w:val="center"/>
              <w:rPr>
                <w:rFonts w:hint="eastAsia" w:hAnsi="宋体"/>
                <w:color w:val="auto"/>
                <w:sz w:val="21"/>
                <w:szCs w:val="21"/>
              </w:rPr>
            </w:pPr>
            <w:r>
              <w:rPr>
                <w:rFonts w:hint="eastAsia" w:hAnsi="宋体"/>
                <w:color w:val="auto"/>
                <w:sz w:val="21"/>
                <w:szCs w:val="21"/>
              </w:rPr>
              <w:t>扩散</w:t>
            </w:r>
          </w:p>
        </w:tc>
        <w:tc>
          <w:tcPr>
            <w:tcW w:w="1068" w:type="pct"/>
            <w:vAlign w:val="center"/>
          </w:tcPr>
          <w:p w14:paraId="7B2303CD">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878" w:type="pct"/>
            <w:vAlign w:val="center"/>
          </w:tcPr>
          <w:p w14:paraId="5842F6BA">
            <w:pPr>
              <w:spacing w:line="240" w:lineRule="auto"/>
              <w:ind w:firstLine="0" w:firstLineChars="0"/>
              <w:jc w:val="center"/>
              <w:rPr>
                <w:rFonts w:hint="eastAsia" w:hAnsi="宋体"/>
                <w:color w:val="auto"/>
                <w:sz w:val="21"/>
                <w:szCs w:val="21"/>
              </w:rPr>
            </w:pPr>
            <w:r>
              <w:rPr>
                <w:rFonts w:hAnsi="宋体"/>
                <w:color w:val="auto"/>
                <w:sz w:val="21"/>
                <w:szCs w:val="21"/>
              </w:rPr>
              <w:t>/</w:t>
            </w:r>
          </w:p>
        </w:tc>
      </w:tr>
      <w:tr w14:paraId="65E24D4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2547D0FA">
            <w:pPr>
              <w:spacing w:line="240" w:lineRule="auto"/>
              <w:ind w:firstLine="0" w:firstLineChars="0"/>
              <w:jc w:val="center"/>
              <w:rPr>
                <w:rFonts w:hint="eastAsia" w:hAnsi="宋体"/>
                <w:color w:val="auto"/>
                <w:sz w:val="21"/>
                <w:szCs w:val="21"/>
              </w:rPr>
            </w:pPr>
          </w:p>
        </w:tc>
        <w:tc>
          <w:tcPr>
            <w:tcW w:w="842" w:type="pct"/>
            <w:vAlign w:val="center"/>
          </w:tcPr>
          <w:p w14:paraId="29C66973">
            <w:pPr>
              <w:spacing w:line="240" w:lineRule="auto"/>
              <w:ind w:firstLine="0" w:firstLineChars="0"/>
              <w:jc w:val="center"/>
              <w:rPr>
                <w:rFonts w:hint="eastAsia" w:hAnsi="宋体"/>
                <w:color w:val="auto"/>
                <w:sz w:val="21"/>
                <w:szCs w:val="21"/>
              </w:rPr>
            </w:pPr>
            <w:r>
              <w:rPr>
                <w:rFonts w:hint="eastAsia" w:hAnsi="宋体"/>
                <w:color w:val="auto"/>
                <w:sz w:val="21"/>
                <w:szCs w:val="21"/>
              </w:rPr>
              <w:t>危废暂存间</w:t>
            </w:r>
          </w:p>
        </w:tc>
        <w:tc>
          <w:tcPr>
            <w:tcW w:w="833" w:type="pct"/>
            <w:vAlign w:val="center"/>
          </w:tcPr>
          <w:p w14:paraId="24C68A7D">
            <w:pPr>
              <w:spacing w:line="240" w:lineRule="auto"/>
              <w:ind w:firstLine="0" w:firstLineChars="0"/>
              <w:jc w:val="center"/>
              <w:rPr>
                <w:rFonts w:hint="eastAsia" w:hAnsi="宋体"/>
                <w:color w:val="auto"/>
                <w:sz w:val="21"/>
                <w:szCs w:val="21"/>
              </w:rPr>
            </w:pPr>
            <w:r>
              <w:rPr>
                <w:rFonts w:hint="eastAsia" w:hAnsi="宋体"/>
                <w:color w:val="auto"/>
                <w:sz w:val="21"/>
                <w:szCs w:val="21"/>
              </w:rPr>
              <w:t>固废</w:t>
            </w:r>
          </w:p>
        </w:tc>
        <w:tc>
          <w:tcPr>
            <w:tcW w:w="770" w:type="pct"/>
            <w:vAlign w:val="center"/>
          </w:tcPr>
          <w:p w14:paraId="07B82C0C">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1068" w:type="pct"/>
            <w:vAlign w:val="center"/>
          </w:tcPr>
          <w:p w14:paraId="7F94CA7E">
            <w:pPr>
              <w:spacing w:line="240" w:lineRule="auto"/>
              <w:ind w:firstLine="0" w:firstLineChars="0"/>
              <w:jc w:val="center"/>
              <w:rPr>
                <w:rFonts w:hint="eastAsia" w:hAnsi="宋体"/>
                <w:color w:val="auto"/>
                <w:sz w:val="21"/>
                <w:szCs w:val="21"/>
              </w:rPr>
            </w:pPr>
            <w:r>
              <w:rPr>
                <w:rFonts w:hAnsi="宋体"/>
                <w:color w:val="auto"/>
                <w:sz w:val="21"/>
                <w:szCs w:val="21"/>
              </w:rPr>
              <w:t>/</w:t>
            </w:r>
          </w:p>
        </w:tc>
        <w:tc>
          <w:tcPr>
            <w:tcW w:w="878" w:type="pct"/>
            <w:vAlign w:val="center"/>
          </w:tcPr>
          <w:p w14:paraId="4F74CB95">
            <w:pPr>
              <w:spacing w:line="240" w:lineRule="auto"/>
              <w:ind w:firstLine="0" w:firstLineChars="0"/>
              <w:jc w:val="center"/>
              <w:rPr>
                <w:rFonts w:hint="eastAsia" w:hAnsi="宋体"/>
                <w:color w:val="auto"/>
                <w:sz w:val="21"/>
                <w:szCs w:val="21"/>
              </w:rPr>
            </w:pPr>
            <w:r>
              <w:rPr>
                <w:rFonts w:hint="eastAsia" w:hAnsi="宋体"/>
                <w:color w:val="auto"/>
                <w:sz w:val="21"/>
                <w:szCs w:val="21"/>
              </w:rPr>
              <w:t>渗透、吸收</w:t>
            </w:r>
          </w:p>
        </w:tc>
      </w:tr>
    </w:tbl>
    <w:p w14:paraId="1E1145D7">
      <w:pPr>
        <w:adjustRightInd/>
        <w:snapToGrid/>
        <w:spacing w:line="240" w:lineRule="exact"/>
        <w:ind w:firstLine="480"/>
        <w:rPr>
          <w:rFonts w:hint="eastAsia" w:hAnsi="宋体"/>
          <w:color w:val="auto"/>
          <w:kern w:val="0"/>
          <w:szCs w:val="20"/>
        </w:rPr>
      </w:pPr>
    </w:p>
    <w:p w14:paraId="4D3737D7">
      <w:pPr>
        <w:pStyle w:val="4"/>
        <w:rPr>
          <w:color w:val="auto"/>
        </w:rPr>
      </w:pPr>
      <w:bookmarkStart w:id="160" w:name="_Toc15177"/>
      <w:bookmarkStart w:id="161" w:name="_Toc6835"/>
      <w:r>
        <w:rPr>
          <w:color w:val="auto"/>
        </w:rPr>
        <w:t>4.</w:t>
      </w:r>
      <w:r>
        <w:rPr>
          <w:rFonts w:hint="eastAsia"/>
          <w:color w:val="auto"/>
        </w:rPr>
        <w:t>7</w:t>
      </w:r>
      <w:r>
        <w:rPr>
          <w:color w:val="auto"/>
        </w:rPr>
        <w:t>.4最大可信事故确定与概率分析</w:t>
      </w:r>
      <w:bookmarkEnd w:id="160"/>
      <w:bookmarkEnd w:id="161"/>
    </w:p>
    <w:p w14:paraId="73746D40">
      <w:pPr>
        <w:adjustRightInd/>
        <w:snapToGrid/>
        <w:spacing w:line="460" w:lineRule="exact"/>
        <w:ind w:firstLine="480"/>
        <w:rPr>
          <w:color w:val="auto"/>
        </w:rPr>
      </w:pPr>
      <w:r>
        <w:rPr>
          <w:color w:val="auto"/>
        </w:rPr>
        <w:t>生产过程中危险化学品一旦发生泄漏，将会导致一系列人身危害和财产损失事故的发生。如腐蚀性物料泄漏喷溅到身体会造成化学灼伤；员工不慎将泄漏的毒性物料摄入体内，将会导致急性中毒或职业病。生产过程中易发生泄露事故的部位见表4.</w:t>
      </w:r>
      <w:r>
        <w:rPr>
          <w:rFonts w:hint="eastAsia"/>
          <w:color w:val="auto"/>
        </w:rPr>
        <w:t>7</w:t>
      </w:r>
      <w:r>
        <w:rPr>
          <w:color w:val="auto"/>
        </w:rPr>
        <w:t>-5。</w:t>
      </w:r>
    </w:p>
    <w:p w14:paraId="04C7EED4">
      <w:pPr>
        <w:adjustRightInd/>
        <w:snapToGrid/>
        <w:spacing w:line="460" w:lineRule="exact"/>
        <w:ind w:firstLine="482"/>
        <w:jc w:val="center"/>
        <w:rPr>
          <w:b/>
          <w:bCs/>
          <w:color w:val="auto"/>
          <w:kern w:val="0"/>
        </w:rPr>
      </w:pPr>
    </w:p>
    <w:p w14:paraId="5CD52542">
      <w:pPr>
        <w:adjustRightInd/>
        <w:snapToGrid/>
        <w:spacing w:line="460" w:lineRule="exact"/>
        <w:ind w:firstLine="482"/>
        <w:jc w:val="center"/>
        <w:rPr>
          <w:b/>
          <w:bCs/>
          <w:color w:val="auto"/>
          <w:kern w:val="0"/>
        </w:rPr>
      </w:pPr>
      <w:r>
        <w:rPr>
          <w:b/>
          <w:bCs/>
          <w:color w:val="auto"/>
          <w:kern w:val="0"/>
        </w:rPr>
        <w:t>表4.</w:t>
      </w:r>
      <w:r>
        <w:rPr>
          <w:rFonts w:hint="eastAsia"/>
          <w:b/>
          <w:bCs/>
          <w:color w:val="auto"/>
          <w:kern w:val="0"/>
        </w:rPr>
        <w:t>7</w:t>
      </w:r>
      <w:r>
        <w:rPr>
          <w:b/>
          <w:bCs/>
          <w:color w:val="auto"/>
          <w:kern w:val="0"/>
        </w:rPr>
        <w:t xml:space="preserve">-5 </w:t>
      </w:r>
      <w:r>
        <w:rPr>
          <w:rFonts w:hint="eastAsia"/>
          <w:b/>
          <w:bCs/>
          <w:color w:val="auto"/>
          <w:kern w:val="0"/>
        </w:rPr>
        <w:t xml:space="preserve"> </w:t>
      </w:r>
      <w:r>
        <w:rPr>
          <w:b/>
          <w:bCs/>
          <w:color w:val="auto"/>
          <w:kern w:val="0"/>
        </w:rPr>
        <w:t>泄漏易发生部位</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07"/>
        <w:gridCol w:w="8087"/>
      </w:tblGrid>
      <w:tr w14:paraId="3A1B9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9" w:type="pct"/>
            <w:vAlign w:val="center"/>
          </w:tcPr>
          <w:p w14:paraId="2D00FABE">
            <w:pPr>
              <w:spacing w:line="240" w:lineRule="auto"/>
              <w:ind w:firstLine="0" w:firstLineChars="0"/>
              <w:jc w:val="center"/>
              <w:rPr>
                <w:b/>
                <w:bCs/>
                <w:color w:val="auto"/>
                <w:sz w:val="21"/>
                <w:szCs w:val="21"/>
              </w:rPr>
            </w:pPr>
            <w:r>
              <w:rPr>
                <w:b/>
                <w:bCs/>
                <w:color w:val="auto"/>
                <w:sz w:val="21"/>
                <w:szCs w:val="21"/>
              </w:rPr>
              <w:t>类型</w:t>
            </w:r>
          </w:p>
        </w:tc>
        <w:tc>
          <w:tcPr>
            <w:tcW w:w="4171" w:type="pct"/>
            <w:vAlign w:val="center"/>
          </w:tcPr>
          <w:p w14:paraId="081BC642">
            <w:pPr>
              <w:spacing w:line="240" w:lineRule="auto"/>
              <w:ind w:firstLine="0" w:firstLineChars="0"/>
              <w:jc w:val="center"/>
              <w:rPr>
                <w:b/>
                <w:bCs/>
                <w:color w:val="auto"/>
                <w:sz w:val="21"/>
                <w:szCs w:val="21"/>
              </w:rPr>
            </w:pPr>
            <w:r>
              <w:rPr>
                <w:b/>
                <w:bCs/>
                <w:color w:val="auto"/>
                <w:sz w:val="21"/>
                <w:szCs w:val="21"/>
              </w:rPr>
              <w:t>原因</w:t>
            </w:r>
          </w:p>
        </w:tc>
      </w:tr>
      <w:tr w14:paraId="6674F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9" w:type="pct"/>
            <w:vAlign w:val="center"/>
          </w:tcPr>
          <w:p w14:paraId="2CF301EE">
            <w:pPr>
              <w:spacing w:line="240" w:lineRule="auto"/>
              <w:ind w:firstLine="0" w:firstLineChars="0"/>
              <w:jc w:val="center"/>
              <w:rPr>
                <w:color w:val="auto"/>
                <w:sz w:val="21"/>
                <w:szCs w:val="21"/>
              </w:rPr>
            </w:pPr>
            <w:r>
              <w:rPr>
                <w:color w:val="auto"/>
                <w:sz w:val="21"/>
                <w:szCs w:val="21"/>
              </w:rPr>
              <w:t>管道</w:t>
            </w:r>
          </w:p>
        </w:tc>
        <w:tc>
          <w:tcPr>
            <w:tcW w:w="4171" w:type="pct"/>
            <w:vAlign w:val="center"/>
          </w:tcPr>
          <w:p w14:paraId="50FC5CF7">
            <w:pPr>
              <w:spacing w:line="240" w:lineRule="auto"/>
              <w:ind w:firstLine="0" w:firstLineChars="0"/>
              <w:jc w:val="center"/>
              <w:rPr>
                <w:color w:val="auto"/>
                <w:sz w:val="21"/>
                <w:szCs w:val="21"/>
              </w:rPr>
            </w:pPr>
            <w:r>
              <w:rPr>
                <w:color w:val="auto"/>
                <w:sz w:val="21"/>
                <w:szCs w:val="21"/>
              </w:rPr>
              <w:t>物料输送管道均有发生泄漏的可能。如输送管道材料缺陷、机械损伤、各种腐蚀、焊缝裂纹或缺陷、外力破坏、施工缺陷和特殊因素等都可能导致管道局部泄漏。</w:t>
            </w:r>
          </w:p>
        </w:tc>
      </w:tr>
      <w:tr w14:paraId="2AD34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9" w:type="pct"/>
            <w:vAlign w:val="center"/>
          </w:tcPr>
          <w:p w14:paraId="0645531F">
            <w:pPr>
              <w:spacing w:line="240" w:lineRule="auto"/>
              <w:ind w:firstLine="0" w:firstLineChars="0"/>
              <w:jc w:val="center"/>
              <w:rPr>
                <w:color w:val="auto"/>
                <w:sz w:val="21"/>
                <w:szCs w:val="21"/>
              </w:rPr>
            </w:pPr>
            <w:r>
              <w:rPr>
                <w:color w:val="auto"/>
                <w:sz w:val="21"/>
                <w:szCs w:val="21"/>
              </w:rPr>
              <w:t>机泵、阀门</w:t>
            </w:r>
          </w:p>
        </w:tc>
        <w:tc>
          <w:tcPr>
            <w:tcW w:w="4171" w:type="pct"/>
            <w:vAlign w:val="center"/>
          </w:tcPr>
          <w:p w14:paraId="15EE3FBD">
            <w:pPr>
              <w:spacing w:line="240" w:lineRule="auto"/>
              <w:ind w:firstLine="0" w:firstLineChars="0"/>
              <w:jc w:val="center"/>
              <w:rPr>
                <w:color w:val="auto"/>
                <w:sz w:val="21"/>
                <w:szCs w:val="21"/>
              </w:rPr>
            </w:pPr>
            <w:r>
              <w:rPr>
                <w:color w:val="auto"/>
                <w:sz w:val="21"/>
                <w:szCs w:val="21"/>
              </w:rPr>
              <w:t>泵体、轴封缺陷，排放阀、润滑系统缺陷及管道系统的阀门、法兰等密封不好或填料缺陷，正常腐蚀，操作失误等易造成泄漏。</w:t>
            </w:r>
          </w:p>
        </w:tc>
      </w:tr>
      <w:tr w14:paraId="61389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9" w:type="pct"/>
            <w:vAlign w:val="center"/>
          </w:tcPr>
          <w:p w14:paraId="4A44F9BF">
            <w:pPr>
              <w:spacing w:line="240" w:lineRule="auto"/>
              <w:ind w:firstLine="0" w:firstLineChars="0"/>
              <w:jc w:val="center"/>
              <w:rPr>
                <w:color w:val="auto"/>
                <w:sz w:val="21"/>
                <w:szCs w:val="21"/>
              </w:rPr>
            </w:pPr>
            <w:r>
              <w:rPr>
                <w:color w:val="auto"/>
                <w:sz w:val="21"/>
                <w:szCs w:val="21"/>
              </w:rPr>
              <w:t>仪表接口设备密封处</w:t>
            </w:r>
          </w:p>
        </w:tc>
        <w:tc>
          <w:tcPr>
            <w:tcW w:w="4171" w:type="pct"/>
            <w:vAlign w:val="center"/>
          </w:tcPr>
          <w:p w14:paraId="6A27A74D">
            <w:pPr>
              <w:spacing w:line="240" w:lineRule="auto"/>
              <w:ind w:firstLine="0" w:firstLineChars="0"/>
              <w:jc w:val="center"/>
              <w:rPr>
                <w:color w:val="auto"/>
                <w:sz w:val="21"/>
                <w:szCs w:val="21"/>
              </w:rPr>
            </w:pPr>
            <w:r>
              <w:rPr>
                <w:color w:val="auto"/>
                <w:sz w:val="21"/>
                <w:szCs w:val="21"/>
              </w:rPr>
              <w:t>流量计、温度计以及其他仪器仪表，本身质量缺陷及设备法兰密封处、传动轴填料函等连接处缺陷均可能导致泄漏。</w:t>
            </w:r>
          </w:p>
        </w:tc>
      </w:tr>
      <w:tr w14:paraId="74C99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9" w:type="pct"/>
            <w:vAlign w:val="center"/>
          </w:tcPr>
          <w:p w14:paraId="798D8B64">
            <w:pPr>
              <w:spacing w:line="240" w:lineRule="auto"/>
              <w:ind w:firstLine="0" w:firstLineChars="0"/>
              <w:jc w:val="center"/>
              <w:rPr>
                <w:color w:val="auto"/>
                <w:sz w:val="21"/>
                <w:szCs w:val="21"/>
              </w:rPr>
            </w:pPr>
            <w:r>
              <w:rPr>
                <w:color w:val="auto"/>
                <w:sz w:val="21"/>
                <w:szCs w:val="21"/>
              </w:rPr>
              <w:t>安全装置及附件</w:t>
            </w:r>
          </w:p>
        </w:tc>
        <w:tc>
          <w:tcPr>
            <w:tcW w:w="4171" w:type="pct"/>
            <w:vAlign w:val="center"/>
          </w:tcPr>
          <w:p w14:paraId="0CEF48C9">
            <w:pPr>
              <w:spacing w:line="240" w:lineRule="auto"/>
              <w:ind w:firstLine="0" w:firstLineChars="0"/>
              <w:jc w:val="center"/>
              <w:rPr>
                <w:color w:val="auto"/>
                <w:sz w:val="21"/>
                <w:szCs w:val="21"/>
              </w:rPr>
            </w:pPr>
            <w:r>
              <w:rPr>
                <w:color w:val="auto"/>
                <w:sz w:val="21"/>
                <w:szCs w:val="21"/>
              </w:rPr>
              <w:t>附件、安全装置不可靠可能引发破裂而导致泄漏。如安全阀失效引起超压爆破而泄漏。</w:t>
            </w:r>
          </w:p>
        </w:tc>
      </w:tr>
      <w:tr w14:paraId="128E6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9" w:type="pct"/>
            <w:vAlign w:val="center"/>
          </w:tcPr>
          <w:p w14:paraId="4023735A">
            <w:pPr>
              <w:spacing w:line="240" w:lineRule="auto"/>
              <w:ind w:firstLine="0" w:firstLineChars="0"/>
              <w:jc w:val="center"/>
              <w:rPr>
                <w:color w:val="auto"/>
                <w:sz w:val="21"/>
                <w:szCs w:val="21"/>
              </w:rPr>
            </w:pPr>
            <w:r>
              <w:rPr>
                <w:color w:val="auto"/>
                <w:sz w:val="21"/>
                <w:szCs w:val="21"/>
              </w:rPr>
              <w:t>生产设备</w:t>
            </w:r>
          </w:p>
        </w:tc>
        <w:tc>
          <w:tcPr>
            <w:tcW w:w="4171" w:type="pct"/>
            <w:vAlign w:val="center"/>
          </w:tcPr>
          <w:p w14:paraId="66666EC9">
            <w:pPr>
              <w:spacing w:line="240" w:lineRule="auto"/>
              <w:ind w:firstLine="0" w:firstLineChars="0"/>
              <w:jc w:val="center"/>
              <w:rPr>
                <w:color w:val="auto"/>
                <w:sz w:val="21"/>
                <w:szCs w:val="21"/>
              </w:rPr>
            </w:pPr>
            <w:r>
              <w:rPr>
                <w:color w:val="auto"/>
                <w:sz w:val="21"/>
                <w:szCs w:val="21"/>
              </w:rPr>
              <w:t>生产过程中使用的设备可能因本身的质量缺陷，或不具备抗压性能、超期使用，而导致设备因腐蚀穿透造成物料泄漏。</w:t>
            </w:r>
          </w:p>
        </w:tc>
      </w:tr>
      <w:tr w14:paraId="69B26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9" w:type="pct"/>
            <w:vAlign w:val="center"/>
          </w:tcPr>
          <w:p w14:paraId="0082250A">
            <w:pPr>
              <w:spacing w:line="240" w:lineRule="auto"/>
              <w:ind w:firstLine="0" w:firstLineChars="0"/>
              <w:jc w:val="center"/>
              <w:rPr>
                <w:color w:val="auto"/>
                <w:sz w:val="21"/>
                <w:szCs w:val="21"/>
              </w:rPr>
            </w:pPr>
            <w:r>
              <w:rPr>
                <w:color w:val="auto"/>
                <w:sz w:val="21"/>
                <w:szCs w:val="21"/>
              </w:rPr>
              <w:t>放空及溢流口</w:t>
            </w:r>
          </w:p>
        </w:tc>
        <w:tc>
          <w:tcPr>
            <w:tcW w:w="4171" w:type="pct"/>
            <w:vAlign w:val="center"/>
          </w:tcPr>
          <w:p w14:paraId="02F08EE3">
            <w:pPr>
              <w:spacing w:line="240" w:lineRule="auto"/>
              <w:ind w:firstLine="0" w:firstLineChars="0"/>
              <w:jc w:val="center"/>
              <w:rPr>
                <w:color w:val="auto"/>
                <w:sz w:val="21"/>
                <w:szCs w:val="21"/>
              </w:rPr>
            </w:pPr>
            <w:r>
              <w:rPr>
                <w:color w:val="auto"/>
                <w:sz w:val="21"/>
                <w:szCs w:val="21"/>
              </w:rPr>
              <w:t>生产、贮存设备因控制系统出现故障或操作与判断失误，导致物料溢罐。</w:t>
            </w:r>
          </w:p>
        </w:tc>
      </w:tr>
    </w:tbl>
    <w:p w14:paraId="499058F4">
      <w:pPr>
        <w:adjustRightInd/>
        <w:snapToGrid/>
        <w:spacing w:line="460" w:lineRule="exact"/>
        <w:ind w:firstLine="480"/>
        <w:rPr>
          <w:b/>
          <w:bCs/>
          <w:color w:val="auto"/>
          <w:kern w:val="0"/>
        </w:rPr>
      </w:pPr>
      <w:r>
        <w:rPr>
          <w:color w:val="auto"/>
        </w:rPr>
        <w:t>最大可信事故所造成的危害在所有预测的事故中最严重，并且发生该事故的概率不为零。泄漏事故类型如容器、管道、泵体、压缩机、装卸臂和装卸软管的泄漏和破裂等泄漏频率采用《建设项目环境风险评价技术导则》（HJ169-2018）附录E.1，见表4.</w:t>
      </w:r>
      <w:r>
        <w:rPr>
          <w:rFonts w:hint="eastAsia"/>
          <w:color w:val="auto"/>
        </w:rPr>
        <w:t>7</w:t>
      </w:r>
      <w:r>
        <w:rPr>
          <w:color w:val="auto"/>
        </w:rPr>
        <w:t>-6。</w:t>
      </w:r>
    </w:p>
    <w:p w14:paraId="6E960207">
      <w:pPr>
        <w:adjustRightInd/>
        <w:snapToGrid/>
        <w:spacing w:line="460" w:lineRule="exact"/>
        <w:ind w:firstLine="482"/>
        <w:jc w:val="center"/>
        <w:rPr>
          <w:b/>
          <w:bCs/>
          <w:color w:val="auto"/>
          <w:kern w:val="0"/>
        </w:rPr>
      </w:pPr>
      <w:r>
        <w:rPr>
          <w:b/>
          <w:bCs/>
          <w:color w:val="auto"/>
          <w:kern w:val="0"/>
        </w:rPr>
        <w:t>表4.</w:t>
      </w:r>
      <w:r>
        <w:rPr>
          <w:rFonts w:hint="eastAsia"/>
          <w:b/>
          <w:bCs/>
          <w:color w:val="auto"/>
          <w:kern w:val="0"/>
        </w:rPr>
        <w:t>7</w:t>
      </w:r>
      <w:r>
        <w:rPr>
          <w:b/>
          <w:bCs/>
          <w:color w:val="auto"/>
          <w:kern w:val="0"/>
        </w:rPr>
        <w:t xml:space="preserve">-6 </w:t>
      </w:r>
      <w:r>
        <w:rPr>
          <w:rFonts w:hint="eastAsia"/>
          <w:b/>
          <w:bCs/>
          <w:color w:val="auto"/>
          <w:kern w:val="0"/>
        </w:rPr>
        <w:t xml:space="preserve"> </w:t>
      </w:r>
      <w:r>
        <w:rPr>
          <w:b/>
          <w:bCs/>
          <w:color w:val="auto"/>
          <w:kern w:val="0"/>
        </w:rPr>
        <w:t>泄漏频率表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913"/>
        <w:gridCol w:w="5218"/>
        <w:gridCol w:w="1507"/>
      </w:tblGrid>
      <w:tr w14:paraId="73DE0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noWrap/>
            <w:vAlign w:val="center"/>
          </w:tcPr>
          <w:p w14:paraId="7E4C9163">
            <w:pPr>
              <w:widowControl/>
              <w:spacing w:line="240" w:lineRule="auto"/>
              <w:ind w:firstLine="0" w:firstLineChars="0"/>
              <w:jc w:val="center"/>
              <w:rPr>
                <w:b/>
                <w:bCs/>
                <w:color w:val="auto"/>
                <w:kern w:val="0"/>
                <w:sz w:val="21"/>
                <w:szCs w:val="21"/>
              </w:rPr>
            </w:pPr>
            <w:r>
              <w:rPr>
                <w:b/>
                <w:bCs/>
                <w:color w:val="auto"/>
                <w:kern w:val="0"/>
                <w:sz w:val="21"/>
                <w:szCs w:val="21"/>
              </w:rPr>
              <w:t>部件类型</w:t>
            </w:r>
          </w:p>
        </w:tc>
        <w:tc>
          <w:tcPr>
            <w:tcW w:w="2707" w:type="pct"/>
            <w:noWrap/>
            <w:vAlign w:val="center"/>
          </w:tcPr>
          <w:p w14:paraId="31E34F1D">
            <w:pPr>
              <w:widowControl/>
              <w:spacing w:line="240" w:lineRule="auto"/>
              <w:ind w:firstLine="0" w:firstLineChars="0"/>
              <w:jc w:val="center"/>
              <w:rPr>
                <w:b/>
                <w:bCs/>
                <w:color w:val="auto"/>
                <w:kern w:val="0"/>
                <w:sz w:val="21"/>
                <w:szCs w:val="21"/>
              </w:rPr>
            </w:pPr>
            <w:r>
              <w:rPr>
                <w:b/>
                <w:bCs/>
                <w:color w:val="auto"/>
                <w:kern w:val="0"/>
                <w:sz w:val="21"/>
                <w:szCs w:val="21"/>
              </w:rPr>
              <w:t>泄漏模式</w:t>
            </w:r>
          </w:p>
        </w:tc>
        <w:tc>
          <w:tcPr>
            <w:tcW w:w="782" w:type="pct"/>
            <w:noWrap/>
            <w:vAlign w:val="center"/>
          </w:tcPr>
          <w:p w14:paraId="3151777A">
            <w:pPr>
              <w:widowControl/>
              <w:spacing w:line="240" w:lineRule="auto"/>
              <w:ind w:firstLine="0" w:firstLineChars="0"/>
              <w:jc w:val="center"/>
              <w:rPr>
                <w:b/>
                <w:bCs/>
                <w:color w:val="auto"/>
                <w:kern w:val="0"/>
                <w:sz w:val="21"/>
                <w:szCs w:val="21"/>
              </w:rPr>
            </w:pPr>
            <w:r>
              <w:rPr>
                <w:b/>
                <w:bCs/>
                <w:color w:val="auto"/>
                <w:kern w:val="0"/>
                <w:sz w:val="21"/>
                <w:szCs w:val="21"/>
              </w:rPr>
              <w:t>泄漏频率</w:t>
            </w:r>
          </w:p>
        </w:tc>
      </w:tr>
      <w:tr w14:paraId="11796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restart"/>
            <w:noWrap/>
            <w:vAlign w:val="center"/>
          </w:tcPr>
          <w:p w14:paraId="566C6E86">
            <w:pPr>
              <w:widowControl/>
              <w:spacing w:line="240" w:lineRule="auto"/>
              <w:ind w:firstLine="0" w:firstLineChars="0"/>
              <w:jc w:val="center"/>
              <w:rPr>
                <w:color w:val="auto"/>
                <w:kern w:val="0"/>
                <w:sz w:val="21"/>
                <w:szCs w:val="21"/>
              </w:rPr>
            </w:pPr>
            <w:r>
              <w:rPr>
                <w:color w:val="auto"/>
                <w:kern w:val="0"/>
                <w:sz w:val="21"/>
                <w:szCs w:val="21"/>
              </w:rPr>
              <w:t>反应器/工艺储罐/气体储罐/塔器</w:t>
            </w:r>
          </w:p>
        </w:tc>
        <w:tc>
          <w:tcPr>
            <w:tcW w:w="2707" w:type="pct"/>
            <w:noWrap/>
            <w:vAlign w:val="center"/>
          </w:tcPr>
          <w:p w14:paraId="7462CA05">
            <w:pPr>
              <w:widowControl/>
              <w:spacing w:line="240" w:lineRule="auto"/>
              <w:ind w:firstLine="0" w:firstLineChars="0"/>
              <w:jc w:val="center"/>
              <w:rPr>
                <w:color w:val="auto"/>
                <w:kern w:val="0"/>
                <w:sz w:val="21"/>
                <w:szCs w:val="21"/>
              </w:rPr>
            </w:pPr>
            <w:r>
              <w:rPr>
                <w:color w:val="auto"/>
                <w:kern w:val="0"/>
                <w:sz w:val="21"/>
                <w:szCs w:val="21"/>
              </w:rPr>
              <w:t>泄漏孔径为10mm孔径</w:t>
            </w:r>
          </w:p>
        </w:tc>
        <w:tc>
          <w:tcPr>
            <w:tcW w:w="782" w:type="pct"/>
            <w:noWrap/>
            <w:vAlign w:val="center"/>
          </w:tcPr>
          <w:p w14:paraId="3A4407AF">
            <w:pPr>
              <w:widowControl/>
              <w:spacing w:line="240" w:lineRule="auto"/>
              <w:ind w:firstLine="0" w:firstLineChars="0"/>
              <w:jc w:val="center"/>
              <w:rPr>
                <w:color w:val="auto"/>
                <w:kern w:val="0"/>
                <w:sz w:val="21"/>
                <w:szCs w:val="21"/>
              </w:rPr>
            </w:pPr>
            <w:r>
              <w:rPr>
                <w:color w:val="auto"/>
                <w:kern w:val="0"/>
                <w:sz w:val="21"/>
                <w:szCs w:val="21"/>
              </w:rPr>
              <w:t>1.00×10</w:t>
            </w:r>
            <w:r>
              <w:rPr>
                <w:color w:val="auto"/>
                <w:kern w:val="0"/>
                <w:sz w:val="21"/>
                <w:szCs w:val="21"/>
                <w:vertAlign w:val="superscript"/>
              </w:rPr>
              <w:t>-4</w:t>
            </w:r>
            <w:r>
              <w:rPr>
                <w:color w:val="auto"/>
                <w:kern w:val="0"/>
                <w:sz w:val="21"/>
                <w:szCs w:val="21"/>
              </w:rPr>
              <w:t>/a</w:t>
            </w:r>
          </w:p>
        </w:tc>
      </w:tr>
      <w:tr w14:paraId="3A7AC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74DED4E2">
            <w:pPr>
              <w:widowControl/>
              <w:spacing w:line="240" w:lineRule="auto"/>
              <w:ind w:firstLine="0" w:firstLineChars="0"/>
              <w:jc w:val="center"/>
              <w:rPr>
                <w:color w:val="auto"/>
                <w:kern w:val="0"/>
                <w:sz w:val="21"/>
                <w:szCs w:val="21"/>
              </w:rPr>
            </w:pPr>
          </w:p>
        </w:tc>
        <w:tc>
          <w:tcPr>
            <w:tcW w:w="2707" w:type="pct"/>
            <w:noWrap/>
            <w:vAlign w:val="center"/>
          </w:tcPr>
          <w:p w14:paraId="34FBABF0">
            <w:pPr>
              <w:widowControl/>
              <w:spacing w:line="240" w:lineRule="auto"/>
              <w:ind w:firstLine="0" w:firstLineChars="0"/>
              <w:jc w:val="center"/>
              <w:rPr>
                <w:color w:val="auto"/>
                <w:kern w:val="0"/>
                <w:sz w:val="21"/>
                <w:szCs w:val="21"/>
              </w:rPr>
            </w:pPr>
            <w:r>
              <w:rPr>
                <w:color w:val="auto"/>
                <w:kern w:val="0"/>
                <w:sz w:val="21"/>
                <w:szCs w:val="21"/>
              </w:rPr>
              <w:t>10min内储罐泄漏完</w:t>
            </w:r>
          </w:p>
        </w:tc>
        <w:tc>
          <w:tcPr>
            <w:tcW w:w="782" w:type="pct"/>
            <w:noWrap/>
            <w:vAlign w:val="center"/>
          </w:tcPr>
          <w:p w14:paraId="114C0324">
            <w:pPr>
              <w:widowControl/>
              <w:spacing w:line="240" w:lineRule="auto"/>
              <w:ind w:firstLine="0" w:firstLineChars="0"/>
              <w:jc w:val="center"/>
              <w:rPr>
                <w:color w:val="auto"/>
                <w:kern w:val="0"/>
                <w:sz w:val="21"/>
                <w:szCs w:val="21"/>
              </w:rPr>
            </w:pPr>
            <w:r>
              <w:rPr>
                <w:color w:val="auto"/>
                <w:kern w:val="0"/>
                <w:sz w:val="21"/>
                <w:szCs w:val="21"/>
              </w:rPr>
              <w:t>5.00×10</w:t>
            </w:r>
            <w:r>
              <w:rPr>
                <w:color w:val="auto"/>
                <w:kern w:val="0"/>
                <w:sz w:val="21"/>
                <w:szCs w:val="21"/>
                <w:vertAlign w:val="superscript"/>
              </w:rPr>
              <w:t>-6</w:t>
            </w:r>
            <w:r>
              <w:rPr>
                <w:color w:val="auto"/>
                <w:kern w:val="0"/>
                <w:sz w:val="21"/>
                <w:szCs w:val="21"/>
              </w:rPr>
              <w:t>/a</w:t>
            </w:r>
          </w:p>
        </w:tc>
      </w:tr>
      <w:tr w14:paraId="5AA84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60325429">
            <w:pPr>
              <w:widowControl/>
              <w:spacing w:line="240" w:lineRule="auto"/>
              <w:ind w:firstLine="0" w:firstLineChars="0"/>
              <w:jc w:val="center"/>
              <w:rPr>
                <w:color w:val="auto"/>
                <w:kern w:val="0"/>
                <w:sz w:val="21"/>
                <w:szCs w:val="21"/>
              </w:rPr>
            </w:pPr>
          </w:p>
        </w:tc>
        <w:tc>
          <w:tcPr>
            <w:tcW w:w="2707" w:type="pct"/>
            <w:noWrap/>
            <w:vAlign w:val="center"/>
          </w:tcPr>
          <w:p w14:paraId="0F839E81">
            <w:pPr>
              <w:widowControl/>
              <w:spacing w:line="240" w:lineRule="auto"/>
              <w:ind w:firstLine="0" w:firstLineChars="0"/>
              <w:jc w:val="center"/>
              <w:rPr>
                <w:color w:val="auto"/>
                <w:kern w:val="0"/>
                <w:sz w:val="21"/>
                <w:szCs w:val="21"/>
              </w:rPr>
            </w:pPr>
            <w:r>
              <w:rPr>
                <w:color w:val="auto"/>
                <w:kern w:val="0"/>
                <w:sz w:val="21"/>
                <w:szCs w:val="21"/>
              </w:rPr>
              <w:t>储罐全破裂</w:t>
            </w:r>
          </w:p>
        </w:tc>
        <w:tc>
          <w:tcPr>
            <w:tcW w:w="782" w:type="pct"/>
            <w:noWrap/>
            <w:vAlign w:val="center"/>
          </w:tcPr>
          <w:p w14:paraId="6C334484">
            <w:pPr>
              <w:widowControl/>
              <w:spacing w:line="240" w:lineRule="auto"/>
              <w:ind w:firstLine="0" w:firstLineChars="0"/>
              <w:jc w:val="center"/>
              <w:rPr>
                <w:color w:val="auto"/>
                <w:kern w:val="0"/>
                <w:sz w:val="21"/>
                <w:szCs w:val="21"/>
              </w:rPr>
            </w:pPr>
            <w:r>
              <w:rPr>
                <w:color w:val="auto"/>
                <w:kern w:val="0"/>
                <w:sz w:val="21"/>
                <w:szCs w:val="21"/>
              </w:rPr>
              <w:t>5.00×10</w:t>
            </w:r>
            <w:r>
              <w:rPr>
                <w:color w:val="auto"/>
                <w:kern w:val="0"/>
                <w:sz w:val="21"/>
                <w:szCs w:val="21"/>
                <w:vertAlign w:val="superscript"/>
              </w:rPr>
              <w:t>-6</w:t>
            </w:r>
            <w:r>
              <w:rPr>
                <w:color w:val="auto"/>
                <w:kern w:val="0"/>
                <w:sz w:val="21"/>
                <w:szCs w:val="21"/>
              </w:rPr>
              <w:t>/a</w:t>
            </w:r>
          </w:p>
        </w:tc>
      </w:tr>
      <w:tr w14:paraId="7165D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restart"/>
            <w:noWrap/>
            <w:vAlign w:val="center"/>
          </w:tcPr>
          <w:p w14:paraId="28681653">
            <w:pPr>
              <w:widowControl/>
              <w:spacing w:line="240" w:lineRule="auto"/>
              <w:ind w:firstLine="0" w:firstLineChars="0"/>
              <w:jc w:val="center"/>
              <w:rPr>
                <w:color w:val="auto"/>
                <w:kern w:val="0"/>
                <w:sz w:val="21"/>
                <w:szCs w:val="21"/>
              </w:rPr>
            </w:pPr>
            <w:r>
              <w:rPr>
                <w:color w:val="auto"/>
                <w:kern w:val="0"/>
                <w:sz w:val="21"/>
                <w:szCs w:val="21"/>
              </w:rPr>
              <w:t>常压单包容储罐</w:t>
            </w:r>
          </w:p>
        </w:tc>
        <w:tc>
          <w:tcPr>
            <w:tcW w:w="2707" w:type="pct"/>
            <w:noWrap/>
            <w:vAlign w:val="center"/>
          </w:tcPr>
          <w:p w14:paraId="3863AB13">
            <w:pPr>
              <w:widowControl/>
              <w:spacing w:line="240" w:lineRule="auto"/>
              <w:ind w:firstLine="0" w:firstLineChars="0"/>
              <w:jc w:val="center"/>
              <w:rPr>
                <w:color w:val="auto"/>
                <w:kern w:val="0"/>
                <w:sz w:val="21"/>
                <w:szCs w:val="21"/>
              </w:rPr>
            </w:pPr>
            <w:r>
              <w:rPr>
                <w:color w:val="auto"/>
                <w:kern w:val="0"/>
                <w:sz w:val="21"/>
                <w:szCs w:val="21"/>
              </w:rPr>
              <w:t>泄漏孔径为10mm孔径</w:t>
            </w:r>
          </w:p>
        </w:tc>
        <w:tc>
          <w:tcPr>
            <w:tcW w:w="782" w:type="pct"/>
            <w:noWrap/>
            <w:vAlign w:val="center"/>
          </w:tcPr>
          <w:p w14:paraId="03228B43">
            <w:pPr>
              <w:widowControl/>
              <w:spacing w:line="240" w:lineRule="auto"/>
              <w:ind w:firstLine="0" w:firstLineChars="0"/>
              <w:jc w:val="center"/>
              <w:rPr>
                <w:color w:val="auto"/>
                <w:kern w:val="0"/>
                <w:sz w:val="21"/>
                <w:szCs w:val="21"/>
              </w:rPr>
            </w:pPr>
            <w:r>
              <w:rPr>
                <w:color w:val="auto"/>
                <w:kern w:val="0"/>
                <w:sz w:val="21"/>
                <w:szCs w:val="21"/>
              </w:rPr>
              <w:t>1.00×10</w:t>
            </w:r>
            <w:r>
              <w:rPr>
                <w:color w:val="auto"/>
                <w:kern w:val="0"/>
                <w:sz w:val="21"/>
                <w:szCs w:val="21"/>
                <w:vertAlign w:val="superscript"/>
              </w:rPr>
              <w:t>-4</w:t>
            </w:r>
            <w:r>
              <w:rPr>
                <w:color w:val="auto"/>
                <w:kern w:val="0"/>
                <w:sz w:val="21"/>
                <w:szCs w:val="21"/>
              </w:rPr>
              <w:t>/a</w:t>
            </w:r>
          </w:p>
        </w:tc>
      </w:tr>
      <w:tr w14:paraId="4FCAE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2E8C6FDF">
            <w:pPr>
              <w:widowControl/>
              <w:spacing w:line="240" w:lineRule="auto"/>
              <w:ind w:firstLine="0" w:firstLineChars="0"/>
              <w:jc w:val="center"/>
              <w:rPr>
                <w:color w:val="auto"/>
                <w:kern w:val="0"/>
                <w:sz w:val="21"/>
                <w:szCs w:val="21"/>
              </w:rPr>
            </w:pPr>
          </w:p>
        </w:tc>
        <w:tc>
          <w:tcPr>
            <w:tcW w:w="2707" w:type="pct"/>
            <w:noWrap/>
            <w:vAlign w:val="center"/>
          </w:tcPr>
          <w:p w14:paraId="5CF01676">
            <w:pPr>
              <w:widowControl/>
              <w:spacing w:line="240" w:lineRule="auto"/>
              <w:ind w:firstLine="0" w:firstLineChars="0"/>
              <w:jc w:val="center"/>
              <w:rPr>
                <w:color w:val="auto"/>
                <w:kern w:val="0"/>
                <w:sz w:val="21"/>
                <w:szCs w:val="21"/>
              </w:rPr>
            </w:pPr>
            <w:r>
              <w:rPr>
                <w:color w:val="auto"/>
                <w:kern w:val="0"/>
                <w:sz w:val="21"/>
                <w:szCs w:val="21"/>
              </w:rPr>
              <w:t>10min内储罐泄漏完</w:t>
            </w:r>
          </w:p>
        </w:tc>
        <w:tc>
          <w:tcPr>
            <w:tcW w:w="782" w:type="pct"/>
            <w:noWrap/>
            <w:vAlign w:val="center"/>
          </w:tcPr>
          <w:p w14:paraId="250BD3C7">
            <w:pPr>
              <w:widowControl/>
              <w:spacing w:line="240" w:lineRule="auto"/>
              <w:ind w:firstLine="0" w:firstLineChars="0"/>
              <w:jc w:val="center"/>
              <w:rPr>
                <w:color w:val="auto"/>
                <w:kern w:val="0"/>
                <w:sz w:val="21"/>
                <w:szCs w:val="21"/>
              </w:rPr>
            </w:pPr>
            <w:r>
              <w:rPr>
                <w:color w:val="auto"/>
                <w:kern w:val="0"/>
                <w:sz w:val="21"/>
                <w:szCs w:val="21"/>
              </w:rPr>
              <w:t>5.00×10</w:t>
            </w:r>
            <w:r>
              <w:rPr>
                <w:color w:val="auto"/>
                <w:kern w:val="0"/>
                <w:sz w:val="21"/>
                <w:szCs w:val="21"/>
                <w:vertAlign w:val="superscript"/>
              </w:rPr>
              <w:t>-6</w:t>
            </w:r>
            <w:r>
              <w:rPr>
                <w:color w:val="auto"/>
                <w:kern w:val="0"/>
                <w:sz w:val="21"/>
                <w:szCs w:val="21"/>
              </w:rPr>
              <w:t>/a</w:t>
            </w:r>
          </w:p>
        </w:tc>
      </w:tr>
      <w:tr w14:paraId="060C8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75A793B0">
            <w:pPr>
              <w:widowControl/>
              <w:spacing w:line="240" w:lineRule="auto"/>
              <w:ind w:firstLine="0" w:firstLineChars="0"/>
              <w:jc w:val="center"/>
              <w:rPr>
                <w:color w:val="auto"/>
                <w:kern w:val="0"/>
                <w:sz w:val="21"/>
                <w:szCs w:val="21"/>
              </w:rPr>
            </w:pPr>
          </w:p>
        </w:tc>
        <w:tc>
          <w:tcPr>
            <w:tcW w:w="2707" w:type="pct"/>
            <w:noWrap/>
            <w:vAlign w:val="center"/>
          </w:tcPr>
          <w:p w14:paraId="7A33F6C3">
            <w:pPr>
              <w:widowControl/>
              <w:spacing w:line="240" w:lineRule="auto"/>
              <w:ind w:firstLine="0" w:firstLineChars="0"/>
              <w:jc w:val="center"/>
              <w:rPr>
                <w:color w:val="auto"/>
                <w:kern w:val="0"/>
                <w:sz w:val="21"/>
                <w:szCs w:val="21"/>
              </w:rPr>
            </w:pPr>
            <w:r>
              <w:rPr>
                <w:color w:val="auto"/>
                <w:kern w:val="0"/>
                <w:sz w:val="21"/>
                <w:szCs w:val="21"/>
              </w:rPr>
              <w:t>储罐全破裂</w:t>
            </w:r>
          </w:p>
        </w:tc>
        <w:tc>
          <w:tcPr>
            <w:tcW w:w="782" w:type="pct"/>
            <w:noWrap/>
            <w:vAlign w:val="center"/>
          </w:tcPr>
          <w:p w14:paraId="7EB82A09">
            <w:pPr>
              <w:widowControl/>
              <w:spacing w:line="240" w:lineRule="auto"/>
              <w:ind w:firstLine="0" w:firstLineChars="0"/>
              <w:jc w:val="center"/>
              <w:rPr>
                <w:color w:val="auto"/>
                <w:kern w:val="0"/>
                <w:sz w:val="21"/>
                <w:szCs w:val="21"/>
              </w:rPr>
            </w:pPr>
            <w:r>
              <w:rPr>
                <w:color w:val="auto"/>
                <w:kern w:val="0"/>
                <w:sz w:val="21"/>
                <w:szCs w:val="21"/>
              </w:rPr>
              <w:t>5.00×10</w:t>
            </w:r>
            <w:r>
              <w:rPr>
                <w:color w:val="auto"/>
                <w:kern w:val="0"/>
                <w:sz w:val="21"/>
                <w:szCs w:val="21"/>
                <w:vertAlign w:val="superscript"/>
              </w:rPr>
              <w:t>-6</w:t>
            </w:r>
            <w:r>
              <w:rPr>
                <w:color w:val="auto"/>
                <w:kern w:val="0"/>
                <w:sz w:val="21"/>
                <w:szCs w:val="21"/>
              </w:rPr>
              <w:t>/a</w:t>
            </w:r>
          </w:p>
        </w:tc>
      </w:tr>
      <w:tr w14:paraId="520FC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restart"/>
            <w:noWrap/>
            <w:vAlign w:val="center"/>
          </w:tcPr>
          <w:p w14:paraId="227FA142">
            <w:pPr>
              <w:widowControl/>
              <w:spacing w:line="240" w:lineRule="auto"/>
              <w:ind w:firstLine="0" w:firstLineChars="0"/>
              <w:jc w:val="center"/>
              <w:rPr>
                <w:color w:val="auto"/>
                <w:kern w:val="0"/>
                <w:sz w:val="21"/>
                <w:szCs w:val="21"/>
              </w:rPr>
            </w:pPr>
            <w:r>
              <w:rPr>
                <w:color w:val="auto"/>
                <w:kern w:val="0"/>
                <w:sz w:val="21"/>
                <w:szCs w:val="21"/>
              </w:rPr>
              <w:t>常压双包容储罐</w:t>
            </w:r>
          </w:p>
        </w:tc>
        <w:tc>
          <w:tcPr>
            <w:tcW w:w="2707" w:type="pct"/>
            <w:noWrap/>
            <w:vAlign w:val="center"/>
          </w:tcPr>
          <w:p w14:paraId="5DB952FF">
            <w:pPr>
              <w:widowControl/>
              <w:spacing w:line="240" w:lineRule="auto"/>
              <w:ind w:firstLine="0" w:firstLineChars="0"/>
              <w:jc w:val="center"/>
              <w:rPr>
                <w:color w:val="auto"/>
                <w:kern w:val="0"/>
                <w:sz w:val="21"/>
                <w:szCs w:val="21"/>
              </w:rPr>
            </w:pPr>
            <w:r>
              <w:rPr>
                <w:color w:val="auto"/>
                <w:kern w:val="0"/>
                <w:sz w:val="21"/>
                <w:szCs w:val="21"/>
              </w:rPr>
              <w:t>泄漏孔径为10mm孔径</w:t>
            </w:r>
          </w:p>
        </w:tc>
        <w:tc>
          <w:tcPr>
            <w:tcW w:w="782" w:type="pct"/>
            <w:noWrap/>
            <w:vAlign w:val="center"/>
          </w:tcPr>
          <w:p w14:paraId="2DE4F145">
            <w:pPr>
              <w:widowControl/>
              <w:spacing w:line="240" w:lineRule="auto"/>
              <w:ind w:firstLine="0" w:firstLineChars="0"/>
              <w:jc w:val="center"/>
              <w:rPr>
                <w:color w:val="auto"/>
                <w:kern w:val="0"/>
                <w:sz w:val="21"/>
                <w:szCs w:val="21"/>
              </w:rPr>
            </w:pPr>
            <w:r>
              <w:rPr>
                <w:color w:val="auto"/>
                <w:kern w:val="0"/>
                <w:sz w:val="21"/>
                <w:szCs w:val="21"/>
              </w:rPr>
              <w:t>1.00×10</w:t>
            </w:r>
            <w:r>
              <w:rPr>
                <w:color w:val="auto"/>
                <w:kern w:val="0"/>
                <w:sz w:val="21"/>
                <w:szCs w:val="21"/>
                <w:vertAlign w:val="superscript"/>
              </w:rPr>
              <w:t>-4</w:t>
            </w:r>
            <w:r>
              <w:rPr>
                <w:color w:val="auto"/>
                <w:kern w:val="0"/>
                <w:sz w:val="21"/>
                <w:szCs w:val="21"/>
              </w:rPr>
              <w:t>/a</w:t>
            </w:r>
          </w:p>
        </w:tc>
      </w:tr>
      <w:tr w14:paraId="3817C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4629189E">
            <w:pPr>
              <w:widowControl/>
              <w:spacing w:line="240" w:lineRule="auto"/>
              <w:ind w:firstLine="0" w:firstLineChars="0"/>
              <w:jc w:val="center"/>
              <w:rPr>
                <w:color w:val="auto"/>
                <w:kern w:val="0"/>
                <w:sz w:val="21"/>
                <w:szCs w:val="21"/>
              </w:rPr>
            </w:pPr>
          </w:p>
        </w:tc>
        <w:tc>
          <w:tcPr>
            <w:tcW w:w="2707" w:type="pct"/>
            <w:noWrap/>
            <w:vAlign w:val="center"/>
          </w:tcPr>
          <w:p w14:paraId="368F617E">
            <w:pPr>
              <w:widowControl/>
              <w:spacing w:line="240" w:lineRule="auto"/>
              <w:ind w:firstLine="0" w:firstLineChars="0"/>
              <w:jc w:val="center"/>
              <w:rPr>
                <w:color w:val="auto"/>
                <w:kern w:val="0"/>
                <w:sz w:val="21"/>
                <w:szCs w:val="21"/>
              </w:rPr>
            </w:pPr>
            <w:r>
              <w:rPr>
                <w:color w:val="auto"/>
                <w:kern w:val="0"/>
                <w:sz w:val="21"/>
                <w:szCs w:val="21"/>
              </w:rPr>
              <w:t>10min内储罐泄漏完</w:t>
            </w:r>
          </w:p>
        </w:tc>
        <w:tc>
          <w:tcPr>
            <w:tcW w:w="782" w:type="pct"/>
            <w:noWrap/>
            <w:vAlign w:val="center"/>
          </w:tcPr>
          <w:p w14:paraId="5B4C0931">
            <w:pPr>
              <w:widowControl/>
              <w:spacing w:line="240" w:lineRule="auto"/>
              <w:ind w:firstLine="0" w:firstLineChars="0"/>
              <w:jc w:val="center"/>
              <w:rPr>
                <w:color w:val="auto"/>
                <w:kern w:val="0"/>
                <w:sz w:val="21"/>
                <w:szCs w:val="21"/>
              </w:rPr>
            </w:pPr>
            <w:r>
              <w:rPr>
                <w:color w:val="auto"/>
                <w:kern w:val="0"/>
                <w:sz w:val="21"/>
                <w:szCs w:val="21"/>
              </w:rPr>
              <w:t>1.25×10</w:t>
            </w:r>
            <w:r>
              <w:rPr>
                <w:color w:val="auto"/>
                <w:kern w:val="0"/>
                <w:sz w:val="21"/>
                <w:szCs w:val="21"/>
                <w:vertAlign w:val="superscript"/>
              </w:rPr>
              <w:t>-8</w:t>
            </w:r>
            <w:r>
              <w:rPr>
                <w:color w:val="auto"/>
                <w:kern w:val="0"/>
                <w:sz w:val="21"/>
                <w:szCs w:val="21"/>
              </w:rPr>
              <w:t>/a</w:t>
            </w:r>
          </w:p>
        </w:tc>
      </w:tr>
      <w:tr w14:paraId="10D9E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0C7B1CA2">
            <w:pPr>
              <w:widowControl/>
              <w:spacing w:line="240" w:lineRule="auto"/>
              <w:ind w:firstLine="0" w:firstLineChars="0"/>
              <w:jc w:val="center"/>
              <w:rPr>
                <w:color w:val="auto"/>
                <w:kern w:val="0"/>
                <w:sz w:val="21"/>
                <w:szCs w:val="21"/>
              </w:rPr>
            </w:pPr>
          </w:p>
        </w:tc>
        <w:tc>
          <w:tcPr>
            <w:tcW w:w="2707" w:type="pct"/>
            <w:noWrap/>
            <w:vAlign w:val="center"/>
          </w:tcPr>
          <w:p w14:paraId="0A0DA324">
            <w:pPr>
              <w:widowControl/>
              <w:spacing w:line="240" w:lineRule="auto"/>
              <w:ind w:firstLine="0" w:firstLineChars="0"/>
              <w:jc w:val="center"/>
              <w:rPr>
                <w:color w:val="auto"/>
                <w:kern w:val="0"/>
                <w:sz w:val="21"/>
                <w:szCs w:val="21"/>
              </w:rPr>
            </w:pPr>
            <w:r>
              <w:rPr>
                <w:color w:val="auto"/>
                <w:kern w:val="0"/>
                <w:sz w:val="21"/>
                <w:szCs w:val="21"/>
              </w:rPr>
              <w:t>储罐全破裂</w:t>
            </w:r>
          </w:p>
        </w:tc>
        <w:tc>
          <w:tcPr>
            <w:tcW w:w="782" w:type="pct"/>
            <w:noWrap/>
            <w:vAlign w:val="center"/>
          </w:tcPr>
          <w:p w14:paraId="1D03687C">
            <w:pPr>
              <w:widowControl/>
              <w:spacing w:line="240" w:lineRule="auto"/>
              <w:ind w:firstLine="0" w:firstLineChars="0"/>
              <w:jc w:val="center"/>
              <w:rPr>
                <w:color w:val="auto"/>
                <w:kern w:val="0"/>
                <w:sz w:val="21"/>
                <w:szCs w:val="21"/>
              </w:rPr>
            </w:pPr>
            <w:r>
              <w:rPr>
                <w:color w:val="auto"/>
                <w:kern w:val="0"/>
                <w:sz w:val="21"/>
                <w:szCs w:val="21"/>
              </w:rPr>
              <w:t>1.25×10</w:t>
            </w:r>
            <w:r>
              <w:rPr>
                <w:color w:val="auto"/>
                <w:kern w:val="0"/>
                <w:sz w:val="21"/>
                <w:szCs w:val="21"/>
                <w:vertAlign w:val="superscript"/>
              </w:rPr>
              <w:t>-8</w:t>
            </w:r>
            <w:r>
              <w:rPr>
                <w:color w:val="auto"/>
                <w:kern w:val="0"/>
                <w:sz w:val="21"/>
                <w:szCs w:val="21"/>
              </w:rPr>
              <w:t>/a</w:t>
            </w:r>
          </w:p>
        </w:tc>
      </w:tr>
      <w:tr w14:paraId="4853E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noWrap/>
            <w:vAlign w:val="center"/>
          </w:tcPr>
          <w:p w14:paraId="71BC835F">
            <w:pPr>
              <w:widowControl/>
              <w:spacing w:line="240" w:lineRule="auto"/>
              <w:ind w:firstLine="0" w:firstLineChars="0"/>
              <w:jc w:val="center"/>
              <w:rPr>
                <w:color w:val="auto"/>
                <w:kern w:val="0"/>
                <w:sz w:val="21"/>
                <w:szCs w:val="21"/>
              </w:rPr>
            </w:pPr>
            <w:r>
              <w:rPr>
                <w:color w:val="auto"/>
                <w:kern w:val="0"/>
                <w:sz w:val="21"/>
                <w:szCs w:val="21"/>
              </w:rPr>
              <w:t>常压全包容储罐</w:t>
            </w:r>
          </w:p>
        </w:tc>
        <w:tc>
          <w:tcPr>
            <w:tcW w:w="2707" w:type="pct"/>
            <w:noWrap/>
            <w:vAlign w:val="center"/>
          </w:tcPr>
          <w:p w14:paraId="018B86CB">
            <w:pPr>
              <w:widowControl/>
              <w:spacing w:line="240" w:lineRule="auto"/>
              <w:ind w:firstLine="0" w:firstLineChars="0"/>
              <w:jc w:val="center"/>
              <w:rPr>
                <w:color w:val="auto"/>
                <w:kern w:val="0"/>
                <w:sz w:val="21"/>
                <w:szCs w:val="21"/>
              </w:rPr>
            </w:pPr>
            <w:r>
              <w:rPr>
                <w:color w:val="auto"/>
                <w:kern w:val="0"/>
                <w:sz w:val="21"/>
                <w:szCs w:val="21"/>
              </w:rPr>
              <w:t>储罐全破裂</w:t>
            </w:r>
          </w:p>
        </w:tc>
        <w:tc>
          <w:tcPr>
            <w:tcW w:w="782" w:type="pct"/>
            <w:noWrap/>
            <w:vAlign w:val="center"/>
          </w:tcPr>
          <w:p w14:paraId="3D046742">
            <w:pPr>
              <w:widowControl/>
              <w:spacing w:line="240" w:lineRule="auto"/>
              <w:ind w:firstLine="0" w:firstLineChars="0"/>
              <w:jc w:val="center"/>
              <w:rPr>
                <w:color w:val="auto"/>
                <w:kern w:val="0"/>
                <w:sz w:val="21"/>
                <w:szCs w:val="21"/>
              </w:rPr>
            </w:pPr>
            <w:r>
              <w:rPr>
                <w:color w:val="auto"/>
                <w:kern w:val="0"/>
                <w:sz w:val="21"/>
                <w:szCs w:val="21"/>
              </w:rPr>
              <w:t>1.00×10</w:t>
            </w:r>
            <w:r>
              <w:rPr>
                <w:color w:val="auto"/>
                <w:kern w:val="0"/>
                <w:sz w:val="21"/>
                <w:szCs w:val="21"/>
                <w:vertAlign w:val="superscript"/>
              </w:rPr>
              <w:t>-8</w:t>
            </w:r>
            <w:r>
              <w:rPr>
                <w:color w:val="auto"/>
                <w:kern w:val="0"/>
                <w:sz w:val="21"/>
                <w:szCs w:val="21"/>
              </w:rPr>
              <w:t>/a</w:t>
            </w:r>
          </w:p>
        </w:tc>
      </w:tr>
      <w:tr w14:paraId="26E79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restart"/>
            <w:noWrap/>
            <w:vAlign w:val="center"/>
          </w:tcPr>
          <w:p w14:paraId="6F63BFE5">
            <w:pPr>
              <w:widowControl/>
              <w:spacing w:line="240" w:lineRule="auto"/>
              <w:ind w:firstLine="0" w:firstLineChars="0"/>
              <w:jc w:val="center"/>
              <w:rPr>
                <w:color w:val="auto"/>
                <w:kern w:val="0"/>
                <w:sz w:val="21"/>
                <w:szCs w:val="21"/>
              </w:rPr>
            </w:pPr>
            <w:r>
              <w:rPr>
                <w:color w:val="auto"/>
                <w:kern w:val="0"/>
                <w:sz w:val="21"/>
                <w:szCs w:val="21"/>
              </w:rPr>
              <w:t>内径≤75mm的管道</w:t>
            </w:r>
          </w:p>
        </w:tc>
        <w:tc>
          <w:tcPr>
            <w:tcW w:w="2707" w:type="pct"/>
            <w:noWrap/>
            <w:vAlign w:val="center"/>
          </w:tcPr>
          <w:p w14:paraId="1CB5A83E">
            <w:pPr>
              <w:widowControl/>
              <w:spacing w:line="240" w:lineRule="auto"/>
              <w:ind w:firstLine="0" w:firstLineChars="0"/>
              <w:jc w:val="center"/>
              <w:rPr>
                <w:color w:val="auto"/>
                <w:kern w:val="0"/>
                <w:sz w:val="21"/>
                <w:szCs w:val="21"/>
              </w:rPr>
            </w:pPr>
            <w:r>
              <w:rPr>
                <w:color w:val="auto"/>
                <w:kern w:val="0"/>
                <w:sz w:val="21"/>
                <w:szCs w:val="21"/>
              </w:rPr>
              <w:t>泄漏孔径为10%孔径</w:t>
            </w:r>
          </w:p>
        </w:tc>
        <w:tc>
          <w:tcPr>
            <w:tcW w:w="782" w:type="pct"/>
            <w:noWrap/>
            <w:vAlign w:val="center"/>
          </w:tcPr>
          <w:p w14:paraId="5118CDF6">
            <w:pPr>
              <w:widowControl/>
              <w:spacing w:line="240" w:lineRule="auto"/>
              <w:ind w:firstLine="0" w:firstLineChars="0"/>
              <w:jc w:val="center"/>
              <w:rPr>
                <w:color w:val="auto"/>
                <w:kern w:val="0"/>
                <w:sz w:val="21"/>
                <w:szCs w:val="21"/>
              </w:rPr>
            </w:pPr>
            <w:r>
              <w:rPr>
                <w:color w:val="auto"/>
                <w:kern w:val="0"/>
                <w:sz w:val="21"/>
                <w:szCs w:val="21"/>
              </w:rPr>
              <w:t>5.00×10</w:t>
            </w:r>
            <w:r>
              <w:rPr>
                <w:color w:val="auto"/>
                <w:kern w:val="0"/>
                <w:sz w:val="21"/>
                <w:szCs w:val="21"/>
                <w:vertAlign w:val="superscript"/>
              </w:rPr>
              <w:t>-6</w:t>
            </w:r>
            <w:r>
              <w:rPr>
                <w:color w:val="auto"/>
                <w:kern w:val="0"/>
                <w:sz w:val="21"/>
                <w:szCs w:val="21"/>
              </w:rPr>
              <w:t>/(m·a)</w:t>
            </w:r>
          </w:p>
        </w:tc>
      </w:tr>
      <w:tr w14:paraId="7FBE5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3D33A093">
            <w:pPr>
              <w:widowControl/>
              <w:spacing w:line="240" w:lineRule="auto"/>
              <w:ind w:firstLine="0" w:firstLineChars="0"/>
              <w:jc w:val="center"/>
              <w:rPr>
                <w:color w:val="auto"/>
                <w:kern w:val="0"/>
                <w:sz w:val="21"/>
                <w:szCs w:val="21"/>
              </w:rPr>
            </w:pPr>
          </w:p>
        </w:tc>
        <w:tc>
          <w:tcPr>
            <w:tcW w:w="2707" w:type="pct"/>
            <w:noWrap/>
            <w:vAlign w:val="center"/>
          </w:tcPr>
          <w:p w14:paraId="267EC430">
            <w:pPr>
              <w:widowControl/>
              <w:spacing w:line="240" w:lineRule="auto"/>
              <w:ind w:firstLine="0" w:firstLineChars="0"/>
              <w:jc w:val="center"/>
              <w:rPr>
                <w:color w:val="auto"/>
                <w:kern w:val="0"/>
                <w:sz w:val="21"/>
                <w:szCs w:val="21"/>
              </w:rPr>
            </w:pPr>
            <w:r>
              <w:rPr>
                <w:color w:val="auto"/>
                <w:kern w:val="0"/>
                <w:sz w:val="21"/>
                <w:szCs w:val="21"/>
              </w:rPr>
              <w:t>全管径泄漏</w:t>
            </w:r>
          </w:p>
        </w:tc>
        <w:tc>
          <w:tcPr>
            <w:tcW w:w="782" w:type="pct"/>
            <w:noWrap/>
            <w:vAlign w:val="center"/>
          </w:tcPr>
          <w:p w14:paraId="7F982B5F">
            <w:pPr>
              <w:widowControl/>
              <w:spacing w:line="240" w:lineRule="auto"/>
              <w:ind w:firstLine="0" w:firstLineChars="0"/>
              <w:jc w:val="center"/>
              <w:rPr>
                <w:color w:val="auto"/>
                <w:kern w:val="0"/>
                <w:sz w:val="21"/>
                <w:szCs w:val="21"/>
              </w:rPr>
            </w:pPr>
            <w:r>
              <w:rPr>
                <w:color w:val="auto"/>
                <w:kern w:val="0"/>
                <w:sz w:val="21"/>
                <w:szCs w:val="21"/>
              </w:rPr>
              <w:t>1.00×10</w:t>
            </w:r>
            <w:r>
              <w:rPr>
                <w:color w:val="auto"/>
                <w:kern w:val="0"/>
                <w:sz w:val="21"/>
                <w:szCs w:val="21"/>
                <w:vertAlign w:val="superscript"/>
              </w:rPr>
              <w:t>-6</w:t>
            </w:r>
            <w:r>
              <w:rPr>
                <w:color w:val="auto"/>
                <w:kern w:val="0"/>
                <w:sz w:val="21"/>
                <w:szCs w:val="21"/>
              </w:rPr>
              <w:t>/(m·a)</w:t>
            </w:r>
          </w:p>
        </w:tc>
      </w:tr>
      <w:tr w14:paraId="396BA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restart"/>
            <w:noWrap/>
            <w:vAlign w:val="center"/>
          </w:tcPr>
          <w:p w14:paraId="20FCF8AD">
            <w:pPr>
              <w:widowControl/>
              <w:spacing w:line="240" w:lineRule="auto"/>
              <w:ind w:firstLine="0" w:firstLineChars="0"/>
              <w:jc w:val="center"/>
              <w:rPr>
                <w:color w:val="auto"/>
                <w:kern w:val="0"/>
                <w:sz w:val="21"/>
                <w:szCs w:val="21"/>
              </w:rPr>
            </w:pPr>
            <w:r>
              <w:rPr>
                <w:color w:val="auto"/>
                <w:kern w:val="0"/>
                <w:sz w:val="21"/>
                <w:szCs w:val="21"/>
              </w:rPr>
              <w:t>75mm&lt;内径≤150mm的管道</w:t>
            </w:r>
          </w:p>
        </w:tc>
        <w:tc>
          <w:tcPr>
            <w:tcW w:w="2707" w:type="pct"/>
            <w:noWrap/>
            <w:vAlign w:val="center"/>
          </w:tcPr>
          <w:p w14:paraId="29DF70AA">
            <w:pPr>
              <w:widowControl/>
              <w:spacing w:line="240" w:lineRule="auto"/>
              <w:ind w:firstLine="0" w:firstLineChars="0"/>
              <w:jc w:val="center"/>
              <w:rPr>
                <w:color w:val="auto"/>
                <w:kern w:val="0"/>
                <w:sz w:val="21"/>
                <w:szCs w:val="21"/>
              </w:rPr>
            </w:pPr>
            <w:r>
              <w:rPr>
                <w:color w:val="auto"/>
                <w:kern w:val="0"/>
                <w:sz w:val="21"/>
                <w:szCs w:val="21"/>
              </w:rPr>
              <w:t>泄漏孔径为10%孔径</w:t>
            </w:r>
          </w:p>
        </w:tc>
        <w:tc>
          <w:tcPr>
            <w:tcW w:w="782" w:type="pct"/>
            <w:noWrap/>
            <w:vAlign w:val="center"/>
          </w:tcPr>
          <w:p w14:paraId="6E8B7024">
            <w:pPr>
              <w:widowControl/>
              <w:spacing w:line="240" w:lineRule="auto"/>
              <w:ind w:firstLine="0" w:firstLineChars="0"/>
              <w:jc w:val="center"/>
              <w:rPr>
                <w:color w:val="auto"/>
                <w:kern w:val="0"/>
                <w:sz w:val="21"/>
                <w:szCs w:val="21"/>
              </w:rPr>
            </w:pPr>
            <w:r>
              <w:rPr>
                <w:color w:val="auto"/>
                <w:kern w:val="0"/>
                <w:sz w:val="21"/>
                <w:szCs w:val="21"/>
              </w:rPr>
              <w:t>2.00×10</w:t>
            </w:r>
            <w:r>
              <w:rPr>
                <w:color w:val="auto"/>
                <w:kern w:val="0"/>
                <w:sz w:val="21"/>
                <w:szCs w:val="21"/>
                <w:vertAlign w:val="superscript"/>
              </w:rPr>
              <w:t>-6</w:t>
            </w:r>
            <w:r>
              <w:rPr>
                <w:color w:val="auto"/>
                <w:kern w:val="0"/>
                <w:sz w:val="21"/>
                <w:szCs w:val="21"/>
              </w:rPr>
              <w:t>/(m·a)</w:t>
            </w:r>
          </w:p>
        </w:tc>
      </w:tr>
      <w:tr w14:paraId="0BE39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45276DA4">
            <w:pPr>
              <w:widowControl/>
              <w:spacing w:line="240" w:lineRule="auto"/>
              <w:ind w:firstLine="0" w:firstLineChars="0"/>
              <w:jc w:val="center"/>
              <w:rPr>
                <w:color w:val="auto"/>
                <w:kern w:val="0"/>
                <w:sz w:val="21"/>
                <w:szCs w:val="21"/>
              </w:rPr>
            </w:pPr>
          </w:p>
        </w:tc>
        <w:tc>
          <w:tcPr>
            <w:tcW w:w="2707" w:type="pct"/>
            <w:noWrap/>
            <w:vAlign w:val="center"/>
          </w:tcPr>
          <w:p w14:paraId="3782E9A0">
            <w:pPr>
              <w:widowControl/>
              <w:spacing w:line="240" w:lineRule="auto"/>
              <w:ind w:firstLine="0" w:firstLineChars="0"/>
              <w:jc w:val="center"/>
              <w:rPr>
                <w:color w:val="auto"/>
                <w:kern w:val="0"/>
                <w:sz w:val="21"/>
                <w:szCs w:val="21"/>
              </w:rPr>
            </w:pPr>
            <w:r>
              <w:rPr>
                <w:color w:val="auto"/>
                <w:kern w:val="0"/>
                <w:sz w:val="21"/>
                <w:szCs w:val="21"/>
              </w:rPr>
              <w:t>全管径泄漏</w:t>
            </w:r>
          </w:p>
        </w:tc>
        <w:tc>
          <w:tcPr>
            <w:tcW w:w="782" w:type="pct"/>
            <w:noWrap/>
            <w:vAlign w:val="center"/>
          </w:tcPr>
          <w:p w14:paraId="666C784D">
            <w:pPr>
              <w:widowControl/>
              <w:spacing w:line="240" w:lineRule="auto"/>
              <w:ind w:firstLine="0" w:firstLineChars="0"/>
              <w:jc w:val="center"/>
              <w:rPr>
                <w:color w:val="auto"/>
                <w:kern w:val="0"/>
                <w:sz w:val="21"/>
                <w:szCs w:val="21"/>
              </w:rPr>
            </w:pPr>
            <w:r>
              <w:rPr>
                <w:color w:val="auto"/>
                <w:kern w:val="0"/>
                <w:sz w:val="21"/>
                <w:szCs w:val="21"/>
              </w:rPr>
              <w:t>3.00×10</w:t>
            </w:r>
            <w:r>
              <w:rPr>
                <w:color w:val="auto"/>
                <w:kern w:val="0"/>
                <w:sz w:val="21"/>
                <w:szCs w:val="21"/>
                <w:vertAlign w:val="superscript"/>
              </w:rPr>
              <w:t>-7</w:t>
            </w:r>
            <w:r>
              <w:rPr>
                <w:color w:val="auto"/>
                <w:kern w:val="0"/>
                <w:sz w:val="21"/>
                <w:szCs w:val="21"/>
              </w:rPr>
              <w:t>/(m·a)</w:t>
            </w:r>
          </w:p>
        </w:tc>
      </w:tr>
      <w:tr w14:paraId="7AF75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restart"/>
            <w:noWrap/>
            <w:vAlign w:val="center"/>
          </w:tcPr>
          <w:p w14:paraId="738CDA95">
            <w:pPr>
              <w:widowControl/>
              <w:spacing w:line="240" w:lineRule="auto"/>
              <w:ind w:firstLine="0" w:firstLineChars="0"/>
              <w:jc w:val="center"/>
              <w:rPr>
                <w:color w:val="auto"/>
                <w:kern w:val="0"/>
                <w:sz w:val="21"/>
                <w:szCs w:val="21"/>
              </w:rPr>
            </w:pPr>
            <w:r>
              <w:rPr>
                <w:color w:val="auto"/>
                <w:kern w:val="0"/>
                <w:sz w:val="21"/>
                <w:szCs w:val="21"/>
              </w:rPr>
              <w:t>内径&gt;150mm的管道</w:t>
            </w:r>
          </w:p>
        </w:tc>
        <w:tc>
          <w:tcPr>
            <w:tcW w:w="2707" w:type="pct"/>
            <w:noWrap/>
            <w:vAlign w:val="center"/>
          </w:tcPr>
          <w:p w14:paraId="6034C05D">
            <w:pPr>
              <w:widowControl/>
              <w:spacing w:line="240" w:lineRule="auto"/>
              <w:ind w:firstLine="0" w:firstLineChars="0"/>
              <w:jc w:val="center"/>
              <w:rPr>
                <w:color w:val="auto"/>
                <w:kern w:val="0"/>
                <w:sz w:val="21"/>
                <w:szCs w:val="21"/>
              </w:rPr>
            </w:pPr>
            <w:r>
              <w:rPr>
                <w:color w:val="auto"/>
                <w:kern w:val="0"/>
                <w:sz w:val="21"/>
                <w:szCs w:val="21"/>
              </w:rPr>
              <w:t>泄漏孔径为10%孔径(最大50mm)</w:t>
            </w:r>
          </w:p>
        </w:tc>
        <w:tc>
          <w:tcPr>
            <w:tcW w:w="782" w:type="pct"/>
            <w:noWrap/>
            <w:vAlign w:val="center"/>
          </w:tcPr>
          <w:p w14:paraId="2BDB9A81">
            <w:pPr>
              <w:widowControl/>
              <w:spacing w:line="240" w:lineRule="auto"/>
              <w:ind w:firstLine="0" w:firstLineChars="0"/>
              <w:jc w:val="center"/>
              <w:rPr>
                <w:color w:val="auto"/>
                <w:kern w:val="0"/>
                <w:sz w:val="21"/>
                <w:szCs w:val="21"/>
              </w:rPr>
            </w:pPr>
            <w:r>
              <w:rPr>
                <w:color w:val="auto"/>
                <w:kern w:val="0"/>
                <w:sz w:val="21"/>
                <w:szCs w:val="21"/>
              </w:rPr>
              <w:t>2.40×10</w:t>
            </w:r>
            <w:r>
              <w:rPr>
                <w:color w:val="auto"/>
                <w:kern w:val="0"/>
                <w:sz w:val="21"/>
                <w:szCs w:val="21"/>
                <w:vertAlign w:val="superscript"/>
              </w:rPr>
              <w:t>-6</w:t>
            </w:r>
            <w:r>
              <w:rPr>
                <w:color w:val="auto"/>
                <w:kern w:val="0"/>
                <w:sz w:val="21"/>
                <w:szCs w:val="21"/>
              </w:rPr>
              <w:t>/(m·a)</w:t>
            </w:r>
          </w:p>
        </w:tc>
      </w:tr>
      <w:tr w14:paraId="5E7D8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0A673DF6">
            <w:pPr>
              <w:widowControl/>
              <w:spacing w:line="240" w:lineRule="auto"/>
              <w:ind w:firstLine="0" w:firstLineChars="0"/>
              <w:jc w:val="center"/>
              <w:rPr>
                <w:color w:val="auto"/>
                <w:kern w:val="0"/>
                <w:sz w:val="21"/>
                <w:szCs w:val="21"/>
              </w:rPr>
            </w:pPr>
          </w:p>
        </w:tc>
        <w:tc>
          <w:tcPr>
            <w:tcW w:w="2707" w:type="pct"/>
            <w:noWrap/>
            <w:vAlign w:val="center"/>
          </w:tcPr>
          <w:p w14:paraId="69FC1DDD">
            <w:pPr>
              <w:widowControl/>
              <w:spacing w:line="240" w:lineRule="auto"/>
              <w:ind w:firstLine="0" w:firstLineChars="0"/>
              <w:jc w:val="center"/>
              <w:rPr>
                <w:color w:val="auto"/>
                <w:kern w:val="0"/>
                <w:sz w:val="21"/>
                <w:szCs w:val="21"/>
              </w:rPr>
            </w:pPr>
            <w:r>
              <w:rPr>
                <w:color w:val="auto"/>
                <w:kern w:val="0"/>
                <w:sz w:val="21"/>
                <w:szCs w:val="21"/>
              </w:rPr>
              <w:t>全管径泄漏</w:t>
            </w:r>
          </w:p>
        </w:tc>
        <w:tc>
          <w:tcPr>
            <w:tcW w:w="782" w:type="pct"/>
            <w:noWrap/>
            <w:vAlign w:val="center"/>
          </w:tcPr>
          <w:p w14:paraId="6509143C">
            <w:pPr>
              <w:widowControl/>
              <w:spacing w:line="240" w:lineRule="auto"/>
              <w:ind w:firstLine="0" w:firstLineChars="0"/>
              <w:jc w:val="center"/>
              <w:rPr>
                <w:color w:val="auto"/>
                <w:kern w:val="0"/>
                <w:sz w:val="21"/>
                <w:szCs w:val="21"/>
              </w:rPr>
            </w:pPr>
            <w:r>
              <w:rPr>
                <w:color w:val="auto"/>
                <w:kern w:val="0"/>
                <w:sz w:val="21"/>
                <w:szCs w:val="21"/>
              </w:rPr>
              <w:t>1.00×10</w:t>
            </w:r>
            <w:r>
              <w:rPr>
                <w:color w:val="auto"/>
                <w:kern w:val="0"/>
                <w:sz w:val="21"/>
                <w:szCs w:val="21"/>
                <w:vertAlign w:val="superscript"/>
              </w:rPr>
              <w:t>-7</w:t>
            </w:r>
            <w:r>
              <w:rPr>
                <w:color w:val="auto"/>
                <w:kern w:val="0"/>
                <w:sz w:val="21"/>
                <w:szCs w:val="21"/>
              </w:rPr>
              <w:t>/(m·a)</w:t>
            </w:r>
          </w:p>
        </w:tc>
      </w:tr>
      <w:tr w14:paraId="1EF93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restart"/>
            <w:noWrap/>
            <w:vAlign w:val="center"/>
          </w:tcPr>
          <w:p w14:paraId="48B1EAFC">
            <w:pPr>
              <w:widowControl/>
              <w:spacing w:line="240" w:lineRule="auto"/>
              <w:ind w:firstLine="0" w:firstLineChars="0"/>
              <w:jc w:val="center"/>
              <w:rPr>
                <w:color w:val="auto"/>
                <w:kern w:val="0"/>
                <w:sz w:val="21"/>
                <w:szCs w:val="21"/>
              </w:rPr>
            </w:pPr>
            <w:r>
              <w:rPr>
                <w:color w:val="auto"/>
                <w:kern w:val="0"/>
                <w:sz w:val="21"/>
                <w:szCs w:val="21"/>
              </w:rPr>
              <w:t>泵体和压缩机</w:t>
            </w:r>
          </w:p>
        </w:tc>
        <w:tc>
          <w:tcPr>
            <w:tcW w:w="2707" w:type="pct"/>
            <w:noWrap/>
            <w:vAlign w:val="center"/>
          </w:tcPr>
          <w:p w14:paraId="47BD972F">
            <w:pPr>
              <w:widowControl/>
              <w:spacing w:line="240" w:lineRule="auto"/>
              <w:ind w:firstLine="0" w:firstLineChars="0"/>
              <w:jc w:val="center"/>
              <w:rPr>
                <w:color w:val="auto"/>
                <w:kern w:val="0"/>
                <w:sz w:val="21"/>
                <w:szCs w:val="21"/>
              </w:rPr>
            </w:pPr>
            <w:r>
              <w:rPr>
                <w:color w:val="auto"/>
                <w:kern w:val="0"/>
                <w:sz w:val="21"/>
                <w:szCs w:val="21"/>
              </w:rPr>
              <w:t>泵体和压缩机最大连接管泄漏孔径为10%孔径(最大50mm)</w:t>
            </w:r>
          </w:p>
        </w:tc>
        <w:tc>
          <w:tcPr>
            <w:tcW w:w="782" w:type="pct"/>
            <w:noWrap/>
            <w:vAlign w:val="center"/>
          </w:tcPr>
          <w:p w14:paraId="5F2F7FEC">
            <w:pPr>
              <w:widowControl/>
              <w:spacing w:line="240" w:lineRule="auto"/>
              <w:ind w:firstLine="0" w:firstLineChars="0"/>
              <w:jc w:val="center"/>
              <w:rPr>
                <w:color w:val="auto"/>
                <w:kern w:val="0"/>
                <w:sz w:val="21"/>
                <w:szCs w:val="21"/>
              </w:rPr>
            </w:pPr>
            <w:r>
              <w:rPr>
                <w:color w:val="auto"/>
                <w:kern w:val="0"/>
                <w:sz w:val="21"/>
                <w:szCs w:val="21"/>
              </w:rPr>
              <w:t>5.00×10</w:t>
            </w:r>
            <w:r>
              <w:rPr>
                <w:color w:val="auto"/>
                <w:kern w:val="0"/>
                <w:sz w:val="21"/>
                <w:szCs w:val="21"/>
                <w:vertAlign w:val="superscript"/>
              </w:rPr>
              <w:t>-4</w:t>
            </w:r>
            <w:r>
              <w:rPr>
                <w:color w:val="auto"/>
                <w:kern w:val="0"/>
                <w:sz w:val="21"/>
                <w:szCs w:val="21"/>
              </w:rPr>
              <w:t>/a</w:t>
            </w:r>
          </w:p>
        </w:tc>
      </w:tr>
      <w:tr w14:paraId="632AF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611834D8">
            <w:pPr>
              <w:widowControl/>
              <w:spacing w:line="240" w:lineRule="auto"/>
              <w:ind w:firstLine="0" w:firstLineChars="0"/>
              <w:jc w:val="center"/>
              <w:rPr>
                <w:color w:val="auto"/>
                <w:kern w:val="0"/>
                <w:sz w:val="21"/>
                <w:szCs w:val="21"/>
              </w:rPr>
            </w:pPr>
          </w:p>
        </w:tc>
        <w:tc>
          <w:tcPr>
            <w:tcW w:w="2707" w:type="pct"/>
            <w:noWrap/>
            <w:vAlign w:val="center"/>
          </w:tcPr>
          <w:p w14:paraId="345528CE">
            <w:pPr>
              <w:widowControl/>
              <w:spacing w:line="240" w:lineRule="auto"/>
              <w:ind w:firstLine="0" w:firstLineChars="0"/>
              <w:jc w:val="center"/>
              <w:rPr>
                <w:color w:val="auto"/>
                <w:kern w:val="0"/>
                <w:sz w:val="21"/>
                <w:szCs w:val="21"/>
              </w:rPr>
            </w:pPr>
            <w:r>
              <w:rPr>
                <w:color w:val="auto"/>
                <w:kern w:val="0"/>
                <w:sz w:val="21"/>
                <w:szCs w:val="21"/>
              </w:rPr>
              <w:t>泵体和压缩机最大连接管全管径泄漏</w:t>
            </w:r>
          </w:p>
        </w:tc>
        <w:tc>
          <w:tcPr>
            <w:tcW w:w="782" w:type="pct"/>
            <w:noWrap/>
            <w:vAlign w:val="center"/>
          </w:tcPr>
          <w:p w14:paraId="6819B1FC">
            <w:pPr>
              <w:widowControl/>
              <w:spacing w:line="240" w:lineRule="auto"/>
              <w:ind w:firstLine="0" w:firstLineChars="0"/>
              <w:jc w:val="center"/>
              <w:rPr>
                <w:color w:val="auto"/>
                <w:kern w:val="0"/>
                <w:sz w:val="21"/>
                <w:szCs w:val="21"/>
              </w:rPr>
            </w:pPr>
            <w:r>
              <w:rPr>
                <w:color w:val="auto"/>
                <w:kern w:val="0"/>
                <w:sz w:val="21"/>
                <w:szCs w:val="21"/>
              </w:rPr>
              <w:t>1.00×10</w:t>
            </w:r>
            <w:r>
              <w:rPr>
                <w:color w:val="auto"/>
                <w:kern w:val="0"/>
                <w:sz w:val="21"/>
                <w:szCs w:val="21"/>
                <w:vertAlign w:val="superscript"/>
              </w:rPr>
              <w:t>-4</w:t>
            </w:r>
            <w:r>
              <w:rPr>
                <w:color w:val="auto"/>
                <w:kern w:val="0"/>
                <w:sz w:val="21"/>
                <w:szCs w:val="21"/>
              </w:rPr>
              <w:t>/a</w:t>
            </w:r>
          </w:p>
        </w:tc>
      </w:tr>
      <w:tr w14:paraId="49BE5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restart"/>
            <w:noWrap/>
            <w:vAlign w:val="center"/>
          </w:tcPr>
          <w:p w14:paraId="0D2B2FBB">
            <w:pPr>
              <w:widowControl/>
              <w:spacing w:line="240" w:lineRule="auto"/>
              <w:ind w:firstLine="0" w:firstLineChars="0"/>
              <w:jc w:val="center"/>
              <w:rPr>
                <w:color w:val="auto"/>
                <w:kern w:val="0"/>
                <w:sz w:val="21"/>
                <w:szCs w:val="21"/>
              </w:rPr>
            </w:pPr>
            <w:r>
              <w:rPr>
                <w:color w:val="auto"/>
                <w:kern w:val="0"/>
                <w:sz w:val="21"/>
                <w:szCs w:val="21"/>
              </w:rPr>
              <w:t>装卸臂</w:t>
            </w:r>
          </w:p>
        </w:tc>
        <w:tc>
          <w:tcPr>
            <w:tcW w:w="2707" w:type="pct"/>
            <w:noWrap/>
            <w:vAlign w:val="center"/>
          </w:tcPr>
          <w:p w14:paraId="2E0E0C87">
            <w:pPr>
              <w:widowControl/>
              <w:spacing w:line="240" w:lineRule="auto"/>
              <w:ind w:firstLine="0" w:firstLineChars="0"/>
              <w:jc w:val="center"/>
              <w:rPr>
                <w:color w:val="auto"/>
                <w:kern w:val="0"/>
                <w:sz w:val="21"/>
                <w:szCs w:val="21"/>
              </w:rPr>
            </w:pPr>
            <w:r>
              <w:rPr>
                <w:color w:val="auto"/>
                <w:kern w:val="0"/>
                <w:sz w:val="21"/>
                <w:szCs w:val="21"/>
              </w:rPr>
              <w:t>装卸臂连接管泄漏孔径为10%孔径(最大50mm)</w:t>
            </w:r>
          </w:p>
        </w:tc>
        <w:tc>
          <w:tcPr>
            <w:tcW w:w="782" w:type="pct"/>
            <w:noWrap/>
            <w:vAlign w:val="center"/>
          </w:tcPr>
          <w:p w14:paraId="371A8469">
            <w:pPr>
              <w:widowControl/>
              <w:spacing w:line="240" w:lineRule="auto"/>
              <w:ind w:firstLine="0" w:firstLineChars="0"/>
              <w:jc w:val="center"/>
              <w:rPr>
                <w:color w:val="auto"/>
                <w:kern w:val="0"/>
                <w:sz w:val="21"/>
                <w:szCs w:val="21"/>
              </w:rPr>
            </w:pPr>
            <w:r>
              <w:rPr>
                <w:color w:val="auto"/>
                <w:kern w:val="0"/>
                <w:sz w:val="21"/>
                <w:szCs w:val="21"/>
              </w:rPr>
              <w:t>3.00×10</w:t>
            </w:r>
            <w:r>
              <w:rPr>
                <w:color w:val="auto"/>
                <w:kern w:val="0"/>
                <w:sz w:val="21"/>
                <w:szCs w:val="21"/>
                <w:vertAlign w:val="superscript"/>
              </w:rPr>
              <w:t>-7</w:t>
            </w:r>
            <w:r>
              <w:rPr>
                <w:color w:val="auto"/>
                <w:kern w:val="0"/>
                <w:sz w:val="21"/>
                <w:szCs w:val="21"/>
              </w:rPr>
              <w:t>/h</w:t>
            </w:r>
          </w:p>
        </w:tc>
      </w:tr>
      <w:tr w14:paraId="77F7A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7E35878A">
            <w:pPr>
              <w:widowControl/>
              <w:spacing w:line="240" w:lineRule="auto"/>
              <w:ind w:firstLine="0" w:firstLineChars="0"/>
              <w:jc w:val="center"/>
              <w:rPr>
                <w:color w:val="auto"/>
                <w:kern w:val="0"/>
                <w:sz w:val="21"/>
                <w:szCs w:val="21"/>
              </w:rPr>
            </w:pPr>
          </w:p>
        </w:tc>
        <w:tc>
          <w:tcPr>
            <w:tcW w:w="2707" w:type="pct"/>
            <w:noWrap/>
            <w:vAlign w:val="center"/>
          </w:tcPr>
          <w:p w14:paraId="787584F9">
            <w:pPr>
              <w:widowControl/>
              <w:spacing w:line="240" w:lineRule="auto"/>
              <w:ind w:firstLine="0" w:firstLineChars="0"/>
              <w:jc w:val="center"/>
              <w:rPr>
                <w:color w:val="auto"/>
                <w:kern w:val="0"/>
                <w:sz w:val="21"/>
                <w:szCs w:val="21"/>
              </w:rPr>
            </w:pPr>
            <w:r>
              <w:rPr>
                <w:color w:val="auto"/>
                <w:kern w:val="0"/>
                <w:sz w:val="21"/>
                <w:szCs w:val="21"/>
              </w:rPr>
              <w:t>装卸臂全管径泄漏</w:t>
            </w:r>
          </w:p>
        </w:tc>
        <w:tc>
          <w:tcPr>
            <w:tcW w:w="782" w:type="pct"/>
            <w:noWrap/>
            <w:vAlign w:val="center"/>
          </w:tcPr>
          <w:p w14:paraId="486E0DB3">
            <w:pPr>
              <w:widowControl/>
              <w:spacing w:line="240" w:lineRule="auto"/>
              <w:ind w:firstLine="0" w:firstLineChars="0"/>
              <w:jc w:val="center"/>
              <w:rPr>
                <w:color w:val="auto"/>
                <w:kern w:val="0"/>
                <w:sz w:val="21"/>
                <w:szCs w:val="21"/>
              </w:rPr>
            </w:pPr>
            <w:r>
              <w:rPr>
                <w:color w:val="auto"/>
                <w:kern w:val="0"/>
                <w:sz w:val="21"/>
                <w:szCs w:val="21"/>
              </w:rPr>
              <w:t>3.00×10</w:t>
            </w:r>
            <w:r>
              <w:rPr>
                <w:color w:val="auto"/>
                <w:kern w:val="0"/>
                <w:sz w:val="21"/>
                <w:szCs w:val="21"/>
                <w:vertAlign w:val="superscript"/>
              </w:rPr>
              <w:t>-8</w:t>
            </w:r>
            <w:r>
              <w:rPr>
                <w:color w:val="auto"/>
                <w:kern w:val="0"/>
                <w:sz w:val="21"/>
                <w:szCs w:val="21"/>
              </w:rPr>
              <w:t>/h</w:t>
            </w:r>
          </w:p>
        </w:tc>
      </w:tr>
      <w:tr w14:paraId="19A6D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restart"/>
            <w:noWrap/>
            <w:vAlign w:val="center"/>
          </w:tcPr>
          <w:p w14:paraId="00D496CB">
            <w:pPr>
              <w:widowControl/>
              <w:spacing w:line="240" w:lineRule="auto"/>
              <w:ind w:firstLine="0" w:firstLineChars="0"/>
              <w:jc w:val="center"/>
              <w:rPr>
                <w:color w:val="auto"/>
                <w:kern w:val="0"/>
                <w:sz w:val="21"/>
                <w:szCs w:val="21"/>
              </w:rPr>
            </w:pPr>
            <w:r>
              <w:rPr>
                <w:color w:val="auto"/>
                <w:kern w:val="0"/>
                <w:sz w:val="21"/>
                <w:szCs w:val="21"/>
              </w:rPr>
              <w:t>装卸软管</w:t>
            </w:r>
          </w:p>
        </w:tc>
        <w:tc>
          <w:tcPr>
            <w:tcW w:w="2707" w:type="pct"/>
            <w:noWrap/>
            <w:vAlign w:val="center"/>
          </w:tcPr>
          <w:p w14:paraId="3D34FC33">
            <w:pPr>
              <w:widowControl/>
              <w:spacing w:line="240" w:lineRule="auto"/>
              <w:ind w:firstLine="0" w:firstLineChars="0"/>
              <w:jc w:val="center"/>
              <w:rPr>
                <w:color w:val="auto"/>
                <w:kern w:val="0"/>
                <w:sz w:val="21"/>
                <w:szCs w:val="21"/>
              </w:rPr>
            </w:pPr>
            <w:r>
              <w:rPr>
                <w:color w:val="auto"/>
                <w:kern w:val="0"/>
                <w:sz w:val="21"/>
                <w:szCs w:val="21"/>
              </w:rPr>
              <w:t>装卸软管连接管泄漏孔径为10%孔径(最大50mm)</w:t>
            </w:r>
          </w:p>
        </w:tc>
        <w:tc>
          <w:tcPr>
            <w:tcW w:w="782" w:type="pct"/>
            <w:noWrap/>
            <w:vAlign w:val="center"/>
          </w:tcPr>
          <w:p w14:paraId="199DECBC">
            <w:pPr>
              <w:widowControl/>
              <w:spacing w:line="240" w:lineRule="auto"/>
              <w:ind w:firstLine="0" w:firstLineChars="0"/>
              <w:jc w:val="center"/>
              <w:rPr>
                <w:color w:val="auto"/>
                <w:kern w:val="0"/>
                <w:sz w:val="21"/>
                <w:szCs w:val="21"/>
              </w:rPr>
            </w:pPr>
            <w:r>
              <w:rPr>
                <w:color w:val="auto"/>
                <w:kern w:val="0"/>
                <w:sz w:val="21"/>
                <w:szCs w:val="21"/>
              </w:rPr>
              <w:t>4.00×10</w:t>
            </w:r>
            <w:r>
              <w:rPr>
                <w:color w:val="auto"/>
                <w:kern w:val="0"/>
                <w:sz w:val="21"/>
                <w:szCs w:val="21"/>
                <w:vertAlign w:val="superscript"/>
              </w:rPr>
              <w:t>-5</w:t>
            </w:r>
            <w:r>
              <w:rPr>
                <w:color w:val="auto"/>
                <w:kern w:val="0"/>
                <w:sz w:val="21"/>
                <w:szCs w:val="21"/>
              </w:rPr>
              <w:t>/h</w:t>
            </w:r>
          </w:p>
        </w:tc>
      </w:tr>
      <w:tr w14:paraId="6B70F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1" w:type="pct"/>
            <w:vMerge w:val="continue"/>
            <w:vAlign w:val="center"/>
          </w:tcPr>
          <w:p w14:paraId="33E80B22">
            <w:pPr>
              <w:widowControl/>
              <w:spacing w:line="240" w:lineRule="auto"/>
              <w:ind w:firstLine="0" w:firstLineChars="0"/>
              <w:jc w:val="center"/>
              <w:rPr>
                <w:color w:val="auto"/>
                <w:kern w:val="0"/>
                <w:sz w:val="21"/>
                <w:szCs w:val="21"/>
              </w:rPr>
            </w:pPr>
          </w:p>
        </w:tc>
        <w:tc>
          <w:tcPr>
            <w:tcW w:w="2707" w:type="pct"/>
            <w:noWrap/>
            <w:vAlign w:val="center"/>
          </w:tcPr>
          <w:p w14:paraId="0EDA86BF">
            <w:pPr>
              <w:widowControl/>
              <w:spacing w:line="240" w:lineRule="auto"/>
              <w:ind w:firstLine="0" w:firstLineChars="0"/>
              <w:jc w:val="center"/>
              <w:rPr>
                <w:color w:val="auto"/>
                <w:kern w:val="0"/>
                <w:sz w:val="21"/>
                <w:szCs w:val="21"/>
              </w:rPr>
            </w:pPr>
            <w:r>
              <w:rPr>
                <w:color w:val="auto"/>
                <w:kern w:val="0"/>
                <w:sz w:val="21"/>
                <w:szCs w:val="21"/>
              </w:rPr>
              <w:t>装卸软管全管径泄漏</w:t>
            </w:r>
          </w:p>
        </w:tc>
        <w:tc>
          <w:tcPr>
            <w:tcW w:w="782" w:type="pct"/>
            <w:noWrap/>
            <w:vAlign w:val="center"/>
          </w:tcPr>
          <w:p w14:paraId="7BAC87E0">
            <w:pPr>
              <w:widowControl/>
              <w:spacing w:line="240" w:lineRule="auto"/>
              <w:ind w:firstLine="0" w:firstLineChars="0"/>
              <w:jc w:val="center"/>
              <w:rPr>
                <w:color w:val="auto"/>
                <w:kern w:val="0"/>
                <w:sz w:val="21"/>
                <w:szCs w:val="21"/>
              </w:rPr>
            </w:pPr>
            <w:r>
              <w:rPr>
                <w:color w:val="auto"/>
                <w:kern w:val="0"/>
                <w:sz w:val="21"/>
                <w:szCs w:val="21"/>
              </w:rPr>
              <w:t>4.00×10</w:t>
            </w:r>
            <w:r>
              <w:rPr>
                <w:color w:val="auto"/>
                <w:kern w:val="0"/>
                <w:sz w:val="21"/>
                <w:szCs w:val="21"/>
                <w:vertAlign w:val="superscript"/>
              </w:rPr>
              <w:t>-6</w:t>
            </w:r>
            <w:r>
              <w:rPr>
                <w:color w:val="auto"/>
                <w:kern w:val="0"/>
                <w:sz w:val="21"/>
                <w:szCs w:val="21"/>
              </w:rPr>
              <w:t>/h</w:t>
            </w:r>
          </w:p>
        </w:tc>
      </w:tr>
    </w:tbl>
    <w:p w14:paraId="622D35C9">
      <w:pPr>
        <w:adjustRightInd/>
        <w:snapToGrid/>
        <w:ind w:firstLine="480"/>
        <w:rPr>
          <w:color w:val="auto"/>
        </w:rPr>
      </w:pPr>
      <w:r>
        <w:rPr>
          <w:color w:val="auto"/>
        </w:rPr>
        <w:t>根据《建设项目环境风险评价技术导则》（HJ169-2018），最大可信事故的定义为基于经验统计分析，在一定可能性区间内发生的事故中，造成环境危害最严重的事故。综合上述分析，火灾、爆炸事故造成的危害通常情况下集中在项目厂区内，发生可能性较低，其危害评价一般属于安全评价范围，且燃爆类事故伴生的事故废水、消防废水经厂区事故应急池收集、污水处理站处理后接管至园区污水处理厂，对周边水体环境影响较小；项目所在厂区均为硬化地面，并进行分区防渗，因此，泄漏事故发生后危险物质进入地表水、地下水、土壤的可能性较小。</w:t>
      </w:r>
    </w:p>
    <w:p w14:paraId="71D96FFD">
      <w:pPr>
        <w:ind w:firstLine="480"/>
        <w:rPr>
          <w:color w:val="auto"/>
        </w:rPr>
      </w:pPr>
      <w:r>
        <w:rPr>
          <w:color w:val="auto"/>
        </w:rPr>
        <w:t>综上，在上述风险识别、分析和事故预测的基础上，拟建项目的最大可信事故设定为：</w:t>
      </w:r>
      <w:r>
        <w:rPr>
          <w:rFonts w:hint="eastAsia"/>
          <w:color w:val="auto"/>
        </w:rPr>
        <w:t>氨水</w:t>
      </w:r>
      <w:r>
        <w:rPr>
          <w:color w:val="auto"/>
        </w:rPr>
        <w:t>储罐泄露事故、</w:t>
      </w:r>
      <w:r>
        <w:rPr>
          <w:rFonts w:hint="eastAsia"/>
          <w:color w:val="auto"/>
        </w:rPr>
        <w:t>焚硫炉及SO2输送管线物料泄露事故</w:t>
      </w:r>
      <w:r>
        <w:rPr>
          <w:color w:val="auto"/>
        </w:rPr>
        <w:t>。本评价最大可信事故的概率根据《建设项目环境风险评价技术导则》（HJ169-2018）附录E，具体见表4.</w:t>
      </w:r>
      <w:r>
        <w:rPr>
          <w:rFonts w:hint="eastAsia"/>
          <w:color w:val="auto"/>
        </w:rPr>
        <w:t>7</w:t>
      </w:r>
      <w:r>
        <w:rPr>
          <w:color w:val="auto"/>
        </w:rPr>
        <w:t>-7。</w:t>
      </w:r>
    </w:p>
    <w:p w14:paraId="4EC7C36A">
      <w:pPr>
        <w:adjustRightInd/>
        <w:snapToGrid/>
        <w:spacing w:line="460" w:lineRule="exact"/>
        <w:ind w:firstLine="482"/>
        <w:jc w:val="center"/>
        <w:rPr>
          <w:b/>
          <w:bCs/>
          <w:color w:val="auto"/>
          <w:kern w:val="0"/>
        </w:rPr>
      </w:pPr>
      <w:r>
        <w:rPr>
          <w:b/>
          <w:bCs/>
          <w:color w:val="auto"/>
          <w:kern w:val="0"/>
        </w:rPr>
        <w:t>表4.</w:t>
      </w:r>
      <w:r>
        <w:rPr>
          <w:rFonts w:hint="eastAsia"/>
          <w:b/>
          <w:bCs/>
          <w:color w:val="auto"/>
          <w:kern w:val="0"/>
        </w:rPr>
        <w:t>7</w:t>
      </w:r>
      <w:r>
        <w:rPr>
          <w:b/>
          <w:bCs/>
          <w:color w:val="auto"/>
          <w:kern w:val="0"/>
        </w:rPr>
        <w:t xml:space="preserve">-7 </w:t>
      </w:r>
      <w:r>
        <w:rPr>
          <w:rFonts w:hint="eastAsia"/>
          <w:b/>
          <w:bCs/>
          <w:color w:val="auto"/>
          <w:kern w:val="0"/>
        </w:rPr>
        <w:t xml:space="preserve"> </w:t>
      </w:r>
      <w:r>
        <w:rPr>
          <w:b/>
          <w:bCs/>
          <w:color w:val="auto"/>
          <w:kern w:val="0"/>
        </w:rPr>
        <w:t>建设项目最大可信事故确定与概率分析表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71"/>
        <w:gridCol w:w="2567"/>
        <w:gridCol w:w="2116"/>
        <w:gridCol w:w="1319"/>
        <w:gridCol w:w="1638"/>
        <w:gridCol w:w="1427"/>
      </w:tblGrid>
      <w:tr w14:paraId="5643B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96" w:type="pct"/>
            <w:vAlign w:val="center"/>
          </w:tcPr>
          <w:p w14:paraId="5B52480F">
            <w:pPr>
              <w:overflowPunct w:val="0"/>
              <w:spacing w:line="240" w:lineRule="auto"/>
              <w:ind w:firstLine="0" w:firstLineChars="0"/>
              <w:jc w:val="center"/>
              <w:textAlignment w:val="baseline"/>
              <w:rPr>
                <w:b/>
                <w:color w:val="auto"/>
                <w:kern w:val="24"/>
                <w:sz w:val="21"/>
                <w:szCs w:val="21"/>
              </w:rPr>
            </w:pPr>
            <w:r>
              <w:rPr>
                <w:b/>
                <w:color w:val="auto"/>
                <w:kern w:val="24"/>
                <w:sz w:val="21"/>
                <w:szCs w:val="21"/>
              </w:rPr>
              <w:t>序号</w:t>
            </w:r>
          </w:p>
        </w:tc>
        <w:tc>
          <w:tcPr>
            <w:tcW w:w="1331" w:type="pct"/>
            <w:vAlign w:val="center"/>
          </w:tcPr>
          <w:p w14:paraId="3615CAF9">
            <w:pPr>
              <w:overflowPunct w:val="0"/>
              <w:spacing w:line="240" w:lineRule="auto"/>
              <w:ind w:firstLine="0" w:firstLineChars="0"/>
              <w:jc w:val="center"/>
              <w:textAlignment w:val="baseline"/>
              <w:rPr>
                <w:b/>
                <w:color w:val="auto"/>
                <w:kern w:val="24"/>
                <w:sz w:val="21"/>
                <w:szCs w:val="21"/>
              </w:rPr>
            </w:pPr>
            <w:r>
              <w:rPr>
                <w:b/>
                <w:color w:val="auto"/>
                <w:kern w:val="24"/>
                <w:sz w:val="21"/>
                <w:szCs w:val="21"/>
              </w:rPr>
              <w:t>风险类型</w:t>
            </w:r>
          </w:p>
        </w:tc>
        <w:tc>
          <w:tcPr>
            <w:tcW w:w="1097" w:type="pct"/>
            <w:vAlign w:val="center"/>
          </w:tcPr>
          <w:p w14:paraId="4051E0CD">
            <w:pPr>
              <w:overflowPunct w:val="0"/>
              <w:spacing w:line="240" w:lineRule="auto"/>
              <w:ind w:firstLine="0" w:firstLineChars="0"/>
              <w:jc w:val="center"/>
              <w:textAlignment w:val="baseline"/>
              <w:rPr>
                <w:b/>
                <w:color w:val="auto"/>
                <w:kern w:val="24"/>
                <w:sz w:val="21"/>
                <w:szCs w:val="21"/>
              </w:rPr>
            </w:pPr>
            <w:r>
              <w:rPr>
                <w:b/>
                <w:color w:val="auto"/>
                <w:kern w:val="24"/>
                <w:sz w:val="21"/>
                <w:szCs w:val="21"/>
              </w:rPr>
              <w:t>危险部位</w:t>
            </w:r>
          </w:p>
        </w:tc>
        <w:tc>
          <w:tcPr>
            <w:tcW w:w="684" w:type="pct"/>
            <w:vAlign w:val="center"/>
          </w:tcPr>
          <w:p w14:paraId="79A5812B">
            <w:pPr>
              <w:overflowPunct w:val="0"/>
              <w:spacing w:line="240" w:lineRule="auto"/>
              <w:ind w:firstLine="0" w:firstLineChars="0"/>
              <w:jc w:val="center"/>
              <w:textAlignment w:val="baseline"/>
              <w:rPr>
                <w:b/>
                <w:color w:val="auto"/>
                <w:kern w:val="24"/>
                <w:sz w:val="21"/>
                <w:szCs w:val="21"/>
              </w:rPr>
            </w:pPr>
            <w:r>
              <w:rPr>
                <w:b/>
                <w:color w:val="auto"/>
                <w:kern w:val="24"/>
                <w:sz w:val="21"/>
                <w:szCs w:val="21"/>
              </w:rPr>
              <w:t>主要危险物料</w:t>
            </w:r>
          </w:p>
        </w:tc>
        <w:tc>
          <w:tcPr>
            <w:tcW w:w="849" w:type="pct"/>
            <w:vAlign w:val="center"/>
          </w:tcPr>
          <w:p w14:paraId="0DDE6CE2">
            <w:pPr>
              <w:overflowPunct w:val="0"/>
              <w:spacing w:line="240" w:lineRule="auto"/>
              <w:ind w:firstLine="0" w:firstLineChars="0"/>
              <w:jc w:val="center"/>
              <w:textAlignment w:val="baseline"/>
              <w:rPr>
                <w:b/>
                <w:color w:val="auto"/>
                <w:kern w:val="24"/>
                <w:sz w:val="21"/>
                <w:szCs w:val="21"/>
              </w:rPr>
            </w:pPr>
            <w:r>
              <w:rPr>
                <w:b/>
                <w:color w:val="auto"/>
                <w:kern w:val="24"/>
                <w:sz w:val="21"/>
                <w:szCs w:val="21"/>
              </w:rPr>
              <w:t>事故源项</w:t>
            </w:r>
          </w:p>
        </w:tc>
        <w:tc>
          <w:tcPr>
            <w:tcW w:w="740" w:type="pct"/>
            <w:vAlign w:val="center"/>
          </w:tcPr>
          <w:p w14:paraId="6CB36130">
            <w:pPr>
              <w:spacing w:line="240" w:lineRule="auto"/>
              <w:ind w:firstLine="0" w:firstLineChars="0"/>
              <w:jc w:val="center"/>
              <w:rPr>
                <w:b/>
                <w:color w:val="auto"/>
                <w:kern w:val="0"/>
                <w:sz w:val="21"/>
                <w:szCs w:val="21"/>
              </w:rPr>
            </w:pPr>
            <w:r>
              <w:rPr>
                <w:b/>
                <w:color w:val="auto"/>
                <w:kern w:val="0"/>
                <w:sz w:val="21"/>
                <w:szCs w:val="21"/>
              </w:rPr>
              <w:t>统计概率</w:t>
            </w:r>
          </w:p>
        </w:tc>
      </w:tr>
      <w:tr w14:paraId="7BA19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Align w:val="center"/>
          </w:tcPr>
          <w:p w14:paraId="213E1841">
            <w:pPr>
              <w:overflowPunct w:val="0"/>
              <w:spacing w:line="240" w:lineRule="auto"/>
              <w:ind w:firstLine="0" w:firstLineChars="0"/>
              <w:jc w:val="center"/>
              <w:textAlignment w:val="baseline"/>
              <w:rPr>
                <w:color w:val="auto"/>
                <w:kern w:val="24"/>
                <w:sz w:val="21"/>
                <w:szCs w:val="21"/>
              </w:rPr>
            </w:pPr>
            <w:r>
              <w:rPr>
                <w:color w:val="auto"/>
                <w:kern w:val="24"/>
                <w:sz w:val="21"/>
                <w:szCs w:val="21"/>
              </w:rPr>
              <w:t>1</w:t>
            </w:r>
          </w:p>
        </w:tc>
        <w:tc>
          <w:tcPr>
            <w:tcW w:w="1331" w:type="pct"/>
            <w:vAlign w:val="center"/>
          </w:tcPr>
          <w:p w14:paraId="1F4FE445">
            <w:pPr>
              <w:overflowPunct w:val="0"/>
              <w:spacing w:line="240" w:lineRule="auto"/>
              <w:ind w:firstLine="0" w:firstLineChars="0"/>
              <w:jc w:val="center"/>
              <w:textAlignment w:val="baseline"/>
              <w:rPr>
                <w:color w:val="auto"/>
                <w:kern w:val="24"/>
                <w:sz w:val="21"/>
                <w:szCs w:val="21"/>
              </w:rPr>
            </w:pPr>
            <w:r>
              <w:rPr>
                <w:color w:val="auto"/>
                <w:kern w:val="24"/>
                <w:sz w:val="21"/>
                <w:szCs w:val="21"/>
              </w:rPr>
              <w:t>贮存系统有害物质泄漏</w:t>
            </w:r>
          </w:p>
        </w:tc>
        <w:tc>
          <w:tcPr>
            <w:tcW w:w="1097" w:type="pct"/>
            <w:vAlign w:val="center"/>
          </w:tcPr>
          <w:p w14:paraId="41408007">
            <w:pPr>
              <w:widowControl/>
              <w:spacing w:line="240" w:lineRule="auto"/>
              <w:ind w:firstLine="0" w:firstLineChars="0"/>
              <w:jc w:val="center"/>
              <w:rPr>
                <w:color w:val="auto"/>
                <w:kern w:val="0"/>
                <w:sz w:val="21"/>
                <w:szCs w:val="21"/>
              </w:rPr>
            </w:pPr>
            <w:r>
              <w:rPr>
                <w:rFonts w:hint="eastAsia"/>
                <w:color w:val="auto"/>
                <w:kern w:val="0"/>
                <w:sz w:val="21"/>
                <w:szCs w:val="21"/>
              </w:rPr>
              <w:t>氨水</w:t>
            </w:r>
            <w:r>
              <w:rPr>
                <w:color w:val="auto"/>
                <w:kern w:val="0"/>
                <w:sz w:val="21"/>
                <w:szCs w:val="21"/>
              </w:rPr>
              <w:t>储罐</w:t>
            </w:r>
          </w:p>
        </w:tc>
        <w:tc>
          <w:tcPr>
            <w:tcW w:w="684" w:type="pct"/>
            <w:vAlign w:val="center"/>
          </w:tcPr>
          <w:p w14:paraId="5997B1E4">
            <w:pPr>
              <w:widowControl/>
              <w:spacing w:line="240" w:lineRule="auto"/>
              <w:ind w:firstLine="0" w:firstLineChars="0"/>
              <w:jc w:val="center"/>
              <w:rPr>
                <w:color w:val="auto"/>
                <w:kern w:val="0"/>
                <w:sz w:val="21"/>
                <w:szCs w:val="21"/>
              </w:rPr>
            </w:pPr>
            <w:r>
              <w:rPr>
                <w:color w:val="auto"/>
                <w:sz w:val="21"/>
                <w:szCs w:val="21"/>
              </w:rPr>
              <w:t>氨</w:t>
            </w:r>
          </w:p>
        </w:tc>
        <w:tc>
          <w:tcPr>
            <w:tcW w:w="849" w:type="pct"/>
            <w:vAlign w:val="center"/>
          </w:tcPr>
          <w:p w14:paraId="5AAEB30A">
            <w:pPr>
              <w:overflowPunct w:val="0"/>
              <w:spacing w:line="240" w:lineRule="auto"/>
              <w:ind w:firstLine="0" w:firstLineChars="0"/>
              <w:jc w:val="center"/>
              <w:textAlignment w:val="baseline"/>
              <w:rPr>
                <w:color w:val="auto"/>
                <w:kern w:val="24"/>
                <w:sz w:val="21"/>
                <w:szCs w:val="21"/>
              </w:rPr>
            </w:pPr>
            <w:r>
              <w:rPr>
                <w:color w:val="auto"/>
                <w:kern w:val="24"/>
                <w:sz w:val="21"/>
                <w:szCs w:val="21"/>
              </w:rPr>
              <w:t>泄漏孔径10mm</w:t>
            </w:r>
          </w:p>
        </w:tc>
        <w:tc>
          <w:tcPr>
            <w:tcW w:w="740" w:type="pct"/>
            <w:vAlign w:val="center"/>
          </w:tcPr>
          <w:p w14:paraId="5E3D8F4C">
            <w:pPr>
              <w:overflowPunct w:val="0"/>
              <w:spacing w:line="240" w:lineRule="auto"/>
              <w:ind w:firstLine="0" w:firstLineChars="0"/>
              <w:jc w:val="center"/>
              <w:textAlignment w:val="baseline"/>
              <w:rPr>
                <w:color w:val="auto"/>
                <w:kern w:val="24"/>
                <w:sz w:val="21"/>
                <w:szCs w:val="21"/>
              </w:rPr>
            </w:pPr>
            <w:r>
              <w:rPr>
                <w:color w:val="auto"/>
                <w:kern w:val="24"/>
                <w:sz w:val="21"/>
                <w:szCs w:val="21"/>
              </w:rPr>
              <w:t>1.0×10</w:t>
            </w:r>
            <w:r>
              <w:rPr>
                <w:color w:val="auto"/>
                <w:kern w:val="24"/>
                <w:sz w:val="21"/>
                <w:szCs w:val="21"/>
                <w:vertAlign w:val="superscript"/>
              </w:rPr>
              <w:t>-4</w:t>
            </w:r>
            <w:r>
              <w:rPr>
                <w:color w:val="auto"/>
                <w:kern w:val="24"/>
                <w:sz w:val="21"/>
                <w:szCs w:val="21"/>
              </w:rPr>
              <w:t>/a</w:t>
            </w:r>
          </w:p>
        </w:tc>
      </w:tr>
      <w:tr w14:paraId="08DF8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Align w:val="center"/>
          </w:tcPr>
          <w:p w14:paraId="53DF384E">
            <w:pPr>
              <w:overflowPunct w:val="0"/>
              <w:spacing w:line="240" w:lineRule="auto"/>
              <w:ind w:firstLine="0" w:firstLineChars="0"/>
              <w:jc w:val="center"/>
              <w:textAlignment w:val="baseline"/>
              <w:rPr>
                <w:color w:val="auto"/>
                <w:kern w:val="24"/>
                <w:sz w:val="21"/>
                <w:szCs w:val="21"/>
              </w:rPr>
            </w:pPr>
            <w:r>
              <w:rPr>
                <w:color w:val="auto"/>
                <w:kern w:val="24"/>
                <w:sz w:val="21"/>
                <w:szCs w:val="21"/>
              </w:rPr>
              <w:t>2</w:t>
            </w:r>
          </w:p>
        </w:tc>
        <w:tc>
          <w:tcPr>
            <w:tcW w:w="1331" w:type="pct"/>
            <w:vAlign w:val="center"/>
          </w:tcPr>
          <w:p w14:paraId="43DC098F">
            <w:pPr>
              <w:overflowPunct w:val="0"/>
              <w:spacing w:line="240" w:lineRule="auto"/>
              <w:ind w:firstLine="0" w:firstLineChars="0"/>
              <w:jc w:val="center"/>
              <w:textAlignment w:val="baseline"/>
              <w:rPr>
                <w:color w:val="auto"/>
                <w:kern w:val="24"/>
                <w:sz w:val="21"/>
                <w:szCs w:val="21"/>
              </w:rPr>
            </w:pPr>
            <w:r>
              <w:rPr>
                <w:rFonts w:hint="eastAsia"/>
                <w:color w:val="auto"/>
                <w:kern w:val="24"/>
                <w:sz w:val="21"/>
                <w:szCs w:val="21"/>
              </w:rPr>
              <w:t>工艺系统有害物质泄漏</w:t>
            </w:r>
          </w:p>
        </w:tc>
        <w:tc>
          <w:tcPr>
            <w:tcW w:w="1097" w:type="pct"/>
            <w:vAlign w:val="center"/>
          </w:tcPr>
          <w:p w14:paraId="5528EF08">
            <w:pPr>
              <w:widowControl/>
              <w:spacing w:line="240" w:lineRule="auto"/>
              <w:ind w:firstLine="0" w:firstLineChars="0"/>
              <w:jc w:val="center"/>
              <w:rPr>
                <w:color w:val="auto"/>
                <w:kern w:val="0"/>
                <w:sz w:val="21"/>
                <w:szCs w:val="21"/>
              </w:rPr>
            </w:pPr>
            <w:r>
              <w:rPr>
                <w:rFonts w:hint="eastAsia"/>
                <w:color w:val="auto"/>
                <w:sz w:val="21"/>
                <w:szCs w:val="21"/>
              </w:rPr>
              <w:t>焚硫炉及SO</w:t>
            </w:r>
            <w:r>
              <w:rPr>
                <w:rFonts w:hint="eastAsia"/>
                <w:color w:val="auto"/>
                <w:sz w:val="21"/>
                <w:szCs w:val="21"/>
                <w:vertAlign w:val="subscript"/>
              </w:rPr>
              <w:t>2</w:t>
            </w:r>
            <w:r>
              <w:rPr>
                <w:rFonts w:hint="eastAsia"/>
                <w:color w:val="auto"/>
                <w:sz w:val="21"/>
                <w:szCs w:val="21"/>
              </w:rPr>
              <w:t>输送管线</w:t>
            </w:r>
          </w:p>
        </w:tc>
        <w:tc>
          <w:tcPr>
            <w:tcW w:w="684" w:type="pct"/>
            <w:vAlign w:val="center"/>
          </w:tcPr>
          <w:p w14:paraId="21E68F86">
            <w:pPr>
              <w:widowControl/>
              <w:spacing w:line="240" w:lineRule="auto"/>
              <w:ind w:firstLine="0" w:firstLineChars="0"/>
              <w:jc w:val="center"/>
              <w:rPr>
                <w:color w:val="auto"/>
                <w:kern w:val="0"/>
                <w:sz w:val="21"/>
                <w:szCs w:val="21"/>
              </w:rPr>
            </w:pPr>
            <w:r>
              <w:rPr>
                <w:rFonts w:hint="eastAsia"/>
                <w:color w:val="auto"/>
                <w:sz w:val="21"/>
                <w:szCs w:val="21"/>
              </w:rPr>
              <w:t>硫磺、SO</w:t>
            </w:r>
            <w:r>
              <w:rPr>
                <w:rFonts w:hint="eastAsia"/>
                <w:color w:val="auto"/>
                <w:sz w:val="21"/>
                <w:szCs w:val="21"/>
                <w:vertAlign w:val="subscript"/>
              </w:rPr>
              <w:t>2</w:t>
            </w:r>
          </w:p>
        </w:tc>
        <w:tc>
          <w:tcPr>
            <w:tcW w:w="849" w:type="pct"/>
            <w:vAlign w:val="center"/>
          </w:tcPr>
          <w:p w14:paraId="02D77FF8">
            <w:pPr>
              <w:overflowPunct w:val="0"/>
              <w:spacing w:line="240" w:lineRule="auto"/>
              <w:ind w:firstLine="0" w:firstLineChars="0"/>
              <w:jc w:val="center"/>
              <w:textAlignment w:val="baseline"/>
              <w:rPr>
                <w:color w:val="auto"/>
                <w:kern w:val="0"/>
                <w:sz w:val="21"/>
                <w:szCs w:val="21"/>
              </w:rPr>
            </w:pPr>
            <w:r>
              <w:rPr>
                <w:color w:val="auto"/>
                <w:kern w:val="0"/>
                <w:sz w:val="21"/>
                <w:szCs w:val="21"/>
              </w:rPr>
              <w:t>泄漏孔径10mm</w:t>
            </w:r>
          </w:p>
        </w:tc>
        <w:tc>
          <w:tcPr>
            <w:tcW w:w="740" w:type="pct"/>
            <w:vAlign w:val="center"/>
          </w:tcPr>
          <w:p w14:paraId="40FAB597">
            <w:pPr>
              <w:overflowPunct w:val="0"/>
              <w:spacing w:line="240" w:lineRule="auto"/>
              <w:ind w:firstLine="0" w:firstLineChars="0"/>
              <w:jc w:val="center"/>
              <w:textAlignment w:val="baseline"/>
              <w:rPr>
                <w:color w:val="auto"/>
                <w:kern w:val="0"/>
                <w:sz w:val="21"/>
                <w:szCs w:val="21"/>
              </w:rPr>
            </w:pPr>
            <w:r>
              <w:rPr>
                <w:rFonts w:hint="eastAsia"/>
                <w:color w:val="auto"/>
                <w:kern w:val="0"/>
                <w:sz w:val="21"/>
                <w:szCs w:val="21"/>
              </w:rPr>
              <w:t>2</w:t>
            </w:r>
            <w:r>
              <w:rPr>
                <w:color w:val="auto"/>
                <w:kern w:val="0"/>
                <w:sz w:val="21"/>
                <w:szCs w:val="21"/>
              </w:rPr>
              <w:t>.0×10</w:t>
            </w:r>
            <w:r>
              <w:rPr>
                <w:color w:val="auto"/>
                <w:kern w:val="0"/>
                <w:sz w:val="21"/>
                <w:szCs w:val="21"/>
                <w:vertAlign w:val="superscript"/>
              </w:rPr>
              <w:t>-</w:t>
            </w:r>
            <w:r>
              <w:rPr>
                <w:rFonts w:hint="eastAsia"/>
                <w:color w:val="auto"/>
                <w:kern w:val="0"/>
                <w:sz w:val="21"/>
                <w:szCs w:val="21"/>
                <w:vertAlign w:val="superscript"/>
              </w:rPr>
              <w:t>6</w:t>
            </w:r>
            <w:r>
              <w:rPr>
                <w:color w:val="auto"/>
                <w:kern w:val="0"/>
                <w:sz w:val="21"/>
                <w:szCs w:val="21"/>
              </w:rPr>
              <w:t>/a</w:t>
            </w:r>
          </w:p>
        </w:tc>
      </w:tr>
    </w:tbl>
    <w:p w14:paraId="04EF97D9">
      <w:pPr>
        <w:pStyle w:val="3"/>
        <w:spacing w:before="312"/>
        <w:rPr>
          <w:color w:val="auto"/>
        </w:rPr>
      </w:pPr>
      <w:bookmarkStart w:id="162" w:name="_Toc16274"/>
      <w:bookmarkStart w:id="163" w:name="_Toc966"/>
      <w:bookmarkStart w:id="164" w:name="_Toc24815"/>
      <w:r>
        <w:rPr>
          <w:rFonts w:hint="eastAsia"/>
          <w:color w:val="auto"/>
        </w:rPr>
        <w:t>4.8</w:t>
      </w:r>
      <w:r>
        <w:rPr>
          <w:color w:val="auto"/>
        </w:rPr>
        <w:t>清洁生产水平分析</w:t>
      </w:r>
      <w:bookmarkEnd w:id="162"/>
      <w:bookmarkEnd w:id="163"/>
      <w:bookmarkEnd w:id="164"/>
    </w:p>
    <w:p w14:paraId="5E706DA4">
      <w:pPr>
        <w:ind w:firstLine="480"/>
        <w:rPr>
          <w:color w:val="auto"/>
        </w:rPr>
      </w:pPr>
      <w:r>
        <w:rPr>
          <w:rFonts w:hint="eastAsia"/>
          <w:color w:val="auto"/>
        </w:rPr>
        <w:t>拟建项目属于无机盐制造行业，所采用的工艺技术均为启东亚太自主研发的成熟技术，具有良好的工业化应用基础。其中，亚硫酸氢铵生产线已稳定运行多年，本次拟建的亚硫酸钾/钠产品，依托现有亚硫酸氢铵生产工艺平台进行技术改进，工艺路线与原有装置基本一致，差异主要体现在吸收液种类及工艺控制参数上；硫代硫酸盐系列产品为亚硫酸盐的衍生产品，亚硫酸铵生产为简单中和反应；亚硫酸钾/钠的固体浓缩结晶工艺，与企业现有硫代硫酸钠固体生产工艺基本一致，整体技术成熟、工艺路线简单可控。此外，拟建多项核心技术已获得国家专利授权，具体详见下表。</w:t>
      </w:r>
    </w:p>
    <w:p w14:paraId="1C956F5F">
      <w:pPr>
        <w:ind w:firstLine="480"/>
        <w:rPr>
          <w:color w:val="auto"/>
        </w:rPr>
      </w:pPr>
      <w:r>
        <w:rPr>
          <w:rFonts w:hint="eastAsia"/>
          <w:color w:val="auto"/>
        </w:rPr>
        <w:t>本章将重点从工艺技术先进性、设备与节能水平、清洁生产指标、安全环保措施等方面，对拟建的清洁生产水平进行系统分析与评价</w:t>
      </w:r>
      <w:r>
        <w:rPr>
          <w:color w:val="auto"/>
        </w:rPr>
        <w:t>。</w:t>
      </w:r>
    </w:p>
    <w:p w14:paraId="3CD0C268">
      <w:pPr>
        <w:spacing w:line="240" w:lineRule="auto"/>
        <w:ind w:firstLine="0" w:firstLineChars="0"/>
        <w:jc w:val="center"/>
        <w:rPr>
          <w:color w:val="auto"/>
        </w:rPr>
      </w:pPr>
      <w:r>
        <w:rPr>
          <w:b/>
          <w:bCs/>
          <w:color w:val="auto"/>
          <w:kern w:val="28"/>
          <w:szCs w:val="32"/>
        </w:rPr>
        <w:t>表</w:t>
      </w:r>
      <w:r>
        <w:rPr>
          <w:rFonts w:hint="eastAsia"/>
          <w:b/>
          <w:bCs/>
          <w:color w:val="auto"/>
          <w:kern w:val="28"/>
          <w:szCs w:val="32"/>
        </w:rPr>
        <w:t>4</w:t>
      </w:r>
      <w:r>
        <w:rPr>
          <w:b/>
          <w:bCs/>
          <w:color w:val="auto"/>
          <w:kern w:val="28"/>
          <w:szCs w:val="32"/>
        </w:rPr>
        <w:t>.</w:t>
      </w:r>
      <w:r>
        <w:rPr>
          <w:rFonts w:hint="eastAsia"/>
          <w:b/>
          <w:bCs/>
          <w:color w:val="auto"/>
          <w:kern w:val="28"/>
          <w:szCs w:val="32"/>
        </w:rPr>
        <w:t>8-</w:t>
      </w:r>
      <w:r>
        <w:rPr>
          <w:b/>
          <w:bCs/>
          <w:color w:val="auto"/>
          <w:kern w:val="28"/>
          <w:szCs w:val="32"/>
        </w:rPr>
        <w:t>1</w:t>
      </w:r>
      <w:r>
        <w:rPr>
          <w:rFonts w:hint="eastAsia"/>
          <w:b/>
          <w:bCs/>
          <w:color w:val="auto"/>
          <w:kern w:val="28"/>
          <w:szCs w:val="32"/>
        </w:rPr>
        <w:t xml:space="preserve">  企业专利汇总</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6"/>
        <w:gridCol w:w="5899"/>
        <w:gridCol w:w="1628"/>
        <w:gridCol w:w="1687"/>
      </w:tblGrid>
      <w:tr w14:paraId="379EF7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77F9DD56">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序号</w:t>
            </w:r>
          </w:p>
        </w:tc>
        <w:tc>
          <w:tcPr>
            <w:tcW w:w="3190" w:type="pct"/>
            <w:tcBorders>
              <w:tl2br w:val="nil"/>
              <w:tr2bl w:val="nil"/>
            </w:tcBorders>
            <w:noWrap/>
            <w:vAlign w:val="center"/>
          </w:tcPr>
          <w:p w14:paraId="1CBE08A5">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专利名称</w:t>
            </w:r>
          </w:p>
        </w:tc>
        <w:tc>
          <w:tcPr>
            <w:tcW w:w="938" w:type="pct"/>
            <w:tcBorders>
              <w:tl2br w:val="nil"/>
              <w:tr2bl w:val="nil"/>
            </w:tcBorders>
            <w:noWrap/>
            <w:vAlign w:val="center"/>
          </w:tcPr>
          <w:p w14:paraId="75D5D661">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专利号</w:t>
            </w:r>
          </w:p>
        </w:tc>
        <w:tc>
          <w:tcPr>
            <w:tcW w:w="573" w:type="pct"/>
            <w:tcBorders>
              <w:tl2br w:val="nil"/>
              <w:tr2bl w:val="nil"/>
            </w:tcBorders>
            <w:noWrap/>
            <w:vAlign w:val="center"/>
          </w:tcPr>
          <w:p w14:paraId="6E48ABB0">
            <w:pPr>
              <w:widowControl/>
              <w:snapToGrid/>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与拟建是否相关</w:t>
            </w:r>
          </w:p>
        </w:tc>
      </w:tr>
      <w:tr w14:paraId="01B55D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13F12BC5">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w:t>
            </w:r>
          </w:p>
        </w:tc>
        <w:tc>
          <w:tcPr>
            <w:tcW w:w="3190" w:type="pct"/>
            <w:tcBorders>
              <w:tl2br w:val="nil"/>
              <w:tr2bl w:val="nil"/>
            </w:tcBorders>
            <w:noWrap/>
            <w:vAlign w:val="center"/>
          </w:tcPr>
          <w:p w14:paraId="299788E7">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一种盐酸苯肼重氮化反应安全仪表系统</w:t>
            </w:r>
          </w:p>
        </w:tc>
        <w:tc>
          <w:tcPr>
            <w:tcW w:w="938" w:type="pct"/>
            <w:tcBorders>
              <w:tl2br w:val="nil"/>
              <w:tr2bl w:val="nil"/>
            </w:tcBorders>
            <w:noWrap/>
            <w:vAlign w:val="center"/>
          </w:tcPr>
          <w:p w14:paraId="433BE32A">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2023226921163</w:t>
            </w:r>
          </w:p>
        </w:tc>
        <w:tc>
          <w:tcPr>
            <w:tcW w:w="573" w:type="pct"/>
            <w:tcBorders>
              <w:tl2br w:val="nil"/>
              <w:tr2bl w:val="nil"/>
            </w:tcBorders>
            <w:noWrap/>
            <w:vAlign w:val="center"/>
          </w:tcPr>
          <w:p w14:paraId="2BAEFA43">
            <w:pPr>
              <w:widowControl/>
              <w:snapToGrid/>
              <w:spacing w:line="240" w:lineRule="auto"/>
              <w:ind w:firstLine="0" w:firstLineChars="0"/>
              <w:jc w:val="center"/>
              <w:textAlignment w:val="center"/>
              <w:rPr>
                <w:rFonts w:cs="宋体"/>
                <w:color w:val="auto"/>
                <w:kern w:val="0"/>
                <w:sz w:val="21"/>
                <w:szCs w:val="22"/>
                <w:lang w:bidi="ar"/>
              </w:rPr>
            </w:pPr>
          </w:p>
        </w:tc>
      </w:tr>
      <w:tr w14:paraId="0B9674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7793C6C9">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w:t>
            </w:r>
          </w:p>
        </w:tc>
        <w:tc>
          <w:tcPr>
            <w:tcW w:w="3190" w:type="pct"/>
            <w:tcBorders>
              <w:tl2br w:val="nil"/>
              <w:tr2bl w:val="nil"/>
            </w:tcBorders>
            <w:noWrap/>
            <w:vAlign w:val="center"/>
          </w:tcPr>
          <w:p w14:paraId="0B9E2B47">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一种安全节能型的盐酸苯肼生产制冷系统</w:t>
            </w:r>
          </w:p>
        </w:tc>
        <w:tc>
          <w:tcPr>
            <w:tcW w:w="938" w:type="pct"/>
            <w:tcBorders>
              <w:tl2br w:val="nil"/>
              <w:tr2bl w:val="nil"/>
            </w:tcBorders>
            <w:vAlign w:val="center"/>
          </w:tcPr>
          <w:p w14:paraId="00259D17">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2023226660055</w:t>
            </w:r>
          </w:p>
        </w:tc>
        <w:tc>
          <w:tcPr>
            <w:tcW w:w="573" w:type="pct"/>
            <w:tcBorders>
              <w:tl2br w:val="nil"/>
              <w:tr2bl w:val="nil"/>
            </w:tcBorders>
            <w:vAlign w:val="center"/>
          </w:tcPr>
          <w:p w14:paraId="6629941B">
            <w:pPr>
              <w:widowControl/>
              <w:snapToGrid/>
              <w:spacing w:line="240" w:lineRule="auto"/>
              <w:ind w:firstLine="0" w:firstLineChars="0"/>
              <w:jc w:val="center"/>
              <w:textAlignment w:val="center"/>
              <w:rPr>
                <w:rFonts w:cs="宋体"/>
                <w:color w:val="auto"/>
                <w:kern w:val="0"/>
                <w:sz w:val="21"/>
                <w:szCs w:val="22"/>
                <w:lang w:bidi="ar"/>
              </w:rPr>
            </w:pPr>
          </w:p>
        </w:tc>
      </w:tr>
      <w:tr w14:paraId="2183BA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0488CB29">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3</w:t>
            </w:r>
          </w:p>
        </w:tc>
        <w:tc>
          <w:tcPr>
            <w:tcW w:w="3190" w:type="pct"/>
            <w:tcBorders>
              <w:tl2br w:val="nil"/>
              <w:tr2bl w:val="nil"/>
            </w:tcBorders>
            <w:noWrap/>
            <w:vAlign w:val="center"/>
          </w:tcPr>
          <w:p w14:paraId="176C12B0">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一种苯肼反应液自动分层系统</w:t>
            </w:r>
          </w:p>
        </w:tc>
        <w:tc>
          <w:tcPr>
            <w:tcW w:w="938" w:type="pct"/>
            <w:tcBorders>
              <w:tl2br w:val="nil"/>
              <w:tr2bl w:val="nil"/>
            </w:tcBorders>
            <w:noWrap/>
            <w:vAlign w:val="center"/>
          </w:tcPr>
          <w:p w14:paraId="4428E27A">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2022221021703</w:t>
            </w:r>
          </w:p>
        </w:tc>
        <w:tc>
          <w:tcPr>
            <w:tcW w:w="573" w:type="pct"/>
            <w:tcBorders>
              <w:tl2br w:val="nil"/>
              <w:tr2bl w:val="nil"/>
            </w:tcBorders>
            <w:noWrap/>
            <w:vAlign w:val="center"/>
          </w:tcPr>
          <w:p w14:paraId="18189351">
            <w:pPr>
              <w:widowControl/>
              <w:snapToGrid/>
              <w:spacing w:line="240" w:lineRule="auto"/>
              <w:ind w:firstLine="0" w:firstLineChars="0"/>
              <w:jc w:val="center"/>
              <w:textAlignment w:val="center"/>
              <w:rPr>
                <w:rFonts w:cs="宋体"/>
                <w:color w:val="auto"/>
                <w:kern w:val="0"/>
                <w:sz w:val="21"/>
                <w:szCs w:val="22"/>
                <w:lang w:bidi="ar"/>
              </w:rPr>
            </w:pPr>
          </w:p>
        </w:tc>
      </w:tr>
      <w:tr w14:paraId="27DC75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4AD44969">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4</w:t>
            </w:r>
          </w:p>
        </w:tc>
        <w:tc>
          <w:tcPr>
            <w:tcW w:w="3190" w:type="pct"/>
            <w:tcBorders>
              <w:tl2br w:val="nil"/>
              <w:tr2bl w:val="nil"/>
            </w:tcBorders>
            <w:noWrap/>
            <w:vAlign w:val="center"/>
          </w:tcPr>
          <w:p w14:paraId="31247309">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一种亚硫酸盐溶液的提浓装置</w:t>
            </w:r>
          </w:p>
        </w:tc>
        <w:tc>
          <w:tcPr>
            <w:tcW w:w="938" w:type="pct"/>
            <w:tcBorders>
              <w:tl2br w:val="nil"/>
              <w:tr2bl w:val="nil"/>
            </w:tcBorders>
            <w:vAlign w:val="center"/>
          </w:tcPr>
          <w:p w14:paraId="640291C1">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2022220419111</w:t>
            </w:r>
          </w:p>
        </w:tc>
        <w:tc>
          <w:tcPr>
            <w:tcW w:w="573" w:type="pct"/>
            <w:tcBorders>
              <w:tl2br w:val="nil"/>
              <w:tr2bl w:val="nil"/>
            </w:tcBorders>
            <w:vAlign w:val="center"/>
          </w:tcPr>
          <w:p w14:paraId="322D918D">
            <w:pPr>
              <w:widowControl/>
              <w:snapToGrid/>
              <w:spacing w:line="240" w:lineRule="auto"/>
              <w:ind w:firstLine="0" w:firstLineChars="0"/>
              <w:jc w:val="center"/>
              <w:textAlignment w:val="center"/>
              <w:rPr>
                <w:rFonts w:cs="宋体"/>
                <w:color w:val="auto"/>
                <w:kern w:val="0"/>
                <w:sz w:val="21"/>
                <w:szCs w:val="22"/>
                <w:lang w:bidi="ar"/>
              </w:rPr>
            </w:pPr>
          </w:p>
        </w:tc>
      </w:tr>
      <w:tr w14:paraId="08B395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00952F13">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5</w:t>
            </w:r>
          </w:p>
        </w:tc>
        <w:tc>
          <w:tcPr>
            <w:tcW w:w="3190" w:type="pct"/>
            <w:tcBorders>
              <w:tl2br w:val="nil"/>
              <w:tr2bl w:val="nil"/>
            </w:tcBorders>
            <w:noWrap/>
            <w:vAlign w:val="center"/>
          </w:tcPr>
          <w:p w14:paraId="483E3CE5">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一种基于臭氧催化氧化技术处理盐酸苯肼废水的装置</w:t>
            </w:r>
          </w:p>
        </w:tc>
        <w:tc>
          <w:tcPr>
            <w:tcW w:w="938" w:type="pct"/>
            <w:tcBorders>
              <w:tl2br w:val="nil"/>
              <w:tr2bl w:val="nil"/>
            </w:tcBorders>
            <w:noWrap/>
            <w:vAlign w:val="center"/>
          </w:tcPr>
          <w:p w14:paraId="66805F28">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202221933103X</w:t>
            </w:r>
          </w:p>
        </w:tc>
        <w:tc>
          <w:tcPr>
            <w:tcW w:w="573" w:type="pct"/>
            <w:tcBorders>
              <w:tl2br w:val="nil"/>
              <w:tr2bl w:val="nil"/>
            </w:tcBorders>
            <w:noWrap/>
            <w:vAlign w:val="center"/>
          </w:tcPr>
          <w:p w14:paraId="2BF9ED8E">
            <w:pPr>
              <w:widowControl/>
              <w:snapToGrid/>
              <w:spacing w:line="240" w:lineRule="auto"/>
              <w:ind w:firstLine="0" w:firstLineChars="0"/>
              <w:jc w:val="center"/>
              <w:textAlignment w:val="center"/>
              <w:rPr>
                <w:rFonts w:cs="宋体"/>
                <w:color w:val="auto"/>
                <w:kern w:val="0"/>
                <w:sz w:val="21"/>
                <w:szCs w:val="22"/>
                <w:lang w:bidi="ar"/>
              </w:rPr>
            </w:pPr>
          </w:p>
        </w:tc>
      </w:tr>
      <w:tr w14:paraId="30084C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316E1AA1">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6</w:t>
            </w:r>
          </w:p>
        </w:tc>
        <w:tc>
          <w:tcPr>
            <w:tcW w:w="3190" w:type="pct"/>
            <w:tcBorders>
              <w:tl2br w:val="nil"/>
              <w:tr2bl w:val="nil"/>
            </w:tcBorders>
            <w:noWrap/>
            <w:vAlign w:val="center"/>
          </w:tcPr>
          <w:p w14:paraId="72E33B61">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一种依达拉奉母液回收设备</w:t>
            </w:r>
          </w:p>
        </w:tc>
        <w:tc>
          <w:tcPr>
            <w:tcW w:w="938" w:type="pct"/>
            <w:tcBorders>
              <w:tl2br w:val="nil"/>
              <w:tr2bl w:val="nil"/>
            </w:tcBorders>
            <w:vAlign w:val="center"/>
          </w:tcPr>
          <w:p w14:paraId="253C874F">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2022211226923</w:t>
            </w:r>
          </w:p>
        </w:tc>
        <w:tc>
          <w:tcPr>
            <w:tcW w:w="573" w:type="pct"/>
            <w:tcBorders>
              <w:tl2br w:val="nil"/>
              <w:tr2bl w:val="nil"/>
            </w:tcBorders>
            <w:vAlign w:val="center"/>
          </w:tcPr>
          <w:p w14:paraId="47342B28">
            <w:pPr>
              <w:widowControl/>
              <w:snapToGrid/>
              <w:spacing w:line="240" w:lineRule="auto"/>
              <w:ind w:firstLine="0" w:firstLineChars="0"/>
              <w:jc w:val="center"/>
              <w:textAlignment w:val="center"/>
              <w:rPr>
                <w:rFonts w:cs="宋体"/>
                <w:color w:val="auto"/>
                <w:kern w:val="0"/>
                <w:sz w:val="21"/>
                <w:szCs w:val="22"/>
                <w:lang w:bidi="ar"/>
              </w:rPr>
            </w:pPr>
          </w:p>
        </w:tc>
      </w:tr>
      <w:tr w14:paraId="6BAC73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114E9D3B">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7</w:t>
            </w:r>
          </w:p>
        </w:tc>
        <w:tc>
          <w:tcPr>
            <w:tcW w:w="3190" w:type="pct"/>
            <w:tcBorders>
              <w:tl2br w:val="nil"/>
              <w:tr2bl w:val="nil"/>
            </w:tcBorders>
            <w:noWrap/>
            <w:vAlign w:val="center"/>
          </w:tcPr>
          <w:p w14:paraId="12098C1A">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一种药用亚硫酸氢钠溶液制备装置</w:t>
            </w:r>
          </w:p>
        </w:tc>
        <w:tc>
          <w:tcPr>
            <w:tcW w:w="938" w:type="pct"/>
            <w:tcBorders>
              <w:tl2br w:val="nil"/>
              <w:tr2bl w:val="nil"/>
            </w:tcBorders>
            <w:vAlign w:val="center"/>
          </w:tcPr>
          <w:p w14:paraId="7851E79D">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2022210766549</w:t>
            </w:r>
          </w:p>
        </w:tc>
        <w:tc>
          <w:tcPr>
            <w:tcW w:w="573" w:type="pct"/>
            <w:tcBorders>
              <w:tl2br w:val="nil"/>
              <w:tr2bl w:val="nil"/>
            </w:tcBorders>
            <w:vAlign w:val="center"/>
          </w:tcPr>
          <w:p w14:paraId="77A36270">
            <w:pPr>
              <w:widowControl/>
              <w:snapToGrid/>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是</w:t>
            </w:r>
          </w:p>
        </w:tc>
      </w:tr>
      <w:tr w14:paraId="5FFDC6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78AF072B">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8</w:t>
            </w:r>
          </w:p>
        </w:tc>
        <w:tc>
          <w:tcPr>
            <w:tcW w:w="3190" w:type="pct"/>
            <w:tcBorders>
              <w:tl2br w:val="nil"/>
              <w:tr2bl w:val="nil"/>
            </w:tcBorders>
            <w:noWrap/>
            <w:vAlign w:val="center"/>
          </w:tcPr>
          <w:p w14:paraId="350C6FBF">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一种本质安全型盐酸苯肼自动化生产及废液处理系统</w:t>
            </w:r>
          </w:p>
        </w:tc>
        <w:tc>
          <w:tcPr>
            <w:tcW w:w="938" w:type="pct"/>
            <w:tcBorders>
              <w:tl2br w:val="nil"/>
              <w:tr2bl w:val="nil"/>
            </w:tcBorders>
            <w:noWrap/>
            <w:vAlign w:val="center"/>
          </w:tcPr>
          <w:p w14:paraId="10FB5803">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2022210291681</w:t>
            </w:r>
          </w:p>
        </w:tc>
        <w:tc>
          <w:tcPr>
            <w:tcW w:w="573" w:type="pct"/>
            <w:tcBorders>
              <w:tl2br w:val="nil"/>
              <w:tr2bl w:val="nil"/>
            </w:tcBorders>
            <w:noWrap/>
            <w:vAlign w:val="center"/>
          </w:tcPr>
          <w:p w14:paraId="7C37228C">
            <w:pPr>
              <w:widowControl/>
              <w:snapToGrid/>
              <w:spacing w:line="240" w:lineRule="auto"/>
              <w:ind w:firstLine="0" w:firstLineChars="0"/>
              <w:jc w:val="center"/>
              <w:textAlignment w:val="center"/>
              <w:rPr>
                <w:rFonts w:cs="宋体"/>
                <w:color w:val="auto"/>
                <w:kern w:val="0"/>
                <w:sz w:val="21"/>
                <w:szCs w:val="22"/>
                <w:lang w:bidi="ar"/>
              </w:rPr>
            </w:pPr>
          </w:p>
        </w:tc>
      </w:tr>
      <w:tr w14:paraId="25AB35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08F0B187">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9</w:t>
            </w:r>
          </w:p>
        </w:tc>
        <w:tc>
          <w:tcPr>
            <w:tcW w:w="3190" w:type="pct"/>
            <w:tcBorders>
              <w:tl2br w:val="nil"/>
              <w:tr2bl w:val="nil"/>
            </w:tcBorders>
            <w:noWrap/>
            <w:vAlign w:val="center"/>
          </w:tcPr>
          <w:p w14:paraId="3A540618">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一种亚硫酸钾生产中三级吸收设备</w:t>
            </w:r>
          </w:p>
        </w:tc>
        <w:tc>
          <w:tcPr>
            <w:tcW w:w="938" w:type="pct"/>
            <w:tcBorders>
              <w:tl2br w:val="nil"/>
              <w:tr2bl w:val="nil"/>
            </w:tcBorders>
            <w:noWrap/>
            <w:vAlign w:val="center"/>
          </w:tcPr>
          <w:p w14:paraId="071244E2">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2022209524801</w:t>
            </w:r>
          </w:p>
        </w:tc>
        <w:tc>
          <w:tcPr>
            <w:tcW w:w="573" w:type="pct"/>
            <w:tcBorders>
              <w:tl2br w:val="nil"/>
              <w:tr2bl w:val="nil"/>
            </w:tcBorders>
            <w:noWrap/>
            <w:vAlign w:val="center"/>
          </w:tcPr>
          <w:p w14:paraId="199B57F7">
            <w:pPr>
              <w:widowControl/>
              <w:snapToGrid/>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是</w:t>
            </w:r>
          </w:p>
        </w:tc>
      </w:tr>
      <w:tr w14:paraId="3B63EC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0381013F">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10</w:t>
            </w:r>
          </w:p>
        </w:tc>
        <w:tc>
          <w:tcPr>
            <w:tcW w:w="3190" w:type="pct"/>
            <w:tcBorders>
              <w:tl2br w:val="nil"/>
              <w:tr2bl w:val="nil"/>
            </w:tcBorders>
            <w:noWrap/>
            <w:vAlign w:val="center"/>
          </w:tcPr>
          <w:p w14:paraId="79326030">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一种原料药的精制设备</w:t>
            </w:r>
          </w:p>
        </w:tc>
        <w:tc>
          <w:tcPr>
            <w:tcW w:w="938" w:type="pct"/>
            <w:tcBorders>
              <w:tl2br w:val="nil"/>
              <w:tr2bl w:val="nil"/>
            </w:tcBorders>
            <w:noWrap/>
            <w:vAlign w:val="center"/>
          </w:tcPr>
          <w:p w14:paraId="53D2448B">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2022208877346</w:t>
            </w:r>
          </w:p>
        </w:tc>
        <w:tc>
          <w:tcPr>
            <w:tcW w:w="573" w:type="pct"/>
            <w:tcBorders>
              <w:tl2br w:val="nil"/>
              <w:tr2bl w:val="nil"/>
            </w:tcBorders>
            <w:noWrap/>
            <w:vAlign w:val="center"/>
          </w:tcPr>
          <w:p w14:paraId="2FEAB912">
            <w:pPr>
              <w:widowControl/>
              <w:snapToGrid/>
              <w:spacing w:line="240" w:lineRule="auto"/>
              <w:ind w:firstLine="0" w:firstLineChars="0"/>
              <w:jc w:val="center"/>
              <w:textAlignment w:val="center"/>
              <w:rPr>
                <w:rFonts w:cs="宋体"/>
                <w:color w:val="auto"/>
                <w:kern w:val="0"/>
                <w:sz w:val="21"/>
                <w:szCs w:val="22"/>
                <w:lang w:bidi="ar"/>
              </w:rPr>
            </w:pPr>
          </w:p>
        </w:tc>
      </w:tr>
      <w:tr w14:paraId="213139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3" w:hRule="atLeast"/>
        </w:trPr>
        <w:tc>
          <w:tcPr>
            <w:tcW w:w="296" w:type="pct"/>
            <w:tcBorders>
              <w:tl2br w:val="nil"/>
              <w:tr2bl w:val="nil"/>
            </w:tcBorders>
            <w:noWrap/>
            <w:vAlign w:val="center"/>
          </w:tcPr>
          <w:p w14:paraId="6791A488">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11</w:t>
            </w:r>
          </w:p>
        </w:tc>
        <w:tc>
          <w:tcPr>
            <w:tcW w:w="3190" w:type="pct"/>
            <w:tcBorders>
              <w:tl2br w:val="nil"/>
              <w:tr2bl w:val="nil"/>
            </w:tcBorders>
            <w:noWrap/>
            <w:vAlign w:val="center"/>
          </w:tcPr>
          <w:p w14:paraId="0374AFA9">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一种食品级亚硫酸氢钾的合成方法及设备</w:t>
            </w:r>
          </w:p>
        </w:tc>
        <w:tc>
          <w:tcPr>
            <w:tcW w:w="938" w:type="pct"/>
            <w:tcBorders>
              <w:tl2br w:val="nil"/>
              <w:tr2bl w:val="nil"/>
            </w:tcBorders>
            <w:vAlign w:val="center"/>
          </w:tcPr>
          <w:p w14:paraId="4BDCA6C4">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2021112865591</w:t>
            </w:r>
          </w:p>
        </w:tc>
        <w:tc>
          <w:tcPr>
            <w:tcW w:w="573" w:type="pct"/>
            <w:tcBorders>
              <w:tl2br w:val="nil"/>
              <w:tr2bl w:val="nil"/>
            </w:tcBorders>
            <w:vAlign w:val="center"/>
          </w:tcPr>
          <w:p w14:paraId="0903E450">
            <w:pPr>
              <w:widowControl/>
              <w:snapToGrid/>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是</w:t>
            </w:r>
          </w:p>
        </w:tc>
      </w:tr>
      <w:tr w14:paraId="259B55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2CA8D505">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12</w:t>
            </w:r>
          </w:p>
        </w:tc>
        <w:tc>
          <w:tcPr>
            <w:tcW w:w="3190" w:type="pct"/>
            <w:tcBorders>
              <w:tl2br w:val="nil"/>
              <w:tr2bl w:val="nil"/>
            </w:tcBorders>
            <w:noWrap/>
            <w:vAlign w:val="center"/>
          </w:tcPr>
          <w:p w14:paraId="4D187C3A">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一种用焚硫法生产亚硫酸氢铵的生产装置</w:t>
            </w:r>
          </w:p>
        </w:tc>
        <w:tc>
          <w:tcPr>
            <w:tcW w:w="938" w:type="pct"/>
            <w:tcBorders>
              <w:tl2br w:val="nil"/>
              <w:tr2bl w:val="nil"/>
            </w:tcBorders>
            <w:noWrap/>
            <w:vAlign w:val="center"/>
          </w:tcPr>
          <w:p w14:paraId="1AD7F108">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2019110741120</w:t>
            </w:r>
          </w:p>
        </w:tc>
        <w:tc>
          <w:tcPr>
            <w:tcW w:w="573" w:type="pct"/>
            <w:tcBorders>
              <w:tl2br w:val="nil"/>
              <w:tr2bl w:val="nil"/>
            </w:tcBorders>
            <w:noWrap/>
            <w:vAlign w:val="center"/>
          </w:tcPr>
          <w:p w14:paraId="5EE13A92">
            <w:pPr>
              <w:widowControl/>
              <w:snapToGrid/>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是</w:t>
            </w:r>
          </w:p>
        </w:tc>
      </w:tr>
      <w:tr w14:paraId="6E5F2E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72B41793">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13</w:t>
            </w:r>
          </w:p>
        </w:tc>
        <w:tc>
          <w:tcPr>
            <w:tcW w:w="3190" w:type="pct"/>
            <w:tcBorders>
              <w:tl2br w:val="nil"/>
              <w:tr2bl w:val="nil"/>
            </w:tcBorders>
            <w:noWrap/>
            <w:vAlign w:val="center"/>
          </w:tcPr>
          <w:p w14:paraId="1BABF834">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一种盐酸苯肼重氮化管式反应生产装置</w:t>
            </w:r>
          </w:p>
        </w:tc>
        <w:tc>
          <w:tcPr>
            <w:tcW w:w="938" w:type="pct"/>
            <w:tcBorders>
              <w:tl2br w:val="nil"/>
              <w:tr2bl w:val="nil"/>
            </w:tcBorders>
            <w:noWrap/>
            <w:vAlign w:val="center"/>
          </w:tcPr>
          <w:p w14:paraId="139CA8D7">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2019219047671</w:t>
            </w:r>
          </w:p>
        </w:tc>
        <w:tc>
          <w:tcPr>
            <w:tcW w:w="573" w:type="pct"/>
            <w:tcBorders>
              <w:tl2br w:val="nil"/>
              <w:tr2bl w:val="nil"/>
            </w:tcBorders>
            <w:noWrap/>
            <w:vAlign w:val="center"/>
          </w:tcPr>
          <w:p w14:paraId="0E46DDDF">
            <w:pPr>
              <w:widowControl/>
              <w:snapToGrid/>
              <w:spacing w:line="240" w:lineRule="auto"/>
              <w:ind w:firstLine="0" w:firstLineChars="0"/>
              <w:jc w:val="center"/>
              <w:textAlignment w:val="center"/>
              <w:rPr>
                <w:rFonts w:cs="宋体"/>
                <w:color w:val="auto"/>
                <w:kern w:val="0"/>
                <w:sz w:val="21"/>
                <w:szCs w:val="22"/>
                <w:lang w:bidi="ar"/>
              </w:rPr>
            </w:pPr>
          </w:p>
        </w:tc>
      </w:tr>
      <w:tr w14:paraId="06BB89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357EF445">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14</w:t>
            </w:r>
          </w:p>
        </w:tc>
        <w:tc>
          <w:tcPr>
            <w:tcW w:w="3190" w:type="pct"/>
            <w:tcBorders>
              <w:tl2br w:val="nil"/>
              <w:tr2bl w:val="nil"/>
            </w:tcBorders>
            <w:noWrap/>
            <w:vAlign w:val="center"/>
          </w:tcPr>
          <w:p w14:paraId="7C99AE0B">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一种盐酸苯肼还原工序的生产装置</w:t>
            </w:r>
          </w:p>
        </w:tc>
        <w:tc>
          <w:tcPr>
            <w:tcW w:w="938" w:type="pct"/>
            <w:tcBorders>
              <w:tl2br w:val="nil"/>
              <w:tr2bl w:val="nil"/>
            </w:tcBorders>
            <w:vAlign w:val="center"/>
          </w:tcPr>
          <w:p w14:paraId="24E11576">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2019219013853</w:t>
            </w:r>
          </w:p>
        </w:tc>
        <w:tc>
          <w:tcPr>
            <w:tcW w:w="573" w:type="pct"/>
            <w:tcBorders>
              <w:tl2br w:val="nil"/>
              <w:tr2bl w:val="nil"/>
            </w:tcBorders>
            <w:vAlign w:val="center"/>
          </w:tcPr>
          <w:p w14:paraId="5F7DB17D">
            <w:pPr>
              <w:widowControl/>
              <w:snapToGrid/>
              <w:spacing w:line="240" w:lineRule="auto"/>
              <w:ind w:firstLine="0" w:firstLineChars="0"/>
              <w:jc w:val="center"/>
              <w:textAlignment w:val="center"/>
              <w:rPr>
                <w:rFonts w:cs="宋体"/>
                <w:color w:val="auto"/>
                <w:kern w:val="0"/>
                <w:sz w:val="21"/>
                <w:szCs w:val="22"/>
                <w:lang w:bidi="ar"/>
              </w:rPr>
            </w:pPr>
          </w:p>
        </w:tc>
      </w:tr>
      <w:tr w14:paraId="666196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6C758D91">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15</w:t>
            </w:r>
          </w:p>
        </w:tc>
        <w:tc>
          <w:tcPr>
            <w:tcW w:w="3190" w:type="pct"/>
            <w:tcBorders>
              <w:tl2br w:val="nil"/>
              <w:tr2bl w:val="nil"/>
            </w:tcBorders>
            <w:noWrap/>
            <w:vAlign w:val="center"/>
          </w:tcPr>
          <w:p w14:paraId="1FD72B2C">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一种利用臭氧氧化加载嵌合工艺治理盐酸苯肼废水的装置</w:t>
            </w:r>
          </w:p>
        </w:tc>
        <w:tc>
          <w:tcPr>
            <w:tcW w:w="938" w:type="pct"/>
            <w:tcBorders>
              <w:tl2br w:val="nil"/>
              <w:tr2bl w:val="nil"/>
            </w:tcBorders>
            <w:noWrap/>
            <w:vAlign w:val="center"/>
          </w:tcPr>
          <w:p w14:paraId="1B10488C">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2019218968706</w:t>
            </w:r>
          </w:p>
        </w:tc>
        <w:tc>
          <w:tcPr>
            <w:tcW w:w="573" w:type="pct"/>
            <w:tcBorders>
              <w:tl2br w:val="nil"/>
              <w:tr2bl w:val="nil"/>
            </w:tcBorders>
            <w:noWrap/>
            <w:vAlign w:val="center"/>
          </w:tcPr>
          <w:p w14:paraId="08A2B99B">
            <w:pPr>
              <w:widowControl/>
              <w:snapToGrid/>
              <w:spacing w:line="240" w:lineRule="auto"/>
              <w:ind w:firstLine="0" w:firstLineChars="0"/>
              <w:jc w:val="center"/>
              <w:textAlignment w:val="center"/>
              <w:rPr>
                <w:rFonts w:cs="宋体"/>
                <w:color w:val="auto"/>
                <w:kern w:val="0"/>
                <w:sz w:val="21"/>
                <w:szCs w:val="22"/>
                <w:lang w:bidi="ar"/>
              </w:rPr>
            </w:pPr>
          </w:p>
        </w:tc>
      </w:tr>
      <w:tr w14:paraId="12EEB9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2018224F">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16</w:t>
            </w:r>
          </w:p>
        </w:tc>
        <w:tc>
          <w:tcPr>
            <w:tcW w:w="3190" w:type="pct"/>
            <w:tcBorders>
              <w:tl2br w:val="nil"/>
              <w:tr2bl w:val="nil"/>
            </w:tcBorders>
            <w:noWrap/>
            <w:vAlign w:val="center"/>
          </w:tcPr>
          <w:p w14:paraId="6C4D5D42">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一种亚硫酸氢铵尾气治理及污染物因子在线监测装置</w:t>
            </w:r>
          </w:p>
        </w:tc>
        <w:tc>
          <w:tcPr>
            <w:tcW w:w="938" w:type="pct"/>
            <w:tcBorders>
              <w:tl2br w:val="nil"/>
              <w:tr2bl w:val="nil"/>
            </w:tcBorders>
            <w:noWrap/>
            <w:vAlign w:val="center"/>
          </w:tcPr>
          <w:p w14:paraId="1E8DE4EC">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201921902393X</w:t>
            </w:r>
          </w:p>
        </w:tc>
        <w:tc>
          <w:tcPr>
            <w:tcW w:w="573" w:type="pct"/>
            <w:tcBorders>
              <w:tl2br w:val="nil"/>
              <w:tr2bl w:val="nil"/>
            </w:tcBorders>
            <w:noWrap/>
            <w:vAlign w:val="center"/>
          </w:tcPr>
          <w:p w14:paraId="391FF24A">
            <w:pPr>
              <w:widowControl/>
              <w:snapToGrid/>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是</w:t>
            </w:r>
          </w:p>
        </w:tc>
      </w:tr>
      <w:tr w14:paraId="7F6223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685E8B92">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17</w:t>
            </w:r>
          </w:p>
        </w:tc>
        <w:tc>
          <w:tcPr>
            <w:tcW w:w="3190" w:type="pct"/>
            <w:tcBorders>
              <w:tl2br w:val="nil"/>
              <w:tr2bl w:val="nil"/>
            </w:tcBorders>
            <w:vAlign w:val="center"/>
          </w:tcPr>
          <w:p w14:paraId="7EE43639">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一种利用盐酸苯肼母液资源化生产氯化钙溶液的生产装置</w:t>
            </w:r>
          </w:p>
        </w:tc>
        <w:tc>
          <w:tcPr>
            <w:tcW w:w="938" w:type="pct"/>
            <w:tcBorders>
              <w:tl2br w:val="nil"/>
              <w:tr2bl w:val="nil"/>
            </w:tcBorders>
            <w:noWrap/>
            <w:vAlign w:val="center"/>
          </w:tcPr>
          <w:p w14:paraId="13D16E72">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2019219024275</w:t>
            </w:r>
          </w:p>
        </w:tc>
        <w:tc>
          <w:tcPr>
            <w:tcW w:w="573" w:type="pct"/>
            <w:tcBorders>
              <w:tl2br w:val="nil"/>
              <w:tr2bl w:val="nil"/>
            </w:tcBorders>
            <w:noWrap/>
            <w:vAlign w:val="center"/>
          </w:tcPr>
          <w:p w14:paraId="0A426F62">
            <w:pPr>
              <w:widowControl/>
              <w:snapToGrid/>
              <w:spacing w:line="240" w:lineRule="auto"/>
              <w:ind w:firstLine="0" w:firstLineChars="0"/>
              <w:jc w:val="center"/>
              <w:textAlignment w:val="center"/>
              <w:rPr>
                <w:rFonts w:cs="宋体"/>
                <w:color w:val="auto"/>
                <w:kern w:val="0"/>
                <w:sz w:val="21"/>
                <w:szCs w:val="22"/>
                <w:lang w:bidi="ar"/>
              </w:rPr>
            </w:pPr>
          </w:p>
        </w:tc>
      </w:tr>
      <w:tr w14:paraId="412B9D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27A415CB">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18</w:t>
            </w:r>
          </w:p>
        </w:tc>
        <w:tc>
          <w:tcPr>
            <w:tcW w:w="3190" w:type="pct"/>
            <w:tcBorders>
              <w:tl2br w:val="nil"/>
              <w:tr2bl w:val="nil"/>
            </w:tcBorders>
            <w:noWrap/>
            <w:vAlign w:val="center"/>
          </w:tcPr>
          <w:p w14:paraId="3CCA9022">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一种高浓度生产废水的处理工艺</w:t>
            </w:r>
          </w:p>
        </w:tc>
        <w:tc>
          <w:tcPr>
            <w:tcW w:w="938" w:type="pct"/>
            <w:tcBorders>
              <w:tl2br w:val="nil"/>
              <w:tr2bl w:val="nil"/>
            </w:tcBorders>
            <w:noWrap/>
            <w:vAlign w:val="center"/>
          </w:tcPr>
          <w:p w14:paraId="6309A49F">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2018114189430</w:t>
            </w:r>
          </w:p>
        </w:tc>
        <w:tc>
          <w:tcPr>
            <w:tcW w:w="573" w:type="pct"/>
            <w:tcBorders>
              <w:tl2br w:val="nil"/>
              <w:tr2bl w:val="nil"/>
            </w:tcBorders>
            <w:noWrap/>
            <w:vAlign w:val="center"/>
          </w:tcPr>
          <w:p w14:paraId="29EA0095">
            <w:pPr>
              <w:widowControl/>
              <w:snapToGrid/>
              <w:spacing w:line="240" w:lineRule="auto"/>
              <w:ind w:firstLine="0" w:firstLineChars="0"/>
              <w:jc w:val="center"/>
              <w:textAlignment w:val="center"/>
              <w:rPr>
                <w:rFonts w:cs="宋体"/>
                <w:color w:val="auto"/>
                <w:kern w:val="0"/>
                <w:sz w:val="21"/>
                <w:szCs w:val="22"/>
                <w:lang w:bidi="ar"/>
              </w:rPr>
            </w:pPr>
          </w:p>
        </w:tc>
      </w:tr>
      <w:tr w14:paraId="366D07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61B48B73">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19</w:t>
            </w:r>
          </w:p>
        </w:tc>
        <w:tc>
          <w:tcPr>
            <w:tcW w:w="3190" w:type="pct"/>
            <w:tcBorders>
              <w:tl2br w:val="nil"/>
              <w:tr2bl w:val="nil"/>
            </w:tcBorders>
            <w:noWrap/>
            <w:vAlign w:val="center"/>
          </w:tcPr>
          <w:p w14:paraId="5354EFFC">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一种芳基肼类化合物的制备方法</w:t>
            </w:r>
          </w:p>
        </w:tc>
        <w:tc>
          <w:tcPr>
            <w:tcW w:w="938" w:type="pct"/>
            <w:tcBorders>
              <w:tl2br w:val="nil"/>
              <w:tr2bl w:val="nil"/>
            </w:tcBorders>
            <w:noWrap/>
            <w:vAlign w:val="center"/>
          </w:tcPr>
          <w:p w14:paraId="36899C05">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2022113916947</w:t>
            </w:r>
          </w:p>
        </w:tc>
        <w:tc>
          <w:tcPr>
            <w:tcW w:w="573" w:type="pct"/>
            <w:tcBorders>
              <w:tl2br w:val="nil"/>
              <w:tr2bl w:val="nil"/>
            </w:tcBorders>
            <w:noWrap/>
            <w:vAlign w:val="center"/>
          </w:tcPr>
          <w:p w14:paraId="7D9883EC">
            <w:pPr>
              <w:widowControl/>
              <w:snapToGrid/>
              <w:spacing w:line="240" w:lineRule="auto"/>
              <w:ind w:firstLine="0" w:firstLineChars="0"/>
              <w:jc w:val="center"/>
              <w:textAlignment w:val="center"/>
              <w:rPr>
                <w:rFonts w:cs="宋体"/>
                <w:color w:val="auto"/>
                <w:kern w:val="0"/>
                <w:sz w:val="21"/>
                <w:szCs w:val="22"/>
                <w:lang w:bidi="ar"/>
              </w:rPr>
            </w:pPr>
          </w:p>
        </w:tc>
      </w:tr>
      <w:tr w14:paraId="2F8127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26C75D01">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w:t>
            </w:r>
          </w:p>
        </w:tc>
        <w:tc>
          <w:tcPr>
            <w:tcW w:w="3190" w:type="pct"/>
            <w:tcBorders>
              <w:tl2br w:val="nil"/>
              <w:tr2bl w:val="nil"/>
            </w:tcBorders>
            <w:noWrap/>
            <w:vAlign w:val="center"/>
          </w:tcPr>
          <w:p w14:paraId="4E55CE0B">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一种硫代硫酸盐的生产工艺及设备</w:t>
            </w:r>
          </w:p>
        </w:tc>
        <w:tc>
          <w:tcPr>
            <w:tcW w:w="938" w:type="pct"/>
            <w:tcBorders>
              <w:tl2br w:val="nil"/>
              <w:tr2bl w:val="nil"/>
            </w:tcBorders>
            <w:noWrap/>
            <w:vAlign w:val="center"/>
          </w:tcPr>
          <w:p w14:paraId="494A0BD8">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2024105660340</w:t>
            </w:r>
          </w:p>
        </w:tc>
        <w:tc>
          <w:tcPr>
            <w:tcW w:w="573" w:type="pct"/>
            <w:tcBorders>
              <w:tl2br w:val="nil"/>
              <w:tr2bl w:val="nil"/>
            </w:tcBorders>
            <w:noWrap/>
            <w:vAlign w:val="center"/>
          </w:tcPr>
          <w:p w14:paraId="2CA0E2D3">
            <w:pPr>
              <w:widowControl/>
              <w:snapToGrid/>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是</w:t>
            </w:r>
          </w:p>
        </w:tc>
      </w:tr>
      <w:tr w14:paraId="484D17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96" w:type="pct"/>
            <w:tcBorders>
              <w:tl2br w:val="nil"/>
              <w:tr2bl w:val="nil"/>
            </w:tcBorders>
            <w:noWrap/>
            <w:vAlign w:val="center"/>
          </w:tcPr>
          <w:p w14:paraId="3D9E3C45">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21</w:t>
            </w:r>
          </w:p>
        </w:tc>
        <w:tc>
          <w:tcPr>
            <w:tcW w:w="3190" w:type="pct"/>
            <w:tcBorders>
              <w:tl2br w:val="nil"/>
              <w:tr2bl w:val="nil"/>
            </w:tcBorders>
            <w:noWrap/>
            <w:vAlign w:val="center"/>
          </w:tcPr>
          <w:p w14:paraId="58B757CF">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一种基于生物膜反应器和光生物反应器的污水处理系统</w:t>
            </w:r>
          </w:p>
        </w:tc>
        <w:tc>
          <w:tcPr>
            <w:tcW w:w="938" w:type="pct"/>
            <w:tcBorders>
              <w:tl2br w:val="nil"/>
              <w:tr2bl w:val="nil"/>
            </w:tcBorders>
            <w:noWrap/>
            <w:vAlign w:val="center"/>
          </w:tcPr>
          <w:p w14:paraId="0B2213D2">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2015106626507</w:t>
            </w:r>
          </w:p>
        </w:tc>
        <w:tc>
          <w:tcPr>
            <w:tcW w:w="573" w:type="pct"/>
            <w:tcBorders>
              <w:tl2br w:val="nil"/>
              <w:tr2bl w:val="nil"/>
            </w:tcBorders>
            <w:noWrap/>
            <w:vAlign w:val="center"/>
          </w:tcPr>
          <w:p w14:paraId="05B483D3">
            <w:pPr>
              <w:widowControl/>
              <w:snapToGrid/>
              <w:spacing w:line="240" w:lineRule="auto"/>
              <w:ind w:firstLine="0" w:firstLineChars="0"/>
              <w:jc w:val="center"/>
              <w:textAlignment w:val="center"/>
              <w:rPr>
                <w:rFonts w:cs="宋体"/>
                <w:color w:val="auto"/>
                <w:kern w:val="0"/>
                <w:sz w:val="21"/>
                <w:szCs w:val="22"/>
                <w:lang w:bidi="ar"/>
              </w:rPr>
            </w:pPr>
          </w:p>
        </w:tc>
      </w:tr>
      <w:tr w14:paraId="5F6263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296" w:type="pct"/>
            <w:tcBorders>
              <w:tl2br w:val="nil"/>
              <w:tr2bl w:val="nil"/>
            </w:tcBorders>
            <w:noWrap/>
            <w:vAlign w:val="center"/>
          </w:tcPr>
          <w:p w14:paraId="42F276A7">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22</w:t>
            </w:r>
          </w:p>
        </w:tc>
        <w:tc>
          <w:tcPr>
            <w:tcW w:w="3190" w:type="pct"/>
            <w:tcBorders>
              <w:tl2br w:val="nil"/>
              <w:tr2bl w:val="nil"/>
            </w:tcBorders>
            <w:noWrap/>
            <w:vAlign w:val="center"/>
          </w:tcPr>
          <w:p w14:paraId="2B327BE1">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一种高效曝气装置</w:t>
            </w:r>
          </w:p>
        </w:tc>
        <w:tc>
          <w:tcPr>
            <w:tcW w:w="938" w:type="pct"/>
            <w:tcBorders>
              <w:tl2br w:val="nil"/>
              <w:tr2bl w:val="nil"/>
            </w:tcBorders>
            <w:noWrap/>
            <w:vAlign w:val="center"/>
          </w:tcPr>
          <w:p w14:paraId="1395D32F">
            <w:pPr>
              <w:widowControl/>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2015102638168</w:t>
            </w:r>
          </w:p>
        </w:tc>
        <w:tc>
          <w:tcPr>
            <w:tcW w:w="573" w:type="pct"/>
            <w:tcBorders>
              <w:tl2br w:val="nil"/>
              <w:tr2bl w:val="nil"/>
            </w:tcBorders>
            <w:noWrap/>
            <w:vAlign w:val="center"/>
          </w:tcPr>
          <w:p w14:paraId="2442409A">
            <w:pPr>
              <w:widowControl/>
              <w:snapToGrid/>
              <w:spacing w:line="240" w:lineRule="auto"/>
              <w:ind w:firstLine="0" w:firstLineChars="0"/>
              <w:jc w:val="center"/>
              <w:textAlignment w:val="center"/>
              <w:rPr>
                <w:rFonts w:cs="宋体"/>
                <w:color w:val="auto"/>
                <w:kern w:val="0"/>
                <w:sz w:val="21"/>
                <w:szCs w:val="22"/>
                <w:lang w:bidi="ar"/>
              </w:rPr>
            </w:pPr>
          </w:p>
        </w:tc>
      </w:tr>
    </w:tbl>
    <w:p w14:paraId="05795817">
      <w:pPr>
        <w:ind w:firstLine="480"/>
        <w:rPr>
          <w:color w:val="auto"/>
        </w:rPr>
        <w:sectPr>
          <w:pgSz w:w="11906" w:h="16838"/>
          <w:pgMar w:top="1134" w:right="1134" w:bottom="1134" w:left="1134" w:header="851" w:footer="992" w:gutter="0"/>
          <w:cols w:space="425" w:num="1"/>
          <w:docGrid w:type="lines" w:linePitch="312" w:charSpace="0"/>
        </w:sectPr>
      </w:pPr>
    </w:p>
    <w:p w14:paraId="3CE7447E">
      <w:pPr>
        <w:pStyle w:val="4"/>
        <w:rPr>
          <w:color w:val="auto"/>
        </w:rPr>
      </w:pPr>
      <w:bookmarkStart w:id="165" w:name="_Toc20639"/>
      <w:r>
        <w:rPr>
          <w:rFonts w:hint="eastAsia"/>
          <w:color w:val="auto"/>
        </w:rPr>
        <w:t>4.8.1工艺技术先进性</w:t>
      </w:r>
      <w:bookmarkEnd w:id="165"/>
    </w:p>
    <w:p w14:paraId="7A237318">
      <w:pPr>
        <w:ind w:firstLine="480"/>
        <w:rPr>
          <w:color w:val="auto"/>
        </w:rPr>
      </w:pPr>
      <w:r>
        <w:rPr>
          <w:rFonts w:hint="eastAsia"/>
          <w:color w:val="auto"/>
        </w:rPr>
        <w:t>拟建生产工艺先进性具体对比分析详见下表。</w:t>
      </w:r>
    </w:p>
    <w:p w14:paraId="0A6E3D76">
      <w:pPr>
        <w:spacing w:line="240" w:lineRule="auto"/>
        <w:ind w:firstLine="0" w:firstLineChars="0"/>
        <w:jc w:val="center"/>
        <w:rPr>
          <w:b/>
          <w:bCs/>
          <w:color w:val="auto"/>
          <w:kern w:val="28"/>
          <w:szCs w:val="32"/>
        </w:rPr>
      </w:pPr>
      <w:r>
        <w:rPr>
          <w:b/>
          <w:bCs/>
          <w:color w:val="auto"/>
          <w:kern w:val="28"/>
          <w:szCs w:val="32"/>
        </w:rPr>
        <w:t>表</w:t>
      </w:r>
      <w:r>
        <w:rPr>
          <w:rFonts w:hint="eastAsia"/>
          <w:b/>
          <w:bCs/>
          <w:color w:val="auto"/>
          <w:kern w:val="28"/>
          <w:szCs w:val="32"/>
        </w:rPr>
        <w:t>4</w:t>
      </w:r>
      <w:r>
        <w:rPr>
          <w:b/>
          <w:bCs/>
          <w:color w:val="auto"/>
          <w:kern w:val="28"/>
          <w:szCs w:val="32"/>
        </w:rPr>
        <w:t>.</w:t>
      </w:r>
      <w:r>
        <w:rPr>
          <w:rFonts w:hint="eastAsia"/>
          <w:b/>
          <w:bCs/>
          <w:color w:val="auto"/>
          <w:kern w:val="28"/>
          <w:szCs w:val="32"/>
        </w:rPr>
        <w:t>8-2  拟建生产工艺先进性对比分析表</w:t>
      </w:r>
    </w:p>
    <w:tbl>
      <w:tblPr>
        <w:tblStyle w:val="24"/>
        <w:tblW w:w="4993"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 w:type="dxa"/>
          <w:bottom w:w="0" w:type="dxa"/>
          <w:right w:w="10" w:type="dxa"/>
        </w:tblCellMar>
      </w:tblPr>
      <w:tblGrid>
        <w:gridCol w:w="1283"/>
        <w:gridCol w:w="2548"/>
        <w:gridCol w:w="2494"/>
        <w:gridCol w:w="2338"/>
        <w:gridCol w:w="2042"/>
        <w:gridCol w:w="2039"/>
        <w:gridCol w:w="2045"/>
      </w:tblGrid>
      <w:tr w14:paraId="2BABBA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c>
          <w:tcPr>
            <w:tcW w:w="434" w:type="pct"/>
            <w:vMerge w:val="restart"/>
            <w:tcMar>
              <w:top w:w="60" w:type="dxa"/>
              <w:left w:w="120" w:type="dxa"/>
              <w:bottom w:w="30" w:type="dxa"/>
              <w:right w:w="120" w:type="dxa"/>
            </w:tcMar>
            <w:vAlign w:val="center"/>
          </w:tcPr>
          <w:p w14:paraId="746B5DB4">
            <w:pPr>
              <w:widowControl/>
              <w:adjustRightInd/>
              <w:snapToGrid/>
              <w:spacing w:line="240" w:lineRule="auto"/>
              <w:ind w:firstLine="0" w:firstLineChars="0"/>
              <w:jc w:val="center"/>
              <w:rPr>
                <w:b/>
                <w:color w:val="auto"/>
                <w:sz w:val="21"/>
              </w:rPr>
            </w:pPr>
            <w:r>
              <w:rPr>
                <w:b/>
                <w:color w:val="auto"/>
                <w:sz w:val="21"/>
              </w:rPr>
              <w:t>对比维度</w:t>
            </w:r>
          </w:p>
        </w:tc>
        <w:tc>
          <w:tcPr>
            <w:tcW w:w="1704" w:type="pct"/>
            <w:gridSpan w:val="2"/>
            <w:tcMar>
              <w:top w:w="60" w:type="dxa"/>
              <w:left w:w="120" w:type="dxa"/>
              <w:bottom w:w="30" w:type="dxa"/>
              <w:right w:w="120" w:type="dxa"/>
            </w:tcMar>
            <w:vAlign w:val="center"/>
          </w:tcPr>
          <w:p w14:paraId="025B72CA">
            <w:pPr>
              <w:widowControl/>
              <w:adjustRightInd/>
              <w:snapToGrid/>
              <w:spacing w:line="240" w:lineRule="auto"/>
              <w:ind w:firstLine="0" w:firstLineChars="0"/>
              <w:jc w:val="center"/>
              <w:rPr>
                <w:b/>
                <w:color w:val="auto"/>
                <w:sz w:val="21"/>
              </w:rPr>
            </w:pPr>
            <w:r>
              <w:rPr>
                <w:rFonts w:hint="eastAsia"/>
                <w:b/>
                <w:color w:val="auto"/>
                <w:sz w:val="21"/>
              </w:rPr>
              <w:t>亚硫酸盐产品</w:t>
            </w:r>
          </w:p>
        </w:tc>
        <w:tc>
          <w:tcPr>
            <w:tcW w:w="1480" w:type="pct"/>
            <w:gridSpan w:val="2"/>
            <w:tcMar>
              <w:top w:w="60" w:type="dxa"/>
              <w:left w:w="120" w:type="dxa"/>
              <w:bottom w:w="30" w:type="dxa"/>
              <w:right w:w="120" w:type="dxa"/>
            </w:tcMar>
            <w:vAlign w:val="center"/>
          </w:tcPr>
          <w:p w14:paraId="654A2659">
            <w:pPr>
              <w:widowControl/>
              <w:adjustRightInd/>
              <w:snapToGrid/>
              <w:spacing w:line="240" w:lineRule="auto"/>
              <w:ind w:firstLine="0" w:firstLineChars="0"/>
              <w:jc w:val="center"/>
              <w:rPr>
                <w:b/>
                <w:color w:val="auto"/>
                <w:sz w:val="21"/>
              </w:rPr>
            </w:pPr>
            <w:r>
              <w:rPr>
                <w:rFonts w:hint="eastAsia"/>
                <w:b/>
                <w:color w:val="auto"/>
                <w:sz w:val="21"/>
              </w:rPr>
              <w:t>硫代硫酸盐产品</w:t>
            </w:r>
          </w:p>
        </w:tc>
        <w:tc>
          <w:tcPr>
            <w:tcW w:w="1380" w:type="pct"/>
            <w:gridSpan w:val="2"/>
            <w:tcMar>
              <w:top w:w="60" w:type="dxa"/>
              <w:left w:w="120" w:type="dxa"/>
              <w:bottom w:w="30" w:type="dxa"/>
              <w:right w:w="120" w:type="dxa"/>
            </w:tcMar>
            <w:vAlign w:val="center"/>
          </w:tcPr>
          <w:p w14:paraId="54A3D37B">
            <w:pPr>
              <w:widowControl/>
              <w:adjustRightInd/>
              <w:snapToGrid/>
              <w:spacing w:line="240" w:lineRule="auto"/>
              <w:ind w:firstLine="0" w:firstLineChars="0"/>
              <w:jc w:val="center"/>
              <w:rPr>
                <w:b/>
                <w:color w:val="auto"/>
                <w:sz w:val="21"/>
              </w:rPr>
            </w:pPr>
            <w:r>
              <w:rPr>
                <w:rFonts w:hint="eastAsia"/>
                <w:b/>
                <w:color w:val="auto"/>
                <w:sz w:val="21"/>
              </w:rPr>
              <w:t>一水亚硫酸铵产品</w:t>
            </w:r>
          </w:p>
        </w:tc>
      </w:tr>
      <w:tr w14:paraId="0134C8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c>
          <w:tcPr>
            <w:tcW w:w="434" w:type="pct"/>
            <w:vMerge w:val="continue"/>
            <w:tcMar>
              <w:top w:w="60" w:type="dxa"/>
              <w:left w:w="120" w:type="dxa"/>
              <w:bottom w:w="30" w:type="dxa"/>
              <w:right w:w="120" w:type="dxa"/>
            </w:tcMar>
            <w:vAlign w:val="center"/>
          </w:tcPr>
          <w:p w14:paraId="56B10D04">
            <w:pPr>
              <w:widowControl/>
              <w:adjustRightInd/>
              <w:snapToGrid/>
              <w:spacing w:line="240" w:lineRule="auto"/>
              <w:ind w:firstLine="0" w:firstLineChars="0"/>
              <w:jc w:val="center"/>
              <w:rPr>
                <w:b/>
                <w:color w:val="auto"/>
                <w:sz w:val="21"/>
              </w:rPr>
            </w:pPr>
          </w:p>
        </w:tc>
        <w:tc>
          <w:tcPr>
            <w:tcW w:w="861" w:type="pct"/>
            <w:tcMar>
              <w:top w:w="60" w:type="dxa"/>
              <w:left w:w="120" w:type="dxa"/>
              <w:bottom w:w="30" w:type="dxa"/>
              <w:right w:w="120" w:type="dxa"/>
            </w:tcMar>
            <w:vAlign w:val="center"/>
          </w:tcPr>
          <w:p w14:paraId="0BEE0F38">
            <w:pPr>
              <w:widowControl/>
              <w:adjustRightInd/>
              <w:snapToGrid/>
              <w:spacing w:line="240" w:lineRule="auto"/>
              <w:ind w:firstLine="0" w:firstLineChars="0"/>
              <w:jc w:val="center"/>
              <w:rPr>
                <w:b/>
                <w:color w:val="auto"/>
                <w:sz w:val="21"/>
              </w:rPr>
            </w:pPr>
            <w:r>
              <w:rPr>
                <w:rFonts w:hint="eastAsia"/>
                <w:b/>
                <w:color w:val="auto"/>
                <w:sz w:val="21"/>
              </w:rPr>
              <w:t>启东亚太</w:t>
            </w:r>
            <w:r>
              <w:rPr>
                <w:b/>
                <w:color w:val="auto"/>
                <w:sz w:val="21"/>
              </w:rPr>
              <w:t>（</w:t>
            </w:r>
            <w:r>
              <w:rPr>
                <w:rFonts w:hint="eastAsia"/>
                <w:b/>
                <w:color w:val="auto"/>
                <w:sz w:val="21"/>
              </w:rPr>
              <w:t>硫磺燃烧产生二氧化硫，与氢氧化钾/钠反应</w:t>
            </w:r>
            <w:r>
              <w:rPr>
                <w:b/>
                <w:color w:val="auto"/>
                <w:sz w:val="21"/>
              </w:rPr>
              <w:t>）</w:t>
            </w:r>
          </w:p>
        </w:tc>
        <w:tc>
          <w:tcPr>
            <w:tcW w:w="843" w:type="pct"/>
            <w:tcMar>
              <w:top w:w="60" w:type="dxa"/>
              <w:left w:w="120" w:type="dxa"/>
              <w:bottom w:w="30" w:type="dxa"/>
              <w:right w:w="120" w:type="dxa"/>
            </w:tcMar>
            <w:vAlign w:val="center"/>
          </w:tcPr>
          <w:p w14:paraId="62CB8AB3">
            <w:pPr>
              <w:widowControl/>
              <w:adjustRightInd/>
              <w:snapToGrid/>
              <w:spacing w:line="240" w:lineRule="auto"/>
              <w:ind w:firstLine="0" w:firstLineChars="0"/>
              <w:jc w:val="center"/>
              <w:rPr>
                <w:b/>
                <w:color w:val="auto"/>
                <w:sz w:val="21"/>
              </w:rPr>
            </w:pPr>
            <w:r>
              <w:rPr>
                <w:rFonts w:hint="eastAsia"/>
                <w:b/>
                <w:color w:val="auto"/>
                <w:sz w:val="21"/>
              </w:rPr>
              <w:t>瓶装二氧化硫与氢氧化钾/钠反应</w:t>
            </w:r>
          </w:p>
        </w:tc>
        <w:tc>
          <w:tcPr>
            <w:tcW w:w="790" w:type="pct"/>
            <w:tcMar>
              <w:top w:w="60" w:type="dxa"/>
              <w:left w:w="120" w:type="dxa"/>
              <w:bottom w:w="30" w:type="dxa"/>
              <w:right w:w="120" w:type="dxa"/>
            </w:tcMar>
            <w:vAlign w:val="center"/>
          </w:tcPr>
          <w:p w14:paraId="24BCE124">
            <w:pPr>
              <w:widowControl/>
              <w:adjustRightInd/>
              <w:snapToGrid/>
              <w:spacing w:line="240" w:lineRule="auto"/>
              <w:ind w:firstLine="0" w:firstLineChars="0"/>
              <w:jc w:val="center"/>
              <w:rPr>
                <w:b/>
                <w:color w:val="auto"/>
                <w:sz w:val="21"/>
              </w:rPr>
            </w:pPr>
            <w:r>
              <w:rPr>
                <w:rFonts w:hint="eastAsia"/>
                <w:b/>
                <w:color w:val="auto"/>
                <w:sz w:val="21"/>
              </w:rPr>
              <w:t>启东亚太（亚硫酸盐的硫化加成，及复分解和置换反应）</w:t>
            </w:r>
          </w:p>
        </w:tc>
        <w:tc>
          <w:tcPr>
            <w:tcW w:w="689" w:type="pct"/>
            <w:tcMar>
              <w:top w:w="60" w:type="dxa"/>
              <w:left w:w="120" w:type="dxa"/>
              <w:bottom w:w="30" w:type="dxa"/>
              <w:right w:w="120" w:type="dxa"/>
            </w:tcMar>
            <w:vAlign w:val="center"/>
          </w:tcPr>
          <w:p w14:paraId="77493DFA">
            <w:pPr>
              <w:widowControl/>
              <w:adjustRightInd/>
              <w:snapToGrid/>
              <w:spacing w:line="240" w:lineRule="auto"/>
              <w:ind w:firstLine="0" w:firstLineChars="0"/>
              <w:jc w:val="center"/>
              <w:rPr>
                <w:b/>
                <w:color w:val="auto"/>
                <w:sz w:val="21"/>
              </w:rPr>
            </w:pPr>
            <w:r>
              <w:rPr>
                <w:rFonts w:hint="eastAsia"/>
                <w:b/>
                <w:color w:val="auto"/>
                <w:sz w:val="21"/>
              </w:rPr>
              <w:t>硫化盐法</w:t>
            </w:r>
          </w:p>
        </w:tc>
        <w:tc>
          <w:tcPr>
            <w:tcW w:w="689" w:type="pct"/>
            <w:tcMar>
              <w:top w:w="60" w:type="dxa"/>
              <w:left w:w="120" w:type="dxa"/>
              <w:bottom w:w="30" w:type="dxa"/>
              <w:right w:w="120" w:type="dxa"/>
            </w:tcMar>
            <w:vAlign w:val="center"/>
          </w:tcPr>
          <w:p w14:paraId="5B267A44">
            <w:pPr>
              <w:widowControl/>
              <w:adjustRightInd/>
              <w:snapToGrid/>
              <w:spacing w:line="240" w:lineRule="auto"/>
              <w:ind w:firstLine="0" w:firstLineChars="0"/>
              <w:jc w:val="center"/>
              <w:rPr>
                <w:b/>
                <w:color w:val="auto"/>
                <w:sz w:val="21"/>
              </w:rPr>
            </w:pPr>
            <w:r>
              <w:rPr>
                <w:rFonts w:hint="eastAsia"/>
                <w:b/>
                <w:color w:val="auto"/>
                <w:sz w:val="21"/>
              </w:rPr>
              <w:t>启东亚太（氨工艺）</w:t>
            </w:r>
          </w:p>
        </w:tc>
        <w:tc>
          <w:tcPr>
            <w:tcW w:w="691" w:type="pct"/>
            <w:tcMar>
              <w:top w:w="60" w:type="dxa"/>
              <w:left w:w="120" w:type="dxa"/>
              <w:bottom w:w="30" w:type="dxa"/>
              <w:right w:w="120" w:type="dxa"/>
            </w:tcMar>
            <w:vAlign w:val="center"/>
          </w:tcPr>
          <w:p w14:paraId="10F9CC73">
            <w:pPr>
              <w:widowControl/>
              <w:adjustRightInd/>
              <w:snapToGrid/>
              <w:spacing w:line="240" w:lineRule="auto"/>
              <w:ind w:firstLine="0" w:firstLineChars="0"/>
              <w:jc w:val="center"/>
              <w:rPr>
                <w:b/>
                <w:color w:val="auto"/>
                <w:sz w:val="21"/>
              </w:rPr>
            </w:pPr>
            <w:r>
              <w:rPr>
                <w:rFonts w:hint="eastAsia"/>
                <w:b/>
                <w:color w:val="auto"/>
                <w:sz w:val="21"/>
              </w:rPr>
              <w:t>启东亚太（碳酸氢铵工艺）</w:t>
            </w:r>
          </w:p>
        </w:tc>
      </w:tr>
      <w:tr w14:paraId="350BA9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c>
          <w:tcPr>
            <w:tcW w:w="1283" w:type="dxa"/>
            <w:tcMar>
              <w:top w:w="60" w:type="dxa"/>
              <w:left w:w="120" w:type="dxa"/>
              <w:bottom w:w="30" w:type="dxa"/>
              <w:right w:w="120" w:type="dxa"/>
            </w:tcMar>
            <w:vAlign w:val="center"/>
          </w:tcPr>
          <w:p w14:paraId="531009CB">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原料来源与安全性</w:t>
            </w:r>
          </w:p>
        </w:tc>
        <w:tc>
          <w:tcPr>
            <w:tcW w:w="2548" w:type="dxa"/>
            <w:tcMar>
              <w:top w:w="60" w:type="dxa"/>
              <w:left w:w="120" w:type="dxa"/>
              <w:bottom w:w="30" w:type="dxa"/>
              <w:right w:w="120" w:type="dxa"/>
            </w:tcMar>
            <w:vAlign w:val="center"/>
          </w:tcPr>
          <w:p w14:paraId="57BC6B9F">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硫磺为大宗固体原料，来源稳定，运输、储存安全可控；</w:t>
            </w:r>
            <w:r>
              <w:rPr>
                <w:rFonts w:hint="eastAsia"/>
                <w:color w:val="auto"/>
                <w:sz w:val="21"/>
                <w:szCs w:val="21"/>
              </w:rPr>
              <w:t>SO</w:t>
            </w:r>
            <w:r>
              <w:rPr>
                <w:rFonts w:hint="eastAsia"/>
                <w:color w:val="auto"/>
                <w:sz w:val="21"/>
                <w:szCs w:val="21"/>
                <w:vertAlign w:val="subscript"/>
              </w:rPr>
              <w:t>2</w:t>
            </w:r>
            <w:r>
              <w:rPr>
                <w:rFonts w:hint="eastAsia" w:cs="宋体"/>
                <w:color w:val="auto"/>
                <w:kern w:val="0"/>
                <w:sz w:val="21"/>
                <w:szCs w:val="22"/>
                <w:lang w:bidi="ar"/>
              </w:rPr>
              <w:t>由企业焚硫炉自产，无需外购钢瓶，消除钢瓶泄漏风险</w:t>
            </w:r>
          </w:p>
        </w:tc>
        <w:tc>
          <w:tcPr>
            <w:tcW w:w="2494" w:type="dxa"/>
            <w:tcMar>
              <w:top w:w="60" w:type="dxa"/>
              <w:left w:w="120" w:type="dxa"/>
              <w:bottom w:w="30" w:type="dxa"/>
              <w:right w:w="120" w:type="dxa"/>
            </w:tcMar>
            <w:vAlign w:val="center"/>
          </w:tcPr>
          <w:p w14:paraId="65F2146A">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瓶装</w:t>
            </w:r>
            <w:r>
              <w:rPr>
                <w:rFonts w:hint="eastAsia"/>
                <w:color w:val="auto"/>
                <w:sz w:val="21"/>
                <w:szCs w:val="21"/>
              </w:rPr>
              <w:t>SO</w:t>
            </w:r>
            <w:r>
              <w:rPr>
                <w:rFonts w:hint="eastAsia"/>
                <w:color w:val="auto"/>
                <w:sz w:val="21"/>
                <w:szCs w:val="21"/>
                <w:vertAlign w:val="subscript"/>
              </w:rPr>
              <w:t>2</w:t>
            </w:r>
            <w:r>
              <w:rPr>
                <w:rFonts w:hint="eastAsia" w:cs="宋体"/>
                <w:color w:val="auto"/>
                <w:kern w:val="0"/>
                <w:sz w:val="21"/>
                <w:szCs w:val="22"/>
                <w:lang w:bidi="ar"/>
              </w:rPr>
              <w:t>为危化品，运输、装卸、储存存在重大安全隐患，受运输管制影响大</w:t>
            </w:r>
          </w:p>
        </w:tc>
        <w:tc>
          <w:tcPr>
            <w:tcW w:w="2338" w:type="dxa"/>
            <w:tcMar>
              <w:top w:w="60" w:type="dxa"/>
              <w:left w:w="120" w:type="dxa"/>
              <w:bottom w:w="30" w:type="dxa"/>
              <w:right w:w="120" w:type="dxa"/>
            </w:tcMar>
            <w:vAlign w:val="center"/>
          </w:tcPr>
          <w:p w14:paraId="0ADBFDB1">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以自产亚硫酸盐为原料，实现产业链上下游配套，无外购剧毒原料，本质安全水平高</w:t>
            </w:r>
          </w:p>
        </w:tc>
        <w:tc>
          <w:tcPr>
            <w:tcW w:w="2042" w:type="dxa"/>
            <w:tcMar>
              <w:top w:w="60" w:type="dxa"/>
              <w:left w:w="120" w:type="dxa"/>
              <w:bottom w:w="30" w:type="dxa"/>
              <w:right w:w="120" w:type="dxa"/>
            </w:tcMar>
            <w:vAlign w:val="center"/>
          </w:tcPr>
          <w:p w14:paraId="32F0DD5A">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需外购硫化盐原料，反应过程易产生剧毒硫化氢气体，安全与环保风险极高</w:t>
            </w:r>
          </w:p>
        </w:tc>
        <w:tc>
          <w:tcPr>
            <w:tcW w:w="2039" w:type="dxa"/>
            <w:tcMar>
              <w:top w:w="60" w:type="dxa"/>
              <w:left w:w="120" w:type="dxa"/>
              <w:bottom w:w="30" w:type="dxa"/>
              <w:right w:w="120" w:type="dxa"/>
            </w:tcMar>
            <w:vAlign w:val="center"/>
          </w:tcPr>
          <w:p w14:paraId="60256B78">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以氨水为原料，工艺成熟，来源稳定</w:t>
            </w:r>
          </w:p>
        </w:tc>
        <w:tc>
          <w:tcPr>
            <w:tcW w:w="2045" w:type="dxa"/>
            <w:tcMar>
              <w:top w:w="60" w:type="dxa"/>
              <w:left w:w="120" w:type="dxa"/>
              <w:bottom w:w="30" w:type="dxa"/>
              <w:right w:w="120" w:type="dxa"/>
            </w:tcMar>
            <w:vAlign w:val="center"/>
          </w:tcPr>
          <w:p w14:paraId="0C1F4019">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以碳酸氢铵为原料，来源广泛，反应温和，无氨逃逸风险</w:t>
            </w:r>
          </w:p>
        </w:tc>
      </w:tr>
      <w:tr w14:paraId="17F094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c>
          <w:tcPr>
            <w:tcW w:w="1283" w:type="dxa"/>
            <w:tcMar>
              <w:top w:w="60" w:type="dxa"/>
              <w:left w:w="120" w:type="dxa"/>
              <w:bottom w:w="30" w:type="dxa"/>
              <w:right w:w="120" w:type="dxa"/>
            </w:tcMar>
            <w:vAlign w:val="center"/>
          </w:tcPr>
          <w:p w14:paraId="358220A4">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能源利用与能耗水平</w:t>
            </w:r>
          </w:p>
        </w:tc>
        <w:tc>
          <w:tcPr>
            <w:tcW w:w="2548" w:type="dxa"/>
            <w:tcMar>
              <w:top w:w="60" w:type="dxa"/>
              <w:left w:w="120" w:type="dxa"/>
              <w:bottom w:w="30" w:type="dxa"/>
              <w:right w:w="120" w:type="dxa"/>
            </w:tcMar>
            <w:vAlign w:val="center"/>
          </w:tcPr>
          <w:p w14:paraId="25B8CFAF">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焚硫炉烟气配套余热回收系统，高温烟气热量梯级利用，蒸汽自给率高，单位产品能耗低</w:t>
            </w:r>
          </w:p>
        </w:tc>
        <w:tc>
          <w:tcPr>
            <w:tcW w:w="2494" w:type="dxa"/>
            <w:tcMar>
              <w:top w:w="60" w:type="dxa"/>
              <w:left w:w="120" w:type="dxa"/>
              <w:bottom w:w="30" w:type="dxa"/>
              <w:right w:w="120" w:type="dxa"/>
            </w:tcMar>
            <w:vAlign w:val="center"/>
          </w:tcPr>
          <w:p w14:paraId="4EC1E29B">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无余热回收环节，外购</w:t>
            </w:r>
            <w:r>
              <w:rPr>
                <w:rFonts w:hint="eastAsia"/>
                <w:color w:val="auto"/>
                <w:sz w:val="21"/>
                <w:szCs w:val="21"/>
              </w:rPr>
              <w:t>SO</w:t>
            </w:r>
            <w:r>
              <w:rPr>
                <w:rFonts w:hint="eastAsia"/>
                <w:color w:val="auto"/>
                <w:sz w:val="21"/>
                <w:szCs w:val="21"/>
                <w:vertAlign w:val="subscript"/>
              </w:rPr>
              <w:t>2</w:t>
            </w:r>
            <w:r>
              <w:rPr>
                <w:rFonts w:hint="eastAsia" w:cs="宋体"/>
                <w:color w:val="auto"/>
                <w:kern w:val="0"/>
                <w:sz w:val="21"/>
                <w:szCs w:val="22"/>
                <w:lang w:bidi="ar"/>
              </w:rPr>
              <w:t>成本高、能耗高，无能量回收利用</w:t>
            </w:r>
          </w:p>
        </w:tc>
        <w:tc>
          <w:tcPr>
            <w:tcW w:w="2338" w:type="dxa"/>
            <w:tcMar>
              <w:top w:w="60" w:type="dxa"/>
              <w:left w:w="120" w:type="dxa"/>
              <w:bottom w:w="30" w:type="dxa"/>
              <w:right w:w="120" w:type="dxa"/>
            </w:tcMar>
            <w:vAlign w:val="center"/>
          </w:tcPr>
          <w:p w14:paraId="25141581">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反应过程为液相密闭反应，无需高温高压，能耗低；母液循环利用，无额外能耗</w:t>
            </w:r>
          </w:p>
        </w:tc>
        <w:tc>
          <w:tcPr>
            <w:tcW w:w="2042" w:type="dxa"/>
            <w:tcMar>
              <w:top w:w="60" w:type="dxa"/>
              <w:left w:w="120" w:type="dxa"/>
              <w:bottom w:w="30" w:type="dxa"/>
              <w:right w:w="120" w:type="dxa"/>
            </w:tcMar>
            <w:vAlign w:val="center"/>
          </w:tcPr>
          <w:p w14:paraId="775757AF">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反应需高温高压，能耗高；尾气处理系统复杂，能耗成本高</w:t>
            </w:r>
          </w:p>
        </w:tc>
        <w:tc>
          <w:tcPr>
            <w:tcW w:w="2039" w:type="dxa"/>
            <w:tcMar>
              <w:top w:w="60" w:type="dxa"/>
              <w:left w:w="120" w:type="dxa"/>
              <w:bottom w:w="30" w:type="dxa"/>
              <w:right w:w="120" w:type="dxa"/>
            </w:tcMar>
            <w:vAlign w:val="center"/>
          </w:tcPr>
          <w:p w14:paraId="77944D2A">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需对溶液进行浓缩结晶，能耗较高，氨逃逸易造成废气治理负荷</w:t>
            </w:r>
          </w:p>
        </w:tc>
        <w:tc>
          <w:tcPr>
            <w:tcW w:w="2045" w:type="dxa"/>
            <w:tcMar>
              <w:top w:w="60" w:type="dxa"/>
              <w:left w:w="120" w:type="dxa"/>
              <w:bottom w:w="30" w:type="dxa"/>
              <w:right w:w="120" w:type="dxa"/>
            </w:tcMar>
            <w:vAlign w:val="center"/>
          </w:tcPr>
          <w:p w14:paraId="18B665AB">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直接生成晶体，无需浓缩蒸发工序，大幅降低能耗，氨逃逸排放少</w:t>
            </w:r>
          </w:p>
        </w:tc>
      </w:tr>
      <w:tr w14:paraId="4E5EE6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c>
          <w:tcPr>
            <w:tcW w:w="1283" w:type="dxa"/>
            <w:tcMar>
              <w:top w:w="60" w:type="dxa"/>
              <w:left w:w="120" w:type="dxa"/>
              <w:bottom w:w="30" w:type="dxa"/>
              <w:right w:w="120" w:type="dxa"/>
            </w:tcMar>
            <w:vAlign w:val="center"/>
          </w:tcPr>
          <w:p w14:paraId="3CE7864F">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三废排放与环保水平</w:t>
            </w:r>
          </w:p>
        </w:tc>
        <w:tc>
          <w:tcPr>
            <w:tcW w:w="2548" w:type="dxa"/>
            <w:tcMar>
              <w:top w:w="60" w:type="dxa"/>
              <w:left w:w="120" w:type="dxa"/>
              <w:bottom w:w="30" w:type="dxa"/>
              <w:right w:w="120" w:type="dxa"/>
            </w:tcMar>
            <w:vAlign w:val="center"/>
          </w:tcPr>
          <w:p w14:paraId="3A98D65C">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多级吸收工艺，</w:t>
            </w:r>
            <w:r>
              <w:rPr>
                <w:rFonts w:hint="eastAsia"/>
                <w:color w:val="auto"/>
                <w:sz w:val="21"/>
                <w:szCs w:val="21"/>
              </w:rPr>
              <w:t>SO</w:t>
            </w:r>
            <w:r>
              <w:rPr>
                <w:rFonts w:hint="eastAsia"/>
                <w:color w:val="auto"/>
                <w:sz w:val="21"/>
                <w:szCs w:val="21"/>
                <w:vertAlign w:val="subscript"/>
              </w:rPr>
              <w:t>2</w:t>
            </w:r>
            <w:r>
              <w:rPr>
                <w:rFonts w:hint="eastAsia" w:cs="宋体"/>
                <w:color w:val="auto"/>
                <w:kern w:val="0"/>
                <w:sz w:val="21"/>
                <w:szCs w:val="22"/>
                <w:lang w:bidi="ar"/>
              </w:rPr>
              <w:t>吸收效率＞99%，无直排风险；吸收液闭路循环，无废水外排</w:t>
            </w:r>
          </w:p>
        </w:tc>
        <w:tc>
          <w:tcPr>
            <w:tcW w:w="2494" w:type="dxa"/>
            <w:tcMar>
              <w:top w:w="60" w:type="dxa"/>
              <w:left w:w="120" w:type="dxa"/>
              <w:bottom w:w="30" w:type="dxa"/>
              <w:right w:w="120" w:type="dxa"/>
            </w:tcMar>
            <w:vAlign w:val="center"/>
          </w:tcPr>
          <w:p w14:paraId="73049D9D">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气化效率受温度影响大，易造成</w:t>
            </w:r>
            <w:r>
              <w:rPr>
                <w:rFonts w:hint="eastAsia"/>
                <w:color w:val="auto"/>
                <w:sz w:val="21"/>
                <w:szCs w:val="21"/>
              </w:rPr>
              <w:t>SO</w:t>
            </w:r>
            <w:r>
              <w:rPr>
                <w:rFonts w:hint="eastAsia"/>
                <w:color w:val="auto"/>
                <w:sz w:val="21"/>
                <w:szCs w:val="21"/>
                <w:vertAlign w:val="subscript"/>
              </w:rPr>
              <w:t>2</w:t>
            </w:r>
            <w:r>
              <w:rPr>
                <w:rFonts w:hint="eastAsia" w:cs="宋体"/>
                <w:color w:val="auto"/>
                <w:kern w:val="0"/>
                <w:sz w:val="21"/>
                <w:szCs w:val="22"/>
                <w:lang w:bidi="ar"/>
              </w:rPr>
              <w:t>泄漏；尾气处理成本高，存在无组织排放风险</w:t>
            </w:r>
          </w:p>
        </w:tc>
        <w:tc>
          <w:tcPr>
            <w:tcW w:w="2338" w:type="dxa"/>
            <w:tcMar>
              <w:top w:w="60" w:type="dxa"/>
              <w:left w:w="120" w:type="dxa"/>
              <w:bottom w:w="30" w:type="dxa"/>
              <w:right w:w="120" w:type="dxa"/>
            </w:tcMar>
            <w:vAlign w:val="center"/>
          </w:tcPr>
          <w:p w14:paraId="07C1D76A">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全程密闭反应，无硫化氢等有毒气体副产物，三废产生量少，尾气易处理，环境友好</w:t>
            </w:r>
          </w:p>
        </w:tc>
        <w:tc>
          <w:tcPr>
            <w:tcW w:w="2042" w:type="dxa"/>
            <w:tcMar>
              <w:top w:w="60" w:type="dxa"/>
              <w:left w:w="120" w:type="dxa"/>
              <w:bottom w:w="30" w:type="dxa"/>
              <w:right w:w="120" w:type="dxa"/>
            </w:tcMar>
            <w:vAlign w:val="center"/>
          </w:tcPr>
          <w:p w14:paraId="3D7EAFAB">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硫化氢尾气处理难度大，副产物含硫废渣量大，环保成本高，存在环境风险</w:t>
            </w:r>
          </w:p>
        </w:tc>
        <w:tc>
          <w:tcPr>
            <w:tcW w:w="2039" w:type="dxa"/>
            <w:tcMar>
              <w:top w:w="60" w:type="dxa"/>
              <w:left w:w="120" w:type="dxa"/>
              <w:bottom w:w="30" w:type="dxa"/>
              <w:right w:w="120" w:type="dxa"/>
            </w:tcMar>
            <w:vAlign w:val="center"/>
          </w:tcPr>
          <w:p w14:paraId="3DBD8C48">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浓缩过程易产生氨逃逸，废气治理负荷较大</w:t>
            </w:r>
          </w:p>
        </w:tc>
        <w:tc>
          <w:tcPr>
            <w:tcW w:w="2045" w:type="dxa"/>
            <w:tcMar>
              <w:top w:w="60" w:type="dxa"/>
              <w:left w:w="120" w:type="dxa"/>
              <w:bottom w:w="30" w:type="dxa"/>
              <w:right w:w="120" w:type="dxa"/>
            </w:tcMar>
            <w:vAlign w:val="center"/>
          </w:tcPr>
          <w:p w14:paraId="69160A10">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反应温和，氨逃逸量低，尾气处理简单，环保压力小</w:t>
            </w:r>
          </w:p>
        </w:tc>
      </w:tr>
      <w:tr w14:paraId="3D9C5A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c>
          <w:tcPr>
            <w:tcW w:w="1283" w:type="dxa"/>
            <w:tcMar>
              <w:top w:w="60" w:type="dxa"/>
              <w:left w:w="120" w:type="dxa"/>
              <w:bottom w:w="30" w:type="dxa"/>
              <w:right w:w="120" w:type="dxa"/>
            </w:tcMar>
            <w:vAlign w:val="center"/>
          </w:tcPr>
          <w:p w14:paraId="3BE97F1A">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原料利用率与成本控制</w:t>
            </w:r>
          </w:p>
        </w:tc>
        <w:tc>
          <w:tcPr>
            <w:tcW w:w="2548" w:type="dxa"/>
            <w:tcMar>
              <w:top w:w="60" w:type="dxa"/>
              <w:left w:w="120" w:type="dxa"/>
              <w:bottom w:w="30" w:type="dxa"/>
              <w:right w:w="120" w:type="dxa"/>
            </w:tcMar>
            <w:vAlign w:val="center"/>
          </w:tcPr>
          <w:p w14:paraId="1A0A55B3">
            <w:pPr>
              <w:widowControl/>
              <w:spacing w:line="240" w:lineRule="auto"/>
              <w:ind w:firstLine="0" w:firstLineChars="0"/>
              <w:jc w:val="center"/>
              <w:textAlignment w:val="center"/>
              <w:rPr>
                <w:color w:val="auto"/>
                <w:sz w:val="21"/>
              </w:rPr>
            </w:pPr>
            <w:r>
              <w:rPr>
                <w:rFonts w:hint="eastAsia"/>
                <w:color w:val="auto"/>
                <w:sz w:val="21"/>
                <w:szCs w:val="21"/>
              </w:rPr>
              <w:t>SO</w:t>
            </w:r>
            <w:r>
              <w:rPr>
                <w:rFonts w:hint="eastAsia"/>
                <w:color w:val="auto"/>
                <w:sz w:val="21"/>
                <w:szCs w:val="21"/>
                <w:vertAlign w:val="subscript"/>
              </w:rPr>
              <w:t>2</w:t>
            </w:r>
            <w:r>
              <w:rPr>
                <w:rFonts w:hint="eastAsia" w:cs="宋体"/>
                <w:color w:val="auto"/>
                <w:kern w:val="0"/>
                <w:sz w:val="21"/>
                <w:szCs w:val="22"/>
                <w:lang w:bidi="ar"/>
              </w:rPr>
              <w:t>利用率高，多级吸收塔闭路循环，原料转化率高；余热回收降低蒸汽成本，综合成本低</w:t>
            </w:r>
          </w:p>
        </w:tc>
        <w:tc>
          <w:tcPr>
            <w:tcW w:w="2494" w:type="dxa"/>
            <w:tcMar>
              <w:top w:w="60" w:type="dxa"/>
              <w:left w:w="120" w:type="dxa"/>
              <w:bottom w:w="30" w:type="dxa"/>
              <w:right w:w="120" w:type="dxa"/>
            </w:tcMar>
            <w:vAlign w:val="center"/>
          </w:tcPr>
          <w:p w14:paraId="580A228C">
            <w:pPr>
              <w:widowControl/>
              <w:spacing w:line="240" w:lineRule="auto"/>
              <w:ind w:firstLine="0" w:firstLineChars="0"/>
              <w:jc w:val="center"/>
              <w:textAlignment w:val="center"/>
              <w:rPr>
                <w:color w:val="auto"/>
                <w:sz w:val="21"/>
              </w:rPr>
            </w:pPr>
            <w:r>
              <w:rPr>
                <w:rFonts w:hint="eastAsia"/>
                <w:color w:val="auto"/>
                <w:sz w:val="21"/>
                <w:szCs w:val="21"/>
              </w:rPr>
              <w:t>SO</w:t>
            </w:r>
            <w:r>
              <w:rPr>
                <w:rFonts w:hint="eastAsia"/>
                <w:color w:val="auto"/>
                <w:sz w:val="21"/>
                <w:szCs w:val="21"/>
                <w:vertAlign w:val="subscript"/>
              </w:rPr>
              <w:t>2</w:t>
            </w:r>
            <w:r>
              <w:rPr>
                <w:rFonts w:hint="eastAsia" w:cs="宋体"/>
                <w:color w:val="auto"/>
                <w:kern w:val="0"/>
                <w:sz w:val="21"/>
                <w:szCs w:val="22"/>
                <w:lang w:bidi="ar"/>
              </w:rPr>
              <w:t>钢瓶价格高，且气化不完全导致原料浪费，生产成本高</w:t>
            </w:r>
          </w:p>
        </w:tc>
        <w:tc>
          <w:tcPr>
            <w:tcW w:w="2338" w:type="dxa"/>
            <w:tcMar>
              <w:top w:w="60" w:type="dxa"/>
              <w:left w:w="120" w:type="dxa"/>
              <w:bottom w:w="30" w:type="dxa"/>
              <w:right w:w="120" w:type="dxa"/>
            </w:tcMar>
            <w:vAlign w:val="center"/>
          </w:tcPr>
          <w:p w14:paraId="399D1AEF">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依托自产亚硫酸盐原料，利用率＞98%，产品间有上下游关系，综合效率高，成本优势明显</w:t>
            </w:r>
          </w:p>
        </w:tc>
        <w:tc>
          <w:tcPr>
            <w:tcW w:w="2042" w:type="dxa"/>
            <w:tcMar>
              <w:top w:w="60" w:type="dxa"/>
              <w:left w:w="120" w:type="dxa"/>
              <w:bottom w:w="30" w:type="dxa"/>
              <w:right w:w="120" w:type="dxa"/>
            </w:tcMar>
            <w:vAlign w:val="center"/>
          </w:tcPr>
          <w:p w14:paraId="7CFF9ECE">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原料利用率低，副产物多，处理成本高，整体经济性差</w:t>
            </w:r>
          </w:p>
        </w:tc>
        <w:tc>
          <w:tcPr>
            <w:tcW w:w="2039" w:type="dxa"/>
            <w:tcMar>
              <w:top w:w="60" w:type="dxa"/>
              <w:left w:w="120" w:type="dxa"/>
              <w:bottom w:w="30" w:type="dxa"/>
              <w:right w:w="120" w:type="dxa"/>
            </w:tcMar>
            <w:vAlign w:val="center"/>
          </w:tcPr>
          <w:p w14:paraId="4B5A9C72">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氨源成本相对较低，工艺成熟稳定</w:t>
            </w:r>
          </w:p>
        </w:tc>
        <w:tc>
          <w:tcPr>
            <w:tcW w:w="2045" w:type="dxa"/>
            <w:tcMar>
              <w:top w:w="60" w:type="dxa"/>
              <w:left w:w="120" w:type="dxa"/>
              <w:bottom w:w="30" w:type="dxa"/>
              <w:right w:w="120" w:type="dxa"/>
            </w:tcMar>
            <w:vAlign w:val="center"/>
          </w:tcPr>
          <w:p w14:paraId="5D73A8F4">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碳酸氢铵原料价格低廉，直接结晶工艺降低能耗成本，综合成本低</w:t>
            </w:r>
          </w:p>
        </w:tc>
      </w:tr>
      <w:tr w14:paraId="0AA1C0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c>
          <w:tcPr>
            <w:tcW w:w="1283" w:type="dxa"/>
            <w:tcMar>
              <w:top w:w="60" w:type="dxa"/>
              <w:left w:w="120" w:type="dxa"/>
              <w:bottom w:w="30" w:type="dxa"/>
              <w:right w:w="120" w:type="dxa"/>
            </w:tcMar>
            <w:vAlign w:val="center"/>
          </w:tcPr>
          <w:p w14:paraId="001B2875">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产品质量与稳定性</w:t>
            </w:r>
          </w:p>
        </w:tc>
        <w:tc>
          <w:tcPr>
            <w:tcW w:w="2548" w:type="dxa"/>
            <w:tcMar>
              <w:top w:w="60" w:type="dxa"/>
              <w:left w:w="120" w:type="dxa"/>
              <w:bottom w:w="30" w:type="dxa"/>
              <w:right w:w="120" w:type="dxa"/>
            </w:tcMar>
            <w:vAlign w:val="center"/>
          </w:tcPr>
          <w:p w14:paraId="556722AC">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反应条件可控，吸收效率稳定，产品纯度高，杂质含量低</w:t>
            </w:r>
          </w:p>
        </w:tc>
        <w:tc>
          <w:tcPr>
            <w:tcW w:w="2494" w:type="dxa"/>
            <w:tcMar>
              <w:top w:w="60" w:type="dxa"/>
              <w:left w:w="120" w:type="dxa"/>
              <w:bottom w:w="30" w:type="dxa"/>
              <w:right w:w="120" w:type="dxa"/>
            </w:tcMar>
            <w:vAlign w:val="center"/>
          </w:tcPr>
          <w:p w14:paraId="72DB1B5E">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瓶装</w:t>
            </w:r>
            <w:r>
              <w:rPr>
                <w:rFonts w:hint="eastAsia"/>
                <w:color w:val="auto"/>
                <w:sz w:val="21"/>
                <w:szCs w:val="21"/>
              </w:rPr>
              <w:t>SO</w:t>
            </w:r>
            <w:r>
              <w:rPr>
                <w:rFonts w:hint="eastAsia"/>
                <w:color w:val="auto"/>
                <w:sz w:val="21"/>
                <w:szCs w:val="21"/>
                <w:vertAlign w:val="subscript"/>
              </w:rPr>
              <w:t>2</w:t>
            </w:r>
            <w:r>
              <w:rPr>
                <w:rFonts w:hint="eastAsia" w:cs="宋体"/>
                <w:color w:val="auto"/>
                <w:kern w:val="0"/>
                <w:sz w:val="21"/>
                <w:szCs w:val="22"/>
                <w:lang w:bidi="ar"/>
              </w:rPr>
              <w:t>纯度受批次影响，气化波动大，产品质量稳定性差</w:t>
            </w:r>
          </w:p>
        </w:tc>
        <w:tc>
          <w:tcPr>
            <w:tcW w:w="2338" w:type="dxa"/>
            <w:tcMar>
              <w:top w:w="60" w:type="dxa"/>
              <w:left w:w="120" w:type="dxa"/>
              <w:bottom w:w="30" w:type="dxa"/>
              <w:right w:w="120" w:type="dxa"/>
            </w:tcMar>
            <w:vAlign w:val="center"/>
          </w:tcPr>
          <w:p w14:paraId="189E6A0E">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反应转化率高，产品纯度高，杂质含量低，无需额外提纯工序，质量稳定</w:t>
            </w:r>
          </w:p>
        </w:tc>
        <w:tc>
          <w:tcPr>
            <w:tcW w:w="2042" w:type="dxa"/>
            <w:tcMar>
              <w:top w:w="60" w:type="dxa"/>
              <w:left w:w="120" w:type="dxa"/>
              <w:bottom w:w="30" w:type="dxa"/>
              <w:right w:w="120" w:type="dxa"/>
            </w:tcMar>
            <w:vAlign w:val="center"/>
          </w:tcPr>
          <w:p w14:paraId="03FCEADD">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产品杂质含量高，纯度低，质量稳定性差，需额外提纯</w:t>
            </w:r>
          </w:p>
        </w:tc>
        <w:tc>
          <w:tcPr>
            <w:tcW w:w="2039" w:type="dxa"/>
            <w:tcMar>
              <w:top w:w="60" w:type="dxa"/>
              <w:left w:w="120" w:type="dxa"/>
              <w:bottom w:w="30" w:type="dxa"/>
              <w:right w:w="120" w:type="dxa"/>
            </w:tcMar>
            <w:vAlign w:val="center"/>
          </w:tcPr>
          <w:p w14:paraId="7F503158">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工艺成熟，产品质量稳定</w:t>
            </w:r>
          </w:p>
        </w:tc>
        <w:tc>
          <w:tcPr>
            <w:tcW w:w="2045" w:type="dxa"/>
            <w:tcMar>
              <w:top w:w="60" w:type="dxa"/>
              <w:left w:w="120" w:type="dxa"/>
              <w:bottom w:w="30" w:type="dxa"/>
              <w:right w:w="120" w:type="dxa"/>
            </w:tcMar>
            <w:vAlign w:val="center"/>
          </w:tcPr>
          <w:p w14:paraId="28862236">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产品结晶纯度高，杂质含量低，质量稳定</w:t>
            </w:r>
          </w:p>
        </w:tc>
      </w:tr>
      <w:tr w14:paraId="244659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c>
          <w:tcPr>
            <w:tcW w:w="1283" w:type="dxa"/>
            <w:tcMar>
              <w:top w:w="60" w:type="dxa"/>
              <w:left w:w="120" w:type="dxa"/>
              <w:bottom w:w="30" w:type="dxa"/>
              <w:right w:w="120" w:type="dxa"/>
            </w:tcMar>
            <w:vAlign w:val="center"/>
          </w:tcPr>
          <w:p w14:paraId="2088081C">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工艺灵活性与抗风险能力</w:t>
            </w:r>
          </w:p>
        </w:tc>
        <w:tc>
          <w:tcPr>
            <w:tcW w:w="2548" w:type="dxa"/>
            <w:tcMar>
              <w:top w:w="60" w:type="dxa"/>
              <w:left w:w="120" w:type="dxa"/>
              <w:bottom w:w="30" w:type="dxa"/>
              <w:right w:w="120" w:type="dxa"/>
            </w:tcMar>
            <w:vAlign w:val="center"/>
          </w:tcPr>
          <w:p w14:paraId="057E2F9E">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焚硫炉可同时为多套装置供料，可根据市场需求灵活调整亚硫酸钾/钠产品比例</w:t>
            </w:r>
          </w:p>
        </w:tc>
        <w:tc>
          <w:tcPr>
            <w:tcW w:w="2494" w:type="dxa"/>
            <w:tcMar>
              <w:top w:w="60" w:type="dxa"/>
              <w:left w:w="120" w:type="dxa"/>
              <w:bottom w:w="30" w:type="dxa"/>
              <w:right w:w="120" w:type="dxa"/>
            </w:tcMar>
            <w:vAlign w:val="center"/>
          </w:tcPr>
          <w:p w14:paraId="68843E81">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受</w:t>
            </w:r>
            <w:r>
              <w:rPr>
                <w:rFonts w:hint="eastAsia"/>
                <w:color w:val="auto"/>
                <w:sz w:val="21"/>
                <w:szCs w:val="21"/>
              </w:rPr>
              <w:t>SO</w:t>
            </w:r>
            <w:r>
              <w:rPr>
                <w:rFonts w:hint="eastAsia"/>
                <w:color w:val="auto"/>
                <w:sz w:val="21"/>
                <w:szCs w:val="21"/>
                <w:vertAlign w:val="subscript"/>
              </w:rPr>
              <w:t>2</w:t>
            </w:r>
            <w:r>
              <w:rPr>
                <w:rFonts w:hint="eastAsia" w:cs="宋体"/>
                <w:color w:val="auto"/>
                <w:kern w:val="0"/>
                <w:sz w:val="21"/>
                <w:szCs w:val="22"/>
                <w:lang w:bidi="ar"/>
              </w:rPr>
              <w:t>供应限制，产能调整灵活性差，易受市场波动影响</w:t>
            </w:r>
          </w:p>
        </w:tc>
        <w:tc>
          <w:tcPr>
            <w:tcW w:w="2338" w:type="dxa"/>
            <w:tcMar>
              <w:top w:w="60" w:type="dxa"/>
              <w:left w:w="120" w:type="dxa"/>
              <w:bottom w:w="30" w:type="dxa"/>
              <w:right w:w="120" w:type="dxa"/>
            </w:tcMar>
            <w:vAlign w:val="center"/>
          </w:tcPr>
          <w:p w14:paraId="1D1E3AF9">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产品间可根据市场需求灵活切换生产，设备共用度高，抗市场波动能力强</w:t>
            </w:r>
          </w:p>
        </w:tc>
        <w:tc>
          <w:tcPr>
            <w:tcW w:w="2042" w:type="dxa"/>
            <w:tcMar>
              <w:top w:w="60" w:type="dxa"/>
              <w:left w:w="120" w:type="dxa"/>
              <w:bottom w:w="30" w:type="dxa"/>
              <w:right w:w="120" w:type="dxa"/>
            </w:tcMar>
            <w:vAlign w:val="center"/>
          </w:tcPr>
          <w:p w14:paraId="7B264827">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工艺路线单一，无法灵活调整，易受原料供应限制</w:t>
            </w:r>
          </w:p>
        </w:tc>
        <w:tc>
          <w:tcPr>
            <w:tcW w:w="2039" w:type="dxa"/>
            <w:tcMar>
              <w:top w:w="60" w:type="dxa"/>
              <w:left w:w="120" w:type="dxa"/>
              <w:bottom w:w="30" w:type="dxa"/>
              <w:right w:w="120" w:type="dxa"/>
            </w:tcMar>
            <w:vAlign w:val="center"/>
          </w:tcPr>
          <w:p w14:paraId="7B3CB665">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工艺成熟，产能稳定</w:t>
            </w:r>
          </w:p>
        </w:tc>
        <w:tc>
          <w:tcPr>
            <w:tcW w:w="2045" w:type="dxa"/>
            <w:tcMar>
              <w:top w:w="60" w:type="dxa"/>
              <w:left w:w="120" w:type="dxa"/>
              <w:bottom w:w="30" w:type="dxa"/>
              <w:right w:w="120" w:type="dxa"/>
            </w:tcMar>
            <w:vAlign w:val="center"/>
          </w:tcPr>
          <w:p w14:paraId="26838035">
            <w:pPr>
              <w:widowControl/>
              <w:spacing w:line="240" w:lineRule="auto"/>
              <w:ind w:firstLine="0" w:firstLineChars="0"/>
              <w:jc w:val="center"/>
              <w:textAlignment w:val="center"/>
              <w:rPr>
                <w:color w:val="auto"/>
                <w:sz w:val="21"/>
              </w:rPr>
            </w:pPr>
            <w:r>
              <w:rPr>
                <w:rFonts w:hint="eastAsia" w:cs="宋体"/>
                <w:color w:val="auto"/>
                <w:kern w:val="0"/>
                <w:sz w:val="21"/>
                <w:szCs w:val="22"/>
                <w:lang w:bidi="ar"/>
              </w:rPr>
              <w:t>可与氨法工艺互补，根据原料价格灵活切换，抗风险能力强</w:t>
            </w:r>
          </w:p>
        </w:tc>
      </w:tr>
    </w:tbl>
    <w:p w14:paraId="726BD28A">
      <w:pPr>
        <w:spacing w:line="240" w:lineRule="auto"/>
        <w:ind w:firstLine="0" w:firstLineChars="0"/>
        <w:jc w:val="center"/>
        <w:rPr>
          <w:b/>
          <w:bCs/>
          <w:color w:val="auto"/>
          <w:kern w:val="28"/>
          <w:szCs w:val="32"/>
        </w:rPr>
        <w:sectPr>
          <w:pgSz w:w="16838" w:h="11906" w:orient="landscape"/>
          <w:pgMar w:top="1134" w:right="1134" w:bottom="1134" w:left="1134" w:header="851" w:footer="992" w:gutter="0"/>
          <w:cols w:space="425" w:num="1"/>
          <w:docGrid w:type="lines" w:linePitch="312" w:charSpace="0"/>
        </w:sectPr>
      </w:pPr>
    </w:p>
    <w:p w14:paraId="712CCC4B">
      <w:pPr>
        <w:pStyle w:val="4"/>
        <w:rPr>
          <w:color w:val="auto"/>
        </w:rPr>
      </w:pPr>
      <w:bookmarkStart w:id="166" w:name="_Toc10772"/>
      <w:r>
        <w:rPr>
          <w:rFonts w:hint="eastAsia"/>
          <w:color w:val="auto"/>
        </w:rPr>
        <w:t>4.8.2</w:t>
      </w:r>
      <w:r>
        <w:rPr>
          <w:color w:val="auto"/>
        </w:rPr>
        <w:t>设备水平</w:t>
      </w:r>
      <w:r>
        <w:rPr>
          <w:rFonts w:hint="eastAsia"/>
          <w:color w:val="auto"/>
        </w:rPr>
        <w:t>及过程控制先进性</w:t>
      </w:r>
      <w:bookmarkEnd w:id="166"/>
    </w:p>
    <w:p w14:paraId="59121F26">
      <w:pPr>
        <w:ind w:firstLine="480"/>
        <w:rPr>
          <w:color w:val="auto"/>
        </w:rPr>
      </w:pPr>
      <w:r>
        <w:rPr>
          <w:rFonts w:hint="eastAsia"/>
          <w:color w:val="auto"/>
        </w:rPr>
        <w:t>（1）全流程密闭化与自动化替代敞开式生产</w:t>
      </w:r>
    </w:p>
    <w:p w14:paraId="24438712">
      <w:pPr>
        <w:ind w:firstLine="480"/>
        <w:rPr>
          <w:color w:val="auto"/>
        </w:rPr>
      </w:pPr>
      <w:r>
        <w:rPr>
          <w:rFonts w:hint="eastAsia"/>
          <w:color w:val="auto"/>
        </w:rPr>
        <w:t>拟建项目针对硫代硫酸盐、亚硫酸盐溶液及粉体物料的输送、分离与包装环节，采用自动化、密闭化工艺替代传统敞开式作业，减少物料与外界接触频率，从源头降低无组织排放风险。例如：采用全自动固液分离器、密闭自动转料机、粉体自动包装机等设备，实现固液分离、物料输送及成品包装的全流程密闭运行，既大幅降低了劳动强度，又显著提高了劳动生产率与生产过程的稳定性。</w:t>
      </w:r>
    </w:p>
    <w:p w14:paraId="272AA090">
      <w:pPr>
        <w:ind w:firstLine="480"/>
        <w:rPr>
          <w:color w:val="auto"/>
        </w:rPr>
      </w:pPr>
      <w:r>
        <w:rPr>
          <w:rFonts w:hint="eastAsia"/>
          <w:color w:val="auto"/>
        </w:rPr>
        <w:t>（2）高效真空与冷凝回收系统控制无组织排放</w:t>
      </w:r>
    </w:p>
    <w:p w14:paraId="6165FC4A">
      <w:pPr>
        <w:ind w:firstLine="480"/>
        <w:rPr>
          <w:color w:val="auto"/>
        </w:rPr>
      </w:pPr>
      <w:r>
        <w:rPr>
          <w:rFonts w:hint="eastAsia"/>
          <w:color w:val="auto"/>
        </w:rPr>
        <w:t>拟建项目优先采用喷射真空泵、罗茨真空泵等高效真空设备，并在真空泵前后缓冲罐上根据溶剂及挥发性气体浓度配置不锈钢冷凝器；对低沸点组分及含氨、含硫废气，采用低温冷冻介质进行深度冷凝回收，冷凝后的不凝性尾气经收集后送入废气处理系统进一步净化。若工艺需要采用水环真空泵，将配套带冷却系统的循环液水槽，在保证体系真空度的同时，最大限度减少含氨、含硫等无组织气体的挥发排放，实现挥发性物料的高效回收与减排。</w:t>
      </w:r>
    </w:p>
    <w:p w14:paraId="2EA6DD96">
      <w:pPr>
        <w:ind w:firstLine="480"/>
        <w:rPr>
          <w:color w:val="auto"/>
        </w:rPr>
      </w:pPr>
      <w:r>
        <w:rPr>
          <w:rFonts w:hint="eastAsia"/>
          <w:color w:val="auto"/>
        </w:rPr>
        <w:t>（3）固液分离过程全密闭，降低粉尘与废气逸散</w:t>
      </w:r>
    </w:p>
    <w:p w14:paraId="2169A097">
      <w:pPr>
        <w:ind w:firstLine="480"/>
        <w:rPr>
          <w:color w:val="auto"/>
        </w:rPr>
      </w:pPr>
      <w:r>
        <w:rPr>
          <w:rFonts w:hint="eastAsia"/>
          <w:color w:val="auto"/>
        </w:rPr>
        <w:t>拟建针对硫代硫酸盐、亚硫酸盐产品的固液分离工序，采用全自动密闭离心机、三合一压滤机等设备，实现物料在密闭系统内的进料、分离与排渣，避免含硫、含氨物料及粉体直接暴露，有效减少粉尘及有害气体逸散，改善作业环境。</w:t>
      </w:r>
    </w:p>
    <w:p w14:paraId="48161468">
      <w:pPr>
        <w:ind w:firstLine="480"/>
        <w:rPr>
          <w:color w:val="auto"/>
        </w:rPr>
      </w:pPr>
      <w:r>
        <w:rPr>
          <w:rFonts w:hint="eastAsia"/>
          <w:color w:val="auto"/>
        </w:rPr>
        <w:t>（4）密闭式干燥与重力流工艺，减少二次转运损耗</w:t>
      </w:r>
    </w:p>
    <w:p w14:paraId="38ED61F1">
      <w:pPr>
        <w:ind w:firstLine="480"/>
        <w:rPr>
          <w:color w:val="auto"/>
        </w:rPr>
      </w:pPr>
      <w:r>
        <w:rPr>
          <w:rFonts w:hint="eastAsia"/>
          <w:color w:val="auto"/>
        </w:rPr>
        <w:t>拟建项目采用密闭式干燥设备对物料进行干燥，并充分利用物料重力特性，采用自上而下的工艺流设计，使干燥后的物料直接进入后续粉碎、包装工序，大幅减少二次转运环节，降低物料损耗与人工接触风险。同时，在干燥、粉碎及包装工段设置微负压系统，在保证工作环境安全的前提下，将物料损耗降至最低，减少粉尘及挥发性气体的外逸。</w:t>
      </w:r>
    </w:p>
    <w:p w14:paraId="2AC7DE7F">
      <w:pPr>
        <w:ind w:firstLine="480"/>
        <w:rPr>
          <w:color w:val="auto"/>
        </w:rPr>
      </w:pPr>
      <w:r>
        <w:rPr>
          <w:rFonts w:hint="eastAsia"/>
          <w:color w:val="auto"/>
        </w:rPr>
        <w:t>（5）建立LDAR体系，强化设备泄漏防控</w:t>
      </w:r>
    </w:p>
    <w:p w14:paraId="0BEE80E3">
      <w:pPr>
        <w:ind w:firstLine="480"/>
        <w:rPr>
          <w:color w:val="auto"/>
        </w:rPr>
      </w:pPr>
      <w:r>
        <w:rPr>
          <w:rFonts w:hint="eastAsia"/>
          <w:color w:val="auto"/>
        </w:rPr>
        <w:t>拟建项目针对生产储运设备与管线组件、工艺排气管道、废气收集管线、废水输送管线及化学品储罐等环节，建立完善的泄漏检测与修复（LDAR）体系。对压缩机、泵、阀门、法兰等易泄漏设备及管线组件，制定定期检测与及时修复制度，重点防控含氨、含硫介质及挥发性物料的跑冒滴漏，从源头减少无组织排放。</w:t>
      </w:r>
    </w:p>
    <w:p w14:paraId="5FD17133">
      <w:pPr>
        <w:ind w:firstLine="480"/>
        <w:rPr>
          <w:color w:val="auto"/>
        </w:rPr>
      </w:pPr>
      <w:r>
        <w:rPr>
          <w:rFonts w:hint="eastAsia"/>
          <w:color w:val="auto"/>
        </w:rPr>
        <w:t>（6）先进自控系统保障安全运行与能源管理</w:t>
      </w:r>
    </w:p>
    <w:p w14:paraId="7418E483">
      <w:pPr>
        <w:ind w:firstLine="480"/>
        <w:rPr>
          <w:color w:val="auto"/>
        </w:rPr>
      </w:pPr>
      <w:r>
        <w:rPr>
          <w:rFonts w:hint="eastAsia"/>
          <w:color w:val="auto"/>
        </w:rPr>
        <w:t>拟建项目自控系统遵循“经济合理、技术先进、运行可靠、操作方便”的原则，根据硫系产品生产装置的规模、流程特点及工艺操作要求，对生产过程中的温度、压力、流量、液位等关键参数进行集中控制与远程监控。同时，将水、电、蒸汽等能源消耗的计量数据通过远程计量仪表接入控制系统，实现能源消耗与生产工况的联动管理，既保证了焚硫炉、吸收塔、反应釜等关键装置的安全稳定运行，又能及时优化工艺参数，降低单位产品能耗，提升整体生产管理水平。</w:t>
      </w:r>
    </w:p>
    <w:p w14:paraId="25CBA9DC">
      <w:pPr>
        <w:ind w:firstLine="480"/>
        <w:rPr>
          <w:color w:val="auto"/>
        </w:rPr>
      </w:pPr>
      <w:r>
        <w:rPr>
          <w:rFonts w:hint="eastAsia"/>
          <w:color w:val="auto"/>
        </w:rPr>
        <w:t>通过上述自动化、密闭化及节能降耗措施，拟建项目有效落实了“预防为主、源头控制”的清洁生产方针，设备配置与运行管理水平符合国家清洁生产对装备先进性的要求。</w:t>
      </w:r>
    </w:p>
    <w:p w14:paraId="7DE4731F">
      <w:pPr>
        <w:pStyle w:val="4"/>
        <w:rPr>
          <w:color w:val="auto"/>
        </w:rPr>
      </w:pPr>
      <w:bookmarkStart w:id="167" w:name="_Toc1253"/>
      <w:r>
        <w:rPr>
          <w:rFonts w:hint="eastAsia"/>
          <w:color w:val="auto"/>
        </w:rPr>
        <w:t>4.8.3物耗、能耗、水耗</w:t>
      </w:r>
      <w:bookmarkEnd w:id="167"/>
    </w:p>
    <w:p w14:paraId="4837BAAD">
      <w:pPr>
        <w:pStyle w:val="7"/>
        <w:spacing w:line="460" w:lineRule="exact"/>
        <w:ind w:firstLine="480"/>
        <w:rPr>
          <w:color w:val="auto"/>
        </w:rPr>
      </w:pPr>
      <w:r>
        <w:rPr>
          <w:rFonts w:hint="eastAsia"/>
          <w:color w:val="auto"/>
        </w:rPr>
        <w:t>拟建项目产品物耗、能耗、水耗、产污对比国内其他企业同类型项目，单位产品能耗、物耗、水耗均优于其，详见下表。</w:t>
      </w:r>
    </w:p>
    <w:p w14:paraId="206BD95F">
      <w:pPr>
        <w:autoSpaceDE w:val="0"/>
        <w:autoSpaceDN w:val="0"/>
        <w:spacing w:line="500" w:lineRule="atLeast"/>
        <w:ind w:firstLine="0" w:firstLineChars="0"/>
        <w:jc w:val="center"/>
        <w:rPr>
          <w:b/>
          <w:bCs/>
          <w:color w:val="auto"/>
          <w:kern w:val="0"/>
          <w:szCs w:val="19"/>
        </w:rPr>
      </w:pPr>
      <w:r>
        <w:rPr>
          <w:b/>
          <w:bCs/>
          <w:color w:val="auto"/>
          <w:kern w:val="0"/>
          <w:szCs w:val="19"/>
        </w:rPr>
        <w:t>表</w:t>
      </w:r>
      <w:r>
        <w:rPr>
          <w:rFonts w:hint="eastAsia"/>
          <w:b/>
          <w:bCs/>
          <w:color w:val="auto"/>
          <w:kern w:val="0"/>
          <w:szCs w:val="19"/>
        </w:rPr>
        <w:t>4.8-3</w:t>
      </w:r>
      <w:r>
        <w:rPr>
          <w:b/>
          <w:bCs/>
          <w:color w:val="auto"/>
          <w:kern w:val="0"/>
          <w:szCs w:val="19"/>
        </w:rPr>
        <w:t xml:space="preserve"> </w:t>
      </w:r>
      <w:r>
        <w:rPr>
          <w:rFonts w:hint="eastAsia"/>
          <w:b/>
          <w:bCs/>
          <w:color w:val="auto"/>
          <w:kern w:val="0"/>
          <w:szCs w:val="19"/>
        </w:rPr>
        <w:t xml:space="preserve"> 拟</w:t>
      </w:r>
      <w:r>
        <w:rPr>
          <w:rFonts w:ascii="Calibri" w:hAnsi="Calibri"/>
          <w:b/>
          <w:color w:val="auto"/>
          <w:szCs w:val="28"/>
        </w:rPr>
        <w:t>建项目与同行业</w:t>
      </w:r>
      <w:r>
        <w:rPr>
          <w:rFonts w:hint="eastAsia"/>
          <w:b/>
          <w:bCs/>
          <w:color w:val="auto"/>
          <w:kern w:val="0"/>
          <w:szCs w:val="19"/>
        </w:rPr>
        <w:t>物耗</w:t>
      </w:r>
      <w:r>
        <w:rPr>
          <w:b/>
          <w:bCs/>
          <w:color w:val="auto"/>
          <w:kern w:val="0"/>
          <w:szCs w:val="19"/>
        </w:rPr>
        <w:t>指标对比</w:t>
      </w:r>
      <w:r>
        <w:rPr>
          <w:rFonts w:hint="eastAsia"/>
          <w:b/>
          <w:color w:val="auto"/>
          <w:szCs w:val="28"/>
        </w:rPr>
        <w:t>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731"/>
        <w:gridCol w:w="1792"/>
        <w:gridCol w:w="2250"/>
        <w:gridCol w:w="2113"/>
        <w:gridCol w:w="2752"/>
      </w:tblGrid>
      <w:tr w14:paraId="170190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5" w:hRule="atLeast"/>
          <w:jc w:val="center"/>
        </w:trPr>
        <w:tc>
          <w:tcPr>
            <w:tcW w:w="731" w:type="dxa"/>
            <w:tcBorders>
              <w:tl2br w:val="nil"/>
              <w:tr2bl w:val="nil"/>
            </w:tcBorders>
            <w:vAlign w:val="center"/>
          </w:tcPr>
          <w:p w14:paraId="0B386F97">
            <w:pPr>
              <w:widowControl/>
              <w:spacing w:line="240" w:lineRule="auto"/>
              <w:ind w:firstLine="0" w:firstLineChars="0"/>
              <w:jc w:val="center"/>
              <w:textAlignment w:val="center"/>
              <w:rPr>
                <w:b/>
                <w:color w:val="auto"/>
                <w:sz w:val="21"/>
                <w:szCs w:val="21"/>
              </w:rPr>
            </w:pPr>
            <w:r>
              <w:rPr>
                <w:b/>
                <w:color w:val="auto"/>
                <w:kern w:val="0"/>
                <w:sz w:val="21"/>
                <w:szCs w:val="21"/>
                <w:lang w:bidi="ar"/>
              </w:rPr>
              <w:t>类别</w:t>
            </w:r>
          </w:p>
        </w:tc>
        <w:tc>
          <w:tcPr>
            <w:tcW w:w="1792" w:type="dxa"/>
            <w:tcBorders>
              <w:tl2br w:val="nil"/>
              <w:tr2bl w:val="nil"/>
            </w:tcBorders>
            <w:vAlign w:val="center"/>
          </w:tcPr>
          <w:p w14:paraId="1E9E0AE0">
            <w:pPr>
              <w:widowControl/>
              <w:spacing w:line="240" w:lineRule="auto"/>
              <w:ind w:firstLine="0" w:firstLineChars="0"/>
              <w:jc w:val="center"/>
              <w:textAlignment w:val="center"/>
              <w:rPr>
                <w:b/>
                <w:color w:val="auto"/>
                <w:sz w:val="21"/>
                <w:szCs w:val="21"/>
              </w:rPr>
            </w:pPr>
            <w:r>
              <w:rPr>
                <w:b/>
                <w:color w:val="auto"/>
                <w:kern w:val="0"/>
                <w:sz w:val="21"/>
                <w:szCs w:val="21"/>
                <w:lang w:bidi="ar"/>
              </w:rPr>
              <w:t>生产线</w:t>
            </w:r>
          </w:p>
        </w:tc>
        <w:tc>
          <w:tcPr>
            <w:tcW w:w="2250" w:type="dxa"/>
            <w:tcBorders>
              <w:tl2br w:val="nil"/>
              <w:tr2bl w:val="nil"/>
            </w:tcBorders>
            <w:vAlign w:val="center"/>
          </w:tcPr>
          <w:p w14:paraId="599236AA">
            <w:pPr>
              <w:widowControl/>
              <w:spacing w:line="240" w:lineRule="auto"/>
              <w:ind w:firstLine="0" w:firstLineChars="0"/>
              <w:jc w:val="center"/>
              <w:textAlignment w:val="center"/>
              <w:rPr>
                <w:b/>
                <w:color w:val="auto"/>
                <w:sz w:val="21"/>
                <w:szCs w:val="21"/>
              </w:rPr>
            </w:pPr>
            <w:r>
              <w:rPr>
                <w:b/>
                <w:color w:val="auto"/>
                <w:kern w:val="0"/>
                <w:sz w:val="21"/>
                <w:szCs w:val="21"/>
                <w:lang w:bidi="ar"/>
              </w:rPr>
              <w:t>主要原辅料名称</w:t>
            </w:r>
          </w:p>
        </w:tc>
        <w:tc>
          <w:tcPr>
            <w:tcW w:w="2113" w:type="dxa"/>
            <w:tcBorders>
              <w:tl2br w:val="nil"/>
              <w:tr2bl w:val="nil"/>
            </w:tcBorders>
            <w:vAlign w:val="center"/>
          </w:tcPr>
          <w:p w14:paraId="2BE8AC10">
            <w:pPr>
              <w:widowControl/>
              <w:spacing w:line="240" w:lineRule="auto"/>
              <w:ind w:firstLine="0" w:firstLineChars="0"/>
              <w:jc w:val="center"/>
              <w:textAlignment w:val="center"/>
              <w:rPr>
                <w:b/>
                <w:color w:val="auto"/>
                <w:kern w:val="0"/>
                <w:sz w:val="21"/>
                <w:szCs w:val="21"/>
                <w:lang w:bidi="ar"/>
              </w:rPr>
            </w:pPr>
            <w:r>
              <w:rPr>
                <w:b/>
                <w:color w:val="auto"/>
                <w:kern w:val="0"/>
                <w:sz w:val="21"/>
                <w:szCs w:val="21"/>
                <w:lang w:bidi="ar"/>
              </w:rPr>
              <w:t>拟建项目单耗t/t产品</w:t>
            </w:r>
          </w:p>
        </w:tc>
        <w:tc>
          <w:tcPr>
            <w:tcW w:w="2752" w:type="dxa"/>
            <w:tcBorders>
              <w:tl2br w:val="nil"/>
              <w:tr2bl w:val="nil"/>
            </w:tcBorders>
            <w:vAlign w:val="center"/>
          </w:tcPr>
          <w:p w14:paraId="2B4BD3C3">
            <w:pPr>
              <w:widowControl/>
              <w:spacing w:line="240" w:lineRule="auto"/>
              <w:ind w:firstLine="0" w:firstLineChars="0"/>
              <w:jc w:val="center"/>
              <w:textAlignment w:val="center"/>
              <w:rPr>
                <w:b/>
                <w:color w:val="auto"/>
                <w:kern w:val="0"/>
                <w:sz w:val="21"/>
                <w:szCs w:val="21"/>
                <w:lang w:bidi="ar"/>
              </w:rPr>
            </w:pPr>
            <w:r>
              <w:rPr>
                <w:rFonts w:hint="eastAsia"/>
                <w:b/>
                <w:color w:val="auto"/>
                <w:kern w:val="0"/>
                <w:sz w:val="21"/>
                <w:szCs w:val="21"/>
                <w:lang w:bidi="ar"/>
              </w:rPr>
              <w:t>对比其他企业同类项目</w:t>
            </w:r>
            <w:r>
              <w:rPr>
                <w:b/>
                <w:color w:val="auto"/>
                <w:kern w:val="0"/>
                <w:sz w:val="21"/>
                <w:szCs w:val="21"/>
                <w:lang w:bidi="ar"/>
              </w:rPr>
              <w:t>单耗t/t产品</w:t>
            </w:r>
          </w:p>
        </w:tc>
      </w:tr>
      <w:tr w14:paraId="72F6C1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5" w:hRule="atLeast"/>
          <w:jc w:val="center"/>
        </w:trPr>
        <w:tc>
          <w:tcPr>
            <w:tcW w:w="731" w:type="dxa"/>
            <w:vMerge w:val="restart"/>
            <w:tcBorders>
              <w:tl2br w:val="nil"/>
              <w:tr2bl w:val="nil"/>
            </w:tcBorders>
            <w:vAlign w:val="center"/>
          </w:tcPr>
          <w:p w14:paraId="25B1E394">
            <w:pPr>
              <w:widowControl/>
              <w:spacing w:line="240" w:lineRule="auto"/>
              <w:ind w:firstLine="0" w:firstLineChars="0"/>
              <w:jc w:val="center"/>
              <w:textAlignment w:val="center"/>
              <w:rPr>
                <w:color w:val="auto"/>
                <w:sz w:val="21"/>
                <w:szCs w:val="21"/>
              </w:rPr>
            </w:pPr>
            <w:r>
              <w:rPr>
                <w:color w:val="auto"/>
                <w:kern w:val="0"/>
                <w:sz w:val="21"/>
                <w:szCs w:val="21"/>
                <w:lang w:bidi="ar"/>
              </w:rPr>
              <w:t>物耗</w:t>
            </w:r>
          </w:p>
        </w:tc>
        <w:tc>
          <w:tcPr>
            <w:tcW w:w="1792" w:type="dxa"/>
            <w:vMerge w:val="restart"/>
            <w:tcBorders>
              <w:tl2br w:val="nil"/>
              <w:tr2bl w:val="nil"/>
            </w:tcBorders>
            <w:vAlign w:val="center"/>
          </w:tcPr>
          <w:p w14:paraId="3AD222DB">
            <w:pPr>
              <w:widowControl/>
              <w:spacing w:line="240" w:lineRule="auto"/>
              <w:ind w:firstLine="0" w:firstLineChars="0"/>
              <w:jc w:val="center"/>
              <w:textAlignment w:val="center"/>
              <w:rPr>
                <w:color w:val="auto"/>
                <w:sz w:val="21"/>
                <w:szCs w:val="21"/>
              </w:rPr>
            </w:pPr>
            <w:r>
              <w:rPr>
                <w:rFonts w:hint="eastAsia"/>
                <w:color w:val="auto"/>
                <w:sz w:val="21"/>
                <w:szCs w:val="21"/>
              </w:rPr>
              <w:t>96%亚硫酸钾</w:t>
            </w:r>
          </w:p>
        </w:tc>
        <w:tc>
          <w:tcPr>
            <w:tcW w:w="2250" w:type="dxa"/>
            <w:tcBorders>
              <w:tl2br w:val="nil"/>
              <w:tr2bl w:val="nil"/>
            </w:tcBorders>
            <w:vAlign w:val="center"/>
          </w:tcPr>
          <w:p w14:paraId="64CF4896">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5C9F7DA8">
            <w:pPr>
              <w:widowControl/>
              <w:spacing w:line="240" w:lineRule="auto"/>
              <w:ind w:firstLine="0" w:firstLineChars="0"/>
              <w:jc w:val="center"/>
              <w:textAlignment w:val="center"/>
              <w:rPr>
                <w:color w:val="auto"/>
                <w:sz w:val="21"/>
                <w:szCs w:val="21"/>
              </w:rPr>
            </w:pPr>
          </w:p>
        </w:tc>
        <w:tc>
          <w:tcPr>
            <w:tcW w:w="2752" w:type="dxa"/>
            <w:tcBorders>
              <w:tl2br w:val="nil"/>
              <w:tr2bl w:val="nil"/>
            </w:tcBorders>
            <w:noWrap/>
            <w:vAlign w:val="center"/>
          </w:tcPr>
          <w:p w14:paraId="0078FC87">
            <w:pPr>
              <w:widowControl/>
              <w:spacing w:line="240" w:lineRule="auto"/>
              <w:ind w:firstLine="0" w:firstLineChars="0"/>
              <w:jc w:val="center"/>
              <w:textAlignment w:val="center"/>
              <w:rPr>
                <w:rFonts w:cs="宋体"/>
                <w:color w:val="auto"/>
                <w:kern w:val="0"/>
                <w:sz w:val="21"/>
                <w:szCs w:val="22"/>
                <w:lang w:bidi="ar"/>
              </w:rPr>
            </w:pPr>
          </w:p>
        </w:tc>
      </w:tr>
      <w:tr w14:paraId="3850E4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5" w:hRule="atLeast"/>
          <w:jc w:val="center"/>
        </w:trPr>
        <w:tc>
          <w:tcPr>
            <w:tcW w:w="731" w:type="dxa"/>
            <w:vMerge w:val="continue"/>
            <w:tcBorders>
              <w:tl2br w:val="nil"/>
              <w:tr2bl w:val="nil"/>
            </w:tcBorders>
            <w:vAlign w:val="center"/>
          </w:tcPr>
          <w:p w14:paraId="460598F1">
            <w:pPr>
              <w:widowControl/>
              <w:spacing w:line="240" w:lineRule="auto"/>
              <w:ind w:firstLine="0" w:firstLineChars="0"/>
              <w:jc w:val="center"/>
              <w:rPr>
                <w:color w:val="auto"/>
                <w:sz w:val="21"/>
                <w:szCs w:val="21"/>
              </w:rPr>
            </w:pPr>
          </w:p>
        </w:tc>
        <w:tc>
          <w:tcPr>
            <w:tcW w:w="1792" w:type="dxa"/>
            <w:vMerge w:val="continue"/>
            <w:tcBorders>
              <w:tl2br w:val="nil"/>
              <w:tr2bl w:val="nil"/>
            </w:tcBorders>
            <w:vAlign w:val="center"/>
          </w:tcPr>
          <w:p w14:paraId="397E1EA2">
            <w:pPr>
              <w:widowControl/>
              <w:spacing w:line="240" w:lineRule="auto"/>
              <w:ind w:firstLine="0" w:firstLineChars="0"/>
              <w:jc w:val="center"/>
              <w:textAlignment w:val="center"/>
              <w:rPr>
                <w:color w:val="auto"/>
                <w:sz w:val="21"/>
                <w:szCs w:val="21"/>
              </w:rPr>
            </w:pPr>
          </w:p>
        </w:tc>
        <w:tc>
          <w:tcPr>
            <w:tcW w:w="2250" w:type="dxa"/>
            <w:tcBorders>
              <w:tl2br w:val="nil"/>
              <w:tr2bl w:val="nil"/>
            </w:tcBorders>
            <w:vAlign w:val="center"/>
          </w:tcPr>
          <w:p w14:paraId="775DA69A">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52E47176">
            <w:pPr>
              <w:widowControl/>
              <w:spacing w:line="240" w:lineRule="auto"/>
              <w:ind w:firstLine="0" w:firstLineChars="0"/>
              <w:jc w:val="center"/>
              <w:textAlignment w:val="center"/>
              <w:rPr>
                <w:color w:val="auto"/>
                <w:sz w:val="21"/>
                <w:szCs w:val="21"/>
              </w:rPr>
            </w:pPr>
          </w:p>
        </w:tc>
        <w:tc>
          <w:tcPr>
            <w:tcW w:w="2752" w:type="dxa"/>
            <w:tcBorders>
              <w:tl2br w:val="nil"/>
              <w:tr2bl w:val="nil"/>
            </w:tcBorders>
            <w:vAlign w:val="center"/>
          </w:tcPr>
          <w:p w14:paraId="6A4E4913">
            <w:pPr>
              <w:widowControl/>
              <w:spacing w:line="240" w:lineRule="auto"/>
              <w:ind w:firstLine="0" w:firstLineChars="0"/>
              <w:jc w:val="center"/>
              <w:textAlignment w:val="center"/>
              <w:rPr>
                <w:rFonts w:cs="宋体"/>
                <w:color w:val="auto"/>
                <w:kern w:val="0"/>
                <w:sz w:val="21"/>
                <w:szCs w:val="22"/>
                <w:lang w:bidi="ar"/>
              </w:rPr>
            </w:pPr>
          </w:p>
        </w:tc>
      </w:tr>
      <w:tr w14:paraId="211961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5" w:hRule="atLeast"/>
          <w:jc w:val="center"/>
        </w:trPr>
        <w:tc>
          <w:tcPr>
            <w:tcW w:w="731" w:type="dxa"/>
            <w:vMerge w:val="continue"/>
            <w:tcBorders>
              <w:tl2br w:val="nil"/>
              <w:tr2bl w:val="nil"/>
            </w:tcBorders>
            <w:vAlign w:val="center"/>
          </w:tcPr>
          <w:p w14:paraId="2B72C2FC">
            <w:pPr>
              <w:widowControl/>
              <w:spacing w:line="240" w:lineRule="auto"/>
              <w:ind w:firstLine="0" w:firstLineChars="0"/>
              <w:jc w:val="center"/>
              <w:rPr>
                <w:color w:val="auto"/>
                <w:sz w:val="21"/>
                <w:szCs w:val="21"/>
              </w:rPr>
            </w:pPr>
          </w:p>
        </w:tc>
        <w:tc>
          <w:tcPr>
            <w:tcW w:w="1792" w:type="dxa"/>
            <w:vMerge w:val="restart"/>
            <w:tcBorders>
              <w:tl2br w:val="nil"/>
              <w:tr2bl w:val="nil"/>
            </w:tcBorders>
            <w:vAlign w:val="center"/>
          </w:tcPr>
          <w:p w14:paraId="3D68066B">
            <w:pPr>
              <w:widowControl/>
              <w:spacing w:line="240" w:lineRule="auto"/>
              <w:ind w:firstLine="0" w:firstLineChars="0"/>
              <w:jc w:val="center"/>
              <w:textAlignment w:val="center"/>
              <w:rPr>
                <w:color w:val="auto"/>
                <w:sz w:val="21"/>
                <w:szCs w:val="21"/>
              </w:rPr>
            </w:pPr>
            <w:r>
              <w:rPr>
                <w:rFonts w:hint="eastAsia"/>
                <w:color w:val="auto"/>
                <w:sz w:val="21"/>
                <w:szCs w:val="21"/>
              </w:rPr>
              <w:t>96%亚硫酸钠</w:t>
            </w:r>
          </w:p>
        </w:tc>
        <w:tc>
          <w:tcPr>
            <w:tcW w:w="2250" w:type="dxa"/>
            <w:tcBorders>
              <w:tl2br w:val="nil"/>
              <w:tr2bl w:val="nil"/>
            </w:tcBorders>
            <w:noWrap/>
            <w:vAlign w:val="center"/>
          </w:tcPr>
          <w:p w14:paraId="4A38FD6F">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6D627931">
            <w:pPr>
              <w:widowControl/>
              <w:spacing w:line="240" w:lineRule="auto"/>
              <w:ind w:firstLine="0" w:firstLineChars="0"/>
              <w:jc w:val="center"/>
              <w:textAlignment w:val="center"/>
              <w:rPr>
                <w:color w:val="auto"/>
                <w:sz w:val="21"/>
                <w:szCs w:val="21"/>
              </w:rPr>
            </w:pPr>
          </w:p>
        </w:tc>
        <w:tc>
          <w:tcPr>
            <w:tcW w:w="2752" w:type="dxa"/>
            <w:tcBorders>
              <w:tl2br w:val="nil"/>
              <w:tr2bl w:val="nil"/>
            </w:tcBorders>
            <w:noWrap/>
            <w:vAlign w:val="center"/>
          </w:tcPr>
          <w:p w14:paraId="1094BFBC">
            <w:pPr>
              <w:widowControl/>
              <w:spacing w:line="240" w:lineRule="auto"/>
              <w:ind w:firstLine="0" w:firstLineChars="0"/>
              <w:jc w:val="center"/>
              <w:textAlignment w:val="center"/>
              <w:rPr>
                <w:rFonts w:cs="宋体"/>
                <w:color w:val="auto"/>
                <w:kern w:val="0"/>
                <w:sz w:val="21"/>
                <w:szCs w:val="22"/>
                <w:lang w:bidi="ar"/>
              </w:rPr>
            </w:pPr>
          </w:p>
        </w:tc>
      </w:tr>
      <w:tr w14:paraId="3CE75A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731" w:type="dxa"/>
            <w:vMerge w:val="continue"/>
            <w:tcBorders>
              <w:tl2br w:val="nil"/>
              <w:tr2bl w:val="nil"/>
            </w:tcBorders>
            <w:vAlign w:val="center"/>
          </w:tcPr>
          <w:p w14:paraId="16D6799A">
            <w:pPr>
              <w:widowControl/>
              <w:spacing w:line="240" w:lineRule="auto"/>
              <w:ind w:firstLine="0" w:firstLineChars="0"/>
              <w:jc w:val="center"/>
              <w:rPr>
                <w:color w:val="auto"/>
                <w:sz w:val="21"/>
                <w:szCs w:val="21"/>
              </w:rPr>
            </w:pPr>
          </w:p>
        </w:tc>
        <w:tc>
          <w:tcPr>
            <w:tcW w:w="1792" w:type="dxa"/>
            <w:vMerge w:val="continue"/>
            <w:tcBorders>
              <w:tl2br w:val="nil"/>
              <w:tr2bl w:val="nil"/>
            </w:tcBorders>
            <w:vAlign w:val="center"/>
          </w:tcPr>
          <w:p w14:paraId="58D26E7D">
            <w:pPr>
              <w:widowControl/>
              <w:spacing w:line="240" w:lineRule="auto"/>
              <w:ind w:firstLine="0" w:firstLineChars="0"/>
              <w:jc w:val="center"/>
              <w:textAlignment w:val="center"/>
              <w:rPr>
                <w:color w:val="auto"/>
                <w:sz w:val="21"/>
                <w:szCs w:val="21"/>
              </w:rPr>
            </w:pPr>
          </w:p>
        </w:tc>
        <w:tc>
          <w:tcPr>
            <w:tcW w:w="2250" w:type="dxa"/>
            <w:tcBorders>
              <w:tl2br w:val="nil"/>
              <w:tr2bl w:val="nil"/>
            </w:tcBorders>
            <w:noWrap/>
            <w:vAlign w:val="center"/>
          </w:tcPr>
          <w:p w14:paraId="06E6287C">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14398BEC">
            <w:pPr>
              <w:widowControl/>
              <w:spacing w:line="240" w:lineRule="auto"/>
              <w:ind w:firstLine="0" w:firstLineChars="0"/>
              <w:jc w:val="center"/>
              <w:textAlignment w:val="center"/>
              <w:rPr>
                <w:color w:val="auto"/>
                <w:sz w:val="21"/>
                <w:szCs w:val="21"/>
              </w:rPr>
            </w:pPr>
          </w:p>
        </w:tc>
        <w:tc>
          <w:tcPr>
            <w:tcW w:w="2752" w:type="dxa"/>
            <w:tcBorders>
              <w:tl2br w:val="nil"/>
              <w:tr2bl w:val="nil"/>
            </w:tcBorders>
            <w:vAlign w:val="center"/>
          </w:tcPr>
          <w:p w14:paraId="296AFCC5">
            <w:pPr>
              <w:widowControl/>
              <w:spacing w:line="240" w:lineRule="auto"/>
              <w:ind w:firstLine="0" w:firstLineChars="0"/>
              <w:jc w:val="center"/>
              <w:textAlignment w:val="center"/>
              <w:rPr>
                <w:rFonts w:cs="宋体"/>
                <w:color w:val="auto"/>
                <w:kern w:val="0"/>
                <w:sz w:val="21"/>
                <w:szCs w:val="22"/>
                <w:lang w:bidi="ar"/>
              </w:rPr>
            </w:pPr>
          </w:p>
        </w:tc>
      </w:tr>
      <w:tr w14:paraId="313746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5" w:hRule="atLeast"/>
          <w:jc w:val="center"/>
        </w:trPr>
        <w:tc>
          <w:tcPr>
            <w:tcW w:w="731" w:type="dxa"/>
            <w:vMerge w:val="continue"/>
            <w:tcBorders>
              <w:tl2br w:val="nil"/>
              <w:tr2bl w:val="nil"/>
            </w:tcBorders>
            <w:vAlign w:val="center"/>
          </w:tcPr>
          <w:p w14:paraId="52010D5F">
            <w:pPr>
              <w:widowControl/>
              <w:spacing w:line="240" w:lineRule="auto"/>
              <w:ind w:firstLine="0" w:firstLineChars="0"/>
              <w:jc w:val="center"/>
              <w:rPr>
                <w:color w:val="auto"/>
                <w:sz w:val="21"/>
                <w:szCs w:val="21"/>
              </w:rPr>
            </w:pPr>
          </w:p>
        </w:tc>
        <w:tc>
          <w:tcPr>
            <w:tcW w:w="1792" w:type="dxa"/>
            <w:vMerge w:val="restart"/>
            <w:tcBorders>
              <w:tl2br w:val="nil"/>
              <w:tr2bl w:val="nil"/>
            </w:tcBorders>
            <w:vAlign w:val="center"/>
          </w:tcPr>
          <w:p w14:paraId="0029B417">
            <w:pPr>
              <w:widowControl/>
              <w:spacing w:line="240" w:lineRule="auto"/>
              <w:ind w:firstLine="0" w:firstLineChars="0"/>
              <w:jc w:val="center"/>
              <w:textAlignment w:val="center"/>
              <w:rPr>
                <w:color w:val="auto"/>
                <w:sz w:val="21"/>
                <w:szCs w:val="21"/>
              </w:rPr>
            </w:pPr>
            <w:r>
              <w:rPr>
                <w:rFonts w:hint="eastAsia"/>
                <w:color w:val="auto"/>
                <w:sz w:val="21"/>
              </w:rPr>
              <w:t>59%硫代硫酸铵</w:t>
            </w:r>
          </w:p>
        </w:tc>
        <w:tc>
          <w:tcPr>
            <w:tcW w:w="2250" w:type="dxa"/>
            <w:tcBorders>
              <w:tl2br w:val="nil"/>
              <w:tr2bl w:val="nil"/>
            </w:tcBorders>
            <w:vAlign w:val="center"/>
          </w:tcPr>
          <w:p w14:paraId="2874013D">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378E36B0">
            <w:pPr>
              <w:widowControl/>
              <w:spacing w:line="240" w:lineRule="auto"/>
              <w:ind w:firstLine="0" w:firstLineChars="0"/>
              <w:jc w:val="center"/>
              <w:textAlignment w:val="center"/>
              <w:rPr>
                <w:color w:val="auto"/>
                <w:sz w:val="21"/>
                <w:szCs w:val="21"/>
              </w:rPr>
            </w:pPr>
          </w:p>
        </w:tc>
        <w:tc>
          <w:tcPr>
            <w:tcW w:w="2752" w:type="dxa"/>
            <w:tcBorders>
              <w:tl2br w:val="nil"/>
              <w:tr2bl w:val="nil"/>
            </w:tcBorders>
            <w:vAlign w:val="center"/>
          </w:tcPr>
          <w:p w14:paraId="07471392">
            <w:pPr>
              <w:widowControl/>
              <w:spacing w:line="240" w:lineRule="auto"/>
              <w:ind w:firstLine="0" w:firstLineChars="0"/>
              <w:jc w:val="center"/>
              <w:textAlignment w:val="center"/>
              <w:rPr>
                <w:rFonts w:cs="宋体"/>
                <w:color w:val="auto"/>
                <w:kern w:val="0"/>
                <w:sz w:val="21"/>
                <w:szCs w:val="22"/>
                <w:lang w:bidi="ar"/>
              </w:rPr>
            </w:pPr>
          </w:p>
        </w:tc>
      </w:tr>
      <w:tr w14:paraId="675212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5" w:hRule="atLeast"/>
          <w:jc w:val="center"/>
        </w:trPr>
        <w:tc>
          <w:tcPr>
            <w:tcW w:w="731" w:type="dxa"/>
            <w:vMerge w:val="continue"/>
            <w:tcBorders>
              <w:tl2br w:val="nil"/>
              <w:tr2bl w:val="nil"/>
            </w:tcBorders>
            <w:vAlign w:val="center"/>
          </w:tcPr>
          <w:p w14:paraId="1B1065E6">
            <w:pPr>
              <w:widowControl/>
              <w:spacing w:line="240" w:lineRule="auto"/>
              <w:ind w:firstLine="0" w:firstLineChars="0"/>
              <w:jc w:val="center"/>
              <w:rPr>
                <w:color w:val="auto"/>
                <w:sz w:val="21"/>
                <w:szCs w:val="21"/>
              </w:rPr>
            </w:pPr>
          </w:p>
        </w:tc>
        <w:tc>
          <w:tcPr>
            <w:tcW w:w="1792" w:type="dxa"/>
            <w:vMerge w:val="continue"/>
            <w:tcBorders>
              <w:tl2br w:val="nil"/>
              <w:tr2bl w:val="nil"/>
            </w:tcBorders>
            <w:vAlign w:val="center"/>
          </w:tcPr>
          <w:p w14:paraId="6820F764">
            <w:pPr>
              <w:widowControl/>
              <w:spacing w:line="240" w:lineRule="auto"/>
              <w:ind w:firstLine="0" w:firstLineChars="0"/>
              <w:jc w:val="center"/>
              <w:textAlignment w:val="center"/>
              <w:rPr>
                <w:color w:val="auto"/>
                <w:sz w:val="21"/>
                <w:szCs w:val="21"/>
              </w:rPr>
            </w:pPr>
          </w:p>
        </w:tc>
        <w:tc>
          <w:tcPr>
            <w:tcW w:w="2250" w:type="dxa"/>
            <w:tcBorders>
              <w:tl2br w:val="nil"/>
              <w:tr2bl w:val="nil"/>
            </w:tcBorders>
            <w:vAlign w:val="center"/>
          </w:tcPr>
          <w:p w14:paraId="52654EE4">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3A1792F2">
            <w:pPr>
              <w:widowControl/>
              <w:spacing w:line="240" w:lineRule="auto"/>
              <w:ind w:firstLine="0" w:firstLineChars="0"/>
              <w:jc w:val="center"/>
              <w:textAlignment w:val="center"/>
              <w:rPr>
                <w:color w:val="auto"/>
                <w:sz w:val="21"/>
                <w:szCs w:val="21"/>
              </w:rPr>
            </w:pPr>
          </w:p>
        </w:tc>
        <w:tc>
          <w:tcPr>
            <w:tcW w:w="2752" w:type="dxa"/>
            <w:tcBorders>
              <w:tl2br w:val="nil"/>
              <w:tr2bl w:val="nil"/>
            </w:tcBorders>
            <w:vAlign w:val="center"/>
          </w:tcPr>
          <w:p w14:paraId="290CFBEA">
            <w:pPr>
              <w:widowControl/>
              <w:spacing w:line="240" w:lineRule="auto"/>
              <w:ind w:firstLine="0" w:firstLineChars="0"/>
              <w:jc w:val="center"/>
              <w:textAlignment w:val="center"/>
              <w:rPr>
                <w:rFonts w:cs="宋体"/>
                <w:color w:val="auto"/>
                <w:kern w:val="0"/>
                <w:sz w:val="21"/>
                <w:szCs w:val="22"/>
                <w:lang w:bidi="ar"/>
              </w:rPr>
            </w:pPr>
          </w:p>
        </w:tc>
      </w:tr>
      <w:tr w14:paraId="0787D2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731" w:type="dxa"/>
            <w:vMerge w:val="continue"/>
            <w:tcBorders>
              <w:tl2br w:val="nil"/>
              <w:tr2bl w:val="nil"/>
            </w:tcBorders>
            <w:vAlign w:val="center"/>
          </w:tcPr>
          <w:p w14:paraId="6F2B9874">
            <w:pPr>
              <w:widowControl/>
              <w:spacing w:line="240" w:lineRule="auto"/>
              <w:ind w:firstLine="0" w:firstLineChars="0"/>
              <w:jc w:val="center"/>
              <w:rPr>
                <w:color w:val="auto"/>
                <w:sz w:val="21"/>
                <w:szCs w:val="21"/>
              </w:rPr>
            </w:pPr>
          </w:p>
        </w:tc>
        <w:tc>
          <w:tcPr>
            <w:tcW w:w="1792" w:type="dxa"/>
            <w:vMerge w:val="continue"/>
            <w:tcBorders>
              <w:tl2br w:val="nil"/>
              <w:tr2bl w:val="nil"/>
            </w:tcBorders>
            <w:vAlign w:val="center"/>
          </w:tcPr>
          <w:p w14:paraId="02936C92">
            <w:pPr>
              <w:widowControl/>
              <w:spacing w:line="240" w:lineRule="auto"/>
              <w:ind w:firstLine="0" w:firstLineChars="0"/>
              <w:jc w:val="center"/>
              <w:rPr>
                <w:color w:val="auto"/>
                <w:sz w:val="21"/>
                <w:szCs w:val="21"/>
              </w:rPr>
            </w:pPr>
          </w:p>
        </w:tc>
        <w:tc>
          <w:tcPr>
            <w:tcW w:w="2250" w:type="dxa"/>
            <w:tcBorders>
              <w:tl2br w:val="nil"/>
              <w:tr2bl w:val="nil"/>
            </w:tcBorders>
            <w:vAlign w:val="center"/>
          </w:tcPr>
          <w:p w14:paraId="0203E9CD">
            <w:pPr>
              <w:widowControl/>
              <w:spacing w:line="240" w:lineRule="auto"/>
              <w:ind w:firstLine="0" w:firstLineChars="0"/>
              <w:jc w:val="center"/>
              <w:textAlignment w:val="center"/>
              <w:rPr>
                <w:color w:val="auto"/>
                <w:sz w:val="21"/>
                <w:szCs w:val="21"/>
              </w:rPr>
            </w:pPr>
          </w:p>
        </w:tc>
        <w:tc>
          <w:tcPr>
            <w:tcW w:w="2113" w:type="dxa"/>
            <w:tcBorders>
              <w:tl2br w:val="nil"/>
              <w:tr2bl w:val="nil"/>
            </w:tcBorders>
            <w:noWrap/>
            <w:vAlign w:val="center"/>
          </w:tcPr>
          <w:p w14:paraId="3E4F0496">
            <w:pPr>
              <w:widowControl/>
              <w:spacing w:line="240" w:lineRule="auto"/>
              <w:ind w:firstLine="0" w:firstLineChars="0"/>
              <w:jc w:val="center"/>
              <w:textAlignment w:val="center"/>
              <w:rPr>
                <w:color w:val="auto"/>
                <w:sz w:val="21"/>
                <w:szCs w:val="21"/>
              </w:rPr>
            </w:pPr>
          </w:p>
        </w:tc>
        <w:tc>
          <w:tcPr>
            <w:tcW w:w="2752" w:type="dxa"/>
            <w:tcBorders>
              <w:tl2br w:val="nil"/>
              <w:tr2bl w:val="nil"/>
            </w:tcBorders>
            <w:noWrap/>
            <w:vAlign w:val="center"/>
          </w:tcPr>
          <w:p w14:paraId="0356CEC0">
            <w:pPr>
              <w:widowControl/>
              <w:spacing w:line="240" w:lineRule="auto"/>
              <w:ind w:firstLine="0" w:firstLineChars="0"/>
              <w:jc w:val="center"/>
              <w:textAlignment w:val="center"/>
              <w:rPr>
                <w:rFonts w:cs="宋体"/>
                <w:color w:val="auto"/>
                <w:kern w:val="0"/>
                <w:sz w:val="21"/>
                <w:szCs w:val="22"/>
                <w:lang w:bidi="ar"/>
              </w:rPr>
            </w:pPr>
          </w:p>
        </w:tc>
      </w:tr>
      <w:tr w14:paraId="0EF5B1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731" w:type="dxa"/>
            <w:vMerge w:val="continue"/>
            <w:tcBorders>
              <w:tl2br w:val="nil"/>
              <w:tr2bl w:val="nil"/>
            </w:tcBorders>
            <w:vAlign w:val="center"/>
          </w:tcPr>
          <w:p w14:paraId="6F16193A">
            <w:pPr>
              <w:widowControl/>
              <w:spacing w:line="240" w:lineRule="auto"/>
              <w:ind w:firstLine="0" w:firstLineChars="0"/>
              <w:jc w:val="center"/>
              <w:rPr>
                <w:color w:val="auto"/>
                <w:sz w:val="21"/>
                <w:szCs w:val="21"/>
              </w:rPr>
            </w:pPr>
          </w:p>
        </w:tc>
        <w:tc>
          <w:tcPr>
            <w:tcW w:w="1792" w:type="dxa"/>
            <w:vMerge w:val="restart"/>
            <w:tcBorders>
              <w:tl2br w:val="nil"/>
              <w:tr2bl w:val="nil"/>
            </w:tcBorders>
            <w:vAlign w:val="center"/>
          </w:tcPr>
          <w:p w14:paraId="5667A0A4">
            <w:pPr>
              <w:widowControl/>
              <w:spacing w:line="240" w:lineRule="auto"/>
              <w:ind w:firstLine="0" w:firstLineChars="0"/>
              <w:jc w:val="center"/>
              <w:textAlignment w:val="center"/>
              <w:rPr>
                <w:color w:val="auto"/>
                <w:sz w:val="21"/>
                <w:szCs w:val="21"/>
              </w:rPr>
            </w:pPr>
            <w:r>
              <w:rPr>
                <w:rFonts w:hint="eastAsia"/>
                <w:color w:val="auto"/>
                <w:sz w:val="21"/>
                <w:szCs w:val="21"/>
              </w:rPr>
              <w:t>24%硫代硫酸钙</w:t>
            </w:r>
          </w:p>
        </w:tc>
        <w:tc>
          <w:tcPr>
            <w:tcW w:w="2250" w:type="dxa"/>
            <w:tcBorders>
              <w:tl2br w:val="nil"/>
              <w:tr2bl w:val="nil"/>
            </w:tcBorders>
            <w:vAlign w:val="center"/>
          </w:tcPr>
          <w:p w14:paraId="6EE0EBCC">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49BAD6B2">
            <w:pPr>
              <w:widowControl/>
              <w:spacing w:line="240" w:lineRule="auto"/>
              <w:ind w:firstLine="0" w:firstLineChars="0"/>
              <w:jc w:val="center"/>
              <w:textAlignment w:val="center"/>
              <w:rPr>
                <w:color w:val="auto"/>
                <w:sz w:val="21"/>
                <w:szCs w:val="21"/>
              </w:rPr>
            </w:pPr>
          </w:p>
        </w:tc>
        <w:tc>
          <w:tcPr>
            <w:tcW w:w="2752" w:type="dxa"/>
            <w:tcBorders>
              <w:tl2br w:val="nil"/>
              <w:tr2bl w:val="nil"/>
            </w:tcBorders>
            <w:noWrap/>
            <w:vAlign w:val="center"/>
          </w:tcPr>
          <w:p w14:paraId="48FD7C9A">
            <w:pPr>
              <w:widowControl/>
              <w:spacing w:line="240" w:lineRule="auto"/>
              <w:ind w:firstLine="0" w:firstLineChars="0"/>
              <w:jc w:val="center"/>
              <w:textAlignment w:val="center"/>
              <w:rPr>
                <w:rFonts w:cs="宋体"/>
                <w:color w:val="auto"/>
                <w:kern w:val="0"/>
                <w:sz w:val="21"/>
                <w:szCs w:val="22"/>
                <w:lang w:bidi="ar"/>
              </w:rPr>
            </w:pPr>
          </w:p>
        </w:tc>
      </w:tr>
      <w:tr w14:paraId="571962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731" w:type="dxa"/>
            <w:vMerge w:val="continue"/>
            <w:tcBorders>
              <w:tl2br w:val="nil"/>
              <w:tr2bl w:val="nil"/>
            </w:tcBorders>
            <w:vAlign w:val="center"/>
          </w:tcPr>
          <w:p w14:paraId="3DBAF373">
            <w:pPr>
              <w:widowControl/>
              <w:spacing w:line="240" w:lineRule="auto"/>
              <w:ind w:firstLine="0" w:firstLineChars="0"/>
              <w:jc w:val="center"/>
              <w:rPr>
                <w:color w:val="auto"/>
                <w:sz w:val="21"/>
                <w:szCs w:val="21"/>
              </w:rPr>
            </w:pPr>
          </w:p>
        </w:tc>
        <w:tc>
          <w:tcPr>
            <w:tcW w:w="1792" w:type="dxa"/>
            <w:vMerge w:val="continue"/>
            <w:tcBorders>
              <w:tl2br w:val="nil"/>
              <w:tr2bl w:val="nil"/>
            </w:tcBorders>
            <w:vAlign w:val="center"/>
          </w:tcPr>
          <w:p w14:paraId="26BA5903">
            <w:pPr>
              <w:widowControl/>
              <w:spacing w:line="240" w:lineRule="auto"/>
              <w:ind w:firstLine="0" w:firstLineChars="0"/>
              <w:jc w:val="center"/>
              <w:rPr>
                <w:color w:val="auto"/>
                <w:sz w:val="21"/>
                <w:szCs w:val="21"/>
              </w:rPr>
            </w:pPr>
          </w:p>
        </w:tc>
        <w:tc>
          <w:tcPr>
            <w:tcW w:w="2250" w:type="dxa"/>
            <w:tcBorders>
              <w:tl2br w:val="nil"/>
              <w:tr2bl w:val="nil"/>
            </w:tcBorders>
            <w:vAlign w:val="center"/>
          </w:tcPr>
          <w:p w14:paraId="76F0B8A3">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1B78C064">
            <w:pPr>
              <w:widowControl/>
              <w:spacing w:line="240" w:lineRule="auto"/>
              <w:ind w:firstLine="0" w:firstLineChars="0"/>
              <w:jc w:val="center"/>
              <w:textAlignment w:val="center"/>
              <w:rPr>
                <w:color w:val="auto"/>
                <w:sz w:val="21"/>
                <w:szCs w:val="21"/>
              </w:rPr>
            </w:pPr>
          </w:p>
        </w:tc>
        <w:tc>
          <w:tcPr>
            <w:tcW w:w="2752" w:type="dxa"/>
            <w:tcBorders>
              <w:tl2br w:val="nil"/>
              <w:tr2bl w:val="nil"/>
            </w:tcBorders>
            <w:noWrap/>
            <w:vAlign w:val="center"/>
          </w:tcPr>
          <w:p w14:paraId="4C99D761">
            <w:pPr>
              <w:widowControl/>
              <w:spacing w:line="240" w:lineRule="auto"/>
              <w:ind w:firstLine="0" w:firstLineChars="0"/>
              <w:jc w:val="center"/>
              <w:textAlignment w:val="center"/>
              <w:rPr>
                <w:rFonts w:cs="宋体"/>
                <w:color w:val="auto"/>
                <w:kern w:val="0"/>
                <w:sz w:val="21"/>
                <w:szCs w:val="22"/>
                <w:lang w:bidi="ar"/>
              </w:rPr>
            </w:pPr>
          </w:p>
        </w:tc>
      </w:tr>
      <w:tr w14:paraId="1DC5EC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731" w:type="dxa"/>
            <w:vMerge w:val="continue"/>
            <w:tcBorders>
              <w:tl2br w:val="nil"/>
              <w:tr2bl w:val="nil"/>
            </w:tcBorders>
            <w:vAlign w:val="center"/>
          </w:tcPr>
          <w:p w14:paraId="3A8B3A13">
            <w:pPr>
              <w:widowControl/>
              <w:spacing w:line="240" w:lineRule="auto"/>
              <w:ind w:firstLine="0" w:firstLineChars="0"/>
              <w:jc w:val="center"/>
              <w:rPr>
                <w:color w:val="auto"/>
                <w:sz w:val="21"/>
                <w:szCs w:val="21"/>
              </w:rPr>
            </w:pPr>
          </w:p>
        </w:tc>
        <w:tc>
          <w:tcPr>
            <w:tcW w:w="1792" w:type="dxa"/>
            <w:tcBorders>
              <w:tl2br w:val="nil"/>
              <w:tr2bl w:val="nil"/>
            </w:tcBorders>
            <w:vAlign w:val="center"/>
          </w:tcPr>
          <w:p w14:paraId="61C9C9D3">
            <w:pPr>
              <w:widowControl/>
              <w:spacing w:line="240" w:lineRule="auto"/>
              <w:ind w:firstLine="0" w:firstLineChars="0"/>
              <w:jc w:val="center"/>
              <w:rPr>
                <w:color w:val="auto"/>
                <w:sz w:val="21"/>
                <w:szCs w:val="21"/>
              </w:rPr>
            </w:pPr>
            <w:r>
              <w:rPr>
                <w:rFonts w:hint="eastAsia"/>
                <w:color w:val="auto"/>
                <w:sz w:val="21"/>
              </w:rPr>
              <w:t>20%硫代硫酸镁</w:t>
            </w:r>
          </w:p>
        </w:tc>
        <w:tc>
          <w:tcPr>
            <w:tcW w:w="2250" w:type="dxa"/>
            <w:tcBorders>
              <w:tl2br w:val="nil"/>
              <w:tr2bl w:val="nil"/>
            </w:tcBorders>
            <w:vAlign w:val="center"/>
          </w:tcPr>
          <w:p w14:paraId="74C33D3F">
            <w:pPr>
              <w:widowControl/>
              <w:spacing w:line="240" w:lineRule="auto"/>
              <w:ind w:firstLine="0" w:firstLineChars="0"/>
              <w:jc w:val="center"/>
              <w:textAlignment w:val="center"/>
              <w:rPr>
                <w:color w:val="auto"/>
                <w:sz w:val="21"/>
                <w:szCs w:val="21"/>
              </w:rPr>
            </w:pPr>
          </w:p>
        </w:tc>
        <w:tc>
          <w:tcPr>
            <w:tcW w:w="2113" w:type="dxa"/>
            <w:tcBorders>
              <w:tl2br w:val="nil"/>
              <w:tr2bl w:val="nil"/>
            </w:tcBorders>
          </w:tcPr>
          <w:p w14:paraId="54A92021">
            <w:pPr>
              <w:widowControl/>
              <w:spacing w:line="240" w:lineRule="auto"/>
              <w:ind w:firstLine="0" w:firstLineChars="0"/>
              <w:jc w:val="center"/>
              <w:textAlignment w:val="top"/>
              <w:rPr>
                <w:color w:val="auto"/>
                <w:sz w:val="21"/>
                <w:szCs w:val="21"/>
              </w:rPr>
            </w:pPr>
          </w:p>
        </w:tc>
        <w:tc>
          <w:tcPr>
            <w:tcW w:w="2752" w:type="dxa"/>
            <w:tcBorders>
              <w:tl2br w:val="nil"/>
              <w:tr2bl w:val="nil"/>
            </w:tcBorders>
            <w:noWrap/>
            <w:vAlign w:val="center"/>
          </w:tcPr>
          <w:p w14:paraId="79A86926">
            <w:pPr>
              <w:widowControl/>
              <w:spacing w:line="240" w:lineRule="auto"/>
              <w:ind w:firstLine="0" w:firstLineChars="0"/>
              <w:jc w:val="center"/>
              <w:textAlignment w:val="center"/>
              <w:rPr>
                <w:rFonts w:cs="宋体"/>
                <w:color w:val="auto"/>
                <w:kern w:val="0"/>
                <w:sz w:val="21"/>
                <w:szCs w:val="22"/>
                <w:lang w:bidi="ar"/>
              </w:rPr>
            </w:pPr>
          </w:p>
        </w:tc>
      </w:tr>
      <w:tr w14:paraId="5066EE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731" w:type="dxa"/>
            <w:vMerge w:val="continue"/>
            <w:tcBorders>
              <w:tl2br w:val="nil"/>
              <w:tr2bl w:val="nil"/>
            </w:tcBorders>
            <w:vAlign w:val="center"/>
          </w:tcPr>
          <w:p w14:paraId="2854913C">
            <w:pPr>
              <w:widowControl/>
              <w:spacing w:line="240" w:lineRule="auto"/>
              <w:ind w:firstLine="0" w:firstLineChars="0"/>
              <w:jc w:val="center"/>
              <w:rPr>
                <w:color w:val="auto"/>
                <w:sz w:val="21"/>
                <w:szCs w:val="21"/>
              </w:rPr>
            </w:pPr>
          </w:p>
        </w:tc>
        <w:tc>
          <w:tcPr>
            <w:tcW w:w="1792" w:type="dxa"/>
            <w:vMerge w:val="restart"/>
            <w:tcBorders>
              <w:tl2br w:val="nil"/>
              <w:tr2bl w:val="nil"/>
            </w:tcBorders>
            <w:vAlign w:val="center"/>
          </w:tcPr>
          <w:p w14:paraId="63598FBA">
            <w:pPr>
              <w:widowControl/>
              <w:spacing w:line="240" w:lineRule="auto"/>
              <w:ind w:firstLine="0" w:firstLineChars="0"/>
              <w:jc w:val="center"/>
              <w:rPr>
                <w:color w:val="auto"/>
                <w:sz w:val="21"/>
                <w:szCs w:val="21"/>
              </w:rPr>
            </w:pPr>
            <w:r>
              <w:rPr>
                <w:rFonts w:hint="eastAsia"/>
                <w:color w:val="auto"/>
                <w:sz w:val="21"/>
              </w:rPr>
              <w:t>46%硫代硫酸钾</w:t>
            </w:r>
          </w:p>
        </w:tc>
        <w:tc>
          <w:tcPr>
            <w:tcW w:w="2250" w:type="dxa"/>
            <w:tcBorders>
              <w:tl2br w:val="nil"/>
              <w:tr2bl w:val="nil"/>
            </w:tcBorders>
            <w:vAlign w:val="center"/>
          </w:tcPr>
          <w:p w14:paraId="1C10CD0F">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1C261132">
            <w:pPr>
              <w:widowControl/>
              <w:spacing w:line="240" w:lineRule="auto"/>
              <w:ind w:firstLine="0" w:firstLineChars="0"/>
              <w:jc w:val="center"/>
              <w:textAlignment w:val="top"/>
              <w:rPr>
                <w:color w:val="auto"/>
                <w:sz w:val="21"/>
                <w:szCs w:val="21"/>
              </w:rPr>
            </w:pPr>
          </w:p>
        </w:tc>
        <w:tc>
          <w:tcPr>
            <w:tcW w:w="2752" w:type="dxa"/>
            <w:tcBorders>
              <w:tl2br w:val="nil"/>
              <w:tr2bl w:val="nil"/>
            </w:tcBorders>
            <w:noWrap/>
            <w:vAlign w:val="center"/>
          </w:tcPr>
          <w:p w14:paraId="065FF6A6">
            <w:pPr>
              <w:widowControl/>
              <w:spacing w:line="240" w:lineRule="auto"/>
              <w:ind w:firstLine="0" w:firstLineChars="0"/>
              <w:jc w:val="center"/>
              <w:textAlignment w:val="center"/>
              <w:rPr>
                <w:rFonts w:cs="宋体"/>
                <w:color w:val="auto"/>
                <w:kern w:val="0"/>
                <w:sz w:val="21"/>
                <w:szCs w:val="22"/>
                <w:lang w:bidi="ar"/>
              </w:rPr>
            </w:pPr>
          </w:p>
        </w:tc>
      </w:tr>
      <w:tr w14:paraId="4067FB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731" w:type="dxa"/>
            <w:vMerge w:val="continue"/>
            <w:tcBorders>
              <w:tl2br w:val="nil"/>
              <w:tr2bl w:val="nil"/>
            </w:tcBorders>
            <w:vAlign w:val="center"/>
          </w:tcPr>
          <w:p w14:paraId="69F05E14">
            <w:pPr>
              <w:widowControl/>
              <w:spacing w:line="240" w:lineRule="auto"/>
              <w:ind w:firstLine="0" w:firstLineChars="0"/>
              <w:jc w:val="center"/>
              <w:rPr>
                <w:color w:val="auto"/>
                <w:sz w:val="21"/>
                <w:szCs w:val="21"/>
              </w:rPr>
            </w:pPr>
          </w:p>
        </w:tc>
        <w:tc>
          <w:tcPr>
            <w:tcW w:w="1792" w:type="dxa"/>
            <w:vMerge w:val="continue"/>
            <w:tcBorders>
              <w:tl2br w:val="nil"/>
              <w:tr2bl w:val="nil"/>
            </w:tcBorders>
            <w:vAlign w:val="center"/>
          </w:tcPr>
          <w:p w14:paraId="1DCA7D2B">
            <w:pPr>
              <w:widowControl/>
              <w:spacing w:line="240" w:lineRule="auto"/>
              <w:ind w:firstLine="0" w:firstLineChars="0"/>
              <w:jc w:val="center"/>
              <w:rPr>
                <w:color w:val="auto"/>
                <w:sz w:val="21"/>
                <w:szCs w:val="21"/>
              </w:rPr>
            </w:pPr>
          </w:p>
        </w:tc>
        <w:tc>
          <w:tcPr>
            <w:tcW w:w="2250" w:type="dxa"/>
            <w:tcBorders>
              <w:tl2br w:val="nil"/>
              <w:tr2bl w:val="nil"/>
            </w:tcBorders>
            <w:vAlign w:val="center"/>
          </w:tcPr>
          <w:p w14:paraId="6DBD9363">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06318171">
            <w:pPr>
              <w:widowControl/>
              <w:spacing w:line="240" w:lineRule="auto"/>
              <w:ind w:firstLine="0" w:firstLineChars="0"/>
              <w:jc w:val="center"/>
              <w:textAlignment w:val="top"/>
              <w:rPr>
                <w:color w:val="auto"/>
                <w:sz w:val="21"/>
                <w:szCs w:val="21"/>
              </w:rPr>
            </w:pPr>
          </w:p>
        </w:tc>
        <w:tc>
          <w:tcPr>
            <w:tcW w:w="2752" w:type="dxa"/>
            <w:tcBorders>
              <w:tl2br w:val="nil"/>
              <w:tr2bl w:val="nil"/>
            </w:tcBorders>
            <w:noWrap/>
            <w:vAlign w:val="center"/>
          </w:tcPr>
          <w:p w14:paraId="75C69CC7">
            <w:pPr>
              <w:widowControl/>
              <w:spacing w:line="240" w:lineRule="auto"/>
              <w:ind w:firstLine="0" w:firstLineChars="0"/>
              <w:jc w:val="center"/>
              <w:textAlignment w:val="center"/>
              <w:rPr>
                <w:rFonts w:cs="宋体"/>
                <w:color w:val="auto"/>
                <w:kern w:val="0"/>
                <w:sz w:val="21"/>
                <w:szCs w:val="22"/>
                <w:lang w:bidi="ar"/>
              </w:rPr>
            </w:pPr>
          </w:p>
        </w:tc>
      </w:tr>
      <w:tr w14:paraId="47F4DC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731" w:type="dxa"/>
            <w:vMerge w:val="continue"/>
            <w:tcBorders>
              <w:tl2br w:val="nil"/>
              <w:tr2bl w:val="nil"/>
            </w:tcBorders>
            <w:vAlign w:val="center"/>
          </w:tcPr>
          <w:p w14:paraId="26209259">
            <w:pPr>
              <w:widowControl/>
              <w:spacing w:line="240" w:lineRule="auto"/>
              <w:ind w:firstLine="0" w:firstLineChars="0"/>
              <w:jc w:val="center"/>
              <w:rPr>
                <w:color w:val="auto"/>
                <w:sz w:val="21"/>
                <w:szCs w:val="21"/>
              </w:rPr>
            </w:pPr>
          </w:p>
        </w:tc>
        <w:tc>
          <w:tcPr>
            <w:tcW w:w="1792" w:type="dxa"/>
            <w:vMerge w:val="restart"/>
            <w:tcBorders>
              <w:tl2br w:val="nil"/>
              <w:tr2bl w:val="nil"/>
            </w:tcBorders>
            <w:vAlign w:val="center"/>
          </w:tcPr>
          <w:p w14:paraId="3A1F56E8">
            <w:pPr>
              <w:widowControl/>
              <w:spacing w:line="240" w:lineRule="auto"/>
              <w:ind w:firstLine="0" w:firstLineChars="0"/>
              <w:jc w:val="center"/>
              <w:rPr>
                <w:color w:val="auto"/>
                <w:sz w:val="21"/>
                <w:szCs w:val="21"/>
              </w:rPr>
            </w:pPr>
            <w:r>
              <w:rPr>
                <w:rFonts w:hint="eastAsia"/>
                <w:color w:val="auto"/>
                <w:sz w:val="21"/>
                <w:szCs w:val="21"/>
              </w:rPr>
              <w:t>一水亚硫酸铵（氨工艺）</w:t>
            </w:r>
          </w:p>
        </w:tc>
        <w:tc>
          <w:tcPr>
            <w:tcW w:w="2250" w:type="dxa"/>
            <w:tcBorders>
              <w:tl2br w:val="nil"/>
              <w:tr2bl w:val="nil"/>
            </w:tcBorders>
            <w:vAlign w:val="center"/>
          </w:tcPr>
          <w:p w14:paraId="6C9F6D86">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1F0D8F70">
            <w:pPr>
              <w:widowControl/>
              <w:spacing w:line="240" w:lineRule="auto"/>
              <w:ind w:firstLine="0" w:firstLineChars="0"/>
              <w:jc w:val="center"/>
              <w:textAlignment w:val="top"/>
              <w:rPr>
                <w:color w:val="auto"/>
                <w:sz w:val="21"/>
                <w:szCs w:val="21"/>
              </w:rPr>
            </w:pPr>
          </w:p>
        </w:tc>
        <w:tc>
          <w:tcPr>
            <w:tcW w:w="2752" w:type="dxa"/>
            <w:tcBorders>
              <w:tl2br w:val="nil"/>
              <w:tr2bl w:val="nil"/>
            </w:tcBorders>
            <w:noWrap/>
            <w:vAlign w:val="center"/>
          </w:tcPr>
          <w:p w14:paraId="201161FC">
            <w:pPr>
              <w:widowControl/>
              <w:spacing w:line="240" w:lineRule="auto"/>
              <w:ind w:firstLine="0" w:firstLineChars="0"/>
              <w:jc w:val="center"/>
              <w:textAlignment w:val="center"/>
              <w:rPr>
                <w:rFonts w:cs="宋体"/>
                <w:color w:val="auto"/>
                <w:kern w:val="0"/>
                <w:sz w:val="21"/>
                <w:szCs w:val="22"/>
                <w:lang w:bidi="ar"/>
              </w:rPr>
            </w:pPr>
          </w:p>
        </w:tc>
      </w:tr>
      <w:tr w14:paraId="7F7B26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731" w:type="dxa"/>
            <w:vMerge w:val="continue"/>
            <w:tcBorders>
              <w:tl2br w:val="nil"/>
              <w:tr2bl w:val="nil"/>
            </w:tcBorders>
            <w:vAlign w:val="center"/>
          </w:tcPr>
          <w:p w14:paraId="21A200A2">
            <w:pPr>
              <w:widowControl/>
              <w:spacing w:line="240" w:lineRule="auto"/>
              <w:ind w:firstLine="0" w:firstLineChars="0"/>
              <w:jc w:val="center"/>
              <w:rPr>
                <w:color w:val="auto"/>
                <w:sz w:val="21"/>
                <w:szCs w:val="21"/>
              </w:rPr>
            </w:pPr>
          </w:p>
        </w:tc>
        <w:tc>
          <w:tcPr>
            <w:tcW w:w="1792" w:type="dxa"/>
            <w:vMerge w:val="continue"/>
            <w:tcBorders>
              <w:tl2br w:val="nil"/>
              <w:tr2bl w:val="nil"/>
            </w:tcBorders>
            <w:vAlign w:val="center"/>
          </w:tcPr>
          <w:p w14:paraId="126A0617">
            <w:pPr>
              <w:widowControl/>
              <w:spacing w:line="240" w:lineRule="auto"/>
              <w:ind w:firstLine="0" w:firstLineChars="0"/>
              <w:jc w:val="center"/>
              <w:rPr>
                <w:color w:val="auto"/>
                <w:sz w:val="21"/>
                <w:szCs w:val="21"/>
              </w:rPr>
            </w:pPr>
          </w:p>
        </w:tc>
        <w:tc>
          <w:tcPr>
            <w:tcW w:w="2250" w:type="dxa"/>
            <w:tcBorders>
              <w:tl2br w:val="nil"/>
              <w:tr2bl w:val="nil"/>
            </w:tcBorders>
            <w:vAlign w:val="center"/>
          </w:tcPr>
          <w:p w14:paraId="46A7B1BD">
            <w:pPr>
              <w:widowControl/>
              <w:spacing w:line="240" w:lineRule="auto"/>
              <w:ind w:firstLine="0" w:firstLineChars="0"/>
              <w:jc w:val="center"/>
              <w:textAlignment w:val="center"/>
              <w:rPr>
                <w:color w:val="auto"/>
                <w:sz w:val="21"/>
                <w:szCs w:val="21"/>
              </w:rPr>
            </w:pPr>
          </w:p>
        </w:tc>
        <w:tc>
          <w:tcPr>
            <w:tcW w:w="2113" w:type="dxa"/>
            <w:tcBorders>
              <w:tl2br w:val="nil"/>
              <w:tr2bl w:val="nil"/>
            </w:tcBorders>
            <w:vAlign w:val="center"/>
          </w:tcPr>
          <w:p w14:paraId="6136020F">
            <w:pPr>
              <w:widowControl/>
              <w:spacing w:line="240" w:lineRule="auto"/>
              <w:ind w:firstLine="0" w:firstLineChars="0"/>
              <w:jc w:val="center"/>
              <w:textAlignment w:val="top"/>
              <w:rPr>
                <w:color w:val="auto"/>
                <w:sz w:val="21"/>
                <w:szCs w:val="21"/>
              </w:rPr>
            </w:pPr>
          </w:p>
        </w:tc>
        <w:tc>
          <w:tcPr>
            <w:tcW w:w="2752" w:type="dxa"/>
            <w:tcBorders>
              <w:tl2br w:val="nil"/>
              <w:tr2bl w:val="nil"/>
            </w:tcBorders>
            <w:noWrap/>
            <w:vAlign w:val="center"/>
          </w:tcPr>
          <w:p w14:paraId="4B8F84AE">
            <w:pPr>
              <w:widowControl/>
              <w:spacing w:line="240" w:lineRule="auto"/>
              <w:ind w:firstLine="0" w:firstLineChars="0"/>
              <w:jc w:val="center"/>
              <w:textAlignment w:val="center"/>
              <w:rPr>
                <w:rFonts w:cs="宋体"/>
                <w:color w:val="auto"/>
                <w:kern w:val="0"/>
                <w:sz w:val="21"/>
                <w:szCs w:val="22"/>
                <w:lang w:bidi="ar"/>
              </w:rPr>
            </w:pPr>
          </w:p>
        </w:tc>
      </w:tr>
      <w:tr w14:paraId="418345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731" w:type="dxa"/>
            <w:vMerge w:val="continue"/>
            <w:tcBorders>
              <w:tl2br w:val="nil"/>
              <w:tr2bl w:val="nil"/>
            </w:tcBorders>
            <w:vAlign w:val="center"/>
          </w:tcPr>
          <w:p w14:paraId="79C53CDB">
            <w:pPr>
              <w:widowControl/>
              <w:spacing w:line="240" w:lineRule="auto"/>
              <w:ind w:firstLine="0" w:firstLineChars="0"/>
              <w:jc w:val="center"/>
              <w:rPr>
                <w:color w:val="auto"/>
                <w:sz w:val="21"/>
                <w:szCs w:val="21"/>
              </w:rPr>
            </w:pPr>
          </w:p>
        </w:tc>
        <w:tc>
          <w:tcPr>
            <w:tcW w:w="1792" w:type="dxa"/>
            <w:vMerge w:val="restart"/>
            <w:tcBorders>
              <w:tl2br w:val="nil"/>
              <w:tr2bl w:val="nil"/>
            </w:tcBorders>
            <w:vAlign w:val="center"/>
          </w:tcPr>
          <w:p w14:paraId="7914958C">
            <w:pPr>
              <w:widowControl/>
              <w:spacing w:line="240" w:lineRule="auto"/>
              <w:ind w:firstLine="0" w:firstLineChars="0"/>
              <w:jc w:val="center"/>
              <w:rPr>
                <w:color w:val="auto"/>
                <w:sz w:val="21"/>
                <w:szCs w:val="21"/>
              </w:rPr>
            </w:pPr>
            <w:r>
              <w:rPr>
                <w:rFonts w:hint="eastAsia"/>
                <w:color w:val="auto"/>
                <w:sz w:val="21"/>
                <w:szCs w:val="21"/>
              </w:rPr>
              <w:t>一水亚硫酸铵（碳酸氢铵工艺）</w:t>
            </w:r>
          </w:p>
        </w:tc>
        <w:tc>
          <w:tcPr>
            <w:tcW w:w="2250" w:type="dxa"/>
            <w:tcBorders>
              <w:tl2br w:val="nil"/>
              <w:tr2bl w:val="nil"/>
            </w:tcBorders>
            <w:vAlign w:val="center"/>
          </w:tcPr>
          <w:p w14:paraId="2CA2BE8C">
            <w:pPr>
              <w:spacing w:line="240" w:lineRule="auto"/>
              <w:ind w:firstLine="0" w:firstLineChars="0"/>
              <w:jc w:val="center"/>
              <w:rPr>
                <w:color w:val="auto"/>
                <w:sz w:val="21"/>
                <w:szCs w:val="21"/>
              </w:rPr>
            </w:pPr>
          </w:p>
        </w:tc>
        <w:tc>
          <w:tcPr>
            <w:tcW w:w="2113" w:type="dxa"/>
            <w:tcBorders>
              <w:tl2br w:val="nil"/>
              <w:tr2bl w:val="nil"/>
            </w:tcBorders>
            <w:vAlign w:val="center"/>
          </w:tcPr>
          <w:p w14:paraId="28ED3BAE">
            <w:pPr>
              <w:widowControl/>
              <w:spacing w:line="240" w:lineRule="auto"/>
              <w:ind w:firstLine="0" w:firstLineChars="0"/>
              <w:jc w:val="center"/>
              <w:textAlignment w:val="top"/>
              <w:rPr>
                <w:color w:val="auto"/>
                <w:sz w:val="21"/>
                <w:szCs w:val="21"/>
              </w:rPr>
            </w:pPr>
          </w:p>
        </w:tc>
        <w:tc>
          <w:tcPr>
            <w:tcW w:w="2752" w:type="dxa"/>
            <w:tcBorders>
              <w:tl2br w:val="nil"/>
              <w:tr2bl w:val="nil"/>
            </w:tcBorders>
            <w:noWrap/>
            <w:vAlign w:val="center"/>
          </w:tcPr>
          <w:p w14:paraId="34EB615A">
            <w:pPr>
              <w:widowControl/>
              <w:spacing w:line="240" w:lineRule="auto"/>
              <w:ind w:firstLine="0" w:firstLineChars="0"/>
              <w:jc w:val="center"/>
              <w:textAlignment w:val="center"/>
              <w:rPr>
                <w:rFonts w:cs="宋体"/>
                <w:color w:val="auto"/>
                <w:kern w:val="0"/>
                <w:sz w:val="21"/>
                <w:szCs w:val="22"/>
                <w:lang w:bidi="ar"/>
              </w:rPr>
            </w:pPr>
          </w:p>
        </w:tc>
      </w:tr>
      <w:tr w14:paraId="6F8BA4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731" w:type="dxa"/>
            <w:vMerge w:val="continue"/>
            <w:tcBorders>
              <w:tl2br w:val="nil"/>
              <w:tr2bl w:val="nil"/>
            </w:tcBorders>
            <w:vAlign w:val="center"/>
          </w:tcPr>
          <w:p w14:paraId="2A92F5F9">
            <w:pPr>
              <w:widowControl/>
              <w:spacing w:line="240" w:lineRule="auto"/>
              <w:ind w:firstLine="0" w:firstLineChars="0"/>
              <w:jc w:val="center"/>
              <w:rPr>
                <w:color w:val="auto"/>
                <w:sz w:val="21"/>
                <w:szCs w:val="21"/>
              </w:rPr>
            </w:pPr>
          </w:p>
        </w:tc>
        <w:tc>
          <w:tcPr>
            <w:tcW w:w="1792" w:type="dxa"/>
            <w:vMerge w:val="continue"/>
            <w:tcBorders>
              <w:tl2br w:val="nil"/>
              <w:tr2bl w:val="nil"/>
            </w:tcBorders>
            <w:vAlign w:val="center"/>
          </w:tcPr>
          <w:p w14:paraId="1E8B3502">
            <w:pPr>
              <w:widowControl/>
              <w:spacing w:line="240" w:lineRule="auto"/>
              <w:ind w:firstLine="0" w:firstLineChars="0"/>
              <w:jc w:val="center"/>
              <w:rPr>
                <w:color w:val="auto"/>
                <w:sz w:val="21"/>
                <w:szCs w:val="21"/>
              </w:rPr>
            </w:pPr>
          </w:p>
        </w:tc>
        <w:tc>
          <w:tcPr>
            <w:tcW w:w="2250" w:type="dxa"/>
            <w:tcBorders>
              <w:tl2br w:val="nil"/>
              <w:tr2bl w:val="nil"/>
            </w:tcBorders>
            <w:vAlign w:val="center"/>
          </w:tcPr>
          <w:p w14:paraId="61D2B703">
            <w:pPr>
              <w:spacing w:line="240" w:lineRule="auto"/>
              <w:ind w:firstLine="0" w:firstLineChars="0"/>
              <w:jc w:val="center"/>
              <w:rPr>
                <w:color w:val="auto"/>
                <w:sz w:val="21"/>
                <w:szCs w:val="21"/>
              </w:rPr>
            </w:pPr>
          </w:p>
        </w:tc>
        <w:tc>
          <w:tcPr>
            <w:tcW w:w="2113" w:type="dxa"/>
            <w:tcBorders>
              <w:tl2br w:val="nil"/>
              <w:tr2bl w:val="nil"/>
            </w:tcBorders>
            <w:vAlign w:val="center"/>
          </w:tcPr>
          <w:p w14:paraId="1EDB8354">
            <w:pPr>
              <w:widowControl/>
              <w:spacing w:line="240" w:lineRule="auto"/>
              <w:ind w:firstLine="0" w:firstLineChars="0"/>
              <w:jc w:val="center"/>
              <w:textAlignment w:val="top"/>
              <w:rPr>
                <w:color w:val="auto"/>
                <w:sz w:val="21"/>
                <w:szCs w:val="21"/>
              </w:rPr>
            </w:pPr>
          </w:p>
        </w:tc>
        <w:tc>
          <w:tcPr>
            <w:tcW w:w="2752" w:type="dxa"/>
            <w:tcBorders>
              <w:tl2br w:val="nil"/>
              <w:tr2bl w:val="nil"/>
            </w:tcBorders>
            <w:noWrap/>
            <w:vAlign w:val="center"/>
          </w:tcPr>
          <w:p w14:paraId="67E26303">
            <w:pPr>
              <w:widowControl/>
              <w:spacing w:line="240" w:lineRule="auto"/>
              <w:ind w:firstLine="0" w:firstLineChars="0"/>
              <w:jc w:val="center"/>
              <w:textAlignment w:val="center"/>
              <w:rPr>
                <w:rFonts w:cs="宋体"/>
                <w:color w:val="auto"/>
                <w:kern w:val="0"/>
                <w:sz w:val="21"/>
                <w:szCs w:val="22"/>
                <w:lang w:bidi="ar"/>
              </w:rPr>
            </w:pPr>
          </w:p>
        </w:tc>
      </w:tr>
    </w:tbl>
    <w:p w14:paraId="7A321760">
      <w:pPr>
        <w:pStyle w:val="49"/>
        <w:rPr>
          <w:bCs/>
          <w:color w:val="auto"/>
          <w:kern w:val="0"/>
          <w:szCs w:val="19"/>
        </w:rPr>
      </w:pPr>
    </w:p>
    <w:p w14:paraId="05E466E7">
      <w:pPr>
        <w:pStyle w:val="49"/>
        <w:rPr>
          <w:bCs/>
          <w:color w:val="auto"/>
          <w:kern w:val="0"/>
          <w:szCs w:val="19"/>
        </w:rPr>
      </w:pPr>
      <w:r>
        <w:rPr>
          <w:bCs/>
          <w:color w:val="auto"/>
          <w:kern w:val="0"/>
          <w:szCs w:val="19"/>
        </w:rPr>
        <w:t>表</w:t>
      </w:r>
      <w:r>
        <w:rPr>
          <w:rFonts w:hint="eastAsia"/>
          <w:bCs/>
          <w:color w:val="auto"/>
          <w:kern w:val="0"/>
          <w:szCs w:val="19"/>
        </w:rPr>
        <w:t xml:space="preserve">4.8-4 </w:t>
      </w:r>
      <w:r>
        <w:rPr>
          <w:bCs/>
          <w:color w:val="auto"/>
          <w:kern w:val="0"/>
          <w:szCs w:val="19"/>
        </w:rPr>
        <w:t xml:space="preserve"> </w:t>
      </w:r>
      <w:r>
        <w:rPr>
          <w:rFonts w:hint="eastAsia"/>
          <w:bCs/>
          <w:color w:val="auto"/>
          <w:kern w:val="0"/>
          <w:szCs w:val="19"/>
        </w:rPr>
        <w:t>拟</w:t>
      </w:r>
      <w:r>
        <w:rPr>
          <w:rFonts w:ascii="Calibri" w:hAnsi="Calibri"/>
          <w:color w:val="auto"/>
          <w:szCs w:val="28"/>
        </w:rPr>
        <w:t>建项目与同行业</w:t>
      </w:r>
      <w:r>
        <w:rPr>
          <w:bCs/>
          <w:color w:val="auto"/>
          <w:kern w:val="0"/>
          <w:szCs w:val="19"/>
        </w:rPr>
        <w:t>能耗、水耗指标对比</w:t>
      </w:r>
      <w:r>
        <w:rPr>
          <w:rFonts w:hint="eastAsia"/>
          <w:color w:val="auto"/>
          <w:szCs w:val="28"/>
        </w:rPr>
        <w:t>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164"/>
        <w:gridCol w:w="1561"/>
        <w:gridCol w:w="1784"/>
        <w:gridCol w:w="1691"/>
        <w:gridCol w:w="3494"/>
      </w:tblGrid>
      <w:tr w14:paraId="494B76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600" w:type="pct"/>
            <w:tcBorders>
              <w:tl2br w:val="nil"/>
              <w:tr2bl w:val="nil"/>
            </w:tcBorders>
            <w:vAlign w:val="center"/>
          </w:tcPr>
          <w:p w14:paraId="264C6970">
            <w:pPr>
              <w:spacing w:line="240" w:lineRule="auto"/>
              <w:ind w:firstLine="0" w:firstLineChars="0"/>
              <w:jc w:val="center"/>
              <w:rPr>
                <w:b/>
                <w:color w:val="auto"/>
                <w:sz w:val="21"/>
                <w:szCs w:val="21"/>
              </w:rPr>
            </w:pPr>
            <w:r>
              <w:rPr>
                <w:b/>
                <w:color w:val="auto"/>
                <w:sz w:val="21"/>
                <w:szCs w:val="21"/>
              </w:rPr>
              <w:t>类别</w:t>
            </w:r>
          </w:p>
        </w:tc>
        <w:tc>
          <w:tcPr>
            <w:tcW w:w="805" w:type="pct"/>
            <w:tcBorders>
              <w:tl2br w:val="nil"/>
              <w:tr2bl w:val="nil"/>
            </w:tcBorders>
            <w:vAlign w:val="center"/>
          </w:tcPr>
          <w:p w14:paraId="5C75A608">
            <w:pPr>
              <w:spacing w:line="240" w:lineRule="auto"/>
              <w:ind w:firstLine="0" w:firstLineChars="0"/>
              <w:jc w:val="center"/>
              <w:rPr>
                <w:b/>
                <w:color w:val="auto"/>
                <w:sz w:val="21"/>
                <w:szCs w:val="21"/>
              </w:rPr>
            </w:pPr>
            <w:r>
              <w:rPr>
                <w:b/>
                <w:color w:val="auto"/>
                <w:sz w:val="21"/>
                <w:szCs w:val="21"/>
              </w:rPr>
              <w:t>指标名称</w:t>
            </w:r>
          </w:p>
        </w:tc>
        <w:tc>
          <w:tcPr>
            <w:tcW w:w="920" w:type="pct"/>
            <w:tcBorders>
              <w:tl2br w:val="nil"/>
              <w:tr2bl w:val="nil"/>
            </w:tcBorders>
            <w:vAlign w:val="center"/>
          </w:tcPr>
          <w:p w14:paraId="286F7186">
            <w:pPr>
              <w:spacing w:line="240" w:lineRule="auto"/>
              <w:ind w:firstLine="0" w:firstLineChars="0"/>
              <w:jc w:val="center"/>
              <w:rPr>
                <w:b/>
                <w:color w:val="auto"/>
                <w:sz w:val="21"/>
                <w:szCs w:val="21"/>
              </w:rPr>
            </w:pPr>
            <w:r>
              <w:rPr>
                <w:b/>
                <w:color w:val="auto"/>
                <w:sz w:val="21"/>
                <w:szCs w:val="21"/>
              </w:rPr>
              <w:t>单位</w:t>
            </w:r>
          </w:p>
        </w:tc>
        <w:tc>
          <w:tcPr>
            <w:tcW w:w="872" w:type="pct"/>
            <w:tcBorders>
              <w:tl2br w:val="nil"/>
              <w:tr2bl w:val="nil"/>
            </w:tcBorders>
            <w:vAlign w:val="center"/>
          </w:tcPr>
          <w:p w14:paraId="5662FBBE">
            <w:pPr>
              <w:spacing w:line="240" w:lineRule="auto"/>
              <w:ind w:firstLine="0" w:firstLineChars="0"/>
              <w:jc w:val="center"/>
              <w:rPr>
                <w:b/>
                <w:color w:val="auto"/>
                <w:sz w:val="21"/>
                <w:szCs w:val="21"/>
              </w:rPr>
            </w:pPr>
            <w:r>
              <w:rPr>
                <w:rFonts w:hint="eastAsia"/>
                <w:b/>
                <w:color w:val="auto"/>
                <w:sz w:val="21"/>
                <w:szCs w:val="21"/>
              </w:rPr>
              <w:t>拟建项目</w:t>
            </w:r>
          </w:p>
        </w:tc>
        <w:tc>
          <w:tcPr>
            <w:tcW w:w="1801" w:type="pct"/>
            <w:tcBorders>
              <w:tl2br w:val="nil"/>
              <w:tr2bl w:val="nil"/>
            </w:tcBorders>
            <w:vAlign w:val="center"/>
          </w:tcPr>
          <w:p w14:paraId="2E608E9A">
            <w:pPr>
              <w:spacing w:line="240" w:lineRule="auto"/>
              <w:ind w:firstLine="0" w:firstLineChars="0"/>
              <w:jc w:val="center"/>
              <w:rPr>
                <w:b/>
                <w:color w:val="auto"/>
                <w:sz w:val="21"/>
                <w:szCs w:val="21"/>
              </w:rPr>
            </w:pPr>
            <w:r>
              <w:rPr>
                <w:rFonts w:hint="eastAsia"/>
                <w:b/>
                <w:color w:val="auto"/>
                <w:kern w:val="0"/>
                <w:sz w:val="21"/>
                <w:szCs w:val="21"/>
                <w:lang w:bidi="ar"/>
              </w:rPr>
              <w:t>对比其他企业同类项目</w:t>
            </w:r>
          </w:p>
        </w:tc>
      </w:tr>
      <w:tr w14:paraId="226F7C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600" w:type="pct"/>
            <w:vMerge w:val="restart"/>
            <w:tcBorders>
              <w:tl2br w:val="nil"/>
              <w:tr2bl w:val="nil"/>
            </w:tcBorders>
            <w:vAlign w:val="center"/>
          </w:tcPr>
          <w:p w14:paraId="6F1FFDCE">
            <w:pPr>
              <w:spacing w:line="240" w:lineRule="auto"/>
              <w:ind w:firstLine="0" w:firstLineChars="0"/>
              <w:jc w:val="center"/>
              <w:rPr>
                <w:color w:val="auto"/>
                <w:sz w:val="21"/>
                <w:szCs w:val="21"/>
              </w:rPr>
            </w:pPr>
            <w:r>
              <w:rPr>
                <w:color w:val="auto"/>
                <w:sz w:val="21"/>
                <w:szCs w:val="21"/>
              </w:rPr>
              <w:t>能源利用</w:t>
            </w:r>
          </w:p>
        </w:tc>
        <w:tc>
          <w:tcPr>
            <w:tcW w:w="805" w:type="pct"/>
            <w:tcBorders>
              <w:tl2br w:val="nil"/>
              <w:tr2bl w:val="nil"/>
            </w:tcBorders>
            <w:vAlign w:val="center"/>
          </w:tcPr>
          <w:p w14:paraId="3958AF63">
            <w:pPr>
              <w:spacing w:line="240" w:lineRule="auto"/>
              <w:ind w:firstLine="0" w:firstLineChars="0"/>
              <w:jc w:val="center"/>
              <w:rPr>
                <w:color w:val="auto"/>
                <w:sz w:val="21"/>
                <w:szCs w:val="21"/>
              </w:rPr>
            </w:pPr>
            <w:r>
              <w:rPr>
                <w:color w:val="auto"/>
                <w:sz w:val="21"/>
                <w:szCs w:val="21"/>
              </w:rPr>
              <w:t>电能单耗</w:t>
            </w:r>
          </w:p>
        </w:tc>
        <w:tc>
          <w:tcPr>
            <w:tcW w:w="920" w:type="pct"/>
            <w:tcBorders>
              <w:tl2br w:val="nil"/>
              <w:tr2bl w:val="nil"/>
            </w:tcBorders>
            <w:vAlign w:val="center"/>
          </w:tcPr>
          <w:p w14:paraId="1A4D4401">
            <w:pPr>
              <w:spacing w:line="240" w:lineRule="auto"/>
              <w:ind w:firstLine="0" w:firstLineChars="0"/>
              <w:jc w:val="center"/>
              <w:rPr>
                <w:color w:val="auto"/>
                <w:sz w:val="21"/>
                <w:szCs w:val="21"/>
              </w:rPr>
            </w:pPr>
            <w:r>
              <w:rPr>
                <w:rFonts w:hint="eastAsia"/>
                <w:color w:val="auto"/>
                <w:sz w:val="21"/>
                <w:szCs w:val="21"/>
              </w:rPr>
              <w:t>万kWh</w:t>
            </w:r>
            <w:r>
              <w:rPr>
                <w:color w:val="auto"/>
                <w:sz w:val="21"/>
                <w:szCs w:val="21"/>
              </w:rPr>
              <w:t>/</w:t>
            </w:r>
            <w:r>
              <w:rPr>
                <w:rFonts w:hint="eastAsia"/>
                <w:color w:val="auto"/>
                <w:sz w:val="21"/>
                <w:szCs w:val="21"/>
              </w:rPr>
              <w:t>万t产品</w:t>
            </w:r>
          </w:p>
        </w:tc>
        <w:tc>
          <w:tcPr>
            <w:tcW w:w="872" w:type="pct"/>
            <w:tcBorders>
              <w:tl2br w:val="nil"/>
              <w:tr2bl w:val="nil"/>
            </w:tcBorders>
            <w:vAlign w:val="center"/>
          </w:tcPr>
          <w:p w14:paraId="2136A871">
            <w:pPr>
              <w:spacing w:line="240" w:lineRule="auto"/>
              <w:ind w:firstLine="0" w:firstLineChars="0"/>
              <w:jc w:val="center"/>
              <w:rPr>
                <w:color w:val="auto"/>
                <w:sz w:val="21"/>
                <w:szCs w:val="21"/>
              </w:rPr>
            </w:pPr>
            <w:r>
              <w:rPr>
                <w:rFonts w:hint="eastAsia"/>
                <w:color w:val="auto"/>
                <w:sz w:val="21"/>
                <w:szCs w:val="21"/>
              </w:rPr>
              <w:t>21.354</w:t>
            </w:r>
          </w:p>
        </w:tc>
        <w:tc>
          <w:tcPr>
            <w:tcW w:w="1801" w:type="pct"/>
            <w:tcBorders>
              <w:tl2br w:val="nil"/>
              <w:tr2bl w:val="nil"/>
            </w:tcBorders>
            <w:vAlign w:val="center"/>
          </w:tcPr>
          <w:p w14:paraId="48E8B4DE">
            <w:pPr>
              <w:spacing w:line="240" w:lineRule="auto"/>
              <w:ind w:firstLine="0" w:firstLineChars="0"/>
              <w:jc w:val="center"/>
              <w:rPr>
                <w:color w:val="auto"/>
                <w:sz w:val="21"/>
                <w:szCs w:val="21"/>
              </w:rPr>
            </w:pPr>
            <w:r>
              <w:rPr>
                <w:rFonts w:hint="eastAsia"/>
                <w:color w:val="auto"/>
                <w:sz w:val="21"/>
                <w:szCs w:val="21"/>
              </w:rPr>
              <w:t>26.52（中盐红四方同品类生产线）</w:t>
            </w:r>
          </w:p>
        </w:tc>
      </w:tr>
      <w:tr w14:paraId="7A990A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600" w:type="pct"/>
            <w:vMerge w:val="continue"/>
            <w:tcBorders>
              <w:tl2br w:val="nil"/>
              <w:tr2bl w:val="nil"/>
            </w:tcBorders>
            <w:vAlign w:val="center"/>
          </w:tcPr>
          <w:p w14:paraId="2A1630C8">
            <w:pPr>
              <w:spacing w:line="240" w:lineRule="auto"/>
              <w:ind w:firstLine="0" w:firstLineChars="0"/>
              <w:jc w:val="center"/>
              <w:rPr>
                <w:color w:val="auto"/>
                <w:sz w:val="21"/>
                <w:szCs w:val="21"/>
              </w:rPr>
            </w:pPr>
          </w:p>
        </w:tc>
        <w:tc>
          <w:tcPr>
            <w:tcW w:w="805" w:type="pct"/>
            <w:tcBorders>
              <w:tl2br w:val="nil"/>
              <w:tr2bl w:val="nil"/>
            </w:tcBorders>
            <w:vAlign w:val="center"/>
          </w:tcPr>
          <w:p w14:paraId="305A4438">
            <w:pPr>
              <w:spacing w:line="240" w:lineRule="auto"/>
              <w:ind w:firstLine="0" w:firstLineChars="0"/>
              <w:jc w:val="center"/>
              <w:rPr>
                <w:color w:val="auto"/>
                <w:sz w:val="21"/>
                <w:szCs w:val="21"/>
              </w:rPr>
            </w:pPr>
            <w:r>
              <w:rPr>
                <w:color w:val="auto"/>
                <w:sz w:val="21"/>
                <w:szCs w:val="21"/>
              </w:rPr>
              <w:t>蒸汽单耗</w:t>
            </w:r>
          </w:p>
        </w:tc>
        <w:tc>
          <w:tcPr>
            <w:tcW w:w="920" w:type="pct"/>
            <w:tcBorders>
              <w:tl2br w:val="nil"/>
              <w:tr2bl w:val="nil"/>
            </w:tcBorders>
            <w:vAlign w:val="center"/>
          </w:tcPr>
          <w:p w14:paraId="11F7F0D6">
            <w:pPr>
              <w:spacing w:line="240" w:lineRule="auto"/>
              <w:ind w:firstLine="0" w:firstLineChars="0"/>
              <w:jc w:val="center"/>
              <w:rPr>
                <w:color w:val="auto"/>
                <w:sz w:val="21"/>
                <w:szCs w:val="21"/>
              </w:rPr>
            </w:pPr>
            <w:r>
              <w:rPr>
                <w:rFonts w:hint="eastAsia"/>
                <w:color w:val="auto"/>
                <w:sz w:val="21"/>
                <w:szCs w:val="21"/>
              </w:rPr>
              <w:t>万t</w:t>
            </w:r>
            <w:r>
              <w:rPr>
                <w:color w:val="auto"/>
                <w:sz w:val="21"/>
                <w:szCs w:val="21"/>
              </w:rPr>
              <w:t>/</w:t>
            </w:r>
            <w:r>
              <w:rPr>
                <w:rFonts w:hint="eastAsia"/>
                <w:color w:val="auto"/>
                <w:sz w:val="21"/>
                <w:szCs w:val="21"/>
              </w:rPr>
              <w:t>万t产品</w:t>
            </w:r>
          </w:p>
        </w:tc>
        <w:tc>
          <w:tcPr>
            <w:tcW w:w="872" w:type="pct"/>
            <w:tcBorders>
              <w:tl2br w:val="nil"/>
              <w:tr2bl w:val="nil"/>
            </w:tcBorders>
            <w:vAlign w:val="center"/>
          </w:tcPr>
          <w:p w14:paraId="6FDF0912">
            <w:pPr>
              <w:spacing w:line="240" w:lineRule="auto"/>
              <w:ind w:firstLine="0" w:firstLineChars="0"/>
              <w:jc w:val="center"/>
              <w:rPr>
                <w:color w:val="auto"/>
                <w:sz w:val="21"/>
                <w:szCs w:val="21"/>
              </w:rPr>
            </w:pPr>
            <w:r>
              <w:rPr>
                <w:rFonts w:hint="eastAsia"/>
                <w:color w:val="auto"/>
                <w:sz w:val="21"/>
                <w:szCs w:val="21"/>
              </w:rPr>
              <w:t>0.071</w:t>
            </w:r>
          </w:p>
        </w:tc>
        <w:tc>
          <w:tcPr>
            <w:tcW w:w="1801" w:type="pct"/>
            <w:tcBorders>
              <w:tl2br w:val="nil"/>
              <w:tr2bl w:val="nil"/>
            </w:tcBorders>
            <w:vAlign w:val="center"/>
          </w:tcPr>
          <w:p w14:paraId="5A6BF4BE">
            <w:pPr>
              <w:spacing w:line="240" w:lineRule="auto"/>
              <w:ind w:firstLine="0" w:firstLineChars="0"/>
              <w:jc w:val="center"/>
              <w:rPr>
                <w:color w:val="auto"/>
                <w:sz w:val="21"/>
                <w:szCs w:val="21"/>
              </w:rPr>
            </w:pPr>
            <w:r>
              <w:rPr>
                <w:rFonts w:hint="eastAsia"/>
                <w:color w:val="auto"/>
                <w:sz w:val="21"/>
                <w:szCs w:val="21"/>
              </w:rPr>
              <w:t>0.107（山东鲁北化工现有装置）</w:t>
            </w:r>
          </w:p>
        </w:tc>
      </w:tr>
      <w:tr w14:paraId="0DAF5F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600" w:type="pct"/>
            <w:vMerge w:val="continue"/>
            <w:tcBorders>
              <w:tl2br w:val="nil"/>
              <w:tr2bl w:val="nil"/>
            </w:tcBorders>
            <w:vAlign w:val="center"/>
          </w:tcPr>
          <w:p w14:paraId="5C45AB4C">
            <w:pPr>
              <w:spacing w:line="240" w:lineRule="auto"/>
              <w:ind w:firstLine="0" w:firstLineChars="0"/>
              <w:jc w:val="center"/>
              <w:rPr>
                <w:color w:val="auto"/>
                <w:sz w:val="21"/>
                <w:szCs w:val="21"/>
              </w:rPr>
            </w:pPr>
          </w:p>
        </w:tc>
        <w:tc>
          <w:tcPr>
            <w:tcW w:w="805" w:type="pct"/>
            <w:tcBorders>
              <w:tl2br w:val="nil"/>
              <w:tr2bl w:val="nil"/>
            </w:tcBorders>
            <w:vAlign w:val="center"/>
          </w:tcPr>
          <w:p w14:paraId="77C9643D">
            <w:pPr>
              <w:spacing w:line="240" w:lineRule="auto"/>
              <w:ind w:firstLine="0" w:firstLineChars="0"/>
              <w:jc w:val="center"/>
              <w:rPr>
                <w:color w:val="auto"/>
                <w:sz w:val="21"/>
                <w:szCs w:val="21"/>
              </w:rPr>
            </w:pPr>
            <w:r>
              <w:rPr>
                <w:color w:val="auto"/>
                <w:sz w:val="21"/>
                <w:szCs w:val="21"/>
              </w:rPr>
              <w:t>水资源单耗</w:t>
            </w:r>
          </w:p>
        </w:tc>
        <w:tc>
          <w:tcPr>
            <w:tcW w:w="920" w:type="pct"/>
            <w:tcBorders>
              <w:tl2br w:val="nil"/>
              <w:tr2bl w:val="nil"/>
            </w:tcBorders>
            <w:vAlign w:val="center"/>
          </w:tcPr>
          <w:p w14:paraId="04176C01">
            <w:pPr>
              <w:spacing w:line="240" w:lineRule="auto"/>
              <w:ind w:firstLine="0" w:firstLineChars="0"/>
              <w:jc w:val="center"/>
              <w:rPr>
                <w:color w:val="auto"/>
                <w:sz w:val="21"/>
                <w:szCs w:val="21"/>
              </w:rPr>
            </w:pPr>
            <w:r>
              <w:rPr>
                <w:rFonts w:hint="eastAsia"/>
                <w:color w:val="auto"/>
                <w:sz w:val="21"/>
                <w:szCs w:val="21"/>
              </w:rPr>
              <w:t>万t</w:t>
            </w:r>
            <w:r>
              <w:rPr>
                <w:color w:val="auto"/>
                <w:sz w:val="21"/>
                <w:szCs w:val="21"/>
              </w:rPr>
              <w:t>/</w:t>
            </w:r>
            <w:r>
              <w:rPr>
                <w:rFonts w:hint="eastAsia"/>
                <w:color w:val="auto"/>
                <w:sz w:val="21"/>
                <w:szCs w:val="21"/>
              </w:rPr>
              <w:t>万t产品</w:t>
            </w:r>
          </w:p>
        </w:tc>
        <w:tc>
          <w:tcPr>
            <w:tcW w:w="872" w:type="pct"/>
            <w:tcBorders>
              <w:tl2br w:val="nil"/>
              <w:tr2bl w:val="nil"/>
            </w:tcBorders>
            <w:vAlign w:val="center"/>
          </w:tcPr>
          <w:p w14:paraId="11970EF3">
            <w:pPr>
              <w:spacing w:line="240" w:lineRule="auto"/>
              <w:ind w:firstLine="0" w:firstLineChars="0"/>
              <w:jc w:val="center"/>
              <w:rPr>
                <w:color w:val="auto"/>
                <w:sz w:val="21"/>
                <w:szCs w:val="21"/>
              </w:rPr>
            </w:pPr>
            <w:r>
              <w:rPr>
                <w:rFonts w:hint="eastAsia"/>
                <w:color w:val="auto"/>
                <w:sz w:val="21"/>
                <w:szCs w:val="21"/>
              </w:rPr>
              <w:t>1.219</w:t>
            </w:r>
          </w:p>
        </w:tc>
        <w:tc>
          <w:tcPr>
            <w:tcW w:w="1801" w:type="pct"/>
            <w:tcBorders>
              <w:tl2br w:val="nil"/>
              <w:tr2bl w:val="nil"/>
            </w:tcBorders>
            <w:vAlign w:val="center"/>
          </w:tcPr>
          <w:p w14:paraId="6B2536AC">
            <w:pPr>
              <w:spacing w:line="240" w:lineRule="auto"/>
              <w:ind w:firstLine="0" w:firstLineChars="0"/>
              <w:jc w:val="center"/>
              <w:rPr>
                <w:color w:val="auto"/>
                <w:sz w:val="21"/>
                <w:szCs w:val="21"/>
              </w:rPr>
            </w:pPr>
            <w:r>
              <w:rPr>
                <w:rFonts w:hint="eastAsia"/>
                <w:color w:val="auto"/>
                <w:sz w:val="21"/>
                <w:szCs w:val="21"/>
              </w:rPr>
              <w:t>1.736（东营盛源无机盐）</w:t>
            </w:r>
          </w:p>
        </w:tc>
      </w:tr>
    </w:tbl>
    <w:p w14:paraId="4A671B34">
      <w:pPr>
        <w:ind w:firstLine="480"/>
        <w:rPr>
          <w:color w:val="auto"/>
        </w:rPr>
      </w:pPr>
    </w:p>
    <w:p w14:paraId="35E23735">
      <w:pPr>
        <w:pStyle w:val="4"/>
        <w:rPr>
          <w:color w:val="auto"/>
        </w:rPr>
      </w:pPr>
      <w:bookmarkStart w:id="168" w:name="_Toc2387"/>
      <w:r>
        <w:rPr>
          <w:rFonts w:hint="eastAsia"/>
          <w:color w:val="auto"/>
        </w:rPr>
        <w:t>4.8.4污染减排措施</w:t>
      </w:r>
      <w:bookmarkEnd w:id="168"/>
    </w:p>
    <w:p w14:paraId="7B782062">
      <w:pPr>
        <w:pStyle w:val="49"/>
        <w:rPr>
          <w:bCs/>
          <w:color w:val="auto"/>
          <w:kern w:val="0"/>
          <w:szCs w:val="19"/>
        </w:rPr>
      </w:pPr>
      <w:r>
        <w:rPr>
          <w:bCs/>
          <w:color w:val="auto"/>
          <w:kern w:val="0"/>
          <w:szCs w:val="19"/>
        </w:rPr>
        <w:t>表</w:t>
      </w:r>
      <w:r>
        <w:rPr>
          <w:rFonts w:hint="eastAsia"/>
          <w:bCs/>
          <w:color w:val="auto"/>
          <w:kern w:val="0"/>
          <w:szCs w:val="19"/>
        </w:rPr>
        <w:t xml:space="preserve">4.8-3  </w:t>
      </w:r>
      <w:r>
        <w:rPr>
          <w:rFonts w:hint="eastAsia"/>
          <w:color w:val="auto"/>
          <w:szCs w:val="28"/>
        </w:rPr>
        <w:t>拟建项目</w:t>
      </w:r>
      <w:r>
        <w:rPr>
          <w:color w:val="auto"/>
          <w:szCs w:val="28"/>
        </w:rPr>
        <w:t>与</w:t>
      </w:r>
      <w:r>
        <w:rPr>
          <w:rFonts w:ascii="Calibri" w:hAnsi="Calibri"/>
          <w:color w:val="auto"/>
          <w:szCs w:val="28"/>
        </w:rPr>
        <w:t>同行业</w:t>
      </w:r>
      <w:r>
        <w:rPr>
          <w:rFonts w:hint="eastAsia"/>
          <w:color w:val="auto"/>
          <w:szCs w:val="28"/>
        </w:rPr>
        <w:t>同类型项目</w:t>
      </w:r>
      <w:r>
        <w:rPr>
          <w:color w:val="auto"/>
          <w:szCs w:val="28"/>
        </w:rPr>
        <w:t>污染物</w:t>
      </w:r>
      <w:r>
        <w:rPr>
          <w:rFonts w:hint="eastAsia"/>
          <w:color w:val="auto"/>
          <w:szCs w:val="28"/>
        </w:rPr>
        <w:t>产生</w:t>
      </w:r>
      <w:r>
        <w:rPr>
          <w:color w:val="auto"/>
          <w:szCs w:val="28"/>
        </w:rPr>
        <w:t>水平对比</w:t>
      </w:r>
    </w:p>
    <w:tbl>
      <w:tblPr>
        <w:tblStyle w:val="24"/>
        <w:tblW w:w="500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940"/>
        <w:gridCol w:w="2039"/>
        <w:gridCol w:w="1700"/>
        <w:gridCol w:w="1050"/>
        <w:gridCol w:w="2921"/>
      </w:tblGrid>
      <w:tr w14:paraId="2A607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1940" w:type="dxa"/>
            <w:vAlign w:val="center"/>
          </w:tcPr>
          <w:p w14:paraId="3961162A">
            <w:pPr>
              <w:spacing w:line="240" w:lineRule="auto"/>
              <w:ind w:firstLine="0" w:firstLineChars="0"/>
              <w:jc w:val="center"/>
              <w:rPr>
                <w:b/>
                <w:color w:val="auto"/>
                <w:sz w:val="21"/>
                <w:szCs w:val="21"/>
              </w:rPr>
            </w:pPr>
            <w:r>
              <w:rPr>
                <w:b/>
                <w:color w:val="auto"/>
                <w:sz w:val="21"/>
                <w:szCs w:val="21"/>
              </w:rPr>
              <w:t>项目</w:t>
            </w:r>
          </w:p>
        </w:tc>
        <w:tc>
          <w:tcPr>
            <w:tcW w:w="2039" w:type="dxa"/>
            <w:vAlign w:val="center"/>
          </w:tcPr>
          <w:p w14:paraId="1FE875CC">
            <w:pPr>
              <w:spacing w:line="240" w:lineRule="auto"/>
              <w:ind w:firstLine="0" w:firstLineChars="0"/>
              <w:jc w:val="center"/>
              <w:rPr>
                <w:b/>
                <w:color w:val="auto"/>
                <w:sz w:val="21"/>
                <w:szCs w:val="21"/>
              </w:rPr>
            </w:pPr>
            <w:r>
              <w:rPr>
                <w:b/>
                <w:color w:val="auto"/>
                <w:sz w:val="21"/>
                <w:szCs w:val="21"/>
              </w:rPr>
              <w:t>污染物名称</w:t>
            </w:r>
          </w:p>
        </w:tc>
        <w:tc>
          <w:tcPr>
            <w:tcW w:w="1700" w:type="dxa"/>
            <w:vAlign w:val="center"/>
          </w:tcPr>
          <w:p w14:paraId="7E533A2F">
            <w:pPr>
              <w:spacing w:line="240" w:lineRule="auto"/>
              <w:ind w:firstLine="0" w:firstLineChars="0"/>
              <w:jc w:val="center"/>
              <w:rPr>
                <w:b/>
                <w:color w:val="auto"/>
                <w:sz w:val="21"/>
                <w:szCs w:val="21"/>
              </w:rPr>
            </w:pPr>
            <w:r>
              <w:rPr>
                <w:b/>
                <w:color w:val="auto"/>
                <w:sz w:val="21"/>
                <w:szCs w:val="21"/>
              </w:rPr>
              <w:t>单位</w:t>
            </w:r>
          </w:p>
        </w:tc>
        <w:tc>
          <w:tcPr>
            <w:tcW w:w="1050" w:type="dxa"/>
            <w:vAlign w:val="center"/>
          </w:tcPr>
          <w:p w14:paraId="3E889ACC">
            <w:pPr>
              <w:spacing w:line="240" w:lineRule="auto"/>
              <w:ind w:firstLine="0" w:firstLineChars="0"/>
              <w:jc w:val="center"/>
              <w:rPr>
                <w:b/>
                <w:color w:val="auto"/>
                <w:sz w:val="21"/>
                <w:szCs w:val="21"/>
              </w:rPr>
            </w:pPr>
            <w:r>
              <w:rPr>
                <w:b/>
                <w:color w:val="auto"/>
                <w:sz w:val="21"/>
                <w:szCs w:val="21"/>
              </w:rPr>
              <w:t>拟建项目</w:t>
            </w:r>
          </w:p>
        </w:tc>
        <w:tc>
          <w:tcPr>
            <w:tcW w:w="2921" w:type="dxa"/>
            <w:vAlign w:val="center"/>
          </w:tcPr>
          <w:p w14:paraId="2B0F8C2D">
            <w:pPr>
              <w:spacing w:line="240" w:lineRule="auto"/>
              <w:ind w:firstLine="0" w:firstLineChars="0"/>
              <w:jc w:val="center"/>
              <w:rPr>
                <w:b/>
                <w:color w:val="auto"/>
                <w:sz w:val="21"/>
                <w:szCs w:val="21"/>
              </w:rPr>
            </w:pPr>
            <w:r>
              <w:rPr>
                <w:rFonts w:hint="eastAsia"/>
                <w:b/>
                <w:color w:val="auto"/>
                <w:kern w:val="0"/>
                <w:sz w:val="21"/>
                <w:szCs w:val="21"/>
                <w:lang w:bidi="ar"/>
              </w:rPr>
              <w:t>对比其他企业同类项目</w:t>
            </w:r>
          </w:p>
        </w:tc>
      </w:tr>
      <w:tr w14:paraId="300C6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40" w:type="dxa"/>
            <w:vMerge w:val="restart"/>
            <w:vAlign w:val="center"/>
          </w:tcPr>
          <w:p w14:paraId="04102123">
            <w:pPr>
              <w:spacing w:line="240" w:lineRule="auto"/>
              <w:ind w:firstLine="0" w:firstLineChars="0"/>
              <w:jc w:val="center"/>
              <w:rPr>
                <w:bCs/>
                <w:color w:val="auto"/>
                <w:sz w:val="21"/>
                <w:szCs w:val="21"/>
              </w:rPr>
            </w:pPr>
            <w:r>
              <w:rPr>
                <w:bCs/>
                <w:color w:val="auto"/>
                <w:sz w:val="21"/>
                <w:szCs w:val="21"/>
              </w:rPr>
              <w:t>污染物</w:t>
            </w:r>
            <w:r>
              <w:rPr>
                <w:rFonts w:hint="eastAsia"/>
                <w:bCs/>
                <w:color w:val="auto"/>
                <w:sz w:val="21"/>
                <w:szCs w:val="21"/>
              </w:rPr>
              <w:t>排放</w:t>
            </w:r>
            <w:r>
              <w:rPr>
                <w:bCs/>
                <w:color w:val="auto"/>
                <w:sz w:val="21"/>
                <w:szCs w:val="21"/>
              </w:rPr>
              <w:t>指标</w:t>
            </w:r>
          </w:p>
        </w:tc>
        <w:tc>
          <w:tcPr>
            <w:tcW w:w="2039" w:type="dxa"/>
            <w:vAlign w:val="center"/>
          </w:tcPr>
          <w:p w14:paraId="30AA3813">
            <w:pPr>
              <w:spacing w:line="240" w:lineRule="auto"/>
              <w:ind w:firstLine="0" w:firstLineChars="0"/>
              <w:jc w:val="center"/>
              <w:rPr>
                <w:bCs/>
                <w:color w:val="auto"/>
                <w:sz w:val="21"/>
                <w:szCs w:val="21"/>
              </w:rPr>
            </w:pPr>
            <w:r>
              <w:rPr>
                <w:bCs/>
                <w:color w:val="auto"/>
                <w:sz w:val="21"/>
                <w:szCs w:val="21"/>
              </w:rPr>
              <w:t>废水</w:t>
            </w:r>
          </w:p>
        </w:tc>
        <w:tc>
          <w:tcPr>
            <w:tcW w:w="1700" w:type="dxa"/>
            <w:vAlign w:val="center"/>
          </w:tcPr>
          <w:p w14:paraId="6FAB32F3">
            <w:pPr>
              <w:spacing w:line="240" w:lineRule="auto"/>
              <w:ind w:firstLine="0" w:firstLineChars="0"/>
              <w:jc w:val="center"/>
              <w:rPr>
                <w:bCs/>
                <w:color w:val="auto"/>
                <w:sz w:val="21"/>
                <w:szCs w:val="21"/>
              </w:rPr>
            </w:pPr>
            <w:r>
              <w:rPr>
                <w:bCs/>
                <w:color w:val="auto"/>
                <w:sz w:val="21"/>
                <w:szCs w:val="21"/>
              </w:rPr>
              <w:t>万吨/万吨产品</w:t>
            </w:r>
          </w:p>
        </w:tc>
        <w:tc>
          <w:tcPr>
            <w:tcW w:w="1050" w:type="dxa"/>
            <w:vAlign w:val="center"/>
          </w:tcPr>
          <w:p w14:paraId="0840FCAB">
            <w:pPr>
              <w:widowControl/>
              <w:spacing w:line="240" w:lineRule="auto"/>
              <w:ind w:firstLine="0" w:firstLineChars="0"/>
              <w:jc w:val="center"/>
              <w:textAlignment w:val="center"/>
              <w:rPr>
                <w:bCs/>
                <w:color w:val="auto"/>
                <w:sz w:val="21"/>
                <w:szCs w:val="21"/>
              </w:rPr>
            </w:pPr>
            <w:r>
              <w:rPr>
                <w:rFonts w:hint="eastAsia"/>
                <w:bCs/>
                <w:color w:val="auto"/>
                <w:sz w:val="21"/>
                <w:szCs w:val="21"/>
              </w:rPr>
              <w:t>0.233</w:t>
            </w:r>
          </w:p>
        </w:tc>
        <w:tc>
          <w:tcPr>
            <w:tcW w:w="2921" w:type="dxa"/>
            <w:vAlign w:val="center"/>
          </w:tcPr>
          <w:p w14:paraId="35F82FB3">
            <w:pPr>
              <w:spacing w:line="240" w:lineRule="auto"/>
              <w:ind w:firstLine="0" w:firstLineChars="0"/>
              <w:jc w:val="center"/>
              <w:rPr>
                <w:color w:val="auto"/>
                <w:sz w:val="21"/>
                <w:szCs w:val="21"/>
              </w:rPr>
            </w:pPr>
            <w:r>
              <w:rPr>
                <w:rFonts w:hint="eastAsia"/>
                <w:color w:val="auto"/>
                <w:sz w:val="21"/>
                <w:szCs w:val="21"/>
              </w:rPr>
              <w:t>0.342（中盐安徽红四方同品类生产线）</w:t>
            </w:r>
          </w:p>
        </w:tc>
      </w:tr>
      <w:tr w14:paraId="5C85A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40" w:type="dxa"/>
            <w:vMerge w:val="continue"/>
            <w:vAlign w:val="center"/>
          </w:tcPr>
          <w:p w14:paraId="0B5EA277">
            <w:pPr>
              <w:spacing w:line="240" w:lineRule="auto"/>
              <w:ind w:firstLine="0" w:firstLineChars="0"/>
              <w:jc w:val="center"/>
              <w:rPr>
                <w:bCs/>
                <w:color w:val="auto"/>
                <w:sz w:val="21"/>
                <w:szCs w:val="21"/>
              </w:rPr>
            </w:pPr>
          </w:p>
        </w:tc>
        <w:tc>
          <w:tcPr>
            <w:tcW w:w="2039" w:type="dxa"/>
            <w:vAlign w:val="center"/>
          </w:tcPr>
          <w:p w14:paraId="05ACA554">
            <w:pPr>
              <w:spacing w:line="240" w:lineRule="auto"/>
              <w:ind w:firstLine="0" w:firstLineChars="0"/>
              <w:jc w:val="center"/>
              <w:rPr>
                <w:bCs/>
                <w:color w:val="auto"/>
                <w:sz w:val="21"/>
                <w:szCs w:val="21"/>
              </w:rPr>
            </w:pPr>
            <w:r>
              <w:rPr>
                <w:bCs/>
                <w:color w:val="auto"/>
                <w:sz w:val="21"/>
                <w:szCs w:val="21"/>
              </w:rPr>
              <w:t>废气</w:t>
            </w:r>
          </w:p>
        </w:tc>
        <w:tc>
          <w:tcPr>
            <w:tcW w:w="1700" w:type="dxa"/>
            <w:vAlign w:val="center"/>
          </w:tcPr>
          <w:p w14:paraId="70A50F10">
            <w:pPr>
              <w:spacing w:line="240" w:lineRule="auto"/>
              <w:ind w:firstLine="0" w:firstLineChars="0"/>
              <w:jc w:val="center"/>
              <w:rPr>
                <w:bCs/>
                <w:color w:val="auto"/>
                <w:sz w:val="21"/>
                <w:szCs w:val="21"/>
              </w:rPr>
            </w:pPr>
            <w:r>
              <w:rPr>
                <w:bCs/>
                <w:color w:val="auto"/>
                <w:sz w:val="21"/>
                <w:szCs w:val="21"/>
              </w:rPr>
              <w:t>吨/万吨产品</w:t>
            </w:r>
          </w:p>
        </w:tc>
        <w:tc>
          <w:tcPr>
            <w:tcW w:w="1050" w:type="dxa"/>
            <w:vAlign w:val="center"/>
          </w:tcPr>
          <w:p w14:paraId="48EDA891">
            <w:pPr>
              <w:widowControl/>
              <w:spacing w:line="240" w:lineRule="auto"/>
              <w:ind w:firstLine="0" w:firstLineChars="0"/>
              <w:jc w:val="center"/>
              <w:textAlignment w:val="center"/>
              <w:rPr>
                <w:bCs/>
                <w:color w:val="auto"/>
                <w:sz w:val="21"/>
                <w:szCs w:val="21"/>
              </w:rPr>
            </w:pPr>
            <w:r>
              <w:rPr>
                <w:rFonts w:hint="eastAsia"/>
                <w:bCs/>
                <w:color w:val="auto"/>
                <w:sz w:val="21"/>
                <w:szCs w:val="21"/>
              </w:rPr>
              <w:t>0.060</w:t>
            </w:r>
          </w:p>
        </w:tc>
        <w:tc>
          <w:tcPr>
            <w:tcW w:w="2921" w:type="dxa"/>
            <w:vAlign w:val="center"/>
          </w:tcPr>
          <w:p w14:paraId="26342C98">
            <w:pPr>
              <w:spacing w:line="240" w:lineRule="auto"/>
              <w:ind w:firstLine="0" w:firstLineChars="0"/>
              <w:jc w:val="center"/>
              <w:rPr>
                <w:color w:val="auto"/>
                <w:sz w:val="21"/>
                <w:szCs w:val="21"/>
              </w:rPr>
            </w:pPr>
            <w:r>
              <w:rPr>
                <w:rFonts w:hint="eastAsia"/>
                <w:color w:val="auto"/>
                <w:sz w:val="21"/>
                <w:szCs w:val="21"/>
              </w:rPr>
              <w:t>0.108（山东鲁北化工现有量产装置）</w:t>
            </w:r>
          </w:p>
        </w:tc>
      </w:tr>
      <w:tr w14:paraId="047DB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40" w:type="dxa"/>
            <w:vMerge w:val="continue"/>
            <w:vAlign w:val="center"/>
          </w:tcPr>
          <w:p w14:paraId="394CA7E2">
            <w:pPr>
              <w:spacing w:line="240" w:lineRule="auto"/>
              <w:ind w:firstLine="0" w:firstLineChars="0"/>
              <w:jc w:val="center"/>
              <w:rPr>
                <w:bCs/>
                <w:color w:val="auto"/>
                <w:sz w:val="21"/>
                <w:szCs w:val="21"/>
              </w:rPr>
            </w:pPr>
          </w:p>
        </w:tc>
        <w:tc>
          <w:tcPr>
            <w:tcW w:w="2039" w:type="dxa"/>
            <w:vAlign w:val="center"/>
          </w:tcPr>
          <w:p w14:paraId="4F9A7D12">
            <w:pPr>
              <w:spacing w:line="240" w:lineRule="auto"/>
              <w:ind w:firstLine="0" w:firstLineChars="0"/>
              <w:jc w:val="center"/>
              <w:rPr>
                <w:bCs/>
                <w:color w:val="auto"/>
                <w:sz w:val="21"/>
                <w:szCs w:val="21"/>
              </w:rPr>
            </w:pPr>
            <w:r>
              <w:rPr>
                <w:bCs/>
                <w:color w:val="auto"/>
                <w:sz w:val="21"/>
                <w:szCs w:val="21"/>
              </w:rPr>
              <w:t>固废</w:t>
            </w:r>
            <w:r>
              <w:rPr>
                <w:rFonts w:hint="eastAsia"/>
                <w:bCs/>
                <w:color w:val="auto"/>
                <w:sz w:val="21"/>
                <w:szCs w:val="21"/>
              </w:rPr>
              <w:t>（以危险废物计）</w:t>
            </w:r>
          </w:p>
        </w:tc>
        <w:tc>
          <w:tcPr>
            <w:tcW w:w="1700" w:type="dxa"/>
            <w:vAlign w:val="center"/>
          </w:tcPr>
          <w:p w14:paraId="5B3DB759">
            <w:pPr>
              <w:spacing w:line="240" w:lineRule="auto"/>
              <w:ind w:firstLine="0" w:firstLineChars="0"/>
              <w:jc w:val="center"/>
              <w:rPr>
                <w:bCs/>
                <w:color w:val="auto"/>
                <w:sz w:val="21"/>
                <w:szCs w:val="21"/>
              </w:rPr>
            </w:pPr>
            <w:r>
              <w:rPr>
                <w:bCs/>
                <w:color w:val="auto"/>
                <w:sz w:val="21"/>
                <w:szCs w:val="21"/>
              </w:rPr>
              <w:t>吨/万吨产品</w:t>
            </w:r>
          </w:p>
        </w:tc>
        <w:tc>
          <w:tcPr>
            <w:tcW w:w="1050" w:type="dxa"/>
            <w:vAlign w:val="center"/>
          </w:tcPr>
          <w:p w14:paraId="59917022">
            <w:pPr>
              <w:widowControl/>
              <w:spacing w:line="240" w:lineRule="auto"/>
              <w:ind w:firstLine="0" w:firstLineChars="0"/>
              <w:jc w:val="center"/>
              <w:textAlignment w:val="center"/>
              <w:rPr>
                <w:bCs/>
                <w:color w:val="auto"/>
                <w:sz w:val="21"/>
                <w:szCs w:val="21"/>
              </w:rPr>
            </w:pPr>
            <w:r>
              <w:rPr>
                <w:rFonts w:hint="eastAsia"/>
                <w:bCs/>
                <w:color w:val="auto"/>
                <w:sz w:val="21"/>
                <w:szCs w:val="21"/>
              </w:rPr>
              <w:t>0</w:t>
            </w:r>
          </w:p>
        </w:tc>
        <w:tc>
          <w:tcPr>
            <w:tcW w:w="2921" w:type="dxa"/>
            <w:vAlign w:val="center"/>
          </w:tcPr>
          <w:p w14:paraId="2ED1327A">
            <w:pPr>
              <w:spacing w:line="240" w:lineRule="auto"/>
              <w:ind w:firstLine="0" w:firstLineChars="0"/>
              <w:jc w:val="center"/>
              <w:rPr>
                <w:color w:val="auto"/>
                <w:sz w:val="21"/>
                <w:szCs w:val="21"/>
              </w:rPr>
            </w:pPr>
            <w:r>
              <w:rPr>
                <w:rFonts w:hint="eastAsia"/>
                <w:color w:val="auto"/>
                <w:sz w:val="21"/>
                <w:szCs w:val="21"/>
              </w:rPr>
              <w:t>0.018（东营盛源无机盐有限公司）</w:t>
            </w:r>
          </w:p>
        </w:tc>
      </w:tr>
    </w:tbl>
    <w:p w14:paraId="27927699">
      <w:pPr>
        <w:pStyle w:val="59"/>
        <w:autoSpaceDE w:val="0"/>
        <w:autoSpaceDN w:val="0"/>
        <w:ind w:firstLine="0" w:firstLineChars="0"/>
        <w:jc w:val="center"/>
        <w:rPr>
          <w:rFonts w:ascii="Times New Roman" w:hAnsi="Times New Roman"/>
          <w:b/>
          <w:bCs/>
          <w:color w:val="auto"/>
          <w:kern w:val="0"/>
          <w:sz w:val="24"/>
          <w:szCs w:val="19"/>
        </w:rPr>
      </w:pPr>
    </w:p>
    <w:p w14:paraId="66403E6F">
      <w:pPr>
        <w:pStyle w:val="4"/>
        <w:tabs>
          <w:tab w:val="left" w:pos="2490"/>
        </w:tabs>
        <w:spacing w:before="156" w:after="156" w:line="500" w:lineRule="atLeast"/>
        <w:rPr>
          <w:color w:val="auto"/>
        </w:rPr>
      </w:pPr>
      <w:bookmarkStart w:id="169" w:name="_Toc7705"/>
      <w:r>
        <w:rPr>
          <w:rFonts w:hint="eastAsia"/>
          <w:color w:val="auto"/>
        </w:rPr>
        <w:t>4.8.5</w:t>
      </w:r>
      <w:r>
        <w:rPr>
          <w:color w:val="auto"/>
        </w:rPr>
        <w:t>环境管理</w:t>
      </w:r>
      <w:bookmarkEnd w:id="169"/>
    </w:p>
    <w:p w14:paraId="1661CAE1">
      <w:pPr>
        <w:ind w:firstLine="480"/>
        <w:rPr>
          <w:color w:val="auto"/>
        </w:rPr>
      </w:pPr>
      <w:r>
        <w:rPr>
          <w:color w:val="auto"/>
        </w:rPr>
        <w:t>企业在正常运营时，将根据环评和相关部门要求，积极落实各项环境保护制度，对日常环境管理采取以下措施：</w:t>
      </w:r>
    </w:p>
    <w:p w14:paraId="5F7AEE74">
      <w:pPr>
        <w:ind w:firstLine="480"/>
        <w:rPr>
          <w:color w:val="auto"/>
        </w:rPr>
      </w:pPr>
      <w:r>
        <w:rPr>
          <w:color w:val="auto"/>
        </w:rPr>
        <w:t>（1）根据环保政策和法规要求，制定生产过程中环境管理和风险管理制度；</w:t>
      </w:r>
    </w:p>
    <w:p w14:paraId="2FD126A7">
      <w:pPr>
        <w:ind w:firstLine="480"/>
        <w:rPr>
          <w:color w:val="auto"/>
        </w:rPr>
      </w:pPr>
      <w:r>
        <w:rPr>
          <w:color w:val="auto"/>
        </w:rPr>
        <w:t>（2）采用合理的污染治理措施后，能够确保污染物达标排放并且满足污染物总量控制指标要求；</w:t>
      </w:r>
    </w:p>
    <w:p w14:paraId="15402464">
      <w:pPr>
        <w:ind w:firstLine="480"/>
        <w:rPr>
          <w:color w:val="auto"/>
        </w:rPr>
      </w:pPr>
      <w:r>
        <w:rPr>
          <w:color w:val="auto"/>
        </w:rPr>
        <w:t>（3）针对污染源执行有效的监控方案，落实相关监控措施；</w:t>
      </w:r>
    </w:p>
    <w:p w14:paraId="319DAE9E">
      <w:pPr>
        <w:ind w:firstLine="480"/>
        <w:rPr>
          <w:color w:val="auto"/>
        </w:rPr>
      </w:pPr>
      <w:r>
        <w:rPr>
          <w:color w:val="auto"/>
        </w:rPr>
        <w:t>（4）企业应积极开展清洁生产审计工作，从源头减少污染物的产生，完善相关工程节能措施。</w:t>
      </w:r>
    </w:p>
    <w:p w14:paraId="17BC1B27">
      <w:pPr>
        <w:ind w:firstLine="480"/>
        <w:rPr>
          <w:color w:val="auto"/>
        </w:rPr>
      </w:pPr>
      <w:r>
        <w:rPr>
          <w:color w:val="auto"/>
        </w:rPr>
        <w:t>通过采取以上措施，企业环境管理能够满足清洁生产方面相关指标要求。</w:t>
      </w:r>
    </w:p>
    <w:p w14:paraId="4159CDE0">
      <w:pPr>
        <w:ind w:firstLine="480"/>
        <w:rPr>
          <w:color w:val="auto"/>
        </w:rPr>
      </w:pPr>
    </w:p>
    <w:p w14:paraId="706EAAEB">
      <w:pPr>
        <w:pStyle w:val="4"/>
        <w:tabs>
          <w:tab w:val="left" w:pos="0"/>
        </w:tabs>
        <w:rPr>
          <w:color w:val="auto"/>
        </w:rPr>
      </w:pPr>
      <w:bookmarkStart w:id="170" w:name="_Toc6025"/>
      <w:r>
        <w:rPr>
          <w:rFonts w:hint="eastAsia"/>
          <w:color w:val="auto"/>
        </w:rPr>
        <w:t>4.8.6清洁生产结论</w:t>
      </w:r>
      <w:bookmarkEnd w:id="170"/>
    </w:p>
    <w:p w14:paraId="6B39EF70">
      <w:pPr>
        <w:ind w:firstLine="480"/>
        <w:rPr>
          <w:color w:val="auto"/>
        </w:rPr>
        <w:sectPr>
          <w:pgSz w:w="11906" w:h="16838"/>
          <w:pgMar w:top="1134" w:right="1134" w:bottom="1134" w:left="1134" w:header="851" w:footer="992" w:gutter="0"/>
          <w:cols w:space="425" w:num="1"/>
          <w:docGrid w:type="lines" w:linePitch="312" w:charSpace="0"/>
        </w:sectPr>
      </w:pPr>
      <w:r>
        <w:rPr>
          <w:color w:val="auto"/>
        </w:rPr>
        <w:t>拟建项目生产过程</w:t>
      </w:r>
      <w:r>
        <w:rPr>
          <w:rFonts w:hint="eastAsia"/>
          <w:color w:val="auto"/>
        </w:rPr>
        <w:t>中依托厂区现有的</w:t>
      </w:r>
      <w:r>
        <w:rPr>
          <w:color w:val="auto"/>
        </w:rPr>
        <w:t>先进生产机械和控制技术、有效可行的污染防治措施，有效减少了物耗、水耗、能耗和污染物产生量及排放量。从工艺设备水平、管理控制系统、污染物减排措施、清洁生产指标等方面分析，生产工艺先进性及清洁性可达</w:t>
      </w:r>
      <w:r>
        <w:rPr>
          <w:rFonts w:hint="eastAsia"/>
          <w:color w:val="auto"/>
        </w:rPr>
        <w:t>国内先进水平，符合清洁生产的要求</w:t>
      </w:r>
      <w:r>
        <w:rPr>
          <w:color w:val="auto"/>
        </w:rPr>
        <w:t>。</w:t>
      </w:r>
    </w:p>
    <w:p w14:paraId="42718D7D">
      <w:pPr>
        <w:pStyle w:val="2"/>
        <w:spacing w:before="312" w:after="312"/>
        <w:rPr>
          <w:rFonts w:hint="eastAsia"/>
          <w:color w:val="auto"/>
        </w:rPr>
      </w:pPr>
      <w:bookmarkStart w:id="171" w:name="_Toc27166"/>
      <w:r>
        <w:rPr>
          <w:rFonts w:hint="eastAsia"/>
          <w:color w:val="auto"/>
        </w:rPr>
        <w:t>环境现状调查与评价</w:t>
      </w:r>
      <w:bookmarkEnd w:id="171"/>
    </w:p>
    <w:p w14:paraId="53EAF567">
      <w:pPr>
        <w:pStyle w:val="3"/>
        <w:spacing w:before="312"/>
        <w:rPr>
          <w:color w:val="auto"/>
        </w:rPr>
      </w:pPr>
      <w:bookmarkStart w:id="172" w:name="_Toc17185"/>
      <w:r>
        <w:rPr>
          <w:rFonts w:hint="eastAsia"/>
          <w:color w:val="auto"/>
        </w:rPr>
        <w:t>5.1自然环境概况</w:t>
      </w:r>
      <w:bookmarkEnd w:id="172"/>
    </w:p>
    <w:p w14:paraId="6E01B446">
      <w:pPr>
        <w:pStyle w:val="4"/>
        <w:rPr>
          <w:color w:val="auto"/>
        </w:rPr>
      </w:pPr>
      <w:bookmarkStart w:id="173" w:name="_Toc23938"/>
      <w:r>
        <w:rPr>
          <w:rFonts w:hint="eastAsia"/>
          <w:color w:val="auto"/>
        </w:rPr>
        <w:t>5.1.1地理位置</w:t>
      </w:r>
      <w:bookmarkEnd w:id="173"/>
    </w:p>
    <w:p w14:paraId="6B4887BD">
      <w:pPr>
        <w:ind w:firstLine="480"/>
        <w:rPr>
          <w:color w:val="auto"/>
        </w:rPr>
      </w:pPr>
      <w:bookmarkStart w:id="174" w:name="_Hlk162437943"/>
      <w:r>
        <w:rPr>
          <w:color w:val="auto"/>
        </w:rPr>
        <w:t>启东市是由江苏省南通市代管的一个县级市，地处万里长江入海口北侧，三面环水，形似半岛，集黄金水道、黄金海岸、黄金大通道于一身，是出江入海的重要门户，也是江苏日出最早的地方。启东市与国际大都市上海隔江相望，距浦东直线距离仅50多公里，总人口112万。启东文化属吴越文化，启东人属江浙民系使用吴语。启东陆地面积1208平方公里，下辖12个镇，以及2个省级经济开发区、2个街道办事处，被誉为“江海明珠”。作为全国首批沿海对外开放地区之一，启东市连续三届跻身全国农村综合实力百强县市行列，先后荣获全国科技百强县市、中国明星县市、全国卫生城市等称号。启东是中国著名的“海洋经济之乡”。拥有203公里江海岸线，60多万亩滩涂</w:t>
      </w:r>
      <w:bookmarkEnd w:id="174"/>
      <w:r>
        <w:rPr>
          <w:color w:val="auto"/>
        </w:rPr>
        <w:t>。</w:t>
      </w:r>
    </w:p>
    <w:p w14:paraId="31F1B163">
      <w:pPr>
        <w:ind w:firstLine="480"/>
        <w:rPr>
          <w:color w:val="auto"/>
        </w:rPr>
      </w:pPr>
      <w:r>
        <w:rPr>
          <w:rFonts w:hint="eastAsia"/>
          <w:color w:val="auto"/>
        </w:rPr>
        <w:t>拟建</w:t>
      </w:r>
      <w:r>
        <w:rPr>
          <w:color w:val="auto"/>
        </w:rPr>
        <w:t>位于启东生命健康产业园苏州路58号现有厂区内，项目地理位置详见图5.1.1-1。</w:t>
      </w:r>
    </w:p>
    <w:p w14:paraId="47A6A6A2">
      <w:pPr>
        <w:snapToGrid/>
        <w:spacing w:before="156" w:beforeLines="50" w:after="156" w:afterLines="50"/>
        <w:ind w:firstLine="482"/>
        <w:jc w:val="left"/>
        <w:outlineLvl w:val="2"/>
        <w:rPr>
          <w:b/>
          <w:bCs/>
          <w:color w:val="auto"/>
        </w:rPr>
      </w:pPr>
      <w:bookmarkStart w:id="175" w:name="_Toc5907"/>
      <w:r>
        <w:rPr>
          <w:rFonts w:hint="eastAsia"/>
          <w:b/>
          <w:bCs/>
          <w:color w:val="auto"/>
        </w:rPr>
        <w:t>5.1.2地形、地貌、地质</w:t>
      </w:r>
      <w:bookmarkEnd w:id="175"/>
    </w:p>
    <w:p w14:paraId="15BBB8B7">
      <w:pPr>
        <w:ind w:firstLine="480"/>
        <w:rPr>
          <w:color w:val="auto"/>
        </w:rPr>
      </w:pPr>
      <w:r>
        <w:rPr>
          <w:color w:val="auto"/>
        </w:rPr>
        <w:t>启东市域内地势平坦，属沿海低平地区。而微域地形略有起伏，从西向北东南微倾，倒岸河为南北地貌的自然分野，河南高程(吴淞标高)3.6～4.6米，河北高程为5.1～6.1米，倾斜度南北约为1/30000米，东西倾斜度为1/43500米。全境分为通东、沿海、沿江、内圩4个平原区；境内河沟纵横，水域面积占土地总面积20.75%。</w:t>
      </w:r>
    </w:p>
    <w:p w14:paraId="4E669BE4">
      <w:pPr>
        <w:ind w:firstLine="480"/>
        <w:rPr>
          <w:color w:val="auto"/>
        </w:rPr>
      </w:pPr>
      <w:r>
        <w:rPr>
          <w:color w:val="auto"/>
        </w:rPr>
        <w:t>启东平原为长江三角洲平原的一部分，地形平坦，地表无基岩出露，均为第四季松散堆积物。这一地区在远古时代是大陆附近的陆棚，水下部分由河流冲击物和海相堆积物混合组成，水上部分主要是河床及河漫滩冲击物－砂、轻亚粘土、亚粘土、粘土和淤泥。经钻探揭示，在380～400米疏松沉积岩层下埋藏着坚硬的岩石。</w:t>
      </w:r>
    </w:p>
    <w:p w14:paraId="02821B06">
      <w:pPr>
        <w:ind w:firstLine="480"/>
        <w:rPr>
          <w:color w:val="auto"/>
        </w:rPr>
      </w:pPr>
      <w:r>
        <w:rPr>
          <w:color w:val="auto"/>
        </w:rPr>
        <w:t>本区域结晶基底埋深较大，其岩性较软弱，具有柔性，难具备大震活动的岩石条件，新生代以来，坳陷作用占主导地位，表现了大规模的沉降运动，形成盆地和平原，地层可朔性大，破裂变形弱，由于新生代以来的活动断裂，多为同沉积断裂，能量易释放而不易积聚 ，升降运行有明显振荡性，因此该地区不易孕育大震。从历史地震资料看，启东境内仅发生了3级左右的小地震。</w:t>
      </w:r>
    </w:p>
    <w:p w14:paraId="1E24D5D5">
      <w:pPr>
        <w:ind w:firstLine="480"/>
        <w:rPr>
          <w:color w:val="auto"/>
        </w:rPr>
      </w:pPr>
      <w:r>
        <w:rPr>
          <w:color w:val="auto"/>
        </w:rPr>
        <w:t>根据地下水的赋存及埋藏条件，地下水类型主要为松散土层孔隙潜水。孔隙潜水主要赋存于2~11层粉土、粉砂中。潜水补给来源主要是大气降水及邻近地段地表河水侧向补给。潜水排泄方式主要为自然蒸发，径流缓慢。</w:t>
      </w:r>
    </w:p>
    <w:p w14:paraId="17C1DDFF">
      <w:pPr>
        <w:ind w:firstLine="480"/>
        <w:rPr>
          <w:color w:val="auto"/>
        </w:rPr>
      </w:pPr>
      <w:r>
        <w:rPr>
          <w:color w:val="auto"/>
        </w:rPr>
        <w:t>场地孔隙潜水稳定水位埋深一般为西半部吹填区域0.30~0.50m(高程0.87~0.94m)，东半部未经吹填区域0.80~1.00mm(高程0.82~0.89m)，孔隙潜水水位呈季节性变化且受大气降水影响明显，年变幅1.5m左右，常年最高水位为1985国家高程1.5m，此水位可作设计抗浮水位使用。</w:t>
      </w:r>
    </w:p>
    <w:p w14:paraId="2C6C3EA9">
      <w:pPr>
        <w:snapToGrid/>
        <w:spacing w:before="156" w:beforeLines="50" w:after="156" w:afterLines="50"/>
        <w:ind w:firstLine="482"/>
        <w:jc w:val="left"/>
        <w:outlineLvl w:val="2"/>
        <w:rPr>
          <w:b/>
          <w:bCs/>
          <w:color w:val="auto"/>
        </w:rPr>
      </w:pPr>
      <w:bookmarkStart w:id="176" w:name="_Toc9588"/>
      <w:r>
        <w:rPr>
          <w:rFonts w:hint="eastAsia"/>
          <w:b/>
          <w:bCs/>
          <w:color w:val="auto"/>
        </w:rPr>
        <w:t>5.1.3气候、气象特征</w:t>
      </w:r>
      <w:bookmarkEnd w:id="176"/>
    </w:p>
    <w:p w14:paraId="0BF59D17">
      <w:pPr>
        <w:ind w:firstLine="480"/>
        <w:rPr>
          <w:color w:val="auto"/>
        </w:rPr>
      </w:pPr>
      <w:r>
        <w:rPr>
          <w:color w:val="auto"/>
        </w:rPr>
        <w:t>启东市属北亚热带季风气候区，全年气候温和、四季分明，雨水充沛，具有明显的海洋性气候特征。但因地处中纬度沿海，受冷暖气流影响，气候变化多，灾害性气候频繁，春季常遇阴雨；夏季多发台风、暴雨，间有伏旱、高温、秋雨，局部地区还会出现龙卷风和冰雹，冬季时有强寒流侵袭。各气象要素特征值见表5.1.3-1。</w:t>
      </w:r>
    </w:p>
    <w:p w14:paraId="5E20C8E9">
      <w:pPr>
        <w:ind w:firstLine="482"/>
        <w:jc w:val="center"/>
        <w:rPr>
          <w:b/>
          <w:color w:val="auto"/>
        </w:rPr>
      </w:pPr>
      <w:r>
        <w:rPr>
          <w:b/>
          <w:color w:val="auto"/>
        </w:rPr>
        <w:t>表5.1.3-1多年气象资料统计结果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2436"/>
        <w:gridCol w:w="1663"/>
        <w:gridCol w:w="832"/>
        <w:gridCol w:w="2497"/>
        <w:gridCol w:w="1409"/>
      </w:tblGrid>
      <w:tr w14:paraId="4B816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2" w:type="pct"/>
            <w:gridSpan w:val="2"/>
            <w:vAlign w:val="center"/>
          </w:tcPr>
          <w:p w14:paraId="010DEE95">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气象要素</w:t>
            </w:r>
          </w:p>
        </w:tc>
        <w:tc>
          <w:tcPr>
            <w:tcW w:w="844" w:type="pct"/>
            <w:vAlign w:val="center"/>
          </w:tcPr>
          <w:p w14:paraId="62341135">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数值</w:t>
            </w:r>
          </w:p>
        </w:tc>
        <w:tc>
          <w:tcPr>
            <w:tcW w:w="1689" w:type="pct"/>
            <w:gridSpan w:val="2"/>
            <w:vAlign w:val="center"/>
          </w:tcPr>
          <w:p w14:paraId="2034071B">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气象要素</w:t>
            </w:r>
          </w:p>
        </w:tc>
        <w:tc>
          <w:tcPr>
            <w:tcW w:w="715" w:type="pct"/>
            <w:vAlign w:val="center"/>
          </w:tcPr>
          <w:p w14:paraId="65F89CD2">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数值</w:t>
            </w:r>
          </w:p>
        </w:tc>
      </w:tr>
      <w:tr w14:paraId="450D3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6" w:type="pct"/>
            <w:vMerge w:val="restart"/>
            <w:vAlign w:val="center"/>
          </w:tcPr>
          <w:p w14:paraId="6F200845">
            <w:pPr>
              <w:widowControl/>
              <w:spacing w:line="240" w:lineRule="auto"/>
              <w:ind w:firstLine="0" w:firstLineChars="0"/>
              <w:jc w:val="center"/>
              <w:rPr>
                <w:color w:val="auto"/>
                <w:kern w:val="0"/>
                <w:sz w:val="21"/>
                <w:szCs w:val="21"/>
                <w:lang w:val="zh-CN"/>
              </w:rPr>
            </w:pPr>
            <w:r>
              <w:rPr>
                <w:color w:val="auto"/>
                <w:kern w:val="0"/>
                <w:sz w:val="21"/>
                <w:szCs w:val="21"/>
                <w:lang w:val="zh-CN"/>
              </w:rPr>
              <w:t>气温</w:t>
            </w:r>
          </w:p>
        </w:tc>
        <w:tc>
          <w:tcPr>
            <w:tcW w:w="1236" w:type="pct"/>
            <w:vAlign w:val="center"/>
          </w:tcPr>
          <w:p w14:paraId="1990B4DF">
            <w:pPr>
              <w:widowControl/>
              <w:spacing w:line="240" w:lineRule="auto"/>
              <w:ind w:firstLine="0" w:firstLineChars="0"/>
              <w:jc w:val="center"/>
              <w:rPr>
                <w:color w:val="auto"/>
                <w:kern w:val="0"/>
                <w:sz w:val="21"/>
                <w:szCs w:val="21"/>
                <w:lang w:val="zh-CN"/>
              </w:rPr>
            </w:pPr>
            <w:r>
              <w:rPr>
                <w:color w:val="auto"/>
                <w:kern w:val="0"/>
                <w:sz w:val="21"/>
                <w:szCs w:val="21"/>
                <w:lang w:val="zh-CN"/>
              </w:rPr>
              <w:t>历年平均气温</w:t>
            </w:r>
          </w:p>
        </w:tc>
        <w:tc>
          <w:tcPr>
            <w:tcW w:w="844" w:type="pct"/>
            <w:vAlign w:val="center"/>
          </w:tcPr>
          <w:p w14:paraId="3809DA4B">
            <w:pPr>
              <w:widowControl/>
              <w:spacing w:line="240" w:lineRule="auto"/>
              <w:ind w:firstLine="0" w:firstLineChars="0"/>
              <w:jc w:val="center"/>
              <w:rPr>
                <w:color w:val="auto"/>
                <w:kern w:val="0"/>
                <w:sz w:val="21"/>
                <w:szCs w:val="21"/>
                <w:lang w:val="zh-CN"/>
              </w:rPr>
            </w:pPr>
            <w:r>
              <w:rPr>
                <w:color w:val="auto"/>
                <w:kern w:val="0"/>
                <w:sz w:val="21"/>
                <w:szCs w:val="21"/>
                <w:lang w:val="zh-CN"/>
              </w:rPr>
              <w:t>16.</w:t>
            </w:r>
            <w:r>
              <w:rPr>
                <w:rFonts w:hint="eastAsia"/>
                <w:color w:val="auto"/>
                <w:kern w:val="0"/>
                <w:sz w:val="21"/>
                <w:szCs w:val="21"/>
                <w:lang w:val="zh-CN"/>
              </w:rPr>
              <w:t>5</w:t>
            </w:r>
            <w:r>
              <w:rPr>
                <w:color w:val="auto"/>
                <w:kern w:val="0"/>
                <w:sz w:val="21"/>
                <w:szCs w:val="21"/>
                <w:lang w:val="zh-CN"/>
              </w:rPr>
              <w:t>℃</w:t>
            </w:r>
          </w:p>
        </w:tc>
        <w:tc>
          <w:tcPr>
            <w:tcW w:w="422" w:type="pct"/>
            <w:vAlign w:val="center"/>
          </w:tcPr>
          <w:p w14:paraId="63166447">
            <w:pPr>
              <w:widowControl/>
              <w:spacing w:line="240" w:lineRule="auto"/>
              <w:ind w:firstLine="0" w:firstLineChars="0"/>
              <w:jc w:val="center"/>
              <w:rPr>
                <w:color w:val="auto"/>
                <w:kern w:val="0"/>
                <w:sz w:val="21"/>
                <w:szCs w:val="21"/>
                <w:lang w:val="zh-CN"/>
              </w:rPr>
            </w:pPr>
            <w:r>
              <w:rPr>
                <w:color w:val="auto"/>
                <w:kern w:val="0"/>
                <w:sz w:val="21"/>
                <w:szCs w:val="21"/>
                <w:lang w:val="zh-CN"/>
              </w:rPr>
              <w:t>气压</w:t>
            </w:r>
          </w:p>
        </w:tc>
        <w:tc>
          <w:tcPr>
            <w:tcW w:w="1267" w:type="pct"/>
            <w:vAlign w:val="center"/>
          </w:tcPr>
          <w:p w14:paraId="6FCCC48F">
            <w:pPr>
              <w:widowControl/>
              <w:spacing w:line="240" w:lineRule="auto"/>
              <w:ind w:firstLine="0" w:firstLineChars="0"/>
              <w:jc w:val="center"/>
              <w:rPr>
                <w:color w:val="auto"/>
                <w:kern w:val="0"/>
                <w:sz w:val="21"/>
                <w:szCs w:val="21"/>
                <w:lang w:val="zh-CN"/>
              </w:rPr>
            </w:pPr>
            <w:r>
              <w:rPr>
                <w:color w:val="auto"/>
                <w:kern w:val="0"/>
                <w:sz w:val="21"/>
                <w:szCs w:val="21"/>
                <w:lang w:val="zh-CN"/>
              </w:rPr>
              <w:t>历年平均气压</w:t>
            </w:r>
          </w:p>
        </w:tc>
        <w:tc>
          <w:tcPr>
            <w:tcW w:w="715" w:type="pct"/>
            <w:vAlign w:val="center"/>
          </w:tcPr>
          <w:p w14:paraId="370300A9">
            <w:pPr>
              <w:widowControl/>
              <w:spacing w:line="240" w:lineRule="auto"/>
              <w:ind w:firstLine="0" w:firstLineChars="0"/>
              <w:jc w:val="center"/>
              <w:rPr>
                <w:color w:val="auto"/>
                <w:kern w:val="0"/>
                <w:sz w:val="21"/>
                <w:szCs w:val="21"/>
                <w:lang w:val="zh-CN"/>
              </w:rPr>
            </w:pPr>
            <w:r>
              <w:rPr>
                <w:color w:val="auto"/>
                <w:kern w:val="0"/>
                <w:sz w:val="21"/>
                <w:szCs w:val="21"/>
                <w:lang w:val="zh-CN"/>
              </w:rPr>
              <w:t>101.6kPa</w:t>
            </w:r>
          </w:p>
        </w:tc>
      </w:tr>
      <w:tr w14:paraId="04CD7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6" w:type="pct"/>
            <w:vMerge w:val="continue"/>
            <w:vAlign w:val="center"/>
          </w:tcPr>
          <w:p w14:paraId="5F5675FA">
            <w:pPr>
              <w:widowControl/>
              <w:spacing w:line="240" w:lineRule="auto"/>
              <w:ind w:firstLine="0" w:firstLineChars="0"/>
              <w:jc w:val="center"/>
              <w:rPr>
                <w:color w:val="auto"/>
                <w:kern w:val="0"/>
                <w:sz w:val="21"/>
                <w:szCs w:val="21"/>
                <w:lang w:val="zh-CN"/>
              </w:rPr>
            </w:pPr>
          </w:p>
        </w:tc>
        <w:tc>
          <w:tcPr>
            <w:tcW w:w="1236" w:type="pct"/>
            <w:vAlign w:val="center"/>
          </w:tcPr>
          <w:p w14:paraId="67DD6D35">
            <w:pPr>
              <w:widowControl/>
              <w:spacing w:line="240" w:lineRule="auto"/>
              <w:ind w:firstLine="0" w:firstLineChars="0"/>
              <w:jc w:val="center"/>
              <w:rPr>
                <w:color w:val="auto"/>
                <w:kern w:val="0"/>
                <w:sz w:val="21"/>
                <w:szCs w:val="21"/>
                <w:lang w:val="zh-CN"/>
              </w:rPr>
            </w:pPr>
            <w:r>
              <w:rPr>
                <w:color w:val="auto"/>
                <w:kern w:val="0"/>
                <w:sz w:val="21"/>
                <w:szCs w:val="21"/>
                <w:lang w:val="zh-CN"/>
              </w:rPr>
              <w:t>历年极端最高气温</w:t>
            </w:r>
          </w:p>
        </w:tc>
        <w:tc>
          <w:tcPr>
            <w:tcW w:w="844" w:type="pct"/>
            <w:vAlign w:val="center"/>
          </w:tcPr>
          <w:p w14:paraId="37709167">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40.0</w:t>
            </w:r>
            <w:r>
              <w:rPr>
                <w:color w:val="auto"/>
                <w:kern w:val="0"/>
                <w:sz w:val="21"/>
                <w:szCs w:val="21"/>
                <w:lang w:val="zh-CN"/>
              </w:rPr>
              <w:t>℃</w:t>
            </w:r>
          </w:p>
        </w:tc>
        <w:tc>
          <w:tcPr>
            <w:tcW w:w="422" w:type="pct"/>
            <w:vAlign w:val="center"/>
          </w:tcPr>
          <w:p w14:paraId="05BB77F6">
            <w:pPr>
              <w:widowControl/>
              <w:spacing w:line="240" w:lineRule="auto"/>
              <w:ind w:firstLine="0" w:firstLineChars="0"/>
              <w:jc w:val="center"/>
              <w:rPr>
                <w:color w:val="auto"/>
                <w:kern w:val="0"/>
                <w:sz w:val="21"/>
                <w:szCs w:val="21"/>
                <w:lang w:val="zh-CN"/>
              </w:rPr>
            </w:pPr>
            <w:r>
              <w:rPr>
                <w:color w:val="auto"/>
                <w:kern w:val="0"/>
                <w:sz w:val="21"/>
                <w:szCs w:val="21"/>
                <w:lang w:val="zh-CN"/>
              </w:rPr>
              <w:t>风速</w:t>
            </w:r>
          </w:p>
        </w:tc>
        <w:tc>
          <w:tcPr>
            <w:tcW w:w="1267" w:type="pct"/>
            <w:vAlign w:val="center"/>
          </w:tcPr>
          <w:p w14:paraId="0C66B776">
            <w:pPr>
              <w:widowControl/>
              <w:spacing w:line="240" w:lineRule="auto"/>
              <w:ind w:firstLine="0" w:firstLineChars="0"/>
              <w:jc w:val="center"/>
              <w:rPr>
                <w:color w:val="auto"/>
                <w:kern w:val="0"/>
                <w:sz w:val="21"/>
                <w:szCs w:val="21"/>
                <w:lang w:val="zh-CN"/>
              </w:rPr>
            </w:pPr>
            <w:r>
              <w:rPr>
                <w:color w:val="auto"/>
                <w:kern w:val="0"/>
                <w:sz w:val="21"/>
                <w:szCs w:val="21"/>
                <w:lang w:val="zh-CN"/>
              </w:rPr>
              <w:t>历年平均风速</w:t>
            </w:r>
          </w:p>
        </w:tc>
        <w:tc>
          <w:tcPr>
            <w:tcW w:w="715" w:type="pct"/>
            <w:vAlign w:val="center"/>
          </w:tcPr>
          <w:p w14:paraId="6FC80805">
            <w:pPr>
              <w:widowControl/>
              <w:spacing w:line="240" w:lineRule="auto"/>
              <w:ind w:firstLine="0" w:firstLineChars="0"/>
              <w:jc w:val="center"/>
              <w:rPr>
                <w:color w:val="auto"/>
                <w:kern w:val="0"/>
                <w:sz w:val="21"/>
                <w:szCs w:val="21"/>
                <w:lang w:val="zh-CN"/>
              </w:rPr>
            </w:pPr>
            <w:r>
              <w:rPr>
                <w:color w:val="auto"/>
                <w:kern w:val="0"/>
                <w:sz w:val="21"/>
                <w:szCs w:val="21"/>
                <w:lang w:val="zh-CN"/>
              </w:rPr>
              <w:t>2.</w:t>
            </w:r>
            <w:r>
              <w:rPr>
                <w:rFonts w:hint="eastAsia"/>
                <w:color w:val="auto"/>
                <w:kern w:val="0"/>
                <w:sz w:val="21"/>
                <w:szCs w:val="21"/>
                <w:lang w:val="zh-CN"/>
              </w:rPr>
              <w:t>8</w:t>
            </w:r>
            <w:r>
              <w:rPr>
                <w:color w:val="auto"/>
                <w:kern w:val="0"/>
                <w:sz w:val="21"/>
                <w:szCs w:val="21"/>
                <w:lang w:val="zh-CN"/>
              </w:rPr>
              <w:t>m/s</w:t>
            </w:r>
          </w:p>
        </w:tc>
      </w:tr>
      <w:tr w14:paraId="710FA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6" w:type="pct"/>
            <w:vMerge w:val="continue"/>
            <w:vAlign w:val="center"/>
          </w:tcPr>
          <w:p w14:paraId="5170842E">
            <w:pPr>
              <w:widowControl/>
              <w:spacing w:line="240" w:lineRule="auto"/>
              <w:ind w:firstLine="0" w:firstLineChars="0"/>
              <w:jc w:val="center"/>
              <w:rPr>
                <w:color w:val="auto"/>
                <w:kern w:val="0"/>
                <w:sz w:val="21"/>
                <w:szCs w:val="21"/>
                <w:lang w:val="zh-CN"/>
              </w:rPr>
            </w:pPr>
          </w:p>
        </w:tc>
        <w:tc>
          <w:tcPr>
            <w:tcW w:w="1236" w:type="pct"/>
            <w:vAlign w:val="center"/>
          </w:tcPr>
          <w:p w14:paraId="72199FCC">
            <w:pPr>
              <w:widowControl/>
              <w:spacing w:line="240" w:lineRule="auto"/>
              <w:ind w:firstLine="0" w:firstLineChars="0"/>
              <w:jc w:val="center"/>
              <w:rPr>
                <w:color w:val="auto"/>
                <w:kern w:val="0"/>
                <w:sz w:val="21"/>
                <w:szCs w:val="21"/>
                <w:lang w:val="zh-CN"/>
              </w:rPr>
            </w:pPr>
            <w:r>
              <w:rPr>
                <w:color w:val="auto"/>
                <w:kern w:val="0"/>
                <w:sz w:val="21"/>
                <w:szCs w:val="21"/>
                <w:lang w:val="zh-CN"/>
              </w:rPr>
              <w:t>历年极端最低气温</w:t>
            </w:r>
          </w:p>
        </w:tc>
        <w:tc>
          <w:tcPr>
            <w:tcW w:w="844" w:type="pct"/>
            <w:vAlign w:val="center"/>
          </w:tcPr>
          <w:p w14:paraId="2764C118">
            <w:pPr>
              <w:widowControl/>
              <w:spacing w:line="240" w:lineRule="auto"/>
              <w:ind w:firstLine="0" w:firstLineChars="0"/>
              <w:jc w:val="center"/>
              <w:rPr>
                <w:color w:val="auto"/>
                <w:kern w:val="0"/>
                <w:sz w:val="21"/>
                <w:szCs w:val="21"/>
                <w:lang w:val="zh-CN"/>
              </w:rPr>
            </w:pPr>
            <w:r>
              <w:rPr>
                <w:color w:val="auto"/>
                <w:kern w:val="0"/>
                <w:sz w:val="21"/>
                <w:szCs w:val="21"/>
                <w:lang w:val="zh-CN"/>
              </w:rPr>
              <w:t>-</w:t>
            </w:r>
            <w:r>
              <w:rPr>
                <w:rFonts w:hint="eastAsia"/>
                <w:color w:val="auto"/>
                <w:kern w:val="0"/>
                <w:sz w:val="21"/>
                <w:szCs w:val="21"/>
                <w:lang w:val="zh-CN"/>
              </w:rPr>
              <w:t>9.4</w:t>
            </w:r>
            <w:r>
              <w:rPr>
                <w:color w:val="auto"/>
                <w:kern w:val="0"/>
                <w:sz w:val="21"/>
                <w:szCs w:val="21"/>
                <w:lang w:val="zh-CN"/>
              </w:rPr>
              <w:t>℃</w:t>
            </w:r>
          </w:p>
        </w:tc>
        <w:tc>
          <w:tcPr>
            <w:tcW w:w="422" w:type="pct"/>
            <w:vAlign w:val="center"/>
          </w:tcPr>
          <w:p w14:paraId="6D7A77D1">
            <w:pPr>
              <w:widowControl/>
              <w:spacing w:line="240" w:lineRule="auto"/>
              <w:ind w:firstLine="0" w:firstLineChars="0"/>
              <w:jc w:val="center"/>
              <w:rPr>
                <w:color w:val="auto"/>
                <w:kern w:val="0"/>
                <w:sz w:val="21"/>
                <w:szCs w:val="21"/>
                <w:lang w:val="zh-CN"/>
              </w:rPr>
            </w:pPr>
            <w:r>
              <w:rPr>
                <w:color w:val="auto"/>
                <w:kern w:val="0"/>
                <w:sz w:val="21"/>
                <w:szCs w:val="21"/>
                <w:lang w:val="zh-CN"/>
              </w:rPr>
              <w:t>日照</w:t>
            </w:r>
          </w:p>
        </w:tc>
        <w:tc>
          <w:tcPr>
            <w:tcW w:w="1267" w:type="pct"/>
            <w:vAlign w:val="center"/>
          </w:tcPr>
          <w:p w14:paraId="3D71AF80">
            <w:pPr>
              <w:widowControl/>
              <w:spacing w:line="240" w:lineRule="auto"/>
              <w:ind w:firstLine="0" w:firstLineChars="0"/>
              <w:jc w:val="center"/>
              <w:rPr>
                <w:color w:val="auto"/>
                <w:kern w:val="0"/>
                <w:sz w:val="21"/>
                <w:szCs w:val="21"/>
                <w:lang w:val="zh-CN"/>
              </w:rPr>
            </w:pPr>
            <w:r>
              <w:rPr>
                <w:color w:val="auto"/>
                <w:kern w:val="0"/>
                <w:sz w:val="21"/>
                <w:szCs w:val="21"/>
                <w:lang w:val="zh-CN"/>
              </w:rPr>
              <w:t>历年平均日照时数</w:t>
            </w:r>
          </w:p>
        </w:tc>
        <w:tc>
          <w:tcPr>
            <w:tcW w:w="715" w:type="pct"/>
            <w:vAlign w:val="center"/>
          </w:tcPr>
          <w:p w14:paraId="3BBA800B">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1859.4</w:t>
            </w:r>
            <w:r>
              <w:rPr>
                <w:color w:val="auto"/>
                <w:kern w:val="0"/>
                <w:sz w:val="21"/>
                <w:szCs w:val="21"/>
                <w:lang w:val="zh-CN"/>
              </w:rPr>
              <w:t>h</w:t>
            </w:r>
          </w:p>
        </w:tc>
      </w:tr>
      <w:tr w14:paraId="17A40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6" w:type="pct"/>
            <w:vMerge w:val="restart"/>
            <w:vAlign w:val="center"/>
          </w:tcPr>
          <w:p w14:paraId="5E31FAD8">
            <w:pPr>
              <w:widowControl/>
              <w:spacing w:line="240" w:lineRule="auto"/>
              <w:ind w:firstLine="0" w:firstLineChars="0"/>
              <w:jc w:val="center"/>
              <w:rPr>
                <w:color w:val="auto"/>
                <w:kern w:val="0"/>
                <w:sz w:val="21"/>
                <w:szCs w:val="21"/>
                <w:lang w:val="zh-CN"/>
              </w:rPr>
            </w:pPr>
            <w:r>
              <w:rPr>
                <w:color w:val="auto"/>
                <w:kern w:val="0"/>
                <w:sz w:val="21"/>
                <w:szCs w:val="21"/>
                <w:lang w:val="zh-CN"/>
              </w:rPr>
              <w:t>降水量</w:t>
            </w:r>
          </w:p>
        </w:tc>
        <w:tc>
          <w:tcPr>
            <w:tcW w:w="1236" w:type="pct"/>
            <w:vAlign w:val="center"/>
          </w:tcPr>
          <w:p w14:paraId="4E4CAEB6">
            <w:pPr>
              <w:widowControl/>
              <w:spacing w:line="240" w:lineRule="auto"/>
              <w:ind w:firstLine="0" w:firstLineChars="0"/>
              <w:jc w:val="center"/>
              <w:rPr>
                <w:color w:val="auto"/>
                <w:kern w:val="0"/>
                <w:sz w:val="21"/>
                <w:szCs w:val="21"/>
                <w:lang w:val="zh-CN"/>
              </w:rPr>
            </w:pPr>
            <w:r>
              <w:rPr>
                <w:color w:val="auto"/>
                <w:kern w:val="0"/>
                <w:sz w:val="21"/>
                <w:szCs w:val="21"/>
                <w:lang w:val="zh-CN"/>
              </w:rPr>
              <w:t>历年平均降水量</w:t>
            </w:r>
          </w:p>
        </w:tc>
        <w:tc>
          <w:tcPr>
            <w:tcW w:w="844" w:type="pct"/>
            <w:vAlign w:val="center"/>
          </w:tcPr>
          <w:p w14:paraId="48162A39">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1235.1</w:t>
            </w:r>
            <w:r>
              <w:rPr>
                <w:color w:val="auto"/>
                <w:kern w:val="0"/>
                <w:sz w:val="21"/>
                <w:szCs w:val="21"/>
                <w:lang w:val="zh-CN"/>
              </w:rPr>
              <w:t>mm</w:t>
            </w:r>
          </w:p>
        </w:tc>
        <w:tc>
          <w:tcPr>
            <w:tcW w:w="422" w:type="pct"/>
            <w:vMerge w:val="restart"/>
            <w:vAlign w:val="center"/>
          </w:tcPr>
          <w:p w14:paraId="6FBA4BBB">
            <w:pPr>
              <w:spacing w:line="240" w:lineRule="auto"/>
              <w:ind w:firstLine="0" w:firstLineChars="0"/>
              <w:jc w:val="center"/>
              <w:rPr>
                <w:color w:val="auto"/>
                <w:kern w:val="0"/>
                <w:sz w:val="21"/>
                <w:szCs w:val="21"/>
                <w:lang w:val="zh-CN"/>
              </w:rPr>
            </w:pPr>
            <w:r>
              <w:rPr>
                <w:color w:val="auto"/>
                <w:kern w:val="0"/>
                <w:sz w:val="21"/>
                <w:szCs w:val="21"/>
                <w:lang w:val="zh-CN"/>
              </w:rPr>
              <w:t>风向</w:t>
            </w:r>
          </w:p>
        </w:tc>
        <w:tc>
          <w:tcPr>
            <w:tcW w:w="1267" w:type="pct"/>
            <w:vAlign w:val="center"/>
          </w:tcPr>
          <w:p w14:paraId="31523EFD">
            <w:pPr>
              <w:widowControl/>
              <w:spacing w:line="240" w:lineRule="auto"/>
              <w:ind w:firstLine="0" w:firstLineChars="0"/>
              <w:jc w:val="center"/>
              <w:rPr>
                <w:color w:val="auto"/>
                <w:kern w:val="0"/>
                <w:sz w:val="21"/>
                <w:szCs w:val="21"/>
                <w:lang w:val="zh-CN"/>
              </w:rPr>
            </w:pPr>
            <w:r>
              <w:rPr>
                <w:color w:val="auto"/>
                <w:kern w:val="0"/>
                <w:sz w:val="21"/>
                <w:szCs w:val="21"/>
                <w:lang w:val="zh-CN"/>
              </w:rPr>
              <w:t>全年主导风向</w:t>
            </w:r>
          </w:p>
        </w:tc>
        <w:tc>
          <w:tcPr>
            <w:tcW w:w="715" w:type="pct"/>
            <w:vAlign w:val="center"/>
          </w:tcPr>
          <w:p w14:paraId="620CC6ED">
            <w:pPr>
              <w:widowControl/>
              <w:spacing w:line="240" w:lineRule="auto"/>
              <w:ind w:firstLine="0" w:firstLineChars="0"/>
              <w:jc w:val="center"/>
              <w:rPr>
                <w:color w:val="auto"/>
                <w:kern w:val="0"/>
                <w:sz w:val="21"/>
                <w:szCs w:val="21"/>
                <w:lang w:val="zh-CN"/>
              </w:rPr>
            </w:pPr>
            <w:r>
              <w:rPr>
                <w:color w:val="auto"/>
                <w:kern w:val="0"/>
                <w:sz w:val="21"/>
                <w:szCs w:val="21"/>
                <w:lang w:val="zh-CN"/>
              </w:rPr>
              <w:t>SE</w:t>
            </w:r>
          </w:p>
        </w:tc>
      </w:tr>
      <w:tr w14:paraId="518E8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6" w:type="pct"/>
            <w:vMerge w:val="continue"/>
            <w:vAlign w:val="center"/>
          </w:tcPr>
          <w:p w14:paraId="02AAACBE">
            <w:pPr>
              <w:widowControl/>
              <w:spacing w:line="240" w:lineRule="auto"/>
              <w:ind w:firstLine="0" w:firstLineChars="0"/>
              <w:jc w:val="center"/>
              <w:rPr>
                <w:color w:val="auto"/>
                <w:kern w:val="0"/>
                <w:sz w:val="21"/>
                <w:szCs w:val="21"/>
                <w:lang w:val="zh-CN"/>
              </w:rPr>
            </w:pPr>
          </w:p>
        </w:tc>
        <w:tc>
          <w:tcPr>
            <w:tcW w:w="1236" w:type="pct"/>
            <w:vAlign w:val="center"/>
          </w:tcPr>
          <w:p w14:paraId="36753F75">
            <w:pPr>
              <w:widowControl/>
              <w:spacing w:line="240" w:lineRule="auto"/>
              <w:ind w:firstLine="0" w:firstLineChars="0"/>
              <w:jc w:val="center"/>
              <w:rPr>
                <w:color w:val="auto"/>
                <w:kern w:val="0"/>
                <w:sz w:val="21"/>
                <w:szCs w:val="21"/>
                <w:lang w:val="zh-CN"/>
              </w:rPr>
            </w:pPr>
            <w:r>
              <w:rPr>
                <w:color w:val="auto"/>
                <w:kern w:val="0"/>
                <w:sz w:val="21"/>
                <w:szCs w:val="21"/>
                <w:lang w:val="zh-CN"/>
              </w:rPr>
              <w:t>最大</w:t>
            </w:r>
            <w:r>
              <w:rPr>
                <w:rFonts w:hint="eastAsia"/>
                <w:color w:val="auto"/>
                <w:kern w:val="0"/>
                <w:sz w:val="21"/>
                <w:szCs w:val="21"/>
                <w:lang w:val="zh-CN"/>
              </w:rPr>
              <w:t>年</w:t>
            </w:r>
            <w:r>
              <w:rPr>
                <w:color w:val="auto"/>
                <w:kern w:val="0"/>
                <w:sz w:val="21"/>
                <w:szCs w:val="21"/>
                <w:lang w:val="zh-CN"/>
              </w:rPr>
              <w:t>降</w:t>
            </w:r>
            <w:r>
              <w:rPr>
                <w:rFonts w:hint="eastAsia"/>
                <w:color w:val="auto"/>
                <w:kern w:val="0"/>
                <w:sz w:val="21"/>
                <w:szCs w:val="21"/>
                <w:lang w:val="zh-CN"/>
              </w:rPr>
              <w:t>水</w:t>
            </w:r>
            <w:r>
              <w:rPr>
                <w:color w:val="auto"/>
                <w:kern w:val="0"/>
                <w:sz w:val="21"/>
                <w:szCs w:val="21"/>
                <w:lang w:val="zh-CN"/>
              </w:rPr>
              <w:t>量</w:t>
            </w:r>
          </w:p>
        </w:tc>
        <w:tc>
          <w:tcPr>
            <w:tcW w:w="844" w:type="pct"/>
            <w:vAlign w:val="center"/>
          </w:tcPr>
          <w:p w14:paraId="39F411B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1974.2</w:t>
            </w:r>
            <w:r>
              <w:rPr>
                <w:color w:val="auto"/>
                <w:kern w:val="0"/>
                <w:sz w:val="21"/>
                <w:szCs w:val="21"/>
                <w:lang w:val="zh-CN"/>
              </w:rPr>
              <w:t xml:space="preserve"> mm</w:t>
            </w:r>
          </w:p>
        </w:tc>
        <w:tc>
          <w:tcPr>
            <w:tcW w:w="422" w:type="pct"/>
            <w:vMerge w:val="continue"/>
            <w:vAlign w:val="center"/>
          </w:tcPr>
          <w:p w14:paraId="3B2BA666">
            <w:pPr>
              <w:widowControl/>
              <w:spacing w:line="240" w:lineRule="auto"/>
              <w:ind w:firstLine="0" w:firstLineChars="0"/>
              <w:jc w:val="center"/>
              <w:rPr>
                <w:color w:val="auto"/>
                <w:kern w:val="0"/>
                <w:sz w:val="21"/>
                <w:szCs w:val="21"/>
                <w:lang w:val="zh-CN"/>
              </w:rPr>
            </w:pPr>
          </w:p>
        </w:tc>
        <w:tc>
          <w:tcPr>
            <w:tcW w:w="1267" w:type="pct"/>
            <w:vAlign w:val="center"/>
          </w:tcPr>
          <w:p w14:paraId="51CEB718">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年均静风频率</w:t>
            </w:r>
          </w:p>
        </w:tc>
        <w:tc>
          <w:tcPr>
            <w:tcW w:w="715" w:type="pct"/>
            <w:vAlign w:val="center"/>
          </w:tcPr>
          <w:p w14:paraId="11328F82">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2.8%</w:t>
            </w:r>
          </w:p>
        </w:tc>
      </w:tr>
      <w:tr w14:paraId="44013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6" w:type="pct"/>
            <w:vMerge w:val="continue"/>
            <w:vAlign w:val="center"/>
          </w:tcPr>
          <w:p w14:paraId="7A3E1EFA">
            <w:pPr>
              <w:widowControl/>
              <w:spacing w:line="240" w:lineRule="auto"/>
              <w:ind w:firstLine="0" w:firstLineChars="0"/>
              <w:jc w:val="center"/>
              <w:rPr>
                <w:color w:val="auto"/>
                <w:kern w:val="0"/>
                <w:sz w:val="21"/>
                <w:szCs w:val="21"/>
                <w:lang w:val="zh-CN"/>
              </w:rPr>
            </w:pPr>
          </w:p>
        </w:tc>
        <w:tc>
          <w:tcPr>
            <w:tcW w:w="1236" w:type="pct"/>
            <w:vAlign w:val="center"/>
          </w:tcPr>
          <w:p w14:paraId="0D2FF0C7">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最小年降水量</w:t>
            </w:r>
          </w:p>
        </w:tc>
        <w:tc>
          <w:tcPr>
            <w:tcW w:w="844" w:type="pct"/>
            <w:vAlign w:val="center"/>
          </w:tcPr>
          <w:p w14:paraId="55FBEC43">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823.1</w:t>
            </w:r>
            <w:r>
              <w:rPr>
                <w:color w:val="auto"/>
                <w:kern w:val="0"/>
                <w:sz w:val="21"/>
                <w:szCs w:val="21"/>
                <w:lang w:val="zh-CN"/>
              </w:rPr>
              <w:t>mm</w:t>
            </w:r>
          </w:p>
        </w:tc>
        <w:tc>
          <w:tcPr>
            <w:tcW w:w="422" w:type="pct"/>
            <w:vAlign w:val="center"/>
          </w:tcPr>
          <w:p w14:paraId="7B470F2D">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湿度</w:t>
            </w:r>
          </w:p>
        </w:tc>
        <w:tc>
          <w:tcPr>
            <w:tcW w:w="1267" w:type="pct"/>
            <w:vAlign w:val="center"/>
          </w:tcPr>
          <w:p w14:paraId="0D99CCB9">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年平均相对湿度</w:t>
            </w:r>
          </w:p>
        </w:tc>
        <w:tc>
          <w:tcPr>
            <w:tcW w:w="715" w:type="pct"/>
            <w:vAlign w:val="center"/>
          </w:tcPr>
          <w:p w14:paraId="5906750E">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76.5%</w:t>
            </w:r>
          </w:p>
        </w:tc>
      </w:tr>
    </w:tbl>
    <w:p w14:paraId="3627162B">
      <w:pPr>
        <w:snapToGrid/>
        <w:spacing w:before="156" w:beforeLines="50" w:after="156" w:afterLines="50"/>
        <w:ind w:firstLine="482"/>
        <w:jc w:val="left"/>
        <w:outlineLvl w:val="2"/>
        <w:rPr>
          <w:b/>
          <w:bCs/>
          <w:color w:val="auto"/>
        </w:rPr>
      </w:pPr>
      <w:bookmarkStart w:id="177" w:name="_Toc2435"/>
      <w:r>
        <w:rPr>
          <w:rFonts w:hint="eastAsia"/>
          <w:b/>
          <w:bCs/>
          <w:color w:val="auto"/>
        </w:rPr>
        <w:t>5.1.4水系与水文</w:t>
      </w:r>
      <w:bookmarkEnd w:id="177"/>
    </w:p>
    <w:p w14:paraId="7EAE5F73">
      <w:pPr>
        <w:ind w:firstLine="480"/>
        <w:rPr>
          <w:color w:val="auto"/>
        </w:rPr>
      </w:pPr>
      <w:r>
        <w:rPr>
          <w:color w:val="auto"/>
        </w:rPr>
        <w:t>(1)地表水</w:t>
      </w:r>
    </w:p>
    <w:p w14:paraId="2E509647">
      <w:pPr>
        <w:ind w:firstLine="480"/>
        <w:rPr>
          <w:color w:val="auto"/>
        </w:rPr>
      </w:pPr>
      <w:r>
        <w:rPr>
          <w:color w:val="auto"/>
        </w:rPr>
        <w:t>启东市地处长江入海口，靠江临海，境内共有一级河道2条，二级河道17条，三级河道50条，横河2242条，泯河5.06万条。园区相关的河流主要是长江口北支水域、三和港、灯杆港、川洪港。</w:t>
      </w:r>
    </w:p>
    <w:p w14:paraId="72650DDD">
      <w:pPr>
        <w:ind w:firstLine="480"/>
        <w:rPr>
          <w:color w:val="auto"/>
        </w:rPr>
      </w:pPr>
      <w:r>
        <w:rPr>
          <w:color w:val="auto"/>
        </w:rPr>
        <w:t>长江口北支水域：位于上海崇明岛和江苏海门、启东之间，西起崇头，东至连兴港，全长78.8km，自崇明岛的绿华乡至牛棚港一段，泓道靠近崇明岛北侧岸滩，水深-5m，自牛棚港至启东连兴港，深泓逼近启东，水深-10m。</w:t>
      </w:r>
    </w:p>
    <w:p w14:paraId="2D1EB4E8">
      <w:pPr>
        <w:ind w:firstLine="480"/>
        <w:rPr>
          <w:color w:val="auto"/>
        </w:rPr>
      </w:pPr>
      <w:r>
        <w:rPr>
          <w:color w:val="auto"/>
        </w:rPr>
        <w:t>水量</w:t>
      </w:r>
    </w:p>
    <w:p w14:paraId="75A7E738">
      <w:pPr>
        <w:ind w:firstLine="480"/>
        <w:rPr>
          <w:color w:val="auto"/>
        </w:rPr>
      </w:pPr>
      <w:bookmarkStart w:id="178" w:name="OLE_LINK67"/>
      <w:r>
        <w:rPr>
          <w:rFonts w:ascii="Cambria Math" w:hAnsi="Cambria Math" w:cs="Cambria Math"/>
          <w:color w:val="auto"/>
        </w:rPr>
        <w:t>①</w:t>
      </w:r>
      <w:bookmarkEnd w:id="178"/>
      <w:r>
        <w:rPr>
          <w:color w:val="auto"/>
        </w:rPr>
        <w:t>多年平均入海径流量9110亿m</w:t>
      </w:r>
      <w:r>
        <w:rPr>
          <w:color w:val="auto"/>
          <w:vertAlign w:val="superscript"/>
        </w:rPr>
        <w:t>3</w:t>
      </w:r>
      <w:r>
        <w:rPr>
          <w:color w:val="auto"/>
        </w:rPr>
        <w:t>。年内最小径流量一般出现在1~3月，最大径流量一般出现在7~8月；5~10月洪季径流量占全年的71.7%，11月至次年4月为枯季，仅占全年的28.3%。</w:t>
      </w:r>
    </w:p>
    <w:p w14:paraId="0E44F353">
      <w:pPr>
        <w:ind w:firstLine="480"/>
        <w:rPr>
          <w:color w:val="auto"/>
        </w:rPr>
      </w:pPr>
      <w:r>
        <w:rPr>
          <w:rFonts w:hint="eastAsia"/>
          <w:color w:val="auto"/>
        </w:rPr>
        <w:t>②</w:t>
      </w:r>
      <w:r>
        <w:rPr>
          <w:color w:val="auto"/>
        </w:rPr>
        <w:t>水位</w:t>
      </w:r>
    </w:p>
    <w:p w14:paraId="73F55F2C">
      <w:pPr>
        <w:ind w:firstLine="480"/>
        <w:rPr>
          <w:color w:val="auto"/>
        </w:rPr>
      </w:pPr>
      <w:r>
        <w:rPr>
          <w:color w:val="auto"/>
        </w:rPr>
        <w:t>启东市常年地下水位1.2~1.6m。</w:t>
      </w:r>
    </w:p>
    <w:p w14:paraId="4E13903B">
      <w:pPr>
        <w:ind w:firstLine="480"/>
        <w:rPr>
          <w:color w:val="auto"/>
        </w:rPr>
      </w:pPr>
      <w:r>
        <w:rPr>
          <w:rFonts w:ascii="Cambria Math" w:hAnsi="Cambria Math" w:cs="Cambria Math"/>
          <w:color w:val="auto"/>
        </w:rPr>
        <w:t>③</w:t>
      </w:r>
      <w:r>
        <w:rPr>
          <w:color w:val="auto"/>
        </w:rPr>
        <w:t>水温</w:t>
      </w:r>
    </w:p>
    <w:p w14:paraId="5F2A0110">
      <w:pPr>
        <w:ind w:firstLine="480"/>
        <w:rPr>
          <w:color w:val="auto"/>
        </w:rPr>
      </w:pPr>
      <w:r>
        <w:rPr>
          <w:color w:val="auto"/>
        </w:rPr>
        <w:t>水温的季节变化明显，冬季水域水温最低为7.0℃~9.0℃，夏季最高为25.5℃~27.5℃。水温的垂直分布变化不大，上下层水温基本一致。</w:t>
      </w:r>
    </w:p>
    <w:p w14:paraId="553A5EC9">
      <w:pPr>
        <w:ind w:firstLine="480"/>
        <w:rPr>
          <w:color w:val="auto"/>
        </w:rPr>
      </w:pPr>
      <w:r>
        <w:rPr>
          <w:rFonts w:hint="eastAsia"/>
          <w:color w:val="auto"/>
        </w:rPr>
        <w:t>④</w:t>
      </w:r>
      <w:r>
        <w:rPr>
          <w:color w:val="auto"/>
        </w:rPr>
        <w:t>潮汐</w:t>
      </w:r>
    </w:p>
    <w:p w14:paraId="3F93C017">
      <w:pPr>
        <w:ind w:firstLine="480"/>
        <w:rPr>
          <w:color w:val="auto"/>
        </w:rPr>
      </w:pPr>
      <w:r>
        <w:rPr>
          <w:color w:val="auto"/>
        </w:rPr>
        <w:t>属非正规则半日浅海潮，潮周期平均为12时25分。每年8、9月间是潮位最高的季节。河口平面呈喇叭型，潮波变形强烈，平均落潮历时明显长于涨潮历时，为涨潮型河段。长江口外，水面宽广，潮流表现为旋转流性质，通常作顺时针旋转。</w:t>
      </w:r>
    </w:p>
    <w:p w14:paraId="0F74F20C">
      <w:pPr>
        <w:ind w:firstLine="480"/>
        <w:rPr>
          <w:color w:val="auto"/>
        </w:rPr>
      </w:pPr>
      <w:r>
        <w:rPr>
          <w:color w:val="auto"/>
        </w:rPr>
        <w:t>因冬季径流对长江口北支的影响较小，而夏季对其影响明显，故冬季涨潮平均流速大于落潮平均流速，而夏季青龙港、大新港和头兴港附近则出现涨潮平均流速小于落潮平均流速。</w:t>
      </w:r>
    </w:p>
    <w:p w14:paraId="6F45A32C">
      <w:pPr>
        <w:ind w:firstLine="480"/>
        <w:rPr>
          <w:color w:val="auto"/>
        </w:rPr>
      </w:pPr>
      <w:r>
        <w:rPr>
          <w:rFonts w:hint="eastAsia"/>
          <w:color w:val="auto"/>
        </w:rPr>
        <w:t>⑤</w:t>
      </w:r>
      <w:r>
        <w:rPr>
          <w:color w:val="auto"/>
        </w:rPr>
        <w:t>泥沙</w:t>
      </w:r>
    </w:p>
    <w:p w14:paraId="7EBF15BE">
      <w:pPr>
        <w:ind w:firstLine="480"/>
        <w:rPr>
          <w:color w:val="auto"/>
        </w:rPr>
      </w:pPr>
      <w:r>
        <w:rPr>
          <w:color w:val="auto"/>
        </w:rPr>
        <w:t>长江口的悬沙主要来自长江流域，多年平均输沙量4.68亿t，输沙量存在明显的季节不均匀性，洪季6个月(5~10月)输沙量占全年输沙总量的87.2%，枯季6个月(11至翌年4月)的输沙量仅占12.8%。7月输沙量最多，占全年的21.9%；2月输沙量最小，仅占全年的0.6%。</w:t>
      </w:r>
    </w:p>
    <w:p w14:paraId="21A7ED25">
      <w:pPr>
        <w:ind w:firstLine="480"/>
        <w:rPr>
          <w:color w:val="auto"/>
        </w:rPr>
      </w:pPr>
      <w:r>
        <w:rPr>
          <w:color w:val="auto"/>
        </w:rPr>
        <w:t>灯杆港：位于启东最西部，南起灯杆港闸，北至通启河止，全长12.3公里(其中崇海界河至通启河一段现为启海界河)，受益面积8万亩。灯杆港流经北新、决心、聚南三镇。原港口入内至崇海界河止称为永济河，又被称宽心河，但与宽心河不接通。灯杆港河底高程-0.5~0.8米，底宽5~15米，面宽20.6~48米，边坡1:2~1:3，平台高程4.2~5.0米。</w:t>
      </w:r>
    </w:p>
    <w:p w14:paraId="455B1687">
      <w:pPr>
        <w:ind w:firstLine="480"/>
        <w:rPr>
          <w:color w:val="auto"/>
        </w:rPr>
      </w:pPr>
      <w:r>
        <w:rPr>
          <w:color w:val="auto"/>
        </w:rPr>
        <w:t>三和港：位于启东西部，南起三和港闸，北至三和港北闸，全长27.3公里，为通吕运河特辟引江、通航配套干河。三和港河形笔直，面宽水深，南口有三和港闸控口，贯通长江，是全市4个通航港口之一，北口有三和港北闸、吕四船闸衔接通吕运河，为三和港引水、通航门户。三和港在启东境内无取水口，在园区段无饮用功能。</w:t>
      </w:r>
    </w:p>
    <w:p w14:paraId="5CBB71EF">
      <w:pPr>
        <w:ind w:firstLine="480"/>
        <w:rPr>
          <w:color w:val="auto"/>
        </w:rPr>
      </w:pPr>
      <w:r>
        <w:rPr>
          <w:color w:val="auto"/>
        </w:rPr>
        <w:t>川洪港：位于启东西南部的北新境内。南起江堤，北至南引河，全长2.23公里，为市内最短的三级河道。川洪港河底高程0.5米，底宽6~16米，边坡1:2。</w:t>
      </w:r>
    </w:p>
    <w:p w14:paraId="33693378">
      <w:pPr>
        <w:ind w:firstLine="480"/>
        <w:rPr>
          <w:color w:val="auto"/>
        </w:rPr>
      </w:pPr>
      <w:r>
        <w:rPr>
          <w:color w:val="auto"/>
        </w:rPr>
        <w:t>(2)地下水</w:t>
      </w:r>
    </w:p>
    <w:p w14:paraId="13A46097">
      <w:pPr>
        <w:ind w:firstLine="480"/>
        <w:rPr>
          <w:color w:val="auto"/>
        </w:rPr>
      </w:pPr>
      <w:r>
        <w:rPr>
          <w:color w:val="auto"/>
        </w:rPr>
        <w:t>本地区常年地下水位1~1.6米。潜层含水层埋深较浅，已与地表水连成一体，第一、二承压含水层埋深在110米，水质较好，水量丰富，是主要的开采层。</w:t>
      </w:r>
    </w:p>
    <w:p w14:paraId="6FB98A40">
      <w:pPr>
        <w:ind w:firstLine="480"/>
        <w:rPr>
          <w:color w:val="auto"/>
        </w:rPr>
      </w:pPr>
      <w:r>
        <w:rPr>
          <w:color w:val="auto"/>
        </w:rPr>
        <w:t>项目周边水系情况详见图5.1.4-1。</w:t>
      </w:r>
    </w:p>
    <w:p w14:paraId="37F647DD">
      <w:pPr>
        <w:snapToGrid/>
        <w:spacing w:before="156" w:beforeLines="50" w:after="156" w:afterLines="50"/>
        <w:ind w:firstLine="482"/>
        <w:jc w:val="left"/>
        <w:outlineLvl w:val="2"/>
        <w:rPr>
          <w:b/>
          <w:bCs/>
          <w:color w:val="auto"/>
        </w:rPr>
      </w:pPr>
      <w:bookmarkStart w:id="179" w:name="_Toc11894"/>
      <w:r>
        <w:rPr>
          <w:rFonts w:hint="eastAsia"/>
          <w:b/>
          <w:bCs/>
          <w:color w:val="auto"/>
        </w:rPr>
        <w:t>5.1.5土地、土壤</w:t>
      </w:r>
      <w:bookmarkEnd w:id="179"/>
    </w:p>
    <w:p w14:paraId="0EF6FF1C">
      <w:pPr>
        <w:ind w:firstLine="480"/>
        <w:rPr>
          <w:color w:val="auto"/>
        </w:rPr>
      </w:pPr>
      <w:r>
        <w:rPr>
          <w:color w:val="auto"/>
        </w:rPr>
        <w:t>启东属长江口沉积平原，除通吕水脊区成陆千年以上外，大部分仅有二三百年历史。启东市境内地势平坦，西北略高，东南略低，地面高程在2.0~3.14米之间。成土母质系海相沉积物和长江冲积物，具有强石灰。吕四地区土壤类型为壤性或砂性潮盐土；蒿枝港以南，头兴港以西，协兴河以北地区主要为粘性灰潮土；沿海、沿江地区主要为壤性或粘性潮盐土。2011年，启东市总面积1208平方公里(181.2万亩)，其中耕地面积为103万亩。江海堤防总长146.8公里，其中江堤47.3公里，海堤77公里，洲堤22.5公里。项目所在区域土壤基本为壤性盐潮土，质地为中性、微碱性轻、中壤和重壤土及轻粘土，土壤有机质含量为1.5~2%。</w:t>
      </w:r>
    </w:p>
    <w:p w14:paraId="04CDEEBC">
      <w:pPr>
        <w:snapToGrid/>
        <w:spacing w:before="156" w:beforeLines="50" w:after="156" w:afterLines="50"/>
        <w:ind w:firstLine="482"/>
        <w:jc w:val="left"/>
        <w:outlineLvl w:val="2"/>
        <w:rPr>
          <w:b/>
          <w:bCs/>
          <w:color w:val="auto"/>
        </w:rPr>
      </w:pPr>
      <w:bookmarkStart w:id="180" w:name="_Toc4139"/>
      <w:r>
        <w:rPr>
          <w:rFonts w:hint="eastAsia"/>
          <w:b/>
          <w:bCs/>
          <w:color w:val="auto"/>
        </w:rPr>
        <w:t>5.1.6生态概况</w:t>
      </w:r>
      <w:bookmarkEnd w:id="180"/>
    </w:p>
    <w:p w14:paraId="32BBABCB">
      <w:pPr>
        <w:ind w:firstLine="480"/>
        <w:rPr>
          <w:color w:val="auto"/>
        </w:rPr>
      </w:pPr>
      <w:r>
        <w:rPr>
          <w:color w:val="auto"/>
        </w:rPr>
        <w:t>评价区内天然木本植物缺乏，在堤岸边、路边、宅边仅见少数人工栽培的刺槐、苦楝、柏树等树木。常见的草本植物有芦苇、盐蒿、小蓟、狗尾草、牛筋草等。野生动物有蛙类、鸟类、蛇类及黄鼠狼等。</w:t>
      </w:r>
    </w:p>
    <w:p w14:paraId="739A1158">
      <w:pPr>
        <w:ind w:firstLine="480"/>
        <w:rPr>
          <w:color w:val="auto"/>
        </w:rPr>
      </w:pPr>
      <w:r>
        <w:rPr>
          <w:color w:val="auto"/>
        </w:rPr>
        <w:t>启东长江口(北支)湿地省级自然保护区位于长江入海口，行政区划上位于江苏省启东市和上海市崇明县之间的喇叭型区域。2002年11月经江苏省人民政府批准建立，面积477.34km</w:t>
      </w:r>
      <w:r>
        <w:rPr>
          <w:color w:val="auto"/>
          <w:vertAlign w:val="superscript"/>
        </w:rPr>
        <w:t>2</w:t>
      </w:r>
      <w:r>
        <w:rPr>
          <w:color w:val="auto"/>
        </w:rPr>
        <w:t>。</w:t>
      </w:r>
    </w:p>
    <w:p w14:paraId="360DC678">
      <w:pPr>
        <w:ind w:firstLine="480"/>
        <w:rPr>
          <w:color w:val="auto"/>
        </w:rPr>
      </w:pPr>
      <w:r>
        <w:rPr>
          <w:color w:val="auto"/>
        </w:rPr>
        <w:t>长江口(北支)湿地滩涂辽阔，食源丰富，是生物多样性最丰富、生产力最高和最具生态价值的自然景观类型之一，不仅是多种生物周年性溯河和降河洄游的必经通道，而且是为过境的候鸟提供营养补充和休养生息的中转站和越冬候鸟类为第二年积蓄能量的疗养院，是亚太候鸟迁徙通道的重要驿站，在维持生物多样性方面起着重要作用。根据近10年来的调查资料，长江口(北支)区域内约有维管束植物240种(含栽培植物约129种)；浮游植物约23种；目前长江口(北支)共观察到鸟类217种，主要有18目51科；兽类9种，鱼类132种，浮游生物64种，潮间带生物25种，底栖生物27种，洄游生物21种。其中列属全球性珍稀濒危物种较多，以鸟类为例，共有国家一级保护鸟类4种(丹顶鹤、白鹤、白头鹤、白鹳)，国家二级保护鸟类18种，国家保护鸟类占到13%以上，在《中日保护候鸟类及其栖息环境的协定》中，保护的鸟类有106种，占总种数的64.2%。另有中华鲟(国家一级保护动物)、江豚(国家二级保护动物)、双齿围沙蚕(国家二级保护动物)、日本鳗鲡(国家二级保护动物)、鲥鱼(国家二级保护动物)、野生稻(国家二级保护植物)、中华水韭(国家二级保护植物)等。</w:t>
      </w:r>
    </w:p>
    <w:p w14:paraId="3EBA0DF9">
      <w:pPr>
        <w:ind w:firstLine="480"/>
        <w:rPr>
          <w:color w:val="auto"/>
        </w:rPr>
      </w:pPr>
      <w:r>
        <w:rPr>
          <w:color w:val="auto"/>
        </w:rPr>
        <w:t>园区周边农作物主要种植棉花、蚕豆、玉米、小麦等。</w:t>
      </w:r>
      <w:r>
        <w:rPr>
          <w:rFonts w:hint="eastAsia"/>
          <w:color w:val="auto"/>
        </w:rPr>
        <w:t>拟建</w:t>
      </w:r>
      <w:r>
        <w:rPr>
          <w:color w:val="auto"/>
        </w:rPr>
        <w:t>厂区为工业用地，厂区北侧为耕地。</w:t>
      </w:r>
    </w:p>
    <w:p w14:paraId="6E3EE2C0">
      <w:pPr>
        <w:pStyle w:val="3"/>
        <w:spacing w:before="312"/>
        <w:rPr>
          <w:color w:val="auto"/>
        </w:rPr>
      </w:pPr>
      <w:bookmarkStart w:id="181" w:name="_Toc28046"/>
      <w:r>
        <w:rPr>
          <w:rFonts w:hint="eastAsia"/>
          <w:color w:val="auto"/>
        </w:rPr>
        <w:t>5.2环境质量现状调查与评价</w:t>
      </w:r>
      <w:bookmarkEnd w:id="181"/>
    </w:p>
    <w:p w14:paraId="1198CE90">
      <w:pPr>
        <w:pStyle w:val="4"/>
        <w:rPr>
          <w:color w:val="auto"/>
        </w:rPr>
      </w:pPr>
      <w:bookmarkStart w:id="182" w:name="_Toc12623"/>
      <w:r>
        <w:rPr>
          <w:rFonts w:hint="eastAsia"/>
          <w:color w:val="auto"/>
        </w:rPr>
        <w:t>5.2.1大气环境质量现状监测与评价</w:t>
      </w:r>
      <w:bookmarkEnd w:id="182"/>
    </w:p>
    <w:p w14:paraId="001DD96C">
      <w:pPr>
        <w:pStyle w:val="5"/>
        <w:spacing w:before="156"/>
        <w:rPr>
          <w:color w:val="auto"/>
        </w:rPr>
      </w:pPr>
      <w:r>
        <w:rPr>
          <w:rFonts w:hint="eastAsia"/>
          <w:color w:val="auto"/>
        </w:rPr>
        <w:t>5.2.1.1区域环境空气质量达标情况</w:t>
      </w:r>
    </w:p>
    <w:p w14:paraId="42796401">
      <w:pPr>
        <w:ind w:firstLine="480"/>
        <w:rPr>
          <w:color w:val="auto"/>
        </w:rPr>
      </w:pPr>
      <w:bookmarkStart w:id="183" w:name="_Hlk167285721"/>
      <w:r>
        <w:rPr>
          <w:color w:val="auto"/>
        </w:rPr>
        <w:t>根据《南通市生态环境状况公报》</w:t>
      </w:r>
      <w:bookmarkEnd w:id="183"/>
      <w:r>
        <w:rPr>
          <w:rFonts w:hint="eastAsia"/>
          <w:color w:val="auto"/>
        </w:rPr>
        <w:t>（2025年）</w:t>
      </w:r>
      <w:r>
        <w:rPr>
          <w:color w:val="auto"/>
        </w:rPr>
        <w:t>，</w:t>
      </w:r>
      <w:r>
        <w:rPr>
          <w:rFonts w:hint="eastAsia"/>
          <w:color w:val="auto"/>
        </w:rPr>
        <w:t>启东市2025年环境空气主要污染物监测结果见下表。</w:t>
      </w:r>
    </w:p>
    <w:p w14:paraId="66418C9F">
      <w:pPr>
        <w:ind w:firstLine="482"/>
        <w:jc w:val="center"/>
        <w:rPr>
          <w:b/>
          <w:bCs/>
          <w:color w:val="auto"/>
        </w:rPr>
      </w:pPr>
      <w:r>
        <w:rPr>
          <w:rFonts w:hint="eastAsia"/>
          <w:b/>
          <w:bCs/>
          <w:color w:val="auto"/>
        </w:rPr>
        <w:t>表5.2.1-1 启东市环境空气质量现状评价表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3534"/>
        <w:gridCol w:w="1397"/>
        <w:gridCol w:w="1588"/>
        <w:gridCol w:w="1133"/>
        <w:gridCol w:w="1092"/>
      </w:tblGrid>
      <w:tr w14:paraId="4FAF4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Align w:val="center"/>
          </w:tcPr>
          <w:p w14:paraId="61E0152F">
            <w:pPr>
              <w:spacing w:line="240" w:lineRule="auto"/>
              <w:ind w:firstLine="0" w:firstLineChars="0"/>
              <w:jc w:val="center"/>
              <w:rPr>
                <w:b/>
                <w:bCs/>
                <w:color w:val="auto"/>
                <w:sz w:val="21"/>
                <w:szCs w:val="21"/>
              </w:rPr>
            </w:pPr>
            <w:r>
              <w:rPr>
                <w:b/>
                <w:bCs/>
                <w:color w:val="auto"/>
                <w:sz w:val="21"/>
                <w:szCs w:val="21"/>
              </w:rPr>
              <w:t>污染物</w:t>
            </w:r>
          </w:p>
        </w:tc>
        <w:tc>
          <w:tcPr>
            <w:tcW w:w="1793" w:type="pct"/>
            <w:vAlign w:val="center"/>
          </w:tcPr>
          <w:p w14:paraId="2568B170">
            <w:pPr>
              <w:spacing w:line="240" w:lineRule="auto"/>
              <w:ind w:firstLine="0" w:firstLineChars="0"/>
              <w:jc w:val="center"/>
              <w:rPr>
                <w:b/>
                <w:bCs/>
                <w:color w:val="auto"/>
                <w:sz w:val="21"/>
                <w:szCs w:val="21"/>
              </w:rPr>
            </w:pPr>
            <w:r>
              <w:rPr>
                <w:b/>
                <w:bCs/>
                <w:color w:val="auto"/>
                <w:sz w:val="21"/>
                <w:szCs w:val="21"/>
              </w:rPr>
              <w:t>年评价指标</w:t>
            </w:r>
          </w:p>
        </w:tc>
        <w:tc>
          <w:tcPr>
            <w:tcW w:w="709" w:type="pct"/>
            <w:vAlign w:val="center"/>
          </w:tcPr>
          <w:p w14:paraId="21124A9D">
            <w:pPr>
              <w:spacing w:line="240" w:lineRule="auto"/>
              <w:ind w:firstLine="0" w:firstLineChars="0"/>
              <w:jc w:val="center"/>
              <w:rPr>
                <w:b/>
                <w:bCs/>
                <w:color w:val="auto"/>
                <w:sz w:val="21"/>
                <w:szCs w:val="21"/>
              </w:rPr>
            </w:pPr>
            <w:r>
              <w:rPr>
                <w:b/>
                <w:bCs/>
                <w:color w:val="auto"/>
                <w:sz w:val="21"/>
                <w:szCs w:val="21"/>
              </w:rPr>
              <w:t>现状浓度(μg/m</w:t>
            </w:r>
            <w:r>
              <w:rPr>
                <w:b/>
                <w:bCs/>
                <w:color w:val="auto"/>
                <w:sz w:val="21"/>
                <w:szCs w:val="21"/>
                <w:vertAlign w:val="superscript"/>
              </w:rPr>
              <w:t>3</w:t>
            </w:r>
            <w:r>
              <w:rPr>
                <w:b/>
                <w:bCs/>
                <w:color w:val="auto"/>
                <w:sz w:val="21"/>
                <w:szCs w:val="21"/>
              </w:rPr>
              <w:t>)</w:t>
            </w:r>
          </w:p>
        </w:tc>
        <w:tc>
          <w:tcPr>
            <w:tcW w:w="806" w:type="pct"/>
            <w:vAlign w:val="center"/>
          </w:tcPr>
          <w:p w14:paraId="209EE2D3">
            <w:pPr>
              <w:spacing w:line="240" w:lineRule="auto"/>
              <w:ind w:firstLine="0" w:firstLineChars="0"/>
              <w:jc w:val="center"/>
              <w:rPr>
                <w:b/>
                <w:bCs/>
                <w:color w:val="auto"/>
                <w:sz w:val="21"/>
                <w:szCs w:val="21"/>
              </w:rPr>
            </w:pPr>
            <w:r>
              <w:rPr>
                <w:b/>
                <w:bCs/>
                <w:color w:val="auto"/>
                <w:sz w:val="21"/>
                <w:szCs w:val="21"/>
              </w:rPr>
              <w:t>标准值(μg/m</w:t>
            </w:r>
            <w:r>
              <w:rPr>
                <w:b/>
                <w:bCs/>
                <w:color w:val="auto"/>
                <w:sz w:val="21"/>
                <w:szCs w:val="21"/>
                <w:vertAlign w:val="superscript"/>
              </w:rPr>
              <w:t>3</w:t>
            </w:r>
            <w:r>
              <w:rPr>
                <w:b/>
                <w:bCs/>
                <w:color w:val="auto"/>
                <w:sz w:val="21"/>
                <w:szCs w:val="21"/>
              </w:rPr>
              <w:t>)</w:t>
            </w:r>
          </w:p>
        </w:tc>
        <w:tc>
          <w:tcPr>
            <w:tcW w:w="575" w:type="pct"/>
            <w:vAlign w:val="center"/>
          </w:tcPr>
          <w:p w14:paraId="5781645E">
            <w:pPr>
              <w:spacing w:line="240" w:lineRule="auto"/>
              <w:ind w:firstLine="0" w:firstLineChars="0"/>
              <w:jc w:val="center"/>
              <w:rPr>
                <w:b/>
                <w:bCs/>
                <w:color w:val="auto"/>
                <w:sz w:val="21"/>
                <w:szCs w:val="21"/>
              </w:rPr>
            </w:pPr>
            <w:r>
              <w:rPr>
                <w:b/>
                <w:bCs/>
                <w:color w:val="auto"/>
                <w:sz w:val="21"/>
                <w:szCs w:val="21"/>
              </w:rPr>
              <w:t>占标率/%</w:t>
            </w:r>
          </w:p>
        </w:tc>
        <w:tc>
          <w:tcPr>
            <w:tcW w:w="555" w:type="pct"/>
            <w:vAlign w:val="center"/>
          </w:tcPr>
          <w:p w14:paraId="2CD84DA7">
            <w:pPr>
              <w:spacing w:line="240" w:lineRule="auto"/>
              <w:ind w:firstLine="0" w:firstLineChars="0"/>
              <w:jc w:val="center"/>
              <w:rPr>
                <w:b/>
                <w:bCs/>
                <w:color w:val="auto"/>
                <w:sz w:val="21"/>
                <w:szCs w:val="21"/>
              </w:rPr>
            </w:pPr>
            <w:r>
              <w:rPr>
                <w:b/>
                <w:bCs/>
                <w:color w:val="auto"/>
                <w:sz w:val="21"/>
                <w:szCs w:val="21"/>
              </w:rPr>
              <w:t>达标情况</w:t>
            </w:r>
          </w:p>
        </w:tc>
      </w:tr>
      <w:tr w14:paraId="1AC16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Align w:val="center"/>
          </w:tcPr>
          <w:p w14:paraId="59D35ED4">
            <w:pPr>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1793" w:type="pct"/>
            <w:vAlign w:val="center"/>
          </w:tcPr>
          <w:p w14:paraId="52338704">
            <w:pPr>
              <w:spacing w:line="240" w:lineRule="auto"/>
              <w:ind w:firstLine="0" w:firstLineChars="0"/>
              <w:jc w:val="center"/>
              <w:rPr>
                <w:color w:val="auto"/>
                <w:sz w:val="21"/>
                <w:szCs w:val="21"/>
              </w:rPr>
            </w:pPr>
            <w:r>
              <w:rPr>
                <w:color w:val="auto"/>
                <w:sz w:val="21"/>
                <w:szCs w:val="21"/>
              </w:rPr>
              <w:t>年平均质量浓度</w:t>
            </w:r>
          </w:p>
        </w:tc>
        <w:tc>
          <w:tcPr>
            <w:tcW w:w="709" w:type="pct"/>
            <w:vAlign w:val="center"/>
          </w:tcPr>
          <w:p w14:paraId="0C803853">
            <w:pPr>
              <w:spacing w:line="240" w:lineRule="auto"/>
              <w:ind w:firstLine="0" w:firstLineChars="0"/>
              <w:jc w:val="center"/>
              <w:rPr>
                <w:color w:val="auto"/>
                <w:sz w:val="21"/>
                <w:szCs w:val="21"/>
              </w:rPr>
            </w:pPr>
            <w:r>
              <w:rPr>
                <w:rFonts w:hint="eastAsia"/>
                <w:color w:val="auto"/>
                <w:sz w:val="21"/>
                <w:szCs w:val="21"/>
              </w:rPr>
              <w:t>7</w:t>
            </w:r>
          </w:p>
        </w:tc>
        <w:tc>
          <w:tcPr>
            <w:tcW w:w="806" w:type="pct"/>
            <w:vAlign w:val="center"/>
          </w:tcPr>
          <w:p w14:paraId="72CC2977">
            <w:pPr>
              <w:spacing w:line="240" w:lineRule="auto"/>
              <w:ind w:firstLine="0" w:firstLineChars="0"/>
              <w:jc w:val="center"/>
              <w:rPr>
                <w:color w:val="auto"/>
                <w:sz w:val="21"/>
                <w:szCs w:val="21"/>
              </w:rPr>
            </w:pPr>
            <w:r>
              <w:rPr>
                <w:rFonts w:hint="eastAsia"/>
                <w:color w:val="auto"/>
                <w:sz w:val="21"/>
                <w:szCs w:val="21"/>
              </w:rPr>
              <w:t>60</w:t>
            </w:r>
          </w:p>
        </w:tc>
        <w:tc>
          <w:tcPr>
            <w:tcW w:w="575" w:type="pct"/>
            <w:vAlign w:val="center"/>
          </w:tcPr>
          <w:p w14:paraId="630A2F2A">
            <w:pPr>
              <w:spacing w:line="240" w:lineRule="auto"/>
              <w:ind w:firstLine="0" w:firstLineChars="0"/>
              <w:jc w:val="center"/>
              <w:rPr>
                <w:color w:val="auto"/>
                <w:sz w:val="21"/>
                <w:szCs w:val="21"/>
              </w:rPr>
            </w:pPr>
            <w:r>
              <w:rPr>
                <w:rFonts w:hint="eastAsia"/>
                <w:color w:val="auto"/>
                <w:sz w:val="21"/>
                <w:szCs w:val="21"/>
              </w:rPr>
              <w:t>11.67</w:t>
            </w:r>
          </w:p>
        </w:tc>
        <w:tc>
          <w:tcPr>
            <w:tcW w:w="555" w:type="pct"/>
            <w:vAlign w:val="center"/>
          </w:tcPr>
          <w:p w14:paraId="5302238C">
            <w:pPr>
              <w:spacing w:line="240" w:lineRule="auto"/>
              <w:ind w:firstLine="0" w:firstLineChars="0"/>
              <w:jc w:val="center"/>
              <w:rPr>
                <w:color w:val="auto"/>
                <w:sz w:val="21"/>
                <w:szCs w:val="21"/>
              </w:rPr>
            </w:pPr>
            <w:r>
              <w:rPr>
                <w:color w:val="auto"/>
                <w:sz w:val="21"/>
                <w:szCs w:val="21"/>
              </w:rPr>
              <w:t>达标</w:t>
            </w:r>
          </w:p>
        </w:tc>
      </w:tr>
      <w:tr w14:paraId="5B962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Align w:val="center"/>
          </w:tcPr>
          <w:p w14:paraId="5464BE82">
            <w:pPr>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2</w:t>
            </w:r>
          </w:p>
        </w:tc>
        <w:tc>
          <w:tcPr>
            <w:tcW w:w="1793" w:type="pct"/>
            <w:vAlign w:val="center"/>
          </w:tcPr>
          <w:p w14:paraId="3F6CBB59">
            <w:pPr>
              <w:spacing w:line="240" w:lineRule="auto"/>
              <w:ind w:firstLine="0" w:firstLineChars="0"/>
              <w:jc w:val="center"/>
              <w:rPr>
                <w:color w:val="auto"/>
                <w:sz w:val="21"/>
                <w:szCs w:val="21"/>
              </w:rPr>
            </w:pPr>
            <w:r>
              <w:rPr>
                <w:color w:val="auto"/>
                <w:sz w:val="21"/>
                <w:szCs w:val="21"/>
              </w:rPr>
              <w:t>年平均质量浓度</w:t>
            </w:r>
          </w:p>
        </w:tc>
        <w:tc>
          <w:tcPr>
            <w:tcW w:w="709" w:type="pct"/>
            <w:vAlign w:val="center"/>
          </w:tcPr>
          <w:p w14:paraId="2A9F017F">
            <w:pPr>
              <w:spacing w:line="240" w:lineRule="auto"/>
              <w:ind w:firstLine="0" w:firstLineChars="0"/>
              <w:jc w:val="center"/>
              <w:rPr>
                <w:color w:val="auto"/>
                <w:sz w:val="21"/>
                <w:szCs w:val="21"/>
              </w:rPr>
            </w:pPr>
            <w:r>
              <w:rPr>
                <w:rFonts w:hint="eastAsia"/>
                <w:color w:val="auto"/>
                <w:sz w:val="21"/>
                <w:szCs w:val="21"/>
              </w:rPr>
              <w:t>15</w:t>
            </w:r>
          </w:p>
        </w:tc>
        <w:tc>
          <w:tcPr>
            <w:tcW w:w="806" w:type="pct"/>
            <w:vAlign w:val="center"/>
          </w:tcPr>
          <w:p w14:paraId="2DFFCF5D">
            <w:pPr>
              <w:spacing w:line="240" w:lineRule="auto"/>
              <w:ind w:firstLine="0" w:firstLineChars="0"/>
              <w:jc w:val="center"/>
              <w:rPr>
                <w:color w:val="auto"/>
                <w:sz w:val="21"/>
                <w:szCs w:val="21"/>
              </w:rPr>
            </w:pPr>
            <w:r>
              <w:rPr>
                <w:rFonts w:hint="eastAsia"/>
                <w:color w:val="auto"/>
                <w:sz w:val="21"/>
                <w:szCs w:val="21"/>
              </w:rPr>
              <w:t>40</w:t>
            </w:r>
          </w:p>
        </w:tc>
        <w:tc>
          <w:tcPr>
            <w:tcW w:w="575" w:type="pct"/>
            <w:vAlign w:val="center"/>
          </w:tcPr>
          <w:p w14:paraId="10403600">
            <w:pPr>
              <w:spacing w:line="240" w:lineRule="auto"/>
              <w:ind w:firstLine="0" w:firstLineChars="0"/>
              <w:jc w:val="center"/>
              <w:rPr>
                <w:color w:val="auto"/>
                <w:sz w:val="21"/>
                <w:szCs w:val="21"/>
              </w:rPr>
            </w:pPr>
            <w:r>
              <w:rPr>
                <w:rFonts w:hint="eastAsia"/>
                <w:color w:val="auto"/>
                <w:sz w:val="21"/>
                <w:szCs w:val="21"/>
              </w:rPr>
              <w:t>37.50</w:t>
            </w:r>
          </w:p>
        </w:tc>
        <w:tc>
          <w:tcPr>
            <w:tcW w:w="555" w:type="pct"/>
            <w:vAlign w:val="center"/>
          </w:tcPr>
          <w:p w14:paraId="2FEB7E77">
            <w:pPr>
              <w:spacing w:line="240" w:lineRule="auto"/>
              <w:ind w:firstLine="0" w:firstLineChars="0"/>
              <w:jc w:val="center"/>
              <w:rPr>
                <w:color w:val="auto"/>
                <w:sz w:val="21"/>
                <w:szCs w:val="21"/>
              </w:rPr>
            </w:pPr>
            <w:r>
              <w:rPr>
                <w:color w:val="auto"/>
                <w:sz w:val="21"/>
                <w:szCs w:val="21"/>
              </w:rPr>
              <w:t>达标</w:t>
            </w:r>
          </w:p>
        </w:tc>
      </w:tr>
      <w:tr w14:paraId="082F1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Align w:val="center"/>
          </w:tcPr>
          <w:p w14:paraId="0397F1A2">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1793" w:type="pct"/>
            <w:vAlign w:val="center"/>
          </w:tcPr>
          <w:p w14:paraId="5383E088">
            <w:pPr>
              <w:spacing w:line="240" w:lineRule="auto"/>
              <w:ind w:firstLine="0" w:firstLineChars="0"/>
              <w:jc w:val="center"/>
              <w:rPr>
                <w:color w:val="auto"/>
                <w:sz w:val="21"/>
                <w:szCs w:val="21"/>
              </w:rPr>
            </w:pPr>
            <w:r>
              <w:rPr>
                <w:color w:val="auto"/>
                <w:sz w:val="21"/>
                <w:szCs w:val="21"/>
              </w:rPr>
              <w:t>年平均质量浓度</w:t>
            </w:r>
          </w:p>
        </w:tc>
        <w:tc>
          <w:tcPr>
            <w:tcW w:w="709" w:type="pct"/>
            <w:vAlign w:val="center"/>
          </w:tcPr>
          <w:p w14:paraId="48722428">
            <w:pPr>
              <w:spacing w:line="240" w:lineRule="auto"/>
              <w:ind w:firstLine="0" w:firstLineChars="0"/>
              <w:jc w:val="center"/>
              <w:rPr>
                <w:color w:val="auto"/>
                <w:sz w:val="21"/>
                <w:szCs w:val="21"/>
              </w:rPr>
            </w:pPr>
            <w:r>
              <w:rPr>
                <w:rFonts w:hint="eastAsia"/>
                <w:color w:val="auto"/>
                <w:sz w:val="21"/>
                <w:szCs w:val="21"/>
              </w:rPr>
              <w:t>44</w:t>
            </w:r>
          </w:p>
        </w:tc>
        <w:tc>
          <w:tcPr>
            <w:tcW w:w="806" w:type="pct"/>
            <w:vAlign w:val="center"/>
          </w:tcPr>
          <w:p w14:paraId="2289AC17">
            <w:pPr>
              <w:spacing w:line="240" w:lineRule="auto"/>
              <w:ind w:firstLine="0" w:firstLineChars="0"/>
              <w:jc w:val="center"/>
              <w:rPr>
                <w:color w:val="auto"/>
                <w:sz w:val="21"/>
                <w:szCs w:val="21"/>
              </w:rPr>
            </w:pPr>
            <w:r>
              <w:rPr>
                <w:rFonts w:hint="eastAsia"/>
                <w:color w:val="auto"/>
                <w:sz w:val="21"/>
                <w:szCs w:val="21"/>
              </w:rPr>
              <w:t>60</w:t>
            </w:r>
          </w:p>
        </w:tc>
        <w:tc>
          <w:tcPr>
            <w:tcW w:w="575" w:type="pct"/>
            <w:vAlign w:val="center"/>
          </w:tcPr>
          <w:p w14:paraId="082A8C79">
            <w:pPr>
              <w:spacing w:line="240" w:lineRule="auto"/>
              <w:ind w:firstLine="0" w:firstLineChars="0"/>
              <w:jc w:val="center"/>
              <w:rPr>
                <w:color w:val="auto"/>
                <w:sz w:val="21"/>
                <w:szCs w:val="21"/>
              </w:rPr>
            </w:pPr>
            <w:r>
              <w:rPr>
                <w:rFonts w:hint="eastAsia"/>
                <w:color w:val="auto"/>
                <w:sz w:val="21"/>
                <w:szCs w:val="21"/>
              </w:rPr>
              <w:t>73.33</w:t>
            </w:r>
          </w:p>
        </w:tc>
        <w:tc>
          <w:tcPr>
            <w:tcW w:w="555" w:type="pct"/>
            <w:vAlign w:val="center"/>
          </w:tcPr>
          <w:p w14:paraId="5DA55462">
            <w:pPr>
              <w:spacing w:line="240" w:lineRule="auto"/>
              <w:ind w:firstLine="0" w:firstLineChars="0"/>
              <w:jc w:val="center"/>
              <w:rPr>
                <w:color w:val="auto"/>
                <w:sz w:val="21"/>
                <w:szCs w:val="21"/>
              </w:rPr>
            </w:pPr>
            <w:r>
              <w:rPr>
                <w:color w:val="auto"/>
                <w:sz w:val="21"/>
                <w:szCs w:val="21"/>
              </w:rPr>
              <w:t>达标</w:t>
            </w:r>
          </w:p>
        </w:tc>
      </w:tr>
      <w:tr w14:paraId="5C864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Align w:val="center"/>
          </w:tcPr>
          <w:p w14:paraId="59CEFA8F">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2.5</w:t>
            </w:r>
          </w:p>
        </w:tc>
        <w:tc>
          <w:tcPr>
            <w:tcW w:w="1793" w:type="pct"/>
            <w:vAlign w:val="center"/>
          </w:tcPr>
          <w:p w14:paraId="3BA2E1E8">
            <w:pPr>
              <w:spacing w:line="240" w:lineRule="auto"/>
              <w:ind w:firstLine="0" w:firstLineChars="0"/>
              <w:jc w:val="center"/>
              <w:rPr>
                <w:color w:val="auto"/>
                <w:sz w:val="21"/>
                <w:szCs w:val="21"/>
              </w:rPr>
            </w:pPr>
            <w:r>
              <w:rPr>
                <w:color w:val="auto"/>
                <w:sz w:val="21"/>
                <w:szCs w:val="21"/>
              </w:rPr>
              <w:t>年平均质量浓度</w:t>
            </w:r>
          </w:p>
        </w:tc>
        <w:tc>
          <w:tcPr>
            <w:tcW w:w="709" w:type="pct"/>
            <w:vAlign w:val="center"/>
          </w:tcPr>
          <w:p w14:paraId="028E6290">
            <w:pPr>
              <w:spacing w:line="240" w:lineRule="auto"/>
              <w:ind w:firstLine="0" w:firstLineChars="0"/>
              <w:jc w:val="center"/>
              <w:rPr>
                <w:color w:val="auto"/>
                <w:sz w:val="21"/>
                <w:szCs w:val="21"/>
              </w:rPr>
            </w:pPr>
            <w:r>
              <w:rPr>
                <w:rFonts w:hint="eastAsia"/>
                <w:color w:val="auto"/>
                <w:sz w:val="21"/>
                <w:szCs w:val="21"/>
              </w:rPr>
              <w:t>23</w:t>
            </w:r>
          </w:p>
        </w:tc>
        <w:tc>
          <w:tcPr>
            <w:tcW w:w="806" w:type="pct"/>
            <w:vAlign w:val="center"/>
          </w:tcPr>
          <w:p w14:paraId="5789C71A">
            <w:pPr>
              <w:spacing w:line="240" w:lineRule="auto"/>
              <w:ind w:firstLine="0" w:firstLineChars="0"/>
              <w:jc w:val="center"/>
              <w:rPr>
                <w:color w:val="auto"/>
                <w:sz w:val="21"/>
                <w:szCs w:val="21"/>
              </w:rPr>
            </w:pPr>
            <w:r>
              <w:rPr>
                <w:rFonts w:hint="eastAsia"/>
                <w:color w:val="auto"/>
                <w:sz w:val="21"/>
                <w:szCs w:val="21"/>
              </w:rPr>
              <w:t>30</w:t>
            </w:r>
          </w:p>
        </w:tc>
        <w:tc>
          <w:tcPr>
            <w:tcW w:w="575" w:type="pct"/>
            <w:vAlign w:val="center"/>
          </w:tcPr>
          <w:p w14:paraId="63C786DB">
            <w:pPr>
              <w:spacing w:line="240" w:lineRule="auto"/>
              <w:ind w:firstLine="0" w:firstLineChars="0"/>
              <w:jc w:val="center"/>
              <w:rPr>
                <w:color w:val="auto"/>
                <w:sz w:val="21"/>
                <w:szCs w:val="21"/>
              </w:rPr>
            </w:pPr>
            <w:r>
              <w:rPr>
                <w:rFonts w:hint="eastAsia"/>
                <w:color w:val="auto"/>
                <w:sz w:val="21"/>
                <w:szCs w:val="21"/>
              </w:rPr>
              <w:t>76.67</w:t>
            </w:r>
          </w:p>
        </w:tc>
        <w:tc>
          <w:tcPr>
            <w:tcW w:w="555" w:type="pct"/>
            <w:vAlign w:val="center"/>
          </w:tcPr>
          <w:p w14:paraId="5B5EE0B3">
            <w:pPr>
              <w:spacing w:line="240" w:lineRule="auto"/>
              <w:ind w:firstLine="0" w:firstLineChars="0"/>
              <w:jc w:val="center"/>
              <w:rPr>
                <w:color w:val="auto"/>
                <w:sz w:val="21"/>
                <w:szCs w:val="21"/>
              </w:rPr>
            </w:pPr>
            <w:r>
              <w:rPr>
                <w:color w:val="auto"/>
                <w:sz w:val="21"/>
                <w:szCs w:val="21"/>
              </w:rPr>
              <w:t>达标</w:t>
            </w:r>
          </w:p>
        </w:tc>
      </w:tr>
      <w:tr w14:paraId="73BBB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Align w:val="center"/>
          </w:tcPr>
          <w:p w14:paraId="76CBEF36">
            <w:pPr>
              <w:spacing w:line="240" w:lineRule="auto"/>
              <w:ind w:firstLine="0" w:firstLineChars="0"/>
              <w:jc w:val="center"/>
              <w:rPr>
                <w:color w:val="auto"/>
                <w:sz w:val="21"/>
                <w:szCs w:val="21"/>
              </w:rPr>
            </w:pPr>
            <w:r>
              <w:rPr>
                <w:color w:val="auto"/>
                <w:sz w:val="21"/>
                <w:szCs w:val="21"/>
              </w:rPr>
              <w:t>CO</w:t>
            </w:r>
          </w:p>
        </w:tc>
        <w:tc>
          <w:tcPr>
            <w:tcW w:w="1793" w:type="pct"/>
            <w:vAlign w:val="center"/>
          </w:tcPr>
          <w:p w14:paraId="6F8C2DEE">
            <w:pPr>
              <w:spacing w:line="240" w:lineRule="auto"/>
              <w:ind w:firstLine="0" w:firstLineChars="0"/>
              <w:jc w:val="center"/>
              <w:rPr>
                <w:color w:val="auto"/>
                <w:sz w:val="21"/>
                <w:szCs w:val="21"/>
              </w:rPr>
            </w:pPr>
            <w:r>
              <w:rPr>
                <w:color w:val="auto"/>
                <w:sz w:val="21"/>
                <w:szCs w:val="21"/>
              </w:rPr>
              <w:t>24小时平均第95百分位数</w:t>
            </w:r>
          </w:p>
        </w:tc>
        <w:tc>
          <w:tcPr>
            <w:tcW w:w="709" w:type="pct"/>
            <w:vAlign w:val="center"/>
          </w:tcPr>
          <w:p w14:paraId="317BF582">
            <w:pPr>
              <w:spacing w:line="240" w:lineRule="auto"/>
              <w:ind w:firstLine="0" w:firstLineChars="0"/>
              <w:jc w:val="center"/>
              <w:rPr>
                <w:color w:val="auto"/>
                <w:sz w:val="21"/>
                <w:szCs w:val="21"/>
              </w:rPr>
            </w:pPr>
            <w:r>
              <w:rPr>
                <w:rFonts w:hint="eastAsia"/>
                <w:color w:val="auto"/>
                <w:sz w:val="21"/>
                <w:szCs w:val="21"/>
              </w:rPr>
              <w:t>900</w:t>
            </w:r>
          </w:p>
        </w:tc>
        <w:tc>
          <w:tcPr>
            <w:tcW w:w="806" w:type="pct"/>
            <w:vAlign w:val="center"/>
          </w:tcPr>
          <w:p w14:paraId="6293E7A1">
            <w:pPr>
              <w:spacing w:line="240" w:lineRule="auto"/>
              <w:ind w:firstLine="0" w:firstLineChars="0"/>
              <w:jc w:val="center"/>
              <w:rPr>
                <w:color w:val="auto"/>
                <w:sz w:val="21"/>
                <w:szCs w:val="21"/>
              </w:rPr>
            </w:pPr>
            <w:r>
              <w:rPr>
                <w:rFonts w:hint="eastAsia"/>
                <w:color w:val="auto"/>
                <w:sz w:val="21"/>
                <w:szCs w:val="21"/>
              </w:rPr>
              <w:t>4000</w:t>
            </w:r>
          </w:p>
        </w:tc>
        <w:tc>
          <w:tcPr>
            <w:tcW w:w="575" w:type="pct"/>
            <w:vAlign w:val="center"/>
          </w:tcPr>
          <w:p w14:paraId="49384E11">
            <w:pPr>
              <w:spacing w:line="240" w:lineRule="auto"/>
              <w:ind w:firstLine="0" w:firstLineChars="0"/>
              <w:jc w:val="center"/>
              <w:rPr>
                <w:color w:val="auto"/>
                <w:sz w:val="21"/>
                <w:szCs w:val="21"/>
              </w:rPr>
            </w:pPr>
            <w:r>
              <w:rPr>
                <w:rFonts w:hint="eastAsia"/>
                <w:color w:val="auto"/>
                <w:sz w:val="21"/>
                <w:szCs w:val="21"/>
              </w:rPr>
              <w:t>22.50</w:t>
            </w:r>
          </w:p>
        </w:tc>
        <w:tc>
          <w:tcPr>
            <w:tcW w:w="555" w:type="pct"/>
            <w:vAlign w:val="center"/>
          </w:tcPr>
          <w:p w14:paraId="3D6E8019">
            <w:pPr>
              <w:spacing w:line="240" w:lineRule="auto"/>
              <w:ind w:firstLine="0" w:firstLineChars="0"/>
              <w:jc w:val="center"/>
              <w:rPr>
                <w:color w:val="auto"/>
                <w:sz w:val="21"/>
                <w:szCs w:val="21"/>
              </w:rPr>
            </w:pPr>
            <w:r>
              <w:rPr>
                <w:color w:val="auto"/>
                <w:sz w:val="21"/>
                <w:szCs w:val="21"/>
              </w:rPr>
              <w:t>达标</w:t>
            </w:r>
          </w:p>
        </w:tc>
      </w:tr>
      <w:tr w14:paraId="5F591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Align w:val="center"/>
          </w:tcPr>
          <w:p w14:paraId="3FB6EBDC">
            <w:pPr>
              <w:spacing w:line="240" w:lineRule="auto"/>
              <w:ind w:firstLine="0" w:firstLineChars="0"/>
              <w:jc w:val="center"/>
              <w:rPr>
                <w:color w:val="auto"/>
                <w:sz w:val="21"/>
                <w:szCs w:val="21"/>
              </w:rPr>
            </w:pPr>
            <w:r>
              <w:rPr>
                <w:color w:val="auto"/>
                <w:sz w:val="21"/>
                <w:szCs w:val="21"/>
              </w:rPr>
              <w:t>O</w:t>
            </w:r>
            <w:r>
              <w:rPr>
                <w:color w:val="auto"/>
                <w:sz w:val="21"/>
                <w:szCs w:val="21"/>
                <w:vertAlign w:val="subscript"/>
              </w:rPr>
              <w:t>3</w:t>
            </w:r>
          </w:p>
        </w:tc>
        <w:tc>
          <w:tcPr>
            <w:tcW w:w="1793" w:type="pct"/>
            <w:vAlign w:val="center"/>
          </w:tcPr>
          <w:p w14:paraId="214370FC">
            <w:pPr>
              <w:spacing w:line="240" w:lineRule="auto"/>
              <w:ind w:firstLine="0" w:firstLineChars="0"/>
              <w:jc w:val="center"/>
              <w:rPr>
                <w:color w:val="auto"/>
                <w:sz w:val="21"/>
                <w:szCs w:val="21"/>
              </w:rPr>
            </w:pPr>
            <w:r>
              <w:rPr>
                <w:color w:val="auto"/>
                <w:sz w:val="21"/>
                <w:szCs w:val="21"/>
              </w:rPr>
              <w:t>日最大8小时平均第90百分位数</w:t>
            </w:r>
          </w:p>
        </w:tc>
        <w:tc>
          <w:tcPr>
            <w:tcW w:w="709" w:type="pct"/>
            <w:vAlign w:val="center"/>
          </w:tcPr>
          <w:p w14:paraId="7CEA3308">
            <w:pPr>
              <w:spacing w:line="240" w:lineRule="auto"/>
              <w:ind w:firstLine="0" w:firstLineChars="0"/>
              <w:jc w:val="center"/>
              <w:rPr>
                <w:color w:val="auto"/>
                <w:sz w:val="21"/>
                <w:szCs w:val="21"/>
              </w:rPr>
            </w:pPr>
            <w:r>
              <w:rPr>
                <w:rFonts w:hint="eastAsia"/>
                <w:color w:val="auto"/>
                <w:sz w:val="21"/>
                <w:szCs w:val="21"/>
              </w:rPr>
              <w:t>157</w:t>
            </w:r>
          </w:p>
        </w:tc>
        <w:tc>
          <w:tcPr>
            <w:tcW w:w="806" w:type="pct"/>
            <w:vAlign w:val="center"/>
          </w:tcPr>
          <w:p w14:paraId="6882CF17">
            <w:pPr>
              <w:spacing w:line="240" w:lineRule="auto"/>
              <w:ind w:firstLine="0" w:firstLineChars="0"/>
              <w:jc w:val="center"/>
              <w:rPr>
                <w:color w:val="auto"/>
                <w:sz w:val="21"/>
                <w:szCs w:val="21"/>
              </w:rPr>
            </w:pPr>
            <w:r>
              <w:rPr>
                <w:rFonts w:hint="eastAsia"/>
                <w:color w:val="auto"/>
                <w:sz w:val="21"/>
                <w:szCs w:val="21"/>
              </w:rPr>
              <w:t>160</w:t>
            </w:r>
          </w:p>
        </w:tc>
        <w:tc>
          <w:tcPr>
            <w:tcW w:w="575" w:type="pct"/>
            <w:vAlign w:val="center"/>
          </w:tcPr>
          <w:p w14:paraId="31E12339">
            <w:pPr>
              <w:spacing w:line="240" w:lineRule="auto"/>
              <w:ind w:firstLine="0" w:firstLineChars="0"/>
              <w:jc w:val="center"/>
              <w:rPr>
                <w:color w:val="auto"/>
                <w:sz w:val="21"/>
                <w:szCs w:val="21"/>
              </w:rPr>
            </w:pPr>
            <w:r>
              <w:rPr>
                <w:rFonts w:hint="eastAsia"/>
                <w:color w:val="auto"/>
                <w:sz w:val="21"/>
                <w:szCs w:val="21"/>
              </w:rPr>
              <w:t>98.13</w:t>
            </w:r>
          </w:p>
        </w:tc>
        <w:tc>
          <w:tcPr>
            <w:tcW w:w="555" w:type="pct"/>
            <w:vAlign w:val="center"/>
          </w:tcPr>
          <w:p w14:paraId="1B533568">
            <w:pPr>
              <w:spacing w:line="240" w:lineRule="auto"/>
              <w:ind w:firstLine="0" w:firstLineChars="0"/>
              <w:jc w:val="center"/>
              <w:rPr>
                <w:color w:val="auto"/>
                <w:sz w:val="21"/>
                <w:szCs w:val="21"/>
              </w:rPr>
            </w:pPr>
            <w:r>
              <w:rPr>
                <w:color w:val="auto"/>
                <w:sz w:val="21"/>
                <w:szCs w:val="21"/>
              </w:rPr>
              <w:t>达标</w:t>
            </w:r>
          </w:p>
        </w:tc>
      </w:tr>
    </w:tbl>
    <w:p w14:paraId="038C0B6A">
      <w:pPr>
        <w:ind w:firstLine="480"/>
        <w:rPr>
          <w:color w:val="auto"/>
        </w:rPr>
      </w:pPr>
      <w:r>
        <w:rPr>
          <w:rFonts w:hint="eastAsia"/>
          <w:color w:val="auto"/>
        </w:rPr>
        <w:t>由上表可知，对照《环境空气质量标准》（GB3095-2026），各污染物达到过渡阶段浓度限值二级标准，2025年项目所在区域为达标区。</w:t>
      </w:r>
    </w:p>
    <w:p w14:paraId="6BD2B8AB">
      <w:pPr>
        <w:pStyle w:val="5"/>
        <w:spacing w:before="156"/>
        <w:rPr>
          <w:color w:val="auto"/>
        </w:rPr>
      </w:pPr>
      <w:r>
        <w:rPr>
          <w:rFonts w:hint="eastAsia"/>
          <w:color w:val="auto"/>
        </w:rPr>
        <w:t>5.2.1.2其他污染物环境质量现状</w:t>
      </w:r>
    </w:p>
    <w:p w14:paraId="4A7D7CE0">
      <w:pPr>
        <w:ind w:firstLine="480"/>
        <w:rPr>
          <w:color w:val="auto"/>
        </w:rPr>
      </w:pPr>
      <w:r>
        <w:rPr>
          <w:rFonts w:hint="eastAsia"/>
          <w:color w:val="auto"/>
        </w:rPr>
        <w:t>（1）监测因子</w:t>
      </w:r>
    </w:p>
    <w:p w14:paraId="6E6A5B7A">
      <w:pPr>
        <w:ind w:firstLine="480"/>
        <w:rPr>
          <w:color w:val="auto"/>
        </w:rPr>
      </w:pPr>
      <w:r>
        <w:rPr>
          <w:rFonts w:hint="eastAsia"/>
          <w:color w:val="auto"/>
        </w:rPr>
        <w:t>氨、硫化氢、臭气浓度及监测期间气象要素。</w:t>
      </w:r>
    </w:p>
    <w:p w14:paraId="2A1D8435">
      <w:pPr>
        <w:ind w:firstLine="480"/>
        <w:rPr>
          <w:color w:val="auto"/>
        </w:rPr>
      </w:pPr>
      <w:r>
        <w:rPr>
          <w:rFonts w:hint="eastAsia"/>
          <w:color w:val="auto"/>
        </w:rPr>
        <w:t>（2）监测时间及频次</w:t>
      </w:r>
    </w:p>
    <w:p w14:paraId="2523DCB6">
      <w:pPr>
        <w:ind w:firstLine="480"/>
        <w:rPr>
          <w:color w:val="auto"/>
        </w:rPr>
      </w:pPr>
      <w:r>
        <w:rPr>
          <w:rFonts w:hint="eastAsia"/>
          <w:color w:val="auto"/>
        </w:rPr>
        <w:t>拟建</w:t>
      </w:r>
      <w:r>
        <w:rPr>
          <w:color w:val="auto"/>
        </w:rPr>
        <w:t>大气环境质量现状由</w:t>
      </w:r>
      <w:r>
        <w:rPr>
          <w:rFonts w:hint="eastAsia"/>
          <w:color w:val="auto"/>
        </w:rPr>
        <w:t>南京国测</w:t>
      </w:r>
      <w:r>
        <w:rPr>
          <w:color w:val="auto"/>
        </w:rPr>
        <w:t>检测技术有限公司实测，监测时间为</w:t>
      </w:r>
      <w:r>
        <w:rPr>
          <w:rFonts w:hint="eastAsia"/>
          <w:color w:val="auto"/>
        </w:rPr>
        <w:t>2026年3月18日至24日</w:t>
      </w:r>
      <w:r>
        <w:rPr>
          <w:color w:val="auto"/>
        </w:rPr>
        <w:t>。</w:t>
      </w:r>
      <w:r>
        <w:rPr>
          <w:rFonts w:hint="eastAsia"/>
          <w:color w:val="auto"/>
        </w:rPr>
        <w:t>氨</w:t>
      </w:r>
      <w:r>
        <w:rPr>
          <w:color w:val="auto"/>
        </w:rPr>
        <w:t>、硫化氢监测小时值，每天监测4次，获取当地时间02、08、14、20时4个小时浓度值</w:t>
      </w:r>
      <w:r>
        <w:rPr>
          <w:rFonts w:hint="eastAsia"/>
          <w:color w:val="auto"/>
        </w:rPr>
        <w:t>。臭气浓度监测一次值</w:t>
      </w:r>
      <w:r>
        <w:rPr>
          <w:color w:val="auto"/>
        </w:rPr>
        <w:t>。</w:t>
      </w:r>
    </w:p>
    <w:p w14:paraId="778EA067">
      <w:pPr>
        <w:ind w:firstLine="480"/>
        <w:rPr>
          <w:color w:val="auto"/>
        </w:rPr>
      </w:pPr>
      <w:r>
        <w:rPr>
          <w:rFonts w:hint="eastAsia"/>
          <w:color w:val="auto"/>
        </w:rPr>
        <w:t>（3）监测点位</w:t>
      </w:r>
    </w:p>
    <w:p w14:paraId="49181CFA">
      <w:pPr>
        <w:ind w:firstLine="480"/>
        <w:rPr>
          <w:color w:val="auto"/>
        </w:rPr>
      </w:pPr>
      <w:r>
        <w:rPr>
          <w:color w:val="auto"/>
        </w:rPr>
        <w:t>根据《环境影响评价技术导则 大气环境》(HJ2.2-2018)要求，</w:t>
      </w:r>
      <w:r>
        <w:rPr>
          <w:rFonts w:hint="eastAsia"/>
          <w:color w:val="auto"/>
        </w:rPr>
        <w:t>本次在项目所在地设置监测点。</w:t>
      </w:r>
    </w:p>
    <w:p w14:paraId="590FA261">
      <w:pPr>
        <w:ind w:firstLine="482"/>
        <w:jc w:val="center"/>
        <w:rPr>
          <w:b/>
          <w:bCs/>
          <w:color w:val="auto"/>
        </w:rPr>
      </w:pPr>
      <w:r>
        <w:rPr>
          <w:rFonts w:hint="eastAsia"/>
          <w:b/>
          <w:bCs/>
          <w:color w:val="auto"/>
        </w:rPr>
        <w:t>表5.2.1-2 污染物补充监测点位基本信息表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04"/>
        <w:gridCol w:w="1860"/>
        <w:gridCol w:w="3549"/>
        <w:gridCol w:w="727"/>
        <w:gridCol w:w="2726"/>
      </w:tblGrid>
      <w:tr w14:paraId="3E32F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416" w:type="pct"/>
            <w:vMerge w:val="restart"/>
            <w:tcMar>
              <w:left w:w="28" w:type="dxa"/>
              <w:right w:w="28" w:type="dxa"/>
            </w:tcMar>
            <w:vAlign w:val="center"/>
          </w:tcPr>
          <w:p w14:paraId="77F4DDA6">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序号</w:t>
            </w:r>
          </w:p>
        </w:tc>
        <w:tc>
          <w:tcPr>
            <w:tcW w:w="962" w:type="pct"/>
            <w:vMerge w:val="restart"/>
            <w:tcMar>
              <w:left w:w="28" w:type="dxa"/>
              <w:right w:w="28" w:type="dxa"/>
            </w:tcMar>
            <w:vAlign w:val="center"/>
          </w:tcPr>
          <w:p w14:paraId="2D35A4D0">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名称</w:t>
            </w:r>
          </w:p>
        </w:tc>
        <w:tc>
          <w:tcPr>
            <w:tcW w:w="1836" w:type="pct"/>
            <w:vMerge w:val="restart"/>
            <w:vAlign w:val="center"/>
          </w:tcPr>
          <w:p w14:paraId="15167525">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监测项目</w:t>
            </w:r>
          </w:p>
        </w:tc>
        <w:tc>
          <w:tcPr>
            <w:tcW w:w="376" w:type="pct"/>
            <w:vMerge w:val="restart"/>
            <w:vAlign w:val="center"/>
          </w:tcPr>
          <w:p w14:paraId="715E3029">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方位</w:t>
            </w:r>
          </w:p>
        </w:tc>
        <w:tc>
          <w:tcPr>
            <w:tcW w:w="1410" w:type="pct"/>
            <w:vMerge w:val="restart"/>
            <w:vAlign w:val="center"/>
          </w:tcPr>
          <w:p w14:paraId="6FC94367">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相对厂界距离/km</w:t>
            </w:r>
          </w:p>
        </w:tc>
      </w:tr>
      <w:tr w14:paraId="3214B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416" w:type="pct"/>
            <w:vMerge w:val="continue"/>
            <w:tcMar>
              <w:left w:w="28" w:type="dxa"/>
              <w:right w:w="28" w:type="dxa"/>
            </w:tcMar>
            <w:vAlign w:val="center"/>
          </w:tcPr>
          <w:p w14:paraId="244EFC73">
            <w:pPr>
              <w:widowControl/>
              <w:spacing w:line="240" w:lineRule="auto"/>
              <w:ind w:firstLine="0" w:firstLineChars="0"/>
              <w:jc w:val="center"/>
              <w:rPr>
                <w:color w:val="auto"/>
                <w:kern w:val="0"/>
                <w:sz w:val="21"/>
                <w:szCs w:val="21"/>
                <w:lang w:val="zh-CN"/>
              </w:rPr>
            </w:pPr>
          </w:p>
        </w:tc>
        <w:tc>
          <w:tcPr>
            <w:tcW w:w="962" w:type="pct"/>
            <w:vMerge w:val="continue"/>
            <w:tcMar>
              <w:left w:w="28" w:type="dxa"/>
              <w:right w:w="28" w:type="dxa"/>
            </w:tcMar>
            <w:vAlign w:val="center"/>
          </w:tcPr>
          <w:p w14:paraId="654F6584">
            <w:pPr>
              <w:widowControl/>
              <w:spacing w:line="240" w:lineRule="auto"/>
              <w:ind w:firstLine="0" w:firstLineChars="0"/>
              <w:jc w:val="center"/>
              <w:rPr>
                <w:color w:val="auto"/>
                <w:kern w:val="0"/>
                <w:sz w:val="21"/>
                <w:szCs w:val="21"/>
                <w:lang w:val="zh-CN"/>
              </w:rPr>
            </w:pPr>
          </w:p>
        </w:tc>
        <w:tc>
          <w:tcPr>
            <w:tcW w:w="1836" w:type="pct"/>
            <w:vMerge w:val="continue"/>
            <w:vAlign w:val="center"/>
          </w:tcPr>
          <w:p w14:paraId="1DD50974">
            <w:pPr>
              <w:widowControl/>
              <w:spacing w:line="240" w:lineRule="auto"/>
              <w:ind w:firstLine="0" w:firstLineChars="0"/>
              <w:jc w:val="center"/>
              <w:rPr>
                <w:color w:val="auto"/>
                <w:kern w:val="0"/>
                <w:sz w:val="21"/>
                <w:szCs w:val="21"/>
                <w:lang w:val="zh-CN"/>
              </w:rPr>
            </w:pPr>
          </w:p>
        </w:tc>
        <w:tc>
          <w:tcPr>
            <w:tcW w:w="376" w:type="pct"/>
            <w:vMerge w:val="continue"/>
            <w:vAlign w:val="center"/>
          </w:tcPr>
          <w:p w14:paraId="351569D1">
            <w:pPr>
              <w:widowControl/>
              <w:spacing w:line="240" w:lineRule="auto"/>
              <w:ind w:firstLine="0" w:firstLineChars="0"/>
              <w:jc w:val="center"/>
              <w:rPr>
                <w:color w:val="auto"/>
                <w:kern w:val="0"/>
                <w:sz w:val="21"/>
                <w:szCs w:val="21"/>
                <w:lang w:val="zh-CN"/>
              </w:rPr>
            </w:pPr>
          </w:p>
        </w:tc>
        <w:tc>
          <w:tcPr>
            <w:tcW w:w="1410" w:type="pct"/>
            <w:vMerge w:val="continue"/>
            <w:vAlign w:val="center"/>
          </w:tcPr>
          <w:p w14:paraId="04AD3001">
            <w:pPr>
              <w:widowControl/>
              <w:spacing w:line="240" w:lineRule="auto"/>
              <w:ind w:firstLine="0" w:firstLineChars="0"/>
              <w:jc w:val="center"/>
              <w:rPr>
                <w:color w:val="auto"/>
                <w:kern w:val="0"/>
                <w:sz w:val="21"/>
                <w:szCs w:val="21"/>
                <w:lang w:val="zh-CN"/>
              </w:rPr>
            </w:pPr>
          </w:p>
        </w:tc>
      </w:tr>
      <w:tr w14:paraId="4FBC6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6" w:type="pct"/>
            <w:tcMar>
              <w:left w:w="28" w:type="dxa"/>
              <w:right w:w="28" w:type="dxa"/>
            </w:tcMar>
            <w:vAlign w:val="center"/>
          </w:tcPr>
          <w:p w14:paraId="51C6B44E">
            <w:pPr>
              <w:widowControl/>
              <w:spacing w:line="240" w:lineRule="auto"/>
              <w:ind w:firstLine="0" w:firstLineChars="0"/>
              <w:jc w:val="center"/>
              <w:rPr>
                <w:color w:val="auto"/>
                <w:kern w:val="0"/>
                <w:sz w:val="21"/>
                <w:szCs w:val="21"/>
                <w:lang w:val="zh-CN"/>
              </w:rPr>
            </w:pPr>
            <w:r>
              <w:rPr>
                <w:color w:val="auto"/>
                <w:kern w:val="0"/>
                <w:sz w:val="21"/>
                <w:szCs w:val="21"/>
                <w:lang w:val="zh-CN"/>
              </w:rPr>
              <w:t>G1</w:t>
            </w:r>
          </w:p>
        </w:tc>
        <w:tc>
          <w:tcPr>
            <w:tcW w:w="962" w:type="pct"/>
            <w:tcMar>
              <w:left w:w="28" w:type="dxa"/>
              <w:right w:w="28" w:type="dxa"/>
            </w:tcMar>
            <w:vAlign w:val="center"/>
          </w:tcPr>
          <w:p w14:paraId="1B026FEC">
            <w:pPr>
              <w:widowControl/>
              <w:spacing w:line="240" w:lineRule="auto"/>
              <w:ind w:firstLine="0" w:firstLineChars="0"/>
              <w:jc w:val="center"/>
              <w:rPr>
                <w:color w:val="auto"/>
                <w:kern w:val="0"/>
                <w:sz w:val="21"/>
                <w:szCs w:val="21"/>
                <w:lang w:val="zh-CN"/>
              </w:rPr>
            </w:pPr>
            <w:r>
              <w:rPr>
                <w:color w:val="auto"/>
                <w:kern w:val="0"/>
                <w:sz w:val="21"/>
                <w:szCs w:val="21"/>
                <w:lang w:val="zh-CN"/>
              </w:rPr>
              <w:t>项目所在地</w:t>
            </w:r>
          </w:p>
        </w:tc>
        <w:tc>
          <w:tcPr>
            <w:tcW w:w="1836" w:type="pct"/>
            <w:vAlign w:val="center"/>
          </w:tcPr>
          <w:p w14:paraId="6CC41123">
            <w:pPr>
              <w:widowControl/>
              <w:spacing w:line="240" w:lineRule="auto"/>
              <w:ind w:firstLine="0" w:firstLineChars="0"/>
              <w:jc w:val="center"/>
              <w:rPr>
                <w:color w:val="auto"/>
                <w:kern w:val="0"/>
                <w:sz w:val="21"/>
                <w:szCs w:val="21"/>
                <w:lang w:val="zh-CN"/>
              </w:rPr>
            </w:pPr>
            <w:r>
              <w:rPr>
                <w:color w:val="auto"/>
                <w:kern w:val="0"/>
                <w:sz w:val="21"/>
                <w:szCs w:val="21"/>
                <w:lang w:val="zh-CN"/>
              </w:rPr>
              <w:t>氨、硫化氢、臭气浓度</w:t>
            </w:r>
          </w:p>
        </w:tc>
        <w:tc>
          <w:tcPr>
            <w:tcW w:w="376" w:type="pct"/>
            <w:vAlign w:val="center"/>
          </w:tcPr>
          <w:p w14:paraId="445B47B2">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1410" w:type="pct"/>
            <w:vAlign w:val="center"/>
          </w:tcPr>
          <w:p w14:paraId="7F7B3645">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r>
    </w:tbl>
    <w:p w14:paraId="3DA86EF1">
      <w:pPr>
        <w:ind w:firstLine="480"/>
        <w:rPr>
          <w:color w:val="auto"/>
        </w:rPr>
      </w:pPr>
      <w:r>
        <w:rPr>
          <w:rFonts w:hint="eastAsia"/>
          <w:color w:val="auto"/>
        </w:rPr>
        <w:t>（4）监测分析方法</w:t>
      </w:r>
    </w:p>
    <w:p w14:paraId="39EC4014">
      <w:pPr>
        <w:ind w:firstLine="482"/>
        <w:jc w:val="center"/>
        <w:rPr>
          <w:b/>
          <w:bCs/>
          <w:color w:val="auto"/>
        </w:rPr>
      </w:pPr>
      <w:r>
        <w:rPr>
          <w:b/>
          <w:bCs/>
          <w:color w:val="auto"/>
        </w:rPr>
        <w:t>表</w:t>
      </w:r>
      <w:r>
        <w:rPr>
          <w:rFonts w:hint="eastAsia"/>
          <w:b/>
          <w:bCs/>
          <w:color w:val="auto"/>
        </w:rPr>
        <w:t>5.2.1-3 监测分析方法</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496"/>
        <w:gridCol w:w="6378"/>
        <w:gridCol w:w="1764"/>
      </w:tblGrid>
      <w:tr w14:paraId="6D1F81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blHeader/>
          <w:jc w:val="center"/>
        </w:trPr>
        <w:tc>
          <w:tcPr>
            <w:tcW w:w="776" w:type="pct"/>
            <w:vAlign w:val="center"/>
          </w:tcPr>
          <w:p w14:paraId="1FDCDA0F">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项目</w:t>
            </w:r>
          </w:p>
        </w:tc>
        <w:tc>
          <w:tcPr>
            <w:tcW w:w="3309" w:type="pct"/>
            <w:vAlign w:val="center"/>
          </w:tcPr>
          <w:p w14:paraId="30116DB2">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分析方法</w:t>
            </w:r>
          </w:p>
        </w:tc>
        <w:tc>
          <w:tcPr>
            <w:tcW w:w="915" w:type="pct"/>
            <w:vAlign w:val="center"/>
          </w:tcPr>
          <w:p w14:paraId="6899ACCE">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方法检出限</w:t>
            </w:r>
          </w:p>
        </w:tc>
      </w:tr>
      <w:tr w14:paraId="04AA48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76" w:type="pct"/>
            <w:vAlign w:val="center"/>
          </w:tcPr>
          <w:p w14:paraId="0C79C15B">
            <w:pPr>
              <w:widowControl/>
              <w:spacing w:line="240" w:lineRule="auto"/>
              <w:ind w:firstLine="0" w:firstLineChars="0"/>
              <w:jc w:val="center"/>
              <w:rPr>
                <w:color w:val="auto"/>
                <w:kern w:val="0"/>
                <w:sz w:val="21"/>
                <w:szCs w:val="21"/>
                <w:lang w:val="zh-CN"/>
              </w:rPr>
            </w:pPr>
            <w:r>
              <w:rPr>
                <w:color w:val="auto"/>
                <w:kern w:val="0"/>
                <w:sz w:val="21"/>
                <w:szCs w:val="21"/>
                <w:lang w:val="zh-CN"/>
              </w:rPr>
              <w:t>臭气浓度</w:t>
            </w:r>
          </w:p>
        </w:tc>
        <w:tc>
          <w:tcPr>
            <w:tcW w:w="3309" w:type="pct"/>
            <w:vAlign w:val="center"/>
          </w:tcPr>
          <w:p w14:paraId="5A49BC7D">
            <w:pPr>
              <w:widowControl/>
              <w:spacing w:line="240" w:lineRule="auto"/>
              <w:ind w:firstLine="0" w:firstLineChars="0"/>
              <w:jc w:val="center"/>
              <w:rPr>
                <w:color w:val="auto"/>
                <w:kern w:val="0"/>
                <w:sz w:val="21"/>
                <w:szCs w:val="21"/>
              </w:rPr>
            </w:pPr>
            <w:r>
              <w:rPr>
                <w:color w:val="auto"/>
                <w:kern w:val="0"/>
                <w:sz w:val="21"/>
                <w:szCs w:val="21"/>
              </w:rPr>
              <w:t>环境空气和废气臭气的测定 三点比较式臭袋法</w:t>
            </w:r>
          </w:p>
          <w:p w14:paraId="77286204">
            <w:pPr>
              <w:widowControl/>
              <w:spacing w:line="240" w:lineRule="auto"/>
              <w:ind w:firstLine="0" w:firstLineChars="0"/>
              <w:jc w:val="center"/>
              <w:rPr>
                <w:color w:val="auto"/>
                <w:kern w:val="0"/>
                <w:sz w:val="21"/>
                <w:szCs w:val="21"/>
                <w:lang w:val="zh-CN"/>
              </w:rPr>
            </w:pPr>
            <w:r>
              <w:rPr>
                <w:color w:val="auto"/>
                <w:kern w:val="0"/>
                <w:sz w:val="21"/>
                <w:szCs w:val="21"/>
              </w:rPr>
              <w:t>（HJ 1262—2022）</w:t>
            </w:r>
          </w:p>
        </w:tc>
        <w:tc>
          <w:tcPr>
            <w:tcW w:w="915" w:type="pct"/>
            <w:vAlign w:val="center"/>
          </w:tcPr>
          <w:p w14:paraId="2071FBE8">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r>
      <w:tr w14:paraId="7BC997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76" w:type="pct"/>
            <w:vAlign w:val="center"/>
          </w:tcPr>
          <w:p w14:paraId="604B85C6">
            <w:pPr>
              <w:widowControl/>
              <w:spacing w:line="240" w:lineRule="auto"/>
              <w:ind w:firstLine="0" w:firstLineChars="0"/>
              <w:jc w:val="center"/>
              <w:rPr>
                <w:color w:val="auto"/>
                <w:kern w:val="0"/>
                <w:sz w:val="21"/>
                <w:szCs w:val="21"/>
                <w:lang w:val="zh-CN"/>
              </w:rPr>
            </w:pPr>
            <w:r>
              <w:rPr>
                <w:color w:val="auto"/>
                <w:kern w:val="0"/>
                <w:sz w:val="21"/>
                <w:szCs w:val="21"/>
                <w:lang w:val="zh-CN"/>
              </w:rPr>
              <w:t>硫化氢</w:t>
            </w:r>
          </w:p>
        </w:tc>
        <w:tc>
          <w:tcPr>
            <w:tcW w:w="3309" w:type="pct"/>
            <w:vAlign w:val="center"/>
          </w:tcPr>
          <w:p w14:paraId="0A37D3C7">
            <w:pPr>
              <w:widowControl/>
              <w:spacing w:line="240" w:lineRule="auto"/>
              <w:ind w:firstLine="0" w:firstLineChars="0"/>
              <w:jc w:val="center"/>
              <w:rPr>
                <w:color w:val="auto"/>
                <w:kern w:val="0"/>
                <w:sz w:val="21"/>
                <w:szCs w:val="21"/>
              </w:rPr>
            </w:pPr>
            <w:r>
              <w:rPr>
                <w:color w:val="auto"/>
                <w:kern w:val="0"/>
                <w:sz w:val="21"/>
                <w:szCs w:val="21"/>
              </w:rPr>
              <w:t>空气质量监测亚甲基蓝分光光度法《空气和废气监测分</w:t>
            </w:r>
          </w:p>
          <w:p w14:paraId="3B857767">
            <w:pPr>
              <w:widowControl/>
              <w:spacing w:line="240" w:lineRule="auto"/>
              <w:ind w:firstLine="0" w:firstLineChars="0"/>
              <w:jc w:val="center"/>
              <w:rPr>
                <w:color w:val="auto"/>
                <w:kern w:val="0"/>
                <w:sz w:val="21"/>
                <w:szCs w:val="21"/>
              </w:rPr>
            </w:pPr>
            <w:r>
              <w:rPr>
                <w:color w:val="auto"/>
                <w:kern w:val="0"/>
                <w:sz w:val="21"/>
                <w:szCs w:val="21"/>
              </w:rPr>
              <w:t xml:space="preserve">析方法》（第四版增补版）3.1.11.2 </w:t>
            </w:r>
          </w:p>
          <w:p w14:paraId="5BE575B8">
            <w:pPr>
              <w:widowControl/>
              <w:spacing w:line="240" w:lineRule="auto"/>
              <w:ind w:firstLine="0" w:firstLineChars="0"/>
              <w:jc w:val="center"/>
              <w:rPr>
                <w:color w:val="auto"/>
                <w:kern w:val="0"/>
                <w:sz w:val="21"/>
                <w:szCs w:val="21"/>
              </w:rPr>
            </w:pPr>
            <w:r>
              <w:rPr>
                <w:color w:val="auto"/>
                <w:kern w:val="0"/>
                <w:sz w:val="21"/>
                <w:szCs w:val="21"/>
              </w:rPr>
              <w:t>国家环境保护总局 2003 年</w:t>
            </w:r>
          </w:p>
        </w:tc>
        <w:tc>
          <w:tcPr>
            <w:tcW w:w="915" w:type="pct"/>
            <w:vAlign w:val="center"/>
          </w:tcPr>
          <w:p w14:paraId="6129B876">
            <w:pPr>
              <w:widowControl/>
              <w:spacing w:line="240" w:lineRule="auto"/>
              <w:ind w:firstLine="0" w:firstLineChars="0"/>
              <w:jc w:val="center"/>
              <w:rPr>
                <w:color w:val="auto"/>
                <w:kern w:val="0"/>
                <w:sz w:val="21"/>
                <w:szCs w:val="21"/>
                <w:lang w:val="zh-CN"/>
              </w:rPr>
            </w:pPr>
            <w:r>
              <w:rPr>
                <w:color w:val="auto"/>
                <w:kern w:val="0"/>
                <w:sz w:val="21"/>
                <w:szCs w:val="21"/>
                <w:lang w:val="zh-CN"/>
              </w:rPr>
              <w:t>0.002</w:t>
            </w:r>
            <w:r>
              <w:rPr>
                <w:color w:val="auto"/>
                <w:kern w:val="0"/>
                <w:sz w:val="21"/>
                <w:szCs w:val="21"/>
              </w:rPr>
              <w:t xml:space="preserve"> </w:t>
            </w:r>
            <w:r>
              <w:rPr>
                <w:color w:val="auto"/>
                <w:kern w:val="0"/>
                <w:sz w:val="21"/>
                <w:szCs w:val="21"/>
                <w:lang w:val="zh-CN"/>
              </w:rPr>
              <w:t>mg/m</w:t>
            </w:r>
            <w:r>
              <w:rPr>
                <w:color w:val="auto"/>
                <w:kern w:val="0"/>
                <w:sz w:val="21"/>
                <w:szCs w:val="21"/>
                <w:vertAlign w:val="superscript"/>
                <w:lang w:val="zh-CN"/>
              </w:rPr>
              <w:t>3</w:t>
            </w:r>
          </w:p>
        </w:tc>
      </w:tr>
      <w:tr w14:paraId="6C7C58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76" w:type="pct"/>
            <w:vAlign w:val="center"/>
          </w:tcPr>
          <w:p w14:paraId="7A9E875F">
            <w:pPr>
              <w:widowControl/>
              <w:spacing w:line="240" w:lineRule="auto"/>
              <w:ind w:firstLine="0" w:firstLineChars="0"/>
              <w:jc w:val="center"/>
              <w:rPr>
                <w:color w:val="auto"/>
                <w:kern w:val="0"/>
                <w:sz w:val="21"/>
                <w:szCs w:val="21"/>
                <w:lang w:val="zh-CN"/>
              </w:rPr>
            </w:pPr>
            <w:r>
              <w:rPr>
                <w:color w:val="auto"/>
                <w:kern w:val="0"/>
                <w:sz w:val="21"/>
                <w:szCs w:val="21"/>
                <w:lang w:val="zh-CN"/>
              </w:rPr>
              <w:t>氨</w:t>
            </w:r>
          </w:p>
        </w:tc>
        <w:tc>
          <w:tcPr>
            <w:tcW w:w="3309" w:type="pct"/>
            <w:vAlign w:val="center"/>
          </w:tcPr>
          <w:p w14:paraId="381A2025">
            <w:pPr>
              <w:widowControl/>
              <w:spacing w:line="240" w:lineRule="auto"/>
              <w:ind w:firstLine="0" w:firstLineChars="0"/>
              <w:jc w:val="center"/>
              <w:rPr>
                <w:color w:val="auto"/>
                <w:kern w:val="0"/>
                <w:sz w:val="21"/>
                <w:szCs w:val="21"/>
                <w:lang w:val="zh-CN"/>
              </w:rPr>
            </w:pPr>
            <w:r>
              <w:rPr>
                <w:color w:val="auto"/>
                <w:kern w:val="0"/>
                <w:sz w:val="21"/>
                <w:szCs w:val="21"/>
                <w:lang w:val="zh-CN"/>
              </w:rPr>
              <w:t>环境空气和废气  氨的测定  纳氏试剂分光光度法 HJ533-2009</w:t>
            </w:r>
          </w:p>
        </w:tc>
        <w:tc>
          <w:tcPr>
            <w:tcW w:w="915" w:type="pct"/>
            <w:vAlign w:val="center"/>
          </w:tcPr>
          <w:p w14:paraId="326DE217">
            <w:pPr>
              <w:widowControl/>
              <w:spacing w:line="240" w:lineRule="auto"/>
              <w:ind w:firstLine="0" w:firstLineChars="0"/>
              <w:jc w:val="center"/>
              <w:rPr>
                <w:color w:val="auto"/>
                <w:kern w:val="0"/>
                <w:sz w:val="21"/>
                <w:szCs w:val="21"/>
                <w:lang w:val="zh-CN"/>
              </w:rPr>
            </w:pPr>
            <w:r>
              <w:rPr>
                <w:color w:val="auto"/>
                <w:kern w:val="0"/>
                <w:sz w:val="21"/>
                <w:szCs w:val="21"/>
                <w:lang w:val="zh-CN"/>
              </w:rPr>
              <w:t>0.01 mg/m</w:t>
            </w:r>
            <w:r>
              <w:rPr>
                <w:color w:val="auto"/>
                <w:kern w:val="0"/>
                <w:sz w:val="21"/>
                <w:szCs w:val="21"/>
                <w:vertAlign w:val="superscript"/>
                <w:lang w:val="zh-CN"/>
              </w:rPr>
              <w:t>3</w:t>
            </w:r>
          </w:p>
        </w:tc>
      </w:tr>
    </w:tbl>
    <w:p w14:paraId="54DFA11D">
      <w:pPr>
        <w:ind w:firstLine="480"/>
        <w:rPr>
          <w:color w:val="auto"/>
        </w:rPr>
      </w:pPr>
      <w:r>
        <w:rPr>
          <w:rFonts w:hint="eastAsia"/>
          <w:color w:val="auto"/>
        </w:rPr>
        <w:t>（5）监测结果</w:t>
      </w:r>
    </w:p>
    <w:p w14:paraId="69FDF7D7">
      <w:pPr>
        <w:ind w:firstLine="482"/>
        <w:jc w:val="center"/>
        <w:rPr>
          <w:b/>
          <w:bCs/>
          <w:color w:val="auto"/>
        </w:rPr>
      </w:pPr>
      <w:r>
        <w:rPr>
          <w:b/>
          <w:bCs/>
          <w:color w:val="auto"/>
        </w:rPr>
        <w:t>表</w:t>
      </w:r>
      <w:r>
        <w:rPr>
          <w:rFonts w:hint="eastAsia"/>
          <w:b/>
          <w:bCs/>
          <w:color w:val="auto"/>
        </w:rPr>
        <w:t>5.2.1-4 监测结果表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147"/>
        <w:gridCol w:w="1606"/>
        <w:gridCol w:w="1232"/>
        <w:gridCol w:w="1232"/>
        <w:gridCol w:w="1232"/>
        <w:gridCol w:w="1232"/>
        <w:gridCol w:w="1230"/>
      </w:tblGrid>
      <w:tr w14:paraId="35D1F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79271799">
            <w:pPr>
              <w:spacing w:line="240" w:lineRule="auto"/>
              <w:ind w:firstLine="0" w:firstLineChars="0"/>
              <w:jc w:val="center"/>
              <w:rPr>
                <w:b/>
                <w:bCs/>
                <w:color w:val="auto"/>
                <w:sz w:val="21"/>
                <w:szCs w:val="21"/>
              </w:rPr>
            </w:pPr>
            <w:r>
              <w:rPr>
                <w:b/>
                <w:bCs/>
                <w:color w:val="auto"/>
                <w:sz w:val="21"/>
                <w:szCs w:val="21"/>
              </w:rPr>
              <w:t>监测点位</w:t>
            </w:r>
          </w:p>
        </w:tc>
        <w:tc>
          <w:tcPr>
            <w:tcW w:w="582" w:type="pct"/>
            <w:vAlign w:val="center"/>
          </w:tcPr>
          <w:p w14:paraId="1C82DC64">
            <w:pPr>
              <w:spacing w:line="240" w:lineRule="auto"/>
              <w:ind w:firstLine="0" w:firstLineChars="0"/>
              <w:jc w:val="center"/>
              <w:rPr>
                <w:b/>
                <w:bCs/>
                <w:color w:val="auto"/>
                <w:sz w:val="21"/>
                <w:szCs w:val="21"/>
              </w:rPr>
            </w:pPr>
            <w:r>
              <w:rPr>
                <w:b/>
                <w:bCs/>
                <w:color w:val="auto"/>
                <w:sz w:val="21"/>
                <w:szCs w:val="21"/>
              </w:rPr>
              <w:t>污染物</w:t>
            </w:r>
          </w:p>
        </w:tc>
        <w:tc>
          <w:tcPr>
            <w:tcW w:w="815" w:type="pct"/>
            <w:vAlign w:val="center"/>
          </w:tcPr>
          <w:p w14:paraId="13300A9B">
            <w:pPr>
              <w:spacing w:line="240" w:lineRule="auto"/>
              <w:ind w:firstLine="0" w:firstLineChars="0"/>
              <w:jc w:val="center"/>
              <w:rPr>
                <w:b/>
                <w:bCs/>
                <w:color w:val="auto"/>
                <w:sz w:val="21"/>
                <w:szCs w:val="21"/>
              </w:rPr>
            </w:pPr>
            <w:r>
              <w:rPr>
                <w:b/>
                <w:bCs/>
                <w:color w:val="auto"/>
                <w:sz w:val="21"/>
                <w:szCs w:val="21"/>
              </w:rPr>
              <w:t>平均时间</w:t>
            </w:r>
          </w:p>
        </w:tc>
        <w:tc>
          <w:tcPr>
            <w:tcW w:w="625" w:type="pct"/>
            <w:vAlign w:val="center"/>
          </w:tcPr>
          <w:p w14:paraId="26D3CE6E">
            <w:pPr>
              <w:spacing w:line="240" w:lineRule="auto"/>
              <w:ind w:firstLine="0" w:firstLineChars="0"/>
              <w:jc w:val="center"/>
              <w:rPr>
                <w:b/>
                <w:bCs/>
                <w:color w:val="auto"/>
                <w:sz w:val="21"/>
                <w:szCs w:val="21"/>
              </w:rPr>
            </w:pPr>
            <w:r>
              <w:rPr>
                <w:b/>
                <w:bCs/>
                <w:color w:val="auto"/>
                <w:sz w:val="21"/>
                <w:szCs w:val="21"/>
              </w:rPr>
              <w:t>评价标准mg/m</w:t>
            </w:r>
            <w:r>
              <w:rPr>
                <w:b/>
                <w:bCs/>
                <w:color w:val="auto"/>
                <w:sz w:val="21"/>
                <w:szCs w:val="21"/>
                <w:vertAlign w:val="superscript"/>
              </w:rPr>
              <w:t>3</w:t>
            </w:r>
          </w:p>
        </w:tc>
        <w:tc>
          <w:tcPr>
            <w:tcW w:w="625" w:type="pct"/>
            <w:vAlign w:val="center"/>
          </w:tcPr>
          <w:p w14:paraId="11E5533D">
            <w:pPr>
              <w:spacing w:line="240" w:lineRule="auto"/>
              <w:ind w:firstLine="0" w:firstLineChars="0"/>
              <w:jc w:val="center"/>
              <w:rPr>
                <w:b/>
                <w:bCs/>
                <w:color w:val="auto"/>
                <w:sz w:val="21"/>
                <w:szCs w:val="21"/>
              </w:rPr>
            </w:pPr>
            <w:r>
              <w:rPr>
                <w:b/>
                <w:bCs/>
                <w:color w:val="auto"/>
                <w:sz w:val="21"/>
                <w:szCs w:val="21"/>
              </w:rPr>
              <w:t>浓度范围mg/m</w:t>
            </w:r>
            <w:r>
              <w:rPr>
                <w:b/>
                <w:bCs/>
                <w:color w:val="auto"/>
                <w:sz w:val="21"/>
                <w:szCs w:val="21"/>
                <w:vertAlign w:val="superscript"/>
              </w:rPr>
              <w:t>3</w:t>
            </w:r>
          </w:p>
        </w:tc>
        <w:tc>
          <w:tcPr>
            <w:tcW w:w="625" w:type="pct"/>
            <w:vAlign w:val="center"/>
          </w:tcPr>
          <w:p w14:paraId="40C8D2F8">
            <w:pPr>
              <w:spacing w:line="240" w:lineRule="auto"/>
              <w:ind w:firstLine="0" w:firstLineChars="0"/>
              <w:jc w:val="center"/>
              <w:rPr>
                <w:b/>
                <w:bCs/>
                <w:color w:val="auto"/>
                <w:sz w:val="21"/>
                <w:szCs w:val="21"/>
              </w:rPr>
            </w:pPr>
            <w:r>
              <w:rPr>
                <w:b/>
                <w:bCs/>
                <w:color w:val="auto"/>
                <w:sz w:val="21"/>
                <w:szCs w:val="21"/>
              </w:rPr>
              <w:t>最大浓度占标率%</w:t>
            </w:r>
          </w:p>
        </w:tc>
        <w:tc>
          <w:tcPr>
            <w:tcW w:w="625" w:type="pct"/>
            <w:vAlign w:val="center"/>
          </w:tcPr>
          <w:p w14:paraId="0338A9BB">
            <w:pPr>
              <w:spacing w:line="240" w:lineRule="auto"/>
              <w:ind w:firstLine="0" w:firstLineChars="0"/>
              <w:jc w:val="center"/>
              <w:rPr>
                <w:b/>
                <w:bCs/>
                <w:color w:val="auto"/>
                <w:sz w:val="21"/>
                <w:szCs w:val="21"/>
              </w:rPr>
            </w:pPr>
            <w:r>
              <w:rPr>
                <w:b/>
                <w:bCs/>
                <w:color w:val="auto"/>
                <w:sz w:val="21"/>
                <w:szCs w:val="21"/>
              </w:rPr>
              <w:t>超标率%</w:t>
            </w:r>
          </w:p>
        </w:tc>
        <w:tc>
          <w:tcPr>
            <w:tcW w:w="624" w:type="pct"/>
            <w:vAlign w:val="center"/>
          </w:tcPr>
          <w:p w14:paraId="214434D7">
            <w:pPr>
              <w:spacing w:line="240" w:lineRule="auto"/>
              <w:ind w:firstLine="0" w:firstLineChars="0"/>
              <w:jc w:val="center"/>
              <w:rPr>
                <w:b/>
                <w:bCs/>
                <w:color w:val="auto"/>
                <w:sz w:val="21"/>
                <w:szCs w:val="21"/>
              </w:rPr>
            </w:pPr>
            <w:r>
              <w:rPr>
                <w:b/>
                <w:bCs/>
                <w:color w:val="auto"/>
                <w:sz w:val="21"/>
                <w:szCs w:val="21"/>
              </w:rPr>
              <w:t>达标情况</w:t>
            </w:r>
          </w:p>
        </w:tc>
      </w:tr>
      <w:tr w14:paraId="1B935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restart"/>
            <w:vAlign w:val="center"/>
          </w:tcPr>
          <w:p w14:paraId="5FD632BA">
            <w:pPr>
              <w:spacing w:line="240" w:lineRule="auto"/>
              <w:ind w:firstLine="0" w:firstLineChars="0"/>
              <w:jc w:val="center"/>
              <w:rPr>
                <w:color w:val="auto"/>
                <w:sz w:val="21"/>
                <w:szCs w:val="21"/>
              </w:rPr>
            </w:pPr>
            <w:r>
              <w:rPr>
                <w:rFonts w:hint="eastAsia"/>
                <w:color w:val="auto"/>
                <w:sz w:val="21"/>
                <w:szCs w:val="21"/>
              </w:rPr>
              <w:t>G1</w:t>
            </w:r>
          </w:p>
        </w:tc>
        <w:tc>
          <w:tcPr>
            <w:tcW w:w="582" w:type="pct"/>
            <w:vAlign w:val="center"/>
          </w:tcPr>
          <w:p w14:paraId="237507AE">
            <w:pPr>
              <w:spacing w:line="240" w:lineRule="auto"/>
              <w:ind w:firstLine="0" w:firstLineChars="0"/>
              <w:jc w:val="center"/>
              <w:rPr>
                <w:color w:val="auto"/>
                <w:sz w:val="21"/>
                <w:szCs w:val="21"/>
              </w:rPr>
            </w:pPr>
            <w:r>
              <w:rPr>
                <w:rFonts w:hint="eastAsia"/>
                <w:color w:val="auto"/>
                <w:sz w:val="21"/>
                <w:szCs w:val="21"/>
              </w:rPr>
              <w:t>氨</w:t>
            </w:r>
          </w:p>
        </w:tc>
        <w:tc>
          <w:tcPr>
            <w:tcW w:w="815" w:type="pct"/>
            <w:vAlign w:val="center"/>
          </w:tcPr>
          <w:p w14:paraId="4839E991">
            <w:pPr>
              <w:spacing w:line="240" w:lineRule="auto"/>
              <w:ind w:firstLine="0" w:firstLineChars="0"/>
              <w:jc w:val="center"/>
              <w:rPr>
                <w:color w:val="auto"/>
                <w:sz w:val="21"/>
                <w:szCs w:val="21"/>
              </w:rPr>
            </w:pPr>
            <w:r>
              <w:rPr>
                <w:rFonts w:hint="eastAsia"/>
                <w:color w:val="auto"/>
                <w:sz w:val="21"/>
                <w:szCs w:val="21"/>
              </w:rPr>
              <w:t>1小时平均</w:t>
            </w:r>
          </w:p>
        </w:tc>
        <w:tc>
          <w:tcPr>
            <w:tcW w:w="625" w:type="pct"/>
            <w:vAlign w:val="center"/>
          </w:tcPr>
          <w:p w14:paraId="29C7B827">
            <w:pPr>
              <w:spacing w:line="240" w:lineRule="auto"/>
              <w:ind w:firstLine="0" w:firstLineChars="0"/>
              <w:jc w:val="center"/>
              <w:rPr>
                <w:color w:val="auto"/>
                <w:sz w:val="21"/>
                <w:szCs w:val="21"/>
              </w:rPr>
            </w:pPr>
            <w:r>
              <w:rPr>
                <w:rFonts w:hint="eastAsia"/>
                <w:color w:val="auto"/>
                <w:sz w:val="21"/>
                <w:szCs w:val="21"/>
              </w:rPr>
              <w:t>0.2</w:t>
            </w:r>
          </w:p>
        </w:tc>
        <w:tc>
          <w:tcPr>
            <w:tcW w:w="625" w:type="pct"/>
            <w:vAlign w:val="center"/>
          </w:tcPr>
          <w:p w14:paraId="2427A3C9">
            <w:pPr>
              <w:spacing w:line="240" w:lineRule="auto"/>
              <w:ind w:firstLine="0" w:firstLineChars="0"/>
              <w:jc w:val="center"/>
              <w:rPr>
                <w:color w:val="auto"/>
                <w:sz w:val="21"/>
                <w:szCs w:val="21"/>
              </w:rPr>
            </w:pPr>
            <w:r>
              <w:rPr>
                <w:rFonts w:hint="eastAsia"/>
                <w:color w:val="auto"/>
                <w:sz w:val="21"/>
                <w:szCs w:val="21"/>
              </w:rPr>
              <w:t>0.02-0.04</w:t>
            </w:r>
          </w:p>
        </w:tc>
        <w:tc>
          <w:tcPr>
            <w:tcW w:w="625" w:type="pct"/>
            <w:vAlign w:val="center"/>
          </w:tcPr>
          <w:p w14:paraId="6EF4BF2D">
            <w:pPr>
              <w:spacing w:line="240" w:lineRule="auto"/>
              <w:ind w:firstLine="0" w:firstLineChars="0"/>
              <w:jc w:val="center"/>
              <w:rPr>
                <w:color w:val="auto"/>
                <w:sz w:val="21"/>
                <w:szCs w:val="21"/>
              </w:rPr>
            </w:pPr>
            <w:r>
              <w:rPr>
                <w:rFonts w:hint="eastAsia"/>
                <w:color w:val="auto"/>
                <w:sz w:val="21"/>
                <w:szCs w:val="21"/>
              </w:rPr>
              <w:t>20</w:t>
            </w:r>
          </w:p>
        </w:tc>
        <w:tc>
          <w:tcPr>
            <w:tcW w:w="625" w:type="pct"/>
            <w:vAlign w:val="center"/>
          </w:tcPr>
          <w:p w14:paraId="616A2552">
            <w:pPr>
              <w:spacing w:line="240" w:lineRule="auto"/>
              <w:ind w:firstLine="0" w:firstLineChars="0"/>
              <w:jc w:val="center"/>
              <w:rPr>
                <w:color w:val="auto"/>
                <w:sz w:val="21"/>
                <w:szCs w:val="21"/>
              </w:rPr>
            </w:pPr>
            <w:r>
              <w:rPr>
                <w:rFonts w:hint="eastAsia"/>
                <w:color w:val="auto"/>
                <w:sz w:val="21"/>
                <w:szCs w:val="21"/>
              </w:rPr>
              <w:t>0</w:t>
            </w:r>
          </w:p>
        </w:tc>
        <w:tc>
          <w:tcPr>
            <w:tcW w:w="624" w:type="pct"/>
            <w:vAlign w:val="center"/>
          </w:tcPr>
          <w:p w14:paraId="4F72CD5F">
            <w:pPr>
              <w:spacing w:line="240" w:lineRule="auto"/>
              <w:ind w:firstLine="0" w:firstLineChars="0"/>
              <w:jc w:val="center"/>
              <w:rPr>
                <w:color w:val="auto"/>
                <w:sz w:val="21"/>
                <w:szCs w:val="21"/>
              </w:rPr>
            </w:pPr>
            <w:r>
              <w:rPr>
                <w:rFonts w:hint="eastAsia"/>
                <w:color w:val="auto"/>
                <w:sz w:val="21"/>
                <w:szCs w:val="21"/>
              </w:rPr>
              <w:t>达标</w:t>
            </w:r>
          </w:p>
        </w:tc>
      </w:tr>
      <w:tr w14:paraId="0E9FF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4E1879F7">
            <w:pPr>
              <w:spacing w:line="240" w:lineRule="auto"/>
              <w:ind w:firstLine="0" w:firstLineChars="0"/>
              <w:jc w:val="center"/>
              <w:rPr>
                <w:color w:val="auto"/>
                <w:sz w:val="21"/>
                <w:szCs w:val="21"/>
              </w:rPr>
            </w:pPr>
          </w:p>
        </w:tc>
        <w:tc>
          <w:tcPr>
            <w:tcW w:w="582" w:type="pct"/>
            <w:vAlign w:val="center"/>
          </w:tcPr>
          <w:p w14:paraId="7B0B3AB8">
            <w:pPr>
              <w:spacing w:line="240" w:lineRule="auto"/>
              <w:ind w:firstLine="0" w:firstLineChars="0"/>
              <w:jc w:val="center"/>
              <w:rPr>
                <w:color w:val="auto"/>
                <w:sz w:val="21"/>
                <w:szCs w:val="21"/>
              </w:rPr>
            </w:pPr>
            <w:r>
              <w:rPr>
                <w:rFonts w:hint="eastAsia"/>
                <w:color w:val="auto"/>
                <w:sz w:val="21"/>
                <w:szCs w:val="21"/>
              </w:rPr>
              <w:t>硫化氢</w:t>
            </w:r>
          </w:p>
        </w:tc>
        <w:tc>
          <w:tcPr>
            <w:tcW w:w="815" w:type="pct"/>
            <w:vAlign w:val="center"/>
          </w:tcPr>
          <w:p w14:paraId="05C1325A">
            <w:pPr>
              <w:spacing w:line="240" w:lineRule="auto"/>
              <w:ind w:firstLine="0" w:firstLineChars="0"/>
              <w:jc w:val="center"/>
              <w:rPr>
                <w:color w:val="auto"/>
                <w:sz w:val="21"/>
                <w:szCs w:val="21"/>
              </w:rPr>
            </w:pPr>
            <w:r>
              <w:rPr>
                <w:rFonts w:hint="eastAsia"/>
                <w:color w:val="auto"/>
                <w:sz w:val="21"/>
                <w:szCs w:val="21"/>
              </w:rPr>
              <w:t>1小时平均</w:t>
            </w:r>
          </w:p>
        </w:tc>
        <w:tc>
          <w:tcPr>
            <w:tcW w:w="625" w:type="pct"/>
            <w:vAlign w:val="center"/>
          </w:tcPr>
          <w:p w14:paraId="4BBA881F">
            <w:pPr>
              <w:spacing w:line="240" w:lineRule="auto"/>
              <w:ind w:firstLine="0" w:firstLineChars="0"/>
              <w:jc w:val="center"/>
              <w:rPr>
                <w:color w:val="auto"/>
                <w:sz w:val="21"/>
                <w:szCs w:val="21"/>
              </w:rPr>
            </w:pPr>
            <w:r>
              <w:rPr>
                <w:rFonts w:hint="eastAsia"/>
                <w:color w:val="auto"/>
                <w:sz w:val="21"/>
                <w:szCs w:val="21"/>
              </w:rPr>
              <w:t>0.01</w:t>
            </w:r>
          </w:p>
        </w:tc>
        <w:tc>
          <w:tcPr>
            <w:tcW w:w="625" w:type="pct"/>
            <w:vAlign w:val="center"/>
          </w:tcPr>
          <w:p w14:paraId="4E4BD303">
            <w:pPr>
              <w:spacing w:line="240" w:lineRule="auto"/>
              <w:ind w:firstLine="0" w:firstLineChars="0"/>
              <w:jc w:val="center"/>
              <w:rPr>
                <w:color w:val="auto"/>
                <w:sz w:val="21"/>
                <w:szCs w:val="21"/>
              </w:rPr>
            </w:pPr>
            <w:r>
              <w:rPr>
                <w:rFonts w:hint="eastAsia"/>
                <w:color w:val="auto"/>
                <w:sz w:val="21"/>
                <w:szCs w:val="21"/>
              </w:rPr>
              <w:t>ND</w:t>
            </w:r>
          </w:p>
        </w:tc>
        <w:tc>
          <w:tcPr>
            <w:tcW w:w="625" w:type="pct"/>
            <w:vAlign w:val="center"/>
          </w:tcPr>
          <w:p w14:paraId="5CC0DFBA">
            <w:pPr>
              <w:spacing w:line="240" w:lineRule="auto"/>
              <w:ind w:firstLine="0" w:firstLineChars="0"/>
              <w:jc w:val="center"/>
              <w:rPr>
                <w:color w:val="auto"/>
                <w:sz w:val="21"/>
                <w:szCs w:val="21"/>
              </w:rPr>
            </w:pPr>
            <w:r>
              <w:rPr>
                <w:rFonts w:hint="eastAsia"/>
                <w:color w:val="auto"/>
                <w:sz w:val="21"/>
                <w:szCs w:val="21"/>
              </w:rPr>
              <w:t>/</w:t>
            </w:r>
          </w:p>
        </w:tc>
        <w:tc>
          <w:tcPr>
            <w:tcW w:w="625" w:type="pct"/>
            <w:vAlign w:val="center"/>
          </w:tcPr>
          <w:p w14:paraId="4585CE14">
            <w:pPr>
              <w:spacing w:line="240" w:lineRule="auto"/>
              <w:ind w:firstLine="0" w:firstLineChars="0"/>
              <w:jc w:val="center"/>
              <w:rPr>
                <w:color w:val="auto"/>
                <w:sz w:val="21"/>
                <w:szCs w:val="21"/>
              </w:rPr>
            </w:pPr>
            <w:r>
              <w:rPr>
                <w:rFonts w:hint="eastAsia"/>
                <w:color w:val="auto"/>
                <w:sz w:val="21"/>
                <w:szCs w:val="21"/>
              </w:rPr>
              <w:t>0</w:t>
            </w:r>
          </w:p>
        </w:tc>
        <w:tc>
          <w:tcPr>
            <w:tcW w:w="624" w:type="pct"/>
            <w:vAlign w:val="center"/>
          </w:tcPr>
          <w:p w14:paraId="14CC2968">
            <w:pPr>
              <w:spacing w:line="240" w:lineRule="auto"/>
              <w:ind w:firstLine="0" w:firstLineChars="0"/>
              <w:jc w:val="center"/>
              <w:rPr>
                <w:color w:val="auto"/>
                <w:sz w:val="21"/>
                <w:szCs w:val="21"/>
              </w:rPr>
            </w:pPr>
            <w:r>
              <w:rPr>
                <w:rFonts w:hint="eastAsia"/>
                <w:color w:val="auto"/>
                <w:sz w:val="21"/>
                <w:szCs w:val="21"/>
              </w:rPr>
              <w:t>达标</w:t>
            </w:r>
          </w:p>
        </w:tc>
      </w:tr>
      <w:tr w14:paraId="65672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482E7F88">
            <w:pPr>
              <w:spacing w:line="240" w:lineRule="auto"/>
              <w:ind w:firstLine="0" w:firstLineChars="0"/>
              <w:jc w:val="center"/>
              <w:rPr>
                <w:color w:val="auto"/>
                <w:sz w:val="21"/>
                <w:szCs w:val="21"/>
              </w:rPr>
            </w:pPr>
          </w:p>
        </w:tc>
        <w:tc>
          <w:tcPr>
            <w:tcW w:w="582" w:type="pct"/>
            <w:vAlign w:val="center"/>
          </w:tcPr>
          <w:p w14:paraId="747E8482">
            <w:pPr>
              <w:spacing w:line="240" w:lineRule="auto"/>
              <w:ind w:firstLine="0" w:firstLineChars="0"/>
              <w:jc w:val="center"/>
              <w:rPr>
                <w:color w:val="auto"/>
                <w:sz w:val="21"/>
                <w:szCs w:val="21"/>
              </w:rPr>
            </w:pPr>
            <w:r>
              <w:rPr>
                <w:rFonts w:hint="eastAsia"/>
                <w:color w:val="auto"/>
                <w:sz w:val="21"/>
                <w:szCs w:val="21"/>
              </w:rPr>
              <w:t>臭气浓度</w:t>
            </w:r>
          </w:p>
        </w:tc>
        <w:tc>
          <w:tcPr>
            <w:tcW w:w="815" w:type="pct"/>
            <w:vAlign w:val="center"/>
          </w:tcPr>
          <w:p w14:paraId="7EE6E7F5">
            <w:pPr>
              <w:spacing w:line="240" w:lineRule="auto"/>
              <w:ind w:firstLine="0" w:firstLineChars="0"/>
              <w:jc w:val="center"/>
              <w:rPr>
                <w:color w:val="auto"/>
                <w:sz w:val="21"/>
                <w:szCs w:val="21"/>
              </w:rPr>
            </w:pPr>
            <w:r>
              <w:rPr>
                <w:rFonts w:hint="eastAsia"/>
                <w:color w:val="auto"/>
                <w:sz w:val="21"/>
                <w:szCs w:val="21"/>
              </w:rPr>
              <w:t>1小时平均</w:t>
            </w:r>
          </w:p>
        </w:tc>
        <w:tc>
          <w:tcPr>
            <w:tcW w:w="625" w:type="pct"/>
            <w:vAlign w:val="center"/>
          </w:tcPr>
          <w:p w14:paraId="0752F9FB">
            <w:pPr>
              <w:spacing w:line="240" w:lineRule="auto"/>
              <w:ind w:firstLine="0" w:firstLineChars="0"/>
              <w:jc w:val="center"/>
              <w:rPr>
                <w:color w:val="auto"/>
                <w:sz w:val="21"/>
                <w:szCs w:val="21"/>
              </w:rPr>
            </w:pPr>
            <w:r>
              <w:rPr>
                <w:rFonts w:hint="eastAsia"/>
                <w:color w:val="auto"/>
                <w:sz w:val="21"/>
                <w:szCs w:val="21"/>
              </w:rPr>
              <w:t>20（无量纲）</w:t>
            </w:r>
          </w:p>
        </w:tc>
        <w:tc>
          <w:tcPr>
            <w:tcW w:w="625" w:type="pct"/>
            <w:vAlign w:val="center"/>
          </w:tcPr>
          <w:p w14:paraId="04E66235">
            <w:pPr>
              <w:spacing w:line="240" w:lineRule="auto"/>
              <w:ind w:firstLine="0" w:firstLineChars="0"/>
              <w:jc w:val="center"/>
              <w:rPr>
                <w:color w:val="auto"/>
                <w:sz w:val="21"/>
                <w:szCs w:val="21"/>
              </w:rPr>
            </w:pPr>
            <w:r>
              <w:rPr>
                <w:rFonts w:hint="eastAsia"/>
                <w:color w:val="auto"/>
                <w:sz w:val="21"/>
                <w:szCs w:val="21"/>
              </w:rPr>
              <w:t>＜10</w:t>
            </w:r>
          </w:p>
        </w:tc>
        <w:tc>
          <w:tcPr>
            <w:tcW w:w="625" w:type="pct"/>
            <w:vAlign w:val="center"/>
          </w:tcPr>
          <w:p w14:paraId="2154E627">
            <w:pPr>
              <w:spacing w:line="240" w:lineRule="auto"/>
              <w:ind w:firstLine="0" w:firstLineChars="0"/>
              <w:jc w:val="center"/>
              <w:rPr>
                <w:color w:val="auto"/>
                <w:sz w:val="21"/>
                <w:szCs w:val="21"/>
              </w:rPr>
            </w:pPr>
            <w:r>
              <w:rPr>
                <w:rFonts w:hint="eastAsia"/>
                <w:color w:val="auto"/>
                <w:sz w:val="21"/>
                <w:szCs w:val="21"/>
              </w:rPr>
              <w:t>/</w:t>
            </w:r>
          </w:p>
        </w:tc>
        <w:tc>
          <w:tcPr>
            <w:tcW w:w="625" w:type="pct"/>
            <w:vAlign w:val="center"/>
          </w:tcPr>
          <w:p w14:paraId="614C01C2">
            <w:pPr>
              <w:spacing w:line="240" w:lineRule="auto"/>
              <w:ind w:firstLine="0" w:firstLineChars="0"/>
              <w:jc w:val="center"/>
              <w:rPr>
                <w:color w:val="auto"/>
                <w:sz w:val="21"/>
                <w:szCs w:val="21"/>
              </w:rPr>
            </w:pPr>
            <w:r>
              <w:rPr>
                <w:rFonts w:hint="eastAsia"/>
                <w:color w:val="auto"/>
                <w:sz w:val="21"/>
                <w:szCs w:val="21"/>
              </w:rPr>
              <w:t>0</w:t>
            </w:r>
          </w:p>
        </w:tc>
        <w:tc>
          <w:tcPr>
            <w:tcW w:w="624" w:type="pct"/>
            <w:vAlign w:val="center"/>
          </w:tcPr>
          <w:p w14:paraId="30CD2AB1">
            <w:pPr>
              <w:spacing w:line="240" w:lineRule="auto"/>
              <w:ind w:firstLine="0" w:firstLineChars="0"/>
              <w:jc w:val="center"/>
              <w:rPr>
                <w:color w:val="auto"/>
                <w:sz w:val="21"/>
                <w:szCs w:val="21"/>
              </w:rPr>
            </w:pPr>
            <w:r>
              <w:rPr>
                <w:rFonts w:hint="eastAsia"/>
                <w:color w:val="auto"/>
                <w:sz w:val="21"/>
                <w:szCs w:val="21"/>
              </w:rPr>
              <w:t>达标</w:t>
            </w:r>
          </w:p>
        </w:tc>
      </w:tr>
    </w:tbl>
    <w:p w14:paraId="5542B90D">
      <w:pPr>
        <w:ind w:firstLine="480"/>
        <w:rPr>
          <w:color w:val="auto"/>
        </w:rPr>
      </w:pPr>
      <w:r>
        <w:rPr>
          <w:rFonts w:hint="eastAsia"/>
          <w:color w:val="auto"/>
        </w:rPr>
        <w:t>由上表可知，补充监测期间，氨、硫化氢、臭气浓度均达标。</w:t>
      </w:r>
    </w:p>
    <w:p w14:paraId="64B6EAE5">
      <w:pPr>
        <w:pStyle w:val="4"/>
        <w:rPr>
          <w:color w:val="auto"/>
        </w:rPr>
      </w:pPr>
      <w:bookmarkStart w:id="184" w:name="_Toc26622"/>
      <w:r>
        <w:rPr>
          <w:rFonts w:hint="eastAsia"/>
          <w:color w:val="auto"/>
        </w:rPr>
        <w:t>5.2.2地表水环境质量现状调查与评价</w:t>
      </w:r>
      <w:bookmarkEnd w:id="184"/>
    </w:p>
    <w:p w14:paraId="6A0032B5">
      <w:pPr>
        <w:pStyle w:val="5"/>
        <w:spacing w:before="156"/>
        <w:rPr>
          <w:color w:val="auto"/>
        </w:rPr>
      </w:pPr>
      <w:r>
        <w:rPr>
          <w:rFonts w:hint="eastAsia"/>
          <w:color w:val="auto"/>
        </w:rPr>
        <w:t>5.2.2.1监测断面布设</w:t>
      </w:r>
    </w:p>
    <w:p w14:paraId="76DFBB2A">
      <w:pPr>
        <w:ind w:firstLine="480"/>
        <w:rPr>
          <w:color w:val="auto"/>
        </w:rPr>
      </w:pPr>
      <w:r>
        <w:rPr>
          <w:rFonts w:hint="eastAsia"/>
          <w:color w:val="auto"/>
        </w:rPr>
        <w:t>拟建</w:t>
      </w:r>
      <w:r>
        <w:rPr>
          <w:color w:val="auto"/>
        </w:rPr>
        <w:t>污水经厂内处理达标后排入</w:t>
      </w:r>
      <w:r>
        <w:rPr>
          <w:rFonts w:hint="eastAsia"/>
          <w:bCs/>
          <w:color w:val="auto"/>
        </w:rPr>
        <w:t>联合环境水务</w:t>
      </w:r>
      <w:r>
        <w:rPr>
          <w:bCs/>
          <w:color w:val="auto"/>
        </w:rPr>
        <w:t>(</w:t>
      </w:r>
      <w:r>
        <w:rPr>
          <w:rFonts w:hint="eastAsia"/>
          <w:bCs/>
          <w:color w:val="auto"/>
        </w:rPr>
        <w:t>启东</w:t>
      </w:r>
      <w:r>
        <w:rPr>
          <w:bCs/>
          <w:color w:val="auto"/>
        </w:rPr>
        <w:t>)</w:t>
      </w:r>
      <w:r>
        <w:rPr>
          <w:rFonts w:hint="eastAsia"/>
          <w:bCs/>
          <w:color w:val="auto"/>
        </w:rPr>
        <w:t>有限公司</w:t>
      </w:r>
      <w:r>
        <w:rPr>
          <w:color w:val="auto"/>
        </w:rPr>
        <w:t>，经处理后排入长江</w:t>
      </w:r>
      <w:r>
        <w:rPr>
          <w:rFonts w:hint="eastAsia"/>
          <w:color w:val="auto"/>
        </w:rPr>
        <w:t>。</w:t>
      </w:r>
    </w:p>
    <w:p w14:paraId="2C2C7D10">
      <w:pPr>
        <w:ind w:firstLine="480"/>
        <w:rPr>
          <w:color w:val="auto"/>
        </w:rPr>
      </w:pPr>
      <w:r>
        <w:rPr>
          <w:rFonts w:hint="eastAsia"/>
          <w:color w:val="auto"/>
        </w:rPr>
        <w:t>拟建</w:t>
      </w:r>
      <w:r>
        <w:rPr>
          <w:color w:val="auto"/>
        </w:rPr>
        <w:t>长江的环境质量现状数据引用</w:t>
      </w:r>
      <w:r>
        <w:rPr>
          <w:rFonts w:hint="eastAsia"/>
          <w:color w:val="auto"/>
        </w:rPr>
        <w:t>《南通</w:t>
      </w:r>
      <w:r>
        <w:rPr>
          <w:color w:val="auto"/>
        </w:rPr>
        <w:t>润启环保服务有限公司</w:t>
      </w:r>
      <w:bookmarkStart w:id="185" w:name="OLE_LINK96"/>
      <w:bookmarkStart w:id="186" w:name="OLE_LINK97"/>
      <w:r>
        <w:rPr>
          <w:color w:val="auto"/>
        </w:rPr>
        <w:t>25000吨/年危废焚烧处置项目</w:t>
      </w:r>
      <w:bookmarkEnd w:id="185"/>
      <w:bookmarkEnd w:id="186"/>
      <w:r>
        <w:rPr>
          <w:color w:val="auto"/>
        </w:rPr>
        <w:t>环境影响后评价报告书</w:t>
      </w:r>
      <w:r>
        <w:rPr>
          <w:rFonts w:hint="eastAsia"/>
          <w:color w:val="auto"/>
        </w:rPr>
        <w:t>》中监测数据，由南京苏鄂环保科技有限公司实测，监测时间为2025年7月14日至16日。</w:t>
      </w:r>
    </w:p>
    <w:p w14:paraId="5CA813B0">
      <w:pPr>
        <w:ind w:firstLine="482"/>
        <w:jc w:val="center"/>
        <w:rPr>
          <w:b/>
          <w:bCs/>
          <w:color w:val="auto"/>
        </w:rPr>
      </w:pPr>
      <w:r>
        <w:rPr>
          <w:rFonts w:hint="eastAsia"/>
          <w:b/>
          <w:bCs/>
          <w:color w:val="auto"/>
        </w:rPr>
        <w:t>表5.2.2-1 地表水水质监测断面一览表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311"/>
        <w:gridCol w:w="1804"/>
        <w:gridCol w:w="982"/>
        <w:gridCol w:w="2458"/>
        <w:gridCol w:w="2024"/>
      </w:tblGrid>
      <w:tr w14:paraId="527E3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44CA3417">
            <w:pPr>
              <w:spacing w:line="240" w:lineRule="auto"/>
              <w:ind w:firstLine="0" w:firstLineChars="0"/>
              <w:jc w:val="center"/>
              <w:rPr>
                <w:b/>
                <w:bCs/>
                <w:color w:val="auto"/>
                <w:sz w:val="21"/>
                <w:szCs w:val="21"/>
              </w:rPr>
            </w:pPr>
            <w:r>
              <w:rPr>
                <w:b/>
                <w:bCs/>
                <w:color w:val="auto"/>
                <w:sz w:val="21"/>
                <w:szCs w:val="21"/>
              </w:rPr>
              <w:t>断面编号</w:t>
            </w:r>
          </w:p>
        </w:tc>
        <w:tc>
          <w:tcPr>
            <w:tcW w:w="665" w:type="pct"/>
            <w:vAlign w:val="center"/>
          </w:tcPr>
          <w:p w14:paraId="1BEC4E29">
            <w:pPr>
              <w:spacing w:line="240" w:lineRule="auto"/>
              <w:ind w:firstLine="0" w:firstLineChars="0"/>
              <w:jc w:val="center"/>
              <w:rPr>
                <w:b/>
                <w:bCs/>
                <w:color w:val="auto"/>
                <w:sz w:val="21"/>
                <w:szCs w:val="21"/>
              </w:rPr>
            </w:pPr>
            <w:r>
              <w:rPr>
                <w:b/>
                <w:bCs/>
                <w:color w:val="auto"/>
                <w:sz w:val="21"/>
                <w:szCs w:val="21"/>
              </w:rPr>
              <w:t>河流名称</w:t>
            </w:r>
          </w:p>
        </w:tc>
        <w:tc>
          <w:tcPr>
            <w:tcW w:w="915" w:type="pct"/>
            <w:vAlign w:val="center"/>
          </w:tcPr>
          <w:p w14:paraId="0722A57C">
            <w:pPr>
              <w:spacing w:line="240" w:lineRule="auto"/>
              <w:ind w:firstLine="0" w:firstLineChars="0"/>
              <w:jc w:val="center"/>
              <w:rPr>
                <w:b/>
                <w:bCs/>
                <w:color w:val="auto"/>
                <w:sz w:val="21"/>
                <w:szCs w:val="21"/>
              </w:rPr>
            </w:pPr>
            <w:r>
              <w:rPr>
                <w:b/>
                <w:bCs/>
                <w:color w:val="auto"/>
                <w:sz w:val="21"/>
                <w:szCs w:val="21"/>
              </w:rPr>
              <w:t>断面位置</w:t>
            </w:r>
          </w:p>
        </w:tc>
        <w:tc>
          <w:tcPr>
            <w:tcW w:w="498" w:type="pct"/>
            <w:vAlign w:val="center"/>
          </w:tcPr>
          <w:p w14:paraId="61A4AA06">
            <w:pPr>
              <w:spacing w:line="240" w:lineRule="auto"/>
              <w:ind w:firstLine="0" w:firstLineChars="0"/>
              <w:jc w:val="center"/>
              <w:rPr>
                <w:b/>
                <w:bCs/>
                <w:color w:val="auto"/>
                <w:sz w:val="21"/>
                <w:szCs w:val="21"/>
              </w:rPr>
            </w:pPr>
            <w:r>
              <w:rPr>
                <w:b/>
                <w:bCs/>
                <w:color w:val="auto"/>
                <w:sz w:val="21"/>
                <w:szCs w:val="21"/>
              </w:rPr>
              <w:t>备注</w:t>
            </w:r>
          </w:p>
        </w:tc>
        <w:tc>
          <w:tcPr>
            <w:tcW w:w="1247" w:type="pct"/>
            <w:vAlign w:val="center"/>
          </w:tcPr>
          <w:p w14:paraId="390F4DDD">
            <w:pPr>
              <w:spacing w:line="240" w:lineRule="auto"/>
              <w:ind w:firstLine="0" w:firstLineChars="0"/>
              <w:jc w:val="center"/>
              <w:rPr>
                <w:b/>
                <w:bCs/>
                <w:color w:val="auto"/>
                <w:sz w:val="21"/>
                <w:szCs w:val="21"/>
              </w:rPr>
            </w:pPr>
            <w:r>
              <w:rPr>
                <w:b/>
                <w:bCs/>
                <w:color w:val="auto"/>
                <w:sz w:val="21"/>
                <w:szCs w:val="21"/>
              </w:rPr>
              <w:t>监测因子</w:t>
            </w:r>
          </w:p>
        </w:tc>
        <w:tc>
          <w:tcPr>
            <w:tcW w:w="1027" w:type="pct"/>
            <w:vAlign w:val="center"/>
          </w:tcPr>
          <w:p w14:paraId="71E91D66">
            <w:pPr>
              <w:spacing w:line="240" w:lineRule="auto"/>
              <w:ind w:firstLine="0" w:firstLineChars="0"/>
              <w:jc w:val="center"/>
              <w:rPr>
                <w:b/>
                <w:bCs/>
                <w:color w:val="auto"/>
                <w:sz w:val="21"/>
                <w:szCs w:val="21"/>
              </w:rPr>
            </w:pPr>
            <w:r>
              <w:rPr>
                <w:b/>
                <w:bCs/>
                <w:color w:val="auto"/>
                <w:sz w:val="21"/>
                <w:szCs w:val="21"/>
              </w:rPr>
              <w:t>监测频次</w:t>
            </w:r>
          </w:p>
        </w:tc>
      </w:tr>
      <w:tr w14:paraId="28427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0A0D8B76">
            <w:pPr>
              <w:spacing w:line="240" w:lineRule="auto"/>
              <w:ind w:firstLine="0" w:firstLineChars="0"/>
              <w:jc w:val="center"/>
              <w:rPr>
                <w:color w:val="auto"/>
                <w:sz w:val="21"/>
                <w:szCs w:val="21"/>
              </w:rPr>
            </w:pPr>
            <w:r>
              <w:rPr>
                <w:color w:val="auto"/>
                <w:sz w:val="21"/>
                <w:szCs w:val="21"/>
              </w:rPr>
              <w:t>W1</w:t>
            </w:r>
          </w:p>
        </w:tc>
        <w:tc>
          <w:tcPr>
            <w:tcW w:w="665" w:type="pct"/>
            <w:vAlign w:val="center"/>
          </w:tcPr>
          <w:p w14:paraId="7D5872D4">
            <w:pPr>
              <w:spacing w:line="240" w:lineRule="auto"/>
              <w:ind w:firstLine="0" w:firstLineChars="0"/>
              <w:jc w:val="center"/>
              <w:rPr>
                <w:color w:val="auto"/>
                <w:sz w:val="21"/>
                <w:szCs w:val="21"/>
              </w:rPr>
            </w:pPr>
            <w:r>
              <w:rPr>
                <w:color w:val="auto"/>
                <w:sz w:val="21"/>
                <w:szCs w:val="21"/>
              </w:rPr>
              <w:t>长江</w:t>
            </w:r>
          </w:p>
        </w:tc>
        <w:tc>
          <w:tcPr>
            <w:tcW w:w="915" w:type="pct"/>
            <w:vAlign w:val="center"/>
          </w:tcPr>
          <w:p w14:paraId="5A617A96">
            <w:pPr>
              <w:spacing w:line="240" w:lineRule="auto"/>
              <w:ind w:firstLine="0" w:firstLineChars="0"/>
              <w:jc w:val="center"/>
              <w:rPr>
                <w:color w:val="auto"/>
                <w:sz w:val="21"/>
                <w:szCs w:val="21"/>
              </w:rPr>
            </w:pPr>
            <w:r>
              <w:rPr>
                <w:color w:val="auto"/>
                <w:sz w:val="21"/>
                <w:szCs w:val="21"/>
              </w:rPr>
              <w:t>污水厂排口下游3000m</w:t>
            </w:r>
          </w:p>
        </w:tc>
        <w:tc>
          <w:tcPr>
            <w:tcW w:w="498" w:type="pct"/>
            <w:vAlign w:val="center"/>
          </w:tcPr>
          <w:p w14:paraId="4DE70DE9">
            <w:pPr>
              <w:spacing w:line="240" w:lineRule="auto"/>
              <w:ind w:firstLine="0" w:firstLineChars="0"/>
              <w:jc w:val="center"/>
              <w:rPr>
                <w:color w:val="auto"/>
                <w:sz w:val="21"/>
                <w:szCs w:val="21"/>
              </w:rPr>
            </w:pPr>
            <w:r>
              <w:rPr>
                <w:color w:val="auto"/>
                <w:sz w:val="21"/>
                <w:szCs w:val="21"/>
              </w:rPr>
              <w:t>引用</w:t>
            </w:r>
          </w:p>
        </w:tc>
        <w:tc>
          <w:tcPr>
            <w:tcW w:w="1247" w:type="pct"/>
            <w:vAlign w:val="center"/>
          </w:tcPr>
          <w:p w14:paraId="123FCE94">
            <w:pPr>
              <w:spacing w:line="240" w:lineRule="auto"/>
              <w:ind w:firstLine="0" w:firstLineChars="0"/>
              <w:jc w:val="center"/>
              <w:rPr>
                <w:color w:val="auto"/>
                <w:sz w:val="21"/>
                <w:szCs w:val="21"/>
              </w:rPr>
            </w:pPr>
            <w:r>
              <w:rPr>
                <w:rFonts w:hint="eastAsia"/>
                <w:color w:val="auto"/>
                <w:sz w:val="21"/>
                <w:szCs w:val="21"/>
              </w:rPr>
              <w:t>水温、</w:t>
            </w:r>
            <w:r>
              <w:rPr>
                <w:color w:val="auto"/>
                <w:sz w:val="21"/>
                <w:szCs w:val="21"/>
              </w:rPr>
              <w:t>pH、COD、BOD</w:t>
            </w:r>
            <w:r>
              <w:rPr>
                <w:color w:val="auto"/>
                <w:sz w:val="21"/>
                <w:szCs w:val="21"/>
                <w:vertAlign w:val="subscript"/>
              </w:rPr>
              <w:t>5</w:t>
            </w:r>
            <w:r>
              <w:rPr>
                <w:color w:val="auto"/>
                <w:sz w:val="21"/>
                <w:szCs w:val="21"/>
              </w:rPr>
              <w:t>、氨氮、总磷、石油类</w:t>
            </w:r>
          </w:p>
        </w:tc>
        <w:tc>
          <w:tcPr>
            <w:tcW w:w="1027" w:type="pct"/>
            <w:vAlign w:val="center"/>
          </w:tcPr>
          <w:p w14:paraId="7A3FCEAB">
            <w:pPr>
              <w:spacing w:line="240" w:lineRule="auto"/>
              <w:ind w:firstLine="0" w:firstLineChars="0"/>
              <w:jc w:val="center"/>
              <w:rPr>
                <w:color w:val="auto"/>
                <w:sz w:val="21"/>
                <w:szCs w:val="21"/>
              </w:rPr>
            </w:pPr>
            <w:r>
              <w:rPr>
                <w:color w:val="auto"/>
                <w:sz w:val="21"/>
                <w:szCs w:val="21"/>
              </w:rPr>
              <w:t>连续3天，每天上下午各1次</w:t>
            </w:r>
          </w:p>
        </w:tc>
      </w:tr>
    </w:tbl>
    <w:p w14:paraId="46177984">
      <w:pPr>
        <w:pStyle w:val="5"/>
        <w:spacing w:before="156"/>
        <w:rPr>
          <w:color w:val="auto"/>
        </w:rPr>
      </w:pPr>
      <w:r>
        <w:rPr>
          <w:rFonts w:hint="eastAsia"/>
          <w:color w:val="auto"/>
        </w:rPr>
        <w:t>5.2.2.2监测因子及频次</w:t>
      </w:r>
    </w:p>
    <w:p w14:paraId="15827242">
      <w:pPr>
        <w:ind w:firstLine="480"/>
        <w:rPr>
          <w:color w:val="auto"/>
        </w:rPr>
      </w:pPr>
      <w:r>
        <w:rPr>
          <w:rFonts w:hint="eastAsia"/>
          <w:color w:val="auto"/>
        </w:rPr>
        <w:t>监测因子：水温、pH</w:t>
      </w:r>
      <w:r>
        <w:rPr>
          <w:color w:val="auto"/>
        </w:rPr>
        <w:t>、</w:t>
      </w:r>
      <w:r>
        <w:rPr>
          <w:rFonts w:hint="eastAsia"/>
          <w:color w:val="auto"/>
        </w:rPr>
        <w:t>COD、BOD</w:t>
      </w:r>
      <w:r>
        <w:rPr>
          <w:rFonts w:hint="eastAsia"/>
          <w:color w:val="auto"/>
          <w:vertAlign w:val="subscript"/>
        </w:rPr>
        <w:t>5</w:t>
      </w:r>
      <w:r>
        <w:rPr>
          <w:color w:val="auto"/>
        </w:rPr>
        <w:t>、氨氮、总磷、石油类</w:t>
      </w:r>
      <w:r>
        <w:rPr>
          <w:rFonts w:hint="eastAsia"/>
          <w:color w:val="auto"/>
        </w:rPr>
        <w:t>；</w:t>
      </w:r>
    </w:p>
    <w:p w14:paraId="22738631">
      <w:pPr>
        <w:ind w:firstLine="480"/>
        <w:rPr>
          <w:color w:val="auto"/>
        </w:rPr>
      </w:pPr>
      <w:r>
        <w:rPr>
          <w:rFonts w:hint="eastAsia"/>
          <w:color w:val="auto"/>
        </w:rPr>
        <w:t>监测频次：连续3</w:t>
      </w:r>
      <w:r>
        <w:rPr>
          <w:color w:val="auto"/>
        </w:rPr>
        <w:t>天，</w:t>
      </w:r>
      <w:r>
        <w:rPr>
          <w:rFonts w:hint="eastAsia"/>
          <w:color w:val="auto"/>
        </w:rPr>
        <w:t>每天上下午各1</w:t>
      </w:r>
      <w:r>
        <w:rPr>
          <w:color w:val="auto"/>
        </w:rPr>
        <w:t>次</w:t>
      </w:r>
      <w:r>
        <w:rPr>
          <w:rFonts w:hint="eastAsia"/>
          <w:color w:val="auto"/>
        </w:rPr>
        <w:t>。</w:t>
      </w:r>
    </w:p>
    <w:p w14:paraId="16B59D41">
      <w:pPr>
        <w:pStyle w:val="5"/>
        <w:spacing w:before="156"/>
        <w:rPr>
          <w:color w:val="auto"/>
        </w:rPr>
      </w:pPr>
      <w:r>
        <w:rPr>
          <w:rFonts w:hint="eastAsia"/>
          <w:color w:val="auto"/>
        </w:rPr>
        <w:t>5.2.2.3监测结果与评价</w:t>
      </w:r>
    </w:p>
    <w:p w14:paraId="3BCED5A7">
      <w:pPr>
        <w:ind w:firstLine="480"/>
        <w:rPr>
          <w:color w:val="auto"/>
        </w:rPr>
      </w:pPr>
      <w:r>
        <w:rPr>
          <w:color w:val="auto"/>
        </w:rPr>
        <w:t>(1)评价标准</w:t>
      </w:r>
    </w:p>
    <w:p w14:paraId="0B39AE41">
      <w:pPr>
        <w:ind w:firstLine="480"/>
        <w:rPr>
          <w:color w:val="auto"/>
        </w:rPr>
      </w:pPr>
      <w:r>
        <w:rPr>
          <w:rFonts w:hint="eastAsia"/>
          <w:color w:val="auto"/>
        </w:rPr>
        <w:t>拟建</w:t>
      </w:r>
      <w:r>
        <w:rPr>
          <w:color w:val="auto"/>
        </w:rPr>
        <w:t>污水经厂内处理达标后排入</w:t>
      </w:r>
      <w:r>
        <w:rPr>
          <w:bCs/>
          <w:color w:val="auto"/>
        </w:rPr>
        <w:t>联合环境水务(启东)有限公司</w:t>
      </w:r>
      <w:r>
        <w:rPr>
          <w:color w:val="auto"/>
        </w:rPr>
        <w:t>，经处理后排入长江。长江执行《地表水环境质量标准》(GB3838-2002)表1中的Ⅲ类标准。</w:t>
      </w:r>
    </w:p>
    <w:p w14:paraId="5C38A2B8">
      <w:pPr>
        <w:ind w:firstLine="480"/>
        <w:rPr>
          <w:color w:val="auto"/>
        </w:rPr>
      </w:pPr>
      <w:r>
        <w:rPr>
          <w:color w:val="auto"/>
        </w:rPr>
        <w:t>(2)评价方法</w:t>
      </w:r>
    </w:p>
    <w:p w14:paraId="40DC8FCC">
      <w:pPr>
        <w:ind w:firstLine="480"/>
        <w:rPr>
          <w:color w:val="auto"/>
        </w:rPr>
      </w:pPr>
      <w:r>
        <w:rPr>
          <w:color w:val="auto"/>
        </w:rPr>
        <w:t>采用单项水质参数评价模式，单因子污染指数计算公式为：</w:t>
      </w:r>
    </w:p>
    <w:p w14:paraId="655C848F">
      <w:pPr>
        <w:ind w:firstLine="480"/>
        <w:rPr>
          <w:color w:val="auto"/>
        </w:rPr>
      </w:pPr>
      <w:r>
        <w:rPr>
          <w:color w:val="auto"/>
        </w:rPr>
        <w:t>S</w:t>
      </w:r>
      <w:r>
        <w:rPr>
          <w:color w:val="auto"/>
          <w:vertAlign w:val="subscript"/>
        </w:rPr>
        <w:t>ij</w:t>
      </w:r>
      <w:r>
        <w:rPr>
          <w:color w:val="auto"/>
        </w:rPr>
        <w:t>=C</w:t>
      </w:r>
      <w:r>
        <w:rPr>
          <w:color w:val="auto"/>
          <w:vertAlign w:val="subscript"/>
        </w:rPr>
        <w:t>ij</w:t>
      </w:r>
      <w:r>
        <w:rPr>
          <w:color w:val="auto"/>
        </w:rPr>
        <w:t>/C</w:t>
      </w:r>
      <w:r>
        <w:rPr>
          <w:color w:val="auto"/>
          <w:vertAlign w:val="subscript"/>
        </w:rPr>
        <w:t>sj</w:t>
      </w:r>
    </w:p>
    <w:p w14:paraId="19803A43">
      <w:pPr>
        <w:ind w:firstLine="480"/>
        <w:rPr>
          <w:color w:val="auto"/>
        </w:rPr>
      </w:pPr>
      <w:r>
        <w:rPr>
          <w:color w:val="auto"/>
        </w:rPr>
        <w:t>式中  S</w:t>
      </w:r>
      <w:r>
        <w:rPr>
          <w:color w:val="auto"/>
          <w:vertAlign w:val="subscript"/>
        </w:rPr>
        <w:t>ij</w:t>
      </w:r>
      <w:r>
        <w:rPr>
          <w:color w:val="auto"/>
        </w:rPr>
        <w:t>:评价因子的水质指数，大于1表明该水质因子超标；</w:t>
      </w:r>
    </w:p>
    <w:p w14:paraId="21C5CA10">
      <w:pPr>
        <w:ind w:firstLine="480"/>
        <w:rPr>
          <w:color w:val="auto"/>
        </w:rPr>
      </w:pPr>
      <w:r>
        <w:rPr>
          <w:color w:val="auto"/>
        </w:rPr>
        <w:t xml:space="preserve">      C</w:t>
      </w:r>
      <w:r>
        <w:rPr>
          <w:color w:val="auto"/>
          <w:vertAlign w:val="subscript"/>
        </w:rPr>
        <w:t>ij</w:t>
      </w:r>
      <w:r>
        <w:rPr>
          <w:color w:val="auto"/>
        </w:rPr>
        <w:t>:评价因子在点的实测统计代表值，mg/L；</w:t>
      </w:r>
    </w:p>
    <w:p w14:paraId="129F68B9">
      <w:pPr>
        <w:ind w:firstLine="480"/>
        <w:rPr>
          <w:color w:val="auto"/>
        </w:rPr>
      </w:pPr>
      <w:r>
        <w:rPr>
          <w:color w:val="auto"/>
        </w:rPr>
        <w:t xml:space="preserve">      C</w:t>
      </w:r>
      <w:r>
        <w:rPr>
          <w:color w:val="auto"/>
          <w:vertAlign w:val="subscript"/>
        </w:rPr>
        <w:t>sj</w:t>
      </w:r>
      <w:r>
        <w:rPr>
          <w:color w:val="auto"/>
        </w:rPr>
        <w:t>:评价因子i 的水质评价标准限值，mg/L；</w:t>
      </w:r>
    </w:p>
    <w:p w14:paraId="60961E74">
      <w:pPr>
        <w:ind w:firstLine="480"/>
        <w:rPr>
          <w:color w:val="auto"/>
        </w:rPr>
      </w:pPr>
      <w:r>
        <w:rPr>
          <w:color w:val="auto"/>
        </w:rPr>
        <w:t>其中pH为：</w:t>
      </w:r>
    </w:p>
    <w:p w14:paraId="7DF7A1B6">
      <w:pPr>
        <w:spacing w:line="240" w:lineRule="auto"/>
        <w:ind w:firstLine="480"/>
        <w:rPr>
          <w:color w:val="auto"/>
        </w:rPr>
      </w:pPr>
      <w:r>
        <w:rPr>
          <w:color w:val="auto"/>
        </w:rPr>
        <w:drawing>
          <wp:inline distT="0" distB="0" distL="0" distR="0">
            <wp:extent cx="1243965" cy="457200"/>
            <wp:effectExtent l="0" t="0" r="0"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43965" cy="457200"/>
                    </a:xfrm>
                    <a:prstGeom prst="rect">
                      <a:avLst/>
                    </a:prstGeom>
                    <a:noFill/>
                    <a:ln>
                      <a:noFill/>
                    </a:ln>
                  </pic:spPr>
                </pic:pic>
              </a:graphicData>
            </a:graphic>
          </wp:inline>
        </w:drawing>
      </w:r>
      <w:r>
        <w:rPr>
          <w:color w:val="auto"/>
        </w:rPr>
        <w:t xml:space="preserve">    pH</w:t>
      </w:r>
      <w:r>
        <w:rPr>
          <w:color w:val="auto"/>
          <w:vertAlign w:val="subscript"/>
        </w:rPr>
        <w:t>j</w:t>
      </w:r>
      <w:r>
        <w:rPr>
          <w:color w:val="auto"/>
        </w:rPr>
        <w:t>≤7.0</w:t>
      </w:r>
    </w:p>
    <w:p w14:paraId="54AADE55">
      <w:pPr>
        <w:spacing w:line="240" w:lineRule="auto"/>
        <w:ind w:firstLine="480"/>
        <w:rPr>
          <w:color w:val="auto"/>
        </w:rPr>
      </w:pPr>
      <w:r>
        <w:rPr>
          <w:color w:val="auto"/>
        </w:rPr>
        <w:drawing>
          <wp:inline distT="0" distB="0" distL="0" distR="0">
            <wp:extent cx="1212215" cy="457200"/>
            <wp:effectExtent l="0" t="0" r="6985" b="0"/>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12215" cy="457200"/>
                    </a:xfrm>
                    <a:prstGeom prst="rect">
                      <a:avLst/>
                    </a:prstGeom>
                    <a:noFill/>
                    <a:ln>
                      <a:noFill/>
                    </a:ln>
                  </pic:spPr>
                </pic:pic>
              </a:graphicData>
            </a:graphic>
          </wp:inline>
        </w:drawing>
      </w:r>
      <w:r>
        <w:rPr>
          <w:color w:val="auto"/>
        </w:rPr>
        <w:t xml:space="preserve">    pH</w:t>
      </w:r>
      <w:r>
        <w:rPr>
          <w:color w:val="auto"/>
          <w:vertAlign w:val="subscript"/>
        </w:rPr>
        <w:t>j</w:t>
      </w:r>
      <w:r>
        <w:rPr>
          <w:color w:val="auto"/>
        </w:rPr>
        <w:t>&gt;7.0</w:t>
      </w:r>
    </w:p>
    <w:p w14:paraId="7BD382F7">
      <w:pPr>
        <w:ind w:firstLine="480"/>
        <w:rPr>
          <w:color w:val="auto"/>
        </w:rPr>
      </w:pPr>
      <w:r>
        <w:rPr>
          <w:color w:val="auto"/>
        </w:rPr>
        <w:t>式中：</w:t>
      </w:r>
    </w:p>
    <w:p w14:paraId="26A9046A">
      <w:pPr>
        <w:ind w:firstLine="480"/>
        <w:rPr>
          <w:color w:val="auto"/>
        </w:rPr>
      </w:pPr>
      <w:r>
        <w:rPr>
          <w:color w:val="auto"/>
        </w:rPr>
        <w:t xml:space="preserve">       S</w:t>
      </w:r>
      <w:r>
        <w:rPr>
          <w:color w:val="auto"/>
          <w:vertAlign w:val="subscript"/>
        </w:rPr>
        <w:t xml:space="preserve"> pH,j</w:t>
      </w:r>
      <w:r>
        <w:rPr>
          <w:color w:val="auto"/>
        </w:rPr>
        <w:t>:：pH值的指数，大于1表明该水质因子超标；</w:t>
      </w:r>
    </w:p>
    <w:p w14:paraId="2BBBBEA8">
      <w:pPr>
        <w:ind w:firstLine="1440" w:firstLineChars="600"/>
        <w:rPr>
          <w:color w:val="auto"/>
        </w:rPr>
      </w:pPr>
      <w:r>
        <w:rPr>
          <w:color w:val="auto"/>
        </w:rPr>
        <w:t>pH</w:t>
      </w:r>
      <w:r>
        <w:rPr>
          <w:color w:val="auto"/>
          <w:vertAlign w:val="subscript"/>
        </w:rPr>
        <w:t>j</w:t>
      </w:r>
      <w:r>
        <w:rPr>
          <w:color w:val="auto"/>
        </w:rPr>
        <w:t>：pH值实测统计代表值；</w:t>
      </w:r>
    </w:p>
    <w:p w14:paraId="5492C87E">
      <w:pPr>
        <w:ind w:firstLine="480"/>
        <w:rPr>
          <w:color w:val="auto"/>
        </w:rPr>
      </w:pPr>
      <w:r>
        <w:rPr>
          <w:color w:val="auto"/>
        </w:rPr>
        <w:t xml:space="preserve">        pH</w:t>
      </w:r>
      <w:r>
        <w:rPr>
          <w:color w:val="auto"/>
          <w:vertAlign w:val="subscript"/>
        </w:rPr>
        <w:t>sd</w:t>
      </w:r>
      <w:r>
        <w:rPr>
          <w:color w:val="auto"/>
        </w:rPr>
        <w:t>：评价标准中值的下限值；</w:t>
      </w:r>
    </w:p>
    <w:p w14:paraId="1B20233D">
      <w:pPr>
        <w:ind w:firstLine="480"/>
        <w:rPr>
          <w:color w:val="auto"/>
        </w:rPr>
      </w:pPr>
      <w:r>
        <w:rPr>
          <w:color w:val="auto"/>
        </w:rPr>
        <w:t xml:space="preserve">        pH</w:t>
      </w:r>
      <w:r>
        <w:rPr>
          <w:color w:val="auto"/>
          <w:vertAlign w:val="subscript"/>
        </w:rPr>
        <w:t>su</w:t>
      </w:r>
      <w:r>
        <w:rPr>
          <w:color w:val="auto"/>
        </w:rPr>
        <w:t>：评价标准中值的上限值。</w:t>
      </w:r>
    </w:p>
    <w:p w14:paraId="706E436A">
      <w:pPr>
        <w:ind w:firstLine="480"/>
        <w:rPr>
          <w:color w:val="auto"/>
        </w:rPr>
      </w:pPr>
      <w:r>
        <w:rPr>
          <w:color w:val="auto"/>
        </w:rPr>
        <w:t>(3)评价结果</w:t>
      </w:r>
    </w:p>
    <w:p w14:paraId="7E8CFE31">
      <w:pPr>
        <w:ind w:firstLine="480"/>
        <w:rPr>
          <w:color w:val="auto"/>
        </w:rPr>
      </w:pPr>
      <w:r>
        <w:rPr>
          <w:color w:val="auto"/>
        </w:rPr>
        <w:t>本次水质现状监测结果</w:t>
      </w:r>
      <w:r>
        <w:rPr>
          <w:rFonts w:hint="eastAsia"/>
          <w:color w:val="auto"/>
        </w:rPr>
        <w:t>见下表</w:t>
      </w:r>
      <w:r>
        <w:rPr>
          <w:color w:val="auto"/>
        </w:rPr>
        <w:t>。</w:t>
      </w:r>
    </w:p>
    <w:p w14:paraId="19C3D5E0">
      <w:pPr>
        <w:ind w:firstLine="482"/>
        <w:jc w:val="center"/>
        <w:rPr>
          <w:b/>
          <w:bCs/>
          <w:color w:val="auto"/>
        </w:rPr>
      </w:pPr>
      <w:r>
        <w:rPr>
          <w:rFonts w:hint="eastAsia"/>
          <w:b/>
          <w:bCs/>
          <w:color w:val="auto"/>
        </w:rPr>
        <w:t>表5.2.2-2 地表水环境质量现状监测结果表（mg/L，pH无量纲）</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818"/>
        <w:gridCol w:w="1151"/>
        <w:gridCol w:w="1212"/>
        <w:gridCol w:w="983"/>
        <w:gridCol w:w="983"/>
        <w:gridCol w:w="1021"/>
        <w:gridCol w:w="983"/>
        <w:gridCol w:w="978"/>
        <w:gridCol w:w="941"/>
      </w:tblGrid>
      <w:tr w14:paraId="12DA5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Align w:val="center"/>
          </w:tcPr>
          <w:p w14:paraId="4007473B">
            <w:pPr>
              <w:spacing w:line="240" w:lineRule="auto"/>
              <w:ind w:firstLine="0" w:firstLineChars="0"/>
              <w:jc w:val="center"/>
              <w:rPr>
                <w:b/>
                <w:bCs/>
                <w:color w:val="auto"/>
                <w:sz w:val="21"/>
                <w:szCs w:val="21"/>
              </w:rPr>
            </w:pPr>
            <w:r>
              <w:rPr>
                <w:b/>
                <w:bCs/>
                <w:color w:val="auto"/>
                <w:sz w:val="21"/>
                <w:szCs w:val="21"/>
              </w:rPr>
              <w:t>河流</w:t>
            </w:r>
          </w:p>
        </w:tc>
        <w:tc>
          <w:tcPr>
            <w:tcW w:w="415" w:type="pct"/>
            <w:vAlign w:val="center"/>
          </w:tcPr>
          <w:p w14:paraId="0F9E22EA">
            <w:pPr>
              <w:spacing w:line="240" w:lineRule="auto"/>
              <w:ind w:firstLine="0" w:firstLineChars="0"/>
              <w:jc w:val="center"/>
              <w:rPr>
                <w:b/>
                <w:bCs/>
                <w:color w:val="auto"/>
                <w:sz w:val="21"/>
                <w:szCs w:val="21"/>
              </w:rPr>
            </w:pPr>
            <w:r>
              <w:rPr>
                <w:b/>
                <w:bCs/>
                <w:color w:val="auto"/>
                <w:sz w:val="21"/>
                <w:szCs w:val="21"/>
              </w:rPr>
              <w:t>断面</w:t>
            </w:r>
          </w:p>
        </w:tc>
        <w:tc>
          <w:tcPr>
            <w:tcW w:w="583" w:type="pct"/>
            <w:vAlign w:val="center"/>
          </w:tcPr>
          <w:p w14:paraId="513AEC67">
            <w:pPr>
              <w:spacing w:line="240" w:lineRule="auto"/>
              <w:ind w:firstLine="0" w:firstLineChars="0"/>
              <w:jc w:val="center"/>
              <w:rPr>
                <w:b/>
                <w:bCs/>
                <w:color w:val="auto"/>
                <w:sz w:val="21"/>
                <w:szCs w:val="21"/>
              </w:rPr>
            </w:pPr>
            <w:r>
              <w:rPr>
                <w:b/>
                <w:bCs/>
                <w:color w:val="auto"/>
                <w:sz w:val="21"/>
                <w:szCs w:val="21"/>
              </w:rPr>
              <w:t>项目</w:t>
            </w:r>
          </w:p>
        </w:tc>
        <w:tc>
          <w:tcPr>
            <w:tcW w:w="615" w:type="pct"/>
            <w:vAlign w:val="center"/>
          </w:tcPr>
          <w:p w14:paraId="5C711328">
            <w:pPr>
              <w:spacing w:line="240" w:lineRule="auto"/>
              <w:ind w:firstLine="0" w:firstLineChars="0"/>
              <w:jc w:val="center"/>
              <w:rPr>
                <w:b/>
                <w:bCs/>
                <w:color w:val="auto"/>
                <w:sz w:val="21"/>
                <w:szCs w:val="21"/>
              </w:rPr>
            </w:pPr>
            <w:r>
              <w:rPr>
                <w:b/>
                <w:bCs/>
                <w:color w:val="auto"/>
                <w:sz w:val="21"/>
                <w:szCs w:val="21"/>
              </w:rPr>
              <w:t>水温</w:t>
            </w:r>
          </w:p>
        </w:tc>
        <w:tc>
          <w:tcPr>
            <w:tcW w:w="499" w:type="pct"/>
            <w:vAlign w:val="center"/>
          </w:tcPr>
          <w:p w14:paraId="1EFCF92F">
            <w:pPr>
              <w:spacing w:line="240" w:lineRule="auto"/>
              <w:ind w:firstLine="0" w:firstLineChars="0"/>
              <w:jc w:val="center"/>
              <w:rPr>
                <w:b/>
                <w:bCs/>
                <w:color w:val="auto"/>
                <w:sz w:val="21"/>
                <w:szCs w:val="21"/>
              </w:rPr>
            </w:pPr>
            <w:r>
              <w:rPr>
                <w:b/>
                <w:bCs/>
                <w:color w:val="auto"/>
                <w:sz w:val="21"/>
                <w:szCs w:val="21"/>
              </w:rPr>
              <w:t>pH</w:t>
            </w:r>
          </w:p>
        </w:tc>
        <w:tc>
          <w:tcPr>
            <w:tcW w:w="499" w:type="pct"/>
            <w:vAlign w:val="center"/>
          </w:tcPr>
          <w:p w14:paraId="5D178DAA">
            <w:pPr>
              <w:spacing w:line="240" w:lineRule="auto"/>
              <w:ind w:firstLine="0" w:firstLineChars="0"/>
              <w:jc w:val="center"/>
              <w:rPr>
                <w:b/>
                <w:bCs/>
                <w:color w:val="auto"/>
                <w:sz w:val="21"/>
                <w:szCs w:val="21"/>
              </w:rPr>
            </w:pPr>
            <w:r>
              <w:rPr>
                <w:b/>
                <w:bCs/>
                <w:color w:val="auto"/>
                <w:sz w:val="21"/>
                <w:szCs w:val="21"/>
              </w:rPr>
              <w:t>COD</w:t>
            </w:r>
          </w:p>
        </w:tc>
        <w:tc>
          <w:tcPr>
            <w:tcW w:w="518" w:type="pct"/>
            <w:vAlign w:val="center"/>
          </w:tcPr>
          <w:p w14:paraId="77A3F3E3">
            <w:pPr>
              <w:spacing w:line="240" w:lineRule="auto"/>
              <w:ind w:firstLine="0" w:firstLineChars="0"/>
              <w:jc w:val="center"/>
              <w:rPr>
                <w:b/>
                <w:bCs/>
                <w:color w:val="auto"/>
                <w:sz w:val="21"/>
                <w:szCs w:val="21"/>
              </w:rPr>
            </w:pPr>
            <w:r>
              <w:rPr>
                <w:b/>
                <w:bCs/>
                <w:color w:val="auto"/>
                <w:sz w:val="21"/>
                <w:szCs w:val="21"/>
              </w:rPr>
              <w:t>BOD</w:t>
            </w:r>
            <w:r>
              <w:rPr>
                <w:b/>
                <w:bCs/>
                <w:color w:val="auto"/>
                <w:sz w:val="21"/>
                <w:szCs w:val="21"/>
                <w:vertAlign w:val="subscript"/>
              </w:rPr>
              <w:t>5</w:t>
            </w:r>
          </w:p>
        </w:tc>
        <w:tc>
          <w:tcPr>
            <w:tcW w:w="499" w:type="pct"/>
            <w:vAlign w:val="center"/>
          </w:tcPr>
          <w:p w14:paraId="117CD05B">
            <w:pPr>
              <w:spacing w:line="240" w:lineRule="auto"/>
              <w:ind w:firstLine="0" w:firstLineChars="0"/>
              <w:jc w:val="center"/>
              <w:rPr>
                <w:b/>
                <w:bCs/>
                <w:color w:val="auto"/>
                <w:sz w:val="21"/>
                <w:szCs w:val="21"/>
              </w:rPr>
            </w:pPr>
            <w:r>
              <w:rPr>
                <w:b/>
                <w:bCs/>
                <w:color w:val="auto"/>
                <w:sz w:val="21"/>
                <w:szCs w:val="21"/>
              </w:rPr>
              <w:t>氨氮</w:t>
            </w:r>
          </w:p>
        </w:tc>
        <w:tc>
          <w:tcPr>
            <w:tcW w:w="496" w:type="pct"/>
            <w:vAlign w:val="center"/>
          </w:tcPr>
          <w:p w14:paraId="4A5A8EDD">
            <w:pPr>
              <w:spacing w:line="240" w:lineRule="auto"/>
              <w:ind w:firstLine="0" w:firstLineChars="0"/>
              <w:jc w:val="center"/>
              <w:rPr>
                <w:b/>
                <w:bCs/>
                <w:color w:val="auto"/>
                <w:sz w:val="21"/>
                <w:szCs w:val="21"/>
              </w:rPr>
            </w:pPr>
            <w:r>
              <w:rPr>
                <w:b/>
                <w:bCs/>
                <w:color w:val="auto"/>
                <w:sz w:val="21"/>
                <w:szCs w:val="21"/>
              </w:rPr>
              <w:t>总磷</w:t>
            </w:r>
          </w:p>
        </w:tc>
        <w:tc>
          <w:tcPr>
            <w:tcW w:w="478" w:type="pct"/>
            <w:vAlign w:val="center"/>
          </w:tcPr>
          <w:p w14:paraId="2B96CC96">
            <w:pPr>
              <w:spacing w:line="240" w:lineRule="auto"/>
              <w:ind w:firstLine="0" w:firstLineChars="0"/>
              <w:jc w:val="center"/>
              <w:rPr>
                <w:b/>
                <w:bCs/>
                <w:color w:val="auto"/>
                <w:sz w:val="21"/>
                <w:szCs w:val="21"/>
              </w:rPr>
            </w:pPr>
            <w:r>
              <w:rPr>
                <w:b/>
                <w:bCs/>
                <w:color w:val="auto"/>
                <w:sz w:val="21"/>
                <w:szCs w:val="21"/>
              </w:rPr>
              <w:t>石油类</w:t>
            </w:r>
          </w:p>
        </w:tc>
      </w:tr>
      <w:tr w14:paraId="4CC4D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14:paraId="2C15B4A8">
            <w:pPr>
              <w:spacing w:line="240" w:lineRule="auto"/>
              <w:ind w:firstLine="0" w:firstLineChars="0"/>
              <w:jc w:val="center"/>
              <w:rPr>
                <w:color w:val="auto"/>
                <w:sz w:val="21"/>
                <w:szCs w:val="21"/>
              </w:rPr>
            </w:pPr>
            <w:r>
              <w:rPr>
                <w:color w:val="auto"/>
                <w:sz w:val="21"/>
                <w:szCs w:val="21"/>
              </w:rPr>
              <w:t>长江</w:t>
            </w:r>
          </w:p>
        </w:tc>
        <w:tc>
          <w:tcPr>
            <w:tcW w:w="415" w:type="pct"/>
            <w:vMerge w:val="restart"/>
            <w:vAlign w:val="center"/>
          </w:tcPr>
          <w:p w14:paraId="6ED76243">
            <w:pPr>
              <w:spacing w:line="240" w:lineRule="auto"/>
              <w:ind w:firstLine="0" w:firstLineChars="0"/>
              <w:jc w:val="center"/>
              <w:rPr>
                <w:color w:val="auto"/>
                <w:sz w:val="21"/>
                <w:szCs w:val="21"/>
              </w:rPr>
            </w:pPr>
            <w:r>
              <w:rPr>
                <w:color w:val="auto"/>
                <w:sz w:val="21"/>
                <w:szCs w:val="21"/>
              </w:rPr>
              <w:t>W1</w:t>
            </w:r>
          </w:p>
        </w:tc>
        <w:tc>
          <w:tcPr>
            <w:tcW w:w="583" w:type="pct"/>
            <w:vAlign w:val="center"/>
          </w:tcPr>
          <w:p w14:paraId="46AE4438">
            <w:pPr>
              <w:spacing w:line="240" w:lineRule="auto"/>
              <w:ind w:firstLine="0" w:firstLineChars="0"/>
              <w:jc w:val="center"/>
              <w:rPr>
                <w:color w:val="auto"/>
                <w:sz w:val="21"/>
                <w:szCs w:val="21"/>
              </w:rPr>
            </w:pPr>
            <w:r>
              <w:rPr>
                <w:color w:val="auto"/>
                <w:sz w:val="21"/>
                <w:szCs w:val="21"/>
              </w:rPr>
              <w:t>最小值</w:t>
            </w:r>
          </w:p>
        </w:tc>
        <w:tc>
          <w:tcPr>
            <w:tcW w:w="615" w:type="pct"/>
            <w:vAlign w:val="center"/>
          </w:tcPr>
          <w:p w14:paraId="7B12A283">
            <w:pPr>
              <w:spacing w:line="240" w:lineRule="auto"/>
              <w:ind w:firstLine="0" w:firstLineChars="0"/>
              <w:jc w:val="center"/>
              <w:rPr>
                <w:color w:val="auto"/>
                <w:sz w:val="21"/>
                <w:szCs w:val="21"/>
              </w:rPr>
            </w:pPr>
            <w:r>
              <w:rPr>
                <w:rFonts w:hint="eastAsia"/>
                <w:color w:val="auto"/>
                <w:sz w:val="21"/>
                <w:szCs w:val="21"/>
              </w:rPr>
              <w:t>23.4</w:t>
            </w:r>
          </w:p>
        </w:tc>
        <w:tc>
          <w:tcPr>
            <w:tcW w:w="499" w:type="pct"/>
            <w:vAlign w:val="center"/>
          </w:tcPr>
          <w:p w14:paraId="18904FF9">
            <w:pPr>
              <w:spacing w:line="240" w:lineRule="auto"/>
              <w:ind w:firstLine="0" w:firstLineChars="0"/>
              <w:jc w:val="center"/>
              <w:rPr>
                <w:color w:val="auto"/>
                <w:sz w:val="21"/>
                <w:szCs w:val="21"/>
              </w:rPr>
            </w:pPr>
            <w:r>
              <w:rPr>
                <w:rFonts w:hint="eastAsia"/>
                <w:color w:val="auto"/>
                <w:sz w:val="21"/>
                <w:szCs w:val="21"/>
              </w:rPr>
              <w:t>8</w:t>
            </w:r>
          </w:p>
        </w:tc>
        <w:tc>
          <w:tcPr>
            <w:tcW w:w="499" w:type="pct"/>
            <w:vAlign w:val="center"/>
          </w:tcPr>
          <w:p w14:paraId="2CAB3F09">
            <w:pPr>
              <w:spacing w:line="240" w:lineRule="auto"/>
              <w:ind w:firstLine="0" w:firstLineChars="0"/>
              <w:jc w:val="center"/>
              <w:rPr>
                <w:color w:val="auto"/>
                <w:sz w:val="21"/>
                <w:szCs w:val="21"/>
              </w:rPr>
            </w:pPr>
            <w:r>
              <w:rPr>
                <w:rFonts w:hint="eastAsia"/>
                <w:color w:val="auto"/>
                <w:sz w:val="21"/>
                <w:szCs w:val="21"/>
              </w:rPr>
              <w:t>15</w:t>
            </w:r>
          </w:p>
        </w:tc>
        <w:tc>
          <w:tcPr>
            <w:tcW w:w="518" w:type="pct"/>
            <w:vAlign w:val="center"/>
          </w:tcPr>
          <w:p w14:paraId="17631A4C">
            <w:pPr>
              <w:spacing w:line="240" w:lineRule="auto"/>
              <w:ind w:firstLine="0" w:firstLineChars="0"/>
              <w:jc w:val="center"/>
              <w:rPr>
                <w:color w:val="auto"/>
                <w:sz w:val="21"/>
                <w:szCs w:val="21"/>
              </w:rPr>
            </w:pPr>
            <w:r>
              <w:rPr>
                <w:rFonts w:hint="eastAsia"/>
                <w:color w:val="auto"/>
                <w:sz w:val="21"/>
                <w:szCs w:val="21"/>
              </w:rPr>
              <w:t>3</w:t>
            </w:r>
          </w:p>
        </w:tc>
        <w:tc>
          <w:tcPr>
            <w:tcW w:w="499" w:type="pct"/>
            <w:vAlign w:val="center"/>
          </w:tcPr>
          <w:p w14:paraId="6B37EE8F">
            <w:pPr>
              <w:spacing w:line="240" w:lineRule="auto"/>
              <w:ind w:firstLine="0" w:firstLineChars="0"/>
              <w:jc w:val="center"/>
              <w:rPr>
                <w:color w:val="auto"/>
                <w:sz w:val="21"/>
                <w:szCs w:val="21"/>
              </w:rPr>
            </w:pPr>
            <w:r>
              <w:rPr>
                <w:rFonts w:hint="eastAsia"/>
                <w:color w:val="auto"/>
                <w:sz w:val="21"/>
                <w:szCs w:val="21"/>
              </w:rPr>
              <w:t>0.202</w:t>
            </w:r>
          </w:p>
        </w:tc>
        <w:tc>
          <w:tcPr>
            <w:tcW w:w="496" w:type="pct"/>
            <w:vAlign w:val="center"/>
          </w:tcPr>
          <w:p w14:paraId="15136261">
            <w:pPr>
              <w:spacing w:line="240" w:lineRule="auto"/>
              <w:ind w:firstLine="0" w:firstLineChars="0"/>
              <w:jc w:val="center"/>
              <w:rPr>
                <w:color w:val="auto"/>
                <w:sz w:val="21"/>
                <w:szCs w:val="21"/>
              </w:rPr>
            </w:pPr>
            <w:r>
              <w:rPr>
                <w:rFonts w:hint="eastAsia"/>
                <w:color w:val="auto"/>
                <w:sz w:val="21"/>
                <w:szCs w:val="21"/>
              </w:rPr>
              <w:t>0.12</w:t>
            </w:r>
          </w:p>
        </w:tc>
        <w:tc>
          <w:tcPr>
            <w:tcW w:w="478" w:type="pct"/>
            <w:vAlign w:val="center"/>
          </w:tcPr>
          <w:p w14:paraId="1050812F">
            <w:pPr>
              <w:spacing w:line="240" w:lineRule="auto"/>
              <w:ind w:firstLine="0" w:firstLineChars="0"/>
              <w:jc w:val="center"/>
              <w:rPr>
                <w:color w:val="auto"/>
                <w:sz w:val="21"/>
                <w:szCs w:val="21"/>
              </w:rPr>
            </w:pPr>
            <w:r>
              <w:rPr>
                <w:rFonts w:hint="eastAsia"/>
                <w:color w:val="auto"/>
                <w:sz w:val="21"/>
                <w:szCs w:val="21"/>
              </w:rPr>
              <w:t>0.01</w:t>
            </w:r>
          </w:p>
        </w:tc>
      </w:tr>
      <w:tr w14:paraId="7D71D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14:paraId="1D73D4D0">
            <w:pPr>
              <w:spacing w:line="240" w:lineRule="auto"/>
              <w:ind w:firstLine="0" w:firstLineChars="0"/>
              <w:jc w:val="center"/>
              <w:rPr>
                <w:color w:val="auto"/>
                <w:sz w:val="21"/>
                <w:szCs w:val="21"/>
              </w:rPr>
            </w:pPr>
          </w:p>
        </w:tc>
        <w:tc>
          <w:tcPr>
            <w:tcW w:w="415" w:type="pct"/>
            <w:vMerge w:val="continue"/>
            <w:vAlign w:val="center"/>
          </w:tcPr>
          <w:p w14:paraId="3BE8750A">
            <w:pPr>
              <w:spacing w:line="240" w:lineRule="auto"/>
              <w:ind w:firstLine="0" w:firstLineChars="0"/>
              <w:jc w:val="center"/>
              <w:rPr>
                <w:color w:val="auto"/>
                <w:sz w:val="21"/>
                <w:szCs w:val="21"/>
              </w:rPr>
            </w:pPr>
          </w:p>
        </w:tc>
        <w:tc>
          <w:tcPr>
            <w:tcW w:w="583" w:type="pct"/>
            <w:vAlign w:val="center"/>
          </w:tcPr>
          <w:p w14:paraId="4A5E4334">
            <w:pPr>
              <w:spacing w:line="240" w:lineRule="auto"/>
              <w:ind w:firstLine="0" w:firstLineChars="0"/>
              <w:jc w:val="center"/>
              <w:rPr>
                <w:color w:val="auto"/>
                <w:sz w:val="21"/>
                <w:szCs w:val="21"/>
              </w:rPr>
            </w:pPr>
            <w:r>
              <w:rPr>
                <w:color w:val="auto"/>
                <w:sz w:val="21"/>
                <w:szCs w:val="21"/>
              </w:rPr>
              <w:t>最大值</w:t>
            </w:r>
          </w:p>
        </w:tc>
        <w:tc>
          <w:tcPr>
            <w:tcW w:w="615" w:type="pct"/>
            <w:vAlign w:val="center"/>
          </w:tcPr>
          <w:p w14:paraId="3B7EE065">
            <w:pPr>
              <w:spacing w:line="240" w:lineRule="auto"/>
              <w:ind w:firstLine="0" w:firstLineChars="0"/>
              <w:jc w:val="center"/>
              <w:rPr>
                <w:color w:val="auto"/>
                <w:sz w:val="21"/>
                <w:szCs w:val="21"/>
              </w:rPr>
            </w:pPr>
            <w:r>
              <w:rPr>
                <w:rFonts w:hint="eastAsia"/>
                <w:color w:val="auto"/>
                <w:sz w:val="21"/>
                <w:szCs w:val="21"/>
              </w:rPr>
              <w:t>25.1</w:t>
            </w:r>
          </w:p>
        </w:tc>
        <w:tc>
          <w:tcPr>
            <w:tcW w:w="499" w:type="pct"/>
            <w:vAlign w:val="center"/>
          </w:tcPr>
          <w:p w14:paraId="05E31247">
            <w:pPr>
              <w:spacing w:line="240" w:lineRule="auto"/>
              <w:ind w:firstLine="0" w:firstLineChars="0"/>
              <w:jc w:val="center"/>
              <w:rPr>
                <w:color w:val="auto"/>
                <w:sz w:val="21"/>
                <w:szCs w:val="21"/>
              </w:rPr>
            </w:pPr>
            <w:r>
              <w:rPr>
                <w:rFonts w:hint="eastAsia"/>
                <w:color w:val="auto"/>
                <w:sz w:val="21"/>
                <w:szCs w:val="21"/>
              </w:rPr>
              <w:t>8.2</w:t>
            </w:r>
          </w:p>
        </w:tc>
        <w:tc>
          <w:tcPr>
            <w:tcW w:w="499" w:type="pct"/>
            <w:vAlign w:val="center"/>
          </w:tcPr>
          <w:p w14:paraId="32A7CAF9">
            <w:pPr>
              <w:spacing w:line="240" w:lineRule="auto"/>
              <w:ind w:firstLine="0" w:firstLineChars="0"/>
              <w:jc w:val="center"/>
              <w:rPr>
                <w:color w:val="auto"/>
                <w:sz w:val="21"/>
                <w:szCs w:val="21"/>
              </w:rPr>
            </w:pPr>
            <w:r>
              <w:rPr>
                <w:rFonts w:hint="eastAsia"/>
                <w:color w:val="auto"/>
                <w:sz w:val="21"/>
                <w:szCs w:val="21"/>
              </w:rPr>
              <w:t>18</w:t>
            </w:r>
          </w:p>
        </w:tc>
        <w:tc>
          <w:tcPr>
            <w:tcW w:w="518" w:type="pct"/>
            <w:vAlign w:val="center"/>
          </w:tcPr>
          <w:p w14:paraId="41599379">
            <w:pPr>
              <w:spacing w:line="240" w:lineRule="auto"/>
              <w:ind w:firstLine="0" w:firstLineChars="0"/>
              <w:jc w:val="center"/>
              <w:rPr>
                <w:color w:val="auto"/>
                <w:sz w:val="21"/>
                <w:szCs w:val="21"/>
              </w:rPr>
            </w:pPr>
            <w:r>
              <w:rPr>
                <w:rFonts w:hint="eastAsia"/>
                <w:color w:val="auto"/>
                <w:sz w:val="21"/>
                <w:szCs w:val="21"/>
              </w:rPr>
              <w:t>3.9</w:t>
            </w:r>
          </w:p>
        </w:tc>
        <w:tc>
          <w:tcPr>
            <w:tcW w:w="499" w:type="pct"/>
            <w:vAlign w:val="center"/>
          </w:tcPr>
          <w:p w14:paraId="36E64F84">
            <w:pPr>
              <w:spacing w:line="240" w:lineRule="auto"/>
              <w:ind w:firstLine="0" w:firstLineChars="0"/>
              <w:jc w:val="center"/>
              <w:rPr>
                <w:color w:val="auto"/>
                <w:sz w:val="21"/>
                <w:szCs w:val="21"/>
              </w:rPr>
            </w:pPr>
            <w:r>
              <w:rPr>
                <w:rFonts w:hint="eastAsia"/>
                <w:color w:val="auto"/>
                <w:sz w:val="21"/>
                <w:szCs w:val="21"/>
              </w:rPr>
              <w:t>0.26</w:t>
            </w:r>
          </w:p>
        </w:tc>
        <w:tc>
          <w:tcPr>
            <w:tcW w:w="496" w:type="pct"/>
            <w:vAlign w:val="center"/>
          </w:tcPr>
          <w:p w14:paraId="032D9769">
            <w:pPr>
              <w:spacing w:line="240" w:lineRule="auto"/>
              <w:ind w:firstLine="0" w:firstLineChars="0"/>
              <w:jc w:val="center"/>
              <w:rPr>
                <w:color w:val="auto"/>
                <w:sz w:val="21"/>
                <w:szCs w:val="21"/>
              </w:rPr>
            </w:pPr>
            <w:r>
              <w:rPr>
                <w:rFonts w:hint="eastAsia"/>
                <w:color w:val="auto"/>
                <w:sz w:val="21"/>
                <w:szCs w:val="21"/>
              </w:rPr>
              <w:t>0.15</w:t>
            </w:r>
          </w:p>
        </w:tc>
        <w:tc>
          <w:tcPr>
            <w:tcW w:w="478" w:type="pct"/>
            <w:vAlign w:val="center"/>
          </w:tcPr>
          <w:p w14:paraId="53B3CE26">
            <w:pPr>
              <w:spacing w:line="240" w:lineRule="auto"/>
              <w:ind w:firstLine="0" w:firstLineChars="0"/>
              <w:jc w:val="center"/>
              <w:rPr>
                <w:color w:val="auto"/>
                <w:sz w:val="21"/>
                <w:szCs w:val="21"/>
              </w:rPr>
            </w:pPr>
            <w:r>
              <w:rPr>
                <w:rFonts w:hint="eastAsia"/>
                <w:color w:val="auto"/>
                <w:sz w:val="21"/>
                <w:szCs w:val="21"/>
              </w:rPr>
              <w:t>0.01</w:t>
            </w:r>
          </w:p>
        </w:tc>
      </w:tr>
      <w:tr w14:paraId="26AD5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14:paraId="03DA8806">
            <w:pPr>
              <w:spacing w:line="240" w:lineRule="auto"/>
              <w:ind w:firstLine="0" w:firstLineChars="0"/>
              <w:jc w:val="center"/>
              <w:rPr>
                <w:color w:val="auto"/>
                <w:sz w:val="21"/>
                <w:szCs w:val="21"/>
              </w:rPr>
            </w:pPr>
          </w:p>
        </w:tc>
        <w:tc>
          <w:tcPr>
            <w:tcW w:w="415" w:type="pct"/>
            <w:vMerge w:val="continue"/>
            <w:vAlign w:val="center"/>
          </w:tcPr>
          <w:p w14:paraId="1C700C0E">
            <w:pPr>
              <w:spacing w:line="240" w:lineRule="auto"/>
              <w:ind w:firstLine="0" w:firstLineChars="0"/>
              <w:jc w:val="center"/>
              <w:rPr>
                <w:color w:val="auto"/>
                <w:sz w:val="21"/>
                <w:szCs w:val="21"/>
              </w:rPr>
            </w:pPr>
          </w:p>
        </w:tc>
        <w:tc>
          <w:tcPr>
            <w:tcW w:w="583" w:type="pct"/>
            <w:vAlign w:val="center"/>
          </w:tcPr>
          <w:p w14:paraId="767B783F">
            <w:pPr>
              <w:spacing w:line="240" w:lineRule="auto"/>
              <w:ind w:firstLine="0" w:firstLineChars="0"/>
              <w:jc w:val="center"/>
              <w:rPr>
                <w:color w:val="auto"/>
                <w:sz w:val="21"/>
                <w:szCs w:val="21"/>
              </w:rPr>
            </w:pPr>
            <w:r>
              <w:rPr>
                <w:color w:val="auto"/>
                <w:sz w:val="21"/>
                <w:szCs w:val="21"/>
              </w:rPr>
              <w:t>平均值</w:t>
            </w:r>
          </w:p>
        </w:tc>
        <w:tc>
          <w:tcPr>
            <w:tcW w:w="615" w:type="pct"/>
            <w:vAlign w:val="center"/>
          </w:tcPr>
          <w:p w14:paraId="3528B3B4">
            <w:pPr>
              <w:spacing w:line="240" w:lineRule="auto"/>
              <w:ind w:firstLine="0" w:firstLineChars="0"/>
              <w:jc w:val="center"/>
              <w:rPr>
                <w:color w:val="auto"/>
                <w:sz w:val="21"/>
                <w:szCs w:val="21"/>
              </w:rPr>
            </w:pPr>
            <w:r>
              <w:rPr>
                <w:rFonts w:hint="eastAsia"/>
                <w:color w:val="auto"/>
                <w:sz w:val="21"/>
                <w:szCs w:val="21"/>
              </w:rPr>
              <w:t>24.3</w:t>
            </w:r>
          </w:p>
        </w:tc>
        <w:tc>
          <w:tcPr>
            <w:tcW w:w="499" w:type="pct"/>
            <w:vAlign w:val="center"/>
          </w:tcPr>
          <w:p w14:paraId="1CC4F2F5">
            <w:pPr>
              <w:spacing w:line="240" w:lineRule="auto"/>
              <w:ind w:firstLine="0" w:firstLineChars="0"/>
              <w:jc w:val="center"/>
              <w:rPr>
                <w:color w:val="auto"/>
                <w:sz w:val="21"/>
                <w:szCs w:val="21"/>
              </w:rPr>
            </w:pPr>
            <w:r>
              <w:rPr>
                <w:rFonts w:hint="eastAsia"/>
                <w:color w:val="auto"/>
                <w:sz w:val="21"/>
                <w:szCs w:val="21"/>
              </w:rPr>
              <w:t>/</w:t>
            </w:r>
          </w:p>
        </w:tc>
        <w:tc>
          <w:tcPr>
            <w:tcW w:w="499" w:type="pct"/>
            <w:vAlign w:val="center"/>
          </w:tcPr>
          <w:p w14:paraId="31383991">
            <w:pPr>
              <w:spacing w:line="240" w:lineRule="auto"/>
              <w:ind w:firstLine="0" w:firstLineChars="0"/>
              <w:jc w:val="center"/>
              <w:rPr>
                <w:color w:val="auto"/>
                <w:sz w:val="21"/>
                <w:szCs w:val="21"/>
              </w:rPr>
            </w:pPr>
            <w:r>
              <w:rPr>
                <w:rFonts w:hint="eastAsia"/>
                <w:color w:val="auto"/>
                <w:sz w:val="21"/>
                <w:szCs w:val="21"/>
              </w:rPr>
              <w:t>16</w:t>
            </w:r>
          </w:p>
        </w:tc>
        <w:tc>
          <w:tcPr>
            <w:tcW w:w="518" w:type="pct"/>
            <w:vAlign w:val="center"/>
          </w:tcPr>
          <w:p w14:paraId="43F5EEB6">
            <w:pPr>
              <w:spacing w:line="240" w:lineRule="auto"/>
              <w:ind w:firstLine="0" w:firstLineChars="0"/>
              <w:jc w:val="center"/>
              <w:rPr>
                <w:color w:val="auto"/>
                <w:sz w:val="21"/>
                <w:szCs w:val="21"/>
              </w:rPr>
            </w:pPr>
            <w:r>
              <w:rPr>
                <w:rFonts w:hint="eastAsia"/>
                <w:color w:val="auto"/>
                <w:sz w:val="21"/>
                <w:szCs w:val="21"/>
              </w:rPr>
              <w:t>3.6</w:t>
            </w:r>
          </w:p>
        </w:tc>
        <w:tc>
          <w:tcPr>
            <w:tcW w:w="499" w:type="pct"/>
            <w:vAlign w:val="center"/>
          </w:tcPr>
          <w:p w14:paraId="77342B01">
            <w:pPr>
              <w:spacing w:line="240" w:lineRule="auto"/>
              <w:ind w:firstLine="0" w:firstLineChars="0"/>
              <w:jc w:val="center"/>
              <w:rPr>
                <w:color w:val="auto"/>
                <w:sz w:val="21"/>
                <w:szCs w:val="21"/>
              </w:rPr>
            </w:pPr>
            <w:r>
              <w:rPr>
                <w:rFonts w:hint="eastAsia"/>
                <w:color w:val="auto"/>
                <w:sz w:val="21"/>
                <w:szCs w:val="21"/>
              </w:rPr>
              <w:t>0.230</w:t>
            </w:r>
          </w:p>
        </w:tc>
        <w:tc>
          <w:tcPr>
            <w:tcW w:w="496" w:type="pct"/>
            <w:vAlign w:val="center"/>
          </w:tcPr>
          <w:p w14:paraId="6A6BABAE">
            <w:pPr>
              <w:spacing w:line="240" w:lineRule="auto"/>
              <w:ind w:firstLine="0" w:firstLineChars="0"/>
              <w:jc w:val="center"/>
              <w:rPr>
                <w:color w:val="auto"/>
                <w:sz w:val="21"/>
                <w:szCs w:val="21"/>
              </w:rPr>
            </w:pPr>
            <w:r>
              <w:rPr>
                <w:rFonts w:hint="eastAsia"/>
                <w:color w:val="auto"/>
                <w:sz w:val="21"/>
                <w:szCs w:val="21"/>
              </w:rPr>
              <w:t>0.13</w:t>
            </w:r>
          </w:p>
        </w:tc>
        <w:tc>
          <w:tcPr>
            <w:tcW w:w="478" w:type="pct"/>
            <w:vAlign w:val="center"/>
          </w:tcPr>
          <w:p w14:paraId="69201C96">
            <w:pPr>
              <w:spacing w:line="240" w:lineRule="auto"/>
              <w:ind w:firstLine="0" w:firstLineChars="0"/>
              <w:jc w:val="center"/>
              <w:rPr>
                <w:color w:val="auto"/>
                <w:sz w:val="21"/>
                <w:szCs w:val="21"/>
              </w:rPr>
            </w:pPr>
            <w:r>
              <w:rPr>
                <w:rFonts w:hint="eastAsia"/>
                <w:color w:val="auto"/>
                <w:sz w:val="21"/>
                <w:szCs w:val="21"/>
              </w:rPr>
              <w:t>0.01</w:t>
            </w:r>
          </w:p>
        </w:tc>
      </w:tr>
      <w:tr w14:paraId="677D4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14:paraId="0F38AF9E">
            <w:pPr>
              <w:spacing w:line="240" w:lineRule="auto"/>
              <w:ind w:firstLine="0" w:firstLineChars="0"/>
              <w:jc w:val="center"/>
              <w:rPr>
                <w:color w:val="auto"/>
                <w:sz w:val="21"/>
                <w:szCs w:val="21"/>
              </w:rPr>
            </w:pPr>
          </w:p>
        </w:tc>
        <w:tc>
          <w:tcPr>
            <w:tcW w:w="415" w:type="pct"/>
            <w:vMerge w:val="continue"/>
            <w:vAlign w:val="center"/>
          </w:tcPr>
          <w:p w14:paraId="57433A2F">
            <w:pPr>
              <w:spacing w:line="240" w:lineRule="auto"/>
              <w:ind w:firstLine="0" w:firstLineChars="0"/>
              <w:jc w:val="center"/>
              <w:rPr>
                <w:color w:val="auto"/>
                <w:sz w:val="21"/>
                <w:szCs w:val="21"/>
              </w:rPr>
            </w:pPr>
          </w:p>
        </w:tc>
        <w:tc>
          <w:tcPr>
            <w:tcW w:w="583" w:type="pct"/>
            <w:vAlign w:val="center"/>
          </w:tcPr>
          <w:p w14:paraId="5A6C8554">
            <w:pPr>
              <w:spacing w:line="240" w:lineRule="auto"/>
              <w:ind w:firstLine="0" w:firstLineChars="0"/>
              <w:jc w:val="center"/>
              <w:rPr>
                <w:color w:val="auto"/>
                <w:sz w:val="21"/>
                <w:szCs w:val="21"/>
              </w:rPr>
            </w:pPr>
            <w:r>
              <w:rPr>
                <w:color w:val="auto"/>
                <w:sz w:val="21"/>
                <w:szCs w:val="21"/>
              </w:rPr>
              <w:t>最大污染指数</w:t>
            </w:r>
          </w:p>
        </w:tc>
        <w:tc>
          <w:tcPr>
            <w:tcW w:w="615" w:type="pct"/>
            <w:vAlign w:val="center"/>
          </w:tcPr>
          <w:p w14:paraId="3461F66A">
            <w:pPr>
              <w:spacing w:line="240" w:lineRule="auto"/>
              <w:ind w:firstLine="0" w:firstLineChars="0"/>
              <w:jc w:val="center"/>
              <w:rPr>
                <w:color w:val="auto"/>
                <w:sz w:val="21"/>
                <w:szCs w:val="21"/>
              </w:rPr>
            </w:pPr>
            <w:r>
              <w:rPr>
                <w:rFonts w:hint="eastAsia"/>
                <w:color w:val="auto"/>
                <w:sz w:val="21"/>
                <w:szCs w:val="21"/>
              </w:rPr>
              <w:t>/</w:t>
            </w:r>
          </w:p>
        </w:tc>
        <w:tc>
          <w:tcPr>
            <w:tcW w:w="499" w:type="pct"/>
            <w:vAlign w:val="center"/>
          </w:tcPr>
          <w:p w14:paraId="7D3894EF">
            <w:pPr>
              <w:spacing w:line="240" w:lineRule="auto"/>
              <w:ind w:firstLine="0" w:firstLineChars="0"/>
              <w:jc w:val="center"/>
              <w:rPr>
                <w:color w:val="auto"/>
                <w:sz w:val="21"/>
                <w:szCs w:val="21"/>
              </w:rPr>
            </w:pPr>
            <w:r>
              <w:rPr>
                <w:rFonts w:hint="eastAsia"/>
                <w:color w:val="auto"/>
                <w:sz w:val="21"/>
                <w:szCs w:val="21"/>
              </w:rPr>
              <w:t>/</w:t>
            </w:r>
          </w:p>
        </w:tc>
        <w:tc>
          <w:tcPr>
            <w:tcW w:w="499" w:type="pct"/>
            <w:vAlign w:val="center"/>
          </w:tcPr>
          <w:p w14:paraId="0E363178">
            <w:pPr>
              <w:spacing w:line="240" w:lineRule="auto"/>
              <w:ind w:firstLine="0" w:firstLineChars="0"/>
              <w:jc w:val="center"/>
              <w:rPr>
                <w:color w:val="auto"/>
                <w:sz w:val="21"/>
                <w:szCs w:val="21"/>
              </w:rPr>
            </w:pPr>
            <w:r>
              <w:rPr>
                <w:rFonts w:hint="eastAsia"/>
                <w:color w:val="auto"/>
                <w:sz w:val="21"/>
                <w:szCs w:val="21"/>
              </w:rPr>
              <w:t>0.9</w:t>
            </w:r>
          </w:p>
        </w:tc>
        <w:tc>
          <w:tcPr>
            <w:tcW w:w="518" w:type="pct"/>
            <w:vAlign w:val="center"/>
          </w:tcPr>
          <w:p w14:paraId="6969590B">
            <w:pPr>
              <w:spacing w:line="240" w:lineRule="auto"/>
              <w:ind w:firstLine="0" w:firstLineChars="0"/>
              <w:jc w:val="center"/>
              <w:rPr>
                <w:color w:val="auto"/>
                <w:sz w:val="21"/>
                <w:szCs w:val="21"/>
              </w:rPr>
            </w:pPr>
            <w:r>
              <w:rPr>
                <w:rFonts w:hint="eastAsia"/>
                <w:color w:val="auto"/>
                <w:sz w:val="21"/>
                <w:szCs w:val="21"/>
              </w:rPr>
              <w:t>0.975</w:t>
            </w:r>
          </w:p>
        </w:tc>
        <w:tc>
          <w:tcPr>
            <w:tcW w:w="499" w:type="pct"/>
            <w:vAlign w:val="center"/>
          </w:tcPr>
          <w:p w14:paraId="32F0B1B8">
            <w:pPr>
              <w:spacing w:line="240" w:lineRule="auto"/>
              <w:ind w:firstLine="0" w:firstLineChars="0"/>
              <w:jc w:val="center"/>
              <w:rPr>
                <w:color w:val="auto"/>
                <w:sz w:val="21"/>
                <w:szCs w:val="21"/>
              </w:rPr>
            </w:pPr>
            <w:r>
              <w:rPr>
                <w:rFonts w:hint="eastAsia"/>
                <w:color w:val="auto"/>
                <w:sz w:val="21"/>
                <w:szCs w:val="21"/>
              </w:rPr>
              <w:t>0.26</w:t>
            </w:r>
          </w:p>
        </w:tc>
        <w:tc>
          <w:tcPr>
            <w:tcW w:w="496" w:type="pct"/>
            <w:vAlign w:val="center"/>
          </w:tcPr>
          <w:p w14:paraId="28461AE1">
            <w:pPr>
              <w:spacing w:line="240" w:lineRule="auto"/>
              <w:ind w:firstLine="0" w:firstLineChars="0"/>
              <w:jc w:val="center"/>
              <w:rPr>
                <w:color w:val="auto"/>
                <w:sz w:val="21"/>
                <w:szCs w:val="21"/>
              </w:rPr>
            </w:pPr>
            <w:r>
              <w:rPr>
                <w:rFonts w:hint="eastAsia"/>
                <w:color w:val="auto"/>
                <w:sz w:val="21"/>
                <w:szCs w:val="21"/>
              </w:rPr>
              <w:t>0.75</w:t>
            </w:r>
          </w:p>
        </w:tc>
        <w:tc>
          <w:tcPr>
            <w:tcW w:w="478" w:type="pct"/>
            <w:vAlign w:val="center"/>
          </w:tcPr>
          <w:p w14:paraId="096ACA57">
            <w:pPr>
              <w:spacing w:line="240" w:lineRule="auto"/>
              <w:ind w:firstLine="0" w:firstLineChars="0"/>
              <w:jc w:val="center"/>
              <w:rPr>
                <w:color w:val="auto"/>
                <w:sz w:val="21"/>
                <w:szCs w:val="21"/>
              </w:rPr>
            </w:pPr>
            <w:r>
              <w:rPr>
                <w:rFonts w:hint="eastAsia"/>
                <w:color w:val="auto"/>
                <w:sz w:val="21"/>
                <w:szCs w:val="21"/>
              </w:rPr>
              <w:t>0.2</w:t>
            </w:r>
          </w:p>
        </w:tc>
      </w:tr>
      <w:tr w14:paraId="36843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14:paraId="19E32449">
            <w:pPr>
              <w:spacing w:line="240" w:lineRule="auto"/>
              <w:ind w:firstLine="0" w:firstLineChars="0"/>
              <w:jc w:val="center"/>
              <w:rPr>
                <w:color w:val="auto"/>
                <w:sz w:val="21"/>
                <w:szCs w:val="21"/>
              </w:rPr>
            </w:pPr>
          </w:p>
        </w:tc>
        <w:tc>
          <w:tcPr>
            <w:tcW w:w="415" w:type="pct"/>
            <w:vMerge w:val="continue"/>
            <w:vAlign w:val="center"/>
          </w:tcPr>
          <w:p w14:paraId="385F9C22">
            <w:pPr>
              <w:spacing w:line="240" w:lineRule="auto"/>
              <w:ind w:firstLine="0" w:firstLineChars="0"/>
              <w:jc w:val="center"/>
              <w:rPr>
                <w:color w:val="auto"/>
                <w:sz w:val="21"/>
                <w:szCs w:val="21"/>
              </w:rPr>
            </w:pPr>
          </w:p>
        </w:tc>
        <w:tc>
          <w:tcPr>
            <w:tcW w:w="583" w:type="pct"/>
            <w:vAlign w:val="center"/>
          </w:tcPr>
          <w:p w14:paraId="01E24E92">
            <w:pPr>
              <w:spacing w:line="240" w:lineRule="auto"/>
              <w:ind w:firstLine="0" w:firstLineChars="0"/>
              <w:jc w:val="center"/>
              <w:rPr>
                <w:color w:val="auto"/>
                <w:sz w:val="21"/>
                <w:szCs w:val="21"/>
              </w:rPr>
            </w:pPr>
            <w:r>
              <w:rPr>
                <w:color w:val="auto"/>
                <w:sz w:val="21"/>
                <w:szCs w:val="21"/>
              </w:rPr>
              <w:t>超标率</w:t>
            </w:r>
          </w:p>
        </w:tc>
        <w:tc>
          <w:tcPr>
            <w:tcW w:w="615" w:type="pct"/>
            <w:vAlign w:val="center"/>
          </w:tcPr>
          <w:p w14:paraId="05BA0856">
            <w:pPr>
              <w:spacing w:line="240" w:lineRule="auto"/>
              <w:ind w:firstLine="0" w:firstLineChars="0"/>
              <w:jc w:val="center"/>
              <w:rPr>
                <w:color w:val="auto"/>
                <w:sz w:val="21"/>
                <w:szCs w:val="21"/>
              </w:rPr>
            </w:pPr>
            <w:r>
              <w:rPr>
                <w:rFonts w:hint="eastAsia"/>
                <w:color w:val="auto"/>
                <w:sz w:val="21"/>
                <w:szCs w:val="21"/>
              </w:rPr>
              <w:t>0</w:t>
            </w:r>
          </w:p>
        </w:tc>
        <w:tc>
          <w:tcPr>
            <w:tcW w:w="499" w:type="pct"/>
            <w:vAlign w:val="center"/>
          </w:tcPr>
          <w:p w14:paraId="7371C21D">
            <w:pPr>
              <w:spacing w:line="240" w:lineRule="auto"/>
              <w:ind w:firstLine="0" w:firstLineChars="0"/>
              <w:jc w:val="center"/>
              <w:rPr>
                <w:color w:val="auto"/>
                <w:sz w:val="21"/>
                <w:szCs w:val="21"/>
              </w:rPr>
            </w:pPr>
            <w:r>
              <w:rPr>
                <w:rFonts w:hint="eastAsia"/>
                <w:color w:val="auto"/>
                <w:sz w:val="21"/>
                <w:szCs w:val="21"/>
              </w:rPr>
              <w:t>0</w:t>
            </w:r>
          </w:p>
        </w:tc>
        <w:tc>
          <w:tcPr>
            <w:tcW w:w="499" w:type="pct"/>
            <w:vAlign w:val="center"/>
          </w:tcPr>
          <w:p w14:paraId="521CDE47">
            <w:pPr>
              <w:spacing w:line="240" w:lineRule="auto"/>
              <w:ind w:firstLine="0" w:firstLineChars="0"/>
              <w:jc w:val="center"/>
              <w:rPr>
                <w:color w:val="auto"/>
                <w:sz w:val="21"/>
                <w:szCs w:val="21"/>
              </w:rPr>
            </w:pPr>
            <w:r>
              <w:rPr>
                <w:rFonts w:hint="eastAsia"/>
                <w:color w:val="auto"/>
                <w:sz w:val="21"/>
                <w:szCs w:val="21"/>
              </w:rPr>
              <w:t>0</w:t>
            </w:r>
          </w:p>
        </w:tc>
        <w:tc>
          <w:tcPr>
            <w:tcW w:w="518" w:type="pct"/>
            <w:vAlign w:val="center"/>
          </w:tcPr>
          <w:p w14:paraId="6CC03CF7">
            <w:pPr>
              <w:spacing w:line="240" w:lineRule="auto"/>
              <w:ind w:firstLine="0" w:firstLineChars="0"/>
              <w:jc w:val="center"/>
              <w:rPr>
                <w:color w:val="auto"/>
                <w:sz w:val="21"/>
                <w:szCs w:val="21"/>
              </w:rPr>
            </w:pPr>
            <w:r>
              <w:rPr>
                <w:rFonts w:hint="eastAsia"/>
                <w:color w:val="auto"/>
                <w:sz w:val="21"/>
                <w:szCs w:val="21"/>
              </w:rPr>
              <w:t>0</w:t>
            </w:r>
          </w:p>
        </w:tc>
        <w:tc>
          <w:tcPr>
            <w:tcW w:w="499" w:type="pct"/>
            <w:vAlign w:val="center"/>
          </w:tcPr>
          <w:p w14:paraId="56F549C9">
            <w:pPr>
              <w:spacing w:line="240" w:lineRule="auto"/>
              <w:ind w:firstLine="0" w:firstLineChars="0"/>
              <w:jc w:val="center"/>
              <w:rPr>
                <w:color w:val="auto"/>
                <w:sz w:val="21"/>
                <w:szCs w:val="21"/>
              </w:rPr>
            </w:pPr>
            <w:r>
              <w:rPr>
                <w:rFonts w:hint="eastAsia"/>
                <w:color w:val="auto"/>
                <w:sz w:val="21"/>
                <w:szCs w:val="21"/>
              </w:rPr>
              <w:t>0</w:t>
            </w:r>
          </w:p>
        </w:tc>
        <w:tc>
          <w:tcPr>
            <w:tcW w:w="496" w:type="pct"/>
            <w:vAlign w:val="center"/>
          </w:tcPr>
          <w:p w14:paraId="31CF4CA5">
            <w:pPr>
              <w:spacing w:line="240" w:lineRule="auto"/>
              <w:ind w:firstLine="0" w:firstLineChars="0"/>
              <w:jc w:val="center"/>
              <w:rPr>
                <w:color w:val="auto"/>
                <w:sz w:val="21"/>
                <w:szCs w:val="21"/>
              </w:rPr>
            </w:pPr>
            <w:r>
              <w:rPr>
                <w:rFonts w:hint="eastAsia"/>
                <w:color w:val="auto"/>
                <w:sz w:val="21"/>
                <w:szCs w:val="21"/>
              </w:rPr>
              <w:t>0</w:t>
            </w:r>
          </w:p>
        </w:tc>
        <w:tc>
          <w:tcPr>
            <w:tcW w:w="478" w:type="pct"/>
            <w:vAlign w:val="center"/>
          </w:tcPr>
          <w:p w14:paraId="726183E0">
            <w:pPr>
              <w:spacing w:line="240" w:lineRule="auto"/>
              <w:ind w:firstLine="0" w:firstLineChars="0"/>
              <w:jc w:val="center"/>
              <w:rPr>
                <w:color w:val="auto"/>
                <w:sz w:val="21"/>
                <w:szCs w:val="21"/>
              </w:rPr>
            </w:pPr>
            <w:r>
              <w:rPr>
                <w:rFonts w:hint="eastAsia"/>
                <w:color w:val="auto"/>
                <w:sz w:val="21"/>
                <w:szCs w:val="21"/>
              </w:rPr>
              <w:t>0</w:t>
            </w:r>
          </w:p>
        </w:tc>
      </w:tr>
      <w:tr w14:paraId="25884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gridSpan w:val="3"/>
            <w:vAlign w:val="center"/>
          </w:tcPr>
          <w:p w14:paraId="0321E6ED">
            <w:pPr>
              <w:spacing w:line="240" w:lineRule="auto"/>
              <w:ind w:firstLine="0" w:firstLineChars="0"/>
              <w:jc w:val="center"/>
              <w:rPr>
                <w:color w:val="auto"/>
                <w:sz w:val="21"/>
                <w:szCs w:val="21"/>
              </w:rPr>
            </w:pPr>
            <w:r>
              <w:rPr>
                <w:color w:val="auto"/>
                <w:sz w:val="21"/>
                <w:szCs w:val="21"/>
              </w:rPr>
              <w:t>III类标准</w:t>
            </w:r>
          </w:p>
        </w:tc>
        <w:tc>
          <w:tcPr>
            <w:tcW w:w="615" w:type="pct"/>
            <w:vAlign w:val="center"/>
          </w:tcPr>
          <w:p w14:paraId="0FA3A251">
            <w:pPr>
              <w:spacing w:line="240" w:lineRule="auto"/>
              <w:ind w:firstLine="0" w:firstLineChars="0"/>
              <w:jc w:val="center"/>
              <w:rPr>
                <w:color w:val="auto"/>
                <w:sz w:val="21"/>
                <w:szCs w:val="21"/>
              </w:rPr>
            </w:pPr>
            <w:r>
              <w:rPr>
                <w:rFonts w:hint="eastAsia"/>
                <w:color w:val="auto"/>
                <w:sz w:val="21"/>
                <w:szCs w:val="21"/>
              </w:rPr>
              <w:t>/</w:t>
            </w:r>
          </w:p>
        </w:tc>
        <w:tc>
          <w:tcPr>
            <w:tcW w:w="499" w:type="pct"/>
            <w:vAlign w:val="center"/>
          </w:tcPr>
          <w:p w14:paraId="1D77C52A">
            <w:pPr>
              <w:spacing w:line="240" w:lineRule="auto"/>
              <w:ind w:firstLine="0" w:firstLineChars="0"/>
              <w:jc w:val="center"/>
              <w:rPr>
                <w:color w:val="auto"/>
                <w:sz w:val="21"/>
                <w:szCs w:val="21"/>
              </w:rPr>
            </w:pPr>
            <w:r>
              <w:rPr>
                <w:rFonts w:hint="eastAsia"/>
                <w:color w:val="auto"/>
                <w:sz w:val="21"/>
                <w:szCs w:val="21"/>
              </w:rPr>
              <w:t>6-9</w:t>
            </w:r>
          </w:p>
        </w:tc>
        <w:tc>
          <w:tcPr>
            <w:tcW w:w="499" w:type="pct"/>
            <w:vAlign w:val="center"/>
          </w:tcPr>
          <w:p w14:paraId="263DA3FA">
            <w:pPr>
              <w:spacing w:line="240" w:lineRule="auto"/>
              <w:ind w:firstLine="0" w:firstLineChars="0"/>
              <w:jc w:val="center"/>
              <w:rPr>
                <w:color w:val="auto"/>
                <w:sz w:val="21"/>
                <w:szCs w:val="21"/>
              </w:rPr>
            </w:pPr>
            <w:r>
              <w:rPr>
                <w:rFonts w:hint="eastAsia"/>
                <w:color w:val="auto"/>
                <w:sz w:val="21"/>
                <w:szCs w:val="21"/>
              </w:rPr>
              <w:t>20</w:t>
            </w:r>
          </w:p>
        </w:tc>
        <w:tc>
          <w:tcPr>
            <w:tcW w:w="518" w:type="pct"/>
            <w:vAlign w:val="center"/>
          </w:tcPr>
          <w:p w14:paraId="6CA185A2">
            <w:pPr>
              <w:spacing w:line="240" w:lineRule="auto"/>
              <w:ind w:firstLine="0" w:firstLineChars="0"/>
              <w:jc w:val="center"/>
              <w:rPr>
                <w:color w:val="auto"/>
                <w:sz w:val="21"/>
                <w:szCs w:val="21"/>
              </w:rPr>
            </w:pPr>
            <w:r>
              <w:rPr>
                <w:rFonts w:hint="eastAsia"/>
                <w:color w:val="auto"/>
                <w:sz w:val="21"/>
                <w:szCs w:val="21"/>
              </w:rPr>
              <w:t>4</w:t>
            </w:r>
          </w:p>
        </w:tc>
        <w:tc>
          <w:tcPr>
            <w:tcW w:w="499" w:type="pct"/>
            <w:vAlign w:val="center"/>
          </w:tcPr>
          <w:p w14:paraId="0CBB2AC1">
            <w:pPr>
              <w:spacing w:line="240" w:lineRule="auto"/>
              <w:ind w:firstLine="0" w:firstLineChars="0"/>
              <w:jc w:val="center"/>
              <w:rPr>
                <w:color w:val="auto"/>
                <w:sz w:val="21"/>
                <w:szCs w:val="21"/>
              </w:rPr>
            </w:pPr>
            <w:r>
              <w:rPr>
                <w:rFonts w:hint="eastAsia"/>
                <w:color w:val="auto"/>
                <w:sz w:val="21"/>
                <w:szCs w:val="21"/>
              </w:rPr>
              <w:t>1</w:t>
            </w:r>
          </w:p>
        </w:tc>
        <w:tc>
          <w:tcPr>
            <w:tcW w:w="496" w:type="pct"/>
            <w:vAlign w:val="center"/>
          </w:tcPr>
          <w:p w14:paraId="28F709C2">
            <w:pPr>
              <w:spacing w:line="240" w:lineRule="auto"/>
              <w:ind w:firstLine="0" w:firstLineChars="0"/>
              <w:jc w:val="center"/>
              <w:rPr>
                <w:color w:val="auto"/>
                <w:sz w:val="21"/>
                <w:szCs w:val="21"/>
              </w:rPr>
            </w:pPr>
            <w:r>
              <w:rPr>
                <w:rFonts w:hint="eastAsia"/>
                <w:color w:val="auto"/>
                <w:sz w:val="21"/>
                <w:szCs w:val="21"/>
              </w:rPr>
              <w:t>0.2</w:t>
            </w:r>
          </w:p>
        </w:tc>
        <w:tc>
          <w:tcPr>
            <w:tcW w:w="478" w:type="pct"/>
            <w:vAlign w:val="center"/>
          </w:tcPr>
          <w:p w14:paraId="27F2D306">
            <w:pPr>
              <w:spacing w:line="240" w:lineRule="auto"/>
              <w:ind w:firstLine="0" w:firstLineChars="0"/>
              <w:jc w:val="center"/>
              <w:rPr>
                <w:color w:val="auto"/>
                <w:sz w:val="21"/>
                <w:szCs w:val="21"/>
              </w:rPr>
            </w:pPr>
            <w:r>
              <w:rPr>
                <w:rFonts w:hint="eastAsia"/>
                <w:color w:val="auto"/>
                <w:sz w:val="21"/>
                <w:szCs w:val="21"/>
              </w:rPr>
              <w:t>0.05</w:t>
            </w:r>
          </w:p>
        </w:tc>
      </w:tr>
    </w:tbl>
    <w:p w14:paraId="4A0371E3">
      <w:pPr>
        <w:ind w:firstLine="480"/>
        <w:rPr>
          <w:color w:val="auto"/>
        </w:rPr>
      </w:pPr>
      <w:r>
        <w:rPr>
          <w:rFonts w:hint="eastAsia"/>
          <w:color w:val="auto"/>
        </w:rPr>
        <w:t>由上表可知，长江断面各水质指标可满足</w:t>
      </w:r>
      <w:r>
        <w:rPr>
          <w:color w:val="auto"/>
        </w:rPr>
        <w:t>《地表水环境质量标准》(GB3838-2002)Ⅲ类水质标准</w:t>
      </w:r>
      <w:r>
        <w:rPr>
          <w:rFonts w:hint="eastAsia"/>
          <w:color w:val="auto"/>
        </w:rPr>
        <w:t>。</w:t>
      </w:r>
    </w:p>
    <w:p w14:paraId="2B915936">
      <w:pPr>
        <w:pStyle w:val="4"/>
        <w:rPr>
          <w:color w:val="auto"/>
        </w:rPr>
      </w:pPr>
      <w:bookmarkStart w:id="187" w:name="_Toc15626"/>
      <w:r>
        <w:rPr>
          <w:rFonts w:hint="eastAsia"/>
          <w:color w:val="auto"/>
        </w:rPr>
        <w:t>5.2.3</w:t>
      </w:r>
      <w:r>
        <w:rPr>
          <w:color w:val="auto"/>
        </w:rPr>
        <w:t>声环境质量现状调查与评价</w:t>
      </w:r>
      <w:bookmarkEnd w:id="187"/>
    </w:p>
    <w:p w14:paraId="3BBB3E55">
      <w:pPr>
        <w:ind w:firstLine="480"/>
        <w:rPr>
          <w:color w:val="auto"/>
        </w:rPr>
      </w:pPr>
      <w:r>
        <w:rPr>
          <w:color w:val="auto"/>
        </w:rPr>
        <w:t>(1)监测布点：根据《环境影响评价技术导则 声环境》(HJ 2.4-2021)的有关规定，结合项目所在地的环境特征，在厂界外布设</w:t>
      </w:r>
      <w:r>
        <w:rPr>
          <w:rFonts w:hint="eastAsia"/>
          <w:color w:val="auto"/>
        </w:rPr>
        <w:t>4</w:t>
      </w:r>
      <w:r>
        <w:rPr>
          <w:color w:val="auto"/>
        </w:rPr>
        <w:t>个监测点。现状监测布点见附图</w:t>
      </w:r>
      <w:r>
        <w:rPr>
          <w:rFonts w:hint="eastAsia"/>
          <w:color w:val="auto"/>
        </w:rPr>
        <w:t>4</w:t>
      </w:r>
      <w:r>
        <w:rPr>
          <w:color w:val="auto"/>
        </w:rPr>
        <w:t>.1.3-1。</w:t>
      </w:r>
    </w:p>
    <w:p w14:paraId="5EFD19CD">
      <w:pPr>
        <w:ind w:firstLine="480"/>
        <w:rPr>
          <w:color w:val="auto"/>
        </w:rPr>
      </w:pPr>
      <w:r>
        <w:rPr>
          <w:color w:val="auto"/>
        </w:rPr>
        <w:t>(2)监测因子：等效连续A声级Leq(A)。</w:t>
      </w:r>
    </w:p>
    <w:p w14:paraId="2340BC75">
      <w:pPr>
        <w:ind w:firstLine="480"/>
        <w:rPr>
          <w:color w:val="auto"/>
        </w:rPr>
      </w:pPr>
      <w:r>
        <w:rPr>
          <w:color w:val="auto"/>
        </w:rPr>
        <w:t>(3)监测方法：执行《声环境质量标准》(GB3096-2008)的规定，使用符合国家计量规定的声级计进行监测。</w:t>
      </w:r>
    </w:p>
    <w:p w14:paraId="516A3007">
      <w:pPr>
        <w:ind w:firstLine="480"/>
        <w:rPr>
          <w:color w:val="auto"/>
        </w:rPr>
      </w:pPr>
      <w:r>
        <w:rPr>
          <w:color w:val="auto"/>
        </w:rPr>
        <w:t>(4)监测结果与评价</w:t>
      </w:r>
    </w:p>
    <w:p w14:paraId="6BB659A4">
      <w:pPr>
        <w:ind w:firstLine="480"/>
        <w:rPr>
          <w:color w:val="auto"/>
        </w:rPr>
      </w:pPr>
      <w:r>
        <w:rPr>
          <w:rFonts w:hint="eastAsia"/>
          <w:color w:val="auto"/>
        </w:rPr>
        <w:t>拟建</w:t>
      </w:r>
      <w:r>
        <w:rPr>
          <w:color w:val="auto"/>
        </w:rPr>
        <w:t>厂界执行《声环境质量标准》(GB3096-2008)3 类标准。</w:t>
      </w:r>
      <w:r>
        <w:rPr>
          <w:rFonts w:hint="eastAsia"/>
          <w:color w:val="auto"/>
        </w:rPr>
        <w:t>拟建</w:t>
      </w:r>
      <w:r>
        <w:rPr>
          <w:color w:val="auto"/>
        </w:rPr>
        <w:t>委托</w:t>
      </w:r>
      <w:r>
        <w:rPr>
          <w:rFonts w:hint="eastAsia"/>
          <w:color w:val="auto"/>
        </w:rPr>
        <w:t>南京国测</w:t>
      </w:r>
      <w:r>
        <w:rPr>
          <w:color w:val="auto"/>
        </w:rPr>
        <w:t>检测技术有限公司实测，监测时间202</w:t>
      </w:r>
      <w:r>
        <w:rPr>
          <w:rFonts w:hint="eastAsia"/>
          <w:color w:val="auto"/>
        </w:rPr>
        <w:t>6.3.18</w:t>
      </w:r>
      <w:r>
        <w:rPr>
          <w:color w:val="auto"/>
        </w:rPr>
        <w:t>~202</w:t>
      </w:r>
      <w:r>
        <w:rPr>
          <w:rFonts w:hint="eastAsia"/>
          <w:color w:val="auto"/>
        </w:rPr>
        <w:t>6.3.19</w:t>
      </w:r>
      <w:r>
        <w:rPr>
          <w:color w:val="auto"/>
        </w:rPr>
        <w:t>。连续监测2天，每天昼夜各监测1次。监测结果见</w:t>
      </w:r>
      <w:r>
        <w:rPr>
          <w:rFonts w:hint="eastAsia"/>
          <w:color w:val="auto"/>
        </w:rPr>
        <w:t>下表</w:t>
      </w:r>
      <w:r>
        <w:rPr>
          <w:color w:val="auto"/>
        </w:rPr>
        <w:t>。</w:t>
      </w:r>
    </w:p>
    <w:p w14:paraId="2338C471">
      <w:pPr>
        <w:ind w:firstLine="482"/>
        <w:jc w:val="center"/>
        <w:rPr>
          <w:b/>
          <w:bCs/>
          <w:color w:val="auto"/>
        </w:rPr>
      </w:pPr>
      <w:r>
        <w:rPr>
          <w:rFonts w:hint="eastAsia"/>
          <w:b/>
          <w:bCs/>
          <w:color w:val="auto"/>
        </w:rPr>
        <w:t>表5.2.3-1 声环境质量现状监测结果表（单位dB（A））</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971"/>
        <w:gridCol w:w="1971"/>
        <w:gridCol w:w="1971"/>
        <w:gridCol w:w="1971"/>
      </w:tblGrid>
      <w:tr w14:paraId="30D06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Merge w:val="restart"/>
            <w:vAlign w:val="center"/>
          </w:tcPr>
          <w:p w14:paraId="36E16FEB">
            <w:pPr>
              <w:spacing w:line="240" w:lineRule="auto"/>
              <w:ind w:firstLine="0" w:firstLineChars="0"/>
              <w:jc w:val="center"/>
              <w:rPr>
                <w:b/>
                <w:bCs/>
                <w:color w:val="auto"/>
                <w:sz w:val="21"/>
                <w:szCs w:val="21"/>
              </w:rPr>
            </w:pPr>
            <w:r>
              <w:rPr>
                <w:b/>
                <w:bCs/>
                <w:color w:val="auto"/>
                <w:sz w:val="21"/>
                <w:szCs w:val="21"/>
              </w:rPr>
              <w:t>监测点位</w:t>
            </w:r>
          </w:p>
        </w:tc>
        <w:tc>
          <w:tcPr>
            <w:tcW w:w="2000" w:type="pct"/>
            <w:gridSpan w:val="2"/>
            <w:vAlign w:val="center"/>
          </w:tcPr>
          <w:p w14:paraId="126D1394">
            <w:pPr>
              <w:spacing w:line="240" w:lineRule="auto"/>
              <w:ind w:firstLine="0" w:firstLineChars="0"/>
              <w:jc w:val="center"/>
              <w:rPr>
                <w:b/>
                <w:bCs/>
                <w:color w:val="auto"/>
                <w:sz w:val="21"/>
                <w:szCs w:val="21"/>
              </w:rPr>
            </w:pPr>
            <w:r>
              <w:rPr>
                <w:b/>
                <w:bCs/>
                <w:color w:val="auto"/>
                <w:sz w:val="21"/>
                <w:szCs w:val="21"/>
              </w:rPr>
              <w:t>2026.3.18</w:t>
            </w:r>
          </w:p>
        </w:tc>
        <w:tc>
          <w:tcPr>
            <w:tcW w:w="2000" w:type="pct"/>
            <w:gridSpan w:val="2"/>
            <w:vAlign w:val="center"/>
          </w:tcPr>
          <w:p w14:paraId="2C354B70">
            <w:pPr>
              <w:spacing w:line="240" w:lineRule="auto"/>
              <w:ind w:firstLine="0" w:firstLineChars="0"/>
              <w:jc w:val="center"/>
              <w:rPr>
                <w:b/>
                <w:bCs/>
                <w:color w:val="auto"/>
                <w:sz w:val="21"/>
                <w:szCs w:val="21"/>
              </w:rPr>
            </w:pPr>
            <w:r>
              <w:rPr>
                <w:b/>
                <w:bCs/>
                <w:color w:val="auto"/>
                <w:sz w:val="21"/>
                <w:szCs w:val="21"/>
              </w:rPr>
              <w:t>2026.3.19</w:t>
            </w:r>
          </w:p>
        </w:tc>
      </w:tr>
      <w:tr w14:paraId="09FB7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Merge w:val="continue"/>
            <w:vAlign w:val="center"/>
          </w:tcPr>
          <w:p w14:paraId="71AF3B69">
            <w:pPr>
              <w:spacing w:line="240" w:lineRule="auto"/>
              <w:ind w:firstLine="0" w:firstLineChars="0"/>
              <w:jc w:val="center"/>
              <w:rPr>
                <w:b/>
                <w:bCs/>
                <w:color w:val="auto"/>
                <w:sz w:val="21"/>
                <w:szCs w:val="21"/>
              </w:rPr>
            </w:pPr>
          </w:p>
        </w:tc>
        <w:tc>
          <w:tcPr>
            <w:tcW w:w="1000" w:type="pct"/>
            <w:vAlign w:val="center"/>
          </w:tcPr>
          <w:p w14:paraId="60D07723">
            <w:pPr>
              <w:spacing w:line="240" w:lineRule="auto"/>
              <w:ind w:firstLine="0" w:firstLineChars="0"/>
              <w:jc w:val="center"/>
              <w:rPr>
                <w:b/>
                <w:bCs/>
                <w:color w:val="auto"/>
                <w:sz w:val="21"/>
                <w:szCs w:val="21"/>
              </w:rPr>
            </w:pPr>
            <w:r>
              <w:rPr>
                <w:b/>
                <w:bCs/>
                <w:color w:val="auto"/>
                <w:sz w:val="21"/>
                <w:szCs w:val="21"/>
              </w:rPr>
              <w:t>昼间</w:t>
            </w:r>
          </w:p>
        </w:tc>
        <w:tc>
          <w:tcPr>
            <w:tcW w:w="1000" w:type="pct"/>
            <w:vAlign w:val="center"/>
          </w:tcPr>
          <w:p w14:paraId="77150067">
            <w:pPr>
              <w:spacing w:line="240" w:lineRule="auto"/>
              <w:ind w:firstLine="0" w:firstLineChars="0"/>
              <w:jc w:val="center"/>
              <w:rPr>
                <w:b/>
                <w:bCs/>
                <w:color w:val="auto"/>
                <w:sz w:val="21"/>
                <w:szCs w:val="21"/>
              </w:rPr>
            </w:pPr>
            <w:r>
              <w:rPr>
                <w:b/>
                <w:bCs/>
                <w:color w:val="auto"/>
                <w:sz w:val="21"/>
                <w:szCs w:val="21"/>
              </w:rPr>
              <w:t>夜间</w:t>
            </w:r>
          </w:p>
        </w:tc>
        <w:tc>
          <w:tcPr>
            <w:tcW w:w="1000" w:type="pct"/>
            <w:vAlign w:val="center"/>
          </w:tcPr>
          <w:p w14:paraId="53E8C4C8">
            <w:pPr>
              <w:spacing w:line="240" w:lineRule="auto"/>
              <w:ind w:firstLine="0" w:firstLineChars="0"/>
              <w:jc w:val="center"/>
              <w:rPr>
                <w:b/>
                <w:bCs/>
                <w:color w:val="auto"/>
                <w:sz w:val="21"/>
                <w:szCs w:val="21"/>
              </w:rPr>
            </w:pPr>
            <w:r>
              <w:rPr>
                <w:b/>
                <w:bCs/>
                <w:color w:val="auto"/>
                <w:sz w:val="21"/>
                <w:szCs w:val="21"/>
              </w:rPr>
              <w:t>昼间</w:t>
            </w:r>
          </w:p>
        </w:tc>
        <w:tc>
          <w:tcPr>
            <w:tcW w:w="1000" w:type="pct"/>
            <w:vAlign w:val="center"/>
          </w:tcPr>
          <w:p w14:paraId="4C6C7D66">
            <w:pPr>
              <w:spacing w:line="240" w:lineRule="auto"/>
              <w:ind w:firstLine="0" w:firstLineChars="0"/>
              <w:jc w:val="center"/>
              <w:rPr>
                <w:b/>
                <w:bCs/>
                <w:color w:val="auto"/>
                <w:sz w:val="21"/>
                <w:szCs w:val="21"/>
              </w:rPr>
            </w:pPr>
            <w:r>
              <w:rPr>
                <w:b/>
                <w:bCs/>
                <w:color w:val="auto"/>
                <w:sz w:val="21"/>
                <w:szCs w:val="21"/>
              </w:rPr>
              <w:t>夜间</w:t>
            </w:r>
          </w:p>
        </w:tc>
      </w:tr>
      <w:tr w14:paraId="2D80F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Align w:val="center"/>
          </w:tcPr>
          <w:p w14:paraId="29F1C2F4">
            <w:pPr>
              <w:spacing w:line="240" w:lineRule="auto"/>
              <w:ind w:firstLine="0" w:firstLineChars="0"/>
              <w:jc w:val="center"/>
              <w:rPr>
                <w:color w:val="auto"/>
                <w:sz w:val="21"/>
                <w:szCs w:val="21"/>
              </w:rPr>
            </w:pPr>
            <w:r>
              <w:rPr>
                <w:color w:val="auto"/>
                <w:sz w:val="21"/>
                <w:szCs w:val="21"/>
              </w:rPr>
              <w:t>N1</w:t>
            </w:r>
          </w:p>
        </w:tc>
        <w:tc>
          <w:tcPr>
            <w:tcW w:w="1000" w:type="pct"/>
            <w:vAlign w:val="center"/>
          </w:tcPr>
          <w:p w14:paraId="24B7AD12">
            <w:pPr>
              <w:spacing w:line="240" w:lineRule="auto"/>
              <w:ind w:firstLine="0" w:firstLineChars="0"/>
              <w:jc w:val="center"/>
              <w:rPr>
                <w:color w:val="auto"/>
                <w:sz w:val="21"/>
                <w:szCs w:val="21"/>
              </w:rPr>
            </w:pPr>
            <w:r>
              <w:rPr>
                <w:rFonts w:hint="eastAsia"/>
                <w:color w:val="auto"/>
                <w:sz w:val="21"/>
                <w:szCs w:val="21"/>
              </w:rPr>
              <w:t>52</w:t>
            </w:r>
          </w:p>
        </w:tc>
        <w:tc>
          <w:tcPr>
            <w:tcW w:w="1000" w:type="pct"/>
            <w:vAlign w:val="center"/>
          </w:tcPr>
          <w:p w14:paraId="274EB77F">
            <w:pPr>
              <w:spacing w:line="240" w:lineRule="auto"/>
              <w:ind w:firstLine="0" w:firstLineChars="0"/>
              <w:jc w:val="center"/>
              <w:rPr>
                <w:color w:val="auto"/>
                <w:sz w:val="21"/>
                <w:szCs w:val="21"/>
              </w:rPr>
            </w:pPr>
            <w:r>
              <w:rPr>
                <w:rFonts w:hint="eastAsia"/>
                <w:color w:val="auto"/>
                <w:sz w:val="21"/>
                <w:szCs w:val="21"/>
              </w:rPr>
              <w:t>42</w:t>
            </w:r>
          </w:p>
        </w:tc>
        <w:tc>
          <w:tcPr>
            <w:tcW w:w="1000" w:type="pct"/>
            <w:vAlign w:val="center"/>
          </w:tcPr>
          <w:p w14:paraId="7BAD6530">
            <w:pPr>
              <w:spacing w:line="240" w:lineRule="auto"/>
              <w:ind w:firstLine="0" w:firstLineChars="0"/>
              <w:jc w:val="center"/>
              <w:rPr>
                <w:color w:val="auto"/>
                <w:sz w:val="21"/>
                <w:szCs w:val="21"/>
              </w:rPr>
            </w:pPr>
            <w:r>
              <w:rPr>
                <w:rFonts w:hint="eastAsia"/>
                <w:color w:val="auto"/>
                <w:sz w:val="21"/>
                <w:szCs w:val="21"/>
              </w:rPr>
              <w:t>51</w:t>
            </w:r>
          </w:p>
        </w:tc>
        <w:tc>
          <w:tcPr>
            <w:tcW w:w="1000" w:type="pct"/>
            <w:vAlign w:val="center"/>
          </w:tcPr>
          <w:p w14:paraId="1F844618">
            <w:pPr>
              <w:spacing w:line="240" w:lineRule="auto"/>
              <w:ind w:firstLine="0" w:firstLineChars="0"/>
              <w:jc w:val="center"/>
              <w:rPr>
                <w:color w:val="auto"/>
                <w:sz w:val="21"/>
                <w:szCs w:val="21"/>
              </w:rPr>
            </w:pPr>
            <w:r>
              <w:rPr>
                <w:rFonts w:hint="eastAsia"/>
                <w:color w:val="auto"/>
                <w:sz w:val="21"/>
                <w:szCs w:val="21"/>
              </w:rPr>
              <w:t>41</w:t>
            </w:r>
          </w:p>
        </w:tc>
      </w:tr>
      <w:tr w14:paraId="59F05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Align w:val="center"/>
          </w:tcPr>
          <w:p w14:paraId="18C9E80B">
            <w:pPr>
              <w:spacing w:line="240" w:lineRule="auto"/>
              <w:ind w:firstLine="0" w:firstLineChars="0"/>
              <w:jc w:val="center"/>
              <w:rPr>
                <w:color w:val="auto"/>
                <w:sz w:val="21"/>
                <w:szCs w:val="21"/>
              </w:rPr>
            </w:pPr>
            <w:r>
              <w:rPr>
                <w:color w:val="auto"/>
                <w:sz w:val="21"/>
                <w:szCs w:val="21"/>
              </w:rPr>
              <w:t>N2</w:t>
            </w:r>
          </w:p>
        </w:tc>
        <w:tc>
          <w:tcPr>
            <w:tcW w:w="1000" w:type="pct"/>
            <w:vAlign w:val="center"/>
          </w:tcPr>
          <w:p w14:paraId="3A61AC30">
            <w:pPr>
              <w:spacing w:line="240" w:lineRule="auto"/>
              <w:ind w:firstLine="0" w:firstLineChars="0"/>
              <w:jc w:val="center"/>
              <w:rPr>
                <w:color w:val="auto"/>
                <w:sz w:val="21"/>
                <w:szCs w:val="21"/>
              </w:rPr>
            </w:pPr>
            <w:r>
              <w:rPr>
                <w:rFonts w:hint="eastAsia"/>
                <w:color w:val="auto"/>
                <w:sz w:val="21"/>
                <w:szCs w:val="21"/>
              </w:rPr>
              <w:t>53</w:t>
            </w:r>
          </w:p>
        </w:tc>
        <w:tc>
          <w:tcPr>
            <w:tcW w:w="1000" w:type="pct"/>
            <w:vAlign w:val="center"/>
          </w:tcPr>
          <w:p w14:paraId="21F3042A">
            <w:pPr>
              <w:spacing w:line="240" w:lineRule="auto"/>
              <w:ind w:firstLine="0" w:firstLineChars="0"/>
              <w:jc w:val="center"/>
              <w:rPr>
                <w:color w:val="auto"/>
                <w:sz w:val="21"/>
                <w:szCs w:val="21"/>
              </w:rPr>
            </w:pPr>
            <w:r>
              <w:rPr>
                <w:rFonts w:hint="eastAsia"/>
                <w:color w:val="auto"/>
                <w:sz w:val="21"/>
                <w:szCs w:val="21"/>
              </w:rPr>
              <w:t>43</w:t>
            </w:r>
          </w:p>
        </w:tc>
        <w:tc>
          <w:tcPr>
            <w:tcW w:w="1000" w:type="pct"/>
            <w:vAlign w:val="center"/>
          </w:tcPr>
          <w:p w14:paraId="4E8A27FA">
            <w:pPr>
              <w:spacing w:line="240" w:lineRule="auto"/>
              <w:ind w:firstLine="0" w:firstLineChars="0"/>
              <w:jc w:val="center"/>
              <w:rPr>
                <w:color w:val="auto"/>
                <w:sz w:val="21"/>
                <w:szCs w:val="21"/>
              </w:rPr>
            </w:pPr>
            <w:r>
              <w:rPr>
                <w:rFonts w:hint="eastAsia"/>
                <w:color w:val="auto"/>
                <w:sz w:val="21"/>
                <w:szCs w:val="21"/>
              </w:rPr>
              <w:t>52</w:t>
            </w:r>
          </w:p>
        </w:tc>
        <w:tc>
          <w:tcPr>
            <w:tcW w:w="1000" w:type="pct"/>
            <w:vAlign w:val="center"/>
          </w:tcPr>
          <w:p w14:paraId="06C31C23">
            <w:pPr>
              <w:spacing w:line="240" w:lineRule="auto"/>
              <w:ind w:firstLine="0" w:firstLineChars="0"/>
              <w:jc w:val="center"/>
              <w:rPr>
                <w:color w:val="auto"/>
                <w:sz w:val="21"/>
                <w:szCs w:val="21"/>
              </w:rPr>
            </w:pPr>
            <w:r>
              <w:rPr>
                <w:rFonts w:hint="eastAsia"/>
                <w:color w:val="auto"/>
                <w:sz w:val="21"/>
                <w:szCs w:val="21"/>
              </w:rPr>
              <w:t>43</w:t>
            </w:r>
          </w:p>
        </w:tc>
      </w:tr>
      <w:tr w14:paraId="2A739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Align w:val="center"/>
          </w:tcPr>
          <w:p w14:paraId="2420B207">
            <w:pPr>
              <w:spacing w:line="240" w:lineRule="auto"/>
              <w:ind w:firstLine="0" w:firstLineChars="0"/>
              <w:jc w:val="center"/>
              <w:rPr>
                <w:color w:val="auto"/>
                <w:sz w:val="21"/>
                <w:szCs w:val="21"/>
              </w:rPr>
            </w:pPr>
            <w:r>
              <w:rPr>
                <w:color w:val="auto"/>
                <w:sz w:val="21"/>
                <w:szCs w:val="21"/>
              </w:rPr>
              <w:t>N3</w:t>
            </w:r>
          </w:p>
        </w:tc>
        <w:tc>
          <w:tcPr>
            <w:tcW w:w="1000" w:type="pct"/>
            <w:vAlign w:val="center"/>
          </w:tcPr>
          <w:p w14:paraId="7B3C8360">
            <w:pPr>
              <w:spacing w:line="240" w:lineRule="auto"/>
              <w:ind w:firstLine="0" w:firstLineChars="0"/>
              <w:jc w:val="center"/>
              <w:rPr>
                <w:color w:val="auto"/>
                <w:sz w:val="21"/>
                <w:szCs w:val="21"/>
              </w:rPr>
            </w:pPr>
            <w:r>
              <w:rPr>
                <w:rFonts w:hint="eastAsia"/>
                <w:color w:val="auto"/>
                <w:sz w:val="21"/>
                <w:szCs w:val="21"/>
              </w:rPr>
              <w:t>54</w:t>
            </w:r>
          </w:p>
        </w:tc>
        <w:tc>
          <w:tcPr>
            <w:tcW w:w="1000" w:type="pct"/>
            <w:vAlign w:val="center"/>
          </w:tcPr>
          <w:p w14:paraId="00CE0E3C">
            <w:pPr>
              <w:spacing w:line="240" w:lineRule="auto"/>
              <w:ind w:firstLine="0" w:firstLineChars="0"/>
              <w:jc w:val="center"/>
              <w:rPr>
                <w:color w:val="auto"/>
                <w:sz w:val="21"/>
                <w:szCs w:val="21"/>
              </w:rPr>
            </w:pPr>
            <w:r>
              <w:rPr>
                <w:rFonts w:hint="eastAsia"/>
                <w:color w:val="auto"/>
                <w:sz w:val="21"/>
                <w:szCs w:val="21"/>
              </w:rPr>
              <w:t>44</w:t>
            </w:r>
          </w:p>
        </w:tc>
        <w:tc>
          <w:tcPr>
            <w:tcW w:w="1000" w:type="pct"/>
            <w:vAlign w:val="center"/>
          </w:tcPr>
          <w:p w14:paraId="6F527B4D">
            <w:pPr>
              <w:spacing w:line="240" w:lineRule="auto"/>
              <w:ind w:firstLine="0" w:firstLineChars="0"/>
              <w:jc w:val="center"/>
              <w:rPr>
                <w:color w:val="auto"/>
                <w:sz w:val="21"/>
                <w:szCs w:val="21"/>
              </w:rPr>
            </w:pPr>
            <w:r>
              <w:rPr>
                <w:rFonts w:hint="eastAsia"/>
                <w:color w:val="auto"/>
                <w:sz w:val="21"/>
                <w:szCs w:val="21"/>
              </w:rPr>
              <w:t>53</w:t>
            </w:r>
          </w:p>
        </w:tc>
        <w:tc>
          <w:tcPr>
            <w:tcW w:w="1000" w:type="pct"/>
            <w:vAlign w:val="center"/>
          </w:tcPr>
          <w:p w14:paraId="1A90E6CD">
            <w:pPr>
              <w:spacing w:line="240" w:lineRule="auto"/>
              <w:ind w:firstLine="0" w:firstLineChars="0"/>
              <w:jc w:val="center"/>
              <w:rPr>
                <w:color w:val="auto"/>
                <w:sz w:val="21"/>
                <w:szCs w:val="21"/>
              </w:rPr>
            </w:pPr>
            <w:r>
              <w:rPr>
                <w:rFonts w:hint="eastAsia"/>
                <w:color w:val="auto"/>
                <w:sz w:val="21"/>
                <w:szCs w:val="21"/>
              </w:rPr>
              <w:t>43</w:t>
            </w:r>
          </w:p>
        </w:tc>
      </w:tr>
      <w:tr w14:paraId="1A437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Align w:val="center"/>
          </w:tcPr>
          <w:p w14:paraId="15ED1E83">
            <w:pPr>
              <w:spacing w:line="240" w:lineRule="auto"/>
              <w:ind w:firstLine="0" w:firstLineChars="0"/>
              <w:jc w:val="center"/>
              <w:rPr>
                <w:color w:val="auto"/>
                <w:sz w:val="21"/>
                <w:szCs w:val="21"/>
              </w:rPr>
            </w:pPr>
            <w:r>
              <w:rPr>
                <w:color w:val="auto"/>
                <w:sz w:val="21"/>
                <w:szCs w:val="21"/>
              </w:rPr>
              <w:t>N4</w:t>
            </w:r>
          </w:p>
        </w:tc>
        <w:tc>
          <w:tcPr>
            <w:tcW w:w="1000" w:type="pct"/>
            <w:vAlign w:val="center"/>
          </w:tcPr>
          <w:p w14:paraId="684FBA07">
            <w:pPr>
              <w:spacing w:line="240" w:lineRule="auto"/>
              <w:ind w:firstLine="0" w:firstLineChars="0"/>
              <w:jc w:val="center"/>
              <w:rPr>
                <w:color w:val="auto"/>
                <w:sz w:val="21"/>
                <w:szCs w:val="21"/>
              </w:rPr>
            </w:pPr>
            <w:r>
              <w:rPr>
                <w:rFonts w:hint="eastAsia"/>
                <w:color w:val="auto"/>
                <w:sz w:val="21"/>
                <w:szCs w:val="21"/>
              </w:rPr>
              <w:t>52</w:t>
            </w:r>
          </w:p>
        </w:tc>
        <w:tc>
          <w:tcPr>
            <w:tcW w:w="1000" w:type="pct"/>
            <w:vAlign w:val="center"/>
          </w:tcPr>
          <w:p w14:paraId="1DCEA28E">
            <w:pPr>
              <w:spacing w:line="240" w:lineRule="auto"/>
              <w:ind w:firstLine="0" w:firstLineChars="0"/>
              <w:jc w:val="center"/>
              <w:rPr>
                <w:color w:val="auto"/>
                <w:sz w:val="21"/>
                <w:szCs w:val="21"/>
              </w:rPr>
            </w:pPr>
            <w:r>
              <w:rPr>
                <w:rFonts w:hint="eastAsia"/>
                <w:color w:val="auto"/>
                <w:sz w:val="21"/>
                <w:szCs w:val="21"/>
              </w:rPr>
              <w:t>42</w:t>
            </w:r>
          </w:p>
        </w:tc>
        <w:tc>
          <w:tcPr>
            <w:tcW w:w="1000" w:type="pct"/>
            <w:vAlign w:val="center"/>
          </w:tcPr>
          <w:p w14:paraId="35A0A642">
            <w:pPr>
              <w:spacing w:line="240" w:lineRule="auto"/>
              <w:ind w:firstLine="0" w:firstLineChars="0"/>
              <w:jc w:val="center"/>
              <w:rPr>
                <w:color w:val="auto"/>
                <w:sz w:val="21"/>
                <w:szCs w:val="21"/>
              </w:rPr>
            </w:pPr>
            <w:r>
              <w:rPr>
                <w:rFonts w:hint="eastAsia"/>
                <w:color w:val="auto"/>
                <w:sz w:val="21"/>
                <w:szCs w:val="21"/>
              </w:rPr>
              <w:t>52</w:t>
            </w:r>
          </w:p>
        </w:tc>
        <w:tc>
          <w:tcPr>
            <w:tcW w:w="1000" w:type="pct"/>
            <w:vAlign w:val="center"/>
          </w:tcPr>
          <w:p w14:paraId="6D48E43C">
            <w:pPr>
              <w:spacing w:line="240" w:lineRule="auto"/>
              <w:ind w:firstLine="0" w:firstLineChars="0"/>
              <w:jc w:val="center"/>
              <w:rPr>
                <w:color w:val="auto"/>
                <w:sz w:val="21"/>
                <w:szCs w:val="21"/>
              </w:rPr>
            </w:pPr>
            <w:r>
              <w:rPr>
                <w:rFonts w:hint="eastAsia"/>
                <w:color w:val="auto"/>
                <w:sz w:val="21"/>
                <w:szCs w:val="21"/>
              </w:rPr>
              <w:t>43</w:t>
            </w:r>
          </w:p>
        </w:tc>
      </w:tr>
      <w:tr w14:paraId="37464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Align w:val="center"/>
          </w:tcPr>
          <w:p w14:paraId="1B942DDC">
            <w:pPr>
              <w:spacing w:line="240" w:lineRule="auto"/>
              <w:ind w:firstLine="0" w:firstLineChars="0"/>
              <w:jc w:val="center"/>
              <w:rPr>
                <w:color w:val="auto"/>
                <w:sz w:val="21"/>
                <w:szCs w:val="21"/>
              </w:rPr>
            </w:pPr>
            <w:r>
              <w:rPr>
                <w:color w:val="auto"/>
                <w:sz w:val="21"/>
                <w:szCs w:val="21"/>
              </w:rPr>
              <w:t>标准值</w:t>
            </w:r>
          </w:p>
        </w:tc>
        <w:tc>
          <w:tcPr>
            <w:tcW w:w="1000" w:type="pct"/>
            <w:vAlign w:val="center"/>
          </w:tcPr>
          <w:p w14:paraId="56C9C268">
            <w:pPr>
              <w:spacing w:line="240" w:lineRule="auto"/>
              <w:ind w:firstLine="0" w:firstLineChars="0"/>
              <w:jc w:val="center"/>
              <w:rPr>
                <w:color w:val="auto"/>
                <w:sz w:val="21"/>
                <w:szCs w:val="21"/>
              </w:rPr>
            </w:pPr>
            <w:r>
              <w:rPr>
                <w:rFonts w:hint="eastAsia"/>
                <w:color w:val="auto"/>
                <w:sz w:val="21"/>
                <w:szCs w:val="21"/>
              </w:rPr>
              <w:t>65</w:t>
            </w:r>
          </w:p>
        </w:tc>
        <w:tc>
          <w:tcPr>
            <w:tcW w:w="1000" w:type="pct"/>
            <w:vAlign w:val="center"/>
          </w:tcPr>
          <w:p w14:paraId="0FA427AC">
            <w:pPr>
              <w:spacing w:line="240" w:lineRule="auto"/>
              <w:ind w:firstLine="0" w:firstLineChars="0"/>
              <w:jc w:val="center"/>
              <w:rPr>
                <w:color w:val="auto"/>
                <w:sz w:val="21"/>
                <w:szCs w:val="21"/>
              </w:rPr>
            </w:pPr>
            <w:r>
              <w:rPr>
                <w:rFonts w:hint="eastAsia"/>
                <w:color w:val="auto"/>
                <w:sz w:val="21"/>
                <w:szCs w:val="21"/>
              </w:rPr>
              <w:t>55</w:t>
            </w:r>
          </w:p>
        </w:tc>
        <w:tc>
          <w:tcPr>
            <w:tcW w:w="1000" w:type="pct"/>
            <w:vAlign w:val="center"/>
          </w:tcPr>
          <w:p w14:paraId="57A2CF93">
            <w:pPr>
              <w:spacing w:line="240" w:lineRule="auto"/>
              <w:ind w:firstLine="0" w:firstLineChars="0"/>
              <w:jc w:val="center"/>
              <w:rPr>
                <w:color w:val="auto"/>
                <w:sz w:val="21"/>
                <w:szCs w:val="21"/>
              </w:rPr>
            </w:pPr>
            <w:r>
              <w:rPr>
                <w:rFonts w:hint="eastAsia"/>
                <w:color w:val="auto"/>
                <w:sz w:val="21"/>
                <w:szCs w:val="21"/>
              </w:rPr>
              <w:t>65</w:t>
            </w:r>
          </w:p>
        </w:tc>
        <w:tc>
          <w:tcPr>
            <w:tcW w:w="1000" w:type="pct"/>
            <w:vAlign w:val="center"/>
          </w:tcPr>
          <w:p w14:paraId="1FAA209D">
            <w:pPr>
              <w:spacing w:line="240" w:lineRule="auto"/>
              <w:ind w:firstLine="0" w:firstLineChars="0"/>
              <w:jc w:val="center"/>
              <w:rPr>
                <w:color w:val="auto"/>
                <w:sz w:val="21"/>
                <w:szCs w:val="21"/>
              </w:rPr>
            </w:pPr>
            <w:r>
              <w:rPr>
                <w:rFonts w:hint="eastAsia"/>
                <w:color w:val="auto"/>
                <w:sz w:val="21"/>
                <w:szCs w:val="21"/>
              </w:rPr>
              <w:t>55</w:t>
            </w:r>
          </w:p>
        </w:tc>
      </w:tr>
    </w:tbl>
    <w:p w14:paraId="5D0078EF">
      <w:pPr>
        <w:ind w:firstLine="480"/>
        <w:rPr>
          <w:color w:val="auto"/>
        </w:rPr>
      </w:pPr>
      <w:r>
        <w:rPr>
          <w:color w:val="auto"/>
        </w:rPr>
        <w:t>根据声环境质量现状监测结果，监测期间厂界各监测点声环境均可达到《声环境质量标准》(GB3096-2008)中的3类标准，项目所在区域声环境质量现状良好。</w:t>
      </w:r>
    </w:p>
    <w:p w14:paraId="4B7E9BCC">
      <w:pPr>
        <w:pStyle w:val="4"/>
        <w:rPr>
          <w:color w:val="auto"/>
        </w:rPr>
      </w:pPr>
      <w:bookmarkStart w:id="188" w:name="_Toc5585"/>
      <w:r>
        <w:rPr>
          <w:rFonts w:hint="eastAsia"/>
          <w:color w:val="auto"/>
        </w:rPr>
        <w:t>5.2.4地下水环境质量现状监测与评价</w:t>
      </w:r>
      <w:bookmarkEnd w:id="188"/>
    </w:p>
    <w:p w14:paraId="45C0A866">
      <w:pPr>
        <w:pStyle w:val="5"/>
        <w:spacing w:before="156"/>
        <w:rPr>
          <w:color w:val="auto"/>
        </w:rPr>
      </w:pPr>
      <w:r>
        <w:rPr>
          <w:rFonts w:hint="eastAsia"/>
          <w:color w:val="auto"/>
        </w:rPr>
        <w:t>5.2.4.1地下水水位监测</w:t>
      </w:r>
    </w:p>
    <w:p w14:paraId="3C6AD6C3">
      <w:pPr>
        <w:ind w:firstLine="480"/>
        <w:rPr>
          <w:color w:val="auto"/>
        </w:rPr>
      </w:pPr>
      <w:r>
        <w:rPr>
          <w:rFonts w:hint="eastAsia"/>
          <w:color w:val="auto"/>
        </w:rPr>
        <w:t>拟建</w:t>
      </w:r>
      <w:r>
        <w:rPr>
          <w:color w:val="auto"/>
        </w:rPr>
        <w:t>地下水调查点分布及基本信息统计情况见表5.2.4-1及图5.2.</w:t>
      </w:r>
      <w:r>
        <w:rPr>
          <w:rFonts w:hint="eastAsia"/>
          <w:color w:val="auto"/>
        </w:rPr>
        <w:t>4</w:t>
      </w:r>
      <w:r>
        <w:rPr>
          <w:color w:val="auto"/>
        </w:rPr>
        <w:t>-1。</w:t>
      </w:r>
    </w:p>
    <w:p w14:paraId="6E32AE04">
      <w:pPr>
        <w:ind w:firstLine="480"/>
        <w:rPr>
          <w:color w:val="auto"/>
        </w:rPr>
      </w:pPr>
      <w:r>
        <w:rPr>
          <w:color w:val="auto"/>
        </w:rPr>
        <w:t>结合工程地质勘察资料、野外现场地下水相关资料调查，评价区及其附近浅层地下水埋深较浅，地下水水位一般在0.974~1.402m左右，具体见地下水水位调查点基本信息统计表。</w:t>
      </w:r>
    </w:p>
    <w:p w14:paraId="3EE95D89">
      <w:pPr>
        <w:ind w:firstLine="482"/>
        <w:jc w:val="center"/>
        <w:rPr>
          <w:b/>
          <w:bCs/>
          <w:color w:val="auto"/>
        </w:rPr>
      </w:pPr>
      <w:r>
        <w:rPr>
          <w:rFonts w:hint="eastAsia"/>
          <w:b/>
          <w:bCs/>
          <w:color w:val="auto"/>
        </w:rPr>
        <w:t>表5.2.4-1 水位调查点基本信息统计表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569"/>
        <w:gridCol w:w="1429"/>
        <w:gridCol w:w="1486"/>
        <w:gridCol w:w="1549"/>
        <w:gridCol w:w="1236"/>
        <w:gridCol w:w="810"/>
        <w:gridCol w:w="1046"/>
      </w:tblGrid>
      <w:tr w14:paraId="53DB4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70" w:type="pct"/>
            <w:vAlign w:val="center"/>
          </w:tcPr>
          <w:p w14:paraId="1C8147B9">
            <w:pPr>
              <w:spacing w:line="240" w:lineRule="auto"/>
              <w:ind w:firstLine="0" w:firstLineChars="0"/>
              <w:jc w:val="center"/>
              <w:rPr>
                <w:b/>
                <w:bCs/>
                <w:color w:val="auto"/>
                <w:sz w:val="21"/>
                <w:szCs w:val="21"/>
              </w:rPr>
            </w:pPr>
            <w:r>
              <w:rPr>
                <w:b/>
                <w:bCs/>
                <w:color w:val="auto"/>
                <w:sz w:val="21"/>
                <w:szCs w:val="21"/>
              </w:rPr>
              <w:t>编号</w:t>
            </w:r>
          </w:p>
        </w:tc>
        <w:tc>
          <w:tcPr>
            <w:tcW w:w="796" w:type="pct"/>
            <w:vAlign w:val="center"/>
          </w:tcPr>
          <w:p w14:paraId="1E767F77">
            <w:pPr>
              <w:spacing w:line="240" w:lineRule="auto"/>
              <w:ind w:firstLine="0" w:firstLineChars="0"/>
              <w:jc w:val="center"/>
              <w:rPr>
                <w:b/>
                <w:bCs/>
                <w:color w:val="auto"/>
                <w:sz w:val="21"/>
                <w:szCs w:val="21"/>
              </w:rPr>
            </w:pPr>
            <w:r>
              <w:rPr>
                <w:b/>
                <w:bCs/>
                <w:color w:val="auto"/>
                <w:sz w:val="21"/>
                <w:szCs w:val="21"/>
              </w:rPr>
              <w:t>经度</w:t>
            </w:r>
          </w:p>
        </w:tc>
        <w:tc>
          <w:tcPr>
            <w:tcW w:w="725" w:type="pct"/>
            <w:vAlign w:val="center"/>
          </w:tcPr>
          <w:p w14:paraId="4A161D3D">
            <w:pPr>
              <w:spacing w:line="240" w:lineRule="auto"/>
              <w:ind w:firstLine="0" w:firstLineChars="0"/>
              <w:jc w:val="center"/>
              <w:rPr>
                <w:b/>
                <w:bCs/>
                <w:color w:val="auto"/>
                <w:sz w:val="21"/>
                <w:szCs w:val="21"/>
              </w:rPr>
            </w:pPr>
            <w:r>
              <w:rPr>
                <w:b/>
                <w:bCs/>
                <w:color w:val="auto"/>
                <w:sz w:val="21"/>
                <w:szCs w:val="21"/>
              </w:rPr>
              <w:t>纬度</w:t>
            </w:r>
          </w:p>
        </w:tc>
        <w:tc>
          <w:tcPr>
            <w:tcW w:w="754" w:type="pct"/>
            <w:noWrap/>
            <w:vAlign w:val="center"/>
          </w:tcPr>
          <w:p w14:paraId="5660442F">
            <w:pPr>
              <w:spacing w:line="240" w:lineRule="auto"/>
              <w:ind w:firstLine="0" w:firstLineChars="0"/>
              <w:jc w:val="center"/>
              <w:rPr>
                <w:b/>
                <w:bCs/>
                <w:color w:val="auto"/>
                <w:sz w:val="21"/>
                <w:szCs w:val="21"/>
              </w:rPr>
            </w:pPr>
            <w:r>
              <w:rPr>
                <w:b/>
                <w:bCs/>
                <w:color w:val="auto"/>
                <w:sz w:val="21"/>
                <w:szCs w:val="21"/>
              </w:rPr>
              <w:t>地下水位m</w:t>
            </w:r>
          </w:p>
        </w:tc>
        <w:tc>
          <w:tcPr>
            <w:tcW w:w="786" w:type="pct"/>
            <w:vAlign w:val="center"/>
          </w:tcPr>
          <w:p w14:paraId="4C59E862">
            <w:pPr>
              <w:spacing w:line="240" w:lineRule="auto"/>
              <w:ind w:firstLine="0" w:firstLineChars="0"/>
              <w:jc w:val="center"/>
              <w:rPr>
                <w:b/>
                <w:bCs/>
                <w:color w:val="auto"/>
                <w:sz w:val="21"/>
                <w:szCs w:val="21"/>
              </w:rPr>
            </w:pPr>
            <w:r>
              <w:rPr>
                <w:b/>
                <w:bCs/>
                <w:color w:val="auto"/>
                <w:sz w:val="21"/>
                <w:szCs w:val="21"/>
              </w:rPr>
              <w:t>井口高程m</w:t>
            </w:r>
          </w:p>
        </w:tc>
        <w:tc>
          <w:tcPr>
            <w:tcW w:w="627" w:type="pct"/>
            <w:vAlign w:val="center"/>
          </w:tcPr>
          <w:p w14:paraId="163932DC">
            <w:pPr>
              <w:spacing w:line="240" w:lineRule="auto"/>
              <w:ind w:firstLine="0" w:firstLineChars="0"/>
              <w:jc w:val="center"/>
              <w:rPr>
                <w:b/>
                <w:bCs/>
                <w:color w:val="auto"/>
                <w:sz w:val="21"/>
                <w:szCs w:val="21"/>
              </w:rPr>
            </w:pPr>
            <w:r>
              <w:rPr>
                <w:b/>
                <w:bCs/>
                <w:color w:val="auto"/>
                <w:sz w:val="21"/>
                <w:szCs w:val="21"/>
              </w:rPr>
              <w:t>水位埋深m</w:t>
            </w:r>
          </w:p>
        </w:tc>
        <w:tc>
          <w:tcPr>
            <w:tcW w:w="411" w:type="pct"/>
            <w:vAlign w:val="center"/>
          </w:tcPr>
          <w:p w14:paraId="39AC0209">
            <w:pPr>
              <w:spacing w:line="240" w:lineRule="auto"/>
              <w:ind w:firstLine="0" w:firstLineChars="0"/>
              <w:jc w:val="center"/>
              <w:rPr>
                <w:b/>
                <w:bCs/>
                <w:color w:val="auto"/>
                <w:sz w:val="21"/>
                <w:szCs w:val="21"/>
              </w:rPr>
            </w:pPr>
            <w:r>
              <w:rPr>
                <w:b/>
                <w:bCs/>
                <w:color w:val="auto"/>
                <w:sz w:val="21"/>
                <w:szCs w:val="21"/>
              </w:rPr>
              <w:t>井深m</w:t>
            </w:r>
          </w:p>
        </w:tc>
        <w:tc>
          <w:tcPr>
            <w:tcW w:w="531" w:type="pct"/>
            <w:vAlign w:val="center"/>
          </w:tcPr>
          <w:p w14:paraId="39E98FF7">
            <w:pPr>
              <w:spacing w:line="240" w:lineRule="auto"/>
              <w:ind w:firstLine="0" w:firstLineChars="0"/>
              <w:jc w:val="center"/>
              <w:rPr>
                <w:b/>
                <w:bCs/>
                <w:color w:val="auto"/>
                <w:sz w:val="21"/>
                <w:szCs w:val="21"/>
              </w:rPr>
            </w:pPr>
            <w:r>
              <w:rPr>
                <w:b/>
                <w:bCs/>
                <w:color w:val="auto"/>
                <w:sz w:val="21"/>
                <w:szCs w:val="21"/>
              </w:rPr>
              <w:t>水位类型</w:t>
            </w:r>
          </w:p>
        </w:tc>
      </w:tr>
      <w:tr w14:paraId="493BC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70" w:type="pct"/>
            <w:vAlign w:val="center"/>
          </w:tcPr>
          <w:p w14:paraId="2DC2C883">
            <w:pPr>
              <w:spacing w:line="240" w:lineRule="auto"/>
              <w:ind w:firstLine="0" w:firstLineChars="0"/>
              <w:jc w:val="center"/>
              <w:rPr>
                <w:color w:val="auto"/>
                <w:sz w:val="21"/>
                <w:szCs w:val="21"/>
              </w:rPr>
            </w:pPr>
            <w:r>
              <w:rPr>
                <w:color w:val="auto"/>
                <w:sz w:val="21"/>
                <w:szCs w:val="21"/>
              </w:rPr>
              <w:t>D1</w:t>
            </w:r>
          </w:p>
        </w:tc>
        <w:tc>
          <w:tcPr>
            <w:tcW w:w="796" w:type="pct"/>
            <w:vAlign w:val="center"/>
          </w:tcPr>
          <w:p w14:paraId="48BA6361">
            <w:pPr>
              <w:spacing w:line="240" w:lineRule="auto"/>
              <w:ind w:firstLine="0" w:firstLineChars="0"/>
              <w:jc w:val="center"/>
              <w:rPr>
                <w:color w:val="auto"/>
                <w:sz w:val="21"/>
                <w:szCs w:val="21"/>
              </w:rPr>
            </w:pPr>
            <w:r>
              <w:rPr>
                <w:color w:val="auto"/>
                <w:sz w:val="21"/>
                <w:szCs w:val="21"/>
              </w:rPr>
              <w:t>121.493270</w:t>
            </w:r>
          </w:p>
        </w:tc>
        <w:tc>
          <w:tcPr>
            <w:tcW w:w="725" w:type="pct"/>
            <w:vAlign w:val="center"/>
          </w:tcPr>
          <w:p w14:paraId="70678BC1">
            <w:pPr>
              <w:spacing w:line="240" w:lineRule="auto"/>
              <w:ind w:firstLine="0" w:firstLineChars="0"/>
              <w:jc w:val="center"/>
              <w:rPr>
                <w:color w:val="auto"/>
                <w:sz w:val="21"/>
                <w:szCs w:val="21"/>
              </w:rPr>
            </w:pPr>
            <w:r>
              <w:rPr>
                <w:color w:val="auto"/>
                <w:sz w:val="21"/>
                <w:szCs w:val="21"/>
              </w:rPr>
              <w:t>31.817454</w:t>
            </w:r>
          </w:p>
        </w:tc>
        <w:tc>
          <w:tcPr>
            <w:tcW w:w="754" w:type="pct"/>
            <w:noWrap/>
            <w:vAlign w:val="center"/>
          </w:tcPr>
          <w:p w14:paraId="4A078631">
            <w:pPr>
              <w:spacing w:line="240" w:lineRule="auto"/>
              <w:ind w:firstLine="0" w:firstLineChars="0"/>
              <w:jc w:val="center"/>
              <w:rPr>
                <w:color w:val="auto"/>
                <w:sz w:val="21"/>
                <w:szCs w:val="21"/>
              </w:rPr>
            </w:pPr>
            <w:r>
              <w:rPr>
                <w:color w:val="auto"/>
                <w:sz w:val="21"/>
                <w:szCs w:val="21"/>
              </w:rPr>
              <w:t>1.286</w:t>
            </w:r>
          </w:p>
        </w:tc>
        <w:tc>
          <w:tcPr>
            <w:tcW w:w="786" w:type="pct"/>
            <w:vAlign w:val="center"/>
          </w:tcPr>
          <w:p w14:paraId="0D69B314">
            <w:pPr>
              <w:spacing w:line="240" w:lineRule="auto"/>
              <w:ind w:firstLine="0" w:firstLineChars="0"/>
              <w:jc w:val="center"/>
              <w:rPr>
                <w:color w:val="auto"/>
                <w:sz w:val="21"/>
                <w:szCs w:val="21"/>
              </w:rPr>
            </w:pPr>
            <w:r>
              <w:rPr>
                <w:color w:val="auto"/>
                <w:sz w:val="21"/>
                <w:szCs w:val="21"/>
              </w:rPr>
              <w:t>2.270</w:t>
            </w:r>
          </w:p>
        </w:tc>
        <w:tc>
          <w:tcPr>
            <w:tcW w:w="627" w:type="pct"/>
            <w:vAlign w:val="center"/>
          </w:tcPr>
          <w:p w14:paraId="51DAB5C2">
            <w:pPr>
              <w:spacing w:line="240" w:lineRule="auto"/>
              <w:ind w:firstLine="0" w:firstLineChars="0"/>
              <w:jc w:val="center"/>
              <w:rPr>
                <w:color w:val="auto"/>
                <w:sz w:val="21"/>
                <w:szCs w:val="21"/>
              </w:rPr>
            </w:pPr>
            <w:r>
              <w:rPr>
                <w:color w:val="auto"/>
                <w:sz w:val="21"/>
                <w:szCs w:val="21"/>
              </w:rPr>
              <w:t>0.984</w:t>
            </w:r>
          </w:p>
        </w:tc>
        <w:tc>
          <w:tcPr>
            <w:tcW w:w="411" w:type="pct"/>
            <w:vAlign w:val="center"/>
          </w:tcPr>
          <w:p w14:paraId="50E5515C">
            <w:pPr>
              <w:spacing w:line="240" w:lineRule="auto"/>
              <w:ind w:firstLine="0" w:firstLineChars="0"/>
              <w:jc w:val="center"/>
              <w:rPr>
                <w:color w:val="auto"/>
                <w:sz w:val="21"/>
                <w:szCs w:val="21"/>
              </w:rPr>
            </w:pPr>
            <w:r>
              <w:rPr>
                <w:color w:val="auto"/>
                <w:sz w:val="21"/>
                <w:szCs w:val="21"/>
              </w:rPr>
              <w:t>6</w:t>
            </w:r>
          </w:p>
        </w:tc>
        <w:tc>
          <w:tcPr>
            <w:tcW w:w="531" w:type="pct"/>
            <w:vAlign w:val="center"/>
          </w:tcPr>
          <w:p w14:paraId="5E7375F8">
            <w:pPr>
              <w:spacing w:line="240" w:lineRule="auto"/>
              <w:ind w:firstLine="0" w:firstLineChars="0"/>
              <w:jc w:val="center"/>
              <w:rPr>
                <w:color w:val="auto"/>
                <w:sz w:val="21"/>
                <w:szCs w:val="21"/>
              </w:rPr>
            </w:pPr>
            <w:r>
              <w:rPr>
                <w:color w:val="auto"/>
                <w:sz w:val="21"/>
                <w:szCs w:val="21"/>
              </w:rPr>
              <w:t>潜水</w:t>
            </w:r>
          </w:p>
        </w:tc>
      </w:tr>
      <w:tr w14:paraId="4816F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70" w:type="pct"/>
            <w:vAlign w:val="center"/>
          </w:tcPr>
          <w:p w14:paraId="624E39DE">
            <w:pPr>
              <w:spacing w:line="240" w:lineRule="auto"/>
              <w:ind w:firstLine="0" w:firstLineChars="0"/>
              <w:jc w:val="center"/>
              <w:rPr>
                <w:color w:val="auto"/>
                <w:sz w:val="21"/>
                <w:szCs w:val="21"/>
              </w:rPr>
            </w:pPr>
            <w:r>
              <w:rPr>
                <w:color w:val="auto"/>
                <w:sz w:val="21"/>
                <w:szCs w:val="21"/>
              </w:rPr>
              <w:t>D2</w:t>
            </w:r>
          </w:p>
        </w:tc>
        <w:tc>
          <w:tcPr>
            <w:tcW w:w="796" w:type="pct"/>
            <w:vAlign w:val="center"/>
          </w:tcPr>
          <w:p w14:paraId="76D7D455">
            <w:pPr>
              <w:spacing w:line="240" w:lineRule="auto"/>
              <w:ind w:firstLine="0" w:firstLineChars="0"/>
              <w:jc w:val="center"/>
              <w:rPr>
                <w:color w:val="auto"/>
                <w:sz w:val="21"/>
                <w:szCs w:val="21"/>
              </w:rPr>
            </w:pPr>
            <w:r>
              <w:rPr>
                <w:color w:val="auto"/>
                <w:sz w:val="21"/>
                <w:szCs w:val="21"/>
              </w:rPr>
              <w:t>121.495661</w:t>
            </w:r>
          </w:p>
        </w:tc>
        <w:tc>
          <w:tcPr>
            <w:tcW w:w="725" w:type="pct"/>
            <w:vAlign w:val="center"/>
          </w:tcPr>
          <w:p w14:paraId="6717A47C">
            <w:pPr>
              <w:spacing w:line="240" w:lineRule="auto"/>
              <w:ind w:firstLine="0" w:firstLineChars="0"/>
              <w:jc w:val="center"/>
              <w:rPr>
                <w:color w:val="auto"/>
                <w:sz w:val="21"/>
                <w:szCs w:val="21"/>
              </w:rPr>
            </w:pPr>
            <w:r>
              <w:rPr>
                <w:color w:val="auto"/>
                <w:sz w:val="21"/>
                <w:szCs w:val="21"/>
              </w:rPr>
              <w:t>31.816104</w:t>
            </w:r>
          </w:p>
        </w:tc>
        <w:tc>
          <w:tcPr>
            <w:tcW w:w="754" w:type="pct"/>
            <w:noWrap/>
            <w:vAlign w:val="center"/>
          </w:tcPr>
          <w:p w14:paraId="1D5CF272">
            <w:pPr>
              <w:spacing w:line="240" w:lineRule="auto"/>
              <w:ind w:firstLine="0" w:firstLineChars="0"/>
              <w:jc w:val="center"/>
              <w:rPr>
                <w:color w:val="auto"/>
                <w:sz w:val="21"/>
                <w:szCs w:val="21"/>
              </w:rPr>
            </w:pPr>
            <w:r>
              <w:rPr>
                <w:color w:val="auto"/>
                <w:sz w:val="21"/>
                <w:szCs w:val="21"/>
              </w:rPr>
              <w:t>1.313</w:t>
            </w:r>
          </w:p>
        </w:tc>
        <w:tc>
          <w:tcPr>
            <w:tcW w:w="786" w:type="pct"/>
            <w:vAlign w:val="center"/>
          </w:tcPr>
          <w:p w14:paraId="32AB0821">
            <w:pPr>
              <w:spacing w:line="240" w:lineRule="auto"/>
              <w:ind w:firstLine="0" w:firstLineChars="0"/>
              <w:jc w:val="center"/>
              <w:rPr>
                <w:color w:val="auto"/>
                <w:sz w:val="21"/>
                <w:szCs w:val="21"/>
              </w:rPr>
            </w:pPr>
            <w:r>
              <w:rPr>
                <w:color w:val="auto"/>
                <w:sz w:val="21"/>
                <w:szCs w:val="21"/>
              </w:rPr>
              <w:t>2.709</w:t>
            </w:r>
          </w:p>
        </w:tc>
        <w:tc>
          <w:tcPr>
            <w:tcW w:w="627" w:type="pct"/>
            <w:vAlign w:val="center"/>
          </w:tcPr>
          <w:p w14:paraId="49B65A6B">
            <w:pPr>
              <w:spacing w:line="240" w:lineRule="auto"/>
              <w:ind w:firstLine="0" w:firstLineChars="0"/>
              <w:jc w:val="center"/>
              <w:rPr>
                <w:color w:val="auto"/>
                <w:sz w:val="21"/>
                <w:szCs w:val="21"/>
              </w:rPr>
            </w:pPr>
            <w:r>
              <w:rPr>
                <w:color w:val="auto"/>
                <w:sz w:val="21"/>
                <w:szCs w:val="21"/>
              </w:rPr>
              <w:t>1.396</w:t>
            </w:r>
          </w:p>
        </w:tc>
        <w:tc>
          <w:tcPr>
            <w:tcW w:w="411" w:type="pct"/>
            <w:vAlign w:val="center"/>
          </w:tcPr>
          <w:p w14:paraId="244808F4">
            <w:pPr>
              <w:spacing w:line="240" w:lineRule="auto"/>
              <w:ind w:firstLine="0" w:firstLineChars="0"/>
              <w:jc w:val="center"/>
              <w:rPr>
                <w:color w:val="auto"/>
                <w:sz w:val="21"/>
                <w:szCs w:val="21"/>
              </w:rPr>
            </w:pPr>
            <w:r>
              <w:rPr>
                <w:color w:val="auto"/>
                <w:sz w:val="21"/>
                <w:szCs w:val="21"/>
              </w:rPr>
              <w:t>6</w:t>
            </w:r>
          </w:p>
        </w:tc>
        <w:tc>
          <w:tcPr>
            <w:tcW w:w="531" w:type="pct"/>
            <w:vAlign w:val="center"/>
          </w:tcPr>
          <w:p w14:paraId="76BDD391">
            <w:pPr>
              <w:spacing w:line="240" w:lineRule="auto"/>
              <w:ind w:firstLine="0" w:firstLineChars="0"/>
              <w:jc w:val="center"/>
              <w:rPr>
                <w:color w:val="auto"/>
                <w:sz w:val="21"/>
                <w:szCs w:val="21"/>
              </w:rPr>
            </w:pPr>
            <w:r>
              <w:rPr>
                <w:color w:val="auto"/>
                <w:sz w:val="21"/>
                <w:szCs w:val="21"/>
              </w:rPr>
              <w:t>潜水</w:t>
            </w:r>
          </w:p>
        </w:tc>
      </w:tr>
      <w:tr w14:paraId="48DF9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70" w:type="pct"/>
            <w:vAlign w:val="center"/>
          </w:tcPr>
          <w:p w14:paraId="027A1694">
            <w:pPr>
              <w:spacing w:line="240" w:lineRule="auto"/>
              <w:ind w:firstLine="0" w:firstLineChars="0"/>
              <w:jc w:val="center"/>
              <w:rPr>
                <w:color w:val="auto"/>
                <w:sz w:val="21"/>
                <w:szCs w:val="21"/>
              </w:rPr>
            </w:pPr>
            <w:r>
              <w:rPr>
                <w:color w:val="auto"/>
                <w:sz w:val="21"/>
                <w:szCs w:val="21"/>
              </w:rPr>
              <w:t>D3</w:t>
            </w:r>
          </w:p>
        </w:tc>
        <w:tc>
          <w:tcPr>
            <w:tcW w:w="796" w:type="pct"/>
            <w:vAlign w:val="center"/>
          </w:tcPr>
          <w:p w14:paraId="1E6D1EA2">
            <w:pPr>
              <w:spacing w:line="240" w:lineRule="auto"/>
              <w:ind w:firstLine="0" w:firstLineChars="0"/>
              <w:jc w:val="center"/>
              <w:rPr>
                <w:color w:val="auto"/>
                <w:sz w:val="21"/>
                <w:szCs w:val="21"/>
              </w:rPr>
            </w:pPr>
            <w:r>
              <w:rPr>
                <w:color w:val="auto"/>
                <w:sz w:val="21"/>
                <w:szCs w:val="21"/>
              </w:rPr>
              <w:t>121.493823</w:t>
            </w:r>
          </w:p>
        </w:tc>
        <w:tc>
          <w:tcPr>
            <w:tcW w:w="725" w:type="pct"/>
            <w:vAlign w:val="center"/>
          </w:tcPr>
          <w:p w14:paraId="38DE5366">
            <w:pPr>
              <w:spacing w:line="240" w:lineRule="auto"/>
              <w:ind w:firstLine="0" w:firstLineChars="0"/>
              <w:jc w:val="center"/>
              <w:rPr>
                <w:color w:val="auto"/>
                <w:sz w:val="21"/>
                <w:szCs w:val="21"/>
              </w:rPr>
            </w:pPr>
            <w:r>
              <w:rPr>
                <w:color w:val="auto"/>
                <w:sz w:val="21"/>
                <w:szCs w:val="21"/>
              </w:rPr>
              <w:t>31.818626</w:t>
            </w:r>
          </w:p>
        </w:tc>
        <w:tc>
          <w:tcPr>
            <w:tcW w:w="754" w:type="pct"/>
            <w:noWrap/>
            <w:vAlign w:val="center"/>
          </w:tcPr>
          <w:p w14:paraId="47111C94">
            <w:pPr>
              <w:spacing w:line="240" w:lineRule="auto"/>
              <w:ind w:firstLine="0" w:firstLineChars="0"/>
              <w:jc w:val="center"/>
              <w:rPr>
                <w:color w:val="auto"/>
                <w:sz w:val="21"/>
                <w:szCs w:val="21"/>
              </w:rPr>
            </w:pPr>
            <w:r>
              <w:rPr>
                <w:color w:val="auto"/>
                <w:sz w:val="21"/>
                <w:szCs w:val="21"/>
              </w:rPr>
              <w:t>1.320</w:t>
            </w:r>
          </w:p>
        </w:tc>
        <w:tc>
          <w:tcPr>
            <w:tcW w:w="786" w:type="pct"/>
            <w:vAlign w:val="center"/>
          </w:tcPr>
          <w:p w14:paraId="602E7E98">
            <w:pPr>
              <w:spacing w:line="240" w:lineRule="auto"/>
              <w:ind w:firstLine="0" w:firstLineChars="0"/>
              <w:jc w:val="center"/>
              <w:rPr>
                <w:color w:val="auto"/>
                <w:sz w:val="21"/>
                <w:szCs w:val="21"/>
              </w:rPr>
            </w:pPr>
            <w:r>
              <w:rPr>
                <w:color w:val="auto"/>
                <w:sz w:val="21"/>
                <w:szCs w:val="21"/>
              </w:rPr>
              <w:t>3.807</w:t>
            </w:r>
          </w:p>
        </w:tc>
        <w:tc>
          <w:tcPr>
            <w:tcW w:w="627" w:type="pct"/>
            <w:vAlign w:val="center"/>
          </w:tcPr>
          <w:p w14:paraId="3DC6E7BA">
            <w:pPr>
              <w:spacing w:line="240" w:lineRule="auto"/>
              <w:ind w:firstLine="0" w:firstLineChars="0"/>
              <w:jc w:val="center"/>
              <w:rPr>
                <w:color w:val="auto"/>
                <w:sz w:val="21"/>
                <w:szCs w:val="21"/>
              </w:rPr>
            </w:pPr>
            <w:r>
              <w:rPr>
                <w:color w:val="auto"/>
                <w:sz w:val="21"/>
                <w:szCs w:val="21"/>
              </w:rPr>
              <w:t>2.487</w:t>
            </w:r>
          </w:p>
        </w:tc>
        <w:tc>
          <w:tcPr>
            <w:tcW w:w="411" w:type="pct"/>
            <w:vAlign w:val="center"/>
          </w:tcPr>
          <w:p w14:paraId="7BEA76C7">
            <w:pPr>
              <w:spacing w:line="240" w:lineRule="auto"/>
              <w:ind w:firstLine="0" w:firstLineChars="0"/>
              <w:jc w:val="center"/>
              <w:rPr>
                <w:color w:val="auto"/>
                <w:sz w:val="21"/>
                <w:szCs w:val="21"/>
              </w:rPr>
            </w:pPr>
            <w:r>
              <w:rPr>
                <w:color w:val="auto"/>
                <w:sz w:val="21"/>
                <w:szCs w:val="21"/>
              </w:rPr>
              <w:t>6</w:t>
            </w:r>
          </w:p>
        </w:tc>
        <w:tc>
          <w:tcPr>
            <w:tcW w:w="531" w:type="pct"/>
            <w:vAlign w:val="center"/>
          </w:tcPr>
          <w:p w14:paraId="1D5CE8B8">
            <w:pPr>
              <w:spacing w:line="240" w:lineRule="auto"/>
              <w:ind w:firstLine="0" w:firstLineChars="0"/>
              <w:jc w:val="center"/>
              <w:rPr>
                <w:color w:val="auto"/>
                <w:sz w:val="21"/>
                <w:szCs w:val="21"/>
              </w:rPr>
            </w:pPr>
            <w:r>
              <w:rPr>
                <w:color w:val="auto"/>
                <w:sz w:val="21"/>
                <w:szCs w:val="21"/>
              </w:rPr>
              <w:t>潜水</w:t>
            </w:r>
          </w:p>
        </w:tc>
      </w:tr>
      <w:tr w14:paraId="776DA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70" w:type="pct"/>
            <w:vAlign w:val="center"/>
          </w:tcPr>
          <w:p w14:paraId="19ADFB5D">
            <w:pPr>
              <w:spacing w:line="240" w:lineRule="auto"/>
              <w:ind w:firstLine="0" w:firstLineChars="0"/>
              <w:jc w:val="center"/>
              <w:rPr>
                <w:color w:val="auto"/>
                <w:sz w:val="21"/>
                <w:szCs w:val="21"/>
              </w:rPr>
            </w:pPr>
            <w:r>
              <w:rPr>
                <w:color w:val="auto"/>
                <w:sz w:val="21"/>
                <w:szCs w:val="21"/>
              </w:rPr>
              <w:t>D4</w:t>
            </w:r>
          </w:p>
        </w:tc>
        <w:tc>
          <w:tcPr>
            <w:tcW w:w="796" w:type="pct"/>
            <w:vAlign w:val="center"/>
          </w:tcPr>
          <w:p w14:paraId="60F47F1A">
            <w:pPr>
              <w:spacing w:line="240" w:lineRule="auto"/>
              <w:ind w:firstLine="0" w:firstLineChars="0"/>
              <w:jc w:val="center"/>
              <w:rPr>
                <w:color w:val="auto"/>
                <w:sz w:val="21"/>
                <w:szCs w:val="21"/>
              </w:rPr>
            </w:pPr>
            <w:r>
              <w:rPr>
                <w:color w:val="auto"/>
                <w:sz w:val="21"/>
                <w:szCs w:val="21"/>
              </w:rPr>
              <w:t>121.494286</w:t>
            </w:r>
          </w:p>
        </w:tc>
        <w:tc>
          <w:tcPr>
            <w:tcW w:w="725" w:type="pct"/>
            <w:vAlign w:val="center"/>
          </w:tcPr>
          <w:p w14:paraId="6886F864">
            <w:pPr>
              <w:spacing w:line="240" w:lineRule="auto"/>
              <w:ind w:firstLine="0" w:firstLineChars="0"/>
              <w:jc w:val="center"/>
              <w:rPr>
                <w:color w:val="auto"/>
                <w:sz w:val="21"/>
                <w:szCs w:val="21"/>
              </w:rPr>
            </w:pPr>
            <w:r>
              <w:rPr>
                <w:color w:val="auto"/>
                <w:sz w:val="21"/>
                <w:szCs w:val="21"/>
              </w:rPr>
              <w:t>31.822755</w:t>
            </w:r>
          </w:p>
        </w:tc>
        <w:tc>
          <w:tcPr>
            <w:tcW w:w="754" w:type="pct"/>
            <w:noWrap/>
            <w:vAlign w:val="center"/>
          </w:tcPr>
          <w:p w14:paraId="6F6978F3">
            <w:pPr>
              <w:spacing w:line="240" w:lineRule="auto"/>
              <w:ind w:firstLine="0" w:firstLineChars="0"/>
              <w:jc w:val="center"/>
              <w:rPr>
                <w:color w:val="auto"/>
                <w:sz w:val="21"/>
                <w:szCs w:val="21"/>
              </w:rPr>
            </w:pPr>
            <w:r>
              <w:rPr>
                <w:color w:val="auto"/>
                <w:sz w:val="21"/>
                <w:szCs w:val="21"/>
              </w:rPr>
              <w:t>1.219</w:t>
            </w:r>
          </w:p>
        </w:tc>
        <w:tc>
          <w:tcPr>
            <w:tcW w:w="786" w:type="pct"/>
            <w:vAlign w:val="center"/>
          </w:tcPr>
          <w:p w14:paraId="18B62A95">
            <w:pPr>
              <w:spacing w:line="240" w:lineRule="auto"/>
              <w:ind w:firstLine="0" w:firstLineChars="0"/>
              <w:jc w:val="center"/>
              <w:rPr>
                <w:color w:val="auto"/>
                <w:sz w:val="21"/>
                <w:szCs w:val="21"/>
              </w:rPr>
            </w:pPr>
            <w:r>
              <w:rPr>
                <w:color w:val="auto"/>
                <w:sz w:val="21"/>
                <w:szCs w:val="21"/>
              </w:rPr>
              <w:t>2.681</w:t>
            </w:r>
          </w:p>
        </w:tc>
        <w:tc>
          <w:tcPr>
            <w:tcW w:w="627" w:type="pct"/>
            <w:vAlign w:val="center"/>
          </w:tcPr>
          <w:p w14:paraId="02F2E129">
            <w:pPr>
              <w:spacing w:line="240" w:lineRule="auto"/>
              <w:ind w:firstLine="0" w:firstLineChars="0"/>
              <w:jc w:val="center"/>
              <w:rPr>
                <w:color w:val="auto"/>
                <w:sz w:val="21"/>
                <w:szCs w:val="21"/>
              </w:rPr>
            </w:pPr>
            <w:r>
              <w:rPr>
                <w:color w:val="auto"/>
                <w:sz w:val="21"/>
                <w:szCs w:val="21"/>
              </w:rPr>
              <w:t>1.462</w:t>
            </w:r>
          </w:p>
        </w:tc>
        <w:tc>
          <w:tcPr>
            <w:tcW w:w="411" w:type="pct"/>
            <w:vAlign w:val="center"/>
          </w:tcPr>
          <w:p w14:paraId="359B21DC">
            <w:pPr>
              <w:spacing w:line="240" w:lineRule="auto"/>
              <w:ind w:firstLine="0" w:firstLineChars="0"/>
              <w:jc w:val="center"/>
              <w:rPr>
                <w:color w:val="auto"/>
                <w:sz w:val="21"/>
                <w:szCs w:val="21"/>
              </w:rPr>
            </w:pPr>
            <w:r>
              <w:rPr>
                <w:color w:val="auto"/>
                <w:sz w:val="21"/>
                <w:szCs w:val="21"/>
              </w:rPr>
              <w:t>6</w:t>
            </w:r>
          </w:p>
        </w:tc>
        <w:tc>
          <w:tcPr>
            <w:tcW w:w="531" w:type="pct"/>
            <w:vAlign w:val="center"/>
          </w:tcPr>
          <w:p w14:paraId="3EA3DF3A">
            <w:pPr>
              <w:spacing w:line="240" w:lineRule="auto"/>
              <w:ind w:firstLine="0" w:firstLineChars="0"/>
              <w:jc w:val="center"/>
              <w:rPr>
                <w:color w:val="auto"/>
                <w:sz w:val="21"/>
                <w:szCs w:val="21"/>
              </w:rPr>
            </w:pPr>
            <w:r>
              <w:rPr>
                <w:color w:val="auto"/>
                <w:sz w:val="21"/>
                <w:szCs w:val="21"/>
              </w:rPr>
              <w:t>潜水</w:t>
            </w:r>
          </w:p>
        </w:tc>
      </w:tr>
      <w:tr w14:paraId="63312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70" w:type="pct"/>
            <w:vAlign w:val="center"/>
          </w:tcPr>
          <w:p w14:paraId="7C4A10EB">
            <w:pPr>
              <w:spacing w:line="240" w:lineRule="auto"/>
              <w:ind w:firstLine="0" w:firstLineChars="0"/>
              <w:jc w:val="center"/>
              <w:rPr>
                <w:color w:val="auto"/>
                <w:sz w:val="21"/>
                <w:szCs w:val="21"/>
              </w:rPr>
            </w:pPr>
            <w:r>
              <w:rPr>
                <w:color w:val="auto"/>
                <w:sz w:val="21"/>
                <w:szCs w:val="21"/>
              </w:rPr>
              <w:t>D5</w:t>
            </w:r>
          </w:p>
        </w:tc>
        <w:tc>
          <w:tcPr>
            <w:tcW w:w="796" w:type="pct"/>
            <w:vAlign w:val="center"/>
          </w:tcPr>
          <w:p w14:paraId="7D54A84A">
            <w:pPr>
              <w:spacing w:line="240" w:lineRule="auto"/>
              <w:ind w:firstLine="0" w:firstLineChars="0"/>
              <w:jc w:val="center"/>
              <w:rPr>
                <w:color w:val="auto"/>
                <w:sz w:val="21"/>
                <w:szCs w:val="21"/>
              </w:rPr>
            </w:pPr>
            <w:r>
              <w:rPr>
                <w:color w:val="auto"/>
                <w:sz w:val="21"/>
                <w:szCs w:val="21"/>
              </w:rPr>
              <w:t>121.492771</w:t>
            </w:r>
          </w:p>
        </w:tc>
        <w:tc>
          <w:tcPr>
            <w:tcW w:w="725" w:type="pct"/>
            <w:vAlign w:val="center"/>
          </w:tcPr>
          <w:p w14:paraId="2A1B0D12">
            <w:pPr>
              <w:spacing w:line="240" w:lineRule="auto"/>
              <w:ind w:firstLine="0" w:firstLineChars="0"/>
              <w:jc w:val="center"/>
              <w:rPr>
                <w:color w:val="auto"/>
                <w:sz w:val="21"/>
                <w:szCs w:val="21"/>
              </w:rPr>
            </w:pPr>
            <w:r>
              <w:rPr>
                <w:color w:val="auto"/>
                <w:sz w:val="21"/>
                <w:szCs w:val="21"/>
              </w:rPr>
              <w:t>31.825211</w:t>
            </w:r>
          </w:p>
        </w:tc>
        <w:tc>
          <w:tcPr>
            <w:tcW w:w="754" w:type="pct"/>
            <w:noWrap/>
            <w:vAlign w:val="center"/>
          </w:tcPr>
          <w:p w14:paraId="74B270E6">
            <w:pPr>
              <w:spacing w:line="240" w:lineRule="auto"/>
              <w:ind w:firstLine="0" w:firstLineChars="0"/>
              <w:jc w:val="center"/>
              <w:rPr>
                <w:color w:val="auto"/>
                <w:sz w:val="21"/>
                <w:szCs w:val="21"/>
              </w:rPr>
            </w:pPr>
            <w:r>
              <w:rPr>
                <w:color w:val="auto"/>
                <w:sz w:val="21"/>
                <w:szCs w:val="21"/>
              </w:rPr>
              <w:t>1.089</w:t>
            </w:r>
          </w:p>
        </w:tc>
        <w:tc>
          <w:tcPr>
            <w:tcW w:w="786" w:type="pct"/>
            <w:vAlign w:val="center"/>
          </w:tcPr>
          <w:p w14:paraId="61943EC8">
            <w:pPr>
              <w:spacing w:line="240" w:lineRule="auto"/>
              <w:ind w:firstLine="0" w:firstLineChars="0"/>
              <w:jc w:val="center"/>
              <w:rPr>
                <w:color w:val="auto"/>
                <w:sz w:val="21"/>
                <w:szCs w:val="21"/>
              </w:rPr>
            </w:pPr>
            <w:r>
              <w:rPr>
                <w:color w:val="auto"/>
                <w:sz w:val="21"/>
                <w:szCs w:val="21"/>
              </w:rPr>
              <w:t>3.060</w:t>
            </w:r>
          </w:p>
        </w:tc>
        <w:tc>
          <w:tcPr>
            <w:tcW w:w="627" w:type="pct"/>
            <w:vAlign w:val="center"/>
          </w:tcPr>
          <w:p w14:paraId="0A6FFC04">
            <w:pPr>
              <w:spacing w:line="240" w:lineRule="auto"/>
              <w:ind w:firstLine="0" w:firstLineChars="0"/>
              <w:jc w:val="center"/>
              <w:rPr>
                <w:color w:val="auto"/>
                <w:sz w:val="21"/>
                <w:szCs w:val="21"/>
              </w:rPr>
            </w:pPr>
            <w:r>
              <w:rPr>
                <w:color w:val="auto"/>
                <w:sz w:val="21"/>
                <w:szCs w:val="21"/>
              </w:rPr>
              <w:t>1.971</w:t>
            </w:r>
          </w:p>
        </w:tc>
        <w:tc>
          <w:tcPr>
            <w:tcW w:w="411" w:type="pct"/>
            <w:vAlign w:val="center"/>
          </w:tcPr>
          <w:p w14:paraId="3F602978">
            <w:pPr>
              <w:spacing w:line="240" w:lineRule="auto"/>
              <w:ind w:firstLine="0" w:firstLineChars="0"/>
              <w:jc w:val="center"/>
              <w:rPr>
                <w:color w:val="auto"/>
                <w:sz w:val="21"/>
                <w:szCs w:val="21"/>
              </w:rPr>
            </w:pPr>
            <w:r>
              <w:rPr>
                <w:color w:val="auto"/>
                <w:sz w:val="21"/>
                <w:szCs w:val="21"/>
              </w:rPr>
              <w:t>6</w:t>
            </w:r>
          </w:p>
        </w:tc>
        <w:tc>
          <w:tcPr>
            <w:tcW w:w="531" w:type="pct"/>
            <w:vAlign w:val="center"/>
          </w:tcPr>
          <w:p w14:paraId="76A6DC4B">
            <w:pPr>
              <w:spacing w:line="240" w:lineRule="auto"/>
              <w:ind w:firstLine="0" w:firstLineChars="0"/>
              <w:jc w:val="center"/>
              <w:rPr>
                <w:color w:val="auto"/>
                <w:sz w:val="21"/>
                <w:szCs w:val="21"/>
              </w:rPr>
            </w:pPr>
            <w:r>
              <w:rPr>
                <w:color w:val="auto"/>
                <w:sz w:val="21"/>
                <w:szCs w:val="21"/>
              </w:rPr>
              <w:t>潜水</w:t>
            </w:r>
          </w:p>
        </w:tc>
      </w:tr>
      <w:tr w14:paraId="5565B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70" w:type="pct"/>
            <w:vAlign w:val="center"/>
          </w:tcPr>
          <w:p w14:paraId="4FA8F751">
            <w:pPr>
              <w:spacing w:line="240" w:lineRule="auto"/>
              <w:ind w:firstLine="0" w:firstLineChars="0"/>
              <w:jc w:val="center"/>
              <w:rPr>
                <w:color w:val="auto"/>
                <w:sz w:val="21"/>
                <w:szCs w:val="21"/>
              </w:rPr>
            </w:pPr>
            <w:r>
              <w:rPr>
                <w:color w:val="auto"/>
                <w:sz w:val="21"/>
                <w:szCs w:val="21"/>
              </w:rPr>
              <w:t>D6</w:t>
            </w:r>
          </w:p>
        </w:tc>
        <w:tc>
          <w:tcPr>
            <w:tcW w:w="796" w:type="pct"/>
            <w:vAlign w:val="center"/>
          </w:tcPr>
          <w:p w14:paraId="275ED2B6">
            <w:pPr>
              <w:spacing w:line="240" w:lineRule="auto"/>
              <w:ind w:firstLine="0" w:firstLineChars="0"/>
              <w:jc w:val="center"/>
              <w:rPr>
                <w:color w:val="auto"/>
                <w:sz w:val="21"/>
                <w:szCs w:val="21"/>
              </w:rPr>
            </w:pPr>
            <w:r>
              <w:rPr>
                <w:color w:val="auto"/>
                <w:sz w:val="21"/>
                <w:szCs w:val="21"/>
              </w:rPr>
              <w:t>121.480207</w:t>
            </w:r>
          </w:p>
        </w:tc>
        <w:tc>
          <w:tcPr>
            <w:tcW w:w="725" w:type="pct"/>
            <w:vAlign w:val="center"/>
          </w:tcPr>
          <w:p w14:paraId="014E8808">
            <w:pPr>
              <w:spacing w:line="240" w:lineRule="auto"/>
              <w:ind w:firstLine="0" w:firstLineChars="0"/>
              <w:jc w:val="center"/>
              <w:rPr>
                <w:color w:val="auto"/>
                <w:sz w:val="21"/>
                <w:szCs w:val="21"/>
              </w:rPr>
            </w:pPr>
            <w:r>
              <w:rPr>
                <w:color w:val="auto"/>
                <w:sz w:val="21"/>
                <w:szCs w:val="21"/>
              </w:rPr>
              <w:t>31.845192</w:t>
            </w:r>
          </w:p>
        </w:tc>
        <w:tc>
          <w:tcPr>
            <w:tcW w:w="754" w:type="pct"/>
            <w:noWrap/>
            <w:vAlign w:val="center"/>
          </w:tcPr>
          <w:p w14:paraId="73E1F03B">
            <w:pPr>
              <w:spacing w:line="240" w:lineRule="auto"/>
              <w:ind w:firstLine="0" w:firstLineChars="0"/>
              <w:jc w:val="center"/>
              <w:rPr>
                <w:color w:val="auto"/>
                <w:sz w:val="21"/>
                <w:szCs w:val="21"/>
              </w:rPr>
            </w:pPr>
            <w:r>
              <w:rPr>
                <w:color w:val="auto"/>
                <w:sz w:val="21"/>
                <w:szCs w:val="21"/>
              </w:rPr>
              <w:t>0.974</w:t>
            </w:r>
          </w:p>
        </w:tc>
        <w:tc>
          <w:tcPr>
            <w:tcW w:w="786" w:type="pct"/>
            <w:vAlign w:val="center"/>
          </w:tcPr>
          <w:p w14:paraId="1CF5272C">
            <w:pPr>
              <w:spacing w:line="240" w:lineRule="auto"/>
              <w:ind w:firstLine="0" w:firstLineChars="0"/>
              <w:jc w:val="center"/>
              <w:rPr>
                <w:color w:val="auto"/>
                <w:sz w:val="21"/>
                <w:szCs w:val="21"/>
              </w:rPr>
            </w:pPr>
            <w:r>
              <w:rPr>
                <w:color w:val="auto"/>
                <w:sz w:val="21"/>
                <w:szCs w:val="21"/>
              </w:rPr>
              <w:t>2.779</w:t>
            </w:r>
          </w:p>
        </w:tc>
        <w:tc>
          <w:tcPr>
            <w:tcW w:w="627" w:type="pct"/>
            <w:vAlign w:val="center"/>
          </w:tcPr>
          <w:p w14:paraId="672C6BD5">
            <w:pPr>
              <w:spacing w:line="240" w:lineRule="auto"/>
              <w:ind w:firstLine="0" w:firstLineChars="0"/>
              <w:jc w:val="center"/>
              <w:rPr>
                <w:color w:val="auto"/>
                <w:sz w:val="21"/>
                <w:szCs w:val="21"/>
              </w:rPr>
            </w:pPr>
            <w:r>
              <w:rPr>
                <w:color w:val="auto"/>
                <w:sz w:val="21"/>
                <w:szCs w:val="21"/>
              </w:rPr>
              <w:t>1.805</w:t>
            </w:r>
          </w:p>
        </w:tc>
        <w:tc>
          <w:tcPr>
            <w:tcW w:w="411" w:type="pct"/>
            <w:vAlign w:val="center"/>
          </w:tcPr>
          <w:p w14:paraId="7FDF9D16">
            <w:pPr>
              <w:spacing w:line="240" w:lineRule="auto"/>
              <w:ind w:firstLine="0" w:firstLineChars="0"/>
              <w:jc w:val="center"/>
              <w:rPr>
                <w:color w:val="auto"/>
                <w:sz w:val="21"/>
                <w:szCs w:val="21"/>
              </w:rPr>
            </w:pPr>
            <w:r>
              <w:rPr>
                <w:color w:val="auto"/>
                <w:sz w:val="21"/>
                <w:szCs w:val="21"/>
              </w:rPr>
              <w:t>6</w:t>
            </w:r>
          </w:p>
        </w:tc>
        <w:tc>
          <w:tcPr>
            <w:tcW w:w="531" w:type="pct"/>
            <w:vAlign w:val="center"/>
          </w:tcPr>
          <w:p w14:paraId="5F2450F8">
            <w:pPr>
              <w:spacing w:line="240" w:lineRule="auto"/>
              <w:ind w:firstLine="0" w:firstLineChars="0"/>
              <w:jc w:val="center"/>
              <w:rPr>
                <w:color w:val="auto"/>
                <w:sz w:val="21"/>
                <w:szCs w:val="21"/>
              </w:rPr>
            </w:pPr>
            <w:r>
              <w:rPr>
                <w:color w:val="auto"/>
                <w:sz w:val="21"/>
                <w:szCs w:val="21"/>
              </w:rPr>
              <w:t>潜水</w:t>
            </w:r>
          </w:p>
        </w:tc>
      </w:tr>
      <w:tr w14:paraId="2356E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70" w:type="pct"/>
            <w:vAlign w:val="center"/>
          </w:tcPr>
          <w:p w14:paraId="7FA6DE9B">
            <w:pPr>
              <w:spacing w:line="240" w:lineRule="auto"/>
              <w:ind w:firstLine="0" w:firstLineChars="0"/>
              <w:jc w:val="center"/>
              <w:rPr>
                <w:color w:val="auto"/>
                <w:sz w:val="21"/>
                <w:szCs w:val="21"/>
              </w:rPr>
            </w:pPr>
            <w:r>
              <w:rPr>
                <w:color w:val="auto"/>
                <w:sz w:val="21"/>
                <w:szCs w:val="21"/>
              </w:rPr>
              <w:t>D7</w:t>
            </w:r>
          </w:p>
        </w:tc>
        <w:tc>
          <w:tcPr>
            <w:tcW w:w="796" w:type="pct"/>
            <w:vAlign w:val="center"/>
          </w:tcPr>
          <w:p w14:paraId="1513C97A">
            <w:pPr>
              <w:spacing w:line="240" w:lineRule="auto"/>
              <w:ind w:firstLine="0" w:firstLineChars="0"/>
              <w:jc w:val="center"/>
              <w:rPr>
                <w:color w:val="auto"/>
                <w:sz w:val="21"/>
                <w:szCs w:val="21"/>
              </w:rPr>
            </w:pPr>
            <w:r>
              <w:rPr>
                <w:color w:val="auto"/>
                <w:sz w:val="21"/>
                <w:szCs w:val="21"/>
              </w:rPr>
              <w:t>121.504303</w:t>
            </w:r>
          </w:p>
        </w:tc>
        <w:tc>
          <w:tcPr>
            <w:tcW w:w="725" w:type="pct"/>
            <w:vAlign w:val="center"/>
          </w:tcPr>
          <w:p w14:paraId="7F162AE0">
            <w:pPr>
              <w:spacing w:line="240" w:lineRule="auto"/>
              <w:ind w:firstLine="0" w:firstLineChars="0"/>
              <w:jc w:val="center"/>
              <w:rPr>
                <w:color w:val="auto"/>
                <w:sz w:val="21"/>
                <w:szCs w:val="21"/>
              </w:rPr>
            </w:pPr>
            <w:r>
              <w:rPr>
                <w:color w:val="auto"/>
                <w:sz w:val="21"/>
                <w:szCs w:val="21"/>
              </w:rPr>
              <w:t>31.830431</w:t>
            </w:r>
          </w:p>
        </w:tc>
        <w:tc>
          <w:tcPr>
            <w:tcW w:w="754" w:type="pct"/>
            <w:noWrap/>
            <w:vAlign w:val="center"/>
          </w:tcPr>
          <w:p w14:paraId="6E2A8104">
            <w:pPr>
              <w:spacing w:line="240" w:lineRule="auto"/>
              <w:ind w:firstLine="0" w:firstLineChars="0"/>
              <w:jc w:val="center"/>
              <w:rPr>
                <w:color w:val="auto"/>
                <w:sz w:val="21"/>
                <w:szCs w:val="21"/>
              </w:rPr>
            </w:pPr>
            <w:r>
              <w:rPr>
                <w:color w:val="auto"/>
                <w:sz w:val="21"/>
                <w:szCs w:val="21"/>
              </w:rPr>
              <w:t>0.997</w:t>
            </w:r>
          </w:p>
        </w:tc>
        <w:tc>
          <w:tcPr>
            <w:tcW w:w="786" w:type="pct"/>
            <w:vAlign w:val="center"/>
          </w:tcPr>
          <w:p w14:paraId="685D25A0">
            <w:pPr>
              <w:spacing w:line="240" w:lineRule="auto"/>
              <w:ind w:firstLine="0" w:firstLineChars="0"/>
              <w:jc w:val="center"/>
              <w:rPr>
                <w:color w:val="auto"/>
                <w:sz w:val="21"/>
                <w:szCs w:val="21"/>
              </w:rPr>
            </w:pPr>
            <w:r>
              <w:rPr>
                <w:color w:val="auto"/>
                <w:sz w:val="21"/>
                <w:szCs w:val="21"/>
              </w:rPr>
              <w:t>2.730</w:t>
            </w:r>
          </w:p>
        </w:tc>
        <w:tc>
          <w:tcPr>
            <w:tcW w:w="627" w:type="pct"/>
            <w:vAlign w:val="center"/>
          </w:tcPr>
          <w:p w14:paraId="1758C27E">
            <w:pPr>
              <w:spacing w:line="240" w:lineRule="auto"/>
              <w:ind w:firstLine="0" w:firstLineChars="0"/>
              <w:jc w:val="center"/>
              <w:rPr>
                <w:color w:val="auto"/>
                <w:sz w:val="21"/>
                <w:szCs w:val="21"/>
              </w:rPr>
            </w:pPr>
            <w:r>
              <w:rPr>
                <w:color w:val="auto"/>
                <w:sz w:val="21"/>
                <w:szCs w:val="21"/>
              </w:rPr>
              <w:t>1.733</w:t>
            </w:r>
          </w:p>
        </w:tc>
        <w:tc>
          <w:tcPr>
            <w:tcW w:w="411" w:type="pct"/>
            <w:vAlign w:val="center"/>
          </w:tcPr>
          <w:p w14:paraId="121A8ABC">
            <w:pPr>
              <w:spacing w:line="240" w:lineRule="auto"/>
              <w:ind w:firstLine="0" w:firstLineChars="0"/>
              <w:jc w:val="center"/>
              <w:rPr>
                <w:color w:val="auto"/>
                <w:sz w:val="21"/>
                <w:szCs w:val="21"/>
              </w:rPr>
            </w:pPr>
            <w:r>
              <w:rPr>
                <w:color w:val="auto"/>
                <w:sz w:val="21"/>
                <w:szCs w:val="21"/>
              </w:rPr>
              <w:t>6</w:t>
            </w:r>
          </w:p>
        </w:tc>
        <w:tc>
          <w:tcPr>
            <w:tcW w:w="531" w:type="pct"/>
            <w:vAlign w:val="center"/>
          </w:tcPr>
          <w:p w14:paraId="077B1186">
            <w:pPr>
              <w:spacing w:line="240" w:lineRule="auto"/>
              <w:ind w:firstLine="0" w:firstLineChars="0"/>
              <w:jc w:val="center"/>
              <w:rPr>
                <w:color w:val="auto"/>
                <w:sz w:val="21"/>
                <w:szCs w:val="21"/>
              </w:rPr>
            </w:pPr>
            <w:r>
              <w:rPr>
                <w:color w:val="auto"/>
                <w:sz w:val="21"/>
                <w:szCs w:val="21"/>
              </w:rPr>
              <w:t>潜水</w:t>
            </w:r>
          </w:p>
        </w:tc>
      </w:tr>
      <w:tr w14:paraId="1F9DF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70" w:type="pct"/>
            <w:vAlign w:val="center"/>
          </w:tcPr>
          <w:p w14:paraId="29F03654">
            <w:pPr>
              <w:spacing w:line="240" w:lineRule="auto"/>
              <w:ind w:firstLine="0" w:firstLineChars="0"/>
              <w:jc w:val="center"/>
              <w:rPr>
                <w:color w:val="auto"/>
                <w:sz w:val="21"/>
                <w:szCs w:val="21"/>
              </w:rPr>
            </w:pPr>
            <w:r>
              <w:rPr>
                <w:color w:val="auto"/>
                <w:sz w:val="21"/>
                <w:szCs w:val="21"/>
              </w:rPr>
              <w:t>D8</w:t>
            </w:r>
          </w:p>
        </w:tc>
        <w:tc>
          <w:tcPr>
            <w:tcW w:w="796" w:type="pct"/>
            <w:vAlign w:val="center"/>
          </w:tcPr>
          <w:p w14:paraId="7244CD1A">
            <w:pPr>
              <w:spacing w:line="240" w:lineRule="auto"/>
              <w:ind w:firstLine="0" w:firstLineChars="0"/>
              <w:jc w:val="center"/>
              <w:rPr>
                <w:color w:val="auto"/>
                <w:sz w:val="21"/>
                <w:szCs w:val="21"/>
              </w:rPr>
            </w:pPr>
            <w:r>
              <w:rPr>
                <w:color w:val="auto"/>
                <w:sz w:val="21"/>
                <w:szCs w:val="21"/>
              </w:rPr>
              <w:t>121.483334</w:t>
            </w:r>
          </w:p>
        </w:tc>
        <w:tc>
          <w:tcPr>
            <w:tcW w:w="725" w:type="pct"/>
            <w:vAlign w:val="center"/>
          </w:tcPr>
          <w:p w14:paraId="417FF7E3">
            <w:pPr>
              <w:spacing w:line="240" w:lineRule="auto"/>
              <w:ind w:firstLine="0" w:firstLineChars="0"/>
              <w:jc w:val="center"/>
              <w:rPr>
                <w:color w:val="auto"/>
                <w:sz w:val="21"/>
                <w:szCs w:val="21"/>
              </w:rPr>
            </w:pPr>
            <w:r>
              <w:rPr>
                <w:color w:val="auto"/>
                <w:sz w:val="21"/>
                <w:szCs w:val="21"/>
              </w:rPr>
              <w:t>31.830448</w:t>
            </w:r>
          </w:p>
        </w:tc>
        <w:tc>
          <w:tcPr>
            <w:tcW w:w="754" w:type="pct"/>
            <w:noWrap/>
            <w:vAlign w:val="center"/>
          </w:tcPr>
          <w:p w14:paraId="6CDC18D4">
            <w:pPr>
              <w:spacing w:line="240" w:lineRule="auto"/>
              <w:ind w:firstLine="0" w:firstLineChars="0"/>
              <w:jc w:val="center"/>
              <w:rPr>
                <w:color w:val="auto"/>
                <w:sz w:val="21"/>
                <w:szCs w:val="21"/>
              </w:rPr>
            </w:pPr>
            <w:r>
              <w:rPr>
                <w:color w:val="auto"/>
                <w:sz w:val="21"/>
                <w:szCs w:val="21"/>
              </w:rPr>
              <w:t>1.034</w:t>
            </w:r>
          </w:p>
        </w:tc>
        <w:tc>
          <w:tcPr>
            <w:tcW w:w="786" w:type="pct"/>
            <w:vAlign w:val="center"/>
          </w:tcPr>
          <w:p w14:paraId="75D28D37">
            <w:pPr>
              <w:spacing w:line="240" w:lineRule="auto"/>
              <w:ind w:firstLine="0" w:firstLineChars="0"/>
              <w:jc w:val="center"/>
              <w:rPr>
                <w:color w:val="auto"/>
                <w:sz w:val="21"/>
                <w:szCs w:val="21"/>
              </w:rPr>
            </w:pPr>
            <w:r>
              <w:rPr>
                <w:color w:val="auto"/>
                <w:sz w:val="21"/>
                <w:szCs w:val="21"/>
              </w:rPr>
              <w:t>2.604</w:t>
            </w:r>
          </w:p>
        </w:tc>
        <w:tc>
          <w:tcPr>
            <w:tcW w:w="627" w:type="pct"/>
            <w:vAlign w:val="center"/>
          </w:tcPr>
          <w:p w14:paraId="6BD7B26D">
            <w:pPr>
              <w:spacing w:line="240" w:lineRule="auto"/>
              <w:ind w:firstLine="0" w:firstLineChars="0"/>
              <w:jc w:val="center"/>
              <w:rPr>
                <w:color w:val="auto"/>
                <w:sz w:val="21"/>
                <w:szCs w:val="21"/>
              </w:rPr>
            </w:pPr>
            <w:r>
              <w:rPr>
                <w:color w:val="auto"/>
                <w:sz w:val="21"/>
                <w:szCs w:val="21"/>
              </w:rPr>
              <w:t>1.570</w:t>
            </w:r>
          </w:p>
        </w:tc>
        <w:tc>
          <w:tcPr>
            <w:tcW w:w="411" w:type="pct"/>
            <w:vAlign w:val="center"/>
          </w:tcPr>
          <w:p w14:paraId="5BCA9B71">
            <w:pPr>
              <w:spacing w:line="240" w:lineRule="auto"/>
              <w:ind w:firstLine="0" w:firstLineChars="0"/>
              <w:jc w:val="center"/>
              <w:rPr>
                <w:color w:val="auto"/>
                <w:sz w:val="21"/>
                <w:szCs w:val="21"/>
              </w:rPr>
            </w:pPr>
            <w:r>
              <w:rPr>
                <w:color w:val="auto"/>
                <w:sz w:val="21"/>
                <w:szCs w:val="21"/>
              </w:rPr>
              <w:t>6</w:t>
            </w:r>
          </w:p>
        </w:tc>
        <w:tc>
          <w:tcPr>
            <w:tcW w:w="531" w:type="pct"/>
            <w:vAlign w:val="center"/>
          </w:tcPr>
          <w:p w14:paraId="52BA6837">
            <w:pPr>
              <w:spacing w:line="240" w:lineRule="auto"/>
              <w:ind w:firstLine="0" w:firstLineChars="0"/>
              <w:jc w:val="center"/>
              <w:rPr>
                <w:color w:val="auto"/>
                <w:sz w:val="21"/>
                <w:szCs w:val="21"/>
              </w:rPr>
            </w:pPr>
            <w:r>
              <w:rPr>
                <w:color w:val="auto"/>
                <w:sz w:val="21"/>
                <w:szCs w:val="21"/>
              </w:rPr>
              <w:t>潜水</w:t>
            </w:r>
          </w:p>
        </w:tc>
      </w:tr>
      <w:tr w14:paraId="71445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70" w:type="pct"/>
            <w:vAlign w:val="center"/>
          </w:tcPr>
          <w:p w14:paraId="74508EF5">
            <w:pPr>
              <w:spacing w:line="240" w:lineRule="auto"/>
              <w:ind w:firstLine="0" w:firstLineChars="0"/>
              <w:jc w:val="center"/>
              <w:rPr>
                <w:color w:val="auto"/>
                <w:sz w:val="21"/>
                <w:szCs w:val="21"/>
              </w:rPr>
            </w:pPr>
            <w:r>
              <w:rPr>
                <w:color w:val="auto"/>
                <w:sz w:val="21"/>
                <w:szCs w:val="21"/>
              </w:rPr>
              <w:t>D9</w:t>
            </w:r>
          </w:p>
        </w:tc>
        <w:tc>
          <w:tcPr>
            <w:tcW w:w="796" w:type="pct"/>
            <w:vAlign w:val="center"/>
          </w:tcPr>
          <w:p w14:paraId="513E158A">
            <w:pPr>
              <w:spacing w:line="240" w:lineRule="auto"/>
              <w:ind w:firstLine="0" w:firstLineChars="0"/>
              <w:jc w:val="center"/>
              <w:rPr>
                <w:color w:val="auto"/>
                <w:sz w:val="21"/>
                <w:szCs w:val="21"/>
              </w:rPr>
            </w:pPr>
            <w:r>
              <w:rPr>
                <w:color w:val="auto"/>
                <w:sz w:val="21"/>
                <w:szCs w:val="21"/>
              </w:rPr>
              <w:t>121.471126</w:t>
            </w:r>
          </w:p>
        </w:tc>
        <w:tc>
          <w:tcPr>
            <w:tcW w:w="725" w:type="pct"/>
            <w:vAlign w:val="center"/>
          </w:tcPr>
          <w:p w14:paraId="51657FE1">
            <w:pPr>
              <w:spacing w:line="240" w:lineRule="auto"/>
              <w:ind w:firstLine="0" w:firstLineChars="0"/>
              <w:jc w:val="center"/>
              <w:rPr>
                <w:color w:val="auto"/>
                <w:sz w:val="21"/>
                <w:szCs w:val="21"/>
              </w:rPr>
            </w:pPr>
            <w:r>
              <w:rPr>
                <w:color w:val="auto"/>
                <w:sz w:val="21"/>
                <w:szCs w:val="21"/>
              </w:rPr>
              <w:t>31.821285</w:t>
            </w:r>
          </w:p>
        </w:tc>
        <w:tc>
          <w:tcPr>
            <w:tcW w:w="754" w:type="pct"/>
            <w:noWrap/>
            <w:vAlign w:val="center"/>
          </w:tcPr>
          <w:p w14:paraId="2F07D61B">
            <w:pPr>
              <w:spacing w:line="240" w:lineRule="auto"/>
              <w:ind w:firstLine="0" w:firstLineChars="0"/>
              <w:jc w:val="center"/>
              <w:rPr>
                <w:color w:val="auto"/>
                <w:sz w:val="21"/>
                <w:szCs w:val="21"/>
              </w:rPr>
            </w:pPr>
            <w:r>
              <w:rPr>
                <w:color w:val="auto"/>
                <w:sz w:val="21"/>
                <w:szCs w:val="21"/>
              </w:rPr>
              <w:t>1.356</w:t>
            </w:r>
          </w:p>
        </w:tc>
        <w:tc>
          <w:tcPr>
            <w:tcW w:w="786" w:type="pct"/>
            <w:vAlign w:val="center"/>
          </w:tcPr>
          <w:p w14:paraId="709DB503">
            <w:pPr>
              <w:spacing w:line="240" w:lineRule="auto"/>
              <w:ind w:firstLine="0" w:firstLineChars="0"/>
              <w:jc w:val="center"/>
              <w:rPr>
                <w:color w:val="auto"/>
                <w:sz w:val="21"/>
                <w:szCs w:val="21"/>
              </w:rPr>
            </w:pPr>
            <w:r>
              <w:rPr>
                <w:color w:val="auto"/>
                <w:sz w:val="21"/>
                <w:szCs w:val="21"/>
              </w:rPr>
              <w:t>2.680</w:t>
            </w:r>
          </w:p>
        </w:tc>
        <w:tc>
          <w:tcPr>
            <w:tcW w:w="627" w:type="pct"/>
            <w:vAlign w:val="center"/>
          </w:tcPr>
          <w:p w14:paraId="5EC14CA0">
            <w:pPr>
              <w:spacing w:line="240" w:lineRule="auto"/>
              <w:ind w:firstLine="0" w:firstLineChars="0"/>
              <w:jc w:val="center"/>
              <w:rPr>
                <w:color w:val="auto"/>
                <w:sz w:val="21"/>
                <w:szCs w:val="21"/>
              </w:rPr>
            </w:pPr>
            <w:r>
              <w:rPr>
                <w:color w:val="auto"/>
                <w:sz w:val="21"/>
                <w:szCs w:val="21"/>
              </w:rPr>
              <w:t>1.324</w:t>
            </w:r>
          </w:p>
        </w:tc>
        <w:tc>
          <w:tcPr>
            <w:tcW w:w="411" w:type="pct"/>
            <w:vAlign w:val="center"/>
          </w:tcPr>
          <w:p w14:paraId="2AECA4C9">
            <w:pPr>
              <w:spacing w:line="240" w:lineRule="auto"/>
              <w:ind w:firstLine="0" w:firstLineChars="0"/>
              <w:jc w:val="center"/>
              <w:rPr>
                <w:color w:val="auto"/>
                <w:sz w:val="21"/>
                <w:szCs w:val="21"/>
              </w:rPr>
            </w:pPr>
            <w:r>
              <w:rPr>
                <w:color w:val="auto"/>
                <w:sz w:val="21"/>
                <w:szCs w:val="21"/>
              </w:rPr>
              <w:t>6</w:t>
            </w:r>
          </w:p>
        </w:tc>
        <w:tc>
          <w:tcPr>
            <w:tcW w:w="531" w:type="pct"/>
            <w:vAlign w:val="center"/>
          </w:tcPr>
          <w:p w14:paraId="0184560F">
            <w:pPr>
              <w:spacing w:line="240" w:lineRule="auto"/>
              <w:ind w:firstLine="0" w:firstLineChars="0"/>
              <w:jc w:val="center"/>
              <w:rPr>
                <w:color w:val="auto"/>
                <w:sz w:val="21"/>
                <w:szCs w:val="21"/>
              </w:rPr>
            </w:pPr>
            <w:r>
              <w:rPr>
                <w:color w:val="auto"/>
                <w:sz w:val="21"/>
                <w:szCs w:val="21"/>
              </w:rPr>
              <w:t>潜水</w:t>
            </w:r>
          </w:p>
        </w:tc>
      </w:tr>
      <w:tr w14:paraId="7DAB5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70" w:type="pct"/>
            <w:vAlign w:val="center"/>
          </w:tcPr>
          <w:p w14:paraId="16BB2379">
            <w:pPr>
              <w:spacing w:line="240" w:lineRule="auto"/>
              <w:ind w:firstLine="0" w:firstLineChars="0"/>
              <w:jc w:val="center"/>
              <w:rPr>
                <w:color w:val="auto"/>
                <w:sz w:val="21"/>
                <w:szCs w:val="21"/>
              </w:rPr>
            </w:pPr>
            <w:r>
              <w:rPr>
                <w:color w:val="auto"/>
                <w:sz w:val="21"/>
                <w:szCs w:val="21"/>
              </w:rPr>
              <w:t>D10</w:t>
            </w:r>
          </w:p>
        </w:tc>
        <w:tc>
          <w:tcPr>
            <w:tcW w:w="796" w:type="pct"/>
            <w:vAlign w:val="center"/>
          </w:tcPr>
          <w:p w14:paraId="64C74802">
            <w:pPr>
              <w:spacing w:line="240" w:lineRule="auto"/>
              <w:ind w:firstLine="0" w:firstLineChars="0"/>
              <w:jc w:val="center"/>
              <w:rPr>
                <w:color w:val="auto"/>
                <w:sz w:val="21"/>
                <w:szCs w:val="21"/>
              </w:rPr>
            </w:pPr>
            <w:r>
              <w:rPr>
                <w:color w:val="auto"/>
                <w:sz w:val="21"/>
                <w:szCs w:val="21"/>
              </w:rPr>
              <w:t>121.490607</w:t>
            </w:r>
          </w:p>
        </w:tc>
        <w:tc>
          <w:tcPr>
            <w:tcW w:w="725" w:type="pct"/>
            <w:vAlign w:val="center"/>
          </w:tcPr>
          <w:p w14:paraId="345BEDFB">
            <w:pPr>
              <w:spacing w:line="240" w:lineRule="auto"/>
              <w:ind w:firstLine="0" w:firstLineChars="0"/>
              <w:jc w:val="center"/>
              <w:rPr>
                <w:color w:val="auto"/>
                <w:sz w:val="21"/>
                <w:szCs w:val="21"/>
              </w:rPr>
            </w:pPr>
            <w:r>
              <w:rPr>
                <w:color w:val="auto"/>
                <w:sz w:val="21"/>
                <w:szCs w:val="21"/>
              </w:rPr>
              <w:t>31.806938</w:t>
            </w:r>
          </w:p>
        </w:tc>
        <w:tc>
          <w:tcPr>
            <w:tcW w:w="754" w:type="pct"/>
            <w:noWrap/>
            <w:vAlign w:val="center"/>
          </w:tcPr>
          <w:p w14:paraId="39635D8B">
            <w:pPr>
              <w:spacing w:line="240" w:lineRule="auto"/>
              <w:ind w:firstLine="0" w:firstLineChars="0"/>
              <w:jc w:val="center"/>
              <w:rPr>
                <w:color w:val="auto"/>
                <w:sz w:val="21"/>
                <w:szCs w:val="21"/>
              </w:rPr>
            </w:pPr>
            <w:r>
              <w:rPr>
                <w:color w:val="auto"/>
                <w:sz w:val="21"/>
                <w:szCs w:val="21"/>
              </w:rPr>
              <w:t>1.402</w:t>
            </w:r>
          </w:p>
        </w:tc>
        <w:tc>
          <w:tcPr>
            <w:tcW w:w="786" w:type="pct"/>
            <w:vAlign w:val="center"/>
          </w:tcPr>
          <w:p w14:paraId="74FE2E5C">
            <w:pPr>
              <w:spacing w:line="240" w:lineRule="auto"/>
              <w:ind w:firstLine="0" w:firstLineChars="0"/>
              <w:jc w:val="center"/>
              <w:rPr>
                <w:color w:val="auto"/>
                <w:sz w:val="21"/>
                <w:szCs w:val="21"/>
              </w:rPr>
            </w:pPr>
            <w:r>
              <w:rPr>
                <w:color w:val="auto"/>
                <w:sz w:val="21"/>
                <w:szCs w:val="21"/>
              </w:rPr>
              <w:t>3.443</w:t>
            </w:r>
          </w:p>
        </w:tc>
        <w:tc>
          <w:tcPr>
            <w:tcW w:w="627" w:type="pct"/>
            <w:vAlign w:val="center"/>
          </w:tcPr>
          <w:p w14:paraId="1E25B787">
            <w:pPr>
              <w:spacing w:line="240" w:lineRule="auto"/>
              <w:ind w:firstLine="0" w:firstLineChars="0"/>
              <w:jc w:val="center"/>
              <w:rPr>
                <w:color w:val="auto"/>
                <w:sz w:val="21"/>
                <w:szCs w:val="21"/>
              </w:rPr>
            </w:pPr>
            <w:r>
              <w:rPr>
                <w:color w:val="auto"/>
                <w:sz w:val="21"/>
                <w:szCs w:val="21"/>
              </w:rPr>
              <w:t>2.041</w:t>
            </w:r>
          </w:p>
        </w:tc>
        <w:tc>
          <w:tcPr>
            <w:tcW w:w="411" w:type="pct"/>
            <w:vAlign w:val="center"/>
          </w:tcPr>
          <w:p w14:paraId="22ADD748">
            <w:pPr>
              <w:spacing w:line="240" w:lineRule="auto"/>
              <w:ind w:firstLine="0" w:firstLineChars="0"/>
              <w:jc w:val="center"/>
              <w:rPr>
                <w:color w:val="auto"/>
                <w:sz w:val="21"/>
                <w:szCs w:val="21"/>
              </w:rPr>
            </w:pPr>
            <w:r>
              <w:rPr>
                <w:color w:val="auto"/>
                <w:sz w:val="21"/>
                <w:szCs w:val="21"/>
              </w:rPr>
              <w:t>6</w:t>
            </w:r>
          </w:p>
        </w:tc>
        <w:tc>
          <w:tcPr>
            <w:tcW w:w="531" w:type="pct"/>
            <w:vAlign w:val="center"/>
          </w:tcPr>
          <w:p w14:paraId="55CB29F0">
            <w:pPr>
              <w:spacing w:line="240" w:lineRule="auto"/>
              <w:ind w:firstLine="0" w:firstLineChars="0"/>
              <w:jc w:val="center"/>
              <w:rPr>
                <w:color w:val="auto"/>
                <w:sz w:val="21"/>
                <w:szCs w:val="21"/>
              </w:rPr>
            </w:pPr>
            <w:r>
              <w:rPr>
                <w:color w:val="auto"/>
                <w:sz w:val="21"/>
                <w:szCs w:val="21"/>
              </w:rPr>
              <w:t>潜水</w:t>
            </w:r>
          </w:p>
        </w:tc>
      </w:tr>
    </w:tbl>
    <w:p w14:paraId="2E7B0E3E">
      <w:pPr>
        <w:pStyle w:val="5"/>
        <w:spacing w:before="156"/>
        <w:rPr>
          <w:color w:val="auto"/>
        </w:rPr>
      </w:pPr>
      <w:r>
        <w:rPr>
          <w:rFonts w:hint="eastAsia"/>
          <w:color w:val="auto"/>
        </w:rPr>
        <w:t>5.2.4.2地下水环境质量现状监测</w:t>
      </w:r>
    </w:p>
    <w:p w14:paraId="35F98D26">
      <w:pPr>
        <w:ind w:firstLine="480"/>
        <w:rPr>
          <w:color w:val="auto"/>
        </w:rPr>
      </w:pPr>
      <w:r>
        <w:rPr>
          <w:color w:val="auto"/>
        </w:rPr>
        <w:t>(1)监测因子：K</w:t>
      </w:r>
      <w:r>
        <w:rPr>
          <w:color w:val="auto"/>
          <w:vertAlign w:val="superscript"/>
        </w:rPr>
        <w:t>+</w:t>
      </w:r>
      <w:r>
        <w:rPr>
          <w:color w:val="auto"/>
        </w:rPr>
        <w:t>、Na</w:t>
      </w:r>
      <w:r>
        <w:rPr>
          <w:color w:val="auto"/>
          <w:vertAlign w:val="superscript"/>
        </w:rPr>
        <w:t>+</w:t>
      </w:r>
      <w:r>
        <w:rPr>
          <w:color w:val="auto"/>
        </w:rPr>
        <w:t>、Ca</w:t>
      </w:r>
      <w:r>
        <w:rPr>
          <w:color w:val="auto"/>
          <w:vertAlign w:val="superscript"/>
        </w:rPr>
        <w:t>2+</w:t>
      </w:r>
      <w:r>
        <w:rPr>
          <w:color w:val="auto"/>
        </w:rPr>
        <w:t>、Mg</w:t>
      </w:r>
      <w:r>
        <w:rPr>
          <w:color w:val="auto"/>
          <w:vertAlign w:val="superscript"/>
        </w:rPr>
        <w:t>2+</w:t>
      </w:r>
      <w:r>
        <w:rPr>
          <w:color w:val="auto"/>
        </w:rPr>
        <w:t>、CO</w:t>
      </w:r>
      <w:r>
        <w:rPr>
          <w:color w:val="auto"/>
          <w:vertAlign w:val="subscript"/>
        </w:rPr>
        <w:t>3</w:t>
      </w:r>
      <w:r>
        <w:rPr>
          <w:color w:val="auto"/>
          <w:vertAlign w:val="superscript"/>
        </w:rPr>
        <w:t>2-</w:t>
      </w:r>
      <w:r>
        <w:rPr>
          <w:color w:val="auto"/>
        </w:rPr>
        <w:t>、HCO</w:t>
      </w:r>
      <w:r>
        <w:rPr>
          <w:color w:val="auto"/>
          <w:vertAlign w:val="subscript"/>
        </w:rPr>
        <w:t>3</w:t>
      </w:r>
      <w:r>
        <w:rPr>
          <w:color w:val="auto"/>
          <w:vertAlign w:val="superscript"/>
        </w:rPr>
        <w:t>-</w:t>
      </w:r>
      <w:r>
        <w:rPr>
          <w:color w:val="auto"/>
        </w:rPr>
        <w:t>、Cl</w:t>
      </w:r>
      <w:r>
        <w:rPr>
          <w:color w:val="auto"/>
          <w:vertAlign w:val="superscript"/>
        </w:rPr>
        <w:t>-</w:t>
      </w:r>
      <w:r>
        <w:rPr>
          <w:color w:val="auto"/>
        </w:rPr>
        <w:t>、SO</w:t>
      </w:r>
      <w:r>
        <w:rPr>
          <w:color w:val="auto"/>
          <w:vertAlign w:val="subscript"/>
        </w:rPr>
        <w:t>4</w:t>
      </w:r>
      <w:r>
        <w:rPr>
          <w:color w:val="auto"/>
          <w:vertAlign w:val="superscript"/>
        </w:rPr>
        <w:t>2-</w:t>
      </w:r>
      <w:r>
        <w:rPr>
          <w:color w:val="auto"/>
        </w:rPr>
        <w:t>、pH、氨氮、硝酸盐、亚硝酸盐、挥发性酚、氰化物、砷、汞、铬(六价)、总硬度、镍、铅、氟化物、镉、铁、锰、铜、溶解性总固体、高锰酸盐指数、硫化物、总大肠菌群、细菌总数、石油类、阴离子表面活性剂，并记录井口高程、地下水水位、地下水埋深。</w:t>
      </w:r>
    </w:p>
    <w:p w14:paraId="6B0AF97B">
      <w:pPr>
        <w:ind w:firstLine="480"/>
        <w:rPr>
          <w:color w:val="auto"/>
        </w:rPr>
      </w:pPr>
      <w:r>
        <w:rPr>
          <w:color w:val="auto"/>
        </w:rPr>
        <w:t>(2)监测时间及频次：地下水水位监测点D1~D4</w:t>
      </w:r>
      <w:r>
        <w:rPr>
          <w:rFonts w:hint="eastAsia"/>
          <w:color w:val="auto"/>
        </w:rPr>
        <w:t>引用《启东亚太药业有限公司年产2000吨硫代硫酸钠原料药、10吨依达拉奉原料药及1亿粒制剂项目》中的监测数据，</w:t>
      </w:r>
      <w:r>
        <w:rPr>
          <w:color w:val="auto"/>
        </w:rPr>
        <w:t>由江苏光质检测科技有限公司实测，采样时间为2024年10月14日</w:t>
      </w:r>
      <w:r>
        <w:rPr>
          <w:rFonts w:hint="eastAsia"/>
          <w:color w:val="auto"/>
        </w:rPr>
        <w:t>；</w:t>
      </w:r>
      <w:r>
        <w:rPr>
          <w:color w:val="auto"/>
        </w:rPr>
        <w:t>D5引用《南通宝凯药业有限公司年产200吨塞来昔布原料药、3000吨锂电池电解液项目环境影响报告书》中的监测数据，该数据由江苏雨松环境修复研究中心有限公司实测，采样时间为2024年1月30日</w:t>
      </w:r>
      <w:r>
        <w:rPr>
          <w:rFonts w:hint="eastAsia"/>
          <w:color w:val="auto"/>
        </w:rPr>
        <w:t>。</w:t>
      </w:r>
    </w:p>
    <w:p w14:paraId="66EC0EE8">
      <w:pPr>
        <w:ind w:firstLine="480"/>
        <w:rPr>
          <w:color w:val="auto"/>
        </w:rPr>
      </w:pPr>
      <w:r>
        <w:rPr>
          <w:color w:val="auto"/>
        </w:rPr>
        <w:t>(3)监测点布设：评价范围内共布设5个地下水水质监测点位，具体点位设置见表5.2.4-2和附图5.2.4-1。</w:t>
      </w:r>
    </w:p>
    <w:p w14:paraId="733D062E">
      <w:pPr>
        <w:ind w:firstLine="482"/>
        <w:jc w:val="center"/>
        <w:rPr>
          <w:b/>
          <w:bCs/>
          <w:color w:val="auto"/>
        </w:rPr>
      </w:pPr>
      <w:r>
        <w:rPr>
          <w:rFonts w:hint="eastAsia"/>
          <w:b/>
          <w:bCs/>
          <w:color w:val="auto"/>
        </w:rPr>
        <w:t>表5.2.4-2 地下水环境现状监测点位</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370"/>
        <w:gridCol w:w="1216"/>
        <w:gridCol w:w="2121"/>
        <w:gridCol w:w="4372"/>
      </w:tblGrid>
      <w:tr w14:paraId="4A964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3" w:type="pct"/>
            <w:vAlign w:val="center"/>
          </w:tcPr>
          <w:p w14:paraId="537AB09C">
            <w:pPr>
              <w:widowControl/>
              <w:spacing w:line="240" w:lineRule="auto"/>
              <w:ind w:firstLine="0" w:firstLineChars="0"/>
              <w:jc w:val="center"/>
              <w:rPr>
                <w:b/>
                <w:bCs/>
                <w:color w:val="auto"/>
                <w:kern w:val="0"/>
                <w:sz w:val="21"/>
                <w:szCs w:val="21"/>
              </w:rPr>
            </w:pPr>
            <w:r>
              <w:rPr>
                <w:b/>
                <w:bCs/>
                <w:color w:val="auto"/>
                <w:kern w:val="0"/>
                <w:sz w:val="21"/>
                <w:szCs w:val="21"/>
              </w:rPr>
              <w:t>编号</w:t>
            </w:r>
          </w:p>
        </w:tc>
        <w:tc>
          <w:tcPr>
            <w:tcW w:w="695" w:type="pct"/>
            <w:vAlign w:val="center"/>
          </w:tcPr>
          <w:p w14:paraId="13ADDFE4">
            <w:pPr>
              <w:widowControl/>
              <w:spacing w:line="240" w:lineRule="auto"/>
              <w:ind w:firstLine="0" w:firstLineChars="0"/>
              <w:jc w:val="center"/>
              <w:rPr>
                <w:b/>
                <w:bCs/>
                <w:color w:val="auto"/>
                <w:kern w:val="0"/>
                <w:sz w:val="21"/>
                <w:szCs w:val="21"/>
              </w:rPr>
            </w:pPr>
            <w:r>
              <w:rPr>
                <w:b/>
                <w:bCs/>
                <w:color w:val="auto"/>
                <w:kern w:val="0"/>
                <w:sz w:val="21"/>
                <w:szCs w:val="21"/>
              </w:rPr>
              <w:t>经度</w:t>
            </w:r>
          </w:p>
        </w:tc>
        <w:tc>
          <w:tcPr>
            <w:tcW w:w="617" w:type="pct"/>
            <w:vAlign w:val="center"/>
          </w:tcPr>
          <w:p w14:paraId="6339E158">
            <w:pPr>
              <w:widowControl/>
              <w:spacing w:line="240" w:lineRule="auto"/>
              <w:ind w:firstLine="0" w:firstLineChars="0"/>
              <w:jc w:val="center"/>
              <w:rPr>
                <w:b/>
                <w:bCs/>
                <w:color w:val="auto"/>
                <w:kern w:val="0"/>
                <w:sz w:val="21"/>
                <w:szCs w:val="21"/>
              </w:rPr>
            </w:pPr>
            <w:r>
              <w:rPr>
                <w:b/>
                <w:bCs/>
                <w:color w:val="auto"/>
                <w:kern w:val="0"/>
                <w:sz w:val="21"/>
                <w:szCs w:val="21"/>
              </w:rPr>
              <w:t>纬度</w:t>
            </w:r>
          </w:p>
        </w:tc>
        <w:tc>
          <w:tcPr>
            <w:tcW w:w="1076" w:type="pct"/>
            <w:vAlign w:val="center"/>
          </w:tcPr>
          <w:p w14:paraId="799B4C73">
            <w:pPr>
              <w:widowControl/>
              <w:spacing w:line="240" w:lineRule="auto"/>
              <w:ind w:firstLine="0" w:firstLineChars="0"/>
              <w:jc w:val="center"/>
              <w:rPr>
                <w:b/>
                <w:bCs/>
                <w:color w:val="auto"/>
                <w:kern w:val="0"/>
                <w:sz w:val="21"/>
                <w:szCs w:val="21"/>
              </w:rPr>
            </w:pPr>
            <w:r>
              <w:rPr>
                <w:b/>
                <w:bCs/>
                <w:color w:val="auto"/>
                <w:kern w:val="0"/>
                <w:sz w:val="21"/>
                <w:szCs w:val="21"/>
              </w:rPr>
              <w:t>监测点布设位置</w:t>
            </w:r>
          </w:p>
        </w:tc>
        <w:tc>
          <w:tcPr>
            <w:tcW w:w="2218" w:type="pct"/>
            <w:vAlign w:val="center"/>
          </w:tcPr>
          <w:p w14:paraId="71ACED65">
            <w:pPr>
              <w:widowControl/>
              <w:spacing w:line="240" w:lineRule="auto"/>
              <w:ind w:firstLine="0" w:firstLineChars="0"/>
              <w:jc w:val="center"/>
              <w:rPr>
                <w:b/>
                <w:bCs/>
                <w:color w:val="auto"/>
                <w:kern w:val="0"/>
                <w:sz w:val="21"/>
                <w:szCs w:val="21"/>
              </w:rPr>
            </w:pPr>
            <w:r>
              <w:rPr>
                <w:b/>
                <w:bCs/>
                <w:color w:val="auto"/>
                <w:kern w:val="0"/>
                <w:sz w:val="21"/>
                <w:szCs w:val="21"/>
              </w:rPr>
              <w:t>监测因子</w:t>
            </w:r>
          </w:p>
        </w:tc>
      </w:tr>
      <w:tr w14:paraId="50F18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3" w:type="pct"/>
            <w:vAlign w:val="center"/>
          </w:tcPr>
          <w:p w14:paraId="7A9B2D69">
            <w:pPr>
              <w:widowControl/>
              <w:spacing w:line="240" w:lineRule="auto"/>
              <w:ind w:firstLine="0" w:firstLineChars="0"/>
              <w:jc w:val="center"/>
              <w:rPr>
                <w:color w:val="auto"/>
                <w:kern w:val="0"/>
                <w:sz w:val="21"/>
                <w:szCs w:val="21"/>
              </w:rPr>
            </w:pPr>
            <w:r>
              <w:rPr>
                <w:color w:val="auto"/>
                <w:kern w:val="0"/>
                <w:sz w:val="21"/>
                <w:szCs w:val="21"/>
              </w:rPr>
              <w:t>D1</w:t>
            </w:r>
          </w:p>
        </w:tc>
        <w:tc>
          <w:tcPr>
            <w:tcW w:w="695" w:type="pct"/>
            <w:vAlign w:val="center"/>
          </w:tcPr>
          <w:p w14:paraId="6E3243BF">
            <w:pPr>
              <w:widowControl/>
              <w:spacing w:line="240" w:lineRule="auto"/>
              <w:ind w:firstLine="0" w:firstLineChars="0"/>
              <w:jc w:val="center"/>
              <w:rPr>
                <w:color w:val="auto"/>
                <w:kern w:val="0"/>
                <w:sz w:val="21"/>
                <w:szCs w:val="21"/>
              </w:rPr>
            </w:pPr>
            <w:r>
              <w:rPr>
                <w:color w:val="auto"/>
                <w:kern w:val="0"/>
                <w:sz w:val="21"/>
                <w:szCs w:val="21"/>
              </w:rPr>
              <w:t>121.493270</w:t>
            </w:r>
          </w:p>
        </w:tc>
        <w:tc>
          <w:tcPr>
            <w:tcW w:w="617" w:type="pct"/>
            <w:vAlign w:val="center"/>
          </w:tcPr>
          <w:p w14:paraId="72EAA015">
            <w:pPr>
              <w:widowControl/>
              <w:spacing w:line="240" w:lineRule="auto"/>
              <w:ind w:firstLine="0" w:firstLineChars="0"/>
              <w:jc w:val="center"/>
              <w:rPr>
                <w:color w:val="auto"/>
                <w:kern w:val="0"/>
                <w:sz w:val="21"/>
                <w:szCs w:val="21"/>
              </w:rPr>
            </w:pPr>
            <w:r>
              <w:rPr>
                <w:color w:val="auto"/>
                <w:kern w:val="0"/>
                <w:sz w:val="21"/>
                <w:szCs w:val="21"/>
              </w:rPr>
              <w:t>31.817454</w:t>
            </w:r>
          </w:p>
        </w:tc>
        <w:tc>
          <w:tcPr>
            <w:tcW w:w="1076" w:type="pct"/>
            <w:vAlign w:val="center"/>
          </w:tcPr>
          <w:p w14:paraId="4BAE3B32">
            <w:pPr>
              <w:widowControl/>
              <w:spacing w:line="240" w:lineRule="auto"/>
              <w:ind w:firstLine="0" w:firstLineChars="0"/>
              <w:jc w:val="center"/>
              <w:rPr>
                <w:color w:val="auto"/>
                <w:kern w:val="0"/>
                <w:sz w:val="21"/>
                <w:szCs w:val="21"/>
              </w:rPr>
            </w:pPr>
            <w:r>
              <w:rPr>
                <w:color w:val="auto"/>
                <w:kern w:val="0"/>
                <w:sz w:val="21"/>
                <w:szCs w:val="21"/>
              </w:rPr>
              <w:t>苯唑醇车间西侧</w:t>
            </w:r>
          </w:p>
        </w:tc>
        <w:tc>
          <w:tcPr>
            <w:tcW w:w="2218" w:type="pct"/>
            <w:vMerge w:val="restart"/>
            <w:vAlign w:val="center"/>
          </w:tcPr>
          <w:p w14:paraId="10880134">
            <w:pPr>
              <w:widowControl/>
              <w:spacing w:line="240" w:lineRule="auto"/>
              <w:ind w:firstLine="0" w:firstLineChars="0"/>
              <w:jc w:val="center"/>
              <w:rPr>
                <w:color w:val="auto"/>
                <w:kern w:val="0"/>
                <w:sz w:val="21"/>
                <w:szCs w:val="21"/>
              </w:rPr>
            </w:pPr>
            <w:r>
              <w:rPr>
                <w:color w:val="auto"/>
                <w:kern w:val="0"/>
                <w:sz w:val="21"/>
                <w:szCs w:val="21"/>
              </w:rPr>
              <w:t>K</w:t>
            </w:r>
            <w:r>
              <w:rPr>
                <w:color w:val="auto"/>
                <w:kern w:val="0"/>
                <w:sz w:val="21"/>
                <w:szCs w:val="21"/>
                <w:vertAlign w:val="superscript"/>
              </w:rPr>
              <w:t>+</w:t>
            </w:r>
            <w:r>
              <w:rPr>
                <w:color w:val="auto"/>
                <w:kern w:val="0"/>
                <w:sz w:val="21"/>
                <w:szCs w:val="21"/>
              </w:rPr>
              <w:t>、Na</w:t>
            </w:r>
            <w:r>
              <w:rPr>
                <w:color w:val="auto"/>
                <w:kern w:val="0"/>
                <w:sz w:val="21"/>
                <w:szCs w:val="21"/>
                <w:vertAlign w:val="superscript"/>
              </w:rPr>
              <w:t>+</w:t>
            </w:r>
            <w:r>
              <w:rPr>
                <w:color w:val="auto"/>
                <w:kern w:val="0"/>
                <w:sz w:val="21"/>
                <w:szCs w:val="21"/>
              </w:rPr>
              <w:t>、Ca</w:t>
            </w:r>
            <w:r>
              <w:rPr>
                <w:color w:val="auto"/>
                <w:kern w:val="0"/>
                <w:sz w:val="21"/>
                <w:szCs w:val="21"/>
                <w:vertAlign w:val="superscript"/>
              </w:rPr>
              <w:t>2+</w:t>
            </w:r>
            <w:r>
              <w:rPr>
                <w:color w:val="auto"/>
                <w:kern w:val="0"/>
                <w:sz w:val="21"/>
                <w:szCs w:val="21"/>
              </w:rPr>
              <w:t>、Mg</w:t>
            </w:r>
            <w:r>
              <w:rPr>
                <w:color w:val="auto"/>
                <w:kern w:val="0"/>
                <w:sz w:val="21"/>
                <w:szCs w:val="21"/>
                <w:vertAlign w:val="superscript"/>
              </w:rPr>
              <w:t>2+</w:t>
            </w:r>
            <w:r>
              <w:rPr>
                <w:color w:val="auto"/>
                <w:kern w:val="0"/>
                <w:sz w:val="21"/>
                <w:szCs w:val="21"/>
              </w:rPr>
              <w:t>、CO</w:t>
            </w:r>
            <w:r>
              <w:rPr>
                <w:color w:val="auto"/>
                <w:kern w:val="0"/>
                <w:sz w:val="21"/>
                <w:szCs w:val="21"/>
                <w:vertAlign w:val="subscript"/>
              </w:rPr>
              <w:t>3</w:t>
            </w:r>
            <w:r>
              <w:rPr>
                <w:color w:val="auto"/>
                <w:kern w:val="0"/>
                <w:sz w:val="21"/>
                <w:szCs w:val="21"/>
                <w:vertAlign w:val="superscript"/>
              </w:rPr>
              <w:t>2-</w:t>
            </w:r>
            <w:r>
              <w:rPr>
                <w:color w:val="auto"/>
                <w:kern w:val="0"/>
                <w:sz w:val="21"/>
                <w:szCs w:val="21"/>
              </w:rPr>
              <w:t>、HCO</w:t>
            </w:r>
            <w:r>
              <w:rPr>
                <w:color w:val="auto"/>
                <w:kern w:val="0"/>
                <w:sz w:val="21"/>
                <w:szCs w:val="21"/>
                <w:vertAlign w:val="subscript"/>
              </w:rPr>
              <w:t>3</w:t>
            </w:r>
            <w:r>
              <w:rPr>
                <w:color w:val="auto"/>
                <w:kern w:val="0"/>
                <w:sz w:val="21"/>
                <w:szCs w:val="21"/>
                <w:vertAlign w:val="superscript"/>
              </w:rPr>
              <w:t>-</w:t>
            </w:r>
            <w:r>
              <w:rPr>
                <w:color w:val="auto"/>
                <w:kern w:val="0"/>
                <w:sz w:val="21"/>
                <w:szCs w:val="21"/>
              </w:rPr>
              <w:t>、Cl</w:t>
            </w:r>
            <w:r>
              <w:rPr>
                <w:color w:val="auto"/>
                <w:kern w:val="0"/>
                <w:sz w:val="21"/>
                <w:szCs w:val="21"/>
                <w:vertAlign w:val="superscript"/>
              </w:rPr>
              <w:t>-</w:t>
            </w:r>
            <w:r>
              <w:rPr>
                <w:color w:val="auto"/>
                <w:kern w:val="0"/>
                <w:sz w:val="21"/>
                <w:szCs w:val="21"/>
              </w:rPr>
              <w:t>、SO</w:t>
            </w:r>
            <w:r>
              <w:rPr>
                <w:color w:val="auto"/>
                <w:kern w:val="0"/>
                <w:sz w:val="21"/>
                <w:szCs w:val="21"/>
                <w:vertAlign w:val="subscript"/>
              </w:rPr>
              <w:t>4</w:t>
            </w:r>
            <w:r>
              <w:rPr>
                <w:color w:val="auto"/>
                <w:kern w:val="0"/>
                <w:sz w:val="21"/>
                <w:szCs w:val="21"/>
                <w:vertAlign w:val="superscript"/>
              </w:rPr>
              <w:t>2-</w:t>
            </w:r>
            <w:r>
              <w:rPr>
                <w:color w:val="auto"/>
                <w:kern w:val="0"/>
                <w:sz w:val="21"/>
                <w:szCs w:val="21"/>
              </w:rPr>
              <w:t>、pH、氨氮、硝酸盐、亚硝酸盐、挥发性酚、氰化物、砷、汞、铬(六价)、总硬度、镍、铅、氟化物、镉、铁、锰、铜、溶解性总固体、高锰酸盐指数、硫化物、总大肠菌群、细菌总数、石油类、阴离子表面活性剂</w:t>
            </w:r>
          </w:p>
        </w:tc>
      </w:tr>
      <w:tr w14:paraId="0384E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3" w:type="pct"/>
            <w:vAlign w:val="center"/>
          </w:tcPr>
          <w:p w14:paraId="4B5F641E">
            <w:pPr>
              <w:widowControl/>
              <w:spacing w:line="240" w:lineRule="auto"/>
              <w:ind w:firstLine="0" w:firstLineChars="0"/>
              <w:jc w:val="center"/>
              <w:rPr>
                <w:color w:val="auto"/>
                <w:kern w:val="0"/>
                <w:sz w:val="21"/>
                <w:szCs w:val="21"/>
              </w:rPr>
            </w:pPr>
            <w:r>
              <w:rPr>
                <w:color w:val="auto"/>
                <w:kern w:val="0"/>
                <w:sz w:val="21"/>
                <w:szCs w:val="21"/>
              </w:rPr>
              <w:t>D2</w:t>
            </w:r>
          </w:p>
        </w:tc>
        <w:tc>
          <w:tcPr>
            <w:tcW w:w="695" w:type="pct"/>
            <w:vAlign w:val="center"/>
          </w:tcPr>
          <w:p w14:paraId="4EFF90F2">
            <w:pPr>
              <w:widowControl/>
              <w:spacing w:line="240" w:lineRule="auto"/>
              <w:ind w:firstLine="0" w:firstLineChars="0"/>
              <w:jc w:val="center"/>
              <w:rPr>
                <w:color w:val="auto"/>
                <w:kern w:val="0"/>
                <w:sz w:val="21"/>
                <w:szCs w:val="21"/>
              </w:rPr>
            </w:pPr>
            <w:r>
              <w:rPr>
                <w:color w:val="auto"/>
                <w:kern w:val="0"/>
                <w:sz w:val="21"/>
                <w:szCs w:val="21"/>
              </w:rPr>
              <w:t>121.495661</w:t>
            </w:r>
          </w:p>
        </w:tc>
        <w:tc>
          <w:tcPr>
            <w:tcW w:w="617" w:type="pct"/>
            <w:vAlign w:val="center"/>
          </w:tcPr>
          <w:p w14:paraId="70006B7F">
            <w:pPr>
              <w:widowControl/>
              <w:spacing w:line="240" w:lineRule="auto"/>
              <w:ind w:firstLine="0" w:firstLineChars="0"/>
              <w:jc w:val="center"/>
              <w:rPr>
                <w:color w:val="auto"/>
                <w:kern w:val="0"/>
                <w:sz w:val="21"/>
                <w:szCs w:val="21"/>
              </w:rPr>
            </w:pPr>
            <w:r>
              <w:rPr>
                <w:color w:val="auto"/>
                <w:kern w:val="0"/>
                <w:sz w:val="21"/>
                <w:szCs w:val="21"/>
              </w:rPr>
              <w:t>31.816104</w:t>
            </w:r>
          </w:p>
        </w:tc>
        <w:tc>
          <w:tcPr>
            <w:tcW w:w="1076" w:type="pct"/>
            <w:vAlign w:val="center"/>
          </w:tcPr>
          <w:p w14:paraId="626D6E2E">
            <w:pPr>
              <w:widowControl/>
              <w:spacing w:line="240" w:lineRule="auto"/>
              <w:ind w:firstLine="0" w:firstLineChars="0"/>
              <w:jc w:val="center"/>
              <w:rPr>
                <w:color w:val="auto"/>
                <w:kern w:val="0"/>
                <w:sz w:val="21"/>
                <w:szCs w:val="21"/>
              </w:rPr>
            </w:pPr>
            <w:r>
              <w:rPr>
                <w:color w:val="auto"/>
                <w:kern w:val="0"/>
                <w:sz w:val="21"/>
                <w:szCs w:val="21"/>
              </w:rPr>
              <w:t>污水处理站</w:t>
            </w:r>
          </w:p>
        </w:tc>
        <w:tc>
          <w:tcPr>
            <w:tcW w:w="2218" w:type="pct"/>
            <w:vMerge w:val="continue"/>
            <w:vAlign w:val="center"/>
          </w:tcPr>
          <w:p w14:paraId="363A4BEA">
            <w:pPr>
              <w:adjustRightInd/>
              <w:snapToGrid/>
              <w:spacing w:line="240" w:lineRule="auto"/>
              <w:ind w:firstLine="0" w:firstLineChars="0"/>
              <w:jc w:val="center"/>
              <w:rPr>
                <w:color w:val="auto"/>
                <w:sz w:val="21"/>
                <w:szCs w:val="21"/>
              </w:rPr>
            </w:pPr>
          </w:p>
        </w:tc>
      </w:tr>
      <w:tr w14:paraId="7B3A0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3" w:type="pct"/>
            <w:vAlign w:val="center"/>
          </w:tcPr>
          <w:p w14:paraId="613C46CF">
            <w:pPr>
              <w:widowControl/>
              <w:spacing w:line="240" w:lineRule="auto"/>
              <w:ind w:firstLine="0" w:firstLineChars="0"/>
              <w:jc w:val="center"/>
              <w:rPr>
                <w:color w:val="auto"/>
                <w:kern w:val="0"/>
                <w:sz w:val="21"/>
                <w:szCs w:val="21"/>
              </w:rPr>
            </w:pPr>
            <w:r>
              <w:rPr>
                <w:color w:val="auto"/>
                <w:kern w:val="0"/>
                <w:sz w:val="21"/>
                <w:szCs w:val="21"/>
              </w:rPr>
              <w:t>D3</w:t>
            </w:r>
          </w:p>
        </w:tc>
        <w:tc>
          <w:tcPr>
            <w:tcW w:w="695" w:type="pct"/>
            <w:vAlign w:val="center"/>
          </w:tcPr>
          <w:p w14:paraId="6C7789D9">
            <w:pPr>
              <w:widowControl/>
              <w:spacing w:line="240" w:lineRule="auto"/>
              <w:ind w:firstLine="0" w:firstLineChars="0"/>
              <w:jc w:val="center"/>
              <w:rPr>
                <w:color w:val="auto"/>
                <w:kern w:val="0"/>
                <w:sz w:val="21"/>
                <w:szCs w:val="21"/>
              </w:rPr>
            </w:pPr>
            <w:r>
              <w:rPr>
                <w:color w:val="auto"/>
                <w:kern w:val="0"/>
                <w:sz w:val="21"/>
                <w:szCs w:val="21"/>
              </w:rPr>
              <w:t>121.493823</w:t>
            </w:r>
          </w:p>
        </w:tc>
        <w:tc>
          <w:tcPr>
            <w:tcW w:w="617" w:type="pct"/>
            <w:vAlign w:val="center"/>
          </w:tcPr>
          <w:p w14:paraId="769B07C7">
            <w:pPr>
              <w:widowControl/>
              <w:spacing w:line="240" w:lineRule="auto"/>
              <w:ind w:firstLine="0" w:firstLineChars="0"/>
              <w:jc w:val="center"/>
              <w:rPr>
                <w:color w:val="auto"/>
                <w:kern w:val="0"/>
                <w:sz w:val="21"/>
                <w:szCs w:val="21"/>
              </w:rPr>
            </w:pPr>
            <w:r>
              <w:rPr>
                <w:color w:val="auto"/>
                <w:kern w:val="0"/>
                <w:sz w:val="21"/>
                <w:szCs w:val="21"/>
              </w:rPr>
              <w:t>31.818626</w:t>
            </w:r>
          </w:p>
        </w:tc>
        <w:tc>
          <w:tcPr>
            <w:tcW w:w="1076" w:type="pct"/>
            <w:vAlign w:val="center"/>
          </w:tcPr>
          <w:p w14:paraId="594309A7">
            <w:pPr>
              <w:widowControl/>
              <w:spacing w:line="240" w:lineRule="auto"/>
              <w:ind w:firstLine="0" w:firstLineChars="0"/>
              <w:jc w:val="center"/>
              <w:rPr>
                <w:color w:val="auto"/>
                <w:kern w:val="0"/>
                <w:sz w:val="21"/>
                <w:szCs w:val="21"/>
              </w:rPr>
            </w:pPr>
            <w:r>
              <w:rPr>
                <w:color w:val="auto"/>
                <w:kern w:val="0"/>
                <w:sz w:val="21"/>
                <w:szCs w:val="21"/>
              </w:rPr>
              <w:t>罐区</w:t>
            </w:r>
          </w:p>
        </w:tc>
        <w:tc>
          <w:tcPr>
            <w:tcW w:w="2218" w:type="pct"/>
            <w:vMerge w:val="continue"/>
            <w:vAlign w:val="center"/>
          </w:tcPr>
          <w:p w14:paraId="2CADEA23">
            <w:pPr>
              <w:adjustRightInd/>
              <w:snapToGrid/>
              <w:spacing w:line="240" w:lineRule="auto"/>
              <w:ind w:firstLine="0" w:firstLineChars="0"/>
              <w:jc w:val="center"/>
              <w:rPr>
                <w:color w:val="auto"/>
                <w:sz w:val="21"/>
                <w:szCs w:val="21"/>
              </w:rPr>
            </w:pPr>
          </w:p>
        </w:tc>
      </w:tr>
      <w:tr w14:paraId="30BBB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3" w:type="pct"/>
            <w:vAlign w:val="center"/>
          </w:tcPr>
          <w:p w14:paraId="7D5BE567">
            <w:pPr>
              <w:widowControl/>
              <w:spacing w:line="240" w:lineRule="auto"/>
              <w:ind w:firstLine="0" w:firstLineChars="0"/>
              <w:jc w:val="center"/>
              <w:rPr>
                <w:color w:val="auto"/>
                <w:kern w:val="0"/>
                <w:sz w:val="21"/>
                <w:szCs w:val="21"/>
              </w:rPr>
            </w:pPr>
            <w:r>
              <w:rPr>
                <w:color w:val="auto"/>
                <w:kern w:val="0"/>
                <w:sz w:val="21"/>
                <w:szCs w:val="21"/>
              </w:rPr>
              <w:t>D4</w:t>
            </w:r>
          </w:p>
        </w:tc>
        <w:tc>
          <w:tcPr>
            <w:tcW w:w="695" w:type="pct"/>
            <w:vAlign w:val="center"/>
          </w:tcPr>
          <w:p w14:paraId="5CD0C95C">
            <w:pPr>
              <w:widowControl/>
              <w:spacing w:line="240" w:lineRule="auto"/>
              <w:ind w:firstLine="0" w:firstLineChars="0"/>
              <w:jc w:val="center"/>
              <w:rPr>
                <w:color w:val="auto"/>
                <w:kern w:val="0"/>
                <w:sz w:val="21"/>
                <w:szCs w:val="21"/>
              </w:rPr>
            </w:pPr>
            <w:r>
              <w:rPr>
                <w:color w:val="auto"/>
                <w:kern w:val="0"/>
                <w:sz w:val="21"/>
                <w:szCs w:val="21"/>
              </w:rPr>
              <w:t>121.494286</w:t>
            </w:r>
          </w:p>
        </w:tc>
        <w:tc>
          <w:tcPr>
            <w:tcW w:w="617" w:type="pct"/>
            <w:vAlign w:val="center"/>
          </w:tcPr>
          <w:p w14:paraId="4760B1AE">
            <w:pPr>
              <w:widowControl/>
              <w:spacing w:line="240" w:lineRule="auto"/>
              <w:ind w:firstLine="0" w:firstLineChars="0"/>
              <w:jc w:val="center"/>
              <w:rPr>
                <w:color w:val="auto"/>
                <w:kern w:val="0"/>
                <w:sz w:val="21"/>
                <w:szCs w:val="21"/>
              </w:rPr>
            </w:pPr>
            <w:r>
              <w:rPr>
                <w:color w:val="auto"/>
                <w:kern w:val="0"/>
                <w:sz w:val="21"/>
                <w:szCs w:val="21"/>
              </w:rPr>
              <w:t>31.822755</w:t>
            </w:r>
          </w:p>
        </w:tc>
        <w:tc>
          <w:tcPr>
            <w:tcW w:w="1076" w:type="pct"/>
            <w:vAlign w:val="center"/>
          </w:tcPr>
          <w:p w14:paraId="2FAA841B">
            <w:pPr>
              <w:widowControl/>
              <w:spacing w:line="240" w:lineRule="auto"/>
              <w:ind w:firstLine="0" w:firstLineChars="0"/>
              <w:jc w:val="center"/>
              <w:rPr>
                <w:color w:val="auto"/>
                <w:kern w:val="0"/>
                <w:sz w:val="21"/>
                <w:szCs w:val="21"/>
              </w:rPr>
            </w:pPr>
            <w:r>
              <w:rPr>
                <w:color w:val="auto"/>
                <w:kern w:val="0"/>
                <w:sz w:val="21"/>
                <w:szCs w:val="21"/>
              </w:rPr>
              <w:t>甲类罐区</w:t>
            </w:r>
          </w:p>
        </w:tc>
        <w:tc>
          <w:tcPr>
            <w:tcW w:w="2218" w:type="pct"/>
            <w:vMerge w:val="continue"/>
            <w:vAlign w:val="center"/>
          </w:tcPr>
          <w:p w14:paraId="07A53672">
            <w:pPr>
              <w:adjustRightInd/>
              <w:snapToGrid/>
              <w:spacing w:line="240" w:lineRule="auto"/>
              <w:ind w:firstLine="0" w:firstLineChars="0"/>
              <w:jc w:val="center"/>
              <w:rPr>
                <w:color w:val="auto"/>
                <w:sz w:val="21"/>
                <w:szCs w:val="21"/>
              </w:rPr>
            </w:pPr>
          </w:p>
        </w:tc>
      </w:tr>
      <w:tr w14:paraId="3335C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3" w:type="pct"/>
            <w:vAlign w:val="center"/>
          </w:tcPr>
          <w:p w14:paraId="2AFB47A4">
            <w:pPr>
              <w:widowControl/>
              <w:spacing w:line="240" w:lineRule="auto"/>
              <w:ind w:firstLine="0" w:firstLineChars="0"/>
              <w:jc w:val="center"/>
              <w:rPr>
                <w:color w:val="auto"/>
                <w:kern w:val="0"/>
                <w:sz w:val="21"/>
                <w:szCs w:val="21"/>
              </w:rPr>
            </w:pPr>
            <w:r>
              <w:rPr>
                <w:color w:val="auto"/>
                <w:kern w:val="0"/>
                <w:sz w:val="21"/>
                <w:szCs w:val="21"/>
              </w:rPr>
              <w:t>D5</w:t>
            </w:r>
          </w:p>
        </w:tc>
        <w:tc>
          <w:tcPr>
            <w:tcW w:w="695" w:type="pct"/>
            <w:vAlign w:val="center"/>
          </w:tcPr>
          <w:p w14:paraId="212F8512">
            <w:pPr>
              <w:widowControl/>
              <w:spacing w:line="240" w:lineRule="auto"/>
              <w:ind w:firstLine="0" w:firstLineChars="0"/>
              <w:jc w:val="center"/>
              <w:textAlignment w:val="center"/>
              <w:rPr>
                <w:color w:val="auto"/>
                <w:kern w:val="0"/>
                <w:sz w:val="21"/>
                <w:szCs w:val="21"/>
              </w:rPr>
            </w:pPr>
            <w:r>
              <w:rPr>
                <w:color w:val="auto"/>
                <w:sz w:val="21"/>
                <w:szCs w:val="21"/>
              </w:rPr>
              <w:t>121.492771</w:t>
            </w:r>
          </w:p>
        </w:tc>
        <w:tc>
          <w:tcPr>
            <w:tcW w:w="617" w:type="pct"/>
            <w:vAlign w:val="center"/>
          </w:tcPr>
          <w:p w14:paraId="4A587121">
            <w:pPr>
              <w:widowControl/>
              <w:spacing w:line="240" w:lineRule="auto"/>
              <w:ind w:firstLine="0" w:firstLineChars="0"/>
              <w:jc w:val="center"/>
              <w:textAlignment w:val="center"/>
              <w:rPr>
                <w:color w:val="auto"/>
                <w:kern w:val="0"/>
                <w:sz w:val="21"/>
                <w:szCs w:val="21"/>
              </w:rPr>
            </w:pPr>
            <w:r>
              <w:rPr>
                <w:color w:val="auto"/>
                <w:sz w:val="21"/>
                <w:szCs w:val="21"/>
              </w:rPr>
              <w:t>31.825211</w:t>
            </w:r>
          </w:p>
        </w:tc>
        <w:tc>
          <w:tcPr>
            <w:tcW w:w="1076" w:type="pct"/>
            <w:vAlign w:val="center"/>
          </w:tcPr>
          <w:p w14:paraId="67025ED1">
            <w:pPr>
              <w:widowControl/>
              <w:spacing w:line="240" w:lineRule="auto"/>
              <w:ind w:firstLine="0" w:firstLineChars="0"/>
              <w:jc w:val="center"/>
              <w:rPr>
                <w:color w:val="auto"/>
                <w:kern w:val="0"/>
                <w:sz w:val="21"/>
                <w:szCs w:val="21"/>
              </w:rPr>
            </w:pPr>
            <w:r>
              <w:rPr>
                <w:color w:val="auto"/>
                <w:sz w:val="21"/>
                <w:szCs w:val="21"/>
              </w:rPr>
              <w:t>厂外东北侧500米</w:t>
            </w:r>
          </w:p>
        </w:tc>
        <w:tc>
          <w:tcPr>
            <w:tcW w:w="2218" w:type="pct"/>
            <w:vMerge w:val="continue"/>
            <w:vAlign w:val="center"/>
          </w:tcPr>
          <w:p w14:paraId="5ED9DD14">
            <w:pPr>
              <w:adjustRightInd/>
              <w:snapToGrid/>
              <w:spacing w:line="240" w:lineRule="auto"/>
              <w:ind w:firstLine="0" w:firstLineChars="0"/>
              <w:jc w:val="center"/>
              <w:rPr>
                <w:color w:val="auto"/>
                <w:sz w:val="21"/>
                <w:szCs w:val="21"/>
              </w:rPr>
            </w:pPr>
          </w:p>
        </w:tc>
      </w:tr>
    </w:tbl>
    <w:p w14:paraId="36ADFE57">
      <w:pPr>
        <w:ind w:firstLine="480"/>
        <w:rPr>
          <w:color w:val="auto"/>
        </w:rPr>
      </w:pPr>
      <w:r>
        <w:rPr>
          <w:rFonts w:hint="eastAsia"/>
          <w:color w:val="auto"/>
        </w:rPr>
        <w:t>（4）监测方法：</w:t>
      </w:r>
      <w:r>
        <w:rPr>
          <w:color w:val="auto"/>
        </w:rPr>
        <w:t>监测分析方法详见</w:t>
      </w:r>
      <w:r>
        <w:rPr>
          <w:rFonts w:hint="eastAsia"/>
          <w:color w:val="auto"/>
        </w:rPr>
        <w:t>下</w:t>
      </w:r>
      <w:r>
        <w:rPr>
          <w:color w:val="auto"/>
        </w:rPr>
        <w:t>表</w:t>
      </w:r>
      <w:r>
        <w:rPr>
          <w:rFonts w:hint="eastAsia"/>
          <w:color w:val="auto"/>
        </w:rPr>
        <w:t>。</w:t>
      </w:r>
    </w:p>
    <w:p w14:paraId="649C960A">
      <w:pPr>
        <w:ind w:firstLine="482"/>
        <w:jc w:val="center"/>
        <w:rPr>
          <w:b/>
          <w:bCs/>
          <w:color w:val="auto"/>
        </w:rPr>
      </w:pPr>
      <w:r>
        <w:rPr>
          <w:rFonts w:hint="eastAsia"/>
          <w:b/>
          <w:bCs/>
          <w:color w:val="auto"/>
        </w:rPr>
        <w:t>表5.2.4-3 地下水环境监测分析方法</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7004"/>
        <w:gridCol w:w="1675"/>
      </w:tblGrid>
      <w:tr w14:paraId="79B0E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746CD0AD">
            <w:pPr>
              <w:widowControl/>
              <w:spacing w:line="240" w:lineRule="auto"/>
              <w:ind w:firstLine="0" w:firstLineChars="0"/>
              <w:jc w:val="center"/>
              <w:rPr>
                <w:b/>
                <w:bCs/>
                <w:color w:val="auto"/>
                <w:kern w:val="0"/>
                <w:sz w:val="21"/>
                <w:szCs w:val="21"/>
              </w:rPr>
            </w:pPr>
            <w:r>
              <w:rPr>
                <w:b/>
                <w:bCs/>
                <w:color w:val="auto"/>
                <w:kern w:val="0"/>
                <w:sz w:val="21"/>
                <w:szCs w:val="21"/>
              </w:rPr>
              <w:t>项目</w:t>
            </w:r>
          </w:p>
        </w:tc>
        <w:tc>
          <w:tcPr>
            <w:tcW w:w="3554" w:type="pct"/>
            <w:vAlign w:val="center"/>
          </w:tcPr>
          <w:p w14:paraId="09145E7F">
            <w:pPr>
              <w:widowControl/>
              <w:spacing w:line="240" w:lineRule="auto"/>
              <w:ind w:firstLine="0" w:firstLineChars="0"/>
              <w:jc w:val="center"/>
              <w:rPr>
                <w:b/>
                <w:bCs/>
                <w:color w:val="auto"/>
                <w:kern w:val="0"/>
                <w:sz w:val="21"/>
                <w:szCs w:val="21"/>
              </w:rPr>
            </w:pPr>
            <w:r>
              <w:rPr>
                <w:b/>
                <w:bCs/>
                <w:color w:val="auto"/>
                <w:kern w:val="0"/>
                <w:sz w:val="21"/>
                <w:szCs w:val="21"/>
              </w:rPr>
              <w:t>分析方法</w:t>
            </w:r>
          </w:p>
        </w:tc>
        <w:tc>
          <w:tcPr>
            <w:tcW w:w="851" w:type="pct"/>
            <w:vAlign w:val="center"/>
          </w:tcPr>
          <w:p w14:paraId="58253F09">
            <w:pPr>
              <w:widowControl/>
              <w:spacing w:line="240" w:lineRule="auto"/>
              <w:ind w:firstLine="0" w:firstLineChars="0"/>
              <w:jc w:val="center"/>
              <w:rPr>
                <w:b/>
                <w:bCs/>
                <w:color w:val="auto"/>
                <w:kern w:val="0"/>
                <w:sz w:val="21"/>
                <w:szCs w:val="21"/>
              </w:rPr>
            </w:pPr>
            <w:r>
              <w:rPr>
                <w:b/>
                <w:bCs/>
                <w:color w:val="auto"/>
                <w:kern w:val="0"/>
                <w:sz w:val="21"/>
                <w:szCs w:val="21"/>
              </w:rPr>
              <w:t>方法检出限</w:t>
            </w:r>
          </w:p>
        </w:tc>
      </w:tr>
      <w:tr w14:paraId="7437B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5A4756A8">
            <w:pPr>
              <w:widowControl/>
              <w:spacing w:line="240" w:lineRule="auto"/>
              <w:ind w:firstLine="0" w:firstLineChars="0"/>
              <w:jc w:val="center"/>
              <w:rPr>
                <w:color w:val="auto"/>
                <w:kern w:val="0"/>
                <w:sz w:val="21"/>
                <w:szCs w:val="21"/>
              </w:rPr>
            </w:pPr>
            <w:r>
              <w:rPr>
                <w:color w:val="auto"/>
                <w:kern w:val="0"/>
                <w:sz w:val="21"/>
                <w:szCs w:val="21"/>
              </w:rPr>
              <w:t>pH值</w:t>
            </w:r>
          </w:p>
        </w:tc>
        <w:tc>
          <w:tcPr>
            <w:tcW w:w="3554" w:type="pct"/>
            <w:vAlign w:val="center"/>
          </w:tcPr>
          <w:p w14:paraId="63AEA3C6">
            <w:pPr>
              <w:widowControl/>
              <w:spacing w:line="240" w:lineRule="auto"/>
              <w:ind w:firstLine="0" w:firstLineChars="0"/>
              <w:jc w:val="center"/>
              <w:rPr>
                <w:color w:val="auto"/>
                <w:kern w:val="0"/>
                <w:sz w:val="21"/>
                <w:szCs w:val="21"/>
              </w:rPr>
            </w:pPr>
            <w:r>
              <w:rPr>
                <w:color w:val="auto"/>
                <w:kern w:val="0"/>
                <w:sz w:val="21"/>
                <w:szCs w:val="21"/>
              </w:rPr>
              <w:t>水质 pH 值的测定 电极法 HJ 1147-2020</w:t>
            </w:r>
          </w:p>
        </w:tc>
        <w:tc>
          <w:tcPr>
            <w:tcW w:w="851" w:type="pct"/>
            <w:vAlign w:val="center"/>
          </w:tcPr>
          <w:p w14:paraId="4AB7EA9E">
            <w:pPr>
              <w:widowControl/>
              <w:spacing w:line="240" w:lineRule="auto"/>
              <w:ind w:firstLine="0" w:firstLineChars="0"/>
              <w:jc w:val="center"/>
              <w:rPr>
                <w:color w:val="auto"/>
                <w:kern w:val="0"/>
                <w:sz w:val="21"/>
                <w:szCs w:val="21"/>
              </w:rPr>
            </w:pPr>
            <w:r>
              <w:rPr>
                <w:color w:val="auto"/>
                <w:kern w:val="0"/>
                <w:sz w:val="21"/>
                <w:szCs w:val="21"/>
              </w:rPr>
              <w:t>0.1(无量纲)</w:t>
            </w:r>
          </w:p>
        </w:tc>
      </w:tr>
      <w:tr w14:paraId="5CB47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2BB988B7">
            <w:pPr>
              <w:widowControl/>
              <w:spacing w:line="240" w:lineRule="auto"/>
              <w:ind w:firstLine="0" w:firstLineChars="0"/>
              <w:jc w:val="center"/>
              <w:rPr>
                <w:color w:val="auto"/>
                <w:kern w:val="0"/>
                <w:sz w:val="21"/>
                <w:szCs w:val="21"/>
              </w:rPr>
            </w:pPr>
            <w:r>
              <w:rPr>
                <w:color w:val="auto"/>
                <w:kern w:val="0"/>
                <w:sz w:val="21"/>
                <w:szCs w:val="21"/>
              </w:rPr>
              <w:t>氨氮(以N计)</w:t>
            </w:r>
          </w:p>
        </w:tc>
        <w:tc>
          <w:tcPr>
            <w:tcW w:w="3554" w:type="pct"/>
            <w:vAlign w:val="center"/>
          </w:tcPr>
          <w:p w14:paraId="275A3675">
            <w:pPr>
              <w:widowControl/>
              <w:spacing w:line="240" w:lineRule="auto"/>
              <w:ind w:firstLine="0" w:firstLineChars="0"/>
              <w:jc w:val="center"/>
              <w:rPr>
                <w:color w:val="auto"/>
                <w:kern w:val="0"/>
                <w:sz w:val="21"/>
                <w:szCs w:val="21"/>
              </w:rPr>
            </w:pPr>
            <w:r>
              <w:rPr>
                <w:color w:val="auto"/>
                <w:kern w:val="0"/>
                <w:sz w:val="21"/>
                <w:szCs w:val="21"/>
              </w:rPr>
              <w:t>水质 氨氮的测定  纳氏试剂分光光度法 HJ 535-2009</w:t>
            </w:r>
          </w:p>
        </w:tc>
        <w:tc>
          <w:tcPr>
            <w:tcW w:w="851" w:type="pct"/>
            <w:vAlign w:val="center"/>
          </w:tcPr>
          <w:p w14:paraId="48890777">
            <w:pPr>
              <w:widowControl/>
              <w:spacing w:line="240" w:lineRule="auto"/>
              <w:ind w:firstLine="0" w:firstLineChars="0"/>
              <w:jc w:val="center"/>
              <w:rPr>
                <w:color w:val="auto"/>
                <w:kern w:val="0"/>
                <w:sz w:val="21"/>
                <w:szCs w:val="21"/>
              </w:rPr>
            </w:pPr>
            <w:r>
              <w:rPr>
                <w:color w:val="auto"/>
                <w:kern w:val="0"/>
                <w:sz w:val="21"/>
                <w:szCs w:val="21"/>
              </w:rPr>
              <w:t>0.025mg/L</w:t>
            </w:r>
          </w:p>
        </w:tc>
      </w:tr>
      <w:tr w14:paraId="734C7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0A3C2836">
            <w:pPr>
              <w:widowControl/>
              <w:spacing w:line="240" w:lineRule="auto"/>
              <w:ind w:firstLine="0" w:firstLineChars="0"/>
              <w:jc w:val="center"/>
              <w:rPr>
                <w:color w:val="auto"/>
                <w:kern w:val="0"/>
                <w:sz w:val="21"/>
                <w:szCs w:val="21"/>
              </w:rPr>
            </w:pPr>
            <w:r>
              <w:rPr>
                <w:color w:val="auto"/>
                <w:kern w:val="0"/>
                <w:sz w:val="21"/>
                <w:szCs w:val="21"/>
              </w:rPr>
              <w:t>石油类</w:t>
            </w:r>
          </w:p>
        </w:tc>
        <w:tc>
          <w:tcPr>
            <w:tcW w:w="3554" w:type="pct"/>
            <w:vAlign w:val="center"/>
          </w:tcPr>
          <w:p w14:paraId="5D73F0AF">
            <w:pPr>
              <w:widowControl/>
              <w:spacing w:line="240" w:lineRule="auto"/>
              <w:ind w:firstLine="0" w:firstLineChars="0"/>
              <w:jc w:val="center"/>
              <w:rPr>
                <w:color w:val="auto"/>
                <w:kern w:val="0"/>
                <w:sz w:val="21"/>
                <w:szCs w:val="21"/>
              </w:rPr>
            </w:pPr>
            <w:r>
              <w:rPr>
                <w:color w:val="auto"/>
                <w:kern w:val="0"/>
                <w:sz w:val="21"/>
                <w:szCs w:val="21"/>
              </w:rPr>
              <w:t>水质 石油类的测定 紫外分光光度法(试行)HJ 970-2018</w:t>
            </w:r>
          </w:p>
        </w:tc>
        <w:tc>
          <w:tcPr>
            <w:tcW w:w="851" w:type="pct"/>
            <w:vAlign w:val="center"/>
          </w:tcPr>
          <w:p w14:paraId="0D7677CA">
            <w:pPr>
              <w:widowControl/>
              <w:spacing w:line="240" w:lineRule="auto"/>
              <w:ind w:firstLine="0" w:firstLineChars="0"/>
              <w:jc w:val="center"/>
              <w:rPr>
                <w:color w:val="auto"/>
                <w:kern w:val="0"/>
                <w:sz w:val="21"/>
                <w:szCs w:val="21"/>
              </w:rPr>
            </w:pPr>
            <w:r>
              <w:rPr>
                <w:color w:val="auto"/>
                <w:kern w:val="0"/>
                <w:sz w:val="21"/>
                <w:szCs w:val="21"/>
              </w:rPr>
              <w:t>0.01mg/L</w:t>
            </w:r>
          </w:p>
        </w:tc>
      </w:tr>
      <w:tr w14:paraId="031E3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45D89165">
            <w:pPr>
              <w:widowControl/>
              <w:spacing w:line="240" w:lineRule="auto"/>
              <w:ind w:firstLine="0" w:firstLineChars="0"/>
              <w:jc w:val="center"/>
              <w:rPr>
                <w:color w:val="auto"/>
                <w:kern w:val="0"/>
                <w:sz w:val="21"/>
                <w:szCs w:val="21"/>
              </w:rPr>
            </w:pPr>
            <w:r>
              <w:rPr>
                <w:color w:val="auto"/>
                <w:kern w:val="0"/>
                <w:sz w:val="21"/>
                <w:szCs w:val="21"/>
              </w:rPr>
              <w:t>锰</w:t>
            </w:r>
          </w:p>
        </w:tc>
        <w:tc>
          <w:tcPr>
            <w:tcW w:w="3554" w:type="pct"/>
            <w:vAlign w:val="center"/>
          </w:tcPr>
          <w:p w14:paraId="6F363FBA">
            <w:pPr>
              <w:widowControl/>
              <w:spacing w:line="240" w:lineRule="auto"/>
              <w:ind w:firstLine="0" w:firstLineChars="0"/>
              <w:jc w:val="center"/>
              <w:rPr>
                <w:color w:val="auto"/>
                <w:kern w:val="0"/>
                <w:sz w:val="21"/>
                <w:szCs w:val="21"/>
              </w:rPr>
            </w:pPr>
            <w:r>
              <w:rPr>
                <w:color w:val="auto"/>
                <w:kern w:val="0"/>
                <w:sz w:val="21"/>
                <w:szCs w:val="21"/>
              </w:rPr>
              <w:t>水质 32种元素的测定 电感耦合等离子体发射光谱法</w:t>
            </w:r>
          </w:p>
          <w:p w14:paraId="4CE32237">
            <w:pPr>
              <w:widowControl/>
              <w:spacing w:line="240" w:lineRule="auto"/>
              <w:ind w:firstLine="0" w:firstLineChars="0"/>
              <w:jc w:val="center"/>
              <w:rPr>
                <w:color w:val="auto"/>
                <w:kern w:val="0"/>
                <w:sz w:val="21"/>
                <w:szCs w:val="21"/>
              </w:rPr>
            </w:pPr>
            <w:r>
              <w:rPr>
                <w:color w:val="auto"/>
                <w:kern w:val="0"/>
                <w:sz w:val="21"/>
                <w:szCs w:val="21"/>
              </w:rPr>
              <w:t>HJ 776-2015</w:t>
            </w:r>
          </w:p>
        </w:tc>
        <w:tc>
          <w:tcPr>
            <w:tcW w:w="851" w:type="pct"/>
            <w:vAlign w:val="center"/>
          </w:tcPr>
          <w:p w14:paraId="278BF45F">
            <w:pPr>
              <w:widowControl/>
              <w:spacing w:line="240" w:lineRule="auto"/>
              <w:ind w:firstLine="0" w:firstLineChars="0"/>
              <w:jc w:val="center"/>
              <w:rPr>
                <w:color w:val="auto"/>
                <w:kern w:val="0"/>
                <w:sz w:val="21"/>
                <w:szCs w:val="21"/>
              </w:rPr>
            </w:pPr>
            <w:r>
              <w:rPr>
                <w:color w:val="auto"/>
                <w:kern w:val="0"/>
                <w:sz w:val="21"/>
                <w:szCs w:val="21"/>
              </w:rPr>
              <w:t>0.01 mg/L</w:t>
            </w:r>
          </w:p>
        </w:tc>
      </w:tr>
      <w:tr w14:paraId="1EE0A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5430BB7A">
            <w:pPr>
              <w:widowControl/>
              <w:spacing w:line="240" w:lineRule="auto"/>
              <w:ind w:firstLine="0" w:firstLineChars="0"/>
              <w:jc w:val="center"/>
              <w:rPr>
                <w:color w:val="auto"/>
                <w:kern w:val="0"/>
                <w:sz w:val="21"/>
                <w:szCs w:val="21"/>
              </w:rPr>
            </w:pPr>
            <w:r>
              <w:rPr>
                <w:color w:val="auto"/>
                <w:kern w:val="0"/>
                <w:sz w:val="21"/>
                <w:szCs w:val="21"/>
              </w:rPr>
              <w:t>镍</w:t>
            </w:r>
          </w:p>
        </w:tc>
        <w:tc>
          <w:tcPr>
            <w:tcW w:w="3554" w:type="pct"/>
            <w:vAlign w:val="center"/>
          </w:tcPr>
          <w:p w14:paraId="2A3D5316">
            <w:pPr>
              <w:widowControl/>
              <w:spacing w:line="240" w:lineRule="auto"/>
              <w:ind w:firstLine="0" w:firstLineChars="0"/>
              <w:jc w:val="center"/>
              <w:rPr>
                <w:color w:val="auto"/>
                <w:kern w:val="0"/>
                <w:sz w:val="21"/>
                <w:szCs w:val="21"/>
              </w:rPr>
            </w:pPr>
            <w:r>
              <w:rPr>
                <w:color w:val="auto"/>
                <w:kern w:val="0"/>
                <w:sz w:val="21"/>
                <w:szCs w:val="21"/>
              </w:rPr>
              <w:t>水质 32种元素的测定 电感耦合等离子体发射光谱法</w:t>
            </w:r>
          </w:p>
          <w:p w14:paraId="49A1DFBF">
            <w:pPr>
              <w:widowControl/>
              <w:spacing w:line="240" w:lineRule="auto"/>
              <w:ind w:firstLine="0" w:firstLineChars="0"/>
              <w:jc w:val="center"/>
              <w:rPr>
                <w:color w:val="auto"/>
                <w:kern w:val="0"/>
                <w:sz w:val="21"/>
                <w:szCs w:val="21"/>
              </w:rPr>
            </w:pPr>
            <w:r>
              <w:rPr>
                <w:color w:val="auto"/>
                <w:kern w:val="0"/>
                <w:sz w:val="21"/>
                <w:szCs w:val="21"/>
              </w:rPr>
              <w:t>HJ 776-2015</w:t>
            </w:r>
          </w:p>
        </w:tc>
        <w:tc>
          <w:tcPr>
            <w:tcW w:w="851" w:type="pct"/>
            <w:vAlign w:val="center"/>
          </w:tcPr>
          <w:p w14:paraId="4FAE49AC">
            <w:pPr>
              <w:widowControl/>
              <w:spacing w:line="240" w:lineRule="auto"/>
              <w:ind w:firstLine="0" w:firstLineChars="0"/>
              <w:jc w:val="center"/>
              <w:rPr>
                <w:color w:val="auto"/>
                <w:kern w:val="0"/>
                <w:sz w:val="21"/>
                <w:szCs w:val="21"/>
              </w:rPr>
            </w:pPr>
            <w:r>
              <w:rPr>
                <w:color w:val="auto"/>
                <w:kern w:val="0"/>
                <w:sz w:val="21"/>
                <w:szCs w:val="21"/>
              </w:rPr>
              <w:t>0.007 mg/L</w:t>
            </w:r>
          </w:p>
        </w:tc>
      </w:tr>
      <w:tr w14:paraId="5C89B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46AF6DC5">
            <w:pPr>
              <w:widowControl/>
              <w:spacing w:line="240" w:lineRule="auto"/>
              <w:ind w:firstLine="0" w:firstLineChars="0"/>
              <w:jc w:val="center"/>
              <w:rPr>
                <w:color w:val="auto"/>
                <w:kern w:val="0"/>
                <w:sz w:val="21"/>
                <w:szCs w:val="21"/>
              </w:rPr>
            </w:pPr>
            <w:r>
              <w:rPr>
                <w:color w:val="auto"/>
                <w:kern w:val="0"/>
                <w:sz w:val="21"/>
                <w:szCs w:val="21"/>
              </w:rPr>
              <w:t>铜</w:t>
            </w:r>
          </w:p>
        </w:tc>
        <w:tc>
          <w:tcPr>
            <w:tcW w:w="3554" w:type="pct"/>
            <w:vAlign w:val="center"/>
          </w:tcPr>
          <w:p w14:paraId="6048CBD9">
            <w:pPr>
              <w:widowControl/>
              <w:spacing w:line="240" w:lineRule="auto"/>
              <w:ind w:firstLine="0" w:firstLineChars="0"/>
              <w:jc w:val="center"/>
              <w:rPr>
                <w:color w:val="auto"/>
                <w:kern w:val="0"/>
                <w:sz w:val="21"/>
                <w:szCs w:val="21"/>
              </w:rPr>
            </w:pPr>
            <w:r>
              <w:rPr>
                <w:color w:val="auto"/>
                <w:kern w:val="0"/>
                <w:sz w:val="21"/>
                <w:szCs w:val="21"/>
              </w:rPr>
              <w:t>水质 32种元素的测定 电感耦合等离子体发射光谱法</w:t>
            </w:r>
          </w:p>
          <w:p w14:paraId="72F136FB">
            <w:pPr>
              <w:widowControl/>
              <w:spacing w:line="240" w:lineRule="auto"/>
              <w:ind w:firstLine="0" w:firstLineChars="0"/>
              <w:jc w:val="center"/>
              <w:rPr>
                <w:color w:val="auto"/>
                <w:kern w:val="0"/>
                <w:sz w:val="21"/>
                <w:szCs w:val="21"/>
              </w:rPr>
            </w:pPr>
            <w:r>
              <w:rPr>
                <w:color w:val="auto"/>
                <w:kern w:val="0"/>
                <w:sz w:val="21"/>
                <w:szCs w:val="21"/>
              </w:rPr>
              <w:t>HJ 776-2015</w:t>
            </w:r>
          </w:p>
        </w:tc>
        <w:tc>
          <w:tcPr>
            <w:tcW w:w="851" w:type="pct"/>
            <w:vAlign w:val="center"/>
          </w:tcPr>
          <w:p w14:paraId="62B4884B">
            <w:pPr>
              <w:widowControl/>
              <w:spacing w:line="240" w:lineRule="auto"/>
              <w:ind w:firstLine="0" w:firstLineChars="0"/>
              <w:jc w:val="center"/>
              <w:rPr>
                <w:color w:val="auto"/>
                <w:kern w:val="0"/>
                <w:sz w:val="21"/>
                <w:szCs w:val="21"/>
              </w:rPr>
            </w:pPr>
            <w:r>
              <w:rPr>
                <w:color w:val="auto"/>
                <w:kern w:val="0"/>
                <w:sz w:val="21"/>
                <w:szCs w:val="21"/>
              </w:rPr>
              <w:t>0.04 mg/L</w:t>
            </w:r>
          </w:p>
        </w:tc>
      </w:tr>
      <w:tr w14:paraId="6C4FE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5C153385">
            <w:pPr>
              <w:widowControl/>
              <w:spacing w:line="240" w:lineRule="auto"/>
              <w:ind w:firstLine="0" w:firstLineChars="0"/>
              <w:jc w:val="center"/>
              <w:rPr>
                <w:color w:val="auto"/>
                <w:kern w:val="0"/>
                <w:sz w:val="21"/>
                <w:szCs w:val="21"/>
              </w:rPr>
            </w:pPr>
            <w:r>
              <w:rPr>
                <w:color w:val="auto"/>
                <w:kern w:val="0"/>
                <w:sz w:val="21"/>
                <w:szCs w:val="21"/>
              </w:rPr>
              <w:t>铁</w:t>
            </w:r>
          </w:p>
        </w:tc>
        <w:tc>
          <w:tcPr>
            <w:tcW w:w="3554" w:type="pct"/>
            <w:vAlign w:val="center"/>
          </w:tcPr>
          <w:p w14:paraId="16203352">
            <w:pPr>
              <w:widowControl/>
              <w:spacing w:line="240" w:lineRule="auto"/>
              <w:ind w:firstLine="0" w:firstLineChars="0"/>
              <w:jc w:val="center"/>
              <w:rPr>
                <w:color w:val="auto"/>
                <w:kern w:val="0"/>
                <w:sz w:val="21"/>
                <w:szCs w:val="21"/>
              </w:rPr>
            </w:pPr>
            <w:r>
              <w:rPr>
                <w:color w:val="auto"/>
                <w:kern w:val="0"/>
                <w:sz w:val="21"/>
                <w:szCs w:val="21"/>
              </w:rPr>
              <w:t>水质 32种元素的测定 电感耦合等离子体发射光谱法</w:t>
            </w:r>
          </w:p>
          <w:p w14:paraId="0B5D2D61">
            <w:pPr>
              <w:widowControl/>
              <w:spacing w:line="240" w:lineRule="auto"/>
              <w:ind w:firstLine="0" w:firstLineChars="0"/>
              <w:jc w:val="center"/>
              <w:rPr>
                <w:color w:val="auto"/>
                <w:kern w:val="0"/>
                <w:sz w:val="21"/>
                <w:szCs w:val="21"/>
              </w:rPr>
            </w:pPr>
            <w:r>
              <w:rPr>
                <w:color w:val="auto"/>
                <w:kern w:val="0"/>
                <w:sz w:val="21"/>
                <w:szCs w:val="21"/>
              </w:rPr>
              <w:t>HJ 776-2015</w:t>
            </w:r>
          </w:p>
        </w:tc>
        <w:tc>
          <w:tcPr>
            <w:tcW w:w="851" w:type="pct"/>
            <w:vAlign w:val="center"/>
          </w:tcPr>
          <w:p w14:paraId="2B1DE3E9">
            <w:pPr>
              <w:widowControl/>
              <w:spacing w:line="240" w:lineRule="auto"/>
              <w:ind w:firstLine="0" w:firstLineChars="0"/>
              <w:jc w:val="center"/>
              <w:rPr>
                <w:color w:val="auto"/>
                <w:kern w:val="0"/>
                <w:sz w:val="21"/>
                <w:szCs w:val="21"/>
              </w:rPr>
            </w:pPr>
            <w:r>
              <w:rPr>
                <w:color w:val="auto"/>
                <w:kern w:val="0"/>
                <w:sz w:val="21"/>
                <w:szCs w:val="21"/>
              </w:rPr>
              <w:t>0.01 mg/L</w:t>
            </w:r>
          </w:p>
        </w:tc>
      </w:tr>
      <w:tr w14:paraId="23899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61B69A3C">
            <w:pPr>
              <w:widowControl/>
              <w:spacing w:line="240" w:lineRule="auto"/>
              <w:ind w:firstLine="0" w:firstLineChars="0"/>
              <w:jc w:val="center"/>
              <w:rPr>
                <w:color w:val="auto"/>
                <w:kern w:val="0"/>
                <w:sz w:val="21"/>
                <w:szCs w:val="21"/>
              </w:rPr>
            </w:pPr>
            <w:r>
              <w:rPr>
                <w:color w:val="auto"/>
                <w:kern w:val="0"/>
                <w:sz w:val="21"/>
                <w:szCs w:val="21"/>
              </w:rPr>
              <w:t>钙</w:t>
            </w:r>
          </w:p>
        </w:tc>
        <w:tc>
          <w:tcPr>
            <w:tcW w:w="3554" w:type="pct"/>
            <w:vAlign w:val="center"/>
          </w:tcPr>
          <w:p w14:paraId="7B6CE721">
            <w:pPr>
              <w:widowControl/>
              <w:spacing w:line="240" w:lineRule="auto"/>
              <w:ind w:firstLine="0" w:firstLineChars="0"/>
              <w:jc w:val="center"/>
              <w:rPr>
                <w:color w:val="auto"/>
                <w:kern w:val="0"/>
                <w:sz w:val="21"/>
                <w:szCs w:val="21"/>
              </w:rPr>
            </w:pPr>
            <w:r>
              <w:rPr>
                <w:color w:val="auto"/>
                <w:kern w:val="0"/>
                <w:sz w:val="21"/>
                <w:szCs w:val="21"/>
              </w:rPr>
              <w:t>水质 32种元素的测定 电感耦合等离子体发射光谱法</w:t>
            </w:r>
          </w:p>
          <w:p w14:paraId="656F8705">
            <w:pPr>
              <w:widowControl/>
              <w:spacing w:line="240" w:lineRule="auto"/>
              <w:ind w:firstLine="0" w:firstLineChars="0"/>
              <w:jc w:val="center"/>
              <w:rPr>
                <w:color w:val="auto"/>
                <w:kern w:val="0"/>
                <w:sz w:val="21"/>
                <w:szCs w:val="21"/>
              </w:rPr>
            </w:pPr>
            <w:r>
              <w:rPr>
                <w:color w:val="auto"/>
                <w:kern w:val="0"/>
                <w:sz w:val="21"/>
                <w:szCs w:val="21"/>
              </w:rPr>
              <w:t>HJ 776-2015</w:t>
            </w:r>
          </w:p>
        </w:tc>
        <w:tc>
          <w:tcPr>
            <w:tcW w:w="851" w:type="pct"/>
            <w:vAlign w:val="center"/>
          </w:tcPr>
          <w:p w14:paraId="233CA386">
            <w:pPr>
              <w:widowControl/>
              <w:spacing w:line="240" w:lineRule="auto"/>
              <w:ind w:firstLine="0" w:firstLineChars="0"/>
              <w:jc w:val="center"/>
              <w:rPr>
                <w:color w:val="auto"/>
                <w:kern w:val="0"/>
                <w:sz w:val="21"/>
                <w:szCs w:val="21"/>
              </w:rPr>
            </w:pPr>
            <w:r>
              <w:rPr>
                <w:color w:val="auto"/>
                <w:kern w:val="0"/>
                <w:sz w:val="21"/>
                <w:szCs w:val="21"/>
              </w:rPr>
              <w:t>0.02 mg/L</w:t>
            </w:r>
          </w:p>
        </w:tc>
      </w:tr>
      <w:tr w14:paraId="6AF13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62FBCDBD">
            <w:pPr>
              <w:widowControl/>
              <w:spacing w:line="240" w:lineRule="auto"/>
              <w:ind w:firstLine="0" w:firstLineChars="0"/>
              <w:jc w:val="center"/>
              <w:rPr>
                <w:color w:val="auto"/>
                <w:kern w:val="0"/>
                <w:sz w:val="21"/>
                <w:szCs w:val="21"/>
              </w:rPr>
            </w:pPr>
            <w:r>
              <w:rPr>
                <w:color w:val="auto"/>
                <w:kern w:val="0"/>
                <w:sz w:val="21"/>
                <w:szCs w:val="21"/>
              </w:rPr>
              <w:t>钾</w:t>
            </w:r>
          </w:p>
        </w:tc>
        <w:tc>
          <w:tcPr>
            <w:tcW w:w="3554" w:type="pct"/>
            <w:vAlign w:val="center"/>
          </w:tcPr>
          <w:p w14:paraId="6C5D42F6">
            <w:pPr>
              <w:widowControl/>
              <w:spacing w:line="240" w:lineRule="auto"/>
              <w:ind w:firstLine="0" w:firstLineChars="0"/>
              <w:jc w:val="center"/>
              <w:rPr>
                <w:color w:val="auto"/>
                <w:kern w:val="0"/>
                <w:sz w:val="21"/>
                <w:szCs w:val="21"/>
              </w:rPr>
            </w:pPr>
            <w:r>
              <w:rPr>
                <w:color w:val="auto"/>
                <w:kern w:val="0"/>
                <w:sz w:val="21"/>
                <w:szCs w:val="21"/>
              </w:rPr>
              <w:t>水质 32种元素的测定 电感耦合等离子体发射光谱法</w:t>
            </w:r>
          </w:p>
          <w:p w14:paraId="4ADFF8DD">
            <w:pPr>
              <w:widowControl/>
              <w:spacing w:line="240" w:lineRule="auto"/>
              <w:ind w:firstLine="0" w:firstLineChars="0"/>
              <w:jc w:val="center"/>
              <w:rPr>
                <w:color w:val="auto"/>
                <w:kern w:val="0"/>
                <w:sz w:val="21"/>
                <w:szCs w:val="21"/>
              </w:rPr>
            </w:pPr>
            <w:r>
              <w:rPr>
                <w:color w:val="auto"/>
                <w:kern w:val="0"/>
                <w:sz w:val="21"/>
                <w:szCs w:val="21"/>
              </w:rPr>
              <w:t>HJ 776-2015</w:t>
            </w:r>
          </w:p>
        </w:tc>
        <w:tc>
          <w:tcPr>
            <w:tcW w:w="851" w:type="pct"/>
            <w:vAlign w:val="center"/>
          </w:tcPr>
          <w:p w14:paraId="065F4343">
            <w:pPr>
              <w:widowControl/>
              <w:spacing w:line="240" w:lineRule="auto"/>
              <w:ind w:firstLine="0" w:firstLineChars="0"/>
              <w:jc w:val="center"/>
              <w:rPr>
                <w:color w:val="auto"/>
                <w:kern w:val="0"/>
                <w:sz w:val="21"/>
                <w:szCs w:val="21"/>
              </w:rPr>
            </w:pPr>
            <w:r>
              <w:rPr>
                <w:color w:val="auto"/>
                <w:kern w:val="0"/>
                <w:sz w:val="21"/>
                <w:szCs w:val="21"/>
              </w:rPr>
              <w:t>0.07 mg/L</w:t>
            </w:r>
          </w:p>
        </w:tc>
      </w:tr>
      <w:tr w14:paraId="06333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5A6E7472">
            <w:pPr>
              <w:widowControl/>
              <w:spacing w:line="240" w:lineRule="auto"/>
              <w:ind w:firstLine="0" w:firstLineChars="0"/>
              <w:jc w:val="center"/>
              <w:rPr>
                <w:color w:val="auto"/>
                <w:kern w:val="0"/>
                <w:sz w:val="21"/>
                <w:szCs w:val="21"/>
              </w:rPr>
            </w:pPr>
            <w:r>
              <w:rPr>
                <w:color w:val="auto"/>
                <w:kern w:val="0"/>
                <w:sz w:val="21"/>
                <w:szCs w:val="21"/>
              </w:rPr>
              <w:t>镁</w:t>
            </w:r>
          </w:p>
        </w:tc>
        <w:tc>
          <w:tcPr>
            <w:tcW w:w="3554" w:type="pct"/>
            <w:vAlign w:val="center"/>
          </w:tcPr>
          <w:p w14:paraId="3B25DDD7">
            <w:pPr>
              <w:widowControl/>
              <w:spacing w:line="240" w:lineRule="auto"/>
              <w:ind w:firstLine="0" w:firstLineChars="0"/>
              <w:jc w:val="center"/>
              <w:rPr>
                <w:color w:val="auto"/>
                <w:kern w:val="0"/>
                <w:sz w:val="21"/>
                <w:szCs w:val="21"/>
              </w:rPr>
            </w:pPr>
            <w:r>
              <w:rPr>
                <w:color w:val="auto"/>
                <w:kern w:val="0"/>
                <w:sz w:val="21"/>
                <w:szCs w:val="21"/>
              </w:rPr>
              <w:t>水质 32种元素的测定 电感耦合等离子体发射光谱法</w:t>
            </w:r>
          </w:p>
          <w:p w14:paraId="0DAA394C">
            <w:pPr>
              <w:widowControl/>
              <w:spacing w:line="240" w:lineRule="auto"/>
              <w:ind w:firstLine="0" w:firstLineChars="0"/>
              <w:jc w:val="center"/>
              <w:rPr>
                <w:color w:val="auto"/>
                <w:kern w:val="0"/>
                <w:sz w:val="21"/>
                <w:szCs w:val="21"/>
              </w:rPr>
            </w:pPr>
            <w:r>
              <w:rPr>
                <w:color w:val="auto"/>
                <w:kern w:val="0"/>
                <w:sz w:val="21"/>
                <w:szCs w:val="21"/>
              </w:rPr>
              <w:t>HJ 776-2015</w:t>
            </w:r>
          </w:p>
        </w:tc>
        <w:tc>
          <w:tcPr>
            <w:tcW w:w="851" w:type="pct"/>
            <w:vAlign w:val="center"/>
          </w:tcPr>
          <w:p w14:paraId="21DBF40A">
            <w:pPr>
              <w:widowControl/>
              <w:spacing w:line="240" w:lineRule="auto"/>
              <w:ind w:firstLine="0" w:firstLineChars="0"/>
              <w:jc w:val="center"/>
              <w:rPr>
                <w:color w:val="auto"/>
                <w:kern w:val="0"/>
                <w:sz w:val="21"/>
                <w:szCs w:val="21"/>
              </w:rPr>
            </w:pPr>
            <w:r>
              <w:rPr>
                <w:color w:val="auto"/>
                <w:kern w:val="0"/>
                <w:sz w:val="21"/>
                <w:szCs w:val="21"/>
              </w:rPr>
              <w:t>0.02 mg/L</w:t>
            </w:r>
          </w:p>
        </w:tc>
      </w:tr>
      <w:tr w14:paraId="61E85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425D3F65">
            <w:pPr>
              <w:widowControl/>
              <w:spacing w:line="240" w:lineRule="auto"/>
              <w:ind w:firstLine="0" w:firstLineChars="0"/>
              <w:jc w:val="center"/>
              <w:rPr>
                <w:color w:val="auto"/>
                <w:kern w:val="0"/>
                <w:sz w:val="21"/>
                <w:szCs w:val="21"/>
              </w:rPr>
            </w:pPr>
            <w:r>
              <w:rPr>
                <w:color w:val="auto"/>
                <w:kern w:val="0"/>
                <w:sz w:val="21"/>
                <w:szCs w:val="21"/>
              </w:rPr>
              <w:t>钠</w:t>
            </w:r>
          </w:p>
        </w:tc>
        <w:tc>
          <w:tcPr>
            <w:tcW w:w="3554" w:type="pct"/>
            <w:vAlign w:val="center"/>
          </w:tcPr>
          <w:p w14:paraId="6D009EFD">
            <w:pPr>
              <w:widowControl/>
              <w:spacing w:line="240" w:lineRule="auto"/>
              <w:ind w:firstLine="0" w:firstLineChars="0"/>
              <w:jc w:val="center"/>
              <w:rPr>
                <w:color w:val="auto"/>
                <w:kern w:val="0"/>
                <w:sz w:val="21"/>
                <w:szCs w:val="21"/>
              </w:rPr>
            </w:pPr>
            <w:r>
              <w:rPr>
                <w:color w:val="auto"/>
                <w:kern w:val="0"/>
                <w:sz w:val="21"/>
                <w:szCs w:val="21"/>
              </w:rPr>
              <w:t>水质 32种元素的测定 电感耦合等离子体发射光谱法</w:t>
            </w:r>
          </w:p>
          <w:p w14:paraId="6F68D363">
            <w:pPr>
              <w:widowControl/>
              <w:spacing w:line="240" w:lineRule="auto"/>
              <w:ind w:firstLine="0" w:firstLineChars="0"/>
              <w:jc w:val="center"/>
              <w:rPr>
                <w:color w:val="auto"/>
                <w:kern w:val="0"/>
                <w:sz w:val="21"/>
                <w:szCs w:val="21"/>
              </w:rPr>
            </w:pPr>
            <w:r>
              <w:rPr>
                <w:color w:val="auto"/>
                <w:kern w:val="0"/>
                <w:sz w:val="21"/>
                <w:szCs w:val="21"/>
              </w:rPr>
              <w:t>HJ 776-2015</w:t>
            </w:r>
          </w:p>
        </w:tc>
        <w:tc>
          <w:tcPr>
            <w:tcW w:w="851" w:type="pct"/>
            <w:vAlign w:val="center"/>
          </w:tcPr>
          <w:p w14:paraId="190DD858">
            <w:pPr>
              <w:widowControl/>
              <w:spacing w:line="240" w:lineRule="auto"/>
              <w:ind w:firstLine="0" w:firstLineChars="0"/>
              <w:jc w:val="center"/>
              <w:rPr>
                <w:color w:val="auto"/>
                <w:kern w:val="0"/>
                <w:sz w:val="21"/>
                <w:szCs w:val="21"/>
              </w:rPr>
            </w:pPr>
            <w:r>
              <w:rPr>
                <w:color w:val="auto"/>
                <w:kern w:val="0"/>
                <w:sz w:val="21"/>
                <w:szCs w:val="21"/>
              </w:rPr>
              <w:t>0.12 mg/L</w:t>
            </w:r>
          </w:p>
        </w:tc>
      </w:tr>
      <w:tr w14:paraId="0B11D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4F3FD9DC">
            <w:pPr>
              <w:widowControl/>
              <w:spacing w:line="240" w:lineRule="auto"/>
              <w:ind w:firstLine="0" w:firstLineChars="0"/>
              <w:jc w:val="center"/>
              <w:rPr>
                <w:color w:val="auto"/>
                <w:kern w:val="0"/>
                <w:sz w:val="21"/>
                <w:szCs w:val="21"/>
              </w:rPr>
            </w:pPr>
            <w:r>
              <w:rPr>
                <w:color w:val="auto"/>
                <w:kern w:val="0"/>
                <w:sz w:val="21"/>
                <w:szCs w:val="21"/>
              </w:rPr>
              <w:t>氟化物</w:t>
            </w:r>
          </w:p>
        </w:tc>
        <w:tc>
          <w:tcPr>
            <w:tcW w:w="3554" w:type="pct"/>
            <w:vAlign w:val="center"/>
          </w:tcPr>
          <w:p w14:paraId="1F913CB8">
            <w:pPr>
              <w:widowControl/>
              <w:spacing w:line="240" w:lineRule="auto"/>
              <w:ind w:firstLine="0" w:firstLineChars="0"/>
              <w:jc w:val="center"/>
              <w:rPr>
                <w:color w:val="auto"/>
                <w:kern w:val="0"/>
                <w:sz w:val="21"/>
                <w:szCs w:val="21"/>
              </w:rPr>
            </w:pPr>
            <w:r>
              <w:rPr>
                <w:color w:val="auto"/>
                <w:kern w:val="0"/>
                <w:sz w:val="21"/>
                <w:szCs w:val="21"/>
              </w:rPr>
              <w:t>水质 氟化物的测定 离子选择电极法 GB/T7484-1987</w:t>
            </w:r>
          </w:p>
        </w:tc>
        <w:tc>
          <w:tcPr>
            <w:tcW w:w="851" w:type="pct"/>
            <w:vAlign w:val="center"/>
          </w:tcPr>
          <w:p w14:paraId="55411211">
            <w:pPr>
              <w:widowControl/>
              <w:spacing w:line="240" w:lineRule="auto"/>
              <w:ind w:firstLine="0" w:firstLineChars="0"/>
              <w:jc w:val="center"/>
              <w:rPr>
                <w:color w:val="auto"/>
                <w:kern w:val="0"/>
                <w:sz w:val="21"/>
                <w:szCs w:val="21"/>
              </w:rPr>
            </w:pPr>
            <w:r>
              <w:rPr>
                <w:color w:val="auto"/>
                <w:kern w:val="0"/>
                <w:sz w:val="21"/>
                <w:szCs w:val="21"/>
              </w:rPr>
              <w:t>0.05 mg/L</w:t>
            </w:r>
          </w:p>
        </w:tc>
      </w:tr>
      <w:tr w14:paraId="6E3C1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4D170709">
            <w:pPr>
              <w:widowControl/>
              <w:spacing w:line="240" w:lineRule="auto"/>
              <w:ind w:firstLine="0" w:firstLineChars="0"/>
              <w:jc w:val="center"/>
              <w:rPr>
                <w:color w:val="auto"/>
                <w:kern w:val="0"/>
                <w:sz w:val="21"/>
                <w:szCs w:val="21"/>
              </w:rPr>
            </w:pPr>
            <w:r>
              <w:rPr>
                <w:color w:val="auto"/>
                <w:kern w:val="0"/>
                <w:sz w:val="21"/>
                <w:szCs w:val="21"/>
              </w:rPr>
              <w:t>挥发酚</w:t>
            </w:r>
          </w:p>
        </w:tc>
        <w:tc>
          <w:tcPr>
            <w:tcW w:w="3554" w:type="pct"/>
            <w:vAlign w:val="center"/>
          </w:tcPr>
          <w:p w14:paraId="4A489ED0">
            <w:pPr>
              <w:widowControl/>
              <w:spacing w:line="240" w:lineRule="auto"/>
              <w:ind w:firstLine="0" w:firstLineChars="0"/>
              <w:jc w:val="center"/>
              <w:rPr>
                <w:color w:val="auto"/>
                <w:kern w:val="0"/>
                <w:sz w:val="21"/>
                <w:szCs w:val="21"/>
              </w:rPr>
            </w:pPr>
            <w:r>
              <w:rPr>
                <w:color w:val="auto"/>
                <w:kern w:val="0"/>
                <w:sz w:val="21"/>
                <w:szCs w:val="21"/>
              </w:rPr>
              <w:t>水质 挥发酚的测定 4-氨基安替比林分光光度法 HJ503-2009</w:t>
            </w:r>
          </w:p>
        </w:tc>
        <w:tc>
          <w:tcPr>
            <w:tcW w:w="851" w:type="pct"/>
            <w:vAlign w:val="center"/>
          </w:tcPr>
          <w:p w14:paraId="123B4458">
            <w:pPr>
              <w:widowControl/>
              <w:spacing w:line="240" w:lineRule="auto"/>
              <w:ind w:firstLine="0" w:firstLineChars="0"/>
              <w:jc w:val="center"/>
              <w:rPr>
                <w:color w:val="auto"/>
                <w:kern w:val="0"/>
                <w:sz w:val="21"/>
                <w:szCs w:val="21"/>
              </w:rPr>
            </w:pPr>
            <w:r>
              <w:rPr>
                <w:color w:val="auto"/>
                <w:kern w:val="0"/>
                <w:sz w:val="21"/>
                <w:szCs w:val="21"/>
              </w:rPr>
              <w:t>0.0003 mg/L</w:t>
            </w:r>
          </w:p>
        </w:tc>
      </w:tr>
      <w:tr w14:paraId="492E4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78C212B3">
            <w:pPr>
              <w:widowControl/>
              <w:spacing w:line="240" w:lineRule="auto"/>
              <w:ind w:firstLine="0" w:firstLineChars="0"/>
              <w:jc w:val="center"/>
              <w:rPr>
                <w:color w:val="auto"/>
                <w:kern w:val="0"/>
                <w:sz w:val="21"/>
                <w:szCs w:val="21"/>
              </w:rPr>
            </w:pPr>
            <w:r>
              <w:rPr>
                <w:color w:val="auto"/>
                <w:kern w:val="0"/>
                <w:sz w:val="21"/>
                <w:szCs w:val="21"/>
              </w:rPr>
              <w:t>硫化物</w:t>
            </w:r>
          </w:p>
        </w:tc>
        <w:tc>
          <w:tcPr>
            <w:tcW w:w="3554" w:type="pct"/>
            <w:vAlign w:val="center"/>
          </w:tcPr>
          <w:p w14:paraId="1ED69B8A">
            <w:pPr>
              <w:widowControl/>
              <w:spacing w:line="240" w:lineRule="auto"/>
              <w:ind w:firstLine="0" w:firstLineChars="0"/>
              <w:jc w:val="center"/>
              <w:rPr>
                <w:color w:val="auto"/>
                <w:kern w:val="0"/>
                <w:sz w:val="21"/>
                <w:szCs w:val="21"/>
              </w:rPr>
            </w:pPr>
            <w:r>
              <w:rPr>
                <w:color w:val="auto"/>
                <w:kern w:val="0"/>
                <w:sz w:val="21"/>
                <w:szCs w:val="21"/>
              </w:rPr>
              <w:t>水质硫化物的测定 亚甲基蓝分光光度法 HJ1226-2021</w:t>
            </w:r>
          </w:p>
        </w:tc>
        <w:tc>
          <w:tcPr>
            <w:tcW w:w="851" w:type="pct"/>
            <w:vAlign w:val="center"/>
          </w:tcPr>
          <w:p w14:paraId="15FA0AA7">
            <w:pPr>
              <w:widowControl/>
              <w:spacing w:line="240" w:lineRule="auto"/>
              <w:ind w:firstLine="0" w:firstLineChars="0"/>
              <w:jc w:val="center"/>
              <w:rPr>
                <w:color w:val="auto"/>
                <w:kern w:val="0"/>
                <w:sz w:val="21"/>
                <w:szCs w:val="21"/>
              </w:rPr>
            </w:pPr>
            <w:r>
              <w:rPr>
                <w:color w:val="auto"/>
                <w:kern w:val="0"/>
                <w:sz w:val="21"/>
                <w:szCs w:val="21"/>
              </w:rPr>
              <w:t>0.003 mg/L</w:t>
            </w:r>
          </w:p>
        </w:tc>
      </w:tr>
      <w:tr w14:paraId="0A741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26A0B553">
            <w:pPr>
              <w:widowControl/>
              <w:spacing w:line="240" w:lineRule="auto"/>
              <w:ind w:firstLine="0" w:firstLineChars="0"/>
              <w:jc w:val="center"/>
              <w:rPr>
                <w:color w:val="auto"/>
                <w:kern w:val="0"/>
                <w:sz w:val="21"/>
                <w:szCs w:val="21"/>
              </w:rPr>
            </w:pPr>
            <w:r>
              <w:rPr>
                <w:color w:val="auto"/>
                <w:kern w:val="0"/>
                <w:sz w:val="21"/>
                <w:szCs w:val="21"/>
              </w:rPr>
              <w:t>硫酸盐</w:t>
            </w:r>
          </w:p>
        </w:tc>
        <w:tc>
          <w:tcPr>
            <w:tcW w:w="3554" w:type="pct"/>
            <w:vMerge w:val="restart"/>
            <w:vAlign w:val="center"/>
          </w:tcPr>
          <w:p w14:paraId="5F6F650C">
            <w:pPr>
              <w:widowControl/>
              <w:spacing w:line="240" w:lineRule="auto"/>
              <w:ind w:firstLine="0" w:firstLineChars="0"/>
              <w:jc w:val="center"/>
              <w:rPr>
                <w:color w:val="auto"/>
                <w:kern w:val="0"/>
                <w:sz w:val="21"/>
                <w:szCs w:val="21"/>
              </w:rPr>
            </w:pPr>
            <w:r>
              <w:rPr>
                <w:color w:val="auto"/>
                <w:kern w:val="0"/>
                <w:sz w:val="21"/>
                <w:szCs w:val="21"/>
              </w:rPr>
              <w:t>水质无机阴离子(F</w:t>
            </w:r>
            <w:r>
              <w:rPr>
                <w:color w:val="auto"/>
                <w:kern w:val="0"/>
                <w:sz w:val="21"/>
                <w:szCs w:val="21"/>
                <w:vertAlign w:val="superscript"/>
              </w:rPr>
              <w:t>-</w:t>
            </w:r>
            <w:r>
              <w:rPr>
                <w:color w:val="auto"/>
                <w:kern w:val="0"/>
                <w:sz w:val="21"/>
                <w:szCs w:val="21"/>
              </w:rPr>
              <w:t>、Cl</w:t>
            </w:r>
            <w:r>
              <w:rPr>
                <w:color w:val="auto"/>
                <w:kern w:val="0"/>
                <w:sz w:val="21"/>
                <w:szCs w:val="21"/>
                <w:vertAlign w:val="superscript"/>
              </w:rPr>
              <w:t>-</w:t>
            </w:r>
            <w:r>
              <w:rPr>
                <w:color w:val="auto"/>
                <w:kern w:val="0"/>
                <w:sz w:val="21"/>
                <w:szCs w:val="21"/>
              </w:rPr>
              <w:t>、NO</w:t>
            </w:r>
            <w:r>
              <w:rPr>
                <w:color w:val="auto"/>
                <w:kern w:val="0"/>
                <w:sz w:val="21"/>
                <w:szCs w:val="21"/>
                <w:vertAlign w:val="subscript"/>
              </w:rPr>
              <w:t>2</w:t>
            </w:r>
            <w:r>
              <w:rPr>
                <w:color w:val="auto"/>
                <w:kern w:val="0"/>
                <w:sz w:val="21"/>
                <w:szCs w:val="21"/>
                <w:vertAlign w:val="superscript"/>
              </w:rPr>
              <w:t>-</w:t>
            </w:r>
            <w:r>
              <w:rPr>
                <w:color w:val="auto"/>
                <w:kern w:val="0"/>
                <w:sz w:val="21"/>
                <w:szCs w:val="21"/>
              </w:rPr>
              <w:t>、Br</w:t>
            </w:r>
            <w:r>
              <w:rPr>
                <w:color w:val="auto"/>
                <w:kern w:val="0"/>
                <w:sz w:val="21"/>
                <w:szCs w:val="21"/>
                <w:vertAlign w:val="superscript"/>
              </w:rPr>
              <w:t>-</w:t>
            </w:r>
            <w:r>
              <w:rPr>
                <w:color w:val="auto"/>
                <w:kern w:val="0"/>
                <w:sz w:val="21"/>
                <w:szCs w:val="21"/>
              </w:rPr>
              <w:t>、NO</w:t>
            </w:r>
            <w:r>
              <w:rPr>
                <w:color w:val="auto"/>
                <w:kern w:val="0"/>
                <w:sz w:val="21"/>
                <w:szCs w:val="21"/>
                <w:vertAlign w:val="subscript"/>
              </w:rPr>
              <w:t>3</w:t>
            </w:r>
            <w:r>
              <w:rPr>
                <w:color w:val="auto"/>
                <w:kern w:val="0"/>
                <w:sz w:val="21"/>
                <w:szCs w:val="21"/>
                <w:vertAlign w:val="superscript"/>
              </w:rPr>
              <w:t>-</w:t>
            </w:r>
            <w:r>
              <w:rPr>
                <w:color w:val="auto"/>
                <w:kern w:val="0"/>
                <w:sz w:val="21"/>
                <w:szCs w:val="21"/>
              </w:rPr>
              <w:t>、PO</w:t>
            </w:r>
            <w:r>
              <w:rPr>
                <w:color w:val="auto"/>
                <w:kern w:val="0"/>
                <w:sz w:val="21"/>
                <w:szCs w:val="21"/>
                <w:vertAlign w:val="subscript"/>
              </w:rPr>
              <w:t>4</w:t>
            </w:r>
            <w:r>
              <w:rPr>
                <w:color w:val="auto"/>
                <w:kern w:val="0"/>
                <w:sz w:val="21"/>
                <w:szCs w:val="21"/>
                <w:vertAlign w:val="superscript"/>
              </w:rPr>
              <w:t>3-</w:t>
            </w:r>
            <w:r>
              <w:rPr>
                <w:color w:val="auto"/>
                <w:kern w:val="0"/>
                <w:sz w:val="21"/>
                <w:szCs w:val="21"/>
              </w:rPr>
              <w:t>、SO</w:t>
            </w:r>
            <w:r>
              <w:rPr>
                <w:color w:val="auto"/>
                <w:kern w:val="0"/>
                <w:sz w:val="21"/>
                <w:szCs w:val="21"/>
                <w:vertAlign w:val="subscript"/>
              </w:rPr>
              <w:t>3</w:t>
            </w:r>
            <w:r>
              <w:rPr>
                <w:color w:val="auto"/>
                <w:kern w:val="0"/>
                <w:sz w:val="21"/>
                <w:szCs w:val="21"/>
                <w:vertAlign w:val="superscript"/>
              </w:rPr>
              <w:t>2-</w:t>
            </w:r>
            <w:r>
              <w:rPr>
                <w:color w:val="auto"/>
                <w:kern w:val="0"/>
                <w:sz w:val="21"/>
                <w:szCs w:val="21"/>
              </w:rPr>
              <w:t>、SO</w:t>
            </w:r>
            <w:r>
              <w:rPr>
                <w:color w:val="auto"/>
                <w:kern w:val="0"/>
                <w:sz w:val="21"/>
                <w:szCs w:val="21"/>
                <w:vertAlign w:val="subscript"/>
              </w:rPr>
              <w:t>4</w:t>
            </w:r>
            <w:r>
              <w:rPr>
                <w:color w:val="auto"/>
                <w:kern w:val="0"/>
                <w:sz w:val="21"/>
                <w:szCs w:val="21"/>
                <w:vertAlign w:val="superscript"/>
              </w:rPr>
              <w:t>2-</w:t>
            </w:r>
            <w:r>
              <w:rPr>
                <w:color w:val="auto"/>
                <w:kern w:val="0"/>
                <w:sz w:val="21"/>
                <w:szCs w:val="21"/>
              </w:rPr>
              <w:t>)的测定 离子色谱法 HJ 84-2016</w:t>
            </w:r>
          </w:p>
        </w:tc>
        <w:tc>
          <w:tcPr>
            <w:tcW w:w="851" w:type="pct"/>
            <w:vAlign w:val="center"/>
          </w:tcPr>
          <w:p w14:paraId="2E525F0E">
            <w:pPr>
              <w:widowControl/>
              <w:spacing w:line="240" w:lineRule="auto"/>
              <w:ind w:firstLine="0" w:firstLineChars="0"/>
              <w:jc w:val="center"/>
              <w:rPr>
                <w:color w:val="auto"/>
                <w:kern w:val="0"/>
                <w:sz w:val="21"/>
                <w:szCs w:val="21"/>
              </w:rPr>
            </w:pPr>
            <w:r>
              <w:rPr>
                <w:color w:val="auto"/>
                <w:kern w:val="0"/>
                <w:sz w:val="21"/>
                <w:szCs w:val="21"/>
              </w:rPr>
              <w:t>0.018 mg/L</w:t>
            </w:r>
          </w:p>
        </w:tc>
      </w:tr>
      <w:tr w14:paraId="7C287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67B1A9BD">
            <w:pPr>
              <w:widowControl/>
              <w:spacing w:line="240" w:lineRule="auto"/>
              <w:ind w:firstLine="0" w:firstLineChars="0"/>
              <w:jc w:val="center"/>
              <w:rPr>
                <w:color w:val="auto"/>
                <w:kern w:val="0"/>
                <w:sz w:val="21"/>
                <w:szCs w:val="21"/>
              </w:rPr>
            </w:pPr>
            <w:r>
              <w:rPr>
                <w:color w:val="auto"/>
                <w:kern w:val="0"/>
                <w:sz w:val="21"/>
                <w:szCs w:val="21"/>
              </w:rPr>
              <w:t>氯化物</w:t>
            </w:r>
          </w:p>
        </w:tc>
        <w:tc>
          <w:tcPr>
            <w:tcW w:w="3554" w:type="pct"/>
            <w:vMerge w:val="continue"/>
            <w:vAlign w:val="center"/>
          </w:tcPr>
          <w:p w14:paraId="1D78EF25">
            <w:pPr>
              <w:widowControl/>
              <w:spacing w:line="240" w:lineRule="auto"/>
              <w:ind w:firstLine="0" w:firstLineChars="0"/>
              <w:jc w:val="center"/>
              <w:rPr>
                <w:color w:val="auto"/>
                <w:kern w:val="0"/>
                <w:sz w:val="21"/>
                <w:szCs w:val="21"/>
              </w:rPr>
            </w:pPr>
          </w:p>
        </w:tc>
        <w:tc>
          <w:tcPr>
            <w:tcW w:w="851" w:type="pct"/>
            <w:vAlign w:val="center"/>
          </w:tcPr>
          <w:p w14:paraId="44ADC974">
            <w:pPr>
              <w:widowControl/>
              <w:spacing w:line="240" w:lineRule="auto"/>
              <w:ind w:firstLine="0" w:firstLineChars="0"/>
              <w:jc w:val="center"/>
              <w:rPr>
                <w:color w:val="auto"/>
                <w:kern w:val="0"/>
                <w:sz w:val="21"/>
                <w:szCs w:val="21"/>
              </w:rPr>
            </w:pPr>
            <w:r>
              <w:rPr>
                <w:color w:val="auto"/>
                <w:kern w:val="0"/>
                <w:sz w:val="21"/>
                <w:szCs w:val="21"/>
              </w:rPr>
              <w:t>0.007 mg/L</w:t>
            </w:r>
          </w:p>
        </w:tc>
      </w:tr>
      <w:tr w14:paraId="2D64C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75C76411">
            <w:pPr>
              <w:widowControl/>
              <w:spacing w:line="240" w:lineRule="auto"/>
              <w:ind w:firstLine="0" w:firstLineChars="0"/>
              <w:jc w:val="center"/>
              <w:rPr>
                <w:color w:val="auto"/>
                <w:kern w:val="0"/>
                <w:sz w:val="21"/>
                <w:szCs w:val="21"/>
              </w:rPr>
            </w:pPr>
            <w:r>
              <w:rPr>
                <w:color w:val="auto"/>
                <w:kern w:val="0"/>
                <w:sz w:val="21"/>
                <w:szCs w:val="21"/>
              </w:rPr>
              <w:t>硝酸盐氮</w:t>
            </w:r>
          </w:p>
        </w:tc>
        <w:tc>
          <w:tcPr>
            <w:tcW w:w="3554" w:type="pct"/>
            <w:vMerge w:val="continue"/>
            <w:vAlign w:val="center"/>
          </w:tcPr>
          <w:p w14:paraId="7002EC89">
            <w:pPr>
              <w:widowControl/>
              <w:spacing w:line="240" w:lineRule="auto"/>
              <w:ind w:firstLine="0" w:firstLineChars="0"/>
              <w:jc w:val="center"/>
              <w:rPr>
                <w:color w:val="auto"/>
                <w:kern w:val="0"/>
                <w:sz w:val="21"/>
                <w:szCs w:val="21"/>
              </w:rPr>
            </w:pPr>
          </w:p>
        </w:tc>
        <w:tc>
          <w:tcPr>
            <w:tcW w:w="851" w:type="pct"/>
            <w:vAlign w:val="center"/>
          </w:tcPr>
          <w:p w14:paraId="24057DEE">
            <w:pPr>
              <w:widowControl/>
              <w:spacing w:line="240" w:lineRule="auto"/>
              <w:ind w:firstLine="0" w:firstLineChars="0"/>
              <w:jc w:val="center"/>
              <w:rPr>
                <w:color w:val="auto"/>
                <w:kern w:val="0"/>
                <w:sz w:val="21"/>
                <w:szCs w:val="21"/>
              </w:rPr>
            </w:pPr>
            <w:r>
              <w:rPr>
                <w:color w:val="auto"/>
                <w:kern w:val="0"/>
                <w:sz w:val="21"/>
                <w:szCs w:val="21"/>
              </w:rPr>
              <w:t>0.016 mg/L</w:t>
            </w:r>
          </w:p>
        </w:tc>
      </w:tr>
      <w:tr w14:paraId="45CB1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0C9D5676">
            <w:pPr>
              <w:widowControl/>
              <w:spacing w:line="240" w:lineRule="auto"/>
              <w:ind w:firstLine="0" w:firstLineChars="0"/>
              <w:jc w:val="center"/>
              <w:rPr>
                <w:color w:val="auto"/>
                <w:kern w:val="0"/>
                <w:sz w:val="21"/>
                <w:szCs w:val="21"/>
              </w:rPr>
            </w:pPr>
            <w:r>
              <w:rPr>
                <w:color w:val="auto"/>
                <w:kern w:val="0"/>
                <w:sz w:val="21"/>
                <w:szCs w:val="21"/>
              </w:rPr>
              <w:t>亚硝酸盐氮</w:t>
            </w:r>
          </w:p>
        </w:tc>
        <w:tc>
          <w:tcPr>
            <w:tcW w:w="3554" w:type="pct"/>
            <w:vAlign w:val="center"/>
          </w:tcPr>
          <w:p w14:paraId="23FD1F61">
            <w:pPr>
              <w:widowControl/>
              <w:spacing w:line="240" w:lineRule="auto"/>
              <w:ind w:firstLine="0" w:firstLineChars="0"/>
              <w:jc w:val="center"/>
              <w:rPr>
                <w:color w:val="auto"/>
                <w:kern w:val="0"/>
                <w:sz w:val="21"/>
                <w:szCs w:val="21"/>
              </w:rPr>
            </w:pPr>
            <w:r>
              <w:rPr>
                <w:color w:val="auto"/>
                <w:kern w:val="0"/>
                <w:sz w:val="21"/>
                <w:szCs w:val="21"/>
              </w:rPr>
              <w:t>水质 亚硝酸盐氮的测定 分光光度法 GB/T7493-1987</w:t>
            </w:r>
          </w:p>
        </w:tc>
        <w:tc>
          <w:tcPr>
            <w:tcW w:w="851" w:type="pct"/>
            <w:vAlign w:val="center"/>
          </w:tcPr>
          <w:p w14:paraId="489DCD64">
            <w:pPr>
              <w:widowControl/>
              <w:spacing w:line="240" w:lineRule="auto"/>
              <w:ind w:firstLine="0" w:firstLineChars="0"/>
              <w:jc w:val="center"/>
              <w:rPr>
                <w:color w:val="auto"/>
                <w:kern w:val="0"/>
                <w:sz w:val="21"/>
                <w:szCs w:val="21"/>
              </w:rPr>
            </w:pPr>
            <w:r>
              <w:rPr>
                <w:color w:val="auto"/>
                <w:kern w:val="0"/>
                <w:sz w:val="21"/>
                <w:szCs w:val="21"/>
              </w:rPr>
              <w:t>0.003 mg/L</w:t>
            </w:r>
          </w:p>
        </w:tc>
      </w:tr>
      <w:tr w14:paraId="39911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96" w:type="pct"/>
            <w:vAlign w:val="center"/>
          </w:tcPr>
          <w:p w14:paraId="71427E74">
            <w:pPr>
              <w:widowControl/>
              <w:spacing w:line="240" w:lineRule="auto"/>
              <w:ind w:firstLine="0" w:firstLineChars="0"/>
              <w:jc w:val="center"/>
              <w:rPr>
                <w:color w:val="auto"/>
                <w:kern w:val="0"/>
                <w:sz w:val="21"/>
                <w:szCs w:val="21"/>
              </w:rPr>
            </w:pPr>
            <w:r>
              <w:rPr>
                <w:color w:val="auto"/>
                <w:kern w:val="0"/>
                <w:sz w:val="21"/>
                <w:szCs w:val="21"/>
              </w:rPr>
              <w:t>重碳酸盐</w:t>
            </w:r>
          </w:p>
        </w:tc>
        <w:tc>
          <w:tcPr>
            <w:tcW w:w="3554" w:type="pct"/>
            <w:vMerge w:val="restart"/>
            <w:vAlign w:val="center"/>
          </w:tcPr>
          <w:p w14:paraId="7D79CB6A">
            <w:pPr>
              <w:widowControl/>
              <w:spacing w:line="240" w:lineRule="auto"/>
              <w:ind w:firstLine="0" w:firstLineChars="0"/>
              <w:jc w:val="center"/>
              <w:rPr>
                <w:color w:val="auto"/>
                <w:kern w:val="0"/>
                <w:sz w:val="21"/>
                <w:szCs w:val="21"/>
              </w:rPr>
            </w:pPr>
            <w:r>
              <w:rPr>
                <w:color w:val="auto"/>
                <w:kern w:val="0"/>
                <w:sz w:val="21"/>
                <w:szCs w:val="21"/>
              </w:rPr>
              <w:t>酸碱指示剂滴定法《水和废水监测分析方法》(第四版)(国家环境保护总局)(2002)3.1.12.1</w:t>
            </w:r>
          </w:p>
        </w:tc>
        <w:tc>
          <w:tcPr>
            <w:tcW w:w="851" w:type="pct"/>
            <w:vAlign w:val="center"/>
          </w:tcPr>
          <w:p w14:paraId="2C4A2E2B">
            <w:pPr>
              <w:widowControl/>
              <w:spacing w:line="240" w:lineRule="auto"/>
              <w:ind w:firstLine="0" w:firstLineChars="0"/>
              <w:jc w:val="center"/>
              <w:rPr>
                <w:color w:val="auto"/>
                <w:kern w:val="0"/>
                <w:sz w:val="21"/>
                <w:szCs w:val="21"/>
              </w:rPr>
            </w:pPr>
            <w:r>
              <w:rPr>
                <w:color w:val="auto"/>
                <w:kern w:val="0"/>
                <w:sz w:val="21"/>
                <w:szCs w:val="21"/>
              </w:rPr>
              <w:t>0.5 mg/L</w:t>
            </w:r>
          </w:p>
        </w:tc>
      </w:tr>
      <w:tr w14:paraId="5E329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96" w:type="pct"/>
            <w:vAlign w:val="center"/>
          </w:tcPr>
          <w:p w14:paraId="546742EC">
            <w:pPr>
              <w:widowControl/>
              <w:spacing w:line="240" w:lineRule="auto"/>
              <w:ind w:firstLine="0" w:firstLineChars="0"/>
              <w:jc w:val="center"/>
              <w:rPr>
                <w:color w:val="auto"/>
                <w:kern w:val="0"/>
                <w:sz w:val="21"/>
                <w:szCs w:val="21"/>
              </w:rPr>
            </w:pPr>
            <w:r>
              <w:rPr>
                <w:color w:val="auto"/>
                <w:kern w:val="0"/>
                <w:sz w:val="21"/>
                <w:szCs w:val="21"/>
              </w:rPr>
              <w:t>碳酸盐</w:t>
            </w:r>
          </w:p>
        </w:tc>
        <w:tc>
          <w:tcPr>
            <w:tcW w:w="3554" w:type="pct"/>
            <w:vMerge w:val="continue"/>
            <w:vAlign w:val="center"/>
          </w:tcPr>
          <w:p w14:paraId="1D857F22">
            <w:pPr>
              <w:widowControl/>
              <w:spacing w:line="240" w:lineRule="auto"/>
              <w:ind w:firstLine="0" w:firstLineChars="0"/>
              <w:jc w:val="center"/>
              <w:rPr>
                <w:color w:val="auto"/>
                <w:kern w:val="0"/>
                <w:sz w:val="21"/>
                <w:szCs w:val="21"/>
              </w:rPr>
            </w:pPr>
          </w:p>
        </w:tc>
        <w:tc>
          <w:tcPr>
            <w:tcW w:w="851" w:type="pct"/>
            <w:vAlign w:val="center"/>
          </w:tcPr>
          <w:p w14:paraId="700EA7B9">
            <w:pPr>
              <w:widowControl/>
              <w:spacing w:line="240" w:lineRule="auto"/>
              <w:ind w:firstLine="0" w:firstLineChars="0"/>
              <w:jc w:val="center"/>
              <w:rPr>
                <w:color w:val="auto"/>
                <w:kern w:val="0"/>
                <w:sz w:val="21"/>
                <w:szCs w:val="21"/>
              </w:rPr>
            </w:pPr>
            <w:r>
              <w:rPr>
                <w:color w:val="auto"/>
                <w:kern w:val="0"/>
                <w:sz w:val="21"/>
                <w:szCs w:val="21"/>
              </w:rPr>
              <w:t>0.3 mg/L</w:t>
            </w:r>
          </w:p>
        </w:tc>
      </w:tr>
      <w:tr w14:paraId="554FC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0C9F4EAB">
            <w:pPr>
              <w:widowControl/>
              <w:spacing w:line="240" w:lineRule="auto"/>
              <w:ind w:firstLine="0" w:firstLineChars="0"/>
              <w:jc w:val="center"/>
              <w:rPr>
                <w:color w:val="auto"/>
                <w:kern w:val="0"/>
                <w:sz w:val="21"/>
                <w:szCs w:val="21"/>
              </w:rPr>
            </w:pPr>
            <w:r>
              <w:rPr>
                <w:color w:val="auto"/>
                <w:kern w:val="0"/>
                <w:sz w:val="21"/>
                <w:szCs w:val="21"/>
              </w:rPr>
              <w:t>总硬度</w:t>
            </w:r>
          </w:p>
        </w:tc>
        <w:tc>
          <w:tcPr>
            <w:tcW w:w="3554" w:type="pct"/>
            <w:vAlign w:val="center"/>
          </w:tcPr>
          <w:p w14:paraId="0431CF7B">
            <w:pPr>
              <w:widowControl/>
              <w:spacing w:line="240" w:lineRule="auto"/>
              <w:ind w:firstLine="0" w:firstLineChars="0"/>
              <w:jc w:val="center"/>
              <w:rPr>
                <w:color w:val="auto"/>
                <w:kern w:val="0"/>
                <w:sz w:val="21"/>
                <w:szCs w:val="21"/>
              </w:rPr>
            </w:pPr>
            <w:r>
              <w:rPr>
                <w:color w:val="auto"/>
                <w:kern w:val="0"/>
                <w:sz w:val="21"/>
                <w:szCs w:val="21"/>
              </w:rPr>
              <w:t>水质 钙和镁总量的测定 EDTA滴定法 GB/T7477-1987</w:t>
            </w:r>
          </w:p>
        </w:tc>
        <w:tc>
          <w:tcPr>
            <w:tcW w:w="851" w:type="pct"/>
            <w:vAlign w:val="center"/>
          </w:tcPr>
          <w:p w14:paraId="5BDC088A">
            <w:pPr>
              <w:widowControl/>
              <w:spacing w:line="240" w:lineRule="auto"/>
              <w:ind w:firstLine="0" w:firstLineChars="0"/>
              <w:jc w:val="center"/>
              <w:rPr>
                <w:color w:val="auto"/>
                <w:kern w:val="0"/>
                <w:sz w:val="21"/>
                <w:szCs w:val="21"/>
              </w:rPr>
            </w:pPr>
            <w:r>
              <w:rPr>
                <w:color w:val="auto"/>
                <w:kern w:val="0"/>
                <w:sz w:val="21"/>
                <w:szCs w:val="21"/>
              </w:rPr>
              <w:t>5 mg/L</w:t>
            </w:r>
          </w:p>
        </w:tc>
      </w:tr>
      <w:tr w14:paraId="13D40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96" w:type="pct"/>
            <w:vAlign w:val="center"/>
          </w:tcPr>
          <w:p w14:paraId="6EF3B6BE">
            <w:pPr>
              <w:widowControl/>
              <w:spacing w:line="240" w:lineRule="auto"/>
              <w:ind w:firstLine="0" w:firstLineChars="0"/>
              <w:jc w:val="center"/>
              <w:rPr>
                <w:color w:val="auto"/>
                <w:kern w:val="0"/>
                <w:sz w:val="21"/>
                <w:szCs w:val="21"/>
              </w:rPr>
            </w:pPr>
            <w:r>
              <w:rPr>
                <w:color w:val="auto"/>
                <w:kern w:val="0"/>
                <w:sz w:val="21"/>
                <w:szCs w:val="21"/>
              </w:rPr>
              <w:t>镉</w:t>
            </w:r>
          </w:p>
        </w:tc>
        <w:tc>
          <w:tcPr>
            <w:tcW w:w="3554" w:type="pct"/>
            <w:vMerge w:val="restart"/>
            <w:vAlign w:val="center"/>
          </w:tcPr>
          <w:p w14:paraId="57697D23">
            <w:pPr>
              <w:widowControl/>
              <w:spacing w:line="240" w:lineRule="auto"/>
              <w:ind w:firstLine="0" w:firstLineChars="0"/>
              <w:jc w:val="center"/>
              <w:rPr>
                <w:color w:val="auto"/>
                <w:kern w:val="0"/>
                <w:sz w:val="21"/>
                <w:szCs w:val="21"/>
              </w:rPr>
            </w:pPr>
            <w:r>
              <w:rPr>
                <w:color w:val="auto"/>
                <w:kern w:val="0"/>
                <w:sz w:val="21"/>
                <w:szCs w:val="21"/>
              </w:rPr>
              <w:t>石墨炉原子吸收法《水和废水监测分析方法》(第四版)(国家环境保护总局)(2002)3.4.7.4</w:t>
            </w:r>
          </w:p>
        </w:tc>
        <w:tc>
          <w:tcPr>
            <w:tcW w:w="851" w:type="pct"/>
            <w:vAlign w:val="center"/>
          </w:tcPr>
          <w:p w14:paraId="179B2B84">
            <w:pPr>
              <w:widowControl/>
              <w:spacing w:line="240" w:lineRule="auto"/>
              <w:ind w:firstLine="0" w:firstLineChars="0"/>
              <w:jc w:val="center"/>
              <w:rPr>
                <w:color w:val="auto"/>
                <w:kern w:val="0"/>
                <w:sz w:val="21"/>
                <w:szCs w:val="21"/>
              </w:rPr>
            </w:pPr>
            <w:r>
              <w:rPr>
                <w:color w:val="auto"/>
                <w:kern w:val="0"/>
                <w:sz w:val="21"/>
                <w:szCs w:val="21"/>
              </w:rPr>
              <w:t>0.1μg/L</w:t>
            </w:r>
          </w:p>
        </w:tc>
      </w:tr>
      <w:tr w14:paraId="6BC98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1E5DC455">
            <w:pPr>
              <w:widowControl/>
              <w:spacing w:line="240" w:lineRule="auto"/>
              <w:ind w:firstLine="0" w:firstLineChars="0"/>
              <w:jc w:val="center"/>
              <w:rPr>
                <w:color w:val="auto"/>
                <w:kern w:val="0"/>
                <w:sz w:val="21"/>
                <w:szCs w:val="21"/>
              </w:rPr>
            </w:pPr>
            <w:r>
              <w:rPr>
                <w:color w:val="auto"/>
                <w:kern w:val="0"/>
                <w:sz w:val="21"/>
                <w:szCs w:val="21"/>
              </w:rPr>
              <w:t>铅</w:t>
            </w:r>
          </w:p>
        </w:tc>
        <w:tc>
          <w:tcPr>
            <w:tcW w:w="3554" w:type="pct"/>
            <w:vMerge w:val="continue"/>
            <w:vAlign w:val="center"/>
          </w:tcPr>
          <w:p w14:paraId="52F8C2F8">
            <w:pPr>
              <w:widowControl/>
              <w:spacing w:line="240" w:lineRule="auto"/>
              <w:ind w:firstLine="0" w:firstLineChars="0"/>
              <w:jc w:val="center"/>
              <w:rPr>
                <w:color w:val="auto"/>
                <w:kern w:val="0"/>
                <w:sz w:val="21"/>
                <w:szCs w:val="21"/>
              </w:rPr>
            </w:pPr>
          </w:p>
        </w:tc>
        <w:tc>
          <w:tcPr>
            <w:tcW w:w="851" w:type="pct"/>
            <w:vAlign w:val="center"/>
          </w:tcPr>
          <w:p w14:paraId="43785FAF">
            <w:pPr>
              <w:widowControl/>
              <w:spacing w:line="240" w:lineRule="auto"/>
              <w:ind w:firstLine="0" w:firstLineChars="0"/>
              <w:jc w:val="center"/>
              <w:rPr>
                <w:color w:val="auto"/>
                <w:kern w:val="0"/>
                <w:sz w:val="21"/>
                <w:szCs w:val="21"/>
              </w:rPr>
            </w:pPr>
            <w:r>
              <w:rPr>
                <w:color w:val="auto"/>
                <w:kern w:val="0"/>
                <w:sz w:val="21"/>
                <w:szCs w:val="21"/>
              </w:rPr>
              <w:t>1μg/L</w:t>
            </w:r>
          </w:p>
        </w:tc>
      </w:tr>
      <w:tr w14:paraId="4AA11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30CDC945">
            <w:pPr>
              <w:widowControl/>
              <w:spacing w:line="240" w:lineRule="auto"/>
              <w:ind w:firstLine="0" w:firstLineChars="0"/>
              <w:jc w:val="center"/>
              <w:rPr>
                <w:color w:val="auto"/>
                <w:kern w:val="0"/>
                <w:sz w:val="21"/>
                <w:szCs w:val="21"/>
              </w:rPr>
            </w:pPr>
            <w:r>
              <w:rPr>
                <w:color w:val="auto"/>
                <w:kern w:val="0"/>
                <w:sz w:val="21"/>
                <w:szCs w:val="21"/>
              </w:rPr>
              <w:t>汞</w:t>
            </w:r>
          </w:p>
        </w:tc>
        <w:tc>
          <w:tcPr>
            <w:tcW w:w="3554" w:type="pct"/>
            <w:vMerge w:val="restart"/>
            <w:vAlign w:val="center"/>
          </w:tcPr>
          <w:p w14:paraId="78AB5A5B">
            <w:pPr>
              <w:widowControl/>
              <w:spacing w:line="240" w:lineRule="auto"/>
              <w:ind w:firstLine="0" w:firstLineChars="0"/>
              <w:jc w:val="center"/>
              <w:rPr>
                <w:color w:val="auto"/>
                <w:kern w:val="0"/>
                <w:sz w:val="21"/>
                <w:szCs w:val="21"/>
              </w:rPr>
            </w:pPr>
            <w:r>
              <w:rPr>
                <w:color w:val="auto"/>
                <w:kern w:val="0"/>
                <w:sz w:val="21"/>
                <w:szCs w:val="21"/>
              </w:rPr>
              <w:t>水质 汞、砷、硒、铋和锑的测定 原子荧光法 HJ 694-2014</w:t>
            </w:r>
          </w:p>
        </w:tc>
        <w:tc>
          <w:tcPr>
            <w:tcW w:w="851" w:type="pct"/>
            <w:vAlign w:val="center"/>
          </w:tcPr>
          <w:p w14:paraId="7D3AA46C">
            <w:pPr>
              <w:widowControl/>
              <w:spacing w:line="240" w:lineRule="auto"/>
              <w:ind w:firstLine="0" w:firstLineChars="0"/>
              <w:jc w:val="center"/>
              <w:rPr>
                <w:color w:val="auto"/>
                <w:kern w:val="0"/>
                <w:sz w:val="21"/>
                <w:szCs w:val="21"/>
              </w:rPr>
            </w:pPr>
            <w:r>
              <w:rPr>
                <w:color w:val="auto"/>
                <w:kern w:val="0"/>
                <w:sz w:val="21"/>
                <w:szCs w:val="21"/>
              </w:rPr>
              <w:t>0.04μg/L</w:t>
            </w:r>
          </w:p>
        </w:tc>
      </w:tr>
      <w:tr w14:paraId="63E9E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18900E46">
            <w:pPr>
              <w:widowControl/>
              <w:spacing w:line="240" w:lineRule="auto"/>
              <w:ind w:firstLine="0" w:firstLineChars="0"/>
              <w:jc w:val="center"/>
              <w:rPr>
                <w:color w:val="auto"/>
                <w:kern w:val="0"/>
                <w:sz w:val="21"/>
                <w:szCs w:val="21"/>
              </w:rPr>
            </w:pPr>
            <w:r>
              <w:rPr>
                <w:color w:val="auto"/>
                <w:kern w:val="0"/>
                <w:sz w:val="21"/>
                <w:szCs w:val="21"/>
              </w:rPr>
              <w:t>砷</w:t>
            </w:r>
          </w:p>
        </w:tc>
        <w:tc>
          <w:tcPr>
            <w:tcW w:w="3554" w:type="pct"/>
            <w:vMerge w:val="continue"/>
            <w:vAlign w:val="center"/>
          </w:tcPr>
          <w:p w14:paraId="40878138">
            <w:pPr>
              <w:widowControl/>
              <w:spacing w:line="240" w:lineRule="auto"/>
              <w:ind w:firstLine="0" w:firstLineChars="0"/>
              <w:jc w:val="center"/>
              <w:rPr>
                <w:color w:val="auto"/>
                <w:kern w:val="0"/>
                <w:sz w:val="21"/>
                <w:szCs w:val="21"/>
              </w:rPr>
            </w:pPr>
          </w:p>
        </w:tc>
        <w:tc>
          <w:tcPr>
            <w:tcW w:w="851" w:type="pct"/>
            <w:vAlign w:val="center"/>
          </w:tcPr>
          <w:p w14:paraId="324DA082">
            <w:pPr>
              <w:widowControl/>
              <w:spacing w:line="240" w:lineRule="auto"/>
              <w:ind w:firstLine="0" w:firstLineChars="0"/>
              <w:jc w:val="center"/>
              <w:rPr>
                <w:color w:val="auto"/>
                <w:kern w:val="0"/>
                <w:sz w:val="21"/>
                <w:szCs w:val="21"/>
              </w:rPr>
            </w:pPr>
            <w:r>
              <w:rPr>
                <w:color w:val="auto"/>
                <w:kern w:val="0"/>
                <w:sz w:val="21"/>
                <w:szCs w:val="21"/>
              </w:rPr>
              <w:t>0.3μg/L</w:t>
            </w:r>
          </w:p>
        </w:tc>
      </w:tr>
      <w:tr w14:paraId="2DF5A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42E2D53B">
            <w:pPr>
              <w:widowControl/>
              <w:spacing w:line="240" w:lineRule="auto"/>
              <w:ind w:firstLine="0" w:firstLineChars="0"/>
              <w:jc w:val="center"/>
              <w:rPr>
                <w:color w:val="auto"/>
                <w:kern w:val="0"/>
                <w:sz w:val="21"/>
                <w:szCs w:val="21"/>
              </w:rPr>
            </w:pPr>
            <w:r>
              <w:rPr>
                <w:color w:val="auto"/>
                <w:kern w:val="0"/>
                <w:sz w:val="21"/>
                <w:szCs w:val="21"/>
              </w:rPr>
              <w:t>溶解性总固体</w:t>
            </w:r>
          </w:p>
        </w:tc>
        <w:tc>
          <w:tcPr>
            <w:tcW w:w="3554" w:type="pct"/>
            <w:vAlign w:val="center"/>
          </w:tcPr>
          <w:p w14:paraId="5E2C8944">
            <w:pPr>
              <w:widowControl/>
              <w:spacing w:line="240" w:lineRule="auto"/>
              <w:ind w:firstLine="0" w:firstLineChars="0"/>
              <w:jc w:val="center"/>
              <w:rPr>
                <w:color w:val="auto"/>
                <w:kern w:val="0"/>
                <w:sz w:val="21"/>
                <w:szCs w:val="21"/>
              </w:rPr>
            </w:pPr>
            <w:r>
              <w:rPr>
                <w:color w:val="auto"/>
                <w:kern w:val="0"/>
                <w:sz w:val="21"/>
                <w:szCs w:val="21"/>
              </w:rPr>
              <w:t>参照 生活饮用水标准检验方法感观性状和物理指标GB/T 5750.4-2006</w:t>
            </w:r>
          </w:p>
        </w:tc>
        <w:tc>
          <w:tcPr>
            <w:tcW w:w="851" w:type="pct"/>
            <w:vAlign w:val="center"/>
          </w:tcPr>
          <w:p w14:paraId="640A2257">
            <w:pPr>
              <w:widowControl/>
              <w:spacing w:line="240" w:lineRule="auto"/>
              <w:ind w:firstLine="0" w:firstLineChars="0"/>
              <w:jc w:val="center"/>
              <w:rPr>
                <w:color w:val="auto"/>
                <w:kern w:val="0"/>
                <w:sz w:val="21"/>
                <w:szCs w:val="21"/>
              </w:rPr>
            </w:pPr>
            <w:r>
              <w:rPr>
                <w:color w:val="auto"/>
                <w:kern w:val="0"/>
                <w:sz w:val="21"/>
                <w:szCs w:val="21"/>
              </w:rPr>
              <w:t>4 mg/L</w:t>
            </w:r>
          </w:p>
        </w:tc>
      </w:tr>
      <w:tr w14:paraId="1C025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4294BDC5">
            <w:pPr>
              <w:widowControl/>
              <w:spacing w:line="240" w:lineRule="auto"/>
              <w:ind w:firstLine="0" w:firstLineChars="0"/>
              <w:jc w:val="center"/>
              <w:rPr>
                <w:color w:val="auto"/>
                <w:kern w:val="0"/>
                <w:sz w:val="21"/>
                <w:szCs w:val="21"/>
              </w:rPr>
            </w:pPr>
            <w:r>
              <w:rPr>
                <w:color w:val="auto"/>
                <w:kern w:val="0"/>
                <w:sz w:val="21"/>
                <w:szCs w:val="21"/>
              </w:rPr>
              <w:t>高锰酸盐指数</w:t>
            </w:r>
          </w:p>
        </w:tc>
        <w:tc>
          <w:tcPr>
            <w:tcW w:w="3554" w:type="pct"/>
            <w:vAlign w:val="center"/>
          </w:tcPr>
          <w:p w14:paraId="76B2CB93">
            <w:pPr>
              <w:widowControl/>
              <w:spacing w:line="240" w:lineRule="auto"/>
              <w:ind w:firstLine="0" w:firstLineChars="0"/>
              <w:jc w:val="center"/>
              <w:rPr>
                <w:color w:val="auto"/>
                <w:kern w:val="0"/>
                <w:sz w:val="21"/>
                <w:szCs w:val="21"/>
              </w:rPr>
            </w:pPr>
            <w:r>
              <w:rPr>
                <w:color w:val="auto"/>
                <w:kern w:val="0"/>
                <w:sz w:val="21"/>
                <w:szCs w:val="21"/>
              </w:rPr>
              <w:t>参照 水质高锰酸盐指数的测定 GB/T 11892-1989</w:t>
            </w:r>
          </w:p>
        </w:tc>
        <w:tc>
          <w:tcPr>
            <w:tcW w:w="851" w:type="pct"/>
            <w:vAlign w:val="center"/>
          </w:tcPr>
          <w:p w14:paraId="7A04515E">
            <w:pPr>
              <w:widowControl/>
              <w:spacing w:line="240" w:lineRule="auto"/>
              <w:ind w:firstLine="0" w:firstLineChars="0"/>
              <w:jc w:val="center"/>
              <w:rPr>
                <w:color w:val="auto"/>
                <w:kern w:val="0"/>
                <w:sz w:val="21"/>
                <w:szCs w:val="21"/>
              </w:rPr>
            </w:pPr>
            <w:r>
              <w:rPr>
                <w:color w:val="auto"/>
                <w:kern w:val="0"/>
                <w:sz w:val="21"/>
                <w:szCs w:val="21"/>
              </w:rPr>
              <w:t>0.5 mg/L</w:t>
            </w:r>
          </w:p>
        </w:tc>
      </w:tr>
      <w:tr w14:paraId="3F809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54BC983B">
            <w:pPr>
              <w:widowControl/>
              <w:spacing w:line="240" w:lineRule="auto"/>
              <w:ind w:firstLine="0" w:firstLineChars="0"/>
              <w:jc w:val="center"/>
              <w:rPr>
                <w:color w:val="auto"/>
                <w:kern w:val="0"/>
                <w:sz w:val="21"/>
                <w:szCs w:val="21"/>
              </w:rPr>
            </w:pPr>
            <w:r>
              <w:rPr>
                <w:color w:val="auto"/>
                <w:kern w:val="0"/>
                <w:sz w:val="21"/>
                <w:szCs w:val="21"/>
              </w:rPr>
              <w:t>六价铬</w:t>
            </w:r>
          </w:p>
        </w:tc>
        <w:tc>
          <w:tcPr>
            <w:tcW w:w="3554" w:type="pct"/>
            <w:vAlign w:val="center"/>
          </w:tcPr>
          <w:p w14:paraId="30918660">
            <w:pPr>
              <w:widowControl/>
              <w:spacing w:line="240" w:lineRule="auto"/>
              <w:ind w:firstLine="0" w:firstLineChars="0"/>
              <w:jc w:val="center"/>
              <w:rPr>
                <w:color w:val="auto"/>
                <w:kern w:val="0"/>
                <w:sz w:val="21"/>
                <w:szCs w:val="21"/>
              </w:rPr>
            </w:pPr>
            <w:r>
              <w:rPr>
                <w:color w:val="auto"/>
                <w:kern w:val="0"/>
                <w:sz w:val="21"/>
                <w:szCs w:val="21"/>
              </w:rPr>
              <w:t>参照 水质六价铬的测定 二苯碳酰二肼分光光度法GB/T 7467-1987</w:t>
            </w:r>
          </w:p>
        </w:tc>
        <w:tc>
          <w:tcPr>
            <w:tcW w:w="851" w:type="pct"/>
            <w:vAlign w:val="center"/>
          </w:tcPr>
          <w:p w14:paraId="4FC28130">
            <w:pPr>
              <w:widowControl/>
              <w:spacing w:line="240" w:lineRule="auto"/>
              <w:ind w:firstLine="0" w:firstLineChars="0"/>
              <w:jc w:val="center"/>
              <w:rPr>
                <w:color w:val="auto"/>
                <w:kern w:val="0"/>
                <w:sz w:val="21"/>
                <w:szCs w:val="21"/>
              </w:rPr>
            </w:pPr>
            <w:r>
              <w:rPr>
                <w:color w:val="auto"/>
                <w:kern w:val="0"/>
                <w:sz w:val="21"/>
                <w:szCs w:val="21"/>
              </w:rPr>
              <w:t>0.004 mg/L</w:t>
            </w:r>
          </w:p>
        </w:tc>
      </w:tr>
      <w:tr w14:paraId="77FAB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5666CAA0">
            <w:pPr>
              <w:widowControl/>
              <w:spacing w:line="240" w:lineRule="auto"/>
              <w:ind w:firstLine="0" w:firstLineChars="0"/>
              <w:jc w:val="center"/>
              <w:rPr>
                <w:color w:val="auto"/>
                <w:kern w:val="0"/>
                <w:sz w:val="21"/>
                <w:szCs w:val="21"/>
              </w:rPr>
            </w:pPr>
            <w:r>
              <w:rPr>
                <w:color w:val="auto"/>
                <w:kern w:val="0"/>
                <w:sz w:val="21"/>
                <w:szCs w:val="21"/>
              </w:rPr>
              <w:t>氰化物</w:t>
            </w:r>
          </w:p>
        </w:tc>
        <w:tc>
          <w:tcPr>
            <w:tcW w:w="3554" w:type="pct"/>
            <w:vAlign w:val="center"/>
          </w:tcPr>
          <w:p w14:paraId="5FEA2566">
            <w:pPr>
              <w:widowControl/>
              <w:spacing w:line="240" w:lineRule="auto"/>
              <w:ind w:firstLine="0" w:firstLineChars="0"/>
              <w:jc w:val="center"/>
              <w:rPr>
                <w:color w:val="auto"/>
                <w:kern w:val="0"/>
                <w:sz w:val="21"/>
                <w:szCs w:val="21"/>
              </w:rPr>
            </w:pPr>
            <w:r>
              <w:rPr>
                <w:color w:val="auto"/>
                <w:kern w:val="0"/>
                <w:sz w:val="21"/>
                <w:szCs w:val="21"/>
              </w:rPr>
              <w:t>参照 水质氰化物的测定容量法和分光光度法HJ 484-2009</w:t>
            </w:r>
          </w:p>
        </w:tc>
        <w:tc>
          <w:tcPr>
            <w:tcW w:w="851" w:type="pct"/>
            <w:vAlign w:val="center"/>
          </w:tcPr>
          <w:p w14:paraId="163E7981">
            <w:pPr>
              <w:widowControl/>
              <w:spacing w:line="240" w:lineRule="auto"/>
              <w:ind w:firstLine="0" w:firstLineChars="0"/>
              <w:jc w:val="center"/>
              <w:rPr>
                <w:color w:val="auto"/>
                <w:kern w:val="0"/>
                <w:sz w:val="21"/>
                <w:szCs w:val="21"/>
              </w:rPr>
            </w:pPr>
            <w:r>
              <w:rPr>
                <w:color w:val="auto"/>
                <w:kern w:val="0"/>
                <w:sz w:val="21"/>
                <w:szCs w:val="21"/>
              </w:rPr>
              <w:t>0.004 mg/L</w:t>
            </w:r>
          </w:p>
        </w:tc>
      </w:tr>
      <w:tr w14:paraId="25CD1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pct"/>
            <w:vAlign w:val="center"/>
          </w:tcPr>
          <w:p w14:paraId="390D1688">
            <w:pPr>
              <w:widowControl/>
              <w:spacing w:line="240" w:lineRule="auto"/>
              <w:ind w:firstLine="0" w:firstLineChars="0"/>
              <w:jc w:val="center"/>
              <w:rPr>
                <w:color w:val="auto"/>
                <w:kern w:val="0"/>
                <w:sz w:val="21"/>
                <w:szCs w:val="21"/>
              </w:rPr>
            </w:pPr>
            <w:r>
              <w:rPr>
                <w:color w:val="auto"/>
                <w:kern w:val="0"/>
                <w:sz w:val="21"/>
                <w:szCs w:val="21"/>
              </w:rPr>
              <w:t>阴离子表面活性剂</w:t>
            </w:r>
          </w:p>
        </w:tc>
        <w:tc>
          <w:tcPr>
            <w:tcW w:w="3554" w:type="pct"/>
            <w:vAlign w:val="center"/>
          </w:tcPr>
          <w:p w14:paraId="4B497B20">
            <w:pPr>
              <w:widowControl/>
              <w:spacing w:line="240" w:lineRule="auto"/>
              <w:ind w:firstLine="0" w:firstLineChars="0"/>
              <w:jc w:val="center"/>
              <w:rPr>
                <w:color w:val="auto"/>
                <w:kern w:val="0"/>
                <w:sz w:val="21"/>
                <w:szCs w:val="21"/>
              </w:rPr>
            </w:pPr>
            <w:r>
              <w:rPr>
                <w:color w:val="auto"/>
                <w:kern w:val="0"/>
                <w:sz w:val="21"/>
                <w:szCs w:val="21"/>
              </w:rPr>
              <w:t>参照 水质阴离子表面活性剂的测定 亚甲蓝分光光度法 GB/T 7494-1987</w:t>
            </w:r>
          </w:p>
        </w:tc>
        <w:tc>
          <w:tcPr>
            <w:tcW w:w="851" w:type="pct"/>
            <w:vAlign w:val="center"/>
          </w:tcPr>
          <w:p w14:paraId="5D33B256">
            <w:pPr>
              <w:widowControl/>
              <w:spacing w:line="240" w:lineRule="auto"/>
              <w:ind w:firstLine="0" w:firstLineChars="0"/>
              <w:jc w:val="center"/>
              <w:rPr>
                <w:color w:val="auto"/>
                <w:kern w:val="0"/>
                <w:sz w:val="21"/>
                <w:szCs w:val="21"/>
              </w:rPr>
            </w:pPr>
            <w:r>
              <w:rPr>
                <w:color w:val="auto"/>
                <w:kern w:val="0"/>
                <w:sz w:val="21"/>
                <w:szCs w:val="21"/>
              </w:rPr>
              <w:t>0.05 mg/L</w:t>
            </w:r>
          </w:p>
        </w:tc>
      </w:tr>
    </w:tbl>
    <w:p w14:paraId="4728CDDA">
      <w:pPr>
        <w:ind w:firstLine="480"/>
        <w:rPr>
          <w:color w:val="auto"/>
        </w:rPr>
      </w:pPr>
      <w:r>
        <w:rPr>
          <w:rFonts w:hint="eastAsia"/>
          <w:color w:val="auto"/>
        </w:rPr>
        <w:t>（5）监测结果</w:t>
      </w:r>
    </w:p>
    <w:p w14:paraId="2E82A536">
      <w:pPr>
        <w:ind w:firstLine="480"/>
        <w:rPr>
          <w:color w:val="auto"/>
        </w:rPr>
      </w:pPr>
      <w:r>
        <w:rPr>
          <w:color w:val="auto"/>
        </w:rPr>
        <w:t>本次地下水环境质量现状监测结果详见</w:t>
      </w:r>
      <w:r>
        <w:rPr>
          <w:rFonts w:hint="eastAsia"/>
          <w:color w:val="auto"/>
        </w:rPr>
        <w:t>下</w:t>
      </w:r>
      <w:r>
        <w:rPr>
          <w:color w:val="auto"/>
        </w:rPr>
        <w:t>表</w:t>
      </w:r>
      <w:r>
        <w:rPr>
          <w:rFonts w:hint="eastAsia"/>
          <w:color w:val="auto"/>
        </w:rPr>
        <w:t>。</w:t>
      </w:r>
    </w:p>
    <w:p w14:paraId="19B51147">
      <w:pPr>
        <w:ind w:firstLine="480"/>
        <w:rPr>
          <w:color w:val="auto"/>
        </w:rPr>
        <w:sectPr>
          <w:pgSz w:w="11906" w:h="16838"/>
          <w:pgMar w:top="1134" w:right="1134" w:bottom="1134" w:left="1134" w:header="851" w:footer="992" w:gutter="0"/>
          <w:cols w:space="425" w:num="1"/>
          <w:docGrid w:type="lines" w:linePitch="312" w:charSpace="0"/>
        </w:sectPr>
      </w:pPr>
    </w:p>
    <w:p w14:paraId="2DD9A8C3">
      <w:pPr>
        <w:ind w:firstLine="482"/>
        <w:jc w:val="center"/>
        <w:rPr>
          <w:b/>
          <w:bCs/>
          <w:color w:val="auto"/>
        </w:rPr>
      </w:pPr>
      <w:r>
        <w:rPr>
          <w:rFonts w:hint="eastAsia"/>
          <w:b/>
          <w:bCs/>
          <w:color w:val="auto"/>
        </w:rPr>
        <w:t>表5.2.4-4 地下水环境质量现状监测与评价结果表（mg/L）</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1452"/>
        <w:gridCol w:w="1174"/>
        <w:gridCol w:w="1198"/>
        <w:gridCol w:w="1124"/>
        <w:gridCol w:w="1139"/>
        <w:gridCol w:w="1337"/>
        <w:gridCol w:w="1209"/>
        <w:gridCol w:w="1153"/>
        <w:gridCol w:w="1147"/>
        <w:gridCol w:w="1221"/>
      </w:tblGrid>
      <w:tr w14:paraId="02F63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890" w:type="pct"/>
            <w:vMerge w:val="restart"/>
            <w:vAlign w:val="center"/>
          </w:tcPr>
          <w:p w14:paraId="46B52BA0">
            <w:pPr>
              <w:widowControl/>
              <w:spacing w:line="240" w:lineRule="auto"/>
              <w:ind w:firstLine="0" w:firstLineChars="0"/>
              <w:jc w:val="center"/>
              <w:rPr>
                <w:b/>
                <w:bCs/>
                <w:color w:val="auto"/>
                <w:kern w:val="0"/>
                <w:sz w:val="21"/>
                <w:szCs w:val="21"/>
              </w:rPr>
            </w:pPr>
            <w:r>
              <w:rPr>
                <w:b/>
                <w:bCs/>
                <w:color w:val="auto"/>
                <w:kern w:val="0"/>
                <w:sz w:val="21"/>
                <w:szCs w:val="21"/>
              </w:rPr>
              <w:t>编号</w:t>
            </w:r>
          </w:p>
        </w:tc>
        <w:tc>
          <w:tcPr>
            <w:tcW w:w="888" w:type="pct"/>
            <w:gridSpan w:val="2"/>
            <w:vAlign w:val="center"/>
          </w:tcPr>
          <w:p w14:paraId="1565C683">
            <w:pPr>
              <w:widowControl/>
              <w:spacing w:line="240" w:lineRule="auto"/>
              <w:ind w:firstLine="0" w:firstLineChars="0"/>
              <w:jc w:val="center"/>
              <w:rPr>
                <w:b/>
                <w:bCs/>
                <w:color w:val="auto"/>
                <w:kern w:val="0"/>
                <w:sz w:val="21"/>
                <w:szCs w:val="21"/>
              </w:rPr>
            </w:pPr>
            <w:r>
              <w:rPr>
                <w:b/>
                <w:bCs/>
                <w:color w:val="auto"/>
                <w:kern w:val="0"/>
                <w:sz w:val="21"/>
                <w:szCs w:val="21"/>
              </w:rPr>
              <w:t>D1</w:t>
            </w:r>
          </w:p>
        </w:tc>
        <w:tc>
          <w:tcPr>
            <w:tcW w:w="785" w:type="pct"/>
            <w:gridSpan w:val="2"/>
            <w:vAlign w:val="center"/>
          </w:tcPr>
          <w:p w14:paraId="29FF11DE">
            <w:pPr>
              <w:widowControl/>
              <w:spacing w:line="240" w:lineRule="auto"/>
              <w:ind w:firstLine="0" w:firstLineChars="0"/>
              <w:jc w:val="center"/>
              <w:rPr>
                <w:b/>
                <w:bCs/>
                <w:color w:val="auto"/>
                <w:kern w:val="0"/>
                <w:sz w:val="21"/>
                <w:szCs w:val="21"/>
              </w:rPr>
            </w:pPr>
            <w:r>
              <w:rPr>
                <w:b/>
                <w:bCs/>
                <w:color w:val="auto"/>
                <w:kern w:val="0"/>
                <w:sz w:val="21"/>
                <w:szCs w:val="21"/>
              </w:rPr>
              <w:t>D2</w:t>
            </w:r>
          </w:p>
        </w:tc>
        <w:tc>
          <w:tcPr>
            <w:tcW w:w="837" w:type="pct"/>
            <w:gridSpan w:val="2"/>
            <w:vAlign w:val="center"/>
          </w:tcPr>
          <w:p w14:paraId="6351C36D">
            <w:pPr>
              <w:widowControl/>
              <w:spacing w:line="240" w:lineRule="auto"/>
              <w:ind w:firstLine="0" w:firstLineChars="0"/>
              <w:jc w:val="center"/>
              <w:rPr>
                <w:b/>
                <w:bCs/>
                <w:color w:val="auto"/>
                <w:kern w:val="0"/>
                <w:sz w:val="21"/>
                <w:szCs w:val="21"/>
              </w:rPr>
            </w:pPr>
            <w:r>
              <w:rPr>
                <w:b/>
                <w:bCs/>
                <w:color w:val="auto"/>
                <w:kern w:val="0"/>
                <w:sz w:val="21"/>
                <w:szCs w:val="21"/>
              </w:rPr>
              <w:t>D3</w:t>
            </w:r>
          </w:p>
        </w:tc>
        <w:tc>
          <w:tcPr>
            <w:tcW w:w="799" w:type="pct"/>
            <w:gridSpan w:val="2"/>
            <w:vAlign w:val="center"/>
          </w:tcPr>
          <w:p w14:paraId="0E9EE507">
            <w:pPr>
              <w:widowControl/>
              <w:spacing w:line="240" w:lineRule="auto"/>
              <w:ind w:firstLine="0" w:firstLineChars="0"/>
              <w:jc w:val="center"/>
              <w:rPr>
                <w:b/>
                <w:bCs/>
                <w:color w:val="auto"/>
                <w:kern w:val="0"/>
                <w:sz w:val="21"/>
                <w:szCs w:val="21"/>
              </w:rPr>
            </w:pPr>
            <w:r>
              <w:rPr>
                <w:b/>
                <w:bCs/>
                <w:color w:val="auto"/>
                <w:kern w:val="0"/>
                <w:sz w:val="21"/>
                <w:szCs w:val="21"/>
              </w:rPr>
              <w:t>D4</w:t>
            </w:r>
          </w:p>
        </w:tc>
        <w:tc>
          <w:tcPr>
            <w:tcW w:w="801" w:type="pct"/>
            <w:gridSpan w:val="2"/>
            <w:vAlign w:val="center"/>
          </w:tcPr>
          <w:p w14:paraId="74B4CE4D">
            <w:pPr>
              <w:widowControl/>
              <w:spacing w:line="240" w:lineRule="auto"/>
              <w:ind w:firstLine="0" w:firstLineChars="0"/>
              <w:jc w:val="center"/>
              <w:rPr>
                <w:b/>
                <w:bCs/>
                <w:color w:val="auto"/>
                <w:kern w:val="0"/>
                <w:sz w:val="21"/>
                <w:szCs w:val="21"/>
              </w:rPr>
            </w:pPr>
            <w:r>
              <w:rPr>
                <w:b/>
                <w:bCs/>
                <w:color w:val="auto"/>
                <w:kern w:val="0"/>
                <w:sz w:val="21"/>
                <w:szCs w:val="21"/>
              </w:rPr>
              <w:t>D5</w:t>
            </w:r>
          </w:p>
        </w:tc>
      </w:tr>
      <w:tr w14:paraId="6212B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90" w:type="pct"/>
            <w:vMerge w:val="continue"/>
            <w:vAlign w:val="center"/>
          </w:tcPr>
          <w:p w14:paraId="02E63C05">
            <w:pPr>
              <w:widowControl/>
              <w:spacing w:line="240" w:lineRule="auto"/>
              <w:ind w:firstLine="0" w:firstLineChars="0"/>
              <w:jc w:val="center"/>
              <w:rPr>
                <w:b/>
                <w:bCs/>
                <w:color w:val="auto"/>
                <w:kern w:val="0"/>
                <w:sz w:val="21"/>
                <w:szCs w:val="21"/>
              </w:rPr>
            </w:pPr>
          </w:p>
        </w:tc>
        <w:tc>
          <w:tcPr>
            <w:tcW w:w="491" w:type="pct"/>
            <w:vAlign w:val="center"/>
          </w:tcPr>
          <w:p w14:paraId="16A9C505">
            <w:pPr>
              <w:widowControl/>
              <w:spacing w:line="240" w:lineRule="auto"/>
              <w:ind w:firstLine="0" w:firstLineChars="0"/>
              <w:jc w:val="center"/>
              <w:rPr>
                <w:b/>
                <w:bCs/>
                <w:color w:val="auto"/>
                <w:kern w:val="0"/>
                <w:sz w:val="21"/>
                <w:szCs w:val="21"/>
              </w:rPr>
            </w:pPr>
            <w:r>
              <w:rPr>
                <w:b/>
                <w:bCs/>
                <w:color w:val="auto"/>
                <w:kern w:val="0"/>
                <w:sz w:val="21"/>
                <w:szCs w:val="21"/>
              </w:rPr>
              <w:t>监测值</w:t>
            </w:r>
          </w:p>
        </w:tc>
        <w:tc>
          <w:tcPr>
            <w:tcW w:w="397" w:type="pct"/>
            <w:vAlign w:val="center"/>
          </w:tcPr>
          <w:p w14:paraId="067455E6">
            <w:pPr>
              <w:widowControl/>
              <w:spacing w:line="240" w:lineRule="auto"/>
              <w:ind w:firstLine="0" w:firstLineChars="0"/>
              <w:jc w:val="center"/>
              <w:rPr>
                <w:b/>
                <w:bCs/>
                <w:color w:val="auto"/>
                <w:kern w:val="0"/>
                <w:sz w:val="21"/>
                <w:szCs w:val="21"/>
              </w:rPr>
            </w:pPr>
            <w:r>
              <w:rPr>
                <w:b/>
                <w:bCs/>
                <w:color w:val="auto"/>
                <w:kern w:val="0"/>
                <w:sz w:val="21"/>
                <w:szCs w:val="21"/>
              </w:rPr>
              <w:t>水质分类</w:t>
            </w:r>
          </w:p>
        </w:tc>
        <w:tc>
          <w:tcPr>
            <w:tcW w:w="405" w:type="pct"/>
            <w:vAlign w:val="center"/>
          </w:tcPr>
          <w:p w14:paraId="247CF501">
            <w:pPr>
              <w:widowControl/>
              <w:spacing w:line="240" w:lineRule="auto"/>
              <w:ind w:firstLine="0" w:firstLineChars="0"/>
              <w:jc w:val="center"/>
              <w:rPr>
                <w:b/>
                <w:bCs/>
                <w:color w:val="auto"/>
                <w:kern w:val="0"/>
                <w:sz w:val="21"/>
                <w:szCs w:val="21"/>
              </w:rPr>
            </w:pPr>
            <w:r>
              <w:rPr>
                <w:b/>
                <w:bCs/>
                <w:color w:val="auto"/>
                <w:kern w:val="0"/>
                <w:sz w:val="21"/>
                <w:szCs w:val="21"/>
              </w:rPr>
              <w:t>监测值</w:t>
            </w:r>
          </w:p>
        </w:tc>
        <w:tc>
          <w:tcPr>
            <w:tcW w:w="380" w:type="pct"/>
            <w:vAlign w:val="center"/>
          </w:tcPr>
          <w:p w14:paraId="2BB6614F">
            <w:pPr>
              <w:widowControl/>
              <w:spacing w:line="240" w:lineRule="auto"/>
              <w:ind w:firstLine="0" w:firstLineChars="0"/>
              <w:jc w:val="center"/>
              <w:rPr>
                <w:b/>
                <w:bCs/>
                <w:color w:val="auto"/>
                <w:kern w:val="0"/>
                <w:sz w:val="21"/>
                <w:szCs w:val="21"/>
              </w:rPr>
            </w:pPr>
            <w:r>
              <w:rPr>
                <w:b/>
                <w:bCs/>
                <w:color w:val="auto"/>
                <w:kern w:val="0"/>
                <w:sz w:val="21"/>
                <w:szCs w:val="21"/>
              </w:rPr>
              <w:t>水质分类</w:t>
            </w:r>
          </w:p>
        </w:tc>
        <w:tc>
          <w:tcPr>
            <w:tcW w:w="385" w:type="pct"/>
            <w:vAlign w:val="center"/>
          </w:tcPr>
          <w:p w14:paraId="2D363C22">
            <w:pPr>
              <w:widowControl/>
              <w:spacing w:line="240" w:lineRule="auto"/>
              <w:ind w:firstLine="0" w:firstLineChars="0"/>
              <w:jc w:val="center"/>
              <w:rPr>
                <w:b/>
                <w:bCs/>
                <w:color w:val="auto"/>
                <w:kern w:val="0"/>
                <w:sz w:val="21"/>
                <w:szCs w:val="21"/>
              </w:rPr>
            </w:pPr>
            <w:r>
              <w:rPr>
                <w:b/>
                <w:bCs/>
                <w:color w:val="auto"/>
                <w:kern w:val="0"/>
                <w:sz w:val="21"/>
                <w:szCs w:val="21"/>
              </w:rPr>
              <w:t>监测值</w:t>
            </w:r>
          </w:p>
        </w:tc>
        <w:tc>
          <w:tcPr>
            <w:tcW w:w="452" w:type="pct"/>
            <w:vAlign w:val="center"/>
          </w:tcPr>
          <w:p w14:paraId="42BD8DF5">
            <w:pPr>
              <w:widowControl/>
              <w:spacing w:line="240" w:lineRule="auto"/>
              <w:ind w:firstLine="0" w:firstLineChars="0"/>
              <w:jc w:val="center"/>
              <w:rPr>
                <w:b/>
                <w:bCs/>
                <w:color w:val="auto"/>
                <w:kern w:val="0"/>
                <w:sz w:val="21"/>
                <w:szCs w:val="21"/>
              </w:rPr>
            </w:pPr>
            <w:r>
              <w:rPr>
                <w:b/>
                <w:bCs/>
                <w:color w:val="auto"/>
                <w:kern w:val="0"/>
                <w:sz w:val="21"/>
                <w:szCs w:val="21"/>
              </w:rPr>
              <w:t>水质分类</w:t>
            </w:r>
          </w:p>
        </w:tc>
        <w:tc>
          <w:tcPr>
            <w:tcW w:w="409" w:type="pct"/>
            <w:vAlign w:val="center"/>
          </w:tcPr>
          <w:p w14:paraId="796A07B3">
            <w:pPr>
              <w:widowControl/>
              <w:spacing w:line="240" w:lineRule="auto"/>
              <w:ind w:firstLine="0" w:firstLineChars="0"/>
              <w:jc w:val="center"/>
              <w:rPr>
                <w:b/>
                <w:bCs/>
                <w:color w:val="auto"/>
                <w:kern w:val="0"/>
                <w:sz w:val="21"/>
                <w:szCs w:val="21"/>
              </w:rPr>
            </w:pPr>
            <w:r>
              <w:rPr>
                <w:b/>
                <w:bCs/>
                <w:color w:val="auto"/>
                <w:kern w:val="0"/>
                <w:sz w:val="21"/>
                <w:szCs w:val="21"/>
              </w:rPr>
              <w:t>监测值</w:t>
            </w:r>
          </w:p>
        </w:tc>
        <w:tc>
          <w:tcPr>
            <w:tcW w:w="390" w:type="pct"/>
            <w:vAlign w:val="center"/>
          </w:tcPr>
          <w:p w14:paraId="4076117B">
            <w:pPr>
              <w:widowControl/>
              <w:spacing w:line="240" w:lineRule="auto"/>
              <w:ind w:firstLine="0" w:firstLineChars="0"/>
              <w:jc w:val="center"/>
              <w:rPr>
                <w:b/>
                <w:bCs/>
                <w:color w:val="auto"/>
                <w:kern w:val="0"/>
                <w:sz w:val="21"/>
                <w:szCs w:val="21"/>
              </w:rPr>
            </w:pPr>
            <w:r>
              <w:rPr>
                <w:b/>
                <w:bCs/>
                <w:color w:val="auto"/>
                <w:kern w:val="0"/>
                <w:sz w:val="21"/>
                <w:szCs w:val="21"/>
              </w:rPr>
              <w:t>水质分类</w:t>
            </w:r>
          </w:p>
        </w:tc>
        <w:tc>
          <w:tcPr>
            <w:tcW w:w="388" w:type="pct"/>
            <w:vAlign w:val="center"/>
          </w:tcPr>
          <w:p w14:paraId="0AA7D329">
            <w:pPr>
              <w:widowControl/>
              <w:spacing w:line="240" w:lineRule="auto"/>
              <w:ind w:firstLine="0" w:firstLineChars="0"/>
              <w:jc w:val="center"/>
              <w:rPr>
                <w:b/>
                <w:bCs/>
                <w:color w:val="auto"/>
                <w:kern w:val="0"/>
                <w:sz w:val="21"/>
                <w:szCs w:val="21"/>
              </w:rPr>
            </w:pPr>
            <w:r>
              <w:rPr>
                <w:b/>
                <w:bCs/>
                <w:color w:val="auto"/>
                <w:kern w:val="0"/>
                <w:sz w:val="21"/>
                <w:szCs w:val="21"/>
              </w:rPr>
              <w:t>监测值</w:t>
            </w:r>
          </w:p>
        </w:tc>
        <w:tc>
          <w:tcPr>
            <w:tcW w:w="413" w:type="pct"/>
            <w:vAlign w:val="center"/>
          </w:tcPr>
          <w:p w14:paraId="27339B61">
            <w:pPr>
              <w:widowControl/>
              <w:spacing w:line="240" w:lineRule="auto"/>
              <w:ind w:firstLine="0" w:firstLineChars="0"/>
              <w:jc w:val="center"/>
              <w:rPr>
                <w:b/>
                <w:bCs/>
                <w:color w:val="auto"/>
                <w:kern w:val="0"/>
                <w:sz w:val="21"/>
                <w:szCs w:val="21"/>
              </w:rPr>
            </w:pPr>
            <w:r>
              <w:rPr>
                <w:b/>
                <w:bCs/>
                <w:color w:val="auto"/>
                <w:kern w:val="0"/>
                <w:sz w:val="21"/>
                <w:szCs w:val="21"/>
              </w:rPr>
              <w:t>水质分类</w:t>
            </w:r>
          </w:p>
        </w:tc>
      </w:tr>
      <w:tr w14:paraId="69866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1C5A368D">
            <w:pPr>
              <w:widowControl/>
              <w:spacing w:line="240" w:lineRule="auto"/>
              <w:ind w:firstLine="0" w:firstLineChars="0"/>
              <w:jc w:val="center"/>
              <w:rPr>
                <w:color w:val="auto"/>
                <w:kern w:val="0"/>
                <w:sz w:val="21"/>
                <w:szCs w:val="21"/>
              </w:rPr>
            </w:pPr>
            <w:r>
              <w:rPr>
                <w:color w:val="auto"/>
                <w:kern w:val="0"/>
                <w:sz w:val="21"/>
                <w:szCs w:val="21"/>
              </w:rPr>
              <w:t>pH</w:t>
            </w:r>
          </w:p>
        </w:tc>
        <w:tc>
          <w:tcPr>
            <w:tcW w:w="491" w:type="pct"/>
            <w:vAlign w:val="center"/>
          </w:tcPr>
          <w:p w14:paraId="3C5893B2">
            <w:pPr>
              <w:widowControl/>
              <w:spacing w:line="240" w:lineRule="auto"/>
              <w:ind w:firstLine="0" w:firstLineChars="0"/>
              <w:jc w:val="center"/>
              <w:rPr>
                <w:color w:val="auto"/>
                <w:kern w:val="0"/>
                <w:sz w:val="21"/>
                <w:szCs w:val="21"/>
              </w:rPr>
            </w:pPr>
            <w:r>
              <w:rPr>
                <w:color w:val="auto"/>
                <w:kern w:val="0"/>
                <w:sz w:val="21"/>
                <w:szCs w:val="21"/>
              </w:rPr>
              <w:t>8.6</w:t>
            </w:r>
          </w:p>
        </w:tc>
        <w:tc>
          <w:tcPr>
            <w:tcW w:w="397" w:type="pct"/>
            <w:vAlign w:val="center"/>
          </w:tcPr>
          <w:p w14:paraId="66DD2EE3">
            <w:pPr>
              <w:widowControl/>
              <w:spacing w:line="240" w:lineRule="auto"/>
              <w:ind w:firstLine="0" w:firstLineChars="0"/>
              <w:jc w:val="center"/>
              <w:rPr>
                <w:color w:val="auto"/>
                <w:kern w:val="0"/>
                <w:sz w:val="21"/>
                <w:szCs w:val="21"/>
              </w:rPr>
            </w:pPr>
            <w:r>
              <w:rPr>
                <w:color w:val="auto"/>
                <w:kern w:val="0"/>
                <w:sz w:val="21"/>
                <w:szCs w:val="21"/>
              </w:rPr>
              <w:t>Ⅳ</w:t>
            </w:r>
          </w:p>
        </w:tc>
        <w:tc>
          <w:tcPr>
            <w:tcW w:w="405" w:type="pct"/>
            <w:vAlign w:val="center"/>
          </w:tcPr>
          <w:p w14:paraId="03526A0E">
            <w:pPr>
              <w:widowControl/>
              <w:spacing w:line="240" w:lineRule="auto"/>
              <w:ind w:firstLine="0" w:firstLineChars="0"/>
              <w:jc w:val="center"/>
              <w:rPr>
                <w:color w:val="auto"/>
                <w:kern w:val="0"/>
                <w:sz w:val="21"/>
                <w:szCs w:val="21"/>
              </w:rPr>
            </w:pPr>
            <w:r>
              <w:rPr>
                <w:color w:val="auto"/>
                <w:kern w:val="0"/>
                <w:sz w:val="21"/>
                <w:szCs w:val="21"/>
              </w:rPr>
              <w:t>8.0</w:t>
            </w:r>
          </w:p>
        </w:tc>
        <w:tc>
          <w:tcPr>
            <w:tcW w:w="380" w:type="pct"/>
            <w:vAlign w:val="center"/>
          </w:tcPr>
          <w:p w14:paraId="2CB8F178">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73D0799C">
            <w:pPr>
              <w:widowControl/>
              <w:spacing w:line="240" w:lineRule="auto"/>
              <w:ind w:firstLine="0" w:firstLineChars="0"/>
              <w:jc w:val="center"/>
              <w:rPr>
                <w:color w:val="auto"/>
                <w:kern w:val="0"/>
                <w:sz w:val="21"/>
                <w:szCs w:val="21"/>
              </w:rPr>
            </w:pPr>
            <w:r>
              <w:rPr>
                <w:color w:val="auto"/>
                <w:kern w:val="0"/>
                <w:sz w:val="21"/>
                <w:szCs w:val="21"/>
              </w:rPr>
              <w:t>8.1</w:t>
            </w:r>
          </w:p>
        </w:tc>
        <w:tc>
          <w:tcPr>
            <w:tcW w:w="452" w:type="pct"/>
            <w:vAlign w:val="center"/>
          </w:tcPr>
          <w:p w14:paraId="5CF87E96">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10A05A32">
            <w:pPr>
              <w:widowControl/>
              <w:spacing w:line="240" w:lineRule="auto"/>
              <w:ind w:firstLine="0" w:firstLineChars="0"/>
              <w:jc w:val="center"/>
              <w:rPr>
                <w:color w:val="auto"/>
                <w:kern w:val="0"/>
                <w:sz w:val="21"/>
                <w:szCs w:val="21"/>
              </w:rPr>
            </w:pPr>
            <w:r>
              <w:rPr>
                <w:color w:val="auto"/>
                <w:kern w:val="0"/>
                <w:sz w:val="21"/>
                <w:szCs w:val="21"/>
              </w:rPr>
              <w:t>8.6</w:t>
            </w:r>
          </w:p>
        </w:tc>
        <w:tc>
          <w:tcPr>
            <w:tcW w:w="390" w:type="pct"/>
            <w:vAlign w:val="center"/>
          </w:tcPr>
          <w:p w14:paraId="2E9E0EA6">
            <w:pPr>
              <w:widowControl/>
              <w:spacing w:line="240" w:lineRule="auto"/>
              <w:ind w:firstLine="0" w:firstLineChars="0"/>
              <w:jc w:val="center"/>
              <w:rPr>
                <w:color w:val="auto"/>
                <w:kern w:val="0"/>
                <w:sz w:val="21"/>
                <w:szCs w:val="21"/>
              </w:rPr>
            </w:pPr>
            <w:r>
              <w:rPr>
                <w:color w:val="auto"/>
                <w:kern w:val="0"/>
                <w:sz w:val="21"/>
                <w:szCs w:val="21"/>
              </w:rPr>
              <w:t>Ⅳ</w:t>
            </w:r>
          </w:p>
        </w:tc>
        <w:tc>
          <w:tcPr>
            <w:tcW w:w="388" w:type="pct"/>
            <w:vAlign w:val="center"/>
          </w:tcPr>
          <w:p w14:paraId="0A9A3DCB">
            <w:pPr>
              <w:adjustRightInd/>
              <w:snapToGrid/>
              <w:spacing w:line="240" w:lineRule="auto"/>
              <w:ind w:firstLine="0" w:firstLineChars="0"/>
              <w:jc w:val="center"/>
              <w:rPr>
                <w:color w:val="auto"/>
                <w:kern w:val="0"/>
                <w:sz w:val="21"/>
                <w:szCs w:val="21"/>
              </w:rPr>
            </w:pPr>
            <w:r>
              <w:rPr>
                <w:color w:val="auto"/>
                <w:sz w:val="21"/>
                <w:szCs w:val="21"/>
              </w:rPr>
              <w:t>7.9</w:t>
            </w:r>
          </w:p>
        </w:tc>
        <w:tc>
          <w:tcPr>
            <w:tcW w:w="413" w:type="pct"/>
            <w:vAlign w:val="center"/>
          </w:tcPr>
          <w:p w14:paraId="319121FA">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31888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3F9231DB">
            <w:pPr>
              <w:widowControl/>
              <w:spacing w:line="240" w:lineRule="auto"/>
              <w:ind w:firstLine="0" w:firstLineChars="0"/>
              <w:jc w:val="center"/>
              <w:rPr>
                <w:color w:val="auto"/>
                <w:kern w:val="0"/>
                <w:sz w:val="21"/>
                <w:szCs w:val="21"/>
              </w:rPr>
            </w:pPr>
            <w:r>
              <w:rPr>
                <w:color w:val="auto"/>
                <w:kern w:val="0"/>
                <w:sz w:val="21"/>
                <w:szCs w:val="21"/>
              </w:rPr>
              <w:t>氨氮</w:t>
            </w:r>
          </w:p>
        </w:tc>
        <w:tc>
          <w:tcPr>
            <w:tcW w:w="491" w:type="pct"/>
            <w:vAlign w:val="center"/>
          </w:tcPr>
          <w:p w14:paraId="0828B42D">
            <w:pPr>
              <w:widowControl/>
              <w:spacing w:line="240" w:lineRule="auto"/>
              <w:ind w:firstLine="0" w:firstLineChars="0"/>
              <w:jc w:val="center"/>
              <w:rPr>
                <w:color w:val="auto"/>
                <w:kern w:val="0"/>
                <w:sz w:val="21"/>
                <w:szCs w:val="21"/>
              </w:rPr>
            </w:pPr>
            <w:r>
              <w:rPr>
                <w:color w:val="auto"/>
                <w:kern w:val="0"/>
                <w:sz w:val="21"/>
                <w:szCs w:val="21"/>
              </w:rPr>
              <w:t>0.034</w:t>
            </w:r>
          </w:p>
        </w:tc>
        <w:tc>
          <w:tcPr>
            <w:tcW w:w="397" w:type="pct"/>
            <w:vAlign w:val="center"/>
          </w:tcPr>
          <w:p w14:paraId="5CF63F97">
            <w:pPr>
              <w:widowControl/>
              <w:spacing w:line="240" w:lineRule="auto"/>
              <w:ind w:firstLine="0" w:firstLineChars="0"/>
              <w:jc w:val="center"/>
              <w:rPr>
                <w:color w:val="auto"/>
                <w:kern w:val="0"/>
                <w:sz w:val="21"/>
                <w:szCs w:val="21"/>
              </w:rPr>
            </w:pPr>
            <w:r>
              <w:rPr>
                <w:color w:val="auto"/>
                <w:kern w:val="0"/>
                <w:sz w:val="21"/>
                <w:szCs w:val="21"/>
              </w:rPr>
              <w:t>Ⅱ</w:t>
            </w:r>
          </w:p>
        </w:tc>
        <w:tc>
          <w:tcPr>
            <w:tcW w:w="405" w:type="pct"/>
            <w:vAlign w:val="center"/>
          </w:tcPr>
          <w:p w14:paraId="2FD16EB5">
            <w:pPr>
              <w:widowControl/>
              <w:spacing w:line="240" w:lineRule="auto"/>
              <w:ind w:firstLine="0" w:firstLineChars="0"/>
              <w:jc w:val="center"/>
              <w:rPr>
                <w:color w:val="auto"/>
                <w:kern w:val="0"/>
                <w:sz w:val="21"/>
                <w:szCs w:val="21"/>
              </w:rPr>
            </w:pPr>
            <w:r>
              <w:rPr>
                <w:color w:val="auto"/>
                <w:kern w:val="0"/>
                <w:sz w:val="21"/>
                <w:szCs w:val="21"/>
              </w:rPr>
              <w:t>0.375</w:t>
            </w:r>
          </w:p>
        </w:tc>
        <w:tc>
          <w:tcPr>
            <w:tcW w:w="380" w:type="pct"/>
            <w:vAlign w:val="center"/>
          </w:tcPr>
          <w:p w14:paraId="149ABA78">
            <w:pPr>
              <w:widowControl/>
              <w:spacing w:line="240" w:lineRule="auto"/>
              <w:ind w:firstLine="0" w:firstLineChars="0"/>
              <w:jc w:val="center"/>
              <w:rPr>
                <w:color w:val="auto"/>
                <w:kern w:val="0"/>
                <w:sz w:val="21"/>
                <w:szCs w:val="21"/>
              </w:rPr>
            </w:pPr>
            <w:r>
              <w:rPr>
                <w:color w:val="auto"/>
                <w:kern w:val="0"/>
                <w:sz w:val="21"/>
                <w:szCs w:val="21"/>
              </w:rPr>
              <w:t>Ⅲ</w:t>
            </w:r>
          </w:p>
        </w:tc>
        <w:tc>
          <w:tcPr>
            <w:tcW w:w="385" w:type="pct"/>
            <w:vAlign w:val="center"/>
          </w:tcPr>
          <w:p w14:paraId="62D1D133">
            <w:pPr>
              <w:widowControl/>
              <w:spacing w:line="240" w:lineRule="auto"/>
              <w:ind w:firstLine="0" w:firstLineChars="0"/>
              <w:jc w:val="center"/>
              <w:rPr>
                <w:color w:val="auto"/>
                <w:kern w:val="0"/>
                <w:sz w:val="21"/>
                <w:szCs w:val="21"/>
              </w:rPr>
            </w:pPr>
            <w:r>
              <w:rPr>
                <w:color w:val="auto"/>
                <w:kern w:val="0"/>
                <w:sz w:val="21"/>
                <w:szCs w:val="21"/>
              </w:rPr>
              <w:t>0.089</w:t>
            </w:r>
          </w:p>
        </w:tc>
        <w:tc>
          <w:tcPr>
            <w:tcW w:w="452" w:type="pct"/>
            <w:vAlign w:val="center"/>
          </w:tcPr>
          <w:p w14:paraId="10FE6088">
            <w:pPr>
              <w:widowControl/>
              <w:spacing w:line="240" w:lineRule="auto"/>
              <w:ind w:firstLine="0" w:firstLineChars="0"/>
              <w:jc w:val="center"/>
              <w:rPr>
                <w:color w:val="auto"/>
                <w:kern w:val="0"/>
                <w:sz w:val="21"/>
                <w:szCs w:val="21"/>
              </w:rPr>
            </w:pPr>
            <w:r>
              <w:rPr>
                <w:color w:val="auto"/>
                <w:kern w:val="0"/>
                <w:sz w:val="21"/>
                <w:szCs w:val="21"/>
              </w:rPr>
              <w:t>Ⅱ</w:t>
            </w:r>
          </w:p>
        </w:tc>
        <w:tc>
          <w:tcPr>
            <w:tcW w:w="409" w:type="pct"/>
            <w:vAlign w:val="center"/>
          </w:tcPr>
          <w:p w14:paraId="7DC4F781">
            <w:pPr>
              <w:widowControl/>
              <w:spacing w:line="240" w:lineRule="auto"/>
              <w:ind w:firstLine="0" w:firstLineChars="0"/>
              <w:jc w:val="center"/>
              <w:rPr>
                <w:color w:val="auto"/>
                <w:kern w:val="0"/>
                <w:sz w:val="21"/>
                <w:szCs w:val="21"/>
              </w:rPr>
            </w:pPr>
            <w:r>
              <w:rPr>
                <w:color w:val="auto"/>
                <w:kern w:val="0"/>
                <w:sz w:val="21"/>
                <w:szCs w:val="21"/>
              </w:rPr>
              <w:t>0.479</w:t>
            </w:r>
          </w:p>
        </w:tc>
        <w:tc>
          <w:tcPr>
            <w:tcW w:w="390" w:type="pct"/>
            <w:vAlign w:val="center"/>
          </w:tcPr>
          <w:p w14:paraId="177B3FDB">
            <w:pPr>
              <w:widowControl/>
              <w:spacing w:line="240" w:lineRule="auto"/>
              <w:ind w:firstLine="0" w:firstLineChars="0"/>
              <w:jc w:val="center"/>
              <w:rPr>
                <w:color w:val="auto"/>
                <w:kern w:val="0"/>
                <w:sz w:val="21"/>
                <w:szCs w:val="21"/>
              </w:rPr>
            </w:pPr>
            <w:r>
              <w:rPr>
                <w:color w:val="auto"/>
                <w:kern w:val="0"/>
                <w:sz w:val="21"/>
                <w:szCs w:val="21"/>
              </w:rPr>
              <w:t>Ⅲ</w:t>
            </w:r>
          </w:p>
        </w:tc>
        <w:tc>
          <w:tcPr>
            <w:tcW w:w="388" w:type="pct"/>
            <w:vAlign w:val="center"/>
          </w:tcPr>
          <w:p w14:paraId="5A91DA14">
            <w:pPr>
              <w:widowControl/>
              <w:adjustRightInd/>
              <w:snapToGrid/>
              <w:spacing w:line="240" w:lineRule="auto"/>
              <w:ind w:firstLine="0" w:firstLineChars="0"/>
              <w:jc w:val="center"/>
              <w:rPr>
                <w:color w:val="auto"/>
                <w:kern w:val="0"/>
                <w:sz w:val="21"/>
                <w:szCs w:val="21"/>
              </w:rPr>
            </w:pPr>
            <w:r>
              <w:rPr>
                <w:color w:val="auto"/>
                <w:sz w:val="21"/>
                <w:szCs w:val="21"/>
              </w:rPr>
              <w:t>0.154</w:t>
            </w:r>
          </w:p>
        </w:tc>
        <w:tc>
          <w:tcPr>
            <w:tcW w:w="413" w:type="pct"/>
            <w:vAlign w:val="center"/>
          </w:tcPr>
          <w:p w14:paraId="459CD24C">
            <w:pPr>
              <w:adjustRightInd/>
              <w:snapToGrid/>
              <w:spacing w:line="240" w:lineRule="auto"/>
              <w:ind w:firstLine="0" w:firstLineChars="0"/>
              <w:jc w:val="center"/>
              <w:rPr>
                <w:bCs/>
                <w:color w:val="auto"/>
                <w:kern w:val="0"/>
                <w:sz w:val="21"/>
                <w:szCs w:val="21"/>
              </w:rPr>
            </w:pPr>
            <w:r>
              <w:rPr>
                <w:bCs/>
                <w:color w:val="auto"/>
                <w:sz w:val="21"/>
                <w:szCs w:val="21"/>
              </w:rPr>
              <w:t>Ⅲ</w:t>
            </w:r>
          </w:p>
        </w:tc>
      </w:tr>
      <w:tr w14:paraId="64760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27A03E1E">
            <w:pPr>
              <w:widowControl/>
              <w:spacing w:line="240" w:lineRule="auto"/>
              <w:ind w:firstLine="0" w:firstLineChars="0"/>
              <w:jc w:val="center"/>
              <w:rPr>
                <w:color w:val="auto"/>
                <w:kern w:val="0"/>
                <w:sz w:val="21"/>
                <w:szCs w:val="21"/>
              </w:rPr>
            </w:pPr>
            <w:r>
              <w:rPr>
                <w:color w:val="auto"/>
                <w:kern w:val="0"/>
                <w:sz w:val="21"/>
                <w:szCs w:val="21"/>
              </w:rPr>
              <w:t>高锰酸盐指数</w:t>
            </w:r>
          </w:p>
        </w:tc>
        <w:tc>
          <w:tcPr>
            <w:tcW w:w="491" w:type="pct"/>
            <w:vAlign w:val="center"/>
          </w:tcPr>
          <w:p w14:paraId="34034676">
            <w:pPr>
              <w:widowControl/>
              <w:spacing w:line="240" w:lineRule="auto"/>
              <w:ind w:firstLine="0" w:firstLineChars="0"/>
              <w:jc w:val="center"/>
              <w:rPr>
                <w:color w:val="auto"/>
                <w:kern w:val="0"/>
                <w:sz w:val="21"/>
                <w:szCs w:val="21"/>
              </w:rPr>
            </w:pPr>
            <w:r>
              <w:rPr>
                <w:color w:val="auto"/>
                <w:kern w:val="0"/>
                <w:sz w:val="21"/>
                <w:szCs w:val="21"/>
              </w:rPr>
              <w:t>4.1</w:t>
            </w:r>
          </w:p>
        </w:tc>
        <w:tc>
          <w:tcPr>
            <w:tcW w:w="397" w:type="pct"/>
            <w:vAlign w:val="center"/>
          </w:tcPr>
          <w:p w14:paraId="60E19C81">
            <w:pPr>
              <w:widowControl/>
              <w:spacing w:line="240" w:lineRule="auto"/>
              <w:ind w:firstLine="0" w:firstLineChars="0"/>
              <w:jc w:val="center"/>
              <w:rPr>
                <w:color w:val="auto"/>
                <w:kern w:val="0"/>
                <w:sz w:val="21"/>
                <w:szCs w:val="21"/>
              </w:rPr>
            </w:pPr>
            <w:r>
              <w:rPr>
                <w:color w:val="auto"/>
                <w:kern w:val="0"/>
                <w:sz w:val="21"/>
                <w:szCs w:val="21"/>
              </w:rPr>
              <w:t>Ⅳ</w:t>
            </w:r>
          </w:p>
        </w:tc>
        <w:tc>
          <w:tcPr>
            <w:tcW w:w="405" w:type="pct"/>
            <w:vAlign w:val="center"/>
          </w:tcPr>
          <w:p w14:paraId="5BD962BD">
            <w:pPr>
              <w:widowControl/>
              <w:spacing w:line="240" w:lineRule="auto"/>
              <w:ind w:firstLine="0" w:firstLineChars="0"/>
              <w:jc w:val="center"/>
              <w:rPr>
                <w:color w:val="auto"/>
                <w:kern w:val="0"/>
                <w:sz w:val="21"/>
                <w:szCs w:val="21"/>
              </w:rPr>
            </w:pPr>
            <w:r>
              <w:rPr>
                <w:color w:val="auto"/>
                <w:kern w:val="0"/>
                <w:sz w:val="21"/>
                <w:szCs w:val="21"/>
              </w:rPr>
              <w:t>2.7</w:t>
            </w:r>
          </w:p>
        </w:tc>
        <w:tc>
          <w:tcPr>
            <w:tcW w:w="380" w:type="pct"/>
            <w:vAlign w:val="center"/>
          </w:tcPr>
          <w:p w14:paraId="4C52F9E3">
            <w:pPr>
              <w:widowControl/>
              <w:spacing w:line="240" w:lineRule="auto"/>
              <w:ind w:firstLine="0" w:firstLineChars="0"/>
              <w:jc w:val="center"/>
              <w:rPr>
                <w:color w:val="auto"/>
                <w:kern w:val="0"/>
                <w:sz w:val="21"/>
                <w:szCs w:val="21"/>
              </w:rPr>
            </w:pPr>
            <w:r>
              <w:rPr>
                <w:color w:val="auto"/>
                <w:kern w:val="0"/>
                <w:sz w:val="21"/>
                <w:szCs w:val="21"/>
              </w:rPr>
              <w:t>Ⅲ</w:t>
            </w:r>
          </w:p>
        </w:tc>
        <w:tc>
          <w:tcPr>
            <w:tcW w:w="385" w:type="pct"/>
            <w:vAlign w:val="center"/>
          </w:tcPr>
          <w:p w14:paraId="6CB864E6">
            <w:pPr>
              <w:widowControl/>
              <w:spacing w:line="240" w:lineRule="auto"/>
              <w:ind w:firstLine="0" w:firstLineChars="0"/>
              <w:jc w:val="center"/>
              <w:rPr>
                <w:color w:val="auto"/>
                <w:kern w:val="0"/>
                <w:sz w:val="21"/>
                <w:szCs w:val="21"/>
              </w:rPr>
            </w:pPr>
            <w:r>
              <w:rPr>
                <w:color w:val="auto"/>
                <w:kern w:val="0"/>
                <w:sz w:val="21"/>
                <w:szCs w:val="21"/>
              </w:rPr>
              <w:t>2.0</w:t>
            </w:r>
          </w:p>
        </w:tc>
        <w:tc>
          <w:tcPr>
            <w:tcW w:w="452" w:type="pct"/>
            <w:vAlign w:val="center"/>
          </w:tcPr>
          <w:p w14:paraId="358CD61F">
            <w:pPr>
              <w:widowControl/>
              <w:spacing w:line="240" w:lineRule="auto"/>
              <w:ind w:firstLine="0" w:firstLineChars="0"/>
              <w:jc w:val="center"/>
              <w:rPr>
                <w:color w:val="auto"/>
                <w:kern w:val="0"/>
                <w:sz w:val="21"/>
                <w:szCs w:val="21"/>
              </w:rPr>
            </w:pPr>
            <w:r>
              <w:rPr>
                <w:color w:val="auto"/>
                <w:kern w:val="0"/>
                <w:sz w:val="21"/>
                <w:szCs w:val="21"/>
              </w:rPr>
              <w:t>Ⅲ</w:t>
            </w:r>
          </w:p>
        </w:tc>
        <w:tc>
          <w:tcPr>
            <w:tcW w:w="409" w:type="pct"/>
            <w:vAlign w:val="center"/>
          </w:tcPr>
          <w:p w14:paraId="4F0F3230">
            <w:pPr>
              <w:widowControl/>
              <w:spacing w:line="240" w:lineRule="auto"/>
              <w:ind w:firstLine="0" w:firstLineChars="0"/>
              <w:jc w:val="center"/>
              <w:rPr>
                <w:color w:val="auto"/>
                <w:kern w:val="0"/>
                <w:sz w:val="21"/>
                <w:szCs w:val="21"/>
              </w:rPr>
            </w:pPr>
            <w:r>
              <w:rPr>
                <w:color w:val="auto"/>
                <w:kern w:val="0"/>
                <w:sz w:val="21"/>
                <w:szCs w:val="21"/>
              </w:rPr>
              <w:t>7.1</w:t>
            </w:r>
          </w:p>
        </w:tc>
        <w:tc>
          <w:tcPr>
            <w:tcW w:w="390" w:type="pct"/>
            <w:vAlign w:val="center"/>
          </w:tcPr>
          <w:p w14:paraId="6D68BE32">
            <w:pPr>
              <w:widowControl/>
              <w:spacing w:line="240" w:lineRule="auto"/>
              <w:ind w:firstLine="0" w:firstLineChars="0"/>
              <w:jc w:val="center"/>
              <w:rPr>
                <w:color w:val="auto"/>
                <w:kern w:val="0"/>
                <w:sz w:val="21"/>
                <w:szCs w:val="21"/>
              </w:rPr>
            </w:pPr>
            <w:r>
              <w:rPr>
                <w:color w:val="auto"/>
                <w:kern w:val="0"/>
                <w:sz w:val="21"/>
                <w:szCs w:val="21"/>
              </w:rPr>
              <w:t>Ⅳ</w:t>
            </w:r>
          </w:p>
        </w:tc>
        <w:tc>
          <w:tcPr>
            <w:tcW w:w="388" w:type="pct"/>
            <w:vAlign w:val="center"/>
          </w:tcPr>
          <w:p w14:paraId="0C89B98C">
            <w:pPr>
              <w:widowControl/>
              <w:spacing w:line="240" w:lineRule="auto"/>
              <w:ind w:firstLine="0" w:firstLineChars="0"/>
              <w:jc w:val="center"/>
              <w:rPr>
                <w:color w:val="auto"/>
                <w:kern w:val="0"/>
                <w:sz w:val="21"/>
                <w:szCs w:val="21"/>
              </w:rPr>
            </w:pPr>
            <w:r>
              <w:rPr>
                <w:b/>
                <w:color w:val="auto"/>
                <w:sz w:val="21"/>
                <w:szCs w:val="21"/>
              </w:rPr>
              <w:t>/</w:t>
            </w:r>
          </w:p>
        </w:tc>
        <w:tc>
          <w:tcPr>
            <w:tcW w:w="413" w:type="pct"/>
            <w:vAlign w:val="center"/>
          </w:tcPr>
          <w:p w14:paraId="0BA4031C">
            <w:pPr>
              <w:widowControl/>
              <w:spacing w:line="240" w:lineRule="auto"/>
              <w:ind w:firstLine="0" w:firstLineChars="0"/>
              <w:jc w:val="center"/>
              <w:rPr>
                <w:bCs/>
                <w:color w:val="auto"/>
                <w:kern w:val="0"/>
                <w:sz w:val="21"/>
                <w:szCs w:val="21"/>
              </w:rPr>
            </w:pPr>
            <w:r>
              <w:rPr>
                <w:bCs/>
                <w:color w:val="auto"/>
                <w:sz w:val="21"/>
                <w:szCs w:val="21"/>
              </w:rPr>
              <w:t>/</w:t>
            </w:r>
          </w:p>
        </w:tc>
      </w:tr>
      <w:tr w14:paraId="6C2CE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04D8662C">
            <w:pPr>
              <w:widowControl/>
              <w:spacing w:line="240" w:lineRule="auto"/>
              <w:ind w:firstLine="0" w:firstLineChars="0"/>
              <w:jc w:val="center"/>
              <w:rPr>
                <w:color w:val="auto"/>
                <w:kern w:val="0"/>
                <w:sz w:val="21"/>
                <w:szCs w:val="21"/>
              </w:rPr>
            </w:pPr>
            <w:r>
              <w:rPr>
                <w:color w:val="auto"/>
                <w:kern w:val="0"/>
                <w:sz w:val="21"/>
                <w:szCs w:val="21"/>
              </w:rPr>
              <w:t>氟化物</w:t>
            </w:r>
          </w:p>
        </w:tc>
        <w:tc>
          <w:tcPr>
            <w:tcW w:w="491" w:type="pct"/>
            <w:vAlign w:val="center"/>
          </w:tcPr>
          <w:p w14:paraId="7B3BCF4F">
            <w:pPr>
              <w:widowControl/>
              <w:spacing w:line="240" w:lineRule="auto"/>
              <w:ind w:firstLine="0" w:firstLineChars="0"/>
              <w:jc w:val="center"/>
              <w:rPr>
                <w:color w:val="auto"/>
                <w:kern w:val="0"/>
                <w:sz w:val="21"/>
                <w:szCs w:val="21"/>
              </w:rPr>
            </w:pPr>
            <w:r>
              <w:rPr>
                <w:color w:val="auto"/>
                <w:kern w:val="0"/>
                <w:sz w:val="21"/>
                <w:szCs w:val="21"/>
              </w:rPr>
              <w:t>0.648</w:t>
            </w:r>
          </w:p>
        </w:tc>
        <w:tc>
          <w:tcPr>
            <w:tcW w:w="397" w:type="pct"/>
            <w:vAlign w:val="center"/>
          </w:tcPr>
          <w:p w14:paraId="257C71E0">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5D36E724">
            <w:pPr>
              <w:widowControl/>
              <w:spacing w:line="240" w:lineRule="auto"/>
              <w:ind w:firstLine="0" w:firstLineChars="0"/>
              <w:jc w:val="center"/>
              <w:rPr>
                <w:color w:val="auto"/>
                <w:kern w:val="0"/>
                <w:sz w:val="21"/>
                <w:szCs w:val="21"/>
              </w:rPr>
            </w:pPr>
            <w:r>
              <w:rPr>
                <w:color w:val="auto"/>
                <w:kern w:val="0"/>
                <w:sz w:val="21"/>
                <w:szCs w:val="21"/>
              </w:rPr>
              <w:t>0.538</w:t>
            </w:r>
          </w:p>
        </w:tc>
        <w:tc>
          <w:tcPr>
            <w:tcW w:w="380" w:type="pct"/>
            <w:vAlign w:val="center"/>
          </w:tcPr>
          <w:p w14:paraId="1F8AD0AA">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3424A5D2">
            <w:pPr>
              <w:widowControl/>
              <w:spacing w:line="240" w:lineRule="auto"/>
              <w:ind w:firstLine="0" w:firstLineChars="0"/>
              <w:jc w:val="center"/>
              <w:rPr>
                <w:color w:val="auto"/>
                <w:kern w:val="0"/>
                <w:sz w:val="21"/>
                <w:szCs w:val="21"/>
              </w:rPr>
            </w:pPr>
            <w:r>
              <w:rPr>
                <w:color w:val="auto"/>
                <w:kern w:val="0"/>
                <w:sz w:val="21"/>
                <w:szCs w:val="21"/>
              </w:rPr>
              <w:t>0.907</w:t>
            </w:r>
          </w:p>
        </w:tc>
        <w:tc>
          <w:tcPr>
            <w:tcW w:w="452" w:type="pct"/>
            <w:vAlign w:val="center"/>
          </w:tcPr>
          <w:p w14:paraId="5EE1468D">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0A6810E8">
            <w:pPr>
              <w:widowControl/>
              <w:spacing w:line="240" w:lineRule="auto"/>
              <w:ind w:firstLine="0" w:firstLineChars="0"/>
              <w:jc w:val="center"/>
              <w:rPr>
                <w:color w:val="auto"/>
                <w:kern w:val="0"/>
                <w:sz w:val="21"/>
                <w:szCs w:val="21"/>
              </w:rPr>
            </w:pPr>
            <w:r>
              <w:rPr>
                <w:color w:val="auto"/>
                <w:kern w:val="0"/>
                <w:sz w:val="21"/>
                <w:szCs w:val="21"/>
              </w:rPr>
              <w:t>1.87</w:t>
            </w:r>
          </w:p>
        </w:tc>
        <w:tc>
          <w:tcPr>
            <w:tcW w:w="390" w:type="pct"/>
            <w:vAlign w:val="center"/>
          </w:tcPr>
          <w:p w14:paraId="3B02CF2D">
            <w:pPr>
              <w:widowControl/>
              <w:spacing w:line="240" w:lineRule="auto"/>
              <w:ind w:firstLine="0" w:firstLineChars="0"/>
              <w:jc w:val="center"/>
              <w:rPr>
                <w:color w:val="auto"/>
                <w:kern w:val="0"/>
                <w:sz w:val="21"/>
                <w:szCs w:val="21"/>
              </w:rPr>
            </w:pPr>
            <w:r>
              <w:rPr>
                <w:color w:val="auto"/>
                <w:kern w:val="0"/>
                <w:sz w:val="21"/>
                <w:szCs w:val="21"/>
              </w:rPr>
              <w:t>Ⅳ</w:t>
            </w:r>
          </w:p>
        </w:tc>
        <w:tc>
          <w:tcPr>
            <w:tcW w:w="388" w:type="pct"/>
            <w:vAlign w:val="center"/>
          </w:tcPr>
          <w:p w14:paraId="510DD9AB">
            <w:pPr>
              <w:widowControl/>
              <w:adjustRightInd/>
              <w:snapToGrid/>
              <w:spacing w:line="240" w:lineRule="auto"/>
              <w:ind w:firstLine="0" w:firstLineChars="0"/>
              <w:jc w:val="center"/>
              <w:rPr>
                <w:color w:val="auto"/>
                <w:kern w:val="0"/>
                <w:sz w:val="21"/>
                <w:szCs w:val="21"/>
              </w:rPr>
            </w:pPr>
            <w:r>
              <w:rPr>
                <w:color w:val="auto"/>
                <w:sz w:val="21"/>
                <w:szCs w:val="21"/>
              </w:rPr>
              <w:t>0.22</w:t>
            </w:r>
          </w:p>
        </w:tc>
        <w:tc>
          <w:tcPr>
            <w:tcW w:w="413" w:type="pct"/>
            <w:vAlign w:val="center"/>
          </w:tcPr>
          <w:p w14:paraId="2FA7D59B">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34451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36021CFC">
            <w:pPr>
              <w:widowControl/>
              <w:spacing w:line="240" w:lineRule="auto"/>
              <w:ind w:firstLine="0" w:firstLineChars="0"/>
              <w:jc w:val="center"/>
              <w:rPr>
                <w:color w:val="auto"/>
                <w:kern w:val="0"/>
                <w:sz w:val="21"/>
                <w:szCs w:val="21"/>
              </w:rPr>
            </w:pPr>
            <w:r>
              <w:rPr>
                <w:color w:val="auto"/>
                <w:kern w:val="0"/>
                <w:sz w:val="21"/>
                <w:szCs w:val="21"/>
              </w:rPr>
              <w:t>挥发酚</w:t>
            </w:r>
          </w:p>
        </w:tc>
        <w:tc>
          <w:tcPr>
            <w:tcW w:w="491" w:type="pct"/>
            <w:vAlign w:val="center"/>
          </w:tcPr>
          <w:p w14:paraId="55FEDD6A">
            <w:pPr>
              <w:widowControl/>
              <w:spacing w:line="240" w:lineRule="auto"/>
              <w:ind w:firstLine="0" w:firstLineChars="0"/>
              <w:jc w:val="center"/>
              <w:rPr>
                <w:color w:val="auto"/>
                <w:kern w:val="0"/>
                <w:sz w:val="21"/>
                <w:szCs w:val="21"/>
              </w:rPr>
            </w:pPr>
            <w:r>
              <w:rPr>
                <w:color w:val="auto"/>
                <w:kern w:val="0"/>
                <w:sz w:val="21"/>
                <w:szCs w:val="21"/>
              </w:rPr>
              <w:t>0.0032</w:t>
            </w:r>
          </w:p>
        </w:tc>
        <w:tc>
          <w:tcPr>
            <w:tcW w:w="397" w:type="pct"/>
            <w:vAlign w:val="center"/>
          </w:tcPr>
          <w:p w14:paraId="084659D6">
            <w:pPr>
              <w:widowControl/>
              <w:spacing w:line="240" w:lineRule="auto"/>
              <w:ind w:firstLine="0" w:firstLineChars="0"/>
              <w:jc w:val="center"/>
              <w:rPr>
                <w:color w:val="auto"/>
                <w:kern w:val="0"/>
                <w:sz w:val="21"/>
                <w:szCs w:val="21"/>
              </w:rPr>
            </w:pPr>
            <w:r>
              <w:rPr>
                <w:color w:val="auto"/>
                <w:kern w:val="0"/>
                <w:sz w:val="21"/>
                <w:szCs w:val="21"/>
              </w:rPr>
              <w:t>Ⅳ</w:t>
            </w:r>
          </w:p>
        </w:tc>
        <w:tc>
          <w:tcPr>
            <w:tcW w:w="405" w:type="pct"/>
            <w:vAlign w:val="center"/>
          </w:tcPr>
          <w:p w14:paraId="7366CEFD">
            <w:pPr>
              <w:widowControl/>
              <w:spacing w:line="240" w:lineRule="auto"/>
              <w:ind w:firstLine="0" w:firstLineChars="0"/>
              <w:jc w:val="center"/>
              <w:rPr>
                <w:color w:val="auto"/>
                <w:kern w:val="0"/>
                <w:sz w:val="21"/>
                <w:szCs w:val="21"/>
              </w:rPr>
            </w:pPr>
            <w:r>
              <w:rPr>
                <w:color w:val="auto"/>
                <w:kern w:val="0"/>
                <w:sz w:val="21"/>
                <w:szCs w:val="21"/>
              </w:rPr>
              <w:t>0.0041</w:t>
            </w:r>
          </w:p>
        </w:tc>
        <w:tc>
          <w:tcPr>
            <w:tcW w:w="380" w:type="pct"/>
            <w:vAlign w:val="center"/>
          </w:tcPr>
          <w:p w14:paraId="53CF921F">
            <w:pPr>
              <w:widowControl/>
              <w:spacing w:line="240" w:lineRule="auto"/>
              <w:ind w:firstLine="0" w:firstLineChars="0"/>
              <w:jc w:val="center"/>
              <w:rPr>
                <w:color w:val="auto"/>
                <w:kern w:val="0"/>
                <w:sz w:val="21"/>
                <w:szCs w:val="21"/>
              </w:rPr>
            </w:pPr>
            <w:r>
              <w:rPr>
                <w:color w:val="auto"/>
                <w:kern w:val="0"/>
                <w:sz w:val="21"/>
                <w:szCs w:val="21"/>
              </w:rPr>
              <w:t>Ⅳ</w:t>
            </w:r>
          </w:p>
        </w:tc>
        <w:tc>
          <w:tcPr>
            <w:tcW w:w="385" w:type="pct"/>
            <w:vAlign w:val="center"/>
          </w:tcPr>
          <w:p w14:paraId="0AFFB54B">
            <w:pPr>
              <w:widowControl/>
              <w:spacing w:line="240" w:lineRule="auto"/>
              <w:ind w:firstLine="0" w:firstLineChars="0"/>
              <w:jc w:val="center"/>
              <w:rPr>
                <w:color w:val="auto"/>
                <w:kern w:val="0"/>
                <w:sz w:val="21"/>
                <w:szCs w:val="21"/>
              </w:rPr>
            </w:pPr>
            <w:r>
              <w:rPr>
                <w:color w:val="auto"/>
                <w:kern w:val="0"/>
                <w:sz w:val="21"/>
                <w:szCs w:val="21"/>
              </w:rPr>
              <w:t>0.0043</w:t>
            </w:r>
          </w:p>
        </w:tc>
        <w:tc>
          <w:tcPr>
            <w:tcW w:w="452" w:type="pct"/>
            <w:vAlign w:val="center"/>
          </w:tcPr>
          <w:p w14:paraId="37F26BBA">
            <w:pPr>
              <w:widowControl/>
              <w:spacing w:line="240" w:lineRule="auto"/>
              <w:ind w:firstLine="0" w:firstLineChars="0"/>
              <w:jc w:val="center"/>
              <w:rPr>
                <w:color w:val="auto"/>
                <w:kern w:val="0"/>
                <w:sz w:val="21"/>
                <w:szCs w:val="21"/>
              </w:rPr>
            </w:pPr>
            <w:r>
              <w:rPr>
                <w:color w:val="auto"/>
                <w:kern w:val="0"/>
                <w:sz w:val="21"/>
                <w:szCs w:val="21"/>
              </w:rPr>
              <w:t>Ⅳ</w:t>
            </w:r>
          </w:p>
        </w:tc>
        <w:tc>
          <w:tcPr>
            <w:tcW w:w="409" w:type="pct"/>
            <w:vAlign w:val="center"/>
          </w:tcPr>
          <w:p w14:paraId="0CA4453C">
            <w:pPr>
              <w:widowControl/>
              <w:spacing w:line="240" w:lineRule="auto"/>
              <w:ind w:firstLine="0" w:firstLineChars="0"/>
              <w:jc w:val="center"/>
              <w:rPr>
                <w:color w:val="auto"/>
                <w:kern w:val="0"/>
                <w:sz w:val="21"/>
                <w:szCs w:val="21"/>
              </w:rPr>
            </w:pPr>
            <w:r>
              <w:rPr>
                <w:color w:val="auto"/>
                <w:kern w:val="0"/>
                <w:sz w:val="21"/>
                <w:szCs w:val="21"/>
              </w:rPr>
              <w:t>0.0056</w:t>
            </w:r>
          </w:p>
        </w:tc>
        <w:tc>
          <w:tcPr>
            <w:tcW w:w="390" w:type="pct"/>
            <w:vAlign w:val="center"/>
          </w:tcPr>
          <w:p w14:paraId="23B75F88">
            <w:pPr>
              <w:widowControl/>
              <w:spacing w:line="240" w:lineRule="auto"/>
              <w:ind w:firstLine="0" w:firstLineChars="0"/>
              <w:jc w:val="center"/>
              <w:rPr>
                <w:color w:val="auto"/>
                <w:kern w:val="0"/>
                <w:sz w:val="21"/>
                <w:szCs w:val="21"/>
              </w:rPr>
            </w:pPr>
            <w:r>
              <w:rPr>
                <w:color w:val="auto"/>
                <w:kern w:val="0"/>
                <w:sz w:val="21"/>
                <w:szCs w:val="21"/>
              </w:rPr>
              <w:t>Ⅳ</w:t>
            </w:r>
          </w:p>
        </w:tc>
        <w:tc>
          <w:tcPr>
            <w:tcW w:w="388" w:type="pct"/>
            <w:vAlign w:val="center"/>
          </w:tcPr>
          <w:p w14:paraId="7367105C">
            <w:pPr>
              <w:adjustRightInd/>
              <w:snapToGrid/>
              <w:spacing w:line="240" w:lineRule="auto"/>
              <w:ind w:firstLine="0" w:firstLineChars="0"/>
              <w:jc w:val="center"/>
              <w:rPr>
                <w:color w:val="auto"/>
                <w:kern w:val="0"/>
                <w:sz w:val="21"/>
                <w:szCs w:val="21"/>
              </w:rPr>
            </w:pPr>
            <w:r>
              <w:rPr>
                <w:color w:val="auto"/>
                <w:sz w:val="21"/>
                <w:szCs w:val="21"/>
              </w:rPr>
              <w:t>0.0025</w:t>
            </w:r>
          </w:p>
        </w:tc>
        <w:tc>
          <w:tcPr>
            <w:tcW w:w="413" w:type="pct"/>
            <w:vAlign w:val="center"/>
          </w:tcPr>
          <w:p w14:paraId="4A0545FA">
            <w:pPr>
              <w:adjustRightInd/>
              <w:snapToGrid/>
              <w:spacing w:line="240" w:lineRule="auto"/>
              <w:ind w:firstLine="0" w:firstLineChars="0"/>
              <w:jc w:val="center"/>
              <w:rPr>
                <w:bCs/>
                <w:color w:val="auto"/>
                <w:kern w:val="0"/>
                <w:sz w:val="21"/>
                <w:szCs w:val="21"/>
              </w:rPr>
            </w:pPr>
            <w:r>
              <w:rPr>
                <w:bCs/>
                <w:color w:val="auto"/>
                <w:sz w:val="21"/>
                <w:szCs w:val="21"/>
              </w:rPr>
              <w:t>Ⅱ</w:t>
            </w:r>
          </w:p>
        </w:tc>
      </w:tr>
      <w:tr w14:paraId="60900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90" w:type="pct"/>
            <w:vAlign w:val="center"/>
          </w:tcPr>
          <w:p w14:paraId="28A459D2">
            <w:pPr>
              <w:widowControl/>
              <w:spacing w:line="240" w:lineRule="auto"/>
              <w:ind w:firstLine="0" w:firstLineChars="0"/>
              <w:jc w:val="center"/>
              <w:rPr>
                <w:color w:val="auto"/>
                <w:kern w:val="0"/>
                <w:sz w:val="21"/>
                <w:szCs w:val="21"/>
              </w:rPr>
            </w:pPr>
            <w:r>
              <w:rPr>
                <w:color w:val="auto"/>
                <w:kern w:val="0"/>
                <w:sz w:val="21"/>
                <w:szCs w:val="21"/>
              </w:rPr>
              <w:t>硫化物</w:t>
            </w:r>
          </w:p>
        </w:tc>
        <w:tc>
          <w:tcPr>
            <w:tcW w:w="491" w:type="pct"/>
            <w:vAlign w:val="center"/>
          </w:tcPr>
          <w:p w14:paraId="6246B81C">
            <w:pPr>
              <w:widowControl/>
              <w:spacing w:line="240" w:lineRule="auto"/>
              <w:ind w:firstLine="0" w:firstLineChars="0"/>
              <w:jc w:val="center"/>
              <w:rPr>
                <w:color w:val="auto"/>
                <w:kern w:val="0"/>
                <w:sz w:val="21"/>
                <w:szCs w:val="21"/>
              </w:rPr>
            </w:pPr>
            <w:r>
              <w:rPr>
                <w:color w:val="auto"/>
                <w:kern w:val="0"/>
                <w:sz w:val="21"/>
                <w:szCs w:val="21"/>
              </w:rPr>
              <w:t>ND</w:t>
            </w:r>
          </w:p>
        </w:tc>
        <w:tc>
          <w:tcPr>
            <w:tcW w:w="397" w:type="pct"/>
            <w:vAlign w:val="center"/>
          </w:tcPr>
          <w:p w14:paraId="76BCC14B">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73810ACF">
            <w:pPr>
              <w:widowControl/>
              <w:spacing w:line="240" w:lineRule="auto"/>
              <w:ind w:firstLine="0" w:firstLineChars="0"/>
              <w:jc w:val="center"/>
              <w:rPr>
                <w:color w:val="auto"/>
                <w:kern w:val="0"/>
                <w:sz w:val="21"/>
                <w:szCs w:val="21"/>
              </w:rPr>
            </w:pPr>
            <w:r>
              <w:rPr>
                <w:color w:val="auto"/>
                <w:kern w:val="0"/>
                <w:sz w:val="21"/>
                <w:szCs w:val="21"/>
              </w:rPr>
              <w:t>ND</w:t>
            </w:r>
          </w:p>
        </w:tc>
        <w:tc>
          <w:tcPr>
            <w:tcW w:w="380" w:type="pct"/>
            <w:vAlign w:val="center"/>
          </w:tcPr>
          <w:p w14:paraId="515D93DD">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51935AE9">
            <w:pPr>
              <w:widowControl/>
              <w:spacing w:line="240" w:lineRule="auto"/>
              <w:ind w:firstLine="0" w:firstLineChars="0"/>
              <w:jc w:val="center"/>
              <w:rPr>
                <w:color w:val="auto"/>
                <w:kern w:val="0"/>
                <w:sz w:val="21"/>
                <w:szCs w:val="21"/>
              </w:rPr>
            </w:pPr>
            <w:r>
              <w:rPr>
                <w:color w:val="auto"/>
                <w:kern w:val="0"/>
                <w:sz w:val="21"/>
                <w:szCs w:val="21"/>
              </w:rPr>
              <w:t>ND</w:t>
            </w:r>
          </w:p>
        </w:tc>
        <w:tc>
          <w:tcPr>
            <w:tcW w:w="452" w:type="pct"/>
            <w:vAlign w:val="center"/>
          </w:tcPr>
          <w:p w14:paraId="44F2E731">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00F6AD2E">
            <w:pPr>
              <w:widowControl/>
              <w:spacing w:line="240" w:lineRule="auto"/>
              <w:ind w:firstLine="0" w:firstLineChars="0"/>
              <w:jc w:val="center"/>
              <w:rPr>
                <w:color w:val="auto"/>
                <w:kern w:val="0"/>
                <w:sz w:val="21"/>
                <w:szCs w:val="21"/>
              </w:rPr>
            </w:pPr>
            <w:r>
              <w:rPr>
                <w:color w:val="auto"/>
                <w:kern w:val="0"/>
                <w:sz w:val="21"/>
                <w:szCs w:val="21"/>
              </w:rPr>
              <w:t>ND</w:t>
            </w:r>
          </w:p>
        </w:tc>
        <w:tc>
          <w:tcPr>
            <w:tcW w:w="390" w:type="pct"/>
            <w:vAlign w:val="center"/>
          </w:tcPr>
          <w:p w14:paraId="026B3FDC">
            <w:pPr>
              <w:widowControl/>
              <w:spacing w:line="240" w:lineRule="auto"/>
              <w:ind w:firstLine="0" w:firstLineChars="0"/>
              <w:jc w:val="center"/>
              <w:rPr>
                <w:color w:val="auto"/>
                <w:kern w:val="0"/>
                <w:sz w:val="21"/>
                <w:szCs w:val="21"/>
              </w:rPr>
            </w:pPr>
            <w:r>
              <w:rPr>
                <w:color w:val="auto"/>
                <w:kern w:val="0"/>
                <w:sz w:val="21"/>
                <w:szCs w:val="21"/>
              </w:rPr>
              <w:t>Ⅰ</w:t>
            </w:r>
          </w:p>
        </w:tc>
        <w:tc>
          <w:tcPr>
            <w:tcW w:w="388" w:type="pct"/>
            <w:vAlign w:val="center"/>
          </w:tcPr>
          <w:p w14:paraId="4711AD1D">
            <w:pPr>
              <w:widowControl/>
              <w:spacing w:line="240" w:lineRule="auto"/>
              <w:ind w:firstLine="0" w:firstLineChars="0"/>
              <w:jc w:val="center"/>
              <w:rPr>
                <w:color w:val="auto"/>
                <w:kern w:val="0"/>
                <w:sz w:val="21"/>
                <w:szCs w:val="21"/>
              </w:rPr>
            </w:pPr>
            <w:r>
              <w:rPr>
                <w:b/>
                <w:color w:val="auto"/>
                <w:sz w:val="21"/>
                <w:szCs w:val="21"/>
              </w:rPr>
              <w:t>/</w:t>
            </w:r>
          </w:p>
        </w:tc>
        <w:tc>
          <w:tcPr>
            <w:tcW w:w="413" w:type="pct"/>
            <w:vAlign w:val="center"/>
          </w:tcPr>
          <w:p w14:paraId="7E0F22F8">
            <w:pPr>
              <w:widowControl/>
              <w:spacing w:line="240" w:lineRule="auto"/>
              <w:ind w:firstLine="0" w:firstLineChars="0"/>
              <w:jc w:val="center"/>
              <w:rPr>
                <w:bCs/>
                <w:color w:val="auto"/>
                <w:kern w:val="0"/>
                <w:sz w:val="21"/>
                <w:szCs w:val="21"/>
              </w:rPr>
            </w:pPr>
            <w:r>
              <w:rPr>
                <w:bCs/>
                <w:color w:val="auto"/>
                <w:sz w:val="21"/>
                <w:szCs w:val="21"/>
              </w:rPr>
              <w:t>/</w:t>
            </w:r>
          </w:p>
        </w:tc>
      </w:tr>
      <w:tr w14:paraId="735B5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90" w:type="pct"/>
            <w:vAlign w:val="center"/>
          </w:tcPr>
          <w:p w14:paraId="288C039C">
            <w:pPr>
              <w:widowControl/>
              <w:spacing w:line="240" w:lineRule="auto"/>
              <w:ind w:firstLine="0" w:firstLineChars="0"/>
              <w:jc w:val="center"/>
              <w:rPr>
                <w:color w:val="auto"/>
                <w:kern w:val="0"/>
                <w:sz w:val="21"/>
                <w:szCs w:val="21"/>
              </w:rPr>
            </w:pPr>
            <w:r>
              <w:rPr>
                <w:color w:val="auto"/>
                <w:kern w:val="0"/>
                <w:sz w:val="21"/>
                <w:szCs w:val="21"/>
              </w:rPr>
              <w:t>硫酸根</w:t>
            </w:r>
          </w:p>
        </w:tc>
        <w:tc>
          <w:tcPr>
            <w:tcW w:w="491" w:type="pct"/>
            <w:vAlign w:val="center"/>
          </w:tcPr>
          <w:p w14:paraId="4C65F12D">
            <w:pPr>
              <w:widowControl/>
              <w:spacing w:line="240" w:lineRule="auto"/>
              <w:ind w:firstLine="0" w:firstLineChars="0"/>
              <w:jc w:val="center"/>
              <w:rPr>
                <w:color w:val="auto"/>
                <w:kern w:val="0"/>
                <w:sz w:val="21"/>
                <w:szCs w:val="21"/>
              </w:rPr>
            </w:pPr>
            <w:r>
              <w:rPr>
                <w:color w:val="auto"/>
                <w:kern w:val="0"/>
                <w:sz w:val="21"/>
                <w:szCs w:val="21"/>
              </w:rPr>
              <w:t>31.5</w:t>
            </w:r>
          </w:p>
        </w:tc>
        <w:tc>
          <w:tcPr>
            <w:tcW w:w="397" w:type="pct"/>
            <w:vAlign w:val="center"/>
          </w:tcPr>
          <w:p w14:paraId="7BD74A13">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598544D5">
            <w:pPr>
              <w:widowControl/>
              <w:spacing w:line="240" w:lineRule="auto"/>
              <w:ind w:firstLine="0" w:firstLineChars="0"/>
              <w:jc w:val="center"/>
              <w:rPr>
                <w:color w:val="auto"/>
                <w:kern w:val="0"/>
                <w:sz w:val="21"/>
                <w:szCs w:val="21"/>
              </w:rPr>
            </w:pPr>
            <w:r>
              <w:rPr>
                <w:color w:val="auto"/>
                <w:kern w:val="0"/>
                <w:sz w:val="21"/>
                <w:szCs w:val="21"/>
              </w:rPr>
              <w:t>337</w:t>
            </w:r>
          </w:p>
        </w:tc>
        <w:tc>
          <w:tcPr>
            <w:tcW w:w="380" w:type="pct"/>
            <w:vAlign w:val="center"/>
          </w:tcPr>
          <w:p w14:paraId="277B15C7">
            <w:pPr>
              <w:widowControl/>
              <w:spacing w:line="240" w:lineRule="auto"/>
              <w:ind w:firstLine="0" w:firstLineChars="0"/>
              <w:jc w:val="center"/>
              <w:rPr>
                <w:color w:val="auto"/>
                <w:kern w:val="0"/>
                <w:sz w:val="21"/>
                <w:szCs w:val="21"/>
              </w:rPr>
            </w:pPr>
            <w:r>
              <w:rPr>
                <w:color w:val="auto"/>
                <w:kern w:val="0"/>
                <w:sz w:val="21"/>
                <w:szCs w:val="21"/>
              </w:rPr>
              <w:t>Ⅳ</w:t>
            </w:r>
          </w:p>
        </w:tc>
        <w:tc>
          <w:tcPr>
            <w:tcW w:w="385" w:type="pct"/>
            <w:vAlign w:val="center"/>
          </w:tcPr>
          <w:p w14:paraId="66327E43">
            <w:pPr>
              <w:widowControl/>
              <w:spacing w:line="240" w:lineRule="auto"/>
              <w:ind w:firstLine="0" w:firstLineChars="0"/>
              <w:jc w:val="center"/>
              <w:rPr>
                <w:color w:val="auto"/>
                <w:kern w:val="0"/>
                <w:sz w:val="21"/>
                <w:szCs w:val="21"/>
              </w:rPr>
            </w:pPr>
            <w:r>
              <w:rPr>
                <w:color w:val="auto"/>
                <w:kern w:val="0"/>
                <w:sz w:val="21"/>
                <w:szCs w:val="21"/>
              </w:rPr>
              <w:t>117</w:t>
            </w:r>
          </w:p>
        </w:tc>
        <w:tc>
          <w:tcPr>
            <w:tcW w:w="452" w:type="pct"/>
            <w:vAlign w:val="center"/>
          </w:tcPr>
          <w:p w14:paraId="03B596E9">
            <w:pPr>
              <w:widowControl/>
              <w:spacing w:line="240" w:lineRule="auto"/>
              <w:ind w:firstLine="0" w:firstLineChars="0"/>
              <w:jc w:val="center"/>
              <w:rPr>
                <w:color w:val="auto"/>
                <w:kern w:val="0"/>
                <w:sz w:val="21"/>
                <w:szCs w:val="21"/>
              </w:rPr>
            </w:pPr>
            <w:r>
              <w:rPr>
                <w:color w:val="auto"/>
                <w:kern w:val="0"/>
                <w:sz w:val="21"/>
                <w:szCs w:val="21"/>
              </w:rPr>
              <w:t>Ⅱ</w:t>
            </w:r>
          </w:p>
        </w:tc>
        <w:tc>
          <w:tcPr>
            <w:tcW w:w="409" w:type="pct"/>
            <w:vAlign w:val="center"/>
          </w:tcPr>
          <w:p w14:paraId="677C7253">
            <w:pPr>
              <w:widowControl/>
              <w:spacing w:line="240" w:lineRule="auto"/>
              <w:ind w:firstLine="0" w:firstLineChars="0"/>
              <w:jc w:val="center"/>
              <w:rPr>
                <w:color w:val="auto"/>
                <w:kern w:val="0"/>
                <w:sz w:val="21"/>
                <w:szCs w:val="21"/>
              </w:rPr>
            </w:pPr>
            <w:r>
              <w:rPr>
                <w:color w:val="auto"/>
                <w:kern w:val="0"/>
                <w:sz w:val="21"/>
                <w:szCs w:val="21"/>
              </w:rPr>
              <w:t>184</w:t>
            </w:r>
          </w:p>
        </w:tc>
        <w:tc>
          <w:tcPr>
            <w:tcW w:w="390" w:type="pct"/>
            <w:vAlign w:val="center"/>
          </w:tcPr>
          <w:p w14:paraId="50A4154D">
            <w:pPr>
              <w:widowControl/>
              <w:spacing w:line="240" w:lineRule="auto"/>
              <w:ind w:firstLine="0" w:firstLineChars="0"/>
              <w:jc w:val="center"/>
              <w:rPr>
                <w:color w:val="auto"/>
                <w:kern w:val="0"/>
                <w:sz w:val="21"/>
                <w:szCs w:val="21"/>
              </w:rPr>
            </w:pPr>
            <w:r>
              <w:rPr>
                <w:color w:val="auto"/>
                <w:kern w:val="0"/>
                <w:sz w:val="21"/>
                <w:szCs w:val="21"/>
              </w:rPr>
              <w:t>Ⅲ</w:t>
            </w:r>
          </w:p>
        </w:tc>
        <w:tc>
          <w:tcPr>
            <w:tcW w:w="388" w:type="pct"/>
            <w:vAlign w:val="center"/>
          </w:tcPr>
          <w:p w14:paraId="05B94D82">
            <w:pPr>
              <w:adjustRightInd/>
              <w:snapToGrid/>
              <w:spacing w:line="240" w:lineRule="auto"/>
              <w:ind w:firstLine="0" w:firstLineChars="0"/>
              <w:jc w:val="center"/>
              <w:rPr>
                <w:color w:val="auto"/>
                <w:kern w:val="0"/>
                <w:sz w:val="21"/>
                <w:szCs w:val="21"/>
              </w:rPr>
            </w:pPr>
            <w:r>
              <w:rPr>
                <w:color w:val="auto"/>
                <w:sz w:val="21"/>
                <w:szCs w:val="21"/>
              </w:rPr>
              <w:t>74.2</w:t>
            </w:r>
          </w:p>
        </w:tc>
        <w:tc>
          <w:tcPr>
            <w:tcW w:w="413" w:type="pct"/>
            <w:vAlign w:val="center"/>
          </w:tcPr>
          <w:p w14:paraId="2BE88EBB">
            <w:pPr>
              <w:adjustRightInd/>
              <w:snapToGrid/>
              <w:spacing w:line="240" w:lineRule="auto"/>
              <w:ind w:firstLine="0" w:firstLineChars="0"/>
              <w:jc w:val="center"/>
              <w:rPr>
                <w:bCs/>
                <w:color w:val="auto"/>
                <w:kern w:val="0"/>
                <w:sz w:val="21"/>
                <w:szCs w:val="21"/>
              </w:rPr>
            </w:pPr>
            <w:r>
              <w:rPr>
                <w:bCs/>
                <w:color w:val="auto"/>
                <w:sz w:val="21"/>
                <w:szCs w:val="21"/>
              </w:rPr>
              <w:t>Ⅱ</w:t>
            </w:r>
          </w:p>
        </w:tc>
      </w:tr>
      <w:tr w14:paraId="07C5D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90" w:type="pct"/>
            <w:vAlign w:val="center"/>
          </w:tcPr>
          <w:p w14:paraId="49CE4410">
            <w:pPr>
              <w:widowControl/>
              <w:spacing w:line="240" w:lineRule="auto"/>
              <w:ind w:firstLine="0" w:firstLineChars="0"/>
              <w:jc w:val="center"/>
              <w:rPr>
                <w:color w:val="auto"/>
                <w:kern w:val="0"/>
                <w:sz w:val="21"/>
                <w:szCs w:val="21"/>
              </w:rPr>
            </w:pPr>
            <w:r>
              <w:rPr>
                <w:color w:val="auto"/>
                <w:kern w:val="0"/>
                <w:sz w:val="21"/>
                <w:szCs w:val="21"/>
              </w:rPr>
              <w:t>氯离子</w:t>
            </w:r>
          </w:p>
        </w:tc>
        <w:tc>
          <w:tcPr>
            <w:tcW w:w="491" w:type="pct"/>
            <w:vAlign w:val="center"/>
          </w:tcPr>
          <w:p w14:paraId="3ACF8A29">
            <w:pPr>
              <w:widowControl/>
              <w:spacing w:line="240" w:lineRule="auto"/>
              <w:ind w:firstLine="0" w:firstLineChars="0"/>
              <w:jc w:val="center"/>
              <w:rPr>
                <w:color w:val="auto"/>
                <w:kern w:val="0"/>
                <w:sz w:val="21"/>
                <w:szCs w:val="21"/>
              </w:rPr>
            </w:pPr>
            <w:r>
              <w:rPr>
                <w:color w:val="auto"/>
                <w:kern w:val="0"/>
                <w:sz w:val="21"/>
                <w:szCs w:val="21"/>
              </w:rPr>
              <w:t>158</w:t>
            </w:r>
          </w:p>
        </w:tc>
        <w:tc>
          <w:tcPr>
            <w:tcW w:w="397" w:type="pct"/>
            <w:vAlign w:val="center"/>
          </w:tcPr>
          <w:p w14:paraId="2EB0AE30">
            <w:pPr>
              <w:widowControl/>
              <w:spacing w:line="240" w:lineRule="auto"/>
              <w:ind w:firstLine="0" w:firstLineChars="0"/>
              <w:jc w:val="center"/>
              <w:rPr>
                <w:color w:val="auto"/>
                <w:kern w:val="0"/>
                <w:sz w:val="21"/>
                <w:szCs w:val="21"/>
              </w:rPr>
            </w:pPr>
            <w:r>
              <w:rPr>
                <w:color w:val="auto"/>
                <w:kern w:val="0"/>
                <w:sz w:val="21"/>
                <w:szCs w:val="21"/>
              </w:rPr>
              <w:t>Ⅲ</w:t>
            </w:r>
          </w:p>
        </w:tc>
        <w:tc>
          <w:tcPr>
            <w:tcW w:w="405" w:type="pct"/>
            <w:vAlign w:val="center"/>
          </w:tcPr>
          <w:p w14:paraId="598CE2B5">
            <w:pPr>
              <w:widowControl/>
              <w:spacing w:line="240" w:lineRule="auto"/>
              <w:ind w:firstLine="0" w:firstLineChars="0"/>
              <w:jc w:val="center"/>
              <w:rPr>
                <w:color w:val="auto"/>
                <w:kern w:val="0"/>
                <w:sz w:val="21"/>
                <w:szCs w:val="21"/>
              </w:rPr>
            </w:pPr>
            <w:r>
              <w:rPr>
                <w:color w:val="auto"/>
                <w:kern w:val="0"/>
                <w:sz w:val="21"/>
                <w:szCs w:val="21"/>
              </w:rPr>
              <w:t>58.2</w:t>
            </w:r>
          </w:p>
        </w:tc>
        <w:tc>
          <w:tcPr>
            <w:tcW w:w="380" w:type="pct"/>
            <w:vAlign w:val="center"/>
          </w:tcPr>
          <w:p w14:paraId="123930F5">
            <w:pPr>
              <w:widowControl/>
              <w:spacing w:line="240" w:lineRule="auto"/>
              <w:ind w:firstLine="0" w:firstLineChars="0"/>
              <w:jc w:val="center"/>
              <w:rPr>
                <w:color w:val="auto"/>
                <w:kern w:val="0"/>
                <w:sz w:val="21"/>
                <w:szCs w:val="21"/>
              </w:rPr>
            </w:pPr>
            <w:r>
              <w:rPr>
                <w:color w:val="auto"/>
                <w:kern w:val="0"/>
                <w:sz w:val="21"/>
                <w:szCs w:val="21"/>
              </w:rPr>
              <w:t>Ⅱ</w:t>
            </w:r>
          </w:p>
        </w:tc>
        <w:tc>
          <w:tcPr>
            <w:tcW w:w="385" w:type="pct"/>
            <w:vAlign w:val="center"/>
          </w:tcPr>
          <w:p w14:paraId="12DA95C2">
            <w:pPr>
              <w:widowControl/>
              <w:spacing w:line="240" w:lineRule="auto"/>
              <w:ind w:firstLine="0" w:firstLineChars="0"/>
              <w:jc w:val="center"/>
              <w:rPr>
                <w:color w:val="auto"/>
                <w:kern w:val="0"/>
                <w:sz w:val="21"/>
                <w:szCs w:val="21"/>
              </w:rPr>
            </w:pPr>
            <w:r>
              <w:rPr>
                <w:color w:val="auto"/>
                <w:kern w:val="0"/>
                <w:sz w:val="21"/>
                <w:szCs w:val="21"/>
              </w:rPr>
              <w:t>69.1</w:t>
            </w:r>
          </w:p>
        </w:tc>
        <w:tc>
          <w:tcPr>
            <w:tcW w:w="452" w:type="pct"/>
            <w:vAlign w:val="center"/>
          </w:tcPr>
          <w:p w14:paraId="3FA4D745">
            <w:pPr>
              <w:widowControl/>
              <w:spacing w:line="240" w:lineRule="auto"/>
              <w:ind w:firstLine="0" w:firstLineChars="0"/>
              <w:jc w:val="center"/>
              <w:rPr>
                <w:color w:val="auto"/>
                <w:kern w:val="0"/>
                <w:sz w:val="21"/>
                <w:szCs w:val="21"/>
              </w:rPr>
            </w:pPr>
            <w:r>
              <w:rPr>
                <w:color w:val="auto"/>
                <w:kern w:val="0"/>
                <w:sz w:val="21"/>
                <w:szCs w:val="21"/>
              </w:rPr>
              <w:t>Ⅱ</w:t>
            </w:r>
          </w:p>
        </w:tc>
        <w:tc>
          <w:tcPr>
            <w:tcW w:w="409" w:type="pct"/>
            <w:vAlign w:val="center"/>
          </w:tcPr>
          <w:p w14:paraId="720A0943">
            <w:pPr>
              <w:widowControl/>
              <w:spacing w:line="240" w:lineRule="auto"/>
              <w:ind w:firstLine="0" w:firstLineChars="0"/>
              <w:jc w:val="center"/>
              <w:rPr>
                <w:color w:val="auto"/>
                <w:kern w:val="0"/>
                <w:sz w:val="21"/>
                <w:szCs w:val="21"/>
              </w:rPr>
            </w:pPr>
            <w:r>
              <w:rPr>
                <w:color w:val="auto"/>
                <w:kern w:val="0"/>
                <w:sz w:val="21"/>
                <w:szCs w:val="21"/>
              </w:rPr>
              <w:t>179</w:t>
            </w:r>
          </w:p>
        </w:tc>
        <w:tc>
          <w:tcPr>
            <w:tcW w:w="390" w:type="pct"/>
            <w:vAlign w:val="center"/>
          </w:tcPr>
          <w:p w14:paraId="4685875D">
            <w:pPr>
              <w:widowControl/>
              <w:spacing w:line="240" w:lineRule="auto"/>
              <w:ind w:firstLine="0" w:firstLineChars="0"/>
              <w:jc w:val="center"/>
              <w:rPr>
                <w:color w:val="auto"/>
                <w:kern w:val="0"/>
                <w:sz w:val="21"/>
                <w:szCs w:val="21"/>
              </w:rPr>
            </w:pPr>
            <w:r>
              <w:rPr>
                <w:color w:val="auto"/>
                <w:kern w:val="0"/>
                <w:sz w:val="21"/>
                <w:szCs w:val="21"/>
              </w:rPr>
              <w:t>Ⅲ</w:t>
            </w:r>
          </w:p>
        </w:tc>
        <w:tc>
          <w:tcPr>
            <w:tcW w:w="388" w:type="pct"/>
            <w:vAlign w:val="center"/>
          </w:tcPr>
          <w:p w14:paraId="3F6751C4">
            <w:pPr>
              <w:adjustRightInd/>
              <w:snapToGrid/>
              <w:spacing w:line="240" w:lineRule="auto"/>
              <w:ind w:firstLine="0" w:firstLineChars="0"/>
              <w:jc w:val="center"/>
              <w:rPr>
                <w:color w:val="auto"/>
                <w:kern w:val="0"/>
                <w:sz w:val="21"/>
                <w:szCs w:val="21"/>
              </w:rPr>
            </w:pPr>
            <w:r>
              <w:rPr>
                <w:color w:val="auto"/>
                <w:sz w:val="21"/>
                <w:szCs w:val="21"/>
              </w:rPr>
              <w:t>82.8</w:t>
            </w:r>
          </w:p>
        </w:tc>
        <w:tc>
          <w:tcPr>
            <w:tcW w:w="413" w:type="pct"/>
            <w:vAlign w:val="center"/>
          </w:tcPr>
          <w:p w14:paraId="390131B2">
            <w:pPr>
              <w:adjustRightInd/>
              <w:snapToGrid/>
              <w:spacing w:line="240" w:lineRule="auto"/>
              <w:ind w:firstLine="0" w:firstLineChars="0"/>
              <w:jc w:val="center"/>
              <w:rPr>
                <w:bCs/>
                <w:color w:val="auto"/>
                <w:kern w:val="0"/>
                <w:sz w:val="21"/>
                <w:szCs w:val="21"/>
              </w:rPr>
            </w:pPr>
            <w:r>
              <w:rPr>
                <w:bCs/>
                <w:color w:val="auto"/>
                <w:sz w:val="21"/>
                <w:szCs w:val="21"/>
              </w:rPr>
              <w:t>Ⅱ</w:t>
            </w:r>
          </w:p>
        </w:tc>
      </w:tr>
      <w:tr w14:paraId="59B67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90" w:type="pct"/>
            <w:vAlign w:val="center"/>
          </w:tcPr>
          <w:p w14:paraId="4E92D7C6">
            <w:pPr>
              <w:widowControl/>
              <w:spacing w:line="240" w:lineRule="auto"/>
              <w:ind w:firstLine="0" w:firstLineChars="0"/>
              <w:jc w:val="center"/>
              <w:rPr>
                <w:color w:val="auto"/>
                <w:kern w:val="0"/>
                <w:sz w:val="21"/>
                <w:szCs w:val="21"/>
              </w:rPr>
            </w:pPr>
            <w:r>
              <w:rPr>
                <w:color w:val="auto"/>
                <w:kern w:val="0"/>
                <w:sz w:val="21"/>
                <w:szCs w:val="21"/>
              </w:rPr>
              <w:t>硝酸根(以N计)</w:t>
            </w:r>
          </w:p>
        </w:tc>
        <w:tc>
          <w:tcPr>
            <w:tcW w:w="491" w:type="pct"/>
            <w:vAlign w:val="center"/>
          </w:tcPr>
          <w:p w14:paraId="13CEB290">
            <w:pPr>
              <w:widowControl/>
              <w:spacing w:line="240" w:lineRule="auto"/>
              <w:ind w:firstLine="0" w:firstLineChars="0"/>
              <w:jc w:val="center"/>
              <w:rPr>
                <w:color w:val="auto"/>
                <w:kern w:val="0"/>
                <w:sz w:val="21"/>
                <w:szCs w:val="21"/>
              </w:rPr>
            </w:pPr>
            <w:r>
              <w:rPr>
                <w:color w:val="auto"/>
                <w:kern w:val="0"/>
                <w:sz w:val="21"/>
                <w:szCs w:val="21"/>
              </w:rPr>
              <w:t>0.666</w:t>
            </w:r>
          </w:p>
        </w:tc>
        <w:tc>
          <w:tcPr>
            <w:tcW w:w="397" w:type="pct"/>
            <w:vAlign w:val="center"/>
          </w:tcPr>
          <w:p w14:paraId="774195B8">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1CF685F2">
            <w:pPr>
              <w:widowControl/>
              <w:spacing w:line="240" w:lineRule="auto"/>
              <w:ind w:firstLine="0" w:firstLineChars="0"/>
              <w:jc w:val="center"/>
              <w:rPr>
                <w:color w:val="auto"/>
                <w:kern w:val="0"/>
                <w:sz w:val="21"/>
                <w:szCs w:val="21"/>
              </w:rPr>
            </w:pPr>
            <w:r>
              <w:rPr>
                <w:color w:val="auto"/>
                <w:kern w:val="0"/>
                <w:sz w:val="21"/>
                <w:szCs w:val="21"/>
              </w:rPr>
              <w:t>0.891</w:t>
            </w:r>
          </w:p>
        </w:tc>
        <w:tc>
          <w:tcPr>
            <w:tcW w:w="380" w:type="pct"/>
            <w:vAlign w:val="center"/>
          </w:tcPr>
          <w:p w14:paraId="3770826C">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08A088C9">
            <w:pPr>
              <w:widowControl/>
              <w:spacing w:line="240" w:lineRule="auto"/>
              <w:ind w:firstLine="0" w:firstLineChars="0"/>
              <w:jc w:val="center"/>
              <w:rPr>
                <w:color w:val="auto"/>
                <w:kern w:val="0"/>
                <w:sz w:val="21"/>
                <w:szCs w:val="21"/>
              </w:rPr>
            </w:pPr>
            <w:r>
              <w:rPr>
                <w:color w:val="auto"/>
                <w:kern w:val="0"/>
                <w:sz w:val="21"/>
                <w:szCs w:val="21"/>
              </w:rPr>
              <w:t>1.26</w:t>
            </w:r>
          </w:p>
        </w:tc>
        <w:tc>
          <w:tcPr>
            <w:tcW w:w="452" w:type="pct"/>
            <w:vAlign w:val="center"/>
          </w:tcPr>
          <w:p w14:paraId="725B391B">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1C0CA04A">
            <w:pPr>
              <w:widowControl/>
              <w:spacing w:line="240" w:lineRule="auto"/>
              <w:ind w:firstLine="0" w:firstLineChars="0"/>
              <w:jc w:val="center"/>
              <w:rPr>
                <w:color w:val="auto"/>
                <w:kern w:val="0"/>
                <w:sz w:val="21"/>
                <w:szCs w:val="21"/>
              </w:rPr>
            </w:pPr>
            <w:r>
              <w:rPr>
                <w:color w:val="auto"/>
                <w:kern w:val="0"/>
                <w:sz w:val="21"/>
                <w:szCs w:val="21"/>
              </w:rPr>
              <w:t>1.88</w:t>
            </w:r>
          </w:p>
        </w:tc>
        <w:tc>
          <w:tcPr>
            <w:tcW w:w="390" w:type="pct"/>
            <w:vAlign w:val="center"/>
          </w:tcPr>
          <w:p w14:paraId="348F2E6F">
            <w:pPr>
              <w:widowControl/>
              <w:spacing w:line="240" w:lineRule="auto"/>
              <w:ind w:firstLine="0" w:firstLineChars="0"/>
              <w:jc w:val="center"/>
              <w:rPr>
                <w:color w:val="auto"/>
                <w:kern w:val="0"/>
                <w:sz w:val="21"/>
                <w:szCs w:val="21"/>
              </w:rPr>
            </w:pPr>
            <w:r>
              <w:rPr>
                <w:color w:val="auto"/>
                <w:kern w:val="0"/>
                <w:sz w:val="21"/>
                <w:szCs w:val="21"/>
              </w:rPr>
              <w:t>Ⅰ</w:t>
            </w:r>
          </w:p>
        </w:tc>
        <w:tc>
          <w:tcPr>
            <w:tcW w:w="388" w:type="pct"/>
            <w:vAlign w:val="center"/>
          </w:tcPr>
          <w:p w14:paraId="09A42EB8">
            <w:pPr>
              <w:adjustRightInd/>
              <w:snapToGrid/>
              <w:spacing w:line="240" w:lineRule="auto"/>
              <w:ind w:firstLine="0" w:firstLineChars="0"/>
              <w:jc w:val="center"/>
              <w:rPr>
                <w:color w:val="auto"/>
                <w:kern w:val="0"/>
                <w:sz w:val="21"/>
                <w:szCs w:val="21"/>
              </w:rPr>
            </w:pPr>
            <w:r>
              <w:rPr>
                <w:color w:val="auto"/>
                <w:sz w:val="21"/>
                <w:szCs w:val="21"/>
              </w:rPr>
              <w:t>13.2</w:t>
            </w:r>
          </w:p>
        </w:tc>
        <w:tc>
          <w:tcPr>
            <w:tcW w:w="413" w:type="pct"/>
            <w:vAlign w:val="center"/>
          </w:tcPr>
          <w:p w14:paraId="0620CBCE">
            <w:pPr>
              <w:adjustRightInd/>
              <w:snapToGrid/>
              <w:spacing w:line="240" w:lineRule="auto"/>
              <w:ind w:firstLine="0" w:firstLineChars="0"/>
              <w:jc w:val="center"/>
              <w:rPr>
                <w:bCs/>
                <w:color w:val="auto"/>
                <w:kern w:val="0"/>
                <w:sz w:val="21"/>
                <w:szCs w:val="21"/>
              </w:rPr>
            </w:pPr>
            <w:r>
              <w:rPr>
                <w:bCs/>
                <w:color w:val="auto"/>
                <w:sz w:val="21"/>
                <w:szCs w:val="21"/>
              </w:rPr>
              <w:t>Ⅲ</w:t>
            </w:r>
          </w:p>
        </w:tc>
      </w:tr>
      <w:tr w14:paraId="633F9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71678891">
            <w:pPr>
              <w:widowControl/>
              <w:spacing w:line="240" w:lineRule="auto"/>
              <w:ind w:firstLine="0" w:firstLineChars="0"/>
              <w:jc w:val="center"/>
              <w:rPr>
                <w:color w:val="auto"/>
                <w:kern w:val="0"/>
                <w:sz w:val="21"/>
                <w:szCs w:val="21"/>
              </w:rPr>
            </w:pPr>
            <w:r>
              <w:rPr>
                <w:color w:val="auto"/>
                <w:kern w:val="0"/>
                <w:sz w:val="21"/>
                <w:szCs w:val="21"/>
              </w:rPr>
              <w:t>亚硝酸根(以N计)</w:t>
            </w:r>
          </w:p>
        </w:tc>
        <w:tc>
          <w:tcPr>
            <w:tcW w:w="491" w:type="pct"/>
            <w:vAlign w:val="center"/>
          </w:tcPr>
          <w:p w14:paraId="3FCFED47">
            <w:pPr>
              <w:widowControl/>
              <w:spacing w:line="240" w:lineRule="auto"/>
              <w:ind w:firstLine="0" w:firstLineChars="0"/>
              <w:jc w:val="center"/>
              <w:rPr>
                <w:color w:val="auto"/>
                <w:kern w:val="0"/>
                <w:sz w:val="21"/>
                <w:szCs w:val="21"/>
              </w:rPr>
            </w:pPr>
            <w:r>
              <w:rPr>
                <w:color w:val="auto"/>
                <w:kern w:val="0"/>
                <w:sz w:val="21"/>
                <w:szCs w:val="21"/>
              </w:rPr>
              <w:t>0.306</w:t>
            </w:r>
          </w:p>
        </w:tc>
        <w:tc>
          <w:tcPr>
            <w:tcW w:w="397" w:type="pct"/>
            <w:vAlign w:val="center"/>
          </w:tcPr>
          <w:p w14:paraId="0C078AA4">
            <w:pPr>
              <w:widowControl/>
              <w:spacing w:line="240" w:lineRule="auto"/>
              <w:ind w:firstLine="0" w:firstLineChars="0"/>
              <w:jc w:val="center"/>
              <w:rPr>
                <w:color w:val="auto"/>
                <w:kern w:val="0"/>
                <w:sz w:val="21"/>
                <w:szCs w:val="21"/>
              </w:rPr>
            </w:pPr>
            <w:r>
              <w:rPr>
                <w:color w:val="auto"/>
                <w:kern w:val="0"/>
                <w:sz w:val="21"/>
                <w:szCs w:val="21"/>
              </w:rPr>
              <w:t>Ⅲ</w:t>
            </w:r>
          </w:p>
        </w:tc>
        <w:tc>
          <w:tcPr>
            <w:tcW w:w="405" w:type="pct"/>
            <w:vAlign w:val="center"/>
          </w:tcPr>
          <w:p w14:paraId="0CE4DC53">
            <w:pPr>
              <w:widowControl/>
              <w:spacing w:line="240" w:lineRule="auto"/>
              <w:ind w:firstLine="0" w:firstLineChars="0"/>
              <w:jc w:val="center"/>
              <w:rPr>
                <w:color w:val="auto"/>
                <w:kern w:val="0"/>
                <w:sz w:val="21"/>
                <w:szCs w:val="21"/>
              </w:rPr>
            </w:pPr>
            <w:r>
              <w:rPr>
                <w:color w:val="auto"/>
                <w:kern w:val="0"/>
                <w:sz w:val="21"/>
                <w:szCs w:val="21"/>
              </w:rPr>
              <w:t>0.285</w:t>
            </w:r>
          </w:p>
        </w:tc>
        <w:tc>
          <w:tcPr>
            <w:tcW w:w="380" w:type="pct"/>
            <w:vAlign w:val="center"/>
          </w:tcPr>
          <w:p w14:paraId="221F7BD0">
            <w:pPr>
              <w:widowControl/>
              <w:spacing w:line="240" w:lineRule="auto"/>
              <w:ind w:firstLine="0" w:firstLineChars="0"/>
              <w:jc w:val="center"/>
              <w:rPr>
                <w:color w:val="auto"/>
                <w:kern w:val="0"/>
                <w:sz w:val="21"/>
                <w:szCs w:val="21"/>
              </w:rPr>
            </w:pPr>
            <w:r>
              <w:rPr>
                <w:color w:val="auto"/>
                <w:kern w:val="0"/>
                <w:sz w:val="21"/>
                <w:szCs w:val="21"/>
              </w:rPr>
              <w:t>Ⅲ</w:t>
            </w:r>
          </w:p>
        </w:tc>
        <w:tc>
          <w:tcPr>
            <w:tcW w:w="385" w:type="pct"/>
            <w:vAlign w:val="center"/>
          </w:tcPr>
          <w:p w14:paraId="6B870477">
            <w:pPr>
              <w:widowControl/>
              <w:spacing w:line="240" w:lineRule="auto"/>
              <w:ind w:firstLine="0" w:firstLineChars="0"/>
              <w:jc w:val="center"/>
              <w:rPr>
                <w:color w:val="auto"/>
                <w:kern w:val="0"/>
                <w:sz w:val="21"/>
                <w:szCs w:val="21"/>
              </w:rPr>
            </w:pPr>
            <w:r>
              <w:rPr>
                <w:color w:val="auto"/>
                <w:kern w:val="0"/>
                <w:sz w:val="21"/>
                <w:szCs w:val="21"/>
              </w:rPr>
              <w:t>0.546</w:t>
            </w:r>
          </w:p>
        </w:tc>
        <w:tc>
          <w:tcPr>
            <w:tcW w:w="452" w:type="pct"/>
            <w:vAlign w:val="center"/>
          </w:tcPr>
          <w:p w14:paraId="2B160AAE">
            <w:pPr>
              <w:widowControl/>
              <w:spacing w:line="240" w:lineRule="auto"/>
              <w:ind w:firstLine="0" w:firstLineChars="0"/>
              <w:jc w:val="center"/>
              <w:rPr>
                <w:color w:val="auto"/>
                <w:kern w:val="0"/>
                <w:sz w:val="21"/>
                <w:szCs w:val="21"/>
              </w:rPr>
            </w:pPr>
            <w:r>
              <w:rPr>
                <w:color w:val="auto"/>
                <w:kern w:val="0"/>
                <w:sz w:val="21"/>
                <w:szCs w:val="21"/>
              </w:rPr>
              <w:t>Ⅲ</w:t>
            </w:r>
          </w:p>
        </w:tc>
        <w:tc>
          <w:tcPr>
            <w:tcW w:w="409" w:type="pct"/>
            <w:vAlign w:val="center"/>
          </w:tcPr>
          <w:p w14:paraId="78372BE4">
            <w:pPr>
              <w:widowControl/>
              <w:spacing w:line="240" w:lineRule="auto"/>
              <w:ind w:firstLine="0" w:firstLineChars="0"/>
              <w:jc w:val="center"/>
              <w:rPr>
                <w:color w:val="auto"/>
                <w:kern w:val="0"/>
                <w:sz w:val="21"/>
                <w:szCs w:val="21"/>
              </w:rPr>
            </w:pPr>
            <w:r>
              <w:rPr>
                <w:color w:val="auto"/>
                <w:kern w:val="0"/>
                <w:sz w:val="21"/>
                <w:szCs w:val="21"/>
              </w:rPr>
              <w:t>1.05</w:t>
            </w:r>
          </w:p>
        </w:tc>
        <w:tc>
          <w:tcPr>
            <w:tcW w:w="390" w:type="pct"/>
            <w:vAlign w:val="center"/>
          </w:tcPr>
          <w:p w14:paraId="7457D0D9">
            <w:pPr>
              <w:widowControl/>
              <w:spacing w:line="240" w:lineRule="auto"/>
              <w:ind w:firstLine="0" w:firstLineChars="0"/>
              <w:jc w:val="center"/>
              <w:rPr>
                <w:color w:val="auto"/>
                <w:kern w:val="0"/>
                <w:sz w:val="21"/>
                <w:szCs w:val="21"/>
              </w:rPr>
            </w:pPr>
            <w:r>
              <w:rPr>
                <w:color w:val="auto"/>
                <w:kern w:val="0"/>
                <w:sz w:val="21"/>
                <w:szCs w:val="21"/>
              </w:rPr>
              <w:t>Ⅳ</w:t>
            </w:r>
          </w:p>
        </w:tc>
        <w:tc>
          <w:tcPr>
            <w:tcW w:w="388" w:type="pct"/>
            <w:vAlign w:val="center"/>
          </w:tcPr>
          <w:p w14:paraId="35EA9920">
            <w:pPr>
              <w:adjustRightInd/>
              <w:snapToGrid/>
              <w:spacing w:line="240" w:lineRule="auto"/>
              <w:ind w:firstLine="0" w:firstLineChars="0"/>
              <w:jc w:val="center"/>
              <w:rPr>
                <w:color w:val="auto"/>
                <w:kern w:val="0"/>
                <w:sz w:val="21"/>
                <w:szCs w:val="21"/>
              </w:rPr>
            </w:pPr>
            <w:r>
              <w:rPr>
                <w:color w:val="auto"/>
                <w:sz w:val="21"/>
                <w:szCs w:val="21"/>
              </w:rPr>
              <w:t>0.011</w:t>
            </w:r>
          </w:p>
        </w:tc>
        <w:tc>
          <w:tcPr>
            <w:tcW w:w="413" w:type="pct"/>
            <w:vAlign w:val="center"/>
          </w:tcPr>
          <w:p w14:paraId="3E9E4592">
            <w:pPr>
              <w:adjustRightInd/>
              <w:snapToGrid/>
              <w:spacing w:line="240" w:lineRule="auto"/>
              <w:ind w:firstLine="0" w:firstLineChars="0"/>
              <w:jc w:val="center"/>
              <w:rPr>
                <w:bCs/>
                <w:color w:val="auto"/>
                <w:kern w:val="0"/>
                <w:sz w:val="21"/>
                <w:szCs w:val="21"/>
              </w:rPr>
            </w:pPr>
            <w:r>
              <w:rPr>
                <w:bCs/>
                <w:color w:val="auto"/>
                <w:sz w:val="21"/>
                <w:szCs w:val="21"/>
              </w:rPr>
              <w:t>Ⅱ</w:t>
            </w:r>
          </w:p>
        </w:tc>
      </w:tr>
      <w:tr w14:paraId="0A3B9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59266635">
            <w:pPr>
              <w:widowControl/>
              <w:spacing w:line="240" w:lineRule="auto"/>
              <w:ind w:firstLine="0" w:firstLineChars="0"/>
              <w:jc w:val="center"/>
              <w:rPr>
                <w:color w:val="auto"/>
                <w:kern w:val="0"/>
                <w:sz w:val="21"/>
                <w:szCs w:val="21"/>
              </w:rPr>
            </w:pPr>
            <w:r>
              <w:rPr>
                <w:color w:val="auto"/>
                <w:kern w:val="0"/>
                <w:sz w:val="21"/>
                <w:szCs w:val="21"/>
              </w:rPr>
              <w:t>重碳酸根</w:t>
            </w:r>
          </w:p>
        </w:tc>
        <w:tc>
          <w:tcPr>
            <w:tcW w:w="491" w:type="pct"/>
            <w:vAlign w:val="center"/>
          </w:tcPr>
          <w:p w14:paraId="38C63AA8">
            <w:pPr>
              <w:widowControl/>
              <w:spacing w:line="240" w:lineRule="auto"/>
              <w:ind w:firstLine="0" w:firstLineChars="0"/>
              <w:jc w:val="center"/>
              <w:rPr>
                <w:color w:val="auto"/>
                <w:kern w:val="0"/>
                <w:sz w:val="21"/>
                <w:szCs w:val="21"/>
              </w:rPr>
            </w:pPr>
            <w:r>
              <w:rPr>
                <w:color w:val="auto"/>
                <w:kern w:val="0"/>
                <w:sz w:val="21"/>
                <w:szCs w:val="21"/>
              </w:rPr>
              <w:t>403</w:t>
            </w:r>
          </w:p>
        </w:tc>
        <w:tc>
          <w:tcPr>
            <w:tcW w:w="397" w:type="pct"/>
            <w:vAlign w:val="center"/>
          </w:tcPr>
          <w:p w14:paraId="1B0F0AB5">
            <w:pPr>
              <w:widowControl/>
              <w:spacing w:line="240" w:lineRule="auto"/>
              <w:ind w:firstLine="0" w:firstLineChars="0"/>
              <w:jc w:val="center"/>
              <w:rPr>
                <w:color w:val="auto"/>
                <w:kern w:val="0"/>
                <w:sz w:val="21"/>
                <w:szCs w:val="21"/>
              </w:rPr>
            </w:pPr>
            <w:r>
              <w:rPr>
                <w:color w:val="auto"/>
                <w:kern w:val="0"/>
                <w:sz w:val="21"/>
                <w:szCs w:val="21"/>
              </w:rPr>
              <w:t>/</w:t>
            </w:r>
          </w:p>
        </w:tc>
        <w:tc>
          <w:tcPr>
            <w:tcW w:w="405" w:type="pct"/>
            <w:vAlign w:val="center"/>
          </w:tcPr>
          <w:p w14:paraId="30A27E39">
            <w:pPr>
              <w:widowControl/>
              <w:spacing w:line="240" w:lineRule="auto"/>
              <w:ind w:firstLine="0" w:firstLineChars="0"/>
              <w:jc w:val="center"/>
              <w:rPr>
                <w:color w:val="auto"/>
                <w:kern w:val="0"/>
                <w:sz w:val="21"/>
                <w:szCs w:val="21"/>
              </w:rPr>
            </w:pPr>
            <w:r>
              <w:rPr>
                <w:color w:val="auto"/>
                <w:kern w:val="0"/>
                <w:sz w:val="21"/>
                <w:szCs w:val="21"/>
              </w:rPr>
              <w:t>451</w:t>
            </w:r>
          </w:p>
        </w:tc>
        <w:tc>
          <w:tcPr>
            <w:tcW w:w="380" w:type="pct"/>
            <w:vAlign w:val="center"/>
          </w:tcPr>
          <w:p w14:paraId="54E5C80A">
            <w:pPr>
              <w:widowControl/>
              <w:spacing w:line="240" w:lineRule="auto"/>
              <w:ind w:firstLine="0" w:firstLineChars="0"/>
              <w:jc w:val="center"/>
              <w:rPr>
                <w:color w:val="auto"/>
                <w:kern w:val="0"/>
                <w:sz w:val="21"/>
                <w:szCs w:val="21"/>
              </w:rPr>
            </w:pPr>
            <w:r>
              <w:rPr>
                <w:color w:val="auto"/>
                <w:kern w:val="0"/>
                <w:sz w:val="21"/>
                <w:szCs w:val="21"/>
              </w:rPr>
              <w:t>/</w:t>
            </w:r>
          </w:p>
        </w:tc>
        <w:tc>
          <w:tcPr>
            <w:tcW w:w="385" w:type="pct"/>
            <w:vAlign w:val="center"/>
          </w:tcPr>
          <w:p w14:paraId="45F6AFDE">
            <w:pPr>
              <w:widowControl/>
              <w:spacing w:line="240" w:lineRule="auto"/>
              <w:ind w:firstLine="0" w:firstLineChars="0"/>
              <w:jc w:val="center"/>
              <w:rPr>
                <w:color w:val="auto"/>
                <w:kern w:val="0"/>
                <w:sz w:val="21"/>
                <w:szCs w:val="21"/>
              </w:rPr>
            </w:pPr>
            <w:r>
              <w:rPr>
                <w:color w:val="auto"/>
                <w:kern w:val="0"/>
                <w:sz w:val="21"/>
                <w:szCs w:val="21"/>
              </w:rPr>
              <w:t>349</w:t>
            </w:r>
          </w:p>
        </w:tc>
        <w:tc>
          <w:tcPr>
            <w:tcW w:w="452" w:type="pct"/>
            <w:vAlign w:val="center"/>
          </w:tcPr>
          <w:p w14:paraId="22279D72">
            <w:pPr>
              <w:widowControl/>
              <w:spacing w:line="240" w:lineRule="auto"/>
              <w:ind w:firstLine="0" w:firstLineChars="0"/>
              <w:jc w:val="center"/>
              <w:rPr>
                <w:color w:val="auto"/>
                <w:kern w:val="0"/>
                <w:sz w:val="21"/>
                <w:szCs w:val="21"/>
              </w:rPr>
            </w:pPr>
            <w:r>
              <w:rPr>
                <w:color w:val="auto"/>
                <w:kern w:val="0"/>
                <w:sz w:val="21"/>
                <w:szCs w:val="21"/>
              </w:rPr>
              <w:t>/</w:t>
            </w:r>
          </w:p>
        </w:tc>
        <w:tc>
          <w:tcPr>
            <w:tcW w:w="409" w:type="pct"/>
            <w:vAlign w:val="center"/>
          </w:tcPr>
          <w:p w14:paraId="44B8652A">
            <w:pPr>
              <w:widowControl/>
              <w:spacing w:line="240" w:lineRule="auto"/>
              <w:ind w:firstLine="0" w:firstLineChars="0"/>
              <w:jc w:val="center"/>
              <w:rPr>
                <w:color w:val="auto"/>
                <w:kern w:val="0"/>
                <w:sz w:val="21"/>
                <w:szCs w:val="21"/>
              </w:rPr>
            </w:pPr>
            <w:r>
              <w:rPr>
                <w:color w:val="auto"/>
                <w:kern w:val="0"/>
                <w:sz w:val="21"/>
                <w:szCs w:val="21"/>
              </w:rPr>
              <w:t>362</w:t>
            </w:r>
          </w:p>
        </w:tc>
        <w:tc>
          <w:tcPr>
            <w:tcW w:w="390" w:type="pct"/>
            <w:vAlign w:val="center"/>
          </w:tcPr>
          <w:p w14:paraId="5160C938">
            <w:pPr>
              <w:widowControl/>
              <w:spacing w:line="240" w:lineRule="auto"/>
              <w:ind w:firstLine="0" w:firstLineChars="0"/>
              <w:jc w:val="center"/>
              <w:rPr>
                <w:color w:val="auto"/>
                <w:kern w:val="0"/>
                <w:sz w:val="21"/>
                <w:szCs w:val="21"/>
              </w:rPr>
            </w:pPr>
            <w:r>
              <w:rPr>
                <w:color w:val="auto"/>
                <w:kern w:val="0"/>
                <w:sz w:val="21"/>
                <w:szCs w:val="21"/>
              </w:rPr>
              <w:t>/</w:t>
            </w:r>
          </w:p>
        </w:tc>
        <w:tc>
          <w:tcPr>
            <w:tcW w:w="388" w:type="pct"/>
            <w:vAlign w:val="center"/>
          </w:tcPr>
          <w:p w14:paraId="69F5A2A7">
            <w:pPr>
              <w:adjustRightInd/>
              <w:snapToGrid/>
              <w:spacing w:line="240" w:lineRule="auto"/>
              <w:ind w:firstLine="0" w:firstLineChars="0"/>
              <w:jc w:val="center"/>
              <w:rPr>
                <w:color w:val="auto"/>
                <w:kern w:val="0"/>
                <w:sz w:val="21"/>
                <w:szCs w:val="21"/>
              </w:rPr>
            </w:pPr>
            <w:r>
              <w:rPr>
                <w:color w:val="auto"/>
                <w:sz w:val="21"/>
                <w:szCs w:val="21"/>
              </w:rPr>
              <w:t>18.6</w:t>
            </w:r>
          </w:p>
        </w:tc>
        <w:tc>
          <w:tcPr>
            <w:tcW w:w="413" w:type="pct"/>
            <w:vAlign w:val="center"/>
          </w:tcPr>
          <w:p w14:paraId="387BB7E5">
            <w:pPr>
              <w:adjustRightInd/>
              <w:snapToGrid/>
              <w:spacing w:line="240" w:lineRule="auto"/>
              <w:ind w:firstLine="0" w:firstLineChars="0"/>
              <w:jc w:val="center"/>
              <w:rPr>
                <w:bCs/>
                <w:color w:val="auto"/>
                <w:kern w:val="0"/>
                <w:sz w:val="21"/>
                <w:szCs w:val="21"/>
              </w:rPr>
            </w:pPr>
            <w:r>
              <w:rPr>
                <w:bCs/>
                <w:color w:val="auto"/>
                <w:sz w:val="21"/>
                <w:szCs w:val="21"/>
              </w:rPr>
              <w:t>/</w:t>
            </w:r>
          </w:p>
        </w:tc>
      </w:tr>
      <w:tr w14:paraId="5E1A5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0989DB79">
            <w:pPr>
              <w:widowControl/>
              <w:spacing w:line="240" w:lineRule="auto"/>
              <w:ind w:firstLine="0" w:firstLineChars="0"/>
              <w:jc w:val="center"/>
              <w:rPr>
                <w:color w:val="auto"/>
                <w:kern w:val="0"/>
                <w:sz w:val="21"/>
                <w:szCs w:val="21"/>
              </w:rPr>
            </w:pPr>
            <w:r>
              <w:rPr>
                <w:color w:val="auto"/>
                <w:kern w:val="0"/>
                <w:sz w:val="21"/>
                <w:szCs w:val="21"/>
              </w:rPr>
              <w:t>碳酸根</w:t>
            </w:r>
          </w:p>
        </w:tc>
        <w:tc>
          <w:tcPr>
            <w:tcW w:w="491" w:type="pct"/>
            <w:vAlign w:val="center"/>
          </w:tcPr>
          <w:p w14:paraId="4AF7780E">
            <w:pPr>
              <w:widowControl/>
              <w:spacing w:line="240" w:lineRule="auto"/>
              <w:ind w:firstLine="0" w:firstLineChars="0"/>
              <w:jc w:val="center"/>
              <w:rPr>
                <w:color w:val="auto"/>
                <w:kern w:val="0"/>
                <w:sz w:val="21"/>
                <w:szCs w:val="21"/>
              </w:rPr>
            </w:pPr>
            <w:r>
              <w:rPr>
                <w:color w:val="auto"/>
                <w:kern w:val="0"/>
                <w:sz w:val="21"/>
                <w:szCs w:val="21"/>
              </w:rPr>
              <w:t>ND</w:t>
            </w:r>
          </w:p>
        </w:tc>
        <w:tc>
          <w:tcPr>
            <w:tcW w:w="397" w:type="pct"/>
            <w:vAlign w:val="center"/>
          </w:tcPr>
          <w:p w14:paraId="679C53BB">
            <w:pPr>
              <w:widowControl/>
              <w:spacing w:line="240" w:lineRule="auto"/>
              <w:ind w:firstLine="0" w:firstLineChars="0"/>
              <w:jc w:val="center"/>
              <w:rPr>
                <w:color w:val="auto"/>
                <w:kern w:val="0"/>
                <w:sz w:val="21"/>
                <w:szCs w:val="21"/>
              </w:rPr>
            </w:pPr>
            <w:r>
              <w:rPr>
                <w:color w:val="auto"/>
                <w:kern w:val="0"/>
                <w:sz w:val="21"/>
                <w:szCs w:val="21"/>
              </w:rPr>
              <w:t>/</w:t>
            </w:r>
          </w:p>
        </w:tc>
        <w:tc>
          <w:tcPr>
            <w:tcW w:w="405" w:type="pct"/>
            <w:vAlign w:val="center"/>
          </w:tcPr>
          <w:p w14:paraId="35A06222">
            <w:pPr>
              <w:widowControl/>
              <w:spacing w:line="240" w:lineRule="auto"/>
              <w:ind w:firstLine="0" w:firstLineChars="0"/>
              <w:jc w:val="center"/>
              <w:rPr>
                <w:color w:val="auto"/>
                <w:kern w:val="0"/>
                <w:sz w:val="21"/>
                <w:szCs w:val="21"/>
              </w:rPr>
            </w:pPr>
            <w:r>
              <w:rPr>
                <w:color w:val="auto"/>
                <w:kern w:val="0"/>
                <w:sz w:val="21"/>
                <w:szCs w:val="21"/>
              </w:rPr>
              <w:t>ND</w:t>
            </w:r>
          </w:p>
        </w:tc>
        <w:tc>
          <w:tcPr>
            <w:tcW w:w="380" w:type="pct"/>
            <w:vAlign w:val="center"/>
          </w:tcPr>
          <w:p w14:paraId="583B6DCB">
            <w:pPr>
              <w:widowControl/>
              <w:spacing w:line="240" w:lineRule="auto"/>
              <w:ind w:firstLine="0" w:firstLineChars="0"/>
              <w:jc w:val="center"/>
              <w:rPr>
                <w:color w:val="auto"/>
                <w:kern w:val="0"/>
                <w:sz w:val="21"/>
                <w:szCs w:val="21"/>
              </w:rPr>
            </w:pPr>
            <w:r>
              <w:rPr>
                <w:color w:val="auto"/>
                <w:kern w:val="0"/>
                <w:sz w:val="21"/>
                <w:szCs w:val="21"/>
              </w:rPr>
              <w:t>/</w:t>
            </w:r>
          </w:p>
        </w:tc>
        <w:tc>
          <w:tcPr>
            <w:tcW w:w="385" w:type="pct"/>
            <w:vAlign w:val="center"/>
          </w:tcPr>
          <w:p w14:paraId="058406BB">
            <w:pPr>
              <w:widowControl/>
              <w:spacing w:line="240" w:lineRule="auto"/>
              <w:ind w:firstLine="0" w:firstLineChars="0"/>
              <w:jc w:val="center"/>
              <w:rPr>
                <w:color w:val="auto"/>
                <w:kern w:val="0"/>
                <w:sz w:val="21"/>
                <w:szCs w:val="21"/>
              </w:rPr>
            </w:pPr>
            <w:r>
              <w:rPr>
                <w:color w:val="auto"/>
                <w:kern w:val="0"/>
                <w:sz w:val="21"/>
                <w:szCs w:val="21"/>
              </w:rPr>
              <w:t>ND</w:t>
            </w:r>
          </w:p>
        </w:tc>
        <w:tc>
          <w:tcPr>
            <w:tcW w:w="452" w:type="pct"/>
            <w:vAlign w:val="center"/>
          </w:tcPr>
          <w:p w14:paraId="7108BF62">
            <w:pPr>
              <w:widowControl/>
              <w:spacing w:line="240" w:lineRule="auto"/>
              <w:ind w:firstLine="0" w:firstLineChars="0"/>
              <w:jc w:val="center"/>
              <w:rPr>
                <w:color w:val="auto"/>
                <w:kern w:val="0"/>
                <w:sz w:val="21"/>
                <w:szCs w:val="21"/>
              </w:rPr>
            </w:pPr>
            <w:r>
              <w:rPr>
                <w:color w:val="auto"/>
                <w:kern w:val="0"/>
                <w:sz w:val="21"/>
                <w:szCs w:val="21"/>
              </w:rPr>
              <w:t>/</w:t>
            </w:r>
          </w:p>
        </w:tc>
        <w:tc>
          <w:tcPr>
            <w:tcW w:w="409" w:type="pct"/>
            <w:vAlign w:val="center"/>
          </w:tcPr>
          <w:p w14:paraId="223C8260">
            <w:pPr>
              <w:widowControl/>
              <w:spacing w:line="240" w:lineRule="auto"/>
              <w:ind w:firstLine="0" w:firstLineChars="0"/>
              <w:jc w:val="center"/>
              <w:rPr>
                <w:color w:val="auto"/>
                <w:kern w:val="0"/>
                <w:sz w:val="21"/>
                <w:szCs w:val="21"/>
              </w:rPr>
            </w:pPr>
            <w:r>
              <w:rPr>
                <w:color w:val="auto"/>
                <w:kern w:val="0"/>
                <w:sz w:val="21"/>
                <w:szCs w:val="21"/>
              </w:rPr>
              <w:t>ND</w:t>
            </w:r>
          </w:p>
        </w:tc>
        <w:tc>
          <w:tcPr>
            <w:tcW w:w="390" w:type="pct"/>
            <w:vAlign w:val="center"/>
          </w:tcPr>
          <w:p w14:paraId="7E616B8E">
            <w:pPr>
              <w:widowControl/>
              <w:spacing w:line="240" w:lineRule="auto"/>
              <w:ind w:firstLine="0" w:firstLineChars="0"/>
              <w:jc w:val="center"/>
              <w:rPr>
                <w:color w:val="auto"/>
                <w:kern w:val="0"/>
                <w:sz w:val="21"/>
                <w:szCs w:val="21"/>
              </w:rPr>
            </w:pPr>
            <w:r>
              <w:rPr>
                <w:color w:val="auto"/>
                <w:kern w:val="0"/>
                <w:sz w:val="21"/>
                <w:szCs w:val="21"/>
              </w:rPr>
              <w:t>/</w:t>
            </w:r>
          </w:p>
        </w:tc>
        <w:tc>
          <w:tcPr>
            <w:tcW w:w="388" w:type="pct"/>
            <w:vAlign w:val="center"/>
          </w:tcPr>
          <w:p w14:paraId="12F9360F">
            <w:pPr>
              <w:adjustRightInd/>
              <w:snapToGrid/>
              <w:spacing w:line="240" w:lineRule="auto"/>
              <w:ind w:firstLine="0" w:firstLineChars="0"/>
              <w:jc w:val="center"/>
              <w:rPr>
                <w:color w:val="auto"/>
                <w:kern w:val="0"/>
                <w:sz w:val="21"/>
                <w:szCs w:val="21"/>
              </w:rPr>
            </w:pPr>
            <w:r>
              <w:rPr>
                <w:color w:val="auto"/>
                <w:sz w:val="21"/>
                <w:szCs w:val="21"/>
              </w:rPr>
              <w:t>348</w:t>
            </w:r>
          </w:p>
        </w:tc>
        <w:tc>
          <w:tcPr>
            <w:tcW w:w="413" w:type="pct"/>
            <w:vAlign w:val="center"/>
          </w:tcPr>
          <w:p w14:paraId="6C74915C">
            <w:pPr>
              <w:adjustRightInd/>
              <w:snapToGrid/>
              <w:spacing w:line="240" w:lineRule="auto"/>
              <w:ind w:firstLine="0" w:firstLineChars="0"/>
              <w:jc w:val="center"/>
              <w:rPr>
                <w:bCs/>
                <w:color w:val="auto"/>
                <w:kern w:val="0"/>
                <w:sz w:val="21"/>
                <w:szCs w:val="21"/>
              </w:rPr>
            </w:pPr>
            <w:r>
              <w:rPr>
                <w:bCs/>
                <w:color w:val="auto"/>
                <w:sz w:val="21"/>
                <w:szCs w:val="21"/>
              </w:rPr>
              <w:t>/</w:t>
            </w:r>
          </w:p>
        </w:tc>
      </w:tr>
      <w:tr w14:paraId="50692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78A6491E">
            <w:pPr>
              <w:widowControl/>
              <w:spacing w:line="240" w:lineRule="auto"/>
              <w:ind w:firstLine="0" w:firstLineChars="0"/>
              <w:jc w:val="center"/>
              <w:rPr>
                <w:color w:val="auto"/>
                <w:kern w:val="0"/>
                <w:sz w:val="21"/>
                <w:szCs w:val="21"/>
              </w:rPr>
            </w:pPr>
            <w:r>
              <w:rPr>
                <w:color w:val="auto"/>
                <w:kern w:val="0"/>
                <w:sz w:val="21"/>
                <w:szCs w:val="21"/>
              </w:rPr>
              <w:t>溶解性固体</w:t>
            </w:r>
          </w:p>
        </w:tc>
        <w:tc>
          <w:tcPr>
            <w:tcW w:w="491" w:type="pct"/>
            <w:vAlign w:val="center"/>
          </w:tcPr>
          <w:p w14:paraId="0E518056">
            <w:pPr>
              <w:widowControl/>
              <w:spacing w:line="240" w:lineRule="auto"/>
              <w:ind w:firstLine="0" w:firstLineChars="0"/>
              <w:jc w:val="center"/>
              <w:rPr>
                <w:color w:val="auto"/>
                <w:kern w:val="0"/>
                <w:sz w:val="21"/>
                <w:szCs w:val="21"/>
              </w:rPr>
            </w:pPr>
            <w:r>
              <w:rPr>
                <w:color w:val="auto"/>
                <w:kern w:val="0"/>
                <w:sz w:val="21"/>
                <w:szCs w:val="21"/>
              </w:rPr>
              <w:t>641</w:t>
            </w:r>
          </w:p>
        </w:tc>
        <w:tc>
          <w:tcPr>
            <w:tcW w:w="397" w:type="pct"/>
            <w:vAlign w:val="center"/>
          </w:tcPr>
          <w:p w14:paraId="1176B0A2">
            <w:pPr>
              <w:widowControl/>
              <w:spacing w:line="240" w:lineRule="auto"/>
              <w:ind w:firstLine="0" w:firstLineChars="0"/>
              <w:jc w:val="center"/>
              <w:rPr>
                <w:color w:val="auto"/>
                <w:kern w:val="0"/>
                <w:sz w:val="21"/>
                <w:szCs w:val="21"/>
              </w:rPr>
            </w:pPr>
            <w:r>
              <w:rPr>
                <w:color w:val="auto"/>
                <w:kern w:val="0"/>
                <w:sz w:val="21"/>
                <w:szCs w:val="21"/>
              </w:rPr>
              <w:t>Ⅲ</w:t>
            </w:r>
          </w:p>
        </w:tc>
        <w:tc>
          <w:tcPr>
            <w:tcW w:w="405" w:type="pct"/>
            <w:vAlign w:val="center"/>
          </w:tcPr>
          <w:p w14:paraId="6536B7DE">
            <w:pPr>
              <w:widowControl/>
              <w:spacing w:line="240" w:lineRule="auto"/>
              <w:ind w:firstLine="0" w:firstLineChars="0"/>
              <w:jc w:val="center"/>
              <w:rPr>
                <w:color w:val="auto"/>
                <w:kern w:val="0"/>
                <w:sz w:val="21"/>
                <w:szCs w:val="21"/>
              </w:rPr>
            </w:pPr>
            <w:r>
              <w:rPr>
                <w:color w:val="auto"/>
                <w:kern w:val="0"/>
                <w:sz w:val="21"/>
                <w:szCs w:val="21"/>
              </w:rPr>
              <w:t>887</w:t>
            </w:r>
          </w:p>
        </w:tc>
        <w:tc>
          <w:tcPr>
            <w:tcW w:w="380" w:type="pct"/>
            <w:vAlign w:val="center"/>
          </w:tcPr>
          <w:p w14:paraId="6F64F760">
            <w:pPr>
              <w:widowControl/>
              <w:spacing w:line="240" w:lineRule="auto"/>
              <w:ind w:firstLine="0" w:firstLineChars="0"/>
              <w:jc w:val="center"/>
              <w:rPr>
                <w:color w:val="auto"/>
                <w:kern w:val="0"/>
                <w:sz w:val="21"/>
                <w:szCs w:val="21"/>
              </w:rPr>
            </w:pPr>
            <w:r>
              <w:rPr>
                <w:color w:val="auto"/>
                <w:kern w:val="0"/>
                <w:sz w:val="21"/>
                <w:szCs w:val="21"/>
              </w:rPr>
              <w:t>Ⅲ</w:t>
            </w:r>
          </w:p>
        </w:tc>
        <w:tc>
          <w:tcPr>
            <w:tcW w:w="385" w:type="pct"/>
            <w:vAlign w:val="center"/>
          </w:tcPr>
          <w:p w14:paraId="61E17B93">
            <w:pPr>
              <w:widowControl/>
              <w:spacing w:line="240" w:lineRule="auto"/>
              <w:ind w:firstLine="0" w:firstLineChars="0"/>
              <w:jc w:val="center"/>
              <w:rPr>
                <w:color w:val="auto"/>
                <w:kern w:val="0"/>
                <w:sz w:val="21"/>
                <w:szCs w:val="21"/>
              </w:rPr>
            </w:pPr>
            <w:r>
              <w:rPr>
                <w:color w:val="auto"/>
                <w:kern w:val="0"/>
                <w:sz w:val="21"/>
                <w:szCs w:val="21"/>
              </w:rPr>
              <w:t>630</w:t>
            </w:r>
          </w:p>
        </w:tc>
        <w:tc>
          <w:tcPr>
            <w:tcW w:w="452" w:type="pct"/>
            <w:vAlign w:val="center"/>
          </w:tcPr>
          <w:p w14:paraId="53E90394">
            <w:pPr>
              <w:widowControl/>
              <w:spacing w:line="240" w:lineRule="auto"/>
              <w:ind w:firstLine="0" w:firstLineChars="0"/>
              <w:jc w:val="center"/>
              <w:rPr>
                <w:color w:val="auto"/>
                <w:kern w:val="0"/>
                <w:sz w:val="21"/>
                <w:szCs w:val="21"/>
              </w:rPr>
            </w:pPr>
            <w:r>
              <w:rPr>
                <w:color w:val="auto"/>
                <w:kern w:val="0"/>
                <w:sz w:val="21"/>
                <w:szCs w:val="21"/>
              </w:rPr>
              <w:t>Ⅲ</w:t>
            </w:r>
          </w:p>
        </w:tc>
        <w:tc>
          <w:tcPr>
            <w:tcW w:w="409" w:type="pct"/>
            <w:vAlign w:val="center"/>
          </w:tcPr>
          <w:p w14:paraId="6D9DA5F5">
            <w:pPr>
              <w:widowControl/>
              <w:spacing w:line="240" w:lineRule="auto"/>
              <w:ind w:firstLine="0" w:firstLineChars="0"/>
              <w:jc w:val="center"/>
              <w:rPr>
                <w:color w:val="auto"/>
                <w:kern w:val="0"/>
                <w:sz w:val="21"/>
                <w:szCs w:val="21"/>
              </w:rPr>
            </w:pPr>
            <w:r>
              <w:rPr>
                <w:color w:val="auto"/>
                <w:kern w:val="0"/>
                <w:sz w:val="21"/>
                <w:szCs w:val="21"/>
              </w:rPr>
              <w:t>712</w:t>
            </w:r>
          </w:p>
        </w:tc>
        <w:tc>
          <w:tcPr>
            <w:tcW w:w="390" w:type="pct"/>
            <w:vAlign w:val="center"/>
          </w:tcPr>
          <w:p w14:paraId="317C1695">
            <w:pPr>
              <w:widowControl/>
              <w:spacing w:line="240" w:lineRule="auto"/>
              <w:ind w:firstLine="0" w:firstLineChars="0"/>
              <w:jc w:val="center"/>
              <w:rPr>
                <w:color w:val="auto"/>
                <w:kern w:val="0"/>
                <w:sz w:val="21"/>
                <w:szCs w:val="21"/>
              </w:rPr>
            </w:pPr>
            <w:r>
              <w:rPr>
                <w:color w:val="auto"/>
                <w:kern w:val="0"/>
                <w:sz w:val="21"/>
                <w:szCs w:val="21"/>
              </w:rPr>
              <w:t>Ⅲ</w:t>
            </w:r>
          </w:p>
        </w:tc>
        <w:tc>
          <w:tcPr>
            <w:tcW w:w="388" w:type="pct"/>
            <w:vAlign w:val="center"/>
          </w:tcPr>
          <w:p w14:paraId="6B6177D9">
            <w:pPr>
              <w:adjustRightInd/>
              <w:snapToGrid/>
              <w:spacing w:line="240" w:lineRule="auto"/>
              <w:ind w:firstLine="0" w:firstLineChars="0"/>
              <w:jc w:val="center"/>
              <w:rPr>
                <w:color w:val="auto"/>
                <w:kern w:val="0"/>
                <w:sz w:val="21"/>
                <w:szCs w:val="21"/>
              </w:rPr>
            </w:pPr>
            <w:r>
              <w:rPr>
                <w:color w:val="auto"/>
                <w:sz w:val="21"/>
                <w:szCs w:val="21"/>
              </w:rPr>
              <w:t>522</w:t>
            </w:r>
          </w:p>
        </w:tc>
        <w:tc>
          <w:tcPr>
            <w:tcW w:w="413" w:type="pct"/>
            <w:vAlign w:val="center"/>
          </w:tcPr>
          <w:p w14:paraId="30EC81D6">
            <w:pPr>
              <w:adjustRightInd/>
              <w:snapToGrid/>
              <w:spacing w:line="240" w:lineRule="auto"/>
              <w:ind w:firstLine="0" w:firstLineChars="0"/>
              <w:jc w:val="center"/>
              <w:rPr>
                <w:bCs/>
                <w:color w:val="auto"/>
                <w:kern w:val="0"/>
                <w:sz w:val="21"/>
                <w:szCs w:val="21"/>
              </w:rPr>
            </w:pPr>
            <w:r>
              <w:rPr>
                <w:bCs/>
                <w:color w:val="auto"/>
                <w:sz w:val="21"/>
                <w:szCs w:val="21"/>
              </w:rPr>
              <w:t>Ⅲ</w:t>
            </w:r>
          </w:p>
        </w:tc>
      </w:tr>
      <w:tr w14:paraId="28AE1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37B94075">
            <w:pPr>
              <w:widowControl/>
              <w:spacing w:line="240" w:lineRule="auto"/>
              <w:ind w:firstLine="0" w:firstLineChars="0"/>
              <w:jc w:val="center"/>
              <w:rPr>
                <w:color w:val="auto"/>
                <w:kern w:val="0"/>
                <w:sz w:val="21"/>
                <w:szCs w:val="21"/>
              </w:rPr>
            </w:pPr>
            <w:r>
              <w:rPr>
                <w:color w:val="auto"/>
                <w:kern w:val="0"/>
                <w:sz w:val="21"/>
                <w:szCs w:val="21"/>
              </w:rPr>
              <w:t>总硬度</w:t>
            </w:r>
          </w:p>
        </w:tc>
        <w:tc>
          <w:tcPr>
            <w:tcW w:w="491" w:type="pct"/>
            <w:vAlign w:val="center"/>
          </w:tcPr>
          <w:p w14:paraId="6D288D54">
            <w:pPr>
              <w:widowControl/>
              <w:spacing w:line="240" w:lineRule="auto"/>
              <w:ind w:firstLine="0" w:firstLineChars="0"/>
              <w:jc w:val="center"/>
              <w:rPr>
                <w:color w:val="auto"/>
                <w:kern w:val="0"/>
                <w:sz w:val="21"/>
                <w:szCs w:val="21"/>
              </w:rPr>
            </w:pPr>
            <w:r>
              <w:rPr>
                <w:color w:val="auto"/>
                <w:kern w:val="0"/>
                <w:sz w:val="21"/>
                <w:szCs w:val="21"/>
              </w:rPr>
              <w:t>162</w:t>
            </w:r>
          </w:p>
        </w:tc>
        <w:tc>
          <w:tcPr>
            <w:tcW w:w="397" w:type="pct"/>
            <w:vAlign w:val="center"/>
          </w:tcPr>
          <w:p w14:paraId="58A26CE6">
            <w:pPr>
              <w:widowControl/>
              <w:spacing w:line="240" w:lineRule="auto"/>
              <w:ind w:firstLine="0" w:firstLineChars="0"/>
              <w:jc w:val="center"/>
              <w:rPr>
                <w:color w:val="auto"/>
                <w:kern w:val="0"/>
                <w:sz w:val="21"/>
                <w:szCs w:val="21"/>
              </w:rPr>
            </w:pPr>
            <w:r>
              <w:rPr>
                <w:color w:val="auto"/>
                <w:kern w:val="0"/>
                <w:sz w:val="21"/>
                <w:szCs w:val="21"/>
              </w:rPr>
              <w:t>Ⅱ</w:t>
            </w:r>
          </w:p>
        </w:tc>
        <w:tc>
          <w:tcPr>
            <w:tcW w:w="405" w:type="pct"/>
            <w:vAlign w:val="center"/>
          </w:tcPr>
          <w:p w14:paraId="1217B2BA">
            <w:pPr>
              <w:widowControl/>
              <w:spacing w:line="240" w:lineRule="auto"/>
              <w:ind w:firstLine="0" w:firstLineChars="0"/>
              <w:jc w:val="center"/>
              <w:rPr>
                <w:color w:val="auto"/>
                <w:kern w:val="0"/>
                <w:sz w:val="21"/>
                <w:szCs w:val="21"/>
              </w:rPr>
            </w:pPr>
            <w:r>
              <w:rPr>
                <w:color w:val="auto"/>
                <w:kern w:val="0"/>
                <w:sz w:val="21"/>
                <w:szCs w:val="21"/>
              </w:rPr>
              <w:t>449</w:t>
            </w:r>
          </w:p>
        </w:tc>
        <w:tc>
          <w:tcPr>
            <w:tcW w:w="380" w:type="pct"/>
            <w:vAlign w:val="center"/>
          </w:tcPr>
          <w:p w14:paraId="1E6079F3">
            <w:pPr>
              <w:widowControl/>
              <w:spacing w:line="240" w:lineRule="auto"/>
              <w:ind w:firstLine="0" w:firstLineChars="0"/>
              <w:jc w:val="center"/>
              <w:rPr>
                <w:color w:val="auto"/>
                <w:kern w:val="0"/>
                <w:sz w:val="21"/>
                <w:szCs w:val="21"/>
              </w:rPr>
            </w:pPr>
            <w:r>
              <w:rPr>
                <w:color w:val="auto"/>
                <w:kern w:val="0"/>
                <w:sz w:val="21"/>
                <w:szCs w:val="21"/>
              </w:rPr>
              <w:t>Ⅲ</w:t>
            </w:r>
          </w:p>
        </w:tc>
        <w:tc>
          <w:tcPr>
            <w:tcW w:w="385" w:type="pct"/>
            <w:vAlign w:val="center"/>
          </w:tcPr>
          <w:p w14:paraId="2C4CA75A">
            <w:pPr>
              <w:widowControl/>
              <w:spacing w:line="240" w:lineRule="auto"/>
              <w:ind w:firstLine="0" w:firstLineChars="0"/>
              <w:jc w:val="center"/>
              <w:rPr>
                <w:color w:val="auto"/>
                <w:kern w:val="0"/>
                <w:sz w:val="21"/>
                <w:szCs w:val="21"/>
              </w:rPr>
            </w:pPr>
            <w:r>
              <w:rPr>
                <w:color w:val="auto"/>
                <w:kern w:val="0"/>
                <w:sz w:val="21"/>
                <w:szCs w:val="21"/>
              </w:rPr>
              <w:t>282</w:t>
            </w:r>
          </w:p>
        </w:tc>
        <w:tc>
          <w:tcPr>
            <w:tcW w:w="452" w:type="pct"/>
            <w:vAlign w:val="center"/>
          </w:tcPr>
          <w:p w14:paraId="7B02F00B">
            <w:pPr>
              <w:widowControl/>
              <w:spacing w:line="240" w:lineRule="auto"/>
              <w:ind w:firstLine="0" w:firstLineChars="0"/>
              <w:jc w:val="center"/>
              <w:rPr>
                <w:color w:val="auto"/>
                <w:kern w:val="0"/>
                <w:sz w:val="21"/>
                <w:szCs w:val="21"/>
              </w:rPr>
            </w:pPr>
            <w:r>
              <w:rPr>
                <w:color w:val="auto"/>
                <w:kern w:val="0"/>
                <w:sz w:val="21"/>
                <w:szCs w:val="21"/>
              </w:rPr>
              <w:t>Ⅱ</w:t>
            </w:r>
          </w:p>
        </w:tc>
        <w:tc>
          <w:tcPr>
            <w:tcW w:w="409" w:type="pct"/>
            <w:vAlign w:val="center"/>
          </w:tcPr>
          <w:p w14:paraId="3E6C8562">
            <w:pPr>
              <w:widowControl/>
              <w:spacing w:line="240" w:lineRule="auto"/>
              <w:ind w:firstLine="0" w:firstLineChars="0"/>
              <w:jc w:val="center"/>
              <w:rPr>
                <w:color w:val="auto"/>
                <w:kern w:val="0"/>
                <w:sz w:val="21"/>
                <w:szCs w:val="21"/>
              </w:rPr>
            </w:pPr>
            <w:r>
              <w:rPr>
                <w:color w:val="auto"/>
                <w:kern w:val="0"/>
                <w:sz w:val="21"/>
                <w:szCs w:val="21"/>
              </w:rPr>
              <w:t>214</w:t>
            </w:r>
          </w:p>
        </w:tc>
        <w:tc>
          <w:tcPr>
            <w:tcW w:w="390" w:type="pct"/>
            <w:vAlign w:val="center"/>
          </w:tcPr>
          <w:p w14:paraId="4876F0FD">
            <w:pPr>
              <w:widowControl/>
              <w:spacing w:line="240" w:lineRule="auto"/>
              <w:ind w:firstLine="0" w:firstLineChars="0"/>
              <w:jc w:val="center"/>
              <w:rPr>
                <w:color w:val="auto"/>
                <w:kern w:val="0"/>
                <w:sz w:val="21"/>
                <w:szCs w:val="21"/>
              </w:rPr>
            </w:pPr>
            <w:r>
              <w:rPr>
                <w:color w:val="auto"/>
                <w:kern w:val="0"/>
                <w:sz w:val="21"/>
                <w:szCs w:val="21"/>
              </w:rPr>
              <w:t>Ⅱ</w:t>
            </w:r>
          </w:p>
        </w:tc>
        <w:tc>
          <w:tcPr>
            <w:tcW w:w="388" w:type="pct"/>
            <w:vAlign w:val="center"/>
          </w:tcPr>
          <w:p w14:paraId="557FCA4A">
            <w:pPr>
              <w:adjustRightInd/>
              <w:snapToGrid/>
              <w:spacing w:line="240" w:lineRule="auto"/>
              <w:ind w:firstLine="0" w:firstLineChars="0"/>
              <w:jc w:val="center"/>
              <w:rPr>
                <w:color w:val="auto"/>
                <w:kern w:val="0"/>
                <w:sz w:val="21"/>
                <w:szCs w:val="21"/>
              </w:rPr>
            </w:pPr>
            <w:r>
              <w:rPr>
                <w:color w:val="auto"/>
                <w:sz w:val="21"/>
                <w:szCs w:val="21"/>
              </w:rPr>
              <w:t>422</w:t>
            </w:r>
          </w:p>
        </w:tc>
        <w:tc>
          <w:tcPr>
            <w:tcW w:w="413" w:type="pct"/>
            <w:vAlign w:val="center"/>
          </w:tcPr>
          <w:p w14:paraId="334B41B8">
            <w:pPr>
              <w:adjustRightInd/>
              <w:snapToGrid/>
              <w:spacing w:line="240" w:lineRule="auto"/>
              <w:ind w:firstLine="0" w:firstLineChars="0"/>
              <w:jc w:val="center"/>
              <w:rPr>
                <w:bCs/>
                <w:color w:val="auto"/>
                <w:kern w:val="0"/>
                <w:sz w:val="21"/>
                <w:szCs w:val="21"/>
              </w:rPr>
            </w:pPr>
            <w:r>
              <w:rPr>
                <w:bCs/>
                <w:color w:val="auto"/>
                <w:sz w:val="21"/>
                <w:szCs w:val="21"/>
              </w:rPr>
              <w:t>Ⅲ</w:t>
            </w:r>
          </w:p>
        </w:tc>
      </w:tr>
      <w:tr w14:paraId="1AD4C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15341D00">
            <w:pPr>
              <w:widowControl/>
              <w:spacing w:line="240" w:lineRule="auto"/>
              <w:ind w:firstLine="0" w:firstLineChars="0"/>
              <w:jc w:val="center"/>
              <w:rPr>
                <w:color w:val="auto"/>
                <w:kern w:val="0"/>
                <w:sz w:val="21"/>
                <w:szCs w:val="21"/>
              </w:rPr>
            </w:pPr>
            <w:r>
              <w:rPr>
                <w:color w:val="auto"/>
                <w:kern w:val="0"/>
                <w:sz w:val="21"/>
                <w:szCs w:val="21"/>
              </w:rPr>
              <w:t>钙</w:t>
            </w:r>
          </w:p>
        </w:tc>
        <w:tc>
          <w:tcPr>
            <w:tcW w:w="491" w:type="pct"/>
            <w:vAlign w:val="center"/>
          </w:tcPr>
          <w:p w14:paraId="26BADE33">
            <w:pPr>
              <w:widowControl/>
              <w:spacing w:line="240" w:lineRule="auto"/>
              <w:ind w:firstLine="0" w:firstLineChars="0"/>
              <w:jc w:val="center"/>
              <w:rPr>
                <w:color w:val="auto"/>
                <w:kern w:val="0"/>
                <w:sz w:val="21"/>
                <w:szCs w:val="21"/>
              </w:rPr>
            </w:pPr>
            <w:r>
              <w:rPr>
                <w:color w:val="auto"/>
                <w:kern w:val="0"/>
                <w:sz w:val="21"/>
                <w:szCs w:val="21"/>
              </w:rPr>
              <w:t>34.9</w:t>
            </w:r>
          </w:p>
        </w:tc>
        <w:tc>
          <w:tcPr>
            <w:tcW w:w="397" w:type="pct"/>
            <w:vAlign w:val="center"/>
          </w:tcPr>
          <w:p w14:paraId="682146F7">
            <w:pPr>
              <w:widowControl/>
              <w:spacing w:line="240" w:lineRule="auto"/>
              <w:ind w:firstLine="0" w:firstLineChars="0"/>
              <w:jc w:val="center"/>
              <w:rPr>
                <w:color w:val="auto"/>
                <w:kern w:val="0"/>
                <w:sz w:val="21"/>
                <w:szCs w:val="21"/>
              </w:rPr>
            </w:pPr>
            <w:r>
              <w:rPr>
                <w:color w:val="auto"/>
                <w:kern w:val="0"/>
                <w:sz w:val="21"/>
                <w:szCs w:val="21"/>
              </w:rPr>
              <w:t>/</w:t>
            </w:r>
          </w:p>
        </w:tc>
        <w:tc>
          <w:tcPr>
            <w:tcW w:w="405" w:type="pct"/>
            <w:vAlign w:val="center"/>
          </w:tcPr>
          <w:p w14:paraId="5F5FCE93">
            <w:pPr>
              <w:widowControl/>
              <w:spacing w:line="240" w:lineRule="auto"/>
              <w:ind w:firstLine="0" w:firstLineChars="0"/>
              <w:jc w:val="center"/>
              <w:rPr>
                <w:color w:val="auto"/>
                <w:kern w:val="0"/>
                <w:sz w:val="21"/>
                <w:szCs w:val="21"/>
              </w:rPr>
            </w:pPr>
            <w:r>
              <w:rPr>
                <w:color w:val="auto"/>
                <w:kern w:val="0"/>
                <w:sz w:val="21"/>
                <w:szCs w:val="21"/>
              </w:rPr>
              <w:t>161</w:t>
            </w:r>
          </w:p>
        </w:tc>
        <w:tc>
          <w:tcPr>
            <w:tcW w:w="380" w:type="pct"/>
            <w:vAlign w:val="center"/>
          </w:tcPr>
          <w:p w14:paraId="061A45C5">
            <w:pPr>
              <w:widowControl/>
              <w:spacing w:line="240" w:lineRule="auto"/>
              <w:ind w:firstLine="0" w:firstLineChars="0"/>
              <w:jc w:val="center"/>
              <w:rPr>
                <w:color w:val="auto"/>
                <w:kern w:val="0"/>
                <w:sz w:val="21"/>
                <w:szCs w:val="21"/>
              </w:rPr>
            </w:pPr>
            <w:r>
              <w:rPr>
                <w:color w:val="auto"/>
                <w:kern w:val="0"/>
                <w:sz w:val="21"/>
                <w:szCs w:val="21"/>
              </w:rPr>
              <w:t>/</w:t>
            </w:r>
          </w:p>
        </w:tc>
        <w:tc>
          <w:tcPr>
            <w:tcW w:w="385" w:type="pct"/>
            <w:vAlign w:val="center"/>
          </w:tcPr>
          <w:p w14:paraId="59966838">
            <w:pPr>
              <w:widowControl/>
              <w:spacing w:line="240" w:lineRule="auto"/>
              <w:ind w:firstLine="0" w:firstLineChars="0"/>
              <w:jc w:val="center"/>
              <w:rPr>
                <w:color w:val="auto"/>
                <w:kern w:val="0"/>
                <w:sz w:val="21"/>
                <w:szCs w:val="21"/>
              </w:rPr>
            </w:pPr>
            <w:r>
              <w:rPr>
                <w:color w:val="auto"/>
                <w:kern w:val="0"/>
                <w:sz w:val="21"/>
                <w:szCs w:val="21"/>
              </w:rPr>
              <w:t>95.7</w:t>
            </w:r>
          </w:p>
        </w:tc>
        <w:tc>
          <w:tcPr>
            <w:tcW w:w="452" w:type="pct"/>
            <w:vAlign w:val="center"/>
          </w:tcPr>
          <w:p w14:paraId="66C23C88">
            <w:pPr>
              <w:widowControl/>
              <w:spacing w:line="240" w:lineRule="auto"/>
              <w:ind w:firstLine="0" w:firstLineChars="0"/>
              <w:jc w:val="center"/>
              <w:rPr>
                <w:color w:val="auto"/>
                <w:kern w:val="0"/>
                <w:sz w:val="21"/>
                <w:szCs w:val="21"/>
              </w:rPr>
            </w:pPr>
            <w:r>
              <w:rPr>
                <w:color w:val="auto"/>
                <w:kern w:val="0"/>
                <w:sz w:val="21"/>
                <w:szCs w:val="21"/>
              </w:rPr>
              <w:t>/</w:t>
            </w:r>
          </w:p>
        </w:tc>
        <w:tc>
          <w:tcPr>
            <w:tcW w:w="409" w:type="pct"/>
            <w:vAlign w:val="center"/>
          </w:tcPr>
          <w:p w14:paraId="53DF2D03">
            <w:pPr>
              <w:widowControl/>
              <w:spacing w:line="240" w:lineRule="auto"/>
              <w:ind w:firstLine="0" w:firstLineChars="0"/>
              <w:jc w:val="center"/>
              <w:rPr>
                <w:color w:val="auto"/>
                <w:kern w:val="0"/>
                <w:sz w:val="21"/>
                <w:szCs w:val="21"/>
              </w:rPr>
            </w:pPr>
            <w:r>
              <w:rPr>
                <w:color w:val="auto"/>
                <w:kern w:val="0"/>
                <w:sz w:val="21"/>
                <w:szCs w:val="21"/>
              </w:rPr>
              <w:t>61.5</w:t>
            </w:r>
          </w:p>
        </w:tc>
        <w:tc>
          <w:tcPr>
            <w:tcW w:w="390" w:type="pct"/>
            <w:vAlign w:val="center"/>
          </w:tcPr>
          <w:p w14:paraId="20607768">
            <w:pPr>
              <w:widowControl/>
              <w:spacing w:line="240" w:lineRule="auto"/>
              <w:ind w:firstLine="0" w:firstLineChars="0"/>
              <w:jc w:val="center"/>
              <w:rPr>
                <w:color w:val="auto"/>
                <w:kern w:val="0"/>
                <w:sz w:val="21"/>
                <w:szCs w:val="21"/>
              </w:rPr>
            </w:pPr>
            <w:r>
              <w:rPr>
                <w:color w:val="auto"/>
                <w:kern w:val="0"/>
                <w:sz w:val="21"/>
                <w:szCs w:val="21"/>
              </w:rPr>
              <w:t>/</w:t>
            </w:r>
          </w:p>
        </w:tc>
        <w:tc>
          <w:tcPr>
            <w:tcW w:w="388" w:type="pct"/>
            <w:vAlign w:val="center"/>
          </w:tcPr>
          <w:p w14:paraId="7FD6E090">
            <w:pPr>
              <w:adjustRightInd/>
              <w:snapToGrid/>
              <w:spacing w:line="240" w:lineRule="auto"/>
              <w:ind w:firstLine="0" w:firstLineChars="0"/>
              <w:jc w:val="center"/>
              <w:rPr>
                <w:color w:val="auto"/>
                <w:kern w:val="0"/>
                <w:sz w:val="21"/>
                <w:szCs w:val="21"/>
              </w:rPr>
            </w:pPr>
            <w:r>
              <w:rPr>
                <w:color w:val="auto"/>
                <w:sz w:val="21"/>
                <w:szCs w:val="21"/>
              </w:rPr>
              <w:t>103</w:t>
            </w:r>
          </w:p>
        </w:tc>
        <w:tc>
          <w:tcPr>
            <w:tcW w:w="413" w:type="pct"/>
            <w:vAlign w:val="center"/>
          </w:tcPr>
          <w:p w14:paraId="04BB2308">
            <w:pPr>
              <w:adjustRightInd/>
              <w:snapToGrid/>
              <w:spacing w:line="240" w:lineRule="auto"/>
              <w:ind w:firstLine="0" w:firstLineChars="0"/>
              <w:jc w:val="center"/>
              <w:rPr>
                <w:bCs/>
                <w:color w:val="auto"/>
                <w:kern w:val="0"/>
                <w:sz w:val="21"/>
                <w:szCs w:val="21"/>
              </w:rPr>
            </w:pPr>
            <w:r>
              <w:rPr>
                <w:bCs/>
                <w:color w:val="auto"/>
                <w:sz w:val="21"/>
                <w:szCs w:val="21"/>
              </w:rPr>
              <w:t>/</w:t>
            </w:r>
          </w:p>
        </w:tc>
      </w:tr>
      <w:tr w14:paraId="6F25B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4CDD251D">
            <w:pPr>
              <w:widowControl/>
              <w:spacing w:line="240" w:lineRule="auto"/>
              <w:ind w:firstLine="0" w:firstLineChars="0"/>
              <w:jc w:val="center"/>
              <w:rPr>
                <w:color w:val="auto"/>
                <w:kern w:val="0"/>
                <w:sz w:val="21"/>
                <w:szCs w:val="21"/>
              </w:rPr>
            </w:pPr>
            <w:r>
              <w:rPr>
                <w:color w:val="auto"/>
                <w:kern w:val="0"/>
                <w:sz w:val="21"/>
                <w:szCs w:val="21"/>
              </w:rPr>
              <w:t>镉(μg/L)</w:t>
            </w:r>
          </w:p>
        </w:tc>
        <w:tc>
          <w:tcPr>
            <w:tcW w:w="491" w:type="pct"/>
            <w:vAlign w:val="center"/>
          </w:tcPr>
          <w:p w14:paraId="40B29D01">
            <w:pPr>
              <w:widowControl/>
              <w:spacing w:line="240" w:lineRule="auto"/>
              <w:ind w:firstLine="0" w:firstLineChars="0"/>
              <w:jc w:val="center"/>
              <w:rPr>
                <w:color w:val="auto"/>
                <w:kern w:val="0"/>
                <w:sz w:val="21"/>
                <w:szCs w:val="21"/>
              </w:rPr>
            </w:pPr>
            <w:r>
              <w:rPr>
                <w:color w:val="auto"/>
                <w:kern w:val="0"/>
                <w:sz w:val="21"/>
                <w:szCs w:val="21"/>
              </w:rPr>
              <w:t>ND</w:t>
            </w:r>
          </w:p>
        </w:tc>
        <w:tc>
          <w:tcPr>
            <w:tcW w:w="397" w:type="pct"/>
            <w:vAlign w:val="center"/>
          </w:tcPr>
          <w:p w14:paraId="40F1A845">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6C252AD4">
            <w:pPr>
              <w:widowControl/>
              <w:spacing w:line="240" w:lineRule="auto"/>
              <w:ind w:firstLine="0" w:firstLineChars="0"/>
              <w:jc w:val="center"/>
              <w:rPr>
                <w:color w:val="auto"/>
                <w:kern w:val="0"/>
                <w:sz w:val="21"/>
                <w:szCs w:val="21"/>
              </w:rPr>
            </w:pPr>
            <w:r>
              <w:rPr>
                <w:color w:val="auto"/>
                <w:kern w:val="0"/>
                <w:sz w:val="21"/>
                <w:szCs w:val="21"/>
              </w:rPr>
              <w:t>ND</w:t>
            </w:r>
          </w:p>
        </w:tc>
        <w:tc>
          <w:tcPr>
            <w:tcW w:w="380" w:type="pct"/>
            <w:vAlign w:val="center"/>
          </w:tcPr>
          <w:p w14:paraId="54A29D89">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32267D7B">
            <w:pPr>
              <w:widowControl/>
              <w:spacing w:line="240" w:lineRule="auto"/>
              <w:ind w:firstLine="0" w:firstLineChars="0"/>
              <w:jc w:val="center"/>
              <w:rPr>
                <w:color w:val="auto"/>
                <w:kern w:val="0"/>
                <w:sz w:val="21"/>
                <w:szCs w:val="21"/>
              </w:rPr>
            </w:pPr>
            <w:r>
              <w:rPr>
                <w:color w:val="auto"/>
                <w:kern w:val="0"/>
                <w:sz w:val="21"/>
                <w:szCs w:val="21"/>
              </w:rPr>
              <w:t>2.46</w:t>
            </w:r>
          </w:p>
        </w:tc>
        <w:tc>
          <w:tcPr>
            <w:tcW w:w="452" w:type="pct"/>
            <w:vAlign w:val="center"/>
          </w:tcPr>
          <w:p w14:paraId="0CD3D312">
            <w:pPr>
              <w:widowControl/>
              <w:spacing w:line="240" w:lineRule="auto"/>
              <w:ind w:firstLine="0" w:firstLineChars="0"/>
              <w:jc w:val="center"/>
              <w:rPr>
                <w:color w:val="auto"/>
                <w:kern w:val="0"/>
                <w:sz w:val="21"/>
                <w:szCs w:val="21"/>
              </w:rPr>
            </w:pPr>
            <w:r>
              <w:rPr>
                <w:color w:val="auto"/>
                <w:kern w:val="0"/>
                <w:sz w:val="21"/>
                <w:szCs w:val="21"/>
              </w:rPr>
              <w:t>Ⅲ</w:t>
            </w:r>
          </w:p>
        </w:tc>
        <w:tc>
          <w:tcPr>
            <w:tcW w:w="409" w:type="pct"/>
            <w:vAlign w:val="center"/>
          </w:tcPr>
          <w:p w14:paraId="7B85397A">
            <w:pPr>
              <w:widowControl/>
              <w:spacing w:line="240" w:lineRule="auto"/>
              <w:ind w:firstLine="0" w:firstLineChars="0"/>
              <w:jc w:val="center"/>
              <w:rPr>
                <w:color w:val="auto"/>
                <w:kern w:val="0"/>
                <w:sz w:val="21"/>
                <w:szCs w:val="21"/>
              </w:rPr>
            </w:pPr>
            <w:r>
              <w:rPr>
                <w:color w:val="auto"/>
                <w:kern w:val="0"/>
                <w:sz w:val="21"/>
                <w:szCs w:val="21"/>
              </w:rPr>
              <w:t>0.20</w:t>
            </w:r>
          </w:p>
        </w:tc>
        <w:tc>
          <w:tcPr>
            <w:tcW w:w="390" w:type="pct"/>
            <w:vAlign w:val="center"/>
          </w:tcPr>
          <w:p w14:paraId="10B7745A">
            <w:pPr>
              <w:widowControl/>
              <w:spacing w:line="240" w:lineRule="auto"/>
              <w:ind w:firstLine="0" w:firstLineChars="0"/>
              <w:jc w:val="center"/>
              <w:rPr>
                <w:color w:val="auto"/>
                <w:kern w:val="0"/>
                <w:sz w:val="21"/>
                <w:szCs w:val="21"/>
              </w:rPr>
            </w:pPr>
            <w:r>
              <w:rPr>
                <w:color w:val="auto"/>
                <w:kern w:val="0"/>
                <w:sz w:val="21"/>
                <w:szCs w:val="21"/>
              </w:rPr>
              <w:t>Ⅱ</w:t>
            </w:r>
          </w:p>
        </w:tc>
        <w:tc>
          <w:tcPr>
            <w:tcW w:w="388" w:type="pct"/>
            <w:vAlign w:val="center"/>
          </w:tcPr>
          <w:p w14:paraId="7EBBD08A">
            <w:pPr>
              <w:adjustRightInd/>
              <w:snapToGrid/>
              <w:spacing w:line="240" w:lineRule="auto"/>
              <w:ind w:firstLine="0" w:firstLineChars="0"/>
              <w:jc w:val="center"/>
              <w:rPr>
                <w:color w:val="auto"/>
                <w:kern w:val="0"/>
                <w:sz w:val="21"/>
                <w:szCs w:val="21"/>
              </w:rPr>
            </w:pPr>
            <w:r>
              <w:rPr>
                <w:color w:val="auto"/>
                <w:sz w:val="21"/>
                <w:szCs w:val="21"/>
              </w:rPr>
              <w:t>ND</w:t>
            </w:r>
          </w:p>
        </w:tc>
        <w:tc>
          <w:tcPr>
            <w:tcW w:w="413" w:type="pct"/>
            <w:vAlign w:val="center"/>
          </w:tcPr>
          <w:p w14:paraId="52072288">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189B9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7815DA7F">
            <w:pPr>
              <w:widowControl/>
              <w:spacing w:line="240" w:lineRule="auto"/>
              <w:ind w:firstLine="0" w:firstLineChars="0"/>
              <w:jc w:val="center"/>
              <w:rPr>
                <w:color w:val="auto"/>
                <w:kern w:val="0"/>
                <w:sz w:val="21"/>
                <w:szCs w:val="21"/>
              </w:rPr>
            </w:pPr>
            <w:r>
              <w:rPr>
                <w:color w:val="auto"/>
                <w:kern w:val="0"/>
                <w:sz w:val="21"/>
                <w:szCs w:val="21"/>
              </w:rPr>
              <w:t>汞(μg/L)</w:t>
            </w:r>
          </w:p>
        </w:tc>
        <w:tc>
          <w:tcPr>
            <w:tcW w:w="491" w:type="pct"/>
            <w:vAlign w:val="center"/>
          </w:tcPr>
          <w:p w14:paraId="011A62A3">
            <w:pPr>
              <w:widowControl/>
              <w:spacing w:line="240" w:lineRule="auto"/>
              <w:ind w:firstLine="0" w:firstLineChars="0"/>
              <w:jc w:val="center"/>
              <w:rPr>
                <w:color w:val="auto"/>
                <w:kern w:val="0"/>
                <w:sz w:val="21"/>
                <w:szCs w:val="21"/>
              </w:rPr>
            </w:pPr>
            <w:r>
              <w:rPr>
                <w:color w:val="auto"/>
                <w:kern w:val="0"/>
                <w:sz w:val="21"/>
                <w:szCs w:val="21"/>
              </w:rPr>
              <w:t>0.04</w:t>
            </w:r>
          </w:p>
        </w:tc>
        <w:tc>
          <w:tcPr>
            <w:tcW w:w="397" w:type="pct"/>
            <w:vAlign w:val="center"/>
          </w:tcPr>
          <w:p w14:paraId="397917D0">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631C3687">
            <w:pPr>
              <w:widowControl/>
              <w:spacing w:line="240" w:lineRule="auto"/>
              <w:ind w:firstLine="0" w:firstLineChars="0"/>
              <w:jc w:val="center"/>
              <w:rPr>
                <w:color w:val="auto"/>
                <w:kern w:val="0"/>
                <w:sz w:val="21"/>
                <w:szCs w:val="21"/>
              </w:rPr>
            </w:pPr>
            <w:r>
              <w:rPr>
                <w:color w:val="auto"/>
                <w:kern w:val="0"/>
                <w:sz w:val="21"/>
                <w:szCs w:val="21"/>
              </w:rPr>
              <w:t>ND</w:t>
            </w:r>
          </w:p>
        </w:tc>
        <w:tc>
          <w:tcPr>
            <w:tcW w:w="380" w:type="pct"/>
            <w:vAlign w:val="center"/>
          </w:tcPr>
          <w:p w14:paraId="28214E40">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26AE9C55">
            <w:pPr>
              <w:widowControl/>
              <w:spacing w:line="240" w:lineRule="auto"/>
              <w:ind w:firstLine="0" w:firstLineChars="0"/>
              <w:jc w:val="center"/>
              <w:rPr>
                <w:color w:val="auto"/>
                <w:kern w:val="0"/>
                <w:sz w:val="21"/>
                <w:szCs w:val="21"/>
              </w:rPr>
            </w:pPr>
            <w:r>
              <w:rPr>
                <w:color w:val="auto"/>
                <w:kern w:val="0"/>
                <w:sz w:val="21"/>
                <w:szCs w:val="21"/>
              </w:rPr>
              <w:t>0.04</w:t>
            </w:r>
          </w:p>
        </w:tc>
        <w:tc>
          <w:tcPr>
            <w:tcW w:w="452" w:type="pct"/>
            <w:vAlign w:val="center"/>
          </w:tcPr>
          <w:p w14:paraId="5C26F72E">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1189484B">
            <w:pPr>
              <w:widowControl/>
              <w:spacing w:line="240" w:lineRule="auto"/>
              <w:ind w:firstLine="0" w:firstLineChars="0"/>
              <w:jc w:val="center"/>
              <w:rPr>
                <w:color w:val="auto"/>
                <w:kern w:val="0"/>
                <w:sz w:val="21"/>
                <w:szCs w:val="21"/>
              </w:rPr>
            </w:pPr>
            <w:r>
              <w:rPr>
                <w:color w:val="auto"/>
                <w:kern w:val="0"/>
                <w:sz w:val="21"/>
                <w:szCs w:val="21"/>
              </w:rPr>
              <w:t>0.06</w:t>
            </w:r>
          </w:p>
        </w:tc>
        <w:tc>
          <w:tcPr>
            <w:tcW w:w="390" w:type="pct"/>
            <w:vAlign w:val="center"/>
          </w:tcPr>
          <w:p w14:paraId="51ACC193">
            <w:pPr>
              <w:widowControl/>
              <w:spacing w:line="240" w:lineRule="auto"/>
              <w:ind w:firstLine="0" w:firstLineChars="0"/>
              <w:jc w:val="center"/>
              <w:rPr>
                <w:color w:val="auto"/>
                <w:kern w:val="0"/>
                <w:sz w:val="21"/>
                <w:szCs w:val="21"/>
              </w:rPr>
            </w:pPr>
            <w:r>
              <w:rPr>
                <w:color w:val="auto"/>
                <w:kern w:val="0"/>
                <w:sz w:val="21"/>
                <w:szCs w:val="21"/>
              </w:rPr>
              <w:t>Ⅰ</w:t>
            </w:r>
          </w:p>
        </w:tc>
        <w:tc>
          <w:tcPr>
            <w:tcW w:w="388" w:type="pct"/>
            <w:vAlign w:val="center"/>
          </w:tcPr>
          <w:p w14:paraId="66DB770B">
            <w:pPr>
              <w:adjustRightInd/>
              <w:snapToGrid/>
              <w:spacing w:line="240" w:lineRule="auto"/>
              <w:ind w:firstLine="0" w:firstLineChars="0"/>
              <w:jc w:val="center"/>
              <w:rPr>
                <w:color w:val="auto"/>
                <w:kern w:val="0"/>
                <w:sz w:val="21"/>
                <w:szCs w:val="21"/>
              </w:rPr>
            </w:pPr>
            <w:r>
              <w:rPr>
                <w:color w:val="auto"/>
                <w:sz w:val="21"/>
                <w:szCs w:val="21"/>
              </w:rPr>
              <w:t>0.09</w:t>
            </w:r>
          </w:p>
        </w:tc>
        <w:tc>
          <w:tcPr>
            <w:tcW w:w="413" w:type="pct"/>
            <w:vAlign w:val="center"/>
          </w:tcPr>
          <w:p w14:paraId="2D14A262">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3117D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90" w:type="pct"/>
            <w:vAlign w:val="center"/>
          </w:tcPr>
          <w:p w14:paraId="7D118CF8">
            <w:pPr>
              <w:widowControl/>
              <w:spacing w:line="240" w:lineRule="auto"/>
              <w:ind w:firstLine="0" w:firstLineChars="0"/>
              <w:jc w:val="center"/>
              <w:rPr>
                <w:color w:val="auto"/>
                <w:kern w:val="0"/>
                <w:sz w:val="21"/>
                <w:szCs w:val="21"/>
              </w:rPr>
            </w:pPr>
            <w:r>
              <w:rPr>
                <w:color w:val="auto"/>
                <w:kern w:val="0"/>
                <w:sz w:val="21"/>
                <w:szCs w:val="21"/>
              </w:rPr>
              <w:t>六价铬(μg/L)</w:t>
            </w:r>
          </w:p>
        </w:tc>
        <w:tc>
          <w:tcPr>
            <w:tcW w:w="491" w:type="pct"/>
            <w:vAlign w:val="center"/>
          </w:tcPr>
          <w:p w14:paraId="7B56604C">
            <w:pPr>
              <w:widowControl/>
              <w:spacing w:line="240" w:lineRule="auto"/>
              <w:ind w:firstLine="0" w:firstLineChars="0"/>
              <w:jc w:val="center"/>
              <w:rPr>
                <w:color w:val="auto"/>
                <w:kern w:val="0"/>
                <w:sz w:val="21"/>
                <w:szCs w:val="21"/>
              </w:rPr>
            </w:pPr>
            <w:r>
              <w:rPr>
                <w:color w:val="auto"/>
                <w:kern w:val="0"/>
                <w:sz w:val="21"/>
                <w:szCs w:val="21"/>
              </w:rPr>
              <w:t>ND</w:t>
            </w:r>
          </w:p>
        </w:tc>
        <w:tc>
          <w:tcPr>
            <w:tcW w:w="397" w:type="pct"/>
            <w:vAlign w:val="center"/>
          </w:tcPr>
          <w:p w14:paraId="5BBDEBE5">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2F592C3E">
            <w:pPr>
              <w:widowControl/>
              <w:spacing w:line="240" w:lineRule="auto"/>
              <w:ind w:firstLine="0" w:firstLineChars="0"/>
              <w:jc w:val="center"/>
              <w:rPr>
                <w:color w:val="auto"/>
                <w:kern w:val="0"/>
                <w:sz w:val="21"/>
                <w:szCs w:val="21"/>
              </w:rPr>
            </w:pPr>
            <w:r>
              <w:rPr>
                <w:color w:val="auto"/>
                <w:kern w:val="0"/>
                <w:sz w:val="21"/>
                <w:szCs w:val="21"/>
              </w:rPr>
              <w:t>ND</w:t>
            </w:r>
          </w:p>
        </w:tc>
        <w:tc>
          <w:tcPr>
            <w:tcW w:w="380" w:type="pct"/>
            <w:vAlign w:val="center"/>
          </w:tcPr>
          <w:p w14:paraId="0C6A2806">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197956AD">
            <w:pPr>
              <w:widowControl/>
              <w:spacing w:line="240" w:lineRule="auto"/>
              <w:ind w:firstLine="0" w:firstLineChars="0"/>
              <w:jc w:val="center"/>
              <w:rPr>
                <w:color w:val="auto"/>
                <w:kern w:val="0"/>
                <w:sz w:val="21"/>
                <w:szCs w:val="21"/>
              </w:rPr>
            </w:pPr>
            <w:r>
              <w:rPr>
                <w:color w:val="auto"/>
                <w:kern w:val="0"/>
                <w:sz w:val="21"/>
                <w:szCs w:val="21"/>
              </w:rPr>
              <w:t>ND</w:t>
            </w:r>
          </w:p>
        </w:tc>
        <w:tc>
          <w:tcPr>
            <w:tcW w:w="452" w:type="pct"/>
            <w:vAlign w:val="center"/>
          </w:tcPr>
          <w:p w14:paraId="540036A5">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66EF4A6B">
            <w:pPr>
              <w:widowControl/>
              <w:spacing w:line="240" w:lineRule="auto"/>
              <w:ind w:firstLine="0" w:firstLineChars="0"/>
              <w:jc w:val="center"/>
              <w:rPr>
                <w:color w:val="auto"/>
                <w:kern w:val="0"/>
                <w:sz w:val="21"/>
                <w:szCs w:val="21"/>
              </w:rPr>
            </w:pPr>
            <w:r>
              <w:rPr>
                <w:color w:val="auto"/>
                <w:kern w:val="0"/>
                <w:sz w:val="21"/>
                <w:szCs w:val="21"/>
              </w:rPr>
              <w:t>ND</w:t>
            </w:r>
          </w:p>
        </w:tc>
        <w:tc>
          <w:tcPr>
            <w:tcW w:w="390" w:type="pct"/>
            <w:vAlign w:val="center"/>
          </w:tcPr>
          <w:p w14:paraId="77720718">
            <w:pPr>
              <w:widowControl/>
              <w:spacing w:line="240" w:lineRule="auto"/>
              <w:ind w:firstLine="0" w:firstLineChars="0"/>
              <w:jc w:val="center"/>
              <w:rPr>
                <w:color w:val="auto"/>
                <w:kern w:val="0"/>
                <w:sz w:val="21"/>
                <w:szCs w:val="21"/>
              </w:rPr>
            </w:pPr>
            <w:r>
              <w:rPr>
                <w:color w:val="auto"/>
                <w:kern w:val="0"/>
                <w:sz w:val="21"/>
                <w:szCs w:val="21"/>
              </w:rPr>
              <w:t>Ⅰ</w:t>
            </w:r>
          </w:p>
        </w:tc>
        <w:tc>
          <w:tcPr>
            <w:tcW w:w="388" w:type="pct"/>
            <w:vAlign w:val="center"/>
          </w:tcPr>
          <w:p w14:paraId="14B9435D">
            <w:pPr>
              <w:adjustRightInd/>
              <w:snapToGrid/>
              <w:spacing w:line="240" w:lineRule="auto"/>
              <w:ind w:firstLine="0" w:firstLineChars="0"/>
              <w:jc w:val="center"/>
              <w:rPr>
                <w:color w:val="auto"/>
                <w:kern w:val="0"/>
                <w:sz w:val="21"/>
                <w:szCs w:val="21"/>
              </w:rPr>
            </w:pPr>
            <w:r>
              <w:rPr>
                <w:color w:val="auto"/>
                <w:sz w:val="21"/>
                <w:szCs w:val="21"/>
              </w:rPr>
              <w:t>ND</w:t>
            </w:r>
          </w:p>
        </w:tc>
        <w:tc>
          <w:tcPr>
            <w:tcW w:w="413" w:type="pct"/>
            <w:vAlign w:val="center"/>
          </w:tcPr>
          <w:p w14:paraId="22533D2B">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16A31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890" w:type="pct"/>
            <w:vAlign w:val="center"/>
          </w:tcPr>
          <w:p w14:paraId="04B309E6">
            <w:pPr>
              <w:widowControl/>
              <w:spacing w:line="240" w:lineRule="auto"/>
              <w:ind w:firstLine="0" w:firstLineChars="0"/>
              <w:jc w:val="center"/>
              <w:rPr>
                <w:color w:val="auto"/>
                <w:kern w:val="0"/>
                <w:sz w:val="21"/>
                <w:szCs w:val="21"/>
              </w:rPr>
            </w:pPr>
            <w:r>
              <w:rPr>
                <w:color w:val="auto"/>
                <w:kern w:val="0"/>
                <w:sz w:val="21"/>
                <w:szCs w:val="21"/>
              </w:rPr>
              <w:t>钾</w:t>
            </w:r>
          </w:p>
        </w:tc>
        <w:tc>
          <w:tcPr>
            <w:tcW w:w="491" w:type="pct"/>
            <w:vAlign w:val="center"/>
          </w:tcPr>
          <w:p w14:paraId="2C5DEE61">
            <w:pPr>
              <w:widowControl/>
              <w:spacing w:line="240" w:lineRule="auto"/>
              <w:ind w:firstLine="0" w:firstLineChars="0"/>
              <w:jc w:val="center"/>
              <w:rPr>
                <w:color w:val="auto"/>
                <w:kern w:val="0"/>
                <w:sz w:val="21"/>
                <w:szCs w:val="21"/>
              </w:rPr>
            </w:pPr>
            <w:r>
              <w:rPr>
                <w:color w:val="auto"/>
                <w:kern w:val="0"/>
                <w:sz w:val="21"/>
                <w:szCs w:val="21"/>
              </w:rPr>
              <w:t>9.56</w:t>
            </w:r>
          </w:p>
        </w:tc>
        <w:tc>
          <w:tcPr>
            <w:tcW w:w="397" w:type="pct"/>
            <w:vAlign w:val="center"/>
          </w:tcPr>
          <w:p w14:paraId="11952F84">
            <w:pPr>
              <w:widowControl/>
              <w:spacing w:line="240" w:lineRule="auto"/>
              <w:ind w:firstLine="0" w:firstLineChars="0"/>
              <w:jc w:val="center"/>
              <w:rPr>
                <w:color w:val="auto"/>
                <w:kern w:val="0"/>
                <w:sz w:val="21"/>
                <w:szCs w:val="21"/>
              </w:rPr>
            </w:pPr>
            <w:r>
              <w:rPr>
                <w:color w:val="auto"/>
                <w:kern w:val="0"/>
                <w:sz w:val="21"/>
                <w:szCs w:val="21"/>
              </w:rPr>
              <w:t>/</w:t>
            </w:r>
          </w:p>
        </w:tc>
        <w:tc>
          <w:tcPr>
            <w:tcW w:w="405" w:type="pct"/>
            <w:vAlign w:val="center"/>
          </w:tcPr>
          <w:p w14:paraId="6E8536E7">
            <w:pPr>
              <w:widowControl/>
              <w:spacing w:line="240" w:lineRule="auto"/>
              <w:ind w:firstLine="0" w:firstLineChars="0"/>
              <w:jc w:val="center"/>
              <w:rPr>
                <w:color w:val="auto"/>
                <w:kern w:val="0"/>
                <w:sz w:val="21"/>
                <w:szCs w:val="21"/>
              </w:rPr>
            </w:pPr>
            <w:r>
              <w:rPr>
                <w:color w:val="auto"/>
                <w:kern w:val="0"/>
                <w:sz w:val="21"/>
                <w:szCs w:val="21"/>
              </w:rPr>
              <w:t>8.83</w:t>
            </w:r>
          </w:p>
        </w:tc>
        <w:tc>
          <w:tcPr>
            <w:tcW w:w="380" w:type="pct"/>
            <w:vAlign w:val="center"/>
          </w:tcPr>
          <w:p w14:paraId="2E3A6FE7">
            <w:pPr>
              <w:widowControl/>
              <w:spacing w:line="240" w:lineRule="auto"/>
              <w:ind w:firstLine="0" w:firstLineChars="0"/>
              <w:jc w:val="center"/>
              <w:rPr>
                <w:color w:val="auto"/>
                <w:kern w:val="0"/>
                <w:sz w:val="21"/>
                <w:szCs w:val="21"/>
              </w:rPr>
            </w:pPr>
            <w:r>
              <w:rPr>
                <w:color w:val="auto"/>
                <w:kern w:val="0"/>
                <w:sz w:val="21"/>
                <w:szCs w:val="21"/>
              </w:rPr>
              <w:t>/</w:t>
            </w:r>
          </w:p>
        </w:tc>
        <w:tc>
          <w:tcPr>
            <w:tcW w:w="385" w:type="pct"/>
            <w:vAlign w:val="center"/>
          </w:tcPr>
          <w:p w14:paraId="7124BB81">
            <w:pPr>
              <w:widowControl/>
              <w:spacing w:line="240" w:lineRule="auto"/>
              <w:ind w:firstLine="0" w:firstLineChars="0"/>
              <w:jc w:val="center"/>
              <w:rPr>
                <w:color w:val="auto"/>
                <w:kern w:val="0"/>
                <w:sz w:val="21"/>
                <w:szCs w:val="21"/>
              </w:rPr>
            </w:pPr>
            <w:r>
              <w:rPr>
                <w:color w:val="auto"/>
                <w:kern w:val="0"/>
                <w:sz w:val="21"/>
                <w:szCs w:val="21"/>
              </w:rPr>
              <w:t>17.7</w:t>
            </w:r>
          </w:p>
        </w:tc>
        <w:tc>
          <w:tcPr>
            <w:tcW w:w="452" w:type="pct"/>
            <w:vAlign w:val="center"/>
          </w:tcPr>
          <w:p w14:paraId="79E5F2E3">
            <w:pPr>
              <w:widowControl/>
              <w:spacing w:line="240" w:lineRule="auto"/>
              <w:ind w:firstLine="0" w:firstLineChars="0"/>
              <w:jc w:val="center"/>
              <w:rPr>
                <w:color w:val="auto"/>
                <w:kern w:val="0"/>
                <w:sz w:val="21"/>
                <w:szCs w:val="21"/>
              </w:rPr>
            </w:pPr>
            <w:r>
              <w:rPr>
                <w:color w:val="auto"/>
                <w:kern w:val="0"/>
                <w:sz w:val="21"/>
                <w:szCs w:val="21"/>
              </w:rPr>
              <w:t>/</w:t>
            </w:r>
          </w:p>
        </w:tc>
        <w:tc>
          <w:tcPr>
            <w:tcW w:w="409" w:type="pct"/>
            <w:vAlign w:val="center"/>
          </w:tcPr>
          <w:p w14:paraId="6889B9D1">
            <w:pPr>
              <w:widowControl/>
              <w:spacing w:line="240" w:lineRule="auto"/>
              <w:ind w:firstLine="0" w:firstLineChars="0"/>
              <w:jc w:val="center"/>
              <w:rPr>
                <w:color w:val="auto"/>
                <w:kern w:val="0"/>
                <w:sz w:val="21"/>
                <w:szCs w:val="21"/>
              </w:rPr>
            </w:pPr>
            <w:r>
              <w:rPr>
                <w:color w:val="auto"/>
                <w:kern w:val="0"/>
                <w:sz w:val="21"/>
                <w:szCs w:val="21"/>
              </w:rPr>
              <w:t>18.3</w:t>
            </w:r>
          </w:p>
        </w:tc>
        <w:tc>
          <w:tcPr>
            <w:tcW w:w="390" w:type="pct"/>
            <w:vAlign w:val="center"/>
          </w:tcPr>
          <w:p w14:paraId="2A7C506F">
            <w:pPr>
              <w:widowControl/>
              <w:spacing w:line="240" w:lineRule="auto"/>
              <w:ind w:firstLine="0" w:firstLineChars="0"/>
              <w:jc w:val="center"/>
              <w:rPr>
                <w:color w:val="auto"/>
                <w:kern w:val="0"/>
                <w:sz w:val="21"/>
                <w:szCs w:val="21"/>
              </w:rPr>
            </w:pPr>
            <w:r>
              <w:rPr>
                <w:color w:val="auto"/>
                <w:kern w:val="0"/>
                <w:sz w:val="21"/>
                <w:szCs w:val="21"/>
              </w:rPr>
              <w:t>/</w:t>
            </w:r>
          </w:p>
        </w:tc>
        <w:tc>
          <w:tcPr>
            <w:tcW w:w="388" w:type="pct"/>
            <w:vAlign w:val="center"/>
          </w:tcPr>
          <w:p w14:paraId="4E1D2312">
            <w:pPr>
              <w:adjustRightInd/>
              <w:snapToGrid/>
              <w:spacing w:line="240" w:lineRule="auto"/>
              <w:ind w:firstLine="0" w:firstLineChars="0"/>
              <w:jc w:val="center"/>
              <w:rPr>
                <w:color w:val="auto"/>
                <w:kern w:val="0"/>
                <w:sz w:val="21"/>
                <w:szCs w:val="21"/>
              </w:rPr>
            </w:pPr>
            <w:r>
              <w:rPr>
                <w:color w:val="auto"/>
                <w:sz w:val="21"/>
                <w:szCs w:val="21"/>
              </w:rPr>
              <w:t>20.1</w:t>
            </w:r>
          </w:p>
        </w:tc>
        <w:tc>
          <w:tcPr>
            <w:tcW w:w="413" w:type="pct"/>
            <w:vAlign w:val="center"/>
          </w:tcPr>
          <w:p w14:paraId="3B5BF134">
            <w:pPr>
              <w:adjustRightInd/>
              <w:snapToGrid/>
              <w:spacing w:line="240" w:lineRule="auto"/>
              <w:ind w:firstLine="0" w:firstLineChars="0"/>
              <w:jc w:val="center"/>
              <w:rPr>
                <w:bCs/>
                <w:color w:val="auto"/>
                <w:kern w:val="0"/>
                <w:sz w:val="21"/>
                <w:szCs w:val="21"/>
              </w:rPr>
            </w:pPr>
            <w:r>
              <w:rPr>
                <w:bCs/>
                <w:color w:val="auto"/>
                <w:sz w:val="21"/>
                <w:szCs w:val="21"/>
              </w:rPr>
              <w:t>/</w:t>
            </w:r>
          </w:p>
        </w:tc>
      </w:tr>
      <w:tr w14:paraId="0410D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005A9017">
            <w:pPr>
              <w:widowControl/>
              <w:spacing w:line="240" w:lineRule="auto"/>
              <w:ind w:firstLine="0" w:firstLineChars="0"/>
              <w:jc w:val="center"/>
              <w:rPr>
                <w:color w:val="auto"/>
                <w:kern w:val="0"/>
                <w:sz w:val="21"/>
                <w:szCs w:val="21"/>
              </w:rPr>
            </w:pPr>
            <w:r>
              <w:rPr>
                <w:color w:val="auto"/>
                <w:kern w:val="0"/>
                <w:sz w:val="21"/>
                <w:szCs w:val="21"/>
              </w:rPr>
              <w:t>镁</w:t>
            </w:r>
          </w:p>
        </w:tc>
        <w:tc>
          <w:tcPr>
            <w:tcW w:w="491" w:type="pct"/>
            <w:vAlign w:val="center"/>
          </w:tcPr>
          <w:p w14:paraId="5500616D">
            <w:pPr>
              <w:widowControl/>
              <w:spacing w:line="240" w:lineRule="auto"/>
              <w:ind w:firstLine="0" w:firstLineChars="0"/>
              <w:jc w:val="center"/>
              <w:rPr>
                <w:color w:val="auto"/>
                <w:kern w:val="0"/>
                <w:sz w:val="21"/>
                <w:szCs w:val="21"/>
              </w:rPr>
            </w:pPr>
            <w:r>
              <w:rPr>
                <w:color w:val="auto"/>
                <w:kern w:val="0"/>
                <w:sz w:val="21"/>
                <w:szCs w:val="21"/>
              </w:rPr>
              <w:t>15.7</w:t>
            </w:r>
          </w:p>
        </w:tc>
        <w:tc>
          <w:tcPr>
            <w:tcW w:w="397" w:type="pct"/>
            <w:vAlign w:val="center"/>
          </w:tcPr>
          <w:p w14:paraId="715ABA3A">
            <w:pPr>
              <w:widowControl/>
              <w:spacing w:line="240" w:lineRule="auto"/>
              <w:ind w:firstLine="0" w:firstLineChars="0"/>
              <w:jc w:val="center"/>
              <w:rPr>
                <w:color w:val="auto"/>
                <w:kern w:val="0"/>
                <w:sz w:val="21"/>
                <w:szCs w:val="21"/>
              </w:rPr>
            </w:pPr>
            <w:r>
              <w:rPr>
                <w:color w:val="auto"/>
                <w:kern w:val="0"/>
                <w:sz w:val="21"/>
                <w:szCs w:val="21"/>
              </w:rPr>
              <w:t>/</w:t>
            </w:r>
          </w:p>
        </w:tc>
        <w:tc>
          <w:tcPr>
            <w:tcW w:w="405" w:type="pct"/>
            <w:vAlign w:val="center"/>
          </w:tcPr>
          <w:p w14:paraId="5571A4A0">
            <w:pPr>
              <w:widowControl/>
              <w:spacing w:line="240" w:lineRule="auto"/>
              <w:ind w:firstLine="0" w:firstLineChars="0"/>
              <w:jc w:val="center"/>
              <w:rPr>
                <w:color w:val="auto"/>
                <w:kern w:val="0"/>
                <w:sz w:val="21"/>
                <w:szCs w:val="21"/>
              </w:rPr>
            </w:pPr>
            <w:r>
              <w:rPr>
                <w:color w:val="auto"/>
                <w:kern w:val="0"/>
                <w:sz w:val="21"/>
                <w:szCs w:val="21"/>
              </w:rPr>
              <w:t>22.5</w:t>
            </w:r>
          </w:p>
        </w:tc>
        <w:tc>
          <w:tcPr>
            <w:tcW w:w="380" w:type="pct"/>
            <w:vAlign w:val="center"/>
          </w:tcPr>
          <w:p w14:paraId="3DF1A4E0">
            <w:pPr>
              <w:widowControl/>
              <w:spacing w:line="240" w:lineRule="auto"/>
              <w:ind w:firstLine="0" w:firstLineChars="0"/>
              <w:jc w:val="center"/>
              <w:rPr>
                <w:color w:val="auto"/>
                <w:kern w:val="0"/>
                <w:sz w:val="21"/>
                <w:szCs w:val="21"/>
              </w:rPr>
            </w:pPr>
            <w:r>
              <w:rPr>
                <w:color w:val="auto"/>
                <w:kern w:val="0"/>
                <w:sz w:val="21"/>
                <w:szCs w:val="21"/>
              </w:rPr>
              <w:t>/</w:t>
            </w:r>
          </w:p>
        </w:tc>
        <w:tc>
          <w:tcPr>
            <w:tcW w:w="385" w:type="pct"/>
            <w:vAlign w:val="center"/>
          </w:tcPr>
          <w:p w14:paraId="7FF6A1C1">
            <w:pPr>
              <w:widowControl/>
              <w:spacing w:line="240" w:lineRule="auto"/>
              <w:ind w:firstLine="0" w:firstLineChars="0"/>
              <w:jc w:val="center"/>
              <w:rPr>
                <w:color w:val="auto"/>
                <w:kern w:val="0"/>
                <w:sz w:val="21"/>
                <w:szCs w:val="21"/>
              </w:rPr>
            </w:pPr>
            <w:r>
              <w:rPr>
                <w:color w:val="auto"/>
                <w:kern w:val="0"/>
                <w:sz w:val="21"/>
                <w:szCs w:val="21"/>
              </w:rPr>
              <w:t>20.3</w:t>
            </w:r>
          </w:p>
        </w:tc>
        <w:tc>
          <w:tcPr>
            <w:tcW w:w="452" w:type="pct"/>
            <w:vAlign w:val="center"/>
          </w:tcPr>
          <w:p w14:paraId="28FF37DE">
            <w:pPr>
              <w:widowControl/>
              <w:spacing w:line="240" w:lineRule="auto"/>
              <w:ind w:firstLine="0" w:firstLineChars="0"/>
              <w:jc w:val="center"/>
              <w:rPr>
                <w:color w:val="auto"/>
                <w:kern w:val="0"/>
                <w:sz w:val="21"/>
                <w:szCs w:val="21"/>
              </w:rPr>
            </w:pPr>
            <w:r>
              <w:rPr>
                <w:color w:val="auto"/>
                <w:kern w:val="0"/>
                <w:sz w:val="21"/>
                <w:szCs w:val="21"/>
              </w:rPr>
              <w:t>/</w:t>
            </w:r>
          </w:p>
        </w:tc>
        <w:tc>
          <w:tcPr>
            <w:tcW w:w="409" w:type="pct"/>
            <w:vAlign w:val="center"/>
          </w:tcPr>
          <w:p w14:paraId="007BF1FC">
            <w:pPr>
              <w:widowControl/>
              <w:spacing w:line="240" w:lineRule="auto"/>
              <w:ind w:firstLine="0" w:firstLineChars="0"/>
              <w:jc w:val="center"/>
              <w:rPr>
                <w:color w:val="auto"/>
                <w:kern w:val="0"/>
                <w:sz w:val="21"/>
                <w:szCs w:val="21"/>
              </w:rPr>
            </w:pPr>
            <w:r>
              <w:rPr>
                <w:color w:val="auto"/>
                <w:kern w:val="0"/>
                <w:sz w:val="21"/>
                <w:szCs w:val="21"/>
              </w:rPr>
              <w:t>8.53</w:t>
            </w:r>
          </w:p>
        </w:tc>
        <w:tc>
          <w:tcPr>
            <w:tcW w:w="390" w:type="pct"/>
            <w:vAlign w:val="center"/>
          </w:tcPr>
          <w:p w14:paraId="1FB5C298">
            <w:pPr>
              <w:widowControl/>
              <w:spacing w:line="240" w:lineRule="auto"/>
              <w:ind w:firstLine="0" w:firstLineChars="0"/>
              <w:jc w:val="center"/>
              <w:rPr>
                <w:color w:val="auto"/>
                <w:kern w:val="0"/>
                <w:sz w:val="21"/>
                <w:szCs w:val="21"/>
              </w:rPr>
            </w:pPr>
            <w:r>
              <w:rPr>
                <w:color w:val="auto"/>
                <w:kern w:val="0"/>
                <w:sz w:val="21"/>
                <w:szCs w:val="21"/>
              </w:rPr>
              <w:t>/</w:t>
            </w:r>
          </w:p>
        </w:tc>
        <w:tc>
          <w:tcPr>
            <w:tcW w:w="388" w:type="pct"/>
            <w:vAlign w:val="center"/>
          </w:tcPr>
          <w:p w14:paraId="43724CCC">
            <w:pPr>
              <w:adjustRightInd/>
              <w:snapToGrid/>
              <w:spacing w:line="240" w:lineRule="auto"/>
              <w:ind w:firstLine="0" w:firstLineChars="0"/>
              <w:jc w:val="center"/>
              <w:rPr>
                <w:color w:val="auto"/>
                <w:kern w:val="0"/>
                <w:sz w:val="21"/>
                <w:szCs w:val="21"/>
              </w:rPr>
            </w:pPr>
            <w:r>
              <w:rPr>
                <w:color w:val="auto"/>
                <w:sz w:val="21"/>
                <w:szCs w:val="21"/>
              </w:rPr>
              <w:t>49.0</w:t>
            </w:r>
          </w:p>
        </w:tc>
        <w:tc>
          <w:tcPr>
            <w:tcW w:w="413" w:type="pct"/>
            <w:vAlign w:val="center"/>
          </w:tcPr>
          <w:p w14:paraId="11C1A8E4">
            <w:pPr>
              <w:adjustRightInd/>
              <w:snapToGrid/>
              <w:spacing w:line="240" w:lineRule="auto"/>
              <w:ind w:firstLine="0" w:firstLineChars="0"/>
              <w:jc w:val="center"/>
              <w:rPr>
                <w:bCs/>
                <w:color w:val="auto"/>
                <w:kern w:val="0"/>
                <w:sz w:val="21"/>
                <w:szCs w:val="21"/>
              </w:rPr>
            </w:pPr>
            <w:r>
              <w:rPr>
                <w:bCs/>
                <w:color w:val="auto"/>
                <w:sz w:val="21"/>
                <w:szCs w:val="21"/>
              </w:rPr>
              <w:t>/</w:t>
            </w:r>
          </w:p>
        </w:tc>
      </w:tr>
      <w:tr w14:paraId="436F1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4A7C6E86">
            <w:pPr>
              <w:widowControl/>
              <w:spacing w:line="240" w:lineRule="auto"/>
              <w:ind w:firstLine="0" w:firstLineChars="0"/>
              <w:jc w:val="center"/>
              <w:rPr>
                <w:color w:val="auto"/>
                <w:kern w:val="0"/>
                <w:sz w:val="21"/>
                <w:szCs w:val="21"/>
              </w:rPr>
            </w:pPr>
            <w:r>
              <w:rPr>
                <w:color w:val="auto"/>
                <w:kern w:val="0"/>
                <w:sz w:val="21"/>
                <w:szCs w:val="21"/>
              </w:rPr>
              <w:t>锰</w:t>
            </w:r>
          </w:p>
        </w:tc>
        <w:tc>
          <w:tcPr>
            <w:tcW w:w="491" w:type="pct"/>
            <w:vAlign w:val="center"/>
          </w:tcPr>
          <w:p w14:paraId="743A455D">
            <w:pPr>
              <w:widowControl/>
              <w:spacing w:line="240" w:lineRule="auto"/>
              <w:ind w:firstLine="0" w:firstLineChars="0"/>
              <w:jc w:val="center"/>
              <w:rPr>
                <w:color w:val="auto"/>
                <w:kern w:val="0"/>
                <w:sz w:val="21"/>
                <w:szCs w:val="21"/>
              </w:rPr>
            </w:pPr>
            <w:r>
              <w:rPr>
                <w:color w:val="auto"/>
                <w:kern w:val="0"/>
                <w:sz w:val="21"/>
                <w:szCs w:val="21"/>
              </w:rPr>
              <w:t>0.05</w:t>
            </w:r>
          </w:p>
        </w:tc>
        <w:tc>
          <w:tcPr>
            <w:tcW w:w="397" w:type="pct"/>
            <w:vAlign w:val="center"/>
          </w:tcPr>
          <w:p w14:paraId="50F5CCDA">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6CD1A85F">
            <w:pPr>
              <w:widowControl/>
              <w:spacing w:line="240" w:lineRule="auto"/>
              <w:ind w:firstLine="0" w:firstLineChars="0"/>
              <w:jc w:val="center"/>
              <w:rPr>
                <w:color w:val="auto"/>
                <w:kern w:val="0"/>
                <w:sz w:val="21"/>
                <w:szCs w:val="21"/>
              </w:rPr>
            </w:pPr>
            <w:r>
              <w:rPr>
                <w:color w:val="auto"/>
                <w:kern w:val="0"/>
                <w:sz w:val="21"/>
                <w:szCs w:val="21"/>
              </w:rPr>
              <w:t>ND</w:t>
            </w:r>
          </w:p>
        </w:tc>
        <w:tc>
          <w:tcPr>
            <w:tcW w:w="380" w:type="pct"/>
            <w:vAlign w:val="center"/>
          </w:tcPr>
          <w:p w14:paraId="3A7B504B">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7601ABD1">
            <w:pPr>
              <w:widowControl/>
              <w:spacing w:line="240" w:lineRule="auto"/>
              <w:ind w:firstLine="0" w:firstLineChars="0"/>
              <w:jc w:val="center"/>
              <w:rPr>
                <w:color w:val="auto"/>
                <w:kern w:val="0"/>
                <w:sz w:val="21"/>
                <w:szCs w:val="21"/>
              </w:rPr>
            </w:pPr>
            <w:r>
              <w:rPr>
                <w:color w:val="auto"/>
                <w:kern w:val="0"/>
                <w:sz w:val="21"/>
                <w:szCs w:val="21"/>
              </w:rPr>
              <w:t>ND</w:t>
            </w:r>
          </w:p>
        </w:tc>
        <w:tc>
          <w:tcPr>
            <w:tcW w:w="452" w:type="pct"/>
            <w:vAlign w:val="center"/>
          </w:tcPr>
          <w:p w14:paraId="099E1C4B">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562CA4D4">
            <w:pPr>
              <w:widowControl/>
              <w:spacing w:line="240" w:lineRule="auto"/>
              <w:ind w:firstLine="0" w:firstLineChars="0"/>
              <w:jc w:val="center"/>
              <w:rPr>
                <w:color w:val="auto"/>
                <w:kern w:val="0"/>
                <w:sz w:val="21"/>
                <w:szCs w:val="21"/>
              </w:rPr>
            </w:pPr>
            <w:r>
              <w:rPr>
                <w:color w:val="auto"/>
                <w:kern w:val="0"/>
                <w:sz w:val="21"/>
                <w:szCs w:val="21"/>
              </w:rPr>
              <w:t>ND</w:t>
            </w:r>
          </w:p>
        </w:tc>
        <w:tc>
          <w:tcPr>
            <w:tcW w:w="390" w:type="pct"/>
            <w:vAlign w:val="center"/>
          </w:tcPr>
          <w:p w14:paraId="46E95005">
            <w:pPr>
              <w:widowControl/>
              <w:spacing w:line="240" w:lineRule="auto"/>
              <w:ind w:firstLine="0" w:firstLineChars="0"/>
              <w:jc w:val="center"/>
              <w:rPr>
                <w:color w:val="auto"/>
                <w:kern w:val="0"/>
                <w:sz w:val="21"/>
                <w:szCs w:val="21"/>
              </w:rPr>
            </w:pPr>
            <w:r>
              <w:rPr>
                <w:color w:val="auto"/>
                <w:kern w:val="0"/>
                <w:sz w:val="21"/>
                <w:szCs w:val="21"/>
              </w:rPr>
              <w:t>Ⅰ</w:t>
            </w:r>
          </w:p>
        </w:tc>
        <w:tc>
          <w:tcPr>
            <w:tcW w:w="388" w:type="pct"/>
            <w:vAlign w:val="center"/>
          </w:tcPr>
          <w:p w14:paraId="41EC5489">
            <w:pPr>
              <w:adjustRightInd/>
              <w:snapToGrid/>
              <w:spacing w:line="240" w:lineRule="auto"/>
              <w:ind w:firstLine="0" w:firstLineChars="0"/>
              <w:jc w:val="center"/>
              <w:rPr>
                <w:color w:val="auto"/>
                <w:kern w:val="0"/>
                <w:sz w:val="21"/>
                <w:szCs w:val="21"/>
              </w:rPr>
            </w:pPr>
            <w:r>
              <w:rPr>
                <w:color w:val="auto"/>
                <w:sz w:val="21"/>
                <w:szCs w:val="21"/>
              </w:rPr>
              <w:t>0.03</w:t>
            </w:r>
          </w:p>
        </w:tc>
        <w:tc>
          <w:tcPr>
            <w:tcW w:w="413" w:type="pct"/>
            <w:vAlign w:val="center"/>
          </w:tcPr>
          <w:p w14:paraId="211F7A70">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6612A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1CA1492D">
            <w:pPr>
              <w:widowControl/>
              <w:spacing w:line="240" w:lineRule="auto"/>
              <w:ind w:firstLine="0" w:firstLineChars="0"/>
              <w:jc w:val="center"/>
              <w:rPr>
                <w:color w:val="auto"/>
                <w:kern w:val="0"/>
                <w:sz w:val="21"/>
                <w:szCs w:val="21"/>
              </w:rPr>
            </w:pPr>
            <w:r>
              <w:rPr>
                <w:color w:val="auto"/>
                <w:kern w:val="0"/>
                <w:sz w:val="21"/>
                <w:szCs w:val="21"/>
              </w:rPr>
              <w:t>钠</w:t>
            </w:r>
          </w:p>
        </w:tc>
        <w:tc>
          <w:tcPr>
            <w:tcW w:w="491" w:type="pct"/>
            <w:vAlign w:val="center"/>
          </w:tcPr>
          <w:p w14:paraId="195DDC62">
            <w:pPr>
              <w:widowControl/>
              <w:spacing w:line="240" w:lineRule="auto"/>
              <w:ind w:firstLine="0" w:firstLineChars="0"/>
              <w:jc w:val="center"/>
              <w:rPr>
                <w:color w:val="auto"/>
                <w:kern w:val="0"/>
                <w:sz w:val="21"/>
                <w:szCs w:val="21"/>
              </w:rPr>
            </w:pPr>
            <w:r>
              <w:rPr>
                <w:color w:val="auto"/>
                <w:kern w:val="0"/>
                <w:sz w:val="21"/>
                <w:szCs w:val="21"/>
              </w:rPr>
              <w:t>151</w:t>
            </w:r>
          </w:p>
        </w:tc>
        <w:tc>
          <w:tcPr>
            <w:tcW w:w="397" w:type="pct"/>
            <w:vAlign w:val="center"/>
          </w:tcPr>
          <w:p w14:paraId="252D3458">
            <w:pPr>
              <w:widowControl/>
              <w:spacing w:line="240" w:lineRule="auto"/>
              <w:ind w:firstLine="0" w:firstLineChars="0"/>
              <w:jc w:val="center"/>
              <w:rPr>
                <w:color w:val="auto"/>
                <w:kern w:val="0"/>
                <w:sz w:val="21"/>
                <w:szCs w:val="21"/>
              </w:rPr>
            </w:pPr>
            <w:r>
              <w:rPr>
                <w:color w:val="auto"/>
                <w:kern w:val="0"/>
                <w:sz w:val="21"/>
                <w:szCs w:val="21"/>
              </w:rPr>
              <w:t>Ⅲ</w:t>
            </w:r>
          </w:p>
        </w:tc>
        <w:tc>
          <w:tcPr>
            <w:tcW w:w="405" w:type="pct"/>
            <w:vAlign w:val="center"/>
          </w:tcPr>
          <w:p w14:paraId="19D0DE9C">
            <w:pPr>
              <w:widowControl/>
              <w:spacing w:line="240" w:lineRule="auto"/>
              <w:ind w:firstLine="0" w:firstLineChars="0"/>
              <w:jc w:val="center"/>
              <w:rPr>
                <w:color w:val="auto"/>
                <w:kern w:val="0"/>
                <w:sz w:val="21"/>
                <w:szCs w:val="21"/>
              </w:rPr>
            </w:pPr>
            <w:r>
              <w:rPr>
                <w:color w:val="auto"/>
                <w:kern w:val="0"/>
                <w:sz w:val="21"/>
                <w:szCs w:val="21"/>
              </w:rPr>
              <w:t>55.6</w:t>
            </w:r>
          </w:p>
        </w:tc>
        <w:tc>
          <w:tcPr>
            <w:tcW w:w="380" w:type="pct"/>
            <w:vAlign w:val="center"/>
          </w:tcPr>
          <w:p w14:paraId="6814A974">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772BC3F4">
            <w:pPr>
              <w:widowControl/>
              <w:spacing w:line="240" w:lineRule="auto"/>
              <w:ind w:firstLine="0" w:firstLineChars="0"/>
              <w:jc w:val="center"/>
              <w:rPr>
                <w:color w:val="auto"/>
                <w:kern w:val="0"/>
                <w:sz w:val="21"/>
                <w:szCs w:val="21"/>
              </w:rPr>
            </w:pPr>
            <w:r>
              <w:rPr>
                <w:color w:val="auto"/>
                <w:kern w:val="0"/>
                <w:sz w:val="21"/>
                <w:szCs w:val="21"/>
              </w:rPr>
              <w:t>51.9</w:t>
            </w:r>
          </w:p>
        </w:tc>
        <w:tc>
          <w:tcPr>
            <w:tcW w:w="452" w:type="pct"/>
            <w:vAlign w:val="center"/>
          </w:tcPr>
          <w:p w14:paraId="50B3069A">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1C99858D">
            <w:pPr>
              <w:widowControl/>
              <w:spacing w:line="240" w:lineRule="auto"/>
              <w:ind w:firstLine="0" w:firstLineChars="0"/>
              <w:jc w:val="center"/>
              <w:rPr>
                <w:color w:val="auto"/>
                <w:kern w:val="0"/>
                <w:sz w:val="21"/>
                <w:szCs w:val="21"/>
              </w:rPr>
            </w:pPr>
            <w:r>
              <w:rPr>
                <w:color w:val="auto"/>
                <w:kern w:val="0"/>
                <w:sz w:val="21"/>
                <w:szCs w:val="21"/>
              </w:rPr>
              <w:t>150</w:t>
            </w:r>
          </w:p>
        </w:tc>
        <w:tc>
          <w:tcPr>
            <w:tcW w:w="390" w:type="pct"/>
            <w:vAlign w:val="center"/>
          </w:tcPr>
          <w:p w14:paraId="393CDCF0">
            <w:pPr>
              <w:widowControl/>
              <w:spacing w:line="240" w:lineRule="auto"/>
              <w:ind w:firstLine="0" w:firstLineChars="0"/>
              <w:jc w:val="center"/>
              <w:rPr>
                <w:color w:val="auto"/>
                <w:kern w:val="0"/>
                <w:sz w:val="21"/>
                <w:szCs w:val="21"/>
              </w:rPr>
            </w:pPr>
            <w:r>
              <w:rPr>
                <w:color w:val="auto"/>
                <w:kern w:val="0"/>
                <w:sz w:val="21"/>
                <w:szCs w:val="21"/>
              </w:rPr>
              <w:t>Ⅱ</w:t>
            </w:r>
          </w:p>
        </w:tc>
        <w:tc>
          <w:tcPr>
            <w:tcW w:w="388" w:type="pct"/>
            <w:vAlign w:val="center"/>
          </w:tcPr>
          <w:p w14:paraId="474EA45E">
            <w:pPr>
              <w:adjustRightInd/>
              <w:snapToGrid/>
              <w:spacing w:line="240" w:lineRule="auto"/>
              <w:ind w:firstLine="0" w:firstLineChars="0"/>
              <w:jc w:val="center"/>
              <w:rPr>
                <w:color w:val="auto"/>
                <w:kern w:val="0"/>
                <w:sz w:val="21"/>
                <w:szCs w:val="21"/>
              </w:rPr>
            </w:pPr>
            <w:r>
              <w:rPr>
                <w:color w:val="auto"/>
                <w:sz w:val="21"/>
                <w:szCs w:val="21"/>
              </w:rPr>
              <w:t>59.0</w:t>
            </w:r>
          </w:p>
        </w:tc>
        <w:tc>
          <w:tcPr>
            <w:tcW w:w="413" w:type="pct"/>
            <w:vAlign w:val="center"/>
          </w:tcPr>
          <w:p w14:paraId="2C5F1D4D">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76338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79DFA856">
            <w:pPr>
              <w:widowControl/>
              <w:spacing w:line="240" w:lineRule="auto"/>
              <w:ind w:firstLine="0" w:firstLineChars="0"/>
              <w:jc w:val="center"/>
              <w:rPr>
                <w:color w:val="auto"/>
                <w:kern w:val="0"/>
                <w:sz w:val="21"/>
                <w:szCs w:val="21"/>
              </w:rPr>
            </w:pPr>
            <w:r>
              <w:rPr>
                <w:color w:val="auto"/>
                <w:kern w:val="0"/>
                <w:sz w:val="21"/>
                <w:szCs w:val="21"/>
              </w:rPr>
              <w:t>镍(μg/L)</w:t>
            </w:r>
          </w:p>
        </w:tc>
        <w:tc>
          <w:tcPr>
            <w:tcW w:w="491" w:type="pct"/>
            <w:vAlign w:val="center"/>
          </w:tcPr>
          <w:p w14:paraId="5EB1E52F">
            <w:pPr>
              <w:widowControl/>
              <w:spacing w:line="240" w:lineRule="auto"/>
              <w:ind w:firstLine="0" w:firstLineChars="0"/>
              <w:jc w:val="center"/>
              <w:rPr>
                <w:color w:val="auto"/>
                <w:kern w:val="0"/>
                <w:sz w:val="21"/>
                <w:szCs w:val="21"/>
              </w:rPr>
            </w:pPr>
            <w:r>
              <w:rPr>
                <w:color w:val="auto"/>
                <w:kern w:val="0"/>
                <w:sz w:val="21"/>
                <w:szCs w:val="21"/>
              </w:rPr>
              <w:t>1.88</w:t>
            </w:r>
          </w:p>
        </w:tc>
        <w:tc>
          <w:tcPr>
            <w:tcW w:w="397" w:type="pct"/>
            <w:vAlign w:val="center"/>
          </w:tcPr>
          <w:p w14:paraId="2ECD2A66">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38D5E8AD">
            <w:pPr>
              <w:widowControl/>
              <w:spacing w:line="240" w:lineRule="auto"/>
              <w:ind w:firstLine="0" w:firstLineChars="0"/>
              <w:jc w:val="center"/>
              <w:rPr>
                <w:color w:val="auto"/>
                <w:kern w:val="0"/>
                <w:sz w:val="21"/>
                <w:szCs w:val="21"/>
              </w:rPr>
            </w:pPr>
            <w:r>
              <w:rPr>
                <w:color w:val="auto"/>
                <w:kern w:val="0"/>
                <w:sz w:val="21"/>
                <w:szCs w:val="21"/>
              </w:rPr>
              <w:t>1.82</w:t>
            </w:r>
          </w:p>
        </w:tc>
        <w:tc>
          <w:tcPr>
            <w:tcW w:w="380" w:type="pct"/>
            <w:vAlign w:val="center"/>
          </w:tcPr>
          <w:p w14:paraId="050A2028">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071DED0E">
            <w:pPr>
              <w:widowControl/>
              <w:spacing w:line="240" w:lineRule="auto"/>
              <w:ind w:firstLine="0" w:firstLineChars="0"/>
              <w:jc w:val="center"/>
              <w:rPr>
                <w:color w:val="auto"/>
                <w:kern w:val="0"/>
                <w:sz w:val="21"/>
                <w:szCs w:val="21"/>
              </w:rPr>
            </w:pPr>
            <w:r>
              <w:rPr>
                <w:color w:val="auto"/>
                <w:kern w:val="0"/>
                <w:sz w:val="21"/>
                <w:szCs w:val="21"/>
              </w:rPr>
              <w:t>3.39</w:t>
            </w:r>
          </w:p>
        </w:tc>
        <w:tc>
          <w:tcPr>
            <w:tcW w:w="452" w:type="pct"/>
            <w:vAlign w:val="center"/>
          </w:tcPr>
          <w:p w14:paraId="53D5D0E5">
            <w:pPr>
              <w:widowControl/>
              <w:spacing w:line="240" w:lineRule="auto"/>
              <w:ind w:firstLine="0" w:firstLineChars="0"/>
              <w:jc w:val="center"/>
              <w:rPr>
                <w:color w:val="auto"/>
                <w:kern w:val="0"/>
                <w:sz w:val="21"/>
                <w:szCs w:val="21"/>
              </w:rPr>
            </w:pPr>
            <w:r>
              <w:rPr>
                <w:color w:val="auto"/>
                <w:kern w:val="0"/>
                <w:sz w:val="21"/>
                <w:szCs w:val="21"/>
              </w:rPr>
              <w:t>Ⅲ</w:t>
            </w:r>
          </w:p>
        </w:tc>
        <w:tc>
          <w:tcPr>
            <w:tcW w:w="409" w:type="pct"/>
            <w:vAlign w:val="center"/>
          </w:tcPr>
          <w:p w14:paraId="7BB6A8DF">
            <w:pPr>
              <w:widowControl/>
              <w:spacing w:line="240" w:lineRule="auto"/>
              <w:ind w:firstLine="0" w:firstLineChars="0"/>
              <w:jc w:val="center"/>
              <w:rPr>
                <w:color w:val="auto"/>
                <w:kern w:val="0"/>
                <w:sz w:val="21"/>
                <w:szCs w:val="21"/>
              </w:rPr>
            </w:pPr>
            <w:r>
              <w:rPr>
                <w:color w:val="auto"/>
                <w:kern w:val="0"/>
                <w:sz w:val="21"/>
                <w:szCs w:val="21"/>
              </w:rPr>
              <w:t>4.53</w:t>
            </w:r>
          </w:p>
        </w:tc>
        <w:tc>
          <w:tcPr>
            <w:tcW w:w="390" w:type="pct"/>
            <w:vAlign w:val="center"/>
          </w:tcPr>
          <w:p w14:paraId="5CEED830">
            <w:pPr>
              <w:widowControl/>
              <w:spacing w:line="240" w:lineRule="auto"/>
              <w:ind w:firstLine="0" w:firstLineChars="0"/>
              <w:jc w:val="center"/>
              <w:rPr>
                <w:color w:val="auto"/>
                <w:kern w:val="0"/>
                <w:sz w:val="21"/>
                <w:szCs w:val="21"/>
              </w:rPr>
            </w:pPr>
            <w:r>
              <w:rPr>
                <w:color w:val="auto"/>
                <w:kern w:val="0"/>
                <w:sz w:val="21"/>
                <w:szCs w:val="21"/>
              </w:rPr>
              <w:t>Ⅲ</w:t>
            </w:r>
          </w:p>
        </w:tc>
        <w:tc>
          <w:tcPr>
            <w:tcW w:w="388" w:type="pct"/>
            <w:vAlign w:val="center"/>
          </w:tcPr>
          <w:p w14:paraId="4070BF3D">
            <w:pPr>
              <w:widowControl/>
              <w:spacing w:line="240" w:lineRule="auto"/>
              <w:ind w:firstLine="0" w:firstLineChars="0"/>
              <w:jc w:val="center"/>
              <w:rPr>
                <w:color w:val="auto"/>
                <w:kern w:val="0"/>
                <w:sz w:val="21"/>
                <w:szCs w:val="21"/>
              </w:rPr>
            </w:pPr>
            <w:r>
              <w:rPr>
                <w:b/>
                <w:color w:val="auto"/>
                <w:sz w:val="21"/>
                <w:szCs w:val="21"/>
              </w:rPr>
              <w:t>/</w:t>
            </w:r>
          </w:p>
        </w:tc>
        <w:tc>
          <w:tcPr>
            <w:tcW w:w="413" w:type="pct"/>
            <w:vAlign w:val="center"/>
          </w:tcPr>
          <w:p w14:paraId="7E1796FB">
            <w:pPr>
              <w:widowControl/>
              <w:spacing w:line="240" w:lineRule="auto"/>
              <w:ind w:firstLine="0" w:firstLineChars="0"/>
              <w:jc w:val="center"/>
              <w:rPr>
                <w:bCs/>
                <w:color w:val="auto"/>
                <w:kern w:val="0"/>
                <w:sz w:val="21"/>
                <w:szCs w:val="21"/>
              </w:rPr>
            </w:pPr>
            <w:r>
              <w:rPr>
                <w:bCs/>
                <w:color w:val="auto"/>
                <w:sz w:val="21"/>
                <w:szCs w:val="21"/>
              </w:rPr>
              <w:t>/</w:t>
            </w:r>
          </w:p>
        </w:tc>
      </w:tr>
      <w:tr w14:paraId="79EEE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415A8EF0">
            <w:pPr>
              <w:widowControl/>
              <w:spacing w:line="240" w:lineRule="auto"/>
              <w:ind w:firstLine="0" w:firstLineChars="0"/>
              <w:jc w:val="center"/>
              <w:rPr>
                <w:color w:val="auto"/>
                <w:kern w:val="0"/>
                <w:sz w:val="21"/>
                <w:szCs w:val="21"/>
              </w:rPr>
            </w:pPr>
            <w:r>
              <w:rPr>
                <w:color w:val="auto"/>
                <w:kern w:val="0"/>
                <w:sz w:val="21"/>
                <w:szCs w:val="21"/>
              </w:rPr>
              <w:t>铅(μg/L)</w:t>
            </w:r>
          </w:p>
        </w:tc>
        <w:tc>
          <w:tcPr>
            <w:tcW w:w="491" w:type="pct"/>
            <w:vAlign w:val="center"/>
          </w:tcPr>
          <w:p w14:paraId="4FA957BB">
            <w:pPr>
              <w:widowControl/>
              <w:spacing w:line="240" w:lineRule="auto"/>
              <w:ind w:firstLine="0" w:firstLineChars="0"/>
              <w:jc w:val="center"/>
              <w:rPr>
                <w:color w:val="auto"/>
                <w:kern w:val="0"/>
                <w:sz w:val="21"/>
                <w:szCs w:val="21"/>
              </w:rPr>
            </w:pPr>
            <w:r>
              <w:rPr>
                <w:color w:val="auto"/>
                <w:kern w:val="0"/>
                <w:sz w:val="21"/>
                <w:szCs w:val="21"/>
              </w:rPr>
              <w:t>0.14</w:t>
            </w:r>
          </w:p>
        </w:tc>
        <w:tc>
          <w:tcPr>
            <w:tcW w:w="397" w:type="pct"/>
            <w:vAlign w:val="center"/>
          </w:tcPr>
          <w:p w14:paraId="71F2A3D3">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02ACF785">
            <w:pPr>
              <w:widowControl/>
              <w:spacing w:line="240" w:lineRule="auto"/>
              <w:ind w:firstLine="0" w:firstLineChars="0"/>
              <w:jc w:val="center"/>
              <w:rPr>
                <w:color w:val="auto"/>
                <w:kern w:val="0"/>
                <w:sz w:val="21"/>
                <w:szCs w:val="21"/>
              </w:rPr>
            </w:pPr>
            <w:r>
              <w:rPr>
                <w:color w:val="auto"/>
                <w:kern w:val="0"/>
                <w:sz w:val="21"/>
                <w:szCs w:val="21"/>
              </w:rPr>
              <w:t>0.27</w:t>
            </w:r>
          </w:p>
        </w:tc>
        <w:tc>
          <w:tcPr>
            <w:tcW w:w="380" w:type="pct"/>
            <w:vAlign w:val="center"/>
          </w:tcPr>
          <w:p w14:paraId="55745C9E">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34659791">
            <w:pPr>
              <w:widowControl/>
              <w:spacing w:line="240" w:lineRule="auto"/>
              <w:ind w:firstLine="0" w:firstLineChars="0"/>
              <w:jc w:val="center"/>
              <w:rPr>
                <w:color w:val="auto"/>
                <w:kern w:val="0"/>
                <w:sz w:val="21"/>
                <w:szCs w:val="21"/>
              </w:rPr>
            </w:pPr>
            <w:r>
              <w:rPr>
                <w:color w:val="auto"/>
                <w:kern w:val="0"/>
                <w:sz w:val="21"/>
                <w:szCs w:val="21"/>
              </w:rPr>
              <w:t>1.99</w:t>
            </w:r>
          </w:p>
        </w:tc>
        <w:tc>
          <w:tcPr>
            <w:tcW w:w="452" w:type="pct"/>
            <w:vAlign w:val="center"/>
          </w:tcPr>
          <w:p w14:paraId="1B4CFCA6">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0588F4FC">
            <w:pPr>
              <w:widowControl/>
              <w:spacing w:line="240" w:lineRule="auto"/>
              <w:ind w:firstLine="0" w:firstLineChars="0"/>
              <w:jc w:val="center"/>
              <w:rPr>
                <w:color w:val="auto"/>
                <w:kern w:val="0"/>
                <w:sz w:val="21"/>
                <w:szCs w:val="21"/>
              </w:rPr>
            </w:pPr>
            <w:r>
              <w:rPr>
                <w:color w:val="auto"/>
                <w:kern w:val="0"/>
                <w:sz w:val="21"/>
                <w:szCs w:val="21"/>
              </w:rPr>
              <w:t>0.52</w:t>
            </w:r>
          </w:p>
        </w:tc>
        <w:tc>
          <w:tcPr>
            <w:tcW w:w="390" w:type="pct"/>
            <w:vAlign w:val="center"/>
          </w:tcPr>
          <w:p w14:paraId="620A4E71">
            <w:pPr>
              <w:widowControl/>
              <w:spacing w:line="240" w:lineRule="auto"/>
              <w:ind w:firstLine="0" w:firstLineChars="0"/>
              <w:jc w:val="center"/>
              <w:rPr>
                <w:color w:val="auto"/>
                <w:kern w:val="0"/>
                <w:sz w:val="21"/>
                <w:szCs w:val="21"/>
              </w:rPr>
            </w:pPr>
            <w:r>
              <w:rPr>
                <w:color w:val="auto"/>
                <w:kern w:val="0"/>
                <w:sz w:val="21"/>
                <w:szCs w:val="21"/>
              </w:rPr>
              <w:t>Ⅰ</w:t>
            </w:r>
          </w:p>
        </w:tc>
        <w:tc>
          <w:tcPr>
            <w:tcW w:w="388" w:type="pct"/>
            <w:vAlign w:val="center"/>
          </w:tcPr>
          <w:p w14:paraId="6E3382CC">
            <w:pPr>
              <w:adjustRightInd/>
              <w:snapToGrid/>
              <w:spacing w:line="240" w:lineRule="auto"/>
              <w:ind w:firstLine="0" w:firstLineChars="0"/>
              <w:jc w:val="center"/>
              <w:rPr>
                <w:color w:val="auto"/>
                <w:kern w:val="0"/>
                <w:sz w:val="21"/>
                <w:szCs w:val="21"/>
              </w:rPr>
            </w:pPr>
            <w:r>
              <w:rPr>
                <w:color w:val="auto"/>
                <w:sz w:val="21"/>
                <w:szCs w:val="21"/>
              </w:rPr>
              <w:t>ND</w:t>
            </w:r>
          </w:p>
        </w:tc>
        <w:tc>
          <w:tcPr>
            <w:tcW w:w="413" w:type="pct"/>
            <w:vAlign w:val="center"/>
          </w:tcPr>
          <w:p w14:paraId="3BACC211">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05465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7EDE94D9">
            <w:pPr>
              <w:widowControl/>
              <w:spacing w:line="240" w:lineRule="auto"/>
              <w:ind w:firstLine="0" w:firstLineChars="0"/>
              <w:jc w:val="center"/>
              <w:rPr>
                <w:color w:val="auto"/>
                <w:kern w:val="0"/>
                <w:sz w:val="21"/>
                <w:szCs w:val="21"/>
              </w:rPr>
            </w:pPr>
            <w:r>
              <w:rPr>
                <w:color w:val="auto"/>
                <w:kern w:val="0"/>
                <w:sz w:val="21"/>
                <w:szCs w:val="21"/>
              </w:rPr>
              <w:t>砷(μg/L)</w:t>
            </w:r>
          </w:p>
        </w:tc>
        <w:tc>
          <w:tcPr>
            <w:tcW w:w="491" w:type="pct"/>
            <w:vAlign w:val="center"/>
          </w:tcPr>
          <w:p w14:paraId="62D521B4">
            <w:pPr>
              <w:widowControl/>
              <w:spacing w:line="240" w:lineRule="auto"/>
              <w:ind w:firstLine="0" w:firstLineChars="0"/>
              <w:jc w:val="center"/>
              <w:rPr>
                <w:color w:val="auto"/>
                <w:kern w:val="0"/>
                <w:sz w:val="21"/>
                <w:szCs w:val="21"/>
              </w:rPr>
            </w:pPr>
            <w:r>
              <w:rPr>
                <w:color w:val="auto"/>
                <w:kern w:val="0"/>
                <w:sz w:val="21"/>
                <w:szCs w:val="21"/>
              </w:rPr>
              <w:t>14.0</w:t>
            </w:r>
          </w:p>
        </w:tc>
        <w:tc>
          <w:tcPr>
            <w:tcW w:w="397" w:type="pct"/>
            <w:vAlign w:val="center"/>
          </w:tcPr>
          <w:p w14:paraId="16D23FE4">
            <w:pPr>
              <w:widowControl/>
              <w:spacing w:line="240" w:lineRule="auto"/>
              <w:ind w:firstLine="0" w:firstLineChars="0"/>
              <w:jc w:val="center"/>
              <w:rPr>
                <w:color w:val="auto"/>
                <w:kern w:val="0"/>
                <w:sz w:val="21"/>
                <w:szCs w:val="21"/>
              </w:rPr>
            </w:pPr>
            <w:r>
              <w:rPr>
                <w:color w:val="auto"/>
                <w:kern w:val="0"/>
                <w:sz w:val="21"/>
                <w:szCs w:val="21"/>
              </w:rPr>
              <w:t>Ⅳ</w:t>
            </w:r>
          </w:p>
        </w:tc>
        <w:tc>
          <w:tcPr>
            <w:tcW w:w="405" w:type="pct"/>
            <w:vAlign w:val="center"/>
          </w:tcPr>
          <w:p w14:paraId="1D19793D">
            <w:pPr>
              <w:widowControl/>
              <w:spacing w:line="240" w:lineRule="auto"/>
              <w:ind w:firstLine="0" w:firstLineChars="0"/>
              <w:jc w:val="center"/>
              <w:rPr>
                <w:color w:val="auto"/>
                <w:kern w:val="0"/>
                <w:sz w:val="21"/>
                <w:szCs w:val="21"/>
              </w:rPr>
            </w:pPr>
            <w:r>
              <w:rPr>
                <w:color w:val="auto"/>
                <w:kern w:val="0"/>
                <w:sz w:val="21"/>
                <w:szCs w:val="21"/>
              </w:rPr>
              <w:t>0.6</w:t>
            </w:r>
          </w:p>
        </w:tc>
        <w:tc>
          <w:tcPr>
            <w:tcW w:w="380" w:type="pct"/>
            <w:vAlign w:val="center"/>
          </w:tcPr>
          <w:p w14:paraId="54E3FACC">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13A9ECC6">
            <w:pPr>
              <w:widowControl/>
              <w:spacing w:line="240" w:lineRule="auto"/>
              <w:ind w:firstLine="0" w:firstLineChars="0"/>
              <w:jc w:val="center"/>
              <w:rPr>
                <w:color w:val="auto"/>
                <w:kern w:val="0"/>
                <w:sz w:val="21"/>
                <w:szCs w:val="21"/>
              </w:rPr>
            </w:pPr>
            <w:r>
              <w:rPr>
                <w:color w:val="auto"/>
                <w:kern w:val="0"/>
                <w:sz w:val="21"/>
                <w:szCs w:val="21"/>
              </w:rPr>
              <w:t>1.5</w:t>
            </w:r>
          </w:p>
        </w:tc>
        <w:tc>
          <w:tcPr>
            <w:tcW w:w="452" w:type="pct"/>
            <w:vAlign w:val="center"/>
          </w:tcPr>
          <w:p w14:paraId="4C0BD0E7">
            <w:pPr>
              <w:widowControl/>
              <w:spacing w:line="240" w:lineRule="auto"/>
              <w:ind w:firstLine="0" w:firstLineChars="0"/>
              <w:jc w:val="center"/>
              <w:rPr>
                <w:color w:val="auto"/>
                <w:kern w:val="0"/>
                <w:sz w:val="21"/>
                <w:szCs w:val="21"/>
              </w:rPr>
            </w:pPr>
            <w:r>
              <w:rPr>
                <w:color w:val="auto"/>
                <w:kern w:val="0"/>
                <w:sz w:val="21"/>
                <w:szCs w:val="21"/>
              </w:rPr>
              <w:t>Ⅲ</w:t>
            </w:r>
          </w:p>
        </w:tc>
        <w:tc>
          <w:tcPr>
            <w:tcW w:w="409" w:type="pct"/>
            <w:vAlign w:val="center"/>
          </w:tcPr>
          <w:p w14:paraId="70CB70C7">
            <w:pPr>
              <w:widowControl/>
              <w:spacing w:line="240" w:lineRule="auto"/>
              <w:ind w:firstLine="0" w:firstLineChars="0"/>
              <w:jc w:val="center"/>
              <w:rPr>
                <w:color w:val="auto"/>
                <w:kern w:val="0"/>
                <w:sz w:val="21"/>
                <w:szCs w:val="21"/>
              </w:rPr>
            </w:pPr>
            <w:r>
              <w:rPr>
                <w:color w:val="auto"/>
                <w:kern w:val="0"/>
                <w:sz w:val="21"/>
                <w:szCs w:val="21"/>
              </w:rPr>
              <w:t>2.1</w:t>
            </w:r>
          </w:p>
        </w:tc>
        <w:tc>
          <w:tcPr>
            <w:tcW w:w="390" w:type="pct"/>
            <w:vAlign w:val="center"/>
          </w:tcPr>
          <w:p w14:paraId="2246390C">
            <w:pPr>
              <w:widowControl/>
              <w:spacing w:line="240" w:lineRule="auto"/>
              <w:ind w:firstLine="0" w:firstLineChars="0"/>
              <w:jc w:val="center"/>
              <w:rPr>
                <w:color w:val="auto"/>
                <w:kern w:val="0"/>
                <w:sz w:val="21"/>
                <w:szCs w:val="21"/>
              </w:rPr>
            </w:pPr>
            <w:r>
              <w:rPr>
                <w:color w:val="auto"/>
                <w:kern w:val="0"/>
                <w:sz w:val="21"/>
                <w:szCs w:val="21"/>
              </w:rPr>
              <w:t>Ⅲ</w:t>
            </w:r>
          </w:p>
        </w:tc>
        <w:tc>
          <w:tcPr>
            <w:tcW w:w="388" w:type="pct"/>
            <w:vAlign w:val="center"/>
          </w:tcPr>
          <w:p w14:paraId="3C626A76">
            <w:pPr>
              <w:adjustRightInd/>
              <w:snapToGrid/>
              <w:spacing w:line="240" w:lineRule="auto"/>
              <w:ind w:firstLine="0" w:firstLineChars="0"/>
              <w:jc w:val="center"/>
              <w:rPr>
                <w:color w:val="auto"/>
                <w:kern w:val="0"/>
                <w:sz w:val="21"/>
                <w:szCs w:val="21"/>
              </w:rPr>
            </w:pPr>
            <w:r>
              <w:rPr>
                <w:color w:val="auto"/>
                <w:sz w:val="21"/>
                <w:szCs w:val="21"/>
              </w:rPr>
              <w:t>ND</w:t>
            </w:r>
          </w:p>
        </w:tc>
        <w:tc>
          <w:tcPr>
            <w:tcW w:w="413" w:type="pct"/>
            <w:vAlign w:val="center"/>
          </w:tcPr>
          <w:p w14:paraId="15E5D1CD">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51DB6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588407FB">
            <w:pPr>
              <w:widowControl/>
              <w:spacing w:line="240" w:lineRule="auto"/>
              <w:ind w:firstLine="0" w:firstLineChars="0"/>
              <w:jc w:val="center"/>
              <w:rPr>
                <w:color w:val="auto"/>
                <w:kern w:val="0"/>
                <w:sz w:val="21"/>
                <w:szCs w:val="21"/>
              </w:rPr>
            </w:pPr>
            <w:r>
              <w:rPr>
                <w:color w:val="auto"/>
                <w:kern w:val="0"/>
                <w:sz w:val="21"/>
                <w:szCs w:val="21"/>
              </w:rPr>
              <w:t>铁</w:t>
            </w:r>
          </w:p>
        </w:tc>
        <w:tc>
          <w:tcPr>
            <w:tcW w:w="491" w:type="pct"/>
            <w:vAlign w:val="center"/>
          </w:tcPr>
          <w:p w14:paraId="6754D20B">
            <w:pPr>
              <w:widowControl/>
              <w:spacing w:line="240" w:lineRule="auto"/>
              <w:ind w:firstLine="0" w:firstLineChars="0"/>
              <w:jc w:val="center"/>
              <w:rPr>
                <w:color w:val="auto"/>
                <w:kern w:val="0"/>
                <w:sz w:val="21"/>
                <w:szCs w:val="21"/>
              </w:rPr>
            </w:pPr>
            <w:r>
              <w:rPr>
                <w:color w:val="auto"/>
                <w:kern w:val="0"/>
                <w:sz w:val="21"/>
                <w:szCs w:val="21"/>
              </w:rPr>
              <w:t>0.09</w:t>
            </w:r>
          </w:p>
        </w:tc>
        <w:tc>
          <w:tcPr>
            <w:tcW w:w="397" w:type="pct"/>
            <w:vAlign w:val="center"/>
          </w:tcPr>
          <w:p w14:paraId="3CF8A212">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224A8124">
            <w:pPr>
              <w:widowControl/>
              <w:spacing w:line="240" w:lineRule="auto"/>
              <w:ind w:firstLine="0" w:firstLineChars="0"/>
              <w:jc w:val="center"/>
              <w:rPr>
                <w:color w:val="auto"/>
                <w:kern w:val="0"/>
                <w:sz w:val="21"/>
                <w:szCs w:val="21"/>
              </w:rPr>
            </w:pPr>
            <w:r>
              <w:rPr>
                <w:color w:val="auto"/>
                <w:kern w:val="0"/>
                <w:sz w:val="21"/>
                <w:szCs w:val="21"/>
              </w:rPr>
              <w:t>0.04</w:t>
            </w:r>
          </w:p>
        </w:tc>
        <w:tc>
          <w:tcPr>
            <w:tcW w:w="380" w:type="pct"/>
            <w:vAlign w:val="center"/>
          </w:tcPr>
          <w:p w14:paraId="7BF7BC17">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7D255E2C">
            <w:pPr>
              <w:widowControl/>
              <w:spacing w:line="240" w:lineRule="auto"/>
              <w:ind w:firstLine="0" w:firstLineChars="0"/>
              <w:jc w:val="center"/>
              <w:rPr>
                <w:color w:val="auto"/>
                <w:kern w:val="0"/>
                <w:sz w:val="21"/>
                <w:szCs w:val="21"/>
              </w:rPr>
            </w:pPr>
            <w:r>
              <w:rPr>
                <w:color w:val="auto"/>
                <w:kern w:val="0"/>
                <w:sz w:val="21"/>
                <w:szCs w:val="21"/>
              </w:rPr>
              <w:t>0.02</w:t>
            </w:r>
          </w:p>
        </w:tc>
        <w:tc>
          <w:tcPr>
            <w:tcW w:w="452" w:type="pct"/>
            <w:vAlign w:val="center"/>
          </w:tcPr>
          <w:p w14:paraId="62092942">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6DADC26C">
            <w:pPr>
              <w:widowControl/>
              <w:spacing w:line="240" w:lineRule="auto"/>
              <w:ind w:firstLine="0" w:firstLineChars="0"/>
              <w:jc w:val="center"/>
              <w:rPr>
                <w:color w:val="auto"/>
                <w:kern w:val="0"/>
                <w:sz w:val="21"/>
                <w:szCs w:val="21"/>
              </w:rPr>
            </w:pPr>
            <w:r>
              <w:rPr>
                <w:color w:val="auto"/>
                <w:kern w:val="0"/>
                <w:sz w:val="21"/>
                <w:szCs w:val="21"/>
              </w:rPr>
              <w:t>0.02</w:t>
            </w:r>
          </w:p>
        </w:tc>
        <w:tc>
          <w:tcPr>
            <w:tcW w:w="390" w:type="pct"/>
            <w:vAlign w:val="center"/>
          </w:tcPr>
          <w:p w14:paraId="3AAB6F64">
            <w:pPr>
              <w:widowControl/>
              <w:spacing w:line="240" w:lineRule="auto"/>
              <w:ind w:firstLine="0" w:firstLineChars="0"/>
              <w:jc w:val="center"/>
              <w:rPr>
                <w:color w:val="auto"/>
                <w:kern w:val="0"/>
                <w:sz w:val="21"/>
                <w:szCs w:val="21"/>
              </w:rPr>
            </w:pPr>
            <w:r>
              <w:rPr>
                <w:color w:val="auto"/>
                <w:kern w:val="0"/>
                <w:sz w:val="21"/>
                <w:szCs w:val="21"/>
              </w:rPr>
              <w:t>Ⅰ</w:t>
            </w:r>
          </w:p>
        </w:tc>
        <w:tc>
          <w:tcPr>
            <w:tcW w:w="388" w:type="pct"/>
            <w:vAlign w:val="center"/>
          </w:tcPr>
          <w:p w14:paraId="3CA4EA0C">
            <w:pPr>
              <w:adjustRightInd/>
              <w:snapToGrid/>
              <w:spacing w:line="240" w:lineRule="auto"/>
              <w:ind w:firstLine="0" w:firstLineChars="0"/>
              <w:jc w:val="center"/>
              <w:rPr>
                <w:color w:val="auto"/>
                <w:kern w:val="0"/>
                <w:sz w:val="21"/>
                <w:szCs w:val="21"/>
              </w:rPr>
            </w:pPr>
            <w:r>
              <w:rPr>
                <w:color w:val="auto"/>
                <w:sz w:val="21"/>
                <w:szCs w:val="21"/>
              </w:rPr>
              <w:t>0.03</w:t>
            </w:r>
          </w:p>
        </w:tc>
        <w:tc>
          <w:tcPr>
            <w:tcW w:w="413" w:type="pct"/>
            <w:vAlign w:val="center"/>
          </w:tcPr>
          <w:p w14:paraId="73D3F682">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0FF09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0D7CD2AF">
            <w:pPr>
              <w:widowControl/>
              <w:spacing w:line="240" w:lineRule="auto"/>
              <w:ind w:firstLine="0" w:firstLineChars="0"/>
              <w:jc w:val="center"/>
              <w:rPr>
                <w:color w:val="auto"/>
                <w:kern w:val="0"/>
                <w:sz w:val="21"/>
                <w:szCs w:val="21"/>
              </w:rPr>
            </w:pPr>
            <w:r>
              <w:rPr>
                <w:color w:val="auto"/>
                <w:kern w:val="0"/>
                <w:sz w:val="21"/>
                <w:szCs w:val="21"/>
              </w:rPr>
              <w:t>铜(μg/L)</w:t>
            </w:r>
          </w:p>
        </w:tc>
        <w:tc>
          <w:tcPr>
            <w:tcW w:w="491" w:type="pct"/>
            <w:vAlign w:val="center"/>
          </w:tcPr>
          <w:p w14:paraId="37350CC0">
            <w:pPr>
              <w:widowControl/>
              <w:spacing w:line="240" w:lineRule="auto"/>
              <w:ind w:firstLine="0" w:firstLineChars="0"/>
              <w:jc w:val="center"/>
              <w:rPr>
                <w:color w:val="auto"/>
                <w:kern w:val="0"/>
                <w:sz w:val="21"/>
                <w:szCs w:val="21"/>
              </w:rPr>
            </w:pPr>
            <w:r>
              <w:rPr>
                <w:color w:val="auto"/>
                <w:kern w:val="0"/>
                <w:sz w:val="21"/>
                <w:szCs w:val="21"/>
              </w:rPr>
              <w:t>3.09</w:t>
            </w:r>
          </w:p>
        </w:tc>
        <w:tc>
          <w:tcPr>
            <w:tcW w:w="397" w:type="pct"/>
            <w:vAlign w:val="center"/>
          </w:tcPr>
          <w:p w14:paraId="125377F8">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6B7B59C7">
            <w:pPr>
              <w:widowControl/>
              <w:spacing w:line="240" w:lineRule="auto"/>
              <w:ind w:firstLine="0" w:firstLineChars="0"/>
              <w:jc w:val="center"/>
              <w:rPr>
                <w:color w:val="auto"/>
                <w:kern w:val="0"/>
                <w:sz w:val="21"/>
                <w:szCs w:val="21"/>
              </w:rPr>
            </w:pPr>
            <w:r>
              <w:rPr>
                <w:color w:val="auto"/>
                <w:kern w:val="0"/>
                <w:sz w:val="21"/>
                <w:szCs w:val="21"/>
              </w:rPr>
              <w:t>6.17</w:t>
            </w:r>
          </w:p>
        </w:tc>
        <w:tc>
          <w:tcPr>
            <w:tcW w:w="380" w:type="pct"/>
            <w:vAlign w:val="center"/>
          </w:tcPr>
          <w:p w14:paraId="35B22525">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4BFDF591">
            <w:pPr>
              <w:widowControl/>
              <w:spacing w:line="240" w:lineRule="auto"/>
              <w:ind w:firstLine="0" w:firstLineChars="0"/>
              <w:jc w:val="center"/>
              <w:rPr>
                <w:color w:val="auto"/>
                <w:kern w:val="0"/>
                <w:sz w:val="21"/>
                <w:szCs w:val="21"/>
              </w:rPr>
            </w:pPr>
            <w:r>
              <w:rPr>
                <w:color w:val="auto"/>
                <w:kern w:val="0"/>
                <w:sz w:val="21"/>
                <w:szCs w:val="21"/>
              </w:rPr>
              <w:t>4.62</w:t>
            </w:r>
          </w:p>
        </w:tc>
        <w:tc>
          <w:tcPr>
            <w:tcW w:w="452" w:type="pct"/>
            <w:vAlign w:val="center"/>
          </w:tcPr>
          <w:p w14:paraId="5D7D014E">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35FBA3CA">
            <w:pPr>
              <w:widowControl/>
              <w:spacing w:line="240" w:lineRule="auto"/>
              <w:ind w:firstLine="0" w:firstLineChars="0"/>
              <w:jc w:val="center"/>
              <w:rPr>
                <w:color w:val="auto"/>
                <w:kern w:val="0"/>
                <w:sz w:val="21"/>
                <w:szCs w:val="21"/>
              </w:rPr>
            </w:pPr>
            <w:r>
              <w:rPr>
                <w:color w:val="auto"/>
                <w:kern w:val="0"/>
                <w:sz w:val="21"/>
                <w:szCs w:val="21"/>
              </w:rPr>
              <w:t>5.66</w:t>
            </w:r>
          </w:p>
        </w:tc>
        <w:tc>
          <w:tcPr>
            <w:tcW w:w="390" w:type="pct"/>
            <w:vAlign w:val="center"/>
          </w:tcPr>
          <w:p w14:paraId="06105EB2">
            <w:pPr>
              <w:widowControl/>
              <w:spacing w:line="240" w:lineRule="auto"/>
              <w:ind w:firstLine="0" w:firstLineChars="0"/>
              <w:jc w:val="center"/>
              <w:rPr>
                <w:color w:val="auto"/>
                <w:kern w:val="0"/>
                <w:sz w:val="21"/>
                <w:szCs w:val="21"/>
              </w:rPr>
            </w:pPr>
            <w:r>
              <w:rPr>
                <w:color w:val="auto"/>
                <w:kern w:val="0"/>
                <w:sz w:val="21"/>
                <w:szCs w:val="21"/>
              </w:rPr>
              <w:t>Ⅰ</w:t>
            </w:r>
          </w:p>
        </w:tc>
        <w:tc>
          <w:tcPr>
            <w:tcW w:w="388" w:type="pct"/>
            <w:vAlign w:val="center"/>
          </w:tcPr>
          <w:p w14:paraId="0D4F7F38">
            <w:pPr>
              <w:widowControl/>
              <w:spacing w:line="240" w:lineRule="auto"/>
              <w:ind w:firstLine="0" w:firstLineChars="0"/>
              <w:jc w:val="center"/>
              <w:rPr>
                <w:color w:val="auto"/>
                <w:kern w:val="0"/>
                <w:sz w:val="21"/>
                <w:szCs w:val="21"/>
              </w:rPr>
            </w:pPr>
            <w:r>
              <w:rPr>
                <w:b/>
                <w:color w:val="auto"/>
                <w:sz w:val="21"/>
                <w:szCs w:val="21"/>
              </w:rPr>
              <w:t>/</w:t>
            </w:r>
          </w:p>
        </w:tc>
        <w:tc>
          <w:tcPr>
            <w:tcW w:w="413" w:type="pct"/>
            <w:vAlign w:val="center"/>
          </w:tcPr>
          <w:p w14:paraId="356AD0FC">
            <w:pPr>
              <w:widowControl/>
              <w:spacing w:line="240" w:lineRule="auto"/>
              <w:ind w:firstLine="0" w:firstLineChars="0"/>
              <w:jc w:val="center"/>
              <w:rPr>
                <w:bCs/>
                <w:color w:val="auto"/>
                <w:kern w:val="0"/>
                <w:sz w:val="21"/>
                <w:szCs w:val="21"/>
              </w:rPr>
            </w:pPr>
            <w:r>
              <w:rPr>
                <w:bCs/>
                <w:color w:val="auto"/>
                <w:sz w:val="21"/>
                <w:szCs w:val="21"/>
              </w:rPr>
              <w:t>/</w:t>
            </w:r>
          </w:p>
        </w:tc>
      </w:tr>
      <w:tr w14:paraId="18D86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3377C439">
            <w:pPr>
              <w:widowControl/>
              <w:spacing w:line="240" w:lineRule="auto"/>
              <w:ind w:firstLine="0" w:firstLineChars="0"/>
              <w:jc w:val="center"/>
              <w:rPr>
                <w:color w:val="auto"/>
                <w:kern w:val="0"/>
                <w:sz w:val="21"/>
                <w:szCs w:val="21"/>
              </w:rPr>
            </w:pPr>
            <w:r>
              <w:rPr>
                <w:color w:val="auto"/>
                <w:kern w:val="0"/>
                <w:sz w:val="21"/>
                <w:szCs w:val="21"/>
              </w:rPr>
              <w:t>阴离子表面活性剂</w:t>
            </w:r>
          </w:p>
        </w:tc>
        <w:tc>
          <w:tcPr>
            <w:tcW w:w="491" w:type="pct"/>
            <w:vAlign w:val="center"/>
          </w:tcPr>
          <w:p w14:paraId="6B7430D0">
            <w:pPr>
              <w:widowControl/>
              <w:spacing w:line="240" w:lineRule="auto"/>
              <w:ind w:firstLine="0" w:firstLineChars="0"/>
              <w:jc w:val="center"/>
              <w:rPr>
                <w:color w:val="auto"/>
                <w:kern w:val="0"/>
                <w:sz w:val="21"/>
                <w:szCs w:val="21"/>
              </w:rPr>
            </w:pPr>
            <w:r>
              <w:rPr>
                <w:color w:val="auto"/>
                <w:kern w:val="0"/>
                <w:sz w:val="21"/>
                <w:szCs w:val="21"/>
              </w:rPr>
              <w:t>ND</w:t>
            </w:r>
          </w:p>
        </w:tc>
        <w:tc>
          <w:tcPr>
            <w:tcW w:w="397" w:type="pct"/>
            <w:vAlign w:val="center"/>
          </w:tcPr>
          <w:p w14:paraId="4355E079">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4DC9AC36">
            <w:pPr>
              <w:widowControl/>
              <w:spacing w:line="240" w:lineRule="auto"/>
              <w:ind w:firstLine="0" w:firstLineChars="0"/>
              <w:jc w:val="center"/>
              <w:rPr>
                <w:color w:val="auto"/>
                <w:kern w:val="0"/>
                <w:sz w:val="21"/>
                <w:szCs w:val="21"/>
              </w:rPr>
            </w:pPr>
            <w:r>
              <w:rPr>
                <w:color w:val="auto"/>
                <w:kern w:val="0"/>
                <w:sz w:val="21"/>
                <w:szCs w:val="21"/>
              </w:rPr>
              <w:t>ND</w:t>
            </w:r>
          </w:p>
        </w:tc>
        <w:tc>
          <w:tcPr>
            <w:tcW w:w="380" w:type="pct"/>
            <w:vAlign w:val="center"/>
          </w:tcPr>
          <w:p w14:paraId="09959BF2">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2DD8A5BC">
            <w:pPr>
              <w:widowControl/>
              <w:spacing w:line="240" w:lineRule="auto"/>
              <w:ind w:firstLine="0" w:firstLineChars="0"/>
              <w:jc w:val="center"/>
              <w:rPr>
                <w:color w:val="auto"/>
                <w:kern w:val="0"/>
                <w:sz w:val="21"/>
                <w:szCs w:val="21"/>
              </w:rPr>
            </w:pPr>
            <w:r>
              <w:rPr>
                <w:color w:val="auto"/>
                <w:kern w:val="0"/>
                <w:sz w:val="21"/>
                <w:szCs w:val="21"/>
              </w:rPr>
              <w:t>ND</w:t>
            </w:r>
          </w:p>
        </w:tc>
        <w:tc>
          <w:tcPr>
            <w:tcW w:w="452" w:type="pct"/>
            <w:vAlign w:val="center"/>
          </w:tcPr>
          <w:p w14:paraId="15799E44">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4515CD6D">
            <w:pPr>
              <w:widowControl/>
              <w:spacing w:line="240" w:lineRule="auto"/>
              <w:ind w:firstLine="0" w:firstLineChars="0"/>
              <w:jc w:val="center"/>
              <w:rPr>
                <w:color w:val="auto"/>
                <w:kern w:val="0"/>
                <w:sz w:val="21"/>
                <w:szCs w:val="21"/>
              </w:rPr>
            </w:pPr>
            <w:r>
              <w:rPr>
                <w:color w:val="auto"/>
                <w:kern w:val="0"/>
                <w:sz w:val="21"/>
                <w:szCs w:val="21"/>
              </w:rPr>
              <w:t>ND</w:t>
            </w:r>
          </w:p>
        </w:tc>
        <w:tc>
          <w:tcPr>
            <w:tcW w:w="390" w:type="pct"/>
            <w:vAlign w:val="center"/>
          </w:tcPr>
          <w:p w14:paraId="667CDCC0">
            <w:pPr>
              <w:widowControl/>
              <w:spacing w:line="240" w:lineRule="auto"/>
              <w:ind w:firstLine="0" w:firstLineChars="0"/>
              <w:jc w:val="center"/>
              <w:rPr>
                <w:color w:val="auto"/>
                <w:kern w:val="0"/>
                <w:sz w:val="21"/>
                <w:szCs w:val="21"/>
              </w:rPr>
            </w:pPr>
            <w:r>
              <w:rPr>
                <w:color w:val="auto"/>
                <w:kern w:val="0"/>
                <w:sz w:val="21"/>
                <w:szCs w:val="21"/>
              </w:rPr>
              <w:t>Ⅰ</w:t>
            </w:r>
          </w:p>
        </w:tc>
        <w:tc>
          <w:tcPr>
            <w:tcW w:w="388" w:type="pct"/>
            <w:vAlign w:val="center"/>
          </w:tcPr>
          <w:p w14:paraId="1280FA2C">
            <w:pPr>
              <w:adjustRightInd/>
              <w:snapToGrid/>
              <w:spacing w:line="240" w:lineRule="auto"/>
              <w:ind w:firstLine="0" w:firstLineChars="0"/>
              <w:jc w:val="center"/>
              <w:rPr>
                <w:color w:val="auto"/>
                <w:kern w:val="0"/>
                <w:sz w:val="21"/>
                <w:szCs w:val="21"/>
              </w:rPr>
            </w:pPr>
            <w:r>
              <w:rPr>
                <w:color w:val="auto"/>
                <w:sz w:val="21"/>
                <w:szCs w:val="21"/>
              </w:rPr>
              <w:t>ND</w:t>
            </w:r>
          </w:p>
        </w:tc>
        <w:tc>
          <w:tcPr>
            <w:tcW w:w="413" w:type="pct"/>
            <w:vAlign w:val="center"/>
          </w:tcPr>
          <w:p w14:paraId="48D19F91">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60087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240EABC6">
            <w:pPr>
              <w:widowControl/>
              <w:spacing w:line="240" w:lineRule="auto"/>
              <w:ind w:firstLine="0" w:firstLineChars="0"/>
              <w:jc w:val="center"/>
              <w:rPr>
                <w:color w:val="auto"/>
                <w:kern w:val="0"/>
                <w:sz w:val="21"/>
                <w:szCs w:val="21"/>
              </w:rPr>
            </w:pPr>
            <w:r>
              <w:rPr>
                <w:color w:val="auto"/>
                <w:kern w:val="0"/>
                <w:sz w:val="21"/>
                <w:szCs w:val="21"/>
              </w:rPr>
              <w:t>氰化物</w:t>
            </w:r>
          </w:p>
        </w:tc>
        <w:tc>
          <w:tcPr>
            <w:tcW w:w="491" w:type="pct"/>
            <w:vAlign w:val="center"/>
          </w:tcPr>
          <w:p w14:paraId="5FFAF7B0">
            <w:pPr>
              <w:widowControl/>
              <w:spacing w:line="240" w:lineRule="auto"/>
              <w:ind w:firstLine="0" w:firstLineChars="0"/>
              <w:jc w:val="center"/>
              <w:rPr>
                <w:color w:val="auto"/>
                <w:kern w:val="0"/>
                <w:sz w:val="21"/>
                <w:szCs w:val="21"/>
              </w:rPr>
            </w:pPr>
            <w:r>
              <w:rPr>
                <w:color w:val="auto"/>
                <w:kern w:val="0"/>
                <w:sz w:val="21"/>
                <w:szCs w:val="21"/>
              </w:rPr>
              <w:t>ND</w:t>
            </w:r>
          </w:p>
        </w:tc>
        <w:tc>
          <w:tcPr>
            <w:tcW w:w="397" w:type="pct"/>
            <w:vAlign w:val="center"/>
          </w:tcPr>
          <w:p w14:paraId="464CE726">
            <w:pPr>
              <w:widowControl/>
              <w:spacing w:line="240" w:lineRule="auto"/>
              <w:ind w:firstLine="0" w:firstLineChars="0"/>
              <w:jc w:val="center"/>
              <w:rPr>
                <w:color w:val="auto"/>
                <w:kern w:val="0"/>
                <w:sz w:val="21"/>
                <w:szCs w:val="21"/>
              </w:rPr>
            </w:pPr>
            <w:r>
              <w:rPr>
                <w:color w:val="auto"/>
                <w:kern w:val="0"/>
                <w:sz w:val="21"/>
                <w:szCs w:val="21"/>
              </w:rPr>
              <w:t>Ⅰ</w:t>
            </w:r>
          </w:p>
        </w:tc>
        <w:tc>
          <w:tcPr>
            <w:tcW w:w="405" w:type="pct"/>
            <w:vAlign w:val="center"/>
          </w:tcPr>
          <w:p w14:paraId="26B3A3F8">
            <w:pPr>
              <w:widowControl/>
              <w:spacing w:line="240" w:lineRule="auto"/>
              <w:ind w:firstLine="0" w:firstLineChars="0"/>
              <w:jc w:val="center"/>
              <w:rPr>
                <w:color w:val="auto"/>
                <w:kern w:val="0"/>
                <w:sz w:val="21"/>
                <w:szCs w:val="21"/>
              </w:rPr>
            </w:pPr>
            <w:r>
              <w:rPr>
                <w:color w:val="auto"/>
                <w:kern w:val="0"/>
                <w:sz w:val="21"/>
                <w:szCs w:val="21"/>
              </w:rPr>
              <w:t>ND</w:t>
            </w:r>
          </w:p>
        </w:tc>
        <w:tc>
          <w:tcPr>
            <w:tcW w:w="380" w:type="pct"/>
            <w:vAlign w:val="center"/>
          </w:tcPr>
          <w:p w14:paraId="4719E3D2">
            <w:pPr>
              <w:widowControl/>
              <w:spacing w:line="240" w:lineRule="auto"/>
              <w:ind w:firstLine="0" w:firstLineChars="0"/>
              <w:jc w:val="center"/>
              <w:rPr>
                <w:color w:val="auto"/>
                <w:kern w:val="0"/>
                <w:sz w:val="21"/>
                <w:szCs w:val="21"/>
              </w:rPr>
            </w:pPr>
            <w:r>
              <w:rPr>
                <w:color w:val="auto"/>
                <w:kern w:val="0"/>
                <w:sz w:val="21"/>
                <w:szCs w:val="21"/>
              </w:rPr>
              <w:t>Ⅰ</w:t>
            </w:r>
          </w:p>
        </w:tc>
        <w:tc>
          <w:tcPr>
            <w:tcW w:w="385" w:type="pct"/>
            <w:vAlign w:val="center"/>
          </w:tcPr>
          <w:p w14:paraId="3D1A9D14">
            <w:pPr>
              <w:widowControl/>
              <w:spacing w:line="240" w:lineRule="auto"/>
              <w:ind w:firstLine="0" w:firstLineChars="0"/>
              <w:jc w:val="center"/>
              <w:rPr>
                <w:color w:val="auto"/>
                <w:kern w:val="0"/>
                <w:sz w:val="21"/>
                <w:szCs w:val="21"/>
              </w:rPr>
            </w:pPr>
            <w:r>
              <w:rPr>
                <w:color w:val="auto"/>
                <w:kern w:val="0"/>
                <w:sz w:val="21"/>
                <w:szCs w:val="21"/>
              </w:rPr>
              <w:t>ND</w:t>
            </w:r>
          </w:p>
        </w:tc>
        <w:tc>
          <w:tcPr>
            <w:tcW w:w="452" w:type="pct"/>
            <w:vAlign w:val="center"/>
          </w:tcPr>
          <w:p w14:paraId="11A94028">
            <w:pPr>
              <w:widowControl/>
              <w:spacing w:line="240" w:lineRule="auto"/>
              <w:ind w:firstLine="0" w:firstLineChars="0"/>
              <w:jc w:val="center"/>
              <w:rPr>
                <w:color w:val="auto"/>
                <w:kern w:val="0"/>
                <w:sz w:val="21"/>
                <w:szCs w:val="21"/>
              </w:rPr>
            </w:pPr>
            <w:r>
              <w:rPr>
                <w:color w:val="auto"/>
                <w:kern w:val="0"/>
                <w:sz w:val="21"/>
                <w:szCs w:val="21"/>
              </w:rPr>
              <w:t>Ⅰ</w:t>
            </w:r>
          </w:p>
        </w:tc>
        <w:tc>
          <w:tcPr>
            <w:tcW w:w="409" w:type="pct"/>
            <w:vAlign w:val="center"/>
          </w:tcPr>
          <w:p w14:paraId="51F39007">
            <w:pPr>
              <w:widowControl/>
              <w:spacing w:line="240" w:lineRule="auto"/>
              <w:ind w:firstLine="0" w:firstLineChars="0"/>
              <w:jc w:val="center"/>
              <w:rPr>
                <w:color w:val="auto"/>
                <w:kern w:val="0"/>
                <w:sz w:val="21"/>
                <w:szCs w:val="21"/>
              </w:rPr>
            </w:pPr>
            <w:r>
              <w:rPr>
                <w:color w:val="auto"/>
                <w:kern w:val="0"/>
                <w:sz w:val="21"/>
                <w:szCs w:val="21"/>
              </w:rPr>
              <w:t>ND</w:t>
            </w:r>
          </w:p>
        </w:tc>
        <w:tc>
          <w:tcPr>
            <w:tcW w:w="390" w:type="pct"/>
            <w:vAlign w:val="center"/>
          </w:tcPr>
          <w:p w14:paraId="1E74ABA8">
            <w:pPr>
              <w:widowControl/>
              <w:spacing w:line="240" w:lineRule="auto"/>
              <w:ind w:firstLine="0" w:firstLineChars="0"/>
              <w:jc w:val="center"/>
              <w:rPr>
                <w:color w:val="auto"/>
                <w:kern w:val="0"/>
                <w:sz w:val="21"/>
                <w:szCs w:val="21"/>
              </w:rPr>
            </w:pPr>
            <w:r>
              <w:rPr>
                <w:color w:val="auto"/>
                <w:kern w:val="0"/>
                <w:sz w:val="21"/>
                <w:szCs w:val="21"/>
              </w:rPr>
              <w:t>Ⅰ</w:t>
            </w:r>
          </w:p>
        </w:tc>
        <w:tc>
          <w:tcPr>
            <w:tcW w:w="388" w:type="pct"/>
            <w:vAlign w:val="center"/>
          </w:tcPr>
          <w:p w14:paraId="774F40FB">
            <w:pPr>
              <w:widowControl/>
              <w:adjustRightInd/>
              <w:snapToGrid/>
              <w:spacing w:line="240" w:lineRule="auto"/>
              <w:ind w:firstLine="0" w:firstLineChars="0"/>
              <w:jc w:val="center"/>
              <w:rPr>
                <w:color w:val="auto"/>
                <w:kern w:val="0"/>
                <w:sz w:val="21"/>
                <w:szCs w:val="21"/>
              </w:rPr>
            </w:pPr>
            <w:r>
              <w:rPr>
                <w:color w:val="auto"/>
                <w:sz w:val="21"/>
                <w:szCs w:val="21"/>
              </w:rPr>
              <w:t>ND</w:t>
            </w:r>
          </w:p>
        </w:tc>
        <w:tc>
          <w:tcPr>
            <w:tcW w:w="413" w:type="pct"/>
            <w:vAlign w:val="center"/>
          </w:tcPr>
          <w:p w14:paraId="5CD5775F">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1479C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0" w:type="pct"/>
            <w:vAlign w:val="center"/>
          </w:tcPr>
          <w:p w14:paraId="3E78308C">
            <w:pPr>
              <w:widowControl/>
              <w:spacing w:line="240" w:lineRule="auto"/>
              <w:ind w:firstLine="0" w:firstLineChars="0"/>
              <w:jc w:val="center"/>
              <w:rPr>
                <w:color w:val="auto"/>
                <w:kern w:val="0"/>
                <w:sz w:val="21"/>
                <w:szCs w:val="21"/>
              </w:rPr>
            </w:pPr>
            <w:r>
              <w:rPr>
                <w:color w:val="auto"/>
                <w:kern w:val="0"/>
                <w:sz w:val="21"/>
                <w:szCs w:val="21"/>
              </w:rPr>
              <w:t>总大肠菌群(MPN/100ml)</w:t>
            </w:r>
          </w:p>
        </w:tc>
        <w:tc>
          <w:tcPr>
            <w:tcW w:w="491" w:type="pct"/>
            <w:vAlign w:val="center"/>
          </w:tcPr>
          <w:p w14:paraId="6BE10EF8">
            <w:pPr>
              <w:widowControl/>
              <w:spacing w:line="240" w:lineRule="auto"/>
              <w:ind w:firstLine="0" w:firstLineChars="0"/>
              <w:jc w:val="center"/>
              <w:rPr>
                <w:color w:val="auto"/>
                <w:kern w:val="0"/>
                <w:sz w:val="21"/>
                <w:szCs w:val="21"/>
              </w:rPr>
            </w:pPr>
            <w:r>
              <w:rPr>
                <w:color w:val="auto"/>
                <w:kern w:val="0"/>
                <w:sz w:val="21"/>
                <w:szCs w:val="21"/>
              </w:rPr>
              <w:t>22</w:t>
            </w:r>
          </w:p>
        </w:tc>
        <w:tc>
          <w:tcPr>
            <w:tcW w:w="397" w:type="pct"/>
            <w:vAlign w:val="center"/>
          </w:tcPr>
          <w:p w14:paraId="4BB071D7">
            <w:pPr>
              <w:widowControl/>
              <w:spacing w:line="240" w:lineRule="auto"/>
              <w:ind w:firstLine="0" w:firstLineChars="0"/>
              <w:jc w:val="center"/>
              <w:rPr>
                <w:color w:val="auto"/>
                <w:kern w:val="0"/>
                <w:sz w:val="21"/>
                <w:szCs w:val="21"/>
              </w:rPr>
            </w:pPr>
            <w:r>
              <w:rPr>
                <w:color w:val="auto"/>
                <w:kern w:val="0"/>
                <w:sz w:val="21"/>
                <w:szCs w:val="21"/>
              </w:rPr>
              <w:t>Ⅳ</w:t>
            </w:r>
          </w:p>
        </w:tc>
        <w:tc>
          <w:tcPr>
            <w:tcW w:w="405" w:type="pct"/>
            <w:vAlign w:val="center"/>
          </w:tcPr>
          <w:p w14:paraId="61210841">
            <w:pPr>
              <w:widowControl/>
              <w:spacing w:line="240" w:lineRule="auto"/>
              <w:ind w:firstLine="0" w:firstLineChars="0"/>
              <w:jc w:val="center"/>
              <w:rPr>
                <w:color w:val="auto"/>
                <w:kern w:val="0"/>
                <w:sz w:val="21"/>
                <w:szCs w:val="21"/>
              </w:rPr>
            </w:pPr>
            <w:r>
              <w:rPr>
                <w:color w:val="auto"/>
                <w:kern w:val="0"/>
                <w:sz w:val="21"/>
                <w:szCs w:val="21"/>
              </w:rPr>
              <w:t>17</w:t>
            </w:r>
          </w:p>
        </w:tc>
        <w:tc>
          <w:tcPr>
            <w:tcW w:w="380" w:type="pct"/>
            <w:vAlign w:val="center"/>
          </w:tcPr>
          <w:p w14:paraId="375AC308">
            <w:pPr>
              <w:widowControl/>
              <w:spacing w:line="240" w:lineRule="auto"/>
              <w:ind w:firstLine="0" w:firstLineChars="0"/>
              <w:jc w:val="center"/>
              <w:rPr>
                <w:color w:val="auto"/>
                <w:kern w:val="0"/>
                <w:sz w:val="21"/>
                <w:szCs w:val="21"/>
              </w:rPr>
            </w:pPr>
            <w:r>
              <w:rPr>
                <w:color w:val="auto"/>
                <w:kern w:val="0"/>
                <w:sz w:val="21"/>
                <w:szCs w:val="21"/>
              </w:rPr>
              <w:t>Ⅳ</w:t>
            </w:r>
          </w:p>
        </w:tc>
        <w:tc>
          <w:tcPr>
            <w:tcW w:w="385" w:type="pct"/>
            <w:vAlign w:val="center"/>
          </w:tcPr>
          <w:p w14:paraId="15F562CC">
            <w:pPr>
              <w:widowControl/>
              <w:spacing w:line="240" w:lineRule="auto"/>
              <w:ind w:firstLine="0" w:firstLineChars="0"/>
              <w:jc w:val="center"/>
              <w:rPr>
                <w:color w:val="auto"/>
                <w:kern w:val="0"/>
                <w:sz w:val="21"/>
                <w:szCs w:val="21"/>
              </w:rPr>
            </w:pPr>
            <w:r>
              <w:rPr>
                <w:color w:val="auto"/>
                <w:kern w:val="0"/>
                <w:sz w:val="21"/>
                <w:szCs w:val="21"/>
              </w:rPr>
              <w:t>27</w:t>
            </w:r>
          </w:p>
        </w:tc>
        <w:tc>
          <w:tcPr>
            <w:tcW w:w="452" w:type="pct"/>
            <w:vAlign w:val="center"/>
          </w:tcPr>
          <w:p w14:paraId="13CCF2B1">
            <w:pPr>
              <w:widowControl/>
              <w:spacing w:line="240" w:lineRule="auto"/>
              <w:ind w:firstLine="0" w:firstLineChars="0"/>
              <w:jc w:val="center"/>
              <w:rPr>
                <w:color w:val="auto"/>
                <w:kern w:val="0"/>
                <w:sz w:val="21"/>
                <w:szCs w:val="21"/>
              </w:rPr>
            </w:pPr>
            <w:r>
              <w:rPr>
                <w:color w:val="auto"/>
                <w:kern w:val="0"/>
                <w:sz w:val="21"/>
                <w:szCs w:val="21"/>
              </w:rPr>
              <w:t>Ⅳ</w:t>
            </w:r>
          </w:p>
        </w:tc>
        <w:tc>
          <w:tcPr>
            <w:tcW w:w="409" w:type="pct"/>
            <w:vAlign w:val="center"/>
          </w:tcPr>
          <w:p w14:paraId="1848CB66">
            <w:pPr>
              <w:widowControl/>
              <w:spacing w:line="240" w:lineRule="auto"/>
              <w:ind w:firstLine="0" w:firstLineChars="0"/>
              <w:jc w:val="center"/>
              <w:rPr>
                <w:color w:val="auto"/>
                <w:kern w:val="0"/>
                <w:sz w:val="21"/>
                <w:szCs w:val="21"/>
              </w:rPr>
            </w:pPr>
            <w:r>
              <w:rPr>
                <w:color w:val="auto"/>
                <w:kern w:val="0"/>
                <w:sz w:val="21"/>
                <w:szCs w:val="21"/>
              </w:rPr>
              <w:t>23</w:t>
            </w:r>
          </w:p>
        </w:tc>
        <w:tc>
          <w:tcPr>
            <w:tcW w:w="390" w:type="pct"/>
            <w:vAlign w:val="center"/>
          </w:tcPr>
          <w:p w14:paraId="2EA33CAC">
            <w:pPr>
              <w:widowControl/>
              <w:spacing w:line="240" w:lineRule="auto"/>
              <w:ind w:firstLine="0" w:firstLineChars="0"/>
              <w:jc w:val="center"/>
              <w:rPr>
                <w:color w:val="auto"/>
                <w:kern w:val="0"/>
                <w:sz w:val="21"/>
                <w:szCs w:val="21"/>
              </w:rPr>
            </w:pPr>
            <w:r>
              <w:rPr>
                <w:color w:val="auto"/>
                <w:kern w:val="0"/>
                <w:sz w:val="21"/>
                <w:szCs w:val="21"/>
              </w:rPr>
              <w:t>Ⅳ</w:t>
            </w:r>
          </w:p>
        </w:tc>
        <w:tc>
          <w:tcPr>
            <w:tcW w:w="388" w:type="pct"/>
            <w:vAlign w:val="center"/>
          </w:tcPr>
          <w:p w14:paraId="2062261D">
            <w:pPr>
              <w:adjustRightInd/>
              <w:snapToGrid/>
              <w:spacing w:line="240" w:lineRule="auto"/>
              <w:ind w:firstLine="0" w:firstLineChars="0"/>
              <w:jc w:val="center"/>
              <w:rPr>
                <w:color w:val="auto"/>
                <w:kern w:val="0"/>
                <w:sz w:val="21"/>
                <w:szCs w:val="21"/>
              </w:rPr>
            </w:pPr>
            <w:r>
              <w:rPr>
                <w:color w:val="auto"/>
                <w:sz w:val="21"/>
                <w:szCs w:val="21"/>
              </w:rPr>
              <w:t>＜20</w:t>
            </w:r>
          </w:p>
        </w:tc>
        <w:tc>
          <w:tcPr>
            <w:tcW w:w="413" w:type="pct"/>
            <w:vAlign w:val="center"/>
          </w:tcPr>
          <w:p w14:paraId="779B7880">
            <w:pPr>
              <w:adjustRightInd/>
              <w:snapToGrid/>
              <w:spacing w:line="240" w:lineRule="auto"/>
              <w:ind w:firstLine="0" w:firstLineChars="0"/>
              <w:jc w:val="center"/>
              <w:rPr>
                <w:bCs/>
                <w:color w:val="auto"/>
                <w:kern w:val="0"/>
                <w:sz w:val="21"/>
                <w:szCs w:val="21"/>
              </w:rPr>
            </w:pPr>
            <w:r>
              <w:rPr>
                <w:bCs/>
                <w:color w:val="auto"/>
                <w:sz w:val="21"/>
                <w:szCs w:val="21"/>
              </w:rPr>
              <w:t>Ⅰ</w:t>
            </w:r>
          </w:p>
        </w:tc>
      </w:tr>
      <w:tr w14:paraId="56B29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501D6A5D">
            <w:pPr>
              <w:widowControl/>
              <w:spacing w:line="240" w:lineRule="auto"/>
              <w:ind w:firstLine="0" w:firstLineChars="0"/>
              <w:jc w:val="center"/>
              <w:rPr>
                <w:color w:val="auto"/>
                <w:kern w:val="0"/>
                <w:sz w:val="21"/>
                <w:szCs w:val="21"/>
              </w:rPr>
            </w:pPr>
            <w:r>
              <w:rPr>
                <w:color w:val="auto"/>
                <w:kern w:val="0"/>
                <w:sz w:val="21"/>
                <w:szCs w:val="21"/>
              </w:rPr>
              <w:t>菌落总数(CFU/ml)</w:t>
            </w:r>
          </w:p>
        </w:tc>
        <w:tc>
          <w:tcPr>
            <w:tcW w:w="491" w:type="pct"/>
            <w:vAlign w:val="center"/>
          </w:tcPr>
          <w:p w14:paraId="43C77328">
            <w:pPr>
              <w:widowControl/>
              <w:spacing w:line="240" w:lineRule="auto"/>
              <w:ind w:firstLine="0" w:firstLineChars="0"/>
              <w:jc w:val="center"/>
              <w:rPr>
                <w:color w:val="auto"/>
                <w:kern w:val="0"/>
                <w:sz w:val="21"/>
                <w:szCs w:val="21"/>
              </w:rPr>
            </w:pPr>
            <w:r>
              <w:rPr>
                <w:color w:val="auto"/>
                <w:kern w:val="0"/>
                <w:sz w:val="21"/>
                <w:szCs w:val="21"/>
              </w:rPr>
              <w:t>440</w:t>
            </w:r>
          </w:p>
        </w:tc>
        <w:tc>
          <w:tcPr>
            <w:tcW w:w="397" w:type="pct"/>
            <w:vAlign w:val="center"/>
          </w:tcPr>
          <w:p w14:paraId="687B20CD">
            <w:pPr>
              <w:widowControl/>
              <w:spacing w:line="240" w:lineRule="auto"/>
              <w:ind w:firstLine="0" w:firstLineChars="0"/>
              <w:jc w:val="center"/>
              <w:rPr>
                <w:color w:val="auto"/>
                <w:kern w:val="0"/>
                <w:sz w:val="21"/>
                <w:szCs w:val="21"/>
              </w:rPr>
            </w:pPr>
            <w:r>
              <w:rPr>
                <w:color w:val="auto"/>
                <w:kern w:val="0"/>
                <w:sz w:val="21"/>
                <w:szCs w:val="21"/>
              </w:rPr>
              <w:t>Ⅳ</w:t>
            </w:r>
          </w:p>
        </w:tc>
        <w:tc>
          <w:tcPr>
            <w:tcW w:w="405" w:type="pct"/>
            <w:vAlign w:val="center"/>
          </w:tcPr>
          <w:p w14:paraId="1CD10F6C">
            <w:pPr>
              <w:widowControl/>
              <w:spacing w:line="240" w:lineRule="auto"/>
              <w:ind w:firstLine="0" w:firstLineChars="0"/>
              <w:jc w:val="center"/>
              <w:rPr>
                <w:color w:val="auto"/>
                <w:kern w:val="0"/>
                <w:sz w:val="21"/>
                <w:szCs w:val="21"/>
              </w:rPr>
            </w:pPr>
            <w:r>
              <w:rPr>
                <w:color w:val="auto"/>
                <w:kern w:val="0"/>
                <w:sz w:val="21"/>
                <w:szCs w:val="21"/>
              </w:rPr>
              <w:t>460</w:t>
            </w:r>
          </w:p>
        </w:tc>
        <w:tc>
          <w:tcPr>
            <w:tcW w:w="380" w:type="pct"/>
            <w:vAlign w:val="center"/>
          </w:tcPr>
          <w:p w14:paraId="3D7EE3BB">
            <w:pPr>
              <w:widowControl/>
              <w:spacing w:line="240" w:lineRule="auto"/>
              <w:ind w:firstLine="0" w:firstLineChars="0"/>
              <w:jc w:val="center"/>
              <w:rPr>
                <w:color w:val="auto"/>
                <w:kern w:val="0"/>
                <w:sz w:val="21"/>
                <w:szCs w:val="21"/>
              </w:rPr>
            </w:pPr>
            <w:r>
              <w:rPr>
                <w:color w:val="auto"/>
                <w:kern w:val="0"/>
                <w:sz w:val="21"/>
                <w:szCs w:val="21"/>
              </w:rPr>
              <w:t>Ⅳ</w:t>
            </w:r>
          </w:p>
        </w:tc>
        <w:tc>
          <w:tcPr>
            <w:tcW w:w="385" w:type="pct"/>
            <w:vAlign w:val="center"/>
          </w:tcPr>
          <w:p w14:paraId="6C75D68A">
            <w:pPr>
              <w:widowControl/>
              <w:spacing w:line="240" w:lineRule="auto"/>
              <w:ind w:firstLine="0" w:firstLineChars="0"/>
              <w:jc w:val="center"/>
              <w:rPr>
                <w:color w:val="auto"/>
                <w:kern w:val="0"/>
                <w:sz w:val="21"/>
                <w:szCs w:val="21"/>
              </w:rPr>
            </w:pPr>
            <w:r>
              <w:rPr>
                <w:color w:val="auto"/>
                <w:kern w:val="0"/>
                <w:sz w:val="21"/>
                <w:szCs w:val="21"/>
              </w:rPr>
              <w:t>550</w:t>
            </w:r>
          </w:p>
        </w:tc>
        <w:tc>
          <w:tcPr>
            <w:tcW w:w="452" w:type="pct"/>
            <w:vAlign w:val="center"/>
          </w:tcPr>
          <w:p w14:paraId="39871C44">
            <w:pPr>
              <w:widowControl/>
              <w:spacing w:line="240" w:lineRule="auto"/>
              <w:ind w:firstLine="0" w:firstLineChars="0"/>
              <w:jc w:val="center"/>
              <w:rPr>
                <w:color w:val="auto"/>
                <w:kern w:val="0"/>
                <w:sz w:val="21"/>
                <w:szCs w:val="21"/>
              </w:rPr>
            </w:pPr>
            <w:r>
              <w:rPr>
                <w:color w:val="auto"/>
                <w:kern w:val="0"/>
                <w:sz w:val="21"/>
                <w:szCs w:val="21"/>
              </w:rPr>
              <w:t>Ⅳ</w:t>
            </w:r>
          </w:p>
        </w:tc>
        <w:tc>
          <w:tcPr>
            <w:tcW w:w="409" w:type="pct"/>
            <w:vAlign w:val="center"/>
          </w:tcPr>
          <w:p w14:paraId="21ECF7F8">
            <w:pPr>
              <w:widowControl/>
              <w:spacing w:line="240" w:lineRule="auto"/>
              <w:ind w:firstLine="0" w:firstLineChars="0"/>
              <w:jc w:val="center"/>
              <w:rPr>
                <w:color w:val="auto"/>
                <w:kern w:val="0"/>
                <w:sz w:val="21"/>
                <w:szCs w:val="21"/>
              </w:rPr>
            </w:pPr>
            <w:r>
              <w:rPr>
                <w:color w:val="auto"/>
                <w:kern w:val="0"/>
                <w:sz w:val="21"/>
                <w:szCs w:val="21"/>
              </w:rPr>
              <w:t>340</w:t>
            </w:r>
          </w:p>
        </w:tc>
        <w:tc>
          <w:tcPr>
            <w:tcW w:w="390" w:type="pct"/>
            <w:vAlign w:val="center"/>
          </w:tcPr>
          <w:p w14:paraId="5E1661BD">
            <w:pPr>
              <w:widowControl/>
              <w:spacing w:line="240" w:lineRule="auto"/>
              <w:ind w:firstLine="0" w:firstLineChars="0"/>
              <w:jc w:val="center"/>
              <w:rPr>
                <w:color w:val="auto"/>
                <w:kern w:val="0"/>
                <w:sz w:val="21"/>
                <w:szCs w:val="21"/>
              </w:rPr>
            </w:pPr>
            <w:r>
              <w:rPr>
                <w:color w:val="auto"/>
                <w:kern w:val="0"/>
                <w:sz w:val="21"/>
                <w:szCs w:val="21"/>
              </w:rPr>
              <w:t>Ⅳ</w:t>
            </w:r>
          </w:p>
        </w:tc>
        <w:tc>
          <w:tcPr>
            <w:tcW w:w="388" w:type="pct"/>
            <w:vAlign w:val="center"/>
          </w:tcPr>
          <w:p w14:paraId="0744F101">
            <w:pPr>
              <w:widowControl/>
              <w:spacing w:line="240" w:lineRule="auto"/>
              <w:ind w:firstLine="0" w:firstLineChars="0"/>
              <w:jc w:val="center"/>
              <w:rPr>
                <w:color w:val="auto"/>
                <w:kern w:val="0"/>
                <w:sz w:val="21"/>
                <w:szCs w:val="21"/>
              </w:rPr>
            </w:pPr>
            <w:r>
              <w:rPr>
                <w:b/>
                <w:color w:val="auto"/>
                <w:sz w:val="21"/>
                <w:szCs w:val="21"/>
              </w:rPr>
              <w:t>/</w:t>
            </w:r>
          </w:p>
        </w:tc>
        <w:tc>
          <w:tcPr>
            <w:tcW w:w="413" w:type="pct"/>
            <w:vAlign w:val="center"/>
          </w:tcPr>
          <w:p w14:paraId="794E2902">
            <w:pPr>
              <w:widowControl/>
              <w:spacing w:line="240" w:lineRule="auto"/>
              <w:ind w:firstLine="0" w:firstLineChars="0"/>
              <w:jc w:val="center"/>
              <w:rPr>
                <w:bCs/>
                <w:color w:val="auto"/>
                <w:kern w:val="0"/>
                <w:sz w:val="21"/>
                <w:szCs w:val="21"/>
              </w:rPr>
            </w:pPr>
            <w:r>
              <w:rPr>
                <w:bCs/>
                <w:color w:val="auto"/>
                <w:sz w:val="21"/>
                <w:szCs w:val="21"/>
              </w:rPr>
              <w:t>/</w:t>
            </w:r>
          </w:p>
        </w:tc>
      </w:tr>
      <w:tr w14:paraId="2C5D8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0" w:type="pct"/>
            <w:vAlign w:val="center"/>
          </w:tcPr>
          <w:p w14:paraId="4C366FA2">
            <w:pPr>
              <w:widowControl/>
              <w:spacing w:line="240" w:lineRule="auto"/>
              <w:ind w:firstLine="0" w:firstLineChars="0"/>
              <w:jc w:val="center"/>
              <w:rPr>
                <w:color w:val="auto"/>
                <w:kern w:val="0"/>
                <w:sz w:val="21"/>
                <w:szCs w:val="21"/>
              </w:rPr>
            </w:pPr>
            <w:r>
              <w:rPr>
                <w:color w:val="auto"/>
                <w:kern w:val="0"/>
                <w:sz w:val="21"/>
                <w:szCs w:val="21"/>
              </w:rPr>
              <w:t>石油类</w:t>
            </w:r>
          </w:p>
        </w:tc>
        <w:tc>
          <w:tcPr>
            <w:tcW w:w="491" w:type="pct"/>
            <w:vAlign w:val="center"/>
          </w:tcPr>
          <w:p w14:paraId="07F3085A">
            <w:pPr>
              <w:widowControl/>
              <w:spacing w:line="240" w:lineRule="auto"/>
              <w:ind w:firstLine="0" w:firstLineChars="0"/>
              <w:jc w:val="center"/>
              <w:rPr>
                <w:color w:val="auto"/>
                <w:kern w:val="0"/>
                <w:sz w:val="21"/>
                <w:szCs w:val="21"/>
              </w:rPr>
            </w:pPr>
            <w:r>
              <w:rPr>
                <w:color w:val="auto"/>
                <w:kern w:val="0"/>
                <w:sz w:val="21"/>
                <w:szCs w:val="21"/>
              </w:rPr>
              <w:t>0.01</w:t>
            </w:r>
          </w:p>
        </w:tc>
        <w:tc>
          <w:tcPr>
            <w:tcW w:w="397" w:type="pct"/>
            <w:vAlign w:val="center"/>
          </w:tcPr>
          <w:p w14:paraId="58530696">
            <w:pPr>
              <w:widowControl/>
              <w:spacing w:line="240" w:lineRule="auto"/>
              <w:ind w:firstLine="0" w:firstLineChars="0"/>
              <w:jc w:val="center"/>
              <w:rPr>
                <w:color w:val="auto"/>
                <w:kern w:val="0"/>
                <w:sz w:val="21"/>
                <w:szCs w:val="21"/>
              </w:rPr>
            </w:pPr>
            <w:r>
              <w:rPr>
                <w:color w:val="auto"/>
                <w:kern w:val="0"/>
                <w:sz w:val="21"/>
                <w:szCs w:val="21"/>
              </w:rPr>
              <w:t>/</w:t>
            </w:r>
          </w:p>
        </w:tc>
        <w:tc>
          <w:tcPr>
            <w:tcW w:w="405" w:type="pct"/>
            <w:vAlign w:val="center"/>
          </w:tcPr>
          <w:p w14:paraId="7E305522">
            <w:pPr>
              <w:widowControl/>
              <w:spacing w:line="240" w:lineRule="auto"/>
              <w:ind w:firstLine="0" w:firstLineChars="0"/>
              <w:jc w:val="center"/>
              <w:rPr>
                <w:color w:val="auto"/>
                <w:kern w:val="0"/>
                <w:sz w:val="21"/>
                <w:szCs w:val="21"/>
              </w:rPr>
            </w:pPr>
            <w:r>
              <w:rPr>
                <w:color w:val="auto"/>
                <w:kern w:val="0"/>
                <w:sz w:val="21"/>
                <w:szCs w:val="21"/>
              </w:rPr>
              <w:t>0.01</w:t>
            </w:r>
          </w:p>
        </w:tc>
        <w:tc>
          <w:tcPr>
            <w:tcW w:w="380" w:type="pct"/>
            <w:vAlign w:val="center"/>
          </w:tcPr>
          <w:p w14:paraId="7B5697D0">
            <w:pPr>
              <w:widowControl/>
              <w:spacing w:line="240" w:lineRule="auto"/>
              <w:ind w:firstLine="0" w:firstLineChars="0"/>
              <w:jc w:val="center"/>
              <w:rPr>
                <w:color w:val="auto"/>
                <w:kern w:val="0"/>
                <w:sz w:val="21"/>
                <w:szCs w:val="21"/>
              </w:rPr>
            </w:pPr>
            <w:r>
              <w:rPr>
                <w:color w:val="auto"/>
                <w:kern w:val="0"/>
                <w:sz w:val="21"/>
                <w:szCs w:val="21"/>
              </w:rPr>
              <w:t>/</w:t>
            </w:r>
          </w:p>
        </w:tc>
        <w:tc>
          <w:tcPr>
            <w:tcW w:w="385" w:type="pct"/>
            <w:vAlign w:val="center"/>
          </w:tcPr>
          <w:p w14:paraId="21773844">
            <w:pPr>
              <w:widowControl/>
              <w:spacing w:line="240" w:lineRule="auto"/>
              <w:ind w:firstLine="0" w:firstLineChars="0"/>
              <w:jc w:val="center"/>
              <w:rPr>
                <w:color w:val="auto"/>
                <w:kern w:val="0"/>
                <w:sz w:val="21"/>
                <w:szCs w:val="21"/>
              </w:rPr>
            </w:pPr>
            <w:r>
              <w:rPr>
                <w:color w:val="auto"/>
                <w:kern w:val="0"/>
                <w:sz w:val="21"/>
                <w:szCs w:val="21"/>
              </w:rPr>
              <w:t>0.01</w:t>
            </w:r>
          </w:p>
        </w:tc>
        <w:tc>
          <w:tcPr>
            <w:tcW w:w="452" w:type="pct"/>
            <w:vAlign w:val="center"/>
          </w:tcPr>
          <w:p w14:paraId="7713646F">
            <w:pPr>
              <w:widowControl/>
              <w:spacing w:line="240" w:lineRule="auto"/>
              <w:ind w:firstLine="0" w:firstLineChars="0"/>
              <w:jc w:val="center"/>
              <w:rPr>
                <w:color w:val="auto"/>
                <w:kern w:val="0"/>
                <w:sz w:val="21"/>
                <w:szCs w:val="21"/>
              </w:rPr>
            </w:pPr>
            <w:r>
              <w:rPr>
                <w:color w:val="auto"/>
                <w:kern w:val="0"/>
                <w:sz w:val="21"/>
                <w:szCs w:val="21"/>
              </w:rPr>
              <w:t>/</w:t>
            </w:r>
          </w:p>
        </w:tc>
        <w:tc>
          <w:tcPr>
            <w:tcW w:w="409" w:type="pct"/>
            <w:vAlign w:val="center"/>
          </w:tcPr>
          <w:p w14:paraId="33A17173">
            <w:pPr>
              <w:widowControl/>
              <w:spacing w:line="240" w:lineRule="auto"/>
              <w:ind w:firstLine="0" w:firstLineChars="0"/>
              <w:jc w:val="center"/>
              <w:rPr>
                <w:color w:val="auto"/>
                <w:kern w:val="0"/>
                <w:sz w:val="21"/>
                <w:szCs w:val="21"/>
              </w:rPr>
            </w:pPr>
            <w:r>
              <w:rPr>
                <w:color w:val="auto"/>
                <w:kern w:val="0"/>
                <w:sz w:val="21"/>
                <w:szCs w:val="21"/>
              </w:rPr>
              <w:t>0.02</w:t>
            </w:r>
          </w:p>
        </w:tc>
        <w:tc>
          <w:tcPr>
            <w:tcW w:w="390" w:type="pct"/>
            <w:vAlign w:val="center"/>
          </w:tcPr>
          <w:p w14:paraId="3288A766">
            <w:pPr>
              <w:widowControl/>
              <w:spacing w:line="240" w:lineRule="auto"/>
              <w:ind w:firstLine="0" w:firstLineChars="0"/>
              <w:jc w:val="center"/>
              <w:rPr>
                <w:color w:val="auto"/>
                <w:kern w:val="0"/>
                <w:sz w:val="21"/>
                <w:szCs w:val="21"/>
              </w:rPr>
            </w:pPr>
            <w:r>
              <w:rPr>
                <w:color w:val="auto"/>
                <w:kern w:val="0"/>
                <w:sz w:val="21"/>
                <w:szCs w:val="21"/>
              </w:rPr>
              <w:t>/</w:t>
            </w:r>
          </w:p>
        </w:tc>
        <w:tc>
          <w:tcPr>
            <w:tcW w:w="388" w:type="pct"/>
            <w:vAlign w:val="center"/>
          </w:tcPr>
          <w:p w14:paraId="529303C4">
            <w:pPr>
              <w:adjustRightInd/>
              <w:snapToGrid/>
              <w:spacing w:line="240" w:lineRule="auto"/>
              <w:ind w:firstLine="0" w:firstLineChars="0"/>
              <w:jc w:val="center"/>
              <w:rPr>
                <w:color w:val="auto"/>
                <w:kern w:val="0"/>
                <w:sz w:val="21"/>
                <w:szCs w:val="21"/>
              </w:rPr>
            </w:pPr>
            <w:r>
              <w:rPr>
                <w:color w:val="auto"/>
                <w:sz w:val="21"/>
                <w:szCs w:val="21"/>
              </w:rPr>
              <w:t>0.19</w:t>
            </w:r>
          </w:p>
        </w:tc>
        <w:tc>
          <w:tcPr>
            <w:tcW w:w="413" w:type="pct"/>
            <w:vAlign w:val="center"/>
          </w:tcPr>
          <w:p w14:paraId="630E0560">
            <w:pPr>
              <w:adjustRightInd/>
              <w:snapToGrid/>
              <w:spacing w:line="240" w:lineRule="auto"/>
              <w:ind w:firstLine="0" w:firstLineChars="0"/>
              <w:jc w:val="center"/>
              <w:rPr>
                <w:bCs/>
                <w:color w:val="auto"/>
                <w:kern w:val="0"/>
                <w:sz w:val="21"/>
                <w:szCs w:val="21"/>
              </w:rPr>
            </w:pPr>
            <w:r>
              <w:rPr>
                <w:bCs/>
                <w:color w:val="auto"/>
                <w:sz w:val="21"/>
                <w:szCs w:val="21"/>
              </w:rPr>
              <w:t>/</w:t>
            </w:r>
          </w:p>
        </w:tc>
      </w:tr>
    </w:tbl>
    <w:p w14:paraId="4EB2B1F8">
      <w:pPr>
        <w:ind w:firstLine="480"/>
        <w:rPr>
          <w:color w:val="auto"/>
        </w:rPr>
      </w:pPr>
      <w:r>
        <w:rPr>
          <w:color w:val="auto"/>
        </w:rPr>
        <w:t>由</w:t>
      </w:r>
      <w:r>
        <w:rPr>
          <w:rFonts w:hint="eastAsia"/>
          <w:color w:val="auto"/>
        </w:rPr>
        <w:t>上表</w:t>
      </w:r>
      <w:r>
        <w:rPr>
          <w:color w:val="auto"/>
        </w:rPr>
        <w:t>可知，根据地下水环境质量监测结果，对照《地下水质量标准》(GB/T14848-2017)的标准，监测点地下水水质情况如下：D1测点位中的pH、高锰酸盐指数、挥发酚、砷、总大肠菌群、菌落总数，D2测点位中的挥发酚、硫酸根、总大肠菌群、菌落总数，D3测点位中的挥发酚、总大肠菌群、菌落总数，D4测点位中的pH、高锰酸盐指数、氟化物、挥发酚、亚硝酸根、总大肠菌群、菌落总数达到《地下水质量标准》(GB/T14848-2017)</w:t>
      </w:r>
      <w:r>
        <w:rPr>
          <w:color w:val="auto"/>
        </w:rPr>
        <w:fldChar w:fldCharType="begin"/>
      </w:r>
      <w:r>
        <w:rPr>
          <w:color w:val="auto"/>
        </w:rPr>
        <w:instrText xml:space="preserve"> = 4 \* ROMAN </w:instrText>
      </w:r>
      <w:r>
        <w:rPr>
          <w:color w:val="auto"/>
        </w:rPr>
        <w:fldChar w:fldCharType="separate"/>
      </w:r>
      <w:r>
        <w:rPr>
          <w:color w:val="auto"/>
        </w:rPr>
        <w:t>IV</w:t>
      </w:r>
      <w:r>
        <w:rPr>
          <w:color w:val="auto"/>
        </w:rPr>
        <w:fldChar w:fldCharType="end"/>
      </w:r>
      <w:r>
        <w:rPr>
          <w:color w:val="auto"/>
        </w:rPr>
        <w:t>类标准；其余监测点位监测因子均</w:t>
      </w:r>
      <w:r>
        <w:rPr>
          <w:rFonts w:hint="eastAsia"/>
          <w:color w:val="auto"/>
        </w:rPr>
        <w:t>达到或</w:t>
      </w:r>
      <w:r>
        <w:rPr>
          <w:color w:val="auto"/>
        </w:rPr>
        <w:t>优于Ⅲ类标准要求。</w:t>
      </w:r>
    </w:p>
    <w:p w14:paraId="19F754FE">
      <w:pPr>
        <w:ind w:firstLine="480"/>
        <w:rPr>
          <w:color w:val="auto"/>
        </w:rPr>
      </w:pPr>
    </w:p>
    <w:p w14:paraId="668DA77B">
      <w:pPr>
        <w:ind w:firstLine="480"/>
        <w:rPr>
          <w:color w:val="auto"/>
        </w:rPr>
        <w:sectPr>
          <w:pgSz w:w="16838" w:h="11906" w:orient="landscape"/>
          <w:pgMar w:top="1134" w:right="1134" w:bottom="1134" w:left="1134" w:header="851" w:footer="992" w:gutter="0"/>
          <w:cols w:space="425" w:num="1"/>
          <w:docGrid w:type="lines" w:linePitch="312" w:charSpace="0"/>
        </w:sectPr>
      </w:pPr>
    </w:p>
    <w:p w14:paraId="5AEBECEC">
      <w:pPr>
        <w:pStyle w:val="4"/>
        <w:rPr>
          <w:color w:val="auto"/>
        </w:rPr>
      </w:pPr>
      <w:bookmarkStart w:id="189" w:name="_Toc31275"/>
      <w:r>
        <w:rPr>
          <w:rFonts w:hint="eastAsia"/>
          <w:color w:val="auto"/>
        </w:rPr>
        <w:t>5.2.5包气带环境质量现状调查与评价</w:t>
      </w:r>
      <w:bookmarkEnd w:id="189"/>
    </w:p>
    <w:p w14:paraId="7D41F0A8">
      <w:pPr>
        <w:ind w:firstLine="480"/>
        <w:rPr>
          <w:color w:val="auto"/>
        </w:rPr>
      </w:pPr>
      <w:r>
        <w:rPr>
          <w:color w:val="auto"/>
        </w:rPr>
        <w:t>(1)监测因子</w:t>
      </w:r>
    </w:p>
    <w:p w14:paraId="0BD30714">
      <w:pPr>
        <w:ind w:firstLine="480"/>
        <w:rPr>
          <w:color w:val="auto"/>
        </w:rPr>
      </w:pPr>
      <w:bookmarkStart w:id="190" w:name="_Hlk35506105"/>
      <w:r>
        <w:rPr>
          <w:color w:val="auto"/>
        </w:rPr>
        <w:t>pH、高锰酸盐指数、</w:t>
      </w:r>
      <w:r>
        <w:rPr>
          <w:rFonts w:hint="eastAsia"/>
          <w:color w:val="auto"/>
        </w:rPr>
        <w:t>石油类、</w:t>
      </w:r>
      <w:r>
        <w:rPr>
          <w:color w:val="auto"/>
        </w:rPr>
        <w:t>氨氮、硫化物。</w:t>
      </w:r>
    </w:p>
    <w:p w14:paraId="0CDB112C">
      <w:pPr>
        <w:ind w:firstLine="480"/>
        <w:rPr>
          <w:color w:val="auto"/>
        </w:rPr>
      </w:pPr>
      <w:r>
        <w:rPr>
          <w:color w:val="auto"/>
        </w:rPr>
        <w:t>(2)监测时间、周期及频率</w:t>
      </w:r>
    </w:p>
    <w:p w14:paraId="37420C03">
      <w:pPr>
        <w:ind w:firstLine="480"/>
        <w:rPr>
          <w:color w:val="auto"/>
        </w:rPr>
      </w:pPr>
      <w:r>
        <w:rPr>
          <w:color w:val="auto"/>
        </w:rPr>
        <w:t>由江苏国创检测技术有限公司实测，监测时间为2022.10.6。</w:t>
      </w:r>
    </w:p>
    <w:bookmarkEnd w:id="190"/>
    <w:p w14:paraId="6E288C11">
      <w:pPr>
        <w:ind w:firstLine="480"/>
        <w:rPr>
          <w:color w:val="auto"/>
        </w:rPr>
      </w:pPr>
      <w:r>
        <w:rPr>
          <w:color w:val="auto"/>
        </w:rPr>
        <w:t>(3)监测点布设</w:t>
      </w:r>
    </w:p>
    <w:p w14:paraId="6849466A">
      <w:pPr>
        <w:ind w:firstLine="480"/>
        <w:rPr>
          <w:color w:val="auto"/>
        </w:rPr>
      </w:pPr>
      <w:r>
        <w:rPr>
          <w:color w:val="auto"/>
        </w:rPr>
        <w:t>为了解项目所在地包气带污染现状，本次共设置3个包气带土壤调查点，具体位置见</w:t>
      </w:r>
      <w:r>
        <w:rPr>
          <w:rFonts w:hint="eastAsia"/>
          <w:color w:val="auto"/>
        </w:rPr>
        <w:t>下表</w:t>
      </w:r>
      <w:r>
        <w:rPr>
          <w:color w:val="auto"/>
        </w:rPr>
        <w:t>，</w:t>
      </w:r>
      <w:r>
        <w:rPr>
          <w:rFonts w:hint="eastAsia"/>
          <w:color w:val="auto"/>
        </w:rPr>
        <w:t>B1</w:t>
      </w:r>
      <w:r>
        <w:rPr>
          <w:color w:val="auto"/>
        </w:rPr>
        <w:t>~</w:t>
      </w:r>
      <w:r>
        <w:rPr>
          <w:rFonts w:hint="eastAsia"/>
          <w:color w:val="auto"/>
        </w:rPr>
        <w:t>B3</w:t>
      </w:r>
      <w:r>
        <w:rPr>
          <w:color w:val="auto"/>
        </w:rPr>
        <w:t>点位见附图4.1.3-1，</w:t>
      </w:r>
      <w:r>
        <w:rPr>
          <w:rFonts w:hint="eastAsia"/>
          <w:color w:val="auto"/>
        </w:rPr>
        <w:t>B4</w:t>
      </w:r>
      <w:r>
        <w:rPr>
          <w:color w:val="auto"/>
        </w:rPr>
        <w:t>点位见附图5.2.4-1。每个点位分别在0~20cm埋深和20cm~80cm埋深处各取1个土壤样品，对样品进行浸溶试验，测试分析浸溶液成分。</w:t>
      </w:r>
    </w:p>
    <w:p w14:paraId="12AA0A60">
      <w:pPr>
        <w:ind w:firstLine="482"/>
        <w:jc w:val="center"/>
        <w:rPr>
          <w:b/>
          <w:bCs/>
          <w:color w:val="auto"/>
        </w:rPr>
      </w:pPr>
      <w:r>
        <w:rPr>
          <w:rFonts w:hint="eastAsia"/>
          <w:b/>
          <w:bCs/>
          <w:color w:val="auto"/>
        </w:rPr>
        <w:t>表5.2.5-1 包气带污染现状监测点位布设表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976"/>
        <w:gridCol w:w="3157"/>
        <w:gridCol w:w="4746"/>
      </w:tblGrid>
      <w:tr w14:paraId="156A9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5" w:type="pct"/>
            <w:vAlign w:val="center"/>
          </w:tcPr>
          <w:p w14:paraId="4AF4626B">
            <w:pPr>
              <w:widowControl/>
              <w:spacing w:line="240" w:lineRule="auto"/>
              <w:ind w:firstLine="0" w:firstLineChars="0"/>
              <w:jc w:val="center"/>
              <w:rPr>
                <w:b/>
                <w:bCs/>
                <w:color w:val="auto"/>
                <w:kern w:val="0"/>
                <w:sz w:val="21"/>
                <w:szCs w:val="21"/>
              </w:rPr>
            </w:pPr>
            <w:r>
              <w:rPr>
                <w:b/>
                <w:bCs/>
                <w:color w:val="auto"/>
                <w:kern w:val="0"/>
                <w:sz w:val="21"/>
                <w:szCs w:val="21"/>
              </w:rPr>
              <w:t>类别</w:t>
            </w:r>
          </w:p>
        </w:tc>
        <w:tc>
          <w:tcPr>
            <w:tcW w:w="495" w:type="pct"/>
            <w:vAlign w:val="center"/>
          </w:tcPr>
          <w:p w14:paraId="50D3DAE2">
            <w:pPr>
              <w:widowControl/>
              <w:spacing w:line="240" w:lineRule="auto"/>
              <w:ind w:firstLine="0" w:firstLineChars="0"/>
              <w:jc w:val="center"/>
              <w:rPr>
                <w:b/>
                <w:bCs/>
                <w:color w:val="auto"/>
                <w:kern w:val="0"/>
                <w:sz w:val="21"/>
                <w:szCs w:val="21"/>
              </w:rPr>
            </w:pPr>
            <w:r>
              <w:rPr>
                <w:b/>
                <w:bCs/>
                <w:color w:val="auto"/>
                <w:kern w:val="0"/>
                <w:sz w:val="21"/>
                <w:szCs w:val="21"/>
              </w:rPr>
              <w:t>编号</w:t>
            </w:r>
          </w:p>
        </w:tc>
        <w:tc>
          <w:tcPr>
            <w:tcW w:w="1602" w:type="pct"/>
            <w:vAlign w:val="center"/>
          </w:tcPr>
          <w:p w14:paraId="217AA927">
            <w:pPr>
              <w:widowControl/>
              <w:spacing w:line="240" w:lineRule="auto"/>
              <w:ind w:firstLine="0" w:firstLineChars="0"/>
              <w:jc w:val="center"/>
              <w:rPr>
                <w:b/>
                <w:bCs/>
                <w:color w:val="auto"/>
                <w:kern w:val="0"/>
                <w:sz w:val="21"/>
                <w:szCs w:val="21"/>
              </w:rPr>
            </w:pPr>
            <w:r>
              <w:rPr>
                <w:b/>
                <w:bCs/>
                <w:color w:val="auto"/>
                <w:kern w:val="0"/>
                <w:sz w:val="21"/>
                <w:szCs w:val="21"/>
              </w:rPr>
              <w:t>监测点布设位置</w:t>
            </w:r>
          </w:p>
        </w:tc>
        <w:tc>
          <w:tcPr>
            <w:tcW w:w="2408" w:type="pct"/>
            <w:vAlign w:val="center"/>
          </w:tcPr>
          <w:p w14:paraId="65764B9A">
            <w:pPr>
              <w:widowControl/>
              <w:spacing w:line="240" w:lineRule="auto"/>
              <w:ind w:firstLine="0" w:firstLineChars="0"/>
              <w:jc w:val="center"/>
              <w:rPr>
                <w:b/>
                <w:bCs/>
                <w:color w:val="auto"/>
                <w:kern w:val="0"/>
                <w:sz w:val="21"/>
                <w:szCs w:val="21"/>
              </w:rPr>
            </w:pPr>
            <w:r>
              <w:rPr>
                <w:b/>
                <w:bCs/>
                <w:color w:val="auto"/>
                <w:kern w:val="0"/>
                <w:sz w:val="21"/>
                <w:szCs w:val="21"/>
              </w:rPr>
              <w:t>监测因子</w:t>
            </w:r>
          </w:p>
        </w:tc>
      </w:tr>
      <w:tr w14:paraId="64FF5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5" w:type="pct"/>
            <w:vMerge w:val="restart"/>
            <w:vAlign w:val="center"/>
          </w:tcPr>
          <w:p w14:paraId="2E40722F">
            <w:pPr>
              <w:widowControl/>
              <w:spacing w:line="240" w:lineRule="auto"/>
              <w:ind w:firstLine="0" w:firstLineChars="0"/>
              <w:jc w:val="center"/>
              <w:rPr>
                <w:color w:val="auto"/>
                <w:kern w:val="0"/>
                <w:sz w:val="21"/>
                <w:szCs w:val="21"/>
              </w:rPr>
            </w:pPr>
            <w:r>
              <w:rPr>
                <w:color w:val="auto"/>
                <w:kern w:val="0"/>
                <w:sz w:val="21"/>
                <w:szCs w:val="21"/>
              </w:rPr>
              <w:t>包气带</w:t>
            </w:r>
          </w:p>
        </w:tc>
        <w:tc>
          <w:tcPr>
            <w:tcW w:w="495" w:type="pct"/>
            <w:vAlign w:val="center"/>
          </w:tcPr>
          <w:p w14:paraId="668D962A">
            <w:pPr>
              <w:widowControl/>
              <w:spacing w:line="240" w:lineRule="auto"/>
              <w:ind w:firstLine="0" w:firstLineChars="0"/>
              <w:jc w:val="center"/>
              <w:rPr>
                <w:color w:val="auto"/>
                <w:kern w:val="0"/>
                <w:sz w:val="21"/>
                <w:szCs w:val="21"/>
              </w:rPr>
            </w:pPr>
            <w:r>
              <w:rPr>
                <w:color w:val="auto"/>
                <w:kern w:val="0"/>
                <w:sz w:val="21"/>
                <w:szCs w:val="21"/>
              </w:rPr>
              <w:t>B1</w:t>
            </w:r>
          </w:p>
        </w:tc>
        <w:tc>
          <w:tcPr>
            <w:tcW w:w="1602" w:type="pct"/>
            <w:vAlign w:val="center"/>
          </w:tcPr>
          <w:p w14:paraId="483F9978">
            <w:pPr>
              <w:widowControl/>
              <w:spacing w:line="240" w:lineRule="auto"/>
              <w:ind w:firstLine="0" w:firstLineChars="0"/>
              <w:jc w:val="center"/>
              <w:rPr>
                <w:color w:val="auto"/>
                <w:kern w:val="0"/>
                <w:sz w:val="21"/>
                <w:szCs w:val="21"/>
              </w:rPr>
            </w:pPr>
            <w:r>
              <w:rPr>
                <w:color w:val="auto"/>
                <w:kern w:val="0"/>
                <w:sz w:val="21"/>
                <w:szCs w:val="21"/>
              </w:rPr>
              <w:t>1#污水处理站</w:t>
            </w:r>
          </w:p>
        </w:tc>
        <w:tc>
          <w:tcPr>
            <w:tcW w:w="2408" w:type="pct"/>
            <w:vMerge w:val="restart"/>
            <w:vAlign w:val="center"/>
          </w:tcPr>
          <w:p w14:paraId="41391C1C">
            <w:pPr>
              <w:widowControl/>
              <w:spacing w:line="240" w:lineRule="auto"/>
              <w:ind w:firstLine="0" w:firstLineChars="0"/>
              <w:jc w:val="center"/>
              <w:rPr>
                <w:color w:val="auto"/>
                <w:kern w:val="0"/>
                <w:sz w:val="21"/>
                <w:szCs w:val="21"/>
              </w:rPr>
            </w:pPr>
            <w:r>
              <w:rPr>
                <w:color w:val="auto"/>
                <w:kern w:val="0"/>
                <w:sz w:val="21"/>
                <w:szCs w:val="21"/>
              </w:rPr>
              <w:t>pH、高锰酸盐指数、石油类、氨氮、硫化物</w:t>
            </w:r>
          </w:p>
        </w:tc>
      </w:tr>
      <w:tr w14:paraId="7659B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5" w:type="pct"/>
            <w:vMerge w:val="continue"/>
            <w:vAlign w:val="center"/>
          </w:tcPr>
          <w:p w14:paraId="13D69AD1">
            <w:pPr>
              <w:adjustRightInd/>
              <w:snapToGrid/>
              <w:spacing w:line="240" w:lineRule="auto"/>
              <w:ind w:firstLine="0" w:firstLineChars="0"/>
              <w:jc w:val="center"/>
              <w:rPr>
                <w:color w:val="auto"/>
                <w:sz w:val="21"/>
                <w:szCs w:val="21"/>
              </w:rPr>
            </w:pPr>
          </w:p>
        </w:tc>
        <w:tc>
          <w:tcPr>
            <w:tcW w:w="495" w:type="pct"/>
            <w:vAlign w:val="center"/>
          </w:tcPr>
          <w:p w14:paraId="0E2B140D">
            <w:pPr>
              <w:widowControl/>
              <w:spacing w:line="240" w:lineRule="auto"/>
              <w:ind w:firstLine="0" w:firstLineChars="0"/>
              <w:jc w:val="center"/>
              <w:rPr>
                <w:color w:val="auto"/>
                <w:kern w:val="0"/>
                <w:sz w:val="21"/>
                <w:szCs w:val="21"/>
              </w:rPr>
            </w:pPr>
            <w:r>
              <w:rPr>
                <w:color w:val="auto"/>
                <w:kern w:val="0"/>
                <w:sz w:val="21"/>
                <w:szCs w:val="21"/>
              </w:rPr>
              <w:t>B2</w:t>
            </w:r>
          </w:p>
        </w:tc>
        <w:tc>
          <w:tcPr>
            <w:tcW w:w="1602" w:type="pct"/>
            <w:vAlign w:val="center"/>
          </w:tcPr>
          <w:p w14:paraId="6E75EB5B">
            <w:pPr>
              <w:widowControl/>
              <w:spacing w:line="240" w:lineRule="auto"/>
              <w:ind w:firstLine="0" w:firstLineChars="0"/>
              <w:jc w:val="center"/>
              <w:rPr>
                <w:color w:val="auto"/>
                <w:kern w:val="0"/>
                <w:sz w:val="21"/>
                <w:szCs w:val="21"/>
              </w:rPr>
            </w:pPr>
            <w:r>
              <w:rPr>
                <w:color w:val="auto"/>
                <w:kern w:val="0"/>
                <w:sz w:val="21"/>
                <w:szCs w:val="21"/>
              </w:rPr>
              <w:t>厂内危废暂存间</w:t>
            </w:r>
          </w:p>
        </w:tc>
        <w:tc>
          <w:tcPr>
            <w:tcW w:w="2408" w:type="pct"/>
            <w:vMerge w:val="continue"/>
            <w:vAlign w:val="center"/>
          </w:tcPr>
          <w:p w14:paraId="03AED1A5">
            <w:pPr>
              <w:adjustRightInd/>
              <w:snapToGrid/>
              <w:spacing w:line="240" w:lineRule="auto"/>
              <w:ind w:firstLine="0" w:firstLineChars="0"/>
              <w:jc w:val="center"/>
              <w:rPr>
                <w:color w:val="auto"/>
                <w:sz w:val="21"/>
                <w:szCs w:val="21"/>
              </w:rPr>
            </w:pPr>
          </w:p>
        </w:tc>
      </w:tr>
      <w:tr w14:paraId="66BD6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5" w:type="pct"/>
            <w:vMerge w:val="continue"/>
            <w:vAlign w:val="center"/>
          </w:tcPr>
          <w:p w14:paraId="7F9A5254">
            <w:pPr>
              <w:adjustRightInd/>
              <w:snapToGrid/>
              <w:spacing w:line="240" w:lineRule="auto"/>
              <w:ind w:firstLine="0" w:firstLineChars="0"/>
              <w:jc w:val="center"/>
              <w:rPr>
                <w:color w:val="auto"/>
                <w:sz w:val="21"/>
                <w:szCs w:val="21"/>
              </w:rPr>
            </w:pPr>
          </w:p>
        </w:tc>
        <w:tc>
          <w:tcPr>
            <w:tcW w:w="495" w:type="pct"/>
            <w:vAlign w:val="center"/>
          </w:tcPr>
          <w:p w14:paraId="73435AC4">
            <w:pPr>
              <w:widowControl/>
              <w:spacing w:line="240" w:lineRule="auto"/>
              <w:ind w:firstLine="0" w:firstLineChars="0"/>
              <w:jc w:val="center"/>
              <w:rPr>
                <w:color w:val="auto"/>
                <w:kern w:val="0"/>
                <w:sz w:val="21"/>
                <w:szCs w:val="21"/>
              </w:rPr>
            </w:pPr>
            <w:r>
              <w:rPr>
                <w:color w:val="auto"/>
                <w:kern w:val="0"/>
                <w:sz w:val="21"/>
                <w:szCs w:val="21"/>
              </w:rPr>
              <w:t>B3</w:t>
            </w:r>
          </w:p>
        </w:tc>
        <w:tc>
          <w:tcPr>
            <w:tcW w:w="1602" w:type="pct"/>
            <w:vAlign w:val="center"/>
          </w:tcPr>
          <w:p w14:paraId="4B718796">
            <w:pPr>
              <w:widowControl/>
              <w:spacing w:line="240" w:lineRule="auto"/>
              <w:ind w:firstLine="0" w:firstLineChars="0"/>
              <w:jc w:val="center"/>
              <w:rPr>
                <w:color w:val="auto"/>
                <w:kern w:val="0"/>
                <w:sz w:val="21"/>
                <w:szCs w:val="21"/>
              </w:rPr>
            </w:pPr>
            <w:r>
              <w:rPr>
                <w:color w:val="auto"/>
                <w:kern w:val="0"/>
                <w:sz w:val="21"/>
                <w:szCs w:val="21"/>
              </w:rPr>
              <w:t>1#和2#车间</w:t>
            </w:r>
          </w:p>
        </w:tc>
        <w:tc>
          <w:tcPr>
            <w:tcW w:w="2408" w:type="pct"/>
            <w:vMerge w:val="continue"/>
            <w:vAlign w:val="center"/>
          </w:tcPr>
          <w:p w14:paraId="7C3B9209">
            <w:pPr>
              <w:adjustRightInd/>
              <w:snapToGrid/>
              <w:spacing w:line="240" w:lineRule="auto"/>
              <w:ind w:firstLine="0" w:firstLineChars="0"/>
              <w:jc w:val="center"/>
              <w:rPr>
                <w:color w:val="auto"/>
                <w:sz w:val="21"/>
                <w:szCs w:val="21"/>
              </w:rPr>
            </w:pPr>
          </w:p>
        </w:tc>
      </w:tr>
      <w:tr w14:paraId="4D6FF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5" w:type="pct"/>
            <w:vMerge w:val="continue"/>
            <w:vAlign w:val="center"/>
          </w:tcPr>
          <w:p w14:paraId="15F67970">
            <w:pPr>
              <w:adjustRightInd/>
              <w:snapToGrid/>
              <w:spacing w:line="240" w:lineRule="auto"/>
              <w:ind w:firstLine="0" w:firstLineChars="0"/>
              <w:jc w:val="center"/>
              <w:rPr>
                <w:color w:val="auto"/>
                <w:sz w:val="21"/>
                <w:szCs w:val="21"/>
              </w:rPr>
            </w:pPr>
          </w:p>
        </w:tc>
        <w:tc>
          <w:tcPr>
            <w:tcW w:w="495" w:type="pct"/>
            <w:vAlign w:val="center"/>
          </w:tcPr>
          <w:p w14:paraId="1A879544">
            <w:pPr>
              <w:widowControl/>
              <w:spacing w:line="240" w:lineRule="auto"/>
              <w:ind w:firstLine="0" w:firstLineChars="0"/>
              <w:jc w:val="center"/>
              <w:rPr>
                <w:color w:val="auto"/>
                <w:kern w:val="0"/>
                <w:sz w:val="21"/>
                <w:szCs w:val="21"/>
              </w:rPr>
            </w:pPr>
            <w:r>
              <w:rPr>
                <w:color w:val="auto"/>
                <w:kern w:val="0"/>
                <w:sz w:val="21"/>
                <w:szCs w:val="21"/>
              </w:rPr>
              <w:t>B4</w:t>
            </w:r>
          </w:p>
        </w:tc>
        <w:tc>
          <w:tcPr>
            <w:tcW w:w="1602" w:type="pct"/>
            <w:vAlign w:val="center"/>
          </w:tcPr>
          <w:p w14:paraId="292B22CB">
            <w:pPr>
              <w:widowControl/>
              <w:spacing w:line="240" w:lineRule="auto"/>
              <w:ind w:firstLine="0" w:firstLineChars="0"/>
              <w:jc w:val="center"/>
              <w:rPr>
                <w:color w:val="auto"/>
                <w:kern w:val="0"/>
                <w:sz w:val="21"/>
                <w:szCs w:val="21"/>
              </w:rPr>
            </w:pPr>
            <w:r>
              <w:rPr>
                <w:color w:val="auto"/>
                <w:kern w:val="0"/>
                <w:sz w:val="21"/>
                <w:szCs w:val="21"/>
              </w:rPr>
              <w:t>厂外东北侧500米处空地</w:t>
            </w:r>
          </w:p>
        </w:tc>
        <w:tc>
          <w:tcPr>
            <w:tcW w:w="2408" w:type="pct"/>
            <w:vMerge w:val="continue"/>
            <w:vAlign w:val="center"/>
          </w:tcPr>
          <w:p w14:paraId="2427081B">
            <w:pPr>
              <w:adjustRightInd/>
              <w:snapToGrid/>
              <w:spacing w:line="240" w:lineRule="auto"/>
              <w:ind w:firstLine="0" w:firstLineChars="0"/>
              <w:jc w:val="center"/>
              <w:rPr>
                <w:color w:val="auto"/>
                <w:sz w:val="21"/>
                <w:szCs w:val="21"/>
              </w:rPr>
            </w:pPr>
          </w:p>
        </w:tc>
      </w:tr>
    </w:tbl>
    <w:p w14:paraId="40C7F741">
      <w:pPr>
        <w:ind w:firstLine="480"/>
        <w:rPr>
          <w:color w:val="auto"/>
        </w:rPr>
      </w:pPr>
      <w:r>
        <w:rPr>
          <w:color w:val="auto"/>
        </w:rPr>
        <w:t>(4)监测分析方法</w:t>
      </w:r>
    </w:p>
    <w:p w14:paraId="4BBB6FD4">
      <w:pPr>
        <w:ind w:firstLine="480"/>
        <w:rPr>
          <w:color w:val="auto"/>
        </w:rPr>
      </w:pPr>
      <w:r>
        <w:rPr>
          <w:color w:val="auto"/>
        </w:rPr>
        <w:t>监测分析方法详见</w:t>
      </w:r>
      <w:r>
        <w:rPr>
          <w:rFonts w:hint="eastAsia"/>
          <w:color w:val="auto"/>
        </w:rPr>
        <w:t>下表</w:t>
      </w:r>
      <w:r>
        <w:rPr>
          <w:color w:val="auto"/>
        </w:rPr>
        <w:t>。</w:t>
      </w:r>
    </w:p>
    <w:p w14:paraId="13E2DF40">
      <w:pPr>
        <w:ind w:firstLine="482"/>
        <w:jc w:val="center"/>
        <w:rPr>
          <w:b/>
          <w:color w:val="auto"/>
        </w:rPr>
      </w:pPr>
      <w:r>
        <w:rPr>
          <w:b/>
          <w:color w:val="auto"/>
        </w:rPr>
        <w:t>表5.2.5-</w:t>
      </w:r>
      <w:r>
        <w:rPr>
          <w:rFonts w:hint="eastAsia"/>
          <w:b/>
          <w:color w:val="auto"/>
        </w:rPr>
        <w:t>2</w:t>
      </w:r>
      <w:r>
        <w:rPr>
          <w:b/>
          <w:color w:val="auto"/>
        </w:rPr>
        <w:t xml:space="preserve"> 包气带现状监测分析方法</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7690"/>
      </w:tblGrid>
      <w:tr w14:paraId="44213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8" w:type="pct"/>
            <w:vAlign w:val="center"/>
          </w:tcPr>
          <w:p w14:paraId="4C73EF67">
            <w:pPr>
              <w:widowControl/>
              <w:spacing w:line="240" w:lineRule="auto"/>
              <w:ind w:firstLine="422"/>
              <w:jc w:val="center"/>
              <w:rPr>
                <w:b/>
                <w:bCs/>
                <w:color w:val="auto"/>
                <w:kern w:val="0"/>
                <w:sz w:val="21"/>
                <w:szCs w:val="21"/>
              </w:rPr>
            </w:pPr>
            <w:r>
              <w:rPr>
                <w:b/>
                <w:bCs/>
                <w:color w:val="auto"/>
                <w:kern w:val="0"/>
                <w:sz w:val="21"/>
                <w:szCs w:val="21"/>
              </w:rPr>
              <w:t>项目</w:t>
            </w:r>
          </w:p>
        </w:tc>
        <w:tc>
          <w:tcPr>
            <w:tcW w:w="3902" w:type="pct"/>
            <w:vAlign w:val="center"/>
          </w:tcPr>
          <w:p w14:paraId="273590EF">
            <w:pPr>
              <w:widowControl/>
              <w:spacing w:line="240" w:lineRule="auto"/>
              <w:ind w:firstLine="422"/>
              <w:jc w:val="center"/>
              <w:rPr>
                <w:b/>
                <w:bCs/>
                <w:color w:val="auto"/>
                <w:kern w:val="0"/>
                <w:sz w:val="21"/>
                <w:szCs w:val="21"/>
              </w:rPr>
            </w:pPr>
            <w:r>
              <w:rPr>
                <w:b/>
                <w:bCs/>
                <w:color w:val="auto"/>
                <w:kern w:val="0"/>
                <w:sz w:val="21"/>
                <w:szCs w:val="21"/>
              </w:rPr>
              <w:t>监测方法</w:t>
            </w:r>
          </w:p>
        </w:tc>
      </w:tr>
      <w:tr w14:paraId="0F688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8" w:type="pct"/>
            <w:vAlign w:val="center"/>
          </w:tcPr>
          <w:p w14:paraId="4D40B407">
            <w:pPr>
              <w:widowControl/>
              <w:spacing w:line="240" w:lineRule="auto"/>
              <w:ind w:firstLine="420"/>
              <w:jc w:val="center"/>
              <w:rPr>
                <w:color w:val="auto"/>
                <w:kern w:val="0"/>
                <w:sz w:val="21"/>
                <w:szCs w:val="21"/>
              </w:rPr>
            </w:pPr>
            <w:r>
              <w:rPr>
                <w:color w:val="auto"/>
                <w:kern w:val="0"/>
                <w:sz w:val="21"/>
                <w:szCs w:val="21"/>
              </w:rPr>
              <w:t>pH值</w:t>
            </w:r>
          </w:p>
        </w:tc>
        <w:tc>
          <w:tcPr>
            <w:tcW w:w="3902" w:type="pct"/>
            <w:vAlign w:val="center"/>
          </w:tcPr>
          <w:p w14:paraId="70067399">
            <w:pPr>
              <w:widowControl/>
              <w:spacing w:line="240" w:lineRule="auto"/>
              <w:ind w:firstLine="420"/>
              <w:jc w:val="center"/>
              <w:rPr>
                <w:color w:val="auto"/>
                <w:kern w:val="0"/>
                <w:sz w:val="21"/>
                <w:szCs w:val="21"/>
              </w:rPr>
            </w:pPr>
            <w:r>
              <w:rPr>
                <w:color w:val="auto"/>
                <w:kern w:val="0"/>
                <w:sz w:val="21"/>
                <w:szCs w:val="21"/>
              </w:rPr>
              <w:t>HJ1147-2020 水质 pH值的测定 电极法</w:t>
            </w:r>
          </w:p>
        </w:tc>
      </w:tr>
      <w:tr w14:paraId="7F116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8" w:type="pct"/>
            <w:vAlign w:val="center"/>
          </w:tcPr>
          <w:p w14:paraId="1F726B97">
            <w:pPr>
              <w:widowControl/>
              <w:spacing w:line="240" w:lineRule="auto"/>
              <w:ind w:firstLine="420"/>
              <w:jc w:val="center"/>
              <w:rPr>
                <w:color w:val="auto"/>
                <w:kern w:val="0"/>
                <w:sz w:val="21"/>
                <w:szCs w:val="21"/>
              </w:rPr>
            </w:pPr>
            <w:r>
              <w:rPr>
                <w:color w:val="auto"/>
                <w:kern w:val="0"/>
                <w:sz w:val="21"/>
                <w:szCs w:val="21"/>
              </w:rPr>
              <w:t>高锰酸钾指数</w:t>
            </w:r>
          </w:p>
        </w:tc>
        <w:tc>
          <w:tcPr>
            <w:tcW w:w="3902" w:type="pct"/>
            <w:vAlign w:val="center"/>
          </w:tcPr>
          <w:p w14:paraId="11944B0B">
            <w:pPr>
              <w:widowControl/>
              <w:spacing w:line="240" w:lineRule="auto"/>
              <w:ind w:firstLine="420"/>
              <w:jc w:val="center"/>
              <w:rPr>
                <w:color w:val="auto"/>
                <w:kern w:val="0"/>
                <w:sz w:val="21"/>
                <w:szCs w:val="21"/>
              </w:rPr>
            </w:pPr>
            <w:r>
              <w:rPr>
                <w:color w:val="auto"/>
                <w:kern w:val="0"/>
                <w:sz w:val="21"/>
                <w:szCs w:val="21"/>
              </w:rPr>
              <w:t>GB/T 11892-1989 水质 高锰酸盐指数的测定</w:t>
            </w:r>
          </w:p>
        </w:tc>
      </w:tr>
      <w:tr w14:paraId="271CD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8" w:type="pct"/>
            <w:vAlign w:val="center"/>
          </w:tcPr>
          <w:p w14:paraId="79AE84A4">
            <w:pPr>
              <w:widowControl/>
              <w:spacing w:line="240" w:lineRule="auto"/>
              <w:ind w:firstLine="420"/>
              <w:jc w:val="center"/>
              <w:rPr>
                <w:color w:val="auto"/>
                <w:kern w:val="0"/>
                <w:sz w:val="21"/>
                <w:szCs w:val="21"/>
              </w:rPr>
            </w:pPr>
            <w:r>
              <w:rPr>
                <w:color w:val="auto"/>
                <w:kern w:val="0"/>
                <w:sz w:val="21"/>
                <w:szCs w:val="21"/>
              </w:rPr>
              <w:t>氨氮</w:t>
            </w:r>
          </w:p>
        </w:tc>
        <w:tc>
          <w:tcPr>
            <w:tcW w:w="3902" w:type="pct"/>
            <w:vAlign w:val="center"/>
          </w:tcPr>
          <w:p w14:paraId="510113FF">
            <w:pPr>
              <w:widowControl/>
              <w:spacing w:line="240" w:lineRule="auto"/>
              <w:ind w:firstLine="420"/>
              <w:jc w:val="center"/>
              <w:rPr>
                <w:color w:val="auto"/>
                <w:kern w:val="0"/>
                <w:sz w:val="21"/>
                <w:szCs w:val="21"/>
              </w:rPr>
            </w:pPr>
            <w:r>
              <w:rPr>
                <w:color w:val="auto"/>
                <w:kern w:val="0"/>
                <w:sz w:val="21"/>
                <w:szCs w:val="21"/>
              </w:rPr>
              <w:t>HJ 535-2009 水质 氨氮的测定 纳氏试剂分光光度法</w:t>
            </w:r>
          </w:p>
        </w:tc>
      </w:tr>
      <w:tr w14:paraId="4C467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8" w:type="pct"/>
            <w:vAlign w:val="center"/>
          </w:tcPr>
          <w:p w14:paraId="20712DF9">
            <w:pPr>
              <w:widowControl/>
              <w:spacing w:line="240" w:lineRule="auto"/>
              <w:ind w:firstLine="420"/>
              <w:jc w:val="center"/>
              <w:rPr>
                <w:color w:val="auto"/>
                <w:kern w:val="0"/>
                <w:sz w:val="21"/>
                <w:szCs w:val="21"/>
              </w:rPr>
            </w:pPr>
            <w:r>
              <w:rPr>
                <w:color w:val="auto"/>
                <w:kern w:val="0"/>
                <w:sz w:val="21"/>
                <w:szCs w:val="21"/>
              </w:rPr>
              <w:t>硫化物</w:t>
            </w:r>
          </w:p>
        </w:tc>
        <w:tc>
          <w:tcPr>
            <w:tcW w:w="3902" w:type="pct"/>
            <w:vAlign w:val="center"/>
          </w:tcPr>
          <w:p w14:paraId="2D20E9AA">
            <w:pPr>
              <w:widowControl/>
              <w:spacing w:line="240" w:lineRule="auto"/>
              <w:ind w:firstLine="420"/>
              <w:jc w:val="center"/>
              <w:rPr>
                <w:color w:val="auto"/>
                <w:kern w:val="0"/>
                <w:sz w:val="21"/>
                <w:szCs w:val="21"/>
              </w:rPr>
            </w:pPr>
            <w:r>
              <w:rPr>
                <w:color w:val="auto"/>
                <w:kern w:val="0"/>
                <w:sz w:val="21"/>
                <w:szCs w:val="21"/>
              </w:rPr>
              <w:t>HJ1226-2021 水质 硫化物的测定 亚甲基蓝分光光度法</w:t>
            </w:r>
          </w:p>
        </w:tc>
      </w:tr>
      <w:tr w14:paraId="230FE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8" w:type="pct"/>
            <w:vAlign w:val="center"/>
          </w:tcPr>
          <w:p w14:paraId="2C842E39">
            <w:pPr>
              <w:widowControl/>
              <w:spacing w:line="240" w:lineRule="auto"/>
              <w:ind w:firstLine="420"/>
              <w:jc w:val="center"/>
              <w:rPr>
                <w:color w:val="auto"/>
                <w:kern w:val="0"/>
                <w:sz w:val="21"/>
                <w:szCs w:val="21"/>
              </w:rPr>
            </w:pPr>
            <w:r>
              <w:rPr>
                <w:color w:val="auto"/>
                <w:kern w:val="0"/>
                <w:sz w:val="21"/>
                <w:szCs w:val="21"/>
              </w:rPr>
              <w:t>石油类</w:t>
            </w:r>
          </w:p>
        </w:tc>
        <w:tc>
          <w:tcPr>
            <w:tcW w:w="3902" w:type="pct"/>
            <w:vAlign w:val="center"/>
          </w:tcPr>
          <w:p w14:paraId="167C4050">
            <w:pPr>
              <w:widowControl/>
              <w:spacing w:line="240" w:lineRule="auto"/>
              <w:ind w:firstLine="420"/>
              <w:jc w:val="center"/>
              <w:rPr>
                <w:color w:val="auto"/>
                <w:kern w:val="0"/>
                <w:sz w:val="21"/>
                <w:szCs w:val="21"/>
              </w:rPr>
            </w:pPr>
            <w:r>
              <w:rPr>
                <w:color w:val="auto"/>
                <w:kern w:val="0"/>
                <w:sz w:val="21"/>
                <w:szCs w:val="21"/>
              </w:rPr>
              <w:t>HJ970-2018 水质 石油类的测定 紫外分光光度法（试行）</w:t>
            </w:r>
          </w:p>
        </w:tc>
      </w:tr>
    </w:tbl>
    <w:p w14:paraId="438817FA">
      <w:pPr>
        <w:ind w:firstLine="480"/>
        <w:rPr>
          <w:color w:val="auto"/>
        </w:rPr>
      </w:pPr>
      <w:r>
        <w:rPr>
          <w:rFonts w:hint="eastAsia"/>
          <w:color w:val="auto"/>
        </w:rPr>
        <w:t>（5）监测结果</w:t>
      </w:r>
    </w:p>
    <w:p w14:paraId="23E615E6">
      <w:pPr>
        <w:ind w:firstLine="480"/>
        <w:rPr>
          <w:color w:val="auto"/>
        </w:rPr>
      </w:pPr>
      <w:r>
        <w:rPr>
          <w:rFonts w:hint="eastAsia"/>
          <w:color w:val="auto"/>
        </w:rPr>
        <w:t>包气带</w:t>
      </w:r>
      <w:r>
        <w:rPr>
          <w:color w:val="auto"/>
        </w:rPr>
        <w:t>环境现状监测结果见</w:t>
      </w:r>
      <w:r>
        <w:rPr>
          <w:rFonts w:hint="eastAsia"/>
          <w:color w:val="auto"/>
        </w:rPr>
        <w:t>下表</w:t>
      </w:r>
      <w:r>
        <w:rPr>
          <w:color w:val="auto"/>
        </w:rPr>
        <w:t>。</w:t>
      </w:r>
    </w:p>
    <w:p w14:paraId="6AE821B1">
      <w:pPr>
        <w:ind w:firstLine="482"/>
        <w:jc w:val="center"/>
        <w:rPr>
          <w:b/>
          <w:color w:val="auto"/>
        </w:rPr>
      </w:pPr>
      <w:r>
        <w:rPr>
          <w:b/>
          <w:color w:val="auto"/>
        </w:rPr>
        <w:t>表5.2.5-</w:t>
      </w:r>
      <w:r>
        <w:rPr>
          <w:rFonts w:hint="eastAsia"/>
          <w:b/>
          <w:color w:val="auto"/>
        </w:rPr>
        <w:t>3</w:t>
      </w:r>
      <w:r>
        <w:rPr>
          <w:b/>
          <w:color w:val="auto"/>
        </w:rPr>
        <w:t xml:space="preserve"> 包气带现状监测</w:t>
      </w:r>
      <w:r>
        <w:rPr>
          <w:rFonts w:hint="eastAsia"/>
          <w:b/>
          <w:color w:val="auto"/>
        </w:rPr>
        <w:t>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810"/>
        <w:gridCol w:w="863"/>
        <w:gridCol w:w="928"/>
        <w:gridCol w:w="865"/>
        <w:gridCol w:w="816"/>
        <w:gridCol w:w="978"/>
        <w:gridCol w:w="938"/>
        <w:gridCol w:w="863"/>
        <w:gridCol w:w="1029"/>
      </w:tblGrid>
      <w:tr w14:paraId="3DC86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95" w:type="pct"/>
            <w:noWrap/>
            <w:vAlign w:val="center"/>
          </w:tcPr>
          <w:p w14:paraId="1F884ADB">
            <w:pPr>
              <w:widowControl/>
              <w:spacing w:line="240" w:lineRule="auto"/>
              <w:ind w:firstLine="0" w:firstLineChars="0"/>
              <w:jc w:val="center"/>
              <w:rPr>
                <w:b/>
                <w:bCs/>
                <w:color w:val="auto"/>
                <w:kern w:val="0"/>
                <w:sz w:val="21"/>
                <w:szCs w:val="21"/>
              </w:rPr>
            </w:pPr>
            <w:r>
              <w:rPr>
                <w:b/>
                <w:bCs/>
                <w:color w:val="auto"/>
                <w:kern w:val="0"/>
                <w:sz w:val="21"/>
                <w:szCs w:val="21"/>
              </w:rPr>
              <w:t>检测项目</w:t>
            </w:r>
          </w:p>
        </w:tc>
        <w:tc>
          <w:tcPr>
            <w:tcW w:w="848" w:type="pct"/>
            <w:gridSpan w:val="2"/>
            <w:vAlign w:val="center"/>
          </w:tcPr>
          <w:p w14:paraId="49594651">
            <w:pPr>
              <w:widowControl/>
              <w:spacing w:line="240" w:lineRule="auto"/>
              <w:ind w:firstLine="0" w:firstLineChars="0"/>
              <w:jc w:val="center"/>
              <w:rPr>
                <w:b/>
                <w:bCs/>
                <w:color w:val="auto"/>
                <w:kern w:val="0"/>
                <w:sz w:val="21"/>
                <w:szCs w:val="21"/>
              </w:rPr>
            </w:pPr>
            <w:r>
              <w:rPr>
                <w:b/>
                <w:bCs/>
                <w:color w:val="auto"/>
                <w:kern w:val="0"/>
                <w:sz w:val="21"/>
                <w:szCs w:val="21"/>
              </w:rPr>
              <w:t>B1</w:t>
            </w:r>
          </w:p>
        </w:tc>
        <w:tc>
          <w:tcPr>
            <w:tcW w:w="910" w:type="pct"/>
            <w:gridSpan w:val="2"/>
            <w:vAlign w:val="center"/>
          </w:tcPr>
          <w:p w14:paraId="6E309426">
            <w:pPr>
              <w:widowControl/>
              <w:spacing w:line="240" w:lineRule="auto"/>
              <w:ind w:firstLine="0" w:firstLineChars="0"/>
              <w:jc w:val="center"/>
              <w:rPr>
                <w:b/>
                <w:bCs/>
                <w:color w:val="auto"/>
                <w:kern w:val="0"/>
                <w:sz w:val="21"/>
                <w:szCs w:val="21"/>
              </w:rPr>
            </w:pPr>
            <w:r>
              <w:rPr>
                <w:b/>
                <w:bCs/>
                <w:color w:val="auto"/>
                <w:kern w:val="0"/>
                <w:sz w:val="21"/>
                <w:szCs w:val="21"/>
              </w:rPr>
              <w:t>B2</w:t>
            </w:r>
          </w:p>
        </w:tc>
        <w:tc>
          <w:tcPr>
            <w:tcW w:w="910" w:type="pct"/>
            <w:gridSpan w:val="2"/>
            <w:vAlign w:val="center"/>
          </w:tcPr>
          <w:p w14:paraId="1187DB4C">
            <w:pPr>
              <w:widowControl/>
              <w:spacing w:line="240" w:lineRule="auto"/>
              <w:ind w:firstLine="0" w:firstLineChars="0"/>
              <w:jc w:val="center"/>
              <w:rPr>
                <w:b/>
                <w:bCs/>
                <w:color w:val="auto"/>
                <w:kern w:val="0"/>
                <w:sz w:val="21"/>
                <w:szCs w:val="21"/>
              </w:rPr>
            </w:pPr>
            <w:r>
              <w:rPr>
                <w:b/>
                <w:bCs/>
                <w:color w:val="auto"/>
                <w:kern w:val="0"/>
                <w:sz w:val="21"/>
                <w:szCs w:val="21"/>
              </w:rPr>
              <w:t>B3</w:t>
            </w:r>
          </w:p>
        </w:tc>
        <w:tc>
          <w:tcPr>
            <w:tcW w:w="914" w:type="pct"/>
            <w:gridSpan w:val="2"/>
            <w:vAlign w:val="center"/>
          </w:tcPr>
          <w:p w14:paraId="49D0BE4A">
            <w:pPr>
              <w:widowControl/>
              <w:spacing w:line="240" w:lineRule="auto"/>
              <w:ind w:firstLine="0" w:firstLineChars="0"/>
              <w:jc w:val="center"/>
              <w:rPr>
                <w:b/>
                <w:bCs/>
                <w:color w:val="auto"/>
                <w:kern w:val="0"/>
                <w:sz w:val="21"/>
                <w:szCs w:val="21"/>
              </w:rPr>
            </w:pPr>
            <w:r>
              <w:rPr>
                <w:b/>
                <w:bCs/>
                <w:color w:val="auto"/>
                <w:kern w:val="0"/>
                <w:sz w:val="21"/>
                <w:szCs w:val="21"/>
              </w:rPr>
              <w:t>B4</w:t>
            </w:r>
          </w:p>
        </w:tc>
        <w:tc>
          <w:tcPr>
            <w:tcW w:w="522" w:type="pct"/>
            <w:vAlign w:val="center"/>
          </w:tcPr>
          <w:p w14:paraId="37899F83">
            <w:pPr>
              <w:widowControl/>
              <w:spacing w:line="240" w:lineRule="auto"/>
              <w:ind w:firstLine="0" w:firstLineChars="0"/>
              <w:jc w:val="center"/>
              <w:rPr>
                <w:b/>
                <w:bCs/>
                <w:color w:val="auto"/>
                <w:kern w:val="0"/>
                <w:sz w:val="21"/>
                <w:szCs w:val="21"/>
              </w:rPr>
            </w:pPr>
            <w:r>
              <w:rPr>
                <w:b/>
                <w:bCs/>
                <w:color w:val="auto"/>
                <w:kern w:val="0"/>
                <w:sz w:val="21"/>
                <w:szCs w:val="21"/>
              </w:rPr>
              <w:t>单位</w:t>
            </w:r>
          </w:p>
        </w:tc>
      </w:tr>
      <w:tr w14:paraId="15920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vAlign w:val="center"/>
          </w:tcPr>
          <w:p w14:paraId="296EA479">
            <w:pPr>
              <w:widowControl/>
              <w:spacing w:line="240" w:lineRule="auto"/>
              <w:ind w:firstLine="0" w:firstLineChars="0"/>
              <w:jc w:val="center"/>
              <w:rPr>
                <w:b/>
                <w:bCs/>
                <w:color w:val="auto"/>
                <w:kern w:val="0"/>
                <w:sz w:val="21"/>
                <w:szCs w:val="21"/>
              </w:rPr>
            </w:pPr>
            <w:r>
              <w:rPr>
                <w:b/>
                <w:bCs/>
                <w:color w:val="auto"/>
                <w:kern w:val="0"/>
                <w:sz w:val="21"/>
                <w:szCs w:val="21"/>
              </w:rPr>
              <w:t>采样深度</w:t>
            </w:r>
          </w:p>
        </w:tc>
        <w:tc>
          <w:tcPr>
            <w:tcW w:w="411" w:type="pct"/>
            <w:vAlign w:val="center"/>
          </w:tcPr>
          <w:p w14:paraId="518AAE46">
            <w:pPr>
              <w:widowControl/>
              <w:spacing w:line="240" w:lineRule="auto"/>
              <w:ind w:firstLine="0" w:firstLineChars="0"/>
              <w:jc w:val="center"/>
              <w:rPr>
                <w:b/>
                <w:bCs/>
                <w:color w:val="auto"/>
                <w:kern w:val="0"/>
                <w:sz w:val="21"/>
                <w:szCs w:val="21"/>
              </w:rPr>
            </w:pPr>
            <w:r>
              <w:rPr>
                <w:b/>
                <w:bCs/>
                <w:color w:val="auto"/>
                <w:kern w:val="0"/>
                <w:sz w:val="21"/>
                <w:szCs w:val="21"/>
              </w:rPr>
              <w:t>0~20</w:t>
            </w:r>
          </w:p>
        </w:tc>
        <w:tc>
          <w:tcPr>
            <w:tcW w:w="438" w:type="pct"/>
            <w:vAlign w:val="center"/>
          </w:tcPr>
          <w:p w14:paraId="041EDDBE">
            <w:pPr>
              <w:widowControl/>
              <w:spacing w:line="240" w:lineRule="auto"/>
              <w:ind w:firstLine="0" w:firstLineChars="0"/>
              <w:jc w:val="center"/>
              <w:rPr>
                <w:b/>
                <w:bCs/>
                <w:color w:val="auto"/>
                <w:kern w:val="0"/>
                <w:sz w:val="21"/>
                <w:szCs w:val="21"/>
              </w:rPr>
            </w:pPr>
            <w:r>
              <w:rPr>
                <w:b/>
                <w:bCs/>
                <w:color w:val="auto"/>
                <w:kern w:val="0"/>
                <w:sz w:val="21"/>
                <w:szCs w:val="21"/>
              </w:rPr>
              <w:t>20~80</w:t>
            </w:r>
          </w:p>
        </w:tc>
        <w:tc>
          <w:tcPr>
            <w:tcW w:w="471" w:type="pct"/>
            <w:vAlign w:val="center"/>
          </w:tcPr>
          <w:p w14:paraId="092D1F2D">
            <w:pPr>
              <w:widowControl/>
              <w:spacing w:line="240" w:lineRule="auto"/>
              <w:ind w:firstLine="0" w:firstLineChars="0"/>
              <w:jc w:val="center"/>
              <w:rPr>
                <w:b/>
                <w:bCs/>
                <w:color w:val="auto"/>
                <w:kern w:val="0"/>
                <w:sz w:val="21"/>
                <w:szCs w:val="21"/>
              </w:rPr>
            </w:pPr>
            <w:r>
              <w:rPr>
                <w:b/>
                <w:bCs/>
                <w:color w:val="auto"/>
                <w:kern w:val="0"/>
                <w:sz w:val="21"/>
                <w:szCs w:val="21"/>
              </w:rPr>
              <w:t>0~20</w:t>
            </w:r>
          </w:p>
        </w:tc>
        <w:tc>
          <w:tcPr>
            <w:tcW w:w="439" w:type="pct"/>
            <w:vAlign w:val="center"/>
          </w:tcPr>
          <w:p w14:paraId="64E4CAE0">
            <w:pPr>
              <w:widowControl/>
              <w:spacing w:line="240" w:lineRule="auto"/>
              <w:ind w:firstLine="0" w:firstLineChars="0"/>
              <w:jc w:val="center"/>
              <w:rPr>
                <w:b/>
                <w:bCs/>
                <w:color w:val="auto"/>
                <w:kern w:val="0"/>
                <w:sz w:val="21"/>
                <w:szCs w:val="21"/>
              </w:rPr>
            </w:pPr>
            <w:r>
              <w:rPr>
                <w:b/>
                <w:bCs/>
                <w:color w:val="auto"/>
                <w:kern w:val="0"/>
                <w:sz w:val="21"/>
                <w:szCs w:val="21"/>
              </w:rPr>
              <w:t>20~80</w:t>
            </w:r>
          </w:p>
        </w:tc>
        <w:tc>
          <w:tcPr>
            <w:tcW w:w="414" w:type="pct"/>
            <w:vAlign w:val="center"/>
          </w:tcPr>
          <w:p w14:paraId="221C27F5">
            <w:pPr>
              <w:widowControl/>
              <w:spacing w:line="240" w:lineRule="auto"/>
              <w:ind w:firstLine="0" w:firstLineChars="0"/>
              <w:jc w:val="center"/>
              <w:rPr>
                <w:b/>
                <w:bCs/>
                <w:color w:val="auto"/>
                <w:kern w:val="0"/>
                <w:sz w:val="21"/>
                <w:szCs w:val="21"/>
              </w:rPr>
            </w:pPr>
            <w:r>
              <w:rPr>
                <w:b/>
                <w:bCs/>
                <w:color w:val="auto"/>
                <w:kern w:val="0"/>
                <w:sz w:val="21"/>
                <w:szCs w:val="21"/>
              </w:rPr>
              <w:t>0~20</w:t>
            </w:r>
          </w:p>
        </w:tc>
        <w:tc>
          <w:tcPr>
            <w:tcW w:w="496" w:type="pct"/>
            <w:vAlign w:val="center"/>
          </w:tcPr>
          <w:p w14:paraId="067E3478">
            <w:pPr>
              <w:widowControl/>
              <w:spacing w:line="240" w:lineRule="auto"/>
              <w:ind w:firstLine="0" w:firstLineChars="0"/>
              <w:jc w:val="center"/>
              <w:rPr>
                <w:b/>
                <w:bCs/>
                <w:color w:val="auto"/>
                <w:kern w:val="0"/>
                <w:sz w:val="21"/>
                <w:szCs w:val="21"/>
              </w:rPr>
            </w:pPr>
            <w:r>
              <w:rPr>
                <w:b/>
                <w:bCs/>
                <w:color w:val="auto"/>
                <w:kern w:val="0"/>
                <w:sz w:val="21"/>
                <w:szCs w:val="21"/>
              </w:rPr>
              <w:t>20~80</w:t>
            </w:r>
          </w:p>
        </w:tc>
        <w:tc>
          <w:tcPr>
            <w:tcW w:w="476" w:type="pct"/>
            <w:vAlign w:val="center"/>
          </w:tcPr>
          <w:p w14:paraId="7F0B30E9">
            <w:pPr>
              <w:widowControl/>
              <w:spacing w:line="240" w:lineRule="auto"/>
              <w:ind w:firstLine="0" w:firstLineChars="0"/>
              <w:jc w:val="center"/>
              <w:rPr>
                <w:b/>
                <w:bCs/>
                <w:color w:val="auto"/>
                <w:kern w:val="0"/>
                <w:sz w:val="21"/>
                <w:szCs w:val="21"/>
              </w:rPr>
            </w:pPr>
            <w:r>
              <w:rPr>
                <w:b/>
                <w:bCs/>
                <w:color w:val="auto"/>
                <w:kern w:val="0"/>
                <w:sz w:val="21"/>
                <w:szCs w:val="21"/>
              </w:rPr>
              <w:t>0~20</w:t>
            </w:r>
          </w:p>
        </w:tc>
        <w:tc>
          <w:tcPr>
            <w:tcW w:w="438" w:type="pct"/>
            <w:vAlign w:val="center"/>
          </w:tcPr>
          <w:p w14:paraId="04D2B23B">
            <w:pPr>
              <w:widowControl/>
              <w:spacing w:line="240" w:lineRule="auto"/>
              <w:ind w:firstLine="0" w:firstLineChars="0"/>
              <w:jc w:val="center"/>
              <w:rPr>
                <w:b/>
                <w:bCs/>
                <w:color w:val="auto"/>
                <w:kern w:val="0"/>
                <w:sz w:val="21"/>
                <w:szCs w:val="21"/>
              </w:rPr>
            </w:pPr>
            <w:r>
              <w:rPr>
                <w:b/>
                <w:bCs/>
                <w:color w:val="auto"/>
                <w:kern w:val="0"/>
                <w:sz w:val="21"/>
                <w:szCs w:val="21"/>
              </w:rPr>
              <w:t>20~80</w:t>
            </w:r>
          </w:p>
        </w:tc>
        <w:tc>
          <w:tcPr>
            <w:tcW w:w="522" w:type="pct"/>
            <w:vAlign w:val="center"/>
          </w:tcPr>
          <w:p w14:paraId="43931960">
            <w:pPr>
              <w:widowControl/>
              <w:spacing w:line="240" w:lineRule="auto"/>
              <w:ind w:firstLine="0" w:firstLineChars="0"/>
              <w:jc w:val="center"/>
              <w:rPr>
                <w:b/>
                <w:bCs/>
                <w:color w:val="auto"/>
                <w:kern w:val="0"/>
                <w:sz w:val="21"/>
                <w:szCs w:val="21"/>
              </w:rPr>
            </w:pPr>
            <w:r>
              <w:rPr>
                <w:b/>
                <w:bCs/>
                <w:color w:val="auto"/>
                <w:kern w:val="0"/>
                <w:sz w:val="21"/>
                <w:szCs w:val="21"/>
              </w:rPr>
              <w:t>cm</w:t>
            </w:r>
          </w:p>
        </w:tc>
      </w:tr>
      <w:tr w14:paraId="1D9AC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95" w:type="pct"/>
            <w:vAlign w:val="center"/>
          </w:tcPr>
          <w:p w14:paraId="623F0559">
            <w:pPr>
              <w:widowControl/>
              <w:spacing w:line="240" w:lineRule="auto"/>
              <w:ind w:firstLine="0" w:firstLineChars="0"/>
              <w:jc w:val="center"/>
              <w:rPr>
                <w:color w:val="auto"/>
                <w:kern w:val="0"/>
                <w:sz w:val="21"/>
                <w:szCs w:val="21"/>
              </w:rPr>
            </w:pPr>
            <w:r>
              <w:rPr>
                <w:color w:val="auto"/>
                <w:kern w:val="0"/>
                <w:sz w:val="21"/>
                <w:szCs w:val="21"/>
              </w:rPr>
              <w:t>pH值</w:t>
            </w:r>
          </w:p>
        </w:tc>
        <w:tc>
          <w:tcPr>
            <w:tcW w:w="411" w:type="pct"/>
            <w:vAlign w:val="center"/>
          </w:tcPr>
          <w:p w14:paraId="20068C68">
            <w:pPr>
              <w:widowControl/>
              <w:spacing w:line="240" w:lineRule="auto"/>
              <w:ind w:firstLine="0" w:firstLineChars="0"/>
              <w:jc w:val="center"/>
              <w:rPr>
                <w:color w:val="auto"/>
                <w:kern w:val="0"/>
                <w:sz w:val="21"/>
                <w:szCs w:val="21"/>
              </w:rPr>
            </w:pPr>
            <w:r>
              <w:rPr>
                <w:color w:val="auto"/>
                <w:kern w:val="0"/>
                <w:sz w:val="21"/>
                <w:szCs w:val="21"/>
              </w:rPr>
              <w:t>7.4</w:t>
            </w:r>
          </w:p>
        </w:tc>
        <w:tc>
          <w:tcPr>
            <w:tcW w:w="438" w:type="pct"/>
            <w:vAlign w:val="center"/>
          </w:tcPr>
          <w:p w14:paraId="6F2D61DB">
            <w:pPr>
              <w:widowControl/>
              <w:spacing w:line="240" w:lineRule="auto"/>
              <w:ind w:firstLine="0" w:firstLineChars="0"/>
              <w:jc w:val="center"/>
              <w:rPr>
                <w:color w:val="auto"/>
                <w:kern w:val="0"/>
                <w:sz w:val="21"/>
                <w:szCs w:val="21"/>
              </w:rPr>
            </w:pPr>
            <w:r>
              <w:rPr>
                <w:color w:val="auto"/>
                <w:kern w:val="0"/>
                <w:sz w:val="21"/>
                <w:szCs w:val="21"/>
              </w:rPr>
              <w:t>7.4</w:t>
            </w:r>
          </w:p>
        </w:tc>
        <w:tc>
          <w:tcPr>
            <w:tcW w:w="471" w:type="pct"/>
            <w:vAlign w:val="center"/>
          </w:tcPr>
          <w:p w14:paraId="0BEEA3A0">
            <w:pPr>
              <w:widowControl/>
              <w:spacing w:line="240" w:lineRule="auto"/>
              <w:ind w:firstLine="0" w:firstLineChars="0"/>
              <w:jc w:val="center"/>
              <w:rPr>
                <w:color w:val="auto"/>
                <w:kern w:val="0"/>
                <w:sz w:val="21"/>
                <w:szCs w:val="21"/>
              </w:rPr>
            </w:pPr>
            <w:r>
              <w:rPr>
                <w:color w:val="auto"/>
                <w:kern w:val="0"/>
                <w:sz w:val="21"/>
                <w:szCs w:val="21"/>
              </w:rPr>
              <w:t>7.3</w:t>
            </w:r>
          </w:p>
        </w:tc>
        <w:tc>
          <w:tcPr>
            <w:tcW w:w="439" w:type="pct"/>
            <w:vAlign w:val="center"/>
          </w:tcPr>
          <w:p w14:paraId="1DDE5C08">
            <w:pPr>
              <w:widowControl/>
              <w:spacing w:line="240" w:lineRule="auto"/>
              <w:ind w:firstLine="0" w:firstLineChars="0"/>
              <w:jc w:val="center"/>
              <w:rPr>
                <w:color w:val="auto"/>
                <w:kern w:val="0"/>
                <w:sz w:val="21"/>
                <w:szCs w:val="21"/>
              </w:rPr>
            </w:pPr>
            <w:r>
              <w:rPr>
                <w:color w:val="auto"/>
                <w:kern w:val="0"/>
                <w:sz w:val="21"/>
                <w:szCs w:val="21"/>
              </w:rPr>
              <w:t>7.4</w:t>
            </w:r>
          </w:p>
        </w:tc>
        <w:tc>
          <w:tcPr>
            <w:tcW w:w="414" w:type="pct"/>
            <w:vAlign w:val="center"/>
          </w:tcPr>
          <w:p w14:paraId="4AF6D567">
            <w:pPr>
              <w:widowControl/>
              <w:spacing w:line="240" w:lineRule="auto"/>
              <w:ind w:firstLine="0" w:firstLineChars="0"/>
              <w:jc w:val="center"/>
              <w:rPr>
                <w:color w:val="auto"/>
                <w:kern w:val="0"/>
                <w:sz w:val="21"/>
                <w:szCs w:val="21"/>
              </w:rPr>
            </w:pPr>
            <w:r>
              <w:rPr>
                <w:color w:val="auto"/>
                <w:kern w:val="0"/>
                <w:sz w:val="21"/>
                <w:szCs w:val="21"/>
              </w:rPr>
              <w:t>7.5</w:t>
            </w:r>
          </w:p>
        </w:tc>
        <w:tc>
          <w:tcPr>
            <w:tcW w:w="496" w:type="pct"/>
            <w:vAlign w:val="center"/>
          </w:tcPr>
          <w:p w14:paraId="3615D486">
            <w:pPr>
              <w:widowControl/>
              <w:spacing w:line="240" w:lineRule="auto"/>
              <w:ind w:firstLine="0" w:firstLineChars="0"/>
              <w:jc w:val="center"/>
              <w:rPr>
                <w:color w:val="auto"/>
                <w:kern w:val="0"/>
                <w:sz w:val="21"/>
                <w:szCs w:val="21"/>
              </w:rPr>
            </w:pPr>
            <w:r>
              <w:rPr>
                <w:color w:val="auto"/>
                <w:kern w:val="0"/>
                <w:sz w:val="21"/>
                <w:szCs w:val="21"/>
              </w:rPr>
              <w:t>7.6</w:t>
            </w:r>
          </w:p>
        </w:tc>
        <w:tc>
          <w:tcPr>
            <w:tcW w:w="476" w:type="pct"/>
            <w:vAlign w:val="center"/>
          </w:tcPr>
          <w:p w14:paraId="7DE04499">
            <w:pPr>
              <w:widowControl/>
              <w:spacing w:line="240" w:lineRule="auto"/>
              <w:ind w:firstLine="0" w:firstLineChars="0"/>
              <w:jc w:val="center"/>
              <w:rPr>
                <w:color w:val="auto"/>
                <w:kern w:val="0"/>
                <w:sz w:val="21"/>
                <w:szCs w:val="21"/>
              </w:rPr>
            </w:pPr>
            <w:r>
              <w:rPr>
                <w:color w:val="auto"/>
                <w:kern w:val="0"/>
                <w:sz w:val="21"/>
                <w:szCs w:val="21"/>
              </w:rPr>
              <w:t>7.5</w:t>
            </w:r>
          </w:p>
        </w:tc>
        <w:tc>
          <w:tcPr>
            <w:tcW w:w="438" w:type="pct"/>
            <w:vAlign w:val="center"/>
          </w:tcPr>
          <w:p w14:paraId="24796998">
            <w:pPr>
              <w:widowControl/>
              <w:spacing w:line="240" w:lineRule="auto"/>
              <w:ind w:firstLine="0" w:firstLineChars="0"/>
              <w:jc w:val="center"/>
              <w:rPr>
                <w:color w:val="auto"/>
                <w:kern w:val="0"/>
                <w:sz w:val="21"/>
                <w:szCs w:val="21"/>
              </w:rPr>
            </w:pPr>
            <w:r>
              <w:rPr>
                <w:color w:val="auto"/>
                <w:kern w:val="0"/>
                <w:sz w:val="21"/>
                <w:szCs w:val="21"/>
              </w:rPr>
              <w:t>7.4</w:t>
            </w:r>
          </w:p>
        </w:tc>
        <w:tc>
          <w:tcPr>
            <w:tcW w:w="522" w:type="pct"/>
            <w:vAlign w:val="center"/>
          </w:tcPr>
          <w:p w14:paraId="3D36FED7">
            <w:pPr>
              <w:widowControl/>
              <w:spacing w:line="240" w:lineRule="auto"/>
              <w:ind w:firstLine="0" w:firstLineChars="0"/>
              <w:jc w:val="center"/>
              <w:rPr>
                <w:color w:val="auto"/>
                <w:kern w:val="0"/>
                <w:sz w:val="21"/>
                <w:szCs w:val="21"/>
              </w:rPr>
            </w:pPr>
            <w:r>
              <w:rPr>
                <w:color w:val="auto"/>
                <w:kern w:val="0"/>
                <w:sz w:val="21"/>
                <w:szCs w:val="21"/>
              </w:rPr>
              <w:t>无量纲</w:t>
            </w:r>
          </w:p>
        </w:tc>
      </w:tr>
      <w:tr w14:paraId="47EBF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vAlign w:val="center"/>
          </w:tcPr>
          <w:p w14:paraId="174A82BF">
            <w:pPr>
              <w:widowControl/>
              <w:spacing w:line="240" w:lineRule="auto"/>
              <w:ind w:firstLine="0" w:firstLineChars="0"/>
              <w:jc w:val="center"/>
              <w:rPr>
                <w:color w:val="auto"/>
                <w:kern w:val="0"/>
                <w:sz w:val="21"/>
                <w:szCs w:val="21"/>
              </w:rPr>
            </w:pPr>
            <w:r>
              <w:rPr>
                <w:color w:val="auto"/>
                <w:kern w:val="0"/>
                <w:sz w:val="21"/>
                <w:szCs w:val="21"/>
              </w:rPr>
              <w:t>高锰酸盐指数</w:t>
            </w:r>
          </w:p>
        </w:tc>
        <w:tc>
          <w:tcPr>
            <w:tcW w:w="411" w:type="pct"/>
            <w:vAlign w:val="center"/>
          </w:tcPr>
          <w:p w14:paraId="7138442E">
            <w:pPr>
              <w:widowControl/>
              <w:spacing w:line="240" w:lineRule="auto"/>
              <w:ind w:firstLine="0" w:firstLineChars="0"/>
              <w:jc w:val="center"/>
              <w:rPr>
                <w:color w:val="auto"/>
                <w:kern w:val="0"/>
                <w:sz w:val="21"/>
                <w:szCs w:val="21"/>
              </w:rPr>
            </w:pPr>
            <w:r>
              <w:rPr>
                <w:color w:val="auto"/>
                <w:kern w:val="0"/>
                <w:sz w:val="21"/>
                <w:szCs w:val="21"/>
              </w:rPr>
              <w:t>2.5</w:t>
            </w:r>
          </w:p>
        </w:tc>
        <w:tc>
          <w:tcPr>
            <w:tcW w:w="438" w:type="pct"/>
            <w:vAlign w:val="center"/>
          </w:tcPr>
          <w:p w14:paraId="4DBBD3AF">
            <w:pPr>
              <w:widowControl/>
              <w:spacing w:line="240" w:lineRule="auto"/>
              <w:ind w:firstLine="0" w:firstLineChars="0"/>
              <w:jc w:val="center"/>
              <w:rPr>
                <w:color w:val="auto"/>
                <w:kern w:val="0"/>
                <w:sz w:val="21"/>
                <w:szCs w:val="21"/>
              </w:rPr>
            </w:pPr>
            <w:r>
              <w:rPr>
                <w:color w:val="auto"/>
                <w:kern w:val="0"/>
                <w:sz w:val="21"/>
                <w:szCs w:val="21"/>
              </w:rPr>
              <w:t>2.7</w:t>
            </w:r>
          </w:p>
        </w:tc>
        <w:tc>
          <w:tcPr>
            <w:tcW w:w="471" w:type="pct"/>
            <w:vAlign w:val="center"/>
          </w:tcPr>
          <w:p w14:paraId="5B68CA86">
            <w:pPr>
              <w:widowControl/>
              <w:spacing w:line="240" w:lineRule="auto"/>
              <w:ind w:firstLine="0" w:firstLineChars="0"/>
              <w:jc w:val="center"/>
              <w:rPr>
                <w:color w:val="auto"/>
                <w:kern w:val="0"/>
                <w:sz w:val="21"/>
                <w:szCs w:val="21"/>
              </w:rPr>
            </w:pPr>
            <w:r>
              <w:rPr>
                <w:color w:val="auto"/>
                <w:kern w:val="0"/>
                <w:sz w:val="21"/>
                <w:szCs w:val="21"/>
              </w:rPr>
              <w:t>2.8</w:t>
            </w:r>
          </w:p>
        </w:tc>
        <w:tc>
          <w:tcPr>
            <w:tcW w:w="439" w:type="pct"/>
            <w:vAlign w:val="center"/>
          </w:tcPr>
          <w:p w14:paraId="01E6EAB7">
            <w:pPr>
              <w:widowControl/>
              <w:spacing w:line="240" w:lineRule="auto"/>
              <w:ind w:firstLine="0" w:firstLineChars="0"/>
              <w:jc w:val="center"/>
              <w:rPr>
                <w:color w:val="auto"/>
                <w:kern w:val="0"/>
                <w:sz w:val="21"/>
                <w:szCs w:val="21"/>
              </w:rPr>
            </w:pPr>
            <w:r>
              <w:rPr>
                <w:color w:val="auto"/>
                <w:kern w:val="0"/>
                <w:sz w:val="21"/>
                <w:szCs w:val="21"/>
              </w:rPr>
              <w:t>2.9</w:t>
            </w:r>
          </w:p>
        </w:tc>
        <w:tc>
          <w:tcPr>
            <w:tcW w:w="414" w:type="pct"/>
            <w:vAlign w:val="center"/>
          </w:tcPr>
          <w:p w14:paraId="676A054E">
            <w:pPr>
              <w:widowControl/>
              <w:spacing w:line="240" w:lineRule="auto"/>
              <w:ind w:firstLine="0" w:firstLineChars="0"/>
              <w:jc w:val="center"/>
              <w:rPr>
                <w:color w:val="auto"/>
                <w:kern w:val="0"/>
                <w:sz w:val="21"/>
                <w:szCs w:val="21"/>
              </w:rPr>
            </w:pPr>
            <w:r>
              <w:rPr>
                <w:color w:val="auto"/>
                <w:kern w:val="0"/>
                <w:sz w:val="21"/>
                <w:szCs w:val="21"/>
              </w:rPr>
              <w:t>2.7</w:t>
            </w:r>
          </w:p>
        </w:tc>
        <w:tc>
          <w:tcPr>
            <w:tcW w:w="496" w:type="pct"/>
            <w:vAlign w:val="center"/>
          </w:tcPr>
          <w:p w14:paraId="4952BFCD">
            <w:pPr>
              <w:widowControl/>
              <w:spacing w:line="240" w:lineRule="auto"/>
              <w:ind w:firstLine="0" w:firstLineChars="0"/>
              <w:jc w:val="center"/>
              <w:rPr>
                <w:color w:val="auto"/>
                <w:kern w:val="0"/>
                <w:sz w:val="21"/>
                <w:szCs w:val="21"/>
              </w:rPr>
            </w:pPr>
            <w:r>
              <w:rPr>
                <w:color w:val="auto"/>
                <w:kern w:val="0"/>
                <w:sz w:val="21"/>
                <w:szCs w:val="21"/>
              </w:rPr>
              <w:t>2.8</w:t>
            </w:r>
          </w:p>
        </w:tc>
        <w:tc>
          <w:tcPr>
            <w:tcW w:w="476" w:type="pct"/>
            <w:vAlign w:val="center"/>
          </w:tcPr>
          <w:p w14:paraId="0B1C6C7A">
            <w:pPr>
              <w:widowControl/>
              <w:spacing w:line="240" w:lineRule="auto"/>
              <w:ind w:firstLine="0" w:firstLineChars="0"/>
              <w:jc w:val="center"/>
              <w:rPr>
                <w:color w:val="auto"/>
                <w:kern w:val="0"/>
                <w:sz w:val="21"/>
                <w:szCs w:val="21"/>
              </w:rPr>
            </w:pPr>
            <w:r>
              <w:rPr>
                <w:color w:val="auto"/>
                <w:kern w:val="0"/>
                <w:sz w:val="21"/>
                <w:szCs w:val="21"/>
              </w:rPr>
              <w:t>2.8</w:t>
            </w:r>
          </w:p>
        </w:tc>
        <w:tc>
          <w:tcPr>
            <w:tcW w:w="438" w:type="pct"/>
            <w:vAlign w:val="center"/>
          </w:tcPr>
          <w:p w14:paraId="2B561933">
            <w:pPr>
              <w:widowControl/>
              <w:spacing w:line="240" w:lineRule="auto"/>
              <w:ind w:firstLine="0" w:firstLineChars="0"/>
              <w:jc w:val="center"/>
              <w:rPr>
                <w:color w:val="auto"/>
                <w:kern w:val="0"/>
                <w:sz w:val="21"/>
                <w:szCs w:val="21"/>
              </w:rPr>
            </w:pPr>
            <w:r>
              <w:rPr>
                <w:color w:val="auto"/>
                <w:kern w:val="0"/>
                <w:sz w:val="21"/>
                <w:szCs w:val="21"/>
              </w:rPr>
              <w:t>2.8</w:t>
            </w:r>
          </w:p>
        </w:tc>
        <w:tc>
          <w:tcPr>
            <w:tcW w:w="522" w:type="pct"/>
            <w:vAlign w:val="center"/>
          </w:tcPr>
          <w:p w14:paraId="64BD3CA0">
            <w:pPr>
              <w:widowControl/>
              <w:spacing w:line="240" w:lineRule="auto"/>
              <w:ind w:firstLine="0" w:firstLineChars="0"/>
              <w:jc w:val="center"/>
              <w:rPr>
                <w:color w:val="auto"/>
                <w:kern w:val="0"/>
                <w:sz w:val="21"/>
                <w:szCs w:val="21"/>
              </w:rPr>
            </w:pPr>
            <w:r>
              <w:rPr>
                <w:color w:val="auto"/>
                <w:kern w:val="0"/>
                <w:sz w:val="21"/>
                <w:szCs w:val="21"/>
              </w:rPr>
              <w:t>mg/L</w:t>
            </w:r>
          </w:p>
        </w:tc>
      </w:tr>
      <w:tr w14:paraId="6EEC7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95" w:type="pct"/>
            <w:vAlign w:val="center"/>
          </w:tcPr>
          <w:p w14:paraId="79DB80F6">
            <w:pPr>
              <w:widowControl/>
              <w:spacing w:line="240" w:lineRule="auto"/>
              <w:ind w:firstLine="0" w:firstLineChars="0"/>
              <w:jc w:val="center"/>
              <w:rPr>
                <w:color w:val="auto"/>
                <w:kern w:val="0"/>
                <w:sz w:val="21"/>
                <w:szCs w:val="21"/>
              </w:rPr>
            </w:pPr>
            <w:r>
              <w:rPr>
                <w:color w:val="auto"/>
                <w:kern w:val="0"/>
                <w:sz w:val="21"/>
                <w:szCs w:val="21"/>
              </w:rPr>
              <w:t>氨氮</w:t>
            </w:r>
          </w:p>
        </w:tc>
        <w:tc>
          <w:tcPr>
            <w:tcW w:w="411" w:type="pct"/>
            <w:vAlign w:val="center"/>
          </w:tcPr>
          <w:p w14:paraId="5251E8AF">
            <w:pPr>
              <w:widowControl/>
              <w:spacing w:line="240" w:lineRule="auto"/>
              <w:ind w:firstLine="0" w:firstLineChars="0"/>
              <w:jc w:val="center"/>
              <w:rPr>
                <w:color w:val="auto"/>
                <w:kern w:val="0"/>
                <w:sz w:val="21"/>
                <w:szCs w:val="21"/>
              </w:rPr>
            </w:pPr>
            <w:r>
              <w:rPr>
                <w:color w:val="auto"/>
                <w:kern w:val="0"/>
                <w:sz w:val="21"/>
                <w:szCs w:val="21"/>
              </w:rPr>
              <w:t>0.319</w:t>
            </w:r>
          </w:p>
        </w:tc>
        <w:tc>
          <w:tcPr>
            <w:tcW w:w="438" w:type="pct"/>
            <w:vAlign w:val="center"/>
          </w:tcPr>
          <w:p w14:paraId="54FEE646">
            <w:pPr>
              <w:widowControl/>
              <w:spacing w:line="240" w:lineRule="auto"/>
              <w:ind w:firstLine="0" w:firstLineChars="0"/>
              <w:jc w:val="center"/>
              <w:rPr>
                <w:color w:val="auto"/>
                <w:kern w:val="0"/>
                <w:sz w:val="21"/>
                <w:szCs w:val="21"/>
              </w:rPr>
            </w:pPr>
            <w:r>
              <w:rPr>
                <w:color w:val="auto"/>
                <w:kern w:val="0"/>
                <w:sz w:val="21"/>
                <w:szCs w:val="21"/>
              </w:rPr>
              <w:t>0.339</w:t>
            </w:r>
          </w:p>
        </w:tc>
        <w:tc>
          <w:tcPr>
            <w:tcW w:w="471" w:type="pct"/>
            <w:vAlign w:val="center"/>
          </w:tcPr>
          <w:p w14:paraId="7A1B06AD">
            <w:pPr>
              <w:widowControl/>
              <w:spacing w:line="240" w:lineRule="auto"/>
              <w:ind w:firstLine="0" w:firstLineChars="0"/>
              <w:jc w:val="center"/>
              <w:rPr>
                <w:color w:val="auto"/>
                <w:kern w:val="0"/>
                <w:sz w:val="21"/>
                <w:szCs w:val="21"/>
              </w:rPr>
            </w:pPr>
            <w:r>
              <w:rPr>
                <w:color w:val="auto"/>
                <w:kern w:val="0"/>
                <w:sz w:val="21"/>
                <w:szCs w:val="21"/>
              </w:rPr>
              <w:t>0.411</w:t>
            </w:r>
          </w:p>
        </w:tc>
        <w:tc>
          <w:tcPr>
            <w:tcW w:w="439" w:type="pct"/>
            <w:vAlign w:val="center"/>
          </w:tcPr>
          <w:p w14:paraId="2A75161E">
            <w:pPr>
              <w:widowControl/>
              <w:spacing w:line="240" w:lineRule="auto"/>
              <w:ind w:firstLine="0" w:firstLineChars="0"/>
              <w:jc w:val="center"/>
              <w:rPr>
                <w:color w:val="auto"/>
                <w:kern w:val="0"/>
                <w:sz w:val="21"/>
                <w:szCs w:val="21"/>
              </w:rPr>
            </w:pPr>
            <w:r>
              <w:rPr>
                <w:color w:val="auto"/>
                <w:kern w:val="0"/>
                <w:sz w:val="21"/>
                <w:szCs w:val="21"/>
              </w:rPr>
              <w:t>0.366</w:t>
            </w:r>
          </w:p>
        </w:tc>
        <w:tc>
          <w:tcPr>
            <w:tcW w:w="414" w:type="pct"/>
            <w:vAlign w:val="center"/>
          </w:tcPr>
          <w:p w14:paraId="6A7C6242">
            <w:pPr>
              <w:widowControl/>
              <w:spacing w:line="240" w:lineRule="auto"/>
              <w:ind w:firstLine="0" w:firstLineChars="0"/>
              <w:jc w:val="center"/>
              <w:rPr>
                <w:color w:val="auto"/>
                <w:kern w:val="0"/>
                <w:sz w:val="21"/>
                <w:szCs w:val="21"/>
              </w:rPr>
            </w:pPr>
            <w:r>
              <w:rPr>
                <w:color w:val="auto"/>
                <w:kern w:val="0"/>
                <w:sz w:val="21"/>
                <w:szCs w:val="21"/>
              </w:rPr>
              <w:t>0.372</w:t>
            </w:r>
          </w:p>
        </w:tc>
        <w:tc>
          <w:tcPr>
            <w:tcW w:w="496" w:type="pct"/>
            <w:vAlign w:val="center"/>
          </w:tcPr>
          <w:p w14:paraId="370963B1">
            <w:pPr>
              <w:widowControl/>
              <w:spacing w:line="240" w:lineRule="auto"/>
              <w:ind w:firstLine="0" w:firstLineChars="0"/>
              <w:jc w:val="center"/>
              <w:rPr>
                <w:color w:val="auto"/>
                <w:kern w:val="0"/>
                <w:sz w:val="21"/>
                <w:szCs w:val="21"/>
              </w:rPr>
            </w:pPr>
            <w:r>
              <w:rPr>
                <w:color w:val="auto"/>
                <w:kern w:val="0"/>
                <w:sz w:val="21"/>
                <w:szCs w:val="21"/>
              </w:rPr>
              <w:t>0.390</w:t>
            </w:r>
          </w:p>
        </w:tc>
        <w:tc>
          <w:tcPr>
            <w:tcW w:w="476" w:type="pct"/>
            <w:vAlign w:val="center"/>
          </w:tcPr>
          <w:p w14:paraId="5CEED9FF">
            <w:pPr>
              <w:widowControl/>
              <w:spacing w:line="240" w:lineRule="auto"/>
              <w:ind w:firstLine="0" w:firstLineChars="0"/>
              <w:jc w:val="center"/>
              <w:rPr>
                <w:color w:val="auto"/>
                <w:kern w:val="0"/>
                <w:sz w:val="21"/>
                <w:szCs w:val="21"/>
              </w:rPr>
            </w:pPr>
            <w:r>
              <w:rPr>
                <w:color w:val="auto"/>
                <w:kern w:val="0"/>
                <w:sz w:val="21"/>
                <w:szCs w:val="21"/>
              </w:rPr>
              <w:t>0.465</w:t>
            </w:r>
          </w:p>
        </w:tc>
        <w:tc>
          <w:tcPr>
            <w:tcW w:w="438" w:type="pct"/>
            <w:vAlign w:val="center"/>
          </w:tcPr>
          <w:p w14:paraId="1B4628CD">
            <w:pPr>
              <w:widowControl/>
              <w:spacing w:line="240" w:lineRule="auto"/>
              <w:ind w:firstLine="0" w:firstLineChars="0"/>
              <w:jc w:val="center"/>
              <w:rPr>
                <w:color w:val="auto"/>
                <w:kern w:val="0"/>
                <w:sz w:val="21"/>
                <w:szCs w:val="21"/>
              </w:rPr>
            </w:pPr>
            <w:r>
              <w:rPr>
                <w:color w:val="auto"/>
                <w:kern w:val="0"/>
                <w:sz w:val="21"/>
                <w:szCs w:val="21"/>
              </w:rPr>
              <w:t>0.480</w:t>
            </w:r>
          </w:p>
        </w:tc>
        <w:tc>
          <w:tcPr>
            <w:tcW w:w="522" w:type="pct"/>
            <w:vAlign w:val="center"/>
          </w:tcPr>
          <w:p w14:paraId="0C8A642B">
            <w:pPr>
              <w:widowControl/>
              <w:spacing w:line="240" w:lineRule="auto"/>
              <w:ind w:firstLine="0" w:firstLineChars="0"/>
              <w:jc w:val="center"/>
              <w:rPr>
                <w:color w:val="auto"/>
                <w:kern w:val="0"/>
                <w:sz w:val="21"/>
                <w:szCs w:val="21"/>
              </w:rPr>
            </w:pPr>
            <w:r>
              <w:rPr>
                <w:color w:val="auto"/>
                <w:kern w:val="0"/>
                <w:sz w:val="21"/>
                <w:szCs w:val="21"/>
              </w:rPr>
              <w:t>mg/L</w:t>
            </w:r>
          </w:p>
        </w:tc>
      </w:tr>
      <w:tr w14:paraId="33BE2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95" w:type="pct"/>
            <w:vAlign w:val="center"/>
          </w:tcPr>
          <w:p w14:paraId="50313CAC">
            <w:pPr>
              <w:widowControl/>
              <w:spacing w:line="240" w:lineRule="auto"/>
              <w:ind w:firstLine="0" w:firstLineChars="0"/>
              <w:jc w:val="center"/>
              <w:rPr>
                <w:color w:val="auto"/>
                <w:kern w:val="0"/>
                <w:sz w:val="21"/>
                <w:szCs w:val="21"/>
              </w:rPr>
            </w:pPr>
            <w:r>
              <w:rPr>
                <w:color w:val="auto"/>
                <w:kern w:val="0"/>
                <w:sz w:val="21"/>
                <w:szCs w:val="21"/>
              </w:rPr>
              <w:t>石油类</w:t>
            </w:r>
          </w:p>
        </w:tc>
        <w:tc>
          <w:tcPr>
            <w:tcW w:w="411" w:type="pct"/>
            <w:vAlign w:val="center"/>
          </w:tcPr>
          <w:p w14:paraId="1D4EEFE0">
            <w:pPr>
              <w:widowControl/>
              <w:spacing w:line="240" w:lineRule="auto"/>
              <w:ind w:firstLine="0" w:firstLineChars="0"/>
              <w:jc w:val="center"/>
              <w:rPr>
                <w:color w:val="auto"/>
                <w:kern w:val="0"/>
                <w:sz w:val="21"/>
                <w:szCs w:val="21"/>
              </w:rPr>
            </w:pPr>
            <w:r>
              <w:rPr>
                <w:color w:val="auto"/>
                <w:kern w:val="0"/>
                <w:sz w:val="21"/>
                <w:szCs w:val="21"/>
              </w:rPr>
              <w:t>0.02</w:t>
            </w:r>
          </w:p>
        </w:tc>
        <w:tc>
          <w:tcPr>
            <w:tcW w:w="438" w:type="pct"/>
            <w:vAlign w:val="center"/>
          </w:tcPr>
          <w:p w14:paraId="502FC056">
            <w:pPr>
              <w:widowControl/>
              <w:spacing w:line="240" w:lineRule="auto"/>
              <w:ind w:firstLine="0" w:firstLineChars="0"/>
              <w:jc w:val="center"/>
              <w:rPr>
                <w:color w:val="auto"/>
                <w:kern w:val="0"/>
                <w:sz w:val="21"/>
                <w:szCs w:val="21"/>
              </w:rPr>
            </w:pPr>
            <w:r>
              <w:rPr>
                <w:color w:val="auto"/>
                <w:kern w:val="0"/>
                <w:sz w:val="21"/>
                <w:szCs w:val="21"/>
              </w:rPr>
              <w:t>0.02</w:t>
            </w:r>
          </w:p>
        </w:tc>
        <w:tc>
          <w:tcPr>
            <w:tcW w:w="471" w:type="pct"/>
            <w:vAlign w:val="center"/>
          </w:tcPr>
          <w:p w14:paraId="11CEF4ED">
            <w:pPr>
              <w:widowControl/>
              <w:spacing w:line="240" w:lineRule="auto"/>
              <w:ind w:firstLine="0" w:firstLineChars="0"/>
              <w:jc w:val="center"/>
              <w:rPr>
                <w:color w:val="auto"/>
                <w:kern w:val="0"/>
                <w:sz w:val="21"/>
                <w:szCs w:val="21"/>
              </w:rPr>
            </w:pPr>
            <w:r>
              <w:rPr>
                <w:color w:val="auto"/>
                <w:kern w:val="0"/>
                <w:sz w:val="21"/>
                <w:szCs w:val="21"/>
              </w:rPr>
              <w:t>0.02</w:t>
            </w:r>
          </w:p>
        </w:tc>
        <w:tc>
          <w:tcPr>
            <w:tcW w:w="439" w:type="pct"/>
            <w:vAlign w:val="center"/>
          </w:tcPr>
          <w:p w14:paraId="56C9CEDD">
            <w:pPr>
              <w:widowControl/>
              <w:spacing w:line="240" w:lineRule="auto"/>
              <w:ind w:firstLine="0" w:firstLineChars="0"/>
              <w:jc w:val="center"/>
              <w:rPr>
                <w:color w:val="auto"/>
                <w:kern w:val="0"/>
                <w:sz w:val="21"/>
                <w:szCs w:val="21"/>
              </w:rPr>
            </w:pPr>
            <w:r>
              <w:rPr>
                <w:color w:val="auto"/>
                <w:kern w:val="0"/>
                <w:sz w:val="21"/>
                <w:szCs w:val="21"/>
              </w:rPr>
              <w:t>0.03</w:t>
            </w:r>
          </w:p>
        </w:tc>
        <w:tc>
          <w:tcPr>
            <w:tcW w:w="414" w:type="pct"/>
            <w:vAlign w:val="center"/>
          </w:tcPr>
          <w:p w14:paraId="30D5A3EC">
            <w:pPr>
              <w:widowControl/>
              <w:spacing w:line="240" w:lineRule="auto"/>
              <w:ind w:firstLine="0" w:firstLineChars="0"/>
              <w:jc w:val="center"/>
              <w:rPr>
                <w:color w:val="auto"/>
                <w:kern w:val="0"/>
                <w:sz w:val="21"/>
                <w:szCs w:val="21"/>
              </w:rPr>
            </w:pPr>
            <w:r>
              <w:rPr>
                <w:color w:val="auto"/>
                <w:kern w:val="0"/>
                <w:sz w:val="21"/>
                <w:szCs w:val="21"/>
              </w:rPr>
              <w:t>0.02</w:t>
            </w:r>
          </w:p>
        </w:tc>
        <w:tc>
          <w:tcPr>
            <w:tcW w:w="496" w:type="pct"/>
            <w:vAlign w:val="center"/>
          </w:tcPr>
          <w:p w14:paraId="654CF9E2">
            <w:pPr>
              <w:widowControl/>
              <w:spacing w:line="240" w:lineRule="auto"/>
              <w:ind w:firstLine="0" w:firstLineChars="0"/>
              <w:jc w:val="center"/>
              <w:rPr>
                <w:color w:val="auto"/>
                <w:kern w:val="0"/>
                <w:sz w:val="21"/>
                <w:szCs w:val="21"/>
              </w:rPr>
            </w:pPr>
            <w:r>
              <w:rPr>
                <w:color w:val="auto"/>
                <w:kern w:val="0"/>
                <w:sz w:val="21"/>
                <w:szCs w:val="21"/>
              </w:rPr>
              <w:t>0.01</w:t>
            </w:r>
          </w:p>
        </w:tc>
        <w:tc>
          <w:tcPr>
            <w:tcW w:w="476" w:type="pct"/>
            <w:vAlign w:val="center"/>
          </w:tcPr>
          <w:p w14:paraId="18B2C26C">
            <w:pPr>
              <w:widowControl/>
              <w:spacing w:line="240" w:lineRule="auto"/>
              <w:ind w:firstLine="0" w:firstLineChars="0"/>
              <w:jc w:val="center"/>
              <w:rPr>
                <w:color w:val="auto"/>
                <w:kern w:val="0"/>
                <w:sz w:val="21"/>
                <w:szCs w:val="21"/>
              </w:rPr>
            </w:pPr>
            <w:r>
              <w:rPr>
                <w:color w:val="auto"/>
                <w:kern w:val="0"/>
                <w:sz w:val="21"/>
                <w:szCs w:val="21"/>
              </w:rPr>
              <w:t>0.02</w:t>
            </w:r>
          </w:p>
        </w:tc>
        <w:tc>
          <w:tcPr>
            <w:tcW w:w="438" w:type="pct"/>
            <w:vAlign w:val="center"/>
          </w:tcPr>
          <w:p w14:paraId="1F575354">
            <w:pPr>
              <w:widowControl/>
              <w:spacing w:line="240" w:lineRule="auto"/>
              <w:ind w:firstLine="0" w:firstLineChars="0"/>
              <w:jc w:val="center"/>
              <w:rPr>
                <w:color w:val="auto"/>
                <w:kern w:val="0"/>
                <w:sz w:val="21"/>
                <w:szCs w:val="21"/>
              </w:rPr>
            </w:pPr>
            <w:r>
              <w:rPr>
                <w:color w:val="auto"/>
                <w:kern w:val="0"/>
                <w:sz w:val="21"/>
                <w:szCs w:val="21"/>
              </w:rPr>
              <w:t>0.03</w:t>
            </w:r>
          </w:p>
        </w:tc>
        <w:tc>
          <w:tcPr>
            <w:tcW w:w="522" w:type="pct"/>
            <w:vAlign w:val="center"/>
          </w:tcPr>
          <w:p w14:paraId="5E690B56">
            <w:pPr>
              <w:widowControl/>
              <w:spacing w:line="240" w:lineRule="auto"/>
              <w:ind w:firstLine="0" w:firstLineChars="0"/>
              <w:jc w:val="center"/>
              <w:rPr>
                <w:color w:val="auto"/>
                <w:kern w:val="0"/>
                <w:sz w:val="21"/>
                <w:szCs w:val="21"/>
              </w:rPr>
            </w:pPr>
            <w:r>
              <w:rPr>
                <w:color w:val="auto"/>
                <w:kern w:val="0"/>
                <w:sz w:val="21"/>
                <w:szCs w:val="21"/>
              </w:rPr>
              <w:t>mg/L</w:t>
            </w:r>
          </w:p>
        </w:tc>
      </w:tr>
      <w:tr w14:paraId="5CFF2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5" w:type="pct"/>
            <w:vAlign w:val="center"/>
          </w:tcPr>
          <w:p w14:paraId="728E4189">
            <w:pPr>
              <w:widowControl/>
              <w:spacing w:line="240" w:lineRule="auto"/>
              <w:ind w:firstLine="0" w:firstLineChars="0"/>
              <w:jc w:val="center"/>
              <w:rPr>
                <w:color w:val="auto"/>
                <w:kern w:val="0"/>
                <w:sz w:val="21"/>
                <w:szCs w:val="21"/>
              </w:rPr>
            </w:pPr>
            <w:r>
              <w:rPr>
                <w:color w:val="auto"/>
                <w:kern w:val="0"/>
                <w:sz w:val="21"/>
                <w:szCs w:val="21"/>
              </w:rPr>
              <w:t>硫化物</w:t>
            </w:r>
          </w:p>
        </w:tc>
        <w:tc>
          <w:tcPr>
            <w:tcW w:w="411" w:type="pct"/>
            <w:vAlign w:val="center"/>
          </w:tcPr>
          <w:p w14:paraId="1265CF03">
            <w:pPr>
              <w:widowControl/>
              <w:spacing w:line="240" w:lineRule="auto"/>
              <w:ind w:firstLine="0" w:firstLineChars="0"/>
              <w:jc w:val="center"/>
              <w:rPr>
                <w:color w:val="auto"/>
                <w:kern w:val="0"/>
                <w:sz w:val="21"/>
                <w:szCs w:val="21"/>
              </w:rPr>
            </w:pPr>
            <w:r>
              <w:rPr>
                <w:color w:val="auto"/>
                <w:kern w:val="0"/>
                <w:sz w:val="21"/>
                <w:szCs w:val="21"/>
              </w:rPr>
              <w:t>ND</w:t>
            </w:r>
          </w:p>
        </w:tc>
        <w:tc>
          <w:tcPr>
            <w:tcW w:w="438" w:type="pct"/>
            <w:vAlign w:val="center"/>
          </w:tcPr>
          <w:p w14:paraId="22E0ACAD">
            <w:pPr>
              <w:widowControl/>
              <w:spacing w:line="240" w:lineRule="auto"/>
              <w:ind w:firstLine="0" w:firstLineChars="0"/>
              <w:jc w:val="center"/>
              <w:rPr>
                <w:color w:val="auto"/>
                <w:kern w:val="0"/>
                <w:sz w:val="21"/>
                <w:szCs w:val="21"/>
              </w:rPr>
            </w:pPr>
            <w:r>
              <w:rPr>
                <w:color w:val="auto"/>
                <w:kern w:val="0"/>
                <w:sz w:val="21"/>
                <w:szCs w:val="21"/>
              </w:rPr>
              <w:t>ND</w:t>
            </w:r>
          </w:p>
        </w:tc>
        <w:tc>
          <w:tcPr>
            <w:tcW w:w="471" w:type="pct"/>
            <w:vAlign w:val="center"/>
          </w:tcPr>
          <w:p w14:paraId="04677729">
            <w:pPr>
              <w:widowControl/>
              <w:spacing w:line="240" w:lineRule="auto"/>
              <w:ind w:firstLine="0" w:firstLineChars="0"/>
              <w:jc w:val="center"/>
              <w:rPr>
                <w:color w:val="auto"/>
                <w:kern w:val="0"/>
                <w:sz w:val="21"/>
                <w:szCs w:val="21"/>
              </w:rPr>
            </w:pPr>
            <w:r>
              <w:rPr>
                <w:color w:val="auto"/>
                <w:kern w:val="0"/>
                <w:sz w:val="21"/>
                <w:szCs w:val="21"/>
              </w:rPr>
              <w:t>ND</w:t>
            </w:r>
          </w:p>
        </w:tc>
        <w:tc>
          <w:tcPr>
            <w:tcW w:w="439" w:type="pct"/>
            <w:vAlign w:val="center"/>
          </w:tcPr>
          <w:p w14:paraId="79089AE1">
            <w:pPr>
              <w:widowControl/>
              <w:spacing w:line="240" w:lineRule="auto"/>
              <w:ind w:firstLine="0" w:firstLineChars="0"/>
              <w:jc w:val="center"/>
              <w:rPr>
                <w:color w:val="auto"/>
                <w:kern w:val="0"/>
                <w:sz w:val="21"/>
                <w:szCs w:val="21"/>
              </w:rPr>
            </w:pPr>
            <w:r>
              <w:rPr>
                <w:color w:val="auto"/>
                <w:kern w:val="0"/>
                <w:sz w:val="21"/>
                <w:szCs w:val="21"/>
              </w:rPr>
              <w:t>ND</w:t>
            </w:r>
          </w:p>
        </w:tc>
        <w:tc>
          <w:tcPr>
            <w:tcW w:w="414" w:type="pct"/>
            <w:vAlign w:val="center"/>
          </w:tcPr>
          <w:p w14:paraId="296D506A">
            <w:pPr>
              <w:widowControl/>
              <w:spacing w:line="240" w:lineRule="auto"/>
              <w:ind w:firstLine="0" w:firstLineChars="0"/>
              <w:jc w:val="center"/>
              <w:rPr>
                <w:color w:val="auto"/>
                <w:kern w:val="0"/>
                <w:sz w:val="21"/>
                <w:szCs w:val="21"/>
              </w:rPr>
            </w:pPr>
            <w:r>
              <w:rPr>
                <w:color w:val="auto"/>
                <w:kern w:val="0"/>
                <w:sz w:val="21"/>
                <w:szCs w:val="21"/>
              </w:rPr>
              <w:t>ND</w:t>
            </w:r>
          </w:p>
        </w:tc>
        <w:tc>
          <w:tcPr>
            <w:tcW w:w="496" w:type="pct"/>
            <w:vAlign w:val="center"/>
          </w:tcPr>
          <w:p w14:paraId="67D47161">
            <w:pPr>
              <w:widowControl/>
              <w:spacing w:line="240" w:lineRule="auto"/>
              <w:ind w:firstLine="0" w:firstLineChars="0"/>
              <w:jc w:val="center"/>
              <w:rPr>
                <w:color w:val="auto"/>
                <w:kern w:val="0"/>
                <w:sz w:val="21"/>
                <w:szCs w:val="21"/>
              </w:rPr>
            </w:pPr>
            <w:r>
              <w:rPr>
                <w:color w:val="auto"/>
                <w:kern w:val="0"/>
                <w:sz w:val="21"/>
                <w:szCs w:val="21"/>
              </w:rPr>
              <w:t>ND</w:t>
            </w:r>
          </w:p>
        </w:tc>
        <w:tc>
          <w:tcPr>
            <w:tcW w:w="476" w:type="pct"/>
            <w:vAlign w:val="center"/>
          </w:tcPr>
          <w:p w14:paraId="4ADA8B4C">
            <w:pPr>
              <w:widowControl/>
              <w:spacing w:line="240" w:lineRule="auto"/>
              <w:ind w:firstLine="0" w:firstLineChars="0"/>
              <w:jc w:val="center"/>
              <w:rPr>
                <w:color w:val="auto"/>
                <w:kern w:val="0"/>
                <w:sz w:val="21"/>
                <w:szCs w:val="21"/>
              </w:rPr>
            </w:pPr>
            <w:r>
              <w:rPr>
                <w:color w:val="auto"/>
                <w:kern w:val="0"/>
                <w:sz w:val="21"/>
                <w:szCs w:val="21"/>
              </w:rPr>
              <w:t>ND</w:t>
            </w:r>
          </w:p>
        </w:tc>
        <w:tc>
          <w:tcPr>
            <w:tcW w:w="438" w:type="pct"/>
            <w:vAlign w:val="center"/>
          </w:tcPr>
          <w:p w14:paraId="182C4481">
            <w:pPr>
              <w:widowControl/>
              <w:spacing w:line="240" w:lineRule="auto"/>
              <w:ind w:firstLine="0" w:firstLineChars="0"/>
              <w:jc w:val="center"/>
              <w:rPr>
                <w:color w:val="auto"/>
                <w:kern w:val="0"/>
                <w:sz w:val="21"/>
                <w:szCs w:val="21"/>
              </w:rPr>
            </w:pPr>
            <w:r>
              <w:rPr>
                <w:color w:val="auto"/>
                <w:kern w:val="0"/>
                <w:sz w:val="21"/>
                <w:szCs w:val="21"/>
              </w:rPr>
              <w:t>ND</w:t>
            </w:r>
          </w:p>
        </w:tc>
        <w:tc>
          <w:tcPr>
            <w:tcW w:w="522" w:type="pct"/>
            <w:vAlign w:val="center"/>
          </w:tcPr>
          <w:p w14:paraId="31C7B75F">
            <w:pPr>
              <w:widowControl/>
              <w:spacing w:line="240" w:lineRule="auto"/>
              <w:ind w:firstLine="0" w:firstLineChars="0"/>
              <w:jc w:val="center"/>
              <w:rPr>
                <w:color w:val="auto"/>
                <w:kern w:val="0"/>
                <w:sz w:val="21"/>
                <w:szCs w:val="21"/>
              </w:rPr>
            </w:pPr>
            <w:r>
              <w:rPr>
                <w:color w:val="auto"/>
                <w:kern w:val="0"/>
                <w:sz w:val="21"/>
                <w:szCs w:val="21"/>
              </w:rPr>
              <w:t>mg/L</w:t>
            </w:r>
          </w:p>
        </w:tc>
      </w:tr>
    </w:tbl>
    <w:p w14:paraId="649C8E74">
      <w:pPr>
        <w:pStyle w:val="4"/>
        <w:rPr>
          <w:color w:val="auto"/>
        </w:rPr>
      </w:pPr>
      <w:bookmarkStart w:id="191" w:name="_Toc23999"/>
      <w:r>
        <w:rPr>
          <w:rFonts w:hint="eastAsia"/>
          <w:color w:val="auto"/>
        </w:rPr>
        <w:t>5.2.6土壤环境质量现状调查与评价</w:t>
      </w:r>
      <w:bookmarkEnd w:id="191"/>
    </w:p>
    <w:p w14:paraId="6131BCB2">
      <w:pPr>
        <w:pStyle w:val="5"/>
        <w:spacing w:before="156"/>
        <w:rPr>
          <w:color w:val="auto"/>
        </w:rPr>
      </w:pPr>
      <w:r>
        <w:rPr>
          <w:rFonts w:hint="eastAsia"/>
          <w:color w:val="auto"/>
        </w:rPr>
        <w:t>5.2.6.1土壤环境质量现状监测</w:t>
      </w:r>
    </w:p>
    <w:p w14:paraId="5FF9A592">
      <w:pPr>
        <w:ind w:firstLine="480"/>
        <w:rPr>
          <w:color w:val="auto"/>
        </w:rPr>
      </w:pPr>
      <w:r>
        <w:rPr>
          <w:rFonts w:hint="eastAsia"/>
          <w:color w:val="auto"/>
        </w:rPr>
        <w:t>（1）</w:t>
      </w:r>
      <w:r>
        <w:rPr>
          <w:color w:val="auto"/>
        </w:rPr>
        <w:t>监测布点及监测因子</w:t>
      </w:r>
    </w:p>
    <w:p w14:paraId="384A25E3">
      <w:pPr>
        <w:ind w:firstLine="480"/>
        <w:rPr>
          <w:rFonts w:hint="eastAsia"/>
          <w:bCs/>
          <w:color w:val="auto"/>
        </w:rPr>
      </w:pPr>
      <w:r>
        <w:rPr>
          <w:bCs/>
          <w:color w:val="auto"/>
        </w:rPr>
        <w:t>根据《环境影响评价技术导则土壤环境》(HJ964-2018)要求，本次土壤评价等级为一级，具体监测情况见</w:t>
      </w:r>
      <w:r>
        <w:rPr>
          <w:rFonts w:hint="eastAsia"/>
          <w:bCs/>
          <w:color w:val="auto"/>
        </w:rPr>
        <w:t>下表。T1-T7点位见</w:t>
      </w:r>
      <w:r>
        <w:rPr>
          <w:bCs/>
          <w:color w:val="auto"/>
        </w:rPr>
        <w:t>图4.1.3-1</w:t>
      </w:r>
      <w:r>
        <w:rPr>
          <w:rFonts w:hint="eastAsia"/>
          <w:bCs/>
          <w:color w:val="auto"/>
        </w:rPr>
        <w:t>，T8-T11见图5.2.4-1。</w:t>
      </w:r>
    </w:p>
    <w:p w14:paraId="05487EFB">
      <w:pPr>
        <w:ind w:firstLine="482"/>
        <w:jc w:val="center"/>
        <w:rPr>
          <w:b/>
          <w:color w:val="auto"/>
        </w:rPr>
      </w:pPr>
      <w:r>
        <w:rPr>
          <w:rFonts w:hint="eastAsia"/>
          <w:b/>
          <w:color w:val="auto"/>
        </w:rPr>
        <w:t>表5.2.6-1 土壤现状监测点位布设表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642"/>
        <w:gridCol w:w="1892"/>
        <w:gridCol w:w="1238"/>
        <w:gridCol w:w="1697"/>
        <w:gridCol w:w="2318"/>
        <w:gridCol w:w="1541"/>
      </w:tblGrid>
      <w:tr w14:paraId="5451E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67" w:type="pct"/>
            <w:tcBorders>
              <w:tl2br w:val="nil"/>
              <w:tr2bl w:val="nil"/>
            </w:tcBorders>
            <w:vAlign w:val="center"/>
          </w:tcPr>
          <w:p w14:paraId="08FA642C">
            <w:pPr>
              <w:spacing w:line="240" w:lineRule="auto"/>
              <w:ind w:firstLine="0" w:firstLineChars="0"/>
              <w:jc w:val="center"/>
              <w:rPr>
                <w:b/>
                <w:bCs/>
                <w:color w:val="auto"/>
                <w:sz w:val="21"/>
                <w:szCs w:val="21"/>
              </w:rPr>
            </w:pPr>
            <w:r>
              <w:rPr>
                <w:b/>
                <w:bCs/>
                <w:color w:val="auto"/>
                <w:sz w:val="21"/>
                <w:szCs w:val="21"/>
              </w:rPr>
              <w:t>位置</w:t>
            </w:r>
          </w:p>
        </w:tc>
        <w:tc>
          <w:tcPr>
            <w:tcW w:w="326" w:type="pct"/>
            <w:tcBorders>
              <w:tl2br w:val="nil"/>
              <w:tr2bl w:val="nil"/>
            </w:tcBorders>
            <w:vAlign w:val="center"/>
          </w:tcPr>
          <w:p w14:paraId="194311E2">
            <w:pPr>
              <w:spacing w:line="240" w:lineRule="auto"/>
              <w:ind w:firstLine="0" w:firstLineChars="0"/>
              <w:jc w:val="center"/>
              <w:rPr>
                <w:b/>
                <w:bCs/>
                <w:color w:val="auto"/>
                <w:sz w:val="21"/>
                <w:szCs w:val="21"/>
              </w:rPr>
            </w:pPr>
            <w:r>
              <w:rPr>
                <w:b/>
                <w:bCs/>
                <w:color w:val="auto"/>
                <w:sz w:val="21"/>
                <w:szCs w:val="21"/>
              </w:rPr>
              <w:t>编号</w:t>
            </w:r>
          </w:p>
        </w:tc>
        <w:tc>
          <w:tcPr>
            <w:tcW w:w="960" w:type="pct"/>
            <w:tcBorders>
              <w:tl2br w:val="nil"/>
              <w:tr2bl w:val="nil"/>
            </w:tcBorders>
            <w:vAlign w:val="center"/>
          </w:tcPr>
          <w:p w14:paraId="2F1F9092">
            <w:pPr>
              <w:spacing w:line="240" w:lineRule="auto"/>
              <w:ind w:firstLine="0" w:firstLineChars="0"/>
              <w:jc w:val="center"/>
              <w:rPr>
                <w:b/>
                <w:bCs/>
                <w:color w:val="auto"/>
                <w:sz w:val="21"/>
                <w:szCs w:val="21"/>
              </w:rPr>
            </w:pPr>
            <w:r>
              <w:rPr>
                <w:b/>
                <w:bCs/>
                <w:color w:val="auto"/>
                <w:sz w:val="21"/>
                <w:szCs w:val="21"/>
              </w:rPr>
              <w:t>测点位置</w:t>
            </w:r>
          </w:p>
        </w:tc>
        <w:tc>
          <w:tcPr>
            <w:tcW w:w="628" w:type="pct"/>
            <w:tcBorders>
              <w:tl2br w:val="nil"/>
              <w:tr2bl w:val="nil"/>
            </w:tcBorders>
            <w:vAlign w:val="center"/>
          </w:tcPr>
          <w:p w14:paraId="56FB887E">
            <w:pPr>
              <w:spacing w:line="240" w:lineRule="auto"/>
              <w:ind w:firstLine="0" w:firstLineChars="0"/>
              <w:jc w:val="center"/>
              <w:rPr>
                <w:b/>
                <w:bCs/>
                <w:color w:val="auto"/>
                <w:sz w:val="21"/>
                <w:szCs w:val="21"/>
              </w:rPr>
            </w:pPr>
            <w:r>
              <w:rPr>
                <w:b/>
                <w:bCs/>
                <w:color w:val="auto"/>
                <w:sz w:val="21"/>
                <w:szCs w:val="21"/>
              </w:rPr>
              <w:t>采样类型</w:t>
            </w:r>
          </w:p>
        </w:tc>
        <w:tc>
          <w:tcPr>
            <w:tcW w:w="861" w:type="pct"/>
            <w:tcBorders>
              <w:tl2br w:val="nil"/>
              <w:tr2bl w:val="nil"/>
            </w:tcBorders>
            <w:vAlign w:val="center"/>
          </w:tcPr>
          <w:p w14:paraId="1D1F051C">
            <w:pPr>
              <w:spacing w:line="240" w:lineRule="auto"/>
              <w:ind w:firstLine="0" w:firstLineChars="0"/>
              <w:jc w:val="center"/>
              <w:rPr>
                <w:b/>
                <w:bCs/>
                <w:color w:val="auto"/>
                <w:sz w:val="21"/>
                <w:szCs w:val="21"/>
              </w:rPr>
            </w:pPr>
            <w:r>
              <w:rPr>
                <w:b/>
                <w:bCs/>
                <w:color w:val="auto"/>
                <w:sz w:val="21"/>
                <w:szCs w:val="21"/>
              </w:rPr>
              <w:t>深度要求</w:t>
            </w:r>
          </w:p>
        </w:tc>
        <w:tc>
          <w:tcPr>
            <w:tcW w:w="1176" w:type="pct"/>
            <w:tcBorders>
              <w:tl2br w:val="nil"/>
              <w:tr2bl w:val="nil"/>
            </w:tcBorders>
            <w:vAlign w:val="center"/>
          </w:tcPr>
          <w:p w14:paraId="59631068">
            <w:pPr>
              <w:spacing w:line="240" w:lineRule="auto"/>
              <w:ind w:firstLine="0" w:firstLineChars="0"/>
              <w:jc w:val="center"/>
              <w:rPr>
                <w:b/>
                <w:bCs/>
                <w:color w:val="auto"/>
                <w:sz w:val="21"/>
                <w:szCs w:val="21"/>
              </w:rPr>
            </w:pPr>
            <w:r>
              <w:rPr>
                <w:b/>
                <w:bCs/>
                <w:color w:val="auto"/>
                <w:sz w:val="21"/>
                <w:szCs w:val="21"/>
              </w:rPr>
              <w:t>监测因子</w:t>
            </w:r>
          </w:p>
        </w:tc>
        <w:tc>
          <w:tcPr>
            <w:tcW w:w="782" w:type="pct"/>
            <w:tcBorders>
              <w:tl2br w:val="nil"/>
              <w:tr2bl w:val="nil"/>
            </w:tcBorders>
            <w:vAlign w:val="center"/>
          </w:tcPr>
          <w:p w14:paraId="5FDC0756">
            <w:pPr>
              <w:spacing w:line="240" w:lineRule="auto"/>
              <w:ind w:firstLine="0" w:firstLineChars="0"/>
              <w:jc w:val="center"/>
              <w:rPr>
                <w:b/>
                <w:bCs/>
                <w:color w:val="auto"/>
                <w:sz w:val="21"/>
                <w:szCs w:val="21"/>
              </w:rPr>
            </w:pPr>
            <w:r>
              <w:rPr>
                <w:b/>
                <w:bCs/>
                <w:color w:val="auto"/>
                <w:sz w:val="21"/>
                <w:szCs w:val="21"/>
              </w:rPr>
              <w:t>备注</w:t>
            </w:r>
          </w:p>
        </w:tc>
      </w:tr>
      <w:tr w14:paraId="043AF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Merge w:val="restart"/>
            <w:tcBorders>
              <w:tl2br w:val="nil"/>
              <w:tr2bl w:val="nil"/>
            </w:tcBorders>
            <w:vAlign w:val="center"/>
          </w:tcPr>
          <w:p w14:paraId="45336231">
            <w:pPr>
              <w:spacing w:line="240" w:lineRule="auto"/>
              <w:ind w:firstLine="0" w:firstLineChars="0"/>
              <w:jc w:val="center"/>
              <w:rPr>
                <w:color w:val="auto"/>
                <w:sz w:val="21"/>
                <w:szCs w:val="21"/>
              </w:rPr>
            </w:pPr>
            <w:r>
              <w:rPr>
                <w:color w:val="auto"/>
                <w:sz w:val="21"/>
                <w:szCs w:val="21"/>
              </w:rPr>
              <w:t>占地范围内</w:t>
            </w:r>
          </w:p>
        </w:tc>
        <w:tc>
          <w:tcPr>
            <w:tcW w:w="326" w:type="pct"/>
            <w:tcBorders>
              <w:tl2br w:val="nil"/>
              <w:tr2bl w:val="nil"/>
            </w:tcBorders>
            <w:vAlign w:val="center"/>
          </w:tcPr>
          <w:p w14:paraId="125CA087">
            <w:pPr>
              <w:spacing w:line="240" w:lineRule="auto"/>
              <w:ind w:firstLine="0" w:firstLineChars="0"/>
              <w:jc w:val="center"/>
              <w:rPr>
                <w:color w:val="auto"/>
                <w:sz w:val="21"/>
                <w:szCs w:val="21"/>
              </w:rPr>
            </w:pPr>
            <w:r>
              <w:rPr>
                <w:color w:val="auto"/>
                <w:sz w:val="21"/>
                <w:szCs w:val="21"/>
              </w:rPr>
              <w:t>T1</w:t>
            </w:r>
          </w:p>
        </w:tc>
        <w:tc>
          <w:tcPr>
            <w:tcW w:w="960" w:type="pct"/>
            <w:tcBorders>
              <w:tl2br w:val="nil"/>
              <w:tr2bl w:val="nil"/>
            </w:tcBorders>
            <w:vAlign w:val="center"/>
          </w:tcPr>
          <w:p w14:paraId="489C62A4">
            <w:pPr>
              <w:spacing w:line="240" w:lineRule="auto"/>
              <w:ind w:firstLine="0" w:firstLineChars="0"/>
              <w:jc w:val="center"/>
              <w:rPr>
                <w:color w:val="auto"/>
                <w:sz w:val="21"/>
                <w:szCs w:val="21"/>
              </w:rPr>
            </w:pPr>
            <w:r>
              <w:rPr>
                <w:color w:val="auto"/>
                <w:sz w:val="21"/>
                <w:szCs w:val="21"/>
              </w:rPr>
              <w:t>厂内1#车间</w:t>
            </w:r>
          </w:p>
        </w:tc>
        <w:tc>
          <w:tcPr>
            <w:tcW w:w="628" w:type="pct"/>
            <w:tcBorders>
              <w:tl2br w:val="nil"/>
              <w:tr2bl w:val="nil"/>
            </w:tcBorders>
            <w:vAlign w:val="center"/>
          </w:tcPr>
          <w:p w14:paraId="6BD17BB5">
            <w:pPr>
              <w:spacing w:line="240" w:lineRule="auto"/>
              <w:ind w:firstLine="0" w:firstLineChars="0"/>
              <w:jc w:val="center"/>
              <w:rPr>
                <w:color w:val="auto"/>
                <w:sz w:val="21"/>
                <w:szCs w:val="21"/>
              </w:rPr>
            </w:pPr>
            <w:r>
              <w:rPr>
                <w:color w:val="auto"/>
                <w:sz w:val="21"/>
                <w:szCs w:val="21"/>
              </w:rPr>
              <w:t>柱状样</w:t>
            </w:r>
          </w:p>
        </w:tc>
        <w:tc>
          <w:tcPr>
            <w:tcW w:w="861" w:type="pct"/>
            <w:vMerge w:val="restart"/>
            <w:tcBorders>
              <w:tl2br w:val="nil"/>
              <w:tr2bl w:val="nil"/>
            </w:tcBorders>
            <w:vAlign w:val="center"/>
          </w:tcPr>
          <w:p w14:paraId="302C61D5">
            <w:pPr>
              <w:spacing w:line="240" w:lineRule="auto"/>
              <w:ind w:firstLine="0" w:firstLineChars="0"/>
              <w:jc w:val="center"/>
              <w:rPr>
                <w:color w:val="auto"/>
                <w:sz w:val="21"/>
                <w:szCs w:val="21"/>
              </w:rPr>
            </w:pPr>
            <w:r>
              <w:rPr>
                <w:color w:val="auto"/>
                <w:sz w:val="21"/>
                <w:szCs w:val="21"/>
              </w:rPr>
              <w:t>0~0.5m、0.5~1.5m、1.5~3m分别取样，3m以下取1个样</w:t>
            </w:r>
          </w:p>
        </w:tc>
        <w:tc>
          <w:tcPr>
            <w:tcW w:w="1176" w:type="pct"/>
            <w:vMerge w:val="restart"/>
            <w:tcBorders>
              <w:tl2br w:val="nil"/>
              <w:tr2bl w:val="nil"/>
            </w:tcBorders>
            <w:vAlign w:val="center"/>
          </w:tcPr>
          <w:p w14:paraId="17A09755">
            <w:pPr>
              <w:spacing w:line="240" w:lineRule="auto"/>
              <w:ind w:firstLine="0" w:firstLineChars="0"/>
              <w:jc w:val="center"/>
              <w:rPr>
                <w:color w:val="auto"/>
                <w:sz w:val="21"/>
                <w:szCs w:val="21"/>
              </w:rPr>
            </w:pPr>
            <w:r>
              <w:rPr>
                <w:color w:val="auto"/>
                <w:sz w:val="21"/>
                <w:szCs w:val="21"/>
              </w:rPr>
              <w:t>《土壤环境质量 建设用地土壤污染风险管控标准(试行)》(GB36600-2018)表1的45项和表2的石油烃（C</w:t>
            </w:r>
            <w:r>
              <w:rPr>
                <w:color w:val="auto"/>
                <w:sz w:val="21"/>
                <w:szCs w:val="21"/>
                <w:vertAlign w:val="subscript"/>
              </w:rPr>
              <w:t>10</w:t>
            </w:r>
            <w:r>
              <w:rPr>
                <w:color w:val="auto"/>
                <w:sz w:val="21"/>
                <w:szCs w:val="21"/>
              </w:rPr>
              <w:t>-C</w:t>
            </w:r>
            <w:r>
              <w:rPr>
                <w:color w:val="auto"/>
                <w:sz w:val="21"/>
                <w:szCs w:val="21"/>
                <w:vertAlign w:val="subscript"/>
              </w:rPr>
              <w:t>40</w:t>
            </w:r>
            <w:r>
              <w:rPr>
                <w:color w:val="auto"/>
                <w:sz w:val="21"/>
                <w:szCs w:val="21"/>
              </w:rPr>
              <w:t>）</w:t>
            </w:r>
          </w:p>
        </w:tc>
        <w:tc>
          <w:tcPr>
            <w:tcW w:w="782" w:type="pct"/>
            <w:vMerge w:val="restart"/>
            <w:tcBorders>
              <w:tl2br w:val="nil"/>
              <w:tr2bl w:val="nil"/>
            </w:tcBorders>
            <w:vAlign w:val="center"/>
          </w:tcPr>
          <w:p w14:paraId="1CA084B8">
            <w:pPr>
              <w:spacing w:line="240" w:lineRule="auto"/>
              <w:ind w:firstLine="0" w:firstLineChars="0"/>
              <w:jc w:val="center"/>
              <w:rPr>
                <w:color w:val="auto"/>
                <w:sz w:val="21"/>
                <w:szCs w:val="21"/>
              </w:rPr>
            </w:pPr>
            <w:r>
              <w:rPr>
                <w:color w:val="auto"/>
                <w:sz w:val="21"/>
                <w:szCs w:val="21"/>
              </w:rPr>
              <w:t>/</w:t>
            </w:r>
          </w:p>
        </w:tc>
      </w:tr>
      <w:tr w14:paraId="1ACD7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77C06793">
            <w:pPr>
              <w:spacing w:line="240" w:lineRule="auto"/>
              <w:ind w:firstLine="0" w:firstLineChars="0"/>
              <w:jc w:val="center"/>
              <w:rPr>
                <w:color w:val="auto"/>
                <w:sz w:val="21"/>
                <w:szCs w:val="21"/>
              </w:rPr>
            </w:pPr>
          </w:p>
        </w:tc>
        <w:tc>
          <w:tcPr>
            <w:tcW w:w="326" w:type="pct"/>
            <w:tcBorders>
              <w:tl2br w:val="nil"/>
              <w:tr2bl w:val="nil"/>
            </w:tcBorders>
            <w:vAlign w:val="center"/>
          </w:tcPr>
          <w:p w14:paraId="0B358500">
            <w:pPr>
              <w:spacing w:line="240" w:lineRule="auto"/>
              <w:ind w:firstLine="0" w:firstLineChars="0"/>
              <w:jc w:val="center"/>
              <w:rPr>
                <w:color w:val="auto"/>
                <w:sz w:val="21"/>
                <w:szCs w:val="21"/>
              </w:rPr>
            </w:pPr>
            <w:r>
              <w:rPr>
                <w:color w:val="auto"/>
                <w:sz w:val="21"/>
                <w:szCs w:val="21"/>
              </w:rPr>
              <w:t>T2</w:t>
            </w:r>
          </w:p>
        </w:tc>
        <w:tc>
          <w:tcPr>
            <w:tcW w:w="960" w:type="pct"/>
            <w:tcBorders>
              <w:tl2br w:val="nil"/>
              <w:tr2bl w:val="nil"/>
            </w:tcBorders>
            <w:vAlign w:val="center"/>
          </w:tcPr>
          <w:p w14:paraId="4656D0B3">
            <w:pPr>
              <w:spacing w:line="240" w:lineRule="auto"/>
              <w:ind w:firstLine="0" w:firstLineChars="0"/>
              <w:jc w:val="center"/>
              <w:rPr>
                <w:color w:val="auto"/>
                <w:sz w:val="21"/>
                <w:szCs w:val="21"/>
              </w:rPr>
            </w:pPr>
            <w:r>
              <w:rPr>
                <w:color w:val="auto"/>
                <w:sz w:val="21"/>
                <w:szCs w:val="21"/>
              </w:rPr>
              <w:t>厂内2#车间</w:t>
            </w:r>
          </w:p>
        </w:tc>
        <w:tc>
          <w:tcPr>
            <w:tcW w:w="628" w:type="pct"/>
            <w:tcBorders>
              <w:tl2br w:val="nil"/>
              <w:tr2bl w:val="nil"/>
            </w:tcBorders>
            <w:vAlign w:val="center"/>
          </w:tcPr>
          <w:p w14:paraId="470E2BF6">
            <w:pPr>
              <w:spacing w:line="240" w:lineRule="auto"/>
              <w:ind w:firstLine="0" w:firstLineChars="0"/>
              <w:jc w:val="center"/>
              <w:rPr>
                <w:color w:val="auto"/>
                <w:sz w:val="21"/>
                <w:szCs w:val="21"/>
              </w:rPr>
            </w:pPr>
            <w:r>
              <w:rPr>
                <w:color w:val="auto"/>
                <w:sz w:val="21"/>
                <w:szCs w:val="21"/>
              </w:rPr>
              <w:t>柱状样</w:t>
            </w:r>
          </w:p>
        </w:tc>
        <w:tc>
          <w:tcPr>
            <w:tcW w:w="861" w:type="pct"/>
            <w:vMerge w:val="continue"/>
            <w:tcBorders>
              <w:tl2br w:val="nil"/>
              <w:tr2bl w:val="nil"/>
            </w:tcBorders>
            <w:vAlign w:val="center"/>
          </w:tcPr>
          <w:p w14:paraId="502EBDBB">
            <w:pPr>
              <w:spacing w:line="240" w:lineRule="auto"/>
              <w:ind w:firstLine="0" w:firstLineChars="0"/>
              <w:jc w:val="center"/>
              <w:rPr>
                <w:color w:val="auto"/>
                <w:sz w:val="21"/>
                <w:szCs w:val="21"/>
              </w:rPr>
            </w:pPr>
          </w:p>
        </w:tc>
        <w:tc>
          <w:tcPr>
            <w:tcW w:w="1176" w:type="pct"/>
            <w:vMerge w:val="continue"/>
            <w:tcBorders>
              <w:tl2br w:val="nil"/>
              <w:tr2bl w:val="nil"/>
            </w:tcBorders>
            <w:vAlign w:val="center"/>
          </w:tcPr>
          <w:p w14:paraId="38A3DB94">
            <w:pPr>
              <w:spacing w:line="240" w:lineRule="auto"/>
              <w:ind w:firstLine="0" w:firstLineChars="0"/>
              <w:jc w:val="center"/>
              <w:rPr>
                <w:color w:val="auto"/>
                <w:sz w:val="21"/>
                <w:szCs w:val="21"/>
              </w:rPr>
            </w:pPr>
          </w:p>
        </w:tc>
        <w:tc>
          <w:tcPr>
            <w:tcW w:w="782" w:type="pct"/>
            <w:vMerge w:val="continue"/>
            <w:tcBorders>
              <w:tl2br w:val="nil"/>
              <w:tr2bl w:val="nil"/>
            </w:tcBorders>
            <w:vAlign w:val="center"/>
          </w:tcPr>
          <w:p w14:paraId="07039316">
            <w:pPr>
              <w:spacing w:line="240" w:lineRule="auto"/>
              <w:ind w:firstLine="0" w:firstLineChars="0"/>
              <w:jc w:val="center"/>
              <w:rPr>
                <w:color w:val="auto"/>
                <w:sz w:val="21"/>
                <w:szCs w:val="21"/>
              </w:rPr>
            </w:pPr>
          </w:p>
        </w:tc>
      </w:tr>
      <w:tr w14:paraId="4CB57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53115575">
            <w:pPr>
              <w:spacing w:line="240" w:lineRule="auto"/>
              <w:ind w:firstLine="0" w:firstLineChars="0"/>
              <w:jc w:val="center"/>
              <w:rPr>
                <w:color w:val="auto"/>
                <w:sz w:val="21"/>
                <w:szCs w:val="21"/>
              </w:rPr>
            </w:pPr>
          </w:p>
        </w:tc>
        <w:tc>
          <w:tcPr>
            <w:tcW w:w="326" w:type="pct"/>
            <w:tcBorders>
              <w:tl2br w:val="nil"/>
              <w:tr2bl w:val="nil"/>
            </w:tcBorders>
            <w:vAlign w:val="center"/>
          </w:tcPr>
          <w:p w14:paraId="75E0357F">
            <w:pPr>
              <w:spacing w:line="240" w:lineRule="auto"/>
              <w:ind w:firstLine="0" w:firstLineChars="0"/>
              <w:jc w:val="center"/>
              <w:rPr>
                <w:color w:val="auto"/>
                <w:sz w:val="21"/>
                <w:szCs w:val="21"/>
              </w:rPr>
            </w:pPr>
            <w:r>
              <w:rPr>
                <w:color w:val="auto"/>
                <w:sz w:val="21"/>
                <w:szCs w:val="21"/>
              </w:rPr>
              <w:t>T3</w:t>
            </w:r>
          </w:p>
        </w:tc>
        <w:tc>
          <w:tcPr>
            <w:tcW w:w="960" w:type="pct"/>
            <w:tcBorders>
              <w:tl2br w:val="nil"/>
              <w:tr2bl w:val="nil"/>
            </w:tcBorders>
            <w:vAlign w:val="center"/>
          </w:tcPr>
          <w:p w14:paraId="6E6D4D0D">
            <w:pPr>
              <w:spacing w:line="240" w:lineRule="auto"/>
              <w:ind w:firstLine="0" w:firstLineChars="0"/>
              <w:jc w:val="center"/>
              <w:rPr>
                <w:color w:val="auto"/>
                <w:sz w:val="21"/>
                <w:szCs w:val="21"/>
              </w:rPr>
            </w:pPr>
            <w:r>
              <w:rPr>
                <w:color w:val="auto"/>
                <w:sz w:val="21"/>
                <w:szCs w:val="21"/>
              </w:rPr>
              <w:t>丙类仓库</w:t>
            </w:r>
          </w:p>
        </w:tc>
        <w:tc>
          <w:tcPr>
            <w:tcW w:w="628" w:type="pct"/>
            <w:tcBorders>
              <w:tl2br w:val="nil"/>
              <w:tr2bl w:val="nil"/>
            </w:tcBorders>
            <w:vAlign w:val="center"/>
          </w:tcPr>
          <w:p w14:paraId="30D479FB">
            <w:pPr>
              <w:spacing w:line="240" w:lineRule="auto"/>
              <w:ind w:firstLine="0" w:firstLineChars="0"/>
              <w:jc w:val="center"/>
              <w:rPr>
                <w:color w:val="auto"/>
                <w:sz w:val="21"/>
                <w:szCs w:val="21"/>
              </w:rPr>
            </w:pPr>
            <w:r>
              <w:rPr>
                <w:color w:val="auto"/>
                <w:sz w:val="21"/>
                <w:szCs w:val="21"/>
              </w:rPr>
              <w:t>柱状样</w:t>
            </w:r>
          </w:p>
        </w:tc>
        <w:tc>
          <w:tcPr>
            <w:tcW w:w="861" w:type="pct"/>
            <w:vMerge w:val="continue"/>
            <w:tcBorders>
              <w:tl2br w:val="nil"/>
              <w:tr2bl w:val="nil"/>
            </w:tcBorders>
            <w:vAlign w:val="center"/>
          </w:tcPr>
          <w:p w14:paraId="1CCE901B">
            <w:pPr>
              <w:spacing w:line="240" w:lineRule="auto"/>
              <w:ind w:firstLine="0" w:firstLineChars="0"/>
              <w:jc w:val="center"/>
              <w:rPr>
                <w:color w:val="auto"/>
                <w:sz w:val="21"/>
                <w:szCs w:val="21"/>
              </w:rPr>
            </w:pPr>
          </w:p>
        </w:tc>
        <w:tc>
          <w:tcPr>
            <w:tcW w:w="1176" w:type="pct"/>
            <w:vMerge w:val="continue"/>
            <w:tcBorders>
              <w:tl2br w:val="nil"/>
              <w:tr2bl w:val="nil"/>
            </w:tcBorders>
            <w:vAlign w:val="center"/>
          </w:tcPr>
          <w:p w14:paraId="52A834F5">
            <w:pPr>
              <w:spacing w:line="240" w:lineRule="auto"/>
              <w:ind w:firstLine="0" w:firstLineChars="0"/>
              <w:jc w:val="center"/>
              <w:rPr>
                <w:color w:val="auto"/>
                <w:sz w:val="21"/>
                <w:szCs w:val="21"/>
              </w:rPr>
            </w:pPr>
          </w:p>
        </w:tc>
        <w:tc>
          <w:tcPr>
            <w:tcW w:w="782" w:type="pct"/>
            <w:vMerge w:val="continue"/>
            <w:tcBorders>
              <w:tl2br w:val="nil"/>
              <w:tr2bl w:val="nil"/>
            </w:tcBorders>
            <w:vAlign w:val="center"/>
          </w:tcPr>
          <w:p w14:paraId="16E41058">
            <w:pPr>
              <w:spacing w:line="240" w:lineRule="auto"/>
              <w:ind w:firstLine="0" w:firstLineChars="0"/>
              <w:jc w:val="center"/>
              <w:rPr>
                <w:color w:val="auto"/>
                <w:sz w:val="21"/>
                <w:szCs w:val="21"/>
              </w:rPr>
            </w:pPr>
          </w:p>
        </w:tc>
      </w:tr>
      <w:tr w14:paraId="3A2F2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3ED4437C">
            <w:pPr>
              <w:spacing w:line="240" w:lineRule="auto"/>
              <w:ind w:firstLine="0" w:firstLineChars="0"/>
              <w:jc w:val="center"/>
              <w:rPr>
                <w:color w:val="auto"/>
                <w:sz w:val="21"/>
                <w:szCs w:val="21"/>
              </w:rPr>
            </w:pPr>
          </w:p>
        </w:tc>
        <w:tc>
          <w:tcPr>
            <w:tcW w:w="326" w:type="pct"/>
            <w:tcBorders>
              <w:tl2br w:val="nil"/>
              <w:tr2bl w:val="nil"/>
            </w:tcBorders>
            <w:vAlign w:val="center"/>
          </w:tcPr>
          <w:p w14:paraId="6FCD6219">
            <w:pPr>
              <w:spacing w:line="240" w:lineRule="auto"/>
              <w:ind w:firstLine="0" w:firstLineChars="0"/>
              <w:jc w:val="center"/>
              <w:rPr>
                <w:color w:val="auto"/>
                <w:sz w:val="21"/>
                <w:szCs w:val="21"/>
              </w:rPr>
            </w:pPr>
            <w:r>
              <w:rPr>
                <w:color w:val="auto"/>
                <w:sz w:val="21"/>
                <w:szCs w:val="21"/>
              </w:rPr>
              <w:t>T4</w:t>
            </w:r>
          </w:p>
        </w:tc>
        <w:tc>
          <w:tcPr>
            <w:tcW w:w="960" w:type="pct"/>
            <w:tcBorders>
              <w:tl2br w:val="nil"/>
              <w:tr2bl w:val="nil"/>
            </w:tcBorders>
            <w:vAlign w:val="center"/>
          </w:tcPr>
          <w:p w14:paraId="5E63C2FE">
            <w:pPr>
              <w:spacing w:line="240" w:lineRule="auto"/>
              <w:ind w:firstLine="0" w:firstLineChars="0"/>
              <w:jc w:val="center"/>
              <w:rPr>
                <w:color w:val="auto"/>
                <w:sz w:val="21"/>
                <w:szCs w:val="21"/>
              </w:rPr>
            </w:pPr>
            <w:r>
              <w:rPr>
                <w:color w:val="auto"/>
                <w:sz w:val="21"/>
                <w:szCs w:val="21"/>
              </w:rPr>
              <w:t>危废暂存间</w:t>
            </w:r>
          </w:p>
        </w:tc>
        <w:tc>
          <w:tcPr>
            <w:tcW w:w="628" w:type="pct"/>
            <w:tcBorders>
              <w:tl2br w:val="nil"/>
              <w:tr2bl w:val="nil"/>
            </w:tcBorders>
            <w:vAlign w:val="center"/>
          </w:tcPr>
          <w:p w14:paraId="3CC7DB62">
            <w:pPr>
              <w:spacing w:line="240" w:lineRule="auto"/>
              <w:ind w:firstLine="0" w:firstLineChars="0"/>
              <w:jc w:val="center"/>
              <w:rPr>
                <w:color w:val="auto"/>
                <w:sz w:val="21"/>
                <w:szCs w:val="21"/>
              </w:rPr>
            </w:pPr>
            <w:r>
              <w:rPr>
                <w:color w:val="auto"/>
                <w:sz w:val="21"/>
                <w:szCs w:val="21"/>
              </w:rPr>
              <w:t>柱状样</w:t>
            </w:r>
          </w:p>
        </w:tc>
        <w:tc>
          <w:tcPr>
            <w:tcW w:w="861" w:type="pct"/>
            <w:vMerge w:val="continue"/>
            <w:tcBorders>
              <w:tl2br w:val="nil"/>
              <w:tr2bl w:val="nil"/>
            </w:tcBorders>
            <w:vAlign w:val="center"/>
          </w:tcPr>
          <w:p w14:paraId="7E512768">
            <w:pPr>
              <w:spacing w:line="240" w:lineRule="auto"/>
              <w:ind w:firstLine="0" w:firstLineChars="0"/>
              <w:jc w:val="center"/>
              <w:rPr>
                <w:color w:val="auto"/>
                <w:sz w:val="21"/>
                <w:szCs w:val="21"/>
              </w:rPr>
            </w:pPr>
          </w:p>
        </w:tc>
        <w:tc>
          <w:tcPr>
            <w:tcW w:w="1176" w:type="pct"/>
            <w:vMerge w:val="continue"/>
            <w:tcBorders>
              <w:tl2br w:val="nil"/>
              <w:tr2bl w:val="nil"/>
            </w:tcBorders>
            <w:vAlign w:val="center"/>
          </w:tcPr>
          <w:p w14:paraId="3B7684FC">
            <w:pPr>
              <w:spacing w:line="240" w:lineRule="auto"/>
              <w:ind w:firstLine="0" w:firstLineChars="0"/>
              <w:jc w:val="center"/>
              <w:rPr>
                <w:color w:val="auto"/>
                <w:sz w:val="21"/>
                <w:szCs w:val="21"/>
              </w:rPr>
            </w:pPr>
          </w:p>
        </w:tc>
        <w:tc>
          <w:tcPr>
            <w:tcW w:w="782" w:type="pct"/>
            <w:vMerge w:val="continue"/>
            <w:tcBorders>
              <w:tl2br w:val="nil"/>
              <w:tr2bl w:val="nil"/>
            </w:tcBorders>
            <w:vAlign w:val="center"/>
          </w:tcPr>
          <w:p w14:paraId="48A1B8DA">
            <w:pPr>
              <w:spacing w:line="240" w:lineRule="auto"/>
              <w:ind w:firstLine="0" w:firstLineChars="0"/>
              <w:jc w:val="center"/>
              <w:rPr>
                <w:color w:val="auto"/>
                <w:sz w:val="21"/>
                <w:szCs w:val="21"/>
              </w:rPr>
            </w:pPr>
          </w:p>
        </w:tc>
      </w:tr>
      <w:tr w14:paraId="0B214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7C3F3CF1">
            <w:pPr>
              <w:spacing w:line="240" w:lineRule="auto"/>
              <w:ind w:firstLine="0" w:firstLineChars="0"/>
              <w:jc w:val="center"/>
              <w:rPr>
                <w:color w:val="auto"/>
                <w:sz w:val="21"/>
                <w:szCs w:val="21"/>
              </w:rPr>
            </w:pPr>
          </w:p>
        </w:tc>
        <w:tc>
          <w:tcPr>
            <w:tcW w:w="326" w:type="pct"/>
            <w:tcBorders>
              <w:tl2br w:val="nil"/>
              <w:tr2bl w:val="nil"/>
            </w:tcBorders>
            <w:vAlign w:val="center"/>
          </w:tcPr>
          <w:p w14:paraId="5107C36F">
            <w:pPr>
              <w:spacing w:line="240" w:lineRule="auto"/>
              <w:ind w:firstLine="0" w:firstLineChars="0"/>
              <w:jc w:val="center"/>
              <w:rPr>
                <w:color w:val="auto"/>
                <w:sz w:val="21"/>
                <w:szCs w:val="21"/>
              </w:rPr>
            </w:pPr>
            <w:r>
              <w:rPr>
                <w:color w:val="auto"/>
                <w:sz w:val="21"/>
                <w:szCs w:val="21"/>
              </w:rPr>
              <w:t>T5</w:t>
            </w:r>
          </w:p>
        </w:tc>
        <w:tc>
          <w:tcPr>
            <w:tcW w:w="960" w:type="pct"/>
            <w:tcBorders>
              <w:tl2br w:val="nil"/>
              <w:tr2bl w:val="nil"/>
            </w:tcBorders>
            <w:vAlign w:val="center"/>
          </w:tcPr>
          <w:p w14:paraId="30AFC30B">
            <w:pPr>
              <w:spacing w:line="240" w:lineRule="auto"/>
              <w:ind w:firstLine="0" w:firstLineChars="0"/>
              <w:jc w:val="center"/>
              <w:rPr>
                <w:color w:val="auto"/>
                <w:sz w:val="21"/>
                <w:szCs w:val="21"/>
              </w:rPr>
            </w:pPr>
            <w:r>
              <w:rPr>
                <w:color w:val="auto"/>
                <w:sz w:val="21"/>
                <w:szCs w:val="21"/>
              </w:rPr>
              <w:t>厂区环保车间二</w:t>
            </w:r>
          </w:p>
        </w:tc>
        <w:tc>
          <w:tcPr>
            <w:tcW w:w="628" w:type="pct"/>
            <w:tcBorders>
              <w:tl2br w:val="nil"/>
              <w:tr2bl w:val="nil"/>
            </w:tcBorders>
            <w:vAlign w:val="center"/>
          </w:tcPr>
          <w:p w14:paraId="6DEB6D61">
            <w:pPr>
              <w:spacing w:line="240" w:lineRule="auto"/>
              <w:ind w:firstLine="0" w:firstLineChars="0"/>
              <w:jc w:val="center"/>
              <w:rPr>
                <w:color w:val="auto"/>
                <w:sz w:val="21"/>
                <w:szCs w:val="21"/>
              </w:rPr>
            </w:pPr>
            <w:r>
              <w:rPr>
                <w:color w:val="auto"/>
                <w:sz w:val="21"/>
                <w:szCs w:val="21"/>
              </w:rPr>
              <w:t>柱状样</w:t>
            </w:r>
          </w:p>
        </w:tc>
        <w:tc>
          <w:tcPr>
            <w:tcW w:w="861" w:type="pct"/>
            <w:vMerge w:val="continue"/>
            <w:tcBorders>
              <w:tl2br w:val="nil"/>
              <w:tr2bl w:val="nil"/>
            </w:tcBorders>
            <w:vAlign w:val="center"/>
          </w:tcPr>
          <w:p w14:paraId="465B1E26">
            <w:pPr>
              <w:spacing w:line="240" w:lineRule="auto"/>
              <w:ind w:firstLine="0" w:firstLineChars="0"/>
              <w:jc w:val="center"/>
              <w:rPr>
                <w:color w:val="auto"/>
                <w:sz w:val="21"/>
                <w:szCs w:val="21"/>
              </w:rPr>
            </w:pPr>
          </w:p>
        </w:tc>
        <w:tc>
          <w:tcPr>
            <w:tcW w:w="1176" w:type="pct"/>
            <w:vMerge w:val="continue"/>
            <w:tcBorders>
              <w:tl2br w:val="nil"/>
              <w:tr2bl w:val="nil"/>
            </w:tcBorders>
            <w:vAlign w:val="center"/>
          </w:tcPr>
          <w:p w14:paraId="10CB7921">
            <w:pPr>
              <w:spacing w:line="240" w:lineRule="auto"/>
              <w:ind w:firstLine="0" w:firstLineChars="0"/>
              <w:jc w:val="center"/>
              <w:rPr>
                <w:color w:val="auto"/>
                <w:sz w:val="21"/>
                <w:szCs w:val="21"/>
              </w:rPr>
            </w:pPr>
          </w:p>
        </w:tc>
        <w:tc>
          <w:tcPr>
            <w:tcW w:w="782" w:type="pct"/>
            <w:vMerge w:val="continue"/>
            <w:tcBorders>
              <w:tl2br w:val="nil"/>
              <w:tr2bl w:val="nil"/>
            </w:tcBorders>
            <w:vAlign w:val="center"/>
          </w:tcPr>
          <w:p w14:paraId="76C5BA36">
            <w:pPr>
              <w:spacing w:line="240" w:lineRule="auto"/>
              <w:ind w:firstLine="0" w:firstLineChars="0"/>
              <w:jc w:val="center"/>
              <w:rPr>
                <w:color w:val="auto"/>
                <w:sz w:val="21"/>
                <w:szCs w:val="21"/>
              </w:rPr>
            </w:pPr>
          </w:p>
        </w:tc>
      </w:tr>
      <w:tr w14:paraId="37B26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260582A9">
            <w:pPr>
              <w:spacing w:line="240" w:lineRule="auto"/>
              <w:ind w:firstLine="0" w:firstLineChars="0"/>
              <w:jc w:val="center"/>
              <w:rPr>
                <w:color w:val="auto"/>
                <w:sz w:val="21"/>
                <w:szCs w:val="21"/>
              </w:rPr>
            </w:pPr>
          </w:p>
        </w:tc>
        <w:tc>
          <w:tcPr>
            <w:tcW w:w="326" w:type="pct"/>
            <w:tcBorders>
              <w:tl2br w:val="nil"/>
              <w:tr2bl w:val="nil"/>
            </w:tcBorders>
            <w:vAlign w:val="center"/>
          </w:tcPr>
          <w:p w14:paraId="0C3DC2BE">
            <w:pPr>
              <w:spacing w:line="240" w:lineRule="auto"/>
              <w:ind w:firstLine="0" w:firstLineChars="0"/>
              <w:jc w:val="center"/>
              <w:rPr>
                <w:color w:val="auto"/>
                <w:sz w:val="21"/>
                <w:szCs w:val="21"/>
              </w:rPr>
            </w:pPr>
            <w:r>
              <w:rPr>
                <w:color w:val="auto"/>
                <w:sz w:val="21"/>
                <w:szCs w:val="21"/>
              </w:rPr>
              <w:t>T6</w:t>
            </w:r>
          </w:p>
        </w:tc>
        <w:tc>
          <w:tcPr>
            <w:tcW w:w="960" w:type="pct"/>
            <w:tcBorders>
              <w:tl2br w:val="nil"/>
              <w:tr2bl w:val="nil"/>
            </w:tcBorders>
            <w:vAlign w:val="center"/>
          </w:tcPr>
          <w:p w14:paraId="03704D74">
            <w:pPr>
              <w:spacing w:line="240" w:lineRule="auto"/>
              <w:ind w:firstLine="0" w:firstLineChars="0"/>
              <w:jc w:val="center"/>
              <w:rPr>
                <w:color w:val="auto"/>
                <w:sz w:val="21"/>
                <w:szCs w:val="21"/>
              </w:rPr>
            </w:pPr>
            <w:r>
              <w:rPr>
                <w:color w:val="auto"/>
                <w:sz w:val="21"/>
                <w:szCs w:val="21"/>
              </w:rPr>
              <w:t>甲类车间</w:t>
            </w:r>
          </w:p>
        </w:tc>
        <w:tc>
          <w:tcPr>
            <w:tcW w:w="628" w:type="pct"/>
            <w:tcBorders>
              <w:tl2br w:val="nil"/>
              <w:tr2bl w:val="nil"/>
            </w:tcBorders>
            <w:vAlign w:val="center"/>
          </w:tcPr>
          <w:p w14:paraId="13F3694A">
            <w:pPr>
              <w:spacing w:line="240" w:lineRule="auto"/>
              <w:ind w:firstLine="0" w:firstLineChars="0"/>
              <w:jc w:val="center"/>
              <w:rPr>
                <w:color w:val="auto"/>
                <w:sz w:val="21"/>
                <w:szCs w:val="21"/>
              </w:rPr>
            </w:pPr>
            <w:r>
              <w:rPr>
                <w:color w:val="auto"/>
                <w:sz w:val="21"/>
                <w:szCs w:val="21"/>
              </w:rPr>
              <w:t>表层样</w:t>
            </w:r>
          </w:p>
        </w:tc>
        <w:tc>
          <w:tcPr>
            <w:tcW w:w="861" w:type="pct"/>
            <w:vMerge w:val="restart"/>
            <w:tcBorders>
              <w:tl2br w:val="nil"/>
              <w:tr2bl w:val="nil"/>
            </w:tcBorders>
            <w:vAlign w:val="center"/>
          </w:tcPr>
          <w:p w14:paraId="1F0F0877">
            <w:pPr>
              <w:spacing w:line="240" w:lineRule="auto"/>
              <w:ind w:firstLine="0" w:firstLineChars="0"/>
              <w:jc w:val="center"/>
              <w:rPr>
                <w:color w:val="auto"/>
                <w:sz w:val="21"/>
                <w:szCs w:val="21"/>
              </w:rPr>
            </w:pPr>
            <w:r>
              <w:rPr>
                <w:color w:val="auto"/>
                <w:sz w:val="21"/>
                <w:szCs w:val="21"/>
              </w:rPr>
              <w:t>0~0.2m</w:t>
            </w:r>
          </w:p>
        </w:tc>
        <w:tc>
          <w:tcPr>
            <w:tcW w:w="1176" w:type="pct"/>
            <w:vMerge w:val="continue"/>
            <w:tcBorders>
              <w:tl2br w:val="nil"/>
              <w:tr2bl w:val="nil"/>
            </w:tcBorders>
            <w:vAlign w:val="center"/>
          </w:tcPr>
          <w:p w14:paraId="5B551A0F">
            <w:pPr>
              <w:spacing w:line="240" w:lineRule="auto"/>
              <w:ind w:firstLine="0" w:firstLineChars="0"/>
              <w:jc w:val="center"/>
              <w:rPr>
                <w:color w:val="auto"/>
                <w:sz w:val="21"/>
                <w:szCs w:val="21"/>
              </w:rPr>
            </w:pPr>
          </w:p>
        </w:tc>
        <w:tc>
          <w:tcPr>
            <w:tcW w:w="782" w:type="pct"/>
            <w:vMerge w:val="continue"/>
            <w:tcBorders>
              <w:tl2br w:val="nil"/>
              <w:tr2bl w:val="nil"/>
            </w:tcBorders>
            <w:vAlign w:val="center"/>
          </w:tcPr>
          <w:p w14:paraId="69A57B57">
            <w:pPr>
              <w:spacing w:line="240" w:lineRule="auto"/>
              <w:ind w:firstLine="0" w:firstLineChars="0"/>
              <w:jc w:val="center"/>
              <w:rPr>
                <w:color w:val="auto"/>
                <w:sz w:val="21"/>
                <w:szCs w:val="21"/>
              </w:rPr>
            </w:pPr>
          </w:p>
        </w:tc>
      </w:tr>
      <w:tr w14:paraId="3D0FD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6C281AC4">
            <w:pPr>
              <w:spacing w:line="240" w:lineRule="auto"/>
              <w:ind w:firstLine="0" w:firstLineChars="0"/>
              <w:jc w:val="center"/>
              <w:rPr>
                <w:color w:val="auto"/>
                <w:sz w:val="21"/>
                <w:szCs w:val="21"/>
              </w:rPr>
            </w:pPr>
          </w:p>
        </w:tc>
        <w:tc>
          <w:tcPr>
            <w:tcW w:w="326" w:type="pct"/>
            <w:tcBorders>
              <w:tl2br w:val="nil"/>
              <w:tr2bl w:val="nil"/>
            </w:tcBorders>
            <w:vAlign w:val="center"/>
          </w:tcPr>
          <w:p w14:paraId="1A65B2B0">
            <w:pPr>
              <w:spacing w:line="240" w:lineRule="auto"/>
              <w:ind w:firstLine="0" w:firstLineChars="0"/>
              <w:jc w:val="center"/>
              <w:rPr>
                <w:color w:val="auto"/>
                <w:sz w:val="21"/>
                <w:szCs w:val="21"/>
              </w:rPr>
            </w:pPr>
            <w:r>
              <w:rPr>
                <w:color w:val="auto"/>
                <w:sz w:val="21"/>
                <w:szCs w:val="21"/>
              </w:rPr>
              <w:t>T7</w:t>
            </w:r>
          </w:p>
        </w:tc>
        <w:tc>
          <w:tcPr>
            <w:tcW w:w="960" w:type="pct"/>
            <w:tcBorders>
              <w:tl2br w:val="nil"/>
              <w:tr2bl w:val="nil"/>
            </w:tcBorders>
            <w:vAlign w:val="center"/>
          </w:tcPr>
          <w:p w14:paraId="22238115">
            <w:pPr>
              <w:spacing w:line="240" w:lineRule="auto"/>
              <w:ind w:firstLine="0" w:firstLineChars="0"/>
              <w:jc w:val="center"/>
              <w:rPr>
                <w:color w:val="auto"/>
                <w:sz w:val="21"/>
                <w:szCs w:val="21"/>
              </w:rPr>
            </w:pPr>
            <w:r>
              <w:rPr>
                <w:color w:val="auto"/>
                <w:sz w:val="21"/>
                <w:szCs w:val="21"/>
              </w:rPr>
              <w:t>甲类罐区</w:t>
            </w:r>
          </w:p>
        </w:tc>
        <w:tc>
          <w:tcPr>
            <w:tcW w:w="628" w:type="pct"/>
            <w:tcBorders>
              <w:tl2br w:val="nil"/>
              <w:tr2bl w:val="nil"/>
            </w:tcBorders>
            <w:vAlign w:val="center"/>
          </w:tcPr>
          <w:p w14:paraId="7C6757C7">
            <w:pPr>
              <w:spacing w:line="240" w:lineRule="auto"/>
              <w:ind w:firstLine="0" w:firstLineChars="0"/>
              <w:jc w:val="center"/>
              <w:rPr>
                <w:color w:val="auto"/>
                <w:sz w:val="21"/>
                <w:szCs w:val="21"/>
              </w:rPr>
            </w:pPr>
            <w:r>
              <w:rPr>
                <w:color w:val="auto"/>
                <w:sz w:val="21"/>
                <w:szCs w:val="21"/>
              </w:rPr>
              <w:t>表层样</w:t>
            </w:r>
          </w:p>
        </w:tc>
        <w:tc>
          <w:tcPr>
            <w:tcW w:w="861" w:type="pct"/>
            <w:vMerge w:val="continue"/>
            <w:tcBorders>
              <w:tl2br w:val="nil"/>
              <w:tr2bl w:val="nil"/>
            </w:tcBorders>
            <w:vAlign w:val="center"/>
          </w:tcPr>
          <w:p w14:paraId="36F44422">
            <w:pPr>
              <w:spacing w:line="240" w:lineRule="auto"/>
              <w:ind w:firstLine="0" w:firstLineChars="0"/>
              <w:jc w:val="center"/>
              <w:rPr>
                <w:color w:val="auto"/>
                <w:sz w:val="21"/>
                <w:szCs w:val="21"/>
              </w:rPr>
            </w:pPr>
          </w:p>
        </w:tc>
        <w:tc>
          <w:tcPr>
            <w:tcW w:w="1176" w:type="pct"/>
            <w:vMerge w:val="continue"/>
            <w:tcBorders>
              <w:tl2br w:val="nil"/>
              <w:tr2bl w:val="nil"/>
            </w:tcBorders>
            <w:vAlign w:val="center"/>
          </w:tcPr>
          <w:p w14:paraId="60405994">
            <w:pPr>
              <w:spacing w:line="240" w:lineRule="auto"/>
              <w:ind w:firstLine="0" w:firstLineChars="0"/>
              <w:jc w:val="center"/>
              <w:rPr>
                <w:color w:val="auto"/>
                <w:sz w:val="21"/>
                <w:szCs w:val="21"/>
              </w:rPr>
            </w:pPr>
          </w:p>
        </w:tc>
        <w:tc>
          <w:tcPr>
            <w:tcW w:w="782" w:type="pct"/>
            <w:tcBorders>
              <w:tl2br w:val="nil"/>
              <w:tr2bl w:val="nil"/>
            </w:tcBorders>
            <w:vAlign w:val="center"/>
          </w:tcPr>
          <w:p w14:paraId="14A500EF">
            <w:pPr>
              <w:spacing w:line="240" w:lineRule="auto"/>
              <w:ind w:firstLine="0" w:firstLineChars="0"/>
              <w:jc w:val="center"/>
              <w:rPr>
                <w:color w:val="auto"/>
                <w:sz w:val="21"/>
                <w:szCs w:val="21"/>
              </w:rPr>
            </w:pPr>
            <w:r>
              <w:rPr>
                <w:color w:val="auto"/>
                <w:sz w:val="21"/>
                <w:szCs w:val="21"/>
              </w:rPr>
              <w:t>引用《启东亚太药业有限公司年产2000吨硫代硫酸钠原料药、10吨依达拉奉原料药及1亿粒制剂项目环境影响报告书》</w:t>
            </w:r>
          </w:p>
        </w:tc>
      </w:tr>
      <w:tr w14:paraId="59C1F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Merge w:val="restart"/>
            <w:tcBorders>
              <w:tl2br w:val="nil"/>
              <w:tr2bl w:val="nil"/>
            </w:tcBorders>
            <w:vAlign w:val="center"/>
          </w:tcPr>
          <w:p w14:paraId="5F47B502">
            <w:pPr>
              <w:spacing w:line="240" w:lineRule="auto"/>
              <w:ind w:firstLine="0" w:firstLineChars="0"/>
              <w:jc w:val="center"/>
              <w:rPr>
                <w:color w:val="auto"/>
                <w:sz w:val="21"/>
                <w:szCs w:val="21"/>
              </w:rPr>
            </w:pPr>
            <w:r>
              <w:rPr>
                <w:color w:val="auto"/>
                <w:sz w:val="21"/>
                <w:szCs w:val="21"/>
              </w:rPr>
              <w:t>占地范围外</w:t>
            </w:r>
          </w:p>
        </w:tc>
        <w:tc>
          <w:tcPr>
            <w:tcW w:w="326" w:type="pct"/>
            <w:tcBorders>
              <w:tl2br w:val="nil"/>
              <w:tr2bl w:val="nil"/>
            </w:tcBorders>
            <w:vAlign w:val="center"/>
          </w:tcPr>
          <w:p w14:paraId="27797B0C">
            <w:pPr>
              <w:spacing w:line="240" w:lineRule="auto"/>
              <w:ind w:firstLine="0" w:firstLineChars="0"/>
              <w:jc w:val="center"/>
              <w:rPr>
                <w:color w:val="auto"/>
                <w:sz w:val="21"/>
                <w:szCs w:val="21"/>
              </w:rPr>
            </w:pPr>
            <w:r>
              <w:rPr>
                <w:color w:val="auto"/>
                <w:sz w:val="21"/>
                <w:szCs w:val="21"/>
              </w:rPr>
              <w:t>T8</w:t>
            </w:r>
          </w:p>
        </w:tc>
        <w:tc>
          <w:tcPr>
            <w:tcW w:w="960" w:type="pct"/>
            <w:tcBorders>
              <w:tl2br w:val="nil"/>
              <w:tr2bl w:val="nil"/>
            </w:tcBorders>
            <w:vAlign w:val="center"/>
          </w:tcPr>
          <w:p w14:paraId="1E948FEE">
            <w:pPr>
              <w:spacing w:line="240" w:lineRule="auto"/>
              <w:ind w:firstLine="0" w:firstLineChars="0"/>
              <w:jc w:val="center"/>
              <w:rPr>
                <w:color w:val="auto"/>
                <w:sz w:val="21"/>
                <w:szCs w:val="21"/>
              </w:rPr>
            </w:pPr>
            <w:r>
              <w:rPr>
                <w:color w:val="auto"/>
                <w:sz w:val="21"/>
                <w:szCs w:val="21"/>
              </w:rPr>
              <w:t>厂外西北侧500m农田</w:t>
            </w:r>
          </w:p>
        </w:tc>
        <w:tc>
          <w:tcPr>
            <w:tcW w:w="628" w:type="pct"/>
            <w:tcBorders>
              <w:tl2br w:val="nil"/>
              <w:tr2bl w:val="nil"/>
            </w:tcBorders>
            <w:vAlign w:val="center"/>
          </w:tcPr>
          <w:p w14:paraId="6ADFFB7F">
            <w:pPr>
              <w:spacing w:line="240" w:lineRule="auto"/>
              <w:ind w:firstLine="0" w:firstLineChars="0"/>
              <w:jc w:val="center"/>
              <w:rPr>
                <w:color w:val="auto"/>
                <w:sz w:val="21"/>
                <w:szCs w:val="21"/>
              </w:rPr>
            </w:pPr>
            <w:r>
              <w:rPr>
                <w:color w:val="auto"/>
                <w:sz w:val="21"/>
                <w:szCs w:val="21"/>
              </w:rPr>
              <w:t>表层样</w:t>
            </w:r>
          </w:p>
        </w:tc>
        <w:tc>
          <w:tcPr>
            <w:tcW w:w="861" w:type="pct"/>
            <w:vMerge w:val="continue"/>
            <w:tcBorders>
              <w:tl2br w:val="nil"/>
              <w:tr2bl w:val="nil"/>
            </w:tcBorders>
            <w:vAlign w:val="center"/>
          </w:tcPr>
          <w:p w14:paraId="02762194">
            <w:pPr>
              <w:spacing w:line="240" w:lineRule="auto"/>
              <w:ind w:firstLine="0" w:firstLineChars="0"/>
              <w:jc w:val="center"/>
              <w:rPr>
                <w:color w:val="auto"/>
                <w:sz w:val="21"/>
                <w:szCs w:val="21"/>
              </w:rPr>
            </w:pPr>
          </w:p>
        </w:tc>
        <w:tc>
          <w:tcPr>
            <w:tcW w:w="1176" w:type="pct"/>
            <w:tcBorders>
              <w:tl2br w:val="nil"/>
              <w:tr2bl w:val="nil"/>
            </w:tcBorders>
            <w:vAlign w:val="center"/>
          </w:tcPr>
          <w:p w14:paraId="31000E46">
            <w:pPr>
              <w:spacing w:line="240" w:lineRule="auto"/>
              <w:ind w:firstLine="0" w:firstLineChars="0"/>
              <w:jc w:val="center"/>
              <w:rPr>
                <w:color w:val="auto"/>
                <w:sz w:val="21"/>
                <w:szCs w:val="21"/>
              </w:rPr>
            </w:pPr>
            <w:r>
              <w:rPr>
                <w:color w:val="auto"/>
                <w:sz w:val="21"/>
                <w:szCs w:val="21"/>
              </w:rPr>
              <w:t>《土壤环境质量 农用地土壤污染风险管控标准(试行)》(GB15618-2018)表1中8项和石油烃（C</w:t>
            </w:r>
            <w:r>
              <w:rPr>
                <w:color w:val="auto"/>
                <w:sz w:val="21"/>
                <w:szCs w:val="21"/>
                <w:vertAlign w:val="subscript"/>
              </w:rPr>
              <w:t>10</w:t>
            </w:r>
            <w:r>
              <w:rPr>
                <w:color w:val="auto"/>
                <w:sz w:val="21"/>
                <w:szCs w:val="21"/>
              </w:rPr>
              <w:t>-C</w:t>
            </w:r>
            <w:r>
              <w:rPr>
                <w:color w:val="auto"/>
                <w:sz w:val="21"/>
                <w:szCs w:val="21"/>
                <w:vertAlign w:val="subscript"/>
              </w:rPr>
              <w:t>40</w:t>
            </w:r>
            <w:r>
              <w:rPr>
                <w:color w:val="auto"/>
                <w:sz w:val="21"/>
                <w:szCs w:val="21"/>
              </w:rPr>
              <w:t>）</w:t>
            </w:r>
          </w:p>
        </w:tc>
        <w:tc>
          <w:tcPr>
            <w:tcW w:w="782" w:type="pct"/>
            <w:vMerge w:val="restart"/>
            <w:tcBorders>
              <w:tl2br w:val="nil"/>
              <w:tr2bl w:val="nil"/>
            </w:tcBorders>
            <w:vAlign w:val="center"/>
          </w:tcPr>
          <w:p w14:paraId="34B08882">
            <w:pPr>
              <w:spacing w:line="240" w:lineRule="auto"/>
              <w:ind w:firstLine="0" w:firstLineChars="0"/>
              <w:jc w:val="center"/>
              <w:rPr>
                <w:color w:val="auto"/>
                <w:sz w:val="21"/>
                <w:szCs w:val="21"/>
              </w:rPr>
            </w:pPr>
            <w:r>
              <w:rPr>
                <w:color w:val="auto"/>
                <w:sz w:val="21"/>
                <w:szCs w:val="21"/>
              </w:rPr>
              <w:t>/</w:t>
            </w:r>
          </w:p>
        </w:tc>
      </w:tr>
      <w:tr w14:paraId="597EA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2971DADE">
            <w:pPr>
              <w:spacing w:line="240" w:lineRule="auto"/>
              <w:ind w:firstLine="0" w:firstLineChars="0"/>
              <w:jc w:val="center"/>
              <w:rPr>
                <w:color w:val="auto"/>
                <w:sz w:val="21"/>
                <w:szCs w:val="21"/>
              </w:rPr>
            </w:pPr>
          </w:p>
        </w:tc>
        <w:tc>
          <w:tcPr>
            <w:tcW w:w="326" w:type="pct"/>
            <w:tcBorders>
              <w:tl2br w:val="nil"/>
              <w:tr2bl w:val="nil"/>
            </w:tcBorders>
            <w:vAlign w:val="center"/>
          </w:tcPr>
          <w:p w14:paraId="0C00DF14">
            <w:pPr>
              <w:spacing w:line="240" w:lineRule="auto"/>
              <w:ind w:firstLine="0" w:firstLineChars="0"/>
              <w:jc w:val="center"/>
              <w:rPr>
                <w:color w:val="auto"/>
                <w:sz w:val="21"/>
                <w:szCs w:val="21"/>
              </w:rPr>
            </w:pPr>
            <w:r>
              <w:rPr>
                <w:color w:val="auto"/>
                <w:sz w:val="21"/>
                <w:szCs w:val="21"/>
              </w:rPr>
              <w:t>T9</w:t>
            </w:r>
          </w:p>
        </w:tc>
        <w:tc>
          <w:tcPr>
            <w:tcW w:w="960" w:type="pct"/>
            <w:tcBorders>
              <w:tl2br w:val="nil"/>
              <w:tr2bl w:val="nil"/>
            </w:tcBorders>
            <w:vAlign w:val="center"/>
          </w:tcPr>
          <w:p w14:paraId="7E15AAC5">
            <w:pPr>
              <w:spacing w:line="240" w:lineRule="auto"/>
              <w:ind w:firstLine="0" w:firstLineChars="0"/>
              <w:jc w:val="center"/>
              <w:rPr>
                <w:color w:val="auto"/>
                <w:sz w:val="21"/>
                <w:szCs w:val="21"/>
              </w:rPr>
            </w:pPr>
            <w:r>
              <w:rPr>
                <w:color w:val="auto"/>
                <w:sz w:val="21"/>
                <w:szCs w:val="21"/>
              </w:rPr>
              <w:t>厂外东南侧600m空地</w:t>
            </w:r>
          </w:p>
        </w:tc>
        <w:tc>
          <w:tcPr>
            <w:tcW w:w="628" w:type="pct"/>
            <w:tcBorders>
              <w:tl2br w:val="nil"/>
              <w:tr2bl w:val="nil"/>
            </w:tcBorders>
            <w:vAlign w:val="center"/>
          </w:tcPr>
          <w:p w14:paraId="43775EBC">
            <w:pPr>
              <w:spacing w:line="240" w:lineRule="auto"/>
              <w:ind w:firstLine="0" w:firstLineChars="0"/>
              <w:jc w:val="center"/>
              <w:rPr>
                <w:color w:val="auto"/>
                <w:sz w:val="21"/>
                <w:szCs w:val="21"/>
              </w:rPr>
            </w:pPr>
            <w:r>
              <w:rPr>
                <w:color w:val="auto"/>
                <w:sz w:val="21"/>
                <w:szCs w:val="21"/>
              </w:rPr>
              <w:t>表层样</w:t>
            </w:r>
          </w:p>
        </w:tc>
        <w:tc>
          <w:tcPr>
            <w:tcW w:w="861" w:type="pct"/>
            <w:vMerge w:val="continue"/>
            <w:tcBorders>
              <w:tl2br w:val="nil"/>
              <w:tr2bl w:val="nil"/>
            </w:tcBorders>
            <w:vAlign w:val="center"/>
          </w:tcPr>
          <w:p w14:paraId="693A8ADD">
            <w:pPr>
              <w:spacing w:line="240" w:lineRule="auto"/>
              <w:ind w:firstLine="0" w:firstLineChars="0"/>
              <w:jc w:val="center"/>
              <w:rPr>
                <w:color w:val="auto"/>
                <w:sz w:val="21"/>
                <w:szCs w:val="21"/>
              </w:rPr>
            </w:pPr>
          </w:p>
        </w:tc>
        <w:tc>
          <w:tcPr>
            <w:tcW w:w="1176" w:type="pct"/>
            <w:tcBorders>
              <w:tl2br w:val="nil"/>
              <w:tr2bl w:val="nil"/>
            </w:tcBorders>
            <w:vAlign w:val="center"/>
          </w:tcPr>
          <w:p w14:paraId="37DE4AD4">
            <w:pPr>
              <w:spacing w:line="240" w:lineRule="auto"/>
              <w:ind w:firstLine="0" w:firstLineChars="0"/>
              <w:jc w:val="center"/>
              <w:rPr>
                <w:color w:val="auto"/>
                <w:sz w:val="21"/>
                <w:szCs w:val="21"/>
              </w:rPr>
            </w:pPr>
            <w:r>
              <w:rPr>
                <w:color w:val="auto"/>
                <w:sz w:val="21"/>
                <w:szCs w:val="21"/>
              </w:rPr>
              <w:t>《土壤环境质量 建设用地土壤污染风险管控标准(试行)》(GB36600-2018)表1的45项和表2的石油烃（C</w:t>
            </w:r>
            <w:r>
              <w:rPr>
                <w:color w:val="auto"/>
                <w:sz w:val="21"/>
                <w:szCs w:val="21"/>
                <w:vertAlign w:val="subscript"/>
              </w:rPr>
              <w:t>10</w:t>
            </w:r>
            <w:r>
              <w:rPr>
                <w:color w:val="auto"/>
                <w:sz w:val="21"/>
                <w:szCs w:val="21"/>
              </w:rPr>
              <w:t>-C</w:t>
            </w:r>
            <w:r>
              <w:rPr>
                <w:color w:val="auto"/>
                <w:sz w:val="21"/>
                <w:szCs w:val="21"/>
                <w:vertAlign w:val="subscript"/>
              </w:rPr>
              <w:t>40</w:t>
            </w:r>
            <w:r>
              <w:rPr>
                <w:color w:val="auto"/>
                <w:sz w:val="21"/>
                <w:szCs w:val="21"/>
              </w:rPr>
              <w:t>）</w:t>
            </w:r>
          </w:p>
        </w:tc>
        <w:tc>
          <w:tcPr>
            <w:tcW w:w="782" w:type="pct"/>
            <w:vMerge w:val="continue"/>
            <w:tcBorders>
              <w:tl2br w:val="nil"/>
              <w:tr2bl w:val="nil"/>
            </w:tcBorders>
            <w:vAlign w:val="center"/>
          </w:tcPr>
          <w:p w14:paraId="0F4D4207">
            <w:pPr>
              <w:spacing w:line="240" w:lineRule="auto"/>
              <w:ind w:firstLine="0" w:firstLineChars="0"/>
              <w:jc w:val="center"/>
              <w:rPr>
                <w:color w:val="auto"/>
                <w:sz w:val="21"/>
                <w:szCs w:val="21"/>
              </w:rPr>
            </w:pPr>
          </w:p>
        </w:tc>
      </w:tr>
      <w:tr w14:paraId="138C4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267" w:type="pct"/>
            <w:vMerge w:val="continue"/>
            <w:tcBorders>
              <w:tl2br w:val="nil"/>
              <w:tr2bl w:val="nil"/>
            </w:tcBorders>
            <w:vAlign w:val="center"/>
          </w:tcPr>
          <w:p w14:paraId="57E679E5">
            <w:pPr>
              <w:spacing w:line="240" w:lineRule="auto"/>
              <w:ind w:firstLine="0" w:firstLineChars="0"/>
              <w:jc w:val="center"/>
              <w:rPr>
                <w:color w:val="auto"/>
                <w:sz w:val="21"/>
                <w:szCs w:val="21"/>
              </w:rPr>
            </w:pPr>
          </w:p>
        </w:tc>
        <w:tc>
          <w:tcPr>
            <w:tcW w:w="326" w:type="pct"/>
            <w:tcBorders>
              <w:tl2br w:val="nil"/>
              <w:tr2bl w:val="nil"/>
            </w:tcBorders>
            <w:vAlign w:val="center"/>
          </w:tcPr>
          <w:p w14:paraId="728D54B3">
            <w:pPr>
              <w:spacing w:line="240" w:lineRule="auto"/>
              <w:ind w:firstLine="0" w:firstLineChars="0"/>
              <w:jc w:val="center"/>
              <w:rPr>
                <w:color w:val="auto"/>
                <w:sz w:val="21"/>
                <w:szCs w:val="21"/>
              </w:rPr>
            </w:pPr>
            <w:r>
              <w:rPr>
                <w:color w:val="auto"/>
                <w:sz w:val="21"/>
                <w:szCs w:val="21"/>
              </w:rPr>
              <w:t>T10</w:t>
            </w:r>
          </w:p>
        </w:tc>
        <w:tc>
          <w:tcPr>
            <w:tcW w:w="960" w:type="pct"/>
            <w:tcBorders>
              <w:tl2br w:val="nil"/>
              <w:tr2bl w:val="nil"/>
            </w:tcBorders>
            <w:vAlign w:val="center"/>
          </w:tcPr>
          <w:p w14:paraId="62C61766">
            <w:pPr>
              <w:spacing w:line="240" w:lineRule="auto"/>
              <w:ind w:firstLine="0" w:firstLineChars="0"/>
              <w:jc w:val="center"/>
              <w:rPr>
                <w:color w:val="auto"/>
                <w:sz w:val="21"/>
                <w:szCs w:val="21"/>
              </w:rPr>
            </w:pPr>
            <w:r>
              <w:rPr>
                <w:color w:val="auto"/>
                <w:sz w:val="21"/>
                <w:szCs w:val="21"/>
              </w:rPr>
              <w:t>厂外东北侧500m农田</w:t>
            </w:r>
          </w:p>
        </w:tc>
        <w:tc>
          <w:tcPr>
            <w:tcW w:w="628" w:type="pct"/>
            <w:tcBorders>
              <w:tl2br w:val="nil"/>
              <w:tr2bl w:val="nil"/>
            </w:tcBorders>
            <w:vAlign w:val="center"/>
          </w:tcPr>
          <w:p w14:paraId="750DAB89">
            <w:pPr>
              <w:spacing w:line="240" w:lineRule="auto"/>
              <w:ind w:firstLine="0" w:firstLineChars="0"/>
              <w:jc w:val="center"/>
              <w:rPr>
                <w:color w:val="auto"/>
                <w:sz w:val="21"/>
                <w:szCs w:val="21"/>
              </w:rPr>
            </w:pPr>
            <w:r>
              <w:rPr>
                <w:color w:val="auto"/>
                <w:sz w:val="21"/>
                <w:szCs w:val="21"/>
              </w:rPr>
              <w:t>表层样</w:t>
            </w:r>
          </w:p>
        </w:tc>
        <w:tc>
          <w:tcPr>
            <w:tcW w:w="861" w:type="pct"/>
            <w:vMerge w:val="continue"/>
            <w:tcBorders>
              <w:tl2br w:val="nil"/>
              <w:tr2bl w:val="nil"/>
            </w:tcBorders>
            <w:vAlign w:val="center"/>
          </w:tcPr>
          <w:p w14:paraId="15A7B0FF">
            <w:pPr>
              <w:spacing w:line="240" w:lineRule="auto"/>
              <w:ind w:firstLine="0" w:firstLineChars="0"/>
              <w:jc w:val="center"/>
              <w:rPr>
                <w:color w:val="auto"/>
                <w:sz w:val="21"/>
                <w:szCs w:val="21"/>
              </w:rPr>
            </w:pPr>
          </w:p>
        </w:tc>
        <w:tc>
          <w:tcPr>
            <w:tcW w:w="1176" w:type="pct"/>
            <w:tcBorders>
              <w:tl2br w:val="nil"/>
              <w:tr2bl w:val="nil"/>
            </w:tcBorders>
            <w:vAlign w:val="center"/>
          </w:tcPr>
          <w:p w14:paraId="7A3DC7B8">
            <w:pPr>
              <w:spacing w:line="240" w:lineRule="auto"/>
              <w:ind w:firstLine="0" w:firstLineChars="0"/>
              <w:jc w:val="center"/>
              <w:rPr>
                <w:color w:val="auto"/>
                <w:sz w:val="21"/>
                <w:szCs w:val="21"/>
              </w:rPr>
            </w:pPr>
            <w:r>
              <w:rPr>
                <w:color w:val="auto"/>
                <w:sz w:val="21"/>
                <w:szCs w:val="21"/>
              </w:rPr>
              <w:t>《土壤环境质量 农用地土壤污染风险管控标准(试行)》(GB15618-2018)表1中8项和石油烃（C</w:t>
            </w:r>
            <w:r>
              <w:rPr>
                <w:color w:val="auto"/>
                <w:sz w:val="21"/>
                <w:szCs w:val="21"/>
                <w:vertAlign w:val="subscript"/>
              </w:rPr>
              <w:t>10</w:t>
            </w:r>
            <w:r>
              <w:rPr>
                <w:color w:val="auto"/>
                <w:sz w:val="21"/>
                <w:szCs w:val="21"/>
              </w:rPr>
              <w:t>-C</w:t>
            </w:r>
            <w:r>
              <w:rPr>
                <w:color w:val="auto"/>
                <w:sz w:val="21"/>
                <w:szCs w:val="21"/>
                <w:vertAlign w:val="subscript"/>
              </w:rPr>
              <w:t>40</w:t>
            </w:r>
            <w:r>
              <w:rPr>
                <w:color w:val="auto"/>
                <w:sz w:val="21"/>
                <w:szCs w:val="21"/>
              </w:rPr>
              <w:t>）</w:t>
            </w:r>
          </w:p>
        </w:tc>
        <w:tc>
          <w:tcPr>
            <w:tcW w:w="782" w:type="pct"/>
            <w:vMerge w:val="continue"/>
            <w:tcBorders>
              <w:tl2br w:val="nil"/>
              <w:tr2bl w:val="nil"/>
            </w:tcBorders>
            <w:vAlign w:val="center"/>
          </w:tcPr>
          <w:p w14:paraId="361D26AB">
            <w:pPr>
              <w:spacing w:line="240" w:lineRule="auto"/>
              <w:ind w:firstLine="0" w:firstLineChars="0"/>
              <w:jc w:val="center"/>
              <w:rPr>
                <w:color w:val="auto"/>
                <w:sz w:val="21"/>
                <w:szCs w:val="21"/>
              </w:rPr>
            </w:pPr>
          </w:p>
        </w:tc>
      </w:tr>
      <w:tr w14:paraId="5BFA1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472122F4">
            <w:pPr>
              <w:spacing w:line="240" w:lineRule="auto"/>
              <w:ind w:firstLine="0" w:firstLineChars="0"/>
              <w:jc w:val="center"/>
              <w:rPr>
                <w:color w:val="auto"/>
                <w:sz w:val="21"/>
                <w:szCs w:val="21"/>
              </w:rPr>
            </w:pPr>
          </w:p>
        </w:tc>
        <w:tc>
          <w:tcPr>
            <w:tcW w:w="326" w:type="pct"/>
            <w:tcBorders>
              <w:tl2br w:val="nil"/>
              <w:tr2bl w:val="nil"/>
            </w:tcBorders>
            <w:vAlign w:val="center"/>
          </w:tcPr>
          <w:p w14:paraId="5DD45243">
            <w:pPr>
              <w:spacing w:line="240" w:lineRule="auto"/>
              <w:ind w:firstLine="0" w:firstLineChars="0"/>
              <w:jc w:val="center"/>
              <w:rPr>
                <w:color w:val="auto"/>
                <w:sz w:val="21"/>
                <w:szCs w:val="21"/>
              </w:rPr>
            </w:pPr>
            <w:r>
              <w:rPr>
                <w:color w:val="auto"/>
                <w:sz w:val="21"/>
                <w:szCs w:val="21"/>
              </w:rPr>
              <w:t>T11</w:t>
            </w:r>
          </w:p>
        </w:tc>
        <w:tc>
          <w:tcPr>
            <w:tcW w:w="960" w:type="pct"/>
            <w:tcBorders>
              <w:tl2br w:val="nil"/>
              <w:tr2bl w:val="nil"/>
            </w:tcBorders>
            <w:vAlign w:val="center"/>
          </w:tcPr>
          <w:p w14:paraId="058BAD8F">
            <w:pPr>
              <w:spacing w:line="240" w:lineRule="auto"/>
              <w:ind w:firstLine="0" w:firstLineChars="0"/>
              <w:jc w:val="center"/>
              <w:rPr>
                <w:color w:val="auto"/>
                <w:sz w:val="21"/>
                <w:szCs w:val="21"/>
              </w:rPr>
            </w:pPr>
            <w:r>
              <w:rPr>
                <w:color w:val="auto"/>
                <w:sz w:val="21"/>
                <w:szCs w:val="21"/>
              </w:rPr>
              <w:t>厂外西南侧900m空地</w:t>
            </w:r>
          </w:p>
        </w:tc>
        <w:tc>
          <w:tcPr>
            <w:tcW w:w="628" w:type="pct"/>
            <w:tcBorders>
              <w:tl2br w:val="nil"/>
              <w:tr2bl w:val="nil"/>
            </w:tcBorders>
            <w:vAlign w:val="center"/>
          </w:tcPr>
          <w:p w14:paraId="03EA1B14">
            <w:pPr>
              <w:spacing w:line="240" w:lineRule="auto"/>
              <w:ind w:firstLine="0" w:firstLineChars="0"/>
              <w:jc w:val="center"/>
              <w:rPr>
                <w:color w:val="auto"/>
                <w:sz w:val="21"/>
                <w:szCs w:val="21"/>
              </w:rPr>
            </w:pPr>
            <w:r>
              <w:rPr>
                <w:color w:val="auto"/>
                <w:sz w:val="21"/>
                <w:szCs w:val="21"/>
              </w:rPr>
              <w:t>表层样</w:t>
            </w:r>
          </w:p>
        </w:tc>
        <w:tc>
          <w:tcPr>
            <w:tcW w:w="861" w:type="pct"/>
            <w:vMerge w:val="continue"/>
            <w:tcBorders>
              <w:tl2br w:val="nil"/>
              <w:tr2bl w:val="nil"/>
            </w:tcBorders>
            <w:vAlign w:val="center"/>
          </w:tcPr>
          <w:p w14:paraId="2B0B28C0">
            <w:pPr>
              <w:spacing w:line="240" w:lineRule="auto"/>
              <w:ind w:firstLine="0" w:firstLineChars="0"/>
              <w:jc w:val="center"/>
              <w:rPr>
                <w:color w:val="auto"/>
                <w:sz w:val="21"/>
                <w:szCs w:val="21"/>
              </w:rPr>
            </w:pPr>
          </w:p>
        </w:tc>
        <w:tc>
          <w:tcPr>
            <w:tcW w:w="1176" w:type="pct"/>
            <w:tcBorders>
              <w:tl2br w:val="nil"/>
              <w:tr2bl w:val="nil"/>
            </w:tcBorders>
            <w:vAlign w:val="center"/>
          </w:tcPr>
          <w:p w14:paraId="1E3F0B81">
            <w:pPr>
              <w:spacing w:line="240" w:lineRule="auto"/>
              <w:ind w:firstLine="0" w:firstLineChars="0"/>
              <w:jc w:val="center"/>
              <w:rPr>
                <w:color w:val="auto"/>
                <w:sz w:val="21"/>
                <w:szCs w:val="21"/>
              </w:rPr>
            </w:pPr>
            <w:r>
              <w:rPr>
                <w:color w:val="auto"/>
                <w:sz w:val="21"/>
                <w:szCs w:val="21"/>
              </w:rPr>
              <w:t>《土壤环境质量 建设用地土壤污染风险管控标准(试行)》(GB36600-2018)表1的45项和表2的石油烃（C</w:t>
            </w:r>
            <w:r>
              <w:rPr>
                <w:color w:val="auto"/>
                <w:sz w:val="21"/>
                <w:szCs w:val="21"/>
                <w:vertAlign w:val="subscript"/>
              </w:rPr>
              <w:t>10</w:t>
            </w:r>
            <w:r>
              <w:rPr>
                <w:color w:val="auto"/>
                <w:sz w:val="21"/>
                <w:szCs w:val="21"/>
              </w:rPr>
              <w:t>-C</w:t>
            </w:r>
            <w:r>
              <w:rPr>
                <w:color w:val="auto"/>
                <w:sz w:val="21"/>
                <w:szCs w:val="21"/>
                <w:vertAlign w:val="subscript"/>
              </w:rPr>
              <w:t>40</w:t>
            </w:r>
            <w:r>
              <w:rPr>
                <w:color w:val="auto"/>
                <w:sz w:val="21"/>
                <w:szCs w:val="21"/>
              </w:rPr>
              <w:t>）</w:t>
            </w:r>
          </w:p>
        </w:tc>
        <w:tc>
          <w:tcPr>
            <w:tcW w:w="782" w:type="pct"/>
            <w:vMerge w:val="continue"/>
            <w:tcBorders>
              <w:tl2br w:val="nil"/>
              <w:tr2bl w:val="nil"/>
            </w:tcBorders>
            <w:vAlign w:val="center"/>
          </w:tcPr>
          <w:p w14:paraId="6106C161">
            <w:pPr>
              <w:spacing w:line="240" w:lineRule="auto"/>
              <w:ind w:firstLine="0" w:firstLineChars="0"/>
              <w:jc w:val="center"/>
              <w:rPr>
                <w:color w:val="auto"/>
                <w:sz w:val="21"/>
                <w:szCs w:val="21"/>
              </w:rPr>
            </w:pPr>
          </w:p>
        </w:tc>
      </w:tr>
    </w:tbl>
    <w:p w14:paraId="4B53D894">
      <w:pPr>
        <w:ind w:firstLine="480"/>
        <w:rPr>
          <w:bCs/>
          <w:color w:val="auto"/>
        </w:rPr>
      </w:pPr>
      <w:r>
        <w:rPr>
          <w:rFonts w:hint="eastAsia"/>
          <w:bCs/>
          <w:color w:val="auto"/>
        </w:rPr>
        <w:t>（2）监测时间及频次</w:t>
      </w:r>
    </w:p>
    <w:p w14:paraId="681544D7">
      <w:pPr>
        <w:ind w:firstLine="480"/>
        <w:rPr>
          <w:bCs/>
          <w:color w:val="auto"/>
        </w:rPr>
      </w:pPr>
      <w:r>
        <w:rPr>
          <w:rFonts w:hint="eastAsia"/>
          <w:bCs/>
          <w:color w:val="auto"/>
        </w:rPr>
        <w:t>T7点位引用</w:t>
      </w:r>
      <w:r>
        <w:rPr>
          <w:bCs/>
          <w:color w:val="auto"/>
        </w:rPr>
        <w:t>江苏光质检测科技有限公司</w:t>
      </w:r>
      <w:r>
        <w:rPr>
          <w:rFonts w:hint="eastAsia"/>
          <w:bCs/>
          <w:color w:val="auto"/>
        </w:rPr>
        <w:t>检测数据</w:t>
      </w:r>
      <w:r>
        <w:rPr>
          <w:bCs/>
          <w:color w:val="auto"/>
        </w:rPr>
        <w:t>，监测时间为2024.10.12。监测1次。</w:t>
      </w:r>
      <w:r>
        <w:rPr>
          <w:rFonts w:hint="eastAsia"/>
          <w:bCs/>
          <w:color w:val="auto"/>
        </w:rPr>
        <w:t>其他点位为本次委托南京国测检测技术有限公司实测，监测时间为2026.3.19，监测1次。</w:t>
      </w:r>
    </w:p>
    <w:p w14:paraId="738A07FD">
      <w:pPr>
        <w:ind w:firstLine="480"/>
        <w:rPr>
          <w:bCs/>
          <w:color w:val="auto"/>
        </w:rPr>
      </w:pPr>
      <w:r>
        <w:rPr>
          <w:rFonts w:hint="eastAsia"/>
          <w:bCs/>
          <w:color w:val="auto"/>
        </w:rPr>
        <w:t>（3）监测方法</w:t>
      </w:r>
    </w:p>
    <w:p w14:paraId="14D69A6B">
      <w:pPr>
        <w:ind w:firstLine="480"/>
        <w:rPr>
          <w:bCs/>
          <w:color w:val="auto"/>
        </w:rPr>
      </w:pPr>
      <w:r>
        <w:rPr>
          <w:rFonts w:hint="eastAsia"/>
          <w:bCs/>
          <w:color w:val="auto"/>
        </w:rPr>
        <w:t>监测分析方法详见下表。</w:t>
      </w:r>
    </w:p>
    <w:p w14:paraId="2281AF95">
      <w:pPr>
        <w:ind w:firstLine="482"/>
        <w:jc w:val="center"/>
        <w:rPr>
          <w:b/>
          <w:color w:val="auto"/>
        </w:rPr>
      </w:pPr>
      <w:r>
        <w:rPr>
          <w:rFonts w:hint="eastAsia"/>
          <w:b/>
          <w:color w:val="auto"/>
        </w:rPr>
        <w:t>表5.2.6-2 土壤环境质量现状监测分析方法</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8476"/>
      </w:tblGrid>
      <w:tr w14:paraId="5842B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0991F29F">
            <w:pPr>
              <w:widowControl/>
              <w:spacing w:line="240" w:lineRule="auto"/>
              <w:ind w:firstLine="0" w:firstLineChars="0"/>
              <w:jc w:val="center"/>
              <w:rPr>
                <w:b/>
                <w:bCs/>
                <w:color w:val="auto"/>
                <w:kern w:val="0"/>
                <w:sz w:val="21"/>
                <w:szCs w:val="21"/>
              </w:rPr>
            </w:pPr>
            <w:r>
              <w:rPr>
                <w:b/>
                <w:bCs/>
                <w:color w:val="auto"/>
                <w:kern w:val="0"/>
                <w:sz w:val="21"/>
                <w:szCs w:val="21"/>
              </w:rPr>
              <w:t>检测项目</w:t>
            </w:r>
          </w:p>
        </w:tc>
        <w:tc>
          <w:tcPr>
            <w:tcW w:w="4301" w:type="pct"/>
            <w:vAlign w:val="center"/>
          </w:tcPr>
          <w:p w14:paraId="17845972">
            <w:pPr>
              <w:widowControl/>
              <w:spacing w:line="240" w:lineRule="auto"/>
              <w:ind w:firstLine="0" w:firstLineChars="0"/>
              <w:jc w:val="center"/>
              <w:rPr>
                <w:b/>
                <w:bCs/>
                <w:color w:val="auto"/>
                <w:kern w:val="0"/>
                <w:sz w:val="21"/>
                <w:szCs w:val="21"/>
              </w:rPr>
            </w:pPr>
            <w:r>
              <w:rPr>
                <w:b/>
                <w:bCs/>
                <w:color w:val="auto"/>
                <w:kern w:val="0"/>
                <w:sz w:val="21"/>
                <w:szCs w:val="21"/>
              </w:rPr>
              <w:t>监测方法</w:t>
            </w:r>
          </w:p>
        </w:tc>
      </w:tr>
      <w:tr w14:paraId="334E8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256BE18C">
            <w:pPr>
              <w:widowControl/>
              <w:spacing w:line="240" w:lineRule="auto"/>
              <w:ind w:firstLine="0" w:firstLineChars="0"/>
              <w:jc w:val="center"/>
              <w:rPr>
                <w:color w:val="auto"/>
                <w:kern w:val="0"/>
                <w:sz w:val="21"/>
                <w:szCs w:val="21"/>
              </w:rPr>
            </w:pPr>
            <w:r>
              <w:rPr>
                <w:color w:val="auto"/>
                <w:kern w:val="0"/>
                <w:sz w:val="21"/>
                <w:szCs w:val="21"/>
              </w:rPr>
              <w:t>pH</w:t>
            </w:r>
          </w:p>
        </w:tc>
        <w:tc>
          <w:tcPr>
            <w:tcW w:w="4301" w:type="pct"/>
            <w:vAlign w:val="center"/>
          </w:tcPr>
          <w:p w14:paraId="4F6FD599">
            <w:pPr>
              <w:widowControl/>
              <w:spacing w:line="240" w:lineRule="auto"/>
              <w:ind w:firstLine="0" w:firstLineChars="0"/>
              <w:jc w:val="center"/>
              <w:rPr>
                <w:color w:val="auto"/>
                <w:kern w:val="0"/>
                <w:sz w:val="21"/>
                <w:szCs w:val="21"/>
              </w:rPr>
            </w:pPr>
            <w:r>
              <w:rPr>
                <w:color w:val="auto"/>
                <w:kern w:val="0"/>
                <w:sz w:val="21"/>
                <w:szCs w:val="21"/>
              </w:rPr>
              <w:t>土壤  pH值的测定  电位法  HJ  962-2018</w:t>
            </w:r>
          </w:p>
        </w:tc>
      </w:tr>
      <w:tr w14:paraId="2707C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366FFA3E">
            <w:pPr>
              <w:widowControl/>
              <w:spacing w:line="240" w:lineRule="auto"/>
              <w:ind w:firstLine="0" w:firstLineChars="0"/>
              <w:jc w:val="center"/>
              <w:rPr>
                <w:color w:val="auto"/>
                <w:kern w:val="0"/>
                <w:sz w:val="21"/>
                <w:szCs w:val="21"/>
              </w:rPr>
            </w:pPr>
            <w:r>
              <w:rPr>
                <w:color w:val="auto"/>
                <w:kern w:val="0"/>
                <w:sz w:val="21"/>
                <w:szCs w:val="21"/>
              </w:rPr>
              <w:t>半挥发性有机物</w:t>
            </w:r>
          </w:p>
        </w:tc>
        <w:tc>
          <w:tcPr>
            <w:tcW w:w="4301" w:type="pct"/>
            <w:vAlign w:val="center"/>
          </w:tcPr>
          <w:p w14:paraId="1E7D77A7">
            <w:pPr>
              <w:widowControl/>
              <w:spacing w:line="240" w:lineRule="auto"/>
              <w:ind w:firstLine="0" w:firstLineChars="0"/>
              <w:jc w:val="center"/>
              <w:rPr>
                <w:color w:val="auto"/>
                <w:kern w:val="0"/>
                <w:sz w:val="21"/>
                <w:szCs w:val="21"/>
              </w:rPr>
            </w:pPr>
            <w:r>
              <w:rPr>
                <w:color w:val="auto"/>
                <w:kern w:val="0"/>
                <w:sz w:val="21"/>
                <w:szCs w:val="21"/>
              </w:rPr>
              <w:t>土壤和沉积物  半挥发性有机物的测定  气相色谱-质谱法HJ  834-2017</w:t>
            </w:r>
          </w:p>
        </w:tc>
      </w:tr>
      <w:tr w14:paraId="5174A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24AEEEBC">
            <w:pPr>
              <w:widowControl/>
              <w:spacing w:line="240" w:lineRule="auto"/>
              <w:ind w:firstLine="0" w:firstLineChars="0"/>
              <w:jc w:val="center"/>
              <w:rPr>
                <w:color w:val="auto"/>
                <w:kern w:val="0"/>
                <w:sz w:val="21"/>
                <w:szCs w:val="21"/>
              </w:rPr>
            </w:pPr>
            <w:r>
              <w:rPr>
                <w:color w:val="auto"/>
                <w:kern w:val="0"/>
                <w:sz w:val="21"/>
                <w:szCs w:val="21"/>
              </w:rPr>
              <w:t>挥发性有机物</w:t>
            </w:r>
          </w:p>
        </w:tc>
        <w:tc>
          <w:tcPr>
            <w:tcW w:w="4301" w:type="pct"/>
            <w:vAlign w:val="center"/>
          </w:tcPr>
          <w:p w14:paraId="6AB7FBB6">
            <w:pPr>
              <w:widowControl/>
              <w:spacing w:line="240" w:lineRule="auto"/>
              <w:ind w:firstLine="0" w:firstLineChars="0"/>
              <w:jc w:val="center"/>
              <w:rPr>
                <w:color w:val="auto"/>
                <w:kern w:val="0"/>
                <w:sz w:val="21"/>
                <w:szCs w:val="21"/>
              </w:rPr>
            </w:pPr>
            <w:r>
              <w:rPr>
                <w:color w:val="auto"/>
                <w:kern w:val="0"/>
                <w:sz w:val="21"/>
                <w:szCs w:val="21"/>
              </w:rPr>
              <w:t>土壤和沉积物  挥发性有机化合物的测定  吹扫捕集/气相色谱-质谱法  HJ605-2011</w:t>
            </w:r>
          </w:p>
        </w:tc>
      </w:tr>
      <w:tr w14:paraId="2ACAE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4C3F1679">
            <w:pPr>
              <w:widowControl/>
              <w:spacing w:line="240" w:lineRule="auto"/>
              <w:ind w:firstLine="0" w:firstLineChars="0"/>
              <w:jc w:val="center"/>
              <w:rPr>
                <w:color w:val="auto"/>
                <w:kern w:val="0"/>
                <w:sz w:val="21"/>
                <w:szCs w:val="21"/>
              </w:rPr>
            </w:pPr>
            <w:r>
              <w:rPr>
                <w:color w:val="auto"/>
                <w:kern w:val="0"/>
                <w:sz w:val="21"/>
                <w:szCs w:val="21"/>
              </w:rPr>
              <w:t>镉</w:t>
            </w:r>
          </w:p>
        </w:tc>
        <w:tc>
          <w:tcPr>
            <w:tcW w:w="4301" w:type="pct"/>
            <w:vAlign w:val="center"/>
          </w:tcPr>
          <w:p w14:paraId="3E47CA8A">
            <w:pPr>
              <w:widowControl/>
              <w:spacing w:line="240" w:lineRule="auto"/>
              <w:ind w:firstLine="0" w:firstLineChars="0"/>
              <w:jc w:val="center"/>
              <w:rPr>
                <w:color w:val="auto"/>
                <w:kern w:val="0"/>
                <w:sz w:val="21"/>
                <w:szCs w:val="21"/>
              </w:rPr>
            </w:pPr>
            <w:r>
              <w:rPr>
                <w:color w:val="auto"/>
                <w:kern w:val="0"/>
                <w:sz w:val="21"/>
                <w:szCs w:val="21"/>
              </w:rPr>
              <w:t>土壤质量  铅、镉的测定  石墨炉原子吸收分光光度法GB/T17141-1997</w:t>
            </w:r>
          </w:p>
        </w:tc>
      </w:tr>
      <w:tr w14:paraId="1EAF5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74D4C1D7">
            <w:pPr>
              <w:widowControl/>
              <w:spacing w:line="240" w:lineRule="auto"/>
              <w:ind w:firstLine="0" w:firstLineChars="0"/>
              <w:jc w:val="center"/>
              <w:rPr>
                <w:color w:val="auto"/>
                <w:kern w:val="0"/>
                <w:sz w:val="21"/>
                <w:szCs w:val="21"/>
              </w:rPr>
            </w:pPr>
            <w:r>
              <w:rPr>
                <w:color w:val="auto"/>
                <w:kern w:val="0"/>
                <w:sz w:val="21"/>
                <w:szCs w:val="21"/>
              </w:rPr>
              <w:t>铬</w:t>
            </w:r>
          </w:p>
        </w:tc>
        <w:tc>
          <w:tcPr>
            <w:tcW w:w="4301" w:type="pct"/>
            <w:vAlign w:val="center"/>
          </w:tcPr>
          <w:p w14:paraId="4B0A94A0">
            <w:pPr>
              <w:widowControl/>
              <w:spacing w:line="240" w:lineRule="auto"/>
              <w:ind w:firstLine="0" w:firstLineChars="0"/>
              <w:jc w:val="center"/>
              <w:rPr>
                <w:color w:val="auto"/>
                <w:kern w:val="0"/>
                <w:sz w:val="21"/>
                <w:szCs w:val="21"/>
              </w:rPr>
            </w:pPr>
            <w:r>
              <w:rPr>
                <w:color w:val="auto"/>
                <w:kern w:val="0"/>
                <w:sz w:val="21"/>
                <w:szCs w:val="21"/>
              </w:rPr>
              <w:t>土壤和沉积物  铜、锌、铅、镍、铬的测定  火焰原子吸收分光光度法  HJ  491-2019</w:t>
            </w:r>
          </w:p>
        </w:tc>
      </w:tr>
      <w:tr w14:paraId="4A4C0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6F15D76E">
            <w:pPr>
              <w:widowControl/>
              <w:spacing w:line="240" w:lineRule="auto"/>
              <w:ind w:firstLine="0" w:firstLineChars="0"/>
              <w:jc w:val="center"/>
              <w:rPr>
                <w:color w:val="auto"/>
                <w:kern w:val="0"/>
                <w:sz w:val="21"/>
                <w:szCs w:val="21"/>
              </w:rPr>
            </w:pPr>
            <w:r>
              <w:rPr>
                <w:color w:val="auto"/>
                <w:kern w:val="0"/>
                <w:sz w:val="21"/>
                <w:szCs w:val="21"/>
              </w:rPr>
              <w:t>汞</w:t>
            </w:r>
          </w:p>
        </w:tc>
        <w:tc>
          <w:tcPr>
            <w:tcW w:w="4301" w:type="pct"/>
            <w:vAlign w:val="center"/>
          </w:tcPr>
          <w:p w14:paraId="5493D047">
            <w:pPr>
              <w:widowControl/>
              <w:spacing w:line="240" w:lineRule="auto"/>
              <w:ind w:firstLine="0" w:firstLineChars="0"/>
              <w:jc w:val="center"/>
              <w:rPr>
                <w:color w:val="auto"/>
                <w:kern w:val="0"/>
                <w:sz w:val="21"/>
                <w:szCs w:val="21"/>
              </w:rPr>
            </w:pPr>
            <w:r>
              <w:rPr>
                <w:color w:val="auto"/>
                <w:kern w:val="0"/>
                <w:sz w:val="21"/>
                <w:szCs w:val="21"/>
              </w:rPr>
              <w:t>土壤质量  总汞、总砷、总铅的测定  原子荧光法  第1部分:土壤中总汞的测定  GB/T22105.1-2008</w:t>
            </w:r>
          </w:p>
        </w:tc>
      </w:tr>
      <w:tr w14:paraId="09E0C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7E04B344">
            <w:pPr>
              <w:widowControl/>
              <w:spacing w:line="240" w:lineRule="auto"/>
              <w:ind w:firstLine="0" w:firstLineChars="0"/>
              <w:jc w:val="center"/>
              <w:rPr>
                <w:color w:val="auto"/>
                <w:kern w:val="0"/>
                <w:sz w:val="21"/>
                <w:szCs w:val="21"/>
              </w:rPr>
            </w:pPr>
            <w:r>
              <w:rPr>
                <w:color w:val="auto"/>
                <w:kern w:val="0"/>
                <w:sz w:val="21"/>
                <w:szCs w:val="21"/>
              </w:rPr>
              <w:t>镍</w:t>
            </w:r>
          </w:p>
        </w:tc>
        <w:tc>
          <w:tcPr>
            <w:tcW w:w="4301" w:type="pct"/>
            <w:vAlign w:val="center"/>
          </w:tcPr>
          <w:p w14:paraId="380C9B5D">
            <w:pPr>
              <w:widowControl/>
              <w:spacing w:line="240" w:lineRule="auto"/>
              <w:ind w:firstLine="0" w:firstLineChars="0"/>
              <w:jc w:val="center"/>
              <w:rPr>
                <w:color w:val="auto"/>
                <w:kern w:val="0"/>
                <w:sz w:val="21"/>
                <w:szCs w:val="21"/>
              </w:rPr>
            </w:pPr>
            <w:r>
              <w:rPr>
                <w:color w:val="auto"/>
                <w:kern w:val="0"/>
                <w:sz w:val="21"/>
                <w:szCs w:val="21"/>
              </w:rPr>
              <w:t>土壤和沉积物  铜、锌、铅、镍、铬的测定  火焰原子吸收分光光度法  HJ  491-2019</w:t>
            </w:r>
          </w:p>
        </w:tc>
      </w:tr>
      <w:tr w14:paraId="6E774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5273F3AE">
            <w:pPr>
              <w:widowControl/>
              <w:spacing w:line="240" w:lineRule="auto"/>
              <w:ind w:firstLine="0" w:firstLineChars="0"/>
              <w:jc w:val="center"/>
              <w:rPr>
                <w:color w:val="auto"/>
                <w:kern w:val="0"/>
                <w:sz w:val="21"/>
                <w:szCs w:val="21"/>
              </w:rPr>
            </w:pPr>
            <w:r>
              <w:rPr>
                <w:color w:val="auto"/>
                <w:kern w:val="0"/>
                <w:sz w:val="21"/>
                <w:szCs w:val="21"/>
              </w:rPr>
              <w:t>铅</w:t>
            </w:r>
          </w:p>
        </w:tc>
        <w:tc>
          <w:tcPr>
            <w:tcW w:w="4301" w:type="pct"/>
            <w:vAlign w:val="center"/>
          </w:tcPr>
          <w:p w14:paraId="1104B559">
            <w:pPr>
              <w:widowControl/>
              <w:spacing w:line="240" w:lineRule="auto"/>
              <w:ind w:firstLine="0" w:firstLineChars="0"/>
              <w:jc w:val="center"/>
              <w:rPr>
                <w:color w:val="auto"/>
                <w:kern w:val="0"/>
                <w:sz w:val="21"/>
                <w:szCs w:val="21"/>
              </w:rPr>
            </w:pPr>
            <w:r>
              <w:rPr>
                <w:color w:val="auto"/>
                <w:kern w:val="0"/>
                <w:sz w:val="21"/>
                <w:szCs w:val="21"/>
              </w:rPr>
              <w:t>土壤质量  铅、镉的测定  石墨炉原子吸收分光光度法GB/T17141-1997</w:t>
            </w:r>
          </w:p>
        </w:tc>
      </w:tr>
      <w:tr w14:paraId="03902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1EC9BCA9">
            <w:pPr>
              <w:widowControl/>
              <w:spacing w:line="240" w:lineRule="auto"/>
              <w:ind w:firstLine="0" w:firstLineChars="0"/>
              <w:jc w:val="center"/>
              <w:rPr>
                <w:color w:val="auto"/>
                <w:kern w:val="0"/>
                <w:sz w:val="21"/>
                <w:szCs w:val="21"/>
              </w:rPr>
            </w:pPr>
            <w:r>
              <w:rPr>
                <w:color w:val="auto"/>
                <w:kern w:val="0"/>
                <w:sz w:val="21"/>
                <w:szCs w:val="21"/>
              </w:rPr>
              <w:t>砷</w:t>
            </w:r>
          </w:p>
        </w:tc>
        <w:tc>
          <w:tcPr>
            <w:tcW w:w="4301" w:type="pct"/>
            <w:vAlign w:val="center"/>
          </w:tcPr>
          <w:p w14:paraId="213CD92B">
            <w:pPr>
              <w:widowControl/>
              <w:spacing w:line="240" w:lineRule="auto"/>
              <w:ind w:firstLine="0" w:firstLineChars="0"/>
              <w:jc w:val="center"/>
              <w:rPr>
                <w:color w:val="auto"/>
                <w:kern w:val="0"/>
                <w:sz w:val="21"/>
                <w:szCs w:val="21"/>
              </w:rPr>
            </w:pPr>
            <w:r>
              <w:rPr>
                <w:color w:val="auto"/>
                <w:kern w:val="0"/>
                <w:sz w:val="21"/>
                <w:szCs w:val="21"/>
              </w:rPr>
              <w:t>土壤质量  总汞、总砷、总铅的测定  原子荧光法  第2部分:土壤中总砷的测定GB/T  22105.2-2008</w:t>
            </w:r>
          </w:p>
        </w:tc>
      </w:tr>
      <w:tr w14:paraId="6FC13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340473DC">
            <w:pPr>
              <w:widowControl/>
              <w:spacing w:line="240" w:lineRule="auto"/>
              <w:ind w:firstLine="0" w:firstLineChars="0"/>
              <w:jc w:val="center"/>
              <w:rPr>
                <w:color w:val="auto"/>
                <w:kern w:val="0"/>
                <w:sz w:val="21"/>
                <w:szCs w:val="21"/>
              </w:rPr>
            </w:pPr>
            <w:r>
              <w:rPr>
                <w:color w:val="auto"/>
                <w:kern w:val="0"/>
                <w:sz w:val="21"/>
                <w:szCs w:val="21"/>
              </w:rPr>
              <w:t>铜</w:t>
            </w:r>
          </w:p>
        </w:tc>
        <w:tc>
          <w:tcPr>
            <w:tcW w:w="4301" w:type="pct"/>
            <w:vAlign w:val="center"/>
          </w:tcPr>
          <w:p w14:paraId="1111B20E">
            <w:pPr>
              <w:widowControl/>
              <w:spacing w:line="240" w:lineRule="auto"/>
              <w:ind w:firstLine="0" w:firstLineChars="0"/>
              <w:jc w:val="center"/>
              <w:rPr>
                <w:color w:val="auto"/>
                <w:kern w:val="0"/>
                <w:sz w:val="21"/>
                <w:szCs w:val="21"/>
              </w:rPr>
            </w:pPr>
            <w:r>
              <w:rPr>
                <w:color w:val="auto"/>
                <w:kern w:val="0"/>
                <w:sz w:val="21"/>
                <w:szCs w:val="21"/>
              </w:rPr>
              <w:t>土壤和沉积物  铜、锌、铅、镍、铬的测定  火焰原子吸收分光光度法  HJ  491-2019</w:t>
            </w:r>
          </w:p>
        </w:tc>
      </w:tr>
      <w:tr w14:paraId="205B2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0EB48A36">
            <w:pPr>
              <w:widowControl/>
              <w:spacing w:line="240" w:lineRule="auto"/>
              <w:ind w:firstLine="0" w:firstLineChars="0"/>
              <w:jc w:val="center"/>
              <w:rPr>
                <w:color w:val="auto"/>
                <w:kern w:val="0"/>
                <w:sz w:val="21"/>
                <w:szCs w:val="21"/>
              </w:rPr>
            </w:pPr>
            <w:r>
              <w:rPr>
                <w:color w:val="auto"/>
                <w:kern w:val="0"/>
                <w:sz w:val="21"/>
                <w:szCs w:val="21"/>
              </w:rPr>
              <w:t>锌</w:t>
            </w:r>
          </w:p>
        </w:tc>
        <w:tc>
          <w:tcPr>
            <w:tcW w:w="4301" w:type="pct"/>
            <w:vAlign w:val="center"/>
          </w:tcPr>
          <w:p w14:paraId="7FFDBBA3">
            <w:pPr>
              <w:widowControl/>
              <w:spacing w:line="240" w:lineRule="auto"/>
              <w:ind w:firstLine="0" w:firstLineChars="0"/>
              <w:jc w:val="center"/>
              <w:rPr>
                <w:color w:val="auto"/>
                <w:kern w:val="0"/>
                <w:sz w:val="21"/>
                <w:szCs w:val="21"/>
              </w:rPr>
            </w:pPr>
            <w:r>
              <w:rPr>
                <w:color w:val="auto"/>
                <w:kern w:val="0"/>
                <w:sz w:val="21"/>
                <w:szCs w:val="21"/>
              </w:rPr>
              <w:t>土壤和沉积物  铜、锌、铅、镍、铬的测定  火焰原子吸收分光光度法  HJ  491-2019</w:t>
            </w:r>
          </w:p>
        </w:tc>
      </w:tr>
      <w:tr w14:paraId="4A17A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46F241C0">
            <w:pPr>
              <w:widowControl/>
              <w:spacing w:line="240" w:lineRule="auto"/>
              <w:ind w:firstLine="0" w:firstLineChars="0"/>
              <w:jc w:val="center"/>
              <w:rPr>
                <w:color w:val="auto"/>
                <w:kern w:val="0"/>
                <w:sz w:val="21"/>
                <w:szCs w:val="21"/>
              </w:rPr>
            </w:pPr>
            <w:r>
              <w:rPr>
                <w:color w:val="auto"/>
                <w:kern w:val="0"/>
                <w:sz w:val="21"/>
                <w:szCs w:val="21"/>
              </w:rPr>
              <w:t>六价铬</w:t>
            </w:r>
          </w:p>
        </w:tc>
        <w:tc>
          <w:tcPr>
            <w:tcW w:w="4301" w:type="pct"/>
            <w:vAlign w:val="center"/>
          </w:tcPr>
          <w:p w14:paraId="32A6DBB7">
            <w:pPr>
              <w:widowControl/>
              <w:spacing w:line="240" w:lineRule="auto"/>
              <w:ind w:firstLine="0" w:firstLineChars="0"/>
              <w:jc w:val="center"/>
              <w:rPr>
                <w:color w:val="auto"/>
                <w:kern w:val="0"/>
                <w:sz w:val="21"/>
                <w:szCs w:val="21"/>
              </w:rPr>
            </w:pPr>
            <w:r>
              <w:rPr>
                <w:color w:val="auto"/>
                <w:kern w:val="0"/>
                <w:sz w:val="21"/>
                <w:szCs w:val="21"/>
              </w:rPr>
              <w:t>土壤和沉积物  六价铬的测定  碱溶液提取-火焰原子吸收分光光度</w:t>
            </w:r>
          </w:p>
          <w:p w14:paraId="007BED60">
            <w:pPr>
              <w:widowControl/>
              <w:spacing w:line="240" w:lineRule="auto"/>
              <w:ind w:firstLine="0" w:firstLineChars="0"/>
              <w:jc w:val="center"/>
              <w:rPr>
                <w:color w:val="auto"/>
                <w:kern w:val="0"/>
                <w:sz w:val="21"/>
                <w:szCs w:val="21"/>
              </w:rPr>
            </w:pPr>
            <w:r>
              <w:rPr>
                <w:color w:val="auto"/>
                <w:kern w:val="0"/>
                <w:sz w:val="21"/>
                <w:szCs w:val="21"/>
              </w:rPr>
              <w:t>法  HJ  1082-2019</w:t>
            </w:r>
          </w:p>
        </w:tc>
      </w:tr>
      <w:tr w14:paraId="67B0E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9" w:type="pct"/>
            <w:vAlign w:val="center"/>
          </w:tcPr>
          <w:p w14:paraId="593FFFFC">
            <w:pPr>
              <w:widowControl/>
              <w:spacing w:line="240" w:lineRule="auto"/>
              <w:ind w:firstLine="0" w:firstLineChars="0"/>
              <w:jc w:val="center"/>
              <w:rPr>
                <w:color w:val="auto"/>
                <w:kern w:val="0"/>
                <w:sz w:val="21"/>
                <w:szCs w:val="21"/>
              </w:rPr>
            </w:pPr>
            <w:r>
              <w:rPr>
                <w:color w:val="auto"/>
                <w:kern w:val="0"/>
                <w:sz w:val="21"/>
                <w:szCs w:val="21"/>
              </w:rPr>
              <w:t>石油烃</w:t>
            </w:r>
          </w:p>
          <w:p w14:paraId="1A20E11A">
            <w:pPr>
              <w:widowControl/>
              <w:spacing w:line="240" w:lineRule="auto"/>
              <w:ind w:firstLine="0" w:firstLineChars="0"/>
              <w:jc w:val="center"/>
              <w:rPr>
                <w:color w:val="auto"/>
                <w:kern w:val="0"/>
                <w:sz w:val="21"/>
                <w:szCs w:val="21"/>
              </w:rPr>
            </w:pPr>
            <w:r>
              <w:rPr>
                <w:color w:val="auto"/>
                <w:kern w:val="0"/>
                <w:sz w:val="21"/>
                <w:szCs w:val="21"/>
              </w:rPr>
              <w:t>(C</w:t>
            </w:r>
            <w:r>
              <w:rPr>
                <w:color w:val="auto"/>
                <w:kern w:val="0"/>
                <w:sz w:val="21"/>
                <w:szCs w:val="21"/>
                <w:vertAlign w:val="subscript"/>
              </w:rPr>
              <w:t>10</w:t>
            </w:r>
            <w:r>
              <w:rPr>
                <w:color w:val="auto"/>
                <w:kern w:val="0"/>
                <w:sz w:val="21"/>
                <w:szCs w:val="21"/>
              </w:rPr>
              <w:t>-C</w:t>
            </w:r>
            <w:r>
              <w:rPr>
                <w:color w:val="auto"/>
                <w:kern w:val="0"/>
                <w:sz w:val="21"/>
                <w:szCs w:val="21"/>
                <w:vertAlign w:val="subscript"/>
              </w:rPr>
              <w:t>40</w:t>
            </w:r>
            <w:r>
              <w:rPr>
                <w:color w:val="auto"/>
                <w:kern w:val="0"/>
                <w:sz w:val="21"/>
                <w:szCs w:val="21"/>
              </w:rPr>
              <w:t>)</w:t>
            </w:r>
          </w:p>
        </w:tc>
        <w:tc>
          <w:tcPr>
            <w:tcW w:w="4301" w:type="pct"/>
            <w:vAlign w:val="center"/>
          </w:tcPr>
          <w:p w14:paraId="0AC592FE">
            <w:pPr>
              <w:widowControl/>
              <w:spacing w:line="240" w:lineRule="auto"/>
              <w:ind w:firstLine="0" w:firstLineChars="0"/>
              <w:jc w:val="center"/>
              <w:rPr>
                <w:color w:val="auto"/>
                <w:kern w:val="0"/>
                <w:sz w:val="21"/>
                <w:szCs w:val="21"/>
              </w:rPr>
            </w:pPr>
            <w:r>
              <w:rPr>
                <w:color w:val="auto"/>
                <w:kern w:val="0"/>
                <w:sz w:val="21"/>
                <w:szCs w:val="21"/>
              </w:rPr>
              <w:t>土壤和沉积物  石油烃(C10-C40)的测定  气相色谱法</w:t>
            </w:r>
          </w:p>
          <w:p w14:paraId="618D6270">
            <w:pPr>
              <w:widowControl/>
              <w:spacing w:line="240" w:lineRule="auto"/>
              <w:ind w:firstLine="0" w:firstLineChars="0"/>
              <w:jc w:val="center"/>
              <w:rPr>
                <w:color w:val="auto"/>
                <w:kern w:val="0"/>
                <w:sz w:val="21"/>
                <w:szCs w:val="21"/>
              </w:rPr>
            </w:pPr>
            <w:r>
              <w:rPr>
                <w:color w:val="auto"/>
                <w:kern w:val="0"/>
                <w:sz w:val="21"/>
                <w:szCs w:val="21"/>
              </w:rPr>
              <w:t>HJ  1021-2019</w:t>
            </w:r>
          </w:p>
        </w:tc>
      </w:tr>
    </w:tbl>
    <w:p w14:paraId="67B222CB">
      <w:pPr>
        <w:ind w:firstLine="480"/>
        <w:rPr>
          <w:bCs/>
          <w:color w:val="auto"/>
        </w:rPr>
      </w:pPr>
      <w:r>
        <w:rPr>
          <w:rFonts w:hint="eastAsia"/>
          <w:bCs/>
          <w:color w:val="auto"/>
        </w:rPr>
        <w:t>（4）监测结果与评价</w:t>
      </w:r>
    </w:p>
    <w:p w14:paraId="518215C1">
      <w:pPr>
        <w:ind w:firstLine="480"/>
        <w:rPr>
          <w:bCs/>
          <w:color w:val="auto"/>
        </w:rPr>
        <w:sectPr>
          <w:pgSz w:w="11906" w:h="16838"/>
          <w:pgMar w:top="1134" w:right="1134" w:bottom="1134" w:left="1134" w:header="851" w:footer="992" w:gutter="0"/>
          <w:cols w:space="425" w:num="1"/>
          <w:docGrid w:type="lines" w:linePitch="312" w:charSpace="0"/>
        </w:sectPr>
      </w:pPr>
      <w:r>
        <w:rPr>
          <w:bCs/>
          <w:color w:val="auto"/>
        </w:rPr>
        <w:t>土壤环境现状监测结果见</w:t>
      </w:r>
      <w:r>
        <w:rPr>
          <w:rFonts w:hint="eastAsia"/>
          <w:bCs/>
          <w:color w:val="auto"/>
        </w:rPr>
        <w:t>下</w:t>
      </w:r>
      <w:r>
        <w:rPr>
          <w:bCs/>
          <w:color w:val="auto"/>
        </w:rPr>
        <w:t>表。</w:t>
      </w:r>
    </w:p>
    <w:p w14:paraId="0B55780D">
      <w:pPr>
        <w:ind w:firstLine="482"/>
        <w:jc w:val="center"/>
        <w:rPr>
          <w:b/>
          <w:color w:val="auto"/>
        </w:rPr>
      </w:pPr>
      <w:r>
        <w:rPr>
          <w:rFonts w:hint="eastAsia"/>
          <w:b/>
          <w:color w:val="auto"/>
        </w:rPr>
        <w:t>表5.2.6-3 土壤环境质量现状监测结果（mg/kg）</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109"/>
        <w:gridCol w:w="1109"/>
        <w:gridCol w:w="1112"/>
        <w:gridCol w:w="1127"/>
        <w:gridCol w:w="1118"/>
        <w:gridCol w:w="1115"/>
        <w:gridCol w:w="1112"/>
        <w:gridCol w:w="1106"/>
        <w:gridCol w:w="1106"/>
        <w:gridCol w:w="1103"/>
        <w:gridCol w:w="1103"/>
        <w:gridCol w:w="1100"/>
      </w:tblGrid>
      <w:tr w14:paraId="7B464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restart"/>
            <w:vAlign w:val="center"/>
          </w:tcPr>
          <w:p w14:paraId="298CCD32">
            <w:pPr>
              <w:spacing w:line="240" w:lineRule="auto"/>
              <w:ind w:firstLine="0" w:firstLineChars="0"/>
              <w:jc w:val="center"/>
              <w:rPr>
                <w:b/>
                <w:color w:val="auto"/>
                <w:sz w:val="21"/>
                <w:szCs w:val="21"/>
              </w:rPr>
            </w:pPr>
            <w:r>
              <w:rPr>
                <w:b/>
                <w:color w:val="auto"/>
                <w:sz w:val="21"/>
                <w:szCs w:val="21"/>
              </w:rPr>
              <w:t>监测因子</w:t>
            </w:r>
          </w:p>
        </w:tc>
        <w:tc>
          <w:tcPr>
            <w:tcW w:w="4504" w:type="pct"/>
            <w:gridSpan w:val="12"/>
            <w:vAlign w:val="center"/>
          </w:tcPr>
          <w:p w14:paraId="07D23896">
            <w:pPr>
              <w:spacing w:line="240" w:lineRule="auto"/>
              <w:ind w:firstLine="0" w:firstLineChars="0"/>
              <w:jc w:val="center"/>
              <w:rPr>
                <w:b/>
                <w:color w:val="auto"/>
                <w:sz w:val="21"/>
                <w:szCs w:val="21"/>
              </w:rPr>
            </w:pPr>
            <w:r>
              <w:rPr>
                <w:b/>
                <w:color w:val="auto"/>
                <w:sz w:val="21"/>
                <w:szCs w:val="21"/>
              </w:rPr>
              <w:t>点位</w:t>
            </w:r>
          </w:p>
        </w:tc>
      </w:tr>
      <w:tr w14:paraId="6BBF4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1DBADB8B">
            <w:pPr>
              <w:spacing w:line="240" w:lineRule="auto"/>
              <w:ind w:firstLine="0" w:firstLineChars="0"/>
              <w:jc w:val="center"/>
              <w:rPr>
                <w:b/>
                <w:color w:val="auto"/>
                <w:sz w:val="21"/>
                <w:szCs w:val="21"/>
              </w:rPr>
            </w:pPr>
          </w:p>
        </w:tc>
        <w:tc>
          <w:tcPr>
            <w:tcW w:w="1507" w:type="pct"/>
            <w:gridSpan w:val="4"/>
            <w:vAlign w:val="center"/>
          </w:tcPr>
          <w:p w14:paraId="56C14B1C">
            <w:pPr>
              <w:spacing w:line="240" w:lineRule="auto"/>
              <w:ind w:firstLine="0" w:firstLineChars="0"/>
              <w:jc w:val="center"/>
              <w:rPr>
                <w:b/>
                <w:color w:val="auto"/>
                <w:sz w:val="21"/>
                <w:szCs w:val="21"/>
              </w:rPr>
            </w:pPr>
            <w:r>
              <w:rPr>
                <w:b/>
                <w:color w:val="auto"/>
                <w:sz w:val="21"/>
                <w:szCs w:val="21"/>
              </w:rPr>
              <w:t>T1</w:t>
            </w:r>
          </w:p>
        </w:tc>
        <w:tc>
          <w:tcPr>
            <w:tcW w:w="1505" w:type="pct"/>
            <w:gridSpan w:val="4"/>
            <w:vAlign w:val="center"/>
          </w:tcPr>
          <w:p w14:paraId="36DA9F53">
            <w:pPr>
              <w:spacing w:line="240" w:lineRule="auto"/>
              <w:ind w:firstLine="0" w:firstLineChars="0"/>
              <w:jc w:val="center"/>
              <w:rPr>
                <w:b/>
                <w:color w:val="auto"/>
                <w:sz w:val="21"/>
                <w:szCs w:val="21"/>
              </w:rPr>
            </w:pPr>
            <w:r>
              <w:rPr>
                <w:b/>
                <w:color w:val="auto"/>
                <w:sz w:val="21"/>
                <w:szCs w:val="21"/>
              </w:rPr>
              <w:t>T2</w:t>
            </w:r>
          </w:p>
        </w:tc>
        <w:tc>
          <w:tcPr>
            <w:tcW w:w="1492" w:type="pct"/>
            <w:gridSpan w:val="4"/>
            <w:vAlign w:val="center"/>
          </w:tcPr>
          <w:p w14:paraId="46719E02">
            <w:pPr>
              <w:spacing w:line="240" w:lineRule="auto"/>
              <w:ind w:firstLine="0" w:firstLineChars="0"/>
              <w:jc w:val="center"/>
              <w:rPr>
                <w:b/>
                <w:color w:val="auto"/>
                <w:sz w:val="21"/>
                <w:szCs w:val="21"/>
              </w:rPr>
            </w:pPr>
            <w:r>
              <w:rPr>
                <w:rFonts w:hint="eastAsia"/>
                <w:b/>
                <w:color w:val="auto"/>
                <w:sz w:val="21"/>
                <w:szCs w:val="21"/>
              </w:rPr>
              <w:t>T3</w:t>
            </w:r>
          </w:p>
        </w:tc>
      </w:tr>
      <w:tr w14:paraId="7FFDB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71DD37B9">
            <w:pPr>
              <w:spacing w:line="240" w:lineRule="auto"/>
              <w:ind w:firstLine="0" w:firstLineChars="0"/>
              <w:jc w:val="center"/>
              <w:rPr>
                <w:b/>
                <w:color w:val="auto"/>
                <w:sz w:val="21"/>
                <w:szCs w:val="21"/>
              </w:rPr>
            </w:pPr>
          </w:p>
        </w:tc>
        <w:tc>
          <w:tcPr>
            <w:tcW w:w="375" w:type="pct"/>
            <w:vAlign w:val="center"/>
          </w:tcPr>
          <w:p w14:paraId="0342D2D4">
            <w:pPr>
              <w:spacing w:line="240" w:lineRule="auto"/>
              <w:ind w:firstLine="0" w:firstLineChars="0"/>
              <w:jc w:val="center"/>
              <w:rPr>
                <w:b/>
                <w:color w:val="auto"/>
                <w:sz w:val="21"/>
                <w:szCs w:val="21"/>
              </w:rPr>
            </w:pPr>
            <w:r>
              <w:rPr>
                <w:b/>
                <w:color w:val="auto"/>
                <w:sz w:val="21"/>
                <w:szCs w:val="21"/>
              </w:rPr>
              <w:t>0-0.5m</w:t>
            </w:r>
          </w:p>
        </w:tc>
        <w:tc>
          <w:tcPr>
            <w:tcW w:w="375" w:type="pct"/>
            <w:vAlign w:val="center"/>
          </w:tcPr>
          <w:p w14:paraId="6AC25000">
            <w:pPr>
              <w:spacing w:line="240" w:lineRule="auto"/>
              <w:ind w:firstLine="0" w:firstLineChars="0"/>
              <w:jc w:val="center"/>
              <w:rPr>
                <w:b/>
                <w:color w:val="auto"/>
                <w:sz w:val="21"/>
                <w:szCs w:val="21"/>
              </w:rPr>
            </w:pPr>
            <w:r>
              <w:rPr>
                <w:b/>
                <w:color w:val="auto"/>
                <w:sz w:val="21"/>
                <w:szCs w:val="21"/>
              </w:rPr>
              <w:t>0.5-1.5m</w:t>
            </w:r>
          </w:p>
        </w:tc>
        <w:tc>
          <w:tcPr>
            <w:tcW w:w="376" w:type="pct"/>
            <w:vAlign w:val="center"/>
          </w:tcPr>
          <w:p w14:paraId="69B5ABC6">
            <w:pPr>
              <w:spacing w:line="240" w:lineRule="auto"/>
              <w:ind w:firstLine="0" w:firstLineChars="0"/>
              <w:jc w:val="center"/>
              <w:rPr>
                <w:b/>
                <w:color w:val="auto"/>
                <w:sz w:val="21"/>
                <w:szCs w:val="21"/>
              </w:rPr>
            </w:pPr>
            <w:r>
              <w:rPr>
                <w:b/>
                <w:color w:val="auto"/>
                <w:sz w:val="21"/>
                <w:szCs w:val="21"/>
              </w:rPr>
              <w:t>1.5-3.0m</w:t>
            </w:r>
          </w:p>
        </w:tc>
        <w:tc>
          <w:tcPr>
            <w:tcW w:w="381" w:type="pct"/>
            <w:vAlign w:val="center"/>
          </w:tcPr>
          <w:p w14:paraId="4FBFF3B5">
            <w:pPr>
              <w:spacing w:line="240" w:lineRule="auto"/>
              <w:ind w:firstLine="0" w:firstLineChars="0"/>
              <w:jc w:val="center"/>
              <w:rPr>
                <w:b/>
                <w:color w:val="auto"/>
                <w:sz w:val="21"/>
                <w:szCs w:val="21"/>
              </w:rPr>
            </w:pPr>
            <w:r>
              <w:rPr>
                <w:b/>
                <w:color w:val="auto"/>
                <w:sz w:val="21"/>
                <w:szCs w:val="21"/>
              </w:rPr>
              <w:t>3m以下</w:t>
            </w:r>
          </w:p>
        </w:tc>
        <w:tc>
          <w:tcPr>
            <w:tcW w:w="378" w:type="pct"/>
            <w:vAlign w:val="center"/>
          </w:tcPr>
          <w:p w14:paraId="0162D024">
            <w:pPr>
              <w:spacing w:line="240" w:lineRule="auto"/>
              <w:ind w:firstLine="0" w:firstLineChars="0"/>
              <w:jc w:val="center"/>
              <w:rPr>
                <w:b/>
                <w:color w:val="auto"/>
                <w:sz w:val="21"/>
                <w:szCs w:val="21"/>
              </w:rPr>
            </w:pPr>
            <w:r>
              <w:rPr>
                <w:b/>
                <w:color w:val="auto"/>
                <w:sz w:val="21"/>
                <w:szCs w:val="21"/>
              </w:rPr>
              <w:t>0-0.5m</w:t>
            </w:r>
          </w:p>
        </w:tc>
        <w:tc>
          <w:tcPr>
            <w:tcW w:w="377" w:type="pct"/>
            <w:vAlign w:val="center"/>
          </w:tcPr>
          <w:p w14:paraId="316525B7">
            <w:pPr>
              <w:spacing w:line="240" w:lineRule="auto"/>
              <w:ind w:firstLine="0" w:firstLineChars="0"/>
              <w:jc w:val="center"/>
              <w:rPr>
                <w:b/>
                <w:color w:val="auto"/>
                <w:sz w:val="21"/>
                <w:szCs w:val="21"/>
              </w:rPr>
            </w:pPr>
            <w:r>
              <w:rPr>
                <w:b/>
                <w:color w:val="auto"/>
                <w:sz w:val="21"/>
                <w:szCs w:val="21"/>
              </w:rPr>
              <w:t>0.5-1.5m</w:t>
            </w:r>
          </w:p>
        </w:tc>
        <w:tc>
          <w:tcPr>
            <w:tcW w:w="376" w:type="pct"/>
            <w:vAlign w:val="center"/>
          </w:tcPr>
          <w:p w14:paraId="1F839C33">
            <w:pPr>
              <w:spacing w:line="240" w:lineRule="auto"/>
              <w:ind w:firstLine="0" w:firstLineChars="0"/>
              <w:jc w:val="center"/>
              <w:rPr>
                <w:b/>
                <w:color w:val="auto"/>
                <w:sz w:val="21"/>
                <w:szCs w:val="21"/>
              </w:rPr>
            </w:pPr>
            <w:r>
              <w:rPr>
                <w:b/>
                <w:color w:val="auto"/>
                <w:sz w:val="21"/>
                <w:szCs w:val="21"/>
              </w:rPr>
              <w:t>1.5-3.0m</w:t>
            </w:r>
          </w:p>
        </w:tc>
        <w:tc>
          <w:tcPr>
            <w:tcW w:w="374" w:type="pct"/>
            <w:vAlign w:val="center"/>
          </w:tcPr>
          <w:p w14:paraId="72CD275F">
            <w:pPr>
              <w:spacing w:line="240" w:lineRule="auto"/>
              <w:ind w:firstLine="0" w:firstLineChars="0"/>
              <w:jc w:val="center"/>
              <w:rPr>
                <w:b/>
                <w:color w:val="auto"/>
                <w:sz w:val="21"/>
                <w:szCs w:val="21"/>
              </w:rPr>
            </w:pPr>
            <w:r>
              <w:rPr>
                <w:b/>
                <w:color w:val="auto"/>
                <w:sz w:val="21"/>
                <w:szCs w:val="21"/>
              </w:rPr>
              <w:t>3m以下</w:t>
            </w:r>
          </w:p>
        </w:tc>
        <w:tc>
          <w:tcPr>
            <w:tcW w:w="374" w:type="pct"/>
            <w:vAlign w:val="center"/>
          </w:tcPr>
          <w:p w14:paraId="6CAC8198">
            <w:pPr>
              <w:spacing w:line="240" w:lineRule="auto"/>
              <w:ind w:firstLine="0" w:firstLineChars="0"/>
              <w:jc w:val="center"/>
              <w:rPr>
                <w:b/>
                <w:color w:val="auto"/>
                <w:sz w:val="21"/>
                <w:szCs w:val="21"/>
              </w:rPr>
            </w:pPr>
            <w:r>
              <w:rPr>
                <w:b/>
                <w:color w:val="auto"/>
                <w:sz w:val="21"/>
                <w:szCs w:val="21"/>
              </w:rPr>
              <w:t>0-0.5m</w:t>
            </w:r>
          </w:p>
        </w:tc>
        <w:tc>
          <w:tcPr>
            <w:tcW w:w="373" w:type="pct"/>
            <w:vAlign w:val="center"/>
          </w:tcPr>
          <w:p w14:paraId="7B2A3FBB">
            <w:pPr>
              <w:spacing w:line="240" w:lineRule="auto"/>
              <w:ind w:firstLine="0" w:firstLineChars="0"/>
              <w:jc w:val="center"/>
              <w:rPr>
                <w:b/>
                <w:color w:val="auto"/>
                <w:sz w:val="21"/>
                <w:szCs w:val="21"/>
              </w:rPr>
            </w:pPr>
            <w:r>
              <w:rPr>
                <w:b/>
                <w:color w:val="auto"/>
                <w:sz w:val="21"/>
                <w:szCs w:val="21"/>
              </w:rPr>
              <w:t>0.5-1.5m</w:t>
            </w:r>
          </w:p>
        </w:tc>
        <w:tc>
          <w:tcPr>
            <w:tcW w:w="373" w:type="pct"/>
            <w:vAlign w:val="center"/>
          </w:tcPr>
          <w:p w14:paraId="750F0CF1">
            <w:pPr>
              <w:spacing w:line="240" w:lineRule="auto"/>
              <w:ind w:firstLine="0" w:firstLineChars="0"/>
              <w:jc w:val="center"/>
              <w:rPr>
                <w:b/>
                <w:color w:val="auto"/>
                <w:sz w:val="21"/>
                <w:szCs w:val="21"/>
              </w:rPr>
            </w:pPr>
            <w:r>
              <w:rPr>
                <w:b/>
                <w:color w:val="auto"/>
                <w:sz w:val="21"/>
                <w:szCs w:val="21"/>
              </w:rPr>
              <w:t>1.5-3.0m</w:t>
            </w:r>
          </w:p>
        </w:tc>
        <w:tc>
          <w:tcPr>
            <w:tcW w:w="372" w:type="pct"/>
            <w:vAlign w:val="center"/>
          </w:tcPr>
          <w:p w14:paraId="17DC6941">
            <w:pPr>
              <w:spacing w:line="240" w:lineRule="auto"/>
              <w:ind w:firstLine="0" w:firstLineChars="0"/>
              <w:jc w:val="center"/>
              <w:rPr>
                <w:b/>
                <w:color w:val="auto"/>
                <w:sz w:val="21"/>
                <w:szCs w:val="21"/>
              </w:rPr>
            </w:pPr>
            <w:r>
              <w:rPr>
                <w:b/>
                <w:color w:val="auto"/>
                <w:sz w:val="21"/>
                <w:szCs w:val="21"/>
              </w:rPr>
              <w:t>3m以下</w:t>
            </w:r>
          </w:p>
        </w:tc>
      </w:tr>
      <w:tr w14:paraId="7444E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6FE9C7EE">
            <w:pPr>
              <w:spacing w:line="240" w:lineRule="auto"/>
              <w:ind w:firstLine="0" w:firstLineChars="0"/>
              <w:jc w:val="center"/>
              <w:rPr>
                <w:bCs/>
                <w:color w:val="auto"/>
                <w:sz w:val="21"/>
                <w:szCs w:val="21"/>
              </w:rPr>
            </w:pPr>
            <w:r>
              <w:rPr>
                <w:rFonts w:hint="eastAsia"/>
                <w:bCs/>
                <w:color w:val="auto"/>
                <w:sz w:val="21"/>
                <w:szCs w:val="21"/>
              </w:rPr>
              <w:t>六价铬</w:t>
            </w:r>
          </w:p>
        </w:tc>
        <w:tc>
          <w:tcPr>
            <w:tcW w:w="375" w:type="pct"/>
            <w:vAlign w:val="center"/>
          </w:tcPr>
          <w:p w14:paraId="18C974FF">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242BE8F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9C79FCA">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306A4FD0">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6AC46BDA">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1E1F5C4">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5C7A15D">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D498C36">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A1545C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1AF65B1">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6B7B7CB">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2C7D5535">
            <w:pPr>
              <w:spacing w:line="240" w:lineRule="auto"/>
              <w:ind w:firstLine="0" w:firstLineChars="0"/>
              <w:jc w:val="center"/>
              <w:rPr>
                <w:bCs/>
                <w:color w:val="auto"/>
                <w:sz w:val="21"/>
                <w:szCs w:val="21"/>
              </w:rPr>
            </w:pPr>
            <w:r>
              <w:rPr>
                <w:rFonts w:hint="eastAsia"/>
                <w:bCs/>
                <w:color w:val="auto"/>
                <w:sz w:val="21"/>
                <w:szCs w:val="21"/>
              </w:rPr>
              <w:t>ND</w:t>
            </w:r>
          </w:p>
        </w:tc>
      </w:tr>
      <w:tr w14:paraId="5A914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47D0DD3D">
            <w:pPr>
              <w:spacing w:line="240" w:lineRule="auto"/>
              <w:ind w:firstLine="0" w:firstLineChars="0"/>
              <w:jc w:val="center"/>
              <w:rPr>
                <w:bCs/>
                <w:color w:val="auto"/>
                <w:sz w:val="21"/>
                <w:szCs w:val="21"/>
              </w:rPr>
            </w:pPr>
            <w:r>
              <w:rPr>
                <w:rFonts w:hint="eastAsia"/>
                <w:bCs/>
                <w:color w:val="auto"/>
                <w:sz w:val="21"/>
                <w:szCs w:val="21"/>
              </w:rPr>
              <w:t>镉</w:t>
            </w:r>
          </w:p>
        </w:tc>
        <w:tc>
          <w:tcPr>
            <w:tcW w:w="375" w:type="pct"/>
            <w:vAlign w:val="center"/>
          </w:tcPr>
          <w:p w14:paraId="079D8635">
            <w:pPr>
              <w:spacing w:line="240" w:lineRule="auto"/>
              <w:ind w:firstLine="0" w:firstLineChars="0"/>
              <w:jc w:val="center"/>
              <w:rPr>
                <w:bCs/>
                <w:color w:val="auto"/>
                <w:sz w:val="21"/>
                <w:szCs w:val="21"/>
              </w:rPr>
            </w:pPr>
            <w:r>
              <w:rPr>
                <w:rFonts w:hint="eastAsia"/>
                <w:bCs/>
                <w:color w:val="auto"/>
                <w:sz w:val="21"/>
                <w:szCs w:val="21"/>
              </w:rPr>
              <w:t>0.29</w:t>
            </w:r>
          </w:p>
        </w:tc>
        <w:tc>
          <w:tcPr>
            <w:tcW w:w="375" w:type="pct"/>
            <w:vAlign w:val="center"/>
          </w:tcPr>
          <w:p w14:paraId="1003DD97">
            <w:pPr>
              <w:spacing w:line="240" w:lineRule="auto"/>
              <w:ind w:firstLine="0" w:firstLineChars="0"/>
              <w:jc w:val="center"/>
              <w:rPr>
                <w:bCs/>
                <w:color w:val="auto"/>
                <w:sz w:val="21"/>
                <w:szCs w:val="21"/>
              </w:rPr>
            </w:pPr>
            <w:r>
              <w:rPr>
                <w:rFonts w:hint="eastAsia"/>
                <w:bCs/>
                <w:color w:val="auto"/>
                <w:sz w:val="21"/>
                <w:szCs w:val="21"/>
              </w:rPr>
              <w:t>0.23</w:t>
            </w:r>
          </w:p>
        </w:tc>
        <w:tc>
          <w:tcPr>
            <w:tcW w:w="376" w:type="pct"/>
            <w:vAlign w:val="center"/>
          </w:tcPr>
          <w:p w14:paraId="09936D5D">
            <w:pPr>
              <w:spacing w:line="240" w:lineRule="auto"/>
              <w:ind w:firstLine="0" w:firstLineChars="0"/>
              <w:jc w:val="center"/>
              <w:rPr>
                <w:bCs/>
                <w:color w:val="auto"/>
                <w:sz w:val="21"/>
                <w:szCs w:val="21"/>
              </w:rPr>
            </w:pPr>
            <w:r>
              <w:rPr>
                <w:rFonts w:hint="eastAsia"/>
                <w:bCs/>
                <w:color w:val="auto"/>
                <w:sz w:val="21"/>
                <w:szCs w:val="21"/>
              </w:rPr>
              <w:t>0.20</w:t>
            </w:r>
          </w:p>
        </w:tc>
        <w:tc>
          <w:tcPr>
            <w:tcW w:w="381" w:type="pct"/>
            <w:vAlign w:val="center"/>
          </w:tcPr>
          <w:p w14:paraId="7E0B996A">
            <w:pPr>
              <w:spacing w:line="240" w:lineRule="auto"/>
              <w:ind w:firstLine="0" w:firstLineChars="0"/>
              <w:jc w:val="center"/>
              <w:rPr>
                <w:bCs/>
                <w:color w:val="auto"/>
                <w:sz w:val="21"/>
                <w:szCs w:val="21"/>
              </w:rPr>
            </w:pPr>
            <w:r>
              <w:rPr>
                <w:rFonts w:hint="eastAsia"/>
                <w:bCs/>
                <w:color w:val="auto"/>
                <w:sz w:val="21"/>
                <w:szCs w:val="21"/>
              </w:rPr>
              <w:t>0.18</w:t>
            </w:r>
          </w:p>
        </w:tc>
        <w:tc>
          <w:tcPr>
            <w:tcW w:w="378" w:type="pct"/>
            <w:vAlign w:val="center"/>
          </w:tcPr>
          <w:p w14:paraId="0B6ABBA3">
            <w:pPr>
              <w:spacing w:line="240" w:lineRule="auto"/>
              <w:ind w:firstLine="0" w:firstLineChars="0"/>
              <w:jc w:val="center"/>
              <w:rPr>
                <w:bCs/>
                <w:color w:val="auto"/>
                <w:sz w:val="21"/>
                <w:szCs w:val="21"/>
              </w:rPr>
            </w:pPr>
            <w:r>
              <w:rPr>
                <w:rFonts w:hint="eastAsia"/>
                <w:bCs/>
                <w:color w:val="auto"/>
                <w:sz w:val="21"/>
                <w:szCs w:val="21"/>
              </w:rPr>
              <w:t>0.21</w:t>
            </w:r>
          </w:p>
        </w:tc>
        <w:tc>
          <w:tcPr>
            <w:tcW w:w="377" w:type="pct"/>
            <w:vAlign w:val="center"/>
          </w:tcPr>
          <w:p w14:paraId="49E4CFFE">
            <w:pPr>
              <w:spacing w:line="240" w:lineRule="auto"/>
              <w:ind w:firstLine="0" w:firstLineChars="0"/>
              <w:jc w:val="center"/>
              <w:rPr>
                <w:bCs/>
                <w:color w:val="auto"/>
                <w:sz w:val="21"/>
                <w:szCs w:val="21"/>
              </w:rPr>
            </w:pPr>
            <w:r>
              <w:rPr>
                <w:rFonts w:hint="eastAsia"/>
                <w:bCs/>
                <w:color w:val="auto"/>
                <w:sz w:val="21"/>
                <w:szCs w:val="21"/>
              </w:rPr>
              <w:t>0.18</w:t>
            </w:r>
          </w:p>
        </w:tc>
        <w:tc>
          <w:tcPr>
            <w:tcW w:w="376" w:type="pct"/>
            <w:vAlign w:val="center"/>
          </w:tcPr>
          <w:p w14:paraId="6EA69397">
            <w:pPr>
              <w:spacing w:line="240" w:lineRule="auto"/>
              <w:ind w:firstLine="0" w:firstLineChars="0"/>
              <w:jc w:val="center"/>
              <w:rPr>
                <w:bCs/>
                <w:color w:val="auto"/>
                <w:sz w:val="21"/>
                <w:szCs w:val="21"/>
              </w:rPr>
            </w:pPr>
            <w:r>
              <w:rPr>
                <w:rFonts w:hint="eastAsia"/>
                <w:bCs/>
                <w:color w:val="auto"/>
                <w:sz w:val="21"/>
                <w:szCs w:val="21"/>
              </w:rPr>
              <w:t>0.16</w:t>
            </w:r>
          </w:p>
        </w:tc>
        <w:tc>
          <w:tcPr>
            <w:tcW w:w="374" w:type="pct"/>
            <w:vAlign w:val="center"/>
          </w:tcPr>
          <w:p w14:paraId="20FC8C28">
            <w:pPr>
              <w:spacing w:line="240" w:lineRule="auto"/>
              <w:ind w:firstLine="0" w:firstLineChars="0"/>
              <w:jc w:val="center"/>
              <w:rPr>
                <w:bCs/>
                <w:color w:val="auto"/>
                <w:sz w:val="21"/>
                <w:szCs w:val="21"/>
              </w:rPr>
            </w:pPr>
            <w:r>
              <w:rPr>
                <w:rFonts w:hint="eastAsia"/>
                <w:bCs/>
                <w:color w:val="auto"/>
                <w:sz w:val="21"/>
                <w:szCs w:val="21"/>
              </w:rPr>
              <w:t>0.21</w:t>
            </w:r>
          </w:p>
        </w:tc>
        <w:tc>
          <w:tcPr>
            <w:tcW w:w="374" w:type="pct"/>
            <w:vAlign w:val="center"/>
          </w:tcPr>
          <w:p w14:paraId="015F6B37">
            <w:pPr>
              <w:spacing w:line="240" w:lineRule="auto"/>
              <w:ind w:firstLine="0" w:firstLineChars="0"/>
              <w:jc w:val="center"/>
              <w:rPr>
                <w:bCs/>
                <w:color w:val="auto"/>
                <w:sz w:val="21"/>
                <w:szCs w:val="21"/>
              </w:rPr>
            </w:pPr>
            <w:r>
              <w:rPr>
                <w:rFonts w:hint="eastAsia"/>
                <w:bCs/>
                <w:color w:val="auto"/>
                <w:sz w:val="21"/>
                <w:szCs w:val="21"/>
              </w:rPr>
              <w:t>0.20</w:t>
            </w:r>
          </w:p>
        </w:tc>
        <w:tc>
          <w:tcPr>
            <w:tcW w:w="373" w:type="pct"/>
            <w:vAlign w:val="center"/>
          </w:tcPr>
          <w:p w14:paraId="3B11DB49">
            <w:pPr>
              <w:spacing w:line="240" w:lineRule="auto"/>
              <w:ind w:firstLine="0" w:firstLineChars="0"/>
              <w:jc w:val="center"/>
              <w:rPr>
                <w:bCs/>
                <w:color w:val="auto"/>
                <w:sz w:val="21"/>
                <w:szCs w:val="21"/>
              </w:rPr>
            </w:pPr>
            <w:r>
              <w:rPr>
                <w:rFonts w:hint="eastAsia"/>
                <w:bCs/>
                <w:color w:val="auto"/>
                <w:sz w:val="21"/>
                <w:szCs w:val="21"/>
              </w:rPr>
              <w:t>0.18</w:t>
            </w:r>
          </w:p>
        </w:tc>
        <w:tc>
          <w:tcPr>
            <w:tcW w:w="373" w:type="pct"/>
            <w:vAlign w:val="center"/>
          </w:tcPr>
          <w:p w14:paraId="6BC4AB86">
            <w:pPr>
              <w:spacing w:line="240" w:lineRule="auto"/>
              <w:ind w:firstLine="0" w:firstLineChars="0"/>
              <w:jc w:val="center"/>
              <w:rPr>
                <w:bCs/>
                <w:color w:val="auto"/>
                <w:sz w:val="21"/>
                <w:szCs w:val="21"/>
              </w:rPr>
            </w:pPr>
            <w:r>
              <w:rPr>
                <w:rFonts w:hint="eastAsia"/>
                <w:bCs/>
                <w:color w:val="auto"/>
                <w:sz w:val="21"/>
                <w:szCs w:val="21"/>
              </w:rPr>
              <w:t>0.19</w:t>
            </w:r>
          </w:p>
        </w:tc>
        <w:tc>
          <w:tcPr>
            <w:tcW w:w="372" w:type="pct"/>
            <w:vAlign w:val="center"/>
          </w:tcPr>
          <w:p w14:paraId="22DFC3C0">
            <w:pPr>
              <w:spacing w:line="240" w:lineRule="auto"/>
              <w:ind w:firstLine="0" w:firstLineChars="0"/>
              <w:jc w:val="center"/>
              <w:rPr>
                <w:bCs/>
                <w:color w:val="auto"/>
                <w:sz w:val="21"/>
                <w:szCs w:val="21"/>
              </w:rPr>
            </w:pPr>
            <w:r>
              <w:rPr>
                <w:rFonts w:hint="eastAsia"/>
                <w:bCs/>
                <w:color w:val="auto"/>
                <w:sz w:val="21"/>
                <w:szCs w:val="21"/>
              </w:rPr>
              <w:t>0.18</w:t>
            </w:r>
          </w:p>
        </w:tc>
      </w:tr>
      <w:tr w14:paraId="45281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6E113E0F">
            <w:pPr>
              <w:spacing w:line="240" w:lineRule="auto"/>
              <w:ind w:firstLine="0" w:firstLineChars="0"/>
              <w:jc w:val="center"/>
              <w:rPr>
                <w:bCs/>
                <w:color w:val="auto"/>
                <w:sz w:val="21"/>
                <w:szCs w:val="21"/>
              </w:rPr>
            </w:pPr>
            <w:r>
              <w:rPr>
                <w:rFonts w:hint="eastAsia"/>
                <w:bCs/>
                <w:color w:val="auto"/>
                <w:sz w:val="21"/>
                <w:szCs w:val="21"/>
              </w:rPr>
              <w:t>砷</w:t>
            </w:r>
          </w:p>
        </w:tc>
        <w:tc>
          <w:tcPr>
            <w:tcW w:w="375" w:type="pct"/>
            <w:vAlign w:val="center"/>
          </w:tcPr>
          <w:p w14:paraId="5AA1726C">
            <w:pPr>
              <w:spacing w:line="240" w:lineRule="auto"/>
              <w:ind w:firstLine="0" w:firstLineChars="0"/>
              <w:jc w:val="center"/>
              <w:rPr>
                <w:bCs/>
                <w:color w:val="auto"/>
                <w:sz w:val="21"/>
                <w:szCs w:val="21"/>
              </w:rPr>
            </w:pPr>
            <w:r>
              <w:rPr>
                <w:rFonts w:hint="eastAsia"/>
                <w:bCs/>
                <w:color w:val="auto"/>
                <w:sz w:val="21"/>
                <w:szCs w:val="21"/>
              </w:rPr>
              <w:t>14.3</w:t>
            </w:r>
          </w:p>
        </w:tc>
        <w:tc>
          <w:tcPr>
            <w:tcW w:w="375" w:type="pct"/>
            <w:vAlign w:val="center"/>
          </w:tcPr>
          <w:p w14:paraId="7DB46192">
            <w:pPr>
              <w:spacing w:line="240" w:lineRule="auto"/>
              <w:ind w:firstLine="0" w:firstLineChars="0"/>
              <w:jc w:val="center"/>
              <w:rPr>
                <w:bCs/>
                <w:color w:val="auto"/>
                <w:sz w:val="21"/>
                <w:szCs w:val="21"/>
              </w:rPr>
            </w:pPr>
            <w:r>
              <w:rPr>
                <w:rFonts w:hint="eastAsia"/>
                <w:bCs/>
                <w:color w:val="auto"/>
                <w:sz w:val="21"/>
                <w:szCs w:val="21"/>
              </w:rPr>
              <w:t>14.0</w:t>
            </w:r>
          </w:p>
        </w:tc>
        <w:tc>
          <w:tcPr>
            <w:tcW w:w="376" w:type="pct"/>
            <w:vAlign w:val="center"/>
          </w:tcPr>
          <w:p w14:paraId="20231148">
            <w:pPr>
              <w:spacing w:line="240" w:lineRule="auto"/>
              <w:ind w:firstLine="0" w:firstLineChars="0"/>
              <w:jc w:val="center"/>
              <w:rPr>
                <w:bCs/>
                <w:color w:val="auto"/>
                <w:sz w:val="21"/>
                <w:szCs w:val="21"/>
              </w:rPr>
            </w:pPr>
            <w:r>
              <w:rPr>
                <w:rFonts w:hint="eastAsia"/>
                <w:bCs/>
                <w:color w:val="auto"/>
                <w:sz w:val="21"/>
                <w:szCs w:val="21"/>
              </w:rPr>
              <w:t>14.1</w:t>
            </w:r>
          </w:p>
        </w:tc>
        <w:tc>
          <w:tcPr>
            <w:tcW w:w="381" w:type="pct"/>
            <w:vAlign w:val="center"/>
          </w:tcPr>
          <w:p w14:paraId="7B0502CE">
            <w:pPr>
              <w:spacing w:line="240" w:lineRule="auto"/>
              <w:ind w:firstLine="0" w:firstLineChars="0"/>
              <w:jc w:val="center"/>
              <w:rPr>
                <w:bCs/>
                <w:color w:val="auto"/>
                <w:sz w:val="21"/>
                <w:szCs w:val="21"/>
              </w:rPr>
            </w:pPr>
            <w:r>
              <w:rPr>
                <w:rFonts w:hint="eastAsia"/>
                <w:bCs/>
                <w:color w:val="auto"/>
                <w:sz w:val="21"/>
                <w:szCs w:val="21"/>
              </w:rPr>
              <w:t>13.8</w:t>
            </w:r>
          </w:p>
        </w:tc>
        <w:tc>
          <w:tcPr>
            <w:tcW w:w="378" w:type="pct"/>
            <w:vAlign w:val="center"/>
          </w:tcPr>
          <w:p w14:paraId="4B659B5B">
            <w:pPr>
              <w:spacing w:line="240" w:lineRule="auto"/>
              <w:ind w:firstLine="0" w:firstLineChars="0"/>
              <w:jc w:val="center"/>
              <w:rPr>
                <w:bCs/>
                <w:color w:val="auto"/>
                <w:sz w:val="21"/>
                <w:szCs w:val="21"/>
              </w:rPr>
            </w:pPr>
            <w:r>
              <w:rPr>
                <w:rFonts w:hint="eastAsia"/>
                <w:bCs/>
                <w:color w:val="auto"/>
                <w:sz w:val="21"/>
                <w:szCs w:val="21"/>
              </w:rPr>
              <w:t>12.3</w:t>
            </w:r>
          </w:p>
        </w:tc>
        <w:tc>
          <w:tcPr>
            <w:tcW w:w="377" w:type="pct"/>
            <w:vAlign w:val="center"/>
          </w:tcPr>
          <w:p w14:paraId="7E30DCDD">
            <w:pPr>
              <w:spacing w:line="240" w:lineRule="auto"/>
              <w:ind w:firstLine="0" w:firstLineChars="0"/>
              <w:jc w:val="center"/>
              <w:rPr>
                <w:bCs/>
                <w:color w:val="auto"/>
                <w:sz w:val="21"/>
                <w:szCs w:val="21"/>
              </w:rPr>
            </w:pPr>
            <w:r>
              <w:rPr>
                <w:rFonts w:hint="eastAsia"/>
                <w:bCs/>
                <w:color w:val="auto"/>
                <w:sz w:val="21"/>
                <w:szCs w:val="21"/>
              </w:rPr>
              <w:t>11.4</w:t>
            </w:r>
          </w:p>
        </w:tc>
        <w:tc>
          <w:tcPr>
            <w:tcW w:w="376" w:type="pct"/>
            <w:vAlign w:val="center"/>
          </w:tcPr>
          <w:p w14:paraId="10D0FD6D">
            <w:pPr>
              <w:spacing w:line="240" w:lineRule="auto"/>
              <w:ind w:firstLine="0" w:firstLineChars="0"/>
              <w:jc w:val="center"/>
              <w:rPr>
                <w:bCs/>
                <w:color w:val="auto"/>
                <w:sz w:val="21"/>
                <w:szCs w:val="21"/>
              </w:rPr>
            </w:pPr>
            <w:r>
              <w:rPr>
                <w:rFonts w:hint="eastAsia"/>
                <w:bCs/>
                <w:color w:val="auto"/>
                <w:sz w:val="21"/>
                <w:szCs w:val="21"/>
              </w:rPr>
              <w:t>11.2</w:t>
            </w:r>
          </w:p>
        </w:tc>
        <w:tc>
          <w:tcPr>
            <w:tcW w:w="374" w:type="pct"/>
            <w:vAlign w:val="center"/>
          </w:tcPr>
          <w:p w14:paraId="5AF5A0FB">
            <w:pPr>
              <w:spacing w:line="240" w:lineRule="auto"/>
              <w:ind w:firstLine="0" w:firstLineChars="0"/>
              <w:jc w:val="center"/>
              <w:rPr>
                <w:bCs/>
                <w:color w:val="auto"/>
                <w:sz w:val="21"/>
                <w:szCs w:val="21"/>
              </w:rPr>
            </w:pPr>
            <w:r>
              <w:rPr>
                <w:rFonts w:hint="eastAsia"/>
                <w:bCs/>
                <w:color w:val="auto"/>
                <w:sz w:val="21"/>
                <w:szCs w:val="21"/>
              </w:rPr>
              <w:t>11.3</w:t>
            </w:r>
          </w:p>
        </w:tc>
        <w:tc>
          <w:tcPr>
            <w:tcW w:w="374" w:type="pct"/>
            <w:vAlign w:val="center"/>
          </w:tcPr>
          <w:p w14:paraId="10643EE4">
            <w:pPr>
              <w:spacing w:line="240" w:lineRule="auto"/>
              <w:ind w:firstLine="0" w:firstLineChars="0"/>
              <w:jc w:val="center"/>
              <w:rPr>
                <w:bCs/>
                <w:color w:val="auto"/>
                <w:sz w:val="21"/>
                <w:szCs w:val="21"/>
              </w:rPr>
            </w:pPr>
            <w:r>
              <w:rPr>
                <w:rFonts w:hint="eastAsia"/>
                <w:bCs/>
                <w:color w:val="auto"/>
                <w:sz w:val="21"/>
                <w:szCs w:val="21"/>
              </w:rPr>
              <w:t>12.6</w:t>
            </w:r>
          </w:p>
        </w:tc>
        <w:tc>
          <w:tcPr>
            <w:tcW w:w="373" w:type="pct"/>
            <w:vAlign w:val="center"/>
          </w:tcPr>
          <w:p w14:paraId="0581BFB3">
            <w:pPr>
              <w:spacing w:line="240" w:lineRule="auto"/>
              <w:ind w:firstLine="0" w:firstLineChars="0"/>
              <w:jc w:val="center"/>
              <w:rPr>
                <w:bCs/>
                <w:color w:val="auto"/>
                <w:sz w:val="21"/>
                <w:szCs w:val="21"/>
              </w:rPr>
            </w:pPr>
            <w:r>
              <w:rPr>
                <w:rFonts w:hint="eastAsia"/>
                <w:bCs/>
                <w:color w:val="auto"/>
                <w:sz w:val="21"/>
                <w:szCs w:val="21"/>
              </w:rPr>
              <w:t>12.3</w:t>
            </w:r>
          </w:p>
        </w:tc>
        <w:tc>
          <w:tcPr>
            <w:tcW w:w="373" w:type="pct"/>
            <w:vAlign w:val="center"/>
          </w:tcPr>
          <w:p w14:paraId="6A13DF0D">
            <w:pPr>
              <w:spacing w:line="240" w:lineRule="auto"/>
              <w:ind w:firstLine="0" w:firstLineChars="0"/>
              <w:jc w:val="center"/>
              <w:rPr>
                <w:bCs/>
                <w:color w:val="auto"/>
                <w:sz w:val="21"/>
                <w:szCs w:val="21"/>
              </w:rPr>
            </w:pPr>
            <w:r>
              <w:rPr>
                <w:rFonts w:hint="eastAsia"/>
                <w:bCs/>
                <w:color w:val="auto"/>
                <w:sz w:val="21"/>
                <w:szCs w:val="21"/>
              </w:rPr>
              <w:t>12.2</w:t>
            </w:r>
          </w:p>
        </w:tc>
        <w:tc>
          <w:tcPr>
            <w:tcW w:w="372" w:type="pct"/>
            <w:vAlign w:val="center"/>
          </w:tcPr>
          <w:p w14:paraId="03AF0EAE">
            <w:pPr>
              <w:spacing w:line="240" w:lineRule="auto"/>
              <w:ind w:firstLine="0" w:firstLineChars="0"/>
              <w:jc w:val="center"/>
              <w:rPr>
                <w:bCs/>
                <w:color w:val="auto"/>
                <w:sz w:val="21"/>
                <w:szCs w:val="21"/>
              </w:rPr>
            </w:pPr>
            <w:r>
              <w:rPr>
                <w:rFonts w:hint="eastAsia"/>
                <w:bCs/>
                <w:color w:val="auto"/>
                <w:sz w:val="21"/>
                <w:szCs w:val="21"/>
              </w:rPr>
              <w:t>12.1</w:t>
            </w:r>
          </w:p>
        </w:tc>
      </w:tr>
      <w:tr w14:paraId="3E849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6233DD2C">
            <w:pPr>
              <w:spacing w:line="240" w:lineRule="auto"/>
              <w:ind w:firstLine="0" w:firstLineChars="0"/>
              <w:jc w:val="center"/>
              <w:rPr>
                <w:bCs/>
                <w:color w:val="auto"/>
                <w:sz w:val="21"/>
                <w:szCs w:val="21"/>
              </w:rPr>
            </w:pPr>
            <w:r>
              <w:rPr>
                <w:rFonts w:hint="eastAsia"/>
                <w:bCs/>
                <w:color w:val="auto"/>
                <w:sz w:val="21"/>
                <w:szCs w:val="21"/>
              </w:rPr>
              <w:t>汞</w:t>
            </w:r>
          </w:p>
        </w:tc>
        <w:tc>
          <w:tcPr>
            <w:tcW w:w="375" w:type="pct"/>
            <w:vAlign w:val="center"/>
          </w:tcPr>
          <w:p w14:paraId="452108DC">
            <w:pPr>
              <w:spacing w:line="240" w:lineRule="auto"/>
              <w:ind w:firstLine="0" w:firstLineChars="0"/>
              <w:jc w:val="center"/>
              <w:rPr>
                <w:bCs/>
                <w:color w:val="auto"/>
                <w:sz w:val="21"/>
                <w:szCs w:val="21"/>
              </w:rPr>
            </w:pPr>
            <w:r>
              <w:rPr>
                <w:rFonts w:hint="eastAsia"/>
                <w:bCs/>
                <w:color w:val="auto"/>
                <w:sz w:val="21"/>
                <w:szCs w:val="21"/>
              </w:rPr>
              <w:t>0.130</w:t>
            </w:r>
          </w:p>
        </w:tc>
        <w:tc>
          <w:tcPr>
            <w:tcW w:w="375" w:type="pct"/>
            <w:vAlign w:val="center"/>
          </w:tcPr>
          <w:p w14:paraId="712F23CD">
            <w:pPr>
              <w:spacing w:line="240" w:lineRule="auto"/>
              <w:ind w:firstLine="0" w:firstLineChars="0"/>
              <w:jc w:val="center"/>
              <w:rPr>
                <w:bCs/>
                <w:color w:val="auto"/>
                <w:sz w:val="21"/>
                <w:szCs w:val="21"/>
              </w:rPr>
            </w:pPr>
            <w:r>
              <w:rPr>
                <w:rFonts w:hint="eastAsia"/>
                <w:bCs/>
                <w:color w:val="auto"/>
                <w:sz w:val="21"/>
                <w:szCs w:val="21"/>
              </w:rPr>
              <w:t>0.129</w:t>
            </w:r>
          </w:p>
        </w:tc>
        <w:tc>
          <w:tcPr>
            <w:tcW w:w="376" w:type="pct"/>
            <w:vAlign w:val="center"/>
          </w:tcPr>
          <w:p w14:paraId="6FA367D0">
            <w:pPr>
              <w:spacing w:line="240" w:lineRule="auto"/>
              <w:ind w:firstLine="0" w:firstLineChars="0"/>
              <w:jc w:val="center"/>
              <w:rPr>
                <w:bCs/>
                <w:color w:val="auto"/>
                <w:sz w:val="21"/>
                <w:szCs w:val="21"/>
              </w:rPr>
            </w:pPr>
            <w:r>
              <w:rPr>
                <w:rFonts w:hint="eastAsia"/>
                <w:bCs/>
                <w:color w:val="auto"/>
                <w:sz w:val="21"/>
                <w:szCs w:val="21"/>
              </w:rPr>
              <w:t>0.123</w:t>
            </w:r>
          </w:p>
        </w:tc>
        <w:tc>
          <w:tcPr>
            <w:tcW w:w="381" w:type="pct"/>
            <w:vAlign w:val="center"/>
          </w:tcPr>
          <w:p w14:paraId="2092D791">
            <w:pPr>
              <w:spacing w:line="240" w:lineRule="auto"/>
              <w:ind w:firstLine="0" w:firstLineChars="0"/>
              <w:jc w:val="center"/>
              <w:rPr>
                <w:bCs/>
                <w:color w:val="auto"/>
                <w:sz w:val="21"/>
                <w:szCs w:val="21"/>
              </w:rPr>
            </w:pPr>
            <w:r>
              <w:rPr>
                <w:rFonts w:hint="eastAsia"/>
                <w:bCs/>
                <w:color w:val="auto"/>
                <w:sz w:val="21"/>
                <w:szCs w:val="21"/>
              </w:rPr>
              <w:t>0.120</w:t>
            </w:r>
          </w:p>
        </w:tc>
        <w:tc>
          <w:tcPr>
            <w:tcW w:w="378" w:type="pct"/>
            <w:vAlign w:val="center"/>
          </w:tcPr>
          <w:p w14:paraId="4CF2D2BF">
            <w:pPr>
              <w:spacing w:line="240" w:lineRule="auto"/>
              <w:ind w:firstLine="0" w:firstLineChars="0"/>
              <w:jc w:val="center"/>
              <w:rPr>
                <w:bCs/>
                <w:color w:val="auto"/>
                <w:sz w:val="21"/>
                <w:szCs w:val="21"/>
              </w:rPr>
            </w:pPr>
            <w:r>
              <w:rPr>
                <w:rFonts w:hint="eastAsia"/>
                <w:bCs/>
                <w:color w:val="auto"/>
                <w:sz w:val="21"/>
                <w:szCs w:val="21"/>
              </w:rPr>
              <w:t>0.109</w:t>
            </w:r>
          </w:p>
        </w:tc>
        <w:tc>
          <w:tcPr>
            <w:tcW w:w="377" w:type="pct"/>
            <w:vAlign w:val="center"/>
          </w:tcPr>
          <w:p w14:paraId="738298DC">
            <w:pPr>
              <w:spacing w:line="240" w:lineRule="auto"/>
              <w:ind w:firstLine="0" w:firstLineChars="0"/>
              <w:jc w:val="center"/>
              <w:rPr>
                <w:bCs/>
                <w:color w:val="auto"/>
                <w:sz w:val="21"/>
                <w:szCs w:val="21"/>
              </w:rPr>
            </w:pPr>
            <w:r>
              <w:rPr>
                <w:rFonts w:hint="eastAsia"/>
                <w:bCs/>
                <w:color w:val="auto"/>
                <w:sz w:val="21"/>
                <w:szCs w:val="21"/>
              </w:rPr>
              <w:t>0.105</w:t>
            </w:r>
          </w:p>
        </w:tc>
        <w:tc>
          <w:tcPr>
            <w:tcW w:w="376" w:type="pct"/>
            <w:vAlign w:val="center"/>
          </w:tcPr>
          <w:p w14:paraId="1D1642A4">
            <w:pPr>
              <w:spacing w:line="240" w:lineRule="auto"/>
              <w:ind w:firstLine="0" w:firstLineChars="0"/>
              <w:jc w:val="center"/>
              <w:rPr>
                <w:bCs/>
                <w:color w:val="auto"/>
                <w:sz w:val="21"/>
                <w:szCs w:val="21"/>
              </w:rPr>
            </w:pPr>
            <w:r>
              <w:rPr>
                <w:rFonts w:hint="eastAsia"/>
                <w:bCs/>
                <w:color w:val="auto"/>
                <w:sz w:val="21"/>
                <w:szCs w:val="21"/>
              </w:rPr>
              <w:t>0.101</w:t>
            </w:r>
          </w:p>
        </w:tc>
        <w:tc>
          <w:tcPr>
            <w:tcW w:w="374" w:type="pct"/>
            <w:vAlign w:val="center"/>
          </w:tcPr>
          <w:p w14:paraId="23493B28">
            <w:pPr>
              <w:spacing w:line="240" w:lineRule="auto"/>
              <w:ind w:firstLine="0" w:firstLineChars="0"/>
              <w:jc w:val="center"/>
              <w:rPr>
                <w:bCs/>
                <w:color w:val="auto"/>
                <w:sz w:val="21"/>
                <w:szCs w:val="21"/>
              </w:rPr>
            </w:pPr>
            <w:r>
              <w:rPr>
                <w:rFonts w:hint="eastAsia"/>
                <w:bCs/>
                <w:color w:val="auto"/>
                <w:sz w:val="21"/>
                <w:szCs w:val="21"/>
              </w:rPr>
              <w:t>0.094</w:t>
            </w:r>
          </w:p>
        </w:tc>
        <w:tc>
          <w:tcPr>
            <w:tcW w:w="374" w:type="pct"/>
            <w:vAlign w:val="center"/>
          </w:tcPr>
          <w:p w14:paraId="40736D63">
            <w:pPr>
              <w:spacing w:line="240" w:lineRule="auto"/>
              <w:ind w:firstLine="0" w:firstLineChars="0"/>
              <w:jc w:val="center"/>
              <w:rPr>
                <w:bCs/>
                <w:color w:val="auto"/>
                <w:sz w:val="21"/>
                <w:szCs w:val="21"/>
              </w:rPr>
            </w:pPr>
            <w:r>
              <w:rPr>
                <w:rFonts w:hint="eastAsia"/>
                <w:bCs/>
                <w:color w:val="auto"/>
                <w:sz w:val="21"/>
                <w:szCs w:val="21"/>
              </w:rPr>
              <w:t>0.098</w:t>
            </w:r>
          </w:p>
        </w:tc>
        <w:tc>
          <w:tcPr>
            <w:tcW w:w="373" w:type="pct"/>
            <w:vAlign w:val="center"/>
          </w:tcPr>
          <w:p w14:paraId="0E9F556A">
            <w:pPr>
              <w:spacing w:line="240" w:lineRule="auto"/>
              <w:ind w:firstLine="0" w:firstLineChars="0"/>
              <w:jc w:val="center"/>
              <w:rPr>
                <w:bCs/>
                <w:color w:val="auto"/>
                <w:sz w:val="21"/>
                <w:szCs w:val="21"/>
              </w:rPr>
            </w:pPr>
            <w:r>
              <w:rPr>
                <w:rFonts w:hint="eastAsia"/>
                <w:bCs/>
                <w:color w:val="auto"/>
                <w:sz w:val="21"/>
                <w:szCs w:val="21"/>
              </w:rPr>
              <w:t>0.097</w:t>
            </w:r>
          </w:p>
        </w:tc>
        <w:tc>
          <w:tcPr>
            <w:tcW w:w="373" w:type="pct"/>
            <w:vAlign w:val="center"/>
          </w:tcPr>
          <w:p w14:paraId="1813F2AB">
            <w:pPr>
              <w:spacing w:line="240" w:lineRule="auto"/>
              <w:ind w:firstLine="0" w:firstLineChars="0"/>
              <w:jc w:val="center"/>
              <w:rPr>
                <w:bCs/>
                <w:color w:val="auto"/>
                <w:sz w:val="21"/>
                <w:szCs w:val="21"/>
              </w:rPr>
            </w:pPr>
            <w:r>
              <w:rPr>
                <w:rFonts w:hint="eastAsia"/>
                <w:bCs/>
                <w:color w:val="auto"/>
                <w:sz w:val="21"/>
                <w:szCs w:val="21"/>
              </w:rPr>
              <w:t>0.101</w:t>
            </w:r>
          </w:p>
        </w:tc>
        <w:tc>
          <w:tcPr>
            <w:tcW w:w="372" w:type="pct"/>
            <w:vAlign w:val="center"/>
          </w:tcPr>
          <w:p w14:paraId="40B19422">
            <w:pPr>
              <w:spacing w:line="240" w:lineRule="auto"/>
              <w:ind w:firstLine="0" w:firstLineChars="0"/>
              <w:jc w:val="center"/>
              <w:rPr>
                <w:bCs/>
                <w:color w:val="auto"/>
                <w:sz w:val="21"/>
                <w:szCs w:val="21"/>
              </w:rPr>
            </w:pPr>
            <w:r>
              <w:rPr>
                <w:rFonts w:hint="eastAsia"/>
                <w:bCs/>
                <w:color w:val="auto"/>
                <w:sz w:val="21"/>
                <w:szCs w:val="21"/>
              </w:rPr>
              <w:t>0.100</w:t>
            </w:r>
          </w:p>
        </w:tc>
      </w:tr>
      <w:tr w14:paraId="3D097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27623671">
            <w:pPr>
              <w:spacing w:line="240" w:lineRule="auto"/>
              <w:ind w:firstLine="0" w:firstLineChars="0"/>
              <w:jc w:val="center"/>
              <w:rPr>
                <w:bCs/>
                <w:color w:val="auto"/>
                <w:sz w:val="21"/>
                <w:szCs w:val="21"/>
              </w:rPr>
            </w:pPr>
            <w:r>
              <w:rPr>
                <w:rFonts w:hint="eastAsia"/>
                <w:bCs/>
                <w:color w:val="auto"/>
                <w:sz w:val="21"/>
                <w:szCs w:val="21"/>
              </w:rPr>
              <w:t>铜</w:t>
            </w:r>
          </w:p>
        </w:tc>
        <w:tc>
          <w:tcPr>
            <w:tcW w:w="375" w:type="pct"/>
            <w:vAlign w:val="center"/>
          </w:tcPr>
          <w:p w14:paraId="4E005F6D">
            <w:pPr>
              <w:spacing w:line="240" w:lineRule="auto"/>
              <w:ind w:firstLine="0" w:firstLineChars="0"/>
              <w:jc w:val="center"/>
              <w:rPr>
                <w:bCs/>
                <w:color w:val="auto"/>
                <w:sz w:val="21"/>
                <w:szCs w:val="21"/>
              </w:rPr>
            </w:pPr>
            <w:r>
              <w:rPr>
                <w:rFonts w:hint="eastAsia"/>
                <w:bCs/>
                <w:color w:val="auto"/>
                <w:sz w:val="21"/>
                <w:szCs w:val="21"/>
              </w:rPr>
              <w:t>21</w:t>
            </w:r>
          </w:p>
        </w:tc>
        <w:tc>
          <w:tcPr>
            <w:tcW w:w="375" w:type="pct"/>
            <w:vAlign w:val="center"/>
          </w:tcPr>
          <w:p w14:paraId="7F3F152D">
            <w:pPr>
              <w:spacing w:line="240" w:lineRule="auto"/>
              <w:ind w:firstLine="0" w:firstLineChars="0"/>
              <w:jc w:val="center"/>
              <w:rPr>
                <w:bCs/>
                <w:color w:val="auto"/>
                <w:sz w:val="21"/>
                <w:szCs w:val="21"/>
              </w:rPr>
            </w:pPr>
            <w:r>
              <w:rPr>
                <w:rFonts w:hint="eastAsia"/>
                <w:bCs/>
                <w:color w:val="auto"/>
                <w:sz w:val="21"/>
                <w:szCs w:val="21"/>
              </w:rPr>
              <w:t>21</w:t>
            </w:r>
          </w:p>
        </w:tc>
        <w:tc>
          <w:tcPr>
            <w:tcW w:w="376" w:type="pct"/>
            <w:vAlign w:val="center"/>
          </w:tcPr>
          <w:p w14:paraId="3FC95968">
            <w:pPr>
              <w:spacing w:line="240" w:lineRule="auto"/>
              <w:ind w:firstLine="0" w:firstLineChars="0"/>
              <w:jc w:val="center"/>
              <w:rPr>
                <w:bCs/>
                <w:color w:val="auto"/>
                <w:sz w:val="21"/>
                <w:szCs w:val="21"/>
              </w:rPr>
            </w:pPr>
            <w:r>
              <w:rPr>
                <w:rFonts w:hint="eastAsia"/>
                <w:bCs/>
                <w:color w:val="auto"/>
                <w:sz w:val="21"/>
                <w:szCs w:val="21"/>
              </w:rPr>
              <w:t>22</w:t>
            </w:r>
          </w:p>
        </w:tc>
        <w:tc>
          <w:tcPr>
            <w:tcW w:w="381" w:type="pct"/>
            <w:vAlign w:val="center"/>
          </w:tcPr>
          <w:p w14:paraId="051CCCF6">
            <w:pPr>
              <w:spacing w:line="240" w:lineRule="auto"/>
              <w:ind w:firstLine="0" w:firstLineChars="0"/>
              <w:jc w:val="center"/>
              <w:rPr>
                <w:bCs/>
                <w:color w:val="auto"/>
                <w:sz w:val="21"/>
                <w:szCs w:val="21"/>
              </w:rPr>
            </w:pPr>
            <w:r>
              <w:rPr>
                <w:rFonts w:hint="eastAsia"/>
                <w:bCs/>
                <w:color w:val="auto"/>
                <w:sz w:val="21"/>
                <w:szCs w:val="21"/>
              </w:rPr>
              <w:t>21</w:t>
            </w:r>
          </w:p>
        </w:tc>
        <w:tc>
          <w:tcPr>
            <w:tcW w:w="378" w:type="pct"/>
            <w:vAlign w:val="center"/>
          </w:tcPr>
          <w:p w14:paraId="15D6DB10">
            <w:pPr>
              <w:spacing w:line="240" w:lineRule="auto"/>
              <w:ind w:firstLine="0" w:firstLineChars="0"/>
              <w:jc w:val="center"/>
              <w:rPr>
                <w:bCs/>
                <w:color w:val="auto"/>
                <w:sz w:val="21"/>
                <w:szCs w:val="21"/>
              </w:rPr>
            </w:pPr>
            <w:r>
              <w:rPr>
                <w:rFonts w:hint="eastAsia"/>
                <w:bCs/>
                <w:color w:val="auto"/>
                <w:sz w:val="21"/>
                <w:szCs w:val="21"/>
              </w:rPr>
              <w:t>20</w:t>
            </w:r>
          </w:p>
        </w:tc>
        <w:tc>
          <w:tcPr>
            <w:tcW w:w="377" w:type="pct"/>
            <w:vAlign w:val="center"/>
          </w:tcPr>
          <w:p w14:paraId="324DD2B1">
            <w:pPr>
              <w:spacing w:line="240" w:lineRule="auto"/>
              <w:ind w:firstLine="0" w:firstLineChars="0"/>
              <w:jc w:val="center"/>
              <w:rPr>
                <w:bCs/>
                <w:color w:val="auto"/>
                <w:sz w:val="21"/>
                <w:szCs w:val="21"/>
              </w:rPr>
            </w:pPr>
            <w:r>
              <w:rPr>
                <w:rFonts w:hint="eastAsia"/>
                <w:bCs/>
                <w:color w:val="auto"/>
                <w:sz w:val="21"/>
                <w:szCs w:val="21"/>
              </w:rPr>
              <w:t>22</w:t>
            </w:r>
          </w:p>
        </w:tc>
        <w:tc>
          <w:tcPr>
            <w:tcW w:w="376" w:type="pct"/>
            <w:vAlign w:val="center"/>
          </w:tcPr>
          <w:p w14:paraId="3E48BA79">
            <w:pPr>
              <w:spacing w:line="240" w:lineRule="auto"/>
              <w:ind w:firstLine="0" w:firstLineChars="0"/>
              <w:jc w:val="center"/>
              <w:rPr>
                <w:bCs/>
                <w:color w:val="auto"/>
                <w:sz w:val="21"/>
                <w:szCs w:val="21"/>
              </w:rPr>
            </w:pPr>
            <w:r>
              <w:rPr>
                <w:rFonts w:hint="eastAsia"/>
                <w:bCs/>
                <w:color w:val="auto"/>
                <w:sz w:val="21"/>
                <w:szCs w:val="21"/>
              </w:rPr>
              <w:t>22</w:t>
            </w:r>
          </w:p>
        </w:tc>
        <w:tc>
          <w:tcPr>
            <w:tcW w:w="374" w:type="pct"/>
            <w:vAlign w:val="center"/>
          </w:tcPr>
          <w:p w14:paraId="0BC14C2F">
            <w:pPr>
              <w:spacing w:line="240" w:lineRule="auto"/>
              <w:ind w:firstLine="0" w:firstLineChars="0"/>
              <w:jc w:val="center"/>
              <w:rPr>
                <w:bCs/>
                <w:color w:val="auto"/>
                <w:sz w:val="21"/>
                <w:szCs w:val="21"/>
              </w:rPr>
            </w:pPr>
            <w:r>
              <w:rPr>
                <w:rFonts w:hint="eastAsia"/>
                <w:bCs/>
                <w:color w:val="auto"/>
                <w:sz w:val="21"/>
                <w:szCs w:val="21"/>
              </w:rPr>
              <w:t>22</w:t>
            </w:r>
          </w:p>
        </w:tc>
        <w:tc>
          <w:tcPr>
            <w:tcW w:w="374" w:type="pct"/>
            <w:vAlign w:val="center"/>
          </w:tcPr>
          <w:p w14:paraId="059A55C4">
            <w:pPr>
              <w:spacing w:line="240" w:lineRule="auto"/>
              <w:ind w:firstLine="0" w:firstLineChars="0"/>
              <w:jc w:val="center"/>
              <w:rPr>
                <w:bCs/>
                <w:color w:val="auto"/>
                <w:sz w:val="21"/>
                <w:szCs w:val="21"/>
              </w:rPr>
            </w:pPr>
            <w:r>
              <w:rPr>
                <w:rFonts w:hint="eastAsia"/>
                <w:bCs/>
                <w:color w:val="auto"/>
                <w:sz w:val="21"/>
                <w:szCs w:val="21"/>
              </w:rPr>
              <w:t>21</w:t>
            </w:r>
          </w:p>
        </w:tc>
        <w:tc>
          <w:tcPr>
            <w:tcW w:w="373" w:type="pct"/>
            <w:vAlign w:val="center"/>
          </w:tcPr>
          <w:p w14:paraId="6ACE71BF">
            <w:pPr>
              <w:spacing w:line="240" w:lineRule="auto"/>
              <w:ind w:firstLine="0" w:firstLineChars="0"/>
              <w:jc w:val="center"/>
              <w:rPr>
                <w:bCs/>
                <w:color w:val="auto"/>
                <w:sz w:val="21"/>
                <w:szCs w:val="21"/>
              </w:rPr>
            </w:pPr>
            <w:r>
              <w:rPr>
                <w:rFonts w:hint="eastAsia"/>
                <w:bCs/>
                <w:color w:val="auto"/>
                <w:sz w:val="21"/>
                <w:szCs w:val="21"/>
              </w:rPr>
              <w:t>22</w:t>
            </w:r>
          </w:p>
        </w:tc>
        <w:tc>
          <w:tcPr>
            <w:tcW w:w="373" w:type="pct"/>
            <w:vAlign w:val="center"/>
          </w:tcPr>
          <w:p w14:paraId="579818E9">
            <w:pPr>
              <w:spacing w:line="240" w:lineRule="auto"/>
              <w:ind w:firstLine="0" w:firstLineChars="0"/>
              <w:jc w:val="center"/>
              <w:rPr>
                <w:bCs/>
                <w:color w:val="auto"/>
                <w:sz w:val="21"/>
                <w:szCs w:val="21"/>
              </w:rPr>
            </w:pPr>
            <w:r>
              <w:rPr>
                <w:rFonts w:hint="eastAsia"/>
                <w:bCs/>
                <w:color w:val="auto"/>
                <w:sz w:val="21"/>
                <w:szCs w:val="21"/>
              </w:rPr>
              <w:t>22</w:t>
            </w:r>
          </w:p>
        </w:tc>
        <w:tc>
          <w:tcPr>
            <w:tcW w:w="372" w:type="pct"/>
            <w:vAlign w:val="center"/>
          </w:tcPr>
          <w:p w14:paraId="45B81C0F">
            <w:pPr>
              <w:spacing w:line="240" w:lineRule="auto"/>
              <w:ind w:firstLine="0" w:firstLineChars="0"/>
              <w:jc w:val="center"/>
              <w:rPr>
                <w:bCs/>
                <w:color w:val="auto"/>
                <w:sz w:val="21"/>
                <w:szCs w:val="21"/>
              </w:rPr>
            </w:pPr>
            <w:r>
              <w:rPr>
                <w:rFonts w:hint="eastAsia"/>
                <w:bCs/>
                <w:color w:val="auto"/>
                <w:sz w:val="21"/>
                <w:szCs w:val="21"/>
              </w:rPr>
              <w:t>22</w:t>
            </w:r>
          </w:p>
        </w:tc>
      </w:tr>
      <w:tr w14:paraId="58344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04E27C37">
            <w:pPr>
              <w:spacing w:line="240" w:lineRule="auto"/>
              <w:ind w:firstLine="0" w:firstLineChars="0"/>
              <w:jc w:val="center"/>
              <w:rPr>
                <w:bCs/>
                <w:color w:val="auto"/>
                <w:sz w:val="21"/>
                <w:szCs w:val="21"/>
              </w:rPr>
            </w:pPr>
            <w:r>
              <w:rPr>
                <w:rFonts w:hint="eastAsia"/>
                <w:bCs/>
                <w:color w:val="auto"/>
                <w:sz w:val="21"/>
                <w:szCs w:val="21"/>
              </w:rPr>
              <w:t>铅</w:t>
            </w:r>
          </w:p>
        </w:tc>
        <w:tc>
          <w:tcPr>
            <w:tcW w:w="375" w:type="pct"/>
            <w:vAlign w:val="center"/>
          </w:tcPr>
          <w:p w14:paraId="22FEAEBA">
            <w:pPr>
              <w:spacing w:line="240" w:lineRule="auto"/>
              <w:ind w:firstLine="0" w:firstLineChars="0"/>
              <w:jc w:val="center"/>
              <w:rPr>
                <w:bCs/>
                <w:color w:val="auto"/>
                <w:sz w:val="21"/>
                <w:szCs w:val="21"/>
              </w:rPr>
            </w:pPr>
            <w:r>
              <w:rPr>
                <w:rFonts w:hint="eastAsia"/>
                <w:bCs/>
                <w:color w:val="auto"/>
                <w:sz w:val="21"/>
                <w:szCs w:val="21"/>
              </w:rPr>
              <w:t>26</w:t>
            </w:r>
          </w:p>
        </w:tc>
        <w:tc>
          <w:tcPr>
            <w:tcW w:w="375" w:type="pct"/>
            <w:vAlign w:val="center"/>
          </w:tcPr>
          <w:p w14:paraId="5A6ECFCD">
            <w:pPr>
              <w:spacing w:line="240" w:lineRule="auto"/>
              <w:ind w:firstLine="0" w:firstLineChars="0"/>
              <w:jc w:val="center"/>
              <w:rPr>
                <w:bCs/>
                <w:color w:val="auto"/>
                <w:sz w:val="21"/>
                <w:szCs w:val="21"/>
              </w:rPr>
            </w:pPr>
            <w:r>
              <w:rPr>
                <w:rFonts w:hint="eastAsia"/>
                <w:bCs/>
                <w:color w:val="auto"/>
                <w:sz w:val="21"/>
                <w:szCs w:val="21"/>
              </w:rPr>
              <w:t>26</w:t>
            </w:r>
          </w:p>
        </w:tc>
        <w:tc>
          <w:tcPr>
            <w:tcW w:w="376" w:type="pct"/>
            <w:vAlign w:val="center"/>
          </w:tcPr>
          <w:p w14:paraId="14E6BD5E">
            <w:pPr>
              <w:spacing w:line="240" w:lineRule="auto"/>
              <w:ind w:firstLine="0" w:firstLineChars="0"/>
              <w:jc w:val="center"/>
              <w:rPr>
                <w:bCs/>
                <w:color w:val="auto"/>
                <w:sz w:val="21"/>
                <w:szCs w:val="21"/>
              </w:rPr>
            </w:pPr>
            <w:r>
              <w:rPr>
                <w:rFonts w:hint="eastAsia"/>
                <w:bCs/>
                <w:color w:val="auto"/>
                <w:sz w:val="21"/>
                <w:szCs w:val="21"/>
              </w:rPr>
              <w:t>25</w:t>
            </w:r>
          </w:p>
        </w:tc>
        <w:tc>
          <w:tcPr>
            <w:tcW w:w="381" w:type="pct"/>
            <w:vAlign w:val="center"/>
          </w:tcPr>
          <w:p w14:paraId="1110FBBF">
            <w:pPr>
              <w:spacing w:line="240" w:lineRule="auto"/>
              <w:ind w:firstLine="0" w:firstLineChars="0"/>
              <w:jc w:val="center"/>
              <w:rPr>
                <w:bCs/>
                <w:color w:val="auto"/>
                <w:sz w:val="21"/>
                <w:szCs w:val="21"/>
              </w:rPr>
            </w:pPr>
            <w:r>
              <w:rPr>
                <w:rFonts w:hint="eastAsia"/>
                <w:bCs/>
                <w:color w:val="auto"/>
                <w:sz w:val="21"/>
                <w:szCs w:val="21"/>
              </w:rPr>
              <w:t>25</w:t>
            </w:r>
          </w:p>
        </w:tc>
        <w:tc>
          <w:tcPr>
            <w:tcW w:w="378" w:type="pct"/>
            <w:vAlign w:val="center"/>
          </w:tcPr>
          <w:p w14:paraId="6E8479C4">
            <w:pPr>
              <w:spacing w:line="240" w:lineRule="auto"/>
              <w:ind w:firstLine="0" w:firstLineChars="0"/>
              <w:jc w:val="center"/>
              <w:rPr>
                <w:bCs/>
                <w:color w:val="auto"/>
                <w:sz w:val="21"/>
                <w:szCs w:val="21"/>
              </w:rPr>
            </w:pPr>
            <w:r>
              <w:rPr>
                <w:rFonts w:hint="eastAsia"/>
                <w:bCs/>
                <w:color w:val="auto"/>
                <w:sz w:val="21"/>
                <w:szCs w:val="21"/>
              </w:rPr>
              <w:t>36</w:t>
            </w:r>
          </w:p>
        </w:tc>
        <w:tc>
          <w:tcPr>
            <w:tcW w:w="377" w:type="pct"/>
            <w:vAlign w:val="center"/>
          </w:tcPr>
          <w:p w14:paraId="20EE4752">
            <w:pPr>
              <w:spacing w:line="240" w:lineRule="auto"/>
              <w:ind w:firstLine="0" w:firstLineChars="0"/>
              <w:jc w:val="center"/>
              <w:rPr>
                <w:bCs/>
                <w:color w:val="auto"/>
                <w:sz w:val="21"/>
                <w:szCs w:val="21"/>
              </w:rPr>
            </w:pPr>
            <w:r>
              <w:rPr>
                <w:rFonts w:hint="eastAsia"/>
                <w:bCs/>
                <w:color w:val="auto"/>
                <w:sz w:val="21"/>
                <w:szCs w:val="21"/>
              </w:rPr>
              <w:t>33</w:t>
            </w:r>
          </w:p>
        </w:tc>
        <w:tc>
          <w:tcPr>
            <w:tcW w:w="376" w:type="pct"/>
            <w:vAlign w:val="center"/>
          </w:tcPr>
          <w:p w14:paraId="67A2B713">
            <w:pPr>
              <w:spacing w:line="240" w:lineRule="auto"/>
              <w:ind w:firstLine="0" w:firstLineChars="0"/>
              <w:jc w:val="center"/>
              <w:rPr>
                <w:bCs/>
                <w:color w:val="auto"/>
                <w:sz w:val="21"/>
                <w:szCs w:val="21"/>
              </w:rPr>
            </w:pPr>
            <w:r>
              <w:rPr>
                <w:rFonts w:hint="eastAsia"/>
                <w:bCs/>
                <w:color w:val="auto"/>
                <w:sz w:val="21"/>
                <w:szCs w:val="21"/>
              </w:rPr>
              <w:t>33</w:t>
            </w:r>
          </w:p>
        </w:tc>
        <w:tc>
          <w:tcPr>
            <w:tcW w:w="374" w:type="pct"/>
            <w:vAlign w:val="center"/>
          </w:tcPr>
          <w:p w14:paraId="40FF5A0F">
            <w:pPr>
              <w:spacing w:line="240" w:lineRule="auto"/>
              <w:ind w:firstLine="0" w:firstLineChars="0"/>
              <w:jc w:val="center"/>
              <w:rPr>
                <w:bCs/>
                <w:color w:val="auto"/>
                <w:sz w:val="21"/>
                <w:szCs w:val="21"/>
              </w:rPr>
            </w:pPr>
            <w:r>
              <w:rPr>
                <w:rFonts w:hint="eastAsia"/>
                <w:bCs/>
                <w:color w:val="auto"/>
                <w:sz w:val="21"/>
                <w:szCs w:val="21"/>
              </w:rPr>
              <w:t>25</w:t>
            </w:r>
          </w:p>
        </w:tc>
        <w:tc>
          <w:tcPr>
            <w:tcW w:w="374" w:type="pct"/>
            <w:vAlign w:val="center"/>
          </w:tcPr>
          <w:p w14:paraId="15047B71">
            <w:pPr>
              <w:spacing w:line="240" w:lineRule="auto"/>
              <w:ind w:firstLine="0" w:firstLineChars="0"/>
              <w:jc w:val="center"/>
              <w:rPr>
                <w:bCs/>
                <w:color w:val="auto"/>
                <w:sz w:val="21"/>
                <w:szCs w:val="21"/>
              </w:rPr>
            </w:pPr>
            <w:r>
              <w:rPr>
                <w:rFonts w:hint="eastAsia"/>
                <w:bCs/>
                <w:color w:val="auto"/>
                <w:sz w:val="21"/>
                <w:szCs w:val="21"/>
              </w:rPr>
              <w:t>40</w:t>
            </w:r>
          </w:p>
        </w:tc>
        <w:tc>
          <w:tcPr>
            <w:tcW w:w="373" w:type="pct"/>
            <w:vAlign w:val="center"/>
          </w:tcPr>
          <w:p w14:paraId="3414FEEF">
            <w:pPr>
              <w:spacing w:line="240" w:lineRule="auto"/>
              <w:ind w:firstLine="0" w:firstLineChars="0"/>
              <w:jc w:val="center"/>
              <w:rPr>
                <w:bCs/>
                <w:color w:val="auto"/>
                <w:sz w:val="21"/>
                <w:szCs w:val="21"/>
              </w:rPr>
            </w:pPr>
            <w:r>
              <w:rPr>
                <w:rFonts w:hint="eastAsia"/>
                <w:bCs/>
                <w:color w:val="auto"/>
                <w:sz w:val="21"/>
                <w:szCs w:val="21"/>
              </w:rPr>
              <w:t>40</w:t>
            </w:r>
          </w:p>
        </w:tc>
        <w:tc>
          <w:tcPr>
            <w:tcW w:w="373" w:type="pct"/>
            <w:vAlign w:val="center"/>
          </w:tcPr>
          <w:p w14:paraId="40F36A92">
            <w:pPr>
              <w:spacing w:line="240" w:lineRule="auto"/>
              <w:ind w:firstLine="0" w:firstLineChars="0"/>
              <w:jc w:val="center"/>
              <w:rPr>
                <w:bCs/>
                <w:color w:val="auto"/>
                <w:sz w:val="21"/>
                <w:szCs w:val="21"/>
              </w:rPr>
            </w:pPr>
            <w:r>
              <w:rPr>
                <w:rFonts w:hint="eastAsia"/>
                <w:bCs/>
                <w:color w:val="auto"/>
                <w:sz w:val="21"/>
                <w:szCs w:val="21"/>
              </w:rPr>
              <w:t>25</w:t>
            </w:r>
          </w:p>
        </w:tc>
        <w:tc>
          <w:tcPr>
            <w:tcW w:w="372" w:type="pct"/>
            <w:vAlign w:val="center"/>
          </w:tcPr>
          <w:p w14:paraId="3EEA7C18">
            <w:pPr>
              <w:spacing w:line="240" w:lineRule="auto"/>
              <w:ind w:firstLine="0" w:firstLineChars="0"/>
              <w:jc w:val="center"/>
              <w:rPr>
                <w:bCs/>
                <w:color w:val="auto"/>
                <w:sz w:val="21"/>
                <w:szCs w:val="21"/>
              </w:rPr>
            </w:pPr>
            <w:r>
              <w:rPr>
                <w:rFonts w:hint="eastAsia"/>
                <w:bCs/>
                <w:color w:val="auto"/>
                <w:sz w:val="21"/>
                <w:szCs w:val="21"/>
              </w:rPr>
              <w:t>33</w:t>
            </w:r>
          </w:p>
        </w:tc>
      </w:tr>
      <w:tr w14:paraId="44890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51AD1578">
            <w:pPr>
              <w:spacing w:line="240" w:lineRule="auto"/>
              <w:ind w:firstLine="0" w:firstLineChars="0"/>
              <w:jc w:val="center"/>
              <w:rPr>
                <w:bCs/>
                <w:color w:val="auto"/>
                <w:sz w:val="21"/>
                <w:szCs w:val="21"/>
              </w:rPr>
            </w:pPr>
            <w:r>
              <w:rPr>
                <w:rFonts w:hint="eastAsia"/>
                <w:bCs/>
                <w:color w:val="auto"/>
                <w:sz w:val="21"/>
                <w:szCs w:val="21"/>
              </w:rPr>
              <w:t>镍</w:t>
            </w:r>
          </w:p>
        </w:tc>
        <w:tc>
          <w:tcPr>
            <w:tcW w:w="375" w:type="pct"/>
            <w:vAlign w:val="center"/>
          </w:tcPr>
          <w:p w14:paraId="073402FA">
            <w:pPr>
              <w:spacing w:line="240" w:lineRule="auto"/>
              <w:ind w:firstLine="0" w:firstLineChars="0"/>
              <w:jc w:val="center"/>
              <w:rPr>
                <w:bCs/>
                <w:color w:val="auto"/>
                <w:sz w:val="21"/>
                <w:szCs w:val="21"/>
              </w:rPr>
            </w:pPr>
            <w:r>
              <w:rPr>
                <w:rFonts w:hint="eastAsia"/>
                <w:bCs/>
                <w:color w:val="auto"/>
                <w:sz w:val="21"/>
                <w:szCs w:val="21"/>
              </w:rPr>
              <w:t>46</w:t>
            </w:r>
          </w:p>
        </w:tc>
        <w:tc>
          <w:tcPr>
            <w:tcW w:w="375" w:type="pct"/>
            <w:vAlign w:val="center"/>
          </w:tcPr>
          <w:p w14:paraId="3525672E">
            <w:pPr>
              <w:spacing w:line="240" w:lineRule="auto"/>
              <w:ind w:firstLine="0" w:firstLineChars="0"/>
              <w:jc w:val="center"/>
              <w:rPr>
                <w:bCs/>
                <w:color w:val="auto"/>
                <w:sz w:val="21"/>
                <w:szCs w:val="21"/>
              </w:rPr>
            </w:pPr>
            <w:r>
              <w:rPr>
                <w:rFonts w:hint="eastAsia"/>
                <w:bCs/>
                <w:color w:val="auto"/>
                <w:sz w:val="21"/>
                <w:szCs w:val="21"/>
              </w:rPr>
              <w:t>49</w:t>
            </w:r>
          </w:p>
        </w:tc>
        <w:tc>
          <w:tcPr>
            <w:tcW w:w="376" w:type="pct"/>
            <w:vAlign w:val="center"/>
          </w:tcPr>
          <w:p w14:paraId="573785B0">
            <w:pPr>
              <w:spacing w:line="240" w:lineRule="auto"/>
              <w:ind w:firstLine="0" w:firstLineChars="0"/>
              <w:jc w:val="center"/>
              <w:rPr>
                <w:bCs/>
                <w:color w:val="auto"/>
                <w:sz w:val="21"/>
                <w:szCs w:val="21"/>
              </w:rPr>
            </w:pPr>
            <w:r>
              <w:rPr>
                <w:rFonts w:hint="eastAsia"/>
                <w:bCs/>
                <w:color w:val="auto"/>
                <w:sz w:val="21"/>
                <w:szCs w:val="21"/>
              </w:rPr>
              <w:t>48</w:t>
            </w:r>
          </w:p>
        </w:tc>
        <w:tc>
          <w:tcPr>
            <w:tcW w:w="381" w:type="pct"/>
            <w:vAlign w:val="center"/>
          </w:tcPr>
          <w:p w14:paraId="1E87F1DF">
            <w:pPr>
              <w:spacing w:line="240" w:lineRule="auto"/>
              <w:ind w:firstLine="0" w:firstLineChars="0"/>
              <w:jc w:val="center"/>
              <w:rPr>
                <w:bCs/>
                <w:color w:val="auto"/>
                <w:sz w:val="21"/>
                <w:szCs w:val="21"/>
              </w:rPr>
            </w:pPr>
            <w:r>
              <w:rPr>
                <w:rFonts w:hint="eastAsia"/>
                <w:bCs/>
                <w:color w:val="auto"/>
                <w:sz w:val="21"/>
                <w:szCs w:val="21"/>
              </w:rPr>
              <w:t>49</w:t>
            </w:r>
          </w:p>
        </w:tc>
        <w:tc>
          <w:tcPr>
            <w:tcW w:w="378" w:type="pct"/>
            <w:vAlign w:val="center"/>
          </w:tcPr>
          <w:p w14:paraId="734E935A">
            <w:pPr>
              <w:spacing w:line="240" w:lineRule="auto"/>
              <w:ind w:firstLine="0" w:firstLineChars="0"/>
              <w:jc w:val="center"/>
              <w:rPr>
                <w:bCs/>
                <w:color w:val="auto"/>
                <w:sz w:val="21"/>
                <w:szCs w:val="21"/>
              </w:rPr>
            </w:pPr>
            <w:r>
              <w:rPr>
                <w:rFonts w:hint="eastAsia"/>
                <w:bCs/>
                <w:color w:val="auto"/>
                <w:sz w:val="21"/>
                <w:szCs w:val="21"/>
              </w:rPr>
              <w:t>48</w:t>
            </w:r>
          </w:p>
        </w:tc>
        <w:tc>
          <w:tcPr>
            <w:tcW w:w="377" w:type="pct"/>
            <w:vAlign w:val="center"/>
          </w:tcPr>
          <w:p w14:paraId="003EBCCC">
            <w:pPr>
              <w:spacing w:line="240" w:lineRule="auto"/>
              <w:ind w:firstLine="0" w:firstLineChars="0"/>
              <w:jc w:val="center"/>
              <w:rPr>
                <w:bCs/>
                <w:color w:val="auto"/>
                <w:sz w:val="21"/>
                <w:szCs w:val="21"/>
              </w:rPr>
            </w:pPr>
            <w:r>
              <w:rPr>
                <w:rFonts w:hint="eastAsia"/>
                <w:bCs/>
                <w:color w:val="auto"/>
                <w:sz w:val="21"/>
                <w:szCs w:val="21"/>
              </w:rPr>
              <w:t>48</w:t>
            </w:r>
          </w:p>
        </w:tc>
        <w:tc>
          <w:tcPr>
            <w:tcW w:w="376" w:type="pct"/>
            <w:vAlign w:val="center"/>
          </w:tcPr>
          <w:p w14:paraId="43BEC69C">
            <w:pPr>
              <w:spacing w:line="240" w:lineRule="auto"/>
              <w:ind w:firstLine="0" w:firstLineChars="0"/>
              <w:jc w:val="center"/>
              <w:rPr>
                <w:bCs/>
                <w:color w:val="auto"/>
                <w:sz w:val="21"/>
                <w:szCs w:val="21"/>
              </w:rPr>
            </w:pPr>
            <w:r>
              <w:rPr>
                <w:rFonts w:hint="eastAsia"/>
                <w:bCs/>
                <w:color w:val="auto"/>
                <w:sz w:val="21"/>
                <w:szCs w:val="21"/>
              </w:rPr>
              <w:t>48</w:t>
            </w:r>
          </w:p>
        </w:tc>
        <w:tc>
          <w:tcPr>
            <w:tcW w:w="374" w:type="pct"/>
            <w:vAlign w:val="center"/>
          </w:tcPr>
          <w:p w14:paraId="3245341C">
            <w:pPr>
              <w:spacing w:line="240" w:lineRule="auto"/>
              <w:ind w:firstLine="0" w:firstLineChars="0"/>
              <w:jc w:val="center"/>
              <w:rPr>
                <w:bCs/>
                <w:color w:val="auto"/>
                <w:sz w:val="21"/>
                <w:szCs w:val="21"/>
              </w:rPr>
            </w:pPr>
            <w:r>
              <w:rPr>
                <w:rFonts w:hint="eastAsia"/>
                <w:bCs/>
                <w:color w:val="auto"/>
                <w:sz w:val="21"/>
                <w:szCs w:val="21"/>
              </w:rPr>
              <w:t>50</w:t>
            </w:r>
          </w:p>
        </w:tc>
        <w:tc>
          <w:tcPr>
            <w:tcW w:w="374" w:type="pct"/>
            <w:vAlign w:val="center"/>
          </w:tcPr>
          <w:p w14:paraId="1F560004">
            <w:pPr>
              <w:spacing w:line="240" w:lineRule="auto"/>
              <w:ind w:firstLine="0" w:firstLineChars="0"/>
              <w:jc w:val="center"/>
              <w:rPr>
                <w:bCs/>
                <w:color w:val="auto"/>
                <w:sz w:val="21"/>
                <w:szCs w:val="21"/>
              </w:rPr>
            </w:pPr>
            <w:r>
              <w:rPr>
                <w:rFonts w:hint="eastAsia"/>
                <w:bCs/>
                <w:color w:val="auto"/>
                <w:sz w:val="21"/>
                <w:szCs w:val="21"/>
              </w:rPr>
              <w:t>47</w:t>
            </w:r>
          </w:p>
        </w:tc>
        <w:tc>
          <w:tcPr>
            <w:tcW w:w="373" w:type="pct"/>
            <w:vAlign w:val="center"/>
          </w:tcPr>
          <w:p w14:paraId="2A34A3CF">
            <w:pPr>
              <w:spacing w:line="240" w:lineRule="auto"/>
              <w:ind w:firstLine="0" w:firstLineChars="0"/>
              <w:jc w:val="center"/>
              <w:rPr>
                <w:bCs/>
                <w:color w:val="auto"/>
                <w:sz w:val="21"/>
                <w:szCs w:val="21"/>
              </w:rPr>
            </w:pPr>
            <w:r>
              <w:rPr>
                <w:rFonts w:hint="eastAsia"/>
                <w:bCs/>
                <w:color w:val="auto"/>
                <w:sz w:val="21"/>
                <w:szCs w:val="21"/>
              </w:rPr>
              <w:t>48</w:t>
            </w:r>
          </w:p>
        </w:tc>
        <w:tc>
          <w:tcPr>
            <w:tcW w:w="373" w:type="pct"/>
            <w:vAlign w:val="center"/>
          </w:tcPr>
          <w:p w14:paraId="70175C12">
            <w:pPr>
              <w:spacing w:line="240" w:lineRule="auto"/>
              <w:ind w:firstLine="0" w:firstLineChars="0"/>
              <w:jc w:val="center"/>
              <w:rPr>
                <w:bCs/>
                <w:color w:val="auto"/>
                <w:sz w:val="21"/>
                <w:szCs w:val="21"/>
              </w:rPr>
            </w:pPr>
            <w:r>
              <w:rPr>
                <w:rFonts w:hint="eastAsia"/>
                <w:bCs/>
                <w:color w:val="auto"/>
                <w:sz w:val="21"/>
                <w:szCs w:val="21"/>
              </w:rPr>
              <w:t>50</w:t>
            </w:r>
          </w:p>
        </w:tc>
        <w:tc>
          <w:tcPr>
            <w:tcW w:w="372" w:type="pct"/>
            <w:vAlign w:val="center"/>
          </w:tcPr>
          <w:p w14:paraId="1BEFFDCC">
            <w:pPr>
              <w:spacing w:line="240" w:lineRule="auto"/>
              <w:ind w:firstLine="0" w:firstLineChars="0"/>
              <w:jc w:val="center"/>
              <w:rPr>
                <w:bCs/>
                <w:color w:val="auto"/>
                <w:sz w:val="21"/>
                <w:szCs w:val="21"/>
              </w:rPr>
            </w:pPr>
            <w:r>
              <w:rPr>
                <w:rFonts w:hint="eastAsia"/>
                <w:bCs/>
                <w:color w:val="auto"/>
                <w:sz w:val="21"/>
                <w:szCs w:val="21"/>
              </w:rPr>
              <w:t>43</w:t>
            </w:r>
          </w:p>
        </w:tc>
      </w:tr>
      <w:tr w14:paraId="46514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2191A5E0">
            <w:pPr>
              <w:spacing w:line="240" w:lineRule="auto"/>
              <w:ind w:firstLine="0" w:firstLineChars="0"/>
              <w:jc w:val="center"/>
              <w:rPr>
                <w:bCs/>
                <w:color w:val="auto"/>
                <w:sz w:val="21"/>
                <w:szCs w:val="21"/>
              </w:rPr>
            </w:pPr>
            <w:r>
              <w:rPr>
                <w:rFonts w:hint="eastAsia"/>
                <w:bCs/>
                <w:color w:val="auto"/>
                <w:sz w:val="21"/>
                <w:szCs w:val="21"/>
              </w:rPr>
              <w:t>石油烃（C10-C40）</w:t>
            </w:r>
          </w:p>
        </w:tc>
        <w:tc>
          <w:tcPr>
            <w:tcW w:w="375" w:type="pct"/>
            <w:vAlign w:val="center"/>
          </w:tcPr>
          <w:p w14:paraId="41A3C13D">
            <w:pPr>
              <w:spacing w:line="240" w:lineRule="auto"/>
              <w:ind w:firstLine="0" w:firstLineChars="0"/>
              <w:jc w:val="center"/>
              <w:rPr>
                <w:bCs/>
                <w:color w:val="auto"/>
                <w:sz w:val="21"/>
                <w:szCs w:val="21"/>
              </w:rPr>
            </w:pPr>
            <w:r>
              <w:rPr>
                <w:rFonts w:hint="eastAsia"/>
                <w:bCs/>
                <w:color w:val="auto"/>
                <w:sz w:val="21"/>
                <w:szCs w:val="21"/>
              </w:rPr>
              <w:t>18</w:t>
            </w:r>
          </w:p>
        </w:tc>
        <w:tc>
          <w:tcPr>
            <w:tcW w:w="375" w:type="pct"/>
            <w:vAlign w:val="center"/>
          </w:tcPr>
          <w:p w14:paraId="79397EBE">
            <w:pPr>
              <w:spacing w:line="240" w:lineRule="auto"/>
              <w:ind w:firstLine="0" w:firstLineChars="0"/>
              <w:jc w:val="center"/>
              <w:rPr>
                <w:bCs/>
                <w:color w:val="auto"/>
                <w:sz w:val="21"/>
                <w:szCs w:val="21"/>
              </w:rPr>
            </w:pPr>
            <w:r>
              <w:rPr>
                <w:rFonts w:hint="eastAsia"/>
                <w:bCs/>
                <w:color w:val="auto"/>
                <w:sz w:val="21"/>
                <w:szCs w:val="21"/>
              </w:rPr>
              <w:t>16</w:t>
            </w:r>
          </w:p>
        </w:tc>
        <w:tc>
          <w:tcPr>
            <w:tcW w:w="376" w:type="pct"/>
            <w:vAlign w:val="center"/>
          </w:tcPr>
          <w:p w14:paraId="1C81DEEC">
            <w:pPr>
              <w:spacing w:line="240" w:lineRule="auto"/>
              <w:ind w:firstLine="0" w:firstLineChars="0"/>
              <w:jc w:val="center"/>
              <w:rPr>
                <w:bCs/>
                <w:color w:val="auto"/>
                <w:sz w:val="21"/>
                <w:szCs w:val="21"/>
              </w:rPr>
            </w:pPr>
            <w:r>
              <w:rPr>
                <w:rFonts w:hint="eastAsia"/>
                <w:bCs/>
                <w:color w:val="auto"/>
                <w:sz w:val="21"/>
                <w:szCs w:val="21"/>
              </w:rPr>
              <w:t>17</w:t>
            </w:r>
          </w:p>
        </w:tc>
        <w:tc>
          <w:tcPr>
            <w:tcW w:w="381" w:type="pct"/>
            <w:vAlign w:val="center"/>
          </w:tcPr>
          <w:p w14:paraId="2F65F9FB">
            <w:pPr>
              <w:spacing w:line="240" w:lineRule="auto"/>
              <w:ind w:firstLine="0" w:firstLineChars="0"/>
              <w:jc w:val="center"/>
              <w:rPr>
                <w:bCs/>
                <w:color w:val="auto"/>
                <w:sz w:val="21"/>
                <w:szCs w:val="21"/>
              </w:rPr>
            </w:pPr>
            <w:r>
              <w:rPr>
                <w:rFonts w:hint="eastAsia"/>
                <w:bCs/>
                <w:color w:val="auto"/>
                <w:sz w:val="21"/>
                <w:szCs w:val="21"/>
              </w:rPr>
              <w:t>14</w:t>
            </w:r>
          </w:p>
        </w:tc>
        <w:tc>
          <w:tcPr>
            <w:tcW w:w="378" w:type="pct"/>
            <w:vAlign w:val="center"/>
          </w:tcPr>
          <w:p w14:paraId="63544A3F">
            <w:pPr>
              <w:spacing w:line="240" w:lineRule="auto"/>
              <w:ind w:firstLine="0" w:firstLineChars="0"/>
              <w:jc w:val="center"/>
              <w:rPr>
                <w:bCs/>
                <w:color w:val="auto"/>
                <w:sz w:val="21"/>
                <w:szCs w:val="21"/>
              </w:rPr>
            </w:pPr>
            <w:r>
              <w:rPr>
                <w:rFonts w:hint="eastAsia"/>
                <w:bCs/>
                <w:color w:val="auto"/>
                <w:sz w:val="21"/>
                <w:szCs w:val="21"/>
              </w:rPr>
              <w:t>18</w:t>
            </w:r>
          </w:p>
        </w:tc>
        <w:tc>
          <w:tcPr>
            <w:tcW w:w="377" w:type="pct"/>
            <w:vAlign w:val="center"/>
          </w:tcPr>
          <w:p w14:paraId="59A172B0">
            <w:pPr>
              <w:spacing w:line="240" w:lineRule="auto"/>
              <w:ind w:firstLine="0" w:firstLineChars="0"/>
              <w:jc w:val="center"/>
              <w:rPr>
                <w:bCs/>
                <w:color w:val="auto"/>
                <w:sz w:val="21"/>
                <w:szCs w:val="21"/>
              </w:rPr>
            </w:pPr>
            <w:r>
              <w:rPr>
                <w:rFonts w:hint="eastAsia"/>
                <w:bCs/>
                <w:color w:val="auto"/>
                <w:sz w:val="21"/>
                <w:szCs w:val="21"/>
              </w:rPr>
              <w:t>18</w:t>
            </w:r>
          </w:p>
        </w:tc>
        <w:tc>
          <w:tcPr>
            <w:tcW w:w="376" w:type="pct"/>
            <w:vAlign w:val="center"/>
          </w:tcPr>
          <w:p w14:paraId="373349FF">
            <w:pPr>
              <w:spacing w:line="240" w:lineRule="auto"/>
              <w:ind w:firstLine="0" w:firstLineChars="0"/>
              <w:jc w:val="center"/>
              <w:rPr>
                <w:bCs/>
                <w:color w:val="auto"/>
                <w:sz w:val="21"/>
                <w:szCs w:val="21"/>
              </w:rPr>
            </w:pPr>
            <w:r>
              <w:rPr>
                <w:rFonts w:hint="eastAsia"/>
                <w:bCs/>
                <w:color w:val="auto"/>
                <w:sz w:val="21"/>
                <w:szCs w:val="21"/>
              </w:rPr>
              <w:t>18</w:t>
            </w:r>
          </w:p>
        </w:tc>
        <w:tc>
          <w:tcPr>
            <w:tcW w:w="374" w:type="pct"/>
            <w:vAlign w:val="center"/>
          </w:tcPr>
          <w:p w14:paraId="2049386E">
            <w:pPr>
              <w:spacing w:line="240" w:lineRule="auto"/>
              <w:ind w:firstLine="0" w:firstLineChars="0"/>
              <w:jc w:val="center"/>
              <w:rPr>
                <w:bCs/>
                <w:color w:val="auto"/>
                <w:sz w:val="21"/>
                <w:szCs w:val="21"/>
              </w:rPr>
            </w:pPr>
            <w:r>
              <w:rPr>
                <w:rFonts w:hint="eastAsia"/>
                <w:bCs/>
                <w:color w:val="auto"/>
                <w:sz w:val="21"/>
                <w:szCs w:val="21"/>
              </w:rPr>
              <w:t>14</w:t>
            </w:r>
          </w:p>
        </w:tc>
        <w:tc>
          <w:tcPr>
            <w:tcW w:w="374" w:type="pct"/>
            <w:vAlign w:val="center"/>
          </w:tcPr>
          <w:p w14:paraId="7B6C6FFF">
            <w:pPr>
              <w:spacing w:line="240" w:lineRule="auto"/>
              <w:ind w:firstLine="0" w:firstLineChars="0"/>
              <w:jc w:val="center"/>
              <w:rPr>
                <w:bCs/>
                <w:color w:val="auto"/>
                <w:sz w:val="21"/>
                <w:szCs w:val="21"/>
              </w:rPr>
            </w:pPr>
            <w:r>
              <w:rPr>
                <w:rFonts w:hint="eastAsia"/>
                <w:bCs/>
                <w:color w:val="auto"/>
                <w:sz w:val="21"/>
                <w:szCs w:val="21"/>
              </w:rPr>
              <w:t>17</w:t>
            </w:r>
          </w:p>
        </w:tc>
        <w:tc>
          <w:tcPr>
            <w:tcW w:w="373" w:type="pct"/>
            <w:vAlign w:val="center"/>
          </w:tcPr>
          <w:p w14:paraId="1F035DFF">
            <w:pPr>
              <w:spacing w:line="240" w:lineRule="auto"/>
              <w:ind w:firstLine="0" w:firstLineChars="0"/>
              <w:jc w:val="center"/>
              <w:rPr>
                <w:bCs/>
                <w:color w:val="auto"/>
                <w:sz w:val="21"/>
                <w:szCs w:val="21"/>
              </w:rPr>
            </w:pPr>
            <w:r>
              <w:rPr>
                <w:rFonts w:hint="eastAsia"/>
                <w:bCs/>
                <w:color w:val="auto"/>
                <w:sz w:val="21"/>
                <w:szCs w:val="21"/>
              </w:rPr>
              <w:t>18</w:t>
            </w:r>
          </w:p>
        </w:tc>
        <w:tc>
          <w:tcPr>
            <w:tcW w:w="373" w:type="pct"/>
            <w:vAlign w:val="center"/>
          </w:tcPr>
          <w:p w14:paraId="0741003C">
            <w:pPr>
              <w:spacing w:line="240" w:lineRule="auto"/>
              <w:ind w:firstLine="0" w:firstLineChars="0"/>
              <w:jc w:val="center"/>
              <w:rPr>
                <w:bCs/>
                <w:color w:val="auto"/>
                <w:sz w:val="21"/>
                <w:szCs w:val="21"/>
              </w:rPr>
            </w:pPr>
            <w:r>
              <w:rPr>
                <w:rFonts w:hint="eastAsia"/>
                <w:bCs/>
                <w:color w:val="auto"/>
                <w:sz w:val="21"/>
                <w:szCs w:val="21"/>
              </w:rPr>
              <w:t>16</w:t>
            </w:r>
          </w:p>
        </w:tc>
        <w:tc>
          <w:tcPr>
            <w:tcW w:w="372" w:type="pct"/>
            <w:vAlign w:val="center"/>
          </w:tcPr>
          <w:p w14:paraId="540B130A">
            <w:pPr>
              <w:spacing w:line="240" w:lineRule="auto"/>
              <w:ind w:firstLine="0" w:firstLineChars="0"/>
              <w:jc w:val="center"/>
              <w:rPr>
                <w:bCs/>
                <w:color w:val="auto"/>
                <w:sz w:val="21"/>
                <w:szCs w:val="21"/>
              </w:rPr>
            </w:pPr>
            <w:r>
              <w:rPr>
                <w:rFonts w:hint="eastAsia"/>
                <w:bCs/>
                <w:color w:val="auto"/>
                <w:sz w:val="21"/>
                <w:szCs w:val="21"/>
              </w:rPr>
              <w:t>16</w:t>
            </w:r>
          </w:p>
        </w:tc>
      </w:tr>
      <w:tr w14:paraId="51EDC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1FCA2FFD">
            <w:pPr>
              <w:spacing w:line="240" w:lineRule="auto"/>
              <w:ind w:firstLine="0" w:firstLineChars="0"/>
              <w:jc w:val="center"/>
              <w:rPr>
                <w:bCs/>
                <w:color w:val="auto"/>
                <w:sz w:val="21"/>
                <w:szCs w:val="21"/>
              </w:rPr>
            </w:pPr>
            <w:r>
              <w:rPr>
                <w:rFonts w:hint="eastAsia"/>
                <w:bCs/>
                <w:color w:val="auto"/>
                <w:sz w:val="21"/>
                <w:szCs w:val="21"/>
              </w:rPr>
              <w:t>四氯化碳</w:t>
            </w:r>
          </w:p>
        </w:tc>
        <w:tc>
          <w:tcPr>
            <w:tcW w:w="375" w:type="pct"/>
            <w:vAlign w:val="center"/>
          </w:tcPr>
          <w:p w14:paraId="6077F951">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698A6A44">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F7CF7ED">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78BC9FDC">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58244135">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1C1D72D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833CC76">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AF8F7EF">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206A5A4">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AE67D2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8C67F7B">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73F08C91">
            <w:pPr>
              <w:spacing w:line="240" w:lineRule="auto"/>
              <w:ind w:firstLine="0" w:firstLineChars="0"/>
              <w:jc w:val="center"/>
              <w:rPr>
                <w:bCs/>
                <w:color w:val="auto"/>
                <w:sz w:val="21"/>
                <w:szCs w:val="21"/>
              </w:rPr>
            </w:pPr>
            <w:r>
              <w:rPr>
                <w:rFonts w:hint="eastAsia"/>
                <w:bCs/>
                <w:color w:val="auto"/>
                <w:sz w:val="21"/>
                <w:szCs w:val="21"/>
              </w:rPr>
              <w:t>ND</w:t>
            </w:r>
          </w:p>
        </w:tc>
      </w:tr>
      <w:tr w14:paraId="231DC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74D9E1E2">
            <w:pPr>
              <w:spacing w:line="240" w:lineRule="auto"/>
              <w:ind w:firstLine="0" w:firstLineChars="0"/>
              <w:jc w:val="center"/>
              <w:rPr>
                <w:bCs/>
                <w:color w:val="auto"/>
                <w:sz w:val="21"/>
                <w:szCs w:val="21"/>
              </w:rPr>
            </w:pPr>
            <w:r>
              <w:rPr>
                <w:rFonts w:hint="eastAsia"/>
                <w:bCs/>
                <w:color w:val="auto"/>
                <w:sz w:val="21"/>
                <w:szCs w:val="21"/>
              </w:rPr>
              <w:t>氯仿</w:t>
            </w:r>
          </w:p>
        </w:tc>
        <w:tc>
          <w:tcPr>
            <w:tcW w:w="375" w:type="pct"/>
            <w:vAlign w:val="center"/>
          </w:tcPr>
          <w:p w14:paraId="1BA26E06">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52140B88">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B950027">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F7FDA7C">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C16B6BF">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E89E1F9">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C194A2E">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38148C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6132C9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494E66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97B5CA7">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75F15483">
            <w:pPr>
              <w:spacing w:line="240" w:lineRule="auto"/>
              <w:ind w:firstLine="0" w:firstLineChars="0"/>
              <w:jc w:val="center"/>
              <w:rPr>
                <w:bCs/>
                <w:color w:val="auto"/>
                <w:sz w:val="21"/>
                <w:szCs w:val="21"/>
              </w:rPr>
            </w:pPr>
            <w:r>
              <w:rPr>
                <w:rFonts w:hint="eastAsia"/>
                <w:bCs/>
                <w:color w:val="auto"/>
                <w:sz w:val="21"/>
                <w:szCs w:val="21"/>
              </w:rPr>
              <w:t>ND</w:t>
            </w:r>
          </w:p>
        </w:tc>
      </w:tr>
      <w:tr w14:paraId="253AA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63CCA940">
            <w:pPr>
              <w:spacing w:line="240" w:lineRule="auto"/>
              <w:ind w:firstLine="0" w:firstLineChars="0"/>
              <w:jc w:val="center"/>
              <w:rPr>
                <w:bCs/>
                <w:color w:val="auto"/>
                <w:sz w:val="21"/>
                <w:szCs w:val="21"/>
              </w:rPr>
            </w:pPr>
            <w:r>
              <w:rPr>
                <w:rFonts w:hint="eastAsia"/>
                <w:bCs/>
                <w:color w:val="auto"/>
                <w:sz w:val="21"/>
                <w:szCs w:val="21"/>
              </w:rPr>
              <w:t>氯甲烷</w:t>
            </w:r>
          </w:p>
        </w:tc>
        <w:tc>
          <w:tcPr>
            <w:tcW w:w="375" w:type="pct"/>
            <w:vAlign w:val="center"/>
          </w:tcPr>
          <w:p w14:paraId="01608394">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20267D2C">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EA6C535">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69C117F">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BB95A0D">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BE2977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33267E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1B8A73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F7B0F73">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A44DBF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7805052">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7798729">
            <w:pPr>
              <w:spacing w:line="240" w:lineRule="auto"/>
              <w:ind w:firstLine="0" w:firstLineChars="0"/>
              <w:jc w:val="center"/>
              <w:rPr>
                <w:bCs/>
                <w:color w:val="auto"/>
                <w:sz w:val="21"/>
                <w:szCs w:val="21"/>
              </w:rPr>
            </w:pPr>
            <w:r>
              <w:rPr>
                <w:rFonts w:hint="eastAsia"/>
                <w:bCs/>
                <w:color w:val="auto"/>
                <w:sz w:val="21"/>
                <w:szCs w:val="21"/>
              </w:rPr>
              <w:t>ND</w:t>
            </w:r>
          </w:p>
        </w:tc>
      </w:tr>
      <w:tr w14:paraId="4D891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71ED8EF1">
            <w:pPr>
              <w:spacing w:line="240" w:lineRule="auto"/>
              <w:ind w:firstLine="0" w:firstLineChars="0"/>
              <w:jc w:val="center"/>
              <w:rPr>
                <w:bCs/>
                <w:color w:val="auto"/>
                <w:sz w:val="21"/>
                <w:szCs w:val="21"/>
              </w:rPr>
            </w:pPr>
            <w:r>
              <w:rPr>
                <w:color w:val="auto"/>
                <w:kern w:val="0"/>
                <w:sz w:val="21"/>
                <w:szCs w:val="21"/>
              </w:rPr>
              <w:t>1,1-二氯乙烷</w:t>
            </w:r>
          </w:p>
        </w:tc>
        <w:tc>
          <w:tcPr>
            <w:tcW w:w="375" w:type="pct"/>
            <w:vAlign w:val="center"/>
          </w:tcPr>
          <w:p w14:paraId="5566DC4E">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59CDDF3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14BD015">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4B817C3">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1BBE43E5">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DF92770">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A79274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DADC7A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A35C81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43ACD62">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F95CDF6">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1BAA102">
            <w:pPr>
              <w:spacing w:line="240" w:lineRule="auto"/>
              <w:ind w:firstLine="0" w:firstLineChars="0"/>
              <w:jc w:val="center"/>
              <w:rPr>
                <w:bCs/>
                <w:color w:val="auto"/>
                <w:sz w:val="21"/>
                <w:szCs w:val="21"/>
              </w:rPr>
            </w:pPr>
            <w:r>
              <w:rPr>
                <w:rFonts w:hint="eastAsia"/>
                <w:bCs/>
                <w:color w:val="auto"/>
                <w:sz w:val="21"/>
                <w:szCs w:val="21"/>
              </w:rPr>
              <w:t>ND</w:t>
            </w:r>
          </w:p>
        </w:tc>
      </w:tr>
      <w:tr w14:paraId="4B1CF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2683A030">
            <w:pPr>
              <w:spacing w:line="240" w:lineRule="auto"/>
              <w:ind w:firstLine="0" w:firstLineChars="0"/>
              <w:jc w:val="center"/>
              <w:rPr>
                <w:bCs/>
                <w:color w:val="auto"/>
                <w:sz w:val="21"/>
                <w:szCs w:val="21"/>
              </w:rPr>
            </w:pPr>
            <w:r>
              <w:rPr>
                <w:color w:val="auto"/>
                <w:kern w:val="0"/>
                <w:sz w:val="21"/>
                <w:szCs w:val="21"/>
              </w:rPr>
              <w:t>1,2-二氯乙烷</w:t>
            </w:r>
          </w:p>
        </w:tc>
        <w:tc>
          <w:tcPr>
            <w:tcW w:w="375" w:type="pct"/>
            <w:vAlign w:val="center"/>
          </w:tcPr>
          <w:p w14:paraId="01BE073A">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25F64A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226BEA8">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9CC4549">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74EDDDD">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83BDDD0">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245A315">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E906D1F">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A707A13">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BDAD04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8088C55">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15E5E32">
            <w:pPr>
              <w:spacing w:line="240" w:lineRule="auto"/>
              <w:ind w:firstLine="0" w:firstLineChars="0"/>
              <w:jc w:val="center"/>
              <w:rPr>
                <w:bCs/>
                <w:color w:val="auto"/>
                <w:sz w:val="21"/>
                <w:szCs w:val="21"/>
              </w:rPr>
            </w:pPr>
            <w:r>
              <w:rPr>
                <w:rFonts w:hint="eastAsia"/>
                <w:bCs/>
                <w:color w:val="auto"/>
                <w:sz w:val="21"/>
                <w:szCs w:val="21"/>
              </w:rPr>
              <w:t>ND</w:t>
            </w:r>
          </w:p>
        </w:tc>
      </w:tr>
      <w:tr w14:paraId="40639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386AC43">
            <w:pPr>
              <w:spacing w:line="240" w:lineRule="auto"/>
              <w:ind w:firstLine="0" w:firstLineChars="0"/>
              <w:jc w:val="center"/>
              <w:rPr>
                <w:bCs/>
                <w:color w:val="auto"/>
                <w:sz w:val="21"/>
                <w:szCs w:val="21"/>
              </w:rPr>
            </w:pPr>
            <w:r>
              <w:rPr>
                <w:color w:val="auto"/>
                <w:kern w:val="0"/>
                <w:sz w:val="21"/>
                <w:szCs w:val="21"/>
              </w:rPr>
              <w:t>1,1-二氯乙烯</w:t>
            </w:r>
          </w:p>
        </w:tc>
        <w:tc>
          <w:tcPr>
            <w:tcW w:w="375" w:type="pct"/>
            <w:vAlign w:val="center"/>
          </w:tcPr>
          <w:p w14:paraId="747E9186">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57C093D">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144B4B4">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61C7206D">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F978427">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54A5F38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0C0B3D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56A2E7F">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3E8BBD1">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B01401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A486B2A">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6FA96AB">
            <w:pPr>
              <w:spacing w:line="240" w:lineRule="auto"/>
              <w:ind w:firstLine="0" w:firstLineChars="0"/>
              <w:jc w:val="center"/>
              <w:rPr>
                <w:bCs/>
                <w:color w:val="auto"/>
                <w:sz w:val="21"/>
                <w:szCs w:val="21"/>
              </w:rPr>
            </w:pPr>
            <w:r>
              <w:rPr>
                <w:rFonts w:hint="eastAsia"/>
                <w:bCs/>
                <w:color w:val="auto"/>
                <w:sz w:val="21"/>
                <w:szCs w:val="21"/>
              </w:rPr>
              <w:t>ND</w:t>
            </w:r>
          </w:p>
        </w:tc>
      </w:tr>
      <w:tr w14:paraId="4B6DC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457AA5D0">
            <w:pPr>
              <w:spacing w:line="240" w:lineRule="auto"/>
              <w:ind w:firstLine="0" w:firstLineChars="0"/>
              <w:jc w:val="center"/>
              <w:rPr>
                <w:bCs/>
                <w:color w:val="auto"/>
                <w:sz w:val="21"/>
                <w:szCs w:val="21"/>
              </w:rPr>
            </w:pPr>
            <w:r>
              <w:rPr>
                <w:color w:val="auto"/>
                <w:kern w:val="0"/>
                <w:sz w:val="21"/>
                <w:szCs w:val="21"/>
              </w:rPr>
              <w:t>顺-1,2-二氯乙烯</w:t>
            </w:r>
          </w:p>
        </w:tc>
        <w:tc>
          <w:tcPr>
            <w:tcW w:w="375" w:type="pct"/>
            <w:vAlign w:val="center"/>
          </w:tcPr>
          <w:p w14:paraId="3B39EB35">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201D60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B4B0DB6">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AB0C735">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68BFBB8D">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3CCE0AE">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6DBC7A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9B8DB1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D43B31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DA4E557">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5869388">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22B486D4">
            <w:pPr>
              <w:spacing w:line="240" w:lineRule="auto"/>
              <w:ind w:firstLine="0" w:firstLineChars="0"/>
              <w:jc w:val="center"/>
              <w:rPr>
                <w:bCs/>
                <w:color w:val="auto"/>
                <w:sz w:val="21"/>
                <w:szCs w:val="21"/>
              </w:rPr>
            </w:pPr>
            <w:r>
              <w:rPr>
                <w:rFonts w:hint="eastAsia"/>
                <w:bCs/>
                <w:color w:val="auto"/>
                <w:sz w:val="21"/>
                <w:szCs w:val="21"/>
              </w:rPr>
              <w:t>ND</w:t>
            </w:r>
          </w:p>
        </w:tc>
      </w:tr>
      <w:tr w14:paraId="61417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95DC31A">
            <w:pPr>
              <w:spacing w:line="240" w:lineRule="auto"/>
              <w:ind w:firstLine="0" w:firstLineChars="0"/>
              <w:jc w:val="center"/>
              <w:rPr>
                <w:bCs/>
                <w:color w:val="auto"/>
                <w:sz w:val="21"/>
                <w:szCs w:val="21"/>
              </w:rPr>
            </w:pPr>
            <w:r>
              <w:rPr>
                <w:color w:val="auto"/>
                <w:kern w:val="0"/>
                <w:sz w:val="21"/>
                <w:szCs w:val="21"/>
              </w:rPr>
              <w:t>反-1,2-二氯乙烯</w:t>
            </w:r>
          </w:p>
        </w:tc>
        <w:tc>
          <w:tcPr>
            <w:tcW w:w="375" w:type="pct"/>
            <w:vAlign w:val="center"/>
          </w:tcPr>
          <w:p w14:paraId="38C39806">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33152B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5758FCF">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1051763">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4B4F41C9">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EA125A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EA94B22">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8DD9A6D">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41DFBE3">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6D5955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27B5B60">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E882095">
            <w:pPr>
              <w:spacing w:line="240" w:lineRule="auto"/>
              <w:ind w:firstLine="0" w:firstLineChars="0"/>
              <w:jc w:val="center"/>
              <w:rPr>
                <w:bCs/>
                <w:color w:val="auto"/>
                <w:sz w:val="21"/>
                <w:szCs w:val="21"/>
              </w:rPr>
            </w:pPr>
            <w:r>
              <w:rPr>
                <w:rFonts w:hint="eastAsia"/>
                <w:bCs/>
                <w:color w:val="auto"/>
                <w:sz w:val="21"/>
                <w:szCs w:val="21"/>
              </w:rPr>
              <w:t>ND</w:t>
            </w:r>
          </w:p>
        </w:tc>
      </w:tr>
      <w:tr w14:paraId="1C7C1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2BE9C085">
            <w:pPr>
              <w:spacing w:line="240" w:lineRule="auto"/>
              <w:ind w:firstLine="0" w:firstLineChars="0"/>
              <w:jc w:val="center"/>
              <w:rPr>
                <w:bCs/>
                <w:color w:val="auto"/>
                <w:sz w:val="21"/>
                <w:szCs w:val="21"/>
              </w:rPr>
            </w:pPr>
            <w:r>
              <w:rPr>
                <w:color w:val="auto"/>
                <w:kern w:val="0"/>
                <w:sz w:val="21"/>
                <w:szCs w:val="21"/>
              </w:rPr>
              <w:t>二氯甲烷</w:t>
            </w:r>
          </w:p>
        </w:tc>
        <w:tc>
          <w:tcPr>
            <w:tcW w:w="375" w:type="pct"/>
            <w:vAlign w:val="center"/>
          </w:tcPr>
          <w:p w14:paraId="6EA8CB2F">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3C0EE05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0AE1E65">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736DB3A1">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66DED492">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FB7BFF0">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C77471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CC0298F">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75B48E4">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5D6DC4C">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A6F11AE">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F692D08">
            <w:pPr>
              <w:spacing w:line="240" w:lineRule="auto"/>
              <w:ind w:firstLine="0" w:firstLineChars="0"/>
              <w:jc w:val="center"/>
              <w:rPr>
                <w:bCs/>
                <w:color w:val="auto"/>
                <w:sz w:val="21"/>
                <w:szCs w:val="21"/>
              </w:rPr>
            </w:pPr>
            <w:r>
              <w:rPr>
                <w:rFonts w:hint="eastAsia"/>
                <w:bCs/>
                <w:color w:val="auto"/>
                <w:sz w:val="21"/>
                <w:szCs w:val="21"/>
              </w:rPr>
              <w:t>ND</w:t>
            </w:r>
          </w:p>
        </w:tc>
      </w:tr>
      <w:tr w14:paraId="6F5D6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598A9021">
            <w:pPr>
              <w:spacing w:line="240" w:lineRule="auto"/>
              <w:ind w:firstLine="0" w:firstLineChars="0"/>
              <w:jc w:val="center"/>
              <w:rPr>
                <w:bCs/>
                <w:color w:val="auto"/>
                <w:sz w:val="21"/>
                <w:szCs w:val="21"/>
              </w:rPr>
            </w:pPr>
            <w:r>
              <w:rPr>
                <w:color w:val="auto"/>
                <w:kern w:val="0"/>
                <w:sz w:val="21"/>
                <w:szCs w:val="21"/>
              </w:rPr>
              <w:t>1,2-二氯丙烷</w:t>
            </w:r>
          </w:p>
        </w:tc>
        <w:tc>
          <w:tcPr>
            <w:tcW w:w="375" w:type="pct"/>
            <w:vAlign w:val="center"/>
          </w:tcPr>
          <w:p w14:paraId="284FB123">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9AADE6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9D5D41D">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6258F3DD">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1605E361">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02811A9">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71102EB">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AAA4918">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D37E41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B2DAD2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C79DF5F">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53415CAC">
            <w:pPr>
              <w:spacing w:line="240" w:lineRule="auto"/>
              <w:ind w:firstLine="0" w:firstLineChars="0"/>
              <w:jc w:val="center"/>
              <w:rPr>
                <w:bCs/>
                <w:color w:val="auto"/>
                <w:sz w:val="21"/>
                <w:szCs w:val="21"/>
              </w:rPr>
            </w:pPr>
            <w:r>
              <w:rPr>
                <w:rFonts w:hint="eastAsia"/>
                <w:bCs/>
                <w:color w:val="auto"/>
                <w:sz w:val="21"/>
                <w:szCs w:val="21"/>
              </w:rPr>
              <w:t>ND</w:t>
            </w:r>
          </w:p>
        </w:tc>
      </w:tr>
      <w:tr w14:paraId="4668C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397361D1">
            <w:pPr>
              <w:spacing w:line="240" w:lineRule="auto"/>
              <w:ind w:firstLine="0" w:firstLineChars="0"/>
              <w:jc w:val="center"/>
              <w:rPr>
                <w:bCs/>
                <w:color w:val="auto"/>
                <w:sz w:val="21"/>
                <w:szCs w:val="21"/>
              </w:rPr>
            </w:pPr>
            <w:r>
              <w:rPr>
                <w:color w:val="auto"/>
                <w:kern w:val="0"/>
                <w:sz w:val="21"/>
                <w:szCs w:val="21"/>
              </w:rPr>
              <w:t>1,1,1,2-四氯乙烷</w:t>
            </w:r>
          </w:p>
        </w:tc>
        <w:tc>
          <w:tcPr>
            <w:tcW w:w="375" w:type="pct"/>
            <w:vAlign w:val="center"/>
          </w:tcPr>
          <w:p w14:paraId="031A0678">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54D6907">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4143771">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F9BC24B">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2B1F20D">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C41BAF4">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DAED33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49EFD32">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49CEB2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E0EC7BD">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84F7AE4">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39287891">
            <w:pPr>
              <w:spacing w:line="240" w:lineRule="auto"/>
              <w:ind w:firstLine="0" w:firstLineChars="0"/>
              <w:jc w:val="center"/>
              <w:rPr>
                <w:bCs/>
                <w:color w:val="auto"/>
                <w:sz w:val="21"/>
                <w:szCs w:val="21"/>
              </w:rPr>
            </w:pPr>
            <w:r>
              <w:rPr>
                <w:rFonts w:hint="eastAsia"/>
                <w:bCs/>
                <w:color w:val="auto"/>
                <w:sz w:val="21"/>
                <w:szCs w:val="21"/>
              </w:rPr>
              <w:t>ND</w:t>
            </w:r>
          </w:p>
        </w:tc>
      </w:tr>
      <w:tr w14:paraId="45C55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60644103">
            <w:pPr>
              <w:spacing w:line="240" w:lineRule="auto"/>
              <w:ind w:firstLine="0" w:firstLineChars="0"/>
              <w:jc w:val="center"/>
              <w:rPr>
                <w:bCs/>
                <w:color w:val="auto"/>
                <w:sz w:val="21"/>
                <w:szCs w:val="21"/>
              </w:rPr>
            </w:pPr>
            <w:r>
              <w:rPr>
                <w:color w:val="auto"/>
                <w:kern w:val="0"/>
                <w:sz w:val="21"/>
                <w:szCs w:val="21"/>
              </w:rPr>
              <w:t>1,1,2,2-四氯乙烷</w:t>
            </w:r>
          </w:p>
        </w:tc>
        <w:tc>
          <w:tcPr>
            <w:tcW w:w="375" w:type="pct"/>
            <w:vAlign w:val="center"/>
          </w:tcPr>
          <w:p w14:paraId="15765513">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8613D96">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AEA6FA4">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5D531337">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65A91B74">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7A1D696D">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9938492">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49C35A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97B33F7">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DF4CED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418CADC">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0483DFF7">
            <w:pPr>
              <w:spacing w:line="240" w:lineRule="auto"/>
              <w:ind w:firstLine="0" w:firstLineChars="0"/>
              <w:jc w:val="center"/>
              <w:rPr>
                <w:bCs/>
                <w:color w:val="auto"/>
                <w:sz w:val="21"/>
                <w:szCs w:val="21"/>
              </w:rPr>
            </w:pPr>
            <w:r>
              <w:rPr>
                <w:rFonts w:hint="eastAsia"/>
                <w:bCs/>
                <w:color w:val="auto"/>
                <w:sz w:val="21"/>
                <w:szCs w:val="21"/>
              </w:rPr>
              <w:t>ND</w:t>
            </w:r>
          </w:p>
        </w:tc>
      </w:tr>
      <w:tr w14:paraId="6F4B6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7FD1611">
            <w:pPr>
              <w:spacing w:line="240" w:lineRule="auto"/>
              <w:ind w:firstLine="0" w:firstLineChars="0"/>
              <w:jc w:val="center"/>
              <w:rPr>
                <w:bCs/>
                <w:color w:val="auto"/>
                <w:sz w:val="21"/>
                <w:szCs w:val="21"/>
              </w:rPr>
            </w:pPr>
            <w:r>
              <w:rPr>
                <w:color w:val="auto"/>
                <w:kern w:val="0"/>
                <w:sz w:val="21"/>
                <w:szCs w:val="21"/>
              </w:rPr>
              <w:t>四氯乙烯</w:t>
            </w:r>
          </w:p>
        </w:tc>
        <w:tc>
          <w:tcPr>
            <w:tcW w:w="375" w:type="pct"/>
            <w:vAlign w:val="center"/>
          </w:tcPr>
          <w:p w14:paraId="43C27ABD">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49743C8">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A6A29F8">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E7516FE">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9806CEF">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22841ECA">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B90DD9E">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E00F86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993911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379353E">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707245D">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563DCDC">
            <w:pPr>
              <w:spacing w:line="240" w:lineRule="auto"/>
              <w:ind w:firstLine="0" w:firstLineChars="0"/>
              <w:jc w:val="center"/>
              <w:rPr>
                <w:bCs/>
                <w:color w:val="auto"/>
                <w:sz w:val="21"/>
                <w:szCs w:val="21"/>
              </w:rPr>
            </w:pPr>
            <w:r>
              <w:rPr>
                <w:rFonts w:hint="eastAsia"/>
                <w:bCs/>
                <w:color w:val="auto"/>
                <w:sz w:val="21"/>
                <w:szCs w:val="21"/>
              </w:rPr>
              <w:t>ND</w:t>
            </w:r>
          </w:p>
        </w:tc>
      </w:tr>
      <w:tr w14:paraId="116A4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5410FE68">
            <w:pPr>
              <w:spacing w:line="240" w:lineRule="auto"/>
              <w:ind w:firstLine="0" w:firstLineChars="0"/>
              <w:jc w:val="center"/>
              <w:rPr>
                <w:bCs/>
                <w:color w:val="auto"/>
                <w:sz w:val="21"/>
                <w:szCs w:val="21"/>
              </w:rPr>
            </w:pPr>
            <w:r>
              <w:rPr>
                <w:color w:val="auto"/>
                <w:kern w:val="0"/>
                <w:sz w:val="21"/>
                <w:szCs w:val="21"/>
              </w:rPr>
              <w:t>1,1,1-三氯乙烷</w:t>
            </w:r>
          </w:p>
        </w:tc>
        <w:tc>
          <w:tcPr>
            <w:tcW w:w="375" w:type="pct"/>
            <w:vAlign w:val="center"/>
          </w:tcPr>
          <w:p w14:paraId="14369557">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2F630FA7">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E78AE0E">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56D77956">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0A650E9D">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EE5A9E9">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C841AE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4C013F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843ECF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E93EB54">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A868FF1">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258F63F">
            <w:pPr>
              <w:spacing w:line="240" w:lineRule="auto"/>
              <w:ind w:firstLine="0" w:firstLineChars="0"/>
              <w:jc w:val="center"/>
              <w:rPr>
                <w:bCs/>
                <w:color w:val="auto"/>
                <w:sz w:val="21"/>
                <w:szCs w:val="21"/>
              </w:rPr>
            </w:pPr>
            <w:r>
              <w:rPr>
                <w:rFonts w:hint="eastAsia"/>
                <w:bCs/>
                <w:color w:val="auto"/>
                <w:sz w:val="21"/>
                <w:szCs w:val="21"/>
              </w:rPr>
              <w:t>ND</w:t>
            </w:r>
          </w:p>
        </w:tc>
      </w:tr>
      <w:tr w14:paraId="69980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01DEA33">
            <w:pPr>
              <w:spacing w:line="240" w:lineRule="auto"/>
              <w:ind w:firstLine="0" w:firstLineChars="0"/>
              <w:jc w:val="center"/>
              <w:rPr>
                <w:bCs/>
                <w:color w:val="auto"/>
                <w:sz w:val="21"/>
                <w:szCs w:val="21"/>
              </w:rPr>
            </w:pPr>
            <w:r>
              <w:rPr>
                <w:color w:val="auto"/>
                <w:kern w:val="0"/>
                <w:sz w:val="21"/>
                <w:szCs w:val="21"/>
              </w:rPr>
              <w:t>1,1,2-三氯乙烷</w:t>
            </w:r>
          </w:p>
        </w:tc>
        <w:tc>
          <w:tcPr>
            <w:tcW w:w="375" w:type="pct"/>
            <w:vAlign w:val="center"/>
          </w:tcPr>
          <w:p w14:paraId="358A6384">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6AB6154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20BFE51">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3B2C274B">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0AE367C">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C71136C">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832C00D">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60AFA1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9928D0E">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6434297">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458EFE7">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3F723A55">
            <w:pPr>
              <w:spacing w:line="240" w:lineRule="auto"/>
              <w:ind w:firstLine="0" w:firstLineChars="0"/>
              <w:jc w:val="center"/>
              <w:rPr>
                <w:bCs/>
                <w:color w:val="auto"/>
                <w:sz w:val="21"/>
                <w:szCs w:val="21"/>
              </w:rPr>
            </w:pPr>
            <w:r>
              <w:rPr>
                <w:rFonts w:hint="eastAsia"/>
                <w:bCs/>
                <w:color w:val="auto"/>
                <w:sz w:val="21"/>
                <w:szCs w:val="21"/>
              </w:rPr>
              <w:t>ND</w:t>
            </w:r>
          </w:p>
        </w:tc>
      </w:tr>
      <w:tr w14:paraId="08153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B032188">
            <w:pPr>
              <w:spacing w:line="240" w:lineRule="auto"/>
              <w:ind w:firstLine="0" w:firstLineChars="0"/>
              <w:jc w:val="center"/>
              <w:rPr>
                <w:bCs/>
                <w:color w:val="auto"/>
                <w:sz w:val="21"/>
                <w:szCs w:val="21"/>
              </w:rPr>
            </w:pPr>
            <w:r>
              <w:rPr>
                <w:color w:val="auto"/>
                <w:kern w:val="0"/>
                <w:sz w:val="21"/>
                <w:szCs w:val="21"/>
              </w:rPr>
              <w:t>三氯乙烯</w:t>
            </w:r>
          </w:p>
        </w:tc>
        <w:tc>
          <w:tcPr>
            <w:tcW w:w="375" w:type="pct"/>
            <w:vAlign w:val="center"/>
          </w:tcPr>
          <w:p w14:paraId="0F06B200">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9FFD0B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09C4498">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6B599D3F">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B5C97D0">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BC20BCD">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168C7B7">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264C6AB">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591F643">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D4D34E1">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2F2361A">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F290F3A">
            <w:pPr>
              <w:spacing w:line="240" w:lineRule="auto"/>
              <w:ind w:firstLine="0" w:firstLineChars="0"/>
              <w:jc w:val="center"/>
              <w:rPr>
                <w:bCs/>
                <w:color w:val="auto"/>
                <w:sz w:val="21"/>
                <w:szCs w:val="21"/>
              </w:rPr>
            </w:pPr>
            <w:r>
              <w:rPr>
                <w:rFonts w:hint="eastAsia"/>
                <w:bCs/>
                <w:color w:val="auto"/>
                <w:sz w:val="21"/>
                <w:szCs w:val="21"/>
              </w:rPr>
              <w:t>ND</w:t>
            </w:r>
          </w:p>
        </w:tc>
      </w:tr>
      <w:tr w14:paraId="708A4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25855552">
            <w:pPr>
              <w:spacing w:line="240" w:lineRule="auto"/>
              <w:ind w:firstLine="0" w:firstLineChars="0"/>
              <w:jc w:val="center"/>
              <w:rPr>
                <w:bCs/>
                <w:color w:val="auto"/>
                <w:sz w:val="21"/>
                <w:szCs w:val="21"/>
              </w:rPr>
            </w:pPr>
            <w:r>
              <w:rPr>
                <w:color w:val="auto"/>
                <w:kern w:val="0"/>
                <w:sz w:val="21"/>
                <w:szCs w:val="21"/>
              </w:rPr>
              <w:t>1,2,3-三氯丙烷</w:t>
            </w:r>
          </w:p>
        </w:tc>
        <w:tc>
          <w:tcPr>
            <w:tcW w:w="375" w:type="pct"/>
            <w:vAlign w:val="center"/>
          </w:tcPr>
          <w:p w14:paraId="0D9629F0">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2DEBFAB6">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94899C0">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3FE0F3CD">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4E3C9EA6">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150FD7C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9455755">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5609825">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A30D247">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216FB6E">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C22EECD">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70248318">
            <w:pPr>
              <w:spacing w:line="240" w:lineRule="auto"/>
              <w:ind w:firstLine="0" w:firstLineChars="0"/>
              <w:jc w:val="center"/>
              <w:rPr>
                <w:bCs/>
                <w:color w:val="auto"/>
                <w:sz w:val="21"/>
                <w:szCs w:val="21"/>
              </w:rPr>
            </w:pPr>
            <w:r>
              <w:rPr>
                <w:rFonts w:hint="eastAsia"/>
                <w:bCs/>
                <w:color w:val="auto"/>
                <w:sz w:val="21"/>
                <w:szCs w:val="21"/>
              </w:rPr>
              <w:t>ND</w:t>
            </w:r>
          </w:p>
        </w:tc>
      </w:tr>
      <w:tr w14:paraId="23453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762F7866">
            <w:pPr>
              <w:spacing w:line="240" w:lineRule="auto"/>
              <w:ind w:firstLine="0" w:firstLineChars="0"/>
              <w:jc w:val="center"/>
              <w:rPr>
                <w:bCs/>
                <w:color w:val="auto"/>
                <w:sz w:val="21"/>
                <w:szCs w:val="21"/>
              </w:rPr>
            </w:pPr>
            <w:r>
              <w:rPr>
                <w:color w:val="auto"/>
                <w:kern w:val="0"/>
                <w:sz w:val="21"/>
                <w:szCs w:val="21"/>
              </w:rPr>
              <w:t>氯乙烯</w:t>
            </w:r>
          </w:p>
        </w:tc>
        <w:tc>
          <w:tcPr>
            <w:tcW w:w="375" w:type="pct"/>
            <w:vAlign w:val="center"/>
          </w:tcPr>
          <w:p w14:paraId="70D3A29C">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5924CB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2D3E5CC">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86F7036">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4827A0B">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9655B16">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0FFCCB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C0C1A8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64C71B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121604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4FFB60D">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3AD37591">
            <w:pPr>
              <w:spacing w:line="240" w:lineRule="auto"/>
              <w:ind w:firstLine="0" w:firstLineChars="0"/>
              <w:jc w:val="center"/>
              <w:rPr>
                <w:bCs/>
                <w:color w:val="auto"/>
                <w:sz w:val="21"/>
                <w:szCs w:val="21"/>
              </w:rPr>
            </w:pPr>
            <w:r>
              <w:rPr>
                <w:rFonts w:hint="eastAsia"/>
                <w:bCs/>
                <w:color w:val="auto"/>
                <w:sz w:val="21"/>
                <w:szCs w:val="21"/>
              </w:rPr>
              <w:t>ND</w:t>
            </w:r>
          </w:p>
        </w:tc>
      </w:tr>
      <w:tr w14:paraId="204D8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881D7AC">
            <w:pPr>
              <w:spacing w:line="240" w:lineRule="auto"/>
              <w:ind w:firstLine="0" w:firstLineChars="0"/>
              <w:jc w:val="center"/>
              <w:rPr>
                <w:bCs/>
                <w:color w:val="auto"/>
                <w:sz w:val="21"/>
                <w:szCs w:val="21"/>
              </w:rPr>
            </w:pPr>
            <w:r>
              <w:rPr>
                <w:color w:val="auto"/>
                <w:kern w:val="0"/>
                <w:sz w:val="21"/>
                <w:szCs w:val="21"/>
              </w:rPr>
              <w:t>苯</w:t>
            </w:r>
          </w:p>
        </w:tc>
        <w:tc>
          <w:tcPr>
            <w:tcW w:w="375" w:type="pct"/>
            <w:vAlign w:val="center"/>
          </w:tcPr>
          <w:p w14:paraId="32B33DF4">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94722B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8F4A623">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5B93CD4">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149E1C9F">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6BDCFB36">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6A13056">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788BA12">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8F6C60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E89A15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D7E971D">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37467ED">
            <w:pPr>
              <w:spacing w:line="240" w:lineRule="auto"/>
              <w:ind w:firstLine="0" w:firstLineChars="0"/>
              <w:jc w:val="center"/>
              <w:rPr>
                <w:bCs/>
                <w:color w:val="auto"/>
                <w:sz w:val="21"/>
                <w:szCs w:val="21"/>
              </w:rPr>
            </w:pPr>
            <w:r>
              <w:rPr>
                <w:rFonts w:hint="eastAsia"/>
                <w:bCs/>
                <w:color w:val="auto"/>
                <w:sz w:val="21"/>
                <w:szCs w:val="21"/>
              </w:rPr>
              <w:t>ND</w:t>
            </w:r>
          </w:p>
        </w:tc>
      </w:tr>
      <w:tr w14:paraId="7D5E2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651BC26C">
            <w:pPr>
              <w:spacing w:line="240" w:lineRule="auto"/>
              <w:ind w:firstLine="0" w:firstLineChars="0"/>
              <w:jc w:val="center"/>
              <w:rPr>
                <w:bCs/>
                <w:color w:val="auto"/>
                <w:sz w:val="21"/>
                <w:szCs w:val="21"/>
              </w:rPr>
            </w:pPr>
            <w:r>
              <w:rPr>
                <w:color w:val="auto"/>
                <w:kern w:val="0"/>
                <w:sz w:val="21"/>
                <w:szCs w:val="21"/>
              </w:rPr>
              <w:t>氯苯</w:t>
            </w:r>
          </w:p>
        </w:tc>
        <w:tc>
          <w:tcPr>
            <w:tcW w:w="375" w:type="pct"/>
            <w:vAlign w:val="center"/>
          </w:tcPr>
          <w:p w14:paraId="5EDF21AB">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219F42A0">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AC17171">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C89B950">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480F9F85">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64228954">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F3648B9">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6BDAAFB">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ADAA95E">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D2731C3">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819D838">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3A522E6">
            <w:pPr>
              <w:spacing w:line="240" w:lineRule="auto"/>
              <w:ind w:firstLine="0" w:firstLineChars="0"/>
              <w:jc w:val="center"/>
              <w:rPr>
                <w:bCs/>
                <w:color w:val="auto"/>
                <w:sz w:val="21"/>
                <w:szCs w:val="21"/>
              </w:rPr>
            </w:pPr>
            <w:r>
              <w:rPr>
                <w:rFonts w:hint="eastAsia"/>
                <w:bCs/>
                <w:color w:val="auto"/>
                <w:sz w:val="21"/>
                <w:szCs w:val="21"/>
              </w:rPr>
              <w:t>ND</w:t>
            </w:r>
          </w:p>
        </w:tc>
      </w:tr>
      <w:tr w14:paraId="1DEF0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79FE951D">
            <w:pPr>
              <w:spacing w:line="240" w:lineRule="auto"/>
              <w:ind w:firstLine="0" w:firstLineChars="0"/>
              <w:jc w:val="center"/>
              <w:rPr>
                <w:bCs/>
                <w:color w:val="auto"/>
                <w:sz w:val="21"/>
                <w:szCs w:val="21"/>
              </w:rPr>
            </w:pPr>
            <w:r>
              <w:rPr>
                <w:color w:val="auto"/>
                <w:kern w:val="0"/>
                <w:sz w:val="21"/>
                <w:szCs w:val="21"/>
              </w:rPr>
              <w:t>1,2-二氯苯</w:t>
            </w:r>
          </w:p>
        </w:tc>
        <w:tc>
          <w:tcPr>
            <w:tcW w:w="375" w:type="pct"/>
            <w:vAlign w:val="center"/>
          </w:tcPr>
          <w:p w14:paraId="69C97B37">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31C31B1">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B4F2A85">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5764BB7C">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068E0D31">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6AC931B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26BD1F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6A5AC5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7D5E82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C0668D7">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F8B9C9D">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2D797422">
            <w:pPr>
              <w:spacing w:line="240" w:lineRule="auto"/>
              <w:ind w:firstLine="0" w:firstLineChars="0"/>
              <w:jc w:val="center"/>
              <w:rPr>
                <w:bCs/>
                <w:color w:val="auto"/>
                <w:sz w:val="21"/>
                <w:szCs w:val="21"/>
              </w:rPr>
            </w:pPr>
            <w:r>
              <w:rPr>
                <w:rFonts w:hint="eastAsia"/>
                <w:bCs/>
                <w:color w:val="auto"/>
                <w:sz w:val="21"/>
                <w:szCs w:val="21"/>
              </w:rPr>
              <w:t>ND</w:t>
            </w:r>
          </w:p>
        </w:tc>
      </w:tr>
      <w:tr w14:paraId="23B78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7E77562C">
            <w:pPr>
              <w:spacing w:line="240" w:lineRule="auto"/>
              <w:ind w:firstLine="0" w:firstLineChars="0"/>
              <w:jc w:val="center"/>
              <w:rPr>
                <w:bCs/>
                <w:color w:val="auto"/>
                <w:sz w:val="21"/>
                <w:szCs w:val="21"/>
              </w:rPr>
            </w:pPr>
            <w:r>
              <w:rPr>
                <w:color w:val="auto"/>
                <w:kern w:val="0"/>
                <w:sz w:val="21"/>
                <w:szCs w:val="21"/>
              </w:rPr>
              <w:t>1,4-二氯苯</w:t>
            </w:r>
          </w:p>
        </w:tc>
        <w:tc>
          <w:tcPr>
            <w:tcW w:w="375" w:type="pct"/>
            <w:vAlign w:val="center"/>
          </w:tcPr>
          <w:p w14:paraId="038C4F5A">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5011EF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663F479">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4FA1A31">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E840544">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597EB870">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BEFBC06">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2CEBF0F">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D57DB2D">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62DD15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9BCF54F">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03917127">
            <w:pPr>
              <w:spacing w:line="240" w:lineRule="auto"/>
              <w:ind w:firstLine="0" w:firstLineChars="0"/>
              <w:jc w:val="center"/>
              <w:rPr>
                <w:bCs/>
                <w:color w:val="auto"/>
                <w:sz w:val="21"/>
                <w:szCs w:val="21"/>
              </w:rPr>
            </w:pPr>
            <w:r>
              <w:rPr>
                <w:rFonts w:hint="eastAsia"/>
                <w:bCs/>
                <w:color w:val="auto"/>
                <w:sz w:val="21"/>
                <w:szCs w:val="21"/>
              </w:rPr>
              <w:t>ND</w:t>
            </w:r>
          </w:p>
        </w:tc>
      </w:tr>
      <w:tr w14:paraId="7DFAA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D37EA51">
            <w:pPr>
              <w:spacing w:line="240" w:lineRule="auto"/>
              <w:ind w:firstLine="0" w:firstLineChars="0"/>
              <w:jc w:val="center"/>
              <w:rPr>
                <w:bCs/>
                <w:color w:val="auto"/>
                <w:sz w:val="21"/>
                <w:szCs w:val="21"/>
              </w:rPr>
            </w:pPr>
            <w:r>
              <w:rPr>
                <w:color w:val="auto"/>
                <w:kern w:val="0"/>
                <w:sz w:val="21"/>
                <w:szCs w:val="21"/>
              </w:rPr>
              <w:t>乙苯</w:t>
            </w:r>
          </w:p>
        </w:tc>
        <w:tc>
          <w:tcPr>
            <w:tcW w:w="375" w:type="pct"/>
            <w:vAlign w:val="center"/>
          </w:tcPr>
          <w:p w14:paraId="03030FFA">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1BA0BE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60CE0DB">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5CA71BA5">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0250CD65">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5310EB7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7203E35">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56478B0">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1D9948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AF16B3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B947B43">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3626945C">
            <w:pPr>
              <w:spacing w:line="240" w:lineRule="auto"/>
              <w:ind w:firstLine="0" w:firstLineChars="0"/>
              <w:jc w:val="center"/>
              <w:rPr>
                <w:bCs/>
                <w:color w:val="auto"/>
                <w:sz w:val="21"/>
                <w:szCs w:val="21"/>
              </w:rPr>
            </w:pPr>
            <w:r>
              <w:rPr>
                <w:rFonts w:hint="eastAsia"/>
                <w:bCs/>
                <w:color w:val="auto"/>
                <w:sz w:val="21"/>
                <w:szCs w:val="21"/>
              </w:rPr>
              <w:t>ND</w:t>
            </w:r>
          </w:p>
        </w:tc>
      </w:tr>
      <w:tr w14:paraId="172F6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CCCBE2D">
            <w:pPr>
              <w:spacing w:line="240" w:lineRule="auto"/>
              <w:ind w:firstLine="0" w:firstLineChars="0"/>
              <w:jc w:val="center"/>
              <w:rPr>
                <w:bCs/>
                <w:color w:val="auto"/>
                <w:sz w:val="21"/>
                <w:szCs w:val="21"/>
              </w:rPr>
            </w:pPr>
            <w:r>
              <w:rPr>
                <w:color w:val="auto"/>
                <w:kern w:val="0"/>
                <w:sz w:val="21"/>
                <w:szCs w:val="21"/>
              </w:rPr>
              <w:t>苯乙烯</w:t>
            </w:r>
          </w:p>
        </w:tc>
        <w:tc>
          <w:tcPr>
            <w:tcW w:w="375" w:type="pct"/>
            <w:vAlign w:val="center"/>
          </w:tcPr>
          <w:p w14:paraId="00671272">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082042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F73D473">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05245CF">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048FA8B8">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6930577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0D8E249">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3A5012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818CA1C">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6BE007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3DDECE1">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9C809F9">
            <w:pPr>
              <w:spacing w:line="240" w:lineRule="auto"/>
              <w:ind w:firstLine="0" w:firstLineChars="0"/>
              <w:jc w:val="center"/>
              <w:rPr>
                <w:bCs/>
                <w:color w:val="auto"/>
                <w:sz w:val="21"/>
                <w:szCs w:val="21"/>
              </w:rPr>
            </w:pPr>
            <w:r>
              <w:rPr>
                <w:rFonts w:hint="eastAsia"/>
                <w:bCs/>
                <w:color w:val="auto"/>
                <w:sz w:val="21"/>
                <w:szCs w:val="21"/>
              </w:rPr>
              <w:t>ND</w:t>
            </w:r>
          </w:p>
        </w:tc>
      </w:tr>
      <w:tr w14:paraId="79680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75D2E30C">
            <w:pPr>
              <w:spacing w:line="240" w:lineRule="auto"/>
              <w:ind w:firstLine="0" w:firstLineChars="0"/>
              <w:jc w:val="center"/>
              <w:rPr>
                <w:bCs/>
                <w:color w:val="auto"/>
                <w:sz w:val="21"/>
                <w:szCs w:val="21"/>
              </w:rPr>
            </w:pPr>
            <w:r>
              <w:rPr>
                <w:color w:val="auto"/>
                <w:kern w:val="0"/>
                <w:sz w:val="21"/>
                <w:szCs w:val="21"/>
              </w:rPr>
              <w:t>甲苯</w:t>
            </w:r>
          </w:p>
        </w:tc>
        <w:tc>
          <w:tcPr>
            <w:tcW w:w="375" w:type="pct"/>
            <w:vAlign w:val="center"/>
          </w:tcPr>
          <w:p w14:paraId="278D42DC">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3BC4360">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C74498D">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235051BA">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02E14198">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2975A8C8">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A3834F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5B546FD">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1445FC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9AEC1DC">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159D00B">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DCD81FD">
            <w:pPr>
              <w:spacing w:line="240" w:lineRule="auto"/>
              <w:ind w:firstLine="0" w:firstLineChars="0"/>
              <w:jc w:val="center"/>
              <w:rPr>
                <w:bCs/>
                <w:color w:val="auto"/>
                <w:sz w:val="21"/>
                <w:szCs w:val="21"/>
              </w:rPr>
            </w:pPr>
            <w:r>
              <w:rPr>
                <w:rFonts w:hint="eastAsia"/>
                <w:bCs/>
                <w:color w:val="auto"/>
                <w:sz w:val="21"/>
                <w:szCs w:val="21"/>
              </w:rPr>
              <w:t>ND</w:t>
            </w:r>
          </w:p>
        </w:tc>
      </w:tr>
      <w:tr w14:paraId="6D8A1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6DBBA429">
            <w:pPr>
              <w:spacing w:line="240" w:lineRule="auto"/>
              <w:ind w:firstLine="0" w:firstLineChars="0"/>
              <w:jc w:val="center"/>
              <w:rPr>
                <w:bCs/>
                <w:color w:val="auto"/>
                <w:sz w:val="21"/>
                <w:szCs w:val="21"/>
              </w:rPr>
            </w:pPr>
            <w:r>
              <w:rPr>
                <w:color w:val="auto"/>
                <w:kern w:val="0"/>
                <w:sz w:val="21"/>
                <w:szCs w:val="21"/>
              </w:rPr>
              <w:t>间二甲苯+对二甲苯</w:t>
            </w:r>
          </w:p>
        </w:tc>
        <w:tc>
          <w:tcPr>
            <w:tcW w:w="375" w:type="pct"/>
            <w:vAlign w:val="center"/>
          </w:tcPr>
          <w:p w14:paraId="4C9EBCFF">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83618E7">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CD445CB">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66C783D2">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ED3FA04">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2927A4AA">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EA0F4FE">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12D5FFB">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C14799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0C26D7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D0A1545">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46A7A09">
            <w:pPr>
              <w:spacing w:line="240" w:lineRule="auto"/>
              <w:ind w:firstLine="0" w:firstLineChars="0"/>
              <w:jc w:val="center"/>
              <w:rPr>
                <w:bCs/>
                <w:color w:val="auto"/>
                <w:sz w:val="21"/>
                <w:szCs w:val="21"/>
              </w:rPr>
            </w:pPr>
            <w:r>
              <w:rPr>
                <w:rFonts w:hint="eastAsia"/>
                <w:bCs/>
                <w:color w:val="auto"/>
                <w:sz w:val="21"/>
                <w:szCs w:val="21"/>
              </w:rPr>
              <w:t>ND</w:t>
            </w:r>
          </w:p>
        </w:tc>
      </w:tr>
      <w:tr w14:paraId="2D049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3407B095">
            <w:pPr>
              <w:spacing w:line="240" w:lineRule="auto"/>
              <w:ind w:firstLine="0" w:firstLineChars="0"/>
              <w:jc w:val="center"/>
              <w:rPr>
                <w:bCs/>
                <w:color w:val="auto"/>
                <w:sz w:val="21"/>
                <w:szCs w:val="21"/>
              </w:rPr>
            </w:pPr>
            <w:r>
              <w:rPr>
                <w:color w:val="auto"/>
                <w:kern w:val="0"/>
                <w:sz w:val="21"/>
                <w:szCs w:val="21"/>
              </w:rPr>
              <w:t>邻二甲苯</w:t>
            </w:r>
          </w:p>
        </w:tc>
        <w:tc>
          <w:tcPr>
            <w:tcW w:w="375" w:type="pct"/>
            <w:vAlign w:val="center"/>
          </w:tcPr>
          <w:p w14:paraId="59A4A6DA">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648862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A6AA54E">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63123003">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08E32449">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3A02E9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3494FF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01444E2">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565A52D">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1AB358D">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54945DD">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6EE02EA">
            <w:pPr>
              <w:spacing w:line="240" w:lineRule="auto"/>
              <w:ind w:firstLine="0" w:firstLineChars="0"/>
              <w:jc w:val="center"/>
              <w:rPr>
                <w:bCs/>
                <w:color w:val="auto"/>
                <w:sz w:val="21"/>
                <w:szCs w:val="21"/>
              </w:rPr>
            </w:pPr>
            <w:r>
              <w:rPr>
                <w:rFonts w:hint="eastAsia"/>
                <w:bCs/>
                <w:color w:val="auto"/>
                <w:sz w:val="21"/>
                <w:szCs w:val="21"/>
              </w:rPr>
              <w:t>ND</w:t>
            </w:r>
          </w:p>
        </w:tc>
      </w:tr>
      <w:tr w14:paraId="666F9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2B3404F8">
            <w:pPr>
              <w:spacing w:line="240" w:lineRule="auto"/>
              <w:ind w:firstLine="0" w:firstLineChars="0"/>
              <w:jc w:val="center"/>
              <w:rPr>
                <w:color w:val="auto"/>
                <w:kern w:val="0"/>
                <w:sz w:val="21"/>
                <w:szCs w:val="21"/>
              </w:rPr>
            </w:pPr>
            <w:r>
              <w:rPr>
                <w:color w:val="auto"/>
                <w:kern w:val="0"/>
                <w:sz w:val="21"/>
                <w:szCs w:val="21"/>
              </w:rPr>
              <w:t>硝基苯</w:t>
            </w:r>
          </w:p>
        </w:tc>
        <w:tc>
          <w:tcPr>
            <w:tcW w:w="375" w:type="pct"/>
            <w:vAlign w:val="center"/>
          </w:tcPr>
          <w:p w14:paraId="79356FE4">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480903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60FFFA5">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E4EF75C">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EE28041">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720098D9">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8BE61D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50A5A8E">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71DB98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3D683E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92B031C">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376C52B5">
            <w:pPr>
              <w:spacing w:line="240" w:lineRule="auto"/>
              <w:ind w:firstLine="0" w:firstLineChars="0"/>
              <w:jc w:val="center"/>
              <w:rPr>
                <w:bCs/>
                <w:color w:val="auto"/>
                <w:sz w:val="21"/>
                <w:szCs w:val="21"/>
              </w:rPr>
            </w:pPr>
            <w:r>
              <w:rPr>
                <w:rFonts w:hint="eastAsia"/>
                <w:bCs/>
                <w:color w:val="auto"/>
                <w:sz w:val="21"/>
                <w:szCs w:val="21"/>
              </w:rPr>
              <w:t>ND</w:t>
            </w:r>
          </w:p>
        </w:tc>
      </w:tr>
      <w:tr w14:paraId="63900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36FEA094">
            <w:pPr>
              <w:spacing w:line="240" w:lineRule="auto"/>
              <w:ind w:firstLine="0" w:firstLineChars="0"/>
              <w:jc w:val="center"/>
              <w:rPr>
                <w:color w:val="auto"/>
                <w:kern w:val="0"/>
                <w:sz w:val="21"/>
                <w:szCs w:val="21"/>
              </w:rPr>
            </w:pPr>
            <w:r>
              <w:rPr>
                <w:color w:val="auto"/>
                <w:kern w:val="0"/>
                <w:sz w:val="21"/>
                <w:szCs w:val="21"/>
              </w:rPr>
              <w:t>苯胺</w:t>
            </w:r>
          </w:p>
        </w:tc>
        <w:tc>
          <w:tcPr>
            <w:tcW w:w="375" w:type="pct"/>
            <w:vAlign w:val="center"/>
          </w:tcPr>
          <w:p w14:paraId="56ABE5F4">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EB4411D">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FE05C71">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6A790331">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452A17AB">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F6DF61A">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1AF861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19173D9">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EC686B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7363EF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D15B199">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7A54745A">
            <w:pPr>
              <w:spacing w:line="240" w:lineRule="auto"/>
              <w:ind w:firstLine="0" w:firstLineChars="0"/>
              <w:jc w:val="center"/>
              <w:rPr>
                <w:bCs/>
                <w:color w:val="auto"/>
                <w:sz w:val="21"/>
                <w:szCs w:val="21"/>
              </w:rPr>
            </w:pPr>
            <w:r>
              <w:rPr>
                <w:rFonts w:hint="eastAsia"/>
                <w:bCs/>
                <w:color w:val="auto"/>
                <w:sz w:val="21"/>
                <w:szCs w:val="21"/>
              </w:rPr>
              <w:t>ND</w:t>
            </w:r>
          </w:p>
        </w:tc>
      </w:tr>
      <w:tr w14:paraId="40B7B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6A3B7049">
            <w:pPr>
              <w:spacing w:line="240" w:lineRule="auto"/>
              <w:ind w:firstLine="0" w:firstLineChars="0"/>
              <w:jc w:val="center"/>
              <w:rPr>
                <w:color w:val="auto"/>
                <w:kern w:val="0"/>
                <w:sz w:val="21"/>
                <w:szCs w:val="21"/>
              </w:rPr>
            </w:pPr>
            <w:r>
              <w:rPr>
                <w:color w:val="auto"/>
                <w:kern w:val="0"/>
                <w:sz w:val="21"/>
                <w:szCs w:val="21"/>
              </w:rPr>
              <w:t>2-氯酚</w:t>
            </w:r>
          </w:p>
        </w:tc>
        <w:tc>
          <w:tcPr>
            <w:tcW w:w="375" w:type="pct"/>
            <w:vAlign w:val="center"/>
          </w:tcPr>
          <w:p w14:paraId="01C17398">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3DE25BE">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E7529B5">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D703383">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8A06803">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05EBA87">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9EF7349">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73B631F">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CA2E5F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37B1087">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1289D7A">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575DBDA0">
            <w:pPr>
              <w:spacing w:line="240" w:lineRule="auto"/>
              <w:ind w:firstLine="0" w:firstLineChars="0"/>
              <w:jc w:val="center"/>
              <w:rPr>
                <w:bCs/>
                <w:color w:val="auto"/>
                <w:sz w:val="21"/>
                <w:szCs w:val="21"/>
              </w:rPr>
            </w:pPr>
            <w:r>
              <w:rPr>
                <w:rFonts w:hint="eastAsia"/>
                <w:bCs/>
                <w:color w:val="auto"/>
                <w:sz w:val="21"/>
                <w:szCs w:val="21"/>
              </w:rPr>
              <w:t>ND</w:t>
            </w:r>
          </w:p>
        </w:tc>
      </w:tr>
      <w:tr w14:paraId="75781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9C86920">
            <w:pPr>
              <w:spacing w:line="240" w:lineRule="auto"/>
              <w:ind w:firstLine="0" w:firstLineChars="0"/>
              <w:jc w:val="center"/>
              <w:rPr>
                <w:color w:val="auto"/>
                <w:kern w:val="0"/>
                <w:sz w:val="21"/>
                <w:szCs w:val="21"/>
              </w:rPr>
            </w:pPr>
            <w:r>
              <w:rPr>
                <w:color w:val="auto"/>
                <w:kern w:val="0"/>
                <w:sz w:val="21"/>
                <w:szCs w:val="21"/>
              </w:rPr>
              <w:t>苯并[a]蒽</w:t>
            </w:r>
          </w:p>
        </w:tc>
        <w:tc>
          <w:tcPr>
            <w:tcW w:w="375" w:type="pct"/>
            <w:vAlign w:val="center"/>
          </w:tcPr>
          <w:p w14:paraId="17628F03">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E5C61E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DF5E804">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656E331A">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5197EFC5">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18455A3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76DC6B2">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5595A68">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A05B3F3">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73A89B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EC5C31B">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4349C8D">
            <w:pPr>
              <w:spacing w:line="240" w:lineRule="auto"/>
              <w:ind w:firstLine="0" w:firstLineChars="0"/>
              <w:jc w:val="center"/>
              <w:rPr>
                <w:bCs/>
                <w:color w:val="auto"/>
                <w:sz w:val="21"/>
                <w:szCs w:val="21"/>
              </w:rPr>
            </w:pPr>
            <w:r>
              <w:rPr>
                <w:rFonts w:hint="eastAsia"/>
                <w:bCs/>
                <w:color w:val="auto"/>
                <w:sz w:val="21"/>
                <w:szCs w:val="21"/>
              </w:rPr>
              <w:t>ND</w:t>
            </w:r>
          </w:p>
        </w:tc>
      </w:tr>
      <w:tr w14:paraId="362EB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7089D2A3">
            <w:pPr>
              <w:spacing w:line="240" w:lineRule="auto"/>
              <w:ind w:firstLine="0" w:firstLineChars="0"/>
              <w:jc w:val="center"/>
              <w:rPr>
                <w:color w:val="auto"/>
                <w:kern w:val="0"/>
                <w:sz w:val="21"/>
                <w:szCs w:val="21"/>
              </w:rPr>
            </w:pPr>
            <w:r>
              <w:rPr>
                <w:color w:val="auto"/>
                <w:kern w:val="0"/>
                <w:sz w:val="21"/>
                <w:szCs w:val="21"/>
              </w:rPr>
              <w:t>苯并[a]芘</w:t>
            </w:r>
          </w:p>
        </w:tc>
        <w:tc>
          <w:tcPr>
            <w:tcW w:w="375" w:type="pct"/>
            <w:vAlign w:val="center"/>
          </w:tcPr>
          <w:p w14:paraId="5735AF3D">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EAB02F9">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737A198">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9101242">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2DDEF0C">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8F34681">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09BC52B">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A089100">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34FE69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B8428AD">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75FF5D9">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3C3DDEAB">
            <w:pPr>
              <w:spacing w:line="240" w:lineRule="auto"/>
              <w:ind w:firstLine="0" w:firstLineChars="0"/>
              <w:jc w:val="center"/>
              <w:rPr>
                <w:bCs/>
                <w:color w:val="auto"/>
                <w:sz w:val="21"/>
                <w:szCs w:val="21"/>
              </w:rPr>
            </w:pPr>
            <w:r>
              <w:rPr>
                <w:rFonts w:hint="eastAsia"/>
                <w:bCs/>
                <w:color w:val="auto"/>
                <w:sz w:val="21"/>
                <w:szCs w:val="21"/>
              </w:rPr>
              <w:t>ND</w:t>
            </w:r>
          </w:p>
        </w:tc>
      </w:tr>
      <w:tr w14:paraId="4DD15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40AF2778">
            <w:pPr>
              <w:spacing w:line="240" w:lineRule="auto"/>
              <w:ind w:firstLine="0" w:firstLineChars="0"/>
              <w:jc w:val="center"/>
              <w:rPr>
                <w:color w:val="auto"/>
                <w:kern w:val="0"/>
                <w:sz w:val="21"/>
                <w:szCs w:val="21"/>
              </w:rPr>
            </w:pPr>
            <w:r>
              <w:rPr>
                <w:color w:val="auto"/>
                <w:kern w:val="0"/>
                <w:sz w:val="21"/>
                <w:szCs w:val="21"/>
              </w:rPr>
              <w:t>苯并[b]荧蒽</w:t>
            </w:r>
          </w:p>
        </w:tc>
        <w:tc>
          <w:tcPr>
            <w:tcW w:w="375" w:type="pct"/>
            <w:vAlign w:val="center"/>
          </w:tcPr>
          <w:p w14:paraId="6E7F177A">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54BADF8C">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046A24D">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56CA38F">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443B9276">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5625C76">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ABA377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8AAAB77">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0309101">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08F38F7">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F73F7D3">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1245CF6">
            <w:pPr>
              <w:spacing w:line="240" w:lineRule="auto"/>
              <w:ind w:firstLine="0" w:firstLineChars="0"/>
              <w:jc w:val="center"/>
              <w:rPr>
                <w:bCs/>
                <w:color w:val="auto"/>
                <w:sz w:val="21"/>
                <w:szCs w:val="21"/>
              </w:rPr>
            </w:pPr>
            <w:r>
              <w:rPr>
                <w:rFonts w:hint="eastAsia"/>
                <w:bCs/>
                <w:color w:val="auto"/>
                <w:sz w:val="21"/>
                <w:szCs w:val="21"/>
              </w:rPr>
              <w:t>ND</w:t>
            </w:r>
          </w:p>
        </w:tc>
      </w:tr>
      <w:tr w14:paraId="6B0ED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25FDA0B1">
            <w:pPr>
              <w:spacing w:line="240" w:lineRule="auto"/>
              <w:ind w:firstLine="0" w:firstLineChars="0"/>
              <w:jc w:val="center"/>
              <w:rPr>
                <w:color w:val="auto"/>
                <w:kern w:val="0"/>
                <w:sz w:val="21"/>
                <w:szCs w:val="21"/>
              </w:rPr>
            </w:pPr>
            <w:r>
              <w:rPr>
                <w:color w:val="auto"/>
                <w:kern w:val="0"/>
                <w:sz w:val="21"/>
                <w:szCs w:val="21"/>
              </w:rPr>
              <w:t>苯并[k]荧蒽</w:t>
            </w:r>
          </w:p>
        </w:tc>
        <w:tc>
          <w:tcPr>
            <w:tcW w:w="375" w:type="pct"/>
            <w:vAlign w:val="center"/>
          </w:tcPr>
          <w:p w14:paraId="725AE891">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522E7AF9">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774A7E4">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B57BB64">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48284CB2">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1D77B87D">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D5B06FE">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EA67FA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7F9C4AE">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55BEE5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3649C5F">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5875EB87">
            <w:pPr>
              <w:spacing w:line="240" w:lineRule="auto"/>
              <w:ind w:firstLine="0" w:firstLineChars="0"/>
              <w:jc w:val="center"/>
              <w:rPr>
                <w:bCs/>
                <w:color w:val="auto"/>
                <w:sz w:val="21"/>
                <w:szCs w:val="21"/>
              </w:rPr>
            </w:pPr>
            <w:r>
              <w:rPr>
                <w:rFonts w:hint="eastAsia"/>
                <w:bCs/>
                <w:color w:val="auto"/>
                <w:sz w:val="21"/>
                <w:szCs w:val="21"/>
              </w:rPr>
              <w:t>ND</w:t>
            </w:r>
          </w:p>
        </w:tc>
      </w:tr>
      <w:tr w14:paraId="0BD86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5D74DFC0">
            <w:pPr>
              <w:spacing w:line="240" w:lineRule="auto"/>
              <w:ind w:firstLine="0" w:firstLineChars="0"/>
              <w:jc w:val="center"/>
              <w:rPr>
                <w:color w:val="auto"/>
                <w:kern w:val="0"/>
                <w:sz w:val="21"/>
                <w:szCs w:val="21"/>
              </w:rPr>
            </w:pPr>
            <w:r>
              <w:rPr>
                <w:color w:val="auto"/>
                <w:kern w:val="0"/>
                <w:sz w:val="21"/>
                <w:szCs w:val="21"/>
              </w:rPr>
              <w:t>䓛</w:t>
            </w:r>
          </w:p>
        </w:tc>
        <w:tc>
          <w:tcPr>
            <w:tcW w:w="375" w:type="pct"/>
            <w:vAlign w:val="center"/>
          </w:tcPr>
          <w:p w14:paraId="17641150">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87E95C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850612B">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5EF0A9F7">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CDA247D">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B6CE45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B985286">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BFEF8E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EAB0BF4">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9BBC46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072A56E">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39AEF3F">
            <w:pPr>
              <w:spacing w:line="240" w:lineRule="auto"/>
              <w:ind w:firstLine="0" w:firstLineChars="0"/>
              <w:jc w:val="center"/>
              <w:rPr>
                <w:bCs/>
                <w:color w:val="auto"/>
                <w:sz w:val="21"/>
                <w:szCs w:val="21"/>
              </w:rPr>
            </w:pPr>
            <w:r>
              <w:rPr>
                <w:rFonts w:hint="eastAsia"/>
                <w:bCs/>
                <w:color w:val="auto"/>
                <w:sz w:val="21"/>
                <w:szCs w:val="21"/>
              </w:rPr>
              <w:t>ND</w:t>
            </w:r>
          </w:p>
        </w:tc>
      </w:tr>
      <w:tr w14:paraId="02437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CCF6CFE">
            <w:pPr>
              <w:spacing w:line="240" w:lineRule="auto"/>
              <w:ind w:firstLine="0" w:firstLineChars="0"/>
              <w:jc w:val="center"/>
              <w:rPr>
                <w:color w:val="auto"/>
                <w:kern w:val="0"/>
                <w:sz w:val="21"/>
                <w:szCs w:val="21"/>
              </w:rPr>
            </w:pPr>
            <w:r>
              <w:rPr>
                <w:color w:val="auto"/>
                <w:kern w:val="0"/>
                <w:sz w:val="21"/>
                <w:szCs w:val="21"/>
              </w:rPr>
              <w:t>二苯并[a, h]蒽</w:t>
            </w:r>
          </w:p>
        </w:tc>
        <w:tc>
          <w:tcPr>
            <w:tcW w:w="375" w:type="pct"/>
            <w:vAlign w:val="center"/>
          </w:tcPr>
          <w:p w14:paraId="3CE07F86">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E2D76FD">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099048C">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75329EB">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1241C5F6">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FED17C8">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70641EB">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BB3A26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1DB09F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F463F5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2BAD548">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E25028F">
            <w:pPr>
              <w:spacing w:line="240" w:lineRule="auto"/>
              <w:ind w:firstLine="0" w:firstLineChars="0"/>
              <w:jc w:val="center"/>
              <w:rPr>
                <w:bCs/>
                <w:color w:val="auto"/>
                <w:sz w:val="21"/>
                <w:szCs w:val="21"/>
              </w:rPr>
            </w:pPr>
            <w:r>
              <w:rPr>
                <w:rFonts w:hint="eastAsia"/>
                <w:bCs/>
                <w:color w:val="auto"/>
                <w:sz w:val="21"/>
                <w:szCs w:val="21"/>
              </w:rPr>
              <w:t>ND</w:t>
            </w:r>
          </w:p>
        </w:tc>
      </w:tr>
      <w:tr w14:paraId="5A8EA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2A3F0F22">
            <w:pPr>
              <w:spacing w:line="240" w:lineRule="auto"/>
              <w:ind w:firstLine="0" w:firstLineChars="0"/>
              <w:jc w:val="center"/>
              <w:rPr>
                <w:color w:val="auto"/>
                <w:kern w:val="0"/>
                <w:sz w:val="21"/>
                <w:szCs w:val="21"/>
              </w:rPr>
            </w:pPr>
            <w:r>
              <w:rPr>
                <w:color w:val="auto"/>
                <w:kern w:val="0"/>
                <w:sz w:val="21"/>
                <w:szCs w:val="21"/>
              </w:rPr>
              <w:t>茚并[1,2,3-cd]芘</w:t>
            </w:r>
          </w:p>
        </w:tc>
        <w:tc>
          <w:tcPr>
            <w:tcW w:w="375" w:type="pct"/>
            <w:vAlign w:val="center"/>
          </w:tcPr>
          <w:p w14:paraId="3EC85DC5">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932927E">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50B1B7D">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3F77EED7">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600A67EB">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1A0549BB">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B1BA396">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B6E263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F3F27A3">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63B460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A020A80">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E24175F">
            <w:pPr>
              <w:spacing w:line="240" w:lineRule="auto"/>
              <w:ind w:firstLine="0" w:firstLineChars="0"/>
              <w:jc w:val="center"/>
              <w:rPr>
                <w:bCs/>
                <w:color w:val="auto"/>
                <w:sz w:val="21"/>
                <w:szCs w:val="21"/>
              </w:rPr>
            </w:pPr>
            <w:r>
              <w:rPr>
                <w:rFonts w:hint="eastAsia"/>
                <w:bCs/>
                <w:color w:val="auto"/>
                <w:sz w:val="21"/>
                <w:szCs w:val="21"/>
              </w:rPr>
              <w:t>ND</w:t>
            </w:r>
          </w:p>
        </w:tc>
      </w:tr>
      <w:tr w14:paraId="686EA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55C405D">
            <w:pPr>
              <w:spacing w:line="240" w:lineRule="auto"/>
              <w:ind w:firstLine="0" w:firstLineChars="0"/>
              <w:jc w:val="center"/>
              <w:rPr>
                <w:color w:val="auto"/>
                <w:kern w:val="0"/>
                <w:sz w:val="21"/>
                <w:szCs w:val="21"/>
              </w:rPr>
            </w:pPr>
            <w:r>
              <w:rPr>
                <w:color w:val="auto"/>
                <w:kern w:val="0"/>
                <w:sz w:val="21"/>
                <w:szCs w:val="21"/>
              </w:rPr>
              <w:t>萘</w:t>
            </w:r>
          </w:p>
        </w:tc>
        <w:tc>
          <w:tcPr>
            <w:tcW w:w="375" w:type="pct"/>
            <w:vAlign w:val="center"/>
          </w:tcPr>
          <w:p w14:paraId="0DFB2F2F">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3EB456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1B65E28">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57295628">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4F400F60">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F96486A">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3EE4AA8">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7C9A78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3F0C852">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5E43A2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60800E9">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ED82ACF">
            <w:pPr>
              <w:spacing w:line="240" w:lineRule="auto"/>
              <w:ind w:firstLine="0" w:firstLineChars="0"/>
              <w:jc w:val="center"/>
              <w:rPr>
                <w:bCs/>
                <w:color w:val="auto"/>
                <w:sz w:val="21"/>
                <w:szCs w:val="21"/>
              </w:rPr>
            </w:pPr>
            <w:r>
              <w:rPr>
                <w:rFonts w:hint="eastAsia"/>
                <w:bCs/>
                <w:color w:val="auto"/>
                <w:sz w:val="21"/>
                <w:szCs w:val="21"/>
              </w:rPr>
              <w:t>ND</w:t>
            </w:r>
          </w:p>
        </w:tc>
      </w:tr>
    </w:tbl>
    <w:p w14:paraId="05B8290E">
      <w:pPr>
        <w:ind w:firstLine="482"/>
        <w:jc w:val="center"/>
        <w:rPr>
          <w:b/>
          <w:color w:val="auto"/>
        </w:rPr>
      </w:pPr>
      <w:r>
        <w:rPr>
          <w:rFonts w:hint="eastAsia"/>
          <w:b/>
          <w:color w:val="auto"/>
        </w:rPr>
        <w:t>表5.2.6-4 土壤环境质量现状监测结果（mg/kg）</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109"/>
        <w:gridCol w:w="1109"/>
        <w:gridCol w:w="1112"/>
        <w:gridCol w:w="1127"/>
        <w:gridCol w:w="1118"/>
        <w:gridCol w:w="1115"/>
        <w:gridCol w:w="1112"/>
        <w:gridCol w:w="1106"/>
        <w:gridCol w:w="1106"/>
        <w:gridCol w:w="1103"/>
        <w:gridCol w:w="1103"/>
        <w:gridCol w:w="1100"/>
      </w:tblGrid>
      <w:tr w14:paraId="260F0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restart"/>
            <w:vAlign w:val="center"/>
          </w:tcPr>
          <w:p w14:paraId="0D69FCB8">
            <w:pPr>
              <w:spacing w:line="240" w:lineRule="auto"/>
              <w:ind w:firstLine="0" w:firstLineChars="0"/>
              <w:jc w:val="center"/>
              <w:rPr>
                <w:bCs/>
                <w:color w:val="auto"/>
                <w:sz w:val="21"/>
                <w:szCs w:val="21"/>
              </w:rPr>
            </w:pPr>
            <w:r>
              <w:rPr>
                <w:bCs/>
                <w:color w:val="auto"/>
                <w:sz w:val="21"/>
                <w:szCs w:val="21"/>
              </w:rPr>
              <w:t>监测因子</w:t>
            </w:r>
          </w:p>
        </w:tc>
        <w:tc>
          <w:tcPr>
            <w:tcW w:w="4504" w:type="pct"/>
            <w:gridSpan w:val="12"/>
            <w:vAlign w:val="center"/>
          </w:tcPr>
          <w:p w14:paraId="5C8466AA">
            <w:pPr>
              <w:spacing w:line="240" w:lineRule="auto"/>
              <w:ind w:firstLine="0" w:firstLineChars="0"/>
              <w:jc w:val="center"/>
              <w:rPr>
                <w:bCs/>
                <w:color w:val="auto"/>
                <w:sz w:val="21"/>
                <w:szCs w:val="21"/>
              </w:rPr>
            </w:pPr>
            <w:r>
              <w:rPr>
                <w:bCs/>
                <w:color w:val="auto"/>
                <w:sz w:val="21"/>
                <w:szCs w:val="21"/>
              </w:rPr>
              <w:t>点位</w:t>
            </w:r>
          </w:p>
        </w:tc>
      </w:tr>
      <w:tr w14:paraId="47279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6ABDDCAA">
            <w:pPr>
              <w:spacing w:line="240" w:lineRule="auto"/>
              <w:ind w:firstLine="0" w:firstLineChars="0"/>
              <w:jc w:val="center"/>
              <w:rPr>
                <w:bCs/>
                <w:color w:val="auto"/>
                <w:sz w:val="21"/>
                <w:szCs w:val="21"/>
              </w:rPr>
            </w:pPr>
          </w:p>
        </w:tc>
        <w:tc>
          <w:tcPr>
            <w:tcW w:w="1507" w:type="pct"/>
            <w:gridSpan w:val="4"/>
            <w:vAlign w:val="center"/>
          </w:tcPr>
          <w:p w14:paraId="29E266D5">
            <w:pPr>
              <w:spacing w:line="240" w:lineRule="auto"/>
              <w:ind w:firstLine="0" w:firstLineChars="0"/>
              <w:jc w:val="center"/>
              <w:rPr>
                <w:bCs/>
                <w:color w:val="auto"/>
                <w:sz w:val="21"/>
                <w:szCs w:val="21"/>
              </w:rPr>
            </w:pPr>
            <w:r>
              <w:rPr>
                <w:bCs/>
                <w:color w:val="auto"/>
                <w:sz w:val="21"/>
                <w:szCs w:val="21"/>
              </w:rPr>
              <w:t>T</w:t>
            </w:r>
            <w:r>
              <w:rPr>
                <w:rFonts w:hint="eastAsia"/>
                <w:bCs/>
                <w:color w:val="auto"/>
                <w:sz w:val="21"/>
                <w:szCs w:val="21"/>
              </w:rPr>
              <w:t>4</w:t>
            </w:r>
          </w:p>
        </w:tc>
        <w:tc>
          <w:tcPr>
            <w:tcW w:w="1505" w:type="pct"/>
            <w:gridSpan w:val="4"/>
            <w:vAlign w:val="center"/>
          </w:tcPr>
          <w:p w14:paraId="7DD4F5D8">
            <w:pPr>
              <w:spacing w:line="240" w:lineRule="auto"/>
              <w:ind w:firstLine="0" w:firstLineChars="0"/>
              <w:jc w:val="center"/>
              <w:rPr>
                <w:bCs/>
                <w:color w:val="auto"/>
                <w:sz w:val="21"/>
                <w:szCs w:val="21"/>
              </w:rPr>
            </w:pPr>
            <w:r>
              <w:rPr>
                <w:bCs/>
                <w:color w:val="auto"/>
                <w:sz w:val="21"/>
                <w:szCs w:val="21"/>
              </w:rPr>
              <w:t>T</w:t>
            </w:r>
            <w:r>
              <w:rPr>
                <w:rFonts w:hint="eastAsia"/>
                <w:bCs/>
                <w:color w:val="auto"/>
                <w:sz w:val="21"/>
                <w:szCs w:val="21"/>
              </w:rPr>
              <w:t>5</w:t>
            </w:r>
          </w:p>
        </w:tc>
        <w:tc>
          <w:tcPr>
            <w:tcW w:w="374" w:type="pct"/>
            <w:vAlign w:val="center"/>
          </w:tcPr>
          <w:p w14:paraId="15B2BA1C">
            <w:pPr>
              <w:spacing w:line="240" w:lineRule="auto"/>
              <w:ind w:firstLine="0" w:firstLineChars="0"/>
              <w:jc w:val="center"/>
              <w:rPr>
                <w:bCs/>
                <w:color w:val="auto"/>
                <w:sz w:val="21"/>
                <w:szCs w:val="21"/>
              </w:rPr>
            </w:pPr>
            <w:r>
              <w:rPr>
                <w:rFonts w:hint="eastAsia"/>
                <w:bCs/>
                <w:color w:val="auto"/>
                <w:sz w:val="21"/>
                <w:szCs w:val="21"/>
              </w:rPr>
              <w:t>T6</w:t>
            </w:r>
          </w:p>
        </w:tc>
        <w:tc>
          <w:tcPr>
            <w:tcW w:w="373" w:type="pct"/>
            <w:vAlign w:val="center"/>
          </w:tcPr>
          <w:p w14:paraId="3B9F0D5E">
            <w:pPr>
              <w:spacing w:line="240" w:lineRule="auto"/>
              <w:ind w:firstLine="0" w:firstLineChars="0"/>
              <w:jc w:val="center"/>
              <w:rPr>
                <w:bCs/>
                <w:color w:val="auto"/>
                <w:sz w:val="21"/>
                <w:szCs w:val="21"/>
              </w:rPr>
            </w:pPr>
            <w:r>
              <w:rPr>
                <w:rFonts w:hint="eastAsia"/>
                <w:bCs/>
                <w:color w:val="auto"/>
                <w:sz w:val="21"/>
                <w:szCs w:val="21"/>
              </w:rPr>
              <w:t>T7</w:t>
            </w:r>
          </w:p>
        </w:tc>
        <w:tc>
          <w:tcPr>
            <w:tcW w:w="373" w:type="pct"/>
            <w:vAlign w:val="center"/>
          </w:tcPr>
          <w:p w14:paraId="2CCCFA86">
            <w:pPr>
              <w:spacing w:line="240" w:lineRule="auto"/>
              <w:ind w:firstLine="0" w:firstLineChars="0"/>
              <w:jc w:val="center"/>
              <w:rPr>
                <w:bCs/>
                <w:color w:val="auto"/>
                <w:sz w:val="21"/>
                <w:szCs w:val="21"/>
              </w:rPr>
            </w:pPr>
            <w:r>
              <w:rPr>
                <w:rFonts w:hint="eastAsia"/>
                <w:bCs/>
                <w:color w:val="auto"/>
                <w:sz w:val="21"/>
                <w:szCs w:val="21"/>
              </w:rPr>
              <w:t>T9</w:t>
            </w:r>
          </w:p>
        </w:tc>
        <w:tc>
          <w:tcPr>
            <w:tcW w:w="372" w:type="pct"/>
            <w:vAlign w:val="center"/>
          </w:tcPr>
          <w:p w14:paraId="3C8ED297">
            <w:pPr>
              <w:spacing w:line="240" w:lineRule="auto"/>
              <w:ind w:firstLine="0" w:firstLineChars="0"/>
              <w:jc w:val="center"/>
              <w:rPr>
                <w:bCs/>
                <w:color w:val="auto"/>
                <w:sz w:val="21"/>
                <w:szCs w:val="21"/>
              </w:rPr>
            </w:pPr>
            <w:r>
              <w:rPr>
                <w:rFonts w:hint="eastAsia"/>
                <w:bCs/>
                <w:color w:val="auto"/>
                <w:sz w:val="21"/>
                <w:szCs w:val="21"/>
              </w:rPr>
              <w:t>T11</w:t>
            </w:r>
          </w:p>
        </w:tc>
      </w:tr>
      <w:tr w14:paraId="045F8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54622205">
            <w:pPr>
              <w:spacing w:line="240" w:lineRule="auto"/>
              <w:ind w:firstLine="0" w:firstLineChars="0"/>
              <w:jc w:val="center"/>
              <w:rPr>
                <w:bCs/>
                <w:color w:val="auto"/>
                <w:sz w:val="21"/>
                <w:szCs w:val="21"/>
              </w:rPr>
            </w:pPr>
          </w:p>
        </w:tc>
        <w:tc>
          <w:tcPr>
            <w:tcW w:w="375" w:type="pct"/>
            <w:vAlign w:val="center"/>
          </w:tcPr>
          <w:p w14:paraId="18097E1D">
            <w:pPr>
              <w:spacing w:line="240" w:lineRule="auto"/>
              <w:ind w:firstLine="0" w:firstLineChars="0"/>
              <w:jc w:val="center"/>
              <w:rPr>
                <w:bCs/>
                <w:color w:val="auto"/>
                <w:sz w:val="21"/>
                <w:szCs w:val="21"/>
              </w:rPr>
            </w:pPr>
            <w:r>
              <w:rPr>
                <w:bCs/>
                <w:color w:val="auto"/>
                <w:sz w:val="21"/>
                <w:szCs w:val="21"/>
              </w:rPr>
              <w:t>0-0.5m</w:t>
            </w:r>
          </w:p>
        </w:tc>
        <w:tc>
          <w:tcPr>
            <w:tcW w:w="375" w:type="pct"/>
            <w:vAlign w:val="center"/>
          </w:tcPr>
          <w:p w14:paraId="67FA5C26">
            <w:pPr>
              <w:spacing w:line="240" w:lineRule="auto"/>
              <w:ind w:firstLine="0" w:firstLineChars="0"/>
              <w:jc w:val="center"/>
              <w:rPr>
                <w:bCs/>
                <w:color w:val="auto"/>
                <w:sz w:val="21"/>
                <w:szCs w:val="21"/>
              </w:rPr>
            </w:pPr>
            <w:r>
              <w:rPr>
                <w:bCs/>
                <w:color w:val="auto"/>
                <w:sz w:val="21"/>
                <w:szCs w:val="21"/>
              </w:rPr>
              <w:t>0.5-1.5m</w:t>
            </w:r>
          </w:p>
        </w:tc>
        <w:tc>
          <w:tcPr>
            <w:tcW w:w="376" w:type="pct"/>
            <w:vAlign w:val="center"/>
          </w:tcPr>
          <w:p w14:paraId="652B154E">
            <w:pPr>
              <w:spacing w:line="240" w:lineRule="auto"/>
              <w:ind w:firstLine="0" w:firstLineChars="0"/>
              <w:jc w:val="center"/>
              <w:rPr>
                <w:bCs/>
                <w:color w:val="auto"/>
                <w:sz w:val="21"/>
                <w:szCs w:val="21"/>
              </w:rPr>
            </w:pPr>
            <w:r>
              <w:rPr>
                <w:bCs/>
                <w:color w:val="auto"/>
                <w:sz w:val="21"/>
                <w:szCs w:val="21"/>
              </w:rPr>
              <w:t>1.5-3.0m</w:t>
            </w:r>
          </w:p>
        </w:tc>
        <w:tc>
          <w:tcPr>
            <w:tcW w:w="381" w:type="pct"/>
            <w:vAlign w:val="center"/>
          </w:tcPr>
          <w:p w14:paraId="66E631E2">
            <w:pPr>
              <w:spacing w:line="240" w:lineRule="auto"/>
              <w:ind w:firstLine="0" w:firstLineChars="0"/>
              <w:jc w:val="center"/>
              <w:rPr>
                <w:bCs/>
                <w:color w:val="auto"/>
                <w:sz w:val="21"/>
                <w:szCs w:val="21"/>
              </w:rPr>
            </w:pPr>
            <w:r>
              <w:rPr>
                <w:bCs/>
                <w:color w:val="auto"/>
                <w:sz w:val="21"/>
                <w:szCs w:val="21"/>
              </w:rPr>
              <w:t>3m以下</w:t>
            </w:r>
          </w:p>
        </w:tc>
        <w:tc>
          <w:tcPr>
            <w:tcW w:w="378" w:type="pct"/>
            <w:vAlign w:val="center"/>
          </w:tcPr>
          <w:p w14:paraId="0DF07589">
            <w:pPr>
              <w:spacing w:line="240" w:lineRule="auto"/>
              <w:ind w:firstLine="0" w:firstLineChars="0"/>
              <w:jc w:val="center"/>
              <w:rPr>
                <w:bCs/>
                <w:color w:val="auto"/>
                <w:sz w:val="21"/>
                <w:szCs w:val="21"/>
              </w:rPr>
            </w:pPr>
            <w:r>
              <w:rPr>
                <w:bCs/>
                <w:color w:val="auto"/>
                <w:sz w:val="21"/>
                <w:szCs w:val="21"/>
              </w:rPr>
              <w:t>0-0.5m</w:t>
            </w:r>
          </w:p>
        </w:tc>
        <w:tc>
          <w:tcPr>
            <w:tcW w:w="377" w:type="pct"/>
            <w:vAlign w:val="center"/>
          </w:tcPr>
          <w:p w14:paraId="59608147">
            <w:pPr>
              <w:spacing w:line="240" w:lineRule="auto"/>
              <w:ind w:firstLine="0" w:firstLineChars="0"/>
              <w:jc w:val="center"/>
              <w:rPr>
                <w:bCs/>
                <w:color w:val="auto"/>
                <w:sz w:val="21"/>
                <w:szCs w:val="21"/>
              </w:rPr>
            </w:pPr>
            <w:r>
              <w:rPr>
                <w:bCs/>
                <w:color w:val="auto"/>
                <w:sz w:val="21"/>
                <w:szCs w:val="21"/>
              </w:rPr>
              <w:t>0.5-1.5m</w:t>
            </w:r>
          </w:p>
        </w:tc>
        <w:tc>
          <w:tcPr>
            <w:tcW w:w="376" w:type="pct"/>
            <w:vAlign w:val="center"/>
          </w:tcPr>
          <w:p w14:paraId="3B29D014">
            <w:pPr>
              <w:spacing w:line="240" w:lineRule="auto"/>
              <w:ind w:firstLine="0" w:firstLineChars="0"/>
              <w:jc w:val="center"/>
              <w:rPr>
                <w:bCs/>
                <w:color w:val="auto"/>
                <w:sz w:val="21"/>
                <w:szCs w:val="21"/>
              </w:rPr>
            </w:pPr>
            <w:r>
              <w:rPr>
                <w:bCs/>
                <w:color w:val="auto"/>
                <w:sz w:val="21"/>
                <w:szCs w:val="21"/>
              </w:rPr>
              <w:t>1.5-3.0m</w:t>
            </w:r>
          </w:p>
        </w:tc>
        <w:tc>
          <w:tcPr>
            <w:tcW w:w="374" w:type="pct"/>
            <w:vAlign w:val="center"/>
          </w:tcPr>
          <w:p w14:paraId="001708D8">
            <w:pPr>
              <w:spacing w:line="240" w:lineRule="auto"/>
              <w:ind w:firstLine="0" w:firstLineChars="0"/>
              <w:jc w:val="center"/>
              <w:rPr>
                <w:bCs/>
                <w:color w:val="auto"/>
                <w:sz w:val="21"/>
                <w:szCs w:val="21"/>
              </w:rPr>
            </w:pPr>
            <w:r>
              <w:rPr>
                <w:bCs/>
                <w:color w:val="auto"/>
                <w:sz w:val="21"/>
                <w:szCs w:val="21"/>
              </w:rPr>
              <w:t>3m以下</w:t>
            </w:r>
          </w:p>
        </w:tc>
        <w:tc>
          <w:tcPr>
            <w:tcW w:w="374" w:type="pct"/>
            <w:vAlign w:val="center"/>
          </w:tcPr>
          <w:p w14:paraId="1BA8E649">
            <w:pPr>
              <w:spacing w:line="240" w:lineRule="auto"/>
              <w:ind w:firstLine="0" w:firstLineChars="0"/>
              <w:jc w:val="center"/>
              <w:rPr>
                <w:bCs/>
                <w:color w:val="auto"/>
                <w:sz w:val="21"/>
                <w:szCs w:val="21"/>
              </w:rPr>
            </w:pPr>
            <w:r>
              <w:rPr>
                <w:bCs/>
                <w:color w:val="auto"/>
                <w:sz w:val="21"/>
                <w:szCs w:val="21"/>
              </w:rPr>
              <w:t>0-0.</w:t>
            </w:r>
            <w:r>
              <w:rPr>
                <w:rFonts w:hint="eastAsia"/>
                <w:bCs/>
                <w:color w:val="auto"/>
                <w:sz w:val="21"/>
                <w:szCs w:val="21"/>
              </w:rPr>
              <w:t>2</w:t>
            </w:r>
            <w:r>
              <w:rPr>
                <w:bCs/>
                <w:color w:val="auto"/>
                <w:sz w:val="21"/>
                <w:szCs w:val="21"/>
              </w:rPr>
              <w:t>m</w:t>
            </w:r>
          </w:p>
        </w:tc>
        <w:tc>
          <w:tcPr>
            <w:tcW w:w="373" w:type="pct"/>
            <w:vAlign w:val="center"/>
          </w:tcPr>
          <w:p w14:paraId="45BAC693">
            <w:pPr>
              <w:spacing w:line="240" w:lineRule="auto"/>
              <w:ind w:firstLine="0" w:firstLineChars="0"/>
              <w:jc w:val="center"/>
              <w:rPr>
                <w:bCs/>
                <w:color w:val="auto"/>
                <w:sz w:val="21"/>
                <w:szCs w:val="21"/>
              </w:rPr>
            </w:pPr>
            <w:r>
              <w:rPr>
                <w:bCs/>
                <w:color w:val="auto"/>
                <w:sz w:val="21"/>
                <w:szCs w:val="21"/>
              </w:rPr>
              <w:t>0-0.</w:t>
            </w:r>
            <w:r>
              <w:rPr>
                <w:rFonts w:hint="eastAsia"/>
                <w:bCs/>
                <w:color w:val="auto"/>
                <w:sz w:val="21"/>
                <w:szCs w:val="21"/>
              </w:rPr>
              <w:t>2</w:t>
            </w:r>
            <w:r>
              <w:rPr>
                <w:bCs/>
                <w:color w:val="auto"/>
                <w:sz w:val="21"/>
                <w:szCs w:val="21"/>
              </w:rPr>
              <w:t>m</w:t>
            </w:r>
          </w:p>
        </w:tc>
        <w:tc>
          <w:tcPr>
            <w:tcW w:w="373" w:type="pct"/>
            <w:vAlign w:val="center"/>
          </w:tcPr>
          <w:p w14:paraId="59D4F1D2">
            <w:pPr>
              <w:spacing w:line="240" w:lineRule="auto"/>
              <w:ind w:firstLine="0" w:firstLineChars="0"/>
              <w:jc w:val="center"/>
              <w:rPr>
                <w:bCs/>
                <w:color w:val="auto"/>
                <w:sz w:val="21"/>
                <w:szCs w:val="21"/>
              </w:rPr>
            </w:pPr>
            <w:r>
              <w:rPr>
                <w:bCs/>
                <w:color w:val="auto"/>
                <w:sz w:val="21"/>
                <w:szCs w:val="21"/>
              </w:rPr>
              <w:t>0-0.</w:t>
            </w:r>
            <w:r>
              <w:rPr>
                <w:rFonts w:hint="eastAsia"/>
                <w:bCs/>
                <w:color w:val="auto"/>
                <w:sz w:val="21"/>
                <w:szCs w:val="21"/>
              </w:rPr>
              <w:t>2</w:t>
            </w:r>
            <w:r>
              <w:rPr>
                <w:bCs/>
                <w:color w:val="auto"/>
                <w:sz w:val="21"/>
                <w:szCs w:val="21"/>
              </w:rPr>
              <w:t>m</w:t>
            </w:r>
          </w:p>
        </w:tc>
        <w:tc>
          <w:tcPr>
            <w:tcW w:w="372" w:type="pct"/>
            <w:vAlign w:val="center"/>
          </w:tcPr>
          <w:p w14:paraId="3D144F30">
            <w:pPr>
              <w:spacing w:line="240" w:lineRule="auto"/>
              <w:ind w:firstLine="0" w:firstLineChars="0"/>
              <w:jc w:val="center"/>
              <w:rPr>
                <w:bCs/>
                <w:color w:val="auto"/>
                <w:sz w:val="21"/>
                <w:szCs w:val="21"/>
              </w:rPr>
            </w:pPr>
            <w:r>
              <w:rPr>
                <w:bCs/>
                <w:color w:val="auto"/>
                <w:sz w:val="21"/>
                <w:szCs w:val="21"/>
              </w:rPr>
              <w:t>0-0.</w:t>
            </w:r>
            <w:r>
              <w:rPr>
                <w:rFonts w:hint="eastAsia"/>
                <w:bCs/>
                <w:color w:val="auto"/>
                <w:sz w:val="21"/>
                <w:szCs w:val="21"/>
              </w:rPr>
              <w:t>2</w:t>
            </w:r>
            <w:r>
              <w:rPr>
                <w:bCs/>
                <w:color w:val="auto"/>
                <w:sz w:val="21"/>
                <w:szCs w:val="21"/>
              </w:rPr>
              <w:t>m</w:t>
            </w:r>
          </w:p>
        </w:tc>
      </w:tr>
      <w:tr w14:paraId="25262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605250D5">
            <w:pPr>
              <w:spacing w:line="240" w:lineRule="auto"/>
              <w:ind w:firstLine="0" w:firstLineChars="0"/>
              <w:jc w:val="center"/>
              <w:rPr>
                <w:bCs/>
                <w:color w:val="auto"/>
                <w:sz w:val="21"/>
                <w:szCs w:val="21"/>
              </w:rPr>
            </w:pPr>
            <w:r>
              <w:rPr>
                <w:rFonts w:hint="eastAsia"/>
                <w:bCs/>
                <w:color w:val="auto"/>
                <w:sz w:val="21"/>
                <w:szCs w:val="21"/>
              </w:rPr>
              <w:t>六价铬</w:t>
            </w:r>
          </w:p>
        </w:tc>
        <w:tc>
          <w:tcPr>
            <w:tcW w:w="375" w:type="pct"/>
            <w:vAlign w:val="center"/>
          </w:tcPr>
          <w:p w14:paraId="111D67FA">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3B60BAC">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5304FD1">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5D4FC481">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D3945FC">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8660B07">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93D562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EC8D7E6">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F7345BC">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E2DDE6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E47911E">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252DDAC7">
            <w:pPr>
              <w:spacing w:line="240" w:lineRule="auto"/>
              <w:ind w:firstLine="0" w:firstLineChars="0"/>
              <w:jc w:val="center"/>
              <w:rPr>
                <w:bCs/>
                <w:color w:val="auto"/>
                <w:sz w:val="21"/>
                <w:szCs w:val="21"/>
              </w:rPr>
            </w:pPr>
            <w:r>
              <w:rPr>
                <w:rFonts w:hint="eastAsia"/>
                <w:bCs/>
                <w:color w:val="auto"/>
                <w:sz w:val="21"/>
                <w:szCs w:val="21"/>
              </w:rPr>
              <w:t>ND</w:t>
            </w:r>
          </w:p>
        </w:tc>
      </w:tr>
      <w:tr w14:paraId="0F04B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06EDB91A">
            <w:pPr>
              <w:spacing w:line="240" w:lineRule="auto"/>
              <w:ind w:firstLine="0" w:firstLineChars="0"/>
              <w:jc w:val="center"/>
              <w:rPr>
                <w:bCs/>
                <w:color w:val="auto"/>
                <w:sz w:val="21"/>
                <w:szCs w:val="21"/>
              </w:rPr>
            </w:pPr>
            <w:r>
              <w:rPr>
                <w:rFonts w:hint="eastAsia"/>
                <w:bCs/>
                <w:color w:val="auto"/>
                <w:sz w:val="21"/>
                <w:szCs w:val="21"/>
              </w:rPr>
              <w:t>镉</w:t>
            </w:r>
          </w:p>
        </w:tc>
        <w:tc>
          <w:tcPr>
            <w:tcW w:w="375" w:type="pct"/>
            <w:vAlign w:val="center"/>
          </w:tcPr>
          <w:p w14:paraId="343BBA32">
            <w:pPr>
              <w:spacing w:line="240" w:lineRule="auto"/>
              <w:ind w:firstLine="0" w:firstLineChars="0"/>
              <w:jc w:val="center"/>
              <w:rPr>
                <w:bCs/>
                <w:color w:val="auto"/>
                <w:sz w:val="21"/>
                <w:szCs w:val="21"/>
              </w:rPr>
            </w:pPr>
            <w:r>
              <w:rPr>
                <w:rFonts w:hint="eastAsia"/>
                <w:bCs/>
                <w:color w:val="auto"/>
                <w:sz w:val="21"/>
                <w:szCs w:val="21"/>
              </w:rPr>
              <w:t>0.20</w:t>
            </w:r>
          </w:p>
        </w:tc>
        <w:tc>
          <w:tcPr>
            <w:tcW w:w="375" w:type="pct"/>
            <w:vAlign w:val="center"/>
          </w:tcPr>
          <w:p w14:paraId="4950A1B1">
            <w:pPr>
              <w:spacing w:line="240" w:lineRule="auto"/>
              <w:ind w:firstLine="0" w:firstLineChars="0"/>
              <w:jc w:val="center"/>
              <w:rPr>
                <w:bCs/>
                <w:color w:val="auto"/>
                <w:sz w:val="21"/>
                <w:szCs w:val="21"/>
              </w:rPr>
            </w:pPr>
            <w:r>
              <w:rPr>
                <w:rFonts w:hint="eastAsia"/>
                <w:bCs/>
                <w:color w:val="auto"/>
                <w:sz w:val="21"/>
                <w:szCs w:val="21"/>
              </w:rPr>
              <w:t>0.18</w:t>
            </w:r>
          </w:p>
        </w:tc>
        <w:tc>
          <w:tcPr>
            <w:tcW w:w="376" w:type="pct"/>
            <w:vAlign w:val="center"/>
          </w:tcPr>
          <w:p w14:paraId="41C7E34D">
            <w:pPr>
              <w:spacing w:line="240" w:lineRule="auto"/>
              <w:ind w:firstLine="0" w:firstLineChars="0"/>
              <w:jc w:val="center"/>
              <w:rPr>
                <w:bCs/>
                <w:color w:val="auto"/>
                <w:sz w:val="21"/>
                <w:szCs w:val="21"/>
              </w:rPr>
            </w:pPr>
            <w:r>
              <w:rPr>
                <w:rFonts w:hint="eastAsia"/>
                <w:bCs/>
                <w:color w:val="auto"/>
                <w:sz w:val="21"/>
                <w:szCs w:val="21"/>
              </w:rPr>
              <w:t>0.18</w:t>
            </w:r>
          </w:p>
        </w:tc>
        <w:tc>
          <w:tcPr>
            <w:tcW w:w="381" w:type="pct"/>
            <w:vAlign w:val="center"/>
          </w:tcPr>
          <w:p w14:paraId="70FEDDF5">
            <w:pPr>
              <w:spacing w:line="240" w:lineRule="auto"/>
              <w:ind w:firstLine="0" w:firstLineChars="0"/>
              <w:jc w:val="center"/>
              <w:rPr>
                <w:bCs/>
                <w:color w:val="auto"/>
                <w:sz w:val="21"/>
                <w:szCs w:val="21"/>
              </w:rPr>
            </w:pPr>
            <w:r>
              <w:rPr>
                <w:rFonts w:hint="eastAsia"/>
                <w:bCs/>
                <w:color w:val="auto"/>
                <w:sz w:val="21"/>
                <w:szCs w:val="21"/>
              </w:rPr>
              <w:t>0.21</w:t>
            </w:r>
          </w:p>
        </w:tc>
        <w:tc>
          <w:tcPr>
            <w:tcW w:w="378" w:type="pct"/>
            <w:vAlign w:val="center"/>
          </w:tcPr>
          <w:p w14:paraId="35EC390D">
            <w:pPr>
              <w:spacing w:line="240" w:lineRule="auto"/>
              <w:ind w:firstLine="0" w:firstLineChars="0"/>
              <w:jc w:val="center"/>
              <w:rPr>
                <w:bCs/>
                <w:color w:val="auto"/>
                <w:sz w:val="21"/>
                <w:szCs w:val="21"/>
              </w:rPr>
            </w:pPr>
            <w:r>
              <w:rPr>
                <w:rFonts w:hint="eastAsia"/>
                <w:bCs/>
                <w:color w:val="auto"/>
                <w:sz w:val="21"/>
                <w:szCs w:val="21"/>
              </w:rPr>
              <w:t>0.17</w:t>
            </w:r>
          </w:p>
        </w:tc>
        <w:tc>
          <w:tcPr>
            <w:tcW w:w="377" w:type="pct"/>
            <w:vAlign w:val="center"/>
          </w:tcPr>
          <w:p w14:paraId="0B241EDE">
            <w:pPr>
              <w:spacing w:line="240" w:lineRule="auto"/>
              <w:ind w:firstLine="0" w:firstLineChars="0"/>
              <w:jc w:val="center"/>
              <w:rPr>
                <w:bCs/>
                <w:color w:val="auto"/>
                <w:sz w:val="21"/>
                <w:szCs w:val="21"/>
              </w:rPr>
            </w:pPr>
            <w:r>
              <w:rPr>
                <w:rFonts w:hint="eastAsia"/>
                <w:bCs/>
                <w:color w:val="auto"/>
                <w:sz w:val="21"/>
                <w:szCs w:val="21"/>
              </w:rPr>
              <w:t>0.16</w:t>
            </w:r>
          </w:p>
        </w:tc>
        <w:tc>
          <w:tcPr>
            <w:tcW w:w="376" w:type="pct"/>
            <w:vAlign w:val="center"/>
          </w:tcPr>
          <w:p w14:paraId="22E49AFD">
            <w:pPr>
              <w:spacing w:line="240" w:lineRule="auto"/>
              <w:ind w:firstLine="0" w:firstLineChars="0"/>
              <w:jc w:val="center"/>
              <w:rPr>
                <w:bCs/>
                <w:color w:val="auto"/>
                <w:sz w:val="21"/>
                <w:szCs w:val="21"/>
              </w:rPr>
            </w:pPr>
            <w:r>
              <w:rPr>
                <w:rFonts w:hint="eastAsia"/>
                <w:bCs/>
                <w:color w:val="auto"/>
                <w:sz w:val="21"/>
                <w:szCs w:val="21"/>
              </w:rPr>
              <w:t>0.17</w:t>
            </w:r>
          </w:p>
        </w:tc>
        <w:tc>
          <w:tcPr>
            <w:tcW w:w="374" w:type="pct"/>
            <w:vAlign w:val="center"/>
          </w:tcPr>
          <w:p w14:paraId="5FE56218">
            <w:pPr>
              <w:spacing w:line="240" w:lineRule="auto"/>
              <w:ind w:firstLine="0" w:firstLineChars="0"/>
              <w:jc w:val="center"/>
              <w:rPr>
                <w:bCs/>
                <w:color w:val="auto"/>
                <w:sz w:val="21"/>
                <w:szCs w:val="21"/>
              </w:rPr>
            </w:pPr>
            <w:r>
              <w:rPr>
                <w:rFonts w:hint="eastAsia"/>
                <w:bCs/>
                <w:color w:val="auto"/>
                <w:sz w:val="21"/>
                <w:szCs w:val="21"/>
              </w:rPr>
              <w:t>0.19</w:t>
            </w:r>
          </w:p>
        </w:tc>
        <w:tc>
          <w:tcPr>
            <w:tcW w:w="374" w:type="pct"/>
            <w:vAlign w:val="center"/>
          </w:tcPr>
          <w:p w14:paraId="450D8E17">
            <w:pPr>
              <w:spacing w:line="240" w:lineRule="auto"/>
              <w:ind w:firstLine="0" w:firstLineChars="0"/>
              <w:jc w:val="center"/>
              <w:rPr>
                <w:bCs/>
                <w:color w:val="auto"/>
                <w:sz w:val="21"/>
                <w:szCs w:val="21"/>
              </w:rPr>
            </w:pPr>
            <w:r>
              <w:rPr>
                <w:rFonts w:hint="eastAsia"/>
                <w:bCs/>
                <w:color w:val="auto"/>
                <w:sz w:val="21"/>
                <w:szCs w:val="21"/>
              </w:rPr>
              <w:t>0.19</w:t>
            </w:r>
          </w:p>
        </w:tc>
        <w:tc>
          <w:tcPr>
            <w:tcW w:w="373" w:type="pct"/>
            <w:vAlign w:val="center"/>
          </w:tcPr>
          <w:p w14:paraId="3A95CE82">
            <w:pPr>
              <w:spacing w:line="240" w:lineRule="auto"/>
              <w:ind w:firstLine="0" w:firstLineChars="0"/>
              <w:jc w:val="center"/>
              <w:rPr>
                <w:bCs/>
                <w:color w:val="auto"/>
                <w:sz w:val="21"/>
                <w:szCs w:val="21"/>
              </w:rPr>
            </w:pPr>
            <w:r>
              <w:rPr>
                <w:rFonts w:hint="eastAsia"/>
                <w:bCs/>
                <w:color w:val="auto"/>
                <w:sz w:val="21"/>
                <w:szCs w:val="21"/>
              </w:rPr>
              <w:t>0.16</w:t>
            </w:r>
          </w:p>
        </w:tc>
        <w:tc>
          <w:tcPr>
            <w:tcW w:w="373" w:type="pct"/>
            <w:vAlign w:val="center"/>
          </w:tcPr>
          <w:p w14:paraId="3361EBEE">
            <w:pPr>
              <w:spacing w:line="240" w:lineRule="auto"/>
              <w:ind w:firstLine="0" w:firstLineChars="0"/>
              <w:jc w:val="center"/>
              <w:rPr>
                <w:bCs/>
                <w:color w:val="auto"/>
                <w:sz w:val="21"/>
                <w:szCs w:val="21"/>
              </w:rPr>
            </w:pPr>
            <w:r>
              <w:rPr>
                <w:rFonts w:hint="eastAsia"/>
                <w:bCs/>
                <w:color w:val="auto"/>
                <w:sz w:val="21"/>
                <w:szCs w:val="21"/>
              </w:rPr>
              <w:t>0.16</w:t>
            </w:r>
          </w:p>
        </w:tc>
        <w:tc>
          <w:tcPr>
            <w:tcW w:w="372" w:type="pct"/>
            <w:vAlign w:val="center"/>
          </w:tcPr>
          <w:p w14:paraId="62C99468">
            <w:pPr>
              <w:spacing w:line="240" w:lineRule="auto"/>
              <w:ind w:firstLine="0" w:firstLineChars="0"/>
              <w:jc w:val="center"/>
              <w:rPr>
                <w:bCs/>
                <w:color w:val="auto"/>
                <w:sz w:val="21"/>
                <w:szCs w:val="21"/>
              </w:rPr>
            </w:pPr>
            <w:r>
              <w:rPr>
                <w:rFonts w:hint="eastAsia"/>
                <w:bCs/>
                <w:color w:val="auto"/>
                <w:sz w:val="21"/>
                <w:szCs w:val="21"/>
              </w:rPr>
              <w:t>0.18</w:t>
            </w:r>
          </w:p>
        </w:tc>
      </w:tr>
      <w:tr w14:paraId="47B07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96" w:type="pct"/>
            <w:vAlign w:val="center"/>
          </w:tcPr>
          <w:p w14:paraId="22C4E80B">
            <w:pPr>
              <w:spacing w:line="240" w:lineRule="auto"/>
              <w:ind w:firstLine="0" w:firstLineChars="0"/>
              <w:jc w:val="center"/>
              <w:rPr>
                <w:bCs/>
                <w:color w:val="auto"/>
                <w:sz w:val="21"/>
                <w:szCs w:val="21"/>
              </w:rPr>
            </w:pPr>
            <w:r>
              <w:rPr>
                <w:rFonts w:hint="eastAsia"/>
                <w:bCs/>
                <w:color w:val="auto"/>
                <w:sz w:val="21"/>
                <w:szCs w:val="21"/>
              </w:rPr>
              <w:t>砷</w:t>
            </w:r>
          </w:p>
        </w:tc>
        <w:tc>
          <w:tcPr>
            <w:tcW w:w="375" w:type="pct"/>
            <w:vAlign w:val="center"/>
          </w:tcPr>
          <w:p w14:paraId="233EAE25">
            <w:pPr>
              <w:spacing w:line="240" w:lineRule="auto"/>
              <w:ind w:firstLine="0" w:firstLineChars="0"/>
              <w:jc w:val="center"/>
              <w:rPr>
                <w:bCs/>
                <w:color w:val="auto"/>
                <w:sz w:val="21"/>
                <w:szCs w:val="21"/>
              </w:rPr>
            </w:pPr>
            <w:r>
              <w:rPr>
                <w:rFonts w:hint="eastAsia"/>
                <w:bCs/>
                <w:color w:val="auto"/>
                <w:sz w:val="21"/>
                <w:szCs w:val="21"/>
              </w:rPr>
              <w:t>14.3</w:t>
            </w:r>
          </w:p>
        </w:tc>
        <w:tc>
          <w:tcPr>
            <w:tcW w:w="375" w:type="pct"/>
            <w:vAlign w:val="center"/>
          </w:tcPr>
          <w:p w14:paraId="5469B7B6">
            <w:pPr>
              <w:spacing w:line="240" w:lineRule="auto"/>
              <w:ind w:firstLine="0" w:firstLineChars="0"/>
              <w:jc w:val="center"/>
              <w:rPr>
                <w:bCs/>
                <w:color w:val="auto"/>
                <w:sz w:val="21"/>
                <w:szCs w:val="21"/>
              </w:rPr>
            </w:pPr>
            <w:r>
              <w:rPr>
                <w:rFonts w:hint="eastAsia"/>
                <w:bCs/>
                <w:color w:val="auto"/>
                <w:sz w:val="21"/>
                <w:szCs w:val="21"/>
              </w:rPr>
              <w:t>13.0</w:t>
            </w:r>
          </w:p>
        </w:tc>
        <w:tc>
          <w:tcPr>
            <w:tcW w:w="376" w:type="pct"/>
            <w:vAlign w:val="center"/>
          </w:tcPr>
          <w:p w14:paraId="454D97C6">
            <w:pPr>
              <w:spacing w:line="240" w:lineRule="auto"/>
              <w:ind w:firstLine="0" w:firstLineChars="0"/>
              <w:jc w:val="center"/>
              <w:rPr>
                <w:bCs/>
                <w:color w:val="auto"/>
                <w:sz w:val="21"/>
                <w:szCs w:val="21"/>
              </w:rPr>
            </w:pPr>
            <w:r>
              <w:rPr>
                <w:rFonts w:hint="eastAsia"/>
                <w:bCs/>
                <w:color w:val="auto"/>
                <w:sz w:val="21"/>
                <w:szCs w:val="21"/>
              </w:rPr>
              <w:t>13.8</w:t>
            </w:r>
          </w:p>
        </w:tc>
        <w:tc>
          <w:tcPr>
            <w:tcW w:w="381" w:type="pct"/>
            <w:vAlign w:val="center"/>
          </w:tcPr>
          <w:p w14:paraId="18951D72">
            <w:pPr>
              <w:spacing w:line="240" w:lineRule="auto"/>
              <w:ind w:firstLine="0" w:firstLineChars="0"/>
              <w:jc w:val="center"/>
              <w:rPr>
                <w:bCs/>
                <w:color w:val="auto"/>
                <w:sz w:val="21"/>
                <w:szCs w:val="21"/>
              </w:rPr>
            </w:pPr>
            <w:r>
              <w:rPr>
                <w:rFonts w:hint="eastAsia"/>
                <w:bCs/>
                <w:color w:val="auto"/>
                <w:sz w:val="21"/>
                <w:szCs w:val="21"/>
              </w:rPr>
              <w:t>13.7</w:t>
            </w:r>
          </w:p>
        </w:tc>
        <w:tc>
          <w:tcPr>
            <w:tcW w:w="378" w:type="pct"/>
            <w:vAlign w:val="center"/>
          </w:tcPr>
          <w:p w14:paraId="076FF268">
            <w:pPr>
              <w:spacing w:line="240" w:lineRule="auto"/>
              <w:ind w:firstLine="0" w:firstLineChars="0"/>
              <w:jc w:val="center"/>
              <w:rPr>
                <w:bCs/>
                <w:color w:val="auto"/>
                <w:sz w:val="21"/>
                <w:szCs w:val="21"/>
              </w:rPr>
            </w:pPr>
            <w:r>
              <w:rPr>
                <w:rFonts w:hint="eastAsia"/>
                <w:bCs/>
                <w:color w:val="auto"/>
                <w:sz w:val="21"/>
                <w:szCs w:val="21"/>
              </w:rPr>
              <w:t>14.4</w:t>
            </w:r>
          </w:p>
        </w:tc>
        <w:tc>
          <w:tcPr>
            <w:tcW w:w="377" w:type="pct"/>
            <w:vAlign w:val="center"/>
          </w:tcPr>
          <w:p w14:paraId="100A8F97">
            <w:pPr>
              <w:spacing w:line="240" w:lineRule="auto"/>
              <w:ind w:firstLine="0" w:firstLineChars="0"/>
              <w:jc w:val="center"/>
              <w:rPr>
                <w:bCs/>
                <w:color w:val="auto"/>
                <w:sz w:val="21"/>
                <w:szCs w:val="21"/>
              </w:rPr>
            </w:pPr>
            <w:r>
              <w:rPr>
                <w:rFonts w:hint="eastAsia"/>
                <w:bCs/>
                <w:color w:val="auto"/>
                <w:sz w:val="21"/>
                <w:szCs w:val="21"/>
              </w:rPr>
              <w:t>14.4</w:t>
            </w:r>
          </w:p>
        </w:tc>
        <w:tc>
          <w:tcPr>
            <w:tcW w:w="376" w:type="pct"/>
            <w:vAlign w:val="center"/>
          </w:tcPr>
          <w:p w14:paraId="7FA6F325">
            <w:pPr>
              <w:spacing w:line="240" w:lineRule="auto"/>
              <w:ind w:firstLine="0" w:firstLineChars="0"/>
              <w:jc w:val="center"/>
              <w:rPr>
                <w:bCs/>
                <w:color w:val="auto"/>
                <w:sz w:val="21"/>
                <w:szCs w:val="21"/>
              </w:rPr>
            </w:pPr>
            <w:r>
              <w:rPr>
                <w:rFonts w:hint="eastAsia"/>
                <w:bCs/>
                <w:color w:val="auto"/>
                <w:sz w:val="21"/>
                <w:szCs w:val="21"/>
              </w:rPr>
              <w:t>13.7</w:t>
            </w:r>
          </w:p>
        </w:tc>
        <w:tc>
          <w:tcPr>
            <w:tcW w:w="374" w:type="pct"/>
            <w:vAlign w:val="center"/>
          </w:tcPr>
          <w:p w14:paraId="30868F04">
            <w:pPr>
              <w:spacing w:line="240" w:lineRule="auto"/>
              <w:ind w:firstLine="0" w:firstLineChars="0"/>
              <w:jc w:val="center"/>
              <w:rPr>
                <w:bCs/>
                <w:color w:val="auto"/>
                <w:sz w:val="21"/>
                <w:szCs w:val="21"/>
              </w:rPr>
            </w:pPr>
            <w:r>
              <w:rPr>
                <w:rFonts w:hint="eastAsia"/>
                <w:bCs/>
                <w:color w:val="auto"/>
                <w:sz w:val="21"/>
                <w:szCs w:val="21"/>
              </w:rPr>
              <w:t>14.1</w:t>
            </w:r>
          </w:p>
        </w:tc>
        <w:tc>
          <w:tcPr>
            <w:tcW w:w="374" w:type="pct"/>
            <w:vAlign w:val="center"/>
          </w:tcPr>
          <w:p w14:paraId="4F403F16">
            <w:pPr>
              <w:spacing w:line="240" w:lineRule="auto"/>
              <w:ind w:firstLine="0" w:firstLineChars="0"/>
              <w:jc w:val="center"/>
              <w:rPr>
                <w:bCs/>
                <w:color w:val="auto"/>
                <w:sz w:val="21"/>
                <w:szCs w:val="21"/>
              </w:rPr>
            </w:pPr>
            <w:r>
              <w:rPr>
                <w:rFonts w:hint="eastAsia"/>
                <w:bCs/>
                <w:color w:val="auto"/>
                <w:sz w:val="21"/>
                <w:szCs w:val="21"/>
              </w:rPr>
              <w:t>14.4</w:t>
            </w:r>
          </w:p>
        </w:tc>
        <w:tc>
          <w:tcPr>
            <w:tcW w:w="373" w:type="pct"/>
            <w:vAlign w:val="center"/>
          </w:tcPr>
          <w:p w14:paraId="2C23DDFD">
            <w:pPr>
              <w:spacing w:line="240" w:lineRule="auto"/>
              <w:ind w:firstLine="0" w:firstLineChars="0"/>
              <w:jc w:val="center"/>
              <w:rPr>
                <w:bCs/>
                <w:color w:val="auto"/>
                <w:sz w:val="21"/>
                <w:szCs w:val="21"/>
              </w:rPr>
            </w:pPr>
            <w:r>
              <w:rPr>
                <w:rFonts w:hint="eastAsia"/>
                <w:bCs/>
                <w:color w:val="auto"/>
                <w:sz w:val="21"/>
                <w:szCs w:val="21"/>
              </w:rPr>
              <w:t>7.67</w:t>
            </w:r>
          </w:p>
        </w:tc>
        <w:tc>
          <w:tcPr>
            <w:tcW w:w="373" w:type="pct"/>
            <w:vAlign w:val="center"/>
          </w:tcPr>
          <w:p w14:paraId="7B282DBA">
            <w:pPr>
              <w:spacing w:line="240" w:lineRule="auto"/>
              <w:ind w:firstLine="0" w:firstLineChars="0"/>
              <w:jc w:val="center"/>
              <w:rPr>
                <w:bCs/>
                <w:color w:val="auto"/>
                <w:sz w:val="21"/>
                <w:szCs w:val="21"/>
              </w:rPr>
            </w:pPr>
            <w:r>
              <w:rPr>
                <w:rFonts w:hint="eastAsia"/>
                <w:bCs/>
                <w:color w:val="auto"/>
                <w:sz w:val="21"/>
                <w:szCs w:val="21"/>
              </w:rPr>
              <w:t>13.4</w:t>
            </w:r>
          </w:p>
        </w:tc>
        <w:tc>
          <w:tcPr>
            <w:tcW w:w="372" w:type="pct"/>
            <w:vAlign w:val="center"/>
          </w:tcPr>
          <w:p w14:paraId="4AC62C8D">
            <w:pPr>
              <w:spacing w:line="240" w:lineRule="auto"/>
              <w:ind w:firstLine="0" w:firstLineChars="0"/>
              <w:jc w:val="center"/>
              <w:rPr>
                <w:bCs/>
                <w:color w:val="auto"/>
                <w:sz w:val="21"/>
                <w:szCs w:val="21"/>
              </w:rPr>
            </w:pPr>
            <w:r>
              <w:rPr>
                <w:rFonts w:hint="eastAsia"/>
                <w:bCs/>
                <w:color w:val="auto"/>
                <w:sz w:val="21"/>
                <w:szCs w:val="21"/>
              </w:rPr>
              <w:t>14.0</w:t>
            </w:r>
          </w:p>
        </w:tc>
      </w:tr>
      <w:tr w14:paraId="7CBEF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41CEEC87">
            <w:pPr>
              <w:spacing w:line="240" w:lineRule="auto"/>
              <w:ind w:firstLine="0" w:firstLineChars="0"/>
              <w:jc w:val="center"/>
              <w:rPr>
                <w:bCs/>
                <w:color w:val="auto"/>
                <w:sz w:val="21"/>
                <w:szCs w:val="21"/>
              </w:rPr>
            </w:pPr>
            <w:r>
              <w:rPr>
                <w:rFonts w:hint="eastAsia"/>
                <w:bCs/>
                <w:color w:val="auto"/>
                <w:sz w:val="21"/>
                <w:szCs w:val="21"/>
              </w:rPr>
              <w:t>汞</w:t>
            </w:r>
          </w:p>
        </w:tc>
        <w:tc>
          <w:tcPr>
            <w:tcW w:w="375" w:type="pct"/>
            <w:vAlign w:val="center"/>
          </w:tcPr>
          <w:p w14:paraId="1C728A18">
            <w:pPr>
              <w:spacing w:line="240" w:lineRule="auto"/>
              <w:ind w:firstLine="0" w:firstLineChars="0"/>
              <w:jc w:val="center"/>
              <w:rPr>
                <w:bCs/>
                <w:color w:val="auto"/>
                <w:sz w:val="21"/>
                <w:szCs w:val="21"/>
              </w:rPr>
            </w:pPr>
            <w:r>
              <w:rPr>
                <w:rFonts w:hint="eastAsia"/>
                <w:bCs/>
                <w:color w:val="auto"/>
                <w:sz w:val="21"/>
                <w:szCs w:val="21"/>
              </w:rPr>
              <w:t>0.117</w:t>
            </w:r>
          </w:p>
        </w:tc>
        <w:tc>
          <w:tcPr>
            <w:tcW w:w="375" w:type="pct"/>
            <w:vAlign w:val="center"/>
          </w:tcPr>
          <w:p w14:paraId="59297686">
            <w:pPr>
              <w:spacing w:line="240" w:lineRule="auto"/>
              <w:ind w:firstLine="0" w:firstLineChars="0"/>
              <w:jc w:val="center"/>
              <w:rPr>
                <w:bCs/>
                <w:color w:val="auto"/>
                <w:sz w:val="21"/>
                <w:szCs w:val="21"/>
              </w:rPr>
            </w:pPr>
            <w:r>
              <w:rPr>
                <w:rFonts w:hint="eastAsia"/>
                <w:bCs/>
                <w:color w:val="auto"/>
                <w:sz w:val="21"/>
                <w:szCs w:val="21"/>
              </w:rPr>
              <w:t>0.119</w:t>
            </w:r>
          </w:p>
        </w:tc>
        <w:tc>
          <w:tcPr>
            <w:tcW w:w="376" w:type="pct"/>
            <w:vAlign w:val="center"/>
          </w:tcPr>
          <w:p w14:paraId="08CE3BE3">
            <w:pPr>
              <w:spacing w:line="240" w:lineRule="auto"/>
              <w:ind w:firstLine="0" w:firstLineChars="0"/>
              <w:jc w:val="center"/>
              <w:rPr>
                <w:bCs/>
                <w:color w:val="auto"/>
                <w:sz w:val="21"/>
                <w:szCs w:val="21"/>
              </w:rPr>
            </w:pPr>
            <w:r>
              <w:rPr>
                <w:rFonts w:hint="eastAsia"/>
                <w:bCs/>
                <w:color w:val="auto"/>
                <w:sz w:val="21"/>
                <w:szCs w:val="21"/>
              </w:rPr>
              <w:t>0.103</w:t>
            </w:r>
          </w:p>
        </w:tc>
        <w:tc>
          <w:tcPr>
            <w:tcW w:w="381" w:type="pct"/>
            <w:vAlign w:val="center"/>
          </w:tcPr>
          <w:p w14:paraId="1439140F">
            <w:pPr>
              <w:spacing w:line="240" w:lineRule="auto"/>
              <w:ind w:firstLine="0" w:firstLineChars="0"/>
              <w:jc w:val="center"/>
              <w:rPr>
                <w:bCs/>
                <w:color w:val="auto"/>
                <w:sz w:val="21"/>
                <w:szCs w:val="21"/>
              </w:rPr>
            </w:pPr>
            <w:r>
              <w:rPr>
                <w:rFonts w:hint="eastAsia"/>
                <w:bCs/>
                <w:color w:val="auto"/>
                <w:sz w:val="21"/>
                <w:szCs w:val="21"/>
              </w:rPr>
              <w:t>0.110</w:t>
            </w:r>
          </w:p>
        </w:tc>
        <w:tc>
          <w:tcPr>
            <w:tcW w:w="378" w:type="pct"/>
            <w:vAlign w:val="center"/>
          </w:tcPr>
          <w:p w14:paraId="0F2898D8">
            <w:pPr>
              <w:spacing w:line="240" w:lineRule="auto"/>
              <w:ind w:firstLine="0" w:firstLineChars="0"/>
              <w:jc w:val="center"/>
              <w:rPr>
                <w:bCs/>
                <w:color w:val="auto"/>
                <w:sz w:val="21"/>
                <w:szCs w:val="21"/>
              </w:rPr>
            </w:pPr>
            <w:r>
              <w:rPr>
                <w:rFonts w:hint="eastAsia"/>
                <w:bCs/>
                <w:color w:val="auto"/>
                <w:sz w:val="21"/>
                <w:szCs w:val="21"/>
              </w:rPr>
              <w:t>0.098</w:t>
            </w:r>
          </w:p>
        </w:tc>
        <w:tc>
          <w:tcPr>
            <w:tcW w:w="377" w:type="pct"/>
            <w:vAlign w:val="center"/>
          </w:tcPr>
          <w:p w14:paraId="73FA88D9">
            <w:pPr>
              <w:spacing w:line="240" w:lineRule="auto"/>
              <w:ind w:firstLine="0" w:firstLineChars="0"/>
              <w:jc w:val="center"/>
              <w:rPr>
                <w:bCs/>
                <w:color w:val="auto"/>
                <w:sz w:val="21"/>
                <w:szCs w:val="21"/>
              </w:rPr>
            </w:pPr>
            <w:r>
              <w:rPr>
                <w:rFonts w:hint="eastAsia"/>
                <w:bCs/>
                <w:color w:val="auto"/>
                <w:sz w:val="21"/>
                <w:szCs w:val="21"/>
              </w:rPr>
              <w:t>0.099</w:t>
            </w:r>
          </w:p>
        </w:tc>
        <w:tc>
          <w:tcPr>
            <w:tcW w:w="376" w:type="pct"/>
            <w:vAlign w:val="center"/>
          </w:tcPr>
          <w:p w14:paraId="7A2FAA97">
            <w:pPr>
              <w:spacing w:line="240" w:lineRule="auto"/>
              <w:ind w:firstLine="0" w:firstLineChars="0"/>
              <w:jc w:val="center"/>
              <w:rPr>
                <w:bCs/>
                <w:color w:val="auto"/>
                <w:sz w:val="21"/>
                <w:szCs w:val="21"/>
              </w:rPr>
            </w:pPr>
            <w:r>
              <w:rPr>
                <w:rFonts w:hint="eastAsia"/>
                <w:bCs/>
                <w:color w:val="auto"/>
                <w:sz w:val="21"/>
                <w:szCs w:val="21"/>
              </w:rPr>
              <w:t>0.095</w:t>
            </w:r>
          </w:p>
        </w:tc>
        <w:tc>
          <w:tcPr>
            <w:tcW w:w="374" w:type="pct"/>
            <w:vAlign w:val="center"/>
          </w:tcPr>
          <w:p w14:paraId="477709DE">
            <w:pPr>
              <w:spacing w:line="240" w:lineRule="auto"/>
              <w:ind w:firstLine="0" w:firstLineChars="0"/>
              <w:jc w:val="center"/>
              <w:rPr>
                <w:bCs/>
                <w:color w:val="auto"/>
                <w:sz w:val="21"/>
                <w:szCs w:val="21"/>
              </w:rPr>
            </w:pPr>
            <w:r>
              <w:rPr>
                <w:rFonts w:hint="eastAsia"/>
                <w:bCs/>
                <w:color w:val="auto"/>
                <w:sz w:val="21"/>
                <w:szCs w:val="21"/>
              </w:rPr>
              <w:t>0.089</w:t>
            </w:r>
          </w:p>
        </w:tc>
        <w:tc>
          <w:tcPr>
            <w:tcW w:w="374" w:type="pct"/>
            <w:vAlign w:val="center"/>
          </w:tcPr>
          <w:p w14:paraId="27A739D5">
            <w:pPr>
              <w:spacing w:line="240" w:lineRule="auto"/>
              <w:ind w:firstLine="0" w:firstLineChars="0"/>
              <w:jc w:val="center"/>
              <w:rPr>
                <w:bCs/>
                <w:color w:val="auto"/>
                <w:sz w:val="21"/>
                <w:szCs w:val="21"/>
              </w:rPr>
            </w:pPr>
            <w:r>
              <w:rPr>
                <w:rFonts w:hint="eastAsia"/>
                <w:bCs/>
                <w:color w:val="auto"/>
                <w:sz w:val="21"/>
                <w:szCs w:val="21"/>
              </w:rPr>
              <w:t>0.096</w:t>
            </w:r>
          </w:p>
        </w:tc>
        <w:tc>
          <w:tcPr>
            <w:tcW w:w="373" w:type="pct"/>
            <w:vAlign w:val="center"/>
          </w:tcPr>
          <w:p w14:paraId="5EADFE5F">
            <w:pPr>
              <w:spacing w:line="240" w:lineRule="auto"/>
              <w:ind w:firstLine="0" w:firstLineChars="0"/>
              <w:jc w:val="center"/>
              <w:rPr>
                <w:bCs/>
                <w:color w:val="auto"/>
                <w:sz w:val="21"/>
                <w:szCs w:val="21"/>
              </w:rPr>
            </w:pPr>
            <w:r>
              <w:rPr>
                <w:rFonts w:hint="eastAsia"/>
                <w:bCs/>
                <w:color w:val="auto"/>
                <w:sz w:val="21"/>
                <w:szCs w:val="21"/>
              </w:rPr>
              <w:t>0.068</w:t>
            </w:r>
          </w:p>
        </w:tc>
        <w:tc>
          <w:tcPr>
            <w:tcW w:w="373" w:type="pct"/>
            <w:vAlign w:val="center"/>
          </w:tcPr>
          <w:p w14:paraId="6AFF3D81">
            <w:pPr>
              <w:spacing w:line="240" w:lineRule="auto"/>
              <w:ind w:firstLine="0" w:firstLineChars="0"/>
              <w:jc w:val="center"/>
              <w:rPr>
                <w:bCs/>
                <w:color w:val="auto"/>
                <w:sz w:val="21"/>
                <w:szCs w:val="21"/>
              </w:rPr>
            </w:pPr>
            <w:r>
              <w:rPr>
                <w:rFonts w:hint="eastAsia"/>
                <w:bCs/>
                <w:color w:val="auto"/>
                <w:sz w:val="21"/>
                <w:szCs w:val="21"/>
              </w:rPr>
              <w:t>0.081</w:t>
            </w:r>
          </w:p>
        </w:tc>
        <w:tc>
          <w:tcPr>
            <w:tcW w:w="372" w:type="pct"/>
            <w:vAlign w:val="center"/>
          </w:tcPr>
          <w:p w14:paraId="1E1CA053">
            <w:pPr>
              <w:spacing w:line="240" w:lineRule="auto"/>
              <w:ind w:firstLine="0" w:firstLineChars="0"/>
              <w:jc w:val="center"/>
              <w:rPr>
                <w:bCs/>
                <w:color w:val="auto"/>
                <w:sz w:val="21"/>
                <w:szCs w:val="21"/>
              </w:rPr>
            </w:pPr>
            <w:r>
              <w:rPr>
                <w:rFonts w:hint="eastAsia"/>
                <w:bCs/>
                <w:color w:val="auto"/>
                <w:sz w:val="21"/>
                <w:szCs w:val="21"/>
              </w:rPr>
              <w:t>0.092</w:t>
            </w:r>
          </w:p>
        </w:tc>
      </w:tr>
      <w:tr w14:paraId="20D70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28B64824">
            <w:pPr>
              <w:spacing w:line="240" w:lineRule="auto"/>
              <w:ind w:firstLine="0" w:firstLineChars="0"/>
              <w:jc w:val="center"/>
              <w:rPr>
                <w:bCs/>
                <w:color w:val="auto"/>
                <w:sz w:val="21"/>
                <w:szCs w:val="21"/>
              </w:rPr>
            </w:pPr>
            <w:r>
              <w:rPr>
                <w:rFonts w:hint="eastAsia"/>
                <w:bCs/>
                <w:color w:val="auto"/>
                <w:sz w:val="21"/>
                <w:szCs w:val="21"/>
              </w:rPr>
              <w:t>铜</w:t>
            </w:r>
          </w:p>
        </w:tc>
        <w:tc>
          <w:tcPr>
            <w:tcW w:w="375" w:type="pct"/>
            <w:vAlign w:val="center"/>
          </w:tcPr>
          <w:p w14:paraId="0D18FC58">
            <w:pPr>
              <w:spacing w:line="240" w:lineRule="auto"/>
              <w:ind w:firstLine="0" w:firstLineChars="0"/>
              <w:jc w:val="center"/>
              <w:rPr>
                <w:bCs/>
                <w:color w:val="auto"/>
                <w:sz w:val="21"/>
                <w:szCs w:val="21"/>
              </w:rPr>
            </w:pPr>
            <w:r>
              <w:rPr>
                <w:rFonts w:hint="eastAsia"/>
                <w:bCs/>
                <w:color w:val="auto"/>
                <w:sz w:val="21"/>
                <w:szCs w:val="21"/>
              </w:rPr>
              <w:t>22</w:t>
            </w:r>
          </w:p>
        </w:tc>
        <w:tc>
          <w:tcPr>
            <w:tcW w:w="375" w:type="pct"/>
            <w:vAlign w:val="center"/>
          </w:tcPr>
          <w:p w14:paraId="58605982">
            <w:pPr>
              <w:spacing w:line="240" w:lineRule="auto"/>
              <w:ind w:firstLine="0" w:firstLineChars="0"/>
              <w:jc w:val="center"/>
              <w:rPr>
                <w:bCs/>
                <w:color w:val="auto"/>
                <w:sz w:val="21"/>
                <w:szCs w:val="21"/>
              </w:rPr>
            </w:pPr>
            <w:r>
              <w:rPr>
                <w:rFonts w:hint="eastAsia"/>
                <w:bCs/>
                <w:color w:val="auto"/>
                <w:sz w:val="21"/>
                <w:szCs w:val="21"/>
              </w:rPr>
              <w:t>21</w:t>
            </w:r>
          </w:p>
        </w:tc>
        <w:tc>
          <w:tcPr>
            <w:tcW w:w="376" w:type="pct"/>
            <w:vAlign w:val="center"/>
          </w:tcPr>
          <w:p w14:paraId="5EBCD8D7">
            <w:pPr>
              <w:spacing w:line="240" w:lineRule="auto"/>
              <w:ind w:firstLine="0" w:firstLineChars="0"/>
              <w:jc w:val="center"/>
              <w:rPr>
                <w:bCs/>
                <w:color w:val="auto"/>
                <w:sz w:val="21"/>
                <w:szCs w:val="21"/>
              </w:rPr>
            </w:pPr>
            <w:r>
              <w:rPr>
                <w:rFonts w:hint="eastAsia"/>
                <w:bCs/>
                <w:color w:val="auto"/>
                <w:sz w:val="21"/>
                <w:szCs w:val="21"/>
              </w:rPr>
              <w:t>22</w:t>
            </w:r>
          </w:p>
        </w:tc>
        <w:tc>
          <w:tcPr>
            <w:tcW w:w="381" w:type="pct"/>
            <w:vAlign w:val="center"/>
          </w:tcPr>
          <w:p w14:paraId="7D702E9C">
            <w:pPr>
              <w:spacing w:line="240" w:lineRule="auto"/>
              <w:ind w:firstLine="0" w:firstLineChars="0"/>
              <w:jc w:val="center"/>
              <w:rPr>
                <w:bCs/>
                <w:color w:val="auto"/>
                <w:sz w:val="21"/>
                <w:szCs w:val="21"/>
              </w:rPr>
            </w:pPr>
            <w:r>
              <w:rPr>
                <w:rFonts w:hint="eastAsia"/>
                <w:bCs/>
                <w:color w:val="auto"/>
                <w:sz w:val="21"/>
                <w:szCs w:val="21"/>
              </w:rPr>
              <w:t>22</w:t>
            </w:r>
          </w:p>
        </w:tc>
        <w:tc>
          <w:tcPr>
            <w:tcW w:w="378" w:type="pct"/>
            <w:vAlign w:val="center"/>
          </w:tcPr>
          <w:p w14:paraId="40CD8AD8">
            <w:pPr>
              <w:spacing w:line="240" w:lineRule="auto"/>
              <w:ind w:firstLine="0" w:firstLineChars="0"/>
              <w:jc w:val="center"/>
              <w:rPr>
                <w:bCs/>
                <w:color w:val="auto"/>
                <w:sz w:val="21"/>
                <w:szCs w:val="21"/>
              </w:rPr>
            </w:pPr>
            <w:r>
              <w:rPr>
                <w:rFonts w:hint="eastAsia"/>
                <w:bCs/>
                <w:color w:val="auto"/>
                <w:sz w:val="21"/>
                <w:szCs w:val="21"/>
              </w:rPr>
              <w:t>22</w:t>
            </w:r>
          </w:p>
        </w:tc>
        <w:tc>
          <w:tcPr>
            <w:tcW w:w="377" w:type="pct"/>
            <w:vAlign w:val="center"/>
          </w:tcPr>
          <w:p w14:paraId="4274A2AD">
            <w:pPr>
              <w:spacing w:line="240" w:lineRule="auto"/>
              <w:ind w:firstLine="0" w:firstLineChars="0"/>
              <w:jc w:val="center"/>
              <w:rPr>
                <w:bCs/>
                <w:color w:val="auto"/>
                <w:sz w:val="21"/>
                <w:szCs w:val="21"/>
              </w:rPr>
            </w:pPr>
            <w:r>
              <w:rPr>
                <w:rFonts w:hint="eastAsia"/>
                <w:bCs/>
                <w:color w:val="auto"/>
                <w:sz w:val="21"/>
                <w:szCs w:val="21"/>
              </w:rPr>
              <w:t>22</w:t>
            </w:r>
          </w:p>
        </w:tc>
        <w:tc>
          <w:tcPr>
            <w:tcW w:w="376" w:type="pct"/>
            <w:vAlign w:val="center"/>
          </w:tcPr>
          <w:p w14:paraId="657EE625">
            <w:pPr>
              <w:spacing w:line="240" w:lineRule="auto"/>
              <w:ind w:firstLine="0" w:firstLineChars="0"/>
              <w:jc w:val="center"/>
              <w:rPr>
                <w:bCs/>
                <w:color w:val="auto"/>
                <w:sz w:val="21"/>
                <w:szCs w:val="21"/>
              </w:rPr>
            </w:pPr>
            <w:r>
              <w:rPr>
                <w:rFonts w:hint="eastAsia"/>
                <w:bCs/>
                <w:color w:val="auto"/>
                <w:sz w:val="21"/>
                <w:szCs w:val="21"/>
              </w:rPr>
              <w:t>22</w:t>
            </w:r>
          </w:p>
        </w:tc>
        <w:tc>
          <w:tcPr>
            <w:tcW w:w="374" w:type="pct"/>
            <w:vAlign w:val="center"/>
          </w:tcPr>
          <w:p w14:paraId="1F3B2C2D">
            <w:pPr>
              <w:spacing w:line="240" w:lineRule="auto"/>
              <w:ind w:firstLine="0" w:firstLineChars="0"/>
              <w:jc w:val="center"/>
              <w:rPr>
                <w:bCs/>
                <w:color w:val="auto"/>
                <w:sz w:val="21"/>
                <w:szCs w:val="21"/>
              </w:rPr>
            </w:pPr>
            <w:r>
              <w:rPr>
                <w:rFonts w:hint="eastAsia"/>
                <w:bCs/>
                <w:color w:val="auto"/>
                <w:sz w:val="21"/>
                <w:szCs w:val="21"/>
              </w:rPr>
              <w:t>22</w:t>
            </w:r>
          </w:p>
        </w:tc>
        <w:tc>
          <w:tcPr>
            <w:tcW w:w="374" w:type="pct"/>
            <w:vAlign w:val="center"/>
          </w:tcPr>
          <w:p w14:paraId="746D0EF9">
            <w:pPr>
              <w:spacing w:line="240" w:lineRule="auto"/>
              <w:ind w:firstLine="0" w:firstLineChars="0"/>
              <w:jc w:val="center"/>
              <w:rPr>
                <w:bCs/>
                <w:color w:val="auto"/>
                <w:sz w:val="21"/>
                <w:szCs w:val="21"/>
              </w:rPr>
            </w:pPr>
            <w:r>
              <w:rPr>
                <w:rFonts w:hint="eastAsia"/>
                <w:bCs/>
                <w:color w:val="auto"/>
                <w:sz w:val="21"/>
                <w:szCs w:val="21"/>
              </w:rPr>
              <w:t>22</w:t>
            </w:r>
          </w:p>
        </w:tc>
        <w:tc>
          <w:tcPr>
            <w:tcW w:w="373" w:type="pct"/>
            <w:vAlign w:val="center"/>
          </w:tcPr>
          <w:p w14:paraId="20E28A4D">
            <w:pPr>
              <w:spacing w:line="240" w:lineRule="auto"/>
              <w:ind w:firstLine="0" w:firstLineChars="0"/>
              <w:jc w:val="center"/>
              <w:rPr>
                <w:bCs/>
                <w:color w:val="auto"/>
                <w:sz w:val="21"/>
                <w:szCs w:val="21"/>
              </w:rPr>
            </w:pPr>
            <w:r>
              <w:rPr>
                <w:rFonts w:hint="eastAsia"/>
                <w:bCs/>
                <w:color w:val="auto"/>
                <w:sz w:val="21"/>
                <w:szCs w:val="21"/>
              </w:rPr>
              <w:t>33</w:t>
            </w:r>
          </w:p>
        </w:tc>
        <w:tc>
          <w:tcPr>
            <w:tcW w:w="373" w:type="pct"/>
            <w:vAlign w:val="center"/>
          </w:tcPr>
          <w:p w14:paraId="24DD5DD0">
            <w:pPr>
              <w:spacing w:line="240" w:lineRule="auto"/>
              <w:ind w:firstLine="0" w:firstLineChars="0"/>
              <w:jc w:val="center"/>
              <w:rPr>
                <w:bCs/>
                <w:color w:val="auto"/>
                <w:sz w:val="21"/>
                <w:szCs w:val="21"/>
              </w:rPr>
            </w:pPr>
            <w:r>
              <w:rPr>
                <w:rFonts w:hint="eastAsia"/>
                <w:bCs/>
                <w:color w:val="auto"/>
                <w:sz w:val="21"/>
                <w:szCs w:val="21"/>
              </w:rPr>
              <w:t>23</w:t>
            </w:r>
          </w:p>
        </w:tc>
        <w:tc>
          <w:tcPr>
            <w:tcW w:w="372" w:type="pct"/>
            <w:vAlign w:val="center"/>
          </w:tcPr>
          <w:p w14:paraId="1383C370">
            <w:pPr>
              <w:spacing w:line="240" w:lineRule="auto"/>
              <w:ind w:firstLine="0" w:firstLineChars="0"/>
              <w:jc w:val="center"/>
              <w:rPr>
                <w:bCs/>
                <w:color w:val="auto"/>
                <w:sz w:val="21"/>
                <w:szCs w:val="21"/>
              </w:rPr>
            </w:pPr>
            <w:r>
              <w:rPr>
                <w:rFonts w:hint="eastAsia"/>
                <w:bCs/>
                <w:color w:val="auto"/>
                <w:sz w:val="21"/>
                <w:szCs w:val="21"/>
              </w:rPr>
              <w:t>23</w:t>
            </w:r>
          </w:p>
        </w:tc>
      </w:tr>
      <w:tr w14:paraId="2F70A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0BFE3C59">
            <w:pPr>
              <w:spacing w:line="240" w:lineRule="auto"/>
              <w:ind w:firstLine="0" w:firstLineChars="0"/>
              <w:jc w:val="center"/>
              <w:rPr>
                <w:bCs/>
                <w:color w:val="auto"/>
                <w:sz w:val="21"/>
                <w:szCs w:val="21"/>
              </w:rPr>
            </w:pPr>
            <w:r>
              <w:rPr>
                <w:rFonts w:hint="eastAsia"/>
                <w:bCs/>
                <w:color w:val="auto"/>
                <w:sz w:val="21"/>
                <w:szCs w:val="21"/>
              </w:rPr>
              <w:t>铅</w:t>
            </w:r>
          </w:p>
        </w:tc>
        <w:tc>
          <w:tcPr>
            <w:tcW w:w="375" w:type="pct"/>
            <w:vAlign w:val="center"/>
          </w:tcPr>
          <w:p w14:paraId="7A8565B6">
            <w:pPr>
              <w:spacing w:line="240" w:lineRule="auto"/>
              <w:ind w:firstLine="0" w:firstLineChars="0"/>
              <w:jc w:val="center"/>
              <w:rPr>
                <w:bCs/>
                <w:color w:val="auto"/>
                <w:sz w:val="21"/>
                <w:szCs w:val="21"/>
              </w:rPr>
            </w:pPr>
            <w:r>
              <w:rPr>
                <w:rFonts w:hint="eastAsia"/>
                <w:bCs/>
                <w:color w:val="auto"/>
                <w:sz w:val="21"/>
                <w:szCs w:val="21"/>
              </w:rPr>
              <w:t>26</w:t>
            </w:r>
          </w:p>
        </w:tc>
        <w:tc>
          <w:tcPr>
            <w:tcW w:w="375" w:type="pct"/>
            <w:vAlign w:val="center"/>
          </w:tcPr>
          <w:p w14:paraId="0F5FAC48">
            <w:pPr>
              <w:spacing w:line="240" w:lineRule="auto"/>
              <w:ind w:firstLine="0" w:firstLineChars="0"/>
              <w:jc w:val="center"/>
              <w:rPr>
                <w:bCs/>
                <w:color w:val="auto"/>
                <w:sz w:val="21"/>
                <w:szCs w:val="21"/>
              </w:rPr>
            </w:pPr>
            <w:r>
              <w:rPr>
                <w:rFonts w:hint="eastAsia"/>
                <w:bCs/>
                <w:color w:val="auto"/>
                <w:sz w:val="21"/>
                <w:szCs w:val="21"/>
              </w:rPr>
              <w:t>33</w:t>
            </w:r>
          </w:p>
        </w:tc>
        <w:tc>
          <w:tcPr>
            <w:tcW w:w="376" w:type="pct"/>
            <w:vAlign w:val="center"/>
          </w:tcPr>
          <w:p w14:paraId="7B5C4A31">
            <w:pPr>
              <w:spacing w:line="240" w:lineRule="auto"/>
              <w:ind w:firstLine="0" w:firstLineChars="0"/>
              <w:jc w:val="center"/>
              <w:rPr>
                <w:bCs/>
                <w:color w:val="auto"/>
                <w:sz w:val="21"/>
                <w:szCs w:val="21"/>
              </w:rPr>
            </w:pPr>
            <w:r>
              <w:rPr>
                <w:rFonts w:hint="eastAsia"/>
                <w:bCs/>
                <w:color w:val="auto"/>
                <w:sz w:val="21"/>
                <w:szCs w:val="21"/>
              </w:rPr>
              <w:t>18</w:t>
            </w:r>
          </w:p>
        </w:tc>
        <w:tc>
          <w:tcPr>
            <w:tcW w:w="381" w:type="pct"/>
            <w:vAlign w:val="center"/>
          </w:tcPr>
          <w:p w14:paraId="72D5ACED">
            <w:pPr>
              <w:spacing w:line="240" w:lineRule="auto"/>
              <w:ind w:firstLine="0" w:firstLineChars="0"/>
              <w:jc w:val="center"/>
              <w:rPr>
                <w:bCs/>
                <w:color w:val="auto"/>
                <w:sz w:val="21"/>
                <w:szCs w:val="21"/>
              </w:rPr>
            </w:pPr>
            <w:r>
              <w:rPr>
                <w:rFonts w:hint="eastAsia"/>
                <w:bCs/>
                <w:color w:val="auto"/>
                <w:sz w:val="21"/>
                <w:szCs w:val="21"/>
              </w:rPr>
              <w:t>18</w:t>
            </w:r>
          </w:p>
        </w:tc>
        <w:tc>
          <w:tcPr>
            <w:tcW w:w="378" w:type="pct"/>
            <w:vAlign w:val="center"/>
          </w:tcPr>
          <w:p w14:paraId="1984E0A9">
            <w:pPr>
              <w:spacing w:line="240" w:lineRule="auto"/>
              <w:ind w:firstLine="0" w:firstLineChars="0"/>
              <w:jc w:val="center"/>
              <w:rPr>
                <w:bCs/>
                <w:color w:val="auto"/>
                <w:sz w:val="21"/>
                <w:szCs w:val="21"/>
              </w:rPr>
            </w:pPr>
            <w:r>
              <w:rPr>
                <w:rFonts w:hint="eastAsia"/>
                <w:bCs/>
                <w:color w:val="auto"/>
                <w:sz w:val="21"/>
                <w:szCs w:val="21"/>
              </w:rPr>
              <w:t>18</w:t>
            </w:r>
          </w:p>
        </w:tc>
        <w:tc>
          <w:tcPr>
            <w:tcW w:w="377" w:type="pct"/>
            <w:vAlign w:val="center"/>
          </w:tcPr>
          <w:p w14:paraId="130BE898">
            <w:pPr>
              <w:spacing w:line="240" w:lineRule="auto"/>
              <w:ind w:firstLine="0" w:firstLineChars="0"/>
              <w:jc w:val="center"/>
              <w:rPr>
                <w:bCs/>
                <w:color w:val="auto"/>
                <w:sz w:val="21"/>
                <w:szCs w:val="21"/>
              </w:rPr>
            </w:pPr>
            <w:r>
              <w:rPr>
                <w:rFonts w:hint="eastAsia"/>
                <w:bCs/>
                <w:color w:val="auto"/>
                <w:sz w:val="21"/>
                <w:szCs w:val="21"/>
              </w:rPr>
              <w:t>33</w:t>
            </w:r>
          </w:p>
        </w:tc>
        <w:tc>
          <w:tcPr>
            <w:tcW w:w="376" w:type="pct"/>
            <w:vAlign w:val="center"/>
          </w:tcPr>
          <w:p w14:paraId="5AC6EB10">
            <w:pPr>
              <w:spacing w:line="240" w:lineRule="auto"/>
              <w:ind w:firstLine="0" w:firstLineChars="0"/>
              <w:jc w:val="center"/>
              <w:rPr>
                <w:bCs/>
                <w:color w:val="auto"/>
                <w:sz w:val="21"/>
                <w:szCs w:val="21"/>
              </w:rPr>
            </w:pPr>
            <w:r>
              <w:rPr>
                <w:rFonts w:hint="eastAsia"/>
                <w:bCs/>
                <w:color w:val="auto"/>
                <w:sz w:val="21"/>
                <w:szCs w:val="21"/>
              </w:rPr>
              <w:t>33</w:t>
            </w:r>
          </w:p>
        </w:tc>
        <w:tc>
          <w:tcPr>
            <w:tcW w:w="374" w:type="pct"/>
            <w:vAlign w:val="center"/>
          </w:tcPr>
          <w:p w14:paraId="659BF481">
            <w:pPr>
              <w:spacing w:line="240" w:lineRule="auto"/>
              <w:ind w:firstLine="0" w:firstLineChars="0"/>
              <w:jc w:val="center"/>
              <w:rPr>
                <w:bCs/>
                <w:color w:val="auto"/>
                <w:sz w:val="21"/>
                <w:szCs w:val="21"/>
              </w:rPr>
            </w:pPr>
            <w:r>
              <w:rPr>
                <w:rFonts w:hint="eastAsia"/>
                <w:bCs/>
                <w:color w:val="auto"/>
                <w:sz w:val="21"/>
                <w:szCs w:val="21"/>
              </w:rPr>
              <w:t>33</w:t>
            </w:r>
          </w:p>
        </w:tc>
        <w:tc>
          <w:tcPr>
            <w:tcW w:w="374" w:type="pct"/>
            <w:vAlign w:val="center"/>
          </w:tcPr>
          <w:p w14:paraId="4E494099">
            <w:pPr>
              <w:spacing w:line="240" w:lineRule="auto"/>
              <w:ind w:firstLine="0" w:firstLineChars="0"/>
              <w:jc w:val="center"/>
              <w:rPr>
                <w:bCs/>
                <w:color w:val="auto"/>
                <w:sz w:val="21"/>
                <w:szCs w:val="21"/>
              </w:rPr>
            </w:pPr>
            <w:r>
              <w:rPr>
                <w:rFonts w:hint="eastAsia"/>
                <w:bCs/>
                <w:color w:val="auto"/>
                <w:sz w:val="21"/>
                <w:szCs w:val="21"/>
              </w:rPr>
              <w:t>40</w:t>
            </w:r>
          </w:p>
        </w:tc>
        <w:tc>
          <w:tcPr>
            <w:tcW w:w="373" w:type="pct"/>
            <w:vAlign w:val="center"/>
          </w:tcPr>
          <w:p w14:paraId="56689C58">
            <w:pPr>
              <w:spacing w:line="240" w:lineRule="auto"/>
              <w:ind w:firstLine="0" w:firstLineChars="0"/>
              <w:jc w:val="center"/>
              <w:rPr>
                <w:bCs/>
                <w:color w:val="auto"/>
                <w:sz w:val="21"/>
                <w:szCs w:val="21"/>
              </w:rPr>
            </w:pPr>
            <w:r>
              <w:rPr>
                <w:rFonts w:hint="eastAsia"/>
                <w:bCs/>
                <w:color w:val="auto"/>
                <w:sz w:val="21"/>
                <w:szCs w:val="21"/>
              </w:rPr>
              <w:t>22.7</w:t>
            </w:r>
          </w:p>
        </w:tc>
        <w:tc>
          <w:tcPr>
            <w:tcW w:w="373" w:type="pct"/>
            <w:vAlign w:val="center"/>
          </w:tcPr>
          <w:p w14:paraId="11C2225C">
            <w:pPr>
              <w:spacing w:line="240" w:lineRule="auto"/>
              <w:ind w:firstLine="0" w:firstLineChars="0"/>
              <w:jc w:val="center"/>
              <w:rPr>
                <w:bCs/>
                <w:color w:val="auto"/>
                <w:sz w:val="21"/>
                <w:szCs w:val="21"/>
              </w:rPr>
            </w:pPr>
            <w:r>
              <w:rPr>
                <w:rFonts w:hint="eastAsia"/>
                <w:bCs/>
                <w:color w:val="auto"/>
                <w:sz w:val="21"/>
                <w:szCs w:val="21"/>
              </w:rPr>
              <w:t>25</w:t>
            </w:r>
          </w:p>
        </w:tc>
        <w:tc>
          <w:tcPr>
            <w:tcW w:w="372" w:type="pct"/>
            <w:vAlign w:val="center"/>
          </w:tcPr>
          <w:p w14:paraId="43A25A10">
            <w:pPr>
              <w:spacing w:line="240" w:lineRule="auto"/>
              <w:ind w:firstLine="0" w:firstLineChars="0"/>
              <w:jc w:val="center"/>
              <w:rPr>
                <w:bCs/>
                <w:color w:val="auto"/>
                <w:sz w:val="21"/>
                <w:szCs w:val="21"/>
              </w:rPr>
            </w:pPr>
            <w:r>
              <w:rPr>
                <w:rFonts w:hint="eastAsia"/>
                <w:bCs/>
                <w:color w:val="auto"/>
                <w:sz w:val="21"/>
                <w:szCs w:val="21"/>
              </w:rPr>
              <w:t>33</w:t>
            </w:r>
          </w:p>
        </w:tc>
      </w:tr>
      <w:tr w14:paraId="026A2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167155B4">
            <w:pPr>
              <w:spacing w:line="240" w:lineRule="auto"/>
              <w:ind w:firstLine="0" w:firstLineChars="0"/>
              <w:jc w:val="center"/>
              <w:rPr>
                <w:bCs/>
                <w:color w:val="auto"/>
                <w:sz w:val="21"/>
                <w:szCs w:val="21"/>
              </w:rPr>
            </w:pPr>
            <w:r>
              <w:rPr>
                <w:rFonts w:hint="eastAsia"/>
                <w:bCs/>
                <w:color w:val="auto"/>
                <w:sz w:val="21"/>
                <w:szCs w:val="21"/>
              </w:rPr>
              <w:t>镍</w:t>
            </w:r>
          </w:p>
        </w:tc>
        <w:tc>
          <w:tcPr>
            <w:tcW w:w="375" w:type="pct"/>
            <w:vAlign w:val="center"/>
          </w:tcPr>
          <w:p w14:paraId="6515EA51">
            <w:pPr>
              <w:spacing w:line="240" w:lineRule="auto"/>
              <w:ind w:firstLine="0" w:firstLineChars="0"/>
              <w:jc w:val="center"/>
              <w:rPr>
                <w:bCs/>
                <w:color w:val="auto"/>
                <w:sz w:val="21"/>
                <w:szCs w:val="21"/>
              </w:rPr>
            </w:pPr>
            <w:r>
              <w:rPr>
                <w:rFonts w:hint="eastAsia"/>
                <w:bCs/>
                <w:color w:val="auto"/>
                <w:sz w:val="21"/>
                <w:szCs w:val="21"/>
              </w:rPr>
              <w:t>45</w:t>
            </w:r>
          </w:p>
        </w:tc>
        <w:tc>
          <w:tcPr>
            <w:tcW w:w="375" w:type="pct"/>
            <w:vAlign w:val="center"/>
          </w:tcPr>
          <w:p w14:paraId="5ADE3EFC">
            <w:pPr>
              <w:spacing w:line="240" w:lineRule="auto"/>
              <w:ind w:firstLine="0" w:firstLineChars="0"/>
              <w:jc w:val="center"/>
              <w:rPr>
                <w:bCs/>
                <w:color w:val="auto"/>
                <w:sz w:val="21"/>
                <w:szCs w:val="21"/>
              </w:rPr>
            </w:pPr>
            <w:r>
              <w:rPr>
                <w:rFonts w:hint="eastAsia"/>
                <w:bCs/>
                <w:color w:val="auto"/>
                <w:sz w:val="21"/>
                <w:szCs w:val="21"/>
              </w:rPr>
              <w:t>43</w:t>
            </w:r>
          </w:p>
        </w:tc>
        <w:tc>
          <w:tcPr>
            <w:tcW w:w="376" w:type="pct"/>
            <w:vAlign w:val="center"/>
          </w:tcPr>
          <w:p w14:paraId="1DAB41A1">
            <w:pPr>
              <w:spacing w:line="240" w:lineRule="auto"/>
              <w:ind w:firstLine="0" w:firstLineChars="0"/>
              <w:jc w:val="center"/>
              <w:rPr>
                <w:bCs/>
                <w:color w:val="auto"/>
                <w:sz w:val="21"/>
                <w:szCs w:val="21"/>
              </w:rPr>
            </w:pPr>
            <w:r>
              <w:rPr>
                <w:rFonts w:hint="eastAsia"/>
                <w:bCs/>
                <w:color w:val="auto"/>
                <w:sz w:val="21"/>
                <w:szCs w:val="21"/>
              </w:rPr>
              <w:t>42</w:t>
            </w:r>
          </w:p>
        </w:tc>
        <w:tc>
          <w:tcPr>
            <w:tcW w:w="381" w:type="pct"/>
            <w:vAlign w:val="center"/>
          </w:tcPr>
          <w:p w14:paraId="0278D3D9">
            <w:pPr>
              <w:spacing w:line="240" w:lineRule="auto"/>
              <w:ind w:firstLine="0" w:firstLineChars="0"/>
              <w:jc w:val="center"/>
              <w:rPr>
                <w:bCs/>
                <w:color w:val="auto"/>
                <w:sz w:val="21"/>
                <w:szCs w:val="21"/>
              </w:rPr>
            </w:pPr>
            <w:r>
              <w:rPr>
                <w:rFonts w:hint="eastAsia"/>
                <w:bCs/>
                <w:color w:val="auto"/>
                <w:sz w:val="21"/>
                <w:szCs w:val="21"/>
              </w:rPr>
              <w:t>44</w:t>
            </w:r>
          </w:p>
        </w:tc>
        <w:tc>
          <w:tcPr>
            <w:tcW w:w="378" w:type="pct"/>
            <w:vAlign w:val="center"/>
          </w:tcPr>
          <w:p w14:paraId="6B953AE4">
            <w:pPr>
              <w:spacing w:line="240" w:lineRule="auto"/>
              <w:ind w:firstLine="0" w:firstLineChars="0"/>
              <w:jc w:val="center"/>
              <w:rPr>
                <w:bCs/>
                <w:color w:val="auto"/>
                <w:sz w:val="21"/>
                <w:szCs w:val="21"/>
              </w:rPr>
            </w:pPr>
            <w:r>
              <w:rPr>
                <w:rFonts w:hint="eastAsia"/>
                <w:bCs/>
                <w:color w:val="auto"/>
                <w:sz w:val="21"/>
                <w:szCs w:val="21"/>
              </w:rPr>
              <w:t>43</w:t>
            </w:r>
          </w:p>
        </w:tc>
        <w:tc>
          <w:tcPr>
            <w:tcW w:w="377" w:type="pct"/>
            <w:vAlign w:val="center"/>
          </w:tcPr>
          <w:p w14:paraId="5C05999E">
            <w:pPr>
              <w:spacing w:line="240" w:lineRule="auto"/>
              <w:ind w:firstLine="0" w:firstLineChars="0"/>
              <w:jc w:val="center"/>
              <w:rPr>
                <w:bCs/>
                <w:color w:val="auto"/>
                <w:sz w:val="21"/>
                <w:szCs w:val="21"/>
              </w:rPr>
            </w:pPr>
            <w:r>
              <w:rPr>
                <w:rFonts w:hint="eastAsia"/>
                <w:bCs/>
                <w:color w:val="auto"/>
                <w:sz w:val="21"/>
                <w:szCs w:val="21"/>
              </w:rPr>
              <w:t>46</w:t>
            </w:r>
          </w:p>
        </w:tc>
        <w:tc>
          <w:tcPr>
            <w:tcW w:w="376" w:type="pct"/>
            <w:vAlign w:val="center"/>
          </w:tcPr>
          <w:p w14:paraId="03E4B31D">
            <w:pPr>
              <w:spacing w:line="240" w:lineRule="auto"/>
              <w:ind w:firstLine="0" w:firstLineChars="0"/>
              <w:jc w:val="center"/>
              <w:rPr>
                <w:bCs/>
                <w:color w:val="auto"/>
                <w:sz w:val="21"/>
                <w:szCs w:val="21"/>
              </w:rPr>
            </w:pPr>
            <w:r>
              <w:rPr>
                <w:rFonts w:hint="eastAsia"/>
                <w:bCs/>
                <w:color w:val="auto"/>
                <w:sz w:val="21"/>
                <w:szCs w:val="21"/>
              </w:rPr>
              <w:t>45</w:t>
            </w:r>
          </w:p>
        </w:tc>
        <w:tc>
          <w:tcPr>
            <w:tcW w:w="374" w:type="pct"/>
            <w:vAlign w:val="center"/>
          </w:tcPr>
          <w:p w14:paraId="4C4726F5">
            <w:pPr>
              <w:spacing w:line="240" w:lineRule="auto"/>
              <w:ind w:firstLine="0" w:firstLineChars="0"/>
              <w:jc w:val="center"/>
              <w:rPr>
                <w:bCs/>
                <w:color w:val="auto"/>
                <w:sz w:val="21"/>
                <w:szCs w:val="21"/>
              </w:rPr>
            </w:pPr>
            <w:r>
              <w:rPr>
                <w:rFonts w:hint="eastAsia"/>
                <w:bCs/>
                <w:color w:val="auto"/>
                <w:sz w:val="21"/>
                <w:szCs w:val="21"/>
              </w:rPr>
              <w:t>44</w:t>
            </w:r>
          </w:p>
        </w:tc>
        <w:tc>
          <w:tcPr>
            <w:tcW w:w="374" w:type="pct"/>
            <w:vAlign w:val="center"/>
          </w:tcPr>
          <w:p w14:paraId="58C47341">
            <w:pPr>
              <w:spacing w:line="240" w:lineRule="auto"/>
              <w:ind w:firstLine="0" w:firstLineChars="0"/>
              <w:jc w:val="center"/>
              <w:rPr>
                <w:bCs/>
                <w:color w:val="auto"/>
                <w:sz w:val="21"/>
                <w:szCs w:val="21"/>
              </w:rPr>
            </w:pPr>
            <w:r>
              <w:rPr>
                <w:rFonts w:hint="eastAsia"/>
                <w:bCs/>
                <w:color w:val="auto"/>
                <w:sz w:val="21"/>
                <w:szCs w:val="21"/>
              </w:rPr>
              <w:t>46</w:t>
            </w:r>
          </w:p>
        </w:tc>
        <w:tc>
          <w:tcPr>
            <w:tcW w:w="373" w:type="pct"/>
            <w:vAlign w:val="center"/>
          </w:tcPr>
          <w:p w14:paraId="4CB5BE94">
            <w:pPr>
              <w:spacing w:line="240" w:lineRule="auto"/>
              <w:ind w:firstLine="0" w:firstLineChars="0"/>
              <w:jc w:val="center"/>
              <w:rPr>
                <w:bCs/>
                <w:color w:val="auto"/>
                <w:sz w:val="21"/>
                <w:szCs w:val="21"/>
              </w:rPr>
            </w:pPr>
            <w:r>
              <w:rPr>
                <w:rFonts w:hint="eastAsia"/>
                <w:bCs/>
                <w:color w:val="auto"/>
                <w:sz w:val="21"/>
                <w:szCs w:val="21"/>
              </w:rPr>
              <w:t>26</w:t>
            </w:r>
          </w:p>
        </w:tc>
        <w:tc>
          <w:tcPr>
            <w:tcW w:w="373" w:type="pct"/>
            <w:vAlign w:val="center"/>
          </w:tcPr>
          <w:p w14:paraId="2E834B63">
            <w:pPr>
              <w:spacing w:line="240" w:lineRule="auto"/>
              <w:ind w:firstLine="0" w:firstLineChars="0"/>
              <w:jc w:val="center"/>
              <w:rPr>
                <w:bCs/>
                <w:color w:val="auto"/>
                <w:sz w:val="21"/>
                <w:szCs w:val="21"/>
              </w:rPr>
            </w:pPr>
            <w:r>
              <w:rPr>
                <w:rFonts w:hint="eastAsia"/>
                <w:bCs/>
                <w:color w:val="auto"/>
                <w:sz w:val="21"/>
                <w:szCs w:val="21"/>
              </w:rPr>
              <w:t>40</w:t>
            </w:r>
          </w:p>
        </w:tc>
        <w:tc>
          <w:tcPr>
            <w:tcW w:w="372" w:type="pct"/>
            <w:vAlign w:val="center"/>
          </w:tcPr>
          <w:p w14:paraId="7FC2C055">
            <w:pPr>
              <w:spacing w:line="240" w:lineRule="auto"/>
              <w:ind w:firstLine="0" w:firstLineChars="0"/>
              <w:jc w:val="center"/>
              <w:rPr>
                <w:bCs/>
                <w:color w:val="auto"/>
                <w:sz w:val="21"/>
                <w:szCs w:val="21"/>
              </w:rPr>
            </w:pPr>
            <w:r>
              <w:rPr>
                <w:rFonts w:hint="eastAsia"/>
                <w:bCs/>
                <w:color w:val="auto"/>
                <w:sz w:val="21"/>
                <w:szCs w:val="21"/>
              </w:rPr>
              <w:t>45</w:t>
            </w:r>
          </w:p>
        </w:tc>
      </w:tr>
      <w:tr w14:paraId="5DBC1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10578B86">
            <w:pPr>
              <w:spacing w:line="240" w:lineRule="auto"/>
              <w:ind w:firstLine="0" w:firstLineChars="0"/>
              <w:jc w:val="center"/>
              <w:rPr>
                <w:bCs/>
                <w:color w:val="auto"/>
                <w:sz w:val="21"/>
                <w:szCs w:val="21"/>
              </w:rPr>
            </w:pPr>
            <w:r>
              <w:rPr>
                <w:rFonts w:hint="eastAsia"/>
                <w:bCs/>
                <w:color w:val="auto"/>
                <w:sz w:val="21"/>
                <w:szCs w:val="21"/>
              </w:rPr>
              <w:t>石油烃（C10-C40）</w:t>
            </w:r>
          </w:p>
        </w:tc>
        <w:tc>
          <w:tcPr>
            <w:tcW w:w="375" w:type="pct"/>
            <w:vAlign w:val="center"/>
          </w:tcPr>
          <w:p w14:paraId="31B0CD89">
            <w:pPr>
              <w:spacing w:line="240" w:lineRule="auto"/>
              <w:ind w:firstLine="0" w:firstLineChars="0"/>
              <w:jc w:val="center"/>
              <w:rPr>
                <w:bCs/>
                <w:color w:val="auto"/>
                <w:sz w:val="21"/>
                <w:szCs w:val="21"/>
              </w:rPr>
            </w:pPr>
            <w:r>
              <w:rPr>
                <w:rFonts w:hint="eastAsia"/>
                <w:bCs/>
                <w:color w:val="auto"/>
                <w:sz w:val="21"/>
                <w:szCs w:val="21"/>
              </w:rPr>
              <w:t>17</w:t>
            </w:r>
          </w:p>
        </w:tc>
        <w:tc>
          <w:tcPr>
            <w:tcW w:w="375" w:type="pct"/>
            <w:vAlign w:val="center"/>
          </w:tcPr>
          <w:p w14:paraId="10D717FF">
            <w:pPr>
              <w:spacing w:line="240" w:lineRule="auto"/>
              <w:ind w:firstLine="0" w:firstLineChars="0"/>
              <w:jc w:val="center"/>
              <w:rPr>
                <w:bCs/>
                <w:color w:val="auto"/>
                <w:sz w:val="21"/>
                <w:szCs w:val="21"/>
              </w:rPr>
            </w:pPr>
            <w:r>
              <w:rPr>
                <w:rFonts w:hint="eastAsia"/>
                <w:bCs/>
                <w:color w:val="auto"/>
                <w:sz w:val="21"/>
                <w:szCs w:val="21"/>
              </w:rPr>
              <w:t>17</w:t>
            </w:r>
          </w:p>
        </w:tc>
        <w:tc>
          <w:tcPr>
            <w:tcW w:w="376" w:type="pct"/>
            <w:vAlign w:val="center"/>
          </w:tcPr>
          <w:p w14:paraId="345DC8FF">
            <w:pPr>
              <w:spacing w:line="240" w:lineRule="auto"/>
              <w:ind w:firstLine="0" w:firstLineChars="0"/>
              <w:jc w:val="center"/>
              <w:rPr>
                <w:bCs/>
                <w:color w:val="auto"/>
                <w:sz w:val="21"/>
                <w:szCs w:val="21"/>
              </w:rPr>
            </w:pPr>
            <w:r>
              <w:rPr>
                <w:rFonts w:hint="eastAsia"/>
                <w:bCs/>
                <w:color w:val="auto"/>
                <w:sz w:val="21"/>
                <w:szCs w:val="21"/>
              </w:rPr>
              <w:t>18</w:t>
            </w:r>
          </w:p>
        </w:tc>
        <w:tc>
          <w:tcPr>
            <w:tcW w:w="381" w:type="pct"/>
            <w:vAlign w:val="center"/>
          </w:tcPr>
          <w:p w14:paraId="5AF4934F">
            <w:pPr>
              <w:spacing w:line="240" w:lineRule="auto"/>
              <w:ind w:firstLine="0" w:firstLineChars="0"/>
              <w:jc w:val="center"/>
              <w:rPr>
                <w:bCs/>
                <w:color w:val="auto"/>
                <w:sz w:val="21"/>
                <w:szCs w:val="21"/>
              </w:rPr>
            </w:pPr>
            <w:r>
              <w:rPr>
                <w:rFonts w:hint="eastAsia"/>
                <w:bCs/>
                <w:color w:val="auto"/>
                <w:sz w:val="21"/>
                <w:szCs w:val="21"/>
              </w:rPr>
              <w:t>17</w:t>
            </w:r>
          </w:p>
        </w:tc>
        <w:tc>
          <w:tcPr>
            <w:tcW w:w="378" w:type="pct"/>
            <w:vAlign w:val="center"/>
          </w:tcPr>
          <w:p w14:paraId="23B5A8EA">
            <w:pPr>
              <w:spacing w:line="240" w:lineRule="auto"/>
              <w:ind w:firstLine="0" w:firstLineChars="0"/>
              <w:jc w:val="center"/>
              <w:rPr>
                <w:bCs/>
                <w:color w:val="auto"/>
                <w:sz w:val="21"/>
                <w:szCs w:val="21"/>
              </w:rPr>
            </w:pPr>
            <w:r>
              <w:rPr>
                <w:rFonts w:hint="eastAsia"/>
                <w:bCs/>
                <w:color w:val="auto"/>
                <w:sz w:val="21"/>
                <w:szCs w:val="21"/>
              </w:rPr>
              <w:t>16</w:t>
            </w:r>
          </w:p>
        </w:tc>
        <w:tc>
          <w:tcPr>
            <w:tcW w:w="377" w:type="pct"/>
            <w:vAlign w:val="center"/>
          </w:tcPr>
          <w:p w14:paraId="34978DAA">
            <w:pPr>
              <w:spacing w:line="240" w:lineRule="auto"/>
              <w:ind w:firstLine="0" w:firstLineChars="0"/>
              <w:jc w:val="center"/>
              <w:rPr>
                <w:bCs/>
                <w:color w:val="auto"/>
                <w:sz w:val="21"/>
                <w:szCs w:val="21"/>
              </w:rPr>
            </w:pPr>
            <w:r>
              <w:rPr>
                <w:rFonts w:hint="eastAsia"/>
                <w:bCs/>
                <w:color w:val="auto"/>
                <w:sz w:val="21"/>
                <w:szCs w:val="21"/>
              </w:rPr>
              <w:t>16</w:t>
            </w:r>
          </w:p>
        </w:tc>
        <w:tc>
          <w:tcPr>
            <w:tcW w:w="376" w:type="pct"/>
            <w:vAlign w:val="center"/>
          </w:tcPr>
          <w:p w14:paraId="5A3BB66F">
            <w:pPr>
              <w:spacing w:line="240" w:lineRule="auto"/>
              <w:ind w:firstLine="0" w:firstLineChars="0"/>
              <w:jc w:val="center"/>
              <w:rPr>
                <w:bCs/>
                <w:color w:val="auto"/>
                <w:sz w:val="21"/>
                <w:szCs w:val="21"/>
              </w:rPr>
            </w:pPr>
            <w:r>
              <w:rPr>
                <w:rFonts w:hint="eastAsia"/>
                <w:bCs/>
                <w:color w:val="auto"/>
                <w:sz w:val="21"/>
                <w:szCs w:val="21"/>
              </w:rPr>
              <w:t>17</w:t>
            </w:r>
          </w:p>
        </w:tc>
        <w:tc>
          <w:tcPr>
            <w:tcW w:w="374" w:type="pct"/>
            <w:vAlign w:val="center"/>
          </w:tcPr>
          <w:p w14:paraId="20768717">
            <w:pPr>
              <w:spacing w:line="240" w:lineRule="auto"/>
              <w:ind w:firstLine="0" w:firstLineChars="0"/>
              <w:jc w:val="center"/>
              <w:rPr>
                <w:bCs/>
                <w:color w:val="auto"/>
                <w:sz w:val="21"/>
                <w:szCs w:val="21"/>
              </w:rPr>
            </w:pPr>
            <w:r>
              <w:rPr>
                <w:rFonts w:hint="eastAsia"/>
                <w:bCs/>
                <w:color w:val="auto"/>
                <w:sz w:val="21"/>
                <w:szCs w:val="21"/>
              </w:rPr>
              <w:t>16</w:t>
            </w:r>
          </w:p>
        </w:tc>
        <w:tc>
          <w:tcPr>
            <w:tcW w:w="374" w:type="pct"/>
            <w:vAlign w:val="center"/>
          </w:tcPr>
          <w:p w14:paraId="664FAE5A">
            <w:pPr>
              <w:spacing w:line="240" w:lineRule="auto"/>
              <w:ind w:firstLine="0" w:firstLineChars="0"/>
              <w:jc w:val="center"/>
              <w:rPr>
                <w:bCs/>
                <w:color w:val="auto"/>
                <w:sz w:val="21"/>
                <w:szCs w:val="21"/>
              </w:rPr>
            </w:pPr>
            <w:r>
              <w:rPr>
                <w:rFonts w:hint="eastAsia"/>
                <w:bCs/>
                <w:color w:val="auto"/>
                <w:sz w:val="21"/>
                <w:szCs w:val="21"/>
              </w:rPr>
              <w:t>19</w:t>
            </w:r>
          </w:p>
        </w:tc>
        <w:tc>
          <w:tcPr>
            <w:tcW w:w="373" w:type="pct"/>
            <w:vAlign w:val="center"/>
          </w:tcPr>
          <w:p w14:paraId="5721DE83">
            <w:pPr>
              <w:spacing w:line="240" w:lineRule="auto"/>
              <w:ind w:firstLine="0" w:firstLineChars="0"/>
              <w:jc w:val="center"/>
              <w:rPr>
                <w:bCs/>
                <w:color w:val="auto"/>
                <w:sz w:val="21"/>
                <w:szCs w:val="21"/>
              </w:rPr>
            </w:pPr>
            <w:r>
              <w:rPr>
                <w:rFonts w:hint="eastAsia"/>
                <w:bCs/>
                <w:color w:val="auto"/>
                <w:sz w:val="21"/>
                <w:szCs w:val="21"/>
              </w:rPr>
              <w:t>20</w:t>
            </w:r>
          </w:p>
        </w:tc>
        <w:tc>
          <w:tcPr>
            <w:tcW w:w="373" w:type="pct"/>
            <w:vAlign w:val="center"/>
          </w:tcPr>
          <w:p w14:paraId="2EF83242">
            <w:pPr>
              <w:spacing w:line="240" w:lineRule="auto"/>
              <w:ind w:firstLine="0" w:firstLineChars="0"/>
              <w:jc w:val="center"/>
              <w:rPr>
                <w:bCs/>
                <w:color w:val="auto"/>
                <w:sz w:val="21"/>
                <w:szCs w:val="21"/>
              </w:rPr>
            </w:pPr>
            <w:r>
              <w:rPr>
                <w:rFonts w:hint="eastAsia"/>
                <w:bCs/>
                <w:color w:val="auto"/>
                <w:sz w:val="21"/>
                <w:szCs w:val="21"/>
              </w:rPr>
              <w:t>19</w:t>
            </w:r>
          </w:p>
        </w:tc>
        <w:tc>
          <w:tcPr>
            <w:tcW w:w="372" w:type="pct"/>
            <w:vAlign w:val="center"/>
          </w:tcPr>
          <w:p w14:paraId="23F26680">
            <w:pPr>
              <w:spacing w:line="240" w:lineRule="auto"/>
              <w:ind w:firstLine="0" w:firstLineChars="0"/>
              <w:jc w:val="center"/>
              <w:rPr>
                <w:bCs/>
                <w:color w:val="auto"/>
                <w:sz w:val="21"/>
                <w:szCs w:val="21"/>
              </w:rPr>
            </w:pPr>
            <w:r>
              <w:rPr>
                <w:rFonts w:hint="eastAsia"/>
                <w:bCs/>
                <w:color w:val="auto"/>
                <w:sz w:val="21"/>
                <w:szCs w:val="21"/>
              </w:rPr>
              <w:t>20</w:t>
            </w:r>
          </w:p>
        </w:tc>
      </w:tr>
      <w:tr w14:paraId="1FF74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00EEE039">
            <w:pPr>
              <w:spacing w:line="240" w:lineRule="auto"/>
              <w:ind w:firstLine="0" w:firstLineChars="0"/>
              <w:jc w:val="center"/>
              <w:rPr>
                <w:bCs/>
                <w:color w:val="auto"/>
                <w:sz w:val="21"/>
                <w:szCs w:val="21"/>
              </w:rPr>
            </w:pPr>
            <w:r>
              <w:rPr>
                <w:rFonts w:hint="eastAsia"/>
                <w:bCs/>
                <w:color w:val="auto"/>
                <w:sz w:val="21"/>
                <w:szCs w:val="21"/>
              </w:rPr>
              <w:t>四氯化碳</w:t>
            </w:r>
          </w:p>
        </w:tc>
        <w:tc>
          <w:tcPr>
            <w:tcW w:w="375" w:type="pct"/>
            <w:vAlign w:val="center"/>
          </w:tcPr>
          <w:p w14:paraId="0628A5A3">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6740BA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5BBFF5B">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61AFE0B9">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374E0E5">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17750E8">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4B6E087">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9517BE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23F914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70618D4">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DCEDBCE">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7ACFF61F">
            <w:pPr>
              <w:spacing w:line="240" w:lineRule="auto"/>
              <w:ind w:firstLine="0" w:firstLineChars="0"/>
              <w:jc w:val="center"/>
              <w:rPr>
                <w:bCs/>
                <w:color w:val="auto"/>
                <w:sz w:val="21"/>
                <w:szCs w:val="21"/>
              </w:rPr>
            </w:pPr>
            <w:r>
              <w:rPr>
                <w:rFonts w:hint="eastAsia"/>
                <w:bCs/>
                <w:color w:val="auto"/>
                <w:sz w:val="21"/>
                <w:szCs w:val="21"/>
              </w:rPr>
              <w:t>ND</w:t>
            </w:r>
          </w:p>
        </w:tc>
      </w:tr>
      <w:tr w14:paraId="50174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0F2525D8">
            <w:pPr>
              <w:spacing w:line="240" w:lineRule="auto"/>
              <w:ind w:firstLine="0" w:firstLineChars="0"/>
              <w:jc w:val="center"/>
              <w:rPr>
                <w:bCs/>
                <w:color w:val="auto"/>
                <w:sz w:val="21"/>
                <w:szCs w:val="21"/>
              </w:rPr>
            </w:pPr>
            <w:r>
              <w:rPr>
                <w:rFonts w:hint="eastAsia"/>
                <w:bCs/>
                <w:color w:val="auto"/>
                <w:sz w:val="21"/>
                <w:szCs w:val="21"/>
              </w:rPr>
              <w:t>氯仿</w:t>
            </w:r>
          </w:p>
        </w:tc>
        <w:tc>
          <w:tcPr>
            <w:tcW w:w="375" w:type="pct"/>
            <w:vAlign w:val="center"/>
          </w:tcPr>
          <w:p w14:paraId="7AD1DAE8">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3CD41D4">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CC8A7CE">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626119E">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7129DB0">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23A6A3EA">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7EF75AE">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15E494B">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978B6F7">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D018ABC">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A2CD8C4">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2463D694">
            <w:pPr>
              <w:spacing w:line="240" w:lineRule="auto"/>
              <w:ind w:firstLine="0" w:firstLineChars="0"/>
              <w:jc w:val="center"/>
              <w:rPr>
                <w:bCs/>
                <w:color w:val="auto"/>
                <w:sz w:val="21"/>
                <w:szCs w:val="21"/>
              </w:rPr>
            </w:pPr>
            <w:r>
              <w:rPr>
                <w:rFonts w:hint="eastAsia"/>
                <w:bCs/>
                <w:color w:val="auto"/>
                <w:sz w:val="21"/>
                <w:szCs w:val="21"/>
              </w:rPr>
              <w:t>ND</w:t>
            </w:r>
          </w:p>
        </w:tc>
      </w:tr>
      <w:tr w14:paraId="1C381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3D34C382">
            <w:pPr>
              <w:spacing w:line="240" w:lineRule="auto"/>
              <w:ind w:firstLine="0" w:firstLineChars="0"/>
              <w:jc w:val="center"/>
              <w:rPr>
                <w:bCs/>
                <w:color w:val="auto"/>
                <w:sz w:val="21"/>
                <w:szCs w:val="21"/>
              </w:rPr>
            </w:pPr>
            <w:r>
              <w:rPr>
                <w:rFonts w:hint="eastAsia"/>
                <w:bCs/>
                <w:color w:val="auto"/>
                <w:sz w:val="21"/>
                <w:szCs w:val="21"/>
              </w:rPr>
              <w:t>氯甲烷</w:t>
            </w:r>
          </w:p>
        </w:tc>
        <w:tc>
          <w:tcPr>
            <w:tcW w:w="375" w:type="pct"/>
            <w:vAlign w:val="center"/>
          </w:tcPr>
          <w:p w14:paraId="41FE2FEB">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727E8F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6640D1C">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3B67452">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1C742D9E">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70FADA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987AF4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AA6E60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7B732A1">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25DF1E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8C42670">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3E85628C">
            <w:pPr>
              <w:spacing w:line="240" w:lineRule="auto"/>
              <w:ind w:firstLine="0" w:firstLineChars="0"/>
              <w:jc w:val="center"/>
              <w:rPr>
                <w:bCs/>
                <w:color w:val="auto"/>
                <w:sz w:val="21"/>
                <w:szCs w:val="21"/>
              </w:rPr>
            </w:pPr>
            <w:r>
              <w:rPr>
                <w:rFonts w:hint="eastAsia"/>
                <w:bCs/>
                <w:color w:val="auto"/>
                <w:sz w:val="21"/>
                <w:szCs w:val="21"/>
              </w:rPr>
              <w:t>ND</w:t>
            </w:r>
          </w:p>
        </w:tc>
      </w:tr>
      <w:tr w14:paraId="7065B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589DFAD">
            <w:pPr>
              <w:spacing w:line="240" w:lineRule="auto"/>
              <w:ind w:firstLine="0" w:firstLineChars="0"/>
              <w:jc w:val="center"/>
              <w:rPr>
                <w:bCs/>
                <w:color w:val="auto"/>
                <w:sz w:val="21"/>
                <w:szCs w:val="21"/>
              </w:rPr>
            </w:pPr>
            <w:r>
              <w:rPr>
                <w:color w:val="auto"/>
                <w:kern w:val="0"/>
                <w:sz w:val="21"/>
                <w:szCs w:val="21"/>
              </w:rPr>
              <w:t>1,1-二氯乙烷</w:t>
            </w:r>
          </w:p>
        </w:tc>
        <w:tc>
          <w:tcPr>
            <w:tcW w:w="375" w:type="pct"/>
            <w:vAlign w:val="center"/>
          </w:tcPr>
          <w:p w14:paraId="2115595B">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5B163B1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3B64F3E">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7F63FE59">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66216CA7">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77CD5FF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4D5990E">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5F92D42">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FBA05C7">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AC9AA7E">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F9DF064">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1CC950C">
            <w:pPr>
              <w:spacing w:line="240" w:lineRule="auto"/>
              <w:ind w:firstLine="0" w:firstLineChars="0"/>
              <w:jc w:val="center"/>
              <w:rPr>
                <w:bCs/>
                <w:color w:val="auto"/>
                <w:sz w:val="21"/>
                <w:szCs w:val="21"/>
              </w:rPr>
            </w:pPr>
            <w:r>
              <w:rPr>
                <w:rFonts w:hint="eastAsia"/>
                <w:bCs/>
                <w:color w:val="auto"/>
                <w:sz w:val="21"/>
                <w:szCs w:val="21"/>
              </w:rPr>
              <w:t>ND</w:t>
            </w:r>
          </w:p>
        </w:tc>
      </w:tr>
      <w:tr w14:paraId="373A0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9F2CA76">
            <w:pPr>
              <w:spacing w:line="240" w:lineRule="auto"/>
              <w:ind w:firstLine="0" w:firstLineChars="0"/>
              <w:jc w:val="center"/>
              <w:rPr>
                <w:bCs/>
                <w:color w:val="auto"/>
                <w:sz w:val="21"/>
                <w:szCs w:val="21"/>
              </w:rPr>
            </w:pPr>
            <w:r>
              <w:rPr>
                <w:color w:val="auto"/>
                <w:kern w:val="0"/>
                <w:sz w:val="21"/>
                <w:szCs w:val="21"/>
              </w:rPr>
              <w:t>1,2-二氯乙烷</w:t>
            </w:r>
          </w:p>
        </w:tc>
        <w:tc>
          <w:tcPr>
            <w:tcW w:w="375" w:type="pct"/>
            <w:vAlign w:val="center"/>
          </w:tcPr>
          <w:p w14:paraId="004463AD">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5C48A24">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BBC2C88">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5511A251">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03F11454">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82567DA">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3B688C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A908320">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FEC4EF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7C88B8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2F09358">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792BCBB2">
            <w:pPr>
              <w:spacing w:line="240" w:lineRule="auto"/>
              <w:ind w:firstLine="0" w:firstLineChars="0"/>
              <w:jc w:val="center"/>
              <w:rPr>
                <w:bCs/>
                <w:color w:val="auto"/>
                <w:sz w:val="21"/>
                <w:szCs w:val="21"/>
              </w:rPr>
            </w:pPr>
            <w:r>
              <w:rPr>
                <w:rFonts w:hint="eastAsia"/>
                <w:bCs/>
                <w:color w:val="auto"/>
                <w:sz w:val="21"/>
                <w:szCs w:val="21"/>
              </w:rPr>
              <w:t>ND</w:t>
            </w:r>
          </w:p>
        </w:tc>
      </w:tr>
      <w:tr w14:paraId="6366B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40F5B089">
            <w:pPr>
              <w:spacing w:line="240" w:lineRule="auto"/>
              <w:ind w:firstLine="0" w:firstLineChars="0"/>
              <w:jc w:val="center"/>
              <w:rPr>
                <w:bCs/>
                <w:color w:val="auto"/>
                <w:sz w:val="21"/>
                <w:szCs w:val="21"/>
              </w:rPr>
            </w:pPr>
            <w:r>
              <w:rPr>
                <w:color w:val="auto"/>
                <w:kern w:val="0"/>
                <w:sz w:val="21"/>
                <w:szCs w:val="21"/>
              </w:rPr>
              <w:t>1,1-二氯乙烯</w:t>
            </w:r>
          </w:p>
        </w:tc>
        <w:tc>
          <w:tcPr>
            <w:tcW w:w="375" w:type="pct"/>
            <w:vAlign w:val="center"/>
          </w:tcPr>
          <w:p w14:paraId="5194456C">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341FF71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AEC1279">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257895EA">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13838688">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4CE39E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42242B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B436F7B">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44E1D4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2458AE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9D7C5F1">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E3FA61D">
            <w:pPr>
              <w:spacing w:line="240" w:lineRule="auto"/>
              <w:ind w:firstLine="0" w:firstLineChars="0"/>
              <w:jc w:val="center"/>
              <w:rPr>
                <w:bCs/>
                <w:color w:val="auto"/>
                <w:sz w:val="21"/>
                <w:szCs w:val="21"/>
              </w:rPr>
            </w:pPr>
            <w:r>
              <w:rPr>
                <w:rFonts w:hint="eastAsia"/>
                <w:bCs/>
                <w:color w:val="auto"/>
                <w:sz w:val="21"/>
                <w:szCs w:val="21"/>
              </w:rPr>
              <w:t>ND</w:t>
            </w:r>
          </w:p>
        </w:tc>
      </w:tr>
      <w:tr w14:paraId="3635E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3FA82286">
            <w:pPr>
              <w:spacing w:line="240" w:lineRule="auto"/>
              <w:ind w:firstLine="0" w:firstLineChars="0"/>
              <w:jc w:val="center"/>
              <w:rPr>
                <w:bCs/>
                <w:color w:val="auto"/>
                <w:sz w:val="21"/>
                <w:szCs w:val="21"/>
              </w:rPr>
            </w:pPr>
            <w:r>
              <w:rPr>
                <w:color w:val="auto"/>
                <w:kern w:val="0"/>
                <w:sz w:val="21"/>
                <w:szCs w:val="21"/>
              </w:rPr>
              <w:t>顺-1,2-二氯乙烯</w:t>
            </w:r>
          </w:p>
        </w:tc>
        <w:tc>
          <w:tcPr>
            <w:tcW w:w="375" w:type="pct"/>
            <w:vAlign w:val="center"/>
          </w:tcPr>
          <w:p w14:paraId="0CF932F9">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30D15A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21A5382">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2B1BA7E0">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1215B51E">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3324A7A">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3B81BB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D2083CF">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61BF5A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817A20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6041718">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2FA4FC86">
            <w:pPr>
              <w:spacing w:line="240" w:lineRule="auto"/>
              <w:ind w:firstLine="0" w:firstLineChars="0"/>
              <w:jc w:val="center"/>
              <w:rPr>
                <w:bCs/>
                <w:color w:val="auto"/>
                <w:sz w:val="21"/>
                <w:szCs w:val="21"/>
              </w:rPr>
            </w:pPr>
            <w:r>
              <w:rPr>
                <w:rFonts w:hint="eastAsia"/>
                <w:bCs/>
                <w:color w:val="auto"/>
                <w:sz w:val="21"/>
                <w:szCs w:val="21"/>
              </w:rPr>
              <w:t>ND</w:t>
            </w:r>
          </w:p>
        </w:tc>
      </w:tr>
      <w:tr w14:paraId="5B95E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630EF82A">
            <w:pPr>
              <w:spacing w:line="240" w:lineRule="auto"/>
              <w:ind w:firstLine="0" w:firstLineChars="0"/>
              <w:jc w:val="center"/>
              <w:rPr>
                <w:bCs/>
                <w:color w:val="auto"/>
                <w:sz w:val="21"/>
                <w:szCs w:val="21"/>
              </w:rPr>
            </w:pPr>
            <w:r>
              <w:rPr>
                <w:color w:val="auto"/>
                <w:kern w:val="0"/>
                <w:sz w:val="21"/>
                <w:szCs w:val="21"/>
              </w:rPr>
              <w:t>反-1,2-二氯乙烯</w:t>
            </w:r>
          </w:p>
        </w:tc>
        <w:tc>
          <w:tcPr>
            <w:tcW w:w="375" w:type="pct"/>
            <w:vAlign w:val="center"/>
          </w:tcPr>
          <w:p w14:paraId="4219C260">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E649BC0">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C6CD017">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A90F523">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25DA1B2">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7387F0C4">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E0F048D">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0183A4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E580EE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662F62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7A4B777">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5C7DEC4D">
            <w:pPr>
              <w:spacing w:line="240" w:lineRule="auto"/>
              <w:ind w:firstLine="0" w:firstLineChars="0"/>
              <w:jc w:val="center"/>
              <w:rPr>
                <w:bCs/>
                <w:color w:val="auto"/>
                <w:sz w:val="21"/>
                <w:szCs w:val="21"/>
              </w:rPr>
            </w:pPr>
            <w:r>
              <w:rPr>
                <w:rFonts w:hint="eastAsia"/>
                <w:bCs/>
                <w:color w:val="auto"/>
                <w:sz w:val="21"/>
                <w:szCs w:val="21"/>
              </w:rPr>
              <w:t>ND</w:t>
            </w:r>
          </w:p>
        </w:tc>
      </w:tr>
      <w:tr w14:paraId="61AAD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2EA8C54A">
            <w:pPr>
              <w:spacing w:line="240" w:lineRule="auto"/>
              <w:ind w:firstLine="0" w:firstLineChars="0"/>
              <w:jc w:val="center"/>
              <w:rPr>
                <w:bCs/>
                <w:color w:val="auto"/>
                <w:sz w:val="21"/>
                <w:szCs w:val="21"/>
              </w:rPr>
            </w:pPr>
            <w:r>
              <w:rPr>
                <w:color w:val="auto"/>
                <w:kern w:val="0"/>
                <w:sz w:val="21"/>
                <w:szCs w:val="21"/>
              </w:rPr>
              <w:t>二氯甲烷</w:t>
            </w:r>
          </w:p>
        </w:tc>
        <w:tc>
          <w:tcPr>
            <w:tcW w:w="375" w:type="pct"/>
            <w:vAlign w:val="center"/>
          </w:tcPr>
          <w:p w14:paraId="667773FE">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66200BC">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38FF7D7">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5C9E63DB">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805C641">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9A0D7A9">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519A1B9">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BBD3117">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A9ADBA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03700C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93744A1">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EF0FD70">
            <w:pPr>
              <w:spacing w:line="240" w:lineRule="auto"/>
              <w:ind w:firstLine="0" w:firstLineChars="0"/>
              <w:jc w:val="center"/>
              <w:rPr>
                <w:bCs/>
                <w:color w:val="auto"/>
                <w:sz w:val="21"/>
                <w:szCs w:val="21"/>
              </w:rPr>
            </w:pPr>
            <w:r>
              <w:rPr>
                <w:rFonts w:hint="eastAsia"/>
                <w:bCs/>
                <w:color w:val="auto"/>
                <w:sz w:val="21"/>
                <w:szCs w:val="21"/>
              </w:rPr>
              <w:t>ND</w:t>
            </w:r>
          </w:p>
        </w:tc>
      </w:tr>
      <w:tr w14:paraId="3FB88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0513BB8">
            <w:pPr>
              <w:spacing w:line="240" w:lineRule="auto"/>
              <w:ind w:firstLine="0" w:firstLineChars="0"/>
              <w:jc w:val="center"/>
              <w:rPr>
                <w:bCs/>
                <w:color w:val="auto"/>
                <w:sz w:val="21"/>
                <w:szCs w:val="21"/>
              </w:rPr>
            </w:pPr>
            <w:r>
              <w:rPr>
                <w:color w:val="auto"/>
                <w:kern w:val="0"/>
                <w:sz w:val="21"/>
                <w:szCs w:val="21"/>
              </w:rPr>
              <w:t>1,2-二氯丙烷</w:t>
            </w:r>
          </w:p>
        </w:tc>
        <w:tc>
          <w:tcPr>
            <w:tcW w:w="375" w:type="pct"/>
            <w:vAlign w:val="center"/>
          </w:tcPr>
          <w:p w14:paraId="2BBDAFB7">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23D9B0C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E42990D">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4F537E7">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CFD69AA">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C796107">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8992C3E">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D3B96E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954A35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61829B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4094BD9">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75FC9CDE">
            <w:pPr>
              <w:spacing w:line="240" w:lineRule="auto"/>
              <w:ind w:firstLine="0" w:firstLineChars="0"/>
              <w:jc w:val="center"/>
              <w:rPr>
                <w:bCs/>
                <w:color w:val="auto"/>
                <w:sz w:val="21"/>
                <w:szCs w:val="21"/>
              </w:rPr>
            </w:pPr>
            <w:r>
              <w:rPr>
                <w:rFonts w:hint="eastAsia"/>
                <w:bCs/>
                <w:color w:val="auto"/>
                <w:sz w:val="21"/>
                <w:szCs w:val="21"/>
              </w:rPr>
              <w:t>ND</w:t>
            </w:r>
          </w:p>
        </w:tc>
      </w:tr>
      <w:tr w14:paraId="4B9F8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6E6B861B">
            <w:pPr>
              <w:spacing w:line="240" w:lineRule="auto"/>
              <w:ind w:firstLine="0" w:firstLineChars="0"/>
              <w:jc w:val="center"/>
              <w:rPr>
                <w:bCs/>
                <w:color w:val="auto"/>
                <w:sz w:val="21"/>
                <w:szCs w:val="21"/>
              </w:rPr>
            </w:pPr>
            <w:r>
              <w:rPr>
                <w:color w:val="auto"/>
                <w:kern w:val="0"/>
                <w:sz w:val="21"/>
                <w:szCs w:val="21"/>
              </w:rPr>
              <w:t>1,1,1,2-四氯乙烷</w:t>
            </w:r>
          </w:p>
        </w:tc>
        <w:tc>
          <w:tcPr>
            <w:tcW w:w="375" w:type="pct"/>
            <w:vAlign w:val="center"/>
          </w:tcPr>
          <w:p w14:paraId="7AEB41AB">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61CB884B">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EB964AE">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7B65409">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46F1DC11">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70879EC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23D98BF">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EE79E1F">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76BD884">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FFE7FA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3F57511">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12005A8">
            <w:pPr>
              <w:spacing w:line="240" w:lineRule="auto"/>
              <w:ind w:firstLine="0" w:firstLineChars="0"/>
              <w:jc w:val="center"/>
              <w:rPr>
                <w:bCs/>
                <w:color w:val="auto"/>
                <w:sz w:val="21"/>
                <w:szCs w:val="21"/>
              </w:rPr>
            </w:pPr>
            <w:r>
              <w:rPr>
                <w:rFonts w:hint="eastAsia"/>
                <w:bCs/>
                <w:color w:val="auto"/>
                <w:sz w:val="21"/>
                <w:szCs w:val="21"/>
              </w:rPr>
              <w:t>ND</w:t>
            </w:r>
          </w:p>
        </w:tc>
      </w:tr>
      <w:tr w14:paraId="0C7BA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320493B">
            <w:pPr>
              <w:spacing w:line="240" w:lineRule="auto"/>
              <w:ind w:firstLine="0" w:firstLineChars="0"/>
              <w:jc w:val="center"/>
              <w:rPr>
                <w:bCs/>
                <w:color w:val="auto"/>
                <w:sz w:val="21"/>
                <w:szCs w:val="21"/>
              </w:rPr>
            </w:pPr>
            <w:r>
              <w:rPr>
                <w:color w:val="auto"/>
                <w:kern w:val="0"/>
                <w:sz w:val="21"/>
                <w:szCs w:val="21"/>
              </w:rPr>
              <w:t>1,1,2,2-四氯乙烷</w:t>
            </w:r>
          </w:p>
        </w:tc>
        <w:tc>
          <w:tcPr>
            <w:tcW w:w="375" w:type="pct"/>
            <w:vAlign w:val="center"/>
          </w:tcPr>
          <w:p w14:paraId="1A3DC3CF">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A62BD9D">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D396EE6">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BD35661">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0579DF95">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44E1106">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BF781D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FD0E9E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A309F3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647940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D95ABDD">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D87E316">
            <w:pPr>
              <w:spacing w:line="240" w:lineRule="auto"/>
              <w:ind w:firstLine="0" w:firstLineChars="0"/>
              <w:jc w:val="center"/>
              <w:rPr>
                <w:bCs/>
                <w:color w:val="auto"/>
                <w:sz w:val="21"/>
                <w:szCs w:val="21"/>
              </w:rPr>
            </w:pPr>
            <w:r>
              <w:rPr>
                <w:rFonts w:hint="eastAsia"/>
                <w:bCs/>
                <w:color w:val="auto"/>
                <w:sz w:val="21"/>
                <w:szCs w:val="21"/>
              </w:rPr>
              <w:t>ND</w:t>
            </w:r>
          </w:p>
        </w:tc>
      </w:tr>
      <w:tr w14:paraId="72501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31F885B">
            <w:pPr>
              <w:spacing w:line="240" w:lineRule="auto"/>
              <w:ind w:firstLine="0" w:firstLineChars="0"/>
              <w:jc w:val="center"/>
              <w:rPr>
                <w:bCs/>
                <w:color w:val="auto"/>
                <w:sz w:val="21"/>
                <w:szCs w:val="21"/>
              </w:rPr>
            </w:pPr>
            <w:r>
              <w:rPr>
                <w:color w:val="auto"/>
                <w:kern w:val="0"/>
                <w:sz w:val="21"/>
                <w:szCs w:val="21"/>
              </w:rPr>
              <w:t>四氯乙烯</w:t>
            </w:r>
          </w:p>
        </w:tc>
        <w:tc>
          <w:tcPr>
            <w:tcW w:w="375" w:type="pct"/>
            <w:vAlign w:val="center"/>
          </w:tcPr>
          <w:p w14:paraId="65D6003A">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9B117C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038820F">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6785C363">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4121279D">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739A9118">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1EBBDA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23F0A8E">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C7D7C2E">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74E75A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FA84626">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18179BD">
            <w:pPr>
              <w:spacing w:line="240" w:lineRule="auto"/>
              <w:ind w:firstLine="0" w:firstLineChars="0"/>
              <w:jc w:val="center"/>
              <w:rPr>
                <w:bCs/>
                <w:color w:val="auto"/>
                <w:sz w:val="21"/>
                <w:szCs w:val="21"/>
              </w:rPr>
            </w:pPr>
            <w:r>
              <w:rPr>
                <w:rFonts w:hint="eastAsia"/>
                <w:bCs/>
                <w:color w:val="auto"/>
                <w:sz w:val="21"/>
                <w:szCs w:val="21"/>
              </w:rPr>
              <w:t>ND</w:t>
            </w:r>
          </w:p>
        </w:tc>
      </w:tr>
      <w:tr w14:paraId="42DCB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446F3CE7">
            <w:pPr>
              <w:spacing w:line="240" w:lineRule="auto"/>
              <w:ind w:firstLine="0" w:firstLineChars="0"/>
              <w:jc w:val="center"/>
              <w:rPr>
                <w:bCs/>
                <w:color w:val="auto"/>
                <w:sz w:val="21"/>
                <w:szCs w:val="21"/>
              </w:rPr>
            </w:pPr>
            <w:r>
              <w:rPr>
                <w:color w:val="auto"/>
                <w:kern w:val="0"/>
                <w:sz w:val="21"/>
                <w:szCs w:val="21"/>
              </w:rPr>
              <w:t>1,1,1-三氯乙烷</w:t>
            </w:r>
          </w:p>
        </w:tc>
        <w:tc>
          <w:tcPr>
            <w:tcW w:w="375" w:type="pct"/>
            <w:vAlign w:val="center"/>
          </w:tcPr>
          <w:p w14:paraId="0507D265">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3E40266B">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2387B96">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7B50082">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4BA331AF">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2B1145D">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CDD9BD2">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3717655">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2C5A7D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C73C16E">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B7FC53E">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38AF609">
            <w:pPr>
              <w:spacing w:line="240" w:lineRule="auto"/>
              <w:ind w:firstLine="0" w:firstLineChars="0"/>
              <w:jc w:val="center"/>
              <w:rPr>
                <w:bCs/>
                <w:color w:val="auto"/>
                <w:sz w:val="21"/>
                <w:szCs w:val="21"/>
              </w:rPr>
            </w:pPr>
            <w:r>
              <w:rPr>
                <w:rFonts w:hint="eastAsia"/>
                <w:bCs/>
                <w:color w:val="auto"/>
                <w:sz w:val="21"/>
                <w:szCs w:val="21"/>
              </w:rPr>
              <w:t>ND</w:t>
            </w:r>
          </w:p>
        </w:tc>
      </w:tr>
      <w:tr w14:paraId="4D86A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801427B">
            <w:pPr>
              <w:spacing w:line="240" w:lineRule="auto"/>
              <w:ind w:firstLine="0" w:firstLineChars="0"/>
              <w:jc w:val="center"/>
              <w:rPr>
                <w:bCs/>
                <w:color w:val="auto"/>
                <w:sz w:val="21"/>
                <w:szCs w:val="21"/>
              </w:rPr>
            </w:pPr>
            <w:r>
              <w:rPr>
                <w:color w:val="auto"/>
                <w:kern w:val="0"/>
                <w:sz w:val="21"/>
                <w:szCs w:val="21"/>
              </w:rPr>
              <w:t>1,1,2-三氯乙烷</w:t>
            </w:r>
          </w:p>
        </w:tc>
        <w:tc>
          <w:tcPr>
            <w:tcW w:w="375" w:type="pct"/>
            <w:vAlign w:val="center"/>
          </w:tcPr>
          <w:p w14:paraId="738A9353">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2CF979B">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14DFD6F">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702370C3">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117E4DE6">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72D2C85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1D18CF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BC8748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7E3723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A5EF9E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F832F11">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5E471B77">
            <w:pPr>
              <w:spacing w:line="240" w:lineRule="auto"/>
              <w:ind w:firstLine="0" w:firstLineChars="0"/>
              <w:jc w:val="center"/>
              <w:rPr>
                <w:bCs/>
                <w:color w:val="auto"/>
                <w:sz w:val="21"/>
                <w:szCs w:val="21"/>
              </w:rPr>
            </w:pPr>
            <w:r>
              <w:rPr>
                <w:rFonts w:hint="eastAsia"/>
                <w:bCs/>
                <w:color w:val="auto"/>
                <w:sz w:val="21"/>
                <w:szCs w:val="21"/>
              </w:rPr>
              <w:t>ND</w:t>
            </w:r>
          </w:p>
        </w:tc>
      </w:tr>
      <w:tr w14:paraId="23A49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69BFB123">
            <w:pPr>
              <w:spacing w:line="240" w:lineRule="auto"/>
              <w:ind w:firstLine="0" w:firstLineChars="0"/>
              <w:jc w:val="center"/>
              <w:rPr>
                <w:bCs/>
                <w:color w:val="auto"/>
                <w:sz w:val="21"/>
                <w:szCs w:val="21"/>
              </w:rPr>
            </w:pPr>
            <w:r>
              <w:rPr>
                <w:color w:val="auto"/>
                <w:kern w:val="0"/>
                <w:sz w:val="21"/>
                <w:szCs w:val="21"/>
              </w:rPr>
              <w:t>三氯乙烯</w:t>
            </w:r>
          </w:p>
        </w:tc>
        <w:tc>
          <w:tcPr>
            <w:tcW w:w="375" w:type="pct"/>
            <w:vAlign w:val="center"/>
          </w:tcPr>
          <w:p w14:paraId="567A058E">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26086E09">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7B2DF67">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CB5B6F7">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0EF07F2F">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580975E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4563BC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0C5F7B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5DD02E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6189847">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3B9B78F">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B9DA79A">
            <w:pPr>
              <w:spacing w:line="240" w:lineRule="auto"/>
              <w:ind w:firstLine="0" w:firstLineChars="0"/>
              <w:jc w:val="center"/>
              <w:rPr>
                <w:bCs/>
                <w:color w:val="auto"/>
                <w:sz w:val="21"/>
                <w:szCs w:val="21"/>
              </w:rPr>
            </w:pPr>
            <w:r>
              <w:rPr>
                <w:rFonts w:hint="eastAsia"/>
                <w:bCs/>
                <w:color w:val="auto"/>
                <w:sz w:val="21"/>
                <w:szCs w:val="21"/>
              </w:rPr>
              <w:t>ND</w:t>
            </w:r>
          </w:p>
        </w:tc>
      </w:tr>
      <w:tr w14:paraId="7E2C9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400519FD">
            <w:pPr>
              <w:spacing w:line="240" w:lineRule="auto"/>
              <w:ind w:firstLine="0" w:firstLineChars="0"/>
              <w:jc w:val="center"/>
              <w:rPr>
                <w:bCs/>
                <w:color w:val="auto"/>
                <w:sz w:val="21"/>
                <w:szCs w:val="21"/>
              </w:rPr>
            </w:pPr>
            <w:r>
              <w:rPr>
                <w:color w:val="auto"/>
                <w:kern w:val="0"/>
                <w:sz w:val="21"/>
                <w:szCs w:val="21"/>
              </w:rPr>
              <w:t>1,2,3-三氯丙烷</w:t>
            </w:r>
          </w:p>
        </w:tc>
        <w:tc>
          <w:tcPr>
            <w:tcW w:w="375" w:type="pct"/>
            <w:vAlign w:val="center"/>
          </w:tcPr>
          <w:p w14:paraId="74C3AB9B">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9D530F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D92922A">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21D9C906">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869D164">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2E29269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EB45552">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FF81D8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788452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C9C84CD">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2EC5586">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72E61218">
            <w:pPr>
              <w:spacing w:line="240" w:lineRule="auto"/>
              <w:ind w:firstLine="0" w:firstLineChars="0"/>
              <w:jc w:val="center"/>
              <w:rPr>
                <w:bCs/>
                <w:color w:val="auto"/>
                <w:sz w:val="21"/>
                <w:szCs w:val="21"/>
              </w:rPr>
            </w:pPr>
            <w:r>
              <w:rPr>
                <w:rFonts w:hint="eastAsia"/>
                <w:bCs/>
                <w:color w:val="auto"/>
                <w:sz w:val="21"/>
                <w:szCs w:val="21"/>
              </w:rPr>
              <w:t>ND</w:t>
            </w:r>
          </w:p>
        </w:tc>
      </w:tr>
      <w:tr w14:paraId="1E5A1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96" w:type="pct"/>
            <w:shd w:val="clear" w:color="auto" w:fill="FFFFFF" w:themeFill="background1"/>
            <w:vAlign w:val="center"/>
          </w:tcPr>
          <w:p w14:paraId="45777097">
            <w:pPr>
              <w:spacing w:line="240" w:lineRule="auto"/>
              <w:ind w:firstLine="0" w:firstLineChars="0"/>
              <w:jc w:val="center"/>
              <w:rPr>
                <w:bCs/>
                <w:color w:val="auto"/>
                <w:sz w:val="21"/>
                <w:szCs w:val="21"/>
              </w:rPr>
            </w:pPr>
            <w:r>
              <w:rPr>
                <w:color w:val="auto"/>
                <w:kern w:val="0"/>
                <w:sz w:val="21"/>
                <w:szCs w:val="21"/>
              </w:rPr>
              <w:t>氯乙烯</w:t>
            </w:r>
          </w:p>
        </w:tc>
        <w:tc>
          <w:tcPr>
            <w:tcW w:w="375" w:type="pct"/>
            <w:vAlign w:val="center"/>
          </w:tcPr>
          <w:p w14:paraId="15D8F01F">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6CC5FFD1">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65C3C12">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CCBED5D">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0B89076">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93688C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D92DCF9">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454531D">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8E3668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B04AF42">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2D06980">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61806FC">
            <w:pPr>
              <w:spacing w:line="240" w:lineRule="auto"/>
              <w:ind w:firstLine="0" w:firstLineChars="0"/>
              <w:jc w:val="center"/>
              <w:rPr>
                <w:bCs/>
                <w:color w:val="auto"/>
                <w:sz w:val="21"/>
                <w:szCs w:val="21"/>
              </w:rPr>
            </w:pPr>
            <w:r>
              <w:rPr>
                <w:rFonts w:hint="eastAsia"/>
                <w:bCs/>
                <w:color w:val="auto"/>
                <w:sz w:val="21"/>
                <w:szCs w:val="21"/>
              </w:rPr>
              <w:t>ND</w:t>
            </w:r>
          </w:p>
        </w:tc>
      </w:tr>
      <w:tr w14:paraId="4F4EB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2824A2DA">
            <w:pPr>
              <w:spacing w:line="240" w:lineRule="auto"/>
              <w:ind w:firstLine="0" w:firstLineChars="0"/>
              <w:jc w:val="center"/>
              <w:rPr>
                <w:bCs/>
                <w:color w:val="auto"/>
                <w:sz w:val="21"/>
                <w:szCs w:val="21"/>
              </w:rPr>
            </w:pPr>
            <w:r>
              <w:rPr>
                <w:color w:val="auto"/>
                <w:kern w:val="0"/>
                <w:sz w:val="21"/>
                <w:szCs w:val="21"/>
              </w:rPr>
              <w:t>苯</w:t>
            </w:r>
          </w:p>
        </w:tc>
        <w:tc>
          <w:tcPr>
            <w:tcW w:w="375" w:type="pct"/>
            <w:vAlign w:val="center"/>
          </w:tcPr>
          <w:p w14:paraId="14E67239">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12DAB91">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23FFD35">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35CA1562">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D962DCF">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83FCB8B">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64A3500">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5F2029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5F0654D">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6220533">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6E0FA12">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3716C94">
            <w:pPr>
              <w:spacing w:line="240" w:lineRule="auto"/>
              <w:ind w:firstLine="0" w:firstLineChars="0"/>
              <w:jc w:val="center"/>
              <w:rPr>
                <w:bCs/>
                <w:color w:val="auto"/>
                <w:sz w:val="21"/>
                <w:szCs w:val="21"/>
              </w:rPr>
            </w:pPr>
            <w:r>
              <w:rPr>
                <w:rFonts w:hint="eastAsia"/>
                <w:bCs/>
                <w:color w:val="auto"/>
                <w:sz w:val="21"/>
                <w:szCs w:val="21"/>
              </w:rPr>
              <w:t>ND</w:t>
            </w:r>
          </w:p>
        </w:tc>
      </w:tr>
      <w:tr w14:paraId="5D4F4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4707B58">
            <w:pPr>
              <w:spacing w:line="240" w:lineRule="auto"/>
              <w:ind w:firstLine="0" w:firstLineChars="0"/>
              <w:jc w:val="center"/>
              <w:rPr>
                <w:bCs/>
                <w:color w:val="auto"/>
                <w:sz w:val="21"/>
                <w:szCs w:val="21"/>
              </w:rPr>
            </w:pPr>
            <w:r>
              <w:rPr>
                <w:color w:val="auto"/>
                <w:kern w:val="0"/>
                <w:sz w:val="21"/>
                <w:szCs w:val="21"/>
              </w:rPr>
              <w:t>氯苯</w:t>
            </w:r>
          </w:p>
        </w:tc>
        <w:tc>
          <w:tcPr>
            <w:tcW w:w="375" w:type="pct"/>
            <w:vAlign w:val="center"/>
          </w:tcPr>
          <w:p w14:paraId="04099505">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02FDAB1">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C93632D">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686314FE">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A9F3D74">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CF75581">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7BFC948">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3618D00">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9040A3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3F9A32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A163576">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31BB7F67">
            <w:pPr>
              <w:spacing w:line="240" w:lineRule="auto"/>
              <w:ind w:firstLine="0" w:firstLineChars="0"/>
              <w:jc w:val="center"/>
              <w:rPr>
                <w:bCs/>
                <w:color w:val="auto"/>
                <w:sz w:val="21"/>
                <w:szCs w:val="21"/>
              </w:rPr>
            </w:pPr>
            <w:r>
              <w:rPr>
                <w:rFonts w:hint="eastAsia"/>
                <w:bCs/>
                <w:color w:val="auto"/>
                <w:sz w:val="21"/>
                <w:szCs w:val="21"/>
              </w:rPr>
              <w:t>ND</w:t>
            </w:r>
          </w:p>
        </w:tc>
      </w:tr>
      <w:tr w14:paraId="6977E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33E07686">
            <w:pPr>
              <w:spacing w:line="240" w:lineRule="auto"/>
              <w:ind w:firstLine="0" w:firstLineChars="0"/>
              <w:jc w:val="center"/>
              <w:rPr>
                <w:bCs/>
                <w:color w:val="auto"/>
                <w:sz w:val="21"/>
                <w:szCs w:val="21"/>
              </w:rPr>
            </w:pPr>
            <w:r>
              <w:rPr>
                <w:color w:val="auto"/>
                <w:kern w:val="0"/>
                <w:sz w:val="21"/>
                <w:szCs w:val="21"/>
              </w:rPr>
              <w:t>1,2-二氯苯</w:t>
            </w:r>
          </w:p>
        </w:tc>
        <w:tc>
          <w:tcPr>
            <w:tcW w:w="375" w:type="pct"/>
            <w:vAlign w:val="center"/>
          </w:tcPr>
          <w:p w14:paraId="5A00A092">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259A2724">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3BD707B">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058E0EC">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B7F1F98">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E5A4C7C">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A9FB89D">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764B2F9">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745445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C092132">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B599893">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A44C8D0">
            <w:pPr>
              <w:spacing w:line="240" w:lineRule="auto"/>
              <w:ind w:firstLine="0" w:firstLineChars="0"/>
              <w:jc w:val="center"/>
              <w:rPr>
                <w:bCs/>
                <w:color w:val="auto"/>
                <w:sz w:val="21"/>
                <w:szCs w:val="21"/>
              </w:rPr>
            </w:pPr>
            <w:r>
              <w:rPr>
                <w:rFonts w:hint="eastAsia"/>
                <w:bCs/>
                <w:color w:val="auto"/>
                <w:sz w:val="21"/>
                <w:szCs w:val="21"/>
              </w:rPr>
              <w:t>ND</w:t>
            </w:r>
          </w:p>
        </w:tc>
      </w:tr>
      <w:tr w14:paraId="4F7F8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4CA37807">
            <w:pPr>
              <w:spacing w:line="240" w:lineRule="auto"/>
              <w:ind w:firstLine="0" w:firstLineChars="0"/>
              <w:jc w:val="center"/>
              <w:rPr>
                <w:bCs/>
                <w:color w:val="auto"/>
                <w:sz w:val="21"/>
                <w:szCs w:val="21"/>
              </w:rPr>
            </w:pPr>
            <w:r>
              <w:rPr>
                <w:color w:val="auto"/>
                <w:kern w:val="0"/>
                <w:sz w:val="21"/>
                <w:szCs w:val="21"/>
              </w:rPr>
              <w:t>1,4-二氯苯</w:t>
            </w:r>
          </w:p>
        </w:tc>
        <w:tc>
          <w:tcPr>
            <w:tcW w:w="375" w:type="pct"/>
            <w:vAlign w:val="center"/>
          </w:tcPr>
          <w:p w14:paraId="09A990F8">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E3A75E7">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FE8C70B">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ACD247B">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0BFAC996">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5E2D5C6B">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5D85BA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3B3834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C7EAFD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D84560C">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93134BE">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5D4A7257">
            <w:pPr>
              <w:spacing w:line="240" w:lineRule="auto"/>
              <w:ind w:firstLine="0" w:firstLineChars="0"/>
              <w:jc w:val="center"/>
              <w:rPr>
                <w:bCs/>
                <w:color w:val="auto"/>
                <w:sz w:val="21"/>
                <w:szCs w:val="21"/>
              </w:rPr>
            </w:pPr>
            <w:r>
              <w:rPr>
                <w:rFonts w:hint="eastAsia"/>
                <w:bCs/>
                <w:color w:val="auto"/>
                <w:sz w:val="21"/>
                <w:szCs w:val="21"/>
              </w:rPr>
              <w:t>ND</w:t>
            </w:r>
          </w:p>
        </w:tc>
      </w:tr>
      <w:tr w14:paraId="05924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718FDF6B">
            <w:pPr>
              <w:spacing w:line="240" w:lineRule="auto"/>
              <w:ind w:firstLine="0" w:firstLineChars="0"/>
              <w:jc w:val="center"/>
              <w:rPr>
                <w:bCs/>
                <w:color w:val="auto"/>
                <w:sz w:val="21"/>
                <w:szCs w:val="21"/>
              </w:rPr>
            </w:pPr>
            <w:r>
              <w:rPr>
                <w:color w:val="auto"/>
                <w:kern w:val="0"/>
                <w:sz w:val="21"/>
                <w:szCs w:val="21"/>
              </w:rPr>
              <w:t>乙苯</w:t>
            </w:r>
          </w:p>
        </w:tc>
        <w:tc>
          <w:tcPr>
            <w:tcW w:w="375" w:type="pct"/>
            <w:vAlign w:val="center"/>
          </w:tcPr>
          <w:p w14:paraId="49B4BB79">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C7DD856">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2A81E75">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20014A65">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B8F91FF">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546E05A">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2CC0849">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865CC86">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26B7623">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55640B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002624F">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B19E72C">
            <w:pPr>
              <w:spacing w:line="240" w:lineRule="auto"/>
              <w:ind w:firstLine="0" w:firstLineChars="0"/>
              <w:jc w:val="center"/>
              <w:rPr>
                <w:bCs/>
                <w:color w:val="auto"/>
                <w:sz w:val="21"/>
                <w:szCs w:val="21"/>
              </w:rPr>
            </w:pPr>
            <w:r>
              <w:rPr>
                <w:rFonts w:hint="eastAsia"/>
                <w:bCs/>
                <w:color w:val="auto"/>
                <w:sz w:val="21"/>
                <w:szCs w:val="21"/>
              </w:rPr>
              <w:t>ND</w:t>
            </w:r>
          </w:p>
        </w:tc>
      </w:tr>
      <w:tr w14:paraId="70B63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5003AE7B">
            <w:pPr>
              <w:spacing w:line="240" w:lineRule="auto"/>
              <w:ind w:firstLine="0" w:firstLineChars="0"/>
              <w:jc w:val="center"/>
              <w:rPr>
                <w:bCs/>
                <w:color w:val="auto"/>
                <w:sz w:val="21"/>
                <w:szCs w:val="21"/>
              </w:rPr>
            </w:pPr>
            <w:r>
              <w:rPr>
                <w:color w:val="auto"/>
                <w:kern w:val="0"/>
                <w:sz w:val="21"/>
                <w:szCs w:val="21"/>
              </w:rPr>
              <w:t>苯乙烯</w:t>
            </w:r>
          </w:p>
        </w:tc>
        <w:tc>
          <w:tcPr>
            <w:tcW w:w="375" w:type="pct"/>
            <w:vAlign w:val="center"/>
          </w:tcPr>
          <w:p w14:paraId="5FA86F92">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33B7E6E8">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CB91408">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2E9698BF">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5D467A73">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CA224BA">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D11E7A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267CDD5">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FA7BFEE">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4203A51">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9FB921E">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2DACA61">
            <w:pPr>
              <w:spacing w:line="240" w:lineRule="auto"/>
              <w:ind w:firstLine="0" w:firstLineChars="0"/>
              <w:jc w:val="center"/>
              <w:rPr>
                <w:bCs/>
                <w:color w:val="auto"/>
                <w:sz w:val="21"/>
                <w:szCs w:val="21"/>
              </w:rPr>
            </w:pPr>
            <w:r>
              <w:rPr>
                <w:rFonts w:hint="eastAsia"/>
                <w:bCs/>
                <w:color w:val="auto"/>
                <w:sz w:val="21"/>
                <w:szCs w:val="21"/>
              </w:rPr>
              <w:t>ND</w:t>
            </w:r>
          </w:p>
        </w:tc>
      </w:tr>
      <w:tr w14:paraId="5EEA2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7EB8564B">
            <w:pPr>
              <w:spacing w:line="240" w:lineRule="auto"/>
              <w:ind w:firstLine="0" w:firstLineChars="0"/>
              <w:jc w:val="center"/>
              <w:rPr>
                <w:bCs/>
                <w:color w:val="auto"/>
                <w:sz w:val="21"/>
                <w:szCs w:val="21"/>
              </w:rPr>
            </w:pPr>
            <w:r>
              <w:rPr>
                <w:color w:val="auto"/>
                <w:kern w:val="0"/>
                <w:sz w:val="21"/>
                <w:szCs w:val="21"/>
              </w:rPr>
              <w:t>甲苯</w:t>
            </w:r>
          </w:p>
        </w:tc>
        <w:tc>
          <w:tcPr>
            <w:tcW w:w="375" w:type="pct"/>
            <w:vAlign w:val="center"/>
          </w:tcPr>
          <w:p w14:paraId="10F5B186">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1AD14DB">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DADB49C">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E98B179">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5C0A3F05">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8696C2F">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EC57B0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01CDC6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6B7D4F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0990ADD">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8C263B1">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644B3E5">
            <w:pPr>
              <w:spacing w:line="240" w:lineRule="auto"/>
              <w:ind w:firstLine="0" w:firstLineChars="0"/>
              <w:jc w:val="center"/>
              <w:rPr>
                <w:bCs/>
                <w:color w:val="auto"/>
                <w:sz w:val="21"/>
                <w:szCs w:val="21"/>
              </w:rPr>
            </w:pPr>
            <w:r>
              <w:rPr>
                <w:rFonts w:hint="eastAsia"/>
                <w:bCs/>
                <w:color w:val="auto"/>
                <w:sz w:val="21"/>
                <w:szCs w:val="21"/>
              </w:rPr>
              <w:t>ND</w:t>
            </w:r>
          </w:p>
        </w:tc>
      </w:tr>
      <w:tr w14:paraId="29821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62EDD263">
            <w:pPr>
              <w:spacing w:line="240" w:lineRule="auto"/>
              <w:ind w:firstLine="0" w:firstLineChars="0"/>
              <w:jc w:val="center"/>
              <w:rPr>
                <w:bCs/>
                <w:color w:val="auto"/>
                <w:sz w:val="21"/>
                <w:szCs w:val="21"/>
              </w:rPr>
            </w:pPr>
            <w:r>
              <w:rPr>
                <w:color w:val="auto"/>
                <w:kern w:val="0"/>
                <w:sz w:val="21"/>
                <w:szCs w:val="21"/>
              </w:rPr>
              <w:t>间二甲苯+对二甲苯</w:t>
            </w:r>
          </w:p>
        </w:tc>
        <w:tc>
          <w:tcPr>
            <w:tcW w:w="375" w:type="pct"/>
            <w:vAlign w:val="center"/>
          </w:tcPr>
          <w:p w14:paraId="6F2B47D5">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5B864DB8">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10FF3C5">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2D61FA6F">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64672E1C">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0E925B93">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E3276A0">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40A0EC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5D3A3F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F1630B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017D2703">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98013B8">
            <w:pPr>
              <w:spacing w:line="240" w:lineRule="auto"/>
              <w:ind w:firstLine="0" w:firstLineChars="0"/>
              <w:jc w:val="center"/>
              <w:rPr>
                <w:bCs/>
                <w:color w:val="auto"/>
                <w:sz w:val="21"/>
                <w:szCs w:val="21"/>
              </w:rPr>
            </w:pPr>
            <w:r>
              <w:rPr>
                <w:rFonts w:hint="eastAsia"/>
                <w:bCs/>
                <w:color w:val="auto"/>
                <w:sz w:val="21"/>
                <w:szCs w:val="21"/>
              </w:rPr>
              <w:t>ND</w:t>
            </w:r>
          </w:p>
        </w:tc>
      </w:tr>
      <w:tr w14:paraId="1AEB1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33122D0B">
            <w:pPr>
              <w:spacing w:line="240" w:lineRule="auto"/>
              <w:ind w:firstLine="0" w:firstLineChars="0"/>
              <w:jc w:val="center"/>
              <w:rPr>
                <w:bCs/>
                <w:color w:val="auto"/>
                <w:sz w:val="21"/>
                <w:szCs w:val="21"/>
              </w:rPr>
            </w:pPr>
            <w:r>
              <w:rPr>
                <w:color w:val="auto"/>
                <w:kern w:val="0"/>
                <w:sz w:val="21"/>
                <w:szCs w:val="21"/>
              </w:rPr>
              <w:t>邻二甲苯</w:t>
            </w:r>
          </w:p>
        </w:tc>
        <w:tc>
          <w:tcPr>
            <w:tcW w:w="375" w:type="pct"/>
            <w:vAlign w:val="center"/>
          </w:tcPr>
          <w:p w14:paraId="73AD3AE9">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76C52DC">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7D4B035">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BCCA078">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57963CD">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7BB0F674">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0B3E19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F3BAC6B">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7E2CE5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F38483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DD92FB3">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3B93646">
            <w:pPr>
              <w:spacing w:line="240" w:lineRule="auto"/>
              <w:ind w:firstLine="0" w:firstLineChars="0"/>
              <w:jc w:val="center"/>
              <w:rPr>
                <w:bCs/>
                <w:color w:val="auto"/>
                <w:sz w:val="21"/>
                <w:szCs w:val="21"/>
              </w:rPr>
            </w:pPr>
            <w:r>
              <w:rPr>
                <w:rFonts w:hint="eastAsia"/>
                <w:bCs/>
                <w:color w:val="auto"/>
                <w:sz w:val="21"/>
                <w:szCs w:val="21"/>
              </w:rPr>
              <w:t>ND</w:t>
            </w:r>
          </w:p>
        </w:tc>
      </w:tr>
      <w:tr w14:paraId="72A4C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54FF607A">
            <w:pPr>
              <w:spacing w:line="240" w:lineRule="auto"/>
              <w:ind w:firstLine="0" w:firstLineChars="0"/>
              <w:jc w:val="center"/>
              <w:rPr>
                <w:color w:val="auto"/>
                <w:kern w:val="0"/>
                <w:sz w:val="21"/>
                <w:szCs w:val="21"/>
              </w:rPr>
            </w:pPr>
            <w:r>
              <w:rPr>
                <w:color w:val="auto"/>
                <w:kern w:val="0"/>
                <w:sz w:val="21"/>
                <w:szCs w:val="21"/>
              </w:rPr>
              <w:t>硝基苯</w:t>
            </w:r>
          </w:p>
        </w:tc>
        <w:tc>
          <w:tcPr>
            <w:tcW w:w="375" w:type="pct"/>
            <w:vAlign w:val="center"/>
          </w:tcPr>
          <w:p w14:paraId="443010F8">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C61A50D">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BF3D739">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3539ED7B">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13A1A1BD">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612CE971">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67F1D6F">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2B91C05">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DE67E2D">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75F084A">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C8DBBCE">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54583458">
            <w:pPr>
              <w:spacing w:line="240" w:lineRule="auto"/>
              <w:ind w:firstLine="0" w:firstLineChars="0"/>
              <w:jc w:val="center"/>
              <w:rPr>
                <w:bCs/>
                <w:color w:val="auto"/>
                <w:sz w:val="21"/>
                <w:szCs w:val="21"/>
              </w:rPr>
            </w:pPr>
            <w:r>
              <w:rPr>
                <w:rFonts w:hint="eastAsia"/>
                <w:bCs/>
                <w:color w:val="auto"/>
                <w:sz w:val="21"/>
                <w:szCs w:val="21"/>
              </w:rPr>
              <w:t>ND</w:t>
            </w:r>
          </w:p>
        </w:tc>
      </w:tr>
      <w:tr w14:paraId="3D59D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380998AA">
            <w:pPr>
              <w:spacing w:line="240" w:lineRule="auto"/>
              <w:ind w:firstLine="0" w:firstLineChars="0"/>
              <w:jc w:val="center"/>
              <w:rPr>
                <w:color w:val="auto"/>
                <w:kern w:val="0"/>
                <w:sz w:val="21"/>
                <w:szCs w:val="21"/>
              </w:rPr>
            </w:pPr>
            <w:r>
              <w:rPr>
                <w:color w:val="auto"/>
                <w:kern w:val="0"/>
                <w:sz w:val="21"/>
                <w:szCs w:val="21"/>
              </w:rPr>
              <w:t>苯胺</w:t>
            </w:r>
          </w:p>
        </w:tc>
        <w:tc>
          <w:tcPr>
            <w:tcW w:w="375" w:type="pct"/>
            <w:vAlign w:val="center"/>
          </w:tcPr>
          <w:p w14:paraId="36F9FC70">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90F602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DF94E08">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7F75B869">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2FEBDD3C">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15E43F46">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2797E1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67C394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A638CA0">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0343B5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09B1840">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21CC318F">
            <w:pPr>
              <w:spacing w:line="240" w:lineRule="auto"/>
              <w:ind w:firstLine="0" w:firstLineChars="0"/>
              <w:jc w:val="center"/>
              <w:rPr>
                <w:bCs/>
                <w:color w:val="auto"/>
                <w:sz w:val="21"/>
                <w:szCs w:val="21"/>
              </w:rPr>
            </w:pPr>
            <w:r>
              <w:rPr>
                <w:rFonts w:hint="eastAsia"/>
                <w:bCs/>
                <w:color w:val="auto"/>
                <w:sz w:val="21"/>
                <w:szCs w:val="21"/>
              </w:rPr>
              <w:t>ND</w:t>
            </w:r>
          </w:p>
        </w:tc>
      </w:tr>
      <w:tr w14:paraId="7AE8C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6B42AEA">
            <w:pPr>
              <w:spacing w:line="240" w:lineRule="auto"/>
              <w:ind w:firstLine="0" w:firstLineChars="0"/>
              <w:jc w:val="center"/>
              <w:rPr>
                <w:color w:val="auto"/>
                <w:kern w:val="0"/>
                <w:sz w:val="21"/>
                <w:szCs w:val="21"/>
              </w:rPr>
            </w:pPr>
            <w:r>
              <w:rPr>
                <w:color w:val="auto"/>
                <w:kern w:val="0"/>
                <w:sz w:val="21"/>
                <w:szCs w:val="21"/>
              </w:rPr>
              <w:t>2-氯酚</w:t>
            </w:r>
          </w:p>
        </w:tc>
        <w:tc>
          <w:tcPr>
            <w:tcW w:w="375" w:type="pct"/>
            <w:vAlign w:val="center"/>
          </w:tcPr>
          <w:p w14:paraId="351849F4">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65F656C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F35AE39">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2BE4AA1F">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AFA3BCC">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6D828C4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2B3F2B4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CD42C0D">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0EBCEC8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D5535F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8D6AAE1">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34378733">
            <w:pPr>
              <w:spacing w:line="240" w:lineRule="auto"/>
              <w:ind w:firstLine="0" w:firstLineChars="0"/>
              <w:jc w:val="center"/>
              <w:rPr>
                <w:bCs/>
                <w:color w:val="auto"/>
                <w:sz w:val="21"/>
                <w:szCs w:val="21"/>
              </w:rPr>
            </w:pPr>
            <w:r>
              <w:rPr>
                <w:rFonts w:hint="eastAsia"/>
                <w:bCs/>
                <w:color w:val="auto"/>
                <w:sz w:val="21"/>
                <w:szCs w:val="21"/>
              </w:rPr>
              <w:t>ND</w:t>
            </w:r>
          </w:p>
        </w:tc>
      </w:tr>
      <w:tr w14:paraId="3C35E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4D9768D">
            <w:pPr>
              <w:spacing w:line="240" w:lineRule="auto"/>
              <w:ind w:firstLine="0" w:firstLineChars="0"/>
              <w:jc w:val="center"/>
              <w:rPr>
                <w:color w:val="auto"/>
                <w:kern w:val="0"/>
                <w:sz w:val="21"/>
                <w:szCs w:val="21"/>
              </w:rPr>
            </w:pPr>
            <w:r>
              <w:rPr>
                <w:color w:val="auto"/>
                <w:kern w:val="0"/>
                <w:sz w:val="21"/>
                <w:szCs w:val="21"/>
              </w:rPr>
              <w:t>苯并[a]蒽</w:t>
            </w:r>
          </w:p>
        </w:tc>
        <w:tc>
          <w:tcPr>
            <w:tcW w:w="375" w:type="pct"/>
            <w:vAlign w:val="center"/>
          </w:tcPr>
          <w:p w14:paraId="02779388">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0A30095">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B2B54DC">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059E26CA">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6ED6EC98">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2B0B9B0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C8B5A5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0760678">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C459BD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DA59BDC">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2F8115C2">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F718090">
            <w:pPr>
              <w:spacing w:line="240" w:lineRule="auto"/>
              <w:ind w:firstLine="0" w:firstLineChars="0"/>
              <w:jc w:val="center"/>
              <w:rPr>
                <w:bCs/>
                <w:color w:val="auto"/>
                <w:sz w:val="21"/>
                <w:szCs w:val="21"/>
              </w:rPr>
            </w:pPr>
            <w:r>
              <w:rPr>
                <w:rFonts w:hint="eastAsia"/>
                <w:bCs/>
                <w:color w:val="auto"/>
                <w:sz w:val="21"/>
                <w:szCs w:val="21"/>
              </w:rPr>
              <w:t>ND</w:t>
            </w:r>
          </w:p>
        </w:tc>
      </w:tr>
      <w:tr w14:paraId="0BC77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7D12DAF1">
            <w:pPr>
              <w:spacing w:line="240" w:lineRule="auto"/>
              <w:ind w:firstLine="0" w:firstLineChars="0"/>
              <w:jc w:val="center"/>
              <w:rPr>
                <w:color w:val="auto"/>
                <w:kern w:val="0"/>
                <w:sz w:val="21"/>
                <w:szCs w:val="21"/>
              </w:rPr>
            </w:pPr>
            <w:r>
              <w:rPr>
                <w:color w:val="auto"/>
                <w:kern w:val="0"/>
                <w:sz w:val="21"/>
                <w:szCs w:val="21"/>
              </w:rPr>
              <w:t>苯并[a]芘</w:t>
            </w:r>
          </w:p>
        </w:tc>
        <w:tc>
          <w:tcPr>
            <w:tcW w:w="375" w:type="pct"/>
            <w:vAlign w:val="center"/>
          </w:tcPr>
          <w:p w14:paraId="74DD387C">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3FA338F4">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D9D0514">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7FF87BFE">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BC02431">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66A6321E">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A6832B5">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C559286">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BB3FC03">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50F1E4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169866BF">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542D61CA">
            <w:pPr>
              <w:spacing w:line="240" w:lineRule="auto"/>
              <w:ind w:firstLine="0" w:firstLineChars="0"/>
              <w:jc w:val="center"/>
              <w:rPr>
                <w:bCs/>
                <w:color w:val="auto"/>
                <w:sz w:val="21"/>
                <w:szCs w:val="21"/>
              </w:rPr>
            </w:pPr>
            <w:r>
              <w:rPr>
                <w:rFonts w:hint="eastAsia"/>
                <w:bCs/>
                <w:color w:val="auto"/>
                <w:sz w:val="21"/>
                <w:szCs w:val="21"/>
              </w:rPr>
              <w:t>ND</w:t>
            </w:r>
          </w:p>
        </w:tc>
      </w:tr>
      <w:tr w14:paraId="176E6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6B88AD04">
            <w:pPr>
              <w:spacing w:line="240" w:lineRule="auto"/>
              <w:ind w:firstLine="0" w:firstLineChars="0"/>
              <w:jc w:val="center"/>
              <w:rPr>
                <w:color w:val="auto"/>
                <w:kern w:val="0"/>
                <w:sz w:val="21"/>
                <w:szCs w:val="21"/>
              </w:rPr>
            </w:pPr>
            <w:r>
              <w:rPr>
                <w:color w:val="auto"/>
                <w:kern w:val="0"/>
                <w:sz w:val="21"/>
                <w:szCs w:val="21"/>
              </w:rPr>
              <w:t>苯并[b]荧蒽</w:t>
            </w:r>
          </w:p>
        </w:tc>
        <w:tc>
          <w:tcPr>
            <w:tcW w:w="375" w:type="pct"/>
            <w:vAlign w:val="center"/>
          </w:tcPr>
          <w:p w14:paraId="7DFE4E36">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02D0FB7A">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3CD7F74">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3635FA0E">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9CDE146">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3EBAAF29">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F81492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442FF6D">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289733AE">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07276F9">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5B8BC5FC">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327CB3AC">
            <w:pPr>
              <w:spacing w:line="240" w:lineRule="auto"/>
              <w:ind w:firstLine="0" w:firstLineChars="0"/>
              <w:jc w:val="center"/>
              <w:rPr>
                <w:bCs/>
                <w:color w:val="auto"/>
                <w:sz w:val="21"/>
                <w:szCs w:val="21"/>
              </w:rPr>
            </w:pPr>
            <w:r>
              <w:rPr>
                <w:rFonts w:hint="eastAsia"/>
                <w:bCs/>
                <w:color w:val="auto"/>
                <w:sz w:val="21"/>
                <w:szCs w:val="21"/>
              </w:rPr>
              <w:t>ND</w:t>
            </w:r>
          </w:p>
        </w:tc>
      </w:tr>
      <w:tr w14:paraId="114B6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D4D1A70">
            <w:pPr>
              <w:spacing w:line="240" w:lineRule="auto"/>
              <w:ind w:firstLine="0" w:firstLineChars="0"/>
              <w:jc w:val="center"/>
              <w:rPr>
                <w:color w:val="auto"/>
                <w:kern w:val="0"/>
                <w:sz w:val="21"/>
                <w:szCs w:val="21"/>
              </w:rPr>
            </w:pPr>
            <w:r>
              <w:rPr>
                <w:color w:val="auto"/>
                <w:kern w:val="0"/>
                <w:sz w:val="21"/>
                <w:szCs w:val="21"/>
              </w:rPr>
              <w:t>苯并[k]荧蒽</w:t>
            </w:r>
          </w:p>
        </w:tc>
        <w:tc>
          <w:tcPr>
            <w:tcW w:w="375" w:type="pct"/>
            <w:vAlign w:val="center"/>
          </w:tcPr>
          <w:p w14:paraId="5BBE84BB">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13CF6152">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6F15C3F">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361F706A">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34B4193C">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2548FF5B">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2CE1B12">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0DE6B7C">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AC98DF1">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1F179DC">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E180A18">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1D0D0911">
            <w:pPr>
              <w:spacing w:line="240" w:lineRule="auto"/>
              <w:ind w:firstLine="0" w:firstLineChars="0"/>
              <w:jc w:val="center"/>
              <w:rPr>
                <w:bCs/>
                <w:color w:val="auto"/>
                <w:sz w:val="21"/>
                <w:szCs w:val="21"/>
              </w:rPr>
            </w:pPr>
            <w:r>
              <w:rPr>
                <w:rFonts w:hint="eastAsia"/>
                <w:bCs/>
                <w:color w:val="auto"/>
                <w:sz w:val="21"/>
                <w:szCs w:val="21"/>
              </w:rPr>
              <w:t>ND</w:t>
            </w:r>
          </w:p>
        </w:tc>
      </w:tr>
      <w:tr w14:paraId="09517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575B4D2B">
            <w:pPr>
              <w:spacing w:line="240" w:lineRule="auto"/>
              <w:ind w:firstLine="0" w:firstLineChars="0"/>
              <w:jc w:val="center"/>
              <w:rPr>
                <w:color w:val="auto"/>
                <w:kern w:val="0"/>
                <w:sz w:val="21"/>
                <w:szCs w:val="21"/>
              </w:rPr>
            </w:pPr>
            <w:r>
              <w:rPr>
                <w:color w:val="auto"/>
                <w:kern w:val="0"/>
                <w:sz w:val="21"/>
                <w:szCs w:val="21"/>
              </w:rPr>
              <w:t>䓛</w:t>
            </w:r>
          </w:p>
        </w:tc>
        <w:tc>
          <w:tcPr>
            <w:tcW w:w="375" w:type="pct"/>
            <w:vAlign w:val="center"/>
          </w:tcPr>
          <w:p w14:paraId="3AE20775">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49249D9E">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743C0747">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C4B0F2F">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581C7199">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1B89BA61">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1EC28E4">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60780DBE">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C773B15">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DB4392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1B9469C">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47E036CD">
            <w:pPr>
              <w:spacing w:line="240" w:lineRule="auto"/>
              <w:ind w:firstLine="0" w:firstLineChars="0"/>
              <w:jc w:val="center"/>
              <w:rPr>
                <w:bCs/>
                <w:color w:val="auto"/>
                <w:sz w:val="21"/>
                <w:szCs w:val="21"/>
              </w:rPr>
            </w:pPr>
            <w:r>
              <w:rPr>
                <w:rFonts w:hint="eastAsia"/>
                <w:bCs/>
                <w:color w:val="auto"/>
                <w:sz w:val="21"/>
                <w:szCs w:val="21"/>
              </w:rPr>
              <w:t>ND</w:t>
            </w:r>
          </w:p>
        </w:tc>
      </w:tr>
      <w:tr w14:paraId="20025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C36263F">
            <w:pPr>
              <w:spacing w:line="240" w:lineRule="auto"/>
              <w:ind w:firstLine="0" w:firstLineChars="0"/>
              <w:jc w:val="center"/>
              <w:rPr>
                <w:color w:val="auto"/>
                <w:kern w:val="0"/>
                <w:sz w:val="21"/>
                <w:szCs w:val="21"/>
              </w:rPr>
            </w:pPr>
            <w:r>
              <w:rPr>
                <w:color w:val="auto"/>
                <w:kern w:val="0"/>
                <w:sz w:val="21"/>
                <w:szCs w:val="21"/>
              </w:rPr>
              <w:t>二苯并[a, h]蒽</w:t>
            </w:r>
          </w:p>
        </w:tc>
        <w:tc>
          <w:tcPr>
            <w:tcW w:w="375" w:type="pct"/>
            <w:vAlign w:val="center"/>
          </w:tcPr>
          <w:p w14:paraId="2B099329">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72823250">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6ADE8297">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4332F24E">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1EAA66B2">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74592A10">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1854662B">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569ACD95">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712F9CE8">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3B0AD9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083F876">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0A021DFE">
            <w:pPr>
              <w:spacing w:line="240" w:lineRule="auto"/>
              <w:ind w:firstLine="0" w:firstLineChars="0"/>
              <w:jc w:val="center"/>
              <w:rPr>
                <w:bCs/>
                <w:color w:val="auto"/>
                <w:sz w:val="21"/>
                <w:szCs w:val="21"/>
              </w:rPr>
            </w:pPr>
            <w:r>
              <w:rPr>
                <w:rFonts w:hint="eastAsia"/>
                <w:bCs/>
                <w:color w:val="auto"/>
                <w:sz w:val="21"/>
                <w:szCs w:val="21"/>
              </w:rPr>
              <w:t>ND</w:t>
            </w:r>
          </w:p>
        </w:tc>
      </w:tr>
      <w:tr w14:paraId="68E04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18AA459C">
            <w:pPr>
              <w:spacing w:line="240" w:lineRule="auto"/>
              <w:ind w:firstLine="0" w:firstLineChars="0"/>
              <w:jc w:val="center"/>
              <w:rPr>
                <w:color w:val="auto"/>
                <w:kern w:val="0"/>
                <w:sz w:val="21"/>
                <w:szCs w:val="21"/>
              </w:rPr>
            </w:pPr>
            <w:r>
              <w:rPr>
                <w:color w:val="auto"/>
                <w:kern w:val="0"/>
                <w:sz w:val="21"/>
                <w:szCs w:val="21"/>
              </w:rPr>
              <w:t>茚并[1,2,3-cd]芘</w:t>
            </w:r>
          </w:p>
        </w:tc>
        <w:tc>
          <w:tcPr>
            <w:tcW w:w="375" w:type="pct"/>
            <w:vAlign w:val="center"/>
          </w:tcPr>
          <w:p w14:paraId="3E219555">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6A7A386E">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05DAC62A">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1D9B0C63">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717FA4C7">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22B5CCBB">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3ADD94EA">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B97CDB7">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426462AB">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3B55597D">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4EA1B194">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7F543831">
            <w:pPr>
              <w:spacing w:line="240" w:lineRule="auto"/>
              <w:ind w:firstLine="0" w:firstLineChars="0"/>
              <w:jc w:val="center"/>
              <w:rPr>
                <w:bCs/>
                <w:color w:val="auto"/>
                <w:sz w:val="21"/>
                <w:szCs w:val="21"/>
              </w:rPr>
            </w:pPr>
            <w:r>
              <w:rPr>
                <w:rFonts w:hint="eastAsia"/>
                <w:bCs/>
                <w:color w:val="auto"/>
                <w:sz w:val="21"/>
                <w:szCs w:val="21"/>
              </w:rPr>
              <w:t>ND</w:t>
            </w:r>
          </w:p>
        </w:tc>
      </w:tr>
      <w:tr w14:paraId="5C8D1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shd w:val="clear" w:color="auto" w:fill="FFFFFF" w:themeFill="background1"/>
            <w:vAlign w:val="center"/>
          </w:tcPr>
          <w:p w14:paraId="0FAD725D">
            <w:pPr>
              <w:spacing w:line="240" w:lineRule="auto"/>
              <w:ind w:firstLine="0" w:firstLineChars="0"/>
              <w:jc w:val="center"/>
              <w:rPr>
                <w:color w:val="auto"/>
                <w:kern w:val="0"/>
                <w:sz w:val="21"/>
                <w:szCs w:val="21"/>
              </w:rPr>
            </w:pPr>
            <w:r>
              <w:rPr>
                <w:color w:val="auto"/>
                <w:kern w:val="0"/>
                <w:sz w:val="21"/>
                <w:szCs w:val="21"/>
              </w:rPr>
              <w:t>萘</w:t>
            </w:r>
          </w:p>
        </w:tc>
        <w:tc>
          <w:tcPr>
            <w:tcW w:w="375" w:type="pct"/>
            <w:vAlign w:val="center"/>
          </w:tcPr>
          <w:p w14:paraId="076200E4">
            <w:pPr>
              <w:spacing w:line="240" w:lineRule="auto"/>
              <w:ind w:firstLine="0" w:firstLineChars="0"/>
              <w:jc w:val="center"/>
              <w:rPr>
                <w:bCs/>
                <w:color w:val="auto"/>
                <w:sz w:val="21"/>
                <w:szCs w:val="21"/>
              </w:rPr>
            </w:pPr>
            <w:r>
              <w:rPr>
                <w:rFonts w:hint="eastAsia"/>
                <w:bCs/>
                <w:color w:val="auto"/>
                <w:sz w:val="21"/>
                <w:szCs w:val="21"/>
              </w:rPr>
              <w:t>ND</w:t>
            </w:r>
          </w:p>
        </w:tc>
        <w:tc>
          <w:tcPr>
            <w:tcW w:w="375" w:type="pct"/>
            <w:vAlign w:val="center"/>
          </w:tcPr>
          <w:p w14:paraId="208A5BA7">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4806822A">
            <w:pPr>
              <w:spacing w:line="240" w:lineRule="auto"/>
              <w:ind w:firstLine="0" w:firstLineChars="0"/>
              <w:jc w:val="center"/>
              <w:rPr>
                <w:bCs/>
                <w:color w:val="auto"/>
                <w:sz w:val="21"/>
                <w:szCs w:val="21"/>
              </w:rPr>
            </w:pPr>
            <w:r>
              <w:rPr>
                <w:rFonts w:hint="eastAsia"/>
                <w:bCs/>
                <w:color w:val="auto"/>
                <w:sz w:val="21"/>
                <w:szCs w:val="21"/>
              </w:rPr>
              <w:t>ND</w:t>
            </w:r>
          </w:p>
        </w:tc>
        <w:tc>
          <w:tcPr>
            <w:tcW w:w="381" w:type="pct"/>
            <w:vAlign w:val="center"/>
          </w:tcPr>
          <w:p w14:paraId="749C71D2">
            <w:pPr>
              <w:spacing w:line="240" w:lineRule="auto"/>
              <w:ind w:firstLine="0" w:firstLineChars="0"/>
              <w:jc w:val="center"/>
              <w:rPr>
                <w:bCs/>
                <w:color w:val="auto"/>
                <w:sz w:val="21"/>
                <w:szCs w:val="21"/>
              </w:rPr>
            </w:pPr>
            <w:r>
              <w:rPr>
                <w:rFonts w:hint="eastAsia"/>
                <w:bCs/>
                <w:color w:val="auto"/>
                <w:sz w:val="21"/>
                <w:szCs w:val="21"/>
              </w:rPr>
              <w:t>ND</w:t>
            </w:r>
          </w:p>
        </w:tc>
        <w:tc>
          <w:tcPr>
            <w:tcW w:w="378" w:type="pct"/>
            <w:vAlign w:val="center"/>
          </w:tcPr>
          <w:p w14:paraId="54215FFD">
            <w:pPr>
              <w:spacing w:line="240" w:lineRule="auto"/>
              <w:ind w:firstLine="0" w:firstLineChars="0"/>
              <w:jc w:val="center"/>
              <w:rPr>
                <w:bCs/>
                <w:color w:val="auto"/>
                <w:sz w:val="21"/>
                <w:szCs w:val="21"/>
              </w:rPr>
            </w:pPr>
            <w:r>
              <w:rPr>
                <w:rFonts w:hint="eastAsia"/>
                <w:bCs/>
                <w:color w:val="auto"/>
                <w:sz w:val="21"/>
                <w:szCs w:val="21"/>
              </w:rPr>
              <w:t>ND</w:t>
            </w:r>
          </w:p>
        </w:tc>
        <w:tc>
          <w:tcPr>
            <w:tcW w:w="377" w:type="pct"/>
            <w:vAlign w:val="center"/>
          </w:tcPr>
          <w:p w14:paraId="40988F37">
            <w:pPr>
              <w:spacing w:line="240" w:lineRule="auto"/>
              <w:ind w:firstLine="0" w:firstLineChars="0"/>
              <w:jc w:val="center"/>
              <w:rPr>
                <w:bCs/>
                <w:color w:val="auto"/>
                <w:sz w:val="21"/>
                <w:szCs w:val="21"/>
              </w:rPr>
            </w:pPr>
            <w:r>
              <w:rPr>
                <w:rFonts w:hint="eastAsia"/>
                <w:bCs/>
                <w:color w:val="auto"/>
                <w:sz w:val="21"/>
                <w:szCs w:val="21"/>
              </w:rPr>
              <w:t>ND</w:t>
            </w:r>
          </w:p>
        </w:tc>
        <w:tc>
          <w:tcPr>
            <w:tcW w:w="376" w:type="pct"/>
            <w:vAlign w:val="center"/>
          </w:tcPr>
          <w:p w14:paraId="578092B1">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3642A4B3">
            <w:pPr>
              <w:spacing w:line="240" w:lineRule="auto"/>
              <w:ind w:firstLine="0" w:firstLineChars="0"/>
              <w:jc w:val="center"/>
              <w:rPr>
                <w:bCs/>
                <w:color w:val="auto"/>
                <w:sz w:val="21"/>
                <w:szCs w:val="21"/>
              </w:rPr>
            </w:pPr>
            <w:r>
              <w:rPr>
                <w:rFonts w:hint="eastAsia"/>
                <w:bCs/>
                <w:color w:val="auto"/>
                <w:sz w:val="21"/>
                <w:szCs w:val="21"/>
              </w:rPr>
              <w:t>ND</w:t>
            </w:r>
          </w:p>
        </w:tc>
        <w:tc>
          <w:tcPr>
            <w:tcW w:w="374" w:type="pct"/>
            <w:vAlign w:val="center"/>
          </w:tcPr>
          <w:p w14:paraId="10EFA00F">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6F85DC66">
            <w:pPr>
              <w:spacing w:line="240" w:lineRule="auto"/>
              <w:ind w:firstLine="0" w:firstLineChars="0"/>
              <w:jc w:val="center"/>
              <w:rPr>
                <w:bCs/>
                <w:color w:val="auto"/>
                <w:sz w:val="21"/>
                <w:szCs w:val="21"/>
              </w:rPr>
            </w:pPr>
            <w:r>
              <w:rPr>
                <w:rFonts w:hint="eastAsia"/>
                <w:bCs/>
                <w:color w:val="auto"/>
                <w:sz w:val="21"/>
                <w:szCs w:val="21"/>
              </w:rPr>
              <w:t>ND</w:t>
            </w:r>
          </w:p>
        </w:tc>
        <w:tc>
          <w:tcPr>
            <w:tcW w:w="373" w:type="pct"/>
            <w:vAlign w:val="center"/>
          </w:tcPr>
          <w:p w14:paraId="7466EFCB">
            <w:pPr>
              <w:spacing w:line="240" w:lineRule="auto"/>
              <w:ind w:firstLine="0" w:firstLineChars="0"/>
              <w:jc w:val="center"/>
              <w:rPr>
                <w:bCs/>
                <w:color w:val="auto"/>
                <w:sz w:val="21"/>
                <w:szCs w:val="21"/>
              </w:rPr>
            </w:pPr>
            <w:r>
              <w:rPr>
                <w:rFonts w:hint="eastAsia"/>
                <w:bCs/>
                <w:color w:val="auto"/>
                <w:sz w:val="21"/>
                <w:szCs w:val="21"/>
              </w:rPr>
              <w:t>ND</w:t>
            </w:r>
          </w:p>
        </w:tc>
        <w:tc>
          <w:tcPr>
            <w:tcW w:w="372" w:type="pct"/>
            <w:vAlign w:val="center"/>
          </w:tcPr>
          <w:p w14:paraId="63E55F03">
            <w:pPr>
              <w:spacing w:line="240" w:lineRule="auto"/>
              <w:ind w:firstLine="0" w:firstLineChars="0"/>
              <w:jc w:val="center"/>
              <w:rPr>
                <w:bCs/>
                <w:color w:val="auto"/>
                <w:sz w:val="21"/>
                <w:szCs w:val="21"/>
              </w:rPr>
            </w:pPr>
            <w:r>
              <w:rPr>
                <w:rFonts w:hint="eastAsia"/>
                <w:bCs/>
                <w:color w:val="auto"/>
                <w:sz w:val="21"/>
                <w:szCs w:val="21"/>
              </w:rPr>
              <w:t>ND</w:t>
            </w:r>
          </w:p>
        </w:tc>
      </w:tr>
    </w:tbl>
    <w:p w14:paraId="41F981FB">
      <w:pPr>
        <w:ind w:firstLine="482"/>
        <w:jc w:val="center"/>
        <w:rPr>
          <w:b/>
          <w:color w:val="auto"/>
        </w:rPr>
      </w:pPr>
      <w:r>
        <w:rPr>
          <w:rFonts w:hint="eastAsia"/>
          <w:b/>
          <w:color w:val="auto"/>
        </w:rPr>
        <w:t>表5.2.6-5 土壤环境质量现状监测结果（mg/kg）</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96"/>
        <w:gridCol w:w="3696"/>
        <w:gridCol w:w="3697"/>
        <w:gridCol w:w="3697"/>
      </w:tblGrid>
      <w:tr w14:paraId="0518D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vAlign w:val="center"/>
          </w:tcPr>
          <w:p w14:paraId="541F8173">
            <w:pPr>
              <w:spacing w:line="240" w:lineRule="auto"/>
              <w:ind w:firstLine="420"/>
              <w:jc w:val="center"/>
              <w:rPr>
                <w:bCs/>
                <w:color w:val="auto"/>
                <w:sz w:val="21"/>
                <w:szCs w:val="21"/>
              </w:rPr>
            </w:pPr>
            <w:r>
              <w:rPr>
                <w:bCs/>
                <w:color w:val="auto"/>
                <w:sz w:val="21"/>
                <w:szCs w:val="21"/>
              </w:rPr>
              <w:t>监测因子</w:t>
            </w:r>
          </w:p>
        </w:tc>
        <w:tc>
          <w:tcPr>
            <w:tcW w:w="2500" w:type="pct"/>
            <w:gridSpan w:val="2"/>
            <w:vAlign w:val="center"/>
          </w:tcPr>
          <w:p w14:paraId="5B54D4B2">
            <w:pPr>
              <w:spacing w:line="240" w:lineRule="auto"/>
              <w:ind w:firstLine="420"/>
              <w:jc w:val="center"/>
              <w:rPr>
                <w:bCs/>
                <w:color w:val="auto"/>
                <w:sz w:val="21"/>
                <w:szCs w:val="21"/>
              </w:rPr>
            </w:pPr>
            <w:r>
              <w:rPr>
                <w:bCs/>
                <w:color w:val="auto"/>
                <w:sz w:val="21"/>
                <w:szCs w:val="21"/>
              </w:rPr>
              <w:t>点位</w:t>
            </w:r>
          </w:p>
        </w:tc>
        <w:tc>
          <w:tcPr>
            <w:tcW w:w="1250" w:type="pct"/>
            <w:vMerge w:val="restart"/>
            <w:vAlign w:val="center"/>
          </w:tcPr>
          <w:p w14:paraId="2256A0F4">
            <w:pPr>
              <w:spacing w:line="240" w:lineRule="auto"/>
              <w:ind w:firstLine="420"/>
              <w:jc w:val="center"/>
              <w:rPr>
                <w:bCs/>
                <w:color w:val="auto"/>
                <w:sz w:val="21"/>
                <w:szCs w:val="21"/>
              </w:rPr>
            </w:pPr>
            <w:r>
              <w:rPr>
                <w:bCs/>
                <w:color w:val="auto"/>
                <w:sz w:val="21"/>
                <w:szCs w:val="21"/>
              </w:rPr>
              <w:t>农用地筛选值</w:t>
            </w:r>
          </w:p>
        </w:tc>
      </w:tr>
      <w:tr w14:paraId="25B29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vAlign w:val="center"/>
          </w:tcPr>
          <w:p w14:paraId="76DD76F5">
            <w:pPr>
              <w:spacing w:line="240" w:lineRule="auto"/>
              <w:ind w:firstLine="420"/>
              <w:jc w:val="center"/>
              <w:rPr>
                <w:bCs/>
                <w:color w:val="auto"/>
                <w:sz w:val="21"/>
                <w:szCs w:val="21"/>
              </w:rPr>
            </w:pPr>
          </w:p>
        </w:tc>
        <w:tc>
          <w:tcPr>
            <w:tcW w:w="1250" w:type="pct"/>
            <w:vAlign w:val="center"/>
          </w:tcPr>
          <w:p w14:paraId="7E8B1B17">
            <w:pPr>
              <w:spacing w:line="240" w:lineRule="auto"/>
              <w:ind w:firstLine="420"/>
              <w:jc w:val="center"/>
              <w:rPr>
                <w:bCs/>
                <w:color w:val="auto"/>
                <w:sz w:val="21"/>
                <w:szCs w:val="21"/>
              </w:rPr>
            </w:pPr>
            <w:r>
              <w:rPr>
                <w:bCs/>
                <w:color w:val="auto"/>
                <w:sz w:val="21"/>
                <w:szCs w:val="21"/>
              </w:rPr>
              <w:t>T8</w:t>
            </w:r>
          </w:p>
        </w:tc>
        <w:tc>
          <w:tcPr>
            <w:tcW w:w="1250" w:type="pct"/>
            <w:vAlign w:val="center"/>
          </w:tcPr>
          <w:p w14:paraId="4C5B9894">
            <w:pPr>
              <w:spacing w:line="240" w:lineRule="auto"/>
              <w:ind w:firstLine="420"/>
              <w:jc w:val="center"/>
              <w:rPr>
                <w:bCs/>
                <w:color w:val="auto"/>
                <w:sz w:val="21"/>
                <w:szCs w:val="21"/>
              </w:rPr>
            </w:pPr>
            <w:r>
              <w:rPr>
                <w:bCs/>
                <w:color w:val="auto"/>
                <w:sz w:val="21"/>
                <w:szCs w:val="21"/>
              </w:rPr>
              <w:t>T10</w:t>
            </w:r>
          </w:p>
        </w:tc>
        <w:tc>
          <w:tcPr>
            <w:tcW w:w="1250" w:type="pct"/>
            <w:vMerge w:val="continue"/>
            <w:vAlign w:val="center"/>
          </w:tcPr>
          <w:p w14:paraId="42643BDB">
            <w:pPr>
              <w:spacing w:line="240" w:lineRule="auto"/>
              <w:ind w:firstLine="420"/>
              <w:jc w:val="center"/>
              <w:rPr>
                <w:bCs/>
                <w:color w:val="auto"/>
                <w:sz w:val="21"/>
                <w:szCs w:val="21"/>
              </w:rPr>
            </w:pPr>
          </w:p>
        </w:tc>
      </w:tr>
      <w:tr w14:paraId="6DEED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vAlign w:val="center"/>
          </w:tcPr>
          <w:p w14:paraId="3C64887A">
            <w:pPr>
              <w:spacing w:line="240" w:lineRule="auto"/>
              <w:ind w:firstLine="420"/>
              <w:jc w:val="center"/>
              <w:rPr>
                <w:bCs/>
                <w:color w:val="auto"/>
                <w:sz w:val="21"/>
                <w:szCs w:val="21"/>
              </w:rPr>
            </w:pPr>
          </w:p>
        </w:tc>
        <w:tc>
          <w:tcPr>
            <w:tcW w:w="1250" w:type="pct"/>
            <w:vAlign w:val="center"/>
          </w:tcPr>
          <w:p w14:paraId="7DAAE548">
            <w:pPr>
              <w:spacing w:line="240" w:lineRule="auto"/>
              <w:ind w:firstLine="420"/>
              <w:jc w:val="center"/>
              <w:rPr>
                <w:bCs/>
                <w:color w:val="auto"/>
                <w:sz w:val="21"/>
                <w:szCs w:val="21"/>
              </w:rPr>
            </w:pPr>
            <w:r>
              <w:rPr>
                <w:bCs/>
                <w:color w:val="auto"/>
                <w:sz w:val="21"/>
                <w:szCs w:val="21"/>
              </w:rPr>
              <w:t>0-0.2m</w:t>
            </w:r>
          </w:p>
        </w:tc>
        <w:tc>
          <w:tcPr>
            <w:tcW w:w="1250" w:type="pct"/>
            <w:vAlign w:val="center"/>
          </w:tcPr>
          <w:p w14:paraId="27E33DAD">
            <w:pPr>
              <w:spacing w:line="240" w:lineRule="auto"/>
              <w:ind w:firstLine="420"/>
              <w:jc w:val="center"/>
              <w:rPr>
                <w:bCs/>
                <w:color w:val="auto"/>
                <w:sz w:val="21"/>
                <w:szCs w:val="21"/>
              </w:rPr>
            </w:pPr>
            <w:r>
              <w:rPr>
                <w:bCs/>
                <w:color w:val="auto"/>
                <w:sz w:val="21"/>
                <w:szCs w:val="21"/>
              </w:rPr>
              <w:t>0-0.2m</w:t>
            </w:r>
          </w:p>
        </w:tc>
        <w:tc>
          <w:tcPr>
            <w:tcW w:w="1250" w:type="pct"/>
            <w:vMerge w:val="continue"/>
            <w:vAlign w:val="center"/>
          </w:tcPr>
          <w:p w14:paraId="201CD373">
            <w:pPr>
              <w:spacing w:line="240" w:lineRule="auto"/>
              <w:ind w:firstLine="420"/>
              <w:jc w:val="center"/>
              <w:rPr>
                <w:bCs/>
                <w:color w:val="auto"/>
                <w:sz w:val="21"/>
                <w:szCs w:val="21"/>
              </w:rPr>
            </w:pPr>
          </w:p>
        </w:tc>
      </w:tr>
      <w:tr w14:paraId="188DE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250" w:type="pct"/>
            <w:vAlign w:val="center"/>
          </w:tcPr>
          <w:p w14:paraId="670BCD64">
            <w:pPr>
              <w:spacing w:line="240" w:lineRule="auto"/>
              <w:ind w:firstLine="420"/>
              <w:jc w:val="center"/>
              <w:rPr>
                <w:bCs/>
                <w:color w:val="auto"/>
                <w:sz w:val="21"/>
                <w:szCs w:val="21"/>
              </w:rPr>
            </w:pPr>
            <w:r>
              <w:rPr>
                <w:bCs/>
                <w:color w:val="auto"/>
                <w:sz w:val="21"/>
                <w:szCs w:val="21"/>
              </w:rPr>
              <w:t>pH</w:t>
            </w:r>
          </w:p>
        </w:tc>
        <w:tc>
          <w:tcPr>
            <w:tcW w:w="1250" w:type="pct"/>
            <w:vAlign w:val="center"/>
          </w:tcPr>
          <w:p w14:paraId="4251D182">
            <w:pPr>
              <w:spacing w:line="240" w:lineRule="auto"/>
              <w:ind w:firstLine="420"/>
              <w:jc w:val="center"/>
              <w:rPr>
                <w:bCs/>
                <w:color w:val="auto"/>
                <w:sz w:val="21"/>
                <w:szCs w:val="21"/>
              </w:rPr>
            </w:pPr>
            <w:r>
              <w:rPr>
                <w:rFonts w:hint="eastAsia"/>
                <w:bCs/>
                <w:color w:val="auto"/>
                <w:sz w:val="21"/>
                <w:szCs w:val="21"/>
              </w:rPr>
              <w:t>7.24</w:t>
            </w:r>
          </w:p>
        </w:tc>
        <w:tc>
          <w:tcPr>
            <w:tcW w:w="1250" w:type="pct"/>
            <w:vAlign w:val="center"/>
          </w:tcPr>
          <w:p w14:paraId="4718845E">
            <w:pPr>
              <w:spacing w:line="240" w:lineRule="auto"/>
              <w:ind w:firstLine="420"/>
              <w:jc w:val="center"/>
              <w:rPr>
                <w:bCs/>
                <w:color w:val="auto"/>
                <w:sz w:val="21"/>
                <w:szCs w:val="21"/>
              </w:rPr>
            </w:pPr>
            <w:r>
              <w:rPr>
                <w:rFonts w:hint="eastAsia"/>
                <w:bCs/>
                <w:color w:val="auto"/>
                <w:sz w:val="21"/>
                <w:szCs w:val="21"/>
              </w:rPr>
              <w:t>7.16</w:t>
            </w:r>
          </w:p>
        </w:tc>
        <w:tc>
          <w:tcPr>
            <w:tcW w:w="1250" w:type="pct"/>
            <w:vAlign w:val="center"/>
          </w:tcPr>
          <w:p w14:paraId="6C96E9CB">
            <w:pPr>
              <w:spacing w:line="240" w:lineRule="auto"/>
              <w:ind w:firstLine="420"/>
              <w:jc w:val="center"/>
              <w:rPr>
                <w:bCs/>
                <w:color w:val="auto"/>
                <w:sz w:val="21"/>
                <w:szCs w:val="21"/>
              </w:rPr>
            </w:pPr>
            <w:r>
              <w:rPr>
                <w:rFonts w:hint="eastAsia"/>
                <w:bCs/>
                <w:color w:val="auto"/>
                <w:sz w:val="21"/>
                <w:szCs w:val="21"/>
              </w:rPr>
              <w:t>6.5＜pH≤7.5</w:t>
            </w:r>
          </w:p>
        </w:tc>
      </w:tr>
      <w:tr w14:paraId="6163C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2418DCE4">
            <w:pPr>
              <w:spacing w:line="240" w:lineRule="auto"/>
              <w:ind w:firstLine="420"/>
              <w:jc w:val="center"/>
              <w:rPr>
                <w:bCs/>
                <w:color w:val="auto"/>
                <w:sz w:val="21"/>
                <w:szCs w:val="21"/>
              </w:rPr>
            </w:pPr>
            <w:r>
              <w:rPr>
                <w:bCs/>
                <w:color w:val="auto"/>
                <w:sz w:val="21"/>
                <w:szCs w:val="21"/>
              </w:rPr>
              <w:t>镉</w:t>
            </w:r>
          </w:p>
        </w:tc>
        <w:tc>
          <w:tcPr>
            <w:tcW w:w="1250" w:type="pct"/>
            <w:vAlign w:val="center"/>
          </w:tcPr>
          <w:p w14:paraId="04EEAF70">
            <w:pPr>
              <w:spacing w:line="240" w:lineRule="auto"/>
              <w:ind w:firstLine="420"/>
              <w:jc w:val="center"/>
              <w:rPr>
                <w:bCs/>
                <w:color w:val="auto"/>
                <w:sz w:val="21"/>
                <w:szCs w:val="21"/>
              </w:rPr>
            </w:pPr>
            <w:r>
              <w:rPr>
                <w:rFonts w:hint="eastAsia"/>
                <w:bCs/>
                <w:color w:val="auto"/>
                <w:sz w:val="21"/>
                <w:szCs w:val="21"/>
              </w:rPr>
              <w:t>0.17</w:t>
            </w:r>
          </w:p>
        </w:tc>
        <w:tc>
          <w:tcPr>
            <w:tcW w:w="1250" w:type="pct"/>
            <w:vAlign w:val="center"/>
          </w:tcPr>
          <w:p w14:paraId="629DE1A4">
            <w:pPr>
              <w:spacing w:line="240" w:lineRule="auto"/>
              <w:ind w:firstLine="420"/>
              <w:jc w:val="center"/>
              <w:rPr>
                <w:bCs/>
                <w:color w:val="auto"/>
                <w:sz w:val="21"/>
                <w:szCs w:val="21"/>
              </w:rPr>
            </w:pPr>
            <w:r>
              <w:rPr>
                <w:rFonts w:hint="eastAsia"/>
                <w:bCs/>
                <w:color w:val="auto"/>
                <w:sz w:val="21"/>
                <w:szCs w:val="21"/>
              </w:rPr>
              <w:t>0.16</w:t>
            </w:r>
          </w:p>
        </w:tc>
        <w:tc>
          <w:tcPr>
            <w:tcW w:w="1250" w:type="pct"/>
            <w:vAlign w:val="center"/>
          </w:tcPr>
          <w:p w14:paraId="3DAF7016">
            <w:pPr>
              <w:spacing w:line="240" w:lineRule="auto"/>
              <w:ind w:firstLine="420"/>
              <w:jc w:val="center"/>
              <w:rPr>
                <w:bCs/>
                <w:color w:val="auto"/>
                <w:sz w:val="21"/>
                <w:szCs w:val="21"/>
              </w:rPr>
            </w:pPr>
            <w:r>
              <w:rPr>
                <w:rFonts w:hint="eastAsia"/>
                <w:bCs/>
                <w:color w:val="auto"/>
                <w:sz w:val="21"/>
                <w:szCs w:val="21"/>
              </w:rPr>
              <w:t>0.6</w:t>
            </w:r>
          </w:p>
        </w:tc>
      </w:tr>
      <w:tr w14:paraId="7EBF1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155AB98D">
            <w:pPr>
              <w:spacing w:line="240" w:lineRule="auto"/>
              <w:ind w:firstLine="420"/>
              <w:jc w:val="center"/>
              <w:rPr>
                <w:bCs/>
                <w:color w:val="auto"/>
                <w:sz w:val="21"/>
                <w:szCs w:val="21"/>
              </w:rPr>
            </w:pPr>
            <w:r>
              <w:rPr>
                <w:bCs/>
                <w:color w:val="auto"/>
                <w:sz w:val="21"/>
                <w:szCs w:val="21"/>
              </w:rPr>
              <w:t>砷</w:t>
            </w:r>
          </w:p>
        </w:tc>
        <w:tc>
          <w:tcPr>
            <w:tcW w:w="1250" w:type="pct"/>
            <w:vAlign w:val="center"/>
          </w:tcPr>
          <w:p w14:paraId="0EC0B711">
            <w:pPr>
              <w:spacing w:line="240" w:lineRule="auto"/>
              <w:ind w:firstLine="420"/>
              <w:jc w:val="center"/>
              <w:rPr>
                <w:bCs/>
                <w:color w:val="auto"/>
                <w:sz w:val="21"/>
                <w:szCs w:val="21"/>
              </w:rPr>
            </w:pPr>
            <w:r>
              <w:rPr>
                <w:rFonts w:hint="eastAsia"/>
                <w:bCs/>
                <w:color w:val="auto"/>
                <w:sz w:val="21"/>
                <w:szCs w:val="21"/>
              </w:rPr>
              <w:t>13.1</w:t>
            </w:r>
          </w:p>
        </w:tc>
        <w:tc>
          <w:tcPr>
            <w:tcW w:w="1250" w:type="pct"/>
            <w:vAlign w:val="center"/>
          </w:tcPr>
          <w:p w14:paraId="6EE03FCF">
            <w:pPr>
              <w:spacing w:line="240" w:lineRule="auto"/>
              <w:ind w:firstLine="420"/>
              <w:jc w:val="center"/>
              <w:rPr>
                <w:bCs/>
                <w:color w:val="auto"/>
                <w:sz w:val="21"/>
                <w:szCs w:val="21"/>
              </w:rPr>
            </w:pPr>
            <w:r>
              <w:rPr>
                <w:rFonts w:hint="eastAsia"/>
                <w:bCs/>
                <w:color w:val="auto"/>
                <w:sz w:val="21"/>
                <w:szCs w:val="21"/>
              </w:rPr>
              <w:t>13.2</w:t>
            </w:r>
          </w:p>
        </w:tc>
        <w:tc>
          <w:tcPr>
            <w:tcW w:w="1250" w:type="pct"/>
            <w:vAlign w:val="center"/>
          </w:tcPr>
          <w:p w14:paraId="230047A1">
            <w:pPr>
              <w:spacing w:line="240" w:lineRule="auto"/>
              <w:ind w:firstLine="420"/>
              <w:jc w:val="center"/>
              <w:rPr>
                <w:bCs/>
                <w:color w:val="auto"/>
                <w:sz w:val="21"/>
                <w:szCs w:val="21"/>
              </w:rPr>
            </w:pPr>
            <w:r>
              <w:rPr>
                <w:rFonts w:hint="eastAsia"/>
                <w:bCs/>
                <w:color w:val="auto"/>
                <w:sz w:val="21"/>
                <w:szCs w:val="21"/>
              </w:rPr>
              <w:t>25</w:t>
            </w:r>
          </w:p>
        </w:tc>
      </w:tr>
      <w:tr w14:paraId="2D378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D172481">
            <w:pPr>
              <w:spacing w:line="240" w:lineRule="auto"/>
              <w:ind w:firstLine="420"/>
              <w:jc w:val="center"/>
              <w:rPr>
                <w:bCs/>
                <w:color w:val="auto"/>
                <w:sz w:val="21"/>
                <w:szCs w:val="21"/>
              </w:rPr>
            </w:pPr>
            <w:r>
              <w:rPr>
                <w:bCs/>
                <w:color w:val="auto"/>
                <w:sz w:val="21"/>
                <w:szCs w:val="21"/>
              </w:rPr>
              <w:t>汞</w:t>
            </w:r>
          </w:p>
        </w:tc>
        <w:tc>
          <w:tcPr>
            <w:tcW w:w="1250" w:type="pct"/>
            <w:vAlign w:val="center"/>
          </w:tcPr>
          <w:p w14:paraId="6C30959E">
            <w:pPr>
              <w:spacing w:line="240" w:lineRule="auto"/>
              <w:ind w:firstLine="420"/>
              <w:jc w:val="center"/>
              <w:rPr>
                <w:bCs/>
                <w:color w:val="auto"/>
                <w:sz w:val="21"/>
                <w:szCs w:val="21"/>
              </w:rPr>
            </w:pPr>
            <w:r>
              <w:rPr>
                <w:rFonts w:hint="eastAsia"/>
                <w:bCs/>
                <w:color w:val="auto"/>
                <w:sz w:val="21"/>
                <w:szCs w:val="21"/>
              </w:rPr>
              <w:t>0.102</w:t>
            </w:r>
          </w:p>
        </w:tc>
        <w:tc>
          <w:tcPr>
            <w:tcW w:w="1250" w:type="pct"/>
            <w:vAlign w:val="center"/>
          </w:tcPr>
          <w:p w14:paraId="02A47448">
            <w:pPr>
              <w:spacing w:line="240" w:lineRule="auto"/>
              <w:ind w:firstLine="420"/>
              <w:jc w:val="center"/>
              <w:rPr>
                <w:bCs/>
                <w:color w:val="auto"/>
                <w:sz w:val="21"/>
                <w:szCs w:val="21"/>
              </w:rPr>
            </w:pPr>
            <w:r>
              <w:rPr>
                <w:rFonts w:hint="eastAsia"/>
                <w:bCs/>
                <w:color w:val="auto"/>
                <w:sz w:val="21"/>
                <w:szCs w:val="21"/>
              </w:rPr>
              <w:t>0.095</w:t>
            </w:r>
          </w:p>
        </w:tc>
        <w:tc>
          <w:tcPr>
            <w:tcW w:w="1250" w:type="pct"/>
            <w:vAlign w:val="center"/>
          </w:tcPr>
          <w:p w14:paraId="6105290D">
            <w:pPr>
              <w:spacing w:line="240" w:lineRule="auto"/>
              <w:ind w:firstLine="420"/>
              <w:jc w:val="center"/>
              <w:rPr>
                <w:bCs/>
                <w:color w:val="auto"/>
                <w:sz w:val="21"/>
                <w:szCs w:val="21"/>
              </w:rPr>
            </w:pPr>
            <w:r>
              <w:rPr>
                <w:rFonts w:hint="eastAsia"/>
                <w:bCs/>
                <w:color w:val="auto"/>
                <w:sz w:val="21"/>
                <w:szCs w:val="21"/>
              </w:rPr>
              <w:t>0.6</w:t>
            </w:r>
          </w:p>
        </w:tc>
      </w:tr>
      <w:tr w14:paraId="169F5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83E7039">
            <w:pPr>
              <w:spacing w:line="240" w:lineRule="auto"/>
              <w:ind w:firstLine="420"/>
              <w:jc w:val="center"/>
              <w:rPr>
                <w:bCs/>
                <w:color w:val="auto"/>
                <w:sz w:val="21"/>
                <w:szCs w:val="21"/>
              </w:rPr>
            </w:pPr>
            <w:r>
              <w:rPr>
                <w:bCs/>
                <w:color w:val="auto"/>
                <w:sz w:val="21"/>
                <w:szCs w:val="21"/>
              </w:rPr>
              <w:t>铜</w:t>
            </w:r>
          </w:p>
        </w:tc>
        <w:tc>
          <w:tcPr>
            <w:tcW w:w="1250" w:type="pct"/>
            <w:vAlign w:val="center"/>
          </w:tcPr>
          <w:p w14:paraId="3B1E6DBF">
            <w:pPr>
              <w:spacing w:line="240" w:lineRule="auto"/>
              <w:ind w:firstLine="420"/>
              <w:jc w:val="center"/>
              <w:rPr>
                <w:bCs/>
                <w:color w:val="auto"/>
                <w:sz w:val="21"/>
                <w:szCs w:val="21"/>
              </w:rPr>
            </w:pPr>
            <w:r>
              <w:rPr>
                <w:rFonts w:hint="eastAsia"/>
                <w:bCs/>
                <w:color w:val="auto"/>
                <w:sz w:val="21"/>
                <w:szCs w:val="21"/>
              </w:rPr>
              <w:t>21</w:t>
            </w:r>
          </w:p>
        </w:tc>
        <w:tc>
          <w:tcPr>
            <w:tcW w:w="1250" w:type="pct"/>
            <w:vAlign w:val="center"/>
          </w:tcPr>
          <w:p w14:paraId="7919359E">
            <w:pPr>
              <w:spacing w:line="240" w:lineRule="auto"/>
              <w:ind w:firstLine="420"/>
              <w:jc w:val="center"/>
              <w:rPr>
                <w:bCs/>
                <w:color w:val="auto"/>
                <w:sz w:val="21"/>
                <w:szCs w:val="21"/>
              </w:rPr>
            </w:pPr>
            <w:r>
              <w:rPr>
                <w:rFonts w:hint="eastAsia"/>
                <w:bCs/>
                <w:color w:val="auto"/>
                <w:sz w:val="21"/>
                <w:szCs w:val="21"/>
              </w:rPr>
              <w:t>23</w:t>
            </w:r>
          </w:p>
        </w:tc>
        <w:tc>
          <w:tcPr>
            <w:tcW w:w="1250" w:type="pct"/>
            <w:vAlign w:val="center"/>
          </w:tcPr>
          <w:p w14:paraId="0841FBB4">
            <w:pPr>
              <w:spacing w:line="240" w:lineRule="auto"/>
              <w:ind w:firstLine="420"/>
              <w:jc w:val="center"/>
              <w:rPr>
                <w:bCs/>
                <w:color w:val="auto"/>
                <w:sz w:val="21"/>
                <w:szCs w:val="21"/>
              </w:rPr>
            </w:pPr>
            <w:r>
              <w:rPr>
                <w:rFonts w:hint="eastAsia"/>
                <w:bCs/>
                <w:color w:val="auto"/>
                <w:sz w:val="21"/>
                <w:szCs w:val="21"/>
              </w:rPr>
              <w:t>100</w:t>
            </w:r>
          </w:p>
        </w:tc>
      </w:tr>
      <w:tr w14:paraId="3B056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509CEB45">
            <w:pPr>
              <w:spacing w:line="240" w:lineRule="auto"/>
              <w:ind w:firstLine="420"/>
              <w:jc w:val="center"/>
              <w:rPr>
                <w:bCs/>
                <w:color w:val="auto"/>
                <w:sz w:val="21"/>
                <w:szCs w:val="21"/>
              </w:rPr>
            </w:pPr>
            <w:r>
              <w:rPr>
                <w:bCs/>
                <w:color w:val="auto"/>
                <w:sz w:val="21"/>
                <w:szCs w:val="21"/>
              </w:rPr>
              <w:t>铅</w:t>
            </w:r>
          </w:p>
        </w:tc>
        <w:tc>
          <w:tcPr>
            <w:tcW w:w="1250" w:type="pct"/>
            <w:vAlign w:val="center"/>
          </w:tcPr>
          <w:p w14:paraId="35D52A85">
            <w:pPr>
              <w:spacing w:line="240" w:lineRule="auto"/>
              <w:ind w:firstLine="420"/>
              <w:jc w:val="center"/>
              <w:rPr>
                <w:bCs/>
                <w:color w:val="auto"/>
                <w:sz w:val="21"/>
                <w:szCs w:val="21"/>
              </w:rPr>
            </w:pPr>
            <w:r>
              <w:rPr>
                <w:rFonts w:hint="eastAsia"/>
                <w:bCs/>
                <w:color w:val="auto"/>
                <w:sz w:val="21"/>
                <w:szCs w:val="21"/>
              </w:rPr>
              <w:t>25</w:t>
            </w:r>
          </w:p>
        </w:tc>
        <w:tc>
          <w:tcPr>
            <w:tcW w:w="1250" w:type="pct"/>
            <w:vAlign w:val="center"/>
          </w:tcPr>
          <w:p w14:paraId="4408F7E2">
            <w:pPr>
              <w:spacing w:line="240" w:lineRule="auto"/>
              <w:ind w:firstLine="420"/>
              <w:jc w:val="center"/>
              <w:rPr>
                <w:bCs/>
                <w:color w:val="auto"/>
                <w:sz w:val="21"/>
                <w:szCs w:val="21"/>
              </w:rPr>
            </w:pPr>
            <w:r>
              <w:rPr>
                <w:rFonts w:hint="eastAsia"/>
                <w:bCs/>
                <w:color w:val="auto"/>
                <w:sz w:val="21"/>
                <w:szCs w:val="21"/>
              </w:rPr>
              <w:t>33</w:t>
            </w:r>
          </w:p>
        </w:tc>
        <w:tc>
          <w:tcPr>
            <w:tcW w:w="1250" w:type="pct"/>
            <w:vAlign w:val="center"/>
          </w:tcPr>
          <w:p w14:paraId="7668AE70">
            <w:pPr>
              <w:spacing w:line="240" w:lineRule="auto"/>
              <w:ind w:firstLine="420"/>
              <w:jc w:val="center"/>
              <w:rPr>
                <w:bCs/>
                <w:color w:val="auto"/>
                <w:sz w:val="21"/>
                <w:szCs w:val="21"/>
              </w:rPr>
            </w:pPr>
            <w:r>
              <w:rPr>
                <w:rFonts w:hint="eastAsia"/>
                <w:bCs/>
                <w:color w:val="auto"/>
                <w:sz w:val="21"/>
                <w:szCs w:val="21"/>
              </w:rPr>
              <w:t>140</w:t>
            </w:r>
          </w:p>
        </w:tc>
      </w:tr>
      <w:tr w14:paraId="4095A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23A2C67B">
            <w:pPr>
              <w:spacing w:line="240" w:lineRule="auto"/>
              <w:ind w:firstLine="420"/>
              <w:jc w:val="center"/>
              <w:rPr>
                <w:bCs/>
                <w:color w:val="auto"/>
                <w:sz w:val="21"/>
                <w:szCs w:val="21"/>
              </w:rPr>
            </w:pPr>
            <w:r>
              <w:rPr>
                <w:bCs/>
                <w:color w:val="auto"/>
                <w:sz w:val="21"/>
                <w:szCs w:val="21"/>
              </w:rPr>
              <w:t>镍</w:t>
            </w:r>
          </w:p>
        </w:tc>
        <w:tc>
          <w:tcPr>
            <w:tcW w:w="1250" w:type="pct"/>
            <w:vAlign w:val="center"/>
          </w:tcPr>
          <w:p w14:paraId="429372D7">
            <w:pPr>
              <w:spacing w:line="240" w:lineRule="auto"/>
              <w:ind w:firstLine="420"/>
              <w:jc w:val="center"/>
              <w:rPr>
                <w:bCs/>
                <w:color w:val="auto"/>
                <w:sz w:val="21"/>
                <w:szCs w:val="21"/>
              </w:rPr>
            </w:pPr>
            <w:r>
              <w:rPr>
                <w:rFonts w:hint="eastAsia"/>
                <w:bCs/>
                <w:color w:val="auto"/>
                <w:sz w:val="21"/>
                <w:szCs w:val="21"/>
              </w:rPr>
              <w:t>46</w:t>
            </w:r>
          </w:p>
        </w:tc>
        <w:tc>
          <w:tcPr>
            <w:tcW w:w="1250" w:type="pct"/>
            <w:vAlign w:val="center"/>
          </w:tcPr>
          <w:p w14:paraId="096803B6">
            <w:pPr>
              <w:spacing w:line="240" w:lineRule="auto"/>
              <w:ind w:firstLine="420"/>
              <w:jc w:val="center"/>
              <w:rPr>
                <w:bCs/>
                <w:color w:val="auto"/>
                <w:sz w:val="21"/>
                <w:szCs w:val="21"/>
              </w:rPr>
            </w:pPr>
            <w:r>
              <w:rPr>
                <w:rFonts w:hint="eastAsia"/>
                <w:bCs/>
                <w:color w:val="auto"/>
                <w:sz w:val="21"/>
                <w:szCs w:val="21"/>
              </w:rPr>
              <w:t>46</w:t>
            </w:r>
          </w:p>
        </w:tc>
        <w:tc>
          <w:tcPr>
            <w:tcW w:w="1250" w:type="pct"/>
            <w:vAlign w:val="center"/>
          </w:tcPr>
          <w:p w14:paraId="6BCF7A50">
            <w:pPr>
              <w:spacing w:line="240" w:lineRule="auto"/>
              <w:ind w:firstLine="420"/>
              <w:jc w:val="center"/>
              <w:rPr>
                <w:bCs/>
                <w:color w:val="auto"/>
                <w:sz w:val="21"/>
                <w:szCs w:val="21"/>
              </w:rPr>
            </w:pPr>
            <w:r>
              <w:rPr>
                <w:rFonts w:hint="eastAsia"/>
                <w:bCs/>
                <w:color w:val="auto"/>
                <w:sz w:val="21"/>
                <w:szCs w:val="21"/>
              </w:rPr>
              <w:t>100</w:t>
            </w:r>
          </w:p>
        </w:tc>
      </w:tr>
      <w:tr w14:paraId="66412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E74B43C">
            <w:pPr>
              <w:spacing w:line="240" w:lineRule="auto"/>
              <w:ind w:firstLine="420"/>
              <w:jc w:val="center"/>
              <w:rPr>
                <w:bCs/>
                <w:color w:val="auto"/>
                <w:sz w:val="21"/>
                <w:szCs w:val="21"/>
              </w:rPr>
            </w:pPr>
            <w:r>
              <w:rPr>
                <w:bCs/>
                <w:color w:val="auto"/>
                <w:sz w:val="21"/>
                <w:szCs w:val="21"/>
              </w:rPr>
              <w:t>铬</w:t>
            </w:r>
          </w:p>
        </w:tc>
        <w:tc>
          <w:tcPr>
            <w:tcW w:w="1250" w:type="pct"/>
            <w:vAlign w:val="center"/>
          </w:tcPr>
          <w:p w14:paraId="49356FE1">
            <w:pPr>
              <w:spacing w:line="240" w:lineRule="auto"/>
              <w:ind w:firstLine="420"/>
              <w:jc w:val="center"/>
              <w:rPr>
                <w:bCs/>
                <w:color w:val="auto"/>
                <w:sz w:val="21"/>
                <w:szCs w:val="21"/>
              </w:rPr>
            </w:pPr>
            <w:r>
              <w:rPr>
                <w:rFonts w:hint="eastAsia"/>
                <w:bCs/>
                <w:color w:val="auto"/>
                <w:sz w:val="21"/>
                <w:szCs w:val="21"/>
              </w:rPr>
              <w:t>40</w:t>
            </w:r>
          </w:p>
        </w:tc>
        <w:tc>
          <w:tcPr>
            <w:tcW w:w="1250" w:type="pct"/>
            <w:vAlign w:val="center"/>
          </w:tcPr>
          <w:p w14:paraId="234E08C6">
            <w:pPr>
              <w:spacing w:line="240" w:lineRule="auto"/>
              <w:ind w:firstLine="420"/>
              <w:jc w:val="center"/>
              <w:rPr>
                <w:bCs/>
                <w:color w:val="auto"/>
                <w:sz w:val="21"/>
                <w:szCs w:val="21"/>
              </w:rPr>
            </w:pPr>
            <w:r>
              <w:rPr>
                <w:rFonts w:hint="eastAsia"/>
                <w:bCs/>
                <w:color w:val="auto"/>
                <w:sz w:val="21"/>
                <w:szCs w:val="21"/>
              </w:rPr>
              <w:t>30</w:t>
            </w:r>
          </w:p>
        </w:tc>
        <w:tc>
          <w:tcPr>
            <w:tcW w:w="1250" w:type="pct"/>
            <w:vAlign w:val="center"/>
          </w:tcPr>
          <w:p w14:paraId="559D2423">
            <w:pPr>
              <w:spacing w:line="240" w:lineRule="auto"/>
              <w:ind w:firstLine="420"/>
              <w:jc w:val="center"/>
              <w:rPr>
                <w:bCs/>
                <w:color w:val="auto"/>
                <w:sz w:val="21"/>
                <w:szCs w:val="21"/>
              </w:rPr>
            </w:pPr>
            <w:r>
              <w:rPr>
                <w:rFonts w:hint="eastAsia"/>
                <w:bCs/>
                <w:color w:val="auto"/>
                <w:sz w:val="21"/>
                <w:szCs w:val="21"/>
              </w:rPr>
              <w:t>300</w:t>
            </w:r>
          </w:p>
        </w:tc>
      </w:tr>
      <w:tr w14:paraId="66763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9B2F676">
            <w:pPr>
              <w:spacing w:line="240" w:lineRule="auto"/>
              <w:ind w:firstLine="420"/>
              <w:jc w:val="center"/>
              <w:rPr>
                <w:bCs/>
                <w:color w:val="auto"/>
                <w:sz w:val="21"/>
                <w:szCs w:val="21"/>
              </w:rPr>
            </w:pPr>
            <w:r>
              <w:rPr>
                <w:bCs/>
                <w:color w:val="auto"/>
                <w:sz w:val="21"/>
                <w:szCs w:val="21"/>
              </w:rPr>
              <w:t>锌</w:t>
            </w:r>
          </w:p>
        </w:tc>
        <w:tc>
          <w:tcPr>
            <w:tcW w:w="1250" w:type="pct"/>
            <w:vAlign w:val="center"/>
          </w:tcPr>
          <w:p w14:paraId="59A1A776">
            <w:pPr>
              <w:spacing w:line="240" w:lineRule="auto"/>
              <w:ind w:firstLine="420"/>
              <w:jc w:val="center"/>
              <w:rPr>
                <w:bCs/>
                <w:color w:val="auto"/>
                <w:sz w:val="21"/>
                <w:szCs w:val="21"/>
              </w:rPr>
            </w:pPr>
            <w:r>
              <w:rPr>
                <w:rFonts w:hint="eastAsia"/>
                <w:bCs/>
                <w:color w:val="auto"/>
                <w:sz w:val="21"/>
                <w:szCs w:val="21"/>
              </w:rPr>
              <w:t>55</w:t>
            </w:r>
          </w:p>
        </w:tc>
        <w:tc>
          <w:tcPr>
            <w:tcW w:w="1250" w:type="pct"/>
            <w:vAlign w:val="center"/>
          </w:tcPr>
          <w:p w14:paraId="7428999F">
            <w:pPr>
              <w:spacing w:line="240" w:lineRule="auto"/>
              <w:ind w:firstLine="420"/>
              <w:jc w:val="center"/>
              <w:rPr>
                <w:bCs/>
                <w:color w:val="auto"/>
                <w:sz w:val="21"/>
                <w:szCs w:val="21"/>
              </w:rPr>
            </w:pPr>
            <w:r>
              <w:rPr>
                <w:rFonts w:hint="eastAsia"/>
                <w:bCs/>
                <w:color w:val="auto"/>
                <w:sz w:val="21"/>
                <w:szCs w:val="21"/>
              </w:rPr>
              <w:t>55</w:t>
            </w:r>
          </w:p>
        </w:tc>
        <w:tc>
          <w:tcPr>
            <w:tcW w:w="1250" w:type="pct"/>
            <w:vAlign w:val="center"/>
          </w:tcPr>
          <w:p w14:paraId="653CDEEF">
            <w:pPr>
              <w:spacing w:line="240" w:lineRule="auto"/>
              <w:ind w:firstLine="420"/>
              <w:jc w:val="center"/>
              <w:rPr>
                <w:bCs/>
                <w:color w:val="auto"/>
                <w:sz w:val="21"/>
                <w:szCs w:val="21"/>
              </w:rPr>
            </w:pPr>
            <w:r>
              <w:rPr>
                <w:rFonts w:hint="eastAsia"/>
                <w:bCs/>
                <w:color w:val="auto"/>
                <w:sz w:val="21"/>
                <w:szCs w:val="21"/>
              </w:rPr>
              <w:t>250</w:t>
            </w:r>
          </w:p>
        </w:tc>
      </w:tr>
    </w:tbl>
    <w:p w14:paraId="0A7C5BBF">
      <w:pPr>
        <w:ind w:firstLine="480"/>
        <w:rPr>
          <w:bCs/>
          <w:color w:val="auto"/>
        </w:rPr>
      </w:pPr>
      <w:r>
        <w:rPr>
          <w:bCs/>
          <w:color w:val="auto"/>
        </w:rPr>
        <w:t>从</w:t>
      </w:r>
      <w:r>
        <w:rPr>
          <w:rFonts w:hint="eastAsia"/>
          <w:bCs/>
          <w:color w:val="auto"/>
        </w:rPr>
        <w:t>上表</w:t>
      </w:r>
      <w:r>
        <w:rPr>
          <w:bCs/>
          <w:color w:val="auto"/>
        </w:rPr>
        <w:t>可以看出，土壤环境质量现状监测期间，监测点位T1~T</w:t>
      </w:r>
      <w:r>
        <w:rPr>
          <w:rFonts w:hint="eastAsia"/>
          <w:bCs/>
          <w:color w:val="auto"/>
        </w:rPr>
        <w:t>7</w:t>
      </w:r>
      <w:r>
        <w:rPr>
          <w:bCs/>
          <w:color w:val="auto"/>
        </w:rPr>
        <w:t>、</w:t>
      </w:r>
      <w:r>
        <w:rPr>
          <w:rFonts w:hint="eastAsia"/>
          <w:bCs/>
          <w:color w:val="auto"/>
        </w:rPr>
        <w:t>T9、</w:t>
      </w:r>
      <w:r>
        <w:rPr>
          <w:bCs/>
          <w:color w:val="auto"/>
        </w:rPr>
        <w:t>T11各监测指标满足《土壤环境质量 建设用地土壤污染风险管控标准(试行)》(GB36600-2018)第二类用地筛选值的要求，监测点位T</w:t>
      </w:r>
      <w:r>
        <w:rPr>
          <w:rFonts w:hint="eastAsia"/>
          <w:bCs/>
          <w:color w:val="auto"/>
        </w:rPr>
        <w:t>8、</w:t>
      </w:r>
      <w:r>
        <w:rPr>
          <w:bCs/>
          <w:color w:val="auto"/>
        </w:rPr>
        <w:t>T10各监测指标满足《土壤环境质量 农用地土壤污染风险管控标准(试行)》(GB36600-2018)风险筛选值的要求，土壤环境质量总体良好。</w:t>
      </w:r>
    </w:p>
    <w:p w14:paraId="3D0EC4E8">
      <w:pPr>
        <w:ind w:firstLine="480"/>
        <w:rPr>
          <w:color w:val="auto"/>
        </w:rPr>
        <w:sectPr>
          <w:pgSz w:w="16838" w:h="11906" w:orient="landscape"/>
          <w:pgMar w:top="1134" w:right="1134" w:bottom="1134" w:left="1134" w:header="851" w:footer="992" w:gutter="0"/>
          <w:cols w:space="425" w:num="1"/>
          <w:docGrid w:type="lines" w:linePitch="312" w:charSpace="0"/>
        </w:sectPr>
      </w:pPr>
    </w:p>
    <w:p w14:paraId="267F31AE">
      <w:pPr>
        <w:pStyle w:val="5"/>
        <w:spacing w:before="156"/>
        <w:rPr>
          <w:color w:val="auto"/>
        </w:rPr>
      </w:pPr>
      <w:r>
        <w:rPr>
          <w:rFonts w:hint="eastAsia"/>
          <w:color w:val="auto"/>
        </w:rPr>
        <w:t>5.2.6.2土壤理化性质调查</w:t>
      </w:r>
    </w:p>
    <w:p w14:paraId="361943D4">
      <w:pPr>
        <w:ind w:firstLine="480"/>
        <w:rPr>
          <w:color w:val="auto"/>
        </w:rPr>
      </w:pPr>
      <w:r>
        <w:rPr>
          <w:rFonts w:hint="eastAsia"/>
          <w:color w:val="auto"/>
        </w:rPr>
        <w:t>本次</w:t>
      </w:r>
      <w:r>
        <w:rPr>
          <w:color w:val="auto"/>
        </w:rPr>
        <w:t>引用《启东亚太药业有限公司年产2000吨硫代硫酸钠原料药、10吨依达拉奉原料药及1亿粒制剂项目环境影响报告书》</w:t>
      </w:r>
      <w:r>
        <w:rPr>
          <w:rFonts w:hint="eastAsia"/>
          <w:color w:val="auto"/>
        </w:rPr>
        <w:t>中调查结果，调查时间为</w:t>
      </w:r>
      <w:r>
        <w:rPr>
          <w:color w:val="auto"/>
        </w:rPr>
        <w:t>2022年10月9日</w:t>
      </w:r>
      <w:r>
        <w:rPr>
          <w:rFonts w:hint="eastAsia"/>
          <w:color w:val="auto"/>
        </w:rPr>
        <w:t>，</w:t>
      </w:r>
      <w:r>
        <w:rPr>
          <w:color w:val="auto"/>
        </w:rPr>
        <w:t>调查结果见</w:t>
      </w:r>
      <w:r>
        <w:rPr>
          <w:rFonts w:hint="eastAsia"/>
          <w:color w:val="auto"/>
        </w:rPr>
        <w:t>下表</w:t>
      </w:r>
      <w:r>
        <w:rPr>
          <w:color w:val="auto"/>
        </w:rPr>
        <w:t>。</w:t>
      </w:r>
    </w:p>
    <w:p w14:paraId="535E6935">
      <w:pPr>
        <w:ind w:firstLine="482"/>
        <w:jc w:val="center"/>
        <w:rPr>
          <w:b/>
          <w:color w:val="auto"/>
        </w:rPr>
      </w:pPr>
      <w:r>
        <w:rPr>
          <w:rFonts w:hint="eastAsia"/>
          <w:b/>
          <w:color w:val="auto"/>
        </w:rPr>
        <w:t>表5.2.6-6 土壤理化性质调查表</w:t>
      </w:r>
    </w:p>
    <w:tbl>
      <w:tblPr>
        <w:tblStyle w:val="4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390"/>
        <w:gridCol w:w="1600"/>
        <w:gridCol w:w="1166"/>
        <w:gridCol w:w="1739"/>
        <w:gridCol w:w="1596"/>
        <w:gridCol w:w="2147"/>
      </w:tblGrid>
      <w:tr w14:paraId="1BFC8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56" w:type="pct"/>
            <w:gridSpan w:val="3"/>
            <w:tcBorders>
              <w:top w:val="single" w:color="auto" w:sz="12" w:space="0"/>
              <w:left w:val="nil"/>
              <w:bottom w:val="single" w:color="auto" w:sz="4" w:space="0"/>
              <w:right w:val="single" w:color="auto" w:sz="4" w:space="0"/>
              <w:tl2br w:val="nil"/>
              <w:tr2bl w:val="nil"/>
            </w:tcBorders>
            <w:vAlign w:val="center"/>
          </w:tcPr>
          <w:p w14:paraId="2B0EC0A7">
            <w:pPr>
              <w:widowControl/>
              <w:spacing w:line="240" w:lineRule="auto"/>
              <w:ind w:firstLine="422"/>
              <w:jc w:val="center"/>
              <w:rPr>
                <w:b/>
                <w:bCs/>
                <w:color w:val="auto"/>
                <w:kern w:val="0"/>
                <w:sz w:val="21"/>
                <w:szCs w:val="21"/>
              </w:rPr>
            </w:pPr>
            <w:r>
              <w:rPr>
                <w:b/>
                <w:bCs/>
                <w:color w:val="auto"/>
                <w:kern w:val="0"/>
                <w:sz w:val="21"/>
                <w:szCs w:val="21"/>
              </w:rPr>
              <w:t>点号</w:t>
            </w:r>
          </w:p>
        </w:tc>
        <w:tc>
          <w:tcPr>
            <w:tcW w:w="902" w:type="pct"/>
            <w:tcBorders>
              <w:top w:val="single" w:color="auto" w:sz="12" w:space="0"/>
              <w:left w:val="single" w:color="auto" w:sz="4" w:space="0"/>
              <w:bottom w:val="single" w:color="auto" w:sz="4" w:space="0"/>
              <w:right w:val="single" w:color="auto" w:sz="4" w:space="0"/>
              <w:tl2br w:val="nil"/>
              <w:tr2bl w:val="nil"/>
            </w:tcBorders>
            <w:vAlign w:val="center"/>
          </w:tcPr>
          <w:p w14:paraId="6B8C0400">
            <w:pPr>
              <w:widowControl/>
              <w:spacing w:line="240" w:lineRule="auto"/>
              <w:ind w:firstLine="420"/>
              <w:jc w:val="center"/>
              <w:rPr>
                <w:color w:val="auto"/>
                <w:kern w:val="0"/>
                <w:sz w:val="21"/>
                <w:szCs w:val="21"/>
              </w:rPr>
            </w:pPr>
            <w:r>
              <w:rPr>
                <w:color w:val="auto"/>
                <w:kern w:val="0"/>
                <w:sz w:val="21"/>
                <w:szCs w:val="21"/>
              </w:rPr>
              <w:t>T1（1#车间）</w:t>
            </w:r>
          </w:p>
        </w:tc>
        <w:tc>
          <w:tcPr>
            <w:tcW w:w="828" w:type="pct"/>
            <w:tcBorders>
              <w:top w:val="single" w:color="auto" w:sz="12" w:space="0"/>
              <w:left w:val="single" w:color="auto" w:sz="4" w:space="0"/>
              <w:bottom w:val="single" w:color="auto" w:sz="4" w:space="0"/>
              <w:right w:val="single" w:color="auto" w:sz="4" w:space="0"/>
              <w:tl2br w:val="nil"/>
              <w:tr2bl w:val="nil"/>
            </w:tcBorders>
            <w:vAlign w:val="center"/>
          </w:tcPr>
          <w:p w14:paraId="0F2374FC">
            <w:pPr>
              <w:widowControl/>
              <w:spacing w:line="240" w:lineRule="auto"/>
              <w:ind w:firstLine="422"/>
              <w:jc w:val="center"/>
              <w:rPr>
                <w:b/>
                <w:bCs/>
                <w:color w:val="auto"/>
                <w:kern w:val="0"/>
                <w:sz w:val="21"/>
                <w:szCs w:val="21"/>
              </w:rPr>
            </w:pPr>
            <w:r>
              <w:rPr>
                <w:b/>
                <w:bCs/>
                <w:color w:val="auto"/>
                <w:kern w:val="0"/>
                <w:sz w:val="21"/>
                <w:szCs w:val="21"/>
              </w:rPr>
              <w:t>时间</w:t>
            </w:r>
          </w:p>
        </w:tc>
        <w:tc>
          <w:tcPr>
            <w:tcW w:w="1115" w:type="pct"/>
            <w:tcBorders>
              <w:top w:val="single" w:color="auto" w:sz="12" w:space="0"/>
              <w:left w:val="single" w:color="auto" w:sz="4" w:space="0"/>
              <w:bottom w:val="single" w:color="auto" w:sz="4" w:space="0"/>
              <w:right w:val="nil"/>
              <w:tl2br w:val="nil"/>
              <w:tr2bl w:val="nil"/>
            </w:tcBorders>
            <w:vAlign w:val="center"/>
          </w:tcPr>
          <w:p w14:paraId="05695DA0">
            <w:pPr>
              <w:widowControl/>
              <w:spacing w:line="240" w:lineRule="auto"/>
              <w:ind w:firstLine="420"/>
              <w:jc w:val="center"/>
              <w:rPr>
                <w:color w:val="auto"/>
                <w:kern w:val="0"/>
                <w:sz w:val="21"/>
                <w:szCs w:val="21"/>
              </w:rPr>
            </w:pPr>
            <w:r>
              <w:rPr>
                <w:color w:val="auto"/>
                <w:kern w:val="0"/>
                <w:sz w:val="21"/>
                <w:szCs w:val="21"/>
              </w:rPr>
              <w:t>2022/10/9</w:t>
            </w:r>
          </w:p>
        </w:tc>
      </w:tr>
      <w:tr w14:paraId="1EAFA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4" w:hRule="atLeast"/>
          <w:jc w:val="center"/>
        </w:trPr>
        <w:tc>
          <w:tcPr>
            <w:tcW w:w="2156" w:type="pct"/>
            <w:gridSpan w:val="3"/>
            <w:tcBorders>
              <w:top w:val="single" w:color="auto" w:sz="4" w:space="0"/>
              <w:left w:val="nil"/>
              <w:bottom w:val="single" w:color="auto" w:sz="4" w:space="0"/>
              <w:right w:val="single" w:color="auto" w:sz="4" w:space="0"/>
              <w:tl2br w:val="nil"/>
              <w:tr2bl w:val="nil"/>
            </w:tcBorders>
            <w:vAlign w:val="center"/>
          </w:tcPr>
          <w:p w14:paraId="7720D618">
            <w:pPr>
              <w:widowControl/>
              <w:spacing w:line="240" w:lineRule="auto"/>
              <w:ind w:firstLine="422"/>
              <w:jc w:val="center"/>
              <w:rPr>
                <w:b/>
                <w:bCs/>
                <w:color w:val="auto"/>
                <w:kern w:val="0"/>
                <w:sz w:val="21"/>
                <w:szCs w:val="21"/>
              </w:rPr>
            </w:pPr>
            <w:r>
              <w:rPr>
                <w:b/>
                <w:bCs/>
                <w:color w:val="auto"/>
                <w:kern w:val="0"/>
                <w:sz w:val="21"/>
                <w:szCs w:val="21"/>
              </w:rPr>
              <w:t>经度</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25E2432D">
            <w:pPr>
              <w:widowControl/>
              <w:spacing w:line="240" w:lineRule="auto"/>
              <w:ind w:firstLine="420"/>
              <w:jc w:val="center"/>
              <w:rPr>
                <w:color w:val="auto"/>
                <w:kern w:val="0"/>
                <w:sz w:val="21"/>
                <w:szCs w:val="21"/>
              </w:rPr>
            </w:pPr>
            <w:r>
              <w:rPr>
                <w:color w:val="auto"/>
                <w:kern w:val="0"/>
                <w:sz w:val="21"/>
                <w:szCs w:val="21"/>
              </w:rPr>
              <w:t>121.496401</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4AF70447">
            <w:pPr>
              <w:widowControl/>
              <w:spacing w:line="240" w:lineRule="auto"/>
              <w:ind w:firstLine="422"/>
              <w:jc w:val="center"/>
              <w:rPr>
                <w:b/>
                <w:bCs/>
                <w:color w:val="auto"/>
                <w:kern w:val="0"/>
                <w:sz w:val="21"/>
                <w:szCs w:val="21"/>
              </w:rPr>
            </w:pPr>
            <w:r>
              <w:rPr>
                <w:b/>
                <w:bCs/>
                <w:color w:val="auto"/>
                <w:kern w:val="0"/>
                <w:sz w:val="21"/>
                <w:szCs w:val="21"/>
              </w:rPr>
              <w:t>纬度</w:t>
            </w:r>
          </w:p>
        </w:tc>
        <w:tc>
          <w:tcPr>
            <w:tcW w:w="1115" w:type="pct"/>
            <w:tcBorders>
              <w:top w:val="single" w:color="auto" w:sz="4" w:space="0"/>
              <w:left w:val="single" w:color="auto" w:sz="4" w:space="0"/>
              <w:bottom w:val="single" w:color="auto" w:sz="4" w:space="0"/>
              <w:right w:val="nil"/>
              <w:tl2br w:val="nil"/>
              <w:tr2bl w:val="nil"/>
            </w:tcBorders>
            <w:vAlign w:val="center"/>
          </w:tcPr>
          <w:p w14:paraId="739E5237">
            <w:pPr>
              <w:widowControl/>
              <w:spacing w:line="240" w:lineRule="auto"/>
              <w:ind w:firstLine="420"/>
              <w:jc w:val="center"/>
              <w:rPr>
                <w:color w:val="auto"/>
                <w:kern w:val="0"/>
                <w:sz w:val="21"/>
                <w:szCs w:val="21"/>
              </w:rPr>
            </w:pPr>
            <w:r>
              <w:rPr>
                <w:color w:val="auto"/>
                <w:kern w:val="0"/>
                <w:sz w:val="21"/>
                <w:szCs w:val="21"/>
              </w:rPr>
              <w:t>31.810952</w:t>
            </w:r>
          </w:p>
        </w:tc>
      </w:tr>
      <w:tr w14:paraId="6257F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92" w:hRule="atLeast"/>
          <w:jc w:val="center"/>
        </w:trPr>
        <w:tc>
          <w:tcPr>
            <w:tcW w:w="2156" w:type="pct"/>
            <w:gridSpan w:val="3"/>
            <w:tcBorders>
              <w:top w:val="single" w:color="auto" w:sz="4" w:space="0"/>
              <w:left w:val="nil"/>
              <w:bottom w:val="single" w:color="auto" w:sz="4" w:space="0"/>
              <w:right w:val="single" w:color="auto" w:sz="4" w:space="0"/>
              <w:tl2br w:val="nil"/>
              <w:tr2bl w:val="nil"/>
            </w:tcBorders>
            <w:vAlign w:val="center"/>
          </w:tcPr>
          <w:p w14:paraId="38C5A7B6">
            <w:pPr>
              <w:widowControl/>
              <w:spacing w:line="240" w:lineRule="auto"/>
              <w:ind w:firstLine="422"/>
              <w:jc w:val="center"/>
              <w:rPr>
                <w:b/>
                <w:bCs/>
                <w:color w:val="auto"/>
                <w:kern w:val="0"/>
                <w:sz w:val="21"/>
                <w:szCs w:val="21"/>
              </w:rPr>
            </w:pPr>
            <w:r>
              <w:rPr>
                <w:b/>
                <w:bCs/>
                <w:color w:val="auto"/>
                <w:kern w:val="0"/>
                <w:sz w:val="21"/>
                <w:szCs w:val="21"/>
              </w:rPr>
              <w:t>层次</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421C18E6">
            <w:pPr>
              <w:widowControl/>
              <w:spacing w:line="240" w:lineRule="auto"/>
              <w:ind w:firstLine="420"/>
              <w:jc w:val="center"/>
              <w:rPr>
                <w:color w:val="auto"/>
                <w:kern w:val="0"/>
                <w:sz w:val="21"/>
                <w:szCs w:val="21"/>
              </w:rPr>
            </w:pPr>
            <w:r>
              <w:rPr>
                <w:color w:val="auto"/>
                <w:kern w:val="0"/>
                <w:sz w:val="21"/>
                <w:szCs w:val="21"/>
              </w:rPr>
              <w:t>0~20cm</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5FB2556D">
            <w:pPr>
              <w:widowControl/>
              <w:spacing w:line="240" w:lineRule="auto"/>
              <w:ind w:firstLine="420"/>
              <w:jc w:val="center"/>
              <w:rPr>
                <w:color w:val="auto"/>
                <w:kern w:val="0"/>
                <w:sz w:val="21"/>
                <w:szCs w:val="21"/>
              </w:rPr>
            </w:pPr>
            <w:r>
              <w:rPr>
                <w:color w:val="auto"/>
                <w:kern w:val="0"/>
                <w:sz w:val="21"/>
                <w:szCs w:val="21"/>
              </w:rPr>
              <w:t>20~70cm</w:t>
            </w:r>
          </w:p>
        </w:tc>
        <w:tc>
          <w:tcPr>
            <w:tcW w:w="1115" w:type="pct"/>
            <w:tcBorders>
              <w:top w:val="single" w:color="auto" w:sz="4" w:space="0"/>
              <w:left w:val="single" w:color="auto" w:sz="4" w:space="0"/>
              <w:bottom w:val="single" w:color="auto" w:sz="4" w:space="0"/>
              <w:right w:val="nil"/>
              <w:tl2br w:val="nil"/>
              <w:tr2bl w:val="nil"/>
            </w:tcBorders>
            <w:vAlign w:val="center"/>
          </w:tcPr>
          <w:p w14:paraId="77070FAA">
            <w:pPr>
              <w:widowControl/>
              <w:spacing w:line="240" w:lineRule="auto"/>
              <w:ind w:firstLine="420"/>
              <w:jc w:val="center"/>
              <w:rPr>
                <w:color w:val="auto"/>
                <w:kern w:val="0"/>
                <w:sz w:val="21"/>
                <w:szCs w:val="21"/>
              </w:rPr>
            </w:pPr>
            <w:r>
              <w:rPr>
                <w:color w:val="auto"/>
                <w:kern w:val="0"/>
                <w:sz w:val="21"/>
                <w:szCs w:val="21"/>
              </w:rPr>
              <w:t>70~120cm</w:t>
            </w:r>
          </w:p>
        </w:tc>
      </w:tr>
      <w:tr w14:paraId="4C9D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50" w:hRule="atLeast"/>
          <w:jc w:val="center"/>
        </w:trPr>
        <w:tc>
          <w:tcPr>
            <w:tcW w:w="721" w:type="pct"/>
            <w:vMerge w:val="restart"/>
            <w:tcBorders>
              <w:top w:val="single" w:color="auto" w:sz="4" w:space="0"/>
              <w:left w:val="nil"/>
              <w:right w:val="single" w:color="auto" w:sz="4" w:space="0"/>
              <w:tl2br w:val="nil"/>
              <w:tr2bl w:val="nil"/>
            </w:tcBorders>
            <w:vAlign w:val="center"/>
          </w:tcPr>
          <w:p w14:paraId="0F068A5F">
            <w:pPr>
              <w:widowControl/>
              <w:spacing w:line="240" w:lineRule="auto"/>
              <w:ind w:firstLine="422"/>
              <w:jc w:val="center"/>
              <w:rPr>
                <w:b/>
                <w:bCs/>
                <w:color w:val="auto"/>
                <w:kern w:val="0"/>
                <w:sz w:val="21"/>
                <w:szCs w:val="21"/>
              </w:rPr>
            </w:pPr>
            <w:r>
              <w:rPr>
                <w:b/>
                <w:bCs/>
                <w:color w:val="auto"/>
                <w:kern w:val="0"/>
                <w:sz w:val="21"/>
                <w:szCs w:val="21"/>
              </w:rPr>
              <w:t>现场记录</w:t>
            </w:r>
          </w:p>
        </w:tc>
        <w:tc>
          <w:tcPr>
            <w:tcW w:w="143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7A47DD15">
            <w:pPr>
              <w:widowControl/>
              <w:spacing w:line="240" w:lineRule="auto"/>
              <w:ind w:firstLine="422"/>
              <w:jc w:val="center"/>
              <w:rPr>
                <w:b/>
                <w:bCs/>
                <w:color w:val="auto"/>
                <w:kern w:val="0"/>
                <w:sz w:val="21"/>
                <w:szCs w:val="21"/>
              </w:rPr>
            </w:pPr>
            <w:r>
              <w:rPr>
                <w:b/>
                <w:bCs/>
                <w:color w:val="auto"/>
                <w:kern w:val="0"/>
                <w:sz w:val="21"/>
                <w:szCs w:val="21"/>
              </w:rPr>
              <w:t>颜色</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0C79E8A4">
            <w:pPr>
              <w:widowControl/>
              <w:spacing w:line="240" w:lineRule="auto"/>
              <w:ind w:firstLine="420"/>
              <w:jc w:val="center"/>
              <w:rPr>
                <w:color w:val="auto"/>
                <w:kern w:val="0"/>
                <w:sz w:val="21"/>
                <w:szCs w:val="21"/>
              </w:rPr>
            </w:pPr>
            <w:r>
              <w:rPr>
                <w:color w:val="auto"/>
                <w:kern w:val="0"/>
                <w:sz w:val="21"/>
                <w:szCs w:val="21"/>
              </w:rPr>
              <w:t>浅棕</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2FD6D4D9">
            <w:pPr>
              <w:widowControl/>
              <w:spacing w:line="240" w:lineRule="auto"/>
              <w:ind w:firstLine="420"/>
              <w:jc w:val="center"/>
              <w:rPr>
                <w:color w:val="auto"/>
                <w:kern w:val="0"/>
                <w:sz w:val="21"/>
                <w:szCs w:val="21"/>
              </w:rPr>
            </w:pPr>
            <w:r>
              <w:rPr>
                <w:color w:val="auto"/>
                <w:kern w:val="0"/>
                <w:sz w:val="21"/>
                <w:szCs w:val="21"/>
              </w:rPr>
              <w:t>浅棕</w:t>
            </w:r>
          </w:p>
        </w:tc>
        <w:tc>
          <w:tcPr>
            <w:tcW w:w="1115" w:type="pct"/>
            <w:tcBorders>
              <w:top w:val="single" w:color="auto" w:sz="4" w:space="0"/>
              <w:left w:val="single" w:color="auto" w:sz="4" w:space="0"/>
              <w:bottom w:val="single" w:color="auto" w:sz="4" w:space="0"/>
              <w:right w:val="nil"/>
              <w:tl2br w:val="nil"/>
              <w:tr2bl w:val="nil"/>
            </w:tcBorders>
            <w:vAlign w:val="center"/>
          </w:tcPr>
          <w:p w14:paraId="6BD28DC6">
            <w:pPr>
              <w:widowControl/>
              <w:spacing w:line="240" w:lineRule="auto"/>
              <w:ind w:firstLine="420"/>
              <w:jc w:val="center"/>
              <w:rPr>
                <w:color w:val="auto"/>
                <w:kern w:val="0"/>
                <w:sz w:val="21"/>
                <w:szCs w:val="21"/>
              </w:rPr>
            </w:pPr>
            <w:r>
              <w:rPr>
                <w:color w:val="auto"/>
                <w:kern w:val="0"/>
                <w:sz w:val="21"/>
                <w:szCs w:val="21"/>
              </w:rPr>
              <w:t>浅棕</w:t>
            </w:r>
          </w:p>
        </w:tc>
      </w:tr>
      <w:tr w14:paraId="33943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97" w:hRule="atLeast"/>
          <w:jc w:val="center"/>
        </w:trPr>
        <w:tc>
          <w:tcPr>
            <w:tcW w:w="721" w:type="pct"/>
            <w:vMerge w:val="continue"/>
            <w:tcBorders>
              <w:left w:val="nil"/>
              <w:right w:val="single" w:color="auto" w:sz="4" w:space="0"/>
              <w:tl2br w:val="nil"/>
              <w:tr2bl w:val="nil"/>
            </w:tcBorders>
            <w:vAlign w:val="center"/>
          </w:tcPr>
          <w:p w14:paraId="66283BA2">
            <w:pPr>
              <w:widowControl/>
              <w:spacing w:line="240" w:lineRule="auto"/>
              <w:ind w:firstLine="422"/>
              <w:jc w:val="center"/>
              <w:rPr>
                <w:b/>
                <w:bCs/>
                <w:color w:val="auto"/>
                <w:kern w:val="0"/>
                <w:sz w:val="21"/>
                <w:szCs w:val="21"/>
              </w:rPr>
            </w:pPr>
          </w:p>
        </w:tc>
        <w:tc>
          <w:tcPr>
            <w:tcW w:w="143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75587715">
            <w:pPr>
              <w:widowControl/>
              <w:spacing w:line="240" w:lineRule="auto"/>
              <w:ind w:firstLine="422"/>
              <w:jc w:val="center"/>
              <w:rPr>
                <w:b/>
                <w:bCs/>
                <w:color w:val="auto"/>
                <w:kern w:val="0"/>
                <w:sz w:val="21"/>
                <w:szCs w:val="21"/>
              </w:rPr>
            </w:pPr>
            <w:r>
              <w:rPr>
                <w:b/>
                <w:bCs/>
                <w:color w:val="auto"/>
                <w:kern w:val="0"/>
                <w:sz w:val="21"/>
                <w:szCs w:val="21"/>
              </w:rPr>
              <w:t>结构</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0B6285E8">
            <w:pPr>
              <w:widowControl/>
              <w:spacing w:line="240" w:lineRule="auto"/>
              <w:ind w:firstLine="420"/>
              <w:jc w:val="center"/>
              <w:rPr>
                <w:color w:val="auto"/>
                <w:kern w:val="0"/>
                <w:sz w:val="21"/>
                <w:szCs w:val="21"/>
              </w:rPr>
            </w:pPr>
            <w:r>
              <w:rPr>
                <w:color w:val="auto"/>
                <w:kern w:val="0"/>
                <w:sz w:val="21"/>
                <w:szCs w:val="21"/>
              </w:rPr>
              <w:t>块状</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532D95F4">
            <w:pPr>
              <w:widowControl/>
              <w:spacing w:line="240" w:lineRule="auto"/>
              <w:ind w:firstLine="420"/>
              <w:jc w:val="center"/>
              <w:rPr>
                <w:color w:val="auto"/>
                <w:kern w:val="0"/>
                <w:sz w:val="21"/>
                <w:szCs w:val="21"/>
              </w:rPr>
            </w:pPr>
            <w:r>
              <w:rPr>
                <w:color w:val="auto"/>
                <w:kern w:val="0"/>
                <w:sz w:val="21"/>
                <w:szCs w:val="21"/>
              </w:rPr>
              <w:t>块状</w:t>
            </w:r>
          </w:p>
        </w:tc>
        <w:tc>
          <w:tcPr>
            <w:tcW w:w="1115" w:type="pct"/>
            <w:tcBorders>
              <w:top w:val="single" w:color="auto" w:sz="4" w:space="0"/>
              <w:left w:val="single" w:color="auto" w:sz="4" w:space="0"/>
              <w:bottom w:val="single" w:color="auto" w:sz="4" w:space="0"/>
              <w:right w:val="nil"/>
              <w:tl2br w:val="nil"/>
              <w:tr2bl w:val="nil"/>
            </w:tcBorders>
            <w:vAlign w:val="center"/>
          </w:tcPr>
          <w:p w14:paraId="3F480B9B">
            <w:pPr>
              <w:widowControl/>
              <w:spacing w:line="240" w:lineRule="auto"/>
              <w:ind w:firstLine="420"/>
              <w:jc w:val="center"/>
              <w:rPr>
                <w:color w:val="auto"/>
                <w:kern w:val="0"/>
                <w:sz w:val="21"/>
                <w:szCs w:val="21"/>
              </w:rPr>
            </w:pPr>
            <w:r>
              <w:rPr>
                <w:color w:val="auto"/>
                <w:kern w:val="0"/>
                <w:sz w:val="21"/>
                <w:szCs w:val="21"/>
              </w:rPr>
              <w:t>块状</w:t>
            </w:r>
          </w:p>
        </w:tc>
      </w:tr>
      <w:tr w14:paraId="7C9E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62" w:hRule="atLeast"/>
          <w:jc w:val="center"/>
        </w:trPr>
        <w:tc>
          <w:tcPr>
            <w:tcW w:w="721" w:type="pct"/>
            <w:vMerge w:val="continue"/>
            <w:tcBorders>
              <w:left w:val="nil"/>
              <w:right w:val="single" w:color="auto" w:sz="4" w:space="0"/>
              <w:tl2br w:val="nil"/>
              <w:tr2bl w:val="nil"/>
            </w:tcBorders>
            <w:vAlign w:val="center"/>
          </w:tcPr>
          <w:p w14:paraId="78BEDB8A">
            <w:pPr>
              <w:widowControl/>
              <w:spacing w:line="240" w:lineRule="auto"/>
              <w:ind w:firstLine="422"/>
              <w:jc w:val="center"/>
              <w:rPr>
                <w:b/>
                <w:bCs/>
                <w:color w:val="auto"/>
                <w:kern w:val="0"/>
                <w:sz w:val="21"/>
                <w:szCs w:val="21"/>
              </w:rPr>
            </w:pPr>
          </w:p>
        </w:tc>
        <w:tc>
          <w:tcPr>
            <w:tcW w:w="143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7157FB58">
            <w:pPr>
              <w:widowControl/>
              <w:spacing w:line="240" w:lineRule="auto"/>
              <w:ind w:firstLine="422"/>
              <w:jc w:val="center"/>
              <w:rPr>
                <w:b/>
                <w:bCs/>
                <w:color w:val="auto"/>
                <w:kern w:val="0"/>
                <w:sz w:val="21"/>
                <w:szCs w:val="21"/>
              </w:rPr>
            </w:pPr>
            <w:r>
              <w:rPr>
                <w:b/>
                <w:bCs/>
                <w:color w:val="auto"/>
                <w:kern w:val="0"/>
                <w:sz w:val="21"/>
                <w:szCs w:val="21"/>
              </w:rPr>
              <w:t>质地</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502E51E7">
            <w:pPr>
              <w:widowControl/>
              <w:spacing w:line="240" w:lineRule="auto"/>
              <w:ind w:firstLine="420"/>
              <w:jc w:val="center"/>
              <w:rPr>
                <w:color w:val="auto"/>
                <w:kern w:val="0"/>
                <w:sz w:val="21"/>
                <w:szCs w:val="21"/>
              </w:rPr>
            </w:pPr>
            <w:r>
              <w:rPr>
                <w:color w:val="auto"/>
                <w:kern w:val="0"/>
                <w:sz w:val="21"/>
                <w:szCs w:val="21"/>
              </w:rPr>
              <w:t>轻壤土</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58D8C68D">
            <w:pPr>
              <w:widowControl/>
              <w:spacing w:line="240" w:lineRule="auto"/>
              <w:ind w:firstLine="420"/>
              <w:jc w:val="center"/>
              <w:rPr>
                <w:color w:val="auto"/>
                <w:kern w:val="0"/>
                <w:sz w:val="21"/>
                <w:szCs w:val="21"/>
              </w:rPr>
            </w:pPr>
            <w:r>
              <w:rPr>
                <w:color w:val="auto"/>
                <w:kern w:val="0"/>
                <w:sz w:val="21"/>
                <w:szCs w:val="21"/>
              </w:rPr>
              <w:t>轻壤土</w:t>
            </w:r>
          </w:p>
        </w:tc>
        <w:tc>
          <w:tcPr>
            <w:tcW w:w="1115" w:type="pct"/>
            <w:tcBorders>
              <w:top w:val="single" w:color="auto" w:sz="4" w:space="0"/>
              <w:left w:val="single" w:color="auto" w:sz="4" w:space="0"/>
              <w:bottom w:val="single" w:color="auto" w:sz="4" w:space="0"/>
              <w:right w:val="nil"/>
              <w:tl2br w:val="nil"/>
              <w:tr2bl w:val="nil"/>
            </w:tcBorders>
            <w:vAlign w:val="center"/>
          </w:tcPr>
          <w:p w14:paraId="725E6625">
            <w:pPr>
              <w:widowControl/>
              <w:spacing w:line="240" w:lineRule="auto"/>
              <w:ind w:firstLine="420"/>
              <w:jc w:val="center"/>
              <w:rPr>
                <w:color w:val="auto"/>
                <w:kern w:val="0"/>
                <w:sz w:val="21"/>
                <w:szCs w:val="21"/>
              </w:rPr>
            </w:pPr>
            <w:r>
              <w:rPr>
                <w:color w:val="auto"/>
                <w:kern w:val="0"/>
                <w:sz w:val="21"/>
                <w:szCs w:val="21"/>
              </w:rPr>
              <w:t>轻壤土</w:t>
            </w:r>
          </w:p>
        </w:tc>
      </w:tr>
      <w:tr w14:paraId="09BC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7" w:hRule="atLeast"/>
          <w:jc w:val="center"/>
        </w:trPr>
        <w:tc>
          <w:tcPr>
            <w:tcW w:w="721" w:type="pct"/>
            <w:vMerge w:val="continue"/>
            <w:tcBorders>
              <w:left w:val="nil"/>
              <w:right w:val="single" w:color="auto" w:sz="4" w:space="0"/>
              <w:tl2br w:val="nil"/>
              <w:tr2bl w:val="nil"/>
            </w:tcBorders>
            <w:vAlign w:val="center"/>
          </w:tcPr>
          <w:p w14:paraId="68BC6F6F">
            <w:pPr>
              <w:widowControl/>
              <w:spacing w:line="240" w:lineRule="auto"/>
              <w:ind w:firstLine="422"/>
              <w:jc w:val="center"/>
              <w:rPr>
                <w:b/>
                <w:bCs/>
                <w:color w:val="auto"/>
                <w:kern w:val="0"/>
                <w:sz w:val="21"/>
                <w:szCs w:val="21"/>
              </w:rPr>
            </w:pPr>
          </w:p>
        </w:tc>
        <w:tc>
          <w:tcPr>
            <w:tcW w:w="143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15652FF">
            <w:pPr>
              <w:widowControl/>
              <w:spacing w:line="240" w:lineRule="auto"/>
              <w:ind w:firstLine="422"/>
              <w:jc w:val="center"/>
              <w:rPr>
                <w:b/>
                <w:bCs/>
                <w:color w:val="auto"/>
                <w:kern w:val="0"/>
                <w:sz w:val="21"/>
                <w:szCs w:val="21"/>
              </w:rPr>
            </w:pPr>
            <w:r>
              <w:rPr>
                <w:b/>
                <w:bCs/>
                <w:color w:val="auto"/>
                <w:kern w:val="0"/>
                <w:sz w:val="21"/>
                <w:szCs w:val="21"/>
              </w:rPr>
              <w:t>砂砾含量</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0DDB7D06">
            <w:pPr>
              <w:widowControl/>
              <w:spacing w:line="240" w:lineRule="auto"/>
              <w:ind w:firstLine="420"/>
              <w:jc w:val="center"/>
              <w:rPr>
                <w:color w:val="auto"/>
                <w:kern w:val="0"/>
                <w:sz w:val="21"/>
                <w:szCs w:val="21"/>
              </w:rPr>
            </w:pPr>
            <w:r>
              <w:rPr>
                <w:color w:val="auto"/>
                <w:kern w:val="0"/>
                <w:sz w:val="21"/>
                <w:szCs w:val="21"/>
              </w:rPr>
              <w:t>无</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05F71C09">
            <w:pPr>
              <w:widowControl/>
              <w:spacing w:line="240" w:lineRule="auto"/>
              <w:ind w:firstLine="420"/>
              <w:jc w:val="center"/>
              <w:rPr>
                <w:color w:val="auto"/>
                <w:kern w:val="0"/>
                <w:sz w:val="21"/>
                <w:szCs w:val="21"/>
              </w:rPr>
            </w:pPr>
            <w:r>
              <w:rPr>
                <w:color w:val="auto"/>
                <w:kern w:val="0"/>
                <w:sz w:val="21"/>
                <w:szCs w:val="21"/>
              </w:rPr>
              <w:t>无</w:t>
            </w:r>
          </w:p>
        </w:tc>
        <w:tc>
          <w:tcPr>
            <w:tcW w:w="1115" w:type="pct"/>
            <w:tcBorders>
              <w:top w:val="single" w:color="auto" w:sz="4" w:space="0"/>
              <w:left w:val="single" w:color="auto" w:sz="4" w:space="0"/>
              <w:bottom w:val="single" w:color="auto" w:sz="4" w:space="0"/>
              <w:right w:val="nil"/>
              <w:tl2br w:val="nil"/>
              <w:tr2bl w:val="nil"/>
            </w:tcBorders>
            <w:vAlign w:val="center"/>
          </w:tcPr>
          <w:p w14:paraId="17F01B33">
            <w:pPr>
              <w:widowControl/>
              <w:spacing w:line="240" w:lineRule="auto"/>
              <w:ind w:firstLine="420"/>
              <w:jc w:val="center"/>
              <w:rPr>
                <w:color w:val="auto"/>
                <w:kern w:val="0"/>
                <w:sz w:val="21"/>
                <w:szCs w:val="21"/>
              </w:rPr>
            </w:pPr>
            <w:r>
              <w:rPr>
                <w:color w:val="auto"/>
                <w:kern w:val="0"/>
                <w:sz w:val="21"/>
                <w:szCs w:val="21"/>
              </w:rPr>
              <w:t>无</w:t>
            </w:r>
          </w:p>
        </w:tc>
      </w:tr>
      <w:tr w14:paraId="2B551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0" w:hRule="atLeast"/>
          <w:jc w:val="center"/>
        </w:trPr>
        <w:tc>
          <w:tcPr>
            <w:tcW w:w="721" w:type="pct"/>
            <w:vMerge w:val="continue"/>
            <w:tcBorders>
              <w:left w:val="nil"/>
              <w:right w:val="single" w:color="auto" w:sz="4" w:space="0"/>
              <w:tl2br w:val="nil"/>
              <w:tr2bl w:val="nil"/>
            </w:tcBorders>
            <w:vAlign w:val="center"/>
          </w:tcPr>
          <w:p w14:paraId="0FACFBCA">
            <w:pPr>
              <w:widowControl/>
              <w:spacing w:line="240" w:lineRule="auto"/>
              <w:ind w:firstLine="422"/>
              <w:jc w:val="center"/>
              <w:rPr>
                <w:b/>
                <w:bCs/>
                <w:color w:val="auto"/>
                <w:kern w:val="0"/>
                <w:sz w:val="21"/>
                <w:szCs w:val="21"/>
              </w:rPr>
            </w:pPr>
          </w:p>
        </w:tc>
        <w:tc>
          <w:tcPr>
            <w:tcW w:w="143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62981CB7">
            <w:pPr>
              <w:widowControl/>
              <w:spacing w:line="240" w:lineRule="auto"/>
              <w:ind w:firstLine="422"/>
              <w:jc w:val="center"/>
              <w:rPr>
                <w:b/>
                <w:bCs/>
                <w:color w:val="auto"/>
                <w:kern w:val="0"/>
                <w:sz w:val="21"/>
                <w:szCs w:val="21"/>
              </w:rPr>
            </w:pPr>
            <w:r>
              <w:rPr>
                <w:b/>
                <w:bCs/>
                <w:color w:val="auto"/>
                <w:kern w:val="0"/>
                <w:sz w:val="21"/>
                <w:szCs w:val="21"/>
              </w:rPr>
              <w:t>其他异物</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5BA43B7C">
            <w:pPr>
              <w:widowControl/>
              <w:spacing w:line="240" w:lineRule="auto"/>
              <w:ind w:firstLine="420"/>
              <w:jc w:val="center"/>
              <w:rPr>
                <w:color w:val="auto"/>
                <w:kern w:val="0"/>
                <w:sz w:val="21"/>
                <w:szCs w:val="21"/>
              </w:rPr>
            </w:pPr>
            <w:r>
              <w:rPr>
                <w:color w:val="auto"/>
                <w:kern w:val="0"/>
                <w:sz w:val="21"/>
                <w:szCs w:val="21"/>
              </w:rPr>
              <w:t>无</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64A726C7">
            <w:pPr>
              <w:widowControl/>
              <w:spacing w:line="240" w:lineRule="auto"/>
              <w:ind w:firstLine="420"/>
              <w:jc w:val="center"/>
              <w:rPr>
                <w:color w:val="auto"/>
                <w:kern w:val="0"/>
                <w:sz w:val="21"/>
                <w:szCs w:val="21"/>
              </w:rPr>
            </w:pPr>
            <w:r>
              <w:rPr>
                <w:color w:val="auto"/>
                <w:kern w:val="0"/>
                <w:sz w:val="21"/>
                <w:szCs w:val="21"/>
              </w:rPr>
              <w:t>无</w:t>
            </w:r>
          </w:p>
        </w:tc>
        <w:tc>
          <w:tcPr>
            <w:tcW w:w="1115" w:type="pct"/>
            <w:tcBorders>
              <w:top w:val="single" w:color="auto" w:sz="4" w:space="0"/>
              <w:left w:val="single" w:color="auto" w:sz="4" w:space="0"/>
              <w:bottom w:val="single" w:color="auto" w:sz="4" w:space="0"/>
              <w:right w:val="nil"/>
              <w:tl2br w:val="nil"/>
              <w:tr2bl w:val="nil"/>
            </w:tcBorders>
            <w:vAlign w:val="center"/>
          </w:tcPr>
          <w:p w14:paraId="1A7CDC3E">
            <w:pPr>
              <w:widowControl/>
              <w:spacing w:line="240" w:lineRule="auto"/>
              <w:ind w:firstLine="420"/>
              <w:jc w:val="center"/>
              <w:rPr>
                <w:color w:val="auto"/>
                <w:kern w:val="0"/>
                <w:sz w:val="21"/>
                <w:szCs w:val="21"/>
              </w:rPr>
            </w:pPr>
            <w:r>
              <w:rPr>
                <w:color w:val="auto"/>
                <w:kern w:val="0"/>
                <w:sz w:val="21"/>
                <w:szCs w:val="21"/>
              </w:rPr>
              <w:t>无</w:t>
            </w:r>
          </w:p>
        </w:tc>
      </w:tr>
      <w:tr w14:paraId="130A5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6" w:hRule="atLeast"/>
          <w:jc w:val="center"/>
        </w:trPr>
        <w:tc>
          <w:tcPr>
            <w:tcW w:w="721" w:type="pct"/>
            <w:vMerge w:val="continue"/>
            <w:tcBorders>
              <w:left w:val="nil"/>
              <w:bottom w:val="single" w:color="auto" w:sz="4" w:space="0"/>
              <w:right w:val="single" w:color="auto" w:sz="4" w:space="0"/>
              <w:tl2br w:val="nil"/>
              <w:tr2bl w:val="nil"/>
            </w:tcBorders>
            <w:vAlign w:val="center"/>
          </w:tcPr>
          <w:p w14:paraId="07144B99">
            <w:pPr>
              <w:widowControl/>
              <w:spacing w:line="240" w:lineRule="auto"/>
              <w:ind w:firstLine="422"/>
              <w:jc w:val="center"/>
              <w:rPr>
                <w:b/>
                <w:bCs/>
                <w:color w:val="auto"/>
                <w:kern w:val="0"/>
                <w:sz w:val="21"/>
                <w:szCs w:val="21"/>
              </w:rPr>
            </w:pPr>
          </w:p>
        </w:tc>
        <w:tc>
          <w:tcPr>
            <w:tcW w:w="143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70902B44">
            <w:pPr>
              <w:widowControl/>
              <w:spacing w:line="240" w:lineRule="auto"/>
              <w:ind w:firstLine="422"/>
              <w:jc w:val="center"/>
              <w:rPr>
                <w:b/>
                <w:bCs/>
                <w:color w:val="auto"/>
                <w:kern w:val="0"/>
                <w:sz w:val="21"/>
                <w:szCs w:val="21"/>
              </w:rPr>
            </w:pPr>
            <w:r>
              <w:rPr>
                <w:b/>
                <w:bCs/>
                <w:color w:val="auto"/>
                <w:kern w:val="0"/>
                <w:sz w:val="21"/>
                <w:szCs w:val="21"/>
              </w:rPr>
              <w:t>氧化还原电位/(mV)</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6FE24DB2">
            <w:pPr>
              <w:widowControl/>
              <w:spacing w:line="240" w:lineRule="auto"/>
              <w:ind w:firstLine="420"/>
              <w:jc w:val="center"/>
              <w:rPr>
                <w:color w:val="auto"/>
                <w:kern w:val="0"/>
                <w:sz w:val="21"/>
                <w:szCs w:val="21"/>
              </w:rPr>
            </w:pPr>
            <w:r>
              <w:rPr>
                <w:color w:val="auto"/>
                <w:kern w:val="0"/>
                <w:sz w:val="21"/>
                <w:szCs w:val="21"/>
              </w:rPr>
              <w:t>203</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43E3133C">
            <w:pPr>
              <w:widowControl/>
              <w:spacing w:line="240" w:lineRule="auto"/>
              <w:ind w:firstLine="420"/>
              <w:jc w:val="center"/>
              <w:rPr>
                <w:color w:val="auto"/>
                <w:kern w:val="0"/>
                <w:sz w:val="21"/>
                <w:szCs w:val="21"/>
              </w:rPr>
            </w:pPr>
            <w:r>
              <w:rPr>
                <w:color w:val="auto"/>
                <w:kern w:val="0"/>
                <w:sz w:val="21"/>
                <w:szCs w:val="21"/>
              </w:rPr>
              <w:t>211</w:t>
            </w:r>
          </w:p>
        </w:tc>
        <w:tc>
          <w:tcPr>
            <w:tcW w:w="1115" w:type="pct"/>
            <w:tcBorders>
              <w:top w:val="single" w:color="auto" w:sz="4" w:space="0"/>
              <w:left w:val="single" w:color="auto" w:sz="4" w:space="0"/>
              <w:bottom w:val="single" w:color="auto" w:sz="4" w:space="0"/>
              <w:right w:val="nil"/>
              <w:tl2br w:val="nil"/>
              <w:tr2bl w:val="nil"/>
            </w:tcBorders>
            <w:vAlign w:val="center"/>
          </w:tcPr>
          <w:p w14:paraId="3B5F7B66">
            <w:pPr>
              <w:widowControl/>
              <w:spacing w:line="240" w:lineRule="auto"/>
              <w:ind w:firstLine="420"/>
              <w:jc w:val="center"/>
              <w:rPr>
                <w:color w:val="auto"/>
                <w:kern w:val="0"/>
                <w:sz w:val="21"/>
                <w:szCs w:val="21"/>
              </w:rPr>
            </w:pPr>
            <w:r>
              <w:rPr>
                <w:color w:val="auto"/>
                <w:kern w:val="0"/>
                <w:sz w:val="21"/>
                <w:szCs w:val="21"/>
              </w:rPr>
              <w:t>219</w:t>
            </w:r>
          </w:p>
        </w:tc>
      </w:tr>
      <w:tr w14:paraId="49F9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17" w:hRule="atLeast"/>
          <w:jc w:val="center"/>
        </w:trPr>
        <w:tc>
          <w:tcPr>
            <w:tcW w:w="721" w:type="pct"/>
            <w:vMerge w:val="restart"/>
            <w:tcBorders>
              <w:top w:val="single" w:color="auto" w:sz="4" w:space="0"/>
              <w:left w:val="nil"/>
              <w:bottom w:val="single" w:color="auto" w:sz="4" w:space="0"/>
              <w:right w:val="single" w:color="auto" w:sz="4" w:space="0"/>
              <w:tl2br w:val="nil"/>
              <w:tr2bl w:val="nil"/>
            </w:tcBorders>
            <w:vAlign w:val="center"/>
          </w:tcPr>
          <w:p w14:paraId="4288C4C5">
            <w:pPr>
              <w:widowControl/>
              <w:spacing w:line="240" w:lineRule="auto"/>
              <w:ind w:firstLine="422"/>
              <w:jc w:val="center"/>
              <w:rPr>
                <w:b/>
                <w:bCs/>
                <w:color w:val="auto"/>
                <w:kern w:val="0"/>
                <w:sz w:val="21"/>
                <w:szCs w:val="21"/>
              </w:rPr>
            </w:pPr>
            <w:r>
              <w:rPr>
                <w:b/>
                <w:bCs/>
                <w:color w:val="auto"/>
                <w:kern w:val="0"/>
                <w:sz w:val="21"/>
                <w:szCs w:val="21"/>
              </w:rPr>
              <w:t>实验室测定</w:t>
            </w:r>
          </w:p>
        </w:tc>
        <w:tc>
          <w:tcPr>
            <w:tcW w:w="143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3C421201">
            <w:pPr>
              <w:widowControl/>
              <w:spacing w:line="240" w:lineRule="auto"/>
              <w:ind w:firstLine="422"/>
              <w:jc w:val="center"/>
              <w:rPr>
                <w:b/>
                <w:bCs/>
                <w:color w:val="auto"/>
                <w:kern w:val="0"/>
                <w:sz w:val="21"/>
                <w:szCs w:val="21"/>
              </w:rPr>
            </w:pPr>
            <w:r>
              <w:rPr>
                <w:b/>
                <w:bCs/>
                <w:color w:val="auto"/>
                <w:kern w:val="0"/>
                <w:sz w:val="21"/>
                <w:szCs w:val="21"/>
              </w:rPr>
              <w:t>pH值/(无量纲)</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0BDCABA5">
            <w:pPr>
              <w:widowControl/>
              <w:spacing w:line="240" w:lineRule="auto"/>
              <w:ind w:firstLine="420"/>
              <w:jc w:val="center"/>
              <w:rPr>
                <w:color w:val="auto"/>
                <w:kern w:val="0"/>
                <w:sz w:val="21"/>
                <w:szCs w:val="21"/>
              </w:rPr>
            </w:pPr>
            <w:r>
              <w:rPr>
                <w:color w:val="auto"/>
                <w:kern w:val="0"/>
                <w:sz w:val="21"/>
                <w:szCs w:val="21"/>
              </w:rPr>
              <w:t>8.42~8.5</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638B46BB">
            <w:pPr>
              <w:widowControl/>
              <w:spacing w:line="240" w:lineRule="auto"/>
              <w:ind w:firstLine="420"/>
              <w:jc w:val="center"/>
              <w:rPr>
                <w:color w:val="auto"/>
                <w:kern w:val="0"/>
                <w:sz w:val="21"/>
                <w:szCs w:val="21"/>
              </w:rPr>
            </w:pPr>
            <w:r>
              <w:rPr>
                <w:color w:val="auto"/>
                <w:kern w:val="0"/>
                <w:sz w:val="21"/>
                <w:szCs w:val="21"/>
              </w:rPr>
              <w:t>8.71</w:t>
            </w:r>
          </w:p>
        </w:tc>
        <w:tc>
          <w:tcPr>
            <w:tcW w:w="1115" w:type="pct"/>
            <w:tcBorders>
              <w:top w:val="single" w:color="auto" w:sz="4" w:space="0"/>
              <w:left w:val="single" w:color="auto" w:sz="4" w:space="0"/>
              <w:bottom w:val="single" w:color="auto" w:sz="4" w:space="0"/>
              <w:right w:val="nil"/>
              <w:tl2br w:val="nil"/>
              <w:tr2bl w:val="nil"/>
            </w:tcBorders>
            <w:vAlign w:val="center"/>
          </w:tcPr>
          <w:p w14:paraId="48F8B0B8">
            <w:pPr>
              <w:widowControl/>
              <w:spacing w:line="240" w:lineRule="auto"/>
              <w:ind w:firstLine="420"/>
              <w:jc w:val="center"/>
              <w:rPr>
                <w:color w:val="auto"/>
                <w:kern w:val="0"/>
                <w:sz w:val="21"/>
                <w:szCs w:val="21"/>
              </w:rPr>
            </w:pPr>
            <w:r>
              <w:rPr>
                <w:color w:val="auto"/>
                <w:kern w:val="0"/>
                <w:sz w:val="21"/>
                <w:szCs w:val="21"/>
              </w:rPr>
              <w:t>8.34</w:t>
            </w:r>
          </w:p>
        </w:tc>
      </w:tr>
      <w:tr w14:paraId="45935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6" w:hRule="atLeast"/>
          <w:jc w:val="center"/>
        </w:trPr>
        <w:tc>
          <w:tcPr>
            <w:tcW w:w="721" w:type="pct"/>
            <w:vMerge w:val="continue"/>
            <w:tcBorders>
              <w:top w:val="single" w:color="auto" w:sz="4" w:space="0"/>
              <w:left w:val="nil"/>
              <w:bottom w:val="single" w:color="auto" w:sz="4" w:space="0"/>
              <w:right w:val="single" w:color="auto" w:sz="4" w:space="0"/>
              <w:tl2br w:val="nil"/>
              <w:tr2bl w:val="nil"/>
            </w:tcBorders>
            <w:vAlign w:val="center"/>
          </w:tcPr>
          <w:p w14:paraId="29FC0C68">
            <w:pPr>
              <w:widowControl/>
              <w:spacing w:line="240" w:lineRule="auto"/>
              <w:ind w:firstLine="422"/>
              <w:jc w:val="center"/>
              <w:rPr>
                <w:b/>
                <w:bCs/>
                <w:color w:val="auto"/>
                <w:kern w:val="0"/>
                <w:sz w:val="21"/>
                <w:szCs w:val="21"/>
              </w:rPr>
            </w:pPr>
          </w:p>
        </w:tc>
        <w:tc>
          <w:tcPr>
            <w:tcW w:w="143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3FEDB00C">
            <w:pPr>
              <w:widowControl/>
              <w:spacing w:line="240" w:lineRule="auto"/>
              <w:ind w:firstLine="422"/>
              <w:jc w:val="center"/>
              <w:rPr>
                <w:b/>
                <w:bCs/>
                <w:color w:val="auto"/>
                <w:kern w:val="0"/>
                <w:sz w:val="21"/>
                <w:szCs w:val="21"/>
              </w:rPr>
            </w:pPr>
            <w:r>
              <w:rPr>
                <w:b/>
                <w:bCs/>
                <w:color w:val="auto"/>
                <w:kern w:val="0"/>
                <w:sz w:val="21"/>
                <w:szCs w:val="21"/>
              </w:rPr>
              <w:t>阳离子交换量/(cmol+/kg)</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7B6B2280">
            <w:pPr>
              <w:widowControl/>
              <w:spacing w:line="240" w:lineRule="auto"/>
              <w:ind w:firstLine="420"/>
              <w:jc w:val="center"/>
              <w:rPr>
                <w:color w:val="auto"/>
                <w:kern w:val="0"/>
                <w:sz w:val="21"/>
                <w:szCs w:val="21"/>
              </w:rPr>
            </w:pPr>
            <w:r>
              <w:rPr>
                <w:color w:val="auto"/>
                <w:kern w:val="0"/>
                <w:sz w:val="21"/>
                <w:szCs w:val="21"/>
              </w:rPr>
              <w:t>15.2</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66264DEE">
            <w:pPr>
              <w:widowControl/>
              <w:spacing w:line="240" w:lineRule="auto"/>
              <w:ind w:firstLine="420"/>
              <w:jc w:val="center"/>
              <w:rPr>
                <w:color w:val="auto"/>
                <w:kern w:val="0"/>
                <w:sz w:val="21"/>
                <w:szCs w:val="21"/>
              </w:rPr>
            </w:pPr>
            <w:r>
              <w:rPr>
                <w:color w:val="auto"/>
                <w:kern w:val="0"/>
                <w:sz w:val="21"/>
                <w:szCs w:val="21"/>
              </w:rPr>
              <w:t>13.0</w:t>
            </w:r>
          </w:p>
        </w:tc>
        <w:tc>
          <w:tcPr>
            <w:tcW w:w="1115" w:type="pct"/>
            <w:tcBorders>
              <w:top w:val="single" w:color="auto" w:sz="4" w:space="0"/>
              <w:left w:val="single" w:color="auto" w:sz="4" w:space="0"/>
              <w:bottom w:val="single" w:color="auto" w:sz="4" w:space="0"/>
              <w:right w:val="nil"/>
              <w:tl2br w:val="nil"/>
              <w:tr2bl w:val="nil"/>
            </w:tcBorders>
            <w:vAlign w:val="center"/>
          </w:tcPr>
          <w:p w14:paraId="4C3BA6F6">
            <w:pPr>
              <w:widowControl/>
              <w:spacing w:line="240" w:lineRule="auto"/>
              <w:ind w:firstLine="420"/>
              <w:jc w:val="center"/>
              <w:rPr>
                <w:color w:val="auto"/>
                <w:kern w:val="0"/>
                <w:sz w:val="21"/>
                <w:szCs w:val="21"/>
              </w:rPr>
            </w:pPr>
            <w:r>
              <w:rPr>
                <w:color w:val="auto"/>
                <w:kern w:val="0"/>
                <w:sz w:val="21"/>
                <w:szCs w:val="21"/>
              </w:rPr>
              <w:t>12.8</w:t>
            </w:r>
          </w:p>
        </w:tc>
      </w:tr>
      <w:tr w14:paraId="08201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6" w:hRule="atLeast"/>
          <w:jc w:val="center"/>
        </w:trPr>
        <w:tc>
          <w:tcPr>
            <w:tcW w:w="721" w:type="pct"/>
            <w:vMerge w:val="continue"/>
            <w:tcBorders>
              <w:top w:val="single" w:color="auto" w:sz="4" w:space="0"/>
              <w:left w:val="nil"/>
              <w:bottom w:val="single" w:color="auto" w:sz="4" w:space="0"/>
              <w:right w:val="single" w:color="auto" w:sz="4" w:space="0"/>
              <w:tl2br w:val="nil"/>
              <w:tr2bl w:val="nil"/>
            </w:tcBorders>
            <w:vAlign w:val="center"/>
          </w:tcPr>
          <w:p w14:paraId="09A8FB72">
            <w:pPr>
              <w:widowControl/>
              <w:spacing w:line="240" w:lineRule="auto"/>
              <w:ind w:firstLine="422"/>
              <w:jc w:val="center"/>
              <w:rPr>
                <w:b/>
                <w:bCs/>
                <w:color w:val="auto"/>
                <w:kern w:val="0"/>
                <w:sz w:val="21"/>
                <w:szCs w:val="21"/>
              </w:rPr>
            </w:pPr>
          </w:p>
        </w:tc>
        <w:tc>
          <w:tcPr>
            <w:tcW w:w="830" w:type="pct"/>
            <w:vMerge w:val="restart"/>
            <w:tcBorders>
              <w:top w:val="single" w:color="auto" w:sz="4" w:space="0"/>
              <w:left w:val="single" w:color="auto" w:sz="4" w:space="0"/>
              <w:right w:val="single" w:color="auto" w:sz="4" w:space="0"/>
              <w:tl2br w:val="nil"/>
              <w:tr2bl w:val="nil"/>
            </w:tcBorders>
            <w:vAlign w:val="center"/>
          </w:tcPr>
          <w:p w14:paraId="12B29ECF">
            <w:pPr>
              <w:widowControl/>
              <w:spacing w:line="240" w:lineRule="auto"/>
              <w:ind w:firstLine="422"/>
              <w:jc w:val="center"/>
              <w:rPr>
                <w:b/>
                <w:bCs/>
                <w:color w:val="auto"/>
                <w:kern w:val="0"/>
                <w:sz w:val="21"/>
                <w:szCs w:val="21"/>
              </w:rPr>
            </w:pPr>
            <w:r>
              <w:rPr>
                <w:b/>
                <w:bCs/>
                <w:color w:val="auto"/>
                <w:kern w:val="0"/>
                <w:sz w:val="21"/>
                <w:szCs w:val="21"/>
              </w:rPr>
              <w:t>渗透系数(cm/s)</w:t>
            </w:r>
          </w:p>
        </w:tc>
        <w:tc>
          <w:tcPr>
            <w:tcW w:w="605" w:type="pct"/>
            <w:tcBorders>
              <w:top w:val="single" w:color="auto" w:sz="4" w:space="0"/>
              <w:left w:val="single" w:color="auto" w:sz="4" w:space="0"/>
              <w:bottom w:val="single" w:color="auto" w:sz="4" w:space="0"/>
              <w:right w:val="single" w:color="auto" w:sz="4" w:space="0"/>
              <w:tl2br w:val="nil"/>
              <w:tr2bl w:val="nil"/>
            </w:tcBorders>
            <w:vAlign w:val="center"/>
          </w:tcPr>
          <w:p w14:paraId="31D2E995">
            <w:pPr>
              <w:widowControl/>
              <w:spacing w:line="240" w:lineRule="auto"/>
              <w:ind w:firstLine="422"/>
              <w:jc w:val="center"/>
              <w:rPr>
                <w:b/>
                <w:bCs/>
                <w:color w:val="auto"/>
                <w:kern w:val="0"/>
                <w:sz w:val="21"/>
                <w:szCs w:val="21"/>
              </w:rPr>
            </w:pPr>
            <w:r>
              <w:rPr>
                <w:b/>
                <w:bCs/>
                <w:color w:val="auto"/>
                <w:kern w:val="0"/>
                <w:sz w:val="21"/>
                <w:szCs w:val="21"/>
              </w:rPr>
              <w:t>垂直</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3061E88B">
            <w:pPr>
              <w:widowControl/>
              <w:spacing w:line="240" w:lineRule="auto"/>
              <w:ind w:firstLine="420"/>
              <w:jc w:val="center"/>
              <w:rPr>
                <w:color w:val="auto"/>
                <w:kern w:val="0"/>
                <w:sz w:val="21"/>
                <w:szCs w:val="21"/>
              </w:rPr>
            </w:pPr>
            <w:r>
              <w:rPr>
                <w:color w:val="auto"/>
                <w:kern w:val="0"/>
                <w:sz w:val="21"/>
                <w:szCs w:val="21"/>
              </w:rPr>
              <w:t>8.42×10</w:t>
            </w:r>
            <w:r>
              <w:rPr>
                <w:color w:val="auto"/>
                <w:kern w:val="0"/>
                <w:sz w:val="21"/>
                <w:szCs w:val="21"/>
                <w:vertAlign w:val="superscript"/>
              </w:rPr>
              <w:t>-4</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35858606">
            <w:pPr>
              <w:widowControl/>
              <w:spacing w:line="240" w:lineRule="auto"/>
              <w:ind w:firstLine="420"/>
              <w:jc w:val="center"/>
              <w:rPr>
                <w:color w:val="auto"/>
                <w:kern w:val="0"/>
                <w:sz w:val="21"/>
                <w:szCs w:val="21"/>
              </w:rPr>
            </w:pPr>
            <w:r>
              <w:rPr>
                <w:color w:val="auto"/>
                <w:kern w:val="0"/>
                <w:sz w:val="21"/>
                <w:szCs w:val="21"/>
              </w:rPr>
              <w:t>8.35×10</w:t>
            </w:r>
            <w:r>
              <w:rPr>
                <w:color w:val="auto"/>
                <w:kern w:val="0"/>
                <w:sz w:val="21"/>
                <w:szCs w:val="21"/>
                <w:vertAlign w:val="superscript"/>
              </w:rPr>
              <w:t>-4</w:t>
            </w:r>
          </w:p>
        </w:tc>
        <w:tc>
          <w:tcPr>
            <w:tcW w:w="1115" w:type="pct"/>
            <w:tcBorders>
              <w:top w:val="single" w:color="auto" w:sz="4" w:space="0"/>
              <w:left w:val="single" w:color="auto" w:sz="4" w:space="0"/>
              <w:bottom w:val="single" w:color="auto" w:sz="4" w:space="0"/>
              <w:right w:val="nil"/>
              <w:tl2br w:val="nil"/>
              <w:tr2bl w:val="nil"/>
            </w:tcBorders>
            <w:vAlign w:val="center"/>
          </w:tcPr>
          <w:p w14:paraId="15ABB7F6">
            <w:pPr>
              <w:widowControl/>
              <w:spacing w:line="240" w:lineRule="auto"/>
              <w:ind w:firstLine="420"/>
              <w:jc w:val="center"/>
              <w:rPr>
                <w:color w:val="auto"/>
                <w:kern w:val="0"/>
                <w:sz w:val="21"/>
                <w:szCs w:val="21"/>
              </w:rPr>
            </w:pPr>
            <w:r>
              <w:rPr>
                <w:color w:val="auto"/>
                <w:kern w:val="0"/>
                <w:sz w:val="21"/>
                <w:szCs w:val="21"/>
              </w:rPr>
              <w:t>7.97×10</w:t>
            </w:r>
            <w:r>
              <w:rPr>
                <w:color w:val="auto"/>
                <w:kern w:val="0"/>
                <w:sz w:val="21"/>
                <w:szCs w:val="21"/>
                <w:vertAlign w:val="superscript"/>
              </w:rPr>
              <w:t>-4</w:t>
            </w:r>
          </w:p>
        </w:tc>
      </w:tr>
      <w:tr w14:paraId="2A889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6" w:hRule="atLeast"/>
          <w:jc w:val="center"/>
        </w:trPr>
        <w:tc>
          <w:tcPr>
            <w:tcW w:w="721" w:type="pct"/>
            <w:vMerge w:val="continue"/>
            <w:tcBorders>
              <w:top w:val="single" w:color="auto" w:sz="4" w:space="0"/>
              <w:left w:val="nil"/>
              <w:bottom w:val="single" w:color="auto" w:sz="4" w:space="0"/>
              <w:right w:val="single" w:color="auto" w:sz="4" w:space="0"/>
              <w:tl2br w:val="nil"/>
              <w:tr2bl w:val="nil"/>
            </w:tcBorders>
            <w:vAlign w:val="center"/>
          </w:tcPr>
          <w:p w14:paraId="5ACAEB4A">
            <w:pPr>
              <w:widowControl/>
              <w:spacing w:line="240" w:lineRule="auto"/>
              <w:ind w:firstLine="422"/>
              <w:jc w:val="center"/>
              <w:rPr>
                <w:b/>
                <w:bCs/>
                <w:color w:val="auto"/>
                <w:kern w:val="0"/>
                <w:sz w:val="21"/>
                <w:szCs w:val="21"/>
              </w:rPr>
            </w:pPr>
          </w:p>
        </w:tc>
        <w:tc>
          <w:tcPr>
            <w:tcW w:w="830" w:type="pct"/>
            <w:vMerge w:val="continue"/>
            <w:tcBorders>
              <w:left w:val="single" w:color="auto" w:sz="4" w:space="0"/>
              <w:bottom w:val="single" w:color="auto" w:sz="4" w:space="0"/>
              <w:right w:val="single" w:color="auto" w:sz="4" w:space="0"/>
              <w:tl2br w:val="nil"/>
              <w:tr2bl w:val="nil"/>
            </w:tcBorders>
            <w:vAlign w:val="center"/>
          </w:tcPr>
          <w:p w14:paraId="3E0BFE65">
            <w:pPr>
              <w:widowControl/>
              <w:spacing w:line="240" w:lineRule="auto"/>
              <w:ind w:firstLine="422"/>
              <w:jc w:val="center"/>
              <w:rPr>
                <w:b/>
                <w:bCs/>
                <w:color w:val="auto"/>
                <w:kern w:val="0"/>
                <w:sz w:val="21"/>
                <w:szCs w:val="21"/>
              </w:rPr>
            </w:pPr>
          </w:p>
        </w:tc>
        <w:tc>
          <w:tcPr>
            <w:tcW w:w="605" w:type="pct"/>
            <w:tcBorders>
              <w:top w:val="single" w:color="auto" w:sz="4" w:space="0"/>
              <w:left w:val="single" w:color="auto" w:sz="4" w:space="0"/>
              <w:bottom w:val="single" w:color="auto" w:sz="4" w:space="0"/>
              <w:right w:val="single" w:color="auto" w:sz="4" w:space="0"/>
              <w:tl2br w:val="nil"/>
              <w:tr2bl w:val="nil"/>
            </w:tcBorders>
            <w:vAlign w:val="center"/>
          </w:tcPr>
          <w:p w14:paraId="60711793">
            <w:pPr>
              <w:widowControl/>
              <w:spacing w:line="240" w:lineRule="auto"/>
              <w:ind w:firstLine="422"/>
              <w:jc w:val="center"/>
              <w:rPr>
                <w:b/>
                <w:bCs/>
                <w:color w:val="auto"/>
                <w:kern w:val="0"/>
                <w:sz w:val="21"/>
                <w:szCs w:val="21"/>
              </w:rPr>
            </w:pPr>
            <w:r>
              <w:rPr>
                <w:b/>
                <w:bCs/>
                <w:color w:val="auto"/>
                <w:kern w:val="0"/>
                <w:sz w:val="21"/>
                <w:szCs w:val="21"/>
              </w:rPr>
              <w:t>水平</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64FAEFB3">
            <w:pPr>
              <w:widowControl/>
              <w:spacing w:line="240" w:lineRule="auto"/>
              <w:ind w:firstLine="420"/>
              <w:jc w:val="center"/>
              <w:rPr>
                <w:color w:val="auto"/>
                <w:kern w:val="0"/>
                <w:sz w:val="21"/>
                <w:szCs w:val="21"/>
              </w:rPr>
            </w:pPr>
            <w:r>
              <w:rPr>
                <w:color w:val="auto"/>
                <w:kern w:val="0"/>
                <w:sz w:val="21"/>
                <w:szCs w:val="21"/>
              </w:rPr>
              <w:t>9.00×10</w:t>
            </w:r>
            <w:r>
              <w:rPr>
                <w:color w:val="auto"/>
                <w:kern w:val="0"/>
                <w:sz w:val="21"/>
                <w:szCs w:val="21"/>
                <w:vertAlign w:val="superscript"/>
              </w:rPr>
              <w:t>-4</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5F29B7D3">
            <w:pPr>
              <w:widowControl/>
              <w:spacing w:line="240" w:lineRule="auto"/>
              <w:ind w:firstLine="420"/>
              <w:jc w:val="center"/>
              <w:rPr>
                <w:color w:val="auto"/>
                <w:kern w:val="0"/>
                <w:sz w:val="21"/>
                <w:szCs w:val="21"/>
              </w:rPr>
            </w:pPr>
            <w:r>
              <w:rPr>
                <w:color w:val="auto"/>
                <w:kern w:val="0"/>
                <w:sz w:val="21"/>
                <w:szCs w:val="21"/>
              </w:rPr>
              <w:t>8.95×10</w:t>
            </w:r>
            <w:r>
              <w:rPr>
                <w:color w:val="auto"/>
                <w:kern w:val="0"/>
                <w:sz w:val="21"/>
                <w:szCs w:val="21"/>
                <w:vertAlign w:val="superscript"/>
              </w:rPr>
              <w:t>-4</w:t>
            </w:r>
          </w:p>
        </w:tc>
        <w:tc>
          <w:tcPr>
            <w:tcW w:w="1115" w:type="pct"/>
            <w:tcBorders>
              <w:top w:val="single" w:color="auto" w:sz="4" w:space="0"/>
              <w:left w:val="single" w:color="auto" w:sz="4" w:space="0"/>
              <w:bottom w:val="single" w:color="auto" w:sz="4" w:space="0"/>
              <w:right w:val="nil"/>
              <w:tl2br w:val="nil"/>
              <w:tr2bl w:val="nil"/>
            </w:tcBorders>
            <w:vAlign w:val="center"/>
          </w:tcPr>
          <w:p w14:paraId="6F438987">
            <w:pPr>
              <w:widowControl/>
              <w:spacing w:line="240" w:lineRule="auto"/>
              <w:ind w:firstLine="420"/>
              <w:jc w:val="center"/>
              <w:rPr>
                <w:color w:val="auto"/>
                <w:kern w:val="0"/>
                <w:sz w:val="21"/>
                <w:szCs w:val="21"/>
              </w:rPr>
            </w:pPr>
            <w:r>
              <w:rPr>
                <w:color w:val="auto"/>
                <w:kern w:val="0"/>
                <w:sz w:val="21"/>
                <w:szCs w:val="21"/>
              </w:rPr>
              <w:t>8.45×10</w:t>
            </w:r>
            <w:r>
              <w:rPr>
                <w:color w:val="auto"/>
                <w:kern w:val="0"/>
                <w:sz w:val="21"/>
                <w:szCs w:val="21"/>
                <w:vertAlign w:val="superscript"/>
              </w:rPr>
              <w:t>-4</w:t>
            </w:r>
          </w:p>
        </w:tc>
      </w:tr>
      <w:tr w14:paraId="3C1B1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92" w:hRule="atLeast"/>
          <w:jc w:val="center"/>
        </w:trPr>
        <w:tc>
          <w:tcPr>
            <w:tcW w:w="721" w:type="pct"/>
            <w:vMerge w:val="continue"/>
            <w:tcBorders>
              <w:top w:val="single" w:color="auto" w:sz="4" w:space="0"/>
              <w:left w:val="nil"/>
              <w:bottom w:val="single" w:color="auto" w:sz="4" w:space="0"/>
              <w:right w:val="single" w:color="auto" w:sz="4" w:space="0"/>
              <w:tl2br w:val="nil"/>
              <w:tr2bl w:val="nil"/>
            </w:tcBorders>
            <w:vAlign w:val="center"/>
          </w:tcPr>
          <w:p w14:paraId="6D47802C">
            <w:pPr>
              <w:widowControl/>
              <w:spacing w:line="240" w:lineRule="auto"/>
              <w:ind w:firstLine="422"/>
              <w:jc w:val="center"/>
              <w:rPr>
                <w:b/>
                <w:bCs/>
                <w:color w:val="auto"/>
                <w:kern w:val="0"/>
                <w:sz w:val="21"/>
                <w:szCs w:val="21"/>
              </w:rPr>
            </w:pPr>
          </w:p>
        </w:tc>
        <w:tc>
          <w:tcPr>
            <w:tcW w:w="143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19765302">
            <w:pPr>
              <w:widowControl/>
              <w:spacing w:line="240" w:lineRule="auto"/>
              <w:ind w:firstLine="422"/>
              <w:jc w:val="center"/>
              <w:rPr>
                <w:b/>
                <w:bCs/>
                <w:color w:val="auto"/>
                <w:kern w:val="0"/>
                <w:sz w:val="21"/>
                <w:szCs w:val="21"/>
              </w:rPr>
            </w:pPr>
            <w:r>
              <w:rPr>
                <w:b/>
                <w:bCs/>
                <w:color w:val="auto"/>
                <w:kern w:val="0"/>
                <w:sz w:val="21"/>
                <w:szCs w:val="21"/>
              </w:rPr>
              <w:t>容重/(g/cm</w:t>
            </w:r>
            <w:r>
              <w:rPr>
                <w:b/>
                <w:bCs/>
                <w:color w:val="auto"/>
                <w:kern w:val="0"/>
                <w:sz w:val="21"/>
                <w:szCs w:val="21"/>
                <w:vertAlign w:val="superscript"/>
              </w:rPr>
              <w:t>3</w:t>
            </w:r>
            <w:r>
              <w:rPr>
                <w:b/>
                <w:bCs/>
                <w:color w:val="auto"/>
                <w:kern w:val="0"/>
                <w:sz w:val="21"/>
                <w:szCs w:val="21"/>
              </w:rPr>
              <w:t>)</w:t>
            </w:r>
          </w:p>
        </w:tc>
        <w:tc>
          <w:tcPr>
            <w:tcW w:w="902" w:type="pct"/>
            <w:tcBorders>
              <w:top w:val="single" w:color="auto" w:sz="4" w:space="0"/>
              <w:left w:val="single" w:color="auto" w:sz="4" w:space="0"/>
              <w:bottom w:val="single" w:color="auto" w:sz="4" w:space="0"/>
              <w:right w:val="single" w:color="auto" w:sz="4" w:space="0"/>
              <w:tl2br w:val="nil"/>
              <w:tr2bl w:val="nil"/>
            </w:tcBorders>
            <w:vAlign w:val="center"/>
          </w:tcPr>
          <w:p w14:paraId="39FDF9B3">
            <w:pPr>
              <w:widowControl/>
              <w:spacing w:line="240" w:lineRule="auto"/>
              <w:ind w:firstLine="420"/>
              <w:jc w:val="center"/>
              <w:rPr>
                <w:color w:val="auto"/>
                <w:kern w:val="0"/>
                <w:sz w:val="21"/>
                <w:szCs w:val="21"/>
              </w:rPr>
            </w:pPr>
            <w:r>
              <w:rPr>
                <w:color w:val="auto"/>
                <w:kern w:val="0"/>
                <w:sz w:val="21"/>
                <w:szCs w:val="21"/>
              </w:rPr>
              <w:t>1.63</w:t>
            </w:r>
          </w:p>
        </w:tc>
        <w:tc>
          <w:tcPr>
            <w:tcW w:w="828" w:type="pct"/>
            <w:tcBorders>
              <w:top w:val="single" w:color="auto" w:sz="4" w:space="0"/>
              <w:left w:val="single" w:color="auto" w:sz="4" w:space="0"/>
              <w:bottom w:val="single" w:color="auto" w:sz="4" w:space="0"/>
              <w:right w:val="single" w:color="auto" w:sz="4" w:space="0"/>
              <w:tl2br w:val="nil"/>
              <w:tr2bl w:val="nil"/>
            </w:tcBorders>
            <w:vAlign w:val="center"/>
          </w:tcPr>
          <w:p w14:paraId="551119E0">
            <w:pPr>
              <w:widowControl/>
              <w:spacing w:line="240" w:lineRule="auto"/>
              <w:ind w:firstLine="420"/>
              <w:jc w:val="center"/>
              <w:rPr>
                <w:color w:val="auto"/>
                <w:kern w:val="0"/>
                <w:sz w:val="21"/>
                <w:szCs w:val="21"/>
              </w:rPr>
            </w:pPr>
            <w:r>
              <w:rPr>
                <w:color w:val="auto"/>
                <w:kern w:val="0"/>
                <w:sz w:val="21"/>
                <w:szCs w:val="21"/>
              </w:rPr>
              <w:t>1.72</w:t>
            </w:r>
          </w:p>
        </w:tc>
        <w:tc>
          <w:tcPr>
            <w:tcW w:w="1115" w:type="pct"/>
            <w:tcBorders>
              <w:top w:val="single" w:color="auto" w:sz="4" w:space="0"/>
              <w:left w:val="single" w:color="auto" w:sz="4" w:space="0"/>
              <w:bottom w:val="single" w:color="auto" w:sz="4" w:space="0"/>
              <w:right w:val="nil"/>
              <w:tl2br w:val="nil"/>
              <w:tr2bl w:val="nil"/>
            </w:tcBorders>
            <w:vAlign w:val="center"/>
          </w:tcPr>
          <w:p w14:paraId="68CF40F1">
            <w:pPr>
              <w:widowControl/>
              <w:spacing w:line="240" w:lineRule="auto"/>
              <w:ind w:firstLine="420"/>
              <w:jc w:val="center"/>
              <w:rPr>
                <w:color w:val="auto"/>
                <w:kern w:val="0"/>
                <w:sz w:val="21"/>
                <w:szCs w:val="21"/>
              </w:rPr>
            </w:pPr>
            <w:r>
              <w:rPr>
                <w:color w:val="auto"/>
                <w:kern w:val="0"/>
                <w:sz w:val="21"/>
                <w:szCs w:val="21"/>
              </w:rPr>
              <w:t>1.66</w:t>
            </w:r>
          </w:p>
        </w:tc>
      </w:tr>
      <w:tr w14:paraId="6842C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7" w:hRule="atLeast"/>
          <w:jc w:val="center"/>
        </w:trPr>
        <w:tc>
          <w:tcPr>
            <w:tcW w:w="721" w:type="pct"/>
            <w:vMerge w:val="continue"/>
            <w:tcBorders>
              <w:top w:val="single" w:color="auto" w:sz="4" w:space="0"/>
              <w:left w:val="nil"/>
              <w:bottom w:val="single" w:color="auto" w:sz="12" w:space="0"/>
              <w:right w:val="single" w:color="auto" w:sz="4" w:space="0"/>
              <w:tl2br w:val="nil"/>
              <w:tr2bl w:val="nil"/>
            </w:tcBorders>
            <w:vAlign w:val="center"/>
          </w:tcPr>
          <w:p w14:paraId="789BE52F">
            <w:pPr>
              <w:widowControl/>
              <w:spacing w:line="240" w:lineRule="auto"/>
              <w:ind w:firstLine="422"/>
              <w:jc w:val="center"/>
              <w:rPr>
                <w:b/>
                <w:bCs/>
                <w:color w:val="auto"/>
                <w:kern w:val="0"/>
                <w:sz w:val="21"/>
                <w:szCs w:val="21"/>
              </w:rPr>
            </w:pPr>
          </w:p>
        </w:tc>
        <w:tc>
          <w:tcPr>
            <w:tcW w:w="1435" w:type="pct"/>
            <w:gridSpan w:val="2"/>
            <w:tcBorders>
              <w:top w:val="single" w:color="auto" w:sz="4" w:space="0"/>
              <w:left w:val="single" w:color="auto" w:sz="4" w:space="0"/>
              <w:bottom w:val="single" w:color="auto" w:sz="12" w:space="0"/>
              <w:right w:val="single" w:color="auto" w:sz="4" w:space="0"/>
              <w:tl2br w:val="nil"/>
              <w:tr2bl w:val="nil"/>
            </w:tcBorders>
            <w:vAlign w:val="center"/>
          </w:tcPr>
          <w:p w14:paraId="5F9ECC7C">
            <w:pPr>
              <w:widowControl/>
              <w:spacing w:line="240" w:lineRule="auto"/>
              <w:ind w:firstLine="422"/>
              <w:jc w:val="center"/>
              <w:rPr>
                <w:b/>
                <w:bCs/>
                <w:color w:val="auto"/>
                <w:kern w:val="0"/>
                <w:sz w:val="21"/>
                <w:szCs w:val="21"/>
              </w:rPr>
            </w:pPr>
            <w:r>
              <w:rPr>
                <w:b/>
                <w:bCs/>
                <w:color w:val="auto"/>
                <w:kern w:val="0"/>
                <w:sz w:val="21"/>
                <w:szCs w:val="21"/>
              </w:rPr>
              <w:t>孔隙率/(%)</w:t>
            </w:r>
          </w:p>
        </w:tc>
        <w:tc>
          <w:tcPr>
            <w:tcW w:w="902" w:type="pct"/>
            <w:tcBorders>
              <w:top w:val="single" w:color="auto" w:sz="4" w:space="0"/>
              <w:left w:val="single" w:color="auto" w:sz="4" w:space="0"/>
              <w:bottom w:val="single" w:color="auto" w:sz="12" w:space="0"/>
              <w:right w:val="single" w:color="auto" w:sz="4" w:space="0"/>
              <w:tl2br w:val="nil"/>
              <w:tr2bl w:val="nil"/>
            </w:tcBorders>
            <w:vAlign w:val="center"/>
          </w:tcPr>
          <w:p w14:paraId="5586B116">
            <w:pPr>
              <w:widowControl/>
              <w:spacing w:line="240" w:lineRule="auto"/>
              <w:ind w:firstLine="420"/>
              <w:jc w:val="center"/>
              <w:rPr>
                <w:color w:val="auto"/>
                <w:kern w:val="0"/>
                <w:sz w:val="21"/>
                <w:szCs w:val="21"/>
              </w:rPr>
            </w:pPr>
            <w:r>
              <w:rPr>
                <w:color w:val="auto"/>
                <w:kern w:val="0"/>
                <w:sz w:val="21"/>
                <w:szCs w:val="21"/>
              </w:rPr>
              <w:t>51.1</w:t>
            </w:r>
          </w:p>
        </w:tc>
        <w:tc>
          <w:tcPr>
            <w:tcW w:w="828" w:type="pct"/>
            <w:tcBorders>
              <w:top w:val="single" w:color="auto" w:sz="4" w:space="0"/>
              <w:left w:val="single" w:color="auto" w:sz="4" w:space="0"/>
              <w:bottom w:val="single" w:color="auto" w:sz="12" w:space="0"/>
              <w:right w:val="single" w:color="auto" w:sz="4" w:space="0"/>
              <w:tl2br w:val="nil"/>
              <w:tr2bl w:val="nil"/>
            </w:tcBorders>
            <w:vAlign w:val="center"/>
          </w:tcPr>
          <w:p w14:paraId="2B79E375">
            <w:pPr>
              <w:widowControl/>
              <w:spacing w:line="240" w:lineRule="auto"/>
              <w:ind w:firstLine="420"/>
              <w:jc w:val="center"/>
              <w:rPr>
                <w:color w:val="auto"/>
                <w:kern w:val="0"/>
                <w:sz w:val="21"/>
                <w:szCs w:val="21"/>
              </w:rPr>
            </w:pPr>
            <w:r>
              <w:rPr>
                <w:color w:val="auto"/>
                <w:kern w:val="0"/>
                <w:sz w:val="21"/>
                <w:szCs w:val="21"/>
              </w:rPr>
              <w:t>50.5</w:t>
            </w:r>
          </w:p>
        </w:tc>
        <w:tc>
          <w:tcPr>
            <w:tcW w:w="1115" w:type="pct"/>
            <w:tcBorders>
              <w:top w:val="single" w:color="auto" w:sz="4" w:space="0"/>
              <w:left w:val="single" w:color="auto" w:sz="4" w:space="0"/>
              <w:bottom w:val="single" w:color="auto" w:sz="12" w:space="0"/>
              <w:right w:val="nil"/>
              <w:tl2br w:val="nil"/>
              <w:tr2bl w:val="nil"/>
            </w:tcBorders>
            <w:vAlign w:val="center"/>
          </w:tcPr>
          <w:p w14:paraId="509F7F22">
            <w:pPr>
              <w:widowControl/>
              <w:spacing w:line="240" w:lineRule="auto"/>
              <w:ind w:firstLine="420"/>
              <w:jc w:val="center"/>
              <w:rPr>
                <w:color w:val="auto"/>
                <w:kern w:val="0"/>
                <w:sz w:val="21"/>
                <w:szCs w:val="21"/>
              </w:rPr>
            </w:pPr>
            <w:r>
              <w:rPr>
                <w:color w:val="auto"/>
                <w:kern w:val="0"/>
                <w:sz w:val="21"/>
                <w:szCs w:val="21"/>
              </w:rPr>
              <w:t>49.8</w:t>
            </w:r>
          </w:p>
        </w:tc>
      </w:tr>
    </w:tbl>
    <w:p w14:paraId="645F04D9">
      <w:pPr>
        <w:ind w:firstLine="482"/>
        <w:jc w:val="center"/>
        <w:rPr>
          <w:b/>
          <w:color w:val="auto"/>
        </w:rPr>
      </w:pPr>
      <w:r>
        <w:rPr>
          <w:rFonts w:hint="eastAsia"/>
          <w:b/>
          <w:color w:val="auto"/>
        </w:rPr>
        <w:t>表5.2.6-7 土壤剖面调查表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50"/>
        <w:gridCol w:w="3650"/>
        <w:gridCol w:w="2554"/>
      </w:tblGrid>
      <w:tr w14:paraId="0D875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3703" w:type="pct"/>
            <w:gridSpan w:val="2"/>
            <w:vAlign w:val="center"/>
          </w:tcPr>
          <w:p w14:paraId="0A9176BB">
            <w:pPr>
              <w:widowControl/>
              <w:spacing w:line="240" w:lineRule="auto"/>
              <w:ind w:firstLine="422"/>
              <w:jc w:val="center"/>
              <w:rPr>
                <w:b/>
                <w:bCs/>
                <w:color w:val="auto"/>
                <w:kern w:val="0"/>
                <w:sz w:val="21"/>
                <w:szCs w:val="21"/>
                <w:lang w:val="zh-CN"/>
              </w:rPr>
            </w:pPr>
            <w:r>
              <w:rPr>
                <w:b/>
                <w:bCs/>
                <w:color w:val="auto"/>
                <w:kern w:val="0"/>
                <w:sz w:val="21"/>
                <w:szCs w:val="21"/>
                <w:lang w:val="zh-CN"/>
              </w:rPr>
              <w:t>土壤剖面照片</w:t>
            </w:r>
          </w:p>
        </w:tc>
        <w:tc>
          <w:tcPr>
            <w:tcW w:w="1297" w:type="pct"/>
            <w:vAlign w:val="center"/>
          </w:tcPr>
          <w:p w14:paraId="4FA9AEC5">
            <w:pPr>
              <w:widowControl/>
              <w:spacing w:line="240" w:lineRule="auto"/>
              <w:ind w:firstLine="422"/>
              <w:jc w:val="center"/>
              <w:rPr>
                <w:b/>
                <w:bCs/>
                <w:color w:val="auto"/>
                <w:kern w:val="0"/>
                <w:sz w:val="21"/>
                <w:szCs w:val="21"/>
                <w:lang w:val="zh-CN"/>
              </w:rPr>
            </w:pPr>
            <w:r>
              <w:rPr>
                <w:b/>
                <w:bCs/>
                <w:color w:val="auto"/>
                <w:kern w:val="0"/>
                <w:sz w:val="21"/>
                <w:szCs w:val="21"/>
                <w:lang w:val="zh-CN"/>
              </w:rPr>
              <w:t>层次</w:t>
            </w:r>
          </w:p>
        </w:tc>
      </w:tr>
      <w:tr w14:paraId="4245B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852" w:type="pct"/>
            <w:vMerge w:val="restart"/>
            <w:vAlign w:val="center"/>
          </w:tcPr>
          <w:p w14:paraId="74ADD13D">
            <w:pPr>
              <w:widowControl/>
              <w:spacing w:line="240" w:lineRule="auto"/>
              <w:ind w:firstLine="420"/>
              <w:jc w:val="center"/>
              <w:rPr>
                <w:color w:val="auto"/>
                <w:kern w:val="0"/>
                <w:sz w:val="21"/>
                <w:szCs w:val="21"/>
                <w:lang w:val="zh-CN"/>
              </w:rPr>
            </w:pPr>
            <w:r>
              <w:rPr>
                <w:color w:val="auto"/>
                <w:kern w:val="0"/>
                <w:sz w:val="21"/>
                <w:szCs w:val="21"/>
                <w:lang w:val="zh-CN"/>
              </w:rPr>
              <w:drawing>
                <wp:inline distT="0" distB="0" distL="114300" distR="114300">
                  <wp:extent cx="1858010" cy="2477770"/>
                  <wp:effectExtent l="0" t="0" r="8890" b="17780"/>
                  <wp:docPr id="1904817900" name="图片 1904817900" descr="c97bf4cc803b9c3187fffb8ea28bb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17900" name="图片 1904817900" descr="c97bf4cc803b9c3187fffb8ea28bb6b(1)"/>
                          <pic:cNvPicPr>
                            <a:picLocks noChangeAspect="1"/>
                          </pic:cNvPicPr>
                        </pic:nvPicPr>
                        <pic:blipFill>
                          <a:blip r:embed="rId37"/>
                          <a:stretch>
                            <a:fillRect/>
                          </a:stretch>
                        </pic:blipFill>
                        <pic:spPr>
                          <a:xfrm>
                            <a:off x="0" y="0"/>
                            <a:ext cx="1858010" cy="2477770"/>
                          </a:xfrm>
                          <a:prstGeom prst="rect">
                            <a:avLst/>
                          </a:prstGeom>
                        </pic:spPr>
                      </pic:pic>
                    </a:graphicData>
                  </a:graphic>
                </wp:inline>
              </w:drawing>
            </w:r>
          </w:p>
        </w:tc>
        <w:tc>
          <w:tcPr>
            <w:tcW w:w="1852" w:type="pct"/>
            <w:vMerge w:val="restart"/>
            <w:vAlign w:val="center"/>
          </w:tcPr>
          <w:p w14:paraId="4CFDAAAE">
            <w:pPr>
              <w:widowControl/>
              <w:spacing w:line="240" w:lineRule="auto"/>
              <w:ind w:firstLine="420"/>
              <w:jc w:val="center"/>
              <w:rPr>
                <w:color w:val="auto"/>
                <w:kern w:val="0"/>
                <w:sz w:val="21"/>
                <w:szCs w:val="21"/>
                <w:lang w:val="zh-CN"/>
              </w:rPr>
            </w:pPr>
            <w:r>
              <w:rPr>
                <w:color w:val="auto"/>
                <w:kern w:val="0"/>
                <w:sz w:val="21"/>
                <w:szCs w:val="21"/>
                <w:lang w:val="zh-CN"/>
              </w:rPr>
              <w:drawing>
                <wp:inline distT="0" distB="0" distL="114300" distR="114300">
                  <wp:extent cx="1858010" cy="2477770"/>
                  <wp:effectExtent l="0" t="0" r="8890" b="17780"/>
                  <wp:docPr id="42" name="图片 42" descr="81971094ef98075e627bb828e25bd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1971094ef98075e627bb828e25bd68(1)"/>
                          <pic:cNvPicPr>
                            <a:picLocks noChangeAspect="1"/>
                          </pic:cNvPicPr>
                        </pic:nvPicPr>
                        <pic:blipFill>
                          <a:blip r:embed="rId38"/>
                          <a:stretch>
                            <a:fillRect/>
                          </a:stretch>
                        </pic:blipFill>
                        <pic:spPr>
                          <a:xfrm>
                            <a:off x="0" y="0"/>
                            <a:ext cx="1858010" cy="2477770"/>
                          </a:xfrm>
                          <a:prstGeom prst="rect">
                            <a:avLst/>
                          </a:prstGeom>
                        </pic:spPr>
                      </pic:pic>
                    </a:graphicData>
                  </a:graphic>
                </wp:inline>
              </w:drawing>
            </w:r>
          </w:p>
        </w:tc>
        <w:tc>
          <w:tcPr>
            <w:tcW w:w="1297" w:type="pct"/>
            <w:vAlign w:val="center"/>
          </w:tcPr>
          <w:p w14:paraId="0612472C">
            <w:pPr>
              <w:widowControl/>
              <w:spacing w:line="240" w:lineRule="auto"/>
              <w:ind w:firstLine="420"/>
              <w:jc w:val="center"/>
              <w:rPr>
                <w:color w:val="auto"/>
                <w:kern w:val="0"/>
                <w:sz w:val="21"/>
                <w:szCs w:val="21"/>
                <w:lang w:val="zh-CN"/>
              </w:rPr>
            </w:pPr>
            <w:r>
              <w:rPr>
                <w:color w:val="auto"/>
                <w:kern w:val="0"/>
                <w:sz w:val="21"/>
                <w:szCs w:val="21"/>
              </w:rPr>
              <w:t>表层0-20cm</w:t>
            </w:r>
          </w:p>
        </w:tc>
      </w:tr>
      <w:tr w14:paraId="7C6DB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852" w:type="pct"/>
            <w:vMerge w:val="continue"/>
            <w:vAlign w:val="center"/>
          </w:tcPr>
          <w:p w14:paraId="01D96EB0">
            <w:pPr>
              <w:widowControl/>
              <w:spacing w:line="240" w:lineRule="auto"/>
              <w:ind w:firstLine="420"/>
              <w:jc w:val="center"/>
              <w:rPr>
                <w:color w:val="auto"/>
                <w:kern w:val="0"/>
                <w:sz w:val="21"/>
                <w:szCs w:val="21"/>
                <w:lang w:val="zh-CN"/>
              </w:rPr>
            </w:pPr>
          </w:p>
        </w:tc>
        <w:tc>
          <w:tcPr>
            <w:tcW w:w="1852" w:type="pct"/>
            <w:vMerge w:val="continue"/>
            <w:vAlign w:val="center"/>
          </w:tcPr>
          <w:p w14:paraId="30D92A00">
            <w:pPr>
              <w:widowControl/>
              <w:spacing w:line="240" w:lineRule="auto"/>
              <w:ind w:firstLine="420"/>
              <w:jc w:val="center"/>
              <w:rPr>
                <w:color w:val="auto"/>
                <w:kern w:val="0"/>
                <w:sz w:val="21"/>
                <w:szCs w:val="21"/>
                <w:lang w:val="zh-CN"/>
              </w:rPr>
            </w:pPr>
          </w:p>
        </w:tc>
        <w:tc>
          <w:tcPr>
            <w:tcW w:w="1297" w:type="pct"/>
            <w:vAlign w:val="center"/>
          </w:tcPr>
          <w:p w14:paraId="03F96E10">
            <w:pPr>
              <w:widowControl/>
              <w:spacing w:line="240" w:lineRule="auto"/>
              <w:ind w:firstLine="420"/>
              <w:jc w:val="center"/>
              <w:rPr>
                <w:color w:val="auto"/>
                <w:kern w:val="0"/>
                <w:sz w:val="21"/>
                <w:szCs w:val="21"/>
                <w:lang w:val="zh-CN"/>
              </w:rPr>
            </w:pPr>
            <w:r>
              <w:rPr>
                <w:color w:val="auto"/>
                <w:kern w:val="0"/>
                <w:sz w:val="21"/>
                <w:szCs w:val="21"/>
              </w:rPr>
              <w:t>中层20-70cm</w:t>
            </w:r>
          </w:p>
        </w:tc>
      </w:tr>
      <w:tr w14:paraId="5E34B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852" w:type="pct"/>
            <w:vMerge w:val="continue"/>
            <w:vAlign w:val="center"/>
          </w:tcPr>
          <w:p w14:paraId="2DBEA8C3">
            <w:pPr>
              <w:widowControl/>
              <w:spacing w:line="240" w:lineRule="auto"/>
              <w:ind w:firstLine="420"/>
              <w:jc w:val="center"/>
              <w:rPr>
                <w:color w:val="auto"/>
                <w:kern w:val="0"/>
                <w:sz w:val="21"/>
                <w:szCs w:val="21"/>
                <w:lang w:val="zh-CN"/>
              </w:rPr>
            </w:pPr>
          </w:p>
        </w:tc>
        <w:tc>
          <w:tcPr>
            <w:tcW w:w="1852" w:type="pct"/>
            <w:vMerge w:val="continue"/>
            <w:vAlign w:val="center"/>
          </w:tcPr>
          <w:p w14:paraId="5AD30E37">
            <w:pPr>
              <w:widowControl/>
              <w:spacing w:line="240" w:lineRule="auto"/>
              <w:ind w:firstLine="420"/>
              <w:jc w:val="center"/>
              <w:rPr>
                <w:color w:val="auto"/>
                <w:kern w:val="0"/>
                <w:sz w:val="21"/>
                <w:szCs w:val="21"/>
                <w:lang w:val="zh-CN"/>
              </w:rPr>
            </w:pPr>
          </w:p>
        </w:tc>
        <w:tc>
          <w:tcPr>
            <w:tcW w:w="1297" w:type="pct"/>
            <w:vAlign w:val="center"/>
          </w:tcPr>
          <w:p w14:paraId="095D100E">
            <w:pPr>
              <w:widowControl/>
              <w:spacing w:line="240" w:lineRule="auto"/>
              <w:ind w:firstLine="420"/>
              <w:jc w:val="center"/>
              <w:rPr>
                <w:color w:val="auto"/>
                <w:kern w:val="0"/>
                <w:sz w:val="21"/>
                <w:szCs w:val="21"/>
                <w:lang w:val="zh-CN"/>
              </w:rPr>
            </w:pPr>
            <w:r>
              <w:rPr>
                <w:color w:val="auto"/>
                <w:kern w:val="0"/>
                <w:sz w:val="21"/>
                <w:szCs w:val="21"/>
              </w:rPr>
              <w:t>深层70-120cm</w:t>
            </w:r>
          </w:p>
        </w:tc>
      </w:tr>
    </w:tbl>
    <w:p w14:paraId="69A5101B">
      <w:pPr>
        <w:ind w:firstLine="480"/>
        <w:rPr>
          <w:color w:val="auto"/>
        </w:rPr>
      </w:pPr>
    </w:p>
    <w:p w14:paraId="481172A7">
      <w:pPr>
        <w:ind w:firstLine="480"/>
        <w:rPr>
          <w:color w:val="auto"/>
        </w:rPr>
        <w:sectPr>
          <w:pgSz w:w="11906" w:h="16838"/>
          <w:pgMar w:top="1134" w:right="1134" w:bottom="1134" w:left="1134" w:header="851" w:footer="992" w:gutter="0"/>
          <w:cols w:space="425" w:num="1"/>
          <w:docGrid w:type="lines" w:linePitch="312" w:charSpace="0"/>
        </w:sectPr>
      </w:pPr>
    </w:p>
    <w:p w14:paraId="2526BBA3">
      <w:pPr>
        <w:pStyle w:val="2"/>
        <w:spacing w:before="312" w:after="312"/>
        <w:rPr>
          <w:rFonts w:hint="eastAsia"/>
          <w:color w:val="auto"/>
        </w:rPr>
      </w:pPr>
      <w:bookmarkStart w:id="192" w:name="_Toc11021"/>
      <w:r>
        <w:rPr>
          <w:rFonts w:hint="eastAsia"/>
          <w:color w:val="auto"/>
        </w:rPr>
        <w:t>环境影响预测与评价</w:t>
      </w:r>
      <w:bookmarkEnd w:id="192"/>
    </w:p>
    <w:p w14:paraId="59F92C03">
      <w:pPr>
        <w:pStyle w:val="3"/>
        <w:spacing w:before="312"/>
        <w:rPr>
          <w:color w:val="auto"/>
        </w:rPr>
      </w:pPr>
      <w:bookmarkStart w:id="193" w:name="_Toc7473"/>
      <w:r>
        <w:rPr>
          <w:rFonts w:hint="eastAsia"/>
          <w:color w:val="auto"/>
        </w:rPr>
        <w:t>6.1大气环境影响预测与评价</w:t>
      </w:r>
      <w:bookmarkEnd w:id="193"/>
    </w:p>
    <w:p w14:paraId="471A5A16">
      <w:pPr>
        <w:pStyle w:val="4"/>
        <w:rPr>
          <w:color w:val="auto"/>
        </w:rPr>
      </w:pPr>
      <w:bookmarkStart w:id="194" w:name="_Toc12807"/>
      <w:r>
        <w:rPr>
          <w:rFonts w:hint="eastAsia"/>
          <w:color w:val="auto"/>
        </w:rPr>
        <w:t>6.1.1预测模式</w:t>
      </w:r>
      <w:bookmarkEnd w:id="194"/>
    </w:p>
    <w:p w14:paraId="60CAE88D">
      <w:pPr>
        <w:ind w:firstLine="480"/>
        <w:rPr>
          <w:color w:val="auto"/>
        </w:rPr>
      </w:pPr>
      <w:r>
        <w:rPr>
          <w:color w:val="auto"/>
        </w:rPr>
        <w:t>本项目大气环境影响评价等级为</w:t>
      </w:r>
      <w:r>
        <w:rPr>
          <w:rFonts w:hint="eastAsia"/>
          <w:color w:val="auto"/>
        </w:rPr>
        <w:t>二</w:t>
      </w:r>
      <w:r>
        <w:rPr>
          <w:color w:val="auto"/>
        </w:rPr>
        <w:t>级，对照《环境影响评价技术导则大气环境》(HJ 2.2-2018)，</w:t>
      </w:r>
      <w:r>
        <w:rPr>
          <w:rFonts w:hint="eastAsia"/>
          <w:color w:val="auto"/>
        </w:rPr>
        <w:t>二级评价不进行进一步预测与评价，只对污染物排放量进行核算</w:t>
      </w:r>
      <w:r>
        <w:rPr>
          <w:color w:val="auto"/>
        </w:rPr>
        <w:t>。</w:t>
      </w:r>
    </w:p>
    <w:p w14:paraId="634853D8">
      <w:pPr>
        <w:pStyle w:val="4"/>
        <w:rPr>
          <w:color w:val="auto"/>
        </w:rPr>
      </w:pPr>
      <w:bookmarkStart w:id="195" w:name="_Toc1393"/>
      <w:r>
        <w:rPr>
          <w:rFonts w:hint="eastAsia"/>
          <w:color w:val="auto"/>
        </w:rPr>
        <w:t>6.1.2源强参数</w:t>
      </w:r>
      <w:bookmarkEnd w:id="195"/>
    </w:p>
    <w:p w14:paraId="68C57183">
      <w:pPr>
        <w:ind w:firstLine="480"/>
        <w:rPr>
          <w:color w:val="auto"/>
        </w:rPr>
      </w:pPr>
      <w:r>
        <w:rPr>
          <w:rFonts w:hint="eastAsia"/>
          <w:color w:val="auto"/>
        </w:rPr>
        <w:t>1、</w:t>
      </w:r>
      <w:r>
        <w:rPr>
          <w:color w:val="auto"/>
        </w:rPr>
        <w:t>本项目新增污染源</w:t>
      </w:r>
    </w:p>
    <w:p w14:paraId="79A0ABF1">
      <w:pPr>
        <w:ind w:firstLine="480"/>
        <w:rPr>
          <w:color w:val="auto"/>
        </w:rPr>
      </w:pPr>
      <w:r>
        <w:rPr>
          <w:color w:val="auto"/>
        </w:rPr>
        <w:t>本项目点源新增污染源源强排放参数见表6.1.</w:t>
      </w:r>
      <w:r>
        <w:rPr>
          <w:rFonts w:hint="eastAsia"/>
          <w:color w:val="auto"/>
        </w:rPr>
        <w:t>2</w:t>
      </w:r>
      <w:r>
        <w:rPr>
          <w:color w:val="auto"/>
        </w:rPr>
        <w:t>-1，本项目面源新增污染源源强排放参数见表6.1.</w:t>
      </w:r>
      <w:r>
        <w:rPr>
          <w:rFonts w:hint="eastAsia"/>
          <w:color w:val="auto"/>
        </w:rPr>
        <w:t>2</w:t>
      </w:r>
      <w:r>
        <w:rPr>
          <w:color w:val="auto"/>
        </w:rPr>
        <w:t>-2。</w:t>
      </w:r>
    </w:p>
    <w:p w14:paraId="114CAC3D">
      <w:pPr>
        <w:ind w:firstLine="480"/>
        <w:rPr>
          <w:color w:val="auto"/>
        </w:rPr>
      </w:pPr>
      <w:r>
        <w:rPr>
          <w:rFonts w:hint="eastAsia"/>
          <w:color w:val="auto"/>
        </w:rPr>
        <w:t>2、</w:t>
      </w:r>
      <w:r>
        <w:rPr>
          <w:color w:val="auto"/>
        </w:rPr>
        <w:t>非正常污染源</w:t>
      </w:r>
    </w:p>
    <w:p w14:paraId="457857FB">
      <w:pPr>
        <w:ind w:firstLine="480"/>
        <w:rPr>
          <w:color w:val="auto"/>
        </w:rPr>
      </w:pPr>
      <w:r>
        <w:rPr>
          <w:color w:val="auto"/>
        </w:rPr>
        <w:t>本项目非正常工况污染源强见表6.1.</w:t>
      </w:r>
      <w:r>
        <w:rPr>
          <w:rFonts w:hint="eastAsia"/>
          <w:color w:val="auto"/>
        </w:rPr>
        <w:t>2</w:t>
      </w:r>
      <w:r>
        <w:rPr>
          <w:color w:val="auto"/>
        </w:rPr>
        <w:t>-</w:t>
      </w:r>
      <w:r>
        <w:rPr>
          <w:rFonts w:hint="eastAsia"/>
          <w:color w:val="auto"/>
        </w:rPr>
        <w:t>3</w:t>
      </w:r>
      <w:r>
        <w:rPr>
          <w:color w:val="auto"/>
        </w:rPr>
        <w:t>。</w:t>
      </w:r>
    </w:p>
    <w:p w14:paraId="34D41E63">
      <w:pPr>
        <w:ind w:firstLine="480"/>
        <w:rPr>
          <w:color w:val="auto"/>
        </w:rPr>
        <w:sectPr>
          <w:pgSz w:w="11906" w:h="16838"/>
          <w:pgMar w:top="1134" w:right="1134" w:bottom="1134" w:left="1134" w:header="851" w:footer="992" w:gutter="0"/>
          <w:cols w:space="425" w:num="1"/>
          <w:docGrid w:type="lines" w:linePitch="312" w:charSpace="0"/>
        </w:sectPr>
      </w:pPr>
    </w:p>
    <w:p w14:paraId="489E8C83">
      <w:pPr>
        <w:ind w:firstLine="482"/>
        <w:jc w:val="center"/>
        <w:rPr>
          <w:b/>
          <w:bCs/>
          <w:color w:val="auto"/>
        </w:rPr>
      </w:pPr>
      <w:r>
        <w:rPr>
          <w:rFonts w:hint="eastAsia"/>
          <w:b/>
          <w:bCs/>
          <w:color w:val="auto"/>
        </w:rPr>
        <w:t xml:space="preserve">表6.1.2-1 </w:t>
      </w:r>
      <w:r>
        <w:rPr>
          <w:b/>
          <w:bCs/>
          <w:color w:val="auto"/>
        </w:rPr>
        <w:t>本项目正常工况下点源源强参数调查</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993"/>
        <w:gridCol w:w="1136"/>
        <w:gridCol w:w="1280"/>
        <w:gridCol w:w="991"/>
        <w:gridCol w:w="1136"/>
        <w:gridCol w:w="1275"/>
        <w:gridCol w:w="1133"/>
        <w:gridCol w:w="1278"/>
        <w:gridCol w:w="1419"/>
        <w:gridCol w:w="1419"/>
        <w:gridCol w:w="1485"/>
      </w:tblGrid>
      <w:tr w14:paraId="337C6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0" w:type="pct"/>
            <w:vMerge w:val="restart"/>
            <w:vAlign w:val="center"/>
          </w:tcPr>
          <w:p w14:paraId="0581618C">
            <w:pPr>
              <w:widowControl/>
              <w:spacing w:line="240" w:lineRule="auto"/>
              <w:ind w:firstLine="0" w:firstLineChars="0"/>
              <w:jc w:val="center"/>
              <w:rPr>
                <w:color w:val="auto"/>
                <w:kern w:val="0"/>
                <w:sz w:val="21"/>
                <w:szCs w:val="21"/>
                <w:lang w:val="zh-CN"/>
              </w:rPr>
            </w:pPr>
            <w:r>
              <w:rPr>
                <w:color w:val="auto"/>
                <w:kern w:val="0"/>
                <w:sz w:val="21"/>
                <w:szCs w:val="21"/>
                <w:lang w:val="zh-CN"/>
              </w:rPr>
              <w:t>排气筒</w:t>
            </w:r>
          </w:p>
        </w:tc>
        <w:tc>
          <w:tcPr>
            <w:tcW w:w="720" w:type="pct"/>
            <w:gridSpan w:val="2"/>
            <w:vAlign w:val="center"/>
          </w:tcPr>
          <w:p w14:paraId="4F87F72C">
            <w:pPr>
              <w:widowControl/>
              <w:spacing w:line="240" w:lineRule="auto"/>
              <w:ind w:firstLine="0" w:firstLineChars="0"/>
              <w:jc w:val="center"/>
              <w:rPr>
                <w:color w:val="auto"/>
                <w:kern w:val="0"/>
                <w:sz w:val="21"/>
                <w:szCs w:val="21"/>
                <w:lang w:val="zh-CN"/>
              </w:rPr>
            </w:pPr>
            <w:r>
              <w:rPr>
                <w:color w:val="auto"/>
                <w:kern w:val="0"/>
                <w:sz w:val="21"/>
                <w:szCs w:val="21"/>
                <w:lang w:val="zh-CN"/>
              </w:rPr>
              <w:t>排气筒底部中心坐标/m</w:t>
            </w:r>
          </w:p>
        </w:tc>
        <w:tc>
          <w:tcPr>
            <w:tcW w:w="433" w:type="pct"/>
            <w:vMerge w:val="restart"/>
            <w:vAlign w:val="center"/>
          </w:tcPr>
          <w:p w14:paraId="2E223F7B">
            <w:pPr>
              <w:widowControl/>
              <w:spacing w:line="240" w:lineRule="auto"/>
              <w:ind w:firstLine="0" w:firstLineChars="0"/>
              <w:jc w:val="center"/>
              <w:rPr>
                <w:color w:val="auto"/>
                <w:kern w:val="0"/>
                <w:sz w:val="21"/>
                <w:szCs w:val="21"/>
                <w:lang w:val="zh-CN"/>
              </w:rPr>
            </w:pPr>
            <w:r>
              <w:rPr>
                <w:color w:val="auto"/>
                <w:kern w:val="0"/>
                <w:sz w:val="21"/>
                <w:szCs w:val="21"/>
                <w:lang w:val="zh-CN"/>
              </w:rPr>
              <w:t>排气筒底部</w:t>
            </w:r>
            <w:r>
              <w:rPr>
                <w:rFonts w:hint="eastAsia"/>
                <w:color w:val="auto"/>
                <w:kern w:val="0"/>
                <w:sz w:val="21"/>
                <w:szCs w:val="21"/>
                <w:lang w:val="zh-CN"/>
              </w:rPr>
              <w:t>海拔</w:t>
            </w:r>
            <w:r>
              <w:rPr>
                <w:color w:val="auto"/>
                <w:kern w:val="0"/>
                <w:sz w:val="21"/>
                <w:szCs w:val="21"/>
                <w:lang w:val="zh-CN"/>
              </w:rPr>
              <w:t>高度/m</w:t>
            </w:r>
          </w:p>
        </w:tc>
        <w:tc>
          <w:tcPr>
            <w:tcW w:w="335" w:type="pct"/>
            <w:vMerge w:val="restart"/>
            <w:vAlign w:val="center"/>
          </w:tcPr>
          <w:p w14:paraId="72EA2C1F">
            <w:pPr>
              <w:widowControl/>
              <w:spacing w:line="240" w:lineRule="auto"/>
              <w:ind w:firstLine="0" w:firstLineChars="0"/>
              <w:jc w:val="center"/>
              <w:rPr>
                <w:color w:val="auto"/>
                <w:kern w:val="0"/>
                <w:sz w:val="21"/>
                <w:szCs w:val="21"/>
                <w:lang w:val="zh-CN"/>
              </w:rPr>
            </w:pPr>
            <w:r>
              <w:rPr>
                <w:color w:val="auto"/>
                <w:kern w:val="0"/>
                <w:sz w:val="21"/>
                <w:szCs w:val="21"/>
                <w:lang w:val="zh-CN"/>
              </w:rPr>
              <w:t>排气筒高度/m</w:t>
            </w:r>
          </w:p>
        </w:tc>
        <w:tc>
          <w:tcPr>
            <w:tcW w:w="384" w:type="pct"/>
            <w:vMerge w:val="restart"/>
            <w:vAlign w:val="center"/>
          </w:tcPr>
          <w:p w14:paraId="1CAB8452">
            <w:pPr>
              <w:widowControl/>
              <w:spacing w:line="240" w:lineRule="auto"/>
              <w:ind w:firstLine="0" w:firstLineChars="0"/>
              <w:jc w:val="center"/>
              <w:rPr>
                <w:color w:val="auto"/>
                <w:kern w:val="0"/>
                <w:sz w:val="21"/>
                <w:szCs w:val="21"/>
                <w:lang w:val="zh-CN"/>
              </w:rPr>
            </w:pPr>
            <w:r>
              <w:rPr>
                <w:color w:val="auto"/>
                <w:kern w:val="0"/>
                <w:sz w:val="21"/>
                <w:szCs w:val="21"/>
                <w:lang w:val="zh-CN"/>
              </w:rPr>
              <w:t>排气筒内径/m</w:t>
            </w:r>
          </w:p>
        </w:tc>
        <w:tc>
          <w:tcPr>
            <w:tcW w:w="431" w:type="pct"/>
            <w:vMerge w:val="restart"/>
            <w:vAlign w:val="center"/>
          </w:tcPr>
          <w:p w14:paraId="7AFFF65B">
            <w:pPr>
              <w:widowControl/>
              <w:spacing w:line="240" w:lineRule="auto"/>
              <w:ind w:firstLine="0" w:firstLineChars="0"/>
              <w:jc w:val="center"/>
              <w:rPr>
                <w:color w:val="auto"/>
                <w:kern w:val="0"/>
                <w:sz w:val="21"/>
                <w:szCs w:val="21"/>
                <w:lang w:val="zh-CN"/>
              </w:rPr>
            </w:pPr>
            <w:r>
              <w:rPr>
                <w:color w:val="auto"/>
                <w:kern w:val="0"/>
                <w:sz w:val="21"/>
                <w:szCs w:val="21"/>
                <w:lang w:val="zh-CN"/>
              </w:rPr>
              <w:t>烟气流速(m/s)</w:t>
            </w:r>
          </w:p>
        </w:tc>
        <w:tc>
          <w:tcPr>
            <w:tcW w:w="383" w:type="pct"/>
            <w:vMerge w:val="restart"/>
            <w:vAlign w:val="center"/>
          </w:tcPr>
          <w:p w14:paraId="489B0695">
            <w:pPr>
              <w:widowControl/>
              <w:spacing w:line="240" w:lineRule="auto"/>
              <w:ind w:firstLine="0" w:firstLineChars="0"/>
              <w:jc w:val="center"/>
              <w:rPr>
                <w:color w:val="auto"/>
                <w:kern w:val="0"/>
                <w:sz w:val="21"/>
                <w:szCs w:val="21"/>
                <w:lang w:val="zh-CN"/>
              </w:rPr>
            </w:pPr>
            <w:r>
              <w:rPr>
                <w:color w:val="auto"/>
                <w:kern w:val="0"/>
                <w:sz w:val="21"/>
                <w:szCs w:val="21"/>
                <w:lang w:val="zh-CN"/>
              </w:rPr>
              <w:t>烟气温度/℃</w:t>
            </w:r>
          </w:p>
        </w:tc>
        <w:tc>
          <w:tcPr>
            <w:tcW w:w="432" w:type="pct"/>
            <w:vMerge w:val="restart"/>
            <w:vAlign w:val="center"/>
          </w:tcPr>
          <w:p w14:paraId="7E584FFA">
            <w:pPr>
              <w:widowControl/>
              <w:spacing w:line="240" w:lineRule="auto"/>
              <w:ind w:firstLine="0" w:firstLineChars="0"/>
              <w:jc w:val="center"/>
              <w:rPr>
                <w:color w:val="auto"/>
                <w:kern w:val="0"/>
                <w:sz w:val="21"/>
                <w:szCs w:val="21"/>
                <w:lang w:val="zh-CN"/>
              </w:rPr>
            </w:pPr>
            <w:r>
              <w:rPr>
                <w:color w:val="auto"/>
                <w:kern w:val="0"/>
                <w:sz w:val="21"/>
                <w:szCs w:val="21"/>
                <w:lang w:val="zh-CN"/>
              </w:rPr>
              <w:t>年排放小时数/h</w:t>
            </w:r>
          </w:p>
        </w:tc>
        <w:tc>
          <w:tcPr>
            <w:tcW w:w="480" w:type="pct"/>
            <w:vMerge w:val="restart"/>
            <w:vAlign w:val="center"/>
          </w:tcPr>
          <w:p w14:paraId="1D011F76">
            <w:pPr>
              <w:widowControl/>
              <w:spacing w:line="240" w:lineRule="auto"/>
              <w:ind w:firstLine="0" w:firstLineChars="0"/>
              <w:jc w:val="center"/>
              <w:rPr>
                <w:color w:val="auto"/>
                <w:kern w:val="0"/>
                <w:sz w:val="21"/>
                <w:szCs w:val="21"/>
                <w:lang w:val="zh-CN"/>
              </w:rPr>
            </w:pPr>
            <w:r>
              <w:rPr>
                <w:color w:val="auto"/>
                <w:kern w:val="0"/>
                <w:sz w:val="21"/>
                <w:szCs w:val="21"/>
                <w:lang w:val="zh-CN"/>
              </w:rPr>
              <w:t>排放工况</w:t>
            </w:r>
          </w:p>
        </w:tc>
        <w:tc>
          <w:tcPr>
            <w:tcW w:w="982" w:type="pct"/>
            <w:gridSpan w:val="2"/>
            <w:vAlign w:val="center"/>
          </w:tcPr>
          <w:p w14:paraId="4F20AC3C">
            <w:pPr>
              <w:widowControl/>
              <w:spacing w:line="240" w:lineRule="auto"/>
              <w:ind w:firstLine="0" w:firstLineChars="0"/>
              <w:jc w:val="center"/>
              <w:rPr>
                <w:color w:val="auto"/>
                <w:kern w:val="0"/>
                <w:sz w:val="21"/>
                <w:szCs w:val="21"/>
                <w:lang w:val="zh-CN"/>
              </w:rPr>
            </w:pPr>
            <w:r>
              <w:rPr>
                <w:color w:val="auto"/>
                <w:sz w:val="21"/>
                <w:szCs w:val="21"/>
              </w:rPr>
              <w:t>源强(kg/h)</w:t>
            </w:r>
          </w:p>
        </w:tc>
      </w:tr>
      <w:tr w14:paraId="70AD1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vMerge w:val="continue"/>
            <w:vAlign w:val="center"/>
          </w:tcPr>
          <w:p w14:paraId="467E64E9">
            <w:pPr>
              <w:widowControl/>
              <w:spacing w:line="240" w:lineRule="auto"/>
              <w:ind w:firstLine="0" w:firstLineChars="0"/>
              <w:jc w:val="center"/>
              <w:rPr>
                <w:color w:val="auto"/>
                <w:kern w:val="0"/>
                <w:sz w:val="21"/>
                <w:szCs w:val="21"/>
                <w:lang w:val="zh-CN"/>
              </w:rPr>
            </w:pPr>
          </w:p>
        </w:tc>
        <w:tc>
          <w:tcPr>
            <w:tcW w:w="336" w:type="pct"/>
            <w:vAlign w:val="center"/>
          </w:tcPr>
          <w:p w14:paraId="79F208F8">
            <w:pPr>
              <w:widowControl/>
              <w:spacing w:line="240" w:lineRule="auto"/>
              <w:ind w:firstLine="0" w:firstLineChars="0"/>
              <w:jc w:val="center"/>
              <w:rPr>
                <w:color w:val="auto"/>
                <w:kern w:val="0"/>
                <w:sz w:val="21"/>
                <w:szCs w:val="21"/>
                <w:lang w:val="zh-CN"/>
              </w:rPr>
            </w:pPr>
            <w:r>
              <w:rPr>
                <w:color w:val="auto"/>
                <w:kern w:val="0"/>
                <w:sz w:val="21"/>
                <w:szCs w:val="21"/>
                <w:lang w:val="zh-CN"/>
              </w:rPr>
              <w:t>X</w:t>
            </w:r>
          </w:p>
        </w:tc>
        <w:tc>
          <w:tcPr>
            <w:tcW w:w="384" w:type="pct"/>
            <w:vAlign w:val="center"/>
          </w:tcPr>
          <w:p w14:paraId="554F197D">
            <w:pPr>
              <w:widowControl/>
              <w:spacing w:line="240" w:lineRule="auto"/>
              <w:ind w:firstLine="0" w:firstLineChars="0"/>
              <w:jc w:val="center"/>
              <w:rPr>
                <w:color w:val="auto"/>
                <w:kern w:val="0"/>
                <w:sz w:val="21"/>
                <w:szCs w:val="21"/>
                <w:lang w:val="zh-CN"/>
              </w:rPr>
            </w:pPr>
            <w:r>
              <w:rPr>
                <w:color w:val="auto"/>
                <w:kern w:val="0"/>
                <w:sz w:val="21"/>
                <w:szCs w:val="21"/>
                <w:lang w:val="zh-CN"/>
              </w:rPr>
              <w:t>Y</w:t>
            </w:r>
          </w:p>
        </w:tc>
        <w:tc>
          <w:tcPr>
            <w:tcW w:w="433" w:type="pct"/>
            <w:vMerge w:val="continue"/>
            <w:vAlign w:val="center"/>
          </w:tcPr>
          <w:p w14:paraId="5691B2F1">
            <w:pPr>
              <w:widowControl/>
              <w:spacing w:line="240" w:lineRule="auto"/>
              <w:ind w:firstLine="0" w:firstLineChars="0"/>
              <w:jc w:val="center"/>
              <w:rPr>
                <w:color w:val="auto"/>
                <w:kern w:val="0"/>
                <w:sz w:val="21"/>
                <w:szCs w:val="21"/>
                <w:lang w:val="zh-CN"/>
              </w:rPr>
            </w:pPr>
          </w:p>
        </w:tc>
        <w:tc>
          <w:tcPr>
            <w:tcW w:w="335" w:type="pct"/>
            <w:vMerge w:val="continue"/>
            <w:vAlign w:val="center"/>
          </w:tcPr>
          <w:p w14:paraId="2E8A9BEC">
            <w:pPr>
              <w:widowControl/>
              <w:spacing w:line="240" w:lineRule="auto"/>
              <w:ind w:firstLine="0" w:firstLineChars="0"/>
              <w:jc w:val="center"/>
              <w:rPr>
                <w:color w:val="auto"/>
                <w:kern w:val="0"/>
                <w:sz w:val="21"/>
                <w:szCs w:val="21"/>
                <w:lang w:val="zh-CN"/>
              </w:rPr>
            </w:pPr>
          </w:p>
        </w:tc>
        <w:tc>
          <w:tcPr>
            <w:tcW w:w="384" w:type="pct"/>
            <w:vMerge w:val="continue"/>
            <w:vAlign w:val="center"/>
          </w:tcPr>
          <w:p w14:paraId="168C7472">
            <w:pPr>
              <w:widowControl/>
              <w:spacing w:line="240" w:lineRule="auto"/>
              <w:ind w:firstLine="0" w:firstLineChars="0"/>
              <w:jc w:val="center"/>
              <w:rPr>
                <w:color w:val="auto"/>
                <w:kern w:val="0"/>
                <w:sz w:val="21"/>
                <w:szCs w:val="21"/>
                <w:lang w:val="zh-CN"/>
              </w:rPr>
            </w:pPr>
          </w:p>
        </w:tc>
        <w:tc>
          <w:tcPr>
            <w:tcW w:w="431" w:type="pct"/>
            <w:vMerge w:val="continue"/>
            <w:vAlign w:val="center"/>
          </w:tcPr>
          <w:p w14:paraId="255BE65F">
            <w:pPr>
              <w:widowControl/>
              <w:spacing w:line="240" w:lineRule="auto"/>
              <w:ind w:firstLine="0" w:firstLineChars="0"/>
              <w:jc w:val="center"/>
              <w:rPr>
                <w:color w:val="auto"/>
                <w:kern w:val="0"/>
                <w:sz w:val="21"/>
                <w:szCs w:val="21"/>
                <w:lang w:val="zh-CN"/>
              </w:rPr>
            </w:pPr>
          </w:p>
        </w:tc>
        <w:tc>
          <w:tcPr>
            <w:tcW w:w="383" w:type="pct"/>
            <w:vMerge w:val="continue"/>
            <w:vAlign w:val="center"/>
          </w:tcPr>
          <w:p w14:paraId="51A1A3C0">
            <w:pPr>
              <w:widowControl/>
              <w:spacing w:line="240" w:lineRule="auto"/>
              <w:ind w:firstLine="0" w:firstLineChars="0"/>
              <w:jc w:val="center"/>
              <w:rPr>
                <w:color w:val="auto"/>
                <w:kern w:val="0"/>
                <w:sz w:val="21"/>
                <w:szCs w:val="21"/>
                <w:lang w:val="zh-CN"/>
              </w:rPr>
            </w:pPr>
          </w:p>
        </w:tc>
        <w:tc>
          <w:tcPr>
            <w:tcW w:w="432" w:type="pct"/>
            <w:vMerge w:val="continue"/>
            <w:vAlign w:val="center"/>
          </w:tcPr>
          <w:p w14:paraId="4113E367">
            <w:pPr>
              <w:widowControl/>
              <w:spacing w:line="240" w:lineRule="auto"/>
              <w:ind w:firstLine="0" w:firstLineChars="0"/>
              <w:jc w:val="center"/>
              <w:rPr>
                <w:color w:val="auto"/>
                <w:kern w:val="0"/>
                <w:sz w:val="21"/>
                <w:szCs w:val="21"/>
                <w:lang w:val="zh-CN"/>
              </w:rPr>
            </w:pPr>
          </w:p>
        </w:tc>
        <w:tc>
          <w:tcPr>
            <w:tcW w:w="480" w:type="pct"/>
            <w:vMerge w:val="continue"/>
            <w:vAlign w:val="center"/>
          </w:tcPr>
          <w:p w14:paraId="3307BA6A">
            <w:pPr>
              <w:widowControl/>
              <w:spacing w:line="240" w:lineRule="auto"/>
              <w:ind w:firstLine="0" w:firstLineChars="0"/>
              <w:jc w:val="center"/>
              <w:rPr>
                <w:color w:val="auto"/>
                <w:kern w:val="0"/>
                <w:sz w:val="21"/>
                <w:szCs w:val="21"/>
                <w:lang w:val="zh-CN"/>
              </w:rPr>
            </w:pPr>
          </w:p>
        </w:tc>
        <w:tc>
          <w:tcPr>
            <w:tcW w:w="480" w:type="pct"/>
            <w:vAlign w:val="center"/>
          </w:tcPr>
          <w:p w14:paraId="4A873FBC">
            <w:pPr>
              <w:widowControl/>
              <w:spacing w:line="240" w:lineRule="auto"/>
              <w:ind w:firstLine="0" w:firstLineChars="0"/>
              <w:jc w:val="center"/>
              <w:rPr>
                <w:color w:val="auto"/>
                <w:kern w:val="0"/>
                <w:sz w:val="21"/>
                <w:szCs w:val="21"/>
                <w:lang w:val="zh-CN"/>
              </w:rPr>
            </w:pPr>
            <w:r>
              <w:rPr>
                <w:rFonts w:hint="eastAsia"/>
                <w:color w:val="auto"/>
                <w:sz w:val="21"/>
                <w:szCs w:val="21"/>
              </w:rPr>
              <w:t>污染物</w:t>
            </w:r>
          </w:p>
        </w:tc>
        <w:tc>
          <w:tcPr>
            <w:tcW w:w="502" w:type="pct"/>
            <w:vAlign w:val="center"/>
          </w:tcPr>
          <w:p w14:paraId="41A4F739">
            <w:pPr>
              <w:widowControl/>
              <w:spacing w:line="240" w:lineRule="auto"/>
              <w:ind w:firstLine="0" w:firstLineChars="0"/>
              <w:jc w:val="center"/>
              <w:rPr>
                <w:b/>
                <w:bCs/>
                <w:color w:val="auto"/>
                <w:kern w:val="0"/>
                <w:sz w:val="21"/>
                <w:szCs w:val="21"/>
                <w:lang w:val="zh-CN"/>
              </w:rPr>
            </w:pPr>
            <w:r>
              <w:rPr>
                <w:rFonts w:hint="eastAsia"/>
                <w:color w:val="auto"/>
                <w:sz w:val="21"/>
                <w:szCs w:val="21"/>
              </w:rPr>
              <w:t>源强</w:t>
            </w:r>
          </w:p>
        </w:tc>
      </w:tr>
      <w:tr w14:paraId="2D1AF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20" w:type="pct"/>
            <w:vAlign w:val="center"/>
          </w:tcPr>
          <w:p w14:paraId="3C4133CD">
            <w:pPr>
              <w:widowControl/>
              <w:spacing w:line="240" w:lineRule="auto"/>
              <w:ind w:firstLine="0" w:firstLineChars="0"/>
              <w:jc w:val="center"/>
              <w:rPr>
                <w:color w:val="auto"/>
                <w:kern w:val="0"/>
                <w:sz w:val="21"/>
                <w:szCs w:val="21"/>
                <w:lang w:val="zh-CN"/>
              </w:rPr>
            </w:pPr>
            <w:r>
              <w:rPr>
                <w:color w:val="auto"/>
                <w:kern w:val="0"/>
                <w:sz w:val="21"/>
                <w:szCs w:val="21"/>
                <w:lang w:val="zh-CN"/>
              </w:rPr>
              <w:t>DA001</w:t>
            </w:r>
          </w:p>
        </w:tc>
        <w:tc>
          <w:tcPr>
            <w:tcW w:w="336" w:type="pct"/>
            <w:vAlign w:val="center"/>
          </w:tcPr>
          <w:p w14:paraId="2C6D077B">
            <w:pPr>
              <w:widowControl/>
              <w:spacing w:line="240" w:lineRule="auto"/>
              <w:ind w:firstLine="0" w:firstLineChars="0"/>
              <w:jc w:val="center"/>
              <w:rPr>
                <w:color w:val="auto"/>
                <w:kern w:val="0"/>
                <w:sz w:val="21"/>
                <w:szCs w:val="21"/>
                <w:lang w:val="zh-CN"/>
              </w:rPr>
            </w:pPr>
            <w:r>
              <w:rPr>
                <w:rFonts w:hint="eastAsia"/>
                <w:color w:val="auto"/>
                <w:sz w:val="21"/>
                <w:szCs w:val="21"/>
              </w:rPr>
              <w:t>129</w:t>
            </w:r>
          </w:p>
        </w:tc>
        <w:tc>
          <w:tcPr>
            <w:tcW w:w="384" w:type="pct"/>
            <w:vAlign w:val="center"/>
          </w:tcPr>
          <w:p w14:paraId="6DC4C283">
            <w:pPr>
              <w:widowControl/>
              <w:spacing w:line="240" w:lineRule="auto"/>
              <w:ind w:firstLine="0" w:firstLineChars="0"/>
              <w:jc w:val="center"/>
              <w:rPr>
                <w:color w:val="auto"/>
                <w:kern w:val="0"/>
                <w:sz w:val="21"/>
                <w:szCs w:val="21"/>
                <w:lang w:val="zh-CN"/>
              </w:rPr>
            </w:pPr>
            <w:r>
              <w:rPr>
                <w:rFonts w:hint="eastAsia"/>
                <w:color w:val="auto"/>
                <w:sz w:val="21"/>
                <w:szCs w:val="21"/>
              </w:rPr>
              <w:t>325</w:t>
            </w:r>
          </w:p>
        </w:tc>
        <w:tc>
          <w:tcPr>
            <w:tcW w:w="433" w:type="pct"/>
            <w:vAlign w:val="center"/>
          </w:tcPr>
          <w:p w14:paraId="30670AB6">
            <w:pPr>
              <w:widowControl/>
              <w:spacing w:line="240" w:lineRule="auto"/>
              <w:ind w:firstLine="0" w:firstLineChars="0"/>
              <w:jc w:val="center"/>
              <w:rPr>
                <w:color w:val="auto"/>
                <w:kern w:val="0"/>
                <w:sz w:val="21"/>
                <w:szCs w:val="21"/>
                <w:lang w:val="zh-CN"/>
              </w:rPr>
            </w:pPr>
            <w:r>
              <w:rPr>
                <w:color w:val="auto"/>
                <w:kern w:val="0"/>
                <w:sz w:val="21"/>
                <w:szCs w:val="21"/>
                <w:lang w:val="zh-CN"/>
              </w:rPr>
              <w:t>3</w:t>
            </w:r>
          </w:p>
        </w:tc>
        <w:tc>
          <w:tcPr>
            <w:tcW w:w="335" w:type="pct"/>
            <w:vAlign w:val="center"/>
          </w:tcPr>
          <w:p w14:paraId="7C12A9FA">
            <w:pPr>
              <w:widowControl/>
              <w:spacing w:line="240" w:lineRule="auto"/>
              <w:ind w:firstLine="0" w:firstLineChars="0"/>
              <w:jc w:val="center"/>
              <w:rPr>
                <w:color w:val="auto"/>
                <w:kern w:val="0"/>
                <w:sz w:val="21"/>
                <w:szCs w:val="21"/>
                <w:lang w:val="zh-CN"/>
              </w:rPr>
            </w:pPr>
            <w:r>
              <w:rPr>
                <w:color w:val="auto"/>
                <w:kern w:val="0"/>
                <w:sz w:val="21"/>
                <w:szCs w:val="21"/>
                <w:lang w:val="zh-CN"/>
              </w:rPr>
              <w:t>35</w:t>
            </w:r>
          </w:p>
        </w:tc>
        <w:tc>
          <w:tcPr>
            <w:tcW w:w="384" w:type="pct"/>
            <w:vAlign w:val="center"/>
          </w:tcPr>
          <w:p w14:paraId="730FCF0F">
            <w:pPr>
              <w:widowControl/>
              <w:spacing w:line="240" w:lineRule="auto"/>
              <w:ind w:firstLine="0" w:firstLineChars="0"/>
              <w:jc w:val="center"/>
              <w:rPr>
                <w:color w:val="auto"/>
                <w:kern w:val="0"/>
                <w:sz w:val="21"/>
                <w:szCs w:val="21"/>
                <w:lang w:val="zh-CN"/>
              </w:rPr>
            </w:pPr>
            <w:r>
              <w:rPr>
                <w:color w:val="auto"/>
                <w:kern w:val="0"/>
                <w:sz w:val="21"/>
                <w:szCs w:val="21"/>
                <w:lang w:val="zh-CN"/>
              </w:rPr>
              <w:t>0.9</w:t>
            </w:r>
          </w:p>
        </w:tc>
        <w:tc>
          <w:tcPr>
            <w:tcW w:w="431" w:type="pct"/>
            <w:vAlign w:val="center"/>
          </w:tcPr>
          <w:p w14:paraId="40875A60">
            <w:pPr>
              <w:widowControl/>
              <w:spacing w:line="240" w:lineRule="auto"/>
              <w:ind w:firstLine="0" w:firstLineChars="0"/>
              <w:jc w:val="center"/>
              <w:rPr>
                <w:color w:val="auto"/>
                <w:kern w:val="0"/>
                <w:sz w:val="21"/>
                <w:szCs w:val="21"/>
              </w:rPr>
            </w:pPr>
            <w:r>
              <w:rPr>
                <w:color w:val="auto"/>
                <w:kern w:val="0"/>
                <w:sz w:val="21"/>
                <w:szCs w:val="21"/>
              </w:rPr>
              <w:t>13.10</w:t>
            </w:r>
          </w:p>
        </w:tc>
        <w:tc>
          <w:tcPr>
            <w:tcW w:w="383" w:type="pct"/>
            <w:vAlign w:val="center"/>
          </w:tcPr>
          <w:p w14:paraId="23A2EC52">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40</w:t>
            </w:r>
          </w:p>
        </w:tc>
        <w:tc>
          <w:tcPr>
            <w:tcW w:w="432" w:type="pct"/>
            <w:vAlign w:val="center"/>
          </w:tcPr>
          <w:p w14:paraId="3C50B84B">
            <w:pPr>
              <w:widowControl/>
              <w:spacing w:line="240" w:lineRule="auto"/>
              <w:ind w:firstLine="0" w:firstLineChars="0"/>
              <w:jc w:val="center"/>
              <w:rPr>
                <w:color w:val="auto"/>
                <w:kern w:val="0"/>
                <w:sz w:val="21"/>
                <w:szCs w:val="21"/>
              </w:rPr>
            </w:pPr>
            <w:r>
              <w:rPr>
                <w:rFonts w:hint="eastAsia"/>
                <w:color w:val="auto"/>
                <w:kern w:val="0"/>
                <w:sz w:val="21"/>
                <w:szCs w:val="21"/>
              </w:rPr>
              <w:t>4200</w:t>
            </w:r>
          </w:p>
        </w:tc>
        <w:tc>
          <w:tcPr>
            <w:tcW w:w="480" w:type="pct"/>
            <w:vAlign w:val="center"/>
          </w:tcPr>
          <w:p w14:paraId="7FBAD90D">
            <w:pPr>
              <w:widowControl/>
              <w:spacing w:line="240" w:lineRule="auto"/>
              <w:ind w:firstLine="0" w:firstLineChars="0"/>
              <w:jc w:val="center"/>
              <w:rPr>
                <w:color w:val="auto"/>
                <w:kern w:val="0"/>
                <w:sz w:val="21"/>
                <w:szCs w:val="21"/>
                <w:lang w:val="zh-CN"/>
              </w:rPr>
            </w:pPr>
            <w:r>
              <w:rPr>
                <w:color w:val="auto"/>
                <w:kern w:val="0"/>
                <w:sz w:val="21"/>
                <w:szCs w:val="21"/>
                <w:lang w:val="zh-CN"/>
              </w:rPr>
              <w:t>连续</w:t>
            </w:r>
          </w:p>
        </w:tc>
        <w:tc>
          <w:tcPr>
            <w:tcW w:w="480" w:type="pct"/>
            <w:vAlign w:val="center"/>
          </w:tcPr>
          <w:p w14:paraId="3E25D6B0">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氨</w:t>
            </w:r>
          </w:p>
        </w:tc>
        <w:tc>
          <w:tcPr>
            <w:tcW w:w="502" w:type="pct"/>
            <w:vAlign w:val="center"/>
          </w:tcPr>
          <w:p w14:paraId="4CA9E74B">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0.058</w:t>
            </w:r>
          </w:p>
        </w:tc>
      </w:tr>
      <w:tr w14:paraId="5C976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20" w:type="pct"/>
            <w:vMerge w:val="restart"/>
            <w:vAlign w:val="center"/>
          </w:tcPr>
          <w:p w14:paraId="7F2C032C">
            <w:pPr>
              <w:widowControl/>
              <w:spacing w:line="240" w:lineRule="auto"/>
              <w:ind w:firstLine="0" w:firstLineChars="0"/>
              <w:jc w:val="center"/>
              <w:rPr>
                <w:color w:val="auto"/>
                <w:kern w:val="0"/>
                <w:sz w:val="21"/>
                <w:szCs w:val="21"/>
                <w:lang w:val="zh-CN"/>
              </w:rPr>
            </w:pPr>
            <w:r>
              <w:rPr>
                <w:color w:val="auto"/>
                <w:kern w:val="0"/>
                <w:sz w:val="21"/>
                <w:szCs w:val="21"/>
                <w:lang w:val="zh-CN"/>
              </w:rPr>
              <w:t>DA002</w:t>
            </w:r>
          </w:p>
        </w:tc>
        <w:tc>
          <w:tcPr>
            <w:tcW w:w="336" w:type="pct"/>
            <w:vMerge w:val="restart"/>
            <w:vAlign w:val="center"/>
          </w:tcPr>
          <w:p w14:paraId="56829DE1">
            <w:pPr>
              <w:widowControl/>
              <w:spacing w:line="240" w:lineRule="auto"/>
              <w:ind w:firstLine="0" w:firstLineChars="0"/>
              <w:jc w:val="center"/>
              <w:rPr>
                <w:color w:val="auto"/>
                <w:kern w:val="0"/>
                <w:sz w:val="21"/>
                <w:szCs w:val="21"/>
                <w:lang w:val="zh-CN"/>
              </w:rPr>
            </w:pPr>
            <w:r>
              <w:rPr>
                <w:rFonts w:hint="eastAsia"/>
                <w:color w:val="auto"/>
                <w:sz w:val="21"/>
                <w:szCs w:val="21"/>
              </w:rPr>
              <w:t>188</w:t>
            </w:r>
          </w:p>
        </w:tc>
        <w:tc>
          <w:tcPr>
            <w:tcW w:w="384" w:type="pct"/>
            <w:vMerge w:val="restart"/>
            <w:vAlign w:val="center"/>
          </w:tcPr>
          <w:p w14:paraId="6BEF93FB">
            <w:pPr>
              <w:widowControl/>
              <w:spacing w:line="240" w:lineRule="auto"/>
              <w:ind w:firstLine="0" w:firstLineChars="0"/>
              <w:jc w:val="center"/>
              <w:rPr>
                <w:color w:val="auto"/>
                <w:kern w:val="0"/>
                <w:sz w:val="21"/>
                <w:szCs w:val="21"/>
                <w:lang w:val="zh-CN"/>
              </w:rPr>
            </w:pPr>
            <w:r>
              <w:rPr>
                <w:rFonts w:hint="eastAsia"/>
                <w:color w:val="auto"/>
                <w:sz w:val="21"/>
                <w:szCs w:val="21"/>
              </w:rPr>
              <w:t>320</w:t>
            </w:r>
          </w:p>
        </w:tc>
        <w:tc>
          <w:tcPr>
            <w:tcW w:w="433" w:type="pct"/>
            <w:vMerge w:val="restart"/>
            <w:vAlign w:val="center"/>
          </w:tcPr>
          <w:p w14:paraId="610CFCD1">
            <w:pPr>
              <w:widowControl/>
              <w:spacing w:line="240" w:lineRule="auto"/>
              <w:ind w:firstLine="0" w:firstLineChars="0"/>
              <w:jc w:val="center"/>
              <w:rPr>
                <w:color w:val="auto"/>
                <w:kern w:val="0"/>
                <w:sz w:val="21"/>
                <w:szCs w:val="21"/>
                <w:lang w:val="zh-CN"/>
              </w:rPr>
            </w:pPr>
            <w:r>
              <w:rPr>
                <w:color w:val="auto"/>
                <w:kern w:val="0"/>
                <w:sz w:val="21"/>
                <w:szCs w:val="21"/>
                <w:lang w:val="zh-CN"/>
              </w:rPr>
              <w:t>2</w:t>
            </w:r>
          </w:p>
        </w:tc>
        <w:tc>
          <w:tcPr>
            <w:tcW w:w="335" w:type="pct"/>
            <w:vMerge w:val="restart"/>
            <w:vAlign w:val="center"/>
          </w:tcPr>
          <w:p w14:paraId="4A4BC8D9">
            <w:pPr>
              <w:widowControl/>
              <w:spacing w:line="240" w:lineRule="auto"/>
              <w:ind w:firstLine="0" w:firstLineChars="0"/>
              <w:jc w:val="center"/>
              <w:rPr>
                <w:color w:val="auto"/>
                <w:kern w:val="0"/>
                <w:sz w:val="21"/>
                <w:szCs w:val="21"/>
                <w:lang w:val="zh-CN"/>
              </w:rPr>
            </w:pPr>
            <w:r>
              <w:rPr>
                <w:color w:val="auto"/>
                <w:kern w:val="0"/>
                <w:sz w:val="21"/>
                <w:szCs w:val="21"/>
                <w:lang w:val="zh-CN"/>
              </w:rPr>
              <w:t>40</w:t>
            </w:r>
          </w:p>
        </w:tc>
        <w:tc>
          <w:tcPr>
            <w:tcW w:w="384" w:type="pct"/>
            <w:vMerge w:val="restart"/>
            <w:vAlign w:val="center"/>
          </w:tcPr>
          <w:p w14:paraId="58650E63">
            <w:pPr>
              <w:widowControl/>
              <w:spacing w:line="240" w:lineRule="auto"/>
              <w:ind w:firstLine="0" w:firstLineChars="0"/>
              <w:jc w:val="center"/>
              <w:rPr>
                <w:color w:val="auto"/>
                <w:kern w:val="0"/>
                <w:sz w:val="21"/>
                <w:szCs w:val="21"/>
                <w:lang w:val="zh-CN"/>
              </w:rPr>
            </w:pPr>
            <w:r>
              <w:rPr>
                <w:color w:val="auto"/>
                <w:kern w:val="0"/>
                <w:sz w:val="21"/>
                <w:szCs w:val="21"/>
                <w:lang w:val="zh-CN"/>
              </w:rPr>
              <w:t>0.</w:t>
            </w:r>
            <w:r>
              <w:rPr>
                <w:color w:val="auto"/>
                <w:kern w:val="0"/>
                <w:sz w:val="21"/>
                <w:szCs w:val="21"/>
              </w:rPr>
              <w:t>3</w:t>
            </w:r>
          </w:p>
        </w:tc>
        <w:tc>
          <w:tcPr>
            <w:tcW w:w="431" w:type="pct"/>
            <w:vMerge w:val="restart"/>
            <w:vAlign w:val="center"/>
          </w:tcPr>
          <w:p w14:paraId="37E5D8D6">
            <w:pPr>
              <w:widowControl/>
              <w:spacing w:line="240" w:lineRule="auto"/>
              <w:ind w:firstLine="0" w:firstLineChars="0"/>
              <w:jc w:val="center"/>
              <w:rPr>
                <w:color w:val="auto"/>
                <w:kern w:val="0"/>
                <w:sz w:val="21"/>
                <w:szCs w:val="21"/>
              </w:rPr>
            </w:pPr>
            <w:r>
              <w:rPr>
                <w:color w:val="auto"/>
                <w:kern w:val="0"/>
                <w:sz w:val="21"/>
                <w:szCs w:val="21"/>
              </w:rPr>
              <w:t>17.68</w:t>
            </w:r>
          </w:p>
        </w:tc>
        <w:tc>
          <w:tcPr>
            <w:tcW w:w="383" w:type="pct"/>
            <w:vMerge w:val="restart"/>
            <w:vAlign w:val="center"/>
          </w:tcPr>
          <w:p w14:paraId="07BC60A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20</w:t>
            </w:r>
          </w:p>
        </w:tc>
        <w:tc>
          <w:tcPr>
            <w:tcW w:w="432" w:type="pct"/>
            <w:vMerge w:val="restart"/>
            <w:vAlign w:val="center"/>
          </w:tcPr>
          <w:p w14:paraId="60D501D8">
            <w:pPr>
              <w:widowControl/>
              <w:spacing w:line="240" w:lineRule="auto"/>
              <w:ind w:firstLine="0" w:firstLineChars="0"/>
              <w:jc w:val="center"/>
              <w:rPr>
                <w:color w:val="auto"/>
                <w:kern w:val="0"/>
                <w:sz w:val="21"/>
                <w:szCs w:val="21"/>
              </w:rPr>
            </w:pPr>
            <w:r>
              <w:rPr>
                <w:rFonts w:hint="eastAsia"/>
                <w:color w:val="auto"/>
                <w:kern w:val="0"/>
                <w:sz w:val="21"/>
                <w:szCs w:val="21"/>
              </w:rPr>
              <w:t>5000</w:t>
            </w:r>
          </w:p>
        </w:tc>
        <w:tc>
          <w:tcPr>
            <w:tcW w:w="480" w:type="pct"/>
            <w:vMerge w:val="restart"/>
            <w:vAlign w:val="center"/>
          </w:tcPr>
          <w:p w14:paraId="66B49C20">
            <w:pPr>
              <w:widowControl/>
              <w:spacing w:line="240" w:lineRule="auto"/>
              <w:ind w:firstLine="0" w:firstLineChars="0"/>
              <w:jc w:val="center"/>
              <w:rPr>
                <w:color w:val="auto"/>
                <w:kern w:val="0"/>
                <w:sz w:val="21"/>
                <w:szCs w:val="21"/>
                <w:lang w:val="zh-CN"/>
              </w:rPr>
            </w:pPr>
            <w:r>
              <w:rPr>
                <w:color w:val="auto"/>
                <w:kern w:val="0"/>
                <w:sz w:val="21"/>
                <w:szCs w:val="21"/>
                <w:lang w:val="zh-CN"/>
              </w:rPr>
              <w:t>连续</w:t>
            </w:r>
          </w:p>
        </w:tc>
        <w:tc>
          <w:tcPr>
            <w:tcW w:w="480" w:type="pct"/>
            <w:vAlign w:val="center"/>
          </w:tcPr>
          <w:p w14:paraId="39D65D9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二氧化硫</w:t>
            </w:r>
          </w:p>
        </w:tc>
        <w:tc>
          <w:tcPr>
            <w:tcW w:w="502" w:type="pct"/>
            <w:vAlign w:val="center"/>
          </w:tcPr>
          <w:p w14:paraId="6FD1BEF3">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0.133</w:t>
            </w:r>
          </w:p>
        </w:tc>
      </w:tr>
      <w:tr w14:paraId="4CEA0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20" w:type="pct"/>
            <w:vMerge w:val="continue"/>
            <w:vAlign w:val="center"/>
          </w:tcPr>
          <w:p w14:paraId="36618BD9">
            <w:pPr>
              <w:widowControl/>
              <w:spacing w:line="240" w:lineRule="auto"/>
              <w:ind w:firstLine="0" w:firstLineChars="0"/>
              <w:jc w:val="center"/>
              <w:rPr>
                <w:color w:val="auto"/>
                <w:kern w:val="0"/>
                <w:sz w:val="21"/>
                <w:szCs w:val="21"/>
                <w:lang w:val="zh-CN"/>
              </w:rPr>
            </w:pPr>
          </w:p>
        </w:tc>
        <w:tc>
          <w:tcPr>
            <w:tcW w:w="336" w:type="pct"/>
            <w:vMerge w:val="continue"/>
            <w:vAlign w:val="center"/>
          </w:tcPr>
          <w:p w14:paraId="573EDB7F">
            <w:pPr>
              <w:widowControl/>
              <w:spacing w:line="240" w:lineRule="auto"/>
              <w:ind w:firstLine="0" w:firstLineChars="0"/>
              <w:jc w:val="center"/>
              <w:rPr>
                <w:color w:val="auto"/>
                <w:kern w:val="0"/>
                <w:sz w:val="21"/>
                <w:szCs w:val="21"/>
                <w:lang w:val="zh-CN"/>
              </w:rPr>
            </w:pPr>
          </w:p>
        </w:tc>
        <w:tc>
          <w:tcPr>
            <w:tcW w:w="384" w:type="pct"/>
            <w:vMerge w:val="continue"/>
            <w:vAlign w:val="center"/>
          </w:tcPr>
          <w:p w14:paraId="217784E9">
            <w:pPr>
              <w:widowControl/>
              <w:spacing w:line="240" w:lineRule="auto"/>
              <w:ind w:firstLine="0" w:firstLineChars="0"/>
              <w:jc w:val="center"/>
              <w:rPr>
                <w:color w:val="auto"/>
                <w:kern w:val="0"/>
                <w:sz w:val="21"/>
                <w:szCs w:val="21"/>
                <w:lang w:val="zh-CN"/>
              </w:rPr>
            </w:pPr>
          </w:p>
        </w:tc>
        <w:tc>
          <w:tcPr>
            <w:tcW w:w="433" w:type="pct"/>
            <w:vMerge w:val="continue"/>
            <w:vAlign w:val="center"/>
          </w:tcPr>
          <w:p w14:paraId="01329618">
            <w:pPr>
              <w:widowControl/>
              <w:spacing w:line="240" w:lineRule="auto"/>
              <w:ind w:firstLine="0" w:firstLineChars="0"/>
              <w:jc w:val="center"/>
              <w:rPr>
                <w:color w:val="auto"/>
                <w:kern w:val="0"/>
                <w:sz w:val="21"/>
                <w:szCs w:val="21"/>
                <w:lang w:val="zh-CN"/>
              </w:rPr>
            </w:pPr>
          </w:p>
        </w:tc>
        <w:tc>
          <w:tcPr>
            <w:tcW w:w="335" w:type="pct"/>
            <w:vMerge w:val="continue"/>
            <w:vAlign w:val="center"/>
          </w:tcPr>
          <w:p w14:paraId="0CB4DA15">
            <w:pPr>
              <w:widowControl/>
              <w:spacing w:line="240" w:lineRule="auto"/>
              <w:ind w:firstLine="0" w:firstLineChars="0"/>
              <w:jc w:val="center"/>
              <w:rPr>
                <w:color w:val="auto"/>
                <w:kern w:val="0"/>
                <w:sz w:val="21"/>
                <w:szCs w:val="21"/>
                <w:lang w:val="zh-CN"/>
              </w:rPr>
            </w:pPr>
          </w:p>
        </w:tc>
        <w:tc>
          <w:tcPr>
            <w:tcW w:w="384" w:type="pct"/>
            <w:vMerge w:val="continue"/>
            <w:vAlign w:val="center"/>
          </w:tcPr>
          <w:p w14:paraId="111F166C">
            <w:pPr>
              <w:widowControl/>
              <w:spacing w:line="240" w:lineRule="auto"/>
              <w:ind w:firstLine="0" w:firstLineChars="0"/>
              <w:jc w:val="center"/>
              <w:rPr>
                <w:color w:val="auto"/>
                <w:kern w:val="0"/>
                <w:sz w:val="21"/>
                <w:szCs w:val="21"/>
                <w:lang w:val="zh-CN"/>
              </w:rPr>
            </w:pPr>
          </w:p>
        </w:tc>
        <w:tc>
          <w:tcPr>
            <w:tcW w:w="431" w:type="pct"/>
            <w:vMerge w:val="continue"/>
            <w:vAlign w:val="center"/>
          </w:tcPr>
          <w:p w14:paraId="70ABF473">
            <w:pPr>
              <w:widowControl/>
              <w:spacing w:line="240" w:lineRule="auto"/>
              <w:ind w:firstLine="0" w:firstLineChars="0"/>
              <w:jc w:val="center"/>
              <w:rPr>
                <w:color w:val="auto"/>
                <w:kern w:val="0"/>
                <w:sz w:val="21"/>
                <w:szCs w:val="21"/>
              </w:rPr>
            </w:pPr>
          </w:p>
        </w:tc>
        <w:tc>
          <w:tcPr>
            <w:tcW w:w="383" w:type="pct"/>
            <w:vMerge w:val="continue"/>
            <w:vAlign w:val="center"/>
          </w:tcPr>
          <w:p w14:paraId="0FCDE5B7">
            <w:pPr>
              <w:widowControl/>
              <w:spacing w:line="240" w:lineRule="auto"/>
              <w:ind w:firstLine="0" w:firstLineChars="0"/>
              <w:jc w:val="center"/>
              <w:rPr>
                <w:color w:val="auto"/>
                <w:kern w:val="0"/>
                <w:sz w:val="21"/>
                <w:szCs w:val="21"/>
                <w:lang w:val="zh-CN"/>
              </w:rPr>
            </w:pPr>
          </w:p>
        </w:tc>
        <w:tc>
          <w:tcPr>
            <w:tcW w:w="432" w:type="pct"/>
            <w:vMerge w:val="continue"/>
            <w:vAlign w:val="center"/>
          </w:tcPr>
          <w:p w14:paraId="68F257FF">
            <w:pPr>
              <w:widowControl/>
              <w:spacing w:line="240" w:lineRule="auto"/>
              <w:ind w:firstLine="0" w:firstLineChars="0"/>
              <w:jc w:val="center"/>
              <w:rPr>
                <w:color w:val="auto"/>
                <w:kern w:val="0"/>
                <w:sz w:val="21"/>
                <w:szCs w:val="21"/>
              </w:rPr>
            </w:pPr>
          </w:p>
        </w:tc>
        <w:tc>
          <w:tcPr>
            <w:tcW w:w="480" w:type="pct"/>
            <w:vMerge w:val="continue"/>
            <w:vAlign w:val="center"/>
          </w:tcPr>
          <w:p w14:paraId="3426CC85">
            <w:pPr>
              <w:widowControl/>
              <w:spacing w:line="240" w:lineRule="auto"/>
              <w:ind w:firstLine="0" w:firstLineChars="0"/>
              <w:jc w:val="center"/>
              <w:rPr>
                <w:color w:val="auto"/>
                <w:kern w:val="0"/>
                <w:sz w:val="21"/>
                <w:szCs w:val="21"/>
                <w:lang w:val="zh-CN"/>
              </w:rPr>
            </w:pPr>
          </w:p>
        </w:tc>
        <w:tc>
          <w:tcPr>
            <w:tcW w:w="480" w:type="pct"/>
            <w:vAlign w:val="center"/>
          </w:tcPr>
          <w:p w14:paraId="4F80DFF5">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颗粒物</w:t>
            </w:r>
          </w:p>
        </w:tc>
        <w:tc>
          <w:tcPr>
            <w:tcW w:w="502" w:type="pct"/>
            <w:vAlign w:val="center"/>
          </w:tcPr>
          <w:p w14:paraId="1E1CAB73">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0.028</w:t>
            </w:r>
          </w:p>
        </w:tc>
      </w:tr>
    </w:tbl>
    <w:p w14:paraId="4A376507">
      <w:pPr>
        <w:ind w:firstLine="482"/>
        <w:jc w:val="center"/>
        <w:rPr>
          <w:b/>
          <w:bCs/>
          <w:color w:val="auto"/>
        </w:rPr>
      </w:pPr>
      <w:r>
        <w:rPr>
          <w:rFonts w:hint="eastAsia"/>
          <w:b/>
          <w:bCs/>
          <w:color w:val="auto"/>
        </w:rPr>
        <w:t xml:space="preserve">表6.1.2-2 </w:t>
      </w:r>
      <w:r>
        <w:rPr>
          <w:b/>
          <w:bCs/>
          <w:color w:val="auto"/>
        </w:rPr>
        <w:t>本项目正常工况下</w:t>
      </w:r>
      <w:r>
        <w:rPr>
          <w:rFonts w:hint="eastAsia"/>
          <w:b/>
          <w:bCs/>
          <w:color w:val="auto"/>
        </w:rPr>
        <w:t>面源</w:t>
      </w:r>
      <w:r>
        <w:rPr>
          <w:b/>
          <w:bCs/>
          <w:color w:val="auto"/>
        </w:rPr>
        <w:t>源强参数调查</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1224"/>
        <w:gridCol w:w="1233"/>
        <w:gridCol w:w="1366"/>
        <w:gridCol w:w="1047"/>
        <w:gridCol w:w="1047"/>
        <w:gridCol w:w="1156"/>
        <w:gridCol w:w="1455"/>
        <w:gridCol w:w="1372"/>
        <w:gridCol w:w="1017"/>
        <w:gridCol w:w="1015"/>
        <w:gridCol w:w="1012"/>
      </w:tblGrid>
      <w:tr w14:paraId="14930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23" w:type="pct"/>
            <w:vMerge w:val="restart"/>
            <w:vAlign w:val="center"/>
          </w:tcPr>
          <w:p w14:paraId="4A2B8EB1">
            <w:pPr>
              <w:widowControl/>
              <w:spacing w:line="240" w:lineRule="auto"/>
              <w:ind w:firstLine="0" w:firstLineChars="0"/>
              <w:jc w:val="center"/>
              <w:rPr>
                <w:color w:val="auto"/>
                <w:kern w:val="0"/>
                <w:sz w:val="21"/>
                <w:szCs w:val="21"/>
                <w:lang w:val="zh-CN"/>
              </w:rPr>
            </w:pPr>
            <w:r>
              <w:rPr>
                <w:color w:val="auto"/>
                <w:kern w:val="0"/>
                <w:sz w:val="21"/>
                <w:szCs w:val="21"/>
                <w:lang w:val="zh-CN"/>
              </w:rPr>
              <w:t>名称</w:t>
            </w:r>
          </w:p>
        </w:tc>
        <w:tc>
          <w:tcPr>
            <w:tcW w:w="831" w:type="pct"/>
            <w:gridSpan w:val="2"/>
            <w:vAlign w:val="center"/>
          </w:tcPr>
          <w:p w14:paraId="040DEB47">
            <w:pPr>
              <w:widowControl/>
              <w:spacing w:line="240" w:lineRule="auto"/>
              <w:ind w:firstLine="0" w:firstLineChars="0"/>
              <w:jc w:val="center"/>
              <w:rPr>
                <w:color w:val="auto"/>
                <w:kern w:val="0"/>
                <w:sz w:val="21"/>
                <w:szCs w:val="21"/>
                <w:lang w:val="zh-CN"/>
              </w:rPr>
            </w:pPr>
            <w:r>
              <w:rPr>
                <w:color w:val="auto"/>
                <w:kern w:val="0"/>
                <w:sz w:val="21"/>
                <w:szCs w:val="21"/>
                <w:lang w:val="zh-CN"/>
              </w:rPr>
              <w:t>面源起点坐标/m</w:t>
            </w:r>
          </w:p>
        </w:tc>
        <w:tc>
          <w:tcPr>
            <w:tcW w:w="462" w:type="pct"/>
            <w:vMerge w:val="restart"/>
            <w:vAlign w:val="center"/>
          </w:tcPr>
          <w:p w14:paraId="2507C781">
            <w:pPr>
              <w:widowControl/>
              <w:spacing w:line="240" w:lineRule="auto"/>
              <w:ind w:firstLine="0" w:firstLineChars="0"/>
              <w:jc w:val="center"/>
              <w:rPr>
                <w:color w:val="auto"/>
                <w:kern w:val="0"/>
                <w:sz w:val="21"/>
                <w:szCs w:val="21"/>
                <w:lang w:val="zh-CN"/>
              </w:rPr>
            </w:pPr>
            <w:r>
              <w:rPr>
                <w:color w:val="auto"/>
                <w:kern w:val="0"/>
                <w:sz w:val="21"/>
                <w:szCs w:val="21"/>
                <w:lang w:val="zh-CN"/>
              </w:rPr>
              <w:t>面源海拔高度/m</w:t>
            </w:r>
          </w:p>
        </w:tc>
        <w:tc>
          <w:tcPr>
            <w:tcW w:w="354" w:type="pct"/>
            <w:vMerge w:val="restart"/>
            <w:vAlign w:val="center"/>
          </w:tcPr>
          <w:p w14:paraId="367D68FF">
            <w:pPr>
              <w:widowControl/>
              <w:spacing w:line="240" w:lineRule="auto"/>
              <w:ind w:firstLine="0" w:firstLineChars="0"/>
              <w:jc w:val="center"/>
              <w:rPr>
                <w:color w:val="auto"/>
                <w:kern w:val="0"/>
                <w:sz w:val="21"/>
                <w:szCs w:val="21"/>
                <w:lang w:val="zh-CN"/>
              </w:rPr>
            </w:pPr>
            <w:r>
              <w:rPr>
                <w:color w:val="auto"/>
                <w:kern w:val="0"/>
                <w:sz w:val="21"/>
                <w:szCs w:val="21"/>
                <w:lang w:val="zh-CN"/>
              </w:rPr>
              <w:t>面源长度/m</w:t>
            </w:r>
          </w:p>
        </w:tc>
        <w:tc>
          <w:tcPr>
            <w:tcW w:w="354" w:type="pct"/>
            <w:vMerge w:val="restart"/>
            <w:vAlign w:val="center"/>
          </w:tcPr>
          <w:p w14:paraId="0431BCE8">
            <w:pPr>
              <w:widowControl/>
              <w:spacing w:line="240" w:lineRule="auto"/>
              <w:ind w:firstLine="0" w:firstLineChars="0"/>
              <w:jc w:val="center"/>
              <w:rPr>
                <w:color w:val="auto"/>
                <w:kern w:val="0"/>
                <w:sz w:val="21"/>
                <w:szCs w:val="21"/>
                <w:lang w:val="zh-CN"/>
              </w:rPr>
            </w:pPr>
            <w:r>
              <w:rPr>
                <w:color w:val="auto"/>
                <w:kern w:val="0"/>
                <w:sz w:val="21"/>
                <w:szCs w:val="21"/>
                <w:lang w:val="zh-CN"/>
              </w:rPr>
              <w:t>面源宽度/m</w:t>
            </w:r>
          </w:p>
        </w:tc>
        <w:tc>
          <w:tcPr>
            <w:tcW w:w="391" w:type="pct"/>
            <w:vMerge w:val="restart"/>
            <w:vAlign w:val="center"/>
          </w:tcPr>
          <w:p w14:paraId="0328C197">
            <w:pPr>
              <w:widowControl/>
              <w:spacing w:line="240" w:lineRule="auto"/>
              <w:ind w:firstLine="0" w:firstLineChars="0"/>
              <w:jc w:val="center"/>
              <w:rPr>
                <w:color w:val="auto"/>
                <w:kern w:val="0"/>
                <w:sz w:val="21"/>
                <w:szCs w:val="21"/>
                <w:lang w:val="zh-CN"/>
              </w:rPr>
            </w:pPr>
            <w:r>
              <w:rPr>
                <w:color w:val="auto"/>
                <w:kern w:val="0"/>
                <w:sz w:val="21"/>
                <w:szCs w:val="21"/>
                <w:lang w:val="zh-CN"/>
              </w:rPr>
              <w:t>与正北向夹角/°</w:t>
            </w:r>
          </w:p>
        </w:tc>
        <w:tc>
          <w:tcPr>
            <w:tcW w:w="492" w:type="pct"/>
            <w:vMerge w:val="restart"/>
            <w:vAlign w:val="center"/>
          </w:tcPr>
          <w:p w14:paraId="4D975EE6">
            <w:pPr>
              <w:widowControl/>
              <w:spacing w:line="240" w:lineRule="auto"/>
              <w:ind w:firstLine="0" w:firstLineChars="0"/>
              <w:jc w:val="center"/>
              <w:rPr>
                <w:color w:val="auto"/>
                <w:kern w:val="0"/>
                <w:sz w:val="21"/>
                <w:szCs w:val="21"/>
                <w:lang w:val="zh-CN"/>
              </w:rPr>
            </w:pPr>
            <w:r>
              <w:rPr>
                <w:color w:val="auto"/>
                <w:kern w:val="0"/>
                <w:sz w:val="21"/>
                <w:szCs w:val="21"/>
                <w:lang w:val="zh-CN"/>
              </w:rPr>
              <w:t>面源有效排放高度/m</w:t>
            </w:r>
          </w:p>
        </w:tc>
        <w:tc>
          <w:tcPr>
            <w:tcW w:w="464" w:type="pct"/>
            <w:vMerge w:val="restart"/>
            <w:vAlign w:val="center"/>
          </w:tcPr>
          <w:p w14:paraId="43207B5E">
            <w:pPr>
              <w:widowControl/>
              <w:spacing w:line="240" w:lineRule="auto"/>
              <w:ind w:firstLine="0" w:firstLineChars="0"/>
              <w:jc w:val="center"/>
              <w:rPr>
                <w:color w:val="auto"/>
                <w:kern w:val="0"/>
                <w:sz w:val="21"/>
                <w:szCs w:val="21"/>
                <w:lang w:val="zh-CN"/>
              </w:rPr>
            </w:pPr>
            <w:r>
              <w:rPr>
                <w:color w:val="auto"/>
                <w:kern w:val="0"/>
                <w:sz w:val="21"/>
                <w:szCs w:val="21"/>
                <w:lang w:val="zh-CN"/>
              </w:rPr>
              <w:t>年排放小时数/h</w:t>
            </w:r>
          </w:p>
        </w:tc>
        <w:tc>
          <w:tcPr>
            <w:tcW w:w="344" w:type="pct"/>
            <w:vMerge w:val="restart"/>
            <w:vAlign w:val="center"/>
          </w:tcPr>
          <w:p w14:paraId="50299F83">
            <w:pPr>
              <w:widowControl/>
              <w:spacing w:line="240" w:lineRule="auto"/>
              <w:ind w:firstLine="0" w:firstLineChars="0"/>
              <w:jc w:val="center"/>
              <w:rPr>
                <w:color w:val="auto"/>
                <w:kern w:val="0"/>
                <w:sz w:val="21"/>
                <w:szCs w:val="21"/>
                <w:lang w:val="zh-CN"/>
              </w:rPr>
            </w:pPr>
            <w:r>
              <w:rPr>
                <w:color w:val="auto"/>
                <w:kern w:val="0"/>
                <w:sz w:val="21"/>
                <w:szCs w:val="21"/>
                <w:lang w:val="zh-CN"/>
              </w:rPr>
              <w:t>排放工况</w:t>
            </w:r>
          </w:p>
        </w:tc>
        <w:tc>
          <w:tcPr>
            <w:tcW w:w="685" w:type="pct"/>
            <w:gridSpan w:val="2"/>
            <w:vAlign w:val="center"/>
          </w:tcPr>
          <w:p w14:paraId="67D940AD">
            <w:pPr>
              <w:widowControl/>
              <w:spacing w:line="240" w:lineRule="auto"/>
              <w:ind w:firstLine="0" w:firstLineChars="0"/>
              <w:jc w:val="center"/>
              <w:rPr>
                <w:color w:val="auto"/>
                <w:kern w:val="0"/>
                <w:sz w:val="21"/>
                <w:szCs w:val="21"/>
                <w:lang w:val="zh-CN"/>
              </w:rPr>
            </w:pPr>
            <w:r>
              <w:rPr>
                <w:color w:val="auto"/>
                <w:sz w:val="21"/>
                <w:szCs w:val="21"/>
              </w:rPr>
              <w:t>源强(kg/h)</w:t>
            </w:r>
          </w:p>
        </w:tc>
      </w:tr>
      <w:tr w14:paraId="4F85A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23" w:type="pct"/>
            <w:vMerge w:val="continue"/>
            <w:vAlign w:val="center"/>
          </w:tcPr>
          <w:p w14:paraId="68D02FF5">
            <w:pPr>
              <w:widowControl/>
              <w:spacing w:line="240" w:lineRule="auto"/>
              <w:ind w:firstLine="0" w:firstLineChars="0"/>
              <w:jc w:val="center"/>
              <w:rPr>
                <w:color w:val="auto"/>
                <w:kern w:val="0"/>
                <w:sz w:val="21"/>
                <w:szCs w:val="21"/>
                <w:lang w:val="zh-CN"/>
              </w:rPr>
            </w:pPr>
          </w:p>
        </w:tc>
        <w:tc>
          <w:tcPr>
            <w:tcW w:w="414" w:type="pct"/>
            <w:vAlign w:val="center"/>
          </w:tcPr>
          <w:p w14:paraId="15CCC9D6">
            <w:pPr>
              <w:widowControl/>
              <w:spacing w:line="240" w:lineRule="auto"/>
              <w:ind w:firstLine="0" w:firstLineChars="0"/>
              <w:jc w:val="center"/>
              <w:rPr>
                <w:color w:val="auto"/>
                <w:kern w:val="0"/>
                <w:sz w:val="21"/>
                <w:szCs w:val="21"/>
                <w:lang w:val="zh-CN"/>
              </w:rPr>
            </w:pPr>
            <w:r>
              <w:rPr>
                <w:color w:val="auto"/>
                <w:kern w:val="0"/>
                <w:sz w:val="21"/>
                <w:szCs w:val="21"/>
                <w:lang w:val="zh-CN"/>
              </w:rPr>
              <w:t>X</w:t>
            </w:r>
          </w:p>
        </w:tc>
        <w:tc>
          <w:tcPr>
            <w:tcW w:w="417" w:type="pct"/>
            <w:vAlign w:val="center"/>
          </w:tcPr>
          <w:p w14:paraId="6C67C592">
            <w:pPr>
              <w:widowControl/>
              <w:spacing w:line="240" w:lineRule="auto"/>
              <w:ind w:firstLine="0" w:firstLineChars="0"/>
              <w:jc w:val="center"/>
              <w:rPr>
                <w:color w:val="auto"/>
                <w:kern w:val="0"/>
                <w:sz w:val="21"/>
                <w:szCs w:val="21"/>
                <w:lang w:val="zh-CN"/>
              </w:rPr>
            </w:pPr>
            <w:r>
              <w:rPr>
                <w:color w:val="auto"/>
                <w:kern w:val="0"/>
                <w:sz w:val="21"/>
                <w:szCs w:val="21"/>
                <w:lang w:val="zh-CN"/>
              </w:rPr>
              <w:t>Y</w:t>
            </w:r>
          </w:p>
        </w:tc>
        <w:tc>
          <w:tcPr>
            <w:tcW w:w="462" w:type="pct"/>
            <w:vMerge w:val="continue"/>
            <w:vAlign w:val="center"/>
          </w:tcPr>
          <w:p w14:paraId="64136008">
            <w:pPr>
              <w:widowControl/>
              <w:spacing w:line="240" w:lineRule="auto"/>
              <w:ind w:firstLine="0" w:firstLineChars="0"/>
              <w:jc w:val="center"/>
              <w:rPr>
                <w:color w:val="auto"/>
                <w:kern w:val="0"/>
                <w:sz w:val="21"/>
                <w:szCs w:val="21"/>
                <w:lang w:val="zh-CN"/>
              </w:rPr>
            </w:pPr>
          </w:p>
        </w:tc>
        <w:tc>
          <w:tcPr>
            <w:tcW w:w="354" w:type="pct"/>
            <w:vMerge w:val="continue"/>
            <w:vAlign w:val="center"/>
          </w:tcPr>
          <w:p w14:paraId="5658059F">
            <w:pPr>
              <w:widowControl/>
              <w:spacing w:line="240" w:lineRule="auto"/>
              <w:ind w:firstLine="0" w:firstLineChars="0"/>
              <w:jc w:val="center"/>
              <w:rPr>
                <w:color w:val="auto"/>
                <w:kern w:val="0"/>
                <w:sz w:val="21"/>
                <w:szCs w:val="21"/>
                <w:lang w:val="zh-CN"/>
              </w:rPr>
            </w:pPr>
          </w:p>
        </w:tc>
        <w:tc>
          <w:tcPr>
            <w:tcW w:w="354" w:type="pct"/>
            <w:vMerge w:val="continue"/>
            <w:vAlign w:val="center"/>
          </w:tcPr>
          <w:p w14:paraId="09DC8220">
            <w:pPr>
              <w:widowControl/>
              <w:spacing w:line="240" w:lineRule="auto"/>
              <w:ind w:firstLine="0" w:firstLineChars="0"/>
              <w:jc w:val="center"/>
              <w:rPr>
                <w:color w:val="auto"/>
                <w:kern w:val="0"/>
                <w:sz w:val="21"/>
                <w:szCs w:val="21"/>
                <w:lang w:val="zh-CN"/>
              </w:rPr>
            </w:pPr>
          </w:p>
        </w:tc>
        <w:tc>
          <w:tcPr>
            <w:tcW w:w="391" w:type="pct"/>
            <w:vMerge w:val="continue"/>
            <w:vAlign w:val="center"/>
          </w:tcPr>
          <w:p w14:paraId="6B78C589">
            <w:pPr>
              <w:widowControl/>
              <w:spacing w:line="240" w:lineRule="auto"/>
              <w:ind w:firstLine="0" w:firstLineChars="0"/>
              <w:jc w:val="center"/>
              <w:rPr>
                <w:color w:val="auto"/>
                <w:kern w:val="0"/>
                <w:sz w:val="21"/>
                <w:szCs w:val="21"/>
                <w:lang w:val="zh-CN"/>
              </w:rPr>
            </w:pPr>
          </w:p>
        </w:tc>
        <w:tc>
          <w:tcPr>
            <w:tcW w:w="492" w:type="pct"/>
            <w:vMerge w:val="continue"/>
            <w:vAlign w:val="center"/>
          </w:tcPr>
          <w:p w14:paraId="133F16A7">
            <w:pPr>
              <w:widowControl/>
              <w:spacing w:line="240" w:lineRule="auto"/>
              <w:ind w:firstLine="0" w:firstLineChars="0"/>
              <w:jc w:val="center"/>
              <w:rPr>
                <w:color w:val="auto"/>
                <w:kern w:val="0"/>
                <w:sz w:val="21"/>
                <w:szCs w:val="21"/>
                <w:lang w:val="zh-CN"/>
              </w:rPr>
            </w:pPr>
          </w:p>
        </w:tc>
        <w:tc>
          <w:tcPr>
            <w:tcW w:w="464" w:type="pct"/>
            <w:vMerge w:val="continue"/>
            <w:vAlign w:val="center"/>
          </w:tcPr>
          <w:p w14:paraId="7654BE23">
            <w:pPr>
              <w:widowControl/>
              <w:spacing w:line="240" w:lineRule="auto"/>
              <w:ind w:firstLine="0" w:firstLineChars="0"/>
              <w:jc w:val="center"/>
              <w:rPr>
                <w:color w:val="auto"/>
                <w:kern w:val="0"/>
                <w:sz w:val="21"/>
                <w:szCs w:val="21"/>
                <w:lang w:val="zh-CN"/>
              </w:rPr>
            </w:pPr>
          </w:p>
        </w:tc>
        <w:tc>
          <w:tcPr>
            <w:tcW w:w="344" w:type="pct"/>
            <w:vMerge w:val="continue"/>
            <w:vAlign w:val="center"/>
          </w:tcPr>
          <w:p w14:paraId="2C0F2AC5">
            <w:pPr>
              <w:widowControl/>
              <w:spacing w:line="240" w:lineRule="auto"/>
              <w:ind w:firstLine="0" w:firstLineChars="0"/>
              <w:jc w:val="center"/>
              <w:rPr>
                <w:color w:val="auto"/>
                <w:kern w:val="0"/>
                <w:sz w:val="21"/>
                <w:szCs w:val="21"/>
                <w:lang w:val="zh-CN"/>
              </w:rPr>
            </w:pPr>
          </w:p>
        </w:tc>
        <w:tc>
          <w:tcPr>
            <w:tcW w:w="343" w:type="pct"/>
            <w:vAlign w:val="center"/>
          </w:tcPr>
          <w:p w14:paraId="5CE88A53">
            <w:pPr>
              <w:widowControl/>
              <w:spacing w:line="240" w:lineRule="auto"/>
              <w:ind w:firstLine="0" w:firstLineChars="0"/>
              <w:jc w:val="center"/>
              <w:rPr>
                <w:color w:val="auto"/>
                <w:kern w:val="0"/>
                <w:sz w:val="21"/>
                <w:szCs w:val="21"/>
                <w:lang w:val="zh-CN"/>
              </w:rPr>
            </w:pPr>
            <w:r>
              <w:rPr>
                <w:rFonts w:hint="eastAsia"/>
                <w:color w:val="auto"/>
                <w:sz w:val="21"/>
                <w:szCs w:val="21"/>
              </w:rPr>
              <w:t>污染物</w:t>
            </w:r>
          </w:p>
        </w:tc>
        <w:tc>
          <w:tcPr>
            <w:tcW w:w="342" w:type="pct"/>
            <w:vAlign w:val="center"/>
          </w:tcPr>
          <w:p w14:paraId="600F8C49">
            <w:pPr>
              <w:widowControl/>
              <w:spacing w:line="240" w:lineRule="auto"/>
              <w:ind w:firstLine="0" w:firstLineChars="0"/>
              <w:jc w:val="center"/>
              <w:rPr>
                <w:color w:val="auto"/>
                <w:kern w:val="0"/>
                <w:sz w:val="21"/>
                <w:szCs w:val="21"/>
                <w:lang w:val="zh-CN"/>
              </w:rPr>
            </w:pPr>
            <w:r>
              <w:rPr>
                <w:rFonts w:hint="eastAsia"/>
                <w:color w:val="auto"/>
                <w:sz w:val="21"/>
                <w:szCs w:val="21"/>
              </w:rPr>
              <w:t>源强</w:t>
            </w:r>
          </w:p>
        </w:tc>
      </w:tr>
      <w:tr w14:paraId="2E90A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23" w:type="pct"/>
            <w:vAlign w:val="center"/>
          </w:tcPr>
          <w:p w14:paraId="55B9242E">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w:t>
            </w:r>
            <w:r>
              <w:rPr>
                <w:color w:val="auto"/>
                <w:kern w:val="0"/>
                <w:sz w:val="21"/>
                <w:szCs w:val="21"/>
              </w:rPr>
              <w:t>戊类罐区</w:t>
            </w:r>
          </w:p>
        </w:tc>
        <w:tc>
          <w:tcPr>
            <w:tcW w:w="414" w:type="pct"/>
            <w:vAlign w:val="center"/>
          </w:tcPr>
          <w:p w14:paraId="3AADCEF4">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106</w:t>
            </w:r>
          </w:p>
        </w:tc>
        <w:tc>
          <w:tcPr>
            <w:tcW w:w="417" w:type="pct"/>
            <w:vAlign w:val="center"/>
          </w:tcPr>
          <w:p w14:paraId="38E9431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420</w:t>
            </w:r>
          </w:p>
        </w:tc>
        <w:tc>
          <w:tcPr>
            <w:tcW w:w="462" w:type="pct"/>
            <w:vAlign w:val="center"/>
          </w:tcPr>
          <w:p w14:paraId="67C01BD4">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2</w:t>
            </w:r>
          </w:p>
        </w:tc>
        <w:tc>
          <w:tcPr>
            <w:tcW w:w="354" w:type="pct"/>
            <w:vAlign w:val="center"/>
          </w:tcPr>
          <w:p w14:paraId="4FF8769F">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25</w:t>
            </w:r>
          </w:p>
        </w:tc>
        <w:tc>
          <w:tcPr>
            <w:tcW w:w="354" w:type="pct"/>
            <w:vAlign w:val="center"/>
          </w:tcPr>
          <w:p w14:paraId="09EB8D1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20</w:t>
            </w:r>
          </w:p>
        </w:tc>
        <w:tc>
          <w:tcPr>
            <w:tcW w:w="391" w:type="pct"/>
            <w:vAlign w:val="center"/>
          </w:tcPr>
          <w:p w14:paraId="2C90E208">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150</w:t>
            </w:r>
          </w:p>
        </w:tc>
        <w:tc>
          <w:tcPr>
            <w:tcW w:w="492" w:type="pct"/>
            <w:vAlign w:val="center"/>
          </w:tcPr>
          <w:p w14:paraId="4D3C209A">
            <w:pPr>
              <w:widowControl/>
              <w:spacing w:line="240" w:lineRule="auto"/>
              <w:ind w:firstLine="0" w:firstLineChars="0"/>
              <w:jc w:val="center"/>
              <w:rPr>
                <w:color w:val="auto"/>
                <w:kern w:val="0"/>
                <w:sz w:val="21"/>
                <w:szCs w:val="21"/>
                <w:lang w:val="zh-CN"/>
              </w:rPr>
            </w:pPr>
            <w:r>
              <w:rPr>
                <w:rFonts w:hint="eastAsia"/>
                <w:color w:val="auto"/>
                <w:kern w:val="0"/>
                <w:sz w:val="21"/>
                <w:szCs w:val="21"/>
              </w:rPr>
              <w:t>7</w:t>
            </w:r>
          </w:p>
        </w:tc>
        <w:tc>
          <w:tcPr>
            <w:tcW w:w="464" w:type="pct"/>
            <w:vAlign w:val="center"/>
          </w:tcPr>
          <w:p w14:paraId="16BB89AB">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7200</w:t>
            </w:r>
          </w:p>
        </w:tc>
        <w:tc>
          <w:tcPr>
            <w:tcW w:w="344" w:type="pct"/>
            <w:vAlign w:val="center"/>
          </w:tcPr>
          <w:p w14:paraId="339D10CE">
            <w:pPr>
              <w:widowControl/>
              <w:spacing w:line="240" w:lineRule="auto"/>
              <w:ind w:firstLine="0" w:firstLineChars="0"/>
              <w:jc w:val="center"/>
              <w:rPr>
                <w:color w:val="auto"/>
                <w:kern w:val="0"/>
                <w:sz w:val="21"/>
                <w:szCs w:val="21"/>
                <w:lang w:val="zh-CN"/>
              </w:rPr>
            </w:pPr>
            <w:r>
              <w:rPr>
                <w:color w:val="auto"/>
                <w:kern w:val="0"/>
                <w:sz w:val="21"/>
                <w:szCs w:val="21"/>
                <w:lang w:val="zh-CN"/>
              </w:rPr>
              <w:t>连续</w:t>
            </w:r>
          </w:p>
        </w:tc>
        <w:tc>
          <w:tcPr>
            <w:tcW w:w="343" w:type="pct"/>
            <w:vAlign w:val="center"/>
          </w:tcPr>
          <w:p w14:paraId="2B9A84B5">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氨</w:t>
            </w:r>
          </w:p>
        </w:tc>
        <w:tc>
          <w:tcPr>
            <w:tcW w:w="342" w:type="pct"/>
            <w:vAlign w:val="center"/>
          </w:tcPr>
          <w:p w14:paraId="61E1CD5F">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0.0003</w:t>
            </w:r>
          </w:p>
        </w:tc>
      </w:tr>
    </w:tbl>
    <w:p w14:paraId="29A7DD8F">
      <w:pPr>
        <w:ind w:firstLine="482"/>
        <w:jc w:val="center"/>
        <w:rPr>
          <w:b/>
          <w:color w:val="auto"/>
        </w:rPr>
      </w:pPr>
      <w:r>
        <w:rPr>
          <w:b/>
          <w:color w:val="auto"/>
        </w:rPr>
        <w:t>表6.1.</w:t>
      </w:r>
      <w:r>
        <w:rPr>
          <w:rFonts w:hint="eastAsia"/>
          <w:b/>
          <w:color w:val="auto"/>
        </w:rPr>
        <w:t>2</w:t>
      </w:r>
      <w:r>
        <w:rPr>
          <w:b/>
          <w:color w:val="auto"/>
        </w:rPr>
        <w:t>-</w:t>
      </w:r>
      <w:r>
        <w:rPr>
          <w:rFonts w:hint="eastAsia"/>
          <w:b/>
          <w:color w:val="auto"/>
        </w:rPr>
        <w:t>3</w:t>
      </w:r>
      <w:r>
        <w:rPr>
          <w:b/>
          <w:color w:val="auto"/>
        </w:rPr>
        <w:t xml:space="preserve"> 非正常工况下点源源强参数调查</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2206"/>
        <w:gridCol w:w="3328"/>
        <w:gridCol w:w="3387"/>
        <w:gridCol w:w="2263"/>
        <w:gridCol w:w="2106"/>
      </w:tblGrid>
      <w:tr w14:paraId="0FB68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Align w:val="center"/>
          </w:tcPr>
          <w:p w14:paraId="27EB8F37">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污染源</w:t>
            </w:r>
          </w:p>
        </w:tc>
        <w:tc>
          <w:tcPr>
            <w:tcW w:w="746" w:type="pct"/>
            <w:vAlign w:val="center"/>
          </w:tcPr>
          <w:p w14:paraId="12E209C6">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非正常排放原因</w:t>
            </w:r>
          </w:p>
        </w:tc>
        <w:tc>
          <w:tcPr>
            <w:tcW w:w="1125" w:type="pct"/>
            <w:vAlign w:val="center"/>
          </w:tcPr>
          <w:p w14:paraId="049DADC7">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污染物</w:t>
            </w:r>
          </w:p>
        </w:tc>
        <w:tc>
          <w:tcPr>
            <w:tcW w:w="1145" w:type="pct"/>
            <w:vAlign w:val="center"/>
          </w:tcPr>
          <w:p w14:paraId="30204B4A">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非正常排放速率(kg/h)</w:t>
            </w:r>
          </w:p>
        </w:tc>
        <w:tc>
          <w:tcPr>
            <w:tcW w:w="765" w:type="pct"/>
            <w:vAlign w:val="center"/>
          </w:tcPr>
          <w:p w14:paraId="61F51EDC">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单次持续时间/h</w:t>
            </w:r>
          </w:p>
        </w:tc>
        <w:tc>
          <w:tcPr>
            <w:tcW w:w="712" w:type="pct"/>
            <w:vAlign w:val="center"/>
          </w:tcPr>
          <w:p w14:paraId="13ADDAFB">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年发生频次/次</w:t>
            </w:r>
          </w:p>
        </w:tc>
      </w:tr>
      <w:tr w14:paraId="1BB3A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Align w:val="center"/>
          </w:tcPr>
          <w:p w14:paraId="68A83497">
            <w:pPr>
              <w:widowControl/>
              <w:spacing w:line="240" w:lineRule="auto"/>
              <w:ind w:firstLine="0" w:firstLineChars="0"/>
              <w:jc w:val="center"/>
              <w:rPr>
                <w:color w:val="auto"/>
                <w:kern w:val="0"/>
                <w:sz w:val="21"/>
                <w:szCs w:val="21"/>
                <w:lang w:val="zh-CN"/>
              </w:rPr>
            </w:pPr>
            <w:r>
              <w:rPr>
                <w:color w:val="auto"/>
                <w:kern w:val="0"/>
                <w:sz w:val="21"/>
                <w:szCs w:val="21"/>
                <w:lang w:val="zh-CN"/>
              </w:rPr>
              <w:t>DA00</w:t>
            </w:r>
            <w:r>
              <w:rPr>
                <w:rFonts w:hint="eastAsia"/>
                <w:color w:val="auto"/>
                <w:kern w:val="0"/>
                <w:sz w:val="21"/>
                <w:szCs w:val="21"/>
                <w:lang w:val="zh-CN"/>
              </w:rPr>
              <w:t>1</w:t>
            </w:r>
          </w:p>
        </w:tc>
        <w:tc>
          <w:tcPr>
            <w:tcW w:w="746" w:type="pct"/>
            <w:vMerge w:val="restart"/>
            <w:vAlign w:val="center"/>
          </w:tcPr>
          <w:p w14:paraId="17F669B6">
            <w:pPr>
              <w:widowControl/>
              <w:spacing w:line="240" w:lineRule="auto"/>
              <w:ind w:firstLine="0" w:firstLineChars="0"/>
              <w:jc w:val="center"/>
              <w:rPr>
                <w:color w:val="auto"/>
                <w:kern w:val="0"/>
                <w:sz w:val="21"/>
                <w:szCs w:val="21"/>
                <w:lang w:val="zh-CN"/>
              </w:rPr>
            </w:pPr>
            <w:r>
              <w:rPr>
                <w:color w:val="auto"/>
                <w:kern w:val="0"/>
                <w:sz w:val="21"/>
                <w:szCs w:val="21"/>
                <w:lang w:val="zh-CN"/>
              </w:rPr>
              <w:t>废气处理设施出现故障</w:t>
            </w:r>
          </w:p>
        </w:tc>
        <w:tc>
          <w:tcPr>
            <w:tcW w:w="1125" w:type="pct"/>
            <w:vAlign w:val="center"/>
          </w:tcPr>
          <w:p w14:paraId="63423153">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氨</w:t>
            </w:r>
          </w:p>
        </w:tc>
        <w:tc>
          <w:tcPr>
            <w:tcW w:w="1145" w:type="pct"/>
            <w:vAlign w:val="center"/>
          </w:tcPr>
          <w:p w14:paraId="7D6B1E8E">
            <w:pPr>
              <w:widowControl/>
              <w:spacing w:line="240" w:lineRule="auto"/>
              <w:ind w:firstLine="0" w:firstLineChars="0"/>
              <w:jc w:val="center"/>
              <w:rPr>
                <w:color w:val="auto"/>
                <w:kern w:val="0"/>
                <w:sz w:val="21"/>
                <w:szCs w:val="21"/>
              </w:rPr>
            </w:pPr>
            <w:r>
              <w:rPr>
                <w:color w:val="auto"/>
                <w:kern w:val="0"/>
                <w:sz w:val="21"/>
                <w:szCs w:val="21"/>
                <w:lang w:bidi="ar"/>
              </w:rPr>
              <w:t>5.</w:t>
            </w:r>
            <w:r>
              <w:rPr>
                <w:rFonts w:hint="eastAsia"/>
                <w:color w:val="auto"/>
                <w:kern w:val="0"/>
                <w:sz w:val="21"/>
                <w:szCs w:val="21"/>
                <w:lang w:bidi="ar"/>
              </w:rPr>
              <w:t>439</w:t>
            </w:r>
          </w:p>
        </w:tc>
        <w:tc>
          <w:tcPr>
            <w:tcW w:w="765" w:type="pct"/>
            <w:vAlign w:val="center"/>
          </w:tcPr>
          <w:p w14:paraId="118032E3">
            <w:pPr>
              <w:widowControl/>
              <w:spacing w:line="240" w:lineRule="auto"/>
              <w:ind w:firstLine="0" w:firstLineChars="0"/>
              <w:jc w:val="center"/>
              <w:rPr>
                <w:color w:val="auto"/>
                <w:kern w:val="0"/>
                <w:sz w:val="21"/>
                <w:szCs w:val="21"/>
              </w:rPr>
            </w:pPr>
            <w:r>
              <w:rPr>
                <w:color w:val="auto"/>
                <w:kern w:val="0"/>
                <w:sz w:val="21"/>
                <w:szCs w:val="21"/>
                <w:lang w:val="zh-CN"/>
              </w:rPr>
              <w:t>0.</w:t>
            </w:r>
            <w:r>
              <w:rPr>
                <w:color w:val="auto"/>
                <w:kern w:val="0"/>
                <w:sz w:val="21"/>
                <w:szCs w:val="21"/>
              </w:rPr>
              <w:t>5</w:t>
            </w:r>
          </w:p>
        </w:tc>
        <w:tc>
          <w:tcPr>
            <w:tcW w:w="712" w:type="pct"/>
            <w:vAlign w:val="center"/>
          </w:tcPr>
          <w:p w14:paraId="7E2CE755">
            <w:pPr>
              <w:widowControl/>
              <w:spacing w:line="240" w:lineRule="auto"/>
              <w:ind w:firstLine="0" w:firstLineChars="0"/>
              <w:jc w:val="center"/>
              <w:rPr>
                <w:color w:val="auto"/>
                <w:kern w:val="0"/>
                <w:sz w:val="21"/>
                <w:szCs w:val="21"/>
                <w:lang w:val="zh-CN"/>
              </w:rPr>
            </w:pPr>
            <w:r>
              <w:rPr>
                <w:color w:val="auto"/>
                <w:kern w:val="0"/>
                <w:sz w:val="21"/>
                <w:szCs w:val="21"/>
                <w:lang w:val="zh-CN"/>
              </w:rPr>
              <w:t>1</w:t>
            </w:r>
          </w:p>
        </w:tc>
      </w:tr>
      <w:tr w14:paraId="32FB5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14:paraId="557DA860">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DA002</w:t>
            </w:r>
          </w:p>
        </w:tc>
        <w:tc>
          <w:tcPr>
            <w:tcW w:w="746" w:type="pct"/>
            <w:vMerge w:val="continue"/>
            <w:vAlign w:val="center"/>
          </w:tcPr>
          <w:p w14:paraId="50B13BA6">
            <w:pPr>
              <w:widowControl/>
              <w:spacing w:line="240" w:lineRule="auto"/>
              <w:ind w:firstLine="0" w:firstLineChars="0"/>
              <w:jc w:val="center"/>
              <w:rPr>
                <w:color w:val="auto"/>
                <w:kern w:val="0"/>
                <w:sz w:val="21"/>
                <w:szCs w:val="21"/>
                <w:lang w:val="zh-CN"/>
              </w:rPr>
            </w:pPr>
          </w:p>
        </w:tc>
        <w:tc>
          <w:tcPr>
            <w:tcW w:w="1125" w:type="pct"/>
            <w:vAlign w:val="center"/>
          </w:tcPr>
          <w:p w14:paraId="3A4A21CD">
            <w:pPr>
              <w:widowControl/>
              <w:spacing w:line="240" w:lineRule="auto"/>
              <w:ind w:firstLine="0" w:firstLineChars="0"/>
              <w:jc w:val="center"/>
              <w:rPr>
                <w:color w:val="auto"/>
                <w:kern w:val="0"/>
                <w:sz w:val="21"/>
                <w:szCs w:val="21"/>
              </w:rPr>
            </w:pPr>
            <w:r>
              <w:rPr>
                <w:rFonts w:hint="eastAsia"/>
                <w:color w:val="auto"/>
                <w:kern w:val="0"/>
                <w:sz w:val="21"/>
                <w:szCs w:val="21"/>
              </w:rPr>
              <w:t>二氧化硫</w:t>
            </w:r>
          </w:p>
        </w:tc>
        <w:tc>
          <w:tcPr>
            <w:tcW w:w="1145" w:type="pct"/>
            <w:vAlign w:val="center"/>
          </w:tcPr>
          <w:p w14:paraId="48FF8EC9">
            <w:pPr>
              <w:widowControl/>
              <w:spacing w:line="240" w:lineRule="auto"/>
              <w:ind w:firstLine="0" w:firstLineChars="0"/>
              <w:jc w:val="center"/>
              <w:rPr>
                <w:color w:val="auto"/>
                <w:kern w:val="0"/>
                <w:sz w:val="21"/>
                <w:szCs w:val="21"/>
              </w:rPr>
            </w:pPr>
            <w:r>
              <w:rPr>
                <w:color w:val="auto"/>
                <w:kern w:val="0"/>
                <w:sz w:val="21"/>
                <w:szCs w:val="21"/>
                <w:lang w:bidi="ar"/>
              </w:rPr>
              <w:t>13.262</w:t>
            </w:r>
          </w:p>
        </w:tc>
        <w:tc>
          <w:tcPr>
            <w:tcW w:w="765" w:type="pct"/>
            <w:vMerge w:val="restart"/>
            <w:vAlign w:val="center"/>
          </w:tcPr>
          <w:p w14:paraId="0F15A2A5">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0.5</w:t>
            </w:r>
          </w:p>
        </w:tc>
        <w:tc>
          <w:tcPr>
            <w:tcW w:w="712" w:type="pct"/>
            <w:vMerge w:val="restart"/>
            <w:vAlign w:val="center"/>
          </w:tcPr>
          <w:p w14:paraId="4C0D3D74">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w:t>
            </w:r>
          </w:p>
        </w:tc>
      </w:tr>
      <w:tr w14:paraId="1E376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6F3B9B6D">
            <w:pPr>
              <w:widowControl/>
              <w:spacing w:line="240" w:lineRule="auto"/>
              <w:ind w:firstLine="0" w:firstLineChars="0"/>
              <w:jc w:val="center"/>
              <w:rPr>
                <w:color w:val="auto"/>
                <w:kern w:val="0"/>
                <w:sz w:val="21"/>
                <w:szCs w:val="21"/>
                <w:lang w:val="zh-CN"/>
              </w:rPr>
            </w:pPr>
          </w:p>
        </w:tc>
        <w:tc>
          <w:tcPr>
            <w:tcW w:w="746" w:type="pct"/>
            <w:vMerge w:val="continue"/>
            <w:vAlign w:val="center"/>
          </w:tcPr>
          <w:p w14:paraId="5CC68DB8">
            <w:pPr>
              <w:widowControl/>
              <w:spacing w:line="240" w:lineRule="auto"/>
              <w:ind w:firstLine="0" w:firstLineChars="0"/>
              <w:jc w:val="center"/>
              <w:rPr>
                <w:color w:val="auto"/>
                <w:kern w:val="0"/>
                <w:sz w:val="21"/>
                <w:szCs w:val="21"/>
                <w:lang w:val="zh-CN"/>
              </w:rPr>
            </w:pPr>
          </w:p>
        </w:tc>
        <w:tc>
          <w:tcPr>
            <w:tcW w:w="1125" w:type="pct"/>
            <w:vAlign w:val="center"/>
          </w:tcPr>
          <w:p w14:paraId="4837C60D">
            <w:pPr>
              <w:widowControl/>
              <w:spacing w:line="240" w:lineRule="auto"/>
              <w:ind w:firstLine="0" w:firstLineChars="0"/>
              <w:jc w:val="center"/>
              <w:rPr>
                <w:color w:val="auto"/>
                <w:kern w:val="0"/>
                <w:sz w:val="21"/>
                <w:szCs w:val="21"/>
              </w:rPr>
            </w:pPr>
            <w:r>
              <w:rPr>
                <w:rFonts w:hint="eastAsia"/>
                <w:color w:val="auto"/>
                <w:kern w:val="0"/>
                <w:sz w:val="21"/>
                <w:szCs w:val="21"/>
              </w:rPr>
              <w:t>颗粒物</w:t>
            </w:r>
          </w:p>
        </w:tc>
        <w:tc>
          <w:tcPr>
            <w:tcW w:w="1145" w:type="pct"/>
            <w:vAlign w:val="center"/>
          </w:tcPr>
          <w:p w14:paraId="1EB5C461">
            <w:pPr>
              <w:widowControl/>
              <w:spacing w:line="240" w:lineRule="auto"/>
              <w:ind w:firstLine="0" w:firstLineChars="0"/>
              <w:jc w:val="center"/>
              <w:rPr>
                <w:color w:val="auto"/>
                <w:kern w:val="0"/>
                <w:sz w:val="21"/>
                <w:szCs w:val="21"/>
              </w:rPr>
            </w:pPr>
            <w:r>
              <w:rPr>
                <w:rFonts w:hint="eastAsia"/>
                <w:color w:val="auto"/>
                <w:kern w:val="0"/>
                <w:sz w:val="21"/>
                <w:szCs w:val="21"/>
                <w:lang w:bidi="ar"/>
              </w:rPr>
              <w:t>2.797</w:t>
            </w:r>
          </w:p>
        </w:tc>
        <w:tc>
          <w:tcPr>
            <w:tcW w:w="765" w:type="pct"/>
            <w:vMerge w:val="continue"/>
            <w:vAlign w:val="center"/>
          </w:tcPr>
          <w:p w14:paraId="3E3B870B">
            <w:pPr>
              <w:widowControl/>
              <w:spacing w:line="240" w:lineRule="auto"/>
              <w:ind w:firstLine="0" w:firstLineChars="0"/>
              <w:jc w:val="center"/>
              <w:rPr>
                <w:color w:val="auto"/>
                <w:kern w:val="0"/>
                <w:sz w:val="21"/>
                <w:szCs w:val="21"/>
                <w:lang w:val="zh-CN"/>
              </w:rPr>
            </w:pPr>
          </w:p>
        </w:tc>
        <w:tc>
          <w:tcPr>
            <w:tcW w:w="712" w:type="pct"/>
            <w:vMerge w:val="continue"/>
            <w:vAlign w:val="center"/>
          </w:tcPr>
          <w:p w14:paraId="0CB8879E">
            <w:pPr>
              <w:widowControl/>
              <w:spacing w:line="240" w:lineRule="auto"/>
              <w:ind w:firstLine="0" w:firstLineChars="0"/>
              <w:jc w:val="center"/>
              <w:rPr>
                <w:color w:val="auto"/>
                <w:kern w:val="0"/>
                <w:sz w:val="21"/>
                <w:szCs w:val="21"/>
                <w:lang w:val="zh-CN"/>
              </w:rPr>
            </w:pPr>
          </w:p>
        </w:tc>
      </w:tr>
    </w:tbl>
    <w:p w14:paraId="4F0FC399">
      <w:pPr>
        <w:ind w:firstLine="482"/>
        <w:jc w:val="center"/>
        <w:rPr>
          <w:b/>
          <w:color w:val="auto"/>
        </w:rPr>
      </w:pPr>
    </w:p>
    <w:p w14:paraId="2ACFA910">
      <w:pPr>
        <w:ind w:firstLine="480"/>
        <w:rPr>
          <w:color w:val="auto"/>
        </w:rPr>
        <w:sectPr>
          <w:pgSz w:w="16838" w:h="11906" w:orient="landscape"/>
          <w:pgMar w:top="1134" w:right="1134" w:bottom="1134" w:left="1134" w:header="851" w:footer="992" w:gutter="0"/>
          <w:cols w:space="425" w:num="1"/>
          <w:docGrid w:type="lines" w:linePitch="312" w:charSpace="0"/>
        </w:sectPr>
      </w:pPr>
    </w:p>
    <w:p w14:paraId="7B95948A">
      <w:pPr>
        <w:pStyle w:val="4"/>
        <w:rPr>
          <w:color w:val="auto"/>
        </w:rPr>
      </w:pPr>
      <w:bookmarkStart w:id="196" w:name="_Toc6750"/>
      <w:r>
        <w:rPr>
          <w:rFonts w:hint="eastAsia"/>
          <w:color w:val="auto"/>
        </w:rPr>
        <w:t>6.1.3预测结果及评价</w:t>
      </w:r>
      <w:bookmarkEnd w:id="196"/>
    </w:p>
    <w:p w14:paraId="57583094">
      <w:pPr>
        <w:ind w:firstLine="480"/>
        <w:rPr>
          <w:color w:val="auto"/>
        </w:rPr>
      </w:pPr>
      <w:r>
        <w:rPr>
          <w:rFonts w:hint="eastAsia"/>
          <w:color w:val="auto"/>
        </w:rPr>
        <w:t>根据导则推荐的AERSCREEN估算模式计算污染物排放情况，估算结果如下。</w:t>
      </w:r>
    </w:p>
    <w:p w14:paraId="6D4C6F23">
      <w:pPr>
        <w:ind w:firstLine="482"/>
        <w:jc w:val="center"/>
        <w:rPr>
          <w:b/>
          <w:bCs/>
          <w:color w:val="auto"/>
        </w:rPr>
      </w:pPr>
      <w:r>
        <w:rPr>
          <w:rFonts w:hint="eastAsia"/>
          <w:b/>
          <w:bCs/>
          <w:color w:val="auto"/>
        </w:rPr>
        <w:t>表6.1.3-1 估算模式计算结果</w:t>
      </w:r>
    </w:p>
    <w:tbl>
      <w:tblPr>
        <w:tblStyle w:val="24"/>
        <w:tblW w:w="5000"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64"/>
        <w:gridCol w:w="1949"/>
        <w:gridCol w:w="1878"/>
        <w:gridCol w:w="1791"/>
        <w:gridCol w:w="1386"/>
        <w:gridCol w:w="1386"/>
      </w:tblGrid>
      <w:tr w14:paraId="422BB149">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43" w:type="pct"/>
            <w:vAlign w:val="center"/>
          </w:tcPr>
          <w:p w14:paraId="39BF967A">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污染源</w:t>
            </w:r>
          </w:p>
        </w:tc>
        <w:tc>
          <w:tcPr>
            <w:tcW w:w="989" w:type="pct"/>
            <w:vAlign w:val="center"/>
          </w:tcPr>
          <w:p w14:paraId="05FC9AD8">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污染物</w:t>
            </w:r>
          </w:p>
        </w:tc>
        <w:tc>
          <w:tcPr>
            <w:tcW w:w="953" w:type="pct"/>
            <w:vAlign w:val="center"/>
          </w:tcPr>
          <w:p w14:paraId="46CCFFC0">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最大地面浓度</w:t>
            </w:r>
            <w:r>
              <w:rPr>
                <w:rFonts w:hint="eastAsia"/>
                <w:b/>
                <w:bCs/>
                <w:color w:val="auto"/>
                <w:kern w:val="0"/>
                <w:sz w:val="21"/>
                <w:szCs w:val="21"/>
                <w:lang w:bidi="ar"/>
              </w:rPr>
              <w:t>（</w:t>
            </w:r>
            <w:r>
              <w:rPr>
                <w:b/>
                <w:bCs/>
                <w:color w:val="auto"/>
                <w:kern w:val="0"/>
                <w:sz w:val="21"/>
                <w:szCs w:val="21"/>
                <w:lang w:bidi="ar"/>
              </w:rPr>
              <w:t>mg/m</w:t>
            </w:r>
            <w:r>
              <w:rPr>
                <w:b/>
                <w:bCs/>
                <w:color w:val="auto"/>
                <w:kern w:val="0"/>
                <w:sz w:val="21"/>
                <w:szCs w:val="21"/>
                <w:vertAlign w:val="superscript"/>
                <w:lang w:bidi="ar"/>
              </w:rPr>
              <w:t>3</w:t>
            </w:r>
            <w:r>
              <w:rPr>
                <w:rFonts w:hint="eastAsia"/>
                <w:b/>
                <w:bCs/>
                <w:color w:val="auto"/>
                <w:kern w:val="0"/>
                <w:sz w:val="21"/>
                <w:szCs w:val="21"/>
                <w:lang w:bidi="ar"/>
              </w:rPr>
              <w:t>）</w:t>
            </w:r>
          </w:p>
        </w:tc>
        <w:tc>
          <w:tcPr>
            <w:tcW w:w="909" w:type="pct"/>
            <w:vAlign w:val="center"/>
          </w:tcPr>
          <w:p w14:paraId="417C33D4">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环境质量标准</w:t>
            </w:r>
            <w:r>
              <w:rPr>
                <w:rFonts w:hint="eastAsia"/>
                <w:b/>
                <w:bCs/>
                <w:color w:val="auto"/>
                <w:kern w:val="0"/>
                <w:sz w:val="21"/>
                <w:szCs w:val="21"/>
                <w:lang w:bidi="ar"/>
              </w:rPr>
              <w:t>（</w:t>
            </w:r>
            <w:r>
              <w:rPr>
                <w:b/>
                <w:bCs/>
                <w:color w:val="auto"/>
                <w:kern w:val="0"/>
                <w:sz w:val="21"/>
                <w:szCs w:val="21"/>
                <w:lang w:bidi="ar"/>
              </w:rPr>
              <w:t>mg/m</w:t>
            </w:r>
            <w:r>
              <w:rPr>
                <w:b/>
                <w:bCs/>
                <w:color w:val="auto"/>
                <w:kern w:val="0"/>
                <w:sz w:val="21"/>
                <w:szCs w:val="21"/>
                <w:vertAlign w:val="superscript"/>
                <w:lang w:bidi="ar"/>
              </w:rPr>
              <w:t>3</w:t>
            </w:r>
            <w:r>
              <w:rPr>
                <w:rFonts w:hint="eastAsia"/>
                <w:b/>
                <w:bCs/>
                <w:color w:val="auto"/>
                <w:kern w:val="0"/>
                <w:sz w:val="21"/>
                <w:szCs w:val="21"/>
                <w:lang w:bidi="ar"/>
              </w:rPr>
              <w:t>）</w:t>
            </w:r>
          </w:p>
        </w:tc>
        <w:tc>
          <w:tcPr>
            <w:tcW w:w="703" w:type="pct"/>
            <w:vAlign w:val="center"/>
          </w:tcPr>
          <w:p w14:paraId="54DD2601">
            <w:pPr>
              <w:widowControl/>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占标率</w:t>
            </w:r>
            <w:r>
              <w:rPr>
                <w:b/>
                <w:bCs/>
                <w:color w:val="auto"/>
                <w:kern w:val="0"/>
                <w:sz w:val="21"/>
                <w:szCs w:val="21"/>
                <w:lang w:bidi="ar"/>
              </w:rPr>
              <w:t>P</w:t>
            </w:r>
            <w:r>
              <w:rPr>
                <w:color w:val="auto"/>
                <w:sz w:val="21"/>
                <w:szCs w:val="21"/>
                <w:lang w:bidi="ar"/>
              </w:rPr>
              <w:t>i</w:t>
            </w:r>
          </w:p>
          <w:p w14:paraId="4307D3F9">
            <w:pPr>
              <w:spacing w:line="240" w:lineRule="auto"/>
              <w:ind w:firstLine="0" w:firstLineChars="0"/>
              <w:jc w:val="center"/>
              <w:textAlignment w:val="center"/>
              <w:rPr>
                <w:rFonts w:cs="宋体"/>
                <w:b/>
                <w:bCs/>
                <w:color w:val="auto"/>
                <w:sz w:val="21"/>
                <w:szCs w:val="21"/>
              </w:rPr>
            </w:pPr>
            <w:r>
              <w:rPr>
                <w:rFonts w:hint="eastAsia"/>
                <w:b/>
                <w:bCs/>
                <w:color w:val="auto"/>
                <w:kern w:val="0"/>
                <w:sz w:val="21"/>
                <w:szCs w:val="21"/>
                <w:lang w:bidi="ar"/>
              </w:rPr>
              <w:t>（</w:t>
            </w:r>
            <w:r>
              <w:rPr>
                <w:b/>
                <w:bCs/>
                <w:color w:val="auto"/>
                <w:kern w:val="0"/>
                <w:sz w:val="21"/>
                <w:szCs w:val="21"/>
                <w:lang w:bidi="ar"/>
              </w:rPr>
              <w:t>%</w:t>
            </w:r>
            <w:r>
              <w:rPr>
                <w:rFonts w:hint="eastAsia"/>
                <w:b/>
                <w:bCs/>
                <w:color w:val="auto"/>
                <w:kern w:val="0"/>
                <w:sz w:val="21"/>
                <w:szCs w:val="21"/>
                <w:lang w:bidi="ar"/>
              </w:rPr>
              <w:t>）</w:t>
            </w:r>
          </w:p>
        </w:tc>
        <w:tc>
          <w:tcPr>
            <w:tcW w:w="703" w:type="pct"/>
            <w:vAlign w:val="center"/>
          </w:tcPr>
          <w:p w14:paraId="1E5BC89B">
            <w:pPr>
              <w:spacing w:line="240" w:lineRule="auto"/>
              <w:ind w:firstLine="0" w:firstLineChars="0"/>
              <w:jc w:val="center"/>
              <w:textAlignment w:val="center"/>
              <w:rPr>
                <w:b/>
                <w:bCs/>
                <w:color w:val="auto"/>
                <w:kern w:val="0"/>
                <w:sz w:val="21"/>
                <w:szCs w:val="21"/>
                <w:lang w:bidi="ar"/>
              </w:rPr>
            </w:pPr>
            <w:r>
              <w:rPr>
                <w:rFonts w:hint="eastAsia"/>
                <w:b/>
                <w:bCs/>
                <w:color w:val="auto"/>
                <w:kern w:val="0"/>
                <w:sz w:val="21"/>
                <w:szCs w:val="21"/>
                <w:lang w:bidi="ar"/>
              </w:rPr>
              <w:t>D10%最远距离（m）</w:t>
            </w:r>
          </w:p>
        </w:tc>
      </w:tr>
      <w:tr w14:paraId="6BB564AC">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43" w:type="pct"/>
            <w:vAlign w:val="center"/>
          </w:tcPr>
          <w:p w14:paraId="213D023B">
            <w:pPr>
              <w:spacing w:line="240" w:lineRule="auto"/>
              <w:ind w:firstLine="0" w:firstLineChars="0"/>
              <w:jc w:val="center"/>
              <w:textAlignment w:val="center"/>
              <w:rPr>
                <w:color w:val="auto"/>
                <w:sz w:val="21"/>
                <w:szCs w:val="21"/>
              </w:rPr>
            </w:pPr>
            <w:r>
              <w:rPr>
                <w:rFonts w:hint="eastAsia"/>
                <w:color w:val="auto"/>
                <w:sz w:val="21"/>
                <w:szCs w:val="21"/>
              </w:rPr>
              <w:t>DA001</w:t>
            </w:r>
          </w:p>
        </w:tc>
        <w:tc>
          <w:tcPr>
            <w:tcW w:w="989" w:type="pct"/>
            <w:vAlign w:val="center"/>
          </w:tcPr>
          <w:p w14:paraId="3C8B5A9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氨</w:t>
            </w:r>
          </w:p>
        </w:tc>
        <w:tc>
          <w:tcPr>
            <w:tcW w:w="953" w:type="pct"/>
            <w:vAlign w:val="center"/>
          </w:tcPr>
          <w:p w14:paraId="491E2AF1">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8.84E-04</w:t>
            </w:r>
          </w:p>
        </w:tc>
        <w:tc>
          <w:tcPr>
            <w:tcW w:w="909" w:type="pct"/>
            <w:vAlign w:val="center"/>
          </w:tcPr>
          <w:p w14:paraId="2562373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0.2</w:t>
            </w:r>
          </w:p>
        </w:tc>
        <w:tc>
          <w:tcPr>
            <w:tcW w:w="703" w:type="pct"/>
            <w:vAlign w:val="center"/>
          </w:tcPr>
          <w:p w14:paraId="43ED26C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0.44</w:t>
            </w:r>
          </w:p>
        </w:tc>
        <w:tc>
          <w:tcPr>
            <w:tcW w:w="703" w:type="pct"/>
            <w:vAlign w:val="center"/>
          </w:tcPr>
          <w:p w14:paraId="7BF4718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r w14:paraId="5070AEBC">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43" w:type="pct"/>
            <w:vMerge w:val="restart"/>
            <w:vAlign w:val="center"/>
          </w:tcPr>
          <w:p w14:paraId="28E3FFB7">
            <w:pPr>
              <w:spacing w:line="240" w:lineRule="auto"/>
              <w:ind w:firstLine="0" w:firstLineChars="0"/>
              <w:jc w:val="center"/>
              <w:textAlignment w:val="center"/>
              <w:rPr>
                <w:color w:val="auto"/>
                <w:sz w:val="21"/>
                <w:szCs w:val="21"/>
              </w:rPr>
            </w:pPr>
            <w:r>
              <w:rPr>
                <w:rFonts w:hint="eastAsia"/>
                <w:color w:val="auto"/>
                <w:sz w:val="21"/>
                <w:szCs w:val="21"/>
              </w:rPr>
              <w:t>DA002</w:t>
            </w:r>
          </w:p>
        </w:tc>
        <w:tc>
          <w:tcPr>
            <w:tcW w:w="989" w:type="pct"/>
            <w:vAlign w:val="center"/>
          </w:tcPr>
          <w:p w14:paraId="4DD5D23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二氧化硫</w:t>
            </w:r>
          </w:p>
        </w:tc>
        <w:tc>
          <w:tcPr>
            <w:tcW w:w="953" w:type="pct"/>
            <w:vAlign w:val="center"/>
          </w:tcPr>
          <w:p w14:paraId="1EEF684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2.76E-03</w:t>
            </w:r>
          </w:p>
        </w:tc>
        <w:tc>
          <w:tcPr>
            <w:tcW w:w="909" w:type="pct"/>
            <w:vAlign w:val="center"/>
          </w:tcPr>
          <w:p w14:paraId="6180E1E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0.5</w:t>
            </w:r>
          </w:p>
        </w:tc>
        <w:tc>
          <w:tcPr>
            <w:tcW w:w="703" w:type="pct"/>
            <w:vAlign w:val="center"/>
          </w:tcPr>
          <w:p w14:paraId="28685BC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0.55</w:t>
            </w:r>
          </w:p>
        </w:tc>
        <w:tc>
          <w:tcPr>
            <w:tcW w:w="703" w:type="pct"/>
            <w:vAlign w:val="center"/>
          </w:tcPr>
          <w:p w14:paraId="4694AAF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r w14:paraId="2EEFE318">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43" w:type="pct"/>
            <w:vMerge w:val="continue"/>
            <w:vAlign w:val="center"/>
          </w:tcPr>
          <w:p w14:paraId="0DEC41AF">
            <w:pPr>
              <w:spacing w:line="240" w:lineRule="auto"/>
              <w:ind w:firstLine="0" w:firstLineChars="0"/>
              <w:jc w:val="center"/>
              <w:textAlignment w:val="center"/>
              <w:rPr>
                <w:color w:val="auto"/>
                <w:sz w:val="21"/>
                <w:szCs w:val="21"/>
              </w:rPr>
            </w:pPr>
          </w:p>
        </w:tc>
        <w:tc>
          <w:tcPr>
            <w:tcW w:w="989" w:type="pct"/>
            <w:vAlign w:val="center"/>
          </w:tcPr>
          <w:p w14:paraId="3BA092D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953" w:type="pct"/>
            <w:vAlign w:val="center"/>
          </w:tcPr>
          <w:p w14:paraId="1A2D374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2.76E-03</w:t>
            </w:r>
          </w:p>
        </w:tc>
        <w:tc>
          <w:tcPr>
            <w:tcW w:w="909" w:type="pct"/>
            <w:vAlign w:val="center"/>
          </w:tcPr>
          <w:p w14:paraId="53ADEF4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0.36</w:t>
            </w:r>
          </w:p>
        </w:tc>
        <w:tc>
          <w:tcPr>
            <w:tcW w:w="703" w:type="pct"/>
            <w:vAlign w:val="center"/>
          </w:tcPr>
          <w:p w14:paraId="52C1BD9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0.77</w:t>
            </w:r>
          </w:p>
        </w:tc>
        <w:tc>
          <w:tcPr>
            <w:tcW w:w="703" w:type="pct"/>
            <w:vAlign w:val="center"/>
          </w:tcPr>
          <w:p w14:paraId="6D92AC7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r w14:paraId="0650FF2F">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43" w:type="pct"/>
            <w:vAlign w:val="center"/>
          </w:tcPr>
          <w:p w14:paraId="43E7E5A9">
            <w:pPr>
              <w:spacing w:line="240" w:lineRule="auto"/>
              <w:ind w:firstLine="0" w:firstLineChars="0"/>
              <w:jc w:val="center"/>
              <w:textAlignment w:val="center"/>
              <w:rPr>
                <w:color w:val="auto"/>
                <w:sz w:val="21"/>
                <w:szCs w:val="21"/>
              </w:rPr>
            </w:pPr>
            <w:r>
              <w:rPr>
                <w:rFonts w:hint="eastAsia"/>
                <w:color w:val="auto"/>
                <w:sz w:val="21"/>
                <w:szCs w:val="21"/>
              </w:rPr>
              <w:t>1#戊类罐区</w:t>
            </w:r>
          </w:p>
        </w:tc>
        <w:tc>
          <w:tcPr>
            <w:tcW w:w="989" w:type="pct"/>
            <w:vAlign w:val="center"/>
          </w:tcPr>
          <w:p w14:paraId="32626B5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氨</w:t>
            </w:r>
          </w:p>
        </w:tc>
        <w:tc>
          <w:tcPr>
            <w:tcW w:w="953" w:type="pct"/>
            <w:vAlign w:val="center"/>
          </w:tcPr>
          <w:p w14:paraId="04BCFED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6.89E-04</w:t>
            </w:r>
          </w:p>
        </w:tc>
        <w:tc>
          <w:tcPr>
            <w:tcW w:w="909" w:type="pct"/>
            <w:vAlign w:val="center"/>
          </w:tcPr>
          <w:p w14:paraId="618938D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0.2</w:t>
            </w:r>
          </w:p>
        </w:tc>
        <w:tc>
          <w:tcPr>
            <w:tcW w:w="703" w:type="pct"/>
            <w:vAlign w:val="center"/>
          </w:tcPr>
          <w:p w14:paraId="6856C64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0.34</w:t>
            </w:r>
          </w:p>
        </w:tc>
        <w:tc>
          <w:tcPr>
            <w:tcW w:w="703" w:type="pct"/>
            <w:vAlign w:val="center"/>
          </w:tcPr>
          <w:p w14:paraId="64009B4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bl>
    <w:p w14:paraId="41262D06">
      <w:pPr>
        <w:ind w:firstLine="480"/>
        <w:rPr>
          <w:color w:val="auto"/>
        </w:rPr>
      </w:pPr>
      <w:r>
        <w:rPr>
          <w:rFonts w:hint="eastAsia"/>
          <w:color w:val="auto"/>
        </w:rPr>
        <w:t>根据</w:t>
      </w:r>
      <w:r>
        <w:rPr>
          <w:color w:val="auto"/>
        </w:rPr>
        <w:t>《环境影响评价技术导则大气环境》(HJ 2.2-2018)，本项目</w:t>
      </w:r>
      <w:r>
        <w:rPr>
          <w:rFonts w:hint="eastAsia"/>
          <w:color w:val="auto"/>
        </w:rPr>
        <w:t>为编制环境影响报告书的化工项目，</w:t>
      </w:r>
      <w:r>
        <w:rPr>
          <w:color w:val="auto"/>
        </w:rPr>
        <w:t>大气环境影响评价等级</w:t>
      </w:r>
      <w:r>
        <w:rPr>
          <w:rFonts w:hint="eastAsia"/>
          <w:color w:val="auto"/>
        </w:rPr>
        <w:t>判定</w:t>
      </w:r>
      <w:r>
        <w:rPr>
          <w:color w:val="auto"/>
        </w:rPr>
        <w:t>为二级</w:t>
      </w:r>
      <w:r>
        <w:rPr>
          <w:rFonts w:hint="eastAsia"/>
          <w:color w:val="auto"/>
        </w:rPr>
        <w:t>。</w:t>
      </w:r>
      <w:r>
        <w:rPr>
          <w:color w:val="auto"/>
        </w:rPr>
        <w:t>二级评价不进行进一步预测与评价，只对污染物排放量进行核算。</w:t>
      </w:r>
    </w:p>
    <w:p w14:paraId="3D58EDF1">
      <w:pPr>
        <w:pStyle w:val="4"/>
        <w:rPr>
          <w:color w:val="auto"/>
        </w:rPr>
      </w:pPr>
      <w:bookmarkStart w:id="197" w:name="_Toc8007"/>
      <w:r>
        <w:rPr>
          <w:rFonts w:hint="eastAsia"/>
          <w:color w:val="auto"/>
        </w:rPr>
        <w:t>6.1.4污染物排放量核算</w:t>
      </w:r>
      <w:bookmarkEnd w:id="197"/>
    </w:p>
    <w:p w14:paraId="26A1CF5C">
      <w:pPr>
        <w:ind w:firstLine="482"/>
        <w:jc w:val="center"/>
        <w:rPr>
          <w:b/>
          <w:bCs/>
          <w:color w:val="auto"/>
        </w:rPr>
      </w:pPr>
      <w:r>
        <w:rPr>
          <w:rFonts w:hint="eastAsia"/>
          <w:b/>
          <w:bCs/>
          <w:color w:val="auto"/>
        </w:rPr>
        <w:t>表6.1.4-1 大气污染物有组织排放量核算表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31"/>
        <w:gridCol w:w="1384"/>
        <w:gridCol w:w="1554"/>
        <w:gridCol w:w="1912"/>
        <w:gridCol w:w="1957"/>
        <w:gridCol w:w="1800"/>
      </w:tblGrid>
      <w:tr w14:paraId="16887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535" w:type="pct"/>
            <w:vAlign w:val="center"/>
          </w:tcPr>
          <w:p w14:paraId="17ED0A1D">
            <w:pPr>
              <w:widowControl/>
              <w:adjustRightInd/>
              <w:snapToGrid/>
              <w:spacing w:line="240" w:lineRule="auto"/>
              <w:ind w:firstLine="0" w:firstLineChars="0"/>
              <w:jc w:val="center"/>
              <w:rPr>
                <w:b/>
                <w:bCs/>
                <w:color w:val="auto"/>
                <w:kern w:val="0"/>
                <w:sz w:val="21"/>
                <w:szCs w:val="21"/>
              </w:rPr>
            </w:pPr>
            <w:r>
              <w:rPr>
                <w:b/>
                <w:bCs/>
                <w:color w:val="auto"/>
                <w:kern w:val="0"/>
                <w:sz w:val="21"/>
                <w:szCs w:val="21"/>
              </w:rPr>
              <w:t>序号</w:t>
            </w:r>
          </w:p>
        </w:tc>
        <w:tc>
          <w:tcPr>
            <w:tcW w:w="718" w:type="pct"/>
            <w:vAlign w:val="center"/>
          </w:tcPr>
          <w:p w14:paraId="7BA9B5CD">
            <w:pPr>
              <w:widowControl/>
              <w:adjustRightInd/>
              <w:snapToGrid/>
              <w:spacing w:line="240" w:lineRule="auto"/>
              <w:ind w:firstLine="0" w:firstLineChars="0"/>
              <w:jc w:val="center"/>
              <w:rPr>
                <w:b/>
                <w:bCs/>
                <w:color w:val="auto"/>
                <w:kern w:val="0"/>
                <w:sz w:val="21"/>
                <w:szCs w:val="21"/>
              </w:rPr>
            </w:pPr>
            <w:r>
              <w:rPr>
                <w:b/>
                <w:bCs/>
                <w:color w:val="auto"/>
                <w:kern w:val="0"/>
                <w:sz w:val="21"/>
                <w:szCs w:val="21"/>
              </w:rPr>
              <w:t>排放口编号</w:t>
            </w:r>
          </w:p>
        </w:tc>
        <w:tc>
          <w:tcPr>
            <w:tcW w:w="806" w:type="pct"/>
            <w:vAlign w:val="center"/>
          </w:tcPr>
          <w:p w14:paraId="38B06D50">
            <w:pPr>
              <w:widowControl/>
              <w:adjustRightInd/>
              <w:snapToGrid/>
              <w:spacing w:line="240" w:lineRule="auto"/>
              <w:ind w:firstLine="0" w:firstLineChars="0"/>
              <w:jc w:val="center"/>
              <w:rPr>
                <w:b/>
                <w:bCs/>
                <w:color w:val="auto"/>
                <w:kern w:val="0"/>
                <w:sz w:val="21"/>
                <w:szCs w:val="21"/>
              </w:rPr>
            </w:pPr>
            <w:r>
              <w:rPr>
                <w:b/>
                <w:bCs/>
                <w:color w:val="auto"/>
                <w:kern w:val="0"/>
                <w:sz w:val="21"/>
                <w:szCs w:val="21"/>
              </w:rPr>
              <w:t>污染物</w:t>
            </w:r>
          </w:p>
        </w:tc>
        <w:tc>
          <w:tcPr>
            <w:tcW w:w="992" w:type="pct"/>
            <w:vAlign w:val="center"/>
          </w:tcPr>
          <w:p w14:paraId="635E6902">
            <w:pPr>
              <w:widowControl/>
              <w:adjustRightInd/>
              <w:snapToGrid/>
              <w:spacing w:line="240" w:lineRule="auto"/>
              <w:ind w:firstLine="0" w:firstLineChars="0"/>
              <w:jc w:val="center"/>
              <w:rPr>
                <w:b/>
                <w:bCs/>
                <w:color w:val="auto"/>
                <w:kern w:val="0"/>
                <w:sz w:val="21"/>
                <w:szCs w:val="21"/>
              </w:rPr>
            </w:pPr>
            <w:r>
              <w:rPr>
                <w:b/>
                <w:bCs/>
                <w:color w:val="auto"/>
                <w:kern w:val="0"/>
                <w:sz w:val="21"/>
                <w:szCs w:val="21"/>
              </w:rPr>
              <w:t>核算排放浓度</w:t>
            </w:r>
          </w:p>
          <w:p w14:paraId="37EF4E7D">
            <w:pPr>
              <w:spacing w:line="240" w:lineRule="auto"/>
              <w:ind w:firstLine="0" w:firstLineChars="0"/>
              <w:jc w:val="center"/>
              <w:rPr>
                <w:b/>
                <w:bCs/>
                <w:color w:val="auto"/>
                <w:kern w:val="0"/>
                <w:sz w:val="21"/>
                <w:szCs w:val="21"/>
              </w:rPr>
            </w:pPr>
            <w:r>
              <w:rPr>
                <w:b/>
                <w:bCs/>
                <w:color w:val="auto"/>
                <w:kern w:val="0"/>
                <w:sz w:val="21"/>
                <w:szCs w:val="21"/>
              </w:rPr>
              <w:t>mg/m</w:t>
            </w:r>
            <w:r>
              <w:rPr>
                <w:b/>
                <w:bCs/>
                <w:color w:val="auto"/>
                <w:kern w:val="0"/>
                <w:sz w:val="21"/>
                <w:szCs w:val="21"/>
                <w:vertAlign w:val="superscript"/>
              </w:rPr>
              <w:t>3</w:t>
            </w:r>
          </w:p>
        </w:tc>
        <w:tc>
          <w:tcPr>
            <w:tcW w:w="1015" w:type="pct"/>
            <w:vAlign w:val="center"/>
          </w:tcPr>
          <w:p w14:paraId="72A2E64D">
            <w:pPr>
              <w:widowControl/>
              <w:adjustRightInd/>
              <w:snapToGrid/>
              <w:spacing w:line="240" w:lineRule="auto"/>
              <w:ind w:firstLine="0" w:firstLineChars="0"/>
              <w:jc w:val="center"/>
              <w:rPr>
                <w:b/>
                <w:bCs/>
                <w:color w:val="auto"/>
                <w:kern w:val="0"/>
                <w:sz w:val="21"/>
                <w:szCs w:val="21"/>
              </w:rPr>
            </w:pPr>
            <w:r>
              <w:rPr>
                <w:b/>
                <w:bCs/>
                <w:color w:val="auto"/>
                <w:kern w:val="0"/>
                <w:sz w:val="21"/>
                <w:szCs w:val="21"/>
              </w:rPr>
              <w:t>核算排放速率</w:t>
            </w:r>
          </w:p>
          <w:p w14:paraId="6E6A1074">
            <w:pPr>
              <w:spacing w:line="240" w:lineRule="auto"/>
              <w:ind w:firstLine="0" w:firstLineChars="0"/>
              <w:jc w:val="center"/>
              <w:rPr>
                <w:b/>
                <w:bCs/>
                <w:color w:val="auto"/>
                <w:kern w:val="0"/>
                <w:sz w:val="21"/>
                <w:szCs w:val="21"/>
              </w:rPr>
            </w:pPr>
            <w:r>
              <w:rPr>
                <w:b/>
                <w:bCs/>
                <w:color w:val="auto"/>
                <w:kern w:val="0"/>
                <w:sz w:val="21"/>
                <w:szCs w:val="21"/>
              </w:rPr>
              <w:t>kg/h</w:t>
            </w:r>
          </w:p>
        </w:tc>
        <w:tc>
          <w:tcPr>
            <w:tcW w:w="934" w:type="pct"/>
            <w:vAlign w:val="center"/>
          </w:tcPr>
          <w:p w14:paraId="76063556">
            <w:pPr>
              <w:widowControl/>
              <w:adjustRightInd/>
              <w:snapToGrid/>
              <w:spacing w:line="240" w:lineRule="auto"/>
              <w:ind w:firstLine="0" w:firstLineChars="0"/>
              <w:jc w:val="center"/>
              <w:rPr>
                <w:b/>
                <w:bCs/>
                <w:color w:val="auto"/>
                <w:kern w:val="0"/>
                <w:sz w:val="21"/>
                <w:szCs w:val="21"/>
              </w:rPr>
            </w:pPr>
            <w:r>
              <w:rPr>
                <w:b/>
                <w:bCs/>
                <w:color w:val="auto"/>
                <w:kern w:val="0"/>
                <w:sz w:val="21"/>
                <w:szCs w:val="21"/>
              </w:rPr>
              <w:t>核算年排放量</w:t>
            </w:r>
          </w:p>
          <w:p w14:paraId="6739268A">
            <w:pPr>
              <w:spacing w:line="240" w:lineRule="auto"/>
              <w:ind w:firstLine="0" w:firstLineChars="0"/>
              <w:jc w:val="center"/>
              <w:rPr>
                <w:b/>
                <w:bCs/>
                <w:color w:val="auto"/>
                <w:kern w:val="0"/>
                <w:sz w:val="21"/>
                <w:szCs w:val="21"/>
              </w:rPr>
            </w:pPr>
            <w:r>
              <w:rPr>
                <w:b/>
                <w:bCs/>
                <w:color w:val="auto"/>
                <w:kern w:val="0"/>
                <w:sz w:val="21"/>
                <w:szCs w:val="21"/>
              </w:rPr>
              <w:t>t/a</w:t>
            </w:r>
          </w:p>
        </w:tc>
      </w:tr>
      <w:tr w14:paraId="2B593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000" w:type="pct"/>
            <w:gridSpan w:val="6"/>
            <w:vAlign w:val="center"/>
          </w:tcPr>
          <w:p w14:paraId="0C5EC932">
            <w:pPr>
              <w:widowControl/>
              <w:adjustRightInd/>
              <w:snapToGrid/>
              <w:spacing w:line="240" w:lineRule="auto"/>
              <w:ind w:firstLine="0" w:firstLineChars="0"/>
              <w:jc w:val="center"/>
              <w:rPr>
                <w:color w:val="auto"/>
                <w:kern w:val="0"/>
                <w:sz w:val="21"/>
                <w:szCs w:val="21"/>
              </w:rPr>
            </w:pPr>
            <w:r>
              <w:rPr>
                <w:color w:val="auto"/>
                <w:kern w:val="0"/>
                <w:sz w:val="21"/>
                <w:szCs w:val="21"/>
              </w:rPr>
              <w:t>主要排放口</w:t>
            </w:r>
          </w:p>
        </w:tc>
      </w:tr>
      <w:tr w14:paraId="7FD4F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35" w:type="pct"/>
            <w:vAlign w:val="center"/>
          </w:tcPr>
          <w:p w14:paraId="17C8CC4E">
            <w:pPr>
              <w:widowControl/>
              <w:adjustRightInd/>
              <w:snapToGrid/>
              <w:spacing w:line="240" w:lineRule="auto"/>
              <w:ind w:firstLine="0" w:firstLineChars="0"/>
              <w:jc w:val="center"/>
              <w:rPr>
                <w:color w:val="auto"/>
                <w:kern w:val="0"/>
                <w:sz w:val="21"/>
                <w:szCs w:val="21"/>
              </w:rPr>
            </w:pPr>
            <w:r>
              <w:rPr>
                <w:color w:val="auto"/>
                <w:kern w:val="0"/>
                <w:sz w:val="21"/>
                <w:szCs w:val="21"/>
              </w:rPr>
              <w:t>1</w:t>
            </w:r>
          </w:p>
        </w:tc>
        <w:tc>
          <w:tcPr>
            <w:tcW w:w="718" w:type="pct"/>
            <w:vAlign w:val="center"/>
          </w:tcPr>
          <w:p w14:paraId="0D52934C">
            <w:pPr>
              <w:widowControl/>
              <w:adjustRightInd/>
              <w:snapToGrid/>
              <w:spacing w:line="240" w:lineRule="auto"/>
              <w:ind w:firstLine="0" w:firstLineChars="0"/>
              <w:jc w:val="center"/>
              <w:rPr>
                <w:color w:val="auto"/>
                <w:kern w:val="0"/>
                <w:sz w:val="21"/>
                <w:szCs w:val="21"/>
              </w:rPr>
            </w:pPr>
            <w:r>
              <w:rPr>
                <w:color w:val="auto"/>
                <w:kern w:val="0"/>
                <w:sz w:val="21"/>
                <w:szCs w:val="21"/>
              </w:rPr>
              <w:t>DA001</w:t>
            </w:r>
          </w:p>
        </w:tc>
        <w:tc>
          <w:tcPr>
            <w:tcW w:w="806" w:type="pct"/>
            <w:vAlign w:val="center"/>
          </w:tcPr>
          <w:p w14:paraId="33E97E9C">
            <w:pPr>
              <w:widowControl/>
              <w:adjustRightInd/>
              <w:snapToGrid/>
              <w:spacing w:line="240" w:lineRule="auto"/>
              <w:ind w:firstLine="0" w:firstLineChars="0"/>
              <w:jc w:val="center"/>
              <w:rPr>
                <w:color w:val="auto"/>
                <w:kern w:val="0"/>
                <w:sz w:val="21"/>
                <w:szCs w:val="21"/>
              </w:rPr>
            </w:pPr>
            <w:r>
              <w:rPr>
                <w:color w:val="auto"/>
                <w:kern w:val="0"/>
                <w:sz w:val="21"/>
                <w:szCs w:val="21"/>
              </w:rPr>
              <w:t>氨</w:t>
            </w:r>
          </w:p>
        </w:tc>
        <w:tc>
          <w:tcPr>
            <w:tcW w:w="992" w:type="pct"/>
            <w:vAlign w:val="center"/>
          </w:tcPr>
          <w:p w14:paraId="1FAB02C3">
            <w:pPr>
              <w:widowControl/>
              <w:adjustRightInd/>
              <w:snapToGrid/>
              <w:spacing w:line="240" w:lineRule="auto"/>
              <w:ind w:firstLine="0" w:firstLineChars="0"/>
              <w:jc w:val="center"/>
              <w:rPr>
                <w:color w:val="auto"/>
                <w:kern w:val="0"/>
                <w:sz w:val="21"/>
                <w:szCs w:val="21"/>
              </w:rPr>
            </w:pPr>
            <w:r>
              <w:rPr>
                <w:color w:val="auto"/>
                <w:kern w:val="0"/>
                <w:sz w:val="21"/>
                <w:szCs w:val="21"/>
              </w:rPr>
              <w:t>1.9</w:t>
            </w:r>
            <w:r>
              <w:rPr>
                <w:rFonts w:hint="eastAsia"/>
                <w:color w:val="auto"/>
                <w:kern w:val="0"/>
                <w:sz w:val="21"/>
                <w:szCs w:val="21"/>
              </w:rPr>
              <w:t>28</w:t>
            </w:r>
          </w:p>
        </w:tc>
        <w:tc>
          <w:tcPr>
            <w:tcW w:w="1015" w:type="pct"/>
            <w:vAlign w:val="bottom"/>
          </w:tcPr>
          <w:p w14:paraId="7E95AF61">
            <w:pPr>
              <w:widowControl/>
              <w:adjustRightInd/>
              <w:snapToGrid/>
              <w:spacing w:line="240" w:lineRule="auto"/>
              <w:ind w:firstLine="0" w:firstLineChars="0"/>
              <w:jc w:val="center"/>
              <w:rPr>
                <w:color w:val="auto"/>
                <w:kern w:val="0"/>
                <w:sz w:val="21"/>
                <w:szCs w:val="21"/>
              </w:rPr>
            </w:pPr>
            <w:r>
              <w:rPr>
                <w:color w:val="auto"/>
                <w:kern w:val="0"/>
                <w:sz w:val="21"/>
                <w:szCs w:val="21"/>
              </w:rPr>
              <w:t>0.05</w:t>
            </w:r>
            <w:r>
              <w:rPr>
                <w:rFonts w:hint="eastAsia"/>
                <w:color w:val="auto"/>
                <w:kern w:val="0"/>
                <w:sz w:val="21"/>
                <w:szCs w:val="21"/>
              </w:rPr>
              <w:t>8</w:t>
            </w:r>
          </w:p>
        </w:tc>
        <w:tc>
          <w:tcPr>
            <w:tcW w:w="934" w:type="pct"/>
            <w:vAlign w:val="bottom"/>
          </w:tcPr>
          <w:p w14:paraId="4F761373">
            <w:pPr>
              <w:widowControl/>
              <w:adjustRightInd/>
              <w:snapToGrid/>
              <w:spacing w:line="240" w:lineRule="auto"/>
              <w:ind w:firstLine="0" w:firstLineChars="0"/>
              <w:jc w:val="center"/>
              <w:rPr>
                <w:color w:val="auto"/>
                <w:kern w:val="0"/>
                <w:sz w:val="21"/>
                <w:szCs w:val="21"/>
              </w:rPr>
            </w:pPr>
            <w:r>
              <w:rPr>
                <w:color w:val="auto"/>
                <w:kern w:val="0"/>
                <w:sz w:val="21"/>
                <w:szCs w:val="21"/>
              </w:rPr>
              <w:t>0.1</w:t>
            </w:r>
            <w:r>
              <w:rPr>
                <w:rFonts w:hint="eastAsia"/>
                <w:color w:val="auto"/>
                <w:kern w:val="0"/>
                <w:sz w:val="21"/>
                <w:szCs w:val="21"/>
              </w:rPr>
              <w:t>67</w:t>
            </w:r>
          </w:p>
        </w:tc>
      </w:tr>
      <w:tr w14:paraId="61093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000" w:type="pct"/>
            <w:gridSpan w:val="6"/>
            <w:vAlign w:val="center"/>
          </w:tcPr>
          <w:p w14:paraId="6B9F8048">
            <w:pPr>
              <w:widowControl/>
              <w:adjustRightInd/>
              <w:snapToGrid/>
              <w:spacing w:line="240" w:lineRule="auto"/>
              <w:ind w:firstLine="0" w:firstLineChars="0"/>
              <w:jc w:val="center"/>
              <w:rPr>
                <w:color w:val="auto"/>
                <w:kern w:val="0"/>
                <w:sz w:val="21"/>
                <w:szCs w:val="21"/>
              </w:rPr>
            </w:pPr>
            <w:r>
              <w:rPr>
                <w:color w:val="auto"/>
                <w:kern w:val="0"/>
                <w:sz w:val="21"/>
                <w:szCs w:val="21"/>
              </w:rPr>
              <w:t>一般排放口</w:t>
            </w:r>
          </w:p>
        </w:tc>
      </w:tr>
      <w:tr w14:paraId="1DC84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35" w:type="pct"/>
            <w:vAlign w:val="center"/>
          </w:tcPr>
          <w:p w14:paraId="3C10B8EB">
            <w:pPr>
              <w:widowControl/>
              <w:adjustRightInd/>
              <w:snapToGrid/>
              <w:spacing w:line="240" w:lineRule="auto"/>
              <w:ind w:firstLine="0" w:firstLineChars="0"/>
              <w:jc w:val="center"/>
              <w:rPr>
                <w:color w:val="auto"/>
                <w:kern w:val="0"/>
                <w:sz w:val="21"/>
                <w:szCs w:val="21"/>
              </w:rPr>
            </w:pPr>
            <w:r>
              <w:rPr>
                <w:color w:val="auto"/>
                <w:kern w:val="0"/>
                <w:sz w:val="21"/>
                <w:szCs w:val="21"/>
              </w:rPr>
              <w:t>1</w:t>
            </w:r>
          </w:p>
        </w:tc>
        <w:tc>
          <w:tcPr>
            <w:tcW w:w="718" w:type="pct"/>
            <w:vMerge w:val="restart"/>
            <w:vAlign w:val="center"/>
          </w:tcPr>
          <w:p w14:paraId="6892E28A">
            <w:pPr>
              <w:widowControl/>
              <w:adjustRightInd/>
              <w:snapToGrid/>
              <w:spacing w:line="240" w:lineRule="auto"/>
              <w:ind w:firstLine="0" w:firstLineChars="0"/>
              <w:jc w:val="center"/>
              <w:rPr>
                <w:color w:val="auto"/>
                <w:kern w:val="0"/>
                <w:sz w:val="21"/>
                <w:szCs w:val="21"/>
              </w:rPr>
            </w:pPr>
            <w:r>
              <w:rPr>
                <w:color w:val="auto"/>
                <w:kern w:val="0"/>
                <w:sz w:val="21"/>
                <w:szCs w:val="21"/>
              </w:rPr>
              <w:t>DA002</w:t>
            </w:r>
          </w:p>
        </w:tc>
        <w:tc>
          <w:tcPr>
            <w:tcW w:w="806" w:type="pct"/>
            <w:vAlign w:val="center"/>
          </w:tcPr>
          <w:p w14:paraId="6609B9CC">
            <w:pPr>
              <w:widowControl/>
              <w:adjustRightInd/>
              <w:snapToGrid/>
              <w:spacing w:line="240" w:lineRule="auto"/>
              <w:ind w:firstLine="0" w:firstLineChars="0"/>
              <w:jc w:val="center"/>
              <w:rPr>
                <w:color w:val="auto"/>
                <w:kern w:val="0"/>
                <w:sz w:val="21"/>
                <w:szCs w:val="21"/>
              </w:rPr>
            </w:pPr>
            <w:r>
              <w:rPr>
                <w:color w:val="auto"/>
                <w:kern w:val="0"/>
                <w:sz w:val="21"/>
                <w:szCs w:val="21"/>
              </w:rPr>
              <w:t>二氧化硫</w:t>
            </w:r>
          </w:p>
        </w:tc>
        <w:tc>
          <w:tcPr>
            <w:tcW w:w="992" w:type="pct"/>
            <w:vAlign w:val="center"/>
          </w:tcPr>
          <w:p w14:paraId="1E29B601">
            <w:pPr>
              <w:widowControl/>
              <w:adjustRightInd/>
              <w:snapToGrid/>
              <w:spacing w:line="240" w:lineRule="auto"/>
              <w:ind w:firstLine="0" w:firstLineChars="0"/>
              <w:jc w:val="center"/>
              <w:rPr>
                <w:color w:val="auto"/>
                <w:kern w:val="0"/>
                <w:sz w:val="21"/>
                <w:szCs w:val="21"/>
              </w:rPr>
            </w:pPr>
            <w:r>
              <w:rPr>
                <w:color w:val="auto"/>
                <w:kern w:val="0"/>
                <w:sz w:val="21"/>
                <w:szCs w:val="21"/>
                <w:lang w:bidi="ar"/>
              </w:rPr>
              <w:t>29.471</w:t>
            </w:r>
          </w:p>
        </w:tc>
        <w:tc>
          <w:tcPr>
            <w:tcW w:w="1015" w:type="pct"/>
            <w:vAlign w:val="center"/>
          </w:tcPr>
          <w:p w14:paraId="4138179C">
            <w:pPr>
              <w:widowControl/>
              <w:adjustRightInd/>
              <w:snapToGrid/>
              <w:spacing w:line="240" w:lineRule="auto"/>
              <w:ind w:firstLine="0" w:firstLineChars="0"/>
              <w:jc w:val="center"/>
              <w:rPr>
                <w:color w:val="auto"/>
                <w:kern w:val="0"/>
                <w:sz w:val="21"/>
                <w:szCs w:val="21"/>
              </w:rPr>
            </w:pPr>
            <w:r>
              <w:rPr>
                <w:color w:val="auto"/>
                <w:kern w:val="0"/>
                <w:sz w:val="21"/>
                <w:szCs w:val="21"/>
                <w:lang w:bidi="ar"/>
              </w:rPr>
              <w:t xml:space="preserve">0.133 </w:t>
            </w:r>
          </w:p>
        </w:tc>
        <w:tc>
          <w:tcPr>
            <w:tcW w:w="934" w:type="pct"/>
            <w:vAlign w:val="center"/>
          </w:tcPr>
          <w:p w14:paraId="1FEE8DF2">
            <w:pPr>
              <w:widowControl/>
              <w:adjustRightInd/>
              <w:snapToGrid/>
              <w:spacing w:line="240" w:lineRule="auto"/>
              <w:ind w:firstLine="0" w:firstLineChars="0"/>
              <w:jc w:val="center"/>
              <w:rPr>
                <w:color w:val="auto"/>
                <w:kern w:val="0"/>
                <w:sz w:val="21"/>
                <w:szCs w:val="21"/>
              </w:rPr>
            </w:pPr>
            <w:r>
              <w:rPr>
                <w:color w:val="auto"/>
                <w:kern w:val="0"/>
                <w:sz w:val="21"/>
                <w:szCs w:val="21"/>
                <w:lang w:bidi="ar"/>
              </w:rPr>
              <w:t>0.237</w:t>
            </w:r>
          </w:p>
        </w:tc>
      </w:tr>
      <w:tr w14:paraId="10F49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35" w:type="pct"/>
            <w:vAlign w:val="center"/>
          </w:tcPr>
          <w:p w14:paraId="12C00A61">
            <w:pPr>
              <w:widowControl/>
              <w:adjustRightInd/>
              <w:snapToGrid/>
              <w:spacing w:line="240" w:lineRule="auto"/>
              <w:ind w:firstLine="0" w:firstLineChars="0"/>
              <w:jc w:val="center"/>
              <w:rPr>
                <w:color w:val="auto"/>
                <w:kern w:val="0"/>
                <w:sz w:val="21"/>
                <w:szCs w:val="21"/>
              </w:rPr>
            </w:pPr>
            <w:r>
              <w:rPr>
                <w:color w:val="auto"/>
                <w:kern w:val="0"/>
                <w:sz w:val="21"/>
                <w:szCs w:val="21"/>
              </w:rPr>
              <w:t>2</w:t>
            </w:r>
          </w:p>
        </w:tc>
        <w:tc>
          <w:tcPr>
            <w:tcW w:w="718" w:type="pct"/>
            <w:vMerge w:val="continue"/>
            <w:vAlign w:val="center"/>
          </w:tcPr>
          <w:p w14:paraId="6C5AF424">
            <w:pPr>
              <w:widowControl/>
              <w:adjustRightInd/>
              <w:snapToGrid/>
              <w:spacing w:line="240" w:lineRule="auto"/>
              <w:ind w:firstLine="0" w:firstLineChars="0"/>
              <w:jc w:val="center"/>
              <w:rPr>
                <w:color w:val="auto"/>
                <w:kern w:val="0"/>
                <w:sz w:val="21"/>
                <w:szCs w:val="21"/>
              </w:rPr>
            </w:pPr>
          </w:p>
        </w:tc>
        <w:tc>
          <w:tcPr>
            <w:tcW w:w="806" w:type="pct"/>
            <w:vAlign w:val="center"/>
          </w:tcPr>
          <w:p w14:paraId="7854FF29">
            <w:pPr>
              <w:widowControl/>
              <w:adjustRightInd/>
              <w:snapToGrid/>
              <w:spacing w:line="240" w:lineRule="auto"/>
              <w:ind w:firstLine="0" w:firstLineChars="0"/>
              <w:jc w:val="center"/>
              <w:rPr>
                <w:color w:val="auto"/>
                <w:kern w:val="0"/>
                <w:sz w:val="21"/>
                <w:szCs w:val="21"/>
              </w:rPr>
            </w:pPr>
            <w:r>
              <w:rPr>
                <w:color w:val="auto"/>
                <w:kern w:val="0"/>
                <w:sz w:val="21"/>
                <w:szCs w:val="21"/>
              </w:rPr>
              <w:t>颗粒物</w:t>
            </w:r>
          </w:p>
        </w:tc>
        <w:tc>
          <w:tcPr>
            <w:tcW w:w="992" w:type="pct"/>
            <w:vAlign w:val="center"/>
          </w:tcPr>
          <w:p w14:paraId="6FCDD249">
            <w:pPr>
              <w:widowControl/>
              <w:adjustRightInd/>
              <w:snapToGrid/>
              <w:spacing w:line="240" w:lineRule="auto"/>
              <w:ind w:firstLine="0" w:firstLineChars="0"/>
              <w:jc w:val="center"/>
              <w:rPr>
                <w:color w:val="auto"/>
                <w:kern w:val="0"/>
                <w:sz w:val="21"/>
                <w:szCs w:val="21"/>
              </w:rPr>
            </w:pPr>
            <w:r>
              <w:rPr>
                <w:rFonts w:hint="eastAsia"/>
                <w:color w:val="auto"/>
                <w:kern w:val="0"/>
                <w:sz w:val="21"/>
                <w:szCs w:val="21"/>
                <w:lang w:bidi="ar"/>
              </w:rPr>
              <w:t>6.215</w:t>
            </w:r>
          </w:p>
        </w:tc>
        <w:tc>
          <w:tcPr>
            <w:tcW w:w="1015" w:type="pct"/>
            <w:vAlign w:val="center"/>
          </w:tcPr>
          <w:p w14:paraId="4609273E">
            <w:pPr>
              <w:widowControl/>
              <w:adjustRightInd/>
              <w:snapToGrid/>
              <w:spacing w:line="240" w:lineRule="auto"/>
              <w:ind w:firstLine="0" w:firstLineChars="0"/>
              <w:jc w:val="center"/>
              <w:rPr>
                <w:color w:val="auto"/>
                <w:kern w:val="0"/>
                <w:sz w:val="21"/>
                <w:szCs w:val="21"/>
              </w:rPr>
            </w:pPr>
            <w:r>
              <w:rPr>
                <w:rFonts w:hint="eastAsia"/>
                <w:color w:val="auto"/>
                <w:kern w:val="0"/>
                <w:sz w:val="21"/>
                <w:szCs w:val="21"/>
                <w:lang w:bidi="ar"/>
              </w:rPr>
              <w:t>0.028</w:t>
            </w:r>
          </w:p>
        </w:tc>
        <w:tc>
          <w:tcPr>
            <w:tcW w:w="934" w:type="pct"/>
            <w:vAlign w:val="center"/>
          </w:tcPr>
          <w:p w14:paraId="68333E94">
            <w:pPr>
              <w:widowControl/>
              <w:adjustRightInd/>
              <w:snapToGrid/>
              <w:spacing w:line="240" w:lineRule="auto"/>
              <w:ind w:firstLine="0" w:firstLineChars="0"/>
              <w:jc w:val="center"/>
              <w:rPr>
                <w:color w:val="auto"/>
                <w:kern w:val="0"/>
                <w:sz w:val="21"/>
                <w:szCs w:val="21"/>
              </w:rPr>
            </w:pPr>
            <w:r>
              <w:rPr>
                <w:rFonts w:hint="eastAsia"/>
                <w:color w:val="auto"/>
                <w:kern w:val="0"/>
                <w:sz w:val="21"/>
                <w:szCs w:val="21"/>
                <w:lang w:bidi="ar"/>
              </w:rPr>
              <w:t>0.017</w:t>
            </w:r>
          </w:p>
        </w:tc>
      </w:tr>
      <w:tr w14:paraId="5D367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6"/>
            <w:vAlign w:val="center"/>
          </w:tcPr>
          <w:p w14:paraId="5E4D7962">
            <w:pPr>
              <w:widowControl/>
              <w:adjustRightInd/>
              <w:snapToGrid/>
              <w:spacing w:line="240" w:lineRule="auto"/>
              <w:ind w:firstLine="0" w:firstLineChars="0"/>
              <w:jc w:val="center"/>
              <w:rPr>
                <w:color w:val="auto"/>
                <w:kern w:val="0"/>
                <w:sz w:val="21"/>
                <w:szCs w:val="21"/>
              </w:rPr>
            </w:pPr>
            <w:r>
              <w:rPr>
                <w:color w:val="auto"/>
                <w:kern w:val="0"/>
                <w:sz w:val="21"/>
                <w:szCs w:val="21"/>
              </w:rPr>
              <w:t>有组织排放总计</w:t>
            </w:r>
          </w:p>
        </w:tc>
      </w:tr>
      <w:tr w14:paraId="6F261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5" w:type="pct"/>
            <w:vMerge w:val="restart"/>
            <w:vAlign w:val="center"/>
          </w:tcPr>
          <w:p w14:paraId="0E782868">
            <w:pPr>
              <w:widowControl/>
              <w:adjustRightInd/>
              <w:snapToGrid/>
              <w:spacing w:line="240" w:lineRule="auto"/>
              <w:ind w:firstLine="0" w:firstLineChars="0"/>
              <w:jc w:val="center"/>
              <w:rPr>
                <w:color w:val="auto"/>
                <w:kern w:val="0"/>
                <w:sz w:val="21"/>
                <w:szCs w:val="21"/>
              </w:rPr>
            </w:pPr>
            <w:r>
              <w:rPr>
                <w:color w:val="auto"/>
                <w:kern w:val="0"/>
                <w:sz w:val="21"/>
                <w:szCs w:val="21"/>
              </w:rPr>
              <w:t>有组织排放总计</w:t>
            </w:r>
          </w:p>
        </w:tc>
        <w:tc>
          <w:tcPr>
            <w:tcW w:w="3531" w:type="pct"/>
            <w:gridSpan w:val="4"/>
            <w:vAlign w:val="center"/>
          </w:tcPr>
          <w:p w14:paraId="32B2E005">
            <w:pPr>
              <w:widowControl/>
              <w:adjustRightInd/>
              <w:snapToGrid/>
              <w:spacing w:line="240" w:lineRule="auto"/>
              <w:ind w:firstLine="0" w:firstLineChars="0"/>
              <w:jc w:val="center"/>
              <w:rPr>
                <w:color w:val="auto"/>
                <w:kern w:val="0"/>
                <w:sz w:val="21"/>
                <w:szCs w:val="21"/>
              </w:rPr>
            </w:pPr>
            <w:r>
              <w:rPr>
                <w:color w:val="auto"/>
                <w:kern w:val="0"/>
                <w:sz w:val="21"/>
                <w:szCs w:val="21"/>
              </w:rPr>
              <w:t>氨</w:t>
            </w:r>
          </w:p>
        </w:tc>
        <w:tc>
          <w:tcPr>
            <w:tcW w:w="934" w:type="pct"/>
            <w:vAlign w:val="bottom"/>
          </w:tcPr>
          <w:p w14:paraId="1348E92D">
            <w:pPr>
              <w:spacing w:line="240" w:lineRule="auto"/>
              <w:ind w:firstLine="0" w:firstLineChars="0"/>
              <w:jc w:val="center"/>
              <w:rPr>
                <w:color w:val="auto"/>
                <w:sz w:val="21"/>
                <w:szCs w:val="21"/>
              </w:rPr>
            </w:pPr>
            <w:r>
              <w:rPr>
                <w:rFonts w:hint="eastAsia"/>
                <w:color w:val="auto"/>
                <w:kern w:val="0"/>
                <w:sz w:val="21"/>
                <w:szCs w:val="21"/>
              </w:rPr>
              <w:t>0.167</w:t>
            </w:r>
          </w:p>
        </w:tc>
      </w:tr>
      <w:tr w14:paraId="5DD76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5" w:type="pct"/>
            <w:vMerge w:val="continue"/>
            <w:vAlign w:val="center"/>
          </w:tcPr>
          <w:p w14:paraId="224699D6">
            <w:pPr>
              <w:widowControl/>
              <w:adjustRightInd/>
              <w:snapToGrid/>
              <w:spacing w:line="240" w:lineRule="auto"/>
              <w:ind w:firstLine="0" w:firstLineChars="0"/>
              <w:jc w:val="center"/>
              <w:rPr>
                <w:color w:val="auto"/>
                <w:kern w:val="0"/>
                <w:sz w:val="21"/>
                <w:szCs w:val="21"/>
              </w:rPr>
            </w:pPr>
          </w:p>
        </w:tc>
        <w:tc>
          <w:tcPr>
            <w:tcW w:w="3531" w:type="pct"/>
            <w:gridSpan w:val="4"/>
            <w:vAlign w:val="center"/>
          </w:tcPr>
          <w:p w14:paraId="09886F5A">
            <w:pPr>
              <w:widowControl/>
              <w:adjustRightInd/>
              <w:snapToGrid/>
              <w:spacing w:line="240" w:lineRule="auto"/>
              <w:ind w:firstLine="0" w:firstLineChars="0"/>
              <w:jc w:val="center"/>
              <w:rPr>
                <w:color w:val="auto"/>
                <w:kern w:val="0"/>
                <w:sz w:val="21"/>
                <w:szCs w:val="21"/>
              </w:rPr>
            </w:pPr>
            <w:r>
              <w:rPr>
                <w:color w:val="auto"/>
                <w:kern w:val="0"/>
                <w:sz w:val="21"/>
                <w:szCs w:val="21"/>
              </w:rPr>
              <w:t>二氧化硫</w:t>
            </w:r>
          </w:p>
        </w:tc>
        <w:tc>
          <w:tcPr>
            <w:tcW w:w="934" w:type="pct"/>
            <w:vAlign w:val="center"/>
          </w:tcPr>
          <w:p w14:paraId="5224838B">
            <w:pPr>
              <w:spacing w:line="240" w:lineRule="auto"/>
              <w:ind w:firstLine="0" w:firstLineChars="0"/>
              <w:jc w:val="center"/>
              <w:rPr>
                <w:color w:val="auto"/>
                <w:sz w:val="21"/>
                <w:szCs w:val="21"/>
              </w:rPr>
            </w:pPr>
            <w:r>
              <w:rPr>
                <w:color w:val="auto"/>
                <w:kern w:val="0"/>
                <w:sz w:val="21"/>
                <w:szCs w:val="21"/>
                <w:lang w:bidi="ar"/>
              </w:rPr>
              <w:t xml:space="preserve">0.237 </w:t>
            </w:r>
          </w:p>
        </w:tc>
      </w:tr>
      <w:tr w14:paraId="77650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5" w:type="pct"/>
            <w:vMerge w:val="continue"/>
            <w:vAlign w:val="center"/>
          </w:tcPr>
          <w:p w14:paraId="2A8B17E0">
            <w:pPr>
              <w:widowControl/>
              <w:adjustRightInd/>
              <w:snapToGrid/>
              <w:spacing w:line="240" w:lineRule="auto"/>
              <w:ind w:firstLine="0" w:firstLineChars="0"/>
              <w:jc w:val="center"/>
              <w:rPr>
                <w:color w:val="auto"/>
                <w:kern w:val="0"/>
                <w:sz w:val="21"/>
                <w:szCs w:val="21"/>
              </w:rPr>
            </w:pPr>
          </w:p>
        </w:tc>
        <w:tc>
          <w:tcPr>
            <w:tcW w:w="3531" w:type="pct"/>
            <w:gridSpan w:val="4"/>
            <w:vAlign w:val="center"/>
          </w:tcPr>
          <w:p w14:paraId="351FBC79">
            <w:pPr>
              <w:widowControl/>
              <w:adjustRightInd/>
              <w:snapToGrid/>
              <w:spacing w:line="240" w:lineRule="auto"/>
              <w:ind w:firstLine="0" w:firstLineChars="0"/>
              <w:jc w:val="center"/>
              <w:rPr>
                <w:color w:val="auto"/>
                <w:kern w:val="0"/>
                <w:sz w:val="21"/>
                <w:szCs w:val="21"/>
              </w:rPr>
            </w:pPr>
            <w:r>
              <w:rPr>
                <w:color w:val="auto"/>
                <w:kern w:val="0"/>
                <w:sz w:val="21"/>
                <w:szCs w:val="21"/>
              </w:rPr>
              <w:t>颗粒物</w:t>
            </w:r>
          </w:p>
        </w:tc>
        <w:tc>
          <w:tcPr>
            <w:tcW w:w="934" w:type="pct"/>
            <w:vAlign w:val="center"/>
          </w:tcPr>
          <w:p w14:paraId="1D8E4E78">
            <w:pPr>
              <w:spacing w:line="240" w:lineRule="auto"/>
              <w:ind w:firstLine="0" w:firstLineChars="0"/>
              <w:jc w:val="center"/>
              <w:rPr>
                <w:color w:val="auto"/>
                <w:sz w:val="21"/>
                <w:szCs w:val="21"/>
              </w:rPr>
            </w:pPr>
            <w:r>
              <w:rPr>
                <w:color w:val="auto"/>
                <w:kern w:val="0"/>
                <w:sz w:val="21"/>
                <w:szCs w:val="21"/>
                <w:lang w:bidi="ar"/>
              </w:rPr>
              <w:t>0.0</w:t>
            </w:r>
            <w:r>
              <w:rPr>
                <w:rFonts w:hint="eastAsia"/>
                <w:color w:val="auto"/>
                <w:kern w:val="0"/>
                <w:sz w:val="21"/>
                <w:szCs w:val="21"/>
                <w:lang w:bidi="ar"/>
              </w:rPr>
              <w:t>17</w:t>
            </w:r>
          </w:p>
        </w:tc>
      </w:tr>
    </w:tbl>
    <w:p w14:paraId="4062183B">
      <w:pPr>
        <w:ind w:firstLine="482"/>
        <w:jc w:val="center"/>
        <w:rPr>
          <w:b/>
          <w:bCs/>
          <w:color w:val="auto"/>
        </w:rPr>
      </w:pPr>
      <w:r>
        <w:rPr>
          <w:rFonts w:hint="eastAsia"/>
          <w:b/>
          <w:bCs/>
          <w:color w:val="auto"/>
        </w:rPr>
        <w:t>表6.1.4-2 大气污染物无组织排放量核算表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5"/>
        <w:gridCol w:w="800"/>
        <w:gridCol w:w="881"/>
        <w:gridCol w:w="906"/>
        <w:gridCol w:w="2327"/>
        <w:gridCol w:w="1764"/>
        <w:gridCol w:w="1216"/>
        <w:gridCol w:w="929"/>
      </w:tblGrid>
      <w:tr w14:paraId="5B010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23" w:type="pct"/>
            <w:vMerge w:val="restart"/>
            <w:vAlign w:val="center"/>
          </w:tcPr>
          <w:p w14:paraId="0D241457">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序号</w:t>
            </w:r>
          </w:p>
        </w:tc>
        <w:tc>
          <w:tcPr>
            <w:tcW w:w="415" w:type="pct"/>
            <w:vMerge w:val="restart"/>
            <w:vAlign w:val="center"/>
          </w:tcPr>
          <w:p w14:paraId="3C2D0EF2">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排放口编号</w:t>
            </w:r>
          </w:p>
        </w:tc>
        <w:tc>
          <w:tcPr>
            <w:tcW w:w="457" w:type="pct"/>
            <w:vMerge w:val="restart"/>
            <w:vAlign w:val="center"/>
          </w:tcPr>
          <w:p w14:paraId="27A31C61">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产污环节</w:t>
            </w:r>
          </w:p>
        </w:tc>
        <w:tc>
          <w:tcPr>
            <w:tcW w:w="470" w:type="pct"/>
            <w:vMerge w:val="restart"/>
            <w:vAlign w:val="center"/>
          </w:tcPr>
          <w:p w14:paraId="37846D23">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污染物</w:t>
            </w:r>
          </w:p>
        </w:tc>
        <w:tc>
          <w:tcPr>
            <w:tcW w:w="1207" w:type="pct"/>
            <w:vMerge w:val="restart"/>
            <w:vAlign w:val="center"/>
          </w:tcPr>
          <w:p w14:paraId="6E5B9E85">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主要防治措施</w:t>
            </w:r>
          </w:p>
        </w:tc>
        <w:tc>
          <w:tcPr>
            <w:tcW w:w="1546" w:type="pct"/>
            <w:gridSpan w:val="2"/>
            <w:vAlign w:val="center"/>
          </w:tcPr>
          <w:p w14:paraId="4BDD471B">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国家或地方污染物排放标准</w:t>
            </w:r>
          </w:p>
        </w:tc>
        <w:tc>
          <w:tcPr>
            <w:tcW w:w="482" w:type="pct"/>
            <w:vAlign w:val="center"/>
          </w:tcPr>
          <w:p w14:paraId="02FDBB24">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年排放量</w:t>
            </w:r>
          </w:p>
        </w:tc>
      </w:tr>
      <w:tr w14:paraId="65CF5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23" w:type="pct"/>
            <w:vMerge w:val="continue"/>
            <w:vAlign w:val="center"/>
          </w:tcPr>
          <w:p w14:paraId="52CAB5E7">
            <w:pPr>
              <w:adjustRightInd/>
              <w:snapToGrid/>
              <w:spacing w:line="240" w:lineRule="auto"/>
              <w:ind w:firstLine="0" w:firstLineChars="0"/>
              <w:jc w:val="center"/>
              <w:rPr>
                <w:color w:val="auto"/>
                <w:sz w:val="21"/>
                <w:szCs w:val="21"/>
                <w14:ligatures w14:val="standardContextual"/>
              </w:rPr>
            </w:pPr>
          </w:p>
        </w:tc>
        <w:tc>
          <w:tcPr>
            <w:tcW w:w="415" w:type="pct"/>
            <w:vMerge w:val="continue"/>
            <w:vAlign w:val="center"/>
          </w:tcPr>
          <w:p w14:paraId="45B1523C">
            <w:pPr>
              <w:adjustRightInd/>
              <w:snapToGrid/>
              <w:spacing w:line="240" w:lineRule="auto"/>
              <w:ind w:firstLine="0" w:firstLineChars="0"/>
              <w:jc w:val="center"/>
              <w:rPr>
                <w:color w:val="auto"/>
                <w:sz w:val="21"/>
                <w:szCs w:val="21"/>
                <w14:ligatures w14:val="standardContextual"/>
              </w:rPr>
            </w:pPr>
          </w:p>
        </w:tc>
        <w:tc>
          <w:tcPr>
            <w:tcW w:w="457" w:type="pct"/>
            <w:vMerge w:val="continue"/>
            <w:vAlign w:val="center"/>
          </w:tcPr>
          <w:p w14:paraId="3EAC902E">
            <w:pPr>
              <w:adjustRightInd/>
              <w:snapToGrid/>
              <w:spacing w:line="240" w:lineRule="auto"/>
              <w:ind w:firstLine="0" w:firstLineChars="0"/>
              <w:jc w:val="center"/>
              <w:rPr>
                <w:color w:val="auto"/>
                <w:sz w:val="21"/>
                <w:szCs w:val="21"/>
                <w14:ligatures w14:val="standardContextual"/>
              </w:rPr>
            </w:pPr>
          </w:p>
        </w:tc>
        <w:tc>
          <w:tcPr>
            <w:tcW w:w="470" w:type="pct"/>
            <w:vMerge w:val="continue"/>
            <w:vAlign w:val="center"/>
          </w:tcPr>
          <w:p w14:paraId="7D23FA04">
            <w:pPr>
              <w:adjustRightInd/>
              <w:snapToGrid/>
              <w:spacing w:line="240" w:lineRule="auto"/>
              <w:ind w:firstLine="0" w:firstLineChars="0"/>
              <w:jc w:val="center"/>
              <w:rPr>
                <w:color w:val="auto"/>
                <w:sz w:val="21"/>
                <w:szCs w:val="21"/>
                <w14:ligatures w14:val="standardContextual"/>
              </w:rPr>
            </w:pPr>
          </w:p>
        </w:tc>
        <w:tc>
          <w:tcPr>
            <w:tcW w:w="1207" w:type="pct"/>
            <w:vMerge w:val="continue"/>
            <w:vAlign w:val="center"/>
          </w:tcPr>
          <w:p w14:paraId="683B6C54">
            <w:pPr>
              <w:adjustRightInd/>
              <w:snapToGrid/>
              <w:spacing w:line="240" w:lineRule="auto"/>
              <w:ind w:firstLine="0" w:firstLineChars="0"/>
              <w:jc w:val="center"/>
              <w:rPr>
                <w:color w:val="auto"/>
                <w:sz w:val="21"/>
                <w:szCs w:val="21"/>
                <w14:ligatures w14:val="standardContextual"/>
              </w:rPr>
            </w:pPr>
          </w:p>
        </w:tc>
        <w:tc>
          <w:tcPr>
            <w:tcW w:w="915" w:type="pct"/>
            <w:vMerge w:val="restart"/>
            <w:vAlign w:val="center"/>
          </w:tcPr>
          <w:p w14:paraId="4AB7BC8A">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标准名称</w:t>
            </w:r>
          </w:p>
        </w:tc>
        <w:tc>
          <w:tcPr>
            <w:tcW w:w="631" w:type="pct"/>
            <w:vAlign w:val="center"/>
          </w:tcPr>
          <w:p w14:paraId="05C8D4CD">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标准限值</w:t>
            </w:r>
          </w:p>
        </w:tc>
        <w:tc>
          <w:tcPr>
            <w:tcW w:w="482" w:type="pct"/>
            <w:vMerge w:val="restart"/>
            <w:vAlign w:val="center"/>
          </w:tcPr>
          <w:p w14:paraId="049867B6">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t/a</w:t>
            </w:r>
          </w:p>
        </w:tc>
      </w:tr>
      <w:tr w14:paraId="46A49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23" w:type="pct"/>
            <w:vMerge w:val="continue"/>
            <w:vAlign w:val="center"/>
          </w:tcPr>
          <w:p w14:paraId="5F3659B1">
            <w:pPr>
              <w:adjustRightInd/>
              <w:snapToGrid/>
              <w:spacing w:line="240" w:lineRule="auto"/>
              <w:ind w:firstLine="0" w:firstLineChars="0"/>
              <w:jc w:val="center"/>
              <w:rPr>
                <w:color w:val="auto"/>
                <w:sz w:val="21"/>
                <w:szCs w:val="21"/>
                <w14:ligatures w14:val="standardContextual"/>
              </w:rPr>
            </w:pPr>
          </w:p>
        </w:tc>
        <w:tc>
          <w:tcPr>
            <w:tcW w:w="415" w:type="pct"/>
            <w:vMerge w:val="continue"/>
            <w:vAlign w:val="center"/>
          </w:tcPr>
          <w:p w14:paraId="431BCD0B">
            <w:pPr>
              <w:adjustRightInd/>
              <w:snapToGrid/>
              <w:spacing w:line="240" w:lineRule="auto"/>
              <w:ind w:firstLine="0" w:firstLineChars="0"/>
              <w:jc w:val="center"/>
              <w:rPr>
                <w:color w:val="auto"/>
                <w:sz w:val="21"/>
                <w:szCs w:val="21"/>
                <w14:ligatures w14:val="standardContextual"/>
              </w:rPr>
            </w:pPr>
          </w:p>
        </w:tc>
        <w:tc>
          <w:tcPr>
            <w:tcW w:w="457" w:type="pct"/>
            <w:vMerge w:val="continue"/>
            <w:vAlign w:val="center"/>
          </w:tcPr>
          <w:p w14:paraId="1C95EE7F">
            <w:pPr>
              <w:adjustRightInd/>
              <w:snapToGrid/>
              <w:spacing w:line="240" w:lineRule="auto"/>
              <w:ind w:firstLine="0" w:firstLineChars="0"/>
              <w:jc w:val="center"/>
              <w:rPr>
                <w:color w:val="auto"/>
                <w:sz w:val="21"/>
                <w:szCs w:val="21"/>
                <w14:ligatures w14:val="standardContextual"/>
              </w:rPr>
            </w:pPr>
          </w:p>
        </w:tc>
        <w:tc>
          <w:tcPr>
            <w:tcW w:w="470" w:type="pct"/>
            <w:vMerge w:val="continue"/>
            <w:vAlign w:val="center"/>
          </w:tcPr>
          <w:p w14:paraId="3EEB4D43">
            <w:pPr>
              <w:adjustRightInd/>
              <w:snapToGrid/>
              <w:spacing w:line="240" w:lineRule="auto"/>
              <w:ind w:firstLine="0" w:firstLineChars="0"/>
              <w:jc w:val="center"/>
              <w:rPr>
                <w:color w:val="auto"/>
                <w:sz w:val="21"/>
                <w:szCs w:val="21"/>
                <w14:ligatures w14:val="standardContextual"/>
              </w:rPr>
            </w:pPr>
          </w:p>
        </w:tc>
        <w:tc>
          <w:tcPr>
            <w:tcW w:w="1207" w:type="pct"/>
            <w:vMerge w:val="continue"/>
            <w:vAlign w:val="center"/>
          </w:tcPr>
          <w:p w14:paraId="63FFD5FC">
            <w:pPr>
              <w:adjustRightInd/>
              <w:snapToGrid/>
              <w:spacing w:line="240" w:lineRule="auto"/>
              <w:ind w:firstLine="0" w:firstLineChars="0"/>
              <w:jc w:val="center"/>
              <w:rPr>
                <w:color w:val="auto"/>
                <w:sz w:val="21"/>
                <w:szCs w:val="21"/>
                <w14:ligatures w14:val="standardContextual"/>
              </w:rPr>
            </w:pPr>
          </w:p>
        </w:tc>
        <w:tc>
          <w:tcPr>
            <w:tcW w:w="915" w:type="pct"/>
            <w:vMerge w:val="continue"/>
            <w:vAlign w:val="center"/>
          </w:tcPr>
          <w:p w14:paraId="68C10BCC">
            <w:pPr>
              <w:adjustRightInd/>
              <w:snapToGrid/>
              <w:spacing w:line="240" w:lineRule="auto"/>
              <w:ind w:firstLine="0" w:firstLineChars="0"/>
              <w:jc w:val="center"/>
              <w:rPr>
                <w:color w:val="auto"/>
                <w:sz w:val="21"/>
                <w:szCs w:val="21"/>
                <w14:ligatures w14:val="standardContextual"/>
              </w:rPr>
            </w:pPr>
          </w:p>
        </w:tc>
        <w:tc>
          <w:tcPr>
            <w:tcW w:w="631" w:type="pct"/>
            <w:vAlign w:val="center"/>
          </w:tcPr>
          <w:p w14:paraId="50EE767D">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（mg/m</w:t>
            </w:r>
            <w:r>
              <w:rPr>
                <w:color w:val="auto"/>
                <w:sz w:val="21"/>
                <w:szCs w:val="21"/>
                <w:vertAlign w:val="superscript"/>
                <w14:ligatures w14:val="standardContextual"/>
              </w:rPr>
              <w:t>3</w:t>
            </w:r>
            <w:r>
              <w:rPr>
                <w:color w:val="auto"/>
                <w:sz w:val="21"/>
                <w:szCs w:val="21"/>
                <w14:ligatures w14:val="standardContextual"/>
              </w:rPr>
              <w:t>）</w:t>
            </w:r>
          </w:p>
        </w:tc>
        <w:tc>
          <w:tcPr>
            <w:tcW w:w="482" w:type="pct"/>
            <w:vMerge w:val="continue"/>
            <w:vAlign w:val="center"/>
          </w:tcPr>
          <w:p w14:paraId="67446A08">
            <w:pPr>
              <w:adjustRightInd/>
              <w:snapToGrid/>
              <w:spacing w:line="240" w:lineRule="auto"/>
              <w:ind w:firstLine="0" w:firstLineChars="0"/>
              <w:jc w:val="center"/>
              <w:rPr>
                <w:color w:val="auto"/>
                <w:sz w:val="21"/>
                <w:szCs w:val="21"/>
                <w14:ligatures w14:val="standardContextual"/>
              </w:rPr>
            </w:pPr>
          </w:p>
        </w:tc>
      </w:tr>
      <w:tr w14:paraId="09708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23" w:type="pct"/>
            <w:vAlign w:val="center"/>
          </w:tcPr>
          <w:p w14:paraId="34946993">
            <w:pPr>
              <w:adjustRightInd/>
              <w:snapToGrid/>
              <w:spacing w:line="240" w:lineRule="auto"/>
              <w:ind w:firstLine="0" w:firstLineChars="0"/>
              <w:jc w:val="center"/>
              <w:rPr>
                <w:color w:val="auto"/>
                <w:sz w:val="21"/>
                <w:szCs w:val="21"/>
                <w14:ligatures w14:val="standardContextual"/>
              </w:rPr>
            </w:pPr>
            <w:r>
              <w:rPr>
                <w:rFonts w:hint="eastAsia"/>
                <w:color w:val="auto"/>
                <w:sz w:val="21"/>
                <w:szCs w:val="21"/>
                <w14:ligatures w14:val="standardContextual"/>
              </w:rPr>
              <w:t>1</w:t>
            </w:r>
          </w:p>
        </w:tc>
        <w:tc>
          <w:tcPr>
            <w:tcW w:w="415" w:type="pct"/>
            <w:vAlign w:val="center"/>
          </w:tcPr>
          <w:p w14:paraId="3CA2F2E9">
            <w:pPr>
              <w:adjustRightInd/>
              <w:snapToGrid/>
              <w:spacing w:line="240" w:lineRule="auto"/>
              <w:ind w:firstLine="0" w:firstLineChars="0"/>
              <w:jc w:val="center"/>
              <w:rPr>
                <w:color w:val="auto"/>
                <w:sz w:val="21"/>
                <w:szCs w:val="21"/>
                <w14:ligatures w14:val="standardContextual"/>
              </w:rPr>
            </w:pPr>
            <w:r>
              <w:rPr>
                <w:rFonts w:hint="eastAsia"/>
                <w:color w:val="auto"/>
                <w:sz w:val="21"/>
                <w:szCs w:val="21"/>
                <w14:ligatures w14:val="standardContextual"/>
              </w:rPr>
              <w:t>1#戊类罐区</w:t>
            </w:r>
          </w:p>
        </w:tc>
        <w:tc>
          <w:tcPr>
            <w:tcW w:w="457" w:type="pct"/>
            <w:vAlign w:val="center"/>
          </w:tcPr>
          <w:p w14:paraId="524DAB90">
            <w:pPr>
              <w:adjustRightInd/>
              <w:snapToGrid/>
              <w:spacing w:line="240" w:lineRule="auto"/>
              <w:ind w:firstLine="0" w:firstLineChars="0"/>
              <w:jc w:val="center"/>
              <w:rPr>
                <w:color w:val="auto"/>
                <w:sz w:val="21"/>
                <w:szCs w:val="21"/>
                <w14:ligatures w14:val="standardContextual"/>
              </w:rPr>
            </w:pPr>
            <w:r>
              <w:rPr>
                <w:rFonts w:hint="eastAsia"/>
                <w:color w:val="auto"/>
                <w:sz w:val="21"/>
                <w:szCs w:val="21"/>
                <w14:ligatures w14:val="standardContextual"/>
              </w:rPr>
              <w:t>储罐呼吸</w:t>
            </w:r>
          </w:p>
        </w:tc>
        <w:tc>
          <w:tcPr>
            <w:tcW w:w="470" w:type="pct"/>
            <w:vAlign w:val="center"/>
          </w:tcPr>
          <w:p w14:paraId="08BB81C4">
            <w:pPr>
              <w:adjustRightInd/>
              <w:snapToGrid/>
              <w:spacing w:line="240" w:lineRule="auto"/>
              <w:ind w:firstLine="0" w:firstLineChars="0"/>
              <w:jc w:val="center"/>
              <w:rPr>
                <w:color w:val="auto"/>
                <w:sz w:val="21"/>
                <w:szCs w:val="21"/>
                <w14:ligatures w14:val="standardContextual"/>
              </w:rPr>
            </w:pPr>
            <w:r>
              <w:rPr>
                <w:rFonts w:hint="eastAsia"/>
                <w:color w:val="auto"/>
                <w:sz w:val="21"/>
                <w:szCs w:val="21"/>
                <w14:ligatures w14:val="standardContextual"/>
              </w:rPr>
              <w:t>氨</w:t>
            </w:r>
          </w:p>
        </w:tc>
        <w:tc>
          <w:tcPr>
            <w:tcW w:w="1207" w:type="pct"/>
            <w:vAlign w:val="center"/>
          </w:tcPr>
          <w:p w14:paraId="1C6DF680">
            <w:pPr>
              <w:adjustRightInd/>
              <w:snapToGrid/>
              <w:spacing w:line="240" w:lineRule="auto"/>
              <w:ind w:firstLine="0" w:firstLineChars="0"/>
              <w:jc w:val="center"/>
              <w:rPr>
                <w:color w:val="auto"/>
                <w:sz w:val="21"/>
                <w:szCs w:val="21"/>
                <w14:ligatures w14:val="standardContextual"/>
              </w:rPr>
            </w:pPr>
            <w:r>
              <w:rPr>
                <w:rFonts w:hint="eastAsia"/>
                <w:color w:val="auto"/>
                <w:sz w:val="21"/>
                <w:szCs w:val="21"/>
                <w14:ligatures w14:val="standardContextual"/>
              </w:rPr>
              <w:t>气相平衡；定期检查管道设备密封性，保证收集效率等。</w:t>
            </w:r>
          </w:p>
        </w:tc>
        <w:tc>
          <w:tcPr>
            <w:tcW w:w="915" w:type="pct"/>
            <w:vAlign w:val="center"/>
          </w:tcPr>
          <w:p w14:paraId="41964C1D">
            <w:pPr>
              <w:adjustRightInd/>
              <w:snapToGrid/>
              <w:spacing w:line="240" w:lineRule="auto"/>
              <w:ind w:firstLine="0" w:firstLineChars="0"/>
              <w:jc w:val="center"/>
              <w:rPr>
                <w:color w:val="auto"/>
                <w:sz w:val="21"/>
                <w:szCs w:val="21"/>
                <w14:ligatures w14:val="standardContextual"/>
              </w:rPr>
            </w:pPr>
            <w:r>
              <w:rPr>
                <w:rFonts w:hint="eastAsia"/>
                <w:color w:val="auto"/>
                <w:sz w:val="21"/>
                <w:szCs w:val="21"/>
              </w:rPr>
              <w:t>GB31573-2015</w:t>
            </w:r>
          </w:p>
        </w:tc>
        <w:tc>
          <w:tcPr>
            <w:tcW w:w="631" w:type="pct"/>
            <w:vAlign w:val="center"/>
          </w:tcPr>
          <w:p w14:paraId="3DF2D68B">
            <w:pPr>
              <w:adjustRightInd/>
              <w:snapToGrid/>
              <w:spacing w:line="240" w:lineRule="auto"/>
              <w:ind w:firstLine="0" w:firstLineChars="0"/>
              <w:jc w:val="center"/>
              <w:rPr>
                <w:color w:val="auto"/>
                <w:sz w:val="21"/>
                <w:szCs w:val="21"/>
                <w14:ligatures w14:val="standardContextual"/>
              </w:rPr>
            </w:pPr>
            <w:r>
              <w:rPr>
                <w:rFonts w:hint="eastAsia"/>
                <w:color w:val="auto"/>
                <w:sz w:val="21"/>
                <w:szCs w:val="21"/>
                <w14:ligatures w14:val="standardContextual"/>
              </w:rPr>
              <w:t>0.3</w:t>
            </w:r>
          </w:p>
        </w:tc>
        <w:tc>
          <w:tcPr>
            <w:tcW w:w="482" w:type="pct"/>
            <w:vAlign w:val="center"/>
          </w:tcPr>
          <w:p w14:paraId="281D5C74">
            <w:pPr>
              <w:adjustRightInd/>
              <w:snapToGrid/>
              <w:spacing w:line="240" w:lineRule="auto"/>
              <w:ind w:firstLine="0" w:firstLineChars="0"/>
              <w:jc w:val="center"/>
              <w:rPr>
                <w:color w:val="auto"/>
                <w:sz w:val="21"/>
                <w:szCs w:val="21"/>
                <w14:ligatures w14:val="standardContextual"/>
              </w:rPr>
            </w:pPr>
            <w:r>
              <w:rPr>
                <w:rFonts w:hint="eastAsia"/>
                <w:color w:val="auto"/>
                <w:sz w:val="21"/>
                <w:szCs w:val="21"/>
                <w14:ligatures w14:val="standardContextual"/>
              </w:rPr>
              <w:t>0.0019</w:t>
            </w:r>
          </w:p>
        </w:tc>
      </w:tr>
      <w:tr w14:paraId="53D22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8"/>
            <w:vAlign w:val="center"/>
          </w:tcPr>
          <w:p w14:paraId="390A1B9D">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无组织排放总计</w:t>
            </w:r>
          </w:p>
        </w:tc>
      </w:tr>
      <w:tr w14:paraId="41F4E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38" w:type="pct"/>
            <w:gridSpan w:val="2"/>
            <w:vAlign w:val="center"/>
          </w:tcPr>
          <w:p w14:paraId="3F6FADF9">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无组织排放总计</w:t>
            </w:r>
          </w:p>
        </w:tc>
        <w:tc>
          <w:tcPr>
            <w:tcW w:w="3680" w:type="pct"/>
            <w:gridSpan w:val="5"/>
            <w:vAlign w:val="center"/>
          </w:tcPr>
          <w:p w14:paraId="3A71FDFA">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氨</w:t>
            </w:r>
          </w:p>
        </w:tc>
        <w:tc>
          <w:tcPr>
            <w:tcW w:w="482" w:type="pct"/>
            <w:vAlign w:val="center"/>
          </w:tcPr>
          <w:p w14:paraId="42293577">
            <w:pPr>
              <w:adjustRightInd/>
              <w:snapToGrid/>
              <w:spacing w:line="240" w:lineRule="auto"/>
              <w:ind w:firstLine="0" w:firstLineChars="0"/>
              <w:jc w:val="center"/>
              <w:rPr>
                <w:color w:val="auto"/>
                <w:sz w:val="21"/>
                <w:szCs w:val="21"/>
                <w14:ligatures w14:val="standardContextual"/>
              </w:rPr>
            </w:pPr>
            <w:r>
              <w:rPr>
                <w:color w:val="auto"/>
                <w:sz w:val="21"/>
                <w:szCs w:val="21"/>
                <w14:ligatures w14:val="standardContextual"/>
              </w:rPr>
              <w:t>0.00</w:t>
            </w:r>
            <w:r>
              <w:rPr>
                <w:rFonts w:hint="eastAsia"/>
                <w:color w:val="auto"/>
                <w:sz w:val="21"/>
                <w:szCs w:val="21"/>
                <w14:ligatures w14:val="standardContextual"/>
              </w:rPr>
              <w:t>19</w:t>
            </w:r>
          </w:p>
        </w:tc>
      </w:tr>
    </w:tbl>
    <w:p w14:paraId="322D030F">
      <w:pPr>
        <w:ind w:firstLine="482"/>
        <w:jc w:val="center"/>
        <w:rPr>
          <w:b/>
          <w:bCs/>
          <w:color w:val="auto"/>
        </w:rPr>
      </w:pPr>
      <w:r>
        <w:rPr>
          <w:rFonts w:hint="eastAsia"/>
          <w:b/>
          <w:bCs/>
          <w:color w:val="auto"/>
        </w:rPr>
        <w:t>表6.1.4-3 大气污染物年排放量核算表</w:t>
      </w:r>
    </w:p>
    <w:tbl>
      <w:tblPr>
        <w:tblStyle w:val="6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768"/>
        <w:gridCol w:w="3284"/>
      </w:tblGrid>
      <w:tr w14:paraId="6B03B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14:paraId="726165B3">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sz w:val="21"/>
                <w:szCs w:val="21"/>
                <w14:ligatures w14:val="standardContextual"/>
              </w:rPr>
              <w:t>序号</w:t>
            </w:r>
          </w:p>
        </w:tc>
        <w:tc>
          <w:tcPr>
            <w:tcW w:w="1912" w:type="pct"/>
            <w:vAlign w:val="center"/>
          </w:tcPr>
          <w:p w14:paraId="1D87795E">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sz w:val="21"/>
                <w:szCs w:val="21"/>
                <w14:ligatures w14:val="standardContextual"/>
              </w:rPr>
              <w:t>污染物</w:t>
            </w:r>
          </w:p>
        </w:tc>
        <w:tc>
          <w:tcPr>
            <w:tcW w:w="1666" w:type="pct"/>
            <w:vAlign w:val="center"/>
          </w:tcPr>
          <w:p w14:paraId="7147D001">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sz w:val="21"/>
                <w:szCs w:val="21"/>
                <w14:ligatures w14:val="standardContextual"/>
              </w:rPr>
              <w:t>年排放量t/a</w:t>
            </w:r>
          </w:p>
        </w:tc>
      </w:tr>
      <w:tr w14:paraId="2F109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14:paraId="08154F49">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sz w:val="21"/>
                <w:szCs w:val="21"/>
                <w14:ligatures w14:val="standardContextual"/>
              </w:rPr>
              <w:t>1</w:t>
            </w:r>
          </w:p>
        </w:tc>
        <w:tc>
          <w:tcPr>
            <w:tcW w:w="1912" w:type="pct"/>
            <w:vAlign w:val="center"/>
          </w:tcPr>
          <w:p w14:paraId="348F6396">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kern w:val="0"/>
                <w:sz w:val="21"/>
                <w:szCs w:val="21"/>
                <w14:ligatures w14:val="standardContextual"/>
              </w:rPr>
              <w:t>氨</w:t>
            </w:r>
          </w:p>
        </w:tc>
        <w:tc>
          <w:tcPr>
            <w:tcW w:w="1666" w:type="pct"/>
            <w:vAlign w:val="bottom"/>
          </w:tcPr>
          <w:p w14:paraId="7BEC3094">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hint="eastAsia" w:ascii="等线" w:hAnsi="等线" w:eastAsia="等线"/>
                <w:color w:val="auto"/>
                <w:sz w:val="21"/>
                <w:szCs w:val="21"/>
                <w14:ligatures w14:val="standardContextual"/>
              </w:rPr>
              <w:t>0.169</w:t>
            </w:r>
          </w:p>
        </w:tc>
      </w:tr>
      <w:tr w14:paraId="73E72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14:paraId="2B32C8B9">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sz w:val="21"/>
                <w:szCs w:val="21"/>
                <w14:ligatures w14:val="standardContextual"/>
              </w:rPr>
              <w:t>2</w:t>
            </w:r>
          </w:p>
        </w:tc>
        <w:tc>
          <w:tcPr>
            <w:tcW w:w="1912" w:type="pct"/>
            <w:vAlign w:val="center"/>
          </w:tcPr>
          <w:p w14:paraId="564B23BE">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kern w:val="0"/>
                <w:sz w:val="21"/>
                <w:szCs w:val="21"/>
                <w14:ligatures w14:val="standardContextual"/>
              </w:rPr>
              <w:t>二氧化硫</w:t>
            </w:r>
          </w:p>
        </w:tc>
        <w:tc>
          <w:tcPr>
            <w:tcW w:w="1666" w:type="pct"/>
            <w:vAlign w:val="center"/>
          </w:tcPr>
          <w:p w14:paraId="1BA71541">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kern w:val="0"/>
                <w:sz w:val="21"/>
                <w:szCs w:val="21"/>
                <w:lang w:bidi="ar"/>
                <w14:ligatures w14:val="standardContextual"/>
              </w:rPr>
              <w:t xml:space="preserve">0.237 </w:t>
            </w:r>
          </w:p>
        </w:tc>
      </w:tr>
      <w:tr w14:paraId="5E728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14:paraId="04F553C7">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sz w:val="21"/>
                <w:szCs w:val="21"/>
                <w14:ligatures w14:val="standardContextual"/>
              </w:rPr>
              <w:t>3</w:t>
            </w:r>
          </w:p>
        </w:tc>
        <w:tc>
          <w:tcPr>
            <w:tcW w:w="1912" w:type="pct"/>
            <w:vAlign w:val="center"/>
          </w:tcPr>
          <w:p w14:paraId="529BB3D0">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kern w:val="0"/>
                <w:sz w:val="21"/>
                <w:szCs w:val="21"/>
                <w14:ligatures w14:val="standardContextual"/>
              </w:rPr>
              <w:t>颗粒物</w:t>
            </w:r>
          </w:p>
        </w:tc>
        <w:tc>
          <w:tcPr>
            <w:tcW w:w="1666" w:type="pct"/>
            <w:vAlign w:val="center"/>
          </w:tcPr>
          <w:p w14:paraId="3A4E0715">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kern w:val="0"/>
                <w:sz w:val="21"/>
                <w:szCs w:val="21"/>
                <w:lang w:bidi="ar"/>
                <w14:ligatures w14:val="standardContextual"/>
              </w:rPr>
              <w:t>0.0</w:t>
            </w:r>
            <w:r>
              <w:rPr>
                <w:rFonts w:hint="eastAsia" w:ascii="等线" w:hAnsi="等线" w:eastAsia="等线"/>
                <w:color w:val="auto"/>
                <w:kern w:val="0"/>
                <w:sz w:val="21"/>
                <w:szCs w:val="21"/>
                <w:lang w:bidi="ar"/>
                <w14:ligatures w14:val="standardContextual"/>
              </w:rPr>
              <w:t>17</w:t>
            </w:r>
            <w:r>
              <w:rPr>
                <w:rFonts w:ascii="等线" w:hAnsi="等线" w:eastAsia="等线"/>
                <w:color w:val="auto"/>
                <w:kern w:val="0"/>
                <w:sz w:val="21"/>
                <w:szCs w:val="21"/>
                <w:lang w:bidi="ar"/>
                <w14:ligatures w14:val="standardContextual"/>
              </w:rPr>
              <w:t xml:space="preserve"> </w:t>
            </w:r>
          </w:p>
        </w:tc>
      </w:tr>
    </w:tbl>
    <w:p w14:paraId="193FF393">
      <w:pPr>
        <w:ind w:firstLine="482"/>
        <w:jc w:val="center"/>
        <w:rPr>
          <w:b/>
          <w:bCs/>
          <w:color w:val="auto"/>
        </w:rPr>
      </w:pPr>
      <w:r>
        <w:rPr>
          <w:rFonts w:hint="eastAsia"/>
          <w:b/>
          <w:bCs/>
          <w:color w:val="auto"/>
        </w:rPr>
        <w:t>表6.1.4-4 污染源非正常排放量核算表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102"/>
        <w:gridCol w:w="1466"/>
        <w:gridCol w:w="1464"/>
        <w:gridCol w:w="1797"/>
        <w:gridCol w:w="1500"/>
        <w:gridCol w:w="1648"/>
      </w:tblGrid>
      <w:tr w14:paraId="7741A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pct"/>
            <w:vAlign w:val="center"/>
          </w:tcPr>
          <w:p w14:paraId="78BCC86A">
            <w:pPr>
              <w:widowControl/>
              <w:spacing w:line="240" w:lineRule="auto"/>
              <w:ind w:firstLine="0" w:firstLineChars="0"/>
              <w:jc w:val="center"/>
              <w:rPr>
                <w:b/>
                <w:bCs/>
                <w:color w:val="auto"/>
                <w:kern w:val="0"/>
                <w:sz w:val="21"/>
                <w:szCs w:val="21"/>
                <w:lang w:val="zh-CN"/>
              </w:rPr>
            </w:pPr>
            <w:r>
              <w:rPr>
                <w:rFonts w:hint="eastAsia"/>
                <w:b/>
                <w:bCs/>
                <w:color w:val="auto"/>
                <w:kern w:val="0"/>
                <w:sz w:val="21"/>
                <w:szCs w:val="21"/>
                <w:lang w:val="zh-CN"/>
              </w:rPr>
              <w:t>序号</w:t>
            </w:r>
          </w:p>
        </w:tc>
        <w:tc>
          <w:tcPr>
            <w:tcW w:w="559" w:type="pct"/>
            <w:vAlign w:val="center"/>
          </w:tcPr>
          <w:p w14:paraId="4E7499B3">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污染源</w:t>
            </w:r>
          </w:p>
        </w:tc>
        <w:tc>
          <w:tcPr>
            <w:tcW w:w="744" w:type="pct"/>
            <w:vAlign w:val="center"/>
          </w:tcPr>
          <w:p w14:paraId="6A393E0B">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非正常排放原因</w:t>
            </w:r>
          </w:p>
        </w:tc>
        <w:tc>
          <w:tcPr>
            <w:tcW w:w="743" w:type="pct"/>
            <w:vAlign w:val="center"/>
          </w:tcPr>
          <w:p w14:paraId="310E19EB">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污染物</w:t>
            </w:r>
          </w:p>
        </w:tc>
        <w:tc>
          <w:tcPr>
            <w:tcW w:w="912" w:type="pct"/>
            <w:vAlign w:val="center"/>
          </w:tcPr>
          <w:p w14:paraId="050511C2">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非正常排放速率(kg/h)</w:t>
            </w:r>
          </w:p>
        </w:tc>
        <w:tc>
          <w:tcPr>
            <w:tcW w:w="761" w:type="pct"/>
            <w:vAlign w:val="center"/>
          </w:tcPr>
          <w:p w14:paraId="2E86FA99">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单次持续时间/h</w:t>
            </w:r>
          </w:p>
        </w:tc>
        <w:tc>
          <w:tcPr>
            <w:tcW w:w="836" w:type="pct"/>
            <w:vAlign w:val="center"/>
          </w:tcPr>
          <w:p w14:paraId="0B487F20">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年发生频次/次</w:t>
            </w:r>
          </w:p>
        </w:tc>
      </w:tr>
      <w:tr w14:paraId="4A691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1D11CC4">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w:t>
            </w:r>
          </w:p>
        </w:tc>
        <w:tc>
          <w:tcPr>
            <w:tcW w:w="559" w:type="pct"/>
            <w:vAlign w:val="center"/>
          </w:tcPr>
          <w:p w14:paraId="2C228F0D">
            <w:pPr>
              <w:widowControl/>
              <w:spacing w:line="240" w:lineRule="auto"/>
              <w:ind w:firstLine="0" w:firstLineChars="0"/>
              <w:jc w:val="center"/>
              <w:rPr>
                <w:color w:val="auto"/>
                <w:kern w:val="0"/>
                <w:sz w:val="21"/>
                <w:szCs w:val="21"/>
                <w:lang w:val="zh-CN"/>
              </w:rPr>
            </w:pPr>
            <w:r>
              <w:rPr>
                <w:color w:val="auto"/>
                <w:kern w:val="0"/>
                <w:sz w:val="21"/>
                <w:szCs w:val="21"/>
                <w:lang w:val="zh-CN"/>
              </w:rPr>
              <w:t>DA00</w:t>
            </w:r>
            <w:r>
              <w:rPr>
                <w:rFonts w:hint="eastAsia"/>
                <w:color w:val="auto"/>
                <w:kern w:val="0"/>
                <w:sz w:val="21"/>
                <w:szCs w:val="21"/>
                <w:lang w:val="zh-CN"/>
              </w:rPr>
              <w:t>1</w:t>
            </w:r>
          </w:p>
        </w:tc>
        <w:tc>
          <w:tcPr>
            <w:tcW w:w="744" w:type="pct"/>
            <w:vMerge w:val="restart"/>
            <w:vAlign w:val="center"/>
          </w:tcPr>
          <w:p w14:paraId="44D6A3B0">
            <w:pPr>
              <w:widowControl/>
              <w:spacing w:line="240" w:lineRule="auto"/>
              <w:ind w:firstLine="0" w:firstLineChars="0"/>
              <w:jc w:val="center"/>
              <w:rPr>
                <w:color w:val="auto"/>
                <w:kern w:val="0"/>
                <w:sz w:val="21"/>
                <w:szCs w:val="21"/>
                <w:lang w:val="zh-CN"/>
              </w:rPr>
            </w:pPr>
            <w:r>
              <w:rPr>
                <w:color w:val="auto"/>
                <w:kern w:val="0"/>
                <w:sz w:val="21"/>
                <w:szCs w:val="21"/>
                <w:lang w:val="zh-CN"/>
              </w:rPr>
              <w:t>废气处理设施出现故障</w:t>
            </w:r>
          </w:p>
        </w:tc>
        <w:tc>
          <w:tcPr>
            <w:tcW w:w="743" w:type="pct"/>
            <w:vAlign w:val="center"/>
          </w:tcPr>
          <w:p w14:paraId="79527917">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氨</w:t>
            </w:r>
          </w:p>
        </w:tc>
        <w:tc>
          <w:tcPr>
            <w:tcW w:w="912" w:type="pct"/>
            <w:vAlign w:val="center"/>
          </w:tcPr>
          <w:p w14:paraId="6BFC659B">
            <w:pPr>
              <w:widowControl/>
              <w:spacing w:line="240" w:lineRule="auto"/>
              <w:ind w:firstLine="0" w:firstLineChars="0"/>
              <w:jc w:val="center"/>
              <w:rPr>
                <w:color w:val="auto"/>
                <w:kern w:val="0"/>
                <w:sz w:val="21"/>
                <w:szCs w:val="21"/>
              </w:rPr>
            </w:pPr>
            <w:r>
              <w:rPr>
                <w:color w:val="auto"/>
                <w:kern w:val="0"/>
                <w:sz w:val="21"/>
                <w:szCs w:val="21"/>
                <w:lang w:bidi="ar"/>
              </w:rPr>
              <w:t>5.</w:t>
            </w:r>
            <w:r>
              <w:rPr>
                <w:rFonts w:hint="eastAsia"/>
                <w:color w:val="auto"/>
                <w:kern w:val="0"/>
                <w:sz w:val="21"/>
                <w:szCs w:val="21"/>
                <w:lang w:bidi="ar"/>
              </w:rPr>
              <w:t>439</w:t>
            </w:r>
          </w:p>
        </w:tc>
        <w:tc>
          <w:tcPr>
            <w:tcW w:w="761" w:type="pct"/>
            <w:vAlign w:val="center"/>
          </w:tcPr>
          <w:p w14:paraId="4CD2EE0F">
            <w:pPr>
              <w:widowControl/>
              <w:spacing w:line="240" w:lineRule="auto"/>
              <w:ind w:firstLine="0" w:firstLineChars="0"/>
              <w:jc w:val="center"/>
              <w:rPr>
                <w:color w:val="auto"/>
                <w:kern w:val="0"/>
                <w:sz w:val="21"/>
                <w:szCs w:val="21"/>
              </w:rPr>
            </w:pPr>
            <w:r>
              <w:rPr>
                <w:color w:val="auto"/>
                <w:kern w:val="0"/>
                <w:sz w:val="21"/>
                <w:szCs w:val="21"/>
                <w:lang w:val="zh-CN"/>
              </w:rPr>
              <w:t>0.</w:t>
            </w:r>
            <w:r>
              <w:rPr>
                <w:color w:val="auto"/>
                <w:kern w:val="0"/>
                <w:sz w:val="21"/>
                <w:szCs w:val="21"/>
              </w:rPr>
              <w:t>5</w:t>
            </w:r>
          </w:p>
        </w:tc>
        <w:tc>
          <w:tcPr>
            <w:tcW w:w="836" w:type="pct"/>
            <w:vAlign w:val="center"/>
          </w:tcPr>
          <w:p w14:paraId="53038DF0">
            <w:pPr>
              <w:widowControl/>
              <w:spacing w:line="240" w:lineRule="auto"/>
              <w:ind w:firstLine="0" w:firstLineChars="0"/>
              <w:jc w:val="center"/>
              <w:rPr>
                <w:color w:val="auto"/>
                <w:kern w:val="0"/>
                <w:sz w:val="21"/>
                <w:szCs w:val="21"/>
                <w:lang w:val="zh-CN"/>
              </w:rPr>
            </w:pPr>
            <w:r>
              <w:rPr>
                <w:color w:val="auto"/>
                <w:kern w:val="0"/>
                <w:sz w:val="21"/>
                <w:szCs w:val="21"/>
                <w:lang w:val="zh-CN"/>
              </w:rPr>
              <w:t>1</w:t>
            </w:r>
          </w:p>
        </w:tc>
      </w:tr>
      <w:tr w14:paraId="34630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D9CCC5E">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2</w:t>
            </w:r>
          </w:p>
        </w:tc>
        <w:tc>
          <w:tcPr>
            <w:tcW w:w="559" w:type="pct"/>
            <w:vMerge w:val="restart"/>
            <w:vAlign w:val="center"/>
          </w:tcPr>
          <w:p w14:paraId="3DAC3DF2">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DA002</w:t>
            </w:r>
          </w:p>
        </w:tc>
        <w:tc>
          <w:tcPr>
            <w:tcW w:w="744" w:type="pct"/>
            <w:vMerge w:val="continue"/>
            <w:vAlign w:val="center"/>
          </w:tcPr>
          <w:p w14:paraId="13D13466">
            <w:pPr>
              <w:widowControl/>
              <w:spacing w:line="240" w:lineRule="auto"/>
              <w:ind w:firstLine="0" w:firstLineChars="0"/>
              <w:jc w:val="center"/>
              <w:rPr>
                <w:color w:val="auto"/>
                <w:kern w:val="0"/>
                <w:sz w:val="21"/>
                <w:szCs w:val="21"/>
                <w:lang w:val="zh-CN"/>
              </w:rPr>
            </w:pPr>
          </w:p>
        </w:tc>
        <w:tc>
          <w:tcPr>
            <w:tcW w:w="743" w:type="pct"/>
            <w:vAlign w:val="center"/>
          </w:tcPr>
          <w:p w14:paraId="5BD3EB78">
            <w:pPr>
              <w:widowControl/>
              <w:spacing w:line="240" w:lineRule="auto"/>
              <w:ind w:firstLine="0" w:firstLineChars="0"/>
              <w:jc w:val="center"/>
              <w:rPr>
                <w:color w:val="auto"/>
                <w:kern w:val="0"/>
                <w:sz w:val="21"/>
                <w:szCs w:val="21"/>
              </w:rPr>
            </w:pPr>
            <w:r>
              <w:rPr>
                <w:rFonts w:hint="eastAsia"/>
                <w:color w:val="auto"/>
                <w:kern w:val="0"/>
                <w:sz w:val="21"/>
                <w:szCs w:val="21"/>
              </w:rPr>
              <w:t>二氧化硫</w:t>
            </w:r>
          </w:p>
        </w:tc>
        <w:tc>
          <w:tcPr>
            <w:tcW w:w="912" w:type="pct"/>
            <w:vAlign w:val="center"/>
          </w:tcPr>
          <w:p w14:paraId="6BFD4032">
            <w:pPr>
              <w:widowControl/>
              <w:spacing w:line="240" w:lineRule="auto"/>
              <w:ind w:firstLine="0" w:firstLineChars="0"/>
              <w:jc w:val="center"/>
              <w:rPr>
                <w:color w:val="auto"/>
                <w:kern w:val="0"/>
                <w:sz w:val="21"/>
                <w:szCs w:val="21"/>
              </w:rPr>
            </w:pPr>
            <w:r>
              <w:rPr>
                <w:color w:val="auto"/>
                <w:kern w:val="0"/>
                <w:sz w:val="21"/>
                <w:szCs w:val="21"/>
                <w:lang w:bidi="ar"/>
              </w:rPr>
              <w:t>13.262</w:t>
            </w:r>
          </w:p>
        </w:tc>
        <w:tc>
          <w:tcPr>
            <w:tcW w:w="761" w:type="pct"/>
            <w:vMerge w:val="restart"/>
            <w:vAlign w:val="center"/>
          </w:tcPr>
          <w:p w14:paraId="6D94A3B0">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0.5</w:t>
            </w:r>
          </w:p>
        </w:tc>
        <w:tc>
          <w:tcPr>
            <w:tcW w:w="836" w:type="pct"/>
            <w:vMerge w:val="restart"/>
            <w:vAlign w:val="center"/>
          </w:tcPr>
          <w:p w14:paraId="7A589BEF">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w:t>
            </w:r>
          </w:p>
        </w:tc>
      </w:tr>
      <w:tr w14:paraId="67766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25D1499">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3</w:t>
            </w:r>
          </w:p>
        </w:tc>
        <w:tc>
          <w:tcPr>
            <w:tcW w:w="559" w:type="pct"/>
            <w:vMerge w:val="continue"/>
            <w:vAlign w:val="center"/>
          </w:tcPr>
          <w:p w14:paraId="56722516">
            <w:pPr>
              <w:widowControl/>
              <w:spacing w:line="240" w:lineRule="auto"/>
              <w:ind w:firstLine="0" w:firstLineChars="0"/>
              <w:jc w:val="center"/>
              <w:rPr>
                <w:color w:val="auto"/>
                <w:kern w:val="0"/>
                <w:sz w:val="21"/>
                <w:szCs w:val="21"/>
                <w:lang w:val="zh-CN"/>
              </w:rPr>
            </w:pPr>
          </w:p>
        </w:tc>
        <w:tc>
          <w:tcPr>
            <w:tcW w:w="744" w:type="pct"/>
            <w:vMerge w:val="continue"/>
            <w:vAlign w:val="center"/>
          </w:tcPr>
          <w:p w14:paraId="7405A60A">
            <w:pPr>
              <w:widowControl/>
              <w:spacing w:line="240" w:lineRule="auto"/>
              <w:ind w:firstLine="0" w:firstLineChars="0"/>
              <w:jc w:val="center"/>
              <w:rPr>
                <w:color w:val="auto"/>
                <w:kern w:val="0"/>
                <w:sz w:val="21"/>
                <w:szCs w:val="21"/>
                <w:lang w:val="zh-CN"/>
              </w:rPr>
            </w:pPr>
          </w:p>
        </w:tc>
        <w:tc>
          <w:tcPr>
            <w:tcW w:w="743" w:type="pct"/>
            <w:vAlign w:val="center"/>
          </w:tcPr>
          <w:p w14:paraId="17BFC0CD">
            <w:pPr>
              <w:widowControl/>
              <w:spacing w:line="240" w:lineRule="auto"/>
              <w:ind w:firstLine="0" w:firstLineChars="0"/>
              <w:jc w:val="center"/>
              <w:rPr>
                <w:color w:val="auto"/>
                <w:kern w:val="0"/>
                <w:sz w:val="21"/>
                <w:szCs w:val="21"/>
              </w:rPr>
            </w:pPr>
            <w:r>
              <w:rPr>
                <w:rFonts w:hint="eastAsia"/>
                <w:color w:val="auto"/>
                <w:kern w:val="0"/>
                <w:sz w:val="21"/>
                <w:szCs w:val="21"/>
              </w:rPr>
              <w:t>颗粒物</w:t>
            </w:r>
          </w:p>
        </w:tc>
        <w:tc>
          <w:tcPr>
            <w:tcW w:w="912" w:type="pct"/>
            <w:vAlign w:val="center"/>
          </w:tcPr>
          <w:p w14:paraId="325432FE">
            <w:pPr>
              <w:widowControl/>
              <w:spacing w:line="240" w:lineRule="auto"/>
              <w:ind w:firstLine="0" w:firstLineChars="0"/>
              <w:jc w:val="center"/>
              <w:rPr>
                <w:color w:val="auto"/>
                <w:kern w:val="0"/>
                <w:sz w:val="21"/>
                <w:szCs w:val="21"/>
              </w:rPr>
            </w:pPr>
            <w:r>
              <w:rPr>
                <w:rFonts w:hint="eastAsia"/>
                <w:color w:val="auto"/>
                <w:kern w:val="0"/>
                <w:sz w:val="21"/>
                <w:szCs w:val="21"/>
                <w:lang w:bidi="ar"/>
              </w:rPr>
              <w:t>2.797</w:t>
            </w:r>
          </w:p>
        </w:tc>
        <w:tc>
          <w:tcPr>
            <w:tcW w:w="761" w:type="pct"/>
            <w:vMerge w:val="continue"/>
            <w:vAlign w:val="center"/>
          </w:tcPr>
          <w:p w14:paraId="63350ECA">
            <w:pPr>
              <w:widowControl/>
              <w:spacing w:line="240" w:lineRule="auto"/>
              <w:ind w:firstLine="0" w:firstLineChars="0"/>
              <w:jc w:val="center"/>
              <w:rPr>
                <w:color w:val="auto"/>
                <w:kern w:val="0"/>
                <w:sz w:val="21"/>
                <w:szCs w:val="21"/>
                <w:lang w:val="zh-CN"/>
              </w:rPr>
            </w:pPr>
          </w:p>
        </w:tc>
        <w:tc>
          <w:tcPr>
            <w:tcW w:w="836" w:type="pct"/>
            <w:vMerge w:val="continue"/>
            <w:vAlign w:val="center"/>
          </w:tcPr>
          <w:p w14:paraId="05855765">
            <w:pPr>
              <w:widowControl/>
              <w:spacing w:line="240" w:lineRule="auto"/>
              <w:ind w:firstLine="0" w:firstLineChars="0"/>
              <w:jc w:val="center"/>
              <w:rPr>
                <w:color w:val="auto"/>
                <w:kern w:val="0"/>
                <w:sz w:val="21"/>
                <w:szCs w:val="21"/>
                <w:lang w:val="zh-CN"/>
              </w:rPr>
            </w:pPr>
          </w:p>
        </w:tc>
      </w:tr>
    </w:tbl>
    <w:p w14:paraId="29EA3FA7">
      <w:pPr>
        <w:pStyle w:val="4"/>
        <w:rPr>
          <w:color w:val="auto"/>
        </w:rPr>
      </w:pPr>
      <w:bookmarkStart w:id="198" w:name="_Toc12779"/>
      <w:r>
        <w:rPr>
          <w:rFonts w:hint="eastAsia"/>
          <w:color w:val="auto"/>
        </w:rPr>
        <w:t>6.1.5卫生防护距离</w:t>
      </w:r>
      <w:bookmarkEnd w:id="198"/>
    </w:p>
    <w:p w14:paraId="09B4AAE3">
      <w:pPr>
        <w:ind w:firstLine="480"/>
        <w:rPr>
          <w:color w:val="auto"/>
        </w:rPr>
      </w:pPr>
      <w:r>
        <w:rPr>
          <w:color w:val="auto"/>
        </w:rPr>
        <w:t>根据本项目无组织废气排放源强，结合《大气有害物质无组织排放卫生防护距离推导技术导则》（GB/T 39499-2020）计算本项目卫生防护距离如下：</w:t>
      </w:r>
    </w:p>
    <w:p w14:paraId="730C749E">
      <w:pPr>
        <w:ind w:firstLine="482"/>
        <w:jc w:val="center"/>
        <w:rPr>
          <w:b/>
          <w:bCs/>
          <w:color w:val="auto"/>
        </w:rPr>
      </w:pPr>
      <w:r>
        <w:rPr>
          <w:rFonts w:hint="eastAsia"/>
          <w:b/>
          <w:bCs/>
          <w:color w:val="auto"/>
        </w:rPr>
        <w:t>表6.1.5-1卫生防护距离计算结果</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984"/>
        <w:gridCol w:w="986"/>
        <w:gridCol w:w="986"/>
        <w:gridCol w:w="986"/>
        <w:gridCol w:w="986"/>
        <w:gridCol w:w="988"/>
        <w:gridCol w:w="988"/>
        <w:gridCol w:w="986"/>
        <w:gridCol w:w="982"/>
      </w:tblGrid>
      <w:tr w14:paraId="0F371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3FE2CD68">
            <w:pPr>
              <w:spacing w:line="240" w:lineRule="auto"/>
              <w:ind w:firstLine="0" w:firstLineChars="0"/>
              <w:jc w:val="center"/>
              <w:rPr>
                <w:b/>
                <w:bCs/>
                <w:color w:val="auto"/>
                <w:sz w:val="21"/>
                <w:szCs w:val="21"/>
              </w:rPr>
            </w:pPr>
            <w:r>
              <w:rPr>
                <w:b/>
                <w:bCs/>
                <w:color w:val="auto"/>
                <w:sz w:val="21"/>
                <w:szCs w:val="21"/>
              </w:rPr>
              <w:t>污染源</w:t>
            </w:r>
          </w:p>
        </w:tc>
        <w:tc>
          <w:tcPr>
            <w:tcW w:w="499" w:type="pct"/>
            <w:vAlign w:val="center"/>
          </w:tcPr>
          <w:p w14:paraId="7AEED9EE">
            <w:pPr>
              <w:spacing w:line="240" w:lineRule="auto"/>
              <w:ind w:firstLine="0" w:firstLineChars="0"/>
              <w:jc w:val="center"/>
              <w:rPr>
                <w:b/>
                <w:bCs/>
                <w:color w:val="auto"/>
                <w:sz w:val="21"/>
                <w:szCs w:val="21"/>
              </w:rPr>
            </w:pPr>
            <w:r>
              <w:rPr>
                <w:b/>
                <w:bCs/>
                <w:color w:val="auto"/>
                <w:sz w:val="21"/>
                <w:szCs w:val="21"/>
              </w:rPr>
              <w:t>污染物</w:t>
            </w:r>
          </w:p>
        </w:tc>
        <w:tc>
          <w:tcPr>
            <w:tcW w:w="500" w:type="pct"/>
            <w:vAlign w:val="center"/>
          </w:tcPr>
          <w:p w14:paraId="2F99691C">
            <w:pPr>
              <w:spacing w:line="240" w:lineRule="auto"/>
              <w:ind w:firstLine="0" w:firstLineChars="0"/>
              <w:jc w:val="center"/>
              <w:rPr>
                <w:b/>
                <w:bCs/>
                <w:color w:val="auto"/>
                <w:sz w:val="21"/>
                <w:szCs w:val="21"/>
              </w:rPr>
            </w:pPr>
            <w:r>
              <w:rPr>
                <w:rFonts w:hint="eastAsia"/>
                <w:b/>
                <w:bCs/>
                <w:color w:val="auto"/>
                <w:sz w:val="21"/>
                <w:szCs w:val="21"/>
              </w:rPr>
              <w:t>面源面积m</w:t>
            </w:r>
            <w:r>
              <w:rPr>
                <w:rFonts w:hint="eastAsia"/>
                <w:b/>
                <w:bCs/>
                <w:color w:val="auto"/>
                <w:sz w:val="21"/>
                <w:szCs w:val="21"/>
                <w:vertAlign w:val="superscript"/>
              </w:rPr>
              <w:t>2</w:t>
            </w:r>
          </w:p>
        </w:tc>
        <w:tc>
          <w:tcPr>
            <w:tcW w:w="500" w:type="pct"/>
            <w:vAlign w:val="center"/>
          </w:tcPr>
          <w:p w14:paraId="4D84F165">
            <w:pPr>
              <w:spacing w:line="240" w:lineRule="auto"/>
              <w:ind w:firstLine="0" w:firstLineChars="0"/>
              <w:jc w:val="center"/>
              <w:rPr>
                <w:b/>
                <w:bCs/>
                <w:color w:val="auto"/>
                <w:sz w:val="21"/>
                <w:szCs w:val="21"/>
              </w:rPr>
            </w:pPr>
            <w:r>
              <w:rPr>
                <w:rFonts w:hint="eastAsia"/>
                <w:b/>
                <w:bCs/>
                <w:color w:val="auto"/>
                <w:sz w:val="21"/>
                <w:szCs w:val="21"/>
              </w:rPr>
              <w:t>面源高度m</w:t>
            </w:r>
          </w:p>
        </w:tc>
        <w:tc>
          <w:tcPr>
            <w:tcW w:w="500" w:type="pct"/>
            <w:vAlign w:val="center"/>
          </w:tcPr>
          <w:p w14:paraId="382B86C8">
            <w:pPr>
              <w:spacing w:line="240" w:lineRule="auto"/>
              <w:ind w:firstLine="0" w:firstLineChars="0"/>
              <w:jc w:val="center"/>
              <w:rPr>
                <w:b/>
                <w:bCs/>
                <w:color w:val="auto"/>
                <w:sz w:val="21"/>
                <w:szCs w:val="21"/>
              </w:rPr>
            </w:pPr>
            <w:r>
              <w:rPr>
                <w:b/>
                <w:bCs/>
                <w:color w:val="auto"/>
                <w:sz w:val="21"/>
                <w:szCs w:val="21"/>
              </w:rPr>
              <w:t>参数A</w:t>
            </w:r>
          </w:p>
        </w:tc>
        <w:tc>
          <w:tcPr>
            <w:tcW w:w="500" w:type="pct"/>
            <w:vAlign w:val="center"/>
          </w:tcPr>
          <w:p w14:paraId="78DE824A">
            <w:pPr>
              <w:spacing w:line="240" w:lineRule="auto"/>
              <w:ind w:firstLine="0" w:firstLineChars="0"/>
              <w:jc w:val="center"/>
              <w:rPr>
                <w:b/>
                <w:bCs/>
                <w:color w:val="auto"/>
                <w:sz w:val="21"/>
                <w:szCs w:val="21"/>
              </w:rPr>
            </w:pPr>
            <w:r>
              <w:rPr>
                <w:b/>
                <w:bCs/>
                <w:color w:val="auto"/>
                <w:sz w:val="21"/>
                <w:szCs w:val="21"/>
              </w:rPr>
              <w:t>参数B</w:t>
            </w:r>
          </w:p>
        </w:tc>
        <w:tc>
          <w:tcPr>
            <w:tcW w:w="501" w:type="pct"/>
            <w:vAlign w:val="center"/>
          </w:tcPr>
          <w:p w14:paraId="0B3956B5">
            <w:pPr>
              <w:spacing w:line="240" w:lineRule="auto"/>
              <w:ind w:firstLine="0" w:firstLineChars="0"/>
              <w:jc w:val="center"/>
              <w:rPr>
                <w:b/>
                <w:bCs/>
                <w:color w:val="auto"/>
                <w:sz w:val="21"/>
                <w:szCs w:val="21"/>
              </w:rPr>
            </w:pPr>
            <w:r>
              <w:rPr>
                <w:b/>
                <w:bCs/>
                <w:color w:val="auto"/>
                <w:sz w:val="21"/>
                <w:szCs w:val="21"/>
              </w:rPr>
              <w:t>参数C</w:t>
            </w:r>
          </w:p>
        </w:tc>
        <w:tc>
          <w:tcPr>
            <w:tcW w:w="501" w:type="pct"/>
            <w:vAlign w:val="center"/>
          </w:tcPr>
          <w:p w14:paraId="31C0211E">
            <w:pPr>
              <w:spacing w:line="240" w:lineRule="auto"/>
              <w:ind w:firstLine="0" w:firstLineChars="0"/>
              <w:jc w:val="center"/>
              <w:rPr>
                <w:b/>
                <w:bCs/>
                <w:color w:val="auto"/>
                <w:sz w:val="21"/>
                <w:szCs w:val="21"/>
              </w:rPr>
            </w:pPr>
            <w:r>
              <w:rPr>
                <w:b/>
                <w:bCs/>
                <w:color w:val="auto"/>
                <w:sz w:val="21"/>
                <w:szCs w:val="21"/>
              </w:rPr>
              <w:t>参数D</w:t>
            </w:r>
          </w:p>
        </w:tc>
        <w:tc>
          <w:tcPr>
            <w:tcW w:w="500" w:type="pct"/>
            <w:vAlign w:val="center"/>
          </w:tcPr>
          <w:p w14:paraId="32C33AB1">
            <w:pPr>
              <w:spacing w:line="240" w:lineRule="auto"/>
              <w:ind w:firstLine="0" w:firstLineChars="0"/>
              <w:jc w:val="center"/>
              <w:rPr>
                <w:b/>
                <w:bCs/>
                <w:color w:val="auto"/>
                <w:sz w:val="21"/>
                <w:szCs w:val="21"/>
              </w:rPr>
            </w:pPr>
            <w:r>
              <w:rPr>
                <w:b/>
                <w:bCs/>
                <w:color w:val="auto"/>
                <w:sz w:val="21"/>
                <w:szCs w:val="21"/>
              </w:rPr>
              <w:t>卫生防护距离计算值/m</w:t>
            </w:r>
          </w:p>
        </w:tc>
        <w:tc>
          <w:tcPr>
            <w:tcW w:w="498" w:type="pct"/>
            <w:vAlign w:val="center"/>
          </w:tcPr>
          <w:p w14:paraId="06AF5406">
            <w:pPr>
              <w:spacing w:line="240" w:lineRule="auto"/>
              <w:ind w:firstLine="0" w:firstLineChars="0"/>
              <w:jc w:val="center"/>
              <w:rPr>
                <w:b/>
                <w:bCs/>
                <w:color w:val="auto"/>
                <w:sz w:val="21"/>
                <w:szCs w:val="21"/>
              </w:rPr>
            </w:pPr>
            <w:r>
              <w:rPr>
                <w:b/>
                <w:bCs/>
                <w:color w:val="auto"/>
                <w:sz w:val="21"/>
                <w:szCs w:val="21"/>
              </w:rPr>
              <w:t>卫生防护距离取值/m</w:t>
            </w:r>
          </w:p>
        </w:tc>
      </w:tr>
      <w:tr w14:paraId="19FBE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4F237718">
            <w:pPr>
              <w:spacing w:line="240" w:lineRule="auto"/>
              <w:ind w:firstLine="0" w:firstLineChars="0"/>
              <w:jc w:val="center"/>
              <w:rPr>
                <w:color w:val="auto"/>
                <w:sz w:val="21"/>
                <w:szCs w:val="21"/>
              </w:rPr>
            </w:pPr>
            <w:r>
              <w:rPr>
                <w:rFonts w:hint="eastAsia"/>
                <w:color w:val="auto"/>
                <w:sz w:val="21"/>
                <w:szCs w:val="21"/>
              </w:rPr>
              <w:t>1#戊类罐区</w:t>
            </w:r>
          </w:p>
        </w:tc>
        <w:tc>
          <w:tcPr>
            <w:tcW w:w="499" w:type="pct"/>
            <w:vAlign w:val="center"/>
          </w:tcPr>
          <w:p w14:paraId="1E9CA4CB">
            <w:pPr>
              <w:spacing w:line="240" w:lineRule="auto"/>
              <w:ind w:firstLine="0" w:firstLineChars="0"/>
              <w:jc w:val="center"/>
              <w:rPr>
                <w:color w:val="auto"/>
                <w:sz w:val="21"/>
                <w:szCs w:val="21"/>
              </w:rPr>
            </w:pPr>
            <w:r>
              <w:rPr>
                <w:rFonts w:hint="eastAsia"/>
                <w:color w:val="auto"/>
                <w:sz w:val="21"/>
                <w:szCs w:val="21"/>
              </w:rPr>
              <w:t>氨</w:t>
            </w:r>
          </w:p>
        </w:tc>
        <w:tc>
          <w:tcPr>
            <w:tcW w:w="500" w:type="pct"/>
            <w:vAlign w:val="center"/>
          </w:tcPr>
          <w:p w14:paraId="6F1F075B">
            <w:pPr>
              <w:spacing w:line="240" w:lineRule="auto"/>
              <w:ind w:firstLine="0" w:firstLineChars="0"/>
              <w:jc w:val="center"/>
              <w:rPr>
                <w:color w:val="auto"/>
                <w:sz w:val="21"/>
                <w:szCs w:val="21"/>
              </w:rPr>
            </w:pPr>
            <w:r>
              <w:rPr>
                <w:rFonts w:hint="eastAsia"/>
                <w:color w:val="auto"/>
                <w:sz w:val="21"/>
                <w:szCs w:val="21"/>
              </w:rPr>
              <w:t>500</w:t>
            </w:r>
          </w:p>
        </w:tc>
        <w:tc>
          <w:tcPr>
            <w:tcW w:w="500" w:type="pct"/>
            <w:vAlign w:val="center"/>
          </w:tcPr>
          <w:p w14:paraId="7054FD4E">
            <w:pPr>
              <w:spacing w:line="240" w:lineRule="auto"/>
              <w:ind w:firstLine="0" w:firstLineChars="0"/>
              <w:jc w:val="center"/>
              <w:rPr>
                <w:color w:val="auto"/>
                <w:sz w:val="21"/>
                <w:szCs w:val="21"/>
              </w:rPr>
            </w:pPr>
            <w:r>
              <w:rPr>
                <w:rFonts w:hint="eastAsia"/>
                <w:color w:val="auto"/>
                <w:sz w:val="21"/>
                <w:szCs w:val="21"/>
              </w:rPr>
              <w:t>7</w:t>
            </w:r>
          </w:p>
        </w:tc>
        <w:tc>
          <w:tcPr>
            <w:tcW w:w="500" w:type="pct"/>
            <w:vAlign w:val="center"/>
          </w:tcPr>
          <w:p w14:paraId="7A6AC7C0">
            <w:pPr>
              <w:spacing w:line="240" w:lineRule="auto"/>
              <w:ind w:firstLine="0" w:firstLineChars="0"/>
              <w:jc w:val="center"/>
              <w:rPr>
                <w:color w:val="auto"/>
                <w:sz w:val="21"/>
                <w:szCs w:val="21"/>
              </w:rPr>
            </w:pPr>
            <w:r>
              <w:rPr>
                <w:rFonts w:hint="eastAsia"/>
                <w:color w:val="auto"/>
                <w:sz w:val="21"/>
                <w:szCs w:val="21"/>
              </w:rPr>
              <w:t>470</w:t>
            </w:r>
          </w:p>
        </w:tc>
        <w:tc>
          <w:tcPr>
            <w:tcW w:w="500" w:type="pct"/>
            <w:vAlign w:val="center"/>
          </w:tcPr>
          <w:p w14:paraId="6D7DFFF1">
            <w:pPr>
              <w:spacing w:line="240" w:lineRule="auto"/>
              <w:ind w:firstLine="0" w:firstLineChars="0"/>
              <w:jc w:val="center"/>
              <w:rPr>
                <w:color w:val="auto"/>
                <w:sz w:val="21"/>
                <w:szCs w:val="21"/>
              </w:rPr>
            </w:pPr>
            <w:r>
              <w:rPr>
                <w:rFonts w:hint="eastAsia"/>
                <w:color w:val="auto"/>
                <w:sz w:val="21"/>
                <w:szCs w:val="21"/>
              </w:rPr>
              <w:t>0.021</w:t>
            </w:r>
          </w:p>
        </w:tc>
        <w:tc>
          <w:tcPr>
            <w:tcW w:w="501" w:type="pct"/>
            <w:vAlign w:val="center"/>
          </w:tcPr>
          <w:p w14:paraId="15D0AFAC">
            <w:pPr>
              <w:spacing w:line="240" w:lineRule="auto"/>
              <w:ind w:firstLine="0" w:firstLineChars="0"/>
              <w:jc w:val="center"/>
              <w:rPr>
                <w:color w:val="auto"/>
                <w:sz w:val="21"/>
                <w:szCs w:val="21"/>
              </w:rPr>
            </w:pPr>
            <w:r>
              <w:rPr>
                <w:rFonts w:hint="eastAsia"/>
                <w:color w:val="auto"/>
                <w:sz w:val="21"/>
                <w:szCs w:val="21"/>
              </w:rPr>
              <w:t>1.85</w:t>
            </w:r>
          </w:p>
        </w:tc>
        <w:tc>
          <w:tcPr>
            <w:tcW w:w="501" w:type="pct"/>
            <w:vAlign w:val="center"/>
          </w:tcPr>
          <w:p w14:paraId="01F01B5A">
            <w:pPr>
              <w:spacing w:line="240" w:lineRule="auto"/>
              <w:ind w:firstLine="0" w:firstLineChars="0"/>
              <w:jc w:val="center"/>
              <w:rPr>
                <w:color w:val="auto"/>
                <w:sz w:val="21"/>
                <w:szCs w:val="21"/>
              </w:rPr>
            </w:pPr>
            <w:r>
              <w:rPr>
                <w:rFonts w:hint="eastAsia"/>
                <w:color w:val="auto"/>
                <w:sz w:val="21"/>
                <w:szCs w:val="21"/>
              </w:rPr>
              <w:t>0.84</w:t>
            </w:r>
          </w:p>
        </w:tc>
        <w:tc>
          <w:tcPr>
            <w:tcW w:w="500" w:type="pct"/>
            <w:vAlign w:val="center"/>
          </w:tcPr>
          <w:p w14:paraId="7355F235">
            <w:pPr>
              <w:spacing w:line="240" w:lineRule="auto"/>
              <w:ind w:firstLine="0" w:firstLineChars="0"/>
              <w:jc w:val="center"/>
              <w:rPr>
                <w:color w:val="auto"/>
                <w:sz w:val="21"/>
                <w:szCs w:val="21"/>
              </w:rPr>
            </w:pPr>
            <w:r>
              <w:rPr>
                <w:rFonts w:hint="eastAsia"/>
                <w:color w:val="auto"/>
                <w:sz w:val="21"/>
                <w:szCs w:val="21"/>
              </w:rPr>
              <w:t>0.074</w:t>
            </w:r>
          </w:p>
        </w:tc>
        <w:tc>
          <w:tcPr>
            <w:tcW w:w="498" w:type="pct"/>
            <w:vAlign w:val="center"/>
          </w:tcPr>
          <w:p w14:paraId="4339C308">
            <w:pPr>
              <w:spacing w:line="240" w:lineRule="auto"/>
              <w:ind w:firstLine="0" w:firstLineChars="0"/>
              <w:jc w:val="center"/>
              <w:rPr>
                <w:color w:val="auto"/>
                <w:sz w:val="21"/>
                <w:szCs w:val="21"/>
              </w:rPr>
            </w:pPr>
            <w:r>
              <w:rPr>
                <w:rFonts w:hint="eastAsia"/>
                <w:color w:val="auto"/>
                <w:sz w:val="21"/>
                <w:szCs w:val="21"/>
              </w:rPr>
              <w:t>50</w:t>
            </w:r>
          </w:p>
        </w:tc>
      </w:tr>
    </w:tbl>
    <w:p w14:paraId="54560FE8">
      <w:pPr>
        <w:ind w:firstLine="480"/>
        <w:rPr>
          <w:color w:val="auto"/>
        </w:rPr>
      </w:pPr>
      <w:r>
        <w:rPr>
          <w:rFonts w:hint="eastAsia"/>
          <w:color w:val="auto"/>
        </w:rPr>
        <w:t>根据上表，本项目无组织面源卫生防护距离设置为50米。根据现有环评批复，企业卫生防护距离设置为厂界外100米。因此，本项目建成后，卫生防护距离仍为厂界外100米。目前，该范围内无居民、学校、医院等环境敏感目标。</w:t>
      </w:r>
    </w:p>
    <w:p w14:paraId="04AD10F9">
      <w:pPr>
        <w:pStyle w:val="4"/>
        <w:rPr>
          <w:color w:val="auto"/>
        </w:rPr>
      </w:pPr>
      <w:bookmarkStart w:id="199" w:name="_Toc4243"/>
      <w:r>
        <w:rPr>
          <w:rFonts w:hint="eastAsia"/>
          <w:color w:val="auto"/>
        </w:rPr>
        <w:t>6.1.6异味影响分析</w:t>
      </w:r>
      <w:bookmarkEnd w:id="199"/>
    </w:p>
    <w:p w14:paraId="7E70E430">
      <w:pPr>
        <w:ind w:firstLine="480"/>
        <w:rPr>
          <w:color w:val="auto"/>
        </w:rPr>
      </w:pPr>
      <w:r>
        <w:rPr>
          <w:rFonts w:hint="eastAsia"/>
          <w:color w:val="auto"/>
        </w:rPr>
        <w:t>（1）</w:t>
      </w:r>
      <w:r>
        <w:rPr>
          <w:color w:val="auto"/>
        </w:rPr>
        <w:t>异味主要危害</w:t>
      </w:r>
    </w:p>
    <w:p w14:paraId="4BEF0D6F">
      <w:pPr>
        <w:ind w:firstLine="480"/>
        <w:rPr>
          <w:color w:val="auto"/>
        </w:rPr>
      </w:pPr>
      <w:r>
        <w:rPr>
          <w:color w:val="auto"/>
        </w:rPr>
        <w:t>本项目运行过程中排放的氨气等具有异味，其主要危害有以下六个方面：</w:t>
      </w:r>
    </w:p>
    <w:p w14:paraId="2CE328E0">
      <w:pPr>
        <w:ind w:firstLine="480"/>
        <w:rPr>
          <w:color w:val="auto"/>
        </w:rPr>
      </w:pPr>
      <w:r>
        <w:rPr>
          <w:rFonts w:ascii="Cambria Math" w:hAnsi="Cambria Math" w:cs="Cambria Math"/>
          <w:color w:val="auto"/>
        </w:rPr>
        <w:t>①</w:t>
      </w:r>
      <w:r>
        <w:rPr>
          <w:color w:val="auto"/>
        </w:rPr>
        <w:t>危害呼吸系统。人们突然闻到恶臭，就会产生反射性的抑制吸气，使呼吸次数减少，深度变浅，甚至会暂时停止吸气，妨碍正常呼吸功能。</w:t>
      </w:r>
    </w:p>
    <w:p w14:paraId="21A3F324">
      <w:pPr>
        <w:ind w:firstLine="480"/>
        <w:rPr>
          <w:color w:val="auto"/>
        </w:rPr>
      </w:pPr>
      <w:r>
        <w:rPr>
          <w:rFonts w:ascii="Cambria Math" w:hAnsi="Cambria Math" w:cs="Cambria Math"/>
          <w:color w:val="auto"/>
        </w:rPr>
        <w:t>②</w:t>
      </w:r>
      <w:r>
        <w:rPr>
          <w:color w:val="auto"/>
        </w:rPr>
        <w:t>危害循环系统。随着呼吸的变化，会出现脉搏和血压的变化。如氨等刺激性臭气会使血压出现先下降后上升，脉搏先减慢后加快的现象。</w:t>
      </w:r>
    </w:p>
    <w:p w14:paraId="29B376C9">
      <w:pPr>
        <w:ind w:firstLine="480"/>
        <w:rPr>
          <w:color w:val="auto"/>
        </w:rPr>
      </w:pPr>
      <w:r>
        <w:rPr>
          <w:rFonts w:ascii="Cambria Math" w:hAnsi="Cambria Math" w:cs="Cambria Math"/>
          <w:color w:val="auto"/>
        </w:rPr>
        <w:t>③</w:t>
      </w:r>
      <w:r>
        <w:rPr>
          <w:color w:val="auto"/>
        </w:rPr>
        <w:t>危害消化系统。经常接触恶臭，会使人厌食、恶心，甚至呕吐，进而发展为消化功能减退。</w:t>
      </w:r>
    </w:p>
    <w:p w14:paraId="64E0B42A">
      <w:pPr>
        <w:ind w:firstLine="480"/>
        <w:rPr>
          <w:color w:val="auto"/>
        </w:rPr>
      </w:pPr>
      <w:r>
        <w:rPr>
          <w:rFonts w:ascii="Cambria Math" w:hAnsi="Cambria Math" w:cs="Cambria Math"/>
          <w:color w:val="auto"/>
        </w:rPr>
        <w:t>④</w:t>
      </w:r>
      <w:r>
        <w:rPr>
          <w:color w:val="auto"/>
        </w:rPr>
        <w:t>危害内分泌系统。经常受恶臭刺激，会使内分泌系统的分泌功能紊乱，影响机体的代谢活动。</w:t>
      </w:r>
    </w:p>
    <w:p w14:paraId="1B6CA379">
      <w:pPr>
        <w:ind w:firstLine="480"/>
        <w:rPr>
          <w:color w:val="auto"/>
        </w:rPr>
      </w:pPr>
      <w:r>
        <w:rPr>
          <w:rFonts w:ascii="Cambria Math" w:hAnsi="Cambria Math" w:cs="Cambria Math"/>
          <w:color w:val="auto"/>
        </w:rPr>
        <w:t>⑤</w:t>
      </w:r>
      <w:r>
        <w:rPr>
          <w:color w:val="auto"/>
        </w:rPr>
        <w:t>危害神经系统。长期受到一种或几种低浓度恶臭物质的刺激，会引起嗅觉脱失、嗅觉疲劳等障碍。“久闻而不知其臭”，使嗅觉丧失了第一道防御功能，但脑神经仍不断受到刺激和损伤，最后导致大脑皮层兴奋和抑制的调节功能失调。</w:t>
      </w:r>
    </w:p>
    <w:p w14:paraId="31C8283B">
      <w:pPr>
        <w:ind w:firstLine="480"/>
        <w:rPr>
          <w:color w:val="auto"/>
        </w:rPr>
      </w:pPr>
      <w:r>
        <w:rPr>
          <w:rFonts w:ascii="Cambria Math" w:hAnsi="Cambria Math" w:cs="Cambria Math"/>
          <w:color w:val="auto"/>
        </w:rPr>
        <w:t>⑥</w:t>
      </w:r>
      <w:r>
        <w:rPr>
          <w:color w:val="auto"/>
        </w:rPr>
        <w:t>对精神的影响。恶臭使人精神烦躁不安，思想不集中，工作效率减低，判断力和记忆力下降，影响大脑的思考活动。</w:t>
      </w:r>
    </w:p>
    <w:p w14:paraId="66BC4004">
      <w:pPr>
        <w:ind w:firstLine="480"/>
        <w:rPr>
          <w:color w:val="auto"/>
        </w:rPr>
      </w:pPr>
      <w:r>
        <w:rPr>
          <w:rFonts w:hint="eastAsia"/>
          <w:color w:val="auto"/>
        </w:rPr>
        <w:t>（2）异味影响分析</w:t>
      </w:r>
    </w:p>
    <w:p w14:paraId="5EF0B876">
      <w:pPr>
        <w:ind w:firstLine="480"/>
        <w:rPr>
          <w:color w:val="auto"/>
        </w:rPr>
      </w:pPr>
      <w:r>
        <w:rPr>
          <w:color w:val="auto"/>
        </w:rPr>
        <w:t>本项目主要异味气体为氨，本次评价中所选预测因子气体嗅阈值见</w:t>
      </w:r>
      <w:r>
        <w:rPr>
          <w:rFonts w:hint="eastAsia"/>
          <w:color w:val="auto"/>
        </w:rPr>
        <w:t>下表</w:t>
      </w:r>
      <w:r>
        <w:rPr>
          <w:color w:val="auto"/>
        </w:rPr>
        <w:t>。</w:t>
      </w:r>
    </w:p>
    <w:p w14:paraId="53E16CFE">
      <w:pPr>
        <w:ind w:firstLine="482"/>
        <w:jc w:val="center"/>
        <w:rPr>
          <w:b/>
          <w:color w:val="auto"/>
        </w:rPr>
      </w:pPr>
      <w:r>
        <w:rPr>
          <w:b/>
          <w:color w:val="auto"/>
        </w:rPr>
        <w:t>表6.1.</w:t>
      </w:r>
      <w:r>
        <w:rPr>
          <w:rFonts w:hint="eastAsia"/>
          <w:b/>
          <w:color w:val="auto"/>
        </w:rPr>
        <w:t>6</w:t>
      </w:r>
      <w:r>
        <w:rPr>
          <w:b/>
          <w:color w:val="auto"/>
        </w:rPr>
        <w:t>-1  本项目异味气体嗅阈值一览表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21"/>
        <w:gridCol w:w="4933"/>
      </w:tblGrid>
      <w:tr w14:paraId="5B33E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2497" w:type="pct"/>
            <w:vAlign w:val="center"/>
          </w:tcPr>
          <w:p w14:paraId="0A1F3C38">
            <w:pPr>
              <w:spacing w:line="240" w:lineRule="auto"/>
              <w:ind w:firstLine="0" w:firstLineChars="0"/>
              <w:jc w:val="center"/>
              <w:rPr>
                <w:b/>
                <w:color w:val="auto"/>
                <w:sz w:val="21"/>
                <w:szCs w:val="22"/>
              </w:rPr>
            </w:pPr>
            <w:r>
              <w:rPr>
                <w:b/>
                <w:color w:val="auto"/>
                <w:sz w:val="21"/>
                <w:szCs w:val="22"/>
              </w:rPr>
              <w:t>污染物名称</w:t>
            </w:r>
          </w:p>
        </w:tc>
        <w:tc>
          <w:tcPr>
            <w:tcW w:w="2503" w:type="pct"/>
            <w:vAlign w:val="center"/>
          </w:tcPr>
          <w:p w14:paraId="6B55F20E">
            <w:pPr>
              <w:spacing w:line="240" w:lineRule="auto"/>
              <w:ind w:firstLine="0" w:firstLineChars="0"/>
              <w:jc w:val="center"/>
              <w:rPr>
                <w:b/>
                <w:color w:val="auto"/>
                <w:sz w:val="21"/>
                <w:szCs w:val="22"/>
                <w:vertAlign w:val="superscript"/>
              </w:rPr>
            </w:pPr>
            <w:r>
              <w:rPr>
                <w:b/>
                <w:color w:val="auto"/>
                <w:sz w:val="21"/>
                <w:szCs w:val="22"/>
              </w:rPr>
              <w:t>嗅阈值(mg/m</w:t>
            </w:r>
            <w:r>
              <w:rPr>
                <w:b/>
                <w:color w:val="auto"/>
                <w:sz w:val="21"/>
                <w:szCs w:val="22"/>
                <w:vertAlign w:val="superscript"/>
              </w:rPr>
              <w:t>3</w:t>
            </w:r>
            <w:r>
              <w:rPr>
                <w:b/>
                <w:color w:val="auto"/>
                <w:sz w:val="21"/>
                <w:szCs w:val="22"/>
              </w:rPr>
              <w:t>)</w:t>
            </w:r>
          </w:p>
        </w:tc>
      </w:tr>
      <w:tr w14:paraId="4EBCA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97" w:type="pct"/>
            <w:vAlign w:val="center"/>
          </w:tcPr>
          <w:p w14:paraId="71670DFB">
            <w:pPr>
              <w:spacing w:line="240" w:lineRule="auto"/>
              <w:ind w:firstLine="0" w:firstLineChars="0"/>
              <w:jc w:val="center"/>
              <w:rPr>
                <w:color w:val="auto"/>
                <w:sz w:val="21"/>
                <w:szCs w:val="22"/>
              </w:rPr>
            </w:pPr>
            <w:r>
              <w:rPr>
                <w:color w:val="auto"/>
                <w:sz w:val="21"/>
                <w:szCs w:val="22"/>
              </w:rPr>
              <w:t>氨</w:t>
            </w:r>
          </w:p>
        </w:tc>
        <w:tc>
          <w:tcPr>
            <w:tcW w:w="2503" w:type="pct"/>
            <w:vAlign w:val="center"/>
          </w:tcPr>
          <w:p w14:paraId="1990453B">
            <w:pPr>
              <w:spacing w:line="240" w:lineRule="auto"/>
              <w:ind w:firstLine="0" w:firstLineChars="0"/>
              <w:jc w:val="center"/>
              <w:rPr>
                <w:color w:val="auto"/>
                <w:sz w:val="21"/>
                <w:szCs w:val="22"/>
              </w:rPr>
            </w:pPr>
            <w:r>
              <w:rPr>
                <w:rFonts w:hint="eastAsia"/>
                <w:color w:val="auto"/>
                <w:sz w:val="21"/>
                <w:szCs w:val="22"/>
              </w:rPr>
              <w:t>1.16</w:t>
            </w:r>
          </w:p>
        </w:tc>
      </w:tr>
    </w:tbl>
    <w:p w14:paraId="2B7E77D2">
      <w:pPr>
        <w:ind w:firstLine="480"/>
        <w:rPr>
          <w:color w:val="auto"/>
        </w:rPr>
      </w:pPr>
      <w:r>
        <w:rPr>
          <w:rFonts w:hint="eastAsia"/>
          <w:color w:val="auto"/>
        </w:rPr>
        <w:t>本</w:t>
      </w:r>
      <w:r>
        <w:rPr>
          <w:color w:val="auto"/>
        </w:rPr>
        <w:t>项目异味气体主要来自于</w:t>
      </w:r>
      <w:r>
        <w:rPr>
          <w:rFonts w:hint="eastAsia"/>
          <w:color w:val="auto"/>
        </w:rPr>
        <w:t>工艺废气及氨水储罐呼吸废气</w:t>
      </w:r>
      <w:r>
        <w:rPr>
          <w:color w:val="auto"/>
        </w:rPr>
        <w:t>，</w:t>
      </w:r>
      <w:r>
        <w:rPr>
          <w:rFonts w:hint="eastAsia"/>
          <w:color w:val="auto"/>
        </w:rPr>
        <w:t>经采取收集处理措施后</w:t>
      </w:r>
      <w:r>
        <w:rPr>
          <w:color w:val="auto"/>
        </w:rPr>
        <w:t>，可有效减少异味气体的排放。</w:t>
      </w:r>
    </w:p>
    <w:p w14:paraId="2DC78A6F">
      <w:pPr>
        <w:ind w:firstLine="480"/>
        <w:rPr>
          <w:color w:val="auto"/>
        </w:rPr>
      </w:pPr>
      <w:r>
        <w:rPr>
          <w:color w:val="auto"/>
        </w:rPr>
        <w:t>根据预测，本项目氨短期最大落地浓度为</w:t>
      </w:r>
      <w:r>
        <w:rPr>
          <w:rFonts w:hint="eastAsia"/>
          <w:color w:val="auto"/>
        </w:rPr>
        <w:t>8.84</w:t>
      </w:r>
      <w:r>
        <w:rPr>
          <w:color w:val="auto"/>
        </w:rPr>
        <w:t>E-04mg/m</w:t>
      </w:r>
      <w:r>
        <w:rPr>
          <w:color w:val="auto"/>
          <w:vertAlign w:val="superscript"/>
        </w:rPr>
        <w:t>3</w:t>
      </w:r>
      <w:r>
        <w:rPr>
          <w:color w:val="auto"/>
        </w:rPr>
        <w:t>。根据补充监测结果，氨的现状浓度</w:t>
      </w:r>
      <w:r>
        <w:rPr>
          <w:rFonts w:hint="eastAsia"/>
          <w:color w:val="auto"/>
        </w:rPr>
        <w:t>最大</w:t>
      </w:r>
      <w:r>
        <w:rPr>
          <w:color w:val="auto"/>
        </w:rPr>
        <w:t>值为</w:t>
      </w:r>
      <w:r>
        <w:rPr>
          <w:rFonts w:hint="eastAsia"/>
          <w:color w:val="auto"/>
        </w:rPr>
        <w:t>0.04</w:t>
      </w:r>
      <w:r>
        <w:rPr>
          <w:color w:val="auto"/>
        </w:rPr>
        <w:t>mg/m</w:t>
      </w:r>
      <w:r>
        <w:rPr>
          <w:color w:val="auto"/>
          <w:vertAlign w:val="superscript"/>
        </w:rPr>
        <w:t>3</w:t>
      </w:r>
      <w:r>
        <w:rPr>
          <w:color w:val="auto"/>
        </w:rPr>
        <w:t>，叠加现状浓度后，氨的浓度值低于</w:t>
      </w:r>
      <w:r>
        <w:rPr>
          <w:rFonts w:hint="eastAsia"/>
          <w:color w:val="auto"/>
        </w:rPr>
        <w:t>其</w:t>
      </w:r>
      <w:r>
        <w:rPr>
          <w:color w:val="auto"/>
        </w:rPr>
        <w:t>嗅阈值浓度。总体来说，本项目产生的异味废气对周边敏感目标影响较小。</w:t>
      </w:r>
    </w:p>
    <w:p w14:paraId="5B168151">
      <w:pPr>
        <w:pStyle w:val="4"/>
        <w:rPr>
          <w:color w:val="auto"/>
        </w:rPr>
      </w:pPr>
      <w:bookmarkStart w:id="200" w:name="_Toc209"/>
      <w:r>
        <w:rPr>
          <w:rFonts w:hint="eastAsia"/>
          <w:color w:val="auto"/>
        </w:rPr>
        <w:t>6.1.7大气环境影响评价自查情况</w:t>
      </w:r>
      <w:bookmarkEnd w:id="200"/>
    </w:p>
    <w:p w14:paraId="096BD4B9">
      <w:pPr>
        <w:ind w:firstLine="480"/>
        <w:rPr>
          <w:color w:val="auto"/>
        </w:rPr>
      </w:pPr>
      <w:r>
        <w:rPr>
          <w:rFonts w:hint="eastAsia"/>
          <w:color w:val="auto"/>
        </w:rPr>
        <w:t>如下。</w:t>
      </w:r>
    </w:p>
    <w:p w14:paraId="08CC7DF3">
      <w:pPr>
        <w:ind w:firstLine="482"/>
        <w:jc w:val="center"/>
        <w:rPr>
          <w:b/>
          <w:bCs/>
          <w:color w:val="auto"/>
        </w:rPr>
      </w:pPr>
      <w:r>
        <w:rPr>
          <w:rFonts w:hint="eastAsia"/>
          <w:b/>
          <w:bCs/>
          <w:color w:val="auto"/>
        </w:rPr>
        <w:t>表6.1.7-1 大气环境影响评价自查表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569"/>
        <w:gridCol w:w="798"/>
        <w:gridCol w:w="897"/>
        <w:gridCol w:w="1003"/>
        <w:gridCol w:w="824"/>
        <w:gridCol w:w="351"/>
        <w:gridCol w:w="784"/>
        <w:gridCol w:w="575"/>
        <w:gridCol w:w="168"/>
        <w:gridCol w:w="485"/>
        <w:gridCol w:w="966"/>
        <w:gridCol w:w="530"/>
      </w:tblGrid>
      <w:tr w14:paraId="16349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255" w:type="pct"/>
            <w:gridSpan w:val="2"/>
            <w:vAlign w:val="center"/>
          </w:tcPr>
          <w:p w14:paraId="2808845B">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工作内容</w:t>
            </w:r>
          </w:p>
        </w:tc>
        <w:tc>
          <w:tcPr>
            <w:tcW w:w="3744" w:type="pct"/>
            <w:gridSpan w:val="11"/>
            <w:vAlign w:val="center"/>
          </w:tcPr>
          <w:p w14:paraId="69CA6FEC">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自查项目</w:t>
            </w:r>
          </w:p>
        </w:tc>
      </w:tr>
      <w:tr w14:paraId="7CE2F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restart"/>
            <w:vAlign w:val="center"/>
          </w:tcPr>
          <w:p w14:paraId="7B279EE1">
            <w:pPr>
              <w:widowControl/>
              <w:spacing w:line="240" w:lineRule="auto"/>
              <w:ind w:firstLine="0" w:firstLineChars="0"/>
              <w:jc w:val="center"/>
              <w:rPr>
                <w:color w:val="auto"/>
                <w:kern w:val="0"/>
                <w:sz w:val="21"/>
                <w:szCs w:val="21"/>
                <w:lang w:val="zh-CN"/>
              </w:rPr>
            </w:pPr>
            <w:r>
              <w:rPr>
                <w:color w:val="auto"/>
                <w:kern w:val="0"/>
                <w:sz w:val="21"/>
                <w:szCs w:val="21"/>
                <w:lang w:val="zh-CN"/>
              </w:rPr>
              <w:t>评价等级与范围</w:t>
            </w:r>
          </w:p>
        </w:tc>
        <w:tc>
          <w:tcPr>
            <w:tcW w:w="795" w:type="pct"/>
            <w:vAlign w:val="center"/>
          </w:tcPr>
          <w:p w14:paraId="3A070D75">
            <w:pPr>
              <w:widowControl/>
              <w:spacing w:line="240" w:lineRule="auto"/>
              <w:ind w:firstLine="0" w:firstLineChars="0"/>
              <w:jc w:val="center"/>
              <w:rPr>
                <w:color w:val="auto"/>
                <w:kern w:val="0"/>
                <w:sz w:val="21"/>
                <w:szCs w:val="21"/>
                <w:lang w:val="zh-CN"/>
              </w:rPr>
            </w:pPr>
            <w:r>
              <w:rPr>
                <w:color w:val="auto"/>
                <w:kern w:val="0"/>
                <w:sz w:val="21"/>
                <w:szCs w:val="21"/>
                <w:lang w:val="zh-CN"/>
              </w:rPr>
              <w:t>评价等级</w:t>
            </w:r>
          </w:p>
        </w:tc>
        <w:tc>
          <w:tcPr>
            <w:tcW w:w="1729" w:type="pct"/>
            <w:gridSpan w:val="4"/>
            <w:vAlign w:val="center"/>
          </w:tcPr>
          <w:p w14:paraId="3B9C14C0">
            <w:pPr>
              <w:widowControl/>
              <w:spacing w:line="240" w:lineRule="auto"/>
              <w:ind w:firstLine="0" w:firstLineChars="0"/>
              <w:jc w:val="center"/>
              <w:rPr>
                <w:color w:val="auto"/>
                <w:kern w:val="0"/>
                <w:sz w:val="21"/>
                <w:szCs w:val="21"/>
                <w:lang w:val="zh-CN"/>
              </w:rPr>
            </w:pPr>
            <w:r>
              <w:rPr>
                <w:color w:val="auto"/>
                <w:kern w:val="0"/>
                <w:sz w:val="21"/>
                <w:szCs w:val="21"/>
                <w:lang w:val="zh-CN"/>
              </w:rPr>
              <w:t>一级□</w:t>
            </w:r>
          </w:p>
        </w:tc>
        <w:tc>
          <w:tcPr>
            <w:tcW w:w="1199" w:type="pct"/>
            <w:gridSpan w:val="5"/>
            <w:vAlign w:val="center"/>
          </w:tcPr>
          <w:p w14:paraId="6DD4DC05">
            <w:pPr>
              <w:widowControl/>
              <w:spacing w:line="240" w:lineRule="auto"/>
              <w:ind w:firstLine="0" w:firstLineChars="0"/>
              <w:jc w:val="center"/>
              <w:rPr>
                <w:color w:val="auto"/>
                <w:kern w:val="0"/>
                <w:sz w:val="21"/>
                <w:szCs w:val="21"/>
                <w:lang w:val="zh-CN"/>
              </w:rPr>
            </w:pPr>
            <w:r>
              <w:rPr>
                <w:color w:val="auto"/>
                <w:kern w:val="0"/>
                <w:sz w:val="21"/>
                <w:szCs w:val="21"/>
                <w:lang w:val="zh-CN"/>
              </w:rPr>
              <w:t>二级√</w:t>
            </w:r>
          </w:p>
        </w:tc>
        <w:tc>
          <w:tcPr>
            <w:tcW w:w="815" w:type="pct"/>
            <w:gridSpan w:val="2"/>
            <w:vAlign w:val="center"/>
          </w:tcPr>
          <w:p w14:paraId="1A099698">
            <w:pPr>
              <w:widowControl/>
              <w:spacing w:line="240" w:lineRule="auto"/>
              <w:ind w:firstLine="0" w:firstLineChars="0"/>
              <w:jc w:val="center"/>
              <w:rPr>
                <w:color w:val="auto"/>
                <w:kern w:val="0"/>
                <w:sz w:val="21"/>
                <w:szCs w:val="21"/>
                <w:lang w:val="zh-CN"/>
              </w:rPr>
            </w:pPr>
            <w:r>
              <w:rPr>
                <w:color w:val="auto"/>
                <w:kern w:val="0"/>
                <w:sz w:val="21"/>
                <w:szCs w:val="21"/>
                <w:lang w:val="zh-CN"/>
              </w:rPr>
              <w:t>三级□</w:t>
            </w:r>
          </w:p>
        </w:tc>
      </w:tr>
      <w:tr w14:paraId="67E26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59" w:type="pct"/>
            <w:vMerge w:val="continue"/>
            <w:vAlign w:val="center"/>
          </w:tcPr>
          <w:p w14:paraId="297FE0F1">
            <w:pPr>
              <w:widowControl/>
              <w:spacing w:line="240" w:lineRule="auto"/>
              <w:ind w:firstLine="0" w:firstLineChars="0"/>
              <w:jc w:val="center"/>
              <w:rPr>
                <w:color w:val="auto"/>
                <w:kern w:val="0"/>
                <w:sz w:val="21"/>
                <w:szCs w:val="21"/>
                <w:lang w:val="zh-CN"/>
              </w:rPr>
            </w:pPr>
          </w:p>
        </w:tc>
        <w:tc>
          <w:tcPr>
            <w:tcW w:w="795" w:type="pct"/>
            <w:vAlign w:val="center"/>
          </w:tcPr>
          <w:p w14:paraId="29E54F99">
            <w:pPr>
              <w:widowControl/>
              <w:spacing w:line="240" w:lineRule="auto"/>
              <w:ind w:firstLine="0" w:firstLineChars="0"/>
              <w:jc w:val="center"/>
              <w:rPr>
                <w:color w:val="auto"/>
                <w:kern w:val="0"/>
                <w:sz w:val="21"/>
                <w:szCs w:val="21"/>
                <w:lang w:val="zh-CN"/>
              </w:rPr>
            </w:pPr>
            <w:r>
              <w:rPr>
                <w:color w:val="auto"/>
                <w:kern w:val="0"/>
                <w:sz w:val="21"/>
                <w:szCs w:val="21"/>
                <w:lang w:val="zh-CN"/>
              </w:rPr>
              <w:t>评价范围</w:t>
            </w:r>
          </w:p>
        </w:tc>
        <w:tc>
          <w:tcPr>
            <w:tcW w:w="1729" w:type="pct"/>
            <w:gridSpan w:val="4"/>
            <w:vAlign w:val="center"/>
          </w:tcPr>
          <w:p w14:paraId="5D2B7673">
            <w:pPr>
              <w:widowControl/>
              <w:spacing w:line="240" w:lineRule="auto"/>
              <w:ind w:firstLine="0" w:firstLineChars="0"/>
              <w:jc w:val="center"/>
              <w:rPr>
                <w:color w:val="auto"/>
                <w:kern w:val="0"/>
                <w:sz w:val="21"/>
                <w:szCs w:val="21"/>
                <w:lang w:val="zh-CN"/>
              </w:rPr>
            </w:pPr>
            <w:r>
              <w:rPr>
                <w:color w:val="auto"/>
                <w:kern w:val="0"/>
                <w:sz w:val="21"/>
                <w:szCs w:val="21"/>
                <w:lang w:val="zh-CN"/>
              </w:rPr>
              <w:t>边长=50km□</w:t>
            </w:r>
          </w:p>
        </w:tc>
        <w:tc>
          <w:tcPr>
            <w:tcW w:w="1199" w:type="pct"/>
            <w:gridSpan w:val="5"/>
            <w:vAlign w:val="center"/>
          </w:tcPr>
          <w:p w14:paraId="676BF9C2">
            <w:pPr>
              <w:widowControl/>
              <w:spacing w:line="240" w:lineRule="auto"/>
              <w:ind w:firstLine="0" w:firstLineChars="0"/>
              <w:jc w:val="center"/>
              <w:rPr>
                <w:color w:val="auto"/>
                <w:kern w:val="0"/>
                <w:sz w:val="21"/>
                <w:szCs w:val="21"/>
                <w:lang w:val="zh-CN"/>
              </w:rPr>
            </w:pPr>
            <w:r>
              <w:rPr>
                <w:color w:val="auto"/>
                <w:kern w:val="0"/>
                <w:sz w:val="21"/>
                <w:szCs w:val="21"/>
                <w:lang w:val="zh-CN"/>
              </w:rPr>
              <w:t>边长=5~50km□</w:t>
            </w:r>
          </w:p>
        </w:tc>
        <w:tc>
          <w:tcPr>
            <w:tcW w:w="815" w:type="pct"/>
            <w:gridSpan w:val="2"/>
            <w:vAlign w:val="center"/>
          </w:tcPr>
          <w:p w14:paraId="34597B77">
            <w:pPr>
              <w:widowControl/>
              <w:spacing w:line="240" w:lineRule="auto"/>
              <w:ind w:firstLine="0" w:firstLineChars="0"/>
              <w:jc w:val="center"/>
              <w:rPr>
                <w:color w:val="auto"/>
                <w:kern w:val="0"/>
                <w:sz w:val="21"/>
                <w:szCs w:val="21"/>
                <w:lang w:val="zh-CN"/>
              </w:rPr>
            </w:pPr>
            <w:r>
              <w:rPr>
                <w:color w:val="auto"/>
                <w:kern w:val="0"/>
                <w:sz w:val="21"/>
                <w:szCs w:val="21"/>
                <w:lang w:val="zh-CN"/>
              </w:rPr>
              <w:t>边长=5km√</w:t>
            </w:r>
          </w:p>
        </w:tc>
      </w:tr>
      <w:tr w14:paraId="33783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restart"/>
            <w:vAlign w:val="center"/>
          </w:tcPr>
          <w:p w14:paraId="73481E4F">
            <w:pPr>
              <w:widowControl/>
              <w:spacing w:line="240" w:lineRule="auto"/>
              <w:ind w:firstLine="0" w:firstLineChars="0"/>
              <w:jc w:val="center"/>
              <w:rPr>
                <w:color w:val="auto"/>
                <w:kern w:val="0"/>
                <w:sz w:val="21"/>
                <w:szCs w:val="21"/>
                <w:lang w:val="zh-CN"/>
              </w:rPr>
            </w:pPr>
            <w:r>
              <w:rPr>
                <w:color w:val="auto"/>
                <w:kern w:val="0"/>
                <w:sz w:val="21"/>
                <w:szCs w:val="21"/>
                <w:lang w:val="zh-CN"/>
              </w:rPr>
              <w:t>评价因子</w:t>
            </w:r>
          </w:p>
        </w:tc>
        <w:tc>
          <w:tcPr>
            <w:tcW w:w="795" w:type="pct"/>
            <w:vAlign w:val="center"/>
          </w:tcPr>
          <w:p w14:paraId="30BFC0F3">
            <w:pPr>
              <w:widowControl/>
              <w:spacing w:line="240" w:lineRule="auto"/>
              <w:ind w:firstLine="0" w:firstLineChars="0"/>
              <w:jc w:val="center"/>
              <w:rPr>
                <w:color w:val="auto"/>
                <w:kern w:val="0"/>
                <w:sz w:val="21"/>
                <w:szCs w:val="21"/>
                <w:lang w:val="zh-CN"/>
              </w:rPr>
            </w:pPr>
            <w:r>
              <w:rPr>
                <w:color w:val="auto"/>
                <w:kern w:val="0"/>
                <w:sz w:val="21"/>
                <w:szCs w:val="21"/>
                <w:lang w:val="zh-CN"/>
              </w:rPr>
              <w:t>SO</w:t>
            </w:r>
            <w:r>
              <w:rPr>
                <w:color w:val="auto"/>
                <w:kern w:val="0"/>
                <w:sz w:val="21"/>
                <w:szCs w:val="21"/>
                <w:vertAlign w:val="subscript"/>
                <w:lang w:val="zh-CN"/>
              </w:rPr>
              <w:t>2</w:t>
            </w:r>
            <w:r>
              <w:rPr>
                <w:color w:val="auto"/>
                <w:kern w:val="0"/>
                <w:sz w:val="21"/>
                <w:szCs w:val="21"/>
                <w:lang w:val="zh-CN"/>
              </w:rPr>
              <w:t>+NOx排放量</w:t>
            </w:r>
          </w:p>
        </w:tc>
        <w:tc>
          <w:tcPr>
            <w:tcW w:w="860" w:type="pct"/>
            <w:gridSpan w:val="2"/>
            <w:vAlign w:val="center"/>
          </w:tcPr>
          <w:p w14:paraId="4759F4AE">
            <w:pPr>
              <w:widowControl/>
              <w:spacing w:line="240" w:lineRule="auto"/>
              <w:ind w:firstLine="0" w:firstLineChars="0"/>
              <w:jc w:val="center"/>
              <w:rPr>
                <w:color w:val="auto"/>
                <w:kern w:val="0"/>
                <w:sz w:val="21"/>
                <w:szCs w:val="21"/>
                <w:lang w:val="zh-CN"/>
              </w:rPr>
            </w:pPr>
            <w:r>
              <w:rPr>
                <w:color w:val="auto"/>
                <w:kern w:val="0"/>
                <w:sz w:val="21"/>
                <w:szCs w:val="21"/>
                <w:lang w:val="zh-CN"/>
              </w:rPr>
              <w:t>≥2000t/a □</w:t>
            </w:r>
          </w:p>
        </w:tc>
        <w:tc>
          <w:tcPr>
            <w:tcW w:w="1445" w:type="pct"/>
            <w:gridSpan w:val="4"/>
            <w:vAlign w:val="center"/>
          </w:tcPr>
          <w:p w14:paraId="610C9F36">
            <w:pPr>
              <w:widowControl/>
              <w:spacing w:line="240" w:lineRule="auto"/>
              <w:ind w:firstLine="0" w:firstLineChars="0"/>
              <w:jc w:val="center"/>
              <w:rPr>
                <w:color w:val="auto"/>
                <w:kern w:val="0"/>
                <w:sz w:val="21"/>
                <w:szCs w:val="21"/>
                <w:lang w:val="zh-CN"/>
              </w:rPr>
            </w:pPr>
            <w:r>
              <w:rPr>
                <w:color w:val="auto"/>
                <w:kern w:val="0"/>
                <w:sz w:val="21"/>
                <w:szCs w:val="21"/>
                <w:lang w:val="zh-CN"/>
              </w:rPr>
              <w:t>500~2000t/a □</w:t>
            </w:r>
          </w:p>
        </w:tc>
        <w:tc>
          <w:tcPr>
            <w:tcW w:w="1438" w:type="pct"/>
            <w:gridSpan w:val="5"/>
            <w:vAlign w:val="center"/>
          </w:tcPr>
          <w:p w14:paraId="3C44B8F4">
            <w:pPr>
              <w:widowControl/>
              <w:spacing w:line="240" w:lineRule="auto"/>
              <w:ind w:firstLine="0" w:firstLineChars="0"/>
              <w:jc w:val="center"/>
              <w:rPr>
                <w:color w:val="auto"/>
                <w:kern w:val="0"/>
                <w:sz w:val="21"/>
                <w:szCs w:val="21"/>
                <w:lang w:val="zh-CN"/>
              </w:rPr>
            </w:pPr>
            <w:r>
              <w:rPr>
                <w:color w:val="auto"/>
                <w:kern w:val="0"/>
                <w:sz w:val="21"/>
                <w:szCs w:val="21"/>
                <w:lang w:val="zh-CN"/>
              </w:rPr>
              <w:t>&lt;500t/a√</w:t>
            </w:r>
          </w:p>
        </w:tc>
      </w:tr>
      <w:tr w14:paraId="36CDC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25CC6F2E">
            <w:pPr>
              <w:widowControl/>
              <w:spacing w:line="240" w:lineRule="auto"/>
              <w:ind w:firstLine="0" w:firstLineChars="0"/>
              <w:jc w:val="center"/>
              <w:rPr>
                <w:color w:val="auto"/>
                <w:kern w:val="0"/>
                <w:sz w:val="21"/>
                <w:szCs w:val="21"/>
                <w:lang w:val="zh-CN"/>
              </w:rPr>
            </w:pPr>
          </w:p>
        </w:tc>
        <w:tc>
          <w:tcPr>
            <w:tcW w:w="795" w:type="pct"/>
            <w:vAlign w:val="center"/>
          </w:tcPr>
          <w:p w14:paraId="2ED1F60D">
            <w:pPr>
              <w:widowControl/>
              <w:spacing w:line="240" w:lineRule="auto"/>
              <w:ind w:firstLine="0" w:firstLineChars="0"/>
              <w:jc w:val="center"/>
              <w:rPr>
                <w:color w:val="auto"/>
                <w:kern w:val="0"/>
                <w:sz w:val="21"/>
                <w:szCs w:val="21"/>
                <w:lang w:val="zh-CN"/>
              </w:rPr>
            </w:pPr>
            <w:r>
              <w:rPr>
                <w:color w:val="auto"/>
                <w:kern w:val="0"/>
                <w:sz w:val="21"/>
                <w:szCs w:val="21"/>
                <w:lang w:val="zh-CN"/>
              </w:rPr>
              <w:t>评价因子</w:t>
            </w:r>
          </w:p>
        </w:tc>
        <w:tc>
          <w:tcPr>
            <w:tcW w:w="3744" w:type="pct"/>
            <w:gridSpan w:val="11"/>
            <w:vAlign w:val="center"/>
          </w:tcPr>
          <w:p w14:paraId="47D92F5B">
            <w:pPr>
              <w:widowControl/>
              <w:spacing w:line="240" w:lineRule="auto"/>
              <w:ind w:firstLine="0" w:firstLineChars="0"/>
              <w:jc w:val="center"/>
              <w:rPr>
                <w:color w:val="auto"/>
                <w:kern w:val="0"/>
                <w:sz w:val="21"/>
                <w:szCs w:val="21"/>
                <w:lang w:val="zh-CN"/>
              </w:rPr>
            </w:pPr>
            <w:r>
              <w:rPr>
                <w:color w:val="auto"/>
                <w:kern w:val="0"/>
                <w:sz w:val="21"/>
                <w:szCs w:val="21"/>
                <w:lang w:val="zh-CN"/>
              </w:rPr>
              <w:t>基本污染物(SO</w:t>
            </w:r>
            <w:r>
              <w:rPr>
                <w:color w:val="auto"/>
                <w:kern w:val="0"/>
                <w:sz w:val="21"/>
                <w:szCs w:val="21"/>
                <w:vertAlign w:val="subscript"/>
                <w:lang w:val="zh-CN"/>
              </w:rPr>
              <w:t>2</w:t>
            </w:r>
            <w:r>
              <w:rPr>
                <w:color w:val="auto"/>
                <w:kern w:val="0"/>
                <w:sz w:val="21"/>
                <w:szCs w:val="21"/>
                <w:lang w:val="zh-CN"/>
              </w:rPr>
              <w:t>、NO</w:t>
            </w:r>
            <w:r>
              <w:rPr>
                <w:color w:val="auto"/>
                <w:kern w:val="0"/>
                <w:sz w:val="21"/>
                <w:szCs w:val="21"/>
                <w:vertAlign w:val="subscript"/>
                <w:lang w:val="zh-CN"/>
              </w:rPr>
              <w:t>2</w:t>
            </w:r>
            <w:r>
              <w:rPr>
                <w:color w:val="auto"/>
                <w:kern w:val="0"/>
                <w:sz w:val="21"/>
                <w:szCs w:val="21"/>
                <w:lang w:val="zh-CN"/>
              </w:rPr>
              <w:t>、PM</w:t>
            </w:r>
            <w:r>
              <w:rPr>
                <w:color w:val="auto"/>
                <w:kern w:val="0"/>
                <w:sz w:val="21"/>
                <w:szCs w:val="21"/>
                <w:vertAlign w:val="subscript"/>
                <w:lang w:val="zh-CN"/>
              </w:rPr>
              <w:t>10</w:t>
            </w:r>
            <w:r>
              <w:rPr>
                <w:color w:val="auto"/>
                <w:kern w:val="0"/>
                <w:sz w:val="21"/>
                <w:szCs w:val="21"/>
                <w:lang w:val="zh-CN"/>
              </w:rPr>
              <w:t>、PM</w:t>
            </w:r>
            <w:r>
              <w:rPr>
                <w:color w:val="auto"/>
                <w:kern w:val="0"/>
                <w:sz w:val="21"/>
                <w:szCs w:val="21"/>
                <w:vertAlign w:val="subscript"/>
                <w:lang w:val="zh-CN"/>
              </w:rPr>
              <w:t>2.5</w:t>
            </w:r>
            <w:r>
              <w:rPr>
                <w:color w:val="auto"/>
                <w:kern w:val="0"/>
                <w:sz w:val="21"/>
                <w:szCs w:val="21"/>
                <w:lang w:val="zh-CN"/>
              </w:rPr>
              <w:t>、CO、O</w:t>
            </w:r>
            <w:r>
              <w:rPr>
                <w:color w:val="auto"/>
                <w:kern w:val="0"/>
                <w:sz w:val="21"/>
                <w:szCs w:val="21"/>
                <w:vertAlign w:val="subscript"/>
                <w:lang w:val="zh-CN"/>
              </w:rPr>
              <w:t>3</w:t>
            </w:r>
            <w:r>
              <w:rPr>
                <w:color w:val="auto"/>
                <w:kern w:val="0"/>
                <w:sz w:val="21"/>
                <w:szCs w:val="21"/>
                <w:lang w:val="zh-CN"/>
              </w:rPr>
              <w:t>)</w:t>
            </w:r>
          </w:p>
          <w:p w14:paraId="71FA9FB4">
            <w:pPr>
              <w:widowControl/>
              <w:spacing w:line="240" w:lineRule="auto"/>
              <w:ind w:firstLine="0" w:firstLineChars="0"/>
              <w:jc w:val="center"/>
              <w:rPr>
                <w:color w:val="auto"/>
                <w:kern w:val="0"/>
                <w:sz w:val="21"/>
                <w:szCs w:val="21"/>
                <w:lang w:val="zh-CN"/>
              </w:rPr>
            </w:pPr>
            <w:r>
              <w:rPr>
                <w:color w:val="auto"/>
                <w:kern w:val="0"/>
                <w:sz w:val="21"/>
                <w:szCs w:val="21"/>
                <w:lang w:val="zh-CN"/>
              </w:rPr>
              <w:t>其他污染物(氨、</w:t>
            </w:r>
            <w:r>
              <w:rPr>
                <w:rFonts w:hint="eastAsia"/>
                <w:color w:val="auto"/>
                <w:kern w:val="0"/>
                <w:sz w:val="21"/>
                <w:szCs w:val="21"/>
                <w:lang w:val="zh-CN"/>
              </w:rPr>
              <w:t>臭气浓度</w:t>
            </w:r>
            <w:r>
              <w:rPr>
                <w:color w:val="auto"/>
                <w:kern w:val="0"/>
                <w:sz w:val="21"/>
                <w:szCs w:val="21"/>
                <w:lang w:val="zh-CN"/>
              </w:rPr>
              <w:t>)</w:t>
            </w:r>
          </w:p>
        </w:tc>
      </w:tr>
      <w:tr w14:paraId="79F1C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Align w:val="center"/>
          </w:tcPr>
          <w:p w14:paraId="0E6F9D78">
            <w:pPr>
              <w:widowControl/>
              <w:spacing w:line="240" w:lineRule="auto"/>
              <w:ind w:firstLine="0" w:firstLineChars="0"/>
              <w:jc w:val="center"/>
              <w:rPr>
                <w:color w:val="auto"/>
                <w:kern w:val="0"/>
                <w:sz w:val="21"/>
                <w:szCs w:val="21"/>
                <w:lang w:val="zh-CN"/>
              </w:rPr>
            </w:pPr>
            <w:r>
              <w:rPr>
                <w:color w:val="auto"/>
                <w:kern w:val="0"/>
                <w:sz w:val="21"/>
                <w:szCs w:val="21"/>
                <w:lang w:val="zh-CN"/>
              </w:rPr>
              <w:t>评价标准</w:t>
            </w:r>
          </w:p>
        </w:tc>
        <w:tc>
          <w:tcPr>
            <w:tcW w:w="795" w:type="pct"/>
            <w:vAlign w:val="center"/>
          </w:tcPr>
          <w:p w14:paraId="6AF8B5BF">
            <w:pPr>
              <w:widowControl/>
              <w:spacing w:line="240" w:lineRule="auto"/>
              <w:ind w:firstLine="0" w:firstLineChars="0"/>
              <w:jc w:val="center"/>
              <w:rPr>
                <w:color w:val="auto"/>
                <w:kern w:val="0"/>
                <w:sz w:val="21"/>
                <w:szCs w:val="21"/>
                <w:lang w:val="zh-CN"/>
              </w:rPr>
            </w:pPr>
            <w:r>
              <w:rPr>
                <w:color w:val="auto"/>
                <w:kern w:val="0"/>
                <w:sz w:val="21"/>
                <w:szCs w:val="21"/>
                <w:lang w:val="zh-CN"/>
              </w:rPr>
              <w:t>评价标准</w:t>
            </w:r>
          </w:p>
        </w:tc>
        <w:tc>
          <w:tcPr>
            <w:tcW w:w="860" w:type="pct"/>
            <w:gridSpan w:val="2"/>
            <w:vAlign w:val="center"/>
          </w:tcPr>
          <w:p w14:paraId="62614038">
            <w:pPr>
              <w:widowControl/>
              <w:spacing w:line="240" w:lineRule="auto"/>
              <w:ind w:firstLine="0" w:firstLineChars="0"/>
              <w:jc w:val="center"/>
              <w:rPr>
                <w:color w:val="auto"/>
                <w:kern w:val="0"/>
                <w:sz w:val="21"/>
                <w:szCs w:val="21"/>
                <w:lang w:val="zh-CN"/>
              </w:rPr>
            </w:pPr>
            <w:r>
              <w:rPr>
                <w:color w:val="auto"/>
                <w:kern w:val="0"/>
                <w:sz w:val="21"/>
                <w:szCs w:val="21"/>
                <w:lang w:val="zh-CN"/>
              </w:rPr>
              <w:t>国家标准√</w:t>
            </w:r>
          </w:p>
        </w:tc>
        <w:tc>
          <w:tcPr>
            <w:tcW w:w="1105" w:type="pct"/>
            <w:gridSpan w:val="3"/>
            <w:vAlign w:val="center"/>
          </w:tcPr>
          <w:p w14:paraId="47E98A79">
            <w:pPr>
              <w:widowControl/>
              <w:spacing w:line="240" w:lineRule="auto"/>
              <w:ind w:firstLine="0" w:firstLineChars="0"/>
              <w:jc w:val="center"/>
              <w:rPr>
                <w:color w:val="auto"/>
                <w:kern w:val="0"/>
                <w:sz w:val="21"/>
                <w:szCs w:val="21"/>
                <w:lang w:val="zh-CN"/>
              </w:rPr>
            </w:pPr>
            <w:r>
              <w:rPr>
                <w:color w:val="auto"/>
                <w:kern w:val="0"/>
                <w:sz w:val="21"/>
                <w:szCs w:val="21"/>
                <w:lang w:val="zh-CN"/>
              </w:rPr>
              <w:t>地方标准□</w:t>
            </w:r>
          </w:p>
        </w:tc>
        <w:tc>
          <w:tcPr>
            <w:tcW w:w="690" w:type="pct"/>
            <w:gridSpan w:val="2"/>
            <w:vAlign w:val="center"/>
          </w:tcPr>
          <w:p w14:paraId="65720D89">
            <w:pPr>
              <w:widowControl/>
              <w:spacing w:line="240" w:lineRule="auto"/>
              <w:ind w:firstLine="0" w:firstLineChars="0"/>
              <w:jc w:val="center"/>
              <w:rPr>
                <w:color w:val="auto"/>
                <w:kern w:val="0"/>
                <w:sz w:val="21"/>
                <w:szCs w:val="21"/>
                <w:lang w:val="zh-CN"/>
              </w:rPr>
            </w:pPr>
            <w:r>
              <w:rPr>
                <w:color w:val="auto"/>
                <w:kern w:val="0"/>
                <w:sz w:val="21"/>
                <w:szCs w:val="21"/>
                <w:lang w:val="zh-CN"/>
              </w:rPr>
              <w:t>附录D√</w:t>
            </w:r>
          </w:p>
        </w:tc>
        <w:tc>
          <w:tcPr>
            <w:tcW w:w="1087" w:type="pct"/>
            <w:gridSpan w:val="4"/>
            <w:vAlign w:val="center"/>
          </w:tcPr>
          <w:p w14:paraId="637E28D8">
            <w:pPr>
              <w:widowControl/>
              <w:spacing w:line="240" w:lineRule="auto"/>
              <w:ind w:firstLine="0" w:firstLineChars="0"/>
              <w:jc w:val="center"/>
              <w:rPr>
                <w:color w:val="auto"/>
                <w:kern w:val="0"/>
                <w:sz w:val="21"/>
                <w:szCs w:val="21"/>
                <w:lang w:val="zh-CN"/>
              </w:rPr>
            </w:pPr>
            <w:r>
              <w:rPr>
                <w:color w:val="auto"/>
                <w:kern w:val="0"/>
                <w:sz w:val="21"/>
                <w:szCs w:val="21"/>
                <w:lang w:val="zh-CN"/>
              </w:rPr>
              <w:t>其他标准√</w:t>
            </w:r>
          </w:p>
        </w:tc>
      </w:tr>
      <w:tr w14:paraId="504E8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restart"/>
            <w:vAlign w:val="center"/>
          </w:tcPr>
          <w:p w14:paraId="4C233495">
            <w:pPr>
              <w:widowControl/>
              <w:spacing w:line="240" w:lineRule="auto"/>
              <w:ind w:firstLine="0" w:firstLineChars="0"/>
              <w:jc w:val="center"/>
              <w:rPr>
                <w:color w:val="auto"/>
                <w:kern w:val="0"/>
                <w:sz w:val="21"/>
                <w:szCs w:val="21"/>
                <w:lang w:val="zh-CN"/>
              </w:rPr>
            </w:pPr>
            <w:r>
              <w:rPr>
                <w:color w:val="auto"/>
                <w:kern w:val="0"/>
                <w:sz w:val="21"/>
                <w:szCs w:val="21"/>
                <w:lang w:val="zh-CN"/>
              </w:rPr>
              <w:t>现状评价</w:t>
            </w:r>
          </w:p>
        </w:tc>
        <w:tc>
          <w:tcPr>
            <w:tcW w:w="795" w:type="pct"/>
            <w:vAlign w:val="center"/>
          </w:tcPr>
          <w:p w14:paraId="7DA5273E">
            <w:pPr>
              <w:widowControl/>
              <w:spacing w:line="240" w:lineRule="auto"/>
              <w:ind w:firstLine="0" w:firstLineChars="0"/>
              <w:jc w:val="center"/>
              <w:rPr>
                <w:color w:val="auto"/>
                <w:kern w:val="0"/>
                <w:sz w:val="21"/>
                <w:szCs w:val="21"/>
                <w:lang w:val="zh-CN"/>
              </w:rPr>
            </w:pPr>
            <w:r>
              <w:rPr>
                <w:color w:val="auto"/>
                <w:kern w:val="0"/>
                <w:sz w:val="21"/>
                <w:szCs w:val="21"/>
                <w:lang w:val="zh-CN"/>
              </w:rPr>
              <w:t>评价功能区</w:t>
            </w:r>
          </w:p>
        </w:tc>
        <w:tc>
          <w:tcPr>
            <w:tcW w:w="1729" w:type="pct"/>
            <w:gridSpan w:val="4"/>
            <w:vAlign w:val="center"/>
          </w:tcPr>
          <w:p w14:paraId="43DF840A">
            <w:pPr>
              <w:widowControl/>
              <w:spacing w:line="240" w:lineRule="auto"/>
              <w:ind w:firstLine="0" w:firstLineChars="0"/>
              <w:jc w:val="center"/>
              <w:rPr>
                <w:color w:val="auto"/>
                <w:kern w:val="0"/>
                <w:sz w:val="21"/>
                <w:szCs w:val="21"/>
                <w:lang w:val="zh-CN"/>
              </w:rPr>
            </w:pPr>
            <w:r>
              <w:rPr>
                <w:color w:val="auto"/>
                <w:kern w:val="0"/>
                <w:sz w:val="21"/>
                <w:szCs w:val="21"/>
                <w:lang w:val="zh-CN"/>
              </w:rPr>
              <w:t>一类口□</w:t>
            </w:r>
          </w:p>
        </w:tc>
        <w:tc>
          <w:tcPr>
            <w:tcW w:w="1199" w:type="pct"/>
            <w:gridSpan w:val="5"/>
            <w:vAlign w:val="center"/>
          </w:tcPr>
          <w:p w14:paraId="70D939B0">
            <w:pPr>
              <w:widowControl/>
              <w:spacing w:line="240" w:lineRule="auto"/>
              <w:ind w:firstLine="0" w:firstLineChars="0"/>
              <w:jc w:val="center"/>
              <w:rPr>
                <w:color w:val="auto"/>
                <w:kern w:val="0"/>
                <w:sz w:val="21"/>
                <w:szCs w:val="21"/>
                <w:lang w:val="zh-CN"/>
              </w:rPr>
            </w:pPr>
            <w:r>
              <w:rPr>
                <w:color w:val="auto"/>
                <w:kern w:val="0"/>
                <w:sz w:val="21"/>
                <w:szCs w:val="21"/>
                <w:lang w:val="zh-CN"/>
              </w:rPr>
              <w:t>二类区√</w:t>
            </w:r>
          </w:p>
        </w:tc>
        <w:tc>
          <w:tcPr>
            <w:tcW w:w="815" w:type="pct"/>
            <w:gridSpan w:val="2"/>
            <w:vAlign w:val="center"/>
          </w:tcPr>
          <w:p w14:paraId="58870EC5">
            <w:pPr>
              <w:widowControl/>
              <w:spacing w:line="240" w:lineRule="auto"/>
              <w:ind w:firstLine="0" w:firstLineChars="0"/>
              <w:jc w:val="center"/>
              <w:rPr>
                <w:color w:val="auto"/>
                <w:kern w:val="0"/>
                <w:sz w:val="21"/>
                <w:szCs w:val="21"/>
                <w:lang w:val="zh-CN"/>
              </w:rPr>
            </w:pPr>
            <w:r>
              <w:rPr>
                <w:color w:val="auto"/>
                <w:kern w:val="0"/>
                <w:sz w:val="21"/>
                <w:szCs w:val="21"/>
                <w:lang w:val="zh-CN"/>
              </w:rPr>
              <w:t>一类区和二类区□</w:t>
            </w:r>
          </w:p>
        </w:tc>
      </w:tr>
      <w:tr w14:paraId="0BB94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6F00512C">
            <w:pPr>
              <w:widowControl/>
              <w:spacing w:line="240" w:lineRule="auto"/>
              <w:ind w:firstLine="0" w:firstLineChars="0"/>
              <w:jc w:val="center"/>
              <w:rPr>
                <w:color w:val="auto"/>
                <w:kern w:val="0"/>
                <w:sz w:val="21"/>
                <w:szCs w:val="21"/>
                <w:lang w:val="zh-CN"/>
              </w:rPr>
            </w:pPr>
          </w:p>
        </w:tc>
        <w:tc>
          <w:tcPr>
            <w:tcW w:w="795" w:type="pct"/>
            <w:vAlign w:val="center"/>
          </w:tcPr>
          <w:p w14:paraId="7A36F7D9">
            <w:pPr>
              <w:widowControl/>
              <w:spacing w:line="240" w:lineRule="auto"/>
              <w:ind w:firstLine="0" w:firstLineChars="0"/>
              <w:jc w:val="center"/>
              <w:rPr>
                <w:color w:val="auto"/>
                <w:kern w:val="0"/>
                <w:sz w:val="21"/>
                <w:szCs w:val="21"/>
                <w:lang w:val="zh-CN"/>
              </w:rPr>
            </w:pPr>
            <w:r>
              <w:rPr>
                <w:color w:val="auto"/>
                <w:kern w:val="0"/>
                <w:sz w:val="21"/>
                <w:szCs w:val="21"/>
                <w:lang w:val="zh-CN"/>
              </w:rPr>
              <w:t>评价基准年</w:t>
            </w:r>
          </w:p>
        </w:tc>
        <w:tc>
          <w:tcPr>
            <w:tcW w:w="3744" w:type="pct"/>
            <w:gridSpan w:val="11"/>
            <w:vAlign w:val="center"/>
          </w:tcPr>
          <w:p w14:paraId="29CF2B35">
            <w:pPr>
              <w:widowControl/>
              <w:spacing w:line="240" w:lineRule="auto"/>
              <w:ind w:firstLine="0" w:firstLineChars="0"/>
              <w:jc w:val="center"/>
              <w:rPr>
                <w:color w:val="auto"/>
                <w:kern w:val="0"/>
                <w:sz w:val="21"/>
                <w:szCs w:val="21"/>
                <w:lang w:val="zh-CN"/>
              </w:rPr>
            </w:pPr>
            <w:r>
              <w:rPr>
                <w:color w:val="auto"/>
                <w:kern w:val="0"/>
                <w:sz w:val="21"/>
                <w:szCs w:val="21"/>
                <w:lang w:val="zh-CN"/>
              </w:rPr>
              <w:t>(202</w:t>
            </w:r>
            <w:r>
              <w:rPr>
                <w:rFonts w:hint="eastAsia"/>
                <w:color w:val="auto"/>
                <w:kern w:val="0"/>
                <w:sz w:val="21"/>
                <w:szCs w:val="21"/>
                <w:lang w:val="zh-CN"/>
              </w:rPr>
              <w:t>4</w:t>
            </w:r>
            <w:r>
              <w:rPr>
                <w:color w:val="auto"/>
                <w:kern w:val="0"/>
                <w:sz w:val="21"/>
                <w:szCs w:val="21"/>
                <w:lang w:val="zh-CN"/>
              </w:rPr>
              <w:t>)年</w:t>
            </w:r>
          </w:p>
        </w:tc>
      </w:tr>
      <w:tr w14:paraId="2A422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5F175B34">
            <w:pPr>
              <w:widowControl/>
              <w:spacing w:line="240" w:lineRule="auto"/>
              <w:ind w:firstLine="0" w:firstLineChars="0"/>
              <w:jc w:val="center"/>
              <w:rPr>
                <w:color w:val="auto"/>
                <w:kern w:val="0"/>
                <w:sz w:val="21"/>
                <w:szCs w:val="21"/>
                <w:lang w:val="zh-CN"/>
              </w:rPr>
            </w:pPr>
          </w:p>
        </w:tc>
        <w:tc>
          <w:tcPr>
            <w:tcW w:w="795" w:type="pct"/>
            <w:vAlign w:val="center"/>
          </w:tcPr>
          <w:p w14:paraId="1E12D54D">
            <w:pPr>
              <w:widowControl/>
              <w:spacing w:line="240" w:lineRule="auto"/>
              <w:ind w:firstLine="0" w:firstLineChars="0"/>
              <w:jc w:val="center"/>
              <w:rPr>
                <w:color w:val="auto"/>
                <w:kern w:val="0"/>
                <w:sz w:val="21"/>
                <w:szCs w:val="21"/>
                <w:lang w:val="zh-CN"/>
              </w:rPr>
            </w:pPr>
            <w:r>
              <w:rPr>
                <w:color w:val="auto"/>
                <w:kern w:val="0"/>
                <w:sz w:val="21"/>
                <w:szCs w:val="21"/>
                <w:lang w:val="zh-CN"/>
              </w:rPr>
              <w:t>环境空气质量现状调查数据来源</w:t>
            </w:r>
          </w:p>
        </w:tc>
        <w:tc>
          <w:tcPr>
            <w:tcW w:w="1729" w:type="pct"/>
            <w:gridSpan w:val="4"/>
            <w:vAlign w:val="center"/>
          </w:tcPr>
          <w:p w14:paraId="538DA4AB">
            <w:pPr>
              <w:widowControl/>
              <w:spacing w:line="240" w:lineRule="auto"/>
              <w:ind w:firstLine="0" w:firstLineChars="0"/>
              <w:jc w:val="center"/>
              <w:rPr>
                <w:color w:val="auto"/>
                <w:kern w:val="0"/>
                <w:sz w:val="21"/>
                <w:szCs w:val="21"/>
                <w:lang w:val="zh-CN"/>
              </w:rPr>
            </w:pPr>
            <w:r>
              <w:rPr>
                <w:color w:val="auto"/>
                <w:kern w:val="0"/>
                <w:sz w:val="21"/>
                <w:szCs w:val="21"/>
                <w:lang w:val="zh-CN"/>
              </w:rPr>
              <w:t>长期例行监测数据□</w:t>
            </w:r>
          </w:p>
        </w:tc>
        <w:tc>
          <w:tcPr>
            <w:tcW w:w="1199" w:type="pct"/>
            <w:gridSpan w:val="5"/>
            <w:vAlign w:val="center"/>
          </w:tcPr>
          <w:p w14:paraId="7BF308B6">
            <w:pPr>
              <w:widowControl/>
              <w:spacing w:line="240" w:lineRule="auto"/>
              <w:ind w:firstLine="0" w:firstLineChars="0"/>
              <w:jc w:val="center"/>
              <w:rPr>
                <w:color w:val="auto"/>
                <w:kern w:val="0"/>
                <w:sz w:val="21"/>
                <w:szCs w:val="21"/>
                <w:lang w:val="zh-CN"/>
              </w:rPr>
            </w:pPr>
            <w:r>
              <w:rPr>
                <w:color w:val="auto"/>
                <w:kern w:val="0"/>
                <w:sz w:val="21"/>
                <w:szCs w:val="21"/>
                <w:lang w:val="zh-CN"/>
              </w:rPr>
              <w:t>主管部门发布的数据√</w:t>
            </w:r>
          </w:p>
        </w:tc>
        <w:tc>
          <w:tcPr>
            <w:tcW w:w="815" w:type="pct"/>
            <w:gridSpan w:val="2"/>
            <w:vAlign w:val="center"/>
          </w:tcPr>
          <w:p w14:paraId="35A23118">
            <w:pPr>
              <w:widowControl/>
              <w:spacing w:line="240" w:lineRule="auto"/>
              <w:ind w:firstLine="0" w:firstLineChars="0"/>
              <w:jc w:val="center"/>
              <w:rPr>
                <w:color w:val="auto"/>
                <w:kern w:val="0"/>
                <w:sz w:val="21"/>
                <w:szCs w:val="21"/>
                <w:lang w:val="zh-CN"/>
              </w:rPr>
            </w:pPr>
            <w:r>
              <w:rPr>
                <w:color w:val="auto"/>
                <w:kern w:val="0"/>
                <w:sz w:val="21"/>
                <w:szCs w:val="21"/>
                <w:lang w:val="zh-CN"/>
              </w:rPr>
              <w:t>现状补充监测√</w:t>
            </w:r>
          </w:p>
        </w:tc>
      </w:tr>
      <w:tr w14:paraId="60E5F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47B8C336">
            <w:pPr>
              <w:widowControl/>
              <w:spacing w:line="240" w:lineRule="auto"/>
              <w:ind w:firstLine="0" w:firstLineChars="0"/>
              <w:jc w:val="center"/>
              <w:rPr>
                <w:color w:val="auto"/>
                <w:kern w:val="0"/>
                <w:sz w:val="21"/>
                <w:szCs w:val="21"/>
                <w:lang w:val="zh-CN"/>
              </w:rPr>
            </w:pPr>
          </w:p>
        </w:tc>
        <w:tc>
          <w:tcPr>
            <w:tcW w:w="795" w:type="pct"/>
            <w:vAlign w:val="center"/>
          </w:tcPr>
          <w:p w14:paraId="1625CAB5">
            <w:pPr>
              <w:widowControl/>
              <w:spacing w:line="240" w:lineRule="auto"/>
              <w:ind w:firstLine="0" w:firstLineChars="0"/>
              <w:jc w:val="center"/>
              <w:rPr>
                <w:color w:val="auto"/>
                <w:kern w:val="0"/>
                <w:sz w:val="21"/>
                <w:szCs w:val="21"/>
                <w:lang w:val="zh-CN"/>
              </w:rPr>
            </w:pPr>
            <w:r>
              <w:rPr>
                <w:color w:val="auto"/>
                <w:kern w:val="0"/>
                <w:sz w:val="21"/>
                <w:szCs w:val="21"/>
                <w:lang w:val="zh-CN"/>
              </w:rPr>
              <w:t>现状评价</w:t>
            </w:r>
          </w:p>
        </w:tc>
        <w:tc>
          <w:tcPr>
            <w:tcW w:w="2306" w:type="pct"/>
            <w:gridSpan w:val="6"/>
            <w:vAlign w:val="center"/>
          </w:tcPr>
          <w:p w14:paraId="42DE3E4C">
            <w:pPr>
              <w:widowControl/>
              <w:spacing w:line="240" w:lineRule="auto"/>
              <w:ind w:firstLine="0" w:firstLineChars="0"/>
              <w:jc w:val="center"/>
              <w:rPr>
                <w:color w:val="auto"/>
                <w:kern w:val="0"/>
                <w:sz w:val="21"/>
                <w:szCs w:val="21"/>
                <w:lang w:val="zh-CN"/>
              </w:rPr>
            </w:pPr>
            <w:r>
              <w:rPr>
                <w:color w:val="auto"/>
                <w:kern w:val="0"/>
                <w:sz w:val="21"/>
                <w:szCs w:val="21"/>
                <w:lang w:val="zh-CN"/>
              </w:rPr>
              <w:t>达标区√</w:t>
            </w:r>
          </w:p>
        </w:tc>
        <w:tc>
          <w:tcPr>
            <w:tcW w:w="1438" w:type="pct"/>
            <w:gridSpan w:val="5"/>
            <w:vAlign w:val="center"/>
          </w:tcPr>
          <w:p w14:paraId="6308BA75">
            <w:pPr>
              <w:widowControl/>
              <w:spacing w:line="240" w:lineRule="auto"/>
              <w:ind w:firstLine="0" w:firstLineChars="0"/>
              <w:jc w:val="center"/>
              <w:rPr>
                <w:color w:val="auto"/>
                <w:kern w:val="0"/>
                <w:sz w:val="21"/>
                <w:szCs w:val="21"/>
                <w:lang w:val="zh-CN"/>
              </w:rPr>
            </w:pPr>
            <w:r>
              <w:rPr>
                <w:color w:val="auto"/>
                <w:kern w:val="0"/>
                <w:sz w:val="21"/>
                <w:szCs w:val="21"/>
                <w:lang w:val="zh-CN"/>
              </w:rPr>
              <w:t>不达标区□</w:t>
            </w:r>
          </w:p>
        </w:tc>
      </w:tr>
      <w:tr w14:paraId="2DF7E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Align w:val="center"/>
          </w:tcPr>
          <w:p w14:paraId="70CD4649">
            <w:pPr>
              <w:widowControl/>
              <w:spacing w:line="240" w:lineRule="auto"/>
              <w:ind w:firstLine="0" w:firstLineChars="0"/>
              <w:jc w:val="center"/>
              <w:rPr>
                <w:color w:val="auto"/>
                <w:kern w:val="0"/>
                <w:sz w:val="21"/>
                <w:szCs w:val="21"/>
                <w:lang w:val="zh-CN"/>
              </w:rPr>
            </w:pPr>
            <w:r>
              <w:rPr>
                <w:color w:val="auto"/>
                <w:kern w:val="0"/>
                <w:sz w:val="21"/>
                <w:szCs w:val="21"/>
                <w:lang w:val="zh-CN"/>
              </w:rPr>
              <w:t>污染源调查</w:t>
            </w:r>
          </w:p>
        </w:tc>
        <w:tc>
          <w:tcPr>
            <w:tcW w:w="795" w:type="pct"/>
            <w:vAlign w:val="center"/>
          </w:tcPr>
          <w:p w14:paraId="0E0E4C85">
            <w:pPr>
              <w:widowControl/>
              <w:spacing w:line="240" w:lineRule="auto"/>
              <w:ind w:firstLine="0" w:firstLineChars="0"/>
              <w:jc w:val="center"/>
              <w:rPr>
                <w:color w:val="auto"/>
                <w:kern w:val="0"/>
                <w:sz w:val="21"/>
                <w:szCs w:val="21"/>
                <w:lang w:val="zh-CN"/>
              </w:rPr>
            </w:pPr>
            <w:r>
              <w:rPr>
                <w:color w:val="auto"/>
                <w:kern w:val="0"/>
                <w:sz w:val="21"/>
                <w:szCs w:val="21"/>
                <w:lang w:val="zh-CN"/>
              </w:rPr>
              <w:t>调查内容</w:t>
            </w:r>
          </w:p>
        </w:tc>
        <w:tc>
          <w:tcPr>
            <w:tcW w:w="1369" w:type="pct"/>
            <w:gridSpan w:val="3"/>
            <w:vAlign w:val="center"/>
          </w:tcPr>
          <w:p w14:paraId="559A304E">
            <w:pPr>
              <w:widowControl/>
              <w:spacing w:line="240" w:lineRule="auto"/>
              <w:ind w:firstLine="0" w:firstLineChars="0"/>
              <w:jc w:val="center"/>
              <w:rPr>
                <w:color w:val="auto"/>
                <w:kern w:val="0"/>
                <w:sz w:val="21"/>
                <w:szCs w:val="21"/>
                <w:lang w:val="zh-CN"/>
              </w:rPr>
            </w:pPr>
            <w:r>
              <w:rPr>
                <w:color w:val="auto"/>
                <w:kern w:val="0"/>
                <w:sz w:val="21"/>
                <w:szCs w:val="21"/>
                <w:lang w:val="zh-CN"/>
              </w:rPr>
              <w:t>本项目正常排放源√</w:t>
            </w:r>
          </w:p>
          <w:p w14:paraId="173BFDB3">
            <w:pPr>
              <w:widowControl/>
              <w:spacing w:line="240" w:lineRule="auto"/>
              <w:ind w:firstLine="0" w:firstLineChars="0"/>
              <w:jc w:val="center"/>
              <w:rPr>
                <w:color w:val="auto"/>
                <w:kern w:val="0"/>
                <w:sz w:val="21"/>
                <w:szCs w:val="21"/>
                <w:lang w:val="zh-CN"/>
              </w:rPr>
            </w:pPr>
            <w:r>
              <w:rPr>
                <w:color w:val="auto"/>
                <w:kern w:val="0"/>
                <w:sz w:val="21"/>
                <w:szCs w:val="21"/>
                <w:lang w:val="zh-CN"/>
              </w:rPr>
              <w:t>本项目非正常排放源√</w:t>
            </w:r>
          </w:p>
          <w:p w14:paraId="73807BF0">
            <w:pPr>
              <w:widowControl/>
              <w:spacing w:line="240" w:lineRule="auto"/>
              <w:ind w:firstLine="0" w:firstLineChars="0"/>
              <w:jc w:val="center"/>
              <w:rPr>
                <w:color w:val="auto"/>
                <w:kern w:val="0"/>
                <w:sz w:val="21"/>
                <w:szCs w:val="21"/>
                <w:lang w:val="zh-CN"/>
              </w:rPr>
            </w:pPr>
            <w:r>
              <w:rPr>
                <w:color w:val="auto"/>
                <w:kern w:val="0"/>
                <w:sz w:val="21"/>
                <w:szCs w:val="21"/>
                <w:lang w:val="zh-CN"/>
              </w:rPr>
              <w:t>现有污染源√</w:t>
            </w:r>
          </w:p>
        </w:tc>
        <w:tc>
          <w:tcPr>
            <w:tcW w:w="936" w:type="pct"/>
            <w:gridSpan w:val="3"/>
            <w:vAlign w:val="center"/>
          </w:tcPr>
          <w:p w14:paraId="231FA412">
            <w:pPr>
              <w:widowControl/>
              <w:spacing w:line="240" w:lineRule="auto"/>
              <w:ind w:firstLine="0" w:firstLineChars="0"/>
              <w:jc w:val="center"/>
              <w:rPr>
                <w:color w:val="auto"/>
                <w:kern w:val="0"/>
                <w:sz w:val="21"/>
                <w:szCs w:val="21"/>
                <w:lang w:val="zh-CN"/>
              </w:rPr>
            </w:pPr>
            <w:r>
              <w:rPr>
                <w:color w:val="auto"/>
                <w:kern w:val="0"/>
                <w:sz w:val="21"/>
                <w:szCs w:val="21"/>
                <w:lang w:val="zh-CN"/>
              </w:rPr>
              <w:t>拟替代的污染源√</w:t>
            </w:r>
          </w:p>
        </w:tc>
        <w:tc>
          <w:tcPr>
            <w:tcW w:w="623" w:type="pct"/>
            <w:gridSpan w:val="3"/>
            <w:vAlign w:val="center"/>
          </w:tcPr>
          <w:p w14:paraId="0FE60003">
            <w:pPr>
              <w:widowControl/>
              <w:spacing w:line="240" w:lineRule="auto"/>
              <w:ind w:firstLine="0" w:firstLineChars="0"/>
              <w:jc w:val="center"/>
              <w:rPr>
                <w:color w:val="auto"/>
                <w:kern w:val="0"/>
                <w:sz w:val="21"/>
                <w:szCs w:val="21"/>
                <w:lang w:val="zh-CN"/>
              </w:rPr>
            </w:pPr>
            <w:r>
              <w:rPr>
                <w:color w:val="auto"/>
                <w:kern w:val="0"/>
                <w:sz w:val="21"/>
                <w:szCs w:val="21"/>
                <w:lang w:val="zh-CN"/>
              </w:rPr>
              <w:t>其他在建、拟建项目污染源□</w:t>
            </w:r>
          </w:p>
        </w:tc>
        <w:tc>
          <w:tcPr>
            <w:tcW w:w="815" w:type="pct"/>
            <w:gridSpan w:val="2"/>
            <w:vAlign w:val="center"/>
          </w:tcPr>
          <w:p w14:paraId="059B32C8">
            <w:pPr>
              <w:widowControl/>
              <w:spacing w:line="240" w:lineRule="auto"/>
              <w:ind w:firstLine="0" w:firstLineChars="0"/>
              <w:jc w:val="center"/>
              <w:rPr>
                <w:color w:val="auto"/>
                <w:kern w:val="0"/>
                <w:sz w:val="21"/>
                <w:szCs w:val="21"/>
                <w:lang w:val="zh-CN"/>
              </w:rPr>
            </w:pPr>
            <w:r>
              <w:rPr>
                <w:color w:val="auto"/>
                <w:kern w:val="0"/>
                <w:sz w:val="21"/>
                <w:szCs w:val="21"/>
                <w:lang w:val="zh-CN"/>
              </w:rPr>
              <w:t>区域污染源□</w:t>
            </w:r>
          </w:p>
        </w:tc>
      </w:tr>
      <w:tr w14:paraId="34CD7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restart"/>
            <w:vAlign w:val="center"/>
          </w:tcPr>
          <w:p w14:paraId="1A234DE7">
            <w:pPr>
              <w:widowControl/>
              <w:spacing w:line="240" w:lineRule="auto"/>
              <w:ind w:firstLine="0" w:firstLineChars="0"/>
              <w:jc w:val="center"/>
              <w:rPr>
                <w:color w:val="auto"/>
                <w:kern w:val="0"/>
                <w:sz w:val="21"/>
                <w:szCs w:val="21"/>
                <w:lang w:val="zh-CN"/>
              </w:rPr>
            </w:pPr>
            <w:r>
              <w:rPr>
                <w:color w:val="auto"/>
                <w:kern w:val="0"/>
                <w:sz w:val="21"/>
                <w:szCs w:val="21"/>
                <w:lang w:val="zh-CN"/>
              </w:rPr>
              <w:t>大气环境影响预测与评价</w:t>
            </w:r>
          </w:p>
        </w:tc>
        <w:tc>
          <w:tcPr>
            <w:tcW w:w="795" w:type="pct"/>
            <w:vAlign w:val="center"/>
          </w:tcPr>
          <w:p w14:paraId="5770557B">
            <w:pPr>
              <w:widowControl/>
              <w:spacing w:line="240" w:lineRule="auto"/>
              <w:ind w:firstLine="0" w:firstLineChars="0"/>
              <w:jc w:val="center"/>
              <w:rPr>
                <w:color w:val="auto"/>
                <w:kern w:val="0"/>
                <w:sz w:val="21"/>
                <w:szCs w:val="21"/>
                <w:lang w:val="zh-CN"/>
              </w:rPr>
            </w:pPr>
            <w:r>
              <w:rPr>
                <w:color w:val="auto"/>
                <w:kern w:val="0"/>
                <w:sz w:val="21"/>
                <w:szCs w:val="21"/>
                <w:lang w:val="zh-CN"/>
              </w:rPr>
              <w:t>预测模型</w:t>
            </w:r>
          </w:p>
        </w:tc>
        <w:tc>
          <w:tcPr>
            <w:tcW w:w="405" w:type="pct"/>
            <w:vAlign w:val="center"/>
          </w:tcPr>
          <w:p w14:paraId="0B8C433A">
            <w:pPr>
              <w:widowControl/>
              <w:spacing w:line="240" w:lineRule="auto"/>
              <w:ind w:firstLine="0" w:firstLineChars="0"/>
              <w:jc w:val="center"/>
              <w:rPr>
                <w:color w:val="auto"/>
                <w:kern w:val="0"/>
                <w:sz w:val="21"/>
                <w:szCs w:val="21"/>
                <w:lang w:val="zh-CN"/>
              </w:rPr>
            </w:pPr>
            <w:r>
              <w:rPr>
                <w:color w:val="auto"/>
                <w:kern w:val="0"/>
                <w:sz w:val="21"/>
                <w:szCs w:val="21"/>
                <w:lang w:val="zh-CN"/>
              </w:rPr>
              <w:t>AERMOD□</w:t>
            </w:r>
          </w:p>
        </w:tc>
        <w:tc>
          <w:tcPr>
            <w:tcW w:w="454" w:type="pct"/>
            <w:vAlign w:val="center"/>
          </w:tcPr>
          <w:p w14:paraId="1EFBBEFF">
            <w:pPr>
              <w:widowControl/>
              <w:spacing w:line="240" w:lineRule="auto"/>
              <w:ind w:firstLine="0" w:firstLineChars="0"/>
              <w:jc w:val="center"/>
              <w:rPr>
                <w:color w:val="auto"/>
                <w:kern w:val="0"/>
                <w:sz w:val="21"/>
                <w:szCs w:val="21"/>
                <w:lang w:val="zh-CN"/>
              </w:rPr>
            </w:pPr>
            <w:r>
              <w:rPr>
                <w:color w:val="auto"/>
                <w:kern w:val="0"/>
                <w:sz w:val="21"/>
                <w:szCs w:val="21"/>
                <w:lang w:val="zh-CN"/>
              </w:rPr>
              <w:t>ADMS□</w:t>
            </w:r>
          </w:p>
        </w:tc>
        <w:tc>
          <w:tcPr>
            <w:tcW w:w="868" w:type="pct"/>
            <w:gridSpan w:val="2"/>
            <w:vAlign w:val="center"/>
          </w:tcPr>
          <w:p w14:paraId="3ADAF595">
            <w:pPr>
              <w:widowControl/>
              <w:spacing w:line="240" w:lineRule="auto"/>
              <w:ind w:firstLine="0" w:firstLineChars="0"/>
              <w:jc w:val="center"/>
              <w:rPr>
                <w:color w:val="auto"/>
                <w:kern w:val="0"/>
                <w:sz w:val="21"/>
                <w:szCs w:val="21"/>
                <w:lang w:val="zh-CN"/>
              </w:rPr>
            </w:pPr>
            <w:r>
              <w:rPr>
                <w:color w:val="auto"/>
                <w:kern w:val="0"/>
                <w:sz w:val="21"/>
                <w:szCs w:val="21"/>
                <w:lang w:val="zh-CN"/>
              </w:rPr>
              <w:t>AUSTAL2000□</w:t>
            </w:r>
          </w:p>
        </w:tc>
        <w:tc>
          <w:tcPr>
            <w:tcW w:w="576" w:type="pct"/>
            <w:gridSpan w:val="2"/>
            <w:vAlign w:val="center"/>
          </w:tcPr>
          <w:p w14:paraId="7D0C30C3">
            <w:pPr>
              <w:widowControl/>
              <w:spacing w:line="240" w:lineRule="auto"/>
              <w:ind w:firstLine="0" w:firstLineChars="0"/>
              <w:jc w:val="center"/>
              <w:rPr>
                <w:color w:val="auto"/>
                <w:kern w:val="0"/>
                <w:sz w:val="21"/>
                <w:szCs w:val="21"/>
                <w:lang w:val="zh-CN"/>
              </w:rPr>
            </w:pPr>
            <w:r>
              <w:rPr>
                <w:color w:val="auto"/>
                <w:kern w:val="0"/>
                <w:sz w:val="21"/>
                <w:szCs w:val="21"/>
                <w:lang w:val="zh-CN"/>
              </w:rPr>
              <w:t>EDMS/AEDT□</w:t>
            </w:r>
          </w:p>
        </w:tc>
        <w:tc>
          <w:tcPr>
            <w:tcW w:w="623" w:type="pct"/>
            <w:gridSpan w:val="3"/>
            <w:vAlign w:val="center"/>
          </w:tcPr>
          <w:p w14:paraId="57B7AEA9">
            <w:pPr>
              <w:widowControl/>
              <w:spacing w:line="240" w:lineRule="auto"/>
              <w:ind w:firstLine="0" w:firstLineChars="0"/>
              <w:jc w:val="center"/>
              <w:rPr>
                <w:color w:val="auto"/>
                <w:kern w:val="0"/>
                <w:sz w:val="21"/>
                <w:szCs w:val="21"/>
                <w:lang w:val="zh-CN"/>
              </w:rPr>
            </w:pPr>
            <w:r>
              <w:rPr>
                <w:color w:val="auto"/>
                <w:kern w:val="0"/>
                <w:sz w:val="21"/>
                <w:szCs w:val="21"/>
                <w:lang w:val="zh-CN"/>
              </w:rPr>
              <w:t>CALPUFF□</w:t>
            </w:r>
          </w:p>
        </w:tc>
        <w:tc>
          <w:tcPr>
            <w:tcW w:w="490" w:type="pct"/>
            <w:vAlign w:val="center"/>
          </w:tcPr>
          <w:p w14:paraId="3CB4731E">
            <w:pPr>
              <w:widowControl/>
              <w:spacing w:line="240" w:lineRule="auto"/>
              <w:ind w:firstLine="0" w:firstLineChars="0"/>
              <w:jc w:val="center"/>
              <w:rPr>
                <w:color w:val="auto"/>
                <w:kern w:val="0"/>
                <w:sz w:val="21"/>
                <w:szCs w:val="21"/>
                <w:lang w:val="zh-CN"/>
              </w:rPr>
            </w:pPr>
            <w:r>
              <w:rPr>
                <w:color w:val="auto"/>
                <w:kern w:val="0"/>
                <w:sz w:val="21"/>
                <w:szCs w:val="21"/>
                <w:lang w:val="zh-CN"/>
              </w:rPr>
              <w:t>网格模型□</w:t>
            </w:r>
          </w:p>
        </w:tc>
        <w:tc>
          <w:tcPr>
            <w:tcW w:w="325" w:type="pct"/>
            <w:vAlign w:val="center"/>
          </w:tcPr>
          <w:p w14:paraId="71B12B0D">
            <w:pPr>
              <w:widowControl/>
              <w:spacing w:line="240" w:lineRule="auto"/>
              <w:ind w:firstLine="0" w:firstLineChars="0"/>
              <w:jc w:val="center"/>
              <w:rPr>
                <w:color w:val="auto"/>
                <w:kern w:val="0"/>
                <w:sz w:val="21"/>
                <w:szCs w:val="21"/>
                <w:lang w:val="zh-CN"/>
              </w:rPr>
            </w:pPr>
            <w:r>
              <w:rPr>
                <w:color w:val="auto"/>
                <w:kern w:val="0"/>
                <w:sz w:val="21"/>
                <w:szCs w:val="21"/>
                <w:lang w:val="zh-CN"/>
              </w:rPr>
              <w:t>其他□</w:t>
            </w:r>
          </w:p>
        </w:tc>
      </w:tr>
      <w:tr w14:paraId="08685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48E076D5">
            <w:pPr>
              <w:widowControl/>
              <w:spacing w:line="240" w:lineRule="auto"/>
              <w:ind w:firstLine="0" w:firstLineChars="0"/>
              <w:jc w:val="center"/>
              <w:rPr>
                <w:color w:val="auto"/>
                <w:kern w:val="0"/>
                <w:sz w:val="21"/>
                <w:szCs w:val="21"/>
                <w:lang w:val="zh-CN"/>
              </w:rPr>
            </w:pPr>
          </w:p>
        </w:tc>
        <w:tc>
          <w:tcPr>
            <w:tcW w:w="795" w:type="pct"/>
            <w:vAlign w:val="center"/>
          </w:tcPr>
          <w:p w14:paraId="663BB0C7">
            <w:pPr>
              <w:widowControl/>
              <w:spacing w:line="240" w:lineRule="auto"/>
              <w:ind w:firstLine="0" w:firstLineChars="0"/>
              <w:jc w:val="center"/>
              <w:rPr>
                <w:color w:val="auto"/>
                <w:kern w:val="0"/>
                <w:sz w:val="21"/>
                <w:szCs w:val="21"/>
                <w:lang w:val="zh-CN"/>
              </w:rPr>
            </w:pPr>
            <w:r>
              <w:rPr>
                <w:color w:val="auto"/>
                <w:kern w:val="0"/>
                <w:sz w:val="21"/>
                <w:szCs w:val="21"/>
                <w:lang w:val="zh-CN"/>
              </w:rPr>
              <w:t>预测范围</w:t>
            </w:r>
          </w:p>
        </w:tc>
        <w:tc>
          <w:tcPr>
            <w:tcW w:w="1729" w:type="pct"/>
            <w:gridSpan w:val="4"/>
            <w:vAlign w:val="center"/>
          </w:tcPr>
          <w:p w14:paraId="1AF9B59C">
            <w:pPr>
              <w:widowControl/>
              <w:spacing w:line="240" w:lineRule="auto"/>
              <w:ind w:firstLine="0" w:firstLineChars="0"/>
              <w:jc w:val="center"/>
              <w:rPr>
                <w:color w:val="auto"/>
                <w:kern w:val="0"/>
                <w:sz w:val="21"/>
                <w:szCs w:val="21"/>
                <w:lang w:val="zh-CN"/>
              </w:rPr>
            </w:pPr>
            <w:r>
              <w:rPr>
                <w:color w:val="auto"/>
                <w:kern w:val="0"/>
                <w:sz w:val="21"/>
                <w:szCs w:val="21"/>
                <w:lang w:val="zh-CN"/>
              </w:rPr>
              <w:t>边长≥50km□</w:t>
            </w:r>
          </w:p>
        </w:tc>
        <w:tc>
          <w:tcPr>
            <w:tcW w:w="1199" w:type="pct"/>
            <w:gridSpan w:val="5"/>
            <w:vAlign w:val="center"/>
          </w:tcPr>
          <w:p w14:paraId="78B8EA0D">
            <w:pPr>
              <w:widowControl/>
              <w:spacing w:line="240" w:lineRule="auto"/>
              <w:ind w:firstLine="0" w:firstLineChars="0"/>
              <w:jc w:val="center"/>
              <w:rPr>
                <w:color w:val="auto"/>
                <w:kern w:val="0"/>
                <w:sz w:val="21"/>
                <w:szCs w:val="21"/>
                <w:lang w:val="zh-CN"/>
              </w:rPr>
            </w:pPr>
            <w:r>
              <w:rPr>
                <w:color w:val="auto"/>
                <w:kern w:val="0"/>
                <w:sz w:val="21"/>
                <w:szCs w:val="21"/>
                <w:lang w:val="zh-CN"/>
              </w:rPr>
              <w:t>边长5~50km□</w:t>
            </w:r>
          </w:p>
        </w:tc>
        <w:tc>
          <w:tcPr>
            <w:tcW w:w="815" w:type="pct"/>
            <w:gridSpan w:val="2"/>
            <w:vAlign w:val="center"/>
          </w:tcPr>
          <w:p w14:paraId="68F7E064">
            <w:pPr>
              <w:widowControl/>
              <w:spacing w:line="240" w:lineRule="auto"/>
              <w:ind w:firstLine="0" w:firstLineChars="0"/>
              <w:jc w:val="center"/>
              <w:rPr>
                <w:color w:val="auto"/>
                <w:kern w:val="0"/>
                <w:sz w:val="21"/>
                <w:szCs w:val="21"/>
                <w:lang w:val="zh-CN"/>
              </w:rPr>
            </w:pPr>
            <w:r>
              <w:rPr>
                <w:color w:val="auto"/>
                <w:kern w:val="0"/>
                <w:sz w:val="21"/>
                <w:szCs w:val="21"/>
                <w:lang w:val="zh-CN"/>
              </w:rPr>
              <w:t>边长=5km√</w:t>
            </w:r>
          </w:p>
        </w:tc>
      </w:tr>
      <w:tr w14:paraId="6736E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26CF5DC9">
            <w:pPr>
              <w:widowControl/>
              <w:spacing w:line="240" w:lineRule="auto"/>
              <w:ind w:firstLine="0" w:firstLineChars="0"/>
              <w:jc w:val="center"/>
              <w:rPr>
                <w:color w:val="auto"/>
                <w:kern w:val="0"/>
                <w:sz w:val="21"/>
                <w:szCs w:val="21"/>
                <w:lang w:val="zh-CN"/>
              </w:rPr>
            </w:pPr>
          </w:p>
        </w:tc>
        <w:tc>
          <w:tcPr>
            <w:tcW w:w="795" w:type="pct"/>
            <w:vAlign w:val="center"/>
          </w:tcPr>
          <w:p w14:paraId="7C4DBE8F">
            <w:pPr>
              <w:widowControl/>
              <w:spacing w:line="240" w:lineRule="auto"/>
              <w:ind w:firstLine="0" w:firstLineChars="0"/>
              <w:jc w:val="center"/>
              <w:rPr>
                <w:color w:val="auto"/>
                <w:kern w:val="0"/>
                <w:sz w:val="21"/>
                <w:szCs w:val="21"/>
                <w:lang w:val="zh-CN"/>
              </w:rPr>
            </w:pPr>
            <w:r>
              <w:rPr>
                <w:color w:val="auto"/>
                <w:kern w:val="0"/>
                <w:sz w:val="21"/>
                <w:szCs w:val="21"/>
                <w:lang w:val="zh-CN"/>
              </w:rPr>
              <w:t>预测因子</w:t>
            </w:r>
          </w:p>
        </w:tc>
        <w:tc>
          <w:tcPr>
            <w:tcW w:w="2306" w:type="pct"/>
            <w:gridSpan w:val="6"/>
            <w:vAlign w:val="center"/>
          </w:tcPr>
          <w:p w14:paraId="4D946C49">
            <w:pPr>
              <w:widowControl/>
              <w:spacing w:line="240" w:lineRule="auto"/>
              <w:ind w:firstLine="0" w:firstLineChars="0"/>
              <w:jc w:val="center"/>
              <w:rPr>
                <w:color w:val="auto"/>
                <w:kern w:val="0"/>
                <w:sz w:val="21"/>
                <w:szCs w:val="21"/>
                <w:lang w:val="zh-CN"/>
              </w:rPr>
            </w:pPr>
            <w:r>
              <w:rPr>
                <w:color w:val="auto"/>
                <w:kern w:val="0"/>
                <w:sz w:val="21"/>
                <w:szCs w:val="21"/>
                <w:lang w:val="zh-CN"/>
              </w:rPr>
              <w:t>预测因子(PM</w:t>
            </w:r>
            <w:r>
              <w:rPr>
                <w:color w:val="auto"/>
                <w:kern w:val="0"/>
                <w:sz w:val="21"/>
                <w:szCs w:val="21"/>
                <w:vertAlign w:val="subscript"/>
                <w:lang w:val="zh-CN"/>
              </w:rPr>
              <w:t>10</w:t>
            </w:r>
            <w:r>
              <w:rPr>
                <w:color w:val="auto"/>
                <w:kern w:val="0"/>
                <w:sz w:val="21"/>
                <w:szCs w:val="21"/>
                <w:lang w:val="zh-CN"/>
              </w:rPr>
              <w:t>、SO</w:t>
            </w:r>
            <w:r>
              <w:rPr>
                <w:color w:val="auto"/>
                <w:kern w:val="0"/>
                <w:sz w:val="21"/>
                <w:szCs w:val="21"/>
                <w:vertAlign w:val="subscript"/>
                <w:lang w:val="zh-CN"/>
              </w:rPr>
              <w:t>2</w:t>
            </w:r>
            <w:r>
              <w:rPr>
                <w:color w:val="auto"/>
                <w:kern w:val="0"/>
                <w:sz w:val="21"/>
                <w:szCs w:val="21"/>
                <w:lang w:val="zh-CN"/>
              </w:rPr>
              <w:t>、氨)</w:t>
            </w:r>
          </w:p>
        </w:tc>
        <w:tc>
          <w:tcPr>
            <w:tcW w:w="1438" w:type="pct"/>
            <w:gridSpan w:val="5"/>
            <w:vAlign w:val="center"/>
          </w:tcPr>
          <w:p w14:paraId="520AFB91">
            <w:pPr>
              <w:widowControl/>
              <w:spacing w:line="240" w:lineRule="auto"/>
              <w:ind w:firstLine="0" w:firstLineChars="0"/>
              <w:jc w:val="center"/>
              <w:rPr>
                <w:color w:val="auto"/>
                <w:kern w:val="0"/>
                <w:sz w:val="21"/>
                <w:szCs w:val="21"/>
                <w:lang w:val="zh-CN"/>
              </w:rPr>
            </w:pPr>
            <w:r>
              <w:rPr>
                <w:color w:val="auto"/>
                <w:kern w:val="0"/>
                <w:sz w:val="21"/>
                <w:szCs w:val="21"/>
                <w:lang w:val="zh-CN"/>
              </w:rPr>
              <w:t>包括二次PM</w:t>
            </w:r>
            <w:r>
              <w:rPr>
                <w:color w:val="auto"/>
                <w:kern w:val="0"/>
                <w:sz w:val="21"/>
                <w:szCs w:val="21"/>
                <w:vertAlign w:val="subscript"/>
                <w:lang w:val="zh-CN"/>
              </w:rPr>
              <w:t>2.5</w:t>
            </w:r>
            <w:r>
              <w:rPr>
                <w:color w:val="auto"/>
                <w:kern w:val="0"/>
                <w:sz w:val="21"/>
                <w:szCs w:val="21"/>
                <w:lang w:val="zh-CN"/>
              </w:rPr>
              <w:t>□</w:t>
            </w:r>
          </w:p>
          <w:p w14:paraId="0A61DBB8">
            <w:pPr>
              <w:widowControl/>
              <w:spacing w:line="240" w:lineRule="auto"/>
              <w:ind w:firstLine="0" w:firstLineChars="0"/>
              <w:jc w:val="center"/>
              <w:rPr>
                <w:color w:val="auto"/>
                <w:kern w:val="0"/>
                <w:sz w:val="21"/>
                <w:szCs w:val="21"/>
                <w:lang w:val="zh-CN"/>
              </w:rPr>
            </w:pPr>
            <w:r>
              <w:rPr>
                <w:color w:val="auto"/>
                <w:kern w:val="0"/>
                <w:sz w:val="21"/>
                <w:szCs w:val="21"/>
                <w:lang w:val="zh-CN"/>
              </w:rPr>
              <w:t>不包括二次PM</w:t>
            </w:r>
            <w:r>
              <w:rPr>
                <w:color w:val="auto"/>
                <w:kern w:val="0"/>
                <w:sz w:val="21"/>
                <w:szCs w:val="21"/>
                <w:vertAlign w:val="subscript"/>
                <w:lang w:val="zh-CN"/>
              </w:rPr>
              <w:t>2.5</w:t>
            </w:r>
            <w:r>
              <w:rPr>
                <w:color w:val="auto"/>
                <w:kern w:val="0"/>
                <w:sz w:val="21"/>
                <w:szCs w:val="21"/>
                <w:lang w:val="zh-CN"/>
              </w:rPr>
              <w:t>√</w:t>
            </w:r>
          </w:p>
        </w:tc>
      </w:tr>
      <w:tr w14:paraId="2CFCD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40431E33">
            <w:pPr>
              <w:widowControl/>
              <w:spacing w:line="240" w:lineRule="auto"/>
              <w:ind w:firstLine="0" w:firstLineChars="0"/>
              <w:jc w:val="center"/>
              <w:rPr>
                <w:color w:val="auto"/>
                <w:kern w:val="0"/>
                <w:sz w:val="21"/>
                <w:szCs w:val="21"/>
                <w:lang w:val="zh-CN"/>
              </w:rPr>
            </w:pPr>
          </w:p>
        </w:tc>
        <w:tc>
          <w:tcPr>
            <w:tcW w:w="795" w:type="pct"/>
            <w:vAlign w:val="center"/>
          </w:tcPr>
          <w:p w14:paraId="69EA5EAB">
            <w:pPr>
              <w:widowControl/>
              <w:spacing w:line="240" w:lineRule="auto"/>
              <w:ind w:firstLine="0" w:firstLineChars="0"/>
              <w:jc w:val="center"/>
              <w:rPr>
                <w:color w:val="auto"/>
                <w:kern w:val="0"/>
                <w:sz w:val="21"/>
                <w:szCs w:val="21"/>
                <w:lang w:val="zh-CN"/>
              </w:rPr>
            </w:pPr>
            <w:r>
              <w:rPr>
                <w:color w:val="auto"/>
                <w:kern w:val="0"/>
                <w:sz w:val="21"/>
                <w:szCs w:val="21"/>
                <w:lang w:val="zh-CN"/>
              </w:rPr>
              <w:t>正常排放短期浓度贡献值</w:t>
            </w:r>
          </w:p>
        </w:tc>
        <w:tc>
          <w:tcPr>
            <w:tcW w:w="2306" w:type="pct"/>
            <w:gridSpan w:val="6"/>
            <w:vAlign w:val="center"/>
          </w:tcPr>
          <w:p w14:paraId="5F3EC5A6">
            <w:pPr>
              <w:widowControl/>
              <w:spacing w:line="240" w:lineRule="auto"/>
              <w:ind w:firstLine="0" w:firstLineChars="0"/>
              <w:jc w:val="center"/>
              <w:rPr>
                <w:color w:val="auto"/>
                <w:kern w:val="0"/>
                <w:sz w:val="21"/>
                <w:szCs w:val="21"/>
                <w:lang w:val="zh-CN"/>
              </w:rPr>
            </w:pPr>
            <w:r>
              <w:rPr>
                <w:color w:val="auto"/>
                <w:kern w:val="0"/>
                <w:sz w:val="21"/>
                <w:szCs w:val="21"/>
                <w:lang w:val="zh-CN"/>
              </w:rPr>
              <w:t>C本项目最大占标率≤100%□</w:t>
            </w:r>
          </w:p>
        </w:tc>
        <w:tc>
          <w:tcPr>
            <w:tcW w:w="1438" w:type="pct"/>
            <w:gridSpan w:val="5"/>
            <w:vAlign w:val="center"/>
          </w:tcPr>
          <w:p w14:paraId="063150FE">
            <w:pPr>
              <w:widowControl/>
              <w:spacing w:line="240" w:lineRule="auto"/>
              <w:ind w:firstLine="0" w:firstLineChars="0"/>
              <w:jc w:val="center"/>
              <w:rPr>
                <w:color w:val="auto"/>
                <w:kern w:val="0"/>
                <w:sz w:val="21"/>
                <w:szCs w:val="21"/>
                <w:lang w:val="zh-CN"/>
              </w:rPr>
            </w:pPr>
            <w:r>
              <w:rPr>
                <w:color w:val="auto"/>
                <w:kern w:val="0"/>
                <w:sz w:val="21"/>
                <w:szCs w:val="21"/>
                <w:lang w:val="zh-CN"/>
              </w:rPr>
              <w:t>C本项目最大占标率&gt;100%□</w:t>
            </w:r>
          </w:p>
        </w:tc>
      </w:tr>
      <w:tr w14:paraId="7710D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7A122165">
            <w:pPr>
              <w:widowControl/>
              <w:spacing w:line="240" w:lineRule="auto"/>
              <w:ind w:firstLine="0" w:firstLineChars="0"/>
              <w:jc w:val="center"/>
              <w:rPr>
                <w:color w:val="auto"/>
                <w:kern w:val="0"/>
                <w:sz w:val="21"/>
                <w:szCs w:val="21"/>
                <w:lang w:val="zh-CN"/>
              </w:rPr>
            </w:pPr>
          </w:p>
        </w:tc>
        <w:tc>
          <w:tcPr>
            <w:tcW w:w="795" w:type="pct"/>
            <w:vMerge w:val="restart"/>
            <w:vAlign w:val="center"/>
          </w:tcPr>
          <w:p w14:paraId="24980B24">
            <w:pPr>
              <w:widowControl/>
              <w:spacing w:line="240" w:lineRule="auto"/>
              <w:ind w:firstLine="0" w:firstLineChars="0"/>
              <w:jc w:val="center"/>
              <w:rPr>
                <w:color w:val="auto"/>
                <w:kern w:val="0"/>
                <w:sz w:val="21"/>
                <w:szCs w:val="21"/>
                <w:lang w:val="zh-CN"/>
              </w:rPr>
            </w:pPr>
            <w:r>
              <w:rPr>
                <w:color w:val="auto"/>
                <w:kern w:val="0"/>
                <w:sz w:val="21"/>
                <w:szCs w:val="21"/>
                <w:lang w:val="zh-CN"/>
              </w:rPr>
              <w:t>正常排放年均浓度贡献值</w:t>
            </w:r>
          </w:p>
        </w:tc>
        <w:tc>
          <w:tcPr>
            <w:tcW w:w="860" w:type="pct"/>
            <w:gridSpan w:val="2"/>
            <w:vAlign w:val="center"/>
          </w:tcPr>
          <w:p w14:paraId="77F029D5">
            <w:pPr>
              <w:widowControl/>
              <w:spacing w:line="240" w:lineRule="auto"/>
              <w:ind w:firstLine="0" w:firstLineChars="0"/>
              <w:jc w:val="center"/>
              <w:rPr>
                <w:color w:val="auto"/>
                <w:kern w:val="0"/>
                <w:sz w:val="21"/>
                <w:szCs w:val="21"/>
                <w:lang w:val="zh-CN"/>
              </w:rPr>
            </w:pPr>
            <w:r>
              <w:rPr>
                <w:color w:val="auto"/>
                <w:kern w:val="0"/>
                <w:sz w:val="21"/>
                <w:szCs w:val="21"/>
                <w:lang w:val="zh-CN"/>
              </w:rPr>
              <w:t>一类区</w:t>
            </w:r>
          </w:p>
        </w:tc>
        <w:tc>
          <w:tcPr>
            <w:tcW w:w="1445" w:type="pct"/>
            <w:gridSpan w:val="4"/>
            <w:vAlign w:val="center"/>
          </w:tcPr>
          <w:p w14:paraId="5381D4B4">
            <w:pPr>
              <w:widowControl/>
              <w:spacing w:line="240" w:lineRule="auto"/>
              <w:ind w:firstLine="0" w:firstLineChars="0"/>
              <w:jc w:val="center"/>
              <w:rPr>
                <w:color w:val="auto"/>
                <w:kern w:val="0"/>
                <w:sz w:val="21"/>
                <w:szCs w:val="21"/>
                <w:lang w:val="zh-CN"/>
              </w:rPr>
            </w:pPr>
            <w:r>
              <w:rPr>
                <w:color w:val="auto"/>
                <w:kern w:val="0"/>
                <w:sz w:val="21"/>
                <w:szCs w:val="21"/>
                <w:lang w:val="zh-CN"/>
              </w:rPr>
              <w:t>C本项目最大占标率≤10%□</w:t>
            </w:r>
          </w:p>
        </w:tc>
        <w:tc>
          <w:tcPr>
            <w:tcW w:w="1438" w:type="pct"/>
            <w:gridSpan w:val="5"/>
            <w:vAlign w:val="center"/>
          </w:tcPr>
          <w:p w14:paraId="36C9CED7">
            <w:pPr>
              <w:widowControl/>
              <w:spacing w:line="240" w:lineRule="auto"/>
              <w:ind w:firstLine="0" w:firstLineChars="0"/>
              <w:jc w:val="center"/>
              <w:rPr>
                <w:color w:val="auto"/>
                <w:kern w:val="0"/>
                <w:sz w:val="21"/>
                <w:szCs w:val="21"/>
                <w:lang w:val="zh-CN"/>
              </w:rPr>
            </w:pPr>
            <w:r>
              <w:rPr>
                <w:color w:val="auto"/>
                <w:kern w:val="0"/>
                <w:sz w:val="21"/>
                <w:szCs w:val="21"/>
                <w:lang w:val="zh-CN"/>
              </w:rPr>
              <w:t>C本项目最大占标率&gt;10%□</w:t>
            </w:r>
          </w:p>
        </w:tc>
      </w:tr>
      <w:tr w14:paraId="622F3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5B6BC571">
            <w:pPr>
              <w:widowControl/>
              <w:spacing w:line="240" w:lineRule="auto"/>
              <w:ind w:firstLine="0" w:firstLineChars="0"/>
              <w:jc w:val="center"/>
              <w:rPr>
                <w:color w:val="auto"/>
                <w:kern w:val="0"/>
                <w:sz w:val="21"/>
                <w:szCs w:val="21"/>
                <w:lang w:val="zh-CN"/>
              </w:rPr>
            </w:pPr>
          </w:p>
        </w:tc>
        <w:tc>
          <w:tcPr>
            <w:tcW w:w="795" w:type="pct"/>
            <w:vMerge w:val="continue"/>
            <w:vAlign w:val="center"/>
          </w:tcPr>
          <w:p w14:paraId="5082711E">
            <w:pPr>
              <w:widowControl/>
              <w:spacing w:line="240" w:lineRule="auto"/>
              <w:ind w:firstLine="0" w:firstLineChars="0"/>
              <w:jc w:val="center"/>
              <w:rPr>
                <w:color w:val="auto"/>
                <w:kern w:val="0"/>
                <w:sz w:val="21"/>
                <w:szCs w:val="21"/>
                <w:lang w:val="zh-CN"/>
              </w:rPr>
            </w:pPr>
          </w:p>
        </w:tc>
        <w:tc>
          <w:tcPr>
            <w:tcW w:w="860" w:type="pct"/>
            <w:gridSpan w:val="2"/>
            <w:vAlign w:val="center"/>
          </w:tcPr>
          <w:p w14:paraId="373A6969">
            <w:pPr>
              <w:widowControl/>
              <w:spacing w:line="240" w:lineRule="auto"/>
              <w:ind w:firstLine="0" w:firstLineChars="0"/>
              <w:jc w:val="center"/>
              <w:rPr>
                <w:color w:val="auto"/>
                <w:kern w:val="0"/>
                <w:sz w:val="21"/>
                <w:szCs w:val="21"/>
                <w:lang w:val="zh-CN"/>
              </w:rPr>
            </w:pPr>
            <w:r>
              <w:rPr>
                <w:color w:val="auto"/>
                <w:kern w:val="0"/>
                <w:sz w:val="21"/>
                <w:szCs w:val="21"/>
                <w:lang w:val="zh-CN"/>
              </w:rPr>
              <w:t>二类区</w:t>
            </w:r>
          </w:p>
        </w:tc>
        <w:tc>
          <w:tcPr>
            <w:tcW w:w="1445" w:type="pct"/>
            <w:gridSpan w:val="4"/>
            <w:vAlign w:val="center"/>
          </w:tcPr>
          <w:p w14:paraId="56EAAEFE">
            <w:pPr>
              <w:widowControl/>
              <w:spacing w:line="240" w:lineRule="auto"/>
              <w:ind w:firstLine="0" w:firstLineChars="0"/>
              <w:jc w:val="center"/>
              <w:rPr>
                <w:color w:val="auto"/>
                <w:kern w:val="0"/>
                <w:sz w:val="21"/>
                <w:szCs w:val="21"/>
                <w:lang w:val="zh-CN"/>
              </w:rPr>
            </w:pPr>
            <w:r>
              <w:rPr>
                <w:color w:val="auto"/>
                <w:kern w:val="0"/>
                <w:sz w:val="21"/>
                <w:szCs w:val="21"/>
                <w:lang w:val="zh-CN"/>
              </w:rPr>
              <w:t>C本项目最大占标率≤30%□</w:t>
            </w:r>
          </w:p>
        </w:tc>
        <w:tc>
          <w:tcPr>
            <w:tcW w:w="1438" w:type="pct"/>
            <w:gridSpan w:val="5"/>
            <w:vAlign w:val="center"/>
          </w:tcPr>
          <w:p w14:paraId="04483BEA">
            <w:pPr>
              <w:widowControl/>
              <w:spacing w:line="240" w:lineRule="auto"/>
              <w:ind w:firstLine="0" w:firstLineChars="0"/>
              <w:jc w:val="center"/>
              <w:rPr>
                <w:color w:val="auto"/>
                <w:kern w:val="0"/>
                <w:sz w:val="21"/>
                <w:szCs w:val="21"/>
                <w:lang w:val="zh-CN"/>
              </w:rPr>
            </w:pPr>
            <w:r>
              <w:rPr>
                <w:color w:val="auto"/>
                <w:kern w:val="0"/>
                <w:sz w:val="21"/>
                <w:szCs w:val="21"/>
                <w:lang w:val="zh-CN"/>
              </w:rPr>
              <w:t>C本项目最大占标率&gt;30%□</w:t>
            </w:r>
          </w:p>
        </w:tc>
      </w:tr>
      <w:tr w14:paraId="76357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48D9A214">
            <w:pPr>
              <w:widowControl/>
              <w:spacing w:line="240" w:lineRule="auto"/>
              <w:ind w:firstLine="0" w:firstLineChars="0"/>
              <w:jc w:val="center"/>
              <w:rPr>
                <w:color w:val="auto"/>
                <w:kern w:val="0"/>
                <w:sz w:val="21"/>
                <w:szCs w:val="21"/>
                <w:lang w:val="zh-CN"/>
              </w:rPr>
            </w:pPr>
          </w:p>
        </w:tc>
        <w:tc>
          <w:tcPr>
            <w:tcW w:w="795" w:type="pct"/>
            <w:vAlign w:val="center"/>
          </w:tcPr>
          <w:p w14:paraId="602BBF64">
            <w:pPr>
              <w:widowControl/>
              <w:spacing w:line="240" w:lineRule="auto"/>
              <w:ind w:firstLine="0" w:firstLineChars="0"/>
              <w:jc w:val="center"/>
              <w:rPr>
                <w:color w:val="auto"/>
                <w:kern w:val="0"/>
                <w:sz w:val="21"/>
                <w:szCs w:val="21"/>
                <w:lang w:val="zh-CN"/>
              </w:rPr>
            </w:pPr>
            <w:r>
              <w:rPr>
                <w:color w:val="auto"/>
                <w:kern w:val="0"/>
                <w:sz w:val="21"/>
                <w:szCs w:val="21"/>
                <w:lang w:val="zh-CN"/>
              </w:rPr>
              <w:t>非正常1h浓度贡献值</w:t>
            </w:r>
          </w:p>
        </w:tc>
        <w:tc>
          <w:tcPr>
            <w:tcW w:w="1369" w:type="pct"/>
            <w:gridSpan w:val="3"/>
            <w:vAlign w:val="center"/>
          </w:tcPr>
          <w:p w14:paraId="095A4F46">
            <w:pPr>
              <w:widowControl/>
              <w:spacing w:line="240" w:lineRule="auto"/>
              <w:ind w:firstLine="0" w:firstLineChars="0"/>
              <w:jc w:val="center"/>
              <w:rPr>
                <w:color w:val="auto"/>
                <w:kern w:val="0"/>
                <w:sz w:val="21"/>
                <w:szCs w:val="21"/>
                <w:lang w:val="zh-CN"/>
              </w:rPr>
            </w:pPr>
            <w:r>
              <w:rPr>
                <w:color w:val="auto"/>
                <w:kern w:val="0"/>
                <w:sz w:val="21"/>
                <w:szCs w:val="21"/>
                <w:lang w:val="zh-CN"/>
              </w:rPr>
              <w:t>非正常持续时长</w:t>
            </w:r>
          </w:p>
          <w:p w14:paraId="689FF224">
            <w:pPr>
              <w:widowControl/>
              <w:spacing w:line="240" w:lineRule="auto"/>
              <w:ind w:firstLine="0" w:firstLineChars="0"/>
              <w:jc w:val="center"/>
              <w:rPr>
                <w:color w:val="auto"/>
                <w:kern w:val="0"/>
                <w:sz w:val="21"/>
                <w:szCs w:val="21"/>
                <w:lang w:val="zh-CN"/>
              </w:rPr>
            </w:pPr>
            <w:r>
              <w:rPr>
                <w:color w:val="auto"/>
                <w:kern w:val="0"/>
                <w:sz w:val="21"/>
                <w:szCs w:val="21"/>
                <w:lang w:val="zh-CN"/>
              </w:rPr>
              <w:t>(0.5)h</w:t>
            </w:r>
          </w:p>
        </w:tc>
        <w:tc>
          <w:tcPr>
            <w:tcW w:w="1559" w:type="pct"/>
            <w:gridSpan w:val="6"/>
            <w:vAlign w:val="center"/>
          </w:tcPr>
          <w:p w14:paraId="5B193461">
            <w:pPr>
              <w:widowControl/>
              <w:spacing w:line="240" w:lineRule="auto"/>
              <w:ind w:firstLine="0" w:firstLineChars="0"/>
              <w:jc w:val="center"/>
              <w:rPr>
                <w:color w:val="auto"/>
                <w:kern w:val="0"/>
                <w:sz w:val="21"/>
                <w:szCs w:val="21"/>
                <w:lang w:val="zh-CN"/>
              </w:rPr>
            </w:pPr>
            <w:r>
              <w:rPr>
                <w:color w:val="auto"/>
                <w:kern w:val="0"/>
                <w:sz w:val="21"/>
                <w:szCs w:val="21"/>
                <w:lang w:val="zh-CN"/>
              </w:rPr>
              <w:t>C非正常占标率≤100%□</w:t>
            </w:r>
          </w:p>
        </w:tc>
        <w:tc>
          <w:tcPr>
            <w:tcW w:w="815" w:type="pct"/>
            <w:gridSpan w:val="2"/>
            <w:vAlign w:val="center"/>
          </w:tcPr>
          <w:p w14:paraId="70FB5D41">
            <w:pPr>
              <w:widowControl/>
              <w:spacing w:line="240" w:lineRule="auto"/>
              <w:ind w:firstLine="0" w:firstLineChars="0"/>
              <w:jc w:val="center"/>
              <w:rPr>
                <w:color w:val="auto"/>
                <w:kern w:val="0"/>
                <w:sz w:val="21"/>
                <w:szCs w:val="21"/>
                <w:lang w:val="zh-CN"/>
              </w:rPr>
            </w:pPr>
            <w:r>
              <w:rPr>
                <w:color w:val="auto"/>
                <w:kern w:val="0"/>
                <w:sz w:val="21"/>
                <w:szCs w:val="21"/>
                <w:lang w:val="zh-CN"/>
              </w:rPr>
              <w:t>C非正常占标率&gt;100%□</w:t>
            </w:r>
          </w:p>
        </w:tc>
      </w:tr>
      <w:tr w14:paraId="0A53C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7BEF8F5C">
            <w:pPr>
              <w:widowControl/>
              <w:spacing w:line="240" w:lineRule="auto"/>
              <w:ind w:firstLine="0" w:firstLineChars="0"/>
              <w:jc w:val="center"/>
              <w:rPr>
                <w:color w:val="auto"/>
                <w:kern w:val="0"/>
                <w:sz w:val="21"/>
                <w:szCs w:val="21"/>
                <w:lang w:val="zh-CN"/>
              </w:rPr>
            </w:pPr>
          </w:p>
        </w:tc>
        <w:tc>
          <w:tcPr>
            <w:tcW w:w="795" w:type="pct"/>
            <w:vAlign w:val="center"/>
          </w:tcPr>
          <w:p w14:paraId="305BBAD4">
            <w:pPr>
              <w:widowControl/>
              <w:spacing w:line="240" w:lineRule="auto"/>
              <w:ind w:firstLine="0" w:firstLineChars="0"/>
              <w:jc w:val="center"/>
              <w:rPr>
                <w:color w:val="auto"/>
                <w:kern w:val="0"/>
                <w:sz w:val="21"/>
                <w:szCs w:val="21"/>
                <w:lang w:val="zh-CN"/>
              </w:rPr>
            </w:pPr>
            <w:r>
              <w:rPr>
                <w:color w:val="auto"/>
                <w:kern w:val="0"/>
                <w:sz w:val="21"/>
                <w:szCs w:val="21"/>
                <w:lang w:val="zh-CN"/>
              </w:rPr>
              <w:t>保证率日平均浓度和年平均浓度叠加值</w:t>
            </w:r>
          </w:p>
        </w:tc>
        <w:tc>
          <w:tcPr>
            <w:tcW w:w="2306" w:type="pct"/>
            <w:gridSpan w:val="6"/>
            <w:vAlign w:val="center"/>
          </w:tcPr>
          <w:p w14:paraId="4A1B1AFA">
            <w:pPr>
              <w:widowControl/>
              <w:spacing w:line="240" w:lineRule="auto"/>
              <w:ind w:firstLine="0" w:firstLineChars="0"/>
              <w:jc w:val="center"/>
              <w:rPr>
                <w:color w:val="auto"/>
                <w:kern w:val="0"/>
                <w:sz w:val="21"/>
                <w:szCs w:val="21"/>
                <w:lang w:val="zh-CN"/>
              </w:rPr>
            </w:pPr>
            <w:r>
              <w:rPr>
                <w:color w:val="auto"/>
                <w:kern w:val="0"/>
                <w:sz w:val="21"/>
                <w:szCs w:val="21"/>
                <w:lang w:val="zh-CN"/>
              </w:rPr>
              <w:t>C叠加达标□</w:t>
            </w:r>
          </w:p>
        </w:tc>
        <w:tc>
          <w:tcPr>
            <w:tcW w:w="1438" w:type="pct"/>
            <w:gridSpan w:val="5"/>
            <w:vAlign w:val="center"/>
          </w:tcPr>
          <w:p w14:paraId="0CE6B8FF">
            <w:pPr>
              <w:widowControl/>
              <w:spacing w:line="240" w:lineRule="auto"/>
              <w:ind w:firstLine="0" w:firstLineChars="0"/>
              <w:jc w:val="center"/>
              <w:rPr>
                <w:color w:val="auto"/>
                <w:kern w:val="0"/>
                <w:sz w:val="21"/>
                <w:szCs w:val="21"/>
                <w:lang w:val="zh-CN"/>
              </w:rPr>
            </w:pPr>
            <w:r>
              <w:rPr>
                <w:color w:val="auto"/>
                <w:kern w:val="0"/>
                <w:sz w:val="21"/>
                <w:szCs w:val="21"/>
                <w:lang w:val="zh-CN"/>
              </w:rPr>
              <w:t>C叠加不达标□</w:t>
            </w:r>
          </w:p>
        </w:tc>
      </w:tr>
      <w:tr w14:paraId="34DD8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4C55CCAB">
            <w:pPr>
              <w:widowControl/>
              <w:spacing w:line="240" w:lineRule="auto"/>
              <w:ind w:firstLine="0" w:firstLineChars="0"/>
              <w:jc w:val="center"/>
              <w:rPr>
                <w:color w:val="auto"/>
                <w:kern w:val="0"/>
                <w:sz w:val="21"/>
                <w:szCs w:val="21"/>
                <w:lang w:val="zh-CN"/>
              </w:rPr>
            </w:pPr>
          </w:p>
        </w:tc>
        <w:tc>
          <w:tcPr>
            <w:tcW w:w="795" w:type="pct"/>
            <w:vAlign w:val="center"/>
          </w:tcPr>
          <w:p w14:paraId="1299A6BF">
            <w:pPr>
              <w:widowControl/>
              <w:spacing w:line="240" w:lineRule="auto"/>
              <w:ind w:firstLine="0" w:firstLineChars="0"/>
              <w:jc w:val="center"/>
              <w:rPr>
                <w:color w:val="auto"/>
                <w:kern w:val="0"/>
                <w:sz w:val="21"/>
                <w:szCs w:val="21"/>
                <w:lang w:val="zh-CN"/>
              </w:rPr>
            </w:pPr>
            <w:r>
              <w:rPr>
                <w:color w:val="auto"/>
                <w:kern w:val="0"/>
                <w:sz w:val="21"/>
                <w:szCs w:val="21"/>
                <w:lang w:val="zh-CN"/>
              </w:rPr>
              <w:t>区域环境质量的整体变化情况</w:t>
            </w:r>
          </w:p>
        </w:tc>
        <w:tc>
          <w:tcPr>
            <w:tcW w:w="2306" w:type="pct"/>
            <w:gridSpan w:val="6"/>
            <w:vAlign w:val="center"/>
          </w:tcPr>
          <w:p w14:paraId="2B9EB312">
            <w:pPr>
              <w:widowControl/>
              <w:spacing w:line="240" w:lineRule="auto"/>
              <w:ind w:firstLine="0" w:firstLineChars="0"/>
              <w:jc w:val="center"/>
              <w:rPr>
                <w:color w:val="auto"/>
                <w:kern w:val="0"/>
                <w:sz w:val="21"/>
                <w:szCs w:val="21"/>
                <w:lang w:val="zh-CN"/>
              </w:rPr>
            </w:pPr>
            <w:r>
              <w:rPr>
                <w:color w:val="auto"/>
                <w:kern w:val="0"/>
                <w:sz w:val="21"/>
                <w:szCs w:val="21"/>
                <w:lang w:val="zh-CN"/>
              </w:rPr>
              <w:t>k≤-20%□</w:t>
            </w:r>
          </w:p>
        </w:tc>
        <w:tc>
          <w:tcPr>
            <w:tcW w:w="1438" w:type="pct"/>
            <w:gridSpan w:val="5"/>
            <w:vAlign w:val="center"/>
          </w:tcPr>
          <w:p w14:paraId="02489089">
            <w:pPr>
              <w:widowControl/>
              <w:spacing w:line="240" w:lineRule="auto"/>
              <w:ind w:firstLine="0" w:firstLineChars="0"/>
              <w:jc w:val="center"/>
              <w:rPr>
                <w:color w:val="auto"/>
                <w:kern w:val="0"/>
                <w:sz w:val="21"/>
                <w:szCs w:val="21"/>
                <w:lang w:val="zh-CN"/>
              </w:rPr>
            </w:pPr>
            <w:r>
              <w:rPr>
                <w:color w:val="auto"/>
                <w:kern w:val="0"/>
                <w:sz w:val="21"/>
                <w:szCs w:val="21"/>
                <w:lang w:val="zh-CN"/>
              </w:rPr>
              <w:t>k&gt;-20%□</w:t>
            </w:r>
          </w:p>
        </w:tc>
      </w:tr>
      <w:tr w14:paraId="38E0D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restart"/>
            <w:vAlign w:val="center"/>
          </w:tcPr>
          <w:p w14:paraId="318A2931">
            <w:pPr>
              <w:widowControl/>
              <w:spacing w:line="240" w:lineRule="auto"/>
              <w:ind w:firstLine="0" w:firstLineChars="0"/>
              <w:jc w:val="center"/>
              <w:rPr>
                <w:color w:val="auto"/>
                <w:kern w:val="0"/>
                <w:sz w:val="21"/>
                <w:szCs w:val="21"/>
                <w:lang w:val="zh-CN"/>
              </w:rPr>
            </w:pPr>
            <w:r>
              <w:rPr>
                <w:color w:val="auto"/>
                <w:kern w:val="0"/>
                <w:sz w:val="21"/>
                <w:szCs w:val="21"/>
                <w:lang w:val="zh-CN"/>
              </w:rPr>
              <w:t>环境监测计划</w:t>
            </w:r>
          </w:p>
        </w:tc>
        <w:tc>
          <w:tcPr>
            <w:tcW w:w="795" w:type="pct"/>
            <w:vAlign w:val="center"/>
          </w:tcPr>
          <w:p w14:paraId="1C5B13CC">
            <w:pPr>
              <w:widowControl/>
              <w:spacing w:line="240" w:lineRule="auto"/>
              <w:ind w:firstLine="0" w:firstLineChars="0"/>
              <w:jc w:val="center"/>
              <w:rPr>
                <w:color w:val="auto"/>
                <w:kern w:val="0"/>
                <w:sz w:val="21"/>
                <w:szCs w:val="21"/>
                <w:lang w:val="zh-CN"/>
              </w:rPr>
            </w:pPr>
            <w:r>
              <w:rPr>
                <w:color w:val="auto"/>
                <w:kern w:val="0"/>
                <w:sz w:val="21"/>
                <w:szCs w:val="21"/>
                <w:lang w:val="zh-CN"/>
              </w:rPr>
              <w:t>污染源监测</w:t>
            </w:r>
          </w:p>
        </w:tc>
        <w:tc>
          <w:tcPr>
            <w:tcW w:w="1729" w:type="pct"/>
            <w:gridSpan w:val="4"/>
            <w:vAlign w:val="center"/>
          </w:tcPr>
          <w:p w14:paraId="6D132829">
            <w:pPr>
              <w:widowControl/>
              <w:spacing w:line="240" w:lineRule="auto"/>
              <w:ind w:firstLine="0" w:firstLineChars="0"/>
              <w:jc w:val="center"/>
              <w:rPr>
                <w:color w:val="auto"/>
                <w:kern w:val="0"/>
                <w:sz w:val="21"/>
                <w:szCs w:val="21"/>
                <w:lang w:val="zh-CN"/>
              </w:rPr>
            </w:pPr>
            <w:r>
              <w:rPr>
                <w:color w:val="auto"/>
                <w:kern w:val="0"/>
                <w:sz w:val="21"/>
                <w:szCs w:val="21"/>
                <w:lang w:val="zh-CN"/>
              </w:rPr>
              <w:t>监测因子：(</w:t>
            </w:r>
            <w:r>
              <w:rPr>
                <w:rFonts w:hint="eastAsia"/>
                <w:color w:val="auto"/>
                <w:kern w:val="0"/>
                <w:sz w:val="21"/>
                <w:szCs w:val="21"/>
                <w:lang w:val="zh-CN"/>
              </w:rPr>
              <w:t>二氧化硫、</w:t>
            </w:r>
            <w:r>
              <w:rPr>
                <w:color w:val="auto"/>
                <w:kern w:val="0"/>
                <w:sz w:val="21"/>
                <w:szCs w:val="21"/>
                <w:lang w:val="zh-CN"/>
              </w:rPr>
              <w:t>氨、</w:t>
            </w:r>
            <w:r>
              <w:rPr>
                <w:rFonts w:hint="eastAsia"/>
                <w:color w:val="auto"/>
                <w:kern w:val="0"/>
                <w:sz w:val="21"/>
                <w:szCs w:val="21"/>
                <w:lang w:val="zh-CN"/>
              </w:rPr>
              <w:t>臭气浓度、颗粒物</w:t>
            </w:r>
            <w:r>
              <w:rPr>
                <w:color w:val="auto"/>
                <w:kern w:val="0"/>
                <w:sz w:val="21"/>
                <w:szCs w:val="21"/>
                <w:lang w:val="zh-CN"/>
              </w:rPr>
              <w:t>)</w:t>
            </w:r>
          </w:p>
        </w:tc>
        <w:tc>
          <w:tcPr>
            <w:tcW w:w="1199" w:type="pct"/>
            <w:gridSpan w:val="5"/>
            <w:vAlign w:val="center"/>
          </w:tcPr>
          <w:p w14:paraId="12F8AFCC">
            <w:pPr>
              <w:widowControl/>
              <w:spacing w:line="240" w:lineRule="auto"/>
              <w:ind w:firstLine="0" w:firstLineChars="0"/>
              <w:jc w:val="center"/>
              <w:rPr>
                <w:color w:val="auto"/>
                <w:kern w:val="0"/>
                <w:sz w:val="21"/>
                <w:szCs w:val="21"/>
                <w:lang w:val="zh-CN"/>
              </w:rPr>
            </w:pPr>
            <w:r>
              <w:rPr>
                <w:color w:val="auto"/>
                <w:kern w:val="0"/>
                <w:sz w:val="21"/>
                <w:szCs w:val="21"/>
                <w:lang w:val="zh-CN"/>
              </w:rPr>
              <w:t>有组织废气监测√</w:t>
            </w:r>
          </w:p>
          <w:p w14:paraId="697CE52C">
            <w:pPr>
              <w:widowControl/>
              <w:spacing w:line="240" w:lineRule="auto"/>
              <w:ind w:firstLine="0" w:firstLineChars="0"/>
              <w:jc w:val="center"/>
              <w:rPr>
                <w:color w:val="auto"/>
                <w:kern w:val="0"/>
                <w:sz w:val="21"/>
                <w:szCs w:val="21"/>
                <w:lang w:val="zh-CN"/>
              </w:rPr>
            </w:pPr>
            <w:r>
              <w:rPr>
                <w:color w:val="auto"/>
                <w:kern w:val="0"/>
                <w:sz w:val="21"/>
                <w:szCs w:val="21"/>
                <w:lang w:val="zh-CN"/>
              </w:rPr>
              <w:t>无组织废气监测√</w:t>
            </w:r>
          </w:p>
        </w:tc>
        <w:tc>
          <w:tcPr>
            <w:tcW w:w="815" w:type="pct"/>
            <w:gridSpan w:val="2"/>
            <w:vAlign w:val="center"/>
          </w:tcPr>
          <w:p w14:paraId="7770AE6F">
            <w:pPr>
              <w:widowControl/>
              <w:spacing w:line="240" w:lineRule="auto"/>
              <w:ind w:firstLine="0" w:firstLineChars="0"/>
              <w:jc w:val="center"/>
              <w:rPr>
                <w:color w:val="auto"/>
                <w:kern w:val="0"/>
                <w:sz w:val="21"/>
                <w:szCs w:val="21"/>
                <w:lang w:val="zh-CN"/>
              </w:rPr>
            </w:pPr>
            <w:r>
              <w:rPr>
                <w:color w:val="auto"/>
                <w:kern w:val="0"/>
                <w:sz w:val="21"/>
                <w:szCs w:val="21"/>
                <w:lang w:val="zh-CN"/>
              </w:rPr>
              <w:t>无监测□</w:t>
            </w:r>
          </w:p>
        </w:tc>
      </w:tr>
      <w:tr w14:paraId="57D65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248948AC">
            <w:pPr>
              <w:widowControl/>
              <w:spacing w:line="240" w:lineRule="auto"/>
              <w:ind w:firstLine="0" w:firstLineChars="0"/>
              <w:jc w:val="center"/>
              <w:rPr>
                <w:color w:val="auto"/>
                <w:kern w:val="0"/>
                <w:sz w:val="21"/>
                <w:szCs w:val="21"/>
                <w:lang w:val="zh-CN"/>
              </w:rPr>
            </w:pPr>
          </w:p>
        </w:tc>
        <w:tc>
          <w:tcPr>
            <w:tcW w:w="795" w:type="pct"/>
            <w:vAlign w:val="center"/>
          </w:tcPr>
          <w:p w14:paraId="41B5B105">
            <w:pPr>
              <w:widowControl/>
              <w:spacing w:line="240" w:lineRule="auto"/>
              <w:ind w:firstLine="0" w:firstLineChars="0"/>
              <w:jc w:val="center"/>
              <w:rPr>
                <w:color w:val="auto"/>
                <w:kern w:val="0"/>
                <w:sz w:val="21"/>
                <w:szCs w:val="21"/>
                <w:lang w:val="zh-CN"/>
              </w:rPr>
            </w:pPr>
            <w:r>
              <w:rPr>
                <w:color w:val="auto"/>
                <w:kern w:val="0"/>
                <w:sz w:val="21"/>
                <w:szCs w:val="21"/>
                <w:lang w:val="zh-CN"/>
              </w:rPr>
              <w:t>环境质量监测</w:t>
            </w:r>
          </w:p>
        </w:tc>
        <w:tc>
          <w:tcPr>
            <w:tcW w:w="1729" w:type="pct"/>
            <w:gridSpan w:val="4"/>
            <w:vAlign w:val="center"/>
          </w:tcPr>
          <w:p w14:paraId="7254F20B">
            <w:pPr>
              <w:widowControl/>
              <w:spacing w:line="240" w:lineRule="auto"/>
              <w:ind w:firstLine="0" w:firstLineChars="0"/>
              <w:jc w:val="center"/>
              <w:rPr>
                <w:color w:val="auto"/>
                <w:kern w:val="0"/>
                <w:sz w:val="21"/>
                <w:szCs w:val="21"/>
                <w:lang w:val="zh-CN"/>
              </w:rPr>
            </w:pPr>
            <w:r>
              <w:rPr>
                <w:color w:val="auto"/>
                <w:kern w:val="0"/>
                <w:sz w:val="21"/>
                <w:szCs w:val="21"/>
                <w:lang w:val="zh-CN"/>
              </w:rPr>
              <w:t>监测因子：(</w:t>
            </w:r>
            <w:r>
              <w:rPr>
                <w:rFonts w:hint="eastAsia"/>
                <w:color w:val="auto"/>
                <w:kern w:val="0"/>
                <w:sz w:val="21"/>
                <w:szCs w:val="21"/>
                <w:lang w:val="zh-CN"/>
              </w:rPr>
              <w:t xml:space="preserve">  </w:t>
            </w:r>
            <w:r>
              <w:rPr>
                <w:color w:val="auto"/>
                <w:kern w:val="0"/>
                <w:sz w:val="21"/>
                <w:szCs w:val="21"/>
                <w:lang w:val="zh-CN"/>
              </w:rPr>
              <w:t>)</w:t>
            </w:r>
          </w:p>
        </w:tc>
        <w:tc>
          <w:tcPr>
            <w:tcW w:w="1199" w:type="pct"/>
            <w:gridSpan w:val="5"/>
            <w:vAlign w:val="center"/>
          </w:tcPr>
          <w:p w14:paraId="3FD6790C">
            <w:pPr>
              <w:widowControl/>
              <w:spacing w:line="240" w:lineRule="auto"/>
              <w:ind w:firstLine="0" w:firstLineChars="0"/>
              <w:jc w:val="center"/>
              <w:rPr>
                <w:color w:val="auto"/>
                <w:kern w:val="0"/>
                <w:sz w:val="21"/>
                <w:szCs w:val="21"/>
                <w:lang w:val="zh-CN"/>
              </w:rPr>
            </w:pPr>
            <w:r>
              <w:rPr>
                <w:color w:val="auto"/>
                <w:kern w:val="0"/>
                <w:sz w:val="21"/>
                <w:szCs w:val="21"/>
                <w:lang w:val="zh-CN"/>
              </w:rPr>
              <w:t>监测点位数(</w:t>
            </w:r>
            <w:r>
              <w:rPr>
                <w:rFonts w:hint="eastAsia"/>
                <w:color w:val="auto"/>
                <w:kern w:val="0"/>
                <w:sz w:val="21"/>
                <w:szCs w:val="21"/>
                <w:lang w:val="zh-CN"/>
              </w:rPr>
              <w:t xml:space="preserve">  </w:t>
            </w:r>
            <w:r>
              <w:rPr>
                <w:color w:val="auto"/>
                <w:kern w:val="0"/>
                <w:sz w:val="21"/>
                <w:szCs w:val="21"/>
                <w:lang w:val="zh-CN"/>
              </w:rPr>
              <w:t>)</w:t>
            </w:r>
          </w:p>
        </w:tc>
        <w:tc>
          <w:tcPr>
            <w:tcW w:w="815" w:type="pct"/>
            <w:gridSpan w:val="2"/>
            <w:vAlign w:val="center"/>
          </w:tcPr>
          <w:p w14:paraId="21EE8E50">
            <w:pPr>
              <w:widowControl/>
              <w:spacing w:line="240" w:lineRule="auto"/>
              <w:ind w:firstLine="0" w:firstLineChars="0"/>
              <w:jc w:val="center"/>
              <w:rPr>
                <w:color w:val="auto"/>
                <w:kern w:val="0"/>
                <w:sz w:val="21"/>
                <w:szCs w:val="21"/>
                <w:lang w:val="zh-CN"/>
              </w:rPr>
            </w:pPr>
            <w:r>
              <w:rPr>
                <w:color w:val="auto"/>
                <w:kern w:val="0"/>
                <w:sz w:val="21"/>
                <w:szCs w:val="21"/>
                <w:lang w:val="zh-CN"/>
              </w:rPr>
              <w:t>无监测√</w:t>
            </w:r>
          </w:p>
        </w:tc>
      </w:tr>
      <w:tr w14:paraId="4C302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restart"/>
            <w:vAlign w:val="center"/>
          </w:tcPr>
          <w:p w14:paraId="557EE9B9">
            <w:pPr>
              <w:widowControl/>
              <w:spacing w:line="240" w:lineRule="auto"/>
              <w:ind w:firstLine="0" w:firstLineChars="0"/>
              <w:jc w:val="center"/>
              <w:rPr>
                <w:color w:val="auto"/>
                <w:kern w:val="0"/>
                <w:sz w:val="21"/>
                <w:szCs w:val="21"/>
                <w:lang w:val="zh-CN"/>
              </w:rPr>
            </w:pPr>
            <w:r>
              <w:rPr>
                <w:color w:val="auto"/>
                <w:kern w:val="0"/>
                <w:sz w:val="21"/>
                <w:szCs w:val="21"/>
                <w:lang w:val="zh-CN"/>
              </w:rPr>
              <w:t>评价结论</w:t>
            </w:r>
          </w:p>
        </w:tc>
        <w:tc>
          <w:tcPr>
            <w:tcW w:w="795" w:type="pct"/>
            <w:vAlign w:val="center"/>
          </w:tcPr>
          <w:p w14:paraId="00D938B9">
            <w:pPr>
              <w:widowControl/>
              <w:spacing w:line="240" w:lineRule="auto"/>
              <w:ind w:firstLine="0" w:firstLineChars="0"/>
              <w:jc w:val="center"/>
              <w:rPr>
                <w:color w:val="auto"/>
                <w:kern w:val="0"/>
                <w:sz w:val="21"/>
                <w:szCs w:val="21"/>
                <w:lang w:val="zh-CN"/>
              </w:rPr>
            </w:pPr>
            <w:r>
              <w:rPr>
                <w:color w:val="auto"/>
                <w:kern w:val="0"/>
                <w:sz w:val="21"/>
                <w:szCs w:val="21"/>
                <w:lang w:val="zh-CN"/>
              </w:rPr>
              <w:t>环境影响</w:t>
            </w:r>
          </w:p>
        </w:tc>
        <w:tc>
          <w:tcPr>
            <w:tcW w:w="3744" w:type="pct"/>
            <w:gridSpan w:val="11"/>
            <w:vAlign w:val="center"/>
          </w:tcPr>
          <w:p w14:paraId="2861D4DE">
            <w:pPr>
              <w:widowControl/>
              <w:spacing w:line="240" w:lineRule="auto"/>
              <w:ind w:firstLine="0" w:firstLineChars="0"/>
              <w:jc w:val="center"/>
              <w:rPr>
                <w:color w:val="auto"/>
                <w:kern w:val="0"/>
                <w:sz w:val="21"/>
                <w:szCs w:val="21"/>
                <w:lang w:val="zh-CN"/>
              </w:rPr>
            </w:pPr>
            <w:r>
              <w:rPr>
                <w:color w:val="auto"/>
                <w:kern w:val="0"/>
                <w:sz w:val="21"/>
                <w:szCs w:val="21"/>
                <w:lang w:val="zh-CN"/>
              </w:rPr>
              <w:t>可以接受 √             不可以接受 □</w:t>
            </w:r>
          </w:p>
        </w:tc>
      </w:tr>
      <w:tr w14:paraId="31EF4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6DC79129">
            <w:pPr>
              <w:widowControl/>
              <w:spacing w:line="240" w:lineRule="auto"/>
              <w:ind w:firstLine="0" w:firstLineChars="0"/>
              <w:jc w:val="center"/>
              <w:rPr>
                <w:color w:val="auto"/>
                <w:kern w:val="0"/>
                <w:sz w:val="21"/>
                <w:szCs w:val="21"/>
                <w:lang w:val="zh-CN"/>
              </w:rPr>
            </w:pPr>
          </w:p>
        </w:tc>
        <w:tc>
          <w:tcPr>
            <w:tcW w:w="795" w:type="pct"/>
            <w:vAlign w:val="center"/>
          </w:tcPr>
          <w:p w14:paraId="1C18B301">
            <w:pPr>
              <w:widowControl/>
              <w:spacing w:line="240" w:lineRule="auto"/>
              <w:ind w:firstLine="0" w:firstLineChars="0"/>
              <w:jc w:val="center"/>
              <w:rPr>
                <w:color w:val="auto"/>
                <w:kern w:val="0"/>
                <w:sz w:val="21"/>
                <w:szCs w:val="21"/>
                <w:lang w:val="zh-CN"/>
              </w:rPr>
            </w:pPr>
            <w:r>
              <w:rPr>
                <w:color w:val="auto"/>
                <w:kern w:val="0"/>
                <w:sz w:val="21"/>
                <w:szCs w:val="21"/>
                <w:lang w:val="zh-CN"/>
              </w:rPr>
              <w:t>大气环境防护距离</w:t>
            </w:r>
          </w:p>
        </w:tc>
        <w:tc>
          <w:tcPr>
            <w:tcW w:w="3744" w:type="pct"/>
            <w:gridSpan w:val="11"/>
            <w:vAlign w:val="center"/>
          </w:tcPr>
          <w:p w14:paraId="7A97F06C">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r>
      <w:tr w14:paraId="25F41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9" w:type="pct"/>
            <w:vMerge w:val="continue"/>
            <w:vAlign w:val="center"/>
          </w:tcPr>
          <w:p w14:paraId="44B1DA17">
            <w:pPr>
              <w:widowControl/>
              <w:spacing w:line="240" w:lineRule="auto"/>
              <w:ind w:firstLine="0" w:firstLineChars="0"/>
              <w:jc w:val="center"/>
              <w:rPr>
                <w:color w:val="auto"/>
                <w:kern w:val="0"/>
                <w:sz w:val="21"/>
                <w:szCs w:val="21"/>
                <w:lang w:val="zh-CN"/>
              </w:rPr>
            </w:pPr>
          </w:p>
        </w:tc>
        <w:tc>
          <w:tcPr>
            <w:tcW w:w="795" w:type="pct"/>
            <w:vAlign w:val="center"/>
          </w:tcPr>
          <w:p w14:paraId="760881B7">
            <w:pPr>
              <w:widowControl/>
              <w:spacing w:line="240" w:lineRule="auto"/>
              <w:ind w:firstLine="0" w:firstLineChars="0"/>
              <w:jc w:val="center"/>
              <w:rPr>
                <w:color w:val="auto"/>
                <w:kern w:val="0"/>
                <w:sz w:val="21"/>
                <w:szCs w:val="21"/>
                <w:lang w:val="zh-CN"/>
              </w:rPr>
            </w:pPr>
            <w:r>
              <w:rPr>
                <w:color w:val="auto"/>
                <w:kern w:val="0"/>
                <w:sz w:val="21"/>
                <w:szCs w:val="21"/>
                <w:lang w:val="zh-CN"/>
              </w:rPr>
              <w:t>污染源年排放量</w:t>
            </w:r>
          </w:p>
        </w:tc>
        <w:tc>
          <w:tcPr>
            <w:tcW w:w="860" w:type="pct"/>
            <w:gridSpan w:val="2"/>
            <w:vAlign w:val="center"/>
          </w:tcPr>
          <w:p w14:paraId="3F652FC2">
            <w:pPr>
              <w:widowControl/>
              <w:spacing w:line="240" w:lineRule="auto"/>
              <w:ind w:firstLine="0" w:firstLineChars="0"/>
              <w:jc w:val="center"/>
              <w:rPr>
                <w:color w:val="auto"/>
                <w:kern w:val="0"/>
                <w:sz w:val="21"/>
                <w:szCs w:val="21"/>
                <w:lang w:val="zh-CN"/>
              </w:rPr>
            </w:pPr>
            <w:r>
              <w:rPr>
                <w:color w:val="auto"/>
                <w:kern w:val="0"/>
                <w:sz w:val="21"/>
                <w:szCs w:val="21"/>
                <w:lang w:val="zh-CN"/>
              </w:rPr>
              <w:t>SO</w:t>
            </w:r>
            <w:r>
              <w:rPr>
                <w:color w:val="auto"/>
                <w:kern w:val="0"/>
                <w:sz w:val="21"/>
                <w:szCs w:val="21"/>
                <w:vertAlign w:val="subscript"/>
                <w:lang w:val="zh-CN"/>
              </w:rPr>
              <w:t>2</w:t>
            </w:r>
            <w:r>
              <w:rPr>
                <w:color w:val="auto"/>
                <w:kern w:val="0"/>
                <w:sz w:val="21"/>
                <w:szCs w:val="21"/>
                <w:lang w:val="zh-CN"/>
              </w:rPr>
              <w:t>：(0.</w:t>
            </w:r>
            <w:r>
              <w:rPr>
                <w:color w:val="auto"/>
                <w:kern w:val="0"/>
                <w:sz w:val="21"/>
                <w:szCs w:val="21"/>
              </w:rPr>
              <w:t>2</w:t>
            </w:r>
            <w:r>
              <w:rPr>
                <w:rFonts w:hint="eastAsia"/>
                <w:color w:val="auto"/>
                <w:kern w:val="0"/>
                <w:sz w:val="21"/>
                <w:szCs w:val="21"/>
              </w:rPr>
              <w:t>37</w:t>
            </w:r>
            <w:r>
              <w:rPr>
                <w:color w:val="auto"/>
                <w:kern w:val="0"/>
                <w:sz w:val="21"/>
                <w:szCs w:val="21"/>
                <w:lang w:val="zh-CN"/>
              </w:rPr>
              <w:t>)t/a</w:t>
            </w:r>
          </w:p>
        </w:tc>
        <w:tc>
          <w:tcPr>
            <w:tcW w:w="927" w:type="pct"/>
            <w:gridSpan w:val="2"/>
            <w:vAlign w:val="center"/>
          </w:tcPr>
          <w:p w14:paraId="27E5FD12">
            <w:pPr>
              <w:widowControl/>
              <w:spacing w:line="240" w:lineRule="auto"/>
              <w:ind w:firstLine="0" w:firstLineChars="0"/>
              <w:jc w:val="center"/>
              <w:rPr>
                <w:color w:val="auto"/>
                <w:kern w:val="0"/>
                <w:sz w:val="21"/>
                <w:szCs w:val="21"/>
                <w:lang w:val="zh-CN"/>
              </w:rPr>
            </w:pPr>
            <w:r>
              <w:rPr>
                <w:color w:val="auto"/>
                <w:kern w:val="0"/>
                <w:sz w:val="21"/>
                <w:szCs w:val="21"/>
                <w:lang w:val="zh-CN"/>
              </w:rPr>
              <w:t>NOx：( / )t/a</w:t>
            </w:r>
          </w:p>
        </w:tc>
        <w:tc>
          <w:tcPr>
            <w:tcW w:w="953" w:type="pct"/>
            <w:gridSpan w:val="4"/>
            <w:vAlign w:val="center"/>
          </w:tcPr>
          <w:p w14:paraId="3D2A5BFA">
            <w:pPr>
              <w:widowControl/>
              <w:spacing w:line="240" w:lineRule="auto"/>
              <w:ind w:firstLine="0" w:firstLineChars="0"/>
              <w:jc w:val="center"/>
              <w:rPr>
                <w:color w:val="auto"/>
                <w:kern w:val="0"/>
                <w:sz w:val="21"/>
                <w:szCs w:val="21"/>
                <w:lang w:val="zh-CN"/>
              </w:rPr>
            </w:pPr>
            <w:r>
              <w:rPr>
                <w:color w:val="auto"/>
                <w:kern w:val="0"/>
                <w:sz w:val="21"/>
                <w:szCs w:val="21"/>
                <w:lang w:val="zh-CN"/>
              </w:rPr>
              <w:t>颗粒物：(0.</w:t>
            </w:r>
            <w:r>
              <w:rPr>
                <w:rFonts w:hint="eastAsia"/>
                <w:color w:val="auto"/>
                <w:kern w:val="0"/>
                <w:sz w:val="21"/>
                <w:szCs w:val="21"/>
                <w:lang w:val="zh-CN"/>
              </w:rPr>
              <w:t>017</w:t>
            </w:r>
            <w:r>
              <w:rPr>
                <w:color w:val="auto"/>
                <w:kern w:val="0"/>
                <w:sz w:val="21"/>
                <w:szCs w:val="21"/>
                <w:lang w:val="zh-CN"/>
              </w:rPr>
              <w:t>)t/a</w:t>
            </w:r>
          </w:p>
        </w:tc>
        <w:tc>
          <w:tcPr>
            <w:tcW w:w="1003" w:type="pct"/>
            <w:gridSpan w:val="3"/>
            <w:vAlign w:val="center"/>
          </w:tcPr>
          <w:p w14:paraId="1D1767C1">
            <w:pPr>
              <w:widowControl/>
              <w:spacing w:line="240" w:lineRule="auto"/>
              <w:ind w:firstLine="0" w:firstLineChars="0"/>
              <w:jc w:val="center"/>
              <w:rPr>
                <w:color w:val="auto"/>
                <w:kern w:val="0"/>
                <w:sz w:val="21"/>
                <w:szCs w:val="21"/>
                <w:lang w:val="zh-CN"/>
              </w:rPr>
            </w:pPr>
            <w:r>
              <w:rPr>
                <w:color w:val="auto"/>
                <w:kern w:val="0"/>
                <w:sz w:val="21"/>
                <w:szCs w:val="21"/>
                <w:lang w:val="zh-CN"/>
              </w:rPr>
              <w:t>VOCs：(</w:t>
            </w:r>
            <w:r>
              <w:rPr>
                <w:rFonts w:hint="eastAsia"/>
                <w:color w:val="auto"/>
                <w:kern w:val="0"/>
                <w:sz w:val="21"/>
                <w:szCs w:val="21"/>
                <w:lang w:val="zh-CN"/>
              </w:rPr>
              <w:t xml:space="preserve"> / </w:t>
            </w:r>
            <w:r>
              <w:rPr>
                <w:color w:val="auto"/>
                <w:kern w:val="0"/>
                <w:sz w:val="21"/>
                <w:szCs w:val="21"/>
                <w:lang w:val="zh-CN"/>
              </w:rPr>
              <w:t>)t/a</w:t>
            </w:r>
          </w:p>
        </w:tc>
      </w:tr>
    </w:tbl>
    <w:p w14:paraId="209A19C2">
      <w:pPr>
        <w:pStyle w:val="3"/>
        <w:spacing w:before="312"/>
        <w:rPr>
          <w:color w:val="auto"/>
        </w:rPr>
      </w:pPr>
      <w:bookmarkStart w:id="201" w:name="_Toc23460"/>
      <w:r>
        <w:rPr>
          <w:rFonts w:hint="eastAsia"/>
          <w:color w:val="auto"/>
        </w:rPr>
        <w:t>6.2地表水环境影响分析</w:t>
      </w:r>
      <w:bookmarkEnd w:id="201"/>
    </w:p>
    <w:p w14:paraId="52DAF7CD">
      <w:pPr>
        <w:pStyle w:val="4"/>
        <w:rPr>
          <w:color w:val="auto"/>
        </w:rPr>
      </w:pPr>
      <w:bookmarkStart w:id="202" w:name="_Toc6131"/>
      <w:r>
        <w:rPr>
          <w:rFonts w:hint="eastAsia"/>
          <w:color w:val="auto"/>
        </w:rPr>
        <w:t>6.2.1地表水环境影响分析</w:t>
      </w:r>
      <w:bookmarkEnd w:id="202"/>
    </w:p>
    <w:p w14:paraId="35614286">
      <w:pPr>
        <w:ind w:firstLine="480"/>
        <w:rPr>
          <w:color w:val="auto"/>
        </w:rPr>
      </w:pPr>
      <w:r>
        <w:rPr>
          <w:color w:val="auto"/>
        </w:rPr>
        <w:t>亚太药业实行“清污分流，雨污分流”的排水体制</w:t>
      </w:r>
      <w:r>
        <w:rPr>
          <w:rFonts w:hint="eastAsia"/>
          <w:color w:val="auto"/>
        </w:rPr>
        <w:t>。</w:t>
      </w:r>
      <w:r>
        <w:rPr>
          <w:color w:val="auto"/>
        </w:rPr>
        <w:t>本项目建成后新增废水排放量约</w:t>
      </w:r>
      <w:r>
        <w:rPr>
          <w:bCs/>
          <w:color w:val="auto"/>
        </w:rPr>
        <w:t>16452.440</w:t>
      </w:r>
      <w:r>
        <w:rPr>
          <w:color w:val="auto"/>
        </w:rPr>
        <w:t>t/a(约</w:t>
      </w:r>
      <w:r>
        <w:rPr>
          <w:rFonts w:hint="eastAsia"/>
          <w:color w:val="auto"/>
        </w:rPr>
        <w:t>54.8t</w:t>
      </w:r>
      <w:r>
        <w:rPr>
          <w:color w:val="auto"/>
        </w:rPr>
        <w:t>/d)，包括实验室废水、空压机废水、循环冷却系统排水、纯水制备</w:t>
      </w:r>
      <w:r>
        <w:rPr>
          <w:rFonts w:hint="eastAsia"/>
          <w:color w:val="auto"/>
        </w:rPr>
        <w:t>废水</w:t>
      </w:r>
      <w:r>
        <w:rPr>
          <w:color w:val="auto"/>
        </w:rPr>
        <w:t>。亚太药业根据废水污染物特点分质收集，分类处理。</w:t>
      </w:r>
      <w:r>
        <w:rPr>
          <w:rFonts w:hint="eastAsia"/>
          <w:color w:val="auto"/>
        </w:rPr>
        <w:t>本项目废水</w:t>
      </w:r>
      <w:r>
        <w:rPr>
          <w:color w:val="auto"/>
        </w:rPr>
        <w:t>接入</w:t>
      </w:r>
      <w:r>
        <w:rPr>
          <w:rFonts w:hint="eastAsia"/>
          <w:color w:val="auto"/>
          <w:lang w:val="en-US" w:eastAsia="zh-CN"/>
        </w:rPr>
        <w:t>厂区现有1</w:t>
      </w:r>
      <w:r>
        <w:rPr>
          <w:color w:val="auto"/>
        </w:rPr>
        <w:t>#污水处理站“</w:t>
      </w:r>
      <w:r>
        <w:rPr>
          <w:rFonts w:hint="eastAsia"/>
          <w:color w:val="auto"/>
          <w:lang w:val="en-US" w:eastAsia="zh-CN"/>
        </w:rPr>
        <w:t>调节池</w:t>
      </w:r>
      <w:r>
        <w:rPr>
          <w:color w:val="auto"/>
        </w:rPr>
        <w:t>+臭氧氧化”处理(新建废水处理站处理能力40</w:t>
      </w:r>
      <w:r>
        <w:rPr>
          <w:rFonts w:hint="eastAsia"/>
          <w:color w:val="auto"/>
          <w:lang w:val="en-US" w:eastAsia="zh-CN"/>
        </w:rPr>
        <w:t>8</w:t>
      </w:r>
      <w:r>
        <w:rPr>
          <w:color w:val="auto"/>
        </w:rPr>
        <w:t>m</w:t>
      </w:r>
      <w:r>
        <w:rPr>
          <w:color w:val="auto"/>
          <w:vertAlign w:val="superscript"/>
        </w:rPr>
        <w:t>3</w:t>
      </w:r>
      <w:r>
        <w:rPr>
          <w:color w:val="auto"/>
        </w:rPr>
        <w:t>/d)，</w:t>
      </w:r>
      <w:r>
        <w:rPr>
          <w:rFonts w:hint="eastAsia"/>
          <w:color w:val="auto"/>
        </w:rPr>
        <w:t>经</w:t>
      </w:r>
      <w:r>
        <w:rPr>
          <w:color w:val="auto"/>
        </w:rPr>
        <w:t>处理后可以满足联合环境水务(启东)有限公司处理接管标准，不会造成该污水处理厂超负荷运转，出水水质达《化学工业水污染物排放标准》(DB32/939-2020)表2和表4标准，未列入指标执行《城镇污水处理厂污染物排放标准》(GB18918-2002)表1中一级A标准后排入长江，增加的污染负荷甚微，对周边地表水环境影响可接受。</w:t>
      </w:r>
    </w:p>
    <w:p w14:paraId="6F41DA5B">
      <w:pPr>
        <w:pStyle w:val="4"/>
        <w:rPr>
          <w:color w:val="auto"/>
        </w:rPr>
      </w:pPr>
      <w:bookmarkStart w:id="203" w:name="_Toc20061"/>
      <w:r>
        <w:rPr>
          <w:rFonts w:hint="eastAsia"/>
          <w:color w:val="auto"/>
        </w:rPr>
        <w:t>6.2.2地表水环境影响评价自查表</w:t>
      </w:r>
      <w:bookmarkEnd w:id="203"/>
    </w:p>
    <w:p w14:paraId="4C62C06E">
      <w:pPr>
        <w:ind w:firstLine="480"/>
        <w:rPr>
          <w:color w:val="auto"/>
        </w:rPr>
      </w:pPr>
      <w:r>
        <w:rPr>
          <w:bCs/>
          <w:color w:val="auto"/>
        </w:rPr>
        <w:t>本项目地表水环境影响评价自查情况见</w:t>
      </w:r>
      <w:r>
        <w:rPr>
          <w:rFonts w:hint="eastAsia"/>
          <w:bCs/>
          <w:color w:val="auto"/>
        </w:rPr>
        <w:t>下表</w:t>
      </w:r>
      <w:r>
        <w:rPr>
          <w:bCs/>
          <w:color w:val="auto"/>
        </w:rPr>
        <w:t>。</w:t>
      </w:r>
    </w:p>
    <w:p w14:paraId="037D210B">
      <w:pPr>
        <w:ind w:firstLine="482"/>
        <w:jc w:val="center"/>
        <w:rPr>
          <w:b/>
          <w:bCs/>
          <w:color w:val="auto"/>
        </w:rPr>
      </w:pPr>
      <w:r>
        <w:rPr>
          <w:rFonts w:hint="eastAsia"/>
          <w:b/>
          <w:bCs/>
          <w:color w:val="auto"/>
        </w:rPr>
        <w:t>表6.2.2-1 地表水环境影响评价自查表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426"/>
        <w:gridCol w:w="1743"/>
        <w:gridCol w:w="823"/>
        <w:gridCol w:w="715"/>
        <w:gridCol w:w="1453"/>
        <w:gridCol w:w="426"/>
        <w:gridCol w:w="528"/>
        <w:gridCol w:w="781"/>
        <w:gridCol w:w="927"/>
        <w:gridCol w:w="54"/>
        <w:gridCol w:w="56"/>
        <w:gridCol w:w="667"/>
        <w:gridCol w:w="1039"/>
      </w:tblGrid>
      <w:tr w14:paraId="2354CF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125" w:type="pct"/>
            <w:gridSpan w:val="2"/>
            <w:vAlign w:val="center"/>
          </w:tcPr>
          <w:p w14:paraId="726957BE">
            <w:pPr>
              <w:spacing w:line="240" w:lineRule="auto"/>
              <w:ind w:firstLine="0" w:firstLineChars="0"/>
              <w:jc w:val="center"/>
              <w:rPr>
                <w:b/>
                <w:bCs/>
                <w:color w:val="auto"/>
                <w:sz w:val="21"/>
                <w:szCs w:val="21"/>
              </w:rPr>
            </w:pPr>
            <w:r>
              <w:rPr>
                <w:b/>
                <w:bCs/>
                <w:color w:val="auto"/>
                <w:sz w:val="21"/>
                <w:szCs w:val="21"/>
              </w:rPr>
              <w:t>工作内容</w:t>
            </w:r>
          </w:p>
        </w:tc>
        <w:tc>
          <w:tcPr>
            <w:tcW w:w="3875" w:type="pct"/>
            <w:gridSpan w:val="11"/>
            <w:vAlign w:val="center"/>
          </w:tcPr>
          <w:p w14:paraId="4E580F6E">
            <w:pPr>
              <w:spacing w:line="240" w:lineRule="auto"/>
              <w:ind w:firstLine="0" w:firstLineChars="0"/>
              <w:jc w:val="center"/>
              <w:rPr>
                <w:b/>
                <w:bCs/>
                <w:color w:val="auto"/>
                <w:sz w:val="21"/>
                <w:szCs w:val="21"/>
              </w:rPr>
            </w:pPr>
            <w:r>
              <w:rPr>
                <w:b/>
                <w:bCs/>
                <w:color w:val="auto"/>
                <w:sz w:val="21"/>
                <w:szCs w:val="21"/>
              </w:rPr>
              <w:t>自查项目</w:t>
            </w:r>
          </w:p>
        </w:tc>
      </w:tr>
      <w:tr w14:paraId="7A3D64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restart"/>
            <w:vAlign w:val="center"/>
          </w:tcPr>
          <w:p w14:paraId="0799A749">
            <w:pPr>
              <w:spacing w:line="240" w:lineRule="auto"/>
              <w:ind w:firstLine="0" w:firstLineChars="0"/>
              <w:jc w:val="center"/>
              <w:rPr>
                <w:color w:val="auto"/>
                <w:sz w:val="21"/>
                <w:szCs w:val="21"/>
              </w:rPr>
            </w:pPr>
            <w:r>
              <w:rPr>
                <w:color w:val="auto"/>
                <w:sz w:val="21"/>
                <w:szCs w:val="21"/>
              </w:rPr>
              <w:t>影响识别</w:t>
            </w:r>
          </w:p>
        </w:tc>
        <w:tc>
          <w:tcPr>
            <w:tcW w:w="904" w:type="pct"/>
            <w:vAlign w:val="center"/>
          </w:tcPr>
          <w:p w14:paraId="2CB34DA6">
            <w:pPr>
              <w:spacing w:line="240" w:lineRule="auto"/>
              <w:ind w:firstLine="0" w:firstLineChars="0"/>
              <w:jc w:val="center"/>
              <w:rPr>
                <w:color w:val="auto"/>
                <w:sz w:val="21"/>
                <w:szCs w:val="21"/>
              </w:rPr>
            </w:pPr>
            <w:r>
              <w:rPr>
                <w:color w:val="auto"/>
                <w:sz w:val="21"/>
                <w:szCs w:val="21"/>
              </w:rPr>
              <w:t>影响类型</w:t>
            </w:r>
          </w:p>
        </w:tc>
        <w:tc>
          <w:tcPr>
            <w:tcW w:w="3875" w:type="pct"/>
            <w:gridSpan w:val="11"/>
            <w:vAlign w:val="center"/>
          </w:tcPr>
          <w:p w14:paraId="75B6A0A2">
            <w:pPr>
              <w:spacing w:line="240" w:lineRule="auto"/>
              <w:ind w:firstLine="0" w:firstLineChars="0"/>
              <w:jc w:val="center"/>
              <w:rPr>
                <w:color w:val="auto"/>
                <w:sz w:val="21"/>
                <w:szCs w:val="21"/>
              </w:rPr>
            </w:pPr>
            <w:r>
              <w:rPr>
                <w:color w:val="auto"/>
                <w:sz w:val="21"/>
                <w:szCs w:val="21"/>
              </w:rPr>
              <w:t>水污染影响型√；水文要素影响型□</w:t>
            </w:r>
          </w:p>
        </w:tc>
      </w:tr>
      <w:tr w14:paraId="421D26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20345B02">
            <w:pPr>
              <w:spacing w:line="240" w:lineRule="auto"/>
              <w:ind w:firstLine="0" w:firstLineChars="0"/>
              <w:rPr>
                <w:color w:val="auto"/>
                <w:sz w:val="21"/>
                <w:szCs w:val="21"/>
              </w:rPr>
            </w:pPr>
          </w:p>
        </w:tc>
        <w:tc>
          <w:tcPr>
            <w:tcW w:w="904" w:type="pct"/>
            <w:vAlign w:val="center"/>
          </w:tcPr>
          <w:p w14:paraId="13942130">
            <w:pPr>
              <w:spacing w:line="240" w:lineRule="auto"/>
              <w:ind w:firstLine="0" w:firstLineChars="0"/>
              <w:jc w:val="center"/>
              <w:rPr>
                <w:color w:val="auto"/>
                <w:sz w:val="21"/>
                <w:szCs w:val="21"/>
              </w:rPr>
            </w:pPr>
            <w:r>
              <w:rPr>
                <w:color w:val="auto"/>
                <w:sz w:val="21"/>
                <w:szCs w:val="21"/>
              </w:rPr>
              <w:t>水环境保护目标</w:t>
            </w:r>
          </w:p>
        </w:tc>
        <w:tc>
          <w:tcPr>
            <w:tcW w:w="3875" w:type="pct"/>
            <w:gridSpan w:val="11"/>
            <w:vAlign w:val="center"/>
          </w:tcPr>
          <w:p w14:paraId="34C9F086">
            <w:pPr>
              <w:spacing w:line="240" w:lineRule="auto"/>
              <w:ind w:firstLine="0" w:firstLineChars="0"/>
              <w:jc w:val="center"/>
              <w:rPr>
                <w:color w:val="auto"/>
                <w:sz w:val="21"/>
                <w:szCs w:val="21"/>
              </w:rPr>
            </w:pPr>
            <w:r>
              <w:rPr>
                <w:color w:val="auto"/>
                <w:sz w:val="21"/>
                <w:szCs w:val="21"/>
              </w:rPr>
              <w:t>饮用水水源保护区□；饮用水取水口□；涉水的自然保护区□；涉水的风景名胜区□；重要湿地（√）；重点保护与珍稀水生生物的栖息地□；重要水生生物的自然产卵场及索饵场、越冬场和洄游通道□；天然渔场等渔业水体□；水产种质资源保护区□；其他√</w:t>
            </w:r>
          </w:p>
        </w:tc>
      </w:tr>
      <w:tr w14:paraId="60BF00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73595847">
            <w:pPr>
              <w:spacing w:line="240" w:lineRule="auto"/>
              <w:ind w:firstLine="0" w:firstLineChars="0"/>
              <w:rPr>
                <w:color w:val="auto"/>
                <w:sz w:val="21"/>
                <w:szCs w:val="21"/>
              </w:rPr>
            </w:pPr>
          </w:p>
        </w:tc>
        <w:tc>
          <w:tcPr>
            <w:tcW w:w="904" w:type="pct"/>
            <w:vMerge w:val="restart"/>
            <w:vAlign w:val="center"/>
          </w:tcPr>
          <w:p w14:paraId="459C8CB6">
            <w:pPr>
              <w:spacing w:line="240" w:lineRule="auto"/>
              <w:ind w:firstLine="0" w:firstLineChars="0"/>
              <w:jc w:val="center"/>
              <w:rPr>
                <w:color w:val="auto"/>
                <w:sz w:val="21"/>
                <w:szCs w:val="21"/>
              </w:rPr>
            </w:pPr>
            <w:r>
              <w:rPr>
                <w:color w:val="auto"/>
                <w:sz w:val="21"/>
                <w:szCs w:val="21"/>
              </w:rPr>
              <w:t>影响途径</w:t>
            </w:r>
          </w:p>
        </w:tc>
        <w:tc>
          <w:tcPr>
            <w:tcW w:w="2047" w:type="pct"/>
            <w:gridSpan w:val="5"/>
            <w:vAlign w:val="center"/>
          </w:tcPr>
          <w:p w14:paraId="21CEF1C5">
            <w:pPr>
              <w:spacing w:line="240" w:lineRule="auto"/>
              <w:ind w:firstLine="0" w:firstLineChars="0"/>
              <w:jc w:val="center"/>
              <w:rPr>
                <w:color w:val="auto"/>
                <w:sz w:val="21"/>
                <w:szCs w:val="21"/>
              </w:rPr>
            </w:pPr>
            <w:r>
              <w:rPr>
                <w:color w:val="auto"/>
                <w:sz w:val="21"/>
                <w:szCs w:val="21"/>
              </w:rPr>
              <w:t>水污染影响型</w:t>
            </w:r>
          </w:p>
        </w:tc>
        <w:tc>
          <w:tcPr>
            <w:tcW w:w="1828" w:type="pct"/>
            <w:gridSpan w:val="6"/>
            <w:vAlign w:val="center"/>
          </w:tcPr>
          <w:p w14:paraId="1B1DC944">
            <w:pPr>
              <w:spacing w:line="240" w:lineRule="auto"/>
              <w:ind w:firstLine="0" w:firstLineChars="0"/>
              <w:jc w:val="center"/>
              <w:rPr>
                <w:color w:val="auto"/>
                <w:sz w:val="21"/>
                <w:szCs w:val="21"/>
              </w:rPr>
            </w:pPr>
            <w:r>
              <w:rPr>
                <w:color w:val="auto"/>
                <w:sz w:val="21"/>
                <w:szCs w:val="21"/>
              </w:rPr>
              <w:t>水文要素影响型</w:t>
            </w:r>
          </w:p>
        </w:tc>
      </w:tr>
      <w:tr w14:paraId="56DD55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1A73F3D0">
            <w:pPr>
              <w:spacing w:line="240" w:lineRule="auto"/>
              <w:ind w:firstLine="0" w:firstLineChars="0"/>
              <w:rPr>
                <w:color w:val="auto"/>
                <w:sz w:val="21"/>
                <w:szCs w:val="21"/>
              </w:rPr>
            </w:pPr>
          </w:p>
        </w:tc>
        <w:tc>
          <w:tcPr>
            <w:tcW w:w="904" w:type="pct"/>
            <w:vMerge w:val="continue"/>
            <w:vAlign w:val="center"/>
          </w:tcPr>
          <w:p w14:paraId="6D5D2A88">
            <w:pPr>
              <w:spacing w:line="240" w:lineRule="auto"/>
              <w:ind w:firstLine="0" w:firstLineChars="0"/>
              <w:rPr>
                <w:color w:val="auto"/>
                <w:sz w:val="21"/>
                <w:szCs w:val="21"/>
              </w:rPr>
            </w:pPr>
          </w:p>
        </w:tc>
        <w:tc>
          <w:tcPr>
            <w:tcW w:w="2047" w:type="pct"/>
            <w:gridSpan w:val="5"/>
            <w:vAlign w:val="center"/>
          </w:tcPr>
          <w:p w14:paraId="2A35978C">
            <w:pPr>
              <w:spacing w:line="240" w:lineRule="auto"/>
              <w:ind w:firstLine="0" w:firstLineChars="0"/>
              <w:jc w:val="center"/>
              <w:rPr>
                <w:color w:val="auto"/>
                <w:sz w:val="21"/>
                <w:szCs w:val="21"/>
              </w:rPr>
            </w:pPr>
            <w:r>
              <w:rPr>
                <w:color w:val="auto"/>
                <w:sz w:val="21"/>
                <w:szCs w:val="21"/>
              </w:rPr>
              <w:t>直接排放□；间接排放√；其他□</w:t>
            </w:r>
          </w:p>
        </w:tc>
        <w:tc>
          <w:tcPr>
            <w:tcW w:w="1828" w:type="pct"/>
            <w:gridSpan w:val="6"/>
            <w:vAlign w:val="center"/>
          </w:tcPr>
          <w:p w14:paraId="65039E50">
            <w:pPr>
              <w:spacing w:line="240" w:lineRule="auto"/>
              <w:ind w:firstLine="0" w:firstLineChars="0"/>
              <w:jc w:val="center"/>
              <w:rPr>
                <w:color w:val="auto"/>
                <w:sz w:val="21"/>
                <w:szCs w:val="21"/>
              </w:rPr>
            </w:pPr>
            <w:r>
              <w:rPr>
                <w:color w:val="auto"/>
                <w:sz w:val="21"/>
                <w:szCs w:val="21"/>
              </w:rPr>
              <w:t>水温□；径流□；水域面积□</w:t>
            </w:r>
          </w:p>
        </w:tc>
      </w:tr>
      <w:tr w14:paraId="69217C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042DB0C9">
            <w:pPr>
              <w:spacing w:line="240" w:lineRule="auto"/>
              <w:ind w:firstLine="0" w:firstLineChars="0"/>
              <w:rPr>
                <w:color w:val="auto"/>
                <w:sz w:val="21"/>
                <w:szCs w:val="21"/>
              </w:rPr>
            </w:pPr>
          </w:p>
        </w:tc>
        <w:tc>
          <w:tcPr>
            <w:tcW w:w="904" w:type="pct"/>
            <w:vAlign w:val="center"/>
          </w:tcPr>
          <w:p w14:paraId="67E3D30D">
            <w:pPr>
              <w:spacing w:line="240" w:lineRule="auto"/>
              <w:ind w:firstLine="0" w:firstLineChars="0"/>
              <w:jc w:val="center"/>
              <w:rPr>
                <w:color w:val="auto"/>
                <w:sz w:val="21"/>
                <w:szCs w:val="21"/>
              </w:rPr>
            </w:pPr>
            <w:r>
              <w:rPr>
                <w:color w:val="auto"/>
                <w:sz w:val="21"/>
                <w:szCs w:val="21"/>
              </w:rPr>
              <w:t>影响因子</w:t>
            </w:r>
          </w:p>
        </w:tc>
        <w:tc>
          <w:tcPr>
            <w:tcW w:w="2047" w:type="pct"/>
            <w:gridSpan w:val="5"/>
            <w:vAlign w:val="center"/>
          </w:tcPr>
          <w:p w14:paraId="2A24973B">
            <w:pPr>
              <w:spacing w:line="240" w:lineRule="auto"/>
              <w:ind w:firstLine="0" w:firstLineChars="0"/>
              <w:jc w:val="center"/>
              <w:rPr>
                <w:color w:val="auto"/>
                <w:sz w:val="21"/>
                <w:szCs w:val="21"/>
              </w:rPr>
            </w:pPr>
            <w:r>
              <w:rPr>
                <w:color w:val="auto"/>
                <w:sz w:val="21"/>
                <w:szCs w:val="21"/>
              </w:rPr>
              <w:t>持久性污染物□；有毒有害污染物□；非持久性污染物√；pH值√；热污染□；富营养化√；其他□</w:t>
            </w:r>
          </w:p>
        </w:tc>
        <w:tc>
          <w:tcPr>
            <w:tcW w:w="1828" w:type="pct"/>
            <w:gridSpan w:val="6"/>
            <w:vAlign w:val="center"/>
          </w:tcPr>
          <w:p w14:paraId="58CA6F6D">
            <w:pPr>
              <w:spacing w:line="240" w:lineRule="auto"/>
              <w:ind w:firstLine="0" w:firstLineChars="0"/>
              <w:jc w:val="center"/>
              <w:rPr>
                <w:color w:val="auto"/>
                <w:sz w:val="21"/>
                <w:szCs w:val="21"/>
              </w:rPr>
            </w:pPr>
            <w:r>
              <w:rPr>
                <w:color w:val="auto"/>
                <w:sz w:val="21"/>
                <w:szCs w:val="21"/>
              </w:rPr>
              <w:t>水温□；水位</w:t>
            </w:r>
            <w:r>
              <w:rPr>
                <w:rFonts w:hint="eastAsia"/>
                <w:color w:val="auto"/>
                <w:sz w:val="21"/>
                <w:szCs w:val="21"/>
              </w:rPr>
              <w:t>（水深）</w:t>
            </w:r>
            <w:r>
              <w:rPr>
                <w:color w:val="auto"/>
                <w:sz w:val="21"/>
                <w:szCs w:val="21"/>
              </w:rPr>
              <w:t>□；流速□；流量□；其他□</w:t>
            </w:r>
          </w:p>
        </w:tc>
      </w:tr>
      <w:tr w14:paraId="0BAC9A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125" w:type="pct"/>
            <w:gridSpan w:val="2"/>
            <w:vMerge w:val="restart"/>
            <w:vAlign w:val="center"/>
          </w:tcPr>
          <w:p w14:paraId="44C11DEE">
            <w:pPr>
              <w:spacing w:line="240" w:lineRule="auto"/>
              <w:ind w:firstLine="0" w:firstLineChars="0"/>
              <w:jc w:val="center"/>
              <w:rPr>
                <w:color w:val="auto"/>
                <w:sz w:val="21"/>
                <w:szCs w:val="21"/>
              </w:rPr>
            </w:pPr>
            <w:r>
              <w:rPr>
                <w:color w:val="auto"/>
                <w:sz w:val="21"/>
                <w:szCs w:val="21"/>
              </w:rPr>
              <w:t>评价等级</w:t>
            </w:r>
          </w:p>
        </w:tc>
        <w:tc>
          <w:tcPr>
            <w:tcW w:w="2047" w:type="pct"/>
            <w:gridSpan w:val="5"/>
            <w:vAlign w:val="center"/>
          </w:tcPr>
          <w:p w14:paraId="3FA60AE7">
            <w:pPr>
              <w:spacing w:line="240" w:lineRule="auto"/>
              <w:ind w:firstLine="0" w:firstLineChars="0"/>
              <w:jc w:val="center"/>
              <w:rPr>
                <w:color w:val="auto"/>
                <w:sz w:val="21"/>
                <w:szCs w:val="21"/>
              </w:rPr>
            </w:pPr>
            <w:r>
              <w:rPr>
                <w:color w:val="auto"/>
                <w:sz w:val="21"/>
                <w:szCs w:val="21"/>
              </w:rPr>
              <w:t>水污染影响型</w:t>
            </w:r>
          </w:p>
        </w:tc>
        <w:tc>
          <w:tcPr>
            <w:tcW w:w="1828" w:type="pct"/>
            <w:gridSpan w:val="6"/>
            <w:vAlign w:val="center"/>
          </w:tcPr>
          <w:p w14:paraId="5FFD18C8">
            <w:pPr>
              <w:spacing w:line="240" w:lineRule="auto"/>
              <w:ind w:firstLine="0" w:firstLineChars="0"/>
              <w:jc w:val="center"/>
              <w:rPr>
                <w:color w:val="auto"/>
                <w:sz w:val="21"/>
                <w:szCs w:val="21"/>
              </w:rPr>
            </w:pPr>
            <w:r>
              <w:rPr>
                <w:color w:val="auto"/>
                <w:sz w:val="21"/>
                <w:szCs w:val="21"/>
              </w:rPr>
              <w:t>水文要素影响型</w:t>
            </w:r>
          </w:p>
        </w:tc>
      </w:tr>
      <w:tr w14:paraId="3044BF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3" w:hRule="atLeast"/>
          <w:jc w:val="center"/>
        </w:trPr>
        <w:tc>
          <w:tcPr>
            <w:tcW w:w="1125" w:type="pct"/>
            <w:gridSpan w:val="2"/>
            <w:vMerge w:val="continue"/>
            <w:vAlign w:val="center"/>
          </w:tcPr>
          <w:p w14:paraId="77BC9F9D">
            <w:pPr>
              <w:spacing w:line="240" w:lineRule="auto"/>
              <w:ind w:firstLine="0" w:firstLineChars="0"/>
              <w:rPr>
                <w:color w:val="auto"/>
                <w:sz w:val="21"/>
                <w:szCs w:val="21"/>
              </w:rPr>
            </w:pPr>
          </w:p>
        </w:tc>
        <w:tc>
          <w:tcPr>
            <w:tcW w:w="2047" w:type="pct"/>
            <w:gridSpan w:val="5"/>
            <w:vAlign w:val="center"/>
          </w:tcPr>
          <w:p w14:paraId="1A4439C2">
            <w:pPr>
              <w:spacing w:line="240" w:lineRule="auto"/>
              <w:ind w:firstLine="0" w:firstLineChars="0"/>
              <w:jc w:val="center"/>
              <w:rPr>
                <w:color w:val="auto"/>
                <w:sz w:val="21"/>
                <w:szCs w:val="21"/>
              </w:rPr>
            </w:pPr>
            <w:r>
              <w:rPr>
                <w:color w:val="auto"/>
                <w:sz w:val="21"/>
                <w:szCs w:val="21"/>
              </w:rPr>
              <w:t>一级□；二级□；三级A□；三级B</w:t>
            </w:r>
            <w:r>
              <w:rPr>
                <w:rFonts w:hint="eastAsia"/>
                <w:color w:val="auto"/>
                <w:sz w:val="21"/>
                <w:szCs w:val="21"/>
              </w:rPr>
              <w:t xml:space="preserve"> </w:t>
            </w:r>
            <w:r>
              <w:rPr>
                <w:color w:val="auto"/>
                <w:sz w:val="21"/>
                <w:szCs w:val="21"/>
              </w:rPr>
              <w:t>√</w:t>
            </w:r>
          </w:p>
        </w:tc>
        <w:tc>
          <w:tcPr>
            <w:tcW w:w="1828" w:type="pct"/>
            <w:gridSpan w:val="6"/>
            <w:vAlign w:val="center"/>
          </w:tcPr>
          <w:p w14:paraId="4668745C">
            <w:pPr>
              <w:spacing w:line="240" w:lineRule="auto"/>
              <w:ind w:firstLine="0" w:firstLineChars="0"/>
              <w:jc w:val="center"/>
              <w:rPr>
                <w:color w:val="auto"/>
                <w:sz w:val="21"/>
                <w:szCs w:val="21"/>
              </w:rPr>
            </w:pPr>
            <w:r>
              <w:rPr>
                <w:color w:val="auto"/>
                <w:sz w:val="21"/>
                <w:szCs w:val="21"/>
              </w:rPr>
              <w:t>一级□；二级□；三级□</w:t>
            </w:r>
          </w:p>
        </w:tc>
      </w:tr>
      <w:tr w14:paraId="71921C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restart"/>
            <w:vAlign w:val="center"/>
          </w:tcPr>
          <w:p w14:paraId="587AD413">
            <w:pPr>
              <w:spacing w:line="240" w:lineRule="auto"/>
              <w:ind w:firstLine="0" w:firstLineChars="0"/>
              <w:jc w:val="center"/>
              <w:rPr>
                <w:color w:val="auto"/>
                <w:sz w:val="21"/>
                <w:szCs w:val="21"/>
              </w:rPr>
            </w:pPr>
            <w:r>
              <w:rPr>
                <w:color w:val="auto"/>
                <w:sz w:val="21"/>
                <w:szCs w:val="21"/>
              </w:rPr>
              <w:t>现状调查</w:t>
            </w:r>
          </w:p>
        </w:tc>
        <w:tc>
          <w:tcPr>
            <w:tcW w:w="904" w:type="pct"/>
            <w:vMerge w:val="restart"/>
            <w:vAlign w:val="center"/>
          </w:tcPr>
          <w:p w14:paraId="7B26B085">
            <w:pPr>
              <w:spacing w:line="240" w:lineRule="auto"/>
              <w:ind w:firstLine="0" w:firstLineChars="0"/>
              <w:jc w:val="center"/>
              <w:rPr>
                <w:color w:val="auto"/>
                <w:sz w:val="21"/>
                <w:szCs w:val="21"/>
              </w:rPr>
            </w:pPr>
            <w:r>
              <w:rPr>
                <w:color w:val="auto"/>
                <w:sz w:val="21"/>
                <w:szCs w:val="21"/>
              </w:rPr>
              <w:t>区域污染源</w:t>
            </w:r>
          </w:p>
        </w:tc>
        <w:tc>
          <w:tcPr>
            <w:tcW w:w="2047" w:type="pct"/>
            <w:gridSpan w:val="5"/>
            <w:vAlign w:val="center"/>
          </w:tcPr>
          <w:p w14:paraId="164ED36F">
            <w:pPr>
              <w:spacing w:line="240" w:lineRule="auto"/>
              <w:ind w:firstLine="0" w:firstLineChars="0"/>
              <w:jc w:val="center"/>
              <w:rPr>
                <w:color w:val="auto"/>
                <w:sz w:val="21"/>
                <w:szCs w:val="21"/>
              </w:rPr>
            </w:pPr>
            <w:r>
              <w:rPr>
                <w:color w:val="auto"/>
                <w:sz w:val="21"/>
                <w:szCs w:val="21"/>
              </w:rPr>
              <w:t>调查项目</w:t>
            </w:r>
          </w:p>
        </w:tc>
        <w:tc>
          <w:tcPr>
            <w:tcW w:w="1828" w:type="pct"/>
            <w:gridSpan w:val="6"/>
            <w:vAlign w:val="center"/>
          </w:tcPr>
          <w:p w14:paraId="6911F934">
            <w:pPr>
              <w:spacing w:line="240" w:lineRule="auto"/>
              <w:ind w:firstLine="0" w:firstLineChars="0"/>
              <w:jc w:val="center"/>
              <w:rPr>
                <w:color w:val="auto"/>
                <w:sz w:val="21"/>
                <w:szCs w:val="21"/>
              </w:rPr>
            </w:pPr>
            <w:r>
              <w:rPr>
                <w:color w:val="auto"/>
                <w:sz w:val="21"/>
                <w:szCs w:val="21"/>
              </w:rPr>
              <w:t>数据来源</w:t>
            </w:r>
          </w:p>
        </w:tc>
      </w:tr>
      <w:tr w14:paraId="349D98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0D568815">
            <w:pPr>
              <w:spacing w:line="240" w:lineRule="auto"/>
              <w:ind w:firstLine="0" w:firstLineChars="0"/>
              <w:rPr>
                <w:color w:val="auto"/>
                <w:sz w:val="21"/>
                <w:szCs w:val="21"/>
              </w:rPr>
            </w:pPr>
          </w:p>
        </w:tc>
        <w:tc>
          <w:tcPr>
            <w:tcW w:w="904" w:type="pct"/>
            <w:vMerge w:val="continue"/>
            <w:vAlign w:val="center"/>
          </w:tcPr>
          <w:p w14:paraId="4BAF49F2">
            <w:pPr>
              <w:spacing w:line="240" w:lineRule="auto"/>
              <w:ind w:firstLine="0" w:firstLineChars="0"/>
              <w:rPr>
                <w:color w:val="auto"/>
                <w:sz w:val="21"/>
                <w:szCs w:val="21"/>
              </w:rPr>
            </w:pPr>
          </w:p>
        </w:tc>
        <w:tc>
          <w:tcPr>
            <w:tcW w:w="1552" w:type="pct"/>
            <w:gridSpan w:val="3"/>
            <w:vAlign w:val="center"/>
          </w:tcPr>
          <w:p w14:paraId="1EB4AB39">
            <w:pPr>
              <w:spacing w:line="240" w:lineRule="auto"/>
              <w:ind w:firstLine="0" w:firstLineChars="0"/>
              <w:rPr>
                <w:color w:val="auto"/>
                <w:sz w:val="21"/>
                <w:szCs w:val="21"/>
              </w:rPr>
            </w:pPr>
            <w:r>
              <w:rPr>
                <w:color w:val="auto"/>
                <w:sz w:val="21"/>
                <w:szCs w:val="21"/>
                <w:lang w:bidi="ar"/>
              </w:rPr>
              <w:t>已建</w:t>
            </w:r>
            <w:r>
              <w:rPr>
                <w:color w:val="auto"/>
                <w:sz w:val="21"/>
                <w:szCs w:val="21"/>
              </w:rPr>
              <w:t>□</w:t>
            </w:r>
            <w:r>
              <w:rPr>
                <w:color w:val="auto"/>
                <w:sz w:val="21"/>
                <w:szCs w:val="21"/>
                <w:lang w:bidi="ar"/>
              </w:rPr>
              <w:t>；在建</w:t>
            </w:r>
            <w:r>
              <w:rPr>
                <w:color w:val="auto"/>
                <w:sz w:val="21"/>
                <w:szCs w:val="21"/>
              </w:rPr>
              <w:t>□</w:t>
            </w:r>
            <w:r>
              <w:rPr>
                <w:color w:val="auto"/>
                <w:sz w:val="21"/>
                <w:szCs w:val="21"/>
                <w:lang w:bidi="ar"/>
              </w:rPr>
              <w:t>；拟建</w:t>
            </w:r>
            <w:r>
              <w:rPr>
                <w:color w:val="auto"/>
                <w:sz w:val="21"/>
                <w:szCs w:val="21"/>
              </w:rPr>
              <w:t>□</w:t>
            </w:r>
            <w:r>
              <w:rPr>
                <w:color w:val="auto"/>
                <w:sz w:val="21"/>
                <w:szCs w:val="21"/>
                <w:lang w:bidi="ar"/>
              </w:rPr>
              <w:t>；</w:t>
            </w:r>
            <w:r>
              <w:rPr>
                <w:color w:val="auto"/>
                <w:sz w:val="21"/>
                <w:szCs w:val="21"/>
              </w:rPr>
              <w:t>其他□</w:t>
            </w:r>
          </w:p>
        </w:tc>
        <w:tc>
          <w:tcPr>
            <w:tcW w:w="495" w:type="pct"/>
            <w:gridSpan w:val="2"/>
            <w:vAlign w:val="center"/>
          </w:tcPr>
          <w:p w14:paraId="1419692D">
            <w:pPr>
              <w:spacing w:line="240" w:lineRule="auto"/>
              <w:ind w:firstLine="0" w:firstLineChars="0"/>
              <w:jc w:val="center"/>
              <w:rPr>
                <w:color w:val="auto"/>
                <w:sz w:val="21"/>
                <w:szCs w:val="21"/>
              </w:rPr>
            </w:pPr>
            <w:r>
              <w:rPr>
                <w:color w:val="auto"/>
                <w:sz w:val="21"/>
                <w:szCs w:val="21"/>
              </w:rPr>
              <w:t>拟替代的污染源□</w:t>
            </w:r>
          </w:p>
        </w:tc>
        <w:tc>
          <w:tcPr>
            <w:tcW w:w="1828" w:type="pct"/>
            <w:gridSpan w:val="6"/>
            <w:vAlign w:val="center"/>
          </w:tcPr>
          <w:p w14:paraId="2DE4910E">
            <w:pPr>
              <w:spacing w:line="240" w:lineRule="auto"/>
              <w:ind w:firstLine="0" w:firstLineChars="0"/>
              <w:jc w:val="center"/>
              <w:rPr>
                <w:color w:val="auto"/>
                <w:sz w:val="21"/>
                <w:szCs w:val="21"/>
              </w:rPr>
            </w:pPr>
            <w:r>
              <w:rPr>
                <w:color w:val="auto"/>
                <w:sz w:val="21"/>
                <w:szCs w:val="21"/>
              </w:rPr>
              <w:t>排污许可证□；环评□；环保验收□；既有实测□；现场监测□；入河排放口数据□；其他□</w:t>
            </w:r>
          </w:p>
        </w:tc>
      </w:tr>
      <w:tr w14:paraId="5C1266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1CE7E5F7">
            <w:pPr>
              <w:spacing w:line="240" w:lineRule="auto"/>
              <w:ind w:firstLine="0" w:firstLineChars="0"/>
              <w:rPr>
                <w:color w:val="auto"/>
                <w:sz w:val="21"/>
                <w:szCs w:val="21"/>
              </w:rPr>
            </w:pPr>
          </w:p>
        </w:tc>
        <w:tc>
          <w:tcPr>
            <w:tcW w:w="904" w:type="pct"/>
            <w:vMerge w:val="restart"/>
            <w:vAlign w:val="center"/>
          </w:tcPr>
          <w:p w14:paraId="076DE61D">
            <w:pPr>
              <w:spacing w:line="240" w:lineRule="auto"/>
              <w:ind w:firstLine="0" w:firstLineChars="0"/>
              <w:jc w:val="center"/>
              <w:rPr>
                <w:color w:val="auto"/>
                <w:sz w:val="21"/>
                <w:szCs w:val="21"/>
              </w:rPr>
            </w:pPr>
            <w:r>
              <w:rPr>
                <w:color w:val="auto"/>
                <w:sz w:val="21"/>
                <w:szCs w:val="21"/>
              </w:rPr>
              <w:t>受影响水体水环境质量</w:t>
            </w:r>
          </w:p>
        </w:tc>
        <w:tc>
          <w:tcPr>
            <w:tcW w:w="2047" w:type="pct"/>
            <w:gridSpan w:val="5"/>
            <w:vAlign w:val="center"/>
          </w:tcPr>
          <w:p w14:paraId="1E218E8D">
            <w:pPr>
              <w:spacing w:line="240" w:lineRule="auto"/>
              <w:ind w:firstLine="0" w:firstLineChars="0"/>
              <w:jc w:val="center"/>
              <w:rPr>
                <w:color w:val="auto"/>
                <w:sz w:val="21"/>
                <w:szCs w:val="21"/>
              </w:rPr>
            </w:pPr>
            <w:r>
              <w:rPr>
                <w:color w:val="auto"/>
                <w:sz w:val="21"/>
                <w:szCs w:val="21"/>
              </w:rPr>
              <w:t>调查时期</w:t>
            </w:r>
          </w:p>
        </w:tc>
        <w:tc>
          <w:tcPr>
            <w:tcW w:w="1828" w:type="pct"/>
            <w:gridSpan w:val="6"/>
            <w:vAlign w:val="center"/>
          </w:tcPr>
          <w:p w14:paraId="08666A8D">
            <w:pPr>
              <w:spacing w:line="240" w:lineRule="auto"/>
              <w:ind w:firstLine="0" w:firstLineChars="0"/>
              <w:jc w:val="center"/>
              <w:rPr>
                <w:color w:val="auto"/>
                <w:sz w:val="21"/>
                <w:szCs w:val="21"/>
              </w:rPr>
            </w:pPr>
            <w:r>
              <w:rPr>
                <w:color w:val="auto"/>
                <w:sz w:val="21"/>
                <w:szCs w:val="21"/>
              </w:rPr>
              <w:t>数据来源</w:t>
            </w:r>
          </w:p>
        </w:tc>
      </w:tr>
      <w:tr w14:paraId="13A4D1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4904A6A3">
            <w:pPr>
              <w:spacing w:line="240" w:lineRule="auto"/>
              <w:ind w:firstLine="0" w:firstLineChars="0"/>
              <w:rPr>
                <w:color w:val="auto"/>
                <w:sz w:val="21"/>
                <w:szCs w:val="21"/>
              </w:rPr>
            </w:pPr>
          </w:p>
        </w:tc>
        <w:tc>
          <w:tcPr>
            <w:tcW w:w="904" w:type="pct"/>
            <w:vMerge w:val="continue"/>
            <w:vAlign w:val="center"/>
          </w:tcPr>
          <w:p w14:paraId="527988B1">
            <w:pPr>
              <w:spacing w:line="240" w:lineRule="auto"/>
              <w:ind w:firstLine="0" w:firstLineChars="0"/>
              <w:rPr>
                <w:color w:val="auto"/>
                <w:sz w:val="21"/>
                <w:szCs w:val="21"/>
              </w:rPr>
            </w:pPr>
          </w:p>
        </w:tc>
        <w:tc>
          <w:tcPr>
            <w:tcW w:w="2047" w:type="pct"/>
            <w:gridSpan w:val="5"/>
            <w:vAlign w:val="center"/>
          </w:tcPr>
          <w:p w14:paraId="1B7DC119">
            <w:pPr>
              <w:spacing w:line="240" w:lineRule="auto"/>
              <w:ind w:firstLine="0" w:firstLineChars="0"/>
              <w:jc w:val="center"/>
              <w:rPr>
                <w:color w:val="auto"/>
                <w:sz w:val="21"/>
                <w:szCs w:val="21"/>
              </w:rPr>
            </w:pPr>
            <w:r>
              <w:rPr>
                <w:color w:val="auto"/>
                <w:sz w:val="21"/>
                <w:szCs w:val="21"/>
              </w:rPr>
              <w:t>丰水期□；平水期□；枯水期□；冰封期□</w:t>
            </w:r>
          </w:p>
          <w:p w14:paraId="4265AAE8">
            <w:pPr>
              <w:spacing w:line="240" w:lineRule="auto"/>
              <w:ind w:firstLine="0" w:firstLineChars="0"/>
              <w:jc w:val="center"/>
              <w:rPr>
                <w:color w:val="auto"/>
                <w:sz w:val="21"/>
                <w:szCs w:val="21"/>
              </w:rPr>
            </w:pPr>
            <w:r>
              <w:rPr>
                <w:color w:val="auto"/>
                <w:sz w:val="21"/>
                <w:szCs w:val="21"/>
              </w:rPr>
              <w:t>春季□；夏季□；秋季□；冬季□</w:t>
            </w:r>
          </w:p>
        </w:tc>
        <w:tc>
          <w:tcPr>
            <w:tcW w:w="1828" w:type="pct"/>
            <w:gridSpan w:val="6"/>
            <w:vAlign w:val="center"/>
          </w:tcPr>
          <w:p w14:paraId="515A636B">
            <w:pPr>
              <w:spacing w:line="240" w:lineRule="auto"/>
              <w:ind w:firstLine="0" w:firstLineChars="0"/>
              <w:jc w:val="center"/>
              <w:rPr>
                <w:color w:val="auto"/>
                <w:sz w:val="21"/>
                <w:szCs w:val="21"/>
              </w:rPr>
            </w:pPr>
            <w:r>
              <w:rPr>
                <w:color w:val="auto"/>
                <w:sz w:val="21"/>
                <w:szCs w:val="21"/>
              </w:rPr>
              <w:t>生态环境保护主管部门□；补充监测□；其他□</w:t>
            </w:r>
          </w:p>
        </w:tc>
      </w:tr>
      <w:tr w14:paraId="324335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34FC1B67">
            <w:pPr>
              <w:spacing w:line="240" w:lineRule="auto"/>
              <w:ind w:firstLine="0" w:firstLineChars="0"/>
              <w:rPr>
                <w:color w:val="auto"/>
                <w:sz w:val="21"/>
                <w:szCs w:val="21"/>
              </w:rPr>
            </w:pPr>
          </w:p>
        </w:tc>
        <w:tc>
          <w:tcPr>
            <w:tcW w:w="904" w:type="pct"/>
            <w:vAlign w:val="center"/>
          </w:tcPr>
          <w:p w14:paraId="46B41D21">
            <w:pPr>
              <w:spacing w:line="240" w:lineRule="auto"/>
              <w:ind w:firstLine="0" w:firstLineChars="0"/>
              <w:jc w:val="center"/>
              <w:rPr>
                <w:color w:val="auto"/>
                <w:sz w:val="21"/>
                <w:szCs w:val="21"/>
              </w:rPr>
            </w:pPr>
            <w:r>
              <w:rPr>
                <w:color w:val="auto"/>
                <w:sz w:val="21"/>
                <w:szCs w:val="21"/>
              </w:rPr>
              <w:t>区域水资源开发利用状况</w:t>
            </w:r>
          </w:p>
        </w:tc>
        <w:tc>
          <w:tcPr>
            <w:tcW w:w="3875" w:type="pct"/>
            <w:gridSpan w:val="11"/>
            <w:vAlign w:val="center"/>
          </w:tcPr>
          <w:p w14:paraId="06CE453F">
            <w:pPr>
              <w:spacing w:line="240" w:lineRule="auto"/>
              <w:ind w:firstLine="0" w:firstLineChars="0"/>
              <w:jc w:val="center"/>
              <w:rPr>
                <w:color w:val="auto"/>
                <w:sz w:val="21"/>
                <w:szCs w:val="21"/>
              </w:rPr>
            </w:pPr>
            <w:r>
              <w:rPr>
                <w:color w:val="auto"/>
                <w:sz w:val="21"/>
                <w:szCs w:val="21"/>
              </w:rPr>
              <w:t>未开发□；开发量40%以下□；开发量40%以上□</w:t>
            </w:r>
          </w:p>
        </w:tc>
      </w:tr>
      <w:tr w14:paraId="7C2D70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576BA211">
            <w:pPr>
              <w:spacing w:line="240" w:lineRule="auto"/>
              <w:ind w:firstLine="0" w:firstLineChars="0"/>
              <w:rPr>
                <w:color w:val="auto"/>
                <w:sz w:val="21"/>
                <w:szCs w:val="21"/>
              </w:rPr>
            </w:pPr>
          </w:p>
        </w:tc>
        <w:tc>
          <w:tcPr>
            <w:tcW w:w="904" w:type="pct"/>
            <w:vMerge w:val="restart"/>
            <w:vAlign w:val="center"/>
          </w:tcPr>
          <w:p w14:paraId="57355990">
            <w:pPr>
              <w:spacing w:line="240" w:lineRule="auto"/>
              <w:ind w:firstLine="0" w:firstLineChars="0"/>
              <w:jc w:val="center"/>
              <w:rPr>
                <w:color w:val="auto"/>
                <w:sz w:val="21"/>
                <w:szCs w:val="21"/>
              </w:rPr>
            </w:pPr>
            <w:r>
              <w:rPr>
                <w:color w:val="auto"/>
                <w:sz w:val="21"/>
                <w:szCs w:val="21"/>
              </w:rPr>
              <w:t>水文情势调查</w:t>
            </w:r>
          </w:p>
        </w:tc>
        <w:tc>
          <w:tcPr>
            <w:tcW w:w="2047" w:type="pct"/>
            <w:gridSpan w:val="5"/>
            <w:vAlign w:val="center"/>
          </w:tcPr>
          <w:p w14:paraId="34B9DF07">
            <w:pPr>
              <w:spacing w:line="240" w:lineRule="auto"/>
              <w:ind w:firstLine="0" w:firstLineChars="0"/>
              <w:jc w:val="center"/>
              <w:rPr>
                <w:color w:val="auto"/>
                <w:sz w:val="21"/>
                <w:szCs w:val="21"/>
              </w:rPr>
            </w:pPr>
            <w:r>
              <w:rPr>
                <w:color w:val="auto"/>
                <w:sz w:val="21"/>
                <w:szCs w:val="21"/>
              </w:rPr>
              <w:t>调查时期</w:t>
            </w:r>
          </w:p>
        </w:tc>
        <w:tc>
          <w:tcPr>
            <w:tcW w:w="1828" w:type="pct"/>
            <w:gridSpan w:val="6"/>
            <w:vAlign w:val="center"/>
          </w:tcPr>
          <w:p w14:paraId="59ADD0BB">
            <w:pPr>
              <w:spacing w:line="240" w:lineRule="auto"/>
              <w:ind w:firstLine="0" w:firstLineChars="0"/>
              <w:jc w:val="center"/>
              <w:rPr>
                <w:color w:val="auto"/>
                <w:sz w:val="21"/>
                <w:szCs w:val="21"/>
              </w:rPr>
            </w:pPr>
            <w:r>
              <w:rPr>
                <w:color w:val="auto"/>
                <w:sz w:val="21"/>
                <w:szCs w:val="21"/>
              </w:rPr>
              <w:t>数据来源</w:t>
            </w:r>
          </w:p>
        </w:tc>
      </w:tr>
      <w:tr w14:paraId="4F60A4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764E0ECA">
            <w:pPr>
              <w:spacing w:line="240" w:lineRule="auto"/>
              <w:ind w:firstLine="0" w:firstLineChars="0"/>
              <w:rPr>
                <w:color w:val="auto"/>
                <w:sz w:val="21"/>
                <w:szCs w:val="21"/>
              </w:rPr>
            </w:pPr>
          </w:p>
        </w:tc>
        <w:tc>
          <w:tcPr>
            <w:tcW w:w="904" w:type="pct"/>
            <w:vMerge w:val="continue"/>
            <w:vAlign w:val="center"/>
          </w:tcPr>
          <w:p w14:paraId="2B9A47CE">
            <w:pPr>
              <w:spacing w:line="240" w:lineRule="auto"/>
              <w:ind w:firstLine="0" w:firstLineChars="0"/>
              <w:rPr>
                <w:color w:val="auto"/>
                <w:sz w:val="21"/>
                <w:szCs w:val="21"/>
              </w:rPr>
            </w:pPr>
          </w:p>
        </w:tc>
        <w:tc>
          <w:tcPr>
            <w:tcW w:w="2047" w:type="pct"/>
            <w:gridSpan w:val="5"/>
            <w:vAlign w:val="center"/>
          </w:tcPr>
          <w:p w14:paraId="58C17D61">
            <w:pPr>
              <w:spacing w:line="240" w:lineRule="auto"/>
              <w:ind w:firstLine="0" w:firstLineChars="0"/>
              <w:jc w:val="center"/>
              <w:rPr>
                <w:color w:val="auto"/>
                <w:sz w:val="21"/>
                <w:szCs w:val="21"/>
              </w:rPr>
            </w:pPr>
            <w:r>
              <w:rPr>
                <w:color w:val="auto"/>
                <w:sz w:val="21"/>
                <w:szCs w:val="21"/>
              </w:rPr>
              <w:t>丰水期□；平水期□；枯水期□；冰封期□</w:t>
            </w:r>
          </w:p>
          <w:p w14:paraId="11F3E063">
            <w:pPr>
              <w:spacing w:line="240" w:lineRule="auto"/>
              <w:ind w:firstLine="0" w:firstLineChars="0"/>
              <w:jc w:val="center"/>
              <w:rPr>
                <w:color w:val="auto"/>
                <w:sz w:val="21"/>
                <w:szCs w:val="21"/>
              </w:rPr>
            </w:pPr>
            <w:r>
              <w:rPr>
                <w:color w:val="auto"/>
                <w:sz w:val="21"/>
                <w:szCs w:val="21"/>
              </w:rPr>
              <w:t>春季□；夏季□；秋季□；冬季□</w:t>
            </w:r>
          </w:p>
        </w:tc>
        <w:tc>
          <w:tcPr>
            <w:tcW w:w="1828" w:type="pct"/>
            <w:gridSpan w:val="6"/>
            <w:vAlign w:val="center"/>
          </w:tcPr>
          <w:p w14:paraId="53F3E9E4">
            <w:pPr>
              <w:spacing w:line="240" w:lineRule="auto"/>
              <w:ind w:firstLine="0" w:firstLineChars="0"/>
              <w:jc w:val="center"/>
              <w:rPr>
                <w:color w:val="auto"/>
                <w:sz w:val="21"/>
                <w:szCs w:val="21"/>
              </w:rPr>
            </w:pPr>
            <w:r>
              <w:rPr>
                <w:color w:val="auto"/>
                <w:sz w:val="21"/>
                <w:szCs w:val="21"/>
              </w:rPr>
              <w:t>水行政主管部门□；补充监测□；其他□</w:t>
            </w:r>
          </w:p>
        </w:tc>
      </w:tr>
      <w:tr w14:paraId="15DA40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49A4BEF1">
            <w:pPr>
              <w:spacing w:line="240" w:lineRule="auto"/>
              <w:ind w:firstLine="0" w:firstLineChars="0"/>
              <w:rPr>
                <w:color w:val="auto"/>
                <w:sz w:val="21"/>
                <w:szCs w:val="21"/>
              </w:rPr>
            </w:pPr>
          </w:p>
        </w:tc>
        <w:tc>
          <w:tcPr>
            <w:tcW w:w="904" w:type="pct"/>
            <w:vMerge w:val="restart"/>
            <w:vAlign w:val="center"/>
          </w:tcPr>
          <w:p w14:paraId="503DF406">
            <w:pPr>
              <w:spacing w:line="240" w:lineRule="auto"/>
              <w:ind w:firstLine="0" w:firstLineChars="0"/>
              <w:jc w:val="center"/>
              <w:rPr>
                <w:color w:val="auto"/>
                <w:sz w:val="21"/>
                <w:szCs w:val="21"/>
              </w:rPr>
            </w:pPr>
            <w:r>
              <w:rPr>
                <w:color w:val="auto"/>
                <w:sz w:val="21"/>
                <w:szCs w:val="21"/>
              </w:rPr>
              <w:t>补充监测</w:t>
            </w:r>
          </w:p>
        </w:tc>
        <w:tc>
          <w:tcPr>
            <w:tcW w:w="1773" w:type="pct"/>
            <w:gridSpan w:val="4"/>
            <w:vAlign w:val="center"/>
          </w:tcPr>
          <w:p w14:paraId="73C7672A">
            <w:pPr>
              <w:spacing w:line="240" w:lineRule="auto"/>
              <w:ind w:firstLine="0" w:firstLineChars="0"/>
              <w:jc w:val="center"/>
              <w:rPr>
                <w:color w:val="auto"/>
                <w:sz w:val="21"/>
                <w:szCs w:val="21"/>
              </w:rPr>
            </w:pPr>
            <w:r>
              <w:rPr>
                <w:color w:val="auto"/>
                <w:sz w:val="21"/>
                <w:szCs w:val="21"/>
              </w:rPr>
              <w:t>监测时期</w:t>
            </w:r>
          </w:p>
        </w:tc>
        <w:tc>
          <w:tcPr>
            <w:tcW w:w="1160" w:type="pct"/>
            <w:gridSpan w:val="3"/>
            <w:vAlign w:val="center"/>
          </w:tcPr>
          <w:p w14:paraId="43CDA00F">
            <w:pPr>
              <w:spacing w:line="240" w:lineRule="auto"/>
              <w:ind w:firstLine="0" w:firstLineChars="0"/>
              <w:jc w:val="center"/>
              <w:rPr>
                <w:color w:val="auto"/>
                <w:sz w:val="21"/>
                <w:szCs w:val="21"/>
              </w:rPr>
            </w:pPr>
            <w:r>
              <w:rPr>
                <w:color w:val="auto"/>
                <w:sz w:val="21"/>
                <w:szCs w:val="21"/>
              </w:rPr>
              <w:t>监测因子</w:t>
            </w:r>
          </w:p>
        </w:tc>
        <w:tc>
          <w:tcPr>
            <w:tcW w:w="942" w:type="pct"/>
            <w:gridSpan w:val="4"/>
            <w:vAlign w:val="center"/>
          </w:tcPr>
          <w:p w14:paraId="42822535">
            <w:pPr>
              <w:spacing w:line="240" w:lineRule="auto"/>
              <w:ind w:firstLine="0" w:firstLineChars="0"/>
              <w:jc w:val="center"/>
              <w:rPr>
                <w:color w:val="auto"/>
                <w:sz w:val="21"/>
                <w:szCs w:val="21"/>
              </w:rPr>
            </w:pPr>
            <w:r>
              <w:rPr>
                <w:color w:val="auto"/>
                <w:sz w:val="21"/>
                <w:szCs w:val="21"/>
              </w:rPr>
              <w:t>监测断面或点位</w:t>
            </w:r>
          </w:p>
        </w:tc>
      </w:tr>
      <w:tr w14:paraId="01C0B5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70DE4F46">
            <w:pPr>
              <w:spacing w:line="240" w:lineRule="auto"/>
              <w:ind w:firstLine="0" w:firstLineChars="0"/>
              <w:rPr>
                <w:color w:val="auto"/>
                <w:sz w:val="21"/>
                <w:szCs w:val="21"/>
              </w:rPr>
            </w:pPr>
          </w:p>
        </w:tc>
        <w:tc>
          <w:tcPr>
            <w:tcW w:w="904" w:type="pct"/>
            <w:vMerge w:val="continue"/>
            <w:vAlign w:val="center"/>
          </w:tcPr>
          <w:p w14:paraId="1B9433B5">
            <w:pPr>
              <w:spacing w:line="240" w:lineRule="auto"/>
              <w:ind w:firstLine="0" w:firstLineChars="0"/>
              <w:rPr>
                <w:color w:val="auto"/>
                <w:sz w:val="21"/>
                <w:szCs w:val="21"/>
              </w:rPr>
            </w:pPr>
          </w:p>
        </w:tc>
        <w:tc>
          <w:tcPr>
            <w:tcW w:w="1773" w:type="pct"/>
            <w:gridSpan w:val="4"/>
            <w:vAlign w:val="center"/>
          </w:tcPr>
          <w:p w14:paraId="1F906339">
            <w:pPr>
              <w:spacing w:line="240" w:lineRule="auto"/>
              <w:ind w:firstLine="0" w:firstLineChars="0"/>
              <w:jc w:val="center"/>
              <w:rPr>
                <w:color w:val="auto"/>
                <w:sz w:val="21"/>
                <w:szCs w:val="21"/>
              </w:rPr>
            </w:pPr>
            <w:r>
              <w:rPr>
                <w:color w:val="auto"/>
                <w:sz w:val="21"/>
                <w:szCs w:val="21"/>
              </w:rPr>
              <w:t>丰水期□；平水期□；枯水期□；冰封期□</w:t>
            </w:r>
          </w:p>
          <w:p w14:paraId="013B4B97">
            <w:pPr>
              <w:spacing w:line="240" w:lineRule="auto"/>
              <w:ind w:firstLine="0" w:firstLineChars="0"/>
              <w:jc w:val="center"/>
              <w:rPr>
                <w:color w:val="auto"/>
                <w:sz w:val="21"/>
                <w:szCs w:val="21"/>
              </w:rPr>
            </w:pPr>
            <w:r>
              <w:rPr>
                <w:color w:val="auto"/>
                <w:sz w:val="21"/>
                <w:szCs w:val="21"/>
              </w:rPr>
              <w:t>春季□；夏季□；秋季□；冬季□</w:t>
            </w:r>
          </w:p>
        </w:tc>
        <w:tc>
          <w:tcPr>
            <w:tcW w:w="1160" w:type="pct"/>
            <w:gridSpan w:val="3"/>
            <w:vAlign w:val="center"/>
          </w:tcPr>
          <w:p w14:paraId="5ACF9714">
            <w:pPr>
              <w:spacing w:line="240" w:lineRule="auto"/>
              <w:ind w:firstLine="0" w:firstLineChars="0"/>
              <w:jc w:val="center"/>
              <w:rPr>
                <w:color w:val="auto"/>
                <w:sz w:val="21"/>
                <w:szCs w:val="21"/>
              </w:rPr>
            </w:pPr>
            <w:r>
              <w:rPr>
                <w:color w:val="auto"/>
                <w:sz w:val="21"/>
                <w:szCs w:val="21"/>
              </w:rPr>
              <w:t>（/）</w:t>
            </w:r>
          </w:p>
        </w:tc>
        <w:tc>
          <w:tcPr>
            <w:tcW w:w="942" w:type="pct"/>
            <w:gridSpan w:val="4"/>
            <w:vAlign w:val="center"/>
          </w:tcPr>
          <w:p w14:paraId="68E3AF15">
            <w:pPr>
              <w:spacing w:line="240" w:lineRule="auto"/>
              <w:ind w:firstLine="0" w:firstLineChars="0"/>
              <w:jc w:val="center"/>
              <w:rPr>
                <w:color w:val="auto"/>
                <w:sz w:val="21"/>
                <w:szCs w:val="21"/>
              </w:rPr>
            </w:pPr>
            <w:r>
              <w:rPr>
                <w:color w:val="auto"/>
                <w:sz w:val="21"/>
                <w:szCs w:val="21"/>
              </w:rPr>
              <w:t>监测断面或点位个数（/）个</w:t>
            </w:r>
          </w:p>
        </w:tc>
      </w:tr>
      <w:tr w14:paraId="7C9733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restart"/>
            <w:vAlign w:val="center"/>
          </w:tcPr>
          <w:p w14:paraId="5903FA9C">
            <w:pPr>
              <w:spacing w:line="240" w:lineRule="auto"/>
              <w:ind w:firstLine="0" w:firstLineChars="0"/>
              <w:jc w:val="center"/>
              <w:rPr>
                <w:color w:val="auto"/>
                <w:sz w:val="21"/>
                <w:szCs w:val="21"/>
              </w:rPr>
            </w:pPr>
            <w:r>
              <w:rPr>
                <w:color w:val="auto"/>
                <w:sz w:val="21"/>
                <w:szCs w:val="21"/>
              </w:rPr>
              <w:t>现状评价</w:t>
            </w:r>
          </w:p>
        </w:tc>
        <w:tc>
          <w:tcPr>
            <w:tcW w:w="904" w:type="pct"/>
            <w:vAlign w:val="center"/>
          </w:tcPr>
          <w:p w14:paraId="08B223D2">
            <w:pPr>
              <w:spacing w:line="240" w:lineRule="auto"/>
              <w:ind w:firstLine="0" w:firstLineChars="0"/>
              <w:jc w:val="center"/>
              <w:rPr>
                <w:color w:val="auto"/>
                <w:sz w:val="21"/>
                <w:szCs w:val="21"/>
              </w:rPr>
            </w:pPr>
            <w:r>
              <w:rPr>
                <w:color w:val="auto"/>
                <w:sz w:val="21"/>
                <w:szCs w:val="21"/>
              </w:rPr>
              <w:t>评价范围</w:t>
            </w:r>
          </w:p>
        </w:tc>
        <w:tc>
          <w:tcPr>
            <w:tcW w:w="3875" w:type="pct"/>
            <w:gridSpan w:val="11"/>
            <w:vAlign w:val="center"/>
          </w:tcPr>
          <w:p w14:paraId="3514DE0C">
            <w:pPr>
              <w:spacing w:line="240" w:lineRule="auto"/>
              <w:ind w:firstLine="0" w:firstLineChars="0"/>
              <w:jc w:val="center"/>
              <w:rPr>
                <w:color w:val="auto"/>
                <w:sz w:val="21"/>
                <w:szCs w:val="21"/>
              </w:rPr>
            </w:pPr>
            <w:r>
              <w:rPr>
                <w:color w:val="auto"/>
                <w:sz w:val="21"/>
                <w:szCs w:val="21"/>
              </w:rPr>
              <w:t>河流：长度（/）km；湖库、河口及近岸海域：面积（/）km</w:t>
            </w:r>
            <w:r>
              <w:rPr>
                <w:color w:val="auto"/>
                <w:sz w:val="21"/>
                <w:szCs w:val="21"/>
                <w:vertAlign w:val="superscript"/>
              </w:rPr>
              <w:t>2</w:t>
            </w:r>
          </w:p>
        </w:tc>
      </w:tr>
      <w:tr w14:paraId="48D431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4F8D3DA7">
            <w:pPr>
              <w:spacing w:line="240" w:lineRule="auto"/>
              <w:ind w:firstLine="0" w:firstLineChars="0"/>
              <w:rPr>
                <w:color w:val="auto"/>
                <w:sz w:val="21"/>
                <w:szCs w:val="21"/>
              </w:rPr>
            </w:pPr>
          </w:p>
        </w:tc>
        <w:tc>
          <w:tcPr>
            <w:tcW w:w="904" w:type="pct"/>
            <w:vAlign w:val="center"/>
          </w:tcPr>
          <w:p w14:paraId="78830CCD">
            <w:pPr>
              <w:spacing w:line="240" w:lineRule="auto"/>
              <w:ind w:firstLine="0" w:firstLineChars="0"/>
              <w:jc w:val="center"/>
              <w:rPr>
                <w:color w:val="auto"/>
                <w:sz w:val="21"/>
                <w:szCs w:val="21"/>
              </w:rPr>
            </w:pPr>
            <w:r>
              <w:rPr>
                <w:color w:val="auto"/>
                <w:sz w:val="21"/>
                <w:szCs w:val="21"/>
              </w:rPr>
              <w:t>评价因子</w:t>
            </w:r>
          </w:p>
        </w:tc>
        <w:tc>
          <w:tcPr>
            <w:tcW w:w="3875" w:type="pct"/>
            <w:gridSpan w:val="11"/>
            <w:vAlign w:val="center"/>
          </w:tcPr>
          <w:p w14:paraId="568F0C35">
            <w:pPr>
              <w:spacing w:line="240" w:lineRule="auto"/>
              <w:ind w:firstLine="0" w:firstLineChars="0"/>
              <w:jc w:val="center"/>
              <w:rPr>
                <w:color w:val="auto"/>
                <w:sz w:val="21"/>
                <w:szCs w:val="21"/>
              </w:rPr>
            </w:pPr>
            <w:r>
              <w:rPr>
                <w:color w:val="auto"/>
                <w:sz w:val="21"/>
                <w:szCs w:val="21"/>
              </w:rPr>
              <w:t>（水温、pH、COD、</w:t>
            </w:r>
            <w:r>
              <w:rPr>
                <w:rFonts w:hint="eastAsia"/>
                <w:color w:val="auto"/>
                <w:sz w:val="21"/>
                <w:szCs w:val="21"/>
              </w:rPr>
              <w:t>BOD</w:t>
            </w:r>
            <w:r>
              <w:rPr>
                <w:rFonts w:hint="eastAsia"/>
                <w:color w:val="auto"/>
                <w:sz w:val="21"/>
                <w:szCs w:val="21"/>
                <w:vertAlign w:val="subscript"/>
              </w:rPr>
              <w:t>5</w:t>
            </w:r>
            <w:r>
              <w:rPr>
                <w:color w:val="auto"/>
                <w:sz w:val="21"/>
                <w:szCs w:val="21"/>
              </w:rPr>
              <w:t>、氨氮、石油类、总磷）</w:t>
            </w:r>
          </w:p>
        </w:tc>
      </w:tr>
      <w:tr w14:paraId="7ACC6E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0F7383CE">
            <w:pPr>
              <w:spacing w:line="240" w:lineRule="auto"/>
              <w:ind w:firstLine="0" w:firstLineChars="0"/>
              <w:rPr>
                <w:color w:val="auto"/>
                <w:sz w:val="21"/>
                <w:szCs w:val="21"/>
              </w:rPr>
            </w:pPr>
          </w:p>
        </w:tc>
        <w:tc>
          <w:tcPr>
            <w:tcW w:w="904" w:type="pct"/>
            <w:vAlign w:val="center"/>
          </w:tcPr>
          <w:p w14:paraId="5D9437D9">
            <w:pPr>
              <w:spacing w:line="240" w:lineRule="auto"/>
              <w:ind w:firstLine="0" w:firstLineChars="0"/>
              <w:jc w:val="center"/>
              <w:rPr>
                <w:color w:val="auto"/>
                <w:sz w:val="21"/>
                <w:szCs w:val="21"/>
              </w:rPr>
            </w:pPr>
            <w:r>
              <w:rPr>
                <w:color w:val="auto"/>
                <w:sz w:val="21"/>
                <w:szCs w:val="21"/>
              </w:rPr>
              <w:t>评价标准</w:t>
            </w:r>
          </w:p>
        </w:tc>
        <w:tc>
          <w:tcPr>
            <w:tcW w:w="3875" w:type="pct"/>
            <w:gridSpan w:val="11"/>
            <w:vAlign w:val="center"/>
          </w:tcPr>
          <w:p w14:paraId="1A2F5AA6">
            <w:pPr>
              <w:spacing w:line="240" w:lineRule="auto"/>
              <w:ind w:firstLine="0" w:firstLineChars="0"/>
              <w:rPr>
                <w:color w:val="auto"/>
                <w:sz w:val="21"/>
                <w:szCs w:val="21"/>
              </w:rPr>
            </w:pPr>
            <w:r>
              <w:rPr>
                <w:color w:val="auto"/>
                <w:sz w:val="21"/>
                <w:szCs w:val="21"/>
                <w:lang w:bidi="ar"/>
              </w:rPr>
              <w:t>河流、湖库、河口：Ⅰ类</w:t>
            </w:r>
            <w:r>
              <w:rPr>
                <w:color w:val="auto"/>
                <w:sz w:val="21"/>
                <w:szCs w:val="21"/>
              </w:rPr>
              <w:t>□</w:t>
            </w:r>
            <w:r>
              <w:rPr>
                <w:color w:val="auto"/>
                <w:sz w:val="21"/>
                <w:szCs w:val="21"/>
                <w:lang w:bidi="ar"/>
              </w:rPr>
              <w:t>；Ⅱ类</w:t>
            </w:r>
            <w:r>
              <w:rPr>
                <w:color w:val="auto"/>
                <w:sz w:val="21"/>
                <w:szCs w:val="21"/>
              </w:rPr>
              <w:t>□</w:t>
            </w:r>
            <w:r>
              <w:rPr>
                <w:color w:val="auto"/>
                <w:sz w:val="21"/>
                <w:szCs w:val="21"/>
                <w:lang w:bidi="ar"/>
              </w:rPr>
              <w:t>；Ⅲ类</w:t>
            </w:r>
            <w:r>
              <w:rPr>
                <w:color w:val="auto"/>
                <w:sz w:val="21"/>
                <w:szCs w:val="21"/>
              </w:rPr>
              <w:t>√</w:t>
            </w:r>
            <w:r>
              <w:rPr>
                <w:color w:val="auto"/>
                <w:sz w:val="21"/>
                <w:szCs w:val="21"/>
                <w:lang w:bidi="ar"/>
              </w:rPr>
              <w:t>；Ⅳ类</w:t>
            </w:r>
            <w:r>
              <w:rPr>
                <w:color w:val="auto"/>
                <w:sz w:val="21"/>
                <w:szCs w:val="21"/>
              </w:rPr>
              <w:t>□</w:t>
            </w:r>
            <w:r>
              <w:rPr>
                <w:color w:val="auto"/>
                <w:sz w:val="21"/>
                <w:szCs w:val="21"/>
                <w:lang w:bidi="ar"/>
              </w:rPr>
              <w:t>；Ⅴ类</w:t>
            </w:r>
            <w:r>
              <w:rPr>
                <w:color w:val="auto"/>
                <w:sz w:val="21"/>
                <w:szCs w:val="21"/>
              </w:rPr>
              <w:t>□</w:t>
            </w:r>
          </w:p>
          <w:p w14:paraId="25B54B7A">
            <w:pPr>
              <w:spacing w:line="240" w:lineRule="auto"/>
              <w:ind w:firstLine="0" w:firstLineChars="0"/>
              <w:rPr>
                <w:color w:val="auto"/>
                <w:sz w:val="21"/>
                <w:szCs w:val="21"/>
              </w:rPr>
            </w:pPr>
            <w:r>
              <w:rPr>
                <w:color w:val="auto"/>
                <w:sz w:val="21"/>
                <w:szCs w:val="21"/>
                <w:lang w:bidi="ar"/>
              </w:rPr>
              <w:t>近岸海域：第一类</w:t>
            </w:r>
            <w:r>
              <w:rPr>
                <w:color w:val="auto"/>
                <w:sz w:val="21"/>
                <w:szCs w:val="21"/>
              </w:rPr>
              <w:t>□</w:t>
            </w:r>
            <w:r>
              <w:rPr>
                <w:color w:val="auto"/>
                <w:sz w:val="21"/>
                <w:szCs w:val="21"/>
                <w:lang w:bidi="ar"/>
              </w:rPr>
              <w:t>；第二类</w:t>
            </w:r>
            <w:r>
              <w:rPr>
                <w:color w:val="auto"/>
                <w:sz w:val="21"/>
                <w:szCs w:val="21"/>
              </w:rPr>
              <w:t>□</w:t>
            </w:r>
            <w:r>
              <w:rPr>
                <w:color w:val="auto"/>
                <w:sz w:val="21"/>
                <w:szCs w:val="21"/>
                <w:lang w:bidi="ar"/>
              </w:rPr>
              <w:t>；第三类</w:t>
            </w:r>
            <w:r>
              <w:rPr>
                <w:color w:val="auto"/>
                <w:sz w:val="21"/>
                <w:szCs w:val="21"/>
              </w:rPr>
              <w:t>□</w:t>
            </w:r>
            <w:r>
              <w:rPr>
                <w:color w:val="auto"/>
                <w:sz w:val="21"/>
                <w:szCs w:val="21"/>
                <w:lang w:bidi="ar"/>
              </w:rPr>
              <w:t>；第四类</w:t>
            </w:r>
            <w:r>
              <w:rPr>
                <w:color w:val="auto"/>
                <w:sz w:val="21"/>
                <w:szCs w:val="21"/>
              </w:rPr>
              <w:t>□</w:t>
            </w:r>
          </w:p>
          <w:p w14:paraId="371D5180">
            <w:pPr>
              <w:spacing w:line="240" w:lineRule="auto"/>
              <w:ind w:firstLine="0" w:firstLineChars="0"/>
              <w:rPr>
                <w:color w:val="auto"/>
                <w:sz w:val="21"/>
                <w:szCs w:val="21"/>
              </w:rPr>
            </w:pPr>
            <w:r>
              <w:rPr>
                <w:color w:val="auto"/>
                <w:sz w:val="21"/>
                <w:szCs w:val="21"/>
              </w:rPr>
              <w:t>规划年评价标准（/）</w:t>
            </w:r>
          </w:p>
        </w:tc>
      </w:tr>
      <w:tr w14:paraId="16FEF4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0FBBA7EB">
            <w:pPr>
              <w:spacing w:line="240" w:lineRule="auto"/>
              <w:ind w:firstLine="0" w:firstLineChars="0"/>
              <w:rPr>
                <w:color w:val="auto"/>
                <w:sz w:val="21"/>
                <w:szCs w:val="21"/>
              </w:rPr>
            </w:pPr>
          </w:p>
        </w:tc>
        <w:tc>
          <w:tcPr>
            <w:tcW w:w="904" w:type="pct"/>
            <w:vAlign w:val="center"/>
          </w:tcPr>
          <w:p w14:paraId="2D25AF06">
            <w:pPr>
              <w:spacing w:line="240" w:lineRule="auto"/>
              <w:ind w:firstLine="0" w:firstLineChars="0"/>
              <w:jc w:val="center"/>
              <w:rPr>
                <w:color w:val="auto"/>
                <w:sz w:val="21"/>
                <w:szCs w:val="21"/>
              </w:rPr>
            </w:pPr>
            <w:r>
              <w:rPr>
                <w:color w:val="auto"/>
                <w:sz w:val="21"/>
                <w:szCs w:val="21"/>
              </w:rPr>
              <w:t>评价时期</w:t>
            </w:r>
          </w:p>
        </w:tc>
        <w:tc>
          <w:tcPr>
            <w:tcW w:w="3875" w:type="pct"/>
            <w:gridSpan w:val="11"/>
            <w:vAlign w:val="center"/>
          </w:tcPr>
          <w:p w14:paraId="19B84C0E">
            <w:pPr>
              <w:spacing w:line="240" w:lineRule="auto"/>
              <w:ind w:firstLine="0" w:firstLineChars="0"/>
              <w:rPr>
                <w:color w:val="auto"/>
                <w:sz w:val="21"/>
                <w:szCs w:val="21"/>
              </w:rPr>
            </w:pPr>
            <w:r>
              <w:rPr>
                <w:color w:val="auto"/>
                <w:sz w:val="21"/>
                <w:szCs w:val="21"/>
                <w:lang w:bidi="ar"/>
              </w:rPr>
              <w:t>丰水期</w:t>
            </w:r>
            <w:r>
              <w:rPr>
                <w:color w:val="auto"/>
                <w:sz w:val="21"/>
                <w:szCs w:val="21"/>
              </w:rPr>
              <w:t>□</w:t>
            </w:r>
            <w:r>
              <w:rPr>
                <w:color w:val="auto"/>
                <w:sz w:val="21"/>
                <w:szCs w:val="21"/>
                <w:lang w:bidi="ar"/>
              </w:rPr>
              <w:t>；平水期</w:t>
            </w:r>
            <w:r>
              <w:rPr>
                <w:color w:val="auto"/>
                <w:sz w:val="21"/>
                <w:szCs w:val="21"/>
              </w:rPr>
              <w:t>□</w:t>
            </w:r>
            <w:r>
              <w:rPr>
                <w:color w:val="auto"/>
                <w:sz w:val="21"/>
                <w:szCs w:val="21"/>
                <w:lang w:bidi="ar"/>
              </w:rPr>
              <w:t>；枯水期</w:t>
            </w:r>
            <w:r>
              <w:rPr>
                <w:color w:val="auto"/>
                <w:sz w:val="21"/>
                <w:szCs w:val="21"/>
              </w:rPr>
              <w:t>□</w:t>
            </w:r>
            <w:r>
              <w:rPr>
                <w:color w:val="auto"/>
                <w:sz w:val="21"/>
                <w:szCs w:val="21"/>
                <w:lang w:bidi="ar"/>
              </w:rPr>
              <w:t>；冰封期</w:t>
            </w:r>
            <w:r>
              <w:rPr>
                <w:color w:val="auto"/>
                <w:sz w:val="21"/>
                <w:szCs w:val="21"/>
              </w:rPr>
              <w:t>□</w:t>
            </w:r>
          </w:p>
          <w:p w14:paraId="4E4A6484">
            <w:pPr>
              <w:spacing w:line="240" w:lineRule="auto"/>
              <w:ind w:firstLine="0" w:firstLineChars="0"/>
              <w:rPr>
                <w:color w:val="auto"/>
                <w:sz w:val="21"/>
                <w:szCs w:val="21"/>
              </w:rPr>
            </w:pPr>
            <w:r>
              <w:rPr>
                <w:color w:val="auto"/>
                <w:sz w:val="21"/>
                <w:szCs w:val="21"/>
              </w:rPr>
              <w:t>春季□；夏季□；秋季□；冬季□</w:t>
            </w:r>
          </w:p>
        </w:tc>
      </w:tr>
      <w:tr w14:paraId="5B54F4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4E089FD7">
            <w:pPr>
              <w:spacing w:line="240" w:lineRule="auto"/>
              <w:ind w:firstLine="0" w:firstLineChars="0"/>
              <w:rPr>
                <w:color w:val="auto"/>
                <w:sz w:val="21"/>
                <w:szCs w:val="21"/>
              </w:rPr>
            </w:pPr>
          </w:p>
        </w:tc>
        <w:tc>
          <w:tcPr>
            <w:tcW w:w="904" w:type="pct"/>
            <w:vAlign w:val="center"/>
          </w:tcPr>
          <w:p w14:paraId="3BE8DB77">
            <w:pPr>
              <w:spacing w:line="240" w:lineRule="auto"/>
              <w:ind w:firstLine="0" w:firstLineChars="0"/>
              <w:jc w:val="center"/>
              <w:rPr>
                <w:color w:val="auto"/>
                <w:sz w:val="21"/>
                <w:szCs w:val="21"/>
              </w:rPr>
            </w:pPr>
            <w:r>
              <w:rPr>
                <w:color w:val="auto"/>
                <w:sz w:val="21"/>
                <w:szCs w:val="21"/>
              </w:rPr>
              <w:t>评价结论</w:t>
            </w:r>
          </w:p>
        </w:tc>
        <w:tc>
          <w:tcPr>
            <w:tcW w:w="3336" w:type="pct"/>
            <w:gridSpan w:val="10"/>
            <w:vAlign w:val="center"/>
          </w:tcPr>
          <w:p w14:paraId="6F382E55">
            <w:pPr>
              <w:spacing w:line="240" w:lineRule="auto"/>
              <w:ind w:firstLine="0" w:firstLineChars="0"/>
              <w:rPr>
                <w:color w:val="auto"/>
                <w:sz w:val="21"/>
                <w:szCs w:val="21"/>
              </w:rPr>
            </w:pPr>
            <w:r>
              <w:rPr>
                <w:color w:val="auto"/>
                <w:sz w:val="21"/>
                <w:szCs w:val="21"/>
                <w:lang w:bidi="ar"/>
              </w:rPr>
              <w:t>水环境功能区或水功能区、近岸海域环境功能区水质达标状况：达标</w:t>
            </w:r>
            <w:r>
              <w:rPr>
                <w:color w:val="auto"/>
                <w:sz w:val="21"/>
                <w:szCs w:val="21"/>
              </w:rPr>
              <w:t>√</w:t>
            </w:r>
            <w:r>
              <w:rPr>
                <w:color w:val="auto"/>
                <w:sz w:val="21"/>
                <w:szCs w:val="21"/>
                <w:lang w:bidi="ar"/>
              </w:rPr>
              <w:t>；不达标</w:t>
            </w:r>
            <w:r>
              <w:rPr>
                <w:color w:val="auto"/>
                <w:sz w:val="21"/>
                <w:szCs w:val="21"/>
              </w:rPr>
              <w:t>□</w:t>
            </w:r>
          </w:p>
          <w:p w14:paraId="5956655E">
            <w:pPr>
              <w:spacing w:line="240" w:lineRule="auto"/>
              <w:ind w:firstLine="0" w:firstLineChars="0"/>
              <w:rPr>
                <w:color w:val="auto"/>
                <w:sz w:val="21"/>
                <w:szCs w:val="21"/>
              </w:rPr>
            </w:pPr>
            <w:r>
              <w:rPr>
                <w:color w:val="auto"/>
                <w:sz w:val="21"/>
                <w:szCs w:val="21"/>
                <w:lang w:bidi="ar"/>
              </w:rPr>
              <w:t>水环境控制单元或断面水质达标状况：达标</w:t>
            </w:r>
            <w:r>
              <w:rPr>
                <w:color w:val="auto"/>
                <w:sz w:val="21"/>
                <w:szCs w:val="21"/>
              </w:rPr>
              <w:t>□</w:t>
            </w:r>
            <w:r>
              <w:rPr>
                <w:color w:val="auto"/>
                <w:sz w:val="21"/>
                <w:szCs w:val="21"/>
                <w:lang w:bidi="ar"/>
              </w:rPr>
              <w:t>；不达标</w:t>
            </w:r>
            <w:r>
              <w:rPr>
                <w:color w:val="auto"/>
                <w:sz w:val="21"/>
                <w:szCs w:val="21"/>
              </w:rPr>
              <w:t>□</w:t>
            </w:r>
          </w:p>
          <w:p w14:paraId="627BB5F7">
            <w:pPr>
              <w:spacing w:line="240" w:lineRule="auto"/>
              <w:ind w:firstLine="0" w:firstLineChars="0"/>
              <w:rPr>
                <w:color w:val="auto"/>
                <w:sz w:val="21"/>
                <w:szCs w:val="21"/>
              </w:rPr>
            </w:pPr>
            <w:r>
              <w:rPr>
                <w:color w:val="auto"/>
                <w:sz w:val="21"/>
                <w:szCs w:val="21"/>
                <w:lang w:bidi="ar"/>
              </w:rPr>
              <w:t>水环境保护目标质量状况：达标</w:t>
            </w:r>
            <w:r>
              <w:rPr>
                <w:color w:val="auto"/>
                <w:sz w:val="21"/>
                <w:szCs w:val="21"/>
              </w:rPr>
              <w:t>□</w:t>
            </w:r>
            <w:r>
              <w:rPr>
                <w:color w:val="auto"/>
                <w:sz w:val="21"/>
                <w:szCs w:val="21"/>
                <w:lang w:bidi="ar"/>
              </w:rPr>
              <w:t>；不达标</w:t>
            </w:r>
            <w:r>
              <w:rPr>
                <w:color w:val="auto"/>
                <w:sz w:val="21"/>
                <w:szCs w:val="21"/>
              </w:rPr>
              <w:t>□</w:t>
            </w:r>
          </w:p>
          <w:p w14:paraId="3F00B75F">
            <w:pPr>
              <w:spacing w:line="240" w:lineRule="auto"/>
              <w:ind w:firstLine="0" w:firstLineChars="0"/>
              <w:rPr>
                <w:color w:val="auto"/>
                <w:sz w:val="21"/>
                <w:szCs w:val="21"/>
              </w:rPr>
            </w:pPr>
            <w:r>
              <w:rPr>
                <w:color w:val="auto"/>
                <w:sz w:val="21"/>
                <w:szCs w:val="21"/>
                <w:lang w:bidi="ar"/>
              </w:rPr>
              <w:t>对照断面、控制断面等代表性断面的水质状况：达标□；不达标</w:t>
            </w:r>
            <w:r>
              <w:rPr>
                <w:color w:val="auto"/>
                <w:sz w:val="21"/>
                <w:szCs w:val="21"/>
              </w:rPr>
              <w:t>□</w:t>
            </w:r>
          </w:p>
          <w:p w14:paraId="19878DE8">
            <w:pPr>
              <w:spacing w:line="240" w:lineRule="auto"/>
              <w:ind w:firstLine="0" w:firstLineChars="0"/>
              <w:rPr>
                <w:color w:val="auto"/>
                <w:sz w:val="21"/>
                <w:szCs w:val="21"/>
              </w:rPr>
            </w:pPr>
            <w:r>
              <w:rPr>
                <w:color w:val="auto"/>
                <w:sz w:val="21"/>
                <w:szCs w:val="21"/>
                <w:lang w:bidi="ar"/>
              </w:rPr>
              <w:t>底泥污染评价</w:t>
            </w:r>
            <w:r>
              <w:rPr>
                <w:color w:val="auto"/>
                <w:sz w:val="21"/>
                <w:szCs w:val="21"/>
              </w:rPr>
              <w:t>□</w:t>
            </w:r>
          </w:p>
          <w:p w14:paraId="005BC152">
            <w:pPr>
              <w:spacing w:line="240" w:lineRule="auto"/>
              <w:ind w:firstLine="0" w:firstLineChars="0"/>
              <w:rPr>
                <w:color w:val="auto"/>
                <w:sz w:val="21"/>
                <w:szCs w:val="21"/>
              </w:rPr>
            </w:pPr>
            <w:r>
              <w:rPr>
                <w:color w:val="auto"/>
                <w:sz w:val="21"/>
                <w:szCs w:val="21"/>
                <w:lang w:bidi="ar"/>
              </w:rPr>
              <w:t>水资源与开发利用程度及其水文情势评价</w:t>
            </w:r>
            <w:r>
              <w:rPr>
                <w:color w:val="auto"/>
                <w:sz w:val="21"/>
                <w:szCs w:val="21"/>
              </w:rPr>
              <w:t>□</w:t>
            </w:r>
          </w:p>
          <w:p w14:paraId="5B141791">
            <w:pPr>
              <w:spacing w:line="240" w:lineRule="auto"/>
              <w:ind w:firstLine="0" w:firstLineChars="0"/>
              <w:rPr>
                <w:color w:val="auto"/>
                <w:sz w:val="21"/>
                <w:szCs w:val="21"/>
              </w:rPr>
            </w:pPr>
            <w:r>
              <w:rPr>
                <w:color w:val="auto"/>
                <w:sz w:val="21"/>
                <w:szCs w:val="21"/>
                <w:lang w:bidi="ar"/>
              </w:rPr>
              <w:t>水环境质量回顾评价</w:t>
            </w:r>
            <w:r>
              <w:rPr>
                <w:color w:val="auto"/>
                <w:sz w:val="21"/>
                <w:szCs w:val="21"/>
              </w:rPr>
              <w:t>□</w:t>
            </w:r>
          </w:p>
          <w:p w14:paraId="2CD8F909">
            <w:pPr>
              <w:spacing w:line="240" w:lineRule="auto"/>
              <w:ind w:firstLine="0" w:firstLineChars="0"/>
              <w:rPr>
                <w:color w:val="auto"/>
                <w:sz w:val="21"/>
                <w:szCs w:val="21"/>
              </w:rPr>
            </w:pPr>
            <w:r>
              <w:rPr>
                <w:color w:val="auto"/>
                <w:sz w:val="21"/>
                <w:szCs w:val="21"/>
                <w:lang w:bidi="ar"/>
              </w:rPr>
              <w:t>流域（区域）水资源（包括水能资源）与开发利用总体状况、生态流量管理要求与现状满足程度、建设项目占用水域空间的水流状况与河湖演变状况</w:t>
            </w:r>
            <w:r>
              <w:rPr>
                <w:color w:val="auto"/>
                <w:sz w:val="21"/>
                <w:szCs w:val="21"/>
              </w:rPr>
              <w:t>□</w:t>
            </w:r>
          </w:p>
          <w:p w14:paraId="1AD68A97">
            <w:pPr>
              <w:spacing w:line="240" w:lineRule="auto"/>
              <w:ind w:firstLine="0" w:firstLineChars="0"/>
              <w:rPr>
                <w:color w:val="auto"/>
                <w:sz w:val="21"/>
                <w:szCs w:val="21"/>
              </w:rPr>
            </w:pPr>
            <w:r>
              <w:rPr>
                <w:color w:val="auto"/>
                <w:sz w:val="21"/>
                <w:szCs w:val="21"/>
              </w:rPr>
              <w:t>依托污水处理设施稳定达标排放评价□</w:t>
            </w:r>
          </w:p>
        </w:tc>
        <w:tc>
          <w:tcPr>
            <w:tcW w:w="539" w:type="pct"/>
            <w:vAlign w:val="center"/>
          </w:tcPr>
          <w:p w14:paraId="338F7ECD">
            <w:pPr>
              <w:spacing w:line="240" w:lineRule="auto"/>
              <w:ind w:firstLine="0" w:firstLineChars="0"/>
              <w:jc w:val="center"/>
              <w:rPr>
                <w:color w:val="auto"/>
                <w:sz w:val="21"/>
                <w:szCs w:val="21"/>
              </w:rPr>
            </w:pPr>
            <w:r>
              <w:rPr>
                <w:color w:val="auto"/>
                <w:sz w:val="21"/>
                <w:szCs w:val="21"/>
                <w:lang w:bidi="ar"/>
              </w:rPr>
              <w:t>达标区</w:t>
            </w:r>
            <w:r>
              <w:rPr>
                <w:color w:val="auto"/>
                <w:sz w:val="21"/>
                <w:szCs w:val="21"/>
              </w:rPr>
              <w:t>√</w:t>
            </w:r>
          </w:p>
          <w:p w14:paraId="23003DF0">
            <w:pPr>
              <w:spacing w:line="240" w:lineRule="auto"/>
              <w:ind w:firstLine="0" w:firstLineChars="0"/>
              <w:jc w:val="center"/>
              <w:rPr>
                <w:color w:val="auto"/>
                <w:sz w:val="21"/>
                <w:szCs w:val="21"/>
              </w:rPr>
            </w:pPr>
            <w:r>
              <w:rPr>
                <w:color w:val="auto"/>
                <w:sz w:val="21"/>
                <w:szCs w:val="21"/>
              </w:rPr>
              <w:t>不达标区□</w:t>
            </w:r>
          </w:p>
        </w:tc>
      </w:tr>
      <w:tr w14:paraId="4F4C78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restart"/>
            <w:vAlign w:val="center"/>
          </w:tcPr>
          <w:p w14:paraId="652B5A2C">
            <w:pPr>
              <w:spacing w:line="240" w:lineRule="auto"/>
              <w:ind w:firstLine="0" w:firstLineChars="0"/>
              <w:jc w:val="center"/>
              <w:rPr>
                <w:color w:val="auto"/>
                <w:sz w:val="21"/>
                <w:szCs w:val="21"/>
              </w:rPr>
            </w:pPr>
            <w:r>
              <w:rPr>
                <w:color w:val="auto"/>
                <w:sz w:val="21"/>
                <w:szCs w:val="21"/>
              </w:rPr>
              <w:t>影响预测</w:t>
            </w:r>
          </w:p>
        </w:tc>
        <w:tc>
          <w:tcPr>
            <w:tcW w:w="904" w:type="pct"/>
            <w:vAlign w:val="center"/>
          </w:tcPr>
          <w:p w14:paraId="4B2F2DCA">
            <w:pPr>
              <w:spacing w:line="240" w:lineRule="auto"/>
              <w:ind w:firstLine="0" w:firstLineChars="0"/>
              <w:jc w:val="center"/>
              <w:rPr>
                <w:color w:val="auto"/>
                <w:sz w:val="21"/>
                <w:szCs w:val="21"/>
              </w:rPr>
            </w:pPr>
            <w:r>
              <w:rPr>
                <w:color w:val="auto"/>
                <w:sz w:val="21"/>
                <w:szCs w:val="21"/>
              </w:rPr>
              <w:t>预测范围</w:t>
            </w:r>
          </w:p>
        </w:tc>
        <w:tc>
          <w:tcPr>
            <w:tcW w:w="3875" w:type="pct"/>
            <w:gridSpan w:val="11"/>
            <w:vAlign w:val="center"/>
          </w:tcPr>
          <w:p w14:paraId="6BFC761F">
            <w:pPr>
              <w:spacing w:line="240" w:lineRule="auto"/>
              <w:ind w:firstLine="0" w:firstLineChars="0"/>
              <w:rPr>
                <w:color w:val="auto"/>
                <w:sz w:val="21"/>
                <w:szCs w:val="21"/>
              </w:rPr>
            </w:pPr>
            <w:r>
              <w:rPr>
                <w:color w:val="auto"/>
                <w:sz w:val="21"/>
                <w:szCs w:val="21"/>
              </w:rPr>
              <w:t>河流：长度（/）km；湖库、河口及近岸海域：面积（/）km</w:t>
            </w:r>
            <w:r>
              <w:rPr>
                <w:color w:val="auto"/>
                <w:sz w:val="21"/>
                <w:szCs w:val="21"/>
                <w:vertAlign w:val="superscript"/>
              </w:rPr>
              <w:t>2</w:t>
            </w:r>
          </w:p>
        </w:tc>
      </w:tr>
      <w:tr w14:paraId="09886C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43A471D7">
            <w:pPr>
              <w:spacing w:line="240" w:lineRule="auto"/>
              <w:ind w:firstLine="0" w:firstLineChars="0"/>
              <w:rPr>
                <w:color w:val="auto"/>
                <w:sz w:val="21"/>
                <w:szCs w:val="21"/>
              </w:rPr>
            </w:pPr>
          </w:p>
        </w:tc>
        <w:tc>
          <w:tcPr>
            <w:tcW w:w="904" w:type="pct"/>
            <w:vAlign w:val="center"/>
          </w:tcPr>
          <w:p w14:paraId="16B016C8">
            <w:pPr>
              <w:spacing w:line="240" w:lineRule="auto"/>
              <w:ind w:firstLine="0" w:firstLineChars="0"/>
              <w:jc w:val="center"/>
              <w:rPr>
                <w:color w:val="auto"/>
                <w:sz w:val="21"/>
                <w:szCs w:val="21"/>
              </w:rPr>
            </w:pPr>
            <w:r>
              <w:rPr>
                <w:color w:val="auto"/>
                <w:sz w:val="21"/>
                <w:szCs w:val="21"/>
              </w:rPr>
              <w:t>预测因子</w:t>
            </w:r>
          </w:p>
        </w:tc>
        <w:tc>
          <w:tcPr>
            <w:tcW w:w="3875" w:type="pct"/>
            <w:gridSpan w:val="11"/>
            <w:vAlign w:val="center"/>
          </w:tcPr>
          <w:p w14:paraId="7C66A9AE">
            <w:pPr>
              <w:spacing w:line="240" w:lineRule="auto"/>
              <w:ind w:firstLine="0" w:firstLineChars="0"/>
              <w:rPr>
                <w:color w:val="auto"/>
                <w:sz w:val="21"/>
                <w:szCs w:val="21"/>
              </w:rPr>
            </w:pPr>
            <w:r>
              <w:rPr>
                <w:color w:val="auto"/>
                <w:sz w:val="21"/>
                <w:szCs w:val="21"/>
              </w:rPr>
              <w:t>（）</w:t>
            </w:r>
          </w:p>
        </w:tc>
      </w:tr>
      <w:tr w14:paraId="7D7E92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51C2C039">
            <w:pPr>
              <w:spacing w:line="240" w:lineRule="auto"/>
              <w:ind w:firstLine="0" w:firstLineChars="0"/>
              <w:rPr>
                <w:color w:val="auto"/>
                <w:sz w:val="21"/>
                <w:szCs w:val="21"/>
              </w:rPr>
            </w:pPr>
          </w:p>
        </w:tc>
        <w:tc>
          <w:tcPr>
            <w:tcW w:w="904" w:type="pct"/>
            <w:vAlign w:val="center"/>
          </w:tcPr>
          <w:p w14:paraId="37553D0C">
            <w:pPr>
              <w:spacing w:line="240" w:lineRule="auto"/>
              <w:ind w:firstLine="0" w:firstLineChars="0"/>
              <w:jc w:val="center"/>
              <w:rPr>
                <w:color w:val="auto"/>
                <w:sz w:val="21"/>
                <w:szCs w:val="21"/>
              </w:rPr>
            </w:pPr>
            <w:r>
              <w:rPr>
                <w:color w:val="auto"/>
                <w:sz w:val="21"/>
                <w:szCs w:val="21"/>
              </w:rPr>
              <w:t>预测时期</w:t>
            </w:r>
          </w:p>
        </w:tc>
        <w:tc>
          <w:tcPr>
            <w:tcW w:w="3875" w:type="pct"/>
            <w:gridSpan w:val="11"/>
            <w:vAlign w:val="center"/>
          </w:tcPr>
          <w:p w14:paraId="5C13D63E">
            <w:pPr>
              <w:spacing w:line="240" w:lineRule="auto"/>
              <w:ind w:firstLine="0" w:firstLineChars="0"/>
              <w:rPr>
                <w:color w:val="auto"/>
                <w:sz w:val="21"/>
                <w:szCs w:val="21"/>
              </w:rPr>
            </w:pPr>
            <w:r>
              <w:rPr>
                <w:color w:val="auto"/>
                <w:sz w:val="21"/>
                <w:szCs w:val="21"/>
                <w:lang w:bidi="ar"/>
              </w:rPr>
              <w:t>丰水期</w:t>
            </w:r>
            <w:r>
              <w:rPr>
                <w:color w:val="auto"/>
                <w:sz w:val="21"/>
                <w:szCs w:val="21"/>
              </w:rPr>
              <w:t>□</w:t>
            </w:r>
            <w:r>
              <w:rPr>
                <w:color w:val="auto"/>
                <w:sz w:val="21"/>
                <w:szCs w:val="21"/>
                <w:lang w:bidi="ar"/>
              </w:rPr>
              <w:t>；平水期</w:t>
            </w:r>
            <w:r>
              <w:rPr>
                <w:color w:val="auto"/>
                <w:sz w:val="21"/>
                <w:szCs w:val="21"/>
              </w:rPr>
              <w:t>□</w:t>
            </w:r>
            <w:r>
              <w:rPr>
                <w:color w:val="auto"/>
                <w:sz w:val="21"/>
                <w:szCs w:val="21"/>
                <w:lang w:bidi="ar"/>
              </w:rPr>
              <w:t>；枯水期</w:t>
            </w:r>
            <w:r>
              <w:rPr>
                <w:color w:val="auto"/>
                <w:sz w:val="21"/>
                <w:szCs w:val="21"/>
              </w:rPr>
              <w:t>□</w:t>
            </w:r>
            <w:r>
              <w:rPr>
                <w:color w:val="auto"/>
                <w:sz w:val="21"/>
                <w:szCs w:val="21"/>
                <w:lang w:bidi="ar"/>
              </w:rPr>
              <w:t>；冰封期</w:t>
            </w:r>
            <w:r>
              <w:rPr>
                <w:color w:val="auto"/>
                <w:sz w:val="21"/>
                <w:szCs w:val="21"/>
              </w:rPr>
              <w:t>□</w:t>
            </w:r>
          </w:p>
          <w:p w14:paraId="000EDD0C">
            <w:pPr>
              <w:spacing w:line="240" w:lineRule="auto"/>
              <w:ind w:firstLine="0" w:firstLineChars="0"/>
              <w:rPr>
                <w:color w:val="auto"/>
                <w:sz w:val="21"/>
                <w:szCs w:val="21"/>
              </w:rPr>
            </w:pPr>
            <w:r>
              <w:rPr>
                <w:color w:val="auto"/>
                <w:sz w:val="21"/>
                <w:szCs w:val="21"/>
                <w:lang w:bidi="ar"/>
              </w:rPr>
              <w:t>春季</w:t>
            </w:r>
            <w:r>
              <w:rPr>
                <w:color w:val="auto"/>
                <w:sz w:val="21"/>
                <w:szCs w:val="21"/>
              </w:rPr>
              <w:t>□</w:t>
            </w:r>
            <w:r>
              <w:rPr>
                <w:color w:val="auto"/>
                <w:sz w:val="21"/>
                <w:szCs w:val="21"/>
                <w:lang w:bidi="ar"/>
              </w:rPr>
              <w:t>；夏季</w:t>
            </w:r>
            <w:r>
              <w:rPr>
                <w:color w:val="auto"/>
                <w:sz w:val="21"/>
                <w:szCs w:val="21"/>
              </w:rPr>
              <w:t>□</w:t>
            </w:r>
            <w:r>
              <w:rPr>
                <w:color w:val="auto"/>
                <w:sz w:val="21"/>
                <w:szCs w:val="21"/>
                <w:lang w:bidi="ar"/>
              </w:rPr>
              <w:t>；秋季</w:t>
            </w:r>
            <w:r>
              <w:rPr>
                <w:color w:val="auto"/>
                <w:sz w:val="21"/>
                <w:szCs w:val="21"/>
              </w:rPr>
              <w:t>□</w:t>
            </w:r>
            <w:r>
              <w:rPr>
                <w:color w:val="auto"/>
                <w:sz w:val="21"/>
                <w:szCs w:val="21"/>
                <w:lang w:bidi="ar"/>
              </w:rPr>
              <w:t>；冬季</w:t>
            </w:r>
            <w:r>
              <w:rPr>
                <w:color w:val="auto"/>
                <w:sz w:val="21"/>
                <w:szCs w:val="21"/>
              </w:rPr>
              <w:t>□</w:t>
            </w:r>
          </w:p>
          <w:p w14:paraId="5542C4A3">
            <w:pPr>
              <w:spacing w:line="240" w:lineRule="auto"/>
              <w:ind w:firstLine="0" w:firstLineChars="0"/>
              <w:rPr>
                <w:color w:val="auto"/>
                <w:sz w:val="21"/>
                <w:szCs w:val="21"/>
              </w:rPr>
            </w:pPr>
            <w:r>
              <w:rPr>
                <w:color w:val="auto"/>
                <w:sz w:val="21"/>
                <w:szCs w:val="21"/>
              </w:rPr>
              <w:t>设计水文条件□</w:t>
            </w:r>
          </w:p>
        </w:tc>
      </w:tr>
      <w:tr w14:paraId="1E5B14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7BCD1EA7">
            <w:pPr>
              <w:spacing w:line="240" w:lineRule="auto"/>
              <w:ind w:firstLine="0" w:firstLineChars="0"/>
              <w:rPr>
                <w:color w:val="auto"/>
                <w:sz w:val="21"/>
                <w:szCs w:val="21"/>
              </w:rPr>
            </w:pPr>
          </w:p>
        </w:tc>
        <w:tc>
          <w:tcPr>
            <w:tcW w:w="904" w:type="pct"/>
            <w:vAlign w:val="center"/>
          </w:tcPr>
          <w:p w14:paraId="071DF4F7">
            <w:pPr>
              <w:spacing w:line="240" w:lineRule="auto"/>
              <w:ind w:firstLine="0" w:firstLineChars="0"/>
              <w:jc w:val="center"/>
              <w:rPr>
                <w:color w:val="auto"/>
                <w:sz w:val="21"/>
                <w:szCs w:val="21"/>
              </w:rPr>
            </w:pPr>
            <w:r>
              <w:rPr>
                <w:color w:val="auto"/>
                <w:sz w:val="21"/>
                <w:szCs w:val="21"/>
              </w:rPr>
              <w:t>预测背景</w:t>
            </w:r>
          </w:p>
        </w:tc>
        <w:tc>
          <w:tcPr>
            <w:tcW w:w="3875" w:type="pct"/>
            <w:gridSpan w:val="11"/>
            <w:vAlign w:val="center"/>
          </w:tcPr>
          <w:p w14:paraId="234B6ACB">
            <w:pPr>
              <w:spacing w:line="240" w:lineRule="auto"/>
              <w:ind w:firstLine="0" w:firstLineChars="0"/>
              <w:rPr>
                <w:color w:val="auto"/>
                <w:sz w:val="21"/>
                <w:szCs w:val="21"/>
              </w:rPr>
            </w:pPr>
            <w:r>
              <w:rPr>
                <w:color w:val="auto"/>
                <w:sz w:val="21"/>
                <w:szCs w:val="21"/>
                <w:lang w:bidi="ar"/>
              </w:rPr>
              <w:t>建设期</w:t>
            </w:r>
            <w:r>
              <w:rPr>
                <w:color w:val="auto"/>
                <w:sz w:val="21"/>
                <w:szCs w:val="21"/>
              </w:rPr>
              <w:t>□</w:t>
            </w:r>
            <w:r>
              <w:rPr>
                <w:color w:val="auto"/>
                <w:sz w:val="21"/>
                <w:szCs w:val="21"/>
                <w:lang w:bidi="ar"/>
              </w:rPr>
              <w:t>；生产运行期</w:t>
            </w:r>
            <w:r>
              <w:rPr>
                <w:color w:val="auto"/>
                <w:sz w:val="21"/>
                <w:szCs w:val="21"/>
              </w:rPr>
              <w:t>□</w:t>
            </w:r>
            <w:r>
              <w:rPr>
                <w:color w:val="auto"/>
                <w:sz w:val="21"/>
                <w:szCs w:val="21"/>
                <w:lang w:bidi="ar"/>
              </w:rPr>
              <w:t>；服务期满后</w:t>
            </w:r>
            <w:r>
              <w:rPr>
                <w:color w:val="auto"/>
                <w:sz w:val="21"/>
                <w:szCs w:val="21"/>
              </w:rPr>
              <w:t>□</w:t>
            </w:r>
          </w:p>
          <w:p w14:paraId="1F4CB707">
            <w:pPr>
              <w:spacing w:line="240" w:lineRule="auto"/>
              <w:ind w:firstLine="0" w:firstLineChars="0"/>
              <w:rPr>
                <w:color w:val="auto"/>
                <w:sz w:val="21"/>
                <w:szCs w:val="21"/>
              </w:rPr>
            </w:pPr>
            <w:r>
              <w:rPr>
                <w:color w:val="auto"/>
                <w:sz w:val="21"/>
                <w:szCs w:val="21"/>
                <w:lang w:bidi="ar"/>
              </w:rPr>
              <w:t>正常工况</w:t>
            </w:r>
            <w:r>
              <w:rPr>
                <w:color w:val="auto"/>
                <w:sz w:val="21"/>
                <w:szCs w:val="21"/>
              </w:rPr>
              <w:t>□</w:t>
            </w:r>
            <w:r>
              <w:rPr>
                <w:color w:val="auto"/>
                <w:sz w:val="21"/>
                <w:szCs w:val="21"/>
                <w:lang w:bidi="ar"/>
              </w:rPr>
              <w:t>；非正常工况</w:t>
            </w:r>
            <w:r>
              <w:rPr>
                <w:color w:val="auto"/>
                <w:sz w:val="21"/>
                <w:szCs w:val="21"/>
              </w:rPr>
              <w:t>□</w:t>
            </w:r>
          </w:p>
          <w:p w14:paraId="5D1653BE">
            <w:pPr>
              <w:spacing w:line="240" w:lineRule="auto"/>
              <w:ind w:firstLine="0" w:firstLineChars="0"/>
              <w:rPr>
                <w:color w:val="auto"/>
                <w:sz w:val="21"/>
                <w:szCs w:val="21"/>
              </w:rPr>
            </w:pPr>
            <w:r>
              <w:rPr>
                <w:color w:val="auto"/>
                <w:sz w:val="21"/>
                <w:szCs w:val="21"/>
                <w:lang w:bidi="ar"/>
              </w:rPr>
              <w:t>污染控制和减缓措施方案</w:t>
            </w:r>
            <w:r>
              <w:rPr>
                <w:color w:val="auto"/>
                <w:sz w:val="21"/>
                <w:szCs w:val="21"/>
              </w:rPr>
              <w:t>□</w:t>
            </w:r>
          </w:p>
          <w:p w14:paraId="3C9795D0">
            <w:pPr>
              <w:spacing w:line="240" w:lineRule="auto"/>
              <w:ind w:firstLine="0" w:firstLineChars="0"/>
              <w:rPr>
                <w:color w:val="auto"/>
                <w:sz w:val="21"/>
                <w:szCs w:val="21"/>
              </w:rPr>
            </w:pPr>
            <w:r>
              <w:rPr>
                <w:color w:val="auto"/>
                <w:sz w:val="21"/>
                <w:szCs w:val="21"/>
              </w:rPr>
              <w:t>区（流）域环境质量改善目标要求情景□</w:t>
            </w:r>
          </w:p>
        </w:tc>
      </w:tr>
      <w:tr w14:paraId="6AAE78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2736AD9D">
            <w:pPr>
              <w:spacing w:line="240" w:lineRule="auto"/>
              <w:ind w:firstLine="0" w:firstLineChars="0"/>
              <w:rPr>
                <w:color w:val="auto"/>
                <w:sz w:val="21"/>
                <w:szCs w:val="21"/>
              </w:rPr>
            </w:pPr>
          </w:p>
        </w:tc>
        <w:tc>
          <w:tcPr>
            <w:tcW w:w="904" w:type="pct"/>
            <w:vAlign w:val="center"/>
          </w:tcPr>
          <w:p w14:paraId="77AF208C">
            <w:pPr>
              <w:spacing w:line="240" w:lineRule="auto"/>
              <w:ind w:firstLine="0" w:firstLineChars="0"/>
              <w:jc w:val="center"/>
              <w:rPr>
                <w:color w:val="auto"/>
                <w:sz w:val="21"/>
                <w:szCs w:val="21"/>
              </w:rPr>
            </w:pPr>
            <w:r>
              <w:rPr>
                <w:color w:val="auto"/>
                <w:sz w:val="21"/>
                <w:szCs w:val="21"/>
              </w:rPr>
              <w:t>预测方法</w:t>
            </w:r>
          </w:p>
        </w:tc>
        <w:tc>
          <w:tcPr>
            <w:tcW w:w="3875" w:type="pct"/>
            <w:gridSpan w:val="11"/>
            <w:vAlign w:val="center"/>
          </w:tcPr>
          <w:p w14:paraId="148083C3">
            <w:pPr>
              <w:spacing w:line="240" w:lineRule="auto"/>
              <w:ind w:firstLine="0" w:firstLineChars="0"/>
              <w:rPr>
                <w:color w:val="auto"/>
                <w:sz w:val="21"/>
                <w:szCs w:val="21"/>
              </w:rPr>
            </w:pPr>
            <w:r>
              <w:rPr>
                <w:color w:val="auto"/>
                <w:sz w:val="21"/>
                <w:szCs w:val="21"/>
                <w:lang w:bidi="ar"/>
              </w:rPr>
              <w:t>数值解</w:t>
            </w:r>
            <w:r>
              <w:rPr>
                <w:color w:val="auto"/>
                <w:sz w:val="21"/>
                <w:szCs w:val="21"/>
              </w:rPr>
              <w:t>□</w:t>
            </w:r>
            <w:r>
              <w:rPr>
                <w:color w:val="auto"/>
                <w:sz w:val="21"/>
                <w:szCs w:val="21"/>
                <w:lang w:bidi="ar"/>
              </w:rPr>
              <w:t>：解析解</w:t>
            </w:r>
            <w:r>
              <w:rPr>
                <w:color w:val="auto"/>
                <w:sz w:val="21"/>
                <w:szCs w:val="21"/>
              </w:rPr>
              <w:t>□</w:t>
            </w:r>
            <w:r>
              <w:rPr>
                <w:color w:val="auto"/>
                <w:sz w:val="21"/>
                <w:szCs w:val="21"/>
                <w:lang w:bidi="ar"/>
              </w:rPr>
              <w:t>；其他</w:t>
            </w:r>
            <w:r>
              <w:rPr>
                <w:color w:val="auto"/>
                <w:sz w:val="21"/>
                <w:szCs w:val="21"/>
              </w:rPr>
              <w:t>□</w:t>
            </w:r>
          </w:p>
          <w:p w14:paraId="214B8EB5">
            <w:pPr>
              <w:spacing w:line="240" w:lineRule="auto"/>
              <w:ind w:firstLine="0" w:firstLineChars="0"/>
              <w:rPr>
                <w:color w:val="auto"/>
                <w:sz w:val="21"/>
                <w:szCs w:val="21"/>
              </w:rPr>
            </w:pPr>
            <w:r>
              <w:rPr>
                <w:color w:val="auto"/>
                <w:sz w:val="21"/>
                <w:szCs w:val="21"/>
              </w:rPr>
              <w:t>导则推荐模式□：其他□</w:t>
            </w:r>
          </w:p>
        </w:tc>
      </w:tr>
      <w:tr w14:paraId="7379BC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restart"/>
            <w:vAlign w:val="center"/>
          </w:tcPr>
          <w:p w14:paraId="424F53DA">
            <w:pPr>
              <w:spacing w:line="240" w:lineRule="auto"/>
              <w:ind w:firstLine="0" w:firstLineChars="0"/>
              <w:jc w:val="center"/>
              <w:rPr>
                <w:color w:val="auto"/>
                <w:sz w:val="21"/>
                <w:szCs w:val="21"/>
              </w:rPr>
            </w:pPr>
            <w:r>
              <w:rPr>
                <w:color w:val="auto"/>
                <w:sz w:val="21"/>
                <w:szCs w:val="21"/>
              </w:rPr>
              <w:t>影响评价</w:t>
            </w:r>
          </w:p>
        </w:tc>
        <w:tc>
          <w:tcPr>
            <w:tcW w:w="904" w:type="pct"/>
            <w:vAlign w:val="center"/>
          </w:tcPr>
          <w:p w14:paraId="7850B300">
            <w:pPr>
              <w:spacing w:line="240" w:lineRule="auto"/>
              <w:ind w:firstLine="0" w:firstLineChars="0"/>
              <w:jc w:val="center"/>
              <w:rPr>
                <w:color w:val="auto"/>
                <w:sz w:val="21"/>
                <w:szCs w:val="21"/>
              </w:rPr>
            </w:pPr>
            <w:r>
              <w:rPr>
                <w:color w:val="auto"/>
                <w:sz w:val="21"/>
                <w:szCs w:val="21"/>
              </w:rPr>
              <w:t>水污染控制和水环境影响减缓措施有效性评价</w:t>
            </w:r>
          </w:p>
        </w:tc>
        <w:tc>
          <w:tcPr>
            <w:tcW w:w="3875" w:type="pct"/>
            <w:gridSpan w:val="11"/>
            <w:vAlign w:val="center"/>
          </w:tcPr>
          <w:p w14:paraId="4AEFFAEA">
            <w:pPr>
              <w:spacing w:line="240" w:lineRule="auto"/>
              <w:ind w:firstLine="0" w:firstLineChars="0"/>
              <w:rPr>
                <w:color w:val="auto"/>
                <w:sz w:val="21"/>
                <w:szCs w:val="21"/>
              </w:rPr>
            </w:pPr>
            <w:r>
              <w:rPr>
                <w:color w:val="auto"/>
                <w:sz w:val="21"/>
                <w:szCs w:val="21"/>
              </w:rPr>
              <w:t>区（流）域水环境质量改善目标□；替代削减源□</w:t>
            </w:r>
          </w:p>
        </w:tc>
      </w:tr>
      <w:tr w14:paraId="1BC5E3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204EA282">
            <w:pPr>
              <w:spacing w:line="240" w:lineRule="auto"/>
              <w:ind w:firstLine="0" w:firstLineChars="0"/>
              <w:rPr>
                <w:color w:val="auto"/>
                <w:sz w:val="21"/>
                <w:szCs w:val="21"/>
              </w:rPr>
            </w:pPr>
          </w:p>
        </w:tc>
        <w:tc>
          <w:tcPr>
            <w:tcW w:w="904" w:type="pct"/>
            <w:vAlign w:val="center"/>
          </w:tcPr>
          <w:p w14:paraId="03BD0868">
            <w:pPr>
              <w:spacing w:line="240" w:lineRule="auto"/>
              <w:ind w:firstLine="0" w:firstLineChars="0"/>
              <w:jc w:val="center"/>
              <w:rPr>
                <w:color w:val="auto"/>
                <w:sz w:val="21"/>
                <w:szCs w:val="21"/>
              </w:rPr>
            </w:pPr>
            <w:r>
              <w:rPr>
                <w:color w:val="auto"/>
                <w:sz w:val="21"/>
                <w:szCs w:val="21"/>
              </w:rPr>
              <w:t>水环境影响评价</w:t>
            </w:r>
          </w:p>
        </w:tc>
        <w:tc>
          <w:tcPr>
            <w:tcW w:w="3875" w:type="pct"/>
            <w:gridSpan w:val="11"/>
            <w:vAlign w:val="center"/>
          </w:tcPr>
          <w:p w14:paraId="05F83395">
            <w:pPr>
              <w:spacing w:line="240" w:lineRule="auto"/>
              <w:ind w:firstLine="0" w:firstLineChars="0"/>
              <w:rPr>
                <w:color w:val="auto"/>
                <w:sz w:val="21"/>
                <w:szCs w:val="21"/>
              </w:rPr>
            </w:pPr>
            <w:r>
              <w:rPr>
                <w:color w:val="auto"/>
                <w:sz w:val="21"/>
                <w:szCs w:val="21"/>
                <w:lang w:bidi="ar"/>
              </w:rPr>
              <w:t>排放口混合区外满足水环境管理要求</w:t>
            </w:r>
            <w:r>
              <w:rPr>
                <w:color w:val="auto"/>
                <w:sz w:val="21"/>
                <w:szCs w:val="21"/>
              </w:rPr>
              <w:t>□</w:t>
            </w:r>
          </w:p>
          <w:p w14:paraId="1DDF9EA4">
            <w:pPr>
              <w:spacing w:line="240" w:lineRule="auto"/>
              <w:ind w:firstLine="0" w:firstLineChars="0"/>
              <w:rPr>
                <w:color w:val="auto"/>
                <w:sz w:val="21"/>
                <w:szCs w:val="21"/>
              </w:rPr>
            </w:pPr>
            <w:r>
              <w:rPr>
                <w:color w:val="auto"/>
                <w:sz w:val="21"/>
                <w:szCs w:val="21"/>
                <w:lang w:bidi="ar"/>
              </w:rPr>
              <w:t>水环境功能区或水功能区、近岸海域环境功能区水质达标</w:t>
            </w:r>
            <w:r>
              <w:rPr>
                <w:color w:val="auto"/>
                <w:sz w:val="21"/>
                <w:szCs w:val="21"/>
              </w:rPr>
              <w:t>□</w:t>
            </w:r>
          </w:p>
          <w:p w14:paraId="26D5C64E">
            <w:pPr>
              <w:spacing w:line="240" w:lineRule="auto"/>
              <w:ind w:firstLine="0" w:firstLineChars="0"/>
              <w:rPr>
                <w:color w:val="auto"/>
                <w:sz w:val="21"/>
                <w:szCs w:val="21"/>
              </w:rPr>
            </w:pPr>
            <w:r>
              <w:rPr>
                <w:color w:val="auto"/>
                <w:sz w:val="21"/>
                <w:szCs w:val="21"/>
                <w:lang w:bidi="ar"/>
              </w:rPr>
              <w:t>满足水环境保护目标水域水环境质量要求</w:t>
            </w:r>
            <w:r>
              <w:rPr>
                <w:color w:val="auto"/>
                <w:sz w:val="21"/>
                <w:szCs w:val="21"/>
              </w:rPr>
              <w:t>□</w:t>
            </w:r>
          </w:p>
          <w:p w14:paraId="7225782C">
            <w:pPr>
              <w:spacing w:line="240" w:lineRule="auto"/>
              <w:ind w:firstLine="0" w:firstLineChars="0"/>
              <w:rPr>
                <w:color w:val="auto"/>
                <w:sz w:val="21"/>
                <w:szCs w:val="21"/>
              </w:rPr>
            </w:pPr>
            <w:r>
              <w:rPr>
                <w:color w:val="auto"/>
                <w:sz w:val="21"/>
                <w:szCs w:val="21"/>
                <w:lang w:bidi="ar"/>
              </w:rPr>
              <w:t>水环境控制单元或断面水质达标</w:t>
            </w:r>
            <w:r>
              <w:rPr>
                <w:color w:val="auto"/>
                <w:sz w:val="21"/>
                <w:szCs w:val="21"/>
              </w:rPr>
              <w:t>□</w:t>
            </w:r>
          </w:p>
          <w:p w14:paraId="22802806">
            <w:pPr>
              <w:spacing w:line="240" w:lineRule="auto"/>
              <w:ind w:firstLine="0" w:firstLineChars="0"/>
              <w:rPr>
                <w:color w:val="auto"/>
                <w:sz w:val="21"/>
                <w:szCs w:val="21"/>
              </w:rPr>
            </w:pPr>
            <w:r>
              <w:rPr>
                <w:color w:val="auto"/>
                <w:sz w:val="21"/>
                <w:szCs w:val="21"/>
                <w:lang w:bidi="ar"/>
              </w:rPr>
              <w:t>满足重点水污染物排放总量控制指标要求，重点行业建设项目，主要污染物排放满足等量或减量替代要求</w:t>
            </w:r>
            <w:r>
              <w:rPr>
                <w:color w:val="auto"/>
                <w:sz w:val="21"/>
                <w:szCs w:val="21"/>
              </w:rPr>
              <w:t>□</w:t>
            </w:r>
          </w:p>
          <w:p w14:paraId="298C215B">
            <w:pPr>
              <w:spacing w:line="240" w:lineRule="auto"/>
              <w:ind w:firstLine="0" w:firstLineChars="0"/>
              <w:rPr>
                <w:color w:val="auto"/>
                <w:sz w:val="21"/>
                <w:szCs w:val="21"/>
              </w:rPr>
            </w:pPr>
            <w:r>
              <w:rPr>
                <w:color w:val="auto"/>
                <w:sz w:val="21"/>
                <w:szCs w:val="21"/>
                <w:lang w:bidi="ar"/>
              </w:rPr>
              <w:t>满足区（流）域水环境质量改善目标要求</w:t>
            </w:r>
            <w:r>
              <w:rPr>
                <w:color w:val="auto"/>
                <w:sz w:val="21"/>
                <w:szCs w:val="21"/>
              </w:rPr>
              <w:t>□</w:t>
            </w:r>
          </w:p>
          <w:p w14:paraId="7FE87C38">
            <w:pPr>
              <w:spacing w:line="240" w:lineRule="auto"/>
              <w:ind w:firstLine="0" w:firstLineChars="0"/>
              <w:rPr>
                <w:color w:val="auto"/>
                <w:sz w:val="21"/>
                <w:szCs w:val="21"/>
              </w:rPr>
            </w:pPr>
            <w:r>
              <w:rPr>
                <w:color w:val="auto"/>
                <w:sz w:val="21"/>
                <w:szCs w:val="21"/>
                <w:lang w:bidi="ar"/>
              </w:rPr>
              <w:t>水文要素影响型建设项目同时应包括水文情势变化评价、主要水文特征值影响评价、生态流量符合性评价</w:t>
            </w:r>
            <w:r>
              <w:rPr>
                <w:color w:val="auto"/>
                <w:sz w:val="21"/>
                <w:szCs w:val="21"/>
              </w:rPr>
              <w:t>□</w:t>
            </w:r>
          </w:p>
          <w:p w14:paraId="14F25A38">
            <w:pPr>
              <w:spacing w:line="240" w:lineRule="auto"/>
              <w:ind w:firstLine="0" w:firstLineChars="0"/>
              <w:rPr>
                <w:color w:val="auto"/>
                <w:sz w:val="21"/>
                <w:szCs w:val="21"/>
              </w:rPr>
            </w:pPr>
            <w:r>
              <w:rPr>
                <w:color w:val="auto"/>
                <w:sz w:val="21"/>
                <w:szCs w:val="21"/>
                <w:lang w:bidi="ar"/>
              </w:rPr>
              <w:t>对于新设或调整入河（湖库、近岸海域）排放口的建设项目，应包括排放口设置的环境合理性评价</w:t>
            </w:r>
            <w:r>
              <w:rPr>
                <w:color w:val="auto"/>
                <w:sz w:val="21"/>
                <w:szCs w:val="21"/>
              </w:rPr>
              <w:t>□</w:t>
            </w:r>
          </w:p>
          <w:p w14:paraId="307BE326">
            <w:pPr>
              <w:spacing w:line="240" w:lineRule="auto"/>
              <w:ind w:firstLine="0" w:firstLineChars="0"/>
              <w:rPr>
                <w:color w:val="auto"/>
                <w:sz w:val="21"/>
                <w:szCs w:val="21"/>
              </w:rPr>
            </w:pPr>
            <w:r>
              <w:rPr>
                <w:color w:val="auto"/>
                <w:sz w:val="21"/>
                <w:szCs w:val="21"/>
              </w:rPr>
              <w:t>满足生态保护红线、水环境质量底线、资源利用上线和环境准入清单管理要求□</w:t>
            </w:r>
          </w:p>
        </w:tc>
      </w:tr>
      <w:tr w14:paraId="3DEC5A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90" w:hRule="atLeast"/>
          <w:jc w:val="center"/>
        </w:trPr>
        <w:tc>
          <w:tcPr>
            <w:tcW w:w="221" w:type="pct"/>
            <w:vMerge w:val="continue"/>
            <w:vAlign w:val="center"/>
          </w:tcPr>
          <w:p w14:paraId="11ABDBCE">
            <w:pPr>
              <w:spacing w:line="240" w:lineRule="auto"/>
              <w:ind w:firstLine="0" w:firstLineChars="0"/>
              <w:rPr>
                <w:color w:val="auto"/>
                <w:sz w:val="21"/>
                <w:szCs w:val="21"/>
              </w:rPr>
            </w:pPr>
          </w:p>
        </w:tc>
        <w:tc>
          <w:tcPr>
            <w:tcW w:w="904" w:type="pct"/>
            <w:vAlign w:val="center"/>
          </w:tcPr>
          <w:p w14:paraId="091C213E">
            <w:pPr>
              <w:spacing w:line="240" w:lineRule="auto"/>
              <w:ind w:firstLine="0" w:firstLineChars="0"/>
              <w:jc w:val="center"/>
              <w:rPr>
                <w:color w:val="auto"/>
                <w:sz w:val="21"/>
                <w:szCs w:val="21"/>
              </w:rPr>
            </w:pPr>
            <w:r>
              <w:rPr>
                <w:color w:val="auto"/>
                <w:sz w:val="21"/>
                <w:szCs w:val="21"/>
              </w:rPr>
              <w:t>污染物排放量核算</w:t>
            </w:r>
          </w:p>
        </w:tc>
        <w:tc>
          <w:tcPr>
            <w:tcW w:w="3875" w:type="pct"/>
            <w:gridSpan w:val="11"/>
            <w:vAlign w:val="center"/>
          </w:tcPr>
          <w:p w14:paraId="1733EBDE">
            <w:pPr>
              <w:spacing w:line="240" w:lineRule="auto"/>
              <w:ind w:firstLine="0" w:firstLineChars="0"/>
              <w:jc w:val="center"/>
              <w:rPr>
                <w:color w:val="auto"/>
                <w:sz w:val="21"/>
                <w:szCs w:val="21"/>
              </w:rPr>
            </w:pPr>
            <w:r>
              <w:rPr>
                <w:color w:val="auto"/>
                <w:sz w:val="21"/>
                <w:szCs w:val="21"/>
              </w:rPr>
              <w:t>详见工程分析章节</w:t>
            </w:r>
          </w:p>
        </w:tc>
      </w:tr>
      <w:tr w14:paraId="0B61D5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5" w:hRule="atLeast"/>
          <w:jc w:val="center"/>
        </w:trPr>
        <w:tc>
          <w:tcPr>
            <w:tcW w:w="221" w:type="pct"/>
            <w:vMerge w:val="continue"/>
            <w:vAlign w:val="center"/>
          </w:tcPr>
          <w:p w14:paraId="2F6411F6">
            <w:pPr>
              <w:spacing w:line="240" w:lineRule="auto"/>
              <w:ind w:firstLine="0" w:firstLineChars="0"/>
              <w:rPr>
                <w:color w:val="auto"/>
                <w:sz w:val="21"/>
                <w:szCs w:val="21"/>
              </w:rPr>
            </w:pPr>
          </w:p>
        </w:tc>
        <w:tc>
          <w:tcPr>
            <w:tcW w:w="904" w:type="pct"/>
            <w:vMerge w:val="restart"/>
            <w:vAlign w:val="center"/>
          </w:tcPr>
          <w:p w14:paraId="2D11D9A5">
            <w:pPr>
              <w:spacing w:line="240" w:lineRule="auto"/>
              <w:ind w:firstLine="0" w:firstLineChars="0"/>
              <w:jc w:val="center"/>
              <w:rPr>
                <w:color w:val="auto"/>
                <w:sz w:val="21"/>
                <w:szCs w:val="21"/>
              </w:rPr>
            </w:pPr>
            <w:r>
              <w:rPr>
                <w:color w:val="auto"/>
                <w:sz w:val="21"/>
                <w:szCs w:val="21"/>
              </w:rPr>
              <w:t>替代源排放情况</w:t>
            </w:r>
          </w:p>
        </w:tc>
        <w:tc>
          <w:tcPr>
            <w:tcW w:w="798" w:type="pct"/>
            <w:gridSpan w:val="2"/>
            <w:vAlign w:val="center"/>
          </w:tcPr>
          <w:p w14:paraId="20D7492A">
            <w:pPr>
              <w:spacing w:line="240" w:lineRule="auto"/>
              <w:ind w:firstLine="0" w:firstLineChars="0"/>
              <w:jc w:val="center"/>
              <w:rPr>
                <w:color w:val="auto"/>
                <w:sz w:val="21"/>
                <w:szCs w:val="21"/>
              </w:rPr>
            </w:pPr>
            <w:r>
              <w:rPr>
                <w:color w:val="auto"/>
                <w:sz w:val="21"/>
                <w:szCs w:val="21"/>
              </w:rPr>
              <w:t>污染源名称</w:t>
            </w:r>
          </w:p>
        </w:tc>
        <w:tc>
          <w:tcPr>
            <w:tcW w:w="975" w:type="pct"/>
            <w:gridSpan w:val="2"/>
            <w:vAlign w:val="center"/>
          </w:tcPr>
          <w:p w14:paraId="7E1E88E6">
            <w:pPr>
              <w:spacing w:line="240" w:lineRule="auto"/>
              <w:ind w:firstLine="0" w:firstLineChars="0"/>
              <w:jc w:val="center"/>
              <w:rPr>
                <w:color w:val="auto"/>
                <w:sz w:val="21"/>
                <w:szCs w:val="21"/>
              </w:rPr>
            </w:pPr>
            <w:r>
              <w:rPr>
                <w:color w:val="auto"/>
                <w:sz w:val="21"/>
                <w:szCs w:val="21"/>
              </w:rPr>
              <w:t>排污许可证编号</w:t>
            </w:r>
          </w:p>
        </w:tc>
        <w:tc>
          <w:tcPr>
            <w:tcW w:w="679" w:type="pct"/>
            <w:gridSpan w:val="2"/>
            <w:vAlign w:val="center"/>
          </w:tcPr>
          <w:p w14:paraId="7476EC0B">
            <w:pPr>
              <w:spacing w:line="240" w:lineRule="auto"/>
              <w:ind w:firstLine="0" w:firstLineChars="0"/>
              <w:jc w:val="center"/>
              <w:rPr>
                <w:color w:val="auto"/>
                <w:sz w:val="21"/>
                <w:szCs w:val="21"/>
              </w:rPr>
            </w:pPr>
            <w:r>
              <w:rPr>
                <w:color w:val="auto"/>
                <w:sz w:val="21"/>
                <w:szCs w:val="21"/>
              </w:rPr>
              <w:t>污染物名称</w:t>
            </w:r>
          </w:p>
        </w:tc>
        <w:tc>
          <w:tcPr>
            <w:tcW w:w="538" w:type="pct"/>
            <w:gridSpan w:val="3"/>
            <w:vAlign w:val="center"/>
          </w:tcPr>
          <w:p w14:paraId="114A5204">
            <w:pPr>
              <w:spacing w:line="240" w:lineRule="auto"/>
              <w:ind w:firstLine="0" w:firstLineChars="0"/>
              <w:jc w:val="center"/>
              <w:rPr>
                <w:color w:val="auto"/>
                <w:sz w:val="21"/>
                <w:szCs w:val="21"/>
              </w:rPr>
            </w:pPr>
            <w:r>
              <w:rPr>
                <w:color w:val="auto"/>
                <w:sz w:val="21"/>
                <w:szCs w:val="21"/>
              </w:rPr>
              <w:t>排放量/（t/a）</w:t>
            </w:r>
          </w:p>
        </w:tc>
        <w:tc>
          <w:tcPr>
            <w:tcW w:w="885" w:type="pct"/>
            <w:gridSpan w:val="2"/>
            <w:vAlign w:val="center"/>
          </w:tcPr>
          <w:p w14:paraId="6B392C35">
            <w:pPr>
              <w:spacing w:line="240" w:lineRule="auto"/>
              <w:ind w:firstLine="0" w:firstLineChars="0"/>
              <w:jc w:val="center"/>
              <w:rPr>
                <w:color w:val="auto"/>
                <w:sz w:val="21"/>
                <w:szCs w:val="21"/>
              </w:rPr>
            </w:pPr>
            <w:r>
              <w:rPr>
                <w:color w:val="auto"/>
                <w:sz w:val="21"/>
                <w:szCs w:val="21"/>
              </w:rPr>
              <w:t>排放浓度/（mg/L）</w:t>
            </w:r>
          </w:p>
        </w:tc>
      </w:tr>
      <w:tr w14:paraId="794C07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5" w:hRule="atLeast"/>
          <w:jc w:val="center"/>
        </w:trPr>
        <w:tc>
          <w:tcPr>
            <w:tcW w:w="221" w:type="pct"/>
            <w:vMerge w:val="continue"/>
            <w:vAlign w:val="center"/>
          </w:tcPr>
          <w:p w14:paraId="4344BCD7">
            <w:pPr>
              <w:spacing w:line="240" w:lineRule="auto"/>
              <w:ind w:firstLine="0" w:firstLineChars="0"/>
              <w:rPr>
                <w:color w:val="auto"/>
                <w:sz w:val="21"/>
                <w:szCs w:val="21"/>
              </w:rPr>
            </w:pPr>
          </w:p>
        </w:tc>
        <w:tc>
          <w:tcPr>
            <w:tcW w:w="904" w:type="pct"/>
            <w:vMerge w:val="continue"/>
            <w:vAlign w:val="center"/>
          </w:tcPr>
          <w:p w14:paraId="3F0D5793">
            <w:pPr>
              <w:spacing w:line="240" w:lineRule="auto"/>
              <w:ind w:firstLine="0" w:firstLineChars="0"/>
              <w:rPr>
                <w:color w:val="auto"/>
                <w:sz w:val="21"/>
                <w:szCs w:val="21"/>
              </w:rPr>
            </w:pPr>
          </w:p>
        </w:tc>
        <w:tc>
          <w:tcPr>
            <w:tcW w:w="798" w:type="pct"/>
            <w:gridSpan w:val="2"/>
            <w:vAlign w:val="center"/>
          </w:tcPr>
          <w:p w14:paraId="7DE58993">
            <w:pPr>
              <w:spacing w:line="240" w:lineRule="auto"/>
              <w:ind w:firstLine="0" w:firstLineChars="0"/>
              <w:jc w:val="center"/>
              <w:rPr>
                <w:color w:val="auto"/>
                <w:sz w:val="21"/>
                <w:szCs w:val="21"/>
              </w:rPr>
            </w:pPr>
            <w:r>
              <w:rPr>
                <w:color w:val="auto"/>
                <w:sz w:val="21"/>
                <w:szCs w:val="21"/>
              </w:rPr>
              <w:t>（）</w:t>
            </w:r>
          </w:p>
        </w:tc>
        <w:tc>
          <w:tcPr>
            <w:tcW w:w="975" w:type="pct"/>
            <w:gridSpan w:val="2"/>
            <w:vAlign w:val="center"/>
          </w:tcPr>
          <w:p w14:paraId="69DBD12C">
            <w:pPr>
              <w:spacing w:line="240" w:lineRule="auto"/>
              <w:ind w:firstLine="0" w:firstLineChars="0"/>
              <w:jc w:val="center"/>
              <w:rPr>
                <w:color w:val="auto"/>
                <w:sz w:val="21"/>
                <w:szCs w:val="21"/>
              </w:rPr>
            </w:pPr>
            <w:r>
              <w:rPr>
                <w:color w:val="auto"/>
                <w:sz w:val="21"/>
                <w:szCs w:val="21"/>
              </w:rPr>
              <w:t>（）</w:t>
            </w:r>
          </w:p>
        </w:tc>
        <w:tc>
          <w:tcPr>
            <w:tcW w:w="679" w:type="pct"/>
            <w:gridSpan w:val="2"/>
            <w:vAlign w:val="center"/>
          </w:tcPr>
          <w:p w14:paraId="30F48018">
            <w:pPr>
              <w:spacing w:line="240" w:lineRule="auto"/>
              <w:ind w:firstLine="0" w:firstLineChars="0"/>
              <w:jc w:val="center"/>
              <w:rPr>
                <w:color w:val="auto"/>
                <w:sz w:val="21"/>
                <w:szCs w:val="21"/>
              </w:rPr>
            </w:pPr>
            <w:r>
              <w:rPr>
                <w:color w:val="auto"/>
                <w:sz w:val="21"/>
                <w:szCs w:val="21"/>
              </w:rPr>
              <w:t>（）</w:t>
            </w:r>
          </w:p>
        </w:tc>
        <w:tc>
          <w:tcPr>
            <w:tcW w:w="538" w:type="pct"/>
            <w:gridSpan w:val="3"/>
            <w:vAlign w:val="center"/>
          </w:tcPr>
          <w:p w14:paraId="2EE2DCE8">
            <w:pPr>
              <w:spacing w:line="240" w:lineRule="auto"/>
              <w:ind w:firstLine="0" w:firstLineChars="0"/>
              <w:jc w:val="center"/>
              <w:rPr>
                <w:color w:val="auto"/>
                <w:sz w:val="21"/>
                <w:szCs w:val="21"/>
              </w:rPr>
            </w:pPr>
            <w:r>
              <w:rPr>
                <w:color w:val="auto"/>
                <w:sz w:val="21"/>
                <w:szCs w:val="21"/>
              </w:rPr>
              <w:t>（）</w:t>
            </w:r>
          </w:p>
        </w:tc>
        <w:tc>
          <w:tcPr>
            <w:tcW w:w="885" w:type="pct"/>
            <w:gridSpan w:val="2"/>
            <w:vAlign w:val="center"/>
          </w:tcPr>
          <w:p w14:paraId="50416EFF">
            <w:pPr>
              <w:spacing w:line="240" w:lineRule="auto"/>
              <w:ind w:firstLine="0" w:firstLineChars="0"/>
              <w:jc w:val="center"/>
              <w:rPr>
                <w:color w:val="auto"/>
                <w:sz w:val="21"/>
                <w:szCs w:val="21"/>
              </w:rPr>
            </w:pPr>
            <w:r>
              <w:rPr>
                <w:color w:val="auto"/>
                <w:sz w:val="21"/>
                <w:szCs w:val="21"/>
              </w:rPr>
              <w:t>（）</w:t>
            </w:r>
          </w:p>
        </w:tc>
      </w:tr>
      <w:tr w14:paraId="1EC8B7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74D225CA">
            <w:pPr>
              <w:spacing w:line="240" w:lineRule="auto"/>
              <w:ind w:firstLine="0" w:firstLineChars="0"/>
              <w:rPr>
                <w:color w:val="auto"/>
                <w:sz w:val="21"/>
                <w:szCs w:val="21"/>
              </w:rPr>
            </w:pPr>
          </w:p>
        </w:tc>
        <w:tc>
          <w:tcPr>
            <w:tcW w:w="904" w:type="pct"/>
            <w:vAlign w:val="center"/>
          </w:tcPr>
          <w:p w14:paraId="3D00BCE1">
            <w:pPr>
              <w:spacing w:line="240" w:lineRule="auto"/>
              <w:ind w:firstLine="0" w:firstLineChars="0"/>
              <w:jc w:val="center"/>
              <w:rPr>
                <w:color w:val="auto"/>
                <w:sz w:val="21"/>
                <w:szCs w:val="21"/>
              </w:rPr>
            </w:pPr>
            <w:r>
              <w:rPr>
                <w:color w:val="auto"/>
                <w:sz w:val="21"/>
                <w:szCs w:val="21"/>
              </w:rPr>
              <w:t>生态流量确定</w:t>
            </w:r>
          </w:p>
        </w:tc>
        <w:tc>
          <w:tcPr>
            <w:tcW w:w="3875" w:type="pct"/>
            <w:gridSpan w:val="11"/>
            <w:vAlign w:val="center"/>
          </w:tcPr>
          <w:p w14:paraId="605ADF60">
            <w:pPr>
              <w:spacing w:line="240" w:lineRule="auto"/>
              <w:ind w:firstLine="0" w:firstLineChars="0"/>
              <w:jc w:val="center"/>
              <w:rPr>
                <w:color w:val="auto"/>
                <w:sz w:val="21"/>
                <w:szCs w:val="21"/>
              </w:rPr>
            </w:pPr>
            <w:r>
              <w:rPr>
                <w:color w:val="auto"/>
                <w:sz w:val="21"/>
                <w:szCs w:val="21"/>
                <w:lang w:bidi="ar"/>
              </w:rPr>
              <w:t>生态流量：一般水期（）m</w:t>
            </w:r>
            <w:r>
              <w:rPr>
                <w:color w:val="auto"/>
                <w:sz w:val="21"/>
                <w:szCs w:val="21"/>
                <w:vertAlign w:val="superscript"/>
                <w:lang w:bidi="ar"/>
              </w:rPr>
              <w:t>3</w:t>
            </w:r>
            <w:r>
              <w:rPr>
                <w:color w:val="auto"/>
                <w:sz w:val="21"/>
                <w:szCs w:val="21"/>
                <w:lang w:bidi="ar"/>
              </w:rPr>
              <w:t>/s；鱼类繁殖期（）m</w:t>
            </w:r>
            <w:r>
              <w:rPr>
                <w:color w:val="auto"/>
                <w:sz w:val="21"/>
                <w:szCs w:val="21"/>
                <w:vertAlign w:val="superscript"/>
                <w:lang w:bidi="ar"/>
              </w:rPr>
              <w:t>3</w:t>
            </w:r>
            <w:r>
              <w:rPr>
                <w:color w:val="auto"/>
                <w:sz w:val="21"/>
                <w:szCs w:val="21"/>
                <w:lang w:bidi="ar"/>
              </w:rPr>
              <w:t>/s；其他（）m</w:t>
            </w:r>
            <w:r>
              <w:rPr>
                <w:color w:val="auto"/>
                <w:sz w:val="21"/>
                <w:szCs w:val="21"/>
                <w:vertAlign w:val="superscript"/>
                <w:lang w:bidi="ar"/>
              </w:rPr>
              <w:t>3</w:t>
            </w:r>
            <w:r>
              <w:rPr>
                <w:color w:val="auto"/>
                <w:sz w:val="21"/>
                <w:szCs w:val="21"/>
                <w:lang w:bidi="ar"/>
              </w:rPr>
              <w:t>/s</w:t>
            </w:r>
          </w:p>
          <w:p w14:paraId="19384556">
            <w:pPr>
              <w:spacing w:line="240" w:lineRule="auto"/>
              <w:ind w:firstLine="0" w:firstLineChars="0"/>
              <w:jc w:val="center"/>
              <w:rPr>
                <w:color w:val="auto"/>
                <w:sz w:val="21"/>
                <w:szCs w:val="21"/>
              </w:rPr>
            </w:pPr>
            <w:r>
              <w:rPr>
                <w:color w:val="auto"/>
                <w:sz w:val="21"/>
                <w:szCs w:val="21"/>
              </w:rPr>
              <w:t>生态水位：一般水期（）m；鱼类繁殖期（）m；其他（）m</w:t>
            </w:r>
          </w:p>
        </w:tc>
      </w:tr>
      <w:tr w14:paraId="0090EF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restart"/>
            <w:vAlign w:val="center"/>
          </w:tcPr>
          <w:p w14:paraId="1532B45C">
            <w:pPr>
              <w:spacing w:line="240" w:lineRule="auto"/>
              <w:ind w:firstLine="0" w:firstLineChars="0"/>
              <w:jc w:val="center"/>
              <w:rPr>
                <w:color w:val="auto"/>
                <w:sz w:val="21"/>
                <w:szCs w:val="21"/>
              </w:rPr>
            </w:pPr>
            <w:r>
              <w:rPr>
                <w:color w:val="auto"/>
                <w:sz w:val="21"/>
                <w:szCs w:val="21"/>
              </w:rPr>
              <w:t>防治措施</w:t>
            </w:r>
          </w:p>
        </w:tc>
        <w:tc>
          <w:tcPr>
            <w:tcW w:w="904" w:type="pct"/>
            <w:vAlign w:val="center"/>
          </w:tcPr>
          <w:p w14:paraId="553DF162">
            <w:pPr>
              <w:spacing w:line="240" w:lineRule="auto"/>
              <w:ind w:firstLine="0" w:firstLineChars="0"/>
              <w:jc w:val="center"/>
              <w:rPr>
                <w:color w:val="auto"/>
                <w:sz w:val="21"/>
                <w:szCs w:val="21"/>
              </w:rPr>
            </w:pPr>
            <w:r>
              <w:rPr>
                <w:color w:val="auto"/>
                <w:sz w:val="21"/>
                <w:szCs w:val="21"/>
              </w:rPr>
              <w:t>环保措施</w:t>
            </w:r>
          </w:p>
        </w:tc>
        <w:tc>
          <w:tcPr>
            <w:tcW w:w="3875" w:type="pct"/>
            <w:gridSpan w:val="11"/>
            <w:vAlign w:val="center"/>
          </w:tcPr>
          <w:p w14:paraId="44620CC6">
            <w:pPr>
              <w:spacing w:line="240" w:lineRule="auto"/>
              <w:ind w:firstLine="0" w:firstLineChars="0"/>
              <w:jc w:val="center"/>
              <w:rPr>
                <w:color w:val="auto"/>
                <w:sz w:val="21"/>
                <w:szCs w:val="21"/>
              </w:rPr>
            </w:pPr>
            <w:r>
              <w:rPr>
                <w:color w:val="auto"/>
                <w:sz w:val="21"/>
                <w:szCs w:val="21"/>
              </w:rPr>
              <w:t>污水处理设施 √；水文减缓设施 □；生态流量保障设施□；区域削减 □；依托其他工程措施□；其他□</w:t>
            </w:r>
          </w:p>
        </w:tc>
      </w:tr>
      <w:tr w14:paraId="206519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533D3CB3">
            <w:pPr>
              <w:spacing w:line="240" w:lineRule="auto"/>
              <w:ind w:firstLine="0" w:firstLineChars="0"/>
              <w:rPr>
                <w:color w:val="auto"/>
                <w:sz w:val="21"/>
                <w:szCs w:val="21"/>
              </w:rPr>
            </w:pPr>
          </w:p>
        </w:tc>
        <w:tc>
          <w:tcPr>
            <w:tcW w:w="904" w:type="pct"/>
            <w:vMerge w:val="restart"/>
            <w:vAlign w:val="center"/>
          </w:tcPr>
          <w:p w14:paraId="6F4E89A6">
            <w:pPr>
              <w:spacing w:line="240" w:lineRule="auto"/>
              <w:ind w:firstLine="0" w:firstLineChars="0"/>
              <w:jc w:val="center"/>
              <w:rPr>
                <w:color w:val="auto"/>
                <w:sz w:val="21"/>
                <w:szCs w:val="21"/>
              </w:rPr>
            </w:pPr>
            <w:r>
              <w:rPr>
                <w:color w:val="auto"/>
                <w:sz w:val="21"/>
                <w:szCs w:val="21"/>
              </w:rPr>
              <w:t>监测计划</w:t>
            </w:r>
          </w:p>
        </w:tc>
        <w:tc>
          <w:tcPr>
            <w:tcW w:w="427" w:type="pct"/>
            <w:vAlign w:val="center"/>
          </w:tcPr>
          <w:p w14:paraId="33039CD1">
            <w:pPr>
              <w:spacing w:line="240" w:lineRule="auto"/>
              <w:ind w:firstLine="0" w:firstLineChars="0"/>
              <w:jc w:val="center"/>
              <w:rPr>
                <w:color w:val="auto"/>
                <w:sz w:val="21"/>
                <w:szCs w:val="21"/>
              </w:rPr>
            </w:pPr>
          </w:p>
        </w:tc>
        <w:tc>
          <w:tcPr>
            <w:tcW w:w="1620" w:type="pct"/>
            <w:gridSpan w:val="4"/>
            <w:vAlign w:val="center"/>
          </w:tcPr>
          <w:p w14:paraId="2CA3CCFA">
            <w:pPr>
              <w:spacing w:line="240" w:lineRule="auto"/>
              <w:ind w:firstLine="0" w:firstLineChars="0"/>
              <w:jc w:val="center"/>
              <w:rPr>
                <w:color w:val="auto"/>
                <w:sz w:val="21"/>
                <w:szCs w:val="21"/>
              </w:rPr>
            </w:pPr>
            <w:r>
              <w:rPr>
                <w:color w:val="auto"/>
                <w:sz w:val="21"/>
                <w:szCs w:val="21"/>
              </w:rPr>
              <w:t>环境质量</w:t>
            </w:r>
          </w:p>
        </w:tc>
        <w:tc>
          <w:tcPr>
            <w:tcW w:w="1828" w:type="pct"/>
            <w:gridSpan w:val="6"/>
            <w:vAlign w:val="center"/>
          </w:tcPr>
          <w:p w14:paraId="22FB5E80">
            <w:pPr>
              <w:spacing w:line="240" w:lineRule="auto"/>
              <w:ind w:firstLine="0" w:firstLineChars="0"/>
              <w:jc w:val="center"/>
              <w:rPr>
                <w:color w:val="auto"/>
                <w:sz w:val="21"/>
                <w:szCs w:val="21"/>
              </w:rPr>
            </w:pPr>
            <w:r>
              <w:rPr>
                <w:color w:val="auto"/>
                <w:sz w:val="21"/>
                <w:szCs w:val="21"/>
              </w:rPr>
              <w:t>污染源</w:t>
            </w:r>
          </w:p>
        </w:tc>
      </w:tr>
      <w:tr w14:paraId="269267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6190753A">
            <w:pPr>
              <w:spacing w:line="240" w:lineRule="auto"/>
              <w:ind w:firstLine="0" w:firstLineChars="0"/>
              <w:rPr>
                <w:color w:val="auto"/>
                <w:sz w:val="21"/>
                <w:szCs w:val="21"/>
              </w:rPr>
            </w:pPr>
          </w:p>
        </w:tc>
        <w:tc>
          <w:tcPr>
            <w:tcW w:w="904" w:type="pct"/>
            <w:vMerge w:val="continue"/>
            <w:vAlign w:val="center"/>
          </w:tcPr>
          <w:p w14:paraId="7DEE2C93">
            <w:pPr>
              <w:spacing w:line="240" w:lineRule="auto"/>
              <w:ind w:firstLine="0" w:firstLineChars="0"/>
              <w:rPr>
                <w:color w:val="auto"/>
                <w:sz w:val="21"/>
                <w:szCs w:val="21"/>
              </w:rPr>
            </w:pPr>
          </w:p>
        </w:tc>
        <w:tc>
          <w:tcPr>
            <w:tcW w:w="427" w:type="pct"/>
            <w:vAlign w:val="center"/>
          </w:tcPr>
          <w:p w14:paraId="353102EE">
            <w:pPr>
              <w:spacing w:line="240" w:lineRule="auto"/>
              <w:ind w:firstLine="0" w:firstLineChars="0"/>
              <w:jc w:val="center"/>
              <w:rPr>
                <w:color w:val="auto"/>
                <w:sz w:val="21"/>
                <w:szCs w:val="21"/>
              </w:rPr>
            </w:pPr>
            <w:r>
              <w:rPr>
                <w:color w:val="auto"/>
                <w:sz w:val="21"/>
                <w:szCs w:val="21"/>
              </w:rPr>
              <w:t>监测方式</w:t>
            </w:r>
          </w:p>
        </w:tc>
        <w:tc>
          <w:tcPr>
            <w:tcW w:w="1620" w:type="pct"/>
            <w:gridSpan w:val="4"/>
            <w:vAlign w:val="center"/>
          </w:tcPr>
          <w:p w14:paraId="344A444C">
            <w:pPr>
              <w:spacing w:line="240" w:lineRule="auto"/>
              <w:ind w:firstLine="0" w:firstLineChars="0"/>
              <w:jc w:val="center"/>
              <w:rPr>
                <w:color w:val="auto"/>
                <w:sz w:val="21"/>
                <w:szCs w:val="21"/>
              </w:rPr>
            </w:pPr>
            <w:r>
              <w:rPr>
                <w:color w:val="auto"/>
                <w:sz w:val="21"/>
                <w:szCs w:val="21"/>
              </w:rPr>
              <w:t>手动□；自动□；无监测□</w:t>
            </w:r>
          </w:p>
        </w:tc>
        <w:tc>
          <w:tcPr>
            <w:tcW w:w="1828" w:type="pct"/>
            <w:gridSpan w:val="6"/>
            <w:vAlign w:val="center"/>
          </w:tcPr>
          <w:p w14:paraId="202AD74D">
            <w:pPr>
              <w:spacing w:line="240" w:lineRule="auto"/>
              <w:ind w:firstLine="0" w:firstLineChars="0"/>
              <w:jc w:val="center"/>
              <w:rPr>
                <w:color w:val="auto"/>
                <w:sz w:val="21"/>
                <w:szCs w:val="21"/>
              </w:rPr>
            </w:pPr>
            <w:r>
              <w:rPr>
                <w:color w:val="auto"/>
                <w:sz w:val="21"/>
                <w:szCs w:val="21"/>
              </w:rPr>
              <w:t>手动√；自动√；无监测□</w:t>
            </w:r>
          </w:p>
        </w:tc>
      </w:tr>
      <w:tr w14:paraId="0C1B5E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599CAB53">
            <w:pPr>
              <w:spacing w:line="240" w:lineRule="auto"/>
              <w:ind w:firstLine="0" w:firstLineChars="0"/>
              <w:rPr>
                <w:color w:val="auto"/>
                <w:sz w:val="21"/>
                <w:szCs w:val="21"/>
              </w:rPr>
            </w:pPr>
          </w:p>
        </w:tc>
        <w:tc>
          <w:tcPr>
            <w:tcW w:w="904" w:type="pct"/>
            <w:vMerge w:val="continue"/>
            <w:vAlign w:val="center"/>
          </w:tcPr>
          <w:p w14:paraId="6A657414">
            <w:pPr>
              <w:spacing w:line="240" w:lineRule="auto"/>
              <w:ind w:firstLine="0" w:firstLineChars="0"/>
              <w:rPr>
                <w:color w:val="auto"/>
                <w:sz w:val="21"/>
                <w:szCs w:val="21"/>
              </w:rPr>
            </w:pPr>
          </w:p>
        </w:tc>
        <w:tc>
          <w:tcPr>
            <w:tcW w:w="427" w:type="pct"/>
            <w:vAlign w:val="center"/>
          </w:tcPr>
          <w:p w14:paraId="512316CE">
            <w:pPr>
              <w:spacing w:line="240" w:lineRule="auto"/>
              <w:ind w:firstLine="0" w:firstLineChars="0"/>
              <w:jc w:val="center"/>
              <w:rPr>
                <w:color w:val="auto"/>
                <w:sz w:val="21"/>
                <w:szCs w:val="21"/>
              </w:rPr>
            </w:pPr>
            <w:r>
              <w:rPr>
                <w:color w:val="auto"/>
                <w:sz w:val="21"/>
                <w:szCs w:val="21"/>
              </w:rPr>
              <w:t>监测点位</w:t>
            </w:r>
          </w:p>
        </w:tc>
        <w:tc>
          <w:tcPr>
            <w:tcW w:w="1620" w:type="pct"/>
            <w:gridSpan w:val="4"/>
            <w:vAlign w:val="center"/>
          </w:tcPr>
          <w:p w14:paraId="4A2EBA1F">
            <w:pPr>
              <w:spacing w:line="240" w:lineRule="auto"/>
              <w:ind w:firstLine="0" w:firstLineChars="0"/>
              <w:jc w:val="center"/>
              <w:rPr>
                <w:color w:val="auto"/>
                <w:sz w:val="21"/>
                <w:szCs w:val="21"/>
              </w:rPr>
            </w:pPr>
            <w:r>
              <w:rPr>
                <w:color w:val="auto"/>
                <w:sz w:val="21"/>
                <w:szCs w:val="21"/>
              </w:rPr>
              <w:t>（）</w:t>
            </w:r>
          </w:p>
        </w:tc>
        <w:tc>
          <w:tcPr>
            <w:tcW w:w="914" w:type="pct"/>
            <w:gridSpan w:val="3"/>
            <w:vAlign w:val="center"/>
          </w:tcPr>
          <w:p w14:paraId="7DA71691">
            <w:pPr>
              <w:spacing w:line="240" w:lineRule="auto"/>
              <w:ind w:firstLine="0" w:firstLineChars="0"/>
              <w:jc w:val="center"/>
              <w:rPr>
                <w:color w:val="auto"/>
                <w:sz w:val="21"/>
                <w:szCs w:val="21"/>
              </w:rPr>
            </w:pPr>
            <w:r>
              <w:rPr>
                <w:rFonts w:hint="eastAsia"/>
                <w:color w:val="auto"/>
                <w:sz w:val="21"/>
                <w:szCs w:val="21"/>
              </w:rPr>
              <w:t>污水总排口</w:t>
            </w:r>
          </w:p>
        </w:tc>
        <w:tc>
          <w:tcPr>
            <w:tcW w:w="914" w:type="pct"/>
            <w:gridSpan w:val="3"/>
            <w:vAlign w:val="center"/>
          </w:tcPr>
          <w:p w14:paraId="0E19BAAE">
            <w:pPr>
              <w:spacing w:line="240" w:lineRule="auto"/>
              <w:ind w:firstLine="0" w:firstLineChars="0"/>
              <w:jc w:val="center"/>
              <w:rPr>
                <w:color w:val="auto"/>
                <w:sz w:val="21"/>
                <w:szCs w:val="21"/>
              </w:rPr>
            </w:pPr>
            <w:r>
              <w:rPr>
                <w:rFonts w:hint="eastAsia"/>
                <w:color w:val="auto"/>
                <w:sz w:val="21"/>
                <w:szCs w:val="21"/>
              </w:rPr>
              <w:t>雨水总排口</w:t>
            </w:r>
          </w:p>
        </w:tc>
      </w:tr>
      <w:tr w14:paraId="19341A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11009FC9">
            <w:pPr>
              <w:spacing w:line="240" w:lineRule="auto"/>
              <w:ind w:firstLine="0" w:firstLineChars="0"/>
              <w:rPr>
                <w:color w:val="auto"/>
                <w:sz w:val="21"/>
                <w:szCs w:val="21"/>
              </w:rPr>
            </w:pPr>
          </w:p>
        </w:tc>
        <w:tc>
          <w:tcPr>
            <w:tcW w:w="904" w:type="pct"/>
            <w:vMerge w:val="continue"/>
            <w:vAlign w:val="center"/>
          </w:tcPr>
          <w:p w14:paraId="5FFE8EC0">
            <w:pPr>
              <w:spacing w:line="240" w:lineRule="auto"/>
              <w:ind w:firstLine="0" w:firstLineChars="0"/>
              <w:rPr>
                <w:color w:val="auto"/>
                <w:sz w:val="21"/>
                <w:szCs w:val="21"/>
              </w:rPr>
            </w:pPr>
          </w:p>
        </w:tc>
        <w:tc>
          <w:tcPr>
            <w:tcW w:w="427" w:type="pct"/>
            <w:vAlign w:val="center"/>
          </w:tcPr>
          <w:p w14:paraId="43B74673">
            <w:pPr>
              <w:spacing w:line="240" w:lineRule="auto"/>
              <w:ind w:firstLine="0" w:firstLineChars="0"/>
              <w:jc w:val="center"/>
              <w:rPr>
                <w:color w:val="auto"/>
                <w:sz w:val="21"/>
                <w:szCs w:val="21"/>
              </w:rPr>
            </w:pPr>
            <w:r>
              <w:rPr>
                <w:color w:val="auto"/>
                <w:sz w:val="21"/>
                <w:szCs w:val="21"/>
              </w:rPr>
              <w:t>监测因子</w:t>
            </w:r>
          </w:p>
        </w:tc>
        <w:tc>
          <w:tcPr>
            <w:tcW w:w="1620" w:type="pct"/>
            <w:gridSpan w:val="4"/>
            <w:vAlign w:val="center"/>
          </w:tcPr>
          <w:p w14:paraId="6916766D">
            <w:pPr>
              <w:spacing w:line="240" w:lineRule="auto"/>
              <w:ind w:firstLine="0" w:firstLineChars="0"/>
              <w:jc w:val="center"/>
              <w:rPr>
                <w:color w:val="auto"/>
                <w:sz w:val="21"/>
                <w:szCs w:val="21"/>
              </w:rPr>
            </w:pPr>
            <w:r>
              <w:rPr>
                <w:color w:val="auto"/>
                <w:sz w:val="21"/>
                <w:szCs w:val="21"/>
              </w:rPr>
              <w:t>（）</w:t>
            </w:r>
          </w:p>
        </w:tc>
        <w:tc>
          <w:tcPr>
            <w:tcW w:w="914" w:type="pct"/>
            <w:gridSpan w:val="3"/>
            <w:vAlign w:val="center"/>
          </w:tcPr>
          <w:p w14:paraId="1DCA2CD6">
            <w:pPr>
              <w:spacing w:line="240" w:lineRule="auto"/>
              <w:ind w:firstLine="0" w:firstLineChars="0"/>
              <w:jc w:val="center"/>
              <w:rPr>
                <w:color w:val="auto"/>
                <w:sz w:val="21"/>
                <w:szCs w:val="21"/>
              </w:rPr>
            </w:pPr>
            <w:r>
              <w:rPr>
                <w:rFonts w:hint="eastAsia"/>
                <w:color w:val="auto"/>
                <w:sz w:val="21"/>
                <w:szCs w:val="21"/>
              </w:rPr>
              <w:t>pH、COD、SS、氨氮、总磷、总氮、石油类</w:t>
            </w:r>
          </w:p>
        </w:tc>
        <w:tc>
          <w:tcPr>
            <w:tcW w:w="914" w:type="pct"/>
            <w:gridSpan w:val="3"/>
            <w:vAlign w:val="center"/>
          </w:tcPr>
          <w:p w14:paraId="7026BD2B">
            <w:pPr>
              <w:spacing w:line="240" w:lineRule="auto"/>
              <w:ind w:firstLine="0" w:firstLineChars="0"/>
              <w:jc w:val="center"/>
              <w:rPr>
                <w:color w:val="auto"/>
                <w:sz w:val="21"/>
                <w:szCs w:val="21"/>
              </w:rPr>
            </w:pPr>
            <w:r>
              <w:rPr>
                <w:color w:val="auto"/>
                <w:sz w:val="21"/>
                <w:szCs w:val="21"/>
              </w:rPr>
              <w:t>pH、COD、</w:t>
            </w:r>
            <w:r>
              <w:rPr>
                <w:rFonts w:hint="eastAsia"/>
                <w:color w:val="auto"/>
                <w:sz w:val="21"/>
                <w:szCs w:val="21"/>
              </w:rPr>
              <w:t>SS、</w:t>
            </w:r>
            <w:r>
              <w:rPr>
                <w:color w:val="auto"/>
                <w:sz w:val="21"/>
                <w:szCs w:val="21"/>
              </w:rPr>
              <w:t>氨氮</w:t>
            </w:r>
          </w:p>
        </w:tc>
      </w:tr>
      <w:tr w14:paraId="6DA598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221" w:type="pct"/>
            <w:vMerge w:val="continue"/>
            <w:vAlign w:val="center"/>
          </w:tcPr>
          <w:p w14:paraId="7ED643BE">
            <w:pPr>
              <w:spacing w:line="240" w:lineRule="auto"/>
              <w:ind w:firstLine="0" w:firstLineChars="0"/>
              <w:rPr>
                <w:color w:val="auto"/>
                <w:sz w:val="21"/>
                <w:szCs w:val="21"/>
              </w:rPr>
            </w:pPr>
          </w:p>
        </w:tc>
        <w:tc>
          <w:tcPr>
            <w:tcW w:w="904" w:type="pct"/>
            <w:vAlign w:val="center"/>
          </w:tcPr>
          <w:p w14:paraId="7CF1D6BE">
            <w:pPr>
              <w:spacing w:line="240" w:lineRule="auto"/>
              <w:ind w:firstLine="0" w:firstLineChars="0"/>
              <w:jc w:val="center"/>
              <w:rPr>
                <w:color w:val="auto"/>
                <w:sz w:val="21"/>
                <w:szCs w:val="21"/>
              </w:rPr>
            </w:pPr>
            <w:r>
              <w:rPr>
                <w:color w:val="auto"/>
                <w:sz w:val="21"/>
                <w:szCs w:val="21"/>
              </w:rPr>
              <w:t>污染物排放清单</w:t>
            </w:r>
          </w:p>
        </w:tc>
        <w:tc>
          <w:tcPr>
            <w:tcW w:w="3875" w:type="pct"/>
            <w:gridSpan w:val="11"/>
            <w:vAlign w:val="center"/>
          </w:tcPr>
          <w:p w14:paraId="64C827A4">
            <w:pPr>
              <w:spacing w:line="240" w:lineRule="auto"/>
              <w:ind w:firstLine="0" w:firstLineChars="0"/>
              <w:jc w:val="center"/>
              <w:rPr>
                <w:color w:val="auto"/>
                <w:sz w:val="21"/>
                <w:szCs w:val="21"/>
              </w:rPr>
            </w:pPr>
            <w:r>
              <w:rPr>
                <w:color w:val="auto"/>
                <w:sz w:val="21"/>
                <w:szCs w:val="21"/>
              </w:rPr>
              <w:t>√</w:t>
            </w:r>
          </w:p>
        </w:tc>
      </w:tr>
      <w:tr w14:paraId="0AE4CE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125" w:type="pct"/>
            <w:gridSpan w:val="2"/>
            <w:vAlign w:val="center"/>
          </w:tcPr>
          <w:p w14:paraId="04E09208">
            <w:pPr>
              <w:spacing w:line="240" w:lineRule="auto"/>
              <w:ind w:firstLine="0" w:firstLineChars="0"/>
              <w:jc w:val="center"/>
              <w:rPr>
                <w:color w:val="auto"/>
                <w:sz w:val="21"/>
                <w:szCs w:val="21"/>
              </w:rPr>
            </w:pPr>
            <w:r>
              <w:rPr>
                <w:color w:val="auto"/>
                <w:sz w:val="21"/>
                <w:szCs w:val="21"/>
              </w:rPr>
              <w:t>评价结论</w:t>
            </w:r>
          </w:p>
        </w:tc>
        <w:tc>
          <w:tcPr>
            <w:tcW w:w="3875" w:type="pct"/>
            <w:gridSpan w:val="11"/>
            <w:vAlign w:val="center"/>
          </w:tcPr>
          <w:p w14:paraId="364EDF99">
            <w:pPr>
              <w:spacing w:line="240" w:lineRule="auto"/>
              <w:ind w:firstLine="0" w:firstLineChars="0"/>
              <w:jc w:val="center"/>
              <w:rPr>
                <w:color w:val="auto"/>
                <w:sz w:val="21"/>
                <w:szCs w:val="21"/>
              </w:rPr>
            </w:pPr>
            <w:r>
              <w:rPr>
                <w:color w:val="auto"/>
                <w:sz w:val="21"/>
                <w:szCs w:val="21"/>
              </w:rPr>
              <w:t>可以接受√；不可以接受□</w:t>
            </w:r>
          </w:p>
        </w:tc>
      </w:tr>
      <w:tr w14:paraId="678450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000" w:type="pct"/>
            <w:gridSpan w:val="13"/>
            <w:vAlign w:val="center"/>
          </w:tcPr>
          <w:p w14:paraId="06C8FC50">
            <w:pPr>
              <w:spacing w:line="240" w:lineRule="auto"/>
              <w:ind w:firstLine="0" w:firstLineChars="0"/>
              <w:jc w:val="center"/>
              <w:rPr>
                <w:color w:val="auto"/>
                <w:sz w:val="21"/>
                <w:szCs w:val="21"/>
              </w:rPr>
            </w:pPr>
            <w:r>
              <w:rPr>
                <w:color w:val="auto"/>
                <w:sz w:val="21"/>
                <w:szCs w:val="21"/>
              </w:rPr>
              <w:t>注：“□”为勾选项，可打√；“（）”为内容填写项；“备注”为其他补充内容。</w:t>
            </w:r>
          </w:p>
        </w:tc>
      </w:tr>
    </w:tbl>
    <w:p w14:paraId="5A018A0D">
      <w:pPr>
        <w:pStyle w:val="3"/>
        <w:spacing w:before="312"/>
        <w:rPr>
          <w:color w:val="auto"/>
        </w:rPr>
      </w:pPr>
      <w:bookmarkStart w:id="204" w:name="_Toc13324"/>
      <w:r>
        <w:rPr>
          <w:rFonts w:hint="eastAsia"/>
          <w:color w:val="auto"/>
        </w:rPr>
        <w:t>6.3声环境影响预测与评价</w:t>
      </w:r>
      <w:bookmarkEnd w:id="204"/>
    </w:p>
    <w:p w14:paraId="0819ECB1">
      <w:pPr>
        <w:pStyle w:val="4"/>
        <w:rPr>
          <w:color w:val="auto"/>
        </w:rPr>
      </w:pPr>
      <w:bookmarkStart w:id="205" w:name="_Toc18278"/>
      <w:r>
        <w:rPr>
          <w:rFonts w:hint="eastAsia"/>
          <w:color w:val="auto"/>
        </w:rPr>
        <w:t>6.3.1主要噪声源</w:t>
      </w:r>
      <w:bookmarkEnd w:id="205"/>
    </w:p>
    <w:p w14:paraId="6599FF37">
      <w:pPr>
        <w:ind w:firstLine="480"/>
        <w:rPr>
          <w:color w:val="auto"/>
        </w:rPr>
      </w:pPr>
      <w:r>
        <w:rPr>
          <w:color w:val="auto"/>
        </w:rPr>
        <w:t>本项目生产设备、公辅设施、环保设施均依托现有项目，不新增</w:t>
      </w:r>
      <w:r>
        <w:rPr>
          <w:rFonts w:hint="eastAsia"/>
          <w:color w:val="auto"/>
        </w:rPr>
        <w:t>生产</w:t>
      </w:r>
      <w:r>
        <w:rPr>
          <w:color w:val="auto"/>
        </w:rPr>
        <w:t>设备。本底值已考虑</w:t>
      </w:r>
      <w:r>
        <w:rPr>
          <w:rFonts w:hint="eastAsia"/>
          <w:color w:val="auto"/>
        </w:rPr>
        <w:t>现有</w:t>
      </w:r>
      <w:r>
        <w:rPr>
          <w:color w:val="auto"/>
        </w:rPr>
        <w:t>噪声设备影响，本次预测不再重复进行叠加计算，仅考虑在建拟建项目影响。</w:t>
      </w:r>
    </w:p>
    <w:p w14:paraId="5FE0D4AB">
      <w:pPr>
        <w:pStyle w:val="4"/>
        <w:rPr>
          <w:color w:val="auto"/>
        </w:rPr>
      </w:pPr>
      <w:bookmarkStart w:id="206" w:name="_Toc25240"/>
      <w:r>
        <w:rPr>
          <w:rFonts w:hint="eastAsia"/>
          <w:color w:val="auto"/>
        </w:rPr>
        <w:t>6.3.2预测模型</w:t>
      </w:r>
      <w:bookmarkEnd w:id="206"/>
    </w:p>
    <w:p w14:paraId="4F4B8F58">
      <w:pPr>
        <w:ind w:firstLine="480"/>
        <w:rPr>
          <w:color w:val="auto"/>
        </w:rPr>
      </w:pPr>
      <w:r>
        <w:rPr>
          <w:color w:val="auto"/>
        </w:rPr>
        <w:t>预测采用《环境影评价技术导则 声环境》（HJ2.4-2021）中推荐的相应预测模式。</w:t>
      </w:r>
    </w:p>
    <w:p w14:paraId="20C6FA0A">
      <w:pPr>
        <w:ind w:firstLine="480"/>
        <w:rPr>
          <w:color w:val="auto"/>
        </w:rPr>
      </w:pPr>
      <w:r>
        <w:rPr>
          <w:color w:val="auto"/>
        </w:rPr>
        <w:t>（1）室内声源在预测点的声压级计算</w:t>
      </w:r>
    </w:p>
    <w:p w14:paraId="0C7307A9">
      <w:pPr>
        <w:ind w:firstLine="480"/>
        <w:rPr>
          <w:color w:val="auto"/>
        </w:rPr>
      </w:pPr>
      <w:r>
        <w:rPr>
          <w:rFonts w:ascii="Cambria Math" w:hAnsi="Cambria Math" w:cs="Cambria Math"/>
          <w:color w:val="auto"/>
        </w:rPr>
        <w:t>①</w:t>
      </w:r>
      <w:r>
        <w:rPr>
          <w:color w:val="auto"/>
        </w:rPr>
        <w:t>首先计算出室内靠近围护结构处产生的倍频带声压级：</w:t>
      </w:r>
    </w:p>
    <w:p w14:paraId="33F99073">
      <w:pPr>
        <w:spacing w:line="240" w:lineRule="auto"/>
        <w:ind w:firstLine="480"/>
        <w:rPr>
          <w:color w:val="auto"/>
        </w:rPr>
      </w:pPr>
      <w:r>
        <w:rPr>
          <w:i/>
          <w:color w:val="auto"/>
        </w:rPr>
        <w:drawing>
          <wp:inline distT="0" distB="0" distL="0" distR="0">
            <wp:extent cx="2171700" cy="476250"/>
            <wp:effectExtent l="0" t="0" r="0" b="0"/>
            <wp:docPr id="195563820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38206" name="图片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171700" cy="476250"/>
                    </a:xfrm>
                    <a:prstGeom prst="rect">
                      <a:avLst/>
                    </a:prstGeom>
                    <a:noFill/>
                    <a:ln>
                      <a:noFill/>
                    </a:ln>
                  </pic:spPr>
                </pic:pic>
              </a:graphicData>
            </a:graphic>
          </wp:inline>
        </w:drawing>
      </w:r>
    </w:p>
    <w:p w14:paraId="08274C25">
      <w:pPr>
        <w:ind w:firstLine="480"/>
        <w:rPr>
          <w:color w:val="auto"/>
        </w:rPr>
      </w:pPr>
      <w:r>
        <w:rPr>
          <w:color w:val="auto"/>
        </w:rPr>
        <w:t>式中：</w:t>
      </w:r>
      <w:r>
        <w:rPr>
          <w:i/>
          <w:iCs/>
          <w:color w:val="auto"/>
        </w:rPr>
        <w:t>L</w:t>
      </w:r>
      <w:r>
        <w:rPr>
          <w:i/>
          <w:iCs/>
          <w:color w:val="auto"/>
          <w:vertAlign w:val="subscript"/>
        </w:rPr>
        <w:t>p</w:t>
      </w:r>
      <w:r>
        <w:rPr>
          <w:color w:val="auto"/>
          <w:vertAlign w:val="subscript"/>
        </w:rPr>
        <w:t>l</w:t>
      </w:r>
      <w:r>
        <w:rPr>
          <w:color w:val="auto"/>
        </w:rPr>
        <w:t xml:space="preserve">—靠近开口处（或窗户）室内某倍频带的声压级或 A 声级，dB； </w:t>
      </w:r>
    </w:p>
    <w:p w14:paraId="66A0DC0A">
      <w:pPr>
        <w:ind w:firstLine="480"/>
        <w:rPr>
          <w:color w:val="auto"/>
        </w:rPr>
      </w:pPr>
      <w:r>
        <w:rPr>
          <w:i/>
          <w:iCs/>
          <w:color w:val="auto"/>
        </w:rPr>
        <w:t xml:space="preserve">Lw </w:t>
      </w:r>
      <w:r>
        <w:rPr>
          <w:color w:val="auto"/>
        </w:rPr>
        <w:t xml:space="preserve">—点声源声功率级（A 计权或倍频带），dB； </w:t>
      </w:r>
    </w:p>
    <w:p w14:paraId="4426591A">
      <w:pPr>
        <w:ind w:firstLine="480"/>
        <w:rPr>
          <w:color w:val="auto"/>
        </w:rPr>
      </w:pPr>
      <w:r>
        <w:rPr>
          <w:i/>
          <w:iCs/>
          <w:color w:val="auto"/>
        </w:rPr>
        <w:t>Q</w:t>
      </w:r>
      <w:r>
        <w:rPr>
          <w:color w:val="auto"/>
        </w:rPr>
        <w:t xml:space="preserve">—指向性因数； </w:t>
      </w:r>
    </w:p>
    <w:p w14:paraId="0E3522C0">
      <w:pPr>
        <w:ind w:firstLine="480"/>
        <w:rPr>
          <w:color w:val="auto"/>
        </w:rPr>
      </w:pPr>
      <w:r>
        <w:rPr>
          <w:color w:val="auto"/>
        </w:rPr>
        <w:t>R-房间常数；</w:t>
      </w:r>
    </w:p>
    <w:p w14:paraId="2782CD3C">
      <w:pPr>
        <w:ind w:firstLine="480"/>
        <w:rPr>
          <w:color w:val="auto"/>
        </w:rPr>
      </w:pPr>
      <w:r>
        <w:rPr>
          <w:color w:val="auto"/>
        </w:rPr>
        <w:t>r一声源到靠近围护结构某点处的距离，m。</w:t>
      </w:r>
    </w:p>
    <w:p w14:paraId="60083416">
      <w:pPr>
        <w:ind w:firstLine="480"/>
        <w:rPr>
          <w:color w:val="auto"/>
        </w:rPr>
      </w:pPr>
      <w:r>
        <w:rPr>
          <w:rFonts w:ascii="Cambria Math" w:hAnsi="Cambria Math" w:cs="Cambria Math"/>
          <w:color w:val="auto"/>
        </w:rPr>
        <w:t>②</w:t>
      </w:r>
      <w:r>
        <w:rPr>
          <w:color w:val="auto"/>
        </w:rPr>
        <w:t>然后计算出所有室内声源在围护结构处产生的</w:t>
      </w:r>
      <w:r>
        <w:rPr>
          <w:iCs/>
          <w:color w:val="auto"/>
        </w:rPr>
        <w:t>i</w:t>
      </w:r>
      <w:r>
        <w:rPr>
          <w:color w:val="auto"/>
        </w:rPr>
        <w:t>倍频带叠加声压级：</w:t>
      </w:r>
    </w:p>
    <w:p w14:paraId="35C32029">
      <w:pPr>
        <w:spacing w:line="240" w:lineRule="auto"/>
        <w:ind w:firstLine="480"/>
        <w:rPr>
          <w:color w:val="auto"/>
        </w:rPr>
      </w:pPr>
      <w:r>
        <w:rPr>
          <w:color w:val="auto"/>
        </w:rPr>
        <w:drawing>
          <wp:inline distT="0" distB="0" distL="0" distR="0">
            <wp:extent cx="1838325" cy="457200"/>
            <wp:effectExtent l="0" t="0" r="0" b="0"/>
            <wp:docPr id="214240158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01583" name="图片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38325" cy="457200"/>
                    </a:xfrm>
                    <a:prstGeom prst="rect">
                      <a:avLst/>
                    </a:prstGeom>
                    <a:noFill/>
                    <a:ln>
                      <a:noFill/>
                    </a:ln>
                  </pic:spPr>
                </pic:pic>
              </a:graphicData>
            </a:graphic>
          </wp:inline>
        </w:drawing>
      </w:r>
    </w:p>
    <w:p w14:paraId="19B59B84">
      <w:pPr>
        <w:ind w:firstLine="480"/>
        <w:rPr>
          <w:color w:val="auto"/>
        </w:rPr>
      </w:pPr>
      <w:r>
        <w:rPr>
          <w:color w:val="auto"/>
        </w:rPr>
        <w:t>式中：</w:t>
      </w:r>
      <w:r>
        <w:rPr>
          <w:i/>
          <w:iCs/>
          <w:color w:val="auto"/>
        </w:rPr>
        <w:t>L</w:t>
      </w:r>
      <w:r>
        <w:rPr>
          <w:i/>
          <w:iCs/>
          <w:color w:val="auto"/>
          <w:vertAlign w:val="subscript"/>
        </w:rPr>
        <w:t>p</w:t>
      </w:r>
      <w:r>
        <w:rPr>
          <w:color w:val="auto"/>
          <w:vertAlign w:val="subscript"/>
        </w:rPr>
        <w:t>1i</w:t>
      </w:r>
      <w:r>
        <w:rPr>
          <w:color w:val="auto"/>
        </w:rPr>
        <w:t>（T）—靠近围护结构处室内</w:t>
      </w:r>
      <w:r>
        <w:rPr>
          <w:iCs/>
          <w:color w:val="auto"/>
        </w:rPr>
        <w:t>N</w:t>
      </w:r>
      <w:r>
        <w:rPr>
          <w:color w:val="auto"/>
        </w:rPr>
        <w:t>个声源</w:t>
      </w:r>
      <w:r>
        <w:rPr>
          <w:iCs/>
          <w:color w:val="auto"/>
        </w:rPr>
        <w:t>i</w:t>
      </w:r>
      <w:r>
        <w:rPr>
          <w:color w:val="auto"/>
        </w:rPr>
        <w:t>倍频带的叠加声压级，dB；</w:t>
      </w:r>
    </w:p>
    <w:p w14:paraId="671BC987">
      <w:pPr>
        <w:ind w:firstLine="480"/>
        <w:rPr>
          <w:iCs/>
          <w:color w:val="auto"/>
        </w:rPr>
      </w:pPr>
      <w:r>
        <w:rPr>
          <w:iCs/>
          <w:color w:val="auto"/>
        </w:rPr>
        <w:t>L</w:t>
      </w:r>
      <w:r>
        <w:rPr>
          <w:iCs/>
          <w:color w:val="auto"/>
          <w:vertAlign w:val="subscript"/>
        </w:rPr>
        <w:t>pij</w:t>
      </w:r>
      <w:r>
        <w:rPr>
          <w:iCs/>
          <w:color w:val="auto"/>
        </w:rPr>
        <w:t xml:space="preserve">—室内j声源i倍频带的声压级，dB； </w:t>
      </w:r>
    </w:p>
    <w:p w14:paraId="300F3130">
      <w:pPr>
        <w:ind w:firstLine="480"/>
        <w:rPr>
          <w:iCs/>
          <w:color w:val="auto"/>
        </w:rPr>
      </w:pPr>
      <w:r>
        <w:rPr>
          <w:iCs/>
          <w:color w:val="auto"/>
        </w:rPr>
        <w:t>N —室内声源总数。</w:t>
      </w:r>
    </w:p>
    <w:p w14:paraId="51DEBC8D">
      <w:pPr>
        <w:ind w:firstLine="480"/>
        <w:rPr>
          <w:color w:val="auto"/>
        </w:rPr>
      </w:pPr>
      <w:r>
        <w:rPr>
          <w:rFonts w:ascii="Cambria Math" w:hAnsi="Cambria Math" w:cs="Cambria Math"/>
          <w:color w:val="auto"/>
        </w:rPr>
        <w:t>③</w:t>
      </w:r>
      <w:r>
        <w:rPr>
          <w:color w:val="auto"/>
        </w:rPr>
        <w:t>在室内近似为扩散声场时，按下式计算出靠近室外围护结构处的声压级：</w:t>
      </w:r>
    </w:p>
    <w:p w14:paraId="68F45D50">
      <w:pPr>
        <w:spacing w:line="240" w:lineRule="auto"/>
        <w:ind w:firstLine="480"/>
        <w:rPr>
          <w:color w:val="auto"/>
        </w:rPr>
      </w:pPr>
      <w:r>
        <w:rPr>
          <w:color w:val="auto"/>
        </w:rPr>
        <w:drawing>
          <wp:inline distT="0" distB="0" distL="0" distR="0">
            <wp:extent cx="1857375" cy="257175"/>
            <wp:effectExtent l="0" t="0" r="9525" b="8890"/>
            <wp:docPr id="76672875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28754" name="图片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857375" cy="257175"/>
                    </a:xfrm>
                    <a:prstGeom prst="rect">
                      <a:avLst/>
                    </a:prstGeom>
                    <a:noFill/>
                    <a:ln>
                      <a:noFill/>
                    </a:ln>
                  </pic:spPr>
                </pic:pic>
              </a:graphicData>
            </a:graphic>
          </wp:inline>
        </w:drawing>
      </w:r>
    </w:p>
    <w:p w14:paraId="01ACBC14">
      <w:pPr>
        <w:ind w:firstLine="480"/>
        <w:rPr>
          <w:color w:val="auto"/>
        </w:rPr>
      </w:pPr>
      <w:r>
        <w:rPr>
          <w:color w:val="auto"/>
        </w:rPr>
        <w:t>式中：</w:t>
      </w:r>
      <w:r>
        <w:rPr>
          <w:i/>
          <w:iCs/>
          <w:color w:val="auto"/>
        </w:rPr>
        <w:t>L</w:t>
      </w:r>
      <w:r>
        <w:rPr>
          <w:i/>
          <w:iCs/>
          <w:color w:val="auto"/>
          <w:vertAlign w:val="subscript"/>
        </w:rPr>
        <w:t>p</w:t>
      </w:r>
      <w:r>
        <w:rPr>
          <w:color w:val="auto"/>
          <w:vertAlign w:val="subscript"/>
        </w:rPr>
        <w:t>2i</w:t>
      </w:r>
      <w:r>
        <w:rPr>
          <w:color w:val="auto"/>
        </w:rPr>
        <w:t>（T）—靠近围护结构处室外</w:t>
      </w:r>
      <w:r>
        <w:rPr>
          <w:iCs/>
          <w:color w:val="auto"/>
        </w:rPr>
        <w:t>N</w:t>
      </w:r>
      <w:r>
        <w:rPr>
          <w:color w:val="auto"/>
        </w:rPr>
        <w:t>个声源</w:t>
      </w:r>
      <w:r>
        <w:rPr>
          <w:iCs/>
          <w:color w:val="auto"/>
        </w:rPr>
        <w:t>i</w:t>
      </w:r>
      <w:r>
        <w:rPr>
          <w:color w:val="auto"/>
        </w:rPr>
        <w:t>倍频带的叠加声压级，dB；</w:t>
      </w:r>
    </w:p>
    <w:p w14:paraId="5AB801F6">
      <w:pPr>
        <w:ind w:firstLine="480"/>
        <w:rPr>
          <w:color w:val="auto"/>
        </w:rPr>
      </w:pPr>
      <w:r>
        <w:rPr>
          <w:i/>
          <w:iCs/>
          <w:color w:val="auto"/>
        </w:rPr>
        <w:t>L</w:t>
      </w:r>
      <w:r>
        <w:rPr>
          <w:i/>
          <w:iCs/>
          <w:color w:val="auto"/>
          <w:vertAlign w:val="subscript"/>
        </w:rPr>
        <w:t>p</w:t>
      </w:r>
      <w:r>
        <w:rPr>
          <w:color w:val="auto"/>
          <w:vertAlign w:val="subscript"/>
        </w:rPr>
        <w:t>1i</w:t>
      </w:r>
      <w:r>
        <w:rPr>
          <w:color w:val="auto"/>
        </w:rPr>
        <w:t>（T）—靠近围护结构处室内</w:t>
      </w:r>
      <w:r>
        <w:rPr>
          <w:iCs/>
          <w:color w:val="auto"/>
        </w:rPr>
        <w:t>N</w:t>
      </w:r>
      <w:r>
        <w:rPr>
          <w:color w:val="auto"/>
        </w:rPr>
        <w:t>个声源</w:t>
      </w:r>
      <w:r>
        <w:rPr>
          <w:iCs/>
          <w:color w:val="auto"/>
        </w:rPr>
        <w:t>i</w:t>
      </w:r>
      <w:r>
        <w:rPr>
          <w:color w:val="auto"/>
        </w:rPr>
        <w:t>倍频带的叠加声压级，dB；</w:t>
      </w:r>
    </w:p>
    <w:p w14:paraId="60302B23">
      <w:pPr>
        <w:ind w:firstLine="480"/>
        <w:rPr>
          <w:iCs/>
          <w:color w:val="auto"/>
        </w:rPr>
      </w:pPr>
      <w:r>
        <w:rPr>
          <w:iCs/>
          <w:color w:val="auto"/>
        </w:rPr>
        <w:t>TL</w:t>
      </w:r>
      <w:r>
        <w:rPr>
          <w:iCs/>
          <w:color w:val="auto"/>
          <w:vertAlign w:val="subscript"/>
        </w:rPr>
        <w:t>i</w:t>
      </w:r>
      <w:r>
        <w:rPr>
          <w:iCs/>
          <w:color w:val="auto"/>
        </w:rPr>
        <w:t>—围护结构i倍频带的隔声量，dB。</w:t>
      </w:r>
    </w:p>
    <w:p w14:paraId="32F3B65B">
      <w:pPr>
        <w:ind w:firstLine="480"/>
        <w:rPr>
          <w:color w:val="auto"/>
        </w:rPr>
      </w:pPr>
      <w:r>
        <w:rPr>
          <w:color w:val="auto"/>
        </w:rPr>
        <w:t>然后按下式将室外声源的声压级和透过面积换算成等效的室外声源，计算出中心位置位于透声面积（</w:t>
      </w:r>
      <w:r>
        <w:rPr>
          <w:i/>
          <w:iCs/>
          <w:color w:val="auto"/>
        </w:rPr>
        <w:t>S</w:t>
      </w:r>
      <w:r>
        <w:rPr>
          <w:color w:val="auto"/>
        </w:rPr>
        <w:t xml:space="preserve">）处的等效声源的倍频带声功率级。 </w:t>
      </w:r>
    </w:p>
    <w:p w14:paraId="4AA79654">
      <w:pPr>
        <w:spacing w:line="240" w:lineRule="auto"/>
        <w:ind w:firstLine="480"/>
        <w:rPr>
          <w:color w:val="auto"/>
        </w:rPr>
      </w:pPr>
      <w:r>
        <w:rPr>
          <w:color w:val="auto"/>
        </w:rPr>
        <w:drawing>
          <wp:inline distT="0" distB="0" distL="0" distR="0">
            <wp:extent cx="1400175" cy="238125"/>
            <wp:effectExtent l="0" t="0" r="9525" b="6350"/>
            <wp:docPr id="175552696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26960" name="图片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400175" cy="238125"/>
                    </a:xfrm>
                    <a:prstGeom prst="rect">
                      <a:avLst/>
                    </a:prstGeom>
                    <a:noFill/>
                    <a:ln>
                      <a:noFill/>
                    </a:ln>
                  </pic:spPr>
                </pic:pic>
              </a:graphicData>
            </a:graphic>
          </wp:inline>
        </w:drawing>
      </w:r>
    </w:p>
    <w:p w14:paraId="1A3EE31E">
      <w:pPr>
        <w:ind w:firstLine="480"/>
        <w:rPr>
          <w:color w:val="auto"/>
        </w:rPr>
      </w:pPr>
      <w:r>
        <w:rPr>
          <w:color w:val="auto"/>
        </w:rPr>
        <w:t>式中：</w:t>
      </w:r>
      <w:r>
        <w:rPr>
          <w:iCs/>
          <w:color w:val="auto"/>
        </w:rPr>
        <w:t>L</w:t>
      </w:r>
      <w:r>
        <w:rPr>
          <w:iCs/>
          <w:color w:val="auto"/>
          <w:vertAlign w:val="subscript"/>
        </w:rPr>
        <w:t>w</w:t>
      </w:r>
      <w:r>
        <w:rPr>
          <w:iCs/>
          <w:color w:val="auto"/>
        </w:rPr>
        <w:t xml:space="preserve"> </w:t>
      </w:r>
      <w:r>
        <w:rPr>
          <w:color w:val="auto"/>
        </w:rPr>
        <w:t>—中心位置位于透声面积（</w:t>
      </w:r>
      <w:r>
        <w:rPr>
          <w:iCs/>
          <w:color w:val="auto"/>
        </w:rPr>
        <w:t>S</w:t>
      </w:r>
      <w:r>
        <w:rPr>
          <w:color w:val="auto"/>
        </w:rPr>
        <w:t xml:space="preserve">）处的等效声源的倍频带声功率级，dB； </w:t>
      </w:r>
    </w:p>
    <w:p w14:paraId="799BBE20">
      <w:pPr>
        <w:ind w:firstLine="480"/>
        <w:rPr>
          <w:color w:val="auto"/>
        </w:rPr>
      </w:pPr>
      <w:r>
        <w:rPr>
          <w:iCs/>
          <w:color w:val="auto"/>
        </w:rPr>
        <w:t>L</w:t>
      </w:r>
      <w:r>
        <w:rPr>
          <w:iCs/>
          <w:color w:val="auto"/>
          <w:vertAlign w:val="subscript"/>
        </w:rPr>
        <w:t>p</w:t>
      </w:r>
      <w:r>
        <w:rPr>
          <w:color w:val="auto"/>
          <w:vertAlign w:val="subscript"/>
        </w:rPr>
        <w:t>2</w:t>
      </w:r>
      <w:r>
        <w:rPr>
          <w:color w:val="auto"/>
        </w:rPr>
        <w:t>（</w:t>
      </w:r>
      <w:r>
        <w:rPr>
          <w:iCs/>
          <w:color w:val="auto"/>
        </w:rPr>
        <w:t>T</w:t>
      </w:r>
      <w:r>
        <w:rPr>
          <w:color w:val="auto"/>
        </w:rPr>
        <w:t xml:space="preserve">）—靠近围护结构处室外声源的声压级，dB； </w:t>
      </w:r>
    </w:p>
    <w:p w14:paraId="66D9D5B9">
      <w:pPr>
        <w:ind w:firstLine="480"/>
        <w:rPr>
          <w:color w:val="auto"/>
        </w:rPr>
      </w:pPr>
      <w:r>
        <w:rPr>
          <w:iCs/>
          <w:color w:val="auto"/>
        </w:rPr>
        <w:t>S</w:t>
      </w:r>
      <w:r>
        <w:rPr>
          <w:color w:val="auto"/>
        </w:rPr>
        <w:t>—透声面积，m</w:t>
      </w:r>
      <w:r>
        <w:rPr>
          <w:color w:val="auto"/>
          <w:vertAlign w:val="superscript"/>
        </w:rPr>
        <w:t>2</w:t>
      </w:r>
      <w:r>
        <w:rPr>
          <w:color w:val="auto"/>
        </w:rPr>
        <w:t xml:space="preserve">。 </w:t>
      </w:r>
    </w:p>
    <w:p w14:paraId="4DE8FD09">
      <w:pPr>
        <w:ind w:firstLine="480"/>
        <w:rPr>
          <w:color w:val="auto"/>
        </w:rPr>
      </w:pPr>
      <w:r>
        <w:rPr>
          <w:color w:val="auto"/>
        </w:rPr>
        <w:t>（2）户外声传播衰减计算</w:t>
      </w:r>
    </w:p>
    <w:p w14:paraId="7E403282">
      <w:pPr>
        <w:ind w:firstLine="480"/>
        <w:rPr>
          <w:color w:val="auto"/>
        </w:rPr>
      </w:pPr>
      <w:r>
        <w:rPr>
          <w:color w:val="auto"/>
        </w:rPr>
        <w:t>根据声源声功率级或靠近声源某一参考位置处的已知声级、户外声传播衰减，计算距离声源较远处的预测点的声级。在已知距离无指向性点声源参考点r</w:t>
      </w:r>
      <w:r>
        <w:rPr>
          <w:color w:val="auto"/>
          <w:vertAlign w:val="subscript"/>
        </w:rPr>
        <w:t>0</w:t>
      </w:r>
      <w:r>
        <w:rPr>
          <w:color w:val="auto"/>
        </w:rPr>
        <w:t>处的倍频带（用63Hz到8KHz的8个标称倍频带中心频率）声压级和计算出参考点（r</w:t>
      </w:r>
      <w:r>
        <w:rPr>
          <w:color w:val="auto"/>
          <w:vertAlign w:val="subscript"/>
        </w:rPr>
        <w:t>0</w:t>
      </w:r>
      <w:r>
        <w:rPr>
          <w:color w:val="auto"/>
        </w:rPr>
        <w:t>）和预测点（r）处之间的户外声传播衰减后，预测点8个倍频带声压级公式：</w:t>
      </w:r>
    </w:p>
    <w:p w14:paraId="7FDEA92C">
      <w:pPr>
        <w:ind w:firstLine="480"/>
        <w:rPr>
          <w:color w:val="auto"/>
        </w:rPr>
      </w:pPr>
      <w:r>
        <w:rPr>
          <w:color w:val="auto"/>
        </w:rPr>
        <w:t>L</w:t>
      </w:r>
      <w:r>
        <w:rPr>
          <w:color w:val="auto"/>
          <w:vertAlign w:val="subscript"/>
        </w:rPr>
        <w:t>p</w:t>
      </w:r>
      <w:r>
        <w:rPr>
          <w:color w:val="auto"/>
        </w:rPr>
        <w:t>（r）= L</w:t>
      </w:r>
      <w:r>
        <w:rPr>
          <w:color w:val="auto"/>
          <w:vertAlign w:val="subscript"/>
        </w:rPr>
        <w:t>p</w:t>
      </w:r>
      <w:r>
        <w:rPr>
          <w:color w:val="auto"/>
        </w:rPr>
        <w:t>（r</w:t>
      </w:r>
      <w:r>
        <w:rPr>
          <w:color w:val="auto"/>
          <w:vertAlign w:val="subscript"/>
        </w:rPr>
        <w:t>0</w:t>
      </w:r>
      <w:r>
        <w:rPr>
          <w:color w:val="auto"/>
        </w:rPr>
        <w:t>）+D</w:t>
      </w:r>
      <w:r>
        <w:rPr>
          <w:color w:val="auto"/>
          <w:vertAlign w:val="subscript"/>
        </w:rPr>
        <w:t>c</w:t>
      </w:r>
      <w:r>
        <w:rPr>
          <w:color w:val="auto"/>
        </w:rPr>
        <w:t>-（ A</w:t>
      </w:r>
      <w:r>
        <w:rPr>
          <w:color w:val="auto"/>
          <w:vertAlign w:val="subscript"/>
        </w:rPr>
        <w:t>div</w:t>
      </w:r>
      <w:r>
        <w:rPr>
          <w:color w:val="auto"/>
        </w:rPr>
        <w:t xml:space="preserve"> + A</w:t>
      </w:r>
      <w:r>
        <w:rPr>
          <w:color w:val="auto"/>
          <w:vertAlign w:val="subscript"/>
        </w:rPr>
        <w:t>atm</w:t>
      </w:r>
      <w:r>
        <w:rPr>
          <w:color w:val="auto"/>
        </w:rPr>
        <w:t>+A</w:t>
      </w:r>
      <w:r>
        <w:rPr>
          <w:color w:val="auto"/>
          <w:vertAlign w:val="subscript"/>
        </w:rPr>
        <w:t>gr</w:t>
      </w:r>
      <w:r>
        <w:rPr>
          <w:color w:val="auto"/>
        </w:rPr>
        <w:t>+ A</w:t>
      </w:r>
      <w:r>
        <w:rPr>
          <w:color w:val="auto"/>
          <w:vertAlign w:val="subscript"/>
        </w:rPr>
        <w:t>bar</w:t>
      </w:r>
      <w:r>
        <w:rPr>
          <w:color w:val="auto"/>
        </w:rPr>
        <w:t>+A</w:t>
      </w:r>
      <w:r>
        <w:rPr>
          <w:color w:val="auto"/>
          <w:vertAlign w:val="subscript"/>
        </w:rPr>
        <w:t>misc</w:t>
      </w:r>
      <w:r>
        <w:rPr>
          <w:color w:val="auto"/>
        </w:rPr>
        <w:t>）</w:t>
      </w:r>
    </w:p>
    <w:p w14:paraId="1C0CF83E">
      <w:pPr>
        <w:ind w:firstLine="480"/>
        <w:rPr>
          <w:color w:val="auto"/>
        </w:rPr>
      </w:pPr>
      <w:r>
        <w:rPr>
          <w:color w:val="auto"/>
        </w:rPr>
        <w:t>式中：L</w:t>
      </w:r>
      <w:r>
        <w:rPr>
          <w:color w:val="auto"/>
          <w:vertAlign w:val="subscript"/>
        </w:rPr>
        <w:t>p</w:t>
      </w:r>
      <w:r>
        <w:rPr>
          <w:color w:val="auto"/>
        </w:rPr>
        <w:t>（r）—预测点处声压级，dB；</w:t>
      </w:r>
    </w:p>
    <w:p w14:paraId="389C34B8">
      <w:pPr>
        <w:ind w:firstLine="480"/>
        <w:rPr>
          <w:color w:val="auto"/>
        </w:rPr>
      </w:pPr>
      <w:r>
        <w:rPr>
          <w:color w:val="auto"/>
        </w:rPr>
        <w:t>L</w:t>
      </w:r>
      <w:r>
        <w:rPr>
          <w:color w:val="auto"/>
          <w:vertAlign w:val="subscript"/>
        </w:rPr>
        <w:t>p</w:t>
      </w:r>
      <w:r>
        <w:rPr>
          <w:color w:val="auto"/>
        </w:rPr>
        <w:t>（r</w:t>
      </w:r>
      <w:r>
        <w:rPr>
          <w:color w:val="auto"/>
          <w:vertAlign w:val="subscript"/>
        </w:rPr>
        <w:t>0</w:t>
      </w:r>
      <w:r>
        <w:rPr>
          <w:color w:val="auto"/>
        </w:rPr>
        <w:t>）—参考位置r</w:t>
      </w:r>
      <w:r>
        <w:rPr>
          <w:color w:val="auto"/>
          <w:vertAlign w:val="subscript"/>
        </w:rPr>
        <w:t>0</w:t>
      </w:r>
      <w:r>
        <w:rPr>
          <w:color w:val="auto"/>
        </w:rPr>
        <w:t>处的声压级，dB；</w:t>
      </w:r>
    </w:p>
    <w:p w14:paraId="5B9F5AA6">
      <w:pPr>
        <w:ind w:firstLine="480"/>
        <w:rPr>
          <w:color w:val="auto"/>
        </w:rPr>
      </w:pPr>
      <w:r>
        <w:rPr>
          <w:color w:val="auto"/>
        </w:rPr>
        <w:t>D</w:t>
      </w:r>
      <w:r>
        <w:rPr>
          <w:color w:val="auto"/>
          <w:vertAlign w:val="subscript"/>
        </w:rPr>
        <w:t>c</w:t>
      </w:r>
      <w:r>
        <w:rPr>
          <w:color w:val="auto"/>
        </w:rPr>
        <w:t>—指向性校正，它描述点声源的等效连续声压级与产生声功率级L</w:t>
      </w:r>
      <w:r>
        <w:rPr>
          <w:color w:val="auto"/>
          <w:vertAlign w:val="subscript"/>
        </w:rPr>
        <w:t>w</w:t>
      </w:r>
      <w:r>
        <w:rPr>
          <w:color w:val="auto"/>
        </w:rPr>
        <w:t>的全向点声源在规定方向的声级的偏差程度，dB；</w:t>
      </w:r>
    </w:p>
    <w:p w14:paraId="0B656A0D">
      <w:pPr>
        <w:ind w:firstLine="480"/>
        <w:rPr>
          <w:color w:val="auto"/>
        </w:rPr>
      </w:pPr>
      <w:r>
        <w:rPr>
          <w:color w:val="auto"/>
        </w:rPr>
        <w:t>A</w:t>
      </w:r>
      <w:r>
        <w:rPr>
          <w:color w:val="auto"/>
          <w:vertAlign w:val="subscript"/>
        </w:rPr>
        <w:t>div</w:t>
      </w:r>
      <w:r>
        <w:rPr>
          <w:color w:val="auto"/>
        </w:rPr>
        <w:t>—几何发散引起的衰减，dB；</w:t>
      </w:r>
    </w:p>
    <w:p w14:paraId="4CA21CBC">
      <w:pPr>
        <w:ind w:firstLine="480"/>
        <w:rPr>
          <w:color w:val="auto"/>
        </w:rPr>
      </w:pPr>
      <w:r>
        <w:rPr>
          <w:color w:val="auto"/>
        </w:rPr>
        <w:t>A</w:t>
      </w:r>
      <w:r>
        <w:rPr>
          <w:color w:val="auto"/>
          <w:vertAlign w:val="subscript"/>
        </w:rPr>
        <w:t>atm</w:t>
      </w:r>
      <w:r>
        <w:rPr>
          <w:color w:val="auto"/>
        </w:rPr>
        <w:t>—大气吸收引起的衰减，dB；</w:t>
      </w:r>
    </w:p>
    <w:p w14:paraId="023531FD">
      <w:pPr>
        <w:ind w:firstLine="480"/>
        <w:rPr>
          <w:color w:val="auto"/>
        </w:rPr>
      </w:pPr>
      <w:r>
        <w:rPr>
          <w:color w:val="auto"/>
        </w:rPr>
        <w:t>A</w:t>
      </w:r>
      <w:r>
        <w:rPr>
          <w:color w:val="auto"/>
          <w:vertAlign w:val="subscript"/>
        </w:rPr>
        <w:t>gr</w:t>
      </w:r>
      <w:r>
        <w:rPr>
          <w:color w:val="auto"/>
        </w:rPr>
        <w:t xml:space="preserve">—地面效应引起的衰减，dB； </w:t>
      </w:r>
    </w:p>
    <w:p w14:paraId="4DCB7AA5">
      <w:pPr>
        <w:ind w:firstLine="480"/>
        <w:rPr>
          <w:color w:val="auto"/>
        </w:rPr>
      </w:pPr>
      <w:r>
        <w:rPr>
          <w:color w:val="auto"/>
        </w:rPr>
        <w:t>A</w:t>
      </w:r>
      <w:r>
        <w:rPr>
          <w:color w:val="auto"/>
          <w:vertAlign w:val="subscript"/>
        </w:rPr>
        <w:t>bar</w:t>
      </w:r>
      <w:r>
        <w:rPr>
          <w:color w:val="auto"/>
        </w:rPr>
        <w:t>—障碍物屏蔽引起的衰减，dB；</w:t>
      </w:r>
    </w:p>
    <w:p w14:paraId="122CED94">
      <w:pPr>
        <w:ind w:firstLine="480"/>
        <w:rPr>
          <w:color w:val="auto"/>
        </w:rPr>
      </w:pPr>
      <w:r>
        <w:rPr>
          <w:color w:val="auto"/>
        </w:rPr>
        <w:t>A</w:t>
      </w:r>
      <w:r>
        <w:rPr>
          <w:color w:val="auto"/>
          <w:vertAlign w:val="subscript"/>
        </w:rPr>
        <w:t>misc</w:t>
      </w:r>
      <w:r>
        <w:rPr>
          <w:color w:val="auto"/>
        </w:rPr>
        <w:t>—其他多方面效应引起的衰减，dB。</w:t>
      </w:r>
    </w:p>
    <w:p w14:paraId="60A304E1">
      <w:pPr>
        <w:ind w:firstLine="480"/>
        <w:rPr>
          <w:color w:val="auto"/>
        </w:rPr>
      </w:pPr>
      <w:r>
        <w:rPr>
          <w:color w:val="auto"/>
        </w:rPr>
        <w:t>（3）总声压级的计算</w:t>
      </w:r>
    </w:p>
    <w:p w14:paraId="68FF1BD4">
      <w:pPr>
        <w:ind w:firstLine="480"/>
        <w:rPr>
          <w:color w:val="auto"/>
        </w:rPr>
      </w:pPr>
      <w:r>
        <w:rPr>
          <w:color w:val="auto"/>
        </w:rPr>
        <w:t>设第i个室外声源在预测点产生的A声级为L</w:t>
      </w:r>
      <w:r>
        <w:rPr>
          <w:color w:val="auto"/>
          <w:vertAlign w:val="subscript"/>
        </w:rPr>
        <w:t>Ai</w:t>
      </w:r>
      <w:r>
        <w:rPr>
          <w:color w:val="auto"/>
        </w:rPr>
        <w:t>，在T时间内该声源工作时为t</w:t>
      </w:r>
      <w:r>
        <w:rPr>
          <w:color w:val="auto"/>
          <w:vertAlign w:val="subscript"/>
        </w:rPr>
        <w:t>i</w:t>
      </w:r>
      <w:r>
        <w:rPr>
          <w:color w:val="auto"/>
        </w:rPr>
        <w:t>，第j个等效室外声源在预测点产生的A声级为L</w:t>
      </w:r>
      <w:r>
        <w:rPr>
          <w:color w:val="auto"/>
          <w:vertAlign w:val="subscript"/>
        </w:rPr>
        <w:t>Aj</w:t>
      </w:r>
      <w:r>
        <w:rPr>
          <w:color w:val="auto"/>
        </w:rPr>
        <w:t>，在T时间内该声源工作时间为t</w:t>
      </w:r>
      <w:r>
        <w:rPr>
          <w:color w:val="auto"/>
          <w:vertAlign w:val="subscript"/>
        </w:rPr>
        <w:t>j</w:t>
      </w:r>
      <w:r>
        <w:rPr>
          <w:color w:val="auto"/>
        </w:rPr>
        <w:t>，则拟建工程声源对预测点产生的贡献值（L</w:t>
      </w:r>
      <w:r>
        <w:rPr>
          <w:color w:val="auto"/>
          <w:vertAlign w:val="subscript"/>
        </w:rPr>
        <w:t>eqg）</w:t>
      </w:r>
      <w:r>
        <w:rPr>
          <w:color w:val="auto"/>
        </w:rPr>
        <w:t>为：</w:t>
      </w:r>
    </w:p>
    <w:p w14:paraId="1DDB8A08">
      <w:pPr>
        <w:spacing w:line="240" w:lineRule="auto"/>
        <w:ind w:firstLine="480"/>
        <w:rPr>
          <w:color w:val="auto"/>
        </w:rPr>
      </w:pPr>
      <w:r>
        <w:rPr>
          <w:color w:val="auto"/>
        </w:rPr>
        <w:drawing>
          <wp:inline distT="0" distB="0" distL="0" distR="0">
            <wp:extent cx="2943225" cy="485775"/>
            <wp:effectExtent l="0" t="0" r="9525" b="8890"/>
            <wp:docPr id="124394883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48838" name="图片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943225" cy="485775"/>
                    </a:xfrm>
                    <a:prstGeom prst="rect">
                      <a:avLst/>
                    </a:prstGeom>
                    <a:noFill/>
                    <a:ln>
                      <a:noFill/>
                    </a:ln>
                  </pic:spPr>
                </pic:pic>
              </a:graphicData>
            </a:graphic>
          </wp:inline>
        </w:drawing>
      </w:r>
    </w:p>
    <w:p w14:paraId="0A4B0B9C">
      <w:pPr>
        <w:ind w:firstLine="480"/>
        <w:rPr>
          <w:color w:val="auto"/>
        </w:rPr>
      </w:pPr>
      <w:r>
        <w:rPr>
          <w:color w:val="auto"/>
        </w:rPr>
        <w:t>式中：</w:t>
      </w:r>
      <w:r>
        <w:rPr>
          <w:iCs/>
          <w:color w:val="auto"/>
        </w:rPr>
        <w:t>L</w:t>
      </w:r>
      <w:r>
        <w:rPr>
          <w:color w:val="auto"/>
          <w:vertAlign w:val="subscript"/>
        </w:rPr>
        <w:t>eqg</w:t>
      </w:r>
      <w:r>
        <w:rPr>
          <w:color w:val="auto"/>
        </w:rPr>
        <w:t xml:space="preserve">—建设项目声源在预测点产生的噪声贡献值，dB； </w:t>
      </w:r>
    </w:p>
    <w:p w14:paraId="7C0903B6">
      <w:pPr>
        <w:ind w:firstLine="480"/>
        <w:rPr>
          <w:color w:val="auto"/>
        </w:rPr>
      </w:pPr>
      <w:r>
        <w:rPr>
          <w:iCs/>
          <w:color w:val="auto"/>
        </w:rPr>
        <w:t xml:space="preserve">T </w:t>
      </w:r>
      <w:r>
        <w:rPr>
          <w:color w:val="auto"/>
        </w:rPr>
        <w:t xml:space="preserve">—用于计算等效声级的时间，s； </w:t>
      </w:r>
    </w:p>
    <w:p w14:paraId="00E0451F">
      <w:pPr>
        <w:ind w:firstLine="480"/>
        <w:rPr>
          <w:color w:val="auto"/>
        </w:rPr>
      </w:pPr>
      <w:r>
        <w:rPr>
          <w:iCs/>
          <w:color w:val="auto"/>
        </w:rPr>
        <w:t xml:space="preserve">N </w:t>
      </w:r>
      <w:r>
        <w:rPr>
          <w:color w:val="auto"/>
        </w:rPr>
        <w:t xml:space="preserve">—室外声源个数； </w:t>
      </w:r>
    </w:p>
    <w:p w14:paraId="36C86E3C">
      <w:pPr>
        <w:ind w:firstLine="480"/>
        <w:rPr>
          <w:color w:val="auto"/>
        </w:rPr>
      </w:pPr>
      <w:r>
        <w:rPr>
          <w:iCs/>
          <w:color w:val="auto"/>
        </w:rPr>
        <w:t>t</w:t>
      </w:r>
      <w:r>
        <w:rPr>
          <w:iCs/>
          <w:color w:val="auto"/>
          <w:vertAlign w:val="subscript"/>
        </w:rPr>
        <w:t xml:space="preserve">i </w:t>
      </w:r>
      <w:r>
        <w:rPr>
          <w:color w:val="auto"/>
        </w:rPr>
        <w:t>—在</w:t>
      </w:r>
      <w:r>
        <w:rPr>
          <w:iCs/>
          <w:color w:val="auto"/>
        </w:rPr>
        <w:t>T</w:t>
      </w:r>
      <w:r>
        <w:rPr>
          <w:color w:val="auto"/>
        </w:rPr>
        <w:t>时间内</w:t>
      </w:r>
      <w:r>
        <w:rPr>
          <w:iCs/>
          <w:color w:val="auto"/>
        </w:rPr>
        <w:t>i</w:t>
      </w:r>
      <w:r>
        <w:rPr>
          <w:color w:val="auto"/>
        </w:rPr>
        <w:t xml:space="preserve">声源工作时间，s； </w:t>
      </w:r>
    </w:p>
    <w:p w14:paraId="4239C193">
      <w:pPr>
        <w:ind w:firstLine="480"/>
        <w:rPr>
          <w:color w:val="auto"/>
        </w:rPr>
      </w:pPr>
      <w:r>
        <w:rPr>
          <w:iCs/>
          <w:color w:val="auto"/>
        </w:rPr>
        <w:t xml:space="preserve">M </w:t>
      </w:r>
      <w:r>
        <w:rPr>
          <w:color w:val="auto"/>
        </w:rPr>
        <w:t xml:space="preserve">—等效室外声源个数； </w:t>
      </w:r>
    </w:p>
    <w:p w14:paraId="3CC3F82C">
      <w:pPr>
        <w:ind w:firstLine="480"/>
        <w:rPr>
          <w:color w:val="auto"/>
        </w:rPr>
      </w:pPr>
      <w:r>
        <w:rPr>
          <w:iCs/>
          <w:color w:val="auto"/>
        </w:rPr>
        <w:t>t</w:t>
      </w:r>
      <w:r>
        <w:rPr>
          <w:iCs/>
          <w:color w:val="auto"/>
          <w:vertAlign w:val="subscript"/>
        </w:rPr>
        <w:t>j</w:t>
      </w:r>
      <w:r>
        <w:rPr>
          <w:color w:val="auto"/>
        </w:rPr>
        <w:t>—在</w:t>
      </w:r>
      <w:r>
        <w:rPr>
          <w:iCs/>
          <w:color w:val="auto"/>
        </w:rPr>
        <w:t>T</w:t>
      </w:r>
      <w:r>
        <w:rPr>
          <w:color w:val="auto"/>
        </w:rPr>
        <w:t>时间内</w:t>
      </w:r>
      <w:r>
        <w:rPr>
          <w:iCs/>
          <w:color w:val="auto"/>
        </w:rPr>
        <w:t>j</w:t>
      </w:r>
      <w:r>
        <w:rPr>
          <w:color w:val="auto"/>
        </w:rPr>
        <w:t>声源工作时间，s。</w:t>
      </w:r>
    </w:p>
    <w:p w14:paraId="45148CAC">
      <w:pPr>
        <w:ind w:firstLine="480"/>
        <w:rPr>
          <w:color w:val="auto"/>
        </w:rPr>
      </w:pPr>
      <w:r>
        <w:rPr>
          <w:color w:val="auto"/>
        </w:rPr>
        <w:t>（4）预测值计算</w:t>
      </w:r>
    </w:p>
    <w:p w14:paraId="40657069">
      <w:pPr>
        <w:ind w:firstLine="480"/>
        <w:rPr>
          <w:color w:val="auto"/>
        </w:rPr>
      </w:pPr>
      <w:r>
        <w:rPr>
          <w:color w:val="auto"/>
        </w:rPr>
        <w:t>预测值由预测点的贡献值和预测点的背景值按照能量叠加方法计算得到，</w:t>
      </w:r>
      <w:r>
        <w:rPr>
          <w:bCs/>
          <w:color w:val="auto"/>
        </w:rPr>
        <w:t>预测点的预测等效声级（</w:t>
      </w:r>
      <w:r>
        <w:rPr>
          <w:iCs/>
          <w:color w:val="auto"/>
        </w:rPr>
        <w:t>L</w:t>
      </w:r>
      <w:r>
        <w:rPr>
          <w:color w:val="auto"/>
          <w:vertAlign w:val="subscript"/>
        </w:rPr>
        <w:t>eq</w:t>
      </w:r>
      <w:r>
        <w:rPr>
          <w:bCs/>
          <w:color w:val="auto"/>
        </w:rPr>
        <w:t>）计算公式如下：</w:t>
      </w:r>
    </w:p>
    <w:p w14:paraId="0E964264">
      <w:pPr>
        <w:spacing w:line="240" w:lineRule="auto"/>
        <w:ind w:firstLine="480"/>
        <w:rPr>
          <w:color w:val="auto"/>
        </w:rPr>
      </w:pPr>
      <w:r>
        <w:rPr>
          <w:color w:val="auto"/>
        </w:rPr>
        <w:t xml:space="preserve">  </w:t>
      </w:r>
      <w:r>
        <w:rPr>
          <w:color w:val="auto"/>
        </w:rPr>
        <w:drawing>
          <wp:inline distT="0" distB="0" distL="0" distR="0">
            <wp:extent cx="2019300" cy="295275"/>
            <wp:effectExtent l="0" t="0" r="0" b="7620"/>
            <wp:docPr id="29536802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68026" name="图片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019300" cy="295275"/>
                    </a:xfrm>
                    <a:prstGeom prst="rect">
                      <a:avLst/>
                    </a:prstGeom>
                    <a:noFill/>
                    <a:ln>
                      <a:noFill/>
                    </a:ln>
                  </pic:spPr>
                </pic:pic>
              </a:graphicData>
            </a:graphic>
          </wp:inline>
        </w:drawing>
      </w:r>
    </w:p>
    <w:p w14:paraId="357DAC6D">
      <w:pPr>
        <w:ind w:firstLine="480"/>
        <w:rPr>
          <w:bCs/>
          <w:color w:val="auto"/>
        </w:rPr>
      </w:pPr>
      <w:r>
        <w:rPr>
          <w:bCs/>
          <w:color w:val="auto"/>
        </w:rPr>
        <w:t>式中：L</w:t>
      </w:r>
      <w:r>
        <w:rPr>
          <w:bCs/>
          <w:color w:val="auto"/>
          <w:vertAlign w:val="subscript"/>
        </w:rPr>
        <w:t>eq</w:t>
      </w:r>
      <w:r>
        <w:rPr>
          <w:bCs/>
          <w:color w:val="auto"/>
        </w:rPr>
        <w:t>—预测点的噪声预测值，dB；</w:t>
      </w:r>
    </w:p>
    <w:p w14:paraId="314CB0FC">
      <w:pPr>
        <w:ind w:firstLine="480"/>
        <w:rPr>
          <w:bCs/>
          <w:color w:val="auto"/>
        </w:rPr>
      </w:pPr>
      <w:r>
        <w:rPr>
          <w:bCs/>
          <w:color w:val="auto"/>
        </w:rPr>
        <w:t xml:space="preserve">  L</w:t>
      </w:r>
      <w:r>
        <w:rPr>
          <w:bCs/>
          <w:color w:val="auto"/>
          <w:vertAlign w:val="subscript"/>
        </w:rPr>
        <w:t>eqg</w:t>
      </w:r>
      <w:r>
        <w:rPr>
          <w:bCs/>
          <w:color w:val="auto"/>
        </w:rPr>
        <w:t>—预测点的噪声贡献值，dB；</w:t>
      </w:r>
    </w:p>
    <w:p w14:paraId="662E6FCA">
      <w:pPr>
        <w:ind w:firstLine="480"/>
        <w:rPr>
          <w:color w:val="auto"/>
        </w:rPr>
      </w:pPr>
      <w:r>
        <w:rPr>
          <w:bCs/>
          <w:color w:val="auto"/>
        </w:rPr>
        <w:t xml:space="preserve">  L</w:t>
      </w:r>
      <w:r>
        <w:rPr>
          <w:bCs/>
          <w:color w:val="auto"/>
          <w:vertAlign w:val="subscript"/>
        </w:rPr>
        <w:t>eqb</w:t>
      </w:r>
      <w:r>
        <w:rPr>
          <w:bCs/>
          <w:color w:val="auto"/>
        </w:rPr>
        <w:t>—预测点的背景噪声值，dB。</w:t>
      </w:r>
    </w:p>
    <w:p w14:paraId="1E8373B9">
      <w:pPr>
        <w:pStyle w:val="4"/>
        <w:rPr>
          <w:color w:val="auto"/>
        </w:rPr>
      </w:pPr>
      <w:bookmarkStart w:id="207" w:name="_Toc27127"/>
      <w:r>
        <w:rPr>
          <w:rFonts w:hint="eastAsia"/>
          <w:color w:val="auto"/>
        </w:rPr>
        <w:t>6.3.3预测结果及评价</w:t>
      </w:r>
      <w:bookmarkEnd w:id="207"/>
    </w:p>
    <w:p w14:paraId="33FB43CB">
      <w:pPr>
        <w:ind w:firstLine="480"/>
        <w:rPr>
          <w:color w:val="auto"/>
        </w:rPr>
      </w:pPr>
      <w:r>
        <w:rPr>
          <w:color w:val="auto"/>
        </w:rPr>
        <w:t>本项目生产设备、公辅设施、环保设施均依托现有项目，不新增生产设备。本底值已考虑现有噪声设备影响，本次预测不再重复进行叠加计算，仅考虑在建拟建项目影响。噪声影响预测结果见表6.3.3-1。</w:t>
      </w:r>
    </w:p>
    <w:p w14:paraId="49649671">
      <w:pPr>
        <w:ind w:firstLine="482"/>
        <w:jc w:val="center"/>
        <w:rPr>
          <w:b/>
          <w:color w:val="auto"/>
        </w:rPr>
      </w:pPr>
      <w:r>
        <w:rPr>
          <w:b/>
          <w:color w:val="auto"/>
        </w:rPr>
        <w:t>表6.3.3-1  厂界噪声预测结果与达标分析表</w:t>
      </w:r>
      <w:bookmarkStart w:id="208" w:name="PT_7"/>
    </w:p>
    <w:bookmarkEnd w:id="208"/>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952"/>
        <w:gridCol w:w="1344"/>
        <w:gridCol w:w="1624"/>
        <w:gridCol w:w="1060"/>
        <w:gridCol w:w="1348"/>
        <w:gridCol w:w="1348"/>
        <w:gridCol w:w="1133"/>
      </w:tblGrid>
      <w:tr w14:paraId="55C25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exact"/>
          <w:jc w:val="center"/>
        </w:trPr>
        <w:tc>
          <w:tcPr>
            <w:tcW w:w="530" w:type="pct"/>
            <w:vAlign w:val="center"/>
          </w:tcPr>
          <w:p w14:paraId="32EC42C5">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预测点位</w:t>
            </w:r>
          </w:p>
        </w:tc>
        <w:tc>
          <w:tcPr>
            <w:tcW w:w="483" w:type="pct"/>
            <w:vAlign w:val="center"/>
          </w:tcPr>
          <w:p w14:paraId="2CCA519D">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时段</w:t>
            </w:r>
          </w:p>
        </w:tc>
        <w:tc>
          <w:tcPr>
            <w:tcW w:w="682" w:type="pct"/>
            <w:vAlign w:val="center"/>
          </w:tcPr>
          <w:p w14:paraId="68A9C9E7">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背景值/dB(A)</w:t>
            </w:r>
            <w:r>
              <w:rPr>
                <w:rFonts w:ascii="Cambria Math" w:hAnsi="Cambria Math" w:cs="Cambria Math"/>
                <w:b/>
                <w:bCs/>
                <w:color w:val="auto"/>
                <w:kern w:val="0"/>
                <w:sz w:val="21"/>
                <w:szCs w:val="21"/>
                <w:vertAlign w:val="superscript"/>
                <w:lang w:val="zh-CN"/>
              </w:rPr>
              <w:t>①</w:t>
            </w:r>
          </w:p>
        </w:tc>
        <w:tc>
          <w:tcPr>
            <w:tcW w:w="824" w:type="pct"/>
            <w:vAlign w:val="center"/>
          </w:tcPr>
          <w:p w14:paraId="54B382E6">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在建项目噪声贡献值/dB(A)</w:t>
            </w:r>
            <w:r>
              <w:rPr>
                <w:rFonts w:ascii="Cambria Math" w:hAnsi="Cambria Math" w:cs="Cambria Math"/>
                <w:b/>
                <w:bCs/>
                <w:color w:val="auto"/>
                <w:kern w:val="0"/>
                <w:sz w:val="21"/>
                <w:szCs w:val="21"/>
                <w:vertAlign w:val="superscript"/>
                <w:lang w:val="zh-CN"/>
              </w:rPr>
              <w:t>②</w:t>
            </w:r>
          </w:p>
        </w:tc>
        <w:tc>
          <w:tcPr>
            <w:tcW w:w="538" w:type="pct"/>
            <w:vAlign w:val="center"/>
          </w:tcPr>
          <w:p w14:paraId="05B1A58C">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噪声贡献值/dB(A)</w:t>
            </w:r>
          </w:p>
        </w:tc>
        <w:tc>
          <w:tcPr>
            <w:tcW w:w="684" w:type="pct"/>
            <w:vAlign w:val="center"/>
          </w:tcPr>
          <w:p w14:paraId="0B28A63B">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噪声预测值/dB(A)</w:t>
            </w:r>
          </w:p>
        </w:tc>
        <w:tc>
          <w:tcPr>
            <w:tcW w:w="684" w:type="pct"/>
            <w:vAlign w:val="center"/>
          </w:tcPr>
          <w:p w14:paraId="317DEC04">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标准限值(dB(A))</w:t>
            </w:r>
          </w:p>
        </w:tc>
        <w:tc>
          <w:tcPr>
            <w:tcW w:w="575" w:type="pct"/>
            <w:vAlign w:val="center"/>
          </w:tcPr>
          <w:p w14:paraId="46D43357">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达标情况</w:t>
            </w:r>
          </w:p>
        </w:tc>
      </w:tr>
      <w:tr w14:paraId="48EBA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30" w:type="pct"/>
            <w:vMerge w:val="restart"/>
            <w:vAlign w:val="center"/>
          </w:tcPr>
          <w:p w14:paraId="1C2763DC">
            <w:pPr>
              <w:widowControl/>
              <w:spacing w:line="240" w:lineRule="auto"/>
              <w:ind w:firstLine="0" w:firstLineChars="0"/>
              <w:jc w:val="center"/>
              <w:rPr>
                <w:color w:val="auto"/>
                <w:kern w:val="0"/>
                <w:sz w:val="21"/>
                <w:szCs w:val="21"/>
                <w:lang w:val="zh-CN"/>
              </w:rPr>
            </w:pPr>
            <w:r>
              <w:rPr>
                <w:color w:val="auto"/>
                <w:kern w:val="0"/>
                <w:sz w:val="21"/>
                <w:szCs w:val="21"/>
                <w:lang w:val="zh-CN"/>
              </w:rPr>
              <w:t>N1</w:t>
            </w:r>
          </w:p>
        </w:tc>
        <w:tc>
          <w:tcPr>
            <w:tcW w:w="483" w:type="pct"/>
            <w:vAlign w:val="center"/>
          </w:tcPr>
          <w:p w14:paraId="2E2EAB04">
            <w:pPr>
              <w:widowControl/>
              <w:spacing w:line="240" w:lineRule="auto"/>
              <w:ind w:firstLine="0" w:firstLineChars="0"/>
              <w:jc w:val="center"/>
              <w:rPr>
                <w:color w:val="auto"/>
                <w:kern w:val="0"/>
                <w:sz w:val="21"/>
                <w:szCs w:val="21"/>
                <w:lang w:val="zh-CN"/>
              </w:rPr>
            </w:pPr>
            <w:r>
              <w:rPr>
                <w:color w:val="auto"/>
                <w:kern w:val="0"/>
                <w:sz w:val="21"/>
                <w:szCs w:val="21"/>
                <w:lang w:val="zh-CN"/>
              </w:rPr>
              <w:t>昼间</w:t>
            </w:r>
          </w:p>
        </w:tc>
        <w:tc>
          <w:tcPr>
            <w:tcW w:w="682" w:type="pct"/>
            <w:vAlign w:val="center"/>
          </w:tcPr>
          <w:p w14:paraId="4F6385D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52</w:t>
            </w:r>
          </w:p>
        </w:tc>
        <w:tc>
          <w:tcPr>
            <w:tcW w:w="824" w:type="pct"/>
            <w:vAlign w:val="center"/>
          </w:tcPr>
          <w:p w14:paraId="3812EE63">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50.15</w:t>
            </w:r>
          </w:p>
        </w:tc>
        <w:tc>
          <w:tcPr>
            <w:tcW w:w="538" w:type="pct"/>
            <w:vAlign w:val="center"/>
          </w:tcPr>
          <w:p w14:paraId="49501EE9">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684" w:type="pct"/>
            <w:vAlign w:val="center"/>
          </w:tcPr>
          <w:p w14:paraId="21BEAD68">
            <w:pPr>
              <w:widowControl/>
              <w:spacing w:line="240" w:lineRule="auto"/>
              <w:ind w:firstLine="0" w:firstLineChars="0"/>
              <w:jc w:val="center"/>
              <w:rPr>
                <w:color w:val="auto"/>
                <w:kern w:val="0"/>
                <w:sz w:val="21"/>
                <w:szCs w:val="21"/>
              </w:rPr>
            </w:pPr>
            <w:r>
              <w:rPr>
                <w:rFonts w:hint="eastAsia"/>
                <w:color w:val="auto"/>
                <w:kern w:val="0"/>
                <w:sz w:val="21"/>
                <w:szCs w:val="21"/>
              </w:rPr>
              <w:t>54.18</w:t>
            </w:r>
          </w:p>
        </w:tc>
        <w:tc>
          <w:tcPr>
            <w:tcW w:w="684" w:type="pct"/>
            <w:vAlign w:val="center"/>
          </w:tcPr>
          <w:p w14:paraId="2B0F43AD">
            <w:pPr>
              <w:widowControl/>
              <w:spacing w:line="240" w:lineRule="auto"/>
              <w:ind w:firstLine="0" w:firstLineChars="0"/>
              <w:jc w:val="center"/>
              <w:rPr>
                <w:color w:val="auto"/>
                <w:kern w:val="0"/>
                <w:sz w:val="21"/>
                <w:szCs w:val="21"/>
                <w:lang w:val="zh-CN"/>
              </w:rPr>
            </w:pPr>
            <w:r>
              <w:rPr>
                <w:color w:val="auto"/>
                <w:kern w:val="0"/>
                <w:sz w:val="21"/>
                <w:szCs w:val="21"/>
                <w:lang w:val="zh-CN"/>
              </w:rPr>
              <w:t>65</w:t>
            </w:r>
          </w:p>
        </w:tc>
        <w:tc>
          <w:tcPr>
            <w:tcW w:w="575" w:type="pct"/>
            <w:vAlign w:val="center"/>
          </w:tcPr>
          <w:p w14:paraId="03A415F9">
            <w:pPr>
              <w:widowControl/>
              <w:spacing w:line="240" w:lineRule="auto"/>
              <w:ind w:firstLine="0" w:firstLineChars="0"/>
              <w:jc w:val="center"/>
              <w:rPr>
                <w:color w:val="auto"/>
                <w:kern w:val="0"/>
                <w:sz w:val="21"/>
                <w:szCs w:val="21"/>
                <w:lang w:val="zh-CN"/>
              </w:rPr>
            </w:pPr>
            <w:r>
              <w:rPr>
                <w:color w:val="auto"/>
                <w:kern w:val="0"/>
                <w:sz w:val="21"/>
                <w:szCs w:val="21"/>
                <w:lang w:val="zh-CN"/>
              </w:rPr>
              <w:t>达标</w:t>
            </w:r>
          </w:p>
        </w:tc>
      </w:tr>
      <w:tr w14:paraId="54915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30" w:type="pct"/>
            <w:vMerge w:val="continue"/>
            <w:vAlign w:val="center"/>
          </w:tcPr>
          <w:p w14:paraId="13963153">
            <w:pPr>
              <w:widowControl/>
              <w:spacing w:line="240" w:lineRule="auto"/>
              <w:ind w:firstLine="0" w:firstLineChars="0"/>
              <w:jc w:val="center"/>
              <w:rPr>
                <w:color w:val="auto"/>
                <w:kern w:val="0"/>
                <w:sz w:val="21"/>
                <w:szCs w:val="21"/>
                <w:lang w:val="zh-CN"/>
              </w:rPr>
            </w:pPr>
          </w:p>
        </w:tc>
        <w:tc>
          <w:tcPr>
            <w:tcW w:w="483" w:type="pct"/>
            <w:vAlign w:val="center"/>
          </w:tcPr>
          <w:p w14:paraId="03EF0B28">
            <w:pPr>
              <w:widowControl/>
              <w:spacing w:line="240" w:lineRule="auto"/>
              <w:ind w:firstLine="0" w:firstLineChars="0"/>
              <w:jc w:val="center"/>
              <w:rPr>
                <w:color w:val="auto"/>
                <w:kern w:val="0"/>
                <w:sz w:val="21"/>
                <w:szCs w:val="21"/>
                <w:lang w:val="zh-CN"/>
              </w:rPr>
            </w:pPr>
            <w:r>
              <w:rPr>
                <w:color w:val="auto"/>
                <w:kern w:val="0"/>
                <w:sz w:val="21"/>
                <w:szCs w:val="21"/>
                <w:lang w:val="zh-CN"/>
              </w:rPr>
              <w:t>夜间</w:t>
            </w:r>
          </w:p>
        </w:tc>
        <w:tc>
          <w:tcPr>
            <w:tcW w:w="682" w:type="pct"/>
            <w:vAlign w:val="center"/>
          </w:tcPr>
          <w:p w14:paraId="048BB462">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42</w:t>
            </w:r>
          </w:p>
        </w:tc>
        <w:tc>
          <w:tcPr>
            <w:tcW w:w="824" w:type="pct"/>
            <w:vAlign w:val="center"/>
          </w:tcPr>
          <w:p w14:paraId="7E93C593">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50.15</w:t>
            </w:r>
          </w:p>
        </w:tc>
        <w:tc>
          <w:tcPr>
            <w:tcW w:w="538" w:type="pct"/>
            <w:vAlign w:val="center"/>
          </w:tcPr>
          <w:p w14:paraId="060F9E87">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684" w:type="pct"/>
            <w:vAlign w:val="center"/>
          </w:tcPr>
          <w:p w14:paraId="204159EA">
            <w:pPr>
              <w:widowControl/>
              <w:spacing w:line="240" w:lineRule="auto"/>
              <w:ind w:firstLine="0" w:firstLineChars="0"/>
              <w:jc w:val="center"/>
              <w:rPr>
                <w:color w:val="auto"/>
                <w:kern w:val="0"/>
                <w:sz w:val="21"/>
                <w:szCs w:val="21"/>
              </w:rPr>
            </w:pPr>
            <w:r>
              <w:rPr>
                <w:rFonts w:hint="eastAsia"/>
                <w:color w:val="auto"/>
                <w:kern w:val="0"/>
                <w:sz w:val="21"/>
                <w:szCs w:val="21"/>
              </w:rPr>
              <w:t>50.77</w:t>
            </w:r>
          </w:p>
        </w:tc>
        <w:tc>
          <w:tcPr>
            <w:tcW w:w="684" w:type="pct"/>
            <w:vAlign w:val="center"/>
          </w:tcPr>
          <w:p w14:paraId="06233AAE">
            <w:pPr>
              <w:widowControl/>
              <w:spacing w:line="240" w:lineRule="auto"/>
              <w:ind w:firstLine="0" w:firstLineChars="0"/>
              <w:jc w:val="center"/>
              <w:rPr>
                <w:color w:val="auto"/>
                <w:kern w:val="0"/>
                <w:sz w:val="21"/>
                <w:szCs w:val="21"/>
                <w:lang w:val="zh-CN"/>
              </w:rPr>
            </w:pPr>
            <w:r>
              <w:rPr>
                <w:color w:val="auto"/>
                <w:kern w:val="0"/>
                <w:sz w:val="21"/>
                <w:szCs w:val="21"/>
                <w:lang w:val="zh-CN"/>
              </w:rPr>
              <w:t>55</w:t>
            </w:r>
          </w:p>
        </w:tc>
        <w:tc>
          <w:tcPr>
            <w:tcW w:w="575" w:type="pct"/>
            <w:vAlign w:val="center"/>
          </w:tcPr>
          <w:p w14:paraId="108EE26E">
            <w:pPr>
              <w:widowControl/>
              <w:spacing w:line="240" w:lineRule="auto"/>
              <w:ind w:firstLine="0" w:firstLineChars="0"/>
              <w:jc w:val="center"/>
              <w:rPr>
                <w:color w:val="auto"/>
                <w:kern w:val="0"/>
                <w:sz w:val="21"/>
                <w:szCs w:val="21"/>
                <w:lang w:val="zh-CN"/>
              </w:rPr>
            </w:pPr>
            <w:r>
              <w:rPr>
                <w:color w:val="auto"/>
                <w:kern w:val="0"/>
                <w:sz w:val="21"/>
                <w:szCs w:val="21"/>
                <w:lang w:val="zh-CN"/>
              </w:rPr>
              <w:t>达标</w:t>
            </w:r>
          </w:p>
        </w:tc>
      </w:tr>
      <w:tr w14:paraId="1F7F4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30" w:type="pct"/>
            <w:vMerge w:val="restart"/>
            <w:vAlign w:val="center"/>
          </w:tcPr>
          <w:p w14:paraId="670864D8">
            <w:pPr>
              <w:widowControl/>
              <w:spacing w:line="240" w:lineRule="auto"/>
              <w:ind w:firstLine="0" w:firstLineChars="0"/>
              <w:jc w:val="center"/>
              <w:rPr>
                <w:color w:val="auto"/>
                <w:kern w:val="0"/>
                <w:sz w:val="21"/>
                <w:szCs w:val="21"/>
                <w:lang w:val="zh-CN"/>
              </w:rPr>
            </w:pPr>
            <w:r>
              <w:rPr>
                <w:color w:val="auto"/>
                <w:kern w:val="0"/>
                <w:sz w:val="21"/>
                <w:szCs w:val="21"/>
                <w:lang w:val="zh-CN"/>
              </w:rPr>
              <w:t>N2</w:t>
            </w:r>
          </w:p>
        </w:tc>
        <w:tc>
          <w:tcPr>
            <w:tcW w:w="483" w:type="pct"/>
            <w:vAlign w:val="center"/>
          </w:tcPr>
          <w:p w14:paraId="4811B166">
            <w:pPr>
              <w:widowControl/>
              <w:spacing w:line="240" w:lineRule="auto"/>
              <w:ind w:firstLine="0" w:firstLineChars="0"/>
              <w:jc w:val="center"/>
              <w:rPr>
                <w:color w:val="auto"/>
                <w:kern w:val="0"/>
                <w:sz w:val="21"/>
                <w:szCs w:val="21"/>
                <w:lang w:val="zh-CN"/>
              </w:rPr>
            </w:pPr>
            <w:r>
              <w:rPr>
                <w:color w:val="auto"/>
                <w:kern w:val="0"/>
                <w:sz w:val="21"/>
                <w:szCs w:val="21"/>
                <w:lang w:val="zh-CN"/>
              </w:rPr>
              <w:t>昼间</w:t>
            </w:r>
          </w:p>
        </w:tc>
        <w:tc>
          <w:tcPr>
            <w:tcW w:w="682" w:type="pct"/>
            <w:vAlign w:val="center"/>
          </w:tcPr>
          <w:p w14:paraId="69CF645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53</w:t>
            </w:r>
          </w:p>
        </w:tc>
        <w:tc>
          <w:tcPr>
            <w:tcW w:w="824" w:type="pct"/>
            <w:vAlign w:val="center"/>
          </w:tcPr>
          <w:p w14:paraId="5449C9C7">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49.21</w:t>
            </w:r>
          </w:p>
        </w:tc>
        <w:tc>
          <w:tcPr>
            <w:tcW w:w="538" w:type="pct"/>
            <w:vAlign w:val="center"/>
          </w:tcPr>
          <w:p w14:paraId="2DCEC584">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684" w:type="pct"/>
            <w:vAlign w:val="center"/>
          </w:tcPr>
          <w:p w14:paraId="707C13D8">
            <w:pPr>
              <w:widowControl/>
              <w:spacing w:line="240" w:lineRule="auto"/>
              <w:ind w:firstLine="0" w:firstLineChars="0"/>
              <w:jc w:val="center"/>
              <w:rPr>
                <w:color w:val="auto"/>
                <w:kern w:val="0"/>
                <w:sz w:val="21"/>
                <w:szCs w:val="21"/>
              </w:rPr>
            </w:pPr>
            <w:r>
              <w:rPr>
                <w:rFonts w:hint="eastAsia"/>
                <w:color w:val="auto"/>
                <w:kern w:val="0"/>
                <w:sz w:val="21"/>
                <w:szCs w:val="21"/>
              </w:rPr>
              <w:t>54.52</w:t>
            </w:r>
          </w:p>
        </w:tc>
        <w:tc>
          <w:tcPr>
            <w:tcW w:w="684" w:type="pct"/>
            <w:vAlign w:val="center"/>
          </w:tcPr>
          <w:p w14:paraId="63123CD4">
            <w:pPr>
              <w:widowControl/>
              <w:spacing w:line="240" w:lineRule="auto"/>
              <w:ind w:firstLine="0" w:firstLineChars="0"/>
              <w:jc w:val="center"/>
              <w:rPr>
                <w:color w:val="auto"/>
                <w:kern w:val="0"/>
                <w:sz w:val="21"/>
                <w:szCs w:val="21"/>
                <w:lang w:val="zh-CN"/>
              </w:rPr>
            </w:pPr>
            <w:r>
              <w:rPr>
                <w:color w:val="auto"/>
                <w:kern w:val="0"/>
                <w:sz w:val="21"/>
                <w:szCs w:val="21"/>
                <w:lang w:val="zh-CN"/>
              </w:rPr>
              <w:t>65</w:t>
            </w:r>
          </w:p>
        </w:tc>
        <w:tc>
          <w:tcPr>
            <w:tcW w:w="575" w:type="pct"/>
            <w:vAlign w:val="center"/>
          </w:tcPr>
          <w:p w14:paraId="4DB4787E">
            <w:pPr>
              <w:widowControl/>
              <w:spacing w:line="240" w:lineRule="auto"/>
              <w:ind w:firstLine="0" w:firstLineChars="0"/>
              <w:jc w:val="center"/>
              <w:rPr>
                <w:color w:val="auto"/>
                <w:kern w:val="0"/>
                <w:sz w:val="21"/>
                <w:szCs w:val="21"/>
                <w:lang w:val="zh-CN"/>
              </w:rPr>
            </w:pPr>
            <w:r>
              <w:rPr>
                <w:color w:val="auto"/>
                <w:kern w:val="0"/>
                <w:sz w:val="21"/>
                <w:szCs w:val="21"/>
                <w:lang w:val="zh-CN"/>
              </w:rPr>
              <w:t>达标</w:t>
            </w:r>
          </w:p>
        </w:tc>
      </w:tr>
      <w:tr w14:paraId="013F5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30" w:type="pct"/>
            <w:vMerge w:val="continue"/>
            <w:vAlign w:val="center"/>
          </w:tcPr>
          <w:p w14:paraId="71D469EC">
            <w:pPr>
              <w:widowControl/>
              <w:spacing w:line="240" w:lineRule="auto"/>
              <w:ind w:firstLine="0" w:firstLineChars="0"/>
              <w:jc w:val="center"/>
              <w:rPr>
                <w:color w:val="auto"/>
                <w:kern w:val="0"/>
                <w:sz w:val="21"/>
                <w:szCs w:val="21"/>
                <w:lang w:val="zh-CN"/>
              </w:rPr>
            </w:pPr>
          </w:p>
        </w:tc>
        <w:tc>
          <w:tcPr>
            <w:tcW w:w="483" w:type="pct"/>
            <w:vAlign w:val="center"/>
          </w:tcPr>
          <w:p w14:paraId="7CF06EC7">
            <w:pPr>
              <w:widowControl/>
              <w:spacing w:line="240" w:lineRule="auto"/>
              <w:ind w:firstLine="0" w:firstLineChars="0"/>
              <w:jc w:val="center"/>
              <w:rPr>
                <w:color w:val="auto"/>
                <w:kern w:val="0"/>
                <w:sz w:val="21"/>
                <w:szCs w:val="21"/>
                <w:lang w:val="zh-CN"/>
              </w:rPr>
            </w:pPr>
            <w:r>
              <w:rPr>
                <w:color w:val="auto"/>
                <w:kern w:val="0"/>
                <w:sz w:val="21"/>
                <w:szCs w:val="21"/>
                <w:lang w:val="zh-CN"/>
              </w:rPr>
              <w:t>夜间</w:t>
            </w:r>
          </w:p>
        </w:tc>
        <w:tc>
          <w:tcPr>
            <w:tcW w:w="682" w:type="pct"/>
            <w:vAlign w:val="center"/>
          </w:tcPr>
          <w:p w14:paraId="2ED6C5CD">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43</w:t>
            </w:r>
          </w:p>
        </w:tc>
        <w:tc>
          <w:tcPr>
            <w:tcW w:w="824" w:type="pct"/>
            <w:vAlign w:val="center"/>
          </w:tcPr>
          <w:p w14:paraId="006F068B">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49.21</w:t>
            </w:r>
          </w:p>
        </w:tc>
        <w:tc>
          <w:tcPr>
            <w:tcW w:w="538" w:type="pct"/>
            <w:vAlign w:val="center"/>
          </w:tcPr>
          <w:p w14:paraId="3E5AB765">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684" w:type="pct"/>
            <w:vAlign w:val="center"/>
          </w:tcPr>
          <w:p w14:paraId="393A80AC">
            <w:pPr>
              <w:widowControl/>
              <w:spacing w:line="240" w:lineRule="auto"/>
              <w:ind w:firstLine="0" w:firstLineChars="0"/>
              <w:jc w:val="center"/>
              <w:rPr>
                <w:color w:val="auto"/>
                <w:kern w:val="0"/>
                <w:sz w:val="21"/>
                <w:szCs w:val="21"/>
              </w:rPr>
            </w:pPr>
            <w:r>
              <w:rPr>
                <w:rFonts w:hint="eastAsia"/>
                <w:color w:val="auto"/>
                <w:kern w:val="0"/>
                <w:sz w:val="21"/>
                <w:szCs w:val="21"/>
              </w:rPr>
              <w:t>50.14</w:t>
            </w:r>
          </w:p>
        </w:tc>
        <w:tc>
          <w:tcPr>
            <w:tcW w:w="684" w:type="pct"/>
            <w:vAlign w:val="center"/>
          </w:tcPr>
          <w:p w14:paraId="146729C4">
            <w:pPr>
              <w:widowControl/>
              <w:spacing w:line="240" w:lineRule="auto"/>
              <w:ind w:firstLine="0" w:firstLineChars="0"/>
              <w:jc w:val="center"/>
              <w:rPr>
                <w:color w:val="auto"/>
                <w:kern w:val="0"/>
                <w:sz w:val="21"/>
                <w:szCs w:val="21"/>
                <w:lang w:val="zh-CN"/>
              </w:rPr>
            </w:pPr>
            <w:r>
              <w:rPr>
                <w:color w:val="auto"/>
                <w:kern w:val="0"/>
                <w:sz w:val="21"/>
                <w:szCs w:val="21"/>
                <w:lang w:val="zh-CN"/>
              </w:rPr>
              <w:t>55</w:t>
            </w:r>
          </w:p>
        </w:tc>
        <w:tc>
          <w:tcPr>
            <w:tcW w:w="575" w:type="pct"/>
            <w:vAlign w:val="center"/>
          </w:tcPr>
          <w:p w14:paraId="54BA1187">
            <w:pPr>
              <w:widowControl/>
              <w:spacing w:line="240" w:lineRule="auto"/>
              <w:ind w:firstLine="0" w:firstLineChars="0"/>
              <w:jc w:val="center"/>
              <w:rPr>
                <w:color w:val="auto"/>
                <w:kern w:val="0"/>
                <w:sz w:val="21"/>
                <w:szCs w:val="21"/>
                <w:lang w:val="zh-CN"/>
              </w:rPr>
            </w:pPr>
            <w:r>
              <w:rPr>
                <w:color w:val="auto"/>
                <w:kern w:val="0"/>
                <w:sz w:val="21"/>
                <w:szCs w:val="21"/>
                <w:lang w:val="zh-CN"/>
              </w:rPr>
              <w:t>达标</w:t>
            </w:r>
          </w:p>
        </w:tc>
      </w:tr>
      <w:tr w14:paraId="7163A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30" w:type="pct"/>
            <w:vMerge w:val="restart"/>
            <w:vAlign w:val="center"/>
          </w:tcPr>
          <w:p w14:paraId="756A2EC4">
            <w:pPr>
              <w:widowControl/>
              <w:spacing w:line="240" w:lineRule="auto"/>
              <w:ind w:firstLine="0" w:firstLineChars="0"/>
              <w:jc w:val="center"/>
              <w:rPr>
                <w:color w:val="auto"/>
                <w:kern w:val="0"/>
                <w:sz w:val="21"/>
                <w:szCs w:val="21"/>
                <w:lang w:val="zh-CN"/>
              </w:rPr>
            </w:pPr>
            <w:r>
              <w:rPr>
                <w:color w:val="auto"/>
                <w:kern w:val="0"/>
                <w:sz w:val="21"/>
                <w:szCs w:val="21"/>
                <w:lang w:val="zh-CN"/>
              </w:rPr>
              <w:t>N3</w:t>
            </w:r>
          </w:p>
        </w:tc>
        <w:tc>
          <w:tcPr>
            <w:tcW w:w="483" w:type="pct"/>
            <w:vAlign w:val="center"/>
          </w:tcPr>
          <w:p w14:paraId="059117F5">
            <w:pPr>
              <w:widowControl/>
              <w:spacing w:line="240" w:lineRule="auto"/>
              <w:ind w:firstLine="0" w:firstLineChars="0"/>
              <w:jc w:val="center"/>
              <w:rPr>
                <w:color w:val="auto"/>
                <w:kern w:val="0"/>
                <w:sz w:val="21"/>
                <w:szCs w:val="21"/>
                <w:lang w:val="zh-CN"/>
              </w:rPr>
            </w:pPr>
            <w:r>
              <w:rPr>
                <w:color w:val="auto"/>
                <w:kern w:val="0"/>
                <w:sz w:val="21"/>
                <w:szCs w:val="21"/>
                <w:lang w:val="zh-CN"/>
              </w:rPr>
              <w:t>昼间</w:t>
            </w:r>
          </w:p>
        </w:tc>
        <w:tc>
          <w:tcPr>
            <w:tcW w:w="682" w:type="pct"/>
            <w:vAlign w:val="center"/>
          </w:tcPr>
          <w:p w14:paraId="2A50CFAC">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54</w:t>
            </w:r>
          </w:p>
        </w:tc>
        <w:tc>
          <w:tcPr>
            <w:tcW w:w="824" w:type="pct"/>
            <w:vAlign w:val="center"/>
          </w:tcPr>
          <w:p w14:paraId="793BBFC4">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48.12</w:t>
            </w:r>
          </w:p>
        </w:tc>
        <w:tc>
          <w:tcPr>
            <w:tcW w:w="538" w:type="pct"/>
            <w:vAlign w:val="center"/>
          </w:tcPr>
          <w:p w14:paraId="0438AA95">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684" w:type="pct"/>
            <w:vAlign w:val="center"/>
          </w:tcPr>
          <w:p w14:paraId="0CF4CAA8">
            <w:pPr>
              <w:widowControl/>
              <w:spacing w:line="240" w:lineRule="auto"/>
              <w:ind w:firstLine="0" w:firstLineChars="0"/>
              <w:jc w:val="center"/>
              <w:rPr>
                <w:color w:val="auto"/>
                <w:kern w:val="0"/>
                <w:sz w:val="21"/>
                <w:szCs w:val="21"/>
              </w:rPr>
            </w:pPr>
            <w:r>
              <w:rPr>
                <w:rFonts w:hint="eastAsia"/>
                <w:color w:val="auto"/>
                <w:kern w:val="0"/>
                <w:sz w:val="21"/>
                <w:szCs w:val="21"/>
              </w:rPr>
              <w:t>55.00</w:t>
            </w:r>
          </w:p>
        </w:tc>
        <w:tc>
          <w:tcPr>
            <w:tcW w:w="684" w:type="pct"/>
            <w:vAlign w:val="center"/>
          </w:tcPr>
          <w:p w14:paraId="260F4F2C">
            <w:pPr>
              <w:widowControl/>
              <w:spacing w:line="240" w:lineRule="auto"/>
              <w:ind w:firstLine="0" w:firstLineChars="0"/>
              <w:jc w:val="center"/>
              <w:rPr>
                <w:color w:val="auto"/>
                <w:kern w:val="0"/>
                <w:sz w:val="21"/>
                <w:szCs w:val="21"/>
                <w:lang w:val="zh-CN"/>
              </w:rPr>
            </w:pPr>
            <w:r>
              <w:rPr>
                <w:color w:val="auto"/>
                <w:kern w:val="0"/>
                <w:sz w:val="21"/>
                <w:szCs w:val="21"/>
                <w:lang w:val="zh-CN"/>
              </w:rPr>
              <w:t>65</w:t>
            </w:r>
          </w:p>
        </w:tc>
        <w:tc>
          <w:tcPr>
            <w:tcW w:w="575" w:type="pct"/>
            <w:vAlign w:val="center"/>
          </w:tcPr>
          <w:p w14:paraId="345D110B">
            <w:pPr>
              <w:widowControl/>
              <w:spacing w:line="240" w:lineRule="auto"/>
              <w:ind w:firstLine="0" w:firstLineChars="0"/>
              <w:jc w:val="center"/>
              <w:rPr>
                <w:color w:val="auto"/>
                <w:kern w:val="0"/>
                <w:sz w:val="21"/>
                <w:szCs w:val="21"/>
                <w:lang w:val="zh-CN"/>
              </w:rPr>
            </w:pPr>
            <w:r>
              <w:rPr>
                <w:color w:val="auto"/>
                <w:kern w:val="0"/>
                <w:sz w:val="21"/>
                <w:szCs w:val="21"/>
                <w:lang w:val="zh-CN"/>
              </w:rPr>
              <w:t>达标</w:t>
            </w:r>
          </w:p>
        </w:tc>
      </w:tr>
      <w:tr w14:paraId="512F9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30" w:type="pct"/>
            <w:vMerge w:val="continue"/>
            <w:vAlign w:val="center"/>
          </w:tcPr>
          <w:p w14:paraId="16F60A69">
            <w:pPr>
              <w:widowControl/>
              <w:spacing w:line="240" w:lineRule="auto"/>
              <w:ind w:firstLine="0" w:firstLineChars="0"/>
              <w:jc w:val="center"/>
              <w:rPr>
                <w:color w:val="auto"/>
                <w:kern w:val="0"/>
                <w:sz w:val="21"/>
                <w:szCs w:val="21"/>
                <w:lang w:val="zh-CN"/>
              </w:rPr>
            </w:pPr>
          </w:p>
        </w:tc>
        <w:tc>
          <w:tcPr>
            <w:tcW w:w="483" w:type="pct"/>
            <w:vAlign w:val="center"/>
          </w:tcPr>
          <w:p w14:paraId="77FA1643">
            <w:pPr>
              <w:widowControl/>
              <w:spacing w:line="240" w:lineRule="auto"/>
              <w:ind w:firstLine="0" w:firstLineChars="0"/>
              <w:jc w:val="center"/>
              <w:rPr>
                <w:color w:val="auto"/>
                <w:kern w:val="0"/>
                <w:sz w:val="21"/>
                <w:szCs w:val="21"/>
                <w:lang w:val="zh-CN"/>
              </w:rPr>
            </w:pPr>
            <w:r>
              <w:rPr>
                <w:color w:val="auto"/>
                <w:kern w:val="0"/>
                <w:sz w:val="21"/>
                <w:szCs w:val="21"/>
                <w:lang w:val="zh-CN"/>
              </w:rPr>
              <w:t>夜间</w:t>
            </w:r>
          </w:p>
        </w:tc>
        <w:tc>
          <w:tcPr>
            <w:tcW w:w="682" w:type="pct"/>
            <w:vAlign w:val="center"/>
          </w:tcPr>
          <w:p w14:paraId="50350A6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44</w:t>
            </w:r>
          </w:p>
        </w:tc>
        <w:tc>
          <w:tcPr>
            <w:tcW w:w="824" w:type="pct"/>
            <w:vAlign w:val="center"/>
          </w:tcPr>
          <w:p w14:paraId="1DDD6AF0">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48.12</w:t>
            </w:r>
          </w:p>
        </w:tc>
        <w:tc>
          <w:tcPr>
            <w:tcW w:w="538" w:type="pct"/>
            <w:vAlign w:val="center"/>
          </w:tcPr>
          <w:p w14:paraId="525C3847">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684" w:type="pct"/>
            <w:vAlign w:val="center"/>
          </w:tcPr>
          <w:p w14:paraId="36E7D363">
            <w:pPr>
              <w:widowControl/>
              <w:spacing w:line="240" w:lineRule="auto"/>
              <w:ind w:firstLine="0" w:firstLineChars="0"/>
              <w:jc w:val="center"/>
              <w:rPr>
                <w:color w:val="auto"/>
                <w:kern w:val="0"/>
                <w:sz w:val="21"/>
                <w:szCs w:val="21"/>
              </w:rPr>
            </w:pPr>
            <w:r>
              <w:rPr>
                <w:rFonts w:hint="eastAsia"/>
                <w:color w:val="auto"/>
                <w:kern w:val="0"/>
                <w:sz w:val="21"/>
                <w:szCs w:val="21"/>
              </w:rPr>
              <w:t>49.54</w:t>
            </w:r>
          </w:p>
        </w:tc>
        <w:tc>
          <w:tcPr>
            <w:tcW w:w="684" w:type="pct"/>
            <w:vAlign w:val="center"/>
          </w:tcPr>
          <w:p w14:paraId="76A53D66">
            <w:pPr>
              <w:widowControl/>
              <w:spacing w:line="240" w:lineRule="auto"/>
              <w:ind w:firstLine="0" w:firstLineChars="0"/>
              <w:jc w:val="center"/>
              <w:rPr>
                <w:color w:val="auto"/>
                <w:kern w:val="0"/>
                <w:sz w:val="21"/>
                <w:szCs w:val="21"/>
                <w:lang w:val="zh-CN"/>
              </w:rPr>
            </w:pPr>
            <w:r>
              <w:rPr>
                <w:color w:val="auto"/>
                <w:kern w:val="0"/>
                <w:sz w:val="21"/>
                <w:szCs w:val="21"/>
                <w:lang w:val="zh-CN"/>
              </w:rPr>
              <w:t>55</w:t>
            </w:r>
          </w:p>
        </w:tc>
        <w:tc>
          <w:tcPr>
            <w:tcW w:w="575" w:type="pct"/>
            <w:vAlign w:val="center"/>
          </w:tcPr>
          <w:p w14:paraId="3C317A5A">
            <w:pPr>
              <w:widowControl/>
              <w:spacing w:line="240" w:lineRule="auto"/>
              <w:ind w:firstLine="0" w:firstLineChars="0"/>
              <w:jc w:val="center"/>
              <w:rPr>
                <w:color w:val="auto"/>
                <w:kern w:val="0"/>
                <w:sz w:val="21"/>
                <w:szCs w:val="21"/>
                <w:lang w:val="zh-CN"/>
              </w:rPr>
            </w:pPr>
            <w:r>
              <w:rPr>
                <w:color w:val="auto"/>
                <w:kern w:val="0"/>
                <w:sz w:val="21"/>
                <w:szCs w:val="21"/>
                <w:lang w:val="zh-CN"/>
              </w:rPr>
              <w:t>达标</w:t>
            </w:r>
          </w:p>
        </w:tc>
      </w:tr>
      <w:tr w14:paraId="2F152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30" w:type="pct"/>
            <w:vMerge w:val="restart"/>
            <w:vAlign w:val="center"/>
          </w:tcPr>
          <w:p w14:paraId="28F788C2">
            <w:pPr>
              <w:widowControl/>
              <w:spacing w:line="240" w:lineRule="auto"/>
              <w:ind w:firstLine="0" w:firstLineChars="0"/>
              <w:jc w:val="center"/>
              <w:rPr>
                <w:color w:val="auto"/>
                <w:kern w:val="0"/>
                <w:sz w:val="21"/>
                <w:szCs w:val="21"/>
                <w:lang w:val="zh-CN"/>
              </w:rPr>
            </w:pPr>
            <w:r>
              <w:rPr>
                <w:color w:val="auto"/>
                <w:kern w:val="0"/>
                <w:sz w:val="21"/>
                <w:szCs w:val="21"/>
                <w:lang w:val="zh-CN"/>
              </w:rPr>
              <w:t>N4</w:t>
            </w:r>
          </w:p>
        </w:tc>
        <w:tc>
          <w:tcPr>
            <w:tcW w:w="483" w:type="pct"/>
            <w:vAlign w:val="center"/>
          </w:tcPr>
          <w:p w14:paraId="3B4646AE">
            <w:pPr>
              <w:widowControl/>
              <w:spacing w:line="240" w:lineRule="auto"/>
              <w:ind w:firstLine="0" w:firstLineChars="0"/>
              <w:jc w:val="center"/>
              <w:rPr>
                <w:color w:val="auto"/>
                <w:kern w:val="0"/>
                <w:sz w:val="21"/>
                <w:szCs w:val="21"/>
                <w:lang w:val="zh-CN"/>
              </w:rPr>
            </w:pPr>
            <w:r>
              <w:rPr>
                <w:color w:val="auto"/>
                <w:kern w:val="0"/>
                <w:sz w:val="21"/>
                <w:szCs w:val="21"/>
                <w:lang w:val="zh-CN"/>
              </w:rPr>
              <w:t>昼间</w:t>
            </w:r>
          </w:p>
        </w:tc>
        <w:tc>
          <w:tcPr>
            <w:tcW w:w="682" w:type="pct"/>
            <w:vAlign w:val="center"/>
          </w:tcPr>
          <w:p w14:paraId="121250A3">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52</w:t>
            </w:r>
          </w:p>
        </w:tc>
        <w:tc>
          <w:tcPr>
            <w:tcW w:w="824" w:type="pct"/>
            <w:vAlign w:val="center"/>
          </w:tcPr>
          <w:p w14:paraId="63AC455E">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47.98</w:t>
            </w:r>
          </w:p>
        </w:tc>
        <w:tc>
          <w:tcPr>
            <w:tcW w:w="538" w:type="pct"/>
            <w:vAlign w:val="center"/>
          </w:tcPr>
          <w:p w14:paraId="62EE2447">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684" w:type="pct"/>
            <w:vAlign w:val="center"/>
          </w:tcPr>
          <w:p w14:paraId="64F29EAB">
            <w:pPr>
              <w:widowControl/>
              <w:spacing w:line="240" w:lineRule="auto"/>
              <w:ind w:firstLine="0" w:firstLineChars="0"/>
              <w:jc w:val="center"/>
              <w:rPr>
                <w:color w:val="auto"/>
                <w:kern w:val="0"/>
                <w:sz w:val="21"/>
                <w:szCs w:val="21"/>
              </w:rPr>
            </w:pPr>
            <w:r>
              <w:rPr>
                <w:rFonts w:hint="eastAsia"/>
                <w:color w:val="auto"/>
                <w:kern w:val="0"/>
                <w:sz w:val="21"/>
                <w:szCs w:val="21"/>
              </w:rPr>
              <w:t>53.45</w:t>
            </w:r>
          </w:p>
        </w:tc>
        <w:tc>
          <w:tcPr>
            <w:tcW w:w="684" w:type="pct"/>
            <w:vAlign w:val="center"/>
          </w:tcPr>
          <w:p w14:paraId="4ABDEF05">
            <w:pPr>
              <w:widowControl/>
              <w:spacing w:line="240" w:lineRule="auto"/>
              <w:ind w:firstLine="0" w:firstLineChars="0"/>
              <w:jc w:val="center"/>
              <w:rPr>
                <w:color w:val="auto"/>
                <w:kern w:val="0"/>
                <w:sz w:val="21"/>
                <w:szCs w:val="21"/>
                <w:lang w:val="zh-CN"/>
              </w:rPr>
            </w:pPr>
            <w:r>
              <w:rPr>
                <w:color w:val="auto"/>
                <w:kern w:val="0"/>
                <w:sz w:val="21"/>
                <w:szCs w:val="21"/>
                <w:lang w:val="zh-CN"/>
              </w:rPr>
              <w:t>65</w:t>
            </w:r>
          </w:p>
        </w:tc>
        <w:tc>
          <w:tcPr>
            <w:tcW w:w="575" w:type="pct"/>
            <w:vAlign w:val="center"/>
          </w:tcPr>
          <w:p w14:paraId="7387780B">
            <w:pPr>
              <w:widowControl/>
              <w:spacing w:line="240" w:lineRule="auto"/>
              <w:ind w:firstLine="0" w:firstLineChars="0"/>
              <w:jc w:val="center"/>
              <w:rPr>
                <w:color w:val="auto"/>
                <w:kern w:val="0"/>
                <w:sz w:val="21"/>
                <w:szCs w:val="21"/>
                <w:lang w:val="zh-CN"/>
              </w:rPr>
            </w:pPr>
            <w:r>
              <w:rPr>
                <w:color w:val="auto"/>
                <w:kern w:val="0"/>
                <w:sz w:val="21"/>
                <w:szCs w:val="21"/>
                <w:lang w:val="zh-CN"/>
              </w:rPr>
              <w:t>达标</w:t>
            </w:r>
          </w:p>
        </w:tc>
      </w:tr>
      <w:tr w14:paraId="3AD8A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30" w:type="pct"/>
            <w:vMerge w:val="continue"/>
            <w:vAlign w:val="center"/>
          </w:tcPr>
          <w:p w14:paraId="5987C44F">
            <w:pPr>
              <w:widowControl/>
              <w:spacing w:line="240" w:lineRule="auto"/>
              <w:ind w:firstLine="0" w:firstLineChars="0"/>
              <w:jc w:val="center"/>
              <w:rPr>
                <w:color w:val="auto"/>
                <w:kern w:val="0"/>
                <w:sz w:val="21"/>
                <w:szCs w:val="21"/>
                <w:lang w:val="zh-CN"/>
              </w:rPr>
            </w:pPr>
          </w:p>
        </w:tc>
        <w:tc>
          <w:tcPr>
            <w:tcW w:w="483" w:type="pct"/>
            <w:vAlign w:val="center"/>
          </w:tcPr>
          <w:p w14:paraId="4882F971">
            <w:pPr>
              <w:widowControl/>
              <w:spacing w:line="240" w:lineRule="auto"/>
              <w:ind w:firstLine="0" w:firstLineChars="0"/>
              <w:jc w:val="center"/>
              <w:rPr>
                <w:color w:val="auto"/>
                <w:kern w:val="0"/>
                <w:sz w:val="21"/>
                <w:szCs w:val="21"/>
                <w:lang w:val="zh-CN"/>
              </w:rPr>
            </w:pPr>
            <w:r>
              <w:rPr>
                <w:color w:val="auto"/>
                <w:kern w:val="0"/>
                <w:sz w:val="21"/>
                <w:szCs w:val="21"/>
                <w:lang w:val="zh-CN"/>
              </w:rPr>
              <w:t>夜间</w:t>
            </w:r>
          </w:p>
        </w:tc>
        <w:tc>
          <w:tcPr>
            <w:tcW w:w="682" w:type="pct"/>
            <w:vAlign w:val="center"/>
          </w:tcPr>
          <w:p w14:paraId="63A84FB9">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43</w:t>
            </w:r>
          </w:p>
        </w:tc>
        <w:tc>
          <w:tcPr>
            <w:tcW w:w="824" w:type="pct"/>
            <w:vAlign w:val="center"/>
          </w:tcPr>
          <w:p w14:paraId="4B0746B8">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47.98</w:t>
            </w:r>
          </w:p>
        </w:tc>
        <w:tc>
          <w:tcPr>
            <w:tcW w:w="538" w:type="pct"/>
            <w:vAlign w:val="center"/>
          </w:tcPr>
          <w:p w14:paraId="7130EADD">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684" w:type="pct"/>
            <w:vAlign w:val="center"/>
          </w:tcPr>
          <w:p w14:paraId="7CAF214F">
            <w:pPr>
              <w:widowControl/>
              <w:spacing w:line="240" w:lineRule="auto"/>
              <w:ind w:firstLine="0" w:firstLineChars="0"/>
              <w:jc w:val="center"/>
              <w:rPr>
                <w:color w:val="auto"/>
                <w:kern w:val="0"/>
                <w:sz w:val="21"/>
                <w:szCs w:val="21"/>
              </w:rPr>
            </w:pPr>
            <w:r>
              <w:rPr>
                <w:rFonts w:hint="eastAsia"/>
                <w:color w:val="auto"/>
                <w:kern w:val="0"/>
                <w:sz w:val="21"/>
                <w:szCs w:val="21"/>
              </w:rPr>
              <w:t>49.18</w:t>
            </w:r>
          </w:p>
        </w:tc>
        <w:tc>
          <w:tcPr>
            <w:tcW w:w="684" w:type="pct"/>
            <w:vAlign w:val="center"/>
          </w:tcPr>
          <w:p w14:paraId="659DCBCF">
            <w:pPr>
              <w:widowControl/>
              <w:spacing w:line="240" w:lineRule="auto"/>
              <w:ind w:firstLine="0" w:firstLineChars="0"/>
              <w:jc w:val="center"/>
              <w:rPr>
                <w:color w:val="auto"/>
                <w:kern w:val="0"/>
                <w:sz w:val="21"/>
                <w:szCs w:val="21"/>
                <w:lang w:val="zh-CN"/>
              </w:rPr>
            </w:pPr>
            <w:r>
              <w:rPr>
                <w:color w:val="auto"/>
                <w:kern w:val="0"/>
                <w:sz w:val="21"/>
                <w:szCs w:val="21"/>
                <w:lang w:val="zh-CN"/>
              </w:rPr>
              <w:t>55</w:t>
            </w:r>
          </w:p>
        </w:tc>
        <w:tc>
          <w:tcPr>
            <w:tcW w:w="575" w:type="pct"/>
            <w:vAlign w:val="center"/>
          </w:tcPr>
          <w:p w14:paraId="71A0A4A1">
            <w:pPr>
              <w:widowControl/>
              <w:spacing w:line="240" w:lineRule="auto"/>
              <w:ind w:firstLine="0" w:firstLineChars="0"/>
              <w:jc w:val="center"/>
              <w:rPr>
                <w:color w:val="auto"/>
                <w:kern w:val="0"/>
                <w:sz w:val="21"/>
                <w:szCs w:val="21"/>
                <w:lang w:val="zh-CN"/>
              </w:rPr>
            </w:pPr>
            <w:r>
              <w:rPr>
                <w:color w:val="auto"/>
                <w:kern w:val="0"/>
                <w:sz w:val="21"/>
                <w:szCs w:val="21"/>
                <w:lang w:val="zh-CN"/>
              </w:rPr>
              <w:t>达标</w:t>
            </w:r>
          </w:p>
        </w:tc>
      </w:tr>
    </w:tbl>
    <w:p w14:paraId="25486B41">
      <w:pPr>
        <w:ind w:firstLine="0" w:firstLineChars="0"/>
        <w:rPr>
          <w:color w:val="auto"/>
          <w:sz w:val="21"/>
          <w:szCs w:val="21"/>
        </w:rPr>
      </w:pPr>
      <w:r>
        <w:rPr>
          <w:b/>
          <w:bCs/>
          <w:color w:val="auto"/>
          <w:sz w:val="21"/>
          <w:szCs w:val="21"/>
        </w:rPr>
        <w:t>*注：</w:t>
      </w:r>
      <w:r>
        <w:rPr>
          <w:rFonts w:ascii="Cambria Math" w:hAnsi="Cambria Math" w:cs="Cambria Math"/>
          <w:b/>
          <w:bCs/>
          <w:color w:val="auto"/>
          <w:sz w:val="21"/>
          <w:szCs w:val="21"/>
        </w:rPr>
        <w:t>①</w:t>
      </w:r>
      <w:r>
        <w:rPr>
          <w:b/>
          <w:bCs/>
          <w:color w:val="auto"/>
          <w:sz w:val="21"/>
          <w:szCs w:val="21"/>
        </w:rPr>
        <w:t>背景值为现状监测结果中较大值。</w:t>
      </w:r>
      <w:r>
        <w:rPr>
          <w:rFonts w:ascii="Cambria Math" w:hAnsi="Cambria Math" w:cs="Cambria Math"/>
          <w:b/>
          <w:bCs/>
          <w:color w:val="auto"/>
          <w:sz w:val="21"/>
          <w:szCs w:val="21"/>
        </w:rPr>
        <w:t>②</w:t>
      </w:r>
      <w:r>
        <w:rPr>
          <w:b/>
          <w:bCs/>
          <w:color w:val="auto"/>
          <w:sz w:val="21"/>
          <w:szCs w:val="21"/>
        </w:rPr>
        <w:t>在建项目噪声源强来源于现有项目环评报告。</w:t>
      </w:r>
    </w:p>
    <w:p w14:paraId="66477361">
      <w:pPr>
        <w:ind w:firstLine="480"/>
        <w:rPr>
          <w:color w:val="auto"/>
        </w:rPr>
      </w:pPr>
      <w:r>
        <w:rPr>
          <w:color w:val="auto"/>
        </w:rPr>
        <w:t>由上表可知，</w:t>
      </w:r>
      <w:r>
        <w:rPr>
          <w:rFonts w:hint="eastAsia"/>
          <w:color w:val="auto"/>
        </w:rPr>
        <w:t>建设</w:t>
      </w:r>
      <w:r>
        <w:rPr>
          <w:color w:val="auto"/>
        </w:rPr>
        <w:t>项目厂界噪声</w:t>
      </w:r>
      <w:r>
        <w:rPr>
          <w:rFonts w:hint="eastAsia"/>
          <w:color w:val="auto"/>
        </w:rPr>
        <w:t>贡献值可</w:t>
      </w:r>
      <w:bookmarkStart w:id="209" w:name="PO_3"/>
      <w:r>
        <w:rPr>
          <w:rFonts w:hint="eastAsia"/>
          <w:color w:val="auto"/>
        </w:rPr>
        <w:t>满足</w:t>
      </w:r>
      <w:r>
        <w:rPr>
          <w:color w:val="auto"/>
        </w:rPr>
        <w:t>《工业企业厂界环境噪声排放标准》(GB12348-2008)3</w:t>
      </w:r>
      <w:bookmarkEnd w:id="209"/>
      <w:r>
        <w:rPr>
          <w:color w:val="auto"/>
        </w:rPr>
        <w:t>类标准。</w:t>
      </w:r>
    </w:p>
    <w:p w14:paraId="5E22371D">
      <w:pPr>
        <w:pStyle w:val="4"/>
        <w:rPr>
          <w:color w:val="auto"/>
        </w:rPr>
      </w:pPr>
      <w:bookmarkStart w:id="210" w:name="_Toc32491"/>
      <w:r>
        <w:rPr>
          <w:rFonts w:hint="eastAsia"/>
          <w:color w:val="auto"/>
        </w:rPr>
        <w:t>6.3.4小结</w:t>
      </w:r>
      <w:bookmarkEnd w:id="210"/>
    </w:p>
    <w:p w14:paraId="61A93C6F">
      <w:pPr>
        <w:ind w:firstLine="480"/>
        <w:rPr>
          <w:color w:val="auto"/>
        </w:rPr>
      </w:pPr>
      <w:r>
        <w:rPr>
          <w:rFonts w:hint="eastAsia"/>
          <w:color w:val="auto"/>
        </w:rPr>
        <w:t>本项目声环境影响评价自查表如下。</w:t>
      </w:r>
    </w:p>
    <w:p w14:paraId="3480538E">
      <w:pPr>
        <w:ind w:firstLine="482"/>
        <w:jc w:val="center"/>
        <w:rPr>
          <w:b/>
          <w:bCs/>
          <w:color w:val="auto"/>
        </w:rPr>
      </w:pPr>
      <w:r>
        <w:rPr>
          <w:rFonts w:hint="eastAsia"/>
          <w:b/>
          <w:bCs/>
          <w:color w:val="auto"/>
        </w:rPr>
        <w:t>表6.3.4-1 声环境影响评价自查表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667"/>
        <w:gridCol w:w="1007"/>
        <w:gridCol w:w="522"/>
        <w:gridCol w:w="321"/>
        <w:gridCol w:w="238"/>
        <w:gridCol w:w="1096"/>
        <w:gridCol w:w="700"/>
        <w:gridCol w:w="451"/>
        <w:gridCol w:w="564"/>
        <w:gridCol w:w="514"/>
        <w:gridCol w:w="238"/>
        <w:gridCol w:w="1302"/>
      </w:tblGrid>
      <w:tr w14:paraId="7CFD1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2" w:type="pct"/>
            <w:gridSpan w:val="2"/>
            <w:vAlign w:val="center"/>
          </w:tcPr>
          <w:p w14:paraId="3A123146">
            <w:pPr>
              <w:widowControl/>
              <w:spacing w:line="240" w:lineRule="auto"/>
              <w:ind w:firstLine="0" w:firstLineChars="0"/>
              <w:jc w:val="center"/>
              <w:rPr>
                <w:b/>
                <w:bCs/>
                <w:color w:val="auto"/>
                <w:kern w:val="0"/>
                <w:sz w:val="21"/>
                <w:szCs w:val="21"/>
                <w:lang w:val="zh-CN" w:eastAsia="en-US"/>
              </w:rPr>
            </w:pPr>
            <w:r>
              <w:rPr>
                <w:b/>
                <w:bCs/>
                <w:color w:val="auto"/>
                <w:kern w:val="0"/>
                <w:sz w:val="21"/>
                <w:szCs w:val="21"/>
                <w:lang w:val="zh-CN" w:eastAsia="en-US"/>
              </w:rPr>
              <w:t>工作内容</w:t>
            </w:r>
          </w:p>
        </w:tc>
        <w:tc>
          <w:tcPr>
            <w:tcW w:w="3528" w:type="pct"/>
            <w:gridSpan w:val="11"/>
            <w:vAlign w:val="center"/>
          </w:tcPr>
          <w:p w14:paraId="66F9173B">
            <w:pPr>
              <w:widowControl/>
              <w:spacing w:line="240" w:lineRule="auto"/>
              <w:ind w:firstLine="0" w:firstLineChars="0"/>
              <w:jc w:val="center"/>
              <w:rPr>
                <w:b/>
                <w:bCs/>
                <w:color w:val="auto"/>
                <w:kern w:val="0"/>
                <w:sz w:val="21"/>
                <w:szCs w:val="21"/>
                <w:lang w:val="zh-CN" w:eastAsia="en-US"/>
              </w:rPr>
            </w:pPr>
            <w:r>
              <w:rPr>
                <w:b/>
                <w:bCs/>
                <w:color w:val="auto"/>
                <w:kern w:val="0"/>
                <w:sz w:val="21"/>
                <w:szCs w:val="21"/>
                <w:lang w:val="zh-CN" w:eastAsia="en-US"/>
              </w:rPr>
              <w:t>自查项目</w:t>
            </w:r>
          </w:p>
        </w:tc>
      </w:tr>
      <w:tr w14:paraId="0D502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26" w:type="pct"/>
            <w:vMerge w:val="restart"/>
            <w:vAlign w:val="center"/>
          </w:tcPr>
          <w:p w14:paraId="13D7FF14">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评价等级与范围</w:t>
            </w:r>
          </w:p>
        </w:tc>
        <w:tc>
          <w:tcPr>
            <w:tcW w:w="846" w:type="pct"/>
            <w:vAlign w:val="center"/>
          </w:tcPr>
          <w:p w14:paraId="606155BD">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评价等级</w:t>
            </w:r>
          </w:p>
        </w:tc>
        <w:tc>
          <w:tcPr>
            <w:tcW w:w="3528" w:type="pct"/>
            <w:gridSpan w:val="11"/>
            <w:vAlign w:val="center"/>
          </w:tcPr>
          <w:p w14:paraId="11232BB3">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一级□</w:t>
            </w:r>
            <w:r>
              <w:rPr>
                <w:color w:val="auto"/>
                <w:kern w:val="0"/>
                <w:sz w:val="21"/>
                <w:szCs w:val="21"/>
                <w:lang w:val="zh-CN" w:eastAsia="en-US"/>
              </w:rPr>
              <w:tab/>
            </w:r>
            <w:r>
              <w:rPr>
                <w:color w:val="auto"/>
                <w:kern w:val="0"/>
                <w:sz w:val="21"/>
                <w:szCs w:val="21"/>
                <w:lang w:val="zh-CN" w:eastAsia="en-US"/>
              </w:rPr>
              <w:t>二级□</w:t>
            </w:r>
            <w:r>
              <w:rPr>
                <w:color w:val="auto"/>
                <w:kern w:val="0"/>
                <w:sz w:val="21"/>
                <w:szCs w:val="21"/>
                <w:lang w:val="zh-CN" w:eastAsia="en-US"/>
              </w:rPr>
              <w:tab/>
            </w:r>
            <w:r>
              <w:rPr>
                <w:color w:val="auto"/>
                <w:kern w:val="0"/>
                <w:sz w:val="21"/>
                <w:szCs w:val="21"/>
                <w:lang w:val="zh-CN" w:eastAsia="en-US"/>
              </w:rPr>
              <w:t>三级</w:t>
            </w:r>
            <w:r>
              <w:rPr>
                <w:color w:val="auto"/>
                <w:kern w:val="0"/>
                <w:sz w:val="21"/>
                <w:szCs w:val="21"/>
                <w:lang w:val="zh-CN"/>
              </w:rPr>
              <w:t>√</w:t>
            </w:r>
          </w:p>
        </w:tc>
      </w:tr>
      <w:tr w14:paraId="1EB4C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26" w:type="pct"/>
            <w:vMerge w:val="continue"/>
            <w:vAlign w:val="center"/>
          </w:tcPr>
          <w:p w14:paraId="56AA584F">
            <w:pPr>
              <w:widowControl/>
              <w:spacing w:line="240" w:lineRule="auto"/>
              <w:ind w:firstLine="0" w:firstLineChars="0"/>
              <w:jc w:val="center"/>
              <w:rPr>
                <w:color w:val="auto"/>
                <w:kern w:val="0"/>
                <w:sz w:val="21"/>
                <w:szCs w:val="21"/>
                <w:lang w:val="zh-CN"/>
              </w:rPr>
            </w:pPr>
          </w:p>
        </w:tc>
        <w:tc>
          <w:tcPr>
            <w:tcW w:w="846" w:type="pct"/>
            <w:vAlign w:val="center"/>
          </w:tcPr>
          <w:p w14:paraId="600AC0D0">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评价范围</w:t>
            </w:r>
          </w:p>
        </w:tc>
        <w:tc>
          <w:tcPr>
            <w:tcW w:w="3528" w:type="pct"/>
            <w:gridSpan w:val="11"/>
            <w:vAlign w:val="center"/>
          </w:tcPr>
          <w:p w14:paraId="1793DDE8">
            <w:pPr>
              <w:widowControl/>
              <w:spacing w:line="240" w:lineRule="auto"/>
              <w:ind w:firstLine="0" w:firstLineChars="0"/>
              <w:jc w:val="center"/>
              <w:rPr>
                <w:color w:val="auto"/>
                <w:kern w:val="0"/>
                <w:sz w:val="21"/>
                <w:szCs w:val="21"/>
                <w:lang w:val="zh-CN"/>
              </w:rPr>
            </w:pPr>
            <w:r>
              <w:rPr>
                <w:color w:val="auto"/>
                <w:kern w:val="0"/>
                <w:sz w:val="21"/>
                <w:szCs w:val="21"/>
                <w:lang w:val="zh-CN"/>
              </w:rPr>
              <w:t>200m√</w:t>
            </w:r>
            <w:r>
              <w:rPr>
                <w:color w:val="auto"/>
                <w:kern w:val="0"/>
                <w:sz w:val="21"/>
                <w:szCs w:val="21"/>
                <w:lang w:val="zh-CN"/>
              </w:rPr>
              <w:tab/>
            </w:r>
            <w:r>
              <w:rPr>
                <w:color w:val="auto"/>
                <w:kern w:val="0"/>
                <w:sz w:val="21"/>
                <w:szCs w:val="21"/>
                <w:lang w:val="zh-CN"/>
              </w:rPr>
              <w:t>大于 200m□</w:t>
            </w:r>
            <w:r>
              <w:rPr>
                <w:color w:val="auto"/>
                <w:kern w:val="0"/>
                <w:sz w:val="21"/>
                <w:szCs w:val="21"/>
                <w:lang w:val="zh-CN"/>
              </w:rPr>
              <w:tab/>
            </w:r>
            <w:r>
              <w:rPr>
                <w:color w:val="auto"/>
                <w:kern w:val="0"/>
                <w:sz w:val="21"/>
                <w:szCs w:val="21"/>
                <w:lang w:val="zh-CN"/>
              </w:rPr>
              <w:t>小于 200m□</w:t>
            </w:r>
          </w:p>
        </w:tc>
      </w:tr>
      <w:tr w14:paraId="03C2C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26" w:type="pct"/>
            <w:vAlign w:val="center"/>
          </w:tcPr>
          <w:p w14:paraId="1861D7FF">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评价因子</w:t>
            </w:r>
          </w:p>
        </w:tc>
        <w:tc>
          <w:tcPr>
            <w:tcW w:w="846" w:type="pct"/>
            <w:vAlign w:val="center"/>
          </w:tcPr>
          <w:p w14:paraId="7CA800EA">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评价因子</w:t>
            </w:r>
          </w:p>
        </w:tc>
        <w:tc>
          <w:tcPr>
            <w:tcW w:w="3528" w:type="pct"/>
            <w:gridSpan w:val="11"/>
            <w:vAlign w:val="center"/>
          </w:tcPr>
          <w:p w14:paraId="54380273">
            <w:pPr>
              <w:widowControl/>
              <w:spacing w:line="240" w:lineRule="auto"/>
              <w:ind w:firstLine="0" w:firstLineChars="0"/>
              <w:jc w:val="center"/>
              <w:rPr>
                <w:color w:val="auto"/>
                <w:kern w:val="0"/>
                <w:sz w:val="21"/>
                <w:szCs w:val="21"/>
                <w:lang w:val="zh-CN"/>
              </w:rPr>
            </w:pPr>
            <w:r>
              <w:rPr>
                <w:color w:val="auto"/>
                <w:kern w:val="0"/>
                <w:sz w:val="21"/>
                <w:szCs w:val="21"/>
                <w:lang w:val="zh-CN"/>
              </w:rPr>
              <w:t>等效连续A声级√   最大A声级□  计权等效连续感觉噪声级□</w:t>
            </w:r>
          </w:p>
        </w:tc>
      </w:tr>
      <w:tr w14:paraId="412BB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26" w:type="pct"/>
            <w:vAlign w:val="center"/>
          </w:tcPr>
          <w:p w14:paraId="63AF318D">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评价标准</w:t>
            </w:r>
          </w:p>
        </w:tc>
        <w:tc>
          <w:tcPr>
            <w:tcW w:w="846" w:type="pct"/>
            <w:vAlign w:val="center"/>
          </w:tcPr>
          <w:p w14:paraId="530CDD7E">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评价标准</w:t>
            </w:r>
          </w:p>
        </w:tc>
        <w:tc>
          <w:tcPr>
            <w:tcW w:w="3528" w:type="pct"/>
            <w:gridSpan w:val="11"/>
            <w:vAlign w:val="center"/>
          </w:tcPr>
          <w:p w14:paraId="2F99FA80">
            <w:pPr>
              <w:widowControl/>
              <w:spacing w:line="240" w:lineRule="auto"/>
              <w:ind w:firstLine="0" w:firstLineChars="0"/>
              <w:jc w:val="center"/>
              <w:rPr>
                <w:color w:val="auto"/>
                <w:kern w:val="0"/>
                <w:sz w:val="21"/>
                <w:szCs w:val="21"/>
                <w:lang w:val="zh-CN"/>
              </w:rPr>
            </w:pPr>
            <w:r>
              <w:rPr>
                <w:color w:val="auto"/>
                <w:kern w:val="0"/>
                <w:sz w:val="21"/>
                <w:szCs w:val="21"/>
                <w:lang w:val="zh-CN"/>
              </w:rPr>
              <w:t>国家标准√             地方标准□              国外标准□</w:t>
            </w:r>
          </w:p>
        </w:tc>
      </w:tr>
      <w:tr w14:paraId="61544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26" w:type="pct"/>
            <w:vMerge w:val="restart"/>
            <w:vAlign w:val="center"/>
          </w:tcPr>
          <w:p w14:paraId="462B3DE7">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现状评价</w:t>
            </w:r>
          </w:p>
        </w:tc>
        <w:tc>
          <w:tcPr>
            <w:tcW w:w="846" w:type="pct"/>
            <w:vAlign w:val="center"/>
          </w:tcPr>
          <w:p w14:paraId="03F2AF4C">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环境功能区</w:t>
            </w:r>
          </w:p>
        </w:tc>
        <w:tc>
          <w:tcPr>
            <w:tcW w:w="511" w:type="pct"/>
            <w:vAlign w:val="center"/>
          </w:tcPr>
          <w:p w14:paraId="103BAB10">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0 类区□</w:t>
            </w:r>
          </w:p>
        </w:tc>
        <w:tc>
          <w:tcPr>
            <w:tcW w:w="549" w:type="pct"/>
            <w:gridSpan w:val="3"/>
            <w:vAlign w:val="center"/>
          </w:tcPr>
          <w:p w14:paraId="5C1E3DFB">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1 类区□</w:t>
            </w:r>
          </w:p>
        </w:tc>
        <w:tc>
          <w:tcPr>
            <w:tcW w:w="556" w:type="pct"/>
            <w:vAlign w:val="center"/>
          </w:tcPr>
          <w:p w14:paraId="0F3CB6BB">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2 类区□</w:t>
            </w:r>
          </w:p>
        </w:tc>
        <w:tc>
          <w:tcPr>
            <w:tcW w:w="584" w:type="pct"/>
            <w:gridSpan w:val="2"/>
            <w:vAlign w:val="center"/>
          </w:tcPr>
          <w:p w14:paraId="273AD0AB">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3 类区</w:t>
            </w:r>
            <w:r>
              <w:rPr>
                <w:color w:val="auto"/>
                <w:kern w:val="0"/>
                <w:sz w:val="21"/>
                <w:szCs w:val="21"/>
                <w:lang w:val="zh-CN"/>
              </w:rPr>
              <w:t>√</w:t>
            </w:r>
          </w:p>
        </w:tc>
        <w:tc>
          <w:tcPr>
            <w:tcW w:w="668" w:type="pct"/>
            <w:gridSpan w:val="3"/>
            <w:vAlign w:val="center"/>
          </w:tcPr>
          <w:p w14:paraId="1663F475">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4a 类区□</w:t>
            </w:r>
          </w:p>
        </w:tc>
        <w:tc>
          <w:tcPr>
            <w:tcW w:w="660" w:type="pct"/>
            <w:vAlign w:val="center"/>
          </w:tcPr>
          <w:p w14:paraId="13A5F929">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4b 类区□</w:t>
            </w:r>
          </w:p>
        </w:tc>
      </w:tr>
      <w:tr w14:paraId="7B890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6" w:type="pct"/>
            <w:vMerge w:val="continue"/>
            <w:vAlign w:val="center"/>
          </w:tcPr>
          <w:p w14:paraId="791DB335">
            <w:pPr>
              <w:widowControl/>
              <w:spacing w:line="240" w:lineRule="auto"/>
              <w:ind w:firstLine="0" w:firstLineChars="0"/>
              <w:jc w:val="center"/>
              <w:rPr>
                <w:color w:val="auto"/>
                <w:kern w:val="0"/>
                <w:sz w:val="21"/>
                <w:szCs w:val="21"/>
                <w:lang w:val="zh-CN"/>
              </w:rPr>
            </w:pPr>
          </w:p>
        </w:tc>
        <w:tc>
          <w:tcPr>
            <w:tcW w:w="846" w:type="pct"/>
            <w:vAlign w:val="center"/>
          </w:tcPr>
          <w:p w14:paraId="0370F7A3">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评价年度</w:t>
            </w:r>
          </w:p>
        </w:tc>
        <w:tc>
          <w:tcPr>
            <w:tcW w:w="776" w:type="pct"/>
            <w:gridSpan w:val="2"/>
            <w:vAlign w:val="center"/>
          </w:tcPr>
          <w:p w14:paraId="1FD8D39A">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初期□</w:t>
            </w:r>
          </w:p>
        </w:tc>
        <w:tc>
          <w:tcPr>
            <w:tcW w:w="840" w:type="pct"/>
            <w:gridSpan w:val="3"/>
            <w:vAlign w:val="center"/>
          </w:tcPr>
          <w:p w14:paraId="5C3A74F0">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近期</w:t>
            </w:r>
            <w:r>
              <w:rPr>
                <w:color w:val="auto"/>
                <w:kern w:val="0"/>
                <w:sz w:val="21"/>
                <w:szCs w:val="21"/>
                <w:lang w:val="zh-CN"/>
              </w:rPr>
              <w:t>√</w:t>
            </w:r>
          </w:p>
        </w:tc>
        <w:tc>
          <w:tcPr>
            <w:tcW w:w="870" w:type="pct"/>
            <w:gridSpan w:val="3"/>
            <w:vAlign w:val="center"/>
          </w:tcPr>
          <w:p w14:paraId="49A50BA8">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中期□</w:t>
            </w:r>
          </w:p>
        </w:tc>
        <w:tc>
          <w:tcPr>
            <w:tcW w:w="1042" w:type="pct"/>
            <w:gridSpan w:val="3"/>
            <w:vAlign w:val="center"/>
          </w:tcPr>
          <w:p w14:paraId="5BBCF828">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远期□</w:t>
            </w:r>
          </w:p>
        </w:tc>
      </w:tr>
      <w:tr w14:paraId="53AF2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26" w:type="pct"/>
            <w:vMerge w:val="continue"/>
            <w:vAlign w:val="center"/>
          </w:tcPr>
          <w:p w14:paraId="529F19F9">
            <w:pPr>
              <w:widowControl/>
              <w:spacing w:line="240" w:lineRule="auto"/>
              <w:ind w:firstLine="0" w:firstLineChars="0"/>
              <w:jc w:val="center"/>
              <w:rPr>
                <w:color w:val="auto"/>
                <w:kern w:val="0"/>
                <w:sz w:val="21"/>
                <w:szCs w:val="21"/>
                <w:lang w:val="zh-CN"/>
              </w:rPr>
            </w:pPr>
          </w:p>
        </w:tc>
        <w:tc>
          <w:tcPr>
            <w:tcW w:w="846" w:type="pct"/>
            <w:vAlign w:val="center"/>
          </w:tcPr>
          <w:p w14:paraId="3CB43C00">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现状调查方法</w:t>
            </w:r>
          </w:p>
        </w:tc>
        <w:tc>
          <w:tcPr>
            <w:tcW w:w="3528" w:type="pct"/>
            <w:gridSpan w:val="11"/>
            <w:vAlign w:val="center"/>
          </w:tcPr>
          <w:p w14:paraId="696E9DF8">
            <w:pPr>
              <w:widowControl/>
              <w:spacing w:line="240" w:lineRule="auto"/>
              <w:ind w:firstLine="0" w:firstLineChars="0"/>
              <w:jc w:val="center"/>
              <w:rPr>
                <w:color w:val="auto"/>
                <w:kern w:val="0"/>
                <w:sz w:val="21"/>
                <w:szCs w:val="21"/>
                <w:lang w:val="zh-CN"/>
              </w:rPr>
            </w:pPr>
            <w:r>
              <w:rPr>
                <w:color w:val="auto"/>
                <w:kern w:val="0"/>
                <w:sz w:val="21"/>
                <w:szCs w:val="21"/>
                <w:lang w:val="zh-CN"/>
              </w:rPr>
              <w:t>现场实测法√     现场实测加模型计算法□    收集资料□</w:t>
            </w:r>
          </w:p>
        </w:tc>
      </w:tr>
      <w:tr w14:paraId="63029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6" w:type="pct"/>
            <w:vMerge w:val="continue"/>
            <w:vAlign w:val="center"/>
          </w:tcPr>
          <w:p w14:paraId="01AC0F2B">
            <w:pPr>
              <w:widowControl/>
              <w:spacing w:line="240" w:lineRule="auto"/>
              <w:ind w:firstLine="0" w:firstLineChars="0"/>
              <w:jc w:val="center"/>
              <w:rPr>
                <w:color w:val="auto"/>
                <w:kern w:val="0"/>
                <w:sz w:val="21"/>
                <w:szCs w:val="21"/>
                <w:lang w:val="zh-CN"/>
              </w:rPr>
            </w:pPr>
          </w:p>
        </w:tc>
        <w:tc>
          <w:tcPr>
            <w:tcW w:w="846" w:type="pct"/>
            <w:vAlign w:val="center"/>
          </w:tcPr>
          <w:p w14:paraId="40CE8B82">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现状评价</w:t>
            </w:r>
          </w:p>
        </w:tc>
        <w:tc>
          <w:tcPr>
            <w:tcW w:w="939" w:type="pct"/>
            <w:gridSpan w:val="3"/>
            <w:vAlign w:val="center"/>
          </w:tcPr>
          <w:p w14:paraId="4ECADE7B">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达标百分比</w:t>
            </w:r>
          </w:p>
        </w:tc>
        <w:tc>
          <w:tcPr>
            <w:tcW w:w="2589" w:type="pct"/>
            <w:gridSpan w:val="8"/>
            <w:vAlign w:val="center"/>
          </w:tcPr>
          <w:p w14:paraId="57C606E0">
            <w:pPr>
              <w:widowControl/>
              <w:spacing w:line="240" w:lineRule="auto"/>
              <w:ind w:firstLine="0" w:firstLineChars="0"/>
              <w:jc w:val="center"/>
              <w:rPr>
                <w:color w:val="auto"/>
                <w:kern w:val="0"/>
                <w:sz w:val="21"/>
                <w:szCs w:val="21"/>
                <w:lang w:val="zh-CN"/>
              </w:rPr>
            </w:pPr>
            <w:r>
              <w:rPr>
                <w:color w:val="auto"/>
                <w:kern w:val="0"/>
                <w:sz w:val="21"/>
                <w:szCs w:val="21"/>
                <w:lang w:val="zh-CN"/>
              </w:rPr>
              <w:t>100%</w:t>
            </w:r>
          </w:p>
        </w:tc>
      </w:tr>
      <w:tr w14:paraId="09ADF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26" w:type="pct"/>
            <w:vAlign w:val="center"/>
          </w:tcPr>
          <w:p w14:paraId="74B4308C">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噪声源调查</w:t>
            </w:r>
          </w:p>
        </w:tc>
        <w:tc>
          <w:tcPr>
            <w:tcW w:w="846" w:type="pct"/>
            <w:vAlign w:val="center"/>
          </w:tcPr>
          <w:p w14:paraId="3FB7661E">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噪声源调查方法</w:t>
            </w:r>
          </w:p>
        </w:tc>
        <w:tc>
          <w:tcPr>
            <w:tcW w:w="3528" w:type="pct"/>
            <w:gridSpan w:val="11"/>
            <w:vAlign w:val="center"/>
          </w:tcPr>
          <w:p w14:paraId="79D55F17">
            <w:pPr>
              <w:widowControl/>
              <w:spacing w:line="240" w:lineRule="auto"/>
              <w:ind w:firstLine="0" w:firstLineChars="0"/>
              <w:jc w:val="center"/>
              <w:rPr>
                <w:color w:val="auto"/>
                <w:kern w:val="0"/>
                <w:sz w:val="21"/>
                <w:szCs w:val="21"/>
                <w:lang w:val="zh-CN"/>
              </w:rPr>
            </w:pPr>
            <w:r>
              <w:rPr>
                <w:color w:val="auto"/>
                <w:kern w:val="0"/>
                <w:sz w:val="21"/>
                <w:szCs w:val="21"/>
                <w:lang w:val="zh-CN"/>
              </w:rPr>
              <w:t>现场实测□             已有资料√              研究成果□</w:t>
            </w:r>
          </w:p>
        </w:tc>
      </w:tr>
      <w:tr w14:paraId="439CE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26" w:type="pct"/>
            <w:vMerge w:val="restart"/>
            <w:vAlign w:val="center"/>
          </w:tcPr>
          <w:p w14:paraId="73308F6B">
            <w:pPr>
              <w:widowControl/>
              <w:spacing w:line="240" w:lineRule="auto"/>
              <w:ind w:firstLine="0" w:firstLineChars="0"/>
              <w:jc w:val="center"/>
              <w:rPr>
                <w:color w:val="auto"/>
                <w:kern w:val="0"/>
                <w:sz w:val="21"/>
                <w:szCs w:val="21"/>
                <w:lang w:val="zh-CN"/>
              </w:rPr>
            </w:pPr>
            <w:r>
              <w:rPr>
                <w:color w:val="auto"/>
                <w:kern w:val="0"/>
                <w:sz w:val="21"/>
                <w:szCs w:val="21"/>
                <w:lang w:val="zh-CN"/>
              </w:rPr>
              <w:t>声环境影响预测与评价</w:t>
            </w:r>
          </w:p>
        </w:tc>
        <w:tc>
          <w:tcPr>
            <w:tcW w:w="846" w:type="pct"/>
            <w:vAlign w:val="center"/>
          </w:tcPr>
          <w:p w14:paraId="28FAF09C">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预测模型</w:t>
            </w:r>
          </w:p>
        </w:tc>
        <w:tc>
          <w:tcPr>
            <w:tcW w:w="1971" w:type="pct"/>
            <w:gridSpan w:val="6"/>
            <w:vAlign w:val="center"/>
          </w:tcPr>
          <w:p w14:paraId="3DED6A83">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导则推荐模型</w:t>
            </w:r>
            <w:r>
              <w:rPr>
                <w:color w:val="auto"/>
                <w:kern w:val="0"/>
                <w:sz w:val="21"/>
                <w:szCs w:val="21"/>
                <w:lang w:val="zh-CN"/>
              </w:rPr>
              <w:t>√</w:t>
            </w:r>
          </w:p>
        </w:tc>
        <w:tc>
          <w:tcPr>
            <w:tcW w:w="1557" w:type="pct"/>
            <w:gridSpan w:val="5"/>
            <w:vAlign w:val="center"/>
          </w:tcPr>
          <w:p w14:paraId="581BF543">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 xml:space="preserve">其他□ </w:t>
            </w:r>
            <w:r>
              <w:rPr>
                <w:color w:val="auto"/>
                <w:kern w:val="0"/>
                <w:sz w:val="21"/>
                <w:szCs w:val="21"/>
                <w:lang w:val="zh-CN" w:eastAsia="en-US"/>
              </w:rPr>
              <w:tab/>
            </w:r>
          </w:p>
        </w:tc>
      </w:tr>
      <w:tr w14:paraId="589EB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6" w:type="pct"/>
            <w:vMerge w:val="continue"/>
            <w:vAlign w:val="center"/>
          </w:tcPr>
          <w:p w14:paraId="74FFA828">
            <w:pPr>
              <w:widowControl/>
              <w:spacing w:line="240" w:lineRule="auto"/>
              <w:ind w:firstLine="0" w:firstLineChars="0"/>
              <w:jc w:val="center"/>
              <w:rPr>
                <w:color w:val="auto"/>
                <w:kern w:val="0"/>
                <w:sz w:val="21"/>
                <w:szCs w:val="21"/>
                <w:lang w:val="zh-CN"/>
              </w:rPr>
            </w:pPr>
          </w:p>
        </w:tc>
        <w:tc>
          <w:tcPr>
            <w:tcW w:w="846" w:type="pct"/>
            <w:vAlign w:val="center"/>
          </w:tcPr>
          <w:p w14:paraId="0EE2F8A6">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预测范围</w:t>
            </w:r>
          </w:p>
        </w:tc>
        <w:tc>
          <w:tcPr>
            <w:tcW w:w="3528" w:type="pct"/>
            <w:gridSpan w:val="11"/>
            <w:vAlign w:val="center"/>
          </w:tcPr>
          <w:p w14:paraId="3469C45C">
            <w:pPr>
              <w:widowControl/>
              <w:spacing w:line="240" w:lineRule="auto"/>
              <w:ind w:firstLine="0" w:firstLineChars="0"/>
              <w:jc w:val="center"/>
              <w:rPr>
                <w:color w:val="auto"/>
                <w:kern w:val="0"/>
                <w:sz w:val="21"/>
                <w:szCs w:val="21"/>
                <w:lang w:val="zh-CN"/>
              </w:rPr>
            </w:pPr>
            <w:r>
              <w:rPr>
                <w:color w:val="auto"/>
                <w:kern w:val="0"/>
                <w:sz w:val="21"/>
                <w:szCs w:val="21"/>
                <w:lang w:val="zh-CN"/>
              </w:rPr>
              <w:t>200 m√         大于200 m□           小于200 m□</w:t>
            </w:r>
          </w:p>
        </w:tc>
      </w:tr>
      <w:tr w14:paraId="5AB38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6" w:type="pct"/>
            <w:vMerge w:val="continue"/>
            <w:vAlign w:val="center"/>
          </w:tcPr>
          <w:p w14:paraId="5D0EC10B">
            <w:pPr>
              <w:widowControl/>
              <w:spacing w:line="240" w:lineRule="auto"/>
              <w:ind w:firstLine="0" w:firstLineChars="0"/>
              <w:jc w:val="center"/>
              <w:rPr>
                <w:color w:val="auto"/>
                <w:kern w:val="0"/>
                <w:sz w:val="21"/>
                <w:szCs w:val="21"/>
                <w:lang w:val="zh-CN"/>
              </w:rPr>
            </w:pPr>
          </w:p>
        </w:tc>
        <w:tc>
          <w:tcPr>
            <w:tcW w:w="846" w:type="pct"/>
            <w:vAlign w:val="center"/>
          </w:tcPr>
          <w:p w14:paraId="1A109904">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预测因子</w:t>
            </w:r>
          </w:p>
        </w:tc>
        <w:tc>
          <w:tcPr>
            <w:tcW w:w="939" w:type="pct"/>
            <w:gridSpan w:val="3"/>
            <w:vAlign w:val="center"/>
          </w:tcPr>
          <w:p w14:paraId="09CAF603">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等效连续A声级</w:t>
            </w:r>
            <w:r>
              <w:rPr>
                <w:color w:val="auto"/>
                <w:kern w:val="0"/>
                <w:sz w:val="21"/>
                <w:szCs w:val="21"/>
                <w:lang w:val="zh-CN"/>
              </w:rPr>
              <w:t>√</w:t>
            </w:r>
          </w:p>
        </w:tc>
        <w:tc>
          <w:tcPr>
            <w:tcW w:w="1032" w:type="pct"/>
            <w:gridSpan w:val="3"/>
            <w:vAlign w:val="center"/>
          </w:tcPr>
          <w:p w14:paraId="4A4C9679">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最大A声级□</w:t>
            </w:r>
          </w:p>
        </w:tc>
        <w:tc>
          <w:tcPr>
            <w:tcW w:w="1557" w:type="pct"/>
            <w:gridSpan w:val="5"/>
            <w:vAlign w:val="center"/>
          </w:tcPr>
          <w:p w14:paraId="77358170">
            <w:pPr>
              <w:widowControl/>
              <w:spacing w:line="240" w:lineRule="auto"/>
              <w:ind w:firstLine="0" w:firstLineChars="0"/>
              <w:jc w:val="center"/>
              <w:rPr>
                <w:color w:val="auto"/>
                <w:kern w:val="0"/>
                <w:sz w:val="21"/>
                <w:szCs w:val="21"/>
                <w:lang w:val="zh-CN"/>
              </w:rPr>
            </w:pPr>
            <w:r>
              <w:rPr>
                <w:color w:val="auto"/>
                <w:kern w:val="0"/>
                <w:sz w:val="21"/>
                <w:szCs w:val="21"/>
                <w:lang w:val="zh-CN"/>
              </w:rPr>
              <w:t>计权等效连续感觉噪声级□</w:t>
            </w:r>
          </w:p>
        </w:tc>
      </w:tr>
      <w:tr w14:paraId="6CB62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26" w:type="pct"/>
            <w:vMerge w:val="continue"/>
            <w:vAlign w:val="center"/>
          </w:tcPr>
          <w:p w14:paraId="34FEFAE5">
            <w:pPr>
              <w:widowControl/>
              <w:spacing w:line="240" w:lineRule="auto"/>
              <w:ind w:firstLine="0" w:firstLineChars="0"/>
              <w:jc w:val="center"/>
              <w:rPr>
                <w:color w:val="auto"/>
                <w:kern w:val="0"/>
                <w:sz w:val="21"/>
                <w:szCs w:val="21"/>
                <w:lang w:val="zh-CN"/>
              </w:rPr>
            </w:pPr>
          </w:p>
        </w:tc>
        <w:tc>
          <w:tcPr>
            <w:tcW w:w="846" w:type="pct"/>
            <w:vAlign w:val="center"/>
          </w:tcPr>
          <w:p w14:paraId="34EBF145">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厂界噪声贡献值</w:t>
            </w:r>
          </w:p>
        </w:tc>
        <w:tc>
          <w:tcPr>
            <w:tcW w:w="3528" w:type="pct"/>
            <w:gridSpan w:val="11"/>
            <w:vAlign w:val="center"/>
          </w:tcPr>
          <w:p w14:paraId="5A93A1E2">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达标</w:t>
            </w:r>
            <w:r>
              <w:rPr>
                <w:color w:val="auto"/>
                <w:kern w:val="0"/>
                <w:sz w:val="21"/>
                <w:szCs w:val="21"/>
                <w:lang w:val="zh-CN"/>
              </w:rPr>
              <w:t xml:space="preserve">√                           </w:t>
            </w:r>
            <w:r>
              <w:rPr>
                <w:color w:val="auto"/>
                <w:kern w:val="0"/>
                <w:sz w:val="21"/>
                <w:szCs w:val="21"/>
                <w:lang w:val="zh-CN" w:eastAsia="en-US"/>
              </w:rPr>
              <w:t>不达标□</w:t>
            </w:r>
          </w:p>
        </w:tc>
      </w:tr>
      <w:tr w14:paraId="5C29C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6" w:type="pct"/>
            <w:vMerge w:val="continue"/>
            <w:vAlign w:val="center"/>
          </w:tcPr>
          <w:p w14:paraId="24423CED">
            <w:pPr>
              <w:widowControl/>
              <w:spacing w:line="240" w:lineRule="auto"/>
              <w:ind w:firstLine="0" w:firstLineChars="0"/>
              <w:jc w:val="center"/>
              <w:rPr>
                <w:color w:val="auto"/>
                <w:kern w:val="0"/>
                <w:sz w:val="21"/>
                <w:szCs w:val="21"/>
                <w:lang w:val="zh-CN"/>
              </w:rPr>
            </w:pPr>
          </w:p>
        </w:tc>
        <w:tc>
          <w:tcPr>
            <w:tcW w:w="846" w:type="pct"/>
            <w:vAlign w:val="center"/>
          </w:tcPr>
          <w:p w14:paraId="1C280560">
            <w:pPr>
              <w:widowControl/>
              <w:spacing w:line="240" w:lineRule="auto"/>
              <w:ind w:firstLine="0" w:firstLineChars="0"/>
              <w:jc w:val="center"/>
              <w:rPr>
                <w:color w:val="auto"/>
                <w:kern w:val="0"/>
                <w:sz w:val="21"/>
                <w:szCs w:val="21"/>
                <w:lang w:val="zh-CN"/>
              </w:rPr>
            </w:pPr>
            <w:r>
              <w:rPr>
                <w:color w:val="auto"/>
                <w:kern w:val="0"/>
                <w:sz w:val="21"/>
                <w:szCs w:val="21"/>
                <w:lang w:val="zh-CN"/>
              </w:rPr>
              <w:t>声环境保护目标处噪声值</w:t>
            </w:r>
          </w:p>
        </w:tc>
        <w:tc>
          <w:tcPr>
            <w:tcW w:w="3528" w:type="pct"/>
            <w:gridSpan w:val="11"/>
            <w:vAlign w:val="center"/>
          </w:tcPr>
          <w:p w14:paraId="4662ECF8">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达标</w:t>
            </w:r>
            <w:r>
              <w:rPr>
                <w:color w:val="auto"/>
                <w:kern w:val="0"/>
                <w:sz w:val="21"/>
                <w:szCs w:val="21"/>
                <w:lang w:val="zh-CN"/>
              </w:rPr>
              <w:t xml:space="preserve">□                            </w:t>
            </w:r>
            <w:r>
              <w:rPr>
                <w:color w:val="auto"/>
                <w:kern w:val="0"/>
                <w:sz w:val="21"/>
                <w:szCs w:val="21"/>
                <w:lang w:val="zh-CN" w:eastAsia="en-US"/>
              </w:rPr>
              <w:t>不达标□</w:t>
            </w:r>
          </w:p>
        </w:tc>
      </w:tr>
      <w:tr w14:paraId="77F3D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26" w:type="pct"/>
            <w:vMerge w:val="restart"/>
            <w:vAlign w:val="center"/>
          </w:tcPr>
          <w:p w14:paraId="4B10AA56">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环境监测计划</w:t>
            </w:r>
          </w:p>
        </w:tc>
        <w:tc>
          <w:tcPr>
            <w:tcW w:w="846" w:type="pct"/>
            <w:vAlign w:val="center"/>
          </w:tcPr>
          <w:p w14:paraId="59638F90">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排放监测</w:t>
            </w:r>
          </w:p>
        </w:tc>
        <w:tc>
          <w:tcPr>
            <w:tcW w:w="3528" w:type="pct"/>
            <w:gridSpan w:val="11"/>
            <w:vAlign w:val="center"/>
          </w:tcPr>
          <w:p w14:paraId="5B877DD9">
            <w:pPr>
              <w:widowControl/>
              <w:spacing w:line="240" w:lineRule="auto"/>
              <w:ind w:firstLine="0" w:firstLineChars="0"/>
              <w:rPr>
                <w:color w:val="auto"/>
                <w:kern w:val="0"/>
                <w:sz w:val="21"/>
                <w:szCs w:val="21"/>
                <w:lang w:val="zh-CN"/>
              </w:rPr>
            </w:pPr>
            <w:r>
              <w:rPr>
                <w:color w:val="auto"/>
                <w:kern w:val="0"/>
                <w:sz w:val="21"/>
                <w:szCs w:val="21"/>
                <w:lang w:val="zh-CN"/>
              </w:rPr>
              <w:t>厂界监测√ 固定位置监测□  自动监测□  手动监测√  无监测□</w:t>
            </w:r>
          </w:p>
        </w:tc>
      </w:tr>
      <w:tr w14:paraId="41F9E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26" w:type="pct"/>
            <w:vMerge w:val="continue"/>
            <w:vAlign w:val="center"/>
          </w:tcPr>
          <w:p w14:paraId="604B0B9E">
            <w:pPr>
              <w:widowControl/>
              <w:spacing w:line="240" w:lineRule="auto"/>
              <w:ind w:firstLine="0" w:firstLineChars="0"/>
              <w:jc w:val="center"/>
              <w:rPr>
                <w:color w:val="auto"/>
                <w:kern w:val="0"/>
                <w:sz w:val="21"/>
                <w:szCs w:val="21"/>
                <w:lang w:val="zh-CN"/>
              </w:rPr>
            </w:pPr>
          </w:p>
        </w:tc>
        <w:tc>
          <w:tcPr>
            <w:tcW w:w="846" w:type="pct"/>
            <w:vAlign w:val="center"/>
          </w:tcPr>
          <w:p w14:paraId="3A099706">
            <w:pPr>
              <w:widowControl/>
              <w:spacing w:line="240" w:lineRule="auto"/>
              <w:ind w:firstLine="0" w:firstLineChars="0"/>
              <w:jc w:val="center"/>
              <w:rPr>
                <w:color w:val="auto"/>
                <w:kern w:val="0"/>
                <w:sz w:val="21"/>
                <w:szCs w:val="21"/>
                <w:lang w:val="zh-CN"/>
              </w:rPr>
            </w:pPr>
            <w:r>
              <w:rPr>
                <w:color w:val="auto"/>
                <w:kern w:val="0"/>
                <w:sz w:val="21"/>
                <w:szCs w:val="21"/>
                <w:lang w:val="zh-CN"/>
              </w:rPr>
              <w:t>声环境保护目标处噪声监测</w:t>
            </w:r>
          </w:p>
        </w:tc>
        <w:tc>
          <w:tcPr>
            <w:tcW w:w="1616" w:type="pct"/>
            <w:gridSpan w:val="5"/>
            <w:vAlign w:val="center"/>
          </w:tcPr>
          <w:p w14:paraId="1CF386DE">
            <w:pPr>
              <w:widowControl/>
              <w:spacing w:line="240" w:lineRule="auto"/>
              <w:ind w:firstLine="0" w:firstLineChars="0"/>
              <w:jc w:val="center"/>
              <w:rPr>
                <w:color w:val="auto"/>
                <w:kern w:val="0"/>
                <w:sz w:val="21"/>
                <w:szCs w:val="21"/>
                <w:lang w:val="zh-CN"/>
              </w:rPr>
            </w:pPr>
            <w:r>
              <w:rPr>
                <w:color w:val="auto"/>
                <w:kern w:val="0"/>
                <w:sz w:val="21"/>
                <w:szCs w:val="21"/>
                <w:lang w:val="zh-CN"/>
              </w:rPr>
              <w:t>监测因子：(LAeq)</w:t>
            </w:r>
          </w:p>
        </w:tc>
        <w:tc>
          <w:tcPr>
            <w:tcW w:w="1131" w:type="pct"/>
            <w:gridSpan w:val="4"/>
            <w:vAlign w:val="center"/>
          </w:tcPr>
          <w:p w14:paraId="4589A347">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监测点位数(</w:t>
            </w:r>
            <w:r>
              <w:rPr>
                <w:color w:val="auto"/>
                <w:kern w:val="0"/>
                <w:sz w:val="21"/>
                <w:szCs w:val="21"/>
                <w:lang w:val="zh-CN"/>
              </w:rPr>
              <w:t>/</w:t>
            </w:r>
            <w:r>
              <w:rPr>
                <w:color w:val="auto"/>
                <w:kern w:val="0"/>
                <w:sz w:val="21"/>
                <w:szCs w:val="21"/>
                <w:lang w:val="zh-CN" w:eastAsia="en-US"/>
              </w:rPr>
              <w:t>)</w:t>
            </w:r>
          </w:p>
        </w:tc>
        <w:tc>
          <w:tcPr>
            <w:tcW w:w="781" w:type="pct"/>
            <w:gridSpan w:val="2"/>
            <w:vAlign w:val="center"/>
          </w:tcPr>
          <w:p w14:paraId="4C49B036">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无监测</w:t>
            </w:r>
            <w:r>
              <w:rPr>
                <w:color w:val="auto"/>
                <w:kern w:val="0"/>
                <w:sz w:val="21"/>
                <w:szCs w:val="21"/>
                <w:lang w:val="zh-CN"/>
              </w:rPr>
              <w:t>√</w:t>
            </w:r>
          </w:p>
        </w:tc>
      </w:tr>
      <w:tr w14:paraId="56C9B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6" w:type="pct"/>
            <w:vAlign w:val="center"/>
          </w:tcPr>
          <w:p w14:paraId="2AB29286">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评价结论</w:t>
            </w:r>
          </w:p>
        </w:tc>
        <w:tc>
          <w:tcPr>
            <w:tcW w:w="846" w:type="pct"/>
            <w:vAlign w:val="center"/>
          </w:tcPr>
          <w:p w14:paraId="1FABD6CE">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环境影响</w:t>
            </w:r>
          </w:p>
        </w:tc>
        <w:tc>
          <w:tcPr>
            <w:tcW w:w="3528" w:type="pct"/>
            <w:gridSpan w:val="11"/>
            <w:vAlign w:val="center"/>
          </w:tcPr>
          <w:p w14:paraId="1E5C5230">
            <w:pPr>
              <w:widowControl/>
              <w:spacing w:line="240" w:lineRule="auto"/>
              <w:ind w:firstLine="0" w:firstLineChars="0"/>
              <w:jc w:val="center"/>
              <w:rPr>
                <w:color w:val="auto"/>
                <w:kern w:val="0"/>
                <w:sz w:val="21"/>
                <w:szCs w:val="21"/>
                <w:lang w:val="zh-CN" w:eastAsia="en-US"/>
              </w:rPr>
            </w:pPr>
            <w:r>
              <w:rPr>
                <w:color w:val="auto"/>
                <w:kern w:val="0"/>
                <w:sz w:val="21"/>
                <w:szCs w:val="21"/>
                <w:lang w:val="zh-CN" w:eastAsia="en-US"/>
              </w:rPr>
              <w:t>可行√</w:t>
            </w:r>
            <w:r>
              <w:rPr>
                <w:color w:val="auto"/>
                <w:kern w:val="0"/>
                <w:sz w:val="21"/>
                <w:szCs w:val="21"/>
                <w:lang w:val="zh-CN" w:eastAsia="en-US"/>
              </w:rPr>
              <w:tab/>
            </w:r>
            <w:r>
              <w:rPr>
                <w:color w:val="auto"/>
                <w:kern w:val="0"/>
                <w:sz w:val="21"/>
                <w:szCs w:val="21"/>
                <w:lang w:val="zh-CN" w:eastAsia="en-US"/>
              </w:rPr>
              <w:t>不可行□</w:t>
            </w:r>
          </w:p>
        </w:tc>
      </w:tr>
      <w:tr w14:paraId="511D2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000" w:type="pct"/>
            <w:gridSpan w:val="13"/>
            <w:vAlign w:val="center"/>
          </w:tcPr>
          <w:p w14:paraId="142B02F5">
            <w:pPr>
              <w:widowControl/>
              <w:spacing w:line="240" w:lineRule="auto"/>
              <w:ind w:firstLine="0" w:firstLineChars="0"/>
              <w:jc w:val="center"/>
              <w:rPr>
                <w:color w:val="auto"/>
                <w:kern w:val="0"/>
                <w:sz w:val="21"/>
                <w:szCs w:val="21"/>
                <w:lang w:val="zh-CN"/>
              </w:rPr>
            </w:pPr>
            <w:r>
              <w:rPr>
                <w:color w:val="auto"/>
                <w:kern w:val="0"/>
                <w:sz w:val="21"/>
                <w:szCs w:val="21"/>
                <w:lang w:val="zh-CN"/>
              </w:rPr>
              <w:t>注“□”为勾选项 ，可√；“(  )”为内容填写项。</w:t>
            </w:r>
          </w:p>
        </w:tc>
      </w:tr>
    </w:tbl>
    <w:p w14:paraId="65B7183C">
      <w:pPr>
        <w:pStyle w:val="3"/>
        <w:spacing w:before="312"/>
        <w:rPr>
          <w:color w:val="auto"/>
        </w:rPr>
      </w:pPr>
      <w:bookmarkStart w:id="211" w:name="_Toc23817"/>
      <w:r>
        <w:rPr>
          <w:rFonts w:hint="eastAsia"/>
          <w:color w:val="auto"/>
        </w:rPr>
        <w:t>6.4固体废物环境影响分析</w:t>
      </w:r>
      <w:bookmarkEnd w:id="211"/>
    </w:p>
    <w:p w14:paraId="3C2997BB">
      <w:pPr>
        <w:pStyle w:val="4"/>
        <w:rPr>
          <w:color w:val="auto"/>
        </w:rPr>
      </w:pPr>
      <w:bookmarkStart w:id="212" w:name="_Toc20784"/>
      <w:r>
        <w:rPr>
          <w:rFonts w:hint="eastAsia"/>
          <w:color w:val="auto"/>
        </w:rPr>
        <w:t>6.4.1固体废物产生及处置方式</w:t>
      </w:r>
      <w:bookmarkEnd w:id="212"/>
    </w:p>
    <w:p w14:paraId="22AEA3EC">
      <w:pPr>
        <w:ind w:firstLine="480"/>
        <w:rPr>
          <w:color w:val="auto"/>
        </w:rPr>
        <w:sectPr>
          <w:pgSz w:w="11906" w:h="16838"/>
          <w:pgMar w:top="1134" w:right="1134" w:bottom="1134" w:left="1134" w:header="851" w:footer="992" w:gutter="0"/>
          <w:cols w:space="425" w:num="1"/>
          <w:docGrid w:type="lines" w:linePitch="312" w:charSpace="0"/>
        </w:sectPr>
      </w:pPr>
      <w:r>
        <w:rPr>
          <w:color w:val="auto"/>
        </w:rPr>
        <w:t>建设项目固体废物产生及处置方式见</w:t>
      </w:r>
      <w:r>
        <w:rPr>
          <w:rFonts w:hint="eastAsia"/>
          <w:color w:val="auto"/>
        </w:rPr>
        <w:t>下</w:t>
      </w:r>
      <w:r>
        <w:rPr>
          <w:color w:val="auto"/>
        </w:rPr>
        <w:t>表</w:t>
      </w:r>
      <w:r>
        <w:rPr>
          <w:rFonts w:hint="eastAsia"/>
          <w:color w:val="auto"/>
        </w:rPr>
        <w:t>。</w:t>
      </w:r>
    </w:p>
    <w:p w14:paraId="20D3570C">
      <w:pPr>
        <w:ind w:firstLine="482"/>
        <w:jc w:val="center"/>
        <w:rPr>
          <w:b/>
          <w:bCs/>
          <w:color w:val="auto"/>
        </w:rPr>
      </w:pPr>
      <w:r>
        <w:rPr>
          <w:rFonts w:hint="eastAsia"/>
          <w:b/>
          <w:bCs/>
          <w:color w:val="auto"/>
        </w:rPr>
        <w:t>表6.4.1-1 本</w:t>
      </w:r>
      <w:r>
        <w:rPr>
          <w:b/>
          <w:bCs/>
          <w:color w:val="auto"/>
        </w:rPr>
        <w:t>项目固体废物利用处置方式评价表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573"/>
        <w:gridCol w:w="1133"/>
        <w:gridCol w:w="1416"/>
        <w:gridCol w:w="994"/>
        <w:gridCol w:w="2641"/>
        <w:gridCol w:w="1035"/>
        <w:gridCol w:w="937"/>
        <w:gridCol w:w="1369"/>
        <w:gridCol w:w="1159"/>
        <w:gridCol w:w="899"/>
        <w:gridCol w:w="1110"/>
      </w:tblGrid>
      <w:tr w14:paraId="09A26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76" w:type="pct"/>
            <w:vAlign w:val="center"/>
          </w:tcPr>
          <w:p w14:paraId="66BF37AE">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序号</w:t>
            </w:r>
          </w:p>
        </w:tc>
        <w:tc>
          <w:tcPr>
            <w:tcW w:w="532" w:type="pct"/>
            <w:vAlign w:val="center"/>
          </w:tcPr>
          <w:p w14:paraId="50C8039F">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固废名称</w:t>
            </w:r>
          </w:p>
        </w:tc>
        <w:tc>
          <w:tcPr>
            <w:tcW w:w="383" w:type="pct"/>
            <w:vAlign w:val="center"/>
          </w:tcPr>
          <w:p w14:paraId="243FDCCE">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属性</w:t>
            </w:r>
          </w:p>
        </w:tc>
        <w:tc>
          <w:tcPr>
            <w:tcW w:w="479" w:type="pct"/>
            <w:vAlign w:val="center"/>
          </w:tcPr>
          <w:p w14:paraId="41068FD8">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产生工序</w:t>
            </w:r>
          </w:p>
        </w:tc>
        <w:tc>
          <w:tcPr>
            <w:tcW w:w="336" w:type="pct"/>
            <w:vAlign w:val="center"/>
          </w:tcPr>
          <w:p w14:paraId="33C93679">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形态</w:t>
            </w:r>
          </w:p>
        </w:tc>
        <w:tc>
          <w:tcPr>
            <w:tcW w:w="893" w:type="pct"/>
            <w:vAlign w:val="center"/>
          </w:tcPr>
          <w:p w14:paraId="493B941A">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主要成分</w:t>
            </w:r>
          </w:p>
        </w:tc>
        <w:tc>
          <w:tcPr>
            <w:tcW w:w="350" w:type="pct"/>
            <w:vAlign w:val="center"/>
          </w:tcPr>
          <w:p w14:paraId="0DAD829D">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危险特性</w:t>
            </w:r>
          </w:p>
        </w:tc>
        <w:tc>
          <w:tcPr>
            <w:tcW w:w="317" w:type="pct"/>
            <w:vAlign w:val="center"/>
          </w:tcPr>
          <w:p w14:paraId="54787A5B">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废物类别</w:t>
            </w:r>
          </w:p>
        </w:tc>
        <w:tc>
          <w:tcPr>
            <w:tcW w:w="463" w:type="pct"/>
            <w:vAlign w:val="center"/>
          </w:tcPr>
          <w:p w14:paraId="2CFACD2D">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废物代码</w:t>
            </w:r>
          </w:p>
        </w:tc>
        <w:tc>
          <w:tcPr>
            <w:tcW w:w="392" w:type="pct"/>
            <w:vAlign w:val="center"/>
          </w:tcPr>
          <w:p w14:paraId="2C9E0234">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估算产生量(t/a)</w:t>
            </w:r>
          </w:p>
        </w:tc>
        <w:tc>
          <w:tcPr>
            <w:tcW w:w="304" w:type="pct"/>
            <w:vAlign w:val="center"/>
          </w:tcPr>
          <w:p w14:paraId="44C749F9">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产废周期</w:t>
            </w:r>
          </w:p>
        </w:tc>
        <w:tc>
          <w:tcPr>
            <w:tcW w:w="375" w:type="pct"/>
            <w:vAlign w:val="center"/>
          </w:tcPr>
          <w:p w14:paraId="2C6DC16E">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污染防治措施</w:t>
            </w:r>
          </w:p>
        </w:tc>
      </w:tr>
      <w:tr w14:paraId="1AD8A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 w:type="pct"/>
            <w:vAlign w:val="center"/>
          </w:tcPr>
          <w:p w14:paraId="36A26516">
            <w:pPr>
              <w:widowControl/>
              <w:spacing w:line="240" w:lineRule="auto"/>
              <w:ind w:firstLine="0" w:firstLineChars="0"/>
              <w:jc w:val="center"/>
              <w:rPr>
                <w:color w:val="auto"/>
                <w:kern w:val="0"/>
                <w:sz w:val="21"/>
                <w:szCs w:val="21"/>
                <w:lang w:val="zh-CN"/>
              </w:rPr>
            </w:pPr>
            <w:r>
              <w:rPr>
                <w:color w:val="auto"/>
                <w:kern w:val="0"/>
                <w:sz w:val="21"/>
                <w:szCs w:val="21"/>
                <w:lang w:val="zh-CN"/>
              </w:rPr>
              <w:t>1</w:t>
            </w:r>
          </w:p>
        </w:tc>
        <w:tc>
          <w:tcPr>
            <w:tcW w:w="532" w:type="pct"/>
            <w:tcBorders>
              <w:tl2br w:val="nil"/>
              <w:tr2bl w:val="nil"/>
            </w:tcBorders>
            <w:vAlign w:val="center"/>
          </w:tcPr>
          <w:p w14:paraId="0F0CD928">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废过滤材料</w:t>
            </w:r>
          </w:p>
        </w:tc>
        <w:tc>
          <w:tcPr>
            <w:tcW w:w="383" w:type="pct"/>
            <w:vAlign w:val="center"/>
          </w:tcPr>
          <w:p w14:paraId="7AF3970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危险固废</w:t>
            </w:r>
          </w:p>
        </w:tc>
        <w:tc>
          <w:tcPr>
            <w:tcW w:w="479" w:type="pct"/>
            <w:tcBorders>
              <w:tl2br w:val="nil"/>
              <w:tr2bl w:val="nil"/>
            </w:tcBorders>
            <w:vAlign w:val="center"/>
          </w:tcPr>
          <w:p w14:paraId="6DF64DB8">
            <w:pPr>
              <w:widowControl/>
              <w:spacing w:line="240" w:lineRule="auto"/>
              <w:ind w:firstLine="0" w:firstLineChars="0"/>
              <w:jc w:val="center"/>
              <w:rPr>
                <w:color w:val="auto"/>
                <w:kern w:val="0"/>
                <w:sz w:val="21"/>
                <w:szCs w:val="21"/>
                <w:lang w:val="zh-CN"/>
              </w:rPr>
            </w:pPr>
            <w:r>
              <w:rPr>
                <w:rFonts w:hint="eastAsia"/>
                <w:color w:val="auto"/>
                <w:sz w:val="21"/>
                <w:szCs w:val="21"/>
              </w:rPr>
              <w:t>过滤</w:t>
            </w:r>
          </w:p>
        </w:tc>
        <w:tc>
          <w:tcPr>
            <w:tcW w:w="336" w:type="pct"/>
            <w:tcBorders>
              <w:tl2br w:val="nil"/>
              <w:tr2bl w:val="nil"/>
            </w:tcBorders>
            <w:vAlign w:val="center"/>
          </w:tcPr>
          <w:p w14:paraId="1D108C0C">
            <w:pPr>
              <w:widowControl/>
              <w:spacing w:line="240" w:lineRule="auto"/>
              <w:ind w:firstLine="0" w:firstLineChars="0"/>
              <w:jc w:val="center"/>
              <w:rPr>
                <w:color w:val="auto"/>
                <w:kern w:val="0"/>
                <w:sz w:val="21"/>
                <w:szCs w:val="21"/>
                <w:lang w:val="zh-CN"/>
              </w:rPr>
            </w:pPr>
            <w:r>
              <w:rPr>
                <w:rFonts w:hint="eastAsia"/>
                <w:color w:val="auto"/>
                <w:sz w:val="21"/>
                <w:szCs w:val="21"/>
              </w:rPr>
              <w:t>固</w:t>
            </w:r>
          </w:p>
        </w:tc>
        <w:tc>
          <w:tcPr>
            <w:tcW w:w="893" w:type="pct"/>
            <w:tcBorders>
              <w:tl2br w:val="nil"/>
              <w:tr2bl w:val="nil"/>
            </w:tcBorders>
            <w:vAlign w:val="center"/>
          </w:tcPr>
          <w:p w14:paraId="1ED97A1C">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过滤袋、滤网、滤布</w:t>
            </w:r>
          </w:p>
        </w:tc>
        <w:tc>
          <w:tcPr>
            <w:tcW w:w="350" w:type="pct"/>
            <w:tcBorders>
              <w:tl2br w:val="nil"/>
              <w:tr2bl w:val="nil"/>
            </w:tcBorders>
            <w:vAlign w:val="center"/>
          </w:tcPr>
          <w:p w14:paraId="182E3E2B">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T/In/C/R</w:t>
            </w:r>
          </w:p>
        </w:tc>
        <w:tc>
          <w:tcPr>
            <w:tcW w:w="317" w:type="pct"/>
            <w:tcBorders>
              <w:tl2br w:val="nil"/>
              <w:tr2bl w:val="nil"/>
            </w:tcBorders>
            <w:vAlign w:val="center"/>
          </w:tcPr>
          <w:p w14:paraId="4113C1BA">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HW49</w:t>
            </w:r>
          </w:p>
        </w:tc>
        <w:tc>
          <w:tcPr>
            <w:tcW w:w="463" w:type="pct"/>
            <w:tcBorders>
              <w:tl2br w:val="nil"/>
              <w:tr2bl w:val="nil"/>
            </w:tcBorders>
            <w:vAlign w:val="center"/>
          </w:tcPr>
          <w:p w14:paraId="2DFBC8B3">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900-041-49</w:t>
            </w:r>
          </w:p>
        </w:tc>
        <w:tc>
          <w:tcPr>
            <w:tcW w:w="392" w:type="pct"/>
            <w:tcBorders>
              <w:tl2br w:val="nil"/>
              <w:tr2bl w:val="nil"/>
            </w:tcBorders>
            <w:vAlign w:val="center"/>
          </w:tcPr>
          <w:p w14:paraId="2F4F437C">
            <w:pPr>
              <w:widowControl/>
              <w:adjustRightInd/>
              <w:snapToGrid/>
              <w:spacing w:line="240" w:lineRule="auto"/>
              <w:ind w:firstLine="0" w:firstLineChars="0"/>
              <w:jc w:val="center"/>
              <w:textAlignment w:val="center"/>
              <w:rPr>
                <w:color w:val="auto"/>
                <w:kern w:val="0"/>
                <w:sz w:val="21"/>
                <w:szCs w:val="21"/>
                <w:lang w:val="zh-CN"/>
              </w:rPr>
            </w:pPr>
            <w:r>
              <w:rPr>
                <w:rFonts w:hint="eastAsia"/>
                <w:color w:val="auto"/>
                <w:kern w:val="0"/>
                <w:sz w:val="21"/>
                <w:szCs w:val="21"/>
                <w:lang w:bidi="ar"/>
              </w:rPr>
              <w:t>1.54</w:t>
            </w:r>
          </w:p>
        </w:tc>
        <w:tc>
          <w:tcPr>
            <w:tcW w:w="304" w:type="pct"/>
            <w:tcBorders>
              <w:tl2br w:val="nil"/>
              <w:tr2bl w:val="nil"/>
            </w:tcBorders>
            <w:vAlign w:val="center"/>
          </w:tcPr>
          <w:p w14:paraId="0EDCB854">
            <w:pPr>
              <w:widowControl/>
              <w:spacing w:line="240" w:lineRule="auto"/>
              <w:ind w:firstLine="0" w:firstLineChars="0"/>
              <w:jc w:val="center"/>
              <w:rPr>
                <w:color w:val="auto"/>
                <w:kern w:val="0"/>
                <w:sz w:val="21"/>
                <w:szCs w:val="21"/>
                <w:lang w:val="zh-CN"/>
              </w:rPr>
            </w:pPr>
            <w:r>
              <w:rPr>
                <w:rFonts w:hint="eastAsia"/>
                <w:color w:val="auto"/>
                <w:kern w:val="0"/>
                <w:sz w:val="21"/>
                <w:szCs w:val="21"/>
              </w:rPr>
              <w:t>连续</w:t>
            </w:r>
          </w:p>
        </w:tc>
        <w:tc>
          <w:tcPr>
            <w:tcW w:w="375" w:type="pct"/>
            <w:vMerge w:val="restart"/>
            <w:vAlign w:val="center"/>
          </w:tcPr>
          <w:p w14:paraId="44981E8B">
            <w:pPr>
              <w:widowControl/>
              <w:spacing w:line="240" w:lineRule="auto"/>
              <w:ind w:firstLine="0" w:firstLineChars="0"/>
              <w:jc w:val="center"/>
              <w:rPr>
                <w:color w:val="auto"/>
                <w:kern w:val="0"/>
                <w:sz w:val="21"/>
                <w:szCs w:val="21"/>
                <w:lang w:val="zh-CN"/>
              </w:rPr>
            </w:pPr>
            <w:r>
              <w:rPr>
                <w:color w:val="auto"/>
                <w:kern w:val="0"/>
                <w:sz w:val="21"/>
                <w:szCs w:val="21"/>
                <w:lang w:val="zh-CN"/>
              </w:rPr>
              <w:t>委托有资质单位安全处置</w:t>
            </w:r>
          </w:p>
        </w:tc>
      </w:tr>
      <w:tr w14:paraId="5BDB5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 w:type="pct"/>
            <w:vAlign w:val="center"/>
          </w:tcPr>
          <w:p w14:paraId="043ABC56">
            <w:pPr>
              <w:widowControl/>
              <w:spacing w:line="240" w:lineRule="auto"/>
              <w:ind w:firstLine="0" w:firstLineChars="0"/>
              <w:jc w:val="center"/>
              <w:rPr>
                <w:color w:val="auto"/>
                <w:kern w:val="0"/>
                <w:sz w:val="21"/>
                <w:szCs w:val="21"/>
                <w:lang w:val="zh-CN"/>
              </w:rPr>
            </w:pPr>
            <w:r>
              <w:rPr>
                <w:color w:val="auto"/>
                <w:kern w:val="0"/>
                <w:sz w:val="21"/>
                <w:szCs w:val="21"/>
                <w:lang w:val="zh-CN"/>
              </w:rPr>
              <w:t>2</w:t>
            </w:r>
          </w:p>
        </w:tc>
        <w:tc>
          <w:tcPr>
            <w:tcW w:w="532" w:type="pct"/>
            <w:tcBorders>
              <w:tl2br w:val="nil"/>
              <w:tr2bl w:val="nil"/>
            </w:tcBorders>
            <w:vAlign w:val="center"/>
          </w:tcPr>
          <w:p w14:paraId="5C57EC3B">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废包装桶</w:t>
            </w:r>
          </w:p>
        </w:tc>
        <w:tc>
          <w:tcPr>
            <w:tcW w:w="383" w:type="pct"/>
            <w:vAlign w:val="center"/>
          </w:tcPr>
          <w:p w14:paraId="340E8E18">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危险固废</w:t>
            </w:r>
          </w:p>
        </w:tc>
        <w:tc>
          <w:tcPr>
            <w:tcW w:w="479" w:type="pct"/>
            <w:tcBorders>
              <w:tl2br w:val="nil"/>
              <w:tr2bl w:val="nil"/>
            </w:tcBorders>
            <w:vAlign w:val="center"/>
          </w:tcPr>
          <w:p w14:paraId="2D6DEF75">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原料包装</w:t>
            </w:r>
          </w:p>
        </w:tc>
        <w:tc>
          <w:tcPr>
            <w:tcW w:w="336" w:type="pct"/>
            <w:tcBorders>
              <w:tl2br w:val="nil"/>
              <w:tr2bl w:val="nil"/>
            </w:tcBorders>
            <w:vAlign w:val="center"/>
          </w:tcPr>
          <w:p w14:paraId="6D8832F1">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固</w:t>
            </w:r>
          </w:p>
        </w:tc>
        <w:tc>
          <w:tcPr>
            <w:tcW w:w="893" w:type="pct"/>
            <w:tcBorders>
              <w:tl2br w:val="nil"/>
              <w:tr2bl w:val="nil"/>
            </w:tcBorders>
            <w:vAlign w:val="center"/>
          </w:tcPr>
          <w:p w14:paraId="1D1746C8">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沾染了化学原料和废液的包装袋、包装桶</w:t>
            </w:r>
          </w:p>
        </w:tc>
        <w:tc>
          <w:tcPr>
            <w:tcW w:w="350" w:type="pct"/>
            <w:tcBorders>
              <w:tl2br w:val="nil"/>
              <w:tr2bl w:val="nil"/>
            </w:tcBorders>
            <w:vAlign w:val="center"/>
          </w:tcPr>
          <w:p w14:paraId="21032A9E">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T/In/C/R</w:t>
            </w:r>
          </w:p>
        </w:tc>
        <w:tc>
          <w:tcPr>
            <w:tcW w:w="317" w:type="pct"/>
            <w:tcBorders>
              <w:tl2br w:val="nil"/>
              <w:tr2bl w:val="nil"/>
            </w:tcBorders>
            <w:vAlign w:val="center"/>
          </w:tcPr>
          <w:p w14:paraId="1186BF93">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HW49</w:t>
            </w:r>
          </w:p>
        </w:tc>
        <w:tc>
          <w:tcPr>
            <w:tcW w:w="463" w:type="pct"/>
            <w:tcBorders>
              <w:tl2br w:val="nil"/>
              <w:tr2bl w:val="nil"/>
            </w:tcBorders>
            <w:vAlign w:val="center"/>
          </w:tcPr>
          <w:p w14:paraId="79702B83">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900-041-49</w:t>
            </w:r>
          </w:p>
        </w:tc>
        <w:tc>
          <w:tcPr>
            <w:tcW w:w="392" w:type="pct"/>
            <w:tcBorders>
              <w:tl2br w:val="nil"/>
              <w:tr2bl w:val="nil"/>
            </w:tcBorders>
            <w:vAlign w:val="center"/>
          </w:tcPr>
          <w:p w14:paraId="5F423ADF">
            <w:pPr>
              <w:widowControl/>
              <w:adjustRightInd/>
              <w:snapToGrid/>
              <w:spacing w:line="240" w:lineRule="auto"/>
              <w:ind w:firstLine="0" w:firstLineChars="0"/>
              <w:jc w:val="center"/>
              <w:textAlignment w:val="center"/>
              <w:rPr>
                <w:color w:val="auto"/>
                <w:kern w:val="0"/>
                <w:sz w:val="21"/>
                <w:szCs w:val="21"/>
                <w:lang w:val="zh-CN"/>
              </w:rPr>
            </w:pPr>
            <w:r>
              <w:rPr>
                <w:rFonts w:hint="eastAsia"/>
                <w:color w:val="auto"/>
                <w:kern w:val="0"/>
                <w:sz w:val="21"/>
                <w:szCs w:val="21"/>
                <w:lang w:bidi="ar"/>
              </w:rPr>
              <w:t>10</w:t>
            </w:r>
          </w:p>
        </w:tc>
        <w:tc>
          <w:tcPr>
            <w:tcW w:w="304" w:type="pct"/>
            <w:tcBorders>
              <w:tl2br w:val="nil"/>
              <w:tr2bl w:val="nil"/>
            </w:tcBorders>
            <w:vAlign w:val="center"/>
          </w:tcPr>
          <w:p w14:paraId="0AD967A3">
            <w:pPr>
              <w:widowControl/>
              <w:spacing w:line="240" w:lineRule="auto"/>
              <w:ind w:firstLine="0" w:firstLineChars="0"/>
              <w:jc w:val="center"/>
              <w:rPr>
                <w:color w:val="auto"/>
                <w:kern w:val="0"/>
                <w:sz w:val="21"/>
                <w:szCs w:val="21"/>
                <w:lang w:val="zh-CN"/>
              </w:rPr>
            </w:pPr>
            <w:r>
              <w:rPr>
                <w:rFonts w:hint="eastAsia"/>
                <w:color w:val="auto"/>
                <w:kern w:val="0"/>
                <w:sz w:val="21"/>
                <w:szCs w:val="21"/>
              </w:rPr>
              <w:t>连续</w:t>
            </w:r>
          </w:p>
        </w:tc>
        <w:tc>
          <w:tcPr>
            <w:tcW w:w="375" w:type="pct"/>
            <w:vMerge w:val="continue"/>
            <w:vAlign w:val="center"/>
          </w:tcPr>
          <w:p w14:paraId="51699DE6">
            <w:pPr>
              <w:widowControl/>
              <w:spacing w:line="240" w:lineRule="auto"/>
              <w:ind w:firstLine="0" w:firstLineChars="0"/>
              <w:jc w:val="center"/>
              <w:rPr>
                <w:color w:val="auto"/>
                <w:kern w:val="0"/>
                <w:sz w:val="21"/>
                <w:szCs w:val="21"/>
                <w:lang w:val="zh-CN"/>
              </w:rPr>
            </w:pPr>
          </w:p>
        </w:tc>
      </w:tr>
      <w:tr w14:paraId="75DC2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 w:type="pct"/>
            <w:vAlign w:val="center"/>
          </w:tcPr>
          <w:p w14:paraId="08BA6B48">
            <w:pPr>
              <w:widowControl/>
              <w:spacing w:line="240" w:lineRule="auto"/>
              <w:ind w:firstLine="0" w:firstLineChars="0"/>
              <w:jc w:val="center"/>
              <w:rPr>
                <w:color w:val="auto"/>
                <w:kern w:val="0"/>
                <w:sz w:val="21"/>
                <w:szCs w:val="21"/>
                <w:lang w:val="zh-CN"/>
              </w:rPr>
            </w:pPr>
            <w:r>
              <w:rPr>
                <w:color w:val="auto"/>
                <w:kern w:val="0"/>
                <w:sz w:val="21"/>
                <w:szCs w:val="21"/>
                <w:lang w:val="zh-CN"/>
              </w:rPr>
              <w:t>3</w:t>
            </w:r>
          </w:p>
        </w:tc>
        <w:tc>
          <w:tcPr>
            <w:tcW w:w="532" w:type="pct"/>
            <w:tcBorders>
              <w:tl2br w:val="nil"/>
              <w:tr2bl w:val="nil"/>
            </w:tcBorders>
            <w:vAlign w:val="center"/>
          </w:tcPr>
          <w:p w14:paraId="72B25F54">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除尘灰</w:t>
            </w:r>
          </w:p>
        </w:tc>
        <w:tc>
          <w:tcPr>
            <w:tcW w:w="383" w:type="pct"/>
            <w:vAlign w:val="center"/>
          </w:tcPr>
          <w:p w14:paraId="3FFFFFDE">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危险固废</w:t>
            </w:r>
          </w:p>
        </w:tc>
        <w:tc>
          <w:tcPr>
            <w:tcW w:w="479" w:type="pct"/>
            <w:tcBorders>
              <w:tl2br w:val="nil"/>
              <w:tr2bl w:val="nil"/>
            </w:tcBorders>
            <w:vAlign w:val="center"/>
          </w:tcPr>
          <w:p w14:paraId="5B07C648">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废气处理</w:t>
            </w:r>
          </w:p>
        </w:tc>
        <w:tc>
          <w:tcPr>
            <w:tcW w:w="336" w:type="pct"/>
            <w:tcBorders>
              <w:tl2br w:val="nil"/>
              <w:tr2bl w:val="nil"/>
            </w:tcBorders>
            <w:vAlign w:val="center"/>
          </w:tcPr>
          <w:p w14:paraId="544EA1CE">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固</w:t>
            </w:r>
          </w:p>
        </w:tc>
        <w:tc>
          <w:tcPr>
            <w:tcW w:w="893" w:type="pct"/>
            <w:tcBorders>
              <w:tl2br w:val="nil"/>
              <w:tr2bl w:val="nil"/>
            </w:tcBorders>
            <w:vAlign w:val="center"/>
          </w:tcPr>
          <w:p w14:paraId="67A23A05">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颗粒物</w:t>
            </w:r>
          </w:p>
        </w:tc>
        <w:tc>
          <w:tcPr>
            <w:tcW w:w="350" w:type="pct"/>
            <w:tcBorders>
              <w:tl2br w:val="nil"/>
              <w:tr2bl w:val="nil"/>
            </w:tcBorders>
            <w:vAlign w:val="center"/>
          </w:tcPr>
          <w:p w14:paraId="5598B805">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T</w:t>
            </w:r>
          </w:p>
        </w:tc>
        <w:tc>
          <w:tcPr>
            <w:tcW w:w="317" w:type="pct"/>
            <w:tcBorders>
              <w:tl2br w:val="nil"/>
              <w:tr2bl w:val="nil"/>
            </w:tcBorders>
            <w:vAlign w:val="center"/>
          </w:tcPr>
          <w:p w14:paraId="5ED8685D">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HW02</w:t>
            </w:r>
          </w:p>
        </w:tc>
        <w:tc>
          <w:tcPr>
            <w:tcW w:w="463" w:type="pct"/>
            <w:tcBorders>
              <w:tl2br w:val="nil"/>
              <w:tr2bl w:val="nil"/>
            </w:tcBorders>
            <w:vAlign w:val="center"/>
          </w:tcPr>
          <w:p w14:paraId="2F289BBE">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271-005-02</w:t>
            </w:r>
          </w:p>
        </w:tc>
        <w:tc>
          <w:tcPr>
            <w:tcW w:w="392" w:type="pct"/>
            <w:tcBorders>
              <w:tl2br w:val="nil"/>
              <w:tr2bl w:val="nil"/>
            </w:tcBorders>
            <w:vAlign w:val="center"/>
          </w:tcPr>
          <w:p w14:paraId="43EB8757">
            <w:pPr>
              <w:widowControl/>
              <w:adjustRightInd/>
              <w:snapToGrid/>
              <w:spacing w:line="240" w:lineRule="auto"/>
              <w:ind w:firstLine="0" w:firstLineChars="0"/>
              <w:jc w:val="center"/>
              <w:textAlignment w:val="center"/>
              <w:rPr>
                <w:color w:val="auto"/>
                <w:kern w:val="0"/>
                <w:sz w:val="21"/>
                <w:szCs w:val="21"/>
                <w:lang w:val="zh-CN"/>
              </w:rPr>
            </w:pPr>
            <w:r>
              <w:rPr>
                <w:rFonts w:hint="eastAsia"/>
                <w:color w:val="auto"/>
                <w:kern w:val="0"/>
                <w:sz w:val="21"/>
                <w:szCs w:val="21"/>
                <w:lang w:bidi="ar"/>
              </w:rPr>
              <w:t>5.76</w:t>
            </w:r>
          </w:p>
        </w:tc>
        <w:tc>
          <w:tcPr>
            <w:tcW w:w="304" w:type="pct"/>
            <w:tcBorders>
              <w:tl2br w:val="nil"/>
              <w:tr2bl w:val="nil"/>
            </w:tcBorders>
            <w:vAlign w:val="center"/>
          </w:tcPr>
          <w:p w14:paraId="3DB3DABD">
            <w:pPr>
              <w:widowControl/>
              <w:spacing w:line="240" w:lineRule="auto"/>
              <w:ind w:firstLine="0" w:firstLineChars="0"/>
              <w:jc w:val="center"/>
              <w:rPr>
                <w:color w:val="auto"/>
                <w:kern w:val="0"/>
                <w:sz w:val="21"/>
                <w:szCs w:val="21"/>
                <w:lang w:val="zh-CN"/>
              </w:rPr>
            </w:pPr>
            <w:r>
              <w:rPr>
                <w:rFonts w:hint="eastAsia"/>
                <w:color w:val="auto"/>
                <w:kern w:val="0"/>
                <w:sz w:val="21"/>
                <w:szCs w:val="21"/>
              </w:rPr>
              <w:t>连续</w:t>
            </w:r>
          </w:p>
        </w:tc>
        <w:tc>
          <w:tcPr>
            <w:tcW w:w="375" w:type="pct"/>
            <w:vMerge w:val="continue"/>
            <w:vAlign w:val="center"/>
          </w:tcPr>
          <w:p w14:paraId="37DB5F19">
            <w:pPr>
              <w:widowControl/>
              <w:spacing w:line="240" w:lineRule="auto"/>
              <w:ind w:firstLine="0" w:firstLineChars="0"/>
              <w:jc w:val="center"/>
              <w:rPr>
                <w:color w:val="auto"/>
                <w:kern w:val="0"/>
                <w:sz w:val="21"/>
                <w:szCs w:val="21"/>
                <w:lang w:val="zh-CN"/>
              </w:rPr>
            </w:pPr>
          </w:p>
        </w:tc>
      </w:tr>
      <w:tr w14:paraId="149C0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 w:type="pct"/>
            <w:vAlign w:val="center"/>
          </w:tcPr>
          <w:p w14:paraId="19898E80">
            <w:pPr>
              <w:widowControl/>
              <w:spacing w:line="240" w:lineRule="auto"/>
              <w:ind w:firstLine="0" w:firstLineChars="0"/>
              <w:jc w:val="center"/>
              <w:rPr>
                <w:color w:val="auto"/>
                <w:kern w:val="0"/>
                <w:sz w:val="21"/>
                <w:szCs w:val="21"/>
              </w:rPr>
            </w:pPr>
            <w:r>
              <w:rPr>
                <w:rFonts w:hint="eastAsia"/>
                <w:color w:val="auto"/>
                <w:kern w:val="0"/>
                <w:sz w:val="21"/>
                <w:szCs w:val="21"/>
              </w:rPr>
              <w:t>4</w:t>
            </w:r>
          </w:p>
        </w:tc>
        <w:tc>
          <w:tcPr>
            <w:tcW w:w="532" w:type="pct"/>
            <w:tcBorders>
              <w:tl2br w:val="nil"/>
              <w:tr2bl w:val="nil"/>
            </w:tcBorders>
            <w:vAlign w:val="center"/>
          </w:tcPr>
          <w:p w14:paraId="4D2C95CC">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实验室废物</w:t>
            </w:r>
          </w:p>
        </w:tc>
        <w:tc>
          <w:tcPr>
            <w:tcW w:w="383" w:type="pct"/>
            <w:vAlign w:val="center"/>
          </w:tcPr>
          <w:p w14:paraId="427B9005">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危险固废</w:t>
            </w:r>
          </w:p>
        </w:tc>
        <w:tc>
          <w:tcPr>
            <w:tcW w:w="479" w:type="pct"/>
            <w:tcBorders>
              <w:tl2br w:val="nil"/>
              <w:tr2bl w:val="nil"/>
            </w:tcBorders>
            <w:vAlign w:val="center"/>
          </w:tcPr>
          <w:p w14:paraId="1950F2A6">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化验</w:t>
            </w:r>
          </w:p>
        </w:tc>
        <w:tc>
          <w:tcPr>
            <w:tcW w:w="336" w:type="pct"/>
            <w:tcBorders>
              <w:tl2br w:val="nil"/>
              <w:tr2bl w:val="nil"/>
            </w:tcBorders>
            <w:vAlign w:val="center"/>
          </w:tcPr>
          <w:p w14:paraId="5179942F">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固/液</w:t>
            </w:r>
          </w:p>
        </w:tc>
        <w:tc>
          <w:tcPr>
            <w:tcW w:w="893" w:type="pct"/>
            <w:tcBorders>
              <w:tl2br w:val="nil"/>
              <w:tr2bl w:val="nil"/>
            </w:tcBorders>
            <w:vAlign w:val="center"/>
          </w:tcPr>
          <w:p w14:paraId="4036ACA9">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硫酸、盐酸、高锰酸盐等</w:t>
            </w:r>
          </w:p>
        </w:tc>
        <w:tc>
          <w:tcPr>
            <w:tcW w:w="350" w:type="pct"/>
            <w:tcBorders>
              <w:tl2br w:val="nil"/>
              <w:tr2bl w:val="nil"/>
            </w:tcBorders>
            <w:vAlign w:val="center"/>
          </w:tcPr>
          <w:p w14:paraId="0C8AA438">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T/In/C/R</w:t>
            </w:r>
          </w:p>
        </w:tc>
        <w:tc>
          <w:tcPr>
            <w:tcW w:w="317" w:type="pct"/>
            <w:tcBorders>
              <w:tl2br w:val="nil"/>
              <w:tr2bl w:val="nil"/>
            </w:tcBorders>
            <w:vAlign w:val="center"/>
          </w:tcPr>
          <w:p w14:paraId="3DCA9D22">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HW49</w:t>
            </w:r>
          </w:p>
        </w:tc>
        <w:tc>
          <w:tcPr>
            <w:tcW w:w="463" w:type="pct"/>
            <w:tcBorders>
              <w:tl2br w:val="nil"/>
              <w:tr2bl w:val="nil"/>
            </w:tcBorders>
            <w:vAlign w:val="center"/>
          </w:tcPr>
          <w:p w14:paraId="20FB0250">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900-047-49</w:t>
            </w:r>
          </w:p>
        </w:tc>
        <w:tc>
          <w:tcPr>
            <w:tcW w:w="392" w:type="pct"/>
            <w:tcBorders>
              <w:tl2br w:val="nil"/>
              <w:tr2bl w:val="nil"/>
            </w:tcBorders>
            <w:vAlign w:val="center"/>
          </w:tcPr>
          <w:p w14:paraId="58946C2F">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0.5</w:t>
            </w:r>
          </w:p>
        </w:tc>
        <w:tc>
          <w:tcPr>
            <w:tcW w:w="304" w:type="pct"/>
            <w:tcBorders>
              <w:tl2br w:val="nil"/>
              <w:tr2bl w:val="nil"/>
            </w:tcBorders>
            <w:vAlign w:val="center"/>
          </w:tcPr>
          <w:p w14:paraId="51073EF5">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间歇</w:t>
            </w:r>
          </w:p>
        </w:tc>
        <w:tc>
          <w:tcPr>
            <w:tcW w:w="375" w:type="pct"/>
            <w:vMerge w:val="continue"/>
            <w:vAlign w:val="center"/>
          </w:tcPr>
          <w:p w14:paraId="1E072ED3">
            <w:pPr>
              <w:widowControl/>
              <w:spacing w:line="240" w:lineRule="auto"/>
              <w:ind w:firstLine="0" w:firstLineChars="0"/>
              <w:jc w:val="center"/>
              <w:rPr>
                <w:color w:val="auto"/>
                <w:kern w:val="0"/>
                <w:sz w:val="21"/>
                <w:szCs w:val="21"/>
                <w:lang w:val="zh-CN"/>
              </w:rPr>
            </w:pPr>
          </w:p>
        </w:tc>
      </w:tr>
      <w:tr w14:paraId="3BAAD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 w:type="pct"/>
            <w:vAlign w:val="center"/>
          </w:tcPr>
          <w:p w14:paraId="406F517B">
            <w:pPr>
              <w:widowControl/>
              <w:spacing w:line="240" w:lineRule="auto"/>
              <w:ind w:firstLine="0" w:firstLineChars="0"/>
              <w:jc w:val="center"/>
              <w:rPr>
                <w:color w:val="auto"/>
                <w:kern w:val="0"/>
                <w:sz w:val="21"/>
                <w:szCs w:val="21"/>
              </w:rPr>
            </w:pPr>
            <w:r>
              <w:rPr>
                <w:rFonts w:hint="eastAsia"/>
                <w:color w:val="auto"/>
                <w:kern w:val="0"/>
                <w:sz w:val="21"/>
                <w:szCs w:val="21"/>
              </w:rPr>
              <w:t>5</w:t>
            </w:r>
          </w:p>
        </w:tc>
        <w:tc>
          <w:tcPr>
            <w:tcW w:w="532" w:type="pct"/>
            <w:tcBorders>
              <w:tl2br w:val="nil"/>
              <w:tr2bl w:val="nil"/>
            </w:tcBorders>
            <w:vAlign w:val="center"/>
          </w:tcPr>
          <w:p w14:paraId="0995AEB5">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污水处理污泥</w:t>
            </w:r>
          </w:p>
        </w:tc>
        <w:tc>
          <w:tcPr>
            <w:tcW w:w="383" w:type="pct"/>
            <w:vAlign w:val="center"/>
          </w:tcPr>
          <w:p w14:paraId="4E5C131F">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危险固废</w:t>
            </w:r>
          </w:p>
        </w:tc>
        <w:tc>
          <w:tcPr>
            <w:tcW w:w="479" w:type="pct"/>
            <w:tcBorders>
              <w:tl2br w:val="nil"/>
              <w:tr2bl w:val="nil"/>
            </w:tcBorders>
            <w:vAlign w:val="center"/>
          </w:tcPr>
          <w:p w14:paraId="3D565D09">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污水处理</w:t>
            </w:r>
          </w:p>
        </w:tc>
        <w:tc>
          <w:tcPr>
            <w:tcW w:w="336" w:type="pct"/>
            <w:tcBorders>
              <w:tl2br w:val="nil"/>
              <w:tr2bl w:val="nil"/>
            </w:tcBorders>
            <w:vAlign w:val="center"/>
          </w:tcPr>
          <w:p w14:paraId="353BF4C4">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固/液</w:t>
            </w:r>
          </w:p>
        </w:tc>
        <w:tc>
          <w:tcPr>
            <w:tcW w:w="893" w:type="pct"/>
            <w:tcBorders>
              <w:tl2br w:val="nil"/>
              <w:tr2bl w:val="nil"/>
            </w:tcBorders>
            <w:vAlign w:val="center"/>
          </w:tcPr>
          <w:p w14:paraId="5829DC84">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污泥、水等</w:t>
            </w:r>
          </w:p>
        </w:tc>
        <w:tc>
          <w:tcPr>
            <w:tcW w:w="350" w:type="pct"/>
            <w:tcBorders>
              <w:tl2br w:val="nil"/>
              <w:tr2bl w:val="nil"/>
            </w:tcBorders>
            <w:vAlign w:val="center"/>
          </w:tcPr>
          <w:p w14:paraId="58FDA192">
            <w:pPr>
              <w:widowControl/>
              <w:spacing w:line="240" w:lineRule="auto"/>
              <w:ind w:firstLine="0" w:firstLineChars="0"/>
              <w:jc w:val="center"/>
              <w:rPr>
                <w:color w:val="auto"/>
                <w:kern w:val="0"/>
                <w:sz w:val="21"/>
                <w:szCs w:val="21"/>
                <w:lang w:val="zh-CN"/>
              </w:rPr>
            </w:pPr>
            <w:r>
              <w:rPr>
                <w:rFonts w:hint="eastAsia"/>
                <w:color w:val="auto"/>
                <w:kern w:val="0"/>
                <w:sz w:val="21"/>
                <w:szCs w:val="21"/>
              </w:rPr>
              <w:t>T/In</w:t>
            </w:r>
          </w:p>
        </w:tc>
        <w:tc>
          <w:tcPr>
            <w:tcW w:w="317" w:type="pct"/>
            <w:tcBorders>
              <w:tl2br w:val="nil"/>
              <w:tr2bl w:val="nil"/>
            </w:tcBorders>
            <w:vAlign w:val="center"/>
          </w:tcPr>
          <w:p w14:paraId="152C5447">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HW49</w:t>
            </w:r>
          </w:p>
        </w:tc>
        <w:tc>
          <w:tcPr>
            <w:tcW w:w="463" w:type="pct"/>
            <w:tcBorders>
              <w:tl2br w:val="nil"/>
              <w:tr2bl w:val="nil"/>
            </w:tcBorders>
            <w:vAlign w:val="center"/>
          </w:tcPr>
          <w:p w14:paraId="60A9F365">
            <w:pPr>
              <w:widowControl/>
              <w:spacing w:line="240" w:lineRule="auto"/>
              <w:ind w:firstLine="0" w:firstLineChars="0"/>
              <w:jc w:val="center"/>
              <w:rPr>
                <w:color w:val="auto"/>
                <w:kern w:val="0"/>
                <w:sz w:val="21"/>
                <w:szCs w:val="21"/>
                <w:lang w:val="zh-CN"/>
              </w:rPr>
            </w:pPr>
            <w:r>
              <w:rPr>
                <w:rFonts w:hint="eastAsia"/>
                <w:color w:val="auto"/>
                <w:kern w:val="0"/>
                <w:sz w:val="21"/>
                <w:szCs w:val="21"/>
              </w:rPr>
              <w:t>772-006-49</w:t>
            </w:r>
          </w:p>
        </w:tc>
        <w:tc>
          <w:tcPr>
            <w:tcW w:w="392" w:type="pct"/>
            <w:tcBorders>
              <w:tl2br w:val="nil"/>
              <w:tr2bl w:val="nil"/>
            </w:tcBorders>
            <w:vAlign w:val="center"/>
          </w:tcPr>
          <w:p w14:paraId="72EB4E18">
            <w:pPr>
              <w:widowControl/>
              <w:spacing w:line="240" w:lineRule="auto"/>
              <w:ind w:firstLine="0" w:firstLineChars="0"/>
              <w:jc w:val="center"/>
              <w:rPr>
                <w:color w:val="auto"/>
                <w:kern w:val="0"/>
                <w:sz w:val="21"/>
                <w:szCs w:val="21"/>
                <w:lang w:val="zh-CN"/>
              </w:rPr>
            </w:pPr>
            <w:r>
              <w:rPr>
                <w:rFonts w:hint="eastAsia"/>
                <w:color w:val="auto"/>
                <w:kern w:val="0"/>
                <w:sz w:val="21"/>
                <w:szCs w:val="21"/>
              </w:rPr>
              <w:t>11.57</w:t>
            </w:r>
          </w:p>
        </w:tc>
        <w:tc>
          <w:tcPr>
            <w:tcW w:w="304" w:type="pct"/>
            <w:tcBorders>
              <w:tl2br w:val="nil"/>
              <w:tr2bl w:val="nil"/>
            </w:tcBorders>
            <w:vAlign w:val="center"/>
          </w:tcPr>
          <w:p w14:paraId="481FD7D8">
            <w:pPr>
              <w:widowControl/>
              <w:spacing w:line="240" w:lineRule="auto"/>
              <w:ind w:firstLine="0" w:firstLineChars="0"/>
              <w:jc w:val="center"/>
              <w:rPr>
                <w:color w:val="auto"/>
                <w:kern w:val="0"/>
                <w:sz w:val="21"/>
                <w:szCs w:val="21"/>
              </w:rPr>
            </w:pPr>
            <w:r>
              <w:rPr>
                <w:rFonts w:hint="eastAsia"/>
                <w:color w:val="auto"/>
                <w:kern w:val="0"/>
                <w:sz w:val="21"/>
                <w:szCs w:val="21"/>
              </w:rPr>
              <w:t>连续</w:t>
            </w:r>
          </w:p>
        </w:tc>
        <w:tc>
          <w:tcPr>
            <w:tcW w:w="375" w:type="pct"/>
            <w:vMerge w:val="continue"/>
            <w:vAlign w:val="center"/>
          </w:tcPr>
          <w:p w14:paraId="08A84D51">
            <w:pPr>
              <w:widowControl/>
              <w:spacing w:line="240" w:lineRule="auto"/>
              <w:ind w:firstLine="0" w:firstLineChars="0"/>
              <w:jc w:val="center"/>
              <w:rPr>
                <w:color w:val="auto"/>
                <w:kern w:val="0"/>
                <w:sz w:val="21"/>
                <w:szCs w:val="21"/>
              </w:rPr>
            </w:pPr>
          </w:p>
        </w:tc>
      </w:tr>
      <w:tr w14:paraId="63B66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 w:type="pct"/>
            <w:vAlign w:val="center"/>
          </w:tcPr>
          <w:p w14:paraId="246F31A6">
            <w:pPr>
              <w:widowControl/>
              <w:spacing w:line="240" w:lineRule="auto"/>
              <w:ind w:firstLine="0" w:firstLineChars="0"/>
              <w:jc w:val="center"/>
              <w:rPr>
                <w:color w:val="auto"/>
                <w:kern w:val="0"/>
                <w:sz w:val="21"/>
                <w:szCs w:val="21"/>
              </w:rPr>
            </w:pPr>
            <w:r>
              <w:rPr>
                <w:rFonts w:hint="eastAsia"/>
                <w:color w:val="auto"/>
                <w:kern w:val="0"/>
                <w:sz w:val="21"/>
                <w:szCs w:val="21"/>
              </w:rPr>
              <w:t>6</w:t>
            </w:r>
          </w:p>
        </w:tc>
        <w:tc>
          <w:tcPr>
            <w:tcW w:w="532" w:type="pct"/>
            <w:tcBorders>
              <w:tl2br w:val="nil"/>
              <w:tr2bl w:val="nil"/>
            </w:tcBorders>
            <w:vAlign w:val="center"/>
          </w:tcPr>
          <w:p w14:paraId="58D083EC">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废RO膜</w:t>
            </w:r>
          </w:p>
        </w:tc>
        <w:tc>
          <w:tcPr>
            <w:tcW w:w="383" w:type="pct"/>
            <w:vAlign w:val="center"/>
          </w:tcPr>
          <w:p w14:paraId="5261CDAC">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一般固废</w:t>
            </w:r>
          </w:p>
        </w:tc>
        <w:tc>
          <w:tcPr>
            <w:tcW w:w="479" w:type="pct"/>
            <w:tcBorders>
              <w:tl2br w:val="nil"/>
              <w:tr2bl w:val="nil"/>
            </w:tcBorders>
            <w:vAlign w:val="center"/>
          </w:tcPr>
          <w:p w14:paraId="0D1C30A1">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纯水制备</w:t>
            </w:r>
          </w:p>
        </w:tc>
        <w:tc>
          <w:tcPr>
            <w:tcW w:w="336" w:type="pct"/>
            <w:tcBorders>
              <w:tl2br w:val="nil"/>
              <w:tr2bl w:val="nil"/>
            </w:tcBorders>
            <w:vAlign w:val="center"/>
          </w:tcPr>
          <w:p w14:paraId="0D824E9B">
            <w:pPr>
              <w:widowControl/>
              <w:spacing w:line="240" w:lineRule="auto"/>
              <w:ind w:firstLine="0" w:firstLineChars="0"/>
              <w:jc w:val="center"/>
              <w:rPr>
                <w:color w:val="auto"/>
                <w:kern w:val="0"/>
                <w:sz w:val="21"/>
                <w:szCs w:val="21"/>
                <w:lang w:val="zh-CN"/>
              </w:rPr>
            </w:pPr>
            <w:r>
              <w:rPr>
                <w:rFonts w:hint="eastAsia"/>
                <w:color w:val="auto"/>
                <w:sz w:val="21"/>
                <w:szCs w:val="21"/>
              </w:rPr>
              <w:t>固</w:t>
            </w:r>
          </w:p>
        </w:tc>
        <w:tc>
          <w:tcPr>
            <w:tcW w:w="893" w:type="pct"/>
            <w:tcBorders>
              <w:tl2br w:val="nil"/>
              <w:tr2bl w:val="nil"/>
            </w:tcBorders>
            <w:vAlign w:val="center"/>
          </w:tcPr>
          <w:p w14:paraId="5B0E5A09">
            <w:pPr>
              <w:widowControl/>
              <w:spacing w:line="240" w:lineRule="auto"/>
              <w:ind w:firstLine="0" w:firstLineChars="0"/>
              <w:jc w:val="center"/>
              <w:rPr>
                <w:color w:val="auto"/>
                <w:kern w:val="0"/>
                <w:sz w:val="21"/>
                <w:szCs w:val="21"/>
                <w:lang w:val="zh-CN"/>
              </w:rPr>
            </w:pPr>
            <w:r>
              <w:rPr>
                <w:rFonts w:hint="eastAsia"/>
                <w:color w:val="auto"/>
                <w:kern w:val="0"/>
                <w:sz w:val="21"/>
                <w:szCs w:val="21"/>
              </w:rPr>
              <w:t>杂质、膜等</w:t>
            </w:r>
          </w:p>
        </w:tc>
        <w:tc>
          <w:tcPr>
            <w:tcW w:w="350" w:type="pct"/>
            <w:tcBorders>
              <w:tl2br w:val="nil"/>
              <w:tr2bl w:val="nil"/>
            </w:tcBorders>
            <w:vAlign w:val="center"/>
          </w:tcPr>
          <w:p w14:paraId="50A10148">
            <w:pPr>
              <w:widowControl/>
              <w:spacing w:line="240" w:lineRule="auto"/>
              <w:ind w:firstLine="0" w:firstLineChars="0"/>
              <w:jc w:val="center"/>
              <w:rPr>
                <w:color w:val="auto"/>
                <w:kern w:val="0"/>
                <w:sz w:val="21"/>
                <w:szCs w:val="21"/>
                <w:lang w:val="zh-CN"/>
              </w:rPr>
            </w:pPr>
            <w:r>
              <w:rPr>
                <w:rFonts w:hint="eastAsia"/>
                <w:color w:val="auto"/>
                <w:kern w:val="0"/>
                <w:sz w:val="21"/>
                <w:szCs w:val="21"/>
              </w:rPr>
              <w:t>/</w:t>
            </w:r>
          </w:p>
        </w:tc>
        <w:tc>
          <w:tcPr>
            <w:tcW w:w="317" w:type="pct"/>
            <w:tcBorders>
              <w:tl2br w:val="nil"/>
              <w:tr2bl w:val="nil"/>
            </w:tcBorders>
            <w:vAlign w:val="center"/>
          </w:tcPr>
          <w:p w14:paraId="4BBB0438">
            <w:pPr>
              <w:widowControl/>
              <w:spacing w:line="240" w:lineRule="auto"/>
              <w:ind w:firstLine="0" w:firstLineChars="0"/>
              <w:jc w:val="center"/>
              <w:rPr>
                <w:color w:val="auto"/>
                <w:kern w:val="0"/>
                <w:sz w:val="21"/>
                <w:szCs w:val="21"/>
                <w:lang w:val="zh-CN"/>
              </w:rPr>
            </w:pPr>
            <w:r>
              <w:rPr>
                <w:rFonts w:hint="eastAsia"/>
                <w:color w:val="auto"/>
                <w:kern w:val="0"/>
                <w:sz w:val="21"/>
                <w:szCs w:val="21"/>
              </w:rPr>
              <w:t>S59</w:t>
            </w:r>
          </w:p>
        </w:tc>
        <w:tc>
          <w:tcPr>
            <w:tcW w:w="463" w:type="pct"/>
            <w:tcBorders>
              <w:tl2br w:val="nil"/>
              <w:tr2bl w:val="nil"/>
            </w:tcBorders>
            <w:vAlign w:val="center"/>
          </w:tcPr>
          <w:p w14:paraId="609DA2BF">
            <w:pPr>
              <w:widowControl/>
              <w:spacing w:line="240" w:lineRule="auto"/>
              <w:ind w:firstLine="0" w:firstLineChars="0"/>
              <w:jc w:val="center"/>
              <w:rPr>
                <w:color w:val="auto"/>
                <w:kern w:val="0"/>
                <w:sz w:val="21"/>
                <w:szCs w:val="21"/>
                <w:lang w:val="zh-CN"/>
              </w:rPr>
            </w:pPr>
            <w:r>
              <w:rPr>
                <w:rFonts w:hint="eastAsia"/>
                <w:color w:val="auto"/>
                <w:kern w:val="0"/>
                <w:sz w:val="21"/>
                <w:szCs w:val="21"/>
              </w:rPr>
              <w:t>900-009-S59</w:t>
            </w:r>
          </w:p>
        </w:tc>
        <w:tc>
          <w:tcPr>
            <w:tcW w:w="392" w:type="pct"/>
            <w:tcBorders>
              <w:tl2br w:val="nil"/>
              <w:tr2bl w:val="nil"/>
            </w:tcBorders>
            <w:vAlign w:val="center"/>
          </w:tcPr>
          <w:p w14:paraId="1A796164">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2</w:t>
            </w:r>
          </w:p>
        </w:tc>
        <w:tc>
          <w:tcPr>
            <w:tcW w:w="304" w:type="pct"/>
            <w:vAlign w:val="center"/>
          </w:tcPr>
          <w:p w14:paraId="3D99F14D">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每年</w:t>
            </w:r>
          </w:p>
        </w:tc>
        <w:tc>
          <w:tcPr>
            <w:tcW w:w="375" w:type="pct"/>
            <w:vAlign w:val="center"/>
          </w:tcPr>
          <w:p w14:paraId="55CAE4BF">
            <w:pPr>
              <w:widowControl/>
              <w:spacing w:line="240" w:lineRule="auto"/>
              <w:ind w:firstLine="0" w:firstLineChars="0"/>
              <w:jc w:val="center"/>
              <w:rPr>
                <w:color w:val="auto"/>
                <w:kern w:val="0"/>
                <w:sz w:val="21"/>
                <w:szCs w:val="21"/>
                <w:lang w:val="zh-CN"/>
              </w:rPr>
            </w:pPr>
            <w:r>
              <w:rPr>
                <w:rFonts w:hint="eastAsia"/>
                <w:color w:val="auto"/>
                <w:kern w:val="0"/>
                <w:sz w:val="21"/>
                <w:szCs w:val="21"/>
              </w:rPr>
              <w:t>厂家回收</w:t>
            </w:r>
          </w:p>
        </w:tc>
      </w:tr>
    </w:tbl>
    <w:p w14:paraId="66DC97CA">
      <w:pPr>
        <w:ind w:firstLine="482"/>
        <w:jc w:val="center"/>
        <w:rPr>
          <w:b/>
          <w:bCs/>
          <w:color w:val="auto"/>
        </w:rPr>
        <w:sectPr>
          <w:pgSz w:w="16838" w:h="11906" w:orient="landscape"/>
          <w:pgMar w:top="1134" w:right="1134" w:bottom="1134" w:left="1134" w:header="851" w:footer="992" w:gutter="0"/>
          <w:cols w:space="425" w:num="1"/>
          <w:docGrid w:type="lines" w:linePitch="312" w:charSpace="0"/>
        </w:sectPr>
      </w:pPr>
    </w:p>
    <w:p w14:paraId="37B7FF05">
      <w:pPr>
        <w:pStyle w:val="4"/>
        <w:rPr>
          <w:color w:val="auto"/>
        </w:rPr>
      </w:pPr>
      <w:bookmarkStart w:id="213" w:name="_Toc22760"/>
      <w:r>
        <w:rPr>
          <w:rFonts w:hint="eastAsia"/>
          <w:color w:val="auto"/>
        </w:rPr>
        <w:t>6.4.2危废贮存场所（设施）环境影响分析</w:t>
      </w:r>
      <w:bookmarkEnd w:id="213"/>
    </w:p>
    <w:p w14:paraId="28BF261B">
      <w:pPr>
        <w:ind w:firstLine="482"/>
        <w:rPr>
          <w:b/>
          <w:bCs/>
          <w:color w:val="auto"/>
        </w:rPr>
      </w:pPr>
      <w:r>
        <w:rPr>
          <w:rFonts w:hint="eastAsia"/>
          <w:b/>
          <w:bCs/>
          <w:color w:val="auto"/>
        </w:rPr>
        <w:t>1、危废</w:t>
      </w:r>
      <w:r>
        <w:rPr>
          <w:b/>
          <w:bCs/>
          <w:color w:val="auto"/>
        </w:rPr>
        <w:t>贮存设施情况</w:t>
      </w:r>
    </w:p>
    <w:p w14:paraId="482591A1">
      <w:pPr>
        <w:ind w:firstLine="480"/>
        <w:rPr>
          <w:color w:val="auto"/>
        </w:rPr>
      </w:pPr>
      <w:r>
        <w:rPr>
          <w:color w:val="auto"/>
        </w:rPr>
        <w:t>本项目固废贮存情况见</w:t>
      </w:r>
      <w:r>
        <w:rPr>
          <w:rFonts w:hint="eastAsia"/>
          <w:color w:val="auto"/>
        </w:rPr>
        <w:t>下表</w:t>
      </w:r>
      <w:r>
        <w:rPr>
          <w:color w:val="auto"/>
        </w:rPr>
        <w:t>。</w:t>
      </w:r>
    </w:p>
    <w:p w14:paraId="6450B3B0">
      <w:pPr>
        <w:ind w:firstLine="482"/>
        <w:jc w:val="center"/>
        <w:rPr>
          <w:b/>
          <w:bCs/>
          <w:color w:val="auto"/>
        </w:rPr>
      </w:pPr>
      <w:r>
        <w:rPr>
          <w:rFonts w:hint="eastAsia"/>
          <w:b/>
          <w:bCs/>
          <w:color w:val="auto"/>
        </w:rPr>
        <w:t>表6.4.2-1 固废贮存情况</w:t>
      </w:r>
    </w:p>
    <w:tbl>
      <w:tblPr>
        <w:tblStyle w:val="24"/>
        <w:tblW w:w="492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579"/>
        <w:gridCol w:w="959"/>
        <w:gridCol w:w="1423"/>
        <w:gridCol w:w="860"/>
        <w:gridCol w:w="1268"/>
        <w:gridCol w:w="915"/>
        <w:gridCol w:w="915"/>
        <w:gridCol w:w="1024"/>
      </w:tblGrid>
      <w:tr w14:paraId="3A850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blHeader/>
          <w:jc w:val="center"/>
        </w:trPr>
        <w:tc>
          <w:tcPr>
            <w:tcW w:w="395" w:type="pct"/>
            <w:vAlign w:val="center"/>
          </w:tcPr>
          <w:p w14:paraId="070A5DDA">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贮存场所</w:t>
            </w:r>
          </w:p>
        </w:tc>
        <w:tc>
          <w:tcPr>
            <w:tcW w:w="813" w:type="pct"/>
            <w:vAlign w:val="center"/>
          </w:tcPr>
          <w:p w14:paraId="33BF31CA">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固体废物名称</w:t>
            </w:r>
          </w:p>
        </w:tc>
        <w:tc>
          <w:tcPr>
            <w:tcW w:w="494" w:type="pct"/>
            <w:vAlign w:val="center"/>
          </w:tcPr>
          <w:p w14:paraId="48E5D1B2">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废物类别</w:t>
            </w:r>
          </w:p>
        </w:tc>
        <w:tc>
          <w:tcPr>
            <w:tcW w:w="733" w:type="pct"/>
            <w:vAlign w:val="center"/>
          </w:tcPr>
          <w:p w14:paraId="33AA8629">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危废代码</w:t>
            </w:r>
          </w:p>
        </w:tc>
        <w:tc>
          <w:tcPr>
            <w:tcW w:w="443" w:type="pct"/>
            <w:vAlign w:val="center"/>
          </w:tcPr>
          <w:p w14:paraId="2FE9AD56">
            <w:pPr>
              <w:widowControl/>
              <w:spacing w:line="240" w:lineRule="auto"/>
              <w:ind w:firstLine="0" w:firstLineChars="0"/>
              <w:jc w:val="center"/>
              <w:rPr>
                <w:b/>
                <w:bCs/>
                <w:color w:val="auto"/>
                <w:kern w:val="0"/>
                <w:sz w:val="21"/>
                <w:szCs w:val="21"/>
                <w:lang w:val="zh-CN"/>
              </w:rPr>
            </w:pPr>
            <w:r>
              <w:rPr>
                <w:rFonts w:hint="eastAsia"/>
                <w:b/>
                <w:bCs/>
                <w:color w:val="auto"/>
                <w:kern w:val="0"/>
                <w:sz w:val="21"/>
                <w:szCs w:val="21"/>
                <w:lang w:val="zh-CN"/>
              </w:rPr>
              <w:t>位置</w:t>
            </w:r>
          </w:p>
        </w:tc>
        <w:tc>
          <w:tcPr>
            <w:tcW w:w="653" w:type="pct"/>
            <w:vAlign w:val="center"/>
          </w:tcPr>
          <w:p w14:paraId="32AB78EF">
            <w:pPr>
              <w:widowControl/>
              <w:spacing w:line="240" w:lineRule="auto"/>
              <w:ind w:firstLine="0" w:firstLineChars="0"/>
              <w:jc w:val="center"/>
              <w:rPr>
                <w:b/>
                <w:bCs/>
                <w:color w:val="auto"/>
                <w:kern w:val="0"/>
                <w:sz w:val="21"/>
                <w:szCs w:val="21"/>
                <w:lang w:val="zh-CN"/>
              </w:rPr>
            </w:pPr>
            <w:r>
              <w:rPr>
                <w:rFonts w:hint="eastAsia"/>
                <w:b/>
                <w:bCs/>
                <w:color w:val="auto"/>
                <w:kern w:val="0"/>
                <w:sz w:val="21"/>
                <w:szCs w:val="21"/>
                <w:lang w:val="zh-CN"/>
              </w:rPr>
              <w:t>占地面积</w:t>
            </w:r>
          </w:p>
        </w:tc>
        <w:tc>
          <w:tcPr>
            <w:tcW w:w="471" w:type="pct"/>
            <w:vAlign w:val="center"/>
          </w:tcPr>
          <w:p w14:paraId="774B479B">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贮存方式</w:t>
            </w:r>
          </w:p>
        </w:tc>
        <w:tc>
          <w:tcPr>
            <w:tcW w:w="471" w:type="pct"/>
            <w:vAlign w:val="center"/>
          </w:tcPr>
          <w:p w14:paraId="1E06FCE6">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贮存</w:t>
            </w:r>
            <w:r>
              <w:rPr>
                <w:rFonts w:hint="eastAsia"/>
                <w:b/>
                <w:bCs/>
                <w:color w:val="auto"/>
                <w:kern w:val="0"/>
                <w:sz w:val="21"/>
                <w:szCs w:val="21"/>
                <w:lang w:val="zh-CN"/>
              </w:rPr>
              <w:t>能力</w:t>
            </w:r>
          </w:p>
        </w:tc>
        <w:tc>
          <w:tcPr>
            <w:tcW w:w="527" w:type="pct"/>
            <w:vAlign w:val="center"/>
          </w:tcPr>
          <w:p w14:paraId="0D20B323">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贮存周期</w:t>
            </w:r>
          </w:p>
        </w:tc>
      </w:tr>
      <w:tr w14:paraId="5DEE9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95" w:type="pct"/>
            <w:vMerge w:val="restart"/>
            <w:vAlign w:val="center"/>
          </w:tcPr>
          <w:p w14:paraId="1C4FA7D8">
            <w:pPr>
              <w:widowControl/>
              <w:spacing w:line="240" w:lineRule="auto"/>
              <w:ind w:firstLine="0" w:firstLineChars="0"/>
              <w:jc w:val="center"/>
              <w:rPr>
                <w:color w:val="auto"/>
                <w:kern w:val="0"/>
                <w:sz w:val="21"/>
                <w:szCs w:val="21"/>
                <w:lang w:val="zh-CN"/>
              </w:rPr>
            </w:pPr>
            <w:bookmarkStart w:id="214" w:name="_Hlk196584844"/>
            <w:r>
              <w:rPr>
                <w:color w:val="auto"/>
                <w:kern w:val="0"/>
                <w:sz w:val="21"/>
                <w:szCs w:val="21"/>
                <w:lang w:val="zh-CN"/>
              </w:rPr>
              <w:t>危废暂存间</w:t>
            </w:r>
          </w:p>
        </w:tc>
        <w:tc>
          <w:tcPr>
            <w:tcW w:w="813" w:type="pct"/>
            <w:tcBorders>
              <w:tl2br w:val="nil"/>
              <w:tr2bl w:val="nil"/>
            </w:tcBorders>
            <w:vAlign w:val="center"/>
          </w:tcPr>
          <w:p w14:paraId="36E6C437">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废过滤材料</w:t>
            </w:r>
          </w:p>
        </w:tc>
        <w:tc>
          <w:tcPr>
            <w:tcW w:w="494" w:type="pct"/>
            <w:tcBorders>
              <w:tl2br w:val="nil"/>
              <w:tr2bl w:val="nil"/>
            </w:tcBorders>
            <w:vAlign w:val="center"/>
          </w:tcPr>
          <w:p w14:paraId="4E02350A">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HW49</w:t>
            </w:r>
          </w:p>
        </w:tc>
        <w:tc>
          <w:tcPr>
            <w:tcW w:w="733" w:type="pct"/>
            <w:tcBorders>
              <w:tl2br w:val="nil"/>
              <w:tr2bl w:val="nil"/>
            </w:tcBorders>
            <w:vAlign w:val="center"/>
          </w:tcPr>
          <w:p w14:paraId="45B9B047">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900-041-49</w:t>
            </w:r>
          </w:p>
        </w:tc>
        <w:tc>
          <w:tcPr>
            <w:tcW w:w="443" w:type="pct"/>
            <w:vMerge w:val="restart"/>
            <w:vAlign w:val="center"/>
          </w:tcPr>
          <w:p w14:paraId="7FAC5FFE">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厂区西侧</w:t>
            </w:r>
          </w:p>
        </w:tc>
        <w:tc>
          <w:tcPr>
            <w:tcW w:w="653" w:type="pct"/>
            <w:vMerge w:val="restart"/>
            <w:vAlign w:val="center"/>
          </w:tcPr>
          <w:p w14:paraId="12EB8910">
            <w:pPr>
              <w:widowControl/>
              <w:adjustRightInd/>
              <w:snapToGrid/>
              <w:spacing w:line="240" w:lineRule="auto"/>
              <w:ind w:firstLine="0" w:firstLineChars="0"/>
              <w:jc w:val="center"/>
              <w:textAlignment w:val="center"/>
              <w:rPr>
                <w:color w:val="auto"/>
                <w:kern w:val="0"/>
                <w:sz w:val="21"/>
                <w:szCs w:val="21"/>
                <w:lang w:val="zh-CN"/>
              </w:rPr>
            </w:pPr>
            <w:r>
              <w:rPr>
                <w:rFonts w:hint="eastAsia"/>
                <w:color w:val="auto"/>
                <w:kern w:val="0"/>
                <w:sz w:val="21"/>
                <w:szCs w:val="21"/>
                <w:lang w:val="zh-CN"/>
              </w:rPr>
              <w:t>110m</w:t>
            </w:r>
            <w:r>
              <w:rPr>
                <w:rFonts w:hint="eastAsia"/>
                <w:color w:val="auto"/>
                <w:kern w:val="0"/>
                <w:sz w:val="21"/>
                <w:szCs w:val="21"/>
                <w:vertAlign w:val="superscript"/>
                <w:lang w:val="zh-CN"/>
              </w:rPr>
              <w:t>2</w:t>
            </w:r>
          </w:p>
        </w:tc>
        <w:tc>
          <w:tcPr>
            <w:tcW w:w="471" w:type="pct"/>
            <w:vAlign w:val="center"/>
          </w:tcPr>
          <w:p w14:paraId="70F5F2F7">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桶装</w:t>
            </w:r>
          </w:p>
        </w:tc>
        <w:tc>
          <w:tcPr>
            <w:tcW w:w="471" w:type="pct"/>
            <w:vAlign w:val="center"/>
          </w:tcPr>
          <w:p w14:paraId="2676EADD">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0.5</w:t>
            </w:r>
          </w:p>
        </w:tc>
        <w:tc>
          <w:tcPr>
            <w:tcW w:w="527" w:type="pct"/>
            <w:vAlign w:val="center"/>
          </w:tcPr>
          <w:p w14:paraId="3B1CE0F3">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30d</w:t>
            </w:r>
          </w:p>
        </w:tc>
      </w:tr>
      <w:tr w14:paraId="3163E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25B394BD">
            <w:pPr>
              <w:widowControl/>
              <w:spacing w:line="240" w:lineRule="auto"/>
              <w:ind w:firstLine="0" w:firstLineChars="0"/>
              <w:jc w:val="center"/>
              <w:rPr>
                <w:color w:val="auto"/>
                <w:kern w:val="0"/>
                <w:sz w:val="21"/>
                <w:szCs w:val="21"/>
                <w:lang w:val="zh-CN"/>
              </w:rPr>
            </w:pPr>
          </w:p>
        </w:tc>
        <w:tc>
          <w:tcPr>
            <w:tcW w:w="813" w:type="pct"/>
            <w:tcBorders>
              <w:tl2br w:val="nil"/>
              <w:tr2bl w:val="nil"/>
            </w:tcBorders>
            <w:vAlign w:val="center"/>
          </w:tcPr>
          <w:p w14:paraId="755DDA18">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废包装桶</w:t>
            </w:r>
          </w:p>
        </w:tc>
        <w:tc>
          <w:tcPr>
            <w:tcW w:w="494" w:type="pct"/>
            <w:tcBorders>
              <w:tl2br w:val="nil"/>
              <w:tr2bl w:val="nil"/>
            </w:tcBorders>
            <w:vAlign w:val="center"/>
          </w:tcPr>
          <w:p w14:paraId="2C84B6D7">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HW49</w:t>
            </w:r>
          </w:p>
        </w:tc>
        <w:tc>
          <w:tcPr>
            <w:tcW w:w="733" w:type="pct"/>
            <w:tcBorders>
              <w:tl2br w:val="nil"/>
              <w:tr2bl w:val="nil"/>
            </w:tcBorders>
            <w:vAlign w:val="center"/>
          </w:tcPr>
          <w:p w14:paraId="7A673423">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900-041-49</w:t>
            </w:r>
          </w:p>
        </w:tc>
        <w:tc>
          <w:tcPr>
            <w:tcW w:w="443" w:type="pct"/>
            <w:vMerge w:val="continue"/>
            <w:vAlign w:val="center"/>
          </w:tcPr>
          <w:p w14:paraId="64482157">
            <w:pPr>
              <w:widowControl/>
              <w:spacing w:line="240" w:lineRule="auto"/>
              <w:ind w:firstLine="0" w:firstLineChars="0"/>
              <w:jc w:val="center"/>
              <w:rPr>
                <w:color w:val="auto"/>
                <w:kern w:val="0"/>
                <w:sz w:val="21"/>
                <w:szCs w:val="21"/>
                <w:lang w:val="zh-CN"/>
              </w:rPr>
            </w:pPr>
          </w:p>
        </w:tc>
        <w:tc>
          <w:tcPr>
            <w:tcW w:w="653" w:type="pct"/>
            <w:vMerge w:val="continue"/>
            <w:vAlign w:val="center"/>
          </w:tcPr>
          <w:p w14:paraId="3E3405E9">
            <w:pPr>
              <w:widowControl/>
              <w:adjustRightInd/>
              <w:snapToGrid/>
              <w:spacing w:line="240" w:lineRule="auto"/>
              <w:ind w:firstLine="0" w:firstLineChars="0"/>
              <w:jc w:val="center"/>
              <w:textAlignment w:val="center"/>
              <w:rPr>
                <w:color w:val="auto"/>
                <w:kern w:val="0"/>
                <w:sz w:val="21"/>
                <w:szCs w:val="21"/>
                <w:lang w:val="zh-CN"/>
              </w:rPr>
            </w:pPr>
          </w:p>
        </w:tc>
        <w:tc>
          <w:tcPr>
            <w:tcW w:w="471" w:type="pct"/>
            <w:vAlign w:val="center"/>
          </w:tcPr>
          <w:p w14:paraId="6CD3866C">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堆放</w:t>
            </w:r>
          </w:p>
        </w:tc>
        <w:tc>
          <w:tcPr>
            <w:tcW w:w="471" w:type="pct"/>
            <w:vAlign w:val="center"/>
          </w:tcPr>
          <w:p w14:paraId="09D8C1B8">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2</w:t>
            </w:r>
          </w:p>
        </w:tc>
        <w:tc>
          <w:tcPr>
            <w:tcW w:w="527" w:type="pct"/>
            <w:vAlign w:val="center"/>
          </w:tcPr>
          <w:p w14:paraId="5B8C5349">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30d</w:t>
            </w:r>
          </w:p>
        </w:tc>
      </w:tr>
      <w:tr w14:paraId="79BBA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61B38DA7">
            <w:pPr>
              <w:widowControl/>
              <w:spacing w:line="240" w:lineRule="auto"/>
              <w:ind w:firstLine="0" w:firstLineChars="0"/>
              <w:jc w:val="center"/>
              <w:rPr>
                <w:color w:val="auto"/>
                <w:kern w:val="0"/>
                <w:sz w:val="21"/>
                <w:szCs w:val="21"/>
                <w:lang w:val="zh-CN"/>
              </w:rPr>
            </w:pPr>
          </w:p>
        </w:tc>
        <w:tc>
          <w:tcPr>
            <w:tcW w:w="813" w:type="pct"/>
            <w:tcBorders>
              <w:tl2br w:val="nil"/>
              <w:tr2bl w:val="nil"/>
            </w:tcBorders>
            <w:vAlign w:val="center"/>
          </w:tcPr>
          <w:p w14:paraId="404E30CF">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除尘灰</w:t>
            </w:r>
          </w:p>
        </w:tc>
        <w:tc>
          <w:tcPr>
            <w:tcW w:w="494" w:type="pct"/>
            <w:tcBorders>
              <w:tl2br w:val="nil"/>
              <w:tr2bl w:val="nil"/>
            </w:tcBorders>
            <w:vAlign w:val="center"/>
          </w:tcPr>
          <w:p w14:paraId="12B359AE">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HW02</w:t>
            </w:r>
          </w:p>
        </w:tc>
        <w:tc>
          <w:tcPr>
            <w:tcW w:w="733" w:type="pct"/>
            <w:tcBorders>
              <w:tl2br w:val="nil"/>
              <w:tr2bl w:val="nil"/>
            </w:tcBorders>
            <w:vAlign w:val="center"/>
          </w:tcPr>
          <w:p w14:paraId="058431F2">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271-005-02</w:t>
            </w:r>
          </w:p>
        </w:tc>
        <w:tc>
          <w:tcPr>
            <w:tcW w:w="443" w:type="pct"/>
            <w:vMerge w:val="continue"/>
            <w:vAlign w:val="center"/>
          </w:tcPr>
          <w:p w14:paraId="3B7CBA33">
            <w:pPr>
              <w:widowControl/>
              <w:spacing w:line="240" w:lineRule="auto"/>
              <w:ind w:firstLine="0" w:firstLineChars="0"/>
              <w:jc w:val="center"/>
              <w:rPr>
                <w:color w:val="auto"/>
                <w:kern w:val="0"/>
                <w:sz w:val="21"/>
                <w:szCs w:val="21"/>
                <w:lang w:val="zh-CN"/>
              </w:rPr>
            </w:pPr>
          </w:p>
        </w:tc>
        <w:tc>
          <w:tcPr>
            <w:tcW w:w="653" w:type="pct"/>
            <w:vMerge w:val="continue"/>
            <w:vAlign w:val="center"/>
          </w:tcPr>
          <w:p w14:paraId="3B001397">
            <w:pPr>
              <w:widowControl/>
              <w:adjustRightInd/>
              <w:snapToGrid/>
              <w:spacing w:line="240" w:lineRule="auto"/>
              <w:ind w:firstLine="0" w:firstLineChars="0"/>
              <w:jc w:val="center"/>
              <w:textAlignment w:val="center"/>
              <w:rPr>
                <w:color w:val="auto"/>
                <w:kern w:val="0"/>
                <w:sz w:val="21"/>
                <w:szCs w:val="21"/>
                <w:lang w:val="zh-CN"/>
              </w:rPr>
            </w:pPr>
          </w:p>
        </w:tc>
        <w:tc>
          <w:tcPr>
            <w:tcW w:w="471" w:type="pct"/>
            <w:vAlign w:val="center"/>
          </w:tcPr>
          <w:p w14:paraId="0CFC5243">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桶装</w:t>
            </w:r>
          </w:p>
        </w:tc>
        <w:tc>
          <w:tcPr>
            <w:tcW w:w="471" w:type="pct"/>
            <w:vAlign w:val="center"/>
          </w:tcPr>
          <w:p w14:paraId="46EC95F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2.7</w:t>
            </w:r>
          </w:p>
        </w:tc>
        <w:tc>
          <w:tcPr>
            <w:tcW w:w="527" w:type="pct"/>
            <w:vAlign w:val="center"/>
          </w:tcPr>
          <w:p w14:paraId="7D427627">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30d</w:t>
            </w:r>
          </w:p>
        </w:tc>
      </w:tr>
      <w:tr w14:paraId="13B18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3F35DD08">
            <w:pPr>
              <w:widowControl/>
              <w:spacing w:line="240" w:lineRule="auto"/>
              <w:ind w:firstLine="0" w:firstLineChars="0"/>
              <w:jc w:val="center"/>
              <w:rPr>
                <w:color w:val="auto"/>
                <w:kern w:val="0"/>
                <w:sz w:val="21"/>
                <w:szCs w:val="21"/>
                <w:lang w:val="zh-CN"/>
              </w:rPr>
            </w:pPr>
          </w:p>
        </w:tc>
        <w:tc>
          <w:tcPr>
            <w:tcW w:w="813" w:type="pct"/>
            <w:tcBorders>
              <w:tl2br w:val="nil"/>
              <w:tr2bl w:val="nil"/>
            </w:tcBorders>
            <w:vAlign w:val="center"/>
          </w:tcPr>
          <w:p w14:paraId="106D512E">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实验室废物</w:t>
            </w:r>
          </w:p>
        </w:tc>
        <w:tc>
          <w:tcPr>
            <w:tcW w:w="494" w:type="pct"/>
            <w:tcBorders>
              <w:tl2br w:val="nil"/>
              <w:tr2bl w:val="nil"/>
            </w:tcBorders>
            <w:vAlign w:val="center"/>
          </w:tcPr>
          <w:p w14:paraId="4CCFF9F2">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HW49</w:t>
            </w:r>
          </w:p>
        </w:tc>
        <w:tc>
          <w:tcPr>
            <w:tcW w:w="733" w:type="pct"/>
            <w:tcBorders>
              <w:tl2br w:val="nil"/>
              <w:tr2bl w:val="nil"/>
            </w:tcBorders>
            <w:vAlign w:val="center"/>
          </w:tcPr>
          <w:p w14:paraId="61B4A782">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900-047-49</w:t>
            </w:r>
          </w:p>
        </w:tc>
        <w:tc>
          <w:tcPr>
            <w:tcW w:w="443" w:type="pct"/>
            <w:vMerge w:val="continue"/>
            <w:vAlign w:val="center"/>
          </w:tcPr>
          <w:p w14:paraId="6A8B03F6">
            <w:pPr>
              <w:widowControl/>
              <w:spacing w:line="240" w:lineRule="auto"/>
              <w:ind w:firstLine="0" w:firstLineChars="0"/>
              <w:jc w:val="center"/>
              <w:rPr>
                <w:color w:val="auto"/>
                <w:kern w:val="0"/>
                <w:sz w:val="21"/>
                <w:szCs w:val="21"/>
                <w:lang w:val="zh-CN"/>
              </w:rPr>
            </w:pPr>
          </w:p>
        </w:tc>
        <w:tc>
          <w:tcPr>
            <w:tcW w:w="653" w:type="pct"/>
            <w:vMerge w:val="continue"/>
            <w:vAlign w:val="center"/>
          </w:tcPr>
          <w:p w14:paraId="7223D71F">
            <w:pPr>
              <w:widowControl/>
              <w:adjustRightInd/>
              <w:snapToGrid/>
              <w:spacing w:line="240" w:lineRule="auto"/>
              <w:ind w:firstLine="0" w:firstLineChars="0"/>
              <w:jc w:val="center"/>
              <w:textAlignment w:val="center"/>
              <w:rPr>
                <w:color w:val="auto"/>
                <w:kern w:val="0"/>
                <w:sz w:val="21"/>
                <w:szCs w:val="21"/>
                <w:lang w:val="zh-CN"/>
              </w:rPr>
            </w:pPr>
          </w:p>
        </w:tc>
        <w:tc>
          <w:tcPr>
            <w:tcW w:w="471" w:type="pct"/>
            <w:vAlign w:val="center"/>
          </w:tcPr>
          <w:p w14:paraId="6400A989">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桶装</w:t>
            </w:r>
          </w:p>
        </w:tc>
        <w:tc>
          <w:tcPr>
            <w:tcW w:w="471" w:type="pct"/>
            <w:vAlign w:val="center"/>
          </w:tcPr>
          <w:p w14:paraId="0874CE8E">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w:t>
            </w:r>
          </w:p>
        </w:tc>
        <w:tc>
          <w:tcPr>
            <w:tcW w:w="527" w:type="pct"/>
            <w:vAlign w:val="center"/>
          </w:tcPr>
          <w:p w14:paraId="0424D2A4">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30d</w:t>
            </w:r>
          </w:p>
        </w:tc>
      </w:tr>
      <w:tr w14:paraId="2B550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2F816128">
            <w:pPr>
              <w:widowControl/>
              <w:spacing w:line="240" w:lineRule="auto"/>
              <w:ind w:firstLine="0" w:firstLineChars="0"/>
              <w:jc w:val="center"/>
              <w:rPr>
                <w:color w:val="auto"/>
                <w:kern w:val="0"/>
                <w:sz w:val="21"/>
                <w:szCs w:val="21"/>
                <w:lang w:val="zh-CN"/>
              </w:rPr>
            </w:pPr>
          </w:p>
        </w:tc>
        <w:tc>
          <w:tcPr>
            <w:tcW w:w="813" w:type="pct"/>
            <w:tcBorders>
              <w:tl2br w:val="nil"/>
              <w:tr2bl w:val="nil"/>
            </w:tcBorders>
            <w:vAlign w:val="center"/>
          </w:tcPr>
          <w:p w14:paraId="117907E3">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污水处理污泥</w:t>
            </w:r>
          </w:p>
        </w:tc>
        <w:tc>
          <w:tcPr>
            <w:tcW w:w="494" w:type="pct"/>
            <w:tcBorders>
              <w:tl2br w:val="nil"/>
              <w:tr2bl w:val="nil"/>
            </w:tcBorders>
            <w:vAlign w:val="center"/>
          </w:tcPr>
          <w:p w14:paraId="6B304676">
            <w:pPr>
              <w:widowControl/>
              <w:spacing w:line="240" w:lineRule="auto"/>
              <w:ind w:firstLine="0" w:firstLineChars="0"/>
              <w:jc w:val="center"/>
              <w:rPr>
                <w:color w:val="auto"/>
                <w:kern w:val="0"/>
                <w:sz w:val="21"/>
                <w:szCs w:val="21"/>
                <w:lang w:val="zh-CN"/>
              </w:rPr>
            </w:pPr>
            <w:r>
              <w:rPr>
                <w:rFonts w:hint="eastAsia"/>
                <w:color w:val="auto"/>
                <w:kern w:val="0"/>
                <w:sz w:val="21"/>
                <w:szCs w:val="21"/>
                <w:lang w:bidi="ar"/>
              </w:rPr>
              <w:t>HW49</w:t>
            </w:r>
          </w:p>
        </w:tc>
        <w:tc>
          <w:tcPr>
            <w:tcW w:w="733" w:type="pct"/>
            <w:tcBorders>
              <w:tl2br w:val="nil"/>
              <w:tr2bl w:val="nil"/>
            </w:tcBorders>
            <w:vAlign w:val="center"/>
          </w:tcPr>
          <w:p w14:paraId="360C0325">
            <w:pPr>
              <w:widowControl/>
              <w:spacing w:line="240" w:lineRule="auto"/>
              <w:ind w:firstLine="0" w:firstLineChars="0"/>
              <w:jc w:val="center"/>
              <w:rPr>
                <w:color w:val="auto"/>
                <w:kern w:val="0"/>
                <w:sz w:val="21"/>
                <w:szCs w:val="21"/>
                <w:lang w:val="zh-CN"/>
              </w:rPr>
            </w:pPr>
            <w:r>
              <w:rPr>
                <w:rFonts w:hint="eastAsia"/>
                <w:color w:val="auto"/>
                <w:kern w:val="0"/>
                <w:sz w:val="21"/>
                <w:szCs w:val="21"/>
              </w:rPr>
              <w:t>772-006-49</w:t>
            </w:r>
          </w:p>
        </w:tc>
        <w:tc>
          <w:tcPr>
            <w:tcW w:w="443" w:type="pct"/>
            <w:vMerge w:val="continue"/>
            <w:vAlign w:val="center"/>
          </w:tcPr>
          <w:p w14:paraId="05E17A09">
            <w:pPr>
              <w:widowControl/>
              <w:spacing w:line="240" w:lineRule="auto"/>
              <w:ind w:firstLine="0" w:firstLineChars="0"/>
              <w:jc w:val="center"/>
              <w:rPr>
                <w:color w:val="auto"/>
                <w:kern w:val="0"/>
                <w:sz w:val="21"/>
                <w:szCs w:val="21"/>
                <w:lang w:val="zh-CN"/>
              </w:rPr>
            </w:pPr>
          </w:p>
        </w:tc>
        <w:tc>
          <w:tcPr>
            <w:tcW w:w="653" w:type="pct"/>
            <w:vMerge w:val="continue"/>
            <w:vAlign w:val="center"/>
          </w:tcPr>
          <w:p w14:paraId="36136BB5">
            <w:pPr>
              <w:widowControl/>
              <w:adjustRightInd/>
              <w:snapToGrid/>
              <w:spacing w:line="240" w:lineRule="auto"/>
              <w:ind w:firstLine="0" w:firstLineChars="0"/>
              <w:jc w:val="center"/>
              <w:textAlignment w:val="center"/>
              <w:rPr>
                <w:color w:val="auto"/>
                <w:kern w:val="0"/>
                <w:sz w:val="21"/>
                <w:szCs w:val="21"/>
                <w:lang w:val="zh-CN"/>
              </w:rPr>
            </w:pPr>
          </w:p>
        </w:tc>
        <w:tc>
          <w:tcPr>
            <w:tcW w:w="471" w:type="pct"/>
            <w:vAlign w:val="center"/>
          </w:tcPr>
          <w:p w14:paraId="2217E0B0">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桶装</w:t>
            </w:r>
          </w:p>
        </w:tc>
        <w:tc>
          <w:tcPr>
            <w:tcW w:w="471" w:type="pct"/>
            <w:vAlign w:val="center"/>
          </w:tcPr>
          <w:p w14:paraId="091382ED">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5</w:t>
            </w:r>
          </w:p>
        </w:tc>
        <w:tc>
          <w:tcPr>
            <w:tcW w:w="527" w:type="pct"/>
            <w:vAlign w:val="center"/>
          </w:tcPr>
          <w:p w14:paraId="4C928069">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30d</w:t>
            </w:r>
          </w:p>
        </w:tc>
      </w:tr>
      <w:bookmarkEnd w:id="214"/>
    </w:tbl>
    <w:p w14:paraId="78CC26A4">
      <w:pPr>
        <w:ind w:firstLine="480"/>
        <w:rPr>
          <w:color w:val="auto"/>
        </w:rPr>
      </w:pPr>
      <w:r>
        <w:rPr>
          <w:color w:val="auto"/>
        </w:rPr>
        <w:t>本项目依托现有1座110m</w:t>
      </w:r>
      <w:r>
        <w:rPr>
          <w:color w:val="auto"/>
          <w:vertAlign w:val="superscript"/>
        </w:rPr>
        <w:t>2</w:t>
      </w:r>
      <w:r>
        <w:rPr>
          <w:color w:val="auto"/>
        </w:rPr>
        <w:t>危废暂存间用于暂存项目运营期产生的危险废物，本次应按照《危险废物贮存污染控制标准》(GB18597-2023)要求进行管理。</w:t>
      </w:r>
    </w:p>
    <w:p w14:paraId="4AF3539E">
      <w:pPr>
        <w:ind w:firstLine="482"/>
        <w:rPr>
          <w:b/>
          <w:bCs/>
          <w:color w:val="auto"/>
        </w:rPr>
      </w:pPr>
      <w:r>
        <w:rPr>
          <w:rFonts w:hint="eastAsia"/>
          <w:b/>
          <w:bCs/>
          <w:color w:val="auto"/>
        </w:rPr>
        <w:t>2、危废贮存设施主要环境影响</w:t>
      </w:r>
    </w:p>
    <w:p w14:paraId="73DBBFEB">
      <w:pPr>
        <w:ind w:firstLine="480"/>
        <w:rPr>
          <w:color w:val="auto"/>
        </w:rPr>
      </w:pPr>
      <w:r>
        <w:rPr>
          <w:rFonts w:ascii="Cambria Math" w:hAnsi="Cambria Math" w:cs="Cambria Math"/>
          <w:color w:val="auto"/>
        </w:rPr>
        <w:t>①</w:t>
      </w:r>
      <w:r>
        <w:rPr>
          <w:color w:val="auto"/>
        </w:rPr>
        <w:t>大气环境影响</w:t>
      </w:r>
    </w:p>
    <w:p w14:paraId="505E8D4F">
      <w:pPr>
        <w:ind w:firstLine="480"/>
        <w:rPr>
          <w:color w:val="auto"/>
        </w:rPr>
      </w:pPr>
      <w:r>
        <w:rPr>
          <w:color w:val="auto"/>
        </w:rPr>
        <w:t>本项目产生的危险废物贮存于危废暂存间内，处于常闭状态，危废产生后委托有资质单位处置，危废暂存周期</w:t>
      </w:r>
      <w:r>
        <w:rPr>
          <w:rFonts w:hint="eastAsia"/>
          <w:color w:val="auto"/>
        </w:rPr>
        <w:t>较短</w:t>
      </w:r>
      <w:r>
        <w:rPr>
          <w:color w:val="auto"/>
        </w:rPr>
        <w:t>。仓库均防风、防雨、防晒、防渗，可有效避免危废扬散，因此本项目固废贮存期间对大气环境影响较小。</w:t>
      </w:r>
    </w:p>
    <w:p w14:paraId="5660021D">
      <w:pPr>
        <w:ind w:firstLine="480"/>
        <w:rPr>
          <w:color w:val="auto"/>
        </w:rPr>
      </w:pPr>
      <w:r>
        <w:rPr>
          <w:rFonts w:ascii="Cambria Math" w:hAnsi="Cambria Math" w:cs="Cambria Math"/>
          <w:color w:val="auto"/>
        </w:rPr>
        <w:t>②</w:t>
      </w:r>
      <w:r>
        <w:rPr>
          <w:color w:val="auto"/>
        </w:rPr>
        <w:t>地表水环境影响</w:t>
      </w:r>
    </w:p>
    <w:p w14:paraId="3C3DFA63">
      <w:pPr>
        <w:ind w:firstLine="480"/>
        <w:rPr>
          <w:color w:val="auto"/>
        </w:rPr>
      </w:pPr>
      <w:r>
        <w:rPr>
          <w:color w:val="auto"/>
        </w:rPr>
        <w:t>亚太药业设有安环部门，有专人对危废贮存设施进行规范管理，危废贮存做到防雨、防风、防晒，危废进入地表水可能性较小，不会对周边水体环境造成显著影响。</w:t>
      </w:r>
    </w:p>
    <w:p w14:paraId="30BB785D">
      <w:pPr>
        <w:ind w:firstLine="480"/>
        <w:rPr>
          <w:color w:val="auto"/>
        </w:rPr>
      </w:pPr>
      <w:r>
        <w:rPr>
          <w:rFonts w:ascii="Cambria Math" w:hAnsi="Cambria Math" w:cs="Cambria Math"/>
          <w:color w:val="auto"/>
        </w:rPr>
        <w:t>③</w:t>
      </w:r>
      <w:r>
        <w:rPr>
          <w:color w:val="auto"/>
        </w:rPr>
        <w:t>地下水、土壤环境影响</w:t>
      </w:r>
    </w:p>
    <w:p w14:paraId="23055DCE">
      <w:pPr>
        <w:ind w:firstLine="480"/>
        <w:rPr>
          <w:color w:val="auto"/>
        </w:rPr>
      </w:pPr>
      <w:r>
        <w:rPr>
          <w:color w:val="auto"/>
        </w:rPr>
        <w:t>本项目依托现有危废暂存间，满足《危险废物贮存污染控制标准》(GB18597-2023)的要求。地面均采用耐腐蚀的硬化地面，表面无裂隙，可有效防止危废贮存过程中物料渗漏对土壤和地下水产生显著影响。</w:t>
      </w:r>
    </w:p>
    <w:p w14:paraId="1FEC6F65">
      <w:pPr>
        <w:ind w:firstLine="480"/>
        <w:rPr>
          <w:color w:val="auto"/>
        </w:rPr>
      </w:pPr>
      <w:bookmarkStart w:id="215" w:name="_Hlk39048141"/>
      <w:r>
        <w:rPr>
          <w:rFonts w:ascii="Cambria Math" w:hAnsi="Cambria Math" w:cs="Cambria Math"/>
          <w:color w:val="auto"/>
        </w:rPr>
        <w:t>④</w:t>
      </w:r>
      <w:r>
        <w:rPr>
          <w:color w:val="auto"/>
        </w:rPr>
        <w:t>对环境敏感目标的影响</w:t>
      </w:r>
    </w:p>
    <w:p w14:paraId="4C7A3B13">
      <w:pPr>
        <w:ind w:firstLine="480"/>
        <w:rPr>
          <w:color w:val="auto"/>
        </w:rPr>
      </w:pPr>
      <w:r>
        <w:rPr>
          <w:color w:val="auto"/>
        </w:rPr>
        <w:t>本项目周边大气环境敏感主要为项目东北侧520m的北新镇居民，地表水环境敏感目标为江风河、长江启东段等水体，厂界周边无声环境保护目标，生态环境保护目标有新三和港河清水通道维护区等，土壤环境保护目标主要为厂区北侧50米农田。</w:t>
      </w:r>
    </w:p>
    <w:p w14:paraId="08392963">
      <w:pPr>
        <w:ind w:firstLine="480"/>
        <w:rPr>
          <w:color w:val="auto"/>
        </w:rPr>
      </w:pPr>
      <w:r>
        <w:rPr>
          <w:color w:val="auto"/>
        </w:rPr>
        <w:t>危废暂存间内固废贮存期间产生的废气污染物较少，仓库均防风、防雨、防晒、防渗，可有效避免危废扬散，产生的废气有效收集，经整体换风后排放，因此本项目固废贮存期间对大气环境敏感目标影响较小。</w:t>
      </w:r>
    </w:p>
    <w:p w14:paraId="13F57A82">
      <w:pPr>
        <w:ind w:firstLine="480"/>
        <w:rPr>
          <w:color w:val="auto"/>
        </w:rPr>
      </w:pPr>
      <w:r>
        <w:rPr>
          <w:color w:val="auto"/>
        </w:rPr>
        <w:t>危废贮存做到防雨、防风、防晒，危废进入地表水可能性较小，不会对地表水环境敏感目标造成显著影响。</w:t>
      </w:r>
    </w:p>
    <w:p w14:paraId="4B6981E7">
      <w:pPr>
        <w:ind w:firstLine="480"/>
        <w:rPr>
          <w:color w:val="auto"/>
        </w:rPr>
      </w:pPr>
      <w:r>
        <w:rPr>
          <w:color w:val="auto"/>
        </w:rPr>
        <w:t>本项目危废贮存设施均采用防渗措施，对地下水影响较小。</w:t>
      </w:r>
    </w:p>
    <w:p w14:paraId="29A948FF">
      <w:pPr>
        <w:ind w:firstLine="480"/>
        <w:rPr>
          <w:color w:val="auto"/>
        </w:rPr>
      </w:pPr>
      <w:r>
        <w:rPr>
          <w:color w:val="auto"/>
        </w:rPr>
        <w:t>本项目对土壤环境敏感目标的影响主要通过排放的废水污染物下渗对土壤造成不利影响，本项目危废贮存期间采用防风等措施，避免危废扬散，对土壤环境敏感目标的影响较小。</w:t>
      </w:r>
      <w:bookmarkEnd w:id="215"/>
    </w:p>
    <w:p w14:paraId="5E621C73">
      <w:pPr>
        <w:pStyle w:val="4"/>
        <w:rPr>
          <w:color w:val="auto"/>
        </w:rPr>
      </w:pPr>
      <w:bookmarkStart w:id="216" w:name="_Toc9763"/>
      <w:r>
        <w:rPr>
          <w:rFonts w:hint="eastAsia"/>
          <w:color w:val="auto"/>
        </w:rPr>
        <w:t>6.4.3固废运输环境影响分析</w:t>
      </w:r>
      <w:bookmarkEnd w:id="216"/>
    </w:p>
    <w:p w14:paraId="74EA625B">
      <w:pPr>
        <w:ind w:firstLine="480"/>
        <w:rPr>
          <w:color w:val="auto"/>
        </w:rPr>
      </w:pPr>
      <w:r>
        <w:rPr>
          <w:color w:val="auto"/>
        </w:rPr>
        <w:t>本项目危废贮存设施位于厂区内部，不涉及厂外运输或贮存。本次评价要求企业强化管理制度、加强输送管理要求、重视运输过程中加强危废密闭性，尽量避免危废运输发生污染事件。</w:t>
      </w:r>
    </w:p>
    <w:p w14:paraId="5ECC438E">
      <w:pPr>
        <w:ind w:firstLine="480"/>
        <w:rPr>
          <w:color w:val="auto"/>
        </w:rPr>
      </w:pPr>
      <w:r>
        <w:rPr>
          <w:color w:val="auto"/>
        </w:rPr>
        <w:t>本项目产生的上述危险废物，在产生部位即由专人采用危废包装袋或移动槽罐等进行包装，利用专用平板拖车(叉车)运输至危废暂存间指定位置分区暂存，危险废物厂内运输路线主要在生产区域，不涉及办公区。本次评价要求企业强化管理制度、加强输送管理要求、重视运输过程中加强危废密闭性，确保无遗撒情况发生。</w:t>
      </w:r>
    </w:p>
    <w:p w14:paraId="5D487A39">
      <w:pPr>
        <w:ind w:firstLine="480"/>
        <w:rPr>
          <w:color w:val="auto"/>
        </w:rPr>
      </w:pPr>
      <w:r>
        <w:rPr>
          <w:color w:val="auto"/>
        </w:rPr>
        <w:t>危险废物装卸、运输应委托有资质单位进行，并要求运输企业编制《危险废物运输车辆事故应急预案》，并按照批准的运输路线进行运输，杜绝运输路线直接穿越居民集中居住区等环境，敏感点，运输过程中危险废物散落、泄漏的可能性较小，其对环境的影响在可控制范围内。</w:t>
      </w:r>
    </w:p>
    <w:p w14:paraId="4085BC2A">
      <w:pPr>
        <w:pStyle w:val="4"/>
        <w:rPr>
          <w:color w:val="auto"/>
        </w:rPr>
      </w:pPr>
      <w:bookmarkStart w:id="217" w:name="_Toc7807"/>
      <w:r>
        <w:rPr>
          <w:rFonts w:hint="eastAsia"/>
          <w:color w:val="auto"/>
        </w:rPr>
        <w:t>6.4.4委托处置环境影响分析</w:t>
      </w:r>
      <w:bookmarkEnd w:id="217"/>
    </w:p>
    <w:p w14:paraId="659080D4">
      <w:pPr>
        <w:ind w:firstLine="480"/>
        <w:rPr>
          <w:color w:val="auto"/>
        </w:rPr>
      </w:pPr>
      <w:r>
        <w:rPr>
          <w:color w:val="auto"/>
        </w:rPr>
        <w:t>本项目产生的</w:t>
      </w:r>
      <w:r>
        <w:rPr>
          <w:rFonts w:hint="eastAsia"/>
          <w:color w:val="auto"/>
        </w:rPr>
        <w:t>废过滤材料、废包装桶、除尘灰、实验室废物、污水处理污泥</w:t>
      </w:r>
      <w:r>
        <w:rPr>
          <w:color w:val="auto"/>
        </w:rPr>
        <w:t>属于危险废物，委托资质单位处置；</w:t>
      </w:r>
      <w:r>
        <w:rPr>
          <w:rFonts w:hint="eastAsia"/>
          <w:color w:val="auto"/>
        </w:rPr>
        <w:t>废RO膜</w:t>
      </w:r>
      <w:r>
        <w:rPr>
          <w:color w:val="auto"/>
        </w:rPr>
        <w:t>属于一般固废，</w:t>
      </w:r>
      <w:r>
        <w:rPr>
          <w:rFonts w:hint="eastAsia"/>
          <w:color w:val="auto"/>
        </w:rPr>
        <w:t>由厂家定期回收</w:t>
      </w:r>
      <w:r>
        <w:rPr>
          <w:color w:val="auto"/>
        </w:rPr>
        <w:t>。</w:t>
      </w:r>
    </w:p>
    <w:p w14:paraId="73AB4298">
      <w:pPr>
        <w:ind w:firstLine="480"/>
        <w:rPr>
          <w:color w:val="auto"/>
        </w:rPr>
      </w:pPr>
      <w:r>
        <w:rPr>
          <w:color w:val="auto"/>
        </w:rPr>
        <w:t>本项目固废均安全处置，危险废物全部委托有资质的危废处置单位处置。本项目建成后，企业应严格落实各项危废处置措施，执行《危险废物贮存污染控制标准》(GB18597-2023)、《危险废物收集 贮存 运输技术规范》(HJ2025-2012)等文件的管理要求。</w:t>
      </w:r>
    </w:p>
    <w:p w14:paraId="0C26AB8C">
      <w:pPr>
        <w:ind w:firstLine="480"/>
        <w:rPr>
          <w:color w:val="auto"/>
        </w:rPr>
      </w:pPr>
      <w:r>
        <w:rPr>
          <w:color w:val="auto"/>
        </w:rPr>
        <w:t>综上所述，本项目固废经采取合理的综合利用和处置措施，危险废物、一般工业固废均不外排，从危险废物贮存场所、厂内运输、委托利用或者处置等角度分析，项目固废对外环境影响较小。</w:t>
      </w:r>
    </w:p>
    <w:p w14:paraId="428FC3BF">
      <w:pPr>
        <w:pStyle w:val="3"/>
        <w:spacing w:before="312"/>
        <w:rPr>
          <w:color w:val="auto"/>
        </w:rPr>
      </w:pPr>
      <w:bookmarkStart w:id="218" w:name="_Toc11704"/>
      <w:r>
        <w:rPr>
          <w:rFonts w:hint="eastAsia"/>
          <w:color w:val="auto"/>
        </w:rPr>
        <w:t>6.5地下水环境影响预测与评价</w:t>
      </w:r>
      <w:bookmarkEnd w:id="218"/>
    </w:p>
    <w:p w14:paraId="20553E78">
      <w:pPr>
        <w:pStyle w:val="4"/>
        <w:rPr>
          <w:color w:val="auto"/>
        </w:rPr>
      </w:pPr>
      <w:bookmarkStart w:id="219" w:name="_Toc3537"/>
      <w:r>
        <w:rPr>
          <w:rFonts w:hint="eastAsia"/>
          <w:color w:val="auto"/>
        </w:rPr>
        <w:t>6.5.1区域地质概况</w:t>
      </w:r>
      <w:bookmarkEnd w:id="219"/>
    </w:p>
    <w:p w14:paraId="014A5166">
      <w:pPr>
        <w:pStyle w:val="5"/>
        <w:spacing w:before="156"/>
        <w:rPr>
          <w:color w:val="auto"/>
        </w:rPr>
      </w:pPr>
      <w:r>
        <w:rPr>
          <w:rFonts w:hint="eastAsia"/>
          <w:color w:val="auto"/>
        </w:rPr>
        <w:t>6.5.1.1区域地层</w:t>
      </w:r>
    </w:p>
    <w:p w14:paraId="1B215454">
      <w:pPr>
        <w:ind w:firstLine="480"/>
        <w:rPr>
          <w:color w:val="auto"/>
        </w:rPr>
      </w:pPr>
      <w:r>
        <w:rPr>
          <w:color w:val="auto"/>
        </w:rPr>
        <w:t>据区域地质地层分区，本区归属扬子地层区，是中生代的徐缓沉降区。区内及附近第四系厚度巨大，总体上呈南薄北厚的趋势。据钻孔揭露，区内前第四系由老到新依次为二叠系中统(P2)、下三叠统(T1)、侏罗系上统(J3)、上白垩统浦口组(K2P)。各时代地层岩性特征如下：</w:t>
      </w:r>
    </w:p>
    <w:p w14:paraId="68ACDCAD">
      <w:pPr>
        <w:ind w:firstLine="480"/>
        <w:rPr>
          <w:color w:val="auto"/>
        </w:rPr>
      </w:pPr>
      <w:r>
        <w:rPr>
          <w:color w:val="auto"/>
        </w:rPr>
        <w:t>二叠系中统(P2)：地层主要有龙潭组(P21)和长兴组(P22)。各组岩性明显差异，长兴组为深灰色夹灰黑色厚层灰岩，龙潭组以杂色碎屑岩为主。厚度15～280m不等。主要分布于启东市西北、三和镇东南地区。</w:t>
      </w:r>
    </w:p>
    <w:p w14:paraId="4A9ACD19">
      <w:pPr>
        <w:ind w:firstLine="480"/>
        <w:rPr>
          <w:color w:val="auto"/>
        </w:rPr>
      </w:pPr>
      <w:r>
        <w:rPr>
          <w:color w:val="auto"/>
        </w:rPr>
        <w:t>下三叠统(T1)：为灰、灰黄色薄层灰岩、泥质灰岩，厚约300m左右。分布于三合镇西北地区。</w:t>
      </w:r>
    </w:p>
    <w:p w14:paraId="2FBB1DFC">
      <w:pPr>
        <w:ind w:firstLine="480"/>
        <w:rPr>
          <w:color w:val="auto"/>
        </w:rPr>
      </w:pPr>
      <w:r>
        <w:rPr>
          <w:color w:val="auto"/>
        </w:rPr>
        <w:t>侏罗系上统(J3)：主要为火山岩系，为紫灰等杂色凝灰质砂砾岩、安山岩、粗安岩，厚度大于400m。启东市以东大部分地区普遍分布。为评估区主要隐伏地层。</w:t>
      </w:r>
    </w:p>
    <w:p w14:paraId="387A2796">
      <w:pPr>
        <w:ind w:firstLine="480"/>
        <w:rPr>
          <w:color w:val="auto"/>
        </w:rPr>
      </w:pPr>
      <w:r>
        <w:rPr>
          <w:color w:val="auto"/>
        </w:rPr>
        <w:t>上白垩统浦口组(K2P)：棕黄色、棕红色粉细砂岩，下部夹砂砾岩，中厚层状，厚度大于500m。主要分布于蒿枝港口一三厂镇一线以西广大地区。</w:t>
      </w:r>
    </w:p>
    <w:p w14:paraId="414D7391">
      <w:pPr>
        <w:ind w:firstLine="480"/>
        <w:rPr>
          <w:color w:val="auto"/>
        </w:rPr>
      </w:pPr>
      <w:r>
        <w:rPr>
          <w:color w:val="auto"/>
        </w:rPr>
        <w:t>启东地处长江河口地区，第四纪沉积物源丰富，沉积作用强盛，第四系厚度一般在160～200m之间。影响本区第四纪沉积的因素较多，主要是基底构造、古长江发育演变、古气候冷暖周期变化、洋面升降引起的海侵海退事件，在第四纪井下剖面中，反映为一套显示多沉积回旋韵律的海陆交替变化的巨厚松散地层，其中夹有多层装透水性良好的砂层，为区内孔隙地下水的形成提供了有利的赋存条件。</w:t>
      </w:r>
    </w:p>
    <w:p w14:paraId="535765DB">
      <w:pPr>
        <w:ind w:firstLine="480"/>
        <w:rPr>
          <w:color w:val="auto"/>
        </w:rPr>
      </w:pPr>
      <w:r>
        <w:rPr>
          <w:color w:val="auto"/>
        </w:rPr>
        <w:t>现据《南通市水工环综合勘察》第四纪地质研究成果，结合本次调查中收集的大量井孔地层剖面，进行较深入的分析研究，特将本区第四纪地层作如下划分。</w:t>
      </w:r>
    </w:p>
    <w:p w14:paraId="5AEB56C7">
      <w:pPr>
        <w:ind w:firstLine="482"/>
        <w:rPr>
          <w:b/>
          <w:bCs/>
          <w:color w:val="auto"/>
        </w:rPr>
      </w:pPr>
      <w:r>
        <w:rPr>
          <w:b/>
          <w:bCs/>
          <w:color w:val="auto"/>
        </w:rPr>
        <w:t>(1)下更新统(Q1)</w:t>
      </w:r>
    </w:p>
    <w:p w14:paraId="116CF06E">
      <w:pPr>
        <w:ind w:firstLine="480"/>
        <w:rPr>
          <w:color w:val="auto"/>
        </w:rPr>
      </w:pPr>
      <w:r>
        <w:rPr>
          <w:color w:val="auto"/>
        </w:rPr>
        <w:t>冲积、冲湖积，埋藏于155～360m。岩性为棕黄色、杂灰绿色致密粉质粘土夹灰、灰黄色中细砂、中粗砂，一般显示三个由粗至细沉积韵律。所夹有的松散砂层组成区内的第Ⅲ承压含水组。</w:t>
      </w:r>
    </w:p>
    <w:p w14:paraId="1B50612A">
      <w:pPr>
        <w:ind w:firstLine="480"/>
        <w:rPr>
          <w:color w:val="auto"/>
        </w:rPr>
      </w:pPr>
      <w:r>
        <w:rPr>
          <w:color w:val="auto"/>
        </w:rPr>
        <w:t>该期沉积作用主要受基底构造和古长江河道双重因素控制，从三维空间中岩性变化情况分析，早更新世流经区内的古长江水动力条件强势，展布的古河道呈多枝状发育，南北向摆动变迁频繁，单个时段中的主河道多为北东或北东东向展布，反应长江水动力、地球自传力的作用。</w:t>
      </w:r>
    </w:p>
    <w:p w14:paraId="75AC3A62">
      <w:pPr>
        <w:ind w:firstLine="482"/>
        <w:rPr>
          <w:b/>
          <w:bCs/>
          <w:color w:val="auto"/>
        </w:rPr>
      </w:pPr>
      <w:r>
        <w:rPr>
          <w:b/>
          <w:bCs/>
          <w:color w:val="auto"/>
        </w:rPr>
        <w:t>(2)中更新统(Q2)</w:t>
      </w:r>
    </w:p>
    <w:p w14:paraId="6B48AF4B">
      <w:pPr>
        <w:ind w:firstLine="480"/>
        <w:rPr>
          <w:color w:val="auto"/>
        </w:rPr>
      </w:pPr>
      <w:r>
        <w:rPr>
          <w:color w:val="auto"/>
        </w:rPr>
        <w:t>以冲积、冲湖积相为主，夹河口相弱海相沉积。埋藏于120～180m之间，厚度一般30～60m。岩性为灰黄、灰褐色粉质粘土夹中细砂层。组成区内的第Ⅱ承压含水组。</w:t>
      </w:r>
    </w:p>
    <w:p w14:paraId="5E79CD73">
      <w:pPr>
        <w:ind w:firstLine="480"/>
        <w:rPr>
          <w:color w:val="auto"/>
        </w:rPr>
      </w:pPr>
      <w:r>
        <w:rPr>
          <w:color w:val="auto"/>
        </w:rPr>
        <w:t>该沉积受古地形地貌条件控制影响，在基准面逐渐变化的情况下，古长江呈支流形式，流入古海。期间区内曾发生第四纪第一次海侵事件。</w:t>
      </w:r>
    </w:p>
    <w:p w14:paraId="01CBA2B4">
      <w:pPr>
        <w:ind w:firstLine="482"/>
        <w:rPr>
          <w:b/>
          <w:bCs/>
          <w:color w:val="auto"/>
        </w:rPr>
      </w:pPr>
      <w:r>
        <w:rPr>
          <w:b/>
          <w:bCs/>
          <w:color w:val="auto"/>
        </w:rPr>
        <w:t>(3)上更新统(Q3)</w:t>
      </w:r>
    </w:p>
    <w:p w14:paraId="7C2D7268">
      <w:pPr>
        <w:ind w:firstLine="480"/>
        <w:rPr>
          <w:color w:val="auto"/>
        </w:rPr>
      </w:pPr>
      <w:r>
        <w:rPr>
          <w:color w:val="auto"/>
        </w:rPr>
        <w:t>为一套海陆交互相沉积。埋藏于50～120m之间，底界深度在北部沿海地带可大于120m，—般厚度在100m左右。岩性为较厚的粉细砂、中粗砂、间夹有一定厚度的灰色粉质粘土和粉土，以示沉积环境所发生的变化。其松散砂层组成区内广泛分布的第Ⅰ承压含水层组。</w:t>
      </w:r>
    </w:p>
    <w:p w14:paraId="768B07A0">
      <w:pPr>
        <w:ind w:firstLine="480"/>
        <w:rPr>
          <w:color w:val="auto"/>
        </w:rPr>
      </w:pPr>
      <w:r>
        <w:rPr>
          <w:color w:val="auto"/>
        </w:rPr>
        <w:t>该期沉积是基底持续下降和海面升降作用的结果，推测当时的长江河口，在本区表现比较开阔，在大面积范围内接受了河口相砂层为主的沉积。从沉积物分布和厚度较大分析，可推知上更新世曾为本区第四纪成沉积速度较大的一个时段。</w:t>
      </w:r>
    </w:p>
    <w:p w14:paraId="4EB08208">
      <w:pPr>
        <w:ind w:firstLine="482"/>
        <w:rPr>
          <w:b/>
          <w:bCs/>
          <w:color w:val="auto"/>
        </w:rPr>
      </w:pPr>
      <w:r>
        <w:rPr>
          <w:b/>
          <w:bCs/>
          <w:color w:val="auto"/>
        </w:rPr>
        <w:t>(4)全新统(Q4)</w:t>
      </w:r>
    </w:p>
    <w:p w14:paraId="64793EF3">
      <w:pPr>
        <w:ind w:firstLine="480"/>
        <w:rPr>
          <w:color w:val="auto"/>
        </w:rPr>
      </w:pPr>
      <w:r>
        <w:rPr>
          <w:color w:val="auto"/>
        </w:rPr>
        <w:t>为近一万年来的长江三角洲沉积相。近地表广发分布，厚度15～50m，局部可近60m。岩性为灰色粉质粘土、粉土夹粉细砂，局部含淤泥较多。</w:t>
      </w:r>
    </w:p>
    <w:p w14:paraId="1A70EC83">
      <w:pPr>
        <w:ind w:firstLine="480"/>
        <w:rPr>
          <w:color w:val="auto"/>
        </w:rPr>
      </w:pPr>
      <w:r>
        <w:rPr>
          <w:color w:val="auto"/>
        </w:rPr>
        <w:t>该期，本区遭受有史以来的最后一次海侵事件，海侵高峰时，海岸线曾西进至镇江、扬州一带，但高峰过后海水迅即东退至现海岸位置，在这一过程中，发育了规模较大的长江三角洲构造，南通市就位于该三角洲的前缘。在剖面中反映出较典型型的三角洲相结构特征，其岩性变化有一定的复杂性。</w:t>
      </w:r>
    </w:p>
    <w:p w14:paraId="792E1735">
      <w:pPr>
        <w:spacing w:line="240" w:lineRule="auto"/>
        <w:ind w:firstLine="0" w:firstLineChars="0"/>
        <w:jc w:val="center"/>
        <w:rPr>
          <w:color w:val="auto"/>
        </w:rPr>
      </w:pPr>
      <w:r>
        <w:rPr>
          <w:rFonts w:eastAsia="仿宋_GB2312"/>
          <w:color w:val="auto"/>
        </w:rPr>
        <w:drawing>
          <wp:inline distT="0" distB="0" distL="0" distR="0">
            <wp:extent cx="3892550" cy="5753100"/>
            <wp:effectExtent l="0" t="0" r="12700" b="0"/>
            <wp:docPr id="43" name="图片 4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892550" cy="5753100"/>
                    </a:xfrm>
                    <a:prstGeom prst="rect">
                      <a:avLst/>
                    </a:prstGeom>
                    <a:noFill/>
                    <a:ln>
                      <a:noFill/>
                    </a:ln>
                  </pic:spPr>
                </pic:pic>
              </a:graphicData>
            </a:graphic>
          </wp:inline>
        </w:drawing>
      </w:r>
    </w:p>
    <w:p w14:paraId="783D403D">
      <w:pPr>
        <w:spacing w:line="240" w:lineRule="auto"/>
        <w:ind w:firstLine="0" w:firstLineChars="0"/>
        <w:jc w:val="center"/>
        <w:rPr>
          <w:b/>
          <w:bCs/>
          <w:color w:val="auto"/>
        </w:rPr>
      </w:pPr>
      <w:r>
        <w:rPr>
          <w:rFonts w:hint="eastAsia"/>
          <w:b/>
          <w:bCs/>
          <w:color w:val="auto"/>
        </w:rPr>
        <w:t>图6.5.1-1 启东地区典型钻孔柱状图</w:t>
      </w:r>
    </w:p>
    <w:p w14:paraId="60D66B41">
      <w:pPr>
        <w:pStyle w:val="5"/>
        <w:spacing w:before="156"/>
        <w:rPr>
          <w:color w:val="auto"/>
        </w:rPr>
      </w:pPr>
      <w:r>
        <w:rPr>
          <w:rFonts w:hint="eastAsia"/>
          <w:color w:val="auto"/>
        </w:rPr>
        <w:t>6.5.1.2地质构造及区域稳定性</w:t>
      </w:r>
    </w:p>
    <w:p w14:paraId="1CDD89A3">
      <w:pPr>
        <w:ind w:firstLine="480"/>
        <w:rPr>
          <w:color w:val="auto"/>
        </w:rPr>
      </w:pPr>
      <w:r>
        <w:rPr>
          <w:color w:val="auto"/>
        </w:rPr>
        <w:t>在区域构造位置上，本区属于下扬子断块区，基岩构造格架是由泥盆系-下三叠统所组成，为北东向平行的背、向斜褶皱带和北西向为主的断块作用所形成的断凸、断凹所构成。启东地区为印支运动形成的北东向崇明-启东复式背斜构造，核部为古生代地层，分布在久隆、圩角新义地带。中生代形成断陷盆地，启东南部分布有大片侏罗系火山岩。</w:t>
      </w:r>
    </w:p>
    <w:p w14:paraId="79F5F0B4">
      <w:pPr>
        <w:ind w:firstLine="480"/>
        <w:rPr>
          <w:color w:val="auto"/>
        </w:rPr>
      </w:pPr>
      <w:r>
        <w:rPr>
          <w:color w:val="auto"/>
        </w:rPr>
        <w:t>断裂构造比较复杂，多属物探重、磁异常推测，局部作过人工地震探测。在断裂活动性方面认识不尽相同。有影响的是规模较大的区域性断裂，主要断裂有：</w:t>
      </w:r>
    </w:p>
    <w:p w14:paraId="6B2015F6">
      <w:pPr>
        <w:ind w:firstLine="480"/>
        <w:rPr>
          <w:color w:val="auto"/>
        </w:rPr>
      </w:pPr>
      <w:r>
        <w:rPr>
          <w:color w:val="auto"/>
        </w:rPr>
        <w:t>湖州-吕四断裂：一般称湖—苏断裂，本区境内是其北延部分。总体呈北东40°～50°方向展布，倾向北西。通过崇明西部在海门临江附近进入本区，在吕四附近进入黄海。断裂主要活动期在晚古生代，不同地段又切割中生代及古近纪地层。早期为压性及压扭性，晚期转化为张扭性正断裂。</w:t>
      </w:r>
    </w:p>
    <w:p w14:paraId="48F75FD9">
      <w:pPr>
        <w:ind w:firstLine="480"/>
        <w:rPr>
          <w:color w:val="auto"/>
        </w:rPr>
      </w:pPr>
      <w:r>
        <w:rPr>
          <w:color w:val="auto"/>
        </w:rPr>
        <w:t>无锡-崇明断裂：从无锡向东穿过崇明，潜入长江口东海域，断续展布，走向东西至北东东向，断面北倾，为张扭性正断层。绿化-新光断裂可能是其组成部分，通过崇启长江公路大桥中心部位，人工浅地震探测，第三、第四纪地层未受到其影响，属不活动断裂。</w:t>
      </w:r>
    </w:p>
    <w:p w14:paraId="5524EDCF">
      <w:pPr>
        <w:ind w:firstLine="480"/>
        <w:rPr>
          <w:color w:val="auto"/>
        </w:rPr>
      </w:pPr>
      <w:r>
        <w:rPr>
          <w:color w:val="auto"/>
        </w:rPr>
        <w:t>此外，邻近的区域断裂有北西向的南通-上海断裂，苏北沿海断裂等。</w:t>
      </w:r>
    </w:p>
    <w:p w14:paraId="04C40036">
      <w:pPr>
        <w:ind w:firstLine="480"/>
        <w:rPr>
          <w:color w:val="auto"/>
        </w:rPr>
      </w:pPr>
      <w:r>
        <w:rPr>
          <w:color w:val="auto"/>
        </w:rPr>
        <w:t>评价区位于华北地震区长江中下游-南黄海地震带内，属中强活动区。包括评价区内南通历史上发生的最强的地震是1615年3月1日狼山5级地震，震中烈度6度，其余皆为小震。影响本区最频繁的是南黄海南部凹陷及长江口附近的中强震，对本区影响烈度4度左右。</w:t>
      </w:r>
    </w:p>
    <w:p w14:paraId="6E48BB35">
      <w:pPr>
        <w:ind w:firstLine="480"/>
        <w:rPr>
          <w:color w:val="auto"/>
        </w:rPr>
      </w:pPr>
      <w:r>
        <w:rPr>
          <w:color w:val="auto"/>
        </w:rPr>
        <w:t>评价区内无较大断裂及活动性断裂通过，也未发现第四系断裂活动迹象，属区域地质构造活动相对稳定地区。根据《建筑抗震设计规范》(GB50011-2001)和《中国地震动参数区划图》(GB18306-2001)，评价区内地震动反映谱特征周期为0.40s，地震动峰值加速度为0.05g，对照标准附录“关于地震基本烈度向地震动参数过度的说明”，评价区抗震设防烈度为6度，为抗震设防分组第一组。</w:t>
      </w:r>
    </w:p>
    <w:p w14:paraId="7742C4CE">
      <w:pPr>
        <w:spacing w:line="240" w:lineRule="auto"/>
        <w:ind w:firstLine="0" w:firstLineChars="0"/>
        <w:jc w:val="center"/>
        <w:rPr>
          <w:color w:val="auto"/>
        </w:rPr>
      </w:pPr>
      <w:r>
        <w:rPr>
          <w:rFonts w:eastAsia="仿宋_GB2312"/>
          <w:b/>
          <w:color w:val="auto"/>
        </w:rPr>
        <w:drawing>
          <wp:inline distT="0" distB="0" distL="0" distR="0">
            <wp:extent cx="3613150" cy="3765550"/>
            <wp:effectExtent l="0" t="0" r="6350" b="6350"/>
            <wp:docPr id="44" name="图片 4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613150" cy="3765550"/>
                    </a:xfrm>
                    <a:prstGeom prst="rect">
                      <a:avLst/>
                    </a:prstGeom>
                    <a:noFill/>
                    <a:ln>
                      <a:noFill/>
                    </a:ln>
                  </pic:spPr>
                </pic:pic>
              </a:graphicData>
            </a:graphic>
          </wp:inline>
        </w:drawing>
      </w:r>
    </w:p>
    <w:p w14:paraId="57850A0C">
      <w:pPr>
        <w:spacing w:line="240" w:lineRule="auto"/>
        <w:ind w:firstLine="0" w:firstLineChars="0"/>
        <w:jc w:val="center"/>
        <w:rPr>
          <w:b/>
          <w:color w:val="auto"/>
        </w:rPr>
      </w:pPr>
      <w:r>
        <w:rPr>
          <w:b/>
          <w:color w:val="auto"/>
        </w:rPr>
        <w:t>图6.5.1-2  启东地区区域地震地质构造图</w:t>
      </w:r>
    </w:p>
    <w:p w14:paraId="25DF47E7">
      <w:pPr>
        <w:pStyle w:val="4"/>
        <w:rPr>
          <w:color w:val="auto"/>
        </w:rPr>
      </w:pPr>
      <w:bookmarkStart w:id="220" w:name="_Toc8229"/>
      <w:r>
        <w:rPr>
          <w:rFonts w:hint="eastAsia"/>
          <w:color w:val="auto"/>
        </w:rPr>
        <w:t>6.5.2区域水文地质条件</w:t>
      </w:r>
      <w:bookmarkEnd w:id="220"/>
    </w:p>
    <w:p w14:paraId="01D61EB8">
      <w:pPr>
        <w:pStyle w:val="5"/>
        <w:spacing w:before="156"/>
        <w:rPr>
          <w:color w:val="auto"/>
        </w:rPr>
      </w:pPr>
      <w:r>
        <w:rPr>
          <w:rFonts w:hint="eastAsia"/>
          <w:color w:val="auto"/>
        </w:rPr>
        <w:t>6.5.2.1</w:t>
      </w:r>
      <w:r>
        <w:rPr>
          <w:color w:val="auto"/>
        </w:rPr>
        <w:t>地下水类型及空间分布特征</w:t>
      </w:r>
    </w:p>
    <w:p w14:paraId="0E653C5C">
      <w:pPr>
        <w:ind w:firstLine="480"/>
        <w:rPr>
          <w:color w:val="auto"/>
        </w:rPr>
      </w:pPr>
      <w:r>
        <w:rPr>
          <w:color w:val="auto"/>
        </w:rPr>
        <w:t>启东市的地质条件，决定了其地下水的类型主要为松散岩类孔隙水。它具有分布广泛，层次繁多、水质变化复杂、水量贫富不均匀等基本特征。根据含水层的时代成因，埋藏条件及水动力特征等，自上而下可：划分为五个含水层，即：潜水含水层、第Ⅰ承压含水层、第Ⅱ承压含水层、第Ⅲ承压含水层、第Ⅳ承压含水层。</w:t>
      </w:r>
    </w:p>
    <w:p w14:paraId="5CC93BC9">
      <w:pPr>
        <w:ind w:firstLine="480"/>
        <w:rPr>
          <w:color w:val="auto"/>
        </w:rPr>
      </w:pPr>
      <w:r>
        <w:rPr>
          <w:color w:val="auto"/>
        </w:rPr>
        <w:t>区内松散岩类含水层垂向分布呈多层状展布，各自组成独立含水层组，但从区域网络来看，彼此间又相互沟通，层组间存在水平方向和垂直方向上的水力联系，呈主体网络交错，形成本区地下水赋存空间，组成本区地下水系统。</w:t>
      </w:r>
    </w:p>
    <w:p w14:paraId="2F077EDD">
      <w:pPr>
        <w:spacing w:line="240" w:lineRule="auto"/>
        <w:ind w:firstLine="0" w:firstLineChars="0"/>
        <w:rPr>
          <w:color w:val="auto"/>
        </w:rPr>
      </w:pPr>
      <w:r>
        <w:rPr>
          <w:rFonts w:eastAsia="仿宋_GB2312"/>
          <w:color w:val="auto"/>
        </w:rPr>
        <w:drawing>
          <wp:inline distT="0" distB="0" distL="0" distR="0">
            <wp:extent cx="5278120" cy="3390265"/>
            <wp:effectExtent l="0" t="0" r="17780" b="635"/>
            <wp:docPr id="1832052428" name="图片 1832052428" descr="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52428" name="图片 1832052428" descr="水文地质图"/>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8120" cy="3390487"/>
                    </a:xfrm>
                    <a:prstGeom prst="rect">
                      <a:avLst/>
                    </a:prstGeom>
                    <a:noFill/>
                    <a:ln>
                      <a:noFill/>
                    </a:ln>
                  </pic:spPr>
                </pic:pic>
              </a:graphicData>
            </a:graphic>
          </wp:inline>
        </w:drawing>
      </w:r>
    </w:p>
    <w:p w14:paraId="4D9AACE4">
      <w:pPr>
        <w:spacing w:line="240" w:lineRule="auto"/>
        <w:ind w:firstLine="0" w:firstLineChars="0"/>
        <w:rPr>
          <w:color w:val="auto"/>
        </w:rPr>
      </w:pPr>
      <w:r>
        <w:rPr>
          <w:rFonts w:eastAsia="仿宋_GB2312"/>
          <w:color w:val="auto"/>
        </w:rPr>
        <w:drawing>
          <wp:inline distT="0" distB="0" distL="0" distR="0">
            <wp:extent cx="5278120" cy="3390265"/>
            <wp:effectExtent l="0" t="0" r="17780" b="635"/>
            <wp:docPr id="254399527" name="图片 254399527" descr="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99527" name="图片 254399527" descr="水文地质图"/>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8120" cy="3390487"/>
                    </a:xfrm>
                    <a:prstGeom prst="rect">
                      <a:avLst/>
                    </a:prstGeom>
                    <a:noFill/>
                    <a:ln>
                      <a:noFill/>
                    </a:ln>
                  </pic:spPr>
                </pic:pic>
              </a:graphicData>
            </a:graphic>
          </wp:inline>
        </w:drawing>
      </w:r>
    </w:p>
    <w:p w14:paraId="41E7810B">
      <w:pPr>
        <w:spacing w:line="240" w:lineRule="auto"/>
        <w:ind w:firstLine="0" w:firstLineChars="0"/>
        <w:jc w:val="center"/>
        <w:rPr>
          <w:b/>
          <w:bCs/>
          <w:color w:val="auto"/>
        </w:rPr>
      </w:pPr>
      <w:r>
        <w:rPr>
          <w:rFonts w:hint="eastAsia"/>
          <w:b/>
          <w:bCs/>
          <w:color w:val="auto"/>
        </w:rPr>
        <w:t>图6.5.2-1 启东地区水文地质图</w:t>
      </w:r>
    </w:p>
    <w:p w14:paraId="694E5125">
      <w:pPr>
        <w:ind w:firstLine="482"/>
        <w:rPr>
          <w:b/>
          <w:bCs/>
          <w:color w:val="auto"/>
        </w:rPr>
      </w:pPr>
      <w:r>
        <w:rPr>
          <w:b/>
          <w:bCs/>
          <w:color w:val="auto"/>
        </w:rPr>
        <w:t>(1)孔隙潜水含水层(组)：</w:t>
      </w:r>
    </w:p>
    <w:p w14:paraId="7C8BE396">
      <w:pPr>
        <w:ind w:firstLine="480"/>
        <w:rPr>
          <w:color w:val="auto"/>
        </w:rPr>
      </w:pPr>
      <w:r>
        <w:rPr>
          <w:color w:val="auto"/>
        </w:rPr>
        <w:t>主要为全新统(Q4)地层，是滨海-河口相沉积，具明显的河口三角洲相特征。埋藏深度为50m以内，含水层的岩性主要为灰、灰黄色粉砂、粉细砂及粉土。在垂向上有上、下段粗，中段细的特点；在平面上有南细北粗的规律。含水层厚度一般35~45m，局部地段厚达70m(通兴一带)。潜水含水层在启东可分为上(民井)和下(浅井)两段。</w:t>
      </w:r>
    </w:p>
    <w:p w14:paraId="1DA6E7F5">
      <w:pPr>
        <w:ind w:firstLine="480"/>
        <w:rPr>
          <w:color w:val="auto"/>
        </w:rPr>
      </w:pPr>
      <w:r>
        <w:rPr>
          <w:color w:val="auto"/>
        </w:rPr>
        <w:t>潜水含水层的水位埋深随季节变化，一般在1～3m之间，局部低洼地段小于1m。由于潜水含水层上下段的渗透性不同，使下段含水层具微承压性。涌水量上段小于10m</w:t>
      </w:r>
      <w:r>
        <w:rPr>
          <w:color w:val="auto"/>
          <w:vertAlign w:val="superscript"/>
        </w:rPr>
        <w:t>3</w:t>
      </w:r>
      <w:r>
        <w:rPr>
          <w:color w:val="auto"/>
        </w:rPr>
        <w:t>/d，下段可达100m</w:t>
      </w:r>
      <w:r>
        <w:rPr>
          <w:color w:val="auto"/>
          <w:vertAlign w:val="superscript"/>
        </w:rPr>
        <w:t>3</w:t>
      </w:r>
      <w:r>
        <w:rPr>
          <w:color w:val="auto"/>
        </w:rPr>
        <w:t>/d左右。水温随季节变化，一般15~20℃。</w:t>
      </w:r>
    </w:p>
    <w:p w14:paraId="271D5C3A">
      <w:pPr>
        <w:ind w:firstLine="480"/>
        <w:rPr>
          <w:color w:val="auto"/>
        </w:rPr>
      </w:pPr>
      <w:r>
        <w:rPr>
          <w:color w:val="auto"/>
        </w:rPr>
        <w:t>潜水水质由于受到全新世海侵的影响，水中含盐卤量较高。海水退出后，受上游地下水、地表水的补给及大气降水的入渗而淡化，故启东的潜水水质复杂，具水平方向上的分带性和垂直方向上的分异性。启东南部沿江一带属微咸水区，中部及北部为半咸-咸水区。潜水的矿化度从长江向海的方向逐渐变大。沿海一带矿化度为10~15g/L。</w:t>
      </w:r>
    </w:p>
    <w:p w14:paraId="2C67D5B8">
      <w:pPr>
        <w:ind w:firstLine="480"/>
        <w:rPr>
          <w:color w:val="auto"/>
        </w:rPr>
      </w:pPr>
      <w:r>
        <w:rPr>
          <w:color w:val="auto"/>
        </w:rPr>
        <w:t>潜水的水化学类型以Cl-Na型为主由海向长江方向，有由Cl-Na→Cl·HCO</w:t>
      </w:r>
      <w:r>
        <w:rPr>
          <w:color w:val="auto"/>
          <w:vertAlign w:val="subscript"/>
        </w:rPr>
        <w:t>3</w:t>
      </w:r>
      <w:r>
        <w:rPr>
          <w:color w:val="auto"/>
        </w:rPr>
        <w:t>-Na→HCO</w:t>
      </w:r>
      <w:r>
        <w:rPr>
          <w:color w:val="auto"/>
          <w:vertAlign w:val="subscript"/>
        </w:rPr>
        <w:t>3</w:t>
      </w:r>
      <w:r>
        <w:rPr>
          <w:color w:val="auto"/>
        </w:rPr>
        <w:t>、Cl-Na→HCO</w:t>
      </w:r>
      <w:r>
        <w:rPr>
          <w:color w:val="auto"/>
          <w:vertAlign w:val="subscript"/>
        </w:rPr>
        <w:t>3</w:t>
      </w:r>
      <w:r>
        <w:rPr>
          <w:color w:val="auto"/>
        </w:rPr>
        <w:t>-Na的变化规律。</w:t>
      </w:r>
    </w:p>
    <w:p w14:paraId="267EB39C">
      <w:pPr>
        <w:ind w:firstLine="480"/>
        <w:rPr>
          <w:color w:val="auto"/>
        </w:rPr>
      </w:pPr>
      <w:r>
        <w:rPr>
          <w:color w:val="auto"/>
        </w:rPr>
        <w:t>启东区域水文地质剖面图</w:t>
      </w:r>
      <w:r>
        <w:rPr>
          <w:rFonts w:hint="eastAsia"/>
          <w:color w:val="auto"/>
        </w:rPr>
        <w:t>下图</w:t>
      </w:r>
      <w:r>
        <w:rPr>
          <w:color w:val="auto"/>
        </w:rPr>
        <w:t>所示。</w:t>
      </w:r>
    </w:p>
    <w:p w14:paraId="65BD3140">
      <w:pPr>
        <w:spacing w:line="240" w:lineRule="auto"/>
        <w:ind w:firstLine="0" w:firstLineChars="0"/>
        <w:jc w:val="center"/>
        <w:rPr>
          <w:color w:val="auto"/>
        </w:rPr>
      </w:pPr>
      <w:r>
        <w:rPr>
          <w:rFonts w:eastAsia="仿宋_GB2312"/>
          <w:color w:val="auto"/>
          <w:sz w:val="28"/>
          <w:szCs w:val="28"/>
        </w:rPr>
        <w:drawing>
          <wp:inline distT="0" distB="0" distL="0" distR="0">
            <wp:extent cx="3686810" cy="3538220"/>
            <wp:effectExtent l="0" t="0" r="8890" b="5080"/>
            <wp:docPr id="1150381076" name="图片 115038107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81076" name="图片 1150381076" descr="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689703" cy="3541430"/>
                    </a:xfrm>
                    <a:prstGeom prst="rect">
                      <a:avLst/>
                    </a:prstGeom>
                    <a:noFill/>
                    <a:ln>
                      <a:noFill/>
                    </a:ln>
                  </pic:spPr>
                </pic:pic>
              </a:graphicData>
            </a:graphic>
          </wp:inline>
        </w:drawing>
      </w:r>
    </w:p>
    <w:p w14:paraId="26174C54">
      <w:pPr>
        <w:ind w:firstLine="482"/>
        <w:jc w:val="center"/>
        <w:rPr>
          <w:b/>
          <w:bCs/>
          <w:color w:val="auto"/>
        </w:rPr>
      </w:pPr>
      <w:r>
        <w:rPr>
          <w:rFonts w:hint="eastAsia"/>
          <w:b/>
          <w:bCs/>
          <w:color w:val="auto"/>
        </w:rPr>
        <w:t>6.5.2-2 启东区域水文地质剖面图</w:t>
      </w:r>
    </w:p>
    <w:p w14:paraId="66D7F174">
      <w:pPr>
        <w:ind w:firstLine="482"/>
        <w:rPr>
          <w:b/>
          <w:bCs/>
          <w:color w:val="auto"/>
        </w:rPr>
      </w:pPr>
      <w:r>
        <w:rPr>
          <w:b/>
          <w:bCs/>
          <w:color w:val="auto"/>
        </w:rPr>
        <w:t>(2)第Ⅰ承压含水层(组)：</w:t>
      </w:r>
    </w:p>
    <w:p w14:paraId="0556DF2A">
      <w:pPr>
        <w:ind w:firstLine="480"/>
        <w:rPr>
          <w:color w:val="auto"/>
        </w:rPr>
      </w:pPr>
      <w:r>
        <w:rPr>
          <w:color w:val="auto"/>
        </w:rPr>
        <w:t>分布比较稳定，由上更新世(Q</w:t>
      </w:r>
      <w:r>
        <w:rPr>
          <w:color w:val="auto"/>
          <w:vertAlign w:val="subscript"/>
        </w:rPr>
        <w:t>3</w:t>
      </w:r>
      <w:r>
        <w:rPr>
          <w:color w:val="auto"/>
        </w:rPr>
        <w:t>)河流冲积砂层组成，在第四纪时期曾遭受两次海侵。含水层的岩性主要为砂砾层、含砾粗砂、中粗砂、细砂、粉细砂，有两个以上的由粗到细的沉积旋回，其颗粒级配与古河道的分布有关。含水层的厚度，在久隆-民主一带以西和通启运河以北为80~100m，久隆-三丫支一带超过100m；近海-圩角、汇龙-和合-寅阳一带厚度为60~80m；东部向阳-永和-兴垦厚度为50~60m。</w:t>
      </w:r>
    </w:p>
    <w:p w14:paraId="70BBF093">
      <w:pPr>
        <w:ind w:firstLine="480"/>
        <w:rPr>
          <w:color w:val="auto"/>
        </w:rPr>
      </w:pPr>
      <w:r>
        <w:rPr>
          <w:color w:val="auto"/>
        </w:rPr>
        <w:t>含水层顶板埋深一般为50~65m，市自来水厂一带深达60~85m。顶板岩性为灰黄色粉质粘土及灰黑色淤泥质粉质粘土，局部为粉土、粉砂、粉质粘土互层，其厚度为10~40m，希土-东海一带超过50m，头兴港、大兴附近顶板缺失，第Ⅰ承压水与潜水相通。含水层底板埋深一般为120~140m，局部地段该地层缺失。底板岩性为灰黄、棕黄色粉质粘土，厚度一般为10~30m。</w:t>
      </w:r>
    </w:p>
    <w:p w14:paraId="75091895">
      <w:pPr>
        <w:ind w:firstLine="480"/>
        <w:rPr>
          <w:color w:val="auto"/>
        </w:rPr>
      </w:pPr>
      <w:r>
        <w:rPr>
          <w:color w:val="auto"/>
        </w:rPr>
        <w:t>第Ⅰ承压含水层的水位埋深2~4m，北部天汾-吕四-三甲一带以北为3~4m。因含水层岩性粗，结构松散，故其富水性很好。单井涌水量一般都在2000~3000m</w:t>
      </w:r>
      <w:r>
        <w:rPr>
          <w:color w:val="auto"/>
          <w:vertAlign w:val="superscript"/>
        </w:rPr>
        <w:t>3</w:t>
      </w:r>
      <w:r>
        <w:rPr>
          <w:color w:val="auto"/>
        </w:rPr>
        <w:t>/d之间，含水层厚度大者，单井涌水量可达3000~5000m</w:t>
      </w:r>
      <w:r>
        <w:rPr>
          <w:color w:val="auto"/>
          <w:vertAlign w:val="superscript"/>
        </w:rPr>
        <w:t>3</w:t>
      </w:r>
      <w:r>
        <w:rPr>
          <w:color w:val="auto"/>
        </w:rPr>
        <w:t>/d。</w:t>
      </w:r>
    </w:p>
    <w:p w14:paraId="7900FC98">
      <w:pPr>
        <w:ind w:firstLine="480"/>
        <w:rPr>
          <w:color w:val="auto"/>
        </w:rPr>
      </w:pPr>
      <w:r>
        <w:rPr>
          <w:color w:val="auto"/>
        </w:rPr>
        <w:t>由于受到海侵影响，第Ⅰ承压水的矿化度较高，一般为5~15g/L的咸水。</w:t>
      </w:r>
    </w:p>
    <w:p w14:paraId="35E745C9">
      <w:pPr>
        <w:ind w:firstLine="482"/>
        <w:rPr>
          <w:b/>
          <w:bCs/>
          <w:color w:val="auto"/>
        </w:rPr>
      </w:pPr>
      <w:r>
        <w:rPr>
          <w:b/>
          <w:bCs/>
          <w:color w:val="auto"/>
        </w:rPr>
        <w:t>(3)第Ⅱ承压含水层(组)：</w:t>
      </w:r>
    </w:p>
    <w:p w14:paraId="046CFF86">
      <w:pPr>
        <w:ind w:firstLine="480"/>
        <w:rPr>
          <w:color w:val="auto"/>
        </w:rPr>
      </w:pPr>
      <w:r>
        <w:rPr>
          <w:color w:val="auto"/>
        </w:rPr>
        <w:t>该含水层主要由中更新世(Q</w:t>
      </w:r>
      <w:r>
        <w:rPr>
          <w:color w:val="auto"/>
          <w:vertAlign w:val="subscript"/>
        </w:rPr>
        <w:t>2</w:t>
      </w:r>
      <w:r>
        <w:rPr>
          <w:color w:val="auto"/>
        </w:rPr>
        <w:t>)河湖相沉积地层组成，在启东主要呈透镜状分布。含水层顶板埋深亦不稳定，一般为140~160m之间；底板埋深一般为160~180m，局部地段最深达190m左右。</w:t>
      </w:r>
    </w:p>
    <w:p w14:paraId="64936070">
      <w:pPr>
        <w:ind w:firstLine="480"/>
        <w:rPr>
          <w:color w:val="auto"/>
        </w:rPr>
      </w:pPr>
      <w:r>
        <w:rPr>
          <w:color w:val="auto"/>
        </w:rPr>
        <w:t>含水层的岩性及厚度与古河道的发育有关，其富水性也随之发生变化。在启东的北半部，含水层岩性主要由古河床相的中细砂及中粗砂组成，厚度多在30m以上，单井涌水量一般达1000m</w:t>
      </w:r>
      <w:r>
        <w:rPr>
          <w:color w:val="auto"/>
          <w:vertAlign w:val="superscript"/>
        </w:rPr>
        <w:t>3</w:t>
      </w:r>
      <w:r>
        <w:rPr>
          <w:color w:val="auto"/>
        </w:rPr>
        <w:t>/d以上，静水位埋深3～5m不等。在启东的东部沿海局部地段，如聚阳-近海一带，含水层岩性主要为细砂、中细砂，含水层厚度7~20m，单井涌水量一般小于1000m</w:t>
      </w:r>
      <w:r>
        <w:rPr>
          <w:color w:val="auto"/>
          <w:vertAlign w:val="superscript"/>
        </w:rPr>
        <w:t>3</w:t>
      </w:r>
      <w:r>
        <w:rPr>
          <w:color w:val="auto"/>
        </w:rPr>
        <w:t>/d。</w:t>
      </w:r>
    </w:p>
    <w:p w14:paraId="04E7A1B3">
      <w:pPr>
        <w:ind w:firstLine="480"/>
        <w:rPr>
          <w:color w:val="auto"/>
        </w:rPr>
      </w:pPr>
      <w:r>
        <w:rPr>
          <w:color w:val="auto"/>
        </w:rPr>
        <w:t>第Ⅱ承压含水层在启东除局部地段深部含少量淡水透镜体外，一般为咸水。</w:t>
      </w:r>
    </w:p>
    <w:p w14:paraId="453310EA">
      <w:pPr>
        <w:ind w:firstLine="482"/>
        <w:rPr>
          <w:b/>
          <w:bCs/>
          <w:color w:val="auto"/>
        </w:rPr>
      </w:pPr>
      <w:r>
        <w:rPr>
          <w:b/>
          <w:bCs/>
          <w:color w:val="auto"/>
        </w:rPr>
        <w:t>(4)第Ⅲ承压含水层(组)：</w:t>
      </w:r>
    </w:p>
    <w:p w14:paraId="531CC663">
      <w:pPr>
        <w:ind w:firstLine="480"/>
        <w:rPr>
          <w:color w:val="auto"/>
        </w:rPr>
      </w:pPr>
      <w:r>
        <w:rPr>
          <w:color w:val="auto"/>
        </w:rPr>
        <w:t>启东第Ⅲ承压含水层分布广泛，含水层由早更新世(Q</w:t>
      </w:r>
      <w:r>
        <w:rPr>
          <w:color w:val="auto"/>
          <w:vertAlign w:val="subscript"/>
        </w:rPr>
        <w:t>1</w:t>
      </w:r>
      <w:r>
        <w:rPr>
          <w:color w:val="auto"/>
        </w:rPr>
        <w:t>)沉积砂层组成，其埋藏分布受长江古河道的严格控制，并具明显的河流相特征。岩性主要为灰白、灰黄、灰黑色含砾中粗砂、粗砂、细中砂或含砾粗砂等，局部为泥砾、砂卵石等。砾石多为直径2~7mm的细砾，含量在5~15%之间。卵石直径一般为2~4个沉积旋回。含水层的顶、底部含泥质成分较多。该含水层在启东的西部一般由1～2个单层组成，东部有3~4个单层，南、北部为2~3个单层，每个单层厚度一般10~30m。</w:t>
      </w:r>
    </w:p>
    <w:p w14:paraId="11F39497">
      <w:pPr>
        <w:ind w:firstLine="480"/>
        <w:rPr>
          <w:color w:val="auto"/>
        </w:rPr>
      </w:pPr>
      <w:r>
        <w:rPr>
          <w:color w:val="auto"/>
        </w:rPr>
        <w:t>含水层的富水性与其厚度、粒度等有关。厚度越大，颗粒越粗，富水性越好，反之富水性就差些。中部久隆-南阳-向阳一带以及北部天汾-吕四一带，含水层厚度较大，一般大于40m，颗粒较粗，水量丰富，单井涌水量大于3000m</w:t>
      </w:r>
      <w:r>
        <w:rPr>
          <w:color w:val="auto"/>
          <w:vertAlign w:val="superscript"/>
        </w:rPr>
        <w:t>3</w:t>
      </w:r>
      <w:r>
        <w:rPr>
          <w:color w:val="auto"/>
        </w:rPr>
        <w:t>/d；经汇龙镇有一北西-南东向条带，含水层厚度一般小于30m，颗粒较细，单井涌水量1000~2000m</w:t>
      </w:r>
      <w:r>
        <w:rPr>
          <w:color w:val="auto"/>
          <w:vertAlign w:val="superscript"/>
        </w:rPr>
        <w:t>3</w:t>
      </w:r>
      <w:r>
        <w:rPr>
          <w:color w:val="auto"/>
        </w:rPr>
        <w:t>/d；其余地段，在含水层厚度及颗粒粗细方面均介于上述两者之间，单井涌水量一般2000~3000m</w:t>
      </w:r>
      <w:r>
        <w:rPr>
          <w:color w:val="auto"/>
          <w:vertAlign w:val="superscript"/>
        </w:rPr>
        <w:t>3</w:t>
      </w:r>
      <w:r>
        <w:rPr>
          <w:color w:val="auto"/>
        </w:rPr>
        <w:t>/d。</w:t>
      </w:r>
    </w:p>
    <w:p w14:paraId="4898296A">
      <w:pPr>
        <w:ind w:firstLine="480"/>
        <w:rPr>
          <w:color w:val="auto"/>
        </w:rPr>
      </w:pPr>
      <w:r>
        <w:rPr>
          <w:color w:val="auto"/>
        </w:rPr>
        <w:t>含水层的埋藏深度，中部及南部大部分地区顶板埋深一般200~220m，北部吕四、聚阳等地大于220m；东南部东海、寅阳以东滨海地带埋深小于200m。</w:t>
      </w:r>
    </w:p>
    <w:p w14:paraId="1079A911">
      <w:pPr>
        <w:ind w:firstLine="480"/>
        <w:rPr>
          <w:color w:val="auto"/>
        </w:rPr>
      </w:pPr>
      <w:r>
        <w:rPr>
          <w:color w:val="auto"/>
        </w:rPr>
        <w:t>地下水的水位，据以往资料，原先在沿海大洋港、东元及向阳一带，承压水头曾高出地表而自流，截止2008年底，水位已普遍下降到20~30m，并已形成统一的区域性水位降深漏斗，最深大于34m，吕四镇25~32m。</w:t>
      </w:r>
    </w:p>
    <w:p w14:paraId="2657B7AF">
      <w:pPr>
        <w:ind w:firstLine="482"/>
        <w:rPr>
          <w:b/>
          <w:bCs/>
          <w:color w:val="auto"/>
        </w:rPr>
      </w:pPr>
      <w:r>
        <w:rPr>
          <w:b/>
          <w:bCs/>
          <w:color w:val="auto"/>
        </w:rPr>
        <w:t>(5)第Ⅳ承压含水层(组)：</w:t>
      </w:r>
    </w:p>
    <w:p w14:paraId="0E2E8B7F">
      <w:pPr>
        <w:ind w:firstLine="480"/>
        <w:rPr>
          <w:color w:val="auto"/>
        </w:rPr>
      </w:pPr>
      <w:r>
        <w:rPr>
          <w:color w:val="auto"/>
        </w:rPr>
        <w:t>该含水层主要由新第三系(N</w:t>
      </w:r>
      <w:r>
        <w:rPr>
          <w:color w:val="auto"/>
          <w:vertAlign w:val="subscript"/>
        </w:rPr>
        <w:t>2</w:t>
      </w:r>
      <w:r>
        <w:rPr>
          <w:color w:val="auto"/>
        </w:rPr>
        <w:t>)组成，在启东茅家港、秦潭、石堤、近海等地有所分布。岩性以河湖相中细砂、粗砂、含砾中粗砂为主，有少量卵石层及细砂、粉细砂层，夹粉土薄层，偶含炭化木及有机质残骸。沉积物上细下粗，一般可分为2~4个含水砂层，单层厚5~17m。砂层分选性较好，局部呈半胶结状。</w:t>
      </w:r>
    </w:p>
    <w:p w14:paraId="2AAA2F3A">
      <w:pPr>
        <w:ind w:firstLine="480"/>
        <w:rPr>
          <w:color w:val="auto"/>
        </w:rPr>
      </w:pPr>
      <w:r>
        <w:rPr>
          <w:color w:val="auto"/>
        </w:rPr>
        <w:t>含水层埋深312~357m，总厚度一般可达20~30m，部分地段该含水层缺失。它的顶板和底板为粘土和粉质粘土，厚度一般达30~50m，隔水性能良好。其颜色比Q</w:t>
      </w:r>
      <w:r>
        <w:rPr>
          <w:color w:val="auto"/>
          <w:vertAlign w:val="subscript"/>
        </w:rPr>
        <w:t>1</w:t>
      </w:r>
      <w:r>
        <w:rPr>
          <w:color w:val="auto"/>
        </w:rPr>
        <w:t>的粘性土要深。含铁锰结核大而多，局部集中，多光滑裂面，局部胶结半成岩。</w:t>
      </w:r>
    </w:p>
    <w:p w14:paraId="5DE27E5D">
      <w:pPr>
        <w:ind w:firstLine="480"/>
        <w:rPr>
          <w:color w:val="auto"/>
        </w:rPr>
      </w:pPr>
      <w:r>
        <w:rPr>
          <w:color w:val="auto"/>
        </w:rPr>
        <w:t>含水砂层结构较松散，富水性较好，单井涌水量一般达1500m</w:t>
      </w:r>
      <w:r>
        <w:rPr>
          <w:color w:val="auto"/>
          <w:vertAlign w:val="superscript"/>
        </w:rPr>
        <w:t>3</w:t>
      </w:r>
      <w:r>
        <w:rPr>
          <w:color w:val="auto"/>
        </w:rPr>
        <w:t>/d左右，水位埋深19.70~24.20m之间。水质一般较好，矿化度0.80~1.69g/L，水化学类型为HCO</w:t>
      </w:r>
      <w:r>
        <w:rPr>
          <w:color w:val="auto"/>
          <w:vertAlign w:val="subscript"/>
        </w:rPr>
        <w:t>3</w:t>
      </w:r>
      <w:r>
        <w:rPr>
          <w:color w:val="auto"/>
        </w:rPr>
        <w:t>-Na·Ca和HCO</w:t>
      </w:r>
      <w:r>
        <w:rPr>
          <w:color w:val="auto"/>
          <w:vertAlign w:val="subscript"/>
        </w:rPr>
        <w:t>3</w:t>
      </w:r>
      <w:r>
        <w:rPr>
          <w:color w:val="auto"/>
        </w:rPr>
        <w:t>-Na型。</w:t>
      </w:r>
    </w:p>
    <w:p w14:paraId="55169BC3">
      <w:pPr>
        <w:pStyle w:val="5"/>
        <w:spacing w:before="156"/>
        <w:rPr>
          <w:color w:val="auto"/>
        </w:rPr>
      </w:pPr>
      <w:r>
        <w:rPr>
          <w:rFonts w:hint="eastAsia"/>
          <w:color w:val="auto"/>
        </w:rPr>
        <w:t>6.5.2.2地下水补给、径流、排泄条件</w:t>
      </w:r>
    </w:p>
    <w:p w14:paraId="5F6269D8">
      <w:pPr>
        <w:ind w:firstLine="480"/>
        <w:rPr>
          <w:color w:val="auto"/>
        </w:rPr>
      </w:pPr>
      <w:r>
        <w:rPr>
          <w:color w:val="auto"/>
        </w:rPr>
        <w:t>区内地下水按水力特征可分为潜水与承压水，二者具有完全不同的补给、</w:t>
      </w:r>
      <w:r>
        <w:rPr>
          <w:rFonts w:hint="eastAsia"/>
          <w:color w:val="auto"/>
        </w:rPr>
        <w:t>径</w:t>
      </w:r>
      <w:r>
        <w:rPr>
          <w:color w:val="auto"/>
        </w:rPr>
        <w:t>流、排泄条件。</w:t>
      </w:r>
    </w:p>
    <w:p w14:paraId="5D8373C9">
      <w:pPr>
        <w:ind w:firstLine="482"/>
        <w:rPr>
          <w:b/>
          <w:bCs/>
          <w:color w:val="auto"/>
        </w:rPr>
      </w:pPr>
      <w:r>
        <w:rPr>
          <w:b/>
          <w:bCs/>
          <w:color w:val="auto"/>
        </w:rPr>
        <w:t>(1)潜水含水层</w:t>
      </w:r>
    </w:p>
    <w:p w14:paraId="16FDCA93">
      <w:pPr>
        <w:ind w:firstLine="480"/>
        <w:rPr>
          <w:color w:val="auto"/>
        </w:rPr>
      </w:pPr>
      <w:r>
        <w:rPr>
          <w:color w:val="auto"/>
        </w:rPr>
        <w:t>区域内潜水含水层补给源主要有3种方式：</w:t>
      </w:r>
      <w:r>
        <w:rPr>
          <w:rFonts w:ascii="Cambria Math" w:hAnsi="Cambria Math" w:cs="Cambria Math"/>
          <w:color w:val="auto"/>
        </w:rPr>
        <w:t>①</w:t>
      </w:r>
      <w:r>
        <w:rPr>
          <w:color w:val="auto"/>
        </w:rPr>
        <w:t>区内地域平坦、气候温湿、雨量充沛、潜水位埋藏浅，有利于接受降水补给。因此，大气降水垂直入渗补给是潜水含水层主要的补给源；</w:t>
      </w:r>
      <w:r>
        <w:rPr>
          <w:rFonts w:ascii="Cambria Math" w:hAnsi="Cambria Math" w:cs="Cambria Math"/>
          <w:color w:val="auto"/>
        </w:rPr>
        <w:t>②</w:t>
      </w:r>
      <w:r>
        <w:rPr>
          <w:color w:val="auto"/>
        </w:rPr>
        <w:t>长江沿岸及河渠两侧，大多数地段潜水位介于高、低潮位之间，两者水力联系极为密切，高潮位时，潜水位含水层迅速接受地表水体的侧向径流补给；</w:t>
      </w:r>
      <w:r>
        <w:rPr>
          <w:rFonts w:ascii="Cambria Math" w:hAnsi="Cambria Math" w:cs="Cambria Math"/>
          <w:color w:val="auto"/>
        </w:rPr>
        <w:t>③</w:t>
      </w:r>
      <w:r>
        <w:rPr>
          <w:color w:val="auto"/>
        </w:rPr>
        <w:t>区内农灌期，抽取地表水体进行大面积农田灌溉，潜水含水层接受农田水回灌入渗补给。</w:t>
      </w:r>
    </w:p>
    <w:p w14:paraId="21513A1A">
      <w:pPr>
        <w:ind w:firstLine="480"/>
        <w:rPr>
          <w:color w:val="auto"/>
        </w:rPr>
      </w:pPr>
      <w:r>
        <w:rPr>
          <w:color w:val="auto"/>
        </w:rPr>
        <w:t>区内潜水的径流条件除受地形高低制约外，还受到土层结构及地表水体影响。区内由于地形平坦，河渠纵横交错，土层结构复杂，因此潜水径流条件也极为复杂。研究区内潜水径流途径短，接受补给后就地泄入长江、黄海。</w:t>
      </w:r>
    </w:p>
    <w:p w14:paraId="442EC2F9">
      <w:pPr>
        <w:ind w:firstLine="480"/>
        <w:rPr>
          <w:color w:val="auto"/>
        </w:rPr>
      </w:pPr>
      <w:r>
        <w:rPr>
          <w:color w:val="auto"/>
        </w:rPr>
        <w:t>研究区内潜水含水层排泄主要方式有4种：</w:t>
      </w:r>
      <w:r>
        <w:rPr>
          <w:rFonts w:ascii="Cambria Math" w:hAnsi="Cambria Math" w:cs="Cambria Math"/>
          <w:color w:val="auto"/>
        </w:rPr>
        <w:t>①</w:t>
      </w:r>
      <w:r>
        <w:rPr>
          <w:color w:val="auto"/>
        </w:rPr>
        <w:t>泄入地表水体，不管是丰水期、枯水期，潜水都有向地表水体排泄，仅是排泄方式的差异(自然排泄或人工排泄)，所以向地表水体排泄是潜水含水层排泄的主要方式之一；</w:t>
      </w:r>
      <w:r>
        <w:rPr>
          <w:rFonts w:ascii="Cambria Math" w:hAnsi="Cambria Math" w:cs="Cambria Math"/>
          <w:color w:val="auto"/>
        </w:rPr>
        <w:t>②</w:t>
      </w:r>
      <w:r>
        <w:rPr>
          <w:color w:val="auto"/>
        </w:rPr>
        <w:t>蒸腾、蒸发；区内农作物、植被较发育，由于潜水位埋藏较浅，因此植物蒸腾、地面蒸发也是潜水含水层排泄的主要方式；</w:t>
      </w:r>
      <w:r>
        <w:rPr>
          <w:rFonts w:ascii="Cambria Math" w:hAnsi="Cambria Math" w:cs="Cambria Math"/>
          <w:color w:val="auto"/>
        </w:rPr>
        <w:t>③</w:t>
      </w:r>
      <w:r>
        <w:rPr>
          <w:color w:val="auto"/>
        </w:rPr>
        <w:t>民井开采：区内民井星罗棋布，在农村几乎家家都有民井，虽然饮用水多为自来水，但是据本次调查，民井也多用于除饮用之外的其他生活用途，甚至进行小范围地表灌溉。</w:t>
      </w:r>
      <w:r>
        <w:rPr>
          <w:rFonts w:ascii="Cambria Math" w:hAnsi="Cambria Math" w:cs="Cambria Math"/>
          <w:color w:val="auto"/>
        </w:rPr>
        <w:t>④</w:t>
      </w:r>
      <w:r>
        <w:rPr>
          <w:color w:val="auto"/>
        </w:rPr>
        <w:t>越流补给Ⅰ承压水：由于Ⅰ承压水的开采，Ⅰ承压水位下降，形成一定的降落漏斗，潜水位高于Ⅰ承压水位，且Ⅰ承压隔水顶板隔水性一般，因此少量潜水越流入渗补给Ⅰ承压水含水层。</w:t>
      </w:r>
    </w:p>
    <w:p w14:paraId="50FAA7E4">
      <w:pPr>
        <w:ind w:firstLine="482"/>
        <w:rPr>
          <w:b/>
          <w:bCs/>
          <w:color w:val="auto"/>
        </w:rPr>
      </w:pPr>
      <w:r>
        <w:rPr>
          <w:b/>
          <w:bCs/>
          <w:color w:val="auto"/>
        </w:rPr>
        <w:t>(2)第Ⅰ承压含水层</w:t>
      </w:r>
    </w:p>
    <w:p w14:paraId="3B07C313">
      <w:pPr>
        <w:ind w:firstLine="480"/>
        <w:rPr>
          <w:color w:val="auto"/>
        </w:rPr>
      </w:pPr>
      <w:r>
        <w:rPr>
          <w:color w:val="auto"/>
        </w:rPr>
        <w:t>第Ⅰ承压含水层主要是在开采条件下接受补给，其补给源主要为潜水渗漏、越流深入补给及长江水激化侧向补给。</w:t>
      </w:r>
    </w:p>
    <w:p w14:paraId="33D3834C">
      <w:pPr>
        <w:ind w:firstLine="480"/>
        <w:rPr>
          <w:color w:val="auto"/>
        </w:rPr>
      </w:pPr>
      <w:r>
        <w:rPr>
          <w:color w:val="auto"/>
        </w:rPr>
        <w:t>隔水顶板为亚砂土、粉砂夹薄层亚粘土，形成统一水体，其余地段，也是弱隔水层，因此潜水可以通过渗漏或越流形式补给给Ⅰ承压水。Ⅰ承压水水位年变幅不大，一般小于2m。不同于潜水的是因为夏季集中开采，Ⅰ承压水位最深。但总的规律与潜水、江水位同步升级，说明三者水力联系密切。</w:t>
      </w:r>
    </w:p>
    <w:p w14:paraId="5460DAD1">
      <w:pPr>
        <w:ind w:firstLine="480"/>
        <w:rPr>
          <w:color w:val="auto"/>
        </w:rPr>
      </w:pPr>
      <w:r>
        <w:rPr>
          <w:color w:val="auto"/>
        </w:rPr>
        <w:t>长江水的激化侧向补给。长江切割较深，水深一般20-50m，加之江水量大，所以在开采条件下长江水成为沿江一带Ⅰ承压含水层的主要补给来源。</w:t>
      </w:r>
    </w:p>
    <w:p w14:paraId="22B76675">
      <w:pPr>
        <w:ind w:firstLine="480"/>
        <w:rPr>
          <w:color w:val="auto"/>
        </w:rPr>
      </w:pPr>
      <w:r>
        <w:rPr>
          <w:color w:val="auto"/>
        </w:rPr>
        <w:t>Ⅰ承压水在开采条件下径流有2种方式：一是水平径流，由四周向开采漏斗中心流动；二是垂向径流，上部潜水垂直向本层入渗，本层水或接受或越流入渗下层含水层。</w:t>
      </w:r>
    </w:p>
    <w:p w14:paraId="70E26ADF">
      <w:pPr>
        <w:ind w:firstLine="480"/>
        <w:rPr>
          <w:color w:val="auto"/>
        </w:rPr>
      </w:pPr>
      <w:r>
        <w:rPr>
          <w:color w:val="auto"/>
        </w:rPr>
        <w:t>Ⅰ承压水排泄途径主要是人工开采，其次是越流入渗下层含水层。</w:t>
      </w:r>
    </w:p>
    <w:p w14:paraId="392ADB15">
      <w:pPr>
        <w:ind w:firstLine="482"/>
        <w:rPr>
          <w:b/>
          <w:bCs/>
          <w:color w:val="auto"/>
        </w:rPr>
      </w:pPr>
      <w:r>
        <w:rPr>
          <w:b/>
          <w:bCs/>
          <w:color w:val="auto"/>
        </w:rPr>
        <w:t>(3)第Ⅱ承压含水层</w:t>
      </w:r>
    </w:p>
    <w:p w14:paraId="3C238806">
      <w:pPr>
        <w:ind w:firstLine="480"/>
        <w:rPr>
          <w:color w:val="auto"/>
        </w:rPr>
      </w:pPr>
      <w:r>
        <w:rPr>
          <w:color w:val="auto"/>
        </w:rPr>
        <w:t>区内含水层组分布比较稳定，顶底板隔水性相对较好，该层水除海安西北部和任港-平湖及新开以南沿江地段为淡水微咸水，其余皆为半咸水、咸水，因此一般不用作开采。其水力联系与外界联系不强，接受补给较少，但由于Ⅲ承压含水层的大量开采，垂向越流入渗补给Ⅲ承压含水层成了该层含水层的主要排泄方式和径流方式。</w:t>
      </w:r>
    </w:p>
    <w:p w14:paraId="3A262E63">
      <w:pPr>
        <w:ind w:firstLine="482"/>
        <w:rPr>
          <w:b/>
          <w:bCs/>
          <w:color w:val="auto"/>
        </w:rPr>
      </w:pPr>
      <w:r>
        <w:rPr>
          <w:b/>
          <w:bCs/>
          <w:color w:val="auto"/>
        </w:rPr>
        <w:t>(4)第Ⅲ承压含水层</w:t>
      </w:r>
    </w:p>
    <w:p w14:paraId="65CE6E7E">
      <w:pPr>
        <w:ind w:firstLine="480"/>
        <w:rPr>
          <w:color w:val="auto"/>
        </w:rPr>
      </w:pPr>
      <w:r>
        <w:rPr>
          <w:color w:val="auto"/>
        </w:rPr>
        <w:t>该层含水层补给来源，主要是以砂粘土弹性释水与粘性土层塑性释水形式，消耗含水系统本身贮存的水量。在开采条件下，深层承压水的主要来源是消耗本身的贮存量，即为弹性释水量与塑性释水量。塑性释水是由于过量开采易产生水头差，在水力梯度作用下，粘性土中水向含水层释水，其释出水的体积相当于土体的体积减少值。由于粘性土释水，会降低土中孔隙水的压力，造成土体压密，引起地面沉降。</w:t>
      </w:r>
    </w:p>
    <w:p w14:paraId="3B71D282">
      <w:pPr>
        <w:ind w:firstLine="480"/>
        <w:rPr>
          <w:color w:val="auto"/>
        </w:rPr>
      </w:pPr>
      <w:r>
        <w:rPr>
          <w:color w:val="auto"/>
        </w:rPr>
        <w:t>Ⅲ承压水的运动主要是漏斗边缘向漏斗中心流动。由于Ⅲ承压含水层向海域方向延伸，因此在开采条件下也可以一定量邻区(海域部分)含水系统本身的径流补给。其排泄途径主要是人工开采。</w:t>
      </w:r>
    </w:p>
    <w:p w14:paraId="18A58CF0">
      <w:pPr>
        <w:pStyle w:val="5"/>
        <w:spacing w:before="156"/>
        <w:rPr>
          <w:color w:val="auto"/>
        </w:rPr>
      </w:pPr>
      <w:r>
        <w:rPr>
          <w:rFonts w:hint="eastAsia"/>
          <w:color w:val="auto"/>
        </w:rPr>
        <w:t>6.5.2.3地下水动态特征</w:t>
      </w:r>
    </w:p>
    <w:p w14:paraId="221C8026">
      <w:pPr>
        <w:ind w:firstLine="480"/>
        <w:rPr>
          <w:color w:val="auto"/>
        </w:rPr>
      </w:pPr>
      <w:r>
        <w:rPr>
          <w:color w:val="auto"/>
        </w:rPr>
        <w:t>潜水水质由于受到全新世海侵的影响，水中含盐卤量较高。潜水含水层水位动态多年相对稳定。潜水含水层水位年内动态主要受降雨和蒸发影响，枯水期(1-3月)水位埋深大，即水位标高低，水位出现低值；丰水期(6-9月)，水位埋深最浅，即水位标高高，水位出现高值。4～6月份水位埋深的下降速率明显比9~11月份水位埋深上升速率要快，即说明在丰水期，潜水迅速接受大气降水的入渗补给，略有滞后。丰水期过后，潜水位一般高于河水位，潜水缓慢排入地表水体，最终汇入长江。</w:t>
      </w:r>
    </w:p>
    <w:p w14:paraId="3A6CE4AF">
      <w:pPr>
        <w:ind w:firstLine="480"/>
        <w:rPr>
          <w:color w:val="auto"/>
        </w:rPr>
      </w:pPr>
      <w:r>
        <w:rPr>
          <w:color w:val="auto"/>
        </w:rPr>
        <w:t>Ⅰ承压含水层组与潜水含水层水力联系较差，同时在近江边又可直接接受长江水的补给，补给量充足，其水位主要受开采强度的影响。反映在每年的8、9月份，水位埋深最深，即是水位的最低值，这是由于夏季是Ⅰ承压水开采强度最大的时期，随后开采量锐减，水位能得到较快的回升，一般可回升至近上半年的水平。水位动态埋深曲线类型呈明显的单峰曲线，峰值出现在夏季。</w:t>
      </w:r>
    </w:p>
    <w:p w14:paraId="7E8DCDDC">
      <w:pPr>
        <w:pStyle w:val="5"/>
        <w:spacing w:before="156"/>
        <w:rPr>
          <w:color w:val="auto"/>
        </w:rPr>
      </w:pPr>
      <w:r>
        <w:rPr>
          <w:rFonts w:hint="eastAsia"/>
          <w:color w:val="auto"/>
        </w:rPr>
        <w:t>6.5.2.4地表水地下水之间的水力联系</w:t>
      </w:r>
    </w:p>
    <w:p w14:paraId="211F6B48">
      <w:pPr>
        <w:ind w:firstLine="480"/>
        <w:rPr>
          <w:color w:val="auto"/>
        </w:rPr>
      </w:pPr>
      <w:r>
        <w:rPr>
          <w:color w:val="auto"/>
        </w:rPr>
        <w:t>本区孔隙潜水含水层，因埋深浅、临近地表、分布广泛、地域开阔、气候湿润、降水充沛，与地表水关系十分密切，两者呈互补关系。汛期地表水高水位时期，由地表水补给潜水，而枯水期低水位时期则地表水接受潜水侧向径流排泄补给。</w:t>
      </w:r>
    </w:p>
    <w:p w14:paraId="4D637475">
      <w:pPr>
        <w:ind w:firstLine="480"/>
        <w:rPr>
          <w:color w:val="auto"/>
        </w:rPr>
      </w:pPr>
      <w:r>
        <w:rPr>
          <w:color w:val="auto"/>
        </w:rPr>
        <w:t>承压含水层的补给、径流、排泄条件相对比较复杂，它受含水层埋藏条件、岩性、隔水层的隔水性质和承压水位动态的变化控制，它的补给、径流、排泄条件相对比较复杂。在本区内存在较为稳定的厚层粉质粘土及粘性土隔水层，因此地表水与承压含水层间水力联系较差，仅在第I承压含水层隔水顶板较薄且靠近地表时才会有稍强越流情况，与地表水产生间接的微弱水力联系。</w:t>
      </w:r>
    </w:p>
    <w:p w14:paraId="7B779B65">
      <w:pPr>
        <w:pStyle w:val="4"/>
        <w:rPr>
          <w:color w:val="auto"/>
        </w:rPr>
      </w:pPr>
      <w:bookmarkStart w:id="221" w:name="_Toc32130"/>
      <w:r>
        <w:rPr>
          <w:rFonts w:hint="eastAsia"/>
          <w:color w:val="auto"/>
        </w:rPr>
        <w:t>6.5.3水文地质现场测试及参数确定</w:t>
      </w:r>
      <w:bookmarkEnd w:id="221"/>
    </w:p>
    <w:p w14:paraId="36916B4D">
      <w:pPr>
        <w:pStyle w:val="5"/>
        <w:spacing w:before="156"/>
        <w:rPr>
          <w:color w:val="auto"/>
        </w:rPr>
      </w:pPr>
      <w:r>
        <w:rPr>
          <w:rFonts w:hint="eastAsia"/>
          <w:color w:val="auto"/>
        </w:rPr>
        <w:t>6.5.3.1渗透系数确定</w:t>
      </w:r>
    </w:p>
    <w:p w14:paraId="03CE3B53">
      <w:pPr>
        <w:ind w:firstLine="480"/>
        <w:rPr>
          <w:color w:val="auto"/>
        </w:rPr>
      </w:pPr>
      <w:r>
        <w:rPr>
          <w:color w:val="auto"/>
        </w:rPr>
        <w:t>根据</w:t>
      </w:r>
      <w:r>
        <w:rPr>
          <w:rFonts w:hint="eastAsia"/>
          <w:color w:val="auto"/>
        </w:rPr>
        <w:t>项目所在地</w:t>
      </w:r>
      <w:r>
        <w:rPr>
          <w:color w:val="auto"/>
        </w:rPr>
        <w:t>双环渗水试验结果</w:t>
      </w:r>
      <w:r>
        <w:rPr>
          <w:rFonts w:hint="eastAsia"/>
          <w:color w:val="auto"/>
        </w:rPr>
        <w:t>，</w:t>
      </w:r>
      <w:r>
        <w:rPr>
          <w:color w:val="auto"/>
        </w:rPr>
        <w:t>得出渗透系数为0.069m/d。</w:t>
      </w:r>
    </w:p>
    <w:p w14:paraId="19C6842B">
      <w:pPr>
        <w:pStyle w:val="5"/>
        <w:spacing w:before="156"/>
        <w:rPr>
          <w:color w:val="auto"/>
        </w:rPr>
      </w:pPr>
      <w:r>
        <w:rPr>
          <w:rFonts w:hint="eastAsia"/>
          <w:color w:val="auto"/>
        </w:rPr>
        <w:t>6.5.3.2水力坡度的确定</w:t>
      </w:r>
    </w:p>
    <w:p w14:paraId="6FC9351E">
      <w:pPr>
        <w:ind w:firstLine="480"/>
        <w:rPr>
          <w:color w:val="auto"/>
        </w:rPr>
      </w:pPr>
      <w:r>
        <w:rPr>
          <w:color w:val="auto"/>
        </w:rPr>
        <w:t>根据园区规划环评数据，场地水力坡度1.5%</w:t>
      </w:r>
      <w:r>
        <w:rPr>
          <w:rFonts w:hint="eastAsia"/>
          <w:color w:val="auto"/>
        </w:rPr>
        <w:t>。</w:t>
      </w:r>
    </w:p>
    <w:p w14:paraId="1507B564">
      <w:pPr>
        <w:pStyle w:val="5"/>
        <w:spacing w:before="156"/>
        <w:rPr>
          <w:color w:val="auto"/>
        </w:rPr>
      </w:pPr>
      <w:r>
        <w:rPr>
          <w:rFonts w:hint="eastAsia"/>
          <w:color w:val="auto"/>
        </w:rPr>
        <w:t>6.5.3.3孔隙度的确定</w:t>
      </w:r>
    </w:p>
    <w:p w14:paraId="63C6699C">
      <w:pPr>
        <w:ind w:firstLine="480"/>
        <w:rPr>
          <w:color w:val="auto"/>
        </w:rPr>
      </w:pPr>
      <w:r>
        <w:rPr>
          <w:color w:val="auto"/>
        </w:rPr>
        <w:t>岩石和土壤孔隙度的大小与颗粒的排列方式、颗粒大小、分选性、颗粒形状以及胶结程度有关，不同岩性孔隙度大小见表6.5.3-1。研究区的岩性主要为粉土，孔隙度取值为0.4。</w:t>
      </w:r>
    </w:p>
    <w:p w14:paraId="4DCE6CEC">
      <w:pPr>
        <w:ind w:firstLine="482"/>
        <w:jc w:val="center"/>
        <w:rPr>
          <w:b/>
          <w:color w:val="auto"/>
        </w:rPr>
      </w:pPr>
      <w:r>
        <w:rPr>
          <w:b/>
          <w:color w:val="auto"/>
        </w:rPr>
        <w:t>表6.5.3-1 松散岩石孔隙度参考值(据弗里泽，1987)</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59"/>
        <w:gridCol w:w="1873"/>
        <w:gridCol w:w="1084"/>
        <w:gridCol w:w="1871"/>
        <w:gridCol w:w="1638"/>
        <w:gridCol w:w="1869"/>
      </w:tblGrid>
      <w:tr w14:paraId="18518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01" w:type="pct"/>
            <w:vAlign w:val="center"/>
          </w:tcPr>
          <w:p w14:paraId="03357F1E">
            <w:pPr>
              <w:spacing w:line="240" w:lineRule="auto"/>
              <w:ind w:firstLine="0" w:firstLineChars="0"/>
              <w:jc w:val="center"/>
              <w:rPr>
                <w:b/>
                <w:color w:val="auto"/>
                <w:sz w:val="21"/>
                <w:szCs w:val="21"/>
              </w:rPr>
            </w:pPr>
            <w:r>
              <w:rPr>
                <w:b/>
                <w:color w:val="auto"/>
                <w:sz w:val="21"/>
                <w:szCs w:val="21"/>
              </w:rPr>
              <w:t>松散岩体</w:t>
            </w:r>
          </w:p>
        </w:tc>
        <w:tc>
          <w:tcPr>
            <w:tcW w:w="966" w:type="pct"/>
            <w:vAlign w:val="center"/>
          </w:tcPr>
          <w:p w14:paraId="365A4C29">
            <w:pPr>
              <w:spacing w:line="240" w:lineRule="auto"/>
              <w:ind w:firstLine="0" w:firstLineChars="0"/>
              <w:jc w:val="center"/>
              <w:rPr>
                <w:b/>
                <w:color w:val="auto"/>
                <w:sz w:val="21"/>
                <w:szCs w:val="21"/>
              </w:rPr>
            </w:pPr>
            <w:r>
              <w:rPr>
                <w:b/>
                <w:color w:val="auto"/>
                <w:sz w:val="21"/>
                <w:szCs w:val="21"/>
              </w:rPr>
              <w:t>孔隙度(%)</w:t>
            </w:r>
          </w:p>
        </w:tc>
        <w:tc>
          <w:tcPr>
            <w:tcW w:w="559" w:type="pct"/>
            <w:vAlign w:val="center"/>
          </w:tcPr>
          <w:p w14:paraId="41288575">
            <w:pPr>
              <w:spacing w:line="240" w:lineRule="auto"/>
              <w:ind w:firstLine="0" w:firstLineChars="0"/>
              <w:jc w:val="center"/>
              <w:rPr>
                <w:b/>
                <w:color w:val="auto"/>
                <w:sz w:val="21"/>
                <w:szCs w:val="21"/>
              </w:rPr>
            </w:pPr>
            <w:r>
              <w:rPr>
                <w:b/>
                <w:color w:val="auto"/>
                <w:sz w:val="21"/>
                <w:szCs w:val="21"/>
              </w:rPr>
              <w:t>沉积岩</w:t>
            </w:r>
          </w:p>
        </w:tc>
        <w:tc>
          <w:tcPr>
            <w:tcW w:w="965" w:type="pct"/>
            <w:vAlign w:val="center"/>
          </w:tcPr>
          <w:p w14:paraId="4A94ABB3">
            <w:pPr>
              <w:spacing w:line="240" w:lineRule="auto"/>
              <w:ind w:firstLine="0" w:firstLineChars="0"/>
              <w:jc w:val="center"/>
              <w:rPr>
                <w:b/>
                <w:color w:val="auto"/>
                <w:sz w:val="21"/>
                <w:szCs w:val="21"/>
              </w:rPr>
            </w:pPr>
            <w:r>
              <w:rPr>
                <w:b/>
                <w:color w:val="auto"/>
                <w:sz w:val="21"/>
                <w:szCs w:val="21"/>
              </w:rPr>
              <w:t>孔隙度(%)</w:t>
            </w:r>
          </w:p>
        </w:tc>
        <w:tc>
          <w:tcPr>
            <w:tcW w:w="845" w:type="pct"/>
            <w:vAlign w:val="center"/>
          </w:tcPr>
          <w:p w14:paraId="448BD5D5">
            <w:pPr>
              <w:spacing w:line="240" w:lineRule="auto"/>
              <w:ind w:firstLine="0" w:firstLineChars="0"/>
              <w:jc w:val="center"/>
              <w:rPr>
                <w:b/>
                <w:color w:val="auto"/>
                <w:sz w:val="21"/>
                <w:szCs w:val="21"/>
              </w:rPr>
            </w:pPr>
            <w:r>
              <w:rPr>
                <w:b/>
                <w:color w:val="auto"/>
                <w:sz w:val="21"/>
                <w:szCs w:val="21"/>
              </w:rPr>
              <w:t>结晶岩</w:t>
            </w:r>
          </w:p>
        </w:tc>
        <w:tc>
          <w:tcPr>
            <w:tcW w:w="964" w:type="pct"/>
            <w:vAlign w:val="center"/>
          </w:tcPr>
          <w:p w14:paraId="4397241F">
            <w:pPr>
              <w:spacing w:line="240" w:lineRule="auto"/>
              <w:ind w:firstLine="0" w:firstLineChars="0"/>
              <w:jc w:val="center"/>
              <w:rPr>
                <w:b/>
                <w:color w:val="auto"/>
                <w:sz w:val="21"/>
                <w:szCs w:val="21"/>
              </w:rPr>
            </w:pPr>
            <w:r>
              <w:rPr>
                <w:b/>
                <w:color w:val="auto"/>
                <w:sz w:val="21"/>
                <w:szCs w:val="21"/>
              </w:rPr>
              <w:t>孔隙度(%)</w:t>
            </w:r>
          </w:p>
        </w:tc>
      </w:tr>
      <w:tr w14:paraId="42BB1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01" w:type="pct"/>
            <w:vAlign w:val="center"/>
          </w:tcPr>
          <w:p w14:paraId="0ACD51E8">
            <w:pPr>
              <w:spacing w:line="240" w:lineRule="auto"/>
              <w:ind w:firstLine="0" w:firstLineChars="0"/>
              <w:jc w:val="center"/>
              <w:rPr>
                <w:color w:val="auto"/>
                <w:sz w:val="21"/>
                <w:szCs w:val="21"/>
              </w:rPr>
            </w:pPr>
            <w:r>
              <w:rPr>
                <w:color w:val="auto"/>
                <w:sz w:val="21"/>
                <w:szCs w:val="21"/>
              </w:rPr>
              <w:t>粗砾</w:t>
            </w:r>
          </w:p>
        </w:tc>
        <w:tc>
          <w:tcPr>
            <w:tcW w:w="966" w:type="pct"/>
            <w:vAlign w:val="center"/>
          </w:tcPr>
          <w:p w14:paraId="01CBF505">
            <w:pPr>
              <w:spacing w:line="240" w:lineRule="auto"/>
              <w:ind w:firstLine="0" w:firstLineChars="0"/>
              <w:jc w:val="center"/>
              <w:rPr>
                <w:color w:val="auto"/>
                <w:sz w:val="21"/>
                <w:szCs w:val="21"/>
              </w:rPr>
            </w:pPr>
            <w:r>
              <w:rPr>
                <w:color w:val="auto"/>
                <w:sz w:val="21"/>
                <w:szCs w:val="21"/>
              </w:rPr>
              <w:t>24-36</w:t>
            </w:r>
          </w:p>
        </w:tc>
        <w:tc>
          <w:tcPr>
            <w:tcW w:w="559" w:type="pct"/>
            <w:vAlign w:val="center"/>
          </w:tcPr>
          <w:p w14:paraId="08837C17">
            <w:pPr>
              <w:spacing w:line="240" w:lineRule="auto"/>
              <w:ind w:firstLine="0" w:firstLineChars="0"/>
              <w:jc w:val="center"/>
              <w:rPr>
                <w:color w:val="auto"/>
                <w:sz w:val="21"/>
                <w:szCs w:val="21"/>
              </w:rPr>
            </w:pPr>
            <w:r>
              <w:rPr>
                <w:color w:val="auto"/>
                <w:sz w:val="21"/>
                <w:szCs w:val="21"/>
              </w:rPr>
              <w:t>砂岩</w:t>
            </w:r>
          </w:p>
        </w:tc>
        <w:tc>
          <w:tcPr>
            <w:tcW w:w="965" w:type="pct"/>
            <w:vAlign w:val="center"/>
          </w:tcPr>
          <w:p w14:paraId="373C2579">
            <w:pPr>
              <w:spacing w:line="240" w:lineRule="auto"/>
              <w:ind w:firstLine="0" w:firstLineChars="0"/>
              <w:jc w:val="center"/>
              <w:rPr>
                <w:color w:val="auto"/>
                <w:sz w:val="21"/>
                <w:szCs w:val="21"/>
              </w:rPr>
            </w:pPr>
            <w:r>
              <w:rPr>
                <w:color w:val="auto"/>
                <w:sz w:val="21"/>
                <w:szCs w:val="21"/>
              </w:rPr>
              <w:t>5-30</w:t>
            </w:r>
          </w:p>
        </w:tc>
        <w:tc>
          <w:tcPr>
            <w:tcW w:w="845" w:type="pct"/>
            <w:vMerge w:val="restart"/>
            <w:vAlign w:val="center"/>
          </w:tcPr>
          <w:p w14:paraId="19765663">
            <w:pPr>
              <w:spacing w:line="240" w:lineRule="auto"/>
              <w:ind w:firstLine="0" w:firstLineChars="0"/>
              <w:jc w:val="center"/>
              <w:rPr>
                <w:color w:val="auto"/>
                <w:sz w:val="21"/>
                <w:szCs w:val="21"/>
              </w:rPr>
            </w:pPr>
            <w:r>
              <w:rPr>
                <w:color w:val="auto"/>
                <w:sz w:val="21"/>
                <w:szCs w:val="21"/>
              </w:rPr>
              <w:t>裂隙化</w:t>
            </w:r>
          </w:p>
          <w:p w14:paraId="6BDCCA6F">
            <w:pPr>
              <w:spacing w:line="240" w:lineRule="auto"/>
              <w:ind w:firstLine="0" w:firstLineChars="0"/>
              <w:jc w:val="center"/>
              <w:rPr>
                <w:color w:val="auto"/>
                <w:sz w:val="21"/>
                <w:szCs w:val="21"/>
              </w:rPr>
            </w:pPr>
            <w:r>
              <w:rPr>
                <w:color w:val="auto"/>
                <w:sz w:val="21"/>
                <w:szCs w:val="21"/>
              </w:rPr>
              <w:t>结晶岩</w:t>
            </w:r>
          </w:p>
        </w:tc>
        <w:tc>
          <w:tcPr>
            <w:tcW w:w="964" w:type="pct"/>
            <w:vMerge w:val="restart"/>
            <w:vAlign w:val="center"/>
          </w:tcPr>
          <w:p w14:paraId="104F068E">
            <w:pPr>
              <w:spacing w:line="240" w:lineRule="auto"/>
              <w:ind w:firstLine="0" w:firstLineChars="0"/>
              <w:jc w:val="center"/>
              <w:rPr>
                <w:color w:val="auto"/>
                <w:sz w:val="21"/>
                <w:szCs w:val="21"/>
              </w:rPr>
            </w:pPr>
            <w:r>
              <w:rPr>
                <w:color w:val="auto"/>
                <w:sz w:val="21"/>
                <w:szCs w:val="21"/>
              </w:rPr>
              <w:t>0-10</w:t>
            </w:r>
          </w:p>
        </w:tc>
      </w:tr>
      <w:tr w14:paraId="5DAF8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01" w:type="pct"/>
            <w:vAlign w:val="center"/>
          </w:tcPr>
          <w:p w14:paraId="1F62B0A9">
            <w:pPr>
              <w:spacing w:line="240" w:lineRule="auto"/>
              <w:ind w:firstLine="0" w:firstLineChars="0"/>
              <w:jc w:val="center"/>
              <w:rPr>
                <w:color w:val="auto"/>
                <w:sz w:val="21"/>
                <w:szCs w:val="21"/>
              </w:rPr>
            </w:pPr>
            <w:r>
              <w:rPr>
                <w:color w:val="auto"/>
                <w:sz w:val="21"/>
                <w:szCs w:val="21"/>
              </w:rPr>
              <w:t>细砾</w:t>
            </w:r>
          </w:p>
        </w:tc>
        <w:tc>
          <w:tcPr>
            <w:tcW w:w="966" w:type="pct"/>
            <w:vAlign w:val="center"/>
          </w:tcPr>
          <w:p w14:paraId="2820137F">
            <w:pPr>
              <w:spacing w:line="240" w:lineRule="auto"/>
              <w:ind w:firstLine="0" w:firstLineChars="0"/>
              <w:jc w:val="center"/>
              <w:rPr>
                <w:color w:val="auto"/>
                <w:sz w:val="21"/>
                <w:szCs w:val="21"/>
              </w:rPr>
            </w:pPr>
            <w:r>
              <w:rPr>
                <w:color w:val="auto"/>
                <w:sz w:val="21"/>
                <w:szCs w:val="21"/>
              </w:rPr>
              <w:t>25-38</w:t>
            </w:r>
          </w:p>
        </w:tc>
        <w:tc>
          <w:tcPr>
            <w:tcW w:w="559" w:type="pct"/>
            <w:vAlign w:val="center"/>
          </w:tcPr>
          <w:p w14:paraId="7198A947">
            <w:pPr>
              <w:spacing w:line="240" w:lineRule="auto"/>
              <w:ind w:firstLine="0" w:firstLineChars="0"/>
              <w:jc w:val="center"/>
              <w:rPr>
                <w:color w:val="auto"/>
                <w:sz w:val="21"/>
                <w:szCs w:val="21"/>
              </w:rPr>
            </w:pPr>
            <w:r>
              <w:rPr>
                <w:color w:val="auto"/>
                <w:sz w:val="21"/>
                <w:szCs w:val="21"/>
              </w:rPr>
              <w:t>粉砂岩</w:t>
            </w:r>
          </w:p>
        </w:tc>
        <w:tc>
          <w:tcPr>
            <w:tcW w:w="965" w:type="pct"/>
            <w:vAlign w:val="center"/>
          </w:tcPr>
          <w:p w14:paraId="08A30733">
            <w:pPr>
              <w:spacing w:line="240" w:lineRule="auto"/>
              <w:ind w:firstLine="0" w:firstLineChars="0"/>
              <w:jc w:val="center"/>
              <w:rPr>
                <w:color w:val="auto"/>
                <w:sz w:val="21"/>
                <w:szCs w:val="21"/>
              </w:rPr>
            </w:pPr>
            <w:r>
              <w:rPr>
                <w:color w:val="auto"/>
                <w:sz w:val="21"/>
                <w:szCs w:val="21"/>
              </w:rPr>
              <w:t>21-41</w:t>
            </w:r>
          </w:p>
        </w:tc>
        <w:tc>
          <w:tcPr>
            <w:tcW w:w="845" w:type="pct"/>
            <w:vMerge w:val="continue"/>
            <w:vAlign w:val="center"/>
          </w:tcPr>
          <w:p w14:paraId="7157F37C">
            <w:pPr>
              <w:widowControl/>
              <w:spacing w:line="240" w:lineRule="auto"/>
              <w:ind w:firstLine="0" w:firstLineChars="0"/>
              <w:jc w:val="center"/>
              <w:rPr>
                <w:color w:val="auto"/>
                <w:sz w:val="21"/>
                <w:szCs w:val="21"/>
              </w:rPr>
            </w:pPr>
          </w:p>
        </w:tc>
        <w:tc>
          <w:tcPr>
            <w:tcW w:w="964" w:type="pct"/>
            <w:vMerge w:val="continue"/>
            <w:vAlign w:val="center"/>
          </w:tcPr>
          <w:p w14:paraId="5624D295">
            <w:pPr>
              <w:widowControl/>
              <w:spacing w:line="240" w:lineRule="auto"/>
              <w:ind w:firstLine="0" w:firstLineChars="0"/>
              <w:jc w:val="center"/>
              <w:rPr>
                <w:color w:val="auto"/>
                <w:sz w:val="21"/>
                <w:szCs w:val="21"/>
              </w:rPr>
            </w:pPr>
          </w:p>
        </w:tc>
      </w:tr>
      <w:tr w14:paraId="569ED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01" w:type="pct"/>
            <w:vAlign w:val="center"/>
          </w:tcPr>
          <w:p w14:paraId="31AB1EF9">
            <w:pPr>
              <w:spacing w:line="240" w:lineRule="auto"/>
              <w:ind w:firstLine="0" w:firstLineChars="0"/>
              <w:jc w:val="center"/>
              <w:rPr>
                <w:color w:val="auto"/>
                <w:sz w:val="21"/>
                <w:szCs w:val="21"/>
              </w:rPr>
            </w:pPr>
            <w:r>
              <w:rPr>
                <w:color w:val="auto"/>
                <w:sz w:val="21"/>
                <w:szCs w:val="21"/>
              </w:rPr>
              <w:t>粗砂</w:t>
            </w:r>
          </w:p>
        </w:tc>
        <w:tc>
          <w:tcPr>
            <w:tcW w:w="966" w:type="pct"/>
            <w:vAlign w:val="center"/>
          </w:tcPr>
          <w:p w14:paraId="0CCFF27A">
            <w:pPr>
              <w:spacing w:line="240" w:lineRule="auto"/>
              <w:ind w:firstLine="0" w:firstLineChars="0"/>
              <w:jc w:val="center"/>
              <w:rPr>
                <w:color w:val="auto"/>
                <w:sz w:val="21"/>
                <w:szCs w:val="21"/>
              </w:rPr>
            </w:pPr>
            <w:r>
              <w:rPr>
                <w:color w:val="auto"/>
                <w:sz w:val="21"/>
                <w:szCs w:val="21"/>
              </w:rPr>
              <w:t>31-46</w:t>
            </w:r>
          </w:p>
        </w:tc>
        <w:tc>
          <w:tcPr>
            <w:tcW w:w="559" w:type="pct"/>
            <w:vAlign w:val="center"/>
          </w:tcPr>
          <w:p w14:paraId="2095F8C1">
            <w:pPr>
              <w:spacing w:line="240" w:lineRule="auto"/>
              <w:ind w:firstLine="0" w:firstLineChars="0"/>
              <w:jc w:val="center"/>
              <w:rPr>
                <w:color w:val="auto"/>
                <w:sz w:val="21"/>
                <w:szCs w:val="21"/>
              </w:rPr>
            </w:pPr>
            <w:r>
              <w:rPr>
                <w:color w:val="auto"/>
                <w:sz w:val="21"/>
                <w:szCs w:val="21"/>
              </w:rPr>
              <w:t>石灰岩</w:t>
            </w:r>
          </w:p>
        </w:tc>
        <w:tc>
          <w:tcPr>
            <w:tcW w:w="965" w:type="pct"/>
            <w:vAlign w:val="center"/>
          </w:tcPr>
          <w:p w14:paraId="3474D410">
            <w:pPr>
              <w:spacing w:line="240" w:lineRule="auto"/>
              <w:ind w:firstLine="0" w:firstLineChars="0"/>
              <w:jc w:val="center"/>
              <w:rPr>
                <w:color w:val="auto"/>
                <w:sz w:val="21"/>
                <w:szCs w:val="21"/>
              </w:rPr>
            </w:pPr>
            <w:r>
              <w:rPr>
                <w:color w:val="auto"/>
                <w:sz w:val="21"/>
                <w:szCs w:val="21"/>
              </w:rPr>
              <w:t>0-40</w:t>
            </w:r>
          </w:p>
        </w:tc>
        <w:tc>
          <w:tcPr>
            <w:tcW w:w="845" w:type="pct"/>
            <w:vAlign w:val="center"/>
          </w:tcPr>
          <w:p w14:paraId="00F83C63">
            <w:pPr>
              <w:spacing w:line="240" w:lineRule="auto"/>
              <w:ind w:firstLine="0" w:firstLineChars="0"/>
              <w:jc w:val="center"/>
              <w:rPr>
                <w:color w:val="auto"/>
                <w:sz w:val="21"/>
                <w:szCs w:val="21"/>
              </w:rPr>
            </w:pPr>
            <w:r>
              <w:rPr>
                <w:color w:val="auto"/>
                <w:sz w:val="21"/>
                <w:szCs w:val="21"/>
              </w:rPr>
              <w:t>致密结晶岩</w:t>
            </w:r>
          </w:p>
        </w:tc>
        <w:tc>
          <w:tcPr>
            <w:tcW w:w="964" w:type="pct"/>
            <w:vAlign w:val="center"/>
          </w:tcPr>
          <w:p w14:paraId="4E315BE2">
            <w:pPr>
              <w:spacing w:line="240" w:lineRule="auto"/>
              <w:ind w:firstLine="0" w:firstLineChars="0"/>
              <w:jc w:val="center"/>
              <w:rPr>
                <w:color w:val="auto"/>
                <w:sz w:val="21"/>
                <w:szCs w:val="21"/>
              </w:rPr>
            </w:pPr>
            <w:r>
              <w:rPr>
                <w:color w:val="auto"/>
                <w:sz w:val="21"/>
                <w:szCs w:val="21"/>
              </w:rPr>
              <w:t>0-5</w:t>
            </w:r>
          </w:p>
        </w:tc>
      </w:tr>
      <w:tr w14:paraId="4B544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01" w:type="pct"/>
            <w:vAlign w:val="center"/>
          </w:tcPr>
          <w:p w14:paraId="269BADA9">
            <w:pPr>
              <w:spacing w:line="240" w:lineRule="auto"/>
              <w:ind w:firstLine="0" w:firstLineChars="0"/>
              <w:jc w:val="center"/>
              <w:rPr>
                <w:color w:val="auto"/>
                <w:sz w:val="21"/>
                <w:szCs w:val="21"/>
              </w:rPr>
            </w:pPr>
            <w:r>
              <w:rPr>
                <w:color w:val="auto"/>
                <w:sz w:val="21"/>
                <w:szCs w:val="21"/>
              </w:rPr>
              <w:t>细砂</w:t>
            </w:r>
          </w:p>
        </w:tc>
        <w:tc>
          <w:tcPr>
            <w:tcW w:w="966" w:type="pct"/>
            <w:vAlign w:val="center"/>
          </w:tcPr>
          <w:p w14:paraId="3D61EC75">
            <w:pPr>
              <w:spacing w:line="240" w:lineRule="auto"/>
              <w:ind w:firstLine="0" w:firstLineChars="0"/>
              <w:jc w:val="center"/>
              <w:rPr>
                <w:color w:val="auto"/>
                <w:sz w:val="21"/>
                <w:szCs w:val="21"/>
              </w:rPr>
            </w:pPr>
            <w:r>
              <w:rPr>
                <w:color w:val="auto"/>
                <w:sz w:val="21"/>
                <w:szCs w:val="21"/>
              </w:rPr>
              <w:t>26-53</w:t>
            </w:r>
          </w:p>
        </w:tc>
        <w:tc>
          <w:tcPr>
            <w:tcW w:w="559" w:type="pct"/>
            <w:vAlign w:val="center"/>
          </w:tcPr>
          <w:p w14:paraId="70B929F4">
            <w:pPr>
              <w:spacing w:line="240" w:lineRule="auto"/>
              <w:ind w:firstLine="0" w:firstLineChars="0"/>
              <w:jc w:val="center"/>
              <w:rPr>
                <w:color w:val="auto"/>
                <w:sz w:val="21"/>
                <w:szCs w:val="21"/>
              </w:rPr>
            </w:pPr>
            <w:r>
              <w:rPr>
                <w:color w:val="auto"/>
                <w:sz w:val="21"/>
                <w:szCs w:val="21"/>
              </w:rPr>
              <w:t>岩溶</w:t>
            </w:r>
          </w:p>
        </w:tc>
        <w:tc>
          <w:tcPr>
            <w:tcW w:w="965" w:type="pct"/>
            <w:vAlign w:val="center"/>
          </w:tcPr>
          <w:p w14:paraId="0A8B7399">
            <w:pPr>
              <w:spacing w:line="240" w:lineRule="auto"/>
              <w:ind w:firstLine="0" w:firstLineChars="0"/>
              <w:jc w:val="center"/>
              <w:rPr>
                <w:color w:val="auto"/>
                <w:sz w:val="21"/>
                <w:szCs w:val="21"/>
              </w:rPr>
            </w:pPr>
            <w:r>
              <w:rPr>
                <w:color w:val="auto"/>
                <w:sz w:val="21"/>
                <w:szCs w:val="21"/>
              </w:rPr>
              <w:t>0-40</w:t>
            </w:r>
          </w:p>
        </w:tc>
        <w:tc>
          <w:tcPr>
            <w:tcW w:w="845" w:type="pct"/>
            <w:vAlign w:val="center"/>
          </w:tcPr>
          <w:p w14:paraId="22DE7519">
            <w:pPr>
              <w:spacing w:line="240" w:lineRule="auto"/>
              <w:ind w:firstLine="0" w:firstLineChars="0"/>
              <w:jc w:val="center"/>
              <w:rPr>
                <w:color w:val="auto"/>
                <w:sz w:val="21"/>
                <w:szCs w:val="21"/>
              </w:rPr>
            </w:pPr>
            <w:r>
              <w:rPr>
                <w:color w:val="auto"/>
                <w:sz w:val="21"/>
                <w:szCs w:val="21"/>
              </w:rPr>
              <w:t>玄武岩</w:t>
            </w:r>
          </w:p>
        </w:tc>
        <w:tc>
          <w:tcPr>
            <w:tcW w:w="964" w:type="pct"/>
            <w:vAlign w:val="center"/>
          </w:tcPr>
          <w:p w14:paraId="4B3F029E">
            <w:pPr>
              <w:spacing w:line="240" w:lineRule="auto"/>
              <w:ind w:firstLine="0" w:firstLineChars="0"/>
              <w:jc w:val="center"/>
              <w:rPr>
                <w:color w:val="auto"/>
                <w:sz w:val="21"/>
                <w:szCs w:val="21"/>
              </w:rPr>
            </w:pPr>
            <w:r>
              <w:rPr>
                <w:color w:val="auto"/>
                <w:sz w:val="21"/>
                <w:szCs w:val="21"/>
              </w:rPr>
              <w:t>3-35</w:t>
            </w:r>
          </w:p>
        </w:tc>
      </w:tr>
      <w:tr w14:paraId="036DB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01" w:type="pct"/>
            <w:vAlign w:val="center"/>
          </w:tcPr>
          <w:p w14:paraId="7C0C7F2C">
            <w:pPr>
              <w:spacing w:line="240" w:lineRule="auto"/>
              <w:ind w:firstLine="0" w:firstLineChars="0"/>
              <w:jc w:val="center"/>
              <w:rPr>
                <w:color w:val="auto"/>
                <w:sz w:val="21"/>
                <w:szCs w:val="21"/>
              </w:rPr>
            </w:pPr>
            <w:r>
              <w:rPr>
                <w:color w:val="auto"/>
                <w:sz w:val="21"/>
                <w:szCs w:val="21"/>
              </w:rPr>
              <w:t>粉砂</w:t>
            </w:r>
          </w:p>
        </w:tc>
        <w:tc>
          <w:tcPr>
            <w:tcW w:w="966" w:type="pct"/>
            <w:vAlign w:val="center"/>
          </w:tcPr>
          <w:p w14:paraId="0677AE27">
            <w:pPr>
              <w:spacing w:line="240" w:lineRule="auto"/>
              <w:ind w:firstLine="0" w:firstLineChars="0"/>
              <w:jc w:val="center"/>
              <w:rPr>
                <w:color w:val="auto"/>
                <w:sz w:val="21"/>
                <w:szCs w:val="21"/>
              </w:rPr>
            </w:pPr>
            <w:r>
              <w:rPr>
                <w:color w:val="auto"/>
                <w:sz w:val="21"/>
                <w:szCs w:val="21"/>
              </w:rPr>
              <w:t>34-61</w:t>
            </w:r>
          </w:p>
        </w:tc>
        <w:tc>
          <w:tcPr>
            <w:tcW w:w="559" w:type="pct"/>
            <w:vAlign w:val="center"/>
          </w:tcPr>
          <w:p w14:paraId="3860C8B0">
            <w:pPr>
              <w:spacing w:line="240" w:lineRule="auto"/>
              <w:ind w:firstLine="0" w:firstLineChars="0"/>
              <w:jc w:val="center"/>
              <w:rPr>
                <w:color w:val="auto"/>
                <w:sz w:val="21"/>
                <w:szCs w:val="21"/>
              </w:rPr>
            </w:pPr>
            <w:r>
              <w:rPr>
                <w:color w:val="auto"/>
                <w:sz w:val="21"/>
                <w:szCs w:val="21"/>
              </w:rPr>
              <w:t>页岩</w:t>
            </w:r>
          </w:p>
        </w:tc>
        <w:tc>
          <w:tcPr>
            <w:tcW w:w="965" w:type="pct"/>
            <w:vAlign w:val="center"/>
          </w:tcPr>
          <w:p w14:paraId="73FFDC74">
            <w:pPr>
              <w:spacing w:line="240" w:lineRule="auto"/>
              <w:ind w:firstLine="0" w:firstLineChars="0"/>
              <w:jc w:val="center"/>
              <w:rPr>
                <w:color w:val="auto"/>
                <w:sz w:val="21"/>
                <w:szCs w:val="21"/>
              </w:rPr>
            </w:pPr>
            <w:r>
              <w:rPr>
                <w:color w:val="auto"/>
                <w:sz w:val="21"/>
                <w:szCs w:val="21"/>
              </w:rPr>
              <w:t>0-10</w:t>
            </w:r>
          </w:p>
        </w:tc>
        <w:tc>
          <w:tcPr>
            <w:tcW w:w="845" w:type="pct"/>
            <w:vAlign w:val="center"/>
          </w:tcPr>
          <w:p w14:paraId="39B94A26">
            <w:pPr>
              <w:spacing w:line="240" w:lineRule="auto"/>
              <w:ind w:firstLine="0" w:firstLineChars="0"/>
              <w:jc w:val="center"/>
              <w:rPr>
                <w:color w:val="auto"/>
                <w:sz w:val="21"/>
                <w:szCs w:val="21"/>
              </w:rPr>
            </w:pPr>
            <w:r>
              <w:rPr>
                <w:color w:val="auto"/>
                <w:sz w:val="21"/>
                <w:szCs w:val="21"/>
              </w:rPr>
              <w:t>风化花岗岩</w:t>
            </w:r>
          </w:p>
        </w:tc>
        <w:tc>
          <w:tcPr>
            <w:tcW w:w="964" w:type="pct"/>
            <w:vAlign w:val="center"/>
          </w:tcPr>
          <w:p w14:paraId="145E5EF6">
            <w:pPr>
              <w:spacing w:line="240" w:lineRule="auto"/>
              <w:ind w:firstLine="0" w:firstLineChars="0"/>
              <w:jc w:val="center"/>
              <w:rPr>
                <w:color w:val="auto"/>
                <w:sz w:val="21"/>
                <w:szCs w:val="21"/>
              </w:rPr>
            </w:pPr>
            <w:r>
              <w:rPr>
                <w:color w:val="auto"/>
                <w:sz w:val="21"/>
                <w:szCs w:val="21"/>
              </w:rPr>
              <w:t>34-57</w:t>
            </w:r>
          </w:p>
        </w:tc>
      </w:tr>
      <w:tr w14:paraId="5C2E0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01" w:type="pct"/>
            <w:vAlign w:val="center"/>
          </w:tcPr>
          <w:p w14:paraId="241D61DB">
            <w:pPr>
              <w:spacing w:line="240" w:lineRule="auto"/>
              <w:ind w:firstLine="0" w:firstLineChars="0"/>
              <w:jc w:val="center"/>
              <w:rPr>
                <w:color w:val="auto"/>
                <w:sz w:val="21"/>
                <w:szCs w:val="21"/>
              </w:rPr>
            </w:pPr>
            <w:r>
              <w:rPr>
                <w:color w:val="auto"/>
                <w:sz w:val="21"/>
                <w:szCs w:val="21"/>
              </w:rPr>
              <w:t>粘土</w:t>
            </w:r>
          </w:p>
        </w:tc>
        <w:tc>
          <w:tcPr>
            <w:tcW w:w="966" w:type="pct"/>
            <w:vAlign w:val="center"/>
          </w:tcPr>
          <w:p w14:paraId="163FE015">
            <w:pPr>
              <w:spacing w:line="240" w:lineRule="auto"/>
              <w:ind w:firstLine="0" w:firstLineChars="0"/>
              <w:jc w:val="center"/>
              <w:rPr>
                <w:color w:val="auto"/>
                <w:sz w:val="21"/>
                <w:szCs w:val="21"/>
              </w:rPr>
            </w:pPr>
            <w:r>
              <w:rPr>
                <w:color w:val="auto"/>
                <w:sz w:val="21"/>
                <w:szCs w:val="21"/>
              </w:rPr>
              <w:t>34-60</w:t>
            </w:r>
          </w:p>
        </w:tc>
        <w:tc>
          <w:tcPr>
            <w:tcW w:w="559" w:type="pct"/>
            <w:vAlign w:val="center"/>
          </w:tcPr>
          <w:p w14:paraId="2B845115">
            <w:pPr>
              <w:spacing w:line="240" w:lineRule="auto"/>
              <w:ind w:firstLine="0" w:firstLineChars="0"/>
              <w:jc w:val="center"/>
              <w:rPr>
                <w:color w:val="auto"/>
                <w:sz w:val="21"/>
                <w:szCs w:val="21"/>
              </w:rPr>
            </w:pPr>
            <w:r>
              <w:rPr>
                <w:color w:val="auto"/>
                <w:sz w:val="21"/>
                <w:szCs w:val="21"/>
              </w:rPr>
              <w:t>/</w:t>
            </w:r>
          </w:p>
        </w:tc>
        <w:tc>
          <w:tcPr>
            <w:tcW w:w="965" w:type="pct"/>
            <w:vAlign w:val="center"/>
          </w:tcPr>
          <w:p w14:paraId="0E276919">
            <w:pPr>
              <w:spacing w:line="240" w:lineRule="auto"/>
              <w:ind w:firstLine="0" w:firstLineChars="0"/>
              <w:jc w:val="center"/>
              <w:rPr>
                <w:color w:val="auto"/>
                <w:sz w:val="21"/>
                <w:szCs w:val="21"/>
              </w:rPr>
            </w:pPr>
            <w:r>
              <w:rPr>
                <w:color w:val="auto"/>
                <w:sz w:val="21"/>
                <w:szCs w:val="21"/>
              </w:rPr>
              <w:t>/</w:t>
            </w:r>
          </w:p>
        </w:tc>
        <w:tc>
          <w:tcPr>
            <w:tcW w:w="845" w:type="pct"/>
            <w:vAlign w:val="center"/>
          </w:tcPr>
          <w:p w14:paraId="18F7AF17">
            <w:pPr>
              <w:spacing w:line="240" w:lineRule="auto"/>
              <w:ind w:firstLine="0" w:firstLineChars="0"/>
              <w:jc w:val="center"/>
              <w:rPr>
                <w:color w:val="auto"/>
                <w:sz w:val="21"/>
                <w:szCs w:val="21"/>
              </w:rPr>
            </w:pPr>
            <w:r>
              <w:rPr>
                <w:color w:val="auto"/>
                <w:sz w:val="21"/>
                <w:szCs w:val="21"/>
              </w:rPr>
              <w:t>风化辉长岩</w:t>
            </w:r>
          </w:p>
        </w:tc>
        <w:tc>
          <w:tcPr>
            <w:tcW w:w="964" w:type="pct"/>
            <w:vAlign w:val="center"/>
          </w:tcPr>
          <w:p w14:paraId="7104B203">
            <w:pPr>
              <w:spacing w:line="240" w:lineRule="auto"/>
              <w:ind w:firstLine="0" w:firstLineChars="0"/>
              <w:jc w:val="center"/>
              <w:rPr>
                <w:color w:val="auto"/>
                <w:sz w:val="21"/>
                <w:szCs w:val="21"/>
              </w:rPr>
            </w:pPr>
            <w:r>
              <w:rPr>
                <w:color w:val="auto"/>
                <w:sz w:val="21"/>
                <w:szCs w:val="21"/>
              </w:rPr>
              <w:t>42-45</w:t>
            </w:r>
          </w:p>
        </w:tc>
      </w:tr>
    </w:tbl>
    <w:p w14:paraId="6BE24922">
      <w:pPr>
        <w:ind w:firstLine="480"/>
        <w:rPr>
          <w:color w:val="auto"/>
        </w:rPr>
      </w:pPr>
    </w:p>
    <w:p w14:paraId="631C9D2D">
      <w:pPr>
        <w:pStyle w:val="5"/>
        <w:spacing w:before="156"/>
        <w:rPr>
          <w:color w:val="auto"/>
        </w:rPr>
      </w:pPr>
      <w:r>
        <w:rPr>
          <w:rFonts w:hint="eastAsia"/>
          <w:color w:val="auto"/>
        </w:rPr>
        <w:t>6.5.3.4弥散系数的确定</w:t>
      </w:r>
    </w:p>
    <w:p w14:paraId="5BC6C30E">
      <w:pPr>
        <w:ind w:firstLine="480"/>
        <w:rPr>
          <w:color w:val="auto"/>
        </w:rPr>
      </w:pPr>
      <w:r>
        <w:rPr>
          <w:color w:val="auto"/>
        </w:rPr>
        <w:t>D. S. Makuch(2005)综合了其他人的研究成果，对不同岩性和不同尺度条件下介质的弥散度大小进行了统计，获得了污染物在不同岩性中迁移的纵向弥散度，并存在尺度效应现象(图6.5.3-1)。根据室内弥散试验以及在其它地区的现场试验结果，对本次评价范围潜水含水层，纵向弥散度取50m，横向弥散度取5m。</w:t>
      </w:r>
    </w:p>
    <w:p w14:paraId="7335C5A7">
      <w:pPr>
        <w:spacing w:line="240" w:lineRule="auto"/>
        <w:ind w:firstLine="0" w:firstLineChars="0"/>
        <w:jc w:val="center"/>
        <w:rPr>
          <w:color w:val="auto"/>
        </w:rPr>
      </w:pPr>
      <w:r>
        <w:rPr>
          <w:rFonts w:eastAsia="仿宋_GB2312"/>
          <w:color w:val="auto"/>
          <w:spacing w:val="4"/>
        </w:rPr>
        <w:drawing>
          <wp:inline distT="0" distB="0" distL="0" distR="0">
            <wp:extent cx="4432935" cy="2133600"/>
            <wp:effectExtent l="0" t="0" r="5715" b="0"/>
            <wp:docPr id="33717972" name="图片 50" descr="弥散系数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7972" name="图片 50" descr="弥散系数副本"/>
                    <pic:cNvPicPr>
                      <a:picLocks noChangeAspect="1" noChangeArrowheads="1"/>
                    </pic:cNvPicPr>
                  </pic:nvPicPr>
                  <pic:blipFill>
                    <a:blip r:embed="rId49" cstate="print"/>
                    <a:srcRect l="2043" t="4115" r="5200"/>
                    <a:stretch>
                      <a:fillRect/>
                    </a:stretch>
                  </pic:blipFill>
                  <pic:spPr>
                    <a:xfrm>
                      <a:off x="0" y="0"/>
                      <a:ext cx="4432935" cy="2133600"/>
                    </a:xfrm>
                    <a:prstGeom prst="rect">
                      <a:avLst/>
                    </a:prstGeom>
                    <a:noFill/>
                    <a:ln w="9525">
                      <a:noFill/>
                      <a:miter lim="800000"/>
                      <a:headEnd/>
                      <a:tailEnd/>
                    </a:ln>
                  </pic:spPr>
                </pic:pic>
              </a:graphicData>
            </a:graphic>
          </wp:inline>
        </w:drawing>
      </w:r>
    </w:p>
    <w:p w14:paraId="70EC8223">
      <w:pPr>
        <w:spacing w:line="240" w:lineRule="auto"/>
        <w:ind w:firstLine="0" w:firstLineChars="0"/>
        <w:jc w:val="center"/>
        <w:rPr>
          <w:b/>
          <w:bCs/>
          <w:color w:val="auto"/>
        </w:rPr>
      </w:pPr>
      <w:r>
        <w:rPr>
          <w:rFonts w:hint="eastAsia"/>
          <w:b/>
          <w:bCs/>
          <w:color w:val="auto"/>
        </w:rPr>
        <w:t>图6.5.3-1 松散沉积物的弥散度确定</w:t>
      </w:r>
    </w:p>
    <w:p w14:paraId="3C497D43">
      <w:pPr>
        <w:pStyle w:val="4"/>
        <w:rPr>
          <w:color w:val="auto"/>
        </w:rPr>
      </w:pPr>
      <w:bookmarkStart w:id="222" w:name="_Toc25554"/>
      <w:r>
        <w:rPr>
          <w:rFonts w:hint="eastAsia"/>
          <w:color w:val="auto"/>
        </w:rPr>
        <w:t>6.5.4地下水环境影响预测及评价</w:t>
      </w:r>
      <w:bookmarkEnd w:id="222"/>
    </w:p>
    <w:p w14:paraId="6A57599D">
      <w:pPr>
        <w:ind w:firstLine="480"/>
        <w:rPr>
          <w:color w:val="auto"/>
        </w:rPr>
      </w:pPr>
      <w:r>
        <w:rPr>
          <w:color w:val="auto"/>
        </w:rPr>
        <w:t>启东生命健康产业园区域规划排水体系为雨污分流，企业废水经必要处理后达到接管标准全部接入联合环境水务(启东)有限公司集中处理，雨水经收集后就近排入水体。</w:t>
      </w:r>
    </w:p>
    <w:p w14:paraId="3415D9EA">
      <w:pPr>
        <w:ind w:firstLine="480"/>
        <w:rPr>
          <w:color w:val="auto"/>
        </w:rPr>
      </w:pPr>
      <w:r>
        <w:rPr>
          <w:color w:val="auto"/>
        </w:rPr>
        <w:t>正常工况下，企业污水站防渗措施到位，废水基本上无渗漏，本项目对地下水的影响很小。</w:t>
      </w:r>
    </w:p>
    <w:p w14:paraId="4555C5D7">
      <w:pPr>
        <w:ind w:firstLine="480"/>
        <w:rPr>
          <w:color w:val="auto"/>
        </w:rPr>
      </w:pPr>
      <w:r>
        <w:rPr>
          <w:color w:val="auto"/>
        </w:rPr>
        <w:t>非正常情况下，若污水站工艺废水收集池发生泄漏，将对地下水造成点源污染，污水可能下渗至包气带以下从而在潜水层中进行运移造成污染。</w:t>
      </w:r>
    </w:p>
    <w:p w14:paraId="0693AF29">
      <w:pPr>
        <w:ind w:firstLine="480"/>
        <w:rPr>
          <w:color w:val="auto"/>
        </w:rPr>
      </w:pPr>
      <w:r>
        <w:rPr>
          <w:color w:val="auto"/>
        </w:rPr>
        <w:t>本次预测将考虑非正常情况，污水站工艺废水收集池发生泄漏，概化为点源污染，预测污染物在地下水中的迁移距离。</w:t>
      </w:r>
    </w:p>
    <w:p w14:paraId="6AB37A81">
      <w:pPr>
        <w:ind w:firstLine="482"/>
        <w:rPr>
          <w:b/>
          <w:bCs/>
          <w:color w:val="auto"/>
        </w:rPr>
      </w:pPr>
      <w:r>
        <w:rPr>
          <w:rFonts w:hint="eastAsia"/>
          <w:b/>
          <w:bCs/>
          <w:color w:val="auto"/>
        </w:rPr>
        <w:t>1、预测因子</w:t>
      </w:r>
    </w:p>
    <w:p w14:paraId="026F9310">
      <w:pPr>
        <w:ind w:firstLine="480"/>
        <w:rPr>
          <w:bCs/>
          <w:color w:val="auto"/>
        </w:rPr>
      </w:pPr>
      <w:r>
        <w:rPr>
          <w:bCs/>
          <w:color w:val="auto"/>
        </w:rPr>
        <w:t>地下水可能的污染来源为生产车间及厂区地面、各污水输送管网、事故应急池、危废仓库、工艺废水收集池等跑冒滴漏。</w:t>
      </w:r>
    </w:p>
    <w:p w14:paraId="0D698B62">
      <w:pPr>
        <w:ind w:firstLine="480"/>
        <w:rPr>
          <w:bCs/>
          <w:color w:val="auto"/>
        </w:rPr>
      </w:pPr>
      <w:r>
        <w:rPr>
          <w:rFonts w:ascii="Cambria Math" w:hAnsi="Cambria Math" w:cs="Cambria Math"/>
          <w:color w:val="auto"/>
        </w:rPr>
        <w:t>①</w:t>
      </w:r>
      <w:r>
        <w:rPr>
          <w:bCs/>
          <w:color w:val="auto"/>
        </w:rPr>
        <w:t>生产车间及厂区地面冲洗过程中，若地面出现裂缝，会导致冲洗水渗漏地下，考虑冲洗时间一般为间歇式，且每次冲洗水量较少，因此该部分渗漏对地下水影响较小。同时，企业在日常检查中要注意对生产车间及厂区地面的观察，一旦发现地面出现裂缝，要及时采取补救措施，缝合完整地面裂缝。</w:t>
      </w:r>
    </w:p>
    <w:p w14:paraId="2514D56B">
      <w:pPr>
        <w:ind w:firstLine="480"/>
        <w:rPr>
          <w:color w:val="auto"/>
        </w:rPr>
      </w:pPr>
      <w:r>
        <w:rPr>
          <w:rFonts w:ascii="Cambria Math" w:hAnsi="Cambria Math" w:cs="Cambria Math"/>
          <w:color w:val="auto"/>
        </w:rPr>
        <w:t>②</w:t>
      </w:r>
      <w:r>
        <w:rPr>
          <w:color w:val="auto"/>
        </w:rPr>
        <w:t>各污水输送管网为明管输送，若出现跑冒滴漏现象，可较快被发现。一旦发现，要立即采取措施，防止渗漏地下。因此污水输送管网对地下水的影响较小。</w:t>
      </w:r>
    </w:p>
    <w:p w14:paraId="2B4C37CC">
      <w:pPr>
        <w:ind w:firstLine="480"/>
        <w:rPr>
          <w:color w:val="auto"/>
        </w:rPr>
      </w:pPr>
      <w:r>
        <w:rPr>
          <w:rFonts w:ascii="Cambria Math" w:hAnsi="Cambria Math" w:cs="Cambria Math"/>
          <w:color w:val="auto"/>
        </w:rPr>
        <w:t>③</w:t>
      </w:r>
      <w:r>
        <w:rPr>
          <w:color w:val="auto"/>
        </w:rPr>
        <w:t>事故应急池一般情况下处于备用状态，无污水存放，所以其对地下水的影响极小。</w:t>
      </w:r>
    </w:p>
    <w:p w14:paraId="2605635B">
      <w:pPr>
        <w:ind w:firstLine="480"/>
        <w:rPr>
          <w:bCs/>
          <w:color w:val="auto"/>
        </w:rPr>
      </w:pPr>
      <w:r>
        <w:rPr>
          <w:rFonts w:ascii="Cambria Math" w:hAnsi="Cambria Math" w:cs="Cambria Math"/>
          <w:color w:val="auto"/>
        </w:rPr>
        <w:t>④</w:t>
      </w:r>
      <w:r>
        <w:rPr>
          <w:color w:val="auto"/>
        </w:rPr>
        <w:t>危废仓库需按照相关标准设置地面防渗、防渗沟槽，同时要防止雨水等外来</w:t>
      </w:r>
      <w:r>
        <w:rPr>
          <w:bCs/>
          <w:color w:val="auto"/>
        </w:rPr>
        <w:t>水源进入其中。危废仓库对地下水的主要影响来自仓库内存放的液体泄漏。因危废仓库设置有地面防渗、防渗沟槽，发生泄漏的液体也难以渗漏地下，因此危废仓库对地下水的影响较小。同时，企业在日常检查中要注意对危废仓库地面和防渗沟槽的检查，一旦出现破损现象，要及时采取补救措施。</w:t>
      </w:r>
    </w:p>
    <w:p w14:paraId="37C15028">
      <w:pPr>
        <w:ind w:firstLine="480"/>
        <w:rPr>
          <w:bCs/>
          <w:color w:val="auto"/>
        </w:rPr>
      </w:pPr>
      <w:r>
        <w:rPr>
          <w:rFonts w:ascii="Cambria Math" w:hAnsi="Cambria Math" w:cs="Cambria Math"/>
          <w:color w:val="auto"/>
        </w:rPr>
        <w:t>⑤</w:t>
      </w:r>
      <w:r>
        <w:rPr>
          <w:color w:val="auto"/>
        </w:rPr>
        <w:t>工</w:t>
      </w:r>
      <w:r>
        <w:rPr>
          <w:bCs/>
          <w:color w:val="auto"/>
        </w:rPr>
        <w:t>艺废水收集池因企业生产过程中需要长时间运行，且大多是埋地式，出现了局部破损也较难发现，所以其对地下水的影响很大。工艺废水收集池一旦发生泄漏，较难发现且对地下水影响较大，污水处理站中的工艺废水收集池浓度较高，因此本项目地下水环境影响预测主要选取污水处理站中工艺废水收集池作为预测对象。</w:t>
      </w:r>
    </w:p>
    <w:p w14:paraId="0E2CEDEB">
      <w:pPr>
        <w:ind w:firstLine="480"/>
        <w:rPr>
          <w:color w:val="auto"/>
        </w:rPr>
      </w:pPr>
      <w:r>
        <w:rPr>
          <w:color w:val="auto"/>
        </w:rPr>
        <w:t>企业污水站</w:t>
      </w:r>
      <w:r>
        <w:rPr>
          <w:bCs/>
          <w:color w:val="auto"/>
        </w:rPr>
        <w:t>工艺废水收集池</w:t>
      </w:r>
      <w:r>
        <w:rPr>
          <w:color w:val="auto"/>
        </w:rPr>
        <w:t>渗漏是地下水的主要污染来源，本次预测因子主要选择高锰酸盐指数。</w:t>
      </w:r>
    </w:p>
    <w:p w14:paraId="6CB00C9C">
      <w:pPr>
        <w:ind w:firstLine="480"/>
        <w:rPr>
          <w:color w:val="auto"/>
        </w:rPr>
      </w:pPr>
      <w:bookmarkStart w:id="223" w:name="_Hlk155430581"/>
      <w:r>
        <w:rPr>
          <w:color w:val="auto"/>
        </w:rPr>
        <w:t>下渗污水的COD</w:t>
      </w:r>
      <w:r>
        <w:rPr>
          <w:rFonts w:hint="eastAsia"/>
          <w:color w:val="auto"/>
        </w:rPr>
        <w:t>以1200</w:t>
      </w:r>
      <w:r>
        <w:rPr>
          <w:color w:val="auto"/>
        </w:rPr>
        <w:t>mg/L</w:t>
      </w:r>
      <w:r>
        <w:rPr>
          <w:rFonts w:hint="eastAsia"/>
          <w:color w:val="auto"/>
        </w:rPr>
        <w:t>计</w:t>
      </w:r>
      <w:r>
        <w:rPr>
          <w:color w:val="auto"/>
        </w:rPr>
        <w:t>，对于同一种水样，COD与高锰酸盐指数之间存在一定的线性比例关系：COD=k高锰酸盐指数，一般来说，1.5&lt;k&lt;4.0。为保守起见，本次k取1.5，则工业废水池中折算后的高锰酸盐指数浓度约为</w:t>
      </w:r>
      <w:r>
        <w:rPr>
          <w:rFonts w:hint="eastAsia"/>
          <w:color w:val="auto"/>
        </w:rPr>
        <w:t>800</w:t>
      </w:r>
      <w:r>
        <w:rPr>
          <w:color w:val="auto"/>
        </w:rPr>
        <w:t>mg/L。</w:t>
      </w:r>
      <w:bookmarkEnd w:id="223"/>
    </w:p>
    <w:p w14:paraId="38E0BE60">
      <w:pPr>
        <w:ind w:firstLine="482"/>
        <w:jc w:val="center"/>
        <w:rPr>
          <w:b/>
          <w:color w:val="auto"/>
        </w:rPr>
      </w:pPr>
      <w:r>
        <w:rPr>
          <w:b/>
          <w:color w:val="auto"/>
        </w:rPr>
        <w:t>表6.5.4-1 预测因子浓度</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9"/>
        <w:gridCol w:w="2594"/>
        <w:gridCol w:w="2781"/>
      </w:tblGrid>
      <w:tr w14:paraId="0FA9C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273" w:type="pct"/>
            <w:vAlign w:val="center"/>
          </w:tcPr>
          <w:p w14:paraId="20F42C8A">
            <w:pPr>
              <w:widowControl/>
              <w:adjustRightInd/>
              <w:snapToGrid/>
              <w:spacing w:line="240" w:lineRule="auto"/>
              <w:ind w:firstLine="0" w:firstLineChars="0"/>
              <w:jc w:val="center"/>
              <w:rPr>
                <w:b/>
                <w:color w:val="auto"/>
                <w:sz w:val="21"/>
                <w:szCs w:val="21"/>
              </w:rPr>
            </w:pPr>
            <w:bookmarkStart w:id="224" w:name="_Hlk155430605"/>
            <w:r>
              <w:rPr>
                <w:b/>
                <w:color w:val="auto"/>
                <w:sz w:val="21"/>
                <w:szCs w:val="21"/>
              </w:rPr>
              <w:t>污染因子</w:t>
            </w:r>
          </w:p>
        </w:tc>
        <w:tc>
          <w:tcPr>
            <w:tcW w:w="1316" w:type="pct"/>
            <w:vAlign w:val="center"/>
          </w:tcPr>
          <w:p w14:paraId="525D5E6F">
            <w:pPr>
              <w:widowControl/>
              <w:adjustRightInd/>
              <w:snapToGrid/>
              <w:spacing w:line="240" w:lineRule="auto"/>
              <w:ind w:firstLine="0" w:firstLineChars="0"/>
              <w:jc w:val="center"/>
              <w:rPr>
                <w:b/>
                <w:color w:val="auto"/>
                <w:sz w:val="21"/>
                <w:szCs w:val="21"/>
              </w:rPr>
            </w:pPr>
            <w:r>
              <w:rPr>
                <w:b/>
                <w:color w:val="auto"/>
                <w:sz w:val="21"/>
                <w:szCs w:val="21"/>
              </w:rPr>
              <w:t>排放方式</w:t>
            </w:r>
          </w:p>
        </w:tc>
        <w:tc>
          <w:tcPr>
            <w:tcW w:w="1411" w:type="pct"/>
            <w:vAlign w:val="center"/>
          </w:tcPr>
          <w:p w14:paraId="62FC99EB">
            <w:pPr>
              <w:widowControl/>
              <w:adjustRightInd/>
              <w:snapToGrid/>
              <w:spacing w:line="240" w:lineRule="auto"/>
              <w:ind w:firstLine="0" w:firstLineChars="0"/>
              <w:jc w:val="center"/>
              <w:rPr>
                <w:b/>
                <w:color w:val="auto"/>
                <w:sz w:val="21"/>
                <w:szCs w:val="21"/>
              </w:rPr>
            </w:pPr>
            <w:r>
              <w:rPr>
                <w:b/>
                <w:color w:val="auto"/>
                <w:sz w:val="21"/>
                <w:szCs w:val="21"/>
              </w:rPr>
              <w:t>浓度(mg/L)</w:t>
            </w:r>
          </w:p>
        </w:tc>
      </w:tr>
      <w:tr w14:paraId="4EF5E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273" w:type="pct"/>
            <w:vAlign w:val="center"/>
          </w:tcPr>
          <w:p w14:paraId="7EFD61E0">
            <w:pPr>
              <w:widowControl/>
              <w:adjustRightInd/>
              <w:snapToGrid/>
              <w:spacing w:line="240" w:lineRule="auto"/>
              <w:ind w:firstLine="0" w:firstLineChars="0"/>
              <w:jc w:val="center"/>
              <w:rPr>
                <w:color w:val="auto"/>
                <w:sz w:val="21"/>
                <w:szCs w:val="21"/>
              </w:rPr>
            </w:pPr>
            <w:r>
              <w:rPr>
                <w:color w:val="auto"/>
                <w:sz w:val="21"/>
                <w:szCs w:val="21"/>
              </w:rPr>
              <w:t>高锰酸盐指数</w:t>
            </w:r>
          </w:p>
        </w:tc>
        <w:tc>
          <w:tcPr>
            <w:tcW w:w="1316" w:type="pct"/>
            <w:vAlign w:val="center"/>
          </w:tcPr>
          <w:p w14:paraId="59A0C01D">
            <w:pPr>
              <w:widowControl/>
              <w:adjustRightInd/>
              <w:snapToGrid/>
              <w:spacing w:line="240" w:lineRule="auto"/>
              <w:ind w:firstLine="0" w:firstLineChars="0"/>
              <w:jc w:val="center"/>
              <w:rPr>
                <w:color w:val="auto"/>
                <w:sz w:val="21"/>
                <w:szCs w:val="21"/>
              </w:rPr>
            </w:pPr>
            <w:r>
              <w:rPr>
                <w:color w:val="auto"/>
                <w:sz w:val="21"/>
                <w:szCs w:val="21"/>
              </w:rPr>
              <w:t>连续</w:t>
            </w:r>
          </w:p>
        </w:tc>
        <w:tc>
          <w:tcPr>
            <w:tcW w:w="1411" w:type="pct"/>
            <w:vAlign w:val="center"/>
          </w:tcPr>
          <w:p w14:paraId="06F70E8D">
            <w:pPr>
              <w:widowControl/>
              <w:adjustRightInd/>
              <w:snapToGrid/>
              <w:spacing w:line="240" w:lineRule="auto"/>
              <w:ind w:firstLine="0" w:firstLineChars="0"/>
              <w:jc w:val="center"/>
              <w:rPr>
                <w:color w:val="auto"/>
                <w:sz w:val="21"/>
                <w:szCs w:val="21"/>
              </w:rPr>
            </w:pPr>
            <w:r>
              <w:rPr>
                <w:rFonts w:hint="eastAsia"/>
                <w:color w:val="auto"/>
                <w:sz w:val="21"/>
                <w:szCs w:val="21"/>
              </w:rPr>
              <w:t>800</w:t>
            </w:r>
          </w:p>
        </w:tc>
      </w:tr>
      <w:bookmarkEnd w:id="224"/>
    </w:tbl>
    <w:p w14:paraId="4BB54123">
      <w:pPr>
        <w:ind w:firstLine="480"/>
        <w:rPr>
          <w:color w:val="auto"/>
        </w:rPr>
      </w:pPr>
      <w:r>
        <w:rPr>
          <w:color w:val="auto"/>
        </w:rPr>
        <w:t>本次预测标准采用《地下水质量标准》</w:t>
      </w:r>
      <w:r>
        <w:rPr>
          <w:color w:val="auto"/>
        </w:rPr>
        <w:fldChar w:fldCharType="begin"/>
      </w:r>
      <w:r>
        <w:rPr>
          <w:color w:val="auto"/>
        </w:rPr>
        <w:instrText xml:space="preserve"> = 3 \* ROMAN </w:instrText>
      </w:r>
      <w:r>
        <w:rPr>
          <w:color w:val="auto"/>
        </w:rPr>
        <w:fldChar w:fldCharType="separate"/>
      </w:r>
      <w:r>
        <w:rPr>
          <w:color w:val="auto"/>
        </w:rPr>
        <w:t>III</w:t>
      </w:r>
      <w:r>
        <w:rPr>
          <w:color w:val="auto"/>
        </w:rPr>
        <w:fldChar w:fldCharType="end"/>
      </w:r>
      <w:r>
        <w:rPr>
          <w:color w:val="auto"/>
        </w:rPr>
        <w:t>类水标准。预测因子超标范围和影响范围的贡献浓度设定见表6.5.4-2。</w:t>
      </w:r>
    </w:p>
    <w:p w14:paraId="0390C3B8">
      <w:pPr>
        <w:ind w:firstLine="482"/>
        <w:jc w:val="center"/>
        <w:rPr>
          <w:b/>
          <w:color w:val="auto"/>
        </w:rPr>
      </w:pPr>
      <w:r>
        <w:rPr>
          <w:b/>
          <w:color w:val="auto"/>
        </w:rPr>
        <w:t>表6.5.4-2  预测因子超标范围和影响范围贡献浓度值</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1610"/>
        <w:gridCol w:w="2089"/>
        <w:gridCol w:w="3545"/>
      </w:tblGrid>
      <w:tr w14:paraId="57ABB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4" w:type="pct"/>
            <w:vAlign w:val="center"/>
          </w:tcPr>
          <w:p w14:paraId="63B121D0">
            <w:pPr>
              <w:widowControl/>
              <w:adjustRightInd/>
              <w:snapToGrid/>
              <w:spacing w:line="240" w:lineRule="auto"/>
              <w:ind w:firstLine="0" w:firstLineChars="0"/>
              <w:jc w:val="center"/>
              <w:rPr>
                <w:b/>
                <w:color w:val="auto"/>
                <w:sz w:val="21"/>
              </w:rPr>
            </w:pPr>
            <w:r>
              <w:rPr>
                <w:b/>
                <w:color w:val="auto"/>
                <w:sz w:val="21"/>
              </w:rPr>
              <w:t>污染源所在位置</w:t>
            </w:r>
          </w:p>
        </w:tc>
        <w:tc>
          <w:tcPr>
            <w:tcW w:w="817" w:type="pct"/>
            <w:vAlign w:val="center"/>
          </w:tcPr>
          <w:p w14:paraId="1D6B1CB4">
            <w:pPr>
              <w:widowControl/>
              <w:adjustRightInd/>
              <w:snapToGrid/>
              <w:spacing w:line="240" w:lineRule="auto"/>
              <w:ind w:firstLine="0" w:firstLineChars="0"/>
              <w:jc w:val="center"/>
              <w:rPr>
                <w:b/>
                <w:color w:val="auto"/>
                <w:sz w:val="21"/>
              </w:rPr>
            </w:pPr>
            <w:r>
              <w:rPr>
                <w:b/>
                <w:color w:val="auto"/>
                <w:sz w:val="21"/>
              </w:rPr>
              <w:t>污染源</w:t>
            </w:r>
          </w:p>
        </w:tc>
        <w:tc>
          <w:tcPr>
            <w:tcW w:w="1060" w:type="pct"/>
            <w:vAlign w:val="center"/>
          </w:tcPr>
          <w:p w14:paraId="3138EDB3">
            <w:pPr>
              <w:widowControl/>
              <w:adjustRightInd/>
              <w:snapToGrid/>
              <w:spacing w:line="240" w:lineRule="auto"/>
              <w:ind w:firstLine="0" w:firstLineChars="0"/>
              <w:jc w:val="center"/>
              <w:rPr>
                <w:b/>
                <w:color w:val="auto"/>
                <w:sz w:val="21"/>
              </w:rPr>
            </w:pPr>
            <w:r>
              <w:rPr>
                <w:b/>
                <w:color w:val="auto"/>
                <w:sz w:val="21"/>
              </w:rPr>
              <w:t>预测因子</w:t>
            </w:r>
          </w:p>
        </w:tc>
        <w:tc>
          <w:tcPr>
            <w:tcW w:w="1798" w:type="pct"/>
            <w:vAlign w:val="center"/>
          </w:tcPr>
          <w:p w14:paraId="7003AA5D">
            <w:pPr>
              <w:widowControl/>
              <w:adjustRightInd/>
              <w:snapToGrid/>
              <w:spacing w:line="240" w:lineRule="auto"/>
              <w:ind w:firstLine="0" w:firstLineChars="0"/>
              <w:jc w:val="center"/>
              <w:rPr>
                <w:b/>
                <w:color w:val="auto"/>
                <w:sz w:val="21"/>
              </w:rPr>
            </w:pPr>
            <w:r>
              <w:rPr>
                <w:b/>
                <w:color w:val="auto"/>
                <w:sz w:val="21"/>
              </w:rPr>
              <w:t>超标范围贡献浓度值(mg/L)</w:t>
            </w:r>
          </w:p>
        </w:tc>
      </w:tr>
      <w:tr w14:paraId="51B9E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4" w:type="pct"/>
            <w:vAlign w:val="center"/>
          </w:tcPr>
          <w:p w14:paraId="71900061">
            <w:pPr>
              <w:adjustRightInd/>
              <w:snapToGrid/>
              <w:spacing w:line="240" w:lineRule="auto"/>
              <w:ind w:firstLine="0" w:firstLineChars="0"/>
              <w:jc w:val="center"/>
              <w:rPr>
                <w:color w:val="auto"/>
                <w:sz w:val="21"/>
                <w:szCs w:val="21"/>
              </w:rPr>
            </w:pPr>
            <w:r>
              <w:rPr>
                <w:color w:val="auto"/>
                <w:sz w:val="21"/>
                <w:szCs w:val="21"/>
              </w:rPr>
              <w:t>工艺废水收集池</w:t>
            </w:r>
          </w:p>
        </w:tc>
        <w:tc>
          <w:tcPr>
            <w:tcW w:w="817" w:type="pct"/>
            <w:vAlign w:val="center"/>
          </w:tcPr>
          <w:p w14:paraId="3C6B6E64">
            <w:pPr>
              <w:adjustRightInd/>
              <w:snapToGrid/>
              <w:spacing w:line="240" w:lineRule="auto"/>
              <w:ind w:firstLine="0" w:firstLineChars="0"/>
              <w:jc w:val="center"/>
              <w:rPr>
                <w:color w:val="auto"/>
                <w:sz w:val="21"/>
              </w:rPr>
            </w:pPr>
            <w:r>
              <w:rPr>
                <w:color w:val="auto"/>
                <w:sz w:val="21"/>
                <w:szCs w:val="21"/>
              </w:rPr>
              <w:t>工业废水</w:t>
            </w:r>
          </w:p>
        </w:tc>
        <w:tc>
          <w:tcPr>
            <w:tcW w:w="1060" w:type="pct"/>
            <w:vAlign w:val="center"/>
          </w:tcPr>
          <w:p w14:paraId="0076D490">
            <w:pPr>
              <w:widowControl/>
              <w:adjustRightInd/>
              <w:snapToGrid/>
              <w:spacing w:line="240" w:lineRule="auto"/>
              <w:ind w:firstLine="0" w:firstLineChars="0"/>
              <w:jc w:val="center"/>
              <w:rPr>
                <w:color w:val="auto"/>
                <w:sz w:val="21"/>
                <w:szCs w:val="21"/>
              </w:rPr>
            </w:pPr>
            <w:r>
              <w:rPr>
                <w:color w:val="auto"/>
                <w:sz w:val="21"/>
                <w:szCs w:val="21"/>
              </w:rPr>
              <w:t>高锰酸盐指数</w:t>
            </w:r>
          </w:p>
        </w:tc>
        <w:tc>
          <w:tcPr>
            <w:tcW w:w="1798" w:type="pct"/>
            <w:vAlign w:val="center"/>
          </w:tcPr>
          <w:p w14:paraId="69C550CE">
            <w:pPr>
              <w:widowControl/>
              <w:adjustRightInd/>
              <w:snapToGrid/>
              <w:spacing w:line="240" w:lineRule="auto"/>
              <w:ind w:firstLine="0" w:firstLineChars="0"/>
              <w:jc w:val="center"/>
              <w:rPr>
                <w:color w:val="auto"/>
                <w:sz w:val="21"/>
              </w:rPr>
            </w:pPr>
            <w:r>
              <w:rPr>
                <w:color w:val="auto"/>
                <w:sz w:val="21"/>
              </w:rPr>
              <w:t>3.0</w:t>
            </w:r>
          </w:p>
        </w:tc>
      </w:tr>
    </w:tbl>
    <w:p w14:paraId="64D4F29D">
      <w:pPr>
        <w:ind w:firstLine="482"/>
        <w:rPr>
          <w:b/>
          <w:bCs/>
          <w:color w:val="auto"/>
        </w:rPr>
      </w:pPr>
      <w:r>
        <w:rPr>
          <w:rFonts w:hint="eastAsia"/>
          <w:b/>
          <w:bCs/>
          <w:color w:val="auto"/>
        </w:rPr>
        <w:t>2、预测模型概化</w:t>
      </w:r>
    </w:p>
    <w:p w14:paraId="586C5058">
      <w:pPr>
        <w:ind w:firstLine="480"/>
        <w:rPr>
          <w:color w:val="auto"/>
        </w:rPr>
      </w:pPr>
      <w:r>
        <w:rPr>
          <w:color w:val="auto"/>
        </w:rPr>
        <w:t>保守计算，本次模拟计算忽略污染物在包气带的运移过程。项目水力坡度较为平缓，地下水位动态稳定，因此污染物含水层中的迁移，可概化为一维半无限长多孔介质柱体，一端为定浓度边界的一维稳定流动一维水动力弥散问题，则污染物浓度分布模型如下：</w:t>
      </w:r>
    </w:p>
    <w:p w14:paraId="4E531B9B">
      <w:pPr>
        <w:spacing w:line="240" w:lineRule="auto"/>
        <w:ind w:firstLine="480"/>
        <w:rPr>
          <w:b/>
          <w:color w:val="auto"/>
        </w:rPr>
      </w:pPr>
      <w:r>
        <w:rPr>
          <w:color w:val="auto"/>
        </w:rPr>
        <w:drawing>
          <wp:inline distT="0" distB="0" distL="0" distR="0">
            <wp:extent cx="3056890" cy="589915"/>
            <wp:effectExtent l="0" t="0" r="10160" b="635"/>
            <wp:docPr id="1399247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47084" name="图片 1"/>
                    <pic:cNvPicPr>
                      <a:picLocks noChangeAspect="1"/>
                    </pic:cNvPicPr>
                  </pic:nvPicPr>
                  <pic:blipFill>
                    <a:blip r:embed="rId50"/>
                    <a:stretch>
                      <a:fillRect/>
                    </a:stretch>
                  </pic:blipFill>
                  <pic:spPr>
                    <a:xfrm>
                      <a:off x="0" y="0"/>
                      <a:ext cx="3057143" cy="590476"/>
                    </a:xfrm>
                    <a:prstGeom prst="rect">
                      <a:avLst/>
                    </a:prstGeom>
                  </pic:spPr>
                </pic:pic>
              </a:graphicData>
            </a:graphic>
          </wp:inline>
        </w:drawing>
      </w:r>
    </w:p>
    <w:p w14:paraId="6556E8C4">
      <w:pPr>
        <w:ind w:firstLine="480"/>
        <w:rPr>
          <w:color w:val="auto"/>
        </w:rPr>
      </w:pPr>
      <w:r>
        <w:rPr>
          <w:color w:val="auto"/>
        </w:rPr>
        <w:t>式中：x——距注入点的距离，m；</w:t>
      </w:r>
    </w:p>
    <w:p w14:paraId="522C90C7">
      <w:pPr>
        <w:ind w:firstLine="480"/>
        <w:rPr>
          <w:color w:val="auto"/>
        </w:rPr>
      </w:pPr>
      <w:r>
        <w:rPr>
          <w:color w:val="auto"/>
        </w:rPr>
        <w:t>t——时间，d；</w:t>
      </w:r>
    </w:p>
    <w:p w14:paraId="12BAF983">
      <w:pPr>
        <w:ind w:firstLine="480"/>
        <w:rPr>
          <w:color w:val="auto"/>
        </w:rPr>
      </w:pPr>
      <w:r>
        <w:rPr>
          <w:color w:val="auto"/>
        </w:rPr>
        <w:t>C(x，t)——t时刻x处的示踪剂质量浓度，g/L；</w:t>
      </w:r>
    </w:p>
    <w:p w14:paraId="2A02DA8D">
      <w:pPr>
        <w:ind w:firstLine="480"/>
        <w:rPr>
          <w:color w:val="auto"/>
        </w:rPr>
      </w:pPr>
      <w:r>
        <w:rPr>
          <w:color w:val="auto"/>
        </w:rPr>
        <w:t>C</w:t>
      </w:r>
      <w:r>
        <w:rPr>
          <w:color w:val="auto"/>
          <w:vertAlign w:val="subscript"/>
        </w:rPr>
        <w:t>0</w:t>
      </w:r>
      <w:r>
        <w:rPr>
          <w:color w:val="auto"/>
        </w:rPr>
        <w:t>——注入的示踪剂浓度，g/L；</w:t>
      </w:r>
    </w:p>
    <w:p w14:paraId="4A872365">
      <w:pPr>
        <w:ind w:firstLine="480"/>
        <w:rPr>
          <w:color w:val="auto"/>
        </w:rPr>
      </w:pPr>
      <w:r>
        <w:rPr>
          <w:color w:val="auto"/>
        </w:rPr>
        <w:t>u——水流速度，m/d；</w:t>
      </w:r>
    </w:p>
    <w:p w14:paraId="3D65C12B">
      <w:pPr>
        <w:ind w:firstLine="480"/>
        <w:rPr>
          <w:color w:val="auto"/>
        </w:rPr>
      </w:pPr>
      <w:r>
        <w:rPr>
          <w:color w:val="auto"/>
        </w:rPr>
        <w:t>D</w:t>
      </w:r>
      <w:r>
        <w:rPr>
          <w:color w:val="auto"/>
          <w:vertAlign w:val="subscript"/>
        </w:rPr>
        <w:t>L</w:t>
      </w:r>
      <w:r>
        <w:rPr>
          <w:color w:val="auto"/>
        </w:rPr>
        <w:t>——纵向弥散系数，m</w:t>
      </w:r>
      <w:r>
        <w:rPr>
          <w:color w:val="auto"/>
          <w:vertAlign w:val="superscript"/>
        </w:rPr>
        <w:t>2</w:t>
      </w:r>
      <w:r>
        <w:rPr>
          <w:color w:val="auto"/>
        </w:rPr>
        <w:t>/d；</w:t>
      </w:r>
    </w:p>
    <w:p w14:paraId="03B0628B">
      <w:pPr>
        <w:ind w:firstLine="480"/>
        <w:rPr>
          <w:color w:val="auto"/>
        </w:rPr>
      </w:pPr>
      <w:r>
        <w:rPr>
          <w:color w:val="auto"/>
        </w:rPr>
        <w:t>erfc()——余误差函数。</w:t>
      </w:r>
    </w:p>
    <w:p w14:paraId="20C132C2">
      <w:pPr>
        <w:ind w:firstLine="480"/>
        <w:rPr>
          <w:color w:val="auto"/>
        </w:rPr>
      </w:pPr>
      <w:r>
        <w:rPr>
          <w:color w:val="auto"/>
        </w:rPr>
        <w:t>地下水实际流速和弥散系数的确定按下列方法取得：</w:t>
      </w:r>
    </w:p>
    <w:p w14:paraId="2EC50229">
      <w:pPr>
        <w:ind w:firstLine="480"/>
        <w:rPr>
          <w:color w:val="auto"/>
          <w:lang w:val="pt-BR"/>
        </w:rPr>
      </w:pPr>
      <w:r>
        <w:rPr>
          <w:color w:val="auto"/>
          <w:lang w:val="pt-BR"/>
        </w:rPr>
        <w:t>U＝K×I／n</w:t>
      </w:r>
    </w:p>
    <w:p w14:paraId="56F0B5E3">
      <w:pPr>
        <w:ind w:firstLine="480"/>
        <w:rPr>
          <w:color w:val="auto"/>
          <w:lang w:val="pt-BR"/>
        </w:rPr>
      </w:pPr>
      <w:r>
        <w:rPr>
          <w:color w:val="auto"/>
          <w:lang w:val="pt-BR"/>
        </w:rPr>
        <w:t>D</w:t>
      </w:r>
      <w:r>
        <w:rPr>
          <w:color w:val="auto"/>
          <w:vertAlign w:val="subscript"/>
          <w:lang w:val="pt-BR"/>
        </w:rPr>
        <w:t>L</w:t>
      </w:r>
      <w:r>
        <w:rPr>
          <w:color w:val="auto"/>
          <w:lang w:val="pt-BR"/>
        </w:rPr>
        <w:t>＝a</w:t>
      </w:r>
      <w:r>
        <w:rPr>
          <w:color w:val="auto"/>
          <w:vertAlign w:val="subscript"/>
          <w:lang w:val="pt-BR"/>
        </w:rPr>
        <w:t>L</w:t>
      </w:r>
      <w:r>
        <w:rPr>
          <w:color w:val="auto"/>
          <w:lang w:val="pt-BR"/>
        </w:rPr>
        <w:t>×U</w:t>
      </w:r>
      <w:r>
        <w:rPr>
          <w:color w:val="auto"/>
          <w:vertAlign w:val="superscript"/>
          <w:lang w:val="pt-BR"/>
        </w:rPr>
        <w:t>m</w:t>
      </w:r>
    </w:p>
    <w:p w14:paraId="6B7E9AE1">
      <w:pPr>
        <w:ind w:firstLine="480"/>
        <w:rPr>
          <w:color w:val="auto"/>
          <w:lang w:val="pt-BR"/>
        </w:rPr>
      </w:pPr>
      <w:r>
        <w:rPr>
          <w:color w:val="auto"/>
        </w:rPr>
        <w:t>其中</w:t>
      </w:r>
      <w:r>
        <w:rPr>
          <w:color w:val="auto"/>
          <w:lang w:val="pt-BR"/>
        </w:rPr>
        <w:t>：U—</w:t>
      </w:r>
      <w:r>
        <w:rPr>
          <w:color w:val="auto"/>
        </w:rPr>
        <w:t>地下水实际流速</w:t>
      </w:r>
      <w:r>
        <w:rPr>
          <w:color w:val="auto"/>
          <w:lang w:val="pt-BR"/>
        </w:rPr>
        <w:t>，m/d；</w:t>
      </w:r>
    </w:p>
    <w:p w14:paraId="7308ACA3">
      <w:pPr>
        <w:ind w:firstLine="480"/>
        <w:rPr>
          <w:color w:val="auto"/>
          <w:lang w:val="pt-BR"/>
        </w:rPr>
      </w:pPr>
      <w:r>
        <w:rPr>
          <w:color w:val="auto"/>
          <w:lang w:val="pt-BR"/>
        </w:rPr>
        <w:t xml:space="preserve">  K—</w:t>
      </w:r>
      <w:r>
        <w:rPr>
          <w:color w:val="auto"/>
        </w:rPr>
        <w:t>渗透系数</w:t>
      </w:r>
      <w:r>
        <w:rPr>
          <w:color w:val="auto"/>
          <w:lang w:val="pt-BR"/>
        </w:rPr>
        <w:t>，m/d；</w:t>
      </w:r>
    </w:p>
    <w:p w14:paraId="2ED3CFA5">
      <w:pPr>
        <w:ind w:firstLine="480"/>
        <w:rPr>
          <w:color w:val="auto"/>
          <w:lang w:val="pt-BR"/>
        </w:rPr>
      </w:pPr>
      <w:r>
        <w:rPr>
          <w:color w:val="auto"/>
          <w:lang w:val="pt-BR"/>
        </w:rPr>
        <w:t xml:space="preserve">  I—</w:t>
      </w:r>
      <w:r>
        <w:rPr>
          <w:color w:val="auto"/>
        </w:rPr>
        <w:t>水力坡度</w:t>
      </w:r>
      <w:r>
        <w:rPr>
          <w:color w:val="auto"/>
          <w:lang w:val="pt-BR"/>
        </w:rPr>
        <w:t>；</w:t>
      </w:r>
    </w:p>
    <w:p w14:paraId="0ED1AC1C">
      <w:pPr>
        <w:ind w:firstLine="480"/>
        <w:rPr>
          <w:color w:val="auto"/>
          <w:lang w:val="pt-BR"/>
        </w:rPr>
      </w:pPr>
      <w:r>
        <w:rPr>
          <w:color w:val="auto"/>
          <w:lang w:val="pt-BR"/>
        </w:rPr>
        <w:t xml:space="preserve">  n—</w:t>
      </w:r>
      <w:r>
        <w:rPr>
          <w:color w:val="auto"/>
        </w:rPr>
        <w:t>孔隙度</w:t>
      </w:r>
      <w:r>
        <w:rPr>
          <w:color w:val="auto"/>
          <w:lang w:val="pt-BR"/>
        </w:rPr>
        <w:t>；</w:t>
      </w:r>
    </w:p>
    <w:p w14:paraId="1CC4665F">
      <w:pPr>
        <w:ind w:firstLine="480"/>
        <w:rPr>
          <w:color w:val="auto"/>
          <w:lang w:val="pt-BR"/>
        </w:rPr>
      </w:pPr>
      <w:r>
        <w:rPr>
          <w:color w:val="auto"/>
          <w:lang w:val="pt-BR"/>
        </w:rPr>
        <w:t xml:space="preserve">  D</w:t>
      </w:r>
      <w:r>
        <w:rPr>
          <w:color w:val="auto"/>
          <w:vertAlign w:val="subscript"/>
          <w:lang w:val="pt-BR"/>
        </w:rPr>
        <w:t>L</w:t>
      </w:r>
      <w:r>
        <w:rPr>
          <w:color w:val="auto"/>
          <w:lang w:val="pt-BR"/>
        </w:rPr>
        <w:t>—</w:t>
      </w:r>
      <w:r>
        <w:rPr>
          <w:color w:val="auto"/>
        </w:rPr>
        <w:t>纵向弥散系数</w:t>
      </w:r>
      <w:r>
        <w:rPr>
          <w:color w:val="auto"/>
          <w:lang w:val="pt-BR"/>
        </w:rPr>
        <w:t>，m</w:t>
      </w:r>
      <w:r>
        <w:rPr>
          <w:color w:val="auto"/>
          <w:vertAlign w:val="superscript"/>
          <w:lang w:val="pt-BR"/>
        </w:rPr>
        <w:t>2</w:t>
      </w:r>
      <w:r>
        <w:rPr>
          <w:color w:val="auto"/>
          <w:lang w:val="pt-BR"/>
        </w:rPr>
        <w:t>/d；</w:t>
      </w:r>
    </w:p>
    <w:p w14:paraId="359806D4">
      <w:pPr>
        <w:ind w:firstLine="480"/>
        <w:rPr>
          <w:color w:val="auto"/>
        </w:rPr>
      </w:pPr>
      <w:r>
        <w:rPr>
          <w:color w:val="auto"/>
          <w:lang w:val="pt-BR"/>
        </w:rPr>
        <w:t xml:space="preserve">  </w:t>
      </w:r>
      <w:r>
        <w:rPr>
          <w:color w:val="auto"/>
        </w:rPr>
        <w:t>a</w:t>
      </w:r>
      <w:r>
        <w:rPr>
          <w:color w:val="auto"/>
          <w:vertAlign w:val="subscript"/>
        </w:rPr>
        <w:t>L</w:t>
      </w:r>
      <w:r>
        <w:rPr>
          <w:color w:val="auto"/>
        </w:rPr>
        <w:t>—纵向弥散度；</w:t>
      </w:r>
    </w:p>
    <w:p w14:paraId="244AD553">
      <w:pPr>
        <w:ind w:firstLine="480"/>
        <w:rPr>
          <w:color w:val="auto"/>
        </w:rPr>
      </w:pPr>
      <w:r>
        <w:rPr>
          <w:color w:val="auto"/>
        </w:rPr>
        <w:t xml:space="preserve">  m—指数。</w:t>
      </w:r>
    </w:p>
    <w:p w14:paraId="65E6909D">
      <w:pPr>
        <w:ind w:firstLine="480"/>
        <w:rPr>
          <w:color w:val="auto"/>
        </w:rPr>
      </w:pPr>
      <w:r>
        <w:rPr>
          <w:rFonts w:hint="eastAsia"/>
          <w:color w:val="auto"/>
        </w:rPr>
        <w:t>具体见下表。</w:t>
      </w:r>
    </w:p>
    <w:p w14:paraId="5946D177">
      <w:pPr>
        <w:widowControl/>
        <w:ind w:firstLine="0" w:firstLineChars="0"/>
        <w:jc w:val="center"/>
        <w:rPr>
          <w:b/>
          <w:color w:val="auto"/>
        </w:rPr>
      </w:pPr>
      <w:r>
        <w:rPr>
          <w:b/>
          <w:color w:val="auto"/>
        </w:rPr>
        <w:t>表6.5.4-3  场地水文地质参数表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136"/>
        <w:gridCol w:w="5048"/>
      </w:tblGrid>
      <w:tr w14:paraId="4382C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55" w:type="pct"/>
            <w:vAlign w:val="center"/>
          </w:tcPr>
          <w:p w14:paraId="0CDEBACB">
            <w:pPr>
              <w:widowControl/>
              <w:adjustRightInd/>
              <w:snapToGrid/>
              <w:spacing w:line="240" w:lineRule="exact"/>
              <w:ind w:firstLine="0" w:firstLineChars="0"/>
              <w:jc w:val="center"/>
              <w:rPr>
                <w:b/>
                <w:color w:val="auto"/>
                <w:kern w:val="0"/>
                <w:sz w:val="21"/>
                <w:szCs w:val="21"/>
              </w:rPr>
            </w:pPr>
            <w:r>
              <w:rPr>
                <w:b/>
                <w:color w:val="auto"/>
                <w:kern w:val="0"/>
                <w:sz w:val="21"/>
                <w:szCs w:val="21"/>
              </w:rPr>
              <w:t>指标</w:t>
            </w:r>
          </w:p>
        </w:tc>
        <w:tc>
          <w:tcPr>
            <w:tcW w:w="1084" w:type="pct"/>
            <w:vAlign w:val="center"/>
          </w:tcPr>
          <w:p w14:paraId="57B0BB30">
            <w:pPr>
              <w:widowControl/>
              <w:adjustRightInd/>
              <w:snapToGrid/>
              <w:spacing w:line="240" w:lineRule="exact"/>
              <w:ind w:firstLine="0" w:firstLineChars="0"/>
              <w:jc w:val="center"/>
              <w:rPr>
                <w:b/>
                <w:color w:val="auto"/>
                <w:kern w:val="0"/>
                <w:sz w:val="21"/>
                <w:szCs w:val="21"/>
              </w:rPr>
            </w:pPr>
            <w:r>
              <w:rPr>
                <w:b/>
                <w:color w:val="auto"/>
                <w:kern w:val="0"/>
                <w:sz w:val="21"/>
                <w:szCs w:val="21"/>
              </w:rPr>
              <w:t>参数</w:t>
            </w:r>
          </w:p>
        </w:tc>
        <w:tc>
          <w:tcPr>
            <w:tcW w:w="2561" w:type="pct"/>
            <w:vAlign w:val="center"/>
          </w:tcPr>
          <w:p w14:paraId="3209F82E">
            <w:pPr>
              <w:widowControl/>
              <w:adjustRightInd/>
              <w:snapToGrid/>
              <w:spacing w:line="240" w:lineRule="exact"/>
              <w:ind w:firstLine="0" w:firstLineChars="0"/>
              <w:jc w:val="center"/>
              <w:rPr>
                <w:b/>
                <w:color w:val="auto"/>
                <w:kern w:val="0"/>
                <w:sz w:val="21"/>
                <w:szCs w:val="21"/>
              </w:rPr>
            </w:pPr>
            <w:r>
              <w:rPr>
                <w:b/>
                <w:color w:val="auto"/>
                <w:kern w:val="0"/>
                <w:sz w:val="21"/>
                <w:szCs w:val="21"/>
              </w:rPr>
              <w:t>说明</w:t>
            </w:r>
          </w:p>
        </w:tc>
      </w:tr>
      <w:tr w14:paraId="3C777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355" w:type="pct"/>
            <w:vAlign w:val="center"/>
          </w:tcPr>
          <w:p w14:paraId="0BB5E4AF">
            <w:pPr>
              <w:widowControl/>
              <w:adjustRightInd/>
              <w:snapToGrid/>
              <w:spacing w:line="240" w:lineRule="exact"/>
              <w:ind w:firstLine="0" w:firstLineChars="0"/>
              <w:jc w:val="center"/>
              <w:rPr>
                <w:color w:val="auto"/>
                <w:kern w:val="0"/>
                <w:sz w:val="21"/>
                <w:szCs w:val="21"/>
              </w:rPr>
            </w:pPr>
            <w:r>
              <w:rPr>
                <w:color w:val="auto"/>
                <w:kern w:val="0"/>
                <w:sz w:val="21"/>
                <w:szCs w:val="21"/>
              </w:rPr>
              <w:t>含水层厚度M</w:t>
            </w:r>
          </w:p>
        </w:tc>
        <w:tc>
          <w:tcPr>
            <w:tcW w:w="1084" w:type="pct"/>
            <w:vAlign w:val="center"/>
          </w:tcPr>
          <w:p w14:paraId="5C12D14F">
            <w:pPr>
              <w:widowControl/>
              <w:adjustRightInd/>
              <w:snapToGrid/>
              <w:spacing w:line="240" w:lineRule="exact"/>
              <w:ind w:firstLine="0" w:firstLineChars="0"/>
              <w:jc w:val="center"/>
              <w:rPr>
                <w:color w:val="auto"/>
                <w:kern w:val="0"/>
                <w:sz w:val="21"/>
                <w:szCs w:val="21"/>
              </w:rPr>
            </w:pPr>
            <w:r>
              <w:rPr>
                <w:color w:val="auto"/>
                <w:kern w:val="0"/>
                <w:sz w:val="21"/>
                <w:szCs w:val="21"/>
              </w:rPr>
              <w:t>25m</w:t>
            </w:r>
          </w:p>
        </w:tc>
        <w:tc>
          <w:tcPr>
            <w:tcW w:w="2561" w:type="pct"/>
            <w:vAlign w:val="center"/>
          </w:tcPr>
          <w:p w14:paraId="58F4A554">
            <w:pPr>
              <w:widowControl/>
              <w:adjustRightInd/>
              <w:snapToGrid/>
              <w:spacing w:line="240" w:lineRule="exact"/>
              <w:ind w:firstLine="0" w:firstLineChars="0"/>
              <w:jc w:val="center"/>
              <w:rPr>
                <w:color w:val="auto"/>
                <w:kern w:val="0"/>
                <w:sz w:val="21"/>
                <w:szCs w:val="21"/>
              </w:rPr>
            </w:pPr>
            <w:r>
              <w:rPr>
                <w:color w:val="auto"/>
                <w:kern w:val="0"/>
                <w:sz w:val="21"/>
                <w:szCs w:val="21"/>
              </w:rPr>
              <w:t>根据2023年园区工程勘察资料</w:t>
            </w:r>
          </w:p>
        </w:tc>
      </w:tr>
      <w:tr w14:paraId="62DA5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5" w:type="pct"/>
            <w:vAlign w:val="center"/>
          </w:tcPr>
          <w:p w14:paraId="4EC424DB">
            <w:pPr>
              <w:widowControl/>
              <w:adjustRightInd/>
              <w:snapToGrid/>
              <w:spacing w:line="240" w:lineRule="exact"/>
              <w:ind w:firstLine="0" w:firstLineChars="0"/>
              <w:jc w:val="center"/>
              <w:rPr>
                <w:color w:val="auto"/>
                <w:kern w:val="0"/>
                <w:sz w:val="21"/>
                <w:szCs w:val="21"/>
              </w:rPr>
            </w:pPr>
            <w:r>
              <w:rPr>
                <w:color w:val="auto"/>
                <w:kern w:val="0"/>
                <w:sz w:val="21"/>
                <w:szCs w:val="21"/>
              </w:rPr>
              <w:t>水流速度u</w:t>
            </w:r>
          </w:p>
        </w:tc>
        <w:tc>
          <w:tcPr>
            <w:tcW w:w="1084" w:type="pct"/>
            <w:vAlign w:val="center"/>
          </w:tcPr>
          <w:p w14:paraId="55C6B462">
            <w:pPr>
              <w:widowControl/>
              <w:adjustRightInd/>
              <w:snapToGrid/>
              <w:spacing w:line="240" w:lineRule="exact"/>
              <w:ind w:firstLine="0" w:firstLineChars="0"/>
              <w:jc w:val="center"/>
              <w:rPr>
                <w:color w:val="auto"/>
                <w:kern w:val="0"/>
                <w:sz w:val="21"/>
                <w:szCs w:val="21"/>
              </w:rPr>
            </w:pPr>
            <w:r>
              <w:rPr>
                <w:color w:val="auto"/>
                <w:kern w:val="0"/>
                <w:sz w:val="21"/>
                <w:szCs w:val="21"/>
              </w:rPr>
              <w:t>0.00259m/d</w:t>
            </w:r>
          </w:p>
        </w:tc>
        <w:tc>
          <w:tcPr>
            <w:tcW w:w="2561" w:type="pct"/>
            <w:vAlign w:val="center"/>
          </w:tcPr>
          <w:p w14:paraId="4302F0BD">
            <w:pPr>
              <w:widowControl/>
              <w:adjustRightInd/>
              <w:snapToGrid/>
              <w:spacing w:line="240" w:lineRule="exact"/>
              <w:ind w:firstLine="0" w:firstLineChars="0"/>
              <w:jc w:val="center"/>
              <w:rPr>
                <w:color w:val="auto"/>
                <w:kern w:val="0"/>
                <w:sz w:val="21"/>
                <w:szCs w:val="21"/>
              </w:rPr>
            </w:pPr>
            <w:r>
              <w:rPr>
                <w:color w:val="auto"/>
                <w:kern w:val="0"/>
                <w:sz w:val="21"/>
                <w:szCs w:val="21"/>
              </w:rPr>
              <w:t>根据U＝K×I／n公式计算得到</w:t>
            </w:r>
          </w:p>
        </w:tc>
      </w:tr>
      <w:tr w14:paraId="12D24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355" w:type="pct"/>
            <w:vAlign w:val="center"/>
          </w:tcPr>
          <w:p w14:paraId="6CD69AC9">
            <w:pPr>
              <w:widowControl/>
              <w:adjustRightInd/>
              <w:snapToGrid/>
              <w:spacing w:line="240" w:lineRule="exact"/>
              <w:ind w:firstLine="0" w:firstLineChars="0"/>
              <w:jc w:val="center"/>
              <w:rPr>
                <w:color w:val="auto"/>
                <w:kern w:val="0"/>
                <w:sz w:val="21"/>
                <w:szCs w:val="21"/>
              </w:rPr>
            </w:pPr>
            <w:r>
              <w:rPr>
                <w:color w:val="auto"/>
                <w:kern w:val="0"/>
                <w:sz w:val="21"/>
                <w:szCs w:val="21"/>
              </w:rPr>
              <w:t>有效孔隙度n</w:t>
            </w:r>
          </w:p>
        </w:tc>
        <w:tc>
          <w:tcPr>
            <w:tcW w:w="1084" w:type="pct"/>
            <w:vAlign w:val="center"/>
          </w:tcPr>
          <w:p w14:paraId="7FFCEFBA">
            <w:pPr>
              <w:widowControl/>
              <w:adjustRightInd/>
              <w:snapToGrid/>
              <w:spacing w:line="240" w:lineRule="exact"/>
              <w:ind w:firstLine="0" w:firstLineChars="0"/>
              <w:jc w:val="center"/>
              <w:rPr>
                <w:color w:val="auto"/>
                <w:kern w:val="0"/>
                <w:sz w:val="21"/>
                <w:szCs w:val="21"/>
              </w:rPr>
            </w:pPr>
            <w:r>
              <w:rPr>
                <w:color w:val="auto"/>
                <w:kern w:val="0"/>
                <w:sz w:val="21"/>
                <w:szCs w:val="21"/>
              </w:rPr>
              <w:t>0.4</w:t>
            </w:r>
          </w:p>
        </w:tc>
        <w:tc>
          <w:tcPr>
            <w:tcW w:w="2561" w:type="pct"/>
            <w:vAlign w:val="center"/>
          </w:tcPr>
          <w:p w14:paraId="2585A331">
            <w:pPr>
              <w:widowControl/>
              <w:adjustRightInd/>
              <w:snapToGrid/>
              <w:spacing w:line="240" w:lineRule="exact"/>
              <w:ind w:firstLine="0" w:firstLineChars="0"/>
              <w:jc w:val="center"/>
              <w:rPr>
                <w:color w:val="auto"/>
                <w:kern w:val="0"/>
                <w:sz w:val="21"/>
                <w:szCs w:val="21"/>
              </w:rPr>
            </w:pPr>
            <w:r>
              <w:rPr>
                <w:color w:val="auto"/>
                <w:kern w:val="0"/>
                <w:sz w:val="21"/>
                <w:szCs w:val="21"/>
              </w:rPr>
              <w:t>根据据弗里泽，1987，参考值</w:t>
            </w:r>
          </w:p>
        </w:tc>
      </w:tr>
      <w:tr w14:paraId="458A5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55" w:type="pct"/>
            <w:vAlign w:val="center"/>
          </w:tcPr>
          <w:p w14:paraId="2750EEF3">
            <w:pPr>
              <w:widowControl/>
              <w:adjustRightInd/>
              <w:snapToGrid/>
              <w:spacing w:line="240" w:lineRule="exact"/>
              <w:ind w:firstLine="0" w:firstLineChars="0"/>
              <w:jc w:val="center"/>
              <w:rPr>
                <w:color w:val="auto"/>
                <w:kern w:val="0"/>
                <w:sz w:val="21"/>
                <w:szCs w:val="21"/>
              </w:rPr>
            </w:pPr>
            <w:r>
              <w:rPr>
                <w:color w:val="auto"/>
                <w:kern w:val="0"/>
                <w:sz w:val="21"/>
                <w:szCs w:val="21"/>
              </w:rPr>
              <w:t>纵向弥散系数D</w:t>
            </w:r>
            <w:r>
              <w:rPr>
                <w:color w:val="auto"/>
                <w:kern w:val="0"/>
                <w:sz w:val="21"/>
                <w:szCs w:val="21"/>
                <w:vertAlign w:val="subscript"/>
              </w:rPr>
              <w:t>L</w:t>
            </w:r>
          </w:p>
        </w:tc>
        <w:tc>
          <w:tcPr>
            <w:tcW w:w="1084" w:type="pct"/>
            <w:vAlign w:val="center"/>
          </w:tcPr>
          <w:p w14:paraId="66EBA92E">
            <w:pPr>
              <w:widowControl/>
              <w:adjustRightInd/>
              <w:snapToGrid/>
              <w:spacing w:line="240" w:lineRule="exact"/>
              <w:ind w:firstLine="0" w:firstLineChars="0"/>
              <w:jc w:val="center"/>
              <w:rPr>
                <w:color w:val="auto"/>
                <w:kern w:val="0"/>
                <w:sz w:val="21"/>
                <w:szCs w:val="21"/>
              </w:rPr>
            </w:pPr>
            <w:r>
              <w:rPr>
                <w:color w:val="auto"/>
                <w:kern w:val="0"/>
                <w:sz w:val="21"/>
                <w:szCs w:val="21"/>
              </w:rPr>
              <w:t>0.085m</w:t>
            </w:r>
            <w:r>
              <w:rPr>
                <w:color w:val="auto"/>
                <w:kern w:val="0"/>
                <w:sz w:val="21"/>
                <w:szCs w:val="21"/>
                <w:vertAlign w:val="superscript"/>
              </w:rPr>
              <w:t>2</w:t>
            </w:r>
            <w:r>
              <w:rPr>
                <w:color w:val="auto"/>
                <w:kern w:val="0"/>
                <w:sz w:val="21"/>
                <w:szCs w:val="21"/>
              </w:rPr>
              <w:t>/d</w:t>
            </w:r>
          </w:p>
        </w:tc>
        <w:tc>
          <w:tcPr>
            <w:tcW w:w="2561" w:type="pct"/>
            <w:vAlign w:val="center"/>
          </w:tcPr>
          <w:p w14:paraId="79C63FCB">
            <w:pPr>
              <w:widowControl/>
              <w:adjustRightInd/>
              <w:snapToGrid/>
              <w:spacing w:line="240" w:lineRule="exact"/>
              <w:ind w:firstLine="0" w:firstLineChars="0"/>
              <w:jc w:val="center"/>
              <w:rPr>
                <w:color w:val="auto"/>
                <w:kern w:val="0"/>
                <w:sz w:val="21"/>
                <w:szCs w:val="21"/>
              </w:rPr>
            </w:pPr>
            <w:r>
              <w:rPr>
                <w:color w:val="auto"/>
                <w:kern w:val="0"/>
                <w:sz w:val="21"/>
                <w:szCs w:val="21"/>
              </w:rPr>
              <w:t>根据经验公式计算</w:t>
            </w:r>
          </w:p>
        </w:tc>
      </w:tr>
    </w:tbl>
    <w:p w14:paraId="678A806F">
      <w:pPr>
        <w:ind w:firstLine="482"/>
        <w:rPr>
          <w:b/>
          <w:bCs/>
          <w:color w:val="auto"/>
        </w:rPr>
      </w:pPr>
      <w:r>
        <w:rPr>
          <w:rFonts w:hint="eastAsia"/>
          <w:b/>
          <w:bCs/>
          <w:color w:val="auto"/>
        </w:rPr>
        <w:t>3、预测结果及分析</w:t>
      </w:r>
    </w:p>
    <w:p w14:paraId="476E11AB">
      <w:pPr>
        <w:ind w:firstLine="480"/>
        <w:rPr>
          <w:color w:val="auto"/>
        </w:rPr>
      </w:pPr>
      <w:r>
        <w:rPr>
          <w:color w:val="auto"/>
        </w:rPr>
        <w:t>非正常情况下污水下渗的预测结果：</w:t>
      </w:r>
    </w:p>
    <w:p w14:paraId="64A8A3D0">
      <w:pPr>
        <w:ind w:firstLine="480"/>
        <w:rPr>
          <w:color w:val="auto"/>
        </w:rPr>
      </w:pPr>
      <w:r>
        <w:rPr>
          <w:color w:val="auto"/>
        </w:rPr>
        <w:t>高锰酸盐指数地下运移范围计算结果见表6.5.4-4和图6.5.4-1。</w:t>
      </w:r>
    </w:p>
    <w:p w14:paraId="34A14279">
      <w:pPr>
        <w:ind w:firstLine="482"/>
        <w:jc w:val="center"/>
        <w:rPr>
          <w:b/>
          <w:color w:val="auto"/>
        </w:rPr>
      </w:pPr>
      <w:r>
        <w:rPr>
          <w:b/>
          <w:color w:val="auto"/>
        </w:rPr>
        <w:t>表6.5.4-4 高锰酸盐指数预测结果(mg/L)</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1904"/>
        <w:gridCol w:w="1904"/>
        <w:gridCol w:w="1904"/>
        <w:gridCol w:w="1908"/>
      </w:tblGrid>
      <w:tr w14:paraId="7C8E4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Merge w:val="restart"/>
            <w:noWrap/>
            <w:vAlign w:val="center"/>
          </w:tcPr>
          <w:p w14:paraId="297FE29E">
            <w:pPr>
              <w:spacing w:line="240" w:lineRule="auto"/>
              <w:ind w:firstLine="0" w:firstLineChars="0"/>
              <w:jc w:val="center"/>
              <w:rPr>
                <w:b/>
                <w:bCs/>
                <w:color w:val="auto"/>
                <w:sz w:val="21"/>
                <w:szCs w:val="21"/>
              </w:rPr>
            </w:pPr>
            <w:r>
              <w:rPr>
                <w:b/>
                <w:bCs/>
                <w:color w:val="auto"/>
                <w:sz w:val="21"/>
                <w:szCs w:val="21"/>
              </w:rPr>
              <w:t>x距离(m)</w:t>
            </w:r>
          </w:p>
        </w:tc>
        <w:tc>
          <w:tcPr>
            <w:tcW w:w="3866" w:type="pct"/>
            <w:gridSpan w:val="4"/>
            <w:noWrap/>
            <w:vAlign w:val="center"/>
          </w:tcPr>
          <w:p w14:paraId="2A2585E4">
            <w:pPr>
              <w:spacing w:line="240" w:lineRule="auto"/>
              <w:ind w:firstLine="0" w:firstLineChars="0"/>
              <w:jc w:val="center"/>
              <w:rPr>
                <w:b/>
                <w:bCs/>
                <w:color w:val="auto"/>
                <w:sz w:val="21"/>
                <w:szCs w:val="21"/>
              </w:rPr>
            </w:pPr>
            <w:r>
              <w:rPr>
                <w:b/>
                <w:bCs/>
                <w:color w:val="auto"/>
                <w:sz w:val="21"/>
                <w:szCs w:val="21"/>
              </w:rPr>
              <w:t>时间</w:t>
            </w:r>
          </w:p>
        </w:tc>
      </w:tr>
      <w:tr w14:paraId="4D3AF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Merge w:val="continue"/>
            <w:vAlign w:val="center"/>
          </w:tcPr>
          <w:p w14:paraId="788834AC">
            <w:pPr>
              <w:spacing w:line="240" w:lineRule="auto"/>
              <w:ind w:firstLine="0" w:firstLineChars="0"/>
              <w:jc w:val="center"/>
              <w:rPr>
                <w:b/>
                <w:bCs/>
                <w:color w:val="auto"/>
                <w:sz w:val="21"/>
                <w:szCs w:val="21"/>
              </w:rPr>
            </w:pPr>
          </w:p>
        </w:tc>
        <w:tc>
          <w:tcPr>
            <w:tcW w:w="966" w:type="pct"/>
            <w:noWrap/>
            <w:vAlign w:val="center"/>
          </w:tcPr>
          <w:p w14:paraId="1C59AFC9">
            <w:pPr>
              <w:spacing w:line="240" w:lineRule="auto"/>
              <w:ind w:firstLine="0" w:firstLineChars="0"/>
              <w:jc w:val="center"/>
              <w:rPr>
                <w:b/>
                <w:bCs/>
                <w:color w:val="auto"/>
                <w:sz w:val="21"/>
                <w:szCs w:val="21"/>
              </w:rPr>
            </w:pPr>
            <w:r>
              <w:rPr>
                <w:b/>
                <w:bCs/>
                <w:color w:val="auto"/>
                <w:sz w:val="21"/>
                <w:szCs w:val="21"/>
              </w:rPr>
              <w:t>100</w:t>
            </w:r>
            <w:r>
              <w:rPr>
                <w:rFonts w:hint="eastAsia"/>
                <w:b/>
                <w:bCs/>
                <w:color w:val="auto"/>
                <w:sz w:val="21"/>
                <w:szCs w:val="21"/>
              </w:rPr>
              <w:t>d</w:t>
            </w:r>
          </w:p>
        </w:tc>
        <w:tc>
          <w:tcPr>
            <w:tcW w:w="966" w:type="pct"/>
            <w:noWrap/>
            <w:vAlign w:val="center"/>
          </w:tcPr>
          <w:p w14:paraId="37B96AE4">
            <w:pPr>
              <w:spacing w:line="240" w:lineRule="auto"/>
              <w:ind w:firstLine="0" w:firstLineChars="0"/>
              <w:jc w:val="center"/>
              <w:rPr>
                <w:b/>
                <w:bCs/>
                <w:color w:val="auto"/>
                <w:sz w:val="21"/>
                <w:szCs w:val="21"/>
              </w:rPr>
            </w:pPr>
            <w:r>
              <w:rPr>
                <w:b/>
                <w:bCs/>
                <w:color w:val="auto"/>
                <w:sz w:val="21"/>
                <w:szCs w:val="21"/>
              </w:rPr>
              <w:t>1000</w:t>
            </w:r>
            <w:r>
              <w:rPr>
                <w:rFonts w:hint="eastAsia"/>
                <w:b/>
                <w:bCs/>
                <w:color w:val="auto"/>
                <w:sz w:val="21"/>
                <w:szCs w:val="21"/>
              </w:rPr>
              <w:t>d</w:t>
            </w:r>
          </w:p>
        </w:tc>
        <w:tc>
          <w:tcPr>
            <w:tcW w:w="966" w:type="pct"/>
            <w:noWrap/>
            <w:vAlign w:val="center"/>
          </w:tcPr>
          <w:p w14:paraId="5F46817F">
            <w:pPr>
              <w:spacing w:line="240" w:lineRule="auto"/>
              <w:ind w:firstLine="0" w:firstLineChars="0"/>
              <w:jc w:val="center"/>
              <w:rPr>
                <w:b/>
                <w:bCs/>
                <w:color w:val="auto"/>
                <w:sz w:val="21"/>
                <w:szCs w:val="21"/>
              </w:rPr>
            </w:pPr>
            <w:r>
              <w:rPr>
                <w:rFonts w:hint="eastAsia"/>
                <w:b/>
                <w:bCs/>
                <w:color w:val="auto"/>
                <w:sz w:val="21"/>
                <w:szCs w:val="21"/>
              </w:rPr>
              <w:t>10a</w:t>
            </w:r>
          </w:p>
        </w:tc>
        <w:tc>
          <w:tcPr>
            <w:tcW w:w="968" w:type="pct"/>
            <w:noWrap/>
            <w:vAlign w:val="center"/>
          </w:tcPr>
          <w:p w14:paraId="2EE2C8B8">
            <w:pPr>
              <w:spacing w:line="240" w:lineRule="auto"/>
              <w:ind w:firstLine="0" w:firstLineChars="0"/>
              <w:jc w:val="center"/>
              <w:rPr>
                <w:b/>
                <w:bCs/>
                <w:color w:val="auto"/>
                <w:sz w:val="21"/>
                <w:szCs w:val="21"/>
              </w:rPr>
            </w:pPr>
            <w:r>
              <w:rPr>
                <w:rFonts w:hint="eastAsia"/>
                <w:b/>
                <w:bCs/>
                <w:color w:val="auto"/>
                <w:sz w:val="21"/>
                <w:szCs w:val="21"/>
              </w:rPr>
              <w:t>20a</w:t>
            </w:r>
          </w:p>
        </w:tc>
      </w:tr>
      <w:tr w14:paraId="57076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noWrap/>
            <w:vAlign w:val="center"/>
          </w:tcPr>
          <w:p w14:paraId="6B22D6F2">
            <w:pPr>
              <w:spacing w:line="240" w:lineRule="auto"/>
              <w:ind w:firstLine="0" w:firstLineChars="0"/>
              <w:jc w:val="center"/>
              <w:rPr>
                <w:color w:val="auto"/>
                <w:sz w:val="21"/>
                <w:szCs w:val="21"/>
              </w:rPr>
            </w:pPr>
            <w:r>
              <w:rPr>
                <w:color w:val="auto"/>
                <w:sz w:val="21"/>
                <w:szCs w:val="21"/>
              </w:rPr>
              <w:t>1.0</w:t>
            </w:r>
          </w:p>
        </w:tc>
        <w:tc>
          <w:tcPr>
            <w:tcW w:w="966" w:type="pct"/>
            <w:noWrap/>
            <w:vAlign w:val="center"/>
          </w:tcPr>
          <w:p w14:paraId="329D00D8">
            <w:pPr>
              <w:spacing w:line="240" w:lineRule="auto"/>
              <w:ind w:firstLine="0" w:firstLineChars="0"/>
              <w:jc w:val="center"/>
              <w:rPr>
                <w:color w:val="auto"/>
                <w:sz w:val="21"/>
                <w:szCs w:val="21"/>
              </w:rPr>
            </w:pPr>
            <w:r>
              <w:rPr>
                <w:rFonts w:hint="eastAsia"/>
                <w:color w:val="auto"/>
                <w:sz w:val="21"/>
                <w:szCs w:val="21"/>
              </w:rPr>
              <w:t>656.40</w:t>
            </w:r>
          </w:p>
        </w:tc>
        <w:tc>
          <w:tcPr>
            <w:tcW w:w="966" w:type="pct"/>
            <w:noWrap/>
            <w:vAlign w:val="center"/>
          </w:tcPr>
          <w:p w14:paraId="4C362CEB">
            <w:pPr>
              <w:spacing w:line="240" w:lineRule="auto"/>
              <w:ind w:firstLine="0" w:firstLineChars="0"/>
              <w:jc w:val="center"/>
              <w:rPr>
                <w:color w:val="auto"/>
                <w:sz w:val="21"/>
                <w:szCs w:val="21"/>
              </w:rPr>
            </w:pPr>
            <w:r>
              <w:rPr>
                <w:rFonts w:hint="eastAsia"/>
                <w:color w:val="auto"/>
                <w:sz w:val="21"/>
                <w:szCs w:val="21"/>
              </w:rPr>
              <w:t>761.74</w:t>
            </w:r>
          </w:p>
        </w:tc>
        <w:tc>
          <w:tcPr>
            <w:tcW w:w="966" w:type="pct"/>
            <w:noWrap/>
            <w:vAlign w:val="center"/>
          </w:tcPr>
          <w:p w14:paraId="55661407">
            <w:pPr>
              <w:spacing w:line="240" w:lineRule="auto"/>
              <w:ind w:firstLine="0" w:firstLineChars="0"/>
              <w:jc w:val="center"/>
              <w:rPr>
                <w:color w:val="auto"/>
                <w:sz w:val="21"/>
                <w:szCs w:val="21"/>
              </w:rPr>
            </w:pPr>
            <w:r>
              <w:rPr>
                <w:rFonts w:hint="eastAsia"/>
                <w:color w:val="auto"/>
                <w:sz w:val="21"/>
                <w:szCs w:val="21"/>
              </w:rPr>
              <w:t>784.51</w:t>
            </w:r>
          </w:p>
        </w:tc>
        <w:tc>
          <w:tcPr>
            <w:tcW w:w="968" w:type="pct"/>
            <w:noWrap/>
            <w:vAlign w:val="center"/>
          </w:tcPr>
          <w:p w14:paraId="481B3685">
            <w:pPr>
              <w:spacing w:line="240" w:lineRule="auto"/>
              <w:ind w:firstLine="0" w:firstLineChars="0"/>
              <w:jc w:val="center"/>
              <w:rPr>
                <w:color w:val="auto"/>
                <w:sz w:val="21"/>
                <w:szCs w:val="21"/>
              </w:rPr>
            </w:pPr>
            <w:r>
              <w:rPr>
                <w:rFonts w:hint="eastAsia"/>
                <w:color w:val="auto"/>
                <w:sz w:val="21"/>
                <w:szCs w:val="21"/>
              </w:rPr>
              <w:t>791.39</w:t>
            </w:r>
          </w:p>
        </w:tc>
      </w:tr>
      <w:tr w14:paraId="092A5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noWrap/>
            <w:vAlign w:val="center"/>
          </w:tcPr>
          <w:p w14:paraId="5320301B">
            <w:pPr>
              <w:spacing w:line="240" w:lineRule="auto"/>
              <w:ind w:firstLine="0" w:firstLineChars="0"/>
              <w:jc w:val="center"/>
              <w:rPr>
                <w:color w:val="auto"/>
                <w:sz w:val="21"/>
                <w:szCs w:val="21"/>
              </w:rPr>
            </w:pPr>
            <w:r>
              <w:rPr>
                <w:rFonts w:hint="eastAsia"/>
                <w:color w:val="auto"/>
                <w:sz w:val="21"/>
                <w:szCs w:val="21"/>
              </w:rPr>
              <w:t>10</w:t>
            </w:r>
          </w:p>
        </w:tc>
        <w:tc>
          <w:tcPr>
            <w:tcW w:w="966" w:type="pct"/>
            <w:noWrap/>
            <w:vAlign w:val="center"/>
          </w:tcPr>
          <w:p w14:paraId="14E2605E">
            <w:pPr>
              <w:spacing w:line="240" w:lineRule="auto"/>
              <w:ind w:firstLine="0" w:firstLineChars="0"/>
              <w:jc w:val="center"/>
              <w:rPr>
                <w:color w:val="auto"/>
                <w:sz w:val="21"/>
                <w:szCs w:val="21"/>
              </w:rPr>
            </w:pPr>
            <w:r>
              <w:rPr>
                <w:rFonts w:hint="eastAsia"/>
                <w:color w:val="auto"/>
                <w:sz w:val="21"/>
                <w:szCs w:val="21"/>
              </w:rPr>
              <w:t>14.23</w:t>
            </w:r>
          </w:p>
        </w:tc>
        <w:tc>
          <w:tcPr>
            <w:tcW w:w="966" w:type="pct"/>
            <w:noWrap/>
            <w:vAlign w:val="center"/>
          </w:tcPr>
          <w:p w14:paraId="4B97A07C">
            <w:pPr>
              <w:spacing w:line="240" w:lineRule="auto"/>
              <w:ind w:firstLine="0" w:firstLineChars="0"/>
              <w:jc w:val="center"/>
              <w:rPr>
                <w:color w:val="auto"/>
                <w:sz w:val="21"/>
                <w:szCs w:val="21"/>
              </w:rPr>
            </w:pPr>
            <w:r>
              <w:rPr>
                <w:rFonts w:hint="eastAsia"/>
                <w:color w:val="auto"/>
                <w:sz w:val="21"/>
                <w:szCs w:val="21"/>
              </w:rPr>
              <w:t>409.25</w:t>
            </w:r>
          </w:p>
        </w:tc>
        <w:tc>
          <w:tcPr>
            <w:tcW w:w="966" w:type="pct"/>
            <w:noWrap/>
            <w:vAlign w:val="center"/>
          </w:tcPr>
          <w:p w14:paraId="12F48094">
            <w:pPr>
              <w:spacing w:line="240" w:lineRule="auto"/>
              <w:ind w:firstLine="0" w:firstLineChars="0"/>
              <w:jc w:val="center"/>
              <w:rPr>
                <w:color w:val="auto"/>
                <w:sz w:val="21"/>
                <w:szCs w:val="21"/>
              </w:rPr>
            </w:pPr>
            <w:r>
              <w:rPr>
                <w:rFonts w:hint="eastAsia"/>
                <w:color w:val="auto"/>
                <w:sz w:val="21"/>
                <w:szCs w:val="21"/>
              </w:rPr>
              <w:t>628.89</w:t>
            </w:r>
          </w:p>
        </w:tc>
        <w:tc>
          <w:tcPr>
            <w:tcW w:w="968" w:type="pct"/>
            <w:noWrap/>
            <w:vAlign w:val="center"/>
          </w:tcPr>
          <w:p w14:paraId="48F564D6">
            <w:pPr>
              <w:spacing w:line="240" w:lineRule="auto"/>
              <w:ind w:firstLine="0" w:firstLineChars="0"/>
              <w:jc w:val="center"/>
              <w:rPr>
                <w:color w:val="auto"/>
                <w:sz w:val="21"/>
                <w:szCs w:val="21"/>
              </w:rPr>
            </w:pPr>
            <w:r>
              <w:rPr>
                <w:rFonts w:hint="eastAsia"/>
                <w:color w:val="auto"/>
                <w:sz w:val="21"/>
                <w:szCs w:val="21"/>
              </w:rPr>
              <w:t>703.29</w:t>
            </w:r>
          </w:p>
        </w:tc>
      </w:tr>
      <w:tr w14:paraId="2F03B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noWrap/>
            <w:vAlign w:val="center"/>
          </w:tcPr>
          <w:p w14:paraId="37BE874E">
            <w:pPr>
              <w:spacing w:line="240" w:lineRule="auto"/>
              <w:ind w:firstLine="0" w:firstLineChars="0"/>
              <w:jc w:val="center"/>
              <w:rPr>
                <w:color w:val="auto"/>
                <w:sz w:val="21"/>
                <w:szCs w:val="21"/>
              </w:rPr>
            </w:pPr>
            <w:r>
              <w:rPr>
                <w:rFonts w:hint="eastAsia"/>
                <w:color w:val="auto"/>
                <w:sz w:val="21"/>
                <w:szCs w:val="21"/>
              </w:rPr>
              <w:t>20</w:t>
            </w:r>
          </w:p>
        </w:tc>
        <w:tc>
          <w:tcPr>
            <w:tcW w:w="966" w:type="pct"/>
            <w:noWrap/>
            <w:vAlign w:val="center"/>
          </w:tcPr>
          <w:p w14:paraId="23599B8C">
            <w:pPr>
              <w:spacing w:line="240" w:lineRule="auto"/>
              <w:ind w:firstLine="0" w:firstLineChars="0"/>
              <w:jc w:val="center"/>
              <w:rPr>
                <w:color w:val="auto"/>
                <w:sz w:val="21"/>
                <w:szCs w:val="21"/>
              </w:rPr>
            </w:pPr>
            <w:r>
              <w:rPr>
                <w:rFonts w:hint="eastAsia"/>
                <w:color w:val="auto"/>
                <w:sz w:val="21"/>
                <w:szCs w:val="21"/>
              </w:rPr>
              <w:t>0.001</w:t>
            </w:r>
          </w:p>
        </w:tc>
        <w:tc>
          <w:tcPr>
            <w:tcW w:w="966" w:type="pct"/>
            <w:noWrap/>
            <w:vAlign w:val="center"/>
          </w:tcPr>
          <w:p w14:paraId="3FB10607">
            <w:pPr>
              <w:spacing w:line="240" w:lineRule="auto"/>
              <w:ind w:firstLine="0" w:firstLineChars="0"/>
              <w:jc w:val="center"/>
              <w:rPr>
                <w:color w:val="auto"/>
                <w:sz w:val="21"/>
                <w:szCs w:val="21"/>
              </w:rPr>
            </w:pPr>
            <w:r>
              <w:rPr>
                <w:color w:val="auto"/>
                <w:sz w:val="21"/>
                <w:szCs w:val="21"/>
              </w:rPr>
              <w:t>133.9</w:t>
            </w:r>
            <w:r>
              <w:rPr>
                <w:rFonts w:hint="eastAsia"/>
                <w:color w:val="auto"/>
                <w:sz w:val="21"/>
                <w:szCs w:val="21"/>
              </w:rPr>
              <w:t>1</w:t>
            </w:r>
          </w:p>
        </w:tc>
        <w:tc>
          <w:tcPr>
            <w:tcW w:w="966" w:type="pct"/>
            <w:noWrap/>
            <w:vAlign w:val="center"/>
          </w:tcPr>
          <w:p w14:paraId="05410EEB">
            <w:pPr>
              <w:spacing w:line="240" w:lineRule="auto"/>
              <w:ind w:firstLine="0" w:firstLineChars="0"/>
              <w:jc w:val="center"/>
              <w:rPr>
                <w:color w:val="auto"/>
                <w:sz w:val="21"/>
                <w:szCs w:val="21"/>
              </w:rPr>
            </w:pPr>
            <w:r>
              <w:rPr>
                <w:rFonts w:hint="eastAsia"/>
                <w:color w:val="auto"/>
                <w:sz w:val="21"/>
                <w:szCs w:val="21"/>
              </w:rPr>
              <w:t>443.21</w:t>
            </w:r>
          </w:p>
        </w:tc>
        <w:tc>
          <w:tcPr>
            <w:tcW w:w="968" w:type="pct"/>
            <w:noWrap/>
            <w:vAlign w:val="center"/>
          </w:tcPr>
          <w:p w14:paraId="2BE5EEB7">
            <w:pPr>
              <w:spacing w:line="240" w:lineRule="auto"/>
              <w:ind w:firstLine="0" w:firstLineChars="0"/>
              <w:jc w:val="center"/>
              <w:rPr>
                <w:color w:val="auto"/>
                <w:sz w:val="21"/>
                <w:szCs w:val="21"/>
              </w:rPr>
            </w:pPr>
            <w:r>
              <w:rPr>
                <w:rFonts w:hint="eastAsia"/>
                <w:color w:val="auto"/>
                <w:sz w:val="21"/>
                <w:szCs w:val="21"/>
              </w:rPr>
              <w:t>588.31</w:t>
            </w:r>
          </w:p>
        </w:tc>
      </w:tr>
      <w:tr w14:paraId="26BFB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noWrap/>
            <w:vAlign w:val="center"/>
          </w:tcPr>
          <w:p w14:paraId="3C6252B6">
            <w:pPr>
              <w:spacing w:line="240" w:lineRule="auto"/>
              <w:ind w:firstLine="0" w:firstLineChars="0"/>
              <w:jc w:val="center"/>
              <w:rPr>
                <w:color w:val="auto"/>
                <w:sz w:val="21"/>
                <w:szCs w:val="21"/>
              </w:rPr>
            </w:pPr>
            <w:r>
              <w:rPr>
                <w:rFonts w:hint="eastAsia"/>
                <w:color w:val="auto"/>
                <w:sz w:val="21"/>
                <w:szCs w:val="21"/>
              </w:rPr>
              <w:t>40</w:t>
            </w:r>
          </w:p>
        </w:tc>
        <w:tc>
          <w:tcPr>
            <w:tcW w:w="966" w:type="pct"/>
            <w:noWrap/>
            <w:vAlign w:val="center"/>
          </w:tcPr>
          <w:p w14:paraId="230BF6C5">
            <w:pPr>
              <w:spacing w:line="240" w:lineRule="auto"/>
              <w:ind w:firstLine="0" w:firstLineChars="0"/>
              <w:jc w:val="center"/>
              <w:rPr>
                <w:color w:val="auto"/>
                <w:sz w:val="21"/>
                <w:szCs w:val="21"/>
              </w:rPr>
            </w:pPr>
            <w:r>
              <w:rPr>
                <w:rFonts w:hint="eastAsia"/>
                <w:color w:val="auto"/>
                <w:sz w:val="21"/>
                <w:szCs w:val="21"/>
              </w:rPr>
              <w:t>0.00</w:t>
            </w:r>
          </w:p>
        </w:tc>
        <w:tc>
          <w:tcPr>
            <w:tcW w:w="966" w:type="pct"/>
            <w:noWrap/>
            <w:vAlign w:val="center"/>
          </w:tcPr>
          <w:p w14:paraId="1D06B790">
            <w:pPr>
              <w:spacing w:line="240" w:lineRule="auto"/>
              <w:ind w:firstLine="0" w:firstLineChars="0"/>
              <w:jc w:val="center"/>
              <w:rPr>
                <w:color w:val="auto"/>
                <w:sz w:val="21"/>
                <w:szCs w:val="21"/>
              </w:rPr>
            </w:pPr>
            <w:r>
              <w:rPr>
                <w:rFonts w:hint="eastAsia"/>
                <w:color w:val="auto"/>
                <w:sz w:val="21"/>
                <w:szCs w:val="21"/>
              </w:rPr>
              <w:t>3.12</w:t>
            </w:r>
          </w:p>
        </w:tc>
        <w:tc>
          <w:tcPr>
            <w:tcW w:w="966" w:type="pct"/>
            <w:noWrap/>
            <w:vAlign w:val="center"/>
          </w:tcPr>
          <w:p w14:paraId="25BCDA8B">
            <w:pPr>
              <w:spacing w:line="240" w:lineRule="auto"/>
              <w:ind w:firstLine="0" w:firstLineChars="0"/>
              <w:jc w:val="center"/>
              <w:rPr>
                <w:color w:val="auto"/>
                <w:sz w:val="21"/>
                <w:szCs w:val="21"/>
              </w:rPr>
            </w:pPr>
            <w:r>
              <w:rPr>
                <w:rFonts w:hint="eastAsia"/>
                <w:color w:val="auto"/>
                <w:sz w:val="21"/>
                <w:szCs w:val="21"/>
              </w:rPr>
              <w:t>151.79</w:t>
            </w:r>
          </w:p>
        </w:tc>
        <w:tc>
          <w:tcPr>
            <w:tcW w:w="968" w:type="pct"/>
            <w:noWrap/>
            <w:vAlign w:val="center"/>
          </w:tcPr>
          <w:p w14:paraId="5918C80F">
            <w:pPr>
              <w:spacing w:line="240" w:lineRule="auto"/>
              <w:ind w:firstLine="0" w:firstLineChars="0"/>
              <w:jc w:val="center"/>
              <w:rPr>
                <w:color w:val="auto"/>
                <w:sz w:val="21"/>
                <w:szCs w:val="21"/>
              </w:rPr>
            </w:pPr>
            <w:r>
              <w:rPr>
                <w:rFonts w:hint="eastAsia"/>
                <w:color w:val="auto"/>
                <w:sz w:val="21"/>
                <w:szCs w:val="21"/>
              </w:rPr>
              <w:t>347.61</w:t>
            </w:r>
          </w:p>
        </w:tc>
      </w:tr>
      <w:tr w14:paraId="475E4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noWrap/>
            <w:vAlign w:val="center"/>
          </w:tcPr>
          <w:p w14:paraId="250829D3">
            <w:pPr>
              <w:spacing w:line="240" w:lineRule="auto"/>
              <w:ind w:firstLine="0" w:firstLineChars="0"/>
              <w:jc w:val="center"/>
              <w:rPr>
                <w:color w:val="auto"/>
                <w:sz w:val="21"/>
                <w:szCs w:val="21"/>
              </w:rPr>
            </w:pPr>
            <w:r>
              <w:rPr>
                <w:rFonts w:hint="eastAsia"/>
                <w:color w:val="auto"/>
                <w:sz w:val="21"/>
                <w:szCs w:val="21"/>
              </w:rPr>
              <w:t>60</w:t>
            </w:r>
          </w:p>
        </w:tc>
        <w:tc>
          <w:tcPr>
            <w:tcW w:w="966" w:type="pct"/>
            <w:noWrap/>
            <w:vAlign w:val="center"/>
          </w:tcPr>
          <w:p w14:paraId="45394B95">
            <w:pPr>
              <w:spacing w:line="240" w:lineRule="auto"/>
              <w:ind w:firstLine="0" w:firstLineChars="0"/>
              <w:jc w:val="center"/>
              <w:rPr>
                <w:color w:val="auto"/>
                <w:sz w:val="21"/>
                <w:szCs w:val="21"/>
              </w:rPr>
            </w:pPr>
            <w:r>
              <w:rPr>
                <w:rFonts w:hint="eastAsia"/>
                <w:color w:val="auto"/>
                <w:sz w:val="21"/>
                <w:szCs w:val="21"/>
              </w:rPr>
              <w:t>0.00</w:t>
            </w:r>
          </w:p>
        </w:tc>
        <w:tc>
          <w:tcPr>
            <w:tcW w:w="966" w:type="pct"/>
            <w:noWrap/>
            <w:vAlign w:val="center"/>
          </w:tcPr>
          <w:p w14:paraId="42157B5B">
            <w:pPr>
              <w:spacing w:line="240" w:lineRule="auto"/>
              <w:ind w:firstLine="0" w:firstLineChars="0"/>
              <w:jc w:val="center"/>
              <w:rPr>
                <w:color w:val="auto"/>
                <w:sz w:val="21"/>
                <w:szCs w:val="21"/>
              </w:rPr>
            </w:pPr>
            <w:r>
              <w:rPr>
                <w:rFonts w:hint="eastAsia"/>
                <w:color w:val="auto"/>
                <w:sz w:val="21"/>
                <w:szCs w:val="21"/>
              </w:rPr>
              <w:t>0.008</w:t>
            </w:r>
          </w:p>
        </w:tc>
        <w:tc>
          <w:tcPr>
            <w:tcW w:w="966" w:type="pct"/>
            <w:noWrap/>
            <w:vAlign w:val="center"/>
          </w:tcPr>
          <w:p w14:paraId="4D2A1EEF">
            <w:pPr>
              <w:spacing w:line="240" w:lineRule="auto"/>
              <w:ind w:firstLine="0" w:firstLineChars="0"/>
              <w:jc w:val="center"/>
              <w:rPr>
                <w:color w:val="auto"/>
                <w:sz w:val="21"/>
                <w:szCs w:val="21"/>
              </w:rPr>
            </w:pPr>
            <w:r>
              <w:rPr>
                <w:rFonts w:hint="eastAsia"/>
                <w:color w:val="auto"/>
                <w:sz w:val="21"/>
                <w:szCs w:val="21"/>
              </w:rPr>
              <w:t>30.17</w:t>
            </w:r>
          </w:p>
        </w:tc>
        <w:tc>
          <w:tcPr>
            <w:tcW w:w="968" w:type="pct"/>
            <w:noWrap/>
            <w:vAlign w:val="center"/>
          </w:tcPr>
          <w:p w14:paraId="63F19E99">
            <w:pPr>
              <w:spacing w:line="240" w:lineRule="auto"/>
              <w:ind w:firstLine="0" w:firstLineChars="0"/>
              <w:jc w:val="center"/>
              <w:rPr>
                <w:color w:val="auto"/>
                <w:sz w:val="21"/>
                <w:szCs w:val="21"/>
              </w:rPr>
            </w:pPr>
            <w:r>
              <w:rPr>
                <w:rFonts w:hint="eastAsia"/>
                <w:color w:val="auto"/>
                <w:sz w:val="21"/>
                <w:szCs w:val="21"/>
              </w:rPr>
              <w:t>159.84</w:t>
            </w:r>
          </w:p>
        </w:tc>
      </w:tr>
      <w:tr w14:paraId="30C92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noWrap/>
            <w:vAlign w:val="center"/>
          </w:tcPr>
          <w:p w14:paraId="064B9405">
            <w:pPr>
              <w:spacing w:line="240" w:lineRule="auto"/>
              <w:ind w:firstLine="0" w:firstLineChars="0"/>
              <w:jc w:val="center"/>
              <w:rPr>
                <w:color w:val="auto"/>
                <w:sz w:val="21"/>
                <w:szCs w:val="21"/>
              </w:rPr>
            </w:pPr>
            <w:r>
              <w:rPr>
                <w:rFonts w:hint="eastAsia"/>
                <w:color w:val="auto"/>
                <w:sz w:val="21"/>
                <w:szCs w:val="21"/>
              </w:rPr>
              <w:t>80</w:t>
            </w:r>
          </w:p>
        </w:tc>
        <w:tc>
          <w:tcPr>
            <w:tcW w:w="966" w:type="pct"/>
            <w:noWrap/>
            <w:vAlign w:val="center"/>
          </w:tcPr>
          <w:p w14:paraId="1C7A24A3">
            <w:pPr>
              <w:spacing w:line="240" w:lineRule="auto"/>
              <w:ind w:firstLine="0" w:firstLineChars="0"/>
              <w:jc w:val="center"/>
              <w:rPr>
                <w:color w:val="auto"/>
                <w:sz w:val="21"/>
                <w:szCs w:val="21"/>
              </w:rPr>
            </w:pPr>
            <w:r>
              <w:rPr>
                <w:rFonts w:hint="eastAsia"/>
                <w:color w:val="auto"/>
                <w:sz w:val="21"/>
                <w:szCs w:val="21"/>
              </w:rPr>
              <w:t>0.00</w:t>
            </w:r>
          </w:p>
        </w:tc>
        <w:tc>
          <w:tcPr>
            <w:tcW w:w="966" w:type="pct"/>
            <w:noWrap/>
            <w:vAlign w:val="center"/>
          </w:tcPr>
          <w:p w14:paraId="14DC4A1F">
            <w:pPr>
              <w:spacing w:line="240" w:lineRule="auto"/>
              <w:ind w:firstLine="0" w:firstLineChars="0"/>
              <w:jc w:val="center"/>
              <w:rPr>
                <w:color w:val="auto"/>
                <w:sz w:val="21"/>
                <w:szCs w:val="21"/>
              </w:rPr>
            </w:pPr>
            <w:r>
              <w:rPr>
                <w:rFonts w:hint="eastAsia"/>
                <w:color w:val="auto"/>
                <w:sz w:val="21"/>
                <w:szCs w:val="21"/>
              </w:rPr>
              <w:t>0.00</w:t>
            </w:r>
          </w:p>
        </w:tc>
        <w:tc>
          <w:tcPr>
            <w:tcW w:w="966" w:type="pct"/>
            <w:noWrap/>
            <w:vAlign w:val="center"/>
          </w:tcPr>
          <w:p w14:paraId="621456FC">
            <w:pPr>
              <w:spacing w:line="240" w:lineRule="auto"/>
              <w:ind w:firstLine="0" w:firstLineChars="0"/>
              <w:jc w:val="center"/>
              <w:rPr>
                <w:color w:val="auto"/>
                <w:sz w:val="21"/>
                <w:szCs w:val="21"/>
              </w:rPr>
            </w:pPr>
            <w:r>
              <w:rPr>
                <w:rFonts w:hint="eastAsia"/>
                <w:color w:val="auto"/>
                <w:sz w:val="21"/>
                <w:szCs w:val="21"/>
              </w:rPr>
              <w:t>3.36</w:t>
            </w:r>
          </w:p>
        </w:tc>
        <w:tc>
          <w:tcPr>
            <w:tcW w:w="968" w:type="pct"/>
            <w:noWrap/>
            <w:vAlign w:val="center"/>
          </w:tcPr>
          <w:p w14:paraId="4159E594">
            <w:pPr>
              <w:spacing w:line="240" w:lineRule="auto"/>
              <w:ind w:firstLine="0" w:firstLineChars="0"/>
              <w:jc w:val="center"/>
              <w:rPr>
                <w:color w:val="auto"/>
                <w:sz w:val="21"/>
                <w:szCs w:val="21"/>
              </w:rPr>
            </w:pPr>
            <w:r>
              <w:rPr>
                <w:rFonts w:hint="eastAsia"/>
                <w:color w:val="auto"/>
                <w:sz w:val="21"/>
                <w:szCs w:val="21"/>
              </w:rPr>
              <w:t>56.00</w:t>
            </w:r>
          </w:p>
        </w:tc>
      </w:tr>
      <w:tr w14:paraId="5DD69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noWrap/>
            <w:vAlign w:val="center"/>
          </w:tcPr>
          <w:p w14:paraId="2F9F25BC">
            <w:pPr>
              <w:spacing w:line="240" w:lineRule="auto"/>
              <w:ind w:firstLine="0" w:firstLineChars="0"/>
              <w:jc w:val="center"/>
              <w:rPr>
                <w:color w:val="auto"/>
                <w:sz w:val="21"/>
                <w:szCs w:val="21"/>
              </w:rPr>
            </w:pPr>
            <w:r>
              <w:rPr>
                <w:rFonts w:hint="eastAsia"/>
                <w:color w:val="auto"/>
                <w:sz w:val="21"/>
                <w:szCs w:val="21"/>
              </w:rPr>
              <w:t>100</w:t>
            </w:r>
          </w:p>
        </w:tc>
        <w:tc>
          <w:tcPr>
            <w:tcW w:w="966" w:type="pct"/>
            <w:noWrap/>
            <w:vAlign w:val="center"/>
          </w:tcPr>
          <w:p w14:paraId="0777781D">
            <w:pPr>
              <w:spacing w:line="240" w:lineRule="auto"/>
              <w:ind w:firstLine="0" w:firstLineChars="0"/>
              <w:jc w:val="center"/>
              <w:rPr>
                <w:color w:val="auto"/>
                <w:sz w:val="21"/>
                <w:szCs w:val="21"/>
              </w:rPr>
            </w:pPr>
            <w:r>
              <w:rPr>
                <w:rFonts w:hint="eastAsia"/>
                <w:color w:val="auto"/>
                <w:sz w:val="21"/>
                <w:szCs w:val="21"/>
              </w:rPr>
              <w:t>0.00</w:t>
            </w:r>
          </w:p>
        </w:tc>
        <w:tc>
          <w:tcPr>
            <w:tcW w:w="966" w:type="pct"/>
            <w:noWrap/>
            <w:vAlign w:val="center"/>
          </w:tcPr>
          <w:p w14:paraId="0D47A9B5">
            <w:pPr>
              <w:spacing w:line="240" w:lineRule="auto"/>
              <w:ind w:firstLine="0" w:firstLineChars="0"/>
              <w:jc w:val="center"/>
              <w:rPr>
                <w:color w:val="auto"/>
                <w:sz w:val="21"/>
                <w:szCs w:val="21"/>
              </w:rPr>
            </w:pPr>
            <w:r>
              <w:rPr>
                <w:rFonts w:hint="eastAsia"/>
                <w:color w:val="auto"/>
                <w:sz w:val="21"/>
                <w:szCs w:val="21"/>
              </w:rPr>
              <w:t>0.00</w:t>
            </w:r>
          </w:p>
        </w:tc>
        <w:tc>
          <w:tcPr>
            <w:tcW w:w="966" w:type="pct"/>
            <w:noWrap/>
            <w:vAlign w:val="center"/>
          </w:tcPr>
          <w:p w14:paraId="11464EF0">
            <w:pPr>
              <w:spacing w:line="240" w:lineRule="auto"/>
              <w:ind w:firstLine="0" w:firstLineChars="0"/>
              <w:jc w:val="center"/>
              <w:rPr>
                <w:color w:val="auto"/>
                <w:sz w:val="21"/>
                <w:szCs w:val="21"/>
              </w:rPr>
            </w:pPr>
            <w:r>
              <w:rPr>
                <w:rFonts w:hint="eastAsia"/>
                <w:color w:val="auto"/>
                <w:sz w:val="21"/>
                <w:szCs w:val="21"/>
              </w:rPr>
              <w:t>0.21</w:t>
            </w:r>
          </w:p>
        </w:tc>
        <w:tc>
          <w:tcPr>
            <w:tcW w:w="968" w:type="pct"/>
            <w:noWrap/>
            <w:vAlign w:val="center"/>
          </w:tcPr>
          <w:p w14:paraId="514EF9EB">
            <w:pPr>
              <w:spacing w:line="240" w:lineRule="auto"/>
              <w:ind w:firstLine="0" w:firstLineChars="0"/>
              <w:jc w:val="center"/>
              <w:rPr>
                <w:color w:val="auto"/>
                <w:sz w:val="21"/>
                <w:szCs w:val="21"/>
              </w:rPr>
            </w:pPr>
            <w:r>
              <w:rPr>
                <w:rFonts w:hint="eastAsia"/>
                <w:color w:val="auto"/>
                <w:sz w:val="21"/>
                <w:szCs w:val="21"/>
              </w:rPr>
              <w:t>14.74</w:t>
            </w:r>
          </w:p>
        </w:tc>
      </w:tr>
      <w:tr w14:paraId="13D4B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noWrap/>
            <w:vAlign w:val="center"/>
          </w:tcPr>
          <w:p w14:paraId="0C6E5A32">
            <w:pPr>
              <w:spacing w:line="240" w:lineRule="auto"/>
              <w:ind w:firstLine="0" w:firstLineChars="0"/>
              <w:jc w:val="center"/>
              <w:rPr>
                <w:color w:val="auto"/>
                <w:sz w:val="21"/>
                <w:szCs w:val="21"/>
              </w:rPr>
            </w:pPr>
            <w:r>
              <w:rPr>
                <w:rFonts w:hint="eastAsia"/>
                <w:color w:val="auto"/>
                <w:sz w:val="21"/>
                <w:szCs w:val="21"/>
              </w:rPr>
              <w:t>200</w:t>
            </w:r>
          </w:p>
        </w:tc>
        <w:tc>
          <w:tcPr>
            <w:tcW w:w="966" w:type="pct"/>
            <w:noWrap/>
            <w:vAlign w:val="center"/>
          </w:tcPr>
          <w:p w14:paraId="0086DCAD">
            <w:pPr>
              <w:spacing w:line="240" w:lineRule="auto"/>
              <w:ind w:firstLine="0" w:firstLineChars="0"/>
              <w:jc w:val="center"/>
              <w:rPr>
                <w:color w:val="auto"/>
                <w:sz w:val="21"/>
                <w:szCs w:val="21"/>
              </w:rPr>
            </w:pPr>
            <w:r>
              <w:rPr>
                <w:rFonts w:hint="eastAsia"/>
                <w:color w:val="auto"/>
                <w:sz w:val="21"/>
                <w:szCs w:val="21"/>
              </w:rPr>
              <w:t>0.00</w:t>
            </w:r>
          </w:p>
        </w:tc>
        <w:tc>
          <w:tcPr>
            <w:tcW w:w="966" w:type="pct"/>
            <w:noWrap/>
            <w:vAlign w:val="center"/>
          </w:tcPr>
          <w:p w14:paraId="50CC8847">
            <w:pPr>
              <w:spacing w:line="240" w:lineRule="auto"/>
              <w:ind w:firstLine="0" w:firstLineChars="0"/>
              <w:jc w:val="center"/>
              <w:rPr>
                <w:color w:val="auto"/>
                <w:sz w:val="21"/>
                <w:szCs w:val="21"/>
              </w:rPr>
            </w:pPr>
            <w:r>
              <w:rPr>
                <w:rFonts w:hint="eastAsia"/>
                <w:color w:val="auto"/>
                <w:sz w:val="21"/>
                <w:szCs w:val="21"/>
              </w:rPr>
              <w:t>0.00</w:t>
            </w:r>
          </w:p>
        </w:tc>
        <w:tc>
          <w:tcPr>
            <w:tcW w:w="966" w:type="pct"/>
            <w:noWrap/>
            <w:vAlign w:val="center"/>
          </w:tcPr>
          <w:p w14:paraId="5194E4CF">
            <w:pPr>
              <w:spacing w:line="240" w:lineRule="auto"/>
              <w:ind w:firstLine="0" w:firstLineChars="0"/>
              <w:jc w:val="center"/>
              <w:rPr>
                <w:color w:val="auto"/>
                <w:sz w:val="21"/>
                <w:szCs w:val="21"/>
              </w:rPr>
            </w:pPr>
            <w:r>
              <w:rPr>
                <w:rFonts w:hint="eastAsia"/>
                <w:color w:val="auto"/>
                <w:sz w:val="21"/>
                <w:szCs w:val="21"/>
              </w:rPr>
              <w:t>0.00</w:t>
            </w:r>
          </w:p>
        </w:tc>
        <w:tc>
          <w:tcPr>
            <w:tcW w:w="968" w:type="pct"/>
            <w:noWrap/>
            <w:vAlign w:val="center"/>
          </w:tcPr>
          <w:p w14:paraId="581AB669">
            <w:pPr>
              <w:spacing w:line="240" w:lineRule="auto"/>
              <w:ind w:firstLine="0" w:firstLineChars="0"/>
              <w:jc w:val="center"/>
              <w:rPr>
                <w:color w:val="auto"/>
                <w:sz w:val="21"/>
                <w:szCs w:val="21"/>
              </w:rPr>
            </w:pPr>
            <w:r>
              <w:rPr>
                <w:rFonts w:hint="eastAsia"/>
                <w:color w:val="auto"/>
                <w:sz w:val="21"/>
                <w:szCs w:val="21"/>
              </w:rPr>
              <w:t>0.00</w:t>
            </w:r>
          </w:p>
        </w:tc>
      </w:tr>
    </w:tbl>
    <w:p w14:paraId="360B56D3">
      <w:pPr>
        <w:ind w:firstLine="480"/>
        <w:rPr>
          <w:color w:val="auto"/>
        </w:rPr>
      </w:pPr>
    </w:p>
    <w:p w14:paraId="32F348F2">
      <w:pPr>
        <w:spacing w:line="240" w:lineRule="auto"/>
        <w:ind w:firstLine="0" w:firstLineChars="0"/>
        <w:jc w:val="center"/>
        <w:rPr>
          <w:color w:val="auto"/>
        </w:rPr>
      </w:pPr>
      <w:r>
        <w:rPr>
          <w:rFonts w:ascii="仿宋_GB2312" w:eastAsia="仿宋_GB2312"/>
          <w:color w:val="auto"/>
          <w:sz w:val="28"/>
        </w:rPr>
        <w:drawing>
          <wp:inline distT="0" distB="0" distL="0" distR="0">
            <wp:extent cx="5466080" cy="3389630"/>
            <wp:effectExtent l="0" t="0" r="1270" b="1270"/>
            <wp:docPr id="1269076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76261" name="图片 1"/>
                    <pic:cNvPicPr>
                      <a:picLocks noChangeAspect="1"/>
                    </pic:cNvPicPr>
                  </pic:nvPicPr>
                  <pic:blipFill>
                    <a:blip r:embed="rId51"/>
                    <a:srcRect l="1205"/>
                    <a:stretch>
                      <a:fillRect/>
                    </a:stretch>
                  </pic:blipFill>
                  <pic:spPr>
                    <a:xfrm>
                      <a:off x="0" y="0"/>
                      <a:ext cx="5466651" cy="3390476"/>
                    </a:xfrm>
                    <a:prstGeom prst="rect">
                      <a:avLst/>
                    </a:prstGeom>
                    <a:ln>
                      <a:noFill/>
                    </a:ln>
                  </pic:spPr>
                </pic:pic>
              </a:graphicData>
            </a:graphic>
          </wp:inline>
        </w:drawing>
      </w:r>
    </w:p>
    <w:p w14:paraId="6C0EB2E4">
      <w:pPr>
        <w:spacing w:line="240" w:lineRule="auto"/>
        <w:ind w:firstLine="0" w:firstLineChars="0"/>
        <w:jc w:val="center"/>
        <w:rPr>
          <w:b/>
          <w:bCs/>
          <w:color w:val="auto"/>
        </w:rPr>
      </w:pPr>
      <w:r>
        <w:rPr>
          <w:rFonts w:hint="eastAsia"/>
          <w:b/>
          <w:bCs/>
          <w:color w:val="auto"/>
        </w:rPr>
        <w:t>100d</w:t>
      </w:r>
    </w:p>
    <w:p w14:paraId="14CD61C3">
      <w:pPr>
        <w:spacing w:line="240" w:lineRule="auto"/>
        <w:ind w:firstLine="0" w:firstLineChars="0"/>
        <w:jc w:val="center"/>
        <w:rPr>
          <w:color w:val="auto"/>
        </w:rPr>
      </w:pPr>
      <w:r>
        <w:rPr>
          <w:rFonts w:ascii="仿宋_GB2312" w:eastAsia="仿宋_GB2312"/>
          <w:color w:val="auto"/>
          <w:sz w:val="28"/>
        </w:rPr>
        <w:drawing>
          <wp:inline distT="0" distB="0" distL="0" distR="0">
            <wp:extent cx="5456555" cy="3323590"/>
            <wp:effectExtent l="0" t="0" r="10795" b="10160"/>
            <wp:docPr id="1217049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49348" name="图片 1"/>
                    <pic:cNvPicPr>
                      <a:picLocks noChangeAspect="1"/>
                    </pic:cNvPicPr>
                  </pic:nvPicPr>
                  <pic:blipFill>
                    <a:blip r:embed="rId52"/>
                    <a:stretch>
                      <a:fillRect/>
                    </a:stretch>
                  </pic:blipFill>
                  <pic:spPr>
                    <a:xfrm>
                      <a:off x="0" y="0"/>
                      <a:ext cx="5457143" cy="3323809"/>
                    </a:xfrm>
                    <a:prstGeom prst="rect">
                      <a:avLst/>
                    </a:prstGeom>
                  </pic:spPr>
                </pic:pic>
              </a:graphicData>
            </a:graphic>
          </wp:inline>
        </w:drawing>
      </w:r>
    </w:p>
    <w:p w14:paraId="07FA7170">
      <w:pPr>
        <w:spacing w:line="240" w:lineRule="auto"/>
        <w:ind w:firstLine="0" w:firstLineChars="0"/>
        <w:jc w:val="center"/>
        <w:rPr>
          <w:b/>
          <w:bCs/>
          <w:color w:val="auto"/>
        </w:rPr>
      </w:pPr>
      <w:r>
        <w:rPr>
          <w:rFonts w:hint="eastAsia"/>
          <w:b/>
          <w:bCs/>
          <w:color w:val="auto"/>
        </w:rPr>
        <w:t>1000d</w:t>
      </w:r>
    </w:p>
    <w:p w14:paraId="0AF1D7A8">
      <w:pPr>
        <w:ind w:firstLine="0" w:firstLineChars="0"/>
        <w:jc w:val="center"/>
        <w:rPr>
          <w:color w:val="auto"/>
        </w:rPr>
      </w:pPr>
      <w:r>
        <w:rPr>
          <w:b/>
          <w:bCs/>
          <w:color w:val="auto"/>
        </w:rPr>
        <w:t>图6.5.4-1  非正常排放地下水高锰酸盐指数浓度变化图</w:t>
      </w:r>
    </w:p>
    <w:p w14:paraId="7AEB0133">
      <w:pPr>
        <w:ind w:firstLine="482"/>
        <w:rPr>
          <w:b/>
          <w:bCs/>
          <w:color w:val="auto"/>
        </w:rPr>
      </w:pPr>
      <w:r>
        <w:rPr>
          <w:rFonts w:hint="eastAsia"/>
          <w:b/>
          <w:bCs/>
          <w:color w:val="auto"/>
        </w:rPr>
        <w:t>4、评价小结</w:t>
      </w:r>
    </w:p>
    <w:p w14:paraId="2499F212">
      <w:pPr>
        <w:ind w:firstLine="480"/>
        <w:rPr>
          <w:color w:val="auto"/>
        </w:rPr>
      </w:pPr>
      <w:r>
        <w:rPr>
          <w:color w:val="auto"/>
        </w:rPr>
        <w:t>正常情况下，在采取分区防渗后，企业生产及生活污水不会对区内地下水水质造成影响。通过地下水环境影响预测，在非正常工况下污水站发生污水站工艺废水收集池废水渗漏后，高锰酸盐指数对地下水的影响向外扩展，</w:t>
      </w:r>
      <w:r>
        <w:rPr>
          <w:rFonts w:hint="eastAsia"/>
          <w:color w:val="auto"/>
        </w:rPr>
        <w:t>超标范围为：100d扩散到13m，1000d扩散到41，10a扩散到81m，20a扩散到120m。因此，</w:t>
      </w:r>
      <w:r>
        <w:rPr>
          <w:color w:val="auto"/>
        </w:rPr>
        <w:t>发生事故时，高锰酸盐指数影响将超出厂区。</w:t>
      </w:r>
    </w:p>
    <w:p w14:paraId="40E86FC9">
      <w:pPr>
        <w:ind w:firstLine="480"/>
        <w:rPr>
          <w:color w:val="auto"/>
        </w:rPr>
      </w:pPr>
      <w:r>
        <w:rPr>
          <w:color w:val="auto"/>
        </w:rPr>
        <w:t>因此，若污水处理站发生废水泄漏事故，必须立即启动事故应急预案，分析污染事故的发展趋势，并提出下一步预防和防治措施，迅速控制或切断事件灾害链，对污水进行封闭、截流，抽出污水并妥善处置，使污染扩散得到有效抑制，最大限度地保护区域地下水水质安全，将损失降到最低限度，可满足相关评价标准要求。</w:t>
      </w:r>
    </w:p>
    <w:p w14:paraId="3015444B">
      <w:pPr>
        <w:pStyle w:val="3"/>
        <w:spacing w:before="312"/>
        <w:rPr>
          <w:color w:val="auto"/>
        </w:rPr>
      </w:pPr>
      <w:bookmarkStart w:id="225" w:name="_Toc17243"/>
      <w:r>
        <w:rPr>
          <w:rFonts w:hint="eastAsia"/>
          <w:color w:val="auto"/>
        </w:rPr>
        <w:t>6.6土壤环境影响预测分析</w:t>
      </w:r>
      <w:bookmarkEnd w:id="225"/>
    </w:p>
    <w:p w14:paraId="3AE9B5A8">
      <w:pPr>
        <w:pStyle w:val="4"/>
        <w:rPr>
          <w:color w:val="auto"/>
        </w:rPr>
      </w:pPr>
      <w:bookmarkStart w:id="226" w:name="_Toc1093"/>
      <w:r>
        <w:rPr>
          <w:rFonts w:hint="eastAsia"/>
          <w:color w:val="auto"/>
        </w:rPr>
        <w:t>6.6.1评价等级与评价范围</w:t>
      </w:r>
      <w:bookmarkEnd w:id="226"/>
    </w:p>
    <w:p w14:paraId="32EAC1A7">
      <w:pPr>
        <w:ind w:firstLine="480"/>
        <w:rPr>
          <w:color w:val="auto"/>
        </w:rPr>
      </w:pPr>
      <w:r>
        <w:rPr>
          <w:color w:val="auto"/>
        </w:rPr>
        <w:t>根据《环境影响评价技术导则-土壤环境》(HJ964-2018)中土壤环境影响评价工作等级划分原则，本项目为“石油、化工-化学药品制造”，属于I类建设项目；本项目全厂占地面积7.15hm</w:t>
      </w:r>
      <w:r>
        <w:rPr>
          <w:color w:val="auto"/>
          <w:vertAlign w:val="superscript"/>
        </w:rPr>
        <w:t>2</w:t>
      </w:r>
      <w:r>
        <w:rPr>
          <w:color w:val="auto"/>
        </w:rPr>
        <w:t>，规模中型(5~50hm</w:t>
      </w:r>
      <w:r>
        <w:rPr>
          <w:color w:val="auto"/>
          <w:vertAlign w:val="superscript"/>
        </w:rPr>
        <w:t>2</w:t>
      </w:r>
      <w:r>
        <w:rPr>
          <w:color w:val="auto"/>
        </w:rPr>
        <w:t>)；本项目厂外北侧50m左右存在耕地，土壤环境敏感程度为敏感。根据导则的评价工作等级分级表，确定本项目的土壤评价等级为一级。</w:t>
      </w:r>
    </w:p>
    <w:p w14:paraId="7313F26A">
      <w:pPr>
        <w:pStyle w:val="4"/>
        <w:rPr>
          <w:color w:val="auto"/>
        </w:rPr>
      </w:pPr>
      <w:bookmarkStart w:id="227" w:name="_Toc7721"/>
      <w:r>
        <w:rPr>
          <w:rFonts w:hint="eastAsia"/>
          <w:color w:val="auto"/>
        </w:rPr>
        <w:t>6.6.2土壤影响途径</w:t>
      </w:r>
      <w:bookmarkEnd w:id="227"/>
    </w:p>
    <w:p w14:paraId="5F47C909">
      <w:pPr>
        <w:ind w:firstLine="480"/>
        <w:rPr>
          <w:color w:val="auto"/>
        </w:rPr>
      </w:pPr>
      <w:r>
        <w:rPr>
          <w:color w:val="auto"/>
        </w:rPr>
        <w:t>本项目为污染影响型建设项目，重点分析运营期对项目地及周边区域土壤环境的影响。根据项目工程分析，本项目主要产生工艺废气、储罐</w:t>
      </w:r>
      <w:r>
        <w:rPr>
          <w:rFonts w:hint="eastAsia"/>
          <w:color w:val="auto"/>
        </w:rPr>
        <w:t>呼吸</w:t>
      </w:r>
      <w:r>
        <w:rPr>
          <w:color w:val="auto"/>
        </w:rPr>
        <w:t>废气，会造成一定的大气污染物沉降污染；根据项目特点，重点考虑废水、液态物料及其他废水通过垂直入渗透的形式渗入周边土壤的土壤污染途径。土壤环境影响途径识别情况见表6.6.2-1。</w:t>
      </w:r>
    </w:p>
    <w:p w14:paraId="5FF85A46">
      <w:pPr>
        <w:ind w:firstLine="0" w:firstLineChars="0"/>
        <w:jc w:val="center"/>
        <w:rPr>
          <w:b/>
          <w:color w:val="auto"/>
        </w:rPr>
      </w:pPr>
      <w:r>
        <w:rPr>
          <w:b/>
          <w:color w:val="auto"/>
        </w:rPr>
        <w:t>表6.6.2-1 项目土壤环境影响类型与影响途径表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47"/>
        <w:gridCol w:w="1737"/>
        <w:gridCol w:w="1962"/>
        <w:gridCol w:w="1980"/>
        <w:gridCol w:w="1712"/>
      </w:tblGrid>
      <w:tr w14:paraId="10DF1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66" w:type="pct"/>
            <w:vMerge w:val="restart"/>
            <w:vAlign w:val="center"/>
          </w:tcPr>
          <w:p w14:paraId="55AC20DF">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不同时段</w:t>
            </w:r>
          </w:p>
        </w:tc>
        <w:tc>
          <w:tcPr>
            <w:tcW w:w="3834" w:type="pct"/>
            <w:gridSpan w:val="4"/>
            <w:vAlign w:val="center"/>
          </w:tcPr>
          <w:p w14:paraId="4775E500">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污染影响型</w:t>
            </w:r>
          </w:p>
        </w:tc>
      </w:tr>
      <w:tr w14:paraId="055A9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1166" w:type="pct"/>
            <w:vMerge w:val="continue"/>
            <w:vAlign w:val="center"/>
          </w:tcPr>
          <w:p w14:paraId="588D01D1">
            <w:pPr>
              <w:widowControl/>
              <w:spacing w:line="240" w:lineRule="auto"/>
              <w:ind w:firstLine="0" w:firstLineChars="0"/>
              <w:jc w:val="center"/>
              <w:rPr>
                <w:b/>
                <w:bCs/>
                <w:color w:val="auto"/>
                <w:kern w:val="0"/>
                <w:sz w:val="21"/>
                <w:szCs w:val="21"/>
                <w:lang w:val="zh-CN"/>
              </w:rPr>
            </w:pPr>
          </w:p>
        </w:tc>
        <w:tc>
          <w:tcPr>
            <w:tcW w:w="901" w:type="pct"/>
            <w:vAlign w:val="center"/>
          </w:tcPr>
          <w:p w14:paraId="348BA444">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大气沉降</w:t>
            </w:r>
          </w:p>
        </w:tc>
        <w:tc>
          <w:tcPr>
            <w:tcW w:w="1018" w:type="pct"/>
            <w:vAlign w:val="center"/>
          </w:tcPr>
          <w:p w14:paraId="6C298969">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地面漫流</w:t>
            </w:r>
          </w:p>
        </w:tc>
        <w:tc>
          <w:tcPr>
            <w:tcW w:w="1027" w:type="pct"/>
            <w:vAlign w:val="center"/>
          </w:tcPr>
          <w:p w14:paraId="108970A4">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垂直入渗</w:t>
            </w:r>
          </w:p>
        </w:tc>
        <w:tc>
          <w:tcPr>
            <w:tcW w:w="888" w:type="pct"/>
            <w:vAlign w:val="center"/>
          </w:tcPr>
          <w:p w14:paraId="03B301D9">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其他</w:t>
            </w:r>
          </w:p>
        </w:tc>
      </w:tr>
      <w:tr w14:paraId="5FAD0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66" w:type="pct"/>
            <w:vAlign w:val="center"/>
          </w:tcPr>
          <w:p w14:paraId="7ECB6D1E">
            <w:pPr>
              <w:widowControl/>
              <w:spacing w:line="240" w:lineRule="auto"/>
              <w:ind w:firstLine="0" w:firstLineChars="0"/>
              <w:jc w:val="center"/>
              <w:rPr>
                <w:color w:val="auto"/>
                <w:kern w:val="0"/>
                <w:sz w:val="21"/>
                <w:szCs w:val="21"/>
                <w:lang w:val="zh-CN"/>
              </w:rPr>
            </w:pPr>
            <w:r>
              <w:rPr>
                <w:color w:val="auto"/>
                <w:kern w:val="0"/>
                <w:sz w:val="21"/>
                <w:szCs w:val="21"/>
                <w:lang w:val="zh-CN"/>
              </w:rPr>
              <w:t>建设期</w:t>
            </w:r>
          </w:p>
        </w:tc>
        <w:tc>
          <w:tcPr>
            <w:tcW w:w="901" w:type="pct"/>
            <w:vAlign w:val="center"/>
          </w:tcPr>
          <w:p w14:paraId="5D261C12">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1018" w:type="pct"/>
            <w:vAlign w:val="center"/>
          </w:tcPr>
          <w:p w14:paraId="1A0FC844">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1027" w:type="pct"/>
            <w:vAlign w:val="center"/>
          </w:tcPr>
          <w:p w14:paraId="6A82977E">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888" w:type="pct"/>
            <w:vAlign w:val="center"/>
          </w:tcPr>
          <w:p w14:paraId="2EFA9EDB">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r>
      <w:tr w14:paraId="2B7BB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66" w:type="pct"/>
            <w:vAlign w:val="center"/>
          </w:tcPr>
          <w:p w14:paraId="0C2B371F">
            <w:pPr>
              <w:widowControl/>
              <w:spacing w:line="240" w:lineRule="auto"/>
              <w:ind w:firstLine="0" w:firstLineChars="0"/>
              <w:jc w:val="center"/>
              <w:rPr>
                <w:color w:val="auto"/>
                <w:kern w:val="0"/>
                <w:sz w:val="21"/>
                <w:szCs w:val="21"/>
                <w:lang w:val="zh-CN"/>
              </w:rPr>
            </w:pPr>
            <w:r>
              <w:rPr>
                <w:color w:val="auto"/>
                <w:kern w:val="0"/>
                <w:sz w:val="21"/>
                <w:szCs w:val="21"/>
                <w:lang w:val="zh-CN"/>
              </w:rPr>
              <w:t>运营期</w:t>
            </w:r>
          </w:p>
        </w:tc>
        <w:tc>
          <w:tcPr>
            <w:tcW w:w="901" w:type="pct"/>
            <w:vAlign w:val="center"/>
          </w:tcPr>
          <w:p w14:paraId="70EE4AF8">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1018" w:type="pct"/>
            <w:vAlign w:val="center"/>
          </w:tcPr>
          <w:p w14:paraId="00BEFA78">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1027" w:type="pct"/>
            <w:vAlign w:val="center"/>
          </w:tcPr>
          <w:p w14:paraId="399B7023">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888" w:type="pct"/>
            <w:vAlign w:val="center"/>
          </w:tcPr>
          <w:p w14:paraId="1B29BE71">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r>
      <w:tr w14:paraId="78641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66" w:type="pct"/>
            <w:vAlign w:val="center"/>
          </w:tcPr>
          <w:p w14:paraId="453BCF57">
            <w:pPr>
              <w:widowControl/>
              <w:spacing w:line="240" w:lineRule="auto"/>
              <w:ind w:firstLine="0" w:firstLineChars="0"/>
              <w:jc w:val="center"/>
              <w:rPr>
                <w:color w:val="auto"/>
                <w:kern w:val="0"/>
                <w:sz w:val="21"/>
                <w:szCs w:val="21"/>
                <w:lang w:val="zh-CN"/>
              </w:rPr>
            </w:pPr>
            <w:r>
              <w:rPr>
                <w:color w:val="auto"/>
                <w:kern w:val="0"/>
                <w:sz w:val="21"/>
                <w:szCs w:val="21"/>
                <w:lang w:val="zh-CN"/>
              </w:rPr>
              <w:t>服务期满后</w:t>
            </w:r>
          </w:p>
        </w:tc>
        <w:tc>
          <w:tcPr>
            <w:tcW w:w="901" w:type="pct"/>
            <w:vAlign w:val="center"/>
          </w:tcPr>
          <w:p w14:paraId="228E1446">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1018" w:type="pct"/>
            <w:vAlign w:val="center"/>
          </w:tcPr>
          <w:p w14:paraId="3FAC88D6">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1027" w:type="pct"/>
            <w:vAlign w:val="center"/>
          </w:tcPr>
          <w:p w14:paraId="590A578D">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888" w:type="pct"/>
            <w:vAlign w:val="center"/>
          </w:tcPr>
          <w:p w14:paraId="7CCDA5F1">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r>
    </w:tbl>
    <w:p w14:paraId="3348E068">
      <w:pPr>
        <w:ind w:firstLine="480"/>
        <w:rPr>
          <w:color w:val="auto"/>
        </w:rPr>
      </w:pPr>
      <w:r>
        <w:rPr>
          <w:color w:val="auto"/>
        </w:rPr>
        <w:t>正常工况下，本项目潜在土壤污染源均达到设计要求，防渗性能完好，对土壤影响较小；非正常工况下，项目土壤环境影响源及影响因子识别如表6.6.2-2。</w:t>
      </w:r>
    </w:p>
    <w:p w14:paraId="0DD5D4B8">
      <w:pPr>
        <w:ind w:firstLine="0" w:firstLineChars="0"/>
        <w:jc w:val="center"/>
        <w:rPr>
          <w:b/>
          <w:color w:val="auto"/>
        </w:rPr>
      </w:pPr>
      <w:r>
        <w:rPr>
          <w:b/>
          <w:color w:val="auto"/>
        </w:rPr>
        <w:t>表6.6.2-2  污染影响</w:t>
      </w:r>
      <w:r>
        <w:rPr>
          <w:rFonts w:hint="eastAsia"/>
          <w:b/>
          <w:color w:val="auto"/>
        </w:rPr>
        <w:t>型</w:t>
      </w:r>
      <w:r>
        <w:rPr>
          <w:b/>
          <w:color w:val="auto"/>
        </w:rPr>
        <w:t>建设项目土壤环境影响源及影响因子识别表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701"/>
        <w:gridCol w:w="1133"/>
        <w:gridCol w:w="2268"/>
        <w:gridCol w:w="2268"/>
        <w:gridCol w:w="1521"/>
      </w:tblGrid>
      <w:tr w14:paraId="2E363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blHeader/>
          <w:jc w:val="center"/>
        </w:trPr>
        <w:tc>
          <w:tcPr>
            <w:tcW w:w="488" w:type="pct"/>
            <w:noWrap/>
            <w:vAlign w:val="center"/>
          </w:tcPr>
          <w:p w14:paraId="5F4E4FA3">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污染源</w:t>
            </w:r>
          </w:p>
        </w:tc>
        <w:tc>
          <w:tcPr>
            <w:tcW w:w="863" w:type="pct"/>
            <w:noWrap/>
            <w:vAlign w:val="center"/>
          </w:tcPr>
          <w:p w14:paraId="5A521447">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工艺流程/节点</w:t>
            </w:r>
          </w:p>
        </w:tc>
        <w:tc>
          <w:tcPr>
            <w:tcW w:w="575" w:type="pct"/>
            <w:noWrap/>
            <w:vAlign w:val="center"/>
          </w:tcPr>
          <w:p w14:paraId="19E0CF7F">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污染途径</w:t>
            </w:r>
          </w:p>
        </w:tc>
        <w:tc>
          <w:tcPr>
            <w:tcW w:w="1151" w:type="pct"/>
            <w:noWrap/>
            <w:vAlign w:val="center"/>
          </w:tcPr>
          <w:p w14:paraId="6084FD99">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全部污染物指标</w:t>
            </w:r>
          </w:p>
        </w:tc>
        <w:tc>
          <w:tcPr>
            <w:tcW w:w="1151" w:type="pct"/>
            <w:vAlign w:val="center"/>
          </w:tcPr>
          <w:p w14:paraId="6901B4D7">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特征因子</w:t>
            </w:r>
          </w:p>
        </w:tc>
        <w:tc>
          <w:tcPr>
            <w:tcW w:w="773" w:type="pct"/>
            <w:vAlign w:val="center"/>
          </w:tcPr>
          <w:p w14:paraId="01838948">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备注</w:t>
            </w:r>
          </w:p>
        </w:tc>
      </w:tr>
      <w:tr w14:paraId="19EB9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8" w:type="pct"/>
            <w:vAlign w:val="center"/>
          </w:tcPr>
          <w:p w14:paraId="70A489AC">
            <w:pPr>
              <w:widowControl/>
              <w:spacing w:line="240" w:lineRule="auto"/>
              <w:ind w:firstLine="0" w:firstLineChars="0"/>
              <w:jc w:val="center"/>
              <w:rPr>
                <w:color w:val="auto"/>
                <w:kern w:val="0"/>
                <w:sz w:val="21"/>
                <w:szCs w:val="21"/>
                <w:lang w:val="zh-CN"/>
              </w:rPr>
            </w:pPr>
            <w:r>
              <w:rPr>
                <w:color w:val="auto"/>
                <w:kern w:val="0"/>
                <w:sz w:val="21"/>
                <w:szCs w:val="21"/>
                <w:lang w:val="zh-CN"/>
              </w:rPr>
              <w:t>污水站</w:t>
            </w:r>
          </w:p>
        </w:tc>
        <w:tc>
          <w:tcPr>
            <w:tcW w:w="863" w:type="pct"/>
            <w:vAlign w:val="center"/>
          </w:tcPr>
          <w:p w14:paraId="73427924">
            <w:pPr>
              <w:widowControl/>
              <w:spacing w:line="240" w:lineRule="auto"/>
              <w:ind w:firstLine="0" w:firstLineChars="0"/>
              <w:jc w:val="center"/>
              <w:rPr>
                <w:color w:val="auto"/>
                <w:kern w:val="0"/>
                <w:sz w:val="21"/>
                <w:szCs w:val="21"/>
                <w:lang w:val="zh-CN"/>
              </w:rPr>
            </w:pPr>
            <w:r>
              <w:rPr>
                <w:color w:val="auto"/>
                <w:kern w:val="0"/>
                <w:sz w:val="21"/>
                <w:szCs w:val="21"/>
                <w:lang w:val="zh-CN"/>
              </w:rPr>
              <w:t>污水处理</w:t>
            </w:r>
          </w:p>
        </w:tc>
        <w:tc>
          <w:tcPr>
            <w:tcW w:w="575" w:type="pct"/>
            <w:noWrap/>
            <w:vAlign w:val="center"/>
          </w:tcPr>
          <w:p w14:paraId="582E40A7">
            <w:pPr>
              <w:widowControl/>
              <w:spacing w:line="240" w:lineRule="auto"/>
              <w:ind w:firstLine="0" w:firstLineChars="0"/>
              <w:jc w:val="center"/>
              <w:rPr>
                <w:color w:val="auto"/>
                <w:kern w:val="0"/>
                <w:sz w:val="21"/>
                <w:szCs w:val="21"/>
                <w:lang w:val="zh-CN"/>
              </w:rPr>
            </w:pPr>
            <w:r>
              <w:rPr>
                <w:color w:val="auto"/>
                <w:kern w:val="0"/>
                <w:sz w:val="21"/>
                <w:szCs w:val="21"/>
                <w:lang w:val="zh-CN"/>
              </w:rPr>
              <w:t>垂直入渗</w:t>
            </w:r>
          </w:p>
        </w:tc>
        <w:tc>
          <w:tcPr>
            <w:tcW w:w="1151" w:type="pct"/>
            <w:noWrap/>
            <w:vAlign w:val="center"/>
          </w:tcPr>
          <w:p w14:paraId="01733A23">
            <w:pPr>
              <w:widowControl/>
              <w:spacing w:line="240" w:lineRule="auto"/>
              <w:ind w:firstLine="0" w:firstLineChars="0"/>
              <w:jc w:val="center"/>
              <w:rPr>
                <w:color w:val="auto"/>
                <w:kern w:val="0"/>
                <w:sz w:val="21"/>
                <w:szCs w:val="21"/>
                <w:lang w:val="zh-CN"/>
              </w:rPr>
            </w:pPr>
            <w:r>
              <w:rPr>
                <w:color w:val="auto"/>
                <w:kern w:val="0"/>
                <w:sz w:val="21"/>
                <w:szCs w:val="21"/>
                <w:lang w:val="zh-CN"/>
              </w:rPr>
              <w:t>COD、SS、氨氮、TN、TP、石油类</w:t>
            </w:r>
          </w:p>
        </w:tc>
        <w:tc>
          <w:tcPr>
            <w:tcW w:w="1151" w:type="pct"/>
            <w:vAlign w:val="center"/>
          </w:tcPr>
          <w:p w14:paraId="3C8A00AB">
            <w:pPr>
              <w:widowControl/>
              <w:spacing w:line="240" w:lineRule="auto"/>
              <w:ind w:firstLine="0" w:firstLineChars="0"/>
              <w:jc w:val="center"/>
              <w:rPr>
                <w:color w:val="auto"/>
                <w:kern w:val="0"/>
                <w:sz w:val="21"/>
                <w:szCs w:val="21"/>
                <w:lang w:val="zh-CN"/>
              </w:rPr>
            </w:pPr>
            <w:r>
              <w:rPr>
                <w:color w:val="auto"/>
                <w:kern w:val="0"/>
                <w:sz w:val="21"/>
                <w:szCs w:val="21"/>
                <w:lang w:val="zh-CN"/>
              </w:rPr>
              <w:t>COD、</w:t>
            </w:r>
            <w:r>
              <w:rPr>
                <w:rFonts w:hint="eastAsia"/>
                <w:color w:val="auto"/>
                <w:kern w:val="0"/>
                <w:sz w:val="21"/>
                <w:szCs w:val="21"/>
                <w:lang w:val="zh-CN"/>
              </w:rPr>
              <w:t>SS、</w:t>
            </w:r>
            <w:r>
              <w:rPr>
                <w:color w:val="auto"/>
                <w:kern w:val="0"/>
                <w:sz w:val="21"/>
                <w:szCs w:val="21"/>
                <w:lang w:val="zh-CN"/>
              </w:rPr>
              <w:t>氨氮、TN、TP、石油类</w:t>
            </w:r>
          </w:p>
        </w:tc>
        <w:tc>
          <w:tcPr>
            <w:tcW w:w="773" w:type="pct"/>
            <w:vAlign w:val="center"/>
          </w:tcPr>
          <w:p w14:paraId="1548838E">
            <w:pPr>
              <w:widowControl/>
              <w:spacing w:line="240" w:lineRule="auto"/>
              <w:ind w:firstLine="0" w:firstLineChars="0"/>
              <w:jc w:val="center"/>
              <w:rPr>
                <w:color w:val="auto"/>
                <w:kern w:val="0"/>
                <w:sz w:val="21"/>
                <w:szCs w:val="21"/>
                <w:lang w:val="zh-CN"/>
              </w:rPr>
            </w:pPr>
            <w:r>
              <w:rPr>
                <w:color w:val="auto"/>
                <w:kern w:val="0"/>
                <w:sz w:val="21"/>
                <w:szCs w:val="21"/>
                <w:lang w:val="zh-CN"/>
              </w:rPr>
              <w:t>污水池、管网破损泄漏</w:t>
            </w:r>
          </w:p>
        </w:tc>
      </w:tr>
      <w:tr w14:paraId="3CCB6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8" w:type="pct"/>
            <w:vAlign w:val="center"/>
          </w:tcPr>
          <w:p w14:paraId="7F3DAB3D">
            <w:pPr>
              <w:widowControl/>
              <w:spacing w:line="240" w:lineRule="auto"/>
              <w:ind w:firstLine="0" w:firstLineChars="0"/>
              <w:jc w:val="center"/>
              <w:rPr>
                <w:color w:val="auto"/>
                <w:kern w:val="0"/>
                <w:sz w:val="21"/>
                <w:szCs w:val="21"/>
                <w:lang w:val="zh-CN"/>
              </w:rPr>
            </w:pPr>
            <w:r>
              <w:rPr>
                <w:color w:val="auto"/>
                <w:kern w:val="0"/>
                <w:sz w:val="21"/>
                <w:szCs w:val="21"/>
                <w:lang w:val="zh-CN"/>
              </w:rPr>
              <w:t>生产装置区</w:t>
            </w:r>
          </w:p>
        </w:tc>
        <w:tc>
          <w:tcPr>
            <w:tcW w:w="863" w:type="pct"/>
            <w:vAlign w:val="center"/>
          </w:tcPr>
          <w:p w14:paraId="7BDF30A1">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各生产工序</w:t>
            </w:r>
          </w:p>
        </w:tc>
        <w:tc>
          <w:tcPr>
            <w:tcW w:w="575" w:type="pct"/>
            <w:noWrap/>
            <w:vAlign w:val="center"/>
          </w:tcPr>
          <w:p w14:paraId="3C5978DD">
            <w:pPr>
              <w:widowControl/>
              <w:spacing w:line="240" w:lineRule="auto"/>
              <w:ind w:firstLine="0" w:firstLineChars="0"/>
              <w:jc w:val="center"/>
              <w:rPr>
                <w:color w:val="auto"/>
                <w:kern w:val="0"/>
                <w:sz w:val="21"/>
                <w:szCs w:val="21"/>
                <w:lang w:val="zh-CN"/>
              </w:rPr>
            </w:pPr>
            <w:r>
              <w:rPr>
                <w:color w:val="auto"/>
                <w:kern w:val="0"/>
                <w:sz w:val="21"/>
                <w:szCs w:val="21"/>
                <w:lang w:val="zh-CN"/>
              </w:rPr>
              <w:t>垂直入渗</w:t>
            </w:r>
          </w:p>
        </w:tc>
        <w:tc>
          <w:tcPr>
            <w:tcW w:w="1151" w:type="pct"/>
            <w:noWrap/>
            <w:vAlign w:val="center"/>
          </w:tcPr>
          <w:p w14:paraId="4F7E912C">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液硫、氢氧化钠、氢氧化钾等</w:t>
            </w:r>
          </w:p>
        </w:tc>
        <w:tc>
          <w:tcPr>
            <w:tcW w:w="1151" w:type="pct"/>
            <w:vAlign w:val="center"/>
          </w:tcPr>
          <w:p w14:paraId="45942B7C">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液硫、氢氧化钠、氢氧化钾等</w:t>
            </w:r>
          </w:p>
        </w:tc>
        <w:tc>
          <w:tcPr>
            <w:tcW w:w="773" w:type="pct"/>
            <w:vAlign w:val="center"/>
          </w:tcPr>
          <w:p w14:paraId="60552077">
            <w:pPr>
              <w:widowControl/>
              <w:spacing w:line="240" w:lineRule="auto"/>
              <w:ind w:firstLine="0" w:firstLineChars="0"/>
              <w:jc w:val="center"/>
              <w:rPr>
                <w:color w:val="auto"/>
                <w:kern w:val="0"/>
                <w:sz w:val="21"/>
                <w:szCs w:val="21"/>
                <w:lang w:val="zh-CN"/>
              </w:rPr>
            </w:pPr>
            <w:r>
              <w:rPr>
                <w:color w:val="auto"/>
                <w:kern w:val="0"/>
                <w:sz w:val="21"/>
                <w:szCs w:val="21"/>
                <w:lang w:val="zh-CN"/>
              </w:rPr>
              <w:t>设备、管网破损泄漏，防渗破损</w:t>
            </w:r>
          </w:p>
        </w:tc>
      </w:tr>
      <w:tr w14:paraId="3575F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8" w:type="pct"/>
            <w:vAlign w:val="center"/>
          </w:tcPr>
          <w:p w14:paraId="63709FFD">
            <w:pPr>
              <w:widowControl/>
              <w:spacing w:line="240" w:lineRule="auto"/>
              <w:ind w:firstLine="0" w:firstLineChars="0"/>
              <w:jc w:val="center"/>
              <w:rPr>
                <w:color w:val="auto"/>
                <w:kern w:val="0"/>
                <w:sz w:val="21"/>
                <w:szCs w:val="21"/>
                <w:lang w:val="zh-CN"/>
              </w:rPr>
            </w:pPr>
            <w:r>
              <w:rPr>
                <w:color w:val="auto"/>
                <w:kern w:val="0"/>
                <w:sz w:val="21"/>
                <w:szCs w:val="21"/>
                <w:lang w:val="zh-CN"/>
              </w:rPr>
              <w:t>罐区、仓库</w:t>
            </w:r>
          </w:p>
        </w:tc>
        <w:tc>
          <w:tcPr>
            <w:tcW w:w="863" w:type="pct"/>
            <w:vAlign w:val="center"/>
          </w:tcPr>
          <w:p w14:paraId="72B68B51">
            <w:pPr>
              <w:widowControl/>
              <w:spacing w:line="240" w:lineRule="auto"/>
              <w:ind w:firstLine="0" w:firstLineChars="0"/>
              <w:jc w:val="center"/>
              <w:rPr>
                <w:color w:val="auto"/>
                <w:kern w:val="0"/>
                <w:sz w:val="21"/>
                <w:szCs w:val="21"/>
                <w:lang w:val="zh-CN"/>
              </w:rPr>
            </w:pPr>
            <w:r>
              <w:rPr>
                <w:color w:val="auto"/>
                <w:kern w:val="0"/>
                <w:sz w:val="21"/>
                <w:szCs w:val="21"/>
                <w:lang w:val="zh-CN"/>
              </w:rPr>
              <w:t>物料贮存</w:t>
            </w:r>
          </w:p>
        </w:tc>
        <w:tc>
          <w:tcPr>
            <w:tcW w:w="575" w:type="pct"/>
            <w:noWrap/>
            <w:vAlign w:val="center"/>
          </w:tcPr>
          <w:p w14:paraId="600B9D88">
            <w:pPr>
              <w:widowControl/>
              <w:spacing w:line="240" w:lineRule="auto"/>
              <w:ind w:firstLine="0" w:firstLineChars="0"/>
              <w:jc w:val="center"/>
              <w:rPr>
                <w:color w:val="auto"/>
                <w:kern w:val="0"/>
                <w:sz w:val="21"/>
                <w:szCs w:val="21"/>
                <w:lang w:val="zh-CN"/>
              </w:rPr>
            </w:pPr>
            <w:r>
              <w:rPr>
                <w:color w:val="auto"/>
                <w:kern w:val="0"/>
                <w:sz w:val="21"/>
                <w:szCs w:val="21"/>
                <w:lang w:val="zh-CN"/>
              </w:rPr>
              <w:t>垂直入渗</w:t>
            </w:r>
          </w:p>
        </w:tc>
        <w:tc>
          <w:tcPr>
            <w:tcW w:w="1151" w:type="pct"/>
            <w:noWrap/>
            <w:vAlign w:val="center"/>
          </w:tcPr>
          <w:p w14:paraId="38A75508">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液硫、氢氧化钠、氢氧化钾等</w:t>
            </w:r>
          </w:p>
        </w:tc>
        <w:tc>
          <w:tcPr>
            <w:tcW w:w="1151" w:type="pct"/>
            <w:vAlign w:val="center"/>
          </w:tcPr>
          <w:p w14:paraId="0675D998">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液硫、氢氧化钠、氢氧化钾等</w:t>
            </w:r>
          </w:p>
        </w:tc>
        <w:tc>
          <w:tcPr>
            <w:tcW w:w="773" w:type="pct"/>
            <w:vAlign w:val="center"/>
          </w:tcPr>
          <w:p w14:paraId="72294CD8">
            <w:pPr>
              <w:widowControl/>
              <w:spacing w:line="240" w:lineRule="auto"/>
              <w:ind w:firstLine="0" w:firstLineChars="0"/>
              <w:jc w:val="center"/>
              <w:rPr>
                <w:color w:val="auto"/>
                <w:kern w:val="0"/>
                <w:sz w:val="21"/>
                <w:szCs w:val="21"/>
                <w:lang w:val="zh-CN"/>
              </w:rPr>
            </w:pPr>
            <w:r>
              <w:rPr>
                <w:color w:val="auto"/>
                <w:kern w:val="0"/>
                <w:sz w:val="21"/>
                <w:szCs w:val="21"/>
                <w:lang w:val="zh-CN"/>
              </w:rPr>
              <w:t>储罐、管网破损泄漏，防渗破损</w:t>
            </w:r>
          </w:p>
        </w:tc>
      </w:tr>
      <w:tr w14:paraId="3A5C0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8" w:type="pct"/>
            <w:vAlign w:val="center"/>
          </w:tcPr>
          <w:p w14:paraId="0974D1CA">
            <w:pPr>
              <w:widowControl/>
              <w:spacing w:line="240" w:lineRule="auto"/>
              <w:ind w:firstLine="0" w:firstLineChars="0"/>
              <w:jc w:val="center"/>
              <w:rPr>
                <w:color w:val="auto"/>
                <w:kern w:val="0"/>
                <w:sz w:val="21"/>
                <w:szCs w:val="21"/>
                <w:lang w:val="zh-CN"/>
              </w:rPr>
            </w:pPr>
            <w:r>
              <w:rPr>
                <w:color w:val="auto"/>
                <w:kern w:val="0"/>
                <w:sz w:val="21"/>
                <w:szCs w:val="21"/>
                <w:lang w:val="zh-CN"/>
              </w:rPr>
              <w:t>废气处理装置</w:t>
            </w:r>
          </w:p>
        </w:tc>
        <w:tc>
          <w:tcPr>
            <w:tcW w:w="863" w:type="pct"/>
            <w:vAlign w:val="center"/>
          </w:tcPr>
          <w:p w14:paraId="61A0F25F">
            <w:pPr>
              <w:widowControl/>
              <w:spacing w:line="240" w:lineRule="auto"/>
              <w:ind w:firstLine="0" w:firstLineChars="0"/>
              <w:jc w:val="center"/>
              <w:rPr>
                <w:color w:val="auto"/>
                <w:kern w:val="0"/>
                <w:sz w:val="21"/>
                <w:szCs w:val="21"/>
                <w:lang w:val="zh-CN"/>
              </w:rPr>
            </w:pPr>
            <w:r>
              <w:rPr>
                <w:color w:val="auto"/>
                <w:kern w:val="0"/>
                <w:sz w:val="21"/>
                <w:szCs w:val="21"/>
                <w:lang w:val="zh-CN"/>
              </w:rPr>
              <w:t>废气收集、处理</w:t>
            </w:r>
          </w:p>
        </w:tc>
        <w:tc>
          <w:tcPr>
            <w:tcW w:w="575" w:type="pct"/>
            <w:noWrap/>
            <w:vAlign w:val="center"/>
          </w:tcPr>
          <w:p w14:paraId="767F04FE">
            <w:pPr>
              <w:widowControl/>
              <w:spacing w:line="240" w:lineRule="auto"/>
              <w:ind w:firstLine="0" w:firstLineChars="0"/>
              <w:jc w:val="center"/>
              <w:rPr>
                <w:color w:val="auto"/>
                <w:kern w:val="0"/>
                <w:sz w:val="21"/>
                <w:szCs w:val="21"/>
                <w:lang w:val="zh-CN"/>
              </w:rPr>
            </w:pPr>
            <w:r>
              <w:rPr>
                <w:color w:val="auto"/>
                <w:kern w:val="0"/>
                <w:sz w:val="21"/>
                <w:szCs w:val="21"/>
                <w:lang w:val="zh-CN"/>
              </w:rPr>
              <w:t>大气沉降</w:t>
            </w:r>
          </w:p>
        </w:tc>
        <w:tc>
          <w:tcPr>
            <w:tcW w:w="1151" w:type="pct"/>
            <w:noWrap/>
            <w:vAlign w:val="center"/>
          </w:tcPr>
          <w:p w14:paraId="01EF865A">
            <w:pPr>
              <w:widowControl/>
              <w:spacing w:line="240" w:lineRule="auto"/>
              <w:ind w:firstLine="0" w:firstLineChars="0"/>
              <w:jc w:val="center"/>
              <w:rPr>
                <w:color w:val="auto"/>
                <w:kern w:val="0"/>
                <w:sz w:val="21"/>
                <w:szCs w:val="21"/>
                <w:lang w:val="zh-CN"/>
              </w:rPr>
            </w:pPr>
            <w:r>
              <w:rPr>
                <w:color w:val="auto"/>
                <w:kern w:val="0"/>
                <w:sz w:val="21"/>
                <w:szCs w:val="21"/>
                <w:lang w:val="zh-CN"/>
              </w:rPr>
              <w:t>颗粒物、二氧化硫、氨</w:t>
            </w:r>
          </w:p>
        </w:tc>
        <w:tc>
          <w:tcPr>
            <w:tcW w:w="1151" w:type="pct"/>
            <w:vAlign w:val="center"/>
          </w:tcPr>
          <w:p w14:paraId="5D01EAC2">
            <w:pPr>
              <w:widowControl/>
              <w:spacing w:line="240" w:lineRule="auto"/>
              <w:ind w:firstLine="0" w:firstLineChars="0"/>
              <w:jc w:val="center"/>
              <w:rPr>
                <w:color w:val="auto"/>
                <w:kern w:val="0"/>
                <w:sz w:val="21"/>
                <w:szCs w:val="21"/>
                <w:lang w:val="zh-CN"/>
              </w:rPr>
            </w:pPr>
            <w:r>
              <w:rPr>
                <w:color w:val="auto"/>
                <w:kern w:val="0"/>
                <w:sz w:val="21"/>
                <w:szCs w:val="21"/>
                <w:lang w:val="zh-CN"/>
              </w:rPr>
              <w:t>颗粒物、二氧化硫、氨</w:t>
            </w:r>
          </w:p>
        </w:tc>
        <w:tc>
          <w:tcPr>
            <w:tcW w:w="773" w:type="pct"/>
            <w:vAlign w:val="center"/>
          </w:tcPr>
          <w:p w14:paraId="2D97F9EF">
            <w:pPr>
              <w:widowControl/>
              <w:spacing w:line="240" w:lineRule="auto"/>
              <w:ind w:firstLine="0" w:firstLineChars="0"/>
              <w:jc w:val="center"/>
              <w:rPr>
                <w:color w:val="auto"/>
                <w:kern w:val="0"/>
                <w:sz w:val="21"/>
                <w:szCs w:val="21"/>
                <w:lang w:val="zh-CN"/>
              </w:rPr>
            </w:pPr>
            <w:r>
              <w:rPr>
                <w:color w:val="auto"/>
                <w:kern w:val="0"/>
                <w:sz w:val="21"/>
                <w:szCs w:val="21"/>
                <w:lang w:val="zh-CN"/>
              </w:rPr>
              <w:t>连续排放</w:t>
            </w:r>
          </w:p>
        </w:tc>
      </w:tr>
    </w:tbl>
    <w:p w14:paraId="78940CD1">
      <w:pPr>
        <w:pStyle w:val="4"/>
        <w:rPr>
          <w:color w:val="auto"/>
        </w:rPr>
      </w:pPr>
      <w:bookmarkStart w:id="228" w:name="_Toc2314"/>
      <w:r>
        <w:rPr>
          <w:rFonts w:hint="eastAsia"/>
          <w:color w:val="auto"/>
        </w:rPr>
        <w:t>6.6.3大气沉降土壤环境影响预测</w:t>
      </w:r>
      <w:bookmarkEnd w:id="228"/>
    </w:p>
    <w:p w14:paraId="62BCB70B">
      <w:pPr>
        <w:ind w:firstLine="480"/>
        <w:rPr>
          <w:color w:val="auto"/>
        </w:rPr>
      </w:pPr>
      <w:r>
        <w:rPr>
          <w:color w:val="auto"/>
        </w:rPr>
        <w:t>根据《环境影响评价技术导则 土壤环境(试行)》，污染物累积影响分析参照该导则中的附录E的方法一进行影响预测。</w:t>
      </w:r>
    </w:p>
    <w:p w14:paraId="7CC70A6B">
      <w:pPr>
        <w:ind w:firstLine="480"/>
        <w:rPr>
          <w:color w:val="auto"/>
        </w:rPr>
      </w:pPr>
      <w:r>
        <w:rPr>
          <w:color w:val="auto"/>
        </w:rPr>
        <w:t>本次主要考虑废气中排放的</w:t>
      </w:r>
      <w:r>
        <w:rPr>
          <w:rFonts w:hint="eastAsia"/>
          <w:color w:val="auto"/>
        </w:rPr>
        <w:t>二氧化硫</w:t>
      </w:r>
      <w:r>
        <w:rPr>
          <w:color w:val="auto"/>
        </w:rPr>
        <w:t>污染物沉降进入土壤的环境累积影响。由于土壤的吸附、络合、沉淀和阻留作用，绝大多数残留、累积在土壤中。土壤中污染物的累积量采用以下公式进行计算：</w:t>
      </w:r>
    </w:p>
    <w:p w14:paraId="7AE79A83">
      <w:pPr>
        <w:ind w:firstLine="480"/>
        <w:rPr>
          <w:i/>
          <w:iCs/>
          <w:color w:val="auto"/>
        </w:rPr>
      </w:pPr>
      <w:r>
        <w:rPr>
          <w:i/>
          <w:iCs/>
          <w:color w:val="auto"/>
        </w:rPr>
        <w:t>ΔS =n(Is − Ls − Rs)/(ρb × A × D)</w:t>
      </w:r>
    </w:p>
    <w:p w14:paraId="221F864F">
      <w:pPr>
        <w:ind w:firstLine="480"/>
        <w:rPr>
          <w:color w:val="auto"/>
        </w:rPr>
      </w:pPr>
      <w:r>
        <w:rPr>
          <w:color w:val="auto"/>
        </w:rPr>
        <w:t>式中：</w:t>
      </w:r>
      <w:r>
        <w:rPr>
          <w:i/>
          <w:iCs/>
          <w:color w:val="auto"/>
        </w:rPr>
        <w:t>ΔS</w:t>
      </w:r>
      <w:r>
        <w:rPr>
          <w:color w:val="auto"/>
        </w:rPr>
        <w:t>–单位质量表层土壤中污染物的增量，g/kg；</w:t>
      </w:r>
    </w:p>
    <w:p w14:paraId="2E703BC6">
      <w:pPr>
        <w:ind w:firstLine="480"/>
        <w:rPr>
          <w:color w:val="auto"/>
        </w:rPr>
      </w:pPr>
      <w:r>
        <w:rPr>
          <w:i/>
          <w:iCs/>
          <w:color w:val="auto"/>
        </w:rPr>
        <w:t>Is</w:t>
      </w:r>
      <w:r>
        <w:rPr>
          <w:color w:val="auto"/>
        </w:rPr>
        <w:t>–预测评价范围内单位年份表层土壤中污染物的输入量，g；</w:t>
      </w:r>
    </w:p>
    <w:p w14:paraId="22B1E1D0">
      <w:pPr>
        <w:ind w:firstLine="480"/>
        <w:rPr>
          <w:color w:val="auto"/>
        </w:rPr>
      </w:pPr>
      <w:r>
        <w:rPr>
          <w:i/>
          <w:iCs/>
          <w:color w:val="auto"/>
        </w:rPr>
        <w:t>Ls</w:t>
      </w:r>
      <w:r>
        <w:rPr>
          <w:color w:val="auto"/>
        </w:rPr>
        <w:t>–预测评价范围内单位年份表层土壤中污染物经淋溶排出的量，g；</w:t>
      </w:r>
    </w:p>
    <w:p w14:paraId="1D30BBF6">
      <w:pPr>
        <w:ind w:firstLine="480"/>
        <w:rPr>
          <w:color w:val="auto"/>
        </w:rPr>
      </w:pPr>
      <w:r>
        <w:rPr>
          <w:i/>
          <w:iCs/>
          <w:color w:val="auto"/>
        </w:rPr>
        <w:t>Rs</w:t>
      </w:r>
      <w:r>
        <w:rPr>
          <w:color w:val="auto"/>
        </w:rPr>
        <w:t>–预测评价范围内单位年份表层土壤中污染物经径流排出的量，%；</w:t>
      </w:r>
    </w:p>
    <w:p w14:paraId="71A78636">
      <w:pPr>
        <w:ind w:firstLine="480"/>
        <w:rPr>
          <w:color w:val="auto"/>
        </w:rPr>
      </w:pPr>
      <w:r>
        <w:rPr>
          <w:i/>
          <w:iCs/>
          <w:color w:val="auto"/>
        </w:rPr>
        <w:t>ρb</w:t>
      </w:r>
      <w:r>
        <w:rPr>
          <w:color w:val="auto"/>
        </w:rPr>
        <w:t>–表层土壤容重，kg/m</w:t>
      </w:r>
      <w:r>
        <w:rPr>
          <w:color w:val="auto"/>
          <w:vertAlign w:val="superscript"/>
        </w:rPr>
        <w:t>3</w:t>
      </w:r>
      <w:r>
        <w:rPr>
          <w:color w:val="auto"/>
        </w:rPr>
        <w:t>，根据土壤理化性质调查结果，区域土壤容重约1670kg/m</w:t>
      </w:r>
      <w:r>
        <w:rPr>
          <w:color w:val="auto"/>
          <w:vertAlign w:val="superscript"/>
        </w:rPr>
        <w:t>3</w:t>
      </w:r>
      <w:r>
        <w:rPr>
          <w:color w:val="auto"/>
        </w:rPr>
        <w:t>计；</w:t>
      </w:r>
    </w:p>
    <w:p w14:paraId="42D4A826">
      <w:pPr>
        <w:ind w:firstLine="480"/>
        <w:rPr>
          <w:color w:val="auto"/>
        </w:rPr>
      </w:pPr>
      <w:r>
        <w:rPr>
          <w:color w:val="auto"/>
        </w:rPr>
        <w:t>A– 预测评价范围，m</w:t>
      </w:r>
      <w:r>
        <w:rPr>
          <w:color w:val="auto"/>
          <w:vertAlign w:val="superscript"/>
        </w:rPr>
        <w:t>2</w:t>
      </w:r>
      <w:r>
        <w:rPr>
          <w:color w:val="auto"/>
        </w:rPr>
        <w:t>；</w:t>
      </w:r>
    </w:p>
    <w:p w14:paraId="73438E3F">
      <w:pPr>
        <w:ind w:firstLine="480"/>
        <w:rPr>
          <w:color w:val="auto"/>
        </w:rPr>
      </w:pPr>
      <w:r>
        <w:rPr>
          <w:color w:val="auto"/>
        </w:rPr>
        <w:t>D – 表层土壤深度，一般取0.2m；</w:t>
      </w:r>
    </w:p>
    <w:p w14:paraId="01B4FBEE">
      <w:pPr>
        <w:ind w:firstLine="480"/>
        <w:rPr>
          <w:color w:val="auto"/>
        </w:rPr>
      </w:pPr>
      <w:r>
        <w:rPr>
          <w:color w:val="auto"/>
        </w:rPr>
        <w:t>n – 持续年份，a。</w:t>
      </w:r>
    </w:p>
    <w:p w14:paraId="17318273">
      <w:pPr>
        <w:ind w:firstLine="480"/>
        <w:rPr>
          <w:color w:val="auto"/>
        </w:rPr>
      </w:pPr>
      <w:r>
        <w:rPr>
          <w:i/>
          <w:iCs/>
          <w:color w:val="auto"/>
        </w:rPr>
        <w:t xml:space="preserve">Is </w:t>
      </w:r>
      <w:r>
        <w:rPr>
          <w:color w:val="auto"/>
        </w:rPr>
        <w:t>= C × V × T × A</w:t>
      </w:r>
    </w:p>
    <w:p w14:paraId="616636F7">
      <w:pPr>
        <w:ind w:firstLine="480"/>
        <w:rPr>
          <w:color w:val="auto"/>
        </w:rPr>
      </w:pPr>
      <w:r>
        <w:rPr>
          <w:color w:val="auto"/>
        </w:rPr>
        <w:t>式中：C — 污染物浓度，g/m</w:t>
      </w:r>
      <w:r>
        <w:rPr>
          <w:color w:val="auto"/>
          <w:vertAlign w:val="superscript"/>
        </w:rPr>
        <w:t>3</w:t>
      </w:r>
      <w:r>
        <w:rPr>
          <w:color w:val="auto"/>
        </w:rPr>
        <w:t>；采用大气影响预测结果中的</w:t>
      </w:r>
      <w:r>
        <w:rPr>
          <w:rFonts w:hint="eastAsia"/>
          <w:color w:val="auto"/>
        </w:rPr>
        <w:t>二氧化硫</w:t>
      </w:r>
      <w:r>
        <w:rPr>
          <w:color w:val="auto"/>
        </w:rPr>
        <w:t>区域最大落地浓度增量为</w:t>
      </w:r>
      <w:r>
        <w:rPr>
          <w:rFonts w:hint="eastAsia"/>
          <w:color w:val="auto"/>
        </w:rPr>
        <w:t>2.76</w:t>
      </w:r>
      <w:r>
        <w:rPr>
          <w:color w:val="auto"/>
        </w:rPr>
        <w:t>E-0</w:t>
      </w:r>
      <w:r>
        <w:rPr>
          <w:rFonts w:hint="eastAsia"/>
          <w:color w:val="auto"/>
        </w:rPr>
        <w:t>3m</w:t>
      </w:r>
      <w:r>
        <w:rPr>
          <w:color w:val="auto"/>
        </w:rPr>
        <w:t>g/m</w:t>
      </w:r>
      <w:r>
        <w:rPr>
          <w:color w:val="auto"/>
          <w:vertAlign w:val="superscript"/>
        </w:rPr>
        <w:t>3</w:t>
      </w:r>
      <w:r>
        <w:rPr>
          <w:color w:val="auto"/>
        </w:rPr>
        <w:t>。</w:t>
      </w:r>
    </w:p>
    <w:p w14:paraId="295793A0">
      <w:pPr>
        <w:ind w:firstLine="480"/>
        <w:rPr>
          <w:color w:val="auto"/>
        </w:rPr>
      </w:pPr>
      <w:r>
        <w:rPr>
          <w:color w:val="auto"/>
        </w:rPr>
        <w:t>V — 污染物沉降速率m/s，本次取值为0.005m/s；</w:t>
      </w:r>
    </w:p>
    <w:p w14:paraId="1FC71833">
      <w:pPr>
        <w:ind w:firstLine="480"/>
        <w:rPr>
          <w:color w:val="auto"/>
        </w:rPr>
      </w:pPr>
      <w:r>
        <w:rPr>
          <w:color w:val="auto"/>
        </w:rPr>
        <w:t>T — 一年内污染物沉降时间，s；</w:t>
      </w:r>
    </w:p>
    <w:p w14:paraId="33F82369">
      <w:pPr>
        <w:ind w:firstLine="480"/>
        <w:rPr>
          <w:color w:val="auto"/>
        </w:rPr>
      </w:pPr>
      <w:r>
        <w:rPr>
          <w:color w:val="auto"/>
        </w:rPr>
        <w:t>A – 预测评价范围，预测范围面积为5822000m</w:t>
      </w:r>
      <w:r>
        <w:rPr>
          <w:color w:val="auto"/>
          <w:vertAlign w:val="superscript"/>
        </w:rPr>
        <w:t>2</w:t>
      </w:r>
      <w:r>
        <w:rPr>
          <w:color w:val="auto"/>
        </w:rPr>
        <w:t>。</w:t>
      </w:r>
    </w:p>
    <w:p w14:paraId="06E732B4">
      <w:pPr>
        <w:ind w:firstLine="480"/>
        <w:rPr>
          <w:color w:val="auto"/>
        </w:rPr>
      </w:pPr>
      <w:r>
        <w:rPr>
          <w:color w:val="auto"/>
        </w:rPr>
        <w:t>计算污染物的大气沉降影响时，可不考虑输出量，因此单位质量土壤中</w:t>
      </w:r>
      <w:r>
        <w:rPr>
          <w:rFonts w:hint="eastAsia"/>
          <w:color w:val="auto"/>
        </w:rPr>
        <w:t>二氧化硫</w:t>
      </w:r>
      <w:r>
        <w:rPr>
          <w:color w:val="auto"/>
        </w:rPr>
        <w:t>的预测值可通过下方公式进行计算。</w:t>
      </w:r>
    </w:p>
    <w:p w14:paraId="6E90D058">
      <w:pPr>
        <w:ind w:firstLine="480"/>
        <w:rPr>
          <w:color w:val="auto"/>
        </w:rPr>
      </w:pPr>
      <w:r>
        <w:rPr>
          <w:i/>
          <w:iCs/>
          <w:color w:val="auto"/>
        </w:rPr>
        <w:t>S</w:t>
      </w:r>
      <w:r>
        <w:rPr>
          <w:color w:val="auto"/>
        </w:rPr>
        <w:t xml:space="preserve">= </w:t>
      </w:r>
      <w:r>
        <w:rPr>
          <w:i/>
          <w:iCs/>
          <w:color w:val="auto"/>
        </w:rPr>
        <w:t>Sb</w:t>
      </w:r>
      <w:r>
        <w:rPr>
          <w:color w:val="auto"/>
        </w:rPr>
        <w:t xml:space="preserve"> + </w:t>
      </w:r>
      <w:r>
        <w:rPr>
          <w:rFonts w:ascii="Cambria Math" w:hAnsi="Cambria Math" w:cs="Cambria Math"/>
          <w:color w:val="auto"/>
        </w:rPr>
        <w:t>𝑛𝐼𝑠</w:t>
      </w:r>
      <w:r>
        <w:rPr>
          <w:color w:val="auto"/>
        </w:rPr>
        <w:t>/(</w:t>
      </w:r>
      <w:r>
        <w:rPr>
          <w:rFonts w:ascii="Cambria Math" w:hAnsi="Cambria Math" w:cs="Cambria Math"/>
          <w:color w:val="auto"/>
        </w:rPr>
        <w:t>𝜌𝑏</w:t>
      </w:r>
      <w:r>
        <w:rPr>
          <w:color w:val="auto"/>
        </w:rPr>
        <w:t>×</w:t>
      </w:r>
      <w:r>
        <w:rPr>
          <w:rFonts w:ascii="Cambria Math" w:hAnsi="Cambria Math" w:cs="Cambria Math"/>
          <w:color w:val="auto"/>
        </w:rPr>
        <w:t>𝐴</w:t>
      </w:r>
      <w:r>
        <w:rPr>
          <w:color w:val="auto"/>
        </w:rPr>
        <w:t>×</w:t>
      </w:r>
      <w:r>
        <w:rPr>
          <w:rFonts w:ascii="Cambria Math" w:hAnsi="Cambria Math" w:cs="Cambria Math"/>
          <w:color w:val="auto"/>
        </w:rPr>
        <w:t>𝐷</w:t>
      </w:r>
      <w:r>
        <w:rPr>
          <w:color w:val="auto"/>
        </w:rPr>
        <w:t>)</w:t>
      </w:r>
    </w:p>
    <w:p w14:paraId="4495BF92">
      <w:pPr>
        <w:ind w:firstLine="480"/>
        <w:rPr>
          <w:color w:val="auto"/>
        </w:rPr>
      </w:pPr>
      <w:r>
        <w:rPr>
          <w:color w:val="auto"/>
        </w:rPr>
        <w:t>项目将预测单位面积内5年、10年和30年增量，预测结果见</w:t>
      </w:r>
      <w:r>
        <w:rPr>
          <w:rFonts w:hint="eastAsia"/>
          <w:color w:val="auto"/>
        </w:rPr>
        <w:t>下表</w:t>
      </w:r>
      <w:r>
        <w:rPr>
          <w:color w:val="auto"/>
        </w:rPr>
        <w:t>。</w:t>
      </w:r>
    </w:p>
    <w:p w14:paraId="3FE32AC4">
      <w:pPr>
        <w:ind w:firstLine="0" w:firstLineChars="0"/>
        <w:jc w:val="center"/>
        <w:rPr>
          <w:b/>
          <w:bCs/>
          <w:color w:val="auto"/>
        </w:rPr>
      </w:pPr>
      <w:r>
        <w:rPr>
          <w:rFonts w:hint="eastAsia"/>
          <w:b/>
          <w:bCs/>
          <w:color w:val="auto"/>
        </w:rPr>
        <w:t>表6.6.3-1 不同年份土壤中污染物累积量</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127"/>
        <w:gridCol w:w="2409"/>
        <w:gridCol w:w="3367"/>
      </w:tblGrid>
      <w:tr w14:paraId="00BEF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pct"/>
            <w:vAlign w:val="center"/>
          </w:tcPr>
          <w:p w14:paraId="08EC7C2B">
            <w:pPr>
              <w:widowControl/>
              <w:spacing w:line="240" w:lineRule="auto"/>
              <w:ind w:firstLine="0" w:firstLineChars="0"/>
              <w:jc w:val="center"/>
              <w:rPr>
                <w:b/>
                <w:bCs/>
                <w:color w:val="auto"/>
                <w:sz w:val="21"/>
                <w:szCs w:val="21"/>
              </w:rPr>
            </w:pPr>
            <w:r>
              <w:rPr>
                <w:b/>
                <w:bCs/>
                <w:color w:val="auto"/>
                <w:kern w:val="0"/>
                <w:sz w:val="21"/>
                <w:szCs w:val="21"/>
                <w:lang w:val="zh-CN"/>
              </w:rPr>
              <w:t>预测因子</w:t>
            </w:r>
          </w:p>
        </w:tc>
        <w:tc>
          <w:tcPr>
            <w:tcW w:w="1079" w:type="pct"/>
            <w:vAlign w:val="center"/>
          </w:tcPr>
          <w:p w14:paraId="68AD7BDE">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输入量Is</w:t>
            </w:r>
            <w:r>
              <w:rPr>
                <w:rFonts w:hint="eastAsia"/>
                <w:b/>
                <w:bCs/>
                <w:color w:val="auto"/>
                <w:kern w:val="0"/>
                <w:sz w:val="21"/>
                <w:szCs w:val="21"/>
                <w:lang w:val="zh-CN"/>
              </w:rPr>
              <w:t>（</w:t>
            </w:r>
            <w:r>
              <w:rPr>
                <w:b/>
                <w:bCs/>
                <w:color w:val="auto"/>
                <w:kern w:val="0"/>
                <w:sz w:val="21"/>
                <w:szCs w:val="21"/>
                <w:lang w:val="zh-CN"/>
              </w:rPr>
              <w:t>g/a</w:t>
            </w:r>
            <w:r>
              <w:rPr>
                <w:rFonts w:hint="eastAsia"/>
                <w:b/>
                <w:bCs/>
                <w:color w:val="auto"/>
                <w:kern w:val="0"/>
                <w:sz w:val="21"/>
                <w:szCs w:val="21"/>
                <w:lang w:val="zh-CN"/>
              </w:rPr>
              <w:t>）</w:t>
            </w:r>
          </w:p>
        </w:tc>
        <w:tc>
          <w:tcPr>
            <w:tcW w:w="1222" w:type="pct"/>
            <w:vAlign w:val="center"/>
          </w:tcPr>
          <w:p w14:paraId="6132CE36">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预测时间</w:t>
            </w:r>
            <w:r>
              <w:rPr>
                <w:rFonts w:hint="eastAsia"/>
                <w:b/>
                <w:bCs/>
                <w:color w:val="auto"/>
                <w:kern w:val="0"/>
                <w:sz w:val="21"/>
                <w:szCs w:val="21"/>
                <w:lang w:val="zh-CN"/>
              </w:rPr>
              <w:t>（</w:t>
            </w:r>
            <w:r>
              <w:rPr>
                <w:b/>
                <w:bCs/>
                <w:color w:val="auto"/>
                <w:kern w:val="0"/>
                <w:sz w:val="21"/>
                <w:szCs w:val="21"/>
                <w:lang w:val="zh-CN"/>
              </w:rPr>
              <w:t>n</w:t>
            </w:r>
            <w:r>
              <w:rPr>
                <w:rFonts w:hint="eastAsia"/>
                <w:b/>
                <w:bCs/>
                <w:color w:val="auto"/>
                <w:kern w:val="0"/>
                <w:sz w:val="21"/>
                <w:szCs w:val="21"/>
                <w:lang w:val="zh-CN"/>
              </w:rPr>
              <w:t>）</w:t>
            </w:r>
          </w:p>
        </w:tc>
        <w:tc>
          <w:tcPr>
            <w:tcW w:w="1708" w:type="pct"/>
            <w:vAlign w:val="center"/>
          </w:tcPr>
          <w:p w14:paraId="15D23EA4">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贡献值ΔS</w:t>
            </w:r>
            <w:r>
              <w:rPr>
                <w:rFonts w:hint="eastAsia"/>
                <w:b/>
                <w:bCs/>
                <w:color w:val="auto"/>
                <w:kern w:val="0"/>
                <w:sz w:val="21"/>
                <w:szCs w:val="21"/>
                <w:lang w:val="zh-CN"/>
              </w:rPr>
              <w:t>（</w:t>
            </w:r>
            <w:r>
              <w:rPr>
                <w:b/>
                <w:bCs/>
                <w:color w:val="auto"/>
                <w:kern w:val="0"/>
                <w:sz w:val="21"/>
                <w:szCs w:val="21"/>
                <w:lang w:val="zh-CN"/>
              </w:rPr>
              <w:t>g/kg</w:t>
            </w:r>
            <w:r>
              <w:rPr>
                <w:rFonts w:hint="eastAsia"/>
                <w:b/>
                <w:bCs/>
                <w:color w:val="auto"/>
                <w:kern w:val="0"/>
                <w:sz w:val="21"/>
                <w:szCs w:val="21"/>
                <w:lang w:val="zh-CN"/>
              </w:rPr>
              <w:t>）</w:t>
            </w:r>
          </w:p>
        </w:tc>
      </w:tr>
      <w:tr w14:paraId="1885C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pct"/>
            <w:vMerge w:val="restart"/>
            <w:vAlign w:val="center"/>
          </w:tcPr>
          <w:p w14:paraId="38FB784F">
            <w:pPr>
              <w:widowControl/>
              <w:spacing w:line="240" w:lineRule="auto"/>
              <w:ind w:firstLine="0" w:firstLineChars="0"/>
              <w:jc w:val="center"/>
              <w:rPr>
                <w:color w:val="auto"/>
                <w:sz w:val="21"/>
                <w:szCs w:val="21"/>
              </w:rPr>
            </w:pPr>
            <w:r>
              <w:rPr>
                <w:color w:val="auto"/>
                <w:sz w:val="21"/>
                <w:szCs w:val="21"/>
              </w:rPr>
              <w:t>二氧化硫</w:t>
            </w:r>
          </w:p>
        </w:tc>
        <w:tc>
          <w:tcPr>
            <w:tcW w:w="1079" w:type="pct"/>
            <w:vMerge w:val="restart"/>
            <w:vAlign w:val="center"/>
          </w:tcPr>
          <w:p w14:paraId="2243391B">
            <w:pPr>
              <w:widowControl/>
              <w:spacing w:line="240" w:lineRule="auto"/>
              <w:ind w:firstLine="0" w:firstLineChars="0"/>
              <w:jc w:val="center"/>
              <w:rPr>
                <w:color w:val="auto"/>
                <w:sz w:val="21"/>
                <w:szCs w:val="21"/>
              </w:rPr>
            </w:pPr>
            <w:r>
              <w:rPr>
                <w:color w:val="auto"/>
                <w:sz w:val="21"/>
                <w:szCs w:val="21"/>
              </w:rPr>
              <w:t>2533715.77</w:t>
            </w:r>
          </w:p>
        </w:tc>
        <w:tc>
          <w:tcPr>
            <w:tcW w:w="1222" w:type="pct"/>
            <w:vAlign w:val="center"/>
          </w:tcPr>
          <w:p w14:paraId="07F28DEA">
            <w:pPr>
              <w:widowControl/>
              <w:spacing w:line="240" w:lineRule="auto"/>
              <w:ind w:firstLine="0" w:firstLineChars="0"/>
              <w:jc w:val="center"/>
              <w:rPr>
                <w:color w:val="auto"/>
                <w:sz w:val="21"/>
                <w:szCs w:val="21"/>
              </w:rPr>
            </w:pPr>
            <w:r>
              <w:rPr>
                <w:color w:val="auto"/>
                <w:kern w:val="0"/>
                <w:sz w:val="21"/>
                <w:szCs w:val="21"/>
                <w:lang w:val="zh-CN"/>
              </w:rPr>
              <w:t>5</w:t>
            </w:r>
          </w:p>
        </w:tc>
        <w:tc>
          <w:tcPr>
            <w:tcW w:w="1708" w:type="pct"/>
            <w:vAlign w:val="center"/>
          </w:tcPr>
          <w:p w14:paraId="14E0AE73">
            <w:pPr>
              <w:widowControl/>
              <w:spacing w:line="240" w:lineRule="auto"/>
              <w:ind w:firstLine="0" w:firstLineChars="0"/>
              <w:jc w:val="center"/>
              <w:rPr>
                <w:color w:val="auto"/>
                <w:kern w:val="0"/>
                <w:sz w:val="21"/>
                <w:szCs w:val="21"/>
              </w:rPr>
            </w:pPr>
            <w:r>
              <w:rPr>
                <w:color w:val="auto"/>
                <w:kern w:val="0"/>
                <w:sz w:val="21"/>
                <w:szCs w:val="21"/>
              </w:rPr>
              <w:t>0.0065</w:t>
            </w:r>
          </w:p>
        </w:tc>
      </w:tr>
      <w:tr w14:paraId="7413E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pct"/>
            <w:vMerge w:val="continue"/>
            <w:vAlign w:val="center"/>
          </w:tcPr>
          <w:p w14:paraId="5E2A3F02">
            <w:pPr>
              <w:widowControl/>
              <w:spacing w:line="240" w:lineRule="auto"/>
              <w:ind w:firstLine="0" w:firstLineChars="0"/>
              <w:jc w:val="center"/>
              <w:rPr>
                <w:color w:val="auto"/>
                <w:sz w:val="21"/>
                <w:szCs w:val="21"/>
              </w:rPr>
            </w:pPr>
          </w:p>
        </w:tc>
        <w:tc>
          <w:tcPr>
            <w:tcW w:w="1079" w:type="pct"/>
            <w:vMerge w:val="continue"/>
            <w:vAlign w:val="center"/>
          </w:tcPr>
          <w:p w14:paraId="15C02691">
            <w:pPr>
              <w:widowControl/>
              <w:spacing w:line="240" w:lineRule="auto"/>
              <w:ind w:firstLine="0" w:firstLineChars="0"/>
              <w:jc w:val="center"/>
              <w:rPr>
                <w:color w:val="auto"/>
                <w:sz w:val="21"/>
                <w:szCs w:val="21"/>
              </w:rPr>
            </w:pPr>
          </w:p>
        </w:tc>
        <w:tc>
          <w:tcPr>
            <w:tcW w:w="1222" w:type="pct"/>
            <w:vAlign w:val="center"/>
          </w:tcPr>
          <w:p w14:paraId="07943F4D">
            <w:pPr>
              <w:widowControl/>
              <w:spacing w:line="240" w:lineRule="auto"/>
              <w:ind w:firstLine="0" w:firstLineChars="0"/>
              <w:jc w:val="center"/>
              <w:rPr>
                <w:color w:val="auto"/>
                <w:sz w:val="21"/>
                <w:szCs w:val="21"/>
              </w:rPr>
            </w:pPr>
            <w:r>
              <w:rPr>
                <w:color w:val="auto"/>
                <w:kern w:val="0"/>
                <w:sz w:val="21"/>
                <w:szCs w:val="21"/>
                <w:lang w:val="zh-CN"/>
              </w:rPr>
              <w:t>10</w:t>
            </w:r>
          </w:p>
        </w:tc>
        <w:tc>
          <w:tcPr>
            <w:tcW w:w="1708" w:type="pct"/>
            <w:vAlign w:val="center"/>
          </w:tcPr>
          <w:p w14:paraId="3DBB08E1">
            <w:pPr>
              <w:widowControl/>
              <w:spacing w:line="240" w:lineRule="auto"/>
              <w:ind w:firstLine="0" w:firstLineChars="0"/>
              <w:jc w:val="center"/>
              <w:rPr>
                <w:color w:val="auto"/>
                <w:kern w:val="0"/>
                <w:sz w:val="21"/>
                <w:szCs w:val="21"/>
              </w:rPr>
            </w:pPr>
            <w:r>
              <w:rPr>
                <w:color w:val="auto"/>
                <w:kern w:val="0"/>
                <w:sz w:val="21"/>
                <w:szCs w:val="21"/>
              </w:rPr>
              <w:t>0.0130</w:t>
            </w:r>
          </w:p>
        </w:tc>
      </w:tr>
      <w:tr w14:paraId="38A02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pct"/>
            <w:vMerge w:val="continue"/>
            <w:vAlign w:val="center"/>
          </w:tcPr>
          <w:p w14:paraId="39FFED80">
            <w:pPr>
              <w:widowControl/>
              <w:spacing w:line="240" w:lineRule="auto"/>
              <w:ind w:firstLine="0" w:firstLineChars="0"/>
              <w:jc w:val="center"/>
              <w:rPr>
                <w:color w:val="auto"/>
                <w:sz w:val="21"/>
                <w:szCs w:val="21"/>
              </w:rPr>
            </w:pPr>
          </w:p>
        </w:tc>
        <w:tc>
          <w:tcPr>
            <w:tcW w:w="1079" w:type="pct"/>
            <w:vMerge w:val="continue"/>
            <w:vAlign w:val="center"/>
          </w:tcPr>
          <w:p w14:paraId="2A47168D">
            <w:pPr>
              <w:widowControl/>
              <w:spacing w:line="240" w:lineRule="auto"/>
              <w:ind w:firstLine="0" w:firstLineChars="0"/>
              <w:jc w:val="center"/>
              <w:rPr>
                <w:color w:val="auto"/>
                <w:sz w:val="21"/>
                <w:szCs w:val="21"/>
              </w:rPr>
            </w:pPr>
          </w:p>
        </w:tc>
        <w:tc>
          <w:tcPr>
            <w:tcW w:w="1222" w:type="pct"/>
            <w:vAlign w:val="center"/>
          </w:tcPr>
          <w:p w14:paraId="0438EAE7">
            <w:pPr>
              <w:widowControl/>
              <w:spacing w:line="240" w:lineRule="auto"/>
              <w:ind w:firstLine="0" w:firstLineChars="0"/>
              <w:jc w:val="center"/>
              <w:rPr>
                <w:color w:val="auto"/>
                <w:sz w:val="21"/>
                <w:szCs w:val="21"/>
              </w:rPr>
            </w:pPr>
            <w:r>
              <w:rPr>
                <w:color w:val="auto"/>
                <w:kern w:val="0"/>
                <w:sz w:val="21"/>
                <w:szCs w:val="21"/>
                <w:lang w:val="zh-CN"/>
              </w:rPr>
              <w:t>30</w:t>
            </w:r>
          </w:p>
        </w:tc>
        <w:tc>
          <w:tcPr>
            <w:tcW w:w="1708" w:type="pct"/>
            <w:vAlign w:val="center"/>
          </w:tcPr>
          <w:p w14:paraId="06B76298">
            <w:pPr>
              <w:widowControl/>
              <w:spacing w:line="240" w:lineRule="auto"/>
              <w:ind w:firstLine="0" w:firstLineChars="0"/>
              <w:jc w:val="center"/>
              <w:rPr>
                <w:color w:val="auto"/>
                <w:kern w:val="0"/>
                <w:sz w:val="21"/>
                <w:szCs w:val="21"/>
              </w:rPr>
            </w:pPr>
            <w:r>
              <w:rPr>
                <w:color w:val="auto"/>
                <w:kern w:val="0"/>
                <w:sz w:val="21"/>
                <w:szCs w:val="21"/>
              </w:rPr>
              <w:t>0.0391</w:t>
            </w:r>
          </w:p>
        </w:tc>
      </w:tr>
    </w:tbl>
    <w:p w14:paraId="741436FC">
      <w:pPr>
        <w:ind w:firstLine="480"/>
        <w:rPr>
          <w:color w:val="auto"/>
        </w:rPr>
      </w:pPr>
      <w:r>
        <w:rPr>
          <w:color w:val="auto"/>
        </w:rPr>
        <w:t>由</w:t>
      </w:r>
      <w:r>
        <w:rPr>
          <w:rFonts w:hint="eastAsia"/>
          <w:color w:val="auto"/>
        </w:rPr>
        <w:t>上表</w:t>
      </w:r>
      <w:r>
        <w:rPr>
          <w:color w:val="auto"/>
        </w:rPr>
        <w:t>可以看出，随着外来气源性污染物输入时间的延长，污染物在土壤中的累积量有所增加。企业应按评价要求落实废气收集、处理措施，并保证正常运行，从源头控制污染物对土壤环境的影响。另外，在厂区范围内加大绿化，种植吸附能力较强的植物，减轻废气沉降对土壤的影响。</w:t>
      </w:r>
    </w:p>
    <w:p w14:paraId="468E6891">
      <w:pPr>
        <w:pStyle w:val="4"/>
        <w:rPr>
          <w:color w:val="auto"/>
        </w:rPr>
      </w:pPr>
      <w:bookmarkStart w:id="229" w:name="_Toc29550"/>
      <w:r>
        <w:rPr>
          <w:rFonts w:hint="eastAsia"/>
          <w:color w:val="auto"/>
        </w:rPr>
        <w:t>6.6.4入渗型土壤环境影响预测</w:t>
      </w:r>
      <w:bookmarkEnd w:id="229"/>
    </w:p>
    <w:p w14:paraId="604E68CD">
      <w:pPr>
        <w:pStyle w:val="5"/>
        <w:spacing w:before="156"/>
        <w:rPr>
          <w:color w:val="auto"/>
        </w:rPr>
      </w:pPr>
      <w:r>
        <w:rPr>
          <w:rFonts w:hint="eastAsia"/>
          <w:color w:val="auto"/>
        </w:rPr>
        <w:t>6.6.4.1情景设定</w:t>
      </w:r>
    </w:p>
    <w:p w14:paraId="3B17706B">
      <w:pPr>
        <w:ind w:firstLine="480"/>
        <w:rPr>
          <w:color w:val="auto"/>
        </w:rPr>
      </w:pPr>
      <w:r>
        <w:rPr>
          <w:color w:val="auto"/>
        </w:rPr>
        <w:t>正常工况下，土壤和地下水防渗措施完好，基本不会对土壤造成不利影响。</w:t>
      </w:r>
    </w:p>
    <w:p w14:paraId="0D407A96">
      <w:pPr>
        <w:ind w:firstLine="480"/>
        <w:rPr>
          <w:color w:val="auto"/>
        </w:rPr>
      </w:pPr>
      <w:r>
        <w:rPr>
          <w:color w:val="auto"/>
        </w:rPr>
        <w:t>假设非正常工况下，污水处理站收集池防渗层破损，对废水污染土壤的影响进行土壤环境影响预测，概化为连续点源情景。</w:t>
      </w:r>
    </w:p>
    <w:p w14:paraId="7DAB8B6E">
      <w:pPr>
        <w:pStyle w:val="5"/>
        <w:spacing w:before="156"/>
        <w:rPr>
          <w:color w:val="auto"/>
        </w:rPr>
      </w:pPr>
      <w:r>
        <w:rPr>
          <w:rFonts w:hint="eastAsia"/>
          <w:color w:val="auto"/>
        </w:rPr>
        <w:t>6.6.4.2渗漏源强设定</w:t>
      </w:r>
    </w:p>
    <w:p w14:paraId="3910EAFB">
      <w:pPr>
        <w:ind w:firstLine="480"/>
        <w:rPr>
          <w:color w:val="auto"/>
        </w:rPr>
      </w:pPr>
      <w:r>
        <w:rPr>
          <w:color w:val="auto"/>
        </w:rPr>
        <w:t>单位面积渗漏量Q可根据Q=K×I计算，其中，K为厂区包气带垂向等效渗透系数；I为土水势梯度。根据双环渗水试验结果，本项目所在场地包气带垂向渗透系数为K=8.04×10</w:t>
      </w:r>
      <w:r>
        <w:rPr>
          <w:color w:val="auto"/>
          <w:vertAlign w:val="superscript"/>
        </w:rPr>
        <w:t>-5</w:t>
      </w:r>
      <w:r>
        <w:rPr>
          <w:color w:val="auto"/>
        </w:rPr>
        <w:t>cm/s(6.9cm/d)。土水势梯度I由包气带厚度除以水深计算得出，约为0.54。因此，污水处理站单位面积渗漏量为3.7cm/d。</w:t>
      </w:r>
    </w:p>
    <w:p w14:paraId="591367F0">
      <w:pPr>
        <w:pStyle w:val="5"/>
        <w:spacing w:before="156"/>
        <w:rPr>
          <w:color w:val="auto"/>
        </w:rPr>
      </w:pPr>
      <w:r>
        <w:rPr>
          <w:rFonts w:hint="eastAsia"/>
          <w:color w:val="auto"/>
        </w:rPr>
        <w:t>6.6.4.3预测模型</w:t>
      </w:r>
    </w:p>
    <w:p w14:paraId="58874A56">
      <w:pPr>
        <w:ind w:firstLine="480"/>
        <w:rPr>
          <w:color w:val="auto"/>
        </w:rPr>
      </w:pPr>
      <w:r>
        <w:rPr>
          <w:color w:val="auto"/>
        </w:rPr>
        <w:t>土壤预测模型使用《环境影响评价技术导则 土壤环境》(HJ964-2018，试行)附录E提供的方法。</w:t>
      </w:r>
    </w:p>
    <w:p w14:paraId="593BB183">
      <w:pPr>
        <w:ind w:firstLine="480"/>
        <w:rPr>
          <w:color w:val="auto"/>
        </w:rPr>
      </w:pPr>
      <w:r>
        <w:rPr>
          <w:color w:val="auto"/>
        </w:rPr>
        <w:t>a)一维非饱和溶质垂向运移控制方程：</w:t>
      </w:r>
    </w:p>
    <w:p w14:paraId="6215DA7C">
      <w:pPr>
        <w:spacing w:line="240" w:lineRule="auto"/>
        <w:ind w:firstLine="480"/>
        <w:rPr>
          <w:color w:val="auto"/>
        </w:rPr>
      </w:pPr>
      <m:oMathPara>
        <m:oMath>
          <m:f>
            <m:fPr>
              <m:ctrlPr>
                <w:rPr>
                  <w:rFonts w:ascii="Cambria Math" w:hAnsi="Cambria Math"/>
                  <w:color w:val="auto"/>
                </w:rPr>
              </m:ctrlPr>
            </m:fPr>
            <m:num>
              <m:r>
                <m:rPr>
                  <m:sty m:val="p"/>
                </m:rPr>
                <w:rPr>
                  <w:rFonts w:ascii="Cambria Math" w:hAnsi="Cambria Math"/>
                  <w:color w:val="auto"/>
                </w:rPr>
                <m:t>∂θc</m:t>
              </m:r>
              <m:ctrlPr>
                <w:rPr>
                  <w:rFonts w:ascii="Cambria Math" w:hAnsi="Cambria Math"/>
                  <w:color w:val="auto"/>
                </w:rPr>
              </m:ctrlPr>
            </m:num>
            <m:den>
              <m:r>
                <m:rPr>
                  <m:sty m:val="p"/>
                </m:rPr>
                <w:rPr>
                  <w:rFonts w:ascii="Cambria Math" w:hAnsi="Cambria Math"/>
                  <w:color w:val="auto"/>
                </w:rPr>
                <m:t>∂t</m:t>
              </m:r>
              <m:ctrlPr>
                <w:rPr>
                  <w:rFonts w:ascii="Cambria Math" w:hAnsi="Cambria Math"/>
                  <w:color w:val="auto"/>
                </w:rPr>
              </m:ctrlP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m:t>
              </m:r>
              <m:ctrlPr>
                <w:rPr>
                  <w:rFonts w:ascii="Cambria Math" w:hAnsi="Cambria Math"/>
                  <w:color w:val="auto"/>
                </w:rPr>
              </m:ctrlPr>
            </m:num>
            <m:den>
              <m:r>
                <m:rPr>
                  <m:sty m:val="p"/>
                </m:rPr>
                <w:rPr>
                  <w:rFonts w:ascii="Cambria Math" w:hAnsi="Cambria Math"/>
                  <w:color w:val="auto"/>
                </w:rPr>
                <m:t>∂x</m:t>
              </m:r>
              <m:ctrlPr>
                <w:rPr>
                  <w:rFonts w:ascii="Cambria Math" w:hAnsi="Cambria Math"/>
                  <w:color w:val="auto"/>
                </w:rPr>
              </m:ctrlPr>
            </m:den>
          </m:f>
          <m:d>
            <m:dPr>
              <m:ctrlPr>
                <w:rPr>
                  <w:rFonts w:ascii="Cambria Math" w:hAnsi="Cambria Math"/>
                  <w:color w:val="auto"/>
                </w:rPr>
              </m:ctrlPr>
            </m:dPr>
            <m:e>
              <m:r>
                <m:rPr>
                  <m:sty m:val="p"/>
                </m:rPr>
                <w:rPr>
                  <w:rFonts w:ascii="Cambria Math" w:hAnsi="Cambria Math"/>
                  <w:color w:val="auto"/>
                </w:rPr>
                <m:t>θD</m:t>
              </m:r>
              <m:f>
                <m:fPr>
                  <m:ctrlPr>
                    <w:rPr>
                      <w:rFonts w:ascii="Cambria Math" w:hAnsi="Cambria Math"/>
                      <w:color w:val="auto"/>
                    </w:rPr>
                  </m:ctrlPr>
                </m:fPr>
                <m:num>
                  <m:r>
                    <m:rPr>
                      <m:sty m:val="p"/>
                    </m:rPr>
                    <w:rPr>
                      <w:rFonts w:ascii="Cambria Math" w:hAnsi="Cambria Math"/>
                      <w:color w:val="auto"/>
                    </w:rPr>
                    <m:t>∂c</m:t>
                  </m:r>
                  <m:ctrlPr>
                    <w:rPr>
                      <w:rFonts w:ascii="Cambria Math" w:hAnsi="Cambria Math"/>
                      <w:color w:val="auto"/>
                    </w:rPr>
                  </m:ctrlPr>
                </m:num>
                <m:den>
                  <m:r>
                    <m:rPr>
                      <m:sty m:val="p"/>
                    </m:rPr>
                    <w:rPr>
                      <w:rFonts w:ascii="Cambria Math" w:hAnsi="Cambria Math"/>
                      <w:color w:val="auto"/>
                    </w:rPr>
                    <m:t>∂x</m:t>
                  </m:r>
                  <m:ctrlPr>
                    <w:rPr>
                      <w:rFonts w:ascii="Cambria Math" w:hAnsi="Cambria Math"/>
                      <w:color w:val="auto"/>
                    </w:rPr>
                  </m:ctrlPr>
                </m:den>
              </m:f>
              <m:ctrlPr>
                <w:rPr>
                  <w:rFonts w:ascii="Cambria Math" w:hAnsi="Cambria Math"/>
                  <w:color w:val="auto"/>
                </w:rPr>
              </m:ctrlPr>
            </m:e>
          </m:d>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m:t>
              </m:r>
              <m:ctrlPr>
                <w:rPr>
                  <w:rFonts w:ascii="Cambria Math" w:hAnsi="Cambria Math"/>
                  <w:color w:val="auto"/>
                </w:rPr>
              </m:ctrlPr>
            </m:num>
            <m:den>
              <m:r>
                <m:rPr>
                  <m:sty m:val="p"/>
                </m:rPr>
                <w:rPr>
                  <w:rFonts w:ascii="Cambria Math" w:hAnsi="Cambria Math"/>
                  <w:color w:val="auto"/>
                </w:rPr>
                <m:t>∂x</m:t>
              </m:r>
              <m:ctrlPr>
                <w:rPr>
                  <w:rFonts w:ascii="Cambria Math" w:hAnsi="Cambria Math"/>
                  <w:color w:val="auto"/>
                </w:rPr>
              </m:ctrlPr>
            </m:den>
          </m:f>
          <m:r>
            <m:rPr>
              <m:sty m:val="p"/>
            </m:rPr>
            <w:rPr>
              <w:rFonts w:ascii="Cambria Math" w:hAnsi="Cambria Math"/>
              <w:color w:val="auto"/>
            </w:rPr>
            <m:t>(qc)</m:t>
          </m:r>
        </m:oMath>
      </m:oMathPara>
    </w:p>
    <w:p w14:paraId="7B6BB676">
      <w:pPr>
        <w:ind w:firstLine="480"/>
        <w:rPr>
          <w:color w:val="auto"/>
        </w:rPr>
      </w:pPr>
      <w:r>
        <w:rPr>
          <w:color w:val="auto"/>
        </w:rPr>
        <w:t>式中：c—污染物介质中的浓度，mg/L；</w:t>
      </w:r>
    </w:p>
    <w:p w14:paraId="6E43D0E3">
      <w:pPr>
        <w:ind w:firstLine="480"/>
        <w:rPr>
          <w:color w:val="auto"/>
        </w:rPr>
      </w:pPr>
      <w:r>
        <w:rPr>
          <w:color w:val="auto"/>
        </w:rPr>
        <w:t>D—弥散系数，m</w:t>
      </w:r>
      <w:r>
        <w:rPr>
          <w:color w:val="auto"/>
          <w:vertAlign w:val="superscript"/>
        </w:rPr>
        <w:t>2</w:t>
      </w:r>
      <w:r>
        <w:rPr>
          <w:color w:val="auto"/>
        </w:rPr>
        <w:t>/d；</w:t>
      </w:r>
    </w:p>
    <w:p w14:paraId="3AB196C4">
      <w:pPr>
        <w:ind w:firstLine="480"/>
        <w:rPr>
          <w:color w:val="auto"/>
        </w:rPr>
      </w:pPr>
      <w:r>
        <w:rPr>
          <w:color w:val="auto"/>
        </w:rPr>
        <w:t>q—渗流速率，m/d；</w:t>
      </w:r>
    </w:p>
    <w:p w14:paraId="49F1B23F">
      <w:pPr>
        <w:ind w:firstLine="480"/>
        <w:rPr>
          <w:color w:val="auto"/>
        </w:rPr>
      </w:pPr>
      <w:r>
        <w:rPr>
          <w:color w:val="auto"/>
        </w:rPr>
        <w:t>x—沿x轴的距离，m；</w:t>
      </w:r>
    </w:p>
    <w:p w14:paraId="584FFAF2">
      <w:pPr>
        <w:ind w:firstLine="480"/>
        <w:rPr>
          <w:color w:val="auto"/>
        </w:rPr>
      </w:pPr>
      <w:r>
        <w:rPr>
          <w:color w:val="auto"/>
        </w:rPr>
        <w:t>t—时间变量，d；</w:t>
      </w:r>
    </w:p>
    <w:p w14:paraId="0F5AEA83">
      <w:pPr>
        <w:ind w:firstLine="480"/>
        <w:rPr>
          <w:color w:val="auto"/>
        </w:rPr>
      </w:pPr>
      <w:r>
        <w:rPr>
          <w:color w:val="auto"/>
        </w:rPr>
        <w:t>θ—土壤含水率，%。</w:t>
      </w:r>
    </w:p>
    <w:p w14:paraId="2DE359D7">
      <w:pPr>
        <w:ind w:firstLine="480"/>
        <w:rPr>
          <w:color w:val="auto"/>
        </w:rPr>
      </w:pPr>
      <w:r>
        <w:rPr>
          <w:color w:val="auto"/>
        </w:rPr>
        <w:t>b)初始条件</w:t>
      </w:r>
    </w:p>
    <w:p w14:paraId="05FA5411">
      <w:pPr>
        <w:ind w:firstLine="480"/>
        <w:rPr>
          <w:color w:val="auto"/>
        </w:rPr>
      </w:pPr>
      <w:r>
        <w:rPr>
          <w:color w:val="auto"/>
        </w:rPr>
        <w:t>C(z,t)=0  t=0，L≤z&lt;0</w:t>
      </w:r>
    </w:p>
    <w:p w14:paraId="6F77C42C">
      <w:pPr>
        <w:ind w:firstLine="480"/>
        <w:rPr>
          <w:color w:val="auto"/>
        </w:rPr>
      </w:pPr>
      <w:r>
        <w:rPr>
          <w:color w:val="auto"/>
        </w:rPr>
        <w:t>c)边界条件</w:t>
      </w:r>
    </w:p>
    <w:p w14:paraId="60ADCE6F">
      <w:pPr>
        <w:ind w:firstLine="480"/>
        <w:rPr>
          <w:color w:val="auto"/>
        </w:rPr>
      </w:pPr>
      <w:r>
        <w:rPr>
          <w:color w:val="auto"/>
        </w:rPr>
        <w:t>第一类Dirlchlet边界条件</w:t>
      </w:r>
    </w:p>
    <w:p w14:paraId="06D55B4F">
      <w:pPr>
        <w:ind w:firstLine="480"/>
        <w:rPr>
          <w:color w:val="auto"/>
        </w:rPr>
      </w:pPr>
      <w:r>
        <w:rPr>
          <w:color w:val="auto"/>
        </w:rPr>
        <w:t>C(z,t)=C</w:t>
      </w:r>
      <w:r>
        <w:rPr>
          <w:color w:val="auto"/>
          <w:vertAlign w:val="subscript"/>
        </w:rPr>
        <w:t xml:space="preserve">0  </w:t>
      </w:r>
      <w:r>
        <w:rPr>
          <w:color w:val="auto"/>
        </w:rPr>
        <w:t>t＞0，z=0(适用于连续点情景)</w:t>
      </w:r>
    </w:p>
    <w:p w14:paraId="421C9727">
      <w:pPr>
        <w:spacing w:line="240" w:lineRule="auto"/>
        <w:ind w:firstLine="480"/>
        <w:rPr>
          <w:color w:val="auto"/>
        </w:rPr>
      </w:pPr>
      <w:r>
        <w:rPr>
          <w:color w:val="auto"/>
        </w:rPr>
        <w:drawing>
          <wp:inline distT="0" distB="0" distL="0" distR="0">
            <wp:extent cx="1904365" cy="551815"/>
            <wp:effectExtent l="0" t="0" r="635" b="635"/>
            <wp:docPr id="5611" name="图片 5611" descr="图片包含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 name="图片 5611" descr="图片包含 网站&#10;&#10;描述已自动生成"/>
                    <pic:cNvPicPr>
                      <a:picLocks noChangeAspect="1"/>
                    </pic:cNvPicPr>
                  </pic:nvPicPr>
                  <pic:blipFill>
                    <a:blip r:embed="rId53" cstate="print"/>
                    <a:stretch>
                      <a:fillRect/>
                    </a:stretch>
                  </pic:blipFill>
                  <pic:spPr>
                    <a:xfrm>
                      <a:off x="0" y="0"/>
                      <a:ext cx="1904762" cy="552381"/>
                    </a:xfrm>
                    <a:prstGeom prst="rect">
                      <a:avLst/>
                    </a:prstGeom>
                  </pic:spPr>
                </pic:pic>
              </a:graphicData>
            </a:graphic>
          </wp:inline>
        </w:drawing>
      </w:r>
      <w:r>
        <w:rPr>
          <w:color w:val="auto"/>
        </w:rPr>
        <w:t>(适用于非连续点源情景)</w:t>
      </w:r>
    </w:p>
    <w:p w14:paraId="5DDF8883">
      <w:pPr>
        <w:ind w:firstLine="480"/>
        <w:rPr>
          <w:color w:val="auto"/>
        </w:rPr>
      </w:pPr>
      <w:r>
        <w:rPr>
          <w:color w:val="auto"/>
        </w:rPr>
        <w:t>第二类Neumann零梯度边界</w:t>
      </w:r>
    </w:p>
    <w:p w14:paraId="6384DF28">
      <w:pPr>
        <w:spacing w:line="240" w:lineRule="auto"/>
        <w:ind w:firstLine="480"/>
        <w:rPr>
          <w:color w:val="auto"/>
        </w:rPr>
      </w:pPr>
      <w:r>
        <w:rPr>
          <w:color w:val="auto"/>
        </w:rPr>
        <w:drawing>
          <wp:inline distT="0" distB="0" distL="0" distR="0">
            <wp:extent cx="2075815" cy="351790"/>
            <wp:effectExtent l="0" t="0" r="635" b="10160"/>
            <wp:docPr id="5612" name="图片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图片 5612"/>
                    <pic:cNvPicPr>
                      <a:picLocks noChangeAspect="1"/>
                    </pic:cNvPicPr>
                  </pic:nvPicPr>
                  <pic:blipFill>
                    <a:blip r:embed="rId54" cstate="print"/>
                    <a:stretch>
                      <a:fillRect/>
                    </a:stretch>
                  </pic:blipFill>
                  <pic:spPr>
                    <a:xfrm>
                      <a:off x="0" y="0"/>
                      <a:ext cx="2076191" cy="352381"/>
                    </a:xfrm>
                    <a:prstGeom prst="rect">
                      <a:avLst/>
                    </a:prstGeom>
                  </pic:spPr>
                </pic:pic>
              </a:graphicData>
            </a:graphic>
          </wp:inline>
        </w:drawing>
      </w:r>
    </w:p>
    <w:p w14:paraId="7B71EC00">
      <w:pPr>
        <w:pStyle w:val="5"/>
        <w:spacing w:before="156"/>
        <w:rPr>
          <w:color w:val="auto"/>
        </w:rPr>
      </w:pPr>
      <w:r>
        <w:rPr>
          <w:rFonts w:hint="eastAsia"/>
          <w:color w:val="auto"/>
        </w:rPr>
        <w:t>6.6.4.4参数选取</w:t>
      </w:r>
    </w:p>
    <w:p w14:paraId="5C77C079">
      <w:pPr>
        <w:ind w:firstLine="480"/>
        <w:rPr>
          <w:color w:val="auto"/>
        </w:rPr>
      </w:pPr>
      <w:r>
        <w:rPr>
          <w:rFonts w:hint="eastAsia"/>
          <w:color w:val="auto"/>
        </w:rPr>
        <w:t>1、模拟软件选取</w:t>
      </w:r>
    </w:p>
    <w:p w14:paraId="791FC130">
      <w:pPr>
        <w:ind w:firstLine="480"/>
        <w:rPr>
          <w:color w:val="auto"/>
        </w:rPr>
      </w:pPr>
      <w:r>
        <w:rPr>
          <w:color w:val="auto"/>
        </w:rPr>
        <w:t>在本次评价中应用HYDRUS软件求解非饱和带中的水分与溶质运移方程。</w:t>
      </w:r>
    </w:p>
    <w:p w14:paraId="52434978">
      <w:pPr>
        <w:ind w:firstLine="480"/>
        <w:rPr>
          <w:color w:val="auto"/>
        </w:rPr>
      </w:pPr>
      <w:r>
        <w:rPr>
          <w:rFonts w:hint="eastAsia"/>
          <w:color w:val="auto"/>
        </w:rPr>
        <w:t>2、建立模型</w:t>
      </w:r>
    </w:p>
    <w:p w14:paraId="7A666452">
      <w:pPr>
        <w:ind w:firstLine="480"/>
        <w:rPr>
          <w:color w:val="auto"/>
        </w:rPr>
      </w:pPr>
      <w:r>
        <w:rPr>
          <w:color w:val="auto"/>
        </w:rPr>
        <w:t>包气带污染物运移模型为：污水处理站收集池出现泄漏，对典型污染物COD</w:t>
      </w:r>
      <w:r>
        <w:rPr>
          <w:color w:val="auto"/>
          <w:vertAlign w:val="subscript"/>
        </w:rPr>
        <w:t>cr</w:t>
      </w:r>
      <w:r>
        <w:rPr>
          <w:color w:val="auto"/>
        </w:rPr>
        <w:t>在包气带中的运移进行模拟。根据地勘报告，厂区地下水埋深约为0.47m</w:t>
      </w:r>
      <w:r>
        <w:rPr>
          <w:rFonts w:hint="eastAsia"/>
          <w:color w:val="auto"/>
        </w:rPr>
        <w:t>；</w:t>
      </w:r>
      <w:r>
        <w:rPr>
          <w:color w:val="auto"/>
        </w:rPr>
        <w:t>模型选择自地表向下2m范围内进行模拟。根据地勘报告，自地表向下至2m处分为2层，</w:t>
      </w:r>
      <w:r>
        <w:rPr>
          <w:rFonts w:ascii="Cambria Math" w:hAnsi="Cambria Math" w:cs="Cambria Math"/>
          <w:color w:val="auto"/>
        </w:rPr>
        <w:t>①</w:t>
      </w:r>
      <w:r>
        <w:rPr>
          <w:color w:val="auto"/>
        </w:rPr>
        <w:t>-填土：0~1m、</w:t>
      </w:r>
      <w:r>
        <w:rPr>
          <w:rFonts w:ascii="Cambria Math" w:hAnsi="Cambria Math" w:cs="Cambria Math"/>
          <w:color w:val="auto"/>
        </w:rPr>
        <w:t>②</w:t>
      </w:r>
      <w:r>
        <w:rPr>
          <w:color w:val="auto"/>
        </w:rPr>
        <w:t>-淤泥质粉质黏土1~5.1m。在预测目标层布置5个观测点，从上到下依次为N1~N5，距模型顶端距离分别为20、50、100、150和200cm。收集池若发生不易发现的小面积渗漏，假设数年后检修才发现，故将时间保守设定为600天。</w:t>
      </w:r>
    </w:p>
    <w:p w14:paraId="452394ED">
      <w:pPr>
        <w:spacing w:line="240" w:lineRule="auto"/>
        <w:ind w:firstLine="480"/>
        <w:jc w:val="center"/>
        <w:rPr>
          <w:color w:val="auto"/>
        </w:rPr>
      </w:pPr>
      <w:r>
        <w:rPr>
          <w:rFonts w:eastAsia="仿宋_GB2312"/>
          <w:color w:val="auto"/>
        </w:rPr>
        <w:drawing>
          <wp:inline distT="0" distB="0" distL="0" distR="0">
            <wp:extent cx="507365" cy="3000375"/>
            <wp:effectExtent l="0" t="0" r="6985" b="9525"/>
            <wp:docPr id="45" name="图片 45" descr="E:\南通项目\诚信制药\预测\土壤预测\chengxin\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南通项目\诚信制药\预测\土壤预测\chengxin\图片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10621" cy="3018761"/>
                    </a:xfrm>
                    <a:prstGeom prst="rect">
                      <a:avLst/>
                    </a:prstGeom>
                    <a:noFill/>
                    <a:ln>
                      <a:noFill/>
                    </a:ln>
                  </pic:spPr>
                </pic:pic>
              </a:graphicData>
            </a:graphic>
          </wp:inline>
        </w:drawing>
      </w:r>
      <w:r>
        <w:rPr>
          <w:rFonts w:hint="eastAsia"/>
          <w:color w:val="auto"/>
        </w:rPr>
        <w:t xml:space="preserve">                    </w:t>
      </w:r>
      <w:r>
        <w:rPr>
          <w:rFonts w:eastAsia="仿宋_GB2312"/>
          <w:color w:val="auto"/>
        </w:rPr>
        <w:drawing>
          <wp:inline distT="0" distB="0" distL="0" distR="0">
            <wp:extent cx="968375" cy="3000375"/>
            <wp:effectExtent l="0" t="0" r="0" b="0"/>
            <wp:docPr id="46" name="图片 46" descr="电脑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电脑萤幕画面&#10;&#10;低可信度描述已自动生成"/>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76292" cy="3022999"/>
                    </a:xfrm>
                    <a:prstGeom prst="rect">
                      <a:avLst/>
                    </a:prstGeom>
                  </pic:spPr>
                </pic:pic>
              </a:graphicData>
            </a:graphic>
          </wp:inline>
        </w:drawing>
      </w:r>
    </w:p>
    <w:p w14:paraId="01151ABF">
      <w:pPr>
        <w:spacing w:line="240" w:lineRule="auto"/>
        <w:ind w:firstLine="422"/>
        <w:jc w:val="center"/>
        <w:rPr>
          <w:color w:val="auto"/>
          <w:sz w:val="21"/>
          <w:szCs w:val="21"/>
        </w:rPr>
      </w:pPr>
      <w:r>
        <w:rPr>
          <w:b/>
          <w:bCs/>
          <w:color w:val="auto"/>
          <w:sz w:val="21"/>
          <w:szCs w:val="21"/>
          <w:lang w:bidi="ar"/>
        </w:rPr>
        <w:t>a.包气带岩性变化分布              b.观测点分布(N为观测点)</w:t>
      </w:r>
    </w:p>
    <w:p w14:paraId="21AFD247">
      <w:pPr>
        <w:tabs>
          <w:tab w:val="left" w:pos="6854"/>
          <w:tab w:val="left" w:pos="7004"/>
        </w:tabs>
        <w:spacing w:before="120" w:after="120"/>
        <w:ind w:firstLine="482" w:firstLineChars="0"/>
        <w:jc w:val="center"/>
        <w:rPr>
          <w:b/>
          <w:bCs/>
          <w:color w:val="auto"/>
          <w:lang w:bidi="ar"/>
        </w:rPr>
      </w:pPr>
      <w:r>
        <w:rPr>
          <w:b/>
          <w:bCs/>
          <w:color w:val="auto"/>
          <w:lang w:bidi="ar"/>
        </w:rPr>
        <w:t>图6.6.4-1 包气带岩性变化和观测点位图</w:t>
      </w:r>
    </w:p>
    <w:p w14:paraId="7122ACCE">
      <w:pPr>
        <w:ind w:firstLine="480"/>
        <w:rPr>
          <w:color w:val="auto"/>
        </w:rPr>
      </w:pPr>
      <w:r>
        <w:rPr>
          <w:rFonts w:hint="eastAsia"/>
          <w:color w:val="auto"/>
        </w:rPr>
        <w:t>3、参数选取</w:t>
      </w:r>
    </w:p>
    <w:p w14:paraId="5A4C5D53">
      <w:pPr>
        <w:ind w:firstLine="480"/>
        <w:rPr>
          <w:color w:val="auto"/>
        </w:rPr>
      </w:pPr>
      <w:r>
        <w:rPr>
          <w:color w:val="auto"/>
        </w:rPr>
        <w:t>素填土、淤泥质粉质黏土的土壤水力参数为模型内的经验值，见表6.6.4-1，溶质运移模型方程中相关参数为经验值，见表6.6.4-2，污染物泄漏浓度见表6.6.4-3。</w:t>
      </w:r>
    </w:p>
    <w:p w14:paraId="3EA50C66">
      <w:pPr>
        <w:ind w:firstLine="482"/>
        <w:jc w:val="center"/>
        <w:rPr>
          <w:b/>
          <w:color w:val="auto"/>
        </w:rPr>
      </w:pPr>
      <w:r>
        <w:rPr>
          <w:b/>
          <w:color w:val="auto"/>
        </w:rPr>
        <w:t>表6.6.4-1 土壤水力参数</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289"/>
        <w:gridCol w:w="1149"/>
        <w:gridCol w:w="1293"/>
        <w:gridCol w:w="1271"/>
        <w:gridCol w:w="1181"/>
        <w:gridCol w:w="1555"/>
        <w:gridCol w:w="873"/>
      </w:tblGrid>
      <w:tr w14:paraId="187BF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pct"/>
            <w:vAlign w:val="center"/>
          </w:tcPr>
          <w:p w14:paraId="5CD97753">
            <w:pPr>
              <w:spacing w:line="240" w:lineRule="auto"/>
              <w:ind w:firstLine="0" w:firstLineChars="0"/>
              <w:jc w:val="center"/>
              <w:rPr>
                <w:b/>
                <w:bCs/>
                <w:color w:val="auto"/>
                <w:sz w:val="21"/>
                <w:szCs w:val="21"/>
              </w:rPr>
            </w:pPr>
            <w:r>
              <w:rPr>
                <w:b/>
                <w:bCs/>
                <w:color w:val="auto"/>
                <w:sz w:val="21"/>
                <w:szCs w:val="21"/>
              </w:rPr>
              <w:t>土壤层次/cm</w:t>
            </w:r>
          </w:p>
        </w:tc>
        <w:tc>
          <w:tcPr>
            <w:tcW w:w="654" w:type="pct"/>
            <w:vAlign w:val="center"/>
          </w:tcPr>
          <w:p w14:paraId="1DC395ED">
            <w:pPr>
              <w:spacing w:line="240" w:lineRule="auto"/>
              <w:ind w:firstLine="0" w:firstLineChars="0"/>
              <w:jc w:val="center"/>
              <w:rPr>
                <w:b/>
                <w:bCs/>
                <w:color w:val="auto"/>
                <w:sz w:val="21"/>
                <w:szCs w:val="21"/>
              </w:rPr>
            </w:pPr>
            <w:r>
              <w:rPr>
                <w:b/>
                <w:bCs/>
                <w:color w:val="auto"/>
                <w:sz w:val="21"/>
                <w:szCs w:val="21"/>
              </w:rPr>
              <w:t>土壤类型</w:t>
            </w:r>
          </w:p>
        </w:tc>
        <w:tc>
          <w:tcPr>
            <w:tcW w:w="583" w:type="pct"/>
            <w:vAlign w:val="center"/>
          </w:tcPr>
          <w:p w14:paraId="735B78B7">
            <w:pPr>
              <w:spacing w:line="240" w:lineRule="auto"/>
              <w:ind w:firstLine="0" w:firstLineChars="0"/>
              <w:jc w:val="center"/>
              <w:rPr>
                <w:b/>
                <w:bCs/>
                <w:color w:val="auto"/>
                <w:sz w:val="21"/>
                <w:szCs w:val="21"/>
              </w:rPr>
            </w:pPr>
            <w:r>
              <w:rPr>
                <w:b/>
                <w:bCs/>
                <w:color w:val="auto"/>
                <w:sz w:val="21"/>
                <w:szCs w:val="21"/>
              </w:rPr>
              <w:t>残存含水率θr/%</w:t>
            </w:r>
          </w:p>
        </w:tc>
        <w:tc>
          <w:tcPr>
            <w:tcW w:w="656" w:type="pct"/>
            <w:vAlign w:val="center"/>
          </w:tcPr>
          <w:p w14:paraId="1732F999">
            <w:pPr>
              <w:spacing w:line="240" w:lineRule="auto"/>
              <w:ind w:firstLine="0" w:firstLineChars="0"/>
              <w:jc w:val="center"/>
              <w:rPr>
                <w:b/>
                <w:bCs/>
                <w:color w:val="auto"/>
                <w:sz w:val="21"/>
                <w:szCs w:val="21"/>
              </w:rPr>
            </w:pPr>
            <w:r>
              <w:rPr>
                <w:b/>
                <w:bCs/>
                <w:color w:val="auto"/>
                <w:sz w:val="21"/>
                <w:szCs w:val="21"/>
              </w:rPr>
              <w:t>饱和含水率θs/ %</w:t>
            </w:r>
          </w:p>
        </w:tc>
        <w:tc>
          <w:tcPr>
            <w:tcW w:w="645" w:type="pct"/>
            <w:vAlign w:val="center"/>
          </w:tcPr>
          <w:p w14:paraId="199E1277">
            <w:pPr>
              <w:spacing w:line="240" w:lineRule="auto"/>
              <w:ind w:firstLine="0" w:firstLineChars="0"/>
              <w:jc w:val="center"/>
              <w:rPr>
                <w:b/>
                <w:bCs/>
                <w:color w:val="auto"/>
                <w:sz w:val="21"/>
                <w:szCs w:val="21"/>
              </w:rPr>
            </w:pPr>
            <w:r>
              <w:rPr>
                <w:b/>
                <w:bCs/>
                <w:color w:val="auto"/>
                <w:sz w:val="21"/>
                <w:szCs w:val="21"/>
              </w:rPr>
              <w:t>经验参数α/cm</w:t>
            </w:r>
            <w:r>
              <w:rPr>
                <w:b/>
                <w:bCs/>
                <w:color w:val="auto"/>
                <w:sz w:val="21"/>
                <w:szCs w:val="21"/>
                <w:vertAlign w:val="superscript"/>
              </w:rPr>
              <w:t>-1</w:t>
            </w:r>
          </w:p>
        </w:tc>
        <w:tc>
          <w:tcPr>
            <w:tcW w:w="599" w:type="pct"/>
            <w:vAlign w:val="center"/>
          </w:tcPr>
          <w:p w14:paraId="60371554">
            <w:pPr>
              <w:spacing w:line="240" w:lineRule="auto"/>
              <w:ind w:firstLine="0" w:firstLineChars="0"/>
              <w:jc w:val="center"/>
              <w:rPr>
                <w:b/>
                <w:bCs/>
                <w:color w:val="auto"/>
                <w:sz w:val="21"/>
                <w:szCs w:val="21"/>
              </w:rPr>
            </w:pPr>
            <w:r>
              <w:rPr>
                <w:b/>
                <w:bCs/>
                <w:color w:val="auto"/>
                <w:sz w:val="21"/>
                <w:szCs w:val="21"/>
              </w:rPr>
              <w:t>曲线形状参数n</w:t>
            </w:r>
          </w:p>
        </w:tc>
        <w:tc>
          <w:tcPr>
            <w:tcW w:w="789" w:type="pct"/>
            <w:vAlign w:val="center"/>
          </w:tcPr>
          <w:p w14:paraId="3C3A16E6">
            <w:pPr>
              <w:spacing w:line="240" w:lineRule="auto"/>
              <w:ind w:firstLine="0" w:firstLineChars="0"/>
              <w:jc w:val="center"/>
              <w:rPr>
                <w:b/>
                <w:bCs/>
                <w:color w:val="auto"/>
                <w:sz w:val="21"/>
                <w:szCs w:val="21"/>
              </w:rPr>
            </w:pPr>
            <w:r>
              <w:rPr>
                <w:b/>
                <w:bCs/>
                <w:color w:val="auto"/>
                <w:sz w:val="21"/>
                <w:szCs w:val="21"/>
              </w:rPr>
              <w:t>渗透系数ks/cm·d</w:t>
            </w:r>
            <w:r>
              <w:rPr>
                <w:b/>
                <w:bCs/>
                <w:color w:val="auto"/>
                <w:sz w:val="21"/>
                <w:szCs w:val="21"/>
                <w:vertAlign w:val="superscript"/>
              </w:rPr>
              <w:t>-1</w:t>
            </w:r>
          </w:p>
        </w:tc>
        <w:tc>
          <w:tcPr>
            <w:tcW w:w="443" w:type="pct"/>
            <w:vAlign w:val="center"/>
          </w:tcPr>
          <w:p w14:paraId="1B8D582A">
            <w:pPr>
              <w:spacing w:line="240" w:lineRule="auto"/>
              <w:ind w:firstLine="0" w:firstLineChars="0"/>
              <w:jc w:val="center"/>
              <w:rPr>
                <w:b/>
                <w:bCs/>
                <w:color w:val="auto"/>
                <w:sz w:val="21"/>
                <w:szCs w:val="21"/>
              </w:rPr>
            </w:pPr>
            <w:r>
              <w:rPr>
                <w:b/>
                <w:bCs/>
                <w:color w:val="auto"/>
                <w:sz w:val="21"/>
                <w:szCs w:val="21"/>
              </w:rPr>
              <w:t>经验参数l</w:t>
            </w:r>
          </w:p>
        </w:tc>
      </w:tr>
      <w:tr w14:paraId="0D656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pct"/>
            <w:vAlign w:val="center"/>
          </w:tcPr>
          <w:p w14:paraId="66EED961">
            <w:pPr>
              <w:spacing w:line="240" w:lineRule="auto"/>
              <w:ind w:firstLine="0" w:firstLineChars="0"/>
              <w:jc w:val="center"/>
              <w:rPr>
                <w:color w:val="auto"/>
                <w:sz w:val="21"/>
                <w:szCs w:val="21"/>
              </w:rPr>
            </w:pPr>
            <w:r>
              <w:rPr>
                <w:color w:val="auto"/>
                <w:sz w:val="21"/>
                <w:szCs w:val="21"/>
              </w:rPr>
              <w:t>0~100</w:t>
            </w:r>
          </w:p>
        </w:tc>
        <w:tc>
          <w:tcPr>
            <w:tcW w:w="654" w:type="pct"/>
            <w:vAlign w:val="center"/>
          </w:tcPr>
          <w:p w14:paraId="7416584B">
            <w:pPr>
              <w:spacing w:line="240" w:lineRule="auto"/>
              <w:ind w:firstLine="0" w:firstLineChars="0"/>
              <w:jc w:val="center"/>
              <w:rPr>
                <w:color w:val="auto"/>
                <w:sz w:val="21"/>
                <w:szCs w:val="21"/>
              </w:rPr>
            </w:pPr>
            <w:r>
              <w:rPr>
                <w:color w:val="auto"/>
                <w:sz w:val="21"/>
                <w:szCs w:val="21"/>
              </w:rPr>
              <w:t>素填土</w:t>
            </w:r>
          </w:p>
        </w:tc>
        <w:tc>
          <w:tcPr>
            <w:tcW w:w="583" w:type="pct"/>
            <w:vAlign w:val="center"/>
          </w:tcPr>
          <w:p w14:paraId="18463155">
            <w:pPr>
              <w:spacing w:line="240" w:lineRule="auto"/>
              <w:ind w:firstLine="0" w:firstLineChars="0"/>
              <w:jc w:val="center"/>
              <w:rPr>
                <w:color w:val="auto"/>
                <w:sz w:val="21"/>
                <w:szCs w:val="21"/>
              </w:rPr>
            </w:pPr>
            <w:r>
              <w:rPr>
                <w:color w:val="auto"/>
                <w:sz w:val="21"/>
                <w:szCs w:val="21"/>
              </w:rPr>
              <w:t>0.078</w:t>
            </w:r>
          </w:p>
        </w:tc>
        <w:tc>
          <w:tcPr>
            <w:tcW w:w="656" w:type="pct"/>
            <w:vAlign w:val="center"/>
          </w:tcPr>
          <w:p w14:paraId="57DF3590">
            <w:pPr>
              <w:spacing w:line="240" w:lineRule="auto"/>
              <w:ind w:firstLine="0" w:firstLineChars="0"/>
              <w:jc w:val="center"/>
              <w:rPr>
                <w:color w:val="auto"/>
                <w:sz w:val="21"/>
                <w:szCs w:val="21"/>
              </w:rPr>
            </w:pPr>
            <w:r>
              <w:rPr>
                <w:color w:val="auto"/>
                <w:sz w:val="21"/>
                <w:szCs w:val="21"/>
              </w:rPr>
              <w:t>0.43</w:t>
            </w:r>
          </w:p>
        </w:tc>
        <w:tc>
          <w:tcPr>
            <w:tcW w:w="645" w:type="pct"/>
            <w:vAlign w:val="center"/>
          </w:tcPr>
          <w:p w14:paraId="2916AB2F">
            <w:pPr>
              <w:spacing w:line="240" w:lineRule="auto"/>
              <w:ind w:firstLine="0" w:firstLineChars="0"/>
              <w:jc w:val="center"/>
              <w:rPr>
                <w:color w:val="auto"/>
                <w:sz w:val="21"/>
                <w:szCs w:val="21"/>
              </w:rPr>
            </w:pPr>
            <w:r>
              <w:rPr>
                <w:color w:val="auto"/>
                <w:sz w:val="21"/>
                <w:szCs w:val="21"/>
              </w:rPr>
              <w:t>0.036</w:t>
            </w:r>
          </w:p>
        </w:tc>
        <w:tc>
          <w:tcPr>
            <w:tcW w:w="599" w:type="pct"/>
            <w:vAlign w:val="center"/>
          </w:tcPr>
          <w:p w14:paraId="65B1E3B1">
            <w:pPr>
              <w:spacing w:line="240" w:lineRule="auto"/>
              <w:ind w:firstLine="0" w:firstLineChars="0"/>
              <w:jc w:val="center"/>
              <w:rPr>
                <w:color w:val="auto"/>
                <w:sz w:val="21"/>
                <w:szCs w:val="21"/>
              </w:rPr>
            </w:pPr>
            <w:r>
              <w:rPr>
                <w:color w:val="auto"/>
                <w:sz w:val="21"/>
                <w:szCs w:val="21"/>
              </w:rPr>
              <w:t>1.56</w:t>
            </w:r>
          </w:p>
        </w:tc>
        <w:tc>
          <w:tcPr>
            <w:tcW w:w="789" w:type="pct"/>
            <w:vAlign w:val="center"/>
          </w:tcPr>
          <w:p w14:paraId="7478F149">
            <w:pPr>
              <w:spacing w:line="240" w:lineRule="auto"/>
              <w:ind w:firstLine="0" w:firstLineChars="0"/>
              <w:jc w:val="center"/>
              <w:rPr>
                <w:color w:val="auto"/>
                <w:sz w:val="21"/>
                <w:szCs w:val="21"/>
              </w:rPr>
            </w:pPr>
            <w:r>
              <w:rPr>
                <w:color w:val="auto"/>
                <w:sz w:val="21"/>
                <w:szCs w:val="21"/>
              </w:rPr>
              <w:t>24.96</w:t>
            </w:r>
          </w:p>
        </w:tc>
        <w:tc>
          <w:tcPr>
            <w:tcW w:w="443" w:type="pct"/>
            <w:vAlign w:val="center"/>
          </w:tcPr>
          <w:p w14:paraId="5ECD849D">
            <w:pPr>
              <w:spacing w:line="240" w:lineRule="auto"/>
              <w:ind w:firstLine="0" w:firstLineChars="0"/>
              <w:jc w:val="center"/>
              <w:rPr>
                <w:color w:val="auto"/>
                <w:sz w:val="21"/>
                <w:szCs w:val="21"/>
              </w:rPr>
            </w:pPr>
            <w:r>
              <w:rPr>
                <w:color w:val="auto"/>
                <w:sz w:val="21"/>
                <w:szCs w:val="21"/>
              </w:rPr>
              <w:t>0.5</w:t>
            </w:r>
          </w:p>
        </w:tc>
      </w:tr>
      <w:tr w14:paraId="2ADE1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pct"/>
            <w:vAlign w:val="center"/>
          </w:tcPr>
          <w:p w14:paraId="0655C5F1">
            <w:pPr>
              <w:spacing w:line="240" w:lineRule="auto"/>
              <w:ind w:firstLine="0" w:firstLineChars="0"/>
              <w:jc w:val="center"/>
              <w:rPr>
                <w:color w:val="auto"/>
                <w:sz w:val="21"/>
                <w:szCs w:val="21"/>
              </w:rPr>
            </w:pPr>
            <w:r>
              <w:rPr>
                <w:color w:val="auto"/>
                <w:sz w:val="21"/>
                <w:szCs w:val="21"/>
              </w:rPr>
              <w:t>100~200</w:t>
            </w:r>
          </w:p>
        </w:tc>
        <w:tc>
          <w:tcPr>
            <w:tcW w:w="654" w:type="pct"/>
            <w:vAlign w:val="center"/>
          </w:tcPr>
          <w:p w14:paraId="239774C3">
            <w:pPr>
              <w:spacing w:line="240" w:lineRule="auto"/>
              <w:ind w:firstLine="0" w:firstLineChars="0"/>
              <w:jc w:val="center"/>
              <w:rPr>
                <w:color w:val="auto"/>
                <w:sz w:val="21"/>
                <w:szCs w:val="21"/>
              </w:rPr>
            </w:pPr>
            <w:r>
              <w:rPr>
                <w:color w:val="auto"/>
                <w:sz w:val="21"/>
                <w:szCs w:val="21"/>
              </w:rPr>
              <w:t>淤泥质粉质黏土</w:t>
            </w:r>
          </w:p>
        </w:tc>
        <w:tc>
          <w:tcPr>
            <w:tcW w:w="583" w:type="pct"/>
            <w:vAlign w:val="center"/>
          </w:tcPr>
          <w:p w14:paraId="046717E3">
            <w:pPr>
              <w:spacing w:line="240" w:lineRule="auto"/>
              <w:ind w:firstLine="0" w:firstLineChars="0"/>
              <w:jc w:val="center"/>
              <w:rPr>
                <w:color w:val="auto"/>
                <w:sz w:val="21"/>
                <w:szCs w:val="21"/>
              </w:rPr>
            </w:pPr>
            <w:r>
              <w:rPr>
                <w:color w:val="auto"/>
                <w:sz w:val="21"/>
                <w:szCs w:val="21"/>
              </w:rPr>
              <w:t>0.07</w:t>
            </w:r>
          </w:p>
        </w:tc>
        <w:tc>
          <w:tcPr>
            <w:tcW w:w="656" w:type="pct"/>
            <w:vAlign w:val="center"/>
          </w:tcPr>
          <w:p w14:paraId="020C180A">
            <w:pPr>
              <w:spacing w:line="240" w:lineRule="auto"/>
              <w:ind w:firstLine="0" w:firstLineChars="0"/>
              <w:jc w:val="center"/>
              <w:rPr>
                <w:color w:val="auto"/>
                <w:sz w:val="21"/>
                <w:szCs w:val="21"/>
              </w:rPr>
            </w:pPr>
            <w:r>
              <w:rPr>
                <w:color w:val="auto"/>
                <w:sz w:val="21"/>
                <w:szCs w:val="21"/>
              </w:rPr>
              <w:t>0.36</w:t>
            </w:r>
          </w:p>
        </w:tc>
        <w:tc>
          <w:tcPr>
            <w:tcW w:w="645" w:type="pct"/>
            <w:vAlign w:val="center"/>
          </w:tcPr>
          <w:p w14:paraId="2502F06E">
            <w:pPr>
              <w:spacing w:line="240" w:lineRule="auto"/>
              <w:ind w:firstLine="0" w:firstLineChars="0"/>
              <w:jc w:val="center"/>
              <w:rPr>
                <w:color w:val="auto"/>
                <w:sz w:val="21"/>
                <w:szCs w:val="21"/>
              </w:rPr>
            </w:pPr>
            <w:r>
              <w:rPr>
                <w:color w:val="auto"/>
                <w:sz w:val="21"/>
                <w:szCs w:val="21"/>
              </w:rPr>
              <w:t>0.005</w:t>
            </w:r>
          </w:p>
        </w:tc>
        <w:tc>
          <w:tcPr>
            <w:tcW w:w="599" w:type="pct"/>
            <w:vAlign w:val="center"/>
          </w:tcPr>
          <w:p w14:paraId="7CCE79A9">
            <w:pPr>
              <w:spacing w:line="240" w:lineRule="auto"/>
              <w:ind w:firstLine="0" w:firstLineChars="0"/>
              <w:jc w:val="center"/>
              <w:rPr>
                <w:color w:val="auto"/>
                <w:sz w:val="21"/>
                <w:szCs w:val="21"/>
              </w:rPr>
            </w:pPr>
            <w:r>
              <w:rPr>
                <w:color w:val="auto"/>
                <w:sz w:val="21"/>
                <w:szCs w:val="21"/>
              </w:rPr>
              <w:t>1.09</w:t>
            </w:r>
          </w:p>
        </w:tc>
        <w:tc>
          <w:tcPr>
            <w:tcW w:w="789" w:type="pct"/>
            <w:vAlign w:val="center"/>
          </w:tcPr>
          <w:p w14:paraId="181E471A">
            <w:pPr>
              <w:spacing w:line="240" w:lineRule="auto"/>
              <w:ind w:firstLine="0" w:firstLineChars="0"/>
              <w:jc w:val="center"/>
              <w:rPr>
                <w:color w:val="auto"/>
                <w:sz w:val="21"/>
                <w:szCs w:val="21"/>
              </w:rPr>
            </w:pPr>
            <w:r>
              <w:rPr>
                <w:color w:val="auto"/>
                <w:sz w:val="21"/>
                <w:szCs w:val="21"/>
              </w:rPr>
              <w:t>0.48</w:t>
            </w:r>
          </w:p>
        </w:tc>
        <w:tc>
          <w:tcPr>
            <w:tcW w:w="443" w:type="pct"/>
            <w:vAlign w:val="center"/>
          </w:tcPr>
          <w:p w14:paraId="5C9A69EA">
            <w:pPr>
              <w:spacing w:line="240" w:lineRule="auto"/>
              <w:ind w:firstLine="0" w:firstLineChars="0"/>
              <w:jc w:val="center"/>
              <w:rPr>
                <w:color w:val="auto"/>
                <w:sz w:val="21"/>
                <w:szCs w:val="21"/>
              </w:rPr>
            </w:pPr>
            <w:r>
              <w:rPr>
                <w:color w:val="auto"/>
                <w:sz w:val="21"/>
                <w:szCs w:val="21"/>
              </w:rPr>
              <w:t>0.5</w:t>
            </w:r>
          </w:p>
        </w:tc>
      </w:tr>
    </w:tbl>
    <w:p w14:paraId="25E7546D">
      <w:pPr>
        <w:ind w:firstLine="482"/>
        <w:jc w:val="center"/>
        <w:rPr>
          <w:b/>
          <w:color w:val="auto"/>
        </w:rPr>
      </w:pPr>
      <w:r>
        <w:rPr>
          <w:b/>
          <w:color w:val="auto"/>
        </w:rPr>
        <w:t>表6.6.4-2  溶质运移及反应参数</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407"/>
        <w:gridCol w:w="1408"/>
        <w:gridCol w:w="1408"/>
        <w:gridCol w:w="1282"/>
        <w:gridCol w:w="1455"/>
        <w:gridCol w:w="1487"/>
      </w:tblGrid>
      <w:tr w14:paraId="3D891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4" w:type="pct"/>
            <w:vAlign w:val="center"/>
          </w:tcPr>
          <w:p w14:paraId="369E9F6F">
            <w:pPr>
              <w:spacing w:line="240" w:lineRule="auto"/>
              <w:ind w:firstLine="0" w:firstLineChars="0"/>
              <w:jc w:val="center"/>
              <w:rPr>
                <w:b/>
                <w:bCs/>
                <w:color w:val="auto"/>
                <w:sz w:val="21"/>
                <w:szCs w:val="21"/>
              </w:rPr>
            </w:pPr>
            <w:r>
              <w:rPr>
                <w:b/>
                <w:bCs/>
                <w:color w:val="auto"/>
                <w:sz w:val="21"/>
                <w:szCs w:val="21"/>
              </w:rPr>
              <w:t>土壤层次/cm</w:t>
            </w:r>
          </w:p>
        </w:tc>
        <w:tc>
          <w:tcPr>
            <w:tcW w:w="714" w:type="pct"/>
            <w:vAlign w:val="center"/>
          </w:tcPr>
          <w:p w14:paraId="7E5723E3">
            <w:pPr>
              <w:spacing w:line="240" w:lineRule="auto"/>
              <w:ind w:firstLine="0" w:firstLineChars="0"/>
              <w:jc w:val="center"/>
              <w:rPr>
                <w:b/>
                <w:bCs/>
                <w:color w:val="auto"/>
                <w:sz w:val="21"/>
                <w:szCs w:val="21"/>
              </w:rPr>
            </w:pPr>
            <w:r>
              <w:rPr>
                <w:b/>
                <w:bCs/>
                <w:color w:val="auto"/>
                <w:sz w:val="21"/>
                <w:szCs w:val="21"/>
              </w:rPr>
              <w:t>土壤类型</w:t>
            </w:r>
          </w:p>
        </w:tc>
        <w:tc>
          <w:tcPr>
            <w:tcW w:w="714" w:type="pct"/>
            <w:vAlign w:val="center"/>
          </w:tcPr>
          <w:p w14:paraId="7008AF00">
            <w:pPr>
              <w:spacing w:line="240" w:lineRule="auto"/>
              <w:ind w:firstLine="0" w:firstLineChars="0"/>
              <w:jc w:val="center"/>
              <w:rPr>
                <w:b/>
                <w:bCs/>
                <w:color w:val="auto"/>
                <w:sz w:val="21"/>
                <w:szCs w:val="21"/>
              </w:rPr>
            </w:pPr>
            <w:r>
              <w:rPr>
                <w:b/>
                <w:bCs/>
                <w:color w:val="auto"/>
                <w:sz w:val="21"/>
                <w:szCs w:val="21"/>
              </w:rPr>
              <w:t>土壤密度ρ/g·cm</w:t>
            </w:r>
            <w:r>
              <w:rPr>
                <w:b/>
                <w:bCs/>
                <w:color w:val="auto"/>
                <w:sz w:val="21"/>
                <w:szCs w:val="21"/>
                <w:vertAlign w:val="superscript"/>
              </w:rPr>
              <w:t>-3</w:t>
            </w:r>
          </w:p>
        </w:tc>
        <w:tc>
          <w:tcPr>
            <w:tcW w:w="714" w:type="pct"/>
            <w:vAlign w:val="center"/>
          </w:tcPr>
          <w:p w14:paraId="182E96CD">
            <w:pPr>
              <w:spacing w:line="240" w:lineRule="auto"/>
              <w:ind w:firstLine="0" w:firstLineChars="0"/>
              <w:jc w:val="center"/>
              <w:rPr>
                <w:b/>
                <w:bCs/>
                <w:color w:val="auto"/>
                <w:sz w:val="21"/>
                <w:szCs w:val="21"/>
              </w:rPr>
            </w:pPr>
            <w:r>
              <w:rPr>
                <w:b/>
                <w:bCs/>
                <w:color w:val="auto"/>
                <w:sz w:val="21"/>
                <w:szCs w:val="21"/>
              </w:rPr>
              <w:t>纵向弥散系数DL/cm</w:t>
            </w:r>
          </w:p>
        </w:tc>
        <w:tc>
          <w:tcPr>
            <w:tcW w:w="650" w:type="pct"/>
            <w:vAlign w:val="center"/>
          </w:tcPr>
          <w:p w14:paraId="4E5BFD6E">
            <w:pPr>
              <w:spacing w:line="240" w:lineRule="auto"/>
              <w:ind w:firstLine="0" w:firstLineChars="0"/>
              <w:jc w:val="center"/>
              <w:rPr>
                <w:b/>
                <w:bCs/>
                <w:color w:val="auto"/>
                <w:sz w:val="21"/>
                <w:szCs w:val="21"/>
              </w:rPr>
            </w:pPr>
            <w:r>
              <w:rPr>
                <w:b/>
                <w:bCs/>
                <w:color w:val="auto"/>
                <w:sz w:val="21"/>
                <w:szCs w:val="21"/>
              </w:rPr>
              <w:t>Kd/m</w:t>
            </w:r>
            <w:r>
              <w:rPr>
                <w:b/>
                <w:bCs/>
                <w:color w:val="auto"/>
                <w:sz w:val="21"/>
                <w:szCs w:val="21"/>
                <w:vertAlign w:val="superscript"/>
              </w:rPr>
              <w:t>3</w:t>
            </w:r>
            <w:r>
              <w:rPr>
                <w:b/>
                <w:bCs/>
                <w:color w:val="auto"/>
                <w:sz w:val="21"/>
                <w:szCs w:val="21"/>
              </w:rPr>
              <w:t>·g</w:t>
            </w:r>
            <w:r>
              <w:rPr>
                <w:b/>
                <w:bCs/>
                <w:color w:val="auto"/>
                <w:sz w:val="21"/>
                <w:szCs w:val="21"/>
                <w:vertAlign w:val="superscript"/>
              </w:rPr>
              <w:t>-1</w:t>
            </w:r>
          </w:p>
        </w:tc>
        <w:tc>
          <w:tcPr>
            <w:tcW w:w="738" w:type="pct"/>
            <w:vAlign w:val="center"/>
          </w:tcPr>
          <w:p w14:paraId="3A163F53">
            <w:pPr>
              <w:spacing w:line="240" w:lineRule="auto"/>
              <w:ind w:firstLine="0" w:firstLineChars="0"/>
              <w:jc w:val="center"/>
              <w:rPr>
                <w:b/>
                <w:bCs/>
                <w:color w:val="auto"/>
                <w:sz w:val="21"/>
                <w:szCs w:val="21"/>
              </w:rPr>
            </w:pPr>
            <w:r>
              <w:rPr>
                <w:b/>
                <w:bCs/>
                <w:color w:val="auto"/>
                <w:sz w:val="21"/>
                <w:szCs w:val="21"/>
              </w:rPr>
              <w:t>在液相中的反应速率常数μw</w:t>
            </w:r>
          </w:p>
        </w:tc>
        <w:tc>
          <w:tcPr>
            <w:tcW w:w="754" w:type="pct"/>
            <w:vAlign w:val="center"/>
          </w:tcPr>
          <w:p w14:paraId="02882F3E">
            <w:pPr>
              <w:spacing w:line="240" w:lineRule="auto"/>
              <w:ind w:firstLine="0" w:firstLineChars="0"/>
              <w:jc w:val="center"/>
              <w:rPr>
                <w:b/>
                <w:bCs/>
                <w:color w:val="auto"/>
                <w:sz w:val="21"/>
                <w:szCs w:val="21"/>
              </w:rPr>
            </w:pPr>
            <w:r>
              <w:rPr>
                <w:b/>
                <w:bCs/>
                <w:color w:val="auto"/>
                <w:sz w:val="21"/>
                <w:szCs w:val="21"/>
              </w:rPr>
              <w:t>在吸附相中反应速率常数μs</w:t>
            </w:r>
          </w:p>
        </w:tc>
      </w:tr>
      <w:tr w14:paraId="4E618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4" w:type="pct"/>
            <w:vAlign w:val="center"/>
          </w:tcPr>
          <w:p w14:paraId="4FB9CF06">
            <w:pPr>
              <w:spacing w:line="240" w:lineRule="auto"/>
              <w:ind w:firstLine="0" w:firstLineChars="0"/>
              <w:jc w:val="center"/>
              <w:rPr>
                <w:color w:val="auto"/>
                <w:sz w:val="21"/>
                <w:szCs w:val="21"/>
              </w:rPr>
            </w:pPr>
            <w:r>
              <w:rPr>
                <w:color w:val="auto"/>
                <w:sz w:val="21"/>
                <w:szCs w:val="21"/>
              </w:rPr>
              <w:t>0~100</w:t>
            </w:r>
          </w:p>
        </w:tc>
        <w:tc>
          <w:tcPr>
            <w:tcW w:w="714" w:type="pct"/>
            <w:vAlign w:val="center"/>
          </w:tcPr>
          <w:p w14:paraId="264809A6">
            <w:pPr>
              <w:spacing w:line="240" w:lineRule="auto"/>
              <w:ind w:firstLine="0" w:firstLineChars="0"/>
              <w:jc w:val="center"/>
              <w:rPr>
                <w:color w:val="auto"/>
                <w:sz w:val="21"/>
                <w:szCs w:val="21"/>
              </w:rPr>
            </w:pPr>
            <w:r>
              <w:rPr>
                <w:color w:val="auto"/>
                <w:sz w:val="21"/>
                <w:szCs w:val="21"/>
              </w:rPr>
              <w:t>素填土</w:t>
            </w:r>
          </w:p>
        </w:tc>
        <w:tc>
          <w:tcPr>
            <w:tcW w:w="714" w:type="pct"/>
            <w:vAlign w:val="center"/>
          </w:tcPr>
          <w:p w14:paraId="34A6F16F">
            <w:pPr>
              <w:spacing w:line="240" w:lineRule="auto"/>
              <w:ind w:firstLine="0" w:firstLineChars="0"/>
              <w:jc w:val="center"/>
              <w:rPr>
                <w:color w:val="auto"/>
                <w:sz w:val="21"/>
                <w:szCs w:val="21"/>
              </w:rPr>
            </w:pPr>
            <w:r>
              <w:rPr>
                <w:color w:val="auto"/>
                <w:sz w:val="21"/>
                <w:szCs w:val="21"/>
              </w:rPr>
              <w:t>2.0</w:t>
            </w:r>
          </w:p>
        </w:tc>
        <w:tc>
          <w:tcPr>
            <w:tcW w:w="714" w:type="pct"/>
            <w:vAlign w:val="center"/>
          </w:tcPr>
          <w:p w14:paraId="0388F7C9">
            <w:pPr>
              <w:spacing w:line="240" w:lineRule="auto"/>
              <w:ind w:firstLine="0" w:firstLineChars="0"/>
              <w:jc w:val="center"/>
              <w:rPr>
                <w:color w:val="auto"/>
                <w:sz w:val="21"/>
                <w:szCs w:val="21"/>
              </w:rPr>
            </w:pPr>
            <w:r>
              <w:rPr>
                <w:color w:val="auto"/>
                <w:sz w:val="21"/>
                <w:szCs w:val="21"/>
              </w:rPr>
              <w:t>30</w:t>
            </w:r>
          </w:p>
        </w:tc>
        <w:tc>
          <w:tcPr>
            <w:tcW w:w="650" w:type="pct"/>
            <w:vAlign w:val="center"/>
          </w:tcPr>
          <w:p w14:paraId="38967FEF">
            <w:pPr>
              <w:spacing w:line="240" w:lineRule="auto"/>
              <w:ind w:firstLine="0" w:firstLineChars="0"/>
              <w:jc w:val="center"/>
              <w:rPr>
                <w:color w:val="auto"/>
                <w:sz w:val="21"/>
                <w:szCs w:val="21"/>
              </w:rPr>
            </w:pPr>
            <w:r>
              <w:rPr>
                <w:color w:val="auto"/>
                <w:sz w:val="21"/>
                <w:szCs w:val="21"/>
              </w:rPr>
              <w:t>0.06</w:t>
            </w:r>
          </w:p>
        </w:tc>
        <w:tc>
          <w:tcPr>
            <w:tcW w:w="738" w:type="pct"/>
            <w:vAlign w:val="center"/>
          </w:tcPr>
          <w:p w14:paraId="00B6CA39">
            <w:pPr>
              <w:spacing w:line="240" w:lineRule="auto"/>
              <w:ind w:firstLine="0" w:firstLineChars="0"/>
              <w:jc w:val="center"/>
              <w:rPr>
                <w:color w:val="auto"/>
                <w:sz w:val="21"/>
                <w:szCs w:val="21"/>
              </w:rPr>
            </w:pPr>
            <w:r>
              <w:rPr>
                <w:color w:val="auto"/>
                <w:sz w:val="21"/>
                <w:szCs w:val="21"/>
              </w:rPr>
              <w:t>0.001</w:t>
            </w:r>
          </w:p>
        </w:tc>
        <w:tc>
          <w:tcPr>
            <w:tcW w:w="754" w:type="pct"/>
            <w:vAlign w:val="center"/>
          </w:tcPr>
          <w:p w14:paraId="7F788A60">
            <w:pPr>
              <w:spacing w:line="240" w:lineRule="auto"/>
              <w:ind w:firstLine="0" w:firstLineChars="0"/>
              <w:jc w:val="center"/>
              <w:rPr>
                <w:color w:val="auto"/>
                <w:sz w:val="21"/>
                <w:szCs w:val="21"/>
              </w:rPr>
            </w:pPr>
            <w:r>
              <w:rPr>
                <w:color w:val="auto"/>
                <w:sz w:val="21"/>
                <w:szCs w:val="21"/>
              </w:rPr>
              <w:t>0.001</w:t>
            </w:r>
          </w:p>
        </w:tc>
      </w:tr>
      <w:tr w14:paraId="2BE8C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4" w:type="pct"/>
            <w:vAlign w:val="center"/>
          </w:tcPr>
          <w:p w14:paraId="0DD3B236">
            <w:pPr>
              <w:spacing w:line="240" w:lineRule="auto"/>
              <w:ind w:firstLine="0" w:firstLineChars="0"/>
              <w:jc w:val="center"/>
              <w:rPr>
                <w:color w:val="auto"/>
                <w:sz w:val="21"/>
                <w:szCs w:val="21"/>
              </w:rPr>
            </w:pPr>
            <w:r>
              <w:rPr>
                <w:color w:val="auto"/>
                <w:sz w:val="21"/>
                <w:szCs w:val="21"/>
              </w:rPr>
              <w:t>100~200</w:t>
            </w:r>
          </w:p>
        </w:tc>
        <w:tc>
          <w:tcPr>
            <w:tcW w:w="714" w:type="pct"/>
            <w:vAlign w:val="center"/>
          </w:tcPr>
          <w:p w14:paraId="0D687579">
            <w:pPr>
              <w:spacing w:line="240" w:lineRule="auto"/>
              <w:ind w:firstLine="0" w:firstLineChars="0"/>
              <w:jc w:val="center"/>
              <w:rPr>
                <w:color w:val="auto"/>
                <w:sz w:val="21"/>
                <w:szCs w:val="21"/>
              </w:rPr>
            </w:pPr>
            <w:r>
              <w:rPr>
                <w:color w:val="auto"/>
                <w:sz w:val="21"/>
                <w:szCs w:val="21"/>
              </w:rPr>
              <w:t>淤泥质粉质黏土</w:t>
            </w:r>
          </w:p>
        </w:tc>
        <w:tc>
          <w:tcPr>
            <w:tcW w:w="714" w:type="pct"/>
            <w:vAlign w:val="center"/>
          </w:tcPr>
          <w:p w14:paraId="7B6F4ABE">
            <w:pPr>
              <w:spacing w:line="240" w:lineRule="auto"/>
              <w:ind w:firstLine="0" w:firstLineChars="0"/>
              <w:jc w:val="center"/>
              <w:rPr>
                <w:color w:val="auto"/>
                <w:sz w:val="21"/>
                <w:szCs w:val="21"/>
              </w:rPr>
            </w:pPr>
            <w:r>
              <w:rPr>
                <w:color w:val="auto"/>
                <w:sz w:val="21"/>
                <w:szCs w:val="21"/>
              </w:rPr>
              <w:t>2.70</w:t>
            </w:r>
          </w:p>
        </w:tc>
        <w:tc>
          <w:tcPr>
            <w:tcW w:w="714" w:type="pct"/>
            <w:vAlign w:val="center"/>
          </w:tcPr>
          <w:p w14:paraId="7793462B">
            <w:pPr>
              <w:spacing w:line="240" w:lineRule="auto"/>
              <w:ind w:firstLine="0" w:firstLineChars="0"/>
              <w:jc w:val="center"/>
              <w:rPr>
                <w:color w:val="auto"/>
                <w:sz w:val="21"/>
                <w:szCs w:val="21"/>
              </w:rPr>
            </w:pPr>
            <w:r>
              <w:rPr>
                <w:color w:val="auto"/>
                <w:sz w:val="21"/>
                <w:szCs w:val="21"/>
              </w:rPr>
              <w:t>36</w:t>
            </w:r>
          </w:p>
        </w:tc>
        <w:tc>
          <w:tcPr>
            <w:tcW w:w="650" w:type="pct"/>
            <w:vAlign w:val="center"/>
          </w:tcPr>
          <w:p w14:paraId="67F7D63B">
            <w:pPr>
              <w:spacing w:line="240" w:lineRule="auto"/>
              <w:ind w:firstLine="0" w:firstLineChars="0"/>
              <w:jc w:val="center"/>
              <w:rPr>
                <w:color w:val="auto"/>
                <w:sz w:val="21"/>
                <w:szCs w:val="21"/>
              </w:rPr>
            </w:pPr>
            <w:r>
              <w:rPr>
                <w:color w:val="auto"/>
                <w:sz w:val="21"/>
                <w:szCs w:val="21"/>
              </w:rPr>
              <w:t>0.06</w:t>
            </w:r>
          </w:p>
        </w:tc>
        <w:tc>
          <w:tcPr>
            <w:tcW w:w="738" w:type="pct"/>
            <w:vAlign w:val="center"/>
          </w:tcPr>
          <w:p w14:paraId="29E283F4">
            <w:pPr>
              <w:spacing w:line="240" w:lineRule="auto"/>
              <w:ind w:firstLine="0" w:firstLineChars="0"/>
              <w:jc w:val="center"/>
              <w:rPr>
                <w:color w:val="auto"/>
                <w:sz w:val="21"/>
                <w:szCs w:val="21"/>
              </w:rPr>
            </w:pPr>
            <w:r>
              <w:rPr>
                <w:color w:val="auto"/>
                <w:sz w:val="21"/>
                <w:szCs w:val="21"/>
              </w:rPr>
              <w:t>0.001</w:t>
            </w:r>
          </w:p>
        </w:tc>
        <w:tc>
          <w:tcPr>
            <w:tcW w:w="754" w:type="pct"/>
            <w:vAlign w:val="center"/>
          </w:tcPr>
          <w:p w14:paraId="71ECFE68">
            <w:pPr>
              <w:spacing w:line="240" w:lineRule="auto"/>
              <w:ind w:firstLine="0" w:firstLineChars="0"/>
              <w:jc w:val="center"/>
              <w:rPr>
                <w:color w:val="auto"/>
                <w:sz w:val="21"/>
                <w:szCs w:val="21"/>
              </w:rPr>
            </w:pPr>
            <w:r>
              <w:rPr>
                <w:color w:val="auto"/>
                <w:sz w:val="21"/>
                <w:szCs w:val="21"/>
              </w:rPr>
              <w:t>0.001</w:t>
            </w:r>
          </w:p>
        </w:tc>
      </w:tr>
    </w:tbl>
    <w:p w14:paraId="1B809002">
      <w:pPr>
        <w:ind w:firstLine="482"/>
        <w:jc w:val="center"/>
        <w:rPr>
          <w:b/>
          <w:color w:val="auto"/>
        </w:rPr>
      </w:pPr>
      <w:r>
        <w:rPr>
          <w:b/>
          <w:color w:val="auto"/>
        </w:rPr>
        <w:t>表6.6.4-3  污染物泄漏浓度</w:t>
      </w:r>
    </w:p>
    <w:tbl>
      <w:tblPr>
        <w:tblStyle w:val="24"/>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783"/>
        <w:gridCol w:w="2321"/>
        <w:gridCol w:w="4564"/>
      </w:tblGrid>
      <w:tr w14:paraId="76612E4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7" w:hRule="atLeast"/>
          <w:tblHeader/>
          <w:jc w:val="center"/>
        </w:trPr>
        <w:tc>
          <w:tcPr>
            <w:tcW w:w="1439" w:type="pct"/>
            <w:tcMar>
              <w:top w:w="15" w:type="dxa"/>
              <w:left w:w="15" w:type="dxa"/>
              <w:bottom w:w="15" w:type="dxa"/>
              <w:right w:w="15" w:type="dxa"/>
            </w:tcMar>
            <w:vAlign w:val="center"/>
          </w:tcPr>
          <w:p w14:paraId="2E216290">
            <w:pPr>
              <w:spacing w:line="240" w:lineRule="auto"/>
              <w:ind w:firstLine="0" w:firstLineChars="0"/>
              <w:jc w:val="center"/>
              <w:rPr>
                <w:b/>
                <w:bCs/>
                <w:color w:val="auto"/>
                <w:sz w:val="21"/>
                <w:szCs w:val="21"/>
              </w:rPr>
            </w:pPr>
            <w:r>
              <w:rPr>
                <w:b/>
                <w:bCs/>
                <w:color w:val="auto"/>
                <w:sz w:val="21"/>
                <w:szCs w:val="21"/>
              </w:rPr>
              <w:t>废水来源</w:t>
            </w:r>
          </w:p>
        </w:tc>
        <w:tc>
          <w:tcPr>
            <w:tcW w:w="1200" w:type="pct"/>
            <w:tcMar>
              <w:top w:w="15" w:type="dxa"/>
              <w:left w:w="15" w:type="dxa"/>
              <w:bottom w:w="15" w:type="dxa"/>
              <w:right w:w="15" w:type="dxa"/>
            </w:tcMar>
            <w:vAlign w:val="center"/>
          </w:tcPr>
          <w:p w14:paraId="51CEECE0">
            <w:pPr>
              <w:spacing w:line="240" w:lineRule="auto"/>
              <w:ind w:firstLine="0" w:firstLineChars="0"/>
              <w:jc w:val="center"/>
              <w:rPr>
                <w:b/>
                <w:bCs/>
                <w:color w:val="auto"/>
                <w:sz w:val="21"/>
                <w:szCs w:val="21"/>
              </w:rPr>
            </w:pPr>
            <w:r>
              <w:rPr>
                <w:b/>
                <w:bCs/>
                <w:color w:val="auto"/>
                <w:sz w:val="21"/>
                <w:szCs w:val="21"/>
              </w:rPr>
              <w:t>污染物</w:t>
            </w:r>
          </w:p>
        </w:tc>
        <w:tc>
          <w:tcPr>
            <w:tcW w:w="2360" w:type="pct"/>
            <w:tcMar>
              <w:top w:w="15" w:type="dxa"/>
              <w:left w:w="15" w:type="dxa"/>
              <w:bottom w:w="15" w:type="dxa"/>
              <w:right w:w="15" w:type="dxa"/>
            </w:tcMar>
            <w:vAlign w:val="center"/>
          </w:tcPr>
          <w:p w14:paraId="0A6240EB">
            <w:pPr>
              <w:spacing w:line="240" w:lineRule="auto"/>
              <w:ind w:firstLine="0" w:firstLineChars="0"/>
              <w:jc w:val="center"/>
              <w:rPr>
                <w:b/>
                <w:bCs/>
                <w:color w:val="auto"/>
                <w:sz w:val="21"/>
                <w:szCs w:val="21"/>
              </w:rPr>
            </w:pPr>
            <w:r>
              <w:rPr>
                <w:b/>
                <w:bCs/>
                <w:color w:val="auto"/>
                <w:sz w:val="21"/>
                <w:szCs w:val="21"/>
              </w:rPr>
              <w:t>污染物浓度(mg/L)</w:t>
            </w:r>
          </w:p>
        </w:tc>
      </w:tr>
      <w:tr w14:paraId="2E6C4BD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439" w:type="pct"/>
            <w:tcMar>
              <w:top w:w="15" w:type="dxa"/>
              <w:left w:w="15" w:type="dxa"/>
              <w:bottom w:w="15" w:type="dxa"/>
              <w:right w:w="15" w:type="dxa"/>
            </w:tcMar>
            <w:vAlign w:val="center"/>
          </w:tcPr>
          <w:p w14:paraId="0939D28F">
            <w:pPr>
              <w:spacing w:line="240" w:lineRule="auto"/>
              <w:ind w:firstLine="0" w:firstLineChars="0"/>
              <w:jc w:val="center"/>
              <w:rPr>
                <w:color w:val="auto"/>
                <w:sz w:val="21"/>
                <w:szCs w:val="21"/>
              </w:rPr>
            </w:pPr>
            <w:r>
              <w:rPr>
                <w:color w:val="auto"/>
                <w:sz w:val="21"/>
                <w:szCs w:val="21"/>
              </w:rPr>
              <w:t>污水站污水收集池</w:t>
            </w:r>
          </w:p>
        </w:tc>
        <w:tc>
          <w:tcPr>
            <w:tcW w:w="1200" w:type="pct"/>
            <w:tcMar>
              <w:top w:w="15" w:type="dxa"/>
              <w:left w:w="15" w:type="dxa"/>
              <w:bottom w:w="15" w:type="dxa"/>
              <w:right w:w="15" w:type="dxa"/>
            </w:tcMar>
            <w:vAlign w:val="center"/>
          </w:tcPr>
          <w:p w14:paraId="0A4F6D3A">
            <w:pPr>
              <w:spacing w:line="240" w:lineRule="auto"/>
              <w:ind w:firstLine="0" w:firstLineChars="0"/>
              <w:jc w:val="center"/>
              <w:rPr>
                <w:color w:val="auto"/>
                <w:sz w:val="21"/>
                <w:szCs w:val="21"/>
              </w:rPr>
            </w:pPr>
            <w:r>
              <w:rPr>
                <w:color w:val="auto"/>
                <w:sz w:val="21"/>
                <w:szCs w:val="21"/>
              </w:rPr>
              <w:t>COD</w:t>
            </w:r>
            <w:r>
              <w:rPr>
                <w:color w:val="auto"/>
                <w:sz w:val="21"/>
                <w:szCs w:val="21"/>
                <w:vertAlign w:val="subscript"/>
              </w:rPr>
              <w:t>cr</w:t>
            </w:r>
          </w:p>
        </w:tc>
        <w:tc>
          <w:tcPr>
            <w:tcW w:w="2360" w:type="pct"/>
            <w:tcMar>
              <w:top w:w="15" w:type="dxa"/>
              <w:left w:w="15" w:type="dxa"/>
              <w:bottom w:w="15" w:type="dxa"/>
              <w:right w:w="15" w:type="dxa"/>
            </w:tcMar>
            <w:vAlign w:val="center"/>
          </w:tcPr>
          <w:p w14:paraId="241E032B">
            <w:pPr>
              <w:spacing w:line="240" w:lineRule="auto"/>
              <w:ind w:firstLine="0" w:firstLineChars="0"/>
              <w:jc w:val="center"/>
              <w:rPr>
                <w:color w:val="auto"/>
                <w:sz w:val="21"/>
                <w:szCs w:val="21"/>
              </w:rPr>
            </w:pPr>
            <w:r>
              <w:rPr>
                <w:rFonts w:hint="eastAsia"/>
                <w:color w:val="auto"/>
                <w:sz w:val="21"/>
                <w:szCs w:val="21"/>
              </w:rPr>
              <w:t>1200</w:t>
            </w:r>
          </w:p>
        </w:tc>
      </w:tr>
    </w:tbl>
    <w:p w14:paraId="0BA60199">
      <w:pPr>
        <w:ind w:firstLine="480"/>
        <w:rPr>
          <w:color w:val="auto"/>
        </w:rPr>
      </w:pPr>
      <w:r>
        <w:rPr>
          <w:rFonts w:hint="eastAsia"/>
          <w:color w:val="auto"/>
        </w:rPr>
        <w:t>4、边界条件</w:t>
      </w:r>
    </w:p>
    <w:p w14:paraId="7A980E8A">
      <w:pPr>
        <w:ind w:firstLine="480"/>
        <w:rPr>
          <w:color w:val="auto"/>
        </w:rPr>
      </w:pPr>
      <w:r>
        <w:rPr>
          <w:color w:val="auto"/>
        </w:rPr>
        <w:t>对于边界条件概化方法，综述如下：</w:t>
      </w:r>
    </w:p>
    <w:p w14:paraId="3672BAAC">
      <w:pPr>
        <w:ind w:firstLine="480"/>
        <w:rPr>
          <w:color w:val="auto"/>
        </w:rPr>
      </w:pPr>
      <w:r>
        <w:rPr>
          <w:rFonts w:ascii="Cambria Math" w:hAnsi="Cambria Math" w:cs="Cambria Math"/>
          <w:color w:val="auto"/>
        </w:rPr>
        <w:t>①</w:t>
      </w:r>
      <w:r>
        <w:rPr>
          <w:color w:val="auto"/>
        </w:rPr>
        <w:t>水流模型</w:t>
      </w:r>
    </w:p>
    <w:p w14:paraId="6A7019BF">
      <w:pPr>
        <w:ind w:firstLine="480"/>
        <w:rPr>
          <w:color w:val="auto"/>
        </w:rPr>
      </w:pPr>
      <w:r>
        <w:rPr>
          <w:color w:val="auto"/>
        </w:rPr>
        <w:t>考虑降雨，包气带中水随降雨增加，故上边界定为大气边界可积水。下边界为潜水含水层自由水面，选为自由排水边界。</w:t>
      </w:r>
    </w:p>
    <w:p w14:paraId="6998963E">
      <w:pPr>
        <w:ind w:firstLine="480"/>
        <w:rPr>
          <w:color w:val="auto"/>
        </w:rPr>
      </w:pPr>
      <w:r>
        <w:rPr>
          <w:rFonts w:ascii="Cambria Math" w:hAnsi="Cambria Math" w:cs="Cambria Math"/>
          <w:color w:val="auto"/>
        </w:rPr>
        <w:t>②</w:t>
      </w:r>
      <w:r>
        <w:rPr>
          <w:color w:val="auto"/>
        </w:rPr>
        <w:t>溶质运移模型</w:t>
      </w:r>
    </w:p>
    <w:p w14:paraId="1DC8AAE8">
      <w:pPr>
        <w:ind w:firstLine="480"/>
        <w:rPr>
          <w:color w:val="auto"/>
        </w:rPr>
      </w:pPr>
      <w:r>
        <w:rPr>
          <w:color w:val="auto"/>
        </w:rPr>
        <w:t>溶质运移模型上边界选择浓度通量边界，下边界选择零浓度梯度边界。</w:t>
      </w:r>
    </w:p>
    <w:p w14:paraId="36514CB7">
      <w:pPr>
        <w:pStyle w:val="5"/>
        <w:spacing w:before="156"/>
        <w:rPr>
          <w:color w:val="auto"/>
        </w:rPr>
      </w:pPr>
      <w:r>
        <w:rPr>
          <w:rFonts w:hint="eastAsia"/>
          <w:color w:val="auto"/>
        </w:rPr>
        <w:t>6.6.4.5预测结果</w:t>
      </w:r>
    </w:p>
    <w:p w14:paraId="5093C688">
      <w:pPr>
        <w:ind w:firstLine="480"/>
        <w:rPr>
          <w:color w:val="auto"/>
        </w:rPr>
      </w:pPr>
      <w:r>
        <w:rPr>
          <w:color w:val="auto"/>
        </w:rPr>
        <w:t>本次模型中没有考虑污染物自身降解、滞留等作用。</w:t>
      </w:r>
      <w:r>
        <w:rPr>
          <w:rFonts w:hint="eastAsia"/>
          <w:color w:val="auto"/>
        </w:rPr>
        <w:t>预测图如下。</w:t>
      </w:r>
    </w:p>
    <w:p w14:paraId="50342FB0">
      <w:pPr>
        <w:spacing w:line="240" w:lineRule="auto"/>
        <w:ind w:firstLine="0" w:firstLineChars="0"/>
        <w:jc w:val="center"/>
        <w:rPr>
          <w:color w:val="auto"/>
        </w:rPr>
      </w:pPr>
      <w:r>
        <w:rPr>
          <w:rFonts w:ascii="仿宋_GB2312" w:eastAsia="仿宋_GB2312"/>
          <w:color w:val="auto"/>
          <w:sz w:val="28"/>
        </w:rPr>
        <w:drawing>
          <wp:inline distT="0" distB="0" distL="0" distR="0">
            <wp:extent cx="3586480" cy="2781300"/>
            <wp:effectExtent l="0" t="0" r="13970" b="0"/>
            <wp:docPr id="5891354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35454" name="图片 6"/>
                    <pic:cNvPicPr>
                      <a:picLocks noChangeAspect="1" noChangeArrowheads="1"/>
                    </pic:cNvPicPr>
                  </pic:nvPicPr>
                  <pic:blipFill>
                    <a:blip r:embed="rId57">
                      <a:extLst>
                        <a:ext uri="{28A0092B-C50C-407E-A947-70E740481C1C}">
                          <a14:useLocalDpi xmlns:a14="http://schemas.microsoft.com/office/drawing/2010/main" val="0"/>
                        </a:ext>
                      </a:extLst>
                    </a:blip>
                    <a:srcRect l="31749" t="30379" r="31521" b="29337"/>
                    <a:stretch>
                      <a:fillRect/>
                    </a:stretch>
                  </pic:blipFill>
                  <pic:spPr>
                    <a:xfrm>
                      <a:off x="0" y="0"/>
                      <a:ext cx="3597249" cy="2789392"/>
                    </a:xfrm>
                    <a:prstGeom prst="rect">
                      <a:avLst/>
                    </a:prstGeom>
                    <a:noFill/>
                    <a:ln>
                      <a:noFill/>
                    </a:ln>
                  </pic:spPr>
                </pic:pic>
              </a:graphicData>
            </a:graphic>
          </wp:inline>
        </w:drawing>
      </w:r>
    </w:p>
    <w:p w14:paraId="7D165C6F">
      <w:pPr>
        <w:ind w:firstLine="0" w:firstLineChars="0"/>
        <w:jc w:val="center"/>
        <w:rPr>
          <w:b/>
          <w:color w:val="auto"/>
        </w:rPr>
      </w:pPr>
      <w:r>
        <w:rPr>
          <w:b/>
          <w:color w:val="auto"/>
        </w:rPr>
        <w:t>图6.6.4-2 事故发生后土壤层不同深度COD</w:t>
      </w:r>
      <w:r>
        <w:rPr>
          <w:b/>
          <w:color w:val="auto"/>
          <w:vertAlign w:val="subscript"/>
        </w:rPr>
        <w:t>cr</w:t>
      </w:r>
      <w:r>
        <w:rPr>
          <w:b/>
          <w:color w:val="auto"/>
        </w:rPr>
        <w:t>浓度随时间变化图(N1=0.2m、N2=0.5m、N3=1.0m、N4=1.5m、N5=2.0m)</w:t>
      </w:r>
    </w:p>
    <w:p w14:paraId="35FB3358">
      <w:pPr>
        <w:spacing w:line="240" w:lineRule="auto"/>
        <w:ind w:firstLine="0" w:firstLineChars="0"/>
        <w:jc w:val="center"/>
        <w:rPr>
          <w:color w:val="auto"/>
        </w:rPr>
      </w:pPr>
      <w:r>
        <w:rPr>
          <w:rFonts w:ascii="仿宋_GB2312" w:eastAsia="仿宋_GB2312"/>
          <w:color w:val="auto"/>
          <w:sz w:val="28"/>
        </w:rPr>
        <w:drawing>
          <wp:inline distT="0" distB="0" distL="0" distR="0">
            <wp:extent cx="3907790" cy="3041015"/>
            <wp:effectExtent l="0" t="0" r="16510" b="6985"/>
            <wp:docPr id="18639494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49449" name="图片 5"/>
                    <pic:cNvPicPr>
                      <a:picLocks noChangeAspect="1" noChangeArrowheads="1"/>
                    </pic:cNvPicPr>
                  </pic:nvPicPr>
                  <pic:blipFill>
                    <a:blip r:embed="rId58">
                      <a:extLst>
                        <a:ext uri="{28A0092B-C50C-407E-A947-70E740481C1C}">
                          <a14:useLocalDpi xmlns:a14="http://schemas.microsoft.com/office/drawing/2010/main" val="0"/>
                        </a:ext>
                      </a:extLst>
                    </a:blip>
                    <a:srcRect l="31283" t="29719" r="31521" b="29336"/>
                    <a:stretch>
                      <a:fillRect/>
                    </a:stretch>
                  </pic:blipFill>
                  <pic:spPr>
                    <a:xfrm>
                      <a:off x="0" y="0"/>
                      <a:ext cx="3921138" cy="3051597"/>
                    </a:xfrm>
                    <a:prstGeom prst="rect">
                      <a:avLst/>
                    </a:prstGeom>
                    <a:noFill/>
                    <a:ln>
                      <a:noFill/>
                    </a:ln>
                  </pic:spPr>
                </pic:pic>
              </a:graphicData>
            </a:graphic>
          </wp:inline>
        </w:drawing>
      </w:r>
    </w:p>
    <w:p w14:paraId="00ED8DBD">
      <w:pPr>
        <w:ind w:firstLine="0" w:firstLineChars="0"/>
        <w:jc w:val="center"/>
        <w:rPr>
          <w:b/>
          <w:color w:val="auto"/>
        </w:rPr>
      </w:pPr>
      <w:r>
        <w:rPr>
          <w:b/>
          <w:color w:val="auto"/>
        </w:rPr>
        <w:t>图6.6.4-3</w:t>
      </w:r>
      <w:r>
        <w:rPr>
          <w:rFonts w:hint="eastAsia"/>
          <w:b/>
          <w:color w:val="auto"/>
        </w:rPr>
        <w:t xml:space="preserve"> </w:t>
      </w:r>
      <w:r>
        <w:rPr>
          <w:b/>
          <w:color w:val="auto"/>
        </w:rPr>
        <w:t>不同时间点COD</w:t>
      </w:r>
      <w:r>
        <w:rPr>
          <w:b/>
          <w:color w:val="auto"/>
          <w:vertAlign w:val="subscript"/>
        </w:rPr>
        <w:t>cr</w:t>
      </w:r>
      <w:r>
        <w:rPr>
          <w:b/>
          <w:color w:val="auto"/>
        </w:rPr>
        <w:t>浓度随土壤深度变化图(T1=1 d、T2=50 d、T3=100 d、T4=200 d、T5=300 d、T6=400 d、T7=</w:t>
      </w:r>
      <w:r>
        <w:rPr>
          <w:rFonts w:hint="eastAsia"/>
          <w:b/>
          <w:color w:val="auto"/>
        </w:rPr>
        <w:t>6</w:t>
      </w:r>
      <w:r>
        <w:rPr>
          <w:b/>
          <w:color w:val="auto"/>
        </w:rPr>
        <w:t>00d)</w:t>
      </w:r>
    </w:p>
    <w:p w14:paraId="34634C2D">
      <w:pPr>
        <w:ind w:firstLine="480"/>
        <w:rPr>
          <w:color w:val="auto"/>
        </w:rPr>
      </w:pPr>
      <w:r>
        <w:rPr>
          <w:color w:val="auto"/>
        </w:rPr>
        <w:t>由上图可知，非正常情况下，污水站污水收集池废水防渗层破损，对土壤</w:t>
      </w:r>
      <w:r>
        <w:rPr>
          <w:rFonts w:hint="eastAsia"/>
          <w:color w:val="auto"/>
        </w:rPr>
        <w:t>环境造成较大影响</w:t>
      </w:r>
      <w:r>
        <w:rPr>
          <w:color w:val="auto"/>
        </w:rPr>
        <w:t>。污水处理站须严格按照土壤和地下水保护措施进行防渗，保证无泄漏，可保证项目运行对厂区内土壤环境的影响总体可控。</w:t>
      </w:r>
    </w:p>
    <w:p w14:paraId="7B56FAD4">
      <w:pPr>
        <w:pStyle w:val="4"/>
        <w:rPr>
          <w:color w:val="auto"/>
        </w:rPr>
      </w:pPr>
      <w:bookmarkStart w:id="230" w:name="_Toc29979"/>
      <w:r>
        <w:rPr>
          <w:rFonts w:hint="eastAsia"/>
          <w:color w:val="auto"/>
        </w:rPr>
        <w:t>6.6.5土壤环境影响评价自查表</w:t>
      </w:r>
      <w:bookmarkEnd w:id="230"/>
    </w:p>
    <w:p w14:paraId="52E18EC0">
      <w:pPr>
        <w:ind w:firstLine="482"/>
        <w:jc w:val="center"/>
        <w:rPr>
          <w:b/>
          <w:bCs/>
          <w:color w:val="auto"/>
        </w:rPr>
      </w:pPr>
      <w:r>
        <w:rPr>
          <w:rFonts w:hint="eastAsia"/>
          <w:b/>
          <w:bCs/>
          <w:color w:val="auto"/>
        </w:rPr>
        <w:t>表6.6.5-1 土壤环境影响评价自查表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0"/>
        <w:gridCol w:w="1827"/>
        <w:gridCol w:w="1820"/>
        <w:gridCol w:w="1558"/>
        <w:gridCol w:w="1388"/>
        <w:gridCol w:w="241"/>
        <w:gridCol w:w="2384"/>
      </w:tblGrid>
      <w:tr w14:paraId="5DBE5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blHeader/>
          <w:jc w:val="center"/>
        </w:trPr>
        <w:tc>
          <w:tcPr>
            <w:tcW w:w="1166" w:type="pct"/>
            <w:gridSpan w:val="2"/>
            <w:vAlign w:val="center"/>
          </w:tcPr>
          <w:p w14:paraId="322E3FC8">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工作内容</w:t>
            </w:r>
          </w:p>
        </w:tc>
        <w:tc>
          <w:tcPr>
            <w:tcW w:w="3834" w:type="pct"/>
            <w:gridSpan w:val="5"/>
            <w:vAlign w:val="center"/>
          </w:tcPr>
          <w:p w14:paraId="3351A1F1">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完成情况</w:t>
            </w:r>
          </w:p>
        </w:tc>
      </w:tr>
      <w:tr w14:paraId="2C5CE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restart"/>
            <w:vAlign w:val="center"/>
          </w:tcPr>
          <w:p w14:paraId="6AF1DB20">
            <w:pPr>
              <w:widowControl/>
              <w:spacing w:line="240" w:lineRule="auto"/>
              <w:ind w:firstLine="0" w:firstLineChars="0"/>
              <w:jc w:val="center"/>
              <w:rPr>
                <w:color w:val="auto"/>
                <w:kern w:val="0"/>
                <w:sz w:val="21"/>
                <w:szCs w:val="21"/>
                <w:lang w:val="zh-CN"/>
              </w:rPr>
            </w:pPr>
            <w:r>
              <w:rPr>
                <w:color w:val="auto"/>
                <w:kern w:val="0"/>
                <w:sz w:val="21"/>
                <w:szCs w:val="21"/>
                <w:lang w:val="zh-CN"/>
              </w:rPr>
              <w:t>影响识别</w:t>
            </w:r>
          </w:p>
        </w:tc>
        <w:tc>
          <w:tcPr>
            <w:tcW w:w="948" w:type="pct"/>
            <w:vAlign w:val="center"/>
          </w:tcPr>
          <w:p w14:paraId="5B703A28">
            <w:pPr>
              <w:widowControl/>
              <w:spacing w:line="240" w:lineRule="auto"/>
              <w:ind w:firstLine="0" w:firstLineChars="0"/>
              <w:jc w:val="center"/>
              <w:rPr>
                <w:color w:val="auto"/>
                <w:kern w:val="0"/>
                <w:sz w:val="21"/>
                <w:szCs w:val="21"/>
                <w:lang w:val="zh-CN"/>
              </w:rPr>
            </w:pPr>
            <w:r>
              <w:rPr>
                <w:color w:val="auto"/>
                <w:kern w:val="0"/>
                <w:sz w:val="21"/>
                <w:szCs w:val="21"/>
                <w:lang w:val="zh-CN"/>
              </w:rPr>
              <w:t>影响类型</w:t>
            </w:r>
          </w:p>
        </w:tc>
        <w:tc>
          <w:tcPr>
            <w:tcW w:w="3834" w:type="pct"/>
            <w:gridSpan w:val="5"/>
            <w:vAlign w:val="center"/>
          </w:tcPr>
          <w:p w14:paraId="7B740125">
            <w:pPr>
              <w:widowControl/>
              <w:spacing w:line="240" w:lineRule="auto"/>
              <w:ind w:firstLine="0" w:firstLineChars="0"/>
              <w:jc w:val="center"/>
              <w:rPr>
                <w:color w:val="auto"/>
                <w:kern w:val="0"/>
                <w:sz w:val="21"/>
                <w:szCs w:val="21"/>
                <w:lang w:val="zh-CN"/>
              </w:rPr>
            </w:pPr>
            <w:r>
              <w:rPr>
                <w:color w:val="auto"/>
                <w:kern w:val="0"/>
                <w:sz w:val="21"/>
                <w:szCs w:val="21"/>
                <w:lang w:val="zh-CN"/>
              </w:rPr>
              <w:t>污染影响型√；生态影响型□；两种兼有□</w:t>
            </w:r>
          </w:p>
        </w:tc>
      </w:tr>
      <w:tr w14:paraId="3363C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035E7361">
            <w:pPr>
              <w:widowControl/>
              <w:spacing w:line="240" w:lineRule="auto"/>
              <w:ind w:firstLine="0" w:firstLineChars="0"/>
              <w:jc w:val="center"/>
              <w:rPr>
                <w:color w:val="auto"/>
                <w:kern w:val="0"/>
                <w:sz w:val="21"/>
                <w:szCs w:val="21"/>
                <w:lang w:val="zh-CN"/>
              </w:rPr>
            </w:pPr>
          </w:p>
        </w:tc>
        <w:tc>
          <w:tcPr>
            <w:tcW w:w="948" w:type="pct"/>
            <w:vAlign w:val="center"/>
          </w:tcPr>
          <w:p w14:paraId="597D04D6">
            <w:pPr>
              <w:widowControl/>
              <w:spacing w:line="240" w:lineRule="auto"/>
              <w:ind w:firstLine="0" w:firstLineChars="0"/>
              <w:jc w:val="center"/>
              <w:rPr>
                <w:color w:val="auto"/>
                <w:kern w:val="0"/>
                <w:sz w:val="21"/>
                <w:szCs w:val="21"/>
                <w:lang w:val="zh-CN"/>
              </w:rPr>
            </w:pPr>
            <w:r>
              <w:rPr>
                <w:color w:val="auto"/>
                <w:kern w:val="0"/>
                <w:sz w:val="21"/>
                <w:szCs w:val="21"/>
                <w:lang w:val="zh-CN"/>
              </w:rPr>
              <w:t>土地利用类型</w:t>
            </w:r>
          </w:p>
        </w:tc>
        <w:tc>
          <w:tcPr>
            <w:tcW w:w="3834" w:type="pct"/>
            <w:gridSpan w:val="5"/>
            <w:vAlign w:val="center"/>
          </w:tcPr>
          <w:p w14:paraId="2C2F7337">
            <w:pPr>
              <w:widowControl/>
              <w:spacing w:line="240" w:lineRule="auto"/>
              <w:ind w:firstLine="0" w:firstLineChars="0"/>
              <w:jc w:val="center"/>
              <w:rPr>
                <w:color w:val="auto"/>
                <w:kern w:val="0"/>
                <w:sz w:val="21"/>
                <w:szCs w:val="21"/>
                <w:lang w:val="zh-CN"/>
              </w:rPr>
            </w:pPr>
            <w:r>
              <w:rPr>
                <w:color w:val="auto"/>
                <w:kern w:val="0"/>
                <w:sz w:val="21"/>
                <w:szCs w:val="21"/>
                <w:lang w:val="zh-CN"/>
              </w:rPr>
              <w:t>建设用地 √；农用地 √；未利用地 □；</w:t>
            </w:r>
          </w:p>
        </w:tc>
      </w:tr>
      <w:tr w14:paraId="74575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15D2F938">
            <w:pPr>
              <w:widowControl/>
              <w:spacing w:line="240" w:lineRule="auto"/>
              <w:ind w:firstLine="0" w:firstLineChars="0"/>
              <w:jc w:val="center"/>
              <w:rPr>
                <w:color w:val="auto"/>
                <w:kern w:val="0"/>
                <w:sz w:val="21"/>
                <w:szCs w:val="21"/>
                <w:lang w:val="zh-CN"/>
              </w:rPr>
            </w:pPr>
          </w:p>
        </w:tc>
        <w:tc>
          <w:tcPr>
            <w:tcW w:w="948" w:type="pct"/>
            <w:vAlign w:val="center"/>
          </w:tcPr>
          <w:p w14:paraId="59AF96A2">
            <w:pPr>
              <w:widowControl/>
              <w:spacing w:line="240" w:lineRule="auto"/>
              <w:ind w:firstLine="0" w:firstLineChars="0"/>
              <w:jc w:val="center"/>
              <w:rPr>
                <w:color w:val="auto"/>
                <w:kern w:val="0"/>
                <w:sz w:val="21"/>
                <w:szCs w:val="21"/>
                <w:lang w:val="zh-CN"/>
              </w:rPr>
            </w:pPr>
            <w:r>
              <w:rPr>
                <w:color w:val="auto"/>
                <w:kern w:val="0"/>
                <w:sz w:val="21"/>
                <w:szCs w:val="21"/>
                <w:lang w:val="zh-CN"/>
              </w:rPr>
              <w:t>占地规模</w:t>
            </w:r>
          </w:p>
        </w:tc>
        <w:tc>
          <w:tcPr>
            <w:tcW w:w="3834" w:type="pct"/>
            <w:gridSpan w:val="5"/>
            <w:vAlign w:val="center"/>
          </w:tcPr>
          <w:p w14:paraId="4032B505">
            <w:pPr>
              <w:widowControl/>
              <w:spacing w:line="240" w:lineRule="auto"/>
              <w:ind w:firstLine="0" w:firstLineChars="0"/>
              <w:jc w:val="center"/>
              <w:rPr>
                <w:color w:val="auto"/>
                <w:kern w:val="0"/>
                <w:sz w:val="21"/>
                <w:szCs w:val="21"/>
                <w:lang w:val="zh-CN"/>
              </w:rPr>
            </w:pPr>
            <w:r>
              <w:rPr>
                <w:color w:val="auto"/>
                <w:kern w:val="0"/>
                <w:sz w:val="21"/>
                <w:szCs w:val="21"/>
                <w:lang w:val="zh-CN"/>
              </w:rPr>
              <w:t>(</w:t>
            </w:r>
            <w:r>
              <w:rPr>
                <w:rFonts w:hint="eastAsia"/>
                <w:color w:val="auto"/>
                <w:kern w:val="0"/>
                <w:sz w:val="21"/>
                <w:szCs w:val="21"/>
                <w:lang w:val="zh-CN"/>
              </w:rPr>
              <w:t>7.15</w:t>
            </w:r>
            <w:r>
              <w:rPr>
                <w:color w:val="auto"/>
                <w:kern w:val="0"/>
                <w:sz w:val="21"/>
                <w:szCs w:val="21"/>
                <w:lang w:val="zh-CN"/>
              </w:rPr>
              <w:t>)hm</w:t>
            </w:r>
            <w:r>
              <w:rPr>
                <w:color w:val="auto"/>
                <w:kern w:val="0"/>
                <w:sz w:val="21"/>
                <w:szCs w:val="21"/>
                <w:vertAlign w:val="superscript"/>
                <w:lang w:val="zh-CN"/>
              </w:rPr>
              <w:t>2</w:t>
            </w:r>
          </w:p>
        </w:tc>
      </w:tr>
      <w:tr w14:paraId="7B612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55C21643">
            <w:pPr>
              <w:widowControl/>
              <w:spacing w:line="240" w:lineRule="auto"/>
              <w:ind w:firstLine="0" w:firstLineChars="0"/>
              <w:jc w:val="center"/>
              <w:rPr>
                <w:color w:val="auto"/>
                <w:kern w:val="0"/>
                <w:sz w:val="21"/>
                <w:szCs w:val="21"/>
                <w:lang w:val="zh-CN"/>
              </w:rPr>
            </w:pPr>
          </w:p>
        </w:tc>
        <w:tc>
          <w:tcPr>
            <w:tcW w:w="948" w:type="pct"/>
            <w:vAlign w:val="center"/>
          </w:tcPr>
          <w:p w14:paraId="11DCF98F">
            <w:pPr>
              <w:widowControl/>
              <w:spacing w:line="240" w:lineRule="auto"/>
              <w:ind w:firstLine="0" w:firstLineChars="0"/>
              <w:jc w:val="center"/>
              <w:rPr>
                <w:color w:val="auto"/>
                <w:kern w:val="0"/>
                <w:sz w:val="21"/>
                <w:szCs w:val="21"/>
                <w:lang w:val="zh-CN"/>
              </w:rPr>
            </w:pPr>
            <w:r>
              <w:rPr>
                <w:color w:val="auto"/>
                <w:kern w:val="0"/>
                <w:sz w:val="21"/>
                <w:szCs w:val="21"/>
                <w:lang w:val="zh-CN"/>
              </w:rPr>
              <w:t>敏感目标信息</w:t>
            </w:r>
          </w:p>
        </w:tc>
        <w:tc>
          <w:tcPr>
            <w:tcW w:w="3834" w:type="pct"/>
            <w:gridSpan w:val="5"/>
            <w:vAlign w:val="center"/>
          </w:tcPr>
          <w:p w14:paraId="655EA808">
            <w:pPr>
              <w:widowControl/>
              <w:spacing w:line="240" w:lineRule="auto"/>
              <w:ind w:firstLine="0" w:firstLineChars="0"/>
              <w:jc w:val="center"/>
              <w:rPr>
                <w:color w:val="auto"/>
                <w:kern w:val="0"/>
                <w:sz w:val="21"/>
                <w:szCs w:val="21"/>
                <w:lang w:val="zh-CN"/>
              </w:rPr>
            </w:pPr>
            <w:r>
              <w:rPr>
                <w:color w:val="auto"/>
                <w:kern w:val="0"/>
                <w:sz w:val="21"/>
                <w:szCs w:val="21"/>
                <w:lang w:val="zh-CN"/>
              </w:rPr>
              <w:t>敏感目标(</w:t>
            </w:r>
            <w:r>
              <w:rPr>
                <w:rFonts w:hint="eastAsia"/>
                <w:color w:val="auto"/>
                <w:kern w:val="0"/>
                <w:sz w:val="21"/>
                <w:szCs w:val="21"/>
                <w:lang w:val="zh-CN"/>
              </w:rPr>
              <w:t>耕地</w:t>
            </w:r>
            <w:r>
              <w:rPr>
                <w:color w:val="auto"/>
                <w:kern w:val="0"/>
                <w:sz w:val="21"/>
                <w:szCs w:val="21"/>
                <w:lang w:val="zh-CN"/>
              </w:rPr>
              <w:t xml:space="preserve">)、方位( </w:t>
            </w:r>
            <w:r>
              <w:rPr>
                <w:rFonts w:hint="eastAsia"/>
                <w:color w:val="auto"/>
                <w:kern w:val="0"/>
                <w:sz w:val="21"/>
                <w:szCs w:val="21"/>
                <w:lang w:val="zh-CN"/>
              </w:rPr>
              <w:t>N、WS</w:t>
            </w:r>
            <w:r>
              <w:rPr>
                <w:color w:val="auto"/>
                <w:kern w:val="0"/>
                <w:sz w:val="21"/>
                <w:szCs w:val="21"/>
                <w:lang w:val="zh-CN"/>
              </w:rPr>
              <w:t xml:space="preserve"> )、距离( </w:t>
            </w:r>
            <w:r>
              <w:rPr>
                <w:rFonts w:hint="eastAsia"/>
                <w:color w:val="auto"/>
                <w:kern w:val="0"/>
                <w:sz w:val="21"/>
                <w:szCs w:val="21"/>
                <w:lang w:val="zh-CN"/>
              </w:rPr>
              <w:t>50m</w:t>
            </w:r>
            <w:r>
              <w:rPr>
                <w:color w:val="auto"/>
                <w:kern w:val="0"/>
                <w:sz w:val="21"/>
                <w:szCs w:val="21"/>
                <w:lang w:val="zh-CN"/>
              </w:rPr>
              <w:t xml:space="preserve"> )</w:t>
            </w:r>
          </w:p>
        </w:tc>
      </w:tr>
      <w:tr w14:paraId="0D5AA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218" w:type="pct"/>
            <w:vMerge w:val="continue"/>
            <w:vAlign w:val="center"/>
          </w:tcPr>
          <w:p w14:paraId="591D55C3">
            <w:pPr>
              <w:widowControl/>
              <w:spacing w:line="240" w:lineRule="auto"/>
              <w:ind w:firstLine="0" w:firstLineChars="0"/>
              <w:jc w:val="center"/>
              <w:rPr>
                <w:color w:val="auto"/>
                <w:kern w:val="0"/>
                <w:sz w:val="21"/>
                <w:szCs w:val="21"/>
                <w:lang w:val="zh-CN"/>
              </w:rPr>
            </w:pPr>
          </w:p>
        </w:tc>
        <w:tc>
          <w:tcPr>
            <w:tcW w:w="948" w:type="pct"/>
            <w:vAlign w:val="center"/>
          </w:tcPr>
          <w:p w14:paraId="556FF361">
            <w:pPr>
              <w:widowControl/>
              <w:spacing w:line="240" w:lineRule="auto"/>
              <w:ind w:firstLine="0" w:firstLineChars="0"/>
              <w:jc w:val="center"/>
              <w:rPr>
                <w:color w:val="auto"/>
                <w:kern w:val="0"/>
                <w:sz w:val="21"/>
                <w:szCs w:val="21"/>
                <w:lang w:val="zh-CN"/>
              </w:rPr>
            </w:pPr>
            <w:r>
              <w:rPr>
                <w:color w:val="auto"/>
                <w:kern w:val="0"/>
                <w:sz w:val="21"/>
                <w:szCs w:val="21"/>
                <w:lang w:val="zh-CN"/>
              </w:rPr>
              <w:t>影响途径</w:t>
            </w:r>
          </w:p>
        </w:tc>
        <w:tc>
          <w:tcPr>
            <w:tcW w:w="3834" w:type="pct"/>
            <w:gridSpan w:val="5"/>
            <w:vAlign w:val="center"/>
          </w:tcPr>
          <w:p w14:paraId="42D8AC66">
            <w:pPr>
              <w:widowControl/>
              <w:spacing w:line="240" w:lineRule="auto"/>
              <w:ind w:firstLine="0" w:firstLineChars="0"/>
              <w:jc w:val="center"/>
              <w:rPr>
                <w:color w:val="auto"/>
                <w:kern w:val="0"/>
                <w:sz w:val="21"/>
                <w:szCs w:val="21"/>
                <w:lang w:val="zh-CN"/>
              </w:rPr>
            </w:pPr>
            <w:r>
              <w:rPr>
                <w:color w:val="auto"/>
                <w:kern w:val="0"/>
                <w:sz w:val="21"/>
                <w:szCs w:val="21"/>
                <w:lang w:val="zh-CN"/>
              </w:rPr>
              <w:t>大气沉降 √；地面漫流 √；垂直入渗√；地下水位 □；其他□</w:t>
            </w:r>
          </w:p>
        </w:tc>
      </w:tr>
      <w:tr w14:paraId="5F5C7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8" w:type="pct"/>
            <w:vMerge w:val="continue"/>
            <w:vAlign w:val="center"/>
          </w:tcPr>
          <w:p w14:paraId="6AF5AD2F">
            <w:pPr>
              <w:widowControl/>
              <w:spacing w:line="240" w:lineRule="auto"/>
              <w:ind w:firstLine="0" w:firstLineChars="0"/>
              <w:jc w:val="center"/>
              <w:rPr>
                <w:color w:val="auto"/>
                <w:kern w:val="0"/>
                <w:sz w:val="21"/>
                <w:szCs w:val="21"/>
                <w:lang w:val="zh-CN"/>
              </w:rPr>
            </w:pPr>
          </w:p>
        </w:tc>
        <w:tc>
          <w:tcPr>
            <w:tcW w:w="948" w:type="pct"/>
            <w:vAlign w:val="center"/>
          </w:tcPr>
          <w:p w14:paraId="6E01E446">
            <w:pPr>
              <w:widowControl/>
              <w:spacing w:line="240" w:lineRule="auto"/>
              <w:ind w:firstLine="0" w:firstLineChars="0"/>
              <w:jc w:val="center"/>
              <w:rPr>
                <w:color w:val="auto"/>
                <w:kern w:val="0"/>
                <w:sz w:val="21"/>
                <w:szCs w:val="21"/>
                <w:lang w:val="zh-CN"/>
              </w:rPr>
            </w:pPr>
            <w:r>
              <w:rPr>
                <w:color w:val="auto"/>
                <w:kern w:val="0"/>
                <w:sz w:val="21"/>
                <w:szCs w:val="21"/>
                <w:lang w:val="zh-CN"/>
              </w:rPr>
              <w:t>全部污染物</w:t>
            </w:r>
          </w:p>
        </w:tc>
        <w:tc>
          <w:tcPr>
            <w:tcW w:w="3834" w:type="pct"/>
            <w:gridSpan w:val="5"/>
            <w:vAlign w:val="center"/>
          </w:tcPr>
          <w:p w14:paraId="599F498A">
            <w:pPr>
              <w:widowControl/>
              <w:spacing w:line="240" w:lineRule="auto"/>
              <w:ind w:firstLine="0" w:firstLineChars="0"/>
              <w:jc w:val="left"/>
              <w:rPr>
                <w:color w:val="auto"/>
                <w:kern w:val="0"/>
                <w:sz w:val="21"/>
                <w:szCs w:val="21"/>
              </w:rPr>
            </w:pPr>
            <w:r>
              <w:rPr>
                <w:color w:val="auto"/>
                <w:kern w:val="0"/>
                <w:sz w:val="21"/>
                <w:szCs w:val="21"/>
              </w:rPr>
              <w:t>废水：pH、COD、SS、氨氮、TN、TP、石油类</w:t>
            </w:r>
          </w:p>
          <w:p w14:paraId="4ED51391">
            <w:pPr>
              <w:widowControl/>
              <w:spacing w:line="240" w:lineRule="auto"/>
              <w:ind w:firstLine="0" w:firstLineChars="0"/>
              <w:rPr>
                <w:color w:val="auto"/>
                <w:kern w:val="0"/>
                <w:sz w:val="21"/>
                <w:szCs w:val="21"/>
                <w:lang w:val="zh-CN"/>
              </w:rPr>
            </w:pPr>
            <w:r>
              <w:rPr>
                <w:color w:val="auto"/>
                <w:kern w:val="0"/>
                <w:sz w:val="21"/>
                <w:szCs w:val="21"/>
              </w:rPr>
              <w:t>废气：二氧化硫、颗粒物、氨</w:t>
            </w:r>
          </w:p>
        </w:tc>
      </w:tr>
      <w:tr w14:paraId="71AAA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78AAF7C1">
            <w:pPr>
              <w:widowControl/>
              <w:spacing w:line="240" w:lineRule="auto"/>
              <w:ind w:firstLine="0" w:firstLineChars="0"/>
              <w:jc w:val="center"/>
              <w:rPr>
                <w:color w:val="auto"/>
                <w:kern w:val="0"/>
                <w:sz w:val="21"/>
                <w:szCs w:val="21"/>
                <w:lang w:val="zh-CN"/>
              </w:rPr>
            </w:pPr>
          </w:p>
        </w:tc>
        <w:tc>
          <w:tcPr>
            <w:tcW w:w="948" w:type="pct"/>
            <w:vAlign w:val="center"/>
          </w:tcPr>
          <w:p w14:paraId="51EF964E">
            <w:pPr>
              <w:widowControl/>
              <w:spacing w:line="240" w:lineRule="auto"/>
              <w:ind w:firstLine="0" w:firstLineChars="0"/>
              <w:jc w:val="center"/>
              <w:rPr>
                <w:color w:val="auto"/>
                <w:kern w:val="0"/>
                <w:sz w:val="21"/>
                <w:szCs w:val="21"/>
                <w:lang w:val="zh-CN"/>
              </w:rPr>
            </w:pPr>
            <w:r>
              <w:rPr>
                <w:color w:val="auto"/>
                <w:kern w:val="0"/>
                <w:sz w:val="21"/>
                <w:szCs w:val="21"/>
                <w:lang w:val="zh-CN"/>
              </w:rPr>
              <w:t>特征因子</w:t>
            </w:r>
          </w:p>
        </w:tc>
        <w:tc>
          <w:tcPr>
            <w:tcW w:w="3834" w:type="pct"/>
            <w:gridSpan w:val="5"/>
            <w:vAlign w:val="center"/>
          </w:tcPr>
          <w:p w14:paraId="3B84D34B">
            <w:pPr>
              <w:widowControl/>
              <w:spacing w:line="240" w:lineRule="auto"/>
              <w:ind w:firstLine="0" w:firstLineChars="0"/>
              <w:rPr>
                <w:color w:val="auto"/>
                <w:kern w:val="0"/>
                <w:sz w:val="21"/>
                <w:szCs w:val="21"/>
                <w:lang w:val="zh-CN"/>
              </w:rPr>
            </w:pPr>
            <w:r>
              <w:rPr>
                <w:color w:val="auto"/>
                <w:kern w:val="0"/>
                <w:sz w:val="21"/>
                <w:szCs w:val="21"/>
              </w:rPr>
              <w:t>二氧化硫、颗粒物、氨</w:t>
            </w:r>
          </w:p>
        </w:tc>
      </w:tr>
      <w:tr w14:paraId="03A31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3B5445CF">
            <w:pPr>
              <w:widowControl/>
              <w:spacing w:line="240" w:lineRule="auto"/>
              <w:ind w:firstLine="0" w:firstLineChars="0"/>
              <w:jc w:val="center"/>
              <w:rPr>
                <w:color w:val="auto"/>
                <w:kern w:val="0"/>
                <w:sz w:val="21"/>
                <w:szCs w:val="21"/>
                <w:lang w:val="zh-CN"/>
              </w:rPr>
            </w:pPr>
          </w:p>
        </w:tc>
        <w:tc>
          <w:tcPr>
            <w:tcW w:w="948" w:type="pct"/>
            <w:vAlign w:val="center"/>
          </w:tcPr>
          <w:p w14:paraId="2B06D72A">
            <w:pPr>
              <w:widowControl/>
              <w:spacing w:line="240" w:lineRule="auto"/>
              <w:ind w:firstLine="0" w:firstLineChars="0"/>
              <w:jc w:val="center"/>
              <w:rPr>
                <w:color w:val="auto"/>
                <w:kern w:val="0"/>
                <w:sz w:val="21"/>
                <w:szCs w:val="21"/>
                <w:lang w:val="zh-CN"/>
              </w:rPr>
            </w:pPr>
            <w:r>
              <w:rPr>
                <w:color w:val="auto"/>
                <w:kern w:val="0"/>
                <w:sz w:val="21"/>
                <w:szCs w:val="21"/>
                <w:lang w:val="zh-CN"/>
              </w:rPr>
              <w:t>所属土壤环境影响评价项目类别</w:t>
            </w:r>
          </w:p>
        </w:tc>
        <w:tc>
          <w:tcPr>
            <w:tcW w:w="3834" w:type="pct"/>
            <w:gridSpan w:val="5"/>
            <w:vAlign w:val="center"/>
          </w:tcPr>
          <w:p w14:paraId="40792C3E">
            <w:pPr>
              <w:widowControl/>
              <w:spacing w:line="240" w:lineRule="auto"/>
              <w:ind w:firstLine="0" w:firstLineChars="0"/>
              <w:jc w:val="center"/>
              <w:rPr>
                <w:color w:val="auto"/>
                <w:kern w:val="0"/>
                <w:sz w:val="21"/>
                <w:szCs w:val="21"/>
                <w:lang w:val="zh-CN"/>
              </w:rPr>
            </w:pPr>
            <w:r>
              <w:rPr>
                <w:color w:val="auto"/>
                <w:kern w:val="0"/>
                <w:sz w:val="21"/>
                <w:szCs w:val="21"/>
                <w:lang w:val="zh-CN"/>
              </w:rPr>
              <w:t>Ⅰ类√；Ⅱ类□；Ⅲ类 □；Ⅳ类 □</w:t>
            </w:r>
          </w:p>
        </w:tc>
      </w:tr>
      <w:tr w14:paraId="10D16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221DB87B">
            <w:pPr>
              <w:widowControl/>
              <w:spacing w:line="240" w:lineRule="auto"/>
              <w:ind w:firstLine="0" w:firstLineChars="0"/>
              <w:jc w:val="center"/>
              <w:rPr>
                <w:color w:val="auto"/>
                <w:kern w:val="0"/>
                <w:sz w:val="21"/>
                <w:szCs w:val="21"/>
                <w:lang w:val="zh-CN"/>
              </w:rPr>
            </w:pPr>
          </w:p>
        </w:tc>
        <w:tc>
          <w:tcPr>
            <w:tcW w:w="948" w:type="pct"/>
            <w:vAlign w:val="center"/>
          </w:tcPr>
          <w:p w14:paraId="693AFE5A">
            <w:pPr>
              <w:widowControl/>
              <w:spacing w:line="240" w:lineRule="auto"/>
              <w:ind w:firstLine="0" w:firstLineChars="0"/>
              <w:jc w:val="center"/>
              <w:rPr>
                <w:color w:val="auto"/>
                <w:kern w:val="0"/>
                <w:sz w:val="21"/>
                <w:szCs w:val="21"/>
                <w:lang w:val="zh-CN"/>
              </w:rPr>
            </w:pPr>
            <w:r>
              <w:rPr>
                <w:color w:val="auto"/>
                <w:kern w:val="0"/>
                <w:sz w:val="21"/>
                <w:szCs w:val="21"/>
                <w:lang w:val="zh-CN"/>
              </w:rPr>
              <w:t>敏感程度</w:t>
            </w:r>
          </w:p>
        </w:tc>
        <w:tc>
          <w:tcPr>
            <w:tcW w:w="3834" w:type="pct"/>
            <w:gridSpan w:val="5"/>
            <w:vAlign w:val="center"/>
          </w:tcPr>
          <w:p w14:paraId="173CC154">
            <w:pPr>
              <w:widowControl/>
              <w:spacing w:line="240" w:lineRule="auto"/>
              <w:ind w:firstLine="0" w:firstLineChars="0"/>
              <w:jc w:val="center"/>
              <w:rPr>
                <w:color w:val="auto"/>
                <w:kern w:val="0"/>
                <w:sz w:val="21"/>
                <w:szCs w:val="21"/>
                <w:lang w:val="zh-CN"/>
              </w:rPr>
            </w:pPr>
            <w:r>
              <w:rPr>
                <w:color w:val="auto"/>
                <w:kern w:val="0"/>
                <w:sz w:val="21"/>
                <w:szCs w:val="21"/>
                <w:lang w:val="zh-CN"/>
              </w:rPr>
              <w:t>敏感√；较敏感 □；不敏感□</w:t>
            </w:r>
          </w:p>
        </w:tc>
      </w:tr>
      <w:tr w14:paraId="5FE84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66" w:type="pct"/>
            <w:gridSpan w:val="2"/>
            <w:vAlign w:val="center"/>
          </w:tcPr>
          <w:p w14:paraId="4C40B1C1">
            <w:pPr>
              <w:widowControl/>
              <w:spacing w:line="240" w:lineRule="auto"/>
              <w:ind w:firstLine="0" w:firstLineChars="0"/>
              <w:jc w:val="center"/>
              <w:rPr>
                <w:color w:val="auto"/>
                <w:kern w:val="0"/>
                <w:sz w:val="21"/>
                <w:szCs w:val="21"/>
                <w:lang w:val="zh-CN"/>
              </w:rPr>
            </w:pPr>
            <w:r>
              <w:rPr>
                <w:color w:val="auto"/>
                <w:kern w:val="0"/>
                <w:sz w:val="21"/>
                <w:szCs w:val="21"/>
                <w:lang w:val="zh-CN"/>
              </w:rPr>
              <w:t>评价工作等级</w:t>
            </w:r>
          </w:p>
        </w:tc>
        <w:tc>
          <w:tcPr>
            <w:tcW w:w="3834" w:type="pct"/>
            <w:gridSpan w:val="5"/>
            <w:vAlign w:val="center"/>
          </w:tcPr>
          <w:p w14:paraId="68F025D5">
            <w:pPr>
              <w:widowControl/>
              <w:spacing w:line="240" w:lineRule="auto"/>
              <w:ind w:firstLine="0" w:firstLineChars="0"/>
              <w:jc w:val="center"/>
              <w:rPr>
                <w:color w:val="auto"/>
                <w:kern w:val="0"/>
                <w:sz w:val="21"/>
                <w:szCs w:val="21"/>
                <w:lang w:val="zh-CN"/>
              </w:rPr>
            </w:pPr>
            <w:r>
              <w:rPr>
                <w:color w:val="auto"/>
                <w:kern w:val="0"/>
                <w:sz w:val="21"/>
                <w:szCs w:val="21"/>
                <w:lang w:val="zh-CN"/>
              </w:rPr>
              <w:t>一级√；二级□；三级 □</w:t>
            </w:r>
          </w:p>
        </w:tc>
      </w:tr>
      <w:tr w14:paraId="6C0A8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restart"/>
            <w:vAlign w:val="center"/>
          </w:tcPr>
          <w:p w14:paraId="6DADCEE6">
            <w:pPr>
              <w:widowControl/>
              <w:spacing w:line="240" w:lineRule="auto"/>
              <w:ind w:firstLine="0" w:firstLineChars="0"/>
              <w:jc w:val="center"/>
              <w:rPr>
                <w:color w:val="auto"/>
                <w:kern w:val="0"/>
                <w:sz w:val="21"/>
                <w:szCs w:val="21"/>
                <w:lang w:val="zh-CN"/>
              </w:rPr>
            </w:pPr>
            <w:r>
              <w:rPr>
                <w:color w:val="auto"/>
                <w:kern w:val="0"/>
                <w:sz w:val="21"/>
                <w:szCs w:val="21"/>
                <w:lang w:val="zh-CN"/>
              </w:rPr>
              <w:t>现状调查</w:t>
            </w:r>
          </w:p>
        </w:tc>
        <w:tc>
          <w:tcPr>
            <w:tcW w:w="948" w:type="pct"/>
            <w:vAlign w:val="center"/>
          </w:tcPr>
          <w:p w14:paraId="3FE72D77">
            <w:pPr>
              <w:widowControl/>
              <w:spacing w:line="240" w:lineRule="auto"/>
              <w:ind w:firstLine="0" w:firstLineChars="0"/>
              <w:jc w:val="center"/>
              <w:rPr>
                <w:color w:val="auto"/>
                <w:kern w:val="0"/>
                <w:sz w:val="21"/>
                <w:szCs w:val="21"/>
                <w:lang w:val="zh-CN"/>
              </w:rPr>
            </w:pPr>
            <w:r>
              <w:rPr>
                <w:color w:val="auto"/>
                <w:kern w:val="0"/>
                <w:sz w:val="21"/>
                <w:szCs w:val="21"/>
                <w:lang w:val="zh-CN"/>
              </w:rPr>
              <w:t>资料收集</w:t>
            </w:r>
          </w:p>
        </w:tc>
        <w:tc>
          <w:tcPr>
            <w:tcW w:w="3834" w:type="pct"/>
            <w:gridSpan w:val="5"/>
            <w:vAlign w:val="center"/>
          </w:tcPr>
          <w:p w14:paraId="22C7F4E4">
            <w:pPr>
              <w:widowControl/>
              <w:spacing w:line="240" w:lineRule="auto"/>
              <w:ind w:firstLine="0" w:firstLineChars="0"/>
              <w:jc w:val="center"/>
              <w:rPr>
                <w:color w:val="auto"/>
                <w:kern w:val="0"/>
                <w:sz w:val="21"/>
                <w:szCs w:val="21"/>
              </w:rPr>
            </w:pPr>
            <w:r>
              <w:rPr>
                <w:color w:val="auto"/>
                <w:kern w:val="0"/>
                <w:sz w:val="21"/>
                <w:szCs w:val="21"/>
              </w:rPr>
              <w:t>a)√；b)√；c)√；d)√</w:t>
            </w:r>
          </w:p>
        </w:tc>
      </w:tr>
      <w:tr w14:paraId="0CBB0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6BDC48FF">
            <w:pPr>
              <w:widowControl/>
              <w:spacing w:line="240" w:lineRule="auto"/>
              <w:ind w:firstLine="0" w:firstLineChars="0"/>
              <w:jc w:val="center"/>
              <w:rPr>
                <w:color w:val="auto"/>
                <w:kern w:val="0"/>
                <w:sz w:val="21"/>
                <w:szCs w:val="21"/>
              </w:rPr>
            </w:pPr>
          </w:p>
        </w:tc>
        <w:tc>
          <w:tcPr>
            <w:tcW w:w="948" w:type="pct"/>
            <w:vAlign w:val="center"/>
          </w:tcPr>
          <w:p w14:paraId="7CE9401D">
            <w:pPr>
              <w:widowControl/>
              <w:spacing w:line="240" w:lineRule="auto"/>
              <w:ind w:firstLine="0" w:firstLineChars="0"/>
              <w:jc w:val="center"/>
              <w:rPr>
                <w:color w:val="auto"/>
                <w:kern w:val="0"/>
                <w:sz w:val="21"/>
                <w:szCs w:val="21"/>
                <w:lang w:val="zh-CN"/>
              </w:rPr>
            </w:pPr>
            <w:r>
              <w:rPr>
                <w:color w:val="auto"/>
                <w:kern w:val="0"/>
                <w:sz w:val="21"/>
                <w:szCs w:val="21"/>
                <w:lang w:val="zh-CN"/>
              </w:rPr>
              <w:t>理化特性</w:t>
            </w:r>
          </w:p>
        </w:tc>
        <w:tc>
          <w:tcPr>
            <w:tcW w:w="3834" w:type="pct"/>
            <w:gridSpan w:val="5"/>
            <w:vAlign w:val="center"/>
          </w:tcPr>
          <w:p w14:paraId="1B4DA4E1">
            <w:pPr>
              <w:widowControl/>
              <w:spacing w:line="240" w:lineRule="auto"/>
              <w:ind w:firstLine="0" w:firstLineChars="0"/>
              <w:jc w:val="center"/>
              <w:rPr>
                <w:color w:val="auto"/>
                <w:kern w:val="0"/>
                <w:sz w:val="21"/>
                <w:szCs w:val="21"/>
                <w:lang w:val="zh-CN"/>
              </w:rPr>
            </w:pPr>
            <w:r>
              <w:rPr>
                <w:color w:val="auto"/>
                <w:kern w:val="0"/>
                <w:sz w:val="21"/>
                <w:szCs w:val="21"/>
                <w:lang w:val="zh-CN"/>
              </w:rPr>
              <w:t>详见表</w:t>
            </w:r>
            <w:r>
              <w:rPr>
                <w:rFonts w:hint="eastAsia"/>
                <w:color w:val="auto"/>
                <w:kern w:val="0"/>
                <w:sz w:val="21"/>
                <w:szCs w:val="21"/>
                <w:lang w:val="zh-CN"/>
              </w:rPr>
              <w:t>5.2.6-6</w:t>
            </w:r>
          </w:p>
        </w:tc>
      </w:tr>
      <w:tr w14:paraId="4BE63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7E19E46C">
            <w:pPr>
              <w:widowControl/>
              <w:spacing w:line="240" w:lineRule="auto"/>
              <w:ind w:firstLine="0" w:firstLineChars="0"/>
              <w:jc w:val="center"/>
              <w:rPr>
                <w:color w:val="auto"/>
                <w:kern w:val="0"/>
                <w:sz w:val="21"/>
                <w:szCs w:val="21"/>
                <w:lang w:val="zh-CN"/>
              </w:rPr>
            </w:pPr>
          </w:p>
        </w:tc>
        <w:tc>
          <w:tcPr>
            <w:tcW w:w="948" w:type="pct"/>
            <w:vMerge w:val="restart"/>
            <w:vAlign w:val="center"/>
          </w:tcPr>
          <w:p w14:paraId="425D0A08">
            <w:pPr>
              <w:widowControl/>
              <w:spacing w:line="240" w:lineRule="auto"/>
              <w:ind w:firstLine="0" w:firstLineChars="0"/>
              <w:jc w:val="center"/>
              <w:rPr>
                <w:color w:val="auto"/>
                <w:kern w:val="0"/>
                <w:sz w:val="21"/>
                <w:szCs w:val="21"/>
                <w:lang w:val="zh-CN"/>
              </w:rPr>
            </w:pPr>
            <w:r>
              <w:rPr>
                <w:color w:val="auto"/>
                <w:kern w:val="0"/>
                <w:sz w:val="21"/>
                <w:szCs w:val="21"/>
                <w:lang w:val="zh-CN"/>
              </w:rPr>
              <w:t>现状监测点位</w:t>
            </w:r>
          </w:p>
        </w:tc>
        <w:tc>
          <w:tcPr>
            <w:tcW w:w="944" w:type="pct"/>
            <w:vAlign w:val="center"/>
          </w:tcPr>
          <w:p w14:paraId="0656A60F">
            <w:pPr>
              <w:widowControl/>
              <w:spacing w:line="240" w:lineRule="auto"/>
              <w:ind w:firstLine="0" w:firstLineChars="0"/>
              <w:jc w:val="center"/>
              <w:rPr>
                <w:color w:val="auto"/>
                <w:kern w:val="0"/>
                <w:sz w:val="21"/>
                <w:szCs w:val="21"/>
                <w:lang w:val="zh-CN"/>
              </w:rPr>
            </w:pPr>
            <w:r>
              <w:rPr>
                <w:color w:val="auto"/>
                <w:kern w:val="0"/>
                <w:sz w:val="21"/>
                <w:szCs w:val="21"/>
                <w:lang w:val="zh-CN"/>
              </w:rPr>
              <w:t>/</w:t>
            </w:r>
          </w:p>
        </w:tc>
        <w:tc>
          <w:tcPr>
            <w:tcW w:w="808" w:type="pct"/>
            <w:vAlign w:val="center"/>
          </w:tcPr>
          <w:p w14:paraId="452D360F">
            <w:pPr>
              <w:widowControl/>
              <w:spacing w:line="240" w:lineRule="auto"/>
              <w:ind w:firstLine="0" w:firstLineChars="0"/>
              <w:jc w:val="center"/>
              <w:rPr>
                <w:color w:val="auto"/>
                <w:kern w:val="0"/>
                <w:sz w:val="21"/>
                <w:szCs w:val="21"/>
                <w:lang w:val="zh-CN"/>
              </w:rPr>
            </w:pPr>
            <w:r>
              <w:rPr>
                <w:color w:val="auto"/>
                <w:kern w:val="0"/>
                <w:sz w:val="21"/>
                <w:szCs w:val="21"/>
                <w:lang w:val="zh-CN"/>
              </w:rPr>
              <w:t>占地范围内</w:t>
            </w:r>
          </w:p>
        </w:tc>
        <w:tc>
          <w:tcPr>
            <w:tcW w:w="845" w:type="pct"/>
            <w:gridSpan w:val="2"/>
            <w:vAlign w:val="center"/>
          </w:tcPr>
          <w:p w14:paraId="727FC885">
            <w:pPr>
              <w:widowControl/>
              <w:spacing w:line="240" w:lineRule="auto"/>
              <w:ind w:firstLine="0" w:firstLineChars="0"/>
              <w:jc w:val="center"/>
              <w:rPr>
                <w:color w:val="auto"/>
                <w:kern w:val="0"/>
                <w:sz w:val="21"/>
                <w:szCs w:val="21"/>
                <w:lang w:val="zh-CN"/>
              </w:rPr>
            </w:pPr>
            <w:r>
              <w:rPr>
                <w:color w:val="auto"/>
                <w:kern w:val="0"/>
                <w:sz w:val="21"/>
                <w:szCs w:val="21"/>
                <w:lang w:val="zh-CN"/>
              </w:rPr>
              <w:t>占地范围外</w:t>
            </w:r>
          </w:p>
        </w:tc>
        <w:tc>
          <w:tcPr>
            <w:tcW w:w="1238" w:type="pct"/>
            <w:vAlign w:val="center"/>
          </w:tcPr>
          <w:p w14:paraId="2B3C85D0">
            <w:pPr>
              <w:widowControl/>
              <w:spacing w:line="240" w:lineRule="auto"/>
              <w:ind w:firstLine="0" w:firstLineChars="0"/>
              <w:jc w:val="center"/>
              <w:rPr>
                <w:color w:val="auto"/>
                <w:kern w:val="0"/>
                <w:sz w:val="21"/>
                <w:szCs w:val="21"/>
                <w:lang w:val="zh-CN"/>
              </w:rPr>
            </w:pPr>
            <w:r>
              <w:rPr>
                <w:color w:val="auto"/>
                <w:kern w:val="0"/>
                <w:sz w:val="21"/>
                <w:szCs w:val="21"/>
                <w:lang w:val="zh-CN"/>
              </w:rPr>
              <w:t>深度</w:t>
            </w:r>
          </w:p>
        </w:tc>
      </w:tr>
      <w:tr w14:paraId="74767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5A6BAEAE">
            <w:pPr>
              <w:widowControl/>
              <w:spacing w:line="240" w:lineRule="auto"/>
              <w:ind w:firstLine="0" w:firstLineChars="0"/>
              <w:jc w:val="center"/>
              <w:rPr>
                <w:color w:val="auto"/>
                <w:kern w:val="0"/>
                <w:sz w:val="21"/>
                <w:szCs w:val="21"/>
                <w:lang w:val="zh-CN"/>
              </w:rPr>
            </w:pPr>
          </w:p>
        </w:tc>
        <w:tc>
          <w:tcPr>
            <w:tcW w:w="948" w:type="pct"/>
            <w:vMerge w:val="continue"/>
            <w:vAlign w:val="center"/>
          </w:tcPr>
          <w:p w14:paraId="701936FA">
            <w:pPr>
              <w:widowControl/>
              <w:spacing w:line="240" w:lineRule="auto"/>
              <w:ind w:firstLine="0" w:firstLineChars="0"/>
              <w:jc w:val="center"/>
              <w:rPr>
                <w:color w:val="auto"/>
                <w:kern w:val="0"/>
                <w:sz w:val="21"/>
                <w:szCs w:val="21"/>
                <w:lang w:val="zh-CN"/>
              </w:rPr>
            </w:pPr>
          </w:p>
        </w:tc>
        <w:tc>
          <w:tcPr>
            <w:tcW w:w="944" w:type="pct"/>
            <w:vAlign w:val="center"/>
          </w:tcPr>
          <w:p w14:paraId="125F18FF">
            <w:pPr>
              <w:widowControl/>
              <w:spacing w:line="240" w:lineRule="auto"/>
              <w:ind w:firstLine="0" w:firstLineChars="0"/>
              <w:jc w:val="center"/>
              <w:rPr>
                <w:color w:val="auto"/>
                <w:kern w:val="0"/>
                <w:sz w:val="21"/>
                <w:szCs w:val="21"/>
                <w:lang w:val="zh-CN"/>
              </w:rPr>
            </w:pPr>
            <w:r>
              <w:rPr>
                <w:color w:val="auto"/>
                <w:kern w:val="0"/>
                <w:sz w:val="21"/>
                <w:szCs w:val="21"/>
                <w:lang w:val="zh-CN"/>
              </w:rPr>
              <w:t>表层样点数</w:t>
            </w:r>
          </w:p>
        </w:tc>
        <w:tc>
          <w:tcPr>
            <w:tcW w:w="808" w:type="pct"/>
            <w:vAlign w:val="center"/>
          </w:tcPr>
          <w:p w14:paraId="654EB1FF">
            <w:pPr>
              <w:widowControl/>
              <w:spacing w:line="240" w:lineRule="auto"/>
              <w:ind w:firstLine="0" w:firstLineChars="0"/>
              <w:jc w:val="center"/>
              <w:rPr>
                <w:color w:val="auto"/>
                <w:kern w:val="0"/>
                <w:sz w:val="21"/>
                <w:szCs w:val="21"/>
                <w:lang w:val="zh-CN"/>
              </w:rPr>
            </w:pPr>
            <w:r>
              <w:rPr>
                <w:color w:val="auto"/>
                <w:kern w:val="0"/>
                <w:sz w:val="21"/>
                <w:szCs w:val="21"/>
              </w:rPr>
              <w:t>2</w:t>
            </w:r>
          </w:p>
        </w:tc>
        <w:tc>
          <w:tcPr>
            <w:tcW w:w="845" w:type="pct"/>
            <w:gridSpan w:val="2"/>
            <w:vAlign w:val="center"/>
          </w:tcPr>
          <w:p w14:paraId="170F68CB">
            <w:pPr>
              <w:widowControl/>
              <w:spacing w:line="240" w:lineRule="auto"/>
              <w:ind w:firstLine="0" w:firstLineChars="0"/>
              <w:jc w:val="center"/>
              <w:rPr>
                <w:color w:val="auto"/>
                <w:kern w:val="0"/>
                <w:sz w:val="21"/>
                <w:szCs w:val="21"/>
                <w:lang w:val="zh-CN"/>
              </w:rPr>
            </w:pPr>
            <w:r>
              <w:rPr>
                <w:color w:val="auto"/>
                <w:kern w:val="0"/>
                <w:sz w:val="21"/>
                <w:szCs w:val="21"/>
              </w:rPr>
              <w:t>4</w:t>
            </w:r>
          </w:p>
        </w:tc>
        <w:tc>
          <w:tcPr>
            <w:tcW w:w="1238" w:type="pct"/>
            <w:vAlign w:val="center"/>
          </w:tcPr>
          <w:p w14:paraId="4533EF77">
            <w:pPr>
              <w:widowControl/>
              <w:spacing w:line="240" w:lineRule="auto"/>
              <w:ind w:firstLine="0" w:firstLineChars="0"/>
              <w:jc w:val="center"/>
              <w:rPr>
                <w:color w:val="auto"/>
                <w:kern w:val="0"/>
                <w:sz w:val="21"/>
                <w:szCs w:val="21"/>
                <w:lang w:val="zh-CN"/>
              </w:rPr>
            </w:pPr>
            <w:r>
              <w:rPr>
                <w:color w:val="auto"/>
                <w:kern w:val="0"/>
                <w:sz w:val="21"/>
                <w:szCs w:val="21"/>
                <w:lang w:val="zh-CN"/>
              </w:rPr>
              <w:t>0-0.2m</w:t>
            </w:r>
          </w:p>
        </w:tc>
      </w:tr>
      <w:tr w14:paraId="212A4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0012AD9B">
            <w:pPr>
              <w:widowControl/>
              <w:spacing w:line="240" w:lineRule="auto"/>
              <w:ind w:firstLine="0" w:firstLineChars="0"/>
              <w:jc w:val="center"/>
              <w:rPr>
                <w:color w:val="auto"/>
                <w:kern w:val="0"/>
                <w:sz w:val="21"/>
                <w:szCs w:val="21"/>
                <w:lang w:val="zh-CN"/>
              </w:rPr>
            </w:pPr>
          </w:p>
        </w:tc>
        <w:tc>
          <w:tcPr>
            <w:tcW w:w="948" w:type="pct"/>
            <w:vMerge w:val="continue"/>
            <w:vAlign w:val="center"/>
          </w:tcPr>
          <w:p w14:paraId="679ABE17">
            <w:pPr>
              <w:widowControl/>
              <w:spacing w:line="240" w:lineRule="auto"/>
              <w:ind w:firstLine="0" w:firstLineChars="0"/>
              <w:jc w:val="center"/>
              <w:rPr>
                <w:color w:val="auto"/>
                <w:kern w:val="0"/>
                <w:sz w:val="21"/>
                <w:szCs w:val="21"/>
                <w:lang w:val="zh-CN"/>
              </w:rPr>
            </w:pPr>
          </w:p>
        </w:tc>
        <w:tc>
          <w:tcPr>
            <w:tcW w:w="944" w:type="pct"/>
            <w:vAlign w:val="center"/>
          </w:tcPr>
          <w:p w14:paraId="367B6DB2">
            <w:pPr>
              <w:widowControl/>
              <w:spacing w:line="240" w:lineRule="auto"/>
              <w:ind w:firstLine="0" w:firstLineChars="0"/>
              <w:jc w:val="center"/>
              <w:rPr>
                <w:color w:val="auto"/>
                <w:kern w:val="0"/>
                <w:sz w:val="21"/>
                <w:szCs w:val="21"/>
                <w:lang w:val="zh-CN"/>
              </w:rPr>
            </w:pPr>
            <w:r>
              <w:rPr>
                <w:color w:val="auto"/>
                <w:kern w:val="0"/>
                <w:sz w:val="21"/>
                <w:szCs w:val="21"/>
                <w:lang w:val="zh-CN"/>
              </w:rPr>
              <w:t>柱状样点数</w:t>
            </w:r>
          </w:p>
        </w:tc>
        <w:tc>
          <w:tcPr>
            <w:tcW w:w="808" w:type="pct"/>
            <w:vAlign w:val="center"/>
          </w:tcPr>
          <w:p w14:paraId="382C1803">
            <w:pPr>
              <w:widowControl/>
              <w:spacing w:line="240" w:lineRule="auto"/>
              <w:ind w:firstLine="0" w:firstLineChars="0"/>
              <w:jc w:val="center"/>
              <w:rPr>
                <w:color w:val="auto"/>
                <w:kern w:val="0"/>
                <w:sz w:val="21"/>
                <w:szCs w:val="21"/>
                <w:lang w:val="zh-CN"/>
              </w:rPr>
            </w:pPr>
            <w:r>
              <w:rPr>
                <w:color w:val="auto"/>
                <w:kern w:val="0"/>
                <w:sz w:val="21"/>
                <w:szCs w:val="21"/>
              </w:rPr>
              <w:t>5</w:t>
            </w:r>
          </w:p>
        </w:tc>
        <w:tc>
          <w:tcPr>
            <w:tcW w:w="845" w:type="pct"/>
            <w:gridSpan w:val="2"/>
            <w:vAlign w:val="center"/>
          </w:tcPr>
          <w:p w14:paraId="0EA1F679">
            <w:pPr>
              <w:widowControl/>
              <w:spacing w:line="240" w:lineRule="auto"/>
              <w:ind w:firstLine="0" w:firstLineChars="0"/>
              <w:jc w:val="center"/>
              <w:rPr>
                <w:color w:val="auto"/>
                <w:kern w:val="0"/>
                <w:sz w:val="21"/>
                <w:szCs w:val="21"/>
                <w:lang w:val="zh-CN"/>
              </w:rPr>
            </w:pPr>
            <w:r>
              <w:rPr>
                <w:color w:val="auto"/>
                <w:kern w:val="0"/>
                <w:sz w:val="21"/>
                <w:szCs w:val="21"/>
                <w:lang w:val="zh-CN"/>
              </w:rPr>
              <w:t>0</w:t>
            </w:r>
          </w:p>
        </w:tc>
        <w:tc>
          <w:tcPr>
            <w:tcW w:w="1238" w:type="pct"/>
            <w:vAlign w:val="center"/>
          </w:tcPr>
          <w:p w14:paraId="76792917">
            <w:pPr>
              <w:widowControl/>
              <w:spacing w:line="240" w:lineRule="auto"/>
              <w:ind w:firstLine="0" w:firstLineChars="0"/>
              <w:jc w:val="center"/>
              <w:rPr>
                <w:color w:val="auto"/>
                <w:kern w:val="0"/>
                <w:sz w:val="21"/>
                <w:szCs w:val="21"/>
                <w:lang w:val="zh-CN"/>
              </w:rPr>
            </w:pPr>
            <w:r>
              <w:rPr>
                <w:color w:val="auto"/>
                <w:kern w:val="0"/>
                <w:sz w:val="21"/>
                <w:szCs w:val="21"/>
                <w:lang w:val="zh-CN"/>
              </w:rPr>
              <w:t>0~0.5m、0.5~1.5m、1.5~3.0m、3.0~6.0m</w:t>
            </w:r>
          </w:p>
        </w:tc>
      </w:tr>
      <w:tr w14:paraId="2AADC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6ED2CD1D">
            <w:pPr>
              <w:widowControl/>
              <w:spacing w:line="240" w:lineRule="auto"/>
              <w:ind w:firstLine="0" w:firstLineChars="0"/>
              <w:jc w:val="center"/>
              <w:rPr>
                <w:color w:val="auto"/>
                <w:kern w:val="0"/>
                <w:sz w:val="21"/>
                <w:szCs w:val="21"/>
                <w:lang w:val="zh-CN"/>
              </w:rPr>
            </w:pPr>
          </w:p>
        </w:tc>
        <w:tc>
          <w:tcPr>
            <w:tcW w:w="948" w:type="pct"/>
            <w:vAlign w:val="center"/>
          </w:tcPr>
          <w:p w14:paraId="2813B8CA">
            <w:pPr>
              <w:widowControl/>
              <w:spacing w:line="240" w:lineRule="auto"/>
              <w:ind w:firstLine="0" w:firstLineChars="0"/>
              <w:jc w:val="center"/>
              <w:rPr>
                <w:color w:val="auto"/>
                <w:kern w:val="0"/>
                <w:sz w:val="21"/>
                <w:szCs w:val="21"/>
                <w:lang w:val="zh-CN"/>
              </w:rPr>
            </w:pPr>
            <w:r>
              <w:rPr>
                <w:color w:val="auto"/>
                <w:kern w:val="0"/>
                <w:sz w:val="21"/>
                <w:szCs w:val="21"/>
                <w:lang w:val="zh-CN"/>
              </w:rPr>
              <w:t>现状监测因子</w:t>
            </w:r>
          </w:p>
        </w:tc>
        <w:tc>
          <w:tcPr>
            <w:tcW w:w="3834" w:type="pct"/>
            <w:gridSpan w:val="5"/>
            <w:vAlign w:val="center"/>
          </w:tcPr>
          <w:p w14:paraId="17A4DC8D">
            <w:pPr>
              <w:widowControl/>
              <w:spacing w:line="240" w:lineRule="auto"/>
              <w:ind w:firstLine="0" w:firstLineChars="0"/>
              <w:jc w:val="center"/>
              <w:rPr>
                <w:color w:val="auto"/>
                <w:kern w:val="0"/>
                <w:sz w:val="21"/>
                <w:szCs w:val="21"/>
                <w:lang w:val="zh-CN"/>
              </w:rPr>
            </w:pPr>
            <w:r>
              <w:rPr>
                <w:color w:val="auto"/>
                <w:kern w:val="0"/>
                <w:sz w:val="21"/>
                <w:szCs w:val="21"/>
              </w:rPr>
              <w:t>《土壤环境质量 建设用地土壤污染风险管控标准(试行)》(GB36600-2018)表1的45项</w:t>
            </w:r>
            <w:r>
              <w:rPr>
                <w:rFonts w:hint="eastAsia"/>
                <w:color w:val="auto"/>
                <w:kern w:val="0"/>
                <w:sz w:val="21"/>
                <w:szCs w:val="21"/>
              </w:rPr>
              <w:t>、</w:t>
            </w:r>
            <w:r>
              <w:rPr>
                <w:color w:val="auto"/>
                <w:kern w:val="0"/>
                <w:sz w:val="21"/>
                <w:szCs w:val="21"/>
              </w:rPr>
              <w:t>《土壤环境质量 农用地土壤污染风险管控标准(试行)》(GB15618-2018)表1中8项</w:t>
            </w:r>
            <w:r>
              <w:rPr>
                <w:rFonts w:hint="eastAsia"/>
                <w:color w:val="auto"/>
                <w:kern w:val="0"/>
                <w:sz w:val="21"/>
                <w:szCs w:val="21"/>
              </w:rPr>
              <w:t>、</w:t>
            </w:r>
            <w:r>
              <w:rPr>
                <w:color w:val="auto"/>
                <w:kern w:val="0"/>
                <w:sz w:val="21"/>
                <w:szCs w:val="21"/>
              </w:rPr>
              <w:t>石油烃（C</w:t>
            </w:r>
            <w:r>
              <w:rPr>
                <w:color w:val="auto"/>
                <w:kern w:val="0"/>
                <w:sz w:val="21"/>
                <w:szCs w:val="21"/>
                <w:vertAlign w:val="subscript"/>
              </w:rPr>
              <w:t>10</w:t>
            </w:r>
            <w:r>
              <w:rPr>
                <w:color w:val="auto"/>
                <w:kern w:val="0"/>
                <w:sz w:val="21"/>
                <w:szCs w:val="21"/>
              </w:rPr>
              <w:t>-C</w:t>
            </w:r>
            <w:r>
              <w:rPr>
                <w:color w:val="auto"/>
                <w:kern w:val="0"/>
                <w:sz w:val="21"/>
                <w:szCs w:val="21"/>
                <w:vertAlign w:val="subscript"/>
              </w:rPr>
              <w:t>40</w:t>
            </w:r>
            <w:r>
              <w:rPr>
                <w:color w:val="auto"/>
                <w:kern w:val="0"/>
                <w:sz w:val="21"/>
                <w:szCs w:val="21"/>
              </w:rPr>
              <w:t>）</w:t>
            </w:r>
          </w:p>
        </w:tc>
      </w:tr>
      <w:tr w14:paraId="3A2BA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218" w:type="pct"/>
            <w:vMerge w:val="restart"/>
            <w:vAlign w:val="center"/>
          </w:tcPr>
          <w:p w14:paraId="677B7C8D">
            <w:pPr>
              <w:widowControl/>
              <w:spacing w:line="240" w:lineRule="auto"/>
              <w:ind w:firstLine="0" w:firstLineChars="0"/>
              <w:jc w:val="center"/>
              <w:rPr>
                <w:color w:val="auto"/>
                <w:kern w:val="0"/>
                <w:sz w:val="21"/>
                <w:szCs w:val="21"/>
                <w:lang w:val="zh-CN"/>
              </w:rPr>
            </w:pPr>
            <w:r>
              <w:rPr>
                <w:color w:val="auto"/>
                <w:kern w:val="0"/>
                <w:sz w:val="21"/>
                <w:szCs w:val="21"/>
                <w:lang w:val="zh-CN"/>
              </w:rPr>
              <w:t>现状评价</w:t>
            </w:r>
          </w:p>
        </w:tc>
        <w:tc>
          <w:tcPr>
            <w:tcW w:w="948" w:type="pct"/>
            <w:vAlign w:val="center"/>
          </w:tcPr>
          <w:p w14:paraId="07660F88">
            <w:pPr>
              <w:widowControl/>
              <w:spacing w:line="240" w:lineRule="auto"/>
              <w:ind w:firstLine="0" w:firstLineChars="0"/>
              <w:jc w:val="center"/>
              <w:rPr>
                <w:color w:val="auto"/>
                <w:kern w:val="0"/>
                <w:sz w:val="21"/>
                <w:szCs w:val="21"/>
                <w:lang w:val="zh-CN"/>
              </w:rPr>
            </w:pPr>
            <w:r>
              <w:rPr>
                <w:color w:val="auto"/>
                <w:kern w:val="0"/>
                <w:sz w:val="21"/>
                <w:szCs w:val="21"/>
                <w:lang w:val="zh-CN"/>
              </w:rPr>
              <w:t>评价因子</w:t>
            </w:r>
          </w:p>
        </w:tc>
        <w:tc>
          <w:tcPr>
            <w:tcW w:w="3834" w:type="pct"/>
            <w:gridSpan w:val="5"/>
            <w:vAlign w:val="center"/>
          </w:tcPr>
          <w:p w14:paraId="716E93DE">
            <w:pPr>
              <w:widowControl/>
              <w:spacing w:line="240" w:lineRule="auto"/>
              <w:ind w:firstLine="0" w:firstLineChars="0"/>
              <w:jc w:val="center"/>
              <w:rPr>
                <w:color w:val="auto"/>
                <w:kern w:val="0"/>
                <w:sz w:val="21"/>
                <w:szCs w:val="21"/>
                <w:lang w:val="zh-CN"/>
              </w:rPr>
            </w:pPr>
            <w:r>
              <w:rPr>
                <w:color w:val="auto"/>
                <w:kern w:val="0"/>
                <w:sz w:val="21"/>
                <w:szCs w:val="21"/>
              </w:rPr>
              <w:t>《土壤环境质量 建设用地土壤污染风险管控标准(试行)》(GB36600-2018)表1的45项</w:t>
            </w:r>
            <w:r>
              <w:rPr>
                <w:rFonts w:hint="eastAsia"/>
                <w:color w:val="auto"/>
                <w:kern w:val="0"/>
                <w:sz w:val="21"/>
                <w:szCs w:val="21"/>
              </w:rPr>
              <w:t>、</w:t>
            </w:r>
            <w:r>
              <w:rPr>
                <w:color w:val="auto"/>
                <w:kern w:val="0"/>
                <w:sz w:val="21"/>
                <w:szCs w:val="21"/>
              </w:rPr>
              <w:t>《土壤环境质量 农用地土壤污染风险管控标准(试行)》(GB15618-2018)表1中8项</w:t>
            </w:r>
            <w:r>
              <w:rPr>
                <w:rFonts w:hint="eastAsia"/>
                <w:color w:val="auto"/>
                <w:kern w:val="0"/>
                <w:sz w:val="21"/>
                <w:szCs w:val="21"/>
              </w:rPr>
              <w:t>、</w:t>
            </w:r>
            <w:r>
              <w:rPr>
                <w:color w:val="auto"/>
                <w:kern w:val="0"/>
                <w:sz w:val="21"/>
                <w:szCs w:val="21"/>
              </w:rPr>
              <w:t>石油烃（C</w:t>
            </w:r>
            <w:r>
              <w:rPr>
                <w:color w:val="auto"/>
                <w:kern w:val="0"/>
                <w:sz w:val="21"/>
                <w:szCs w:val="21"/>
                <w:vertAlign w:val="subscript"/>
              </w:rPr>
              <w:t>10</w:t>
            </w:r>
            <w:r>
              <w:rPr>
                <w:color w:val="auto"/>
                <w:kern w:val="0"/>
                <w:sz w:val="21"/>
                <w:szCs w:val="21"/>
              </w:rPr>
              <w:t>-C</w:t>
            </w:r>
            <w:r>
              <w:rPr>
                <w:color w:val="auto"/>
                <w:kern w:val="0"/>
                <w:sz w:val="21"/>
                <w:szCs w:val="21"/>
                <w:vertAlign w:val="subscript"/>
              </w:rPr>
              <w:t>40</w:t>
            </w:r>
            <w:r>
              <w:rPr>
                <w:color w:val="auto"/>
                <w:kern w:val="0"/>
                <w:sz w:val="21"/>
                <w:szCs w:val="21"/>
              </w:rPr>
              <w:t>）</w:t>
            </w:r>
          </w:p>
        </w:tc>
      </w:tr>
      <w:tr w14:paraId="10982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378F45FA">
            <w:pPr>
              <w:widowControl/>
              <w:spacing w:line="240" w:lineRule="auto"/>
              <w:ind w:firstLine="0" w:firstLineChars="0"/>
              <w:jc w:val="center"/>
              <w:rPr>
                <w:color w:val="auto"/>
                <w:kern w:val="0"/>
                <w:sz w:val="21"/>
                <w:szCs w:val="21"/>
                <w:lang w:val="zh-CN"/>
              </w:rPr>
            </w:pPr>
          </w:p>
        </w:tc>
        <w:tc>
          <w:tcPr>
            <w:tcW w:w="948" w:type="pct"/>
            <w:vAlign w:val="center"/>
          </w:tcPr>
          <w:p w14:paraId="0E7C5334">
            <w:pPr>
              <w:widowControl/>
              <w:spacing w:line="240" w:lineRule="auto"/>
              <w:ind w:firstLine="0" w:firstLineChars="0"/>
              <w:jc w:val="center"/>
              <w:rPr>
                <w:color w:val="auto"/>
                <w:kern w:val="0"/>
                <w:sz w:val="21"/>
                <w:szCs w:val="21"/>
                <w:lang w:val="zh-CN"/>
              </w:rPr>
            </w:pPr>
            <w:r>
              <w:rPr>
                <w:color w:val="auto"/>
                <w:kern w:val="0"/>
                <w:sz w:val="21"/>
                <w:szCs w:val="21"/>
                <w:lang w:val="zh-CN"/>
              </w:rPr>
              <w:t>评价标准</w:t>
            </w:r>
          </w:p>
        </w:tc>
        <w:tc>
          <w:tcPr>
            <w:tcW w:w="3834" w:type="pct"/>
            <w:gridSpan w:val="5"/>
            <w:vAlign w:val="center"/>
          </w:tcPr>
          <w:p w14:paraId="52909B07">
            <w:pPr>
              <w:widowControl/>
              <w:spacing w:line="240" w:lineRule="auto"/>
              <w:ind w:firstLine="0" w:firstLineChars="0"/>
              <w:jc w:val="center"/>
              <w:rPr>
                <w:color w:val="auto"/>
                <w:kern w:val="0"/>
                <w:sz w:val="21"/>
                <w:szCs w:val="21"/>
                <w:lang w:val="zh-CN"/>
              </w:rPr>
            </w:pPr>
            <w:r>
              <w:rPr>
                <w:color w:val="auto"/>
                <w:kern w:val="0"/>
                <w:sz w:val="21"/>
                <w:szCs w:val="21"/>
                <w:lang w:val="zh-CN"/>
              </w:rPr>
              <w:t>GB15618√；GB36600 √；表D.1 □；表D.2 □；其他(  )</w:t>
            </w:r>
          </w:p>
        </w:tc>
      </w:tr>
      <w:tr w14:paraId="437A0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38A9B4C5">
            <w:pPr>
              <w:widowControl/>
              <w:spacing w:line="240" w:lineRule="auto"/>
              <w:ind w:firstLine="0" w:firstLineChars="0"/>
              <w:jc w:val="center"/>
              <w:rPr>
                <w:color w:val="auto"/>
                <w:kern w:val="0"/>
                <w:sz w:val="21"/>
                <w:szCs w:val="21"/>
                <w:lang w:val="zh-CN"/>
              </w:rPr>
            </w:pPr>
          </w:p>
        </w:tc>
        <w:tc>
          <w:tcPr>
            <w:tcW w:w="948" w:type="pct"/>
            <w:vAlign w:val="center"/>
          </w:tcPr>
          <w:p w14:paraId="6188AA74">
            <w:pPr>
              <w:widowControl/>
              <w:spacing w:line="240" w:lineRule="auto"/>
              <w:ind w:firstLine="0" w:firstLineChars="0"/>
              <w:jc w:val="center"/>
              <w:rPr>
                <w:color w:val="auto"/>
                <w:kern w:val="0"/>
                <w:sz w:val="21"/>
                <w:szCs w:val="21"/>
                <w:lang w:val="zh-CN"/>
              </w:rPr>
            </w:pPr>
            <w:r>
              <w:rPr>
                <w:color w:val="auto"/>
                <w:kern w:val="0"/>
                <w:sz w:val="21"/>
                <w:szCs w:val="21"/>
                <w:lang w:val="zh-CN"/>
              </w:rPr>
              <w:t>现状评价结论</w:t>
            </w:r>
          </w:p>
        </w:tc>
        <w:tc>
          <w:tcPr>
            <w:tcW w:w="3834" w:type="pct"/>
            <w:gridSpan w:val="5"/>
            <w:vAlign w:val="center"/>
          </w:tcPr>
          <w:p w14:paraId="53000985">
            <w:pPr>
              <w:widowControl/>
              <w:spacing w:line="240" w:lineRule="auto"/>
              <w:ind w:firstLine="0" w:firstLineChars="0"/>
              <w:jc w:val="center"/>
              <w:rPr>
                <w:color w:val="auto"/>
                <w:kern w:val="0"/>
                <w:sz w:val="21"/>
                <w:szCs w:val="21"/>
                <w:lang w:val="zh-CN"/>
              </w:rPr>
            </w:pPr>
            <w:r>
              <w:rPr>
                <w:rFonts w:hint="eastAsia"/>
                <w:color w:val="auto"/>
                <w:sz w:val="21"/>
                <w:szCs w:val="22"/>
              </w:rPr>
              <w:t>均达标</w:t>
            </w:r>
            <w:r>
              <w:rPr>
                <w:color w:val="auto"/>
                <w:sz w:val="21"/>
                <w:szCs w:val="22"/>
              </w:rPr>
              <w:t>，土壤环境质量总体良好</w:t>
            </w:r>
          </w:p>
        </w:tc>
      </w:tr>
      <w:tr w14:paraId="1BFCA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18" w:type="pct"/>
            <w:vMerge w:val="restart"/>
            <w:vAlign w:val="center"/>
          </w:tcPr>
          <w:p w14:paraId="3AF5F91C">
            <w:pPr>
              <w:widowControl/>
              <w:spacing w:line="240" w:lineRule="auto"/>
              <w:ind w:firstLine="0" w:firstLineChars="0"/>
              <w:jc w:val="center"/>
              <w:rPr>
                <w:color w:val="auto"/>
                <w:kern w:val="0"/>
                <w:sz w:val="21"/>
                <w:szCs w:val="21"/>
                <w:lang w:val="zh-CN"/>
              </w:rPr>
            </w:pPr>
            <w:r>
              <w:rPr>
                <w:color w:val="auto"/>
                <w:kern w:val="0"/>
                <w:sz w:val="21"/>
                <w:szCs w:val="21"/>
                <w:lang w:val="zh-CN"/>
              </w:rPr>
              <w:t>影响预测</w:t>
            </w:r>
          </w:p>
        </w:tc>
        <w:tc>
          <w:tcPr>
            <w:tcW w:w="948" w:type="pct"/>
            <w:vAlign w:val="center"/>
          </w:tcPr>
          <w:p w14:paraId="096288BB">
            <w:pPr>
              <w:widowControl/>
              <w:spacing w:line="240" w:lineRule="auto"/>
              <w:ind w:firstLine="0" w:firstLineChars="0"/>
              <w:jc w:val="center"/>
              <w:rPr>
                <w:color w:val="auto"/>
                <w:kern w:val="0"/>
                <w:sz w:val="21"/>
                <w:szCs w:val="21"/>
                <w:lang w:val="zh-CN"/>
              </w:rPr>
            </w:pPr>
            <w:r>
              <w:rPr>
                <w:color w:val="auto"/>
                <w:kern w:val="0"/>
                <w:sz w:val="21"/>
                <w:szCs w:val="21"/>
                <w:lang w:val="zh-CN"/>
              </w:rPr>
              <w:t>预测因子</w:t>
            </w:r>
          </w:p>
        </w:tc>
        <w:tc>
          <w:tcPr>
            <w:tcW w:w="3834" w:type="pct"/>
            <w:gridSpan w:val="5"/>
            <w:vAlign w:val="center"/>
          </w:tcPr>
          <w:p w14:paraId="24243471">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二氧化硫、COD</w:t>
            </w:r>
          </w:p>
        </w:tc>
      </w:tr>
      <w:tr w14:paraId="0F2C6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47115D8B">
            <w:pPr>
              <w:widowControl/>
              <w:spacing w:line="240" w:lineRule="auto"/>
              <w:ind w:firstLine="0" w:firstLineChars="0"/>
              <w:jc w:val="center"/>
              <w:rPr>
                <w:color w:val="auto"/>
                <w:kern w:val="0"/>
                <w:sz w:val="21"/>
                <w:szCs w:val="21"/>
                <w:lang w:val="zh-CN"/>
              </w:rPr>
            </w:pPr>
          </w:p>
        </w:tc>
        <w:tc>
          <w:tcPr>
            <w:tcW w:w="948" w:type="pct"/>
            <w:vAlign w:val="center"/>
          </w:tcPr>
          <w:p w14:paraId="003E7E28">
            <w:pPr>
              <w:widowControl/>
              <w:spacing w:line="240" w:lineRule="auto"/>
              <w:ind w:firstLine="0" w:firstLineChars="0"/>
              <w:jc w:val="center"/>
              <w:rPr>
                <w:color w:val="auto"/>
                <w:kern w:val="0"/>
                <w:sz w:val="21"/>
                <w:szCs w:val="21"/>
                <w:lang w:val="zh-CN"/>
              </w:rPr>
            </w:pPr>
            <w:r>
              <w:rPr>
                <w:color w:val="auto"/>
                <w:kern w:val="0"/>
                <w:sz w:val="21"/>
                <w:szCs w:val="21"/>
                <w:lang w:val="zh-CN"/>
              </w:rPr>
              <w:t>预测方法</w:t>
            </w:r>
          </w:p>
        </w:tc>
        <w:tc>
          <w:tcPr>
            <w:tcW w:w="3834" w:type="pct"/>
            <w:gridSpan w:val="5"/>
            <w:vAlign w:val="center"/>
          </w:tcPr>
          <w:p w14:paraId="787A8424">
            <w:pPr>
              <w:widowControl/>
              <w:spacing w:line="240" w:lineRule="auto"/>
              <w:ind w:firstLine="0" w:firstLineChars="0"/>
              <w:jc w:val="center"/>
              <w:rPr>
                <w:color w:val="auto"/>
                <w:kern w:val="0"/>
                <w:sz w:val="21"/>
                <w:szCs w:val="21"/>
                <w:lang w:val="zh-CN"/>
              </w:rPr>
            </w:pPr>
            <w:r>
              <w:rPr>
                <w:color w:val="auto"/>
                <w:kern w:val="0"/>
                <w:sz w:val="21"/>
                <w:szCs w:val="21"/>
                <w:lang w:val="zh-CN"/>
              </w:rPr>
              <w:t>附录E √；附录F □；其他(类比法)□</w:t>
            </w:r>
          </w:p>
        </w:tc>
      </w:tr>
      <w:tr w14:paraId="3E1A6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34A3511E">
            <w:pPr>
              <w:widowControl/>
              <w:spacing w:line="240" w:lineRule="auto"/>
              <w:ind w:firstLine="0" w:firstLineChars="0"/>
              <w:jc w:val="center"/>
              <w:rPr>
                <w:color w:val="auto"/>
                <w:kern w:val="0"/>
                <w:sz w:val="21"/>
                <w:szCs w:val="21"/>
                <w:lang w:val="zh-CN"/>
              </w:rPr>
            </w:pPr>
          </w:p>
        </w:tc>
        <w:tc>
          <w:tcPr>
            <w:tcW w:w="948" w:type="pct"/>
            <w:vAlign w:val="center"/>
          </w:tcPr>
          <w:p w14:paraId="786BCBA7">
            <w:pPr>
              <w:widowControl/>
              <w:spacing w:line="240" w:lineRule="auto"/>
              <w:ind w:firstLine="0" w:firstLineChars="0"/>
              <w:jc w:val="center"/>
              <w:rPr>
                <w:color w:val="auto"/>
                <w:kern w:val="0"/>
                <w:sz w:val="21"/>
                <w:szCs w:val="21"/>
                <w:lang w:val="zh-CN"/>
              </w:rPr>
            </w:pPr>
            <w:r>
              <w:rPr>
                <w:color w:val="auto"/>
                <w:kern w:val="0"/>
                <w:sz w:val="21"/>
                <w:szCs w:val="21"/>
                <w:lang w:val="zh-CN"/>
              </w:rPr>
              <w:t>预测分析内容</w:t>
            </w:r>
          </w:p>
        </w:tc>
        <w:tc>
          <w:tcPr>
            <w:tcW w:w="3834" w:type="pct"/>
            <w:gridSpan w:val="5"/>
            <w:vAlign w:val="center"/>
          </w:tcPr>
          <w:p w14:paraId="342D04B5">
            <w:pPr>
              <w:widowControl/>
              <w:spacing w:line="240" w:lineRule="auto"/>
              <w:ind w:firstLine="0" w:firstLineChars="0"/>
              <w:rPr>
                <w:color w:val="auto"/>
                <w:kern w:val="0"/>
                <w:sz w:val="21"/>
                <w:szCs w:val="21"/>
                <w:lang w:val="zh-CN"/>
              </w:rPr>
            </w:pPr>
            <w:r>
              <w:rPr>
                <w:color w:val="auto"/>
                <w:kern w:val="0"/>
                <w:sz w:val="21"/>
                <w:szCs w:val="21"/>
              </w:rPr>
              <w:t>随着外来气源性污染物输入时间的延长，污染物在土壤中的累积量有所增加。非正常情况下，污水站工艺废水收集池废水防渗层破损，对土壤的影响较大。污水处理站须严格按照土壤和地下水保护措施进行防渗，保证无泄漏，可保证项目运行对厂区内土壤环境的影响总体可控。</w:t>
            </w:r>
          </w:p>
        </w:tc>
      </w:tr>
      <w:tr w14:paraId="3A1E4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14E8A90B">
            <w:pPr>
              <w:widowControl/>
              <w:spacing w:line="240" w:lineRule="auto"/>
              <w:ind w:firstLine="0" w:firstLineChars="0"/>
              <w:jc w:val="center"/>
              <w:rPr>
                <w:color w:val="auto"/>
                <w:kern w:val="0"/>
                <w:sz w:val="21"/>
                <w:szCs w:val="21"/>
                <w:lang w:val="zh-CN"/>
              </w:rPr>
            </w:pPr>
          </w:p>
        </w:tc>
        <w:tc>
          <w:tcPr>
            <w:tcW w:w="948" w:type="pct"/>
            <w:vAlign w:val="center"/>
          </w:tcPr>
          <w:p w14:paraId="3CA9C6CA">
            <w:pPr>
              <w:widowControl/>
              <w:spacing w:line="240" w:lineRule="auto"/>
              <w:ind w:firstLine="0" w:firstLineChars="0"/>
              <w:jc w:val="center"/>
              <w:rPr>
                <w:color w:val="auto"/>
                <w:kern w:val="0"/>
                <w:sz w:val="21"/>
                <w:szCs w:val="21"/>
                <w:lang w:val="zh-CN"/>
              </w:rPr>
            </w:pPr>
            <w:r>
              <w:rPr>
                <w:color w:val="auto"/>
                <w:kern w:val="0"/>
                <w:sz w:val="21"/>
                <w:szCs w:val="21"/>
                <w:lang w:val="zh-CN"/>
              </w:rPr>
              <w:t>预测结论</w:t>
            </w:r>
          </w:p>
        </w:tc>
        <w:tc>
          <w:tcPr>
            <w:tcW w:w="3834" w:type="pct"/>
            <w:gridSpan w:val="5"/>
            <w:vAlign w:val="center"/>
          </w:tcPr>
          <w:p w14:paraId="583C0B46">
            <w:pPr>
              <w:widowControl/>
              <w:spacing w:line="240" w:lineRule="auto"/>
              <w:ind w:firstLine="0" w:firstLineChars="0"/>
              <w:jc w:val="center"/>
              <w:rPr>
                <w:color w:val="auto"/>
                <w:kern w:val="0"/>
                <w:sz w:val="21"/>
                <w:szCs w:val="21"/>
                <w:lang w:val="zh-CN"/>
              </w:rPr>
            </w:pPr>
            <w:r>
              <w:rPr>
                <w:color w:val="auto"/>
                <w:kern w:val="0"/>
                <w:sz w:val="21"/>
                <w:szCs w:val="21"/>
                <w:lang w:val="zh-CN"/>
              </w:rPr>
              <w:t>达标结论：a)√；b)□；c)□</w:t>
            </w:r>
          </w:p>
          <w:p w14:paraId="128958BF">
            <w:pPr>
              <w:widowControl/>
              <w:spacing w:line="240" w:lineRule="auto"/>
              <w:ind w:firstLine="0" w:firstLineChars="0"/>
              <w:jc w:val="center"/>
              <w:rPr>
                <w:color w:val="auto"/>
                <w:kern w:val="0"/>
                <w:sz w:val="21"/>
                <w:szCs w:val="21"/>
                <w:lang w:val="zh-CN"/>
              </w:rPr>
            </w:pPr>
            <w:r>
              <w:rPr>
                <w:color w:val="auto"/>
                <w:kern w:val="0"/>
                <w:sz w:val="21"/>
                <w:szCs w:val="21"/>
                <w:lang w:val="zh-CN"/>
              </w:rPr>
              <w:t>不达标结论： a)□；b)□</w:t>
            </w:r>
          </w:p>
        </w:tc>
      </w:tr>
      <w:tr w14:paraId="5EF01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restart"/>
            <w:vAlign w:val="center"/>
          </w:tcPr>
          <w:p w14:paraId="35E8E071">
            <w:pPr>
              <w:widowControl/>
              <w:spacing w:line="240" w:lineRule="auto"/>
              <w:ind w:firstLine="0" w:firstLineChars="0"/>
              <w:jc w:val="center"/>
              <w:rPr>
                <w:color w:val="auto"/>
                <w:kern w:val="0"/>
                <w:sz w:val="21"/>
                <w:szCs w:val="21"/>
                <w:lang w:val="zh-CN"/>
              </w:rPr>
            </w:pPr>
            <w:r>
              <w:rPr>
                <w:color w:val="auto"/>
                <w:kern w:val="0"/>
                <w:sz w:val="21"/>
                <w:szCs w:val="21"/>
                <w:lang w:val="zh-CN"/>
              </w:rPr>
              <w:t>防治措施</w:t>
            </w:r>
          </w:p>
        </w:tc>
        <w:tc>
          <w:tcPr>
            <w:tcW w:w="948" w:type="pct"/>
            <w:vAlign w:val="center"/>
          </w:tcPr>
          <w:p w14:paraId="41F729A4">
            <w:pPr>
              <w:widowControl/>
              <w:spacing w:line="240" w:lineRule="auto"/>
              <w:ind w:firstLine="0" w:firstLineChars="0"/>
              <w:jc w:val="center"/>
              <w:rPr>
                <w:color w:val="auto"/>
                <w:kern w:val="0"/>
                <w:sz w:val="21"/>
                <w:szCs w:val="21"/>
                <w:lang w:val="zh-CN"/>
              </w:rPr>
            </w:pPr>
            <w:r>
              <w:rPr>
                <w:color w:val="auto"/>
                <w:kern w:val="0"/>
                <w:sz w:val="21"/>
                <w:szCs w:val="21"/>
                <w:lang w:val="zh-CN"/>
              </w:rPr>
              <w:t>防控措施</w:t>
            </w:r>
          </w:p>
        </w:tc>
        <w:tc>
          <w:tcPr>
            <w:tcW w:w="3834" w:type="pct"/>
            <w:gridSpan w:val="5"/>
            <w:vAlign w:val="center"/>
          </w:tcPr>
          <w:p w14:paraId="42054335">
            <w:pPr>
              <w:widowControl/>
              <w:spacing w:line="240" w:lineRule="auto"/>
              <w:ind w:firstLine="0" w:firstLineChars="0"/>
              <w:jc w:val="center"/>
              <w:rPr>
                <w:color w:val="auto"/>
                <w:kern w:val="0"/>
                <w:sz w:val="21"/>
                <w:szCs w:val="21"/>
                <w:lang w:val="zh-CN"/>
              </w:rPr>
            </w:pPr>
            <w:r>
              <w:rPr>
                <w:color w:val="auto"/>
                <w:kern w:val="0"/>
                <w:sz w:val="21"/>
                <w:szCs w:val="21"/>
                <w:lang w:val="zh-CN"/>
              </w:rPr>
              <w:t>土壤环境质量现状保障 √；源头控制 √；过程防控 √；其他(  )</w:t>
            </w:r>
          </w:p>
        </w:tc>
      </w:tr>
      <w:tr w14:paraId="3BE3B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3CDA4A15">
            <w:pPr>
              <w:widowControl/>
              <w:spacing w:line="240" w:lineRule="auto"/>
              <w:ind w:firstLine="0" w:firstLineChars="0"/>
              <w:jc w:val="center"/>
              <w:rPr>
                <w:color w:val="auto"/>
                <w:kern w:val="0"/>
                <w:sz w:val="21"/>
                <w:szCs w:val="21"/>
                <w:lang w:val="zh-CN"/>
              </w:rPr>
            </w:pPr>
          </w:p>
        </w:tc>
        <w:tc>
          <w:tcPr>
            <w:tcW w:w="948" w:type="pct"/>
            <w:vMerge w:val="restart"/>
            <w:vAlign w:val="center"/>
          </w:tcPr>
          <w:p w14:paraId="1D58D688">
            <w:pPr>
              <w:widowControl/>
              <w:spacing w:line="240" w:lineRule="auto"/>
              <w:ind w:firstLine="0" w:firstLineChars="0"/>
              <w:jc w:val="center"/>
              <w:rPr>
                <w:color w:val="auto"/>
                <w:kern w:val="0"/>
                <w:sz w:val="21"/>
                <w:szCs w:val="21"/>
                <w:lang w:val="zh-CN"/>
              </w:rPr>
            </w:pPr>
            <w:r>
              <w:rPr>
                <w:color w:val="auto"/>
                <w:kern w:val="0"/>
                <w:sz w:val="21"/>
                <w:szCs w:val="21"/>
                <w:lang w:val="zh-CN"/>
              </w:rPr>
              <w:t>跟踪监测</w:t>
            </w:r>
          </w:p>
        </w:tc>
        <w:tc>
          <w:tcPr>
            <w:tcW w:w="944" w:type="pct"/>
            <w:vAlign w:val="center"/>
          </w:tcPr>
          <w:p w14:paraId="742ADD25">
            <w:pPr>
              <w:widowControl/>
              <w:spacing w:line="240" w:lineRule="auto"/>
              <w:ind w:firstLine="0" w:firstLineChars="0"/>
              <w:jc w:val="center"/>
              <w:rPr>
                <w:color w:val="auto"/>
                <w:kern w:val="0"/>
                <w:sz w:val="21"/>
                <w:szCs w:val="21"/>
                <w:lang w:val="zh-CN"/>
              </w:rPr>
            </w:pPr>
            <w:r>
              <w:rPr>
                <w:color w:val="auto"/>
                <w:kern w:val="0"/>
                <w:sz w:val="21"/>
                <w:szCs w:val="21"/>
                <w:lang w:val="zh-CN"/>
              </w:rPr>
              <w:t>监测点数</w:t>
            </w:r>
          </w:p>
        </w:tc>
        <w:tc>
          <w:tcPr>
            <w:tcW w:w="1528" w:type="pct"/>
            <w:gridSpan w:val="2"/>
            <w:vAlign w:val="center"/>
          </w:tcPr>
          <w:p w14:paraId="2B72C80F">
            <w:pPr>
              <w:widowControl/>
              <w:spacing w:line="240" w:lineRule="auto"/>
              <w:ind w:firstLine="0" w:firstLineChars="0"/>
              <w:jc w:val="center"/>
              <w:rPr>
                <w:color w:val="auto"/>
                <w:kern w:val="0"/>
                <w:sz w:val="21"/>
                <w:szCs w:val="21"/>
                <w:lang w:val="zh-CN"/>
              </w:rPr>
            </w:pPr>
            <w:r>
              <w:rPr>
                <w:color w:val="auto"/>
                <w:kern w:val="0"/>
                <w:sz w:val="21"/>
                <w:szCs w:val="21"/>
                <w:lang w:val="zh-CN"/>
              </w:rPr>
              <w:t>监测指标</w:t>
            </w:r>
          </w:p>
        </w:tc>
        <w:tc>
          <w:tcPr>
            <w:tcW w:w="1362" w:type="pct"/>
            <w:gridSpan w:val="2"/>
            <w:vAlign w:val="center"/>
          </w:tcPr>
          <w:p w14:paraId="6D71A56A">
            <w:pPr>
              <w:widowControl/>
              <w:spacing w:line="240" w:lineRule="auto"/>
              <w:ind w:firstLine="0" w:firstLineChars="0"/>
              <w:jc w:val="center"/>
              <w:rPr>
                <w:color w:val="auto"/>
                <w:kern w:val="0"/>
                <w:sz w:val="21"/>
                <w:szCs w:val="21"/>
                <w:lang w:val="zh-CN"/>
              </w:rPr>
            </w:pPr>
            <w:r>
              <w:rPr>
                <w:color w:val="auto"/>
                <w:kern w:val="0"/>
                <w:sz w:val="21"/>
                <w:szCs w:val="21"/>
                <w:lang w:val="zh-CN"/>
              </w:rPr>
              <w:t>监测频次</w:t>
            </w:r>
          </w:p>
        </w:tc>
      </w:tr>
      <w:tr w14:paraId="6BF01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218" w:type="pct"/>
            <w:vMerge w:val="continue"/>
            <w:vAlign w:val="center"/>
          </w:tcPr>
          <w:p w14:paraId="29BD12CD">
            <w:pPr>
              <w:widowControl/>
              <w:spacing w:line="240" w:lineRule="auto"/>
              <w:ind w:firstLine="0" w:firstLineChars="0"/>
              <w:jc w:val="center"/>
              <w:rPr>
                <w:color w:val="auto"/>
                <w:kern w:val="0"/>
                <w:sz w:val="21"/>
                <w:szCs w:val="21"/>
                <w:lang w:val="zh-CN"/>
              </w:rPr>
            </w:pPr>
          </w:p>
        </w:tc>
        <w:tc>
          <w:tcPr>
            <w:tcW w:w="948" w:type="pct"/>
            <w:vMerge w:val="continue"/>
            <w:vAlign w:val="center"/>
          </w:tcPr>
          <w:p w14:paraId="5587065B">
            <w:pPr>
              <w:widowControl/>
              <w:spacing w:line="240" w:lineRule="auto"/>
              <w:ind w:firstLine="0" w:firstLineChars="0"/>
              <w:jc w:val="center"/>
              <w:rPr>
                <w:color w:val="auto"/>
                <w:kern w:val="0"/>
                <w:sz w:val="21"/>
                <w:szCs w:val="21"/>
                <w:lang w:val="zh-CN"/>
              </w:rPr>
            </w:pPr>
          </w:p>
        </w:tc>
        <w:tc>
          <w:tcPr>
            <w:tcW w:w="944" w:type="pct"/>
            <w:vAlign w:val="center"/>
          </w:tcPr>
          <w:p w14:paraId="380BC0A1">
            <w:pPr>
              <w:widowControl/>
              <w:spacing w:line="240" w:lineRule="auto"/>
              <w:ind w:firstLine="0" w:firstLineChars="0"/>
              <w:jc w:val="center"/>
              <w:rPr>
                <w:color w:val="auto"/>
                <w:kern w:val="0"/>
                <w:sz w:val="21"/>
                <w:szCs w:val="21"/>
                <w:lang w:val="zh-CN"/>
              </w:rPr>
            </w:pPr>
            <w:r>
              <w:rPr>
                <w:color w:val="auto"/>
                <w:kern w:val="0"/>
                <w:sz w:val="21"/>
                <w:szCs w:val="21"/>
                <w:lang w:val="zh-CN"/>
              </w:rPr>
              <w:t>3</w:t>
            </w:r>
          </w:p>
        </w:tc>
        <w:tc>
          <w:tcPr>
            <w:tcW w:w="1528" w:type="pct"/>
            <w:gridSpan w:val="2"/>
            <w:vAlign w:val="center"/>
          </w:tcPr>
          <w:p w14:paraId="35E9A5B9">
            <w:pPr>
              <w:widowControl/>
              <w:spacing w:line="240" w:lineRule="auto"/>
              <w:ind w:firstLine="0" w:firstLineChars="0"/>
              <w:jc w:val="center"/>
              <w:rPr>
                <w:color w:val="auto"/>
                <w:kern w:val="0"/>
                <w:sz w:val="21"/>
                <w:szCs w:val="21"/>
                <w:lang w:val="zh-CN"/>
              </w:rPr>
            </w:pPr>
            <w:r>
              <w:rPr>
                <w:color w:val="auto"/>
                <w:kern w:val="0"/>
                <w:sz w:val="21"/>
                <w:szCs w:val="21"/>
                <w:lang w:val="zh-CN"/>
              </w:rPr>
              <w:t>石油烃(C</w:t>
            </w:r>
            <w:r>
              <w:rPr>
                <w:color w:val="auto"/>
                <w:kern w:val="0"/>
                <w:sz w:val="21"/>
                <w:szCs w:val="21"/>
                <w:vertAlign w:val="subscript"/>
                <w:lang w:val="zh-CN"/>
              </w:rPr>
              <w:t>10</w:t>
            </w:r>
            <w:r>
              <w:rPr>
                <w:color w:val="auto"/>
                <w:kern w:val="0"/>
                <w:sz w:val="21"/>
                <w:szCs w:val="21"/>
                <w:lang w:val="zh-CN"/>
              </w:rPr>
              <w:t>~C</w:t>
            </w:r>
            <w:r>
              <w:rPr>
                <w:color w:val="auto"/>
                <w:kern w:val="0"/>
                <w:sz w:val="21"/>
                <w:szCs w:val="21"/>
                <w:vertAlign w:val="subscript"/>
                <w:lang w:val="zh-CN"/>
              </w:rPr>
              <w:t>40</w:t>
            </w:r>
            <w:r>
              <w:rPr>
                <w:color w:val="auto"/>
                <w:kern w:val="0"/>
                <w:sz w:val="21"/>
                <w:szCs w:val="21"/>
                <w:lang w:val="zh-CN"/>
              </w:rPr>
              <w:t>)</w:t>
            </w:r>
          </w:p>
        </w:tc>
        <w:tc>
          <w:tcPr>
            <w:tcW w:w="1362" w:type="pct"/>
            <w:gridSpan w:val="2"/>
            <w:vAlign w:val="center"/>
          </w:tcPr>
          <w:p w14:paraId="5F877DC0">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3年1次</w:t>
            </w:r>
          </w:p>
        </w:tc>
      </w:tr>
      <w:tr w14:paraId="4BAD5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 w:type="pct"/>
            <w:vMerge w:val="continue"/>
            <w:vAlign w:val="center"/>
          </w:tcPr>
          <w:p w14:paraId="7591577A">
            <w:pPr>
              <w:widowControl/>
              <w:spacing w:line="240" w:lineRule="auto"/>
              <w:ind w:firstLine="0" w:firstLineChars="0"/>
              <w:jc w:val="center"/>
              <w:rPr>
                <w:color w:val="auto"/>
                <w:kern w:val="0"/>
                <w:sz w:val="21"/>
                <w:szCs w:val="21"/>
                <w:lang w:val="zh-CN"/>
              </w:rPr>
            </w:pPr>
          </w:p>
        </w:tc>
        <w:tc>
          <w:tcPr>
            <w:tcW w:w="948" w:type="pct"/>
            <w:vAlign w:val="center"/>
          </w:tcPr>
          <w:p w14:paraId="63D5DEE0">
            <w:pPr>
              <w:widowControl/>
              <w:spacing w:line="240" w:lineRule="auto"/>
              <w:ind w:firstLine="0" w:firstLineChars="0"/>
              <w:jc w:val="center"/>
              <w:rPr>
                <w:color w:val="auto"/>
                <w:kern w:val="0"/>
                <w:sz w:val="21"/>
                <w:szCs w:val="21"/>
                <w:lang w:val="zh-CN"/>
              </w:rPr>
            </w:pPr>
            <w:r>
              <w:rPr>
                <w:color w:val="auto"/>
                <w:kern w:val="0"/>
                <w:sz w:val="21"/>
                <w:szCs w:val="21"/>
                <w:lang w:val="zh-CN"/>
              </w:rPr>
              <w:t>信息公开指标</w:t>
            </w:r>
          </w:p>
        </w:tc>
        <w:tc>
          <w:tcPr>
            <w:tcW w:w="3834" w:type="pct"/>
            <w:gridSpan w:val="5"/>
            <w:vAlign w:val="center"/>
          </w:tcPr>
          <w:p w14:paraId="1ED42572">
            <w:pPr>
              <w:widowControl/>
              <w:spacing w:line="240" w:lineRule="auto"/>
              <w:ind w:firstLine="0" w:firstLineChars="0"/>
              <w:jc w:val="center"/>
              <w:rPr>
                <w:color w:val="auto"/>
                <w:kern w:val="0"/>
                <w:sz w:val="21"/>
                <w:szCs w:val="21"/>
                <w:lang w:val="zh-CN"/>
              </w:rPr>
            </w:pPr>
            <w:r>
              <w:rPr>
                <w:color w:val="auto"/>
                <w:kern w:val="0"/>
                <w:sz w:val="21"/>
                <w:szCs w:val="21"/>
                <w:lang w:val="zh-CN"/>
              </w:rPr>
              <w:t>监测点数、监测指标、监测频次及监测结果</w:t>
            </w:r>
          </w:p>
        </w:tc>
      </w:tr>
      <w:tr w14:paraId="0666A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66" w:type="pct"/>
            <w:gridSpan w:val="2"/>
            <w:vAlign w:val="center"/>
          </w:tcPr>
          <w:p w14:paraId="54585A89">
            <w:pPr>
              <w:widowControl/>
              <w:spacing w:line="240" w:lineRule="auto"/>
              <w:ind w:firstLine="0" w:firstLineChars="0"/>
              <w:jc w:val="center"/>
              <w:rPr>
                <w:color w:val="auto"/>
                <w:kern w:val="0"/>
                <w:sz w:val="21"/>
                <w:szCs w:val="21"/>
                <w:lang w:val="zh-CN"/>
              </w:rPr>
            </w:pPr>
            <w:r>
              <w:rPr>
                <w:color w:val="auto"/>
                <w:kern w:val="0"/>
                <w:sz w:val="21"/>
                <w:szCs w:val="21"/>
                <w:lang w:val="zh-CN"/>
              </w:rPr>
              <w:t>评价结论</w:t>
            </w:r>
          </w:p>
        </w:tc>
        <w:tc>
          <w:tcPr>
            <w:tcW w:w="3834" w:type="pct"/>
            <w:gridSpan w:val="5"/>
            <w:vAlign w:val="center"/>
          </w:tcPr>
          <w:p w14:paraId="5C96206B">
            <w:pPr>
              <w:widowControl/>
              <w:spacing w:line="240" w:lineRule="auto"/>
              <w:ind w:firstLine="0" w:firstLineChars="0"/>
              <w:jc w:val="center"/>
              <w:rPr>
                <w:color w:val="auto"/>
                <w:kern w:val="0"/>
                <w:sz w:val="21"/>
                <w:szCs w:val="21"/>
                <w:lang w:val="zh-CN"/>
              </w:rPr>
            </w:pPr>
            <w:r>
              <w:rPr>
                <w:color w:val="auto"/>
                <w:kern w:val="0"/>
                <w:sz w:val="21"/>
                <w:szCs w:val="21"/>
                <w:lang w:val="zh-CN"/>
              </w:rPr>
              <w:t>本项目评价范围内土壤环境质量可达到相应标准要求，土壤环境影响在可接受范围内，在采取充分的防控措施及具备完备的环境管理与监测计划的情况下，土壤环境的影响总体可控。</w:t>
            </w:r>
          </w:p>
        </w:tc>
      </w:tr>
    </w:tbl>
    <w:p w14:paraId="2A90D9AA">
      <w:pPr>
        <w:pStyle w:val="3"/>
        <w:spacing w:before="312"/>
        <w:rPr>
          <w:color w:val="auto"/>
        </w:rPr>
      </w:pPr>
      <w:bookmarkStart w:id="231" w:name="_Toc10169"/>
      <w:r>
        <w:rPr>
          <w:rFonts w:hint="eastAsia"/>
          <w:color w:val="auto"/>
        </w:rPr>
        <w:t>6.7环境风险预测与评价</w:t>
      </w:r>
      <w:bookmarkEnd w:id="231"/>
    </w:p>
    <w:p w14:paraId="11FB1053">
      <w:pPr>
        <w:pStyle w:val="4"/>
        <w:rPr>
          <w:color w:val="auto"/>
        </w:rPr>
      </w:pPr>
      <w:bookmarkStart w:id="232" w:name="_Toc14941"/>
      <w:r>
        <w:rPr>
          <w:rFonts w:hint="eastAsia"/>
          <w:color w:val="auto"/>
        </w:rPr>
        <w:t>6.7.1</w:t>
      </w:r>
      <w:r>
        <w:rPr>
          <w:color w:val="auto"/>
        </w:rPr>
        <w:t>风险评价等级</w:t>
      </w:r>
      <w:bookmarkEnd w:id="232"/>
    </w:p>
    <w:p w14:paraId="67ADF127">
      <w:pPr>
        <w:ind w:firstLine="480"/>
        <w:rPr>
          <w:color w:val="auto"/>
        </w:rPr>
      </w:pPr>
      <w:r>
        <w:rPr>
          <w:color w:val="auto"/>
        </w:rPr>
        <w:t>本项目各要素评价工作等级判定如下：</w:t>
      </w:r>
    </w:p>
    <w:p w14:paraId="17095D6E">
      <w:pPr>
        <w:ind w:firstLine="480"/>
        <w:rPr>
          <w:color w:val="auto"/>
        </w:rPr>
      </w:pPr>
      <w:r>
        <w:rPr>
          <w:rFonts w:ascii="Cambria Math" w:hAnsi="Cambria Math" w:cs="Cambria Math"/>
          <w:color w:val="auto"/>
        </w:rPr>
        <w:t>①</w:t>
      </w:r>
      <w:r>
        <w:rPr>
          <w:color w:val="auto"/>
        </w:rPr>
        <w:t>大气环境风险潜势为III，评价等级为二级。</w:t>
      </w:r>
    </w:p>
    <w:p w14:paraId="5D520CE4">
      <w:pPr>
        <w:ind w:firstLine="480"/>
        <w:rPr>
          <w:color w:val="auto"/>
        </w:rPr>
      </w:pPr>
      <w:r>
        <w:rPr>
          <w:rFonts w:ascii="Cambria Math" w:hAnsi="Cambria Math" w:cs="Cambria Math"/>
          <w:color w:val="auto"/>
        </w:rPr>
        <w:t>②</w:t>
      </w:r>
      <w:r>
        <w:rPr>
          <w:color w:val="auto"/>
        </w:rPr>
        <w:t>地表水环境风险潜势为III，评价等级为二级。</w:t>
      </w:r>
    </w:p>
    <w:p w14:paraId="2FC56F0E">
      <w:pPr>
        <w:ind w:firstLine="480"/>
        <w:rPr>
          <w:color w:val="auto"/>
        </w:rPr>
      </w:pPr>
      <w:r>
        <w:rPr>
          <w:rFonts w:ascii="Cambria Math" w:hAnsi="Cambria Math" w:cs="Cambria Math"/>
          <w:color w:val="auto"/>
        </w:rPr>
        <w:t>③</w:t>
      </w:r>
      <w:r>
        <w:rPr>
          <w:color w:val="auto"/>
        </w:rPr>
        <w:t>地下水环境风险潜势为II，评价等级为</w:t>
      </w:r>
      <w:r>
        <w:rPr>
          <w:rFonts w:hint="eastAsia"/>
          <w:color w:val="auto"/>
        </w:rPr>
        <w:t>三</w:t>
      </w:r>
      <w:r>
        <w:rPr>
          <w:color w:val="auto"/>
        </w:rPr>
        <w:t>级。</w:t>
      </w:r>
    </w:p>
    <w:p w14:paraId="444238F6">
      <w:pPr>
        <w:pStyle w:val="4"/>
        <w:rPr>
          <w:color w:val="auto"/>
        </w:rPr>
      </w:pPr>
      <w:bookmarkStart w:id="233" w:name="_Toc20132"/>
      <w:r>
        <w:rPr>
          <w:rFonts w:hint="eastAsia"/>
          <w:color w:val="auto"/>
        </w:rPr>
        <w:t>6.7.2</w:t>
      </w:r>
      <w:r>
        <w:rPr>
          <w:color w:val="auto"/>
        </w:rPr>
        <w:t>环境风险事故情形设定</w:t>
      </w:r>
      <w:bookmarkEnd w:id="233"/>
    </w:p>
    <w:p w14:paraId="3B901D25">
      <w:pPr>
        <w:ind w:firstLine="480"/>
        <w:rPr>
          <w:color w:val="auto"/>
        </w:rPr>
      </w:pPr>
      <w:r>
        <w:rPr>
          <w:rFonts w:hint="eastAsia"/>
          <w:color w:val="auto"/>
        </w:rPr>
        <w:t>1、</w:t>
      </w:r>
      <w:r>
        <w:rPr>
          <w:color w:val="auto"/>
        </w:rPr>
        <w:t>概率分析</w:t>
      </w:r>
    </w:p>
    <w:p w14:paraId="22BADDE0">
      <w:pPr>
        <w:ind w:firstLine="480"/>
        <w:rPr>
          <w:bCs/>
          <w:color w:val="auto"/>
        </w:rPr>
      </w:pPr>
      <w:r>
        <w:rPr>
          <w:bCs/>
          <w:color w:val="auto"/>
        </w:rPr>
        <w:t>泄漏事故类型如容器、管道、泵体、压缩机、装卸软管的泄漏和破裂等泄漏频率采用风险导则(HJ169-2018)附录E.1，详见表6.7.2-1。</w:t>
      </w:r>
    </w:p>
    <w:p w14:paraId="75DE8E26">
      <w:pPr>
        <w:ind w:firstLine="482"/>
        <w:jc w:val="center"/>
        <w:rPr>
          <w:b/>
          <w:bCs/>
          <w:color w:val="auto"/>
        </w:rPr>
      </w:pPr>
      <w:r>
        <w:rPr>
          <w:b/>
          <w:bCs/>
          <w:color w:val="auto"/>
        </w:rPr>
        <w:t>表6.7.2-1  泄漏频率表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29"/>
        <w:gridCol w:w="4769"/>
        <w:gridCol w:w="2240"/>
      </w:tblGrid>
      <w:tr w14:paraId="756BE4CD">
        <w:tblPrEx>
          <w:tblCellMar>
            <w:top w:w="0" w:type="dxa"/>
            <w:left w:w="0" w:type="dxa"/>
            <w:bottom w:w="0" w:type="dxa"/>
            <w:right w:w="0" w:type="dxa"/>
          </w:tblCellMar>
        </w:tblPrEx>
        <w:trPr>
          <w:trHeight w:val="20" w:hRule="atLeast"/>
          <w:jc w:val="center"/>
        </w:trPr>
        <w:tc>
          <w:tcPr>
            <w:tcW w:w="1364" w:type="pct"/>
            <w:noWrap/>
            <w:vAlign w:val="center"/>
          </w:tcPr>
          <w:p w14:paraId="76003559">
            <w:pPr>
              <w:spacing w:line="240" w:lineRule="auto"/>
              <w:ind w:firstLine="0" w:firstLineChars="0"/>
              <w:jc w:val="center"/>
              <w:rPr>
                <w:b/>
                <w:bCs/>
                <w:color w:val="auto"/>
                <w:sz w:val="21"/>
                <w:szCs w:val="21"/>
              </w:rPr>
            </w:pPr>
            <w:r>
              <w:rPr>
                <w:b/>
                <w:bCs/>
                <w:color w:val="auto"/>
                <w:sz w:val="21"/>
                <w:szCs w:val="21"/>
              </w:rPr>
              <w:t>部件类型</w:t>
            </w:r>
          </w:p>
        </w:tc>
        <w:tc>
          <w:tcPr>
            <w:tcW w:w="2474" w:type="pct"/>
            <w:noWrap/>
            <w:vAlign w:val="center"/>
          </w:tcPr>
          <w:p w14:paraId="010B86C1">
            <w:pPr>
              <w:spacing w:line="240" w:lineRule="auto"/>
              <w:ind w:firstLine="0" w:firstLineChars="0"/>
              <w:jc w:val="center"/>
              <w:rPr>
                <w:b/>
                <w:bCs/>
                <w:color w:val="auto"/>
                <w:sz w:val="21"/>
                <w:szCs w:val="21"/>
              </w:rPr>
            </w:pPr>
            <w:r>
              <w:rPr>
                <w:b/>
                <w:bCs/>
                <w:color w:val="auto"/>
                <w:sz w:val="21"/>
                <w:szCs w:val="21"/>
              </w:rPr>
              <w:t>泄漏模式</w:t>
            </w:r>
          </w:p>
        </w:tc>
        <w:tc>
          <w:tcPr>
            <w:tcW w:w="1162" w:type="pct"/>
            <w:noWrap/>
            <w:vAlign w:val="center"/>
          </w:tcPr>
          <w:p w14:paraId="323D517D">
            <w:pPr>
              <w:spacing w:line="240" w:lineRule="auto"/>
              <w:ind w:firstLine="0" w:firstLineChars="0"/>
              <w:jc w:val="center"/>
              <w:rPr>
                <w:b/>
                <w:bCs/>
                <w:color w:val="auto"/>
                <w:sz w:val="21"/>
                <w:szCs w:val="21"/>
              </w:rPr>
            </w:pPr>
            <w:r>
              <w:rPr>
                <w:b/>
                <w:bCs/>
                <w:color w:val="auto"/>
                <w:sz w:val="21"/>
                <w:szCs w:val="21"/>
              </w:rPr>
              <w:t>泄漏频率</w:t>
            </w:r>
          </w:p>
        </w:tc>
      </w:tr>
      <w:tr w14:paraId="0D2AF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restart"/>
            <w:noWrap/>
            <w:vAlign w:val="center"/>
          </w:tcPr>
          <w:p w14:paraId="47358140">
            <w:pPr>
              <w:spacing w:line="240" w:lineRule="auto"/>
              <w:ind w:firstLine="0" w:firstLineChars="0"/>
              <w:jc w:val="center"/>
              <w:rPr>
                <w:bCs/>
                <w:color w:val="auto"/>
                <w:sz w:val="21"/>
                <w:szCs w:val="21"/>
              </w:rPr>
            </w:pPr>
            <w:r>
              <w:rPr>
                <w:bCs/>
                <w:color w:val="auto"/>
                <w:sz w:val="21"/>
                <w:szCs w:val="21"/>
              </w:rPr>
              <w:t>反应器/工艺储罐/气体储罐/塔器</w:t>
            </w:r>
          </w:p>
        </w:tc>
        <w:tc>
          <w:tcPr>
            <w:tcW w:w="2474" w:type="pct"/>
            <w:noWrap/>
            <w:vAlign w:val="center"/>
          </w:tcPr>
          <w:p w14:paraId="6AAC3E5A">
            <w:pPr>
              <w:spacing w:line="240" w:lineRule="auto"/>
              <w:ind w:firstLine="0" w:firstLineChars="0"/>
              <w:jc w:val="center"/>
              <w:rPr>
                <w:bCs/>
                <w:color w:val="auto"/>
                <w:sz w:val="21"/>
                <w:szCs w:val="21"/>
              </w:rPr>
            </w:pPr>
            <w:r>
              <w:rPr>
                <w:bCs/>
                <w:color w:val="auto"/>
                <w:sz w:val="21"/>
                <w:szCs w:val="21"/>
              </w:rPr>
              <w:t>泄漏孔径为10mm孔径</w:t>
            </w:r>
          </w:p>
        </w:tc>
        <w:tc>
          <w:tcPr>
            <w:tcW w:w="1162" w:type="pct"/>
            <w:noWrap/>
            <w:vAlign w:val="center"/>
          </w:tcPr>
          <w:p w14:paraId="6CE0F52F">
            <w:pPr>
              <w:spacing w:line="240" w:lineRule="auto"/>
              <w:ind w:firstLine="0" w:firstLineChars="0"/>
              <w:jc w:val="center"/>
              <w:rPr>
                <w:bCs/>
                <w:color w:val="auto"/>
                <w:sz w:val="21"/>
                <w:szCs w:val="21"/>
              </w:rPr>
            </w:pPr>
            <w:r>
              <w:rPr>
                <w:bCs/>
                <w:color w:val="auto"/>
                <w:sz w:val="21"/>
                <w:szCs w:val="21"/>
              </w:rPr>
              <w:t>1.00×10</w:t>
            </w:r>
            <w:r>
              <w:rPr>
                <w:bCs/>
                <w:color w:val="auto"/>
                <w:sz w:val="21"/>
                <w:szCs w:val="21"/>
                <w:vertAlign w:val="superscript"/>
              </w:rPr>
              <w:t>-4</w:t>
            </w:r>
            <w:r>
              <w:rPr>
                <w:bCs/>
                <w:color w:val="auto"/>
                <w:sz w:val="21"/>
                <w:szCs w:val="21"/>
              </w:rPr>
              <w:t>/a</w:t>
            </w:r>
          </w:p>
        </w:tc>
      </w:tr>
      <w:tr w14:paraId="08530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44E7EF8B">
            <w:pPr>
              <w:spacing w:line="240" w:lineRule="auto"/>
              <w:ind w:firstLine="0" w:firstLineChars="0"/>
              <w:jc w:val="center"/>
              <w:rPr>
                <w:bCs/>
                <w:color w:val="auto"/>
                <w:sz w:val="21"/>
                <w:szCs w:val="21"/>
              </w:rPr>
            </w:pPr>
          </w:p>
        </w:tc>
        <w:tc>
          <w:tcPr>
            <w:tcW w:w="2474" w:type="pct"/>
            <w:noWrap/>
            <w:vAlign w:val="center"/>
          </w:tcPr>
          <w:p w14:paraId="10DD84DC">
            <w:pPr>
              <w:spacing w:line="240" w:lineRule="auto"/>
              <w:ind w:firstLine="0" w:firstLineChars="0"/>
              <w:jc w:val="center"/>
              <w:rPr>
                <w:bCs/>
                <w:color w:val="auto"/>
                <w:sz w:val="21"/>
                <w:szCs w:val="21"/>
              </w:rPr>
            </w:pPr>
            <w:r>
              <w:rPr>
                <w:bCs/>
                <w:color w:val="auto"/>
                <w:sz w:val="21"/>
                <w:szCs w:val="21"/>
              </w:rPr>
              <w:t>10min内储罐泄漏完</w:t>
            </w:r>
          </w:p>
        </w:tc>
        <w:tc>
          <w:tcPr>
            <w:tcW w:w="1162" w:type="pct"/>
            <w:noWrap/>
            <w:vAlign w:val="center"/>
          </w:tcPr>
          <w:p w14:paraId="1D3EABD7">
            <w:pPr>
              <w:spacing w:line="240" w:lineRule="auto"/>
              <w:ind w:firstLine="0" w:firstLineChars="0"/>
              <w:jc w:val="center"/>
              <w:rPr>
                <w:bCs/>
                <w:color w:val="auto"/>
                <w:sz w:val="21"/>
                <w:szCs w:val="21"/>
              </w:rPr>
            </w:pPr>
            <w:r>
              <w:rPr>
                <w:bCs/>
                <w:color w:val="auto"/>
                <w:sz w:val="21"/>
                <w:szCs w:val="21"/>
              </w:rPr>
              <w:t>5.00×10</w:t>
            </w:r>
            <w:r>
              <w:rPr>
                <w:bCs/>
                <w:color w:val="auto"/>
                <w:sz w:val="21"/>
                <w:szCs w:val="21"/>
                <w:vertAlign w:val="superscript"/>
              </w:rPr>
              <w:t>-6</w:t>
            </w:r>
            <w:r>
              <w:rPr>
                <w:bCs/>
                <w:color w:val="auto"/>
                <w:sz w:val="21"/>
                <w:szCs w:val="21"/>
              </w:rPr>
              <w:t>/a</w:t>
            </w:r>
          </w:p>
        </w:tc>
      </w:tr>
      <w:tr w14:paraId="1D0D9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7470ABCF">
            <w:pPr>
              <w:spacing w:line="240" w:lineRule="auto"/>
              <w:ind w:firstLine="0" w:firstLineChars="0"/>
              <w:jc w:val="center"/>
              <w:rPr>
                <w:bCs/>
                <w:color w:val="auto"/>
                <w:sz w:val="21"/>
                <w:szCs w:val="21"/>
              </w:rPr>
            </w:pPr>
          </w:p>
        </w:tc>
        <w:tc>
          <w:tcPr>
            <w:tcW w:w="2474" w:type="pct"/>
            <w:noWrap/>
            <w:vAlign w:val="center"/>
          </w:tcPr>
          <w:p w14:paraId="217C0A41">
            <w:pPr>
              <w:spacing w:line="240" w:lineRule="auto"/>
              <w:ind w:firstLine="0" w:firstLineChars="0"/>
              <w:jc w:val="center"/>
              <w:rPr>
                <w:bCs/>
                <w:color w:val="auto"/>
                <w:sz w:val="21"/>
                <w:szCs w:val="21"/>
              </w:rPr>
            </w:pPr>
            <w:r>
              <w:rPr>
                <w:bCs/>
                <w:color w:val="auto"/>
                <w:sz w:val="21"/>
                <w:szCs w:val="21"/>
              </w:rPr>
              <w:t>储罐全破裂</w:t>
            </w:r>
          </w:p>
        </w:tc>
        <w:tc>
          <w:tcPr>
            <w:tcW w:w="1162" w:type="pct"/>
            <w:noWrap/>
            <w:vAlign w:val="center"/>
          </w:tcPr>
          <w:p w14:paraId="2EA22260">
            <w:pPr>
              <w:spacing w:line="240" w:lineRule="auto"/>
              <w:ind w:firstLine="0" w:firstLineChars="0"/>
              <w:jc w:val="center"/>
              <w:rPr>
                <w:bCs/>
                <w:color w:val="auto"/>
                <w:sz w:val="21"/>
                <w:szCs w:val="21"/>
              </w:rPr>
            </w:pPr>
            <w:r>
              <w:rPr>
                <w:bCs/>
                <w:color w:val="auto"/>
                <w:sz w:val="21"/>
                <w:szCs w:val="21"/>
              </w:rPr>
              <w:t>5.00×10</w:t>
            </w:r>
            <w:r>
              <w:rPr>
                <w:bCs/>
                <w:color w:val="auto"/>
                <w:sz w:val="21"/>
                <w:szCs w:val="21"/>
                <w:vertAlign w:val="superscript"/>
              </w:rPr>
              <w:t>-6</w:t>
            </w:r>
            <w:r>
              <w:rPr>
                <w:bCs/>
                <w:color w:val="auto"/>
                <w:sz w:val="21"/>
                <w:szCs w:val="21"/>
              </w:rPr>
              <w:t>/a</w:t>
            </w:r>
          </w:p>
        </w:tc>
      </w:tr>
      <w:tr w14:paraId="118BD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restart"/>
            <w:noWrap/>
            <w:vAlign w:val="center"/>
          </w:tcPr>
          <w:p w14:paraId="2C72E6A1">
            <w:pPr>
              <w:spacing w:line="240" w:lineRule="auto"/>
              <w:ind w:firstLine="0" w:firstLineChars="0"/>
              <w:jc w:val="center"/>
              <w:rPr>
                <w:bCs/>
                <w:color w:val="auto"/>
                <w:sz w:val="21"/>
                <w:szCs w:val="21"/>
              </w:rPr>
            </w:pPr>
            <w:r>
              <w:rPr>
                <w:bCs/>
                <w:color w:val="auto"/>
                <w:sz w:val="21"/>
                <w:szCs w:val="21"/>
              </w:rPr>
              <w:t>常压单包容储罐</w:t>
            </w:r>
          </w:p>
        </w:tc>
        <w:tc>
          <w:tcPr>
            <w:tcW w:w="2474" w:type="pct"/>
            <w:noWrap/>
            <w:vAlign w:val="center"/>
          </w:tcPr>
          <w:p w14:paraId="4F067C6A">
            <w:pPr>
              <w:spacing w:line="240" w:lineRule="auto"/>
              <w:ind w:firstLine="0" w:firstLineChars="0"/>
              <w:jc w:val="center"/>
              <w:rPr>
                <w:bCs/>
                <w:color w:val="auto"/>
                <w:sz w:val="21"/>
                <w:szCs w:val="21"/>
              </w:rPr>
            </w:pPr>
            <w:r>
              <w:rPr>
                <w:bCs/>
                <w:color w:val="auto"/>
                <w:sz w:val="21"/>
                <w:szCs w:val="21"/>
              </w:rPr>
              <w:t>泄漏孔径为10mm孔径</w:t>
            </w:r>
          </w:p>
        </w:tc>
        <w:tc>
          <w:tcPr>
            <w:tcW w:w="1162" w:type="pct"/>
            <w:noWrap/>
            <w:vAlign w:val="center"/>
          </w:tcPr>
          <w:p w14:paraId="46DFC4C0">
            <w:pPr>
              <w:spacing w:line="240" w:lineRule="auto"/>
              <w:ind w:firstLine="0" w:firstLineChars="0"/>
              <w:jc w:val="center"/>
              <w:rPr>
                <w:bCs/>
                <w:color w:val="auto"/>
                <w:sz w:val="21"/>
                <w:szCs w:val="21"/>
              </w:rPr>
            </w:pPr>
            <w:r>
              <w:rPr>
                <w:bCs/>
                <w:color w:val="auto"/>
                <w:sz w:val="21"/>
                <w:szCs w:val="21"/>
              </w:rPr>
              <w:t>1.00×10</w:t>
            </w:r>
            <w:r>
              <w:rPr>
                <w:bCs/>
                <w:color w:val="auto"/>
                <w:sz w:val="21"/>
                <w:szCs w:val="21"/>
                <w:vertAlign w:val="superscript"/>
              </w:rPr>
              <w:t>-4</w:t>
            </w:r>
            <w:r>
              <w:rPr>
                <w:bCs/>
                <w:color w:val="auto"/>
                <w:sz w:val="21"/>
                <w:szCs w:val="21"/>
              </w:rPr>
              <w:t>/a</w:t>
            </w:r>
          </w:p>
        </w:tc>
      </w:tr>
      <w:tr w14:paraId="03FB3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3CA5B500">
            <w:pPr>
              <w:spacing w:line="240" w:lineRule="auto"/>
              <w:ind w:firstLine="0" w:firstLineChars="0"/>
              <w:jc w:val="center"/>
              <w:rPr>
                <w:bCs/>
                <w:color w:val="auto"/>
                <w:sz w:val="21"/>
                <w:szCs w:val="21"/>
              </w:rPr>
            </w:pPr>
          </w:p>
        </w:tc>
        <w:tc>
          <w:tcPr>
            <w:tcW w:w="2474" w:type="pct"/>
            <w:noWrap/>
            <w:vAlign w:val="center"/>
          </w:tcPr>
          <w:p w14:paraId="3C1DA39B">
            <w:pPr>
              <w:spacing w:line="240" w:lineRule="auto"/>
              <w:ind w:firstLine="0" w:firstLineChars="0"/>
              <w:jc w:val="center"/>
              <w:rPr>
                <w:bCs/>
                <w:color w:val="auto"/>
                <w:sz w:val="21"/>
                <w:szCs w:val="21"/>
              </w:rPr>
            </w:pPr>
            <w:r>
              <w:rPr>
                <w:bCs/>
                <w:color w:val="auto"/>
                <w:sz w:val="21"/>
                <w:szCs w:val="21"/>
              </w:rPr>
              <w:t>10min内储罐泄漏完</w:t>
            </w:r>
          </w:p>
        </w:tc>
        <w:tc>
          <w:tcPr>
            <w:tcW w:w="1162" w:type="pct"/>
            <w:noWrap/>
            <w:vAlign w:val="center"/>
          </w:tcPr>
          <w:p w14:paraId="581A4CA5">
            <w:pPr>
              <w:spacing w:line="240" w:lineRule="auto"/>
              <w:ind w:firstLine="0" w:firstLineChars="0"/>
              <w:jc w:val="center"/>
              <w:rPr>
                <w:bCs/>
                <w:color w:val="auto"/>
                <w:sz w:val="21"/>
                <w:szCs w:val="21"/>
              </w:rPr>
            </w:pPr>
            <w:r>
              <w:rPr>
                <w:bCs/>
                <w:color w:val="auto"/>
                <w:sz w:val="21"/>
                <w:szCs w:val="21"/>
              </w:rPr>
              <w:t>5.00×10</w:t>
            </w:r>
            <w:r>
              <w:rPr>
                <w:bCs/>
                <w:color w:val="auto"/>
                <w:sz w:val="21"/>
                <w:szCs w:val="21"/>
                <w:vertAlign w:val="superscript"/>
              </w:rPr>
              <w:t>-6</w:t>
            </w:r>
            <w:r>
              <w:rPr>
                <w:bCs/>
                <w:color w:val="auto"/>
                <w:sz w:val="21"/>
                <w:szCs w:val="21"/>
              </w:rPr>
              <w:t>/a</w:t>
            </w:r>
          </w:p>
        </w:tc>
      </w:tr>
      <w:tr w14:paraId="1EB4A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58CEE186">
            <w:pPr>
              <w:spacing w:line="240" w:lineRule="auto"/>
              <w:ind w:firstLine="0" w:firstLineChars="0"/>
              <w:jc w:val="center"/>
              <w:rPr>
                <w:bCs/>
                <w:color w:val="auto"/>
                <w:sz w:val="21"/>
                <w:szCs w:val="21"/>
              </w:rPr>
            </w:pPr>
          </w:p>
        </w:tc>
        <w:tc>
          <w:tcPr>
            <w:tcW w:w="2474" w:type="pct"/>
            <w:noWrap/>
            <w:vAlign w:val="center"/>
          </w:tcPr>
          <w:p w14:paraId="13AEA767">
            <w:pPr>
              <w:spacing w:line="240" w:lineRule="auto"/>
              <w:ind w:firstLine="0" w:firstLineChars="0"/>
              <w:jc w:val="center"/>
              <w:rPr>
                <w:bCs/>
                <w:color w:val="auto"/>
                <w:sz w:val="21"/>
                <w:szCs w:val="21"/>
              </w:rPr>
            </w:pPr>
            <w:r>
              <w:rPr>
                <w:bCs/>
                <w:color w:val="auto"/>
                <w:sz w:val="21"/>
                <w:szCs w:val="21"/>
              </w:rPr>
              <w:t>储罐全破裂</w:t>
            </w:r>
          </w:p>
        </w:tc>
        <w:tc>
          <w:tcPr>
            <w:tcW w:w="1162" w:type="pct"/>
            <w:noWrap/>
            <w:vAlign w:val="center"/>
          </w:tcPr>
          <w:p w14:paraId="2E58C61A">
            <w:pPr>
              <w:spacing w:line="240" w:lineRule="auto"/>
              <w:ind w:firstLine="0" w:firstLineChars="0"/>
              <w:jc w:val="center"/>
              <w:rPr>
                <w:bCs/>
                <w:color w:val="auto"/>
                <w:sz w:val="21"/>
                <w:szCs w:val="21"/>
              </w:rPr>
            </w:pPr>
            <w:r>
              <w:rPr>
                <w:bCs/>
                <w:color w:val="auto"/>
                <w:sz w:val="21"/>
                <w:szCs w:val="21"/>
              </w:rPr>
              <w:t>5.00×10</w:t>
            </w:r>
            <w:r>
              <w:rPr>
                <w:bCs/>
                <w:color w:val="auto"/>
                <w:sz w:val="21"/>
                <w:szCs w:val="21"/>
                <w:vertAlign w:val="superscript"/>
              </w:rPr>
              <w:t>-6</w:t>
            </w:r>
            <w:r>
              <w:rPr>
                <w:bCs/>
                <w:color w:val="auto"/>
                <w:sz w:val="21"/>
                <w:szCs w:val="21"/>
              </w:rPr>
              <w:t>/a</w:t>
            </w:r>
          </w:p>
        </w:tc>
      </w:tr>
      <w:tr w14:paraId="29E18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restart"/>
            <w:noWrap/>
            <w:vAlign w:val="center"/>
          </w:tcPr>
          <w:p w14:paraId="13D0420C">
            <w:pPr>
              <w:spacing w:line="240" w:lineRule="auto"/>
              <w:ind w:firstLine="0" w:firstLineChars="0"/>
              <w:jc w:val="center"/>
              <w:rPr>
                <w:bCs/>
                <w:color w:val="auto"/>
                <w:sz w:val="21"/>
                <w:szCs w:val="21"/>
              </w:rPr>
            </w:pPr>
            <w:r>
              <w:rPr>
                <w:bCs/>
                <w:color w:val="auto"/>
                <w:sz w:val="21"/>
                <w:szCs w:val="21"/>
              </w:rPr>
              <w:t>常压双包容储罐</w:t>
            </w:r>
          </w:p>
        </w:tc>
        <w:tc>
          <w:tcPr>
            <w:tcW w:w="2474" w:type="pct"/>
            <w:noWrap/>
            <w:vAlign w:val="center"/>
          </w:tcPr>
          <w:p w14:paraId="378293FC">
            <w:pPr>
              <w:spacing w:line="240" w:lineRule="auto"/>
              <w:ind w:firstLine="0" w:firstLineChars="0"/>
              <w:jc w:val="center"/>
              <w:rPr>
                <w:bCs/>
                <w:color w:val="auto"/>
                <w:sz w:val="21"/>
                <w:szCs w:val="21"/>
              </w:rPr>
            </w:pPr>
            <w:r>
              <w:rPr>
                <w:bCs/>
                <w:color w:val="auto"/>
                <w:sz w:val="21"/>
                <w:szCs w:val="21"/>
              </w:rPr>
              <w:t>泄漏孔径为10mm孔径</w:t>
            </w:r>
          </w:p>
        </w:tc>
        <w:tc>
          <w:tcPr>
            <w:tcW w:w="1162" w:type="pct"/>
            <w:noWrap/>
            <w:vAlign w:val="center"/>
          </w:tcPr>
          <w:p w14:paraId="27740B48">
            <w:pPr>
              <w:spacing w:line="240" w:lineRule="auto"/>
              <w:ind w:firstLine="0" w:firstLineChars="0"/>
              <w:jc w:val="center"/>
              <w:rPr>
                <w:bCs/>
                <w:color w:val="auto"/>
                <w:sz w:val="21"/>
                <w:szCs w:val="21"/>
              </w:rPr>
            </w:pPr>
            <w:r>
              <w:rPr>
                <w:bCs/>
                <w:color w:val="auto"/>
                <w:sz w:val="21"/>
                <w:szCs w:val="21"/>
              </w:rPr>
              <w:t>1.00×10-4/a</w:t>
            </w:r>
          </w:p>
        </w:tc>
      </w:tr>
      <w:tr w14:paraId="3A06C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4D54238B">
            <w:pPr>
              <w:spacing w:line="240" w:lineRule="auto"/>
              <w:ind w:firstLine="0" w:firstLineChars="0"/>
              <w:jc w:val="center"/>
              <w:rPr>
                <w:bCs/>
                <w:color w:val="auto"/>
                <w:sz w:val="21"/>
                <w:szCs w:val="21"/>
              </w:rPr>
            </w:pPr>
          </w:p>
        </w:tc>
        <w:tc>
          <w:tcPr>
            <w:tcW w:w="2474" w:type="pct"/>
            <w:noWrap/>
            <w:vAlign w:val="center"/>
          </w:tcPr>
          <w:p w14:paraId="2FE47C31">
            <w:pPr>
              <w:spacing w:line="240" w:lineRule="auto"/>
              <w:ind w:firstLine="0" w:firstLineChars="0"/>
              <w:jc w:val="center"/>
              <w:rPr>
                <w:bCs/>
                <w:color w:val="auto"/>
                <w:sz w:val="21"/>
                <w:szCs w:val="21"/>
              </w:rPr>
            </w:pPr>
            <w:r>
              <w:rPr>
                <w:bCs/>
                <w:color w:val="auto"/>
                <w:sz w:val="21"/>
                <w:szCs w:val="21"/>
              </w:rPr>
              <w:t>10min内储罐泄漏完</w:t>
            </w:r>
          </w:p>
        </w:tc>
        <w:tc>
          <w:tcPr>
            <w:tcW w:w="1162" w:type="pct"/>
            <w:noWrap/>
            <w:vAlign w:val="center"/>
          </w:tcPr>
          <w:p w14:paraId="6B7D1E78">
            <w:pPr>
              <w:spacing w:line="240" w:lineRule="auto"/>
              <w:ind w:firstLine="0" w:firstLineChars="0"/>
              <w:jc w:val="center"/>
              <w:rPr>
                <w:bCs/>
                <w:color w:val="auto"/>
                <w:sz w:val="21"/>
                <w:szCs w:val="21"/>
              </w:rPr>
            </w:pPr>
            <w:r>
              <w:rPr>
                <w:bCs/>
                <w:color w:val="auto"/>
                <w:sz w:val="21"/>
                <w:szCs w:val="21"/>
              </w:rPr>
              <w:t>1.25×10</w:t>
            </w:r>
            <w:r>
              <w:rPr>
                <w:bCs/>
                <w:color w:val="auto"/>
                <w:sz w:val="21"/>
                <w:szCs w:val="21"/>
                <w:vertAlign w:val="superscript"/>
              </w:rPr>
              <w:t>-8</w:t>
            </w:r>
            <w:r>
              <w:rPr>
                <w:bCs/>
                <w:color w:val="auto"/>
                <w:sz w:val="21"/>
                <w:szCs w:val="21"/>
              </w:rPr>
              <w:t>/a</w:t>
            </w:r>
          </w:p>
        </w:tc>
      </w:tr>
      <w:tr w14:paraId="43765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309BF446">
            <w:pPr>
              <w:spacing w:line="240" w:lineRule="auto"/>
              <w:ind w:firstLine="0" w:firstLineChars="0"/>
              <w:jc w:val="center"/>
              <w:rPr>
                <w:bCs/>
                <w:color w:val="auto"/>
                <w:sz w:val="21"/>
                <w:szCs w:val="21"/>
              </w:rPr>
            </w:pPr>
          </w:p>
        </w:tc>
        <w:tc>
          <w:tcPr>
            <w:tcW w:w="2474" w:type="pct"/>
            <w:noWrap/>
            <w:vAlign w:val="center"/>
          </w:tcPr>
          <w:p w14:paraId="69F6FB31">
            <w:pPr>
              <w:spacing w:line="240" w:lineRule="auto"/>
              <w:ind w:firstLine="0" w:firstLineChars="0"/>
              <w:jc w:val="center"/>
              <w:rPr>
                <w:bCs/>
                <w:color w:val="auto"/>
                <w:sz w:val="21"/>
                <w:szCs w:val="21"/>
              </w:rPr>
            </w:pPr>
            <w:r>
              <w:rPr>
                <w:bCs/>
                <w:color w:val="auto"/>
                <w:sz w:val="21"/>
                <w:szCs w:val="21"/>
              </w:rPr>
              <w:t>储罐全破裂</w:t>
            </w:r>
          </w:p>
        </w:tc>
        <w:tc>
          <w:tcPr>
            <w:tcW w:w="1162" w:type="pct"/>
            <w:noWrap/>
            <w:vAlign w:val="center"/>
          </w:tcPr>
          <w:p w14:paraId="430F77DE">
            <w:pPr>
              <w:spacing w:line="240" w:lineRule="auto"/>
              <w:ind w:firstLine="0" w:firstLineChars="0"/>
              <w:jc w:val="center"/>
              <w:rPr>
                <w:bCs/>
                <w:color w:val="auto"/>
                <w:sz w:val="21"/>
                <w:szCs w:val="21"/>
              </w:rPr>
            </w:pPr>
            <w:r>
              <w:rPr>
                <w:bCs/>
                <w:color w:val="auto"/>
                <w:sz w:val="21"/>
                <w:szCs w:val="21"/>
              </w:rPr>
              <w:t>1.25×10</w:t>
            </w:r>
            <w:r>
              <w:rPr>
                <w:bCs/>
                <w:color w:val="auto"/>
                <w:sz w:val="21"/>
                <w:szCs w:val="21"/>
                <w:vertAlign w:val="superscript"/>
              </w:rPr>
              <w:t>-8</w:t>
            </w:r>
            <w:r>
              <w:rPr>
                <w:bCs/>
                <w:color w:val="auto"/>
                <w:sz w:val="21"/>
                <w:szCs w:val="21"/>
              </w:rPr>
              <w:t>/a</w:t>
            </w:r>
          </w:p>
        </w:tc>
      </w:tr>
      <w:tr w14:paraId="3CDDE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noWrap/>
            <w:vAlign w:val="center"/>
          </w:tcPr>
          <w:p w14:paraId="2EE0BBBF">
            <w:pPr>
              <w:spacing w:line="240" w:lineRule="auto"/>
              <w:ind w:firstLine="0" w:firstLineChars="0"/>
              <w:jc w:val="center"/>
              <w:rPr>
                <w:bCs/>
                <w:color w:val="auto"/>
                <w:sz w:val="21"/>
                <w:szCs w:val="21"/>
              </w:rPr>
            </w:pPr>
            <w:r>
              <w:rPr>
                <w:bCs/>
                <w:color w:val="auto"/>
                <w:sz w:val="21"/>
                <w:szCs w:val="21"/>
              </w:rPr>
              <w:t>常压全包容储罐</w:t>
            </w:r>
          </w:p>
        </w:tc>
        <w:tc>
          <w:tcPr>
            <w:tcW w:w="2474" w:type="pct"/>
            <w:noWrap/>
            <w:vAlign w:val="center"/>
          </w:tcPr>
          <w:p w14:paraId="7E8F5DA8">
            <w:pPr>
              <w:spacing w:line="240" w:lineRule="auto"/>
              <w:ind w:firstLine="0" w:firstLineChars="0"/>
              <w:jc w:val="center"/>
              <w:rPr>
                <w:bCs/>
                <w:color w:val="auto"/>
                <w:sz w:val="21"/>
                <w:szCs w:val="21"/>
              </w:rPr>
            </w:pPr>
            <w:r>
              <w:rPr>
                <w:bCs/>
                <w:color w:val="auto"/>
                <w:sz w:val="21"/>
                <w:szCs w:val="21"/>
              </w:rPr>
              <w:t>储罐全破裂</w:t>
            </w:r>
          </w:p>
        </w:tc>
        <w:tc>
          <w:tcPr>
            <w:tcW w:w="1162" w:type="pct"/>
            <w:noWrap/>
            <w:vAlign w:val="center"/>
          </w:tcPr>
          <w:p w14:paraId="5D08FCFA">
            <w:pPr>
              <w:spacing w:line="240" w:lineRule="auto"/>
              <w:ind w:firstLine="0" w:firstLineChars="0"/>
              <w:jc w:val="center"/>
              <w:rPr>
                <w:bCs/>
                <w:color w:val="auto"/>
                <w:sz w:val="21"/>
                <w:szCs w:val="21"/>
              </w:rPr>
            </w:pPr>
            <w:r>
              <w:rPr>
                <w:bCs/>
                <w:color w:val="auto"/>
                <w:sz w:val="21"/>
                <w:szCs w:val="21"/>
              </w:rPr>
              <w:t>1.00×10</w:t>
            </w:r>
            <w:r>
              <w:rPr>
                <w:bCs/>
                <w:color w:val="auto"/>
                <w:sz w:val="21"/>
                <w:szCs w:val="21"/>
                <w:vertAlign w:val="superscript"/>
              </w:rPr>
              <w:t>-8</w:t>
            </w:r>
            <w:r>
              <w:rPr>
                <w:bCs/>
                <w:color w:val="auto"/>
                <w:sz w:val="21"/>
                <w:szCs w:val="21"/>
              </w:rPr>
              <w:t>/a</w:t>
            </w:r>
          </w:p>
        </w:tc>
      </w:tr>
      <w:tr w14:paraId="26D85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restart"/>
            <w:noWrap/>
            <w:vAlign w:val="center"/>
          </w:tcPr>
          <w:p w14:paraId="27304804">
            <w:pPr>
              <w:spacing w:line="240" w:lineRule="auto"/>
              <w:ind w:firstLine="0" w:firstLineChars="0"/>
              <w:jc w:val="center"/>
              <w:rPr>
                <w:bCs/>
                <w:color w:val="auto"/>
                <w:sz w:val="21"/>
                <w:szCs w:val="21"/>
              </w:rPr>
            </w:pPr>
            <w:r>
              <w:rPr>
                <w:bCs/>
                <w:color w:val="auto"/>
                <w:sz w:val="21"/>
                <w:szCs w:val="21"/>
              </w:rPr>
              <w:t>内径≤75mm的管道</w:t>
            </w:r>
          </w:p>
        </w:tc>
        <w:tc>
          <w:tcPr>
            <w:tcW w:w="2474" w:type="pct"/>
            <w:noWrap/>
            <w:vAlign w:val="center"/>
          </w:tcPr>
          <w:p w14:paraId="024786EA">
            <w:pPr>
              <w:spacing w:line="240" w:lineRule="auto"/>
              <w:ind w:firstLine="0" w:firstLineChars="0"/>
              <w:jc w:val="center"/>
              <w:rPr>
                <w:bCs/>
                <w:color w:val="auto"/>
                <w:sz w:val="21"/>
                <w:szCs w:val="21"/>
              </w:rPr>
            </w:pPr>
            <w:r>
              <w:rPr>
                <w:bCs/>
                <w:color w:val="auto"/>
                <w:sz w:val="21"/>
                <w:szCs w:val="21"/>
              </w:rPr>
              <w:t>泄漏孔径为10%孔径</w:t>
            </w:r>
          </w:p>
        </w:tc>
        <w:tc>
          <w:tcPr>
            <w:tcW w:w="1162" w:type="pct"/>
            <w:noWrap/>
            <w:vAlign w:val="center"/>
          </w:tcPr>
          <w:p w14:paraId="0D0F8119">
            <w:pPr>
              <w:spacing w:line="240" w:lineRule="auto"/>
              <w:ind w:firstLine="0" w:firstLineChars="0"/>
              <w:jc w:val="center"/>
              <w:rPr>
                <w:bCs/>
                <w:color w:val="auto"/>
                <w:sz w:val="21"/>
                <w:szCs w:val="21"/>
              </w:rPr>
            </w:pPr>
            <w:r>
              <w:rPr>
                <w:bCs/>
                <w:color w:val="auto"/>
                <w:sz w:val="21"/>
                <w:szCs w:val="21"/>
              </w:rPr>
              <w:t>5.00×10</w:t>
            </w:r>
            <w:r>
              <w:rPr>
                <w:bCs/>
                <w:color w:val="auto"/>
                <w:sz w:val="21"/>
                <w:szCs w:val="21"/>
                <w:vertAlign w:val="superscript"/>
              </w:rPr>
              <w:t>-6</w:t>
            </w:r>
            <w:r>
              <w:rPr>
                <w:bCs/>
                <w:color w:val="auto"/>
                <w:sz w:val="21"/>
                <w:szCs w:val="21"/>
              </w:rPr>
              <w:t>/(m·a)</w:t>
            </w:r>
          </w:p>
        </w:tc>
      </w:tr>
      <w:tr w14:paraId="70CDD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54A1BBE8">
            <w:pPr>
              <w:spacing w:line="240" w:lineRule="auto"/>
              <w:ind w:firstLine="0" w:firstLineChars="0"/>
              <w:jc w:val="center"/>
              <w:rPr>
                <w:bCs/>
                <w:color w:val="auto"/>
                <w:sz w:val="21"/>
                <w:szCs w:val="21"/>
              </w:rPr>
            </w:pPr>
          </w:p>
        </w:tc>
        <w:tc>
          <w:tcPr>
            <w:tcW w:w="2474" w:type="pct"/>
            <w:noWrap/>
            <w:vAlign w:val="center"/>
          </w:tcPr>
          <w:p w14:paraId="5BB28BE2">
            <w:pPr>
              <w:spacing w:line="240" w:lineRule="auto"/>
              <w:ind w:firstLine="0" w:firstLineChars="0"/>
              <w:jc w:val="center"/>
              <w:rPr>
                <w:bCs/>
                <w:color w:val="auto"/>
                <w:sz w:val="21"/>
                <w:szCs w:val="21"/>
              </w:rPr>
            </w:pPr>
            <w:r>
              <w:rPr>
                <w:bCs/>
                <w:color w:val="auto"/>
                <w:sz w:val="21"/>
                <w:szCs w:val="21"/>
              </w:rPr>
              <w:t>全管径泄漏</w:t>
            </w:r>
          </w:p>
        </w:tc>
        <w:tc>
          <w:tcPr>
            <w:tcW w:w="1162" w:type="pct"/>
            <w:noWrap/>
            <w:vAlign w:val="center"/>
          </w:tcPr>
          <w:p w14:paraId="6BAD421A">
            <w:pPr>
              <w:spacing w:line="240" w:lineRule="auto"/>
              <w:ind w:firstLine="0" w:firstLineChars="0"/>
              <w:jc w:val="center"/>
              <w:rPr>
                <w:bCs/>
                <w:color w:val="auto"/>
                <w:sz w:val="21"/>
                <w:szCs w:val="21"/>
              </w:rPr>
            </w:pPr>
            <w:r>
              <w:rPr>
                <w:bCs/>
                <w:color w:val="auto"/>
                <w:sz w:val="21"/>
                <w:szCs w:val="21"/>
              </w:rPr>
              <w:t>1.00×10</w:t>
            </w:r>
            <w:r>
              <w:rPr>
                <w:bCs/>
                <w:color w:val="auto"/>
                <w:sz w:val="21"/>
                <w:szCs w:val="21"/>
                <w:vertAlign w:val="superscript"/>
              </w:rPr>
              <w:t>-6</w:t>
            </w:r>
            <w:r>
              <w:rPr>
                <w:bCs/>
                <w:color w:val="auto"/>
                <w:sz w:val="21"/>
                <w:szCs w:val="21"/>
              </w:rPr>
              <w:t>/(m·a)</w:t>
            </w:r>
          </w:p>
        </w:tc>
      </w:tr>
      <w:tr w14:paraId="5EF67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restart"/>
            <w:noWrap/>
            <w:vAlign w:val="center"/>
          </w:tcPr>
          <w:p w14:paraId="242F3EE2">
            <w:pPr>
              <w:spacing w:line="240" w:lineRule="auto"/>
              <w:ind w:firstLine="0" w:firstLineChars="0"/>
              <w:jc w:val="center"/>
              <w:rPr>
                <w:bCs/>
                <w:color w:val="auto"/>
                <w:sz w:val="21"/>
                <w:szCs w:val="21"/>
              </w:rPr>
            </w:pPr>
            <w:r>
              <w:rPr>
                <w:bCs/>
                <w:color w:val="auto"/>
                <w:sz w:val="21"/>
                <w:szCs w:val="21"/>
              </w:rPr>
              <w:t>75mm&lt;内径≤150mm的管道</w:t>
            </w:r>
          </w:p>
        </w:tc>
        <w:tc>
          <w:tcPr>
            <w:tcW w:w="2474" w:type="pct"/>
            <w:noWrap/>
            <w:vAlign w:val="center"/>
          </w:tcPr>
          <w:p w14:paraId="438C2477">
            <w:pPr>
              <w:spacing w:line="240" w:lineRule="auto"/>
              <w:ind w:firstLine="0" w:firstLineChars="0"/>
              <w:jc w:val="center"/>
              <w:rPr>
                <w:bCs/>
                <w:color w:val="auto"/>
                <w:sz w:val="21"/>
                <w:szCs w:val="21"/>
              </w:rPr>
            </w:pPr>
            <w:r>
              <w:rPr>
                <w:bCs/>
                <w:color w:val="auto"/>
                <w:sz w:val="21"/>
                <w:szCs w:val="21"/>
              </w:rPr>
              <w:t>泄漏孔径为10%孔径</w:t>
            </w:r>
          </w:p>
        </w:tc>
        <w:tc>
          <w:tcPr>
            <w:tcW w:w="1162" w:type="pct"/>
            <w:noWrap/>
            <w:vAlign w:val="center"/>
          </w:tcPr>
          <w:p w14:paraId="725FC431">
            <w:pPr>
              <w:spacing w:line="240" w:lineRule="auto"/>
              <w:ind w:firstLine="0" w:firstLineChars="0"/>
              <w:jc w:val="center"/>
              <w:rPr>
                <w:bCs/>
                <w:color w:val="auto"/>
                <w:sz w:val="21"/>
                <w:szCs w:val="21"/>
              </w:rPr>
            </w:pPr>
            <w:r>
              <w:rPr>
                <w:bCs/>
                <w:color w:val="auto"/>
                <w:sz w:val="21"/>
                <w:szCs w:val="21"/>
              </w:rPr>
              <w:t>2.00×10</w:t>
            </w:r>
            <w:r>
              <w:rPr>
                <w:bCs/>
                <w:color w:val="auto"/>
                <w:sz w:val="21"/>
                <w:szCs w:val="21"/>
                <w:vertAlign w:val="superscript"/>
              </w:rPr>
              <w:t>-6</w:t>
            </w:r>
            <w:r>
              <w:rPr>
                <w:bCs/>
                <w:color w:val="auto"/>
                <w:sz w:val="21"/>
                <w:szCs w:val="21"/>
              </w:rPr>
              <w:t>/(m·a)</w:t>
            </w:r>
          </w:p>
        </w:tc>
      </w:tr>
      <w:tr w14:paraId="7CCB0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30973471">
            <w:pPr>
              <w:spacing w:line="240" w:lineRule="auto"/>
              <w:ind w:firstLine="0" w:firstLineChars="0"/>
              <w:jc w:val="center"/>
              <w:rPr>
                <w:bCs/>
                <w:color w:val="auto"/>
                <w:sz w:val="21"/>
                <w:szCs w:val="21"/>
              </w:rPr>
            </w:pPr>
          </w:p>
        </w:tc>
        <w:tc>
          <w:tcPr>
            <w:tcW w:w="2474" w:type="pct"/>
            <w:noWrap/>
            <w:vAlign w:val="center"/>
          </w:tcPr>
          <w:p w14:paraId="33C3ADDD">
            <w:pPr>
              <w:spacing w:line="240" w:lineRule="auto"/>
              <w:ind w:firstLine="0" w:firstLineChars="0"/>
              <w:jc w:val="center"/>
              <w:rPr>
                <w:bCs/>
                <w:color w:val="auto"/>
                <w:sz w:val="21"/>
                <w:szCs w:val="21"/>
              </w:rPr>
            </w:pPr>
            <w:r>
              <w:rPr>
                <w:bCs/>
                <w:color w:val="auto"/>
                <w:sz w:val="21"/>
                <w:szCs w:val="21"/>
              </w:rPr>
              <w:t>全管径泄漏</w:t>
            </w:r>
          </w:p>
        </w:tc>
        <w:tc>
          <w:tcPr>
            <w:tcW w:w="1162" w:type="pct"/>
            <w:noWrap/>
            <w:vAlign w:val="center"/>
          </w:tcPr>
          <w:p w14:paraId="74F1D6D1">
            <w:pPr>
              <w:spacing w:line="240" w:lineRule="auto"/>
              <w:ind w:firstLine="0" w:firstLineChars="0"/>
              <w:jc w:val="center"/>
              <w:rPr>
                <w:bCs/>
                <w:color w:val="auto"/>
                <w:sz w:val="21"/>
                <w:szCs w:val="21"/>
              </w:rPr>
            </w:pPr>
            <w:r>
              <w:rPr>
                <w:bCs/>
                <w:color w:val="auto"/>
                <w:sz w:val="21"/>
                <w:szCs w:val="21"/>
              </w:rPr>
              <w:t>3.00×10</w:t>
            </w:r>
            <w:r>
              <w:rPr>
                <w:bCs/>
                <w:color w:val="auto"/>
                <w:sz w:val="21"/>
                <w:szCs w:val="21"/>
                <w:vertAlign w:val="superscript"/>
              </w:rPr>
              <w:t>-7</w:t>
            </w:r>
            <w:r>
              <w:rPr>
                <w:bCs/>
                <w:color w:val="auto"/>
                <w:sz w:val="21"/>
                <w:szCs w:val="21"/>
              </w:rPr>
              <w:t>/(m·a)</w:t>
            </w:r>
          </w:p>
        </w:tc>
      </w:tr>
      <w:tr w14:paraId="6DC8F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restart"/>
            <w:noWrap/>
            <w:vAlign w:val="center"/>
          </w:tcPr>
          <w:p w14:paraId="12DDCED8">
            <w:pPr>
              <w:spacing w:line="240" w:lineRule="auto"/>
              <w:ind w:firstLine="0" w:firstLineChars="0"/>
              <w:jc w:val="center"/>
              <w:rPr>
                <w:bCs/>
                <w:color w:val="auto"/>
                <w:sz w:val="21"/>
                <w:szCs w:val="21"/>
              </w:rPr>
            </w:pPr>
            <w:r>
              <w:rPr>
                <w:bCs/>
                <w:color w:val="auto"/>
                <w:sz w:val="21"/>
                <w:szCs w:val="21"/>
              </w:rPr>
              <w:t>内径&gt;150mm的管道</w:t>
            </w:r>
          </w:p>
        </w:tc>
        <w:tc>
          <w:tcPr>
            <w:tcW w:w="2474" w:type="pct"/>
            <w:noWrap/>
            <w:vAlign w:val="center"/>
          </w:tcPr>
          <w:p w14:paraId="6254E073">
            <w:pPr>
              <w:spacing w:line="240" w:lineRule="auto"/>
              <w:ind w:firstLine="0" w:firstLineChars="0"/>
              <w:jc w:val="center"/>
              <w:rPr>
                <w:bCs/>
                <w:color w:val="auto"/>
                <w:sz w:val="21"/>
                <w:szCs w:val="21"/>
              </w:rPr>
            </w:pPr>
            <w:r>
              <w:rPr>
                <w:bCs/>
                <w:color w:val="auto"/>
                <w:sz w:val="21"/>
                <w:szCs w:val="21"/>
              </w:rPr>
              <w:t>泄漏孔径为10%孔径(最大50mm)</w:t>
            </w:r>
          </w:p>
        </w:tc>
        <w:tc>
          <w:tcPr>
            <w:tcW w:w="1162" w:type="pct"/>
            <w:noWrap/>
            <w:vAlign w:val="center"/>
          </w:tcPr>
          <w:p w14:paraId="6D338D84">
            <w:pPr>
              <w:spacing w:line="240" w:lineRule="auto"/>
              <w:ind w:firstLine="0" w:firstLineChars="0"/>
              <w:jc w:val="center"/>
              <w:rPr>
                <w:bCs/>
                <w:color w:val="auto"/>
                <w:sz w:val="21"/>
                <w:szCs w:val="21"/>
              </w:rPr>
            </w:pPr>
            <w:r>
              <w:rPr>
                <w:bCs/>
                <w:color w:val="auto"/>
                <w:sz w:val="21"/>
                <w:szCs w:val="21"/>
              </w:rPr>
              <w:t>2.40×10</w:t>
            </w:r>
            <w:r>
              <w:rPr>
                <w:bCs/>
                <w:color w:val="auto"/>
                <w:sz w:val="21"/>
                <w:szCs w:val="21"/>
                <w:vertAlign w:val="superscript"/>
              </w:rPr>
              <w:t>-6</w:t>
            </w:r>
            <w:r>
              <w:rPr>
                <w:bCs/>
                <w:color w:val="auto"/>
                <w:sz w:val="21"/>
                <w:szCs w:val="21"/>
              </w:rPr>
              <w:t>/(m·a)</w:t>
            </w:r>
          </w:p>
        </w:tc>
      </w:tr>
      <w:tr w14:paraId="78C3F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51B17F20">
            <w:pPr>
              <w:spacing w:line="240" w:lineRule="auto"/>
              <w:ind w:firstLine="0" w:firstLineChars="0"/>
              <w:jc w:val="center"/>
              <w:rPr>
                <w:bCs/>
                <w:color w:val="auto"/>
                <w:sz w:val="21"/>
                <w:szCs w:val="21"/>
              </w:rPr>
            </w:pPr>
          </w:p>
        </w:tc>
        <w:tc>
          <w:tcPr>
            <w:tcW w:w="2474" w:type="pct"/>
            <w:noWrap/>
            <w:vAlign w:val="center"/>
          </w:tcPr>
          <w:p w14:paraId="2166C851">
            <w:pPr>
              <w:spacing w:line="240" w:lineRule="auto"/>
              <w:ind w:firstLine="0" w:firstLineChars="0"/>
              <w:jc w:val="center"/>
              <w:rPr>
                <w:bCs/>
                <w:color w:val="auto"/>
                <w:sz w:val="21"/>
                <w:szCs w:val="21"/>
              </w:rPr>
            </w:pPr>
            <w:r>
              <w:rPr>
                <w:bCs/>
                <w:color w:val="auto"/>
                <w:sz w:val="21"/>
                <w:szCs w:val="21"/>
              </w:rPr>
              <w:t>全管径泄漏</w:t>
            </w:r>
          </w:p>
        </w:tc>
        <w:tc>
          <w:tcPr>
            <w:tcW w:w="1162" w:type="pct"/>
            <w:noWrap/>
            <w:vAlign w:val="center"/>
          </w:tcPr>
          <w:p w14:paraId="7F1F8F28">
            <w:pPr>
              <w:spacing w:line="240" w:lineRule="auto"/>
              <w:ind w:firstLine="0" w:firstLineChars="0"/>
              <w:jc w:val="center"/>
              <w:rPr>
                <w:bCs/>
                <w:color w:val="auto"/>
                <w:sz w:val="21"/>
                <w:szCs w:val="21"/>
              </w:rPr>
            </w:pPr>
            <w:r>
              <w:rPr>
                <w:bCs/>
                <w:color w:val="auto"/>
                <w:sz w:val="21"/>
                <w:szCs w:val="21"/>
              </w:rPr>
              <w:t>1.00×10</w:t>
            </w:r>
            <w:r>
              <w:rPr>
                <w:bCs/>
                <w:color w:val="auto"/>
                <w:sz w:val="21"/>
                <w:szCs w:val="21"/>
                <w:vertAlign w:val="superscript"/>
              </w:rPr>
              <w:t>-7</w:t>
            </w:r>
            <w:r>
              <w:rPr>
                <w:bCs/>
                <w:color w:val="auto"/>
                <w:sz w:val="21"/>
                <w:szCs w:val="21"/>
              </w:rPr>
              <w:t>/(m·a)</w:t>
            </w:r>
          </w:p>
        </w:tc>
      </w:tr>
      <w:tr w14:paraId="66F98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restart"/>
            <w:noWrap/>
            <w:vAlign w:val="center"/>
          </w:tcPr>
          <w:p w14:paraId="11487D99">
            <w:pPr>
              <w:spacing w:line="240" w:lineRule="auto"/>
              <w:ind w:firstLine="0" w:firstLineChars="0"/>
              <w:jc w:val="center"/>
              <w:rPr>
                <w:bCs/>
                <w:color w:val="auto"/>
                <w:sz w:val="21"/>
                <w:szCs w:val="21"/>
              </w:rPr>
            </w:pPr>
            <w:r>
              <w:rPr>
                <w:bCs/>
                <w:color w:val="auto"/>
                <w:sz w:val="21"/>
                <w:szCs w:val="21"/>
              </w:rPr>
              <w:t>泵体和压缩机</w:t>
            </w:r>
          </w:p>
        </w:tc>
        <w:tc>
          <w:tcPr>
            <w:tcW w:w="2474" w:type="pct"/>
            <w:noWrap/>
            <w:vAlign w:val="center"/>
          </w:tcPr>
          <w:p w14:paraId="25070A0F">
            <w:pPr>
              <w:spacing w:line="240" w:lineRule="auto"/>
              <w:ind w:firstLine="0" w:firstLineChars="0"/>
              <w:jc w:val="center"/>
              <w:rPr>
                <w:bCs/>
                <w:color w:val="auto"/>
                <w:sz w:val="21"/>
                <w:szCs w:val="21"/>
              </w:rPr>
            </w:pPr>
            <w:r>
              <w:rPr>
                <w:bCs/>
                <w:color w:val="auto"/>
                <w:sz w:val="21"/>
                <w:szCs w:val="21"/>
              </w:rPr>
              <w:t>泵体和压缩机最大连接管泄漏孔径为10%孔径(最大50mm)</w:t>
            </w:r>
          </w:p>
        </w:tc>
        <w:tc>
          <w:tcPr>
            <w:tcW w:w="1162" w:type="pct"/>
            <w:noWrap/>
            <w:vAlign w:val="center"/>
          </w:tcPr>
          <w:p w14:paraId="1A19B320">
            <w:pPr>
              <w:spacing w:line="240" w:lineRule="auto"/>
              <w:ind w:firstLine="0" w:firstLineChars="0"/>
              <w:jc w:val="center"/>
              <w:rPr>
                <w:bCs/>
                <w:color w:val="auto"/>
                <w:sz w:val="21"/>
                <w:szCs w:val="21"/>
              </w:rPr>
            </w:pPr>
            <w:r>
              <w:rPr>
                <w:bCs/>
                <w:color w:val="auto"/>
                <w:sz w:val="21"/>
                <w:szCs w:val="21"/>
              </w:rPr>
              <w:t>5.00×10</w:t>
            </w:r>
            <w:r>
              <w:rPr>
                <w:bCs/>
                <w:color w:val="auto"/>
                <w:sz w:val="21"/>
                <w:szCs w:val="21"/>
                <w:vertAlign w:val="superscript"/>
              </w:rPr>
              <w:t>-4</w:t>
            </w:r>
            <w:r>
              <w:rPr>
                <w:bCs/>
                <w:color w:val="auto"/>
                <w:sz w:val="21"/>
                <w:szCs w:val="21"/>
              </w:rPr>
              <w:t>/a</w:t>
            </w:r>
          </w:p>
        </w:tc>
      </w:tr>
      <w:tr w14:paraId="2F7A3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0D8925E6">
            <w:pPr>
              <w:spacing w:line="240" w:lineRule="auto"/>
              <w:ind w:firstLine="0" w:firstLineChars="0"/>
              <w:jc w:val="center"/>
              <w:rPr>
                <w:bCs/>
                <w:color w:val="auto"/>
                <w:sz w:val="21"/>
                <w:szCs w:val="21"/>
              </w:rPr>
            </w:pPr>
          </w:p>
        </w:tc>
        <w:tc>
          <w:tcPr>
            <w:tcW w:w="2474" w:type="pct"/>
            <w:noWrap/>
            <w:vAlign w:val="center"/>
          </w:tcPr>
          <w:p w14:paraId="617F8DF1">
            <w:pPr>
              <w:spacing w:line="240" w:lineRule="auto"/>
              <w:ind w:firstLine="0" w:firstLineChars="0"/>
              <w:jc w:val="center"/>
              <w:rPr>
                <w:bCs/>
                <w:color w:val="auto"/>
                <w:sz w:val="21"/>
                <w:szCs w:val="21"/>
              </w:rPr>
            </w:pPr>
            <w:r>
              <w:rPr>
                <w:bCs/>
                <w:color w:val="auto"/>
                <w:sz w:val="21"/>
                <w:szCs w:val="21"/>
              </w:rPr>
              <w:t>泵体和压缩机最大连接管全管径泄漏</w:t>
            </w:r>
          </w:p>
        </w:tc>
        <w:tc>
          <w:tcPr>
            <w:tcW w:w="1162" w:type="pct"/>
            <w:noWrap/>
            <w:vAlign w:val="center"/>
          </w:tcPr>
          <w:p w14:paraId="757548E3">
            <w:pPr>
              <w:spacing w:line="240" w:lineRule="auto"/>
              <w:ind w:firstLine="0" w:firstLineChars="0"/>
              <w:jc w:val="center"/>
              <w:rPr>
                <w:bCs/>
                <w:color w:val="auto"/>
                <w:sz w:val="21"/>
                <w:szCs w:val="21"/>
              </w:rPr>
            </w:pPr>
            <w:r>
              <w:rPr>
                <w:bCs/>
                <w:color w:val="auto"/>
                <w:sz w:val="21"/>
                <w:szCs w:val="21"/>
              </w:rPr>
              <w:t>1.00×10</w:t>
            </w:r>
            <w:r>
              <w:rPr>
                <w:bCs/>
                <w:color w:val="auto"/>
                <w:sz w:val="21"/>
                <w:szCs w:val="21"/>
                <w:vertAlign w:val="superscript"/>
              </w:rPr>
              <w:t>-4</w:t>
            </w:r>
            <w:r>
              <w:rPr>
                <w:bCs/>
                <w:color w:val="auto"/>
                <w:sz w:val="21"/>
                <w:szCs w:val="21"/>
              </w:rPr>
              <w:t>/a</w:t>
            </w:r>
          </w:p>
        </w:tc>
      </w:tr>
      <w:tr w14:paraId="7046F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restart"/>
            <w:noWrap/>
            <w:vAlign w:val="center"/>
          </w:tcPr>
          <w:p w14:paraId="7E1EA1B5">
            <w:pPr>
              <w:spacing w:line="240" w:lineRule="auto"/>
              <w:ind w:firstLine="0" w:firstLineChars="0"/>
              <w:jc w:val="center"/>
              <w:rPr>
                <w:bCs/>
                <w:color w:val="auto"/>
                <w:sz w:val="21"/>
                <w:szCs w:val="21"/>
              </w:rPr>
            </w:pPr>
            <w:r>
              <w:rPr>
                <w:bCs/>
                <w:color w:val="auto"/>
                <w:sz w:val="21"/>
                <w:szCs w:val="21"/>
              </w:rPr>
              <w:t>装卸臂</w:t>
            </w:r>
          </w:p>
        </w:tc>
        <w:tc>
          <w:tcPr>
            <w:tcW w:w="2474" w:type="pct"/>
            <w:noWrap/>
            <w:vAlign w:val="center"/>
          </w:tcPr>
          <w:p w14:paraId="782E9FBA">
            <w:pPr>
              <w:spacing w:line="240" w:lineRule="auto"/>
              <w:ind w:firstLine="0" w:firstLineChars="0"/>
              <w:jc w:val="center"/>
              <w:rPr>
                <w:bCs/>
                <w:color w:val="auto"/>
                <w:sz w:val="21"/>
                <w:szCs w:val="21"/>
              </w:rPr>
            </w:pPr>
            <w:r>
              <w:rPr>
                <w:bCs/>
                <w:color w:val="auto"/>
                <w:sz w:val="21"/>
                <w:szCs w:val="21"/>
              </w:rPr>
              <w:t>装卸臂连接管泄漏孔径为10%孔径(最大50mm)</w:t>
            </w:r>
          </w:p>
        </w:tc>
        <w:tc>
          <w:tcPr>
            <w:tcW w:w="1162" w:type="pct"/>
            <w:noWrap/>
            <w:vAlign w:val="center"/>
          </w:tcPr>
          <w:p w14:paraId="2FB28FE4">
            <w:pPr>
              <w:spacing w:line="240" w:lineRule="auto"/>
              <w:ind w:firstLine="0" w:firstLineChars="0"/>
              <w:jc w:val="center"/>
              <w:rPr>
                <w:bCs/>
                <w:color w:val="auto"/>
                <w:sz w:val="21"/>
                <w:szCs w:val="21"/>
              </w:rPr>
            </w:pPr>
            <w:r>
              <w:rPr>
                <w:bCs/>
                <w:color w:val="auto"/>
                <w:sz w:val="21"/>
                <w:szCs w:val="21"/>
              </w:rPr>
              <w:t>3.00×10</w:t>
            </w:r>
            <w:r>
              <w:rPr>
                <w:bCs/>
                <w:color w:val="auto"/>
                <w:sz w:val="21"/>
                <w:szCs w:val="21"/>
                <w:vertAlign w:val="superscript"/>
              </w:rPr>
              <w:t>-7</w:t>
            </w:r>
            <w:r>
              <w:rPr>
                <w:bCs/>
                <w:color w:val="auto"/>
                <w:sz w:val="21"/>
                <w:szCs w:val="21"/>
              </w:rPr>
              <w:t>/h</w:t>
            </w:r>
          </w:p>
        </w:tc>
      </w:tr>
      <w:tr w14:paraId="3C60B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6DAF2BC2">
            <w:pPr>
              <w:spacing w:line="240" w:lineRule="auto"/>
              <w:ind w:firstLine="0" w:firstLineChars="0"/>
              <w:jc w:val="center"/>
              <w:rPr>
                <w:bCs/>
                <w:color w:val="auto"/>
                <w:sz w:val="21"/>
                <w:szCs w:val="21"/>
              </w:rPr>
            </w:pPr>
          </w:p>
        </w:tc>
        <w:tc>
          <w:tcPr>
            <w:tcW w:w="2474" w:type="pct"/>
            <w:noWrap/>
            <w:vAlign w:val="center"/>
          </w:tcPr>
          <w:p w14:paraId="742E9068">
            <w:pPr>
              <w:spacing w:line="240" w:lineRule="auto"/>
              <w:ind w:firstLine="0" w:firstLineChars="0"/>
              <w:jc w:val="center"/>
              <w:rPr>
                <w:bCs/>
                <w:color w:val="auto"/>
                <w:sz w:val="21"/>
                <w:szCs w:val="21"/>
              </w:rPr>
            </w:pPr>
            <w:r>
              <w:rPr>
                <w:bCs/>
                <w:color w:val="auto"/>
                <w:sz w:val="21"/>
                <w:szCs w:val="21"/>
              </w:rPr>
              <w:t>装卸臂全管径泄漏</w:t>
            </w:r>
          </w:p>
        </w:tc>
        <w:tc>
          <w:tcPr>
            <w:tcW w:w="1162" w:type="pct"/>
            <w:noWrap/>
            <w:vAlign w:val="center"/>
          </w:tcPr>
          <w:p w14:paraId="3966EB61">
            <w:pPr>
              <w:spacing w:line="240" w:lineRule="auto"/>
              <w:ind w:firstLine="0" w:firstLineChars="0"/>
              <w:jc w:val="center"/>
              <w:rPr>
                <w:bCs/>
                <w:color w:val="auto"/>
                <w:sz w:val="21"/>
                <w:szCs w:val="21"/>
              </w:rPr>
            </w:pPr>
            <w:r>
              <w:rPr>
                <w:bCs/>
                <w:color w:val="auto"/>
                <w:sz w:val="21"/>
                <w:szCs w:val="21"/>
              </w:rPr>
              <w:t>3.00×10</w:t>
            </w:r>
            <w:r>
              <w:rPr>
                <w:bCs/>
                <w:color w:val="auto"/>
                <w:sz w:val="21"/>
                <w:szCs w:val="21"/>
                <w:vertAlign w:val="superscript"/>
              </w:rPr>
              <w:t>-8</w:t>
            </w:r>
            <w:r>
              <w:rPr>
                <w:bCs/>
                <w:color w:val="auto"/>
                <w:sz w:val="21"/>
                <w:szCs w:val="21"/>
              </w:rPr>
              <w:t>/h</w:t>
            </w:r>
          </w:p>
        </w:tc>
      </w:tr>
      <w:tr w14:paraId="432F9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restart"/>
            <w:noWrap/>
            <w:vAlign w:val="center"/>
          </w:tcPr>
          <w:p w14:paraId="663ED3BB">
            <w:pPr>
              <w:spacing w:line="240" w:lineRule="auto"/>
              <w:ind w:firstLine="0" w:firstLineChars="0"/>
              <w:jc w:val="center"/>
              <w:rPr>
                <w:bCs/>
                <w:color w:val="auto"/>
                <w:sz w:val="21"/>
                <w:szCs w:val="21"/>
              </w:rPr>
            </w:pPr>
            <w:r>
              <w:rPr>
                <w:bCs/>
                <w:color w:val="auto"/>
                <w:sz w:val="21"/>
                <w:szCs w:val="21"/>
              </w:rPr>
              <w:t>装卸软管</w:t>
            </w:r>
          </w:p>
        </w:tc>
        <w:tc>
          <w:tcPr>
            <w:tcW w:w="2474" w:type="pct"/>
            <w:noWrap/>
            <w:vAlign w:val="center"/>
          </w:tcPr>
          <w:p w14:paraId="134D9204">
            <w:pPr>
              <w:spacing w:line="240" w:lineRule="auto"/>
              <w:ind w:firstLine="0" w:firstLineChars="0"/>
              <w:jc w:val="center"/>
              <w:rPr>
                <w:bCs/>
                <w:color w:val="auto"/>
                <w:sz w:val="21"/>
                <w:szCs w:val="21"/>
              </w:rPr>
            </w:pPr>
            <w:r>
              <w:rPr>
                <w:bCs/>
                <w:color w:val="auto"/>
                <w:sz w:val="21"/>
                <w:szCs w:val="21"/>
              </w:rPr>
              <w:t>装卸软管连接管泄漏孔径为10%孔径(最大50mm)</w:t>
            </w:r>
          </w:p>
        </w:tc>
        <w:tc>
          <w:tcPr>
            <w:tcW w:w="1162" w:type="pct"/>
            <w:noWrap/>
            <w:vAlign w:val="center"/>
          </w:tcPr>
          <w:p w14:paraId="21E75834">
            <w:pPr>
              <w:spacing w:line="240" w:lineRule="auto"/>
              <w:ind w:firstLine="0" w:firstLineChars="0"/>
              <w:jc w:val="center"/>
              <w:rPr>
                <w:bCs/>
                <w:color w:val="auto"/>
                <w:sz w:val="21"/>
                <w:szCs w:val="21"/>
              </w:rPr>
            </w:pPr>
            <w:r>
              <w:rPr>
                <w:bCs/>
                <w:color w:val="auto"/>
                <w:sz w:val="21"/>
                <w:szCs w:val="21"/>
              </w:rPr>
              <w:t>4.00×10</w:t>
            </w:r>
            <w:r>
              <w:rPr>
                <w:bCs/>
                <w:color w:val="auto"/>
                <w:sz w:val="21"/>
                <w:szCs w:val="21"/>
                <w:vertAlign w:val="superscript"/>
              </w:rPr>
              <w:t>-5</w:t>
            </w:r>
            <w:r>
              <w:rPr>
                <w:bCs/>
                <w:color w:val="auto"/>
                <w:sz w:val="21"/>
                <w:szCs w:val="21"/>
              </w:rPr>
              <w:t>/h</w:t>
            </w:r>
          </w:p>
        </w:tc>
      </w:tr>
      <w:tr w14:paraId="76ECA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364" w:type="pct"/>
            <w:vMerge w:val="continue"/>
            <w:vAlign w:val="center"/>
          </w:tcPr>
          <w:p w14:paraId="13E48BE3">
            <w:pPr>
              <w:spacing w:line="240" w:lineRule="auto"/>
              <w:ind w:firstLine="0" w:firstLineChars="0"/>
              <w:jc w:val="center"/>
              <w:rPr>
                <w:bCs/>
                <w:color w:val="auto"/>
                <w:sz w:val="21"/>
                <w:szCs w:val="21"/>
              </w:rPr>
            </w:pPr>
          </w:p>
        </w:tc>
        <w:tc>
          <w:tcPr>
            <w:tcW w:w="2474" w:type="pct"/>
            <w:noWrap/>
            <w:vAlign w:val="center"/>
          </w:tcPr>
          <w:p w14:paraId="41D731B2">
            <w:pPr>
              <w:spacing w:line="240" w:lineRule="auto"/>
              <w:ind w:firstLine="0" w:firstLineChars="0"/>
              <w:jc w:val="center"/>
              <w:rPr>
                <w:bCs/>
                <w:color w:val="auto"/>
                <w:sz w:val="21"/>
                <w:szCs w:val="21"/>
              </w:rPr>
            </w:pPr>
            <w:r>
              <w:rPr>
                <w:bCs/>
                <w:color w:val="auto"/>
                <w:sz w:val="21"/>
                <w:szCs w:val="21"/>
              </w:rPr>
              <w:t>装卸软管全管径泄漏</w:t>
            </w:r>
          </w:p>
        </w:tc>
        <w:tc>
          <w:tcPr>
            <w:tcW w:w="1162" w:type="pct"/>
            <w:noWrap/>
            <w:vAlign w:val="center"/>
          </w:tcPr>
          <w:p w14:paraId="779A5646">
            <w:pPr>
              <w:spacing w:line="240" w:lineRule="auto"/>
              <w:ind w:firstLine="0" w:firstLineChars="0"/>
              <w:jc w:val="center"/>
              <w:rPr>
                <w:bCs/>
                <w:color w:val="auto"/>
                <w:sz w:val="21"/>
                <w:szCs w:val="21"/>
              </w:rPr>
            </w:pPr>
            <w:r>
              <w:rPr>
                <w:bCs/>
                <w:color w:val="auto"/>
                <w:sz w:val="21"/>
                <w:szCs w:val="21"/>
              </w:rPr>
              <w:t>4.00×10</w:t>
            </w:r>
            <w:r>
              <w:rPr>
                <w:bCs/>
                <w:color w:val="auto"/>
                <w:sz w:val="21"/>
                <w:szCs w:val="21"/>
                <w:vertAlign w:val="superscript"/>
              </w:rPr>
              <w:t>-6</w:t>
            </w:r>
            <w:r>
              <w:rPr>
                <w:bCs/>
                <w:color w:val="auto"/>
                <w:sz w:val="21"/>
                <w:szCs w:val="21"/>
              </w:rPr>
              <w:t>/h</w:t>
            </w:r>
          </w:p>
        </w:tc>
      </w:tr>
    </w:tbl>
    <w:p w14:paraId="7012A830">
      <w:pPr>
        <w:ind w:firstLine="480"/>
        <w:rPr>
          <w:bCs/>
          <w:color w:val="auto"/>
        </w:rPr>
      </w:pPr>
      <w:r>
        <w:rPr>
          <w:rFonts w:hint="eastAsia"/>
          <w:bCs/>
          <w:color w:val="auto"/>
        </w:rPr>
        <w:t>2、风险事故情形</w:t>
      </w:r>
    </w:p>
    <w:p w14:paraId="38BF9F92">
      <w:pPr>
        <w:ind w:firstLine="480"/>
        <w:rPr>
          <w:bCs/>
          <w:color w:val="auto"/>
        </w:rPr>
      </w:pPr>
      <w:r>
        <w:rPr>
          <w:bCs/>
          <w:color w:val="auto"/>
        </w:rPr>
        <w:t>由于事故触发因素具有不确定性，因此事故情形的设定并不能包含全部可能的环境风险，但通过具有代表性的事故情形分析可为风险管理提供科学依据。</w:t>
      </w:r>
    </w:p>
    <w:p w14:paraId="52AB8C5C">
      <w:pPr>
        <w:ind w:firstLine="480"/>
        <w:rPr>
          <w:bCs/>
          <w:color w:val="auto"/>
        </w:rPr>
      </w:pPr>
      <w:r>
        <w:rPr>
          <w:bCs/>
          <w:color w:val="auto"/>
        </w:rPr>
        <w:t>根据《建设项目环境风险评价技术导则》（HJ169-2018），最大可信事故的定义为基于经验统计分析，在一定可能性区间内发生的事故中，造成环境危害最严重的事故。一般而言，发生频率小于10</w:t>
      </w:r>
      <w:r>
        <w:rPr>
          <w:bCs/>
          <w:color w:val="auto"/>
          <w:vertAlign w:val="superscript"/>
        </w:rPr>
        <w:t>-6</w:t>
      </w:r>
      <w:r>
        <w:rPr>
          <w:bCs/>
          <w:color w:val="auto"/>
        </w:rPr>
        <w:t>/年的事件是极小概率事件，可作为代表性事故情形中最大可信事故设定的参考。在项目风险识别、分析和事故分析的基础上，</w:t>
      </w:r>
      <w:r>
        <w:rPr>
          <w:rFonts w:hint="eastAsia"/>
          <w:bCs/>
          <w:color w:val="auto"/>
        </w:rPr>
        <w:t>本次</w:t>
      </w:r>
      <w:r>
        <w:rPr>
          <w:bCs/>
          <w:color w:val="auto"/>
        </w:rPr>
        <w:t>选取</w:t>
      </w:r>
      <w:r>
        <w:rPr>
          <w:rFonts w:hint="eastAsia"/>
          <w:bCs/>
          <w:color w:val="auto"/>
        </w:rPr>
        <w:t>液氨泄漏</w:t>
      </w:r>
      <w:r>
        <w:rPr>
          <w:bCs/>
          <w:color w:val="auto"/>
        </w:rPr>
        <w:t>事故、硫磺原料袋发生火灾并产生有毒有害的SO</w:t>
      </w:r>
      <w:r>
        <w:rPr>
          <w:bCs/>
          <w:color w:val="auto"/>
          <w:vertAlign w:val="subscript"/>
        </w:rPr>
        <w:t>2</w:t>
      </w:r>
      <w:r>
        <w:rPr>
          <w:bCs/>
          <w:color w:val="auto"/>
        </w:rPr>
        <w:t>事故作为最大可信事故进行定量预测。</w:t>
      </w:r>
    </w:p>
    <w:p w14:paraId="57E61395">
      <w:pPr>
        <w:ind w:firstLine="482"/>
        <w:jc w:val="center"/>
        <w:rPr>
          <w:b/>
          <w:bCs/>
          <w:color w:val="auto"/>
        </w:rPr>
      </w:pPr>
      <w:r>
        <w:rPr>
          <w:b/>
          <w:bCs/>
          <w:color w:val="auto"/>
        </w:rPr>
        <w:t>表6.7.2-</w:t>
      </w:r>
      <w:r>
        <w:rPr>
          <w:rFonts w:hint="eastAsia"/>
          <w:b/>
          <w:bCs/>
          <w:color w:val="auto"/>
        </w:rPr>
        <w:t>2</w:t>
      </w:r>
      <w:r>
        <w:rPr>
          <w:b/>
          <w:bCs/>
          <w:color w:val="auto"/>
        </w:rPr>
        <w:t xml:space="preserve">  </w:t>
      </w:r>
      <w:r>
        <w:rPr>
          <w:rFonts w:hint="eastAsia"/>
          <w:b/>
          <w:bCs/>
          <w:color w:val="auto"/>
        </w:rPr>
        <w:t>最大可信事故情形</w:t>
      </w:r>
    </w:p>
    <w:tbl>
      <w:tblPr>
        <w:tblStyle w:val="6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346"/>
        <w:gridCol w:w="1514"/>
        <w:gridCol w:w="1573"/>
        <w:gridCol w:w="2440"/>
        <w:gridCol w:w="1637"/>
      </w:tblGrid>
      <w:tr w14:paraId="6215B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Align w:val="center"/>
          </w:tcPr>
          <w:p w14:paraId="65070F51">
            <w:pPr>
              <w:adjustRightInd/>
              <w:snapToGrid/>
              <w:spacing w:line="240" w:lineRule="auto"/>
              <w:ind w:firstLine="0" w:firstLineChars="0"/>
              <w:jc w:val="center"/>
              <w:rPr>
                <w:rFonts w:hint="eastAsia" w:ascii="等线" w:hAnsi="等线" w:eastAsia="等线"/>
                <w:b/>
                <w:bCs/>
                <w:color w:val="auto"/>
                <w:sz w:val="21"/>
                <w:szCs w:val="21"/>
                <w14:ligatures w14:val="standardContextual"/>
              </w:rPr>
            </w:pPr>
            <w:r>
              <w:rPr>
                <w:rFonts w:ascii="等线" w:hAnsi="等线" w:eastAsia="等线"/>
                <w:b/>
                <w:bCs/>
                <w:color w:val="auto"/>
                <w:sz w:val="21"/>
                <w:szCs w:val="21"/>
                <w14:ligatures w14:val="standardContextual"/>
              </w:rPr>
              <w:t>风险类型</w:t>
            </w:r>
          </w:p>
        </w:tc>
        <w:tc>
          <w:tcPr>
            <w:tcW w:w="683" w:type="pct"/>
            <w:vAlign w:val="center"/>
          </w:tcPr>
          <w:p w14:paraId="5AE37F2D">
            <w:pPr>
              <w:adjustRightInd/>
              <w:snapToGrid/>
              <w:spacing w:line="240" w:lineRule="auto"/>
              <w:ind w:firstLine="0" w:firstLineChars="0"/>
              <w:jc w:val="center"/>
              <w:rPr>
                <w:rFonts w:hint="eastAsia" w:ascii="等线" w:hAnsi="等线" w:eastAsia="等线"/>
                <w:b/>
                <w:bCs/>
                <w:color w:val="auto"/>
                <w:sz w:val="21"/>
                <w:szCs w:val="21"/>
                <w14:ligatures w14:val="standardContextual"/>
              </w:rPr>
            </w:pPr>
            <w:r>
              <w:rPr>
                <w:rFonts w:ascii="等线" w:hAnsi="等线" w:eastAsia="等线"/>
                <w:b/>
                <w:bCs/>
                <w:color w:val="auto"/>
                <w:sz w:val="21"/>
                <w:szCs w:val="21"/>
                <w14:ligatures w14:val="standardContextual"/>
              </w:rPr>
              <w:t>风险源</w:t>
            </w:r>
          </w:p>
        </w:tc>
        <w:tc>
          <w:tcPr>
            <w:tcW w:w="768" w:type="pct"/>
            <w:vAlign w:val="center"/>
          </w:tcPr>
          <w:p w14:paraId="6492B8A3">
            <w:pPr>
              <w:adjustRightInd/>
              <w:snapToGrid/>
              <w:spacing w:line="240" w:lineRule="auto"/>
              <w:ind w:firstLine="0" w:firstLineChars="0"/>
              <w:jc w:val="center"/>
              <w:rPr>
                <w:rFonts w:hint="eastAsia" w:ascii="等线" w:hAnsi="等线" w:eastAsia="等线"/>
                <w:b/>
                <w:bCs/>
                <w:color w:val="auto"/>
                <w:sz w:val="21"/>
                <w:szCs w:val="21"/>
                <w14:ligatures w14:val="standardContextual"/>
              </w:rPr>
            </w:pPr>
            <w:r>
              <w:rPr>
                <w:rFonts w:ascii="等线" w:hAnsi="等线" w:eastAsia="等线"/>
                <w:b/>
                <w:bCs/>
                <w:color w:val="auto"/>
                <w:sz w:val="21"/>
                <w:szCs w:val="21"/>
                <w14:ligatures w14:val="standardContextual"/>
              </w:rPr>
              <w:t>危险单元</w:t>
            </w:r>
          </w:p>
        </w:tc>
        <w:tc>
          <w:tcPr>
            <w:tcW w:w="798" w:type="pct"/>
            <w:vAlign w:val="center"/>
          </w:tcPr>
          <w:p w14:paraId="6BC23681">
            <w:pPr>
              <w:adjustRightInd/>
              <w:snapToGrid/>
              <w:spacing w:line="240" w:lineRule="auto"/>
              <w:ind w:firstLine="0" w:firstLineChars="0"/>
              <w:jc w:val="center"/>
              <w:rPr>
                <w:rFonts w:hint="eastAsia" w:ascii="等线" w:hAnsi="等线" w:eastAsia="等线"/>
                <w:b/>
                <w:bCs/>
                <w:color w:val="auto"/>
                <w:sz w:val="21"/>
                <w:szCs w:val="21"/>
                <w14:ligatures w14:val="standardContextual"/>
              </w:rPr>
            </w:pPr>
            <w:r>
              <w:rPr>
                <w:rFonts w:ascii="等线" w:hAnsi="等线" w:eastAsia="等线"/>
                <w:b/>
                <w:bCs/>
                <w:color w:val="auto"/>
                <w:sz w:val="21"/>
                <w:szCs w:val="21"/>
                <w14:ligatures w14:val="standardContextual"/>
              </w:rPr>
              <w:t>主要危险物质</w:t>
            </w:r>
          </w:p>
        </w:tc>
        <w:tc>
          <w:tcPr>
            <w:tcW w:w="1238" w:type="pct"/>
            <w:vAlign w:val="center"/>
          </w:tcPr>
          <w:p w14:paraId="14B1E548">
            <w:pPr>
              <w:adjustRightInd/>
              <w:snapToGrid/>
              <w:spacing w:line="240" w:lineRule="auto"/>
              <w:ind w:firstLine="0" w:firstLineChars="0"/>
              <w:jc w:val="center"/>
              <w:rPr>
                <w:rFonts w:hint="eastAsia" w:ascii="等线" w:hAnsi="等线" w:eastAsia="等线"/>
                <w:b/>
                <w:bCs/>
                <w:color w:val="auto"/>
                <w:sz w:val="21"/>
                <w:szCs w:val="21"/>
                <w14:ligatures w14:val="standardContextual"/>
              </w:rPr>
            </w:pPr>
            <w:r>
              <w:rPr>
                <w:rFonts w:ascii="等线" w:hAnsi="等线" w:eastAsia="等线"/>
                <w:b/>
                <w:bCs/>
                <w:color w:val="auto"/>
                <w:sz w:val="21"/>
                <w:szCs w:val="21"/>
                <w14:ligatures w14:val="standardContextual"/>
              </w:rPr>
              <w:t>事故源项</w:t>
            </w:r>
          </w:p>
        </w:tc>
        <w:tc>
          <w:tcPr>
            <w:tcW w:w="830" w:type="pct"/>
            <w:vAlign w:val="center"/>
          </w:tcPr>
          <w:p w14:paraId="07B5BCB9">
            <w:pPr>
              <w:adjustRightInd/>
              <w:snapToGrid/>
              <w:spacing w:line="240" w:lineRule="auto"/>
              <w:ind w:firstLine="0" w:firstLineChars="0"/>
              <w:jc w:val="center"/>
              <w:rPr>
                <w:rFonts w:hint="eastAsia" w:ascii="等线" w:hAnsi="等线" w:eastAsia="等线"/>
                <w:b/>
                <w:bCs/>
                <w:color w:val="auto"/>
                <w:sz w:val="21"/>
                <w:szCs w:val="21"/>
                <w14:ligatures w14:val="standardContextual"/>
              </w:rPr>
            </w:pPr>
            <w:r>
              <w:rPr>
                <w:rFonts w:hint="eastAsia" w:ascii="等线" w:hAnsi="等线" w:eastAsia="等线"/>
                <w:b/>
                <w:bCs/>
                <w:color w:val="auto"/>
                <w:sz w:val="21"/>
                <w:szCs w:val="21"/>
                <w14:ligatures w14:val="standardContextual"/>
              </w:rPr>
              <w:t>统计概率</w:t>
            </w:r>
          </w:p>
        </w:tc>
      </w:tr>
      <w:tr w14:paraId="4B33E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Align w:val="center"/>
          </w:tcPr>
          <w:p w14:paraId="75FC0783">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sz w:val="21"/>
                <w:szCs w:val="21"/>
                <w14:ligatures w14:val="standardContextual"/>
              </w:rPr>
              <w:t>物料泄漏</w:t>
            </w:r>
          </w:p>
        </w:tc>
        <w:tc>
          <w:tcPr>
            <w:tcW w:w="683" w:type="pct"/>
            <w:vAlign w:val="center"/>
          </w:tcPr>
          <w:p w14:paraId="60B91AE2">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hint="eastAsia" w:ascii="等线" w:hAnsi="等线" w:eastAsia="等线"/>
                <w:color w:val="auto"/>
                <w:sz w:val="21"/>
                <w:szCs w:val="21"/>
                <w14:ligatures w14:val="standardContextual"/>
              </w:rPr>
              <w:t>液氨储罐</w:t>
            </w:r>
          </w:p>
        </w:tc>
        <w:tc>
          <w:tcPr>
            <w:tcW w:w="768" w:type="pct"/>
            <w:vAlign w:val="center"/>
          </w:tcPr>
          <w:p w14:paraId="38493854">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hint="eastAsia" w:ascii="等线" w:hAnsi="等线" w:eastAsia="等线"/>
                <w:color w:val="auto"/>
                <w:sz w:val="21"/>
                <w:szCs w:val="21"/>
                <w14:ligatures w14:val="standardContextual"/>
              </w:rPr>
              <w:t>氨水配置区</w:t>
            </w:r>
          </w:p>
        </w:tc>
        <w:tc>
          <w:tcPr>
            <w:tcW w:w="798" w:type="pct"/>
            <w:vAlign w:val="center"/>
          </w:tcPr>
          <w:p w14:paraId="6C02BB64">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sz w:val="21"/>
                <w:szCs w:val="21"/>
                <w14:ligatures w14:val="standardContextual"/>
              </w:rPr>
              <w:t>氨气</w:t>
            </w:r>
          </w:p>
        </w:tc>
        <w:tc>
          <w:tcPr>
            <w:tcW w:w="1238" w:type="pct"/>
            <w:vAlign w:val="center"/>
          </w:tcPr>
          <w:p w14:paraId="3FDBD31B">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sz w:val="21"/>
                <w:szCs w:val="21"/>
                <w14:ligatures w14:val="standardContextual"/>
              </w:rPr>
              <w:t>泄漏孔径10mm</w:t>
            </w:r>
          </w:p>
        </w:tc>
        <w:tc>
          <w:tcPr>
            <w:tcW w:w="830" w:type="pct"/>
            <w:vAlign w:val="center"/>
          </w:tcPr>
          <w:p w14:paraId="6F3E7C50">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bCs/>
                <w:color w:val="auto"/>
                <w:sz w:val="21"/>
                <w:szCs w:val="21"/>
                <w14:ligatures w14:val="standardContextual"/>
              </w:rPr>
              <w:t>1.00×10</w:t>
            </w:r>
            <w:r>
              <w:rPr>
                <w:rFonts w:ascii="等线" w:hAnsi="等线" w:eastAsia="等线"/>
                <w:bCs/>
                <w:color w:val="auto"/>
                <w:sz w:val="21"/>
                <w:szCs w:val="21"/>
                <w:vertAlign w:val="superscript"/>
                <w14:ligatures w14:val="standardContextual"/>
              </w:rPr>
              <w:t>-4</w:t>
            </w:r>
            <w:r>
              <w:rPr>
                <w:rFonts w:ascii="等线" w:hAnsi="等线" w:eastAsia="等线"/>
                <w:bCs/>
                <w:color w:val="auto"/>
                <w:sz w:val="21"/>
                <w:szCs w:val="21"/>
                <w14:ligatures w14:val="standardContextual"/>
              </w:rPr>
              <w:t>/a</w:t>
            </w:r>
          </w:p>
        </w:tc>
      </w:tr>
      <w:tr w14:paraId="3A23A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Align w:val="center"/>
          </w:tcPr>
          <w:p w14:paraId="236C51EA">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hint="eastAsia" w:ascii="等线" w:hAnsi="等线" w:eastAsia="等线"/>
                <w:color w:val="auto"/>
                <w:sz w:val="21"/>
                <w:szCs w:val="21"/>
                <w14:ligatures w14:val="standardContextual"/>
              </w:rPr>
              <w:t>火灾爆炸</w:t>
            </w:r>
          </w:p>
        </w:tc>
        <w:tc>
          <w:tcPr>
            <w:tcW w:w="683" w:type="pct"/>
            <w:vAlign w:val="center"/>
          </w:tcPr>
          <w:p w14:paraId="0D8F4E1C">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hint="eastAsia" w:ascii="等线" w:hAnsi="等线" w:eastAsia="等线"/>
                <w:color w:val="auto"/>
                <w:sz w:val="21"/>
                <w:szCs w:val="21"/>
                <w14:ligatures w14:val="standardContextual"/>
              </w:rPr>
              <w:t>硫磺</w:t>
            </w:r>
          </w:p>
        </w:tc>
        <w:tc>
          <w:tcPr>
            <w:tcW w:w="768" w:type="pct"/>
            <w:vAlign w:val="center"/>
          </w:tcPr>
          <w:p w14:paraId="4DB44251">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hint="eastAsia" w:ascii="等线" w:hAnsi="等线" w:eastAsia="等线"/>
                <w:color w:val="auto"/>
                <w:sz w:val="21"/>
                <w:szCs w:val="21"/>
                <w14:ligatures w14:val="standardContextual"/>
              </w:rPr>
              <w:t>丙类仓库</w:t>
            </w:r>
          </w:p>
        </w:tc>
        <w:tc>
          <w:tcPr>
            <w:tcW w:w="798" w:type="pct"/>
            <w:vAlign w:val="center"/>
          </w:tcPr>
          <w:p w14:paraId="1760F578">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hint="eastAsia" w:ascii="等线" w:hAnsi="等线" w:eastAsia="等线"/>
                <w:color w:val="auto"/>
                <w:sz w:val="21"/>
                <w:szCs w:val="21"/>
                <w14:ligatures w14:val="standardContextual"/>
              </w:rPr>
              <w:t>硫磺</w:t>
            </w:r>
          </w:p>
        </w:tc>
        <w:tc>
          <w:tcPr>
            <w:tcW w:w="1238" w:type="pct"/>
            <w:vAlign w:val="center"/>
          </w:tcPr>
          <w:p w14:paraId="7DB5C07A">
            <w:pPr>
              <w:adjustRightInd/>
              <w:snapToGrid/>
              <w:spacing w:line="240" w:lineRule="auto"/>
              <w:ind w:firstLine="0" w:firstLineChars="0"/>
              <w:jc w:val="center"/>
              <w:rPr>
                <w:rFonts w:hint="eastAsia" w:ascii="等线" w:hAnsi="等线" w:eastAsia="等线"/>
                <w:color w:val="auto"/>
                <w:sz w:val="21"/>
                <w:szCs w:val="21"/>
                <w14:ligatures w14:val="standardContextual"/>
              </w:rPr>
            </w:pPr>
            <w:r>
              <w:rPr>
                <w:rFonts w:ascii="等线" w:hAnsi="等线" w:eastAsia="等线"/>
                <w:color w:val="auto"/>
                <w:sz w:val="21"/>
                <w:szCs w:val="21"/>
                <w14:ligatures w14:val="standardContextual"/>
              </w:rPr>
              <w:t>泄漏发生火灾伴生</w:t>
            </w:r>
            <w:r>
              <w:rPr>
                <w:rFonts w:hint="eastAsia" w:ascii="等线" w:hAnsi="等线" w:eastAsia="等线"/>
                <w:color w:val="auto"/>
                <w:sz w:val="21"/>
                <w:szCs w:val="21"/>
                <w14:ligatures w14:val="standardContextual"/>
              </w:rPr>
              <w:t>S</w:t>
            </w:r>
            <w:r>
              <w:rPr>
                <w:rFonts w:ascii="等线" w:hAnsi="等线" w:eastAsia="等线"/>
                <w:color w:val="auto"/>
                <w:sz w:val="21"/>
                <w:szCs w:val="21"/>
                <w14:ligatures w14:val="standardContextual"/>
              </w:rPr>
              <w:t>O</w:t>
            </w:r>
            <w:r>
              <w:rPr>
                <w:rFonts w:hint="eastAsia" w:ascii="等线" w:hAnsi="等线" w:eastAsia="等线"/>
                <w:color w:val="auto"/>
                <w:sz w:val="21"/>
                <w:szCs w:val="21"/>
                <w:vertAlign w:val="subscript"/>
                <w14:ligatures w14:val="standardContextual"/>
              </w:rPr>
              <w:t>2</w:t>
            </w:r>
          </w:p>
        </w:tc>
        <w:tc>
          <w:tcPr>
            <w:tcW w:w="830" w:type="pct"/>
            <w:vAlign w:val="center"/>
          </w:tcPr>
          <w:p w14:paraId="40A5F7E4">
            <w:pPr>
              <w:adjustRightInd/>
              <w:snapToGrid/>
              <w:spacing w:line="240" w:lineRule="auto"/>
              <w:ind w:firstLine="0" w:firstLineChars="0"/>
              <w:jc w:val="center"/>
              <w:rPr>
                <w:rFonts w:hint="eastAsia" w:ascii="等线" w:hAnsi="等线" w:eastAsia="等线"/>
                <w:bCs/>
                <w:color w:val="auto"/>
                <w:sz w:val="21"/>
                <w:szCs w:val="21"/>
                <w14:ligatures w14:val="standardContextual"/>
              </w:rPr>
            </w:pPr>
            <w:r>
              <w:rPr>
                <w:rFonts w:ascii="等线" w:hAnsi="等线" w:eastAsia="等线"/>
                <w:bCs/>
                <w:color w:val="auto"/>
                <w:sz w:val="21"/>
                <w:szCs w:val="21"/>
                <w14:ligatures w14:val="standardContextual"/>
              </w:rPr>
              <w:t>1.00×10</w:t>
            </w:r>
            <w:r>
              <w:rPr>
                <w:rFonts w:ascii="等线" w:hAnsi="等线" w:eastAsia="等线"/>
                <w:bCs/>
                <w:color w:val="auto"/>
                <w:sz w:val="21"/>
                <w:szCs w:val="21"/>
                <w:vertAlign w:val="superscript"/>
                <w14:ligatures w14:val="standardContextual"/>
              </w:rPr>
              <w:t>-4</w:t>
            </w:r>
            <w:r>
              <w:rPr>
                <w:rFonts w:ascii="等线" w:hAnsi="等线" w:eastAsia="等线"/>
                <w:bCs/>
                <w:color w:val="auto"/>
                <w:sz w:val="21"/>
                <w:szCs w:val="21"/>
                <w14:ligatures w14:val="standardContextual"/>
              </w:rPr>
              <w:t>/a</w:t>
            </w:r>
          </w:p>
        </w:tc>
      </w:tr>
    </w:tbl>
    <w:p w14:paraId="1A3474EC">
      <w:pPr>
        <w:pStyle w:val="4"/>
        <w:rPr>
          <w:color w:val="auto"/>
        </w:rPr>
      </w:pPr>
      <w:bookmarkStart w:id="234" w:name="_Toc2601"/>
      <w:r>
        <w:rPr>
          <w:rFonts w:hint="eastAsia"/>
          <w:color w:val="auto"/>
        </w:rPr>
        <w:t>6.7.3源项分析</w:t>
      </w:r>
      <w:bookmarkEnd w:id="234"/>
    </w:p>
    <w:p w14:paraId="697650DB">
      <w:pPr>
        <w:ind w:firstLine="480"/>
        <w:rPr>
          <w:bCs/>
          <w:color w:val="auto"/>
        </w:rPr>
      </w:pPr>
      <w:r>
        <w:rPr>
          <w:rFonts w:hint="eastAsia"/>
          <w:bCs/>
          <w:color w:val="auto"/>
        </w:rPr>
        <w:t>1、泄漏事故源项分析</w:t>
      </w:r>
    </w:p>
    <w:p w14:paraId="7B08DA91">
      <w:pPr>
        <w:ind w:firstLine="480"/>
        <w:rPr>
          <w:bCs/>
          <w:color w:val="auto"/>
        </w:rPr>
      </w:pPr>
      <w:r>
        <w:rPr>
          <w:bCs/>
          <w:color w:val="auto"/>
        </w:rPr>
        <w:t>液体泄漏速率计算公式：</w:t>
      </w:r>
    </w:p>
    <w:p w14:paraId="1DB5D3EE">
      <w:pPr>
        <w:spacing w:line="240" w:lineRule="auto"/>
        <w:ind w:firstLine="480"/>
        <w:rPr>
          <w:bCs/>
          <w:color w:val="auto"/>
        </w:rPr>
      </w:pPr>
      <w:r>
        <w:rPr>
          <w:bCs/>
          <w:color w:val="auto"/>
        </w:rPr>
        <w:object>
          <v:shape id="_x0000_i1037" o:spt="75" type="#_x0000_t75" style="height:36pt;width:150.75pt;" o:ole="t" filled="f" o:preferrelative="t" stroked="f" coordsize="21600,21600">
            <v:path/>
            <v:fill on="f" focussize="0,0"/>
            <v:stroke on="f" joinstyle="miter"/>
            <v:imagedata r:id="rId60" o:title=""/>
            <o:lock v:ext="edit" aspectratio="t"/>
            <w10:wrap type="none"/>
            <w10:anchorlock/>
          </v:shape>
          <o:OLEObject Type="Embed" ProgID="Equation.3" ShapeID="_x0000_i1037" DrawAspect="Content" ObjectID="_1468075732" r:id="rId59">
            <o:LockedField>false</o:LockedField>
          </o:OLEObject>
        </w:object>
      </w:r>
    </w:p>
    <w:p w14:paraId="639010A0">
      <w:pPr>
        <w:ind w:firstLine="480"/>
        <w:rPr>
          <w:bCs/>
          <w:color w:val="auto"/>
        </w:rPr>
      </w:pPr>
      <w:r>
        <w:rPr>
          <w:bCs/>
          <w:color w:val="auto"/>
        </w:rPr>
        <w:t>式中：Q</w:t>
      </w:r>
      <w:r>
        <w:rPr>
          <w:bCs/>
          <w:color w:val="auto"/>
          <w:vertAlign w:val="subscript"/>
        </w:rPr>
        <w:t>L</w:t>
      </w:r>
      <w:r>
        <w:rPr>
          <w:bCs/>
          <w:color w:val="auto"/>
        </w:rPr>
        <w:t>—液体泄漏速度，kg/s；C</w:t>
      </w:r>
      <w:r>
        <w:rPr>
          <w:bCs/>
          <w:color w:val="auto"/>
          <w:vertAlign w:val="subscript"/>
        </w:rPr>
        <w:t>d</w:t>
      </w:r>
      <w:r>
        <w:rPr>
          <w:bCs/>
          <w:color w:val="auto"/>
        </w:rPr>
        <w:t>—液体泄漏系数；A—裂口面积，m</w:t>
      </w:r>
      <w:r>
        <w:rPr>
          <w:bCs/>
          <w:color w:val="auto"/>
          <w:vertAlign w:val="superscript"/>
        </w:rPr>
        <w:t>2</w:t>
      </w:r>
      <w:r>
        <w:rPr>
          <w:bCs/>
          <w:color w:val="auto"/>
        </w:rPr>
        <w:t>；</w:t>
      </w:r>
      <w:r>
        <w:rPr>
          <w:bCs/>
          <w:color w:val="auto"/>
        </w:rPr>
        <w:object>
          <v:shape id="_x0000_i1038" o:spt="75" type="#_x0000_t75" style="height:13.5pt;width:13.5pt;" o:ole="t" filled="f" o:preferrelative="t" stroked="f" coordsize="21600,21600">
            <v:path/>
            <v:fill on="f" focussize="0,0"/>
            <v:stroke on="f" joinstyle="miter"/>
            <v:imagedata r:id="rId62" o:title=""/>
            <o:lock v:ext="edit" aspectratio="t"/>
            <w10:wrap type="none"/>
            <w10:anchorlock/>
          </v:shape>
          <o:OLEObject Type="Embed" ProgID="Equation.3" ShapeID="_x0000_i1038" DrawAspect="Content" ObjectID="_1468075733" r:id="rId61">
            <o:LockedField>false</o:LockedField>
          </o:OLEObject>
        </w:object>
      </w:r>
      <w:r>
        <w:rPr>
          <w:bCs/>
          <w:color w:val="auto"/>
        </w:rPr>
        <w:t>—液体密度，kg/m</w:t>
      </w:r>
      <w:r>
        <w:rPr>
          <w:bCs/>
          <w:color w:val="auto"/>
          <w:vertAlign w:val="superscript"/>
        </w:rPr>
        <w:t>3</w:t>
      </w:r>
      <w:r>
        <w:rPr>
          <w:bCs/>
          <w:color w:val="auto"/>
        </w:rPr>
        <w:t>；P—容器内介质压力，Pa；P</w:t>
      </w:r>
      <w:r>
        <w:rPr>
          <w:bCs/>
          <w:color w:val="auto"/>
          <w:vertAlign w:val="subscript"/>
        </w:rPr>
        <w:t>0</w:t>
      </w:r>
      <w:r>
        <w:rPr>
          <w:bCs/>
          <w:color w:val="auto"/>
        </w:rPr>
        <w:t>—环境压力，Pa；g—重力加速度；h－裂口之上液位高度，m；</w:t>
      </w:r>
    </w:p>
    <w:p w14:paraId="28DAA8B0">
      <w:pPr>
        <w:ind w:firstLine="480"/>
        <w:rPr>
          <w:bCs/>
          <w:color w:val="auto"/>
        </w:rPr>
      </w:pPr>
      <w:r>
        <w:rPr>
          <w:rFonts w:hint="eastAsia"/>
          <w:bCs/>
          <w:color w:val="auto"/>
        </w:rPr>
        <w:t>液氨</w:t>
      </w:r>
      <w:r>
        <w:rPr>
          <w:bCs/>
          <w:color w:val="auto"/>
        </w:rPr>
        <w:t>储罐泄漏根据上述公式计算，事故泄漏源项结果见下表。</w:t>
      </w:r>
    </w:p>
    <w:p w14:paraId="67862441">
      <w:pPr>
        <w:ind w:firstLine="482"/>
        <w:jc w:val="center"/>
        <w:rPr>
          <w:b/>
          <w:color w:val="auto"/>
        </w:rPr>
      </w:pPr>
      <w:r>
        <w:rPr>
          <w:rFonts w:hint="eastAsia"/>
          <w:b/>
          <w:color w:val="auto"/>
        </w:rPr>
        <w:t>表6.7.3-1 液体泄漏量计算结果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3296"/>
        <w:gridCol w:w="1985"/>
        <w:gridCol w:w="3225"/>
      </w:tblGrid>
      <w:tr w14:paraId="336EA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Align w:val="center"/>
          </w:tcPr>
          <w:p w14:paraId="2029B3EC">
            <w:pPr>
              <w:spacing w:line="240" w:lineRule="auto"/>
              <w:ind w:firstLine="0" w:firstLineChars="0"/>
              <w:jc w:val="center"/>
              <w:rPr>
                <w:b/>
                <w:bCs/>
                <w:color w:val="auto"/>
                <w:sz w:val="21"/>
                <w:szCs w:val="21"/>
              </w:rPr>
            </w:pPr>
            <w:r>
              <w:rPr>
                <w:b/>
                <w:bCs/>
                <w:color w:val="auto"/>
                <w:sz w:val="21"/>
                <w:szCs w:val="21"/>
              </w:rPr>
              <w:t>符号</w:t>
            </w:r>
          </w:p>
        </w:tc>
        <w:tc>
          <w:tcPr>
            <w:tcW w:w="1672" w:type="pct"/>
            <w:vAlign w:val="center"/>
          </w:tcPr>
          <w:p w14:paraId="7AE82432">
            <w:pPr>
              <w:spacing w:line="240" w:lineRule="auto"/>
              <w:ind w:firstLine="0" w:firstLineChars="0"/>
              <w:jc w:val="center"/>
              <w:rPr>
                <w:b/>
                <w:bCs/>
                <w:color w:val="auto"/>
                <w:sz w:val="21"/>
                <w:szCs w:val="21"/>
              </w:rPr>
            </w:pPr>
            <w:r>
              <w:rPr>
                <w:b/>
                <w:bCs/>
                <w:color w:val="auto"/>
                <w:sz w:val="21"/>
                <w:szCs w:val="21"/>
              </w:rPr>
              <w:t>含义</w:t>
            </w:r>
          </w:p>
        </w:tc>
        <w:tc>
          <w:tcPr>
            <w:tcW w:w="1007" w:type="pct"/>
            <w:vAlign w:val="center"/>
          </w:tcPr>
          <w:p w14:paraId="36C18C99">
            <w:pPr>
              <w:spacing w:line="240" w:lineRule="auto"/>
              <w:ind w:firstLine="0" w:firstLineChars="0"/>
              <w:jc w:val="center"/>
              <w:rPr>
                <w:b/>
                <w:bCs/>
                <w:color w:val="auto"/>
                <w:sz w:val="21"/>
                <w:szCs w:val="21"/>
              </w:rPr>
            </w:pPr>
            <w:r>
              <w:rPr>
                <w:b/>
                <w:bCs/>
                <w:color w:val="auto"/>
                <w:sz w:val="21"/>
                <w:szCs w:val="21"/>
              </w:rPr>
              <w:t>单位</w:t>
            </w:r>
          </w:p>
        </w:tc>
        <w:tc>
          <w:tcPr>
            <w:tcW w:w="1636" w:type="pct"/>
            <w:vAlign w:val="center"/>
          </w:tcPr>
          <w:p w14:paraId="3A3B9BEE">
            <w:pPr>
              <w:spacing w:line="240" w:lineRule="auto"/>
              <w:ind w:firstLine="0" w:firstLineChars="0"/>
              <w:jc w:val="center"/>
              <w:rPr>
                <w:b/>
                <w:bCs/>
                <w:color w:val="auto"/>
                <w:sz w:val="21"/>
                <w:szCs w:val="21"/>
              </w:rPr>
            </w:pPr>
            <w:r>
              <w:rPr>
                <w:rFonts w:hint="eastAsia"/>
                <w:b/>
                <w:bCs/>
                <w:color w:val="auto"/>
                <w:sz w:val="21"/>
                <w:szCs w:val="21"/>
              </w:rPr>
              <w:t>液氨</w:t>
            </w:r>
          </w:p>
        </w:tc>
      </w:tr>
      <w:tr w14:paraId="35AC2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Align w:val="center"/>
          </w:tcPr>
          <w:p w14:paraId="38235CF5">
            <w:pPr>
              <w:spacing w:line="240" w:lineRule="auto"/>
              <w:ind w:firstLine="0" w:firstLineChars="0"/>
              <w:jc w:val="center"/>
              <w:rPr>
                <w:color w:val="auto"/>
                <w:sz w:val="21"/>
                <w:szCs w:val="21"/>
              </w:rPr>
            </w:pPr>
            <w:r>
              <w:rPr>
                <w:color w:val="auto"/>
                <w:sz w:val="21"/>
                <w:szCs w:val="21"/>
              </w:rPr>
              <w:t>Cd</w:t>
            </w:r>
          </w:p>
        </w:tc>
        <w:tc>
          <w:tcPr>
            <w:tcW w:w="1672" w:type="pct"/>
            <w:vAlign w:val="center"/>
          </w:tcPr>
          <w:p w14:paraId="3FB1E790">
            <w:pPr>
              <w:spacing w:line="240" w:lineRule="auto"/>
              <w:ind w:firstLine="0" w:firstLineChars="0"/>
              <w:jc w:val="center"/>
              <w:rPr>
                <w:color w:val="auto"/>
                <w:sz w:val="21"/>
                <w:szCs w:val="21"/>
              </w:rPr>
            </w:pPr>
            <w:r>
              <w:rPr>
                <w:color w:val="auto"/>
                <w:sz w:val="21"/>
                <w:szCs w:val="21"/>
              </w:rPr>
              <w:t>液体泄漏系数</w:t>
            </w:r>
          </w:p>
        </w:tc>
        <w:tc>
          <w:tcPr>
            <w:tcW w:w="1007" w:type="pct"/>
            <w:vAlign w:val="center"/>
          </w:tcPr>
          <w:p w14:paraId="270D60DF">
            <w:pPr>
              <w:spacing w:line="240" w:lineRule="auto"/>
              <w:ind w:firstLine="0" w:firstLineChars="0"/>
              <w:jc w:val="center"/>
              <w:rPr>
                <w:color w:val="auto"/>
                <w:sz w:val="21"/>
                <w:szCs w:val="21"/>
              </w:rPr>
            </w:pPr>
            <w:r>
              <w:rPr>
                <w:color w:val="auto"/>
                <w:sz w:val="21"/>
                <w:szCs w:val="21"/>
              </w:rPr>
              <w:t>无量纲</w:t>
            </w:r>
          </w:p>
        </w:tc>
        <w:tc>
          <w:tcPr>
            <w:tcW w:w="1636" w:type="pct"/>
            <w:vAlign w:val="center"/>
          </w:tcPr>
          <w:p w14:paraId="474A1185">
            <w:pPr>
              <w:spacing w:line="240" w:lineRule="auto"/>
              <w:ind w:firstLine="0" w:firstLineChars="0"/>
              <w:jc w:val="center"/>
              <w:rPr>
                <w:color w:val="auto"/>
                <w:sz w:val="21"/>
                <w:szCs w:val="21"/>
              </w:rPr>
            </w:pPr>
            <w:r>
              <w:rPr>
                <w:rFonts w:hint="eastAsia"/>
                <w:color w:val="auto"/>
                <w:sz w:val="21"/>
                <w:szCs w:val="21"/>
              </w:rPr>
              <w:t>0.65</w:t>
            </w:r>
          </w:p>
        </w:tc>
      </w:tr>
      <w:tr w14:paraId="10234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Align w:val="center"/>
          </w:tcPr>
          <w:p w14:paraId="28C8BE27">
            <w:pPr>
              <w:spacing w:line="240" w:lineRule="auto"/>
              <w:ind w:firstLine="0" w:firstLineChars="0"/>
              <w:jc w:val="center"/>
              <w:rPr>
                <w:color w:val="auto"/>
                <w:sz w:val="21"/>
                <w:szCs w:val="21"/>
              </w:rPr>
            </w:pPr>
            <w:r>
              <w:rPr>
                <w:color w:val="auto"/>
                <w:sz w:val="21"/>
                <w:szCs w:val="21"/>
              </w:rPr>
              <w:t>A</w:t>
            </w:r>
          </w:p>
        </w:tc>
        <w:tc>
          <w:tcPr>
            <w:tcW w:w="1672" w:type="pct"/>
            <w:vAlign w:val="center"/>
          </w:tcPr>
          <w:p w14:paraId="383396E4">
            <w:pPr>
              <w:spacing w:line="240" w:lineRule="auto"/>
              <w:ind w:firstLine="0" w:firstLineChars="0"/>
              <w:jc w:val="center"/>
              <w:rPr>
                <w:color w:val="auto"/>
                <w:sz w:val="21"/>
                <w:szCs w:val="21"/>
              </w:rPr>
            </w:pPr>
            <w:r>
              <w:rPr>
                <w:color w:val="auto"/>
                <w:sz w:val="21"/>
                <w:szCs w:val="21"/>
              </w:rPr>
              <w:t>裂口面积</w:t>
            </w:r>
          </w:p>
        </w:tc>
        <w:tc>
          <w:tcPr>
            <w:tcW w:w="1007" w:type="pct"/>
            <w:vAlign w:val="center"/>
          </w:tcPr>
          <w:p w14:paraId="2E306F90">
            <w:pPr>
              <w:spacing w:line="240" w:lineRule="auto"/>
              <w:ind w:firstLine="0" w:firstLineChars="0"/>
              <w:jc w:val="center"/>
              <w:rPr>
                <w:color w:val="auto"/>
                <w:sz w:val="21"/>
                <w:szCs w:val="21"/>
              </w:rPr>
            </w:pPr>
            <w:r>
              <w:rPr>
                <w:color w:val="auto"/>
                <w:sz w:val="21"/>
                <w:szCs w:val="21"/>
              </w:rPr>
              <w:t>m</w:t>
            </w:r>
            <w:r>
              <w:rPr>
                <w:color w:val="auto"/>
                <w:sz w:val="21"/>
                <w:szCs w:val="21"/>
                <w:vertAlign w:val="superscript"/>
              </w:rPr>
              <w:t>2</w:t>
            </w:r>
          </w:p>
        </w:tc>
        <w:tc>
          <w:tcPr>
            <w:tcW w:w="1636" w:type="pct"/>
            <w:vAlign w:val="center"/>
          </w:tcPr>
          <w:p w14:paraId="1334ACC6">
            <w:pPr>
              <w:spacing w:line="240" w:lineRule="auto"/>
              <w:ind w:firstLine="0" w:firstLineChars="0"/>
              <w:jc w:val="center"/>
              <w:rPr>
                <w:color w:val="auto"/>
                <w:sz w:val="21"/>
                <w:szCs w:val="21"/>
              </w:rPr>
            </w:pPr>
            <w:r>
              <w:rPr>
                <w:color w:val="auto"/>
                <w:sz w:val="21"/>
                <w:szCs w:val="21"/>
              </w:rPr>
              <w:t>0.0000785</w:t>
            </w:r>
          </w:p>
        </w:tc>
      </w:tr>
      <w:tr w14:paraId="20A0E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Align w:val="center"/>
          </w:tcPr>
          <w:p w14:paraId="34FDBD6A">
            <w:pPr>
              <w:spacing w:line="240" w:lineRule="auto"/>
              <w:ind w:firstLine="0" w:firstLineChars="0"/>
              <w:jc w:val="center"/>
              <w:rPr>
                <w:color w:val="auto"/>
                <w:sz w:val="21"/>
                <w:szCs w:val="21"/>
              </w:rPr>
            </w:pPr>
            <w:r>
              <w:rPr>
                <w:color w:val="auto"/>
                <w:sz w:val="21"/>
                <w:szCs w:val="21"/>
              </w:rPr>
              <w:t>ρ</w:t>
            </w:r>
          </w:p>
        </w:tc>
        <w:tc>
          <w:tcPr>
            <w:tcW w:w="1672" w:type="pct"/>
            <w:vAlign w:val="center"/>
          </w:tcPr>
          <w:p w14:paraId="05584D26">
            <w:pPr>
              <w:spacing w:line="240" w:lineRule="auto"/>
              <w:ind w:firstLine="0" w:firstLineChars="0"/>
              <w:jc w:val="center"/>
              <w:rPr>
                <w:color w:val="auto"/>
                <w:sz w:val="21"/>
                <w:szCs w:val="21"/>
              </w:rPr>
            </w:pPr>
            <w:r>
              <w:rPr>
                <w:color w:val="auto"/>
                <w:sz w:val="21"/>
                <w:szCs w:val="21"/>
              </w:rPr>
              <w:t>泄漏液体密度</w:t>
            </w:r>
          </w:p>
        </w:tc>
        <w:tc>
          <w:tcPr>
            <w:tcW w:w="1007" w:type="pct"/>
            <w:vAlign w:val="center"/>
          </w:tcPr>
          <w:p w14:paraId="279462C7">
            <w:pPr>
              <w:spacing w:line="240" w:lineRule="auto"/>
              <w:ind w:firstLine="0" w:firstLineChars="0"/>
              <w:jc w:val="center"/>
              <w:rPr>
                <w:color w:val="auto"/>
                <w:sz w:val="21"/>
                <w:szCs w:val="21"/>
              </w:rPr>
            </w:pPr>
            <w:r>
              <w:rPr>
                <w:color w:val="auto"/>
                <w:sz w:val="21"/>
                <w:szCs w:val="21"/>
              </w:rPr>
              <w:t>kg/m</w:t>
            </w:r>
            <w:r>
              <w:rPr>
                <w:color w:val="auto"/>
                <w:sz w:val="21"/>
                <w:szCs w:val="21"/>
                <w:vertAlign w:val="superscript"/>
              </w:rPr>
              <w:t>3</w:t>
            </w:r>
          </w:p>
        </w:tc>
        <w:tc>
          <w:tcPr>
            <w:tcW w:w="1636" w:type="pct"/>
            <w:vAlign w:val="center"/>
          </w:tcPr>
          <w:p w14:paraId="029E3A13">
            <w:pPr>
              <w:spacing w:line="240" w:lineRule="auto"/>
              <w:ind w:firstLine="0" w:firstLineChars="0"/>
              <w:jc w:val="center"/>
              <w:rPr>
                <w:color w:val="auto"/>
                <w:sz w:val="21"/>
                <w:szCs w:val="21"/>
              </w:rPr>
            </w:pPr>
            <w:r>
              <w:rPr>
                <w:rFonts w:hint="eastAsia"/>
                <w:color w:val="auto"/>
                <w:sz w:val="21"/>
                <w:szCs w:val="21"/>
              </w:rPr>
              <w:t>620</w:t>
            </w:r>
          </w:p>
        </w:tc>
      </w:tr>
      <w:tr w14:paraId="746D3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Align w:val="center"/>
          </w:tcPr>
          <w:p w14:paraId="578638EF">
            <w:pPr>
              <w:spacing w:line="240" w:lineRule="auto"/>
              <w:ind w:firstLine="0" w:firstLineChars="0"/>
              <w:jc w:val="center"/>
              <w:rPr>
                <w:color w:val="auto"/>
                <w:sz w:val="21"/>
                <w:szCs w:val="21"/>
              </w:rPr>
            </w:pPr>
            <w:r>
              <w:rPr>
                <w:color w:val="auto"/>
                <w:sz w:val="21"/>
                <w:szCs w:val="21"/>
              </w:rPr>
              <w:t>P</w:t>
            </w:r>
          </w:p>
        </w:tc>
        <w:tc>
          <w:tcPr>
            <w:tcW w:w="1672" w:type="pct"/>
            <w:vAlign w:val="center"/>
          </w:tcPr>
          <w:p w14:paraId="53430D61">
            <w:pPr>
              <w:spacing w:line="240" w:lineRule="auto"/>
              <w:ind w:firstLine="0" w:firstLineChars="0"/>
              <w:jc w:val="center"/>
              <w:rPr>
                <w:color w:val="auto"/>
                <w:sz w:val="21"/>
                <w:szCs w:val="21"/>
              </w:rPr>
            </w:pPr>
            <w:r>
              <w:rPr>
                <w:color w:val="auto"/>
                <w:sz w:val="21"/>
                <w:szCs w:val="21"/>
              </w:rPr>
              <w:t>容器内介质压力</w:t>
            </w:r>
          </w:p>
        </w:tc>
        <w:tc>
          <w:tcPr>
            <w:tcW w:w="1007" w:type="pct"/>
            <w:vAlign w:val="center"/>
          </w:tcPr>
          <w:p w14:paraId="4E6512EF">
            <w:pPr>
              <w:spacing w:line="240" w:lineRule="auto"/>
              <w:ind w:firstLine="0" w:firstLineChars="0"/>
              <w:jc w:val="center"/>
              <w:rPr>
                <w:color w:val="auto"/>
                <w:sz w:val="21"/>
                <w:szCs w:val="21"/>
              </w:rPr>
            </w:pPr>
            <w:r>
              <w:rPr>
                <w:color w:val="auto"/>
                <w:sz w:val="21"/>
                <w:szCs w:val="21"/>
              </w:rPr>
              <w:t>Pa</w:t>
            </w:r>
          </w:p>
        </w:tc>
        <w:tc>
          <w:tcPr>
            <w:tcW w:w="1636" w:type="pct"/>
            <w:vAlign w:val="center"/>
          </w:tcPr>
          <w:p w14:paraId="16944CB8">
            <w:pPr>
              <w:adjustRightInd/>
              <w:snapToGrid/>
              <w:spacing w:line="240" w:lineRule="auto"/>
              <w:ind w:firstLine="0" w:firstLineChars="0"/>
              <w:jc w:val="center"/>
              <w:rPr>
                <w:color w:val="auto"/>
                <w:sz w:val="21"/>
                <w:szCs w:val="21"/>
              </w:rPr>
            </w:pPr>
            <w:r>
              <w:rPr>
                <w:color w:val="auto"/>
                <w:sz w:val="21"/>
                <w:szCs w:val="21"/>
              </w:rPr>
              <w:t>1</w:t>
            </w:r>
            <w:r>
              <w:rPr>
                <w:rFonts w:hint="eastAsia"/>
                <w:color w:val="auto"/>
                <w:sz w:val="21"/>
                <w:szCs w:val="21"/>
              </w:rPr>
              <w:t>2</w:t>
            </w:r>
            <w:r>
              <w:rPr>
                <w:color w:val="auto"/>
                <w:sz w:val="21"/>
                <w:szCs w:val="21"/>
              </w:rPr>
              <w:t>00000</w:t>
            </w:r>
          </w:p>
        </w:tc>
      </w:tr>
      <w:tr w14:paraId="7A2FF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Align w:val="center"/>
          </w:tcPr>
          <w:p w14:paraId="1E00C9AB">
            <w:pPr>
              <w:spacing w:line="240" w:lineRule="auto"/>
              <w:ind w:firstLine="0" w:firstLineChars="0"/>
              <w:jc w:val="center"/>
              <w:rPr>
                <w:color w:val="auto"/>
                <w:sz w:val="21"/>
                <w:szCs w:val="21"/>
              </w:rPr>
            </w:pPr>
            <w:r>
              <w:rPr>
                <w:color w:val="auto"/>
                <w:sz w:val="21"/>
                <w:szCs w:val="21"/>
              </w:rPr>
              <w:t>P</w:t>
            </w:r>
            <w:r>
              <w:rPr>
                <w:color w:val="auto"/>
                <w:sz w:val="21"/>
                <w:szCs w:val="21"/>
                <w:vertAlign w:val="subscript"/>
              </w:rPr>
              <w:t>0</w:t>
            </w:r>
          </w:p>
        </w:tc>
        <w:tc>
          <w:tcPr>
            <w:tcW w:w="1672" w:type="pct"/>
            <w:vAlign w:val="center"/>
          </w:tcPr>
          <w:p w14:paraId="1F457885">
            <w:pPr>
              <w:spacing w:line="240" w:lineRule="auto"/>
              <w:ind w:firstLine="0" w:firstLineChars="0"/>
              <w:jc w:val="center"/>
              <w:rPr>
                <w:color w:val="auto"/>
                <w:sz w:val="21"/>
                <w:szCs w:val="21"/>
              </w:rPr>
            </w:pPr>
            <w:r>
              <w:rPr>
                <w:color w:val="auto"/>
                <w:sz w:val="21"/>
                <w:szCs w:val="21"/>
              </w:rPr>
              <w:t>环境压力</w:t>
            </w:r>
          </w:p>
        </w:tc>
        <w:tc>
          <w:tcPr>
            <w:tcW w:w="1007" w:type="pct"/>
            <w:vAlign w:val="center"/>
          </w:tcPr>
          <w:p w14:paraId="472D4029">
            <w:pPr>
              <w:spacing w:line="240" w:lineRule="auto"/>
              <w:ind w:firstLine="0" w:firstLineChars="0"/>
              <w:jc w:val="center"/>
              <w:rPr>
                <w:color w:val="auto"/>
                <w:sz w:val="21"/>
                <w:szCs w:val="21"/>
              </w:rPr>
            </w:pPr>
            <w:r>
              <w:rPr>
                <w:color w:val="auto"/>
                <w:sz w:val="21"/>
                <w:szCs w:val="21"/>
              </w:rPr>
              <w:t>Pa</w:t>
            </w:r>
          </w:p>
        </w:tc>
        <w:tc>
          <w:tcPr>
            <w:tcW w:w="1636" w:type="pct"/>
            <w:vAlign w:val="center"/>
          </w:tcPr>
          <w:p w14:paraId="2E03476D">
            <w:pPr>
              <w:adjustRightInd/>
              <w:snapToGrid/>
              <w:spacing w:line="240" w:lineRule="auto"/>
              <w:ind w:firstLine="0" w:firstLineChars="0"/>
              <w:jc w:val="center"/>
              <w:rPr>
                <w:color w:val="auto"/>
                <w:sz w:val="21"/>
                <w:szCs w:val="21"/>
              </w:rPr>
            </w:pPr>
            <w:r>
              <w:rPr>
                <w:rFonts w:hint="eastAsia"/>
                <w:color w:val="auto"/>
                <w:sz w:val="21"/>
                <w:szCs w:val="21"/>
              </w:rPr>
              <w:t>101325</w:t>
            </w:r>
          </w:p>
        </w:tc>
      </w:tr>
      <w:tr w14:paraId="4B438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Align w:val="center"/>
          </w:tcPr>
          <w:p w14:paraId="1DAAB1E9">
            <w:pPr>
              <w:spacing w:line="240" w:lineRule="auto"/>
              <w:ind w:firstLine="0" w:firstLineChars="0"/>
              <w:jc w:val="center"/>
              <w:rPr>
                <w:color w:val="auto"/>
                <w:sz w:val="21"/>
                <w:szCs w:val="21"/>
              </w:rPr>
            </w:pPr>
            <w:r>
              <w:rPr>
                <w:color w:val="auto"/>
                <w:sz w:val="21"/>
                <w:szCs w:val="21"/>
              </w:rPr>
              <w:t>g</w:t>
            </w:r>
          </w:p>
        </w:tc>
        <w:tc>
          <w:tcPr>
            <w:tcW w:w="1672" w:type="pct"/>
            <w:vAlign w:val="center"/>
          </w:tcPr>
          <w:p w14:paraId="3877F935">
            <w:pPr>
              <w:spacing w:line="240" w:lineRule="auto"/>
              <w:ind w:firstLine="0" w:firstLineChars="0"/>
              <w:jc w:val="center"/>
              <w:rPr>
                <w:color w:val="auto"/>
                <w:sz w:val="21"/>
                <w:szCs w:val="21"/>
              </w:rPr>
            </w:pPr>
            <w:r>
              <w:rPr>
                <w:color w:val="auto"/>
                <w:sz w:val="21"/>
                <w:szCs w:val="21"/>
              </w:rPr>
              <w:t>重力加速度</w:t>
            </w:r>
          </w:p>
        </w:tc>
        <w:tc>
          <w:tcPr>
            <w:tcW w:w="1007" w:type="pct"/>
            <w:vAlign w:val="center"/>
          </w:tcPr>
          <w:p w14:paraId="6DA03D9E">
            <w:pPr>
              <w:spacing w:line="240" w:lineRule="auto"/>
              <w:ind w:firstLine="0" w:firstLineChars="0"/>
              <w:jc w:val="center"/>
              <w:rPr>
                <w:color w:val="auto"/>
                <w:sz w:val="21"/>
                <w:szCs w:val="21"/>
              </w:rPr>
            </w:pPr>
            <w:r>
              <w:rPr>
                <w:color w:val="auto"/>
                <w:sz w:val="21"/>
                <w:szCs w:val="21"/>
              </w:rPr>
              <w:t>m/s</w:t>
            </w:r>
            <w:r>
              <w:rPr>
                <w:color w:val="auto"/>
                <w:sz w:val="21"/>
                <w:szCs w:val="21"/>
                <w:vertAlign w:val="superscript"/>
              </w:rPr>
              <w:t>2</w:t>
            </w:r>
          </w:p>
        </w:tc>
        <w:tc>
          <w:tcPr>
            <w:tcW w:w="1636" w:type="pct"/>
            <w:vAlign w:val="center"/>
          </w:tcPr>
          <w:p w14:paraId="3768CEA9">
            <w:pPr>
              <w:spacing w:line="240" w:lineRule="auto"/>
              <w:ind w:firstLine="0" w:firstLineChars="0"/>
              <w:jc w:val="center"/>
              <w:rPr>
                <w:color w:val="auto"/>
                <w:sz w:val="21"/>
                <w:szCs w:val="21"/>
              </w:rPr>
            </w:pPr>
            <w:r>
              <w:rPr>
                <w:rFonts w:hint="eastAsia"/>
                <w:color w:val="auto"/>
                <w:sz w:val="21"/>
                <w:szCs w:val="21"/>
              </w:rPr>
              <w:t>9.8</w:t>
            </w:r>
          </w:p>
        </w:tc>
      </w:tr>
      <w:tr w14:paraId="05F02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4" w:type="pct"/>
            <w:vAlign w:val="center"/>
          </w:tcPr>
          <w:p w14:paraId="79E7481F">
            <w:pPr>
              <w:spacing w:line="240" w:lineRule="auto"/>
              <w:ind w:firstLine="0" w:firstLineChars="0"/>
              <w:jc w:val="center"/>
              <w:rPr>
                <w:color w:val="auto"/>
                <w:sz w:val="21"/>
                <w:szCs w:val="21"/>
              </w:rPr>
            </w:pPr>
            <w:r>
              <w:rPr>
                <w:color w:val="auto"/>
                <w:sz w:val="21"/>
                <w:szCs w:val="21"/>
              </w:rPr>
              <w:t>h</w:t>
            </w:r>
          </w:p>
        </w:tc>
        <w:tc>
          <w:tcPr>
            <w:tcW w:w="1672" w:type="pct"/>
            <w:vAlign w:val="center"/>
          </w:tcPr>
          <w:p w14:paraId="38C6D209">
            <w:pPr>
              <w:spacing w:line="240" w:lineRule="auto"/>
              <w:ind w:firstLine="0" w:firstLineChars="0"/>
              <w:jc w:val="center"/>
              <w:rPr>
                <w:color w:val="auto"/>
                <w:sz w:val="21"/>
                <w:szCs w:val="21"/>
              </w:rPr>
            </w:pPr>
            <w:r>
              <w:rPr>
                <w:color w:val="auto"/>
                <w:sz w:val="21"/>
                <w:szCs w:val="21"/>
              </w:rPr>
              <w:t>裂口之上液位高度</w:t>
            </w:r>
          </w:p>
        </w:tc>
        <w:tc>
          <w:tcPr>
            <w:tcW w:w="1007" w:type="pct"/>
            <w:vAlign w:val="center"/>
          </w:tcPr>
          <w:p w14:paraId="3E747804">
            <w:pPr>
              <w:spacing w:line="240" w:lineRule="auto"/>
              <w:ind w:firstLine="0" w:firstLineChars="0"/>
              <w:jc w:val="center"/>
              <w:rPr>
                <w:color w:val="auto"/>
                <w:sz w:val="21"/>
                <w:szCs w:val="21"/>
              </w:rPr>
            </w:pPr>
            <w:r>
              <w:rPr>
                <w:color w:val="auto"/>
                <w:sz w:val="21"/>
                <w:szCs w:val="21"/>
              </w:rPr>
              <w:t>m</w:t>
            </w:r>
          </w:p>
        </w:tc>
        <w:tc>
          <w:tcPr>
            <w:tcW w:w="1636" w:type="pct"/>
            <w:vAlign w:val="center"/>
          </w:tcPr>
          <w:p w14:paraId="152CF5A4">
            <w:pPr>
              <w:spacing w:line="240" w:lineRule="auto"/>
              <w:ind w:firstLine="0" w:firstLineChars="0"/>
              <w:jc w:val="center"/>
              <w:rPr>
                <w:color w:val="auto"/>
                <w:sz w:val="21"/>
                <w:szCs w:val="21"/>
              </w:rPr>
            </w:pPr>
            <w:r>
              <w:rPr>
                <w:rFonts w:hint="eastAsia"/>
                <w:color w:val="auto"/>
                <w:sz w:val="21"/>
                <w:szCs w:val="21"/>
              </w:rPr>
              <w:t>3</w:t>
            </w:r>
          </w:p>
        </w:tc>
      </w:tr>
      <w:tr w14:paraId="1DE3D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Align w:val="center"/>
          </w:tcPr>
          <w:p w14:paraId="68EC08C7">
            <w:pPr>
              <w:spacing w:line="240" w:lineRule="auto"/>
              <w:ind w:firstLine="0" w:firstLineChars="0"/>
              <w:jc w:val="center"/>
              <w:rPr>
                <w:color w:val="auto"/>
                <w:sz w:val="21"/>
                <w:szCs w:val="21"/>
              </w:rPr>
            </w:pPr>
            <w:r>
              <w:rPr>
                <w:color w:val="auto"/>
                <w:sz w:val="21"/>
                <w:szCs w:val="21"/>
              </w:rPr>
              <w:t>Q</w:t>
            </w:r>
          </w:p>
        </w:tc>
        <w:tc>
          <w:tcPr>
            <w:tcW w:w="1672" w:type="pct"/>
            <w:vAlign w:val="center"/>
          </w:tcPr>
          <w:p w14:paraId="4219BB05">
            <w:pPr>
              <w:spacing w:line="240" w:lineRule="auto"/>
              <w:ind w:firstLine="0" w:firstLineChars="0"/>
              <w:jc w:val="center"/>
              <w:rPr>
                <w:color w:val="auto"/>
                <w:sz w:val="21"/>
                <w:szCs w:val="21"/>
              </w:rPr>
            </w:pPr>
            <w:r>
              <w:rPr>
                <w:color w:val="auto"/>
                <w:sz w:val="21"/>
                <w:szCs w:val="21"/>
              </w:rPr>
              <w:t>液体泄漏速度</w:t>
            </w:r>
          </w:p>
        </w:tc>
        <w:tc>
          <w:tcPr>
            <w:tcW w:w="1007" w:type="pct"/>
            <w:vAlign w:val="center"/>
          </w:tcPr>
          <w:p w14:paraId="70288AE7">
            <w:pPr>
              <w:spacing w:line="240" w:lineRule="auto"/>
              <w:ind w:firstLine="0" w:firstLineChars="0"/>
              <w:jc w:val="center"/>
              <w:rPr>
                <w:color w:val="auto"/>
                <w:sz w:val="21"/>
                <w:szCs w:val="21"/>
              </w:rPr>
            </w:pPr>
            <w:r>
              <w:rPr>
                <w:color w:val="auto"/>
                <w:sz w:val="21"/>
                <w:szCs w:val="21"/>
              </w:rPr>
              <w:t>kg/s</w:t>
            </w:r>
          </w:p>
        </w:tc>
        <w:tc>
          <w:tcPr>
            <w:tcW w:w="1636" w:type="pct"/>
            <w:vAlign w:val="center"/>
          </w:tcPr>
          <w:p w14:paraId="5E65A2D2">
            <w:pPr>
              <w:spacing w:line="240" w:lineRule="auto"/>
              <w:ind w:firstLine="0" w:firstLineChars="0"/>
              <w:jc w:val="center"/>
              <w:rPr>
                <w:color w:val="auto"/>
                <w:sz w:val="21"/>
                <w:szCs w:val="21"/>
              </w:rPr>
            </w:pPr>
            <w:r>
              <w:rPr>
                <w:rFonts w:hint="eastAsia"/>
                <w:color w:val="auto"/>
                <w:sz w:val="21"/>
                <w:szCs w:val="21"/>
              </w:rPr>
              <w:t>1.899</w:t>
            </w:r>
          </w:p>
        </w:tc>
      </w:tr>
      <w:tr w14:paraId="44C67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Align w:val="center"/>
          </w:tcPr>
          <w:p w14:paraId="49F2C668">
            <w:pPr>
              <w:spacing w:line="240" w:lineRule="auto"/>
              <w:ind w:firstLine="0" w:firstLineChars="0"/>
              <w:jc w:val="center"/>
              <w:rPr>
                <w:color w:val="auto"/>
                <w:sz w:val="21"/>
                <w:szCs w:val="21"/>
              </w:rPr>
            </w:pPr>
            <w:r>
              <w:rPr>
                <w:color w:val="auto"/>
                <w:sz w:val="21"/>
                <w:szCs w:val="21"/>
              </w:rPr>
              <w:t>/</w:t>
            </w:r>
          </w:p>
        </w:tc>
        <w:tc>
          <w:tcPr>
            <w:tcW w:w="1672" w:type="pct"/>
            <w:vAlign w:val="center"/>
          </w:tcPr>
          <w:p w14:paraId="01B25515">
            <w:pPr>
              <w:spacing w:line="240" w:lineRule="auto"/>
              <w:ind w:firstLine="0" w:firstLineChars="0"/>
              <w:jc w:val="center"/>
              <w:rPr>
                <w:color w:val="auto"/>
                <w:sz w:val="21"/>
                <w:szCs w:val="21"/>
              </w:rPr>
            </w:pPr>
            <w:r>
              <w:rPr>
                <w:color w:val="auto"/>
                <w:sz w:val="21"/>
                <w:szCs w:val="21"/>
              </w:rPr>
              <w:t>泄漏时间</w:t>
            </w:r>
          </w:p>
        </w:tc>
        <w:tc>
          <w:tcPr>
            <w:tcW w:w="1007" w:type="pct"/>
            <w:vAlign w:val="center"/>
          </w:tcPr>
          <w:p w14:paraId="3176BD2E">
            <w:pPr>
              <w:spacing w:line="240" w:lineRule="auto"/>
              <w:ind w:firstLine="0" w:firstLineChars="0"/>
              <w:jc w:val="center"/>
              <w:rPr>
                <w:color w:val="auto"/>
                <w:sz w:val="21"/>
                <w:szCs w:val="21"/>
              </w:rPr>
            </w:pPr>
            <w:r>
              <w:rPr>
                <w:color w:val="auto"/>
                <w:sz w:val="21"/>
                <w:szCs w:val="21"/>
              </w:rPr>
              <w:t>s</w:t>
            </w:r>
          </w:p>
        </w:tc>
        <w:tc>
          <w:tcPr>
            <w:tcW w:w="1636" w:type="pct"/>
            <w:vAlign w:val="center"/>
          </w:tcPr>
          <w:p w14:paraId="33444A2E">
            <w:pPr>
              <w:spacing w:line="240" w:lineRule="auto"/>
              <w:ind w:firstLine="0" w:firstLineChars="0"/>
              <w:jc w:val="center"/>
              <w:rPr>
                <w:color w:val="auto"/>
                <w:sz w:val="21"/>
                <w:szCs w:val="21"/>
              </w:rPr>
            </w:pPr>
            <w:r>
              <w:rPr>
                <w:rFonts w:hint="eastAsia"/>
                <w:color w:val="auto"/>
                <w:sz w:val="21"/>
                <w:szCs w:val="21"/>
              </w:rPr>
              <w:t>1800</w:t>
            </w:r>
          </w:p>
        </w:tc>
      </w:tr>
      <w:tr w14:paraId="145F4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4" w:type="pct"/>
            <w:vAlign w:val="center"/>
          </w:tcPr>
          <w:p w14:paraId="0C6FA852">
            <w:pPr>
              <w:spacing w:line="240" w:lineRule="auto"/>
              <w:ind w:firstLine="0" w:firstLineChars="0"/>
              <w:jc w:val="center"/>
              <w:rPr>
                <w:color w:val="auto"/>
                <w:sz w:val="21"/>
                <w:szCs w:val="21"/>
              </w:rPr>
            </w:pPr>
            <w:r>
              <w:rPr>
                <w:color w:val="auto"/>
                <w:sz w:val="21"/>
                <w:szCs w:val="21"/>
              </w:rPr>
              <w:t>/</w:t>
            </w:r>
          </w:p>
        </w:tc>
        <w:tc>
          <w:tcPr>
            <w:tcW w:w="1672" w:type="pct"/>
            <w:vAlign w:val="center"/>
          </w:tcPr>
          <w:p w14:paraId="3298FB27">
            <w:pPr>
              <w:spacing w:line="240" w:lineRule="auto"/>
              <w:ind w:firstLine="0" w:firstLineChars="0"/>
              <w:jc w:val="center"/>
              <w:rPr>
                <w:color w:val="auto"/>
                <w:sz w:val="21"/>
                <w:szCs w:val="21"/>
              </w:rPr>
            </w:pPr>
            <w:r>
              <w:rPr>
                <w:color w:val="auto"/>
                <w:sz w:val="21"/>
                <w:szCs w:val="21"/>
              </w:rPr>
              <w:t>泄漏量</w:t>
            </w:r>
          </w:p>
        </w:tc>
        <w:tc>
          <w:tcPr>
            <w:tcW w:w="1007" w:type="pct"/>
            <w:vAlign w:val="center"/>
          </w:tcPr>
          <w:p w14:paraId="31E7C4D6">
            <w:pPr>
              <w:spacing w:line="240" w:lineRule="auto"/>
              <w:ind w:firstLine="0" w:firstLineChars="0"/>
              <w:jc w:val="center"/>
              <w:rPr>
                <w:color w:val="auto"/>
                <w:sz w:val="21"/>
                <w:szCs w:val="21"/>
              </w:rPr>
            </w:pPr>
            <w:r>
              <w:rPr>
                <w:color w:val="auto"/>
                <w:sz w:val="21"/>
                <w:szCs w:val="21"/>
              </w:rPr>
              <w:t>kg</w:t>
            </w:r>
          </w:p>
        </w:tc>
        <w:tc>
          <w:tcPr>
            <w:tcW w:w="1636" w:type="pct"/>
            <w:vAlign w:val="center"/>
          </w:tcPr>
          <w:p w14:paraId="23770C07">
            <w:pPr>
              <w:widowControl/>
              <w:adjustRightInd/>
              <w:snapToGrid/>
              <w:spacing w:line="240" w:lineRule="auto"/>
              <w:ind w:firstLine="0" w:firstLineChars="0"/>
              <w:jc w:val="center"/>
              <w:textAlignment w:val="center"/>
              <w:rPr>
                <w:color w:val="auto"/>
                <w:sz w:val="21"/>
                <w:szCs w:val="21"/>
              </w:rPr>
            </w:pPr>
            <w:r>
              <w:rPr>
                <w:rFonts w:hint="eastAsia"/>
                <w:color w:val="auto"/>
                <w:sz w:val="21"/>
                <w:szCs w:val="21"/>
              </w:rPr>
              <w:t>3418.016</w:t>
            </w:r>
          </w:p>
        </w:tc>
      </w:tr>
    </w:tbl>
    <w:p w14:paraId="1DF3AC2F">
      <w:pPr>
        <w:ind w:firstLine="480"/>
        <w:rPr>
          <w:bCs/>
          <w:color w:val="auto"/>
        </w:rPr>
      </w:pPr>
      <w:r>
        <w:rPr>
          <w:bCs/>
          <w:color w:val="auto"/>
        </w:rPr>
        <w:t>泄露出的物料蒸发过程一般包括闪蒸蒸发、热量蒸发、质量蒸发三项总和。液氨储罐属于压力容器，液氨常温下为气体，发生泄漏后立即挥发为气体，则液氨泄漏氨气蒸发速率为</w:t>
      </w:r>
      <w:r>
        <w:rPr>
          <w:rFonts w:hint="eastAsia"/>
          <w:bCs/>
          <w:color w:val="auto"/>
        </w:rPr>
        <w:t>1.899</w:t>
      </w:r>
      <w:r>
        <w:rPr>
          <w:bCs/>
          <w:color w:val="auto"/>
        </w:rPr>
        <w:t>kg/s。</w:t>
      </w:r>
    </w:p>
    <w:p w14:paraId="187AAA49">
      <w:pPr>
        <w:ind w:firstLine="480"/>
        <w:rPr>
          <w:bCs/>
          <w:color w:val="auto"/>
        </w:rPr>
      </w:pPr>
      <w:r>
        <w:rPr>
          <w:rFonts w:hint="eastAsia"/>
          <w:bCs/>
          <w:color w:val="auto"/>
        </w:rPr>
        <w:t>2、</w:t>
      </w:r>
      <w:r>
        <w:rPr>
          <w:bCs/>
          <w:color w:val="auto"/>
        </w:rPr>
        <w:t>火灾事故源项分析</w:t>
      </w:r>
    </w:p>
    <w:p w14:paraId="34E36998">
      <w:pPr>
        <w:ind w:firstLine="480"/>
        <w:rPr>
          <w:bCs/>
          <w:color w:val="auto"/>
        </w:rPr>
      </w:pPr>
      <w:r>
        <w:rPr>
          <w:bCs/>
          <w:color w:val="auto"/>
        </w:rPr>
        <w:t>本项目硫磺以50kg袋装形式储存于丙类仓库内，遇明火、高热会发生火灾，并次伴生SO</w:t>
      </w:r>
      <w:r>
        <w:rPr>
          <w:bCs/>
          <w:color w:val="auto"/>
          <w:vertAlign w:val="subscript"/>
        </w:rPr>
        <w:t>2</w:t>
      </w:r>
      <w:r>
        <w:rPr>
          <w:bCs/>
          <w:color w:val="auto"/>
        </w:rPr>
        <w:t>等污染物，50kg硫磺燃烧持续时间约10min后全部烧完，SO</w:t>
      </w:r>
      <w:r>
        <w:rPr>
          <w:bCs/>
          <w:color w:val="auto"/>
          <w:vertAlign w:val="subscript"/>
        </w:rPr>
        <w:t>2</w:t>
      </w:r>
      <w:r>
        <w:rPr>
          <w:bCs/>
          <w:color w:val="auto"/>
        </w:rPr>
        <w:t>产生量为100kg，SO</w:t>
      </w:r>
      <w:r>
        <w:rPr>
          <w:bCs/>
          <w:color w:val="auto"/>
          <w:vertAlign w:val="subscript"/>
        </w:rPr>
        <w:t>2</w:t>
      </w:r>
      <w:r>
        <w:rPr>
          <w:bCs/>
          <w:color w:val="auto"/>
        </w:rPr>
        <w:t>废气产生速率为0.167kg/s。</w:t>
      </w:r>
    </w:p>
    <w:p w14:paraId="5FD5CCFA">
      <w:pPr>
        <w:ind w:firstLine="480"/>
        <w:rPr>
          <w:bCs/>
          <w:color w:val="auto"/>
        </w:rPr>
      </w:pPr>
      <w:r>
        <w:rPr>
          <w:rFonts w:hint="eastAsia"/>
          <w:bCs/>
          <w:color w:val="auto"/>
        </w:rPr>
        <w:t>综上，本项目风险源强汇总情况见下表。</w:t>
      </w:r>
    </w:p>
    <w:p w14:paraId="7049A06B">
      <w:pPr>
        <w:ind w:firstLine="482"/>
        <w:jc w:val="center"/>
        <w:rPr>
          <w:b/>
          <w:color w:val="auto"/>
        </w:rPr>
      </w:pPr>
      <w:r>
        <w:rPr>
          <w:rFonts w:hint="eastAsia"/>
          <w:b/>
          <w:color w:val="auto"/>
        </w:rPr>
        <w:t>表6.7.3-2 风险源强一览表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36"/>
        <w:gridCol w:w="995"/>
        <w:gridCol w:w="1194"/>
        <w:gridCol w:w="1016"/>
        <w:gridCol w:w="646"/>
        <w:gridCol w:w="1112"/>
        <w:gridCol w:w="907"/>
        <w:gridCol w:w="1122"/>
        <w:gridCol w:w="1110"/>
        <w:gridCol w:w="1114"/>
      </w:tblGrid>
      <w:tr w14:paraId="63C1F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75" w:type="pct"/>
            <w:vAlign w:val="center"/>
          </w:tcPr>
          <w:p w14:paraId="35671632">
            <w:pPr>
              <w:spacing w:line="240" w:lineRule="auto"/>
              <w:ind w:firstLine="0" w:firstLineChars="0"/>
              <w:jc w:val="center"/>
              <w:rPr>
                <w:b/>
                <w:color w:val="auto"/>
                <w:sz w:val="21"/>
                <w:szCs w:val="21"/>
              </w:rPr>
            </w:pPr>
            <w:r>
              <w:rPr>
                <w:b/>
                <w:color w:val="auto"/>
                <w:sz w:val="21"/>
                <w:szCs w:val="21"/>
              </w:rPr>
              <w:t>序号</w:t>
            </w:r>
          </w:p>
        </w:tc>
        <w:tc>
          <w:tcPr>
            <w:tcW w:w="510" w:type="pct"/>
            <w:vAlign w:val="center"/>
          </w:tcPr>
          <w:p w14:paraId="4ECB5C99">
            <w:pPr>
              <w:spacing w:line="240" w:lineRule="auto"/>
              <w:ind w:firstLine="0" w:firstLineChars="0"/>
              <w:jc w:val="center"/>
              <w:rPr>
                <w:b/>
                <w:color w:val="auto"/>
                <w:sz w:val="21"/>
                <w:szCs w:val="21"/>
              </w:rPr>
            </w:pPr>
            <w:r>
              <w:rPr>
                <w:b/>
                <w:color w:val="auto"/>
                <w:sz w:val="21"/>
                <w:szCs w:val="21"/>
              </w:rPr>
              <w:t>风险事故情形描述</w:t>
            </w:r>
          </w:p>
        </w:tc>
        <w:tc>
          <w:tcPr>
            <w:tcW w:w="612" w:type="pct"/>
            <w:vAlign w:val="center"/>
          </w:tcPr>
          <w:p w14:paraId="6AAC2AA7">
            <w:pPr>
              <w:spacing w:line="240" w:lineRule="auto"/>
              <w:ind w:firstLine="0" w:firstLineChars="0"/>
              <w:jc w:val="center"/>
              <w:rPr>
                <w:b/>
                <w:color w:val="auto"/>
                <w:sz w:val="21"/>
                <w:szCs w:val="21"/>
              </w:rPr>
            </w:pPr>
            <w:r>
              <w:rPr>
                <w:b/>
                <w:color w:val="auto"/>
                <w:sz w:val="21"/>
                <w:szCs w:val="21"/>
              </w:rPr>
              <w:t>危险</w:t>
            </w:r>
          </w:p>
          <w:p w14:paraId="69ED3709">
            <w:pPr>
              <w:spacing w:line="240" w:lineRule="auto"/>
              <w:ind w:firstLine="0" w:firstLineChars="0"/>
              <w:jc w:val="center"/>
              <w:rPr>
                <w:b/>
                <w:color w:val="auto"/>
                <w:sz w:val="21"/>
                <w:szCs w:val="21"/>
              </w:rPr>
            </w:pPr>
            <w:r>
              <w:rPr>
                <w:b/>
                <w:color w:val="auto"/>
                <w:sz w:val="21"/>
                <w:szCs w:val="21"/>
              </w:rPr>
              <w:t>单元</w:t>
            </w:r>
          </w:p>
        </w:tc>
        <w:tc>
          <w:tcPr>
            <w:tcW w:w="521" w:type="pct"/>
            <w:vAlign w:val="center"/>
          </w:tcPr>
          <w:p w14:paraId="4C654376">
            <w:pPr>
              <w:spacing w:line="240" w:lineRule="auto"/>
              <w:ind w:firstLine="0" w:firstLineChars="0"/>
              <w:jc w:val="center"/>
              <w:rPr>
                <w:b/>
                <w:color w:val="auto"/>
                <w:sz w:val="21"/>
                <w:szCs w:val="21"/>
              </w:rPr>
            </w:pPr>
            <w:r>
              <w:rPr>
                <w:b/>
                <w:color w:val="auto"/>
                <w:sz w:val="21"/>
                <w:szCs w:val="21"/>
              </w:rPr>
              <w:t>危险物质</w:t>
            </w:r>
          </w:p>
        </w:tc>
        <w:tc>
          <w:tcPr>
            <w:tcW w:w="331" w:type="pct"/>
            <w:vAlign w:val="center"/>
          </w:tcPr>
          <w:p w14:paraId="63D9F4FC">
            <w:pPr>
              <w:spacing w:line="240" w:lineRule="auto"/>
              <w:ind w:firstLine="0" w:firstLineChars="0"/>
              <w:jc w:val="center"/>
              <w:rPr>
                <w:b/>
                <w:color w:val="auto"/>
                <w:sz w:val="21"/>
                <w:szCs w:val="21"/>
              </w:rPr>
            </w:pPr>
            <w:r>
              <w:rPr>
                <w:b/>
                <w:color w:val="auto"/>
                <w:sz w:val="21"/>
                <w:szCs w:val="21"/>
              </w:rPr>
              <w:t>影响</w:t>
            </w:r>
          </w:p>
          <w:p w14:paraId="3B984FB3">
            <w:pPr>
              <w:spacing w:line="240" w:lineRule="auto"/>
              <w:ind w:firstLine="0" w:firstLineChars="0"/>
              <w:jc w:val="center"/>
              <w:rPr>
                <w:b/>
                <w:color w:val="auto"/>
                <w:sz w:val="21"/>
                <w:szCs w:val="21"/>
              </w:rPr>
            </w:pPr>
            <w:r>
              <w:rPr>
                <w:b/>
                <w:color w:val="auto"/>
                <w:sz w:val="21"/>
                <w:szCs w:val="21"/>
              </w:rPr>
              <w:t>途径</w:t>
            </w:r>
          </w:p>
        </w:tc>
        <w:tc>
          <w:tcPr>
            <w:tcW w:w="570" w:type="pct"/>
            <w:vAlign w:val="center"/>
          </w:tcPr>
          <w:p w14:paraId="5D364BEF">
            <w:pPr>
              <w:spacing w:line="240" w:lineRule="auto"/>
              <w:ind w:firstLine="0" w:firstLineChars="0"/>
              <w:jc w:val="center"/>
              <w:rPr>
                <w:b/>
                <w:color w:val="auto"/>
                <w:sz w:val="21"/>
                <w:szCs w:val="21"/>
              </w:rPr>
            </w:pPr>
            <w:r>
              <w:rPr>
                <w:b/>
                <w:color w:val="auto"/>
                <w:sz w:val="21"/>
                <w:szCs w:val="21"/>
              </w:rPr>
              <w:t>释放或泄漏速率（kg/s）</w:t>
            </w:r>
          </w:p>
        </w:tc>
        <w:tc>
          <w:tcPr>
            <w:tcW w:w="465" w:type="pct"/>
            <w:vAlign w:val="center"/>
          </w:tcPr>
          <w:p w14:paraId="070BFBBA">
            <w:pPr>
              <w:spacing w:line="240" w:lineRule="auto"/>
              <w:ind w:firstLine="0" w:firstLineChars="0"/>
              <w:jc w:val="center"/>
              <w:rPr>
                <w:b/>
                <w:color w:val="auto"/>
                <w:sz w:val="21"/>
                <w:szCs w:val="21"/>
              </w:rPr>
            </w:pPr>
            <w:r>
              <w:rPr>
                <w:b/>
                <w:color w:val="auto"/>
                <w:sz w:val="21"/>
                <w:szCs w:val="21"/>
              </w:rPr>
              <w:t>释放或泄漏时间/min</w:t>
            </w:r>
          </w:p>
        </w:tc>
        <w:tc>
          <w:tcPr>
            <w:tcW w:w="575" w:type="pct"/>
            <w:vAlign w:val="center"/>
          </w:tcPr>
          <w:p w14:paraId="71C4B142">
            <w:pPr>
              <w:spacing w:line="240" w:lineRule="auto"/>
              <w:ind w:firstLine="0" w:firstLineChars="0"/>
              <w:jc w:val="center"/>
              <w:rPr>
                <w:b/>
                <w:color w:val="auto"/>
                <w:sz w:val="21"/>
                <w:szCs w:val="21"/>
              </w:rPr>
            </w:pPr>
            <w:r>
              <w:rPr>
                <w:b/>
                <w:color w:val="auto"/>
                <w:sz w:val="21"/>
                <w:szCs w:val="21"/>
              </w:rPr>
              <w:t>最大释放或泄漏量/kg</w:t>
            </w:r>
          </w:p>
        </w:tc>
        <w:tc>
          <w:tcPr>
            <w:tcW w:w="569" w:type="pct"/>
            <w:vAlign w:val="center"/>
          </w:tcPr>
          <w:p w14:paraId="21D13501">
            <w:pPr>
              <w:spacing w:line="240" w:lineRule="auto"/>
              <w:ind w:firstLine="0" w:firstLineChars="0"/>
              <w:jc w:val="center"/>
              <w:rPr>
                <w:b/>
                <w:color w:val="auto"/>
                <w:sz w:val="21"/>
                <w:szCs w:val="21"/>
              </w:rPr>
            </w:pPr>
            <w:r>
              <w:rPr>
                <w:b/>
                <w:color w:val="auto"/>
                <w:sz w:val="21"/>
                <w:szCs w:val="21"/>
              </w:rPr>
              <w:t>泄漏液体蒸发速率kg/s</w:t>
            </w:r>
          </w:p>
        </w:tc>
        <w:tc>
          <w:tcPr>
            <w:tcW w:w="571" w:type="pct"/>
            <w:vAlign w:val="center"/>
          </w:tcPr>
          <w:p w14:paraId="71EB1CEF">
            <w:pPr>
              <w:spacing w:line="240" w:lineRule="auto"/>
              <w:ind w:firstLine="0" w:firstLineChars="0"/>
              <w:jc w:val="center"/>
              <w:rPr>
                <w:b/>
                <w:color w:val="auto"/>
                <w:sz w:val="21"/>
                <w:szCs w:val="21"/>
              </w:rPr>
            </w:pPr>
            <w:r>
              <w:rPr>
                <w:b/>
                <w:color w:val="auto"/>
                <w:sz w:val="21"/>
                <w:szCs w:val="21"/>
              </w:rPr>
              <w:t>其他事故源参数</w:t>
            </w:r>
          </w:p>
        </w:tc>
      </w:tr>
      <w:tr w14:paraId="237E4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75" w:type="pct"/>
            <w:vAlign w:val="center"/>
          </w:tcPr>
          <w:p w14:paraId="2359EFC6">
            <w:pPr>
              <w:widowControl/>
              <w:spacing w:line="240" w:lineRule="auto"/>
              <w:ind w:firstLine="0" w:firstLineChars="0"/>
              <w:jc w:val="center"/>
              <w:rPr>
                <w:color w:val="auto"/>
                <w:sz w:val="21"/>
                <w:szCs w:val="21"/>
              </w:rPr>
            </w:pPr>
            <w:r>
              <w:rPr>
                <w:color w:val="auto"/>
                <w:sz w:val="21"/>
                <w:szCs w:val="21"/>
              </w:rPr>
              <w:t>1</w:t>
            </w:r>
          </w:p>
        </w:tc>
        <w:tc>
          <w:tcPr>
            <w:tcW w:w="510" w:type="pct"/>
            <w:vAlign w:val="center"/>
          </w:tcPr>
          <w:p w14:paraId="4C503F38">
            <w:pPr>
              <w:widowControl/>
              <w:spacing w:line="240" w:lineRule="auto"/>
              <w:ind w:firstLine="0" w:firstLineChars="0"/>
              <w:jc w:val="center"/>
              <w:rPr>
                <w:color w:val="auto"/>
                <w:sz w:val="21"/>
                <w:szCs w:val="21"/>
              </w:rPr>
            </w:pPr>
            <w:r>
              <w:rPr>
                <w:color w:val="auto"/>
                <w:sz w:val="21"/>
                <w:szCs w:val="21"/>
              </w:rPr>
              <w:t>泄漏</w:t>
            </w:r>
          </w:p>
        </w:tc>
        <w:tc>
          <w:tcPr>
            <w:tcW w:w="612" w:type="pct"/>
            <w:vAlign w:val="center"/>
          </w:tcPr>
          <w:p w14:paraId="3D961B57">
            <w:pPr>
              <w:spacing w:line="240" w:lineRule="auto"/>
              <w:ind w:firstLine="0" w:firstLineChars="0"/>
              <w:jc w:val="center"/>
              <w:rPr>
                <w:color w:val="auto"/>
                <w:sz w:val="21"/>
                <w:szCs w:val="21"/>
              </w:rPr>
            </w:pPr>
            <w:r>
              <w:rPr>
                <w:rFonts w:hint="eastAsia"/>
                <w:color w:val="auto"/>
                <w:sz w:val="21"/>
                <w:szCs w:val="21"/>
              </w:rPr>
              <w:t>液氨</w:t>
            </w:r>
            <w:r>
              <w:rPr>
                <w:color w:val="auto"/>
                <w:sz w:val="21"/>
                <w:szCs w:val="21"/>
              </w:rPr>
              <w:t>储罐</w:t>
            </w:r>
          </w:p>
        </w:tc>
        <w:tc>
          <w:tcPr>
            <w:tcW w:w="521" w:type="pct"/>
            <w:vAlign w:val="center"/>
          </w:tcPr>
          <w:p w14:paraId="42A3A3D5">
            <w:pPr>
              <w:spacing w:line="240" w:lineRule="auto"/>
              <w:ind w:firstLine="0" w:firstLineChars="0"/>
              <w:jc w:val="center"/>
              <w:rPr>
                <w:color w:val="auto"/>
                <w:sz w:val="21"/>
                <w:szCs w:val="21"/>
              </w:rPr>
            </w:pPr>
            <w:r>
              <w:rPr>
                <w:rFonts w:hint="eastAsia"/>
                <w:color w:val="auto"/>
                <w:sz w:val="21"/>
                <w:szCs w:val="21"/>
              </w:rPr>
              <w:t>氨气</w:t>
            </w:r>
          </w:p>
        </w:tc>
        <w:tc>
          <w:tcPr>
            <w:tcW w:w="331" w:type="pct"/>
            <w:vAlign w:val="center"/>
          </w:tcPr>
          <w:p w14:paraId="1AD10A4F">
            <w:pPr>
              <w:spacing w:line="240" w:lineRule="auto"/>
              <w:ind w:firstLine="0" w:firstLineChars="0"/>
              <w:jc w:val="center"/>
              <w:rPr>
                <w:color w:val="auto"/>
                <w:sz w:val="21"/>
                <w:szCs w:val="21"/>
              </w:rPr>
            </w:pPr>
            <w:r>
              <w:rPr>
                <w:color w:val="auto"/>
                <w:sz w:val="21"/>
                <w:szCs w:val="21"/>
              </w:rPr>
              <w:t>大气</w:t>
            </w:r>
          </w:p>
        </w:tc>
        <w:tc>
          <w:tcPr>
            <w:tcW w:w="570" w:type="pct"/>
            <w:vAlign w:val="center"/>
          </w:tcPr>
          <w:p w14:paraId="608529B3">
            <w:pPr>
              <w:spacing w:line="240" w:lineRule="auto"/>
              <w:ind w:firstLine="0" w:firstLineChars="0"/>
              <w:jc w:val="center"/>
              <w:rPr>
                <w:color w:val="auto"/>
                <w:sz w:val="21"/>
                <w:szCs w:val="21"/>
              </w:rPr>
            </w:pPr>
            <w:r>
              <w:rPr>
                <w:rFonts w:hint="eastAsia"/>
                <w:color w:val="auto"/>
                <w:sz w:val="21"/>
                <w:szCs w:val="21"/>
              </w:rPr>
              <w:t>1.899</w:t>
            </w:r>
          </w:p>
        </w:tc>
        <w:tc>
          <w:tcPr>
            <w:tcW w:w="465" w:type="pct"/>
            <w:vAlign w:val="center"/>
          </w:tcPr>
          <w:p w14:paraId="6F9DB049">
            <w:pPr>
              <w:spacing w:line="240" w:lineRule="auto"/>
              <w:ind w:firstLine="0" w:firstLineChars="0"/>
              <w:jc w:val="center"/>
              <w:rPr>
                <w:color w:val="auto"/>
                <w:sz w:val="21"/>
                <w:szCs w:val="21"/>
              </w:rPr>
            </w:pPr>
            <w:r>
              <w:rPr>
                <w:rFonts w:hint="eastAsia"/>
                <w:color w:val="auto"/>
                <w:sz w:val="21"/>
                <w:szCs w:val="21"/>
              </w:rPr>
              <w:t>30</w:t>
            </w:r>
          </w:p>
        </w:tc>
        <w:tc>
          <w:tcPr>
            <w:tcW w:w="575" w:type="pct"/>
            <w:vAlign w:val="center"/>
          </w:tcPr>
          <w:p w14:paraId="0F80CED1">
            <w:pPr>
              <w:spacing w:line="240" w:lineRule="auto"/>
              <w:ind w:firstLine="0" w:firstLineChars="0"/>
              <w:jc w:val="center"/>
              <w:rPr>
                <w:color w:val="auto"/>
                <w:sz w:val="21"/>
                <w:szCs w:val="21"/>
              </w:rPr>
            </w:pPr>
            <w:r>
              <w:rPr>
                <w:rFonts w:hint="eastAsia"/>
                <w:color w:val="auto"/>
                <w:sz w:val="21"/>
                <w:szCs w:val="21"/>
              </w:rPr>
              <w:t>3418.016</w:t>
            </w:r>
          </w:p>
        </w:tc>
        <w:tc>
          <w:tcPr>
            <w:tcW w:w="569" w:type="pct"/>
            <w:vAlign w:val="center"/>
          </w:tcPr>
          <w:p w14:paraId="5B8AE9C9">
            <w:pPr>
              <w:spacing w:line="240" w:lineRule="auto"/>
              <w:ind w:firstLine="0" w:firstLineChars="0"/>
              <w:jc w:val="center"/>
              <w:rPr>
                <w:color w:val="auto"/>
                <w:sz w:val="21"/>
                <w:szCs w:val="21"/>
              </w:rPr>
            </w:pPr>
            <w:r>
              <w:rPr>
                <w:rFonts w:hint="eastAsia"/>
                <w:color w:val="auto"/>
                <w:sz w:val="21"/>
                <w:szCs w:val="21"/>
              </w:rPr>
              <w:t>1.899</w:t>
            </w:r>
          </w:p>
        </w:tc>
        <w:tc>
          <w:tcPr>
            <w:tcW w:w="571" w:type="pct"/>
            <w:vAlign w:val="center"/>
          </w:tcPr>
          <w:p w14:paraId="7B37B742">
            <w:pPr>
              <w:spacing w:line="240" w:lineRule="auto"/>
              <w:ind w:firstLine="0" w:firstLineChars="0"/>
              <w:jc w:val="center"/>
              <w:rPr>
                <w:color w:val="auto"/>
                <w:sz w:val="21"/>
                <w:szCs w:val="21"/>
              </w:rPr>
            </w:pPr>
            <w:r>
              <w:rPr>
                <w:color w:val="auto"/>
                <w:sz w:val="21"/>
                <w:szCs w:val="21"/>
              </w:rPr>
              <w:t>不利气象</w:t>
            </w:r>
          </w:p>
        </w:tc>
      </w:tr>
      <w:tr w14:paraId="426F0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75" w:type="pct"/>
            <w:vAlign w:val="center"/>
          </w:tcPr>
          <w:p w14:paraId="52FC1083">
            <w:pPr>
              <w:spacing w:line="240" w:lineRule="auto"/>
              <w:ind w:firstLine="0" w:firstLineChars="0"/>
              <w:jc w:val="center"/>
              <w:rPr>
                <w:color w:val="auto"/>
                <w:sz w:val="21"/>
                <w:szCs w:val="21"/>
              </w:rPr>
            </w:pPr>
            <w:r>
              <w:rPr>
                <w:rFonts w:hint="eastAsia"/>
                <w:color w:val="auto"/>
                <w:sz w:val="21"/>
                <w:szCs w:val="21"/>
              </w:rPr>
              <w:t>2</w:t>
            </w:r>
          </w:p>
        </w:tc>
        <w:tc>
          <w:tcPr>
            <w:tcW w:w="510" w:type="pct"/>
            <w:vAlign w:val="center"/>
          </w:tcPr>
          <w:p w14:paraId="2B125253">
            <w:pPr>
              <w:spacing w:line="240" w:lineRule="auto"/>
              <w:ind w:firstLine="0" w:firstLineChars="0"/>
              <w:jc w:val="center"/>
              <w:rPr>
                <w:color w:val="auto"/>
                <w:sz w:val="21"/>
                <w:szCs w:val="21"/>
              </w:rPr>
            </w:pPr>
            <w:r>
              <w:rPr>
                <w:rFonts w:hint="eastAsia"/>
                <w:color w:val="auto"/>
                <w:sz w:val="21"/>
                <w:szCs w:val="21"/>
              </w:rPr>
              <w:t>火灾爆炸</w:t>
            </w:r>
          </w:p>
        </w:tc>
        <w:tc>
          <w:tcPr>
            <w:tcW w:w="612" w:type="pct"/>
            <w:vAlign w:val="center"/>
          </w:tcPr>
          <w:p w14:paraId="78ED00BB">
            <w:pPr>
              <w:spacing w:line="240" w:lineRule="auto"/>
              <w:ind w:firstLine="0" w:firstLineChars="0"/>
              <w:jc w:val="center"/>
              <w:rPr>
                <w:color w:val="auto"/>
                <w:sz w:val="21"/>
                <w:szCs w:val="21"/>
              </w:rPr>
            </w:pPr>
            <w:r>
              <w:rPr>
                <w:rFonts w:hint="eastAsia"/>
                <w:color w:val="auto"/>
                <w:sz w:val="21"/>
                <w:szCs w:val="21"/>
              </w:rPr>
              <w:t>丙类仓库</w:t>
            </w:r>
          </w:p>
        </w:tc>
        <w:tc>
          <w:tcPr>
            <w:tcW w:w="521" w:type="pct"/>
            <w:vAlign w:val="center"/>
          </w:tcPr>
          <w:p w14:paraId="37420A2F">
            <w:pPr>
              <w:spacing w:line="240" w:lineRule="auto"/>
              <w:ind w:firstLine="0" w:firstLineChars="0"/>
              <w:jc w:val="center"/>
              <w:rPr>
                <w:color w:val="auto"/>
                <w:sz w:val="21"/>
                <w:szCs w:val="21"/>
              </w:rPr>
            </w:pPr>
            <w:r>
              <w:rPr>
                <w:rFonts w:hint="eastAsia"/>
                <w:color w:val="auto"/>
                <w:sz w:val="21"/>
                <w:szCs w:val="21"/>
              </w:rPr>
              <w:t>二氧化硫</w:t>
            </w:r>
          </w:p>
        </w:tc>
        <w:tc>
          <w:tcPr>
            <w:tcW w:w="331" w:type="pct"/>
            <w:vAlign w:val="center"/>
          </w:tcPr>
          <w:p w14:paraId="7B8D777A">
            <w:pPr>
              <w:spacing w:line="240" w:lineRule="auto"/>
              <w:ind w:firstLine="0" w:firstLineChars="0"/>
              <w:jc w:val="center"/>
              <w:rPr>
                <w:color w:val="auto"/>
                <w:sz w:val="21"/>
                <w:szCs w:val="21"/>
              </w:rPr>
            </w:pPr>
            <w:r>
              <w:rPr>
                <w:color w:val="auto"/>
                <w:sz w:val="21"/>
                <w:szCs w:val="21"/>
              </w:rPr>
              <w:t>大气</w:t>
            </w:r>
          </w:p>
        </w:tc>
        <w:tc>
          <w:tcPr>
            <w:tcW w:w="570" w:type="pct"/>
            <w:vAlign w:val="center"/>
          </w:tcPr>
          <w:p w14:paraId="7D2D6B51">
            <w:pPr>
              <w:spacing w:line="240" w:lineRule="auto"/>
              <w:ind w:firstLine="0" w:firstLineChars="0"/>
              <w:jc w:val="center"/>
              <w:rPr>
                <w:color w:val="auto"/>
                <w:sz w:val="21"/>
                <w:szCs w:val="21"/>
              </w:rPr>
            </w:pPr>
            <w:r>
              <w:rPr>
                <w:rFonts w:hint="eastAsia"/>
                <w:color w:val="auto"/>
                <w:sz w:val="21"/>
                <w:szCs w:val="21"/>
              </w:rPr>
              <w:t>0.167</w:t>
            </w:r>
          </w:p>
        </w:tc>
        <w:tc>
          <w:tcPr>
            <w:tcW w:w="465" w:type="pct"/>
            <w:vAlign w:val="center"/>
          </w:tcPr>
          <w:p w14:paraId="527B071F">
            <w:pPr>
              <w:spacing w:line="240" w:lineRule="auto"/>
              <w:ind w:firstLine="0" w:firstLineChars="0"/>
              <w:jc w:val="center"/>
              <w:rPr>
                <w:color w:val="auto"/>
                <w:sz w:val="21"/>
                <w:szCs w:val="21"/>
              </w:rPr>
            </w:pPr>
            <w:r>
              <w:rPr>
                <w:rFonts w:hint="eastAsia"/>
                <w:color w:val="auto"/>
                <w:sz w:val="21"/>
                <w:szCs w:val="21"/>
              </w:rPr>
              <w:t>10</w:t>
            </w:r>
          </w:p>
        </w:tc>
        <w:tc>
          <w:tcPr>
            <w:tcW w:w="575" w:type="pct"/>
            <w:vAlign w:val="center"/>
          </w:tcPr>
          <w:p w14:paraId="54CD2479">
            <w:pPr>
              <w:spacing w:line="240" w:lineRule="auto"/>
              <w:ind w:firstLine="0" w:firstLineChars="0"/>
              <w:jc w:val="center"/>
              <w:rPr>
                <w:color w:val="auto"/>
                <w:sz w:val="21"/>
                <w:szCs w:val="21"/>
              </w:rPr>
            </w:pPr>
            <w:r>
              <w:rPr>
                <w:rFonts w:hint="eastAsia"/>
                <w:color w:val="auto"/>
                <w:sz w:val="21"/>
                <w:szCs w:val="21"/>
              </w:rPr>
              <w:t>100</w:t>
            </w:r>
          </w:p>
        </w:tc>
        <w:tc>
          <w:tcPr>
            <w:tcW w:w="569" w:type="pct"/>
            <w:vAlign w:val="center"/>
          </w:tcPr>
          <w:p w14:paraId="5CFD2B98">
            <w:pPr>
              <w:spacing w:line="240" w:lineRule="auto"/>
              <w:ind w:firstLine="0" w:firstLineChars="0"/>
              <w:jc w:val="center"/>
              <w:rPr>
                <w:color w:val="auto"/>
                <w:sz w:val="21"/>
                <w:szCs w:val="21"/>
              </w:rPr>
            </w:pPr>
            <w:r>
              <w:rPr>
                <w:rFonts w:hint="eastAsia"/>
                <w:color w:val="auto"/>
                <w:sz w:val="21"/>
                <w:szCs w:val="21"/>
              </w:rPr>
              <w:t>/</w:t>
            </w:r>
          </w:p>
        </w:tc>
        <w:tc>
          <w:tcPr>
            <w:tcW w:w="571" w:type="pct"/>
            <w:vAlign w:val="center"/>
          </w:tcPr>
          <w:p w14:paraId="777E46CC">
            <w:pPr>
              <w:spacing w:line="240" w:lineRule="auto"/>
              <w:ind w:firstLine="0" w:firstLineChars="0"/>
              <w:jc w:val="center"/>
              <w:rPr>
                <w:color w:val="auto"/>
                <w:sz w:val="21"/>
                <w:szCs w:val="21"/>
              </w:rPr>
            </w:pPr>
            <w:r>
              <w:rPr>
                <w:color w:val="auto"/>
                <w:sz w:val="21"/>
                <w:szCs w:val="21"/>
              </w:rPr>
              <w:t>不利气象</w:t>
            </w:r>
          </w:p>
        </w:tc>
      </w:tr>
    </w:tbl>
    <w:p w14:paraId="78473FF9">
      <w:pPr>
        <w:pStyle w:val="4"/>
        <w:rPr>
          <w:color w:val="auto"/>
        </w:rPr>
      </w:pPr>
      <w:bookmarkStart w:id="235" w:name="_Toc6078"/>
      <w:r>
        <w:rPr>
          <w:rFonts w:hint="eastAsia"/>
          <w:color w:val="auto"/>
        </w:rPr>
        <w:t>6.7.4大气风险预测与评价</w:t>
      </w:r>
      <w:bookmarkEnd w:id="235"/>
    </w:p>
    <w:p w14:paraId="606E1CBB">
      <w:pPr>
        <w:ind w:firstLine="480"/>
        <w:rPr>
          <w:bCs/>
          <w:color w:val="auto"/>
        </w:rPr>
      </w:pPr>
      <w:r>
        <w:rPr>
          <w:rFonts w:hint="eastAsia"/>
          <w:bCs/>
          <w:color w:val="auto"/>
        </w:rPr>
        <w:t>1、预测模式筛选</w:t>
      </w:r>
    </w:p>
    <w:p w14:paraId="28C7CB52">
      <w:pPr>
        <w:ind w:firstLine="480"/>
        <w:rPr>
          <w:bCs/>
          <w:color w:val="auto"/>
        </w:rPr>
      </w:pPr>
      <w:r>
        <w:rPr>
          <w:bCs/>
          <w:color w:val="auto"/>
        </w:rPr>
        <w:t>根据《建设项目环境风险评价技术导则》(HJ169-2018)附录G中理查德森数定义及计算公式判断气体性质。</w:t>
      </w:r>
      <w:r>
        <w:rPr>
          <w:rFonts w:hint="eastAsia"/>
          <w:bCs/>
          <w:color w:val="auto"/>
        </w:rPr>
        <w:t>根据计算，</w:t>
      </w:r>
      <w:r>
        <w:rPr>
          <w:bCs/>
          <w:color w:val="auto"/>
        </w:rPr>
        <w:t>SO</w:t>
      </w:r>
      <w:r>
        <w:rPr>
          <w:bCs/>
          <w:color w:val="auto"/>
          <w:vertAlign w:val="subscript"/>
        </w:rPr>
        <w:t>2</w:t>
      </w:r>
      <w:r>
        <w:rPr>
          <w:bCs/>
          <w:color w:val="auto"/>
        </w:rPr>
        <w:t>理查德森数R</w:t>
      </w:r>
      <w:r>
        <w:rPr>
          <w:bCs/>
          <w:color w:val="auto"/>
          <w:vertAlign w:val="subscript"/>
        </w:rPr>
        <w:t>i</w:t>
      </w:r>
      <w:r>
        <w:rPr>
          <w:rFonts w:hint="eastAsia"/>
          <w:bCs/>
          <w:color w:val="auto"/>
        </w:rPr>
        <w:t>＞0.04</w:t>
      </w:r>
      <w:r>
        <w:rPr>
          <w:bCs/>
          <w:color w:val="auto"/>
        </w:rPr>
        <w:t>，</w:t>
      </w:r>
      <w:r>
        <w:rPr>
          <w:rFonts w:hint="eastAsia"/>
          <w:bCs/>
          <w:color w:val="auto"/>
        </w:rPr>
        <w:t>为重质气体，</w:t>
      </w:r>
      <w:r>
        <w:rPr>
          <w:bCs/>
          <w:color w:val="auto"/>
        </w:rPr>
        <w:t>扩散计算建议采用SLAB模型</w:t>
      </w:r>
      <w:r>
        <w:rPr>
          <w:rFonts w:hint="eastAsia"/>
          <w:bCs/>
          <w:color w:val="auto"/>
        </w:rPr>
        <w:t>；液氨泄漏后气化形成两相混合物，后续扩散采用SLAB模式。</w:t>
      </w:r>
    </w:p>
    <w:p w14:paraId="7B5113B6">
      <w:pPr>
        <w:ind w:firstLine="480"/>
        <w:rPr>
          <w:bCs/>
          <w:color w:val="auto"/>
        </w:rPr>
      </w:pPr>
      <w:r>
        <w:rPr>
          <w:rFonts w:hint="eastAsia"/>
          <w:bCs/>
          <w:color w:val="auto"/>
        </w:rPr>
        <w:t>根据评价等级划分，本项目大气环境风险评价等级为二级，</w:t>
      </w:r>
      <w:r>
        <w:rPr>
          <w:bCs/>
          <w:color w:val="auto"/>
        </w:rPr>
        <w:t>根据《建设项目环境风险评价技术导则》（HJ 169-2018），</w:t>
      </w:r>
      <w:r>
        <w:rPr>
          <w:rFonts w:hint="eastAsia"/>
          <w:bCs/>
          <w:color w:val="auto"/>
        </w:rPr>
        <w:t>二</w:t>
      </w:r>
      <w:r>
        <w:rPr>
          <w:bCs/>
          <w:color w:val="auto"/>
        </w:rPr>
        <w:t>级评价需选取最不利气象条件</w:t>
      </w:r>
      <w:r>
        <w:rPr>
          <w:rFonts w:hint="eastAsia"/>
          <w:bCs/>
          <w:color w:val="auto"/>
        </w:rPr>
        <w:t>进行后果预测</w:t>
      </w:r>
      <w:r>
        <w:rPr>
          <w:bCs/>
          <w:color w:val="auto"/>
        </w:rPr>
        <w:t>。</w:t>
      </w:r>
      <w:r>
        <w:rPr>
          <w:rFonts w:hint="eastAsia"/>
          <w:bCs/>
          <w:color w:val="auto"/>
        </w:rPr>
        <w:t>预测模型主要参数见下表。</w:t>
      </w:r>
    </w:p>
    <w:p w14:paraId="70C8EB4B">
      <w:pPr>
        <w:ind w:firstLine="482"/>
        <w:jc w:val="center"/>
        <w:rPr>
          <w:b/>
          <w:color w:val="auto"/>
        </w:rPr>
      </w:pPr>
      <w:r>
        <w:rPr>
          <w:rFonts w:hint="eastAsia"/>
          <w:b/>
          <w:color w:val="auto"/>
        </w:rPr>
        <w:t>表6.7.4-1 大气风险预测模型主要参数表</w:t>
      </w:r>
    </w:p>
    <w:tbl>
      <w:tblPr>
        <w:tblStyle w:val="24"/>
        <w:tblW w:w="505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68"/>
        <w:gridCol w:w="2790"/>
        <w:gridCol w:w="2449"/>
        <w:gridCol w:w="2446"/>
      </w:tblGrid>
      <w:tr w14:paraId="352CF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blHeader/>
          <w:jc w:val="center"/>
        </w:trPr>
        <w:tc>
          <w:tcPr>
            <w:tcW w:w="1100" w:type="pct"/>
            <w:tcMar>
              <w:left w:w="108" w:type="dxa"/>
              <w:right w:w="108" w:type="dxa"/>
            </w:tcMar>
            <w:vAlign w:val="center"/>
          </w:tcPr>
          <w:p w14:paraId="7B474E9E">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参数类型</w:t>
            </w:r>
          </w:p>
        </w:tc>
        <w:tc>
          <w:tcPr>
            <w:tcW w:w="1416" w:type="pct"/>
            <w:vAlign w:val="center"/>
          </w:tcPr>
          <w:p w14:paraId="799FF68F">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选项</w:t>
            </w:r>
          </w:p>
        </w:tc>
        <w:tc>
          <w:tcPr>
            <w:tcW w:w="1243" w:type="pct"/>
            <w:tcMar>
              <w:left w:w="108" w:type="dxa"/>
              <w:right w:w="108" w:type="dxa"/>
            </w:tcMar>
            <w:vAlign w:val="center"/>
          </w:tcPr>
          <w:p w14:paraId="08C2D333">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参数</w:t>
            </w:r>
          </w:p>
        </w:tc>
        <w:tc>
          <w:tcPr>
            <w:tcW w:w="1241" w:type="pct"/>
            <w:vAlign w:val="center"/>
          </w:tcPr>
          <w:p w14:paraId="123A042A">
            <w:pPr>
              <w:widowControl/>
              <w:spacing w:line="240" w:lineRule="auto"/>
              <w:ind w:firstLine="0" w:firstLineChars="0"/>
              <w:jc w:val="center"/>
              <w:rPr>
                <w:b/>
                <w:bCs/>
                <w:color w:val="auto"/>
                <w:kern w:val="0"/>
                <w:sz w:val="21"/>
                <w:szCs w:val="21"/>
                <w:lang w:val="zh-CN"/>
              </w:rPr>
            </w:pPr>
            <w:r>
              <w:rPr>
                <w:b/>
                <w:bCs/>
                <w:color w:val="auto"/>
                <w:kern w:val="0"/>
                <w:sz w:val="21"/>
                <w:szCs w:val="21"/>
                <w:lang w:val="zh-CN"/>
              </w:rPr>
              <w:t>参数</w:t>
            </w:r>
          </w:p>
        </w:tc>
      </w:tr>
      <w:tr w14:paraId="4D4F0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restart"/>
            <w:tcMar>
              <w:left w:w="108" w:type="dxa"/>
              <w:right w:w="108" w:type="dxa"/>
            </w:tcMar>
            <w:vAlign w:val="center"/>
          </w:tcPr>
          <w:p w14:paraId="19766417">
            <w:pPr>
              <w:widowControl/>
              <w:spacing w:line="240" w:lineRule="auto"/>
              <w:ind w:firstLine="0" w:firstLineChars="0"/>
              <w:jc w:val="center"/>
              <w:rPr>
                <w:color w:val="auto"/>
                <w:kern w:val="0"/>
                <w:sz w:val="21"/>
                <w:szCs w:val="21"/>
                <w:lang w:val="zh-CN"/>
              </w:rPr>
            </w:pPr>
            <w:r>
              <w:rPr>
                <w:color w:val="auto"/>
                <w:kern w:val="0"/>
                <w:sz w:val="21"/>
                <w:szCs w:val="21"/>
                <w:lang w:val="zh-CN"/>
              </w:rPr>
              <w:t>基本情况</w:t>
            </w:r>
          </w:p>
        </w:tc>
        <w:tc>
          <w:tcPr>
            <w:tcW w:w="1416" w:type="pct"/>
            <w:vAlign w:val="center"/>
          </w:tcPr>
          <w:p w14:paraId="6DEA8D4F">
            <w:pPr>
              <w:widowControl/>
              <w:spacing w:line="240" w:lineRule="auto"/>
              <w:ind w:firstLine="0" w:firstLineChars="0"/>
              <w:jc w:val="center"/>
              <w:rPr>
                <w:color w:val="auto"/>
                <w:kern w:val="0"/>
                <w:sz w:val="21"/>
                <w:szCs w:val="21"/>
                <w:lang w:val="zh-CN"/>
              </w:rPr>
            </w:pPr>
            <w:r>
              <w:rPr>
                <w:color w:val="auto"/>
                <w:kern w:val="0"/>
                <w:sz w:val="21"/>
                <w:szCs w:val="21"/>
                <w:lang w:val="zh-CN"/>
              </w:rPr>
              <w:t>事故源经度/(°)</w:t>
            </w:r>
          </w:p>
        </w:tc>
        <w:tc>
          <w:tcPr>
            <w:tcW w:w="1243" w:type="pct"/>
            <w:tcMar>
              <w:left w:w="108" w:type="dxa"/>
              <w:right w:w="108" w:type="dxa"/>
            </w:tcMar>
            <w:vAlign w:val="center"/>
          </w:tcPr>
          <w:p w14:paraId="5A3C106D">
            <w:pPr>
              <w:widowControl/>
              <w:spacing w:line="240" w:lineRule="auto"/>
              <w:ind w:firstLine="0" w:firstLineChars="0"/>
              <w:jc w:val="center"/>
              <w:rPr>
                <w:color w:val="auto"/>
                <w:kern w:val="0"/>
                <w:sz w:val="21"/>
                <w:szCs w:val="21"/>
                <w:lang w:val="zh-CN"/>
              </w:rPr>
            </w:pPr>
            <w:r>
              <w:rPr>
                <w:color w:val="auto"/>
                <w:kern w:val="0"/>
                <w:sz w:val="21"/>
                <w:szCs w:val="21"/>
                <w:lang w:val="zh-CN"/>
              </w:rPr>
              <w:t>121.49348668E</w:t>
            </w:r>
          </w:p>
        </w:tc>
        <w:tc>
          <w:tcPr>
            <w:tcW w:w="1241" w:type="pct"/>
            <w:vAlign w:val="center"/>
          </w:tcPr>
          <w:p w14:paraId="66AE40A7">
            <w:pPr>
              <w:widowControl/>
              <w:spacing w:line="240" w:lineRule="auto"/>
              <w:ind w:firstLine="0" w:firstLineChars="0"/>
              <w:jc w:val="center"/>
              <w:rPr>
                <w:color w:val="auto"/>
                <w:kern w:val="0"/>
                <w:sz w:val="21"/>
                <w:szCs w:val="21"/>
                <w:lang w:val="zh-CN"/>
              </w:rPr>
            </w:pPr>
            <w:r>
              <w:rPr>
                <w:color w:val="auto"/>
                <w:kern w:val="0"/>
                <w:sz w:val="21"/>
                <w:szCs w:val="21"/>
                <w:lang w:val="zh-CN"/>
              </w:rPr>
              <w:t>121.49423215E</w:t>
            </w:r>
          </w:p>
        </w:tc>
      </w:tr>
      <w:tr w14:paraId="00B6B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continue"/>
            <w:tcMar>
              <w:left w:w="108" w:type="dxa"/>
              <w:right w:w="108" w:type="dxa"/>
            </w:tcMar>
            <w:vAlign w:val="center"/>
          </w:tcPr>
          <w:p w14:paraId="6B063938">
            <w:pPr>
              <w:widowControl/>
              <w:spacing w:line="240" w:lineRule="auto"/>
              <w:ind w:firstLine="0" w:firstLineChars="0"/>
              <w:jc w:val="center"/>
              <w:rPr>
                <w:color w:val="auto"/>
                <w:kern w:val="0"/>
                <w:sz w:val="21"/>
                <w:szCs w:val="21"/>
                <w:lang w:val="zh-CN"/>
              </w:rPr>
            </w:pPr>
          </w:p>
        </w:tc>
        <w:tc>
          <w:tcPr>
            <w:tcW w:w="1416" w:type="pct"/>
            <w:vAlign w:val="center"/>
          </w:tcPr>
          <w:p w14:paraId="68CE084F">
            <w:pPr>
              <w:widowControl/>
              <w:spacing w:line="240" w:lineRule="auto"/>
              <w:ind w:firstLine="0" w:firstLineChars="0"/>
              <w:jc w:val="center"/>
              <w:rPr>
                <w:color w:val="auto"/>
                <w:kern w:val="0"/>
                <w:sz w:val="21"/>
                <w:szCs w:val="21"/>
                <w:lang w:val="zh-CN"/>
              </w:rPr>
            </w:pPr>
            <w:r>
              <w:rPr>
                <w:color w:val="auto"/>
                <w:kern w:val="0"/>
                <w:sz w:val="21"/>
                <w:szCs w:val="21"/>
                <w:lang w:val="zh-CN"/>
              </w:rPr>
              <w:t>事故源纬度/(°)</w:t>
            </w:r>
          </w:p>
        </w:tc>
        <w:tc>
          <w:tcPr>
            <w:tcW w:w="1243" w:type="pct"/>
            <w:tcMar>
              <w:left w:w="108" w:type="dxa"/>
              <w:right w:w="108" w:type="dxa"/>
            </w:tcMar>
            <w:vAlign w:val="center"/>
          </w:tcPr>
          <w:p w14:paraId="4321BF5A">
            <w:pPr>
              <w:widowControl/>
              <w:spacing w:line="240" w:lineRule="auto"/>
              <w:ind w:firstLine="0" w:firstLineChars="0"/>
              <w:jc w:val="center"/>
              <w:rPr>
                <w:color w:val="auto"/>
                <w:kern w:val="0"/>
                <w:sz w:val="21"/>
                <w:szCs w:val="21"/>
                <w:lang w:val="zh-CN"/>
              </w:rPr>
            </w:pPr>
            <w:r>
              <w:rPr>
                <w:color w:val="auto"/>
                <w:kern w:val="0"/>
                <w:sz w:val="21"/>
                <w:szCs w:val="21"/>
                <w:lang w:val="zh-CN"/>
              </w:rPr>
              <w:t>31.81888185N</w:t>
            </w:r>
          </w:p>
        </w:tc>
        <w:tc>
          <w:tcPr>
            <w:tcW w:w="1241" w:type="pct"/>
            <w:vAlign w:val="center"/>
          </w:tcPr>
          <w:p w14:paraId="1D1B96EA">
            <w:pPr>
              <w:widowControl/>
              <w:spacing w:line="240" w:lineRule="auto"/>
              <w:ind w:firstLine="0" w:firstLineChars="0"/>
              <w:jc w:val="center"/>
              <w:rPr>
                <w:color w:val="auto"/>
                <w:kern w:val="0"/>
                <w:sz w:val="21"/>
                <w:szCs w:val="21"/>
                <w:lang w:val="zh-CN"/>
              </w:rPr>
            </w:pPr>
            <w:r>
              <w:rPr>
                <w:color w:val="auto"/>
                <w:kern w:val="0"/>
                <w:sz w:val="21"/>
                <w:szCs w:val="21"/>
                <w:lang w:val="zh-CN"/>
              </w:rPr>
              <w:t>31.81668525N</w:t>
            </w:r>
          </w:p>
        </w:tc>
      </w:tr>
      <w:tr w14:paraId="67ED9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continue"/>
            <w:tcMar>
              <w:left w:w="108" w:type="dxa"/>
              <w:right w:w="108" w:type="dxa"/>
            </w:tcMar>
            <w:vAlign w:val="center"/>
          </w:tcPr>
          <w:p w14:paraId="7C437696">
            <w:pPr>
              <w:widowControl/>
              <w:spacing w:line="240" w:lineRule="auto"/>
              <w:ind w:firstLine="0" w:firstLineChars="0"/>
              <w:jc w:val="center"/>
              <w:rPr>
                <w:color w:val="auto"/>
                <w:kern w:val="0"/>
                <w:sz w:val="21"/>
                <w:szCs w:val="21"/>
                <w:lang w:val="zh-CN"/>
              </w:rPr>
            </w:pPr>
          </w:p>
        </w:tc>
        <w:tc>
          <w:tcPr>
            <w:tcW w:w="1416" w:type="pct"/>
            <w:vAlign w:val="center"/>
          </w:tcPr>
          <w:p w14:paraId="43294F54">
            <w:pPr>
              <w:widowControl/>
              <w:spacing w:line="240" w:lineRule="auto"/>
              <w:ind w:firstLine="0" w:firstLineChars="0"/>
              <w:jc w:val="center"/>
              <w:rPr>
                <w:color w:val="auto"/>
                <w:kern w:val="0"/>
                <w:sz w:val="21"/>
                <w:szCs w:val="21"/>
                <w:lang w:val="zh-CN"/>
              </w:rPr>
            </w:pPr>
            <w:r>
              <w:rPr>
                <w:color w:val="auto"/>
                <w:kern w:val="0"/>
                <w:sz w:val="21"/>
                <w:szCs w:val="21"/>
                <w:lang w:val="zh-CN"/>
              </w:rPr>
              <w:t>事故源类型</w:t>
            </w:r>
          </w:p>
        </w:tc>
        <w:tc>
          <w:tcPr>
            <w:tcW w:w="1243" w:type="pct"/>
            <w:tcMar>
              <w:left w:w="108" w:type="dxa"/>
              <w:right w:w="108" w:type="dxa"/>
            </w:tcMar>
            <w:vAlign w:val="center"/>
          </w:tcPr>
          <w:p w14:paraId="22D5320B">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液氨储罐泄漏</w:t>
            </w:r>
          </w:p>
        </w:tc>
        <w:tc>
          <w:tcPr>
            <w:tcW w:w="1241" w:type="pct"/>
            <w:vAlign w:val="center"/>
          </w:tcPr>
          <w:p w14:paraId="3925B09C">
            <w:pPr>
              <w:widowControl/>
              <w:spacing w:line="240" w:lineRule="auto"/>
              <w:ind w:firstLine="0" w:firstLineChars="0"/>
              <w:jc w:val="center"/>
              <w:rPr>
                <w:color w:val="auto"/>
                <w:kern w:val="0"/>
                <w:sz w:val="21"/>
                <w:szCs w:val="21"/>
                <w:lang w:val="zh-CN"/>
              </w:rPr>
            </w:pPr>
            <w:r>
              <w:rPr>
                <w:color w:val="auto"/>
                <w:kern w:val="0"/>
                <w:sz w:val="21"/>
                <w:szCs w:val="21"/>
                <w:lang w:val="zh-CN"/>
              </w:rPr>
              <w:t>火灾爆炸次伴生SO</w:t>
            </w:r>
            <w:r>
              <w:rPr>
                <w:color w:val="auto"/>
                <w:kern w:val="0"/>
                <w:sz w:val="21"/>
                <w:szCs w:val="21"/>
                <w:vertAlign w:val="subscript"/>
                <w:lang w:val="zh-CN"/>
              </w:rPr>
              <w:t>2</w:t>
            </w:r>
          </w:p>
        </w:tc>
      </w:tr>
      <w:tr w14:paraId="5D8A6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restart"/>
            <w:tcMar>
              <w:left w:w="108" w:type="dxa"/>
              <w:right w:w="108" w:type="dxa"/>
            </w:tcMar>
            <w:vAlign w:val="center"/>
          </w:tcPr>
          <w:p w14:paraId="201590E5">
            <w:pPr>
              <w:widowControl/>
              <w:spacing w:line="240" w:lineRule="auto"/>
              <w:ind w:firstLine="0" w:firstLineChars="0"/>
              <w:jc w:val="center"/>
              <w:rPr>
                <w:color w:val="auto"/>
                <w:kern w:val="0"/>
                <w:sz w:val="21"/>
                <w:szCs w:val="21"/>
                <w:lang w:val="zh-CN"/>
              </w:rPr>
            </w:pPr>
            <w:r>
              <w:rPr>
                <w:color w:val="auto"/>
                <w:kern w:val="0"/>
                <w:sz w:val="21"/>
                <w:szCs w:val="21"/>
                <w:lang w:val="zh-CN"/>
              </w:rPr>
              <w:t>气象参数</w:t>
            </w:r>
          </w:p>
        </w:tc>
        <w:tc>
          <w:tcPr>
            <w:tcW w:w="1416" w:type="pct"/>
            <w:vAlign w:val="center"/>
          </w:tcPr>
          <w:p w14:paraId="76646C1E">
            <w:pPr>
              <w:widowControl/>
              <w:spacing w:line="240" w:lineRule="auto"/>
              <w:ind w:firstLine="0" w:firstLineChars="0"/>
              <w:jc w:val="center"/>
              <w:rPr>
                <w:color w:val="auto"/>
                <w:kern w:val="0"/>
                <w:sz w:val="21"/>
                <w:szCs w:val="21"/>
                <w:lang w:val="zh-CN"/>
              </w:rPr>
            </w:pPr>
            <w:r>
              <w:rPr>
                <w:color w:val="auto"/>
                <w:kern w:val="0"/>
                <w:sz w:val="21"/>
                <w:szCs w:val="21"/>
                <w:lang w:val="zh-CN"/>
              </w:rPr>
              <w:t>气象条件类型</w:t>
            </w:r>
          </w:p>
        </w:tc>
        <w:tc>
          <w:tcPr>
            <w:tcW w:w="1243" w:type="pct"/>
            <w:tcMar>
              <w:left w:w="108" w:type="dxa"/>
              <w:right w:w="108" w:type="dxa"/>
            </w:tcMar>
            <w:vAlign w:val="center"/>
          </w:tcPr>
          <w:p w14:paraId="33C9BDFD">
            <w:pPr>
              <w:widowControl/>
              <w:spacing w:line="240" w:lineRule="auto"/>
              <w:ind w:firstLine="0" w:firstLineChars="0"/>
              <w:jc w:val="center"/>
              <w:rPr>
                <w:color w:val="auto"/>
                <w:kern w:val="0"/>
                <w:sz w:val="21"/>
                <w:szCs w:val="21"/>
                <w:lang w:val="zh-CN"/>
              </w:rPr>
            </w:pPr>
            <w:r>
              <w:rPr>
                <w:color w:val="auto"/>
                <w:kern w:val="0"/>
                <w:sz w:val="21"/>
                <w:szCs w:val="21"/>
                <w:lang w:val="zh-CN"/>
              </w:rPr>
              <w:t>最不利气象</w:t>
            </w:r>
          </w:p>
        </w:tc>
        <w:tc>
          <w:tcPr>
            <w:tcW w:w="1241" w:type="pct"/>
            <w:vAlign w:val="center"/>
          </w:tcPr>
          <w:p w14:paraId="5994F373">
            <w:pPr>
              <w:widowControl/>
              <w:spacing w:line="240" w:lineRule="auto"/>
              <w:ind w:firstLine="0" w:firstLineChars="0"/>
              <w:jc w:val="center"/>
              <w:rPr>
                <w:color w:val="auto"/>
                <w:kern w:val="0"/>
                <w:sz w:val="21"/>
                <w:szCs w:val="21"/>
                <w:lang w:val="zh-CN"/>
              </w:rPr>
            </w:pPr>
            <w:r>
              <w:rPr>
                <w:color w:val="auto"/>
                <w:kern w:val="0"/>
                <w:sz w:val="21"/>
                <w:szCs w:val="21"/>
                <w:lang w:val="zh-CN"/>
              </w:rPr>
              <w:t>最不利气象</w:t>
            </w:r>
          </w:p>
        </w:tc>
      </w:tr>
      <w:tr w14:paraId="73B10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continue"/>
            <w:tcMar>
              <w:left w:w="108" w:type="dxa"/>
              <w:right w:w="108" w:type="dxa"/>
            </w:tcMar>
            <w:vAlign w:val="center"/>
          </w:tcPr>
          <w:p w14:paraId="221BF7B1">
            <w:pPr>
              <w:widowControl/>
              <w:spacing w:line="240" w:lineRule="auto"/>
              <w:ind w:firstLine="0" w:firstLineChars="0"/>
              <w:jc w:val="center"/>
              <w:rPr>
                <w:color w:val="auto"/>
                <w:kern w:val="0"/>
                <w:sz w:val="21"/>
                <w:szCs w:val="21"/>
                <w:lang w:val="zh-CN"/>
              </w:rPr>
            </w:pPr>
          </w:p>
        </w:tc>
        <w:tc>
          <w:tcPr>
            <w:tcW w:w="1416" w:type="pct"/>
            <w:vAlign w:val="center"/>
          </w:tcPr>
          <w:p w14:paraId="25FA093C">
            <w:pPr>
              <w:widowControl/>
              <w:spacing w:line="240" w:lineRule="auto"/>
              <w:ind w:firstLine="0" w:firstLineChars="0"/>
              <w:jc w:val="center"/>
              <w:rPr>
                <w:color w:val="auto"/>
                <w:kern w:val="0"/>
                <w:sz w:val="21"/>
                <w:szCs w:val="21"/>
                <w:lang w:val="zh-CN"/>
              </w:rPr>
            </w:pPr>
            <w:r>
              <w:rPr>
                <w:color w:val="auto"/>
                <w:kern w:val="0"/>
                <w:sz w:val="21"/>
                <w:szCs w:val="21"/>
                <w:lang w:val="zh-CN"/>
              </w:rPr>
              <w:t>风速/(m/s)</w:t>
            </w:r>
          </w:p>
        </w:tc>
        <w:tc>
          <w:tcPr>
            <w:tcW w:w="1243" w:type="pct"/>
            <w:tcMar>
              <w:left w:w="108" w:type="dxa"/>
              <w:right w:w="108" w:type="dxa"/>
            </w:tcMar>
            <w:vAlign w:val="center"/>
          </w:tcPr>
          <w:p w14:paraId="4D5C9445">
            <w:pPr>
              <w:widowControl/>
              <w:spacing w:line="240" w:lineRule="auto"/>
              <w:ind w:firstLine="0" w:firstLineChars="0"/>
              <w:jc w:val="center"/>
              <w:rPr>
                <w:color w:val="auto"/>
                <w:kern w:val="0"/>
                <w:sz w:val="21"/>
                <w:szCs w:val="21"/>
              </w:rPr>
            </w:pPr>
            <w:r>
              <w:rPr>
                <w:color w:val="auto"/>
                <w:kern w:val="0"/>
                <w:sz w:val="21"/>
                <w:szCs w:val="21"/>
                <w:lang w:val="zh-CN"/>
              </w:rPr>
              <w:t>1.5</w:t>
            </w:r>
          </w:p>
        </w:tc>
        <w:tc>
          <w:tcPr>
            <w:tcW w:w="1241" w:type="pct"/>
            <w:vAlign w:val="center"/>
          </w:tcPr>
          <w:p w14:paraId="0952CB00">
            <w:pPr>
              <w:widowControl/>
              <w:spacing w:line="240" w:lineRule="auto"/>
              <w:ind w:firstLine="0" w:firstLineChars="0"/>
              <w:jc w:val="center"/>
              <w:rPr>
                <w:color w:val="auto"/>
                <w:kern w:val="0"/>
                <w:sz w:val="21"/>
                <w:szCs w:val="21"/>
                <w:lang w:val="zh-CN"/>
              </w:rPr>
            </w:pPr>
            <w:r>
              <w:rPr>
                <w:color w:val="auto"/>
                <w:kern w:val="0"/>
                <w:sz w:val="21"/>
                <w:szCs w:val="21"/>
                <w:lang w:val="zh-CN"/>
              </w:rPr>
              <w:t>1.5</w:t>
            </w:r>
          </w:p>
        </w:tc>
      </w:tr>
      <w:tr w14:paraId="6405A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continue"/>
            <w:tcMar>
              <w:left w:w="108" w:type="dxa"/>
              <w:right w:w="108" w:type="dxa"/>
            </w:tcMar>
            <w:vAlign w:val="center"/>
          </w:tcPr>
          <w:p w14:paraId="68C6E1E5">
            <w:pPr>
              <w:widowControl/>
              <w:spacing w:line="240" w:lineRule="auto"/>
              <w:ind w:firstLine="0" w:firstLineChars="0"/>
              <w:jc w:val="center"/>
              <w:rPr>
                <w:color w:val="auto"/>
                <w:kern w:val="0"/>
                <w:sz w:val="21"/>
                <w:szCs w:val="21"/>
                <w:lang w:val="zh-CN"/>
              </w:rPr>
            </w:pPr>
          </w:p>
        </w:tc>
        <w:tc>
          <w:tcPr>
            <w:tcW w:w="1416" w:type="pct"/>
            <w:vAlign w:val="center"/>
          </w:tcPr>
          <w:p w14:paraId="30D50EB2">
            <w:pPr>
              <w:widowControl/>
              <w:spacing w:line="240" w:lineRule="auto"/>
              <w:ind w:firstLine="0" w:firstLineChars="0"/>
              <w:jc w:val="center"/>
              <w:rPr>
                <w:color w:val="auto"/>
                <w:kern w:val="0"/>
                <w:sz w:val="21"/>
                <w:szCs w:val="21"/>
                <w:lang w:val="zh-CN"/>
              </w:rPr>
            </w:pPr>
            <w:r>
              <w:rPr>
                <w:color w:val="auto"/>
                <w:kern w:val="0"/>
                <w:sz w:val="21"/>
                <w:szCs w:val="21"/>
                <w:lang w:val="zh-CN"/>
              </w:rPr>
              <w:t>环境温度/℃</w:t>
            </w:r>
          </w:p>
        </w:tc>
        <w:tc>
          <w:tcPr>
            <w:tcW w:w="1243" w:type="pct"/>
            <w:tcMar>
              <w:left w:w="108" w:type="dxa"/>
              <w:right w:w="108" w:type="dxa"/>
            </w:tcMar>
            <w:vAlign w:val="center"/>
          </w:tcPr>
          <w:p w14:paraId="683212BC">
            <w:pPr>
              <w:widowControl/>
              <w:spacing w:line="240" w:lineRule="auto"/>
              <w:ind w:firstLine="0" w:firstLineChars="0"/>
              <w:jc w:val="center"/>
              <w:rPr>
                <w:color w:val="auto"/>
                <w:kern w:val="0"/>
                <w:sz w:val="21"/>
                <w:szCs w:val="21"/>
              </w:rPr>
            </w:pPr>
            <w:r>
              <w:rPr>
                <w:color w:val="auto"/>
                <w:kern w:val="0"/>
                <w:sz w:val="21"/>
                <w:szCs w:val="21"/>
                <w:lang w:val="zh-CN"/>
              </w:rPr>
              <w:t>25</w:t>
            </w:r>
          </w:p>
        </w:tc>
        <w:tc>
          <w:tcPr>
            <w:tcW w:w="1241" w:type="pct"/>
            <w:vAlign w:val="center"/>
          </w:tcPr>
          <w:p w14:paraId="3A2E2CF9">
            <w:pPr>
              <w:widowControl/>
              <w:spacing w:line="240" w:lineRule="auto"/>
              <w:ind w:firstLine="0" w:firstLineChars="0"/>
              <w:jc w:val="center"/>
              <w:rPr>
                <w:color w:val="auto"/>
                <w:kern w:val="0"/>
                <w:sz w:val="21"/>
                <w:szCs w:val="21"/>
                <w:lang w:val="zh-CN"/>
              </w:rPr>
            </w:pPr>
            <w:r>
              <w:rPr>
                <w:color w:val="auto"/>
                <w:kern w:val="0"/>
                <w:sz w:val="21"/>
                <w:szCs w:val="21"/>
                <w:lang w:val="zh-CN"/>
              </w:rPr>
              <w:t>25</w:t>
            </w:r>
          </w:p>
        </w:tc>
      </w:tr>
      <w:tr w14:paraId="4E24E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continue"/>
            <w:tcMar>
              <w:left w:w="108" w:type="dxa"/>
              <w:right w:w="108" w:type="dxa"/>
            </w:tcMar>
            <w:vAlign w:val="center"/>
          </w:tcPr>
          <w:p w14:paraId="48B5EF80">
            <w:pPr>
              <w:widowControl/>
              <w:spacing w:line="240" w:lineRule="auto"/>
              <w:ind w:firstLine="0" w:firstLineChars="0"/>
              <w:jc w:val="center"/>
              <w:rPr>
                <w:color w:val="auto"/>
                <w:kern w:val="0"/>
                <w:sz w:val="21"/>
                <w:szCs w:val="21"/>
                <w:lang w:val="zh-CN"/>
              </w:rPr>
            </w:pPr>
          </w:p>
        </w:tc>
        <w:tc>
          <w:tcPr>
            <w:tcW w:w="1416" w:type="pct"/>
            <w:vAlign w:val="center"/>
          </w:tcPr>
          <w:p w14:paraId="06B1EA07">
            <w:pPr>
              <w:widowControl/>
              <w:spacing w:line="240" w:lineRule="auto"/>
              <w:ind w:firstLine="0" w:firstLineChars="0"/>
              <w:jc w:val="center"/>
              <w:rPr>
                <w:color w:val="auto"/>
                <w:kern w:val="0"/>
                <w:sz w:val="21"/>
                <w:szCs w:val="21"/>
                <w:lang w:val="zh-CN"/>
              </w:rPr>
            </w:pPr>
            <w:r>
              <w:rPr>
                <w:color w:val="auto"/>
                <w:kern w:val="0"/>
                <w:sz w:val="21"/>
                <w:szCs w:val="21"/>
                <w:lang w:val="zh-CN"/>
              </w:rPr>
              <w:t>相对湿度/%</w:t>
            </w:r>
          </w:p>
        </w:tc>
        <w:tc>
          <w:tcPr>
            <w:tcW w:w="1243" w:type="pct"/>
            <w:tcMar>
              <w:left w:w="108" w:type="dxa"/>
              <w:right w:w="108" w:type="dxa"/>
            </w:tcMar>
            <w:vAlign w:val="center"/>
          </w:tcPr>
          <w:p w14:paraId="2D3B11C1">
            <w:pPr>
              <w:widowControl/>
              <w:spacing w:line="240" w:lineRule="auto"/>
              <w:ind w:firstLine="0" w:firstLineChars="0"/>
              <w:jc w:val="center"/>
              <w:rPr>
                <w:color w:val="auto"/>
                <w:kern w:val="0"/>
                <w:sz w:val="21"/>
                <w:szCs w:val="21"/>
                <w:lang w:val="zh-CN"/>
              </w:rPr>
            </w:pPr>
            <w:r>
              <w:rPr>
                <w:color w:val="auto"/>
                <w:kern w:val="0"/>
                <w:sz w:val="21"/>
                <w:szCs w:val="21"/>
                <w:lang w:val="zh-CN"/>
              </w:rPr>
              <w:t>50</w:t>
            </w:r>
          </w:p>
        </w:tc>
        <w:tc>
          <w:tcPr>
            <w:tcW w:w="1241" w:type="pct"/>
            <w:vAlign w:val="center"/>
          </w:tcPr>
          <w:p w14:paraId="06868C14">
            <w:pPr>
              <w:widowControl/>
              <w:spacing w:line="240" w:lineRule="auto"/>
              <w:ind w:firstLine="0" w:firstLineChars="0"/>
              <w:jc w:val="center"/>
              <w:rPr>
                <w:color w:val="auto"/>
                <w:kern w:val="0"/>
                <w:sz w:val="21"/>
                <w:szCs w:val="21"/>
                <w:lang w:val="zh-CN"/>
              </w:rPr>
            </w:pPr>
            <w:r>
              <w:rPr>
                <w:color w:val="auto"/>
                <w:kern w:val="0"/>
                <w:sz w:val="21"/>
                <w:szCs w:val="21"/>
                <w:lang w:val="zh-CN"/>
              </w:rPr>
              <w:t>50</w:t>
            </w:r>
          </w:p>
        </w:tc>
      </w:tr>
      <w:tr w14:paraId="5D02B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continue"/>
            <w:tcMar>
              <w:left w:w="108" w:type="dxa"/>
              <w:right w:w="108" w:type="dxa"/>
            </w:tcMar>
            <w:vAlign w:val="center"/>
          </w:tcPr>
          <w:p w14:paraId="785025EA">
            <w:pPr>
              <w:widowControl/>
              <w:spacing w:line="240" w:lineRule="auto"/>
              <w:ind w:firstLine="0" w:firstLineChars="0"/>
              <w:jc w:val="center"/>
              <w:rPr>
                <w:color w:val="auto"/>
                <w:kern w:val="0"/>
                <w:sz w:val="21"/>
                <w:szCs w:val="21"/>
                <w:lang w:val="zh-CN"/>
              </w:rPr>
            </w:pPr>
          </w:p>
        </w:tc>
        <w:tc>
          <w:tcPr>
            <w:tcW w:w="1416" w:type="pct"/>
            <w:vAlign w:val="center"/>
          </w:tcPr>
          <w:p w14:paraId="35CB8C1A">
            <w:pPr>
              <w:widowControl/>
              <w:spacing w:line="240" w:lineRule="auto"/>
              <w:ind w:firstLine="0" w:firstLineChars="0"/>
              <w:jc w:val="center"/>
              <w:rPr>
                <w:color w:val="auto"/>
                <w:kern w:val="0"/>
                <w:sz w:val="21"/>
                <w:szCs w:val="21"/>
                <w:lang w:val="zh-CN"/>
              </w:rPr>
            </w:pPr>
            <w:r>
              <w:rPr>
                <w:color w:val="auto"/>
                <w:kern w:val="0"/>
                <w:sz w:val="21"/>
                <w:szCs w:val="21"/>
                <w:lang w:val="zh-CN"/>
              </w:rPr>
              <w:t>稳定度</w:t>
            </w:r>
          </w:p>
        </w:tc>
        <w:tc>
          <w:tcPr>
            <w:tcW w:w="1243" w:type="pct"/>
            <w:tcMar>
              <w:left w:w="108" w:type="dxa"/>
              <w:right w:w="108" w:type="dxa"/>
            </w:tcMar>
            <w:vAlign w:val="center"/>
          </w:tcPr>
          <w:p w14:paraId="625B20B5">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F</w:t>
            </w:r>
          </w:p>
        </w:tc>
        <w:tc>
          <w:tcPr>
            <w:tcW w:w="1241" w:type="pct"/>
            <w:vAlign w:val="center"/>
          </w:tcPr>
          <w:p w14:paraId="2EF80D4C">
            <w:pPr>
              <w:widowControl/>
              <w:spacing w:line="240" w:lineRule="auto"/>
              <w:ind w:firstLine="0" w:firstLineChars="0"/>
              <w:jc w:val="center"/>
              <w:rPr>
                <w:color w:val="auto"/>
                <w:kern w:val="0"/>
                <w:sz w:val="21"/>
                <w:szCs w:val="21"/>
                <w:lang w:val="zh-CN"/>
              </w:rPr>
            </w:pPr>
            <w:r>
              <w:rPr>
                <w:color w:val="auto"/>
                <w:kern w:val="0"/>
                <w:sz w:val="21"/>
                <w:szCs w:val="21"/>
                <w:lang w:val="zh-CN"/>
              </w:rPr>
              <w:t>F</w:t>
            </w:r>
          </w:p>
        </w:tc>
      </w:tr>
      <w:tr w14:paraId="00FA6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restart"/>
            <w:tcMar>
              <w:left w:w="108" w:type="dxa"/>
              <w:right w:w="108" w:type="dxa"/>
            </w:tcMar>
            <w:vAlign w:val="center"/>
          </w:tcPr>
          <w:p w14:paraId="4CD8B3B2">
            <w:pPr>
              <w:widowControl/>
              <w:spacing w:line="240" w:lineRule="auto"/>
              <w:ind w:firstLine="0" w:firstLineChars="0"/>
              <w:jc w:val="center"/>
              <w:rPr>
                <w:color w:val="auto"/>
                <w:kern w:val="0"/>
                <w:sz w:val="21"/>
                <w:szCs w:val="21"/>
                <w:lang w:val="zh-CN"/>
              </w:rPr>
            </w:pPr>
            <w:r>
              <w:rPr>
                <w:color w:val="auto"/>
                <w:kern w:val="0"/>
                <w:sz w:val="21"/>
                <w:szCs w:val="21"/>
                <w:lang w:val="zh-CN"/>
              </w:rPr>
              <w:t>其他参数</w:t>
            </w:r>
          </w:p>
        </w:tc>
        <w:tc>
          <w:tcPr>
            <w:tcW w:w="1416" w:type="pct"/>
            <w:vAlign w:val="center"/>
          </w:tcPr>
          <w:p w14:paraId="30728004">
            <w:pPr>
              <w:widowControl/>
              <w:spacing w:line="240" w:lineRule="auto"/>
              <w:ind w:firstLine="0" w:firstLineChars="0"/>
              <w:jc w:val="center"/>
              <w:rPr>
                <w:color w:val="auto"/>
                <w:kern w:val="0"/>
                <w:sz w:val="21"/>
                <w:szCs w:val="21"/>
                <w:lang w:val="zh-CN"/>
              </w:rPr>
            </w:pPr>
            <w:r>
              <w:rPr>
                <w:color w:val="auto"/>
                <w:kern w:val="0"/>
                <w:sz w:val="21"/>
                <w:szCs w:val="21"/>
                <w:lang w:val="zh-CN"/>
              </w:rPr>
              <w:t>地面粗糙度/m</w:t>
            </w:r>
          </w:p>
        </w:tc>
        <w:tc>
          <w:tcPr>
            <w:tcW w:w="1243" w:type="pct"/>
            <w:tcMar>
              <w:left w:w="108" w:type="dxa"/>
              <w:right w:w="108" w:type="dxa"/>
            </w:tcMar>
            <w:vAlign w:val="center"/>
          </w:tcPr>
          <w:p w14:paraId="33A5F6D1">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w:t>
            </w:r>
          </w:p>
        </w:tc>
        <w:tc>
          <w:tcPr>
            <w:tcW w:w="1241" w:type="pct"/>
            <w:vAlign w:val="center"/>
          </w:tcPr>
          <w:p w14:paraId="409D73BA">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1</w:t>
            </w:r>
          </w:p>
        </w:tc>
      </w:tr>
      <w:tr w14:paraId="4122C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continue"/>
            <w:tcMar>
              <w:left w:w="108" w:type="dxa"/>
              <w:right w:w="108" w:type="dxa"/>
            </w:tcMar>
            <w:vAlign w:val="center"/>
          </w:tcPr>
          <w:p w14:paraId="22A162A0">
            <w:pPr>
              <w:widowControl/>
              <w:spacing w:line="240" w:lineRule="auto"/>
              <w:ind w:firstLine="0" w:firstLineChars="0"/>
              <w:jc w:val="center"/>
              <w:rPr>
                <w:color w:val="auto"/>
                <w:kern w:val="0"/>
                <w:sz w:val="21"/>
                <w:szCs w:val="21"/>
                <w:lang w:val="zh-CN"/>
              </w:rPr>
            </w:pPr>
          </w:p>
        </w:tc>
        <w:tc>
          <w:tcPr>
            <w:tcW w:w="1416" w:type="pct"/>
            <w:vAlign w:val="center"/>
          </w:tcPr>
          <w:p w14:paraId="24514D99">
            <w:pPr>
              <w:widowControl/>
              <w:spacing w:line="240" w:lineRule="auto"/>
              <w:ind w:firstLine="0" w:firstLineChars="0"/>
              <w:jc w:val="center"/>
              <w:rPr>
                <w:color w:val="auto"/>
                <w:kern w:val="0"/>
                <w:sz w:val="21"/>
                <w:szCs w:val="21"/>
                <w:lang w:val="zh-CN"/>
              </w:rPr>
            </w:pPr>
            <w:r>
              <w:rPr>
                <w:color w:val="auto"/>
                <w:kern w:val="0"/>
                <w:sz w:val="21"/>
                <w:szCs w:val="21"/>
                <w:lang w:val="zh-CN"/>
              </w:rPr>
              <w:t>是否考虑地形</w:t>
            </w:r>
          </w:p>
        </w:tc>
        <w:tc>
          <w:tcPr>
            <w:tcW w:w="1243" w:type="pct"/>
            <w:tcMar>
              <w:left w:w="108" w:type="dxa"/>
              <w:right w:w="108" w:type="dxa"/>
            </w:tcMar>
            <w:vAlign w:val="center"/>
          </w:tcPr>
          <w:p w14:paraId="5E1AB1C5">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是</w:t>
            </w:r>
          </w:p>
        </w:tc>
        <w:tc>
          <w:tcPr>
            <w:tcW w:w="1241" w:type="pct"/>
            <w:vAlign w:val="center"/>
          </w:tcPr>
          <w:p w14:paraId="4A20969C">
            <w:pPr>
              <w:widowControl/>
              <w:spacing w:line="240" w:lineRule="auto"/>
              <w:ind w:firstLine="0" w:firstLineChars="0"/>
              <w:jc w:val="center"/>
              <w:rPr>
                <w:color w:val="auto"/>
                <w:kern w:val="0"/>
                <w:sz w:val="21"/>
                <w:szCs w:val="21"/>
                <w:lang w:val="zh-CN"/>
              </w:rPr>
            </w:pPr>
            <w:r>
              <w:rPr>
                <w:color w:val="auto"/>
                <w:kern w:val="0"/>
                <w:sz w:val="21"/>
                <w:szCs w:val="21"/>
                <w:lang w:val="zh-CN"/>
              </w:rPr>
              <w:t>是</w:t>
            </w:r>
          </w:p>
        </w:tc>
      </w:tr>
      <w:tr w14:paraId="4E685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100" w:type="pct"/>
            <w:vMerge w:val="continue"/>
            <w:tcMar>
              <w:left w:w="108" w:type="dxa"/>
              <w:right w:w="108" w:type="dxa"/>
            </w:tcMar>
            <w:vAlign w:val="center"/>
          </w:tcPr>
          <w:p w14:paraId="6EB38015">
            <w:pPr>
              <w:widowControl/>
              <w:spacing w:line="240" w:lineRule="auto"/>
              <w:ind w:firstLine="0" w:firstLineChars="0"/>
              <w:jc w:val="center"/>
              <w:rPr>
                <w:color w:val="auto"/>
                <w:kern w:val="0"/>
                <w:sz w:val="21"/>
                <w:szCs w:val="21"/>
                <w:lang w:val="zh-CN"/>
              </w:rPr>
            </w:pPr>
          </w:p>
        </w:tc>
        <w:tc>
          <w:tcPr>
            <w:tcW w:w="1416" w:type="pct"/>
            <w:vAlign w:val="center"/>
          </w:tcPr>
          <w:p w14:paraId="77458E00">
            <w:pPr>
              <w:widowControl/>
              <w:spacing w:line="240" w:lineRule="auto"/>
              <w:ind w:firstLine="0" w:firstLineChars="0"/>
              <w:jc w:val="center"/>
              <w:rPr>
                <w:color w:val="auto"/>
                <w:kern w:val="0"/>
                <w:sz w:val="21"/>
                <w:szCs w:val="21"/>
                <w:lang w:val="zh-CN"/>
              </w:rPr>
            </w:pPr>
            <w:r>
              <w:rPr>
                <w:color w:val="auto"/>
                <w:kern w:val="0"/>
                <w:sz w:val="21"/>
                <w:szCs w:val="21"/>
                <w:lang w:val="zh-CN"/>
              </w:rPr>
              <w:t>地形数据精度/m</w:t>
            </w:r>
          </w:p>
        </w:tc>
        <w:tc>
          <w:tcPr>
            <w:tcW w:w="1243" w:type="pct"/>
            <w:tcMar>
              <w:left w:w="108" w:type="dxa"/>
              <w:right w:w="108" w:type="dxa"/>
            </w:tcMar>
            <w:vAlign w:val="center"/>
          </w:tcPr>
          <w:p w14:paraId="42659740">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90</w:t>
            </w:r>
          </w:p>
        </w:tc>
        <w:tc>
          <w:tcPr>
            <w:tcW w:w="1241" w:type="pct"/>
            <w:vAlign w:val="center"/>
          </w:tcPr>
          <w:p w14:paraId="05EE379C">
            <w:pPr>
              <w:widowControl/>
              <w:spacing w:line="240" w:lineRule="auto"/>
              <w:ind w:firstLine="0" w:firstLineChars="0"/>
              <w:jc w:val="center"/>
              <w:rPr>
                <w:color w:val="auto"/>
                <w:kern w:val="0"/>
                <w:sz w:val="21"/>
                <w:szCs w:val="21"/>
                <w:lang w:val="zh-CN"/>
              </w:rPr>
            </w:pPr>
            <w:r>
              <w:rPr>
                <w:rFonts w:hint="eastAsia"/>
                <w:color w:val="auto"/>
                <w:kern w:val="0"/>
                <w:sz w:val="21"/>
                <w:szCs w:val="21"/>
                <w:lang w:val="zh-CN"/>
              </w:rPr>
              <w:t>90</w:t>
            </w:r>
          </w:p>
        </w:tc>
      </w:tr>
    </w:tbl>
    <w:p w14:paraId="2EA977B0">
      <w:pPr>
        <w:ind w:firstLine="480"/>
        <w:rPr>
          <w:bCs/>
          <w:color w:val="auto"/>
        </w:rPr>
      </w:pPr>
      <w:r>
        <w:rPr>
          <w:rFonts w:hint="eastAsia"/>
          <w:bCs/>
          <w:color w:val="auto"/>
        </w:rPr>
        <w:t>2、大气毒性终点浓度值</w:t>
      </w:r>
    </w:p>
    <w:p w14:paraId="561076B1">
      <w:pPr>
        <w:ind w:firstLine="480"/>
        <w:rPr>
          <w:bCs/>
          <w:color w:val="auto"/>
        </w:rPr>
      </w:pPr>
      <w:r>
        <w:rPr>
          <w:bCs/>
          <w:color w:val="auto"/>
        </w:rPr>
        <w:t>根据《建设项目环境风险评价技术导则》（HJ 169-2018），以大气毒性终点浓度作为评价标准。风险物质毒性终点浓度取值参见附录H</w:t>
      </w:r>
      <w:r>
        <w:rPr>
          <w:rFonts w:hint="eastAsia"/>
          <w:bCs/>
          <w:color w:val="auto"/>
        </w:rPr>
        <w:t>，</w:t>
      </w:r>
      <w:r>
        <w:rPr>
          <w:bCs/>
          <w:color w:val="auto"/>
        </w:rPr>
        <w:t>各物质大气毒性终点浓度见</w:t>
      </w:r>
      <w:r>
        <w:rPr>
          <w:rFonts w:hint="eastAsia"/>
          <w:bCs/>
          <w:color w:val="auto"/>
        </w:rPr>
        <w:t>下表</w:t>
      </w:r>
      <w:r>
        <w:rPr>
          <w:bCs/>
          <w:color w:val="auto"/>
        </w:rPr>
        <w:t>。</w:t>
      </w:r>
    </w:p>
    <w:p w14:paraId="0F94A7E2">
      <w:pPr>
        <w:ind w:firstLine="482"/>
        <w:jc w:val="center"/>
        <w:rPr>
          <w:b/>
          <w:color w:val="auto"/>
        </w:rPr>
      </w:pPr>
      <w:r>
        <w:rPr>
          <w:rFonts w:hint="eastAsia"/>
          <w:b/>
          <w:color w:val="auto"/>
        </w:rPr>
        <w:t>表6.7.4-2 大气毒性终点浓度</w:t>
      </w:r>
    </w:p>
    <w:tbl>
      <w:tblPr>
        <w:tblStyle w:val="24"/>
        <w:tblW w:w="5000" w:type="pct"/>
        <w:jc w:val="center"/>
        <w:tblBorders>
          <w:top w:val="single" w:color="auto" w:sz="12" w:space="0"/>
          <w:left w:val="none" w:color="auto" w:sz="6" w:space="0"/>
          <w:bottom w:val="single" w:color="auto" w:sz="12" w:space="0"/>
          <w:right w:val="none" w:color="auto" w:sz="6" w:space="0"/>
          <w:insideH w:val="single" w:color="auto" w:sz="2" w:space="0"/>
          <w:insideV w:val="single" w:color="auto" w:sz="4" w:space="0"/>
        </w:tblBorders>
        <w:tblLayout w:type="autofit"/>
        <w:tblCellMar>
          <w:top w:w="0" w:type="dxa"/>
          <w:left w:w="108" w:type="dxa"/>
          <w:bottom w:w="0" w:type="dxa"/>
          <w:right w:w="108" w:type="dxa"/>
        </w:tblCellMar>
      </w:tblPr>
      <w:tblGrid>
        <w:gridCol w:w="1517"/>
        <w:gridCol w:w="2795"/>
        <w:gridCol w:w="2830"/>
        <w:gridCol w:w="2712"/>
      </w:tblGrid>
      <w:tr w14:paraId="69EF44A0">
        <w:tblPrEx>
          <w:tblBorders>
            <w:top w:val="single" w:color="auto" w:sz="12" w:space="0"/>
            <w:left w:val="none" w:color="auto" w:sz="6" w:space="0"/>
            <w:bottom w:val="single" w:color="auto" w:sz="12" w:space="0"/>
            <w:right w:val="none" w:color="auto" w:sz="6" w:space="0"/>
            <w:insideH w:val="single" w:color="auto" w:sz="2" w:space="0"/>
            <w:insideV w:val="single" w:color="auto" w:sz="4" w:space="0"/>
          </w:tblBorders>
          <w:tblCellMar>
            <w:top w:w="0" w:type="dxa"/>
            <w:left w:w="108" w:type="dxa"/>
            <w:bottom w:w="0" w:type="dxa"/>
            <w:right w:w="108" w:type="dxa"/>
          </w:tblCellMar>
        </w:tblPrEx>
        <w:trPr>
          <w:trHeight w:val="23" w:hRule="atLeast"/>
          <w:jc w:val="center"/>
        </w:trPr>
        <w:tc>
          <w:tcPr>
            <w:tcW w:w="770" w:type="pct"/>
            <w:tcBorders>
              <w:top w:val="single" w:color="auto" w:sz="12" w:space="0"/>
              <w:left w:val="nil"/>
              <w:bottom w:val="single" w:color="auto" w:sz="2" w:space="0"/>
              <w:right w:val="single" w:color="auto" w:sz="4" w:space="0"/>
            </w:tcBorders>
            <w:vAlign w:val="center"/>
          </w:tcPr>
          <w:p w14:paraId="19CDDFC4">
            <w:pPr>
              <w:spacing w:line="240" w:lineRule="auto"/>
              <w:ind w:firstLine="0" w:firstLineChars="0"/>
              <w:jc w:val="center"/>
              <w:rPr>
                <w:b/>
                <w:bCs/>
                <w:color w:val="auto"/>
                <w:sz w:val="21"/>
                <w:szCs w:val="21"/>
              </w:rPr>
            </w:pPr>
            <w:r>
              <w:rPr>
                <w:b/>
                <w:bCs/>
                <w:color w:val="auto"/>
                <w:sz w:val="21"/>
                <w:szCs w:val="21"/>
                <w:lang w:bidi="ar"/>
              </w:rPr>
              <w:t>序号</w:t>
            </w:r>
          </w:p>
        </w:tc>
        <w:tc>
          <w:tcPr>
            <w:tcW w:w="1418" w:type="pct"/>
            <w:tcBorders>
              <w:top w:val="single" w:color="auto" w:sz="12" w:space="0"/>
              <w:left w:val="single" w:color="auto" w:sz="4" w:space="0"/>
              <w:bottom w:val="single" w:color="auto" w:sz="2" w:space="0"/>
              <w:right w:val="single" w:color="auto" w:sz="4" w:space="0"/>
            </w:tcBorders>
            <w:vAlign w:val="center"/>
          </w:tcPr>
          <w:p w14:paraId="0A0E2C16">
            <w:pPr>
              <w:spacing w:line="240" w:lineRule="auto"/>
              <w:ind w:firstLine="0" w:firstLineChars="0"/>
              <w:jc w:val="center"/>
              <w:rPr>
                <w:b/>
                <w:bCs/>
                <w:color w:val="auto"/>
                <w:sz w:val="21"/>
                <w:szCs w:val="21"/>
              </w:rPr>
            </w:pPr>
            <w:r>
              <w:rPr>
                <w:b/>
                <w:bCs/>
                <w:color w:val="auto"/>
                <w:sz w:val="21"/>
                <w:szCs w:val="21"/>
                <w:lang w:bidi="ar"/>
              </w:rPr>
              <w:t>污染物</w:t>
            </w:r>
          </w:p>
        </w:tc>
        <w:tc>
          <w:tcPr>
            <w:tcW w:w="1436" w:type="pct"/>
            <w:tcBorders>
              <w:top w:val="single" w:color="auto" w:sz="12" w:space="0"/>
              <w:left w:val="single" w:color="auto" w:sz="4" w:space="0"/>
              <w:bottom w:val="single" w:color="auto" w:sz="2" w:space="0"/>
              <w:right w:val="single" w:color="auto" w:sz="4" w:space="0"/>
            </w:tcBorders>
            <w:vAlign w:val="center"/>
          </w:tcPr>
          <w:p w14:paraId="5CBDFF37">
            <w:pPr>
              <w:spacing w:line="240" w:lineRule="auto"/>
              <w:ind w:firstLine="0" w:firstLineChars="0"/>
              <w:jc w:val="center"/>
              <w:rPr>
                <w:b/>
                <w:bCs/>
                <w:color w:val="auto"/>
                <w:sz w:val="21"/>
                <w:szCs w:val="21"/>
              </w:rPr>
            </w:pPr>
            <w:r>
              <w:rPr>
                <w:b/>
                <w:bCs/>
                <w:color w:val="auto"/>
                <w:sz w:val="21"/>
                <w:szCs w:val="21"/>
                <w:lang w:bidi="ar"/>
              </w:rPr>
              <w:t>毒性终点浓度-1</w:t>
            </w:r>
            <w:r>
              <w:rPr>
                <w:rFonts w:hint="eastAsia"/>
                <w:b/>
                <w:bCs/>
                <w:color w:val="auto"/>
                <w:sz w:val="21"/>
                <w:szCs w:val="21"/>
                <w:lang w:bidi="ar"/>
              </w:rPr>
              <w:t>/mg/m</w:t>
            </w:r>
            <w:r>
              <w:rPr>
                <w:rFonts w:hint="eastAsia"/>
                <w:b/>
                <w:bCs/>
                <w:color w:val="auto"/>
                <w:sz w:val="21"/>
                <w:szCs w:val="21"/>
                <w:vertAlign w:val="superscript"/>
                <w:lang w:bidi="ar"/>
              </w:rPr>
              <w:t>3</w:t>
            </w:r>
          </w:p>
        </w:tc>
        <w:tc>
          <w:tcPr>
            <w:tcW w:w="1376" w:type="pct"/>
            <w:tcBorders>
              <w:top w:val="single" w:color="auto" w:sz="12" w:space="0"/>
              <w:left w:val="single" w:color="auto" w:sz="4" w:space="0"/>
              <w:bottom w:val="single" w:color="auto" w:sz="2" w:space="0"/>
              <w:right w:val="nil"/>
            </w:tcBorders>
            <w:vAlign w:val="center"/>
          </w:tcPr>
          <w:p w14:paraId="7FF4B5CC">
            <w:pPr>
              <w:spacing w:line="240" w:lineRule="auto"/>
              <w:ind w:firstLine="0" w:firstLineChars="0"/>
              <w:jc w:val="center"/>
              <w:rPr>
                <w:b/>
                <w:bCs/>
                <w:color w:val="auto"/>
                <w:sz w:val="21"/>
                <w:szCs w:val="21"/>
              </w:rPr>
            </w:pPr>
            <w:r>
              <w:rPr>
                <w:b/>
                <w:bCs/>
                <w:color w:val="auto"/>
                <w:sz w:val="21"/>
                <w:szCs w:val="21"/>
                <w:lang w:bidi="ar"/>
              </w:rPr>
              <w:t>毒性终点浓度-2</w:t>
            </w:r>
            <w:r>
              <w:rPr>
                <w:rFonts w:hint="eastAsia"/>
                <w:b/>
                <w:bCs/>
                <w:color w:val="auto"/>
                <w:sz w:val="21"/>
                <w:szCs w:val="21"/>
                <w:lang w:bidi="ar"/>
              </w:rPr>
              <w:t>/mg/m</w:t>
            </w:r>
            <w:r>
              <w:rPr>
                <w:rFonts w:hint="eastAsia"/>
                <w:b/>
                <w:bCs/>
                <w:color w:val="auto"/>
                <w:sz w:val="21"/>
                <w:szCs w:val="21"/>
                <w:vertAlign w:val="superscript"/>
                <w:lang w:bidi="ar"/>
              </w:rPr>
              <w:t>3</w:t>
            </w:r>
          </w:p>
        </w:tc>
      </w:tr>
      <w:tr w14:paraId="39D353A5">
        <w:tblPrEx>
          <w:tblBorders>
            <w:top w:val="single" w:color="auto" w:sz="12" w:space="0"/>
            <w:left w:val="none" w:color="auto" w:sz="6" w:space="0"/>
            <w:bottom w:val="single" w:color="auto" w:sz="12" w:space="0"/>
            <w:right w:val="none" w:color="auto" w:sz="6" w:space="0"/>
            <w:insideH w:val="single" w:color="auto" w:sz="2" w:space="0"/>
            <w:insideV w:val="single" w:color="auto" w:sz="4" w:space="0"/>
          </w:tblBorders>
          <w:tblCellMar>
            <w:top w:w="0" w:type="dxa"/>
            <w:left w:w="108" w:type="dxa"/>
            <w:bottom w:w="0" w:type="dxa"/>
            <w:right w:w="108" w:type="dxa"/>
          </w:tblCellMar>
        </w:tblPrEx>
        <w:trPr>
          <w:trHeight w:val="23" w:hRule="atLeast"/>
          <w:jc w:val="center"/>
        </w:trPr>
        <w:tc>
          <w:tcPr>
            <w:tcW w:w="770" w:type="pct"/>
            <w:tcBorders>
              <w:top w:val="single" w:color="auto" w:sz="2" w:space="0"/>
              <w:left w:val="nil"/>
              <w:bottom w:val="single" w:color="auto" w:sz="2" w:space="0"/>
              <w:right w:val="single" w:color="auto" w:sz="4" w:space="0"/>
            </w:tcBorders>
            <w:vAlign w:val="center"/>
          </w:tcPr>
          <w:p w14:paraId="1B288F29">
            <w:pPr>
              <w:spacing w:line="240" w:lineRule="auto"/>
              <w:ind w:firstLine="0" w:firstLineChars="0"/>
              <w:jc w:val="center"/>
              <w:rPr>
                <w:color w:val="auto"/>
                <w:sz w:val="21"/>
                <w:szCs w:val="21"/>
              </w:rPr>
            </w:pPr>
            <w:r>
              <w:rPr>
                <w:color w:val="auto"/>
                <w:sz w:val="21"/>
                <w:szCs w:val="21"/>
                <w:lang w:bidi="ar"/>
              </w:rPr>
              <w:t>1</w:t>
            </w:r>
          </w:p>
        </w:tc>
        <w:tc>
          <w:tcPr>
            <w:tcW w:w="1418" w:type="pct"/>
            <w:tcBorders>
              <w:top w:val="single" w:color="auto" w:sz="2" w:space="0"/>
              <w:left w:val="single" w:color="auto" w:sz="4" w:space="0"/>
              <w:bottom w:val="single" w:color="auto" w:sz="2" w:space="0"/>
              <w:right w:val="single" w:color="auto" w:sz="4" w:space="0"/>
            </w:tcBorders>
            <w:vAlign w:val="center"/>
          </w:tcPr>
          <w:p w14:paraId="7E08D3FC">
            <w:pPr>
              <w:spacing w:line="240" w:lineRule="auto"/>
              <w:ind w:firstLine="0" w:firstLineChars="0"/>
              <w:jc w:val="center"/>
              <w:rPr>
                <w:color w:val="auto"/>
                <w:sz w:val="21"/>
                <w:szCs w:val="21"/>
              </w:rPr>
            </w:pPr>
            <w:r>
              <w:rPr>
                <w:rFonts w:hint="eastAsia"/>
                <w:color w:val="auto"/>
                <w:sz w:val="21"/>
                <w:szCs w:val="21"/>
              </w:rPr>
              <w:t>氨气</w:t>
            </w:r>
          </w:p>
        </w:tc>
        <w:tc>
          <w:tcPr>
            <w:tcW w:w="1436" w:type="pct"/>
            <w:tcBorders>
              <w:top w:val="single" w:color="auto" w:sz="2" w:space="0"/>
              <w:left w:val="single" w:color="auto" w:sz="4" w:space="0"/>
              <w:bottom w:val="single" w:color="auto" w:sz="2" w:space="0"/>
              <w:right w:val="single" w:color="auto" w:sz="4" w:space="0"/>
            </w:tcBorders>
            <w:vAlign w:val="center"/>
          </w:tcPr>
          <w:p w14:paraId="33B95E50">
            <w:pPr>
              <w:spacing w:line="240" w:lineRule="auto"/>
              <w:ind w:firstLine="0" w:firstLineChars="0"/>
              <w:jc w:val="center"/>
              <w:rPr>
                <w:color w:val="auto"/>
                <w:sz w:val="21"/>
                <w:szCs w:val="21"/>
              </w:rPr>
            </w:pPr>
            <w:r>
              <w:rPr>
                <w:rFonts w:hint="eastAsia"/>
                <w:color w:val="auto"/>
                <w:sz w:val="21"/>
                <w:szCs w:val="21"/>
              </w:rPr>
              <w:t>770</w:t>
            </w:r>
          </w:p>
        </w:tc>
        <w:tc>
          <w:tcPr>
            <w:tcW w:w="1376" w:type="pct"/>
            <w:tcBorders>
              <w:top w:val="single" w:color="auto" w:sz="2" w:space="0"/>
              <w:left w:val="single" w:color="auto" w:sz="4" w:space="0"/>
              <w:bottom w:val="single" w:color="auto" w:sz="2" w:space="0"/>
              <w:right w:val="nil"/>
            </w:tcBorders>
            <w:vAlign w:val="center"/>
          </w:tcPr>
          <w:p w14:paraId="6963EEF6">
            <w:pPr>
              <w:spacing w:line="240" w:lineRule="auto"/>
              <w:ind w:firstLine="0" w:firstLineChars="0"/>
              <w:jc w:val="center"/>
              <w:rPr>
                <w:color w:val="auto"/>
                <w:sz w:val="21"/>
                <w:szCs w:val="21"/>
              </w:rPr>
            </w:pPr>
            <w:r>
              <w:rPr>
                <w:rFonts w:hint="eastAsia"/>
                <w:color w:val="auto"/>
                <w:sz w:val="21"/>
                <w:szCs w:val="21"/>
              </w:rPr>
              <w:t>110</w:t>
            </w:r>
          </w:p>
        </w:tc>
      </w:tr>
      <w:tr w14:paraId="1B8EA1DC">
        <w:tblPrEx>
          <w:tblBorders>
            <w:top w:val="single" w:color="auto" w:sz="12" w:space="0"/>
            <w:left w:val="none" w:color="auto" w:sz="6" w:space="0"/>
            <w:bottom w:val="single" w:color="auto" w:sz="12" w:space="0"/>
            <w:right w:val="none" w:color="auto" w:sz="6" w:space="0"/>
            <w:insideH w:val="single" w:color="auto" w:sz="2" w:space="0"/>
            <w:insideV w:val="single" w:color="auto" w:sz="4" w:space="0"/>
          </w:tblBorders>
          <w:tblCellMar>
            <w:top w:w="0" w:type="dxa"/>
            <w:left w:w="108" w:type="dxa"/>
            <w:bottom w:w="0" w:type="dxa"/>
            <w:right w:w="108" w:type="dxa"/>
          </w:tblCellMar>
        </w:tblPrEx>
        <w:trPr>
          <w:trHeight w:val="23" w:hRule="atLeast"/>
          <w:jc w:val="center"/>
        </w:trPr>
        <w:tc>
          <w:tcPr>
            <w:tcW w:w="770" w:type="pct"/>
            <w:tcBorders>
              <w:top w:val="single" w:color="auto" w:sz="2" w:space="0"/>
              <w:left w:val="nil"/>
              <w:bottom w:val="single" w:color="auto" w:sz="2" w:space="0"/>
              <w:right w:val="single" w:color="auto" w:sz="4" w:space="0"/>
            </w:tcBorders>
            <w:vAlign w:val="center"/>
          </w:tcPr>
          <w:p w14:paraId="7B3CB994">
            <w:pPr>
              <w:spacing w:line="240" w:lineRule="auto"/>
              <w:ind w:firstLine="0" w:firstLineChars="0"/>
              <w:jc w:val="center"/>
              <w:rPr>
                <w:color w:val="auto"/>
                <w:sz w:val="21"/>
                <w:szCs w:val="21"/>
                <w:lang w:bidi="ar"/>
              </w:rPr>
            </w:pPr>
            <w:r>
              <w:rPr>
                <w:color w:val="auto"/>
                <w:sz w:val="21"/>
                <w:szCs w:val="21"/>
                <w:lang w:bidi="ar"/>
              </w:rPr>
              <w:t>2</w:t>
            </w:r>
          </w:p>
        </w:tc>
        <w:tc>
          <w:tcPr>
            <w:tcW w:w="1418" w:type="pct"/>
            <w:tcBorders>
              <w:top w:val="single" w:color="auto" w:sz="2" w:space="0"/>
              <w:left w:val="single" w:color="auto" w:sz="4" w:space="0"/>
              <w:bottom w:val="single" w:color="auto" w:sz="2" w:space="0"/>
              <w:right w:val="single" w:color="auto" w:sz="4" w:space="0"/>
            </w:tcBorders>
            <w:vAlign w:val="center"/>
          </w:tcPr>
          <w:p w14:paraId="63A85E65">
            <w:pPr>
              <w:spacing w:line="240" w:lineRule="auto"/>
              <w:ind w:firstLine="0" w:firstLineChars="0"/>
              <w:jc w:val="center"/>
              <w:rPr>
                <w:color w:val="auto"/>
                <w:sz w:val="21"/>
                <w:szCs w:val="21"/>
              </w:rPr>
            </w:pPr>
            <w:r>
              <w:rPr>
                <w:rFonts w:hint="eastAsia"/>
                <w:color w:val="auto"/>
                <w:sz w:val="21"/>
                <w:szCs w:val="21"/>
              </w:rPr>
              <w:t>二氧化硫</w:t>
            </w:r>
          </w:p>
        </w:tc>
        <w:tc>
          <w:tcPr>
            <w:tcW w:w="1436" w:type="pct"/>
            <w:tcBorders>
              <w:top w:val="single" w:color="auto" w:sz="2" w:space="0"/>
              <w:left w:val="single" w:color="auto" w:sz="4" w:space="0"/>
              <w:bottom w:val="single" w:color="auto" w:sz="2" w:space="0"/>
              <w:right w:val="single" w:color="auto" w:sz="4" w:space="0"/>
            </w:tcBorders>
            <w:vAlign w:val="center"/>
          </w:tcPr>
          <w:p w14:paraId="4D3A3DCE">
            <w:pPr>
              <w:spacing w:line="240" w:lineRule="auto"/>
              <w:ind w:firstLine="0" w:firstLineChars="0"/>
              <w:jc w:val="center"/>
              <w:rPr>
                <w:color w:val="auto"/>
                <w:sz w:val="21"/>
                <w:szCs w:val="21"/>
              </w:rPr>
            </w:pPr>
            <w:r>
              <w:rPr>
                <w:rFonts w:hint="eastAsia"/>
                <w:color w:val="auto"/>
                <w:sz w:val="21"/>
                <w:szCs w:val="21"/>
              </w:rPr>
              <w:t>79</w:t>
            </w:r>
          </w:p>
        </w:tc>
        <w:tc>
          <w:tcPr>
            <w:tcW w:w="1376" w:type="pct"/>
            <w:tcBorders>
              <w:top w:val="single" w:color="auto" w:sz="2" w:space="0"/>
              <w:left w:val="single" w:color="auto" w:sz="4" w:space="0"/>
              <w:bottom w:val="single" w:color="auto" w:sz="2" w:space="0"/>
              <w:right w:val="nil"/>
            </w:tcBorders>
            <w:vAlign w:val="center"/>
          </w:tcPr>
          <w:p w14:paraId="4E61DE01">
            <w:pPr>
              <w:spacing w:line="240" w:lineRule="auto"/>
              <w:ind w:firstLine="0" w:firstLineChars="0"/>
              <w:jc w:val="center"/>
              <w:rPr>
                <w:color w:val="auto"/>
                <w:sz w:val="21"/>
                <w:szCs w:val="21"/>
              </w:rPr>
            </w:pPr>
            <w:r>
              <w:rPr>
                <w:rFonts w:hint="eastAsia"/>
                <w:color w:val="auto"/>
                <w:sz w:val="21"/>
                <w:szCs w:val="21"/>
              </w:rPr>
              <w:t>2</w:t>
            </w:r>
          </w:p>
        </w:tc>
      </w:tr>
    </w:tbl>
    <w:p w14:paraId="57218F77">
      <w:pPr>
        <w:ind w:firstLine="480"/>
        <w:rPr>
          <w:bCs/>
          <w:color w:val="auto"/>
        </w:rPr>
      </w:pPr>
      <w:r>
        <w:rPr>
          <w:rFonts w:hint="eastAsia"/>
          <w:bCs/>
          <w:color w:val="auto"/>
        </w:rPr>
        <w:t>3、预测结果表述</w:t>
      </w:r>
    </w:p>
    <w:p w14:paraId="6F126BF0">
      <w:pPr>
        <w:ind w:firstLine="480"/>
        <w:rPr>
          <w:bCs/>
          <w:color w:val="auto"/>
        </w:rPr>
      </w:pPr>
      <w:r>
        <w:rPr>
          <w:rFonts w:hint="eastAsia"/>
          <w:bCs/>
          <w:color w:val="auto"/>
        </w:rPr>
        <w:t>本次采用SLAB模型进行</w:t>
      </w:r>
      <w:r>
        <w:rPr>
          <w:bCs/>
          <w:color w:val="auto"/>
        </w:rPr>
        <w:t>计算事故影响，最不利气象条件不同距离处有毒有害物质最大浓度</w:t>
      </w:r>
      <w:r>
        <w:rPr>
          <w:rFonts w:hint="eastAsia"/>
          <w:bCs/>
          <w:color w:val="auto"/>
        </w:rPr>
        <w:t>如下所示。</w:t>
      </w:r>
    </w:p>
    <w:p w14:paraId="6D8F71A4">
      <w:pPr>
        <w:ind w:firstLine="480"/>
        <w:rPr>
          <w:bCs/>
          <w:color w:val="auto"/>
        </w:rPr>
      </w:pPr>
      <w:r>
        <w:rPr>
          <w:rFonts w:hint="eastAsia"/>
          <w:bCs/>
          <w:color w:val="auto"/>
        </w:rPr>
        <w:t>（1）液氨泄漏事故</w:t>
      </w:r>
    </w:p>
    <w:p w14:paraId="29317ABD">
      <w:pPr>
        <w:ind w:firstLine="482"/>
        <w:jc w:val="center"/>
        <w:rPr>
          <w:b/>
          <w:color w:val="auto"/>
        </w:rPr>
      </w:pPr>
      <w:r>
        <w:rPr>
          <w:rFonts w:hint="eastAsia"/>
          <w:b/>
          <w:color w:val="auto"/>
        </w:rPr>
        <w:t>表6.7.4-3 液氨泄漏事故最不利气象条件下不同距离处有毒有害物质最大浓度</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59"/>
        <w:gridCol w:w="3323"/>
        <w:gridCol w:w="3272"/>
      </w:tblGrid>
      <w:tr w14:paraId="196BA27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vMerge w:val="restart"/>
            <w:vAlign w:val="center"/>
          </w:tcPr>
          <w:p w14:paraId="7D601F01">
            <w:pPr>
              <w:widowControl/>
              <w:spacing w:line="240" w:lineRule="auto"/>
              <w:ind w:firstLine="0" w:firstLineChars="0"/>
              <w:jc w:val="center"/>
              <w:textAlignment w:val="center"/>
              <w:rPr>
                <w:b/>
                <w:bCs/>
                <w:color w:val="auto"/>
                <w:sz w:val="21"/>
                <w:szCs w:val="21"/>
              </w:rPr>
            </w:pPr>
            <w:r>
              <w:rPr>
                <w:b/>
                <w:bCs/>
                <w:color w:val="auto"/>
                <w:kern w:val="0"/>
                <w:sz w:val="21"/>
                <w:szCs w:val="21"/>
                <w:lang w:bidi="ar"/>
              </w:rPr>
              <w:t>下风向距离（m）</w:t>
            </w:r>
          </w:p>
        </w:tc>
        <w:tc>
          <w:tcPr>
            <w:tcW w:w="3346" w:type="pct"/>
            <w:gridSpan w:val="2"/>
            <w:vAlign w:val="center"/>
          </w:tcPr>
          <w:p w14:paraId="6B926B10">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氨气</w:t>
            </w:r>
          </w:p>
        </w:tc>
      </w:tr>
      <w:tr w14:paraId="566724A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54" w:type="pct"/>
            <w:vMerge w:val="continue"/>
            <w:vAlign w:val="center"/>
          </w:tcPr>
          <w:p w14:paraId="51452153">
            <w:pPr>
              <w:spacing w:line="240" w:lineRule="auto"/>
              <w:ind w:firstLine="0" w:firstLineChars="0"/>
              <w:jc w:val="center"/>
              <w:rPr>
                <w:b/>
                <w:bCs/>
                <w:color w:val="auto"/>
                <w:sz w:val="21"/>
                <w:szCs w:val="21"/>
              </w:rPr>
            </w:pPr>
          </w:p>
        </w:tc>
        <w:tc>
          <w:tcPr>
            <w:tcW w:w="1686" w:type="pct"/>
            <w:vAlign w:val="center"/>
          </w:tcPr>
          <w:p w14:paraId="641C426B">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出现时间（min）</w:t>
            </w:r>
          </w:p>
        </w:tc>
        <w:tc>
          <w:tcPr>
            <w:tcW w:w="1660" w:type="pct"/>
            <w:vAlign w:val="center"/>
          </w:tcPr>
          <w:p w14:paraId="2B2CF7D6">
            <w:pPr>
              <w:widowControl/>
              <w:spacing w:line="240" w:lineRule="auto"/>
              <w:ind w:firstLine="0" w:firstLineChars="0"/>
              <w:jc w:val="center"/>
              <w:textAlignment w:val="center"/>
              <w:rPr>
                <w:b/>
                <w:bCs/>
                <w:color w:val="auto"/>
                <w:sz w:val="21"/>
                <w:szCs w:val="21"/>
              </w:rPr>
            </w:pPr>
            <w:r>
              <w:rPr>
                <w:b/>
                <w:bCs/>
                <w:color w:val="auto"/>
                <w:kern w:val="0"/>
                <w:sz w:val="21"/>
                <w:szCs w:val="21"/>
                <w:lang w:bidi="ar"/>
              </w:rPr>
              <w:t>高峰浓度（mg/m</w:t>
            </w:r>
            <w:r>
              <w:rPr>
                <w:b/>
                <w:bCs/>
                <w:color w:val="auto"/>
                <w:kern w:val="0"/>
                <w:sz w:val="21"/>
                <w:szCs w:val="21"/>
                <w:vertAlign w:val="superscript"/>
                <w:lang w:bidi="ar"/>
              </w:rPr>
              <w:t>3</w:t>
            </w:r>
            <w:r>
              <w:rPr>
                <w:b/>
                <w:bCs/>
                <w:color w:val="auto"/>
                <w:kern w:val="0"/>
                <w:sz w:val="21"/>
                <w:szCs w:val="21"/>
                <w:lang w:bidi="ar"/>
              </w:rPr>
              <w:t>）</w:t>
            </w:r>
          </w:p>
        </w:tc>
      </w:tr>
      <w:tr w14:paraId="20480DC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DF524B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100</w:t>
            </w:r>
          </w:p>
        </w:tc>
        <w:tc>
          <w:tcPr>
            <w:tcW w:w="1686" w:type="pct"/>
            <w:noWrap/>
            <w:vAlign w:val="center"/>
          </w:tcPr>
          <w:p w14:paraId="508EF785">
            <w:pPr>
              <w:widowControl/>
              <w:spacing w:line="240" w:lineRule="auto"/>
              <w:ind w:firstLine="0" w:firstLineChars="0"/>
              <w:jc w:val="center"/>
              <w:textAlignment w:val="center"/>
              <w:rPr>
                <w:color w:val="auto"/>
                <w:kern w:val="0"/>
                <w:sz w:val="21"/>
                <w:szCs w:val="21"/>
                <w:lang w:bidi="ar"/>
              </w:rPr>
            </w:pPr>
            <w:r>
              <w:rPr>
                <w:color w:val="auto"/>
                <w:sz w:val="21"/>
                <w:szCs w:val="21"/>
              </w:rPr>
              <w:t>15.61</w:t>
            </w:r>
          </w:p>
        </w:tc>
        <w:tc>
          <w:tcPr>
            <w:tcW w:w="1660" w:type="pct"/>
            <w:noWrap/>
            <w:vAlign w:val="center"/>
          </w:tcPr>
          <w:p w14:paraId="17BA7E23">
            <w:pPr>
              <w:widowControl/>
              <w:spacing w:line="240" w:lineRule="auto"/>
              <w:ind w:firstLine="0" w:firstLineChars="0"/>
              <w:jc w:val="center"/>
              <w:textAlignment w:val="center"/>
              <w:rPr>
                <w:color w:val="auto"/>
                <w:kern w:val="0"/>
                <w:sz w:val="21"/>
                <w:szCs w:val="21"/>
                <w:lang w:bidi="ar"/>
              </w:rPr>
            </w:pPr>
            <w:r>
              <w:rPr>
                <w:color w:val="auto"/>
                <w:sz w:val="21"/>
                <w:szCs w:val="21"/>
              </w:rPr>
              <w:t>438.12</w:t>
            </w:r>
          </w:p>
        </w:tc>
      </w:tr>
      <w:tr w14:paraId="50A7DE4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7461CB6">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200</w:t>
            </w:r>
          </w:p>
        </w:tc>
        <w:tc>
          <w:tcPr>
            <w:tcW w:w="1686" w:type="pct"/>
            <w:noWrap/>
            <w:vAlign w:val="center"/>
          </w:tcPr>
          <w:p w14:paraId="27C81E2D">
            <w:pPr>
              <w:widowControl/>
              <w:spacing w:line="240" w:lineRule="auto"/>
              <w:ind w:firstLine="0" w:firstLineChars="0"/>
              <w:jc w:val="center"/>
              <w:textAlignment w:val="center"/>
              <w:rPr>
                <w:color w:val="auto"/>
                <w:kern w:val="0"/>
                <w:sz w:val="21"/>
                <w:szCs w:val="21"/>
                <w:lang w:bidi="ar"/>
              </w:rPr>
            </w:pPr>
            <w:r>
              <w:rPr>
                <w:color w:val="auto"/>
                <w:sz w:val="21"/>
                <w:szCs w:val="21"/>
              </w:rPr>
              <w:t>16.22</w:t>
            </w:r>
          </w:p>
        </w:tc>
        <w:tc>
          <w:tcPr>
            <w:tcW w:w="1660" w:type="pct"/>
            <w:noWrap/>
            <w:vAlign w:val="center"/>
          </w:tcPr>
          <w:p w14:paraId="433A76B2">
            <w:pPr>
              <w:widowControl/>
              <w:spacing w:line="240" w:lineRule="auto"/>
              <w:ind w:firstLine="0" w:firstLineChars="0"/>
              <w:jc w:val="center"/>
              <w:textAlignment w:val="center"/>
              <w:rPr>
                <w:color w:val="auto"/>
                <w:kern w:val="0"/>
                <w:sz w:val="21"/>
                <w:szCs w:val="21"/>
                <w:lang w:bidi="ar"/>
              </w:rPr>
            </w:pPr>
            <w:r>
              <w:rPr>
                <w:color w:val="auto"/>
                <w:sz w:val="21"/>
                <w:szCs w:val="21"/>
              </w:rPr>
              <w:t>403.20</w:t>
            </w:r>
          </w:p>
        </w:tc>
      </w:tr>
      <w:tr w14:paraId="7ACE929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530682F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300</w:t>
            </w:r>
          </w:p>
        </w:tc>
        <w:tc>
          <w:tcPr>
            <w:tcW w:w="1686" w:type="pct"/>
            <w:noWrap/>
            <w:vAlign w:val="center"/>
          </w:tcPr>
          <w:p w14:paraId="3BDBE4CC">
            <w:pPr>
              <w:widowControl/>
              <w:spacing w:line="240" w:lineRule="auto"/>
              <w:ind w:firstLine="0" w:firstLineChars="0"/>
              <w:jc w:val="center"/>
              <w:textAlignment w:val="center"/>
              <w:rPr>
                <w:color w:val="auto"/>
                <w:kern w:val="0"/>
                <w:sz w:val="21"/>
                <w:szCs w:val="21"/>
                <w:lang w:bidi="ar"/>
              </w:rPr>
            </w:pPr>
            <w:r>
              <w:rPr>
                <w:color w:val="auto"/>
                <w:sz w:val="21"/>
                <w:szCs w:val="21"/>
              </w:rPr>
              <w:t>16.83</w:t>
            </w:r>
          </w:p>
        </w:tc>
        <w:tc>
          <w:tcPr>
            <w:tcW w:w="1660" w:type="pct"/>
            <w:noWrap/>
            <w:vAlign w:val="center"/>
          </w:tcPr>
          <w:p w14:paraId="7DE54B7C">
            <w:pPr>
              <w:widowControl/>
              <w:spacing w:line="240" w:lineRule="auto"/>
              <w:ind w:firstLine="0" w:firstLineChars="0"/>
              <w:jc w:val="center"/>
              <w:textAlignment w:val="center"/>
              <w:rPr>
                <w:color w:val="auto"/>
                <w:kern w:val="0"/>
                <w:sz w:val="21"/>
                <w:szCs w:val="21"/>
                <w:lang w:bidi="ar"/>
              </w:rPr>
            </w:pPr>
            <w:r>
              <w:rPr>
                <w:color w:val="auto"/>
                <w:sz w:val="21"/>
                <w:szCs w:val="21"/>
              </w:rPr>
              <w:t>366.22</w:t>
            </w:r>
          </w:p>
        </w:tc>
      </w:tr>
      <w:tr w14:paraId="2E91AEE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61D9D7E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400</w:t>
            </w:r>
          </w:p>
        </w:tc>
        <w:tc>
          <w:tcPr>
            <w:tcW w:w="1686" w:type="pct"/>
            <w:noWrap/>
            <w:vAlign w:val="center"/>
          </w:tcPr>
          <w:p w14:paraId="7D3CDCA2">
            <w:pPr>
              <w:widowControl/>
              <w:spacing w:line="240" w:lineRule="auto"/>
              <w:ind w:firstLine="0" w:firstLineChars="0"/>
              <w:jc w:val="center"/>
              <w:textAlignment w:val="center"/>
              <w:rPr>
                <w:color w:val="auto"/>
                <w:kern w:val="0"/>
                <w:sz w:val="21"/>
                <w:szCs w:val="21"/>
                <w:lang w:bidi="ar"/>
              </w:rPr>
            </w:pPr>
            <w:r>
              <w:rPr>
                <w:color w:val="auto"/>
                <w:sz w:val="21"/>
                <w:szCs w:val="21"/>
              </w:rPr>
              <w:t>17.45</w:t>
            </w:r>
          </w:p>
        </w:tc>
        <w:tc>
          <w:tcPr>
            <w:tcW w:w="1660" w:type="pct"/>
            <w:noWrap/>
            <w:vAlign w:val="center"/>
          </w:tcPr>
          <w:p w14:paraId="22E92EA3">
            <w:pPr>
              <w:widowControl/>
              <w:spacing w:line="240" w:lineRule="auto"/>
              <w:ind w:firstLine="0" w:firstLineChars="0"/>
              <w:jc w:val="center"/>
              <w:textAlignment w:val="center"/>
              <w:rPr>
                <w:color w:val="auto"/>
                <w:kern w:val="0"/>
                <w:sz w:val="21"/>
                <w:szCs w:val="21"/>
                <w:lang w:bidi="ar"/>
              </w:rPr>
            </w:pPr>
            <w:r>
              <w:rPr>
                <w:color w:val="auto"/>
                <w:sz w:val="21"/>
                <w:szCs w:val="21"/>
              </w:rPr>
              <w:t>277.24</w:t>
            </w:r>
          </w:p>
        </w:tc>
      </w:tr>
      <w:tr w14:paraId="0A30EAC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5EFFC5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500</w:t>
            </w:r>
          </w:p>
        </w:tc>
        <w:tc>
          <w:tcPr>
            <w:tcW w:w="1686" w:type="pct"/>
            <w:noWrap/>
            <w:vAlign w:val="center"/>
          </w:tcPr>
          <w:p w14:paraId="02B1157D">
            <w:pPr>
              <w:widowControl/>
              <w:spacing w:line="240" w:lineRule="auto"/>
              <w:ind w:firstLine="0" w:firstLineChars="0"/>
              <w:jc w:val="center"/>
              <w:textAlignment w:val="center"/>
              <w:rPr>
                <w:color w:val="auto"/>
                <w:kern w:val="0"/>
                <w:sz w:val="21"/>
                <w:szCs w:val="21"/>
                <w:lang w:bidi="ar"/>
              </w:rPr>
            </w:pPr>
            <w:r>
              <w:rPr>
                <w:color w:val="auto"/>
                <w:sz w:val="21"/>
                <w:szCs w:val="21"/>
              </w:rPr>
              <w:t>18.06</w:t>
            </w:r>
          </w:p>
        </w:tc>
        <w:tc>
          <w:tcPr>
            <w:tcW w:w="1660" w:type="pct"/>
            <w:noWrap/>
            <w:vAlign w:val="center"/>
          </w:tcPr>
          <w:p w14:paraId="5E921B80">
            <w:pPr>
              <w:widowControl/>
              <w:spacing w:line="240" w:lineRule="auto"/>
              <w:ind w:firstLine="0" w:firstLineChars="0"/>
              <w:jc w:val="center"/>
              <w:textAlignment w:val="center"/>
              <w:rPr>
                <w:color w:val="auto"/>
                <w:kern w:val="0"/>
                <w:sz w:val="21"/>
                <w:szCs w:val="21"/>
                <w:lang w:bidi="ar"/>
              </w:rPr>
            </w:pPr>
            <w:r>
              <w:rPr>
                <w:color w:val="auto"/>
                <w:sz w:val="21"/>
                <w:szCs w:val="21"/>
              </w:rPr>
              <w:t>101.36</w:t>
            </w:r>
          </w:p>
        </w:tc>
      </w:tr>
      <w:tr w14:paraId="038D916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1AAFECE">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600</w:t>
            </w:r>
          </w:p>
        </w:tc>
        <w:tc>
          <w:tcPr>
            <w:tcW w:w="1686" w:type="pct"/>
            <w:noWrap/>
            <w:vAlign w:val="center"/>
          </w:tcPr>
          <w:p w14:paraId="67FDCEA5">
            <w:pPr>
              <w:widowControl/>
              <w:spacing w:line="240" w:lineRule="auto"/>
              <w:ind w:firstLine="0" w:firstLineChars="0"/>
              <w:jc w:val="center"/>
              <w:textAlignment w:val="center"/>
              <w:rPr>
                <w:color w:val="auto"/>
                <w:kern w:val="0"/>
                <w:sz w:val="21"/>
                <w:szCs w:val="21"/>
                <w:lang w:bidi="ar"/>
              </w:rPr>
            </w:pPr>
            <w:r>
              <w:rPr>
                <w:color w:val="auto"/>
                <w:sz w:val="21"/>
                <w:szCs w:val="21"/>
              </w:rPr>
              <w:t>18.67</w:t>
            </w:r>
          </w:p>
        </w:tc>
        <w:tc>
          <w:tcPr>
            <w:tcW w:w="1660" w:type="pct"/>
            <w:noWrap/>
            <w:vAlign w:val="center"/>
          </w:tcPr>
          <w:p w14:paraId="0EED776C">
            <w:pPr>
              <w:widowControl/>
              <w:spacing w:line="240" w:lineRule="auto"/>
              <w:ind w:firstLine="0" w:firstLineChars="0"/>
              <w:jc w:val="center"/>
              <w:textAlignment w:val="center"/>
              <w:rPr>
                <w:color w:val="auto"/>
                <w:kern w:val="0"/>
                <w:sz w:val="21"/>
                <w:szCs w:val="21"/>
                <w:lang w:bidi="ar"/>
              </w:rPr>
            </w:pPr>
            <w:r>
              <w:rPr>
                <w:color w:val="auto"/>
                <w:sz w:val="21"/>
                <w:szCs w:val="21"/>
              </w:rPr>
              <w:t>19.63</w:t>
            </w:r>
          </w:p>
        </w:tc>
      </w:tr>
      <w:tr w14:paraId="56B519D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6910402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700</w:t>
            </w:r>
          </w:p>
        </w:tc>
        <w:tc>
          <w:tcPr>
            <w:tcW w:w="1686" w:type="pct"/>
            <w:noWrap/>
            <w:vAlign w:val="center"/>
          </w:tcPr>
          <w:p w14:paraId="2F795422">
            <w:pPr>
              <w:widowControl/>
              <w:spacing w:line="240" w:lineRule="auto"/>
              <w:ind w:firstLine="0" w:firstLineChars="0"/>
              <w:jc w:val="center"/>
              <w:textAlignment w:val="center"/>
              <w:rPr>
                <w:color w:val="auto"/>
                <w:kern w:val="0"/>
                <w:sz w:val="21"/>
                <w:szCs w:val="21"/>
                <w:lang w:bidi="ar"/>
              </w:rPr>
            </w:pPr>
            <w:r>
              <w:rPr>
                <w:color w:val="auto"/>
                <w:sz w:val="21"/>
                <w:szCs w:val="21"/>
              </w:rPr>
              <w:t>19.28</w:t>
            </w:r>
          </w:p>
        </w:tc>
        <w:tc>
          <w:tcPr>
            <w:tcW w:w="1660" w:type="pct"/>
            <w:noWrap/>
            <w:vAlign w:val="center"/>
          </w:tcPr>
          <w:p w14:paraId="5C9D78E3">
            <w:pPr>
              <w:widowControl/>
              <w:spacing w:line="240" w:lineRule="auto"/>
              <w:ind w:firstLine="0" w:firstLineChars="0"/>
              <w:jc w:val="center"/>
              <w:textAlignment w:val="center"/>
              <w:rPr>
                <w:color w:val="auto"/>
                <w:kern w:val="0"/>
                <w:sz w:val="21"/>
                <w:szCs w:val="21"/>
                <w:lang w:bidi="ar"/>
              </w:rPr>
            </w:pPr>
            <w:r>
              <w:rPr>
                <w:color w:val="auto"/>
                <w:sz w:val="21"/>
                <w:szCs w:val="21"/>
              </w:rPr>
              <w:t>1.99</w:t>
            </w:r>
          </w:p>
        </w:tc>
      </w:tr>
      <w:tr w14:paraId="188A842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CADCCF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800</w:t>
            </w:r>
          </w:p>
        </w:tc>
        <w:tc>
          <w:tcPr>
            <w:tcW w:w="1686" w:type="pct"/>
            <w:noWrap/>
            <w:vAlign w:val="center"/>
          </w:tcPr>
          <w:p w14:paraId="329DC500">
            <w:pPr>
              <w:widowControl/>
              <w:spacing w:line="240" w:lineRule="auto"/>
              <w:ind w:firstLine="0" w:firstLineChars="0"/>
              <w:jc w:val="center"/>
              <w:textAlignment w:val="center"/>
              <w:rPr>
                <w:color w:val="auto"/>
                <w:kern w:val="0"/>
                <w:sz w:val="21"/>
                <w:szCs w:val="21"/>
                <w:lang w:bidi="ar"/>
              </w:rPr>
            </w:pPr>
            <w:r>
              <w:rPr>
                <w:color w:val="auto"/>
                <w:sz w:val="21"/>
                <w:szCs w:val="21"/>
              </w:rPr>
              <w:t>19.89</w:t>
            </w:r>
          </w:p>
        </w:tc>
        <w:tc>
          <w:tcPr>
            <w:tcW w:w="1660" w:type="pct"/>
            <w:noWrap/>
            <w:vAlign w:val="center"/>
          </w:tcPr>
          <w:p w14:paraId="699B68BD">
            <w:pPr>
              <w:widowControl/>
              <w:spacing w:line="240" w:lineRule="auto"/>
              <w:ind w:firstLine="0" w:firstLineChars="0"/>
              <w:jc w:val="center"/>
              <w:textAlignment w:val="center"/>
              <w:rPr>
                <w:color w:val="auto"/>
                <w:kern w:val="0"/>
                <w:sz w:val="21"/>
                <w:szCs w:val="21"/>
                <w:lang w:bidi="ar"/>
              </w:rPr>
            </w:pPr>
            <w:r>
              <w:rPr>
                <w:color w:val="auto"/>
                <w:sz w:val="21"/>
                <w:szCs w:val="21"/>
              </w:rPr>
              <w:t>0.10</w:t>
            </w:r>
          </w:p>
        </w:tc>
      </w:tr>
      <w:tr w14:paraId="31E3CA5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4FB7AE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900</w:t>
            </w:r>
          </w:p>
        </w:tc>
        <w:tc>
          <w:tcPr>
            <w:tcW w:w="1686" w:type="pct"/>
            <w:noWrap/>
            <w:vAlign w:val="center"/>
          </w:tcPr>
          <w:p w14:paraId="0EA670AC">
            <w:pPr>
              <w:widowControl/>
              <w:spacing w:line="240" w:lineRule="auto"/>
              <w:ind w:firstLine="0" w:firstLineChars="0"/>
              <w:jc w:val="center"/>
              <w:textAlignment w:val="center"/>
              <w:rPr>
                <w:color w:val="auto"/>
                <w:kern w:val="0"/>
                <w:sz w:val="21"/>
                <w:szCs w:val="21"/>
                <w:lang w:bidi="ar"/>
              </w:rPr>
            </w:pPr>
            <w:r>
              <w:rPr>
                <w:color w:val="auto"/>
                <w:sz w:val="21"/>
                <w:szCs w:val="21"/>
              </w:rPr>
              <w:t>20.50</w:t>
            </w:r>
          </w:p>
        </w:tc>
        <w:tc>
          <w:tcPr>
            <w:tcW w:w="1660" w:type="pct"/>
            <w:noWrap/>
            <w:vAlign w:val="center"/>
          </w:tcPr>
          <w:p w14:paraId="223D22EB">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290F52E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AD6760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1000</w:t>
            </w:r>
          </w:p>
        </w:tc>
        <w:tc>
          <w:tcPr>
            <w:tcW w:w="1686" w:type="pct"/>
            <w:noWrap/>
            <w:vAlign w:val="center"/>
          </w:tcPr>
          <w:p w14:paraId="6079A448">
            <w:pPr>
              <w:widowControl/>
              <w:spacing w:line="240" w:lineRule="auto"/>
              <w:ind w:firstLine="0" w:firstLineChars="0"/>
              <w:jc w:val="center"/>
              <w:textAlignment w:val="center"/>
              <w:rPr>
                <w:color w:val="auto"/>
                <w:kern w:val="0"/>
                <w:sz w:val="21"/>
                <w:szCs w:val="21"/>
                <w:lang w:bidi="ar"/>
              </w:rPr>
            </w:pPr>
            <w:r>
              <w:rPr>
                <w:color w:val="auto"/>
                <w:sz w:val="21"/>
                <w:szCs w:val="21"/>
              </w:rPr>
              <w:t>21.11</w:t>
            </w:r>
          </w:p>
        </w:tc>
        <w:tc>
          <w:tcPr>
            <w:tcW w:w="1660" w:type="pct"/>
            <w:noWrap/>
            <w:vAlign w:val="center"/>
          </w:tcPr>
          <w:p w14:paraId="35A04688">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595F086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BECD47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1110</w:t>
            </w:r>
          </w:p>
        </w:tc>
        <w:tc>
          <w:tcPr>
            <w:tcW w:w="1686" w:type="pct"/>
            <w:noWrap/>
            <w:vAlign w:val="center"/>
          </w:tcPr>
          <w:p w14:paraId="579FC3ED">
            <w:pPr>
              <w:widowControl/>
              <w:spacing w:line="240" w:lineRule="auto"/>
              <w:ind w:firstLine="0" w:firstLineChars="0"/>
              <w:jc w:val="center"/>
              <w:textAlignment w:val="center"/>
              <w:rPr>
                <w:color w:val="auto"/>
                <w:kern w:val="0"/>
                <w:sz w:val="21"/>
                <w:szCs w:val="21"/>
                <w:lang w:bidi="ar"/>
              </w:rPr>
            </w:pPr>
            <w:r>
              <w:rPr>
                <w:color w:val="auto"/>
                <w:sz w:val="21"/>
                <w:szCs w:val="21"/>
              </w:rPr>
              <w:t>21.73</w:t>
            </w:r>
          </w:p>
        </w:tc>
        <w:tc>
          <w:tcPr>
            <w:tcW w:w="1660" w:type="pct"/>
            <w:noWrap/>
            <w:vAlign w:val="center"/>
          </w:tcPr>
          <w:p w14:paraId="272C4E1D">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08EF0D9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DD2C29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1200</w:t>
            </w:r>
          </w:p>
        </w:tc>
        <w:tc>
          <w:tcPr>
            <w:tcW w:w="1686" w:type="pct"/>
            <w:noWrap/>
            <w:vAlign w:val="center"/>
          </w:tcPr>
          <w:p w14:paraId="098107C3">
            <w:pPr>
              <w:widowControl/>
              <w:spacing w:line="240" w:lineRule="auto"/>
              <w:ind w:firstLine="0" w:firstLineChars="0"/>
              <w:jc w:val="center"/>
              <w:textAlignment w:val="center"/>
              <w:rPr>
                <w:color w:val="auto"/>
                <w:kern w:val="0"/>
                <w:sz w:val="21"/>
                <w:szCs w:val="21"/>
                <w:lang w:bidi="ar"/>
              </w:rPr>
            </w:pPr>
            <w:r>
              <w:rPr>
                <w:color w:val="auto"/>
                <w:sz w:val="21"/>
                <w:szCs w:val="21"/>
              </w:rPr>
              <w:t>22.34</w:t>
            </w:r>
          </w:p>
        </w:tc>
        <w:tc>
          <w:tcPr>
            <w:tcW w:w="1660" w:type="pct"/>
            <w:noWrap/>
            <w:vAlign w:val="center"/>
          </w:tcPr>
          <w:p w14:paraId="36136795">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4EAB5D4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55E9A356">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1300</w:t>
            </w:r>
          </w:p>
        </w:tc>
        <w:tc>
          <w:tcPr>
            <w:tcW w:w="1686" w:type="pct"/>
            <w:noWrap/>
            <w:vAlign w:val="center"/>
          </w:tcPr>
          <w:p w14:paraId="7F2C04A3">
            <w:pPr>
              <w:widowControl/>
              <w:spacing w:line="240" w:lineRule="auto"/>
              <w:ind w:firstLine="0" w:firstLineChars="0"/>
              <w:jc w:val="center"/>
              <w:textAlignment w:val="center"/>
              <w:rPr>
                <w:color w:val="auto"/>
                <w:kern w:val="0"/>
                <w:sz w:val="21"/>
                <w:szCs w:val="21"/>
                <w:lang w:bidi="ar"/>
              </w:rPr>
            </w:pPr>
            <w:r>
              <w:rPr>
                <w:color w:val="auto"/>
                <w:sz w:val="21"/>
                <w:szCs w:val="21"/>
              </w:rPr>
              <w:t>22.95</w:t>
            </w:r>
          </w:p>
        </w:tc>
        <w:tc>
          <w:tcPr>
            <w:tcW w:w="1660" w:type="pct"/>
            <w:noWrap/>
            <w:vAlign w:val="center"/>
          </w:tcPr>
          <w:p w14:paraId="56BADEB8">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1D83129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F266AF9">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1400</w:t>
            </w:r>
          </w:p>
        </w:tc>
        <w:tc>
          <w:tcPr>
            <w:tcW w:w="1686" w:type="pct"/>
            <w:noWrap/>
            <w:vAlign w:val="center"/>
          </w:tcPr>
          <w:p w14:paraId="1FE2A7CD">
            <w:pPr>
              <w:widowControl/>
              <w:spacing w:line="240" w:lineRule="auto"/>
              <w:ind w:firstLine="0" w:firstLineChars="0"/>
              <w:jc w:val="center"/>
              <w:textAlignment w:val="center"/>
              <w:rPr>
                <w:color w:val="auto"/>
                <w:kern w:val="0"/>
                <w:sz w:val="21"/>
                <w:szCs w:val="21"/>
                <w:lang w:bidi="ar"/>
              </w:rPr>
            </w:pPr>
            <w:r>
              <w:rPr>
                <w:color w:val="auto"/>
                <w:sz w:val="21"/>
                <w:szCs w:val="21"/>
              </w:rPr>
              <w:t>23.56</w:t>
            </w:r>
          </w:p>
        </w:tc>
        <w:tc>
          <w:tcPr>
            <w:tcW w:w="1660" w:type="pct"/>
            <w:noWrap/>
            <w:vAlign w:val="center"/>
          </w:tcPr>
          <w:p w14:paraId="554C390A">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0B3F3DA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86D98F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1500</w:t>
            </w:r>
          </w:p>
        </w:tc>
        <w:tc>
          <w:tcPr>
            <w:tcW w:w="1686" w:type="pct"/>
            <w:noWrap/>
            <w:vAlign w:val="center"/>
          </w:tcPr>
          <w:p w14:paraId="2F929267">
            <w:pPr>
              <w:widowControl/>
              <w:spacing w:line="240" w:lineRule="auto"/>
              <w:ind w:firstLine="0" w:firstLineChars="0"/>
              <w:jc w:val="center"/>
              <w:textAlignment w:val="center"/>
              <w:rPr>
                <w:color w:val="auto"/>
                <w:kern w:val="0"/>
                <w:sz w:val="21"/>
                <w:szCs w:val="21"/>
                <w:lang w:bidi="ar"/>
              </w:rPr>
            </w:pPr>
            <w:r>
              <w:rPr>
                <w:color w:val="auto"/>
                <w:sz w:val="21"/>
                <w:szCs w:val="21"/>
              </w:rPr>
              <w:t>24.17</w:t>
            </w:r>
          </w:p>
        </w:tc>
        <w:tc>
          <w:tcPr>
            <w:tcW w:w="1660" w:type="pct"/>
            <w:noWrap/>
            <w:vAlign w:val="center"/>
          </w:tcPr>
          <w:p w14:paraId="25073C42">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1B4CF89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42C8F6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1600</w:t>
            </w:r>
          </w:p>
        </w:tc>
        <w:tc>
          <w:tcPr>
            <w:tcW w:w="1686" w:type="pct"/>
            <w:noWrap/>
            <w:vAlign w:val="center"/>
          </w:tcPr>
          <w:p w14:paraId="0C8524B4">
            <w:pPr>
              <w:widowControl/>
              <w:spacing w:line="240" w:lineRule="auto"/>
              <w:ind w:firstLine="0" w:firstLineChars="0"/>
              <w:jc w:val="center"/>
              <w:textAlignment w:val="center"/>
              <w:rPr>
                <w:color w:val="auto"/>
                <w:kern w:val="0"/>
                <w:sz w:val="21"/>
                <w:szCs w:val="21"/>
                <w:lang w:bidi="ar"/>
              </w:rPr>
            </w:pPr>
            <w:r>
              <w:rPr>
                <w:color w:val="auto"/>
                <w:sz w:val="21"/>
                <w:szCs w:val="21"/>
              </w:rPr>
              <w:t>24.78</w:t>
            </w:r>
          </w:p>
        </w:tc>
        <w:tc>
          <w:tcPr>
            <w:tcW w:w="1660" w:type="pct"/>
            <w:noWrap/>
            <w:vAlign w:val="center"/>
          </w:tcPr>
          <w:p w14:paraId="6ADDC429">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24D9CFD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2E9EDF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1700</w:t>
            </w:r>
          </w:p>
        </w:tc>
        <w:tc>
          <w:tcPr>
            <w:tcW w:w="1686" w:type="pct"/>
            <w:noWrap/>
            <w:vAlign w:val="center"/>
          </w:tcPr>
          <w:p w14:paraId="135AAAD2">
            <w:pPr>
              <w:widowControl/>
              <w:spacing w:line="240" w:lineRule="auto"/>
              <w:ind w:firstLine="0" w:firstLineChars="0"/>
              <w:jc w:val="center"/>
              <w:textAlignment w:val="center"/>
              <w:rPr>
                <w:color w:val="auto"/>
                <w:kern w:val="0"/>
                <w:sz w:val="21"/>
                <w:szCs w:val="21"/>
                <w:lang w:bidi="ar"/>
              </w:rPr>
            </w:pPr>
            <w:r>
              <w:rPr>
                <w:color w:val="auto"/>
                <w:sz w:val="21"/>
                <w:szCs w:val="21"/>
              </w:rPr>
              <w:t>25.39</w:t>
            </w:r>
          </w:p>
        </w:tc>
        <w:tc>
          <w:tcPr>
            <w:tcW w:w="1660" w:type="pct"/>
            <w:noWrap/>
            <w:vAlign w:val="center"/>
          </w:tcPr>
          <w:p w14:paraId="1857F376">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5F047E3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5307433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1800</w:t>
            </w:r>
          </w:p>
        </w:tc>
        <w:tc>
          <w:tcPr>
            <w:tcW w:w="1686" w:type="pct"/>
            <w:noWrap/>
            <w:vAlign w:val="center"/>
          </w:tcPr>
          <w:p w14:paraId="58AAAC8F">
            <w:pPr>
              <w:widowControl/>
              <w:spacing w:line="240" w:lineRule="auto"/>
              <w:ind w:firstLine="0" w:firstLineChars="0"/>
              <w:jc w:val="center"/>
              <w:textAlignment w:val="center"/>
              <w:rPr>
                <w:color w:val="auto"/>
                <w:kern w:val="0"/>
                <w:sz w:val="21"/>
                <w:szCs w:val="21"/>
                <w:lang w:bidi="ar"/>
              </w:rPr>
            </w:pPr>
            <w:r>
              <w:rPr>
                <w:color w:val="auto"/>
                <w:sz w:val="21"/>
                <w:szCs w:val="21"/>
              </w:rPr>
              <w:t>26.01</w:t>
            </w:r>
          </w:p>
        </w:tc>
        <w:tc>
          <w:tcPr>
            <w:tcW w:w="1660" w:type="pct"/>
            <w:noWrap/>
            <w:vAlign w:val="center"/>
          </w:tcPr>
          <w:p w14:paraId="26AAD566">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20CBB52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A6A375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1900</w:t>
            </w:r>
          </w:p>
        </w:tc>
        <w:tc>
          <w:tcPr>
            <w:tcW w:w="1686" w:type="pct"/>
            <w:noWrap/>
            <w:vAlign w:val="center"/>
          </w:tcPr>
          <w:p w14:paraId="67D9164F">
            <w:pPr>
              <w:widowControl/>
              <w:spacing w:line="240" w:lineRule="auto"/>
              <w:ind w:firstLine="0" w:firstLineChars="0"/>
              <w:jc w:val="center"/>
              <w:textAlignment w:val="center"/>
              <w:rPr>
                <w:color w:val="auto"/>
                <w:kern w:val="0"/>
                <w:sz w:val="21"/>
                <w:szCs w:val="21"/>
                <w:lang w:bidi="ar"/>
              </w:rPr>
            </w:pPr>
            <w:r>
              <w:rPr>
                <w:color w:val="auto"/>
                <w:sz w:val="21"/>
                <w:szCs w:val="21"/>
              </w:rPr>
              <w:t>26.62</w:t>
            </w:r>
          </w:p>
        </w:tc>
        <w:tc>
          <w:tcPr>
            <w:tcW w:w="1660" w:type="pct"/>
            <w:noWrap/>
            <w:vAlign w:val="center"/>
          </w:tcPr>
          <w:p w14:paraId="0E39C685">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5418163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1F28971">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2000</w:t>
            </w:r>
          </w:p>
        </w:tc>
        <w:tc>
          <w:tcPr>
            <w:tcW w:w="1686" w:type="pct"/>
            <w:noWrap/>
            <w:vAlign w:val="center"/>
          </w:tcPr>
          <w:p w14:paraId="108F84D4">
            <w:pPr>
              <w:widowControl/>
              <w:spacing w:line="240" w:lineRule="auto"/>
              <w:ind w:firstLine="0" w:firstLineChars="0"/>
              <w:jc w:val="center"/>
              <w:textAlignment w:val="center"/>
              <w:rPr>
                <w:color w:val="auto"/>
                <w:kern w:val="0"/>
                <w:sz w:val="21"/>
                <w:szCs w:val="21"/>
                <w:lang w:bidi="ar"/>
              </w:rPr>
            </w:pPr>
            <w:r>
              <w:rPr>
                <w:color w:val="auto"/>
                <w:sz w:val="21"/>
                <w:szCs w:val="21"/>
              </w:rPr>
              <w:t>27.23</w:t>
            </w:r>
          </w:p>
        </w:tc>
        <w:tc>
          <w:tcPr>
            <w:tcW w:w="1660" w:type="pct"/>
            <w:noWrap/>
            <w:vAlign w:val="center"/>
          </w:tcPr>
          <w:p w14:paraId="6CE76525">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1F54975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3B18216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2100</w:t>
            </w:r>
          </w:p>
        </w:tc>
        <w:tc>
          <w:tcPr>
            <w:tcW w:w="1686" w:type="pct"/>
            <w:noWrap/>
            <w:vAlign w:val="center"/>
          </w:tcPr>
          <w:p w14:paraId="27C650D3">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7E177169">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743E219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B3F25B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2200</w:t>
            </w:r>
          </w:p>
        </w:tc>
        <w:tc>
          <w:tcPr>
            <w:tcW w:w="1686" w:type="pct"/>
            <w:noWrap/>
            <w:vAlign w:val="center"/>
          </w:tcPr>
          <w:p w14:paraId="1095FAE1">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64C63BB7">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1A54BE6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E9C9639">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2300</w:t>
            </w:r>
          </w:p>
        </w:tc>
        <w:tc>
          <w:tcPr>
            <w:tcW w:w="1686" w:type="pct"/>
            <w:noWrap/>
            <w:vAlign w:val="center"/>
          </w:tcPr>
          <w:p w14:paraId="283BCADF">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18E28F67">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68FC3C5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018EA2E">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2400</w:t>
            </w:r>
          </w:p>
        </w:tc>
        <w:tc>
          <w:tcPr>
            <w:tcW w:w="1686" w:type="pct"/>
            <w:noWrap/>
            <w:vAlign w:val="center"/>
          </w:tcPr>
          <w:p w14:paraId="16DCB71D">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2C698331">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63CC8FC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FA2D56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2500</w:t>
            </w:r>
          </w:p>
        </w:tc>
        <w:tc>
          <w:tcPr>
            <w:tcW w:w="1686" w:type="pct"/>
            <w:noWrap/>
            <w:vAlign w:val="center"/>
          </w:tcPr>
          <w:p w14:paraId="14E1B26D">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3186C98E">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17DBAB9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39B588E9">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2600</w:t>
            </w:r>
          </w:p>
        </w:tc>
        <w:tc>
          <w:tcPr>
            <w:tcW w:w="1686" w:type="pct"/>
            <w:noWrap/>
            <w:vAlign w:val="center"/>
          </w:tcPr>
          <w:p w14:paraId="04521988">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5CAA2370">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727806E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6152147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2700</w:t>
            </w:r>
          </w:p>
        </w:tc>
        <w:tc>
          <w:tcPr>
            <w:tcW w:w="1686" w:type="pct"/>
            <w:noWrap/>
            <w:vAlign w:val="center"/>
          </w:tcPr>
          <w:p w14:paraId="24E83947">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7BEA3207">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325207A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1ACEBC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2800</w:t>
            </w:r>
          </w:p>
        </w:tc>
        <w:tc>
          <w:tcPr>
            <w:tcW w:w="1686" w:type="pct"/>
            <w:noWrap/>
            <w:vAlign w:val="center"/>
          </w:tcPr>
          <w:p w14:paraId="61DE5635">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299E2771">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55D915D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FFB49F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2900</w:t>
            </w:r>
          </w:p>
        </w:tc>
        <w:tc>
          <w:tcPr>
            <w:tcW w:w="1686" w:type="pct"/>
            <w:noWrap/>
            <w:vAlign w:val="center"/>
          </w:tcPr>
          <w:p w14:paraId="36521F9D">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0793A66D">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2053813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428D31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3000</w:t>
            </w:r>
          </w:p>
        </w:tc>
        <w:tc>
          <w:tcPr>
            <w:tcW w:w="1686" w:type="pct"/>
            <w:noWrap/>
            <w:vAlign w:val="center"/>
          </w:tcPr>
          <w:p w14:paraId="2D380E33">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5A858E5F">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1149B08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3E90F3E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3100</w:t>
            </w:r>
          </w:p>
        </w:tc>
        <w:tc>
          <w:tcPr>
            <w:tcW w:w="1686" w:type="pct"/>
            <w:noWrap/>
            <w:vAlign w:val="center"/>
          </w:tcPr>
          <w:p w14:paraId="59EA6F83">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11C4D912">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59BA61B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53068F0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3200</w:t>
            </w:r>
          </w:p>
        </w:tc>
        <w:tc>
          <w:tcPr>
            <w:tcW w:w="1686" w:type="pct"/>
            <w:noWrap/>
            <w:vAlign w:val="center"/>
          </w:tcPr>
          <w:p w14:paraId="3DAAB54C">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58F9FAB3">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6E86EB0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5E433F2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3300</w:t>
            </w:r>
          </w:p>
        </w:tc>
        <w:tc>
          <w:tcPr>
            <w:tcW w:w="1686" w:type="pct"/>
            <w:noWrap/>
            <w:vAlign w:val="center"/>
          </w:tcPr>
          <w:p w14:paraId="54D9E826">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46ABC9C1">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4FD10CD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8F46EB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3400</w:t>
            </w:r>
          </w:p>
        </w:tc>
        <w:tc>
          <w:tcPr>
            <w:tcW w:w="1686" w:type="pct"/>
            <w:noWrap/>
            <w:vAlign w:val="center"/>
          </w:tcPr>
          <w:p w14:paraId="6447912E">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28998ED8">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401AA46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1E7169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3500</w:t>
            </w:r>
          </w:p>
        </w:tc>
        <w:tc>
          <w:tcPr>
            <w:tcW w:w="1686" w:type="pct"/>
            <w:noWrap/>
            <w:vAlign w:val="center"/>
          </w:tcPr>
          <w:p w14:paraId="395B2B79">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799FA1C3">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4DBA9F7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59214A5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3600</w:t>
            </w:r>
          </w:p>
        </w:tc>
        <w:tc>
          <w:tcPr>
            <w:tcW w:w="1686" w:type="pct"/>
            <w:noWrap/>
            <w:vAlign w:val="center"/>
          </w:tcPr>
          <w:p w14:paraId="6D2D1C41">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76A1DC1A">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58AD19A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B83BEB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3700</w:t>
            </w:r>
          </w:p>
        </w:tc>
        <w:tc>
          <w:tcPr>
            <w:tcW w:w="1686" w:type="pct"/>
            <w:noWrap/>
            <w:vAlign w:val="center"/>
          </w:tcPr>
          <w:p w14:paraId="583763D1">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5FFD28C2">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4378946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3BDDA3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3800</w:t>
            </w:r>
          </w:p>
        </w:tc>
        <w:tc>
          <w:tcPr>
            <w:tcW w:w="1686" w:type="pct"/>
            <w:noWrap/>
            <w:vAlign w:val="center"/>
          </w:tcPr>
          <w:p w14:paraId="2569FCFA">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6E1AB9BE">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392935B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3E269B9">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3900</w:t>
            </w:r>
          </w:p>
        </w:tc>
        <w:tc>
          <w:tcPr>
            <w:tcW w:w="1686" w:type="pct"/>
            <w:noWrap/>
            <w:vAlign w:val="center"/>
          </w:tcPr>
          <w:p w14:paraId="1FFE8F10">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03C31CC7">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5B9A0DC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CFF1229">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4000</w:t>
            </w:r>
          </w:p>
        </w:tc>
        <w:tc>
          <w:tcPr>
            <w:tcW w:w="1686" w:type="pct"/>
            <w:noWrap/>
            <w:vAlign w:val="center"/>
          </w:tcPr>
          <w:p w14:paraId="606896D2">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276ECDBB">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227EFD9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00E94D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4100</w:t>
            </w:r>
          </w:p>
        </w:tc>
        <w:tc>
          <w:tcPr>
            <w:tcW w:w="1686" w:type="pct"/>
            <w:noWrap/>
            <w:vAlign w:val="center"/>
          </w:tcPr>
          <w:p w14:paraId="0A70828E">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194D2687">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5777891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CD2DB2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4200</w:t>
            </w:r>
          </w:p>
        </w:tc>
        <w:tc>
          <w:tcPr>
            <w:tcW w:w="1686" w:type="pct"/>
            <w:noWrap/>
            <w:vAlign w:val="center"/>
          </w:tcPr>
          <w:p w14:paraId="402F20F8">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6B1098D7">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623B2C0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FD27ED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4300</w:t>
            </w:r>
          </w:p>
        </w:tc>
        <w:tc>
          <w:tcPr>
            <w:tcW w:w="1686" w:type="pct"/>
            <w:noWrap/>
            <w:vAlign w:val="center"/>
          </w:tcPr>
          <w:p w14:paraId="69599968">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2D5F22AB">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7CA248F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314687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4400</w:t>
            </w:r>
          </w:p>
        </w:tc>
        <w:tc>
          <w:tcPr>
            <w:tcW w:w="1686" w:type="pct"/>
            <w:noWrap/>
            <w:vAlign w:val="center"/>
          </w:tcPr>
          <w:p w14:paraId="10F8CDB1">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33F7A9B6">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50AE214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8D5888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4500</w:t>
            </w:r>
          </w:p>
        </w:tc>
        <w:tc>
          <w:tcPr>
            <w:tcW w:w="1686" w:type="pct"/>
            <w:noWrap/>
            <w:vAlign w:val="center"/>
          </w:tcPr>
          <w:p w14:paraId="32E2FBB5">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48DF1ACE">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05BC6F6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33ECEE6">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4600</w:t>
            </w:r>
          </w:p>
        </w:tc>
        <w:tc>
          <w:tcPr>
            <w:tcW w:w="1686" w:type="pct"/>
            <w:noWrap/>
            <w:vAlign w:val="center"/>
          </w:tcPr>
          <w:p w14:paraId="5B9412F0">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5AA762AB">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570267A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90B400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4700</w:t>
            </w:r>
          </w:p>
        </w:tc>
        <w:tc>
          <w:tcPr>
            <w:tcW w:w="1686" w:type="pct"/>
            <w:noWrap/>
            <w:vAlign w:val="center"/>
          </w:tcPr>
          <w:p w14:paraId="2FA506F2">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69082BAE">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76CBCE9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24F9C3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4800</w:t>
            </w:r>
          </w:p>
        </w:tc>
        <w:tc>
          <w:tcPr>
            <w:tcW w:w="1686" w:type="pct"/>
            <w:noWrap/>
            <w:vAlign w:val="center"/>
          </w:tcPr>
          <w:p w14:paraId="1328609E">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0F0F4C31">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1C9D4C9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3C16E4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4900</w:t>
            </w:r>
          </w:p>
        </w:tc>
        <w:tc>
          <w:tcPr>
            <w:tcW w:w="1686" w:type="pct"/>
            <w:noWrap/>
            <w:vAlign w:val="center"/>
          </w:tcPr>
          <w:p w14:paraId="2EB0FB67">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56A9752F">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6E677D8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654" w:type="pct"/>
            <w:noWrap/>
            <w:vAlign w:val="center"/>
          </w:tcPr>
          <w:p w14:paraId="598F8C7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5000</w:t>
            </w:r>
          </w:p>
        </w:tc>
        <w:tc>
          <w:tcPr>
            <w:tcW w:w="1686" w:type="pct"/>
            <w:noWrap/>
            <w:vAlign w:val="center"/>
          </w:tcPr>
          <w:p w14:paraId="730C0AF0">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c>
          <w:tcPr>
            <w:tcW w:w="1660" w:type="pct"/>
            <w:noWrap/>
            <w:vAlign w:val="center"/>
          </w:tcPr>
          <w:p w14:paraId="300CA05C">
            <w:pPr>
              <w:widowControl/>
              <w:spacing w:line="240" w:lineRule="auto"/>
              <w:ind w:firstLine="0" w:firstLineChars="0"/>
              <w:jc w:val="center"/>
              <w:textAlignment w:val="center"/>
              <w:rPr>
                <w:color w:val="auto"/>
                <w:kern w:val="0"/>
                <w:sz w:val="21"/>
                <w:szCs w:val="21"/>
                <w:lang w:bidi="ar"/>
              </w:rPr>
            </w:pPr>
            <w:r>
              <w:rPr>
                <w:color w:val="auto"/>
                <w:sz w:val="21"/>
                <w:szCs w:val="21"/>
              </w:rPr>
              <w:t>0.00</w:t>
            </w:r>
          </w:p>
        </w:tc>
      </w:tr>
      <w:tr w14:paraId="0FE911C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654" w:type="pct"/>
            <w:noWrap/>
            <w:vAlign w:val="center"/>
          </w:tcPr>
          <w:p w14:paraId="1348C266">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最大高峰浓度位置</w:t>
            </w:r>
          </w:p>
        </w:tc>
        <w:tc>
          <w:tcPr>
            <w:tcW w:w="1686" w:type="pct"/>
            <w:noWrap/>
            <w:vAlign w:val="center"/>
          </w:tcPr>
          <w:p w14:paraId="695688D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15.06（10m）</w:t>
            </w:r>
          </w:p>
        </w:tc>
        <w:tc>
          <w:tcPr>
            <w:tcW w:w="1660" w:type="pct"/>
            <w:noWrap/>
            <w:vAlign w:val="center"/>
          </w:tcPr>
          <w:p w14:paraId="37CB7186">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481.34</w:t>
            </w:r>
          </w:p>
        </w:tc>
      </w:tr>
    </w:tbl>
    <w:p w14:paraId="56AE2A4A">
      <w:pPr>
        <w:spacing w:line="240" w:lineRule="auto"/>
        <w:ind w:firstLine="0" w:firstLineChars="0"/>
        <w:jc w:val="center"/>
        <w:rPr>
          <w:bCs/>
          <w:color w:val="auto"/>
        </w:rPr>
      </w:pPr>
      <w:r>
        <w:rPr>
          <w:rFonts w:ascii="仿宋_GB2312" w:eastAsia="仿宋_GB2312"/>
          <w:color w:val="auto"/>
          <w:sz w:val="28"/>
        </w:rPr>
        <w:drawing>
          <wp:inline distT="0" distB="0" distL="0" distR="0">
            <wp:extent cx="5720080" cy="2896870"/>
            <wp:effectExtent l="0" t="0" r="13970" b="17780"/>
            <wp:docPr id="1024489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89253" name="图片 1"/>
                    <pic:cNvPicPr>
                      <a:picLocks noChangeAspect="1"/>
                    </pic:cNvPicPr>
                  </pic:nvPicPr>
                  <pic:blipFill>
                    <a:blip r:embed="rId63"/>
                    <a:stretch>
                      <a:fillRect/>
                    </a:stretch>
                  </pic:blipFill>
                  <pic:spPr>
                    <a:xfrm>
                      <a:off x="0" y="0"/>
                      <a:ext cx="5723492" cy="2899158"/>
                    </a:xfrm>
                    <a:prstGeom prst="rect">
                      <a:avLst/>
                    </a:prstGeom>
                  </pic:spPr>
                </pic:pic>
              </a:graphicData>
            </a:graphic>
          </wp:inline>
        </w:drawing>
      </w:r>
    </w:p>
    <w:p w14:paraId="79204392">
      <w:pPr>
        <w:spacing w:line="240" w:lineRule="auto"/>
        <w:ind w:firstLine="0" w:firstLineChars="0"/>
        <w:jc w:val="center"/>
        <w:rPr>
          <w:b/>
          <w:color w:val="auto"/>
        </w:rPr>
      </w:pPr>
      <w:r>
        <w:rPr>
          <w:rFonts w:hint="eastAsia"/>
          <w:b/>
          <w:color w:val="auto"/>
        </w:rPr>
        <w:t>图6.7.4-1 液氨泄漏事故最不利气象条件最大浓度图</w:t>
      </w:r>
    </w:p>
    <w:p w14:paraId="4816560D">
      <w:pPr>
        <w:spacing w:line="240" w:lineRule="auto"/>
        <w:ind w:firstLine="0" w:firstLineChars="0"/>
        <w:jc w:val="center"/>
        <w:rPr>
          <w:bCs/>
          <w:color w:val="auto"/>
        </w:rPr>
      </w:pPr>
      <w:r>
        <w:rPr>
          <w:rFonts w:ascii="仿宋_GB2312" w:eastAsia="仿宋_GB2312"/>
          <w:color w:val="auto"/>
          <w:sz w:val="28"/>
        </w:rPr>
        <w:drawing>
          <wp:inline distT="0" distB="0" distL="0" distR="0">
            <wp:extent cx="5567680" cy="3370580"/>
            <wp:effectExtent l="0" t="0" r="13970" b="1270"/>
            <wp:docPr id="1602345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45387" name="图片 1"/>
                    <pic:cNvPicPr>
                      <a:picLocks noChangeAspect="1"/>
                    </pic:cNvPicPr>
                  </pic:nvPicPr>
                  <pic:blipFill>
                    <a:blip r:embed="rId64"/>
                    <a:stretch>
                      <a:fillRect/>
                    </a:stretch>
                  </pic:blipFill>
                  <pic:spPr>
                    <a:xfrm>
                      <a:off x="0" y="0"/>
                      <a:ext cx="5571965" cy="3373357"/>
                    </a:xfrm>
                    <a:prstGeom prst="rect">
                      <a:avLst/>
                    </a:prstGeom>
                  </pic:spPr>
                </pic:pic>
              </a:graphicData>
            </a:graphic>
          </wp:inline>
        </w:drawing>
      </w:r>
    </w:p>
    <w:p w14:paraId="1C70915C">
      <w:pPr>
        <w:spacing w:line="240" w:lineRule="auto"/>
        <w:ind w:firstLine="0" w:firstLineChars="0"/>
        <w:jc w:val="center"/>
        <w:rPr>
          <w:b/>
          <w:color w:val="auto"/>
        </w:rPr>
      </w:pPr>
      <w:r>
        <w:rPr>
          <w:rFonts w:hint="eastAsia"/>
          <w:b/>
          <w:color w:val="auto"/>
        </w:rPr>
        <w:t>图6.7.4-2预测浓度达到毒性终点浓度影响范围图</w:t>
      </w:r>
    </w:p>
    <w:p w14:paraId="0EA2A0E0">
      <w:pPr>
        <w:ind w:firstLine="480"/>
        <w:rPr>
          <w:bCs/>
          <w:color w:val="auto"/>
        </w:rPr>
      </w:pPr>
      <w:r>
        <w:rPr>
          <w:rFonts w:hint="eastAsia"/>
          <w:bCs/>
          <w:color w:val="auto"/>
        </w:rPr>
        <w:t>各关心点有毒有害物质浓度随时间变化情况见下表。</w:t>
      </w:r>
    </w:p>
    <w:p w14:paraId="2F93401F">
      <w:pPr>
        <w:ind w:firstLine="482"/>
        <w:jc w:val="center"/>
        <w:rPr>
          <w:b/>
          <w:color w:val="auto"/>
        </w:rPr>
      </w:pPr>
      <w:r>
        <w:rPr>
          <w:rFonts w:hint="eastAsia"/>
          <w:b/>
          <w:color w:val="auto"/>
        </w:rPr>
        <w:t>表6.7.4-4 各关心点有毒有害物质浓度随时间变化情况（mg/m</w:t>
      </w:r>
      <w:r>
        <w:rPr>
          <w:rFonts w:hint="eastAsia"/>
          <w:b/>
          <w:color w:val="auto"/>
          <w:vertAlign w:val="superscript"/>
        </w:rPr>
        <w:t>3</w:t>
      </w:r>
      <w:r>
        <w:rPr>
          <w:rFonts w:hint="eastAsia"/>
          <w:b/>
          <w:color w:val="auto"/>
        </w:rPr>
        <w:t>）</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846"/>
        <w:gridCol w:w="1985"/>
        <w:gridCol w:w="1041"/>
        <w:gridCol w:w="1041"/>
        <w:gridCol w:w="1041"/>
        <w:gridCol w:w="1041"/>
        <w:gridCol w:w="1041"/>
        <w:gridCol w:w="1041"/>
      </w:tblGrid>
      <w:tr w14:paraId="5DEA7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pct"/>
            <w:noWrap/>
            <w:vAlign w:val="center"/>
          </w:tcPr>
          <w:p w14:paraId="16197D3A">
            <w:pPr>
              <w:widowControl/>
              <w:adjustRightInd/>
              <w:snapToGrid/>
              <w:spacing w:line="240" w:lineRule="auto"/>
              <w:ind w:firstLine="0" w:firstLineChars="0"/>
              <w:jc w:val="center"/>
              <w:rPr>
                <w:color w:val="auto"/>
                <w:kern w:val="0"/>
                <w:sz w:val="21"/>
                <w:szCs w:val="21"/>
              </w:rPr>
            </w:pPr>
            <w:r>
              <w:rPr>
                <w:color w:val="auto"/>
                <w:kern w:val="0"/>
                <w:sz w:val="21"/>
                <w:szCs w:val="21"/>
              </w:rPr>
              <w:t>序号</w:t>
            </w:r>
          </w:p>
        </w:tc>
        <w:tc>
          <w:tcPr>
            <w:tcW w:w="429" w:type="pct"/>
            <w:noWrap/>
            <w:vAlign w:val="center"/>
          </w:tcPr>
          <w:p w14:paraId="6AE5D81C">
            <w:pPr>
              <w:widowControl/>
              <w:adjustRightInd/>
              <w:snapToGrid/>
              <w:spacing w:line="240" w:lineRule="auto"/>
              <w:ind w:firstLine="0" w:firstLineChars="0"/>
              <w:jc w:val="center"/>
              <w:rPr>
                <w:color w:val="auto"/>
                <w:kern w:val="0"/>
                <w:sz w:val="21"/>
                <w:szCs w:val="21"/>
              </w:rPr>
            </w:pPr>
            <w:r>
              <w:rPr>
                <w:color w:val="auto"/>
                <w:kern w:val="0"/>
                <w:sz w:val="21"/>
                <w:szCs w:val="21"/>
              </w:rPr>
              <w:t>名称</w:t>
            </w:r>
          </w:p>
        </w:tc>
        <w:tc>
          <w:tcPr>
            <w:tcW w:w="1007" w:type="pct"/>
            <w:noWrap/>
            <w:vAlign w:val="center"/>
          </w:tcPr>
          <w:p w14:paraId="0EA0934D">
            <w:pPr>
              <w:widowControl/>
              <w:adjustRightInd/>
              <w:snapToGrid/>
              <w:spacing w:line="240" w:lineRule="auto"/>
              <w:ind w:firstLine="0" w:firstLineChars="0"/>
              <w:jc w:val="center"/>
              <w:rPr>
                <w:color w:val="auto"/>
                <w:kern w:val="0"/>
                <w:sz w:val="21"/>
                <w:szCs w:val="21"/>
              </w:rPr>
            </w:pPr>
            <w:r>
              <w:rPr>
                <w:color w:val="auto"/>
                <w:kern w:val="0"/>
                <w:sz w:val="21"/>
                <w:szCs w:val="21"/>
              </w:rPr>
              <w:t>最大浓度|时间(min)</w:t>
            </w:r>
          </w:p>
        </w:tc>
        <w:tc>
          <w:tcPr>
            <w:tcW w:w="528" w:type="pct"/>
            <w:noWrap/>
            <w:vAlign w:val="center"/>
          </w:tcPr>
          <w:p w14:paraId="413F9E74">
            <w:pPr>
              <w:widowControl/>
              <w:adjustRightInd/>
              <w:snapToGrid/>
              <w:spacing w:line="240" w:lineRule="auto"/>
              <w:ind w:firstLine="0" w:firstLineChars="0"/>
              <w:jc w:val="center"/>
              <w:rPr>
                <w:color w:val="auto"/>
                <w:kern w:val="0"/>
                <w:sz w:val="21"/>
                <w:szCs w:val="21"/>
              </w:rPr>
            </w:pPr>
            <w:r>
              <w:rPr>
                <w:color w:val="auto"/>
                <w:kern w:val="0"/>
                <w:sz w:val="21"/>
                <w:szCs w:val="21"/>
              </w:rPr>
              <w:t>5min</w:t>
            </w:r>
          </w:p>
        </w:tc>
        <w:tc>
          <w:tcPr>
            <w:tcW w:w="528" w:type="pct"/>
            <w:noWrap/>
            <w:vAlign w:val="center"/>
          </w:tcPr>
          <w:p w14:paraId="40AEABCC">
            <w:pPr>
              <w:widowControl/>
              <w:adjustRightInd/>
              <w:snapToGrid/>
              <w:spacing w:line="240" w:lineRule="auto"/>
              <w:ind w:firstLine="0" w:firstLineChars="0"/>
              <w:jc w:val="center"/>
              <w:rPr>
                <w:color w:val="auto"/>
                <w:kern w:val="0"/>
                <w:sz w:val="21"/>
                <w:szCs w:val="21"/>
              </w:rPr>
            </w:pPr>
            <w:r>
              <w:rPr>
                <w:color w:val="auto"/>
                <w:kern w:val="0"/>
                <w:sz w:val="21"/>
                <w:szCs w:val="21"/>
              </w:rPr>
              <w:t>10min</w:t>
            </w:r>
          </w:p>
        </w:tc>
        <w:tc>
          <w:tcPr>
            <w:tcW w:w="528" w:type="pct"/>
            <w:noWrap/>
            <w:vAlign w:val="center"/>
          </w:tcPr>
          <w:p w14:paraId="08017AEB">
            <w:pPr>
              <w:widowControl/>
              <w:adjustRightInd/>
              <w:snapToGrid/>
              <w:spacing w:line="240" w:lineRule="auto"/>
              <w:ind w:firstLine="0" w:firstLineChars="0"/>
              <w:jc w:val="center"/>
              <w:rPr>
                <w:color w:val="auto"/>
                <w:kern w:val="0"/>
                <w:sz w:val="21"/>
                <w:szCs w:val="21"/>
              </w:rPr>
            </w:pPr>
            <w:r>
              <w:rPr>
                <w:color w:val="auto"/>
                <w:kern w:val="0"/>
                <w:sz w:val="21"/>
                <w:szCs w:val="21"/>
              </w:rPr>
              <w:t>15min</w:t>
            </w:r>
          </w:p>
        </w:tc>
        <w:tc>
          <w:tcPr>
            <w:tcW w:w="528" w:type="pct"/>
            <w:noWrap/>
            <w:vAlign w:val="center"/>
          </w:tcPr>
          <w:p w14:paraId="3BD539A0">
            <w:pPr>
              <w:widowControl/>
              <w:adjustRightInd/>
              <w:snapToGrid/>
              <w:spacing w:line="240" w:lineRule="auto"/>
              <w:ind w:firstLine="0" w:firstLineChars="0"/>
              <w:jc w:val="center"/>
              <w:rPr>
                <w:color w:val="auto"/>
                <w:kern w:val="0"/>
                <w:sz w:val="21"/>
                <w:szCs w:val="21"/>
              </w:rPr>
            </w:pPr>
            <w:r>
              <w:rPr>
                <w:color w:val="auto"/>
                <w:kern w:val="0"/>
                <w:sz w:val="21"/>
                <w:szCs w:val="21"/>
              </w:rPr>
              <w:t>20min</w:t>
            </w:r>
          </w:p>
        </w:tc>
        <w:tc>
          <w:tcPr>
            <w:tcW w:w="528" w:type="pct"/>
            <w:noWrap/>
            <w:vAlign w:val="center"/>
          </w:tcPr>
          <w:p w14:paraId="7E108810">
            <w:pPr>
              <w:widowControl/>
              <w:adjustRightInd/>
              <w:snapToGrid/>
              <w:spacing w:line="240" w:lineRule="auto"/>
              <w:ind w:firstLine="0" w:firstLineChars="0"/>
              <w:jc w:val="center"/>
              <w:rPr>
                <w:color w:val="auto"/>
                <w:kern w:val="0"/>
                <w:sz w:val="21"/>
                <w:szCs w:val="21"/>
              </w:rPr>
            </w:pPr>
            <w:r>
              <w:rPr>
                <w:color w:val="auto"/>
                <w:kern w:val="0"/>
                <w:sz w:val="21"/>
                <w:szCs w:val="21"/>
              </w:rPr>
              <w:t>25min</w:t>
            </w:r>
          </w:p>
        </w:tc>
        <w:tc>
          <w:tcPr>
            <w:tcW w:w="528" w:type="pct"/>
            <w:noWrap/>
            <w:vAlign w:val="center"/>
          </w:tcPr>
          <w:p w14:paraId="5B40BEF4">
            <w:pPr>
              <w:widowControl/>
              <w:adjustRightInd/>
              <w:snapToGrid/>
              <w:spacing w:line="240" w:lineRule="auto"/>
              <w:ind w:firstLine="0" w:firstLineChars="0"/>
              <w:jc w:val="center"/>
              <w:rPr>
                <w:color w:val="auto"/>
                <w:kern w:val="0"/>
                <w:sz w:val="21"/>
                <w:szCs w:val="21"/>
              </w:rPr>
            </w:pPr>
            <w:r>
              <w:rPr>
                <w:color w:val="auto"/>
                <w:kern w:val="0"/>
                <w:sz w:val="21"/>
                <w:szCs w:val="21"/>
              </w:rPr>
              <w:t>30min</w:t>
            </w:r>
          </w:p>
        </w:tc>
      </w:tr>
      <w:tr w14:paraId="001C7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pct"/>
            <w:noWrap/>
            <w:vAlign w:val="center"/>
          </w:tcPr>
          <w:p w14:paraId="0787DDBC">
            <w:pPr>
              <w:widowControl/>
              <w:adjustRightInd/>
              <w:snapToGrid/>
              <w:spacing w:line="240" w:lineRule="auto"/>
              <w:ind w:firstLine="0" w:firstLineChars="0"/>
              <w:jc w:val="center"/>
              <w:rPr>
                <w:color w:val="auto"/>
                <w:kern w:val="0"/>
                <w:sz w:val="21"/>
                <w:szCs w:val="21"/>
              </w:rPr>
            </w:pPr>
            <w:r>
              <w:rPr>
                <w:color w:val="auto"/>
                <w:kern w:val="0"/>
                <w:sz w:val="21"/>
                <w:szCs w:val="21"/>
              </w:rPr>
              <w:t>1</w:t>
            </w:r>
          </w:p>
        </w:tc>
        <w:tc>
          <w:tcPr>
            <w:tcW w:w="429" w:type="pct"/>
            <w:noWrap/>
            <w:vAlign w:val="center"/>
          </w:tcPr>
          <w:p w14:paraId="02523CB5">
            <w:pPr>
              <w:widowControl/>
              <w:adjustRightInd/>
              <w:snapToGrid/>
              <w:spacing w:line="240" w:lineRule="auto"/>
              <w:ind w:firstLine="0" w:firstLineChars="0"/>
              <w:jc w:val="center"/>
              <w:rPr>
                <w:color w:val="auto"/>
                <w:kern w:val="0"/>
                <w:sz w:val="21"/>
                <w:szCs w:val="21"/>
              </w:rPr>
            </w:pPr>
            <w:r>
              <w:rPr>
                <w:color w:val="auto"/>
                <w:kern w:val="0"/>
                <w:sz w:val="21"/>
                <w:szCs w:val="21"/>
              </w:rPr>
              <w:t>北新镇</w:t>
            </w:r>
          </w:p>
        </w:tc>
        <w:tc>
          <w:tcPr>
            <w:tcW w:w="1007" w:type="pct"/>
            <w:noWrap/>
            <w:vAlign w:val="center"/>
          </w:tcPr>
          <w:p w14:paraId="27EFA334">
            <w:pPr>
              <w:widowControl/>
              <w:adjustRightInd/>
              <w:snapToGrid/>
              <w:spacing w:line="240" w:lineRule="auto"/>
              <w:ind w:firstLine="0" w:firstLineChars="0"/>
              <w:jc w:val="center"/>
              <w:rPr>
                <w:color w:val="auto"/>
                <w:kern w:val="0"/>
                <w:sz w:val="21"/>
                <w:szCs w:val="21"/>
              </w:rPr>
            </w:pPr>
            <w:r>
              <w:rPr>
                <w:color w:val="auto"/>
                <w:kern w:val="0"/>
                <w:sz w:val="21"/>
                <w:szCs w:val="21"/>
              </w:rPr>
              <w:t>0.00E+00|5</w:t>
            </w:r>
          </w:p>
        </w:tc>
        <w:tc>
          <w:tcPr>
            <w:tcW w:w="528" w:type="pct"/>
            <w:noWrap/>
            <w:vAlign w:val="center"/>
          </w:tcPr>
          <w:p w14:paraId="2F54C541">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62202468">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062182CD">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4EA39DDB">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75EBBAEA">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6F6E9379">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r>
      <w:tr w14:paraId="4EFDA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pct"/>
            <w:noWrap/>
            <w:vAlign w:val="center"/>
          </w:tcPr>
          <w:p w14:paraId="5FBB932D">
            <w:pPr>
              <w:widowControl/>
              <w:adjustRightInd/>
              <w:snapToGrid/>
              <w:spacing w:line="240" w:lineRule="auto"/>
              <w:ind w:firstLine="0" w:firstLineChars="0"/>
              <w:jc w:val="center"/>
              <w:rPr>
                <w:color w:val="auto"/>
                <w:kern w:val="0"/>
                <w:sz w:val="21"/>
                <w:szCs w:val="21"/>
              </w:rPr>
            </w:pPr>
            <w:r>
              <w:rPr>
                <w:color w:val="auto"/>
                <w:kern w:val="0"/>
                <w:sz w:val="21"/>
                <w:szCs w:val="21"/>
              </w:rPr>
              <w:t>2</w:t>
            </w:r>
          </w:p>
        </w:tc>
        <w:tc>
          <w:tcPr>
            <w:tcW w:w="429" w:type="pct"/>
            <w:noWrap/>
            <w:vAlign w:val="center"/>
          </w:tcPr>
          <w:p w14:paraId="3A0A1AD6">
            <w:pPr>
              <w:widowControl/>
              <w:adjustRightInd/>
              <w:snapToGrid/>
              <w:spacing w:line="240" w:lineRule="auto"/>
              <w:ind w:firstLine="0" w:firstLineChars="0"/>
              <w:jc w:val="center"/>
              <w:rPr>
                <w:color w:val="auto"/>
                <w:kern w:val="0"/>
                <w:sz w:val="21"/>
                <w:szCs w:val="21"/>
              </w:rPr>
            </w:pPr>
            <w:r>
              <w:rPr>
                <w:color w:val="auto"/>
                <w:kern w:val="0"/>
                <w:sz w:val="21"/>
                <w:szCs w:val="21"/>
              </w:rPr>
              <w:t>富民村</w:t>
            </w:r>
          </w:p>
        </w:tc>
        <w:tc>
          <w:tcPr>
            <w:tcW w:w="1007" w:type="pct"/>
            <w:noWrap/>
            <w:vAlign w:val="center"/>
          </w:tcPr>
          <w:p w14:paraId="30B464C7">
            <w:pPr>
              <w:widowControl/>
              <w:adjustRightInd/>
              <w:snapToGrid/>
              <w:spacing w:line="240" w:lineRule="auto"/>
              <w:ind w:firstLine="0" w:firstLineChars="0"/>
              <w:jc w:val="center"/>
              <w:rPr>
                <w:color w:val="auto"/>
                <w:kern w:val="0"/>
                <w:sz w:val="21"/>
                <w:szCs w:val="21"/>
              </w:rPr>
            </w:pPr>
            <w:r>
              <w:rPr>
                <w:color w:val="auto"/>
                <w:kern w:val="0"/>
                <w:sz w:val="21"/>
                <w:szCs w:val="21"/>
              </w:rPr>
              <w:t>0.00E+00|5</w:t>
            </w:r>
          </w:p>
        </w:tc>
        <w:tc>
          <w:tcPr>
            <w:tcW w:w="528" w:type="pct"/>
            <w:noWrap/>
            <w:vAlign w:val="center"/>
          </w:tcPr>
          <w:p w14:paraId="138AE263">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521BBD5D">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0D3C8AFB">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66AC6BC4">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7FAF1AF6">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7BAA4A9F">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r>
      <w:tr w14:paraId="3E1B8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pct"/>
            <w:noWrap/>
            <w:vAlign w:val="center"/>
          </w:tcPr>
          <w:p w14:paraId="751563AA">
            <w:pPr>
              <w:widowControl/>
              <w:adjustRightInd/>
              <w:snapToGrid/>
              <w:spacing w:line="240" w:lineRule="auto"/>
              <w:ind w:firstLine="0" w:firstLineChars="0"/>
              <w:jc w:val="center"/>
              <w:rPr>
                <w:color w:val="auto"/>
                <w:kern w:val="0"/>
                <w:sz w:val="21"/>
                <w:szCs w:val="21"/>
              </w:rPr>
            </w:pPr>
            <w:r>
              <w:rPr>
                <w:color w:val="auto"/>
                <w:kern w:val="0"/>
                <w:sz w:val="21"/>
                <w:szCs w:val="21"/>
              </w:rPr>
              <w:t>3</w:t>
            </w:r>
          </w:p>
        </w:tc>
        <w:tc>
          <w:tcPr>
            <w:tcW w:w="429" w:type="pct"/>
            <w:noWrap/>
            <w:vAlign w:val="center"/>
          </w:tcPr>
          <w:p w14:paraId="509D75D4">
            <w:pPr>
              <w:widowControl/>
              <w:adjustRightInd/>
              <w:snapToGrid/>
              <w:spacing w:line="240" w:lineRule="auto"/>
              <w:ind w:firstLine="0" w:firstLineChars="0"/>
              <w:jc w:val="center"/>
              <w:rPr>
                <w:color w:val="auto"/>
                <w:kern w:val="0"/>
                <w:sz w:val="21"/>
                <w:szCs w:val="21"/>
              </w:rPr>
            </w:pPr>
            <w:r>
              <w:rPr>
                <w:color w:val="auto"/>
                <w:kern w:val="0"/>
                <w:sz w:val="21"/>
                <w:szCs w:val="21"/>
              </w:rPr>
              <w:t>三和村</w:t>
            </w:r>
          </w:p>
        </w:tc>
        <w:tc>
          <w:tcPr>
            <w:tcW w:w="1007" w:type="pct"/>
            <w:noWrap/>
            <w:vAlign w:val="center"/>
          </w:tcPr>
          <w:p w14:paraId="43BE36A2">
            <w:pPr>
              <w:widowControl/>
              <w:adjustRightInd/>
              <w:snapToGrid/>
              <w:spacing w:line="240" w:lineRule="auto"/>
              <w:ind w:firstLine="0" w:firstLineChars="0"/>
              <w:jc w:val="center"/>
              <w:rPr>
                <w:color w:val="auto"/>
                <w:kern w:val="0"/>
                <w:sz w:val="21"/>
                <w:szCs w:val="21"/>
              </w:rPr>
            </w:pPr>
            <w:r>
              <w:rPr>
                <w:color w:val="auto"/>
                <w:kern w:val="0"/>
                <w:sz w:val="21"/>
                <w:szCs w:val="21"/>
              </w:rPr>
              <w:t>0.00E+00|5</w:t>
            </w:r>
          </w:p>
        </w:tc>
        <w:tc>
          <w:tcPr>
            <w:tcW w:w="528" w:type="pct"/>
            <w:noWrap/>
            <w:vAlign w:val="center"/>
          </w:tcPr>
          <w:p w14:paraId="7342BEEA">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62A2FD95">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21E73098">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3D400D89">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5D542433">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7FFD93C9">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r>
      <w:tr w14:paraId="39876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pct"/>
            <w:noWrap/>
            <w:vAlign w:val="center"/>
          </w:tcPr>
          <w:p w14:paraId="4257BAAD">
            <w:pPr>
              <w:widowControl/>
              <w:adjustRightInd/>
              <w:snapToGrid/>
              <w:spacing w:line="240" w:lineRule="auto"/>
              <w:ind w:firstLine="0" w:firstLineChars="0"/>
              <w:jc w:val="center"/>
              <w:rPr>
                <w:color w:val="auto"/>
                <w:kern w:val="0"/>
                <w:sz w:val="21"/>
                <w:szCs w:val="21"/>
              </w:rPr>
            </w:pPr>
            <w:r>
              <w:rPr>
                <w:color w:val="auto"/>
                <w:kern w:val="0"/>
                <w:sz w:val="21"/>
                <w:szCs w:val="21"/>
              </w:rPr>
              <w:t>4</w:t>
            </w:r>
          </w:p>
        </w:tc>
        <w:tc>
          <w:tcPr>
            <w:tcW w:w="429" w:type="pct"/>
            <w:noWrap/>
            <w:vAlign w:val="center"/>
          </w:tcPr>
          <w:p w14:paraId="3AA15B29">
            <w:pPr>
              <w:widowControl/>
              <w:adjustRightInd/>
              <w:snapToGrid/>
              <w:spacing w:line="240" w:lineRule="auto"/>
              <w:ind w:firstLine="0" w:firstLineChars="0"/>
              <w:jc w:val="center"/>
              <w:rPr>
                <w:color w:val="auto"/>
                <w:kern w:val="0"/>
                <w:sz w:val="21"/>
                <w:szCs w:val="21"/>
              </w:rPr>
            </w:pPr>
            <w:r>
              <w:rPr>
                <w:color w:val="auto"/>
                <w:kern w:val="0"/>
                <w:sz w:val="21"/>
                <w:szCs w:val="21"/>
              </w:rPr>
              <w:t>灯杆村</w:t>
            </w:r>
          </w:p>
        </w:tc>
        <w:tc>
          <w:tcPr>
            <w:tcW w:w="1007" w:type="pct"/>
            <w:noWrap/>
            <w:vAlign w:val="center"/>
          </w:tcPr>
          <w:p w14:paraId="5B330557">
            <w:pPr>
              <w:widowControl/>
              <w:adjustRightInd/>
              <w:snapToGrid/>
              <w:spacing w:line="240" w:lineRule="auto"/>
              <w:ind w:firstLine="0" w:firstLineChars="0"/>
              <w:jc w:val="center"/>
              <w:rPr>
                <w:color w:val="auto"/>
                <w:kern w:val="0"/>
                <w:sz w:val="21"/>
                <w:szCs w:val="21"/>
              </w:rPr>
            </w:pPr>
            <w:r>
              <w:rPr>
                <w:color w:val="auto"/>
                <w:kern w:val="0"/>
                <w:sz w:val="21"/>
                <w:szCs w:val="21"/>
              </w:rPr>
              <w:t>0.00E+00|5</w:t>
            </w:r>
          </w:p>
        </w:tc>
        <w:tc>
          <w:tcPr>
            <w:tcW w:w="528" w:type="pct"/>
            <w:noWrap/>
            <w:vAlign w:val="center"/>
          </w:tcPr>
          <w:p w14:paraId="4F60C574">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4E83CDBA">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31784990">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6EAAEFDA">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2EC07688">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28900E75">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r>
    </w:tbl>
    <w:p w14:paraId="31C179FA">
      <w:pPr>
        <w:ind w:firstLine="480"/>
        <w:rPr>
          <w:bCs/>
          <w:color w:val="auto"/>
        </w:rPr>
      </w:pPr>
      <w:r>
        <w:rPr>
          <w:bCs/>
          <w:color w:val="auto"/>
        </w:rPr>
        <w:t>由预测结果可知，</w:t>
      </w:r>
      <w:r>
        <w:rPr>
          <w:rFonts w:hint="eastAsia"/>
          <w:bCs/>
          <w:color w:val="auto"/>
        </w:rPr>
        <w:t>发生液氨泄漏事故，</w:t>
      </w:r>
      <w:r>
        <w:rPr>
          <w:bCs/>
          <w:color w:val="auto"/>
        </w:rPr>
        <w:t>在最不利气象条件下</w:t>
      </w:r>
      <w:r>
        <w:rPr>
          <w:rFonts w:hint="eastAsia"/>
          <w:bCs/>
          <w:color w:val="auto"/>
        </w:rPr>
        <w:t>，预测浓度低于</w:t>
      </w:r>
      <w:r>
        <w:rPr>
          <w:bCs/>
          <w:color w:val="auto"/>
        </w:rPr>
        <w:t>毒性终点浓度-1</w:t>
      </w:r>
      <w:r>
        <w:rPr>
          <w:rFonts w:hint="eastAsia"/>
          <w:bCs/>
          <w:color w:val="auto"/>
        </w:rPr>
        <w:t>，</w:t>
      </w:r>
      <w:r>
        <w:rPr>
          <w:bCs/>
          <w:color w:val="auto"/>
        </w:rPr>
        <w:t>到达毒性终点浓度-2的最远影响距离为</w:t>
      </w:r>
      <w:r>
        <w:rPr>
          <w:rFonts w:hint="eastAsia"/>
          <w:bCs/>
          <w:color w:val="auto"/>
        </w:rPr>
        <w:t>490</w:t>
      </w:r>
      <w:r>
        <w:rPr>
          <w:bCs/>
          <w:color w:val="auto"/>
        </w:rPr>
        <w:t>m。</w:t>
      </w:r>
    </w:p>
    <w:p w14:paraId="706E2EE4">
      <w:pPr>
        <w:ind w:firstLine="480"/>
        <w:rPr>
          <w:bCs/>
          <w:color w:val="auto"/>
        </w:rPr>
      </w:pPr>
      <w:r>
        <w:rPr>
          <w:rFonts w:hint="eastAsia"/>
          <w:bCs/>
          <w:color w:val="auto"/>
        </w:rPr>
        <w:t>（2）硫磺火灾次生SO</w:t>
      </w:r>
      <w:r>
        <w:rPr>
          <w:rFonts w:hint="eastAsia"/>
          <w:bCs/>
          <w:color w:val="auto"/>
          <w:vertAlign w:val="subscript"/>
        </w:rPr>
        <w:t>2</w:t>
      </w:r>
      <w:r>
        <w:rPr>
          <w:rFonts w:hint="eastAsia"/>
          <w:bCs/>
          <w:color w:val="auto"/>
        </w:rPr>
        <w:t>事故</w:t>
      </w:r>
    </w:p>
    <w:p w14:paraId="194D0036">
      <w:pPr>
        <w:ind w:firstLine="482"/>
        <w:jc w:val="center"/>
        <w:rPr>
          <w:b/>
          <w:color w:val="auto"/>
        </w:rPr>
      </w:pPr>
      <w:r>
        <w:rPr>
          <w:rFonts w:hint="eastAsia"/>
          <w:b/>
          <w:color w:val="auto"/>
        </w:rPr>
        <w:t>表6.7.4-5 硫磺火灾事故最不利气象条件下不同距离处有毒有害物质最大浓度</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59"/>
        <w:gridCol w:w="3323"/>
        <w:gridCol w:w="3272"/>
      </w:tblGrid>
      <w:tr w14:paraId="674CA64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vMerge w:val="restart"/>
            <w:vAlign w:val="center"/>
          </w:tcPr>
          <w:p w14:paraId="159EB049">
            <w:pPr>
              <w:widowControl/>
              <w:spacing w:line="240" w:lineRule="auto"/>
              <w:ind w:firstLine="0" w:firstLineChars="0"/>
              <w:jc w:val="center"/>
              <w:textAlignment w:val="center"/>
              <w:rPr>
                <w:b/>
                <w:bCs/>
                <w:color w:val="auto"/>
                <w:sz w:val="21"/>
                <w:szCs w:val="21"/>
              </w:rPr>
            </w:pPr>
            <w:r>
              <w:rPr>
                <w:b/>
                <w:bCs/>
                <w:color w:val="auto"/>
                <w:kern w:val="0"/>
                <w:sz w:val="21"/>
                <w:szCs w:val="21"/>
                <w:lang w:bidi="ar"/>
              </w:rPr>
              <w:t>下风向距离（m）</w:t>
            </w:r>
          </w:p>
        </w:tc>
        <w:tc>
          <w:tcPr>
            <w:tcW w:w="3346" w:type="pct"/>
            <w:gridSpan w:val="2"/>
            <w:vAlign w:val="center"/>
          </w:tcPr>
          <w:p w14:paraId="03DD993F">
            <w:pPr>
              <w:widowControl/>
              <w:spacing w:line="240" w:lineRule="auto"/>
              <w:ind w:firstLine="0" w:firstLineChars="0"/>
              <w:jc w:val="center"/>
              <w:textAlignment w:val="center"/>
              <w:rPr>
                <w:b/>
                <w:bCs/>
                <w:color w:val="auto"/>
                <w:sz w:val="21"/>
                <w:szCs w:val="21"/>
              </w:rPr>
            </w:pPr>
            <w:r>
              <w:rPr>
                <w:b/>
                <w:bCs/>
                <w:color w:val="auto"/>
                <w:kern w:val="0"/>
                <w:sz w:val="21"/>
                <w:szCs w:val="21"/>
                <w:lang w:bidi="ar"/>
              </w:rPr>
              <w:t>SO</w:t>
            </w:r>
            <w:r>
              <w:rPr>
                <w:b/>
                <w:bCs/>
                <w:color w:val="auto"/>
                <w:kern w:val="0"/>
                <w:sz w:val="21"/>
                <w:szCs w:val="21"/>
                <w:vertAlign w:val="subscript"/>
                <w:lang w:bidi="ar"/>
              </w:rPr>
              <w:t>2</w:t>
            </w:r>
          </w:p>
        </w:tc>
      </w:tr>
      <w:tr w14:paraId="4C759E8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54" w:type="pct"/>
            <w:vMerge w:val="continue"/>
            <w:vAlign w:val="center"/>
          </w:tcPr>
          <w:p w14:paraId="0292F770">
            <w:pPr>
              <w:spacing w:line="240" w:lineRule="auto"/>
              <w:ind w:firstLine="0" w:firstLineChars="0"/>
              <w:jc w:val="center"/>
              <w:rPr>
                <w:b/>
                <w:bCs/>
                <w:color w:val="auto"/>
                <w:sz w:val="21"/>
                <w:szCs w:val="21"/>
              </w:rPr>
            </w:pPr>
          </w:p>
        </w:tc>
        <w:tc>
          <w:tcPr>
            <w:tcW w:w="1686" w:type="pct"/>
            <w:vAlign w:val="center"/>
          </w:tcPr>
          <w:p w14:paraId="5B2B45C6">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出现时间（min）</w:t>
            </w:r>
          </w:p>
        </w:tc>
        <w:tc>
          <w:tcPr>
            <w:tcW w:w="1660" w:type="pct"/>
            <w:vAlign w:val="center"/>
          </w:tcPr>
          <w:p w14:paraId="26209EB7">
            <w:pPr>
              <w:widowControl/>
              <w:spacing w:line="240" w:lineRule="auto"/>
              <w:ind w:firstLine="0" w:firstLineChars="0"/>
              <w:jc w:val="center"/>
              <w:textAlignment w:val="center"/>
              <w:rPr>
                <w:b/>
                <w:bCs/>
                <w:color w:val="auto"/>
                <w:sz w:val="21"/>
                <w:szCs w:val="21"/>
              </w:rPr>
            </w:pPr>
            <w:r>
              <w:rPr>
                <w:b/>
                <w:bCs/>
                <w:color w:val="auto"/>
                <w:kern w:val="0"/>
                <w:sz w:val="21"/>
                <w:szCs w:val="21"/>
                <w:lang w:bidi="ar"/>
              </w:rPr>
              <w:t>高峰浓度（mg/m</w:t>
            </w:r>
            <w:r>
              <w:rPr>
                <w:b/>
                <w:bCs/>
                <w:color w:val="auto"/>
                <w:kern w:val="0"/>
                <w:sz w:val="21"/>
                <w:szCs w:val="21"/>
                <w:vertAlign w:val="superscript"/>
                <w:lang w:bidi="ar"/>
              </w:rPr>
              <w:t>3</w:t>
            </w:r>
            <w:r>
              <w:rPr>
                <w:b/>
                <w:bCs/>
                <w:color w:val="auto"/>
                <w:kern w:val="0"/>
                <w:sz w:val="21"/>
                <w:szCs w:val="21"/>
                <w:lang w:bidi="ar"/>
              </w:rPr>
              <w:t>）</w:t>
            </w:r>
          </w:p>
        </w:tc>
      </w:tr>
      <w:tr w14:paraId="04602FC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574FAF41">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100</w:t>
            </w:r>
          </w:p>
        </w:tc>
        <w:tc>
          <w:tcPr>
            <w:tcW w:w="1686" w:type="pct"/>
            <w:noWrap/>
            <w:vAlign w:val="center"/>
          </w:tcPr>
          <w:p w14:paraId="27034760">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8.37 </w:t>
            </w:r>
          </w:p>
        </w:tc>
        <w:tc>
          <w:tcPr>
            <w:tcW w:w="1660" w:type="pct"/>
            <w:noWrap/>
            <w:vAlign w:val="center"/>
          </w:tcPr>
          <w:p w14:paraId="43D603E5">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585.44 </w:t>
            </w:r>
          </w:p>
        </w:tc>
      </w:tr>
      <w:tr w14:paraId="2131091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9149E21">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200</w:t>
            </w:r>
          </w:p>
        </w:tc>
        <w:tc>
          <w:tcPr>
            <w:tcW w:w="1686" w:type="pct"/>
            <w:noWrap/>
            <w:vAlign w:val="center"/>
          </w:tcPr>
          <w:p w14:paraId="27035FD6">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11.24 </w:t>
            </w:r>
          </w:p>
        </w:tc>
        <w:tc>
          <w:tcPr>
            <w:tcW w:w="1660" w:type="pct"/>
            <w:noWrap/>
            <w:vAlign w:val="center"/>
          </w:tcPr>
          <w:p w14:paraId="4780545B">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294.57 </w:t>
            </w:r>
          </w:p>
        </w:tc>
      </w:tr>
      <w:tr w14:paraId="62F4076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1359B21">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300</w:t>
            </w:r>
          </w:p>
        </w:tc>
        <w:tc>
          <w:tcPr>
            <w:tcW w:w="1686" w:type="pct"/>
            <w:noWrap/>
            <w:vAlign w:val="center"/>
          </w:tcPr>
          <w:p w14:paraId="308D258B">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13.28 </w:t>
            </w:r>
          </w:p>
        </w:tc>
        <w:tc>
          <w:tcPr>
            <w:tcW w:w="1660" w:type="pct"/>
            <w:noWrap/>
            <w:vAlign w:val="center"/>
          </w:tcPr>
          <w:p w14:paraId="31E61658">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173.52 </w:t>
            </w:r>
          </w:p>
        </w:tc>
      </w:tr>
      <w:tr w14:paraId="40EEC2D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6CE028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400</w:t>
            </w:r>
          </w:p>
        </w:tc>
        <w:tc>
          <w:tcPr>
            <w:tcW w:w="1686" w:type="pct"/>
            <w:noWrap/>
            <w:vAlign w:val="center"/>
          </w:tcPr>
          <w:p w14:paraId="68436FF2">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15.07 </w:t>
            </w:r>
          </w:p>
        </w:tc>
        <w:tc>
          <w:tcPr>
            <w:tcW w:w="1660" w:type="pct"/>
            <w:noWrap/>
            <w:vAlign w:val="center"/>
          </w:tcPr>
          <w:p w14:paraId="7E2A89A0">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120.93 </w:t>
            </w:r>
          </w:p>
        </w:tc>
      </w:tr>
      <w:tr w14:paraId="64D9790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2B5E54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500</w:t>
            </w:r>
          </w:p>
        </w:tc>
        <w:tc>
          <w:tcPr>
            <w:tcW w:w="1686" w:type="pct"/>
            <w:noWrap/>
            <w:vAlign w:val="center"/>
          </w:tcPr>
          <w:p w14:paraId="3728FA6E">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16.72 </w:t>
            </w:r>
          </w:p>
        </w:tc>
        <w:tc>
          <w:tcPr>
            <w:tcW w:w="1660" w:type="pct"/>
            <w:noWrap/>
            <w:vAlign w:val="center"/>
          </w:tcPr>
          <w:p w14:paraId="3A1C258E">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90.78 </w:t>
            </w:r>
          </w:p>
        </w:tc>
      </w:tr>
      <w:tr w14:paraId="750182A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604BD1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600</w:t>
            </w:r>
          </w:p>
        </w:tc>
        <w:tc>
          <w:tcPr>
            <w:tcW w:w="1686" w:type="pct"/>
            <w:noWrap/>
            <w:vAlign w:val="center"/>
          </w:tcPr>
          <w:p w14:paraId="7ED7C484">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18.27 </w:t>
            </w:r>
          </w:p>
        </w:tc>
        <w:tc>
          <w:tcPr>
            <w:tcW w:w="1660" w:type="pct"/>
            <w:noWrap/>
            <w:vAlign w:val="center"/>
          </w:tcPr>
          <w:p w14:paraId="369B0AFE">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71.14 </w:t>
            </w:r>
          </w:p>
        </w:tc>
      </w:tr>
      <w:tr w14:paraId="4CED5CE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55FED68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700</w:t>
            </w:r>
          </w:p>
        </w:tc>
        <w:tc>
          <w:tcPr>
            <w:tcW w:w="1686" w:type="pct"/>
            <w:noWrap/>
            <w:vAlign w:val="center"/>
          </w:tcPr>
          <w:p w14:paraId="2C77DA6C">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19.74 </w:t>
            </w:r>
          </w:p>
        </w:tc>
        <w:tc>
          <w:tcPr>
            <w:tcW w:w="1660" w:type="pct"/>
            <w:noWrap/>
            <w:vAlign w:val="center"/>
          </w:tcPr>
          <w:p w14:paraId="0D03269F">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57.52 </w:t>
            </w:r>
          </w:p>
        </w:tc>
      </w:tr>
      <w:tr w14:paraId="0D98402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91109A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800</w:t>
            </w:r>
          </w:p>
        </w:tc>
        <w:tc>
          <w:tcPr>
            <w:tcW w:w="1686" w:type="pct"/>
            <w:noWrap/>
            <w:vAlign w:val="center"/>
          </w:tcPr>
          <w:p w14:paraId="2DABB39E">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21.14 </w:t>
            </w:r>
          </w:p>
        </w:tc>
        <w:tc>
          <w:tcPr>
            <w:tcW w:w="1660" w:type="pct"/>
            <w:noWrap/>
            <w:vAlign w:val="center"/>
          </w:tcPr>
          <w:p w14:paraId="2F16827A">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47.48 </w:t>
            </w:r>
          </w:p>
        </w:tc>
      </w:tr>
      <w:tr w14:paraId="4971675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4E152F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900</w:t>
            </w:r>
          </w:p>
        </w:tc>
        <w:tc>
          <w:tcPr>
            <w:tcW w:w="1686" w:type="pct"/>
            <w:noWrap/>
            <w:vAlign w:val="center"/>
          </w:tcPr>
          <w:p w14:paraId="73377AF4">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22.50 </w:t>
            </w:r>
          </w:p>
        </w:tc>
        <w:tc>
          <w:tcPr>
            <w:tcW w:w="1660" w:type="pct"/>
            <w:noWrap/>
            <w:vAlign w:val="center"/>
          </w:tcPr>
          <w:p w14:paraId="3274E491">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39.91 </w:t>
            </w:r>
          </w:p>
        </w:tc>
      </w:tr>
      <w:tr w14:paraId="7F6A488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E9563B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1000</w:t>
            </w:r>
          </w:p>
        </w:tc>
        <w:tc>
          <w:tcPr>
            <w:tcW w:w="1686" w:type="pct"/>
            <w:noWrap/>
            <w:vAlign w:val="center"/>
          </w:tcPr>
          <w:p w14:paraId="641E7243">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23.82 </w:t>
            </w:r>
          </w:p>
        </w:tc>
        <w:tc>
          <w:tcPr>
            <w:tcW w:w="1660" w:type="pct"/>
            <w:noWrap/>
            <w:vAlign w:val="center"/>
          </w:tcPr>
          <w:p w14:paraId="7F1262EE">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34.03 </w:t>
            </w:r>
          </w:p>
        </w:tc>
      </w:tr>
      <w:tr w14:paraId="0C353CC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B6E78C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1110</w:t>
            </w:r>
          </w:p>
        </w:tc>
        <w:tc>
          <w:tcPr>
            <w:tcW w:w="1686" w:type="pct"/>
            <w:noWrap/>
            <w:vAlign w:val="center"/>
          </w:tcPr>
          <w:p w14:paraId="481C5A9C">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25.09 </w:t>
            </w:r>
          </w:p>
        </w:tc>
        <w:tc>
          <w:tcPr>
            <w:tcW w:w="1660" w:type="pct"/>
            <w:noWrap/>
            <w:vAlign w:val="center"/>
          </w:tcPr>
          <w:p w14:paraId="02CCF73B">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29.42 </w:t>
            </w:r>
          </w:p>
        </w:tc>
      </w:tr>
      <w:tr w14:paraId="189958E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1691D1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1200</w:t>
            </w:r>
          </w:p>
        </w:tc>
        <w:tc>
          <w:tcPr>
            <w:tcW w:w="1686" w:type="pct"/>
            <w:noWrap/>
            <w:vAlign w:val="center"/>
          </w:tcPr>
          <w:p w14:paraId="688E1625">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26.34 </w:t>
            </w:r>
          </w:p>
        </w:tc>
        <w:tc>
          <w:tcPr>
            <w:tcW w:w="1660" w:type="pct"/>
            <w:noWrap/>
            <w:vAlign w:val="center"/>
          </w:tcPr>
          <w:p w14:paraId="2DF484DA">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25.57 </w:t>
            </w:r>
          </w:p>
        </w:tc>
      </w:tr>
      <w:tr w14:paraId="5769D4B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DF3F76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1300</w:t>
            </w:r>
          </w:p>
        </w:tc>
        <w:tc>
          <w:tcPr>
            <w:tcW w:w="1686" w:type="pct"/>
            <w:noWrap/>
            <w:vAlign w:val="center"/>
          </w:tcPr>
          <w:p w14:paraId="2367C6D9">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27.56 </w:t>
            </w:r>
          </w:p>
        </w:tc>
        <w:tc>
          <w:tcPr>
            <w:tcW w:w="1660" w:type="pct"/>
            <w:noWrap/>
            <w:vAlign w:val="center"/>
          </w:tcPr>
          <w:p w14:paraId="5F4439CA">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22.48 </w:t>
            </w:r>
          </w:p>
        </w:tc>
      </w:tr>
      <w:tr w14:paraId="3C2363D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2137F7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1400</w:t>
            </w:r>
          </w:p>
        </w:tc>
        <w:tc>
          <w:tcPr>
            <w:tcW w:w="1686" w:type="pct"/>
            <w:noWrap/>
            <w:vAlign w:val="center"/>
          </w:tcPr>
          <w:p w14:paraId="110E27DE">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28.75 </w:t>
            </w:r>
          </w:p>
        </w:tc>
        <w:tc>
          <w:tcPr>
            <w:tcW w:w="1660" w:type="pct"/>
            <w:noWrap/>
            <w:vAlign w:val="center"/>
          </w:tcPr>
          <w:p w14:paraId="671C1A21">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19.92 </w:t>
            </w:r>
          </w:p>
        </w:tc>
      </w:tr>
      <w:tr w14:paraId="0C049CD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34B91E1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1500</w:t>
            </w:r>
          </w:p>
        </w:tc>
        <w:tc>
          <w:tcPr>
            <w:tcW w:w="1686" w:type="pct"/>
            <w:noWrap/>
            <w:vAlign w:val="center"/>
          </w:tcPr>
          <w:p w14:paraId="3CC552E5">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29.93 </w:t>
            </w:r>
          </w:p>
        </w:tc>
        <w:tc>
          <w:tcPr>
            <w:tcW w:w="1660" w:type="pct"/>
            <w:noWrap/>
            <w:vAlign w:val="center"/>
          </w:tcPr>
          <w:p w14:paraId="7909E78A">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17.69 </w:t>
            </w:r>
          </w:p>
        </w:tc>
      </w:tr>
      <w:tr w14:paraId="6DA742B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80263F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1600</w:t>
            </w:r>
          </w:p>
        </w:tc>
        <w:tc>
          <w:tcPr>
            <w:tcW w:w="1686" w:type="pct"/>
            <w:noWrap/>
            <w:vAlign w:val="center"/>
          </w:tcPr>
          <w:p w14:paraId="7EC29FFF">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31.08 </w:t>
            </w:r>
          </w:p>
        </w:tc>
        <w:tc>
          <w:tcPr>
            <w:tcW w:w="1660" w:type="pct"/>
            <w:noWrap/>
            <w:vAlign w:val="center"/>
          </w:tcPr>
          <w:p w14:paraId="0B80F798">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15.84 </w:t>
            </w:r>
          </w:p>
        </w:tc>
      </w:tr>
      <w:tr w14:paraId="2D04253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4B7E8D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1700</w:t>
            </w:r>
          </w:p>
        </w:tc>
        <w:tc>
          <w:tcPr>
            <w:tcW w:w="1686" w:type="pct"/>
            <w:noWrap/>
            <w:vAlign w:val="center"/>
          </w:tcPr>
          <w:p w14:paraId="5E6C189B">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32.21 </w:t>
            </w:r>
          </w:p>
        </w:tc>
        <w:tc>
          <w:tcPr>
            <w:tcW w:w="1660" w:type="pct"/>
            <w:noWrap/>
            <w:vAlign w:val="center"/>
          </w:tcPr>
          <w:p w14:paraId="73F8DB5B">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14.31 </w:t>
            </w:r>
          </w:p>
        </w:tc>
      </w:tr>
      <w:tr w14:paraId="44D43A6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314DC9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1800</w:t>
            </w:r>
          </w:p>
        </w:tc>
        <w:tc>
          <w:tcPr>
            <w:tcW w:w="1686" w:type="pct"/>
            <w:noWrap/>
            <w:vAlign w:val="center"/>
          </w:tcPr>
          <w:p w14:paraId="225F6160">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33.33 </w:t>
            </w:r>
          </w:p>
        </w:tc>
        <w:tc>
          <w:tcPr>
            <w:tcW w:w="1660" w:type="pct"/>
            <w:noWrap/>
            <w:vAlign w:val="center"/>
          </w:tcPr>
          <w:p w14:paraId="40277585">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12.93 </w:t>
            </w:r>
          </w:p>
        </w:tc>
      </w:tr>
      <w:tr w14:paraId="1A4D64A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1CD10EA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1900</w:t>
            </w:r>
          </w:p>
        </w:tc>
        <w:tc>
          <w:tcPr>
            <w:tcW w:w="1686" w:type="pct"/>
            <w:noWrap/>
            <w:vAlign w:val="center"/>
          </w:tcPr>
          <w:p w14:paraId="1B2D08D2">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34.43 </w:t>
            </w:r>
          </w:p>
        </w:tc>
        <w:tc>
          <w:tcPr>
            <w:tcW w:w="1660" w:type="pct"/>
            <w:noWrap/>
            <w:vAlign w:val="center"/>
          </w:tcPr>
          <w:p w14:paraId="29B83170">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11.72 </w:t>
            </w:r>
          </w:p>
        </w:tc>
      </w:tr>
      <w:tr w14:paraId="5CB1B06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61B927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2000</w:t>
            </w:r>
          </w:p>
        </w:tc>
        <w:tc>
          <w:tcPr>
            <w:tcW w:w="1686" w:type="pct"/>
            <w:noWrap/>
            <w:vAlign w:val="center"/>
          </w:tcPr>
          <w:p w14:paraId="0ACECEBA">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35.52 </w:t>
            </w:r>
          </w:p>
        </w:tc>
        <w:tc>
          <w:tcPr>
            <w:tcW w:w="1660" w:type="pct"/>
            <w:noWrap/>
            <w:vAlign w:val="center"/>
          </w:tcPr>
          <w:p w14:paraId="3ADD73D6">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10.69 </w:t>
            </w:r>
          </w:p>
        </w:tc>
      </w:tr>
      <w:tr w14:paraId="2128A7B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7C9738E">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2100</w:t>
            </w:r>
          </w:p>
        </w:tc>
        <w:tc>
          <w:tcPr>
            <w:tcW w:w="1686" w:type="pct"/>
            <w:noWrap/>
            <w:vAlign w:val="center"/>
          </w:tcPr>
          <w:p w14:paraId="7662C608">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36.59 </w:t>
            </w:r>
          </w:p>
        </w:tc>
        <w:tc>
          <w:tcPr>
            <w:tcW w:w="1660" w:type="pct"/>
            <w:noWrap/>
            <w:vAlign w:val="center"/>
          </w:tcPr>
          <w:p w14:paraId="46540AA1">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9.80 </w:t>
            </w:r>
          </w:p>
        </w:tc>
      </w:tr>
      <w:tr w14:paraId="0D619B5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FB7008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2200</w:t>
            </w:r>
          </w:p>
        </w:tc>
        <w:tc>
          <w:tcPr>
            <w:tcW w:w="1686" w:type="pct"/>
            <w:noWrap/>
            <w:vAlign w:val="center"/>
          </w:tcPr>
          <w:p w14:paraId="1A9C2E36">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37.65 </w:t>
            </w:r>
          </w:p>
        </w:tc>
        <w:tc>
          <w:tcPr>
            <w:tcW w:w="1660" w:type="pct"/>
            <w:noWrap/>
            <w:vAlign w:val="center"/>
          </w:tcPr>
          <w:p w14:paraId="74A5880F">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9.04 </w:t>
            </w:r>
          </w:p>
        </w:tc>
      </w:tr>
      <w:tr w14:paraId="0C2A767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492189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2300</w:t>
            </w:r>
          </w:p>
        </w:tc>
        <w:tc>
          <w:tcPr>
            <w:tcW w:w="1686" w:type="pct"/>
            <w:noWrap/>
            <w:vAlign w:val="center"/>
          </w:tcPr>
          <w:p w14:paraId="23C783CD">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38.70 </w:t>
            </w:r>
          </w:p>
        </w:tc>
        <w:tc>
          <w:tcPr>
            <w:tcW w:w="1660" w:type="pct"/>
            <w:noWrap/>
            <w:vAlign w:val="center"/>
          </w:tcPr>
          <w:p w14:paraId="381802A6">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8.31 </w:t>
            </w:r>
          </w:p>
        </w:tc>
      </w:tr>
      <w:tr w14:paraId="0052186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540F9D1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2400</w:t>
            </w:r>
          </w:p>
        </w:tc>
        <w:tc>
          <w:tcPr>
            <w:tcW w:w="1686" w:type="pct"/>
            <w:noWrap/>
            <w:vAlign w:val="center"/>
          </w:tcPr>
          <w:p w14:paraId="760AE188">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39.73 </w:t>
            </w:r>
          </w:p>
        </w:tc>
        <w:tc>
          <w:tcPr>
            <w:tcW w:w="1660" w:type="pct"/>
            <w:noWrap/>
            <w:vAlign w:val="center"/>
          </w:tcPr>
          <w:p w14:paraId="1A7B1E9C">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7.66 </w:t>
            </w:r>
          </w:p>
        </w:tc>
      </w:tr>
      <w:tr w14:paraId="3EA299F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687FA13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2500</w:t>
            </w:r>
          </w:p>
        </w:tc>
        <w:tc>
          <w:tcPr>
            <w:tcW w:w="1686" w:type="pct"/>
            <w:noWrap/>
            <w:vAlign w:val="center"/>
          </w:tcPr>
          <w:p w14:paraId="03591E8B">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40.76 </w:t>
            </w:r>
          </w:p>
        </w:tc>
        <w:tc>
          <w:tcPr>
            <w:tcW w:w="1660" w:type="pct"/>
            <w:noWrap/>
            <w:vAlign w:val="center"/>
          </w:tcPr>
          <w:p w14:paraId="0CF56EA6">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7.09 </w:t>
            </w:r>
          </w:p>
        </w:tc>
      </w:tr>
      <w:tr w14:paraId="1D2EDA8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EF9736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2600</w:t>
            </w:r>
          </w:p>
        </w:tc>
        <w:tc>
          <w:tcPr>
            <w:tcW w:w="1686" w:type="pct"/>
            <w:noWrap/>
            <w:vAlign w:val="center"/>
          </w:tcPr>
          <w:p w14:paraId="42CCBB4A">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41.78 </w:t>
            </w:r>
          </w:p>
        </w:tc>
        <w:tc>
          <w:tcPr>
            <w:tcW w:w="1660" w:type="pct"/>
            <w:noWrap/>
            <w:vAlign w:val="center"/>
          </w:tcPr>
          <w:p w14:paraId="4339D861">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6.59 </w:t>
            </w:r>
          </w:p>
        </w:tc>
      </w:tr>
      <w:tr w14:paraId="6BD4527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98340D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2700</w:t>
            </w:r>
          </w:p>
        </w:tc>
        <w:tc>
          <w:tcPr>
            <w:tcW w:w="1686" w:type="pct"/>
            <w:noWrap/>
            <w:vAlign w:val="center"/>
          </w:tcPr>
          <w:p w14:paraId="2B5B6E58">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42.78 </w:t>
            </w:r>
          </w:p>
        </w:tc>
        <w:tc>
          <w:tcPr>
            <w:tcW w:w="1660" w:type="pct"/>
            <w:noWrap/>
            <w:vAlign w:val="center"/>
          </w:tcPr>
          <w:p w14:paraId="6DA4F192">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6.15 </w:t>
            </w:r>
          </w:p>
        </w:tc>
      </w:tr>
      <w:tr w14:paraId="2B0B8D7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B6BA22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2800</w:t>
            </w:r>
          </w:p>
        </w:tc>
        <w:tc>
          <w:tcPr>
            <w:tcW w:w="1686" w:type="pct"/>
            <w:noWrap/>
            <w:vAlign w:val="center"/>
          </w:tcPr>
          <w:p w14:paraId="7B396C30">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43.78 </w:t>
            </w:r>
          </w:p>
        </w:tc>
        <w:tc>
          <w:tcPr>
            <w:tcW w:w="1660" w:type="pct"/>
            <w:noWrap/>
            <w:vAlign w:val="center"/>
          </w:tcPr>
          <w:p w14:paraId="64F87774">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5.76 </w:t>
            </w:r>
          </w:p>
        </w:tc>
      </w:tr>
      <w:tr w14:paraId="0AEEB14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53EA60E">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2900</w:t>
            </w:r>
          </w:p>
        </w:tc>
        <w:tc>
          <w:tcPr>
            <w:tcW w:w="1686" w:type="pct"/>
            <w:noWrap/>
            <w:vAlign w:val="center"/>
          </w:tcPr>
          <w:p w14:paraId="7F755E25">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44.77 </w:t>
            </w:r>
          </w:p>
        </w:tc>
        <w:tc>
          <w:tcPr>
            <w:tcW w:w="1660" w:type="pct"/>
            <w:noWrap/>
            <w:vAlign w:val="center"/>
          </w:tcPr>
          <w:p w14:paraId="54A9A368">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5.38 </w:t>
            </w:r>
          </w:p>
        </w:tc>
      </w:tr>
      <w:tr w14:paraId="4ACBDCE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213211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3000</w:t>
            </w:r>
          </w:p>
        </w:tc>
        <w:tc>
          <w:tcPr>
            <w:tcW w:w="1686" w:type="pct"/>
            <w:noWrap/>
            <w:vAlign w:val="center"/>
          </w:tcPr>
          <w:p w14:paraId="32E87F30">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45.75 </w:t>
            </w:r>
          </w:p>
        </w:tc>
        <w:tc>
          <w:tcPr>
            <w:tcW w:w="1660" w:type="pct"/>
            <w:noWrap/>
            <w:vAlign w:val="center"/>
          </w:tcPr>
          <w:p w14:paraId="1C643181">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5.03 </w:t>
            </w:r>
          </w:p>
        </w:tc>
      </w:tr>
      <w:tr w14:paraId="4F68741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9E68F3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3100</w:t>
            </w:r>
          </w:p>
        </w:tc>
        <w:tc>
          <w:tcPr>
            <w:tcW w:w="1686" w:type="pct"/>
            <w:noWrap/>
            <w:vAlign w:val="center"/>
          </w:tcPr>
          <w:p w14:paraId="6D111023">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46.73 </w:t>
            </w:r>
          </w:p>
        </w:tc>
        <w:tc>
          <w:tcPr>
            <w:tcW w:w="1660" w:type="pct"/>
            <w:noWrap/>
            <w:vAlign w:val="center"/>
          </w:tcPr>
          <w:p w14:paraId="42A502C7">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4.71 </w:t>
            </w:r>
          </w:p>
        </w:tc>
      </w:tr>
      <w:tr w14:paraId="4BC6B8F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5399FF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3200</w:t>
            </w:r>
          </w:p>
        </w:tc>
        <w:tc>
          <w:tcPr>
            <w:tcW w:w="1686" w:type="pct"/>
            <w:noWrap/>
            <w:vAlign w:val="center"/>
          </w:tcPr>
          <w:p w14:paraId="3EBAC73C">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47.69 </w:t>
            </w:r>
          </w:p>
        </w:tc>
        <w:tc>
          <w:tcPr>
            <w:tcW w:w="1660" w:type="pct"/>
            <w:noWrap/>
            <w:vAlign w:val="center"/>
          </w:tcPr>
          <w:p w14:paraId="1E7A100E">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4.43 </w:t>
            </w:r>
          </w:p>
        </w:tc>
      </w:tr>
      <w:tr w14:paraId="1096E91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1B280F9">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3300</w:t>
            </w:r>
          </w:p>
        </w:tc>
        <w:tc>
          <w:tcPr>
            <w:tcW w:w="1686" w:type="pct"/>
            <w:noWrap/>
            <w:vAlign w:val="center"/>
          </w:tcPr>
          <w:p w14:paraId="580A8E7F">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48.65 </w:t>
            </w:r>
          </w:p>
        </w:tc>
        <w:tc>
          <w:tcPr>
            <w:tcW w:w="1660" w:type="pct"/>
            <w:noWrap/>
            <w:vAlign w:val="center"/>
          </w:tcPr>
          <w:p w14:paraId="28098743">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4.18 </w:t>
            </w:r>
          </w:p>
        </w:tc>
      </w:tr>
      <w:tr w14:paraId="19A4F05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0879B3D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3400</w:t>
            </w:r>
          </w:p>
        </w:tc>
        <w:tc>
          <w:tcPr>
            <w:tcW w:w="1686" w:type="pct"/>
            <w:noWrap/>
            <w:vAlign w:val="center"/>
          </w:tcPr>
          <w:p w14:paraId="3FF5CCD9">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49.60 </w:t>
            </w:r>
          </w:p>
        </w:tc>
        <w:tc>
          <w:tcPr>
            <w:tcW w:w="1660" w:type="pct"/>
            <w:noWrap/>
            <w:vAlign w:val="center"/>
          </w:tcPr>
          <w:p w14:paraId="53C07713">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3.95 </w:t>
            </w:r>
          </w:p>
        </w:tc>
      </w:tr>
      <w:tr w14:paraId="3A5F4AB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67A5FF2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3500</w:t>
            </w:r>
          </w:p>
        </w:tc>
        <w:tc>
          <w:tcPr>
            <w:tcW w:w="1686" w:type="pct"/>
            <w:noWrap/>
            <w:vAlign w:val="center"/>
          </w:tcPr>
          <w:p w14:paraId="663AF73A">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50.55 </w:t>
            </w:r>
          </w:p>
        </w:tc>
        <w:tc>
          <w:tcPr>
            <w:tcW w:w="1660" w:type="pct"/>
            <w:noWrap/>
            <w:vAlign w:val="center"/>
          </w:tcPr>
          <w:p w14:paraId="7F2B4768">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3.75 </w:t>
            </w:r>
          </w:p>
        </w:tc>
      </w:tr>
      <w:tr w14:paraId="3BBC641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4C2BBC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3600</w:t>
            </w:r>
          </w:p>
        </w:tc>
        <w:tc>
          <w:tcPr>
            <w:tcW w:w="1686" w:type="pct"/>
            <w:noWrap/>
            <w:vAlign w:val="center"/>
          </w:tcPr>
          <w:p w14:paraId="6DAAA4F2">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51.49 </w:t>
            </w:r>
          </w:p>
        </w:tc>
        <w:tc>
          <w:tcPr>
            <w:tcW w:w="1660" w:type="pct"/>
            <w:noWrap/>
            <w:vAlign w:val="center"/>
          </w:tcPr>
          <w:p w14:paraId="4686C83B">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3.55 </w:t>
            </w:r>
          </w:p>
        </w:tc>
      </w:tr>
      <w:tr w14:paraId="433D7FF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557917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3700</w:t>
            </w:r>
          </w:p>
        </w:tc>
        <w:tc>
          <w:tcPr>
            <w:tcW w:w="1686" w:type="pct"/>
            <w:noWrap/>
            <w:vAlign w:val="center"/>
          </w:tcPr>
          <w:p w14:paraId="4B74E317">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52.42 </w:t>
            </w:r>
          </w:p>
        </w:tc>
        <w:tc>
          <w:tcPr>
            <w:tcW w:w="1660" w:type="pct"/>
            <w:noWrap/>
            <w:vAlign w:val="center"/>
          </w:tcPr>
          <w:p w14:paraId="5E38C72A">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3.36 </w:t>
            </w:r>
          </w:p>
        </w:tc>
      </w:tr>
      <w:tr w14:paraId="22693C5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963A55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3800</w:t>
            </w:r>
          </w:p>
        </w:tc>
        <w:tc>
          <w:tcPr>
            <w:tcW w:w="1686" w:type="pct"/>
            <w:noWrap/>
            <w:vAlign w:val="center"/>
          </w:tcPr>
          <w:p w14:paraId="6ECAB652">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53.35 </w:t>
            </w:r>
          </w:p>
        </w:tc>
        <w:tc>
          <w:tcPr>
            <w:tcW w:w="1660" w:type="pct"/>
            <w:noWrap/>
            <w:vAlign w:val="center"/>
          </w:tcPr>
          <w:p w14:paraId="71C15F12">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3.18 </w:t>
            </w:r>
          </w:p>
        </w:tc>
      </w:tr>
      <w:tr w14:paraId="3E2EF97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3A3C806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3900</w:t>
            </w:r>
          </w:p>
        </w:tc>
        <w:tc>
          <w:tcPr>
            <w:tcW w:w="1686" w:type="pct"/>
            <w:noWrap/>
            <w:vAlign w:val="center"/>
          </w:tcPr>
          <w:p w14:paraId="3E164B4E">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54.28 </w:t>
            </w:r>
          </w:p>
        </w:tc>
        <w:tc>
          <w:tcPr>
            <w:tcW w:w="1660" w:type="pct"/>
            <w:noWrap/>
            <w:vAlign w:val="center"/>
          </w:tcPr>
          <w:p w14:paraId="7853B40B">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3.02 </w:t>
            </w:r>
          </w:p>
        </w:tc>
      </w:tr>
      <w:tr w14:paraId="339A8C2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2B26150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4000</w:t>
            </w:r>
          </w:p>
        </w:tc>
        <w:tc>
          <w:tcPr>
            <w:tcW w:w="1686" w:type="pct"/>
            <w:noWrap/>
            <w:vAlign w:val="center"/>
          </w:tcPr>
          <w:p w14:paraId="6F01F84C">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55.20 </w:t>
            </w:r>
          </w:p>
        </w:tc>
        <w:tc>
          <w:tcPr>
            <w:tcW w:w="1660" w:type="pct"/>
            <w:noWrap/>
            <w:vAlign w:val="center"/>
          </w:tcPr>
          <w:p w14:paraId="399F6961">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2.87 </w:t>
            </w:r>
          </w:p>
        </w:tc>
      </w:tr>
      <w:tr w14:paraId="40AAE0F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AFE71F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4100</w:t>
            </w:r>
          </w:p>
        </w:tc>
        <w:tc>
          <w:tcPr>
            <w:tcW w:w="1686" w:type="pct"/>
            <w:noWrap/>
            <w:vAlign w:val="center"/>
          </w:tcPr>
          <w:p w14:paraId="1E667EAD">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56.11 </w:t>
            </w:r>
          </w:p>
        </w:tc>
        <w:tc>
          <w:tcPr>
            <w:tcW w:w="1660" w:type="pct"/>
            <w:noWrap/>
            <w:vAlign w:val="center"/>
          </w:tcPr>
          <w:p w14:paraId="5D166EF0">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2.73 </w:t>
            </w:r>
          </w:p>
        </w:tc>
      </w:tr>
      <w:tr w14:paraId="239A91F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684BC7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4200</w:t>
            </w:r>
          </w:p>
        </w:tc>
        <w:tc>
          <w:tcPr>
            <w:tcW w:w="1686" w:type="pct"/>
            <w:noWrap/>
            <w:vAlign w:val="center"/>
          </w:tcPr>
          <w:p w14:paraId="5D3F1A8A">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57.02 </w:t>
            </w:r>
          </w:p>
        </w:tc>
        <w:tc>
          <w:tcPr>
            <w:tcW w:w="1660" w:type="pct"/>
            <w:noWrap/>
            <w:vAlign w:val="center"/>
          </w:tcPr>
          <w:p w14:paraId="58E9FCF8">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2.60 </w:t>
            </w:r>
          </w:p>
        </w:tc>
      </w:tr>
      <w:tr w14:paraId="71C3B0C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BDE3200">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4300</w:t>
            </w:r>
          </w:p>
        </w:tc>
        <w:tc>
          <w:tcPr>
            <w:tcW w:w="1686" w:type="pct"/>
            <w:noWrap/>
            <w:vAlign w:val="center"/>
          </w:tcPr>
          <w:p w14:paraId="16312D94">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57.92 </w:t>
            </w:r>
          </w:p>
        </w:tc>
        <w:tc>
          <w:tcPr>
            <w:tcW w:w="1660" w:type="pct"/>
            <w:noWrap/>
            <w:vAlign w:val="center"/>
          </w:tcPr>
          <w:p w14:paraId="77AE38BD">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2.49 </w:t>
            </w:r>
          </w:p>
        </w:tc>
      </w:tr>
      <w:tr w14:paraId="3D76188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B61C7E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4400</w:t>
            </w:r>
          </w:p>
        </w:tc>
        <w:tc>
          <w:tcPr>
            <w:tcW w:w="1686" w:type="pct"/>
            <w:noWrap/>
            <w:vAlign w:val="center"/>
          </w:tcPr>
          <w:p w14:paraId="713E4A92">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58.82 </w:t>
            </w:r>
          </w:p>
        </w:tc>
        <w:tc>
          <w:tcPr>
            <w:tcW w:w="1660" w:type="pct"/>
            <w:noWrap/>
            <w:vAlign w:val="center"/>
          </w:tcPr>
          <w:p w14:paraId="7DBFADA9">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2.38 </w:t>
            </w:r>
          </w:p>
        </w:tc>
      </w:tr>
      <w:tr w14:paraId="2450DFA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76975DF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4500</w:t>
            </w:r>
          </w:p>
        </w:tc>
        <w:tc>
          <w:tcPr>
            <w:tcW w:w="1686" w:type="pct"/>
            <w:noWrap/>
            <w:vAlign w:val="center"/>
          </w:tcPr>
          <w:p w14:paraId="27FD8B2D">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59.71 </w:t>
            </w:r>
          </w:p>
        </w:tc>
        <w:tc>
          <w:tcPr>
            <w:tcW w:w="1660" w:type="pct"/>
            <w:noWrap/>
            <w:vAlign w:val="center"/>
          </w:tcPr>
          <w:p w14:paraId="44D1164A">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2.29 </w:t>
            </w:r>
          </w:p>
        </w:tc>
      </w:tr>
      <w:tr w14:paraId="2DCA899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DA13AD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4600</w:t>
            </w:r>
          </w:p>
        </w:tc>
        <w:tc>
          <w:tcPr>
            <w:tcW w:w="1686" w:type="pct"/>
            <w:noWrap/>
            <w:vAlign w:val="center"/>
          </w:tcPr>
          <w:p w14:paraId="3D5C6D1B">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60.60 </w:t>
            </w:r>
          </w:p>
        </w:tc>
        <w:tc>
          <w:tcPr>
            <w:tcW w:w="1660" w:type="pct"/>
            <w:noWrap/>
            <w:vAlign w:val="center"/>
          </w:tcPr>
          <w:p w14:paraId="1DD27476">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2.19 </w:t>
            </w:r>
          </w:p>
        </w:tc>
      </w:tr>
      <w:tr w14:paraId="52BD916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E0C4A1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4700</w:t>
            </w:r>
          </w:p>
        </w:tc>
        <w:tc>
          <w:tcPr>
            <w:tcW w:w="1686" w:type="pct"/>
            <w:noWrap/>
            <w:vAlign w:val="center"/>
          </w:tcPr>
          <w:p w14:paraId="4882C944">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61.48 </w:t>
            </w:r>
          </w:p>
        </w:tc>
        <w:tc>
          <w:tcPr>
            <w:tcW w:w="1660" w:type="pct"/>
            <w:noWrap/>
            <w:vAlign w:val="center"/>
          </w:tcPr>
          <w:p w14:paraId="5C701409">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2.09 </w:t>
            </w:r>
          </w:p>
        </w:tc>
      </w:tr>
      <w:tr w14:paraId="0FF61B1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4D80317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4800</w:t>
            </w:r>
          </w:p>
        </w:tc>
        <w:tc>
          <w:tcPr>
            <w:tcW w:w="1686" w:type="pct"/>
            <w:noWrap/>
            <w:vAlign w:val="center"/>
          </w:tcPr>
          <w:p w14:paraId="49F5ED7B">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62.37 </w:t>
            </w:r>
          </w:p>
        </w:tc>
        <w:tc>
          <w:tcPr>
            <w:tcW w:w="1660" w:type="pct"/>
            <w:noWrap/>
            <w:vAlign w:val="center"/>
          </w:tcPr>
          <w:p w14:paraId="7AA46651">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2.00 </w:t>
            </w:r>
          </w:p>
        </w:tc>
      </w:tr>
      <w:tr w14:paraId="0E6BC03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4" w:type="pct"/>
            <w:noWrap/>
            <w:vAlign w:val="center"/>
          </w:tcPr>
          <w:p w14:paraId="6F79863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4900</w:t>
            </w:r>
          </w:p>
        </w:tc>
        <w:tc>
          <w:tcPr>
            <w:tcW w:w="1686" w:type="pct"/>
            <w:noWrap/>
            <w:vAlign w:val="center"/>
          </w:tcPr>
          <w:p w14:paraId="241F9FF0">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63.24 </w:t>
            </w:r>
          </w:p>
        </w:tc>
        <w:tc>
          <w:tcPr>
            <w:tcW w:w="1660" w:type="pct"/>
            <w:noWrap/>
            <w:vAlign w:val="center"/>
          </w:tcPr>
          <w:p w14:paraId="6C4782A4">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1.92 </w:t>
            </w:r>
          </w:p>
        </w:tc>
      </w:tr>
      <w:tr w14:paraId="7A03219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654" w:type="pct"/>
            <w:noWrap/>
            <w:vAlign w:val="center"/>
          </w:tcPr>
          <w:p w14:paraId="56B9FAE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5000</w:t>
            </w:r>
          </w:p>
        </w:tc>
        <w:tc>
          <w:tcPr>
            <w:tcW w:w="1686" w:type="pct"/>
            <w:noWrap/>
            <w:vAlign w:val="center"/>
          </w:tcPr>
          <w:p w14:paraId="37DAA870">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64.12 </w:t>
            </w:r>
          </w:p>
        </w:tc>
        <w:tc>
          <w:tcPr>
            <w:tcW w:w="1660" w:type="pct"/>
            <w:noWrap/>
            <w:vAlign w:val="center"/>
          </w:tcPr>
          <w:p w14:paraId="5A7C9F96">
            <w:pPr>
              <w:widowControl/>
              <w:spacing w:line="240" w:lineRule="auto"/>
              <w:ind w:firstLine="0" w:firstLineChars="0"/>
              <w:jc w:val="center"/>
              <w:textAlignment w:val="center"/>
              <w:rPr>
                <w:color w:val="auto"/>
                <w:kern w:val="0"/>
                <w:sz w:val="21"/>
                <w:szCs w:val="21"/>
                <w:lang w:bidi="ar"/>
              </w:rPr>
            </w:pPr>
            <w:r>
              <w:rPr>
                <w:color w:val="auto"/>
                <w:sz w:val="21"/>
                <w:szCs w:val="21"/>
              </w:rPr>
              <w:t xml:space="preserve">1.84 </w:t>
            </w:r>
          </w:p>
        </w:tc>
      </w:tr>
      <w:tr w14:paraId="02B739B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654" w:type="pct"/>
            <w:noWrap/>
            <w:vAlign w:val="center"/>
          </w:tcPr>
          <w:p w14:paraId="652CB7D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最大高峰浓度位置</w:t>
            </w:r>
          </w:p>
        </w:tc>
        <w:tc>
          <w:tcPr>
            <w:tcW w:w="1686" w:type="pct"/>
            <w:noWrap/>
            <w:vAlign w:val="center"/>
          </w:tcPr>
          <w:p w14:paraId="7F954AB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5.34（10m）</w:t>
            </w:r>
          </w:p>
        </w:tc>
        <w:tc>
          <w:tcPr>
            <w:tcW w:w="1660" w:type="pct"/>
            <w:noWrap/>
            <w:vAlign w:val="center"/>
          </w:tcPr>
          <w:p w14:paraId="1D5FE3E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3454.80</w:t>
            </w:r>
          </w:p>
        </w:tc>
      </w:tr>
    </w:tbl>
    <w:p w14:paraId="4E09D1BF">
      <w:pPr>
        <w:spacing w:line="240" w:lineRule="auto"/>
        <w:ind w:firstLine="0" w:firstLineChars="0"/>
        <w:jc w:val="center"/>
        <w:rPr>
          <w:bCs/>
          <w:color w:val="auto"/>
        </w:rPr>
      </w:pPr>
      <w:r>
        <w:rPr>
          <w:rFonts w:ascii="仿宋_GB2312" w:eastAsia="仿宋_GB2312"/>
          <w:color w:val="auto"/>
          <w:sz w:val="28"/>
        </w:rPr>
        <w:drawing>
          <wp:inline distT="0" distB="0" distL="0" distR="0">
            <wp:extent cx="5810250" cy="2950210"/>
            <wp:effectExtent l="0" t="0" r="0" b="2540"/>
            <wp:docPr id="1070621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21626" name="图片 1"/>
                    <pic:cNvPicPr>
                      <a:picLocks noChangeAspect="1"/>
                    </pic:cNvPicPr>
                  </pic:nvPicPr>
                  <pic:blipFill>
                    <a:blip r:embed="rId65"/>
                    <a:stretch>
                      <a:fillRect/>
                    </a:stretch>
                  </pic:blipFill>
                  <pic:spPr>
                    <a:xfrm>
                      <a:off x="0" y="0"/>
                      <a:ext cx="5816034" cy="2953276"/>
                    </a:xfrm>
                    <a:prstGeom prst="rect">
                      <a:avLst/>
                    </a:prstGeom>
                  </pic:spPr>
                </pic:pic>
              </a:graphicData>
            </a:graphic>
          </wp:inline>
        </w:drawing>
      </w:r>
    </w:p>
    <w:p w14:paraId="14D96283">
      <w:pPr>
        <w:spacing w:line="240" w:lineRule="auto"/>
        <w:ind w:firstLine="0" w:firstLineChars="0"/>
        <w:jc w:val="center"/>
        <w:rPr>
          <w:b/>
          <w:color w:val="auto"/>
        </w:rPr>
      </w:pPr>
      <w:r>
        <w:rPr>
          <w:rFonts w:hint="eastAsia"/>
          <w:b/>
          <w:color w:val="auto"/>
        </w:rPr>
        <w:t>图6.7.4-3 硫磺火灾事故事故最不利气象条件最大浓度图</w:t>
      </w:r>
    </w:p>
    <w:p w14:paraId="4F6D0447">
      <w:pPr>
        <w:spacing w:line="240" w:lineRule="auto"/>
        <w:ind w:firstLine="0" w:firstLineChars="0"/>
        <w:jc w:val="center"/>
        <w:rPr>
          <w:bCs/>
          <w:color w:val="auto"/>
        </w:rPr>
      </w:pPr>
      <w:r>
        <w:rPr>
          <w:rFonts w:ascii="仿宋_GB2312" w:eastAsia="仿宋_GB2312"/>
          <w:color w:val="auto"/>
          <w:sz w:val="28"/>
        </w:rPr>
        <w:drawing>
          <wp:inline distT="0" distB="0" distL="0" distR="0">
            <wp:extent cx="5671820" cy="3736340"/>
            <wp:effectExtent l="0" t="0" r="5080" b="16510"/>
            <wp:docPr id="1473760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60370" name="图片 1"/>
                    <pic:cNvPicPr>
                      <a:picLocks noChangeAspect="1"/>
                    </pic:cNvPicPr>
                  </pic:nvPicPr>
                  <pic:blipFill>
                    <a:blip r:embed="rId66"/>
                    <a:srcRect l="6692" t="10026" r="21716" b="12082"/>
                    <a:stretch>
                      <a:fillRect/>
                    </a:stretch>
                  </pic:blipFill>
                  <pic:spPr>
                    <a:xfrm>
                      <a:off x="0" y="0"/>
                      <a:ext cx="5681327" cy="3742265"/>
                    </a:xfrm>
                    <a:prstGeom prst="rect">
                      <a:avLst/>
                    </a:prstGeom>
                    <a:ln>
                      <a:noFill/>
                    </a:ln>
                  </pic:spPr>
                </pic:pic>
              </a:graphicData>
            </a:graphic>
          </wp:inline>
        </w:drawing>
      </w:r>
    </w:p>
    <w:p w14:paraId="56A60F5F">
      <w:pPr>
        <w:spacing w:line="240" w:lineRule="auto"/>
        <w:ind w:firstLine="0" w:firstLineChars="0"/>
        <w:jc w:val="center"/>
        <w:rPr>
          <w:b/>
          <w:color w:val="auto"/>
        </w:rPr>
      </w:pPr>
      <w:r>
        <w:rPr>
          <w:rFonts w:hint="eastAsia"/>
          <w:b/>
          <w:color w:val="auto"/>
        </w:rPr>
        <w:t>图6.7.4-4 预测浓度达到毒性终点浓度影响范围图</w:t>
      </w:r>
    </w:p>
    <w:p w14:paraId="420459D4">
      <w:pPr>
        <w:ind w:firstLine="480"/>
        <w:rPr>
          <w:bCs/>
          <w:color w:val="auto"/>
        </w:rPr>
      </w:pPr>
      <w:r>
        <w:rPr>
          <w:bCs/>
          <w:color w:val="auto"/>
        </w:rPr>
        <w:t>各关心点有毒有害物质浓度随时间变化情况见下表。</w:t>
      </w:r>
    </w:p>
    <w:p w14:paraId="3D1AE959">
      <w:pPr>
        <w:ind w:firstLine="482"/>
        <w:jc w:val="center"/>
        <w:rPr>
          <w:b/>
          <w:color w:val="auto"/>
        </w:rPr>
      </w:pPr>
      <w:r>
        <w:rPr>
          <w:rFonts w:hint="eastAsia"/>
          <w:b/>
          <w:color w:val="auto"/>
        </w:rPr>
        <w:t>表6.7.4-6 硫磺火灾事故最不利气象条件下不同距离处有毒有害物质最大浓度</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846"/>
        <w:gridCol w:w="1985"/>
        <w:gridCol w:w="1041"/>
        <w:gridCol w:w="1041"/>
        <w:gridCol w:w="1041"/>
        <w:gridCol w:w="1041"/>
        <w:gridCol w:w="1041"/>
        <w:gridCol w:w="1041"/>
      </w:tblGrid>
      <w:tr w14:paraId="7DF80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pct"/>
            <w:noWrap/>
            <w:vAlign w:val="center"/>
          </w:tcPr>
          <w:p w14:paraId="3164D513">
            <w:pPr>
              <w:widowControl/>
              <w:adjustRightInd/>
              <w:snapToGrid/>
              <w:spacing w:line="240" w:lineRule="auto"/>
              <w:ind w:firstLine="0" w:firstLineChars="0"/>
              <w:jc w:val="center"/>
              <w:rPr>
                <w:color w:val="auto"/>
                <w:kern w:val="0"/>
                <w:sz w:val="21"/>
                <w:szCs w:val="21"/>
              </w:rPr>
            </w:pPr>
            <w:r>
              <w:rPr>
                <w:color w:val="auto"/>
                <w:kern w:val="0"/>
                <w:sz w:val="21"/>
                <w:szCs w:val="21"/>
              </w:rPr>
              <w:t>序号</w:t>
            </w:r>
          </w:p>
        </w:tc>
        <w:tc>
          <w:tcPr>
            <w:tcW w:w="429" w:type="pct"/>
            <w:noWrap/>
            <w:vAlign w:val="center"/>
          </w:tcPr>
          <w:p w14:paraId="044EFF24">
            <w:pPr>
              <w:widowControl/>
              <w:adjustRightInd/>
              <w:snapToGrid/>
              <w:spacing w:line="240" w:lineRule="auto"/>
              <w:ind w:firstLine="0" w:firstLineChars="0"/>
              <w:jc w:val="center"/>
              <w:rPr>
                <w:color w:val="auto"/>
                <w:kern w:val="0"/>
                <w:sz w:val="21"/>
                <w:szCs w:val="21"/>
              </w:rPr>
            </w:pPr>
            <w:r>
              <w:rPr>
                <w:color w:val="auto"/>
                <w:kern w:val="0"/>
                <w:sz w:val="21"/>
                <w:szCs w:val="21"/>
              </w:rPr>
              <w:t>名称</w:t>
            </w:r>
          </w:p>
        </w:tc>
        <w:tc>
          <w:tcPr>
            <w:tcW w:w="1007" w:type="pct"/>
            <w:noWrap/>
            <w:vAlign w:val="center"/>
          </w:tcPr>
          <w:p w14:paraId="659EB542">
            <w:pPr>
              <w:widowControl/>
              <w:adjustRightInd/>
              <w:snapToGrid/>
              <w:spacing w:line="240" w:lineRule="auto"/>
              <w:ind w:firstLine="0" w:firstLineChars="0"/>
              <w:jc w:val="center"/>
              <w:rPr>
                <w:color w:val="auto"/>
                <w:kern w:val="0"/>
                <w:sz w:val="21"/>
                <w:szCs w:val="21"/>
              </w:rPr>
            </w:pPr>
            <w:r>
              <w:rPr>
                <w:color w:val="auto"/>
                <w:kern w:val="0"/>
                <w:sz w:val="21"/>
                <w:szCs w:val="21"/>
              </w:rPr>
              <w:t>最大浓度|时间(min)</w:t>
            </w:r>
          </w:p>
        </w:tc>
        <w:tc>
          <w:tcPr>
            <w:tcW w:w="528" w:type="pct"/>
            <w:noWrap/>
            <w:vAlign w:val="center"/>
          </w:tcPr>
          <w:p w14:paraId="149C9320">
            <w:pPr>
              <w:widowControl/>
              <w:adjustRightInd/>
              <w:snapToGrid/>
              <w:spacing w:line="240" w:lineRule="auto"/>
              <w:ind w:firstLine="0" w:firstLineChars="0"/>
              <w:jc w:val="center"/>
              <w:rPr>
                <w:color w:val="auto"/>
                <w:kern w:val="0"/>
                <w:sz w:val="21"/>
                <w:szCs w:val="21"/>
              </w:rPr>
            </w:pPr>
            <w:r>
              <w:rPr>
                <w:color w:val="auto"/>
                <w:kern w:val="0"/>
                <w:sz w:val="21"/>
                <w:szCs w:val="21"/>
              </w:rPr>
              <w:t>5min</w:t>
            </w:r>
          </w:p>
        </w:tc>
        <w:tc>
          <w:tcPr>
            <w:tcW w:w="528" w:type="pct"/>
            <w:noWrap/>
            <w:vAlign w:val="center"/>
          </w:tcPr>
          <w:p w14:paraId="55C4E68D">
            <w:pPr>
              <w:widowControl/>
              <w:adjustRightInd/>
              <w:snapToGrid/>
              <w:spacing w:line="240" w:lineRule="auto"/>
              <w:ind w:firstLine="0" w:firstLineChars="0"/>
              <w:jc w:val="center"/>
              <w:rPr>
                <w:color w:val="auto"/>
                <w:kern w:val="0"/>
                <w:sz w:val="21"/>
                <w:szCs w:val="21"/>
              </w:rPr>
            </w:pPr>
            <w:r>
              <w:rPr>
                <w:color w:val="auto"/>
                <w:kern w:val="0"/>
                <w:sz w:val="21"/>
                <w:szCs w:val="21"/>
              </w:rPr>
              <w:t>10min</w:t>
            </w:r>
          </w:p>
        </w:tc>
        <w:tc>
          <w:tcPr>
            <w:tcW w:w="528" w:type="pct"/>
            <w:noWrap/>
            <w:vAlign w:val="center"/>
          </w:tcPr>
          <w:p w14:paraId="7DCD8456">
            <w:pPr>
              <w:widowControl/>
              <w:adjustRightInd/>
              <w:snapToGrid/>
              <w:spacing w:line="240" w:lineRule="auto"/>
              <w:ind w:firstLine="0" w:firstLineChars="0"/>
              <w:jc w:val="center"/>
              <w:rPr>
                <w:color w:val="auto"/>
                <w:kern w:val="0"/>
                <w:sz w:val="21"/>
                <w:szCs w:val="21"/>
              </w:rPr>
            </w:pPr>
            <w:r>
              <w:rPr>
                <w:color w:val="auto"/>
                <w:kern w:val="0"/>
                <w:sz w:val="21"/>
                <w:szCs w:val="21"/>
              </w:rPr>
              <w:t>15min</w:t>
            </w:r>
          </w:p>
        </w:tc>
        <w:tc>
          <w:tcPr>
            <w:tcW w:w="528" w:type="pct"/>
            <w:noWrap/>
            <w:vAlign w:val="center"/>
          </w:tcPr>
          <w:p w14:paraId="505AE4A2">
            <w:pPr>
              <w:widowControl/>
              <w:adjustRightInd/>
              <w:snapToGrid/>
              <w:spacing w:line="240" w:lineRule="auto"/>
              <w:ind w:firstLine="0" w:firstLineChars="0"/>
              <w:jc w:val="center"/>
              <w:rPr>
                <w:color w:val="auto"/>
                <w:kern w:val="0"/>
                <w:sz w:val="21"/>
                <w:szCs w:val="21"/>
              </w:rPr>
            </w:pPr>
            <w:r>
              <w:rPr>
                <w:color w:val="auto"/>
                <w:kern w:val="0"/>
                <w:sz w:val="21"/>
                <w:szCs w:val="21"/>
              </w:rPr>
              <w:t>20min</w:t>
            </w:r>
          </w:p>
        </w:tc>
        <w:tc>
          <w:tcPr>
            <w:tcW w:w="528" w:type="pct"/>
            <w:noWrap/>
            <w:vAlign w:val="center"/>
          </w:tcPr>
          <w:p w14:paraId="4A01EB66">
            <w:pPr>
              <w:widowControl/>
              <w:adjustRightInd/>
              <w:snapToGrid/>
              <w:spacing w:line="240" w:lineRule="auto"/>
              <w:ind w:firstLine="0" w:firstLineChars="0"/>
              <w:jc w:val="center"/>
              <w:rPr>
                <w:color w:val="auto"/>
                <w:kern w:val="0"/>
                <w:sz w:val="21"/>
                <w:szCs w:val="21"/>
              </w:rPr>
            </w:pPr>
            <w:r>
              <w:rPr>
                <w:color w:val="auto"/>
                <w:kern w:val="0"/>
                <w:sz w:val="21"/>
                <w:szCs w:val="21"/>
              </w:rPr>
              <w:t>25min</w:t>
            </w:r>
          </w:p>
        </w:tc>
        <w:tc>
          <w:tcPr>
            <w:tcW w:w="528" w:type="pct"/>
            <w:noWrap/>
            <w:vAlign w:val="center"/>
          </w:tcPr>
          <w:p w14:paraId="46B08C02">
            <w:pPr>
              <w:widowControl/>
              <w:adjustRightInd/>
              <w:snapToGrid/>
              <w:spacing w:line="240" w:lineRule="auto"/>
              <w:ind w:firstLine="0" w:firstLineChars="0"/>
              <w:jc w:val="center"/>
              <w:rPr>
                <w:color w:val="auto"/>
                <w:kern w:val="0"/>
                <w:sz w:val="21"/>
                <w:szCs w:val="21"/>
              </w:rPr>
            </w:pPr>
            <w:r>
              <w:rPr>
                <w:color w:val="auto"/>
                <w:kern w:val="0"/>
                <w:sz w:val="21"/>
                <w:szCs w:val="21"/>
              </w:rPr>
              <w:t>30min</w:t>
            </w:r>
          </w:p>
        </w:tc>
      </w:tr>
      <w:tr w14:paraId="0BAC3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pct"/>
            <w:noWrap/>
            <w:vAlign w:val="center"/>
          </w:tcPr>
          <w:p w14:paraId="304D71EA">
            <w:pPr>
              <w:widowControl/>
              <w:adjustRightInd/>
              <w:snapToGrid/>
              <w:spacing w:line="240" w:lineRule="auto"/>
              <w:ind w:firstLine="0" w:firstLineChars="0"/>
              <w:jc w:val="center"/>
              <w:rPr>
                <w:color w:val="auto"/>
                <w:kern w:val="0"/>
                <w:sz w:val="21"/>
                <w:szCs w:val="21"/>
              </w:rPr>
            </w:pPr>
            <w:r>
              <w:rPr>
                <w:color w:val="auto"/>
                <w:kern w:val="0"/>
                <w:sz w:val="21"/>
                <w:szCs w:val="21"/>
              </w:rPr>
              <w:t>1</w:t>
            </w:r>
          </w:p>
        </w:tc>
        <w:tc>
          <w:tcPr>
            <w:tcW w:w="429" w:type="pct"/>
            <w:noWrap/>
            <w:vAlign w:val="center"/>
          </w:tcPr>
          <w:p w14:paraId="2617F873">
            <w:pPr>
              <w:widowControl/>
              <w:adjustRightInd/>
              <w:snapToGrid/>
              <w:spacing w:line="240" w:lineRule="auto"/>
              <w:ind w:firstLine="0" w:firstLineChars="0"/>
              <w:jc w:val="center"/>
              <w:rPr>
                <w:color w:val="auto"/>
                <w:kern w:val="0"/>
                <w:sz w:val="21"/>
                <w:szCs w:val="21"/>
              </w:rPr>
            </w:pPr>
            <w:r>
              <w:rPr>
                <w:color w:val="auto"/>
                <w:kern w:val="0"/>
                <w:sz w:val="21"/>
                <w:szCs w:val="21"/>
              </w:rPr>
              <w:t>北新镇</w:t>
            </w:r>
          </w:p>
        </w:tc>
        <w:tc>
          <w:tcPr>
            <w:tcW w:w="1007" w:type="pct"/>
            <w:noWrap/>
            <w:vAlign w:val="center"/>
          </w:tcPr>
          <w:p w14:paraId="00A31079">
            <w:pPr>
              <w:widowControl/>
              <w:adjustRightInd/>
              <w:snapToGrid/>
              <w:spacing w:line="240" w:lineRule="auto"/>
              <w:ind w:firstLine="0" w:firstLineChars="0"/>
              <w:jc w:val="center"/>
              <w:rPr>
                <w:color w:val="auto"/>
                <w:kern w:val="0"/>
                <w:sz w:val="21"/>
                <w:szCs w:val="21"/>
              </w:rPr>
            </w:pPr>
            <w:r>
              <w:rPr>
                <w:color w:val="auto"/>
                <w:kern w:val="0"/>
                <w:sz w:val="21"/>
                <w:szCs w:val="21"/>
              </w:rPr>
              <w:t>0.00E+00|5</w:t>
            </w:r>
          </w:p>
        </w:tc>
        <w:tc>
          <w:tcPr>
            <w:tcW w:w="528" w:type="pct"/>
            <w:noWrap/>
            <w:vAlign w:val="center"/>
          </w:tcPr>
          <w:p w14:paraId="0ABBAA62">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5C841C76">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5344BC50">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0EF91857">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05277BD4">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56C62CA9">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r>
      <w:tr w14:paraId="564F7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pct"/>
            <w:noWrap/>
            <w:vAlign w:val="center"/>
          </w:tcPr>
          <w:p w14:paraId="688E1F42">
            <w:pPr>
              <w:widowControl/>
              <w:adjustRightInd/>
              <w:snapToGrid/>
              <w:spacing w:line="240" w:lineRule="auto"/>
              <w:ind w:firstLine="0" w:firstLineChars="0"/>
              <w:jc w:val="center"/>
              <w:rPr>
                <w:color w:val="auto"/>
                <w:kern w:val="0"/>
                <w:sz w:val="21"/>
                <w:szCs w:val="21"/>
              </w:rPr>
            </w:pPr>
            <w:r>
              <w:rPr>
                <w:color w:val="auto"/>
                <w:kern w:val="0"/>
                <w:sz w:val="21"/>
                <w:szCs w:val="21"/>
              </w:rPr>
              <w:t>2</w:t>
            </w:r>
          </w:p>
        </w:tc>
        <w:tc>
          <w:tcPr>
            <w:tcW w:w="429" w:type="pct"/>
            <w:noWrap/>
            <w:vAlign w:val="center"/>
          </w:tcPr>
          <w:p w14:paraId="2F520F0E">
            <w:pPr>
              <w:widowControl/>
              <w:adjustRightInd/>
              <w:snapToGrid/>
              <w:spacing w:line="240" w:lineRule="auto"/>
              <w:ind w:firstLine="0" w:firstLineChars="0"/>
              <w:jc w:val="center"/>
              <w:rPr>
                <w:color w:val="auto"/>
                <w:kern w:val="0"/>
                <w:sz w:val="21"/>
                <w:szCs w:val="21"/>
              </w:rPr>
            </w:pPr>
            <w:r>
              <w:rPr>
                <w:color w:val="auto"/>
                <w:kern w:val="0"/>
                <w:sz w:val="21"/>
                <w:szCs w:val="21"/>
              </w:rPr>
              <w:t>富民村</w:t>
            </w:r>
          </w:p>
        </w:tc>
        <w:tc>
          <w:tcPr>
            <w:tcW w:w="1007" w:type="pct"/>
            <w:noWrap/>
            <w:vAlign w:val="center"/>
          </w:tcPr>
          <w:p w14:paraId="7A184B06">
            <w:pPr>
              <w:widowControl/>
              <w:adjustRightInd/>
              <w:snapToGrid/>
              <w:spacing w:line="240" w:lineRule="auto"/>
              <w:ind w:firstLine="0" w:firstLineChars="0"/>
              <w:jc w:val="center"/>
              <w:rPr>
                <w:color w:val="auto"/>
                <w:kern w:val="0"/>
                <w:sz w:val="21"/>
                <w:szCs w:val="21"/>
              </w:rPr>
            </w:pPr>
            <w:r>
              <w:rPr>
                <w:color w:val="auto"/>
                <w:kern w:val="0"/>
                <w:sz w:val="21"/>
                <w:szCs w:val="21"/>
              </w:rPr>
              <w:t>0.00E+00|5</w:t>
            </w:r>
          </w:p>
        </w:tc>
        <w:tc>
          <w:tcPr>
            <w:tcW w:w="528" w:type="pct"/>
            <w:noWrap/>
            <w:vAlign w:val="center"/>
          </w:tcPr>
          <w:p w14:paraId="11031533">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3E510E48">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469DC84E">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2E1A449C">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40C6DA35">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27ADEC50">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r>
      <w:tr w14:paraId="11DB0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pct"/>
            <w:noWrap/>
            <w:vAlign w:val="center"/>
          </w:tcPr>
          <w:p w14:paraId="40965536">
            <w:pPr>
              <w:widowControl/>
              <w:adjustRightInd/>
              <w:snapToGrid/>
              <w:spacing w:line="240" w:lineRule="auto"/>
              <w:ind w:firstLine="0" w:firstLineChars="0"/>
              <w:jc w:val="center"/>
              <w:rPr>
                <w:color w:val="auto"/>
                <w:kern w:val="0"/>
                <w:sz w:val="21"/>
                <w:szCs w:val="21"/>
              </w:rPr>
            </w:pPr>
            <w:r>
              <w:rPr>
                <w:color w:val="auto"/>
                <w:kern w:val="0"/>
                <w:sz w:val="21"/>
                <w:szCs w:val="21"/>
              </w:rPr>
              <w:t>3</w:t>
            </w:r>
          </w:p>
        </w:tc>
        <w:tc>
          <w:tcPr>
            <w:tcW w:w="429" w:type="pct"/>
            <w:noWrap/>
            <w:vAlign w:val="center"/>
          </w:tcPr>
          <w:p w14:paraId="624FBFA6">
            <w:pPr>
              <w:widowControl/>
              <w:adjustRightInd/>
              <w:snapToGrid/>
              <w:spacing w:line="240" w:lineRule="auto"/>
              <w:ind w:firstLine="0" w:firstLineChars="0"/>
              <w:jc w:val="center"/>
              <w:rPr>
                <w:color w:val="auto"/>
                <w:kern w:val="0"/>
                <w:sz w:val="21"/>
                <w:szCs w:val="21"/>
              </w:rPr>
            </w:pPr>
            <w:r>
              <w:rPr>
                <w:color w:val="auto"/>
                <w:kern w:val="0"/>
                <w:sz w:val="21"/>
                <w:szCs w:val="21"/>
              </w:rPr>
              <w:t>三和村</w:t>
            </w:r>
          </w:p>
        </w:tc>
        <w:tc>
          <w:tcPr>
            <w:tcW w:w="1007" w:type="pct"/>
            <w:noWrap/>
            <w:vAlign w:val="center"/>
          </w:tcPr>
          <w:p w14:paraId="287824A3">
            <w:pPr>
              <w:widowControl/>
              <w:adjustRightInd/>
              <w:snapToGrid/>
              <w:spacing w:line="240" w:lineRule="auto"/>
              <w:ind w:firstLine="0" w:firstLineChars="0"/>
              <w:jc w:val="center"/>
              <w:rPr>
                <w:color w:val="auto"/>
                <w:kern w:val="0"/>
                <w:sz w:val="21"/>
                <w:szCs w:val="21"/>
              </w:rPr>
            </w:pPr>
            <w:r>
              <w:rPr>
                <w:color w:val="auto"/>
                <w:kern w:val="0"/>
                <w:sz w:val="21"/>
                <w:szCs w:val="21"/>
              </w:rPr>
              <w:t>0.00E+00|5</w:t>
            </w:r>
          </w:p>
        </w:tc>
        <w:tc>
          <w:tcPr>
            <w:tcW w:w="528" w:type="pct"/>
            <w:noWrap/>
            <w:vAlign w:val="center"/>
          </w:tcPr>
          <w:p w14:paraId="2422592F">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54C41CFD">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0299099A">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44121DCE">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060E3EE9">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6B90174E">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r>
      <w:tr w14:paraId="4F262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pct"/>
            <w:noWrap/>
            <w:vAlign w:val="center"/>
          </w:tcPr>
          <w:p w14:paraId="19C410FD">
            <w:pPr>
              <w:widowControl/>
              <w:adjustRightInd/>
              <w:snapToGrid/>
              <w:spacing w:line="240" w:lineRule="auto"/>
              <w:ind w:firstLine="0" w:firstLineChars="0"/>
              <w:jc w:val="center"/>
              <w:rPr>
                <w:color w:val="auto"/>
                <w:kern w:val="0"/>
                <w:sz w:val="21"/>
                <w:szCs w:val="21"/>
              </w:rPr>
            </w:pPr>
            <w:r>
              <w:rPr>
                <w:color w:val="auto"/>
                <w:kern w:val="0"/>
                <w:sz w:val="21"/>
                <w:szCs w:val="21"/>
              </w:rPr>
              <w:t>4</w:t>
            </w:r>
          </w:p>
        </w:tc>
        <w:tc>
          <w:tcPr>
            <w:tcW w:w="429" w:type="pct"/>
            <w:noWrap/>
            <w:vAlign w:val="center"/>
          </w:tcPr>
          <w:p w14:paraId="11CC7568">
            <w:pPr>
              <w:widowControl/>
              <w:adjustRightInd/>
              <w:snapToGrid/>
              <w:spacing w:line="240" w:lineRule="auto"/>
              <w:ind w:firstLine="0" w:firstLineChars="0"/>
              <w:jc w:val="center"/>
              <w:rPr>
                <w:color w:val="auto"/>
                <w:kern w:val="0"/>
                <w:sz w:val="21"/>
                <w:szCs w:val="21"/>
              </w:rPr>
            </w:pPr>
            <w:r>
              <w:rPr>
                <w:color w:val="auto"/>
                <w:kern w:val="0"/>
                <w:sz w:val="21"/>
                <w:szCs w:val="21"/>
              </w:rPr>
              <w:t>灯杆村</w:t>
            </w:r>
          </w:p>
        </w:tc>
        <w:tc>
          <w:tcPr>
            <w:tcW w:w="1007" w:type="pct"/>
            <w:noWrap/>
            <w:vAlign w:val="center"/>
          </w:tcPr>
          <w:p w14:paraId="6BC0D2CC">
            <w:pPr>
              <w:widowControl/>
              <w:adjustRightInd/>
              <w:snapToGrid/>
              <w:spacing w:line="240" w:lineRule="auto"/>
              <w:ind w:firstLine="0" w:firstLineChars="0"/>
              <w:jc w:val="center"/>
              <w:rPr>
                <w:color w:val="auto"/>
                <w:kern w:val="0"/>
                <w:sz w:val="21"/>
                <w:szCs w:val="21"/>
              </w:rPr>
            </w:pPr>
            <w:r>
              <w:rPr>
                <w:color w:val="auto"/>
                <w:kern w:val="0"/>
                <w:sz w:val="21"/>
                <w:szCs w:val="21"/>
              </w:rPr>
              <w:t>0.00E+00|5</w:t>
            </w:r>
          </w:p>
        </w:tc>
        <w:tc>
          <w:tcPr>
            <w:tcW w:w="528" w:type="pct"/>
            <w:noWrap/>
            <w:vAlign w:val="center"/>
          </w:tcPr>
          <w:p w14:paraId="5F63C8E7">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121F3C3C">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53567601">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36F9E4A6">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2BC57771">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c>
          <w:tcPr>
            <w:tcW w:w="528" w:type="pct"/>
            <w:noWrap/>
            <w:vAlign w:val="center"/>
          </w:tcPr>
          <w:p w14:paraId="5183FA4C">
            <w:pPr>
              <w:widowControl/>
              <w:adjustRightInd/>
              <w:snapToGrid/>
              <w:spacing w:line="240" w:lineRule="auto"/>
              <w:ind w:firstLine="0" w:firstLineChars="0"/>
              <w:jc w:val="center"/>
              <w:rPr>
                <w:color w:val="auto"/>
                <w:kern w:val="0"/>
                <w:sz w:val="21"/>
                <w:szCs w:val="21"/>
              </w:rPr>
            </w:pPr>
            <w:r>
              <w:rPr>
                <w:color w:val="auto"/>
                <w:kern w:val="0"/>
                <w:sz w:val="21"/>
                <w:szCs w:val="21"/>
              </w:rPr>
              <w:t>0.00E+00</w:t>
            </w:r>
          </w:p>
        </w:tc>
      </w:tr>
    </w:tbl>
    <w:p w14:paraId="0B1E53EF">
      <w:pPr>
        <w:ind w:firstLine="480"/>
        <w:rPr>
          <w:bCs/>
          <w:color w:val="auto"/>
        </w:rPr>
      </w:pPr>
      <w:r>
        <w:rPr>
          <w:bCs/>
          <w:color w:val="auto"/>
        </w:rPr>
        <w:t>由预测结果可知，发生</w:t>
      </w:r>
      <w:r>
        <w:rPr>
          <w:rFonts w:hint="eastAsia"/>
          <w:bCs/>
          <w:color w:val="auto"/>
        </w:rPr>
        <w:t>硫磺火灾</w:t>
      </w:r>
      <w:r>
        <w:rPr>
          <w:bCs/>
          <w:color w:val="auto"/>
        </w:rPr>
        <w:t>事故，在最不利气象条件下，</w:t>
      </w:r>
      <w:r>
        <w:rPr>
          <w:rFonts w:hint="eastAsia"/>
          <w:bCs/>
          <w:color w:val="auto"/>
        </w:rPr>
        <w:t>到达</w:t>
      </w:r>
      <w:r>
        <w:rPr>
          <w:bCs/>
          <w:color w:val="auto"/>
        </w:rPr>
        <w:t>毒性终点浓度-1</w:t>
      </w:r>
      <w:r>
        <w:rPr>
          <w:rFonts w:hint="eastAsia"/>
          <w:bCs/>
          <w:color w:val="auto"/>
        </w:rPr>
        <w:t>的最远影响距离为550m</w:t>
      </w:r>
      <w:r>
        <w:rPr>
          <w:bCs/>
          <w:color w:val="auto"/>
        </w:rPr>
        <w:t>，到达毒性终点浓度-2的最远影响距离为</w:t>
      </w:r>
      <w:r>
        <w:rPr>
          <w:rFonts w:hint="eastAsia"/>
          <w:bCs/>
          <w:color w:val="auto"/>
        </w:rPr>
        <w:t>4800</w:t>
      </w:r>
      <w:r>
        <w:rPr>
          <w:bCs/>
          <w:color w:val="auto"/>
        </w:rPr>
        <w:t>m。</w:t>
      </w:r>
    </w:p>
    <w:p w14:paraId="139ED349">
      <w:pPr>
        <w:pStyle w:val="4"/>
        <w:rPr>
          <w:color w:val="auto"/>
        </w:rPr>
      </w:pPr>
      <w:bookmarkStart w:id="236" w:name="_Toc29436"/>
      <w:r>
        <w:rPr>
          <w:rFonts w:hint="eastAsia"/>
          <w:color w:val="auto"/>
        </w:rPr>
        <w:t>6.7.5 地表水环境风险预测与评价</w:t>
      </w:r>
      <w:bookmarkEnd w:id="236"/>
    </w:p>
    <w:p w14:paraId="3706143C">
      <w:pPr>
        <w:ind w:firstLine="480"/>
        <w:rPr>
          <w:bCs/>
          <w:color w:val="auto"/>
        </w:rPr>
      </w:pPr>
      <w:r>
        <w:rPr>
          <w:bCs/>
          <w:color w:val="auto"/>
        </w:rPr>
        <w:t>此次地表水预测评价主要考虑</w:t>
      </w:r>
      <w:r>
        <w:rPr>
          <w:rFonts w:hint="eastAsia"/>
          <w:bCs/>
          <w:color w:val="auto"/>
        </w:rPr>
        <w:t>仓库</w:t>
      </w:r>
      <w:r>
        <w:rPr>
          <w:bCs/>
          <w:color w:val="auto"/>
        </w:rPr>
        <w:t>发生火灾爆炸事故，相关阀门操作失误，事故废水</w:t>
      </w:r>
      <w:r>
        <w:rPr>
          <w:rFonts w:hint="eastAsia"/>
          <w:bCs/>
          <w:color w:val="auto"/>
        </w:rPr>
        <w:t>通过雨水管网排入江风河</w:t>
      </w:r>
      <w:r>
        <w:rPr>
          <w:bCs/>
          <w:color w:val="auto"/>
        </w:rPr>
        <w:t>。根据项目特点，情景设定为</w:t>
      </w:r>
      <w:r>
        <w:rPr>
          <w:rFonts w:hint="eastAsia"/>
          <w:bCs/>
          <w:color w:val="auto"/>
        </w:rPr>
        <w:t>丙类仓库硫磺发生</w:t>
      </w:r>
      <w:r>
        <w:rPr>
          <w:bCs/>
          <w:color w:val="auto"/>
        </w:rPr>
        <w:t>火灾事故，事故废水进入地表水体。预测河段起始断面为雨水排放口至</w:t>
      </w:r>
      <w:r>
        <w:rPr>
          <w:rFonts w:hint="eastAsia"/>
          <w:bCs/>
          <w:color w:val="auto"/>
        </w:rPr>
        <w:t>入长江处</w:t>
      </w:r>
      <w:r>
        <w:rPr>
          <w:bCs/>
          <w:color w:val="auto"/>
        </w:rPr>
        <w:t>，预测因子为COD。</w:t>
      </w:r>
    </w:p>
    <w:p w14:paraId="2EECBEE5">
      <w:pPr>
        <w:ind w:firstLine="480"/>
        <w:rPr>
          <w:bCs/>
          <w:color w:val="auto"/>
        </w:rPr>
      </w:pPr>
      <w:r>
        <w:rPr>
          <w:rFonts w:hint="eastAsia"/>
          <w:bCs/>
          <w:color w:val="auto"/>
        </w:rPr>
        <w:t>（1）预测模型</w:t>
      </w:r>
    </w:p>
    <w:p w14:paraId="50D251FC">
      <w:pPr>
        <w:ind w:firstLine="480"/>
        <w:rPr>
          <w:bCs/>
          <w:color w:val="auto"/>
        </w:rPr>
      </w:pPr>
      <w:r>
        <w:rPr>
          <w:bCs/>
          <w:color w:val="auto"/>
        </w:rPr>
        <w:t>根据《环境影响评价技术导则 地表水环境》(HJ2.3-2018)，采用纵向一维数学模型中“对流扩散降解模型”进行水质预测，公式如下：</w:t>
      </w:r>
    </w:p>
    <w:p w14:paraId="2FA00897">
      <w:pPr>
        <w:spacing w:line="240" w:lineRule="auto"/>
        <w:ind w:firstLine="480"/>
        <w:rPr>
          <w:bCs/>
          <w:color w:val="auto"/>
        </w:rPr>
      </w:pPr>
      <w:r>
        <w:rPr>
          <w:bCs/>
          <w:color w:val="auto"/>
        </w:rPr>
        <w:drawing>
          <wp:inline distT="0" distB="0" distL="0" distR="0">
            <wp:extent cx="2371725" cy="1076325"/>
            <wp:effectExtent l="0" t="0" r="9525" b="9525"/>
            <wp:docPr id="196526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632" name="图片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371725" cy="1076325"/>
                    </a:xfrm>
                    <a:prstGeom prst="rect">
                      <a:avLst/>
                    </a:prstGeom>
                    <a:noFill/>
                    <a:ln>
                      <a:noFill/>
                    </a:ln>
                  </pic:spPr>
                </pic:pic>
              </a:graphicData>
            </a:graphic>
          </wp:inline>
        </w:drawing>
      </w:r>
    </w:p>
    <w:p w14:paraId="29764CBE">
      <w:pPr>
        <w:ind w:firstLine="480"/>
        <w:rPr>
          <w:bCs/>
          <w:color w:val="auto"/>
        </w:rPr>
      </w:pPr>
      <w:r>
        <w:rPr>
          <w:bCs/>
          <w:color w:val="auto"/>
        </w:rPr>
        <w:t>式中：</w:t>
      </w:r>
    </w:p>
    <w:p w14:paraId="3A6ADE3B">
      <w:pPr>
        <w:ind w:firstLine="480"/>
        <w:rPr>
          <w:bCs/>
          <w:color w:val="auto"/>
        </w:rPr>
      </w:pPr>
      <w:r>
        <w:rPr>
          <w:bCs/>
          <w:color w:val="auto"/>
        </w:rPr>
        <w:t>C</w:t>
      </w:r>
      <w:r>
        <w:rPr>
          <w:bCs/>
          <w:color w:val="auto"/>
          <w:vertAlign w:val="subscript"/>
        </w:rPr>
        <w:t>o</w:t>
      </w:r>
      <w:r>
        <w:rPr>
          <w:bCs/>
          <w:color w:val="auto"/>
        </w:rPr>
        <w:t>——河流排放口初始断面混合浓度，mg/L；</w:t>
      </w:r>
    </w:p>
    <w:p w14:paraId="30DC42AB">
      <w:pPr>
        <w:ind w:firstLine="480"/>
        <w:rPr>
          <w:bCs/>
          <w:color w:val="auto"/>
        </w:rPr>
      </w:pPr>
      <w:r>
        <w:rPr>
          <w:bCs/>
          <w:color w:val="auto"/>
        </w:rPr>
        <w:t>u——河流断面平均流速，m/s；</w:t>
      </w:r>
    </w:p>
    <w:p w14:paraId="0CF66DAB">
      <w:pPr>
        <w:ind w:firstLine="480"/>
        <w:rPr>
          <w:bCs/>
          <w:color w:val="auto"/>
        </w:rPr>
      </w:pPr>
      <w:r>
        <w:rPr>
          <w:bCs/>
          <w:color w:val="auto"/>
        </w:rPr>
        <w:t>K——降解系数，1/</w:t>
      </w:r>
      <w:r>
        <w:rPr>
          <w:rFonts w:hint="eastAsia"/>
          <w:bCs/>
          <w:color w:val="auto"/>
        </w:rPr>
        <w:t>s</w:t>
      </w:r>
      <w:r>
        <w:rPr>
          <w:bCs/>
          <w:color w:val="auto"/>
        </w:rPr>
        <w:t>；</w:t>
      </w:r>
    </w:p>
    <w:p w14:paraId="64DA00E7">
      <w:pPr>
        <w:ind w:firstLine="480"/>
        <w:rPr>
          <w:bCs/>
          <w:color w:val="auto"/>
        </w:rPr>
      </w:pPr>
      <w:r>
        <w:rPr>
          <w:bCs/>
          <w:color w:val="auto"/>
        </w:rPr>
        <w:t>x——沿程距离，m。</w:t>
      </w:r>
    </w:p>
    <w:p w14:paraId="1A617836">
      <w:pPr>
        <w:ind w:firstLine="480"/>
        <w:rPr>
          <w:bCs/>
          <w:color w:val="auto"/>
        </w:rPr>
      </w:pPr>
      <w:r>
        <w:rPr>
          <w:bCs/>
          <w:color w:val="auto"/>
        </w:rPr>
        <w:t>Q</w:t>
      </w:r>
      <w:r>
        <w:rPr>
          <w:bCs/>
          <w:color w:val="auto"/>
          <w:vertAlign w:val="subscript"/>
        </w:rPr>
        <w:t>p</w:t>
      </w:r>
      <w:r>
        <w:rPr>
          <w:bCs/>
          <w:color w:val="auto"/>
        </w:rPr>
        <w:t>——污水排放量，m³/s；</w:t>
      </w:r>
    </w:p>
    <w:p w14:paraId="284D5E60">
      <w:pPr>
        <w:ind w:firstLine="480"/>
        <w:rPr>
          <w:bCs/>
          <w:color w:val="auto"/>
        </w:rPr>
      </w:pPr>
      <w:r>
        <w:rPr>
          <w:bCs/>
          <w:color w:val="auto"/>
        </w:rPr>
        <w:t>C</w:t>
      </w:r>
      <w:r>
        <w:rPr>
          <w:bCs/>
          <w:color w:val="auto"/>
          <w:vertAlign w:val="subscript"/>
        </w:rPr>
        <w:t>p</w:t>
      </w:r>
      <w:r>
        <w:rPr>
          <w:bCs/>
          <w:color w:val="auto"/>
        </w:rPr>
        <w:t>——污染物排放浓度，mg/L；</w:t>
      </w:r>
    </w:p>
    <w:p w14:paraId="3B2A498A">
      <w:pPr>
        <w:ind w:firstLine="480"/>
        <w:rPr>
          <w:bCs/>
          <w:color w:val="auto"/>
        </w:rPr>
      </w:pPr>
      <w:r>
        <w:rPr>
          <w:bCs/>
          <w:color w:val="auto"/>
        </w:rPr>
        <w:t>Q</w:t>
      </w:r>
      <w:r>
        <w:rPr>
          <w:bCs/>
          <w:color w:val="auto"/>
          <w:vertAlign w:val="subscript"/>
        </w:rPr>
        <w:t>h</w:t>
      </w:r>
      <w:r>
        <w:rPr>
          <w:bCs/>
          <w:color w:val="auto"/>
        </w:rPr>
        <w:t>——河流流量，m³/s；</w:t>
      </w:r>
    </w:p>
    <w:p w14:paraId="6054039B">
      <w:pPr>
        <w:ind w:firstLine="480"/>
        <w:rPr>
          <w:bCs/>
          <w:color w:val="auto"/>
        </w:rPr>
      </w:pPr>
      <w:r>
        <w:rPr>
          <w:bCs/>
          <w:color w:val="auto"/>
        </w:rPr>
        <w:t>C</w:t>
      </w:r>
      <w:r>
        <w:rPr>
          <w:bCs/>
          <w:color w:val="auto"/>
          <w:vertAlign w:val="subscript"/>
        </w:rPr>
        <w:t>h</w:t>
      </w:r>
      <w:r>
        <w:rPr>
          <w:bCs/>
          <w:color w:val="auto"/>
        </w:rPr>
        <w:t>——上游来水污染物浓度，mg/L。</w:t>
      </w:r>
    </w:p>
    <w:p w14:paraId="3BBBBA71">
      <w:pPr>
        <w:ind w:firstLine="480"/>
        <w:rPr>
          <w:bCs/>
          <w:color w:val="auto"/>
        </w:rPr>
      </w:pPr>
      <w:r>
        <w:rPr>
          <w:bCs/>
          <w:color w:val="auto"/>
        </w:rPr>
        <w:t>预测各参数取值见下表。</w:t>
      </w:r>
    </w:p>
    <w:p w14:paraId="4F2434BE">
      <w:pPr>
        <w:ind w:firstLine="482"/>
        <w:jc w:val="center"/>
        <w:rPr>
          <w:b/>
          <w:color w:val="auto"/>
        </w:rPr>
      </w:pPr>
      <w:r>
        <w:rPr>
          <w:rFonts w:hint="eastAsia"/>
          <w:b/>
          <w:color w:val="auto"/>
        </w:rPr>
        <w:t>表6.7.5-1 各参数取值</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544"/>
        <w:gridCol w:w="3225"/>
      </w:tblGrid>
      <w:tr w14:paraId="673A0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565" w:type="pct"/>
            <w:vAlign w:val="center"/>
          </w:tcPr>
          <w:p w14:paraId="57F84776">
            <w:pPr>
              <w:spacing w:line="240" w:lineRule="auto"/>
              <w:ind w:firstLine="0" w:firstLineChars="0"/>
              <w:jc w:val="center"/>
              <w:rPr>
                <w:color w:val="auto"/>
                <w:kern w:val="0"/>
                <w:sz w:val="21"/>
                <w:szCs w:val="21"/>
              </w:rPr>
            </w:pPr>
            <w:r>
              <w:rPr>
                <w:color w:val="auto"/>
                <w:kern w:val="0"/>
                <w:sz w:val="21"/>
                <w:szCs w:val="21"/>
              </w:rPr>
              <w:t>参数</w:t>
            </w:r>
          </w:p>
        </w:tc>
        <w:tc>
          <w:tcPr>
            <w:tcW w:w="1798" w:type="pct"/>
            <w:vAlign w:val="center"/>
          </w:tcPr>
          <w:p w14:paraId="6ADA695C">
            <w:pPr>
              <w:spacing w:line="240" w:lineRule="auto"/>
              <w:ind w:firstLine="0" w:firstLineChars="0"/>
              <w:jc w:val="center"/>
              <w:rPr>
                <w:color w:val="auto"/>
                <w:kern w:val="0"/>
                <w:sz w:val="21"/>
                <w:szCs w:val="21"/>
              </w:rPr>
            </w:pPr>
            <w:r>
              <w:rPr>
                <w:rFonts w:hint="eastAsia"/>
                <w:color w:val="auto"/>
                <w:kern w:val="0"/>
                <w:sz w:val="21"/>
                <w:szCs w:val="21"/>
              </w:rPr>
              <w:t>取值</w:t>
            </w:r>
          </w:p>
        </w:tc>
        <w:tc>
          <w:tcPr>
            <w:tcW w:w="1636" w:type="pct"/>
            <w:vAlign w:val="center"/>
          </w:tcPr>
          <w:p w14:paraId="65957176">
            <w:pPr>
              <w:spacing w:line="240" w:lineRule="auto"/>
              <w:ind w:firstLine="0" w:firstLineChars="0"/>
              <w:jc w:val="center"/>
              <w:rPr>
                <w:color w:val="auto"/>
                <w:kern w:val="0"/>
                <w:sz w:val="21"/>
                <w:szCs w:val="21"/>
              </w:rPr>
            </w:pPr>
            <w:r>
              <w:rPr>
                <w:color w:val="auto"/>
                <w:kern w:val="0"/>
                <w:sz w:val="21"/>
                <w:szCs w:val="21"/>
              </w:rPr>
              <w:t>单位</w:t>
            </w:r>
          </w:p>
        </w:tc>
      </w:tr>
      <w:tr w14:paraId="5D70C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5" w:type="pct"/>
            <w:vAlign w:val="center"/>
          </w:tcPr>
          <w:p w14:paraId="37B837BC">
            <w:pPr>
              <w:spacing w:line="240" w:lineRule="auto"/>
              <w:ind w:firstLine="0" w:firstLineChars="0"/>
              <w:jc w:val="center"/>
              <w:rPr>
                <w:color w:val="auto"/>
                <w:kern w:val="0"/>
                <w:sz w:val="21"/>
                <w:szCs w:val="21"/>
              </w:rPr>
            </w:pPr>
            <w:r>
              <w:rPr>
                <w:color w:val="auto"/>
                <w:kern w:val="0"/>
                <w:sz w:val="21"/>
                <w:szCs w:val="21"/>
              </w:rPr>
              <w:t>K</w:t>
            </w:r>
          </w:p>
        </w:tc>
        <w:tc>
          <w:tcPr>
            <w:tcW w:w="1798" w:type="pct"/>
            <w:vAlign w:val="center"/>
          </w:tcPr>
          <w:p w14:paraId="313F08EE">
            <w:pPr>
              <w:spacing w:line="240" w:lineRule="auto"/>
              <w:ind w:firstLine="0" w:firstLineChars="0"/>
              <w:jc w:val="center"/>
              <w:rPr>
                <w:color w:val="auto"/>
                <w:kern w:val="0"/>
                <w:sz w:val="21"/>
                <w:szCs w:val="21"/>
              </w:rPr>
            </w:pPr>
            <w:r>
              <w:rPr>
                <w:rFonts w:hint="eastAsia"/>
                <w:color w:val="auto"/>
                <w:kern w:val="0"/>
                <w:sz w:val="21"/>
                <w:szCs w:val="21"/>
              </w:rPr>
              <w:t>0.18</w:t>
            </w:r>
          </w:p>
        </w:tc>
        <w:tc>
          <w:tcPr>
            <w:tcW w:w="1636" w:type="pct"/>
            <w:vAlign w:val="center"/>
          </w:tcPr>
          <w:p w14:paraId="58DB4CFB">
            <w:pPr>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d</w:t>
            </w:r>
          </w:p>
        </w:tc>
      </w:tr>
      <w:tr w14:paraId="44996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5" w:type="pct"/>
            <w:vAlign w:val="center"/>
          </w:tcPr>
          <w:p w14:paraId="4BDAE4C0">
            <w:pPr>
              <w:spacing w:line="240" w:lineRule="auto"/>
              <w:ind w:firstLine="0" w:firstLineChars="0"/>
              <w:jc w:val="center"/>
              <w:rPr>
                <w:color w:val="auto"/>
                <w:kern w:val="0"/>
                <w:sz w:val="21"/>
                <w:szCs w:val="21"/>
              </w:rPr>
            </w:pPr>
            <w:r>
              <w:rPr>
                <w:color w:val="auto"/>
                <w:kern w:val="0"/>
                <w:sz w:val="21"/>
                <w:szCs w:val="21"/>
              </w:rPr>
              <w:t>u</w:t>
            </w:r>
          </w:p>
        </w:tc>
        <w:tc>
          <w:tcPr>
            <w:tcW w:w="1798" w:type="pct"/>
            <w:vAlign w:val="center"/>
          </w:tcPr>
          <w:p w14:paraId="27868499">
            <w:pPr>
              <w:spacing w:line="240" w:lineRule="auto"/>
              <w:ind w:firstLine="0" w:firstLineChars="0"/>
              <w:jc w:val="center"/>
              <w:rPr>
                <w:color w:val="auto"/>
                <w:kern w:val="0"/>
                <w:sz w:val="21"/>
                <w:szCs w:val="21"/>
              </w:rPr>
            </w:pPr>
            <w:r>
              <w:rPr>
                <w:rFonts w:hint="eastAsia"/>
                <w:color w:val="auto"/>
                <w:kern w:val="0"/>
                <w:sz w:val="21"/>
                <w:szCs w:val="21"/>
              </w:rPr>
              <w:t>0.05</w:t>
            </w:r>
          </w:p>
        </w:tc>
        <w:tc>
          <w:tcPr>
            <w:tcW w:w="1636" w:type="pct"/>
            <w:vAlign w:val="center"/>
          </w:tcPr>
          <w:p w14:paraId="1AD4AE9E">
            <w:pPr>
              <w:spacing w:line="240" w:lineRule="auto"/>
              <w:ind w:firstLine="0" w:firstLineChars="0"/>
              <w:jc w:val="center"/>
              <w:rPr>
                <w:color w:val="auto"/>
                <w:kern w:val="0"/>
                <w:sz w:val="21"/>
                <w:szCs w:val="21"/>
              </w:rPr>
            </w:pPr>
            <w:r>
              <w:rPr>
                <w:color w:val="auto"/>
                <w:kern w:val="0"/>
                <w:sz w:val="21"/>
                <w:szCs w:val="21"/>
              </w:rPr>
              <w:t>m/s</w:t>
            </w:r>
          </w:p>
        </w:tc>
      </w:tr>
      <w:tr w14:paraId="187D7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5" w:type="pct"/>
            <w:vAlign w:val="center"/>
          </w:tcPr>
          <w:p w14:paraId="4C072FB6">
            <w:pPr>
              <w:spacing w:line="240" w:lineRule="auto"/>
              <w:ind w:firstLine="0" w:firstLineChars="0"/>
              <w:jc w:val="center"/>
              <w:rPr>
                <w:color w:val="auto"/>
                <w:kern w:val="0"/>
                <w:sz w:val="21"/>
                <w:szCs w:val="21"/>
              </w:rPr>
            </w:pPr>
            <w:r>
              <w:rPr>
                <w:color w:val="auto"/>
                <w:kern w:val="0"/>
                <w:sz w:val="21"/>
                <w:szCs w:val="21"/>
              </w:rPr>
              <w:t>Q</w:t>
            </w:r>
            <w:r>
              <w:rPr>
                <w:color w:val="auto"/>
                <w:kern w:val="0"/>
                <w:sz w:val="21"/>
                <w:szCs w:val="21"/>
                <w:vertAlign w:val="subscript"/>
              </w:rPr>
              <w:t>p</w:t>
            </w:r>
          </w:p>
        </w:tc>
        <w:tc>
          <w:tcPr>
            <w:tcW w:w="1798" w:type="pct"/>
            <w:vAlign w:val="center"/>
          </w:tcPr>
          <w:p w14:paraId="4ABE24CB">
            <w:pPr>
              <w:spacing w:line="240" w:lineRule="auto"/>
              <w:ind w:firstLine="0" w:firstLineChars="0"/>
              <w:jc w:val="center"/>
              <w:rPr>
                <w:color w:val="auto"/>
                <w:kern w:val="0"/>
                <w:sz w:val="21"/>
                <w:szCs w:val="21"/>
              </w:rPr>
            </w:pPr>
            <w:r>
              <w:rPr>
                <w:rFonts w:hint="eastAsia"/>
                <w:color w:val="auto"/>
                <w:kern w:val="0"/>
                <w:sz w:val="21"/>
                <w:szCs w:val="21"/>
              </w:rPr>
              <w:t>0.068</w:t>
            </w:r>
          </w:p>
        </w:tc>
        <w:tc>
          <w:tcPr>
            <w:tcW w:w="1636" w:type="pct"/>
            <w:vAlign w:val="center"/>
          </w:tcPr>
          <w:p w14:paraId="549842E7">
            <w:pPr>
              <w:spacing w:line="240" w:lineRule="auto"/>
              <w:ind w:firstLine="0" w:firstLineChars="0"/>
              <w:jc w:val="center"/>
              <w:rPr>
                <w:color w:val="auto"/>
                <w:kern w:val="0"/>
                <w:sz w:val="21"/>
                <w:szCs w:val="21"/>
              </w:rPr>
            </w:pPr>
            <w:r>
              <w:rPr>
                <w:color w:val="auto"/>
                <w:kern w:val="0"/>
                <w:sz w:val="21"/>
                <w:szCs w:val="21"/>
              </w:rPr>
              <w:t>m³/s</w:t>
            </w:r>
          </w:p>
        </w:tc>
      </w:tr>
      <w:tr w14:paraId="13608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5" w:type="pct"/>
            <w:vAlign w:val="center"/>
          </w:tcPr>
          <w:p w14:paraId="20E3A8A8">
            <w:pPr>
              <w:spacing w:line="240" w:lineRule="auto"/>
              <w:ind w:firstLine="0" w:firstLineChars="0"/>
              <w:jc w:val="center"/>
              <w:rPr>
                <w:color w:val="auto"/>
                <w:kern w:val="0"/>
                <w:sz w:val="21"/>
                <w:szCs w:val="21"/>
              </w:rPr>
            </w:pPr>
            <w:r>
              <w:rPr>
                <w:color w:val="auto"/>
                <w:kern w:val="0"/>
                <w:sz w:val="21"/>
                <w:szCs w:val="21"/>
              </w:rPr>
              <w:t>C</w:t>
            </w:r>
            <w:r>
              <w:rPr>
                <w:color w:val="auto"/>
                <w:kern w:val="0"/>
                <w:sz w:val="21"/>
                <w:szCs w:val="21"/>
                <w:vertAlign w:val="subscript"/>
              </w:rPr>
              <w:t>p</w:t>
            </w:r>
          </w:p>
        </w:tc>
        <w:tc>
          <w:tcPr>
            <w:tcW w:w="1798" w:type="pct"/>
            <w:vAlign w:val="center"/>
          </w:tcPr>
          <w:p w14:paraId="58C9F4B8">
            <w:pPr>
              <w:spacing w:line="240" w:lineRule="auto"/>
              <w:ind w:firstLine="0" w:firstLineChars="0"/>
              <w:jc w:val="center"/>
              <w:rPr>
                <w:color w:val="auto"/>
                <w:kern w:val="0"/>
                <w:sz w:val="21"/>
                <w:szCs w:val="21"/>
              </w:rPr>
            </w:pPr>
            <w:r>
              <w:rPr>
                <w:rFonts w:hint="eastAsia"/>
                <w:color w:val="auto"/>
                <w:kern w:val="0"/>
                <w:sz w:val="21"/>
                <w:szCs w:val="21"/>
              </w:rPr>
              <w:t>500</w:t>
            </w:r>
          </w:p>
        </w:tc>
        <w:tc>
          <w:tcPr>
            <w:tcW w:w="1636" w:type="pct"/>
            <w:vAlign w:val="center"/>
          </w:tcPr>
          <w:p w14:paraId="56D7811F">
            <w:pPr>
              <w:spacing w:line="240" w:lineRule="auto"/>
              <w:ind w:firstLine="0" w:firstLineChars="0"/>
              <w:jc w:val="center"/>
              <w:rPr>
                <w:color w:val="auto"/>
                <w:kern w:val="0"/>
                <w:sz w:val="21"/>
                <w:szCs w:val="21"/>
              </w:rPr>
            </w:pPr>
            <w:r>
              <w:rPr>
                <w:color w:val="auto"/>
                <w:kern w:val="0"/>
                <w:sz w:val="21"/>
                <w:szCs w:val="21"/>
              </w:rPr>
              <w:t>mg/L</w:t>
            </w:r>
          </w:p>
        </w:tc>
      </w:tr>
      <w:tr w14:paraId="6008B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5" w:type="pct"/>
            <w:vAlign w:val="center"/>
          </w:tcPr>
          <w:p w14:paraId="7A80471A">
            <w:pPr>
              <w:spacing w:line="240" w:lineRule="auto"/>
              <w:ind w:firstLine="0" w:firstLineChars="0"/>
              <w:jc w:val="center"/>
              <w:rPr>
                <w:color w:val="auto"/>
                <w:kern w:val="0"/>
                <w:sz w:val="21"/>
                <w:szCs w:val="21"/>
              </w:rPr>
            </w:pPr>
            <w:r>
              <w:rPr>
                <w:color w:val="auto"/>
                <w:kern w:val="0"/>
                <w:sz w:val="21"/>
                <w:szCs w:val="21"/>
              </w:rPr>
              <w:t>Q</w:t>
            </w:r>
            <w:r>
              <w:rPr>
                <w:color w:val="auto"/>
                <w:kern w:val="0"/>
                <w:sz w:val="21"/>
                <w:szCs w:val="21"/>
                <w:vertAlign w:val="subscript"/>
              </w:rPr>
              <w:t>h</w:t>
            </w:r>
          </w:p>
        </w:tc>
        <w:tc>
          <w:tcPr>
            <w:tcW w:w="1798" w:type="pct"/>
            <w:vAlign w:val="center"/>
          </w:tcPr>
          <w:p w14:paraId="2634B61F">
            <w:pPr>
              <w:spacing w:line="240" w:lineRule="auto"/>
              <w:ind w:firstLine="0" w:firstLineChars="0"/>
              <w:jc w:val="center"/>
              <w:rPr>
                <w:color w:val="auto"/>
                <w:kern w:val="0"/>
                <w:sz w:val="21"/>
                <w:szCs w:val="21"/>
              </w:rPr>
            </w:pPr>
            <w:r>
              <w:rPr>
                <w:rFonts w:hint="eastAsia"/>
                <w:color w:val="auto"/>
                <w:kern w:val="0"/>
                <w:sz w:val="21"/>
                <w:szCs w:val="21"/>
              </w:rPr>
              <w:t>1</w:t>
            </w:r>
          </w:p>
        </w:tc>
        <w:tc>
          <w:tcPr>
            <w:tcW w:w="1636" w:type="pct"/>
            <w:vAlign w:val="center"/>
          </w:tcPr>
          <w:p w14:paraId="378BFF3B">
            <w:pPr>
              <w:spacing w:line="240" w:lineRule="auto"/>
              <w:ind w:firstLine="0" w:firstLineChars="0"/>
              <w:jc w:val="center"/>
              <w:rPr>
                <w:color w:val="auto"/>
                <w:kern w:val="0"/>
                <w:sz w:val="21"/>
                <w:szCs w:val="21"/>
              </w:rPr>
            </w:pPr>
            <w:r>
              <w:rPr>
                <w:color w:val="auto"/>
                <w:kern w:val="0"/>
                <w:sz w:val="21"/>
                <w:szCs w:val="21"/>
              </w:rPr>
              <w:t>m³/s</w:t>
            </w:r>
          </w:p>
        </w:tc>
      </w:tr>
      <w:tr w14:paraId="4621B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5" w:type="pct"/>
            <w:vAlign w:val="center"/>
          </w:tcPr>
          <w:p w14:paraId="49DA7ADB">
            <w:pPr>
              <w:spacing w:line="240" w:lineRule="auto"/>
              <w:ind w:firstLine="0" w:firstLineChars="0"/>
              <w:jc w:val="center"/>
              <w:rPr>
                <w:color w:val="auto"/>
                <w:kern w:val="0"/>
                <w:sz w:val="21"/>
                <w:szCs w:val="21"/>
              </w:rPr>
            </w:pPr>
            <w:r>
              <w:rPr>
                <w:color w:val="auto"/>
                <w:kern w:val="0"/>
                <w:sz w:val="21"/>
                <w:szCs w:val="21"/>
              </w:rPr>
              <w:t>C</w:t>
            </w:r>
            <w:r>
              <w:rPr>
                <w:color w:val="auto"/>
                <w:kern w:val="0"/>
                <w:sz w:val="21"/>
                <w:szCs w:val="21"/>
                <w:vertAlign w:val="subscript"/>
              </w:rPr>
              <w:t>h</w:t>
            </w:r>
          </w:p>
        </w:tc>
        <w:tc>
          <w:tcPr>
            <w:tcW w:w="1798" w:type="pct"/>
            <w:vAlign w:val="center"/>
          </w:tcPr>
          <w:p w14:paraId="5DA7F3BB">
            <w:pPr>
              <w:spacing w:line="240" w:lineRule="auto"/>
              <w:ind w:firstLine="0" w:firstLineChars="0"/>
              <w:jc w:val="center"/>
              <w:rPr>
                <w:color w:val="auto"/>
                <w:kern w:val="0"/>
                <w:sz w:val="21"/>
                <w:szCs w:val="21"/>
              </w:rPr>
            </w:pPr>
            <w:r>
              <w:rPr>
                <w:rFonts w:hint="eastAsia"/>
                <w:color w:val="auto"/>
                <w:kern w:val="0"/>
                <w:sz w:val="21"/>
                <w:szCs w:val="21"/>
              </w:rPr>
              <w:t>18</w:t>
            </w:r>
          </w:p>
        </w:tc>
        <w:tc>
          <w:tcPr>
            <w:tcW w:w="1636" w:type="pct"/>
            <w:vAlign w:val="center"/>
          </w:tcPr>
          <w:p w14:paraId="606D7410">
            <w:pPr>
              <w:spacing w:line="240" w:lineRule="auto"/>
              <w:ind w:firstLine="0" w:firstLineChars="0"/>
              <w:jc w:val="center"/>
              <w:rPr>
                <w:color w:val="auto"/>
                <w:kern w:val="0"/>
                <w:sz w:val="21"/>
                <w:szCs w:val="21"/>
              </w:rPr>
            </w:pPr>
            <w:r>
              <w:rPr>
                <w:color w:val="auto"/>
                <w:kern w:val="0"/>
                <w:sz w:val="21"/>
                <w:szCs w:val="21"/>
              </w:rPr>
              <w:t>mg/L</w:t>
            </w:r>
          </w:p>
        </w:tc>
      </w:tr>
    </w:tbl>
    <w:p w14:paraId="5834D566">
      <w:pPr>
        <w:ind w:firstLine="480"/>
        <w:rPr>
          <w:bCs/>
          <w:color w:val="auto"/>
        </w:rPr>
      </w:pPr>
      <w:r>
        <w:rPr>
          <w:rFonts w:hint="eastAsia"/>
          <w:bCs/>
          <w:color w:val="auto"/>
        </w:rPr>
        <w:t>（2）评价标准</w:t>
      </w:r>
    </w:p>
    <w:p w14:paraId="70CCBD98">
      <w:pPr>
        <w:ind w:firstLine="480"/>
        <w:rPr>
          <w:bCs/>
          <w:color w:val="auto"/>
        </w:rPr>
      </w:pPr>
      <w:r>
        <w:rPr>
          <w:bCs/>
          <w:color w:val="auto"/>
        </w:rPr>
        <w:t>江风河执行《地表水环境质量标准》(GB3838-2002)III类标准，化学需氧量浓度标准为20mg/L。</w:t>
      </w:r>
    </w:p>
    <w:p w14:paraId="478EF28A">
      <w:pPr>
        <w:ind w:firstLine="480"/>
        <w:rPr>
          <w:bCs/>
          <w:color w:val="auto"/>
        </w:rPr>
      </w:pPr>
      <w:r>
        <w:rPr>
          <w:rFonts w:hint="eastAsia"/>
          <w:bCs/>
          <w:color w:val="auto"/>
        </w:rPr>
        <w:t>（3）预测结果分析</w:t>
      </w:r>
    </w:p>
    <w:p w14:paraId="56625E7F">
      <w:pPr>
        <w:ind w:firstLine="480"/>
        <w:rPr>
          <w:bCs/>
          <w:color w:val="auto"/>
        </w:rPr>
      </w:pPr>
      <w:r>
        <w:rPr>
          <w:bCs/>
          <w:color w:val="auto"/>
        </w:rPr>
        <w:t>根据上文建立的河流均匀混合模型、设计水文条件以及选取的各项计算参数，发生雨水阀门切换系统发生故障导致事故废水经雨水管网排入</w:t>
      </w:r>
      <w:r>
        <w:rPr>
          <w:rFonts w:hint="eastAsia"/>
          <w:bCs/>
          <w:color w:val="auto"/>
        </w:rPr>
        <w:t>江风</w:t>
      </w:r>
      <w:r>
        <w:rPr>
          <w:bCs/>
          <w:color w:val="auto"/>
        </w:rPr>
        <w:t>河的事故时，污染物浓度</w:t>
      </w:r>
      <w:r>
        <w:rPr>
          <w:rFonts w:hint="eastAsia"/>
          <w:bCs/>
          <w:color w:val="auto"/>
        </w:rPr>
        <w:t>情况</w:t>
      </w:r>
      <w:r>
        <w:rPr>
          <w:bCs/>
          <w:color w:val="auto"/>
        </w:rPr>
        <w:t>。</w:t>
      </w:r>
    </w:p>
    <w:p w14:paraId="7384C6F5">
      <w:pPr>
        <w:ind w:firstLine="482"/>
        <w:jc w:val="center"/>
        <w:rPr>
          <w:b/>
          <w:color w:val="auto"/>
        </w:rPr>
      </w:pPr>
      <w:r>
        <w:rPr>
          <w:rFonts w:hint="eastAsia"/>
          <w:b/>
          <w:color w:val="auto"/>
        </w:rPr>
        <w:t>表6.7.5-2 事故废水排入河流污染物预测结果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2550"/>
        <w:gridCol w:w="2126"/>
        <w:gridCol w:w="1985"/>
        <w:gridCol w:w="1808"/>
      </w:tblGrid>
      <w:tr w14:paraId="223ED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3" w:type="pct"/>
            <w:vAlign w:val="center"/>
          </w:tcPr>
          <w:p w14:paraId="16AA9C94">
            <w:pPr>
              <w:spacing w:line="240" w:lineRule="auto"/>
              <w:ind w:firstLine="0" w:firstLineChars="0"/>
              <w:jc w:val="center"/>
              <w:rPr>
                <w:b/>
                <w:color w:val="auto"/>
                <w:kern w:val="0"/>
                <w:sz w:val="21"/>
                <w:szCs w:val="21"/>
              </w:rPr>
            </w:pPr>
            <w:r>
              <w:rPr>
                <w:b/>
                <w:color w:val="auto"/>
                <w:kern w:val="0"/>
                <w:sz w:val="21"/>
                <w:szCs w:val="21"/>
              </w:rPr>
              <w:t>污染因子</w:t>
            </w:r>
          </w:p>
        </w:tc>
        <w:tc>
          <w:tcPr>
            <w:tcW w:w="1294" w:type="pct"/>
            <w:vAlign w:val="center"/>
          </w:tcPr>
          <w:p w14:paraId="2A45915D">
            <w:pPr>
              <w:spacing w:line="240" w:lineRule="auto"/>
              <w:ind w:firstLine="0" w:firstLineChars="0"/>
              <w:jc w:val="center"/>
              <w:rPr>
                <w:b/>
                <w:color w:val="auto"/>
                <w:kern w:val="0"/>
                <w:sz w:val="21"/>
                <w:szCs w:val="21"/>
              </w:rPr>
            </w:pPr>
            <w:r>
              <w:rPr>
                <w:b/>
                <w:color w:val="auto"/>
                <w:kern w:val="0"/>
                <w:sz w:val="21"/>
                <w:szCs w:val="21"/>
              </w:rPr>
              <w:t>距排放点位置</w:t>
            </w:r>
          </w:p>
        </w:tc>
        <w:tc>
          <w:tcPr>
            <w:tcW w:w="1079" w:type="pct"/>
            <w:vAlign w:val="center"/>
          </w:tcPr>
          <w:p w14:paraId="3A06B862">
            <w:pPr>
              <w:spacing w:line="240" w:lineRule="auto"/>
              <w:ind w:firstLine="0" w:firstLineChars="0"/>
              <w:jc w:val="center"/>
              <w:rPr>
                <w:b/>
                <w:color w:val="auto"/>
                <w:kern w:val="0"/>
                <w:sz w:val="21"/>
                <w:szCs w:val="21"/>
              </w:rPr>
            </w:pPr>
            <w:r>
              <w:rPr>
                <w:b/>
                <w:color w:val="auto"/>
                <w:kern w:val="0"/>
                <w:sz w:val="21"/>
                <w:szCs w:val="21"/>
              </w:rPr>
              <w:t>预测浓度（mg/L）</w:t>
            </w:r>
          </w:p>
        </w:tc>
        <w:tc>
          <w:tcPr>
            <w:tcW w:w="1007" w:type="pct"/>
            <w:vAlign w:val="center"/>
          </w:tcPr>
          <w:p w14:paraId="2819F88B">
            <w:pPr>
              <w:spacing w:line="240" w:lineRule="auto"/>
              <w:ind w:firstLine="0" w:firstLineChars="0"/>
              <w:jc w:val="center"/>
              <w:rPr>
                <w:b/>
                <w:color w:val="auto"/>
                <w:kern w:val="0"/>
                <w:sz w:val="21"/>
                <w:szCs w:val="21"/>
              </w:rPr>
            </w:pPr>
            <w:r>
              <w:rPr>
                <w:b/>
                <w:color w:val="auto"/>
                <w:kern w:val="0"/>
                <w:sz w:val="21"/>
                <w:szCs w:val="21"/>
              </w:rPr>
              <w:t>标准限值（mg/L）</w:t>
            </w:r>
          </w:p>
        </w:tc>
        <w:tc>
          <w:tcPr>
            <w:tcW w:w="917" w:type="pct"/>
            <w:vAlign w:val="center"/>
          </w:tcPr>
          <w:p w14:paraId="0760A8F8">
            <w:pPr>
              <w:spacing w:line="240" w:lineRule="auto"/>
              <w:ind w:firstLine="0" w:firstLineChars="0"/>
              <w:jc w:val="center"/>
              <w:rPr>
                <w:b/>
                <w:color w:val="auto"/>
                <w:kern w:val="0"/>
                <w:sz w:val="21"/>
                <w:szCs w:val="21"/>
              </w:rPr>
            </w:pPr>
            <w:r>
              <w:rPr>
                <w:b/>
                <w:color w:val="auto"/>
                <w:kern w:val="0"/>
                <w:sz w:val="21"/>
                <w:szCs w:val="21"/>
              </w:rPr>
              <w:t>达标情况</w:t>
            </w:r>
          </w:p>
        </w:tc>
      </w:tr>
      <w:tr w14:paraId="5319F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3" w:type="pct"/>
            <w:vMerge w:val="restart"/>
            <w:vAlign w:val="center"/>
          </w:tcPr>
          <w:p w14:paraId="5F959F41">
            <w:pPr>
              <w:spacing w:line="240" w:lineRule="auto"/>
              <w:ind w:firstLine="0" w:firstLineChars="0"/>
              <w:jc w:val="center"/>
              <w:rPr>
                <w:color w:val="auto"/>
                <w:kern w:val="0"/>
                <w:sz w:val="21"/>
                <w:szCs w:val="21"/>
              </w:rPr>
            </w:pPr>
            <w:r>
              <w:rPr>
                <w:color w:val="auto"/>
                <w:kern w:val="0"/>
                <w:sz w:val="21"/>
                <w:szCs w:val="21"/>
              </w:rPr>
              <w:t>COD</w:t>
            </w:r>
          </w:p>
        </w:tc>
        <w:tc>
          <w:tcPr>
            <w:tcW w:w="1294" w:type="pct"/>
            <w:vAlign w:val="center"/>
          </w:tcPr>
          <w:p w14:paraId="0A0B7BCD">
            <w:pPr>
              <w:spacing w:line="240" w:lineRule="auto"/>
              <w:ind w:firstLine="0" w:firstLineChars="0"/>
              <w:jc w:val="center"/>
              <w:rPr>
                <w:color w:val="auto"/>
                <w:kern w:val="0"/>
                <w:sz w:val="21"/>
                <w:szCs w:val="21"/>
              </w:rPr>
            </w:pPr>
            <w:r>
              <w:rPr>
                <w:color w:val="auto"/>
                <w:kern w:val="0"/>
                <w:sz w:val="21"/>
                <w:szCs w:val="21"/>
              </w:rPr>
              <w:t>下游0m</w:t>
            </w:r>
          </w:p>
        </w:tc>
        <w:tc>
          <w:tcPr>
            <w:tcW w:w="1079" w:type="pct"/>
            <w:vAlign w:val="center"/>
          </w:tcPr>
          <w:p w14:paraId="5511FA90">
            <w:pPr>
              <w:spacing w:line="240" w:lineRule="auto"/>
              <w:ind w:firstLine="0" w:firstLineChars="0"/>
              <w:jc w:val="center"/>
              <w:rPr>
                <w:color w:val="auto"/>
                <w:kern w:val="0"/>
                <w:sz w:val="21"/>
                <w:szCs w:val="21"/>
              </w:rPr>
            </w:pPr>
            <w:r>
              <w:rPr>
                <w:color w:val="auto"/>
                <w:sz w:val="21"/>
                <w:szCs w:val="21"/>
              </w:rPr>
              <w:t xml:space="preserve">48.689 </w:t>
            </w:r>
          </w:p>
        </w:tc>
        <w:tc>
          <w:tcPr>
            <w:tcW w:w="1007" w:type="pct"/>
            <w:vMerge w:val="restart"/>
            <w:vAlign w:val="center"/>
          </w:tcPr>
          <w:p w14:paraId="0B78474D">
            <w:pPr>
              <w:spacing w:line="240" w:lineRule="auto"/>
              <w:ind w:firstLine="0" w:firstLineChars="0"/>
              <w:jc w:val="center"/>
              <w:rPr>
                <w:color w:val="auto"/>
                <w:kern w:val="0"/>
                <w:sz w:val="21"/>
                <w:szCs w:val="21"/>
              </w:rPr>
            </w:pPr>
            <w:r>
              <w:rPr>
                <w:color w:val="auto"/>
                <w:kern w:val="0"/>
                <w:sz w:val="21"/>
                <w:szCs w:val="21"/>
              </w:rPr>
              <w:t>20</w:t>
            </w:r>
          </w:p>
        </w:tc>
        <w:tc>
          <w:tcPr>
            <w:tcW w:w="917" w:type="pct"/>
            <w:vAlign w:val="center"/>
          </w:tcPr>
          <w:p w14:paraId="20540A40">
            <w:pPr>
              <w:spacing w:line="240" w:lineRule="auto"/>
              <w:ind w:firstLine="0" w:firstLineChars="0"/>
              <w:jc w:val="center"/>
              <w:rPr>
                <w:color w:val="auto"/>
                <w:kern w:val="0"/>
                <w:sz w:val="21"/>
                <w:szCs w:val="21"/>
              </w:rPr>
            </w:pPr>
            <w:r>
              <w:rPr>
                <w:color w:val="auto"/>
                <w:kern w:val="0"/>
                <w:sz w:val="21"/>
                <w:szCs w:val="21"/>
              </w:rPr>
              <w:t>超标</w:t>
            </w:r>
          </w:p>
        </w:tc>
      </w:tr>
      <w:tr w14:paraId="1D68A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3" w:type="pct"/>
            <w:vMerge w:val="continue"/>
            <w:vAlign w:val="center"/>
          </w:tcPr>
          <w:p w14:paraId="2573038B">
            <w:pPr>
              <w:spacing w:line="240" w:lineRule="auto"/>
              <w:ind w:firstLine="0" w:firstLineChars="0"/>
              <w:jc w:val="center"/>
              <w:rPr>
                <w:color w:val="auto"/>
                <w:kern w:val="0"/>
                <w:sz w:val="21"/>
                <w:szCs w:val="21"/>
              </w:rPr>
            </w:pPr>
          </w:p>
        </w:tc>
        <w:tc>
          <w:tcPr>
            <w:tcW w:w="1294" w:type="pct"/>
            <w:vAlign w:val="center"/>
          </w:tcPr>
          <w:p w14:paraId="485BC2B6">
            <w:pPr>
              <w:spacing w:line="240" w:lineRule="auto"/>
              <w:ind w:firstLine="0" w:firstLineChars="0"/>
              <w:jc w:val="center"/>
              <w:rPr>
                <w:color w:val="auto"/>
                <w:kern w:val="0"/>
                <w:sz w:val="21"/>
                <w:szCs w:val="21"/>
              </w:rPr>
            </w:pPr>
            <w:r>
              <w:rPr>
                <w:color w:val="auto"/>
                <w:kern w:val="0"/>
                <w:sz w:val="21"/>
                <w:szCs w:val="21"/>
              </w:rPr>
              <w:t>下游100m</w:t>
            </w:r>
          </w:p>
        </w:tc>
        <w:tc>
          <w:tcPr>
            <w:tcW w:w="1079" w:type="pct"/>
            <w:vAlign w:val="center"/>
          </w:tcPr>
          <w:p w14:paraId="29448D98">
            <w:pPr>
              <w:spacing w:line="240" w:lineRule="auto"/>
              <w:ind w:firstLine="0" w:firstLineChars="0"/>
              <w:jc w:val="center"/>
              <w:rPr>
                <w:color w:val="auto"/>
                <w:kern w:val="0"/>
                <w:sz w:val="21"/>
                <w:szCs w:val="21"/>
              </w:rPr>
            </w:pPr>
            <w:r>
              <w:rPr>
                <w:color w:val="auto"/>
                <w:sz w:val="21"/>
                <w:szCs w:val="21"/>
              </w:rPr>
              <w:t xml:space="preserve">48.487 </w:t>
            </w:r>
          </w:p>
        </w:tc>
        <w:tc>
          <w:tcPr>
            <w:tcW w:w="1007" w:type="pct"/>
            <w:vMerge w:val="continue"/>
            <w:vAlign w:val="center"/>
          </w:tcPr>
          <w:p w14:paraId="3C1C813A">
            <w:pPr>
              <w:spacing w:line="240" w:lineRule="auto"/>
              <w:ind w:firstLine="0" w:firstLineChars="0"/>
              <w:jc w:val="center"/>
              <w:rPr>
                <w:color w:val="auto"/>
                <w:kern w:val="0"/>
                <w:sz w:val="21"/>
                <w:szCs w:val="21"/>
              </w:rPr>
            </w:pPr>
          </w:p>
        </w:tc>
        <w:tc>
          <w:tcPr>
            <w:tcW w:w="917" w:type="pct"/>
            <w:vAlign w:val="center"/>
          </w:tcPr>
          <w:p w14:paraId="2C964F30">
            <w:pPr>
              <w:spacing w:line="240" w:lineRule="auto"/>
              <w:ind w:firstLine="0" w:firstLineChars="0"/>
              <w:jc w:val="center"/>
              <w:rPr>
                <w:color w:val="auto"/>
                <w:kern w:val="0"/>
                <w:sz w:val="21"/>
                <w:szCs w:val="21"/>
              </w:rPr>
            </w:pPr>
            <w:r>
              <w:rPr>
                <w:color w:val="auto"/>
                <w:kern w:val="0"/>
                <w:sz w:val="21"/>
                <w:szCs w:val="21"/>
              </w:rPr>
              <w:t>超标</w:t>
            </w:r>
          </w:p>
        </w:tc>
      </w:tr>
      <w:tr w14:paraId="09852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3" w:type="pct"/>
            <w:vMerge w:val="continue"/>
            <w:vAlign w:val="center"/>
          </w:tcPr>
          <w:p w14:paraId="53282031">
            <w:pPr>
              <w:spacing w:line="240" w:lineRule="auto"/>
              <w:ind w:firstLine="0" w:firstLineChars="0"/>
              <w:jc w:val="center"/>
              <w:rPr>
                <w:color w:val="auto"/>
                <w:kern w:val="0"/>
                <w:sz w:val="21"/>
                <w:szCs w:val="21"/>
              </w:rPr>
            </w:pPr>
          </w:p>
        </w:tc>
        <w:tc>
          <w:tcPr>
            <w:tcW w:w="1294" w:type="pct"/>
            <w:vAlign w:val="center"/>
          </w:tcPr>
          <w:p w14:paraId="4567E4AC">
            <w:pPr>
              <w:spacing w:line="240" w:lineRule="auto"/>
              <w:ind w:firstLine="0" w:firstLineChars="0"/>
              <w:jc w:val="center"/>
              <w:rPr>
                <w:color w:val="auto"/>
                <w:kern w:val="0"/>
                <w:sz w:val="21"/>
                <w:szCs w:val="21"/>
              </w:rPr>
            </w:pPr>
            <w:r>
              <w:rPr>
                <w:color w:val="auto"/>
                <w:kern w:val="0"/>
                <w:sz w:val="21"/>
                <w:szCs w:val="21"/>
              </w:rPr>
              <w:t>下游200m</w:t>
            </w:r>
          </w:p>
        </w:tc>
        <w:tc>
          <w:tcPr>
            <w:tcW w:w="1079" w:type="pct"/>
            <w:vAlign w:val="center"/>
          </w:tcPr>
          <w:p w14:paraId="71AADE7B">
            <w:pPr>
              <w:spacing w:line="240" w:lineRule="auto"/>
              <w:ind w:firstLine="0" w:firstLineChars="0"/>
              <w:jc w:val="center"/>
              <w:rPr>
                <w:color w:val="auto"/>
                <w:kern w:val="0"/>
                <w:sz w:val="21"/>
                <w:szCs w:val="21"/>
              </w:rPr>
            </w:pPr>
            <w:r>
              <w:rPr>
                <w:color w:val="auto"/>
                <w:sz w:val="21"/>
                <w:szCs w:val="21"/>
              </w:rPr>
              <w:t xml:space="preserve">48.285 </w:t>
            </w:r>
          </w:p>
        </w:tc>
        <w:tc>
          <w:tcPr>
            <w:tcW w:w="1007" w:type="pct"/>
            <w:vMerge w:val="continue"/>
            <w:vAlign w:val="center"/>
          </w:tcPr>
          <w:p w14:paraId="01574ADF">
            <w:pPr>
              <w:spacing w:line="240" w:lineRule="auto"/>
              <w:ind w:firstLine="0" w:firstLineChars="0"/>
              <w:jc w:val="center"/>
              <w:rPr>
                <w:color w:val="auto"/>
                <w:kern w:val="0"/>
                <w:sz w:val="21"/>
                <w:szCs w:val="21"/>
              </w:rPr>
            </w:pPr>
          </w:p>
        </w:tc>
        <w:tc>
          <w:tcPr>
            <w:tcW w:w="917" w:type="pct"/>
            <w:vAlign w:val="center"/>
          </w:tcPr>
          <w:p w14:paraId="0CE0074F">
            <w:pPr>
              <w:spacing w:line="240" w:lineRule="auto"/>
              <w:ind w:firstLine="0" w:firstLineChars="0"/>
              <w:jc w:val="center"/>
              <w:rPr>
                <w:color w:val="auto"/>
                <w:kern w:val="0"/>
                <w:sz w:val="21"/>
                <w:szCs w:val="21"/>
              </w:rPr>
            </w:pPr>
            <w:r>
              <w:rPr>
                <w:color w:val="auto"/>
                <w:kern w:val="0"/>
                <w:sz w:val="21"/>
                <w:szCs w:val="21"/>
              </w:rPr>
              <w:t>超标</w:t>
            </w:r>
          </w:p>
        </w:tc>
      </w:tr>
      <w:tr w14:paraId="25808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3" w:type="pct"/>
            <w:vMerge w:val="continue"/>
            <w:vAlign w:val="center"/>
          </w:tcPr>
          <w:p w14:paraId="535BE792">
            <w:pPr>
              <w:spacing w:line="240" w:lineRule="auto"/>
              <w:ind w:firstLine="0" w:firstLineChars="0"/>
              <w:jc w:val="center"/>
              <w:rPr>
                <w:color w:val="auto"/>
                <w:kern w:val="0"/>
                <w:sz w:val="21"/>
                <w:szCs w:val="21"/>
              </w:rPr>
            </w:pPr>
          </w:p>
        </w:tc>
        <w:tc>
          <w:tcPr>
            <w:tcW w:w="1294" w:type="pct"/>
            <w:vAlign w:val="center"/>
          </w:tcPr>
          <w:p w14:paraId="07CFA4A5">
            <w:pPr>
              <w:spacing w:line="240" w:lineRule="auto"/>
              <w:ind w:firstLine="0" w:firstLineChars="0"/>
              <w:jc w:val="center"/>
              <w:rPr>
                <w:color w:val="auto"/>
                <w:kern w:val="0"/>
                <w:sz w:val="21"/>
                <w:szCs w:val="21"/>
              </w:rPr>
            </w:pPr>
            <w:r>
              <w:rPr>
                <w:color w:val="auto"/>
                <w:kern w:val="0"/>
                <w:sz w:val="21"/>
                <w:szCs w:val="21"/>
              </w:rPr>
              <w:t>下游300m</w:t>
            </w:r>
          </w:p>
        </w:tc>
        <w:tc>
          <w:tcPr>
            <w:tcW w:w="1079" w:type="pct"/>
            <w:vAlign w:val="center"/>
          </w:tcPr>
          <w:p w14:paraId="22EE68FA">
            <w:pPr>
              <w:spacing w:line="240" w:lineRule="auto"/>
              <w:ind w:firstLine="0" w:firstLineChars="0"/>
              <w:jc w:val="center"/>
              <w:rPr>
                <w:color w:val="auto"/>
                <w:kern w:val="0"/>
                <w:sz w:val="21"/>
                <w:szCs w:val="21"/>
              </w:rPr>
            </w:pPr>
            <w:r>
              <w:rPr>
                <w:color w:val="auto"/>
                <w:sz w:val="21"/>
                <w:szCs w:val="21"/>
              </w:rPr>
              <w:t xml:space="preserve">48.084 </w:t>
            </w:r>
          </w:p>
        </w:tc>
        <w:tc>
          <w:tcPr>
            <w:tcW w:w="1007" w:type="pct"/>
            <w:vMerge w:val="continue"/>
            <w:vAlign w:val="center"/>
          </w:tcPr>
          <w:p w14:paraId="51AB8446">
            <w:pPr>
              <w:spacing w:line="240" w:lineRule="auto"/>
              <w:ind w:firstLine="0" w:firstLineChars="0"/>
              <w:jc w:val="center"/>
              <w:rPr>
                <w:color w:val="auto"/>
                <w:kern w:val="0"/>
                <w:sz w:val="21"/>
                <w:szCs w:val="21"/>
              </w:rPr>
            </w:pPr>
          </w:p>
        </w:tc>
        <w:tc>
          <w:tcPr>
            <w:tcW w:w="917" w:type="pct"/>
            <w:vAlign w:val="center"/>
          </w:tcPr>
          <w:p w14:paraId="3BFE4A98">
            <w:pPr>
              <w:spacing w:line="240" w:lineRule="auto"/>
              <w:ind w:firstLine="0" w:firstLineChars="0"/>
              <w:jc w:val="center"/>
              <w:rPr>
                <w:color w:val="auto"/>
                <w:kern w:val="0"/>
                <w:sz w:val="21"/>
                <w:szCs w:val="21"/>
              </w:rPr>
            </w:pPr>
            <w:r>
              <w:rPr>
                <w:color w:val="auto"/>
                <w:kern w:val="0"/>
                <w:sz w:val="21"/>
                <w:szCs w:val="21"/>
              </w:rPr>
              <w:t>超标</w:t>
            </w:r>
          </w:p>
        </w:tc>
      </w:tr>
      <w:tr w14:paraId="47CF4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3" w:type="pct"/>
            <w:vMerge w:val="continue"/>
            <w:vAlign w:val="center"/>
          </w:tcPr>
          <w:p w14:paraId="697C9045">
            <w:pPr>
              <w:spacing w:line="240" w:lineRule="auto"/>
              <w:ind w:firstLine="0" w:firstLineChars="0"/>
              <w:jc w:val="center"/>
              <w:rPr>
                <w:color w:val="auto"/>
                <w:kern w:val="0"/>
                <w:sz w:val="21"/>
                <w:szCs w:val="21"/>
              </w:rPr>
            </w:pPr>
          </w:p>
        </w:tc>
        <w:tc>
          <w:tcPr>
            <w:tcW w:w="1294" w:type="pct"/>
            <w:vAlign w:val="center"/>
          </w:tcPr>
          <w:p w14:paraId="6AB787CC">
            <w:pPr>
              <w:spacing w:line="240" w:lineRule="auto"/>
              <w:ind w:firstLine="0" w:firstLineChars="0"/>
              <w:jc w:val="center"/>
              <w:rPr>
                <w:color w:val="auto"/>
                <w:kern w:val="0"/>
                <w:sz w:val="21"/>
                <w:szCs w:val="21"/>
              </w:rPr>
            </w:pPr>
            <w:r>
              <w:rPr>
                <w:color w:val="auto"/>
                <w:kern w:val="0"/>
                <w:sz w:val="21"/>
                <w:szCs w:val="21"/>
              </w:rPr>
              <w:t>下游400m</w:t>
            </w:r>
          </w:p>
        </w:tc>
        <w:tc>
          <w:tcPr>
            <w:tcW w:w="1079" w:type="pct"/>
            <w:vAlign w:val="center"/>
          </w:tcPr>
          <w:p w14:paraId="1DE18A0F">
            <w:pPr>
              <w:spacing w:line="240" w:lineRule="auto"/>
              <w:ind w:firstLine="0" w:firstLineChars="0"/>
              <w:jc w:val="center"/>
              <w:rPr>
                <w:color w:val="auto"/>
                <w:kern w:val="0"/>
                <w:sz w:val="21"/>
                <w:szCs w:val="21"/>
              </w:rPr>
            </w:pPr>
            <w:r>
              <w:rPr>
                <w:color w:val="auto"/>
                <w:sz w:val="21"/>
                <w:szCs w:val="21"/>
              </w:rPr>
              <w:t xml:space="preserve">47.884 </w:t>
            </w:r>
          </w:p>
        </w:tc>
        <w:tc>
          <w:tcPr>
            <w:tcW w:w="1007" w:type="pct"/>
            <w:vMerge w:val="continue"/>
            <w:vAlign w:val="center"/>
          </w:tcPr>
          <w:p w14:paraId="707A18F8">
            <w:pPr>
              <w:spacing w:line="240" w:lineRule="auto"/>
              <w:ind w:firstLine="0" w:firstLineChars="0"/>
              <w:jc w:val="center"/>
              <w:rPr>
                <w:color w:val="auto"/>
                <w:kern w:val="0"/>
                <w:sz w:val="21"/>
                <w:szCs w:val="21"/>
              </w:rPr>
            </w:pPr>
          </w:p>
        </w:tc>
        <w:tc>
          <w:tcPr>
            <w:tcW w:w="917" w:type="pct"/>
            <w:vAlign w:val="center"/>
          </w:tcPr>
          <w:p w14:paraId="171CD2CA">
            <w:pPr>
              <w:spacing w:line="240" w:lineRule="auto"/>
              <w:ind w:firstLine="0" w:firstLineChars="0"/>
              <w:jc w:val="center"/>
              <w:rPr>
                <w:color w:val="auto"/>
                <w:kern w:val="0"/>
                <w:sz w:val="21"/>
                <w:szCs w:val="21"/>
              </w:rPr>
            </w:pPr>
            <w:r>
              <w:rPr>
                <w:color w:val="auto"/>
                <w:kern w:val="0"/>
                <w:sz w:val="21"/>
                <w:szCs w:val="21"/>
              </w:rPr>
              <w:t>超标</w:t>
            </w:r>
          </w:p>
        </w:tc>
      </w:tr>
      <w:tr w14:paraId="6BE52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3" w:type="pct"/>
            <w:vMerge w:val="continue"/>
            <w:vAlign w:val="center"/>
          </w:tcPr>
          <w:p w14:paraId="4CC3AEC3">
            <w:pPr>
              <w:spacing w:line="240" w:lineRule="auto"/>
              <w:ind w:firstLine="0" w:firstLineChars="0"/>
              <w:jc w:val="center"/>
              <w:rPr>
                <w:color w:val="auto"/>
                <w:kern w:val="0"/>
                <w:sz w:val="21"/>
                <w:szCs w:val="21"/>
              </w:rPr>
            </w:pPr>
          </w:p>
        </w:tc>
        <w:tc>
          <w:tcPr>
            <w:tcW w:w="1294" w:type="pct"/>
            <w:vAlign w:val="center"/>
          </w:tcPr>
          <w:p w14:paraId="0A143D98">
            <w:pPr>
              <w:spacing w:line="240" w:lineRule="auto"/>
              <w:ind w:firstLine="0" w:firstLineChars="0"/>
              <w:jc w:val="center"/>
              <w:rPr>
                <w:color w:val="auto"/>
                <w:kern w:val="0"/>
                <w:sz w:val="21"/>
                <w:szCs w:val="21"/>
              </w:rPr>
            </w:pPr>
            <w:r>
              <w:rPr>
                <w:color w:val="auto"/>
                <w:kern w:val="0"/>
                <w:sz w:val="21"/>
                <w:szCs w:val="21"/>
              </w:rPr>
              <w:t>下游500m</w:t>
            </w:r>
          </w:p>
        </w:tc>
        <w:tc>
          <w:tcPr>
            <w:tcW w:w="1079" w:type="pct"/>
            <w:vAlign w:val="center"/>
          </w:tcPr>
          <w:p w14:paraId="458BA006">
            <w:pPr>
              <w:spacing w:line="240" w:lineRule="auto"/>
              <w:ind w:firstLine="0" w:firstLineChars="0"/>
              <w:jc w:val="center"/>
              <w:rPr>
                <w:color w:val="auto"/>
                <w:kern w:val="0"/>
                <w:sz w:val="21"/>
                <w:szCs w:val="21"/>
              </w:rPr>
            </w:pPr>
            <w:r>
              <w:rPr>
                <w:color w:val="auto"/>
                <w:sz w:val="21"/>
                <w:szCs w:val="21"/>
              </w:rPr>
              <w:t xml:space="preserve">47.685 </w:t>
            </w:r>
          </w:p>
        </w:tc>
        <w:tc>
          <w:tcPr>
            <w:tcW w:w="1007" w:type="pct"/>
            <w:vMerge w:val="continue"/>
            <w:vAlign w:val="center"/>
          </w:tcPr>
          <w:p w14:paraId="1886DBAD">
            <w:pPr>
              <w:spacing w:line="240" w:lineRule="auto"/>
              <w:ind w:firstLine="0" w:firstLineChars="0"/>
              <w:jc w:val="center"/>
              <w:rPr>
                <w:color w:val="auto"/>
                <w:kern w:val="0"/>
                <w:sz w:val="21"/>
                <w:szCs w:val="21"/>
              </w:rPr>
            </w:pPr>
          </w:p>
        </w:tc>
        <w:tc>
          <w:tcPr>
            <w:tcW w:w="917" w:type="pct"/>
            <w:vAlign w:val="center"/>
          </w:tcPr>
          <w:p w14:paraId="08A638FE">
            <w:pPr>
              <w:spacing w:line="240" w:lineRule="auto"/>
              <w:ind w:firstLine="0" w:firstLineChars="0"/>
              <w:jc w:val="center"/>
              <w:rPr>
                <w:color w:val="auto"/>
                <w:kern w:val="0"/>
                <w:sz w:val="21"/>
                <w:szCs w:val="21"/>
              </w:rPr>
            </w:pPr>
            <w:r>
              <w:rPr>
                <w:color w:val="auto"/>
                <w:kern w:val="0"/>
                <w:sz w:val="21"/>
                <w:szCs w:val="21"/>
              </w:rPr>
              <w:t>超标</w:t>
            </w:r>
          </w:p>
        </w:tc>
      </w:tr>
      <w:tr w14:paraId="4AF99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3" w:type="pct"/>
            <w:vMerge w:val="continue"/>
            <w:vAlign w:val="center"/>
          </w:tcPr>
          <w:p w14:paraId="4F10DE08">
            <w:pPr>
              <w:spacing w:line="240" w:lineRule="auto"/>
              <w:ind w:firstLine="0" w:firstLineChars="0"/>
              <w:jc w:val="center"/>
              <w:rPr>
                <w:color w:val="auto"/>
                <w:kern w:val="0"/>
                <w:sz w:val="21"/>
                <w:szCs w:val="21"/>
              </w:rPr>
            </w:pPr>
          </w:p>
        </w:tc>
        <w:tc>
          <w:tcPr>
            <w:tcW w:w="1294" w:type="pct"/>
            <w:vAlign w:val="center"/>
          </w:tcPr>
          <w:p w14:paraId="5522CA1F">
            <w:pPr>
              <w:spacing w:line="240" w:lineRule="auto"/>
              <w:ind w:firstLine="0" w:firstLineChars="0"/>
              <w:jc w:val="center"/>
              <w:rPr>
                <w:color w:val="auto"/>
                <w:kern w:val="0"/>
                <w:sz w:val="21"/>
                <w:szCs w:val="21"/>
              </w:rPr>
            </w:pPr>
            <w:r>
              <w:rPr>
                <w:color w:val="auto"/>
                <w:kern w:val="0"/>
                <w:sz w:val="21"/>
                <w:szCs w:val="21"/>
              </w:rPr>
              <w:t>下游1000m</w:t>
            </w:r>
          </w:p>
        </w:tc>
        <w:tc>
          <w:tcPr>
            <w:tcW w:w="1079" w:type="pct"/>
            <w:vAlign w:val="center"/>
          </w:tcPr>
          <w:p w14:paraId="7745B69D">
            <w:pPr>
              <w:spacing w:line="240" w:lineRule="auto"/>
              <w:ind w:firstLine="0" w:firstLineChars="0"/>
              <w:jc w:val="center"/>
              <w:rPr>
                <w:color w:val="auto"/>
                <w:kern w:val="0"/>
                <w:sz w:val="21"/>
                <w:szCs w:val="21"/>
              </w:rPr>
            </w:pPr>
            <w:r>
              <w:rPr>
                <w:color w:val="auto"/>
                <w:sz w:val="21"/>
                <w:szCs w:val="21"/>
              </w:rPr>
              <w:t xml:space="preserve">46.702 </w:t>
            </w:r>
          </w:p>
        </w:tc>
        <w:tc>
          <w:tcPr>
            <w:tcW w:w="1007" w:type="pct"/>
            <w:vMerge w:val="continue"/>
            <w:vAlign w:val="center"/>
          </w:tcPr>
          <w:p w14:paraId="495BF5BA">
            <w:pPr>
              <w:spacing w:line="240" w:lineRule="auto"/>
              <w:ind w:firstLine="0" w:firstLineChars="0"/>
              <w:jc w:val="center"/>
              <w:rPr>
                <w:color w:val="auto"/>
                <w:kern w:val="0"/>
                <w:sz w:val="21"/>
                <w:szCs w:val="21"/>
              </w:rPr>
            </w:pPr>
          </w:p>
        </w:tc>
        <w:tc>
          <w:tcPr>
            <w:tcW w:w="917" w:type="pct"/>
            <w:vAlign w:val="center"/>
          </w:tcPr>
          <w:p w14:paraId="67EEB097">
            <w:pPr>
              <w:spacing w:line="240" w:lineRule="auto"/>
              <w:ind w:firstLine="0" w:firstLineChars="0"/>
              <w:jc w:val="center"/>
              <w:rPr>
                <w:color w:val="auto"/>
                <w:kern w:val="0"/>
                <w:sz w:val="21"/>
                <w:szCs w:val="21"/>
              </w:rPr>
            </w:pPr>
            <w:r>
              <w:rPr>
                <w:color w:val="auto"/>
                <w:kern w:val="0"/>
                <w:sz w:val="21"/>
                <w:szCs w:val="21"/>
              </w:rPr>
              <w:t>超标</w:t>
            </w:r>
          </w:p>
        </w:tc>
      </w:tr>
      <w:tr w14:paraId="28894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3" w:type="pct"/>
            <w:vMerge w:val="continue"/>
            <w:vAlign w:val="center"/>
          </w:tcPr>
          <w:p w14:paraId="63333EA3">
            <w:pPr>
              <w:spacing w:line="240" w:lineRule="auto"/>
              <w:ind w:firstLine="0" w:firstLineChars="0"/>
              <w:jc w:val="center"/>
              <w:rPr>
                <w:color w:val="auto"/>
                <w:kern w:val="0"/>
                <w:sz w:val="21"/>
                <w:szCs w:val="21"/>
              </w:rPr>
            </w:pPr>
          </w:p>
        </w:tc>
        <w:tc>
          <w:tcPr>
            <w:tcW w:w="1294" w:type="pct"/>
            <w:vAlign w:val="center"/>
          </w:tcPr>
          <w:p w14:paraId="3FF6DD17">
            <w:pPr>
              <w:spacing w:line="240" w:lineRule="auto"/>
              <w:ind w:firstLine="0" w:firstLineChars="0"/>
              <w:jc w:val="center"/>
              <w:rPr>
                <w:color w:val="auto"/>
                <w:kern w:val="0"/>
                <w:sz w:val="21"/>
                <w:szCs w:val="21"/>
              </w:rPr>
            </w:pPr>
            <w:r>
              <w:rPr>
                <w:color w:val="auto"/>
                <w:kern w:val="0"/>
                <w:sz w:val="21"/>
                <w:szCs w:val="21"/>
              </w:rPr>
              <w:t>下游1500m</w:t>
            </w:r>
          </w:p>
        </w:tc>
        <w:tc>
          <w:tcPr>
            <w:tcW w:w="1079" w:type="pct"/>
            <w:vAlign w:val="center"/>
          </w:tcPr>
          <w:p w14:paraId="494B54AB">
            <w:pPr>
              <w:spacing w:line="240" w:lineRule="auto"/>
              <w:ind w:firstLine="0" w:firstLineChars="0"/>
              <w:jc w:val="center"/>
              <w:rPr>
                <w:color w:val="auto"/>
                <w:kern w:val="0"/>
                <w:sz w:val="21"/>
                <w:szCs w:val="21"/>
              </w:rPr>
            </w:pPr>
            <w:r>
              <w:rPr>
                <w:color w:val="auto"/>
                <w:sz w:val="21"/>
                <w:szCs w:val="21"/>
              </w:rPr>
              <w:t xml:space="preserve">45.739 </w:t>
            </w:r>
          </w:p>
        </w:tc>
        <w:tc>
          <w:tcPr>
            <w:tcW w:w="1007" w:type="pct"/>
            <w:vMerge w:val="continue"/>
            <w:vAlign w:val="center"/>
          </w:tcPr>
          <w:p w14:paraId="364D6778">
            <w:pPr>
              <w:spacing w:line="240" w:lineRule="auto"/>
              <w:ind w:firstLine="0" w:firstLineChars="0"/>
              <w:jc w:val="center"/>
              <w:rPr>
                <w:color w:val="auto"/>
                <w:kern w:val="0"/>
                <w:sz w:val="21"/>
                <w:szCs w:val="21"/>
              </w:rPr>
            </w:pPr>
          </w:p>
        </w:tc>
        <w:tc>
          <w:tcPr>
            <w:tcW w:w="917" w:type="pct"/>
            <w:vAlign w:val="center"/>
          </w:tcPr>
          <w:p w14:paraId="52873857">
            <w:pPr>
              <w:spacing w:line="240" w:lineRule="auto"/>
              <w:ind w:firstLine="0" w:firstLineChars="0"/>
              <w:jc w:val="center"/>
              <w:rPr>
                <w:color w:val="auto"/>
                <w:kern w:val="0"/>
                <w:sz w:val="21"/>
                <w:szCs w:val="21"/>
              </w:rPr>
            </w:pPr>
            <w:r>
              <w:rPr>
                <w:color w:val="auto"/>
                <w:kern w:val="0"/>
                <w:sz w:val="21"/>
                <w:szCs w:val="21"/>
              </w:rPr>
              <w:t>超标</w:t>
            </w:r>
          </w:p>
        </w:tc>
      </w:tr>
      <w:tr w14:paraId="09914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3" w:type="pct"/>
            <w:vMerge w:val="continue"/>
            <w:vAlign w:val="center"/>
          </w:tcPr>
          <w:p w14:paraId="7AE94E70">
            <w:pPr>
              <w:spacing w:line="240" w:lineRule="auto"/>
              <w:ind w:firstLine="0" w:firstLineChars="0"/>
              <w:jc w:val="center"/>
              <w:rPr>
                <w:color w:val="auto"/>
                <w:kern w:val="0"/>
                <w:sz w:val="21"/>
                <w:szCs w:val="21"/>
              </w:rPr>
            </w:pPr>
          </w:p>
        </w:tc>
        <w:tc>
          <w:tcPr>
            <w:tcW w:w="1294" w:type="pct"/>
            <w:vAlign w:val="center"/>
          </w:tcPr>
          <w:p w14:paraId="63731F7D">
            <w:pPr>
              <w:spacing w:line="240" w:lineRule="auto"/>
              <w:ind w:firstLine="0" w:firstLineChars="0"/>
              <w:jc w:val="center"/>
              <w:rPr>
                <w:color w:val="auto"/>
                <w:kern w:val="0"/>
                <w:sz w:val="21"/>
                <w:szCs w:val="21"/>
              </w:rPr>
            </w:pPr>
            <w:r>
              <w:rPr>
                <w:color w:val="auto"/>
                <w:kern w:val="0"/>
                <w:sz w:val="21"/>
                <w:szCs w:val="21"/>
              </w:rPr>
              <w:t>下游1800m（入长江口）</w:t>
            </w:r>
          </w:p>
        </w:tc>
        <w:tc>
          <w:tcPr>
            <w:tcW w:w="1079" w:type="pct"/>
            <w:vAlign w:val="center"/>
          </w:tcPr>
          <w:p w14:paraId="528BE18A">
            <w:pPr>
              <w:spacing w:line="240" w:lineRule="auto"/>
              <w:ind w:firstLine="0" w:firstLineChars="0"/>
              <w:jc w:val="center"/>
              <w:rPr>
                <w:color w:val="auto"/>
                <w:kern w:val="0"/>
                <w:sz w:val="21"/>
                <w:szCs w:val="21"/>
              </w:rPr>
            </w:pPr>
            <w:r>
              <w:rPr>
                <w:color w:val="auto"/>
                <w:sz w:val="21"/>
                <w:szCs w:val="21"/>
              </w:rPr>
              <w:t xml:space="preserve">45.171 </w:t>
            </w:r>
          </w:p>
        </w:tc>
        <w:tc>
          <w:tcPr>
            <w:tcW w:w="1007" w:type="pct"/>
            <w:vMerge w:val="continue"/>
            <w:vAlign w:val="center"/>
          </w:tcPr>
          <w:p w14:paraId="5B5850E2">
            <w:pPr>
              <w:spacing w:line="240" w:lineRule="auto"/>
              <w:ind w:firstLine="0" w:firstLineChars="0"/>
              <w:jc w:val="center"/>
              <w:rPr>
                <w:color w:val="auto"/>
                <w:kern w:val="0"/>
                <w:sz w:val="21"/>
                <w:szCs w:val="21"/>
              </w:rPr>
            </w:pPr>
          </w:p>
        </w:tc>
        <w:tc>
          <w:tcPr>
            <w:tcW w:w="917" w:type="pct"/>
            <w:vAlign w:val="center"/>
          </w:tcPr>
          <w:p w14:paraId="6623E190">
            <w:pPr>
              <w:spacing w:line="240" w:lineRule="auto"/>
              <w:ind w:firstLine="0" w:firstLineChars="0"/>
              <w:jc w:val="center"/>
              <w:rPr>
                <w:color w:val="auto"/>
                <w:kern w:val="0"/>
                <w:sz w:val="21"/>
                <w:szCs w:val="21"/>
              </w:rPr>
            </w:pPr>
            <w:r>
              <w:rPr>
                <w:color w:val="auto"/>
                <w:kern w:val="0"/>
                <w:sz w:val="21"/>
                <w:szCs w:val="21"/>
              </w:rPr>
              <w:t>超标</w:t>
            </w:r>
          </w:p>
        </w:tc>
      </w:tr>
    </w:tbl>
    <w:p w14:paraId="378C60E7">
      <w:pPr>
        <w:ind w:firstLine="480"/>
        <w:rPr>
          <w:bCs/>
          <w:color w:val="auto"/>
        </w:rPr>
      </w:pPr>
      <w:r>
        <w:rPr>
          <w:rFonts w:hint="eastAsia"/>
          <w:bCs/>
          <w:color w:val="auto"/>
        </w:rPr>
        <w:t>根据预测结果，事故状况下，事故废水通过雨水排口排入江风河后，江风河水质存在超标现象。</w:t>
      </w:r>
      <w:r>
        <w:rPr>
          <w:bCs/>
          <w:color w:val="auto"/>
        </w:rPr>
        <w:t>由于江风河河宽小，水流慢，水动力较差，当初期雨水排入江风河，对江风河水体影响较大。因此，项目建成后，应加强雨水阀门切换装置管理，一旦发生突发环境事故，建设单位应及时做好拦截，将</w:t>
      </w:r>
      <w:r>
        <w:rPr>
          <w:rFonts w:hint="eastAsia"/>
          <w:bCs/>
          <w:color w:val="auto"/>
        </w:rPr>
        <w:t>事故</w:t>
      </w:r>
      <w:r>
        <w:rPr>
          <w:bCs/>
          <w:color w:val="auto"/>
        </w:rPr>
        <w:t>废水引入事故池，杜绝事故废水直接进入周边水体造成水质污染。</w:t>
      </w:r>
    </w:p>
    <w:p w14:paraId="5E608A13">
      <w:pPr>
        <w:ind w:firstLine="480"/>
        <w:rPr>
          <w:bCs/>
          <w:color w:val="auto"/>
        </w:rPr>
      </w:pPr>
      <w:r>
        <w:rPr>
          <w:rFonts w:hint="eastAsia"/>
          <w:bCs/>
          <w:color w:val="auto"/>
        </w:rPr>
        <w:t>企业</w:t>
      </w:r>
      <w:r>
        <w:rPr>
          <w:bCs/>
          <w:color w:val="auto"/>
        </w:rPr>
        <w:t>设置了事故应急池，当事故废水泄漏时，应立即收集事故废水并将其排入事故应急池内，直接泄漏至周边地表水环境的概率较小。非降雨期间应确保雨水排口处于常闭状态，设置符合要求的事故应急池及应急设施，定期按照突发环境事件应急预案的要求开展应急演练，提高风险防范和应急处置水平。若发生废水泄漏事故，在未将泄漏液体及时导入事故应急池且雨水排口未关闭的极端不利情况下，将导致废水直接泄漏事故，应立即按照突发环境事件应急预案要求采取应急措施，立即切断雨水排口，并对厂界进行封堵，防止泄漏液体流出厂外，将泄漏液体逐步导入厂内事故应急池内，并立即向园区及生态环境主管部门、应急管理部门汇报，采取相应的应急措施，将对环境的不利影响控制在最低水平。</w:t>
      </w:r>
    </w:p>
    <w:p w14:paraId="76715162">
      <w:pPr>
        <w:pStyle w:val="4"/>
        <w:rPr>
          <w:color w:val="auto"/>
        </w:rPr>
      </w:pPr>
      <w:bookmarkStart w:id="237" w:name="_Toc18429"/>
      <w:r>
        <w:rPr>
          <w:rFonts w:hint="eastAsia"/>
          <w:color w:val="auto"/>
        </w:rPr>
        <w:t>6.7.6地下水环境风险预测与评价</w:t>
      </w:r>
      <w:bookmarkEnd w:id="237"/>
    </w:p>
    <w:p w14:paraId="254387A9">
      <w:pPr>
        <w:ind w:firstLine="480"/>
        <w:rPr>
          <w:bCs/>
          <w:color w:val="auto"/>
        </w:rPr>
      </w:pPr>
      <w:r>
        <w:rPr>
          <w:bCs/>
          <w:color w:val="auto"/>
        </w:rPr>
        <w:t>本项目已按照要求对污水处理站、事故池等区域进行重点防渗，防止废水渗漏导致地下水污染。在采取分区防渗等措施的前提下，地下水环境风险影响较小，渗漏事故对地下水的影响详见6.5章节。</w:t>
      </w:r>
    </w:p>
    <w:p w14:paraId="24D7B528">
      <w:pPr>
        <w:ind w:firstLine="480"/>
        <w:rPr>
          <w:bCs/>
          <w:color w:val="auto"/>
        </w:rPr>
      </w:pPr>
      <w:r>
        <w:rPr>
          <w:bCs/>
          <w:color w:val="auto"/>
        </w:rPr>
        <w:t>根据上述分析，通过采取风险防范措施，可将环境风险控制在可接受程度范围内。</w:t>
      </w:r>
    </w:p>
    <w:p w14:paraId="69C05C09">
      <w:pPr>
        <w:pStyle w:val="4"/>
        <w:rPr>
          <w:color w:val="auto"/>
        </w:rPr>
      </w:pPr>
      <w:bookmarkStart w:id="238" w:name="_Toc31935"/>
      <w:r>
        <w:rPr>
          <w:rFonts w:hint="eastAsia"/>
          <w:color w:val="auto"/>
        </w:rPr>
        <w:t>6.7.7环境风险评价结论</w:t>
      </w:r>
      <w:bookmarkEnd w:id="238"/>
    </w:p>
    <w:p w14:paraId="1397A255">
      <w:pPr>
        <w:ind w:firstLine="482"/>
        <w:jc w:val="center"/>
        <w:rPr>
          <w:b/>
          <w:color w:val="auto"/>
        </w:rPr>
      </w:pPr>
      <w:r>
        <w:rPr>
          <w:rFonts w:hint="eastAsia"/>
          <w:b/>
          <w:color w:val="auto"/>
        </w:rPr>
        <w:t>表6.7.7-1 液氨泄漏事故源项及事故后果基本信息表</w:t>
      </w:r>
    </w:p>
    <w:tbl>
      <w:tblPr>
        <w:tblStyle w:val="24"/>
        <w:tblW w:w="5000" w:type="pct"/>
        <w:jc w:val="center"/>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autofit"/>
        <w:tblCellMar>
          <w:top w:w="0" w:type="dxa"/>
          <w:left w:w="28" w:type="dxa"/>
          <w:bottom w:w="0" w:type="dxa"/>
          <w:right w:w="28" w:type="dxa"/>
        </w:tblCellMar>
      </w:tblPr>
      <w:tblGrid>
        <w:gridCol w:w="1586"/>
        <w:gridCol w:w="677"/>
        <w:gridCol w:w="810"/>
        <w:gridCol w:w="520"/>
        <w:gridCol w:w="1039"/>
        <w:gridCol w:w="126"/>
        <w:gridCol w:w="872"/>
        <w:gridCol w:w="933"/>
        <w:gridCol w:w="105"/>
        <w:gridCol w:w="818"/>
        <w:gridCol w:w="219"/>
        <w:gridCol w:w="403"/>
        <w:gridCol w:w="190"/>
        <w:gridCol w:w="359"/>
        <w:gridCol w:w="1037"/>
      </w:tblGrid>
      <w:tr w14:paraId="6CDC7D9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5000" w:type="pct"/>
            <w:gridSpan w:val="15"/>
            <w:tcBorders>
              <w:top w:val="single" w:color="000000" w:sz="12" w:space="0"/>
              <w:left w:val="nil"/>
              <w:bottom w:val="single" w:color="000000" w:sz="4" w:space="0"/>
              <w:right w:val="nil"/>
            </w:tcBorders>
            <w:vAlign w:val="center"/>
          </w:tcPr>
          <w:p w14:paraId="6BD1DB71">
            <w:pPr>
              <w:spacing w:line="240" w:lineRule="auto"/>
              <w:ind w:firstLine="0" w:firstLineChars="0"/>
              <w:jc w:val="center"/>
              <w:rPr>
                <w:b/>
                <w:bCs/>
                <w:color w:val="auto"/>
                <w:sz w:val="21"/>
                <w:szCs w:val="21"/>
              </w:rPr>
            </w:pPr>
            <w:r>
              <w:rPr>
                <w:b/>
                <w:bCs/>
                <w:color w:val="auto"/>
                <w:sz w:val="21"/>
                <w:szCs w:val="21"/>
                <w:lang w:bidi="ar"/>
              </w:rPr>
              <w:t>风险事故情形分析</w:t>
            </w:r>
          </w:p>
        </w:tc>
      </w:tr>
      <w:tr w14:paraId="13925CB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tcBorders>
              <w:top w:val="single" w:color="000000" w:sz="4" w:space="0"/>
              <w:left w:val="nil"/>
              <w:bottom w:val="single" w:color="000000" w:sz="4" w:space="0"/>
              <w:right w:val="single" w:color="000000" w:sz="4" w:space="0"/>
            </w:tcBorders>
            <w:vAlign w:val="center"/>
          </w:tcPr>
          <w:p w14:paraId="61CA7699">
            <w:pPr>
              <w:spacing w:line="240" w:lineRule="auto"/>
              <w:ind w:firstLine="0" w:firstLineChars="0"/>
              <w:jc w:val="center"/>
              <w:rPr>
                <w:color w:val="auto"/>
                <w:sz w:val="21"/>
                <w:szCs w:val="21"/>
              </w:rPr>
            </w:pPr>
            <w:r>
              <w:rPr>
                <w:color w:val="auto"/>
                <w:sz w:val="21"/>
                <w:szCs w:val="21"/>
                <w:lang w:bidi="ar"/>
              </w:rPr>
              <w:t>代表性风险事故情形描述</w:t>
            </w:r>
          </w:p>
        </w:tc>
        <w:tc>
          <w:tcPr>
            <w:tcW w:w="4182" w:type="pct"/>
            <w:gridSpan w:val="14"/>
            <w:tcBorders>
              <w:top w:val="single" w:color="000000" w:sz="4" w:space="0"/>
              <w:left w:val="single" w:color="000000" w:sz="4" w:space="0"/>
              <w:bottom w:val="single" w:color="000000" w:sz="4" w:space="0"/>
              <w:right w:val="nil"/>
            </w:tcBorders>
            <w:vAlign w:val="center"/>
          </w:tcPr>
          <w:p w14:paraId="2F34B1B6">
            <w:pPr>
              <w:spacing w:line="240" w:lineRule="auto"/>
              <w:ind w:firstLine="0" w:firstLineChars="0"/>
              <w:jc w:val="center"/>
              <w:rPr>
                <w:color w:val="auto"/>
                <w:sz w:val="21"/>
                <w:szCs w:val="21"/>
              </w:rPr>
            </w:pPr>
            <w:r>
              <w:rPr>
                <w:rFonts w:hint="eastAsia"/>
                <w:color w:val="auto"/>
                <w:sz w:val="21"/>
                <w:szCs w:val="21"/>
                <w:lang w:bidi="ar"/>
              </w:rPr>
              <w:t>液氨泄漏事故</w:t>
            </w:r>
          </w:p>
        </w:tc>
      </w:tr>
      <w:tr w14:paraId="1B67C86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tcBorders>
              <w:top w:val="single" w:color="000000" w:sz="4" w:space="0"/>
              <w:left w:val="nil"/>
              <w:bottom w:val="single" w:color="000000" w:sz="4" w:space="0"/>
              <w:right w:val="single" w:color="000000" w:sz="4" w:space="0"/>
            </w:tcBorders>
            <w:vAlign w:val="center"/>
          </w:tcPr>
          <w:p w14:paraId="70FB00BD">
            <w:pPr>
              <w:spacing w:line="240" w:lineRule="auto"/>
              <w:ind w:firstLine="0" w:firstLineChars="0"/>
              <w:jc w:val="center"/>
              <w:rPr>
                <w:color w:val="auto"/>
                <w:sz w:val="21"/>
                <w:szCs w:val="21"/>
              </w:rPr>
            </w:pPr>
            <w:r>
              <w:rPr>
                <w:color w:val="auto"/>
                <w:sz w:val="21"/>
                <w:szCs w:val="21"/>
                <w:lang w:bidi="ar"/>
              </w:rPr>
              <w:t>环境风险类型</w:t>
            </w:r>
          </w:p>
        </w:tc>
        <w:tc>
          <w:tcPr>
            <w:tcW w:w="4182" w:type="pct"/>
            <w:gridSpan w:val="14"/>
            <w:tcBorders>
              <w:top w:val="single" w:color="000000" w:sz="4" w:space="0"/>
              <w:left w:val="single" w:color="000000" w:sz="4" w:space="0"/>
              <w:bottom w:val="single" w:color="000000" w:sz="4" w:space="0"/>
              <w:right w:val="nil"/>
            </w:tcBorders>
            <w:vAlign w:val="center"/>
          </w:tcPr>
          <w:p w14:paraId="685837F6">
            <w:pPr>
              <w:spacing w:line="240" w:lineRule="auto"/>
              <w:ind w:firstLine="0" w:firstLineChars="0"/>
              <w:jc w:val="center"/>
              <w:rPr>
                <w:color w:val="auto"/>
                <w:sz w:val="21"/>
                <w:szCs w:val="21"/>
              </w:rPr>
            </w:pPr>
            <w:r>
              <w:rPr>
                <w:color w:val="auto"/>
                <w:sz w:val="21"/>
                <w:szCs w:val="21"/>
                <w:lang w:bidi="ar"/>
              </w:rPr>
              <w:t>泄漏</w:t>
            </w:r>
          </w:p>
        </w:tc>
      </w:tr>
      <w:tr w14:paraId="01B0EF5D">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tcBorders>
              <w:top w:val="single" w:color="000000" w:sz="4" w:space="0"/>
              <w:left w:val="nil"/>
              <w:bottom w:val="single" w:color="000000" w:sz="4" w:space="0"/>
              <w:right w:val="single" w:color="000000" w:sz="4" w:space="0"/>
            </w:tcBorders>
            <w:vAlign w:val="center"/>
          </w:tcPr>
          <w:p w14:paraId="777F46A4">
            <w:pPr>
              <w:spacing w:line="240" w:lineRule="auto"/>
              <w:ind w:firstLine="0" w:firstLineChars="0"/>
              <w:jc w:val="center"/>
              <w:rPr>
                <w:color w:val="auto"/>
                <w:sz w:val="21"/>
                <w:szCs w:val="21"/>
              </w:rPr>
            </w:pPr>
            <w:r>
              <w:rPr>
                <w:color w:val="auto"/>
                <w:sz w:val="21"/>
                <w:szCs w:val="21"/>
                <w:lang w:bidi="ar"/>
              </w:rPr>
              <w:t>泄漏设备类型</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68C6091F">
            <w:pPr>
              <w:spacing w:line="240" w:lineRule="auto"/>
              <w:ind w:firstLine="0" w:firstLineChars="0"/>
              <w:jc w:val="center"/>
              <w:rPr>
                <w:color w:val="auto"/>
                <w:sz w:val="21"/>
                <w:szCs w:val="21"/>
              </w:rPr>
            </w:pPr>
            <w:r>
              <w:rPr>
                <w:color w:val="auto"/>
                <w:sz w:val="21"/>
                <w:szCs w:val="21"/>
                <w:lang w:bidi="ar"/>
              </w:rPr>
              <w:t>储罐</w:t>
            </w:r>
          </w:p>
        </w:tc>
        <w:tc>
          <w:tcPr>
            <w:tcW w:w="804" w:type="pct"/>
            <w:gridSpan w:val="2"/>
            <w:tcBorders>
              <w:top w:val="single" w:color="000000" w:sz="4" w:space="0"/>
              <w:left w:val="single" w:color="000000" w:sz="4" w:space="0"/>
              <w:bottom w:val="single" w:color="000000" w:sz="4" w:space="0"/>
              <w:right w:val="single" w:color="000000" w:sz="4" w:space="0"/>
            </w:tcBorders>
            <w:vAlign w:val="center"/>
          </w:tcPr>
          <w:p w14:paraId="1058DABB">
            <w:pPr>
              <w:spacing w:line="240" w:lineRule="auto"/>
              <w:ind w:firstLine="0" w:firstLineChars="0"/>
              <w:jc w:val="center"/>
              <w:rPr>
                <w:color w:val="auto"/>
                <w:sz w:val="21"/>
                <w:szCs w:val="21"/>
              </w:rPr>
            </w:pPr>
            <w:r>
              <w:rPr>
                <w:color w:val="auto"/>
                <w:sz w:val="21"/>
                <w:szCs w:val="21"/>
                <w:lang w:bidi="ar"/>
              </w:rPr>
              <w:t>操作温度/℃</w:t>
            </w:r>
          </w:p>
        </w:tc>
        <w:tc>
          <w:tcPr>
            <w:tcW w:w="996" w:type="pct"/>
            <w:gridSpan w:val="3"/>
            <w:tcBorders>
              <w:top w:val="single" w:color="000000" w:sz="4" w:space="0"/>
              <w:left w:val="single" w:color="000000" w:sz="4" w:space="0"/>
              <w:bottom w:val="single" w:color="000000" w:sz="4" w:space="0"/>
              <w:right w:val="single" w:color="000000" w:sz="4" w:space="0"/>
            </w:tcBorders>
            <w:vAlign w:val="center"/>
          </w:tcPr>
          <w:p w14:paraId="3BCC0410">
            <w:pPr>
              <w:spacing w:line="240" w:lineRule="auto"/>
              <w:ind w:firstLine="0" w:firstLineChars="0"/>
              <w:jc w:val="center"/>
              <w:rPr>
                <w:color w:val="auto"/>
                <w:sz w:val="21"/>
                <w:szCs w:val="21"/>
              </w:rPr>
            </w:pPr>
            <w:r>
              <w:rPr>
                <w:color w:val="auto"/>
                <w:sz w:val="21"/>
                <w:szCs w:val="21"/>
                <w:lang w:bidi="ar"/>
              </w:rPr>
              <w:t>25</w:t>
            </w:r>
          </w:p>
        </w:tc>
        <w:tc>
          <w:tcPr>
            <w:tcW w:w="797" w:type="pct"/>
            <w:gridSpan w:val="4"/>
            <w:tcBorders>
              <w:top w:val="single" w:color="000000" w:sz="4" w:space="0"/>
              <w:left w:val="single" w:color="000000" w:sz="4" w:space="0"/>
              <w:bottom w:val="single" w:color="000000" w:sz="4" w:space="0"/>
              <w:right w:val="single" w:color="000000" w:sz="4" w:space="0"/>
            </w:tcBorders>
            <w:vAlign w:val="center"/>
          </w:tcPr>
          <w:p w14:paraId="1CC4A245">
            <w:pPr>
              <w:spacing w:line="240" w:lineRule="auto"/>
              <w:ind w:firstLine="0" w:firstLineChars="0"/>
              <w:jc w:val="center"/>
              <w:rPr>
                <w:color w:val="auto"/>
                <w:sz w:val="21"/>
                <w:szCs w:val="21"/>
              </w:rPr>
            </w:pPr>
            <w:r>
              <w:rPr>
                <w:color w:val="auto"/>
                <w:sz w:val="21"/>
                <w:szCs w:val="21"/>
                <w:lang w:bidi="ar"/>
              </w:rPr>
              <w:t>操作压力/KPa</w:t>
            </w:r>
          </w:p>
        </w:tc>
        <w:tc>
          <w:tcPr>
            <w:tcW w:w="818" w:type="pct"/>
            <w:gridSpan w:val="3"/>
            <w:tcBorders>
              <w:top w:val="single" w:color="000000" w:sz="4" w:space="0"/>
              <w:left w:val="single" w:color="000000" w:sz="4" w:space="0"/>
              <w:bottom w:val="single" w:color="000000" w:sz="4" w:space="0"/>
              <w:right w:val="nil"/>
            </w:tcBorders>
            <w:vAlign w:val="center"/>
          </w:tcPr>
          <w:p w14:paraId="3E91FD58">
            <w:pPr>
              <w:spacing w:line="240" w:lineRule="auto"/>
              <w:ind w:firstLine="0" w:firstLineChars="0"/>
              <w:jc w:val="center"/>
              <w:rPr>
                <w:color w:val="auto"/>
                <w:sz w:val="21"/>
                <w:szCs w:val="21"/>
              </w:rPr>
            </w:pPr>
            <w:r>
              <w:rPr>
                <w:rFonts w:hint="eastAsia"/>
                <w:color w:val="auto"/>
                <w:sz w:val="21"/>
                <w:szCs w:val="21"/>
                <w:lang w:bidi="ar"/>
              </w:rPr>
              <w:t>1200</w:t>
            </w:r>
          </w:p>
        </w:tc>
      </w:tr>
      <w:tr w14:paraId="1CF32D3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tcBorders>
              <w:top w:val="single" w:color="000000" w:sz="4" w:space="0"/>
              <w:left w:val="nil"/>
              <w:bottom w:val="single" w:color="000000" w:sz="4" w:space="0"/>
              <w:right w:val="single" w:color="000000" w:sz="4" w:space="0"/>
            </w:tcBorders>
            <w:vAlign w:val="center"/>
          </w:tcPr>
          <w:p w14:paraId="7BDB86D1">
            <w:pPr>
              <w:spacing w:line="240" w:lineRule="auto"/>
              <w:ind w:firstLine="0" w:firstLineChars="0"/>
              <w:jc w:val="center"/>
              <w:rPr>
                <w:color w:val="auto"/>
                <w:sz w:val="21"/>
                <w:szCs w:val="21"/>
              </w:rPr>
            </w:pPr>
            <w:r>
              <w:rPr>
                <w:color w:val="auto"/>
                <w:sz w:val="21"/>
                <w:szCs w:val="21"/>
                <w:lang w:bidi="ar"/>
              </w:rPr>
              <w:t>泄漏危险物质</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2FCFFD6F">
            <w:pPr>
              <w:spacing w:line="240" w:lineRule="auto"/>
              <w:ind w:firstLine="0" w:firstLineChars="0"/>
              <w:jc w:val="center"/>
              <w:rPr>
                <w:color w:val="auto"/>
                <w:sz w:val="21"/>
                <w:szCs w:val="21"/>
              </w:rPr>
            </w:pPr>
            <w:r>
              <w:rPr>
                <w:rFonts w:hint="eastAsia"/>
                <w:color w:val="auto"/>
                <w:sz w:val="21"/>
                <w:szCs w:val="21"/>
                <w:lang w:bidi="ar"/>
              </w:rPr>
              <w:t>液氨</w:t>
            </w:r>
          </w:p>
        </w:tc>
        <w:tc>
          <w:tcPr>
            <w:tcW w:w="804" w:type="pct"/>
            <w:gridSpan w:val="2"/>
            <w:tcBorders>
              <w:top w:val="single" w:color="000000" w:sz="4" w:space="0"/>
              <w:left w:val="single" w:color="000000" w:sz="4" w:space="0"/>
              <w:bottom w:val="single" w:color="000000" w:sz="4" w:space="0"/>
              <w:right w:val="single" w:color="000000" w:sz="4" w:space="0"/>
            </w:tcBorders>
            <w:vAlign w:val="center"/>
          </w:tcPr>
          <w:p w14:paraId="593A5F51">
            <w:pPr>
              <w:spacing w:line="240" w:lineRule="auto"/>
              <w:ind w:firstLine="0" w:firstLineChars="0"/>
              <w:jc w:val="center"/>
              <w:rPr>
                <w:color w:val="auto"/>
                <w:sz w:val="21"/>
                <w:szCs w:val="21"/>
              </w:rPr>
            </w:pPr>
            <w:r>
              <w:rPr>
                <w:color w:val="auto"/>
                <w:sz w:val="21"/>
                <w:szCs w:val="21"/>
                <w:lang w:bidi="ar"/>
              </w:rPr>
              <w:t>最大存在量/kg</w:t>
            </w:r>
          </w:p>
        </w:tc>
        <w:tc>
          <w:tcPr>
            <w:tcW w:w="996" w:type="pct"/>
            <w:gridSpan w:val="3"/>
            <w:tcBorders>
              <w:top w:val="single" w:color="000000" w:sz="4" w:space="0"/>
              <w:left w:val="single" w:color="000000" w:sz="4" w:space="0"/>
              <w:bottom w:val="single" w:color="000000" w:sz="4" w:space="0"/>
              <w:right w:val="single" w:color="000000" w:sz="4" w:space="0"/>
            </w:tcBorders>
            <w:vAlign w:val="center"/>
          </w:tcPr>
          <w:p w14:paraId="2F679805">
            <w:pPr>
              <w:spacing w:line="240" w:lineRule="auto"/>
              <w:ind w:firstLine="0" w:firstLineChars="0"/>
              <w:jc w:val="center"/>
              <w:rPr>
                <w:color w:val="auto"/>
                <w:sz w:val="21"/>
                <w:szCs w:val="21"/>
              </w:rPr>
            </w:pPr>
            <w:r>
              <w:rPr>
                <w:rFonts w:hint="eastAsia"/>
                <w:color w:val="auto"/>
                <w:sz w:val="21"/>
                <w:szCs w:val="21"/>
                <w:lang w:bidi="ar"/>
              </w:rPr>
              <w:t>9540</w:t>
            </w:r>
          </w:p>
        </w:tc>
        <w:tc>
          <w:tcPr>
            <w:tcW w:w="797" w:type="pct"/>
            <w:gridSpan w:val="4"/>
            <w:tcBorders>
              <w:top w:val="single" w:color="000000" w:sz="4" w:space="0"/>
              <w:left w:val="single" w:color="000000" w:sz="4" w:space="0"/>
              <w:bottom w:val="single" w:color="000000" w:sz="4" w:space="0"/>
              <w:right w:val="single" w:color="000000" w:sz="4" w:space="0"/>
            </w:tcBorders>
            <w:vAlign w:val="center"/>
          </w:tcPr>
          <w:p w14:paraId="343FB961">
            <w:pPr>
              <w:spacing w:line="240" w:lineRule="auto"/>
              <w:ind w:firstLine="0" w:firstLineChars="0"/>
              <w:jc w:val="center"/>
              <w:rPr>
                <w:color w:val="auto"/>
                <w:sz w:val="21"/>
                <w:szCs w:val="21"/>
              </w:rPr>
            </w:pPr>
            <w:r>
              <w:rPr>
                <w:color w:val="auto"/>
                <w:sz w:val="21"/>
                <w:szCs w:val="21"/>
                <w:lang w:bidi="ar"/>
              </w:rPr>
              <w:t>泄漏孔径/mm</w:t>
            </w:r>
          </w:p>
        </w:tc>
        <w:tc>
          <w:tcPr>
            <w:tcW w:w="818" w:type="pct"/>
            <w:gridSpan w:val="3"/>
            <w:tcBorders>
              <w:top w:val="single" w:color="000000" w:sz="4" w:space="0"/>
              <w:left w:val="single" w:color="000000" w:sz="4" w:space="0"/>
              <w:bottom w:val="single" w:color="000000" w:sz="4" w:space="0"/>
              <w:right w:val="nil"/>
            </w:tcBorders>
            <w:vAlign w:val="center"/>
          </w:tcPr>
          <w:p w14:paraId="0BB7959C">
            <w:pPr>
              <w:spacing w:line="240" w:lineRule="auto"/>
              <w:ind w:firstLine="0" w:firstLineChars="0"/>
              <w:jc w:val="center"/>
              <w:rPr>
                <w:color w:val="auto"/>
                <w:sz w:val="21"/>
                <w:szCs w:val="21"/>
              </w:rPr>
            </w:pPr>
            <w:r>
              <w:rPr>
                <w:color w:val="auto"/>
                <w:sz w:val="21"/>
                <w:szCs w:val="21"/>
                <w:lang w:bidi="ar"/>
              </w:rPr>
              <w:t>10</w:t>
            </w:r>
          </w:p>
        </w:tc>
      </w:tr>
      <w:tr w14:paraId="5BCCA9AC">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tcBorders>
              <w:top w:val="single" w:color="000000" w:sz="4" w:space="0"/>
              <w:left w:val="nil"/>
              <w:bottom w:val="single" w:color="000000" w:sz="4" w:space="0"/>
              <w:right w:val="single" w:color="000000" w:sz="4" w:space="0"/>
            </w:tcBorders>
            <w:vAlign w:val="center"/>
          </w:tcPr>
          <w:p w14:paraId="381A1230">
            <w:pPr>
              <w:spacing w:line="240" w:lineRule="auto"/>
              <w:ind w:firstLine="0" w:firstLineChars="0"/>
              <w:jc w:val="center"/>
              <w:rPr>
                <w:color w:val="auto"/>
                <w:sz w:val="21"/>
                <w:szCs w:val="21"/>
              </w:rPr>
            </w:pPr>
            <w:r>
              <w:rPr>
                <w:color w:val="auto"/>
                <w:sz w:val="21"/>
                <w:szCs w:val="21"/>
                <w:lang w:bidi="ar"/>
              </w:rPr>
              <w:t>泄漏速率/（kg/s）</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5B387D4C">
            <w:pPr>
              <w:spacing w:line="240" w:lineRule="auto"/>
              <w:ind w:firstLine="0" w:firstLineChars="0"/>
              <w:jc w:val="center"/>
              <w:rPr>
                <w:color w:val="auto"/>
                <w:sz w:val="21"/>
                <w:szCs w:val="21"/>
              </w:rPr>
            </w:pPr>
            <w:r>
              <w:rPr>
                <w:rFonts w:hint="eastAsia"/>
                <w:color w:val="auto"/>
                <w:sz w:val="21"/>
                <w:szCs w:val="21"/>
              </w:rPr>
              <w:t>1.899</w:t>
            </w:r>
          </w:p>
        </w:tc>
        <w:tc>
          <w:tcPr>
            <w:tcW w:w="804" w:type="pct"/>
            <w:gridSpan w:val="2"/>
            <w:tcBorders>
              <w:top w:val="single" w:color="000000" w:sz="4" w:space="0"/>
              <w:left w:val="single" w:color="000000" w:sz="4" w:space="0"/>
              <w:bottom w:val="single" w:color="000000" w:sz="4" w:space="0"/>
              <w:right w:val="single" w:color="000000" w:sz="4" w:space="0"/>
            </w:tcBorders>
            <w:vAlign w:val="center"/>
          </w:tcPr>
          <w:p w14:paraId="212BBFDA">
            <w:pPr>
              <w:spacing w:line="240" w:lineRule="auto"/>
              <w:ind w:firstLine="0" w:firstLineChars="0"/>
              <w:jc w:val="center"/>
              <w:rPr>
                <w:color w:val="auto"/>
                <w:sz w:val="21"/>
                <w:szCs w:val="21"/>
              </w:rPr>
            </w:pPr>
            <w:r>
              <w:rPr>
                <w:color w:val="auto"/>
                <w:sz w:val="21"/>
                <w:szCs w:val="21"/>
                <w:lang w:bidi="ar"/>
              </w:rPr>
              <w:t>泄漏时间/min</w:t>
            </w:r>
          </w:p>
        </w:tc>
        <w:tc>
          <w:tcPr>
            <w:tcW w:w="996" w:type="pct"/>
            <w:gridSpan w:val="3"/>
            <w:tcBorders>
              <w:top w:val="single" w:color="000000" w:sz="4" w:space="0"/>
              <w:left w:val="single" w:color="000000" w:sz="4" w:space="0"/>
              <w:bottom w:val="single" w:color="000000" w:sz="4" w:space="0"/>
              <w:right w:val="single" w:color="000000" w:sz="4" w:space="0"/>
            </w:tcBorders>
            <w:vAlign w:val="center"/>
          </w:tcPr>
          <w:p w14:paraId="266BCF9C">
            <w:pPr>
              <w:spacing w:line="240" w:lineRule="auto"/>
              <w:ind w:firstLine="0" w:firstLineChars="0"/>
              <w:jc w:val="center"/>
              <w:rPr>
                <w:color w:val="auto"/>
                <w:sz w:val="21"/>
                <w:szCs w:val="21"/>
              </w:rPr>
            </w:pPr>
            <w:r>
              <w:rPr>
                <w:color w:val="auto"/>
                <w:sz w:val="21"/>
                <w:szCs w:val="21"/>
                <w:lang w:bidi="ar"/>
              </w:rPr>
              <w:t>30</w:t>
            </w:r>
          </w:p>
        </w:tc>
        <w:tc>
          <w:tcPr>
            <w:tcW w:w="797" w:type="pct"/>
            <w:gridSpan w:val="4"/>
            <w:tcBorders>
              <w:top w:val="single" w:color="000000" w:sz="4" w:space="0"/>
              <w:left w:val="single" w:color="000000" w:sz="4" w:space="0"/>
              <w:bottom w:val="single" w:color="000000" w:sz="4" w:space="0"/>
              <w:right w:val="single" w:color="000000" w:sz="4" w:space="0"/>
            </w:tcBorders>
            <w:vAlign w:val="center"/>
          </w:tcPr>
          <w:p w14:paraId="11085D1B">
            <w:pPr>
              <w:spacing w:line="240" w:lineRule="auto"/>
              <w:ind w:firstLine="0" w:firstLineChars="0"/>
              <w:jc w:val="center"/>
              <w:rPr>
                <w:color w:val="auto"/>
                <w:sz w:val="21"/>
                <w:szCs w:val="21"/>
              </w:rPr>
            </w:pPr>
            <w:r>
              <w:rPr>
                <w:color w:val="auto"/>
                <w:sz w:val="21"/>
                <w:szCs w:val="21"/>
                <w:lang w:bidi="ar"/>
              </w:rPr>
              <w:t>泄漏量/kg</w:t>
            </w:r>
          </w:p>
        </w:tc>
        <w:tc>
          <w:tcPr>
            <w:tcW w:w="818" w:type="pct"/>
            <w:gridSpan w:val="3"/>
            <w:tcBorders>
              <w:top w:val="single" w:color="000000" w:sz="4" w:space="0"/>
              <w:left w:val="single" w:color="000000" w:sz="4" w:space="0"/>
              <w:bottom w:val="single" w:color="000000" w:sz="4" w:space="0"/>
              <w:right w:val="nil"/>
            </w:tcBorders>
            <w:vAlign w:val="center"/>
          </w:tcPr>
          <w:p w14:paraId="08E88896">
            <w:pPr>
              <w:spacing w:line="240" w:lineRule="auto"/>
              <w:ind w:firstLine="0" w:firstLineChars="0"/>
              <w:jc w:val="center"/>
              <w:rPr>
                <w:color w:val="auto"/>
                <w:sz w:val="21"/>
                <w:szCs w:val="21"/>
              </w:rPr>
            </w:pPr>
            <w:r>
              <w:rPr>
                <w:rFonts w:hint="eastAsia"/>
                <w:color w:val="auto"/>
                <w:sz w:val="21"/>
                <w:szCs w:val="21"/>
              </w:rPr>
              <w:t>3418.016</w:t>
            </w:r>
          </w:p>
        </w:tc>
      </w:tr>
      <w:tr w14:paraId="5866F9B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524" w:hRule="atLeast"/>
          <w:jc w:val="center"/>
        </w:trPr>
        <w:tc>
          <w:tcPr>
            <w:tcW w:w="818" w:type="pct"/>
            <w:tcBorders>
              <w:top w:val="single" w:color="000000" w:sz="4" w:space="0"/>
              <w:left w:val="nil"/>
              <w:bottom w:val="single" w:color="000000" w:sz="4" w:space="0"/>
              <w:right w:val="single" w:color="000000" w:sz="4" w:space="0"/>
            </w:tcBorders>
            <w:vAlign w:val="center"/>
          </w:tcPr>
          <w:p w14:paraId="55961AC0">
            <w:pPr>
              <w:spacing w:line="240" w:lineRule="auto"/>
              <w:ind w:firstLine="0" w:firstLineChars="0"/>
              <w:jc w:val="center"/>
              <w:rPr>
                <w:color w:val="auto"/>
                <w:sz w:val="21"/>
                <w:szCs w:val="21"/>
              </w:rPr>
            </w:pPr>
            <w:r>
              <w:rPr>
                <w:color w:val="auto"/>
                <w:sz w:val="21"/>
                <w:szCs w:val="21"/>
                <w:lang w:bidi="ar"/>
              </w:rPr>
              <w:t>泄漏高度/m</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7A8D2DD5">
            <w:pPr>
              <w:spacing w:line="240" w:lineRule="auto"/>
              <w:ind w:firstLine="0" w:firstLineChars="0"/>
              <w:jc w:val="center"/>
              <w:rPr>
                <w:color w:val="auto"/>
                <w:sz w:val="21"/>
                <w:szCs w:val="21"/>
              </w:rPr>
            </w:pPr>
            <w:r>
              <w:rPr>
                <w:rFonts w:hint="eastAsia"/>
                <w:color w:val="auto"/>
                <w:sz w:val="21"/>
                <w:szCs w:val="21"/>
                <w:lang w:bidi="ar"/>
              </w:rPr>
              <w:t>3</w:t>
            </w:r>
          </w:p>
        </w:tc>
        <w:tc>
          <w:tcPr>
            <w:tcW w:w="804" w:type="pct"/>
            <w:gridSpan w:val="2"/>
            <w:tcBorders>
              <w:top w:val="single" w:color="000000" w:sz="4" w:space="0"/>
              <w:left w:val="single" w:color="000000" w:sz="4" w:space="0"/>
              <w:bottom w:val="single" w:color="000000" w:sz="4" w:space="0"/>
              <w:right w:val="single" w:color="000000" w:sz="4" w:space="0"/>
            </w:tcBorders>
            <w:vAlign w:val="center"/>
          </w:tcPr>
          <w:p w14:paraId="15244EC6">
            <w:pPr>
              <w:spacing w:line="240" w:lineRule="auto"/>
              <w:ind w:firstLine="0" w:firstLineChars="0"/>
              <w:jc w:val="center"/>
              <w:rPr>
                <w:color w:val="auto"/>
                <w:sz w:val="21"/>
                <w:szCs w:val="21"/>
              </w:rPr>
            </w:pPr>
            <w:r>
              <w:rPr>
                <w:color w:val="auto"/>
                <w:sz w:val="21"/>
                <w:szCs w:val="21"/>
                <w:lang w:bidi="ar"/>
              </w:rPr>
              <w:t>泄漏液体蒸发量/kg</w:t>
            </w:r>
          </w:p>
        </w:tc>
        <w:tc>
          <w:tcPr>
            <w:tcW w:w="996" w:type="pct"/>
            <w:gridSpan w:val="3"/>
            <w:tcBorders>
              <w:top w:val="single" w:color="000000" w:sz="4" w:space="0"/>
              <w:left w:val="single" w:color="000000" w:sz="4" w:space="0"/>
              <w:right w:val="single" w:color="000000" w:sz="4" w:space="0"/>
            </w:tcBorders>
            <w:vAlign w:val="center"/>
          </w:tcPr>
          <w:p w14:paraId="2CEEC84A">
            <w:pPr>
              <w:spacing w:line="240" w:lineRule="auto"/>
              <w:ind w:firstLine="0" w:firstLineChars="0"/>
              <w:jc w:val="center"/>
              <w:rPr>
                <w:color w:val="auto"/>
                <w:sz w:val="21"/>
                <w:szCs w:val="21"/>
              </w:rPr>
            </w:pPr>
            <w:r>
              <w:rPr>
                <w:rFonts w:hint="eastAsia"/>
                <w:color w:val="auto"/>
                <w:sz w:val="21"/>
                <w:szCs w:val="21"/>
              </w:rPr>
              <w:t>3418.016</w:t>
            </w:r>
            <w:r>
              <w:rPr>
                <w:color w:val="auto"/>
                <w:sz w:val="21"/>
                <w:szCs w:val="21"/>
                <w:lang w:bidi="ar"/>
              </w:rPr>
              <w:t>（不利）</w:t>
            </w:r>
          </w:p>
        </w:tc>
        <w:tc>
          <w:tcPr>
            <w:tcW w:w="797" w:type="pct"/>
            <w:gridSpan w:val="4"/>
            <w:tcBorders>
              <w:top w:val="single" w:color="000000" w:sz="4" w:space="0"/>
              <w:left w:val="single" w:color="000000" w:sz="4" w:space="0"/>
              <w:bottom w:val="single" w:color="000000" w:sz="4" w:space="0"/>
              <w:right w:val="single" w:color="000000" w:sz="4" w:space="0"/>
            </w:tcBorders>
            <w:vAlign w:val="center"/>
          </w:tcPr>
          <w:p w14:paraId="5F8687DD">
            <w:pPr>
              <w:spacing w:line="240" w:lineRule="auto"/>
              <w:ind w:firstLine="0" w:firstLineChars="0"/>
              <w:jc w:val="center"/>
              <w:rPr>
                <w:color w:val="auto"/>
                <w:sz w:val="21"/>
                <w:szCs w:val="21"/>
              </w:rPr>
            </w:pPr>
            <w:r>
              <w:rPr>
                <w:color w:val="auto"/>
                <w:sz w:val="21"/>
                <w:szCs w:val="21"/>
                <w:lang w:bidi="ar"/>
              </w:rPr>
              <w:t>泄漏频率</w:t>
            </w:r>
          </w:p>
        </w:tc>
        <w:tc>
          <w:tcPr>
            <w:tcW w:w="818" w:type="pct"/>
            <w:gridSpan w:val="3"/>
            <w:tcBorders>
              <w:top w:val="single" w:color="000000" w:sz="4" w:space="0"/>
              <w:left w:val="single" w:color="000000" w:sz="4" w:space="0"/>
              <w:bottom w:val="single" w:color="000000" w:sz="4" w:space="0"/>
              <w:right w:val="nil"/>
            </w:tcBorders>
            <w:vAlign w:val="center"/>
          </w:tcPr>
          <w:p w14:paraId="4716FFFA">
            <w:pPr>
              <w:spacing w:line="240" w:lineRule="auto"/>
              <w:ind w:firstLine="0" w:firstLineChars="0"/>
              <w:jc w:val="center"/>
              <w:rPr>
                <w:color w:val="auto"/>
                <w:sz w:val="21"/>
                <w:szCs w:val="21"/>
              </w:rPr>
            </w:pPr>
            <w:r>
              <w:rPr>
                <w:color w:val="auto"/>
                <w:kern w:val="24"/>
                <w:sz w:val="21"/>
                <w:szCs w:val="21"/>
                <w:lang w:bidi="ar"/>
              </w:rPr>
              <w:t>1.0×10</w:t>
            </w:r>
            <w:r>
              <w:rPr>
                <w:color w:val="auto"/>
                <w:kern w:val="24"/>
                <w:sz w:val="21"/>
                <w:szCs w:val="21"/>
                <w:vertAlign w:val="superscript"/>
                <w:lang w:bidi="ar"/>
              </w:rPr>
              <w:t>-4</w:t>
            </w:r>
            <w:r>
              <w:rPr>
                <w:color w:val="auto"/>
                <w:kern w:val="24"/>
                <w:sz w:val="21"/>
                <w:szCs w:val="21"/>
                <w:lang w:bidi="ar"/>
              </w:rPr>
              <w:t>/a</w:t>
            </w:r>
          </w:p>
        </w:tc>
      </w:tr>
      <w:tr w14:paraId="6EBC5576">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5000" w:type="pct"/>
            <w:gridSpan w:val="15"/>
            <w:tcBorders>
              <w:top w:val="single" w:color="000000" w:sz="4" w:space="0"/>
              <w:left w:val="nil"/>
              <w:bottom w:val="single" w:color="000000" w:sz="4" w:space="0"/>
              <w:right w:val="nil"/>
            </w:tcBorders>
            <w:vAlign w:val="center"/>
          </w:tcPr>
          <w:p w14:paraId="3CA706CA">
            <w:pPr>
              <w:spacing w:line="240" w:lineRule="auto"/>
              <w:ind w:firstLine="0" w:firstLineChars="0"/>
              <w:jc w:val="center"/>
              <w:rPr>
                <w:color w:val="auto"/>
                <w:sz w:val="21"/>
                <w:szCs w:val="21"/>
              </w:rPr>
            </w:pPr>
            <w:r>
              <w:rPr>
                <w:color w:val="auto"/>
                <w:sz w:val="21"/>
                <w:szCs w:val="21"/>
                <w:lang w:bidi="ar"/>
              </w:rPr>
              <w:t>事故后果预测</w:t>
            </w:r>
          </w:p>
        </w:tc>
      </w:tr>
      <w:tr w14:paraId="3FDDD3D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restart"/>
            <w:tcBorders>
              <w:top w:val="single" w:color="000000" w:sz="4" w:space="0"/>
              <w:left w:val="nil"/>
              <w:bottom w:val="single" w:color="000000" w:sz="4" w:space="0"/>
              <w:right w:val="single" w:color="000000" w:sz="4" w:space="0"/>
            </w:tcBorders>
            <w:vAlign w:val="center"/>
          </w:tcPr>
          <w:p w14:paraId="4A278727">
            <w:pPr>
              <w:spacing w:line="240" w:lineRule="auto"/>
              <w:ind w:firstLine="0" w:firstLineChars="0"/>
              <w:jc w:val="center"/>
              <w:rPr>
                <w:color w:val="auto"/>
                <w:sz w:val="21"/>
                <w:szCs w:val="21"/>
              </w:rPr>
            </w:pPr>
            <w:r>
              <w:rPr>
                <w:color w:val="auto"/>
                <w:sz w:val="21"/>
                <w:szCs w:val="21"/>
                <w:lang w:bidi="ar"/>
              </w:rPr>
              <w:t>大气</w:t>
            </w:r>
          </w:p>
        </w:tc>
        <w:tc>
          <w:tcPr>
            <w:tcW w:w="349" w:type="pct"/>
            <w:vMerge w:val="restart"/>
            <w:tcBorders>
              <w:top w:val="single" w:color="000000" w:sz="4" w:space="0"/>
              <w:left w:val="single" w:color="000000" w:sz="4" w:space="0"/>
              <w:bottom w:val="single" w:color="000000" w:sz="4" w:space="0"/>
              <w:right w:val="single" w:color="000000" w:sz="4" w:space="0"/>
            </w:tcBorders>
            <w:vAlign w:val="center"/>
          </w:tcPr>
          <w:p w14:paraId="6978C399">
            <w:pPr>
              <w:spacing w:line="240" w:lineRule="auto"/>
              <w:ind w:firstLine="0" w:firstLineChars="0"/>
              <w:jc w:val="center"/>
              <w:rPr>
                <w:color w:val="auto"/>
                <w:sz w:val="21"/>
                <w:szCs w:val="21"/>
              </w:rPr>
            </w:pPr>
            <w:r>
              <w:rPr>
                <w:color w:val="auto"/>
                <w:sz w:val="21"/>
                <w:szCs w:val="21"/>
                <w:lang w:bidi="ar"/>
              </w:rPr>
              <w:t>危险物质</w:t>
            </w:r>
          </w:p>
        </w:tc>
        <w:tc>
          <w:tcPr>
            <w:tcW w:w="3833" w:type="pct"/>
            <w:gridSpan w:val="13"/>
            <w:tcBorders>
              <w:top w:val="single" w:color="000000" w:sz="4" w:space="0"/>
              <w:left w:val="single" w:color="000000" w:sz="4" w:space="0"/>
              <w:bottom w:val="single" w:color="000000" w:sz="4" w:space="0"/>
              <w:right w:val="nil"/>
            </w:tcBorders>
            <w:vAlign w:val="center"/>
          </w:tcPr>
          <w:p w14:paraId="58F4BC04">
            <w:pPr>
              <w:spacing w:line="240" w:lineRule="auto"/>
              <w:ind w:firstLine="0" w:firstLineChars="0"/>
              <w:jc w:val="center"/>
              <w:rPr>
                <w:color w:val="auto"/>
                <w:sz w:val="21"/>
                <w:szCs w:val="21"/>
              </w:rPr>
            </w:pPr>
            <w:r>
              <w:rPr>
                <w:color w:val="auto"/>
                <w:sz w:val="21"/>
                <w:szCs w:val="21"/>
                <w:lang w:bidi="ar"/>
              </w:rPr>
              <w:t>大气环境影响</w:t>
            </w:r>
          </w:p>
        </w:tc>
      </w:tr>
      <w:tr w14:paraId="761450E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3C140E7C">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687C73CD">
            <w:pPr>
              <w:spacing w:line="240" w:lineRule="auto"/>
              <w:ind w:firstLine="0" w:firstLineChars="0"/>
              <w:rPr>
                <w:color w:val="auto"/>
                <w:sz w:val="21"/>
                <w:szCs w:val="21"/>
              </w:rPr>
            </w:pP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097367A0">
            <w:pPr>
              <w:spacing w:line="240" w:lineRule="auto"/>
              <w:ind w:firstLine="0" w:firstLineChars="0"/>
              <w:jc w:val="center"/>
              <w:rPr>
                <w:color w:val="auto"/>
                <w:sz w:val="21"/>
                <w:szCs w:val="21"/>
              </w:rPr>
            </w:pPr>
            <w:r>
              <w:rPr>
                <w:color w:val="auto"/>
                <w:sz w:val="21"/>
                <w:szCs w:val="21"/>
                <w:lang w:bidi="ar"/>
              </w:rPr>
              <w:t>气象条件</w:t>
            </w:r>
          </w:p>
        </w:tc>
        <w:tc>
          <w:tcPr>
            <w:tcW w:w="1586" w:type="pct"/>
            <w:gridSpan w:val="5"/>
            <w:tcBorders>
              <w:top w:val="single" w:color="000000" w:sz="4" w:space="0"/>
              <w:left w:val="single" w:color="000000" w:sz="4" w:space="0"/>
              <w:bottom w:val="single" w:color="000000" w:sz="4" w:space="0"/>
              <w:right w:val="single" w:color="000000" w:sz="4" w:space="0"/>
            </w:tcBorders>
            <w:vAlign w:val="center"/>
          </w:tcPr>
          <w:p w14:paraId="2B5B2B09">
            <w:pPr>
              <w:spacing w:line="240" w:lineRule="auto"/>
              <w:ind w:firstLine="0" w:firstLineChars="0"/>
              <w:jc w:val="center"/>
              <w:rPr>
                <w:color w:val="auto"/>
                <w:sz w:val="21"/>
                <w:szCs w:val="21"/>
              </w:rPr>
            </w:pPr>
            <w:r>
              <w:rPr>
                <w:color w:val="auto"/>
                <w:sz w:val="21"/>
                <w:szCs w:val="21"/>
                <w:lang w:bidi="ar"/>
              </w:rPr>
              <w:t>常见</w:t>
            </w:r>
          </w:p>
        </w:tc>
        <w:tc>
          <w:tcPr>
            <w:tcW w:w="1561" w:type="pct"/>
            <w:gridSpan w:val="6"/>
            <w:tcBorders>
              <w:top w:val="single" w:color="000000" w:sz="4" w:space="0"/>
              <w:left w:val="single" w:color="000000" w:sz="4" w:space="0"/>
              <w:bottom w:val="single" w:color="000000" w:sz="4" w:space="0"/>
              <w:right w:val="nil"/>
            </w:tcBorders>
            <w:vAlign w:val="center"/>
          </w:tcPr>
          <w:p w14:paraId="638EBDCD">
            <w:pPr>
              <w:spacing w:line="240" w:lineRule="auto"/>
              <w:ind w:firstLine="0" w:firstLineChars="0"/>
              <w:jc w:val="center"/>
              <w:rPr>
                <w:color w:val="auto"/>
                <w:sz w:val="21"/>
                <w:szCs w:val="21"/>
              </w:rPr>
            </w:pPr>
            <w:r>
              <w:rPr>
                <w:color w:val="auto"/>
                <w:sz w:val="21"/>
                <w:szCs w:val="21"/>
                <w:lang w:bidi="ar"/>
              </w:rPr>
              <w:t>最不利</w:t>
            </w:r>
          </w:p>
        </w:tc>
      </w:tr>
      <w:tr w14:paraId="313A7C0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0470187E">
            <w:pPr>
              <w:spacing w:line="240" w:lineRule="auto"/>
              <w:ind w:firstLine="0" w:firstLineChars="0"/>
              <w:rPr>
                <w:color w:val="auto"/>
                <w:sz w:val="21"/>
                <w:szCs w:val="21"/>
              </w:rPr>
            </w:pPr>
          </w:p>
        </w:tc>
        <w:tc>
          <w:tcPr>
            <w:tcW w:w="349" w:type="pct"/>
            <w:vMerge w:val="restart"/>
            <w:tcBorders>
              <w:top w:val="single" w:color="000000" w:sz="4" w:space="0"/>
              <w:left w:val="single" w:color="000000" w:sz="4" w:space="0"/>
              <w:bottom w:val="single" w:color="000000" w:sz="4" w:space="0"/>
              <w:right w:val="single" w:color="000000" w:sz="4" w:space="0"/>
            </w:tcBorders>
            <w:vAlign w:val="center"/>
          </w:tcPr>
          <w:p w14:paraId="5B684F59">
            <w:pPr>
              <w:spacing w:line="240" w:lineRule="auto"/>
              <w:ind w:firstLine="0" w:firstLineChars="0"/>
              <w:jc w:val="center"/>
              <w:rPr>
                <w:color w:val="auto"/>
                <w:sz w:val="21"/>
                <w:szCs w:val="21"/>
              </w:rPr>
            </w:pPr>
            <w:r>
              <w:rPr>
                <w:rFonts w:hint="eastAsia"/>
                <w:color w:val="auto"/>
                <w:sz w:val="21"/>
                <w:szCs w:val="21"/>
              </w:rPr>
              <w:t>氨气</w:t>
            </w: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4BB8DE4D">
            <w:pPr>
              <w:spacing w:line="240" w:lineRule="auto"/>
              <w:ind w:firstLine="0" w:firstLineChars="0"/>
              <w:jc w:val="center"/>
              <w:rPr>
                <w:color w:val="auto"/>
                <w:sz w:val="21"/>
                <w:szCs w:val="21"/>
              </w:rPr>
            </w:pPr>
            <w:r>
              <w:rPr>
                <w:color w:val="auto"/>
                <w:sz w:val="21"/>
                <w:szCs w:val="21"/>
                <w:lang w:bidi="ar"/>
              </w:rPr>
              <w:t>指标</w:t>
            </w:r>
          </w:p>
        </w:tc>
        <w:tc>
          <w:tcPr>
            <w:tcW w:w="536" w:type="pct"/>
            <w:tcBorders>
              <w:top w:val="single" w:color="000000" w:sz="4" w:space="0"/>
              <w:left w:val="single" w:color="000000" w:sz="4" w:space="0"/>
              <w:bottom w:val="single" w:color="000000" w:sz="4" w:space="0"/>
              <w:right w:val="single" w:color="000000" w:sz="4" w:space="0"/>
            </w:tcBorders>
            <w:vAlign w:val="center"/>
          </w:tcPr>
          <w:p w14:paraId="0E350911">
            <w:pPr>
              <w:spacing w:line="240" w:lineRule="auto"/>
              <w:ind w:firstLine="0" w:firstLineChars="0"/>
              <w:jc w:val="center"/>
              <w:rPr>
                <w:color w:val="auto"/>
                <w:sz w:val="21"/>
                <w:szCs w:val="21"/>
              </w:rPr>
            </w:pPr>
            <w:r>
              <w:rPr>
                <w:color w:val="auto"/>
                <w:sz w:val="21"/>
                <w:szCs w:val="21"/>
                <w:lang w:bidi="ar"/>
              </w:rPr>
              <w:t>浓度值/（mg/m</w:t>
            </w:r>
            <w:r>
              <w:rPr>
                <w:color w:val="auto"/>
                <w:sz w:val="21"/>
                <w:szCs w:val="21"/>
                <w:vertAlign w:val="superscript"/>
                <w:lang w:bidi="ar"/>
              </w:rPr>
              <w:t>3</w:t>
            </w:r>
            <w:r>
              <w:rPr>
                <w:color w:val="auto"/>
                <w:sz w:val="21"/>
                <w:szCs w:val="21"/>
                <w:lang w:bidi="ar"/>
              </w:rPr>
              <w:t>）</w:t>
            </w:r>
          </w:p>
        </w:tc>
        <w:tc>
          <w:tcPr>
            <w:tcW w:w="515" w:type="pct"/>
            <w:gridSpan w:val="2"/>
            <w:tcBorders>
              <w:top w:val="single" w:color="000000" w:sz="4" w:space="0"/>
              <w:left w:val="single" w:color="000000" w:sz="4" w:space="0"/>
              <w:bottom w:val="single" w:color="000000" w:sz="4" w:space="0"/>
              <w:right w:val="single" w:color="000000" w:sz="4" w:space="0"/>
            </w:tcBorders>
            <w:vAlign w:val="center"/>
          </w:tcPr>
          <w:p w14:paraId="23A98388">
            <w:pPr>
              <w:spacing w:line="240" w:lineRule="auto"/>
              <w:ind w:firstLine="0" w:firstLineChars="0"/>
              <w:jc w:val="center"/>
              <w:rPr>
                <w:color w:val="auto"/>
                <w:sz w:val="21"/>
                <w:szCs w:val="21"/>
              </w:rPr>
            </w:pPr>
            <w:r>
              <w:rPr>
                <w:color w:val="auto"/>
                <w:sz w:val="21"/>
                <w:szCs w:val="21"/>
                <w:lang w:bidi="ar"/>
              </w:rPr>
              <w:t>最远影响距离/m</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3927AE48">
            <w:pPr>
              <w:spacing w:line="240" w:lineRule="auto"/>
              <w:ind w:firstLine="0" w:firstLineChars="0"/>
              <w:jc w:val="center"/>
              <w:rPr>
                <w:color w:val="auto"/>
                <w:sz w:val="21"/>
                <w:szCs w:val="21"/>
              </w:rPr>
            </w:pPr>
            <w:r>
              <w:rPr>
                <w:color w:val="auto"/>
                <w:sz w:val="21"/>
                <w:szCs w:val="21"/>
                <w:lang w:bidi="ar"/>
              </w:rPr>
              <w:t>到达时间/min</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4255CAA3">
            <w:pPr>
              <w:spacing w:line="240" w:lineRule="auto"/>
              <w:ind w:firstLine="0" w:firstLineChars="0"/>
              <w:jc w:val="center"/>
              <w:rPr>
                <w:color w:val="auto"/>
                <w:sz w:val="21"/>
                <w:szCs w:val="21"/>
              </w:rPr>
            </w:pPr>
            <w:r>
              <w:rPr>
                <w:color w:val="auto"/>
                <w:sz w:val="21"/>
                <w:szCs w:val="21"/>
                <w:lang w:bidi="ar"/>
              </w:rPr>
              <w:t>浓度值/（mg/m</w:t>
            </w:r>
            <w:r>
              <w:rPr>
                <w:color w:val="auto"/>
                <w:sz w:val="21"/>
                <w:szCs w:val="21"/>
                <w:vertAlign w:val="superscript"/>
                <w:lang w:bidi="ar"/>
              </w:rPr>
              <w:t>3</w:t>
            </w:r>
            <w:r>
              <w:rPr>
                <w:color w:val="auto"/>
                <w:sz w:val="21"/>
                <w:szCs w:val="21"/>
                <w:lang w:bidi="ar"/>
              </w:rPr>
              <w:t>）</w:t>
            </w:r>
          </w:p>
        </w:tc>
        <w:tc>
          <w:tcPr>
            <w:tcW w:w="491" w:type="pct"/>
            <w:gridSpan w:val="3"/>
            <w:tcBorders>
              <w:top w:val="single" w:color="000000" w:sz="4" w:space="0"/>
              <w:left w:val="single" w:color="000000" w:sz="4" w:space="0"/>
              <w:bottom w:val="single" w:color="000000" w:sz="4" w:space="0"/>
              <w:right w:val="single" w:color="000000" w:sz="4" w:space="0"/>
            </w:tcBorders>
            <w:vAlign w:val="center"/>
          </w:tcPr>
          <w:p w14:paraId="704B97D1">
            <w:pPr>
              <w:spacing w:line="240" w:lineRule="auto"/>
              <w:ind w:firstLine="0" w:firstLineChars="0"/>
              <w:jc w:val="center"/>
              <w:rPr>
                <w:color w:val="auto"/>
                <w:sz w:val="21"/>
                <w:szCs w:val="21"/>
              </w:rPr>
            </w:pPr>
            <w:r>
              <w:rPr>
                <w:color w:val="auto"/>
                <w:sz w:val="21"/>
                <w:szCs w:val="21"/>
                <w:lang w:bidi="ar"/>
              </w:rPr>
              <w:t>最远影响距离/m</w:t>
            </w:r>
          </w:p>
        </w:tc>
        <w:tc>
          <w:tcPr>
            <w:tcW w:w="535" w:type="pct"/>
            <w:tcBorders>
              <w:top w:val="single" w:color="000000" w:sz="4" w:space="0"/>
              <w:left w:val="single" w:color="000000" w:sz="4" w:space="0"/>
              <w:bottom w:val="single" w:color="000000" w:sz="4" w:space="0"/>
              <w:right w:val="nil"/>
            </w:tcBorders>
            <w:vAlign w:val="center"/>
          </w:tcPr>
          <w:p w14:paraId="1F0C2D81">
            <w:pPr>
              <w:spacing w:line="240" w:lineRule="auto"/>
              <w:ind w:firstLine="0" w:firstLineChars="0"/>
              <w:jc w:val="center"/>
              <w:rPr>
                <w:color w:val="auto"/>
                <w:sz w:val="21"/>
                <w:szCs w:val="21"/>
              </w:rPr>
            </w:pPr>
            <w:r>
              <w:rPr>
                <w:color w:val="auto"/>
                <w:sz w:val="21"/>
                <w:szCs w:val="21"/>
                <w:lang w:bidi="ar"/>
              </w:rPr>
              <w:t>到达时间/min</w:t>
            </w:r>
          </w:p>
        </w:tc>
      </w:tr>
      <w:tr w14:paraId="780A92B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2BB46A3D">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435C7642">
            <w:pPr>
              <w:spacing w:line="240" w:lineRule="auto"/>
              <w:ind w:firstLine="0" w:firstLineChars="0"/>
              <w:rPr>
                <w:color w:val="auto"/>
                <w:sz w:val="21"/>
                <w:szCs w:val="21"/>
              </w:rPr>
            </w:pP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4D31A27C">
            <w:pPr>
              <w:spacing w:line="240" w:lineRule="auto"/>
              <w:ind w:firstLine="0" w:firstLineChars="0"/>
              <w:jc w:val="center"/>
              <w:rPr>
                <w:color w:val="auto"/>
                <w:sz w:val="21"/>
                <w:szCs w:val="21"/>
              </w:rPr>
            </w:pPr>
            <w:r>
              <w:rPr>
                <w:color w:val="auto"/>
                <w:sz w:val="21"/>
                <w:szCs w:val="21"/>
                <w:lang w:bidi="ar"/>
              </w:rPr>
              <w:t>大气毒性终点浓度-1</w:t>
            </w:r>
          </w:p>
        </w:tc>
        <w:tc>
          <w:tcPr>
            <w:tcW w:w="536" w:type="pct"/>
            <w:tcBorders>
              <w:top w:val="single" w:color="000000" w:sz="4" w:space="0"/>
              <w:left w:val="single" w:color="000000" w:sz="4" w:space="0"/>
              <w:bottom w:val="single" w:color="000000" w:sz="4" w:space="0"/>
              <w:right w:val="single" w:color="000000" w:sz="4" w:space="0"/>
            </w:tcBorders>
            <w:vAlign w:val="center"/>
          </w:tcPr>
          <w:p w14:paraId="04334717">
            <w:pPr>
              <w:spacing w:line="240" w:lineRule="auto"/>
              <w:ind w:firstLine="0" w:firstLineChars="0"/>
              <w:jc w:val="center"/>
              <w:rPr>
                <w:color w:val="auto"/>
                <w:sz w:val="21"/>
                <w:szCs w:val="21"/>
              </w:rPr>
            </w:pPr>
            <w:r>
              <w:rPr>
                <w:color w:val="auto"/>
                <w:sz w:val="21"/>
                <w:szCs w:val="21"/>
                <w:lang w:bidi="ar"/>
              </w:rPr>
              <w:t>--</w:t>
            </w:r>
          </w:p>
        </w:tc>
        <w:tc>
          <w:tcPr>
            <w:tcW w:w="515" w:type="pct"/>
            <w:gridSpan w:val="2"/>
            <w:tcBorders>
              <w:top w:val="single" w:color="000000" w:sz="4" w:space="0"/>
              <w:left w:val="single" w:color="000000" w:sz="4" w:space="0"/>
              <w:bottom w:val="single" w:color="000000" w:sz="4" w:space="0"/>
              <w:right w:val="single" w:color="000000" w:sz="4" w:space="0"/>
            </w:tcBorders>
            <w:vAlign w:val="center"/>
          </w:tcPr>
          <w:p w14:paraId="3E3B013E">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78AB70BA">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64107B2A">
            <w:pPr>
              <w:spacing w:line="240" w:lineRule="auto"/>
              <w:ind w:firstLine="0" w:firstLineChars="0"/>
              <w:jc w:val="center"/>
              <w:rPr>
                <w:color w:val="auto"/>
                <w:sz w:val="21"/>
                <w:szCs w:val="21"/>
              </w:rPr>
            </w:pPr>
            <w:r>
              <w:rPr>
                <w:rFonts w:hint="eastAsia"/>
                <w:color w:val="auto"/>
                <w:sz w:val="21"/>
                <w:szCs w:val="21"/>
              </w:rPr>
              <w:t>770</w:t>
            </w:r>
          </w:p>
        </w:tc>
        <w:tc>
          <w:tcPr>
            <w:tcW w:w="491" w:type="pct"/>
            <w:gridSpan w:val="3"/>
            <w:tcBorders>
              <w:top w:val="single" w:color="000000" w:sz="4" w:space="0"/>
              <w:left w:val="single" w:color="000000" w:sz="4" w:space="0"/>
              <w:bottom w:val="single" w:color="000000" w:sz="4" w:space="0"/>
              <w:right w:val="single" w:color="000000" w:sz="4" w:space="0"/>
            </w:tcBorders>
            <w:vAlign w:val="center"/>
          </w:tcPr>
          <w:p w14:paraId="6751F42A">
            <w:pPr>
              <w:spacing w:line="240" w:lineRule="auto"/>
              <w:ind w:firstLine="0" w:firstLineChars="0"/>
              <w:jc w:val="center"/>
              <w:rPr>
                <w:color w:val="auto"/>
                <w:sz w:val="21"/>
                <w:szCs w:val="21"/>
              </w:rPr>
            </w:pPr>
            <w:r>
              <w:rPr>
                <w:color w:val="auto"/>
                <w:sz w:val="21"/>
                <w:szCs w:val="21"/>
                <w:lang w:bidi="ar"/>
              </w:rPr>
              <w:t>--</w:t>
            </w:r>
          </w:p>
        </w:tc>
        <w:tc>
          <w:tcPr>
            <w:tcW w:w="535" w:type="pct"/>
            <w:tcBorders>
              <w:top w:val="single" w:color="000000" w:sz="4" w:space="0"/>
              <w:left w:val="single" w:color="000000" w:sz="4" w:space="0"/>
              <w:bottom w:val="single" w:color="000000" w:sz="4" w:space="0"/>
              <w:right w:val="nil"/>
            </w:tcBorders>
            <w:vAlign w:val="center"/>
          </w:tcPr>
          <w:p w14:paraId="4E10DD67">
            <w:pPr>
              <w:spacing w:line="240" w:lineRule="auto"/>
              <w:ind w:firstLine="0" w:firstLineChars="0"/>
              <w:jc w:val="center"/>
              <w:rPr>
                <w:color w:val="auto"/>
                <w:sz w:val="21"/>
                <w:szCs w:val="21"/>
              </w:rPr>
            </w:pPr>
            <w:r>
              <w:rPr>
                <w:color w:val="auto"/>
                <w:sz w:val="21"/>
                <w:szCs w:val="21"/>
                <w:lang w:bidi="ar"/>
              </w:rPr>
              <w:t>--</w:t>
            </w:r>
          </w:p>
        </w:tc>
      </w:tr>
      <w:tr w14:paraId="6EC1B79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48AAFEDF">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63009809">
            <w:pPr>
              <w:spacing w:line="240" w:lineRule="auto"/>
              <w:ind w:firstLine="0" w:firstLineChars="0"/>
              <w:rPr>
                <w:color w:val="auto"/>
                <w:sz w:val="21"/>
                <w:szCs w:val="21"/>
              </w:rPr>
            </w:pP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28D5881C">
            <w:pPr>
              <w:spacing w:line="240" w:lineRule="auto"/>
              <w:ind w:firstLine="0" w:firstLineChars="0"/>
              <w:jc w:val="center"/>
              <w:rPr>
                <w:color w:val="auto"/>
                <w:sz w:val="21"/>
                <w:szCs w:val="21"/>
              </w:rPr>
            </w:pPr>
            <w:r>
              <w:rPr>
                <w:color w:val="auto"/>
                <w:sz w:val="21"/>
                <w:szCs w:val="21"/>
                <w:lang w:bidi="ar"/>
              </w:rPr>
              <w:t>大气毒性终点浓度-2</w:t>
            </w:r>
          </w:p>
        </w:tc>
        <w:tc>
          <w:tcPr>
            <w:tcW w:w="536" w:type="pct"/>
            <w:tcBorders>
              <w:top w:val="single" w:color="000000" w:sz="4" w:space="0"/>
              <w:left w:val="single" w:color="000000" w:sz="4" w:space="0"/>
              <w:bottom w:val="single" w:color="000000" w:sz="4" w:space="0"/>
              <w:right w:val="single" w:color="000000" w:sz="4" w:space="0"/>
            </w:tcBorders>
            <w:vAlign w:val="center"/>
          </w:tcPr>
          <w:p w14:paraId="22D350CC">
            <w:pPr>
              <w:spacing w:line="240" w:lineRule="auto"/>
              <w:ind w:firstLine="0" w:firstLineChars="0"/>
              <w:jc w:val="center"/>
              <w:rPr>
                <w:color w:val="auto"/>
                <w:sz w:val="21"/>
                <w:szCs w:val="21"/>
              </w:rPr>
            </w:pPr>
            <w:r>
              <w:rPr>
                <w:color w:val="auto"/>
                <w:sz w:val="21"/>
                <w:szCs w:val="21"/>
                <w:lang w:bidi="ar"/>
              </w:rPr>
              <w:t>--</w:t>
            </w:r>
          </w:p>
        </w:tc>
        <w:tc>
          <w:tcPr>
            <w:tcW w:w="515" w:type="pct"/>
            <w:gridSpan w:val="2"/>
            <w:tcBorders>
              <w:top w:val="single" w:color="000000" w:sz="4" w:space="0"/>
              <w:left w:val="single" w:color="000000" w:sz="4" w:space="0"/>
              <w:bottom w:val="single" w:color="000000" w:sz="4" w:space="0"/>
              <w:right w:val="single" w:color="000000" w:sz="4" w:space="0"/>
            </w:tcBorders>
            <w:vAlign w:val="center"/>
          </w:tcPr>
          <w:p w14:paraId="1FCF658C">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7277719D">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6B4E985B">
            <w:pPr>
              <w:spacing w:line="240" w:lineRule="auto"/>
              <w:ind w:firstLine="0" w:firstLineChars="0"/>
              <w:jc w:val="center"/>
              <w:rPr>
                <w:color w:val="auto"/>
                <w:sz w:val="21"/>
                <w:szCs w:val="21"/>
              </w:rPr>
            </w:pPr>
            <w:r>
              <w:rPr>
                <w:rFonts w:hint="eastAsia"/>
                <w:color w:val="auto"/>
                <w:sz w:val="21"/>
                <w:szCs w:val="21"/>
              </w:rPr>
              <w:t>110</w:t>
            </w:r>
          </w:p>
        </w:tc>
        <w:tc>
          <w:tcPr>
            <w:tcW w:w="491" w:type="pct"/>
            <w:gridSpan w:val="3"/>
            <w:tcBorders>
              <w:top w:val="single" w:color="000000" w:sz="4" w:space="0"/>
              <w:left w:val="single" w:color="000000" w:sz="4" w:space="0"/>
              <w:bottom w:val="single" w:color="000000" w:sz="4" w:space="0"/>
              <w:right w:val="single" w:color="000000" w:sz="4" w:space="0"/>
            </w:tcBorders>
            <w:vAlign w:val="center"/>
          </w:tcPr>
          <w:p w14:paraId="4137D2DF">
            <w:pPr>
              <w:spacing w:line="240" w:lineRule="auto"/>
              <w:ind w:firstLine="0" w:firstLineChars="0"/>
              <w:jc w:val="center"/>
              <w:rPr>
                <w:color w:val="auto"/>
                <w:sz w:val="21"/>
                <w:szCs w:val="21"/>
              </w:rPr>
            </w:pPr>
            <w:r>
              <w:rPr>
                <w:rFonts w:hint="eastAsia"/>
                <w:color w:val="auto"/>
                <w:sz w:val="21"/>
                <w:szCs w:val="21"/>
              </w:rPr>
              <w:t>490</w:t>
            </w:r>
          </w:p>
        </w:tc>
        <w:tc>
          <w:tcPr>
            <w:tcW w:w="535" w:type="pct"/>
            <w:tcBorders>
              <w:top w:val="single" w:color="000000" w:sz="4" w:space="0"/>
              <w:left w:val="single" w:color="000000" w:sz="4" w:space="0"/>
              <w:bottom w:val="single" w:color="000000" w:sz="4" w:space="0"/>
              <w:right w:val="nil"/>
            </w:tcBorders>
            <w:vAlign w:val="center"/>
          </w:tcPr>
          <w:p w14:paraId="15A17993">
            <w:pPr>
              <w:spacing w:line="240" w:lineRule="auto"/>
              <w:ind w:firstLine="0" w:firstLineChars="0"/>
              <w:jc w:val="center"/>
              <w:rPr>
                <w:color w:val="auto"/>
                <w:sz w:val="21"/>
                <w:szCs w:val="21"/>
              </w:rPr>
            </w:pPr>
            <w:r>
              <w:rPr>
                <w:rFonts w:hint="eastAsia"/>
                <w:color w:val="auto"/>
                <w:sz w:val="21"/>
                <w:szCs w:val="21"/>
                <w:lang w:bidi="ar"/>
              </w:rPr>
              <w:t>18.00</w:t>
            </w:r>
          </w:p>
        </w:tc>
      </w:tr>
      <w:tr w14:paraId="49F106C1">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18AD2F18">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46F45C59">
            <w:pPr>
              <w:spacing w:line="240" w:lineRule="auto"/>
              <w:ind w:firstLine="0" w:firstLineChars="0"/>
              <w:rPr>
                <w:color w:val="auto"/>
                <w:sz w:val="21"/>
                <w:szCs w:val="21"/>
              </w:rPr>
            </w:pP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278797C1">
            <w:pPr>
              <w:spacing w:line="240" w:lineRule="auto"/>
              <w:ind w:firstLine="0" w:firstLineChars="0"/>
              <w:jc w:val="center"/>
              <w:rPr>
                <w:color w:val="auto"/>
                <w:sz w:val="21"/>
                <w:szCs w:val="21"/>
              </w:rPr>
            </w:pPr>
            <w:r>
              <w:rPr>
                <w:color w:val="auto"/>
                <w:sz w:val="21"/>
                <w:szCs w:val="21"/>
                <w:lang w:bidi="ar"/>
              </w:rPr>
              <w:t>敏感目标名称</w:t>
            </w:r>
          </w:p>
        </w:tc>
        <w:tc>
          <w:tcPr>
            <w:tcW w:w="536" w:type="pct"/>
            <w:tcBorders>
              <w:top w:val="single" w:color="000000" w:sz="4" w:space="0"/>
              <w:left w:val="single" w:color="000000" w:sz="4" w:space="0"/>
              <w:bottom w:val="single" w:color="000000" w:sz="4" w:space="0"/>
              <w:right w:val="single" w:color="000000" w:sz="4" w:space="0"/>
            </w:tcBorders>
            <w:vAlign w:val="center"/>
          </w:tcPr>
          <w:p w14:paraId="17D57D4A">
            <w:pPr>
              <w:spacing w:line="240" w:lineRule="auto"/>
              <w:ind w:firstLine="0" w:firstLineChars="0"/>
              <w:jc w:val="center"/>
              <w:rPr>
                <w:color w:val="auto"/>
                <w:sz w:val="21"/>
                <w:szCs w:val="21"/>
              </w:rPr>
            </w:pPr>
            <w:r>
              <w:rPr>
                <w:color w:val="auto"/>
                <w:sz w:val="21"/>
                <w:szCs w:val="21"/>
                <w:lang w:bidi="ar"/>
              </w:rPr>
              <w:t>超标时间/min</w:t>
            </w:r>
          </w:p>
        </w:tc>
        <w:tc>
          <w:tcPr>
            <w:tcW w:w="515" w:type="pct"/>
            <w:gridSpan w:val="2"/>
            <w:tcBorders>
              <w:top w:val="single" w:color="000000" w:sz="4" w:space="0"/>
              <w:left w:val="single" w:color="000000" w:sz="4" w:space="0"/>
              <w:bottom w:val="single" w:color="000000" w:sz="4" w:space="0"/>
              <w:right w:val="single" w:color="000000" w:sz="4" w:space="0"/>
            </w:tcBorders>
            <w:vAlign w:val="center"/>
          </w:tcPr>
          <w:p w14:paraId="74343FDE">
            <w:pPr>
              <w:spacing w:line="240" w:lineRule="auto"/>
              <w:ind w:firstLine="0" w:firstLineChars="0"/>
              <w:jc w:val="center"/>
              <w:rPr>
                <w:color w:val="auto"/>
                <w:sz w:val="21"/>
                <w:szCs w:val="21"/>
              </w:rPr>
            </w:pPr>
            <w:r>
              <w:rPr>
                <w:color w:val="auto"/>
                <w:sz w:val="21"/>
                <w:szCs w:val="21"/>
                <w:lang w:bidi="ar"/>
              </w:rPr>
              <w:t>超标持续时间/min</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13832C80">
            <w:pPr>
              <w:spacing w:line="240" w:lineRule="auto"/>
              <w:ind w:firstLine="0" w:firstLineChars="0"/>
              <w:jc w:val="center"/>
              <w:rPr>
                <w:color w:val="auto"/>
                <w:sz w:val="21"/>
                <w:szCs w:val="21"/>
              </w:rPr>
            </w:pPr>
            <w:r>
              <w:rPr>
                <w:color w:val="auto"/>
                <w:sz w:val="21"/>
                <w:szCs w:val="21"/>
                <w:lang w:bidi="ar"/>
              </w:rPr>
              <w:t>最大浓度/（mg/m</w:t>
            </w:r>
            <w:r>
              <w:rPr>
                <w:color w:val="auto"/>
                <w:sz w:val="21"/>
                <w:szCs w:val="21"/>
                <w:vertAlign w:val="superscript"/>
                <w:lang w:bidi="ar"/>
              </w:rPr>
              <w:t>3</w:t>
            </w: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2A4EDFED">
            <w:pPr>
              <w:spacing w:line="240" w:lineRule="auto"/>
              <w:ind w:firstLine="0" w:firstLineChars="0"/>
              <w:jc w:val="center"/>
              <w:rPr>
                <w:color w:val="auto"/>
                <w:sz w:val="21"/>
                <w:szCs w:val="21"/>
              </w:rPr>
            </w:pPr>
            <w:r>
              <w:rPr>
                <w:color w:val="auto"/>
                <w:sz w:val="21"/>
                <w:szCs w:val="21"/>
                <w:lang w:bidi="ar"/>
              </w:rPr>
              <w:t>超标时间/min</w:t>
            </w:r>
          </w:p>
        </w:tc>
        <w:tc>
          <w:tcPr>
            <w:tcW w:w="491" w:type="pct"/>
            <w:gridSpan w:val="3"/>
            <w:tcBorders>
              <w:top w:val="single" w:color="000000" w:sz="4" w:space="0"/>
              <w:left w:val="single" w:color="000000" w:sz="4" w:space="0"/>
              <w:bottom w:val="single" w:color="000000" w:sz="4" w:space="0"/>
              <w:right w:val="single" w:color="000000" w:sz="4" w:space="0"/>
            </w:tcBorders>
            <w:vAlign w:val="center"/>
          </w:tcPr>
          <w:p w14:paraId="2EF14E22">
            <w:pPr>
              <w:spacing w:line="240" w:lineRule="auto"/>
              <w:ind w:firstLine="0" w:firstLineChars="0"/>
              <w:jc w:val="center"/>
              <w:rPr>
                <w:color w:val="auto"/>
                <w:sz w:val="21"/>
                <w:szCs w:val="21"/>
              </w:rPr>
            </w:pPr>
            <w:r>
              <w:rPr>
                <w:color w:val="auto"/>
                <w:sz w:val="21"/>
                <w:szCs w:val="21"/>
                <w:lang w:bidi="ar"/>
              </w:rPr>
              <w:t>超标持续时间/min</w:t>
            </w:r>
          </w:p>
        </w:tc>
        <w:tc>
          <w:tcPr>
            <w:tcW w:w="535" w:type="pct"/>
            <w:tcBorders>
              <w:top w:val="single" w:color="000000" w:sz="4" w:space="0"/>
              <w:left w:val="single" w:color="000000" w:sz="4" w:space="0"/>
              <w:bottom w:val="single" w:color="000000" w:sz="4" w:space="0"/>
              <w:right w:val="nil"/>
            </w:tcBorders>
            <w:vAlign w:val="center"/>
          </w:tcPr>
          <w:p w14:paraId="7A4F2951">
            <w:pPr>
              <w:spacing w:line="240" w:lineRule="auto"/>
              <w:ind w:firstLine="0" w:firstLineChars="0"/>
              <w:jc w:val="center"/>
              <w:rPr>
                <w:color w:val="auto"/>
                <w:sz w:val="21"/>
                <w:szCs w:val="21"/>
              </w:rPr>
            </w:pPr>
            <w:r>
              <w:rPr>
                <w:color w:val="auto"/>
                <w:sz w:val="21"/>
                <w:szCs w:val="21"/>
                <w:lang w:bidi="ar"/>
              </w:rPr>
              <w:t>最大浓度/（mg/m</w:t>
            </w:r>
            <w:r>
              <w:rPr>
                <w:color w:val="auto"/>
                <w:sz w:val="21"/>
                <w:szCs w:val="21"/>
                <w:vertAlign w:val="superscript"/>
                <w:lang w:bidi="ar"/>
              </w:rPr>
              <w:t>3</w:t>
            </w:r>
            <w:r>
              <w:rPr>
                <w:color w:val="auto"/>
                <w:sz w:val="21"/>
                <w:szCs w:val="21"/>
                <w:lang w:bidi="ar"/>
              </w:rPr>
              <w:t>）</w:t>
            </w:r>
          </w:p>
        </w:tc>
      </w:tr>
      <w:tr w14:paraId="25FC8FAC">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3E9CFD8B">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27B798C3">
            <w:pPr>
              <w:spacing w:line="240" w:lineRule="auto"/>
              <w:ind w:firstLine="0" w:firstLineChars="0"/>
              <w:rPr>
                <w:color w:val="auto"/>
                <w:sz w:val="21"/>
                <w:szCs w:val="21"/>
              </w:rPr>
            </w:pP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496C2D75">
            <w:pPr>
              <w:spacing w:line="240" w:lineRule="auto"/>
              <w:ind w:firstLine="0" w:firstLineChars="0"/>
              <w:jc w:val="center"/>
              <w:rPr>
                <w:color w:val="auto"/>
                <w:sz w:val="21"/>
                <w:szCs w:val="21"/>
              </w:rPr>
            </w:pPr>
            <w:r>
              <w:rPr>
                <w:color w:val="auto"/>
                <w:sz w:val="21"/>
                <w:szCs w:val="21"/>
                <w:lang w:bidi="ar"/>
              </w:rPr>
              <w:t>--</w:t>
            </w:r>
          </w:p>
        </w:tc>
        <w:tc>
          <w:tcPr>
            <w:tcW w:w="536" w:type="pct"/>
            <w:tcBorders>
              <w:top w:val="single" w:color="000000" w:sz="4" w:space="0"/>
              <w:left w:val="single" w:color="000000" w:sz="4" w:space="0"/>
              <w:bottom w:val="single" w:color="000000" w:sz="4" w:space="0"/>
              <w:right w:val="single" w:color="000000" w:sz="4" w:space="0"/>
            </w:tcBorders>
            <w:vAlign w:val="center"/>
          </w:tcPr>
          <w:p w14:paraId="5618B952">
            <w:pPr>
              <w:spacing w:line="240" w:lineRule="auto"/>
              <w:ind w:firstLine="0" w:firstLineChars="0"/>
              <w:jc w:val="center"/>
              <w:rPr>
                <w:color w:val="auto"/>
                <w:sz w:val="21"/>
                <w:szCs w:val="21"/>
              </w:rPr>
            </w:pPr>
            <w:r>
              <w:rPr>
                <w:color w:val="auto"/>
                <w:sz w:val="21"/>
                <w:szCs w:val="21"/>
                <w:lang w:bidi="ar"/>
              </w:rPr>
              <w:t>--</w:t>
            </w:r>
          </w:p>
        </w:tc>
        <w:tc>
          <w:tcPr>
            <w:tcW w:w="515" w:type="pct"/>
            <w:gridSpan w:val="2"/>
            <w:tcBorders>
              <w:top w:val="single" w:color="000000" w:sz="4" w:space="0"/>
              <w:left w:val="single" w:color="000000" w:sz="4" w:space="0"/>
              <w:bottom w:val="single" w:color="000000" w:sz="4" w:space="0"/>
              <w:right w:val="single" w:color="000000" w:sz="4" w:space="0"/>
            </w:tcBorders>
            <w:vAlign w:val="center"/>
          </w:tcPr>
          <w:p w14:paraId="0D8A5423">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0ECA71EC">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07812ED9">
            <w:pPr>
              <w:spacing w:line="240" w:lineRule="auto"/>
              <w:ind w:firstLine="0" w:firstLineChars="0"/>
              <w:jc w:val="center"/>
              <w:rPr>
                <w:color w:val="auto"/>
                <w:sz w:val="21"/>
                <w:szCs w:val="21"/>
              </w:rPr>
            </w:pPr>
            <w:r>
              <w:rPr>
                <w:color w:val="auto"/>
                <w:sz w:val="21"/>
                <w:szCs w:val="21"/>
                <w:lang w:bidi="ar"/>
              </w:rPr>
              <w:t>--</w:t>
            </w:r>
          </w:p>
        </w:tc>
        <w:tc>
          <w:tcPr>
            <w:tcW w:w="491" w:type="pct"/>
            <w:gridSpan w:val="3"/>
            <w:tcBorders>
              <w:top w:val="single" w:color="000000" w:sz="4" w:space="0"/>
              <w:left w:val="single" w:color="000000" w:sz="4" w:space="0"/>
              <w:bottom w:val="single" w:color="000000" w:sz="4" w:space="0"/>
              <w:right w:val="single" w:color="000000" w:sz="4" w:space="0"/>
            </w:tcBorders>
            <w:vAlign w:val="center"/>
          </w:tcPr>
          <w:p w14:paraId="01EEF295">
            <w:pPr>
              <w:spacing w:line="240" w:lineRule="auto"/>
              <w:ind w:firstLine="0" w:firstLineChars="0"/>
              <w:jc w:val="center"/>
              <w:rPr>
                <w:color w:val="auto"/>
                <w:sz w:val="21"/>
                <w:szCs w:val="21"/>
              </w:rPr>
            </w:pPr>
            <w:r>
              <w:rPr>
                <w:color w:val="auto"/>
                <w:sz w:val="21"/>
                <w:szCs w:val="21"/>
                <w:lang w:bidi="ar"/>
              </w:rPr>
              <w:t>--</w:t>
            </w:r>
          </w:p>
        </w:tc>
        <w:tc>
          <w:tcPr>
            <w:tcW w:w="535" w:type="pct"/>
            <w:tcBorders>
              <w:top w:val="single" w:color="000000" w:sz="4" w:space="0"/>
              <w:left w:val="single" w:color="000000" w:sz="4" w:space="0"/>
              <w:bottom w:val="single" w:color="000000" w:sz="4" w:space="0"/>
              <w:right w:val="nil"/>
            </w:tcBorders>
            <w:vAlign w:val="center"/>
          </w:tcPr>
          <w:p w14:paraId="46DCF700">
            <w:pPr>
              <w:spacing w:line="240" w:lineRule="auto"/>
              <w:ind w:firstLine="0" w:firstLineChars="0"/>
              <w:jc w:val="center"/>
              <w:rPr>
                <w:color w:val="auto"/>
                <w:sz w:val="21"/>
                <w:szCs w:val="21"/>
              </w:rPr>
            </w:pPr>
            <w:r>
              <w:rPr>
                <w:color w:val="auto"/>
                <w:sz w:val="21"/>
                <w:szCs w:val="21"/>
                <w:lang w:bidi="ar"/>
              </w:rPr>
              <w:t>--</w:t>
            </w:r>
          </w:p>
        </w:tc>
      </w:tr>
      <w:tr w14:paraId="1CF6750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restart"/>
            <w:tcBorders>
              <w:top w:val="single" w:color="000000" w:sz="4" w:space="0"/>
              <w:left w:val="nil"/>
              <w:bottom w:val="single" w:color="000000" w:sz="4" w:space="0"/>
              <w:right w:val="single" w:color="000000" w:sz="4" w:space="0"/>
            </w:tcBorders>
            <w:vAlign w:val="center"/>
          </w:tcPr>
          <w:p w14:paraId="65208DB4">
            <w:pPr>
              <w:spacing w:line="240" w:lineRule="auto"/>
              <w:ind w:firstLine="0" w:firstLineChars="0"/>
              <w:jc w:val="center"/>
              <w:rPr>
                <w:color w:val="auto"/>
                <w:sz w:val="21"/>
                <w:szCs w:val="21"/>
              </w:rPr>
            </w:pPr>
            <w:r>
              <w:rPr>
                <w:color w:val="auto"/>
                <w:sz w:val="21"/>
                <w:szCs w:val="21"/>
                <w:lang w:bidi="ar"/>
              </w:rPr>
              <w:t>地表水</w:t>
            </w:r>
          </w:p>
        </w:tc>
        <w:tc>
          <w:tcPr>
            <w:tcW w:w="349" w:type="pct"/>
            <w:tcBorders>
              <w:top w:val="single" w:color="000000" w:sz="4" w:space="0"/>
              <w:left w:val="single" w:color="000000" w:sz="4" w:space="0"/>
              <w:bottom w:val="single" w:color="000000" w:sz="4" w:space="0"/>
              <w:right w:val="single" w:color="000000" w:sz="4" w:space="0"/>
            </w:tcBorders>
            <w:vAlign w:val="center"/>
          </w:tcPr>
          <w:p w14:paraId="2CE91286">
            <w:pPr>
              <w:spacing w:line="240" w:lineRule="auto"/>
              <w:ind w:firstLine="0" w:firstLineChars="0"/>
              <w:jc w:val="center"/>
              <w:rPr>
                <w:color w:val="auto"/>
                <w:sz w:val="21"/>
                <w:szCs w:val="21"/>
              </w:rPr>
            </w:pPr>
            <w:r>
              <w:rPr>
                <w:color w:val="auto"/>
                <w:sz w:val="21"/>
                <w:szCs w:val="21"/>
                <w:lang w:bidi="ar"/>
              </w:rPr>
              <w:t>危险物质</w:t>
            </w:r>
          </w:p>
        </w:tc>
        <w:tc>
          <w:tcPr>
            <w:tcW w:w="3833" w:type="pct"/>
            <w:gridSpan w:val="13"/>
            <w:tcBorders>
              <w:top w:val="single" w:color="000000" w:sz="4" w:space="0"/>
              <w:left w:val="single" w:color="000000" w:sz="4" w:space="0"/>
              <w:bottom w:val="single" w:color="000000" w:sz="4" w:space="0"/>
              <w:right w:val="nil"/>
            </w:tcBorders>
            <w:vAlign w:val="center"/>
          </w:tcPr>
          <w:p w14:paraId="04787A3F">
            <w:pPr>
              <w:spacing w:line="240" w:lineRule="auto"/>
              <w:ind w:firstLine="0" w:firstLineChars="0"/>
              <w:jc w:val="center"/>
              <w:rPr>
                <w:color w:val="auto"/>
                <w:sz w:val="21"/>
                <w:szCs w:val="21"/>
              </w:rPr>
            </w:pPr>
            <w:r>
              <w:rPr>
                <w:color w:val="auto"/>
                <w:sz w:val="21"/>
                <w:szCs w:val="21"/>
                <w:lang w:bidi="ar"/>
              </w:rPr>
              <w:t>地表水环境影响</w:t>
            </w:r>
            <w:r>
              <w:rPr>
                <w:color w:val="auto"/>
                <w:sz w:val="21"/>
                <w:szCs w:val="21"/>
                <w:vertAlign w:val="superscript"/>
                <w:lang w:bidi="ar"/>
              </w:rPr>
              <w:t>b</w:t>
            </w:r>
          </w:p>
        </w:tc>
      </w:tr>
      <w:tr w14:paraId="32EBA48C">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35F3E1C9">
            <w:pPr>
              <w:spacing w:line="240" w:lineRule="auto"/>
              <w:ind w:firstLine="0" w:firstLineChars="0"/>
              <w:rPr>
                <w:color w:val="auto"/>
                <w:sz w:val="21"/>
                <w:szCs w:val="21"/>
              </w:rPr>
            </w:pPr>
          </w:p>
        </w:tc>
        <w:tc>
          <w:tcPr>
            <w:tcW w:w="349" w:type="pct"/>
            <w:vMerge w:val="restart"/>
            <w:tcBorders>
              <w:top w:val="single" w:color="000000" w:sz="4" w:space="0"/>
              <w:left w:val="single" w:color="000000" w:sz="4" w:space="0"/>
              <w:bottom w:val="single" w:color="000000" w:sz="4" w:space="0"/>
              <w:right w:val="single" w:color="000000" w:sz="4" w:space="0"/>
            </w:tcBorders>
            <w:vAlign w:val="center"/>
          </w:tcPr>
          <w:p w14:paraId="6829B2DC">
            <w:pPr>
              <w:spacing w:line="240" w:lineRule="auto"/>
              <w:ind w:firstLine="0" w:firstLineChars="0"/>
              <w:jc w:val="center"/>
              <w:rPr>
                <w:color w:val="auto"/>
                <w:sz w:val="21"/>
                <w:szCs w:val="21"/>
              </w:rPr>
            </w:pPr>
            <w:r>
              <w:rPr>
                <w:color w:val="auto"/>
                <w:sz w:val="21"/>
                <w:szCs w:val="21"/>
                <w:lang w:bidi="ar"/>
              </w:rPr>
              <w:t>--</w:t>
            </w: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22BF8FC5">
            <w:pPr>
              <w:spacing w:line="240" w:lineRule="auto"/>
              <w:ind w:firstLine="0" w:firstLineChars="0"/>
              <w:jc w:val="center"/>
              <w:rPr>
                <w:color w:val="auto"/>
                <w:sz w:val="21"/>
                <w:szCs w:val="21"/>
              </w:rPr>
            </w:pPr>
            <w:r>
              <w:rPr>
                <w:color w:val="auto"/>
                <w:sz w:val="21"/>
                <w:szCs w:val="21"/>
                <w:lang w:bidi="ar"/>
              </w:rPr>
              <w:t>受纳水体名称</w:t>
            </w:r>
          </w:p>
        </w:tc>
        <w:tc>
          <w:tcPr>
            <w:tcW w:w="1407" w:type="pct"/>
            <w:gridSpan w:val="4"/>
            <w:tcBorders>
              <w:top w:val="single" w:color="000000" w:sz="4" w:space="0"/>
              <w:left w:val="single" w:color="000000" w:sz="4" w:space="0"/>
              <w:bottom w:val="single" w:color="000000" w:sz="4" w:space="0"/>
              <w:right w:val="single" w:color="000000" w:sz="4" w:space="0"/>
            </w:tcBorders>
            <w:vAlign w:val="center"/>
          </w:tcPr>
          <w:p w14:paraId="29FB36FC">
            <w:pPr>
              <w:spacing w:line="240" w:lineRule="auto"/>
              <w:ind w:firstLine="0" w:firstLineChars="0"/>
              <w:jc w:val="center"/>
              <w:rPr>
                <w:color w:val="auto"/>
                <w:sz w:val="21"/>
                <w:szCs w:val="21"/>
              </w:rPr>
            </w:pPr>
            <w:r>
              <w:rPr>
                <w:color w:val="auto"/>
                <w:sz w:val="21"/>
                <w:szCs w:val="21"/>
                <w:lang w:bidi="ar"/>
              </w:rPr>
              <w:t>最远超标距离/m</w:t>
            </w:r>
          </w:p>
        </w:tc>
        <w:tc>
          <w:tcPr>
            <w:tcW w:w="1139" w:type="pct"/>
            <w:gridSpan w:val="5"/>
            <w:tcBorders>
              <w:top w:val="single" w:color="000000" w:sz="4" w:space="0"/>
              <w:left w:val="single" w:color="000000" w:sz="4" w:space="0"/>
              <w:bottom w:val="single" w:color="000000" w:sz="4" w:space="0"/>
              <w:right w:val="nil"/>
            </w:tcBorders>
            <w:vAlign w:val="center"/>
          </w:tcPr>
          <w:p w14:paraId="257920CA">
            <w:pPr>
              <w:spacing w:line="240" w:lineRule="auto"/>
              <w:ind w:firstLine="0" w:firstLineChars="0"/>
              <w:jc w:val="center"/>
              <w:rPr>
                <w:color w:val="auto"/>
                <w:sz w:val="21"/>
                <w:szCs w:val="21"/>
              </w:rPr>
            </w:pPr>
            <w:r>
              <w:rPr>
                <w:color w:val="auto"/>
                <w:sz w:val="21"/>
                <w:szCs w:val="21"/>
                <w:lang w:bidi="ar"/>
              </w:rPr>
              <w:t>最远超标距离到达时间/h</w:t>
            </w:r>
          </w:p>
        </w:tc>
      </w:tr>
      <w:tr w14:paraId="4BF8CDD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15146D6C">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4BB6848D">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3407F788">
            <w:pPr>
              <w:spacing w:line="240" w:lineRule="auto"/>
              <w:ind w:firstLine="0" w:firstLineChars="0"/>
              <w:jc w:val="center"/>
              <w:rPr>
                <w:color w:val="auto"/>
                <w:sz w:val="21"/>
                <w:szCs w:val="21"/>
              </w:rPr>
            </w:pPr>
            <w:r>
              <w:rPr>
                <w:color w:val="auto"/>
                <w:sz w:val="21"/>
                <w:szCs w:val="21"/>
                <w:lang w:bidi="ar"/>
              </w:rPr>
              <w:t>--</w:t>
            </w:r>
          </w:p>
        </w:tc>
        <w:tc>
          <w:tcPr>
            <w:tcW w:w="1407" w:type="pct"/>
            <w:gridSpan w:val="4"/>
            <w:tcBorders>
              <w:top w:val="single" w:color="000000" w:sz="4" w:space="0"/>
              <w:left w:val="single" w:color="000000" w:sz="4" w:space="0"/>
              <w:bottom w:val="single" w:color="000000" w:sz="4" w:space="0"/>
              <w:right w:val="single" w:color="000000" w:sz="4" w:space="0"/>
            </w:tcBorders>
            <w:vAlign w:val="center"/>
          </w:tcPr>
          <w:p w14:paraId="30AFDBDF">
            <w:pPr>
              <w:spacing w:line="240" w:lineRule="auto"/>
              <w:ind w:firstLine="0" w:firstLineChars="0"/>
              <w:jc w:val="center"/>
              <w:rPr>
                <w:color w:val="auto"/>
                <w:sz w:val="21"/>
                <w:szCs w:val="21"/>
              </w:rPr>
            </w:pPr>
            <w:r>
              <w:rPr>
                <w:color w:val="auto"/>
                <w:sz w:val="21"/>
                <w:szCs w:val="21"/>
                <w:lang w:bidi="ar"/>
              </w:rPr>
              <w:t>--</w:t>
            </w:r>
          </w:p>
        </w:tc>
        <w:tc>
          <w:tcPr>
            <w:tcW w:w="1139" w:type="pct"/>
            <w:gridSpan w:val="5"/>
            <w:tcBorders>
              <w:top w:val="single" w:color="000000" w:sz="4" w:space="0"/>
              <w:left w:val="single" w:color="000000" w:sz="4" w:space="0"/>
              <w:bottom w:val="single" w:color="000000" w:sz="4" w:space="0"/>
              <w:right w:val="nil"/>
            </w:tcBorders>
            <w:vAlign w:val="center"/>
          </w:tcPr>
          <w:p w14:paraId="6592CE14">
            <w:pPr>
              <w:spacing w:line="240" w:lineRule="auto"/>
              <w:ind w:firstLine="0" w:firstLineChars="0"/>
              <w:jc w:val="center"/>
              <w:rPr>
                <w:color w:val="auto"/>
                <w:sz w:val="21"/>
                <w:szCs w:val="21"/>
              </w:rPr>
            </w:pPr>
            <w:r>
              <w:rPr>
                <w:color w:val="auto"/>
                <w:sz w:val="21"/>
                <w:szCs w:val="21"/>
                <w:lang w:bidi="ar"/>
              </w:rPr>
              <w:t>--</w:t>
            </w:r>
          </w:p>
        </w:tc>
      </w:tr>
      <w:tr w14:paraId="36A705B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22FCFB75">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5E478F3E">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7A4F3242">
            <w:pPr>
              <w:spacing w:line="240" w:lineRule="auto"/>
              <w:ind w:firstLine="0" w:firstLineChars="0"/>
              <w:jc w:val="center"/>
              <w:rPr>
                <w:color w:val="auto"/>
                <w:sz w:val="21"/>
                <w:szCs w:val="21"/>
              </w:rPr>
            </w:pPr>
            <w:r>
              <w:rPr>
                <w:color w:val="auto"/>
                <w:sz w:val="21"/>
                <w:szCs w:val="21"/>
                <w:lang w:bidi="ar"/>
              </w:rPr>
              <w:t>敏感目标名称</w:t>
            </w:r>
          </w:p>
        </w:tc>
        <w:tc>
          <w:tcPr>
            <w:tcW w:w="985" w:type="pct"/>
            <w:gridSpan w:val="3"/>
            <w:tcBorders>
              <w:top w:val="single" w:color="000000" w:sz="4" w:space="0"/>
              <w:left w:val="single" w:color="000000" w:sz="4" w:space="0"/>
              <w:bottom w:val="single" w:color="000000" w:sz="4" w:space="0"/>
              <w:right w:val="single" w:color="000000" w:sz="4" w:space="0"/>
            </w:tcBorders>
            <w:vAlign w:val="center"/>
          </w:tcPr>
          <w:p w14:paraId="4B480E07">
            <w:pPr>
              <w:spacing w:line="240" w:lineRule="auto"/>
              <w:ind w:firstLine="0" w:firstLineChars="0"/>
              <w:jc w:val="center"/>
              <w:rPr>
                <w:color w:val="auto"/>
                <w:sz w:val="21"/>
                <w:szCs w:val="21"/>
              </w:rPr>
            </w:pPr>
            <w:r>
              <w:rPr>
                <w:color w:val="auto"/>
                <w:sz w:val="21"/>
                <w:szCs w:val="21"/>
                <w:lang w:bidi="ar"/>
              </w:rPr>
              <w:t>到达时间/h</w:t>
            </w:r>
          </w:p>
        </w:tc>
        <w:tc>
          <w:tcPr>
            <w:tcW w:w="422" w:type="pct"/>
            <w:tcBorders>
              <w:top w:val="single" w:color="000000" w:sz="4" w:space="0"/>
              <w:left w:val="single" w:color="000000" w:sz="4" w:space="0"/>
              <w:bottom w:val="single" w:color="000000" w:sz="4" w:space="0"/>
              <w:right w:val="single" w:color="000000" w:sz="4" w:space="0"/>
            </w:tcBorders>
            <w:vAlign w:val="center"/>
          </w:tcPr>
          <w:p w14:paraId="264F0CB8">
            <w:pPr>
              <w:spacing w:line="240" w:lineRule="auto"/>
              <w:ind w:firstLine="0" w:firstLineChars="0"/>
              <w:jc w:val="center"/>
              <w:rPr>
                <w:color w:val="auto"/>
                <w:sz w:val="21"/>
                <w:szCs w:val="21"/>
              </w:rPr>
            </w:pPr>
            <w:r>
              <w:rPr>
                <w:color w:val="auto"/>
                <w:sz w:val="21"/>
                <w:szCs w:val="21"/>
                <w:lang w:bidi="ar"/>
              </w:rPr>
              <w:t>超标时间/h</w:t>
            </w:r>
          </w:p>
        </w:tc>
        <w:tc>
          <w:tcPr>
            <w:tcW w:w="419" w:type="pct"/>
            <w:gridSpan w:val="3"/>
            <w:tcBorders>
              <w:top w:val="single" w:color="000000" w:sz="4" w:space="0"/>
              <w:left w:val="single" w:color="000000" w:sz="4" w:space="0"/>
              <w:bottom w:val="single" w:color="000000" w:sz="4" w:space="0"/>
              <w:right w:val="single" w:color="000000" w:sz="4" w:space="0"/>
            </w:tcBorders>
            <w:vAlign w:val="center"/>
          </w:tcPr>
          <w:p w14:paraId="41A7B115">
            <w:pPr>
              <w:spacing w:line="240" w:lineRule="auto"/>
              <w:ind w:firstLine="0" w:firstLineChars="0"/>
              <w:jc w:val="center"/>
              <w:rPr>
                <w:color w:val="auto"/>
                <w:sz w:val="21"/>
                <w:szCs w:val="21"/>
              </w:rPr>
            </w:pPr>
            <w:r>
              <w:rPr>
                <w:color w:val="auto"/>
                <w:sz w:val="21"/>
                <w:szCs w:val="21"/>
                <w:lang w:bidi="ar"/>
              </w:rPr>
              <w:t>超标持续时间/h</w:t>
            </w:r>
          </w:p>
        </w:tc>
        <w:tc>
          <w:tcPr>
            <w:tcW w:w="720" w:type="pct"/>
            <w:gridSpan w:val="2"/>
            <w:tcBorders>
              <w:top w:val="single" w:color="000000" w:sz="4" w:space="0"/>
              <w:left w:val="single" w:color="000000" w:sz="4" w:space="0"/>
              <w:bottom w:val="single" w:color="000000" w:sz="4" w:space="0"/>
              <w:right w:val="nil"/>
            </w:tcBorders>
            <w:vAlign w:val="center"/>
          </w:tcPr>
          <w:p w14:paraId="59413BFC">
            <w:pPr>
              <w:spacing w:line="240" w:lineRule="auto"/>
              <w:ind w:firstLine="0" w:firstLineChars="0"/>
              <w:jc w:val="center"/>
              <w:rPr>
                <w:color w:val="auto"/>
                <w:sz w:val="21"/>
                <w:szCs w:val="21"/>
              </w:rPr>
            </w:pPr>
            <w:r>
              <w:rPr>
                <w:color w:val="auto"/>
                <w:sz w:val="21"/>
                <w:szCs w:val="21"/>
                <w:lang w:bidi="ar"/>
              </w:rPr>
              <w:t>最大浓度/（mg/L）</w:t>
            </w:r>
          </w:p>
        </w:tc>
      </w:tr>
      <w:tr w14:paraId="12AC32AF">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40932F26">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69848D55">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1D2EEF7D">
            <w:pPr>
              <w:spacing w:line="240" w:lineRule="auto"/>
              <w:ind w:firstLine="0" w:firstLineChars="0"/>
              <w:jc w:val="center"/>
              <w:rPr>
                <w:color w:val="auto"/>
                <w:sz w:val="21"/>
                <w:szCs w:val="21"/>
              </w:rPr>
            </w:pPr>
            <w:r>
              <w:rPr>
                <w:color w:val="auto"/>
                <w:sz w:val="21"/>
                <w:szCs w:val="21"/>
                <w:lang w:bidi="ar"/>
              </w:rPr>
              <w:t>--</w:t>
            </w:r>
          </w:p>
        </w:tc>
        <w:tc>
          <w:tcPr>
            <w:tcW w:w="985" w:type="pct"/>
            <w:gridSpan w:val="3"/>
            <w:tcBorders>
              <w:top w:val="single" w:color="000000" w:sz="4" w:space="0"/>
              <w:left w:val="single" w:color="000000" w:sz="4" w:space="0"/>
              <w:bottom w:val="single" w:color="000000" w:sz="4" w:space="0"/>
              <w:right w:val="single" w:color="000000" w:sz="4" w:space="0"/>
            </w:tcBorders>
            <w:vAlign w:val="center"/>
          </w:tcPr>
          <w:p w14:paraId="2CA660AF">
            <w:pPr>
              <w:spacing w:line="240" w:lineRule="auto"/>
              <w:ind w:firstLine="0" w:firstLineChars="0"/>
              <w:jc w:val="center"/>
              <w:rPr>
                <w:color w:val="auto"/>
                <w:sz w:val="21"/>
                <w:szCs w:val="21"/>
              </w:rPr>
            </w:pPr>
            <w:r>
              <w:rPr>
                <w:color w:val="auto"/>
                <w:sz w:val="21"/>
                <w:szCs w:val="21"/>
                <w:lang w:bidi="ar"/>
              </w:rPr>
              <w:t>--</w:t>
            </w:r>
          </w:p>
        </w:tc>
        <w:tc>
          <w:tcPr>
            <w:tcW w:w="422" w:type="pct"/>
            <w:tcBorders>
              <w:top w:val="single" w:color="000000" w:sz="4" w:space="0"/>
              <w:left w:val="single" w:color="000000" w:sz="4" w:space="0"/>
              <w:bottom w:val="single" w:color="000000" w:sz="4" w:space="0"/>
              <w:right w:val="single" w:color="000000" w:sz="4" w:space="0"/>
            </w:tcBorders>
            <w:vAlign w:val="center"/>
          </w:tcPr>
          <w:p w14:paraId="05D7DDFD">
            <w:pPr>
              <w:spacing w:line="240" w:lineRule="auto"/>
              <w:ind w:firstLine="0" w:firstLineChars="0"/>
              <w:jc w:val="center"/>
              <w:rPr>
                <w:color w:val="auto"/>
                <w:sz w:val="21"/>
                <w:szCs w:val="21"/>
              </w:rPr>
            </w:pPr>
            <w:r>
              <w:rPr>
                <w:color w:val="auto"/>
                <w:sz w:val="21"/>
                <w:szCs w:val="21"/>
                <w:lang w:bidi="ar"/>
              </w:rPr>
              <w:t>--</w:t>
            </w:r>
          </w:p>
        </w:tc>
        <w:tc>
          <w:tcPr>
            <w:tcW w:w="419" w:type="pct"/>
            <w:gridSpan w:val="3"/>
            <w:tcBorders>
              <w:top w:val="single" w:color="000000" w:sz="4" w:space="0"/>
              <w:left w:val="single" w:color="000000" w:sz="4" w:space="0"/>
              <w:bottom w:val="single" w:color="000000" w:sz="4" w:space="0"/>
              <w:right w:val="single" w:color="000000" w:sz="4" w:space="0"/>
            </w:tcBorders>
            <w:vAlign w:val="center"/>
          </w:tcPr>
          <w:p w14:paraId="456BE02B">
            <w:pPr>
              <w:spacing w:line="240" w:lineRule="auto"/>
              <w:ind w:firstLine="0" w:firstLineChars="0"/>
              <w:jc w:val="center"/>
              <w:rPr>
                <w:color w:val="auto"/>
                <w:sz w:val="21"/>
                <w:szCs w:val="21"/>
              </w:rPr>
            </w:pPr>
            <w:r>
              <w:rPr>
                <w:color w:val="auto"/>
                <w:sz w:val="21"/>
                <w:szCs w:val="21"/>
                <w:lang w:bidi="ar"/>
              </w:rPr>
              <w:t>--</w:t>
            </w:r>
          </w:p>
        </w:tc>
        <w:tc>
          <w:tcPr>
            <w:tcW w:w="720" w:type="pct"/>
            <w:gridSpan w:val="2"/>
            <w:tcBorders>
              <w:top w:val="single" w:color="000000" w:sz="4" w:space="0"/>
              <w:left w:val="single" w:color="000000" w:sz="4" w:space="0"/>
              <w:bottom w:val="single" w:color="000000" w:sz="4" w:space="0"/>
              <w:right w:val="nil"/>
            </w:tcBorders>
            <w:vAlign w:val="center"/>
          </w:tcPr>
          <w:p w14:paraId="5683A05F">
            <w:pPr>
              <w:spacing w:line="240" w:lineRule="auto"/>
              <w:ind w:firstLine="0" w:firstLineChars="0"/>
              <w:jc w:val="center"/>
              <w:rPr>
                <w:color w:val="auto"/>
                <w:sz w:val="21"/>
                <w:szCs w:val="21"/>
              </w:rPr>
            </w:pPr>
            <w:r>
              <w:rPr>
                <w:color w:val="auto"/>
                <w:sz w:val="21"/>
                <w:szCs w:val="21"/>
                <w:lang w:bidi="ar"/>
              </w:rPr>
              <w:t>--</w:t>
            </w:r>
          </w:p>
        </w:tc>
      </w:tr>
      <w:tr w14:paraId="4C41AB1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restart"/>
            <w:tcBorders>
              <w:top w:val="single" w:color="000000" w:sz="4" w:space="0"/>
              <w:left w:val="nil"/>
              <w:bottom w:val="single" w:color="000000" w:sz="12" w:space="0"/>
              <w:right w:val="single" w:color="000000" w:sz="4" w:space="0"/>
            </w:tcBorders>
            <w:vAlign w:val="center"/>
          </w:tcPr>
          <w:p w14:paraId="732112B4">
            <w:pPr>
              <w:spacing w:line="240" w:lineRule="auto"/>
              <w:ind w:firstLine="0" w:firstLineChars="0"/>
              <w:jc w:val="center"/>
              <w:rPr>
                <w:color w:val="auto"/>
                <w:sz w:val="21"/>
                <w:szCs w:val="21"/>
              </w:rPr>
            </w:pPr>
            <w:r>
              <w:rPr>
                <w:color w:val="auto"/>
                <w:sz w:val="21"/>
                <w:szCs w:val="21"/>
                <w:lang w:bidi="ar"/>
              </w:rPr>
              <w:t>地下水</w:t>
            </w:r>
          </w:p>
        </w:tc>
        <w:tc>
          <w:tcPr>
            <w:tcW w:w="349" w:type="pct"/>
            <w:tcBorders>
              <w:top w:val="single" w:color="000000" w:sz="4" w:space="0"/>
              <w:left w:val="single" w:color="000000" w:sz="4" w:space="0"/>
              <w:bottom w:val="single" w:color="000000" w:sz="4" w:space="0"/>
              <w:right w:val="single" w:color="000000" w:sz="4" w:space="0"/>
            </w:tcBorders>
            <w:vAlign w:val="center"/>
          </w:tcPr>
          <w:p w14:paraId="56D766E5">
            <w:pPr>
              <w:spacing w:line="240" w:lineRule="auto"/>
              <w:ind w:firstLine="0" w:firstLineChars="0"/>
              <w:jc w:val="center"/>
              <w:rPr>
                <w:color w:val="auto"/>
                <w:sz w:val="21"/>
                <w:szCs w:val="21"/>
              </w:rPr>
            </w:pPr>
            <w:r>
              <w:rPr>
                <w:color w:val="auto"/>
                <w:sz w:val="21"/>
                <w:szCs w:val="21"/>
                <w:lang w:bidi="ar"/>
              </w:rPr>
              <w:t>危险物质</w:t>
            </w:r>
          </w:p>
        </w:tc>
        <w:tc>
          <w:tcPr>
            <w:tcW w:w="3833" w:type="pct"/>
            <w:gridSpan w:val="13"/>
            <w:tcBorders>
              <w:top w:val="single" w:color="000000" w:sz="4" w:space="0"/>
              <w:left w:val="single" w:color="000000" w:sz="4" w:space="0"/>
              <w:bottom w:val="single" w:color="000000" w:sz="4" w:space="0"/>
              <w:right w:val="nil"/>
            </w:tcBorders>
            <w:vAlign w:val="center"/>
          </w:tcPr>
          <w:p w14:paraId="2093416D">
            <w:pPr>
              <w:spacing w:line="240" w:lineRule="auto"/>
              <w:ind w:firstLine="0" w:firstLineChars="0"/>
              <w:jc w:val="center"/>
              <w:rPr>
                <w:color w:val="auto"/>
                <w:sz w:val="21"/>
                <w:szCs w:val="21"/>
              </w:rPr>
            </w:pPr>
            <w:r>
              <w:rPr>
                <w:color w:val="auto"/>
                <w:sz w:val="21"/>
                <w:szCs w:val="21"/>
                <w:lang w:bidi="ar"/>
              </w:rPr>
              <w:t>地下水环境影响</w:t>
            </w:r>
          </w:p>
        </w:tc>
      </w:tr>
      <w:tr w14:paraId="315F62D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12" w:space="0"/>
              <w:right w:val="single" w:color="000000" w:sz="4" w:space="0"/>
            </w:tcBorders>
            <w:vAlign w:val="center"/>
          </w:tcPr>
          <w:p w14:paraId="0E4D8FEA">
            <w:pPr>
              <w:spacing w:line="240" w:lineRule="auto"/>
              <w:ind w:firstLine="0" w:firstLineChars="0"/>
              <w:rPr>
                <w:color w:val="auto"/>
                <w:sz w:val="21"/>
                <w:szCs w:val="21"/>
              </w:rPr>
            </w:pPr>
          </w:p>
        </w:tc>
        <w:tc>
          <w:tcPr>
            <w:tcW w:w="349" w:type="pct"/>
            <w:vMerge w:val="restart"/>
            <w:tcBorders>
              <w:top w:val="single" w:color="000000" w:sz="4" w:space="0"/>
              <w:left w:val="single" w:color="000000" w:sz="4" w:space="0"/>
              <w:bottom w:val="single" w:color="000000" w:sz="12" w:space="0"/>
              <w:right w:val="single" w:color="000000" w:sz="4" w:space="0"/>
            </w:tcBorders>
            <w:vAlign w:val="center"/>
          </w:tcPr>
          <w:p w14:paraId="5096AF77">
            <w:pPr>
              <w:spacing w:line="240" w:lineRule="auto"/>
              <w:ind w:firstLine="0" w:firstLineChars="0"/>
              <w:jc w:val="center"/>
              <w:rPr>
                <w:color w:val="auto"/>
                <w:sz w:val="21"/>
                <w:szCs w:val="21"/>
              </w:rPr>
            </w:pPr>
            <w:r>
              <w:rPr>
                <w:color w:val="auto"/>
                <w:sz w:val="21"/>
                <w:szCs w:val="21"/>
                <w:lang w:bidi="ar"/>
              </w:rPr>
              <w:t>--</w:t>
            </w: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3FD64F8F">
            <w:pPr>
              <w:spacing w:line="240" w:lineRule="auto"/>
              <w:ind w:firstLine="0" w:firstLineChars="0"/>
              <w:jc w:val="center"/>
              <w:rPr>
                <w:color w:val="auto"/>
                <w:sz w:val="21"/>
                <w:szCs w:val="21"/>
              </w:rPr>
            </w:pPr>
            <w:r>
              <w:rPr>
                <w:color w:val="auto"/>
                <w:sz w:val="21"/>
                <w:szCs w:val="21"/>
                <w:lang w:bidi="ar"/>
              </w:rPr>
              <w:t>厂区边界</w:t>
            </w:r>
          </w:p>
        </w:tc>
        <w:tc>
          <w:tcPr>
            <w:tcW w:w="985" w:type="pct"/>
            <w:gridSpan w:val="3"/>
            <w:tcBorders>
              <w:top w:val="single" w:color="000000" w:sz="4" w:space="0"/>
              <w:left w:val="single" w:color="000000" w:sz="4" w:space="0"/>
              <w:bottom w:val="single" w:color="000000" w:sz="4" w:space="0"/>
              <w:right w:val="single" w:color="000000" w:sz="4" w:space="0"/>
            </w:tcBorders>
            <w:vAlign w:val="center"/>
          </w:tcPr>
          <w:p w14:paraId="1BB6E6EF">
            <w:pPr>
              <w:spacing w:line="240" w:lineRule="auto"/>
              <w:ind w:firstLine="0" w:firstLineChars="0"/>
              <w:jc w:val="center"/>
              <w:rPr>
                <w:color w:val="auto"/>
                <w:sz w:val="21"/>
                <w:szCs w:val="21"/>
              </w:rPr>
            </w:pPr>
            <w:r>
              <w:rPr>
                <w:color w:val="auto"/>
                <w:sz w:val="21"/>
                <w:szCs w:val="21"/>
                <w:lang w:bidi="ar"/>
              </w:rPr>
              <w:t>到达时间/d</w:t>
            </w:r>
          </w:p>
        </w:tc>
        <w:tc>
          <w:tcPr>
            <w:tcW w:w="422" w:type="pct"/>
            <w:tcBorders>
              <w:top w:val="single" w:color="000000" w:sz="4" w:space="0"/>
              <w:left w:val="single" w:color="000000" w:sz="4" w:space="0"/>
              <w:bottom w:val="single" w:color="000000" w:sz="4" w:space="0"/>
              <w:right w:val="single" w:color="000000" w:sz="4" w:space="0"/>
            </w:tcBorders>
            <w:vAlign w:val="center"/>
          </w:tcPr>
          <w:p w14:paraId="52C62B53">
            <w:pPr>
              <w:spacing w:line="240" w:lineRule="auto"/>
              <w:ind w:firstLine="0" w:firstLineChars="0"/>
              <w:jc w:val="center"/>
              <w:rPr>
                <w:color w:val="auto"/>
                <w:sz w:val="21"/>
                <w:szCs w:val="21"/>
              </w:rPr>
            </w:pPr>
            <w:r>
              <w:rPr>
                <w:color w:val="auto"/>
                <w:sz w:val="21"/>
                <w:szCs w:val="21"/>
                <w:lang w:bidi="ar"/>
              </w:rPr>
              <w:t>超标时间/d</w:t>
            </w:r>
          </w:p>
        </w:tc>
        <w:tc>
          <w:tcPr>
            <w:tcW w:w="419" w:type="pct"/>
            <w:gridSpan w:val="3"/>
            <w:tcBorders>
              <w:top w:val="single" w:color="000000" w:sz="4" w:space="0"/>
              <w:left w:val="single" w:color="000000" w:sz="4" w:space="0"/>
              <w:bottom w:val="single" w:color="000000" w:sz="4" w:space="0"/>
              <w:right w:val="single" w:color="000000" w:sz="4" w:space="0"/>
            </w:tcBorders>
            <w:vAlign w:val="center"/>
          </w:tcPr>
          <w:p w14:paraId="1778FA74">
            <w:pPr>
              <w:spacing w:line="240" w:lineRule="auto"/>
              <w:ind w:firstLine="0" w:firstLineChars="0"/>
              <w:jc w:val="center"/>
              <w:rPr>
                <w:color w:val="auto"/>
                <w:sz w:val="21"/>
                <w:szCs w:val="21"/>
              </w:rPr>
            </w:pPr>
            <w:r>
              <w:rPr>
                <w:color w:val="auto"/>
                <w:sz w:val="21"/>
                <w:szCs w:val="21"/>
                <w:lang w:bidi="ar"/>
              </w:rPr>
              <w:t>超标持续时间/d</w:t>
            </w:r>
          </w:p>
        </w:tc>
        <w:tc>
          <w:tcPr>
            <w:tcW w:w="720" w:type="pct"/>
            <w:gridSpan w:val="2"/>
            <w:tcBorders>
              <w:top w:val="single" w:color="000000" w:sz="4" w:space="0"/>
              <w:left w:val="single" w:color="000000" w:sz="4" w:space="0"/>
              <w:bottom w:val="single" w:color="000000" w:sz="4" w:space="0"/>
              <w:right w:val="nil"/>
            </w:tcBorders>
            <w:vAlign w:val="center"/>
          </w:tcPr>
          <w:p w14:paraId="172CEBD1">
            <w:pPr>
              <w:spacing w:line="240" w:lineRule="auto"/>
              <w:ind w:firstLine="0" w:firstLineChars="0"/>
              <w:jc w:val="center"/>
              <w:rPr>
                <w:color w:val="auto"/>
                <w:sz w:val="21"/>
                <w:szCs w:val="21"/>
              </w:rPr>
            </w:pPr>
            <w:r>
              <w:rPr>
                <w:color w:val="auto"/>
                <w:sz w:val="21"/>
                <w:szCs w:val="21"/>
                <w:lang w:bidi="ar"/>
              </w:rPr>
              <w:t>最大浓度/（mg/L）</w:t>
            </w:r>
          </w:p>
        </w:tc>
      </w:tr>
      <w:tr w14:paraId="58EFF77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12" w:space="0"/>
              <w:right w:val="single" w:color="000000" w:sz="4" w:space="0"/>
            </w:tcBorders>
            <w:vAlign w:val="center"/>
          </w:tcPr>
          <w:p w14:paraId="335F37CF">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12" w:space="0"/>
              <w:right w:val="single" w:color="000000" w:sz="4" w:space="0"/>
            </w:tcBorders>
            <w:vAlign w:val="center"/>
          </w:tcPr>
          <w:p w14:paraId="66ECBD0A">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231D155B">
            <w:pPr>
              <w:spacing w:line="240" w:lineRule="auto"/>
              <w:ind w:firstLine="0" w:firstLineChars="0"/>
              <w:jc w:val="center"/>
              <w:rPr>
                <w:color w:val="auto"/>
                <w:sz w:val="21"/>
                <w:szCs w:val="21"/>
              </w:rPr>
            </w:pPr>
            <w:r>
              <w:rPr>
                <w:color w:val="auto"/>
                <w:sz w:val="21"/>
                <w:szCs w:val="21"/>
                <w:lang w:bidi="ar"/>
              </w:rPr>
              <w:t>--</w:t>
            </w:r>
          </w:p>
        </w:tc>
        <w:tc>
          <w:tcPr>
            <w:tcW w:w="985" w:type="pct"/>
            <w:gridSpan w:val="3"/>
            <w:tcBorders>
              <w:top w:val="single" w:color="000000" w:sz="4" w:space="0"/>
              <w:left w:val="single" w:color="000000" w:sz="4" w:space="0"/>
              <w:bottom w:val="single" w:color="000000" w:sz="4" w:space="0"/>
              <w:right w:val="single" w:color="000000" w:sz="4" w:space="0"/>
            </w:tcBorders>
            <w:vAlign w:val="center"/>
          </w:tcPr>
          <w:p w14:paraId="2DC90D0A">
            <w:pPr>
              <w:spacing w:line="240" w:lineRule="auto"/>
              <w:ind w:firstLine="0" w:firstLineChars="0"/>
              <w:jc w:val="center"/>
              <w:rPr>
                <w:color w:val="auto"/>
                <w:sz w:val="21"/>
                <w:szCs w:val="21"/>
              </w:rPr>
            </w:pPr>
            <w:r>
              <w:rPr>
                <w:color w:val="auto"/>
                <w:sz w:val="21"/>
                <w:szCs w:val="21"/>
                <w:lang w:bidi="ar"/>
              </w:rPr>
              <w:t>--</w:t>
            </w:r>
          </w:p>
        </w:tc>
        <w:tc>
          <w:tcPr>
            <w:tcW w:w="422" w:type="pct"/>
            <w:tcBorders>
              <w:top w:val="single" w:color="000000" w:sz="4" w:space="0"/>
              <w:left w:val="single" w:color="000000" w:sz="4" w:space="0"/>
              <w:bottom w:val="single" w:color="000000" w:sz="4" w:space="0"/>
              <w:right w:val="single" w:color="000000" w:sz="4" w:space="0"/>
            </w:tcBorders>
            <w:vAlign w:val="center"/>
          </w:tcPr>
          <w:p w14:paraId="15060F54">
            <w:pPr>
              <w:spacing w:line="240" w:lineRule="auto"/>
              <w:ind w:firstLine="0" w:firstLineChars="0"/>
              <w:jc w:val="center"/>
              <w:rPr>
                <w:color w:val="auto"/>
                <w:sz w:val="21"/>
                <w:szCs w:val="21"/>
              </w:rPr>
            </w:pPr>
            <w:r>
              <w:rPr>
                <w:color w:val="auto"/>
                <w:sz w:val="21"/>
                <w:szCs w:val="21"/>
                <w:lang w:bidi="ar"/>
              </w:rPr>
              <w:t>--</w:t>
            </w:r>
          </w:p>
        </w:tc>
        <w:tc>
          <w:tcPr>
            <w:tcW w:w="419" w:type="pct"/>
            <w:gridSpan w:val="3"/>
            <w:tcBorders>
              <w:top w:val="single" w:color="000000" w:sz="4" w:space="0"/>
              <w:left w:val="single" w:color="000000" w:sz="4" w:space="0"/>
              <w:bottom w:val="single" w:color="000000" w:sz="4" w:space="0"/>
              <w:right w:val="single" w:color="000000" w:sz="4" w:space="0"/>
            </w:tcBorders>
            <w:vAlign w:val="center"/>
          </w:tcPr>
          <w:p w14:paraId="2486C310">
            <w:pPr>
              <w:spacing w:line="240" w:lineRule="auto"/>
              <w:ind w:firstLine="0" w:firstLineChars="0"/>
              <w:jc w:val="center"/>
              <w:rPr>
                <w:color w:val="auto"/>
                <w:sz w:val="21"/>
                <w:szCs w:val="21"/>
              </w:rPr>
            </w:pPr>
            <w:r>
              <w:rPr>
                <w:color w:val="auto"/>
                <w:sz w:val="21"/>
                <w:szCs w:val="21"/>
                <w:lang w:bidi="ar"/>
              </w:rPr>
              <w:t>--</w:t>
            </w:r>
          </w:p>
        </w:tc>
        <w:tc>
          <w:tcPr>
            <w:tcW w:w="720" w:type="pct"/>
            <w:gridSpan w:val="2"/>
            <w:tcBorders>
              <w:top w:val="single" w:color="000000" w:sz="4" w:space="0"/>
              <w:left w:val="single" w:color="000000" w:sz="4" w:space="0"/>
              <w:bottom w:val="single" w:color="000000" w:sz="4" w:space="0"/>
              <w:right w:val="nil"/>
            </w:tcBorders>
            <w:vAlign w:val="center"/>
          </w:tcPr>
          <w:p w14:paraId="60F60378">
            <w:pPr>
              <w:spacing w:line="240" w:lineRule="auto"/>
              <w:ind w:firstLine="0" w:firstLineChars="0"/>
              <w:jc w:val="center"/>
              <w:rPr>
                <w:color w:val="auto"/>
                <w:sz w:val="21"/>
                <w:szCs w:val="21"/>
              </w:rPr>
            </w:pPr>
            <w:r>
              <w:rPr>
                <w:color w:val="auto"/>
                <w:sz w:val="21"/>
                <w:szCs w:val="21"/>
                <w:lang w:bidi="ar"/>
              </w:rPr>
              <w:t>--</w:t>
            </w:r>
          </w:p>
        </w:tc>
      </w:tr>
      <w:tr w14:paraId="73F3B2EB">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12" w:space="0"/>
              <w:right w:val="single" w:color="000000" w:sz="4" w:space="0"/>
            </w:tcBorders>
            <w:vAlign w:val="center"/>
          </w:tcPr>
          <w:p w14:paraId="08F4BCFD">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12" w:space="0"/>
              <w:right w:val="single" w:color="000000" w:sz="4" w:space="0"/>
            </w:tcBorders>
            <w:vAlign w:val="center"/>
          </w:tcPr>
          <w:p w14:paraId="3002F0F4">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7BE29F92">
            <w:pPr>
              <w:spacing w:line="240" w:lineRule="auto"/>
              <w:ind w:firstLine="0" w:firstLineChars="0"/>
              <w:jc w:val="center"/>
              <w:rPr>
                <w:color w:val="auto"/>
                <w:sz w:val="21"/>
                <w:szCs w:val="21"/>
              </w:rPr>
            </w:pPr>
            <w:r>
              <w:rPr>
                <w:color w:val="auto"/>
                <w:sz w:val="21"/>
                <w:szCs w:val="21"/>
                <w:lang w:bidi="ar"/>
              </w:rPr>
              <w:t>敏感目标名称</w:t>
            </w:r>
          </w:p>
        </w:tc>
        <w:tc>
          <w:tcPr>
            <w:tcW w:w="985" w:type="pct"/>
            <w:gridSpan w:val="3"/>
            <w:tcBorders>
              <w:top w:val="single" w:color="000000" w:sz="4" w:space="0"/>
              <w:left w:val="single" w:color="000000" w:sz="4" w:space="0"/>
              <w:bottom w:val="single" w:color="000000" w:sz="4" w:space="0"/>
              <w:right w:val="single" w:color="000000" w:sz="4" w:space="0"/>
            </w:tcBorders>
            <w:vAlign w:val="center"/>
          </w:tcPr>
          <w:p w14:paraId="4010A990">
            <w:pPr>
              <w:spacing w:line="240" w:lineRule="auto"/>
              <w:ind w:firstLine="0" w:firstLineChars="0"/>
              <w:jc w:val="center"/>
              <w:rPr>
                <w:color w:val="auto"/>
                <w:sz w:val="21"/>
                <w:szCs w:val="21"/>
              </w:rPr>
            </w:pPr>
            <w:r>
              <w:rPr>
                <w:color w:val="auto"/>
                <w:sz w:val="21"/>
                <w:szCs w:val="21"/>
                <w:lang w:bidi="ar"/>
              </w:rPr>
              <w:t>到达时间/d</w:t>
            </w:r>
          </w:p>
        </w:tc>
        <w:tc>
          <w:tcPr>
            <w:tcW w:w="422" w:type="pct"/>
            <w:tcBorders>
              <w:top w:val="single" w:color="000000" w:sz="4" w:space="0"/>
              <w:left w:val="single" w:color="000000" w:sz="4" w:space="0"/>
              <w:bottom w:val="single" w:color="000000" w:sz="4" w:space="0"/>
              <w:right w:val="single" w:color="000000" w:sz="4" w:space="0"/>
            </w:tcBorders>
            <w:vAlign w:val="center"/>
          </w:tcPr>
          <w:p w14:paraId="5A45C729">
            <w:pPr>
              <w:spacing w:line="240" w:lineRule="auto"/>
              <w:ind w:firstLine="0" w:firstLineChars="0"/>
              <w:jc w:val="center"/>
              <w:rPr>
                <w:color w:val="auto"/>
                <w:sz w:val="21"/>
                <w:szCs w:val="21"/>
              </w:rPr>
            </w:pPr>
            <w:r>
              <w:rPr>
                <w:color w:val="auto"/>
                <w:sz w:val="21"/>
                <w:szCs w:val="21"/>
                <w:lang w:bidi="ar"/>
              </w:rPr>
              <w:t>超标时间/d</w:t>
            </w:r>
          </w:p>
        </w:tc>
        <w:tc>
          <w:tcPr>
            <w:tcW w:w="419" w:type="pct"/>
            <w:gridSpan w:val="3"/>
            <w:tcBorders>
              <w:top w:val="single" w:color="000000" w:sz="4" w:space="0"/>
              <w:left w:val="single" w:color="000000" w:sz="4" w:space="0"/>
              <w:bottom w:val="single" w:color="000000" w:sz="4" w:space="0"/>
              <w:right w:val="single" w:color="000000" w:sz="4" w:space="0"/>
            </w:tcBorders>
            <w:vAlign w:val="center"/>
          </w:tcPr>
          <w:p w14:paraId="41F66588">
            <w:pPr>
              <w:spacing w:line="240" w:lineRule="auto"/>
              <w:ind w:firstLine="0" w:firstLineChars="0"/>
              <w:jc w:val="center"/>
              <w:rPr>
                <w:color w:val="auto"/>
                <w:sz w:val="21"/>
                <w:szCs w:val="21"/>
              </w:rPr>
            </w:pPr>
            <w:r>
              <w:rPr>
                <w:color w:val="auto"/>
                <w:sz w:val="21"/>
                <w:szCs w:val="21"/>
                <w:lang w:bidi="ar"/>
              </w:rPr>
              <w:t>超标持续时间/d</w:t>
            </w:r>
          </w:p>
        </w:tc>
        <w:tc>
          <w:tcPr>
            <w:tcW w:w="720" w:type="pct"/>
            <w:gridSpan w:val="2"/>
            <w:tcBorders>
              <w:top w:val="single" w:color="000000" w:sz="4" w:space="0"/>
              <w:left w:val="single" w:color="000000" w:sz="4" w:space="0"/>
              <w:bottom w:val="single" w:color="000000" w:sz="4" w:space="0"/>
              <w:right w:val="nil"/>
            </w:tcBorders>
            <w:vAlign w:val="center"/>
          </w:tcPr>
          <w:p w14:paraId="24A1F2FE">
            <w:pPr>
              <w:spacing w:line="240" w:lineRule="auto"/>
              <w:ind w:firstLine="0" w:firstLineChars="0"/>
              <w:jc w:val="center"/>
              <w:rPr>
                <w:color w:val="auto"/>
                <w:sz w:val="21"/>
                <w:szCs w:val="21"/>
              </w:rPr>
            </w:pPr>
            <w:r>
              <w:rPr>
                <w:color w:val="auto"/>
                <w:sz w:val="21"/>
                <w:szCs w:val="21"/>
                <w:lang w:bidi="ar"/>
              </w:rPr>
              <w:t>最大浓度/（mg/L）</w:t>
            </w:r>
          </w:p>
        </w:tc>
      </w:tr>
      <w:tr w14:paraId="28C3BA8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12" w:space="0"/>
              <w:right w:val="single" w:color="000000" w:sz="4" w:space="0"/>
            </w:tcBorders>
            <w:vAlign w:val="center"/>
          </w:tcPr>
          <w:p w14:paraId="6723C77F">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12" w:space="0"/>
              <w:right w:val="single" w:color="000000" w:sz="4" w:space="0"/>
            </w:tcBorders>
            <w:vAlign w:val="center"/>
          </w:tcPr>
          <w:p w14:paraId="62A94327">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12" w:space="0"/>
              <w:right w:val="single" w:color="000000" w:sz="4" w:space="0"/>
            </w:tcBorders>
            <w:vAlign w:val="center"/>
          </w:tcPr>
          <w:p w14:paraId="12821E37">
            <w:pPr>
              <w:spacing w:line="240" w:lineRule="auto"/>
              <w:ind w:firstLine="0" w:firstLineChars="0"/>
              <w:jc w:val="center"/>
              <w:rPr>
                <w:color w:val="auto"/>
                <w:sz w:val="21"/>
                <w:szCs w:val="21"/>
              </w:rPr>
            </w:pPr>
            <w:r>
              <w:rPr>
                <w:color w:val="auto"/>
                <w:sz w:val="21"/>
                <w:szCs w:val="21"/>
                <w:lang w:bidi="ar"/>
              </w:rPr>
              <w:t>--</w:t>
            </w:r>
          </w:p>
        </w:tc>
        <w:tc>
          <w:tcPr>
            <w:tcW w:w="985" w:type="pct"/>
            <w:gridSpan w:val="3"/>
            <w:tcBorders>
              <w:top w:val="single" w:color="000000" w:sz="4" w:space="0"/>
              <w:left w:val="single" w:color="000000" w:sz="4" w:space="0"/>
              <w:bottom w:val="single" w:color="000000" w:sz="12" w:space="0"/>
              <w:right w:val="single" w:color="000000" w:sz="4" w:space="0"/>
            </w:tcBorders>
            <w:vAlign w:val="center"/>
          </w:tcPr>
          <w:p w14:paraId="24CDDECD">
            <w:pPr>
              <w:spacing w:line="240" w:lineRule="auto"/>
              <w:ind w:firstLine="0" w:firstLineChars="0"/>
              <w:jc w:val="center"/>
              <w:rPr>
                <w:color w:val="auto"/>
                <w:sz w:val="21"/>
                <w:szCs w:val="21"/>
              </w:rPr>
            </w:pPr>
            <w:r>
              <w:rPr>
                <w:color w:val="auto"/>
                <w:sz w:val="21"/>
                <w:szCs w:val="21"/>
                <w:lang w:bidi="ar"/>
              </w:rPr>
              <w:t>--</w:t>
            </w:r>
          </w:p>
        </w:tc>
        <w:tc>
          <w:tcPr>
            <w:tcW w:w="422" w:type="pct"/>
            <w:tcBorders>
              <w:top w:val="single" w:color="000000" w:sz="4" w:space="0"/>
              <w:left w:val="single" w:color="000000" w:sz="4" w:space="0"/>
              <w:bottom w:val="single" w:color="000000" w:sz="12" w:space="0"/>
              <w:right w:val="single" w:color="000000" w:sz="4" w:space="0"/>
            </w:tcBorders>
            <w:vAlign w:val="center"/>
          </w:tcPr>
          <w:p w14:paraId="08E92881">
            <w:pPr>
              <w:spacing w:line="240" w:lineRule="auto"/>
              <w:ind w:firstLine="0" w:firstLineChars="0"/>
              <w:jc w:val="center"/>
              <w:rPr>
                <w:color w:val="auto"/>
                <w:sz w:val="21"/>
                <w:szCs w:val="21"/>
              </w:rPr>
            </w:pPr>
            <w:r>
              <w:rPr>
                <w:color w:val="auto"/>
                <w:sz w:val="21"/>
                <w:szCs w:val="21"/>
                <w:lang w:bidi="ar"/>
              </w:rPr>
              <w:t>--</w:t>
            </w:r>
          </w:p>
        </w:tc>
        <w:tc>
          <w:tcPr>
            <w:tcW w:w="419" w:type="pct"/>
            <w:gridSpan w:val="3"/>
            <w:tcBorders>
              <w:top w:val="single" w:color="000000" w:sz="4" w:space="0"/>
              <w:left w:val="single" w:color="000000" w:sz="4" w:space="0"/>
              <w:bottom w:val="single" w:color="000000" w:sz="12" w:space="0"/>
              <w:right w:val="single" w:color="000000" w:sz="4" w:space="0"/>
            </w:tcBorders>
            <w:vAlign w:val="center"/>
          </w:tcPr>
          <w:p w14:paraId="73C3A205">
            <w:pPr>
              <w:spacing w:line="240" w:lineRule="auto"/>
              <w:ind w:firstLine="0" w:firstLineChars="0"/>
              <w:jc w:val="center"/>
              <w:rPr>
                <w:color w:val="auto"/>
                <w:sz w:val="21"/>
                <w:szCs w:val="21"/>
              </w:rPr>
            </w:pPr>
            <w:r>
              <w:rPr>
                <w:color w:val="auto"/>
                <w:sz w:val="21"/>
                <w:szCs w:val="21"/>
                <w:lang w:bidi="ar"/>
              </w:rPr>
              <w:t>--</w:t>
            </w:r>
          </w:p>
        </w:tc>
        <w:tc>
          <w:tcPr>
            <w:tcW w:w="720" w:type="pct"/>
            <w:gridSpan w:val="2"/>
            <w:tcBorders>
              <w:top w:val="single" w:color="000000" w:sz="4" w:space="0"/>
              <w:left w:val="single" w:color="000000" w:sz="4" w:space="0"/>
              <w:bottom w:val="single" w:color="000000" w:sz="12" w:space="0"/>
              <w:right w:val="nil"/>
            </w:tcBorders>
            <w:vAlign w:val="center"/>
          </w:tcPr>
          <w:p w14:paraId="332B8CC2">
            <w:pPr>
              <w:spacing w:line="240" w:lineRule="auto"/>
              <w:ind w:firstLine="0" w:firstLineChars="0"/>
              <w:jc w:val="center"/>
              <w:rPr>
                <w:color w:val="auto"/>
                <w:sz w:val="21"/>
                <w:szCs w:val="21"/>
              </w:rPr>
            </w:pPr>
            <w:r>
              <w:rPr>
                <w:color w:val="auto"/>
                <w:sz w:val="21"/>
                <w:szCs w:val="21"/>
                <w:lang w:bidi="ar"/>
              </w:rPr>
              <w:t>--</w:t>
            </w:r>
          </w:p>
        </w:tc>
      </w:tr>
    </w:tbl>
    <w:p w14:paraId="07B1E6B4">
      <w:pPr>
        <w:ind w:firstLine="482"/>
        <w:jc w:val="center"/>
        <w:rPr>
          <w:b/>
          <w:color w:val="auto"/>
        </w:rPr>
      </w:pPr>
      <w:r>
        <w:rPr>
          <w:rFonts w:hint="eastAsia"/>
          <w:b/>
          <w:color w:val="auto"/>
        </w:rPr>
        <w:t>表6.7.7-2火灾事故源项及事故后果基本信息表</w:t>
      </w:r>
    </w:p>
    <w:tbl>
      <w:tblPr>
        <w:tblStyle w:val="24"/>
        <w:tblW w:w="5000" w:type="pct"/>
        <w:jc w:val="center"/>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autofit"/>
        <w:tblCellMar>
          <w:top w:w="0" w:type="dxa"/>
          <w:left w:w="28" w:type="dxa"/>
          <w:bottom w:w="0" w:type="dxa"/>
          <w:right w:w="28" w:type="dxa"/>
        </w:tblCellMar>
      </w:tblPr>
      <w:tblGrid>
        <w:gridCol w:w="1586"/>
        <w:gridCol w:w="677"/>
        <w:gridCol w:w="810"/>
        <w:gridCol w:w="520"/>
        <w:gridCol w:w="1039"/>
        <w:gridCol w:w="126"/>
        <w:gridCol w:w="872"/>
        <w:gridCol w:w="933"/>
        <w:gridCol w:w="105"/>
        <w:gridCol w:w="818"/>
        <w:gridCol w:w="219"/>
        <w:gridCol w:w="403"/>
        <w:gridCol w:w="190"/>
        <w:gridCol w:w="359"/>
        <w:gridCol w:w="1037"/>
      </w:tblGrid>
      <w:tr w14:paraId="01405BEF">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5000" w:type="pct"/>
            <w:gridSpan w:val="15"/>
            <w:tcBorders>
              <w:top w:val="single" w:color="000000" w:sz="12" w:space="0"/>
              <w:left w:val="nil"/>
              <w:bottom w:val="single" w:color="000000" w:sz="4" w:space="0"/>
              <w:right w:val="nil"/>
            </w:tcBorders>
            <w:vAlign w:val="center"/>
          </w:tcPr>
          <w:p w14:paraId="553F878F">
            <w:pPr>
              <w:spacing w:line="240" w:lineRule="auto"/>
              <w:ind w:firstLine="0" w:firstLineChars="0"/>
              <w:jc w:val="center"/>
              <w:rPr>
                <w:b/>
                <w:bCs/>
                <w:color w:val="auto"/>
                <w:sz w:val="21"/>
                <w:szCs w:val="21"/>
              </w:rPr>
            </w:pPr>
            <w:r>
              <w:rPr>
                <w:b/>
                <w:bCs/>
                <w:color w:val="auto"/>
                <w:sz w:val="21"/>
                <w:szCs w:val="21"/>
                <w:lang w:bidi="ar"/>
              </w:rPr>
              <w:t>风险事故情形分析</w:t>
            </w:r>
          </w:p>
        </w:tc>
      </w:tr>
      <w:tr w14:paraId="63F8EDC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tcBorders>
              <w:top w:val="single" w:color="000000" w:sz="4" w:space="0"/>
              <w:left w:val="nil"/>
              <w:bottom w:val="single" w:color="000000" w:sz="4" w:space="0"/>
              <w:right w:val="single" w:color="000000" w:sz="4" w:space="0"/>
            </w:tcBorders>
            <w:vAlign w:val="center"/>
          </w:tcPr>
          <w:p w14:paraId="1D139148">
            <w:pPr>
              <w:spacing w:line="240" w:lineRule="auto"/>
              <w:ind w:firstLine="0" w:firstLineChars="0"/>
              <w:jc w:val="center"/>
              <w:rPr>
                <w:color w:val="auto"/>
                <w:sz w:val="21"/>
                <w:szCs w:val="21"/>
              </w:rPr>
            </w:pPr>
            <w:r>
              <w:rPr>
                <w:color w:val="auto"/>
                <w:sz w:val="21"/>
                <w:szCs w:val="21"/>
                <w:lang w:bidi="ar"/>
              </w:rPr>
              <w:t>代表性风险事故情形描述</w:t>
            </w:r>
          </w:p>
        </w:tc>
        <w:tc>
          <w:tcPr>
            <w:tcW w:w="4182" w:type="pct"/>
            <w:gridSpan w:val="14"/>
            <w:tcBorders>
              <w:top w:val="single" w:color="000000" w:sz="4" w:space="0"/>
              <w:left w:val="single" w:color="000000" w:sz="4" w:space="0"/>
              <w:bottom w:val="single" w:color="000000" w:sz="4" w:space="0"/>
              <w:right w:val="nil"/>
            </w:tcBorders>
            <w:vAlign w:val="center"/>
          </w:tcPr>
          <w:p w14:paraId="12B92624">
            <w:pPr>
              <w:spacing w:line="240" w:lineRule="auto"/>
              <w:ind w:firstLine="0" w:firstLineChars="0"/>
              <w:jc w:val="center"/>
              <w:rPr>
                <w:color w:val="auto"/>
                <w:sz w:val="21"/>
                <w:szCs w:val="21"/>
              </w:rPr>
            </w:pPr>
            <w:r>
              <w:rPr>
                <w:rFonts w:hint="eastAsia"/>
                <w:color w:val="auto"/>
                <w:sz w:val="21"/>
                <w:szCs w:val="21"/>
                <w:lang w:bidi="ar"/>
              </w:rPr>
              <w:t>硫磺火灾事故</w:t>
            </w:r>
          </w:p>
        </w:tc>
      </w:tr>
      <w:tr w14:paraId="6B7857E0">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tcBorders>
              <w:top w:val="single" w:color="000000" w:sz="4" w:space="0"/>
              <w:left w:val="nil"/>
              <w:bottom w:val="single" w:color="000000" w:sz="4" w:space="0"/>
              <w:right w:val="single" w:color="000000" w:sz="4" w:space="0"/>
            </w:tcBorders>
            <w:vAlign w:val="center"/>
          </w:tcPr>
          <w:p w14:paraId="5FC70AC7">
            <w:pPr>
              <w:spacing w:line="240" w:lineRule="auto"/>
              <w:ind w:firstLine="0" w:firstLineChars="0"/>
              <w:jc w:val="center"/>
              <w:rPr>
                <w:color w:val="auto"/>
                <w:sz w:val="21"/>
                <w:szCs w:val="21"/>
              </w:rPr>
            </w:pPr>
            <w:r>
              <w:rPr>
                <w:color w:val="auto"/>
                <w:sz w:val="21"/>
                <w:szCs w:val="21"/>
                <w:lang w:bidi="ar"/>
              </w:rPr>
              <w:t>环境风险类型</w:t>
            </w:r>
          </w:p>
        </w:tc>
        <w:tc>
          <w:tcPr>
            <w:tcW w:w="4182" w:type="pct"/>
            <w:gridSpan w:val="14"/>
            <w:tcBorders>
              <w:top w:val="single" w:color="000000" w:sz="4" w:space="0"/>
              <w:left w:val="single" w:color="000000" w:sz="4" w:space="0"/>
              <w:bottom w:val="single" w:color="000000" w:sz="4" w:space="0"/>
              <w:right w:val="nil"/>
            </w:tcBorders>
            <w:vAlign w:val="center"/>
          </w:tcPr>
          <w:p w14:paraId="71F552DA">
            <w:pPr>
              <w:spacing w:line="240" w:lineRule="auto"/>
              <w:ind w:firstLine="0" w:firstLineChars="0"/>
              <w:jc w:val="center"/>
              <w:rPr>
                <w:color w:val="auto"/>
                <w:sz w:val="21"/>
                <w:szCs w:val="21"/>
              </w:rPr>
            </w:pPr>
            <w:r>
              <w:rPr>
                <w:rFonts w:hint="eastAsia"/>
                <w:color w:val="auto"/>
                <w:sz w:val="21"/>
                <w:szCs w:val="21"/>
                <w:lang w:bidi="ar"/>
              </w:rPr>
              <w:t>火灾</w:t>
            </w:r>
          </w:p>
        </w:tc>
      </w:tr>
      <w:tr w14:paraId="7196484C">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tcBorders>
              <w:top w:val="single" w:color="000000" w:sz="4" w:space="0"/>
              <w:left w:val="nil"/>
              <w:bottom w:val="single" w:color="000000" w:sz="4" w:space="0"/>
              <w:right w:val="single" w:color="000000" w:sz="4" w:space="0"/>
            </w:tcBorders>
            <w:vAlign w:val="center"/>
          </w:tcPr>
          <w:p w14:paraId="02D00EC3">
            <w:pPr>
              <w:spacing w:line="240" w:lineRule="auto"/>
              <w:ind w:firstLine="0" w:firstLineChars="0"/>
              <w:jc w:val="center"/>
              <w:rPr>
                <w:color w:val="auto"/>
                <w:sz w:val="21"/>
                <w:szCs w:val="21"/>
              </w:rPr>
            </w:pPr>
            <w:r>
              <w:rPr>
                <w:color w:val="auto"/>
                <w:sz w:val="21"/>
                <w:szCs w:val="21"/>
                <w:lang w:bidi="ar"/>
              </w:rPr>
              <w:t>泄漏设备类型</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02D2EEFD">
            <w:pPr>
              <w:spacing w:line="240" w:lineRule="auto"/>
              <w:ind w:firstLine="0" w:firstLineChars="0"/>
              <w:jc w:val="center"/>
              <w:rPr>
                <w:color w:val="auto"/>
                <w:sz w:val="21"/>
                <w:szCs w:val="21"/>
              </w:rPr>
            </w:pPr>
            <w:r>
              <w:rPr>
                <w:rFonts w:hint="eastAsia"/>
                <w:color w:val="auto"/>
                <w:sz w:val="21"/>
                <w:szCs w:val="21"/>
              </w:rPr>
              <w:t>硫磺包装袋</w:t>
            </w:r>
          </w:p>
        </w:tc>
        <w:tc>
          <w:tcPr>
            <w:tcW w:w="804" w:type="pct"/>
            <w:gridSpan w:val="2"/>
            <w:tcBorders>
              <w:top w:val="single" w:color="000000" w:sz="4" w:space="0"/>
              <w:left w:val="single" w:color="000000" w:sz="4" w:space="0"/>
              <w:bottom w:val="single" w:color="000000" w:sz="4" w:space="0"/>
              <w:right w:val="single" w:color="000000" w:sz="4" w:space="0"/>
            </w:tcBorders>
            <w:vAlign w:val="center"/>
          </w:tcPr>
          <w:p w14:paraId="71271077">
            <w:pPr>
              <w:spacing w:line="240" w:lineRule="auto"/>
              <w:ind w:firstLine="0" w:firstLineChars="0"/>
              <w:jc w:val="center"/>
              <w:rPr>
                <w:color w:val="auto"/>
                <w:sz w:val="21"/>
                <w:szCs w:val="21"/>
              </w:rPr>
            </w:pPr>
            <w:r>
              <w:rPr>
                <w:color w:val="auto"/>
                <w:sz w:val="21"/>
                <w:szCs w:val="21"/>
                <w:lang w:bidi="ar"/>
              </w:rPr>
              <w:t>操作温度/℃</w:t>
            </w:r>
          </w:p>
        </w:tc>
        <w:tc>
          <w:tcPr>
            <w:tcW w:w="996" w:type="pct"/>
            <w:gridSpan w:val="3"/>
            <w:tcBorders>
              <w:top w:val="single" w:color="000000" w:sz="4" w:space="0"/>
              <w:left w:val="single" w:color="000000" w:sz="4" w:space="0"/>
              <w:bottom w:val="single" w:color="000000" w:sz="4" w:space="0"/>
              <w:right w:val="single" w:color="000000" w:sz="4" w:space="0"/>
            </w:tcBorders>
            <w:vAlign w:val="center"/>
          </w:tcPr>
          <w:p w14:paraId="02AF8AAF">
            <w:pPr>
              <w:spacing w:line="240" w:lineRule="auto"/>
              <w:ind w:firstLine="0" w:firstLineChars="0"/>
              <w:jc w:val="center"/>
              <w:rPr>
                <w:color w:val="auto"/>
                <w:sz w:val="21"/>
                <w:szCs w:val="21"/>
              </w:rPr>
            </w:pPr>
            <w:r>
              <w:rPr>
                <w:color w:val="auto"/>
                <w:sz w:val="21"/>
                <w:szCs w:val="21"/>
                <w:lang w:bidi="ar"/>
              </w:rPr>
              <w:t>25</w:t>
            </w:r>
          </w:p>
        </w:tc>
        <w:tc>
          <w:tcPr>
            <w:tcW w:w="797" w:type="pct"/>
            <w:gridSpan w:val="4"/>
            <w:tcBorders>
              <w:top w:val="single" w:color="000000" w:sz="4" w:space="0"/>
              <w:left w:val="single" w:color="000000" w:sz="4" w:space="0"/>
              <w:bottom w:val="single" w:color="000000" w:sz="4" w:space="0"/>
              <w:right w:val="single" w:color="000000" w:sz="4" w:space="0"/>
            </w:tcBorders>
            <w:vAlign w:val="center"/>
          </w:tcPr>
          <w:p w14:paraId="23680550">
            <w:pPr>
              <w:spacing w:line="240" w:lineRule="auto"/>
              <w:ind w:firstLine="0" w:firstLineChars="0"/>
              <w:jc w:val="center"/>
              <w:rPr>
                <w:color w:val="auto"/>
                <w:sz w:val="21"/>
                <w:szCs w:val="21"/>
              </w:rPr>
            </w:pPr>
            <w:r>
              <w:rPr>
                <w:color w:val="auto"/>
                <w:sz w:val="21"/>
                <w:szCs w:val="21"/>
                <w:lang w:bidi="ar"/>
              </w:rPr>
              <w:t>操作压力/KPa</w:t>
            </w:r>
          </w:p>
        </w:tc>
        <w:tc>
          <w:tcPr>
            <w:tcW w:w="818" w:type="pct"/>
            <w:gridSpan w:val="3"/>
            <w:tcBorders>
              <w:top w:val="single" w:color="000000" w:sz="4" w:space="0"/>
              <w:left w:val="single" w:color="000000" w:sz="4" w:space="0"/>
              <w:bottom w:val="single" w:color="000000" w:sz="4" w:space="0"/>
              <w:right w:val="nil"/>
            </w:tcBorders>
            <w:vAlign w:val="center"/>
          </w:tcPr>
          <w:p w14:paraId="68A08835">
            <w:pPr>
              <w:spacing w:line="240" w:lineRule="auto"/>
              <w:ind w:firstLine="0" w:firstLineChars="0"/>
              <w:jc w:val="center"/>
              <w:rPr>
                <w:color w:val="auto"/>
                <w:sz w:val="21"/>
                <w:szCs w:val="21"/>
              </w:rPr>
            </w:pPr>
            <w:r>
              <w:rPr>
                <w:rFonts w:hint="eastAsia"/>
                <w:color w:val="auto"/>
                <w:sz w:val="21"/>
                <w:szCs w:val="21"/>
                <w:lang w:bidi="ar"/>
              </w:rPr>
              <w:t>101.325</w:t>
            </w:r>
          </w:p>
        </w:tc>
      </w:tr>
      <w:tr w14:paraId="2BC1328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tcBorders>
              <w:top w:val="single" w:color="000000" w:sz="4" w:space="0"/>
              <w:left w:val="nil"/>
              <w:bottom w:val="single" w:color="000000" w:sz="4" w:space="0"/>
              <w:right w:val="single" w:color="000000" w:sz="4" w:space="0"/>
            </w:tcBorders>
            <w:vAlign w:val="center"/>
          </w:tcPr>
          <w:p w14:paraId="2D606CCB">
            <w:pPr>
              <w:spacing w:line="240" w:lineRule="auto"/>
              <w:ind w:firstLine="0" w:firstLineChars="0"/>
              <w:jc w:val="center"/>
              <w:rPr>
                <w:color w:val="auto"/>
                <w:sz w:val="21"/>
                <w:szCs w:val="21"/>
              </w:rPr>
            </w:pPr>
            <w:r>
              <w:rPr>
                <w:color w:val="auto"/>
                <w:sz w:val="21"/>
                <w:szCs w:val="21"/>
                <w:lang w:bidi="ar"/>
              </w:rPr>
              <w:t>泄漏危险物质</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673A71D9">
            <w:pPr>
              <w:spacing w:line="240" w:lineRule="auto"/>
              <w:ind w:firstLine="0" w:firstLineChars="0"/>
              <w:jc w:val="center"/>
              <w:rPr>
                <w:color w:val="auto"/>
                <w:sz w:val="21"/>
                <w:szCs w:val="21"/>
              </w:rPr>
            </w:pPr>
            <w:r>
              <w:rPr>
                <w:rFonts w:hint="eastAsia"/>
                <w:color w:val="auto"/>
                <w:sz w:val="21"/>
                <w:szCs w:val="21"/>
              </w:rPr>
              <w:t>硫磺</w:t>
            </w:r>
          </w:p>
        </w:tc>
        <w:tc>
          <w:tcPr>
            <w:tcW w:w="804" w:type="pct"/>
            <w:gridSpan w:val="2"/>
            <w:tcBorders>
              <w:top w:val="single" w:color="000000" w:sz="4" w:space="0"/>
              <w:left w:val="single" w:color="000000" w:sz="4" w:space="0"/>
              <w:bottom w:val="single" w:color="000000" w:sz="4" w:space="0"/>
              <w:right w:val="single" w:color="000000" w:sz="4" w:space="0"/>
            </w:tcBorders>
            <w:vAlign w:val="center"/>
          </w:tcPr>
          <w:p w14:paraId="482E8453">
            <w:pPr>
              <w:spacing w:line="240" w:lineRule="auto"/>
              <w:ind w:firstLine="0" w:firstLineChars="0"/>
              <w:jc w:val="center"/>
              <w:rPr>
                <w:color w:val="auto"/>
                <w:sz w:val="21"/>
                <w:szCs w:val="21"/>
              </w:rPr>
            </w:pPr>
            <w:r>
              <w:rPr>
                <w:color w:val="auto"/>
                <w:sz w:val="21"/>
                <w:szCs w:val="21"/>
                <w:lang w:bidi="ar"/>
              </w:rPr>
              <w:t>最大存在量/kg</w:t>
            </w:r>
          </w:p>
        </w:tc>
        <w:tc>
          <w:tcPr>
            <w:tcW w:w="996" w:type="pct"/>
            <w:gridSpan w:val="3"/>
            <w:tcBorders>
              <w:top w:val="single" w:color="000000" w:sz="4" w:space="0"/>
              <w:left w:val="single" w:color="000000" w:sz="4" w:space="0"/>
              <w:bottom w:val="single" w:color="000000" w:sz="4" w:space="0"/>
              <w:right w:val="single" w:color="000000" w:sz="4" w:space="0"/>
            </w:tcBorders>
            <w:vAlign w:val="center"/>
          </w:tcPr>
          <w:p w14:paraId="3B972C9C">
            <w:pPr>
              <w:spacing w:line="240" w:lineRule="auto"/>
              <w:ind w:firstLine="0" w:firstLineChars="0"/>
              <w:jc w:val="center"/>
              <w:rPr>
                <w:color w:val="auto"/>
                <w:sz w:val="21"/>
                <w:szCs w:val="21"/>
              </w:rPr>
            </w:pPr>
            <w:r>
              <w:rPr>
                <w:rFonts w:hint="eastAsia"/>
                <w:color w:val="auto"/>
                <w:sz w:val="21"/>
                <w:szCs w:val="21"/>
              </w:rPr>
              <w:t>50</w:t>
            </w:r>
          </w:p>
        </w:tc>
        <w:tc>
          <w:tcPr>
            <w:tcW w:w="797" w:type="pct"/>
            <w:gridSpan w:val="4"/>
            <w:tcBorders>
              <w:top w:val="single" w:color="000000" w:sz="4" w:space="0"/>
              <w:left w:val="single" w:color="000000" w:sz="4" w:space="0"/>
              <w:bottom w:val="single" w:color="000000" w:sz="4" w:space="0"/>
              <w:right w:val="single" w:color="000000" w:sz="4" w:space="0"/>
            </w:tcBorders>
            <w:vAlign w:val="center"/>
          </w:tcPr>
          <w:p w14:paraId="319728F3">
            <w:pPr>
              <w:spacing w:line="240" w:lineRule="auto"/>
              <w:ind w:firstLine="0" w:firstLineChars="0"/>
              <w:jc w:val="center"/>
              <w:rPr>
                <w:color w:val="auto"/>
                <w:sz w:val="21"/>
                <w:szCs w:val="21"/>
              </w:rPr>
            </w:pPr>
            <w:r>
              <w:rPr>
                <w:color w:val="auto"/>
                <w:sz w:val="21"/>
                <w:szCs w:val="21"/>
                <w:lang w:bidi="ar"/>
              </w:rPr>
              <w:t>泄漏孔径/mm</w:t>
            </w:r>
          </w:p>
        </w:tc>
        <w:tc>
          <w:tcPr>
            <w:tcW w:w="818" w:type="pct"/>
            <w:gridSpan w:val="3"/>
            <w:tcBorders>
              <w:top w:val="single" w:color="000000" w:sz="4" w:space="0"/>
              <w:left w:val="single" w:color="000000" w:sz="4" w:space="0"/>
              <w:bottom w:val="single" w:color="000000" w:sz="4" w:space="0"/>
              <w:right w:val="nil"/>
            </w:tcBorders>
            <w:vAlign w:val="center"/>
          </w:tcPr>
          <w:p w14:paraId="0F0AC8AC">
            <w:pPr>
              <w:spacing w:line="240" w:lineRule="auto"/>
              <w:ind w:firstLine="0" w:firstLineChars="0"/>
              <w:jc w:val="center"/>
              <w:rPr>
                <w:color w:val="auto"/>
                <w:sz w:val="21"/>
                <w:szCs w:val="21"/>
              </w:rPr>
            </w:pPr>
            <w:r>
              <w:rPr>
                <w:rFonts w:hint="eastAsia"/>
                <w:color w:val="auto"/>
                <w:sz w:val="21"/>
                <w:szCs w:val="21"/>
                <w:lang w:bidi="ar"/>
              </w:rPr>
              <w:t>/</w:t>
            </w:r>
          </w:p>
        </w:tc>
      </w:tr>
      <w:tr w14:paraId="37CB289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tcBorders>
              <w:top w:val="single" w:color="000000" w:sz="4" w:space="0"/>
              <w:left w:val="nil"/>
              <w:bottom w:val="single" w:color="000000" w:sz="4" w:space="0"/>
              <w:right w:val="single" w:color="000000" w:sz="4" w:space="0"/>
            </w:tcBorders>
            <w:vAlign w:val="center"/>
          </w:tcPr>
          <w:p w14:paraId="2DBBEF76">
            <w:pPr>
              <w:spacing w:line="240" w:lineRule="auto"/>
              <w:ind w:firstLine="0" w:firstLineChars="0"/>
              <w:jc w:val="center"/>
              <w:rPr>
                <w:color w:val="auto"/>
                <w:sz w:val="21"/>
                <w:szCs w:val="21"/>
              </w:rPr>
            </w:pPr>
            <w:r>
              <w:rPr>
                <w:color w:val="auto"/>
                <w:sz w:val="21"/>
                <w:szCs w:val="21"/>
                <w:lang w:bidi="ar"/>
              </w:rPr>
              <w:t>泄漏速率/（kg/s）</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1DDE3EDC">
            <w:pPr>
              <w:spacing w:line="240" w:lineRule="auto"/>
              <w:ind w:firstLine="0" w:firstLineChars="0"/>
              <w:jc w:val="center"/>
              <w:rPr>
                <w:color w:val="auto"/>
                <w:sz w:val="21"/>
                <w:szCs w:val="21"/>
              </w:rPr>
            </w:pPr>
            <w:r>
              <w:rPr>
                <w:rFonts w:hint="eastAsia"/>
                <w:color w:val="auto"/>
                <w:sz w:val="21"/>
                <w:szCs w:val="21"/>
              </w:rPr>
              <w:t>0.167</w:t>
            </w:r>
          </w:p>
        </w:tc>
        <w:tc>
          <w:tcPr>
            <w:tcW w:w="804" w:type="pct"/>
            <w:gridSpan w:val="2"/>
            <w:tcBorders>
              <w:top w:val="single" w:color="000000" w:sz="4" w:space="0"/>
              <w:left w:val="single" w:color="000000" w:sz="4" w:space="0"/>
              <w:bottom w:val="single" w:color="000000" w:sz="4" w:space="0"/>
              <w:right w:val="single" w:color="000000" w:sz="4" w:space="0"/>
            </w:tcBorders>
            <w:vAlign w:val="center"/>
          </w:tcPr>
          <w:p w14:paraId="721E5237">
            <w:pPr>
              <w:spacing w:line="240" w:lineRule="auto"/>
              <w:ind w:firstLine="0" w:firstLineChars="0"/>
              <w:jc w:val="center"/>
              <w:rPr>
                <w:color w:val="auto"/>
                <w:sz w:val="21"/>
                <w:szCs w:val="21"/>
              </w:rPr>
            </w:pPr>
            <w:r>
              <w:rPr>
                <w:color w:val="auto"/>
                <w:sz w:val="21"/>
                <w:szCs w:val="21"/>
                <w:lang w:bidi="ar"/>
              </w:rPr>
              <w:t>泄漏时间/min</w:t>
            </w:r>
          </w:p>
        </w:tc>
        <w:tc>
          <w:tcPr>
            <w:tcW w:w="996" w:type="pct"/>
            <w:gridSpan w:val="3"/>
            <w:tcBorders>
              <w:top w:val="single" w:color="000000" w:sz="4" w:space="0"/>
              <w:left w:val="single" w:color="000000" w:sz="4" w:space="0"/>
              <w:bottom w:val="single" w:color="000000" w:sz="4" w:space="0"/>
              <w:right w:val="single" w:color="000000" w:sz="4" w:space="0"/>
            </w:tcBorders>
            <w:vAlign w:val="center"/>
          </w:tcPr>
          <w:p w14:paraId="1044EF16">
            <w:pPr>
              <w:spacing w:line="240" w:lineRule="auto"/>
              <w:ind w:firstLine="0" w:firstLineChars="0"/>
              <w:jc w:val="center"/>
              <w:rPr>
                <w:color w:val="auto"/>
                <w:sz w:val="21"/>
                <w:szCs w:val="21"/>
              </w:rPr>
            </w:pPr>
            <w:r>
              <w:rPr>
                <w:rFonts w:hint="eastAsia"/>
                <w:color w:val="auto"/>
                <w:sz w:val="21"/>
                <w:szCs w:val="21"/>
                <w:lang w:bidi="ar"/>
              </w:rPr>
              <w:t>/</w:t>
            </w:r>
          </w:p>
        </w:tc>
        <w:tc>
          <w:tcPr>
            <w:tcW w:w="797" w:type="pct"/>
            <w:gridSpan w:val="4"/>
            <w:tcBorders>
              <w:top w:val="single" w:color="000000" w:sz="4" w:space="0"/>
              <w:left w:val="single" w:color="000000" w:sz="4" w:space="0"/>
              <w:bottom w:val="single" w:color="000000" w:sz="4" w:space="0"/>
              <w:right w:val="single" w:color="000000" w:sz="4" w:space="0"/>
            </w:tcBorders>
            <w:vAlign w:val="center"/>
          </w:tcPr>
          <w:p w14:paraId="3F94D012">
            <w:pPr>
              <w:spacing w:line="240" w:lineRule="auto"/>
              <w:ind w:firstLine="0" w:firstLineChars="0"/>
              <w:jc w:val="center"/>
              <w:rPr>
                <w:color w:val="auto"/>
                <w:sz w:val="21"/>
                <w:szCs w:val="21"/>
              </w:rPr>
            </w:pPr>
            <w:r>
              <w:rPr>
                <w:color w:val="auto"/>
                <w:sz w:val="21"/>
                <w:szCs w:val="21"/>
                <w:lang w:bidi="ar"/>
              </w:rPr>
              <w:t>泄漏量/kg</w:t>
            </w:r>
          </w:p>
        </w:tc>
        <w:tc>
          <w:tcPr>
            <w:tcW w:w="818" w:type="pct"/>
            <w:gridSpan w:val="3"/>
            <w:tcBorders>
              <w:top w:val="single" w:color="000000" w:sz="4" w:space="0"/>
              <w:left w:val="single" w:color="000000" w:sz="4" w:space="0"/>
              <w:bottom w:val="single" w:color="000000" w:sz="4" w:space="0"/>
              <w:right w:val="nil"/>
            </w:tcBorders>
            <w:vAlign w:val="center"/>
          </w:tcPr>
          <w:p w14:paraId="4AFF1B67">
            <w:pPr>
              <w:spacing w:line="240" w:lineRule="auto"/>
              <w:ind w:firstLine="0" w:firstLineChars="0"/>
              <w:jc w:val="center"/>
              <w:rPr>
                <w:color w:val="auto"/>
                <w:sz w:val="21"/>
                <w:szCs w:val="21"/>
              </w:rPr>
            </w:pPr>
            <w:r>
              <w:rPr>
                <w:rFonts w:hint="eastAsia"/>
                <w:color w:val="auto"/>
                <w:sz w:val="21"/>
                <w:szCs w:val="21"/>
              </w:rPr>
              <w:t>/</w:t>
            </w:r>
          </w:p>
        </w:tc>
      </w:tr>
      <w:tr w14:paraId="26B533F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70" w:hRule="atLeast"/>
          <w:jc w:val="center"/>
        </w:trPr>
        <w:tc>
          <w:tcPr>
            <w:tcW w:w="818" w:type="pct"/>
            <w:tcBorders>
              <w:top w:val="single" w:color="000000" w:sz="4" w:space="0"/>
              <w:left w:val="nil"/>
              <w:bottom w:val="single" w:color="000000" w:sz="4" w:space="0"/>
              <w:right w:val="single" w:color="000000" w:sz="4" w:space="0"/>
            </w:tcBorders>
            <w:vAlign w:val="center"/>
          </w:tcPr>
          <w:p w14:paraId="07E11176">
            <w:pPr>
              <w:spacing w:line="240" w:lineRule="auto"/>
              <w:ind w:firstLine="0" w:firstLineChars="0"/>
              <w:jc w:val="center"/>
              <w:rPr>
                <w:color w:val="auto"/>
                <w:sz w:val="21"/>
                <w:szCs w:val="21"/>
              </w:rPr>
            </w:pPr>
            <w:r>
              <w:rPr>
                <w:color w:val="auto"/>
                <w:sz w:val="21"/>
                <w:szCs w:val="21"/>
                <w:lang w:bidi="ar"/>
              </w:rPr>
              <w:t>泄漏高度/m</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60677EDB">
            <w:pPr>
              <w:spacing w:line="240" w:lineRule="auto"/>
              <w:ind w:firstLine="0" w:firstLineChars="0"/>
              <w:jc w:val="center"/>
              <w:rPr>
                <w:color w:val="auto"/>
                <w:sz w:val="21"/>
                <w:szCs w:val="21"/>
              </w:rPr>
            </w:pPr>
            <w:r>
              <w:rPr>
                <w:rFonts w:hint="eastAsia"/>
                <w:color w:val="auto"/>
                <w:sz w:val="21"/>
                <w:szCs w:val="21"/>
                <w:lang w:bidi="ar"/>
              </w:rPr>
              <w:t>/</w:t>
            </w:r>
          </w:p>
        </w:tc>
        <w:tc>
          <w:tcPr>
            <w:tcW w:w="804" w:type="pct"/>
            <w:gridSpan w:val="2"/>
            <w:tcBorders>
              <w:top w:val="single" w:color="000000" w:sz="4" w:space="0"/>
              <w:left w:val="single" w:color="000000" w:sz="4" w:space="0"/>
              <w:bottom w:val="single" w:color="000000" w:sz="4" w:space="0"/>
              <w:right w:val="single" w:color="000000" w:sz="4" w:space="0"/>
            </w:tcBorders>
            <w:vAlign w:val="center"/>
          </w:tcPr>
          <w:p w14:paraId="7D7A9117">
            <w:pPr>
              <w:spacing w:line="240" w:lineRule="auto"/>
              <w:ind w:firstLine="0" w:firstLineChars="0"/>
              <w:jc w:val="center"/>
              <w:rPr>
                <w:color w:val="auto"/>
                <w:sz w:val="21"/>
                <w:szCs w:val="21"/>
              </w:rPr>
            </w:pPr>
            <w:r>
              <w:rPr>
                <w:color w:val="auto"/>
                <w:sz w:val="21"/>
                <w:szCs w:val="21"/>
                <w:lang w:bidi="ar"/>
              </w:rPr>
              <w:t>泄漏液体蒸发量/kg</w:t>
            </w:r>
          </w:p>
        </w:tc>
        <w:tc>
          <w:tcPr>
            <w:tcW w:w="996" w:type="pct"/>
            <w:gridSpan w:val="3"/>
            <w:tcBorders>
              <w:top w:val="single" w:color="000000" w:sz="4" w:space="0"/>
              <w:left w:val="single" w:color="000000" w:sz="4" w:space="0"/>
              <w:right w:val="single" w:color="000000" w:sz="4" w:space="0"/>
            </w:tcBorders>
            <w:vAlign w:val="center"/>
          </w:tcPr>
          <w:p w14:paraId="621D1105">
            <w:pPr>
              <w:spacing w:line="240" w:lineRule="auto"/>
              <w:ind w:firstLine="0" w:firstLineChars="0"/>
              <w:jc w:val="center"/>
              <w:rPr>
                <w:color w:val="auto"/>
                <w:sz w:val="21"/>
                <w:szCs w:val="21"/>
              </w:rPr>
            </w:pPr>
            <w:r>
              <w:rPr>
                <w:rFonts w:hint="eastAsia"/>
                <w:color w:val="auto"/>
                <w:sz w:val="21"/>
                <w:szCs w:val="21"/>
              </w:rPr>
              <w:t>/</w:t>
            </w:r>
          </w:p>
        </w:tc>
        <w:tc>
          <w:tcPr>
            <w:tcW w:w="797" w:type="pct"/>
            <w:gridSpan w:val="4"/>
            <w:tcBorders>
              <w:top w:val="single" w:color="000000" w:sz="4" w:space="0"/>
              <w:left w:val="single" w:color="000000" w:sz="4" w:space="0"/>
              <w:bottom w:val="single" w:color="000000" w:sz="4" w:space="0"/>
              <w:right w:val="single" w:color="000000" w:sz="4" w:space="0"/>
            </w:tcBorders>
            <w:vAlign w:val="center"/>
          </w:tcPr>
          <w:p w14:paraId="1022DBCA">
            <w:pPr>
              <w:spacing w:line="240" w:lineRule="auto"/>
              <w:ind w:firstLine="0" w:firstLineChars="0"/>
              <w:jc w:val="center"/>
              <w:rPr>
                <w:color w:val="auto"/>
                <w:sz w:val="21"/>
                <w:szCs w:val="21"/>
              </w:rPr>
            </w:pPr>
            <w:r>
              <w:rPr>
                <w:color w:val="auto"/>
                <w:sz w:val="21"/>
                <w:szCs w:val="21"/>
                <w:lang w:bidi="ar"/>
              </w:rPr>
              <w:t>泄漏频率</w:t>
            </w:r>
          </w:p>
        </w:tc>
        <w:tc>
          <w:tcPr>
            <w:tcW w:w="818" w:type="pct"/>
            <w:gridSpan w:val="3"/>
            <w:tcBorders>
              <w:top w:val="single" w:color="000000" w:sz="4" w:space="0"/>
              <w:left w:val="single" w:color="000000" w:sz="4" w:space="0"/>
              <w:bottom w:val="single" w:color="000000" w:sz="4" w:space="0"/>
              <w:right w:val="nil"/>
            </w:tcBorders>
            <w:vAlign w:val="center"/>
          </w:tcPr>
          <w:p w14:paraId="2456883C">
            <w:pPr>
              <w:spacing w:line="240" w:lineRule="auto"/>
              <w:ind w:firstLine="0" w:firstLineChars="0"/>
              <w:jc w:val="center"/>
              <w:rPr>
                <w:color w:val="auto"/>
                <w:sz w:val="21"/>
                <w:szCs w:val="21"/>
              </w:rPr>
            </w:pPr>
            <w:r>
              <w:rPr>
                <w:color w:val="auto"/>
                <w:kern w:val="24"/>
                <w:sz w:val="21"/>
                <w:szCs w:val="21"/>
                <w:lang w:bidi="ar"/>
              </w:rPr>
              <w:t>1.0×10</w:t>
            </w:r>
            <w:r>
              <w:rPr>
                <w:color w:val="auto"/>
                <w:kern w:val="24"/>
                <w:sz w:val="21"/>
                <w:szCs w:val="21"/>
                <w:vertAlign w:val="superscript"/>
                <w:lang w:bidi="ar"/>
              </w:rPr>
              <w:t>-4</w:t>
            </w:r>
            <w:r>
              <w:rPr>
                <w:color w:val="auto"/>
                <w:kern w:val="24"/>
                <w:sz w:val="21"/>
                <w:szCs w:val="21"/>
                <w:lang w:bidi="ar"/>
              </w:rPr>
              <w:t>/a</w:t>
            </w:r>
          </w:p>
        </w:tc>
      </w:tr>
      <w:tr w14:paraId="00D353E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5000" w:type="pct"/>
            <w:gridSpan w:val="15"/>
            <w:tcBorders>
              <w:top w:val="single" w:color="000000" w:sz="4" w:space="0"/>
              <w:left w:val="nil"/>
              <w:bottom w:val="single" w:color="000000" w:sz="4" w:space="0"/>
              <w:right w:val="nil"/>
            </w:tcBorders>
            <w:vAlign w:val="center"/>
          </w:tcPr>
          <w:p w14:paraId="1096B611">
            <w:pPr>
              <w:spacing w:line="240" w:lineRule="auto"/>
              <w:ind w:firstLine="0" w:firstLineChars="0"/>
              <w:jc w:val="center"/>
              <w:rPr>
                <w:color w:val="auto"/>
                <w:sz w:val="21"/>
                <w:szCs w:val="21"/>
              </w:rPr>
            </w:pPr>
            <w:r>
              <w:rPr>
                <w:color w:val="auto"/>
                <w:sz w:val="21"/>
                <w:szCs w:val="21"/>
                <w:lang w:bidi="ar"/>
              </w:rPr>
              <w:t>事故后果预测</w:t>
            </w:r>
          </w:p>
        </w:tc>
      </w:tr>
      <w:tr w14:paraId="2BFC634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restart"/>
            <w:tcBorders>
              <w:top w:val="single" w:color="000000" w:sz="4" w:space="0"/>
              <w:left w:val="nil"/>
              <w:bottom w:val="single" w:color="000000" w:sz="4" w:space="0"/>
              <w:right w:val="single" w:color="000000" w:sz="4" w:space="0"/>
            </w:tcBorders>
            <w:vAlign w:val="center"/>
          </w:tcPr>
          <w:p w14:paraId="4646F227">
            <w:pPr>
              <w:spacing w:line="240" w:lineRule="auto"/>
              <w:ind w:firstLine="0" w:firstLineChars="0"/>
              <w:jc w:val="center"/>
              <w:rPr>
                <w:color w:val="auto"/>
                <w:sz w:val="21"/>
                <w:szCs w:val="21"/>
              </w:rPr>
            </w:pPr>
            <w:r>
              <w:rPr>
                <w:color w:val="auto"/>
                <w:sz w:val="21"/>
                <w:szCs w:val="21"/>
                <w:lang w:bidi="ar"/>
              </w:rPr>
              <w:t>大气</w:t>
            </w:r>
          </w:p>
        </w:tc>
        <w:tc>
          <w:tcPr>
            <w:tcW w:w="349" w:type="pct"/>
            <w:vMerge w:val="restart"/>
            <w:tcBorders>
              <w:top w:val="single" w:color="000000" w:sz="4" w:space="0"/>
              <w:left w:val="single" w:color="000000" w:sz="4" w:space="0"/>
              <w:bottom w:val="single" w:color="000000" w:sz="4" w:space="0"/>
              <w:right w:val="single" w:color="000000" w:sz="4" w:space="0"/>
            </w:tcBorders>
            <w:vAlign w:val="center"/>
          </w:tcPr>
          <w:p w14:paraId="2AC49A36">
            <w:pPr>
              <w:spacing w:line="240" w:lineRule="auto"/>
              <w:ind w:firstLine="0" w:firstLineChars="0"/>
              <w:jc w:val="center"/>
              <w:rPr>
                <w:color w:val="auto"/>
                <w:sz w:val="21"/>
                <w:szCs w:val="21"/>
              </w:rPr>
            </w:pPr>
            <w:r>
              <w:rPr>
                <w:color w:val="auto"/>
                <w:sz w:val="21"/>
                <w:szCs w:val="21"/>
                <w:lang w:bidi="ar"/>
              </w:rPr>
              <w:t>危险物质</w:t>
            </w:r>
          </w:p>
        </w:tc>
        <w:tc>
          <w:tcPr>
            <w:tcW w:w="3833" w:type="pct"/>
            <w:gridSpan w:val="13"/>
            <w:tcBorders>
              <w:top w:val="single" w:color="000000" w:sz="4" w:space="0"/>
              <w:left w:val="single" w:color="000000" w:sz="4" w:space="0"/>
              <w:bottom w:val="single" w:color="000000" w:sz="4" w:space="0"/>
              <w:right w:val="nil"/>
            </w:tcBorders>
            <w:vAlign w:val="center"/>
          </w:tcPr>
          <w:p w14:paraId="535CD8F7">
            <w:pPr>
              <w:spacing w:line="240" w:lineRule="auto"/>
              <w:ind w:firstLine="0" w:firstLineChars="0"/>
              <w:jc w:val="center"/>
              <w:rPr>
                <w:color w:val="auto"/>
                <w:sz w:val="21"/>
                <w:szCs w:val="21"/>
              </w:rPr>
            </w:pPr>
            <w:r>
              <w:rPr>
                <w:color w:val="auto"/>
                <w:sz w:val="21"/>
                <w:szCs w:val="21"/>
                <w:lang w:bidi="ar"/>
              </w:rPr>
              <w:t>大气环境影响</w:t>
            </w:r>
          </w:p>
        </w:tc>
      </w:tr>
      <w:tr w14:paraId="45AD5FD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0C799C0C">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30643880">
            <w:pPr>
              <w:spacing w:line="240" w:lineRule="auto"/>
              <w:ind w:firstLine="0" w:firstLineChars="0"/>
              <w:rPr>
                <w:color w:val="auto"/>
                <w:sz w:val="21"/>
                <w:szCs w:val="21"/>
              </w:rPr>
            </w:pP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0FD84C90">
            <w:pPr>
              <w:spacing w:line="240" w:lineRule="auto"/>
              <w:ind w:firstLine="0" w:firstLineChars="0"/>
              <w:jc w:val="center"/>
              <w:rPr>
                <w:color w:val="auto"/>
                <w:sz w:val="21"/>
                <w:szCs w:val="21"/>
              </w:rPr>
            </w:pPr>
            <w:r>
              <w:rPr>
                <w:color w:val="auto"/>
                <w:sz w:val="21"/>
                <w:szCs w:val="21"/>
                <w:lang w:bidi="ar"/>
              </w:rPr>
              <w:t>气象条件</w:t>
            </w:r>
          </w:p>
        </w:tc>
        <w:tc>
          <w:tcPr>
            <w:tcW w:w="1586" w:type="pct"/>
            <w:gridSpan w:val="5"/>
            <w:tcBorders>
              <w:top w:val="single" w:color="000000" w:sz="4" w:space="0"/>
              <w:left w:val="single" w:color="000000" w:sz="4" w:space="0"/>
              <w:bottom w:val="single" w:color="000000" w:sz="4" w:space="0"/>
              <w:right w:val="single" w:color="000000" w:sz="4" w:space="0"/>
            </w:tcBorders>
            <w:vAlign w:val="center"/>
          </w:tcPr>
          <w:p w14:paraId="77FDDD6B">
            <w:pPr>
              <w:spacing w:line="240" w:lineRule="auto"/>
              <w:ind w:firstLine="0" w:firstLineChars="0"/>
              <w:jc w:val="center"/>
              <w:rPr>
                <w:color w:val="auto"/>
                <w:sz w:val="21"/>
                <w:szCs w:val="21"/>
              </w:rPr>
            </w:pPr>
            <w:r>
              <w:rPr>
                <w:color w:val="auto"/>
                <w:sz w:val="21"/>
                <w:szCs w:val="21"/>
                <w:lang w:bidi="ar"/>
              </w:rPr>
              <w:t>常见</w:t>
            </w:r>
          </w:p>
        </w:tc>
        <w:tc>
          <w:tcPr>
            <w:tcW w:w="1561" w:type="pct"/>
            <w:gridSpan w:val="6"/>
            <w:tcBorders>
              <w:top w:val="single" w:color="000000" w:sz="4" w:space="0"/>
              <w:left w:val="single" w:color="000000" w:sz="4" w:space="0"/>
              <w:bottom w:val="single" w:color="000000" w:sz="4" w:space="0"/>
              <w:right w:val="nil"/>
            </w:tcBorders>
            <w:vAlign w:val="center"/>
          </w:tcPr>
          <w:p w14:paraId="6124390C">
            <w:pPr>
              <w:spacing w:line="240" w:lineRule="auto"/>
              <w:ind w:firstLine="0" w:firstLineChars="0"/>
              <w:jc w:val="center"/>
              <w:rPr>
                <w:color w:val="auto"/>
                <w:sz w:val="21"/>
                <w:szCs w:val="21"/>
              </w:rPr>
            </w:pPr>
            <w:r>
              <w:rPr>
                <w:color w:val="auto"/>
                <w:sz w:val="21"/>
                <w:szCs w:val="21"/>
                <w:lang w:bidi="ar"/>
              </w:rPr>
              <w:t>最不利</w:t>
            </w:r>
          </w:p>
        </w:tc>
      </w:tr>
      <w:tr w14:paraId="6072ACC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2742BD2F">
            <w:pPr>
              <w:spacing w:line="240" w:lineRule="auto"/>
              <w:ind w:firstLine="0" w:firstLineChars="0"/>
              <w:rPr>
                <w:color w:val="auto"/>
                <w:sz w:val="21"/>
                <w:szCs w:val="21"/>
              </w:rPr>
            </w:pPr>
          </w:p>
        </w:tc>
        <w:tc>
          <w:tcPr>
            <w:tcW w:w="349" w:type="pct"/>
            <w:vMerge w:val="restart"/>
            <w:tcBorders>
              <w:top w:val="single" w:color="000000" w:sz="4" w:space="0"/>
              <w:left w:val="single" w:color="000000" w:sz="4" w:space="0"/>
              <w:bottom w:val="single" w:color="000000" w:sz="4" w:space="0"/>
              <w:right w:val="single" w:color="000000" w:sz="4" w:space="0"/>
            </w:tcBorders>
            <w:vAlign w:val="center"/>
          </w:tcPr>
          <w:p w14:paraId="46607423">
            <w:pPr>
              <w:spacing w:line="240" w:lineRule="auto"/>
              <w:ind w:firstLine="0" w:firstLineChars="0"/>
              <w:jc w:val="center"/>
              <w:rPr>
                <w:color w:val="auto"/>
                <w:sz w:val="21"/>
                <w:szCs w:val="21"/>
              </w:rPr>
            </w:pPr>
            <w:r>
              <w:rPr>
                <w:rFonts w:hint="eastAsia"/>
                <w:color w:val="auto"/>
                <w:sz w:val="21"/>
                <w:szCs w:val="21"/>
              </w:rPr>
              <w:t>二氧化硫</w:t>
            </w: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7D54482A">
            <w:pPr>
              <w:spacing w:line="240" w:lineRule="auto"/>
              <w:ind w:firstLine="0" w:firstLineChars="0"/>
              <w:jc w:val="center"/>
              <w:rPr>
                <w:color w:val="auto"/>
                <w:sz w:val="21"/>
                <w:szCs w:val="21"/>
              </w:rPr>
            </w:pPr>
            <w:r>
              <w:rPr>
                <w:color w:val="auto"/>
                <w:sz w:val="21"/>
                <w:szCs w:val="21"/>
                <w:lang w:bidi="ar"/>
              </w:rPr>
              <w:t>指标</w:t>
            </w:r>
          </w:p>
        </w:tc>
        <w:tc>
          <w:tcPr>
            <w:tcW w:w="536" w:type="pct"/>
            <w:tcBorders>
              <w:top w:val="single" w:color="000000" w:sz="4" w:space="0"/>
              <w:left w:val="single" w:color="000000" w:sz="4" w:space="0"/>
              <w:bottom w:val="single" w:color="000000" w:sz="4" w:space="0"/>
              <w:right w:val="single" w:color="000000" w:sz="4" w:space="0"/>
            </w:tcBorders>
            <w:vAlign w:val="center"/>
          </w:tcPr>
          <w:p w14:paraId="25617137">
            <w:pPr>
              <w:spacing w:line="240" w:lineRule="auto"/>
              <w:ind w:firstLine="0" w:firstLineChars="0"/>
              <w:jc w:val="center"/>
              <w:rPr>
                <w:color w:val="auto"/>
                <w:sz w:val="21"/>
                <w:szCs w:val="21"/>
              </w:rPr>
            </w:pPr>
            <w:r>
              <w:rPr>
                <w:color w:val="auto"/>
                <w:sz w:val="21"/>
                <w:szCs w:val="21"/>
                <w:lang w:bidi="ar"/>
              </w:rPr>
              <w:t>浓度值/（mg/m</w:t>
            </w:r>
            <w:r>
              <w:rPr>
                <w:color w:val="auto"/>
                <w:sz w:val="21"/>
                <w:szCs w:val="21"/>
                <w:vertAlign w:val="superscript"/>
                <w:lang w:bidi="ar"/>
              </w:rPr>
              <w:t>3</w:t>
            </w:r>
            <w:r>
              <w:rPr>
                <w:color w:val="auto"/>
                <w:sz w:val="21"/>
                <w:szCs w:val="21"/>
                <w:lang w:bidi="ar"/>
              </w:rPr>
              <w:t>）</w:t>
            </w:r>
          </w:p>
        </w:tc>
        <w:tc>
          <w:tcPr>
            <w:tcW w:w="515" w:type="pct"/>
            <w:gridSpan w:val="2"/>
            <w:tcBorders>
              <w:top w:val="single" w:color="000000" w:sz="4" w:space="0"/>
              <w:left w:val="single" w:color="000000" w:sz="4" w:space="0"/>
              <w:bottom w:val="single" w:color="000000" w:sz="4" w:space="0"/>
              <w:right w:val="single" w:color="000000" w:sz="4" w:space="0"/>
            </w:tcBorders>
            <w:vAlign w:val="center"/>
          </w:tcPr>
          <w:p w14:paraId="26410B7F">
            <w:pPr>
              <w:spacing w:line="240" w:lineRule="auto"/>
              <w:ind w:firstLine="0" w:firstLineChars="0"/>
              <w:jc w:val="center"/>
              <w:rPr>
                <w:color w:val="auto"/>
                <w:sz w:val="21"/>
                <w:szCs w:val="21"/>
              </w:rPr>
            </w:pPr>
            <w:r>
              <w:rPr>
                <w:color w:val="auto"/>
                <w:sz w:val="21"/>
                <w:szCs w:val="21"/>
                <w:lang w:bidi="ar"/>
              </w:rPr>
              <w:t>最远影响距离/m</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2862C9AD">
            <w:pPr>
              <w:spacing w:line="240" w:lineRule="auto"/>
              <w:ind w:firstLine="0" w:firstLineChars="0"/>
              <w:jc w:val="center"/>
              <w:rPr>
                <w:color w:val="auto"/>
                <w:sz w:val="21"/>
                <w:szCs w:val="21"/>
              </w:rPr>
            </w:pPr>
            <w:r>
              <w:rPr>
                <w:color w:val="auto"/>
                <w:sz w:val="21"/>
                <w:szCs w:val="21"/>
                <w:lang w:bidi="ar"/>
              </w:rPr>
              <w:t>到达时间/min</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70DFB0B6">
            <w:pPr>
              <w:spacing w:line="240" w:lineRule="auto"/>
              <w:ind w:firstLine="0" w:firstLineChars="0"/>
              <w:jc w:val="center"/>
              <w:rPr>
                <w:color w:val="auto"/>
                <w:sz w:val="21"/>
                <w:szCs w:val="21"/>
              </w:rPr>
            </w:pPr>
            <w:r>
              <w:rPr>
                <w:color w:val="auto"/>
                <w:sz w:val="21"/>
                <w:szCs w:val="21"/>
                <w:lang w:bidi="ar"/>
              </w:rPr>
              <w:t>浓度值/（mg/m</w:t>
            </w:r>
            <w:r>
              <w:rPr>
                <w:color w:val="auto"/>
                <w:sz w:val="21"/>
                <w:szCs w:val="21"/>
                <w:vertAlign w:val="superscript"/>
                <w:lang w:bidi="ar"/>
              </w:rPr>
              <w:t>3</w:t>
            </w:r>
            <w:r>
              <w:rPr>
                <w:color w:val="auto"/>
                <w:sz w:val="21"/>
                <w:szCs w:val="21"/>
                <w:lang w:bidi="ar"/>
              </w:rPr>
              <w:t>）</w:t>
            </w:r>
          </w:p>
        </w:tc>
        <w:tc>
          <w:tcPr>
            <w:tcW w:w="491" w:type="pct"/>
            <w:gridSpan w:val="3"/>
            <w:tcBorders>
              <w:top w:val="single" w:color="000000" w:sz="4" w:space="0"/>
              <w:left w:val="single" w:color="000000" w:sz="4" w:space="0"/>
              <w:bottom w:val="single" w:color="000000" w:sz="4" w:space="0"/>
              <w:right w:val="single" w:color="000000" w:sz="4" w:space="0"/>
            </w:tcBorders>
            <w:vAlign w:val="center"/>
          </w:tcPr>
          <w:p w14:paraId="508B1F2A">
            <w:pPr>
              <w:spacing w:line="240" w:lineRule="auto"/>
              <w:ind w:firstLine="0" w:firstLineChars="0"/>
              <w:jc w:val="center"/>
              <w:rPr>
                <w:color w:val="auto"/>
                <w:sz w:val="21"/>
                <w:szCs w:val="21"/>
              </w:rPr>
            </w:pPr>
            <w:r>
              <w:rPr>
                <w:color w:val="auto"/>
                <w:sz w:val="21"/>
                <w:szCs w:val="21"/>
                <w:lang w:bidi="ar"/>
              </w:rPr>
              <w:t>最远影响距离/m</w:t>
            </w:r>
          </w:p>
        </w:tc>
        <w:tc>
          <w:tcPr>
            <w:tcW w:w="535" w:type="pct"/>
            <w:tcBorders>
              <w:top w:val="single" w:color="000000" w:sz="4" w:space="0"/>
              <w:left w:val="single" w:color="000000" w:sz="4" w:space="0"/>
              <w:bottom w:val="single" w:color="000000" w:sz="4" w:space="0"/>
              <w:right w:val="nil"/>
            </w:tcBorders>
            <w:vAlign w:val="center"/>
          </w:tcPr>
          <w:p w14:paraId="04378194">
            <w:pPr>
              <w:spacing w:line="240" w:lineRule="auto"/>
              <w:ind w:firstLine="0" w:firstLineChars="0"/>
              <w:jc w:val="center"/>
              <w:rPr>
                <w:color w:val="auto"/>
                <w:sz w:val="21"/>
                <w:szCs w:val="21"/>
              </w:rPr>
            </w:pPr>
            <w:r>
              <w:rPr>
                <w:color w:val="auto"/>
                <w:sz w:val="21"/>
                <w:szCs w:val="21"/>
                <w:lang w:bidi="ar"/>
              </w:rPr>
              <w:t>到达时间/min</w:t>
            </w:r>
          </w:p>
        </w:tc>
      </w:tr>
      <w:tr w14:paraId="6F5C29D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2A5B6054">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0E8B5108">
            <w:pPr>
              <w:spacing w:line="240" w:lineRule="auto"/>
              <w:ind w:firstLine="0" w:firstLineChars="0"/>
              <w:rPr>
                <w:color w:val="auto"/>
                <w:sz w:val="21"/>
                <w:szCs w:val="21"/>
              </w:rPr>
            </w:pP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11B06392">
            <w:pPr>
              <w:spacing w:line="240" w:lineRule="auto"/>
              <w:ind w:firstLine="0" w:firstLineChars="0"/>
              <w:jc w:val="center"/>
              <w:rPr>
                <w:color w:val="auto"/>
                <w:sz w:val="21"/>
                <w:szCs w:val="21"/>
              </w:rPr>
            </w:pPr>
            <w:r>
              <w:rPr>
                <w:color w:val="auto"/>
                <w:sz w:val="21"/>
                <w:szCs w:val="21"/>
                <w:lang w:bidi="ar"/>
              </w:rPr>
              <w:t>大气毒性终点浓度-1</w:t>
            </w:r>
          </w:p>
        </w:tc>
        <w:tc>
          <w:tcPr>
            <w:tcW w:w="536" w:type="pct"/>
            <w:tcBorders>
              <w:top w:val="single" w:color="000000" w:sz="4" w:space="0"/>
              <w:left w:val="single" w:color="000000" w:sz="4" w:space="0"/>
              <w:bottom w:val="single" w:color="000000" w:sz="4" w:space="0"/>
              <w:right w:val="single" w:color="000000" w:sz="4" w:space="0"/>
            </w:tcBorders>
            <w:vAlign w:val="center"/>
          </w:tcPr>
          <w:p w14:paraId="36E88C57">
            <w:pPr>
              <w:spacing w:line="240" w:lineRule="auto"/>
              <w:ind w:firstLine="0" w:firstLineChars="0"/>
              <w:jc w:val="center"/>
              <w:rPr>
                <w:color w:val="auto"/>
                <w:sz w:val="21"/>
                <w:szCs w:val="21"/>
              </w:rPr>
            </w:pPr>
            <w:r>
              <w:rPr>
                <w:color w:val="auto"/>
                <w:sz w:val="21"/>
                <w:szCs w:val="21"/>
                <w:lang w:bidi="ar"/>
              </w:rPr>
              <w:t>--</w:t>
            </w:r>
          </w:p>
        </w:tc>
        <w:tc>
          <w:tcPr>
            <w:tcW w:w="515" w:type="pct"/>
            <w:gridSpan w:val="2"/>
            <w:tcBorders>
              <w:top w:val="single" w:color="000000" w:sz="4" w:space="0"/>
              <w:left w:val="single" w:color="000000" w:sz="4" w:space="0"/>
              <w:bottom w:val="single" w:color="000000" w:sz="4" w:space="0"/>
              <w:right w:val="single" w:color="000000" w:sz="4" w:space="0"/>
            </w:tcBorders>
            <w:vAlign w:val="center"/>
          </w:tcPr>
          <w:p w14:paraId="125CB735">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09ED1851">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67CA8768">
            <w:pPr>
              <w:spacing w:line="240" w:lineRule="auto"/>
              <w:ind w:firstLine="0" w:firstLineChars="0"/>
              <w:jc w:val="center"/>
              <w:rPr>
                <w:color w:val="auto"/>
                <w:sz w:val="21"/>
                <w:szCs w:val="21"/>
              </w:rPr>
            </w:pPr>
            <w:r>
              <w:rPr>
                <w:rFonts w:hint="eastAsia"/>
                <w:color w:val="auto"/>
                <w:sz w:val="21"/>
                <w:szCs w:val="21"/>
              </w:rPr>
              <w:t>79</w:t>
            </w:r>
          </w:p>
        </w:tc>
        <w:tc>
          <w:tcPr>
            <w:tcW w:w="491" w:type="pct"/>
            <w:gridSpan w:val="3"/>
            <w:tcBorders>
              <w:top w:val="single" w:color="000000" w:sz="4" w:space="0"/>
              <w:left w:val="single" w:color="000000" w:sz="4" w:space="0"/>
              <w:bottom w:val="single" w:color="000000" w:sz="4" w:space="0"/>
              <w:right w:val="single" w:color="000000" w:sz="4" w:space="0"/>
            </w:tcBorders>
            <w:vAlign w:val="center"/>
          </w:tcPr>
          <w:p w14:paraId="5FB99285">
            <w:pPr>
              <w:spacing w:line="240" w:lineRule="auto"/>
              <w:ind w:firstLine="0" w:firstLineChars="0"/>
              <w:jc w:val="center"/>
              <w:rPr>
                <w:color w:val="auto"/>
                <w:sz w:val="21"/>
                <w:szCs w:val="21"/>
              </w:rPr>
            </w:pPr>
            <w:r>
              <w:rPr>
                <w:rFonts w:hint="eastAsia"/>
                <w:color w:val="auto"/>
                <w:sz w:val="21"/>
                <w:szCs w:val="21"/>
              </w:rPr>
              <w:t>550</w:t>
            </w:r>
          </w:p>
        </w:tc>
        <w:tc>
          <w:tcPr>
            <w:tcW w:w="535" w:type="pct"/>
            <w:tcBorders>
              <w:top w:val="single" w:color="000000" w:sz="4" w:space="0"/>
              <w:left w:val="single" w:color="000000" w:sz="4" w:space="0"/>
              <w:bottom w:val="single" w:color="000000" w:sz="4" w:space="0"/>
              <w:right w:val="nil"/>
            </w:tcBorders>
            <w:vAlign w:val="center"/>
          </w:tcPr>
          <w:p w14:paraId="6D36EE2D">
            <w:pPr>
              <w:spacing w:line="240" w:lineRule="auto"/>
              <w:ind w:firstLine="0" w:firstLineChars="0"/>
              <w:jc w:val="center"/>
              <w:rPr>
                <w:color w:val="auto"/>
                <w:sz w:val="21"/>
                <w:szCs w:val="21"/>
              </w:rPr>
            </w:pPr>
            <w:r>
              <w:rPr>
                <w:rFonts w:hint="eastAsia"/>
                <w:color w:val="auto"/>
                <w:sz w:val="21"/>
                <w:szCs w:val="21"/>
              </w:rPr>
              <w:t>17.51</w:t>
            </w:r>
          </w:p>
        </w:tc>
      </w:tr>
      <w:tr w14:paraId="40BCDD97">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3DBDC963">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34E3C24B">
            <w:pPr>
              <w:spacing w:line="240" w:lineRule="auto"/>
              <w:ind w:firstLine="0" w:firstLineChars="0"/>
              <w:rPr>
                <w:color w:val="auto"/>
                <w:sz w:val="21"/>
                <w:szCs w:val="21"/>
              </w:rPr>
            </w:pP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20A17D3B">
            <w:pPr>
              <w:spacing w:line="240" w:lineRule="auto"/>
              <w:ind w:firstLine="0" w:firstLineChars="0"/>
              <w:jc w:val="center"/>
              <w:rPr>
                <w:color w:val="auto"/>
                <w:sz w:val="21"/>
                <w:szCs w:val="21"/>
              </w:rPr>
            </w:pPr>
            <w:r>
              <w:rPr>
                <w:color w:val="auto"/>
                <w:sz w:val="21"/>
                <w:szCs w:val="21"/>
                <w:lang w:bidi="ar"/>
              </w:rPr>
              <w:t>大气毒性终点浓度-2</w:t>
            </w:r>
          </w:p>
        </w:tc>
        <w:tc>
          <w:tcPr>
            <w:tcW w:w="536" w:type="pct"/>
            <w:tcBorders>
              <w:top w:val="single" w:color="000000" w:sz="4" w:space="0"/>
              <w:left w:val="single" w:color="000000" w:sz="4" w:space="0"/>
              <w:bottom w:val="single" w:color="000000" w:sz="4" w:space="0"/>
              <w:right w:val="single" w:color="000000" w:sz="4" w:space="0"/>
            </w:tcBorders>
            <w:vAlign w:val="center"/>
          </w:tcPr>
          <w:p w14:paraId="6E4E0CEF">
            <w:pPr>
              <w:spacing w:line="240" w:lineRule="auto"/>
              <w:ind w:firstLine="0" w:firstLineChars="0"/>
              <w:jc w:val="center"/>
              <w:rPr>
                <w:color w:val="auto"/>
                <w:sz w:val="21"/>
                <w:szCs w:val="21"/>
              </w:rPr>
            </w:pPr>
            <w:r>
              <w:rPr>
                <w:color w:val="auto"/>
                <w:sz w:val="21"/>
                <w:szCs w:val="21"/>
                <w:lang w:bidi="ar"/>
              </w:rPr>
              <w:t>--</w:t>
            </w:r>
          </w:p>
        </w:tc>
        <w:tc>
          <w:tcPr>
            <w:tcW w:w="515" w:type="pct"/>
            <w:gridSpan w:val="2"/>
            <w:tcBorders>
              <w:top w:val="single" w:color="000000" w:sz="4" w:space="0"/>
              <w:left w:val="single" w:color="000000" w:sz="4" w:space="0"/>
              <w:bottom w:val="single" w:color="000000" w:sz="4" w:space="0"/>
              <w:right w:val="single" w:color="000000" w:sz="4" w:space="0"/>
            </w:tcBorders>
            <w:vAlign w:val="center"/>
          </w:tcPr>
          <w:p w14:paraId="4353181F">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65D13B4B">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26DCAAE0">
            <w:pPr>
              <w:spacing w:line="240" w:lineRule="auto"/>
              <w:ind w:firstLine="0" w:firstLineChars="0"/>
              <w:jc w:val="center"/>
              <w:rPr>
                <w:color w:val="auto"/>
                <w:sz w:val="21"/>
                <w:szCs w:val="21"/>
              </w:rPr>
            </w:pPr>
            <w:r>
              <w:rPr>
                <w:rFonts w:hint="eastAsia"/>
                <w:color w:val="auto"/>
                <w:sz w:val="21"/>
                <w:szCs w:val="21"/>
              </w:rPr>
              <w:t>2</w:t>
            </w:r>
          </w:p>
        </w:tc>
        <w:tc>
          <w:tcPr>
            <w:tcW w:w="491" w:type="pct"/>
            <w:gridSpan w:val="3"/>
            <w:tcBorders>
              <w:top w:val="single" w:color="000000" w:sz="4" w:space="0"/>
              <w:left w:val="single" w:color="000000" w:sz="4" w:space="0"/>
              <w:bottom w:val="single" w:color="000000" w:sz="4" w:space="0"/>
              <w:right w:val="single" w:color="000000" w:sz="4" w:space="0"/>
            </w:tcBorders>
            <w:vAlign w:val="center"/>
          </w:tcPr>
          <w:p w14:paraId="7A942C29">
            <w:pPr>
              <w:spacing w:line="240" w:lineRule="auto"/>
              <w:ind w:firstLine="0" w:firstLineChars="0"/>
              <w:jc w:val="center"/>
              <w:rPr>
                <w:color w:val="auto"/>
                <w:sz w:val="21"/>
                <w:szCs w:val="21"/>
              </w:rPr>
            </w:pPr>
            <w:r>
              <w:rPr>
                <w:rFonts w:hint="eastAsia"/>
                <w:color w:val="auto"/>
                <w:sz w:val="21"/>
                <w:szCs w:val="21"/>
              </w:rPr>
              <w:t>4800</w:t>
            </w:r>
          </w:p>
        </w:tc>
        <w:tc>
          <w:tcPr>
            <w:tcW w:w="535" w:type="pct"/>
            <w:tcBorders>
              <w:top w:val="single" w:color="000000" w:sz="4" w:space="0"/>
              <w:left w:val="single" w:color="000000" w:sz="4" w:space="0"/>
              <w:bottom w:val="single" w:color="000000" w:sz="4" w:space="0"/>
              <w:right w:val="nil"/>
            </w:tcBorders>
            <w:vAlign w:val="center"/>
          </w:tcPr>
          <w:p w14:paraId="216F2A77">
            <w:pPr>
              <w:spacing w:line="240" w:lineRule="auto"/>
              <w:ind w:firstLine="0" w:firstLineChars="0"/>
              <w:jc w:val="center"/>
              <w:rPr>
                <w:color w:val="auto"/>
                <w:sz w:val="21"/>
                <w:szCs w:val="21"/>
              </w:rPr>
            </w:pPr>
            <w:r>
              <w:rPr>
                <w:rFonts w:hint="eastAsia"/>
                <w:color w:val="auto"/>
                <w:sz w:val="21"/>
                <w:szCs w:val="21"/>
              </w:rPr>
              <w:t>62.37</w:t>
            </w:r>
          </w:p>
        </w:tc>
      </w:tr>
      <w:tr w14:paraId="76CC2BD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288DB2D6">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5F12926F">
            <w:pPr>
              <w:spacing w:line="240" w:lineRule="auto"/>
              <w:ind w:firstLine="0" w:firstLineChars="0"/>
              <w:rPr>
                <w:color w:val="auto"/>
                <w:sz w:val="21"/>
                <w:szCs w:val="21"/>
              </w:rPr>
            </w:pP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66888C3B">
            <w:pPr>
              <w:spacing w:line="240" w:lineRule="auto"/>
              <w:ind w:firstLine="0" w:firstLineChars="0"/>
              <w:jc w:val="center"/>
              <w:rPr>
                <w:color w:val="auto"/>
                <w:sz w:val="21"/>
                <w:szCs w:val="21"/>
              </w:rPr>
            </w:pPr>
            <w:r>
              <w:rPr>
                <w:color w:val="auto"/>
                <w:sz w:val="21"/>
                <w:szCs w:val="21"/>
                <w:lang w:bidi="ar"/>
              </w:rPr>
              <w:t>敏感目标名称</w:t>
            </w:r>
          </w:p>
        </w:tc>
        <w:tc>
          <w:tcPr>
            <w:tcW w:w="536" w:type="pct"/>
            <w:tcBorders>
              <w:top w:val="single" w:color="000000" w:sz="4" w:space="0"/>
              <w:left w:val="single" w:color="000000" w:sz="4" w:space="0"/>
              <w:bottom w:val="single" w:color="000000" w:sz="4" w:space="0"/>
              <w:right w:val="single" w:color="000000" w:sz="4" w:space="0"/>
            </w:tcBorders>
            <w:vAlign w:val="center"/>
          </w:tcPr>
          <w:p w14:paraId="1F78A075">
            <w:pPr>
              <w:spacing w:line="240" w:lineRule="auto"/>
              <w:ind w:firstLine="0" w:firstLineChars="0"/>
              <w:jc w:val="center"/>
              <w:rPr>
                <w:color w:val="auto"/>
                <w:sz w:val="21"/>
                <w:szCs w:val="21"/>
              </w:rPr>
            </w:pPr>
            <w:r>
              <w:rPr>
                <w:color w:val="auto"/>
                <w:sz w:val="21"/>
                <w:szCs w:val="21"/>
                <w:lang w:bidi="ar"/>
              </w:rPr>
              <w:t>超标时间/min</w:t>
            </w:r>
          </w:p>
        </w:tc>
        <w:tc>
          <w:tcPr>
            <w:tcW w:w="515" w:type="pct"/>
            <w:gridSpan w:val="2"/>
            <w:tcBorders>
              <w:top w:val="single" w:color="000000" w:sz="4" w:space="0"/>
              <w:left w:val="single" w:color="000000" w:sz="4" w:space="0"/>
              <w:bottom w:val="single" w:color="000000" w:sz="4" w:space="0"/>
              <w:right w:val="single" w:color="000000" w:sz="4" w:space="0"/>
            </w:tcBorders>
            <w:vAlign w:val="center"/>
          </w:tcPr>
          <w:p w14:paraId="71B066FE">
            <w:pPr>
              <w:spacing w:line="240" w:lineRule="auto"/>
              <w:ind w:firstLine="0" w:firstLineChars="0"/>
              <w:jc w:val="center"/>
              <w:rPr>
                <w:color w:val="auto"/>
                <w:sz w:val="21"/>
                <w:szCs w:val="21"/>
              </w:rPr>
            </w:pPr>
            <w:r>
              <w:rPr>
                <w:color w:val="auto"/>
                <w:sz w:val="21"/>
                <w:szCs w:val="21"/>
                <w:lang w:bidi="ar"/>
              </w:rPr>
              <w:t>超标持续时间/min</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176C0AD9">
            <w:pPr>
              <w:spacing w:line="240" w:lineRule="auto"/>
              <w:ind w:firstLine="0" w:firstLineChars="0"/>
              <w:jc w:val="center"/>
              <w:rPr>
                <w:color w:val="auto"/>
                <w:sz w:val="21"/>
                <w:szCs w:val="21"/>
              </w:rPr>
            </w:pPr>
            <w:r>
              <w:rPr>
                <w:color w:val="auto"/>
                <w:sz w:val="21"/>
                <w:szCs w:val="21"/>
                <w:lang w:bidi="ar"/>
              </w:rPr>
              <w:t>最大浓度/（mg/m</w:t>
            </w:r>
            <w:r>
              <w:rPr>
                <w:color w:val="auto"/>
                <w:sz w:val="21"/>
                <w:szCs w:val="21"/>
                <w:vertAlign w:val="superscript"/>
                <w:lang w:bidi="ar"/>
              </w:rPr>
              <w:t>3</w:t>
            </w: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26E8E1F4">
            <w:pPr>
              <w:spacing w:line="240" w:lineRule="auto"/>
              <w:ind w:firstLine="0" w:firstLineChars="0"/>
              <w:jc w:val="center"/>
              <w:rPr>
                <w:color w:val="auto"/>
                <w:sz w:val="21"/>
                <w:szCs w:val="21"/>
              </w:rPr>
            </w:pPr>
            <w:r>
              <w:rPr>
                <w:color w:val="auto"/>
                <w:sz w:val="21"/>
                <w:szCs w:val="21"/>
                <w:lang w:bidi="ar"/>
              </w:rPr>
              <w:t>超标时间/min</w:t>
            </w:r>
          </w:p>
        </w:tc>
        <w:tc>
          <w:tcPr>
            <w:tcW w:w="491" w:type="pct"/>
            <w:gridSpan w:val="3"/>
            <w:tcBorders>
              <w:top w:val="single" w:color="000000" w:sz="4" w:space="0"/>
              <w:left w:val="single" w:color="000000" w:sz="4" w:space="0"/>
              <w:bottom w:val="single" w:color="000000" w:sz="4" w:space="0"/>
              <w:right w:val="single" w:color="000000" w:sz="4" w:space="0"/>
            </w:tcBorders>
            <w:vAlign w:val="center"/>
          </w:tcPr>
          <w:p w14:paraId="4F310D2E">
            <w:pPr>
              <w:spacing w:line="240" w:lineRule="auto"/>
              <w:ind w:firstLine="0" w:firstLineChars="0"/>
              <w:jc w:val="center"/>
              <w:rPr>
                <w:color w:val="auto"/>
                <w:sz w:val="21"/>
                <w:szCs w:val="21"/>
              </w:rPr>
            </w:pPr>
            <w:r>
              <w:rPr>
                <w:color w:val="auto"/>
                <w:sz w:val="21"/>
                <w:szCs w:val="21"/>
                <w:lang w:bidi="ar"/>
              </w:rPr>
              <w:t>超标持续时间/min</w:t>
            </w:r>
          </w:p>
        </w:tc>
        <w:tc>
          <w:tcPr>
            <w:tcW w:w="535" w:type="pct"/>
            <w:tcBorders>
              <w:top w:val="single" w:color="000000" w:sz="4" w:space="0"/>
              <w:left w:val="single" w:color="000000" w:sz="4" w:space="0"/>
              <w:bottom w:val="single" w:color="000000" w:sz="4" w:space="0"/>
              <w:right w:val="nil"/>
            </w:tcBorders>
            <w:vAlign w:val="center"/>
          </w:tcPr>
          <w:p w14:paraId="27D378C0">
            <w:pPr>
              <w:spacing w:line="240" w:lineRule="auto"/>
              <w:ind w:firstLine="0" w:firstLineChars="0"/>
              <w:jc w:val="center"/>
              <w:rPr>
                <w:color w:val="auto"/>
                <w:sz w:val="21"/>
                <w:szCs w:val="21"/>
              </w:rPr>
            </w:pPr>
            <w:r>
              <w:rPr>
                <w:color w:val="auto"/>
                <w:sz w:val="21"/>
                <w:szCs w:val="21"/>
                <w:lang w:bidi="ar"/>
              </w:rPr>
              <w:t>最大浓度/（mg/m</w:t>
            </w:r>
            <w:r>
              <w:rPr>
                <w:color w:val="auto"/>
                <w:sz w:val="21"/>
                <w:szCs w:val="21"/>
                <w:vertAlign w:val="superscript"/>
                <w:lang w:bidi="ar"/>
              </w:rPr>
              <w:t>3</w:t>
            </w:r>
            <w:r>
              <w:rPr>
                <w:color w:val="auto"/>
                <w:sz w:val="21"/>
                <w:szCs w:val="21"/>
                <w:lang w:bidi="ar"/>
              </w:rPr>
              <w:t>）</w:t>
            </w:r>
          </w:p>
        </w:tc>
      </w:tr>
      <w:tr w14:paraId="6FB1BC9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11BA21D6">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2CB0BCAD">
            <w:pPr>
              <w:spacing w:line="240" w:lineRule="auto"/>
              <w:ind w:firstLine="0" w:firstLineChars="0"/>
              <w:rPr>
                <w:color w:val="auto"/>
                <w:sz w:val="21"/>
                <w:szCs w:val="21"/>
              </w:rPr>
            </w:pPr>
          </w:p>
        </w:tc>
        <w:tc>
          <w:tcPr>
            <w:tcW w:w="686" w:type="pct"/>
            <w:gridSpan w:val="2"/>
            <w:tcBorders>
              <w:top w:val="single" w:color="000000" w:sz="4" w:space="0"/>
              <w:left w:val="single" w:color="000000" w:sz="4" w:space="0"/>
              <w:bottom w:val="single" w:color="000000" w:sz="4" w:space="0"/>
              <w:right w:val="single" w:color="000000" w:sz="4" w:space="0"/>
            </w:tcBorders>
            <w:vAlign w:val="center"/>
          </w:tcPr>
          <w:p w14:paraId="1342F997">
            <w:pPr>
              <w:spacing w:line="240" w:lineRule="auto"/>
              <w:ind w:firstLine="0" w:firstLineChars="0"/>
              <w:jc w:val="center"/>
              <w:rPr>
                <w:color w:val="auto"/>
                <w:sz w:val="21"/>
                <w:szCs w:val="21"/>
              </w:rPr>
            </w:pPr>
            <w:r>
              <w:rPr>
                <w:color w:val="auto"/>
                <w:sz w:val="21"/>
                <w:szCs w:val="21"/>
                <w:lang w:bidi="ar"/>
              </w:rPr>
              <w:t>--</w:t>
            </w:r>
          </w:p>
        </w:tc>
        <w:tc>
          <w:tcPr>
            <w:tcW w:w="536" w:type="pct"/>
            <w:tcBorders>
              <w:top w:val="single" w:color="000000" w:sz="4" w:space="0"/>
              <w:left w:val="single" w:color="000000" w:sz="4" w:space="0"/>
              <w:bottom w:val="single" w:color="000000" w:sz="4" w:space="0"/>
              <w:right w:val="single" w:color="000000" w:sz="4" w:space="0"/>
            </w:tcBorders>
            <w:vAlign w:val="center"/>
          </w:tcPr>
          <w:p w14:paraId="0B6DC6F0">
            <w:pPr>
              <w:spacing w:line="240" w:lineRule="auto"/>
              <w:ind w:firstLine="0" w:firstLineChars="0"/>
              <w:jc w:val="center"/>
              <w:rPr>
                <w:color w:val="auto"/>
                <w:sz w:val="21"/>
                <w:szCs w:val="21"/>
              </w:rPr>
            </w:pPr>
            <w:r>
              <w:rPr>
                <w:color w:val="auto"/>
                <w:sz w:val="21"/>
                <w:szCs w:val="21"/>
                <w:lang w:bidi="ar"/>
              </w:rPr>
              <w:t>--</w:t>
            </w:r>
          </w:p>
        </w:tc>
        <w:tc>
          <w:tcPr>
            <w:tcW w:w="515" w:type="pct"/>
            <w:gridSpan w:val="2"/>
            <w:tcBorders>
              <w:top w:val="single" w:color="000000" w:sz="4" w:space="0"/>
              <w:left w:val="single" w:color="000000" w:sz="4" w:space="0"/>
              <w:bottom w:val="single" w:color="000000" w:sz="4" w:space="0"/>
              <w:right w:val="single" w:color="000000" w:sz="4" w:space="0"/>
            </w:tcBorders>
            <w:vAlign w:val="center"/>
          </w:tcPr>
          <w:p w14:paraId="0D7597B1">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7349251C">
            <w:pPr>
              <w:spacing w:line="240" w:lineRule="auto"/>
              <w:ind w:firstLine="0" w:firstLineChars="0"/>
              <w:jc w:val="center"/>
              <w:rPr>
                <w:color w:val="auto"/>
                <w:sz w:val="21"/>
                <w:szCs w:val="21"/>
              </w:rPr>
            </w:pPr>
            <w:r>
              <w:rPr>
                <w:color w:val="auto"/>
                <w:sz w:val="21"/>
                <w:szCs w:val="21"/>
                <w:lang w:bidi="ar"/>
              </w:rPr>
              <w:t>--</w:t>
            </w:r>
          </w:p>
        </w:tc>
        <w:tc>
          <w:tcPr>
            <w:tcW w:w="535" w:type="pct"/>
            <w:gridSpan w:val="2"/>
            <w:tcBorders>
              <w:top w:val="single" w:color="000000" w:sz="4" w:space="0"/>
              <w:left w:val="single" w:color="000000" w:sz="4" w:space="0"/>
              <w:bottom w:val="single" w:color="000000" w:sz="4" w:space="0"/>
              <w:right w:val="single" w:color="000000" w:sz="4" w:space="0"/>
            </w:tcBorders>
            <w:vAlign w:val="center"/>
          </w:tcPr>
          <w:p w14:paraId="58218BC5">
            <w:pPr>
              <w:spacing w:line="240" w:lineRule="auto"/>
              <w:ind w:firstLine="0" w:firstLineChars="0"/>
              <w:jc w:val="center"/>
              <w:rPr>
                <w:color w:val="auto"/>
                <w:sz w:val="21"/>
                <w:szCs w:val="21"/>
              </w:rPr>
            </w:pPr>
            <w:r>
              <w:rPr>
                <w:color w:val="auto"/>
                <w:sz w:val="21"/>
                <w:szCs w:val="21"/>
                <w:lang w:bidi="ar"/>
              </w:rPr>
              <w:t>--</w:t>
            </w:r>
          </w:p>
        </w:tc>
        <w:tc>
          <w:tcPr>
            <w:tcW w:w="491" w:type="pct"/>
            <w:gridSpan w:val="3"/>
            <w:tcBorders>
              <w:top w:val="single" w:color="000000" w:sz="4" w:space="0"/>
              <w:left w:val="single" w:color="000000" w:sz="4" w:space="0"/>
              <w:bottom w:val="single" w:color="000000" w:sz="4" w:space="0"/>
              <w:right w:val="single" w:color="000000" w:sz="4" w:space="0"/>
            </w:tcBorders>
            <w:vAlign w:val="center"/>
          </w:tcPr>
          <w:p w14:paraId="19FBF44A">
            <w:pPr>
              <w:spacing w:line="240" w:lineRule="auto"/>
              <w:ind w:firstLine="0" w:firstLineChars="0"/>
              <w:jc w:val="center"/>
              <w:rPr>
                <w:color w:val="auto"/>
                <w:sz w:val="21"/>
                <w:szCs w:val="21"/>
              </w:rPr>
            </w:pPr>
            <w:r>
              <w:rPr>
                <w:color w:val="auto"/>
                <w:sz w:val="21"/>
                <w:szCs w:val="21"/>
                <w:lang w:bidi="ar"/>
              </w:rPr>
              <w:t>--</w:t>
            </w:r>
          </w:p>
        </w:tc>
        <w:tc>
          <w:tcPr>
            <w:tcW w:w="535" w:type="pct"/>
            <w:tcBorders>
              <w:top w:val="single" w:color="000000" w:sz="4" w:space="0"/>
              <w:left w:val="single" w:color="000000" w:sz="4" w:space="0"/>
              <w:bottom w:val="single" w:color="000000" w:sz="4" w:space="0"/>
              <w:right w:val="nil"/>
            </w:tcBorders>
            <w:vAlign w:val="center"/>
          </w:tcPr>
          <w:p w14:paraId="71D767B0">
            <w:pPr>
              <w:spacing w:line="240" w:lineRule="auto"/>
              <w:ind w:firstLine="0" w:firstLineChars="0"/>
              <w:jc w:val="center"/>
              <w:rPr>
                <w:color w:val="auto"/>
                <w:sz w:val="21"/>
                <w:szCs w:val="21"/>
              </w:rPr>
            </w:pPr>
            <w:r>
              <w:rPr>
                <w:color w:val="auto"/>
                <w:sz w:val="21"/>
                <w:szCs w:val="21"/>
                <w:lang w:bidi="ar"/>
              </w:rPr>
              <w:t>--</w:t>
            </w:r>
          </w:p>
        </w:tc>
      </w:tr>
      <w:tr w14:paraId="1B662799">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restart"/>
            <w:tcBorders>
              <w:top w:val="single" w:color="000000" w:sz="4" w:space="0"/>
              <w:left w:val="nil"/>
              <w:bottom w:val="single" w:color="000000" w:sz="4" w:space="0"/>
              <w:right w:val="single" w:color="000000" w:sz="4" w:space="0"/>
            </w:tcBorders>
            <w:vAlign w:val="center"/>
          </w:tcPr>
          <w:p w14:paraId="109D4EEB">
            <w:pPr>
              <w:spacing w:line="240" w:lineRule="auto"/>
              <w:ind w:firstLine="0" w:firstLineChars="0"/>
              <w:jc w:val="center"/>
              <w:rPr>
                <w:color w:val="auto"/>
                <w:sz w:val="21"/>
                <w:szCs w:val="21"/>
              </w:rPr>
            </w:pPr>
            <w:r>
              <w:rPr>
                <w:color w:val="auto"/>
                <w:sz w:val="21"/>
                <w:szCs w:val="21"/>
                <w:lang w:bidi="ar"/>
              </w:rPr>
              <w:t>地表水</w:t>
            </w:r>
          </w:p>
        </w:tc>
        <w:tc>
          <w:tcPr>
            <w:tcW w:w="349" w:type="pct"/>
            <w:tcBorders>
              <w:top w:val="single" w:color="000000" w:sz="4" w:space="0"/>
              <w:left w:val="single" w:color="000000" w:sz="4" w:space="0"/>
              <w:bottom w:val="single" w:color="000000" w:sz="4" w:space="0"/>
              <w:right w:val="single" w:color="000000" w:sz="4" w:space="0"/>
            </w:tcBorders>
            <w:vAlign w:val="center"/>
          </w:tcPr>
          <w:p w14:paraId="7DE9414B">
            <w:pPr>
              <w:spacing w:line="240" w:lineRule="auto"/>
              <w:ind w:firstLine="0" w:firstLineChars="0"/>
              <w:jc w:val="center"/>
              <w:rPr>
                <w:color w:val="auto"/>
                <w:sz w:val="21"/>
                <w:szCs w:val="21"/>
              </w:rPr>
            </w:pPr>
            <w:r>
              <w:rPr>
                <w:color w:val="auto"/>
                <w:sz w:val="21"/>
                <w:szCs w:val="21"/>
                <w:lang w:bidi="ar"/>
              </w:rPr>
              <w:t>危险物质</w:t>
            </w:r>
          </w:p>
        </w:tc>
        <w:tc>
          <w:tcPr>
            <w:tcW w:w="3833" w:type="pct"/>
            <w:gridSpan w:val="13"/>
            <w:tcBorders>
              <w:top w:val="single" w:color="000000" w:sz="4" w:space="0"/>
              <w:left w:val="single" w:color="000000" w:sz="4" w:space="0"/>
              <w:bottom w:val="single" w:color="000000" w:sz="4" w:space="0"/>
              <w:right w:val="nil"/>
            </w:tcBorders>
            <w:vAlign w:val="center"/>
          </w:tcPr>
          <w:p w14:paraId="787AD5BA">
            <w:pPr>
              <w:spacing w:line="240" w:lineRule="auto"/>
              <w:ind w:firstLine="0" w:firstLineChars="0"/>
              <w:jc w:val="center"/>
              <w:rPr>
                <w:color w:val="auto"/>
                <w:sz w:val="21"/>
                <w:szCs w:val="21"/>
              </w:rPr>
            </w:pPr>
            <w:r>
              <w:rPr>
                <w:color w:val="auto"/>
                <w:sz w:val="21"/>
                <w:szCs w:val="21"/>
                <w:lang w:bidi="ar"/>
              </w:rPr>
              <w:t>地表水环境影响</w:t>
            </w:r>
            <w:r>
              <w:rPr>
                <w:color w:val="auto"/>
                <w:sz w:val="21"/>
                <w:szCs w:val="21"/>
                <w:vertAlign w:val="superscript"/>
                <w:lang w:bidi="ar"/>
              </w:rPr>
              <w:t>b</w:t>
            </w:r>
          </w:p>
        </w:tc>
      </w:tr>
      <w:tr w14:paraId="19784AAB">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3909E921">
            <w:pPr>
              <w:spacing w:line="240" w:lineRule="auto"/>
              <w:ind w:firstLine="0" w:firstLineChars="0"/>
              <w:rPr>
                <w:color w:val="auto"/>
                <w:sz w:val="21"/>
                <w:szCs w:val="21"/>
              </w:rPr>
            </w:pPr>
          </w:p>
        </w:tc>
        <w:tc>
          <w:tcPr>
            <w:tcW w:w="349" w:type="pct"/>
            <w:vMerge w:val="restart"/>
            <w:tcBorders>
              <w:top w:val="single" w:color="000000" w:sz="4" w:space="0"/>
              <w:left w:val="single" w:color="000000" w:sz="4" w:space="0"/>
              <w:bottom w:val="single" w:color="000000" w:sz="4" w:space="0"/>
              <w:right w:val="single" w:color="000000" w:sz="4" w:space="0"/>
            </w:tcBorders>
            <w:vAlign w:val="center"/>
          </w:tcPr>
          <w:p w14:paraId="4C417AF1">
            <w:pPr>
              <w:spacing w:line="240" w:lineRule="auto"/>
              <w:ind w:firstLine="0" w:firstLineChars="0"/>
              <w:jc w:val="center"/>
              <w:rPr>
                <w:color w:val="auto"/>
                <w:sz w:val="21"/>
                <w:szCs w:val="21"/>
              </w:rPr>
            </w:pPr>
            <w:r>
              <w:rPr>
                <w:color w:val="auto"/>
                <w:sz w:val="21"/>
                <w:szCs w:val="21"/>
                <w:lang w:bidi="ar"/>
              </w:rPr>
              <w:t>--</w:t>
            </w: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0716553B">
            <w:pPr>
              <w:spacing w:line="240" w:lineRule="auto"/>
              <w:ind w:firstLine="0" w:firstLineChars="0"/>
              <w:jc w:val="center"/>
              <w:rPr>
                <w:color w:val="auto"/>
                <w:sz w:val="21"/>
                <w:szCs w:val="21"/>
              </w:rPr>
            </w:pPr>
            <w:r>
              <w:rPr>
                <w:color w:val="auto"/>
                <w:sz w:val="21"/>
                <w:szCs w:val="21"/>
                <w:lang w:bidi="ar"/>
              </w:rPr>
              <w:t>受纳水体名称</w:t>
            </w:r>
          </w:p>
        </w:tc>
        <w:tc>
          <w:tcPr>
            <w:tcW w:w="1407" w:type="pct"/>
            <w:gridSpan w:val="4"/>
            <w:tcBorders>
              <w:top w:val="single" w:color="000000" w:sz="4" w:space="0"/>
              <w:left w:val="single" w:color="000000" w:sz="4" w:space="0"/>
              <w:bottom w:val="single" w:color="000000" w:sz="4" w:space="0"/>
              <w:right w:val="single" w:color="000000" w:sz="4" w:space="0"/>
            </w:tcBorders>
            <w:vAlign w:val="center"/>
          </w:tcPr>
          <w:p w14:paraId="7ED07E90">
            <w:pPr>
              <w:spacing w:line="240" w:lineRule="auto"/>
              <w:ind w:firstLine="0" w:firstLineChars="0"/>
              <w:jc w:val="center"/>
              <w:rPr>
                <w:color w:val="auto"/>
                <w:sz w:val="21"/>
                <w:szCs w:val="21"/>
              </w:rPr>
            </w:pPr>
            <w:r>
              <w:rPr>
                <w:color w:val="auto"/>
                <w:sz w:val="21"/>
                <w:szCs w:val="21"/>
                <w:lang w:bidi="ar"/>
              </w:rPr>
              <w:t>最远超标距离/m</w:t>
            </w:r>
          </w:p>
        </w:tc>
        <w:tc>
          <w:tcPr>
            <w:tcW w:w="1140" w:type="pct"/>
            <w:gridSpan w:val="5"/>
            <w:tcBorders>
              <w:top w:val="single" w:color="000000" w:sz="4" w:space="0"/>
              <w:left w:val="single" w:color="000000" w:sz="4" w:space="0"/>
              <w:bottom w:val="single" w:color="000000" w:sz="4" w:space="0"/>
              <w:right w:val="nil"/>
            </w:tcBorders>
            <w:vAlign w:val="center"/>
          </w:tcPr>
          <w:p w14:paraId="1F945B1E">
            <w:pPr>
              <w:spacing w:line="240" w:lineRule="auto"/>
              <w:ind w:firstLine="0" w:firstLineChars="0"/>
              <w:jc w:val="center"/>
              <w:rPr>
                <w:color w:val="auto"/>
                <w:sz w:val="21"/>
                <w:szCs w:val="21"/>
              </w:rPr>
            </w:pPr>
            <w:r>
              <w:rPr>
                <w:color w:val="auto"/>
                <w:sz w:val="21"/>
                <w:szCs w:val="21"/>
                <w:lang w:bidi="ar"/>
              </w:rPr>
              <w:t>最远超标距离到达时间/h</w:t>
            </w:r>
          </w:p>
        </w:tc>
      </w:tr>
      <w:tr w14:paraId="729C7DC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36D54183">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2E3F0BB1">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43B05B9E">
            <w:pPr>
              <w:spacing w:line="240" w:lineRule="auto"/>
              <w:ind w:firstLine="0" w:firstLineChars="0"/>
              <w:jc w:val="center"/>
              <w:rPr>
                <w:color w:val="auto"/>
                <w:sz w:val="21"/>
                <w:szCs w:val="21"/>
              </w:rPr>
            </w:pPr>
            <w:r>
              <w:rPr>
                <w:color w:val="auto"/>
                <w:sz w:val="21"/>
                <w:szCs w:val="21"/>
                <w:lang w:bidi="ar"/>
              </w:rPr>
              <w:t>--</w:t>
            </w:r>
          </w:p>
        </w:tc>
        <w:tc>
          <w:tcPr>
            <w:tcW w:w="1407" w:type="pct"/>
            <w:gridSpan w:val="4"/>
            <w:tcBorders>
              <w:top w:val="single" w:color="000000" w:sz="4" w:space="0"/>
              <w:left w:val="single" w:color="000000" w:sz="4" w:space="0"/>
              <w:bottom w:val="single" w:color="000000" w:sz="4" w:space="0"/>
              <w:right w:val="single" w:color="000000" w:sz="4" w:space="0"/>
            </w:tcBorders>
            <w:vAlign w:val="center"/>
          </w:tcPr>
          <w:p w14:paraId="5FB79FD4">
            <w:pPr>
              <w:spacing w:line="240" w:lineRule="auto"/>
              <w:ind w:firstLine="0" w:firstLineChars="0"/>
              <w:jc w:val="center"/>
              <w:rPr>
                <w:color w:val="auto"/>
                <w:sz w:val="21"/>
                <w:szCs w:val="21"/>
              </w:rPr>
            </w:pPr>
            <w:r>
              <w:rPr>
                <w:color w:val="auto"/>
                <w:sz w:val="21"/>
                <w:szCs w:val="21"/>
                <w:lang w:bidi="ar"/>
              </w:rPr>
              <w:t>--</w:t>
            </w:r>
          </w:p>
        </w:tc>
        <w:tc>
          <w:tcPr>
            <w:tcW w:w="1140" w:type="pct"/>
            <w:gridSpan w:val="5"/>
            <w:tcBorders>
              <w:top w:val="single" w:color="000000" w:sz="4" w:space="0"/>
              <w:left w:val="single" w:color="000000" w:sz="4" w:space="0"/>
              <w:bottom w:val="single" w:color="000000" w:sz="4" w:space="0"/>
              <w:right w:val="nil"/>
            </w:tcBorders>
            <w:vAlign w:val="center"/>
          </w:tcPr>
          <w:p w14:paraId="227B6348">
            <w:pPr>
              <w:spacing w:line="240" w:lineRule="auto"/>
              <w:ind w:firstLine="0" w:firstLineChars="0"/>
              <w:jc w:val="center"/>
              <w:rPr>
                <w:color w:val="auto"/>
                <w:sz w:val="21"/>
                <w:szCs w:val="21"/>
              </w:rPr>
            </w:pPr>
            <w:r>
              <w:rPr>
                <w:color w:val="auto"/>
                <w:sz w:val="21"/>
                <w:szCs w:val="21"/>
                <w:lang w:bidi="ar"/>
              </w:rPr>
              <w:t>--</w:t>
            </w:r>
          </w:p>
        </w:tc>
      </w:tr>
      <w:tr w14:paraId="13D6948D">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7891ECBE">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113430BC">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1A3E4B94">
            <w:pPr>
              <w:spacing w:line="240" w:lineRule="auto"/>
              <w:ind w:firstLine="0" w:firstLineChars="0"/>
              <w:jc w:val="center"/>
              <w:rPr>
                <w:color w:val="auto"/>
                <w:sz w:val="21"/>
                <w:szCs w:val="21"/>
              </w:rPr>
            </w:pPr>
            <w:r>
              <w:rPr>
                <w:color w:val="auto"/>
                <w:sz w:val="21"/>
                <w:szCs w:val="21"/>
                <w:lang w:bidi="ar"/>
              </w:rPr>
              <w:t>敏感目标名称</w:t>
            </w:r>
          </w:p>
        </w:tc>
        <w:tc>
          <w:tcPr>
            <w:tcW w:w="985" w:type="pct"/>
            <w:gridSpan w:val="3"/>
            <w:tcBorders>
              <w:top w:val="single" w:color="000000" w:sz="4" w:space="0"/>
              <w:left w:val="single" w:color="000000" w:sz="4" w:space="0"/>
              <w:bottom w:val="single" w:color="000000" w:sz="4" w:space="0"/>
              <w:right w:val="single" w:color="000000" w:sz="4" w:space="0"/>
            </w:tcBorders>
            <w:vAlign w:val="center"/>
          </w:tcPr>
          <w:p w14:paraId="62E637D8">
            <w:pPr>
              <w:spacing w:line="240" w:lineRule="auto"/>
              <w:ind w:firstLine="0" w:firstLineChars="0"/>
              <w:jc w:val="center"/>
              <w:rPr>
                <w:color w:val="auto"/>
                <w:sz w:val="21"/>
                <w:szCs w:val="21"/>
              </w:rPr>
            </w:pPr>
            <w:r>
              <w:rPr>
                <w:color w:val="auto"/>
                <w:sz w:val="21"/>
                <w:szCs w:val="21"/>
                <w:lang w:bidi="ar"/>
              </w:rPr>
              <w:t>到达时间/h</w:t>
            </w:r>
          </w:p>
        </w:tc>
        <w:tc>
          <w:tcPr>
            <w:tcW w:w="421" w:type="pct"/>
            <w:tcBorders>
              <w:top w:val="single" w:color="000000" w:sz="4" w:space="0"/>
              <w:left w:val="single" w:color="000000" w:sz="4" w:space="0"/>
              <w:bottom w:val="single" w:color="000000" w:sz="4" w:space="0"/>
              <w:right w:val="single" w:color="000000" w:sz="4" w:space="0"/>
            </w:tcBorders>
            <w:vAlign w:val="center"/>
          </w:tcPr>
          <w:p w14:paraId="34F93375">
            <w:pPr>
              <w:spacing w:line="240" w:lineRule="auto"/>
              <w:ind w:firstLine="0" w:firstLineChars="0"/>
              <w:jc w:val="center"/>
              <w:rPr>
                <w:color w:val="auto"/>
                <w:sz w:val="21"/>
                <w:szCs w:val="21"/>
              </w:rPr>
            </w:pPr>
            <w:r>
              <w:rPr>
                <w:color w:val="auto"/>
                <w:sz w:val="21"/>
                <w:szCs w:val="21"/>
                <w:lang w:bidi="ar"/>
              </w:rPr>
              <w:t>超标时间/h</w:t>
            </w:r>
          </w:p>
        </w:tc>
        <w:tc>
          <w:tcPr>
            <w:tcW w:w="419" w:type="pct"/>
            <w:gridSpan w:val="3"/>
            <w:tcBorders>
              <w:top w:val="single" w:color="000000" w:sz="4" w:space="0"/>
              <w:left w:val="single" w:color="000000" w:sz="4" w:space="0"/>
              <w:bottom w:val="single" w:color="000000" w:sz="4" w:space="0"/>
              <w:right w:val="single" w:color="000000" w:sz="4" w:space="0"/>
            </w:tcBorders>
            <w:vAlign w:val="center"/>
          </w:tcPr>
          <w:p w14:paraId="5737EF1C">
            <w:pPr>
              <w:spacing w:line="240" w:lineRule="auto"/>
              <w:ind w:firstLine="0" w:firstLineChars="0"/>
              <w:jc w:val="center"/>
              <w:rPr>
                <w:color w:val="auto"/>
                <w:sz w:val="21"/>
                <w:szCs w:val="21"/>
              </w:rPr>
            </w:pPr>
            <w:r>
              <w:rPr>
                <w:color w:val="auto"/>
                <w:sz w:val="21"/>
                <w:szCs w:val="21"/>
                <w:lang w:bidi="ar"/>
              </w:rPr>
              <w:t>超标持续时间/h</w:t>
            </w:r>
          </w:p>
        </w:tc>
        <w:tc>
          <w:tcPr>
            <w:tcW w:w="721" w:type="pct"/>
            <w:gridSpan w:val="2"/>
            <w:tcBorders>
              <w:top w:val="single" w:color="000000" w:sz="4" w:space="0"/>
              <w:left w:val="single" w:color="000000" w:sz="4" w:space="0"/>
              <w:bottom w:val="single" w:color="000000" w:sz="4" w:space="0"/>
              <w:right w:val="nil"/>
            </w:tcBorders>
            <w:vAlign w:val="center"/>
          </w:tcPr>
          <w:p w14:paraId="17DCFCAF">
            <w:pPr>
              <w:spacing w:line="240" w:lineRule="auto"/>
              <w:ind w:firstLine="0" w:firstLineChars="0"/>
              <w:jc w:val="center"/>
              <w:rPr>
                <w:color w:val="auto"/>
                <w:sz w:val="21"/>
                <w:szCs w:val="21"/>
              </w:rPr>
            </w:pPr>
            <w:r>
              <w:rPr>
                <w:color w:val="auto"/>
                <w:sz w:val="21"/>
                <w:szCs w:val="21"/>
                <w:lang w:bidi="ar"/>
              </w:rPr>
              <w:t>最大浓度/（mg/L）</w:t>
            </w:r>
          </w:p>
        </w:tc>
      </w:tr>
      <w:tr w14:paraId="6208B74B">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4" w:space="0"/>
              <w:right w:val="single" w:color="000000" w:sz="4" w:space="0"/>
            </w:tcBorders>
            <w:vAlign w:val="center"/>
          </w:tcPr>
          <w:p w14:paraId="2A0DA9EF">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4" w:space="0"/>
              <w:right w:val="single" w:color="000000" w:sz="4" w:space="0"/>
            </w:tcBorders>
            <w:vAlign w:val="center"/>
          </w:tcPr>
          <w:p w14:paraId="693CFEF4">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640DBB44">
            <w:pPr>
              <w:spacing w:line="240" w:lineRule="auto"/>
              <w:ind w:firstLine="0" w:firstLineChars="0"/>
              <w:jc w:val="center"/>
              <w:rPr>
                <w:color w:val="auto"/>
                <w:sz w:val="21"/>
                <w:szCs w:val="21"/>
              </w:rPr>
            </w:pPr>
            <w:r>
              <w:rPr>
                <w:color w:val="auto"/>
                <w:sz w:val="21"/>
                <w:szCs w:val="21"/>
                <w:lang w:bidi="ar"/>
              </w:rPr>
              <w:t>--</w:t>
            </w:r>
          </w:p>
        </w:tc>
        <w:tc>
          <w:tcPr>
            <w:tcW w:w="985" w:type="pct"/>
            <w:gridSpan w:val="3"/>
            <w:tcBorders>
              <w:top w:val="single" w:color="000000" w:sz="4" w:space="0"/>
              <w:left w:val="single" w:color="000000" w:sz="4" w:space="0"/>
              <w:bottom w:val="single" w:color="000000" w:sz="4" w:space="0"/>
              <w:right w:val="single" w:color="000000" w:sz="4" w:space="0"/>
            </w:tcBorders>
            <w:vAlign w:val="center"/>
          </w:tcPr>
          <w:p w14:paraId="7DD61DBB">
            <w:pPr>
              <w:spacing w:line="240" w:lineRule="auto"/>
              <w:ind w:firstLine="0" w:firstLineChars="0"/>
              <w:jc w:val="center"/>
              <w:rPr>
                <w:color w:val="auto"/>
                <w:sz w:val="21"/>
                <w:szCs w:val="21"/>
              </w:rPr>
            </w:pPr>
            <w:r>
              <w:rPr>
                <w:color w:val="auto"/>
                <w:sz w:val="21"/>
                <w:szCs w:val="21"/>
                <w:lang w:bidi="ar"/>
              </w:rPr>
              <w:t>--</w:t>
            </w:r>
          </w:p>
        </w:tc>
        <w:tc>
          <w:tcPr>
            <w:tcW w:w="421" w:type="pct"/>
            <w:tcBorders>
              <w:top w:val="single" w:color="000000" w:sz="4" w:space="0"/>
              <w:left w:val="single" w:color="000000" w:sz="4" w:space="0"/>
              <w:bottom w:val="single" w:color="000000" w:sz="4" w:space="0"/>
              <w:right w:val="single" w:color="000000" w:sz="4" w:space="0"/>
            </w:tcBorders>
            <w:vAlign w:val="center"/>
          </w:tcPr>
          <w:p w14:paraId="1A3F7CB5">
            <w:pPr>
              <w:spacing w:line="240" w:lineRule="auto"/>
              <w:ind w:firstLine="0" w:firstLineChars="0"/>
              <w:jc w:val="center"/>
              <w:rPr>
                <w:color w:val="auto"/>
                <w:sz w:val="21"/>
                <w:szCs w:val="21"/>
              </w:rPr>
            </w:pPr>
            <w:r>
              <w:rPr>
                <w:color w:val="auto"/>
                <w:sz w:val="21"/>
                <w:szCs w:val="21"/>
                <w:lang w:bidi="ar"/>
              </w:rPr>
              <w:t>--</w:t>
            </w:r>
          </w:p>
        </w:tc>
        <w:tc>
          <w:tcPr>
            <w:tcW w:w="419" w:type="pct"/>
            <w:gridSpan w:val="3"/>
            <w:tcBorders>
              <w:top w:val="single" w:color="000000" w:sz="4" w:space="0"/>
              <w:left w:val="single" w:color="000000" w:sz="4" w:space="0"/>
              <w:bottom w:val="single" w:color="000000" w:sz="4" w:space="0"/>
              <w:right w:val="single" w:color="000000" w:sz="4" w:space="0"/>
            </w:tcBorders>
            <w:vAlign w:val="center"/>
          </w:tcPr>
          <w:p w14:paraId="109FE347">
            <w:pPr>
              <w:spacing w:line="240" w:lineRule="auto"/>
              <w:ind w:firstLine="0" w:firstLineChars="0"/>
              <w:jc w:val="center"/>
              <w:rPr>
                <w:color w:val="auto"/>
                <w:sz w:val="21"/>
                <w:szCs w:val="21"/>
              </w:rPr>
            </w:pPr>
            <w:r>
              <w:rPr>
                <w:color w:val="auto"/>
                <w:sz w:val="21"/>
                <w:szCs w:val="21"/>
                <w:lang w:bidi="ar"/>
              </w:rPr>
              <w:t>--</w:t>
            </w:r>
          </w:p>
        </w:tc>
        <w:tc>
          <w:tcPr>
            <w:tcW w:w="721" w:type="pct"/>
            <w:gridSpan w:val="2"/>
            <w:tcBorders>
              <w:top w:val="single" w:color="000000" w:sz="4" w:space="0"/>
              <w:left w:val="single" w:color="000000" w:sz="4" w:space="0"/>
              <w:bottom w:val="single" w:color="000000" w:sz="4" w:space="0"/>
              <w:right w:val="nil"/>
            </w:tcBorders>
            <w:vAlign w:val="center"/>
          </w:tcPr>
          <w:p w14:paraId="60DEE51F">
            <w:pPr>
              <w:spacing w:line="240" w:lineRule="auto"/>
              <w:ind w:firstLine="0" w:firstLineChars="0"/>
              <w:jc w:val="center"/>
              <w:rPr>
                <w:color w:val="auto"/>
                <w:sz w:val="21"/>
                <w:szCs w:val="21"/>
              </w:rPr>
            </w:pPr>
            <w:r>
              <w:rPr>
                <w:color w:val="auto"/>
                <w:sz w:val="21"/>
                <w:szCs w:val="21"/>
                <w:lang w:bidi="ar"/>
              </w:rPr>
              <w:t>--</w:t>
            </w:r>
          </w:p>
        </w:tc>
      </w:tr>
      <w:tr w14:paraId="24D74D5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restart"/>
            <w:tcBorders>
              <w:top w:val="single" w:color="000000" w:sz="4" w:space="0"/>
              <w:left w:val="nil"/>
              <w:bottom w:val="single" w:color="000000" w:sz="12" w:space="0"/>
              <w:right w:val="single" w:color="000000" w:sz="4" w:space="0"/>
            </w:tcBorders>
            <w:vAlign w:val="center"/>
          </w:tcPr>
          <w:p w14:paraId="036C9AB5">
            <w:pPr>
              <w:spacing w:line="240" w:lineRule="auto"/>
              <w:ind w:firstLine="0" w:firstLineChars="0"/>
              <w:jc w:val="center"/>
              <w:rPr>
                <w:color w:val="auto"/>
                <w:sz w:val="21"/>
                <w:szCs w:val="21"/>
              </w:rPr>
            </w:pPr>
            <w:r>
              <w:rPr>
                <w:color w:val="auto"/>
                <w:sz w:val="21"/>
                <w:szCs w:val="21"/>
                <w:lang w:bidi="ar"/>
              </w:rPr>
              <w:t>地下水</w:t>
            </w:r>
          </w:p>
        </w:tc>
        <w:tc>
          <w:tcPr>
            <w:tcW w:w="349" w:type="pct"/>
            <w:tcBorders>
              <w:top w:val="single" w:color="000000" w:sz="4" w:space="0"/>
              <w:left w:val="single" w:color="000000" w:sz="4" w:space="0"/>
              <w:bottom w:val="single" w:color="000000" w:sz="4" w:space="0"/>
              <w:right w:val="single" w:color="000000" w:sz="4" w:space="0"/>
            </w:tcBorders>
            <w:vAlign w:val="center"/>
          </w:tcPr>
          <w:p w14:paraId="7877B8CA">
            <w:pPr>
              <w:spacing w:line="240" w:lineRule="auto"/>
              <w:ind w:firstLine="0" w:firstLineChars="0"/>
              <w:jc w:val="center"/>
              <w:rPr>
                <w:color w:val="auto"/>
                <w:sz w:val="21"/>
                <w:szCs w:val="21"/>
              </w:rPr>
            </w:pPr>
            <w:r>
              <w:rPr>
                <w:color w:val="auto"/>
                <w:sz w:val="21"/>
                <w:szCs w:val="21"/>
                <w:lang w:bidi="ar"/>
              </w:rPr>
              <w:t>危险物质</w:t>
            </w:r>
          </w:p>
        </w:tc>
        <w:tc>
          <w:tcPr>
            <w:tcW w:w="3833" w:type="pct"/>
            <w:gridSpan w:val="13"/>
            <w:tcBorders>
              <w:top w:val="single" w:color="000000" w:sz="4" w:space="0"/>
              <w:left w:val="single" w:color="000000" w:sz="4" w:space="0"/>
              <w:bottom w:val="single" w:color="000000" w:sz="4" w:space="0"/>
              <w:right w:val="nil"/>
            </w:tcBorders>
            <w:vAlign w:val="center"/>
          </w:tcPr>
          <w:p w14:paraId="23F90F93">
            <w:pPr>
              <w:spacing w:line="240" w:lineRule="auto"/>
              <w:ind w:firstLine="0" w:firstLineChars="0"/>
              <w:jc w:val="center"/>
              <w:rPr>
                <w:color w:val="auto"/>
                <w:sz w:val="21"/>
                <w:szCs w:val="21"/>
              </w:rPr>
            </w:pPr>
            <w:r>
              <w:rPr>
                <w:color w:val="auto"/>
                <w:sz w:val="21"/>
                <w:szCs w:val="21"/>
                <w:lang w:bidi="ar"/>
              </w:rPr>
              <w:t>地下水环境影响</w:t>
            </w:r>
          </w:p>
        </w:tc>
      </w:tr>
      <w:tr w14:paraId="096326D1">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12" w:space="0"/>
              <w:right w:val="single" w:color="000000" w:sz="4" w:space="0"/>
            </w:tcBorders>
            <w:vAlign w:val="center"/>
          </w:tcPr>
          <w:p w14:paraId="72BF2C17">
            <w:pPr>
              <w:spacing w:line="240" w:lineRule="auto"/>
              <w:ind w:firstLine="0" w:firstLineChars="0"/>
              <w:rPr>
                <w:color w:val="auto"/>
                <w:sz w:val="21"/>
                <w:szCs w:val="21"/>
              </w:rPr>
            </w:pPr>
          </w:p>
        </w:tc>
        <w:tc>
          <w:tcPr>
            <w:tcW w:w="349" w:type="pct"/>
            <w:vMerge w:val="restart"/>
            <w:tcBorders>
              <w:top w:val="single" w:color="000000" w:sz="4" w:space="0"/>
              <w:left w:val="single" w:color="000000" w:sz="4" w:space="0"/>
              <w:bottom w:val="single" w:color="000000" w:sz="12" w:space="0"/>
              <w:right w:val="single" w:color="000000" w:sz="4" w:space="0"/>
            </w:tcBorders>
            <w:vAlign w:val="center"/>
          </w:tcPr>
          <w:p w14:paraId="2B0B699D">
            <w:pPr>
              <w:spacing w:line="240" w:lineRule="auto"/>
              <w:ind w:firstLine="0" w:firstLineChars="0"/>
              <w:jc w:val="center"/>
              <w:rPr>
                <w:color w:val="auto"/>
                <w:sz w:val="21"/>
                <w:szCs w:val="21"/>
              </w:rPr>
            </w:pPr>
            <w:r>
              <w:rPr>
                <w:color w:val="auto"/>
                <w:sz w:val="21"/>
                <w:szCs w:val="21"/>
                <w:lang w:bidi="ar"/>
              </w:rPr>
              <w:t>--</w:t>
            </w: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6FDF7E3B">
            <w:pPr>
              <w:spacing w:line="240" w:lineRule="auto"/>
              <w:ind w:firstLine="0" w:firstLineChars="0"/>
              <w:jc w:val="center"/>
              <w:rPr>
                <w:color w:val="auto"/>
                <w:sz w:val="21"/>
                <w:szCs w:val="21"/>
              </w:rPr>
            </w:pPr>
            <w:r>
              <w:rPr>
                <w:color w:val="auto"/>
                <w:sz w:val="21"/>
                <w:szCs w:val="21"/>
                <w:lang w:bidi="ar"/>
              </w:rPr>
              <w:t>厂区边界</w:t>
            </w:r>
          </w:p>
        </w:tc>
        <w:tc>
          <w:tcPr>
            <w:tcW w:w="985" w:type="pct"/>
            <w:gridSpan w:val="3"/>
            <w:tcBorders>
              <w:top w:val="single" w:color="000000" w:sz="4" w:space="0"/>
              <w:left w:val="single" w:color="000000" w:sz="4" w:space="0"/>
              <w:bottom w:val="single" w:color="000000" w:sz="4" w:space="0"/>
              <w:right w:val="single" w:color="000000" w:sz="4" w:space="0"/>
            </w:tcBorders>
            <w:vAlign w:val="center"/>
          </w:tcPr>
          <w:p w14:paraId="6BFA813C">
            <w:pPr>
              <w:spacing w:line="240" w:lineRule="auto"/>
              <w:ind w:firstLine="0" w:firstLineChars="0"/>
              <w:jc w:val="center"/>
              <w:rPr>
                <w:color w:val="auto"/>
                <w:sz w:val="21"/>
                <w:szCs w:val="21"/>
              </w:rPr>
            </w:pPr>
            <w:r>
              <w:rPr>
                <w:color w:val="auto"/>
                <w:sz w:val="21"/>
                <w:szCs w:val="21"/>
                <w:lang w:bidi="ar"/>
              </w:rPr>
              <w:t>到达时间/d</w:t>
            </w:r>
          </w:p>
        </w:tc>
        <w:tc>
          <w:tcPr>
            <w:tcW w:w="421" w:type="pct"/>
            <w:tcBorders>
              <w:top w:val="single" w:color="000000" w:sz="4" w:space="0"/>
              <w:left w:val="single" w:color="000000" w:sz="4" w:space="0"/>
              <w:bottom w:val="single" w:color="000000" w:sz="4" w:space="0"/>
              <w:right w:val="single" w:color="000000" w:sz="4" w:space="0"/>
            </w:tcBorders>
            <w:vAlign w:val="center"/>
          </w:tcPr>
          <w:p w14:paraId="043CD8E8">
            <w:pPr>
              <w:spacing w:line="240" w:lineRule="auto"/>
              <w:ind w:firstLine="0" w:firstLineChars="0"/>
              <w:jc w:val="center"/>
              <w:rPr>
                <w:color w:val="auto"/>
                <w:sz w:val="21"/>
                <w:szCs w:val="21"/>
              </w:rPr>
            </w:pPr>
            <w:r>
              <w:rPr>
                <w:color w:val="auto"/>
                <w:sz w:val="21"/>
                <w:szCs w:val="21"/>
                <w:lang w:bidi="ar"/>
              </w:rPr>
              <w:t>超标时间/d</w:t>
            </w:r>
          </w:p>
        </w:tc>
        <w:tc>
          <w:tcPr>
            <w:tcW w:w="419" w:type="pct"/>
            <w:gridSpan w:val="3"/>
            <w:tcBorders>
              <w:top w:val="single" w:color="000000" w:sz="4" w:space="0"/>
              <w:left w:val="single" w:color="000000" w:sz="4" w:space="0"/>
              <w:bottom w:val="single" w:color="000000" w:sz="4" w:space="0"/>
              <w:right w:val="single" w:color="000000" w:sz="4" w:space="0"/>
            </w:tcBorders>
            <w:vAlign w:val="center"/>
          </w:tcPr>
          <w:p w14:paraId="2D59E45F">
            <w:pPr>
              <w:spacing w:line="240" w:lineRule="auto"/>
              <w:ind w:firstLine="0" w:firstLineChars="0"/>
              <w:jc w:val="center"/>
              <w:rPr>
                <w:color w:val="auto"/>
                <w:sz w:val="21"/>
                <w:szCs w:val="21"/>
              </w:rPr>
            </w:pPr>
            <w:r>
              <w:rPr>
                <w:color w:val="auto"/>
                <w:sz w:val="21"/>
                <w:szCs w:val="21"/>
                <w:lang w:bidi="ar"/>
              </w:rPr>
              <w:t>超标持续时间/d</w:t>
            </w:r>
          </w:p>
        </w:tc>
        <w:tc>
          <w:tcPr>
            <w:tcW w:w="721" w:type="pct"/>
            <w:gridSpan w:val="2"/>
            <w:tcBorders>
              <w:top w:val="single" w:color="000000" w:sz="4" w:space="0"/>
              <w:left w:val="single" w:color="000000" w:sz="4" w:space="0"/>
              <w:bottom w:val="single" w:color="000000" w:sz="4" w:space="0"/>
              <w:right w:val="nil"/>
            </w:tcBorders>
            <w:vAlign w:val="center"/>
          </w:tcPr>
          <w:p w14:paraId="6C9ACACE">
            <w:pPr>
              <w:spacing w:line="240" w:lineRule="auto"/>
              <w:ind w:firstLine="0" w:firstLineChars="0"/>
              <w:jc w:val="center"/>
              <w:rPr>
                <w:color w:val="auto"/>
                <w:sz w:val="21"/>
                <w:szCs w:val="21"/>
              </w:rPr>
            </w:pPr>
            <w:r>
              <w:rPr>
                <w:color w:val="auto"/>
                <w:sz w:val="21"/>
                <w:szCs w:val="21"/>
                <w:lang w:bidi="ar"/>
              </w:rPr>
              <w:t>最大浓度/（mg/L）</w:t>
            </w:r>
          </w:p>
        </w:tc>
      </w:tr>
      <w:tr w14:paraId="697F72C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12" w:space="0"/>
              <w:right w:val="single" w:color="000000" w:sz="4" w:space="0"/>
            </w:tcBorders>
            <w:vAlign w:val="center"/>
          </w:tcPr>
          <w:p w14:paraId="3BD4DBA5">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12" w:space="0"/>
              <w:right w:val="single" w:color="000000" w:sz="4" w:space="0"/>
            </w:tcBorders>
            <w:vAlign w:val="center"/>
          </w:tcPr>
          <w:p w14:paraId="6FFB19DD">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0F1C13B9">
            <w:pPr>
              <w:spacing w:line="240" w:lineRule="auto"/>
              <w:ind w:firstLine="0" w:firstLineChars="0"/>
              <w:jc w:val="center"/>
              <w:rPr>
                <w:color w:val="auto"/>
                <w:sz w:val="21"/>
                <w:szCs w:val="21"/>
              </w:rPr>
            </w:pPr>
            <w:r>
              <w:rPr>
                <w:color w:val="auto"/>
                <w:sz w:val="21"/>
                <w:szCs w:val="21"/>
                <w:lang w:bidi="ar"/>
              </w:rPr>
              <w:t>--</w:t>
            </w:r>
          </w:p>
        </w:tc>
        <w:tc>
          <w:tcPr>
            <w:tcW w:w="985" w:type="pct"/>
            <w:gridSpan w:val="3"/>
            <w:tcBorders>
              <w:top w:val="single" w:color="000000" w:sz="4" w:space="0"/>
              <w:left w:val="single" w:color="000000" w:sz="4" w:space="0"/>
              <w:bottom w:val="single" w:color="000000" w:sz="4" w:space="0"/>
              <w:right w:val="single" w:color="000000" w:sz="4" w:space="0"/>
            </w:tcBorders>
            <w:vAlign w:val="center"/>
          </w:tcPr>
          <w:p w14:paraId="432D4AFE">
            <w:pPr>
              <w:spacing w:line="240" w:lineRule="auto"/>
              <w:ind w:firstLine="0" w:firstLineChars="0"/>
              <w:jc w:val="center"/>
              <w:rPr>
                <w:color w:val="auto"/>
                <w:sz w:val="21"/>
                <w:szCs w:val="21"/>
              </w:rPr>
            </w:pPr>
            <w:r>
              <w:rPr>
                <w:color w:val="auto"/>
                <w:sz w:val="21"/>
                <w:szCs w:val="21"/>
                <w:lang w:bidi="ar"/>
              </w:rPr>
              <w:t>--</w:t>
            </w:r>
          </w:p>
        </w:tc>
        <w:tc>
          <w:tcPr>
            <w:tcW w:w="421" w:type="pct"/>
            <w:tcBorders>
              <w:top w:val="single" w:color="000000" w:sz="4" w:space="0"/>
              <w:left w:val="single" w:color="000000" w:sz="4" w:space="0"/>
              <w:bottom w:val="single" w:color="000000" w:sz="4" w:space="0"/>
              <w:right w:val="single" w:color="000000" w:sz="4" w:space="0"/>
            </w:tcBorders>
            <w:vAlign w:val="center"/>
          </w:tcPr>
          <w:p w14:paraId="3BA2C140">
            <w:pPr>
              <w:spacing w:line="240" w:lineRule="auto"/>
              <w:ind w:firstLine="0" w:firstLineChars="0"/>
              <w:jc w:val="center"/>
              <w:rPr>
                <w:color w:val="auto"/>
                <w:sz w:val="21"/>
                <w:szCs w:val="21"/>
              </w:rPr>
            </w:pPr>
            <w:r>
              <w:rPr>
                <w:color w:val="auto"/>
                <w:sz w:val="21"/>
                <w:szCs w:val="21"/>
                <w:lang w:bidi="ar"/>
              </w:rPr>
              <w:t>--</w:t>
            </w:r>
          </w:p>
        </w:tc>
        <w:tc>
          <w:tcPr>
            <w:tcW w:w="419" w:type="pct"/>
            <w:gridSpan w:val="3"/>
            <w:tcBorders>
              <w:top w:val="single" w:color="000000" w:sz="4" w:space="0"/>
              <w:left w:val="single" w:color="000000" w:sz="4" w:space="0"/>
              <w:bottom w:val="single" w:color="000000" w:sz="4" w:space="0"/>
              <w:right w:val="single" w:color="000000" w:sz="4" w:space="0"/>
            </w:tcBorders>
            <w:vAlign w:val="center"/>
          </w:tcPr>
          <w:p w14:paraId="6DDC78F5">
            <w:pPr>
              <w:spacing w:line="240" w:lineRule="auto"/>
              <w:ind w:firstLine="0" w:firstLineChars="0"/>
              <w:jc w:val="center"/>
              <w:rPr>
                <w:color w:val="auto"/>
                <w:sz w:val="21"/>
                <w:szCs w:val="21"/>
              </w:rPr>
            </w:pPr>
            <w:r>
              <w:rPr>
                <w:color w:val="auto"/>
                <w:sz w:val="21"/>
                <w:szCs w:val="21"/>
                <w:lang w:bidi="ar"/>
              </w:rPr>
              <w:t>--</w:t>
            </w:r>
          </w:p>
        </w:tc>
        <w:tc>
          <w:tcPr>
            <w:tcW w:w="721" w:type="pct"/>
            <w:gridSpan w:val="2"/>
            <w:tcBorders>
              <w:top w:val="single" w:color="000000" w:sz="4" w:space="0"/>
              <w:left w:val="single" w:color="000000" w:sz="4" w:space="0"/>
              <w:bottom w:val="single" w:color="000000" w:sz="4" w:space="0"/>
              <w:right w:val="nil"/>
            </w:tcBorders>
            <w:vAlign w:val="center"/>
          </w:tcPr>
          <w:p w14:paraId="3E193E7F">
            <w:pPr>
              <w:spacing w:line="240" w:lineRule="auto"/>
              <w:ind w:firstLine="0" w:firstLineChars="0"/>
              <w:jc w:val="center"/>
              <w:rPr>
                <w:color w:val="auto"/>
                <w:sz w:val="21"/>
                <w:szCs w:val="21"/>
              </w:rPr>
            </w:pPr>
            <w:r>
              <w:rPr>
                <w:color w:val="auto"/>
                <w:sz w:val="21"/>
                <w:szCs w:val="21"/>
                <w:lang w:bidi="ar"/>
              </w:rPr>
              <w:t>--</w:t>
            </w:r>
          </w:p>
        </w:tc>
      </w:tr>
      <w:tr w14:paraId="67143B7B">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12" w:space="0"/>
              <w:right w:val="single" w:color="000000" w:sz="4" w:space="0"/>
            </w:tcBorders>
            <w:vAlign w:val="center"/>
          </w:tcPr>
          <w:p w14:paraId="5962A0DE">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12" w:space="0"/>
              <w:right w:val="single" w:color="000000" w:sz="4" w:space="0"/>
            </w:tcBorders>
            <w:vAlign w:val="center"/>
          </w:tcPr>
          <w:p w14:paraId="37C2526B">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4" w:space="0"/>
              <w:right w:val="single" w:color="000000" w:sz="4" w:space="0"/>
            </w:tcBorders>
            <w:vAlign w:val="center"/>
          </w:tcPr>
          <w:p w14:paraId="34E0B0AF">
            <w:pPr>
              <w:spacing w:line="240" w:lineRule="auto"/>
              <w:ind w:firstLine="0" w:firstLineChars="0"/>
              <w:jc w:val="center"/>
              <w:rPr>
                <w:color w:val="auto"/>
                <w:sz w:val="21"/>
                <w:szCs w:val="21"/>
              </w:rPr>
            </w:pPr>
            <w:r>
              <w:rPr>
                <w:color w:val="auto"/>
                <w:sz w:val="21"/>
                <w:szCs w:val="21"/>
                <w:lang w:bidi="ar"/>
              </w:rPr>
              <w:t>敏感目标名称</w:t>
            </w:r>
          </w:p>
        </w:tc>
        <w:tc>
          <w:tcPr>
            <w:tcW w:w="985" w:type="pct"/>
            <w:gridSpan w:val="3"/>
            <w:tcBorders>
              <w:top w:val="single" w:color="000000" w:sz="4" w:space="0"/>
              <w:left w:val="single" w:color="000000" w:sz="4" w:space="0"/>
              <w:bottom w:val="single" w:color="000000" w:sz="4" w:space="0"/>
              <w:right w:val="single" w:color="000000" w:sz="4" w:space="0"/>
            </w:tcBorders>
            <w:vAlign w:val="center"/>
          </w:tcPr>
          <w:p w14:paraId="2AE6ECF0">
            <w:pPr>
              <w:spacing w:line="240" w:lineRule="auto"/>
              <w:ind w:firstLine="0" w:firstLineChars="0"/>
              <w:jc w:val="center"/>
              <w:rPr>
                <w:color w:val="auto"/>
                <w:sz w:val="21"/>
                <w:szCs w:val="21"/>
              </w:rPr>
            </w:pPr>
            <w:r>
              <w:rPr>
                <w:color w:val="auto"/>
                <w:sz w:val="21"/>
                <w:szCs w:val="21"/>
                <w:lang w:bidi="ar"/>
              </w:rPr>
              <w:t>到达时间/d</w:t>
            </w:r>
          </w:p>
        </w:tc>
        <w:tc>
          <w:tcPr>
            <w:tcW w:w="421" w:type="pct"/>
            <w:tcBorders>
              <w:top w:val="single" w:color="000000" w:sz="4" w:space="0"/>
              <w:left w:val="single" w:color="000000" w:sz="4" w:space="0"/>
              <w:bottom w:val="single" w:color="000000" w:sz="4" w:space="0"/>
              <w:right w:val="single" w:color="000000" w:sz="4" w:space="0"/>
            </w:tcBorders>
            <w:vAlign w:val="center"/>
          </w:tcPr>
          <w:p w14:paraId="781C71F9">
            <w:pPr>
              <w:spacing w:line="240" w:lineRule="auto"/>
              <w:ind w:firstLine="0" w:firstLineChars="0"/>
              <w:jc w:val="center"/>
              <w:rPr>
                <w:color w:val="auto"/>
                <w:sz w:val="21"/>
                <w:szCs w:val="21"/>
              </w:rPr>
            </w:pPr>
            <w:r>
              <w:rPr>
                <w:color w:val="auto"/>
                <w:sz w:val="21"/>
                <w:szCs w:val="21"/>
                <w:lang w:bidi="ar"/>
              </w:rPr>
              <w:t>超标时间/d</w:t>
            </w:r>
          </w:p>
        </w:tc>
        <w:tc>
          <w:tcPr>
            <w:tcW w:w="419" w:type="pct"/>
            <w:gridSpan w:val="3"/>
            <w:tcBorders>
              <w:top w:val="single" w:color="000000" w:sz="4" w:space="0"/>
              <w:left w:val="single" w:color="000000" w:sz="4" w:space="0"/>
              <w:bottom w:val="single" w:color="000000" w:sz="4" w:space="0"/>
              <w:right w:val="single" w:color="000000" w:sz="4" w:space="0"/>
            </w:tcBorders>
            <w:vAlign w:val="center"/>
          </w:tcPr>
          <w:p w14:paraId="764D65E6">
            <w:pPr>
              <w:spacing w:line="240" w:lineRule="auto"/>
              <w:ind w:firstLine="0" w:firstLineChars="0"/>
              <w:jc w:val="center"/>
              <w:rPr>
                <w:color w:val="auto"/>
                <w:sz w:val="21"/>
                <w:szCs w:val="21"/>
              </w:rPr>
            </w:pPr>
            <w:r>
              <w:rPr>
                <w:color w:val="auto"/>
                <w:sz w:val="21"/>
                <w:szCs w:val="21"/>
                <w:lang w:bidi="ar"/>
              </w:rPr>
              <w:t>超标持续时间/d</w:t>
            </w:r>
          </w:p>
        </w:tc>
        <w:tc>
          <w:tcPr>
            <w:tcW w:w="721" w:type="pct"/>
            <w:gridSpan w:val="2"/>
            <w:tcBorders>
              <w:top w:val="single" w:color="000000" w:sz="4" w:space="0"/>
              <w:left w:val="single" w:color="000000" w:sz="4" w:space="0"/>
              <w:bottom w:val="single" w:color="000000" w:sz="4" w:space="0"/>
              <w:right w:val="nil"/>
            </w:tcBorders>
            <w:vAlign w:val="center"/>
          </w:tcPr>
          <w:p w14:paraId="124B1FEB">
            <w:pPr>
              <w:spacing w:line="240" w:lineRule="auto"/>
              <w:ind w:firstLine="0" w:firstLineChars="0"/>
              <w:jc w:val="center"/>
              <w:rPr>
                <w:color w:val="auto"/>
                <w:sz w:val="21"/>
                <w:szCs w:val="21"/>
              </w:rPr>
            </w:pPr>
            <w:r>
              <w:rPr>
                <w:color w:val="auto"/>
                <w:sz w:val="21"/>
                <w:szCs w:val="21"/>
                <w:lang w:bidi="ar"/>
              </w:rPr>
              <w:t>最大浓度/（mg/L）</w:t>
            </w:r>
          </w:p>
        </w:tc>
      </w:tr>
      <w:tr w14:paraId="466B3F5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818" w:type="pct"/>
            <w:vMerge w:val="continue"/>
            <w:tcBorders>
              <w:top w:val="single" w:color="000000" w:sz="4" w:space="0"/>
              <w:left w:val="nil"/>
              <w:bottom w:val="single" w:color="000000" w:sz="12" w:space="0"/>
              <w:right w:val="single" w:color="000000" w:sz="4" w:space="0"/>
            </w:tcBorders>
            <w:vAlign w:val="center"/>
          </w:tcPr>
          <w:p w14:paraId="0E3AD7F8">
            <w:pPr>
              <w:spacing w:line="240" w:lineRule="auto"/>
              <w:ind w:firstLine="0" w:firstLineChars="0"/>
              <w:rPr>
                <w:color w:val="auto"/>
                <w:sz w:val="21"/>
                <w:szCs w:val="21"/>
              </w:rPr>
            </w:pPr>
          </w:p>
        </w:tc>
        <w:tc>
          <w:tcPr>
            <w:tcW w:w="349" w:type="pct"/>
            <w:vMerge w:val="continue"/>
            <w:tcBorders>
              <w:top w:val="single" w:color="000000" w:sz="4" w:space="0"/>
              <w:left w:val="single" w:color="000000" w:sz="4" w:space="0"/>
              <w:bottom w:val="single" w:color="000000" w:sz="12" w:space="0"/>
              <w:right w:val="single" w:color="000000" w:sz="4" w:space="0"/>
            </w:tcBorders>
            <w:vAlign w:val="center"/>
          </w:tcPr>
          <w:p w14:paraId="027C095C">
            <w:pPr>
              <w:spacing w:line="240" w:lineRule="auto"/>
              <w:ind w:firstLine="0" w:firstLineChars="0"/>
              <w:rPr>
                <w:color w:val="auto"/>
                <w:sz w:val="21"/>
                <w:szCs w:val="21"/>
              </w:rPr>
            </w:pPr>
          </w:p>
        </w:tc>
        <w:tc>
          <w:tcPr>
            <w:tcW w:w="1287" w:type="pct"/>
            <w:gridSpan w:val="4"/>
            <w:tcBorders>
              <w:top w:val="single" w:color="000000" w:sz="4" w:space="0"/>
              <w:left w:val="single" w:color="000000" w:sz="4" w:space="0"/>
              <w:bottom w:val="single" w:color="000000" w:sz="12" w:space="0"/>
              <w:right w:val="single" w:color="000000" w:sz="4" w:space="0"/>
            </w:tcBorders>
            <w:vAlign w:val="center"/>
          </w:tcPr>
          <w:p w14:paraId="6B7FADBD">
            <w:pPr>
              <w:spacing w:line="240" w:lineRule="auto"/>
              <w:ind w:firstLine="0" w:firstLineChars="0"/>
              <w:jc w:val="center"/>
              <w:rPr>
                <w:color w:val="auto"/>
                <w:sz w:val="21"/>
                <w:szCs w:val="21"/>
              </w:rPr>
            </w:pPr>
            <w:r>
              <w:rPr>
                <w:color w:val="auto"/>
                <w:sz w:val="21"/>
                <w:szCs w:val="21"/>
                <w:lang w:bidi="ar"/>
              </w:rPr>
              <w:t>--</w:t>
            </w:r>
          </w:p>
        </w:tc>
        <w:tc>
          <w:tcPr>
            <w:tcW w:w="985" w:type="pct"/>
            <w:gridSpan w:val="3"/>
            <w:tcBorders>
              <w:top w:val="single" w:color="000000" w:sz="4" w:space="0"/>
              <w:left w:val="single" w:color="000000" w:sz="4" w:space="0"/>
              <w:bottom w:val="single" w:color="000000" w:sz="12" w:space="0"/>
              <w:right w:val="single" w:color="000000" w:sz="4" w:space="0"/>
            </w:tcBorders>
            <w:vAlign w:val="center"/>
          </w:tcPr>
          <w:p w14:paraId="1C392905">
            <w:pPr>
              <w:spacing w:line="240" w:lineRule="auto"/>
              <w:ind w:firstLine="0" w:firstLineChars="0"/>
              <w:jc w:val="center"/>
              <w:rPr>
                <w:color w:val="auto"/>
                <w:sz w:val="21"/>
                <w:szCs w:val="21"/>
              </w:rPr>
            </w:pPr>
            <w:r>
              <w:rPr>
                <w:color w:val="auto"/>
                <w:sz w:val="21"/>
                <w:szCs w:val="21"/>
                <w:lang w:bidi="ar"/>
              </w:rPr>
              <w:t>--</w:t>
            </w:r>
          </w:p>
        </w:tc>
        <w:tc>
          <w:tcPr>
            <w:tcW w:w="421" w:type="pct"/>
            <w:tcBorders>
              <w:top w:val="single" w:color="000000" w:sz="4" w:space="0"/>
              <w:left w:val="single" w:color="000000" w:sz="4" w:space="0"/>
              <w:bottom w:val="single" w:color="000000" w:sz="12" w:space="0"/>
              <w:right w:val="single" w:color="000000" w:sz="4" w:space="0"/>
            </w:tcBorders>
            <w:vAlign w:val="center"/>
          </w:tcPr>
          <w:p w14:paraId="57E76AE0">
            <w:pPr>
              <w:spacing w:line="240" w:lineRule="auto"/>
              <w:ind w:firstLine="0" w:firstLineChars="0"/>
              <w:jc w:val="center"/>
              <w:rPr>
                <w:color w:val="auto"/>
                <w:sz w:val="21"/>
                <w:szCs w:val="21"/>
              </w:rPr>
            </w:pPr>
            <w:r>
              <w:rPr>
                <w:color w:val="auto"/>
                <w:sz w:val="21"/>
                <w:szCs w:val="21"/>
                <w:lang w:bidi="ar"/>
              </w:rPr>
              <w:t>--</w:t>
            </w:r>
          </w:p>
        </w:tc>
        <w:tc>
          <w:tcPr>
            <w:tcW w:w="419" w:type="pct"/>
            <w:gridSpan w:val="3"/>
            <w:tcBorders>
              <w:top w:val="single" w:color="000000" w:sz="4" w:space="0"/>
              <w:left w:val="single" w:color="000000" w:sz="4" w:space="0"/>
              <w:bottom w:val="single" w:color="000000" w:sz="12" w:space="0"/>
              <w:right w:val="single" w:color="000000" w:sz="4" w:space="0"/>
            </w:tcBorders>
            <w:vAlign w:val="center"/>
          </w:tcPr>
          <w:p w14:paraId="63FBE6D8">
            <w:pPr>
              <w:spacing w:line="240" w:lineRule="auto"/>
              <w:ind w:firstLine="0" w:firstLineChars="0"/>
              <w:jc w:val="center"/>
              <w:rPr>
                <w:color w:val="auto"/>
                <w:sz w:val="21"/>
                <w:szCs w:val="21"/>
              </w:rPr>
            </w:pPr>
            <w:r>
              <w:rPr>
                <w:color w:val="auto"/>
                <w:sz w:val="21"/>
                <w:szCs w:val="21"/>
                <w:lang w:bidi="ar"/>
              </w:rPr>
              <w:t>--</w:t>
            </w:r>
          </w:p>
        </w:tc>
        <w:tc>
          <w:tcPr>
            <w:tcW w:w="721" w:type="pct"/>
            <w:gridSpan w:val="2"/>
            <w:tcBorders>
              <w:top w:val="single" w:color="000000" w:sz="4" w:space="0"/>
              <w:left w:val="single" w:color="000000" w:sz="4" w:space="0"/>
              <w:bottom w:val="single" w:color="000000" w:sz="12" w:space="0"/>
              <w:right w:val="nil"/>
            </w:tcBorders>
            <w:vAlign w:val="center"/>
          </w:tcPr>
          <w:p w14:paraId="51D3D3A5">
            <w:pPr>
              <w:spacing w:line="240" w:lineRule="auto"/>
              <w:ind w:firstLine="0" w:firstLineChars="0"/>
              <w:jc w:val="center"/>
              <w:rPr>
                <w:color w:val="auto"/>
                <w:sz w:val="21"/>
                <w:szCs w:val="21"/>
              </w:rPr>
            </w:pPr>
            <w:r>
              <w:rPr>
                <w:color w:val="auto"/>
                <w:sz w:val="21"/>
                <w:szCs w:val="21"/>
                <w:lang w:bidi="ar"/>
              </w:rPr>
              <w:t>--</w:t>
            </w:r>
          </w:p>
        </w:tc>
      </w:tr>
    </w:tbl>
    <w:p w14:paraId="3B3B6149">
      <w:pPr>
        <w:ind w:firstLine="482"/>
        <w:jc w:val="center"/>
        <w:rPr>
          <w:b/>
          <w:color w:val="auto"/>
        </w:rPr>
      </w:pPr>
      <w:r>
        <w:rPr>
          <w:rFonts w:hint="eastAsia"/>
          <w:b/>
          <w:color w:val="auto"/>
        </w:rPr>
        <w:t>表6.7.7-3 环境风险评价自查表</w:t>
      </w:r>
    </w:p>
    <w:tbl>
      <w:tblPr>
        <w:tblStyle w:val="24"/>
        <w:tblW w:w="5000" w:type="pct"/>
        <w:jc w:val="center"/>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autofit"/>
        <w:tblCellMar>
          <w:top w:w="0" w:type="dxa"/>
          <w:left w:w="0" w:type="dxa"/>
          <w:bottom w:w="0" w:type="dxa"/>
          <w:right w:w="0" w:type="dxa"/>
        </w:tblCellMar>
      </w:tblPr>
      <w:tblGrid>
        <w:gridCol w:w="426"/>
        <w:gridCol w:w="642"/>
        <w:gridCol w:w="916"/>
        <w:gridCol w:w="424"/>
        <w:gridCol w:w="375"/>
        <w:gridCol w:w="715"/>
        <w:gridCol w:w="145"/>
        <w:gridCol w:w="320"/>
        <w:gridCol w:w="291"/>
        <w:gridCol w:w="539"/>
        <w:gridCol w:w="416"/>
        <w:gridCol w:w="687"/>
        <w:gridCol w:w="117"/>
        <w:gridCol w:w="322"/>
        <w:gridCol w:w="1003"/>
        <w:gridCol w:w="1596"/>
        <w:gridCol w:w="704"/>
      </w:tblGrid>
      <w:tr w14:paraId="4EA5A580">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tcBorders>
              <w:top w:val="single" w:color="000000" w:sz="12" w:space="0"/>
              <w:left w:val="nil"/>
              <w:bottom w:val="single" w:color="000000" w:sz="4" w:space="0"/>
              <w:right w:val="single" w:color="000000" w:sz="4" w:space="0"/>
            </w:tcBorders>
            <w:noWrap/>
            <w:vAlign w:val="center"/>
          </w:tcPr>
          <w:p w14:paraId="700FEF27">
            <w:pPr>
              <w:widowControl/>
              <w:spacing w:line="240" w:lineRule="auto"/>
              <w:ind w:firstLine="0" w:firstLineChars="0"/>
              <w:jc w:val="center"/>
              <w:rPr>
                <w:b/>
                <w:color w:val="auto"/>
                <w:kern w:val="0"/>
                <w:sz w:val="21"/>
                <w:szCs w:val="21"/>
              </w:rPr>
            </w:pPr>
            <w:r>
              <w:rPr>
                <w:b/>
                <w:color w:val="auto"/>
                <w:kern w:val="0"/>
                <w:sz w:val="21"/>
                <w:szCs w:val="21"/>
                <w:lang w:bidi="ar"/>
              </w:rPr>
              <w:t>工作内容</w:t>
            </w:r>
          </w:p>
        </w:tc>
        <w:tc>
          <w:tcPr>
            <w:tcW w:w="4449" w:type="pct"/>
            <w:gridSpan w:val="15"/>
            <w:tcBorders>
              <w:top w:val="single" w:color="000000" w:sz="12" w:space="0"/>
              <w:left w:val="single" w:color="000000" w:sz="4" w:space="0"/>
              <w:bottom w:val="single" w:color="000000" w:sz="4" w:space="0"/>
              <w:right w:val="nil"/>
            </w:tcBorders>
            <w:noWrap/>
            <w:vAlign w:val="center"/>
          </w:tcPr>
          <w:p w14:paraId="2E56AFDE">
            <w:pPr>
              <w:widowControl/>
              <w:spacing w:line="240" w:lineRule="auto"/>
              <w:ind w:firstLine="0" w:firstLineChars="0"/>
              <w:jc w:val="center"/>
              <w:rPr>
                <w:b/>
                <w:color w:val="auto"/>
                <w:kern w:val="0"/>
                <w:sz w:val="21"/>
                <w:szCs w:val="21"/>
              </w:rPr>
            </w:pPr>
            <w:r>
              <w:rPr>
                <w:b/>
                <w:color w:val="auto"/>
                <w:kern w:val="0"/>
                <w:sz w:val="21"/>
                <w:szCs w:val="21"/>
                <w:lang w:bidi="ar"/>
              </w:rPr>
              <w:t>完成情况</w:t>
            </w:r>
          </w:p>
        </w:tc>
      </w:tr>
      <w:tr w14:paraId="7B2540B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restart"/>
            <w:tcBorders>
              <w:top w:val="single" w:color="000000" w:sz="4" w:space="0"/>
              <w:left w:val="nil"/>
              <w:bottom w:val="single" w:color="000000" w:sz="4" w:space="0"/>
              <w:right w:val="single" w:color="000000" w:sz="4" w:space="0"/>
            </w:tcBorders>
            <w:vAlign w:val="center"/>
          </w:tcPr>
          <w:p w14:paraId="43CAEEC6">
            <w:pPr>
              <w:widowControl/>
              <w:spacing w:line="240" w:lineRule="auto"/>
              <w:ind w:firstLine="0" w:firstLineChars="0"/>
              <w:jc w:val="left"/>
              <w:rPr>
                <w:color w:val="auto"/>
                <w:kern w:val="0"/>
                <w:sz w:val="21"/>
                <w:szCs w:val="21"/>
              </w:rPr>
            </w:pPr>
            <w:r>
              <w:rPr>
                <w:color w:val="auto"/>
                <w:kern w:val="0"/>
                <w:sz w:val="21"/>
                <w:szCs w:val="21"/>
                <w:lang w:bidi="ar"/>
              </w:rPr>
              <w:t>风险调查</w:t>
            </w:r>
          </w:p>
        </w:tc>
        <w:tc>
          <w:tcPr>
            <w:tcW w:w="331" w:type="pct"/>
            <w:vMerge w:val="restart"/>
            <w:tcBorders>
              <w:top w:val="single" w:color="000000" w:sz="4" w:space="0"/>
              <w:left w:val="single" w:color="000000" w:sz="4" w:space="0"/>
              <w:bottom w:val="single" w:color="000000" w:sz="4" w:space="0"/>
              <w:right w:val="single" w:color="000000" w:sz="4" w:space="0"/>
            </w:tcBorders>
            <w:vAlign w:val="center"/>
          </w:tcPr>
          <w:p w14:paraId="5B370283">
            <w:pPr>
              <w:widowControl/>
              <w:spacing w:line="240" w:lineRule="auto"/>
              <w:ind w:firstLine="0" w:firstLineChars="0"/>
              <w:jc w:val="center"/>
              <w:rPr>
                <w:color w:val="auto"/>
                <w:kern w:val="0"/>
                <w:sz w:val="21"/>
                <w:szCs w:val="21"/>
              </w:rPr>
            </w:pPr>
            <w:r>
              <w:rPr>
                <w:color w:val="auto"/>
                <w:kern w:val="0"/>
                <w:sz w:val="21"/>
                <w:szCs w:val="21"/>
                <w:lang w:bidi="ar"/>
              </w:rPr>
              <w:t>危险物质</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68683A99">
            <w:pPr>
              <w:widowControl/>
              <w:spacing w:line="240" w:lineRule="auto"/>
              <w:ind w:firstLine="0" w:firstLineChars="0"/>
              <w:jc w:val="center"/>
              <w:rPr>
                <w:color w:val="auto"/>
                <w:kern w:val="0"/>
                <w:sz w:val="21"/>
                <w:szCs w:val="21"/>
              </w:rPr>
            </w:pPr>
            <w:r>
              <w:rPr>
                <w:color w:val="auto"/>
                <w:kern w:val="0"/>
                <w:sz w:val="21"/>
                <w:szCs w:val="21"/>
                <w:lang w:bidi="ar"/>
              </w:rPr>
              <w:t>名称</w:t>
            </w:r>
          </w:p>
        </w:tc>
        <w:tc>
          <w:tcPr>
            <w:tcW w:w="3974" w:type="pct"/>
            <w:gridSpan w:val="14"/>
            <w:vMerge w:val="restart"/>
            <w:tcBorders>
              <w:top w:val="single" w:color="000000" w:sz="4" w:space="0"/>
              <w:left w:val="single" w:color="000000" w:sz="4" w:space="0"/>
              <w:right w:val="nil"/>
            </w:tcBorders>
            <w:noWrap/>
            <w:vAlign w:val="center"/>
          </w:tcPr>
          <w:p w14:paraId="019CE5B7">
            <w:pPr>
              <w:spacing w:line="240" w:lineRule="auto"/>
              <w:ind w:firstLine="0" w:firstLineChars="0"/>
              <w:jc w:val="center"/>
              <w:rPr>
                <w:color w:val="auto"/>
                <w:sz w:val="21"/>
                <w:szCs w:val="21"/>
              </w:rPr>
            </w:pPr>
            <w:r>
              <w:rPr>
                <w:color w:val="auto"/>
                <w:sz w:val="21"/>
                <w:szCs w:val="21"/>
              </w:rPr>
              <w:t>详见表2.3</w:t>
            </w:r>
            <w:r>
              <w:rPr>
                <w:rFonts w:hint="eastAsia"/>
                <w:color w:val="auto"/>
                <w:sz w:val="21"/>
                <w:szCs w:val="21"/>
              </w:rPr>
              <w:t>.1</w:t>
            </w:r>
            <w:r>
              <w:rPr>
                <w:color w:val="auto"/>
                <w:sz w:val="21"/>
                <w:szCs w:val="21"/>
              </w:rPr>
              <w:t>-7</w:t>
            </w:r>
          </w:p>
        </w:tc>
      </w:tr>
      <w:tr w14:paraId="2267AC8E">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top w:val="single" w:color="000000" w:sz="4" w:space="0"/>
              <w:left w:val="nil"/>
              <w:bottom w:val="single" w:color="000000" w:sz="4" w:space="0"/>
              <w:right w:val="single" w:color="000000" w:sz="4" w:space="0"/>
            </w:tcBorders>
            <w:vAlign w:val="center"/>
          </w:tcPr>
          <w:p w14:paraId="5F2FD4BD">
            <w:pPr>
              <w:spacing w:line="240" w:lineRule="auto"/>
              <w:ind w:firstLine="0" w:firstLineChars="0"/>
              <w:rPr>
                <w:color w:val="auto"/>
                <w:sz w:val="21"/>
                <w:szCs w:val="21"/>
              </w:rPr>
            </w:pPr>
          </w:p>
        </w:tc>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49014794">
            <w:pPr>
              <w:spacing w:line="240" w:lineRule="auto"/>
              <w:ind w:firstLine="0" w:firstLineChars="0"/>
              <w:rPr>
                <w:color w:val="auto"/>
                <w:sz w:val="21"/>
                <w:szCs w:val="21"/>
              </w:rPr>
            </w:pP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5123C857">
            <w:pPr>
              <w:widowControl/>
              <w:spacing w:line="240" w:lineRule="auto"/>
              <w:ind w:firstLine="0" w:firstLineChars="0"/>
              <w:jc w:val="center"/>
              <w:rPr>
                <w:color w:val="auto"/>
                <w:kern w:val="0"/>
                <w:sz w:val="21"/>
                <w:szCs w:val="21"/>
              </w:rPr>
            </w:pPr>
            <w:r>
              <w:rPr>
                <w:color w:val="auto"/>
                <w:kern w:val="0"/>
                <w:sz w:val="21"/>
                <w:szCs w:val="21"/>
                <w:lang w:bidi="ar"/>
              </w:rPr>
              <w:t>存在总量/t</w:t>
            </w:r>
          </w:p>
        </w:tc>
        <w:tc>
          <w:tcPr>
            <w:tcW w:w="3974" w:type="pct"/>
            <w:gridSpan w:val="14"/>
            <w:vMerge w:val="continue"/>
            <w:tcBorders>
              <w:left w:val="single" w:color="000000" w:sz="4" w:space="0"/>
              <w:right w:val="nil"/>
            </w:tcBorders>
            <w:noWrap/>
            <w:vAlign w:val="center"/>
          </w:tcPr>
          <w:p w14:paraId="64C987B2">
            <w:pPr>
              <w:spacing w:line="240" w:lineRule="auto"/>
              <w:ind w:firstLine="0" w:firstLineChars="0"/>
              <w:jc w:val="center"/>
              <w:rPr>
                <w:color w:val="auto"/>
                <w:sz w:val="21"/>
                <w:szCs w:val="21"/>
              </w:rPr>
            </w:pPr>
          </w:p>
        </w:tc>
      </w:tr>
      <w:tr w14:paraId="2909A60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top w:val="single" w:color="000000" w:sz="4" w:space="0"/>
              <w:left w:val="nil"/>
              <w:bottom w:val="single" w:color="000000" w:sz="4" w:space="0"/>
              <w:right w:val="single" w:color="000000" w:sz="4" w:space="0"/>
            </w:tcBorders>
            <w:vAlign w:val="center"/>
          </w:tcPr>
          <w:p w14:paraId="7E5384D8">
            <w:pPr>
              <w:spacing w:line="240" w:lineRule="auto"/>
              <w:ind w:firstLine="0" w:firstLineChars="0"/>
              <w:rPr>
                <w:color w:val="auto"/>
                <w:sz w:val="21"/>
                <w:szCs w:val="21"/>
              </w:rPr>
            </w:pPr>
          </w:p>
        </w:tc>
        <w:tc>
          <w:tcPr>
            <w:tcW w:w="331" w:type="pct"/>
            <w:vMerge w:val="restart"/>
            <w:tcBorders>
              <w:top w:val="single" w:color="000000" w:sz="4" w:space="0"/>
              <w:left w:val="single" w:color="000000" w:sz="4" w:space="0"/>
              <w:bottom w:val="single" w:color="000000" w:sz="4" w:space="0"/>
              <w:right w:val="single" w:color="000000" w:sz="4" w:space="0"/>
            </w:tcBorders>
            <w:noWrap/>
            <w:vAlign w:val="center"/>
          </w:tcPr>
          <w:p w14:paraId="651C5AB0">
            <w:pPr>
              <w:widowControl/>
              <w:spacing w:line="240" w:lineRule="auto"/>
              <w:ind w:firstLine="0" w:firstLineChars="0"/>
              <w:jc w:val="center"/>
              <w:rPr>
                <w:color w:val="auto"/>
                <w:kern w:val="0"/>
                <w:sz w:val="21"/>
                <w:szCs w:val="21"/>
              </w:rPr>
            </w:pPr>
            <w:r>
              <w:rPr>
                <w:color w:val="auto"/>
                <w:kern w:val="0"/>
                <w:sz w:val="21"/>
                <w:szCs w:val="21"/>
                <w:lang w:bidi="ar"/>
              </w:rPr>
              <w:t>环境敏感性</w:t>
            </w:r>
          </w:p>
        </w:tc>
        <w:tc>
          <w:tcPr>
            <w:tcW w:w="475" w:type="pct"/>
            <w:vMerge w:val="restart"/>
            <w:tcBorders>
              <w:top w:val="single" w:color="000000" w:sz="4" w:space="0"/>
              <w:left w:val="single" w:color="000000" w:sz="4" w:space="0"/>
              <w:bottom w:val="single" w:color="000000" w:sz="4" w:space="0"/>
              <w:right w:val="single" w:color="000000" w:sz="4" w:space="0"/>
            </w:tcBorders>
            <w:noWrap/>
            <w:vAlign w:val="center"/>
          </w:tcPr>
          <w:p w14:paraId="0BCFF479">
            <w:pPr>
              <w:widowControl/>
              <w:spacing w:line="240" w:lineRule="auto"/>
              <w:ind w:firstLine="0" w:firstLineChars="0"/>
              <w:jc w:val="center"/>
              <w:rPr>
                <w:color w:val="auto"/>
                <w:kern w:val="0"/>
                <w:sz w:val="21"/>
                <w:szCs w:val="21"/>
              </w:rPr>
            </w:pPr>
            <w:r>
              <w:rPr>
                <w:color w:val="auto"/>
                <w:kern w:val="0"/>
                <w:sz w:val="21"/>
                <w:szCs w:val="21"/>
                <w:lang w:bidi="ar"/>
              </w:rPr>
              <w:t>大气</w:t>
            </w:r>
          </w:p>
        </w:tc>
        <w:tc>
          <w:tcPr>
            <w:tcW w:w="2031" w:type="pct"/>
            <w:gridSpan w:val="9"/>
            <w:tcBorders>
              <w:top w:val="single" w:color="000000" w:sz="4" w:space="0"/>
              <w:left w:val="single" w:color="000000" w:sz="4" w:space="0"/>
              <w:bottom w:val="single" w:color="000000" w:sz="4" w:space="0"/>
              <w:right w:val="single" w:color="000000" w:sz="4" w:space="0"/>
            </w:tcBorders>
            <w:noWrap/>
            <w:vAlign w:val="center"/>
          </w:tcPr>
          <w:p w14:paraId="43E273F7">
            <w:pPr>
              <w:widowControl/>
              <w:spacing w:line="240" w:lineRule="auto"/>
              <w:ind w:firstLine="0" w:firstLineChars="0"/>
              <w:jc w:val="center"/>
              <w:rPr>
                <w:color w:val="auto"/>
                <w:kern w:val="0"/>
                <w:sz w:val="21"/>
                <w:szCs w:val="21"/>
              </w:rPr>
            </w:pPr>
            <w:r>
              <w:rPr>
                <w:color w:val="auto"/>
                <w:kern w:val="0"/>
                <w:sz w:val="21"/>
                <w:szCs w:val="21"/>
                <w:lang w:bidi="ar"/>
              </w:rPr>
              <w:t>500m范围内人口数</w:t>
            </w:r>
            <w:r>
              <w:rPr>
                <w:rFonts w:hint="eastAsia"/>
                <w:color w:val="auto"/>
                <w:kern w:val="0"/>
                <w:sz w:val="21"/>
                <w:szCs w:val="21"/>
                <w:u w:val="single"/>
                <w:lang w:bidi="ar"/>
              </w:rPr>
              <w:t>45</w:t>
            </w:r>
            <w:r>
              <w:rPr>
                <w:color w:val="auto"/>
                <w:kern w:val="0"/>
                <w:sz w:val="21"/>
                <w:szCs w:val="21"/>
                <w:u w:val="single"/>
                <w:lang w:bidi="ar"/>
              </w:rPr>
              <w:t>0</w:t>
            </w:r>
            <w:r>
              <w:rPr>
                <w:color w:val="auto"/>
                <w:kern w:val="0"/>
                <w:sz w:val="21"/>
                <w:szCs w:val="21"/>
                <w:lang w:bidi="ar"/>
              </w:rPr>
              <w:t>人</w:t>
            </w:r>
          </w:p>
        </w:tc>
        <w:tc>
          <w:tcPr>
            <w:tcW w:w="1943" w:type="pct"/>
            <w:gridSpan w:val="5"/>
            <w:tcBorders>
              <w:top w:val="single" w:color="000000" w:sz="4" w:space="0"/>
              <w:left w:val="single" w:color="000000" w:sz="4" w:space="0"/>
              <w:bottom w:val="single" w:color="000000" w:sz="4" w:space="0"/>
              <w:right w:val="nil"/>
            </w:tcBorders>
            <w:noWrap/>
            <w:vAlign w:val="center"/>
          </w:tcPr>
          <w:p w14:paraId="6187926F">
            <w:pPr>
              <w:widowControl/>
              <w:spacing w:line="240" w:lineRule="auto"/>
              <w:ind w:firstLine="0" w:firstLineChars="0"/>
              <w:jc w:val="center"/>
              <w:rPr>
                <w:color w:val="auto"/>
                <w:kern w:val="0"/>
                <w:sz w:val="21"/>
                <w:szCs w:val="21"/>
              </w:rPr>
            </w:pPr>
            <w:r>
              <w:rPr>
                <w:color w:val="auto"/>
                <w:kern w:val="0"/>
                <w:sz w:val="21"/>
                <w:szCs w:val="21"/>
                <w:lang w:bidi="ar"/>
              </w:rPr>
              <w:t>5km范围内人口数</w:t>
            </w:r>
            <w:r>
              <w:rPr>
                <w:rFonts w:hint="eastAsia"/>
                <w:color w:val="auto"/>
                <w:kern w:val="0"/>
                <w:sz w:val="21"/>
                <w:szCs w:val="21"/>
                <w:u w:val="single"/>
                <w:lang w:bidi="ar"/>
              </w:rPr>
              <w:t>1289</w:t>
            </w:r>
            <w:r>
              <w:rPr>
                <w:color w:val="auto"/>
                <w:kern w:val="0"/>
                <w:sz w:val="21"/>
                <w:szCs w:val="21"/>
                <w:u w:val="single"/>
                <w:lang w:bidi="ar"/>
              </w:rPr>
              <w:t>0</w:t>
            </w:r>
            <w:r>
              <w:rPr>
                <w:color w:val="auto"/>
                <w:kern w:val="0"/>
                <w:sz w:val="21"/>
                <w:szCs w:val="21"/>
                <w:lang w:bidi="ar"/>
              </w:rPr>
              <w:t>人</w:t>
            </w:r>
          </w:p>
        </w:tc>
      </w:tr>
      <w:tr w14:paraId="72A0E46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top w:val="single" w:color="000000" w:sz="4" w:space="0"/>
              <w:left w:val="nil"/>
              <w:bottom w:val="single" w:color="000000" w:sz="4" w:space="0"/>
              <w:right w:val="single" w:color="000000" w:sz="4" w:space="0"/>
            </w:tcBorders>
            <w:vAlign w:val="center"/>
          </w:tcPr>
          <w:p w14:paraId="723273F7">
            <w:pPr>
              <w:spacing w:line="240" w:lineRule="auto"/>
              <w:ind w:firstLine="0" w:firstLineChars="0"/>
              <w:rPr>
                <w:color w:val="auto"/>
                <w:sz w:val="21"/>
                <w:szCs w:val="21"/>
              </w:rPr>
            </w:pPr>
          </w:p>
        </w:tc>
        <w:tc>
          <w:tcPr>
            <w:tcW w:w="331" w:type="pct"/>
            <w:vMerge w:val="continue"/>
            <w:tcBorders>
              <w:top w:val="single" w:color="000000" w:sz="4" w:space="0"/>
              <w:left w:val="single" w:color="000000" w:sz="4" w:space="0"/>
              <w:bottom w:val="single" w:color="000000" w:sz="4" w:space="0"/>
              <w:right w:val="single" w:color="000000" w:sz="4" w:space="0"/>
            </w:tcBorders>
            <w:noWrap/>
            <w:vAlign w:val="center"/>
          </w:tcPr>
          <w:p w14:paraId="1497B163">
            <w:pPr>
              <w:spacing w:line="240" w:lineRule="auto"/>
              <w:ind w:firstLine="0" w:firstLineChars="0"/>
              <w:rPr>
                <w:color w:val="auto"/>
                <w:sz w:val="21"/>
                <w:szCs w:val="21"/>
              </w:rPr>
            </w:pPr>
          </w:p>
        </w:tc>
        <w:tc>
          <w:tcPr>
            <w:tcW w:w="475" w:type="pct"/>
            <w:vMerge w:val="continue"/>
            <w:tcBorders>
              <w:top w:val="single" w:color="000000" w:sz="4" w:space="0"/>
              <w:left w:val="single" w:color="000000" w:sz="4" w:space="0"/>
              <w:bottom w:val="single" w:color="000000" w:sz="4" w:space="0"/>
              <w:right w:val="single" w:color="000000" w:sz="4" w:space="0"/>
            </w:tcBorders>
            <w:noWrap/>
            <w:vAlign w:val="center"/>
          </w:tcPr>
          <w:p w14:paraId="1A7CD0C0">
            <w:pPr>
              <w:spacing w:line="240" w:lineRule="auto"/>
              <w:ind w:firstLine="0" w:firstLineChars="0"/>
              <w:rPr>
                <w:color w:val="auto"/>
                <w:sz w:val="21"/>
                <w:szCs w:val="21"/>
              </w:rPr>
            </w:pPr>
          </w:p>
        </w:tc>
        <w:tc>
          <w:tcPr>
            <w:tcW w:w="3608" w:type="pct"/>
            <w:gridSpan w:val="13"/>
            <w:tcBorders>
              <w:top w:val="single" w:color="000000" w:sz="4" w:space="0"/>
              <w:left w:val="single" w:color="000000" w:sz="4" w:space="0"/>
              <w:bottom w:val="single" w:color="000000" w:sz="4" w:space="0"/>
              <w:right w:val="single" w:color="000000" w:sz="4" w:space="0"/>
            </w:tcBorders>
            <w:noWrap/>
            <w:vAlign w:val="center"/>
          </w:tcPr>
          <w:p w14:paraId="4161088D">
            <w:pPr>
              <w:widowControl/>
              <w:spacing w:line="240" w:lineRule="auto"/>
              <w:ind w:firstLine="0" w:firstLineChars="0"/>
              <w:jc w:val="center"/>
              <w:rPr>
                <w:color w:val="auto"/>
                <w:kern w:val="0"/>
                <w:sz w:val="21"/>
                <w:szCs w:val="21"/>
              </w:rPr>
            </w:pPr>
            <w:r>
              <w:rPr>
                <w:color w:val="auto"/>
                <w:kern w:val="0"/>
                <w:sz w:val="21"/>
                <w:szCs w:val="21"/>
                <w:lang w:bidi="ar"/>
              </w:rPr>
              <w:t>每公里管段周边200m范围内人口数（最大）</w:t>
            </w:r>
          </w:p>
        </w:tc>
        <w:tc>
          <w:tcPr>
            <w:tcW w:w="366" w:type="pct"/>
            <w:tcBorders>
              <w:top w:val="single" w:color="000000" w:sz="4" w:space="0"/>
              <w:left w:val="single" w:color="000000" w:sz="4" w:space="0"/>
              <w:bottom w:val="single" w:color="000000" w:sz="4" w:space="0"/>
              <w:right w:val="nil"/>
            </w:tcBorders>
            <w:noWrap/>
            <w:vAlign w:val="center"/>
          </w:tcPr>
          <w:p w14:paraId="4291E8E8">
            <w:pPr>
              <w:widowControl/>
              <w:spacing w:line="240" w:lineRule="auto"/>
              <w:ind w:firstLine="0" w:firstLineChars="0"/>
              <w:jc w:val="center"/>
              <w:rPr>
                <w:color w:val="auto"/>
                <w:kern w:val="0"/>
                <w:sz w:val="21"/>
                <w:szCs w:val="21"/>
              </w:rPr>
            </w:pPr>
            <w:r>
              <w:rPr>
                <w:color w:val="auto"/>
                <w:kern w:val="0"/>
                <w:sz w:val="21"/>
                <w:szCs w:val="21"/>
                <w:u w:val="single"/>
                <w:lang w:bidi="ar"/>
              </w:rPr>
              <w:t>/</w:t>
            </w:r>
            <w:r>
              <w:rPr>
                <w:color w:val="auto"/>
                <w:kern w:val="0"/>
                <w:sz w:val="21"/>
                <w:szCs w:val="21"/>
                <w:lang w:bidi="ar"/>
              </w:rPr>
              <w:t>人</w:t>
            </w:r>
          </w:p>
        </w:tc>
      </w:tr>
      <w:tr w14:paraId="53EBA09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top w:val="single" w:color="000000" w:sz="4" w:space="0"/>
              <w:left w:val="nil"/>
              <w:bottom w:val="single" w:color="000000" w:sz="4" w:space="0"/>
              <w:right w:val="single" w:color="000000" w:sz="4" w:space="0"/>
            </w:tcBorders>
            <w:vAlign w:val="center"/>
          </w:tcPr>
          <w:p w14:paraId="2166E7E9">
            <w:pPr>
              <w:spacing w:line="240" w:lineRule="auto"/>
              <w:ind w:firstLine="0" w:firstLineChars="0"/>
              <w:rPr>
                <w:color w:val="auto"/>
                <w:sz w:val="21"/>
                <w:szCs w:val="21"/>
              </w:rPr>
            </w:pPr>
          </w:p>
        </w:tc>
        <w:tc>
          <w:tcPr>
            <w:tcW w:w="331" w:type="pct"/>
            <w:vMerge w:val="continue"/>
            <w:tcBorders>
              <w:top w:val="single" w:color="000000" w:sz="4" w:space="0"/>
              <w:left w:val="single" w:color="000000" w:sz="4" w:space="0"/>
              <w:bottom w:val="single" w:color="000000" w:sz="4" w:space="0"/>
              <w:right w:val="single" w:color="000000" w:sz="4" w:space="0"/>
            </w:tcBorders>
            <w:noWrap/>
            <w:vAlign w:val="center"/>
          </w:tcPr>
          <w:p w14:paraId="03DB9ACF">
            <w:pPr>
              <w:spacing w:line="240" w:lineRule="auto"/>
              <w:ind w:firstLine="0" w:firstLineChars="0"/>
              <w:rPr>
                <w:color w:val="auto"/>
                <w:sz w:val="21"/>
                <w:szCs w:val="21"/>
              </w:rPr>
            </w:pPr>
          </w:p>
        </w:tc>
        <w:tc>
          <w:tcPr>
            <w:tcW w:w="475" w:type="pct"/>
            <w:vMerge w:val="restart"/>
            <w:tcBorders>
              <w:top w:val="single" w:color="000000" w:sz="4" w:space="0"/>
              <w:left w:val="single" w:color="000000" w:sz="4" w:space="0"/>
              <w:bottom w:val="single" w:color="000000" w:sz="4" w:space="0"/>
              <w:right w:val="single" w:color="000000" w:sz="4" w:space="0"/>
            </w:tcBorders>
            <w:noWrap/>
            <w:vAlign w:val="center"/>
          </w:tcPr>
          <w:p w14:paraId="1ACE9D6A">
            <w:pPr>
              <w:widowControl/>
              <w:spacing w:line="240" w:lineRule="auto"/>
              <w:ind w:firstLine="0" w:firstLineChars="0"/>
              <w:jc w:val="center"/>
              <w:rPr>
                <w:color w:val="auto"/>
                <w:kern w:val="0"/>
                <w:sz w:val="21"/>
                <w:szCs w:val="21"/>
              </w:rPr>
            </w:pPr>
            <w:r>
              <w:rPr>
                <w:color w:val="auto"/>
                <w:kern w:val="0"/>
                <w:sz w:val="21"/>
                <w:szCs w:val="21"/>
                <w:lang w:bidi="ar"/>
              </w:rPr>
              <w:t>地表水</w:t>
            </w:r>
          </w:p>
        </w:tc>
        <w:tc>
          <w:tcPr>
            <w:tcW w:w="1458" w:type="pct"/>
            <w:gridSpan w:val="7"/>
            <w:tcBorders>
              <w:top w:val="single" w:color="000000" w:sz="4" w:space="0"/>
              <w:left w:val="single" w:color="000000" w:sz="4" w:space="0"/>
              <w:bottom w:val="single" w:color="000000" w:sz="4" w:space="0"/>
              <w:right w:val="single" w:color="000000" w:sz="4" w:space="0"/>
            </w:tcBorders>
            <w:noWrap/>
            <w:vAlign w:val="center"/>
          </w:tcPr>
          <w:p w14:paraId="0379B76A">
            <w:pPr>
              <w:widowControl/>
              <w:spacing w:line="240" w:lineRule="auto"/>
              <w:ind w:firstLine="0" w:firstLineChars="0"/>
              <w:jc w:val="center"/>
              <w:rPr>
                <w:color w:val="auto"/>
                <w:kern w:val="0"/>
                <w:sz w:val="21"/>
                <w:szCs w:val="21"/>
              </w:rPr>
            </w:pPr>
            <w:r>
              <w:rPr>
                <w:color w:val="auto"/>
                <w:kern w:val="0"/>
                <w:sz w:val="21"/>
                <w:szCs w:val="21"/>
                <w:lang w:bidi="ar"/>
              </w:rPr>
              <w:t>地表水功能敏感性</w:t>
            </w:r>
          </w:p>
        </w:tc>
        <w:tc>
          <w:tcPr>
            <w:tcW w:w="1322" w:type="pct"/>
            <w:gridSpan w:val="5"/>
            <w:tcBorders>
              <w:top w:val="single" w:color="000000" w:sz="4" w:space="0"/>
              <w:left w:val="single" w:color="000000" w:sz="4" w:space="0"/>
              <w:bottom w:val="single" w:color="000000" w:sz="4" w:space="0"/>
              <w:right w:val="single" w:color="000000" w:sz="4" w:space="0"/>
            </w:tcBorders>
            <w:noWrap/>
            <w:vAlign w:val="center"/>
          </w:tcPr>
          <w:p w14:paraId="6F7E110E">
            <w:pPr>
              <w:widowControl/>
              <w:spacing w:line="240" w:lineRule="auto"/>
              <w:ind w:firstLine="0" w:firstLineChars="0"/>
              <w:jc w:val="center"/>
              <w:rPr>
                <w:color w:val="auto"/>
                <w:kern w:val="0"/>
                <w:sz w:val="21"/>
                <w:szCs w:val="21"/>
              </w:rPr>
            </w:pPr>
            <w:r>
              <w:rPr>
                <w:color w:val="auto"/>
                <w:kern w:val="0"/>
                <w:sz w:val="21"/>
                <w:szCs w:val="21"/>
                <w:lang w:bidi="ar"/>
              </w:rPr>
              <w:t>F1□</w:t>
            </w:r>
          </w:p>
        </w:tc>
        <w:tc>
          <w:tcPr>
            <w:tcW w:w="829" w:type="pct"/>
            <w:tcBorders>
              <w:top w:val="single" w:color="000000" w:sz="4" w:space="0"/>
              <w:left w:val="single" w:color="000000" w:sz="4" w:space="0"/>
              <w:bottom w:val="single" w:color="000000" w:sz="4" w:space="0"/>
              <w:right w:val="single" w:color="000000" w:sz="4" w:space="0"/>
            </w:tcBorders>
            <w:noWrap/>
            <w:vAlign w:val="center"/>
          </w:tcPr>
          <w:p w14:paraId="52614517">
            <w:pPr>
              <w:widowControl/>
              <w:spacing w:line="240" w:lineRule="auto"/>
              <w:ind w:firstLine="0" w:firstLineChars="0"/>
              <w:jc w:val="center"/>
              <w:rPr>
                <w:color w:val="auto"/>
                <w:kern w:val="0"/>
                <w:sz w:val="21"/>
                <w:szCs w:val="21"/>
              </w:rPr>
            </w:pPr>
            <w:r>
              <w:rPr>
                <w:color w:val="auto"/>
                <w:kern w:val="0"/>
                <w:sz w:val="21"/>
                <w:szCs w:val="21"/>
                <w:lang w:bidi="ar"/>
              </w:rPr>
              <w:t>F2√</w:t>
            </w:r>
          </w:p>
        </w:tc>
        <w:tc>
          <w:tcPr>
            <w:tcW w:w="366" w:type="pct"/>
            <w:tcBorders>
              <w:top w:val="single" w:color="000000" w:sz="4" w:space="0"/>
              <w:left w:val="single" w:color="000000" w:sz="4" w:space="0"/>
              <w:bottom w:val="single" w:color="000000" w:sz="4" w:space="0"/>
              <w:right w:val="nil"/>
            </w:tcBorders>
            <w:noWrap/>
            <w:vAlign w:val="center"/>
          </w:tcPr>
          <w:p w14:paraId="78A458B2">
            <w:pPr>
              <w:widowControl/>
              <w:spacing w:line="240" w:lineRule="auto"/>
              <w:ind w:firstLine="0" w:firstLineChars="0"/>
              <w:jc w:val="center"/>
              <w:rPr>
                <w:color w:val="auto"/>
                <w:kern w:val="0"/>
                <w:sz w:val="21"/>
                <w:szCs w:val="21"/>
              </w:rPr>
            </w:pPr>
            <w:r>
              <w:rPr>
                <w:color w:val="auto"/>
                <w:kern w:val="0"/>
                <w:sz w:val="21"/>
                <w:szCs w:val="21"/>
                <w:lang w:bidi="ar"/>
              </w:rPr>
              <w:t>F3□</w:t>
            </w:r>
          </w:p>
        </w:tc>
      </w:tr>
      <w:tr w14:paraId="6EE41B0E">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top w:val="single" w:color="000000" w:sz="4" w:space="0"/>
              <w:left w:val="nil"/>
              <w:bottom w:val="single" w:color="000000" w:sz="4" w:space="0"/>
              <w:right w:val="single" w:color="000000" w:sz="4" w:space="0"/>
            </w:tcBorders>
            <w:vAlign w:val="center"/>
          </w:tcPr>
          <w:p w14:paraId="117CD1D8">
            <w:pPr>
              <w:spacing w:line="240" w:lineRule="auto"/>
              <w:ind w:firstLine="0" w:firstLineChars="0"/>
              <w:rPr>
                <w:color w:val="auto"/>
                <w:sz w:val="21"/>
                <w:szCs w:val="21"/>
              </w:rPr>
            </w:pPr>
          </w:p>
        </w:tc>
        <w:tc>
          <w:tcPr>
            <w:tcW w:w="331" w:type="pct"/>
            <w:vMerge w:val="continue"/>
            <w:tcBorders>
              <w:top w:val="single" w:color="000000" w:sz="4" w:space="0"/>
              <w:left w:val="single" w:color="000000" w:sz="4" w:space="0"/>
              <w:bottom w:val="single" w:color="000000" w:sz="4" w:space="0"/>
              <w:right w:val="single" w:color="000000" w:sz="4" w:space="0"/>
            </w:tcBorders>
            <w:noWrap/>
            <w:vAlign w:val="center"/>
          </w:tcPr>
          <w:p w14:paraId="7C8B1126">
            <w:pPr>
              <w:spacing w:line="240" w:lineRule="auto"/>
              <w:ind w:firstLine="0" w:firstLineChars="0"/>
              <w:rPr>
                <w:color w:val="auto"/>
                <w:sz w:val="21"/>
                <w:szCs w:val="21"/>
              </w:rPr>
            </w:pPr>
          </w:p>
        </w:tc>
        <w:tc>
          <w:tcPr>
            <w:tcW w:w="475" w:type="pct"/>
            <w:vMerge w:val="continue"/>
            <w:tcBorders>
              <w:top w:val="single" w:color="000000" w:sz="4" w:space="0"/>
              <w:left w:val="single" w:color="000000" w:sz="4" w:space="0"/>
              <w:bottom w:val="single" w:color="000000" w:sz="4" w:space="0"/>
              <w:right w:val="single" w:color="000000" w:sz="4" w:space="0"/>
            </w:tcBorders>
            <w:noWrap/>
            <w:vAlign w:val="center"/>
          </w:tcPr>
          <w:p w14:paraId="7E1DDC28">
            <w:pPr>
              <w:spacing w:line="240" w:lineRule="auto"/>
              <w:ind w:firstLine="0" w:firstLineChars="0"/>
              <w:rPr>
                <w:color w:val="auto"/>
                <w:sz w:val="21"/>
                <w:szCs w:val="21"/>
              </w:rPr>
            </w:pPr>
          </w:p>
        </w:tc>
        <w:tc>
          <w:tcPr>
            <w:tcW w:w="1458" w:type="pct"/>
            <w:gridSpan w:val="7"/>
            <w:tcBorders>
              <w:top w:val="single" w:color="000000" w:sz="4" w:space="0"/>
              <w:left w:val="single" w:color="000000" w:sz="4" w:space="0"/>
              <w:bottom w:val="single" w:color="000000" w:sz="4" w:space="0"/>
              <w:right w:val="single" w:color="000000" w:sz="4" w:space="0"/>
            </w:tcBorders>
            <w:noWrap/>
            <w:vAlign w:val="center"/>
          </w:tcPr>
          <w:p w14:paraId="5A93E663">
            <w:pPr>
              <w:widowControl/>
              <w:spacing w:line="240" w:lineRule="auto"/>
              <w:ind w:firstLine="0" w:firstLineChars="0"/>
              <w:jc w:val="center"/>
              <w:rPr>
                <w:color w:val="auto"/>
                <w:kern w:val="0"/>
                <w:sz w:val="21"/>
                <w:szCs w:val="21"/>
              </w:rPr>
            </w:pPr>
            <w:r>
              <w:rPr>
                <w:color w:val="auto"/>
                <w:kern w:val="0"/>
                <w:sz w:val="21"/>
                <w:szCs w:val="21"/>
                <w:lang w:bidi="ar"/>
              </w:rPr>
              <w:t>环境敏感目标分级</w:t>
            </w:r>
          </w:p>
        </w:tc>
        <w:tc>
          <w:tcPr>
            <w:tcW w:w="1322" w:type="pct"/>
            <w:gridSpan w:val="5"/>
            <w:tcBorders>
              <w:top w:val="single" w:color="000000" w:sz="4" w:space="0"/>
              <w:left w:val="single" w:color="000000" w:sz="4" w:space="0"/>
              <w:bottom w:val="single" w:color="000000" w:sz="4" w:space="0"/>
              <w:right w:val="single" w:color="000000" w:sz="4" w:space="0"/>
            </w:tcBorders>
            <w:noWrap/>
            <w:vAlign w:val="center"/>
          </w:tcPr>
          <w:p w14:paraId="76FA478B">
            <w:pPr>
              <w:widowControl/>
              <w:spacing w:line="240" w:lineRule="auto"/>
              <w:ind w:firstLine="0" w:firstLineChars="0"/>
              <w:jc w:val="center"/>
              <w:rPr>
                <w:color w:val="auto"/>
                <w:kern w:val="0"/>
                <w:sz w:val="21"/>
                <w:szCs w:val="21"/>
              </w:rPr>
            </w:pPr>
            <w:r>
              <w:rPr>
                <w:color w:val="auto"/>
                <w:kern w:val="0"/>
                <w:sz w:val="21"/>
                <w:szCs w:val="21"/>
                <w:lang w:bidi="ar"/>
              </w:rPr>
              <w:t>S1□</w:t>
            </w:r>
          </w:p>
        </w:tc>
        <w:tc>
          <w:tcPr>
            <w:tcW w:w="829" w:type="pct"/>
            <w:tcBorders>
              <w:top w:val="single" w:color="000000" w:sz="4" w:space="0"/>
              <w:left w:val="single" w:color="000000" w:sz="4" w:space="0"/>
              <w:bottom w:val="single" w:color="000000" w:sz="4" w:space="0"/>
              <w:right w:val="single" w:color="000000" w:sz="4" w:space="0"/>
            </w:tcBorders>
            <w:noWrap/>
            <w:vAlign w:val="center"/>
          </w:tcPr>
          <w:p w14:paraId="7A9788B1">
            <w:pPr>
              <w:widowControl/>
              <w:spacing w:line="240" w:lineRule="auto"/>
              <w:ind w:firstLine="0" w:firstLineChars="0"/>
              <w:jc w:val="center"/>
              <w:rPr>
                <w:color w:val="auto"/>
                <w:kern w:val="0"/>
                <w:sz w:val="21"/>
                <w:szCs w:val="21"/>
              </w:rPr>
            </w:pPr>
            <w:r>
              <w:rPr>
                <w:color w:val="auto"/>
                <w:kern w:val="0"/>
                <w:sz w:val="21"/>
                <w:szCs w:val="21"/>
                <w:lang w:bidi="ar"/>
              </w:rPr>
              <w:t>S2□</w:t>
            </w:r>
          </w:p>
        </w:tc>
        <w:tc>
          <w:tcPr>
            <w:tcW w:w="366" w:type="pct"/>
            <w:tcBorders>
              <w:top w:val="single" w:color="000000" w:sz="4" w:space="0"/>
              <w:left w:val="single" w:color="000000" w:sz="4" w:space="0"/>
              <w:bottom w:val="single" w:color="000000" w:sz="4" w:space="0"/>
              <w:right w:val="nil"/>
            </w:tcBorders>
            <w:noWrap/>
            <w:vAlign w:val="center"/>
          </w:tcPr>
          <w:p w14:paraId="2263EF68">
            <w:pPr>
              <w:widowControl/>
              <w:spacing w:line="240" w:lineRule="auto"/>
              <w:ind w:firstLine="0" w:firstLineChars="0"/>
              <w:jc w:val="center"/>
              <w:rPr>
                <w:color w:val="auto"/>
                <w:kern w:val="0"/>
                <w:sz w:val="21"/>
                <w:szCs w:val="21"/>
              </w:rPr>
            </w:pPr>
            <w:r>
              <w:rPr>
                <w:color w:val="auto"/>
                <w:kern w:val="0"/>
                <w:sz w:val="21"/>
                <w:szCs w:val="21"/>
                <w:lang w:bidi="ar"/>
              </w:rPr>
              <w:t>S3√</w:t>
            </w:r>
          </w:p>
        </w:tc>
      </w:tr>
      <w:tr w14:paraId="64A5748D">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top w:val="single" w:color="000000" w:sz="4" w:space="0"/>
              <w:left w:val="nil"/>
              <w:bottom w:val="single" w:color="000000" w:sz="4" w:space="0"/>
              <w:right w:val="single" w:color="000000" w:sz="4" w:space="0"/>
            </w:tcBorders>
            <w:vAlign w:val="center"/>
          </w:tcPr>
          <w:p w14:paraId="3FEEE3B8">
            <w:pPr>
              <w:spacing w:line="240" w:lineRule="auto"/>
              <w:ind w:firstLine="0" w:firstLineChars="0"/>
              <w:rPr>
                <w:color w:val="auto"/>
                <w:sz w:val="21"/>
                <w:szCs w:val="21"/>
              </w:rPr>
            </w:pPr>
          </w:p>
        </w:tc>
        <w:tc>
          <w:tcPr>
            <w:tcW w:w="331" w:type="pct"/>
            <w:vMerge w:val="continue"/>
            <w:tcBorders>
              <w:top w:val="single" w:color="000000" w:sz="4" w:space="0"/>
              <w:left w:val="single" w:color="000000" w:sz="4" w:space="0"/>
              <w:bottom w:val="single" w:color="000000" w:sz="4" w:space="0"/>
              <w:right w:val="single" w:color="000000" w:sz="4" w:space="0"/>
            </w:tcBorders>
            <w:noWrap/>
            <w:vAlign w:val="center"/>
          </w:tcPr>
          <w:p w14:paraId="4AA2D898">
            <w:pPr>
              <w:spacing w:line="240" w:lineRule="auto"/>
              <w:ind w:firstLine="0" w:firstLineChars="0"/>
              <w:rPr>
                <w:color w:val="auto"/>
                <w:sz w:val="21"/>
                <w:szCs w:val="21"/>
              </w:rPr>
            </w:pPr>
          </w:p>
        </w:tc>
        <w:tc>
          <w:tcPr>
            <w:tcW w:w="475" w:type="pct"/>
            <w:vMerge w:val="restart"/>
            <w:tcBorders>
              <w:top w:val="single" w:color="000000" w:sz="4" w:space="0"/>
              <w:left w:val="single" w:color="000000" w:sz="4" w:space="0"/>
              <w:bottom w:val="single" w:color="000000" w:sz="4" w:space="0"/>
              <w:right w:val="single" w:color="000000" w:sz="4" w:space="0"/>
            </w:tcBorders>
            <w:noWrap/>
            <w:vAlign w:val="center"/>
          </w:tcPr>
          <w:p w14:paraId="645C1562">
            <w:pPr>
              <w:widowControl/>
              <w:spacing w:line="240" w:lineRule="auto"/>
              <w:ind w:firstLine="0" w:firstLineChars="0"/>
              <w:jc w:val="center"/>
              <w:rPr>
                <w:color w:val="auto"/>
                <w:kern w:val="0"/>
                <w:sz w:val="21"/>
                <w:szCs w:val="21"/>
              </w:rPr>
            </w:pPr>
            <w:r>
              <w:rPr>
                <w:color w:val="auto"/>
                <w:kern w:val="0"/>
                <w:sz w:val="21"/>
                <w:szCs w:val="21"/>
                <w:lang w:bidi="ar"/>
              </w:rPr>
              <w:t>地下水</w:t>
            </w:r>
          </w:p>
        </w:tc>
        <w:tc>
          <w:tcPr>
            <w:tcW w:w="1458" w:type="pct"/>
            <w:gridSpan w:val="7"/>
            <w:tcBorders>
              <w:top w:val="single" w:color="000000" w:sz="4" w:space="0"/>
              <w:left w:val="single" w:color="000000" w:sz="4" w:space="0"/>
              <w:bottom w:val="single" w:color="000000" w:sz="4" w:space="0"/>
              <w:right w:val="single" w:color="000000" w:sz="4" w:space="0"/>
            </w:tcBorders>
            <w:noWrap/>
            <w:vAlign w:val="center"/>
          </w:tcPr>
          <w:p w14:paraId="3BAD4C75">
            <w:pPr>
              <w:widowControl/>
              <w:spacing w:line="240" w:lineRule="auto"/>
              <w:ind w:firstLine="0" w:firstLineChars="0"/>
              <w:jc w:val="center"/>
              <w:rPr>
                <w:color w:val="auto"/>
                <w:kern w:val="0"/>
                <w:sz w:val="21"/>
                <w:szCs w:val="21"/>
              </w:rPr>
            </w:pPr>
            <w:r>
              <w:rPr>
                <w:color w:val="auto"/>
                <w:kern w:val="0"/>
                <w:sz w:val="21"/>
                <w:szCs w:val="21"/>
                <w:lang w:bidi="ar"/>
              </w:rPr>
              <w:t>地下水功能敏感性</w:t>
            </w:r>
          </w:p>
        </w:tc>
        <w:tc>
          <w:tcPr>
            <w:tcW w:w="1322" w:type="pct"/>
            <w:gridSpan w:val="5"/>
            <w:tcBorders>
              <w:top w:val="single" w:color="000000" w:sz="4" w:space="0"/>
              <w:left w:val="single" w:color="000000" w:sz="4" w:space="0"/>
              <w:bottom w:val="single" w:color="000000" w:sz="4" w:space="0"/>
              <w:right w:val="single" w:color="000000" w:sz="4" w:space="0"/>
            </w:tcBorders>
            <w:noWrap/>
            <w:vAlign w:val="center"/>
          </w:tcPr>
          <w:p w14:paraId="025B0803">
            <w:pPr>
              <w:widowControl/>
              <w:spacing w:line="240" w:lineRule="auto"/>
              <w:ind w:firstLine="0" w:firstLineChars="0"/>
              <w:jc w:val="center"/>
              <w:rPr>
                <w:color w:val="auto"/>
                <w:kern w:val="0"/>
                <w:sz w:val="21"/>
                <w:szCs w:val="21"/>
              </w:rPr>
            </w:pPr>
            <w:r>
              <w:rPr>
                <w:color w:val="auto"/>
                <w:kern w:val="0"/>
                <w:sz w:val="21"/>
                <w:szCs w:val="21"/>
                <w:lang w:bidi="ar"/>
              </w:rPr>
              <w:t>G1□</w:t>
            </w:r>
          </w:p>
        </w:tc>
        <w:tc>
          <w:tcPr>
            <w:tcW w:w="829" w:type="pct"/>
            <w:tcBorders>
              <w:top w:val="single" w:color="000000" w:sz="4" w:space="0"/>
              <w:left w:val="single" w:color="000000" w:sz="4" w:space="0"/>
              <w:bottom w:val="single" w:color="000000" w:sz="4" w:space="0"/>
              <w:right w:val="single" w:color="000000" w:sz="4" w:space="0"/>
            </w:tcBorders>
            <w:noWrap/>
            <w:vAlign w:val="center"/>
          </w:tcPr>
          <w:p w14:paraId="794F16F4">
            <w:pPr>
              <w:widowControl/>
              <w:spacing w:line="240" w:lineRule="auto"/>
              <w:ind w:firstLine="0" w:firstLineChars="0"/>
              <w:jc w:val="center"/>
              <w:rPr>
                <w:color w:val="auto"/>
                <w:kern w:val="0"/>
                <w:sz w:val="21"/>
                <w:szCs w:val="21"/>
              </w:rPr>
            </w:pPr>
            <w:r>
              <w:rPr>
                <w:color w:val="auto"/>
                <w:kern w:val="0"/>
                <w:sz w:val="21"/>
                <w:szCs w:val="21"/>
                <w:lang w:bidi="ar"/>
              </w:rPr>
              <w:t>G2□</w:t>
            </w:r>
          </w:p>
        </w:tc>
        <w:tc>
          <w:tcPr>
            <w:tcW w:w="366" w:type="pct"/>
            <w:tcBorders>
              <w:top w:val="single" w:color="000000" w:sz="4" w:space="0"/>
              <w:left w:val="single" w:color="000000" w:sz="4" w:space="0"/>
              <w:bottom w:val="single" w:color="000000" w:sz="4" w:space="0"/>
              <w:right w:val="nil"/>
            </w:tcBorders>
            <w:noWrap/>
            <w:vAlign w:val="center"/>
          </w:tcPr>
          <w:p w14:paraId="6A3093DD">
            <w:pPr>
              <w:widowControl/>
              <w:spacing w:line="240" w:lineRule="auto"/>
              <w:ind w:firstLine="0" w:firstLineChars="0"/>
              <w:jc w:val="center"/>
              <w:rPr>
                <w:color w:val="auto"/>
                <w:kern w:val="0"/>
                <w:sz w:val="21"/>
                <w:szCs w:val="21"/>
              </w:rPr>
            </w:pPr>
            <w:r>
              <w:rPr>
                <w:color w:val="auto"/>
                <w:kern w:val="0"/>
                <w:sz w:val="21"/>
                <w:szCs w:val="21"/>
                <w:lang w:bidi="ar"/>
              </w:rPr>
              <w:t>G3√</w:t>
            </w:r>
          </w:p>
        </w:tc>
      </w:tr>
      <w:tr w14:paraId="6C3751B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top w:val="single" w:color="000000" w:sz="4" w:space="0"/>
              <w:left w:val="nil"/>
              <w:bottom w:val="single" w:color="000000" w:sz="4" w:space="0"/>
              <w:right w:val="single" w:color="000000" w:sz="4" w:space="0"/>
            </w:tcBorders>
            <w:vAlign w:val="center"/>
          </w:tcPr>
          <w:p w14:paraId="3A753B4F">
            <w:pPr>
              <w:spacing w:line="240" w:lineRule="auto"/>
              <w:ind w:firstLine="0" w:firstLineChars="0"/>
              <w:rPr>
                <w:color w:val="auto"/>
                <w:sz w:val="21"/>
                <w:szCs w:val="21"/>
              </w:rPr>
            </w:pPr>
          </w:p>
        </w:tc>
        <w:tc>
          <w:tcPr>
            <w:tcW w:w="331" w:type="pct"/>
            <w:vMerge w:val="continue"/>
            <w:tcBorders>
              <w:top w:val="single" w:color="000000" w:sz="4" w:space="0"/>
              <w:left w:val="single" w:color="000000" w:sz="4" w:space="0"/>
              <w:bottom w:val="single" w:color="000000" w:sz="4" w:space="0"/>
              <w:right w:val="single" w:color="000000" w:sz="4" w:space="0"/>
            </w:tcBorders>
            <w:noWrap/>
            <w:vAlign w:val="center"/>
          </w:tcPr>
          <w:p w14:paraId="3E7129BB">
            <w:pPr>
              <w:spacing w:line="240" w:lineRule="auto"/>
              <w:ind w:firstLine="0" w:firstLineChars="0"/>
              <w:rPr>
                <w:color w:val="auto"/>
                <w:sz w:val="21"/>
                <w:szCs w:val="21"/>
              </w:rPr>
            </w:pPr>
          </w:p>
        </w:tc>
        <w:tc>
          <w:tcPr>
            <w:tcW w:w="475" w:type="pct"/>
            <w:vMerge w:val="continue"/>
            <w:tcBorders>
              <w:top w:val="single" w:color="000000" w:sz="4" w:space="0"/>
              <w:left w:val="single" w:color="000000" w:sz="4" w:space="0"/>
              <w:bottom w:val="single" w:color="000000" w:sz="4" w:space="0"/>
              <w:right w:val="single" w:color="000000" w:sz="4" w:space="0"/>
            </w:tcBorders>
            <w:noWrap/>
            <w:vAlign w:val="center"/>
          </w:tcPr>
          <w:p w14:paraId="165AB138">
            <w:pPr>
              <w:spacing w:line="240" w:lineRule="auto"/>
              <w:ind w:firstLine="0" w:firstLineChars="0"/>
              <w:rPr>
                <w:color w:val="auto"/>
                <w:sz w:val="21"/>
                <w:szCs w:val="21"/>
              </w:rPr>
            </w:pPr>
          </w:p>
        </w:tc>
        <w:tc>
          <w:tcPr>
            <w:tcW w:w="1458" w:type="pct"/>
            <w:gridSpan w:val="7"/>
            <w:tcBorders>
              <w:top w:val="single" w:color="000000" w:sz="4" w:space="0"/>
              <w:left w:val="single" w:color="000000" w:sz="4" w:space="0"/>
              <w:bottom w:val="single" w:color="000000" w:sz="4" w:space="0"/>
              <w:right w:val="single" w:color="000000" w:sz="4" w:space="0"/>
            </w:tcBorders>
            <w:noWrap/>
            <w:vAlign w:val="center"/>
          </w:tcPr>
          <w:p w14:paraId="304D735B">
            <w:pPr>
              <w:widowControl/>
              <w:spacing w:line="240" w:lineRule="auto"/>
              <w:ind w:firstLine="0" w:firstLineChars="0"/>
              <w:jc w:val="center"/>
              <w:rPr>
                <w:color w:val="auto"/>
                <w:kern w:val="0"/>
                <w:sz w:val="21"/>
                <w:szCs w:val="21"/>
              </w:rPr>
            </w:pPr>
            <w:r>
              <w:rPr>
                <w:color w:val="auto"/>
                <w:kern w:val="0"/>
                <w:sz w:val="21"/>
                <w:szCs w:val="21"/>
                <w:lang w:bidi="ar"/>
              </w:rPr>
              <w:t>包气带防污性能</w:t>
            </w:r>
          </w:p>
        </w:tc>
        <w:tc>
          <w:tcPr>
            <w:tcW w:w="1322" w:type="pct"/>
            <w:gridSpan w:val="5"/>
            <w:tcBorders>
              <w:top w:val="single" w:color="000000" w:sz="4" w:space="0"/>
              <w:left w:val="single" w:color="000000" w:sz="4" w:space="0"/>
              <w:bottom w:val="single" w:color="000000" w:sz="4" w:space="0"/>
              <w:right w:val="single" w:color="000000" w:sz="4" w:space="0"/>
            </w:tcBorders>
            <w:noWrap/>
            <w:vAlign w:val="center"/>
          </w:tcPr>
          <w:p w14:paraId="264F44E0">
            <w:pPr>
              <w:widowControl/>
              <w:spacing w:line="240" w:lineRule="auto"/>
              <w:ind w:firstLine="0" w:firstLineChars="0"/>
              <w:jc w:val="center"/>
              <w:rPr>
                <w:color w:val="auto"/>
                <w:kern w:val="0"/>
                <w:sz w:val="21"/>
                <w:szCs w:val="21"/>
              </w:rPr>
            </w:pPr>
            <w:r>
              <w:rPr>
                <w:color w:val="auto"/>
                <w:kern w:val="0"/>
                <w:sz w:val="21"/>
                <w:szCs w:val="21"/>
                <w:lang w:bidi="ar"/>
              </w:rPr>
              <w:t>D1□</w:t>
            </w:r>
          </w:p>
        </w:tc>
        <w:tc>
          <w:tcPr>
            <w:tcW w:w="829" w:type="pct"/>
            <w:tcBorders>
              <w:top w:val="single" w:color="000000" w:sz="4" w:space="0"/>
              <w:left w:val="single" w:color="000000" w:sz="4" w:space="0"/>
              <w:bottom w:val="single" w:color="000000" w:sz="4" w:space="0"/>
              <w:right w:val="single" w:color="000000" w:sz="4" w:space="0"/>
            </w:tcBorders>
            <w:noWrap/>
            <w:vAlign w:val="center"/>
          </w:tcPr>
          <w:p w14:paraId="4A11FE8C">
            <w:pPr>
              <w:widowControl/>
              <w:spacing w:line="240" w:lineRule="auto"/>
              <w:ind w:firstLine="0" w:firstLineChars="0"/>
              <w:jc w:val="center"/>
              <w:rPr>
                <w:color w:val="auto"/>
                <w:kern w:val="0"/>
                <w:sz w:val="21"/>
                <w:szCs w:val="21"/>
              </w:rPr>
            </w:pPr>
            <w:r>
              <w:rPr>
                <w:color w:val="auto"/>
                <w:kern w:val="0"/>
                <w:sz w:val="21"/>
                <w:szCs w:val="21"/>
                <w:lang w:bidi="ar"/>
              </w:rPr>
              <w:t>D2√</w:t>
            </w:r>
          </w:p>
        </w:tc>
        <w:tc>
          <w:tcPr>
            <w:tcW w:w="366" w:type="pct"/>
            <w:tcBorders>
              <w:top w:val="single" w:color="000000" w:sz="4" w:space="0"/>
              <w:left w:val="single" w:color="000000" w:sz="4" w:space="0"/>
              <w:bottom w:val="single" w:color="000000" w:sz="4" w:space="0"/>
              <w:right w:val="nil"/>
            </w:tcBorders>
            <w:noWrap/>
            <w:vAlign w:val="center"/>
          </w:tcPr>
          <w:p w14:paraId="2F5F0B0A">
            <w:pPr>
              <w:widowControl/>
              <w:spacing w:line="240" w:lineRule="auto"/>
              <w:ind w:firstLine="0" w:firstLineChars="0"/>
              <w:jc w:val="center"/>
              <w:rPr>
                <w:color w:val="auto"/>
                <w:kern w:val="0"/>
                <w:sz w:val="21"/>
                <w:szCs w:val="21"/>
              </w:rPr>
            </w:pPr>
            <w:r>
              <w:rPr>
                <w:color w:val="auto"/>
                <w:kern w:val="0"/>
                <w:sz w:val="21"/>
                <w:szCs w:val="21"/>
                <w:lang w:bidi="ar"/>
              </w:rPr>
              <w:t>D3 □</w:t>
            </w:r>
          </w:p>
        </w:tc>
      </w:tr>
      <w:tr w14:paraId="08C4FB4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vMerge w:val="restart"/>
            <w:tcBorders>
              <w:top w:val="single" w:color="000000" w:sz="4" w:space="0"/>
              <w:left w:val="nil"/>
              <w:bottom w:val="single" w:color="000000" w:sz="4" w:space="0"/>
              <w:right w:val="single" w:color="000000" w:sz="4" w:space="0"/>
            </w:tcBorders>
            <w:noWrap/>
            <w:vAlign w:val="center"/>
          </w:tcPr>
          <w:p w14:paraId="21473745">
            <w:pPr>
              <w:widowControl/>
              <w:spacing w:line="240" w:lineRule="auto"/>
              <w:ind w:firstLine="0" w:firstLineChars="0"/>
              <w:jc w:val="center"/>
              <w:rPr>
                <w:color w:val="auto"/>
                <w:kern w:val="0"/>
                <w:sz w:val="21"/>
                <w:szCs w:val="21"/>
              </w:rPr>
            </w:pPr>
            <w:r>
              <w:rPr>
                <w:color w:val="auto"/>
                <w:kern w:val="0"/>
                <w:sz w:val="21"/>
                <w:szCs w:val="21"/>
                <w:lang w:bidi="ar"/>
              </w:rPr>
              <w:t>物质及工艺系统危险性</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44201EB8">
            <w:pPr>
              <w:widowControl/>
              <w:spacing w:line="240" w:lineRule="auto"/>
              <w:ind w:firstLine="0" w:firstLineChars="0"/>
              <w:jc w:val="center"/>
              <w:rPr>
                <w:color w:val="auto"/>
                <w:kern w:val="0"/>
                <w:sz w:val="21"/>
                <w:szCs w:val="21"/>
              </w:rPr>
            </w:pPr>
            <w:r>
              <w:rPr>
                <w:color w:val="auto"/>
                <w:kern w:val="0"/>
                <w:sz w:val="21"/>
                <w:szCs w:val="21"/>
                <w:lang w:bidi="ar"/>
              </w:rPr>
              <w:t>Q值</w:t>
            </w:r>
          </w:p>
        </w:tc>
        <w:tc>
          <w:tcPr>
            <w:tcW w:w="786" w:type="pct"/>
            <w:gridSpan w:val="3"/>
            <w:tcBorders>
              <w:top w:val="single" w:color="000000" w:sz="4" w:space="0"/>
              <w:left w:val="single" w:color="000000" w:sz="4" w:space="0"/>
              <w:bottom w:val="single" w:color="000000" w:sz="4" w:space="0"/>
              <w:right w:val="single" w:color="000000" w:sz="4" w:space="0"/>
            </w:tcBorders>
            <w:noWrap/>
            <w:vAlign w:val="center"/>
          </w:tcPr>
          <w:p w14:paraId="1F474BB7">
            <w:pPr>
              <w:widowControl/>
              <w:spacing w:line="240" w:lineRule="auto"/>
              <w:ind w:firstLine="0" w:firstLineChars="0"/>
              <w:jc w:val="center"/>
              <w:rPr>
                <w:color w:val="auto"/>
                <w:kern w:val="0"/>
                <w:sz w:val="21"/>
                <w:szCs w:val="21"/>
              </w:rPr>
            </w:pPr>
            <w:r>
              <w:rPr>
                <w:color w:val="auto"/>
                <w:kern w:val="0"/>
                <w:sz w:val="21"/>
                <w:szCs w:val="21"/>
                <w:lang w:bidi="ar"/>
              </w:rPr>
              <w:t>Q1&lt;1 □</w:t>
            </w:r>
          </w:p>
        </w:tc>
        <w:tc>
          <w:tcPr>
            <w:tcW w:w="1245" w:type="pct"/>
            <w:gridSpan w:val="6"/>
            <w:tcBorders>
              <w:top w:val="single" w:color="000000" w:sz="4" w:space="0"/>
              <w:left w:val="single" w:color="000000" w:sz="4" w:space="0"/>
              <w:bottom w:val="single" w:color="000000" w:sz="4" w:space="0"/>
              <w:right w:val="single" w:color="000000" w:sz="4" w:space="0"/>
            </w:tcBorders>
            <w:noWrap/>
            <w:vAlign w:val="center"/>
          </w:tcPr>
          <w:p w14:paraId="0D308147">
            <w:pPr>
              <w:widowControl/>
              <w:spacing w:line="240" w:lineRule="auto"/>
              <w:ind w:firstLine="0" w:firstLineChars="0"/>
              <w:jc w:val="center"/>
              <w:rPr>
                <w:color w:val="auto"/>
                <w:kern w:val="0"/>
                <w:sz w:val="21"/>
                <w:szCs w:val="21"/>
              </w:rPr>
            </w:pPr>
            <w:r>
              <w:rPr>
                <w:color w:val="auto"/>
                <w:kern w:val="0"/>
                <w:sz w:val="21"/>
                <w:szCs w:val="21"/>
                <w:lang w:bidi="ar"/>
              </w:rPr>
              <w:t>1≤Q&lt;10□</w:t>
            </w:r>
          </w:p>
        </w:tc>
        <w:tc>
          <w:tcPr>
            <w:tcW w:w="748" w:type="pct"/>
            <w:gridSpan w:val="3"/>
            <w:tcBorders>
              <w:top w:val="single" w:color="000000" w:sz="4" w:space="0"/>
              <w:left w:val="single" w:color="000000" w:sz="4" w:space="0"/>
              <w:bottom w:val="single" w:color="000000" w:sz="4" w:space="0"/>
              <w:right w:val="single" w:color="000000" w:sz="4" w:space="0"/>
            </w:tcBorders>
            <w:noWrap/>
            <w:vAlign w:val="center"/>
          </w:tcPr>
          <w:p w14:paraId="18DC3372">
            <w:pPr>
              <w:widowControl/>
              <w:spacing w:line="240" w:lineRule="auto"/>
              <w:ind w:firstLine="0" w:firstLineChars="0"/>
              <w:jc w:val="center"/>
              <w:rPr>
                <w:color w:val="auto"/>
                <w:kern w:val="0"/>
                <w:sz w:val="21"/>
                <w:szCs w:val="21"/>
              </w:rPr>
            </w:pPr>
            <w:r>
              <w:rPr>
                <w:color w:val="auto"/>
                <w:kern w:val="0"/>
                <w:sz w:val="21"/>
                <w:szCs w:val="21"/>
                <w:lang w:bidi="ar"/>
              </w:rPr>
              <w:t>10≤Q≤100√</w:t>
            </w:r>
          </w:p>
        </w:tc>
        <w:tc>
          <w:tcPr>
            <w:tcW w:w="1195" w:type="pct"/>
            <w:gridSpan w:val="2"/>
            <w:tcBorders>
              <w:top w:val="single" w:color="000000" w:sz="4" w:space="0"/>
              <w:left w:val="single" w:color="000000" w:sz="4" w:space="0"/>
              <w:bottom w:val="single" w:color="000000" w:sz="4" w:space="0"/>
              <w:right w:val="nil"/>
            </w:tcBorders>
            <w:noWrap/>
            <w:vAlign w:val="center"/>
          </w:tcPr>
          <w:p w14:paraId="52AE6E29">
            <w:pPr>
              <w:widowControl/>
              <w:spacing w:line="240" w:lineRule="auto"/>
              <w:ind w:firstLine="0" w:firstLineChars="0"/>
              <w:jc w:val="center"/>
              <w:rPr>
                <w:color w:val="auto"/>
                <w:kern w:val="0"/>
                <w:sz w:val="21"/>
                <w:szCs w:val="21"/>
              </w:rPr>
            </w:pPr>
            <w:r>
              <w:rPr>
                <w:color w:val="auto"/>
                <w:kern w:val="0"/>
                <w:sz w:val="21"/>
                <w:szCs w:val="21"/>
                <w:lang w:bidi="ar"/>
              </w:rPr>
              <w:t>Q≥100□</w:t>
            </w:r>
          </w:p>
        </w:tc>
      </w:tr>
      <w:tr w14:paraId="55F2092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vMerge w:val="continue"/>
            <w:tcBorders>
              <w:top w:val="single" w:color="000000" w:sz="4" w:space="0"/>
              <w:left w:val="nil"/>
              <w:bottom w:val="single" w:color="000000" w:sz="4" w:space="0"/>
              <w:right w:val="single" w:color="000000" w:sz="4" w:space="0"/>
            </w:tcBorders>
            <w:noWrap/>
            <w:vAlign w:val="center"/>
          </w:tcPr>
          <w:p w14:paraId="07E7B6B9">
            <w:pPr>
              <w:spacing w:line="240" w:lineRule="auto"/>
              <w:ind w:firstLine="0" w:firstLineChars="0"/>
              <w:rPr>
                <w:color w:val="auto"/>
                <w:sz w:val="21"/>
                <w:szCs w:val="21"/>
              </w:rPr>
            </w:pP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5F597CF8">
            <w:pPr>
              <w:widowControl/>
              <w:spacing w:line="240" w:lineRule="auto"/>
              <w:ind w:firstLine="0" w:firstLineChars="0"/>
              <w:jc w:val="center"/>
              <w:rPr>
                <w:color w:val="auto"/>
                <w:kern w:val="0"/>
                <w:sz w:val="21"/>
                <w:szCs w:val="21"/>
              </w:rPr>
            </w:pPr>
            <w:r>
              <w:rPr>
                <w:color w:val="auto"/>
                <w:kern w:val="0"/>
                <w:sz w:val="21"/>
                <w:szCs w:val="21"/>
                <w:lang w:bidi="ar"/>
              </w:rPr>
              <w:t>M值</w:t>
            </w:r>
          </w:p>
        </w:tc>
        <w:tc>
          <w:tcPr>
            <w:tcW w:w="786" w:type="pct"/>
            <w:gridSpan w:val="3"/>
            <w:tcBorders>
              <w:top w:val="single" w:color="000000" w:sz="4" w:space="0"/>
              <w:left w:val="single" w:color="000000" w:sz="4" w:space="0"/>
              <w:bottom w:val="single" w:color="000000" w:sz="4" w:space="0"/>
              <w:right w:val="single" w:color="000000" w:sz="4" w:space="0"/>
            </w:tcBorders>
            <w:noWrap/>
            <w:vAlign w:val="center"/>
          </w:tcPr>
          <w:p w14:paraId="071C24EB">
            <w:pPr>
              <w:widowControl/>
              <w:spacing w:line="240" w:lineRule="auto"/>
              <w:ind w:firstLine="0" w:firstLineChars="0"/>
              <w:jc w:val="center"/>
              <w:rPr>
                <w:color w:val="auto"/>
                <w:kern w:val="0"/>
                <w:sz w:val="21"/>
                <w:szCs w:val="21"/>
              </w:rPr>
            </w:pPr>
            <w:r>
              <w:rPr>
                <w:color w:val="auto"/>
                <w:kern w:val="0"/>
                <w:sz w:val="21"/>
                <w:szCs w:val="21"/>
                <w:lang w:bidi="ar"/>
              </w:rPr>
              <w:t>M1 □</w:t>
            </w:r>
          </w:p>
        </w:tc>
        <w:tc>
          <w:tcPr>
            <w:tcW w:w="1245" w:type="pct"/>
            <w:gridSpan w:val="6"/>
            <w:tcBorders>
              <w:top w:val="single" w:color="000000" w:sz="4" w:space="0"/>
              <w:left w:val="single" w:color="000000" w:sz="4" w:space="0"/>
              <w:bottom w:val="single" w:color="000000" w:sz="4" w:space="0"/>
              <w:right w:val="single" w:color="000000" w:sz="4" w:space="0"/>
            </w:tcBorders>
            <w:noWrap/>
            <w:vAlign w:val="center"/>
          </w:tcPr>
          <w:p w14:paraId="5DC0F149">
            <w:pPr>
              <w:widowControl/>
              <w:spacing w:line="240" w:lineRule="auto"/>
              <w:ind w:firstLine="0" w:firstLineChars="0"/>
              <w:jc w:val="center"/>
              <w:rPr>
                <w:color w:val="auto"/>
                <w:kern w:val="0"/>
                <w:sz w:val="21"/>
                <w:szCs w:val="21"/>
              </w:rPr>
            </w:pPr>
            <w:r>
              <w:rPr>
                <w:color w:val="auto"/>
                <w:kern w:val="0"/>
                <w:sz w:val="21"/>
                <w:szCs w:val="21"/>
                <w:lang w:bidi="ar"/>
              </w:rPr>
              <w:t>M2□</w:t>
            </w:r>
          </w:p>
        </w:tc>
        <w:tc>
          <w:tcPr>
            <w:tcW w:w="748" w:type="pct"/>
            <w:gridSpan w:val="3"/>
            <w:tcBorders>
              <w:top w:val="single" w:color="000000" w:sz="4" w:space="0"/>
              <w:left w:val="single" w:color="000000" w:sz="4" w:space="0"/>
              <w:bottom w:val="single" w:color="000000" w:sz="4" w:space="0"/>
              <w:right w:val="single" w:color="000000" w:sz="4" w:space="0"/>
            </w:tcBorders>
            <w:noWrap/>
            <w:vAlign w:val="center"/>
          </w:tcPr>
          <w:p w14:paraId="4DF553E9">
            <w:pPr>
              <w:widowControl/>
              <w:spacing w:line="240" w:lineRule="auto"/>
              <w:ind w:firstLine="0" w:firstLineChars="0"/>
              <w:jc w:val="center"/>
              <w:rPr>
                <w:color w:val="auto"/>
                <w:kern w:val="0"/>
                <w:sz w:val="21"/>
                <w:szCs w:val="21"/>
              </w:rPr>
            </w:pPr>
            <w:r>
              <w:rPr>
                <w:color w:val="auto"/>
                <w:kern w:val="0"/>
                <w:sz w:val="21"/>
                <w:szCs w:val="21"/>
                <w:lang w:bidi="ar"/>
              </w:rPr>
              <w:t>M3 √</w:t>
            </w:r>
          </w:p>
        </w:tc>
        <w:tc>
          <w:tcPr>
            <w:tcW w:w="1195" w:type="pct"/>
            <w:gridSpan w:val="2"/>
            <w:tcBorders>
              <w:top w:val="single" w:color="000000" w:sz="4" w:space="0"/>
              <w:left w:val="single" w:color="000000" w:sz="4" w:space="0"/>
              <w:bottom w:val="single" w:color="000000" w:sz="4" w:space="0"/>
              <w:right w:val="nil"/>
            </w:tcBorders>
            <w:noWrap/>
            <w:vAlign w:val="center"/>
          </w:tcPr>
          <w:p w14:paraId="57A0FC0B">
            <w:pPr>
              <w:widowControl/>
              <w:spacing w:line="240" w:lineRule="auto"/>
              <w:ind w:firstLine="0" w:firstLineChars="0"/>
              <w:jc w:val="center"/>
              <w:rPr>
                <w:color w:val="auto"/>
                <w:kern w:val="0"/>
                <w:sz w:val="21"/>
                <w:szCs w:val="21"/>
              </w:rPr>
            </w:pPr>
            <w:r>
              <w:rPr>
                <w:color w:val="auto"/>
                <w:kern w:val="0"/>
                <w:sz w:val="21"/>
                <w:szCs w:val="21"/>
                <w:lang w:bidi="ar"/>
              </w:rPr>
              <w:t>M4□</w:t>
            </w:r>
          </w:p>
        </w:tc>
      </w:tr>
      <w:tr w14:paraId="2984489F">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vMerge w:val="continue"/>
            <w:tcBorders>
              <w:top w:val="single" w:color="000000" w:sz="4" w:space="0"/>
              <w:left w:val="nil"/>
              <w:bottom w:val="single" w:color="000000" w:sz="4" w:space="0"/>
              <w:right w:val="single" w:color="000000" w:sz="4" w:space="0"/>
            </w:tcBorders>
            <w:noWrap/>
            <w:vAlign w:val="center"/>
          </w:tcPr>
          <w:p w14:paraId="41556712">
            <w:pPr>
              <w:spacing w:line="240" w:lineRule="auto"/>
              <w:ind w:firstLine="0" w:firstLineChars="0"/>
              <w:rPr>
                <w:color w:val="auto"/>
                <w:sz w:val="21"/>
                <w:szCs w:val="21"/>
              </w:rPr>
            </w:pP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045FF1D6">
            <w:pPr>
              <w:widowControl/>
              <w:spacing w:line="240" w:lineRule="auto"/>
              <w:ind w:firstLine="0" w:firstLineChars="0"/>
              <w:jc w:val="center"/>
              <w:rPr>
                <w:color w:val="auto"/>
                <w:kern w:val="0"/>
                <w:sz w:val="21"/>
                <w:szCs w:val="21"/>
              </w:rPr>
            </w:pPr>
            <w:r>
              <w:rPr>
                <w:color w:val="auto"/>
                <w:kern w:val="0"/>
                <w:sz w:val="21"/>
                <w:szCs w:val="21"/>
                <w:lang w:bidi="ar"/>
              </w:rPr>
              <w:t>P值</w:t>
            </w:r>
          </w:p>
        </w:tc>
        <w:tc>
          <w:tcPr>
            <w:tcW w:w="786" w:type="pct"/>
            <w:gridSpan w:val="3"/>
            <w:tcBorders>
              <w:top w:val="single" w:color="000000" w:sz="4" w:space="0"/>
              <w:left w:val="single" w:color="000000" w:sz="4" w:space="0"/>
              <w:bottom w:val="single" w:color="000000" w:sz="4" w:space="0"/>
              <w:right w:val="single" w:color="000000" w:sz="4" w:space="0"/>
            </w:tcBorders>
            <w:noWrap/>
            <w:vAlign w:val="center"/>
          </w:tcPr>
          <w:p w14:paraId="6FCD5F7A">
            <w:pPr>
              <w:widowControl/>
              <w:spacing w:line="240" w:lineRule="auto"/>
              <w:ind w:firstLine="0" w:firstLineChars="0"/>
              <w:jc w:val="center"/>
              <w:rPr>
                <w:color w:val="auto"/>
                <w:kern w:val="0"/>
                <w:sz w:val="21"/>
                <w:szCs w:val="21"/>
              </w:rPr>
            </w:pPr>
            <w:r>
              <w:rPr>
                <w:color w:val="auto"/>
                <w:kern w:val="0"/>
                <w:sz w:val="21"/>
                <w:szCs w:val="21"/>
                <w:lang w:bidi="ar"/>
              </w:rPr>
              <w:t>P1□</w:t>
            </w:r>
          </w:p>
        </w:tc>
        <w:tc>
          <w:tcPr>
            <w:tcW w:w="1245" w:type="pct"/>
            <w:gridSpan w:val="6"/>
            <w:tcBorders>
              <w:top w:val="single" w:color="000000" w:sz="4" w:space="0"/>
              <w:left w:val="single" w:color="000000" w:sz="4" w:space="0"/>
              <w:bottom w:val="single" w:color="000000" w:sz="4" w:space="0"/>
              <w:right w:val="single" w:color="000000" w:sz="4" w:space="0"/>
            </w:tcBorders>
            <w:noWrap/>
            <w:vAlign w:val="center"/>
          </w:tcPr>
          <w:p w14:paraId="34D4C920">
            <w:pPr>
              <w:widowControl/>
              <w:spacing w:line="240" w:lineRule="auto"/>
              <w:ind w:firstLine="0" w:firstLineChars="0"/>
              <w:jc w:val="center"/>
              <w:rPr>
                <w:color w:val="auto"/>
                <w:kern w:val="0"/>
                <w:sz w:val="21"/>
                <w:szCs w:val="21"/>
              </w:rPr>
            </w:pPr>
            <w:r>
              <w:rPr>
                <w:color w:val="auto"/>
                <w:kern w:val="0"/>
                <w:sz w:val="21"/>
                <w:szCs w:val="21"/>
                <w:lang w:bidi="ar"/>
              </w:rPr>
              <w:t>P2 □</w:t>
            </w:r>
          </w:p>
        </w:tc>
        <w:tc>
          <w:tcPr>
            <w:tcW w:w="748" w:type="pct"/>
            <w:gridSpan w:val="3"/>
            <w:tcBorders>
              <w:top w:val="single" w:color="000000" w:sz="4" w:space="0"/>
              <w:left w:val="single" w:color="000000" w:sz="4" w:space="0"/>
              <w:bottom w:val="single" w:color="000000" w:sz="4" w:space="0"/>
              <w:right w:val="single" w:color="000000" w:sz="4" w:space="0"/>
            </w:tcBorders>
            <w:noWrap/>
            <w:vAlign w:val="center"/>
          </w:tcPr>
          <w:p w14:paraId="6234A990">
            <w:pPr>
              <w:widowControl/>
              <w:spacing w:line="240" w:lineRule="auto"/>
              <w:ind w:firstLine="0" w:firstLineChars="0"/>
              <w:jc w:val="center"/>
              <w:rPr>
                <w:color w:val="auto"/>
                <w:kern w:val="0"/>
                <w:sz w:val="21"/>
                <w:szCs w:val="21"/>
              </w:rPr>
            </w:pPr>
            <w:r>
              <w:rPr>
                <w:color w:val="auto"/>
                <w:kern w:val="0"/>
                <w:sz w:val="21"/>
                <w:szCs w:val="21"/>
                <w:lang w:bidi="ar"/>
              </w:rPr>
              <w:t>P3√</w:t>
            </w:r>
          </w:p>
        </w:tc>
        <w:tc>
          <w:tcPr>
            <w:tcW w:w="1195" w:type="pct"/>
            <w:gridSpan w:val="2"/>
            <w:tcBorders>
              <w:top w:val="single" w:color="000000" w:sz="4" w:space="0"/>
              <w:left w:val="single" w:color="000000" w:sz="4" w:space="0"/>
              <w:bottom w:val="single" w:color="000000" w:sz="4" w:space="0"/>
              <w:right w:val="nil"/>
            </w:tcBorders>
            <w:noWrap/>
            <w:vAlign w:val="center"/>
          </w:tcPr>
          <w:p w14:paraId="1959EA75">
            <w:pPr>
              <w:widowControl/>
              <w:spacing w:line="240" w:lineRule="auto"/>
              <w:ind w:firstLine="0" w:firstLineChars="0"/>
              <w:jc w:val="center"/>
              <w:rPr>
                <w:color w:val="auto"/>
                <w:kern w:val="0"/>
                <w:sz w:val="21"/>
                <w:szCs w:val="21"/>
              </w:rPr>
            </w:pPr>
            <w:r>
              <w:rPr>
                <w:color w:val="auto"/>
                <w:kern w:val="0"/>
                <w:sz w:val="21"/>
                <w:szCs w:val="21"/>
                <w:lang w:bidi="ar"/>
              </w:rPr>
              <w:t>P4□</w:t>
            </w:r>
          </w:p>
        </w:tc>
      </w:tr>
      <w:tr w14:paraId="29029BB1">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vMerge w:val="restart"/>
            <w:tcBorders>
              <w:top w:val="single" w:color="000000" w:sz="4" w:space="0"/>
              <w:left w:val="nil"/>
              <w:bottom w:val="single" w:color="000000" w:sz="4" w:space="0"/>
              <w:right w:val="single" w:color="000000" w:sz="4" w:space="0"/>
            </w:tcBorders>
            <w:noWrap/>
            <w:vAlign w:val="center"/>
          </w:tcPr>
          <w:p w14:paraId="52E2C57E">
            <w:pPr>
              <w:widowControl/>
              <w:spacing w:line="240" w:lineRule="auto"/>
              <w:ind w:firstLine="0" w:firstLineChars="0"/>
              <w:jc w:val="center"/>
              <w:rPr>
                <w:color w:val="auto"/>
                <w:kern w:val="0"/>
                <w:sz w:val="21"/>
                <w:szCs w:val="21"/>
              </w:rPr>
            </w:pPr>
            <w:r>
              <w:rPr>
                <w:color w:val="auto"/>
                <w:kern w:val="0"/>
                <w:sz w:val="21"/>
                <w:szCs w:val="21"/>
                <w:lang w:bidi="ar"/>
              </w:rPr>
              <w:t>环境敏感程度</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60BF426C">
            <w:pPr>
              <w:widowControl/>
              <w:spacing w:line="240" w:lineRule="auto"/>
              <w:ind w:firstLine="0" w:firstLineChars="0"/>
              <w:jc w:val="center"/>
              <w:rPr>
                <w:color w:val="auto"/>
                <w:kern w:val="0"/>
                <w:sz w:val="21"/>
                <w:szCs w:val="21"/>
              </w:rPr>
            </w:pPr>
            <w:r>
              <w:rPr>
                <w:color w:val="auto"/>
                <w:kern w:val="0"/>
                <w:sz w:val="21"/>
                <w:szCs w:val="21"/>
                <w:lang w:bidi="ar"/>
              </w:rPr>
              <w:t>大气</w:t>
            </w:r>
          </w:p>
        </w:tc>
        <w:tc>
          <w:tcPr>
            <w:tcW w:w="1027" w:type="pct"/>
            <w:gridSpan w:val="5"/>
            <w:tcBorders>
              <w:top w:val="single" w:color="000000" w:sz="4" w:space="0"/>
              <w:left w:val="single" w:color="000000" w:sz="4" w:space="0"/>
              <w:bottom w:val="single" w:color="000000" w:sz="4" w:space="0"/>
              <w:right w:val="single" w:color="000000" w:sz="4" w:space="0"/>
            </w:tcBorders>
            <w:noWrap/>
            <w:vAlign w:val="center"/>
          </w:tcPr>
          <w:p w14:paraId="2464064C">
            <w:pPr>
              <w:widowControl/>
              <w:spacing w:line="240" w:lineRule="auto"/>
              <w:ind w:firstLine="0" w:firstLineChars="0"/>
              <w:jc w:val="center"/>
              <w:rPr>
                <w:color w:val="auto"/>
                <w:kern w:val="0"/>
                <w:sz w:val="21"/>
                <w:szCs w:val="21"/>
              </w:rPr>
            </w:pPr>
            <w:r>
              <w:rPr>
                <w:color w:val="auto"/>
                <w:kern w:val="0"/>
                <w:sz w:val="21"/>
                <w:szCs w:val="21"/>
                <w:lang w:bidi="ar"/>
              </w:rPr>
              <w:t>E1□</w:t>
            </w:r>
          </w:p>
        </w:tc>
        <w:tc>
          <w:tcPr>
            <w:tcW w:w="1752" w:type="pct"/>
            <w:gridSpan w:val="7"/>
            <w:tcBorders>
              <w:top w:val="single" w:color="000000" w:sz="4" w:space="0"/>
              <w:left w:val="single" w:color="000000" w:sz="4" w:space="0"/>
              <w:bottom w:val="single" w:color="000000" w:sz="4" w:space="0"/>
              <w:right w:val="single" w:color="000000" w:sz="4" w:space="0"/>
            </w:tcBorders>
            <w:noWrap/>
            <w:vAlign w:val="center"/>
          </w:tcPr>
          <w:p w14:paraId="2C525C04">
            <w:pPr>
              <w:widowControl/>
              <w:spacing w:line="240" w:lineRule="auto"/>
              <w:ind w:firstLine="0" w:firstLineChars="0"/>
              <w:jc w:val="center"/>
              <w:rPr>
                <w:color w:val="auto"/>
                <w:kern w:val="0"/>
                <w:sz w:val="21"/>
                <w:szCs w:val="21"/>
              </w:rPr>
            </w:pPr>
            <w:r>
              <w:rPr>
                <w:color w:val="auto"/>
                <w:kern w:val="0"/>
                <w:sz w:val="21"/>
                <w:szCs w:val="21"/>
                <w:lang w:bidi="ar"/>
              </w:rPr>
              <w:t>E2√</w:t>
            </w:r>
          </w:p>
        </w:tc>
        <w:tc>
          <w:tcPr>
            <w:tcW w:w="1195" w:type="pct"/>
            <w:gridSpan w:val="2"/>
            <w:tcBorders>
              <w:top w:val="single" w:color="000000" w:sz="4" w:space="0"/>
              <w:left w:val="single" w:color="000000" w:sz="4" w:space="0"/>
              <w:bottom w:val="single" w:color="000000" w:sz="4" w:space="0"/>
              <w:right w:val="nil"/>
            </w:tcBorders>
            <w:noWrap/>
            <w:vAlign w:val="center"/>
          </w:tcPr>
          <w:p w14:paraId="6EA0C716">
            <w:pPr>
              <w:widowControl/>
              <w:spacing w:line="240" w:lineRule="auto"/>
              <w:ind w:firstLine="0" w:firstLineChars="0"/>
              <w:jc w:val="center"/>
              <w:rPr>
                <w:color w:val="auto"/>
                <w:kern w:val="0"/>
                <w:sz w:val="21"/>
                <w:szCs w:val="21"/>
              </w:rPr>
            </w:pPr>
            <w:r>
              <w:rPr>
                <w:color w:val="auto"/>
                <w:kern w:val="0"/>
                <w:sz w:val="21"/>
                <w:szCs w:val="21"/>
                <w:lang w:bidi="ar"/>
              </w:rPr>
              <w:t xml:space="preserve">E3□ </w:t>
            </w:r>
          </w:p>
        </w:tc>
      </w:tr>
      <w:tr w14:paraId="4E29B84D">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vMerge w:val="continue"/>
            <w:tcBorders>
              <w:top w:val="single" w:color="000000" w:sz="4" w:space="0"/>
              <w:left w:val="nil"/>
              <w:bottom w:val="single" w:color="000000" w:sz="4" w:space="0"/>
              <w:right w:val="single" w:color="000000" w:sz="4" w:space="0"/>
            </w:tcBorders>
            <w:noWrap/>
            <w:vAlign w:val="center"/>
          </w:tcPr>
          <w:p w14:paraId="641BA326">
            <w:pPr>
              <w:spacing w:line="240" w:lineRule="auto"/>
              <w:ind w:firstLine="0" w:firstLineChars="0"/>
              <w:rPr>
                <w:color w:val="auto"/>
                <w:sz w:val="21"/>
                <w:szCs w:val="21"/>
              </w:rPr>
            </w:pP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134EDE72">
            <w:pPr>
              <w:widowControl/>
              <w:spacing w:line="240" w:lineRule="auto"/>
              <w:ind w:firstLine="0" w:firstLineChars="0"/>
              <w:jc w:val="center"/>
              <w:rPr>
                <w:color w:val="auto"/>
                <w:kern w:val="0"/>
                <w:sz w:val="21"/>
                <w:szCs w:val="21"/>
              </w:rPr>
            </w:pPr>
            <w:r>
              <w:rPr>
                <w:color w:val="auto"/>
                <w:kern w:val="0"/>
                <w:sz w:val="21"/>
                <w:szCs w:val="21"/>
                <w:lang w:bidi="ar"/>
              </w:rPr>
              <w:t>地表水</w:t>
            </w:r>
          </w:p>
        </w:tc>
        <w:tc>
          <w:tcPr>
            <w:tcW w:w="1027" w:type="pct"/>
            <w:gridSpan w:val="5"/>
            <w:tcBorders>
              <w:top w:val="single" w:color="000000" w:sz="4" w:space="0"/>
              <w:left w:val="single" w:color="000000" w:sz="4" w:space="0"/>
              <w:bottom w:val="single" w:color="000000" w:sz="4" w:space="0"/>
              <w:right w:val="single" w:color="000000" w:sz="4" w:space="0"/>
            </w:tcBorders>
            <w:noWrap/>
            <w:vAlign w:val="center"/>
          </w:tcPr>
          <w:p w14:paraId="53B875A2">
            <w:pPr>
              <w:widowControl/>
              <w:spacing w:line="240" w:lineRule="auto"/>
              <w:ind w:firstLine="0" w:firstLineChars="0"/>
              <w:jc w:val="center"/>
              <w:rPr>
                <w:color w:val="auto"/>
                <w:kern w:val="0"/>
                <w:sz w:val="21"/>
                <w:szCs w:val="21"/>
              </w:rPr>
            </w:pPr>
            <w:r>
              <w:rPr>
                <w:color w:val="auto"/>
                <w:kern w:val="0"/>
                <w:sz w:val="21"/>
                <w:szCs w:val="21"/>
                <w:lang w:bidi="ar"/>
              </w:rPr>
              <w:t>E1□</w:t>
            </w:r>
          </w:p>
        </w:tc>
        <w:tc>
          <w:tcPr>
            <w:tcW w:w="1752" w:type="pct"/>
            <w:gridSpan w:val="7"/>
            <w:tcBorders>
              <w:top w:val="single" w:color="000000" w:sz="4" w:space="0"/>
              <w:left w:val="single" w:color="000000" w:sz="4" w:space="0"/>
              <w:bottom w:val="single" w:color="000000" w:sz="4" w:space="0"/>
              <w:right w:val="single" w:color="000000" w:sz="4" w:space="0"/>
            </w:tcBorders>
            <w:noWrap/>
            <w:vAlign w:val="center"/>
          </w:tcPr>
          <w:p w14:paraId="6685A6DC">
            <w:pPr>
              <w:widowControl/>
              <w:spacing w:line="240" w:lineRule="auto"/>
              <w:ind w:firstLine="0" w:firstLineChars="0"/>
              <w:jc w:val="center"/>
              <w:rPr>
                <w:color w:val="auto"/>
                <w:kern w:val="0"/>
                <w:sz w:val="21"/>
                <w:szCs w:val="21"/>
              </w:rPr>
            </w:pPr>
            <w:r>
              <w:rPr>
                <w:color w:val="auto"/>
                <w:kern w:val="0"/>
                <w:sz w:val="21"/>
                <w:szCs w:val="21"/>
                <w:lang w:bidi="ar"/>
              </w:rPr>
              <w:t>E2√</w:t>
            </w:r>
          </w:p>
        </w:tc>
        <w:tc>
          <w:tcPr>
            <w:tcW w:w="1195" w:type="pct"/>
            <w:gridSpan w:val="2"/>
            <w:tcBorders>
              <w:top w:val="single" w:color="000000" w:sz="4" w:space="0"/>
              <w:left w:val="single" w:color="000000" w:sz="4" w:space="0"/>
              <w:bottom w:val="single" w:color="000000" w:sz="4" w:space="0"/>
              <w:right w:val="nil"/>
            </w:tcBorders>
            <w:noWrap/>
            <w:vAlign w:val="center"/>
          </w:tcPr>
          <w:p w14:paraId="305F2C0D">
            <w:pPr>
              <w:widowControl/>
              <w:spacing w:line="240" w:lineRule="auto"/>
              <w:ind w:firstLine="0" w:firstLineChars="0"/>
              <w:jc w:val="center"/>
              <w:rPr>
                <w:color w:val="auto"/>
                <w:kern w:val="0"/>
                <w:sz w:val="21"/>
                <w:szCs w:val="21"/>
              </w:rPr>
            </w:pPr>
            <w:r>
              <w:rPr>
                <w:color w:val="auto"/>
                <w:kern w:val="0"/>
                <w:sz w:val="21"/>
                <w:szCs w:val="21"/>
                <w:lang w:bidi="ar"/>
              </w:rPr>
              <w:t>E3 □</w:t>
            </w:r>
          </w:p>
        </w:tc>
      </w:tr>
      <w:tr w14:paraId="5F15BCDD">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168" w:hRule="atLeast"/>
          <w:jc w:val="center"/>
        </w:trPr>
        <w:tc>
          <w:tcPr>
            <w:tcW w:w="551" w:type="pct"/>
            <w:gridSpan w:val="2"/>
            <w:vMerge w:val="continue"/>
            <w:tcBorders>
              <w:top w:val="single" w:color="000000" w:sz="4" w:space="0"/>
              <w:left w:val="nil"/>
              <w:bottom w:val="single" w:color="000000" w:sz="4" w:space="0"/>
              <w:right w:val="single" w:color="000000" w:sz="4" w:space="0"/>
            </w:tcBorders>
            <w:noWrap/>
            <w:vAlign w:val="center"/>
          </w:tcPr>
          <w:p w14:paraId="31904A0D">
            <w:pPr>
              <w:spacing w:line="240" w:lineRule="auto"/>
              <w:ind w:firstLine="0" w:firstLineChars="0"/>
              <w:rPr>
                <w:color w:val="auto"/>
                <w:sz w:val="21"/>
                <w:szCs w:val="21"/>
              </w:rPr>
            </w:pP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077593AB">
            <w:pPr>
              <w:widowControl/>
              <w:spacing w:line="240" w:lineRule="auto"/>
              <w:ind w:firstLine="0" w:firstLineChars="0"/>
              <w:jc w:val="center"/>
              <w:rPr>
                <w:color w:val="auto"/>
                <w:kern w:val="0"/>
                <w:sz w:val="21"/>
                <w:szCs w:val="21"/>
              </w:rPr>
            </w:pPr>
            <w:r>
              <w:rPr>
                <w:color w:val="auto"/>
                <w:kern w:val="0"/>
                <w:sz w:val="21"/>
                <w:szCs w:val="21"/>
                <w:lang w:bidi="ar"/>
              </w:rPr>
              <w:t>地下水</w:t>
            </w:r>
          </w:p>
        </w:tc>
        <w:tc>
          <w:tcPr>
            <w:tcW w:w="1027" w:type="pct"/>
            <w:gridSpan w:val="5"/>
            <w:tcBorders>
              <w:top w:val="single" w:color="000000" w:sz="4" w:space="0"/>
              <w:left w:val="single" w:color="000000" w:sz="4" w:space="0"/>
              <w:bottom w:val="single" w:color="000000" w:sz="4" w:space="0"/>
              <w:right w:val="single" w:color="000000" w:sz="4" w:space="0"/>
            </w:tcBorders>
            <w:noWrap/>
            <w:vAlign w:val="center"/>
          </w:tcPr>
          <w:p w14:paraId="44AEAA6A">
            <w:pPr>
              <w:widowControl/>
              <w:spacing w:line="240" w:lineRule="auto"/>
              <w:ind w:firstLine="0" w:firstLineChars="0"/>
              <w:jc w:val="center"/>
              <w:rPr>
                <w:color w:val="auto"/>
                <w:kern w:val="0"/>
                <w:sz w:val="21"/>
                <w:szCs w:val="21"/>
              </w:rPr>
            </w:pPr>
            <w:r>
              <w:rPr>
                <w:color w:val="auto"/>
                <w:kern w:val="0"/>
                <w:sz w:val="21"/>
                <w:szCs w:val="21"/>
                <w:lang w:bidi="ar"/>
              </w:rPr>
              <w:t>E1□</w:t>
            </w:r>
          </w:p>
        </w:tc>
        <w:tc>
          <w:tcPr>
            <w:tcW w:w="1752" w:type="pct"/>
            <w:gridSpan w:val="7"/>
            <w:tcBorders>
              <w:top w:val="single" w:color="000000" w:sz="4" w:space="0"/>
              <w:left w:val="single" w:color="000000" w:sz="4" w:space="0"/>
              <w:bottom w:val="single" w:color="000000" w:sz="4" w:space="0"/>
              <w:right w:val="single" w:color="000000" w:sz="4" w:space="0"/>
            </w:tcBorders>
            <w:noWrap/>
            <w:vAlign w:val="center"/>
          </w:tcPr>
          <w:p w14:paraId="7BCC6D2F">
            <w:pPr>
              <w:widowControl/>
              <w:spacing w:line="240" w:lineRule="auto"/>
              <w:ind w:firstLine="0" w:firstLineChars="0"/>
              <w:jc w:val="center"/>
              <w:rPr>
                <w:color w:val="auto"/>
                <w:kern w:val="0"/>
                <w:sz w:val="21"/>
                <w:szCs w:val="21"/>
              </w:rPr>
            </w:pPr>
            <w:r>
              <w:rPr>
                <w:color w:val="auto"/>
                <w:kern w:val="0"/>
                <w:sz w:val="21"/>
                <w:szCs w:val="21"/>
                <w:lang w:bidi="ar"/>
              </w:rPr>
              <w:t>E2□</w:t>
            </w:r>
          </w:p>
        </w:tc>
        <w:tc>
          <w:tcPr>
            <w:tcW w:w="1195" w:type="pct"/>
            <w:gridSpan w:val="2"/>
            <w:tcBorders>
              <w:top w:val="single" w:color="000000" w:sz="4" w:space="0"/>
              <w:left w:val="single" w:color="000000" w:sz="4" w:space="0"/>
              <w:bottom w:val="single" w:color="000000" w:sz="4" w:space="0"/>
              <w:right w:val="nil"/>
            </w:tcBorders>
            <w:noWrap/>
            <w:vAlign w:val="center"/>
          </w:tcPr>
          <w:p w14:paraId="6C85AB9E">
            <w:pPr>
              <w:widowControl/>
              <w:spacing w:line="240" w:lineRule="auto"/>
              <w:ind w:firstLine="0" w:firstLineChars="0"/>
              <w:jc w:val="center"/>
              <w:rPr>
                <w:color w:val="auto"/>
                <w:kern w:val="0"/>
                <w:sz w:val="21"/>
                <w:szCs w:val="21"/>
              </w:rPr>
            </w:pPr>
            <w:r>
              <w:rPr>
                <w:color w:val="auto"/>
                <w:kern w:val="0"/>
                <w:sz w:val="21"/>
                <w:szCs w:val="21"/>
                <w:lang w:bidi="ar"/>
              </w:rPr>
              <w:t>E3√</w:t>
            </w:r>
          </w:p>
        </w:tc>
      </w:tr>
      <w:tr w14:paraId="40166257">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tcBorders>
              <w:top w:val="single" w:color="000000" w:sz="4" w:space="0"/>
              <w:left w:val="nil"/>
              <w:bottom w:val="single" w:color="000000" w:sz="4" w:space="0"/>
              <w:right w:val="single" w:color="000000" w:sz="4" w:space="0"/>
            </w:tcBorders>
            <w:noWrap/>
            <w:vAlign w:val="center"/>
          </w:tcPr>
          <w:p w14:paraId="5FFB5CD9">
            <w:pPr>
              <w:widowControl/>
              <w:spacing w:line="240" w:lineRule="auto"/>
              <w:ind w:firstLine="0" w:firstLineChars="0"/>
              <w:jc w:val="center"/>
              <w:rPr>
                <w:color w:val="auto"/>
                <w:kern w:val="0"/>
                <w:sz w:val="21"/>
                <w:szCs w:val="21"/>
              </w:rPr>
            </w:pPr>
            <w:r>
              <w:rPr>
                <w:color w:val="auto"/>
                <w:kern w:val="0"/>
                <w:sz w:val="21"/>
                <w:szCs w:val="21"/>
                <w:lang w:bidi="ar"/>
              </w:rPr>
              <w:t>环境风险潜势</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4925E69E">
            <w:pPr>
              <w:widowControl/>
              <w:spacing w:line="240" w:lineRule="auto"/>
              <w:ind w:firstLine="0" w:firstLineChars="0"/>
              <w:jc w:val="center"/>
              <w:rPr>
                <w:color w:val="auto"/>
                <w:kern w:val="0"/>
                <w:sz w:val="21"/>
                <w:szCs w:val="21"/>
              </w:rPr>
            </w:pPr>
            <w:r>
              <w:rPr>
                <w:color w:val="auto"/>
                <w:kern w:val="0"/>
                <w:sz w:val="21"/>
                <w:szCs w:val="21"/>
                <w:lang w:bidi="ar"/>
              </w:rPr>
              <w:t>Ⅳ+□</w:t>
            </w:r>
          </w:p>
        </w:tc>
        <w:tc>
          <w:tcPr>
            <w:tcW w:w="861" w:type="pct"/>
            <w:gridSpan w:val="4"/>
            <w:tcBorders>
              <w:top w:val="single" w:color="000000" w:sz="4" w:space="0"/>
              <w:left w:val="single" w:color="000000" w:sz="4" w:space="0"/>
              <w:bottom w:val="single" w:color="000000" w:sz="4" w:space="0"/>
              <w:right w:val="single" w:color="000000" w:sz="4" w:space="0"/>
            </w:tcBorders>
            <w:vAlign w:val="center"/>
          </w:tcPr>
          <w:p w14:paraId="4E0D29EB">
            <w:pPr>
              <w:widowControl/>
              <w:spacing w:line="240" w:lineRule="auto"/>
              <w:ind w:firstLine="0" w:firstLineChars="0"/>
              <w:jc w:val="center"/>
              <w:rPr>
                <w:color w:val="auto"/>
                <w:kern w:val="0"/>
                <w:sz w:val="21"/>
                <w:szCs w:val="21"/>
              </w:rPr>
            </w:pPr>
            <w:r>
              <w:rPr>
                <w:color w:val="auto"/>
                <w:kern w:val="0"/>
                <w:sz w:val="21"/>
                <w:szCs w:val="21"/>
                <w:lang w:bidi="ar"/>
              </w:rPr>
              <w:t>Ⅳ□</w:t>
            </w:r>
          </w:p>
        </w:tc>
        <w:tc>
          <w:tcPr>
            <w:tcW w:w="813" w:type="pct"/>
            <w:gridSpan w:val="4"/>
            <w:tcBorders>
              <w:top w:val="single" w:color="000000" w:sz="4" w:space="0"/>
              <w:left w:val="single" w:color="000000" w:sz="4" w:space="0"/>
              <w:bottom w:val="single" w:color="000000" w:sz="4" w:space="0"/>
              <w:right w:val="single" w:color="000000" w:sz="4" w:space="0"/>
            </w:tcBorders>
            <w:vAlign w:val="center"/>
          </w:tcPr>
          <w:p w14:paraId="6A0DF323">
            <w:pPr>
              <w:widowControl/>
              <w:spacing w:line="240" w:lineRule="auto"/>
              <w:ind w:firstLine="0" w:firstLineChars="0"/>
              <w:jc w:val="center"/>
              <w:rPr>
                <w:color w:val="auto"/>
                <w:kern w:val="0"/>
                <w:sz w:val="21"/>
                <w:szCs w:val="21"/>
              </w:rPr>
            </w:pPr>
            <w:r>
              <w:rPr>
                <w:color w:val="auto"/>
                <w:kern w:val="0"/>
                <w:sz w:val="21"/>
                <w:szCs w:val="21"/>
                <w:lang w:bidi="ar"/>
              </w:rPr>
              <w:t>Ⅲ√</w:t>
            </w:r>
          </w:p>
        </w:tc>
        <w:tc>
          <w:tcPr>
            <w:tcW w:w="1105" w:type="pct"/>
            <w:gridSpan w:val="4"/>
            <w:tcBorders>
              <w:top w:val="single" w:color="000000" w:sz="4" w:space="0"/>
              <w:left w:val="single" w:color="000000" w:sz="4" w:space="0"/>
              <w:bottom w:val="single" w:color="000000" w:sz="4" w:space="0"/>
              <w:right w:val="single" w:color="000000" w:sz="4" w:space="0"/>
            </w:tcBorders>
            <w:vAlign w:val="center"/>
          </w:tcPr>
          <w:p w14:paraId="34356C98">
            <w:pPr>
              <w:widowControl/>
              <w:spacing w:line="240" w:lineRule="auto"/>
              <w:ind w:firstLine="0" w:firstLineChars="0"/>
              <w:jc w:val="center"/>
              <w:rPr>
                <w:color w:val="auto"/>
                <w:kern w:val="0"/>
                <w:sz w:val="21"/>
                <w:szCs w:val="21"/>
              </w:rPr>
            </w:pPr>
            <w:r>
              <w:rPr>
                <w:color w:val="auto"/>
                <w:kern w:val="0"/>
                <w:sz w:val="21"/>
                <w:szCs w:val="21"/>
                <w:lang w:bidi="ar"/>
              </w:rPr>
              <w:t>Ⅱ√</w:t>
            </w:r>
          </w:p>
        </w:tc>
        <w:tc>
          <w:tcPr>
            <w:tcW w:w="1195" w:type="pct"/>
            <w:gridSpan w:val="2"/>
            <w:tcBorders>
              <w:top w:val="single" w:color="000000" w:sz="4" w:space="0"/>
              <w:left w:val="single" w:color="000000" w:sz="4" w:space="0"/>
              <w:bottom w:val="single" w:color="000000" w:sz="4" w:space="0"/>
              <w:right w:val="nil"/>
            </w:tcBorders>
            <w:vAlign w:val="center"/>
          </w:tcPr>
          <w:p w14:paraId="0093C5C2">
            <w:pPr>
              <w:widowControl/>
              <w:spacing w:line="240" w:lineRule="auto"/>
              <w:ind w:firstLine="0" w:firstLineChars="0"/>
              <w:jc w:val="center"/>
              <w:rPr>
                <w:color w:val="auto"/>
                <w:kern w:val="0"/>
                <w:sz w:val="21"/>
                <w:szCs w:val="21"/>
              </w:rPr>
            </w:pPr>
            <w:r>
              <w:rPr>
                <w:color w:val="auto"/>
                <w:kern w:val="0"/>
                <w:sz w:val="21"/>
                <w:szCs w:val="21"/>
                <w:lang w:bidi="ar"/>
              </w:rPr>
              <w:t>Ⅰ □</w:t>
            </w:r>
          </w:p>
        </w:tc>
      </w:tr>
      <w:tr w14:paraId="3BDE951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tcBorders>
              <w:top w:val="single" w:color="000000" w:sz="4" w:space="0"/>
              <w:left w:val="nil"/>
              <w:bottom w:val="single" w:color="000000" w:sz="4" w:space="0"/>
              <w:right w:val="single" w:color="000000" w:sz="4" w:space="0"/>
            </w:tcBorders>
            <w:noWrap/>
            <w:vAlign w:val="center"/>
          </w:tcPr>
          <w:p w14:paraId="35C78CA8">
            <w:pPr>
              <w:widowControl/>
              <w:spacing w:line="240" w:lineRule="auto"/>
              <w:ind w:firstLine="0" w:firstLineChars="0"/>
              <w:jc w:val="center"/>
              <w:rPr>
                <w:color w:val="auto"/>
                <w:kern w:val="0"/>
                <w:sz w:val="21"/>
                <w:szCs w:val="21"/>
              </w:rPr>
            </w:pPr>
            <w:r>
              <w:rPr>
                <w:color w:val="auto"/>
                <w:kern w:val="0"/>
                <w:sz w:val="21"/>
                <w:szCs w:val="21"/>
                <w:lang w:bidi="ar"/>
              </w:rPr>
              <w:t>评价等级</w:t>
            </w:r>
          </w:p>
        </w:tc>
        <w:tc>
          <w:tcPr>
            <w:tcW w:w="1336" w:type="pct"/>
            <w:gridSpan w:val="5"/>
            <w:tcBorders>
              <w:top w:val="single" w:color="000000" w:sz="4" w:space="0"/>
              <w:left w:val="single" w:color="000000" w:sz="4" w:space="0"/>
              <w:bottom w:val="single" w:color="000000" w:sz="4" w:space="0"/>
              <w:right w:val="single" w:color="000000" w:sz="4" w:space="0"/>
            </w:tcBorders>
            <w:noWrap/>
            <w:vAlign w:val="center"/>
          </w:tcPr>
          <w:p w14:paraId="436BE14C">
            <w:pPr>
              <w:widowControl/>
              <w:spacing w:line="240" w:lineRule="auto"/>
              <w:ind w:firstLine="0" w:firstLineChars="0"/>
              <w:jc w:val="center"/>
              <w:rPr>
                <w:color w:val="auto"/>
                <w:kern w:val="0"/>
                <w:sz w:val="21"/>
                <w:szCs w:val="21"/>
              </w:rPr>
            </w:pPr>
            <w:r>
              <w:rPr>
                <w:color w:val="auto"/>
                <w:kern w:val="0"/>
                <w:sz w:val="21"/>
                <w:szCs w:val="21"/>
                <w:lang w:bidi="ar"/>
              </w:rPr>
              <w:t>一级 □</w:t>
            </w:r>
          </w:p>
        </w:tc>
        <w:tc>
          <w:tcPr>
            <w:tcW w:w="813" w:type="pct"/>
            <w:gridSpan w:val="4"/>
            <w:tcBorders>
              <w:top w:val="single" w:color="000000" w:sz="4" w:space="0"/>
              <w:left w:val="single" w:color="000000" w:sz="4" w:space="0"/>
              <w:bottom w:val="single" w:color="000000" w:sz="4" w:space="0"/>
              <w:right w:val="single" w:color="000000" w:sz="4" w:space="0"/>
            </w:tcBorders>
            <w:vAlign w:val="center"/>
          </w:tcPr>
          <w:p w14:paraId="1CAEF967">
            <w:pPr>
              <w:widowControl/>
              <w:spacing w:line="240" w:lineRule="auto"/>
              <w:ind w:firstLine="0" w:firstLineChars="0"/>
              <w:jc w:val="center"/>
              <w:rPr>
                <w:color w:val="auto"/>
                <w:kern w:val="0"/>
                <w:sz w:val="21"/>
                <w:szCs w:val="21"/>
              </w:rPr>
            </w:pPr>
            <w:r>
              <w:rPr>
                <w:color w:val="auto"/>
                <w:kern w:val="0"/>
                <w:sz w:val="21"/>
                <w:szCs w:val="21"/>
                <w:lang w:bidi="ar"/>
              </w:rPr>
              <w:t>二级√</w:t>
            </w:r>
          </w:p>
        </w:tc>
        <w:tc>
          <w:tcPr>
            <w:tcW w:w="1105" w:type="pct"/>
            <w:gridSpan w:val="4"/>
            <w:tcBorders>
              <w:top w:val="single" w:color="000000" w:sz="4" w:space="0"/>
              <w:left w:val="single" w:color="000000" w:sz="4" w:space="0"/>
              <w:bottom w:val="single" w:color="000000" w:sz="4" w:space="0"/>
              <w:right w:val="single" w:color="000000" w:sz="4" w:space="0"/>
            </w:tcBorders>
            <w:vAlign w:val="center"/>
          </w:tcPr>
          <w:p w14:paraId="7FA2A142">
            <w:pPr>
              <w:spacing w:line="240" w:lineRule="auto"/>
              <w:ind w:firstLine="0" w:firstLineChars="0"/>
              <w:jc w:val="center"/>
              <w:rPr>
                <w:color w:val="auto"/>
                <w:kern w:val="0"/>
                <w:sz w:val="21"/>
                <w:szCs w:val="21"/>
              </w:rPr>
            </w:pPr>
            <w:r>
              <w:rPr>
                <w:color w:val="auto"/>
                <w:kern w:val="0"/>
                <w:sz w:val="21"/>
                <w:szCs w:val="21"/>
                <w:lang w:bidi="ar"/>
              </w:rPr>
              <w:t>三级√</w:t>
            </w:r>
          </w:p>
        </w:tc>
        <w:tc>
          <w:tcPr>
            <w:tcW w:w="1195" w:type="pct"/>
            <w:gridSpan w:val="2"/>
            <w:tcBorders>
              <w:top w:val="single" w:color="000000" w:sz="4" w:space="0"/>
              <w:left w:val="single" w:color="000000" w:sz="4" w:space="0"/>
              <w:bottom w:val="single" w:color="000000" w:sz="4" w:space="0"/>
              <w:right w:val="nil"/>
            </w:tcBorders>
            <w:vAlign w:val="center"/>
          </w:tcPr>
          <w:p w14:paraId="1D114DB3">
            <w:pPr>
              <w:widowControl/>
              <w:spacing w:line="240" w:lineRule="auto"/>
              <w:ind w:firstLine="0" w:firstLineChars="0"/>
              <w:jc w:val="center"/>
              <w:rPr>
                <w:color w:val="auto"/>
                <w:kern w:val="0"/>
                <w:sz w:val="21"/>
                <w:szCs w:val="21"/>
              </w:rPr>
            </w:pPr>
            <w:r>
              <w:rPr>
                <w:color w:val="auto"/>
                <w:kern w:val="0"/>
                <w:sz w:val="21"/>
                <w:szCs w:val="21"/>
                <w:lang w:bidi="ar"/>
              </w:rPr>
              <w:t>简单分析 □</w:t>
            </w:r>
          </w:p>
        </w:tc>
      </w:tr>
      <w:tr w14:paraId="0DB4007D">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restart"/>
            <w:tcBorders>
              <w:top w:val="single" w:color="000000" w:sz="4" w:space="0"/>
              <w:left w:val="nil"/>
              <w:bottom w:val="single" w:color="000000" w:sz="4" w:space="0"/>
              <w:right w:val="single" w:color="000000" w:sz="4" w:space="0"/>
            </w:tcBorders>
            <w:noWrap/>
            <w:vAlign w:val="center"/>
          </w:tcPr>
          <w:p w14:paraId="650A244A">
            <w:pPr>
              <w:widowControl/>
              <w:spacing w:line="240" w:lineRule="auto"/>
              <w:ind w:firstLine="0" w:firstLineChars="0"/>
              <w:jc w:val="center"/>
              <w:rPr>
                <w:color w:val="auto"/>
                <w:kern w:val="0"/>
                <w:sz w:val="21"/>
                <w:szCs w:val="21"/>
              </w:rPr>
            </w:pPr>
            <w:r>
              <w:rPr>
                <w:color w:val="auto"/>
                <w:kern w:val="0"/>
                <w:sz w:val="21"/>
                <w:szCs w:val="21"/>
                <w:lang w:bidi="ar"/>
              </w:rPr>
              <w:t>风险识别</w:t>
            </w:r>
          </w:p>
        </w:tc>
        <w:tc>
          <w:tcPr>
            <w:tcW w:w="331" w:type="pct"/>
            <w:tcBorders>
              <w:top w:val="single" w:color="000000" w:sz="4" w:space="0"/>
              <w:left w:val="single" w:color="000000" w:sz="4" w:space="0"/>
              <w:bottom w:val="single" w:color="000000" w:sz="4" w:space="0"/>
              <w:right w:val="single" w:color="000000" w:sz="4" w:space="0"/>
            </w:tcBorders>
            <w:noWrap/>
            <w:vAlign w:val="center"/>
          </w:tcPr>
          <w:p w14:paraId="511F06AB">
            <w:pPr>
              <w:widowControl/>
              <w:spacing w:line="240" w:lineRule="auto"/>
              <w:ind w:firstLine="0" w:firstLineChars="0"/>
              <w:jc w:val="center"/>
              <w:rPr>
                <w:color w:val="auto"/>
                <w:kern w:val="0"/>
                <w:sz w:val="21"/>
                <w:szCs w:val="21"/>
              </w:rPr>
            </w:pPr>
            <w:r>
              <w:rPr>
                <w:color w:val="auto"/>
                <w:kern w:val="0"/>
                <w:sz w:val="21"/>
                <w:szCs w:val="21"/>
                <w:lang w:bidi="ar"/>
              </w:rPr>
              <w:t>物质危险性</w:t>
            </w:r>
          </w:p>
        </w:tc>
        <w:tc>
          <w:tcPr>
            <w:tcW w:w="1652" w:type="pct"/>
            <w:gridSpan w:val="7"/>
            <w:tcBorders>
              <w:top w:val="single" w:color="000000" w:sz="4" w:space="0"/>
              <w:left w:val="single" w:color="000000" w:sz="4" w:space="0"/>
              <w:bottom w:val="single" w:color="000000" w:sz="4" w:space="0"/>
              <w:right w:val="single" w:color="000000" w:sz="4" w:space="0"/>
            </w:tcBorders>
            <w:noWrap/>
            <w:vAlign w:val="center"/>
          </w:tcPr>
          <w:p w14:paraId="2E4FBB85">
            <w:pPr>
              <w:widowControl/>
              <w:spacing w:line="240" w:lineRule="auto"/>
              <w:ind w:firstLine="0" w:firstLineChars="0"/>
              <w:jc w:val="center"/>
              <w:rPr>
                <w:color w:val="auto"/>
                <w:kern w:val="0"/>
                <w:sz w:val="21"/>
                <w:szCs w:val="21"/>
              </w:rPr>
            </w:pPr>
            <w:r>
              <w:rPr>
                <w:color w:val="auto"/>
                <w:kern w:val="0"/>
                <w:sz w:val="21"/>
                <w:szCs w:val="21"/>
                <w:lang w:bidi="ar"/>
              </w:rPr>
              <w:t>有毒有害√</w:t>
            </w:r>
          </w:p>
        </w:tc>
        <w:tc>
          <w:tcPr>
            <w:tcW w:w="2797" w:type="pct"/>
            <w:gridSpan w:val="8"/>
            <w:tcBorders>
              <w:top w:val="single" w:color="000000" w:sz="4" w:space="0"/>
              <w:left w:val="single" w:color="000000" w:sz="4" w:space="0"/>
              <w:bottom w:val="single" w:color="000000" w:sz="4" w:space="0"/>
              <w:right w:val="nil"/>
            </w:tcBorders>
            <w:noWrap/>
            <w:vAlign w:val="center"/>
          </w:tcPr>
          <w:p w14:paraId="43D99849">
            <w:pPr>
              <w:widowControl/>
              <w:spacing w:line="240" w:lineRule="auto"/>
              <w:ind w:firstLine="0" w:firstLineChars="0"/>
              <w:jc w:val="center"/>
              <w:rPr>
                <w:color w:val="auto"/>
                <w:kern w:val="0"/>
                <w:sz w:val="21"/>
                <w:szCs w:val="21"/>
              </w:rPr>
            </w:pPr>
            <w:r>
              <w:rPr>
                <w:color w:val="auto"/>
                <w:kern w:val="0"/>
                <w:sz w:val="21"/>
                <w:szCs w:val="21"/>
                <w:lang w:bidi="ar"/>
              </w:rPr>
              <w:t>易燃易爆√</w:t>
            </w:r>
          </w:p>
        </w:tc>
      </w:tr>
      <w:tr w14:paraId="23492B8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top w:val="single" w:color="000000" w:sz="4" w:space="0"/>
              <w:left w:val="nil"/>
              <w:bottom w:val="single" w:color="000000" w:sz="4" w:space="0"/>
              <w:right w:val="single" w:color="000000" w:sz="4" w:space="0"/>
            </w:tcBorders>
            <w:noWrap/>
            <w:vAlign w:val="center"/>
          </w:tcPr>
          <w:p w14:paraId="4D837854">
            <w:pPr>
              <w:spacing w:line="240" w:lineRule="auto"/>
              <w:ind w:firstLine="0" w:firstLineChars="0"/>
              <w:rPr>
                <w:color w:val="auto"/>
                <w:sz w:val="21"/>
                <w:szCs w:val="21"/>
              </w:rPr>
            </w:pPr>
          </w:p>
        </w:tc>
        <w:tc>
          <w:tcPr>
            <w:tcW w:w="331" w:type="pct"/>
            <w:tcBorders>
              <w:top w:val="single" w:color="000000" w:sz="4" w:space="0"/>
              <w:left w:val="single" w:color="000000" w:sz="4" w:space="0"/>
              <w:bottom w:val="single" w:color="000000" w:sz="4" w:space="0"/>
              <w:right w:val="single" w:color="000000" w:sz="4" w:space="0"/>
            </w:tcBorders>
            <w:noWrap/>
            <w:vAlign w:val="center"/>
          </w:tcPr>
          <w:p w14:paraId="47ABFBD7">
            <w:pPr>
              <w:widowControl/>
              <w:spacing w:line="240" w:lineRule="auto"/>
              <w:ind w:firstLine="0" w:firstLineChars="0"/>
              <w:jc w:val="center"/>
              <w:rPr>
                <w:color w:val="auto"/>
                <w:kern w:val="0"/>
                <w:sz w:val="21"/>
                <w:szCs w:val="21"/>
              </w:rPr>
            </w:pPr>
            <w:r>
              <w:rPr>
                <w:color w:val="auto"/>
                <w:kern w:val="0"/>
                <w:sz w:val="21"/>
                <w:szCs w:val="21"/>
                <w:lang w:bidi="ar"/>
              </w:rPr>
              <w:t>环境风险类型</w:t>
            </w:r>
          </w:p>
        </w:tc>
        <w:tc>
          <w:tcPr>
            <w:tcW w:w="695" w:type="pct"/>
            <w:gridSpan w:val="2"/>
            <w:tcBorders>
              <w:top w:val="single" w:color="000000" w:sz="4" w:space="0"/>
              <w:left w:val="single" w:color="000000" w:sz="4" w:space="0"/>
              <w:bottom w:val="single" w:color="000000" w:sz="4" w:space="0"/>
              <w:right w:val="single" w:color="000000" w:sz="4" w:space="0"/>
            </w:tcBorders>
            <w:noWrap/>
            <w:vAlign w:val="center"/>
          </w:tcPr>
          <w:p w14:paraId="2BE95254">
            <w:pPr>
              <w:widowControl/>
              <w:spacing w:line="240" w:lineRule="auto"/>
              <w:ind w:firstLine="0" w:firstLineChars="0"/>
              <w:jc w:val="center"/>
              <w:rPr>
                <w:color w:val="auto"/>
                <w:kern w:val="0"/>
                <w:sz w:val="21"/>
                <w:szCs w:val="21"/>
              </w:rPr>
            </w:pPr>
            <w:r>
              <w:rPr>
                <w:color w:val="auto"/>
                <w:kern w:val="0"/>
                <w:sz w:val="21"/>
                <w:szCs w:val="21"/>
                <w:lang w:bidi="ar"/>
              </w:rPr>
              <w:t>泄漏√</w:t>
            </w:r>
          </w:p>
        </w:tc>
        <w:tc>
          <w:tcPr>
            <w:tcW w:w="3754" w:type="pct"/>
            <w:gridSpan w:val="13"/>
            <w:tcBorders>
              <w:top w:val="single" w:color="000000" w:sz="4" w:space="0"/>
              <w:left w:val="single" w:color="000000" w:sz="4" w:space="0"/>
              <w:bottom w:val="single" w:color="000000" w:sz="4" w:space="0"/>
              <w:right w:val="nil"/>
            </w:tcBorders>
            <w:noWrap/>
            <w:vAlign w:val="center"/>
          </w:tcPr>
          <w:p w14:paraId="31083795">
            <w:pPr>
              <w:widowControl/>
              <w:spacing w:line="240" w:lineRule="auto"/>
              <w:ind w:firstLine="0" w:firstLineChars="0"/>
              <w:jc w:val="center"/>
              <w:rPr>
                <w:color w:val="auto"/>
                <w:kern w:val="0"/>
                <w:sz w:val="21"/>
                <w:szCs w:val="21"/>
              </w:rPr>
            </w:pPr>
            <w:r>
              <w:rPr>
                <w:color w:val="auto"/>
                <w:kern w:val="0"/>
                <w:sz w:val="21"/>
                <w:szCs w:val="21"/>
                <w:lang w:bidi="ar"/>
              </w:rPr>
              <w:t>火灾、爆炸引发伴生/次生污染物排放√</w:t>
            </w:r>
          </w:p>
        </w:tc>
      </w:tr>
      <w:tr w14:paraId="50DB24B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top w:val="single" w:color="000000" w:sz="4" w:space="0"/>
              <w:left w:val="nil"/>
              <w:bottom w:val="single" w:color="000000" w:sz="4" w:space="0"/>
              <w:right w:val="single" w:color="000000" w:sz="4" w:space="0"/>
            </w:tcBorders>
            <w:noWrap/>
            <w:vAlign w:val="center"/>
          </w:tcPr>
          <w:p w14:paraId="49173F5E">
            <w:pPr>
              <w:spacing w:line="240" w:lineRule="auto"/>
              <w:ind w:firstLine="0" w:firstLineChars="0"/>
              <w:rPr>
                <w:color w:val="auto"/>
                <w:sz w:val="21"/>
                <w:szCs w:val="21"/>
              </w:rPr>
            </w:pPr>
          </w:p>
        </w:tc>
        <w:tc>
          <w:tcPr>
            <w:tcW w:w="331" w:type="pct"/>
            <w:tcBorders>
              <w:top w:val="single" w:color="000000" w:sz="4" w:space="0"/>
              <w:left w:val="single" w:color="000000" w:sz="4" w:space="0"/>
              <w:bottom w:val="single" w:color="000000" w:sz="4" w:space="0"/>
              <w:right w:val="single" w:color="000000" w:sz="4" w:space="0"/>
            </w:tcBorders>
            <w:noWrap/>
            <w:vAlign w:val="center"/>
          </w:tcPr>
          <w:p w14:paraId="1BE6DFE1">
            <w:pPr>
              <w:widowControl/>
              <w:spacing w:line="240" w:lineRule="auto"/>
              <w:ind w:firstLine="0" w:firstLineChars="0"/>
              <w:jc w:val="center"/>
              <w:rPr>
                <w:color w:val="auto"/>
                <w:kern w:val="0"/>
                <w:sz w:val="21"/>
                <w:szCs w:val="21"/>
              </w:rPr>
            </w:pPr>
            <w:r>
              <w:rPr>
                <w:color w:val="auto"/>
                <w:kern w:val="0"/>
                <w:sz w:val="21"/>
                <w:szCs w:val="21"/>
                <w:lang w:bidi="ar"/>
              </w:rPr>
              <w:t>影响途径</w:t>
            </w:r>
          </w:p>
        </w:tc>
        <w:tc>
          <w:tcPr>
            <w:tcW w:w="890" w:type="pct"/>
            <w:gridSpan w:val="3"/>
            <w:tcBorders>
              <w:top w:val="single" w:color="000000" w:sz="4" w:space="0"/>
              <w:left w:val="single" w:color="000000" w:sz="4" w:space="0"/>
              <w:bottom w:val="single" w:color="000000" w:sz="4" w:space="0"/>
              <w:right w:val="single" w:color="000000" w:sz="4" w:space="0"/>
            </w:tcBorders>
            <w:noWrap/>
            <w:vAlign w:val="center"/>
          </w:tcPr>
          <w:p w14:paraId="03276F58">
            <w:pPr>
              <w:widowControl/>
              <w:spacing w:line="240" w:lineRule="auto"/>
              <w:ind w:firstLine="0" w:firstLineChars="0"/>
              <w:jc w:val="center"/>
              <w:rPr>
                <w:color w:val="auto"/>
                <w:kern w:val="0"/>
                <w:sz w:val="21"/>
                <w:szCs w:val="21"/>
              </w:rPr>
            </w:pPr>
            <w:r>
              <w:rPr>
                <w:color w:val="auto"/>
                <w:kern w:val="0"/>
                <w:sz w:val="21"/>
                <w:szCs w:val="21"/>
                <w:lang w:bidi="ar"/>
              </w:rPr>
              <w:t>大气 √</w:t>
            </w:r>
          </w:p>
        </w:tc>
        <w:tc>
          <w:tcPr>
            <w:tcW w:w="1844" w:type="pct"/>
            <w:gridSpan w:val="9"/>
            <w:tcBorders>
              <w:top w:val="single" w:color="000000" w:sz="4" w:space="0"/>
              <w:left w:val="single" w:color="000000" w:sz="4" w:space="0"/>
              <w:bottom w:val="single" w:color="000000" w:sz="4" w:space="0"/>
              <w:right w:val="single" w:color="000000" w:sz="4" w:space="0"/>
            </w:tcBorders>
            <w:vAlign w:val="center"/>
          </w:tcPr>
          <w:p w14:paraId="1AE723B7">
            <w:pPr>
              <w:widowControl/>
              <w:spacing w:line="240" w:lineRule="auto"/>
              <w:ind w:firstLine="0" w:firstLineChars="0"/>
              <w:jc w:val="center"/>
              <w:rPr>
                <w:color w:val="auto"/>
                <w:kern w:val="0"/>
                <w:sz w:val="21"/>
                <w:szCs w:val="21"/>
              </w:rPr>
            </w:pPr>
            <w:r>
              <w:rPr>
                <w:color w:val="auto"/>
                <w:kern w:val="0"/>
                <w:sz w:val="21"/>
                <w:szCs w:val="21"/>
                <w:lang w:bidi="ar"/>
              </w:rPr>
              <w:t>地表水 √</w:t>
            </w:r>
          </w:p>
        </w:tc>
        <w:tc>
          <w:tcPr>
            <w:tcW w:w="1715" w:type="pct"/>
            <w:gridSpan w:val="3"/>
            <w:tcBorders>
              <w:top w:val="single" w:color="000000" w:sz="4" w:space="0"/>
              <w:left w:val="single" w:color="000000" w:sz="4" w:space="0"/>
              <w:bottom w:val="single" w:color="000000" w:sz="4" w:space="0"/>
              <w:right w:val="nil"/>
            </w:tcBorders>
            <w:vAlign w:val="center"/>
          </w:tcPr>
          <w:p w14:paraId="3051E56C">
            <w:pPr>
              <w:widowControl/>
              <w:spacing w:line="240" w:lineRule="auto"/>
              <w:ind w:firstLine="0" w:firstLineChars="0"/>
              <w:jc w:val="center"/>
              <w:rPr>
                <w:color w:val="auto"/>
                <w:kern w:val="0"/>
                <w:sz w:val="21"/>
                <w:szCs w:val="21"/>
              </w:rPr>
            </w:pPr>
            <w:r>
              <w:rPr>
                <w:color w:val="auto"/>
                <w:kern w:val="0"/>
                <w:sz w:val="21"/>
                <w:szCs w:val="21"/>
                <w:lang w:bidi="ar"/>
              </w:rPr>
              <w:t>地下水 √</w:t>
            </w:r>
          </w:p>
        </w:tc>
      </w:tr>
      <w:tr w14:paraId="38A1348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tcBorders>
              <w:top w:val="single" w:color="000000" w:sz="4" w:space="0"/>
              <w:left w:val="nil"/>
              <w:bottom w:val="single" w:color="000000" w:sz="4" w:space="0"/>
              <w:right w:val="single" w:color="000000" w:sz="4" w:space="0"/>
            </w:tcBorders>
            <w:noWrap/>
            <w:vAlign w:val="center"/>
          </w:tcPr>
          <w:p w14:paraId="021C8170">
            <w:pPr>
              <w:widowControl/>
              <w:spacing w:line="240" w:lineRule="auto"/>
              <w:ind w:firstLine="0" w:firstLineChars="0"/>
              <w:jc w:val="center"/>
              <w:rPr>
                <w:color w:val="auto"/>
                <w:kern w:val="0"/>
                <w:sz w:val="21"/>
                <w:szCs w:val="21"/>
              </w:rPr>
            </w:pPr>
            <w:r>
              <w:rPr>
                <w:color w:val="auto"/>
                <w:kern w:val="0"/>
                <w:sz w:val="21"/>
                <w:szCs w:val="21"/>
                <w:lang w:bidi="ar"/>
              </w:rPr>
              <w:t>事故情形分析</w:t>
            </w:r>
          </w:p>
        </w:tc>
        <w:tc>
          <w:tcPr>
            <w:tcW w:w="695" w:type="pct"/>
            <w:gridSpan w:val="2"/>
            <w:tcBorders>
              <w:top w:val="single" w:color="000000" w:sz="4" w:space="0"/>
              <w:left w:val="single" w:color="000000" w:sz="4" w:space="0"/>
              <w:bottom w:val="single" w:color="000000" w:sz="4" w:space="0"/>
              <w:right w:val="single" w:color="000000" w:sz="4" w:space="0"/>
            </w:tcBorders>
            <w:noWrap/>
            <w:vAlign w:val="center"/>
          </w:tcPr>
          <w:p w14:paraId="1A9E49F5">
            <w:pPr>
              <w:widowControl/>
              <w:spacing w:line="240" w:lineRule="auto"/>
              <w:ind w:firstLine="0" w:firstLineChars="0"/>
              <w:jc w:val="center"/>
              <w:rPr>
                <w:color w:val="auto"/>
                <w:kern w:val="0"/>
                <w:sz w:val="21"/>
                <w:szCs w:val="21"/>
              </w:rPr>
            </w:pPr>
            <w:r>
              <w:rPr>
                <w:color w:val="auto"/>
                <w:kern w:val="0"/>
                <w:sz w:val="21"/>
                <w:szCs w:val="21"/>
                <w:lang w:bidi="ar"/>
              </w:rPr>
              <w:t>源强设定方法□</w:t>
            </w:r>
          </w:p>
        </w:tc>
        <w:tc>
          <w:tcPr>
            <w:tcW w:w="958" w:type="pct"/>
            <w:gridSpan w:val="5"/>
            <w:tcBorders>
              <w:top w:val="single" w:color="000000" w:sz="4" w:space="0"/>
              <w:left w:val="single" w:color="000000" w:sz="4" w:space="0"/>
              <w:bottom w:val="single" w:color="000000" w:sz="4" w:space="0"/>
              <w:right w:val="single" w:color="000000" w:sz="4" w:space="0"/>
            </w:tcBorders>
            <w:noWrap/>
            <w:vAlign w:val="center"/>
          </w:tcPr>
          <w:p w14:paraId="4587EC2F">
            <w:pPr>
              <w:widowControl/>
              <w:spacing w:line="240" w:lineRule="auto"/>
              <w:ind w:firstLine="0" w:firstLineChars="0"/>
              <w:jc w:val="center"/>
              <w:rPr>
                <w:color w:val="auto"/>
                <w:kern w:val="0"/>
                <w:sz w:val="21"/>
                <w:szCs w:val="21"/>
              </w:rPr>
            </w:pPr>
            <w:r>
              <w:rPr>
                <w:color w:val="auto"/>
                <w:kern w:val="0"/>
                <w:sz w:val="21"/>
                <w:szCs w:val="21"/>
                <w:lang w:bidi="ar"/>
              </w:rPr>
              <w:t>计算法√</w:t>
            </w:r>
          </w:p>
        </w:tc>
        <w:tc>
          <w:tcPr>
            <w:tcW w:w="1602" w:type="pct"/>
            <w:gridSpan w:val="6"/>
            <w:tcBorders>
              <w:top w:val="single" w:color="000000" w:sz="4" w:space="0"/>
              <w:left w:val="single" w:color="000000" w:sz="4" w:space="0"/>
              <w:bottom w:val="single" w:color="000000" w:sz="4" w:space="0"/>
              <w:right w:val="single" w:color="000000" w:sz="4" w:space="0"/>
            </w:tcBorders>
            <w:vAlign w:val="center"/>
          </w:tcPr>
          <w:p w14:paraId="0A7CB00D">
            <w:pPr>
              <w:widowControl/>
              <w:spacing w:line="240" w:lineRule="auto"/>
              <w:ind w:firstLine="0" w:firstLineChars="0"/>
              <w:jc w:val="center"/>
              <w:rPr>
                <w:color w:val="auto"/>
                <w:kern w:val="0"/>
                <w:sz w:val="21"/>
                <w:szCs w:val="21"/>
              </w:rPr>
            </w:pPr>
            <w:r>
              <w:rPr>
                <w:color w:val="auto"/>
                <w:kern w:val="0"/>
                <w:sz w:val="21"/>
                <w:szCs w:val="21"/>
                <w:lang w:bidi="ar"/>
              </w:rPr>
              <w:t>经验估算法□</w:t>
            </w:r>
          </w:p>
        </w:tc>
        <w:tc>
          <w:tcPr>
            <w:tcW w:w="1195" w:type="pct"/>
            <w:gridSpan w:val="2"/>
            <w:tcBorders>
              <w:top w:val="single" w:color="000000" w:sz="4" w:space="0"/>
              <w:left w:val="single" w:color="000000" w:sz="4" w:space="0"/>
              <w:bottom w:val="single" w:color="000000" w:sz="4" w:space="0"/>
              <w:right w:val="nil"/>
            </w:tcBorders>
            <w:vAlign w:val="center"/>
          </w:tcPr>
          <w:p w14:paraId="6C7AA88E">
            <w:pPr>
              <w:widowControl/>
              <w:spacing w:line="240" w:lineRule="auto"/>
              <w:ind w:firstLine="0" w:firstLineChars="0"/>
              <w:jc w:val="center"/>
              <w:rPr>
                <w:color w:val="auto"/>
                <w:kern w:val="0"/>
                <w:sz w:val="21"/>
                <w:szCs w:val="21"/>
              </w:rPr>
            </w:pPr>
            <w:r>
              <w:rPr>
                <w:color w:val="auto"/>
                <w:kern w:val="0"/>
                <w:sz w:val="21"/>
                <w:szCs w:val="21"/>
                <w:lang w:bidi="ar"/>
              </w:rPr>
              <w:t>其他估算法 □</w:t>
            </w:r>
          </w:p>
        </w:tc>
      </w:tr>
      <w:tr w14:paraId="4695EF1F">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restart"/>
            <w:tcBorders>
              <w:top w:val="single" w:color="000000" w:sz="4" w:space="0"/>
              <w:left w:val="nil"/>
              <w:right w:val="single" w:color="000000" w:sz="4" w:space="0"/>
            </w:tcBorders>
            <w:vAlign w:val="center"/>
          </w:tcPr>
          <w:p w14:paraId="1B687935">
            <w:pPr>
              <w:spacing w:line="240" w:lineRule="auto"/>
              <w:ind w:firstLine="0" w:firstLineChars="0"/>
              <w:jc w:val="center"/>
              <w:rPr>
                <w:color w:val="auto"/>
                <w:kern w:val="0"/>
                <w:sz w:val="21"/>
                <w:szCs w:val="21"/>
              </w:rPr>
            </w:pPr>
            <w:r>
              <w:rPr>
                <w:color w:val="auto"/>
                <w:kern w:val="0"/>
                <w:sz w:val="21"/>
                <w:szCs w:val="21"/>
                <w:lang w:bidi="ar"/>
              </w:rPr>
              <w:t>风险预测与评价</w:t>
            </w:r>
          </w:p>
        </w:tc>
        <w:tc>
          <w:tcPr>
            <w:tcW w:w="331" w:type="pct"/>
            <w:vMerge w:val="restart"/>
            <w:tcBorders>
              <w:top w:val="single" w:color="000000" w:sz="4" w:space="0"/>
              <w:left w:val="single" w:color="000000" w:sz="4" w:space="0"/>
              <w:bottom w:val="single" w:color="000000" w:sz="4" w:space="0"/>
              <w:right w:val="single" w:color="000000" w:sz="4" w:space="0"/>
            </w:tcBorders>
            <w:noWrap/>
            <w:vAlign w:val="center"/>
          </w:tcPr>
          <w:p w14:paraId="11FEA426">
            <w:pPr>
              <w:widowControl/>
              <w:spacing w:line="240" w:lineRule="auto"/>
              <w:ind w:firstLine="0" w:firstLineChars="0"/>
              <w:jc w:val="center"/>
              <w:rPr>
                <w:color w:val="auto"/>
                <w:kern w:val="0"/>
                <w:sz w:val="21"/>
                <w:szCs w:val="21"/>
              </w:rPr>
            </w:pPr>
            <w:r>
              <w:rPr>
                <w:color w:val="auto"/>
                <w:kern w:val="0"/>
                <w:sz w:val="21"/>
                <w:szCs w:val="21"/>
                <w:lang w:bidi="ar"/>
              </w:rPr>
              <w:t>大气</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70EBFAA0">
            <w:pPr>
              <w:widowControl/>
              <w:spacing w:line="240" w:lineRule="auto"/>
              <w:ind w:firstLine="0" w:firstLineChars="0"/>
              <w:jc w:val="center"/>
              <w:rPr>
                <w:color w:val="auto"/>
                <w:kern w:val="0"/>
                <w:sz w:val="21"/>
                <w:szCs w:val="21"/>
              </w:rPr>
            </w:pPr>
            <w:r>
              <w:rPr>
                <w:color w:val="auto"/>
                <w:kern w:val="0"/>
                <w:sz w:val="21"/>
                <w:szCs w:val="21"/>
                <w:lang w:bidi="ar"/>
              </w:rPr>
              <w:t>预测模型</w:t>
            </w:r>
          </w:p>
        </w:tc>
        <w:tc>
          <w:tcPr>
            <w:tcW w:w="861" w:type="pct"/>
            <w:gridSpan w:val="4"/>
            <w:tcBorders>
              <w:top w:val="single" w:color="000000" w:sz="4" w:space="0"/>
              <w:left w:val="single" w:color="000000" w:sz="4" w:space="0"/>
              <w:bottom w:val="single" w:color="000000" w:sz="4" w:space="0"/>
              <w:right w:val="single" w:color="000000" w:sz="4" w:space="0"/>
            </w:tcBorders>
            <w:vAlign w:val="center"/>
          </w:tcPr>
          <w:p w14:paraId="27FACE81">
            <w:pPr>
              <w:widowControl/>
              <w:spacing w:line="240" w:lineRule="auto"/>
              <w:ind w:firstLine="0" w:firstLineChars="0"/>
              <w:jc w:val="center"/>
              <w:rPr>
                <w:color w:val="auto"/>
                <w:kern w:val="0"/>
                <w:sz w:val="21"/>
                <w:szCs w:val="21"/>
              </w:rPr>
            </w:pPr>
            <w:r>
              <w:rPr>
                <w:color w:val="auto"/>
                <w:kern w:val="0"/>
                <w:sz w:val="21"/>
                <w:szCs w:val="21"/>
                <w:lang w:bidi="ar"/>
              </w:rPr>
              <w:t>SLAB√</w:t>
            </w:r>
          </w:p>
        </w:tc>
        <w:tc>
          <w:tcPr>
            <w:tcW w:w="1231" w:type="pct"/>
            <w:gridSpan w:val="6"/>
            <w:tcBorders>
              <w:top w:val="single" w:color="000000" w:sz="4" w:space="0"/>
              <w:left w:val="single" w:color="000000" w:sz="4" w:space="0"/>
              <w:bottom w:val="single" w:color="000000" w:sz="4" w:space="0"/>
              <w:right w:val="single" w:color="000000" w:sz="4" w:space="0"/>
            </w:tcBorders>
            <w:vAlign w:val="center"/>
          </w:tcPr>
          <w:p w14:paraId="5BD0E070">
            <w:pPr>
              <w:widowControl/>
              <w:spacing w:line="240" w:lineRule="auto"/>
              <w:ind w:firstLine="0" w:firstLineChars="0"/>
              <w:jc w:val="center"/>
              <w:rPr>
                <w:color w:val="auto"/>
                <w:kern w:val="0"/>
                <w:sz w:val="21"/>
                <w:szCs w:val="21"/>
              </w:rPr>
            </w:pPr>
            <w:r>
              <w:rPr>
                <w:color w:val="auto"/>
                <w:kern w:val="0"/>
                <w:sz w:val="21"/>
                <w:szCs w:val="21"/>
                <w:lang w:bidi="ar"/>
              </w:rPr>
              <w:t>AFTOX□</w:t>
            </w:r>
          </w:p>
        </w:tc>
        <w:tc>
          <w:tcPr>
            <w:tcW w:w="1882" w:type="pct"/>
            <w:gridSpan w:val="4"/>
            <w:tcBorders>
              <w:top w:val="single" w:color="000000" w:sz="4" w:space="0"/>
              <w:left w:val="single" w:color="000000" w:sz="4" w:space="0"/>
              <w:bottom w:val="single" w:color="000000" w:sz="4" w:space="0"/>
              <w:right w:val="nil"/>
            </w:tcBorders>
            <w:vAlign w:val="center"/>
          </w:tcPr>
          <w:p w14:paraId="773EFDA7">
            <w:pPr>
              <w:widowControl/>
              <w:spacing w:line="240" w:lineRule="auto"/>
              <w:ind w:firstLine="0" w:firstLineChars="0"/>
              <w:jc w:val="center"/>
              <w:rPr>
                <w:color w:val="auto"/>
                <w:kern w:val="0"/>
                <w:sz w:val="21"/>
                <w:szCs w:val="21"/>
              </w:rPr>
            </w:pPr>
            <w:r>
              <w:rPr>
                <w:color w:val="auto"/>
                <w:kern w:val="0"/>
                <w:sz w:val="21"/>
                <w:szCs w:val="21"/>
                <w:lang w:bidi="ar"/>
              </w:rPr>
              <w:t>其他□</w:t>
            </w:r>
          </w:p>
        </w:tc>
      </w:tr>
      <w:tr w14:paraId="2F4490B7">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left w:val="nil"/>
              <w:right w:val="single" w:color="000000" w:sz="4" w:space="0"/>
            </w:tcBorders>
            <w:vAlign w:val="center"/>
          </w:tcPr>
          <w:p w14:paraId="0103510E">
            <w:pPr>
              <w:spacing w:line="240" w:lineRule="auto"/>
              <w:ind w:firstLine="0" w:firstLineChars="0"/>
              <w:rPr>
                <w:color w:val="auto"/>
                <w:sz w:val="21"/>
                <w:szCs w:val="21"/>
              </w:rPr>
            </w:pPr>
          </w:p>
        </w:tc>
        <w:tc>
          <w:tcPr>
            <w:tcW w:w="331" w:type="pct"/>
            <w:vMerge w:val="continue"/>
            <w:tcBorders>
              <w:top w:val="single" w:color="000000" w:sz="4" w:space="0"/>
              <w:left w:val="single" w:color="000000" w:sz="4" w:space="0"/>
              <w:bottom w:val="single" w:color="000000" w:sz="4" w:space="0"/>
              <w:right w:val="single" w:color="000000" w:sz="4" w:space="0"/>
            </w:tcBorders>
            <w:noWrap/>
            <w:vAlign w:val="center"/>
          </w:tcPr>
          <w:p w14:paraId="774942ED">
            <w:pPr>
              <w:spacing w:line="240" w:lineRule="auto"/>
              <w:ind w:firstLine="0" w:firstLineChars="0"/>
              <w:rPr>
                <w:color w:val="auto"/>
                <w:sz w:val="21"/>
                <w:szCs w:val="21"/>
              </w:rPr>
            </w:pP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50996AD2">
            <w:pPr>
              <w:widowControl/>
              <w:spacing w:line="240" w:lineRule="auto"/>
              <w:ind w:firstLine="0" w:firstLineChars="0"/>
              <w:jc w:val="center"/>
              <w:rPr>
                <w:color w:val="auto"/>
                <w:kern w:val="0"/>
                <w:sz w:val="21"/>
                <w:szCs w:val="21"/>
              </w:rPr>
            </w:pPr>
            <w:r>
              <w:rPr>
                <w:color w:val="auto"/>
                <w:kern w:val="0"/>
                <w:sz w:val="21"/>
                <w:szCs w:val="21"/>
                <w:lang w:bidi="ar"/>
              </w:rPr>
              <w:t>预测结果</w:t>
            </w:r>
          </w:p>
        </w:tc>
        <w:tc>
          <w:tcPr>
            <w:tcW w:w="3974" w:type="pct"/>
            <w:gridSpan w:val="14"/>
            <w:tcBorders>
              <w:top w:val="single" w:color="000000" w:sz="4" w:space="0"/>
              <w:left w:val="single" w:color="000000" w:sz="4" w:space="0"/>
              <w:bottom w:val="single" w:color="000000" w:sz="4" w:space="0"/>
              <w:right w:val="nil"/>
            </w:tcBorders>
            <w:vAlign w:val="center"/>
          </w:tcPr>
          <w:p w14:paraId="28A3CEE3">
            <w:pPr>
              <w:widowControl/>
              <w:spacing w:line="240" w:lineRule="auto"/>
              <w:ind w:firstLine="0" w:firstLineChars="0"/>
              <w:rPr>
                <w:color w:val="auto"/>
                <w:kern w:val="0"/>
                <w:sz w:val="21"/>
                <w:szCs w:val="21"/>
              </w:rPr>
            </w:pPr>
            <w:r>
              <w:rPr>
                <w:bCs/>
                <w:color w:val="auto"/>
                <w:kern w:val="0"/>
                <w:sz w:val="21"/>
                <w:szCs w:val="21"/>
              </w:rPr>
              <w:t>发生液氨泄漏事故，在最不利气象条件下，预测浓度低于毒性终点浓度-1，到达毒性终点浓度-2的最远影响距离为490m。发生硫磺火灾事故，在最不利气象条件下，到达毒性终点浓度-1的最远影响距离为550m，到达毒性终点浓度-2的最远影响距离为4800m。</w:t>
            </w:r>
          </w:p>
        </w:tc>
      </w:tr>
      <w:tr w14:paraId="104D07D9">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left w:val="nil"/>
              <w:right w:val="single" w:color="000000" w:sz="4" w:space="0"/>
            </w:tcBorders>
            <w:vAlign w:val="center"/>
          </w:tcPr>
          <w:p w14:paraId="7470836F">
            <w:pPr>
              <w:spacing w:line="240" w:lineRule="auto"/>
              <w:ind w:firstLine="0" w:firstLineChars="0"/>
              <w:rPr>
                <w:color w:val="auto"/>
                <w:sz w:val="21"/>
                <w:szCs w:val="21"/>
              </w:rPr>
            </w:pPr>
          </w:p>
        </w:tc>
        <w:tc>
          <w:tcPr>
            <w:tcW w:w="331" w:type="pct"/>
            <w:tcBorders>
              <w:top w:val="single" w:color="000000" w:sz="4" w:space="0"/>
              <w:left w:val="single" w:color="000000" w:sz="4" w:space="0"/>
              <w:bottom w:val="single" w:color="000000" w:sz="4" w:space="0"/>
              <w:right w:val="single" w:color="000000" w:sz="4" w:space="0"/>
            </w:tcBorders>
            <w:noWrap/>
            <w:vAlign w:val="center"/>
          </w:tcPr>
          <w:p w14:paraId="1B6F3A0E">
            <w:pPr>
              <w:widowControl/>
              <w:spacing w:line="240" w:lineRule="auto"/>
              <w:ind w:firstLine="0" w:firstLineChars="0"/>
              <w:jc w:val="center"/>
              <w:rPr>
                <w:color w:val="auto"/>
                <w:kern w:val="0"/>
                <w:sz w:val="21"/>
                <w:szCs w:val="21"/>
              </w:rPr>
            </w:pPr>
            <w:r>
              <w:rPr>
                <w:color w:val="auto"/>
                <w:kern w:val="0"/>
                <w:sz w:val="21"/>
                <w:szCs w:val="21"/>
                <w:lang w:bidi="ar"/>
              </w:rPr>
              <w:t>地表水</w:t>
            </w:r>
          </w:p>
        </w:tc>
        <w:tc>
          <w:tcPr>
            <w:tcW w:w="4449" w:type="pct"/>
            <w:gridSpan w:val="15"/>
            <w:tcBorders>
              <w:top w:val="single" w:color="000000" w:sz="4" w:space="0"/>
              <w:left w:val="single" w:color="000000" w:sz="4" w:space="0"/>
              <w:bottom w:val="single" w:color="000000" w:sz="4" w:space="0"/>
              <w:right w:val="nil"/>
            </w:tcBorders>
            <w:noWrap/>
            <w:vAlign w:val="center"/>
          </w:tcPr>
          <w:p w14:paraId="1512E0F6">
            <w:pPr>
              <w:widowControl/>
              <w:spacing w:line="240" w:lineRule="auto"/>
              <w:ind w:firstLine="0" w:firstLineChars="0"/>
              <w:jc w:val="center"/>
              <w:rPr>
                <w:color w:val="auto"/>
                <w:kern w:val="0"/>
                <w:sz w:val="21"/>
                <w:szCs w:val="21"/>
              </w:rPr>
            </w:pPr>
            <w:r>
              <w:rPr>
                <w:color w:val="auto"/>
                <w:kern w:val="0"/>
                <w:sz w:val="21"/>
                <w:szCs w:val="21"/>
                <w:lang w:bidi="ar"/>
              </w:rPr>
              <w:t>最近环境敏感目标/到达时间</w:t>
            </w:r>
            <w:r>
              <w:rPr>
                <w:color w:val="auto"/>
                <w:kern w:val="0"/>
                <w:sz w:val="21"/>
                <w:szCs w:val="21"/>
                <w:u w:val="single"/>
                <w:lang w:bidi="ar"/>
              </w:rPr>
              <w:t>/</w:t>
            </w:r>
            <w:r>
              <w:rPr>
                <w:color w:val="auto"/>
                <w:kern w:val="0"/>
                <w:sz w:val="21"/>
                <w:szCs w:val="21"/>
                <w:lang w:bidi="ar"/>
              </w:rPr>
              <w:t>h</w:t>
            </w:r>
          </w:p>
        </w:tc>
      </w:tr>
      <w:tr w14:paraId="1DEE1D5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left w:val="nil"/>
              <w:right w:val="single" w:color="000000" w:sz="4" w:space="0"/>
            </w:tcBorders>
            <w:vAlign w:val="center"/>
          </w:tcPr>
          <w:p w14:paraId="7632D86F">
            <w:pPr>
              <w:spacing w:line="240" w:lineRule="auto"/>
              <w:ind w:firstLine="0" w:firstLineChars="0"/>
              <w:rPr>
                <w:color w:val="auto"/>
                <w:sz w:val="21"/>
                <w:szCs w:val="21"/>
              </w:rPr>
            </w:pPr>
          </w:p>
        </w:tc>
        <w:tc>
          <w:tcPr>
            <w:tcW w:w="331" w:type="pct"/>
            <w:vMerge w:val="restart"/>
            <w:tcBorders>
              <w:top w:val="single" w:color="000000" w:sz="4" w:space="0"/>
              <w:left w:val="single" w:color="000000" w:sz="4" w:space="0"/>
              <w:right w:val="single" w:color="000000" w:sz="4" w:space="0"/>
            </w:tcBorders>
            <w:noWrap/>
            <w:vAlign w:val="center"/>
          </w:tcPr>
          <w:p w14:paraId="17A61AE7">
            <w:pPr>
              <w:widowControl/>
              <w:spacing w:line="240" w:lineRule="auto"/>
              <w:ind w:firstLine="0" w:firstLineChars="0"/>
              <w:jc w:val="center"/>
              <w:rPr>
                <w:color w:val="auto"/>
                <w:kern w:val="0"/>
                <w:sz w:val="21"/>
                <w:szCs w:val="21"/>
              </w:rPr>
            </w:pPr>
            <w:r>
              <w:rPr>
                <w:color w:val="auto"/>
                <w:kern w:val="0"/>
                <w:sz w:val="21"/>
                <w:szCs w:val="21"/>
                <w:lang w:bidi="ar"/>
              </w:rPr>
              <w:t>地下水</w:t>
            </w:r>
          </w:p>
        </w:tc>
        <w:tc>
          <w:tcPr>
            <w:tcW w:w="4449" w:type="pct"/>
            <w:gridSpan w:val="15"/>
            <w:tcBorders>
              <w:top w:val="single" w:color="000000" w:sz="4" w:space="0"/>
              <w:left w:val="single" w:color="000000" w:sz="4" w:space="0"/>
              <w:bottom w:val="single" w:color="000000" w:sz="4" w:space="0"/>
              <w:right w:val="nil"/>
            </w:tcBorders>
            <w:noWrap/>
            <w:vAlign w:val="center"/>
          </w:tcPr>
          <w:p w14:paraId="5A62DE11">
            <w:pPr>
              <w:widowControl/>
              <w:spacing w:line="240" w:lineRule="auto"/>
              <w:ind w:firstLine="0" w:firstLineChars="0"/>
              <w:jc w:val="center"/>
              <w:rPr>
                <w:color w:val="auto"/>
                <w:kern w:val="0"/>
                <w:sz w:val="21"/>
                <w:szCs w:val="21"/>
              </w:rPr>
            </w:pPr>
            <w:r>
              <w:rPr>
                <w:rFonts w:hint="eastAsia"/>
                <w:color w:val="auto"/>
                <w:kern w:val="0"/>
                <w:sz w:val="21"/>
                <w:szCs w:val="21"/>
              </w:rPr>
              <w:t>下游厂区边界到达时间/d</w:t>
            </w:r>
          </w:p>
        </w:tc>
      </w:tr>
      <w:tr w14:paraId="3424103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 w:type="pct"/>
            <w:vMerge w:val="continue"/>
            <w:tcBorders>
              <w:left w:val="nil"/>
              <w:bottom w:val="single" w:color="000000" w:sz="4" w:space="0"/>
              <w:right w:val="single" w:color="000000" w:sz="4" w:space="0"/>
            </w:tcBorders>
            <w:vAlign w:val="center"/>
          </w:tcPr>
          <w:p w14:paraId="52E7C940">
            <w:pPr>
              <w:spacing w:line="240" w:lineRule="auto"/>
              <w:ind w:firstLine="0" w:firstLineChars="0"/>
              <w:rPr>
                <w:color w:val="auto"/>
                <w:sz w:val="21"/>
                <w:szCs w:val="21"/>
              </w:rPr>
            </w:pPr>
          </w:p>
        </w:tc>
        <w:tc>
          <w:tcPr>
            <w:tcW w:w="331" w:type="pct"/>
            <w:vMerge w:val="continue"/>
            <w:tcBorders>
              <w:left w:val="single" w:color="000000" w:sz="4" w:space="0"/>
              <w:bottom w:val="single" w:color="000000" w:sz="4" w:space="0"/>
              <w:right w:val="single" w:color="000000" w:sz="4" w:space="0"/>
            </w:tcBorders>
            <w:noWrap/>
            <w:vAlign w:val="center"/>
          </w:tcPr>
          <w:p w14:paraId="21207CC3">
            <w:pPr>
              <w:widowControl/>
              <w:spacing w:line="240" w:lineRule="auto"/>
              <w:ind w:firstLine="0" w:firstLineChars="0"/>
              <w:jc w:val="center"/>
              <w:rPr>
                <w:color w:val="auto"/>
                <w:kern w:val="0"/>
                <w:sz w:val="21"/>
                <w:szCs w:val="21"/>
                <w:lang w:bidi="ar"/>
              </w:rPr>
            </w:pPr>
          </w:p>
        </w:tc>
        <w:tc>
          <w:tcPr>
            <w:tcW w:w="4449" w:type="pct"/>
            <w:gridSpan w:val="15"/>
            <w:tcBorders>
              <w:top w:val="single" w:color="000000" w:sz="4" w:space="0"/>
              <w:left w:val="single" w:color="000000" w:sz="4" w:space="0"/>
              <w:bottom w:val="single" w:color="000000" w:sz="4" w:space="0"/>
              <w:right w:val="nil"/>
            </w:tcBorders>
            <w:noWrap/>
            <w:vAlign w:val="center"/>
          </w:tcPr>
          <w:p w14:paraId="765EF684">
            <w:pPr>
              <w:widowControl/>
              <w:spacing w:line="240" w:lineRule="auto"/>
              <w:ind w:firstLine="0" w:firstLineChars="0"/>
              <w:jc w:val="center"/>
              <w:rPr>
                <w:color w:val="auto"/>
                <w:kern w:val="0"/>
                <w:sz w:val="21"/>
                <w:szCs w:val="21"/>
                <w:lang w:bidi="ar"/>
              </w:rPr>
            </w:pPr>
            <w:r>
              <w:rPr>
                <w:color w:val="auto"/>
                <w:kern w:val="0"/>
                <w:sz w:val="21"/>
                <w:szCs w:val="21"/>
                <w:lang w:bidi="ar"/>
              </w:rPr>
              <w:t>最近环境敏感目标/到达时间</w:t>
            </w:r>
            <w:r>
              <w:rPr>
                <w:color w:val="auto"/>
                <w:kern w:val="0"/>
                <w:sz w:val="21"/>
                <w:szCs w:val="21"/>
                <w:u w:val="single"/>
                <w:lang w:bidi="ar"/>
              </w:rPr>
              <w:t>/</w:t>
            </w:r>
            <w:r>
              <w:rPr>
                <w:color w:val="auto"/>
                <w:kern w:val="0"/>
                <w:sz w:val="21"/>
                <w:szCs w:val="21"/>
                <w:lang w:bidi="ar"/>
              </w:rPr>
              <w:t>d</w:t>
            </w:r>
          </w:p>
        </w:tc>
      </w:tr>
      <w:tr w14:paraId="01DE42C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tcBorders>
              <w:top w:val="single" w:color="000000" w:sz="4" w:space="0"/>
              <w:left w:val="nil"/>
              <w:bottom w:val="single" w:color="000000" w:sz="4" w:space="0"/>
              <w:right w:val="single" w:color="000000" w:sz="4" w:space="0"/>
            </w:tcBorders>
            <w:noWrap/>
            <w:vAlign w:val="center"/>
          </w:tcPr>
          <w:p w14:paraId="668E643E">
            <w:pPr>
              <w:widowControl/>
              <w:spacing w:line="240" w:lineRule="auto"/>
              <w:ind w:firstLine="0" w:firstLineChars="0"/>
              <w:jc w:val="center"/>
              <w:rPr>
                <w:color w:val="auto"/>
                <w:kern w:val="0"/>
                <w:sz w:val="21"/>
                <w:szCs w:val="21"/>
              </w:rPr>
            </w:pPr>
            <w:r>
              <w:rPr>
                <w:color w:val="auto"/>
                <w:kern w:val="0"/>
                <w:sz w:val="21"/>
                <w:szCs w:val="21"/>
                <w:lang w:bidi="ar"/>
              </w:rPr>
              <w:t>重点风险防范措施</w:t>
            </w:r>
          </w:p>
        </w:tc>
        <w:tc>
          <w:tcPr>
            <w:tcW w:w="4449" w:type="pct"/>
            <w:gridSpan w:val="15"/>
            <w:tcBorders>
              <w:top w:val="single" w:color="000000" w:sz="4" w:space="0"/>
              <w:left w:val="single" w:color="000000" w:sz="4" w:space="0"/>
              <w:bottom w:val="single" w:color="000000" w:sz="4" w:space="0"/>
              <w:right w:val="nil"/>
            </w:tcBorders>
            <w:noWrap/>
            <w:vAlign w:val="center"/>
          </w:tcPr>
          <w:p w14:paraId="7FA8980E">
            <w:pPr>
              <w:widowControl/>
              <w:spacing w:line="240" w:lineRule="auto"/>
              <w:ind w:firstLine="0" w:firstLineChars="0"/>
              <w:jc w:val="left"/>
              <w:rPr>
                <w:color w:val="auto"/>
                <w:kern w:val="0"/>
                <w:sz w:val="21"/>
                <w:szCs w:val="21"/>
              </w:rPr>
            </w:pPr>
            <w:r>
              <w:rPr>
                <w:color w:val="auto"/>
                <w:kern w:val="0"/>
                <w:sz w:val="21"/>
                <w:szCs w:val="21"/>
                <w:lang w:bidi="ar"/>
              </w:rPr>
              <w:t>项目已从大气、废水、地下水等方面明确了防止危险物质进入环境及进入环境后的控制、消减、监测等措施，提出风险监控及应急监测系统，以及建立与区域对接、联动的风险防范体系</w:t>
            </w:r>
          </w:p>
        </w:tc>
      </w:tr>
      <w:tr w14:paraId="75765B99">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1" w:type="pct"/>
            <w:gridSpan w:val="2"/>
            <w:tcBorders>
              <w:top w:val="single" w:color="000000" w:sz="4" w:space="0"/>
              <w:left w:val="nil"/>
              <w:bottom w:val="single" w:color="000000" w:sz="12" w:space="0"/>
              <w:right w:val="single" w:color="000000" w:sz="4" w:space="0"/>
            </w:tcBorders>
            <w:noWrap/>
            <w:vAlign w:val="center"/>
          </w:tcPr>
          <w:p w14:paraId="46B3AEB8">
            <w:pPr>
              <w:widowControl/>
              <w:spacing w:line="240" w:lineRule="auto"/>
              <w:ind w:firstLine="0" w:firstLineChars="0"/>
              <w:jc w:val="center"/>
              <w:rPr>
                <w:color w:val="auto"/>
                <w:kern w:val="0"/>
                <w:sz w:val="21"/>
                <w:szCs w:val="21"/>
              </w:rPr>
            </w:pPr>
            <w:r>
              <w:rPr>
                <w:color w:val="auto"/>
                <w:kern w:val="0"/>
                <w:sz w:val="21"/>
                <w:szCs w:val="21"/>
                <w:lang w:bidi="ar"/>
              </w:rPr>
              <w:t>评价结论与建议</w:t>
            </w:r>
          </w:p>
        </w:tc>
        <w:tc>
          <w:tcPr>
            <w:tcW w:w="4449" w:type="pct"/>
            <w:gridSpan w:val="15"/>
            <w:tcBorders>
              <w:top w:val="single" w:color="000000" w:sz="4" w:space="0"/>
              <w:left w:val="single" w:color="000000" w:sz="4" w:space="0"/>
              <w:bottom w:val="single" w:color="000000" w:sz="12" w:space="0"/>
              <w:right w:val="nil"/>
            </w:tcBorders>
            <w:noWrap/>
            <w:vAlign w:val="center"/>
          </w:tcPr>
          <w:p w14:paraId="7642A30F">
            <w:pPr>
              <w:widowControl/>
              <w:spacing w:line="240" w:lineRule="auto"/>
              <w:ind w:firstLine="0" w:firstLineChars="0"/>
              <w:jc w:val="center"/>
              <w:rPr>
                <w:color w:val="auto"/>
                <w:kern w:val="0"/>
                <w:sz w:val="21"/>
                <w:szCs w:val="21"/>
              </w:rPr>
            </w:pPr>
            <w:r>
              <w:rPr>
                <w:color w:val="auto"/>
                <w:kern w:val="0"/>
                <w:sz w:val="21"/>
                <w:szCs w:val="21"/>
                <w:lang w:bidi="ar"/>
              </w:rPr>
              <w:t>应根据项目环境风险可能影响的范围与程度，采取措施缓解环境风险，并开展环境影响后评价。</w:t>
            </w:r>
          </w:p>
        </w:tc>
      </w:tr>
    </w:tbl>
    <w:p w14:paraId="58A5052D">
      <w:pPr>
        <w:ind w:firstLine="480"/>
        <w:rPr>
          <w:bCs/>
          <w:color w:val="auto"/>
        </w:rPr>
      </w:pPr>
      <w:r>
        <w:rPr>
          <w:bCs/>
          <w:color w:val="auto"/>
        </w:rPr>
        <w:t>综上所述，本项目环境事故风险发生概率较小，在采取报告书提出的风险防范措施的前提下，能将其风险控制在环境的可接受范围内，环境风险可防控。</w:t>
      </w:r>
    </w:p>
    <w:p w14:paraId="4DC46E48">
      <w:pPr>
        <w:pStyle w:val="3"/>
        <w:spacing w:before="312"/>
        <w:rPr>
          <w:color w:val="auto"/>
        </w:rPr>
      </w:pPr>
      <w:bookmarkStart w:id="239" w:name="_Toc19291"/>
      <w:r>
        <w:rPr>
          <w:rFonts w:hint="eastAsia"/>
          <w:color w:val="auto"/>
        </w:rPr>
        <w:t>6.8生态影响分析</w:t>
      </w:r>
      <w:bookmarkEnd w:id="239"/>
    </w:p>
    <w:p w14:paraId="03C79F52">
      <w:pPr>
        <w:ind w:firstLine="480"/>
        <w:rPr>
          <w:bCs/>
          <w:color w:val="auto"/>
        </w:rPr>
      </w:pPr>
      <w:r>
        <w:rPr>
          <w:rFonts w:hint="eastAsia"/>
          <w:bCs/>
          <w:color w:val="auto"/>
        </w:rPr>
        <w:t>本项目</w:t>
      </w:r>
      <w:r>
        <w:rPr>
          <w:bCs/>
          <w:color w:val="auto"/>
        </w:rPr>
        <w:t>依托厂区现有生产装置及公用工程设施，不新增生产装置规模，不新增主要生产设备，不改变厂区总体布局及生产运行格局。</w:t>
      </w:r>
      <w:r>
        <w:rPr>
          <w:rFonts w:hint="eastAsia"/>
          <w:bCs/>
          <w:color w:val="auto"/>
        </w:rPr>
        <w:t>因此，本项目生态影响主要在运营期。</w:t>
      </w:r>
    </w:p>
    <w:p w14:paraId="1C37B421">
      <w:pPr>
        <w:ind w:firstLine="480"/>
        <w:rPr>
          <w:bCs/>
          <w:color w:val="auto"/>
        </w:rPr>
      </w:pPr>
      <w:r>
        <w:rPr>
          <w:bCs/>
          <w:color w:val="auto"/>
        </w:rPr>
        <w:t>本项目运营期对周边生态系统的影响主要是“三废”污染物正常以及可能发生的非正常排放造成的影响，影响对象主要是项目周边生态环境、长江等。</w:t>
      </w:r>
    </w:p>
    <w:p w14:paraId="20061754">
      <w:pPr>
        <w:pStyle w:val="4"/>
        <w:rPr>
          <w:color w:val="auto"/>
        </w:rPr>
      </w:pPr>
      <w:bookmarkStart w:id="240" w:name="_Toc16461"/>
      <w:r>
        <w:rPr>
          <w:rFonts w:hint="eastAsia"/>
          <w:color w:val="auto"/>
        </w:rPr>
        <w:t>6.8.1陆生生态影响评价</w:t>
      </w:r>
      <w:bookmarkEnd w:id="240"/>
    </w:p>
    <w:p w14:paraId="24B9B3FB">
      <w:pPr>
        <w:ind w:firstLine="480"/>
        <w:rPr>
          <w:bCs/>
          <w:color w:val="auto"/>
        </w:rPr>
      </w:pPr>
      <w:r>
        <w:rPr>
          <w:bCs/>
          <w:color w:val="auto"/>
        </w:rPr>
        <w:t>本项目运营期间大气污染物主要为工艺废气、储罐呼吸废气等，项目运营期间设有各项废气处理设施，根据大气预测可知，污染物落地浓度均能满足相关大气环境标准要求，对陆生生态环境影响较小。同时，本项目运营期将采用低噪声设备、采取隔声、减震等降噪措施，确保噪声达标排放，基本不对周边野生动物造成干扰。本项目产生的固体废物均采取规范有效的处理措施、处置措施，其外排量为零，对周围生态环境影响很小。</w:t>
      </w:r>
    </w:p>
    <w:p w14:paraId="033A5C16">
      <w:pPr>
        <w:ind w:firstLine="480"/>
        <w:rPr>
          <w:bCs/>
          <w:color w:val="auto"/>
        </w:rPr>
      </w:pPr>
      <w:r>
        <w:rPr>
          <w:bCs/>
          <w:color w:val="auto"/>
        </w:rPr>
        <w:t>本项目周边生态空间管控区域为新三和港清水通道维护区</w:t>
      </w:r>
      <w:r>
        <w:rPr>
          <w:rFonts w:hint="eastAsia"/>
          <w:bCs/>
          <w:color w:val="auto"/>
        </w:rPr>
        <w:t>、</w:t>
      </w:r>
      <w:r>
        <w:rPr>
          <w:bCs/>
          <w:color w:val="auto"/>
        </w:rPr>
        <w:t>启东市饮用水水源保护区</w:t>
      </w:r>
      <w:r>
        <w:rPr>
          <w:rFonts w:hint="eastAsia"/>
          <w:bCs/>
          <w:color w:val="auto"/>
        </w:rPr>
        <w:t>等</w:t>
      </w:r>
      <w:r>
        <w:rPr>
          <w:bCs/>
          <w:color w:val="auto"/>
        </w:rPr>
        <w:t>。本项目不占用该生态空间管控区域，不会对其生态功能产生负面影响。</w:t>
      </w:r>
    </w:p>
    <w:p w14:paraId="70EB586F">
      <w:pPr>
        <w:pStyle w:val="4"/>
        <w:rPr>
          <w:color w:val="auto"/>
        </w:rPr>
      </w:pPr>
      <w:bookmarkStart w:id="241" w:name="_Toc2260"/>
      <w:r>
        <w:rPr>
          <w:rFonts w:hint="eastAsia"/>
          <w:color w:val="auto"/>
        </w:rPr>
        <w:t>6.8.2水生生态影响评价</w:t>
      </w:r>
      <w:bookmarkEnd w:id="241"/>
    </w:p>
    <w:p w14:paraId="0FAC8D1F">
      <w:pPr>
        <w:ind w:firstLine="480"/>
        <w:rPr>
          <w:bCs/>
          <w:color w:val="auto"/>
        </w:rPr>
      </w:pPr>
      <w:r>
        <w:rPr>
          <w:bCs/>
          <w:color w:val="auto"/>
        </w:rPr>
        <w:t>本项目废水经厂内处理后接管联合环境水务(启东)有限公司污水处理厂，污水处理厂废水处理达标后排入长江，对水生态影响较小。</w:t>
      </w:r>
    </w:p>
    <w:p w14:paraId="69AE8CF1">
      <w:pPr>
        <w:pStyle w:val="4"/>
        <w:rPr>
          <w:color w:val="auto"/>
        </w:rPr>
      </w:pPr>
      <w:bookmarkStart w:id="242" w:name="_Toc7196"/>
      <w:r>
        <w:rPr>
          <w:rFonts w:hint="eastAsia"/>
          <w:color w:val="auto"/>
        </w:rPr>
        <w:t>6.8.3生态保护对策</w:t>
      </w:r>
      <w:bookmarkEnd w:id="242"/>
    </w:p>
    <w:p w14:paraId="6861D99B">
      <w:pPr>
        <w:ind w:firstLine="480"/>
        <w:rPr>
          <w:bCs/>
          <w:color w:val="auto"/>
        </w:rPr>
      </w:pPr>
      <w:r>
        <w:rPr>
          <w:bCs/>
          <w:color w:val="auto"/>
        </w:rPr>
        <w:t>为减轻项目建设给环境带来的不利影响，将采取一系列的生态保护措施：</w:t>
      </w:r>
    </w:p>
    <w:p w14:paraId="0CE60A45">
      <w:pPr>
        <w:ind w:firstLine="480"/>
        <w:rPr>
          <w:bCs/>
          <w:color w:val="auto"/>
        </w:rPr>
      </w:pPr>
      <w:r>
        <w:rPr>
          <w:bCs/>
          <w:color w:val="auto"/>
        </w:rPr>
        <w:t>(1)本项目生产废水及废气均通过厂内处理达标后排放，其中废水处理后接管联合环境水务(启东)有限公司，固废零排放。</w:t>
      </w:r>
    </w:p>
    <w:p w14:paraId="7024AF50">
      <w:pPr>
        <w:ind w:firstLine="480"/>
        <w:rPr>
          <w:bCs/>
          <w:color w:val="auto"/>
        </w:rPr>
      </w:pPr>
      <w:r>
        <w:rPr>
          <w:bCs/>
          <w:color w:val="auto"/>
        </w:rPr>
        <w:t>(2)企业内部增加绿化种植密度。</w:t>
      </w:r>
    </w:p>
    <w:p w14:paraId="4A667D62">
      <w:pPr>
        <w:pStyle w:val="4"/>
        <w:rPr>
          <w:color w:val="auto"/>
        </w:rPr>
      </w:pPr>
      <w:bookmarkStart w:id="243" w:name="_Toc13023"/>
      <w:r>
        <w:rPr>
          <w:rFonts w:hint="eastAsia"/>
          <w:color w:val="auto"/>
        </w:rPr>
        <w:t>6.8.4生态影响评价自查情况</w:t>
      </w:r>
      <w:bookmarkEnd w:id="243"/>
    </w:p>
    <w:p w14:paraId="58E4F30A">
      <w:pPr>
        <w:ind w:firstLine="480"/>
        <w:rPr>
          <w:bCs/>
          <w:color w:val="auto"/>
        </w:rPr>
      </w:pPr>
      <w:r>
        <w:rPr>
          <w:bCs/>
          <w:color w:val="auto"/>
        </w:rPr>
        <w:t>本项目生态环境影响评价自查情况见</w:t>
      </w:r>
      <w:r>
        <w:rPr>
          <w:rFonts w:hint="eastAsia"/>
          <w:bCs/>
          <w:color w:val="auto"/>
        </w:rPr>
        <w:t>下表</w:t>
      </w:r>
      <w:r>
        <w:rPr>
          <w:bCs/>
          <w:color w:val="auto"/>
        </w:rPr>
        <w:t>。</w:t>
      </w:r>
    </w:p>
    <w:p w14:paraId="624CA9B0">
      <w:pPr>
        <w:ind w:firstLine="482"/>
        <w:jc w:val="center"/>
        <w:rPr>
          <w:b/>
          <w:bCs/>
          <w:color w:val="auto"/>
        </w:rPr>
      </w:pPr>
      <w:r>
        <w:rPr>
          <w:b/>
          <w:bCs/>
          <w:color w:val="auto"/>
        </w:rPr>
        <w:t>表6.8.4-1  生态环境影响评价自查表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6"/>
        <w:gridCol w:w="1600"/>
        <w:gridCol w:w="7392"/>
      </w:tblGrid>
      <w:tr w14:paraId="24706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5" w:type="pct"/>
            <w:gridSpan w:val="2"/>
            <w:vAlign w:val="center"/>
          </w:tcPr>
          <w:p w14:paraId="3216A3B9">
            <w:pPr>
              <w:widowControl/>
              <w:kinsoku w:val="0"/>
              <w:overflowPunct w:val="0"/>
              <w:autoSpaceDE w:val="0"/>
              <w:autoSpaceDN w:val="0"/>
              <w:spacing w:line="240" w:lineRule="auto"/>
              <w:ind w:firstLine="0" w:firstLineChars="0"/>
              <w:jc w:val="center"/>
              <w:rPr>
                <w:b/>
                <w:color w:val="auto"/>
                <w:kern w:val="0"/>
                <w:sz w:val="21"/>
                <w:szCs w:val="21"/>
              </w:rPr>
            </w:pPr>
            <w:r>
              <w:rPr>
                <w:b/>
                <w:color w:val="auto"/>
                <w:kern w:val="0"/>
                <w:sz w:val="21"/>
                <w:szCs w:val="21"/>
              </w:rPr>
              <w:t>工作内容</w:t>
            </w:r>
          </w:p>
        </w:tc>
        <w:tc>
          <w:tcPr>
            <w:tcW w:w="3835" w:type="pct"/>
            <w:vAlign w:val="center"/>
          </w:tcPr>
          <w:p w14:paraId="2993C16E">
            <w:pPr>
              <w:widowControl/>
              <w:kinsoku w:val="0"/>
              <w:overflowPunct w:val="0"/>
              <w:autoSpaceDE w:val="0"/>
              <w:autoSpaceDN w:val="0"/>
              <w:spacing w:line="240" w:lineRule="auto"/>
              <w:ind w:firstLine="0" w:firstLineChars="0"/>
              <w:jc w:val="center"/>
              <w:rPr>
                <w:b/>
                <w:color w:val="auto"/>
                <w:kern w:val="0"/>
                <w:sz w:val="21"/>
                <w:szCs w:val="21"/>
              </w:rPr>
            </w:pPr>
            <w:r>
              <w:rPr>
                <w:b/>
                <w:color w:val="auto"/>
                <w:kern w:val="0"/>
                <w:sz w:val="21"/>
                <w:szCs w:val="21"/>
              </w:rPr>
              <w:t>自查项目</w:t>
            </w:r>
          </w:p>
        </w:tc>
      </w:tr>
      <w:tr w14:paraId="3DC6C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restart"/>
            <w:vAlign w:val="center"/>
          </w:tcPr>
          <w:p w14:paraId="085B7AE0">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生态影响识别</w:t>
            </w:r>
          </w:p>
        </w:tc>
        <w:tc>
          <w:tcPr>
            <w:tcW w:w="830" w:type="pct"/>
            <w:vAlign w:val="center"/>
          </w:tcPr>
          <w:p w14:paraId="38858684">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生态保护目标</w:t>
            </w:r>
          </w:p>
        </w:tc>
        <w:tc>
          <w:tcPr>
            <w:tcW w:w="3835" w:type="pct"/>
            <w:vAlign w:val="center"/>
          </w:tcPr>
          <w:p w14:paraId="7586570F">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重要物种□；国家公园□；自然保护区□；自然公园□；世界自然遗产□；生态保护红线□；重要生境□；其他具有重要生态功能、对保护生物多样性具有重要意义的区域□；其他□</w:t>
            </w:r>
          </w:p>
        </w:tc>
      </w:tr>
      <w:tr w14:paraId="06529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continue"/>
            <w:vAlign w:val="center"/>
          </w:tcPr>
          <w:p w14:paraId="0D5531BC">
            <w:pPr>
              <w:tabs>
                <w:tab w:val="left" w:pos="405"/>
              </w:tabs>
              <w:kinsoku w:val="0"/>
              <w:overflowPunct w:val="0"/>
              <w:spacing w:line="240" w:lineRule="auto"/>
              <w:ind w:firstLine="0" w:firstLineChars="0"/>
              <w:jc w:val="center"/>
              <w:rPr>
                <w:color w:val="auto"/>
                <w:kern w:val="0"/>
                <w:sz w:val="21"/>
                <w:szCs w:val="21"/>
              </w:rPr>
            </w:pPr>
          </w:p>
        </w:tc>
        <w:tc>
          <w:tcPr>
            <w:tcW w:w="830" w:type="pct"/>
            <w:vAlign w:val="center"/>
          </w:tcPr>
          <w:p w14:paraId="1861A61B">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影响方式</w:t>
            </w:r>
          </w:p>
        </w:tc>
        <w:tc>
          <w:tcPr>
            <w:tcW w:w="3835" w:type="pct"/>
            <w:vAlign w:val="center"/>
          </w:tcPr>
          <w:p w14:paraId="752E251C">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工程占地□；施工活动干扰□；改变环境条件□；其他□</w:t>
            </w:r>
          </w:p>
        </w:tc>
      </w:tr>
      <w:tr w14:paraId="3127A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continue"/>
            <w:vAlign w:val="center"/>
          </w:tcPr>
          <w:p w14:paraId="28BA696C">
            <w:pPr>
              <w:tabs>
                <w:tab w:val="left" w:pos="405"/>
              </w:tabs>
              <w:kinsoku w:val="0"/>
              <w:overflowPunct w:val="0"/>
              <w:spacing w:line="240" w:lineRule="auto"/>
              <w:ind w:firstLine="0" w:firstLineChars="0"/>
              <w:jc w:val="center"/>
              <w:rPr>
                <w:color w:val="auto"/>
                <w:kern w:val="0"/>
                <w:sz w:val="21"/>
                <w:szCs w:val="21"/>
              </w:rPr>
            </w:pPr>
          </w:p>
        </w:tc>
        <w:tc>
          <w:tcPr>
            <w:tcW w:w="830" w:type="pct"/>
            <w:vAlign w:val="center"/>
          </w:tcPr>
          <w:p w14:paraId="126B2682">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评价因子</w:t>
            </w:r>
          </w:p>
        </w:tc>
        <w:tc>
          <w:tcPr>
            <w:tcW w:w="3835" w:type="pct"/>
            <w:vAlign w:val="center"/>
          </w:tcPr>
          <w:p w14:paraId="33B10DA3">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物种□(</w:t>
            </w:r>
            <w:r>
              <w:rPr>
                <w:rFonts w:hint="eastAsia"/>
                <w:color w:val="auto"/>
                <w:kern w:val="0"/>
                <w:sz w:val="21"/>
                <w:szCs w:val="21"/>
              </w:rPr>
              <w:t xml:space="preserve">   </w:t>
            </w:r>
            <w:r>
              <w:rPr>
                <w:color w:val="auto"/>
                <w:kern w:val="0"/>
                <w:sz w:val="21"/>
                <w:szCs w:val="21"/>
              </w:rPr>
              <w:t>)</w:t>
            </w:r>
          </w:p>
          <w:p w14:paraId="2A64F9D6">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生境□(</w:t>
            </w:r>
            <w:r>
              <w:rPr>
                <w:rFonts w:hint="eastAsia"/>
                <w:color w:val="auto"/>
                <w:kern w:val="0"/>
                <w:sz w:val="21"/>
                <w:szCs w:val="21"/>
              </w:rPr>
              <w:t xml:space="preserve">   </w:t>
            </w:r>
            <w:r>
              <w:rPr>
                <w:color w:val="auto"/>
                <w:kern w:val="0"/>
                <w:sz w:val="21"/>
                <w:szCs w:val="21"/>
              </w:rPr>
              <w:t>)</w:t>
            </w:r>
          </w:p>
          <w:p w14:paraId="7ED1557D">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生物群落□(</w:t>
            </w:r>
            <w:r>
              <w:rPr>
                <w:rFonts w:hint="eastAsia"/>
                <w:color w:val="auto"/>
                <w:kern w:val="0"/>
                <w:sz w:val="21"/>
                <w:szCs w:val="21"/>
              </w:rPr>
              <w:t xml:space="preserve">   </w:t>
            </w:r>
            <w:r>
              <w:rPr>
                <w:color w:val="auto"/>
                <w:kern w:val="0"/>
                <w:sz w:val="21"/>
                <w:szCs w:val="21"/>
              </w:rPr>
              <w:t>)</w:t>
            </w:r>
          </w:p>
          <w:p w14:paraId="3FC998F1">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生态系统□(</w:t>
            </w:r>
            <w:r>
              <w:rPr>
                <w:rFonts w:hint="eastAsia"/>
                <w:color w:val="auto"/>
                <w:kern w:val="0"/>
                <w:sz w:val="21"/>
                <w:szCs w:val="21"/>
              </w:rPr>
              <w:t xml:space="preserve">   </w:t>
            </w:r>
            <w:r>
              <w:rPr>
                <w:color w:val="auto"/>
                <w:kern w:val="0"/>
                <w:sz w:val="21"/>
                <w:szCs w:val="21"/>
              </w:rPr>
              <w:t>)</w:t>
            </w:r>
          </w:p>
          <w:p w14:paraId="33FD2B32">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生物多样性□(</w:t>
            </w:r>
            <w:r>
              <w:rPr>
                <w:rFonts w:hint="eastAsia"/>
                <w:color w:val="auto"/>
                <w:kern w:val="0"/>
                <w:sz w:val="21"/>
                <w:szCs w:val="21"/>
              </w:rPr>
              <w:t xml:space="preserve">   </w:t>
            </w:r>
            <w:r>
              <w:rPr>
                <w:color w:val="auto"/>
                <w:kern w:val="0"/>
                <w:sz w:val="21"/>
                <w:szCs w:val="21"/>
              </w:rPr>
              <w:t>)</w:t>
            </w:r>
          </w:p>
          <w:p w14:paraId="126EE83F">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生态敏感区□(</w:t>
            </w:r>
            <w:r>
              <w:rPr>
                <w:rFonts w:hint="eastAsia"/>
                <w:color w:val="auto"/>
                <w:spacing w:val="-10"/>
                <w:kern w:val="0"/>
                <w:sz w:val="21"/>
                <w:szCs w:val="21"/>
              </w:rPr>
              <w:t xml:space="preserve">   </w:t>
            </w:r>
            <w:r>
              <w:rPr>
                <w:color w:val="auto"/>
                <w:kern w:val="0"/>
                <w:sz w:val="21"/>
                <w:szCs w:val="21"/>
              </w:rPr>
              <w:t>)</w:t>
            </w:r>
          </w:p>
          <w:p w14:paraId="43D06C83">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自然景观□(   )</w:t>
            </w:r>
          </w:p>
          <w:p w14:paraId="2DDFBD33">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自然遗迹□(   )</w:t>
            </w:r>
          </w:p>
          <w:p w14:paraId="7B6A1EAC">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 xml:space="preserve">其他□(  ) </w:t>
            </w:r>
          </w:p>
        </w:tc>
      </w:tr>
      <w:tr w14:paraId="5E408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5" w:type="pct"/>
            <w:gridSpan w:val="2"/>
            <w:vAlign w:val="center"/>
          </w:tcPr>
          <w:p w14:paraId="5877E083">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评价等级</w:t>
            </w:r>
          </w:p>
        </w:tc>
        <w:tc>
          <w:tcPr>
            <w:tcW w:w="3835" w:type="pct"/>
            <w:vAlign w:val="center"/>
          </w:tcPr>
          <w:p w14:paraId="09ECD8A9">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一级□       二级□       三级□      生态影响简单分析√</w:t>
            </w:r>
          </w:p>
        </w:tc>
      </w:tr>
      <w:tr w14:paraId="067D9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5" w:type="pct"/>
            <w:gridSpan w:val="2"/>
            <w:vAlign w:val="center"/>
          </w:tcPr>
          <w:p w14:paraId="6BB1BE49">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评价范围</w:t>
            </w:r>
          </w:p>
        </w:tc>
        <w:tc>
          <w:tcPr>
            <w:tcW w:w="3835" w:type="pct"/>
            <w:vAlign w:val="center"/>
          </w:tcPr>
          <w:p w14:paraId="1CDDDD40">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陆域面积：(/)km</w:t>
            </w:r>
            <w:r>
              <w:rPr>
                <w:color w:val="auto"/>
                <w:kern w:val="0"/>
                <w:sz w:val="21"/>
                <w:szCs w:val="21"/>
                <w:vertAlign w:val="superscript"/>
              </w:rPr>
              <w:t>2</w:t>
            </w:r>
            <w:r>
              <w:rPr>
                <w:color w:val="auto"/>
                <w:kern w:val="0"/>
                <w:sz w:val="21"/>
                <w:szCs w:val="21"/>
              </w:rPr>
              <w:t>；水域面积：(/)km</w:t>
            </w:r>
            <w:r>
              <w:rPr>
                <w:color w:val="auto"/>
                <w:kern w:val="0"/>
                <w:sz w:val="21"/>
                <w:szCs w:val="21"/>
                <w:vertAlign w:val="superscript"/>
              </w:rPr>
              <w:t>2</w:t>
            </w:r>
          </w:p>
        </w:tc>
      </w:tr>
      <w:tr w14:paraId="21973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restart"/>
            <w:vAlign w:val="center"/>
          </w:tcPr>
          <w:p w14:paraId="1AC7162D">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生态现状调查与评价</w:t>
            </w:r>
          </w:p>
        </w:tc>
        <w:tc>
          <w:tcPr>
            <w:tcW w:w="830" w:type="pct"/>
            <w:vAlign w:val="center"/>
          </w:tcPr>
          <w:p w14:paraId="62AA7A29">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调查方法</w:t>
            </w:r>
          </w:p>
        </w:tc>
        <w:tc>
          <w:tcPr>
            <w:tcW w:w="3835" w:type="pct"/>
            <w:vAlign w:val="center"/>
          </w:tcPr>
          <w:p w14:paraId="411D717A">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资料收集法√；遥感调查□；调查样方、样线□；调查点位、断面□；专家和公众咨询法□；其他□</w:t>
            </w:r>
          </w:p>
        </w:tc>
      </w:tr>
      <w:tr w14:paraId="3560A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continue"/>
            <w:vAlign w:val="center"/>
          </w:tcPr>
          <w:p w14:paraId="40EA7EB4">
            <w:pPr>
              <w:tabs>
                <w:tab w:val="left" w:pos="405"/>
              </w:tabs>
              <w:kinsoku w:val="0"/>
              <w:overflowPunct w:val="0"/>
              <w:spacing w:line="240" w:lineRule="auto"/>
              <w:ind w:firstLine="0" w:firstLineChars="0"/>
              <w:jc w:val="center"/>
              <w:rPr>
                <w:color w:val="auto"/>
                <w:kern w:val="0"/>
                <w:sz w:val="21"/>
                <w:szCs w:val="21"/>
              </w:rPr>
            </w:pPr>
          </w:p>
        </w:tc>
        <w:tc>
          <w:tcPr>
            <w:tcW w:w="830" w:type="pct"/>
            <w:vAlign w:val="center"/>
          </w:tcPr>
          <w:p w14:paraId="7F0B97E1">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调查时间</w:t>
            </w:r>
          </w:p>
        </w:tc>
        <w:tc>
          <w:tcPr>
            <w:tcW w:w="3835" w:type="pct"/>
            <w:vAlign w:val="center"/>
          </w:tcPr>
          <w:p w14:paraId="7ACE806E">
            <w:pPr>
              <w:widowControl/>
              <w:tabs>
                <w:tab w:val="left" w:pos="658"/>
              </w:tabs>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春季□；夏季□；秋季□；冬季□</w:t>
            </w:r>
          </w:p>
          <w:p w14:paraId="5F21F92A">
            <w:pPr>
              <w:widowControl/>
              <w:tabs>
                <w:tab w:val="left" w:pos="658"/>
              </w:tabs>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丰水期□；枯水期□；平水期□</w:t>
            </w:r>
          </w:p>
        </w:tc>
      </w:tr>
      <w:tr w14:paraId="2A33A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continue"/>
            <w:vAlign w:val="center"/>
          </w:tcPr>
          <w:p w14:paraId="5906E018">
            <w:pPr>
              <w:tabs>
                <w:tab w:val="left" w:pos="405"/>
              </w:tabs>
              <w:kinsoku w:val="0"/>
              <w:overflowPunct w:val="0"/>
              <w:spacing w:line="240" w:lineRule="auto"/>
              <w:ind w:firstLine="0" w:firstLineChars="0"/>
              <w:jc w:val="center"/>
              <w:rPr>
                <w:color w:val="auto"/>
                <w:kern w:val="0"/>
                <w:sz w:val="21"/>
                <w:szCs w:val="21"/>
              </w:rPr>
            </w:pPr>
          </w:p>
        </w:tc>
        <w:tc>
          <w:tcPr>
            <w:tcW w:w="830" w:type="pct"/>
            <w:vAlign w:val="center"/>
          </w:tcPr>
          <w:p w14:paraId="77CFDA33">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所在区域的生态问题</w:t>
            </w:r>
          </w:p>
        </w:tc>
        <w:tc>
          <w:tcPr>
            <w:tcW w:w="3835" w:type="pct"/>
            <w:vAlign w:val="center"/>
          </w:tcPr>
          <w:p w14:paraId="7BF2BC6D">
            <w:pPr>
              <w:widowControl/>
              <w:tabs>
                <w:tab w:val="left" w:pos="658"/>
              </w:tabs>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水土流失□；沙漠化□；石漠化□；盐渍化□；生物入侵□；污染危害□；其他□</w:t>
            </w:r>
          </w:p>
        </w:tc>
      </w:tr>
      <w:tr w14:paraId="200EA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continue"/>
            <w:vAlign w:val="center"/>
          </w:tcPr>
          <w:p w14:paraId="1A010527">
            <w:pPr>
              <w:tabs>
                <w:tab w:val="left" w:pos="405"/>
              </w:tabs>
              <w:kinsoku w:val="0"/>
              <w:overflowPunct w:val="0"/>
              <w:spacing w:line="240" w:lineRule="auto"/>
              <w:ind w:firstLine="0" w:firstLineChars="0"/>
              <w:jc w:val="center"/>
              <w:rPr>
                <w:color w:val="auto"/>
                <w:kern w:val="0"/>
                <w:sz w:val="21"/>
                <w:szCs w:val="21"/>
              </w:rPr>
            </w:pPr>
          </w:p>
        </w:tc>
        <w:tc>
          <w:tcPr>
            <w:tcW w:w="830" w:type="pct"/>
            <w:vAlign w:val="center"/>
          </w:tcPr>
          <w:p w14:paraId="342F6DF4">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评价内容</w:t>
            </w:r>
          </w:p>
        </w:tc>
        <w:tc>
          <w:tcPr>
            <w:tcW w:w="3835" w:type="pct"/>
            <w:vAlign w:val="center"/>
          </w:tcPr>
          <w:p w14:paraId="1A99F9BE">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植被/植物群落√；土地利用√；生态系统√；生物多样性√；重要物种□；生态敏感区□；其他□</w:t>
            </w:r>
          </w:p>
        </w:tc>
      </w:tr>
      <w:tr w14:paraId="6D314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335" w:type="pct"/>
            <w:vMerge w:val="restart"/>
            <w:vAlign w:val="center"/>
          </w:tcPr>
          <w:p w14:paraId="6D5651A9">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生态影响预测与评价</w:t>
            </w:r>
          </w:p>
        </w:tc>
        <w:tc>
          <w:tcPr>
            <w:tcW w:w="830" w:type="pct"/>
            <w:vAlign w:val="center"/>
          </w:tcPr>
          <w:p w14:paraId="2387AAA5">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评价方法</w:t>
            </w:r>
          </w:p>
        </w:tc>
        <w:tc>
          <w:tcPr>
            <w:tcW w:w="3835" w:type="pct"/>
            <w:vAlign w:val="center"/>
          </w:tcPr>
          <w:p w14:paraId="26AA454C">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定性√；定性和定量□</w:t>
            </w:r>
          </w:p>
        </w:tc>
      </w:tr>
      <w:tr w14:paraId="0C612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continue"/>
            <w:vAlign w:val="center"/>
          </w:tcPr>
          <w:p w14:paraId="169B8EF6">
            <w:pPr>
              <w:tabs>
                <w:tab w:val="left" w:pos="405"/>
              </w:tabs>
              <w:kinsoku w:val="0"/>
              <w:overflowPunct w:val="0"/>
              <w:spacing w:line="240" w:lineRule="auto"/>
              <w:ind w:firstLine="0" w:firstLineChars="0"/>
              <w:jc w:val="center"/>
              <w:rPr>
                <w:color w:val="auto"/>
                <w:kern w:val="0"/>
                <w:sz w:val="21"/>
                <w:szCs w:val="21"/>
              </w:rPr>
            </w:pPr>
          </w:p>
        </w:tc>
        <w:tc>
          <w:tcPr>
            <w:tcW w:w="830" w:type="pct"/>
            <w:vAlign w:val="center"/>
          </w:tcPr>
          <w:p w14:paraId="68C83BF8">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评价内容</w:t>
            </w:r>
          </w:p>
        </w:tc>
        <w:tc>
          <w:tcPr>
            <w:tcW w:w="3835" w:type="pct"/>
            <w:vAlign w:val="center"/>
          </w:tcPr>
          <w:p w14:paraId="64B199AB">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植被/植物群落√；土地利用√；生态系统□；生物多样性√；重要物种□；生态敏感区□；生物入侵风险□；其他□</w:t>
            </w:r>
          </w:p>
        </w:tc>
      </w:tr>
      <w:tr w14:paraId="6A01F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restart"/>
            <w:vAlign w:val="center"/>
          </w:tcPr>
          <w:p w14:paraId="06871701">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生态保护对策措施</w:t>
            </w:r>
          </w:p>
        </w:tc>
        <w:tc>
          <w:tcPr>
            <w:tcW w:w="830" w:type="pct"/>
            <w:vAlign w:val="center"/>
          </w:tcPr>
          <w:p w14:paraId="078A2B1A">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对策措施</w:t>
            </w:r>
          </w:p>
        </w:tc>
        <w:tc>
          <w:tcPr>
            <w:tcW w:w="3835" w:type="pct"/>
            <w:vAlign w:val="center"/>
          </w:tcPr>
          <w:p w14:paraId="5AA43E97">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避让□；减缓√；生态修复□；生态补偿□；科研□；其他□</w:t>
            </w:r>
          </w:p>
        </w:tc>
      </w:tr>
      <w:tr w14:paraId="7A6A4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continue"/>
            <w:vAlign w:val="center"/>
          </w:tcPr>
          <w:p w14:paraId="699C8170">
            <w:pPr>
              <w:widowControl/>
              <w:kinsoku w:val="0"/>
              <w:overflowPunct w:val="0"/>
              <w:autoSpaceDE w:val="0"/>
              <w:autoSpaceDN w:val="0"/>
              <w:spacing w:line="240" w:lineRule="auto"/>
              <w:ind w:firstLine="0" w:firstLineChars="0"/>
              <w:jc w:val="center"/>
              <w:rPr>
                <w:color w:val="auto"/>
                <w:kern w:val="0"/>
                <w:sz w:val="21"/>
                <w:szCs w:val="21"/>
              </w:rPr>
            </w:pPr>
          </w:p>
        </w:tc>
        <w:tc>
          <w:tcPr>
            <w:tcW w:w="830" w:type="pct"/>
            <w:vAlign w:val="center"/>
          </w:tcPr>
          <w:p w14:paraId="341E9542">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生态监测计划</w:t>
            </w:r>
          </w:p>
        </w:tc>
        <w:tc>
          <w:tcPr>
            <w:tcW w:w="3835" w:type="pct"/>
            <w:vAlign w:val="center"/>
          </w:tcPr>
          <w:p w14:paraId="1450CA37">
            <w:pPr>
              <w:widowControl/>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全生命周期□；长期跟踪□；常规□；其他□</w:t>
            </w:r>
          </w:p>
        </w:tc>
      </w:tr>
      <w:tr w14:paraId="299CA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Merge w:val="continue"/>
            <w:vAlign w:val="center"/>
          </w:tcPr>
          <w:p w14:paraId="5B1F0C0A">
            <w:pPr>
              <w:tabs>
                <w:tab w:val="left" w:pos="405"/>
              </w:tabs>
              <w:kinsoku w:val="0"/>
              <w:overflowPunct w:val="0"/>
              <w:spacing w:line="240" w:lineRule="auto"/>
              <w:ind w:firstLine="0" w:firstLineChars="0"/>
              <w:jc w:val="center"/>
              <w:rPr>
                <w:color w:val="auto"/>
                <w:kern w:val="0"/>
                <w:sz w:val="21"/>
                <w:szCs w:val="21"/>
              </w:rPr>
            </w:pPr>
          </w:p>
        </w:tc>
        <w:tc>
          <w:tcPr>
            <w:tcW w:w="830" w:type="pct"/>
            <w:vAlign w:val="center"/>
          </w:tcPr>
          <w:p w14:paraId="511DB612">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环境管理</w:t>
            </w:r>
          </w:p>
        </w:tc>
        <w:tc>
          <w:tcPr>
            <w:tcW w:w="3835" w:type="pct"/>
            <w:vAlign w:val="center"/>
          </w:tcPr>
          <w:p w14:paraId="7BDEB397">
            <w:pPr>
              <w:widowControl/>
              <w:tabs>
                <w:tab w:val="left" w:pos="2466"/>
              </w:tabs>
              <w:kinsoku w:val="0"/>
              <w:overflowPunct w:val="0"/>
              <w:autoSpaceDE w:val="0"/>
              <w:autoSpaceDN w:val="0"/>
              <w:spacing w:line="240" w:lineRule="auto"/>
              <w:ind w:firstLine="0" w:firstLineChars="0"/>
              <w:jc w:val="left"/>
              <w:rPr>
                <w:color w:val="auto"/>
                <w:kern w:val="0"/>
                <w:sz w:val="21"/>
                <w:szCs w:val="21"/>
              </w:rPr>
            </w:pPr>
            <w:r>
              <w:rPr>
                <w:color w:val="auto"/>
                <w:kern w:val="0"/>
                <w:sz w:val="21"/>
                <w:szCs w:val="21"/>
              </w:rPr>
              <w:t>环境监理□；环境影响后评价□；其他□</w:t>
            </w:r>
          </w:p>
        </w:tc>
      </w:tr>
      <w:tr w14:paraId="4AFB6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5" w:type="pct"/>
            <w:vAlign w:val="center"/>
          </w:tcPr>
          <w:p w14:paraId="7AA5D0A8">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评价结论</w:t>
            </w:r>
          </w:p>
        </w:tc>
        <w:tc>
          <w:tcPr>
            <w:tcW w:w="830" w:type="pct"/>
            <w:vAlign w:val="center"/>
          </w:tcPr>
          <w:p w14:paraId="4642C04E">
            <w:pPr>
              <w:widowControl/>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生态影响</w:t>
            </w:r>
          </w:p>
        </w:tc>
        <w:tc>
          <w:tcPr>
            <w:tcW w:w="3835" w:type="pct"/>
            <w:vAlign w:val="center"/>
          </w:tcPr>
          <w:p w14:paraId="09D8532C">
            <w:pPr>
              <w:widowControl/>
              <w:tabs>
                <w:tab w:val="left" w:pos="3582"/>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可行√</w:t>
            </w:r>
            <w:r>
              <w:rPr>
                <w:color w:val="auto"/>
                <w:kern w:val="0"/>
                <w:sz w:val="21"/>
                <w:szCs w:val="21"/>
              </w:rPr>
              <w:tab/>
            </w:r>
            <w:r>
              <w:rPr>
                <w:color w:val="auto"/>
                <w:kern w:val="0"/>
                <w:sz w:val="21"/>
                <w:szCs w:val="21"/>
              </w:rPr>
              <w:t>不可行□</w:t>
            </w:r>
          </w:p>
        </w:tc>
      </w:tr>
    </w:tbl>
    <w:p w14:paraId="28FEA616">
      <w:pPr>
        <w:pStyle w:val="3"/>
        <w:spacing w:before="312"/>
        <w:rPr>
          <w:color w:val="auto"/>
        </w:rPr>
      </w:pPr>
      <w:bookmarkStart w:id="244" w:name="_Toc30515"/>
      <w:r>
        <w:rPr>
          <w:rFonts w:hint="eastAsia"/>
          <w:color w:val="auto"/>
        </w:rPr>
        <w:t>6.9碳排放环境影响评价</w:t>
      </w:r>
      <w:bookmarkEnd w:id="244"/>
    </w:p>
    <w:p w14:paraId="4C366ED0">
      <w:pPr>
        <w:pStyle w:val="4"/>
        <w:rPr>
          <w:color w:val="auto"/>
        </w:rPr>
      </w:pPr>
      <w:bookmarkStart w:id="245" w:name="_Toc24849"/>
      <w:r>
        <w:rPr>
          <w:rFonts w:hint="eastAsia"/>
          <w:color w:val="auto"/>
        </w:rPr>
        <w:t>6.9.1总则</w:t>
      </w:r>
      <w:bookmarkEnd w:id="245"/>
    </w:p>
    <w:p w14:paraId="5F45ECB7">
      <w:pPr>
        <w:pStyle w:val="5"/>
        <w:spacing w:before="156"/>
        <w:rPr>
          <w:color w:val="auto"/>
        </w:rPr>
      </w:pPr>
      <w:r>
        <w:rPr>
          <w:rFonts w:hint="eastAsia"/>
          <w:color w:val="auto"/>
        </w:rPr>
        <w:t>6.9.1.1评价依据</w:t>
      </w:r>
    </w:p>
    <w:p w14:paraId="18970971">
      <w:pPr>
        <w:numPr>
          <w:ilvl w:val="0"/>
          <w:numId w:val="7"/>
        </w:numPr>
        <w:ind w:firstLine="480"/>
        <w:rPr>
          <w:bCs/>
          <w:color w:val="auto"/>
        </w:rPr>
      </w:pPr>
      <w:r>
        <w:rPr>
          <w:bCs/>
          <w:color w:val="auto"/>
        </w:rPr>
        <w:t xml:space="preserve">《中国化工生产企业温室气体排放核算方法与报告指南（试行）》（发改办气候〔2013〕2526号）； </w:t>
      </w:r>
    </w:p>
    <w:p w14:paraId="7551E92C">
      <w:pPr>
        <w:numPr>
          <w:ilvl w:val="0"/>
          <w:numId w:val="7"/>
        </w:numPr>
        <w:ind w:firstLine="480"/>
        <w:rPr>
          <w:bCs/>
          <w:color w:val="auto"/>
        </w:rPr>
      </w:pPr>
      <w:r>
        <w:rPr>
          <w:bCs/>
          <w:color w:val="auto"/>
        </w:rPr>
        <w:t>《温室气体排放核算与报告要求—第10部分：化工生产企业》（GB/T 32151.10—2015）；</w:t>
      </w:r>
    </w:p>
    <w:p w14:paraId="626B34DE">
      <w:pPr>
        <w:numPr>
          <w:ilvl w:val="0"/>
          <w:numId w:val="7"/>
        </w:numPr>
        <w:ind w:firstLine="480"/>
        <w:rPr>
          <w:bCs/>
          <w:color w:val="auto"/>
        </w:rPr>
      </w:pPr>
      <w:r>
        <w:rPr>
          <w:bCs/>
          <w:color w:val="auto"/>
        </w:rPr>
        <w:t>《关于切实做好全国碳排放权交易市场启动重点工作的通知》（发改办气候〔2016〕57号）；</w:t>
      </w:r>
    </w:p>
    <w:p w14:paraId="45D81A77">
      <w:pPr>
        <w:numPr>
          <w:ilvl w:val="0"/>
          <w:numId w:val="7"/>
        </w:numPr>
        <w:ind w:firstLine="480"/>
        <w:rPr>
          <w:bCs/>
          <w:color w:val="auto"/>
        </w:rPr>
      </w:pPr>
      <w:r>
        <w:rPr>
          <w:bCs/>
          <w:color w:val="auto"/>
        </w:rPr>
        <w:t>《关于加强企业温室气体排放报告管理相关工作的通知》（环办气候〔2021〕9号）；</w:t>
      </w:r>
    </w:p>
    <w:p w14:paraId="0E7C1DB3">
      <w:pPr>
        <w:numPr>
          <w:ilvl w:val="0"/>
          <w:numId w:val="7"/>
        </w:numPr>
        <w:ind w:firstLine="480"/>
        <w:rPr>
          <w:bCs/>
          <w:color w:val="auto"/>
        </w:rPr>
      </w:pPr>
      <w:r>
        <w:rPr>
          <w:bCs/>
          <w:color w:val="auto"/>
        </w:rPr>
        <w:t>《关于印发〈企业温室气体排放报告核查指南（试行）〉的通知》（环办气候函〔2021〕130号）；</w:t>
      </w:r>
    </w:p>
    <w:p w14:paraId="4A8C2708">
      <w:pPr>
        <w:numPr>
          <w:ilvl w:val="0"/>
          <w:numId w:val="7"/>
        </w:numPr>
        <w:ind w:firstLine="480"/>
        <w:rPr>
          <w:bCs/>
          <w:color w:val="auto"/>
        </w:rPr>
      </w:pPr>
      <w:r>
        <w:rPr>
          <w:bCs/>
          <w:color w:val="auto"/>
        </w:rPr>
        <w:t>《国务院关于印发2030年前碳达峰行动方案的通知》（国发〔2021〕23号）；</w:t>
      </w:r>
    </w:p>
    <w:p w14:paraId="7DC230EC">
      <w:pPr>
        <w:numPr>
          <w:ilvl w:val="0"/>
          <w:numId w:val="7"/>
        </w:numPr>
        <w:ind w:firstLine="480"/>
        <w:rPr>
          <w:bCs/>
          <w:color w:val="auto"/>
        </w:rPr>
      </w:pPr>
      <w:r>
        <w:rPr>
          <w:bCs/>
          <w:color w:val="auto"/>
        </w:rPr>
        <w:t>《关于加强高耗能、高排放建设项目生态环境源头防控的指导意见》（环环评〔2021〕45号）；</w:t>
      </w:r>
    </w:p>
    <w:p w14:paraId="1DDBD7D4">
      <w:pPr>
        <w:numPr>
          <w:ilvl w:val="0"/>
          <w:numId w:val="7"/>
        </w:numPr>
        <w:ind w:firstLine="480"/>
        <w:rPr>
          <w:bCs/>
          <w:color w:val="auto"/>
        </w:rPr>
      </w:pPr>
      <w:r>
        <w:rPr>
          <w:bCs/>
          <w:color w:val="auto"/>
        </w:rPr>
        <w:t>《江苏省重点行业建设项目碳排放环境影响评价技术指南（试行）》（苏环办〔2021〕364号）。</w:t>
      </w:r>
    </w:p>
    <w:p w14:paraId="15F3B0DE">
      <w:pPr>
        <w:pStyle w:val="5"/>
        <w:spacing w:before="156"/>
        <w:rPr>
          <w:color w:val="auto"/>
        </w:rPr>
      </w:pPr>
      <w:r>
        <w:rPr>
          <w:rFonts w:hint="eastAsia"/>
          <w:color w:val="auto"/>
        </w:rPr>
        <w:t>6.9.1.2评价标准</w:t>
      </w:r>
    </w:p>
    <w:p w14:paraId="40D4E7C0">
      <w:pPr>
        <w:ind w:firstLine="480"/>
        <w:rPr>
          <w:bCs/>
          <w:color w:val="auto"/>
        </w:rPr>
      </w:pPr>
      <w:r>
        <w:rPr>
          <w:bCs/>
          <w:color w:val="auto"/>
        </w:rPr>
        <w:t>根据《江苏省重点行业建设项目碳排放环境影响评价技术指南（试行）》（苏环办〔2021〕364号），其中暂无明确本项目细分行业评价标准数据，但“指南”中指出根据“行业碳排放水平、同行业同类先进企业碳排放绩效”，但根据目前的调研，暂无本项目细分行业相关评价标准数据；此外，“指南”中指出“行业碳排放水平优先根据另行发布的江苏省重点行业二氧化碳排放绩效确定，在重点行业二氧化碳排放绩效公开发布前，可参考国内外既有的行业碳排放绩效”，根据广泛和深入的调研，目前暂未发布江苏省重点行业二氧化碳排放绩效；同时，同行业同类先进企业的碳排放绩效数据，根据调查国内外相关同类企业，暂无相关评价标准数据；</w:t>
      </w:r>
      <w:r>
        <w:rPr>
          <w:rFonts w:hint="eastAsia"/>
          <w:bCs/>
          <w:color w:val="auto"/>
        </w:rPr>
        <w:t>本</w:t>
      </w:r>
      <w:r>
        <w:rPr>
          <w:bCs/>
          <w:color w:val="auto"/>
        </w:rPr>
        <w:t>项目拟参考《浙江省建设项目碳排放评价编制指南（试行）》中附录六</w:t>
      </w:r>
      <w:r>
        <w:rPr>
          <w:rFonts w:hint="eastAsia"/>
          <w:bCs/>
          <w:color w:val="auto"/>
        </w:rPr>
        <w:t>“</w:t>
      </w:r>
      <w:r>
        <w:rPr>
          <w:bCs/>
          <w:color w:val="auto"/>
        </w:rPr>
        <w:t>行业单位工业增加值碳排放参考值</w:t>
      </w:r>
      <w:r>
        <w:rPr>
          <w:rFonts w:hint="eastAsia"/>
          <w:bCs/>
          <w:color w:val="auto"/>
        </w:rPr>
        <w:t>”</w:t>
      </w:r>
      <w:r>
        <w:rPr>
          <w:bCs/>
          <w:color w:val="auto"/>
        </w:rPr>
        <w:t>，具体如下：</w:t>
      </w:r>
    </w:p>
    <w:p w14:paraId="42CB85F2">
      <w:pPr>
        <w:ind w:firstLine="482"/>
        <w:jc w:val="center"/>
        <w:rPr>
          <w:b/>
          <w:color w:val="auto"/>
        </w:rPr>
      </w:pPr>
      <w:r>
        <w:rPr>
          <w:rFonts w:hint="eastAsia"/>
          <w:b/>
          <w:color w:val="auto"/>
        </w:rPr>
        <w:t>表6.9.1-1 行业单位工业增加值碳排放参考值</w:t>
      </w:r>
    </w:p>
    <w:tbl>
      <w:tblPr>
        <w:tblStyle w:val="24"/>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1072"/>
        <w:gridCol w:w="4259"/>
        <w:gridCol w:w="3504"/>
      </w:tblGrid>
      <w:tr w14:paraId="17BAB76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PrEx>
        <w:trPr>
          <w:trHeight w:val="23" w:hRule="atLeast"/>
          <w:jc w:val="center"/>
        </w:trPr>
        <w:tc>
          <w:tcPr>
            <w:tcW w:w="517" w:type="pct"/>
            <w:tcBorders>
              <w:top w:val="single" w:color="auto" w:sz="12" w:space="0"/>
              <w:left w:val="nil"/>
              <w:bottom w:val="single" w:color="auto" w:sz="4" w:space="0"/>
              <w:right w:val="single" w:color="auto" w:sz="4" w:space="0"/>
            </w:tcBorders>
            <w:vAlign w:val="center"/>
          </w:tcPr>
          <w:p w14:paraId="14DE5C8C">
            <w:pPr>
              <w:spacing w:line="240" w:lineRule="auto"/>
              <w:ind w:firstLine="0" w:firstLineChars="0"/>
              <w:jc w:val="center"/>
              <w:rPr>
                <w:b/>
                <w:bCs/>
                <w:color w:val="auto"/>
                <w:sz w:val="21"/>
                <w:szCs w:val="21"/>
              </w:rPr>
            </w:pPr>
            <w:r>
              <w:rPr>
                <w:b/>
                <w:bCs/>
                <w:color w:val="auto"/>
                <w:sz w:val="21"/>
                <w:szCs w:val="21"/>
              </w:rPr>
              <w:t>序号</w:t>
            </w:r>
          </w:p>
        </w:tc>
        <w:tc>
          <w:tcPr>
            <w:tcW w:w="544" w:type="pct"/>
            <w:tcBorders>
              <w:top w:val="single" w:color="auto" w:sz="12" w:space="0"/>
              <w:left w:val="single" w:color="auto" w:sz="4" w:space="0"/>
              <w:bottom w:val="single" w:color="auto" w:sz="4" w:space="0"/>
              <w:right w:val="single" w:color="auto" w:sz="4" w:space="0"/>
            </w:tcBorders>
            <w:vAlign w:val="center"/>
          </w:tcPr>
          <w:p w14:paraId="31913336">
            <w:pPr>
              <w:spacing w:line="240" w:lineRule="auto"/>
              <w:ind w:firstLine="0" w:firstLineChars="0"/>
              <w:jc w:val="center"/>
              <w:rPr>
                <w:b/>
                <w:bCs/>
                <w:color w:val="auto"/>
                <w:sz w:val="21"/>
                <w:szCs w:val="21"/>
              </w:rPr>
            </w:pPr>
            <w:r>
              <w:rPr>
                <w:b/>
                <w:bCs/>
                <w:color w:val="auto"/>
                <w:sz w:val="21"/>
                <w:szCs w:val="21"/>
              </w:rPr>
              <w:t>行业</w:t>
            </w:r>
          </w:p>
        </w:tc>
        <w:tc>
          <w:tcPr>
            <w:tcW w:w="2161" w:type="pct"/>
            <w:tcBorders>
              <w:top w:val="single" w:color="auto" w:sz="12" w:space="0"/>
              <w:left w:val="single" w:color="auto" w:sz="4" w:space="0"/>
              <w:bottom w:val="single" w:color="auto" w:sz="4" w:space="0"/>
              <w:right w:val="single" w:color="auto" w:sz="4" w:space="0"/>
            </w:tcBorders>
            <w:vAlign w:val="center"/>
          </w:tcPr>
          <w:p w14:paraId="2A667BFB">
            <w:pPr>
              <w:spacing w:line="240" w:lineRule="auto"/>
              <w:ind w:firstLine="0" w:firstLineChars="0"/>
              <w:jc w:val="center"/>
              <w:rPr>
                <w:b/>
                <w:bCs/>
                <w:color w:val="auto"/>
                <w:sz w:val="21"/>
                <w:szCs w:val="21"/>
              </w:rPr>
            </w:pPr>
            <w:r>
              <w:rPr>
                <w:b/>
                <w:bCs/>
                <w:color w:val="auto"/>
                <w:sz w:val="21"/>
                <w:szCs w:val="21"/>
              </w:rPr>
              <w:t>国民经济行业及代码</w:t>
            </w:r>
          </w:p>
        </w:tc>
        <w:tc>
          <w:tcPr>
            <w:tcW w:w="1778" w:type="pct"/>
            <w:tcBorders>
              <w:top w:val="single" w:color="auto" w:sz="12" w:space="0"/>
              <w:left w:val="single" w:color="auto" w:sz="4" w:space="0"/>
              <w:bottom w:val="single" w:color="auto" w:sz="4" w:space="0"/>
              <w:right w:val="nil"/>
            </w:tcBorders>
            <w:vAlign w:val="center"/>
          </w:tcPr>
          <w:p w14:paraId="38AF0C19">
            <w:pPr>
              <w:spacing w:line="240" w:lineRule="auto"/>
              <w:ind w:firstLine="0" w:firstLineChars="0"/>
              <w:jc w:val="center"/>
              <w:rPr>
                <w:b/>
                <w:bCs/>
                <w:color w:val="auto"/>
                <w:sz w:val="21"/>
                <w:szCs w:val="21"/>
              </w:rPr>
            </w:pPr>
            <w:r>
              <w:rPr>
                <w:b/>
                <w:bCs/>
                <w:color w:val="auto"/>
                <w:sz w:val="21"/>
                <w:szCs w:val="21"/>
                <w:lang w:bidi="ar"/>
              </w:rPr>
              <w:t>单位工业增加值碳排放</w:t>
            </w:r>
          </w:p>
          <w:p w14:paraId="2E6FF29A">
            <w:pPr>
              <w:spacing w:line="240" w:lineRule="auto"/>
              <w:ind w:firstLine="0" w:firstLineChars="0"/>
              <w:jc w:val="center"/>
              <w:rPr>
                <w:b/>
                <w:bCs/>
                <w:color w:val="auto"/>
                <w:sz w:val="21"/>
                <w:szCs w:val="21"/>
              </w:rPr>
            </w:pPr>
            <w:r>
              <w:rPr>
                <w:b/>
                <w:bCs/>
                <w:color w:val="auto"/>
                <w:sz w:val="21"/>
                <w:szCs w:val="21"/>
              </w:rPr>
              <w:t>（吨二氧化碳/万元）</w:t>
            </w:r>
          </w:p>
        </w:tc>
      </w:tr>
      <w:tr w14:paraId="0120D86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7" w:type="pct"/>
            <w:tcBorders>
              <w:top w:val="single" w:color="auto" w:sz="4" w:space="0"/>
              <w:left w:val="nil"/>
              <w:bottom w:val="single" w:color="auto" w:sz="4" w:space="0"/>
              <w:right w:val="single" w:color="auto" w:sz="4" w:space="0"/>
            </w:tcBorders>
            <w:vAlign w:val="center"/>
          </w:tcPr>
          <w:p w14:paraId="711B438F">
            <w:pPr>
              <w:spacing w:line="240" w:lineRule="auto"/>
              <w:ind w:firstLine="0" w:firstLineChars="0"/>
              <w:jc w:val="center"/>
              <w:rPr>
                <w:color w:val="auto"/>
                <w:sz w:val="21"/>
                <w:szCs w:val="21"/>
              </w:rPr>
            </w:pPr>
            <w:r>
              <w:rPr>
                <w:color w:val="auto"/>
                <w:sz w:val="21"/>
                <w:szCs w:val="21"/>
              </w:rPr>
              <w:t>1</w:t>
            </w:r>
          </w:p>
        </w:tc>
        <w:tc>
          <w:tcPr>
            <w:tcW w:w="544" w:type="pct"/>
            <w:tcBorders>
              <w:top w:val="single" w:color="auto" w:sz="4" w:space="0"/>
              <w:left w:val="single" w:color="auto" w:sz="4" w:space="0"/>
              <w:bottom w:val="single" w:color="auto" w:sz="4" w:space="0"/>
              <w:right w:val="single" w:color="auto" w:sz="4" w:space="0"/>
            </w:tcBorders>
            <w:vAlign w:val="center"/>
          </w:tcPr>
          <w:p w14:paraId="3DFBADED">
            <w:pPr>
              <w:spacing w:line="240" w:lineRule="auto"/>
              <w:ind w:firstLine="0" w:firstLineChars="0"/>
              <w:jc w:val="center"/>
              <w:rPr>
                <w:color w:val="auto"/>
                <w:sz w:val="21"/>
                <w:szCs w:val="21"/>
              </w:rPr>
            </w:pPr>
            <w:r>
              <w:rPr>
                <w:color w:val="auto"/>
                <w:sz w:val="21"/>
                <w:szCs w:val="21"/>
              </w:rPr>
              <w:t>火电</w:t>
            </w:r>
          </w:p>
        </w:tc>
        <w:tc>
          <w:tcPr>
            <w:tcW w:w="2161" w:type="pct"/>
            <w:tcBorders>
              <w:top w:val="single" w:color="auto" w:sz="4" w:space="0"/>
              <w:left w:val="single" w:color="auto" w:sz="4" w:space="0"/>
              <w:bottom w:val="single" w:color="auto" w:sz="4" w:space="0"/>
              <w:right w:val="single" w:color="auto" w:sz="4" w:space="0"/>
            </w:tcBorders>
            <w:vAlign w:val="center"/>
          </w:tcPr>
          <w:p w14:paraId="7B4C2301">
            <w:pPr>
              <w:spacing w:line="240" w:lineRule="auto"/>
              <w:ind w:firstLine="0" w:firstLineChars="0"/>
              <w:jc w:val="center"/>
              <w:rPr>
                <w:color w:val="auto"/>
                <w:sz w:val="21"/>
                <w:szCs w:val="21"/>
              </w:rPr>
            </w:pPr>
            <w:r>
              <w:rPr>
                <w:color w:val="auto"/>
                <w:sz w:val="21"/>
                <w:szCs w:val="21"/>
              </w:rPr>
              <w:t>电力、热力生产和供应业 44</w:t>
            </w:r>
          </w:p>
        </w:tc>
        <w:tc>
          <w:tcPr>
            <w:tcW w:w="1778" w:type="pct"/>
            <w:tcBorders>
              <w:top w:val="single" w:color="auto" w:sz="4" w:space="0"/>
              <w:left w:val="single" w:color="auto" w:sz="4" w:space="0"/>
              <w:bottom w:val="single" w:color="auto" w:sz="4" w:space="0"/>
              <w:right w:val="nil"/>
            </w:tcBorders>
            <w:vAlign w:val="center"/>
          </w:tcPr>
          <w:p w14:paraId="32E7C943">
            <w:pPr>
              <w:spacing w:line="240" w:lineRule="auto"/>
              <w:ind w:firstLine="0" w:firstLineChars="0"/>
              <w:jc w:val="center"/>
              <w:rPr>
                <w:color w:val="auto"/>
                <w:sz w:val="21"/>
                <w:szCs w:val="21"/>
              </w:rPr>
            </w:pPr>
            <w:r>
              <w:rPr>
                <w:color w:val="auto"/>
                <w:sz w:val="21"/>
                <w:szCs w:val="21"/>
              </w:rPr>
              <w:t>18.75</w:t>
            </w:r>
          </w:p>
        </w:tc>
      </w:tr>
      <w:tr w14:paraId="4DF05AD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7" w:type="pct"/>
            <w:tcBorders>
              <w:top w:val="single" w:color="auto" w:sz="4" w:space="0"/>
              <w:left w:val="nil"/>
              <w:bottom w:val="single" w:color="auto" w:sz="4" w:space="0"/>
              <w:right w:val="single" w:color="auto" w:sz="4" w:space="0"/>
            </w:tcBorders>
            <w:vAlign w:val="center"/>
          </w:tcPr>
          <w:p w14:paraId="641A785A">
            <w:pPr>
              <w:spacing w:line="240" w:lineRule="auto"/>
              <w:ind w:firstLine="0" w:firstLineChars="0"/>
              <w:jc w:val="center"/>
              <w:rPr>
                <w:color w:val="auto"/>
                <w:sz w:val="21"/>
                <w:szCs w:val="21"/>
              </w:rPr>
            </w:pPr>
            <w:r>
              <w:rPr>
                <w:color w:val="auto"/>
                <w:sz w:val="21"/>
                <w:szCs w:val="21"/>
              </w:rPr>
              <w:t>2</w:t>
            </w:r>
          </w:p>
        </w:tc>
        <w:tc>
          <w:tcPr>
            <w:tcW w:w="544" w:type="pct"/>
            <w:tcBorders>
              <w:top w:val="single" w:color="auto" w:sz="4" w:space="0"/>
              <w:left w:val="single" w:color="auto" w:sz="4" w:space="0"/>
              <w:bottom w:val="single" w:color="auto" w:sz="4" w:space="0"/>
              <w:right w:val="single" w:color="auto" w:sz="4" w:space="0"/>
            </w:tcBorders>
            <w:vAlign w:val="center"/>
          </w:tcPr>
          <w:p w14:paraId="6687F07B">
            <w:pPr>
              <w:spacing w:line="240" w:lineRule="auto"/>
              <w:ind w:firstLine="0" w:firstLineChars="0"/>
              <w:jc w:val="center"/>
              <w:rPr>
                <w:color w:val="auto"/>
                <w:sz w:val="21"/>
                <w:szCs w:val="21"/>
              </w:rPr>
            </w:pPr>
            <w:r>
              <w:rPr>
                <w:color w:val="auto"/>
                <w:sz w:val="21"/>
                <w:szCs w:val="21"/>
              </w:rPr>
              <w:t>钢铁</w:t>
            </w:r>
          </w:p>
        </w:tc>
        <w:tc>
          <w:tcPr>
            <w:tcW w:w="2161" w:type="pct"/>
            <w:tcBorders>
              <w:top w:val="single" w:color="auto" w:sz="4" w:space="0"/>
              <w:left w:val="single" w:color="auto" w:sz="4" w:space="0"/>
              <w:bottom w:val="single" w:color="auto" w:sz="4" w:space="0"/>
              <w:right w:val="single" w:color="auto" w:sz="4" w:space="0"/>
            </w:tcBorders>
            <w:vAlign w:val="center"/>
          </w:tcPr>
          <w:p w14:paraId="0821978C">
            <w:pPr>
              <w:spacing w:line="240" w:lineRule="auto"/>
              <w:ind w:firstLine="0" w:firstLineChars="0"/>
              <w:jc w:val="center"/>
              <w:rPr>
                <w:color w:val="auto"/>
                <w:sz w:val="21"/>
                <w:szCs w:val="21"/>
              </w:rPr>
            </w:pPr>
            <w:r>
              <w:rPr>
                <w:color w:val="auto"/>
                <w:sz w:val="21"/>
                <w:szCs w:val="21"/>
              </w:rPr>
              <w:t>黑色金属冶炼和压延加工业 31</w:t>
            </w:r>
          </w:p>
        </w:tc>
        <w:tc>
          <w:tcPr>
            <w:tcW w:w="1778" w:type="pct"/>
            <w:tcBorders>
              <w:top w:val="single" w:color="auto" w:sz="4" w:space="0"/>
              <w:left w:val="single" w:color="auto" w:sz="4" w:space="0"/>
              <w:bottom w:val="single" w:color="auto" w:sz="4" w:space="0"/>
              <w:right w:val="nil"/>
            </w:tcBorders>
            <w:vAlign w:val="center"/>
          </w:tcPr>
          <w:p w14:paraId="0BBF88D0">
            <w:pPr>
              <w:spacing w:line="240" w:lineRule="auto"/>
              <w:ind w:firstLine="0" w:firstLineChars="0"/>
              <w:jc w:val="center"/>
              <w:rPr>
                <w:color w:val="auto"/>
                <w:sz w:val="21"/>
                <w:szCs w:val="21"/>
              </w:rPr>
            </w:pPr>
            <w:r>
              <w:rPr>
                <w:color w:val="auto"/>
                <w:sz w:val="21"/>
                <w:szCs w:val="21"/>
              </w:rPr>
              <w:t>6.06</w:t>
            </w:r>
          </w:p>
        </w:tc>
      </w:tr>
      <w:tr w14:paraId="753A10A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7" w:type="pct"/>
            <w:tcBorders>
              <w:top w:val="single" w:color="auto" w:sz="4" w:space="0"/>
              <w:left w:val="nil"/>
              <w:bottom w:val="single" w:color="auto" w:sz="4" w:space="0"/>
              <w:right w:val="single" w:color="auto" w:sz="4" w:space="0"/>
            </w:tcBorders>
            <w:vAlign w:val="center"/>
          </w:tcPr>
          <w:p w14:paraId="18D8FA2A">
            <w:pPr>
              <w:spacing w:line="240" w:lineRule="auto"/>
              <w:ind w:firstLine="0" w:firstLineChars="0"/>
              <w:jc w:val="center"/>
              <w:rPr>
                <w:color w:val="auto"/>
                <w:sz w:val="21"/>
                <w:szCs w:val="21"/>
              </w:rPr>
            </w:pPr>
            <w:r>
              <w:rPr>
                <w:color w:val="auto"/>
                <w:sz w:val="21"/>
                <w:szCs w:val="21"/>
              </w:rPr>
              <w:t>3</w:t>
            </w:r>
          </w:p>
        </w:tc>
        <w:tc>
          <w:tcPr>
            <w:tcW w:w="544" w:type="pct"/>
            <w:tcBorders>
              <w:top w:val="single" w:color="auto" w:sz="4" w:space="0"/>
              <w:left w:val="single" w:color="auto" w:sz="4" w:space="0"/>
              <w:bottom w:val="single" w:color="auto" w:sz="4" w:space="0"/>
              <w:right w:val="single" w:color="auto" w:sz="4" w:space="0"/>
            </w:tcBorders>
            <w:vAlign w:val="center"/>
          </w:tcPr>
          <w:p w14:paraId="5701E8DC">
            <w:pPr>
              <w:spacing w:line="240" w:lineRule="auto"/>
              <w:ind w:firstLine="0" w:firstLineChars="0"/>
              <w:jc w:val="center"/>
              <w:rPr>
                <w:color w:val="auto"/>
                <w:sz w:val="21"/>
                <w:szCs w:val="21"/>
              </w:rPr>
            </w:pPr>
            <w:r>
              <w:rPr>
                <w:color w:val="auto"/>
                <w:sz w:val="21"/>
                <w:szCs w:val="21"/>
              </w:rPr>
              <w:t>石化</w:t>
            </w:r>
          </w:p>
        </w:tc>
        <w:tc>
          <w:tcPr>
            <w:tcW w:w="2161" w:type="pct"/>
            <w:tcBorders>
              <w:top w:val="single" w:color="auto" w:sz="4" w:space="0"/>
              <w:left w:val="single" w:color="auto" w:sz="4" w:space="0"/>
              <w:bottom w:val="single" w:color="auto" w:sz="4" w:space="0"/>
              <w:right w:val="single" w:color="auto" w:sz="4" w:space="0"/>
            </w:tcBorders>
            <w:vAlign w:val="center"/>
          </w:tcPr>
          <w:p w14:paraId="7F4F2452">
            <w:pPr>
              <w:spacing w:line="240" w:lineRule="auto"/>
              <w:ind w:firstLine="0" w:firstLineChars="0"/>
              <w:jc w:val="center"/>
              <w:rPr>
                <w:color w:val="auto"/>
                <w:sz w:val="21"/>
                <w:szCs w:val="21"/>
              </w:rPr>
            </w:pPr>
            <w:r>
              <w:rPr>
                <w:color w:val="auto"/>
                <w:sz w:val="21"/>
                <w:szCs w:val="21"/>
              </w:rPr>
              <w:t>石油加工、炼焦和核燃料加工业 25</w:t>
            </w:r>
          </w:p>
        </w:tc>
        <w:tc>
          <w:tcPr>
            <w:tcW w:w="1778" w:type="pct"/>
            <w:tcBorders>
              <w:top w:val="single" w:color="auto" w:sz="4" w:space="0"/>
              <w:left w:val="single" w:color="auto" w:sz="4" w:space="0"/>
              <w:bottom w:val="single" w:color="auto" w:sz="4" w:space="0"/>
              <w:right w:val="nil"/>
            </w:tcBorders>
            <w:vAlign w:val="center"/>
          </w:tcPr>
          <w:p w14:paraId="1A316D48">
            <w:pPr>
              <w:spacing w:line="240" w:lineRule="auto"/>
              <w:ind w:firstLine="0" w:firstLineChars="0"/>
              <w:jc w:val="center"/>
              <w:rPr>
                <w:color w:val="auto"/>
                <w:sz w:val="21"/>
                <w:szCs w:val="21"/>
              </w:rPr>
            </w:pPr>
            <w:r>
              <w:rPr>
                <w:color w:val="auto"/>
                <w:sz w:val="21"/>
                <w:szCs w:val="21"/>
              </w:rPr>
              <w:t>5.65</w:t>
            </w:r>
          </w:p>
        </w:tc>
      </w:tr>
      <w:tr w14:paraId="778198D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7" w:type="pct"/>
            <w:tcBorders>
              <w:top w:val="single" w:color="auto" w:sz="4" w:space="0"/>
              <w:left w:val="nil"/>
              <w:bottom w:val="single" w:color="auto" w:sz="4" w:space="0"/>
              <w:right w:val="single" w:color="auto" w:sz="4" w:space="0"/>
            </w:tcBorders>
            <w:vAlign w:val="center"/>
          </w:tcPr>
          <w:p w14:paraId="4F9D20DE">
            <w:pPr>
              <w:spacing w:line="240" w:lineRule="auto"/>
              <w:ind w:firstLine="0" w:firstLineChars="0"/>
              <w:jc w:val="center"/>
              <w:rPr>
                <w:color w:val="auto"/>
                <w:sz w:val="21"/>
                <w:szCs w:val="21"/>
              </w:rPr>
            </w:pPr>
            <w:r>
              <w:rPr>
                <w:color w:val="auto"/>
                <w:sz w:val="21"/>
                <w:szCs w:val="21"/>
              </w:rPr>
              <w:t>4</w:t>
            </w:r>
          </w:p>
        </w:tc>
        <w:tc>
          <w:tcPr>
            <w:tcW w:w="544" w:type="pct"/>
            <w:tcBorders>
              <w:top w:val="single" w:color="auto" w:sz="4" w:space="0"/>
              <w:left w:val="single" w:color="auto" w:sz="4" w:space="0"/>
              <w:bottom w:val="single" w:color="auto" w:sz="4" w:space="0"/>
              <w:right w:val="single" w:color="auto" w:sz="4" w:space="0"/>
            </w:tcBorders>
            <w:vAlign w:val="center"/>
          </w:tcPr>
          <w:p w14:paraId="5A02D4F7">
            <w:pPr>
              <w:spacing w:line="240" w:lineRule="auto"/>
              <w:ind w:firstLine="0" w:firstLineChars="0"/>
              <w:jc w:val="center"/>
              <w:rPr>
                <w:color w:val="auto"/>
                <w:sz w:val="21"/>
                <w:szCs w:val="21"/>
              </w:rPr>
            </w:pPr>
            <w:r>
              <w:rPr>
                <w:color w:val="auto"/>
                <w:sz w:val="21"/>
                <w:szCs w:val="21"/>
              </w:rPr>
              <w:t>造纸</w:t>
            </w:r>
          </w:p>
        </w:tc>
        <w:tc>
          <w:tcPr>
            <w:tcW w:w="2161" w:type="pct"/>
            <w:tcBorders>
              <w:top w:val="single" w:color="auto" w:sz="4" w:space="0"/>
              <w:left w:val="single" w:color="auto" w:sz="4" w:space="0"/>
              <w:bottom w:val="single" w:color="auto" w:sz="4" w:space="0"/>
              <w:right w:val="single" w:color="auto" w:sz="4" w:space="0"/>
            </w:tcBorders>
            <w:vAlign w:val="center"/>
          </w:tcPr>
          <w:p w14:paraId="39B0EC49">
            <w:pPr>
              <w:spacing w:line="240" w:lineRule="auto"/>
              <w:ind w:firstLine="0" w:firstLineChars="0"/>
              <w:jc w:val="center"/>
              <w:rPr>
                <w:color w:val="auto"/>
                <w:sz w:val="21"/>
                <w:szCs w:val="21"/>
              </w:rPr>
            </w:pPr>
            <w:r>
              <w:rPr>
                <w:color w:val="auto"/>
                <w:sz w:val="21"/>
                <w:szCs w:val="21"/>
              </w:rPr>
              <w:t>造纸和纸制品业 22</w:t>
            </w:r>
          </w:p>
        </w:tc>
        <w:tc>
          <w:tcPr>
            <w:tcW w:w="1778" w:type="pct"/>
            <w:tcBorders>
              <w:top w:val="single" w:color="auto" w:sz="4" w:space="0"/>
              <w:left w:val="single" w:color="auto" w:sz="4" w:space="0"/>
              <w:bottom w:val="single" w:color="auto" w:sz="4" w:space="0"/>
              <w:right w:val="nil"/>
            </w:tcBorders>
            <w:vAlign w:val="center"/>
          </w:tcPr>
          <w:p w14:paraId="53657D37">
            <w:pPr>
              <w:spacing w:line="240" w:lineRule="auto"/>
              <w:ind w:firstLine="0" w:firstLineChars="0"/>
              <w:jc w:val="center"/>
              <w:rPr>
                <w:color w:val="auto"/>
                <w:sz w:val="21"/>
                <w:szCs w:val="21"/>
              </w:rPr>
            </w:pPr>
            <w:r>
              <w:rPr>
                <w:color w:val="auto"/>
                <w:sz w:val="21"/>
                <w:szCs w:val="21"/>
              </w:rPr>
              <w:t>4.83</w:t>
            </w:r>
          </w:p>
        </w:tc>
      </w:tr>
      <w:tr w14:paraId="471CA49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7" w:type="pct"/>
            <w:tcBorders>
              <w:top w:val="single" w:color="auto" w:sz="4" w:space="0"/>
              <w:left w:val="nil"/>
              <w:bottom w:val="single" w:color="auto" w:sz="4" w:space="0"/>
              <w:right w:val="single" w:color="auto" w:sz="4" w:space="0"/>
            </w:tcBorders>
            <w:vAlign w:val="center"/>
          </w:tcPr>
          <w:p w14:paraId="41D28073">
            <w:pPr>
              <w:spacing w:line="240" w:lineRule="auto"/>
              <w:ind w:firstLine="0" w:firstLineChars="0"/>
              <w:jc w:val="center"/>
              <w:rPr>
                <w:color w:val="auto"/>
                <w:sz w:val="21"/>
                <w:szCs w:val="21"/>
              </w:rPr>
            </w:pPr>
            <w:r>
              <w:rPr>
                <w:color w:val="auto"/>
                <w:sz w:val="21"/>
                <w:szCs w:val="21"/>
              </w:rPr>
              <w:t>5</w:t>
            </w:r>
          </w:p>
        </w:tc>
        <w:tc>
          <w:tcPr>
            <w:tcW w:w="544" w:type="pct"/>
            <w:tcBorders>
              <w:top w:val="single" w:color="auto" w:sz="4" w:space="0"/>
              <w:left w:val="single" w:color="auto" w:sz="4" w:space="0"/>
              <w:bottom w:val="single" w:color="auto" w:sz="4" w:space="0"/>
              <w:right w:val="single" w:color="auto" w:sz="4" w:space="0"/>
            </w:tcBorders>
            <w:vAlign w:val="center"/>
          </w:tcPr>
          <w:p w14:paraId="439682BC">
            <w:pPr>
              <w:spacing w:line="240" w:lineRule="auto"/>
              <w:ind w:firstLine="0" w:firstLineChars="0"/>
              <w:jc w:val="center"/>
              <w:rPr>
                <w:color w:val="auto"/>
                <w:sz w:val="21"/>
                <w:szCs w:val="21"/>
              </w:rPr>
            </w:pPr>
            <w:r>
              <w:rPr>
                <w:color w:val="auto"/>
                <w:sz w:val="21"/>
                <w:szCs w:val="21"/>
              </w:rPr>
              <w:t>建材</w:t>
            </w:r>
          </w:p>
        </w:tc>
        <w:tc>
          <w:tcPr>
            <w:tcW w:w="2161" w:type="pct"/>
            <w:tcBorders>
              <w:top w:val="single" w:color="auto" w:sz="4" w:space="0"/>
              <w:left w:val="single" w:color="auto" w:sz="4" w:space="0"/>
              <w:bottom w:val="single" w:color="auto" w:sz="4" w:space="0"/>
              <w:right w:val="single" w:color="auto" w:sz="4" w:space="0"/>
            </w:tcBorders>
            <w:vAlign w:val="center"/>
          </w:tcPr>
          <w:p w14:paraId="002240AA">
            <w:pPr>
              <w:spacing w:line="240" w:lineRule="auto"/>
              <w:ind w:firstLine="0" w:firstLineChars="0"/>
              <w:jc w:val="center"/>
              <w:rPr>
                <w:color w:val="auto"/>
                <w:sz w:val="21"/>
                <w:szCs w:val="21"/>
              </w:rPr>
            </w:pPr>
            <w:r>
              <w:rPr>
                <w:color w:val="auto"/>
                <w:sz w:val="21"/>
                <w:szCs w:val="21"/>
              </w:rPr>
              <w:t>非金属矿物制品业 30</w:t>
            </w:r>
          </w:p>
        </w:tc>
        <w:tc>
          <w:tcPr>
            <w:tcW w:w="1778" w:type="pct"/>
            <w:tcBorders>
              <w:top w:val="single" w:color="auto" w:sz="4" w:space="0"/>
              <w:left w:val="single" w:color="auto" w:sz="4" w:space="0"/>
              <w:bottom w:val="single" w:color="auto" w:sz="4" w:space="0"/>
              <w:right w:val="nil"/>
            </w:tcBorders>
            <w:vAlign w:val="center"/>
          </w:tcPr>
          <w:p w14:paraId="3D176F7B">
            <w:pPr>
              <w:spacing w:line="240" w:lineRule="auto"/>
              <w:ind w:firstLine="0" w:firstLineChars="0"/>
              <w:jc w:val="center"/>
              <w:rPr>
                <w:color w:val="auto"/>
                <w:sz w:val="21"/>
                <w:szCs w:val="21"/>
              </w:rPr>
            </w:pPr>
            <w:r>
              <w:rPr>
                <w:color w:val="auto"/>
                <w:sz w:val="21"/>
                <w:szCs w:val="21"/>
              </w:rPr>
              <w:t>3.97</w:t>
            </w:r>
          </w:p>
        </w:tc>
      </w:tr>
      <w:tr w14:paraId="21197E9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7" w:type="pct"/>
            <w:tcBorders>
              <w:top w:val="single" w:color="auto" w:sz="4" w:space="0"/>
              <w:left w:val="nil"/>
              <w:bottom w:val="single" w:color="auto" w:sz="4" w:space="0"/>
              <w:right w:val="single" w:color="auto" w:sz="4" w:space="0"/>
            </w:tcBorders>
            <w:vAlign w:val="center"/>
          </w:tcPr>
          <w:p w14:paraId="30E31417">
            <w:pPr>
              <w:spacing w:line="240" w:lineRule="auto"/>
              <w:ind w:firstLine="0" w:firstLineChars="0"/>
              <w:jc w:val="center"/>
              <w:rPr>
                <w:color w:val="auto"/>
                <w:sz w:val="21"/>
                <w:szCs w:val="21"/>
              </w:rPr>
            </w:pPr>
            <w:r>
              <w:rPr>
                <w:color w:val="auto"/>
                <w:sz w:val="21"/>
                <w:szCs w:val="21"/>
              </w:rPr>
              <w:t>6</w:t>
            </w:r>
          </w:p>
        </w:tc>
        <w:tc>
          <w:tcPr>
            <w:tcW w:w="544" w:type="pct"/>
            <w:tcBorders>
              <w:top w:val="single" w:color="auto" w:sz="4" w:space="0"/>
              <w:left w:val="single" w:color="auto" w:sz="4" w:space="0"/>
              <w:bottom w:val="single" w:color="auto" w:sz="4" w:space="0"/>
              <w:right w:val="single" w:color="auto" w:sz="4" w:space="0"/>
            </w:tcBorders>
            <w:vAlign w:val="center"/>
          </w:tcPr>
          <w:p w14:paraId="12868B07">
            <w:pPr>
              <w:spacing w:line="240" w:lineRule="auto"/>
              <w:ind w:firstLine="0" w:firstLineChars="0"/>
              <w:jc w:val="center"/>
              <w:rPr>
                <w:color w:val="auto"/>
                <w:sz w:val="21"/>
                <w:szCs w:val="21"/>
              </w:rPr>
            </w:pPr>
            <w:r>
              <w:rPr>
                <w:color w:val="auto"/>
                <w:sz w:val="21"/>
                <w:szCs w:val="21"/>
              </w:rPr>
              <w:t>印染</w:t>
            </w:r>
          </w:p>
        </w:tc>
        <w:tc>
          <w:tcPr>
            <w:tcW w:w="2161" w:type="pct"/>
            <w:tcBorders>
              <w:top w:val="single" w:color="auto" w:sz="4" w:space="0"/>
              <w:left w:val="single" w:color="auto" w:sz="4" w:space="0"/>
              <w:bottom w:val="single" w:color="auto" w:sz="4" w:space="0"/>
              <w:right w:val="single" w:color="auto" w:sz="4" w:space="0"/>
            </w:tcBorders>
            <w:vAlign w:val="center"/>
          </w:tcPr>
          <w:p w14:paraId="4E9048C2">
            <w:pPr>
              <w:spacing w:line="240" w:lineRule="auto"/>
              <w:ind w:firstLine="0" w:firstLineChars="0"/>
              <w:jc w:val="center"/>
              <w:rPr>
                <w:color w:val="auto"/>
                <w:sz w:val="21"/>
                <w:szCs w:val="21"/>
              </w:rPr>
            </w:pPr>
            <w:r>
              <w:rPr>
                <w:color w:val="auto"/>
                <w:sz w:val="21"/>
                <w:szCs w:val="21"/>
              </w:rPr>
              <w:t>纺织业 17</w:t>
            </w:r>
          </w:p>
        </w:tc>
        <w:tc>
          <w:tcPr>
            <w:tcW w:w="1778" w:type="pct"/>
            <w:tcBorders>
              <w:top w:val="single" w:color="auto" w:sz="4" w:space="0"/>
              <w:left w:val="single" w:color="auto" w:sz="4" w:space="0"/>
              <w:bottom w:val="single" w:color="auto" w:sz="4" w:space="0"/>
              <w:right w:val="nil"/>
            </w:tcBorders>
            <w:vAlign w:val="center"/>
          </w:tcPr>
          <w:p w14:paraId="104423AE">
            <w:pPr>
              <w:spacing w:line="240" w:lineRule="auto"/>
              <w:ind w:firstLine="0" w:firstLineChars="0"/>
              <w:jc w:val="center"/>
              <w:rPr>
                <w:color w:val="auto"/>
                <w:sz w:val="21"/>
                <w:szCs w:val="21"/>
              </w:rPr>
            </w:pPr>
            <w:r>
              <w:rPr>
                <w:color w:val="auto"/>
                <w:sz w:val="21"/>
                <w:szCs w:val="21"/>
              </w:rPr>
              <w:t>3.46</w:t>
            </w:r>
          </w:p>
        </w:tc>
      </w:tr>
      <w:tr w14:paraId="3CADB3D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7" w:type="pct"/>
            <w:tcBorders>
              <w:top w:val="single" w:color="auto" w:sz="4" w:space="0"/>
              <w:left w:val="nil"/>
              <w:bottom w:val="single" w:color="auto" w:sz="4" w:space="0"/>
              <w:right w:val="single" w:color="auto" w:sz="4" w:space="0"/>
            </w:tcBorders>
            <w:shd w:val="clear" w:color="auto" w:fill="D9D9D9"/>
            <w:vAlign w:val="center"/>
          </w:tcPr>
          <w:p w14:paraId="6A1A190E">
            <w:pPr>
              <w:spacing w:line="240" w:lineRule="auto"/>
              <w:ind w:firstLine="0" w:firstLineChars="0"/>
              <w:jc w:val="center"/>
              <w:rPr>
                <w:color w:val="auto"/>
                <w:sz w:val="21"/>
                <w:szCs w:val="21"/>
              </w:rPr>
            </w:pPr>
            <w:r>
              <w:rPr>
                <w:color w:val="auto"/>
                <w:sz w:val="21"/>
                <w:szCs w:val="21"/>
              </w:rPr>
              <w:t>7</w:t>
            </w:r>
          </w:p>
        </w:tc>
        <w:tc>
          <w:tcPr>
            <w:tcW w:w="544" w:type="pct"/>
            <w:tcBorders>
              <w:top w:val="single" w:color="auto" w:sz="4" w:space="0"/>
              <w:left w:val="single" w:color="auto" w:sz="4" w:space="0"/>
              <w:bottom w:val="single" w:color="auto" w:sz="4" w:space="0"/>
              <w:right w:val="single" w:color="auto" w:sz="4" w:space="0"/>
            </w:tcBorders>
            <w:shd w:val="clear" w:color="auto" w:fill="D9D9D9"/>
            <w:vAlign w:val="center"/>
          </w:tcPr>
          <w:p w14:paraId="064022C1">
            <w:pPr>
              <w:spacing w:line="240" w:lineRule="auto"/>
              <w:ind w:firstLine="0" w:firstLineChars="0"/>
              <w:jc w:val="center"/>
              <w:rPr>
                <w:color w:val="auto"/>
                <w:sz w:val="21"/>
                <w:szCs w:val="21"/>
              </w:rPr>
            </w:pPr>
            <w:r>
              <w:rPr>
                <w:color w:val="auto"/>
                <w:sz w:val="21"/>
                <w:szCs w:val="21"/>
              </w:rPr>
              <w:t>化工</w:t>
            </w:r>
          </w:p>
        </w:tc>
        <w:tc>
          <w:tcPr>
            <w:tcW w:w="2161" w:type="pct"/>
            <w:tcBorders>
              <w:top w:val="single" w:color="auto" w:sz="4" w:space="0"/>
              <w:left w:val="single" w:color="auto" w:sz="4" w:space="0"/>
              <w:bottom w:val="single" w:color="auto" w:sz="4" w:space="0"/>
              <w:right w:val="single" w:color="auto" w:sz="4" w:space="0"/>
            </w:tcBorders>
            <w:shd w:val="clear" w:color="auto" w:fill="D9D9D9"/>
            <w:vAlign w:val="center"/>
          </w:tcPr>
          <w:p w14:paraId="6581F278">
            <w:pPr>
              <w:spacing w:line="240" w:lineRule="auto"/>
              <w:ind w:firstLine="0" w:firstLineChars="0"/>
              <w:jc w:val="center"/>
              <w:rPr>
                <w:color w:val="auto"/>
                <w:sz w:val="21"/>
                <w:szCs w:val="21"/>
              </w:rPr>
            </w:pPr>
            <w:r>
              <w:rPr>
                <w:color w:val="auto"/>
                <w:sz w:val="21"/>
                <w:szCs w:val="21"/>
              </w:rPr>
              <w:t>化学原料和化学制品制造业 26</w:t>
            </w:r>
          </w:p>
        </w:tc>
        <w:tc>
          <w:tcPr>
            <w:tcW w:w="1778" w:type="pct"/>
            <w:tcBorders>
              <w:top w:val="single" w:color="auto" w:sz="4" w:space="0"/>
              <w:left w:val="single" w:color="auto" w:sz="4" w:space="0"/>
              <w:bottom w:val="single" w:color="auto" w:sz="4" w:space="0"/>
              <w:right w:val="nil"/>
            </w:tcBorders>
            <w:shd w:val="clear" w:color="auto" w:fill="D9D9D9"/>
            <w:vAlign w:val="center"/>
          </w:tcPr>
          <w:p w14:paraId="453FD3D0">
            <w:pPr>
              <w:spacing w:line="240" w:lineRule="auto"/>
              <w:ind w:firstLine="0" w:firstLineChars="0"/>
              <w:jc w:val="center"/>
              <w:rPr>
                <w:color w:val="auto"/>
                <w:sz w:val="21"/>
                <w:szCs w:val="21"/>
              </w:rPr>
            </w:pPr>
            <w:r>
              <w:rPr>
                <w:color w:val="auto"/>
                <w:sz w:val="21"/>
                <w:szCs w:val="21"/>
              </w:rPr>
              <w:t>3.44</w:t>
            </w:r>
          </w:p>
        </w:tc>
      </w:tr>
      <w:tr w14:paraId="6950F3F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7" w:type="pct"/>
            <w:tcBorders>
              <w:top w:val="single" w:color="auto" w:sz="4" w:space="0"/>
              <w:left w:val="nil"/>
              <w:bottom w:val="single" w:color="auto" w:sz="4" w:space="0"/>
              <w:right w:val="single" w:color="auto" w:sz="4" w:space="0"/>
            </w:tcBorders>
            <w:vAlign w:val="center"/>
          </w:tcPr>
          <w:p w14:paraId="6ED85049">
            <w:pPr>
              <w:spacing w:line="240" w:lineRule="auto"/>
              <w:ind w:firstLine="0" w:firstLineChars="0"/>
              <w:jc w:val="center"/>
              <w:rPr>
                <w:color w:val="auto"/>
                <w:sz w:val="21"/>
                <w:szCs w:val="21"/>
              </w:rPr>
            </w:pPr>
            <w:r>
              <w:rPr>
                <w:color w:val="auto"/>
                <w:sz w:val="21"/>
                <w:szCs w:val="21"/>
              </w:rPr>
              <w:t>8</w:t>
            </w:r>
          </w:p>
        </w:tc>
        <w:tc>
          <w:tcPr>
            <w:tcW w:w="544" w:type="pct"/>
            <w:tcBorders>
              <w:top w:val="single" w:color="auto" w:sz="4" w:space="0"/>
              <w:left w:val="single" w:color="auto" w:sz="4" w:space="0"/>
              <w:bottom w:val="single" w:color="auto" w:sz="4" w:space="0"/>
              <w:right w:val="single" w:color="auto" w:sz="4" w:space="0"/>
            </w:tcBorders>
            <w:vAlign w:val="center"/>
          </w:tcPr>
          <w:p w14:paraId="7B8CE7EB">
            <w:pPr>
              <w:spacing w:line="240" w:lineRule="auto"/>
              <w:ind w:firstLine="0" w:firstLineChars="0"/>
              <w:jc w:val="center"/>
              <w:rPr>
                <w:color w:val="auto"/>
                <w:sz w:val="21"/>
                <w:szCs w:val="21"/>
              </w:rPr>
            </w:pPr>
            <w:r>
              <w:rPr>
                <w:color w:val="auto"/>
                <w:sz w:val="21"/>
                <w:szCs w:val="21"/>
              </w:rPr>
              <w:t>化纤</w:t>
            </w:r>
          </w:p>
        </w:tc>
        <w:tc>
          <w:tcPr>
            <w:tcW w:w="2161" w:type="pct"/>
            <w:tcBorders>
              <w:top w:val="single" w:color="auto" w:sz="4" w:space="0"/>
              <w:left w:val="single" w:color="auto" w:sz="4" w:space="0"/>
              <w:bottom w:val="single" w:color="auto" w:sz="4" w:space="0"/>
              <w:right w:val="single" w:color="auto" w:sz="4" w:space="0"/>
            </w:tcBorders>
            <w:vAlign w:val="center"/>
          </w:tcPr>
          <w:p w14:paraId="67AA15AF">
            <w:pPr>
              <w:spacing w:line="240" w:lineRule="auto"/>
              <w:ind w:firstLine="0" w:firstLineChars="0"/>
              <w:jc w:val="center"/>
              <w:rPr>
                <w:color w:val="auto"/>
                <w:sz w:val="21"/>
                <w:szCs w:val="21"/>
              </w:rPr>
            </w:pPr>
            <w:r>
              <w:rPr>
                <w:color w:val="auto"/>
                <w:sz w:val="21"/>
                <w:szCs w:val="21"/>
              </w:rPr>
              <w:t>化学纤维制造业 28</w:t>
            </w:r>
          </w:p>
        </w:tc>
        <w:tc>
          <w:tcPr>
            <w:tcW w:w="1778" w:type="pct"/>
            <w:tcBorders>
              <w:top w:val="single" w:color="auto" w:sz="4" w:space="0"/>
              <w:left w:val="single" w:color="auto" w:sz="4" w:space="0"/>
              <w:bottom w:val="single" w:color="auto" w:sz="4" w:space="0"/>
              <w:right w:val="nil"/>
            </w:tcBorders>
            <w:vAlign w:val="center"/>
          </w:tcPr>
          <w:p w14:paraId="030EC966">
            <w:pPr>
              <w:spacing w:line="240" w:lineRule="auto"/>
              <w:ind w:firstLine="0" w:firstLineChars="0"/>
              <w:jc w:val="center"/>
              <w:rPr>
                <w:color w:val="auto"/>
                <w:sz w:val="21"/>
                <w:szCs w:val="21"/>
              </w:rPr>
            </w:pPr>
            <w:r>
              <w:rPr>
                <w:color w:val="auto"/>
                <w:sz w:val="21"/>
                <w:szCs w:val="21"/>
              </w:rPr>
              <w:t>3.43</w:t>
            </w:r>
          </w:p>
        </w:tc>
      </w:tr>
      <w:tr w14:paraId="3121202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7" w:type="pct"/>
            <w:tcBorders>
              <w:top w:val="single" w:color="auto" w:sz="4" w:space="0"/>
              <w:left w:val="nil"/>
              <w:bottom w:val="single" w:color="auto" w:sz="12" w:space="0"/>
              <w:right w:val="single" w:color="auto" w:sz="4" w:space="0"/>
            </w:tcBorders>
            <w:vAlign w:val="center"/>
          </w:tcPr>
          <w:p w14:paraId="61AC477D">
            <w:pPr>
              <w:spacing w:line="240" w:lineRule="auto"/>
              <w:ind w:firstLine="0" w:firstLineChars="0"/>
              <w:jc w:val="center"/>
              <w:rPr>
                <w:color w:val="auto"/>
                <w:sz w:val="21"/>
                <w:szCs w:val="21"/>
              </w:rPr>
            </w:pPr>
            <w:r>
              <w:rPr>
                <w:color w:val="auto"/>
                <w:sz w:val="21"/>
                <w:szCs w:val="21"/>
              </w:rPr>
              <w:t>9</w:t>
            </w:r>
          </w:p>
        </w:tc>
        <w:tc>
          <w:tcPr>
            <w:tcW w:w="544" w:type="pct"/>
            <w:tcBorders>
              <w:top w:val="single" w:color="auto" w:sz="4" w:space="0"/>
              <w:left w:val="single" w:color="auto" w:sz="4" w:space="0"/>
              <w:bottom w:val="single" w:color="auto" w:sz="12" w:space="0"/>
              <w:right w:val="single" w:color="auto" w:sz="4" w:space="0"/>
            </w:tcBorders>
            <w:vAlign w:val="center"/>
          </w:tcPr>
          <w:p w14:paraId="293F6173">
            <w:pPr>
              <w:spacing w:line="240" w:lineRule="auto"/>
              <w:ind w:firstLine="0" w:firstLineChars="0"/>
              <w:jc w:val="center"/>
              <w:rPr>
                <w:color w:val="auto"/>
                <w:sz w:val="21"/>
                <w:szCs w:val="21"/>
              </w:rPr>
            </w:pPr>
            <w:r>
              <w:rPr>
                <w:color w:val="auto"/>
                <w:sz w:val="21"/>
                <w:szCs w:val="21"/>
              </w:rPr>
              <w:t>有色</w:t>
            </w:r>
          </w:p>
        </w:tc>
        <w:tc>
          <w:tcPr>
            <w:tcW w:w="2161" w:type="pct"/>
            <w:tcBorders>
              <w:top w:val="single" w:color="auto" w:sz="4" w:space="0"/>
              <w:left w:val="single" w:color="auto" w:sz="4" w:space="0"/>
              <w:bottom w:val="single" w:color="auto" w:sz="12" w:space="0"/>
              <w:right w:val="single" w:color="auto" w:sz="4" w:space="0"/>
            </w:tcBorders>
            <w:vAlign w:val="center"/>
          </w:tcPr>
          <w:p w14:paraId="7F8A46D9">
            <w:pPr>
              <w:spacing w:line="240" w:lineRule="auto"/>
              <w:ind w:firstLine="0" w:firstLineChars="0"/>
              <w:jc w:val="center"/>
              <w:rPr>
                <w:color w:val="auto"/>
                <w:sz w:val="21"/>
                <w:szCs w:val="21"/>
              </w:rPr>
            </w:pPr>
            <w:r>
              <w:rPr>
                <w:color w:val="auto"/>
                <w:sz w:val="21"/>
                <w:szCs w:val="21"/>
              </w:rPr>
              <w:t>有色金属冶炼和压延加工业 32</w:t>
            </w:r>
          </w:p>
        </w:tc>
        <w:tc>
          <w:tcPr>
            <w:tcW w:w="1778" w:type="pct"/>
            <w:tcBorders>
              <w:top w:val="single" w:color="auto" w:sz="4" w:space="0"/>
              <w:left w:val="single" w:color="auto" w:sz="4" w:space="0"/>
              <w:bottom w:val="single" w:color="auto" w:sz="12" w:space="0"/>
              <w:right w:val="nil"/>
            </w:tcBorders>
            <w:vAlign w:val="center"/>
          </w:tcPr>
          <w:p w14:paraId="76CCFD5F">
            <w:pPr>
              <w:spacing w:line="240" w:lineRule="auto"/>
              <w:ind w:firstLine="0" w:firstLineChars="0"/>
              <w:jc w:val="center"/>
              <w:rPr>
                <w:color w:val="auto"/>
                <w:sz w:val="21"/>
                <w:szCs w:val="21"/>
              </w:rPr>
            </w:pPr>
            <w:r>
              <w:rPr>
                <w:color w:val="auto"/>
                <w:sz w:val="21"/>
                <w:szCs w:val="21"/>
              </w:rPr>
              <w:t>1.69</w:t>
            </w:r>
          </w:p>
        </w:tc>
      </w:tr>
    </w:tbl>
    <w:p w14:paraId="5EDBF8CC">
      <w:pPr>
        <w:ind w:firstLine="480"/>
        <w:rPr>
          <w:bCs/>
          <w:color w:val="auto"/>
        </w:rPr>
      </w:pPr>
      <w:r>
        <w:rPr>
          <w:bCs/>
          <w:color w:val="auto"/>
        </w:rPr>
        <w:t>以上数据来源于相关国内标准规范，可以作为项目碳排放评价标准。</w:t>
      </w:r>
    </w:p>
    <w:p w14:paraId="37E48885">
      <w:pPr>
        <w:pStyle w:val="5"/>
        <w:spacing w:before="156"/>
        <w:rPr>
          <w:color w:val="auto"/>
        </w:rPr>
      </w:pPr>
      <w:r>
        <w:rPr>
          <w:rFonts w:hint="eastAsia"/>
          <w:color w:val="auto"/>
        </w:rPr>
        <w:t>6.9.1.3评价范围</w:t>
      </w:r>
    </w:p>
    <w:p w14:paraId="55562B0F">
      <w:pPr>
        <w:ind w:firstLine="480"/>
        <w:rPr>
          <w:color w:val="auto"/>
        </w:rPr>
      </w:pPr>
      <w:r>
        <w:rPr>
          <w:color w:val="auto"/>
        </w:rPr>
        <w:t>以企业法人独立核算单位为边界，核算生产系统产生的温室气体排放。生产系统包括直接生产系统、辅助生产系统以及直接为生产服务的附属生产系统，其中辅助生产系统包括动力、供电、供水、供汽、机修、库房、运输等，附属生产系统包括生产指挥系统（厂部）和厂区内为生产服务的部门和单位（如职工食堂、办公大楼等）。企业厂界内生活能耗导致的排放原则上不在核算范围内。</w:t>
      </w:r>
    </w:p>
    <w:p w14:paraId="65BEC8FF">
      <w:pPr>
        <w:pStyle w:val="5"/>
        <w:spacing w:before="156"/>
        <w:rPr>
          <w:color w:val="auto"/>
        </w:rPr>
      </w:pPr>
      <w:r>
        <w:rPr>
          <w:rFonts w:hint="eastAsia"/>
          <w:color w:val="auto"/>
        </w:rPr>
        <w:t>6.9.1.4</w:t>
      </w:r>
      <w:bookmarkStart w:id="246" w:name="_Toc10942"/>
      <w:r>
        <w:rPr>
          <w:color w:val="auto"/>
        </w:rPr>
        <w:t>建设项目碳排放政策符合性分析</w:t>
      </w:r>
      <w:bookmarkEnd w:id="246"/>
    </w:p>
    <w:p w14:paraId="6331C3B7">
      <w:pPr>
        <w:ind w:firstLine="482"/>
        <w:jc w:val="center"/>
        <w:rPr>
          <w:b/>
          <w:bCs/>
          <w:color w:val="auto"/>
        </w:rPr>
      </w:pPr>
      <w:r>
        <w:rPr>
          <w:rFonts w:hint="eastAsia"/>
          <w:b/>
          <w:bCs/>
          <w:color w:val="auto"/>
        </w:rPr>
        <w:t xml:space="preserve">6.9.1-2 </w:t>
      </w:r>
      <w:r>
        <w:rPr>
          <w:b/>
          <w:bCs/>
          <w:color w:val="auto"/>
        </w:rPr>
        <w:t>项目与碳排放政策相符性分析</w:t>
      </w:r>
    </w:p>
    <w:tbl>
      <w:tblPr>
        <w:tblStyle w:val="24"/>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506"/>
        <w:gridCol w:w="3388"/>
        <w:gridCol w:w="960"/>
      </w:tblGrid>
      <w:tr w14:paraId="3BA331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4" w:type="pct"/>
            <w:tcBorders>
              <w:top w:val="single" w:color="auto" w:sz="12" w:space="0"/>
              <w:left w:val="nil"/>
              <w:bottom w:val="single" w:color="auto" w:sz="4" w:space="0"/>
              <w:right w:val="single" w:color="auto" w:sz="4" w:space="0"/>
            </w:tcBorders>
            <w:vAlign w:val="center"/>
          </w:tcPr>
          <w:p w14:paraId="072E1E99">
            <w:pPr>
              <w:spacing w:line="240" w:lineRule="auto"/>
              <w:ind w:firstLine="0" w:firstLineChars="0"/>
              <w:jc w:val="center"/>
              <w:rPr>
                <w:b/>
                <w:bCs/>
                <w:color w:val="auto"/>
                <w:sz w:val="21"/>
                <w:szCs w:val="21"/>
              </w:rPr>
            </w:pPr>
            <w:r>
              <w:rPr>
                <w:b/>
                <w:bCs/>
                <w:color w:val="auto"/>
                <w:sz w:val="21"/>
                <w:szCs w:val="21"/>
              </w:rPr>
              <w:t>文件要求</w:t>
            </w:r>
          </w:p>
        </w:tc>
        <w:tc>
          <w:tcPr>
            <w:tcW w:w="1719" w:type="pct"/>
            <w:tcBorders>
              <w:top w:val="single" w:color="auto" w:sz="12" w:space="0"/>
              <w:left w:val="single" w:color="auto" w:sz="4" w:space="0"/>
              <w:bottom w:val="single" w:color="auto" w:sz="4" w:space="0"/>
              <w:right w:val="single" w:color="auto" w:sz="4" w:space="0"/>
            </w:tcBorders>
            <w:vAlign w:val="center"/>
          </w:tcPr>
          <w:p w14:paraId="0F588244">
            <w:pPr>
              <w:spacing w:line="240" w:lineRule="auto"/>
              <w:ind w:firstLine="0" w:firstLineChars="0"/>
              <w:jc w:val="center"/>
              <w:rPr>
                <w:b/>
                <w:bCs/>
                <w:color w:val="auto"/>
                <w:sz w:val="21"/>
                <w:szCs w:val="21"/>
              </w:rPr>
            </w:pPr>
            <w:r>
              <w:rPr>
                <w:b/>
                <w:bCs/>
                <w:color w:val="auto"/>
                <w:sz w:val="21"/>
                <w:szCs w:val="21"/>
              </w:rPr>
              <w:t>拟建项目情况</w:t>
            </w:r>
          </w:p>
        </w:tc>
        <w:tc>
          <w:tcPr>
            <w:tcW w:w="487" w:type="pct"/>
            <w:tcBorders>
              <w:top w:val="single" w:color="auto" w:sz="12" w:space="0"/>
              <w:left w:val="single" w:color="auto" w:sz="4" w:space="0"/>
              <w:bottom w:val="single" w:color="auto" w:sz="4" w:space="0"/>
              <w:right w:val="nil"/>
            </w:tcBorders>
            <w:vAlign w:val="center"/>
          </w:tcPr>
          <w:p w14:paraId="518A2466">
            <w:pPr>
              <w:spacing w:line="240" w:lineRule="auto"/>
              <w:ind w:firstLine="0" w:firstLineChars="0"/>
              <w:jc w:val="center"/>
              <w:rPr>
                <w:b/>
                <w:bCs/>
                <w:color w:val="auto"/>
                <w:sz w:val="21"/>
                <w:szCs w:val="21"/>
              </w:rPr>
            </w:pPr>
            <w:r>
              <w:rPr>
                <w:b/>
                <w:bCs/>
                <w:color w:val="auto"/>
                <w:sz w:val="21"/>
                <w:szCs w:val="21"/>
              </w:rPr>
              <w:t>相符性</w:t>
            </w:r>
          </w:p>
        </w:tc>
      </w:tr>
      <w:tr w14:paraId="6F1BC35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nil"/>
              <w:bottom w:val="single" w:color="auto" w:sz="4" w:space="0"/>
              <w:right w:val="nil"/>
            </w:tcBorders>
            <w:vAlign w:val="center"/>
          </w:tcPr>
          <w:p w14:paraId="7EB489EA">
            <w:pPr>
              <w:spacing w:line="240" w:lineRule="auto"/>
              <w:ind w:firstLine="0" w:firstLineChars="0"/>
              <w:jc w:val="center"/>
              <w:rPr>
                <w:b/>
                <w:bCs/>
                <w:color w:val="auto"/>
                <w:sz w:val="21"/>
                <w:szCs w:val="21"/>
              </w:rPr>
            </w:pPr>
            <w:r>
              <w:rPr>
                <w:b/>
                <w:color w:val="auto"/>
                <w:sz w:val="21"/>
                <w:szCs w:val="21"/>
              </w:rPr>
              <w:t>《2030年前碳达峰行动方案的通知》（国发〔2021〕23号）</w:t>
            </w:r>
          </w:p>
        </w:tc>
      </w:tr>
      <w:tr w14:paraId="663CA40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4" w:type="pct"/>
            <w:tcBorders>
              <w:top w:val="single" w:color="auto" w:sz="4" w:space="0"/>
              <w:left w:val="nil"/>
              <w:bottom w:val="single" w:color="auto" w:sz="4" w:space="0"/>
              <w:right w:val="single" w:color="auto" w:sz="4" w:space="0"/>
            </w:tcBorders>
            <w:vAlign w:val="center"/>
          </w:tcPr>
          <w:p w14:paraId="172147F5">
            <w:pPr>
              <w:spacing w:line="240" w:lineRule="auto"/>
              <w:ind w:firstLine="0" w:firstLineChars="0"/>
              <w:rPr>
                <w:color w:val="auto"/>
                <w:sz w:val="21"/>
                <w:szCs w:val="21"/>
              </w:rPr>
            </w:pPr>
            <w:r>
              <w:rPr>
                <w:color w:val="auto"/>
                <w:sz w:val="21"/>
                <w:szCs w:val="21"/>
              </w:rPr>
              <w:t>实施重点行业节能降碳工程，推动电力、钢铁、有色金属、建材、石化化工等行业开展节能降碳改造，提升能源资源利用效率。</w:t>
            </w:r>
          </w:p>
        </w:tc>
        <w:tc>
          <w:tcPr>
            <w:tcW w:w="1719" w:type="pct"/>
            <w:vMerge w:val="restart"/>
            <w:tcBorders>
              <w:top w:val="single" w:color="auto" w:sz="4" w:space="0"/>
              <w:left w:val="single" w:color="auto" w:sz="4" w:space="0"/>
              <w:bottom w:val="single" w:color="auto" w:sz="4" w:space="0"/>
              <w:right w:val="single" w:color="auto" w:sz="4" w:space="0"/>
            </w:tcBorders>
            <w:vAlign w:val="center"/>
          </w:tcPr>
          <w:p w14:paraId="72D23EC5">
            <w:pPr>
              <w:spacing w:line="240" w:lineRule="auto"/>
              <w:ind w:firstLine="0" w:firstLineChars="0"/>
              <w:rPr>
                <w:color w:val="auto"/>
                <w:sz w:val="21"/>
                <w:szCs w:val="21"/>
              </w:rPr>
            </w:pPr>
            <w:r>
              <w:rPr>
                <w:color w:val="auto"/>
                <w:sz w:val="21"/>
                <w:szCs w:val="21"/>
              </w:rPr>
              <w:t>本项目选用国内先进生产设备，设置自动控制及安全联锁系统；使用清洁能源，能源为电力。</w:t>
            </w:r>
          </w:p>
        </w:tc>
        <w:tc>
          <w:tcPr>
            <w:tcW w:w="487" w:type="pct"/>
            <w:tcBorders>
              <w:top w:val="single" w:color="auto" w:sz="4" w:space="0"/>
              <w:left w:val="single" w:color="auto" w:sz="4" w:space="0"/>
              <w:bottom w:val="single" w:color="auto" w:sz="4" w:space="0"/>
              <w:right w:val="nil"/>
            </w:tcBorders>
            <w:vAlign w:val="center"/>
          </w:tcPr>
          <w:p w14:paraId="06BEF153">
            <w:pPr>
              <w:spacing w:line="240" w:lineRule="auto"/>
              <w:ind w:firstLine="0" w:firstLineChars="0"/>
              <w:jc w:val="center"/>
              <w:rPr>
                <w:color w:val="auto"/>
                <w:sz w:val="21"/>
                <w:szCs w:val="21"/>
              </w:rPr>
            </w:pPr>
            <w:r>
              <w:rPr>
                <w:color w:val="auto"/>
                <w:sz w:val="21"/>
                <w:szCs w:val="21"/>
              </w:rPr>
              <w:t>符合</w:t>
            </w:r>
          </w:p>
        </w:tc>
      </w:tr>
      <w:tr w14:paraId="2603F32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4" w:type="pct"/>
            <w:tcBorders>
              <w:top w:val="single" w:color="auto" w:sz="4" w:space="0"/>
              <w:left w:val="nil"/>
              <w:bottom w:val="single" w:color="auto" w:sz="4" w:space="0"/>
              <w:right w:val="single" w:color="auto" w:sz="4" w:space="0"/>
            </w:tcBorders>
            <w:vAlign w:val="center"/>
          </w:tcPr>
          <w:p w14:paraId="3F6DF7E3">
            <w:pPr>
              <w:spacing w:line="240" w:lineRule="auto"/>
              <w:ind w:firstLine="0" w:firstLineChars="0"/>
              <w:rPr>
                <w:color w:val="auto"/>
                <w:sz w:val="21"/>
                <w:szCs w:val="21"/>
              </w:rPr>
            </w:pPr>
            <w:r>
              <w:rPr>
                <w:color w:val="auto"/>
                <w:sz w:val="21"/>
                <w:szCs w:val="21"/>
              </w:rPr>
              <w:t>推动石化化工行业碳达峰。优化产能规模和布局，加大落后产能淘汰力度，有效化解结构性过剩矛盾。严格项目准入，合理安排建设时序，严控新增炼油和传统煤化工生产能力，稳妥有序发展现代煤化工。引导企业转变用能方式，鼓励以电力、天然气等替代煤炭。调整原料结构，控制新增原料用煤，拓展富氢原料进口来源，推动石化化工原料轻质化。优化产品结构，促进石化化工与煤炭开采、冶金、建材、化纤等产业协同发展，加强炼厂干气、液化气等副产气体高效利用。鼓励企业节能升级改造，推动能量梯级利用、物料循环利用。到2025年，国内原油一次加工能力控制在10亿吨以内，主要产品产能利用率提升至80%以上。</w:t>
            </w:r>
          </w:p>
        </w:tc>
        <w:tc>
          <w:tcPr>
            <w:tcW w:w="1719" w:type="pct"/>
            <w:vMerge w:val="continue"/>
            <w:tcBorders>
              <w:top w:val="single" w:color="auto" w:sz="4" w:space="0"/>
              <w:left w:val="single" w:color="auto" w:sz="4" w:space="0"/>
              <w:bottom w:val="single" w:color="auto" w:sz="4" w:space="0"/>
              <w:right w:val="single" w:color="auto" w:sz="4" w:space="0"/>
            </w:tcBorders>
            <w:vAlign w:val="center"/>
          </w:tcPr>
          <w:p w14:paraId="78CB9AA6">
            <w:pPr>
              <w:spacing w:line="240" w:lineRule="auto"/>
              <w:ind w:firstLine="0" w:firstLineChars="0"/>
              <w:rPr>
                <w:color w:val="auto"/>
                <w:sz w:val="21"/>
                <w:szCs w:val="21"/>
              </w:rPr>
            </w:pPr>
          </w:p>
        </w:tc>
        <w:tc>
          <w:tcPr>
            <w:tcW w:w="487" w:type="pct"/>
            <w:tcBorders>
              <w:top w:val="single" w:color="auto" w:sz="4" w:space="0"/>
              <w:left w:val="single" w:color="auto" w:sz="4" w:space="0"/>
              <w:bottom w:val="single" w:color="auto" w:sz="4" w:space="0"/>
              <w:right w:val="nil"/>
            </w:tcBorders>
            <w:vAlign w:val="center"/>
          </w:tcPr>
          <w:p w14:paraId="35F8D4AE">
            <w:pPr>
              <w:spacing w:line="240" w:lineRule="auto"/>
              <w:ind w:firstLine="0" w:firstLineChars="0"/>
              <w:jc w:val="center"/>
              <w:rPr>
                <w:color w:val="auto"/>
                <w:sz w:val="21"/>
                <w:szCs w:val="21"/>
              </w:rPr>
            </w:pPr>
            <w:r>
              <w:rPr>
                <w:color w:val="auto"/>
                <w:sz w:val="21"/>
                <w:szCs w:val="21"/>
              </w:rPr>
              <w:t>符合</w:t>
            </w:r>
          </w:p>
        </w:tc>
      </w:tr>
      <w:tr w14:paraId="593FEF1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4" w:type="pct"/>
            <w:tcBorders>
              <w:top w:val="single" w:color="auto" w:sz="4" w:space="0"/>
              <w:left w:val="nil"/>
              <w:bottom w:val="single" w:color="auto" w:sz="4" w:space="0"/>
              <w:right w:val="single" w:color="auto" w:sz="4" w:space="0"/>
            </w:tcBorders>
            <w:vAlign w:val="center"/>
          </w:tcPr>
          <w:p w14:paraId="0093CDC7">
            <w:pPr>
              <w:spacing w:line="240" w:lineRule="auto"/>
              <w:ind w:firstLine="0" w:firstLineChars="0"/>
              <w:rPr>
                <w:color w:val="auto"/>
                <w:sz w:val="21"/>
                <w:szCs w:val="21"/>
              </w:rPr>
            </w:pPr>
            <w:r>
              <w:rPr>
                <w:color w:val="auto"/>
                <w:sz w:val="21"/>
                <w:szCs w:val="21"/>
              </w:rPr>
              <w:t>坚决遏制“两高”项目盲目发展。采取强有力措施，对“两高”项目实行清单管理、分类处置、动态监控。全面排查在建项目，对能效水平低于本行业能耗限额准入值的，按有关规定停工整改，推动能效水平应提尽提，力争全面达到国内乃至国际先进水平。科学评估拟建项目，对产能已饱和的行业，按照“减量替代”原则压减产能；对产能尚未饱和的行业，按照国家布局和审批备案等要求，对标国际先进水平提高准入门槛；对能耗量较大的新兴产业，支持引导企业应用绿色低碳技术，提高能效水平。深入挖潜存量项目，加快淘汰落后产能，通过改造升级挖掘节能减排潜力。强化常态化监管，坚决拿下不符合要求的“两高”项目。</w:t>
            </w:r>
          </w:p>
        </w:tc>
        <w:tc>
          <w:tcPr>
            <w:tcW w:w="1719" w:type="pct"/>
            <w:tcBorders>
              <w:top w:val="single" w:color="auto" w:sz="4" w:space="0"/>
              <w:left w:val="single" w:color="auto" w:sz="4" w:space="0"/>
              <w:bottom w:val="single" w:color="auto" w:sz="4" w:space="0"/>
              <w:right w:val="single" w:color="auto" w:sz="4" w:space="0"/>
            </w:tcBorders>
            <w:vAlign w:val="center"/>
          </w:tcPr>
          <w:p w14:paraId="4149FE05">
            <w:pPr>
              <w:spacing w:line="240" w:lineRule="auto"/>
              <w:ind w:firstLine="0" w:firstLineChars="0"/>
              <w:rPr>
                <w:color w:val="auto"/>
                <w:sz w:val="21"/>
                <w:szCs w:val="21"/>
              </w:rPr>
            </w:pPr>
            <w:r>
              <w:rPr>
                <w:color w:val="auto"/>
                <w:sz w:val="21"/>
                <w:szCs w:val="21"/>
              </w:rPr>
              <w:t>根据《江苏省“两高”项目管理目录（202</w:t>
            </w:r>
            <w:r>
              <w:rPr>
                <w:rFonts w:hint="eastAsia"/>
                <w:color w:val="auto"/>
                <w:sz w:val="21"/>
                <w:szCs w:val="21"/>
              </w:rPr>
              <w:t>5</w:t>
            </w:r>
            <w:r>
              <w:rPr>
                <w:color w:val="auto"/>
                <w:sz w:val="21"/>
                <w:szCs w:val="21"/>
              </w:rPr>
              <w:t>年版）》，本项目不属于两高项目。项目选用国内先进生产设备，设置自动控制及安全联锁系统，生产技术及污染防治达到国内先进水平，项目建设符合国家及地方产业政策。</w:t>
            </w:r>
          </w:p>
        </w:tc>
        <w:tc>
          <w:tcPr>
            <w:tcW w:w="487" w:type="pct"/>
            <w:tcBorders>
              <w:top w:val="single" w:color="auto" w:sz="4" w:space="0"/>
              <w:left w:val="single" w:color="auto" w:sz="4" w:space="0"/>
              <w:bottom w:val="single" w:color="auto" w:sz="4" w:space="0"/>
              <w:right w:val="nil"/>
            </w:tcBorders>
            <w:vAlign w:val="center"/>
          </w:tcPr>
          <w:p w14:paraId="4EA2DE88">
            <w:pPr>
              <w:spacing w:line="240" w:lineRule="auto"/>
              <w:ind w:firstLine="0" w:firstLineChars="0"/>
              <w:jc w:val="center"/>
              <w:rPr>
                <w:color w:val="auto"/>
                <w:sz w:val="21"/>
                <w:szCs w:val="21"/>
              </w:rPr>
            </w:pPr>
            <w:r>
              <w:rPr>
                <w:color w:val="auto"/>
                <w:sz w:val="21"/>
                <w:szCs w:val="21"/>
              </w:rPr>
              <w:t>符合</w:t>
            </w:r>
          </w:p>
        </w:tc>
      </w:tr>
      <w:tr w14:paraId="0C2B701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nil"/>
              <w:bottom w:val="single" w:color="auto" w:sz="4" w:space="0"/>
              <w:right w:val="nil"/>
            </w:tcBorders>
            <w:vAlign w:val="center"/>
          </w:tcPr>
          <w:p w14:paraId="04C4C7A3">
            <w:pPr>
              <w:spacing w:line="240" w:lineRule="auto"/>
              <w:ind w:firstLine="0" w:firstLineChars="0"/>
              <w:jc w:val="center"/>
              <w:rPr>
                <w:b/>
                <w:color w:val="auto"/>
                <w:sz w:val="21"/>
                <w:szCs w:val="21"/>
              </w:rPr>
            </w:pPr>
            <w:r>
              <w:rPr>
                <w:b/>
                <w:color w:val="auto"/>
                <w:sz w:val="21"/>
                <w:szCs w:val="21"/>
              </w:rPr>
              <w:t>《关于推动高质量发展做好碳达峰碳中和工作的实施意见》（苏发〔2022〕2号）</w:t>
            </w:r>
          </w:p>
        </w:tc>
      </w:tr>
      <w:tr w14:paraId="75CD13F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4" w:type="pct"/>
            <w:tcBorders>
              <w:top w:val="single" w:color="auto" w:sz="4" w:space="0"/>
              <w:left w:val="nil"/>
              <w:bottom w:val="single" w:color="auto" w:sz="4" w:space="0"/>
              <w:right w:val="single" w:color="auto" w:sz="4" w:space="0"/>
            </w:tcBorders>
            <w:vAlign w:val="center"/>
          </w:tcPr>
          <w:p w14:paraId="7978CF57">
            <w:pPr>
              <w:spacing w:line="240" w:lineRule="auto"/>
              <w:ind w:firstLine="0" w:firstLineChars="0"/>
              <w:rPr>
                <w:color w:val="auto"/>
                <w:sz w:val="21"/>
                <w:szCs w:val="21"/>
              </w:rPr>
            </w:pPr>
            <w:r>
              <w:rPr>
                <w:color w:val="auto"/>
                <w:sz w:val="21"/>
                <w:szCs w:val="21"/>
              </w:rPr>
              <w:t>坚决遏制“两高”项目盲目发展。严格落实国家煤电、石化、煤化工等产能控制政策，新建、扩建钢铁、水泥、平板玻璃等高耗能高排放项目严格实施产能等量或减量置换。</w:t>
            </w:r>
          </w:p>
        </w:tc>
        <w:tc>
          <w:tcPr>
            <w:tcW w:w="1719" w:type="pct"/>
            <w:vMerge w:val="restart"/>
            <w:tcBorders>
              <w:top w:val="single" w:color="auto" w:sz="4" w:space="0"/>
              <w:left w:val="single" w:color="auto" w:sz="4" w:space="0"/>
              <w:bottom w:val="single" w:color="auto" w:sz="4" w:space="0"/>
              <w:right w:val="single" w:color="auto" w:sz="4" w:space="0"/>
            </w:tcBorders>
            <w:vAlign w:val="center"/>
          </w:tcPr>
          <w:p w14:paraId="2AB72F66">
            <w:pPr>
              <w:spacing w:line="240" w:lineRule="auto"/>
              <w:ind w:firstLine="0" w:firstLineChars="0"/>
              <w:rPr>
                <w:color w:val="auto"/>
                <w:sz w:val="21"/>
                <w:szCs w:val="21"/>
              </w:rPr>
            </w:pPr>
            <w:r>
              <w:rPr>
                <w:color w:val="auto"/>
                <w:sz w:val="21"/>
                <w:szCs w:val="21"/>
              </w:rPr>
              <w:t>根据《江苏省“两高”项目管理目录（202</w:t>
            </w:r>
            <w:r>
              <w:rPr>
                <w:rFonts w:hint="eastAsia"/>
                <w:color w:val="auto"/>
                <w:sz w:val="21"/>
                <w:szCs w:val="21"/>
              </w:rPr>
              <w:t>5</w:t>
            </w:r>
            <w:r>
              <w:rPr>
                <w:color w:val="auto"/>
                <w:sz w:val="21"/>
                <w:szCs w:val="21"/>
              </w:rPr>
              <w:t>年版）》，本项目不属于两高项目。</w:t>
            </w:r>
          </w:p>
        </w:tc>
        <w:tc>
          <w:tcPr>
            <w:tcW w:w="487" w:type="pct"/>
            <w:tcBorders>
              <w:top w:val="single" w:color="auto" w:sz="4" w:space="0"/>
              <w:left w:val="single" w:color="auto" w:sz="4" w:space="0"/>
              <w:bottom w:val="single" w:color="auto" w:sz="4" w:space="0"/>
              <w:right w:val="nil"/>
            </w:tcBorders>
            <w:vAlign w:val="center"/>
          </w:tcPr>
          <w:p w14:paraId="50A21A05">
            <w:pPr>
              <w:spacing w:line="240" w:lineRule="auto"/>
              <w:ind w:firstLine="0" w:firstLineChars="0"/>
              <w:jc w:val="center"/>
              <w:rPr>
                <w:color w:val="auto"/>
                <w:sz w:val="21"/>
                <w:szCs w:val="21"/>
              </w:rPr>
            </w:pPr>
            <w:r>
              <w:rPr>
                <w:color w:val="auto"/>
                <w:sz w:val="21"/>
                <w:szCs w:val="21"/>
              </w:rPr>
              <w:t>符合</w:t>
            </w:r>
          </w:p>
        </w:tc>
      </w:tr>
      <w:tr w14:paraId="236F36B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4" w:type="pct"/>
            <w:tcBorders>
              <w:top w:val="single" w:color="auto" w:sz="4" w:space="0"/>
              <w:left w:val="nil"/>
              <w:bottom w:val="single" w:color="auto" w:sz="4" w:space="0"/>
              <w:right w:val="single" w:color="auto" w:sz="4" w:space="0"/>
            </w:tcBorders>
            <w:vAlign w:val="center"/>
          </w:tcPr>
          <w:p w14:paraId="57840F59">
            <w:pPr>
              <w:spacing w:line="240" w:lineRule="auto"/>
              <w:ind w:firstLine="0" w:firstLineChars="0"/>
              <w:rPr>
                <w:color w:val="auto"/>
                <w:sz w:val="21"/>
                <w:szCs w:val="21"/>
              </w:rPr>
            </w:pPr>
            <w:r>
              <w:rPr>
                <w:color w:val="auto"/>
                <w:sz w:val="21"/>
                <w:szCs w:val="21"/>
              </w:rPr>
              <w:t>切实强化能耗和碳排放控制力度。完善实施能源消费强度和总量双控制度，严格控制能耗和二氧化碳排放强度，强化强度刚性约束。</w:t>
            </w:r>
          </w:p>
        </w:tc>
        <w:tc>
          <w:tcPr>
            <w:tcW w:w="1719" w:type="pct"/>
            <w:vMerge w:val="continue"/>
            <w:tcBorders>
              <w:top w:val="single" w:color="auto" w:sz="4" w:space="0"/>
              <w:left w:val="single" w:color="auto" w:sz="4" w:space="0"/>
              <w:bottom w:val="single" w:color="auto" w:sz="4" w:space="0"/>
              <w:right w:val="single" w:color="auto" w:sz="4" w:space="0"/>
            </w:tcBorders>
            <w:vAlign w:val="center"/>
          </w:tcPr>
          <w:p w14:paraId="004DA5B9">
            <w:pPr>
              <w:spacing w:line="240" w:lineRule="auto"/>
              <w:ind w:firstLine="0" w:firstLineChars="0"/>
              <w:rPr>
                <w:color w:val="auto"/>
                <w:sz w:val="21"/>
                <w:szCs w:val="21"/>
              </w:rPr>
            </w:pPr>
          </w:p>
        </w:tc>
        <w:tc>
          <w:tcPr>
            <w:tcW w:w="487" w:type="pct"/>
            <w:tcBorders>
              <w:top w:val="single" w:color="auto" w:sz="4" w:space="0"/>
              <w:left w:val="single" w:color="auto" w:sz="4" w:space="0"/>
              <w:bottom w:val="single" w:color="auto" w:sz="4" w:space="0"/>
              <w:right w:val="nil"/>
            </w:tcBorders>
            <w:vAlign w:val="center"/>
          </w:tcPr>
          <w:p w14:paraId="3DDB5C42">
            <w:pPr>
              <w:spacing w:line="240" w:lineRule="auto"/>
              <w:ind w:firstLine="0" w:firstLineChars="0"/>
              <w:jc w:val="center"/>
              <w:rPr>
                <w:color w:val="auto"/>
                <w:sz w:val="21"/>
                <w:szCs w:val="21"/>
              </w:rPr>
            </w:pPr>
            <w:r>
              <w:rPr>
                <w:color w:val="auto"/>
                <w:sz w:val="21"/>
                <w:szCs w:val="21"/>
              </w:rPr>
              <w:t>符合</w:t>
            </w:r>
          </w:p>
        </w:tc>
      </w:tr>
      <w:tr w14:paraId="1B61BB5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nil"/>
              <w:bottom w:val="single" w:color="auto" w:sz="4" w:space="0"/>
              <w:right w:val="nil"/>
            </w:tcBorders>
            <w:vAlign w:val="center"/>
          </w:tcPr>
          <w:p w14:paraId="7C9280BD">
            <w:pPr>
              <w:spacing w:line="240" w:lineRule="auto"/>
              <w:ind w:firstLine="0" w:firstLineChars="0"/>
              <w:jc w:val="center"/>
              <w:rPr>
                <w:b/>
                <w:color w:val="auto"/>
                <w:sz w:val="21"/>
                <w:szCs w:val="21"/>
              </w:rPr>
            </w:pPr>
            <w:r>
              <w:rPr>
                <w:b/>
                <w:color w:val="auto"/>
                <w:sz w:val="21"/>
                <w:szCs w:val="21"/>
              </w:rPr>
              <w:t>《省政府关于印发江苏省碳达峰实施方案的通知》苏政发〔2022〕88号</w:t>
            </w:r>
          </w:p>
        </w:tc>
      </w:tr>
      <w:tr w14:paraId="3B2C868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4" w:type="pct"/>
            <w:tcBorders>
              <w:top w:val="single" w:color="auto" w:sz="4" w:space="0"/>
              <w:left w:val="nil"/>
              <w:bottom w:val="single" w:color="auto" w:sz="4" w:space="0"/>
              <w:right w:val="single" w:color="auto" w:sz="4" w:space="0"/>
            </w:tcBorders>
            <w:vAlign w:val="center"/>
          </w:tcPr>
          <w:p w14:paraId="0F5CA2A5">
            <w:pPr>
              <w:spacing w:line="240" w:lineRule="auto"/>
              <w:ind w:firstLine="0" w:firstLineChars="0"/>
              <w:rPr>
                <w:color w:val="auto"/>
                <w:sz w:val="21"/>
                <w:szCs w:val="21"/>
              </w:rPr>
            </w:pPr>
            <w:r>
              <w:rPr>
                <w:color w:val="auto"/>
                <w:sz w:val="21"/>
                <w:szCs w:val="21"/>
              </w:rPr>
              <w:t>坚决遏制高耗能、高排放、低水平项目盲目发展。强化源头管控，严格落实国家产能控制政策，未纳入国家相关领域产业规划的，一律不得新建改扩建炼油和新建乙烯、对二甲苯、煤制烯烃项目。新建、扩建钢铁、水泥、平板玻璃、电解铝等高耗能高排放项目严格落实产能等量或减量置换。强化长效管理推进高耗能行业绿色制造和清洁生产，对能源消耗占比高的钢铁、水泥、平板玻璃（不含光伏玻璃）、炼油、乙烯、合成氨等重点行业和数据中心组织实施节能降碳改造。高耗能高排放项目建成后，要切实依规做好项目的节能审查验收工作，确保达到相关规范标准和设计要求。</w:t>
            </w:r>
          </w:p>
        </w:tc>
        <w:tc>
          <w:tcPr>
            <w:tcW w:w="1719" w:type="pct"/>
            <w:tcBorders>
              <w:top w:val="single" w:color="auto" w:sz="4" w:space="0"/>
              <w:left w:val="single" w:color="auto" w:sz="4" w:space="0"/>
              <w:bottom w:val="single" w:color="auto" w:sz="4" w:space="0"/>
              <w:right w:val="single" w:color="auto" w:sz="4" w:space="0"/>
            </w:tcBorders>
            <w:vAlign w:val="center"/>
          </w:tcPr>
          <w:p w14:paraId="6FD84398">
            <w:pPr>
              <w:spacing w:line="240" w:lineRule="auto"/>
              <w:ind w:firstLine="0" w:firstLineChars="0"/>
              <w:rPr>
                <w:color w:val="auto"/>
                <w:sz w:val="21"/>
                <w:szCs w:val="21"/>
              </w:rPr>
            </w:pPr>
            <w:r>
              <w:rPr>
                <w:color w:val="auto"/>
                <w:sz w:val="21"/>
                <w:szCs w:val="21"/>
              </w:rPr>
              <w:t>本项目不属于两高项目；项目选用国内先进生产设备，设置自动控制及安全联锁系统，生产技术及污染防治达到国内先进水平。</w:t>
            </w:r>
          </w:p>
        </w:tc>
        <w:tc>
          <w:tcPr>
            <w:tcW w:w="487" w:type="pct"/>
            <w:tcBorders>
              <w:top w:val="single" w:color="auto" w:sz="4" w:space="0"/>
              <w:left w:val="single" w:color="auto" w:sz="4" w:space="0"/>
              <w:bottom w:val="single" w:color="auto" w:sz="4" w:space="0"/>
              <w:right w:val="nil"/>
            </w:tcBorders>
            <w:vAlign w:val="center"/>
          </w:tcPr>
          <w:p w14:paraId="56A60C23">
            <w:pPr>
              <w:spacing w:line="240" w:lineRule="auto"/>
              <w:ind w:firstLine="0" w:firstLineChars="0"/>
              <w:jc w:val="center"/>
              <w:rPr>
                <w:color w:val="auto"/>
                <w:sz w:val="21"/>
                <w:szCs w:val="21"/>
              </w:rPr>
            </w:pPr>
            <w:r>
              <w:rPr>
                <w:color w:val="auto"/>
                <w:sz w:val="21"/>
                <w:szCs w:val="21"/>
              </w:rPr>
              <w:t>符合</w:t>
            </w:r>
          </w:p>
        </w:tc>
      </w:tr>
      <w:tr w14:paraId="320E813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4" w:type="pct"/>
            <w:tcBorders>
              <w:top w:val="single" w:color="auto" w:sz="4" w:space="0"/>
              <w:left w:val="nil"/>
              <w:bottom w:val="single" w:color="auto" w:sz="12" w:space="0"/>
              <w:right w:val="single" w:color="auto" w:sz="4" w:space="0"/>
            </w:tcBorders>
            <w:vAlign w:val="center"/>
          </w:tcPr>
          <w:p w14:paraId="36321E38">
            <w:pPr>
              <w:spacing w:line="240" w:lineRule="auto"/>
              <w:ind w:firstLine="0" w:firstLineChars="0"/>
              <w:rPr>
                <w:color w:val="auto"/>
                <w:sz w:val="21"/>
                <w:szCs w:val="21"/>
              </w:rPr>
            </w:pPr>
            <w:r>
              <w:rPr>
                <w:color w:val="auto"/>
                <w:sz w:val="21"/>
                <w:szCs w:val="21"/>
              </w:rPr>
              <w:t>全面提升节能管理水平。强化能耗和碳排放控制，强化能耗强度刚性约束，合理控制能源消费总量，新增可再生能源和原料用能不纳入能源消费总量控制。强化节能审查，加强能效管理，探索实施用能预算管理，强化重点单位用能管理。完善重点用能单位能耗在线监测系统。建立跨部门联动的跟踪节能监察体系，深入组织开展专项节能监察行动，综合运用信用惩戒、差别电价等手段倒逼节能增效。加快更新节能标准，扩大标准覆盖范围，开展高耗能行业能效对标达标行动，鼓励重点用能单位开展能源管理体系认证。</w:t>
            </w:r>
          </w:p>
        </w:tc>
        <w:tc>
          <w:tcPr>
            <w:tcW w:w="1719" w:type="pct"/>
            <w:tcBorders>
              <w:top w:val="single" w:color="auto" w:sz="4" w:space="0"/>
              <w:left w:val="single" w:color="auto" w:sz="4" w:space="0"/>
              <w:bottom w:val="single" w:color="auto" w:sz="12" w:space="0"/>
              <w:right w:val="single" w:color="auto" w:sz="4" w:space="0"/>
            </w:tcBorders>
            <w:vAlign w:val="center"/>
          </w:tcPr>
          <w:p w14:paraId="3BBE2C20">
            <w:pPr>
              <w:spacing w:line="240" w:lineRule="auto"/>
              <w:ind w:firstLine="0" w:firstLineChars="0"/>
              <w:rPr>
                <w:color w:val="auto"/>
                <w:sz w:val="21"/>
                <w:szCs w:val="21"/>
              </w:rPr>
            </w:pPr>
            <w:r>
              <w:rPr>
                <w:rFonts w:hint="eastAsia"/>
                <w:color w:val="auto"/>
                <w:sz w:val="21"/>
                <w:szCs w:val="21"/>
              </w:rPr>
              <w:t>本项目</w:t>
            </w:r>
            <w:r>
              <w:rPr>
                <w:color w:val="auto"/>
                <w:sz w:val="21"/>
                <w:szCs w:val="21"/>
              </w:rPr>
              <w:t>单位工业增加值碳排放量为</w:t>
            </w:r>
            <w:r>
              <w:rPr>
                <w:rFonts w:hint="eastAsia"/>
                <w:color w:val="auto"/>
                <w:sz w:val="21"/>
                <w:szCs w:val="21"/>
              </w:rPr>
              <w:t>0.63</w:t>
            </w:r>
            <w:r>
              <w:rPr>
                <w:color w:val="auto"/>
                <w:sz w:val="21"/>
                <w:szCs w:val="21"/>
              </w:rPr>
              <w:t>（tCO</w:t>
            </w:r>
            <w:r>
              <w:rPr>
                <w:color w:val="auto"/>
                <w:sz w:val="21"/>
                <w:szCs w:val="21"/>
                <w:vertAlign w:val="subscript"/>
              </w:rPr>
              <w:t>2</w:t>
            </w:r>
            <w:r>
              <w:rPr>
                <w:color w:val="auto"/>
                <w:sz w:val="21"/>
                <w:szCs w:val="21"/>
              </w:rPr>
              <w:t>/万元），小于标准值3.44 tCO</w:t>
            </w:r>
            <w:r>
              <w:rPr>
                <w:color w:val="auto"/>
                <w:sz w:val="21"/>
                <w:szCs w:val="21"/>
                <w:vertAlign w:val="subscript"/>
              </w:rPr>
              <w:t>2</w:t>
            </w:r>
            <w:r>
              <w:rPr>
                <w:color w:val="auto"/>
                <w:sz w:val="21"/>
                <w:szCs w:val="21"/>
              </w:rPr>
              <w:t>/万元。</w:t>
            </w:r>
          </w:p>
        </w:tc>
        <w:tc>
          <w:tcPr>
            <w:tcW w:w="487" w:type="pct"/>
            <w:tcBorders>
              <w:top w:val="single" w:color="auto" w:sz="4" w:space="0"/>
              <w:left w:val="single" w:color="auto" w:sz="4" w:space="0"/>
              <w:bottom w:val="single" w:color="auto" w:sz="12" w:space="0"/>
              <w:right w:val="nil"/>
            </w:tcBorders>
            <w:vAlign w:val="center"/>
          </w:tcPr>
          <w:p w14:paraId="09AFA30B">
            <w:pPr>
              <w:spacing w:line="240" w:lineRule="auto"/>
              <w:ind w:firstLine="0" w:firstLineChars="0"/>
              <w:jc w:val="center"/>
              <w:rPr>
                <w:color w:val="auto"/>
                <w:sz w:val="21"/>
                <w:szCs w:val="21"/>
              </w:rPr>
            </w:pPr>
            <w:r>
              <w:rPr>
                <w:color w:val="auto"/>
                <w:sz w:val="21"/>
                <w:szCs w:val="21"/>
              </w:rPr>
              <w:t>符合</w:t>
            </w:r>
          </w:p>
        </w:tc>
      </w:tr>
    </w:tbl>
    <w:p w14:paraId="717EDE02">
      <w:pPr>
        <w:pStyle w:val="4"/>
        <w:rPr>
          <w:color w:val="auto"/>
        </w:rPr>
      </w:pPr>
      <w:bookmarkStart w:id="247" w:name="_Toc19670"/>
      <w:r>
        <w:rPr>
          <w:rFonts w:hint="eastAsia"/>
          <w:color w:val="auto"/>
        </w:rPr>
        <w:t>6.9.2建设项目碳排放分析</w:t>
      </w:r>
      <w:bookmarkEnd w:id="247"/>
    </w:p>
    <w:p w14:paraId="2B17EF2F">
      <w:pPr>
        <w:pStyle w:val="5"/>
        <w:spacing w:before="156"/>
        <w:rPr>
          <w:color w:val="auto"/>
        </w:rPr>
      </w:pPr>
      <w:r>
        <w:rPr>
          <w:rFonts w:hint="eastAsia"/>
          <w:color w:val="auto"/>
        </w:rPr>
        <w:t>6.9.2.1碳排放源分析</w:t>
      </w:r>
    </w:p>
    <w:p w14:paraId="503FACAC">
      <w:pPr>
        <w:ind w:firstLine="480"/>
        <w:rPr>
          <w:color w:val="auto"/>
        </w:rPr>
      </w:pPr>
      <w:r>
        <w:rPr>
          <w:rFonts w:hint="eastAsia"/>
          <w:color w:val="auto"/>
        </w:rPr>
        <w:t>本</w:t>
      </w:r>
      <w:r>
        <w:rPr>
          <w:color w:val="auto"/>
        </w:rPr>
        <w:t>项目涉及用电，电来源于国家电网。蒸汽</w:t>
      </w:r>
      <w:r>
        <w:rPr>
          <w:rFonts w:hint="eastAsia"/>
          <w:color w:val="auto"/>
        </w:rPr>
        <w:t>来源于项目自产，不外购。</w:t>
      </w:r>
    </w:p>
    <w:p w14:paraId="35D03114">
      <w:pPr>
        <w:pStyle w:val="5"/>
        <w:spacing w:before="156"/>
        <w:rPr>
          <w:color w:val="auto"/>
        </w:rPr>
      </w:pPr>
      <w:r>
        <w:rPr>
          <w:rFonts w:hint="eastAsia"/>
          <w:color w:val="auto"/>
        </w:rPr>
        <w:t>6.9.2.2核算方法</w:t>
      </w:r>
    </w:p>
    <w:p w14:paraId="0EF7AA01">
      <w:pPr>
        <w:ind w:firstLine="480"/>
        <w:rPr>
          <w:color w:val="auto"/>
        </w:rPr>
      </w:pPr>
      <w:r>
        <w:rPr>
          <w:color w:val="auto"/>
        </w:rPr>
        <w:t>建设项目碳排放量，主要包括：化石燃料燃烧活动产生的二氧化碳排放，电力调入调出二氧化碳间接排放。碳排放计算方法参考如下：</w:t>
      </w:r>
    </w:p>
    <w:p w14:paraId="4E41A4C1">
      <w:pPr>
        <w:ind w:firstLine="480"/>
        <w:rPr>
          <w:color w:val="auto"/>
        </w:rPr>
      </w:pPr>
      <w:r>
        <w:rPr>
          <w:i/>
          <w:iCs/>
          <w:color w:val="auto"/>
        </w:rPr>
        <w:t>AE</w:t>
      </w:r>
      <w:r>
        <w:rPr>
          <w:color w:val="auto"/>
          <w:vertAlign w:val="subscript"/>
        </w:rPr>
        <w:t>总</w:t>
      </w:r>
      <w:r>
        <w:rPr>
          <w:color w:val="auto"/>
        </w:rPr>
        <w:t>=</w:t>
      </w:r>
      <w:r>
        <w:rPr>
          <w:i/>
          <w:iCs/>
          <w:color w:val="auto"/>
        </w:rPr>
        <w:t>AE</w:t>
      </w:r>
      <w:r>
        <w:rPr>
          <w:color w:val="auto"/>
          <w:vertAlign w:val="subscript"/>
        </w:rPr>
        <w:t>燃料燃烧</w:t>
      </w:r>
      <w:r>
        <w:rPr>
          <w:color w:val="auto"/>
        </w:rPr>
        <w:t>+</w:t>
      </w:r>
      <w:r>
        <w:rPr>
          <w:i/>
          <w:iCs/>
          <w:color w:val="auto"/>
        </w:rPr>
        <w:t>AE</w:t>
      </w:r>
      <w:r>
        <w:rPr>
          <w:color w:val="auto"/>
          <w:vertAlign w:val="subscript"/>
        </w:rPr>
        <w:t>净调入电力和热力</w:t>
      </w:r>
      <w:r>
        <w:rPr>
          <w:color w:val="auto"/>
        </w:rPr>
        <w:t>+</w:t>
      </w:r>
      <w:r>
        <w:rPr>
          <w:i/>
          <w:iCs/>
          <w:color w:val="auto"/>
        </w:rPr>
        <w:t>AE</w:t>
      </w:r>
      <w:r>
        <w:rPr>
          <w:i/>
          <w:iCs/>
          <w:color w:val="auto"/>
          <w:vertAlign w:val="subscript"/>
        </w:rPr>
        <w:t xml:space="preserve">工业生产过程 </w:t>
      </w:r>
      <w:r>
        <w:rPr>
          <w:i/>
          <w:iCs/>
          <w:color w:val="auto"/>
        </w:rPr>
        <w:t>–R</w:t>
      </w:r>
      <w:r>
        <w:rPr>
          <w:i/>
          <w:iCs/>
          <w:color w:val="auto"/>
          <w:vertAlign w:val="subscript"/>
        </w:rPr>
        <w:t>固碳</w:t>
      </w:r>
    </w:p>
    <w:p w14:paraId="475A6963">
      <w:pPr>
        <w:ind w:firstLine="480"/>
        <w:rPr>
          <w:color w:val="auto"/>
        </w:rPr>
      </w:pPr>
      <w:r>
        <w:rPr>
          <w:color w:val="auto"/>
        </w:rPr>
        <w:t>式中：</w:t>
      </w:r>
    </w:p>
    <w:p w14:paraId="7289DCAB">
      <w:pPr>
        <w:ind w:firstLine="480"/>
        <w:rPr>
          <w:color w:val="auto"/>
        </w:rPr>
      </w:pPr>
      <w:r>
        <w:rPr>
          <w:i/>
          <w:iCs/>
          <w:color w:val="auto"/>
        </w:rPr>
        <w:t>AE</w:t>
      </w:r>
      <w:r>
        <w:rPr>
          <w:color w:val="auto"/>
          <w:vertAlign w:val="subscript"/>
        </w:rPr>
        <w:t>总</w:t>
      </w:r>
      <w:r>
        <w:rPr>
          <w:color w:val="auto"/>
        </w:rPr>
        <w:t>—碳排放总量（tCO</w:t>
      </w:r>
      <w:r>
        <w:rPr>
          <w:color w:val="auto"/>
          <w:vertAlign w:val="subscript"/>
        </w:rPr>
        <w:t>2</w:t>
      </w:r>
      <w:r>
        <w:rPr>
          <w:color w:val="auto"/>
        </w:rPr>
        <w:t>e）；</w:t>
      </w:r>
    </w:p>
    <w:p w14:paraId="2DE386EE">
      <w:pPr>
        <w:ind w:firstLine="480"/>
        <w:rPr>
          <w:color w:val="auto"/>
        </w:rPr>
      </w:pPr>
      <w:r>
        <w:rPr>
          <w:i/>
          <w:iCs/>
          <w:color w:val="auto"/>
        </w:rPr>
        <w:t>AE</w:t>
      </w:r>
      <w:r>
        <w:rPr>
          <w:color w:val="auto"/>
          <w:vertAlign w:val="subscript"/>
        </w:rPr>
        <w:t>燃料燃烧</w:t>
      </w:r>
      <w:r>
        <w:rPr>
          <w:color w:val="auto"/>
        </w:rPr>
        <w:t>—燃料燃烧碳排放量（tCO</w:t>
      </w:r>
      <w:r>
        <w:rPr>
          <w:color w:val="auto"/>
          <w:vertAlign w:val="subscript"/>
        </w:rPr>
        <w:t>2</w:t>
      </w:r>
      <w:r>
        <w:rPr>
          <w:color w:val="auto"/>
        </w:rPr>
        <w:t>e）；</w:t>
      </w:r>
    </w:p>
    <w:p w14:paraId="0CBC2737">
      <w:pPr>
        <w:ind w:firstLine="480"/>
        <w:rPr>
          <w:color w:val="auto"/>
        </w:rPr>
      </w:pPr>
      <w:r>
        <w:rPr>
          <w:i/>
          <w:iCs/>
          <w:color w:val="auto"/>
        </w:rPr>
        <w:t>AE</w:t>
      </w:r>
      <w:r>
        <w:rPr>
          <w:color w:val="auto"/>
          <w:vertAlign w:val="subscript"/>
        </w:rPr>
        <w:t>净调入电力和热力</w:t>
      </w:r>
      <w:r>
        <w:rPr>
          <w:color w:val="auto"/>
        </w:rPr>
        <w:t>—净调入电力和热力消耗碳排放量（tCO</w:t>
      </w:r>
      <w:r>
        <w:rPr>
          <w:color w:val="auto"/>
          <w:vertAlign w:val="subscript"/>
        </w:rPr>
        <w:t>2</w:t>
      </w:r>
      <w:r>
        <w:rPr>
          <w:color w:val="auto"/>
        </w:rPr>
        <w:t>e）；</w:t>
      </w:r>
    </w:p>
    <w:p w14:paraId="293918C9">
      <w:pPr>
        <w:ind w:firstLine="480"/>
        <w:rPr>
          <w:i/>
          <w:iCs/>
          <w:color w:val="auto"/>
          <w:vertAlign w:val="subscript"/>
        </w:rPr>
      </w:pPr>
      <w:r>
        <w:rPr>
          <w:i/>
          <w:iCs/>
          <w:color w:val="auto"/>
        </w:rPr>
        <w:t>AE</w:t>
      </w:r>
      <w:r>
        <w:rPr>
          <w:i/>
          <w:iCs/>
          <w:color w:val="auto"/>
          <w:vertAlign w:val="subscript"/>
        </w:rPr>
        <w:t xml:space="preserve">工业生产过程 </w:t>
      </w:r>
      <w:r>
        <w:rPr>
          <w:color w:val="auto"/>
        </w:rPr>
        <w:t>—工业生产过程碳排放量（tCO</w:t>
      </w:r>
      <w:r>
        <w:rPr>
          <w:color w:val="auto"/>
          <w:vertAlign w:val="subscript"/>
        </w:rPr>
        <w:t>2</w:t>
      </w:r>
      <w:r>
        <w:rPr>
          <w:color w:val="auto"/>
        </w:rPr>
        <w:t>e）；</w:t>
      </w:r>
    </w:p>
    <w:p w14:paraId="0E78AC84">
      <w:pPr>
        <w:ind w:firstLine="480"/>
        <w:rPr>
          <w:color w:val="auto"/>
        </w:rPr>
      </w:pPr>
      <w:r>
        <w:rPr>
          <w:i/>
          <w:iCs/>
          <w:color w:val="auto"/>
        </w:rPr>
        <w:t>R</w:t>
      </w:r>
      <w:r>
        <w:rPr>
          <w:i/>
          <w:iCs/>
          <w:color w:val="auto"/>
          <w:vertAlign w:val="subscript"/>
        </w:rPr>
        <w:t>固碳</w:t>
      </w:r>
      <w:r>
        <w:rPr>
          <w:color w:val="auto"/>
        </w:rPr>
        <w:t>—固碳产品隐含的排放量（tCO</w:t>
      </w:r>
      <w:r>
        <w:rPr>
          <w:color w:val="auto"/>
          <w:vertAlign w:val="subscript"/>
        </w:rPr>
        <w:t>2</w:t>
      </w:r>
      <w:r>
        <w:rPr>
          <w:color w:val="auto"/>
        </w:rPr>
        <w:t>e）。</w:t>
      </w:r>
    </w:p>
    <w:p w14:paraId="467F0118">
      <w:pPr>
        <w:ind w:firstLine="480"/>
        <w:rPr>
          <w:color w:val="auto"/>
        </w:rPr>
      </w:pPr>
      <w:r>
        <w:rPr>
          <w:color w:val="auto"/>
        </w:rPr>
        <w:t>建设项目用于电力生产的燃料燃烧产生的排放量（</w:t>
      </w:r>
      <w:r>
        <w:rPr>
          <w:i/>
          <w:iCs/>
          <w:color w:val="auto"/>
        </w:rPr>
        <w:t>AE</w:t>
      </w:r>
      <w:r>
        <w:rPr>
          <w:i/>
          <w:iCs/>
          <w:color w:val="auto"/>
          <w:vertAlign w:val="subscript"/>
        </w:rPr>
        <w:t>燃</w:t>
      </w:r>
      <w:r>
        <w:rPr>
          <w:color w:val="auto"/>
          <w:vertAlign w:val="subscript"/>
        </w:rPr>
        <w:t>料</w:t>
      </w:r>
      <w:r>
        <w:rPr>
          <w:color w:val="auto"/>
        </w:rPr>
        <w:t>）计算方法见公式：</w:t>
      </w:r>
    </w:p>
    <w:p w14:paraId="1159D7F4">
      <w:pPr>
        <w:ind w:firstLine="480"/>
        <w:rPr>
          <w:color w:val="auto"/>
        </w:rPr>
      </w:pPr>
      <w:r>
        <w:rPr>
          <w:i/>
          <w:iCs/>
          <w:color w:val="auto"/>
        </w:rPr>
        <w:t>AE</w:t>
      </w:r>
      <w:r>
        <w:rPr>
          <w:i/>
          <w:iCs/>
          <w:color w:val="auto"/>
          <w:vertAlign w:val="subscript"/>
        </w:rPr>
        <w:t>燃</w:t>
      </w:r>
      <w:r>
        <w:rPr>
          <w:color w:val="auto"/>
          <w:vertAlign w:val="subscript"/>
        </w:rPr>
        <w:t>料</w:t>
      </w:r>
      <w:r>
        <w:rPr>
          <w:color w:val="auto"/>
        </w:rPr>
        <w:t>=∑（</w:t>
      </w:r>
      <w:r>
        <w:rPr>
          <w:i/>
          <w:iCs/>
          <w:color w:val="auto"/>
        </w:rPr>
        <w:t>AD</w:t>
      </w:r>
      <w:r>
        <w:rPr>
          <w:i/>
          <w:iCs/>
          <w:color w:val="auto"/>
          <w:vertAlign w:val="subscript"/>
        </w:rPr>
        <w:t>i</w:t>
      </w:r>
      <w:r>
        <w:rPr>
          <w:color w:val="auto"/>
          <w:vertAlign w:val="subscript"/>
        </w:rPr>
        <w:t>燃料</w:t>
      </w:r>
      <w:r>
        <w:rPr>
          <w:color w:val="auto"/>
        </w:rPr>
        <w:t>×</w:t>
      </w:r>
      <w:r>
        <w:rPr>
          <w:i/>
          <w:iCs/>
          <w:color w:val="auto"/>
        </w:rPr>
        <w:t>EF</w:t>
      </w:r>
      <w:r>
        <w:rPr>
          <w:i/>
          <w:iCs/>
          <w:color w:val="auto"/>
          <w:vertAlign w:val="subscript"/>
        </w:rPr>
        <w:t>i</w:t>
      </w:r>
      <w:r>
        <w:rPr>
          <w:color w:val="auto"/>
          <w:vertAlign w:val="subscript"/>
        </w:rPr>
        <w:t>燃料</w:t>
      </w:r>
      <w:r>
        <w:rPr>
          <w:color w:val="auto"/>
        </w:rPr>
        <w:t>）</w:t>
      </w:r>
    </w:p>
    <w:p w14:paraId="3EBE6423">
      <w:pPr>
        <w:ind w:firstLine="480"/>
        <w:rPr>
          <w:color w:val="auto"/>
        </w:rPr>
      </w:pPr>
      <w:r>
        <w:rPr>
          <w:color w:val="auto"/>
        </w:rPr>
        <w:t>式中：</w:t>
      </w:r>
    </w:p>
    <w:p w14:paraId="29146AE8">
      <w:pPr>
        <w:ind w:firstLine="480"/>
        <w:rPr>
          <w:i/>
          <w:iCs/>
          <w:color w:val="auto"/>
        </w:rPr>
      </w:pPr>
      <w:r>
        <w:rPr>
          <w:i/>
          <w:iCs/>
          <w:color w:val="auto"/>
        </w:rPr>
        <w:t>i</w:t>
      </w:r>
      <w:r>
        <w:rPr>
          <w:color w:val="auto"/>
        </w:rPr>
        <w:t>———燃料种类；</w:t>
      </w:r>
    </w:p>
    <w:p w14:paraId="0F56181B">
      <w:pPr>
        <w:ind w:firstLine="480"/>
        <w:rPr>
          <w:color w:val="auto"/>
        </w:rPr>
      </w:pPr>
      <w:r>
        <w:rPr>
          <w:i/>
          <w:iCs/>
          <w:color w:val="auto"/>
        </w:rPr>
        <w:t>AD</w:t>
      </w:r>
      <w:r>
        <w:rPr>
          <w:i/>
          <w:iCs/>
          <w:color w:val="auto"/>
          <w:vertAlign w:val="subscript"/>
        </w:rPr>
        <w:t>i</w:t>
      </w:r>
      <w:r>
        <w:rPr>
          <w:color w:val="auto"/>
          <w:vertAlign w:val="subscript"/>
        </w:rPr>
        <w:t>燃料</w:t>
      </w:r>
      <w:r>
        <w:rPr>
          <w:color w:val="auto"/>
        </w:rPr>
        <w:t>—</w:t>
      </w:r>
      <w:r>
        <w:rPr>
          <w:i/>
          <w:iCs/>
          <w:color w:val="auto"/>
        </w:rPr>
        <w:t>i</w:t>
      </w:r>
      <w:r>
        <w:rPr>
          <w:color w:val="auto"/>
        </w:rPr>
        <w:t>燃料燃烧消耗量（t或kNm</w:t>
      </w:r>
      <w:r>
        <w:rPr>
          <w:color w:val="auto"/>
          <w:vertAlign w:val="superscript"/>
        </w:rPr>
        <w:t>3</w:t>
      </w:r>
      <w:r>
        <w:rPr>
          <w:color w:val="auto"/>
        </w:rPr>
        <w:t>）；</w:t>
      </w:r>
    </w:p>
    <w:p w14:paraId="74E784C5">
      <w:pPr>
        <w:ind w:firstLine="480"/>
        <w:rPr>
          <w:color w:val="auto"/>
        </w:rPr>
      </w:pPr>
      <w:r>
        <w:rPr>
          <w:i/>
          <w:iCs/>
          <w:color w:val="auto"/>
        </w:rPr>
        <w:t>EF</w:t>
      </w:r>
      <w:r>
        <w:rPr>
          <w:i/>
          <w:iCs/>
          <w:color w:val="auto"/>
          <w:vertAlign w:val="subscript"/>
        </w:rPr>
        <w:t>i</w:t>
      </w:r>
      <w:r>
        <w:rPr>
          <w:color w:val="auto"/>
          <w:vertAlign w:val="subscript"/>
        </w:rPr>
        <w:t>燃料</w:t>
      </w:r>
      <w:r>
        <w:rPr>
          <w:color w:val="auto"/>
        </w:rPr>
        <w:t>—</w:t>
      </w:r>
      <w:r>
        <w:rPr>
          <w:i/>
          <w:iCs/>
          <w:color w:val="auto"/>
        </w:rPr>
        <w:t>i</w:t>
      </w:r>
      <w:r>
        <w:rPr>
          <w:color w:val="auto"/>
        </w:rPr>
        <w:t>燃料燃烧二氧化碳排放因子（tCO</w:t>
      </w:r>
      <w:r>
        <w:rPr>
          <w:color w:val="auto"/>
          <w:vertAlign w:val="subscript"/>
        </w:rPr>
        <w:t>2</w:t>
      </w:r>
      <w:r>
        <w:rPr>
          <w:color w:val="auto"/>
        </w:rPr>
        <w:t>e/kg或tCO</w:t>
      </w:r>
      <w:r>
        <w:rPr>
          <w:color w:val="auto"/>
          <w:vertAlign w:val="subscript"/>
        </w:rPr>
        <w:t>2</w:t>
      </w:r>
      <w:r>
        <w:rPr>
          <w:color w:val="auto"/>
        </w:rPr>
        <w:t>e/kNm</w:t>
      </w:r>
      <w:r>
        <w:rPr>
          <w:color w:val="auto"/>
          <w:vertAlign w:val="superscript"/>
        </w:rPr>
        <w:t>3</w:t>
      </w:r>
      <w:r>
        <w:rPr>
          <w:color w:val="auto"/>
        </w:rPr>
        <w:t xml:space="preserve">）； </w:t>
      </w:r>
    </w:p>
    <w:p w14:paraId="70DD65E9">
      <w:pPr>
        <w:ind w:firstLine="480"/>
        <w:rPr>
          <w:color w:val="auto"/>
        </w:rPr>
      </w:pPr>
      <w:r>
        <w:rPr>
          <w:color w:val="auto"/>
        </w:rPr>
        <w:t>净调入电力和热力消耗碳排放总量（</w:t>
      </w:r>
      <w:r>
        <w:rPr>
          <w:i/>
          <w:iCs/>
          <w:color w:val="auto"/>
        </w:rPr>
        <w:t>AE</w:t>
      </w:r>
      <w:r>
        <w:rPr>
          <w:color w:val="auto"/>
          <w:vertAlign w:val="subscript"/>
        </w:rPr>
        <w:t>净调入电力和热力</w:t>
      </w:r>
      <w:r>
        <w:rPr>
          <w:color w:val="auto"/>
        </w:rPr>
        <w:t>）计算方法见以下公式：</w:t>
      </w:r>
    </w:p>
    <w:p w14:paraId="789B8EA8">
      <w:pPr>
        <w:ind w:firstLine="480"/>
        <w:rPr>
          <w:color w:val="auto"/>
        </w:rPr>
      </w:pPr>
      <w:r>
        <w:rPr>
          <w:i/>
          <w:iCs/>
          <w:color w:val="auto"/>
        </w:rPr>
        <w:t>AE</w:t>
      </w:r>
      <w:r>
        <w:rPr>
          <w:color w:val="auto"/>
          <w:vertAlign w:val="subscript"/>
        </w:rPr>
        <w:t>净调入电力和热力</w:t>
      </w:r>
      <w:r>
        <w:rPr>
          <w:color w:val="auto"/>
        </w:rPr>
        <w:t>=</w:t>
      </w:r>
      <w:r>
        <w:rPr>
          <w:i/>
          <w:iCs/>
          <w:color w:val="auto"/>
        </w:rPr>
        <w:t xml:space="preserve"> AE</w:t>
      </w:r>
      <w:r>
        <w:rPr>
          <w:color w:val="auto"/>
          <w:vertAlign w:val="subscript"/>
        </w:rPr>
        <w:t>净调入电力</w:t>
      </w:r>
      <w:r>
        <w:rPr>
          <w:color w:val="auto"/>
        </w:rPr>
        <w:t>+</w:t>
      </w:r>
      <w:r>
        <w:rPr>
          <w:i/>
          <w:iCs/>
          <w:color w:val="auto"/>
        </w:rPr>
        <w:t xml:space="preserve"> AE</w:t>
      </w:r>
      <w:r>
        <w:rPr>
          <w:color w:val="auto"/>
          <w:vertAlign w:val="subscript"/>
        </w:rPr>
        <w:t>净调入热力</w:t>
      </w:r>
    </w:p>
    <w:p w14:paraId="02BCBC58">
      <w:pPr>
        <w:ind w:firstLine="480"/>
        <w:rPr>
          <w:color w:val="auto"/>
        </w:rPr>
      </w:pPr>
      <w:r>
        <w:rPr>
          <w:color w:val="auto"/>
        </w:rPr>
        <w:t>式中：</w:t>
      </w:r>
    </w:p>
    <w:p w14:paraId="1D923272">
      <w:pPr>
        <w:ind w:firstLine="480"/>
        <w:rPr>
          <w:color w:val="auto"/>
        </w:rPr>
      </w:pPr>
      <w:r>
        <w:rPr>
          <w:i/>
          <w:iCs/>
          <w:color w:val="auto"/>
        </w:rPr>
        <w:t>AE</w:t>
      </w:r>
      <w:r>
        <w:rPr>
          <w:color w:val="auto"/>
          <w:vertAlign w:val="subscript"/>
        </w:rPr>
        <w:t>净调入电力</w:t>
      </w:r>
      <w:r>
        <w:rPr>
          <w:color w:val="auto"/>
        </w:rPr>
        <w:t>—净调入电力消耗碳排放量（tCO</w:t>
      </w:r>
      <w:r>
        <w:rPr>
          <w:color w:val="auto"/>
          <w:vertAlign w:val="subscript"/>
        </w:rPr>
        <w:t>2</w:t>
      </w:r>
      <w:r>
        <w:rPr>
          <w:color w:val="auto"/>
        </w:rPr>
        <w:t>e）；</w:t>
      </w:r>
    </w:p>
    <w:p w14:paraId="0CA5F4EB">
      <w:pPr>
        <w:ind w:firstLine="480"/>
        <w:rPr>
          <w:color w:val="auto"/>
        </w:rPr>
      </w:pPr>
      <w:r>
        <w:rPr>
          <w:i/>
          <w:iCs/>
          <w:color w:val="auto"/>
        </w:rPr>
        <w:t>AE</w:t>
      </w:r>
      <w:r>
        <w:rPr>
          <w:color w:val="auto"/>
          <w:vertAlign w:val="subscript"/>
        </w:rPr>
        <w:t>净调入热力</w:t>
      </w:r>
      <w:r>
        <w:rPr>
          <w:color w:val="auto"/>
        </w:rPr>
        <w:t>—净调入热力消耗碳排放量（tCO</w:t>
      </w:r>
      <w:r>
        <w:rPr>
          <w:color w:val="auto"/>
          <w:vertAlign w:val="subscript"/>
        </w:rPr>
        <w:t>2</w:t>
      </w:r>
      <w:r>
        <w:rPr>
          <w:color w:val="auto"/>
        </w:rPr>
        <w:t>e）。</w:t>
      </w:r>
    </w:p>
    <w:p w14:paraId="55B19A03">
      <w:pPr>
        <w:ind w:firstLine="480"/>
        <w:rPr>
          <w:color w:val="auto"/>
        </w:rPr>
      </w:pPr>
      <w:r>
        <w:rPr>
          <w:color w:val="auto"/>
        </w:rPr>
        <w:t>其中，净调入电力消耗碳排放量（</w:t>
      </w:r>
      <w:r>
        <w:rPr>
          <w:i/>
          <w:iCs/>
          <w:color w:val="auto"/>
        </w:rPr>
        <w:t>AE</w:t>
      </w:r>
      <w:r>
        <w:rPr>
          <w:color w:val="auto"/>
          <w:vertAlign w:val="subscript"/>
        </w:rPr>
        <w:t>净调入电力</w:t>
      </w:r>
      <w:r>
        <w:rPr>
          <w:color w:val="auto"/>
        </w:rPr>
        <w:t>）计算方法见公式：</w:t>
      </w:r>
    </w:p>
    <w:p w14:paraId="196E393D">
      <w:pPr>
        <w:ind w:firstLine="480"/>
        <w:rPr>
          <w:color w:val="auto"/>
        </w:rPr>
      </w:pPr>
      <w:r>
        <w:rPr>
          <w:i/>
          <w:iCs/>
          <w:color w:val="auto"/>
        </w:rPr>
        <w:t>AE</w:t>
      </w:r>
      <w:r>
        <w:rPr>
          <w:color w:val="auto"/>
          <w:vertAlign w:val="subscript"/>
        </w:rPr>
        <w:t>净调入电力</w:t>
      </w:r>
      <w:r>
        <w:rPr>
          <w:i/>
          <w:iCs/>
          <w:color w:val="auto"/>
        </w:rPr>
        <w:t>=AD</w:t>
      </w:r>
      <w:r>
        <w:rPr>
          <w:color w:val="auto"/>
          <w:vertAlign w:val="subscript"/>
        </w:rPr>
        <w:t>净调入电量</w:t>
      </w:r>
      <w:r>
        <w:rPr>
          <w:color w:val="auto"/>
        </w:rPr>
        <w:t>×</w:t>
      </w:r>
      <w:r>
        <w:rPr>
          <w:i/>
          <w:iCs/>
          <w:color w:val="auto"/>
        </w:rPr>
        <w:t>EF</w:t>
      </w:r>
      <w:r>
        <w:rPr>
          <w:color w:val="auto"/>
          <w:vertAlign w:val="subscript"/>
        </w:rPr>
        <w:t>电力</w:t>
      </w:r>
    </w:p>
    <w:p w14:paraId="34968BF6">
      <w:pPr>
        <w:ind w:firstLine="480"/>
        <w:rPr>
          <w:color w:val="auto"/>
        </w:rPr>
      </w:pPr>
      <w:r>
        <w:rPr>
          <w:color w:val="auto"/>
        </w:rPr>
        <w:t>式中：</w:t>
      </w:r>
    </w:p>
    <w:p w14:paraId="0E843C0E">
      <w:pPr>
        <w:ind w:firstLine="480"/>
        <w:rPr>
          <w:color w:val="auto"/>
        </w:rPr>
      </w:pPr>
      <w:r>
        <w:rPr>
          <w:i/>
          <w:iCs/>
          <w:color w:val="auto"/>
        </w:rPr>
        <w:t>AD</w:t>
      </w:r>
      <w:r>
        <w:rPr>
          <w:color w:val="auto"/>
          <w:vertAlign w:val="subscript"/>
        </w:rPr>
        <w:t>净调入电量</w:t>
      </w:r>
      <w:r>
        <w:rPr>
          <w:color w:val="auto"/>
        </w:rPr>
        <w:t>—净调入电力消耗量（MWh）；</w:t>
      </w:r>
    </w:p>
    <w:p w14:paraId="020096D8">
      <w:pPr>
        <w:ind w:firstLine="480"/>
        <w:rPr>
          <w:color w:val="auto"/>
        </w:rPr>
      </w:pPr>
      <w:r>
        <w:rPr>
          <w:i/>
          <w:iCs/>
          <w:color w:val="auto"/>
        </w:rPr>
        <w:t>EF</w:t>
      </w:r>
      <w:r>
        <w:rPr>
          <w:color w:val="auto"/>
          <w:vertAlign w:val="subscript"/>
        </w:rPr>
        <w:t>电力</w:t>
      </w:r>
      <w:r>
        <w:rPr>
          <w:color w:val="auto"/>
        </w:rPr>
        <w:t>—电力排放因子（tCO</w:t>
      </w:r>
      <w:r>
        <w:rPr>
          <w:color w:val="auto"/>
          <w:vertAlign w:val="subscript"/>
        </w:rPr>
        <w:t>2</w:t>
      </w:r>
      <w:r>
        <w:rPr>
          <w:color w:val="auto"/>
        </w:rPr>
        <w:t>e/MWh），根据《关于发布202</w:t>
      </w:r>
      <w:r>
        <w:rPr>
          <w:rFonts w:hint="eastAsia"/>
          <w:color w:val="auto"/>
        </w:rPr>
        <w:t>3</w:t>
      </w:r>
      <w:r>
        <w:rPr>
          <w:color w:val="auto"/>
        </w:rPr>
        <w:t>年电力二氧化碳排放因子的公告》（公告202</w:t>
      </w:r>
      <w:r>
        <w:rPr>
          <w:rFonts w:hint="eastAsia"/>
          <w:color w:val="auto"/>
        </w:rPr>
        <w:t>5</w:t>
      </w:r>
      <w:r>
        <w:rPr>
          <w:color w:val="auto"/>
        </w:rPr>
        <w:t>年第</w:t>
      </w:r>
      <w:r>
        <w:rPr>
          <w:rFonts w:hint="eastAsia"/>
          <w:color w:val="auto"/>
        </w:rPr>
        <w:t>47</w:t>
      </w:r>
      <w:r>
        <w:rPr>
          <w:color w:val="auto"/>
        </w:rPr>
        <w:t>号）</w:t>
      </w:r>
      <w:r>
        <w:rPr>
          <w:rFonts w:hint="eastAsia"/>
          <w:color w:val="auto"/>
        </w:rPr>
        <w:t>，</w:t>
      </w:r>
      <w:r>
        <w:rPr>
          <w:color w:val="auto"/>
        </w:rPr>
        <w:t>202</w:t>
      </w:r>
      <w:r>
        <w:rPr>
          <w:rFonts w:hint="eastAsia"/>
          <w:color w:val="auto"/>
        </w:rPr>
        <w:t>3</w:t>
      </w:r>
      <w:r>
        <w:rPr>
          <w:color w:val="auto"/>
        </w:rPr>
        <w:t>年</w:t>
      </w:r>
      <w:r>
        <w:rPr>
          <w:rFonts w:hint="eastAsia"/>
          <w:color w:val="auto"/>
        </w:rPr>
        <w:t>江苏省</w:t>
      </w:r>
      <w:r>
        <w:rPr>
          <w:color w:val="auto"/>
        </w:rPr>
        <w:t>电力平均二氧化碳排放因子0.5</w:t>
      </w:r>
      <w:r>
        <w:rPr>
          <w:rFonts w:hint="eastAsia"/>
          <w:color w:val="auto"/>
        </w:rPr>
        <w:t>827</w:t>
      </w:r>
      <w:r>
        <w:rPr>
          <w:color w:val="auto"/>
        </w:rPr>
        <w:t>kgCO</w:t>
      </w:r>
      <w:r>
        <w:rPr>
          <w:color w:val="auto"/>
          <w:vertAlign w:val="subscript"/>
        </w:rPr>
        <w:t>2</w:t>
      </w:r>
      <w:r>
        <w:rPr>
          <w:color w:val="auto"/>
        </w:rPr>
        <w:t>/kWh。</w:t>
      </w:r>
    </w:p>
    <w:p w14:paraId="6BA780F5">
      <w:pPr>
        <w:ind w:firstLine="480"/>
        <w:rPr>
          <w:color w:val="auto"/>
        </w:rPr>
      </w:pPr>
      <w:r>
        <w:rPr>
          <w:color w:val="auto"/>
        </w:rPr>
        <w:t>其中，净调入热力消耗碳排放量（</w:t>
      </w:r>
      <w:r>
        <w:rPr>
          <w:i/>
          <w:iCs/>
          <w:color w:val="auto"/>
        </w:rPr>
        <w:t>AE</w:t>
      </w:r>
      <w:r>
        <w:rPr>
          <w:color w:val="auto"/>
          <w:vertAlign w:val="subscript"/>
        </w:rPr>
        <w:t>净调入热力</w:t>
      </w:r>
      <w:r>
        <w:rPr>
          <w:color w:val="auto"/>
        </w:rPr>
        <w:t>）计算方法见公式：</w:t>
      </w:r>
    </w:p>
    <w:p w14:paraId="140B2275">
      <w:pPr>
        <w:ind w:firstLine="480"/>
        <w:rPr>
          <w:color w:val="auto"/>
        </w:rPr>
      </w:pPr>
      <w:r>
        <w:rPr>
          <w:i/>
          <w:iCs/>
          <w:color w:val="auto"/>
        </w:rPr>
        <w:t>AE</w:t>
      </w:r>
      <w:r>
        <w:rPr>
          <w:color w:val="auto"/>
          <w:vertAlign w:val="subscript"/>
        </w:rPr>
        <w:t>净调入热力</w:t>
      </w:r>
      <w:r>
        <w:rPr>
          <w:i/>
          <w:iCs/>
          <w:color w:val="auto"/>
        </w:rPr>
        <w:t>=AD</w:t>
      </w:r>
      <w:r>
        <w:rPr>
          <w:color w:val="auto"/>
          <w:vertAlign w:val="subscript"/>
        </w:rPr>
        <w:t>净调入热力消耗量</w:t>
      </w:r>
      <w:r>
        <w:rPr>
          <w:color w:val="auto"/>
        </w:rPr>
        <w:t>×</w:t>
      </w:r>
      <w:r>
        <w:rPr>
          <w:i/>
          <w:iCs/>
          <w:color w:val="auto"/>
        </w:rPr>
        <w:t>EF</w:t>
      </w:r>
      <w:r>
        <w:rPr>
          <w:color w:val="auto"/>
          <w:vertAlign w:val="subscript"/>
        </w:rPr>
        <w:t>热力</w:t>
      </w:r>
    </w:p>
    <w:p w14:paraId="0A3598D5">
      <w:pPr>
        <w:ind w:firstLine="480"/>
        <w:rPr>
          <w:color w:val="auto"/>
        </w:rPr>
      </w:pPr>
      <w:r>
        <w:rPr>
          <w:color w:val="auto"/>
        </w:rPr>
        <w:t>式中：</w:t>
      </w:r>
    </w:p>
    <w:p w14:paraId="4534CAF1">
      <w:pPr>
        <w:ind w:firstLine="480"/>
        <w:rPr>
          <w:color w:val="auto"/>
        </w:rPr>
      </w:pPr>
      <w:r>
        <w:rPr>
          <w:i/>
          <w:iCs/>
          <w:color w:val="auto"/>
        </w:rPr>
        <w:t>AD</w:t>
      </w:r>
      <w:r>
        <w:rPr>
          <w:color w:val="auto"/>
          <w:vertAlign w:val="subscript"/>
        </w:rPr>
        <w:t>净调入热力消耗量</w:t>
      </w:r>
      <w:r>
        <w:rPr>
          <w:color w:val="auto"/>
        </w:rPr>
        <w:t>—净调入热力消耗量（GJ）；</w:t>
      </w:r>
    </w:p>
    <w:p w14:paraId="155A55CC">
      <w:pPr>
        <w:ind w:firstLine="480"/>
        <w:rPr>
          <w:color w:val="auto"/>
        </w:rPr>
      </w:pPr>
      <w:r>
        <w:rPr>
          <w:i/>
          <w:iCs/>
          <w:color w:val="auto"/>
        </w:rPr>
        <w:t>EF</w:t>
      </w:r>
      <w:r>
        <w:rPr>
          <w:color w:val="auto"/>
          <w:vertAlign w:val="subscript"/>
        </w:rPr>
        <w:t>热力</w:t>
      </w:r>
      <w:r>
        <w:rPr>
          <w:color w:val="auto"/>
        </w:rPr>
        <w:t>—热力排放因子（tCO</w:t>
      </w:r>
      <w:r>
        <w:rPr>
          <w:color w:val="auto"/>
          <w:vertAlign w:val="subscript"/>
        </w:rPr>
        <w:t>2</w:t>
      </w:r>
      <w:r>
        <w:rPr>
          <w:color w:val="auto"/>
        </w:rPr>
        <w:t>e/GJ），为0.11tCO</w:t>
      </w:r>
      <w:r>
        <w:rPr>
          <w:color w:val="auto"/>
          <w:vertAlign w:val="subscript"/>
        </w:rPr>
        <w:t>2</w:t>
      </w:r>
      <w:r>
        <w:rPr>
          <w:color w:val="auto"/>
        </w:rPr>
        <w:t>e/GJ。</w:t>
      </w:r>
    </w:p>
    <w:p w14:paraId="459A2935">
      <w:pPr>
        <w:pStyle w:val="5"/>
        <w:spacing w:before="156"/>
        <w:rPr>
          <w:color w:val="auto"/>
        </w:rPr>
      </w:pPr>
      <w:r>
        <w:rPr>
          <w:rFonts w:hint="eastAsia"/>
          <w:color w:val="auto"/>
        </w:rPr>
        <w:t>6.9.2.3碳排放核算结果</w:t>
      </w:r>
    </w:p>
    <w:p w14:paraId="462BB5A3">
      <w:pPr>
        <w:ind w:firstLine="480"/>
        <w:rPr>
          <w:color w:val="auto"/>
        </w:rPr>
      </w:pPr>
      <w:r>
        <w:rPr>
          <w:rFonts w:hint="eastAsia"/>
          <w:color w:val="auto"/>
        </w:rPr>
        <w:t>1、现有项目</w:t>
      </w:r>
    </w:p>
    <w:p w14:paraId="15E410D3">
      <w:pPr>
        <w:ind w:firstLine="480"/>
        <w:rPr>
          <w:color w:val="auto"/>
        </w:rPr>
      </w:pPr>
      <w:r>
        <w:rPr>
          <w:rFonts w:hint="eastAsia"/>
          <w:color w:val="auto"/>
        </w:rPr>
        <w:t>根据企业提供资料，现有项目碳排放情况见下表。</w:t>
      </w:r>
    </w:p>
    <w:p w14:paraId="696623A0">
      <w:pPr>
        <w:ind w:firstLine="482"/>
        <w:jc w:val="center"/>
        <w:rPr>
          <w:b/>
          <w:bCs/>
          <w:color w:val="auto"/>
        </w:rPr>
      </w:pPr>
      <w:r>
        <w:rPr>
          <w:rFonts w:hint="eastAsia"/>
          <w:b/>
          <w:bCs/>
          <w:color w:val="auto"/>
        </w:rPr>
        <w:t>表6.9.2-1 现有项目碳排放情况</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845"/>
        <w:gridCol w:w="1843"/>
        <w:gridCol w:w="2268"/>
        <w:gridCol w:w="2515"/>
      </w:tblGrid>
      <w:tr w14:paraId="174B3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0E719B14">
            <w:pPr>
              <w:spacing w:line="240" w:lineRule="auto"/>
              <w:ind w:firstLine="0" w:firstLineChars="0"/>
              <w:jc w:val="center"/>
              <w:rPr>
                <w:color w:val="auto"/>
                <w:sz w:val="21"/>
                <w:szCs w:val="21"/>
              </w:rPr>
            </w:pPr>
            <w:r>
              <w:rPr>
                <w:color w:val="auto"/>
                <w:sz w:val="21"/>
                <w:szCs w:val="21"/>
              </w:rPr>
              <w:t>序号</w:t>
            </w:r>
          </w:p>
        </w:tc>
        <w:tc>
          <w:tcPr>
            <w:tcW w:w="936" w:type="pct"/>
            <w:vAlign w:val="center"/>
          </w:tcPr>
          <w:p w14:paraId="3756FB99">
            <w:pPr>
              <w:spacing w:line="240" w:lineRule="auto"/>
              <w:ind w:firstLine="0" w:firstLineChars="0"/>
              <w:jc w:val="center"/>
              <w:rPr>
                <w:color w:val="auto"/>
                <w:sz w:val="21"/>
                <w:szCs w:val="21"/>
              </w:rPr>
            </w:pPr>
            <w:r>
              <w:rPr>
                <w:color w:val="auto"/>
                <w:sz w:val="21"/>
                <w:szCs w:val="21"/>
              </w:rPr>
              <w:t>排放源</w:t>
            </w:r>
          </w:p>
        </w:tc>
        <w:tc>
          <w:tcPr>
            <w:tcW w:w="935" w:type="pct"/>
            <w:vAlign w:val="center"/>
          </w:tcPr>
          <w:p w14:paraId="1EFEF24D">
            <w:pPr>
              <w:spacing w:line="240" w:lineRule="auto"/>
              <w:ind w:firstLine="0" w:firstLineChars="0"/>
              <w:jc w:val="center"/>
              <w:rPr>
                <w:color w:val="auto"/>
                <w:sz w:val="21"/>
                <w:szCs w:val="21"/>
              </w:rPr>
            </w:pPr>
            <w:r>
              <w:rPr>
                <w:color w:val="auto"/>
                <w:sz w:val="21"/>
                <w:szCs w:val="21"/>
              </w:rPr>
              <w:t>年使用量</w:t>
            </w:r>
          </w:p>
        </w:tc>
        <w:tc>
          <w:tcPr>
            <w:tcW w:w="1150" w:type="pct"/>
            <w:vAlign w:val="center"/>
          </w:tcPr>
          <w:p w14:paraId="35A24605">
            <w:pPr>
              <w:spacing w:line="240" w:lineRule="auto"/>
              <w:ind w:firstLine="0" w:firstLineChars="0"/>
              <w:jc w:val="center"/>
              <w:rPr>
                <w:color w:val="auto"/>
                <w:sz w:val="21"/>
                <w:szCs w:val="21"/>
              </w:rPr>
            </w:pPr>
            <w:r>
              <w:rPr>
                <w:color w:val="auto"/>
                <w:sz w:val="21"/>
                <w:szCs w:val="21"/>
              </w:rPr>
              <w:t>排放因子</w:t>
            </w:r>
          </w:p>
        </w:tc>
        <w:tc>
          <w:tcPr>
            <w:tcW w:w="1277" w:type="pct"/>
            <w:vAlign w:val="center"/>
          </w:tcPr>
          <w:p w14:paraId="2D6503B0">
            <w:pPr>
              <w:spacing w:line="240" w:lineRule="auto"/>
              <w:ind w:firstLine="0" w:firstLineChars="0"/>
              <w:jc w:val="center"/>
              <w:rPr>
                <w:color w:val="auto"/>
                <w:sz w:val="21"/>
                <w:szCs w:val="21"/>
              </w:rPr>
            </w:pPr>
            <w:r>
              <w:rPr>
                <w:color w:val="auto"/>
                <w:sz w:val="21"/>
                <w:szCs w:val="21"/>
              </w:rPr>
              <w:t>年排放量tCO</w:t>
            </w:r>
            <w:r>
              <w:rPr>
                <w:color w:val="auto"/>
                <w:sz w:val="21"/>
                <w:szCs w:val="21"/>
                <w:vertAlign w:val="subscript"/>
              </w:rPr>
              <w:t>2</w:t>
            </w:r>
          </w:p>
        </w:tc>
      </w:tr>
      <w:tr w14:paraId="725AB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3A92AB93">
            <w:pPr>
              <w:spacing w:line="240" w:lineRule="auto"/>
              <w:ind w:firstLine="0" w:firstLineChars="0"/>
              <w:jc w:val="center"/>
              <w:rPr>
                <w:color w:val="auto"/>
                <w:sz w:val="21"/>
                <w:szCs w:val="21"/>
              </w:rPr>
            </w:pPr>
            <w:r>
              <w:rPr>
                <w:color w:val="auto"/>
                <w:sz w:val="21"/>
                <w:szCs w:val="21"/>
              </w:rPr>
              <w:t>1</w:t>
            </w:r>
          </w:p>
        </w:tc>
        <w:tc>
          <w:tcPr>
            <w:tcW w:w="936" w:type="pct"/>
            <w:vAlign w:val="center"/>
          </w:tcPr>
          <w:p w14:paraId="27CD0723">
            <w:pPr>
              <w:spacing w:line="240" w:lineRule="auto"/>
              <w:ind w:firstLine="0" w:firstLineChars="0"/>
              <w:jc w:val="center"/>
              <w:rPr>
                <w:color w:val="auto"/>
                <w:sz w:val="21"/>
                <w:szCs w:val="21"/>
              </w:rPr>
            </w:pPr>
            <w:r>
              <w:rPr>
                <w:color w:val="auto"/>
                <w:sz w:val="21"/>
                <w:szCs w:val="21"/>
              </w:rPr>
              <w:t>天然气</w:t>
            </w:r>
          </w:p>
        </w:tc>
        <w:tc>
          <w:tcPr>
            <w:tcW w:w="935" w:type="pct"/>
            <w:vAlign w:val="center"/>
          </w:tcPr>
          <w:p w14:paraId="7F97904B">
            <w:pPr>
              <w:spacing w:line="240" w:lineRule="auto"/>
              <w:ind w:firstLine="0" w:firstLineChars="0"/>
              <w:jc w:val="center"/>
              <w:rPr>
                <w:color w:val="auto"/>
                <w:sz w:val="21"/>
                <w:szCs w:val="21"/>
              </w:rPr>
            </w:pPr>
            <w:r>
              <w:rPr>
                <w:color w:val="auto"/>
                <w:sz w:val="21"/>
                <w:szCs w:val="21"/>
              </w:rPr>
              <w:t>658.05万m</w:t>
            </w:r>
            <w:r>
              <w:rPr>
                <w:color w:val="auto"/>
                <w:sz w:val="21"/>
                <w:szCs w:val="21"/>
                <w:vertAlign w:val="superscript"/>
              </w:rPr>
              <w:t>3</w:t>
            </w:r>
            <w:r>
              <w:rPr>
                <w:color w:val="auto"/>
                <w:sz w:val="21"/>
                <w:szCs w:val="21"/>
              </w:rPr>
              <w:t>/a</w:t>
            </w:r>
          </w:p>
        </w:tc>
        <w:tc>
          <w:tcPr>
            <w:tcW w:w="1150" w:type="pct"/>
            <w:vAlign w:val="center"/>
          </w:tcPr>
          <w:p w14:paraId="7487917E">
            <w:pPr>
              <w:spacing w:line="240" w:lineRule="auto"/>
              <w:ind w:firstLine="0" w:firstLineChars="0"/>
              <w:jc w:val="center"/>
              <w:rPr>
                <w:color w:val="auto"/>
                <w:sz w:val="21"/>
                <w:szCs w:val="21"/>
              </w:rPr>
            </w:pPr>
            <w:r>
              <w:rPr>
                <w:color w:val="auto"/>
                <w:sz w:val="21"/>
                <w:szCs w:val="21"/>
              </w:rPr>
              <w:t>21.62 tCO</w:t>
            </w:r>
            <w:r>
              <w:rPr>
                <w:color w:val="auto"/>
                <w:sz w:val="21"/>
                <w:szCs w:val="21"/>
                <w:vertAlign w:val="subscript"/>
              </w:rPr>
              <w:t>2</w:t>
            </w:r>
            <w:r>
              <w:rPr>
                <w:color w:val="auto"/>
                <w:sz w:val="21"/>
                <w:szCs w:val="21"/>
              </w:rPr>
              <w:t>/万Nm</w:t>
            </w:r>
            <w:r>
              <w:rPr>
                <w:color w:val="auto"/>
                <w:sz w:val="21"/>
                <w:szCs w:val="21"/>
                <w:vertAlign w:val="superscript"/>
              </w:rPr>
              <w:t>3</w:t>
            </w:r>
          </w:p>
        </w:tc>
        <w:tc>
          <w:tcPr>
            <w:tcW w:w="1277" w:type="pct"/>
            <w:tcBorders>
              <w:top w:val="nil"/>
              <w:left w:val="nil"/>
              <w:bottom w:val="single" w:color="auto" w:sz="8" w:space="0"/>
              <w:right w:val="nil"/>
            </w:tcBorders>
            <w:vAlign w:val="center"/>
          </w:tcPr>
          <w:p w14:paraId="0FE57F8B">
            <w:pPr>
              <w:spacing w:line="240" w:lineRule="auto"/>
              <w:ind w:firstLine="0" w:firstLineChars="0"/>
              <w:jc w:val="center"/>
              <w:rPr>
                <w:color w:val="auto"/>
                <w:sz w:val="21"/>
                <w:szCs w:val="21"/>
              </w:rPr>
            </w:pPr>
            <w:r>
              <w:rPr>
                <w:rFonts w:eastAsia="等线"/>
                <w:color w:val="auto"/>
                <w:sz w:val="21"/>
                <w:szCs w:val="21"/>
              </w:rPr>
              <w:t>14227.04</w:t>
            </w:r>
          </w:p>
        </w:tc>
      </w:tr>
      <w:tr w14:paraId="1A5E8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1D800B8F">
            <w:pPr>
              <w:spacing w:line="240" w:lineRule="auto"/>
              <w:ind w:firstLine="0" w:firstLineChars="0"/>
              <w:jc w:val="center"/>
              <w:rPr>
                <w:color w:val="auto"/>
                <w:sz w:val="21"/>
                <w:szCs w:val="21"/>
              </w:rPr>
            </w:pPr>
            <w:r>
              <w:rPr>
                <w:color w:val="auto"/>
                <w:sz w:val="21"/>
                <w:szCs w:val="21"/>
              </w:rPr>
              <w:t>2</w:t>
            </w:r>
          </w:p>
        </w:tc>
        <w:tc>
          <w:tcPr>
            <w:tcW w:w="936" w:type="pct"/>
            <w:vAlign w:val="center"/>
          </w:tcPr>
          <w:p w14:paraId="5448369A">
            <w:pPr>
              <w:spacing w:line="240" w:lineRule="auto"/>
              <w:ind w:firstLine="0" w:firstLineChars="0"/>
              <w:jc w:val="center"/>
              <w:rPr>
                <w:color w:val="auto"/>
                <w:sz w:val="21"/>
                <w:szCs w:val="21"/>
              </w:rPr>
            </w:pPr>
            <w:r>
              <w:rPr>
                <w:color w:val="auto"/>
                <w:sz w:val="21"/>
                <w:szCs w:val="21"/>
              </w:rPr>
              <w:t>净购入电力</w:t>
            </w:r>
          </w:p>
        </w:tc>
        <w:tc>
          <w:tcPr>
            <w:tcW w:w="935" w:type="pct"/>
            <w:vAlign w:val="center"/>
          </w:tcPr>
          <w:p w14:paraId="7163A0FD">
            <w:pPr>
              <w:spacing w:line="240" w:lineRule="auto"/>
              <w:ind w:firstLine="0" w:firstLineChars="0"/>
              <w:jc w:val="center"/>
              <w:rPr>
                <w:color w:val="auto"/>
                <w:sz w:val="21"/>
                <w:szCs w:val="21"/>
              </w:rPr>
            </w:pPr>
            <w:r>
              <w:rPr>
                <w:rFonts w:hint="eastAsia"/>
                <w:color w:val="auto"/>
                <w:sz w:val="21"/>
                <w:szCs w:val="21"/>
              </w:rPr>
              <w:t>1152万kwh</w:t>
            </w:r>
          </w:p>
        </w:tc>
        <w:tc>
          <w:tcPr>
            <w:tcW w:w="1150" w:type="pct"/>
            <w:vAlign w:val="center"/>
          </w:tcPr>
          <w:p w14:paraId="1623EB18">
            <w:pPr>
              <w:spacing w:line="240" w:lineRule="auto"/>
              <w:ind w:firstLine="0" w:firstLineChars="0"/>
              <w:jc w:val="center"/>
              <w:rPr>
                <w:color w:val="auto"/>
                <w:sz w:val="21"/>
                <w:szCs w:val="21"/>
              </w:rPr>
            </w:pPr>
            <w:r>
              <w:rPr>
                <w:color w:val="auto"/>
                <w:sz w:val="21"/>
                <w:szCs w:val="21"/>
              </w:rPr>
              <w:t>0.5827kgCO</w:t>
            </w:r>
            <w:r>
              <w:rPr>
                <w:color w:val="auto"/>
                <w:sz w:val="21"/>
                <w:szCs w:val="21"/>
                <w:vertAlign w:val="subscript"/>
              </w:rPr>
              <w:t>2</w:t>
            </w:r>
            <w:r>
              <w:rPr>
                <w:color w:val="auto"/>
                <w:sz w:val="21"/>
                <w:szCs w:val="21"/>
              </w:rPr>
              <w:t>/kWh</w:t>
            </w:r>
          </w:p>
        </w:tc>
        <w:tc>
          <w:tcPr>
            <w:tcW w:w="1277" w:type="pct"/>
            <w:tcBorders>
              <w:top w:val="nil"/>
              <w:left w:val="nil"/>
              <w:bottom w:val="single" w:color="auto" w:sz="8" w:space="0"/>
              <w:right w:val="nil"/>
            </w:tcBorders>
            <w:vAlign w:val="center"/>
          </w:tcPr>
          <w:p w14:paraId="7AFEC1D2">
            <w:pPr>
              <w:spacing w:line="240" w:lineRule="auto"/>
              <w:ind w:firstLine="0" w:firstLineChars="0"/>
              <w:jc w:val="center"/>
              <w:rPr>
                <w:color w:val="auto"/>
                <w:sz w:val="21"/>
                <w:szCs w:val="21"/>
              </w:rPr>
            </w:pPr>
            <w:r>
              <w:rPr>
                <w:rFonts w:eastAsia="等线"/>
                <w:color w:val="auto"/>
                <w:sz w:val="21"/>
                <w:szCs w:val="21"/>
              </w:rPr>
              <w:t>6712.70</w:t>
            </w:r>
          </w:p>
        </w:tc>
      </w:tr>
      <w:tr w14:paraId="2F26B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378BCC1D">
            <w:pPr>
              <w:spacing w:line="240" w:lineRule="auto"/>
              <w:ind w:firstLine="0" w:firstLineChars="0"/>
              <w:jc w:val="center"/>
              <w:rPr>
                <w:color w:val="auto"/>
                <w:sz w:val="21"/>
                <w:szCs w:val="21"/>
              </w:rPr>
            </w:pPr>
            <w:r>
              <w:rPr>
                <w:color w:val="auto"/>
                <w:sz w:val="21"/>
                <w:szCs w:val="21"/>
              </w:rPr>
              <w:t>3</w:t>
            </w:r>
          </w:p>
        </w:tc>
        <w:tc>
          <w:tcPr>
            <w:tcW w:w="936" w:type="pct"/>
            <w:vAlign w:val="center"/>
          </w:tcPr>
          <w:p w14:paraId="092240D1">
            <w:pPr>
              <w:spacing w:line="240" w:lineRule="auto"/>
              <w:ind w:firstLine="0" w:firstLineChars="0"/>
              <w:jc w:val="center"/>
              <w:rPr>
                <w:color w:val="auto"/>
                <w:sz w:val="21"/>
                <w:szCs w:val="21"/>
              </w:rPr>
            </w:pPr>
            <w:r>
              <w:rPr>
                <w:color w:val="auto"/>
                <w:sz w:val="21"/>
                <w:szCs w:val="21"/>
              </w:rPr>
              <w:t>净购入热力</w:t>
            </w:r>
          </w:p>
        </w:tc>
        <w:tc>
          <w:tcPr>
            <w:tcW w:w="935" w:type="pct"/>
            <w:vAlign w:val="center"/>
          </w:tcPr>
          <w:p w14:paraId="021D41F5">
            <w:pPr>
              <w:spacing w:line="240" w:lineRule="auto"/>
              <w:ind w:firstLine="0" w:firstLineChars="0"/>
              <w:jc w:val="center"/>
              <w:rPr>
                <w:color w:val="auto"/>
                <w:sz w:val="21"/>
                <w:szCs w:val="21"/>
              </w:rPr>
            </w:pPr>
            <w:r>
              <w:rPr>
                <w:rFonts w:hint="eastAsia"/>
                <w:color w:val="auto"/>
                <w:sz w:val="21"/>
                <w:szCs w:val="21"/>
              </w:rPr>
              <w:t>25120</w:t>
            </w:r>
            <w:r>
              <w:rPr>
                <w:color w:val="auto"/>
                <w:sz w:val="21"/>
                <w:szCs w:val="21"/>
              </w:rPr>
              <w:t>t/a</w:t>
            </w:r>
          </w:p>
        </w:tc>
        <w:tc>
          <w:tcPr>
            <w:tcW w:w="1150" w:type="pct"/>
            <w:vAlign w:val="center"/>
          </w:tcPr>
          <w:p w14:paraId="3778180A">
            <w:pPr>
              <w:spacing w:line="240" w:lineRule="auto"/>
              <w:ind w:firstLine="0" w:firstLineChars="0"/>
              <w:jc w:val="center"/>
              <w:rPr>
                <w:color w:val="auto"/>
                <w:sz w:val="21"/>
                <w:szCs w:val="21"/>
              </w:rPr>
            </w:pPr>
            <w:r>
              <w:rPr>
                <w:color w:val="auto"/>
                <w:sz w:val="21"/>
                <w:szCs w:val="21"/>
              </w:rPr>
              <w:t>0.11 tCO</w:t>
            </w:r>
            <w:r>
              <w:rPr>
                <w:color w:val="auto"/>
                <w:sz w:val="21"/>
                <w:szCs w:val="21"/>
                <w:vertAlign w:val="subscript"/>
              </w:rPr>
              <w:t>2</w:t>
            </w:r>
            <w:r>
              <w:rPr>
                <w:color w:val="auto"/>
                <w:sz w:val="21"/>
                <w:szCs w:val="21"/>
              </w:rPr>
              <w:t>/GJ</w:t>
            </w:r>
          </w:p>
        </w:tc>
        <w:tc>
          <w:tcPr>
            <w:tcW w:w="1277" w:type="pct"/>
            <w:tcBorders>
              <w:top w:val="nil"/>
              <w:left w:val="nil"/>
              <w:bottom w:val="single" w:color="auto" w:sz="8" w:space="0"/>
              <w:right w:val="nil"/>
            </w:tcBorders>
            <w:vAlign w:val="center"/>
          </w:tcPr>
          <w:p w14:paraId="153F0EC8">
            <w:pPr>
              <w:spacing w:line="240" w:lineRule="auto"/>
              <w:ind w:firstLine="0" w:firstLineChars="0"/>
              <w:jc w:val="center"/>
              <w:rPr>
                <w:color w:val="auto"/>
                <w:sz w:val="21"/>
                <w:szCs w:val="21"/>
              </w:rPr>
            </w:pPr>
            <w:r>
              <w:rPr>
                <w:rFonts w:eastAsia="等线"/>
                <w:color w:val="auto"/>
                <w:sz w:val="21"/>
                <w:szCs w:val="21"/>
              </w:rPr>
              <w:t>7634.45</w:t>
            </w:r>
          </w:p>
        </w:tc>
      </w:tr>
      <w:tr w14:paraId="6969B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58E0BF90">
            <w:pPr>
              <w:spacing w:line="240" w:lineRule="auto"/>
              <w:ind w:firstLine="0" w:firstLineChars="0"/>
              <w:jc w:val="center"/>
              <w:rPr>
                <w:color w:val="auto"/>
                <w:sz w:val="21"/>
                <w:szCs w:val="21"/>
              </w:rPr>
            </w:pPr>
            <w:r>
              <w:rPr>
                <w:rFonts w:hint="eastAsia"/>
                <w:color w:val="auto"/>
                <w:sz w:val="21"/>
                <w:szCs w:val="21"/>
              </w:rPr>
              <w:t>4</w:t>
            </w:r>
          </w:p>
        </w:tc>
        <w:tc>
          <w:tcPr>
            <w:tcW w:w="3022" w:type="pct"/>
            <w:gridSpan w:val="3"/>
            <w:vAlign w:val="center"/>
          </w:tcPr>
          <w:p w14:paraId="4121CA7C">
            <w:pPr>
              <w:spacing w:line="240" w:lineRule="auto"/>
              <w:ind w:firstLine="0" w:firstLineChars="0"/>
              <w:jc w:val="center"/>
              <w:rPr>
                <w:color w:val="auto"/>
                <w:sz w:val="21"/>
                <w:szCs w:val="21"/>
              </w:rPr>
            </w:pPr>
            <w:r>
              <w:rPr>
                <w:color w:val="auto"/>
                <w:sz w:val="21"/>
                <w:szCs w:val="21"/>
              </w:rPr>
              <w:t>合计</w:t>
            </w:r>
          </w:p>
        </w:tc>
        <w:tc>
          <w:tcPr>
            <w:tcW w:w="1277" w:type="pct"/>
            <w:vAlign w:val="center"/>
          </w:tcPr>
          <w:p w14:paraId="4861C25A">
            <w:pPr>
              <w:spacing w:line="240" w:lineRule="auto"/>
              <w:ind w:firstLine="0" w:firstLineChars="0"/>
              <w:jc w:val="center"/>
              <w:rPr>
                <w:color w:val="auto"/>
                <w:sz w:val="21"/>
                <w:szCs w:val="21"/>
              </w:rPr>
            </w:pPr>
            <w:r>
              <w:rPr>
                <w:color w:val="auto"/>
                <w:sz w:val="21"/>
                <w:szCs w:val="21"/>
              </w:rPr>
              <w:t>28574.19</w:t>
            </w:r>
          </w:p>
        </w:tc>
      </w:tr>
    </w:tbl>
    <w:p w14:paraId="18D9E752">
      <w:pPr>
        <w:spacing w:line="240" w:lineRule="auto"/>
        <w:ind w:firstLine="0" w:firstLineChars="0"/>
        <w:rPr>
          <w:color w:val="auto"/>
          <w:sz w:val="21"/>
          <w:szCs w:val="21"/>
        </w:rPr>
      </w:pPr>
      <w:r>
        <w:rPr>
          <w:rFonts w:hint="eastAsia"/>
          <w:color w:val="auto"/>
          <w:sz w:val="21"/>
          <w:szCs w:val="21"/>
        </w:rPr>
        <w:t>注：</w:t>
      </w:r>
      <w:r>
        <w:rPr>
          <w:rFonts w:ascii="Cambria Math" w:hAnsi="Cambria Math" w:cs="Cambria Math"/>
          <w:color w:val="auto"/>
          <w:sz w:val="21"/>
          <w:szCs w:val="21"/>
        </w:rPr>
        <w:t>①</w:t>
      </w:r>
      <w:r>
        <w:rPr>
          <w:color w:val="auto"/>
          <w:sz w:val="21"/>
          <w:szCs w:val="21"/>
        </w:rPr>
        <w:t>天然气排放因子：二氧化碳排放因子根据低位发热值、单位热值含碳量和碳氧化率折算，其中天然气低位发热值389.31GJ/万Nm’、单位热值含碳量0.0153C/G]和碳氧化率99%。</w:t>
      </w:r>
      <w:r>
        <w:rPr>
          <w:rFonts w:ascii="Cambria Math" w:hAnsi="Cambria Math" w:cs="Cambria Math"/>
          <w:color w:val="auto"/>
          <w:sz w:val="21"/>
          <w:szCs w:val="21"/>
        </w:rPr>
        <w:t>②</w:t>
      </w:r>
      <w:r>
        <w:rPr>
          <w:color w:val="auto"/>
          <w:sz w:val="21"/>
          <w:szCs w:val="21"/>
        </w:rPr>
        <w:t>0.7MPa下的饱和蒸汽热晗值2762.9kJ/kg。</w:t>
      </w:r>
    </w:p>
    <w:p w14:paraId="7A8BE0B2">
      <w:pPr>
        <w:ind w:firstLine="480"/>
        <w:rPr>
          <w:color w:val="auto"/>
        </w:rPr>
      </w:pPr>
      <w:r>
        <w:rPr>
          <w:rFonts w:hint="eastAsia"/>
          <w:color w:val="auto"/>
        </w:rPr>
        <w:t>2、本项目</w:t>
      </w:r>
    </w:p>
    <w:p w14:paraId="6337F76F">
      <w:pPr>
        <w:ind w:firstLine="480"/>
        <w:rPr>
          <w:bCs/>
          <w:color w:val="auto"/>
        </w:rPr>
      </w:pPr>
      <w:r>
        <w:rPr>
          <w:rFonts w:hint="eastAsia"/>
          <w:bCs/>
          <w:color w:val="auto"/>
        </w:rPr>
        <w:t>本项目涉及</w:t>
      </w:r>
      <w:r>
        <w:rPr>
          <w:bCs/>
          <w:color w:val="auto"/>
        </w:rPr>
        <w:t>净调入电力消耗碳排放量（</w:t>
      </w:r>
      <w:r>
        <w:rPr>
          <w:bCs/>
          <w:i/>
          <w:iCs/>
          <w:color w:val="auto"/>
        </w:rPr>
        <w:t>AE</w:t>
      </w:r>
      <w:r>
        <w:rPr>
          <w:bCs/>
          <w:color w:val="auto"/>
          <w:vertAlign w:val="subscript"/>
        </w:rPr>
        <w:t>净调入电力</w:t>
      </w:r>
      <w:r>
        <w:rPr>
          <w:bCs/>
          <w:color w:val="auto"/>
        </w:rPr>
        <w:t>）</w:t>
      </w:r>
      <w:r>
        <w:rPr>
          <w:rFonts w:hint="eastAsia"/>
          <w:bCs/>
          <w:color w:val="auto"/>
        </w:rPr>
        <w:t>及工业生产过程碳排放量（</w:t>
      </w:r>
      <w:r>
        <w:rPr>
          <w:bCs/>
          <w:i/>
          <w:iCs/>
          <w:color w:val="auto"/>
        </w:rPr>
        <w:t>AE</w:t>
      </w:r>
      <w:r>
        <w:rPr>
          <w:bCs/>
          <w:i/>
          <w:iCs/>
          <w:color w:val="auto"/>
          <w:vertAlign w:val="subscript"/>
        </w:rPr>
        <w:t>工业生产过程</w:t>
      </w:r>
      <w:r>
        <w:rPr>
          <w:rFonts w:hint="eastAsia"/>
          <w:bCs/>
          <w:color w:val="auto"/>
        </w:rPr>
        <w:t>），具体如下。</w:t>
      </w:r>
    </w:p>
    <w:p w14:paraId="751C5761">
      <w:pPr>
        <w:ind w:firstLine="482"/>
        <w:jc w:val="center"/>
        <w:rPr>
          <w:b/>
          <w:bCs/>
          <w:color w:val="auto"/>
        </w:rPr>
      </w:pPr>
      <w:r>
        <w:rPr>
          <w:rFonts w:hint="eastAsia"/>
          <w:b/>
          <w:bCs/>
          <w:color w:val="auto"/>
        </w:rPr>
        <w:t>表6.9.2-2本项目碳排放情况</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912"/>
        <w:gridCol w:w="2089"/>
        <w:gridCol w:w="2387"/>
        <w:gridCol w:w="1868"/>
      </w:tblGrid>
      <w:tr w14:paraId="66134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5B512051">
            <w:pPr>
              <w:spacing w:line="240" w:lineRule="auto"/>
              <w:ind w:firstLine="0" w:firstLineChars="0"/>
              <w:jc w:val="center"/>
              <w:rPr>
                <w:color w:val="auto"/>
                <w:sz w:val="21"/>
                <w:szCs w:val="21"/>
              </w:rPr>
            </w:pPr>
            <w:r>
              <w:rPr>
                <w:color w:val="auto"/>
                <w:sz w:val="21"/>
                <w:szCs w:val="21"/>
              </w:rPr>
              <w:t>序号</w:t>
            </w:r>
          </w:p>
        </w:tc>
        <w:tc>
          <w:tcPr>
            <w:tcW w:w="970" w:type="pct"/>
            <w:vAlign w:val="center"/>
          </w:tcPr>
          <w:p w14:paraId="5251BBD6">
            <w:pPr>
              <w:spacing w:line="240" w:lineRule="auto"/>
              <w:ind w:firstLine="0" w:firstLineChars="0"/>
              <w:jc w:val="center"/>
              <w:rPr>
                <w:color w:val="auto"/>
                <w:sz w:val="21"/>
                <w:szCs w:val="21"/>
              </w:rPr>
            </w:pPr>
            <w:r>
              <w:rPr>
                <w:color w:val="auto"/>
                <w:sz w:val="21"/>
                <w:szCs w:val="21"/>
              </w:rPr>
              <w:t>排放源</w:t>
            </w:r>
          </w:p>
        </w:tc>
        <w:tc>
          <w:tcPr>
            <w:tcW w:w="1060" w:type="pct"/>
            <w:vAlign w:val="center"/>
          </w:tcPr>
          <w:p w14:paraId="249FD69D">
            <w:pPr>
              <w:spacing w:line="240" w:lineRule="auto"/>
              <w:ind w:firstLine="0" w:firstLineChars="0"/>
              <w:jc w:val="center"/>
              <w:rPr>
                <w:color w:val="auto"/>
                <w:sz w:val="21"/>
                <w:szCs w:val="21"/>
              </w:rPr>
            </w:pPr>
            <w:r>
              <w:rPr>
                <w:color w:val="auto"/>
                <w:sz w:val="21"/>
                <w:szCs w:val="21"/>
              </w:rPr>
              <w:t>年使用量</w:t>
            </w:r>
          </w:p>
        </w:tc>
        <w:tc>
          <w:tcPr>
            <w:tcW w:w="1211" w:type="pct"/>
            <w:vAlign w:val="center"/>
          </w:tcPr>
          <w:p w14:paraId="22F8FEA8">
            <w:pPr>
              <w:spacing w:line="240" w:lineRule="auto"/>
              <w:ind w:firstLine="0" w:firstLineChars="0"/>
              <w:jc w:val="center"/>
              <w:rPr>
                <w:color w:val="auto"/>
                <w:sz w:val="21"/>
                <w:szCs w:val="21"/>
              </w:rPr>
            </w:pPr>
            <w:r>
              <w:rPr>
                <w:color w:val="auto"/>
                <w:sz w:val="21"/>
                <w:szCs w:val="21"/>
              </w:rPr>
              <w:t>排放因子</w:t>
            </w:r>
          </w:p>
        </w:tc>
        <w:tc>
          <w:tcPr>
            <w:tcW w:w="948" w:type="pct"/>
            <w:vAlign w:val="center"/>
          </w:tcPr>
          <w:p w14:paraId="454E40A8">
            <w:pPr>
              <w:spacing w:line="240" w:lineRule="auto"/>
              <w:ind w:firstLine="0" w:firstLineChars="0"/>
              <w:jc w:val="center"/>
              <w:rPr>
                <w:color w:val="auto"/>
                <w:sz w:val="21"/>
                <w:szCs w:val="21"/>
              </w:rPr>
            </w:pPr>
            <w:r>
              <w:rPr>
                <w:color w:val="auto"/>
                <w:sz w:val="21"/>
                <w:szCs w:val="21"/>
              </w:rPr>
              <w:t>年排放量tCO</w:t>
            </w:r>
            <w:r>
              <w:rPr>
                <w:color w:val="auto"/>
                <w:sz w:val="21"/>
                <w:szCs w:val="21"/>
                <w:vertAlign w:val="subscript"/>
              </w:rPr>
              <w:t>2</w:t>
            </w:r>
          </w:p>
        </w:tc>
      </w:tr>
      <w:tr w14:paraId="0E9D1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0D9B1ECA">
            <w:pPr>
              <w:spacing w:line="240" w:lineRule="auto"/>
              <w:ind w:firstLine="0" w:firstLineChars="0"/>
              <w:jc w:val="center"/>
              <w:rPr>
                <w:color w:val="auto"/>
                <w:sz w:val="21"/>
                <w:szCs w:val="21"/>
              </w:rPr>
            </w:pPr>
            <w:r>
              <w:rPr>
                <w:rFonts w:hint="eastAsia"/>
                <w:color w:val="auto"/>
                <w:sz w:val="21"/>
                <w:szCs w:val="21"/>
              </w:rPr>
              <w:t>1</w:t>
            </w:r>
          </w:p>
        </w:tc>
        <w:tc>
          <w:tcPr>
            <w:tcW w:w="970" w:type="pct"/>
            <w:vAlign w:val="center"/>
          </w:tcPr>
          <w:p w14:paraId="12F8E2E8">
            <w:pPr>
              <w:spacing w:line="240" w:lineRule="auto"/>
              <w:ind w:firstLine="0" w:firstLineChars="0"/>
              <w:jc w:val="center"/>
              <w:rPr>
                <w:color w:val="auto"/>
                <w:sz w:val="21"/>
                <w:szCs w:val="21"/>
              </w:rPr>
            </w:pPr>
            <w:r>
              <w:rPr>
                <w:color w:val="auto"/>
                <w:sz w:val="21"/>
                <w:szCs w:val="21"/>
              </w:rPr>
              <w:t>净购入电力</w:t>
            </w:r>
          </w:p>
        </w:tc>
        <w:tc>
          <w:tcPr>
            <w:tcW w:w="1060" w:type="pct"/>
            <w:vAlign w:val="center"/>
          </w:tcPr>
          <w:p w14:paraId="7125A89C">
            <w:pPr>
              <w:spacing w:line="240" w:lineRule="auto"/>
              <w:ind w:firstLine="0" w:firstLineChars="0"/>
              <w:jc w:val="center"/>
              <w:rPr>
                <w:color w:val="auto"/>
                <w:sz w:val="21"/>
                <w:szCs w:val="21"/>
              </w:rPr>
            </w:pPr>
            <w:r>
              <w:rPr>
                <w:rFonts w:hint="eastAsia"/>
                <w:color w:val="auto"/>
                <w:sz w:val="21"/>
                <w:szCs w:val="21"/>
              </w:rPr>
              <w:t>150万kwh</w:t>
            </w:r>
          </w:p>
        </w:tc>
        <w:tc>
          <w:tcPr>
            <w:tcW w:w="1211" w:type="pct"/>
            <w:vAlign w:val="center"/>
          </w:tcPr>
          <w:p w14:paraId="4CC249B4">
            <w:pPr>
              <w:spacing w:line="240" w:lineRule="auto"/>
              <w:ind w:firstLine="0" w:firstLineChars="0"/>
              <w:jc w:val="center"/>
              <w:rPr>
                <w:color w:val="auto"/>
                <w:sz w:val="21"/>
                <w:szCs w:val="21"/>
              </w:rPr>
            </w:pPr>
            <w:r>
              <w:rPr>
                <w:color w:val="auto"/>
                <w:sz w:val="21"/>
                <w:szCs w:val="21"/>
              </w:rPr>
              <w:t>0.5827kgCO</w:t>
            </w:r>
            <w:r>
              <w:rPr>
                <w:color w:val="auto"/>
                <w:sz w:val="21"/>
                <w:szCs w:val="21"/>
                <w:vertAlign w:val="subscript"/>
              </w:rPr>
              <w:t>2</w:t>
            </w:r>
            <w:r>
              <w:rPr>
                <w:color w:val="auto"/>
                <w:sz w:val="21"/>
                <w:szCs w:val="21"/>
              </w:rPr>
              <w:t>/kWh</w:t>
            </w:r>
          </w:p>
        </w:tc>
        <w:tc>
          <w:tcPr>
            <w:tcW w:w="948" w:type="pct"/>
            <w:vAlign w:val="center"/>
          </w:tcPr>
          <w:p w14:paraId="549260EC">
            <w:pPr>
              <w:spacing w:line="240" w:lineRule="auto"/>
              <w:ind w:firstLine="0" w:firstLineChars="0"/>
              <w:jc w:val="center"/>
              <w:rPr>
                <w:color w:val="auto"/>
                <w:sz w:val="21"/>
                <w:szCs w:val="21"/>
              </w:rPr>
            </w:pPr>
            <w:r>
              <w:rPr>
                <w:rFonts w:hint="eastAsia"/>
                <w:color w:val="auto"/>
                <w:sz w:val="21"/>
                <w:szCs w:val="21"/>
              </w:rPr>
              <w:t>874.05</w:t>
            </w:r>
          </w:p>
        </w:tc>
      </w:tr>
      <w:tr w14:paraId="5BB8D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0ADE5D6E">
            <w:pPr>
              <w:spacing w:line="240" w:lineRule="auto"/>
              <w:ind w:firstLine="0" w:firstLineChars="0"/>
              <w:jc w:val="center"/>
              <w:rPr>
                <w:color w:val="auto"/>
                <w:sz w:val="21"/>
                <w:szCs w:val="21"/>
              </w:rPr>
            </w:pPr>
            <w:r>
              <w:rPr>
                <w:rFonts w:hint="eastAsia"/>
                <w:color w:val="auto"/>
                <w:sz w:val="21"/>
                <w:szCs w:val="21"/>
              </w:rPr>
              <w:t>2</w:t>
            </w:r>
          </w:p>
        </w:tc>
        <w:tc>
          <w:tcPr>
            <w:tcW w:w="3241" w:type="pct"/>
            <w:gridSpan w:val="3"/>
            <w:vAlign w:val="center"/>
          </w:tcPr>
          <w:p w14:paraId="56928706">
            <w:pPr>
              <w:spacing w:line="240" w:lineRule="auto"/>
              <w:ind w:firstLine="0" w:firstLineChars="0"/>
              <w:jc w:val="center"/>
              <w:rPr>
                <w:color w:val="auto"/>
                <w:sz w:val="21"/>
                <w:szCs w:val="21"/>
              </w:rPr>
            </w:pPr>
            <w:r>
              <w:rPr>
                <w:rFonts w:hint="eastAsia"/>
                <w:color w:val="auto"/>
                <w:sz w:val="21"/>
                <w:szCs w:val="21"/>
              </w:rPr>
              <w:t>工业生产过程排放</w:t>
            </w:r>
          </w:p>
        </w:tc>
        <w:tc>
          <w:tcPr>
            <w:tcW w:w="948" w:type="pct"/>
            <w:vAlign w:val="center"/>
          </w:tcPr>
          <w:p w14:paraId="4E52DB6D">
            <w:pPr>
              <w:spacing w:line="240" w:lineRule="auto"/>
              <w:ind w:firstLine="0" w:firstLineChars="0"/>
              <w:jc w:val="center"/>
              <w:rPr>
                <w:color w:val="auto"/>
                <w:sz w:val="21"/>
                <w:szCs w:val="21"/>
              </w:rPr>
            </w:pPr>
            <w:r>
              <w:rPr>
                <w:rFonts w:hint="eastAsia"/>
                <w:color w:val="auto"/>
                <w:sz w:val="21"/>
                <w:szCs w:val="21"/>
              </w:rPr>
              <w:t>26.397</w:t>
            </w:r>
          </w:p>
        </w:tc>
      </w:tr>
      <w:tr w14:paraId="5F1BD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14:paraId="74212A13">
            <w:pPr>
              <w:spacing w:line="240" w:lineRule="auto"/>
              <w:ind w:firstLine="0" w:firstLineChars="0"/>
              <w:jc w:val="center"/>
              <w:rPr>
                <w:color w:val="auto"/>
                <w:sz w:val="21"/>
                <w:szCs w:val="21"/>
              </w:rPr>
            </w:pPr>
            <w:r>
              <w:rPr>
                <w:rFonts w:hint="eastAsia"/>
                <w:color w:val="auto"/>
                <w:sz w:val="21"/>
                <w:szCs w:val="21"/>
              </w:rPr>
              <w:t>3</w:t>
            </w:r>
          </w:p>
        </w:tc>
        <w:tc>
          <w:tcPr>
            <w:tcW w:w="3241" w:type="pct"/>
            <w:gridSpan w:val="3"/>
            <w:vAlign w:val="center"/>
          </w:tcPr>
          <w:p w14:paraId="375818A2">
            <w:pPr>
              <w:spacing w:line="240" w:lineRule="auto"/>
              <w:ind w:firstLine="0" w:firstLineChars="0"/>
              <w:jc w:val="center"/>
              <w:rPr>
                <w:color w:val="auto"/>
                <w:sz w:val="21"/>
                <w:szCs w:val="21"/>
              </w:rPr>
            </w:pPr>
            <w:r>
              <w:rPr>
                <w:color w:val="auto"/>
                <w:sz w:val="21"/>
                <w:szCs w:val="21"/>
              </w:rPr>
              <w:t>合计</w:t>
            </w:r>
          </w:p>
        </w:tc>
        <w:tc>
          <w:tcPr>
            <w:tcW w:w="948" w:type="pct"/>
            <w:vAlign w:val="center"/>
          </w:tcPr>
          <w:p w14:paraId="49B5D0E6">
            <w:pPr>
              <w:spacing w:line="240" w:lineRule="auto"/>
              <w:ind w:firstLine="0" w:firstLineChars="0"/>
              <w:jc w:val="center"/>
              <w:rPr>
                <w:color w:val="auto"/>
                <w:sz w:val="21"/>
                <w:szCs w:val="21"/>
              </w:rPr>
            </w:pPr>
            <w:r>
              <w:rPr>
                <w:rFonts w:hint="eastAsia"/>
                <w:color w:val="auto"/>
                <w:sz w:val="21"/>
                <w:szCs w:val="21"/>
              </w:rPr>
              <w:t>900.45</w:t>
            </w:r>
          </w:p>
        </w:tc>
      </w:tr>
    </w:tbl>
    <w:p w14:paraId="4B0A5838">
      <w:pPr>
        <w:ind w:firstLine="480"/>
        <w:rPr>
          <w:bCs/>
          <w:color w:val="auto"/>
        </w:rPr>
      </w:pPr>
      <w:r>
        <w:rPr>
          <w:bCs/>
          <w:color w:val="auto"/>
        </w:rPr>
        <w:t>项目建成后全厂碳排放数据汇总见</w:t>
      </w:r>
      <w:r>
        <w:rPr>
          <w:rFonts w:hint="eastAsia"/>
          <w:bCs/>
          <w:color w:val="auto"/>
        </w:rPr>
        <w:t>下表</w:t>
      </w:r>
      <w:r>
        <w:rPr>
          <w:bCs/>
          <w:color w:val="auto"/>
        </w:rPr>
        <w:t>。</w:t>
      </w:r>
    </w:p>
    <w:p w14:paraId="66E729F8">
      <w:pPr>
        <w:ind w:firstLine="482"/>
        <w:jc w:val="center"/>
        <w:rPr>
          <w:b/>
          <w:bCs/>
          <w:color w:val="auto"/>
        </w:rPr>
      </w:pPr>
      <w:r>
        <w:rPr>
          <w:rFonts w:hint="eastAsia"/>
          <w:b/>
          <w:bCs/>
          <w:color w:val="auto"/>
        </w:rPr>
        <w:t>表6.9.2-2本项目建成后全厂碳排放情况</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11"/>
        <w:gridCol w:w="3441"/>
        <w:gridCol w:w="4202"/>
      </w:tblGrid>
      <w:tr w14:paraId="3EE89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2" w:type="pct"/>
            <w:vAlign w:val="center"/>
          </w:tcPr>
          <w:p w14:paraId="4D41EFD3">
            <w:pPr>
              <w:spacing w:line="240" w:lineRule="auto"/>
              <w:ind w:firstLine="0" w:firstLineChars="0"/>
              <w:jc w:val="center"/>
              <w:rPr>
                <w:b/>
                <w:bCs/>
                <w:color w:val="auto"/>
                <w:sz w:val="21"/>
                <w:szCs w:val="21"/>
              </w:rPr>
            </w:pPr>
            <w:r>
              <w:rPr>
                <w:rFonts w:hint="eastAsia"/>
                <w:b/>
                <w:bCs/>
                <w:color w:val="auto"/>
                <w:sz w:val="21"/>
                <w:szCs w:val="21"/>
              </w:rPr>
              <w:t>序号</w:t>
            </w:r>
          </w:p>
        </w:tc>
        <w:tc>
          <w:tcPr>
            <w:tcW w:w="1746" w:type="pct"/>
            <w:vAlign w:val="center"/>
          </w:tcPr>
          <w:p w14:paraId="759A5E98">
            <w:pPr>
              <w:spacing w:line="240" w:lineRule="auto"/>
              <w:ind w:firstLine="0" w:firstLineChars="0"/>
              <w:jc w:val="center"/>
              <w:rPr>
                <w:b/>
                <w:bCs/>
                <w:color w:val="auto"/>
                <w:sz w:val="21"/>
                <w:szCs w:val="21"/>
              </w:rPr>
            </w:pPr>
            <w:r>
              <w:rPr>
                <w:rFonts w:hint="eastAsia"/>
                <w:b/>
                <w:bCs/>
                <w:color w:val="auto"/>
                <w:sz w:val="21"/>
                <w:szCs w:val="21"/>
              </w:rPr>
              <w:t>项目</w:t>
            </w:r>
          </w:p>
        </w:tc>
        <w:tc>
          <w:tcPr>
            <w:tcW w:w="2132" w:type="pct"/>
            <w:vAlign w:val="center"/>
          </w:tcPr>
          <w:p w14:paraId="3E2BF178">
            <w:pPr>
              <w:spacing w:line="240" w:lineRule="auto"/>
              <w:ind w:firstLine="0" w:firstLineChars="0"/>
              <w:jc w:val="center"/>
              <w:rPr>
                <w:b/>
                <w:bCs/>
                <w:color w:val="auto"/>
                <w:sz w:val="21"/>
                <w:szCs w:val="21"/>
              </w:rPr>
            </w:pPr>
            <w:r>
              <w:rPr>
                <w:rFonts w:hint="eastAsia"/>
                <w:b/>
                <w:bCs/>
                <w:color w:val="auto"/>
                <w:sz w:val="21"/>
                <w:szCs w:val="21"/>
              </w:rPr>
              <w:t>排放量（tCO</w:t>
            </w:r>
            <w:r>
              <w:rPr>
                <w:rFonts w:hint="eastAsia"/>
                <w:b/>
                <w:bCs/>
                <w:color w:val="auto"/>
                <w:sz w:val="21"/>
                <w:szCs w:val="21"/>
                <w:vertAlign w:val="subscript"/>
              </w:rPr>
              <w:t>2</w:t>
            </w:r>
            <w:r>
              <w:rPr>
                <w:rFonts w:hint="eastAsia"/>
                <w:b/>
                <w:bCs/>
                <w:color w:val="auto"/>
                <w:sz w:val="21"/>
                <w:szCs w:val="21"/>
              </w:rPr>
              <w:t>）</w:t>
            </w:r>
          </w:p>
        </w:tc>
      </w:tr>
      <w:tr w14:paraId="1B33B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2" w:type="pct"/>
            <w:vAlign w:val="center"/>
          </w:tcPr>
          <w:p w14:paraId="7B7155FF">
            <w:pPr>
              <w:spacing w:line="240" w:lineRule="auto"/>
              <w:ind w:firstLine="0" w:firstLineChars="0"/>
              <w:jc w:val="center"/>
              <w:rPr>
                <w:color w:val="auto"/>
                <w:sz w:val="21"/>
                <w:szCs w:val="21"/>
              </w:rPr>
            </w:pPr>
            <w:r>
              <w:rPr>
                <w:rFonts w:hint="eastAsia"/>
                <w:color w:val="auto"/>
                <w:sz w:val="21"/>
                <w:szCs w:val="21"/>
              </w:rPr>
              <w:t>1</w:t>
            </w:r>
          </w:p>
        </w:tc>
        <w:tc>
          <w:tcPr>
            <w:tcW w:w="1746" w:type="pct"/>
            <w:vAlign w:val="center"/>
          </w:tcPr>
          <w:p w14:paraId="45FD064E">
            <w:pPr>
              <w:spacing w:line="240" w:lineRule="auto"/>
              <w:ind w:firstLine="0" w:firstLineChars="0"/>
              <w:jc w:val="center"/>
              <w:rPr>
                <w:color w:val="auto"/>
                <w:sz w:val="21"/>
                <w:szCs w:val="21"/>
              </w:rPr>
            </w:pPr>
            <w:r>
              <w:rPr>
                <w:rFonts w:hint="eastAsia"/>
                <w:color w:val="auto"/>
                <w:sz w:val="21"/>
                <w:szCs w:val="21"/>
              </w:rPr>
              <w:t>现有项目</w:t>
            </w:r>
          </w:p>
        </w:tc>
        <w:tc>
          <w:tcPr>
            <w:tcW w:w="2132" w:type="pct"/>
            <w:vAlign w:val="center"/>
          </w:tcPr>
          <w:p w14:paraId="16E7C31E">
            <w:pPr>
              <w:spacing w:line="240" w:lineRule="auto"/>
              <w:ind w:firstLine="0" w:firstLineChars="0"/>
              <w:jc w:val="center"/>
              <w:rPr>
                <w:color w:val="auto"/>
                <w:sz w:val="21"/>
                <w:szCs w:val="21"/>
              </w:rPr>
            </w:pPr>
            <w:r>
              <w:rPr>
                <w:color w:val="auto"/>
                <w:sz w:val="21"/>
                <w:szCs w:val="21"/>
              </w:rPr>
              <w:t>28574.19</w:t>
            </w:r>
          </w:p>
        </w:tc>
      </w:tr>
      <w:tr w14:paraId="76AD5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2" w:type="pct"/>
            <w:vAlign w:val="center"/>
          </w:tcPr>
          <w:p w14:paraId="2A769A50">
            <w:pPr>
              <w:spacing w:line="240" w:lineRule="auto"/>
              <w:ind w:firstLine="0" w:firstLineChars="0"/>
              <w:jc w:val="center"/>
              <w:rPr>
                <w:color w:val="auto"/>
                <w:sz w:val="21"/>
                <w:szCs w:val="21"/>
              </w:rPr>
            </w:pPr>
            <w:r>
              <w:rPr>
                <w:rFonts w:hint="eastAsia"/>
                <w:color w:val="auto"/>
                <w:sz w:val="21"/>
                <w:szCs w:val="21"/>
              </w:rPr>
              <w:t>2</w:t>
            </w:r>
          </w:p>
        </w:tc>
        <w:tc>
          <w:tcPr>
            <w:tcW w:w="1746" w:type="pct"/>
            <w:vAlign w:val="center"/>
          </w:tcPr>
          <w:p w14:paraId="230AAB02">
            <w:pPr>
              <w:spacing w:line="240" w:lineRule="auto"/>
              <w:ind w:firstLine="0" w:firstLineChars="0"/>
              <w:jc w:val="center"/>
              <w:rPr>
                <w:color w:val="auto"/>
                <w:sz w:val="21"/>
                <w:szCs w:val="21"/>
              </w:rPr>
            </w:pPr>
            <w:r>
              <w:rPr>
                <w:rFonts w:hint="eastAsia"/>
                <w:color w:val="auto"/>
                <w:sz w:val="21"/>
                <w:szCs w:val="21"/>
              </w:rPr>
              <w:t>本项目</w:t>
            </w:r>
          </w:p>
        </w:tc>
        <w:tc>
          <w:tcPr>
            <w:tcW w:w="2132" w:type="pct"/>
            <w:vAlign w:val="center"/>
          </w:tcPr>
          <w:p w14:paraId="6B4F2B30">
            <w:pPr>
              <w:spacing w:line="240" w:lineRule="auto"/>
              <w:ind w:firstLine="0" w:firstLineChars="0"/>
              <w:jc w:val="center"/>
              <w:rPr>
                <w:color w:val="auto"/>
                <w:sz w:val="21"/>
                <w:szCs w:val="21"/>
              </w:rPr>
            </w:pPr>
            <w:r>
              <w:rPr>
                <w:rFonts w:hint="eastAsia"/>
                <w:color w:val="auto"/>
                <w:sz w:val="21"/>
                <w:szCs w:val="21"/>
              </w:rPr>
              <w:t>900.45</w:t>
            </w:r>
          </w:p>
        </w:tc>
      </w:tr>
      <w:tr w14:paraId="6C16E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2" w:type="pct"/>
            <w:vAlign w:val="center"/>
          </w:tcPr>
          <w:p w14:paraId="730E22F8">
            <w:pPr>
              <w:spacing w:line="240" w:lineRule="auto"/>
              <w:ind w:firstLine="0" w:firstLineChars="0"/>
              <w:jc w:val="center"/>
              <w:rPr>
                <w:color w:val="auto"/>
                <w:sz w:val="21"/>
                <w:szCs w:val="21"/>
              </w:rPr>
            </w:pPr>
            <w:r>
              <w:rPr>
                <w:rFonts w:hint="eastAsia"/>
                <w:color w:val="auto"/>
                <w:sz w:val="21"/>
                <w:szCs w:val="21"/>
              </w:rPr>
              <w:t>3</w:t>
            </w:r>
          </w:p>
        </w:tc>
        <w:tc>
          <w:tcPr>
            <w:tcW w:w="1746" w:type="pct"/>
            <w:vAlign w:val="center"/>
          </w:tcPr>
          <w:p w14:paraId="006079A9">
            <w:pPr>
              <w:spacing w:line="240" w:lineRule="auto"/>
              <w:ind w:firstLine="0" w:firstLineChars="0"/>
              <w:jc w:val="center"/>
              <w:rPr>
                <w:color w:val="auto"/>
                <w:sz w:val="21"/>
                <w:szCs w:val="21"/>
              </w:rPr>
            </w:pPr>
            <w:r>
              <w:rPr>
                <w:rFonts w:hint="eastAsia"/>
                <w:color w:val="auto"/>
                <w:sz w:val="21"/>
                <w:szCs w:val="21"/>
              </w:rPr>
              <w:t>全厂</w:t>
            </w:r>
          </w:p>
        </w:tc>
        <w:tc>
          <w:tcPr>
            <w:tcW w:w="2132" w:type="pct"/>
            <w:vAlign w:val="center"/>
          </w:tcPr>
          <w:p w14:paraId="1027FBB9">
            <w:pPr>
              <w:spacing w:line="240" w:lineRule="auto"/>
              <w:ind w:firstLine="0" w:firstLineChars="0"/>
              <w:jc w:val="center"/>
              <w:rPr>
                <w:color w:val="auto"/>
                <w:sz w:val="21"/>
                <w:szCs w:val="21"/>
              </w:rPr>
            </w:pPr>
            <w:r>
              <w:rPr>
                <w:rFonts w:hint="eastAsia"/>
                <w:color w:val="auto"/>
                <w:sz w:val="21"/>
                <w:szCs w:val="21"/>
              </w:rPr>
              <w:t>29474.64</w:t>
            </w:r>
          </w:p>
        </w:tc>
      </w:tr>
    </w:tbl>
    <w:p w14:paraId="46AC8298">
      <w:pPr>
        <w:pStyle w:val="5"/>
        <w:spacing w:before="156"/>
        <w:rPr>
          <w:color w:val="auto"/>
        </w:rPr>
      </w:pPr>
      <w:r>
        <w:rPr>
          <w:rFonts w:hint="eastAsia"/>
          <w:color w:val="auto"/>
        </w:rPr>
        <w:t>6.9.2.4碳排放水平评价</w:t>
      </w:r>
    </w:p>
    <w:p w14:paraId="631AEDF0">
      <w:pPr>
        <w:ind w:firstLine="480"/>
        <w:rPr>
          <w:bCs/>
          <w:color w:val="auto"/>
        </w:rPr>
      </w:pPr>
      <w:r>
        <w:rPr>
          <w:rFonts w:hint="eastAsia"/>
          <w:bCs/>
          <w:color w:val="auto"/>
        </w:rPr>
        <w:t>本项目</w:t>
      </w:r>
      <w:r>
        <w:rPr>
          <w:bCs/>
          <w:color w:val="auto"/>
        </w:rPr>
        <w:t>年工业增加值为</w:t>
      </w:r>
      <w:r>
        <w:rPr>
          <w:rFonts w:hint="eastAsia"/>
          <w:bCs/>
          <w:color w:val="auto"/>
        </w:rPr>
        <w:t>1418.32</w:t>
      </w:r>
      <w:r>
        <w:rPr>
          <w:bCs/>
          <w:color w:val="auto"/>
        </w:rPr>
        <w:t>万元，年碳排放总量</w:t>
      </w:r>
      <w:r>
        <w:rPr>
          <w:rFonts w:hint="eastAsia"/>
          <w:bCs/>
          <w:color w:val="auto"/>
        </w:rPr>
        <w:t>900.45</w:t>
      </w:r>
      <w:r>
        <w:rPr>
          <w:bCs/>
          <w:color w:val="auto"/>
        </w:rPr>
        <w:t>tCO</w:t>
      </w:r>
      <w:r>
        <w:rPr>
          <w:bCs/>
          <w:color w:val="auto"/>
          <w:vertAlign w:val="subscript"/>
        </w:rPr>
        <w:t>2</w:t>
      </w:r>
      <w:r>
        <w:rPr>
          <w:bCs/>
          <w:color w:val="auto"/>
        </w:rPr>
        <w:t>，则单位工业增加值碳排放量为0.</w:t>
      </w:r>
      <w:r>
        <w:rPr>
          <w:rFonts w:hint="eastAsia"/>
          <w:bCs/>
          <w:color w:val="auto"/>
        </w:rPr>
        <w:t>63</w:t>
      </w:r>
      <w:r>
        <w:rPr>
          <w:bCs/>
          <w:color w:val="auto"/>
        </w:rPr>
        <w:t>（tCO</w:t>
      </w:r>
      <w:r>
        <w:rPr>
          <w:bCs/>
          <w:color w:val="auto"/>
          <w:vertAlign w:val="subscript"/>
        </w:rPr>
        <w:t>2</w:t>
      </w:r>
      <w:r>
        <w:rPr>
          <w:bCs/>
          <w:color w:val="auto"/>
        </w:rPr>
        <w:t>/万元），根据评价标准可知，以上数值小于标准值（3.44 tCO</w:t>
      </w:r>
      <w:r>
        <w:rPr>
          <w:bCs/>
          <w:color w:val="auto"/>
          <w:vertAlign w:val="subscript"/>
        </w:rPr>
        <w:t>2</w:t>
      </w:r>
      <w:r>
        <w:rPr>
          <w:bCs/>
          <w:color w:val="auto"/>
        </w:rPr>
        <w:t>/万元），企业碳排放符合相关标准和要求。</w:t>
      </w:r>
    </w:p>
    <w:p w14:paraId="1B26FF89">
      <w:pPr>
        <w:pStyle w:val="4"/>
        <w:rPr>
          <w:color w:val="auto"/>
        </w:rPr>
      </w:pPr>
      <w:bookmarkStart w:id="248" w:name="_Toc25496"/>
      <w:r>
        <w:rPr>
          <w:rFonts w:hint="eastAsia"/>
          <w:color w:val="auto"/>
        </w:rPr>
        <w:t>6.9.3碳减排措施及其可行性论证</w:t>
      </w:r>
      <w:bookmarkEnd w:id="248"/>
    </w:p>
    <w:p w14:paraId="4225DB19">
      <w:pPr>
        <w:ind w:firstLine="480"/>
        <w:rPr>
          <w:color w:val="auto"/>
        </w:rPr>
      </w:pPr>
      <w:r>
        <w:rPr>
          <w:color w:val="auto"/>
        </w:rPr>
        <w:t>项目针对重点耗能工艺、重点耗能设备，拟采取有效节能措施；优先选用高效节能设备、节能灯具等节能新产品。所采用的节能新技术、新工艺、新产品符合国家、行业及地方明文规定的要求，节能效益显著。电器采购方面，拟均采购节能高效电器（包括灯具、空调、水泵、风机、电机等），同时规范使用，无需使用时必须及时断电。</w:t>
      </w:r>
    </w:p>
    <w:p w14:paraId="41532DFE">
      <w:pPr>
        <w:pStyle w:val="4"/>
        <w:rPr>
          <w:color w:val="auto"/>
        </w:rPr>
      </w:pPr>
      <w:bookmarkStart w:id="249" w:name="_Toc20111"/>
      <w:r>
        <w:rPr>
          <w:rFonts w:hint="eastAsia"/>
          <w:color w:val="auto"/>
        </w:rPr>
        <w:t>6.9.4碳排放管理与监测计划</w:t>
      </w:r>
      <w:bookmarkEnd w:id="249"/>
    </w:p>
    <w:p w14:paraId="2F182FEF">
      <w:pPr>
        <w:pStyle w:val="5"/>
        <w:spacing w:before="156"/>
        <w:rPr>
          <w:color w:val="auto"/>
        </w:rPr>
      </w:pPr>
      <w:r>
        <w:rPr>
          <w:rFonts w:hint="eastAsia"/>
          <w:color w:val="auto"/>
        </w:rPr>
        <w:t>6.9.4.1排放清单及管理要求</w:t>
      </w:r>
    </w:p>
    <w:p w14:paraId="4DF3A250">
      <w:pPr>
        <w:ind w:firstLine="480"/>
        <w:rPr>
          <w:bCs/>
          <w:color w:val="auto"/>
        </w:rPr>
      </w:pPr>
      <w:r>
        <w:rPr>
          <w:bCs/>
          <w:color w:val="auto"/>
        </w:rPr>
        <w:t>本项目二氧化碳排放清单详见</w:t>
      </w:r>
      <w:r>
        <w:rPr>
          <w:rFonts w:hint="eastAsia"/>
          <w:bCs/>
          <w:color w:val="auto"/>
        </w:rPr>
        <w:t>下表</w:t>
      </w:r>
      <w:r>
        <w:rPr>
          <w:bCs/>
          <w:color w:val="auto"/>
        </w:rPr>
        <w:t>。</w:t>
      </w:r>
    </w:p>
    <w:p w14:paraId="16A6C3A3">
      <w:pPr>
        <w:ind w:firstLine="482"/>
        <w:jc w:val="center"/>
        <w:rPr>
          <w:b/>
          <w:color w:val="auto"/>
        </w:rPr>
      </w:pPr>
      <w:r>
        <w:rPr>
          <w:rFonts w:hint="eastAsia"/>
          <w:b/>
          <w:color w:val="auto"/>
        </w:rPr>
        <w:t>表6.9.4-1 本项目二氧化碳排放清单</w:t>
      </w:r>
    </w:p>
    <w:tbl>
      <w:tblPr>
        <w:tblStyle w:val="24"/>
        <w:tblW w:w="4882"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992"/>
        <w:gridCol w:w="2515"/>
        <w:gridCol w:w="1799"/>
        <w:gridCol w:w="2237"/>
        <w:gridCol w:w="2078"/>
      </w:tblGrid>
      <w:tr w14:paraId="001CA56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2" w:hRule="atLeast"/>
          <w:jc w:val="center"/>
        </w:trPr>
        <w:tc>
          <w:tcPr>
            <w:tcW w:w="859" w:type="dxa"/>
            <w:vAlign w:val="center"/>
          </w:tcPr>
          <w:p w14:paraId="16ABFF43">
            <w:pPr>
              <w:spacing w:line="240" w:lineRule="auto"/>
              <w:ind w:firstLine="0" w:firstLineChars="0"/>
              <w:jc w:val="center"/>
              <w:rPr>
                <w:b/>
                <w:bCs/>
                <w:color w:val="auto"/>
                <w:sz w:val="21"/>
                <w:szCs w:val="21"/>
              </w:rPr>
            </w:pPr>
            <w:r>
              <w:rPr>
                <w:b/>
                <w:bCs/>
                <w:color w:val="auto"/>
                <w:sz w:val="21"/>
                <w:szCs w:val="21"/>
              </w:rPr>
              <w:t>序号</w:t>
            </w:r>
          </w:p>
        </w:tc>
        <w:tc>
          <w:tcPr>
            <w:tcW w:w="2177" w:type="dxa"/>
            <w:vAlign w:val="center"/>
          </w:tcPr>
          <w:p w14:paraId="5F6C65E9">
            <w:pPr>
              <w:spacing w:line="240" w:lineRule="auto"/>
              <w:ind w:firstLine="0" w:firstLineChars="0"/>
              <w:jc w:val="center"/>
              <w:rPr>
                <w:b/>
                <w:bCs/>
                <w:color w:val="auto"/>
                <w:sz w:val="21"/>
                <w:szCs w:val="21"/>
              </w:rPr>
            </w:pPr>
            <w:r>
              <w:rPr>
                <w:b/>
                <w:bCs/>
                <w:color w:val="auto"/>
                <w:sz w:val="21"/>
                <w:szCs w:val="21"/>
              </w:rPr>
              <w:t>排放源</w:t>
            </w:r>
          </w:p>
        </w:tc>
        <w:tc>
          <w:tcPr>
            <w:tcW w:w="1557" w:type="dxa"/>
            <w:vAlign w:val="center"/>
          </w:tcPr>
          <w:p w14:paraId="5C8E7ACD">
            <w:pPr>
              <w:spacing w:line="240" w:lineRule="auto"/>
              <w:ind w:firstLine="0" w:firstLineChars="0"/>
              <w:jc w:val="center"/>
              <w:rPr>
                <w:b/>
                <w:bCs/>
                <w:color w:val="auto"/>
                <w:sz w:val="21"/>
                <w:szCs w:val="21"/>
              </w:rPr>
            </w:pPr>
            <w:r>
              <w:rPr>
                <w:b/>
                <w:bCs/>
                <w:color w:val="auto"/>
                <w:sz w:val="21"/>
                <w:szCs w:val="21"/>
              </w:rPr>
              <w:t>年使用量</w:t>
            </w:r>
          </w:p>
        </w:tc>
        <w:tc>
          <w:tcPr>
            <w:tcW w:w="1936" w:type="dxa"/>
            <w:vAlign w:val="center"/>
          </w:tcPr>
          <w:p w14:paraId="6109FE89">
            <w:pPr>
              <w:spacing w:line="240" w:lineRule="auto"/>
              <w:ind w:firstLine="0" w:firstLineChars="0"/>
              <w:jc w:val="center"/>
              <w:rPr>
                <w:b/>
                <w:bCs/>
                <w:color w:val="auto"/>
                <w:sz w:val="21"/>
                <w:szCs w:val="21"/>
              </w:rPr>
            </w:pPr>
            <w:r>
              <w:rPr>
                <w:b/>
                <w:bCs/>
                <w:color w:val="auto"/>
                <w:sz w:val="21"/>
                <w:szCs w:val="21"/>
              </w:rPr>
              <w:t>年排放量（tCO</w:t>
            </w:r>
            <w:r>
              <w:rPr>
                <w:b/>
                <w:bCs/>
                <w:color w:val="auto"/>
                <w:sz w:val="21"/>
                <w:szCs w:val="21"/>
                <w:vertAlign w:val="subscript"/>
              </w:rPr>
              <w:t>2</w:t>
            </w:r>
            <w:r>
              <w:rPr>
                <w:b/>
                <w:bCs/>
                <w:color w:val="auto"/>
                <w:sz w:val="21"/>
                <w:szCs w:val="21"/>
              </w:rPr>
              <w:t>）</w:t>
            </w:r>
          </w:p>
        </w:tc>
        <w:tc>
          <w:tcPr>
            <w:tcW w:w="1798" w:type="dxa"/>
            <w:vAlign w:val="center"/>
          </w:tcPr>
          <w:p w14:paraId="5776B578">
            <w:pPr>
              <w:spacing w:line="240" w:lineRule="auto"/>
              <w:ind w:firstLine="0" w:firstLineChars="0"/>
              <w:jc w:val="center"/>
              <w:rPr>
                <w:b/>
                <w:bCs/>
                <w:color w:val="auto"/>
                <w:sz w:val="21"/>
                <w:szCs w:val="21"/>
              </w:rPr>
            </w:pPr>
            <w:r>
              <w:rPr>
                <w:b/>
                <w:bCs/>
                <w:color w:val="auto"/>
                <w:sz w:val="21"/>
                <w:szCs w:val="21"/>
              </w:rPr>
              <w:t>年排放总量（tCO</w:t>
            </w:r>
            <w:r>
              <w:rPr>
                <w:b/>
                <w:bCs/>
                <w:color w:val="auto"/>
                <w:sz w:val="21"/>
                <w:szCs w:val="21"/>
                <w:vertAlign w:val="subscript"/>
              </w:rPr>
              <w:t>2</w:t>
            </w:r>
            <w:r>
              <w:rPr>
                <w:b/>
                <w:bCs/>
                <w:color w:val="auto"/>
                <w:sz w:val="21"/>
                <w:szCs w:val="21"/>
              </w:rPr>
              <w:t>）</w:t>
            </w:r>
          </w:p>
        </w:tc>
      </w:tr>
      <w:tr w14:paraId="25F80EC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3" w:hRule="atLeast"/>
          <w:jc w:val="center"/>
        </w:trPr>
        <w:tc>
          <w:tcPr>
            <w:tcW w:w="859" w:type="dxa"/>
            <w:vAlign w:val="center"/>
          </w:tcPr>
          <w:p w14:paraId="6602D821">
            <w:pPr>
              <w:spacing w:line="240" w:lineRule="auto"/>
              <w:ind w:firstLine="0" w:firstLineChars="0"/>
              <w:jc w:val="center"/>
              <w:rPr>
                <w:bCs/>
                <w:color w:val="auto"/>
                <w:sz w:val="21"/>
                <w:szCs w:val="21"/>
              </w:rPr>
            </w:pPr>
            <w:r>
              <w:rPr>
                <w:bCs/>
                <w:color w:val="auto"/>
                <w:sz w:val="21"/>
                <w:szCs w:val="21"/>
              </w:rPr>
              <w:t>1</w:t>
            </w:r>
          </w:p>
        </w:tc>
        <w:tc>
          <w:tcPr>
            <w:tcW w:w="2177" w:type="dxa"/>
            <w:vAlign w:val="center"/>
          </w:tcPr>
          <w:p w14:paraId="162A572A">
            <w:pPr>
              <w:spacing w:line="240" w:lineRule="auto"/>
              <w:ind w:firstLine="0" w:firstLineChars="0"/>
              <w:jc w:val="center"/>
              <w:rPr>
                <w:bCs/>
                <w:color w:val="auto"/>
                <w:sz w:val="21"/>
                <w:szCs w:val="21"/>
              </w:rPr>
            </w:pPr>
            <w:r>
              <w:rPr>
                <w:bCs/>
                <w:color w:val="auto"/>
                <w:sz w:val="21"/>
                <w:szCs w:val="21"/>
              </w:rPr>
              <w:t>燃料燃烧排放</w:t>
            </w:r>
          </w:p>
        </w:tc>
        <w:tc>
          <w:tcPr>
            <w:tcW w:w="1557" w:type="dxa"/>
            <w:vAlign w:val="center"/>
          </w:tcPr>
          <w:p w14:paraId="715E9AB4">
            <w:pPr>
              <w:spacing w:line="240" w:lineRule="auto"/>
              <w:ind w:firstLine="0" w:firstLineChars="0"/>
              <w:jc w:val="center"/>
              <w:rPr>
                <w:bCs/>
                <w:color w:val="auto"/>
                <w:sz w:val="21"/>
                <w:szCs w:val="21"/>
              </w:rPr>
            </w:pPr>
            <w:r>
              <w:rPr>
                <w:bCs/>
                <w:color w:val="auto"/>
                <w:sz w:val="21"/>
                <w:szCs w:val="21"/>
              </w:rPr>
              <w:t>658.05万m</w:t>
            </w:r>
            <w:r>
              <w:rPr>
                <w:bCs/>
                <w:color w:val="auto"/>
                <w:sz w:val="21"/>
                <w:szCs w:val="21"/>
                <w:vertAlign w:val="superscript"/>
              </w:rPr>
              <w:t>3</w:t>
            </w:r>
            <w:r>
              <w:rPr>
                <w:bCs/>
                <w:color w:val="auto"/>
                <w:sz w:val="21"/>
                <w:szCs w:val="21"/>
              </w:rPr>
              <w:t>/a</w:t>
            </w:r>
          </w:p>
        </w:tc>
        <w:tc>
          <w:tcPr>
            <w:tcW w:w="1936" w:type="dxa"/>
            <w:vAlign w:val="center"/>
          </w:tcPr>
          <w:p w14:paraId="5561F149">
            <w:pPr>
              <w:spacing w:line="240" w:lineRule="auto"/>
              <w:ind w:firstLine="0" w:firstLineChars="0"/>
              <w:jc w:val="center"/>
              <w:rPr>
                <w:bCs/>
                <w:color w:val="auto"/>
                <w:sz w:val="21"/>
                <w:szCs w:val="21"/>
              </w:rPr>
            </w:pPr>
            <w:r>
              <w:rPr>
                <w:bCs/>
                <w:color w:val="auto"/>
                <w:sz w:val="21"/>
                <w:szCs w:val="21"/>
              </w:rPr>
              <w:t>14227.04</w:t>
            </w:r>
          </w:p>
        </w:tc>
        <w:tc>
          <w:tcPr>
            <w:tcW w:w="1798" w:type="dxa"/>
            <w:vMerge w:val="restart"/>
            <w:vAlign w:val="center"/>
          </w:tcPr>
          <w:p w14:paraId="29726E23">
            <w:pPr>
              <w:spacing w:line="240" w:lineRule="auto"/>
              <w:ind w:firstLine="0" w:firstLineChars="0"/>
              <w:jc w:val="center"/>
              <w:rPr>
                <w:bCs/>
                <w:color w:val="auto"/>
                <w:sz w:val="21"/>
                <w:szCs w:val="21"/>
              </w:rPr>
            </w:pPr>
            <w:r>
              <w:rPr>
                <w:rFonts w:hint="eastAsia"/>
                <w:color w:val="auto"/>
                <w:sz w:val="21"/>
                <w:szCs w:val="21"/>
              </w:rPr>
              <w:t>29474.64</w:t>
            </w:r>
          </w:p>
        </w:tc>
      </w:tr>
      <w:tr w14:paraId="15E4149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3" w:hRule="atLeast"/>
          <w:jc w:val="center"/>
        </w:trPr>
        <w:tc>
          <w:tcPr>
            <w:tcW w:w="859" w:type="dxa"/>
            <w:vAlign w:val="center"/>
          </w:tcPr>
          <w:p w14:paraId="385BCEDF">
            <w:pPr>
              <w:spacing w:line="240" w:lineRule="auto"/>
              <w:ind w:firstLine="0" w:firstLineChars="0"/>
              <w:jc w:val="center"/>
              <w:rPr>
                <w:bCs/>
                <w:color w:val="auto"/>
                <w:sz w:val="21"/>
                <w:szCs w:val="21"/>
              </w:rPr>
            </w:pPr>
            <w:r>
              <w:rPr>
                <w:bCs/>
                <w:color w:val="auto"/>
                <w:sz w:val="21"/>
                <w:szCs w:val="21"/>
              </w:rPr>
              <w:t>2</w:t>
            </w:r>
          </w:p>
        </w:tc>
        <w:tc>
          <w:tcPr>
            <w:tcW w:w="2177" w:type="dxa"/>
            <w:vAlign w:val="center"/>
          </w:tcPr>
          <w:p w14:paraId="351C0E0A">
            <w:pPr>
              <w:spacing w:line="240" w:lineRule="auto"/>
              <w:ind w:firstLine="0" w:firstLineChars="0"/>
              <w:jc w:val="center"/>
              <w:rPr>
                <w:bCs/>
                <w:color w:val="auto"/>
                <w:sz w:val="21"/>
                <w:szCs w:val="21"/>
              </w:rPr>
            </w:pPr>
            <w:r>
              <w:rPr>
                <w:bCs/>
                <w:color w:val="auto"/>
                <w:sz w:val="21"/>
                <w:szCs w:val="21"/>
              </w:rPr>
              <w:t>工业生产过程排放</w:t>
            </w:r>
          </w:p>
        </w:tc>
        <w:tc>
          <w:tcPr>
            <w:tcW w:w="1557" w:type="dxa"/>
            <w:vAlign w:val="center"/>
          </w:tcPr>
          <w:p w14:paraId="105364FC">
            <w:pPr>
              <w:spacing w:line="240" w:lineRule="auto"/>
              <w:ind w:firstLine="0" w:firstLineChars="0"/>
              <w:jc w:val="center"/>
              <w:rPr>
                <w:bCs/>
                <w:color w:val="auto"/>
                <w:sz w:val="21"/>
                <w:szCs w:val="21"/>
              </w:rPr>
            </w:pPr>
            <w:r>
              <w:rPr>
                <w:rFonts w:hint="eastAsia"/>
                <w:bCs/>
                <w:color w:val="auto"/>
                <w:sz w:val="21"/>
                <w:szCs w:val="21"/>
              </w:rPr>
              <w:t>/</w:t>
            </w:r>
          </w:p>
        </w:tc>
        <w:tc>
          <w:tcPr>
            <w:tcW w:w="1936" w:type="dxa"/>
            <w:vAlign w:val="center"/>
          </w:tcPr>
          <w:p w14:paraId="6A55D8BB">
            <w:pPr>
              <w:spacing w:line="240" w:lineRule="auto"/>
              <w:ind w:firstLine="0" w:firstLineChars="0"/>
              <w:jc w:val="center"/>
              <w:rPr>
                <w:bCs/>
                <w:color w:val="auto"/>
                <w:sz w:val="21"/>
                <w:szCs w:val="21"/>
              </w:rPr>
            </w:pPr>
            <w:r>
              <w:rPr>
                <w:rFonts w:hint="eastAsia"/>
                <w:color w:val="auto"/>
                <w:sz w:val="21"/>
                <w:szCs w:val="21"/>
              </w:rPr>
              <w:t>26.397</w:t>
            </w:r>
          </w:p>
        </w:tc>
        <w:tc>
          <w:tcPr>
            <w:tcW w:w="1798" w:type="dxa"/>
            <w:vMerge w:val="continue"/>
            <w:vAlign w:val="center"/>
          </w:tcPr>
          <w:p w14:paraId="7A687F2F">
            <w:pPr>
              <w:spacing w:line="240" w:lineRule="auto"/>
              <w:ind w:firstLine="0" w:firstLineChars="0"/>
              <w:jc w:val="center"/>
              <w:rPr>
                <w:bCs/>
                <w:color w:val="auto"/>
                <w:sz w:val="21"/>
                <w:szCs w:val="21"/>
              </w:rPr>
            </w:pPr>
          </w:p>
        </w:tc>
      </w:tr>
      <w:tr w14:paraId="6ACAC83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3" w:hRule="atLeast"/>
          <w:jc w:val="center"/>
        </w:trPr>
        <w:tc>
          <w:tcPr>
            <w:tcW w:w="859" w:type="dxa"/>
            <w:vAlign w:val="center"/>
          </w:tcPr>
          <w:p w14:paraId="69F637D2">
            <w:pPr>
              <w:spacing w:line="240" w:lineRule="auto"/>
              <w:ind w:firstLine="0" w:firstLineChars="0"/>
              <w:jc w:val="center"/>
              <w:rPr>
                <w:bCs/>
                <w:color w:val="auto"/>
                <w:sz w:val="21"/>
                <w:szCs w:val="21"/>
              </w:rPr>
            </w:pPr>
            <w:r>
              <w:rPr>
                <w:bCs/>
                <w:color w:val="auto"/>
                <w:sz w:val="21"/>
                <w:szCs w:val="21"/>
              </w:rPr>
              <w:t>3</w:t>
            </w:r>
          </w:p>
        </w:tc>
        <w:tc>
          <w:tcPr>
            <w:tcW w:w="2177" w:type="dxa"/>
            <w:vAlign w:val="center"/>
          </w:tcPr>
          <w:p w14:paraId="25C86D20">
            <w:pPr>
              <w:spacing w:line="240" w:lineRule="auto"/>
              <w:ind w:firstLine="0" w:firstLineChars="0"/>
              <w:jc w:val="center"/>
              <w:rPr>
                <w:bCs/>
                <w:color w:val="auto"/>
                <w:sz w:val="21"/>
                <w:szCs w:val="21"/>
              </w:rPr>
            </w:pPr>
            <w:r>
              <w:rPr>
                <w:bCs/>
                <w:color w:val="auto"/>
                <w:sz w:val="21"/>
                <w:szCs w:val="21"/>
              </w:rPr>
              <w:t>净调入电力消耗量</w:t>
            </w:r>
          </w:p>
        </w:tc>
        <w:tc>
          <w:tcPr>
            <w:tcW w:w="1557" w:type="dxa"/>
            <w:vAlign w:val="center"/>
          </w:tcPr>
          <w:p w14:paraId="150F2571">
            <w:pPr>
              <w:spacing w:line="240" w:lineRule="auto"/>
              <w:ind w:firstLine="0" w:firstLineChars="0"/>
              <w:jc w:val="center"/>
              <w:rPr>
                <w:bCs/>
                <w:color w:val="auto"/>
                <w:sz w:val="21"/>
                <w:szCs w:val="21"/>
              </w:rPr>
            </w:pPr>
            <w:r>
              <w:rPr>
                <w:rFonts w:hint="eastAsia"/>
                <w:color w:val="auto"/>
                <w:sz w:val="21"/>
                <w:szCs w:val="21"/>
              </w:rPr>
              <w:t>1302万kwh</w:t>
            </w:r>
          </w:p>
        </w:tc>
        <w:tc>
          <w:tcPr>
            <w:tcW w:w="1936" w:type="dxa"/>
            <w:vAlign w:val="center"/>
          </w:tcPr>
          <w:p w14:paraId="011C181A">
            <w:pPr>
              <w:spacing w:line="240" w:lineRule="auto"/>
              <w:ind w:firstLine="0" w:firstLineChars="0"/>
              <w:jc w:val="center"/>
              <w:rPr>
                <w:bCs/>
                <w:color w:val="auto"/>
                <w:sz w:val="21"/>
                <w:szCs w:val="21"/>
              </w:rPr>
            </w:pPr>
            <w:r>
              <w:rPr>
                <w:rFonts w:hint="eastAsia"/>
                <w:bCs/>
                <w:color w:val="auto"/>
                <w:sz w:val="21"/>
                <w:szCs w:val="21"/>
              </w:rPr>
              <w:t>7586.754</w:t>
            </w:r>
          </w:p>
        </w:tc>
        <w:tc>
          <w:tcPr>
            <w:tcW w:w="1798" w:type="dxa"/>
            <w:vMerge w:val="continue"/>
            <w:vAlign w:val="center"/>
          </w:tcPr>
          <w:p w14:paraId="2DD54BD4">
            <w:pPr>
              <w:spacing w:line="240" w:lineRule="auto"/>
              <w:ind w:firstLine="0" w:firstLineChars="0"/>
              <w:jc w:val="center"/>
              <w:rPr>
                <w:bCs/>
                <w:color w:val="auto"/>
                <w:sz w:val="21"/>
                <w:szCs w:val="21"/>
              </w:rPr>
            </w:pPr>
          </w:p>
        </w:tc>
      </w:tr>
      <w:tr w14:paraId="1D96607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3" w:hRule="atLeast"/>
          <w:jc w:val="center"/>
        </w:trPr>
        <w:tc>
          <w:tcPr>
            <w:tcW w:w="859" w:type="dxa"/>
            <w:vAlign w:val="center"/>
          </w:tcPr>
          <w:p w14:paraId="006F3D1C">
            <w:pPr>
              <w:spacing w:line="240" w:lineRule="auto"/>
              <w:ind w:firstLine="0" w:firstLineChars="0"/>
              <w:jc w:val="center"/>
              <w:rPr>
                <w:bCs/>
                <w:color w:val="auto"/>
                <w:sz w:val="21"/>
                <w:szCs w:val="21"/>
              </w:rPr>
            </w:pPr>
            <w:r>
              <w:rPr>
                <w:bCs/>
                <w:color w:val="auto"/>
                <w:sz w:val="21"/>
                <w:szCs w:val="21"/>
              </w:rPr>
              <w:t>4</w:t>
            </w:r>
          </w:p>
        </w:tc>
        <w:tc>
          <w:tcPr>
            <w:tcW w:w="2177" w:type="dxa"/>
            <w:vAlign w:val="center"/>
          </w:tcPr>
          <w:p w14:paraId="46881EAF">
            <w:pPr>
              <w:spacing w:line="240" w:lineRule="auto"/>
              <w:ind w:firstLine="0" w:firstLineChars="0"/>
              <w:jc w:val="center"/>
              <w:rPr>
                <w:bCs/>
                <w:color w:val="auto"/>
                <w:sz w:val="21"/>
                <w:szCs w:val="21"/>
              </w:rPr>
            </w:pPr>
            <w:r>
              <w:rPr>
                <w:bCs/>
                <w:color w:val="auto"/>
                <w:sz w:val="21"/>
                <w:szCs w:val="21"/>
              </w:rPr>
              <w:t>净调入热力消耗量</w:t>
            </w:r>
          </w:p>
        </w:tc>
        <w:tc>
          <w:tcPr>
            <w:tcW w:w="1557" w:type="dxa"/>
            <w:vAlign w:val="center"/>
          </w:tcPr>
          <w:p w14:paraId="6F0DEC4D">
            <w:pPr>
              <w:spacing w:line="240" w:lineRule="auto"/>
              <w:ind w:firstLine="0" w:firstLineChars="0"/>
              <w:jc w:val="center"/>
              <w:rPr>
                <w:bCs/>
                <w:color w:val="auto"/>
                <w:sz w:val="21"/>
                <w:szCs w:val="21"/>
              </w:rPr>
            </w:pPr>
            <w:r>
              <w:rPr>
                <w:bCs/>
                <w:color w:val="auto"/>
                <w:sz w:val="21"/>
                <w:szCs w:val="21"/>
              </w:rPr>
              <w:t>25120t/a</w:t>
            </w:r>
          </w:p>
        </w:tc>
        <w:tc>
          <w:tcPr>
            <w:tcW w:w="1936" w:type="dxa"/>
            <w:vAlign w:val="center"/>
          </w:tcPr>
          <w:p w14:paraId="042F2B48">
            <w:pPr>
              <w:spacing w:line="240" w:lineRule="auto"/>
              <w:ind w:firstLine="0" w:firstLineChars="0"/>
              <w:jc w:val="center"/>
              <w:rPr>
                <w:bCs/>
                <w:color w:val="auto"/>
                <w:sz w:val="21"/>
                <w:szCs w:val="21"/>
              </w:rPr>
            </w:pPr>
            <w:r>
              <w:rPr>
                <w:bCs/>
                <w:color w:val="auto"/>
                <w:sz w:val="21"/>
                <w:szCs w:val="21"/>
              </w:rPr>
              <w:t>7634.45</w:t>
            </w:r>
          </w:p>
        </w:tc>
        <w:tc>
          <w:tcPr>
            <w:tcW w:w="1798" w:type="dxa"/>
            <w:vMerge w:val="continue"/>
            <w:vAlign w:val="center"/>
          </w:tcPr>
          <w:p w14:paraId="209C0C73">
            <w:pPr>
              <w:spacing w:line="240" w:lineRule="auto"/>
              <w:ind w:firstLine="0" w:firstLineChars="0"/>
              <w:jc w:val="center"/>
              <w:rPr>
                <w:bCs/>
                <w:color w:val="auto"/>
                <w:sz w:val="21"/>
                <w:szCs w:val="21"/>
              </w:rPr>
            </w:pPr>
          </w:p>
        </w:tc>
      </w:tr>
    </w:tbl>
    <w:p w14:paraId="2CFF49B0">
      <w:pPr>
        <w:ind w:firstLine="480"/>
        <w:rPr>
          <w:bCs/>
          <w:color w:val="auto"/>
        </w:rPr>
      </w:pPr>
      <w:r>
        <w:rPr>
          <w:bCs/>
          <w:color w:val="auto"/>
        </w:rPr>
        <w:t>本项目碳排放必须由专人负责，企业法定代表人是碳排放管理第一责任人。本项目由专人按月监测各排放源使用量，并做台账由专人保管存档备用；待后续出台相关新的法律法规等要求时则按照新的文件执行。</w:t>
      </w:r>
    </w:p>
    <w:p w14:paraId="58BAAEF7">
      <w:pPr>
        <w:pStyle w:val="5"/>
        <w:spacing w:before="156"/>
        <w:rPr>
          <w:color w:val="auto"/>
        </w:rPr>
      </w:pPr>
      <w:r>
        <w:rPr>
          <w:rFonts w:hint="eastAsia"/>
          <w:color w:val="auto"/>
        </w:rPr>
        <w:t>6.9.4.2监测计划</w:t>
      </w:r>
    </w:p>
    <w:p w14:paraId="0CD72542">
      <w:pPr>
        <w:ind w:firstLine="480"/>
        <w:rPr>
          <w:bCs/>
          <w:color w:val="auto"/>
        </w:rPr>
      </w:pPr>
      <w:r>
        <w:rPr>
          <w:bCs/>
          <w:color w:val="auto"/>
        </w:rPr>
        <w:t>本项目由专人按月监测各排放源使用量，并做台账由专人保管存档备用；并按季度做小结汇报，如有季度内超额用量，下一季度必须调整整改（降低碳源用量）</w:t>
      </w:r>
      <w:r>
        <w:rPr>
          <w:rFonts w:hint="eastAsia"/>
          <w:bCs/>
          <w:color w:val="auto"/>
        </w:rPr>
        <w:t>，</w:t>
      </w:r>
      <w:r>
        <w:rPr>
          <w:bCs/>
          <w:color w:val="auto"/>
        </w:rPr>
        <w:t>确保年度内碳源用量控制在计划范围内，从而确保碳排放不超标。</w:t>
      </w:r>
    </w:p>
    <w:p w14:paraId="34BCFB31">
      <w:pPr>
        <w:pStyle w:val="4"/>
        <w:rPr>
          <w:color w:val="auto"/>
        </w:rPr>
      </w:pPr>
      <w:bookmarkStart w:id="250" w:name="_Toc1953"/>
      <w:r>
        <w:rPr>
          <w:rFonts w:hint="eastAsia"/>
          <w:color w:val="auto"/>
        </w:rPr>
        <w:t>6.9.5碳排放评价结论</w:t>
      </w:r>
      <w:bookmarkEnd w:id="250"/>
    </w:p>
    <w:p w14:paraId="50FD52B4">
      <w:pPr>
        <w:ind w:firstLine="480"/>
        <w:rPr>
          <w:bCs/>
          <w:color w:val="auto"/>
        </w:rPr>
      </w:pPr>
      <w:r>
        <w:rPr>
          <w:bCs/>
          <w:color w:val="auto"/>
        </w:rPr>
        <w:t>根据以上相符性分析，本项目碳排放符合相关政策要求。减污降碳措施主要为严格控制碳源用量，同时拟采取有效节能措施，优先选用高效节能设备、节能灯具等节能新产品，以上措施均可行。</w:t>
      </w:r>
      <w:r>
        <w:rPr>
          <w:rFonts w:hint="eastAsia"/>
          <w:bCs/>
          <w:color w:val="auto"/>
        </w:rPr>
        <w:t>本</w:t>
      </w:r>
      <w:r>
        <w:rPr>
          <w:bCs/>
          <w:color w:val="auto"/>
        </w:rPr>
        <w:t>项目碳排放水平，</w:t>
      </w:r>
      <w:r>
        <w:rPr>
          <w:rFonts w:hint="eastAsia"/>
          <w:bCs/>
          <w:color w:val="auto"/>
        </w:rPr>
        <w:t>低于</w:t>
      </w:r>
      <w:r>
        <w:rPr>
          <w:bCs/>
          <w:color w:val="auto"/>
        </w:rPr>
        <w:t>相关标准</w:t>
      </w:r>
      <w:r>
        <w:rPr>
          <w:rFonts w:hint="eastAsia"/>
          <w:bCs/>
          <w:color w:val="auto"/>
        </w:rPr>
        <w:t>要求</w:t>
      </w:r>
      <w:r>
        <w:rPr>
          <w:bCs/>
          <w:color w:val="auto"/>
        </w:rPr>
        <w:t>。</w:t>
      </w:r>
      <w:r>
        <w:rPr>
          <w:rFonts w:hint="eastAsia"/>
          <w:bCs/>
          <w:color w:val="auto"/>
        </w:rPr>
        <w:t>本</w:t>
      </w:r>
      <w:r>
        <w:rPr>
          <w:bCs/>
          <w:color w:val="auto"/>
        </w:rPr>
        <w:t>项目建成后确保严格落实碳排放管理与监测计划。综上，</w:t>
      </w:r>
      <w:r>
        <w:rPr>
          <w:rFonts w:hint="eastAsia"/>
          <w:bCs/>
          <w:color w:val="auto"/>
        </w:rPr>
        <w:t>本</w:t>
      </w:r>
      <w:r>
        <w:rPr>
          <w:bCs/>
          <w:color w:val="auto"/>
        </w:rPr>
        <w:t>项目碳排放水平可以接受。</w:t>
      </w:r>
    </w:p>
    <w:p w14:paraId="215A9D4F">
      <w:pPr>
        <w:spacing w:line="300" w:lineRule="auto"/>
        <w:ind w:firstLine="0" w:firstLineChars="0"/>
        <w:rPr>
          <w:rFonts w:ascii="仿宋_GB2312" w:eastAsia="仿宋_GB2312"/>
          <w:color w:val="auto"/>
          <w:sz w:val="28"/>
        </w:rPr>
      </w:pPr>
    </w:p>
    <w:p w14:paraId="30CDF88F">
      <w:pPr>
        <w:ind w:firstLine="480"/>
        <w:rPr>
          <w:color w:val="auto"/>
        </w:rPr>
        <w:sectPr>
          <w:pgSz w:w="11906" w:h="16838"/>
          <w:pgMar w:top="1134" w:right="1134" w:bottom="1134" w:left="1134" w:header="851" w:footer="992" w:gutter="0"/>
          <w:cols w:space="425" w:num="1"/>
          <w:docGrid w:type="lines" w:linePitch="312" w:charSpace="0"/>
        </w:sectPr>
      </w:pPr>
    </w:p>
    <w:p w14:paraId="49C59092">
      <w:pPr>
        <w:pStyle w:val="2"/>
        <w:spacing w:before="385" w:after="385"/>
        <w:rPr>
          <w:rFonts w:hint="eastAsia"/>
          <w:color w:val="auto"/>
        </w:rPr>
      </w:pPr>
      <w:bookmarkStart w:id="251" w:name="_Toc18364"/>
      <w:bookmarkStart w:id="252" w:name="_Toc6012"/>
      <w:r>
        <w:rPr>
          <w:color w:val="auto"/>
        </w:rPr>
        <w:t>环境保护措施及其可行性</w:t>
      </w:r>
      <w:bookmarkEnd w:id="251"/>
      <w:bookmarkEnd w:id="252"/>
    </w:p>
    <w:p w14:paraId="1919F0D4">
      <w:pPr>
        <w:pStyle w:val="3"/>
        <w:spacing w:before="385"/>
        <w:rPr>
          <w:color w:val="auto"/>
        </w:rPr>
      </w:pPr>
      <w:bookmarkStart w:id="253" w:name="_Toc31724"/>
      <w:bookmarkStart w:id="254" w:name="_Toc9041"/>
      <w:bookmarkStart w:id="255" w:name="_Toc17074"/>
      <w:r>
        <w:rPr>
          <w:color w:val="auto"/>
        </w:rPr>
        <w:t>7.1水污染控制措施评述</w:t>
      </w:r>
      <w:bookmarkEnd w:id="253"/>
      <w:bookmarkEnd w:id="254"/>
      <w:bookmarkEnd w:id="255"/>
    </w:p>
    <w:p w14:paraId="64A91E3B">
      <w:pPr>
        <w:tabs>
          <w:tab w:val="left" w:pos="4272"/>
        </w:tabs>
        <w:spacing w:line="460" w:lineRule="exact"/>
        <w:ind w:firstLine="480"/>
        <w:rPr>
          <w:color w:val="auto"/>
        </w:rPr>
      </w:pPr>
      <w:r>
        <w:rPr>
          <w:color w:val="auto"/>
        </w:rPr>
        <w:t>项目产生的废水主要是</w:t>
      </w:r>
      <w:r>
        <w:rPr>
          <w:rFonts w:hint="eastAsia"/>
          <w:color w:val="auto"/>
        </w:rPr>
        <w:t>实验室废水</w:t>
      </w:r>
      <w:r>
        <w:rPr>
          <w:color w:val="auto"/>
        </w:rPr>
        <w:t>、</w:t>
      </w:r>
      <w:r>
        <w:rPr>
          <w:rFonts w:hint="eastAsia"/>
          <w:color w:val="auto"/>
        </w:rPr>
        <w:t>空压机废水、纯水制备浓水与循环冷却系统排水</w:t>
      </w:r>
      <w:r>
        <w:rPr>
          <w:color w:val="auto"/>
        </w:rPr>
        <w:t>。</w:t>
      </w:r>
    </w:p>
    <w:p w14:paraId="62533D3B">
      <w:pPr>
        <w:tabs>
          <w:tab w:val="left" w:pos="4272"/>
        </w:tabs>
        <w:spacing w:line="460" w:lineRule="exact"/>
        <w:ind w:firstLine="480"/>
        <w:rPr>
          <w:color w:val="auto"/>
        </w:rPr>
      </w:pPr>
      <w:r>
        <w:rPr>
          <w:rFonts w:hint="eastAsia"/>
          <w:color w:val="auto"/>
        </w:rPr>
        <w:t>拟建项目废水处理按照“清污分流、雨污分流、分质处理”的原则对废水进行收集处理，实验室废水、空压机废水经厂区1#污水站的调节池+臭氧氧化单元预处理，纯水制备浓水与循环冷却系统排水进入厂区1#污水处理站集污池后，与实验室废水、空压机废水汇集，满足园区污水处理厂联合环境水务（启东）有限公司接管标准后，接管至该污水厂处理，最终排入长江。</w:t>
      </w:r>
    </w:p>
    <w:p w14:paraId="7CD871EA">
      <w:pPr>
        <w:pStyle w:val="4"/>
        <w:rPr>
          <w:color w:val="auto"/>
        </w:rPr>
      </w:pPr>
      <w:bookmarkStart w:id="256" w:name="_Toc1897"/>
      <w:bookmarkStart w:id="257" w:name="_Toc775"/>
      <w:r>
        <w:rPr>
          <w:color w:val="auto"/>
        </w:rPr>
        <w:t>7.1.1现有项目已建</w:t>
      </w:r>
      <w:bookmarkEnd w:id="256"/>
      <w:r>
        <w:rPr>
          <w:rFonts w:hint="eastAsia"/>
          <w:color w:val="auto"/>
        </w:rPr>
        <w:t>综合污水处理站</w:t>
      </w:r>
      <w:bookmarkEnd w:id="257"/>
    </w:p>
    <w:p w14:paraId="393137B6">
      <w:pPr>
        <w:spacing w:line="460" w:lineRule="exact"/>
        <w:ind w:firstLine="482"/>
        <w:rPr>
          <w:rFonts w:hint="eastAsia" w:ascii="宋体" w:hAnsi="宋体" w:cs="宋体"/>
          <w:b/>
          <w:bCs/>
          <w:color w:val="auto"/>
        </w:rPr>
      </w:pPr>
      <w:r>
        <w:rPr>
          <w:rFonts w:hint="eastAsia" w:ascii="宋体" w:hAnsi="宋体" w:cs="宋体"/>
          <w:b/>
          <w:bCs/>
          <w:color w:val="auto"/>
        </w:rPr>
        <w:t>1、1#污水处理站</w:t>
      </w:r>
    </w:p>
    <w:p w14:paraId="3EB1B912">
      <w:pPr>
        <w:spacing w:line="460" w:lineRule="exact"/>
        <w:ind w:firstLine="480"/>
        <w:rPr>
          <w:color w:val="auto"/>
        </w:rPr>
      </w:pPr>
      <w:r>
        <w:rPr>
          <w:rFonts w:hint="eastAsia"/>
          <w:color w:val="auto"/>
        </w:rPr>
        <w:t>启东亚太厂区内建有一座处理能力为408t/d的1#污水处理站，位于厂区东南侧，该污水站曾于2025年6月完成技术改造，主要处理企业盐酸苯肼、硫酸苯肼、苯肼、苯唑醇工艺废水，亚硫酸氢铵车间排水和地面冲洗废水、真空泵废水、生活污水、实验室废水、初期雨水等。企业根据废水污染物特点分质收集、分类处理，其中所有工艺废水经蒸馏预处理后与地面冲洗废水、真空泵废水、生活污水、实验室废水、初期雨水等一起进入臭氧氧化单元进行处理，亚硫酸氢铵车间排水直接进入集污池与经臭氧氧化处理后的废水接管园区污水管网进入联合环境水务（启东）有限公司集中处理，软水系统排水和冷却塔排水直接进入污水管网排放。</w:t>
      </w:r>
    </w:p>
    <w:p w14:paraId="2E7CC5E6">
      <w:pPr>
        <w:spacing w:line="460" w:lineRule="exact"/>
        <w:ind w:firstLine="480"/>
        <w:rPr>
          <w:color w:val="auto"/>
        </w:rPr>
      </w:pPr>
      <w:r>
        <w:rPr>
          <w:rFonts w:hint="eastAsia"/>
          <w:color w:val="auto"/>
        </w:rPr>
        <w:t>厂区1#污水处理站处理工艺流程如下图所示：</w:t>
      </w:r>
    </w:p>
    <w:p w14:paraId="51852085">
      <w:pPr>
        <w:spacing w:line="240" w:lineRule="auto"/>
        <w:ind w:firstLine="0" w:firstLineChars="0"/>
        <w:jc w:val="center"/>
        <w:rPr>
          <w:rFonts w:eastAsia="仿宋_GB2312"/>
          <w:color w:val="auto"/>
        </w:rPr>
      </w:pPr>
      <w:r>
        <w:rPr>
          <w:rFonts w:eastAsia="仿宋_GB2312"/>
          <w:color w:val="auto"/>
        </w:rPr>
        <w:object>
          <v:shape id="_x0000_i1039" o:spt="75" type="#_x0000_t75" style="height:577.35pt;width:408.75pt;" o:ole="t" filled="f" o:preferrelative="t" stroked="f" coordsize="21600,21600">
            <v:path/>
            <v:fill on="f" focussize="0,0"/>
            <v:stroke on="f" joinstyle="miter"/>
            <v:imagedata r:id="rId19" o:title=""/>
            <o:lock v:ext="edit" aspectratio="t"/>
            <w10:wrap type="none"/>
            <w10:anchorlock/>
          </v:shape>
          <o:OLEObject Type="Embed" ProgID="Visio.Drawing.11" ShapeID="_x0000_i1039" DrawAspect="Content" ObjectID="_1468075734" r:id="rId68">
            <o:LockedField>false</o:LockedField>
          </o:OLEObject>
        </w:object>
      </w:r>
    </w:p>
    <w:p w14:paraId="1398F228">
      <w:pPr>
        <w:pStyle w:val="49"/>
        <w:rPr>
          <w:color w:val="auto"/>
        </w:rPr>
      </w:pPr>
      <w:r>
        <w:rPr>
          <w:rFonts w:hint="eastAsia"/>
          <w:color w:val="auto"/>
        </w:rPr>
        <w:t>图7.1-1  厂区1#污水站废水处理工艺流程图</w:t>
      </w:r>
    </w:p>
    <w:p w14:paraId="1768659F">
      <w:pPr>
        <w:ind w:firstLine="480"/>
        <w:rPr>
          <w:rFonts w:hint="eastAsia" w:hAnsi="宋体"/>
          <w:color w:val="auto"/>
        </w:rPr>
      </w:pPr>
      <w:r>
        <w:rPr>
          <w:rFonts w:hint="eastAsia" w:hAnsi="宋体"/>
          <w:color w:val="auto"/>
        </w:rPr>
        <w:t>启东亚太1#污水站采用“大孔树脂吸附+沉淀法脱硫+超重力汽提脱氨+臭氧催化氧化+加载嵌合+四效顺流蒸发浓缩+流化床喷雾造粒”组合工艺处理各类废水实现各类废水的分级处理与资源化利用。含苯肼酸性废水与碱性废水先经中和池均质调pH，再通过大孔树脂吸附脱除苯肼类有机物并回收回用；脱除有机物后的含氨废水转入沉淀工段，反应结晶回收α高强石膏；石膏分离后的废水投加氧化钙调碱，送入超重力汽提脱氨系统，游离氨经精馏提纯后回用至中和或生产工序；脱氨出水进入两级臭氧催化氧化单元，深度降解有机污染物并削减氨氮；后续衔接加载嵌合工艺，通过絮凝、高密度加载物嵌合沉淀去除悬浮物与钙镁离子；处理后清液送入四效顺流蒸发装置浓缩，结晶分离工业氯化钠，高浓度氯化钙母液经流化床喷雾造粒制备无水氯化钙产品；各工段冷凝水及洗涤废水回流至臭氧单元深化处理，最终实现废水资源化循环与稳定达标排放。</w:t>
      </w:r>
    </w:p>
    <w:p w14:paraId="12B719B1">
      <w:pPr>
        <w:spacing w:line="460" w:lineRule="exact"/>
        <w:ind w:firstLine="482"/>
        <w:rPr>
          <w:rFonts w:hint="eastAsia" w:ascii="宋体" w:hAnsi="宋体" w:cs="宋体"/>
          <w:b/>
          <w:bCs/>
          <w:color w:val="auto"/>
        </w:rPr>
      </w:pPr>
      <w:r>
        <w:rPr>
          <w:rFonts w:hint="eastAsia" w:ascii="宋体" w:hAnsi="宋体" w:cs="宋体"/>
          <w:b/>
          <w:bCs/>
          <w:color w:val="auto"/>
        </w:rPr>
        <w:t>2、拟建废水处理工艺</w:t>
      </w:r>
    </w:p>
    <w:p w14:paraId="5761FAF7">
      <w:pPr>
        <w:ind w:firstLine="480"/>
        <w:rPr>
          <w:rFonts w:hint="eastAsia" w:hAnsi="宋体"/>
          <w:color w:val="auto"/>
        </w:rPr>
      </w:pPr>
      <w:r>
        <w:rPr>
          <w:rFonts w:hint="eastAsia" w:hAnsi="宋体"/>
          <w:color w:val="auto"/>
        </w:rPr>
        <w:t>拟建项目废水来源主要为实验室废水、空压机废水、纯水制备浓水与循环冷却系统排水。其中实验室废水、空压机废水收集后进入调节池，将pH值调节至6.5~7.5之间后接入臭氧氧化装置进行臭氧氧化处理。在臭氧氧化塔内臭氧与废水中的还原性物质发生反应，使废水中COD、氨氮等污染物得以降解，待废水在氧化塔内氧化反应1小时左右，对氧化塔出口水样进行检测，如满足接管要求，则将其泵入集污池内接入园区污水管网，循环冷却系统排水与纯水制备浓水经厂区污水处理站集污池后和实验室废水、空压机废水一起排入联合环境水务（启东）有限公司集中处理，尾水满足《化学工业水污染物排放标准》(DB32/ 939-2020)表2标准后最终排入长江启东段。</w:t>
      </w:r>
    </w:p>
    <w:p w14:paraId="3F424052">
      <w:pPr>
        <w:shd w:val="clear" w:color="auto" w:fill="FFFFFF"/>
        <w:spacing w:line="240" w:lineRule="auto"/>
        <w:ind w:firstLine="480"/>
        <w:jc w:val="center"/>
        <w:rPr>
          <w:color w:val="auto"/>
        </w:rPr>
      </w:pPr>
      <w:r>
        <w:rPr>
          <w:rFonts w:eastAsia="仿宋_GB2312"/>
          <w:color w:val="auto"/>
        </w:rPr>
        <w:object>
          <v:shape id="_x0000_i1040" o:spt="75" type="#_x0000_t75" style="height:177.3pt;width:252.6pt;" o:ole="t" filled="f" o:preferrelative="t" stroked="f" coordsize="21600,21600">
            <v:path/>
            <v:fill on="f" focussize="0,0"/>
            <v:stroke on="f" joinstyle="miter"/>
            <v:imagedata r:id="rId70" o:title=""/>
            <o:lock v:ext="edit" aspectratio="t"/>
            <w10:wrap type="none"/>
            <w10:anchorlock/>
          </v:shape>
          <o:OLEObject Type="Embed" ProgID="Visio.Drawing.11" ShapeID="_x0000_i1040" DrawAspect="Content" ObjectID="_1468075735" r:id="rId69">
            <o:LockedField>false</o:LockedField>
          </o:OLEObject>
        </w:object>
      </w:r>
    </w:p>
    <w:p w14:paraId="224ED97C">
      <w:pPr>
        <w:spacing w:line="460" w:lineRule="exact"/>
        <w:ind w:firstLine="482"/>
        <w:jc w:val="center"/>
        <w:rPr>
          <w:b/>
          <w:bCs/>
          <w:color w:val="auto"/>
        </w:rPr>
      </w:pPr>
      <w:r>
        <w:rPr>
          <w:rFonts w:hint="eastAsia"/>
          <w:b/>
          <w:bCs/>
          <w:color w:val="auto"/>
        </w:rPr>
        <w:t>图7.1-2  拟建项目废水处理工艺流程</w:t>
      </w:r>
    </w:p>
    <w:p w14:paraId="34F5C3EF">
      <w:pPr>
        <w:pStyle w:val="4"/>
        <w:rPr>
          <w:color w:val="auto"/>
        </w:rPr>
      </w:pPr>
      <w:bookmarkStart w:id="258" w:name="_Toc16163"/>
      <w:r>
        <w:rPr>
          <w:color w:val="auto"/>
        </w:rPr>
        <w:t>7.1.2</w:t>
      </w:r>
      <w:r>
        <w:rPr>
          <w:rFonts w:hint="eastAsia"/>
          <w:color w:val="auto"/>
        </w:rPr>
        <w:t>拟建</w:t>
      </w:r>
      <w:r>
        <w:rPr>
          <w:color w:val="auto"/>
        </w:rPr>
        <w:t>废水处理</w:t>
      </w:r>
      <w:r>
        <w:rPr>
          <w:rFonts w:hint="eastAsia"/>
          <w:color w:val="auto"/>
        </w:rPr>
        <w:t>可行性分析</w:t>
      </w:r>
      <w:bookmarkEnd w:id="258"/>
    </w:p>
    <w:p w14:paraId="7E3B4CF8">
      <w:pPr>
        <w:pStyle w:val="5"/>
        <w:spacing w:before="192"/>
        <w:rPr>
          <w:color w:val="auto"/>
        </w:rPr>
      </w:pPr>
      <w:r>
        <w:rPr>
          <w:rFonts w:hint="eastAsia"/>
          <w:color w:val="auto"/>
        </w:rPr>
        <w:t>7.1.2.1 拟建废水处理工艺</w:t>
      </w:r>
    </w:p>
    <w:p w14:paraId="4E4C234E">
      <w:pPr>
        <w:ind w:firstLine="480"/>
        <w:rPr>
          <w:rFonts w:hint="eastAsia" w:hAnsi="宋体"/>
          <w:color w:val="auto"/>
        </w:rPr>
      </w:pPr>
      <w:r>
        <w:rPr>
          <w:rFonts w:hint="eastAsia" w:hAnsi="宋体"/>
          <w:color w:val="auto"/>
        </w:rPr>
        <w:t>拟建项目废水实行分类收集、分质预处理后集中纳管处置，依据水质差异划分为实验室废水、空压机废水、纯水制备浓水、循环冷却系统排水四类。其中实验室废水、空压机废水经厂区1#污水站的调节池+臭氧氧化单元预处理，纯水制备浓水与循环冷却系统排水进入厂区1#污水处理站集污池后，与实验室废水、空压机废水汇集，满足园区污水处理厂联合环境水务（启东）有限公司接管标准后，接管至该污水厂处理，最终排入长江。预处理工艺有以下特点：</w:t>
      </w:r>
    </w:p>
    <w:p w14:paraId="288F21E5">
      <w:pPr>
        <w:ind w:firstLine="480"/>
        <w:rPr>
          <w:rFonts w:hint="eastAsia" w:hAnsi="宋体"/>
          <w:color w:val="auto"/>
        </w:rPr>
      </w:pPr>
      <w:r>
        <w:rPr>
          <w:rFonts w:hint="eastAsia" w:hAnsi="宋体"/>
          <w:color w:val="auto"/>
        </w:rPr>
        <w:t>①依托分质分流思路实现差异化管控，高污染的实验室、空压机废水单独预处理降解 COD、氨氮，低含盐低污染的纯水浓水、循环冷却水省去预处理工序，在保障处理效果的前提下优化工程投资与运行成本；</w:t>
      </w:r>
    </w:p>
    <w:p w14:paraId="25E6238E">
      <w:pPr>
        <w:ind w:firstLine="480"/>
        <w:rPr>
          <w:rFonts w:hint="eastAsia" w:hAnsi="宋体"/>
          <w:color w:val="auto"/>
        </w:rPr>
      </w:pPr>
      <w:r>
        <w:rPr>
          <w:rFonts w:hint="eastAsia" w:hAnsi="宋体"/>
          <w:color w:val="auto"/>
        </w:rPr>
        <w:t>②臭氧氧化反应条件可控，通过pH调控至6.5~7.5的最优反应区间、设置1h固定水力停留时长，依靠臭氧强氧化作用高效氧化水体还原性污染物，对难生化降解的有机组分去除优势突出；</w:t>
      </w:r>
    </w:p>
    <w:p w14:paraId="12F34C9E">
      <w:pPr>
        <w:ind w:firstLine="480"/>
        <w:rPr>
          <w:rFonts w:hint="eastAsia" w:hAnsi="宋体"/>
          <w:color w:val="auto"/>
        </w:rPr>
      </w:pPr>
      <w:r>
        <w:rPr>
          <w:rFonts w:hint="eastAsia" w:hAnsi="宋体"/>
          <w:color w:val="auto"/>
        </w:rPr>
        <w:t>③预处理工段配套出水取样检测环节，只有水质满足园区接管标准的废水方可排入集污池，从源头规避超标废水直接接入园区污水管网的环境风险；</w:t>
      </w:r>
    </w:p>
    <w:p w14:paraId="530C0F8F">
      <w:pPr>
        <w:ind w:firstLine="480"/>
        <w:rPr>
          <w:rFonts w:hint="eastAsia" w:hAnsi="宋体"/>
          <w:color w:val="auto"/>
        </w:rPr>
      </w:pPr>
      <w:r>
        <w:rPr>
          <w:rFonts w:hint="eastAsia" w:hAnsi="宋体"/>
          <w:color w:val="auto"/>
        </w:rPr>
        <w:t>④预处理单元构筑物可按需密闭加盖，针对臭氧逸散、废水挥发产生的少量废气配套收集管路，废气统一接入废气治理设施处理，削减无组织恶臭、臭氧气体外逸影响；</w:t>
      </w:r>
    </w:p>
    <w:p w14:paraId="18F8EF06">
      <w:pPr>
        <w:ind w:firstLine="480"/>
        <w:rPr>
          <w:rFonts w:hint="eastAsia" w:hAnsi="宋体"/>
          <w:color w:val="auto"/>
        </w:rPr>
      </w:pPr>
      <w:r>
        <w:rPr>
          <w:rFonts w:hint="eastAsia" w:hAnsi="宋体"/>
          <w:color w:val="auto"/>
        </w:rPr>
        <w:t>各类废水经厂内预处理汇集后统一送入集污池，最终通过园区污水管网接入联合环境水务（启东）有限公司集中深度处理。厂内预处理为前端控污单元，园区污水厂依托成熟水处理工艺进一步深化净化，尾水严格执行《化学工业水污染物排放标准》（DB32/939-2020）表2限值，达标后排入长江启东段。整套工艺通过厂内预处理削减特征污染物、园区集中处置兜底达标，分级管控实现废水全过程合规治理。</w:t>
      </w:r>
    </w:p>
    <w:p w14:paraId="09DEDF48">
      <w:pPr>
        <w:pStyle w:val="5"/>
        <w:spacing w:before="192"/>
        <w:rPr>
          <w:color w:val="auto"/>
        </w:rPr>
      </w:pPr>
      <w:bookmarkStart w:id="259" w:name="_Toc128670830"/>
      <w:r>
        <w:rPr>
          <w:rFonts w:hint="eastAsia"/>
          <w:color w:val="auto"/>
        </w:rPr>
        <w:t>7.1.2.2现有项目已建综合污水处理站前期经验</w:t>
      </w:r>
      <w:bookmarkEnd w:id="259"/>
    </w:p>
    <w:p w14:paraId="40107DEF">
      <w:pPr>
        <w:ind w:firstLine="480"/>
        <w:rPr>
          <w:rFonts w:hint="eastAsia" w:hAnsi="宋体"/>
          <w:color w:val="auto"/>
        </w:rPr>
      </w:pPr>
      <w:r>
        <w:rPr>
          <w:rFonts w:hint="eastAsia" w:hAnsi="宋体"/>
          <w:color w:val="auto"/>
        </w:rPr>
        <w:t>拟建废水主要为实验室废水、空压机废水、纯水制备浓水、循环冷却系统排水四类，其中实验室废水、空压机废水污染物含有机还原性组分，存在一定COD、氨氮负荷，水质特征与现有项目车间地面冲洗废水、真空泵废水、废气处理废水水质特点相近，上述现有废水均依托厂区1#污水站中配套臭氧氧化工艺完成预处理，纯水制备浓水与循环冷却系统排水污染物含量低、水质稳定，和现有同类清净下水处置模式保持一致，整体废水分类处置思路与现有项目成熟处置路线契合。现有工程运行实践表明，低浓度废水经臭氧氧化预处理可有效降解COD、氨氮等特征污染物，低污染清净废水可直接汇集暂存，采用“分质预处理+汇集纳管”的组合处置路线。依托企业现有1#污水站多年稳定运行经验，拟建项目废水可沿用现有技术路线是可行的。</w:t>
      </w:r>
    </w:p>
    <w:p w14:paraId="07FD1C8E">
      <w:pPr>
        <w:ind w:firstLine="480"/>
        <w:rPr>
          <w:rFonts w:hint="eastAsia" w:ascii="宋体" w:hAnsi="宋体" w:cs="宋体"/>
          <w:b/>
          <w:bCs/>
          <w:color w:val="auto"/>
        </w:rPr>
      </w:pPr>
      <w:r>
        <w:rPr>
          <w:rFonts w:hint="eastAsia" w:hAnsi="宋体"/>
          <w:color w:val="auto"/>
        </w:rPr>
        <w:t>根据企业现有污水站日常出水监测数据，经臭氧预处理后的生产废水与直接汇集的清净下水混合后，水质可稳定满足园区污水接管限值。因此从企业现有废水治理多年工程实践来看，实验室、空压机废水采用“pH调节+臭氧氧化”预处理，纯水制备浓水、循环冷却排水直接汇入集污池，全部混合废水统一纳管交由联合环境水务（启东）有限公司深度处置的技术路线成熟可靠，技术可行性、达标保障性已通过现有项目实际运行验证。</w:t>
      </w:r>
    </w:p>
    <w:p w14:paraId="1CCD4BB3">
      <w:pPr>
        <w:pStyle w:val="5"/>
        <w:spacing w:before="192"/>
        <w:rPr>
          <w:color w:val="auto"/>
        </w:rPr>
      </w:pPr>
      <w:bookmarkStart w:id="260" w:name="_Toc32046"/>
      <w:r>
        <w:rPr>
          <w:color w:val="auto"/>
        </w:rPr>
        <w:t>7.1.2.3</w:t>
      </w:r>
      <w:r>
        <w:rPr>
          <w:rFonts w:hint="eastAsia"/>
          <w:color w:val="auto"/>
        </w:rPr>
        <w:t>拟建</w:t>
      </w:r>
      <w:r>
        <w:rPr>
          <w:color w:val="auto"/>
        </w:rPr>
        <w:t>废水处理可行性分析</w:t>
      </w:r>
    </w:p>
    <w:p w14:paraId="6580646B">
      <w:pPr>
        <w:numPr>
          <w:ilvl w:val="0"/>
          <w:numId w:val="8"/>
        </w:numPr>
        <w:spacing w:line="460" w:lineRule="exact"/>
        <w:ind w:firstLine="482"/>
        <w:rPr>
          <w:rFonts w:hint="eastAsia" w:hAnsi="宋体"/>
          <w:b/>
          <w:bCs/>
          <w:color w:val="auto"/>
        </w:rPr>
      </w:pPr>
      <w:r>
        <w:rPr>
          <w:rFonts w:hint="eastAsia" w:hAnsi="宋体"/>
          <w:b/>
          <w:bCs/>
          <w:color w:val="auto"/>
        </w:rPr>
        <w:t>水量可行性分析</w:t>
      </w:r>
    </w:p>
    <w:p w14:paraId="5443F8EC">
      <w:pPr>
        <w:spacing w:line="460" w:lineRule="exact"/>
        <w:ind w:firstLine="480"/>
        <w:rPr>
          <w:rFonts w:hint="eastAsia" w:hAnsi="宋体"/>
          <w:color w:val="auto"/>
        </w:rPr>
      </w:pPr>
      <w:r>
        <w:rPr>
          <w:rFonts w:hint="eastAsia" w:hAnsi="宋体"/>
          <w:color w:val="auto"/>
        </w:rPr>
        <w:t>拟建</w:t>
      </w:r>
      <w:r>
        <w:rPr>
          <w:rFonts w:hAnsi="宋体"/>
          <w:color w:val="auto"/>
        </w:rPr>
        <w:t>废水处理工程设计为利用</w:t>
      </w:r>
      <w:r>
        <w:rPr>
          <w:rFonts w:hint="eastAsia" w:hAnsi="宋体"/>
          <w:color w:val="auto"/>
        </w:rPr>
        <w:t>现有综合污水站</w:t>
      </w:r>
      <w:r>
        <w:rPr>
          <w:rFonts w:hAnsi="宋体"/>
          <w:color w:val="auto"/>
        </w:rPr>
        <w:t>剩余处理能力，与现有项目废水合并处理</w:t>
      </w:r>
      <w:r>
        <w:rPr>
          <w:rFonts w:hint="eastAsia" w:hAnsi="宋体"/>
          <w:color w:val="auto"/>
        </w:rPr>
        <w:t>。</w:t>
      </w:r>
    </w:p>
    <w:p w14:paraId="13F5B772">
      <w:pPr>
        <w:ind w:firstLine="480"/>
        <w:rPr>
          <w:snapToGrid w:val="0"/>
          <w:color w:val="auto"/>
          <w:kern w:val="0"/>
          <w:szCs w:val="20"/>
        </w:rPr>
      </w:pPr>
      <w:r>
        <w:rPr>
          <w:snapToGrid w:val="0"/>
          <w:color w:val="auto"/>
          <w:kern w:val="0"/>
          <w:szCs w:val="20"/>
        </w:rPr>
        <w:t>根据业主提供资料，目前</w:t>
      </w:r>
      <w:r>
        <w:rPr>
          <w:rFonts w:hint="eastAsia"/>
          <w:snapToGrid w:val="0"/>
          <w:color w:val="auto"/>
          <w:kern w:val="0"/>
          <w:szCs w:val="20"/>
        </w:rPr>
        <w:t>启东亚太1#污水站</w:t>
      </w:r>
      <w:r>
        <w:rPr>
          <w:snapToGrid w:val="0"/>
          <w:color w:val="auto"/>
          <w:kern w:val="0"/>
          <w:szCs w:val="20"/>
        </w:rPr>
        <w:t>设计及实际处理水量如下：</w:t>
      </w:r>
    </w:p>
    <w:p w14:paraId="0E4C4966">
      <w:pPr>
        <w:spacing w:line="460" w:lineRule="exact"/>
        <w:ind w:firstLine="482"/>
        <w:jc w:val="center"/>
        <w:rPr>
          <w:b/>
          <w:bCs/>
          <w:color w:val="auto"/>
        </w:rPr>
      </w:pPr>
      <w:bookmarkStart w:id="261" w:name="_Hlk190240495"/>
      <w:r>
        <w:rPr>
          <w:rFonts w:hint="eastAsia"/>
          <w:b/>
          <w:bCs/>
          <w:color w:val="auto"/>
        </w:rPr>
        <w:t>表7.1-2  厂区现有1#污水站设计及实际处理水量</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635"/>
        <w:gridCol w:w="2179"/>
        <w:gridCol w:w="2171"/>
        <w:gridCol w:w="2352"/>
      </w:tblGrid>
      <w:tr w14:paraId="7ADFD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9" w:type="pct"/>
            <w:vAlign w:val="center"/>
          </w:tcPr>
          <w:p w14:paraId="76259080">
            <w:pPr>
              <w:spacing w:line="240" w:lineRule="auto"/>
              <w:ind w:firstLine="0" w:firstLineChars="0"/>
              <w:jc w:val="center"/>
              <w:rPr>
                <w:b/>
                <w:bCs/>
                <w:color w:val="auto"/>
                <w:sz w:val="21"/>
                <w:szCs w:val="21"/>
              </w:rPr>
            </w:pPr>
            <w:r>
              <w:rPr>
                <w:b/>
                <w:bCs/>
                <w:color w:val="auto"/>
                <w:sz w:val="21"/>
                <w:szCs w:val="21"/>
              </w:rPr>
              <w:t>废水种类</w:t>
            </w:r>
          </w:p>
        </w:tc>
        <w:tc>
          <w:tcPr>
            <w:tcW w:w="829" w:type="pct"/>
            <w:vAlign w:val="center"/>
          </w:tcPr>
          <w:p w14:paraId="1DC2175F">
            <w:pPr>
              <w:spacing w:line="240" w:lineRule="auto"/>
              <w:ind w:firstLine="0" w:firstLineChars="0"/>
              <w:jc w:val="center"/>
              <w:rPr>
                <w:b/>
                <w:bCs/>
                <w:color w:val="auto"/>
                <w:sz w:val="21"/>
                <w:szCs w:val="21"/>
              </w:rPr>
            </w:pPr>
            <w:r>
              <w:rPr>
                <w:b/>
                <w:bCs/>
                <w:color w:val="auto"/>
                <w:sz w:val="21"/>
                <w:szCs w:val="21"/>
              </w:rPr>
              <w:t>设计</w:t>
            </w:r>
            <w:r>
              <w:rPr>
                <w:rFonts w:hint="eastAsia"/>
                <w:b/>
                <w:bCs/>
                <w:color w:val="auto"/>
                <w:sz w:val="21"/>
                <w:szCs w:val="21"/>
              </w:rPr>
              <w:t>处理能力</w:t>
            </w:r>
            <w:r>
              <w:rPr>
                <w:b/>
                <w:bCs/>
                <w:color w:val="auto"/>
                <w:sz w:val="21"/>
                <w:szCs w:val="21"/>
              </w:rPr>
              <w:t>（</w:t>
            </w:r>
            <w:r>
              <w:rPr>
                <w:rFonts w:hint="eastAsia"/>
                <w:b/>
                <w:bCs/>
                <w:color w:val="auto"/>
                <w:sz w:val="21"/>
                <w:szCs w:val="21"/>
              </w:rPr>
              <w:t>t</w:t>
            </w:r>
            <w:r>
              <w:rPr>
                <w:b/>
                <w:bCs/>
                <w:color w:val="auto"/>
                <w:sz w:val="21"/>
                <w:szCs w:val="21"/>
              </w:rPr>
              <w:t>/d）</w:t>
            </w:r>
          </w:p>
        </w:tc>
        <w:tc>
          <w:tcPr>
            <w:tcW w:w="1105" w:type="pct"/>
            <w:vAlign w:val="center"/>
          </w:tcPr>
          <w:p w14:paraId="75DE22CC">
            <w:pPr>
              <w:spacing w:line="240" w:lineRule="auto"/>
              <w:ind w:firstLine="0" w:firstLineChars="0"/>
              <w:jc w:val="center"/>
              <w:rPr>
                <w:b/>
                <w:bCs/>
                <w:color w:val="auto"/>
                <w:sz w:val="21"/>
                <w:szCs w:val="21"/>
              </w:rPr>
            </w:pPr>
            <w:r>
              <w:rPr>
                <w:rFonts w:hint="eastAsia"/>
                <w:b/>
                <w:bCs/>
                <w:color w:val="auto"/>
                <w:sz w:val="21"/>
                <w:szCs w:val="21"/>
              </w:rPr>
              <w:t>现有项目处理水量（包括在建项目）</w:t>
            </w:r>
            <w:r>
              <w:rPr>
                <w:b/>
                <w:bCs/>
                <w:color w:val="auto"/>
                <w:sz w:val="21"/>
                <w:szCs w:val="21"/>
              </w:rPr>
              <w:t>（</w:t>
            </w:r>
            <w:r>
              <w:rPr>
                <w:rFonts w:hint="eastAsia"/>
                <w:b/>
                <w:bCs/>
                <w:color w:val="auto"/>
                <w:sz w:val="21"/>
                <w:szCs w:val="21"/>
              </w:rPr>
              <w:t>t</w:t>
            </w:r>
            <w:r>
              <w:rPr>
                <w:b/>
                <w:bCs/>
                <w:color w:val="auto"/>
                <w:sz w:val="21"/>
                <w:szCs w:val="21"/>
              </w:rPr>
              <w:t>/d）</w:t>
            </w:r>
          </w:p>
        </w:tc>
        <w:tc>
          <w:tcPr>
            <w:tcW w:w="1101" w:type="pct"/>
            <w:vAlign w:val="center"/>
          </w:tcPr>
          <w:p w14:paraId="4E1EA5C7">
            <w:pPr>
              <w:spacing w:line="240" w:lineRule="auto"/>
              <w:ind w:firstLine="0" w:firstLineChars="0"/>
              <w:jc w:val="center"/>
              <w:rPr>
                <w:b/>
                <w:bCs/>
                <w:color w:val="auto"/>
                <w:sz w:val="21"/>
                <w:szCs w:val="21"/>
              </w:rPr>
            </w:pPr>
            <w:r>
              <w:rPr>
                <w:rFonts w:hint="eastAsia"/>
                <w:b/>
                <w:bCs/>
                <w:color w:val="auto"/>
                <w:sz w:val="21"/>
                <w:szCs w:val="21"/>
              </w:rPr>
              <w:t>拟建废水处理量</w:t>
            </w:r>
            <w:r>
              <w:rPr>
                <w:b/>
                <w:bCs/>
                <w:color w:val="auto"/>
                <w:sz w:val="21"/>
                <w:szCs w:val="21"/>
              </w:rPr>
              <w:t>（</w:t>
            </w:r>
            <w:r>
              <w:rPr>
                <w:rFonts w:hint="eastAsia"/>
                <w:b/>
                <w:bCs/>
                <w:color w:val="auto"/>
                <w:sz w:val="21"/>
                <w:szCs w:val="21"/>
              </w:rPr>
              <w:t>t</w:t>
            </w:r>
            <w:r>
              <w:rPr>
                <w:b/>
                <w:bCs/>
                <w:color w:val="auto"/>
                <w:sz w:val="21"/>
                <w:szCs w:val="21"/>
              </w:rPr>
              <w:t>/d）</w:t>
            </w:r>
          </w:p>
        </w:tc>
        <w:tc>
          <w:tcPr>
            <w:tcW w:w="1193" w:type="pct"/>
            <w:vAlign w:val="center"/>
          </w:tcPr>
          <w:p w14:paraId="1065C469">
            <w:pPr>
              <w:spacing w:line="240" w:lineRule="auto"/>
              <w:ind w:firstLine="0" w:firstLineChars="0"/>
              <w:jc w:val="center"/>
              <w:rPr>
                <w:b/>
                <w:bCs/>
                <w:color w:val="auto"/>
                <w:sz w:val="21"/>
                <w:szCs w:val="21"/>
              </w:rPr>
            </w:pPr>
            <w:r>
              <w:rPr>
                <w:rFonts w:hint="eastAsia"/>
                <w:b/>
                <w:bCs/>
                <w:color w:val="auto"/>
                <w:sz w:val="21"/>
                <w:szCs w:val="21"/>
              </w:rPr>
              <w:t>拟建</w:t>
            </w:r>
            <w:r>
              <w:rPr>
                <w:b/>
                <w:bCs/>
                <w:color w:val="auto"/>
                <w:sz w:val="21"/>
                <w:szCs w:val="21"/>
              </w:rPr>
              <w:t>废水加入后水量（</w:t>
            </w:r>
            <w:r>
              <w:rPr>
                <w:rFonts w:hint="eastAsia"/>
                <w:b/>
                <w:bCs/>
                <w:color w:val="auto"/>
                <w:sz w:val="21"/>
                <w:szCs w:val="21"/>
              </w:rPr>
              <w:t>t</w:t>
            </w:r>
            <w:r>
              <w:rPr>
                <w:b/>
                <w:bCs/>
                <w:color w:val="auto"/>
                <w:sz w:val="21"/>
                <w:szCs w:val="21"/>
              </w:rPr>
              <w:t>/d）</w:t>
            </w:r>
          </w:p>
        </w:tc>
      </w:tr>
      <w:tr w14:paraId="44831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9" w:type="pct"/>
            <w:vAlign w:val="center"/>
          </w:tcPr>
          <w:p w14:paraId="08B0C2B6">
            <w:pPr>
              <w:spacing w:line="240" w:lineRule="auto"/>
              <w:ind w:firstLine="0" w:firstLineChars="0"/>
              <w:jc w:val="center"/>
              <w:rPr>
                <w:color w:val="auto"/>
                <w:sz w:val="21"/>
                <w:szCs w:val="21"/>
              </w:rPr>
            </w:pPr>
            <w:r>
              <w:rPr>
                <w:rFonts w:hint="eastAsia"/>
                <w:color w:val="auto"/>
                <w:sz w:val="21"/>
                <w:szCs w:val="21"/>
              </w:rPr>
              <w:t>综合废水</w:t>
            </w:r>
          </w:p>
        </w:tc>
        <w:tc>
          <w:tcPr>
            <w:tcW w:w="829" w:type="pct"/>
            <w:vAlign w:val="center"/>
          </w:tcPr>
          <w:p w14:paraId="16591CA3">
            <w:pPr>
              <w:spacing w:line="240" w:lineRule="auto"/>
              <w:ind w:firstLine="0" w:firstLineChars="0"/>
              <w:jc w:val="center"/>
              <w:rPr>
                <w:color w:val="auto"/>
                <w:sz w:val="21"/>
                <w:szCs w:val="21"/>
              </w:rPr>
            </w:pPr>
          </w:p>
        </w:tc>
        <w:tc>
          <w:tcPr>
            <w:tcW w:w="1105" w:type="pct"/>
            <w:vAlign w:val="center"/>
          </w:tcPr>
          <w:p w14:paraId="745C0DED">
            <w:pPr>
              <w:spacing w:line="240" w:lineRule="auto"/>
              <w:ind w:firstLine="0" w:firstLineChars="0"/>
              <w:jc w:val="center"/>
              <w:rPr>
                <w:color w:val="auto"/>
                <w:sz w:val="21"/>
                <w:szCs w:val="21"/>
              </w:rPr>
            </w:pPr>
          </w:p>
        </w:tc>
        <w:tc>
          <w:tcPr>
            <w:tcW w:w="1101" w:type="pct"/>
            <w:vAlign w:val="center"/>
          </w:tcPr>
          <w:p w14:paraId="482C1F67">
            <w:pPr>
              <w:spacing w:line="240" w:lineRule="auto"/>
              <w:ind w:firstLine="0" w:firstLineChars="0"/>
              <w:jc w:val="center"/>
              <w:rPr>
                <w:color w:val="auto"/>
                <w:sz w:val="21"/>
                <w:szCs w:val="21"/>
              </w:rPr>
            </w:pPr>
          </w:p>
        </w:tc>
        <w:tc>
          <w:tcPr>
            <w:tcW w:w="1193" w:type="pct"/>
            <w:vAlign w:val="center"/>
          </w:tcPr>
          <w:p w14:paraId="3A5A62DF">
            <w:pPr>
              <w:spacing w:line="240" w:lineRule="auto"/>
              <w:ind w:firstLine="0" w:firstLineChars="0"/>
              <w:jc w:val="center"/>
              <w:rPr>
                <w:color w:val="auto"/>
                <w:sz w:val="21"/>
                <w:szCs w:val="21"/>
              </w:rPr>
            </w:pPr>
          </w:p>
        </w:tc>
      </w:tr>
      <w:bookmarkEnd w:id="261"/>
    </w:tbl>
    <w:p w14:paraId="46DFB669">
      <w:pPr>
        <w:pStyle w:val="61"/>
        <w:spacing w:before="192" w:beforeLines="50"/>
        <w:ind w:firstLine="480" w:firstLineChars="200"/>
        <w:rPr>
          <w:rFonts w:ascii="Times New Roman" w:hAnsi="Times New Roman"/>
          <w:color w:val="auto"/>
        </w:rPr>
      </w:pPr>
      <w:r>
        <w:rPr>
          <w:rFonts w:hint="eastAsia" w:ascii="Times New Roman" w:hAnsi="Times New Roman"/>
          <w:color w:val="auto"/>
        </w:rPr>
        <w:t>企业现有污水处理站综合废水处理能力为408t/d，现有项目处理水量为260.667t/d，拟建实施后全厂综合废水处理量为0.013t/d，拟建项目建成后厂内1#污水站能够满足处理负荷需求。</w:t>
      </w:r>
    </w:p>
    <w:p w14:paraId="6AF4D4DF">
      <w:pPr>
        <w:numPr>
          <w:ilvl w:val="0"/>
          <w:numId w:val="8"/>
        </w:numPr>
        <w:ind w:firstLine="482"/>
        <w:rPr>
          <w:rFonts w:hint="eastAsia" w:hAnsi="宋体"/>
          <w:b/>
          <w:bCs/>
          <w:color w:val="auto"/>
        </w:rPr>
      </w:pPr>
      <w:r>
        <w:rPr>
          <w:rFonts w:hint="eastAsia" w:hAnsi="宋体"/>
          <w:b/>
          <w:bCs/>
          <w:color w:val="auto"/>
        </w:rPr>
        <w:t>处理效率可行性分析</w:t>
      </w:r>
    </w:p>
    <w:p w14:paraId="2D5B952F">
      <w:pPr>
        <w:ind w:firstLine="480"/>
        <w:rPr>
          <w:rFonts w:hAnsi="Arial"/>
          <w:snapToGrid w:val="0"/>
          <w:color w:val="auto"/>
          <w:kern w:val="0"/>
          <w:szCs w:val="20"/>
        </w:rPr>
      </w:pPr>
      <w:bookmarkStart w:id="262" w:name="_Hlk191286338"/>
      <w:r>
        <w:rPr>
          <w:rFonts w:hint="eastAsia" w:hAnsi="Arial"/>
          <w:snapToGrid w:val="0"/>
          <w:color w:val="auto"/>
          <w:kern w:val="0"/>
          <w:szCs w:val="20"/>
        </w:rPr>
        <w:t>根据企业例行监测报告，厂区内1#污水站污水可达标排放</w:t>
      </w:r>
      <w:bookmarkEnd w:id="262"/>
      <w:r>
        <w:rPr>
          <w:rFonts w:hint="eastAsia" w:hAnsi="Arial"/>
          <w:snapToGrid w:val="0"/>
          <w:color w:val="auto"/>
          <w:kern w:val="0"/>
          <w:szCs w:val="20"/>
        </w:rPr>
        <w:t>，因此结合污水站运行现状及实际设计经验，预测拟建废水接入废水站后各工艺单元的去除情况，结果如下表。根据下表，项目废水经处理后可达标。</w:t>
      </w:r>
    </w:p>
    <w:bookmarkEnd w:id="260"/>
    <w:p w14:paraId="6DA8FC3E">
      <w:pPr>
        <w:pStyle w:val="62"/>
        <w:spacing w:line="500" w:lineRule="exact"/>
        <w:jc w:val="center"/>
        <w:rPr>
          <w:b/>
          <w:color w:val="auto"/>
          <w:sz w:val="24"/>
        </w:rPr>
      </w:pPr>
      <w:r>
        <w:rPr>
          <w:b/>
          <w:color w:val="auto"/>
          <w:sz w:val="24"/>
        </w:rPr>
        <w:t>表7.1-</w:t>
      </w:r>
      <w:r>
        <w:rPr>
          <w:rFonts w:hint="eastAsia"/>
          <w:b/>
          <w:color w:val="auto"/>
          <w:sz w:val="24"/>
        </w:rPr>
        <w:t>3  拟建项目</w:t>
      </w:r>
      <w:r>
        <w:rPr>
          <w:b/>
          <w:color w:val="auto"/>
          <w:sz w:val="24"/>
        </w:rPr>
        <w:t>废水处理效果预测</w:t>
      </w:r>
      <w:r>
        <w:rPr>
          <w:rFonts w:hint="eastAsia"/>
          <w:b/>
          <w:color w:val="auto"/>
          <w:sz w:val="24"/>
        </w:rPr>
        <w:t xml:space="preserve"> 单位：mg/L</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388"/>
        <w:gridCol w:w="1209"/>
        <w:gridCol w:w="1209"/>
        <w:gridCol w:w="1209"/>
        <w:gridCol w:w="1325"/>
        <w:gridCol w:w="1209"/>
        <w:gridCol w:w="1387"/>
      </w:tblGrid>
      <w:tr w14:paraId="6EC56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9" w:type="pct"/>
            <w:gridSpan w:val="2"/>
            <w:noWrap/>
            <w:vAlign w:val="center"/>
          </w:tcPr>
          <w:p w14:paraId="06856E71">
            <w:pPr>
              <w:pStyle w:val="37"/>
              <w:spacing w:beforeLines="0" w:after="0"/>
              <w:rPr>
                <w:b/>
                <w:color w:val="auto"/>
              </w:rPr>
            </w:pPr>
            <w:r>
              <w:rPr>
                <w:b/>
                <w:color w:val="auto"/>
              </w:rPr>
              <w:t>处理工序</w:t>
            </w:r>
          </w:p>
        </w:tc>
        <w:tc>
          <w:tcPr>
            <w:tcW w:w="613" w:type="pct"/>
            <w:noWrap/>
            <w:vAlign w:val="center"/>
          </w:tcPr>
          <w:p w14:paraId="42FF5FE9">
            <w:pPr>
              <w:pStyle w:val="37"/>
              <w:spacing w:beforeLines="0" w:after="0"/>
              <w:rPr>
                <w:b/>
                <w:color w:val="auto"/>
              </w:rPr>
            </w:pPr>
            <w:r>
              <w:rPr>
                <w:b/>
                <w:color w:val="auto"/>
              </w:rPr>
              <w:t>COD</w:t>
            </w:r>
          </w:p>
        </w:tc>
        <w:tc>
          <w:tcPr>
            <w:tcW w:w="613" w:type="pct"/>
            <w:vAlign w:val="center"/>
          </w:tcPr>
          <w:p w14:paraId="12171655">
            <w:pPr>
              <w:pStyle w:val="37"/>
              <w:spacing w:beforeLines="0" w:after="0"/>
              <w:rPr>
                <w:b/>
                <w:color w:val="auto"/>
              </w:rPr>
            </w:pPr>
            <w:r>
              <w:rPr>
                <w:b/>
                <w:color w:val="auto"/>
              </w:rPr>
              <w:t>SS</w:t>
            </w:r>
          </w:p>
        </w:tc>
        <w:tc>
          <w:tcPr>
            <w:tcW w:w="613" w:type="pct"/>
            <w:noWrap/>
            <w:vAlign w:val="center"/>
          </w:tcPr>
          <w:p w14:paraId="2747C15E">
            <w:pPr>
              <w:pStyle w:val="37"/>
              <w:spacing w:beforeLines="0" w:after="0"/>
              <w:rPr>
                <w:b/>
                <w:color w:val="auto"/>
              </w:rPr>
            </w:pPr>
            <w:r>
              <w:rPr>
                <w:b/>
                <w:color w:val="auto"/>
              </w:rPr>
              <w:t>氨氮</w:t>
            </w:r>
          </w:p>
        </w:tc>
        <w:tc>
          <w:tcPr>
            <w:tcW w:w="672" w:type="pct"/>
            <w:noWrap/>
            <w:vAlign w:val="center"/>
          </w:tcPr>
          <w:p w14:paraId="6CA86DF0">
            <w:pPr>
              <w:pStyle w:val="37"/>
              <w:spacing w:beforeLines="0" w:after="0"/>
              <w:rPr>
                <w:b/>
                <w:color w:val="auto"/>
              </w:rPr>
            </w:pPr>
            <w:r>
              <w:rPr>
                <w:rFonts w:hint="eastAsia"/>
                <w:b/>
                <w:color w:val="auto"/>
              </w:rPr>
              <w:t>总磷</w:t>
            </w:r>
          </w:p>
        </w:tc>
        <w:tc>
          <w:tcPr>
            <w:tcW w:w="613" w:type="pct"/>
            <w:noWrap/>
            <w:vAlign w:val="center"/>
          </w:tcPr>
          <w:p w14:paraId="0C141BD3">
            <w:pPr>
              <w:pStyle w:val="37"/>
              <w:spacing w:beforeLines="0" w:after="0"/>
              <w:rPr>
                <w:b/>
                <w:color w:val="auto"/>
              </w:rPr>
            </w:pPr>
            <w:r>
              <w:rPr>
                <w:rFonts w:hint="eastAsia"/>
                <w:b/>
                <w:color w:val="auto"/>
              </w:rPr>
              <w:t>总氮</w:t>
            </w:r>
          </w:p>
        </w:tc>
        <w:tc>
          <w:tcPr>
            <w:tcW w:w="703" w:type="pct"/>
            <w:noWrap/>
            <w:vAlign w:val="center"/>
          </w:tcPr>
          <w:p w14:paraId="1DB534CB">
            <w:pPr>
              <w:pStyle w:val="37"/>
              <w:spacing w:beforeLines="0" w:after="0"/>
              <w:rPr>
                <w:b/>
                <w:color w:val="auto"/>
              </w:rPr>
            </w:pPr>
            <w:r>
              <w:rPr>
                <w:rFonts w:hint="eastAsia"/>
                <w:b/>
                <w:color w:val="auto"/>
              </w:rPr>
              <w:t>石油类</w:t>
            </w:r>
          </w:p>
        </w:tc>
      </w:tr>
      <w:tr w14:paraId="09DF9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vMerge w:val="restart"/>
            <w:vAlign w:val="center"/>
          </w:tcPr>
          <w:p w14:paraId="7A420E54">
            <w:pPr>
              <w:pStyle w:val="37"/>
              <w:spacing w:beforeLines="0" w:after="0"/>
              <w:rPr>
                <w:color w:val="auto"/>
              </w:rPr>
            </w:pPr>
            <w:r>
              <w:rPr>
                <w:rFonts w:hint="eastAsia"/>
                <w:color w:val="auto"/>
              </w:rPr>
              <w:t>调节池</w:t>
            </w:r>
          </w:p>
        </w:tc>
        <w:tc>
          <w:tcPr>
            <w:tcW w:w="703" w:type="pct"/>
            <w:noWrap/>
            <w:vAlign w:val="center"/>
          </w:tcPr>
          <w:p w14:paraId="7CF3E233">
            <w:pPr>
              <w:pStyle w:val="37"/>
              <w:spacing w:beforeLines="0" w:after="0"/>
              <w:rPr>
                <w:color w:val="auto"/>
              </w:rPr>
            </w:pPr>
            <w:r>
              <w:rPr>
                <w:color w:val="auto"/>
              </w:rPr>
              <w:t>进水</w:t>
            </w:r>
          </w:p>
        </w:tc>
        <w:tc>
          <w:tcPr>
            <w:tcW w:w="1209" w:type="dxa"/>
            <w:noWrap/>
            <w:vAlign w:val="center"/>
          </w:tcPr>
          <w:p w14:paraId="3C723F4C">
            <w:pPr>
              <w:widowControl/>
              <w:spacing w:line="240" w:lineRule="auto"/>
              <w:ind w:firstLine="0" w:firstLineChars="0"/>
              <w:jc w:val="center"/>
              <w:textAlignment w:val="center"/>
              <w:rPr>
                <w:color w:val="auto"/>
                <w:sz w:val="21"/>
              </w:rPr>
            </w:pPr>
            <w:r>
              <w:rPr>
                <w:color w:val="auto"/>
                <w:kern w:val="0"/>
                <w:sz w:val="21"/>
                <w:szCs w:val="21"/>
                <w:lang w:bidi="ar"/>
              </w:rPr>
              <w:t xml:space="preserve">0.142 </w:t>
            </w:r>
          </w:p>
        </w:tc>
        <w:tc>
          <w:tcPr>
            <w:tcW w:w="1209" w:type="dxa"/>
            <w:vAlign w:val="center"/>
          </w:tcPr>
          <w:p w14:paraId="2134F787">
            <w:pPr>
              <w:widowControl/>
              <w:spacing w:line="240" w:lineRule="auto"/>
              <w:ind w:firstLine="0" w:firstLineChars="0"/>
              <w:jc w:val="center"/>
              <w:textAlignment w:val="center"/>
              <w:rPr>
                <w:color w:val="auto"/>
                <w:sz w:val="21"/>
              </w:rPr>
            </w:pPr>
            <w:r>
              <w:rPr>
                <w:color w:val="auto"/>
                <w:kern w:val="0"/>
                <w:sz w:val="21"/>
                <w:szCs w:val="21"/>
                <w:lang w:bidi="ar"/>
              </w:rPr>
              <w:t xml:space="preserve">0.071 </w:t>
            </w:r>
          </w:p>
        </w:tc>
        <w:tc>
          <w:tcPr>
            <w:tcW w:w="1209" w:type="dxa"/>
            <w:noWrap/>
            <w:vAlign w:val="center"/>
          </w:tcPr>
          <w:p w14:paraId="64C712B5">
            <w:pPr>
              <w:widowControl/>
              <w:spacing w:line="240" w:lineRule="auto"/>
              <w:ind w:firstLine="0" w:firstLineChars="0"/>
              <w:jc w:val="center"/>
              <w:textAlignment w:val="center"/>
              <w:rPr>
                <w:color w:val="auto"/>
                <w:sz w:val="21"/>
              </w:rPr>
            </w:pPr>
            <w:r>
              <w:rPr>
                <w:color w:val="auto"/>
                <w:kern w:val="0"/>
                <w:sz w:val="21"/>
                <w:szCs w:val="21"/>
                <w:lang w:bidi="ar"/>
              </w:rPr>
              <w:t xml:space="preserve">0.006 </w:t>
            </w:r>
          </w:p>
        </w:tc>
        <w:tc>
          <w:tcPr>
            <w:tcW w:w="1325" w:type="dxa"/>
            <w:noWrap/>
            <w:vAlign w:val="center"/>
          </w:tcPr>
          <w:p w14:paraId="33373409">
            <w:pPr>
              <w:widowControl/>
              <w:spacing w:line="240" w:lineRule="auto"/>
              <w:ind w:firstLine="0" w:firstLineChars="0"/>
              <w:jc w:val="center"/>
              <w:textAlignment w:val="center"/>
              <w:rPr>
                <w:color w:val="auto"/>
                <w:sz w:val="21"/>
              </w:rPr>
            </w:pPr>
            <w:r>
              <w:rPr>
                <w:color w:val="auto"/>
                <w:kern w:val="0"/>
                <w:sz w:val="21"/>
                <w:szCs w:val="21"/>
                <w:lang w:bidi="ar"/>
              </w:rPr>
              <w:t xml:space="preserve">0.001 </w:t>
            </w:r>
          </w:p>
        </w:tc>
        <w:tc>
          <w:tcPr>
            <w:tcW w:w="1209" w:type="dxa"/>
            <w:noWrap/>
            <w:vAlign w:val="center"/>
          </w:tcPr>
          <w:p w14:paraId="01F53A6D">
            <w:pPr>
              <w:widowControl/>
              <w:spacing w:line="240" w:lineRule="auto"/>
              <w:ind w:firstLine="0" w:firstLineChars="0"/>
              <w:jc w:val="center"/>
              <w:textAlignment w:val="center"/>
              <w:rPr>
                <w:color w:val="auto"/>
                <w:sz w:val="21"/>
              </w:rPr>
            </w:pPr>
            <w:r>
              <w:rPr>
                <w:color w:val="auto"/>
                <w:kern w:val="0"/>
                <w:sz w:val="21"/>
                <w:szCs w:val="21"/>
                <w:lang w:bidi="ar"/>
              </w:rPr>
              <w:t xml:space="preserve">0.008 </w:t>
            </w:r>
          </w:p>
        </w:tc>
        <w:tc>
          <w:tcPr>
            <w:tcW w:w="1387" w:type="dxa"/>
            <w:noWrap/>
            <w:vAlign w:val="center"/>
          </w:tcPr>
          <w:p w14:paraId="1EC412FF">
            <w:pPr>
              <w:widowControl/>
              <w:spacing w:line="240" w:lineRule="auto"/>
              <w:ind w:firstLine="0" w:firstLineChars="0"/>
              <w:jc w:val="center"/>
              <w:textAlignment w:val="center"/>
              <w:rPr>
                <w:color w:val="auto"/>
                <w:sz w:val="21"/>
              </w:rPr>
            </w:pPr>
            <w:r>
              <w:rPr>
                <w:color w:val="auto"/>
                <w:kern w:val="0"/>
                <w:sz w:val="21"/>
                <w:szCs w:val="21"/>
                <w:lang w:bidi="ar"/>
              </w:rPr>
              <w:t xml:space="preserve">0.001 </w:t>
            </w:r>
          </w:p>
        </w:tc>
      </w:tr>
      <w:tr w14:paraId="4DE2D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vMerge w:val="continue"/>
            <w:vAlign w:val="center"/>
          </w:tcPr>
          <w:p w14:paraId="094926EC">
            <w:pPr>
              <w:pStyle w:val="37"/>
              <w:spacing w:beforeLines="0" w:after="0"/>
              <w:rPr>
                <w:color w:val="auto"/>
              </w:rPr>
            </w:pPr>
          </w:p>
        </w:tc>
        <w:tc>
          <w:tcPr>
            <w:tcW w:w="703" w:type="pct"/>
            <w:noWrap/>
            <w:vAlign w:val="center"/>
          </w:tcPr>
          <w:p w14:paraId="77BFF086">
            <w:pPr>
              <w:pStyle w:val="37"/>
              <w:spacing w:beforeLines="0" w:after="0"/>
              <w:rPr>
                <w:color w:val="auto"/>
              </w:rPr>
            </w:pPr>
            <w:r>
              <w:rPr>
                <w:rFonts w:hint="eastAsia"/>
                <w:color w:val="auto"/>
              </w:rPr>
              <w:t>去除率</w:t>
            </w:r>
          </w:p>
        </w:tc>
        <w:tc>
          <w:tcPr>
            <w:tcW w:w="613" w:type="pct"/>
            <w:noWrap/>
            <w:vAlign w:val="center"/>
          </w:tcPr>
          <w:p w14:paraId="4B0864DE">
            <w:pPr>
              <w:pStyle w:val="37"/>
              <w:spacing w:beforeLines="0" w:after="0"/>
              <w:rPr>
                <w:color w:val="auto"/>
              </w:rPr>
            </w:pPr>
            <w:r>
              <w:rPr>
                <w:rFonts w:hint="eastAsia"/>
                <w:color w:val="auto"/>
              </w:rPr>
              <w:t>/</w:t>
            </w:r>
          </w:p>
        </w:tc>
        <w:tc>
          <w:tcPr>
            <w:tcW w:w="613" w:type="pct"/>
            <w:vAlign w:val="center"/>
          </w:tcPr>
          <w:p w14:paraId="2D8BB4DE">
            <w:pPr>
              <w:pStyle w:val="37"/>
              <w:spacing w:beforeLines="0" w:after="0"/>
              <w:rPr>
                <w:color w:val="auto"/>
              </w:rPr>
            </w:pPr>
            <w:r>
              <w:rPr>
                <w:color w:val="auto"/>
              </w:rPr>
              <w:t>10%</w:t>
            </w:r>
          </w:p>
        </w:tc>
        <w:tc>
          <w:tcPr>
            <w:tcW w:w="613" w:type="pct"/>
            <w:noWrap/>
            <w:vAlign w:val="center"/>
          </w:tcPr>
          <w:p w14:paraId="4FAAD27C">
            <w:pPr>
              <w:pStyle w:val="37"/>
              <w:spacing w:beforeLines="0" w:after="0"/>
              <w:rPr>
                <w:color w:val="auto"/>
              </w:rPr>
            </w:pPr>
            <w:r>
              <w:rPr>
                <w:rFonts w:hint="eastAsia"/>
                <w:color w:val="auto"/>
              </w:rPr>
              <w:t>/</w:t>
            </w:r>
          </w:p>
        </w:tc>
        <w:tc>
          <w:tcPr>
            <w:tcW w:w="672" w:type="pct"/>
            <w:noWrap/>
            <w:vAlign w:val="center"/>
          </w:tcPr>
          <w:p w14:paraId="6BE89A23">
            <w:pPr>
              <w:pStyle w:val="37"/>
              <w:spacing w:beforeLines="0" w:after="0"/>
              <w:rPr>
                <w:color w:val="auto"/>
              </w:rPr>
            </w:pPr>
            <w:r>
              <w:rPr>
                <w:rFonts w:hint="eastAsia"/>
                <w:color w:val="auto"/>
              </w:rPr>
              <w:t>/</w:t>
            </w:r>
          </w:p>
        </w:tc>
        <w:tc>
          <w:tcPr>
            <w:tcW w:w="613" w:type="pct"/>
            <w:noWrap/>
            <w:vAlign w:val="center"/>
          </w:tcPr>
          <w:p w14:paraId="40461C2C">
            <w:pPr>
              <w:pStyle w:val="37"/>
              <w:spacing w:beforeLines="0" w:after="0"/>
              <w:rPr>
                <w:color w:val="auto"/>
              </w:rPr>
            </w:pPr>
            <w:r>
              <w:rPr>
                <w:rFonts w:hint="eastAsia"/>
                <w:color w:val="auto"/>
              </w:rPr>
              <w:t>/</w:t>
            </w:r>
          </w:p>
        </w:tc>
        <w:tc>
          <w:tcPr>
            <w:tcW w:w="703" w:type="pct"/>
            <w:noWrap/>
            <w:vAlign w:val="center"/>
          </w:tcPr>
          <w:p w14:paraId="09050984">
            <w:pPr>
              <w:pStyle w:val="37"/>
              <w:spacing w:beforeLines="0" w:after="0"/>
              <w:rPr>
                <w:color w:val="auto"/>
              </w:rPr>
            </w:pPr>
            <w:r>
              <w:rPr>
                <w:rFonts w:hint="eastAsia"/>
                <w:color w:val="auto"/>
              </w:rPr>
              <w:t>/</w:t>
            </w:r>
          </w:p>
        </w:tc>
      </w:tr>
      <w:tr w14:paraId="2F426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vMerge w:val="continue"/>
            <w:vAlign w:val="center"/>
          </w:tcPr>
          <w:p w14:paraId="7118427A">
            <w:pPr>
              <w:pStyle w:val="37"/>
              <w:spacing w:beforeLines="0" w:after="0"/>
              <w:rPr>
                <w:color w:val="auto"/>
              </w:rPr>
            </w:pPr>
          </w:p>
        </w:tc>
        <w:tc>
          <w:tcPr>
            <w:tcW w:w="703" w:type="pct"/>
            <w:noWrap/>
            <w:vAlign w:val="center"/>
          </w:tcPr>
          <w:p w14:paraId="7F3B1D61">
            <w:pPr>
              <w:pStyle w:val="37"/>
              <w:spacing w:beforeLines="0" w:after="0"/>
              <w:rPr>
                <w:color w:val="auto"/>
              </w:rPr>
            </w:pPr>
            <w:r>
              <w:rPr>
                <w:rFonts w:hint="eastAsia"/>
                <w:color w:val="auto"/>
              </w:rPr>
              <w:t>出水</w:t>
            </w:r>
          </w:p>
        </w:tc>
        <w:tc>
          <w:tcPr>
            <w:tcW w:w="1209" w:type="dxa"/>
            <w:noWrap/>
            <w:vAlign w:val="center"/>
          </w:tcPr>
          <w:p w14:paraId="682E54B8">
            <w:pPr>
              <w:widowControl/>
              <w:spacing w:line="240" w:lineRule="auto"/>
              <w:ind w:firstLine="0" w:firstLineChars="0"/>
              <w:jc w:val="center"/>
              <w:textAlignment w:val="center"/>
              <w:rPr>
                <w:color w:val="auto"/>
                <w:sz w:val="21"/>
              </w:rPr>
            </w:pPr>
            <w:r>
              <w:rPr>
                <w:color w:val="auto"/>
                <w:kern w:val="0"/>
                <w:sz w:val="21"/>
                <w:szCs w:val="21"/>
                <w:lang w:bidi="ar"/>
              </w:rPr>
              <w:t xml:space="preserve">0.142 </w:t>
            </w:r>
          </w:p>
        </w:tc>
        <w:tc>
          <w:tcPr>
            <w:tcW w:w="1209" w:type="dxa"/>
            <w:vAlign w:val="center"/>
          </w:tcPr>
          <w:p w14:paraId="4020ACF9">
            <w:pPr>
              <w:widowControl/>
              <w:spacing w:line="240" w:lineRule="auto"/>
              <w:ind w:firstLine="0" w:firstLineChars="0"/>
              <w:jc w:val="center"/>
              <w:textAlignment w:val="center"/>
              <w:rPr>
                <w:color w:val="auto"/>
                <w:sz w:val="21"/>
              </w:rPr>
            </w:pPr>
            <w:r>
              <w:rPr>
                <w:color w:val="auto"/>
                <w:kern w:val="0"/>
                <w:sz w:val="21"/>
                <w:szCs w:val="21"/>
                <w:lang w:bidi="ar"/>
              </w:rPr>
              <w:t xml:space="preserve">0.064 </w:t>
            </w:r>
          </w:p>
        </w:tc>
        <w:tc>
          <w:tcPr>
            <w:tcW w:w="1209" w:type="dxa"/>
            <w:noWrap/>
            <w:vAlign w:val="center"/>
          </w:tcPr>
          <w:p w14:paraId="5A93C23C">
            <w:pPr>
              <w:widowControl/>
              <w:spacing w:line="240" w:lineRule="auto"/>
              <w:ind w:firstLine="0" w:firstLineChars="0"/>
              <w:jc w:val="center"/>
              <w:textAlignment w:val="center"/>
              <w:rPr>
                <w:color w:val="auto"/>
                <w:sz w:val="21"/>
              </w:rPr>
            </w:pPr>
            <w:r>
              <w:rPr>
                <w:color w:val="auto"/>
                <w:kern w:val="0"/>
                <w:sz w:val="21"/>
                <w:szCs w:val="21"/>
                <w:lang w:bidi="ar"/>
              </w:rPr>
              <w:t xml:space="preserve">0.0055 </w:t>
            </w:r>
          </w:p>
        </w:tc>
        <w:tc>
          <w:tcPr>
            <w:tcW w:w="1325" w:type="dxa"/>
            <w:noWrap/>
            <w:vAlign w:val="center"/>
          </w:tcPr>
          <w:p w14:paraId="2D94CA7E">
            <w:pPr>
              <w:widowControl/>
              <w:spacing w:line="240" w:lineRule="auto"/>
              <w:ind w:firstLine="0" w:firstLineChars="0"/>
              <w:jc w:val="center"/>
              <w:textAlignment w:val="center"/>
              <w:rPr>
                <w:color w:val="auto"/>
                <w:sz w:val="21"/>
              </w:rPr>
            </w:pPr>
            <w:r>
              <w:rPr>
                <w:color w:val="auto"/>
                <w:kern w:val="0"/>
                <w:sz w:val="21"/>
                <w:szCs w:val="21"/>
                <w:lang w:bidi="ar"/>
              </w:rPr>
              <w:t xml:space="preserve">0.0015 </w:t>
            </w:r>
          </w:p>
        </w:tc>
        <w:tc>
          <w:tcPr>
            <w:tcW w:w="1209" w:type="dxa"/>
            <w:noWrap/>
            <w:vAlign w:val="center"/>
          </w:tcPr>
          <w:p w14:paraId="66328FFE">
            <w:pPr>
              <w:widowControl/>
              <w:spacing w:line="240" w:lineRule="auto"/>
              <w:ind w:firstLine="0" w:firstLineChars="0"/>
              <w:jc w:val="center"/>
              <w:textAlignment w:val="center"/>
              <w:rPr>
                <w:color w:val="auto"/>
                <w:sz w:val="21"/>
              </w:rPr>
            </w:pPr>
            <w:r>
              <w:rPr>
                <w:rFonts w:hint="eastAsia" w:cs="宋体"/>
                <w:color w:val="auto"/>
                <w:kern w:val="0"/>
                <w:sz w:val="21"/>
                <w:szCs w:val="21"/>
                <w:lang w:bidi="ar"/>
              </w:rPr>
              <w:t xml:space="preserve">0.0083 </w:t>
            </w:r>
          </w:p>
        </w:tc>
        <w:tc>
          <w:tcPr>
            <w:tcW w:w="1387" w:type="dxa"/>
            <w:noWrap/>
            <w:vAlign w:val="center"/>
          </w:tcPr>
          <w:p w14:paraId="34F23220">
            <w:pPr>
              <w:widowControl/>
              <w:spacing w:line="240" w:lineRule="auto"/>
              <w:ind w:firstLine="0" w:firstLineChars="0"/>
              <w:jc w:val="center"/>
              <w:textAlignment w:val="center"/>
              <w:rPr>
                <w:color w:val="auto"/>
                <w:sz w:val="21"/>
              </w:rPr>
            </w:pPr>
            <w:r>
              <w:rPr>
                <w:rFonts w:hint="eastAsia" w:cs="宋体"/>
                <w:color w:val="auto"/>
                <w:kern w:val="0"/>
                <w:sz w:val="21"/>
                <w:szCs w:val="21"/>
                <w:lang w:bidi="ar"/>
              </w:rPr>
              <w:t xml:space="preserve">0.0009 </w:t>
            </w:r>
          </w:p>
        </w:tc>
      </w:tr>
      <w:tr w14:paraId="1FD96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vMerge w:val="restart"/>
            <w:vAlign w:val="center"/>
          </w:tcPr>
          <w:p w14:paraId="5BCB5B11">
            <w:pPr>
              <w:pStyle w:val="37"/>
              <w:spacing w:beforeLines="0" w:after="0"/>
              <w:rPr>
                <w:color w:val="auto"/>
              </w:rPr>
            </w:pPr>
            <w:r>
              <w:rPr>
                <w:rFonts w:hint="eastAsia"/>
                <w:color w:val="auto"/>
              </w:rPr>
              <w:t>臭氧氧化塔</w:t>
            </w:r>
          </w:p>
        </w:tc>
        <w:tc>
          <w:tcPr>
            <w:tcW w:w="703" w:type="pct"/>
            <w:noWrap/>
            <w:vAlign w:val="center"/>
          </w:tcPr>
          <w:p w14:paraId="3431A135">
            <w:pPr>
              <w:pStyle w:val="37"/>
              <w:spacing w:beforeLines="0" w:after="0"/>
              <w:rPr>
                <w:color w:val="auto"/>
              </w:rPr>
            </w:pPr>
            <w:r>
              <w:rPr>
                <w:color w:val="auto"/>
              </w:rPr>
              <w:t>进水</w:t>
            </w:r>
          </w:p>
        </w:tc>
        <w:tc>
          <w:tcPr>
            <w:tcW w:w="1209" w:type="dxa"/>
            <w:noWrap/>
            <w:vAlign w:val="center"/>
          </w:tcPr>
          <w:p w14:paraId="18EC9929">
            <w:pPr>
              <w:widowControl/>
              <w:spacing w:line="240" w:lineRule="auto"/>
              <w:ind w:firstLine="0" w:firstLineChars="0"/>
              <w:jc w:val="center"/>
              <w:textAlignment w:val="center"/>
              <w:rPr>
                <w:color w:val="auto"/>
                <w:sz w:val="21"/>
              </w:rPr>
            </w:pPr>
            <w:r>
              <w:rPr>
                <w:color w:val="auto"/>
                <w:kern w:val="0"/>
                <w:sz w:val="21"/>
                <w:szCs w:val="21"/>
                <w:lang w:bidi="ar"/>
              </w:rPr>
              <w:t xml:space="preserve">0.142 </w:t>
            </w:r>
          </w:p>
        </w:tc>
        <w:tc>
          <w:tcPr>
            <w:tcW w:w="1209" w:type="dxa"/>
            <w:vAlign w:val="center"/>
          </w:tcPr>
          <w:p w14:paraId="0555C573">
            <w:pPr>
              <w:widowControl/>
              <w:spacing w:line="240" w:lineRule="auto"/>
              <w:ind w:firstLine="0" w:firstLineChars="0"/>
              <w:jc w:val="center"/>
              <w:textAlignment w:val="center"/>
              <w:rPr>
                <w:color w:val="auto"/>
                <w:sz w:val="21"/>
              </w:rPr>
            </w:pPr>
            <w:r>
              <w:rPr>
                <w:color w:val="auto"/>
                <w:kern w:val="0"/>
                <w:sz w:val="21"/>
                <w:szCs w:val="21"/>
                <w:lang w:bidi="ar"/>
              </w:rPr>
              <w:t xml:space="preserve">0.064 </w:t>
            </w:r>
          </w:p>
        </w:tc>
        <w:tc>
          <w:tcPr>
            <w:tcW w:w="1209" w:type="dxa"/>
            <w:noWrap/>
            <w:vAlign w:val="center"/>
          </w:tcPr>
          <w:p w14:paraId="472951E1">
            <w:pPr>
              <w:widowControl/>
              <w:spacing w:line="240" w:lineRule="auto"/>
              <w:ind w:firstLine="0" w:firstLineChars="0"/>
              <w:jc w:val="center"/>
              <w:textAlignment w:val="center"/>
              <w:rPr>
                <w:color w:val="auto"/>
                <w:sz w:val="21"/>
              </w:rPr>
            </w:pPr>
            <w:r>
              <w:rPr>
                <w:color w:val="auto"/>
                <w:kern w:val="0"/>
                <w:sz w:val="21"/>
                <w:szCs w:val="21"/>
                <w:lang w:bidi="ar"/>
              </w:rPr>
              <w:t xml:space="preserve">0.0010 </w:t>
            </w:r>
          </w:p>
        </w:tc>
        <w:tc>
          <w:tcPr>
            <w:tcW w:w="1325" w:type="dxa"/>
            <w:noWrap/>
            <w:vAlign w:val="center"/>
          </w:tcPr>
          <w:p w14:paraId="072478B6">
            <w:pPr>
              <w:widowControl/>
              <w:spacing w:line="240" w:lineRule="auto"/>
              <w:ind w:firstLine="0" w:firstLineChars="0"/>
              <w:jc w:val="center"/>
              <w:textAlignment w:val="center"/>
              <w:rPr>
                <w:color w:val="auto"/>
                <w:sz w:val="21"/>
              </w:rPr>
            </w:pPr>
            <w:r>
              <w:rPr>
                <w:color w:val="auto"/>
                <w:kern w:val="0"/>
                <w:sz w:val="21"/>
                <w:szCs w:val="21"/>
                <w:lang w:bidi="ar"/>
              </w:rPr>
              <w:t xml:space="preserve">0.0015 </w:t>
            </w:r>
          </w:p>
        </w:tc>
        <w:tc>
          <w:tcPr>
            <w:tcW w:w="1209" w:type="dxa"/>
            <w:noWrap/>
            <w:vAlign w:val="center"/>
          </w:tcPr>
          <w:p w14:paraId="105D51A4">
            <w:pPr>
              <w:widowControl/>
              <w:spacing w:line="240" w:lineRule="auto"/>
              <w:ind w:firstLine="0" w:firstLineChars="0"/>
              <w:jc w:val="center"/>
              <w:textAlignment w:val="center"/>
              <w:rPr>
                <w:color w:val="auto"/>
                <w:sz w:val="21"/>
              </w:rPr>
            </w:pPr>
            <w:r>
              <w:rPr>
                <w:color w:val="auto"/>
                <w:kern w:val="0"/>
                <w:sz w:val="21"/>
                <w:szCs w:val="21"/>
                <w:lang w:bidi="ar"/>
              </w:rPr>
              <w:t xml:space="preserve">0.0083 </w:t>
            </w:r>
          </w:p>
        </w:tc>
        <w:tc>
          <w:tcPr>
            <w:tcW w:w="1387" w:type="dxa"/>
            <w:noWrap/>
            <w:vAlign w:val="center"/>
          </w:tcPr>
          <w:p w14:paraId="01A4CD6B">
            <w:pPr>
              <w:widowControl/>
              <w:spacing w:line="240" w:lineRule="auto"/>
              <w:ind w:firstLine="0" w:firstLineChars="0"/>
              <w:jc w:val="center"/>
              <w:textAlignment w:val="center"/>
              <w:rPr>
                <w:color w:val="auto"/>
                <w:sz w:val="21"/>
              </w:rPr>
            </w:pPr>
            <w:r>
              <w:rPr>
                <w:color w:val="auto"/>
                <w:kern w:val="0"/>
                <w:sz w:val="21"/>
                <w:szCs w:val="21"/>
                <w:lang w:bidi="ar"/>
              </w:rPr>
              <w:t xml:space="preserve">0.0009 </w:t>
            </w:r>
          </w:p>
        </w:tc>
      </w:tr>
      <w:tr w14:paraId="442AF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vMerge w:val="continue"/>
            <w:vAlign w:val="center"/>
          </w:tcPr>
          <w:p w14:paraId="2D8430AB">
            <w:pPr>
              <w:pStyle w:val="37"/>
              <w:spacing w:beforeLines="0" w:after="0"/>
              <w:rPr>
                <w:color w:val="auto"/>
              </w:rPr>
            </w:pPr>
          </w:p>
        </w:tc>
        <w:tc>
          <w:tcPr>
            <w:tcW w:w="703" w:type="pct"/>
            <w:noWrap/>
            <w:vAlign w:val="center"/>
          </w:tcPr>
          <w:p w14:paraId="752014BB">
            <w:pPr>
              <w:pStyle w:val="37"/>
              <w:spacing w:beforeLines="0" w:after="0"/>
              <w:rPr>
                <w:color w:val="auto"/>
              </w:rPr>
            </w:pPr>
            <w:r>
              <w:rPr>
                <w:rFonts w:hint="eastAsia"/>
                <w:color w:val="auto"/>
              </w:rPr>
              <w:t>去除率</w:t>
            </w:r>
          </w:p>
        </w:tc>
        <w:tc>
          <w:tcPr>
            <w:tcW w:w="613" w:type="pct"/>
            <w:noWrap/>
            <w:vAlign w:val="center"/>
          </w:tcPr>
          <w:p w14:paraId="2EFBF2AE">
            <w:pPr>
              <w:pStyle w:val="37"/>
              <w:spacing w:beforeLines="0" w:after="0"/>
              <w:rPr>
                <w:color w:val="auto"/>
              </w:rPr>
            </w:pPr>
            <w:r>
              <w:rPr>
                <w:color w:val="auto"/>
              </w:rPr>
              <w:t>30%</w:t>
            </w:r>
          </w:p>
        </w:tc>
        <w:tc>
          <w:tcPr>
            <w:tcW w:w="613" w:type="pct"/>
            <w:vAlign w:val="center"/>
          </w:tcPr>
          <w:p w14:paraId="2B688B23">
            <w:pPr>
              <w:pStyle w:val="37"/>
              <w:spacing w:beforeLines="0" w:after="0"/>
              <w:rPr>
                <w:color w:val="auto"/>
              </w:rPr>
            </w:pPr>
            <w:r>
              <w:rPr>
                <w:color w:val="auto"/>
              </w:rPr>
              <w:t>/</w:t>
            </w:r>
          </w:p>
        </w:tc>
        <w:tc>
          <w:tcPr>
            <w:tcW w:w="613" w:type="pct"/>
            <w:noWrap/>
            <w:vAlign w:val="center"/>
          </w:tcPr>
          <w:p w14:paraId="59A25E2A">
            <w:pPr>
              <w:pStyle w:val="37"/>
              <w:spacing w:beforeLines="0" w:after="0"/>
              <w:rPr>
                <w:color w:val="auto"/>
              </w:rPr>
            </w:pPr>
            <w:r>
              <w:rPr>
                <w:color w:val="auto"/>
              </w:rPr>
              <w:t>/</w:t>
            </w:r>
          </w:p>
        </w:tc>
        <w:tc>
          <w:tcPr>
            <w:tcW w:w="672" w:type="pct"/>
            <w:noWrap/>
            <w:vAlign w:val="center"/>
          </w:tcPr>
          <w:p w14:paraId="6BFD1374">
            <w:pPr>
              <w:pStyle w:val="37"/>
              <w:spacing w:beforeLines="0" w:after="0"/>
              <w:rPr>
                <w:color w:val="auto"/>
              </w:rPr>
            </w:pPr>
            <w:r>
              <w:rPr>
                <w:color w:val="auto"/>
              </w:rPr>
              <w:t>/</w:t>
            </w:r>
          </w:p>
        </w:tc>
        <w:tc>
          <w:tcPr>
            <w:tcW w:w="613" w:type="pct"/>
            <w:noWrap/>
            <w:vAlign w:val="center"/>
          </w:tcPr>
          <w:p w14:paraId="5DE49E44">
            <w:pPr>
              <w:pStyle w:val="37"/>
              <w:spacing w:beforeLines="0" w:after="0"/>
              <w:rPr>
                <w:color w:val="auto"/>
              </w:rPr>
            </w:pPr>
            <w:r>
              <w:rPr>
                <w:color w:val="auto"/>
              </w:rPr>
              <w:t>/</w:t>
            </w:r>
          </w:p>
        </w:tc>
        <w:tc>
          <w:tcPr>
            <w:tcW w:w="703" w:type="pct"/>
            <w:noWrap/>
            <w:vAlign w:val="center"/>
          </w:tcPr>
          <w:p w14:paraId="2D4CAC6A">
            <w:pPr>
              <w:pStyle w:val="37"/>
              <w:spacing w:beforeLines="0" w:after="0"/>
              <w:rPr>
                <w:color w:val="auto"/>
              </w:rPr>
            </w:pPr>
            <w:r>
              <w:rPr>
                <w:color w:val="auto"/>
              </w:rPr>
              <w:t>/</w:t>
            </w:r>
          </w:p>
        </w:tc>
      </w:tr>
      <w:tr w14:paraId="1C5BB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vMerge w:val="continue"/>
            <w:vAlign w:val="center"/>
          </w:tcPr>
          <w:p w14:paraId="21AEDB95">
            <w:pPr>
              <w:pStyle w:val="37"/>
              <w:spacing w:beforeLines="0" w:after="0"/>
              <w:rPr>
                <w:color w:val="auto"/>
              </w:rPr>
            </w:pPr>
          </w:p>
        </w:tc>
        <w:tc>
          <w:tcPr>
            <w:tcW w:w="703" w:type="pct"/>
            <w:noWrap/>
            <w:vAlign w:val="center"/>
          </w:tcPr>
          <w:p w14:paraId="0252FF0C">
            <w:pPr>
              <w:pStyle w:val="37"/>
              <w:spacing w:beforeLines="0" w:after="0"/>
              <w:rPr>
                <w:color w:val="auto"/>
              </w:rPr>
            </w:pPr>
            <w:r>
              <w:rPr>
                <w:rFonts w:hint="eastAsia"/>
                <w:color w:val="auto"/>
              </w:rPr>
              <w:t>出水</w:t>
            </w:r>
          </w:p>
        </w:tc>
        <w:tc>
          <w:tcPr>
            <w:tcW w:w="1209" w:type="dxa"/>
            <w:noWrap/>
            <w:vAlign w:val="center"/>
          </w:tcPr>
          <w:p w14:paraId="37BBD36D">
            <w:pPr>
              <w:widowControl/>
              <w:spacing w:line="240" w:lineRule="auto"/>
              <w:ind w:firstLine="0" w:firstLineChars="0"/>
              <w:jc w:val="center"/>
              <w:textAlignment w:val="center"/>
              <w:rPr>
                <w:color w:val="auto"/>
                <w:sz w:val="21"/>
              </w:rPr>
            </w:pPr>
            <w:r>
              <w:rPr>
                <w:color w:val="auto"/>
                <w:kern w:val="0"/>
                <w:sz w:val="21"/>
                <w:szCs w:val="21"/>
                <w:lang w:bidi="ar"/>
              </w:rPr>
              <w:t xml:space="preserve">0.100 </w:t>
            </w:r>
          </w:p>
        </w:tc>
        <w:tc>
          <w:tcPr>
            <w:tcW w:w="1209" w:type="dxa"/>
            <w:vAlign w:val="center"/>
          </w:tcPr>
          <w:p w14:paraId="6D5C776E">
            <w:pPr>
              <w:widowControl/>
              <w:spacing w:line="240" w:lineRule="auto"/>
              <w:ind w:firstLine="0" w:firstLineChars="0"/>
              <w:jc w:val="center"/>
              <w:textAlignment w:val="center"/>
              <w:rPr>
                <w:color w:val="auto"/>
                <w:sz w:val="21"/>
              </w:rPr>
            </w:pPr>
            <w:r>
              <w:rPr>
                <w:color w:val="auto"/>
                <w:kern w:val="0"/>
                <w:sz w:val="21"/>
                <w:szCs w:val="21"/>
                <w:lang w:bidi="ar"/>
              </w:rPr>
              <w:t xml:space="preserve">0.064 </w:t>
            </w:r>
          </w:p>
        </w:tc>
        <w:tc>
          <w:tcPr>
            <w:tcW w:w="1209" w:type="dxa"/>
            <w:noWrap/>
            <w:vAlign w:val="center"/>
          </w:tcPr>
          <w:p w14:paraId="48019B96">
            <w:pPr>
              <w:widowControl/>
              <w:spacing w:line="240" w:lineRule="auto"/>
              <w:ind w:firstLine="0" w:firstLineChars="0"/>
              <w:jc w:val="center"/>
              <w:textAlignment w:val="center"/>
              <w:rPr>
                <w:color w:val="auto"/>
                <w:sz w:val="21"/>
              </w:rPr>
            </w:pPr>
            <w:r>
              <w:rPr>
                <w:color w:val="auto"/>
                <w:kern w:val="0"/>
                <w:sz w:val="21"/>
                <w:szCs w:val="21"/>
                <w:lang w:bidi="ar"/>
              </w:rPr>
              <w:t>0.001</w:t>
            </w:r>
          </w:p>
        </w:tc>
        <w:tc>
          <w:tcPr>
            <w:tcW w:w="1325" w:type="dxa"/>
            <w:noWrap/>
            <w:vAlign w:val="center"/>
          </w:tcPr>
          <w:p w14:paraId="5632C998">
            <w:pPr>
              <w:widowControl/>
              <w:spacing w:line="240" w:lineRule="auto"/>
              <w:ind w:firstLine="0" w:firstLineChars="0"/>
              <w:jc w:val="center"/>
              <w:textAlignment w:val="center"/>
              <w:rPr>
                <w:color w:val="auto"/>
                <w:sz w:val="21"/>
              </w:rPr>
            </w:pPr>
            <w:r>
              <w:rPr>
                <w:rFonts w:hint="eastAsia" w:cs="宋体"/>
                <w:color w:val="auto"/>
                <w:kern w:val="0"/>
                <w:sz w:val="21"/>
                <w:szCs w:val="21"/>
                <w:lang w:bidi="ar"/>
              </w:rPr>
              <w:t xml:space="preserve">0.0015 </w:t>
            </w:r>
          </w:p>
        </w:tc>
        <w:tc>
          <w:tcPr>
            <w:tcW w:w="1209" w:type="dxa"/>
            <w:noWrap/>
            <w:vAlign w:val="center"/>
          </w:tcPr>
          <w:p w14:paraId="4FA9BEE8">
            <w:pPr>
              <w:widowControl/>
              <w:spacing w:line="240" w:lineRule="auto"/>
              <w:ind w:firstLine="0" w:firstLineChars="0"/>
              <w:jc w:val="center"/>
              <w:textAlignment w:val="center"/>
              <w:rPr>
                <w:color w:val="auto"/>
                <w:sz w:val="21"/>
              </w:rPr>
            </w:pPr>
            <w:r>
              <w:rPr>
                <w:rFonts w:hint="eastAsia" w:cs="宋体"/>
                <w:color w:val="auto"/>
                <w:kern w:val="0"/>
                <w:sz w:val="21"/>
                <w:szCs w:val="21"/>
                <w:lang w:bidi="ar"/>
              </w:rPr>
              <w:t xml:space="preserve">0.008 </w:t>
            </w:r>
          </w:p>
        </w:tc>
        <w:tc>
          <w:tcPr>
            <w:tcW w:w="1387" w:type="dxa"/>
            <w:noWrap/>
            <w:vAlign w:val="center"/>
          </w:tcPr>
          <w:p w14:paraId="26A62D3A">
            <w:pPr>
              <w:widowControl/>
              <w:spacing w:line="240" w:lineRule="auto"/>
              <w:ind w:firstLine="0" w:firstLineChars="0"/>
              <w:jc w:val="center"/>
              <w:textAlignment w:val="center"/>
              <w:rPr>
                <w:color w:val="auto"/>
                <w:sz w:val="21"/>
              </w:rPr>
            </w:pPr>
            <w:r>
              <w:rPr>
                <w:color w:val="auto"/>
                <w:kern w:val="0"/>
                <w:sz w:val="21"/>
                <w:szCs w:val="21"/>
                <w:lang w:bidi="ar"/>
              </w:rPr>
              <w:t xml:space="preserve">0.0009 </w:t>
            </w:r>
          </w:p>
        </w:tc>
      </w:tr>
      <w:tr w14:paraId="1504E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9" w:type="pct"/>
            <w:gridSpan w:val="2"/>
            <w:vAlign w:val="center"/>
          </w:tcPr>
          <w:p w14:paraId="3A0B934A">
            <w:pPr>
              <w:pStyle w:val="37"/>
              <w:spacing w:beforeLines="0" w:after="0"/>
              <w:rPr>
                <w:color w:val="auto"/>
              </w:rPr>
            </w:pPr>
            <w:r>
              <w:rPr>
                <w:rFonts w:hint="eastAsia"/>
                <w:color w:val="auto"/>
              </w:rPr>
              <w:t>排放标准</w:t>
            </w:r>
          </w:p>
        </w:tc>
        <w:tc>
          <w:tcPr>
            <w:tcW w:w="1209" w:type="dxa"/>
            <w:noWrap/>
            <w:vAlign w:val="center"/>
          </w:tcPr>
          <w:p w14:paraId="3BDFD10C">
            <w:pPr>
              <w:widowControl/>
              <w:spacing w:line="240" w:lineRule="auto"/>
              <w:ind w:firstLine="0" w:firstLineChars="0"/>
              <w:jc w:val="center"/>
              <w:textAlignment w:val="center"/>
              <w:rPr>
                <w:color w:val="auto"/>
                <w:sz w:val="21"/>
              </w:rPr>
            </w:pPr>
            <w:r>
              <w:rPr>
                <w:color w:val="auto"/>
                <w:kern w:val="0"/>
                <w:sz w:val="21"/>
                <w:szCs w:val="21"/>
                <w:lang w:bidi="ar"/>
              </w:rPr>
              <w:t>500</w:t>
            </w:r>
          </w:p>
        </w:tc>
        <w:tc>
          <w:tcPr>
            <w:tcW w:w="1209" w:type="dxa"/>
            <w:vAlign w:val="center"/>
          </w:tcPr>
          <w:p w14:paraId="51E32855">
            <w:pPr>
              <w:widowControl/>
              <w:spacing w:line="240" w:lineRule="auto"/>
              <w:ind w:firstLine="0" w:firstLineChars="0"/>
              <w:jc w:val="center"/>
              <w:textAlignment w:val="center"/>
              <w:rPr>
                <w:color w:val="auto"/>
                <w:sz w:val="21"/>
              </w:rPr>
            </w:pPr>
            <w:r>
              <w:rPr>
                <w:color w:val="auto"/>
                <w:kern w:val="0"/>
                <w:sz w:val="21"/>
                <w:szCs w:val="21"/>
                <w:lang w:bidi="ar"/>
              </w:rPr>
              <w:t>400</w:t>
            </w:r>
          </w:p>
        </w:tc>
        <w:tc>
          <w:tcPr>
            <w:tcW w:w="1209" w:type="dxa"/>
            <w:noWrap/>
            <w:vAlign w:val="center"/>
          </w:tcPr>
          <w:p w14:paraId="380C758B">
            <w:pPr>
              <w:widowControl/>
              <w:spacing w:line="240" w:lineRule="auto"/>
              <w:ind w:firstLine="0" w:firstLineChars="0"/>
              <w:jc w:val="center"/>
              <w:textAlignment w:val="center"/>
              <w:rPr>
                <w:color w:val="auto"/>
                <w:sz w:val="21"/>
              </w:rPr>
            </w:pPr>
            <w:r>
              <w:rPr>
                <w:color w:val="auto"/>
                <w:kern w:val="0"/>
                <w:sz w:val="21"/>
                <w:szCs w:val="21"/>
                <w:lang w:bidi="ar"/>
              </w:rPr>
              <w:t>35</w:t>
            </w:r>
          </w:p>
        </w:tc>
        <w:tc>
          <w:tcPr>
            <w:tcW w:w="1325" w:type="dxa"/>
            <w:noWrap/>
            <w:vAlign w:val="center"/>
          </w:tcPr>
          <w:p w14:paraId="62434B08">
            <w:pPr>
              <w:widowControl/>
              <w:spacing w:line="240" w:lineRule="auto"/>
              <w:ind w:firstLine="0" w:firstLineChars="0"/>
              <w:jc w:val="center"/>
              <w:textAlignment w:val="center"/>
              <w:rPr>
                <w:color w:val="auto"/>
                <w:sz w:val="21"/>
              </w:rPr>
            </w:pPr>
            <w:r>
              <w:rPr>
                <w:color w:val="auto"/>
                <w:kern w:val="0"/>
                <w:sz w:val="21"/>
                <w:szCs w:val="21"/>
                <w:lang w:bidi="ar"/>
              </w:rPr>
              <w:t>8</w:t>
            </w:r>
          </w:p>
        </w:tc>
        <w:tc>
          <w:tcPr>
            <w:tcW w:w="1209" w:type="dxa"/>
            <w:noWrap/>
            <w:vAlign w:val="center"/>
          </w:tcPr>
          <w:p w14:paraId="495B9BA9">
            <w:pPr>
              <w:widowControl/>
              <w:spacing w:line="240" w:lineRule="auto"/>
              <w:ind w:firstLine="0" w:firstLineChars="0"/>
              <w:jc w:val="center"/>
              <w:textAlignment w:val="center"/>
              <w:rPr>
                <w:color w:val="auto"/>
                <w:sz w:val="21"/>
              </w:rPr>
            </w:pPr>
            <w:r>
              <w:rPr>
                <w:color w:val="auto"/>
                <w:kern w:val="0"/>
                <w:sz w:val="21"/>
                <w:szCs w:val="21"/>
                <w:lang w:bidi="ar"/>
              </w:rPr>
              <w:t>45</w:t>
            </w:r>
          </w:p>
        </w:tc>
        <w:tc>
          <w:tcPr>
            <w:tcW w:w="1387" w:type="dxa"/>
            <w:noWrap/>
            <w:vAlign w:val="center"/>
          </w:tcPr>
          <w:p w14:paraId="13C61A4E">
            <w:pPr>
              <w:widowControl/>
              <w:spacing w:line="240" w:lineRule="auto"/>
              <w:ind w:firstLine="0" w:firstLineChars="0"/>
              <w:jc w:val="center"/>
              <w:textAlignment w:val="center"/>
              <w:rPr>
                <w:color w:val="auto"/>
                <w:sz w:val="21"/>
              </w:rPr>
            </w:pPr>
            <w:r>
              <w:rPr>
                <w:color w:val="auto"/>
                <w:kern w:val="0"/>
                <w:sz w:val="21"/>
                <w:szCs w:val="21"/>
                <w:lang w:bidi="ar"/>
              </w:rPr>
              <w:t>20</w:t>
            </w:r>
          </w:p>
        </w:tc>
      </w:tr>
    </w:tbl>
    <w:p w14:paraId="6E5C0BC8">
      <w:pPr>
        <w:ind w:firstLine="480"/>
        <w:rPr>
          <w:rFonts w:hint="eastAsia" w:hAnsi="宋体"/>
          <w:color w:val="auto"/>
        </w:rPr>
      </w:pPr>
      <w:r>
        <w:rPr>
          <w:rFonts w:hint="eastAsia" w:hAnsi="宋体"/>
          <w:color w:val="auto"/>
        </w:rPr>
        <w:t>根据拟建废水水质（见表7.1-3），废水中的主要污染物为</w:t>
      </w:r>
      <w:r>
        <w:rPr>
          <w:rFonts w:hAnsi="宋体"/>
          <w:color w:val="auto"/>
        </w:rPr>
        <w:t>COD</w:t>
      </w:r>
      <w:r>
        <w:rPr>
          <w:rFonts w:hint="eastAsia" w:hAnsi="宋体"/>
          <w:color w:val="auto"/>
        </w:rPr>
        <w:t>、SS、氨氮、总磷、总氮等，各污染物浓度均较低，各类废水先送入调节池完成水质均质、pH调控与悬浮颗粒物自然沉降，依托水体静置沉淀实现SS约10%的去除效果，其余COD、氨氮、总氮、总磷等污染指标浓度保持不变；经调质后的废水接续进入臭氧氧化塔，通过臭氧氧化反应去除30% 左右COD，进一步削减有机污染负荷。经“调节池+臭氧氧化”组合工艺分级处置后，各污染物出水浓度远低于园区接管标准限值，现有预处理工艺的去除效率可稳定匹配拟建废水污染负荷，依托厂区现有处理装置即可实现污染物有效管控。</w:t>
      </w:r>
    </w:p>
    <w:p w14:paraId="5ED91760">
      <w:pPr>
        <w:ind w:firstLine="480"/>
        <w:rPr>
          <w:rFonts w:hint="eastAsia" w:hAnsi="宋体"/>
          <w:color w:val="auto"/>
        </w:rPr>
      </w:pPr>
      <w:r>
        <w:rPr>
          <w:rFonts w:hAnsi="宋体"/>
          <w:color w:val="auto"/>
        </w:rPr>
        <w:t>因此</w:t>
      </w:r>
      <w:r>
        <w:rPr>
          <w:rFonts w:hint="eastAsia" w:hAnsi="宋体"/>
          <w:color w:val="auto"/>
        </w:rPr>
        <w:t>，拟建</w:t>
      </w:r>
      <w:r>
        <w:rPr>
          <w:rFonts w:hAnsi="宋体"/>
          <w:color w:val="auto"/>
        </w:rPr>
        <w:t>项目废水进入厂内现有</w:t>
      </w:r>
      <w:r>
        <w:rPr>
          <w:rFonts w:hint="eastAsia" w:hAnsi="宋体"/>
          <w:color w:val="auto"/>
        </w:rPr>
        <w:t>1#</w:t>
      </w:r>
      <w:r>
        <w:rPr>
          <w:rFonts w:hAnsi="宋体"/>
          <w:color w:val="auto"/>
        </w:rPr>
        <w:t>污水处理设施处理是可行的</w:t>
      </w:r>
      <w:r>
        <w:rPr>
          <w:rFonts w:hint="eastAsia" w:hAnsi="宋体"/>
          <w:color w:val="auto"/>
        </w:rPr>
        <w:t>。</w:t>
      </w:r>
    </w:p>
    <w:p w14:paraId="03DA1147">
      <w:pPr>
        <w:pStyle w:val="4"/>
        <w:rPr>
          <w:color w:val="auto"/>
        </w:rPr>
      </w:pPr>
      <w:bookmarkStart w:id="263" w:name="_Toc2681"/>
      <w:r>
        <w:rPr>
          <w:color w:val="auto"/>
        </w:rPr>
        <w:t>7.1.3废水排入深水环境科技的可行性分析</w:t>
      </w:r>
      <w:bookmarkEnd w:id="263"/>
    </w:p>
    <w:p w14:paraId="4A6CED28">
      <w:pPr>
        <w:adjustRightInd/>
        <w:snapToGrid/>
        <w:ind w:firstLine="480"/>
        <w:rPr>
          <w:color w:val="auto"/>
          <w:szCs w:val="20"/>
        </w:rPr>
      </w:pPr>
      <w:r>
        <w:rPr>
          <w:rFonts w:hint="eastAsia"/>
          <w:color w:val="auto"/>
          <w:szCs w:val="20"/>
        </w:rPr>
        <w:t>联合环境水务（启东）有限公司位于启东生命健康产业园内，规划服务范围为启东生命健康产业园、北新镇，规划处理能力为2.5万t/d。联合环境水务（启东）有限公司采用“混凝沉淀＋水解酸化+A/O生化处理+砂滤”的组合处理工艺，处理后出水须达到江苏省《化学工业水污染物排放标准》(DB32/939-2020)表2中的标准，尾水排入长江。污水处理厂废水处理工艺如下图所示：</w:t>
      </w:r>
    </w:p>
    <w:p w14:paraId="5A64C821">
      <w:pPr>
        <w:spacing w:line="240" w:lineRule="auto"/>
        <w:ind w:firstLine="480"/>
        <w:jc w:val="center"/>
        <w:rPr>
          <w:rFonts w:eastAsia="仿宋_GB2312"/>
          <w:color w:val="auto"/>
        </w:rPr>
      </w:pPr>
      <w:r>
        <w:rPr>
          <w:rFonts w:eastAsia="仿宋_GB2312"/>
          <w:color w:val="auto"/>
        </w:rPr>
        <w:object>
          <v:shape id="_x0000_i1041" o:spt="75" type="#_x0000_t75" style="height:210.1pt;width:422.45pt;" o:ole="t" filled="f" o:preferrelative="t" stroked="f" coordsize="21600,21600">
            <v:path/>
            <v:fill on="f" focussize="0,0"/>
            <v:stroke on="f" joinstyle="miter"/>
            <v:imagedata r:id="rId72" o:title=""/>
            <o:lock v:ext="edit" aspectratio="t"/>
            <w10:wrap type="none"/>
            <w10:anchorlock/>
          </v:shape>
          <o:OLEObject Type="Embed" ProgID="Visio.Drawing.15" ShapeID="_x0000_i1041" DrawAspect="Content" ObjectID="_1468075736" r:id="rId71">
            <o:LockedField>false</o:LockedField>
          </o:OLEObject>
        </w:object>
      </w:r>
    </w:p>
    <w:p w14:paraId="221043DD">
      <w:pPr>
        <w:pStyle w:val="49"/>
        <w:rPr>
          <w:color w:val="auto"/>
        </w:rPr>
      </w:pPr>
      <w:r>
        <w:rPr>
          <w:color w:val="auto"/>
        </w:rPr>
        <w:t>图</w:t>
      </w:r>
      <w:r>
        <w:rPr>
          <w:rFonts w:hint="eastAsia"/>
          <w:color w:val="auto"/>
        </w:rPr>
        <w:t>7.1-4</w:t>
      </w:r>
      <w:r>
        <w:rPr>
          <w:color w:val="auto"/>
        </w:rPr>
        <w:t xml:space="preserve">  联合环境水务</w:t>
      </w:r>
      <w:r>
        <w:rPr>
          <w:rFonts w:hint="eastAsia"/>
          <w:color w:val="auto"/>
          <w:szCs w:val="20"/>
        </w:rPr>
        <w:t>（启东）</w:t>
      </w:r>
      <w:r>
        <w:rPr>
          <w:color w:val="auto"/>
        </w:rPr>
        <w:t>有限公司废水处理工艺流程图</w:t>
      </w:r>
    </w:p>
    <w:p w14:paraId="157FAD1D">
      <w:pPr>
        <w:adjustRightInd/>
        <w:snapToGrid/>
        <w:ind w:firstLine="480"/>
        <w:rPr>
          <w:color w:val="auto"/>
          <w:szCs w:val="20"/>
        </w:rPr>
      </w:pPr>
      <w:r>
        <w:rPr>
          <w:rFonts w:hint="eastAsia"/>
          <w:color w:val="auto"/>
          <w:szCs w:val="20"/>
        </w:rPr>
        <w:t>具体工艺流程描述：</w:t>
      </w:r>
    </w:p>
    <w:p w14:paraId="53C88675">
      <w:pPr>
        <w:adjustRightInd/>
        <w:snapToGrid/>
        <w:ind w:firstLine="480"/>
        <w:rPr>
          <w:color w:val="auto"/>
          <w:szCs w:val="20"/>
        </w:rPr>
      </w:pPr>
      <w:r>
        <w:rPr>
          <w:rFonts w:hint="eastAsia"/>
          <w:color w:val="auto"/>
          <w:szCs w:val="20"/>
        </w:rPr>
        <w:t>将难降解废水和较易降解的废水分两条线分别处理，其中较易降解的废水经一企一管用房计量后送至二期调节池，经水泵提升后送至混凝沉淀池进行预处理，然后接至二期水解酸化池、AAO生物池进行两级处理；难降解废水经一企一管用房计量后送至一期调节池，对一期预处理设施进行改造，污水经混凝沉淀、芬顿氧化、中和沉淀后经水泵提升送至一期水解酸化池、一期AAO生物池进行处理；随后，两条污水处理线废水自流至MBR膜池、臭氧接触池进行深度处理，然后经排江泵房提升后排入长江。</w:t>
      </w:r>
    </w:p>
    <w:p w14:paraId="6E22266A">
      <w:pPr>
        <w:adjustRightInd/>
        <w:snapToGrid/>
        <w:ind w:firstLine="480"/>
        <w:rPr>
          <w:color w:val="auto"/>
          <w:szCs w:val="20"/>
        </w:rPr>
      </w:pPr>
      <w:r>
        <w:rPr>
          <w:rFonts w:hint="eastAsia"/>
          <w:color w:val="auto"/>
          <w:szCs w:val="20"/>
        </w:rPr>
        <w:t>预处理设施、膜池产生的污泥经管道输送至污泥浓缩池，经浓缩后送至污泥深度脱水机房进行脱水处理，脱水后污泥外运处置。</w:t>
      </w:r>
    </w:p>
    <w:p w14:paraId="5716AF6A">
      <w:pPr>
        <w:adjustRightInd/>
        <w:snapToGrid/>
        <w:ind w:firstLine="480"/>
        <w:rPr>
          <w:color w:val="auto"/>
          <w:szCs w:val="20"/>
        </w:rPr>
      </w:pPr>
      <w:r>
        <w:rPr>
          <w:rFonts w:hint="eastAsia"/>
          <w:color w:val="auto"/>
          <w:szCs w:val="20"/>
        </w:rPr>
        <w:t>根据污水厂提供的2023年全年的废水排放年报，污水厂出水水质可满足《化学工业水污染物排放标准》（DB32/939-2020）表2标准，详见表7.1-5。</w:t>
      </w:r>
    </w:p>
    <w:p w14:paraId="1ABABB07">
      <w:pPr>
        <w:pStyle w:val="49"/>
        <w:rPr>
          <w:color w:val="auto"/>
        </w:rPr>
      </w:pPr>
      <w:r>
        <w:rPr>
          <w:color w:val="auto"/>
        </w:rPr>
        <w:t>表7.1</w:t>
      </w:r>
      <w:r>
        <w:rPr>
          <w:rFonts w:hint="eastAsia"/>
          <w:color w:val="auto"/>
        </w:rPr>
        <w:t>-5</w:t>
      </w:r>
      <w:r>
        <w:rPr>
          <w:color w:val="auto"/>
        </w:rPr>
        <w:t xml:space="preserve">  </w:t>
      </w:r>
      <w:r>
        <w:rPr>
          <w:rFonts w:hint="eastAsia"/>
          <w:color w:val="auto"/>
        </w:rPr>
        <w:t>园区</w:t>
      </w:r>
      <w:r>
        <w:rPr>
          <w:color w:val="auto"/>
        </w:rPr>
        <w:t>污水处理厂2023年年</w:t>
      </w:r>
      <w:r>
        <w:rPr>
          <w:rFonts w:hint="eastAsia"/>
          <w:color w:val="auto"/>
        </w:rPr>
        <w:t>度</w:t>
      </w:r>
      <w:r>
        <w:rPr>
          <w:color w:val="auto"/>
        </w:rPr>
        <w:t>报表</w:t>
      </w:r>
    </w:p>
    <w:tbl>
      <w:tblPr>
        <w:tblStyle w:val="24"/>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50"/>
        <w:gridCol w:w="1074"/>
        <w:gridCol w:w="1303"/>
        <w:gridCol w:w="1315"/>
        <w:gridCol w:w="1640"/>
        <w:gridCol w:w="1640"/>
        <w:gridCol w:w="1331"/>
      </w:tblGrid>
      <w:tr w14:paraId="35C6534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tblHeader/>
          <w:jc w:val="center"/>
        </w:trPr>
        <w:tc>
          <w:tcPr>
            <w:tcW w:w="786" w:type="pct"/>
            <w:tcBorders>
              <w:tl2br w:val="nil"/>
              <w:tr2bl w:val="nil"/>
            </w:tcBorders>
            <w:noWrap/>
            <w:vAlign w:val="center"/>
          </w:tcPr>
          <w:p w14:paraId="08A5BDEF">
            <w:pPr>
              <w:widowControl/>
              <w:adjustRightInd/>
              <w:snapToGrid/>
              <w:spacing w:line="240" w:lineRule="auto"/>
              <w:ind w:firstLine="0" w:firstLineChars="0"/>
              <w:jc w:val="center"/>
              <w:textAlignment w:val="center"/>
              <w:rPr>
                <w:b/>
                <w:bCs/>
                <w:color w:val="auto"/>
                <w:kern w:val="0"/>
                <w:sz w:val="21"/>
                <w:szCs w:val="21"/>
              </w:rPr>
            </w:pPr>
            <w:r>
              <w:rPr>
                <w:b/>
                <w:bCs/>
                <w:color w:val="auto"/>
                <w:kern w:val="0"/>
                <w:sz w:val="21"/>
                <w:szCs w:val="21"/>
              </w:rPr>
              <w:t>日期</w:t>
            </w:r>
          </w:p>
        </w:tc>
        <w:tc>
          <w:tcPr>
            <w:tcW w:w="545" w:type="pct"/>
            <w:tcBorders>
              <w:tl2br w:val="nil"/>
              <w:tr2bl w:val="nil"/>
            </w:tcBorders>
            <w:vAlign w:val="center"/>
          </w:tcPr>
          <w:p w14:paraId="59742AC0">
            <w:pPr>
              <w:widowControl/>
              <w:adjustRightInd/>
              <w:snapToGrid/>
              <w:spacing w:line="240" w:lineRule="auto"/>
              <w:ind w:firstLine="0" w:firstLineChars="0"/>
              <w:jc w:val="center"/>
              <w:textAlignment w:val="center"/>
              <w:rPr>
                <w:b/>
                <w:bCs/>
                <w:color w:val="auto"/>
                <w:kern w:val="0"/>
                <w:sz w:val="21"/>
                <w:szCs w:val="21"/>
              </w:rPr>
            </w:pPr>
            <w:r>
              <w:rPr>
                <w:b/>
                <w:bCs/>
                <w:color w:val="auto"/>
                <w:kern w:val="0"/>
                <w:sz w:val="21"/>
                <w:szCs w:val="21"/>
              </w:rPr>
              <w:t>数值</w:t>
            </w:r>
          </w:p>
        </w:tc>
        <w:tc>
          <w:tcPr>
            <w:tcW w:w="661" w:type="pct"/>
            <w:tcBorders>
              <w:tl2br w:val="nil"/>
              <w:tr2bl w:val="nil"/>
            </w:tcBorders>
            <w:vAlign w:val="center"/>
          </w:tcPr>
          <w:p w14:paraId="5898F90A">
            <w:pPr>
              <w:widowControl/>
              <w:adjustRightInd/>
              <w:snapToGrid/>
              <w:spacing w:line="240" w:lineRule="auto"/>
              <w:ind w:firstLine="0" w:firstLineChars="0"/>
              <w:jc w:val="center"/>
              <w:textAlignment w:val="center"/>
              <w:rPr>
                <w:b/>
                <w:bCs/>
                <w:color w:val="auto"/>
                <w:kern w:val="0"/>
                <w:sz w:val="21"/>
                <w:szCs w:val="21"/>
              </w:rPr>
            </w:pPr>
            <w:r>
              <w:rPr>
                <w:b/>
                <w:bCs/>
                <w:color w:val="auto"/>
                <w:kern w:val="0"/>
                <w:sz w:val="21"/>
                <w:szCs w:val="21"/>
              </w:rPr>
              <w:t>废水量(吨)</w:t>
            </w:r>
          </w:p>
        </w:tc>
        <w:tc>
          <w:tcPr>
            <w:tcW w:w="667" w:type="pct"/>
            <w:tcBorders>
              <w:tl2br w:val="nil"/>
              <w:tr2bl w:val="nil"/>
            </w:tcBorders>
            <w:vAlign w:val="center"/>
          </w:tcPr>
          <w:p w14:paraId="7F96E70B">
            <w:pPr>
              <w:widowControl/>
              <w:adjustRightInd/>
              <w:snapToGrid/>
              <w:spacing w:line="240" w:lineRule="auto"/>
              <w:ind w:firstLine="0" w:firstLineChars="0"/>
              <w:jc w:val="center"/>
              <w:textAlignment w:val="center"/>
              <w:rPr>
                <w:b/>
                <w:bCs/>
                <w:color w:val="auto"/>
                <w:kern w:val="0"/>
                <w:sz w:val="21"/>
                <w:szCs w:val="21"/>
              </w:rPr>
            </w:pPr>
            <w:r>
              <w:rPr>
                <w:b/>
                <w:bCs/>
                <w:color w:val="auto"/>
                <w:kern w:val="0"/>
                <w:sz w:val="21"/>
                <w:szCs w:val="21"/>
              </w:rPr>
              <w:t>COD(mg/L)</w:t>
            </w:r>
          </w:p>
        </w:tc>
        <w:tc>
          <w:tcPr>
            <w:tcW w:w="832" w:type="pct"/>
            <w:tcBorders>
              <w:tl2br w:val="nil"/>
              <w:tr2bl w:val="nil"/>
            </w:tcBorders>
            <w:noWrap/>
            <w:vAlign w:val="center"/>
          </w:tcPr>
          <w:p w14:paraId="5B2A9F35">
            <w:pPr>
              <w:widowControl/>
              <w:adjustRightInd/>
              <w:snapToGrid/>
              <w:spacing w:line="240" w:lineRule="auto"/>
              <w:ind w:firstLine="0" w:firstLineChars="0"/>
              <w:jc w:val="center"/>
              <w:textAlignment w:val="center"/>
              <w:rPr>
                <w:b/>
                <w:bCs/>
                <w:color w:val="auto"/>
                <w:kern w:val="0"/>
                <w:sz w:val="21"/>
                <w:szCs w:val="21"/>
              </w:rPr>
            </w:pPr>
            <w:r>
              <w:rPr>
                <w:b/>
                <w:bCs/>
                <w:color w:val="auto"/>
                <w:kern w:val="0"/>
                <w:sz w:val="21"/>
                <w:szCs w:val="21"/>
              </w:rPr>
              <w:t>氨氮(mg/L)</w:t>
            </w:r>
          </w:p>
        </w:tc>
        <w:tc>
          <w:tcPr>
            <w:tcW w:w="832" w:type="pct"/>
            <w:tcBorders>
              <w:tl2br w:val="nil"/>
              <w:tr2bl w:val="nil"/>
            </w:tcBorders>
            <w:noWrap/>
            <w:vAlign w:val="center"/>
          </w:tcPr>
          <w:p w14:paraId="0D2AAB2B">
            <w:pPr>
              <w:widowControl/>
              <w:adjustRightInd/>
              <w:snapToGrid/>
              <w:spacing w:line="240" w:lineRule="auto"/>
              <w:ind w:firstLine="0" w:firstLineChars="0"/>
              <w:jc w:val="center"/>
              <w:textAlignment w:val="center"/>
              <w:rPr>
                <w:b/>
                <w:bCs/>
                <w:color w:val="auto"/>
                <w:kern w:val="0"/>
                <w:sz w:val="21"/>
                <w:szCs w:val="21"/>
              </w:rPr>
            </w:pPr>
            <w:r>
              <w:rPr>
                <w:b/>
                <w:bCs/>
                <w:color w:val="auto"/>
                <w:kern w:val="0"/>
                <w:sz w:val="21"/>
                <w:szCs w:val="21"/>
              </w:rPr>
              <w:t>总磷(mg/L)</w:t>
            </w:r>
          </w:p>
        </w:tc>
        <w:tc>
          <w:tcPr>
            <w:tcW w:w="675" w:type="pct"/>
            <w:tcBorders>
              <w:tl2br w:val="nil"/>
              <w:tr2bl w:val="nil"/>
            </w:tcBorders>
            <w:vAlign w:val="center"/>
          </w:tcPr>
          <w:p w14:paraId="38F54E37">
            <w:pPr>
              <w:widowControl/>
              <w:adjustRightInd/>
              <w:snapToGrid/>
              <w:spacing w:line="240" w:lineRule="auto"/>
              <w:ind w:firstLine="0" w:firstLineChars="0"/>
              <w:jc w:val="center"/>
              <w:textAlignment w:val="center"/>
              <w:rPr>
                <w:b/>
                <w:bCs/>
                <w:color w:val="auto"/>
                <w:kern w:val="0"/>
                <w:sz w:val="21"/>
                <w:szCs w:val="21"/>
              </w:rPr>
            </w:pPr>
            <w:r>
              <w:rPr>
                <w:b/>
                <w:bCs/>
                <w:color w:val="auto"/>
                <w:kern w:val="0"/>
                <w:sz w:val="21"/>
                <w:szCs w:val="21"/>
              </w:rPr>
              <w:t>总氮(mg/L)</w:t>
            </w:r>
          </w:p>
        </w:tc>
      </w:tr>
      <w:tr w14:paraId="180B411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147650BF">
            <w:pPr>
              <w:adjustRightInd/>
              <w:snapToGrid/>
              <w:spacing w:line="240" w:lineRule="auto"/>
              <w:ind w:firstLine="0" w:firstLineChars="0"/>
              <w:jc w:val="center"/>
              <w:rPr>
                <w:color w:val="auto"/>
                <w:sz w:val="21"/>
                <w:szCs w:val="21"/>
              </w:rPr>
            </w:pPr>
            <w:r>
              <w:rPr>
                <w:color w:val="auto"/>
                <w:sz w:val="21"/>
                <w:szCs w:val="21"/>
              </w:rPr>
              <w:t>2023年1月</w:t>
            </w:r>
          </w:p>
        </w:tc>
        <w:tc>
          <w:tcPr>
            <w:tcW w:w="545" w:type="pct"/>
            <w:tcBorders>
              <w:tl2br w:val="nil"/>
              <w:tr2bl w:val="nil"/>
            </w:tcBorders>
            <w:vAlign w:val="center"/>
          </w:tcPr>
          <w:p w14:paraId="1A046377">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356888EC">
            <w:pPr>
              <w:adjustRightInd/>
              <w:snapToGrid/>
              <w:spacing w:line="240" w:lineRule="auto"/>
              <w:ind w:firstLine="0" w:firstLineChars="0"/>
              <w:jc w:val="center"/>
              <w:rPr>
                <w:color w:val="auto"/>
                <w:sz w:val="21"/>
                <w:szCs w:val="21"/>
              </w:rPr>
            </w:pPr>
            <w:r>
              <w:rPr>
                <w:color w:val="auto"/>
                <w:sz w:val="21"/>
                <w:szCs w:val="21"/>
              </w:rPr>
              <w:t>5398.681</w:t>
            </w:r>
          </w:p>
        </w:tc>
        <w:tc>
          <w:tcPr>
            <w:tcW w:w="667" w:type="pct"/>
            <w:tcBorders>
              <w:tl2br w:val="nil"/>
              <w:tr2bl w:val="nil"/>
            </w:tcBorders>
            <w:vAlign w:val="center"/>
          </w:tcPr>
          <w:p w14:paraId="0659A486">
            <w:pPr>
              <w:adjustRightInd/>
              <w:snapToGrid/>
              <w:spacing w:line="240" w:lineRule="auto"/>
              <w:ind w:firstLine="0" w:firstLineChars="0"/>
              <w:jc w:val="center"/>
              <w:rPr>
                <w:color w:val="auto"/>
                <w:sz w:val="21"/>
                <w:szCs w:val="21"/>
              </w:rPr>
            </w:pPr>
            <w:r>
              <w:rPr>
                <w:color w:val="auto"/>
                <w:sz w:val="21"/>
                <w:szCs w:val="21"/>
              </w:rPr>
              <w:t>47.774</w:t>
            </w:r>
          </w:p>
        </w:tc>
        <w:tc>
          <w:tcPr>
            <w:tcW w:w="832" w:type="pct"/>
            <w:tcBorders>
              <w:tl2br w:val="nil"/>
              <w:tr2bl w:val="nil"/>
            </w:tcBorders>
            <w:noWrap/>
            <w:vAlign w:val="center"/>
          </w:tcPr>
          <w:p w14:paraId="3809538A">
            <w:pPr>
              <w:adjustRightInd/>
              <w:snapToGrid/>
              <w:spacing w:line="240" w:lineRule="auto"/>
              <w:ind w:firstLine="0" w:firstLineChars="0"/>
              <w:jc w:val="center"/>
              <w:rPr>
                <w:color w:val="auto"/>
                <w:sz w:val="21"/>
                <w:szCs w:val="21"/>
              </w:rPr>
            </w:pPr>
            <w:r>
              <w:rPr>
                <w:color w:val="auto"/>
                <w:sz w:val="21"/>
                <w:szCs w:val="21"/>
              </w:rPr>
              <w:t>1.842</w:t>
            </w:r>
          </w:p>
        </w:tc>
        <w:tc>
          <w:tcPr>
            <w:tcW w:w="832" w:type="pct"/>
            <w:tcBorders>
              <w:tl2br w:val="nil"/>
              <w:tr2bl w:val="nil"/>
            </w:tcBorders>
            <w:noWrap/>
            <w:vAlign w:val="center"/>
          </w:tcPr>
          <w:p w14:paraId="58D6AB13">
            <w:pPr>
              <w:adjustRightInd/>
              <w:snapToGrid/>
              <w:spacing w:line="240" w:lineRule="auto"/>
              <w:ind w:firstLine="0" w:firstLineChars="0"/>
              <w:jc w:val="center"/>
              <w:rPr>
                <w:color w:val="auto"/>
                <w:sz w:val="21"/>
                <w:szCs w:val="21"/>
              </w:rPr>
            </w:pPr>
            <w:r>
              <w:rPr>
                <w:color w:val="auto"/>
                <w:sz w:val="21"/>
                <w:szCs w:val="21"/>
              </w:rPr>
              <w:t>0.442</w:t>
            </w:r>
          </w:p>
        </w:tc>
        <w:tc>
          <w:tcPr>
            <w:tcW w:w="675" w:type="pct"/>
            <w:tcBorders>
              <w:tl2br w:val="nil"/>
              <w:tr2bl w:val="nil"/>
            </w:tcBorders>
            <w:vAlign w:val="center"/>
          </w:tcPr>
          <w:p w14:paraId="3E6DDEDB">
            <w:pPr>
              <w:adjustRightInd/>
              <w:snapToGrid/>
              <w:spacing w:line="240" w:lineRule="auto"/>
              <w:ind w:firstLine="0" w:firstLineChars="0"/>
              <w:jc w:val="center"/>
              <w:rPr>
                <w:color w:val="auto"/>
                <w:sz w:val="21"/>
                <w:szCs w:val="21"/>
              </w:rPr>
            </w:pPr>
            <w:r>
              <w:rPr>
                <w:color w:val="auto"/>
                <w:sz w:val="21"/>
                <w:szCs w:val="21"/>
              </w:rPr>
              <w:t>8.928</w:t>
            </w:r>
          </w:p>
        </w:tc>
      </w:tr>
      <w:tr w14:paraId="74139BE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02CBE3EC">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62F397CB">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36133664">
            <w:pPr>
              <w:adjustRightInd/>
              <w:snapToGrid/>
              <w:spacing w:line="240" w:lineRule="auto"/>
              <w:ind w:firstLine="0" w:firstLineChars="0"/>
              <w:jc w:val="center"/>
              <w:rPr>
                <w:color w:val="auto"/>
                <w:sz w:val="21"/>
                <w:szCs w:val="21"/>
              </w:rPr>
            </w:pPr>
            <w:r>
              <w:rPr>
                <w:color w:val="auto"/>
                <w:sz w:val="21"/>
                <w:szCs w:val="21"/>
              </w:rPr>
              <w:t>874.044</w:t>
            </w:r>
          </w:p>
        </w:tc>
        <w:tc>
          <w:tcPr>
            <w:tcW w:w="667" w:type="pct"/>
            <w:tcBorders>
              <w:tl2br w:val="nil"/>
              <w:tr2bl w:val="nil"/>
            </w:tcBorders>
            <w:vAlign w:val="center"/>
          </w:tcPr>
          <w:p w14:paraId="1A1A7D89">
            <w:pPr>
              <w:adjustRightInd/>
              <w:snapToGrid/>
              <w:spacing w:line="240" w:lineRule="auto"/>
              <w:ind w:firstLine="0" w:firstLineChars="0"/>
              <w:jc w:val="center"/>
              <w:rPr>
                <w:color w:val="auto"/>
                <w:sz w:val="21"/>
                <w:szCs w:val="21"/>
              </w:rPr>
            </w:pPr>
            <w:r>
              <w:rPr>
                <w:color w:val="auto"/>
                <w:sz w:val="21"/>
                <w:szCs w:val="21"/>
              </w:rPr>
              <w:t>22.308</w:t>
            </w:r>
          </w:p>
        </w:tc>
        <w:tc>
          <w:tcPr>
            <w:tcW w:w="832" w:type="pct"/>
            <w:tcBorders>
              <w:tl2br w:val="nil"/>
              <w:tr2bl w:val="nil"/>
            </w:tcBorders>
            <w:noWrap/>
            <w:vAlign w:val="center"/>
          </w:tcPr>
          <w:p w14:paraId="054EB722">
            <w:pPr>
              <w:adjustRightInd/>
              <w:snapToGrid/>
              <w:spacing w:line="240" w:lineRule="auto"/>
              <w:ind w:firstLine="0" w:firstLineChars="0"/>
              <w:jc w:val="center"/>
              <w:rPr>
                <w:color w:val="auto"/>
                <w:sz w:val="21"/>
                <w:szCs w:val="21"/>
              </w:rPr>
            </w:pPr>
            <w:r>
              <w:rPr>
                <w:color w:val="auto"/>
                <w:sz w:val="21"/>
                <w:szCs w:val="21"/>
              </w:rPr>
              <w:t>0.191</w:t>
            </w:r>
          </w:p>
        </w:tc>
        <w:tc>
          <w:tcPr>
            <w:tcW w:w="832" w:type="pct"/>
            <w:tcBorders>
              <w:tl2br w:val="nil"/>
              <w:tr2bl w:val="nil"/>
            </w:tcBorders>
            <w:noWrap/>
            <w:vAlign w:val="center"/>
          </w:tcPr>
          <w:p w14:paraId="37D435F8">
            <w:pPr>
              <w:adjustRightInd/>
              <w:snapToGrid/>
              <w:spacing w:line="240" w:lineRule="auto"/>
              <w:ind w:firstLine="0" w:firstLineChars="0"/>
              <w:jc w:val="center"/>
              <w:rPr>
                <w:color w:val="auto"/>
                <w:sz w:val="21"/>
                <w:szCs w:val="21"/>
              </w:rPr>
            </w:pPr>
            <w:r>
              <w:rPr>
                <w:color w:val="auto"/>
                <w:sz w:val="21"/>
                <w:szCs w:val="21"/>
              </w:rPr>
              <w:t>0.155</w:t>
            </w:r>
          </w:p>
        </w:tc>
        <w:tc>
          <w:tcPr>
            <w:tcW w:w="675" w:type="pct"/>
            <w:tcBorders>
              <w:tl2br w:val="nil"/>
              <w:tr2bl w:val="nil"/>
            </w:tcBorders>
            <w:vAlign w:val="center"/>
          </w:tcPr>
          <w:p w14:paraId="632741C9">
            <w:pPr>
              <w:adjustRightInd/>
              <w:snapToGrid/>
              <w:spacing w:line="240" w:lineRule="auto"/>
              <w:ind w:firstLine="0" w:firstLineChars="0"/>
              <w:jc w:val="center"/>
              <w:rPr>
                <w:color w:val="auto"/>
                <w:sz w:val="21"/>
                <w:szCs w:val="21"/>
              </w:rPr>
            </w:pPr>
            <w:r>
              <w:rPr>
                <w:color w:val="auto"/>
                <w:sz w:val="21"/>
                <w:szCs w:val="21"/>
              </w:rPr>
              <w:t>0.411</w:t>
            </w:r>
          </w:p>
        </w:tc>
      </w:tr>
      <w:tr w14:paraId="7004C84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2F51C01F">
            <w:pPr>
              <w:adjustRightInd/>
              <w:snapToGrid/>
              <w:spacing w:line="240" w:lineRule="auto"/>
              <w:ind w:firstLine="0" w:firstLineChars="0"/>
              <w:jc w:val="center"/>
              <w:rPr>
                <w:color w:val="auto"/>
                <w:sz w:val="21"/>
                <w:szCs w:val="21"/>
              </w:rPr>
            </w:pPr>
            <w:r>
              <w:rPr>
                <w:color w:val="auto"/>
                <w:sz w:val="21"/>
                <w:szCs w:val="21"/>
              </w:rPr>
              <w:t>2023年2月</w:t>
            </w:r>
          </w:p>
        </w:tc>
        <w:tc>
          <w:tcPr>
            <w:tcW w:w="545" w:type="pct"/>
            <w:tcBorders>
              <w:tl2br w:val="nil"/>
              <w:tr2bl w:val="nil"/>
            </w:tcBorders>
            <w:vAlign w:val="center"/>
          </w:tcPr>
          <w:p w14:paraId="6E4423D3">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471F4931">
            <w:pPr>
              <w:adjustRightInd/>
              <w:snapToGrid/>
              <w:spacing w:line="240" w:lineRule="auto"/>
              <w:ind w:firstLine="0" w:firstLineChars="0"/>
              <w:jc w:val="center"/>
              <w:rPr>
                <w:color w:val="auto"/>
                <w:sz w:val="21"/>
                <w:szCs w:val="21"/>
              </w:rPr>
            </w:pPr>
            <w:r>
              <w:rPr>
                <w:color w:val="auto"/>
                <w:sz w:val="21"/>
                <w:szCs w:val="21"/>
              </w:rPr>
              <w:t>11063.94</w:t>
            </w:r>
          </w:p>
        </w:tc>
        <w:tc>
          <w:tcPr>
            <w:tcW w:w="667" w:type="pct"/>
            <w:tcBorders>
              <w:tl2br w:val="nil"/>
              <w:tr2bl w:val="nil"/>
            </w:tcBorders>
            <w:vAlign w:val="center"/>
          </w:tcPr>
          <w:p w14:paraId="1647BA3D">
            <w:pPr>
              <w:adjustRightInd/>
              <w:snapToGrid/>
              <w:spacing w:line="240" w:lineRule="auto"/>
              <w:ind w:firstLine="0" w:firstLineChars="0"/>
              <w:jc w:val="center"/>
              <w:rPr>
                <w:color w:val="auto"/>
                <w:sz w:val="21"/>
                <w:szCs w:val="21"/>
              </w:rPr>
            </w:pPr>
            <w:r>
              <w:rPr>
                <w:color w:val="auto"/>
                <w:sz w:val="21"/>
                <w:szCs w:val="21"/>
              </w:rPr>
              <w:t>44.946</w:t>
            </w:r>
          </w:p>
        </w:tc>
        <w:tc>
          <w:tcPr>
            <w:tcW w:w="832" w:type="pct"/>
            <w:tcBorders>
              <w:tl2br w:val="nil"/>
              <w:tr2bl w:val="nil"/>
            </w:tcBorders>
            <w:noWrap/>
            <w:vAlign w:val="center"/>
          </w:tcPr>
          <w:p w14:paraId="58C07D0B">
            <w:pPr>
              <w:adjustRightInd/>
              <w:snapToGrid/>
              <w:spacing w:line="240" w:lineRule="auto"/>
              <w:ind w:firstLine="0" w:firstLineChars="0"/>
              <w:jc w:val="center"/>
              <w:rPr>
                <w:color w:val="auto"/>
                <w:sz w:val="21"/>
                <w:szCs w:val="21"/>
              </w:rPr>
            </w:pPr>
            <w:r>
              <w:rPr>
                <w:color w:val="auto"/>
                <w:sz w:val="21"/>
                <w:szCs w:val="21"/>
              </w:rPr>
              <w:t>2.825</w:t>
            </w:r>
          </w:p>
        </w:tc>
        <w:tc>
          <w:tcPr>
            <w:tcW w:w="832" w:type="pct"/>
            <w:tcBorders>
              <w:tl2br w:val="nil"/>
              <w:tr2bl w:val="nil"/>
            </w:tcBorders>
            <w:noWrap/>
            <w:vAlign w:val="center"/>
          </w:tcPr>
          <w:p w14:paraId="6B89E264">
            <w:pPr>
              <w:adjustRightInd/>
              <w:snapToGrid/>
              <w:spacing w:line="240" w:lineRule="auto"/>
              <w:ind w:firstLine="0" w:firstLineChars="0"/>
              <w:jc w:val="center"/>
              <w:rPr>
                <w:color w:val="auto"/>
                <w:sz w:val="21"/>
                <w:szCs w:val="21"/>
              </w:rPr>
            </w:pPr>
            <w:r>
              <w:rPr>
                <w:color w:val="auto"/>
                <w:sz w:val="21"/>
                <w:szCs w:val="21"/>
              </w:rPr>
              <w:t>0.407</w:t>
            </w:r>
          </w:p>
        </w:tc>
        <w:tc>
          <w:tcPr>
            <w:tcW w:w="675" w:type="pct"/>
            <w:tcBorders>
              <w:tl2br w:val="nil"/>
              <w:tr2bl w:val="nil"/>
            </w:tcBorders>
            <w:vAlign w:val="center"/>
          </w:tcPr>
          <w:p w14:paraId="23BEF68A">
            <w:pPr>
              <w:adjustRightInd/>
              <w:snapToGrid/>
              <w:spacing w:line="240" w:lineRule="auto"/>
              <w:ind w:firstLine="0" w:firstLineChars="0"/>
              <w:jc w:val="center"/>
              <w:rPr>
                <w:color w:val="auto"/>
                <w:sz w:val="21"/>
                <w:szCs w:val="21"/>
              </w:rPr>
            </w:pPr>
            <w:r>
              <w:rPr>
                <w:color w:val="auto"/>
                <w:sz w:val="21"/>
                <w:szCs w:val="21"/>
              </w:rPr>
              <w:t>8.919</w:t>
            </w:r>
          </w:p>
        </w:tc>
      </w:tr>
      <w:tr w14:paraId="5712CC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02850659">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445125D3">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7824F0E9">
            <w:pPr>
              <w:adjustRightInd/>
              <w:snapToGrid/>
              <w:spacing w:line="240" w:lineRule="auto"/>
              <w:ind w:firstLine="0" w:firstLineChars="0"/>
              <w:jc w:val="center"/>
              <w:rPr>
                <w:color w:val="auto"/>
                <w:sz w:val="21"/>
                <w:szCs w:val="21"/>
              </w:rPr>
            </w:pPr>
            <w:r>
              <w:rPr>
                <w:color w:val="auto"/>
                <w:sz w:val="21"/>
                <w:szCs w:val="21"/>
              </w:rPr>
              <w:t>1249.743</w:t>
            </w:r>
          </w:p>
        </w:tc>
        <w:tc>
          <w:tcPr>
            <w:tcW w:w="667" w:type="pct"/>
            <w:tcBorders>
              <w:tl2br w:val="nil"/>
              <w:tr2bl w:val="nil"/>
            </w:tcBorders>
            <w:vAlign w:val="center"/>
          </w:tcPr>
          <w:p w14:paraId="3C3B02A5">
            <w:pPr>
              <w:adjustRightInd/>
              <w:snapToGrid/>
              <w:spacing w:line="240" w:lineRule="auto"/>
              <w:ind w:firstLine="0" w:firstLineChars="0"/>
              <w:jc w:val="center"/>
              <w:rPr>
                <w:color w:val="auto"/>
                <w:sz w:val="21"/>
                <w:szCs w:val="21"/>
              </w:rPr>
            </w:pPr>
            <w:r>
              <w:rPr>
                <w:color w:val="auto"/>
                <w:sz w:val="21"/>
                <w:szCs w:val="21"/>
              </w:rPr>
              <w:t>18.134</w:t>
            </w:r>
          </w:p>
        </w:tc>
        <w:tc>
          <w:tcPr>
            <w:tcW w:w="832" w:type="pct"/>
            <w:tcBorders>
              <w:tl2br w:val="nil"/>
              <w:tr2bl w:val="nil"/>
            </w:tcBorders>
            <w:noWrap/>
            <w:vAlign w:val="center"/>
          </w:tcPr>
          <w:p w14:paraId="3EE15247">
            <w:pPr>
              <w:adjustRightInd/>
              <w:snapToGrid/>
              <w:spacing w:line="240" w:lineRule="auto"/>
              <w:ind w:firstLine="0" w:firstLineChars="0"/>
              <w:jc w:val="center"/>
              <w:rPr>
                <w:color w:val="auto"/>
                <w:sz w:val="21"/>
                <w:szCs w:val="21"/>
              </w:rPr>
            </w:pPr>
            <w:r>
              <w:rPr>
                <w:color w:val="auto"/>
                <w:sz w:val="21"/>
                <w:szCs w:val="21"/>
              </w:rPr>
              <w:t>0.401</w:t>
            </w:r>
          </w:p>
        </w:tc>
        <w:tc>
          <w:tcPr>
            <w:tcW w:w="832" w:type="pct"/>
            <w:tcBorders>
              <w:tl2br w:val="nil"/>
              <w:tr2bl w:val="nil"/>
            </w:tcBorders>
            <w:noWrap/>
            <w:vAlign w:val="center"/>
          </w:tcPr>
          <w:p w14:paraId="651E3B91">
            <w:pPr>
              <w:adjustRightInd/>
              <w:snapToGrid/>
              <w:spacing w:line="240" w:lineRule="auto"/>
              <w:ind w:firstLine="0" w:firstLineChars="0"/>
              <w:jc w:val="center"/>
              <w:rPr>
                <w:color w:val="auto"/>
                <w:sz w:val="21"/>
                <w:szCs w:val="21"/>
              </w:rPr>
            </w:pPr>
            <w:r>
              <w:rPr>
                <w:color w:val="auto"/>
                <w:sz w:val="21"/>
                <w:szCs w:val="21"/>
              </w:rPr>
              <w:t>0.243</w:t>
            </w:r>
          </w:p>
        </w:tc>
        <w:tc>
          <w:tcPr>
            <w:tcW w:w="675" w:type="pct"/>
            <w:tcBorders>
              <w:tl2br w:val="nil"/>
              <w:tr2bl w:val="nil"/>
            </w:tcBorders>
            <w:vAlign w:val="center"/>
          </w:tcPr>
          <w:p w14:paraId="53E01858">
            <w:pPr>
              <w:adjustRightInd/>
              <w:snapToGrid/>
              <w:spacing w:line="240" w:lineRule="auto"/>
              <w:ind w:firstLine="0" w:firstLineChars="0"/>
              <w:jc w:val="center"/>
              <w:rPr>
                <w:color w:val="auto"/>
                <w:sz w:val="21"/>
                <w:szCs w:val="21"/>
              </w:rPr>
            </w:pPr>
            <w:r>
              <w:rPr>
                <w:color w:val="auto"/>
                <w:sz w:val="21"/>
                <w:szCs w:val="21"/>
              </w:rPr>
              <w:t>1.467</w:t>
            </w:r>
          </w:p>
        </w:tc>
      </w:tr>
      <w:tr w14:paraId="622AF6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0742C11F">
            <w:pPr>
              <w:adjustRightInd/>
              <w:snapToGrid/>
              <w:spacing w:line="240" w:lineRule="auto"/>
              <w:ind w:firstLine="0" w:firstLineChars="0"/>
              <w:jc w:val="center"/>
              <w:rPr>
                <w:color w:val="auto"/>
                <w:sz w:val="21"/>
                <w:szCs w:val="21"/>
              </w:rPr>
            </w:pPr>
            <w:r>
              <w:rPr>
                <w:color w:val="auto"/>
                <w:sz w:val="21"/>
                <w:szCs w:val="21"/>
              </w:rPr>
              <w:t>2023年3月</w:t>
            </w:r>
          </w:p>
        </w:tc>
        <w:tc>
          <w:tcPr>
            <w:tcW w:w="545" w:type="pct"/>
            <w:tcBorders>
              <w:tl2br w:val="nil"/>
              <w:tr2bl w:val="nil"/>
            </w:tcBorders>
            <w:vAlign w:val="center"/>
          </w:tcPr>
          <w:p w14:paraId="26F7858D">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00CB2A0C">
            <w:pPr>
              <w:adjustRightInd/>
              <w:snapToGrid/>
              <w:spacing w:line="240" w:lineRule="auto"/>
              <w:ind w:firstLine="0" w:firstLineChars="0"/>
              <w:jc w:val="center"/>
              <w:rPr>
                <w:color w:val="auto"/>
                <w:sz w:val="21"/>
                <w:szCs w:val="21"/>
              </w:rPr>
            </w:pPr>
            <w:r>
              <w:rPr>
                <w:color w:val="auto"/>
                <w:sz w:val="21"/>
                <w:szCs w:val="21"/>
              </w:rPr>
              <w:t>10933.35</w:t>
            </w:r>
          </w:p>
        </w:tc>
        <w:tc>
          <w:tcPr>
            <w:tcW w:w="667" w:type="pct"/>
            <w:tcBorders>
              <w:tl2br w:val="nil"/>
              <w:tr2bl w:val="nil"/>
            </w:tcBorders>
            <w:vAlign w:val="center"/>
          </w:tcPr>
          <w:p w14:paraId="0D18CE34">
            <w:pPr>
              <w:adjustRightInd/>
              <w:snapToGrid/>
              <w:spacing w:line="240" w:lineRule="auto"/>
              <w:ind w:firstLine="0" w:firstLineChars="0"/>
              <w:jc w:val="center"/>
              <w:rPr>
                <w:color w:val="auto"/>
                <w:sz w:val="21"/>
                <w:szCs w:val="21"/>
              </w:rPr>
            </w:pPr>
            <w:r>
              <w:rPr>
                <w:color w:val="auto"/>
                <w:sz w:val="21"/>
                <w:szCs w:val="21"/>
              </w:rPr>
              <w:t>41.44</w:t>
            </w:r>
          </w:p>
        </w:tc>
        <w:tc>
          <w:tcPr>
            <w:tcW w:w="832" w:type="pct"/>
            <w:tcBorders>
              <w:tl2br w:val="nil"/>
              <w:tr2bl w:val="nil"/>
            </w:tcBorders>
            <w:noWrap/>
            <w:vAlign w:val="center"/>
          </w:tcPr>
          <w:p w14:paraId="0BAB4B14">
            <w:pPr>
              <w:adjustRightInd/>
              <w:snapToGrid/>
              <w:spacing w:line="240" w:lineRule="auto"/>
              <w:ind w:firstLine="0" w:firstLineChars="0"/>
              <w:jc w:val="center"/>
              <w:rPr>
                <w:color w:val="auto"/>
                <w:sz w:val="21"/>
                <w:szCs w:val="21"/>
              </w:rPr>
            </w:pPr>
            <w:r>
              <w:rPr>
                <w:color w:val="auto"/>
                <w:sz w:val="21"/>
                <w:szCs w:val="21"/>
              </w:rPr>
              <w:t>2.454</w:t>
            </w:r>
          </w:p>
        </w:tc>
        <w:tc>
          <w:tcPr>
            <w:tcW w:w="832" w:type="pct"/>
            <w:tcBorders>
              <w:tl2br w:val="nil"/>
              <w:tr2bl w:val="nil"/>
            </w:tcBorders>
            <w:noWrap/>
            <w:vAlign w:val="center"/>
          </w:tcPr>
          <w:p w14:paraId="456C075C">
            <w:pPr>
              <w:adjustRightInd/>
              <w:snapToGrid/>
              <w:spacing w:line="240" w:lineRule="auto"/>
              <w:ind w:firstLine="0" w:firstLineChars="0"/>
              <w:jc w:val="center"/>
              <w:rPr>
                <w:color w:val="auto"/>
                <w:sz w:val="21"/>
                <w:szCs w:val="21"/>
              </w:rPr>
            </w:pPr>
            <w:r>
              <w:rPr>
                <w:color w:val="auto"/>
                <w:sz w:val="21"/>
                <w:szCs w:val="21"/>
              </w:rPr>
              <w:t>0.316</w:t>
            </w:r>
          </w:p>
        </w:tc>
        <w:tc>
          <w:tcPr>
            <w:tcW w:w="675" w:type="pct"/>
            <w:tcBorders>
              <w:tl2br w:val="nil"/>
              <w:tr2bl w:val="nil"/>
            </w:tcBorders>
            <w:vAlign w:val="center"/>
          </w:tcPr>
          <w:p w14:paraId="5C632262">
            <w:pPr>
              <w:adjustRightInd/>
              <w:snapToGrid/>
              <w:spacing w:line="240" w:lineRule="auto"/>
              <w:ind w:firstLine="0" w:firstLineChars="0"/>
              <w:jc w:val="center"/>
              <w:rPr>
                <w:color w:val="auto"/>
                <w:sz w:val="21"/>
                <w:szCs w:val="21"/>
              </w:rPr>
            </w:pPr>
            <w:r>
              <w:rPr>
                <w:color w:val="auto"/>
                <w:sz w:val="21"/>
                <w:szCs w:val="21"/>
              </w:rPr>
              <w:t>6.219</w:t>
            </w:r>
          </w:p>
        </w:tc>
      </w:tr>
      <w:tr w14:paraId="60BD0CE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254136BF">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51DE07B7">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4DDAD883">
            <w:pPr>
              <w:adjustRightInd/>
              <w:snapToGrid/>
              <w:spacing w:line="240" w:lineRule="auto"/>
              <w:ind w:firstLine="0" w:firstLineChars="0"/>
              <w:jc w:val="center"/>
              <w:rPr>
                <w:color w:val="auto"/>
                <w:sz w:val="21"/>
                <w:szCs w:val="21"/>
              </w:rPr>
            </w:pPr>
            <w:r>
              <w:rPr>
                <w:color w:val="auto"/>
                <w:sz w:val="21"/>
                <w:szCs w:val="21"/>
              </w:rPr>
              <w:t>465.367</w:t>
            </w:r>
          </w:p>
        </w:tc>
        <w:tc>
          <w:tcPr>
            <w:tcW w:w="667" w:type="pct"/>
            <w:tcBorders>
              <w:tl2br w:val="nil"/>
              <w:tr2bl w:val="nil"/>
            </w:tcBorders>
            <w:vAlign w:val="center"/>
          </w:tcPr>
          <w:p w14:paraId="5FB0FC0B">
            <w:pPr>
              <w:adjustRightInd/>
              <w:snapToGrid/>
              <w:spacing w:line="240" w:lineRule="auto"/>
              <w:ind w:firstLine="0" w:firstLineChars="0"/>
              <w:jc w:val="center"/>
              <w:rPr>
                <w:color w:val="auto"/>
                <w:sz w:val="21"/>
                <w:szCs w:val="21"/>
              </w:rPr>
            </w:pPr>
            <w:r>
              <w:rPr>
                <w:color w:val="auto"/>
                <w:sz w:val="21"/>
                <w:szCs w:val="21"/>
              </w:rPr>
              <w:t>22.968</w:t>
            </w:r>
          </w:p>
        </w:tc>
        <w:tc>
          <w:tcPr>
            <w:tcW w:w="832" w:type="pct"/>
            <w:tcBorders>
              <w:tl2br w:val="nil"/>
              <w:tr2bl w:val="nil"/>
            </w:tcBorders>
            <w:noWrap/>
            <w:vAlign w:val="center"/>
          </w:tcPr>
          <w:p w14:paraId="23C225C3">
            <w:pPr>
              <w:adjustRightInd/>
              <w:snapToGrid/>
              <w:spacing w:line="240" w:lineRule="auto"/>
              <w:ind w:firstLine="0" w:firstLineChars="0"/>
              <w:jc w:val="center"/>
              <w:rPr>
                <w:color w:val="auto"/>
                <w:sz w:val="21"/>
                <w:szCs w:val="21"/>
              </w:rPr>
            </w:pPr>
            <w:r>
              <w:rPr>
                <w:color w:val="auto"/>
                <w:sz w:val="21"/>
                <w:szCs w:val="21"/>
              </w:rPr>
              <w:t>0.193</w:t>
            </w:r>
          </w:p>
        </w:tc>
        <w:tc>
          <w:tcPr>
            <w:tcW w:w="832" w:type="pct"/>
            <w:tcBorders>
              <w:tl2br w:val="nil"/>
              <w:tr2bl w:val="nil"/>
            </w:tcBorders>
            <w:noWrap/>
            <w:vAlign w:val="center"/>
          </w:tcPr>
          <w:p w14:paraId="6A2F75AA">
            <w:pPr>
              <w:adjustRightInd/>
              <w:snapToGrid/>
              <w:spacing w:line="240" w:lineRule="auto"/>
              <w:ind w:firstLine="0" w:firstLineChars="0"/>
              <w:jc w:val="center"/>
              <w:rPr>
                <w:color w:val="auto"/>
                <w:sz w:val="21"/>
                <w:szCs w:val="21"/>
              </w:rPr>
            </w:pPr>
            <w:r>
              <w:rPr>
                <w:color w:val="auto"/>
                <w:sz w:val="21"/>
                <w:szCs w:val="21"/>
              </w:rPr>
              <w:t>0.123</w:t>
            </w:r>
          </w:p>
        </w:tc>
        <w:tc>
          <w:tcPr>
            <w:tcW w:w="675" w:type="pct"/>
            <w:tcBorders>
              <w:tl2br w:val="nil"/>
              <w:tr2bl w:val="nil"/>
            </w:tcBorders>
            <w:vAlign w:val="center"/>
          </w:tcPr>
          <w:p w14:paraId="39C1F411">
            <w:pPr>
              <w:adjustRightInd/>
              <w:snapToGrid/>
              <w:spacing w:line="240" w:lineRule="auto"/>
              <w:ind w:firstLine="0" w:firstLineChars="0"/>
              <w:jc w:val="center"/>
              <w:rPr>
                <w:color w:val="auto"/>
                <w:sz w:val="21"/>
                <w:szCs w:val="21"/>
              </w:rPr>
            </w:pPr>
            <w:r>
              <w:rPr>
                <w:color w:val="auto"/>
                <w:sz w:val="21"/>
                <w:szCs w:val="21"/>
              </w:rPr>
              <w:t>1.286</w:t>
            </w:r>
          </w:p>
        </w:tc>
      </w:tr>
      <w:tr w14:paraId="72EC730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4FA62815">
            <w:pPr>
              <w:adjustRightInd/>
              <w:snapToGrid/>
              <w:spacing w:line="240" w:lineRule="auto"/>
              <w:ind w:firstLine="0" w:firstLineChars="0"/>
              <w:jc w:val="center"/>
              <w:rPr>
                <w:color w:val="auto"/>
                <w:sz w:val="21"/>
                <w:szCs w:val="21"/>
              </w:rPr>
            </w:pPr>
            <w:r>
              <w:rPr>
                <w:color w:val="auto"/>
                <w:sz w:val="21"/>
                <w:szCs w:val="21"/>
              </w:rPr>
              <w:t>2023年4月</w:t>
            </w:r>
          </w:p>
        </w:tc>
        <w:tc>
          <w:tcPr>
            <w:tcW w:w="545" w:type="pct"/>
            <w:tcBorders>
              <w:tl2br w:val="nil"/>
              <w:tr2bl w:val="nil"/>
            </w:tcBorders>
            <w:vAlign w:val="center"/>
          </w:tcPr>
          <w:p w14:paraId="345C7FC0">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5B9DC596">
            <w:pPr>
              <w:adjustRightInd/>
              <w:snapToGrid/>
              <w:spacing w:line="240" w:lineRule="auto"/>
              <w:ind w:firstLine="0" w:firstLineChars="0"/>
              <w:jc w:val="center"/>
              <w:rPr>
                <w:color w:val="auto"/>
                <w:sz w:val="21"/>
                <w:szCs w:val="21"/>
              </w:rPr>
            </w:pPr>
            <w:r>
              <w:rPr>
                <w:color w:val="auto"/>
                <w:sz w:val="21"/>
                <w:szCs w:val="21"/>
              </w:rPr>
              <w:t>9246.564</w:t>
            </w:r>
          </w:p>
        </w:tc>
        <w:tc>
          <w:tcPr>
            <w:tcW w:w="667" w:type="pct"/>
            <w:tcBorders>
              <w:tl2br w:val="nil"/>
              <w:tr2bl w:val="nil"/>
            </w:tcBorders>
            <w:vAlign w:val="center"/>
          </w:tcPr>
          <w:p w14:paraId="4EB1E75B">
            <w:pPr>
              <w:adjustRightInd/>
              <w:snapToGrid/>
              <w:spacing w:line="240" w:lineRule="auto"/>
              <w:ind w:firstLine="0" w:firstLineChars="0"/>
              <w:jc w:val="center"/>
              <w:rPr>
                <w:color w:val="auto"/>
                <w:sz w:val="21"/>
                <w:szCs w:val="21"/>
              </w:rPr>
            </w:pPr>
            <w:r>
              <w:rPr>
                <w:color w:val="auto"/>
                <w:sz w:val="21"/>
                <w:szCs w:val="21"/>
              </w:rPr>
              <w:t>45.849</w:t>
            </w:r>
          </w:p>
        </w:tc>
        <w:tc>
          <w:tcPr>
            <w:tcW w:w="832" w:type="pct"/>
            <w:tcBorders>
              <w:tl2br w:val="nil"/>
              <w:tr2bl w:val="nil"/>
            </w:tcBorders>
            <w:noWrap/>
            <w:vAlign w:val="center"/>
          </w:tcPr>
          <w:p w14:paraId="1A055C10">
            <w:pPr>
              <w:adjustRightInd/>
              <w:snapToGrid/>
              <w:spacing w:line="240" w:lineRule="auto"/>
              <w:ind w:firstLine="0" w:firstLineChars="0"/>
              <w:jc w:val="center"/>
              <w:rPr>
                <w:color w:val="auto"/>
                <w:sz w:val="21"/>
                <w:szCs w:val="21"/>
              </w:rPr>
            </w:pPr>
            <w:r>
              <w:rPr>
                <w:color w:val="auto"/>
                <w:sz w:val="21"/>
                <w:szCs w:val="21"/>
              </w:rPr>
              <w:t>0.878</w:t>
            </w:r>
          </w:p>
        </w:tc>
        <w:tc>
          <w:tcPr>
            <w:tcW w:w="832" w:type="pct"/>
            <w:tcBorders>
              <w:tl2br w:val="nil"/>
              <w:tr2bl w:val="nil"/>
            </w:tcBorders>
            <w:noWrap/>
            <w:vAlign w:val="center"/>
          </w:tcPr>
          <w:p w14:paraId="5AA988A9">
            <w:pPr>
              <w:adjustRightInd/>
              <w:snapToGrid/>
              <w:spacing w:line="240" w:lineRule="auto"/>
              <w:ind w:firstLine="0" w:firstLineChars="0"/>
              <w:jc w:val="center"/>
              <w:rPr>
                <w:color w:val="auto"/>
                <w:sz w:val="21"/>
                <w:szCs w:val="21"/>
              </w:rPr>
            </w:pPr>
            <w:r>
              <w:rPr>
                <w:color w:val="auto"/>
                <w:sz w:val="21"/>
                <w:szCs w:val="21"/>
              </w:rPr>
              <w:t>0.316</w:t>
            </w:r>
          </w:p>
        </w:tc>
        <w:tc>
          <w:tcPr>
            <w:tcW w:w="675" w:type="pct"/>
            <w:tcBorders>
              <w:tl2br w:val="nil"/>
              <w:tr2bl w:val="nil"/>
            </w:tcBorders>
            <w:vAlign w:val="center"/>
          </w:tcPr>
          <w:p w14:paraId="34EC93BC">
            <w:pPr>
              <w:adjustRightInd/>
              <w:snapToGrid/>
              <w:spacing w:line="240" w:lineRule="auto"/>
              <w:ind w:firstLine="0" w:firstLineChars="0"/>
              <w:jc w:val="center"/>
              <w:rPr>
                <w:color w:val="auto"/>
                <w:sz w:val="21"/>
                <w:szCs w:val="21"/>
              </w:rPr>
            </w:pPr>
            <w:r>
              <w:rPr>
                <w:color w:val="auto"/>
                <w:sz w:val="21"/>
                <w:szCs w:val="21"/>
              </w:rPr>
              <w:t>3.958</w:t>
            </w:r>
          </w:p>
        </w:tc>
      </w:tr>
      <w:tr w14:paraId="2721DC8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7406BF2B">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41E0C1CB">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6677553F">
            <w:pPr>
              <w:adjustRightInd/>
              <w:snapToGrid/>
              <w:spacing w:line="240" w:lineRule="auto"/>
              <w:ind w:firstLine="0" w:firstLineChars="0"/>
              <w:jc w:val="center"/>
              <w:rPr>
                <w:color w:val="auto"/>
                <w:sz w:val="21"/>
                <w:szCs w:val="21"/>
              </w:rPr>
            </w:pPr>
            <w:r>
              <w:rPr>
                <w:color w:val="auto"/>
                <w:sz w:val="21"/>
                <w:szCs w:val="21"/>
              </w:rPr>
              <w:t>5273.793</w:t>
            </w:r>
          </w:p>
        </w:tc>
        <w:tc>
          <w:tcPr>
            <w:tcW w:w="667" w:type="pct"/>
            <w:tcBorders>
              <w:tl2br w:val="nil"/>
              <w:tr2bl w:val="nil"/>
            </w:tcBorders>
            <w:vAlign w:val="center"/>
          </w:tcPr>
          <w:p w14:paraId="0B0E3D30">
            <w:pPr>
              <w:adjustRightInd/>
              <w:snapToGrid/>
              <w:spacing w:line="240" w:lineRule="auto"/>
              <w:ind w:firstLine="0" w:firstLineChars="0"/>
              <w:jc w:val="center"/>
              <w:rPr>
                <w:color w:val="auto"/>
                <w:sz w:val="21"/>
                <w:szCs w:val="21"/>
              </w:rPr>
            </w:pPr>
            <w:r>
              <w:rPr>
                <w:color w:val="auto"/>
                <w:sz w:val="21"/>
                <w:szCs w:val="21"/>
              </w:rPr>
              <w:t>32.474</w:t>
            </w:r>
          </w:p>
        </w:tc>
        <w:tc>
          <w:tcPr>
            <w:tcW w:w="832" w:type="pct"/>
            <w:tcBorders>
              <w:tl2br w:val="nil"/>
              <w:tr2bl w:val="nil"/>
            </w:tcBorders>
            <w:noWrap/>
            <w:vAlign w:val="center"/>
          </w:tcPr>
          <w:p w14:paraId="3C4E121C">
            <w:pPr>
              <w:adjustRightInd/>
              <w:snapToGrid/>
              <w:spacing w:line="240" w:lineRule="auto"/>
              <w:ind w:firstLine="0" w:firstLineChars="0"/>
              <w:jc w:val="center"/>
              <w:rPr>
                <w:color w:val="auto"/>
                <w:sz w:val="21"/>
                <w:szCs w:val="21"/>
              </w:rPr>
            </w:pPr>
            <w:r>
              <w:rPr>
                <w:color w:val="auto"/>
                <w:sz w:val="21"/>
                <w:szCs w:val="21"/>
              </w:rPr>
              <w:t>0.129</w:t>
            </w:r>
          </w:p>
        </w:tc>
        <w:tc>
          <w:tcPr>
            <w:tcW w:w="832" w:type="pct"/>
            <w:tcBorders>
              <w:tl2br w:val="nil"/>
              <w:tr2bl w:val="nil"/>
            </w:tcBorders>
            <w:noWrap/>
            <w:vAlign w:val="center"/>
          </w:tcPr>
          <w:p w14:paraId="1A199471">
            <w:pPr>
              <w:adjustRightInd/>
              <w:snapToGrid/>
              <w:spacing w:line="240" w:lineRule="auto"/>
              <w:ind w:firstLine="0" w:firstLineChars="0"/>
              <w:jc w:val="center"/>
              <w:rPr>
                <w:color w:val="auto"/>
                <w:sz w:val="21"/>
                <w:szCs w:val="21"/>
              </w:rPr>
            </w:pPr>
            <w:r>
              <w:rPr>
                <w:color w:val="auto"/>
                <w:sz w:val="21"/>
                <w:szCs w:val="21"/>
              </w:rPr>
              <w:t>0.061</w:t>
            </w:r>
          </w:p>
        </w:tc>
        <w:tc>
          <w:tcPr>
            <w:tcW w:w="675" w:type="pct"/>
            <w:tcBorders>
              <w:tl2br w:val="nil"/>
              <w:tr2bl w:val="nil"/>
            </w:tcBorders>
            <w:vAlign w:val="center"/>
          </w:tcPr>
          <w:p w14:paraId="6260657A">
            <w:pPr>
              <w:adjustRightInd/>
              <w:snapToGrid/>
              <w:spacing w:line="240" w:lineRule="auto"/>
              <w:ind w:firstLine="0" w:firstLineChars="0"/>
              <w:jc w:val="center"/>
              <w:rPr>
                <w:color w:val="auto"/>
                <w:sz w:val="21"/>
                <w:szCs w:val="21"/>
              </w:rPr>
            </w:pPr>
            <w:r>
              <w:rPr>
                <w:color w:val="auto"/>
                <w:sz w:val="21"/>
                <w:szCs w:val="21"/>
              </w:rPr>
              <w:t>0.662</w:t>
            </w:r>
          </w:p>
        </w:tc>
      </w:tr>
      <w:tr w14:paraId="5A185E0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5915ED66">
            <w:pPr>
              <w:adjustRightInd/>
              <w:snapToGrid/>
              <w:spacing w:line="240" w:lineRule="auto"/>
              <w:ind w:firstLine="0" w:firstLineChars="0"/>
              <w:jc w:val="center"/>
              <w:rPr>
                <w:color w:val="auto"/>
                <w:sz w:val="21"/>
                <w:szCs w:val="21"/>
              </w:rPr>
            </w:pPr>
            <w:r>
              <w:rPr>
                <w:color w:val="auto"/>
                <w:sz w:val="21"/>
                <w:szCs w:val="21"/>
              </w:rPr>
              <w:t>2023年5月</w:t>
            </w:r>
          </w:p>
        </w:tc>
        <w:tc>
          <w:tcPr>
            <w:tcW w:w="545" w:type="pct"/>
            <w:tcBorders>
              <w:tl2br w:val="nil"/>
              <w:tr2bl w:val="nil"/>
            </w:tcBorders>
            <w:vAlign w:val="center"/>
          </w:tcPr>
          <w:p w14:paraId="39415166">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19DC8CC0">
            <w:pPr>
              <w:adjustRightInd/>
              <w:snapToGrid/>
              <w:spacing w:line="240" w:lineRule="auto"/>
              <w:ind w:firstLine="0" w:firstLineChars="0"/>
              <w:jc w:val="center"/>
              <w:rPr>
                <w:color w:val="auto"/>
                <w:sz w:val="21"/>
                <w:szCs w:val="21"/>
              </w:rPr>
            </w:pPr>
            <w:r>
              <w:rPr>
                <w:color w:val="auto"/>
                <w:sz w:val="21"/>
                <w:szCs w:val="21"/>
              </w:rPr>
              <w:t>7832.128</w:t>
            </w:r>
          </w:p>
        </w:tc>
        <w:tc>
          <w:tcPr>
            <w:tcW w:w="667" w:type="pct"/>
            <w:tcBorders>
              <w:tl2br w:val="nil"/>
              <w:tr2bl w:val="nil"/>
            </w:tcBorders>
            <w:vAlign w:val="center"/>
          </w:tcPr>
          <w:p w14:paraId="3D105B4C">
            <w:pPr>
              <w:adjustRightInd/>
              <w:snapToGrid/>
              <w:spacing w:line="240" w:lineRule="auto"/>
              <w:ind w:firstLine="0" w:firstLineChars="0"/>
              <w:jc w:val="center"/>
              <w:rPr>
                <w:color w:val="auto"/>
                <w:sz w:val="21"/>
                <w:szCs w:val="21"/>
              </w:rPr>
            </w:pPr>
            <w:r>
              <w:rPr>
                <w:color w:val="auto"/>
                <w:sz w:val="21"/>
                <w:szCs w:val="21"/>
              </w:rPr>
              <w:t>43.193</w:t>
            </w:r>
          </w:p>
        </w:tc>
        <w:tc>
          <w:tcPr>
            <w:tcW w:w="832" w:type="pct"/>
            <w:tcBorders>
              <w:tl2br w:val="nil"/>
              <w:tr2bl w:val="nil"/>
            </w:tcBorders>
            <w:noWrap/>
            <w:vAlign w:val="center"/>
          </w:tcPr>
          <w:p w14:paraId="378B3945">
            <w:pPr>
              <w:adjustRightInd/>
              <w:snapToGrid/>
              <w:spacing w:line="240" w:lineRule="auto"/>
              <w:ind w:firstLine="0" w:firstLineChars="0"/>
              <w:jc w:val="center"/>
              <w:rPr>
                <w:color w:val="auto"/>
                <w:sz w:val="21"/>
                <w:szCs w:val="21"/>
              </w:rPr>
            </w:pPr>
            <w:r>
              <w:rPr>
                <w:color w:val="auto"/>
                <w:sz w:val="21"/>
                <w:szCs w:val="21"/>
              </w:rPr>
              <w:t>0.698</w:t>
            </w:r>
          </w:p>
        </w:tc>
        <w:tc>
          <w:tcPr>
            <w:tcW w:w="832" w:type="pct"/>
            <w:tcBorders>
              <w:tl2br w:val="nil"/>
              <w:tr2bl w:val="nil"/>
            </w:tcBorders>
            <w:noWrap/>
            <w:vAlign w:val="center"/>
          </w:tcPr>
          <w:p w14:paraId="7320CA8E">
            <w:pPr>
              <w:adjustRightInd/>
              <w:snapToGrid/>
              <w:spacing w:line="240" w:lineRule="auto"/>
              <w:ind w:firstLine="0" w:firstLineChars="0"/>
              <w:jc w:val="center"/>
              <w:rPr>
                <w:color w:val="auto"/>
                <w:sz w:val="21"/>
                <w:szCs w:val="21"/>
              </w:rPr>
            </w:pPr>
            <w:r>
              <w:rPr>
                <w:color w:val="auto"/>
                <w:sz w:val="21"/>
                <w:szCs w:val="21"/>
              </w:rPr>
              <w:t>0.234</w:t>
            </w:r>
          </w:p>
        </w:tc>
        <w:tc>
          <w:tcPr>
            <w:tcW w:w="675" w:type="pct"/>
            <w:tcBorders>
              <w:tl2br w:val="nil"/>
              <w:tr2bl w:val="nil"/>
            </w:tcBorders>
            <w:vAlign w:val="center"/>
          </w:tcPr>
          <w:p w14:paraId="4C079628">
            <w:pPr>
              <w:adjustRightInd/>
              <w:snapToGrid/>
              <w:spacing w:line="240" w:lineRule="auto"/>
              <w:ind w:firstLine="0" w:firstLineChars="0"/>
              <w:jc w:val="center"/>
              <w:rPr>
                <w:color w:val="auto"/>
                <w:sz w:val="21"/>
                <w:szCs w:val="21"/>
              </w:rPr>
            </w:pPr>
            <w:r>
              <w:rPr>
                <w:color w:val="auto"/>
                <w:sz w:val="21"/>
                <w:szCs w:val="21"/>
              </w:rPr>
              <w:t>5.103</w:t>
            </w:r>
          </w:p>
        </w:tc>
      </w:tr>
      <w:tr w14:paraId="2761DC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73DB7EFD">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46A3B150">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10D61837">
            <w:pPr>
              <w:adjustRightInd/>
              <w:snapToGrid/>
              <w:spacing w:line="240" w:lineRule="auto"/>
              <w:ind w:firstLine="0" w:firstLineChars="0"/>
              <w:jc w:val="center"/>
              <w:rPr>
                <w:color w:val="auto"/>
                <w:sz w:val="21"/>
                <w:szCs w:val="21"/>
              </w:rPr>
            </w:pPr>
            <w:r>
              <w:rPr>
                <w:color w:val="auto"/>
                <w:sz w:val="21"/>
                <w:szCs w:val="21"/>
              </w:rPr>
              <w:t>1574.499</w:t>
            </w:r>
          </w:p>
        </w:tc>
        <w:tc>
          <w:tcPr>
            <w:tcW w:w="667" w:type="pct"/>
            <w:tcBorders>
              <w:tl2br w:val="nil"/>
              <w:tr2bl w:val="nil"/>
            </w:tcBorders>
            <w:vAlign w:val="center"/>
          </w:tcPr>
          <w:p w14:paraId="006BBAC5">
            <w:pPr>
              <w:adjustRightInd/>
              <w:snapToGrid/>
              <w:spacing w:line="240" w:lineRule="auto"/>
              <w:ind w:firstLine="0" w:firstLineChars="0"/>
              <w:jc w:val="center"/>
              <w:rPr>
                <w:color w:val="auto"/>
                <w:sz w:val="21"/>
                <w:szCs w:val="21"/>
              </w:rPr>
            </w:pPr>
            <w:r>
              <w:rPr>
                <w:color w:val="auto"/>
                <w:sz w:val="21"/>
                <w:szCs w:val="21"/>
              </w:rPr>
              <w:t>30.456</w:t>
            </w:r>
          </w:p>
        </w:tc>
        <w:tc>
          <w:tcPr>
            <w:tcW w:w="832" w:type="pct"/>
            <w:tcBorders>
              <w:tl2br w:val="nil"/>
              <w:tr2bl w:val="nil"/>
            </w:tcBorders>
            <w:noWrap/>
            <w:vAlign w:val="center"/>
          </w:tcPr>
          <w:p w14:paraId="3FE8C14D">
            <w:pPr>
              <w:adjustRightInd/>
              <w:snapToGrid/>
              <w:spacing w:line="240" w:lineRule="auto"/>
              <w:ind w:firstLine="0" w:firstLineChars="0"/>
              <w:jc w:val="center"/>
              <w:rPr>
                <w:color w:val="auto"/>
                <w:sz w:val="21"/>
                <w:szCs w:val="21"/>
              </w:rPr>
            </w:pPr>
            <w:r>
              <w:rPr>
                <w:color w:val="auto"/>
                <w:sz w:val="21"/>
                <w:szCs w:val="21"/>
              </w:rPr>
              <w:t>0.123</w:t>
            </w:r>
          </w:p>
        </w:tc>
        <w:tc>
          <w:tcPr>
            <w:tcW w:w="832" w:type="pct"/>
            <w:tcBorders>
              <w:tl2br w:val="nil"/>
              <w:tr2bl w:val="nil"/>
            </w:tcBorders>
            <w:noWrap/>
            <w:vAlign w:val="center"/>
          </w:tcPr>
          <w:p w14:paraId="5F4C877B">
            <w:pPr>
              <w:adjustRightInd/>
              <w:snapToGrid/>
              <w:spacing w:line="240" w:lineRule="auto"/>
              <w:ind w:firstLine="0" w:firstLineChars="0"/>
              <w:jc w:val="center"/>
              <w:rPr>
                <w:color w:val="auto"/>
                <w:sz w:val="21"/>
                <w:szCs w:val="21"/>
              </w:rPr>
            </w:pPr>
            <w:r>
              <w:rPr>
                <w:color w:val="auto"/>
                <w:sz w:val="21"/>
                <w:szCs w:val="21"/>
              </w:rPr>
              <w:t>0.076</w:t>
            </w:r>
          </w:p>
        </w:tc>
        <w:tc>
          <w:tcPr>
            <w:tcW w:w="675" w:type="pct"/>
            <w:tcBorders>
              <w:tl2br w:val="nil"/>
              <w:tr2bl w:val="nil"/>
            </w:tcBorders>
            <w:vAlign w:val="center"/>
          </w:tcPr>
          <w:p w14:paraId="15F65D31">
            <w:pPr>
              <w:adjustRightInd/>
              <w:snapToGrid/>
              <w:spacing w:line="240" w:lineRule="auto"/>
              <w:ind w:firstLine="0" w:firstLineChars="0"/>
              <w:jc w:val="center"/>
              <w:rPr>
                <w:color w:val="auto"/>
                <w:sz w:val="21"/>
                <w:szCs w:val="21"/>
              </w:rPr>
            </w:pPr>
            <w:r>
              <w:rPr>
                <w:color w:val="auto"/>
                <w:sz w:val="21"/>
                <w:szCs w:val="21"/>
              </w:rPr>
              <w:t>0.567</w:t>
            </w:r>
          </w:p>
        </w:tc>
      </w:tr>
      <w:tr w14:paraId="1B07D0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705B6AFA">
            <w:pPr>
              <w:adjustRightInd/>
              <w:snapToGrid/>
              <w:spacing w:line="240" w:lineRule="auto"/>
              <w:ind w:firstLine="0" w:firstLineChars="0"/>
              <w:jc w:val="center"/>
              <w:rPr>
                <w:color w:val="auto"/>
                <w:sz w:val="21"/>
                <w:szCs w:val="21"/>
              </w:rPr>
            </w:pPr>
            <w:r>
              <w:rPr>
                <w:color w:val="auto"/>
                <w:sz w:val="21"/>
                <w:szCs w:val="21"/>
              </w:rPr>
              <w:t>2023年6月</w:t>
            </w:r>
          </w:p>
        </w:tc>
        <w:tc>
          <w:tcPr>
            <w:tcW w:w="545" w:type="pct"/>
            <w:tcBorders>
              <w:tl2br w:val="nil"/>
              <w:tr2bl w:val="nil"/>
            </w:tcBorders>
            <w:vAlign w:val="center"/>
          </w:tcPr>
          <w:p w14:paraId="7E23F75F">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44D5EFC6">
            <w:pPr>
              <w:adjustRightInd/>
              <w:snapToGrid/>
              <w:spacing w:line="240" w:lineRule="auto"/>
              <w:ind w:firstLine="0" w:firstLineChars="0"/>
              <w:jc w:val="center"/>
              <w:rPr>
                <w:color w:val="auto"/>
                <w:sz w:val="21"/>
                <w:szCs w:val="21"/>
              </w:rPr>
            </w:pPr>
            <w:r>
              <w:rPr>
                <w:color w:val="auto"/>
                <w:sz w:val="21"/>
                <w:szCs w:val="21"/>
              </w:rPr>
              <w:t>8206.471</w:t>
            </w:r>
          </w:p>
        </w:tc>
        <w:tc>
          <w:tcPr>
            <w:tcW w:w="667" w:type="pct"/>
            <w:tcBorders>
              <w:tl2br w:val="nil"/>
              <w:tr2bl w:val="nil"/>
            </w:tcBorders>
            <w:vAlign w:val="center"/>
          </w:tcPr>
          <w:p w14:paraId="5E5C46EF">
            <w:pPr>
              <w:adjustRightInd/>
              <w:snapToGrid/>
              <w:spacing w:line="240" w:lineRule="auto"/>
              <w:ind w:firstLine="0" w:firstLineChars="0"/>
              <w:jc w:val="center"/>
              <w:rPr>
                <w:color w:val="auto"/>
                <w:sz w:val="21"/>
                <w:szCs w:val="21"/>
              </w:rPr>
            </w:pPr>
            <w:r>
              <w:rPr>
                <w:color w:val="auto"/>
                <w:sz w:val="21"/>
                <w:szCs w:val="21"/>
              </w:rPr>
              <w:t>45.933</w:t>
            </w:r>
          </w:p>
        </w:tc>
        <w:tc>
          <w:tcPr>
            <w:tcW w:w="832" w:type="pct"/>
            <w:tcBorders>
              <w:tl2br w:val="nil"/>
              <w:tr2bl w:val="nil"/>
            </w:tcBorders>
            <w:noWrap/>
            <w:vAlign w:val="center"/>
          </w:tcPr>
          <w:p w14:paraId="151A2E05">
            <w:pPr>
              <w:adjustRightInd/>
              <w:snapToGrid/>
              <w:spacing w:line="240" w:lineRule="auto"/>
              <w:ind w:firstLine="0" w:firstLineChars="0"/>
              <w:jc w:val="center"/>
              <w:rPr>
                <w:color w:val="auto"/>
                <w:sz w:val="21"/>
                <w:szCs w:val="21"/>
              </w:rPr>
            </w:pPr>
            <w:r>
              <w:rPr>
                <w:color w:val="auto"/>
                <w:sz w:val="21"/>
                <w:szCs w:val="21"/>
              </w:rPr>
              <w:t>0.937</w:t>
            </w:r>
          </w:p>
        </w:tc>
        <w:tc>
          <w:tcPr>
            <w:tcW w:w="832" w:type="pct"/>
            <w:tcBorders>
              <w:tl2br w:val="nil"/>
              <w:tr2bl w:val="nil"/>
            </w:tcBorders>
            <w:noWrap/>
            <w:vAlign w:val="center"/>
          </w:tcPr>
          <w:p w14:paraId="28643E93">
            <w:pPr>
              <w:adjustRightInd/>
              <w:snapToGrid/>
              <w:spacing w:line="240" w:lineRule="auto"/>
              <w:ind w:firstLine="0" w:firstLineChars="0"/>
              <w:jc w:val="center"/>
              <w:rPr>
                <w:color w:val="auto"/>
                <w:sz w:val="21"/>
                <w:szCs w:val="21"/>
              </w:rPr>
            </w:pPr>
            <w:r>
              <w:rPr>
                <w:color w:val="auto"/>
                <w:sz w:val="21"/>
                <w:szCs w:val="21"/>
              </w:rPr>
              <w:t>0.189</w:t>
            </w:r>
          </w:p>
        </w:tc>
        <w:tc>
          <w:tcPr>
            <w:tcW w:w="675" w:type="pct"/>
            <w:tcBorders>
              <w:tl2br w:val="nil"/>
              <w:tr2bl w:val="nil"/>
            </w:tcBorders>
            <w:vAlign w:val="center"/>
          </w:tcPr>
          <w:p w14:paraId="28C14F31">
            <w:pPr>
              <w:adjustRightInd/>
              <w:snapToGrid/>
              <w:spacing w:line="240" w:lineRule="auto"/>
              <w:ind w:firstLine="0" w:firstLineChars="0"/>
              <w:jc w:val="center"/>
              <w:rPr>
                <w:color w:val="auto"/>
                <w:sz w:val="21"/>
                <w:szCs w:val="21"/>
              </w:rPr>
            </w:pPr>
            <w:r>
              <w:rPr>
                <w:color w:val="auto"/>
                <w:sz w:val="21"/>
                <w:szCs w:val="21"/>
              </w:rPr>
              <w:t>3.499</w:t>
            </w:r>
          </w:p>
        </w:tc>
      </w:tr>
      <w:tr w14:paraId="1F6934C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15DE9BA7">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18061EBA">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3DD57CDE">
            <w:pPr>
              <w:adjustRightInd/>
              <w:snapToGrid/>
              <w:spacing w:line="240" w:lineRule="auto"/>
              <w:ind w:firstLine="0" w:firstLineChars="0"/>
              <w:jc w:val="center"/>
              <w:rPr>
                <w:color w:val="auto"/>
                <w:sz w:val="21"/>
                <w:szCs w:val="21"/>
              </w:rPr>
            </w:pPr>
            <w:r>
              <w:rPr>
                <w:color w:val="auto"/>
                <w:sz w:val="21"/>
                <w:szCs w:val="21"/>
              </w:rPr>
              <w:t>2478.782</w:t>
            </w:r>
          </w:p>
        </w:tc>
        <w:tc>
          <w:tcPr>
            <w:tcW w:w="667" w:type="pct"/>
            <w:tcBorders>
              <w:tl2br w:val="nil"/>
              <w:tr2bl w:val="nil"/>
            </w:tcBorders>
            <w:vAlign w:val="center"/>
          </w:tcPr>
          <w:p w14:paraId="42242C70">
            <w:pPr>
              <w:adjustRightInd/>
              <w:snapToGrid/>
              <w:spacing w:line="240" w:lineRule="auto"/>
              <w:ind w:firstLine="0" w:firstLineChars="0"/>
              <w:jc w:val="center"/>
              <w:rPr>
                <w:color w:val="auto"/>
                <w:sz w:val="21"/>
                <w:szCs w:val="21"/>
              </w:rPr>
            </w:pPr>
            <w:r>
              <w:rPr>
                <w:color w:val="auto"/>
                <w:sz w:val="21"/>
                <w:szCs w:val="21"/>
              </w:rPr>
              <w:t>30.962</w:t>
            </w:r>
          </w:p>
        </w:tc>
        <w:tc>
          <w:tcPr>
            <w:tcW w:w="832" w:type="pct"/>
            <w:tcBorders>
              <w:tl2br w:val="nil"/>
              <w:tr2bl w:val="nil"/>
            </w:tcBorders>
            <w:noWrap/>
            <w:vAlign w:val="center"/>
          </w:tcPr>
          <w:p w14:paraId="00C98BB9">
            <w:pPr>
              <w:adjustRightInd/>
              <w:snapToGrid/>
              <w:spacing w:line="240" w:lineRule="auto"/>
              <w:ind w:firstLine="0" w:firstLineChars="0"/>
              <w:jc w:val="center"/>
              <w:rPr>
                <w:color w:val="auto"/>
                <w:sz w:val="21"/>
                <w:szCs w:val="21"/>
              </w:rPr>
            </w:pPr>
            <w:r>
              <w:rPr>
                <w:color w:val="auto"/>
                <w:sz w:val="21"/>
                <w:szCs w:val="21"/>
              </w:rPr>
              <w:t>0.12</w:t>
            </w:r>
          </w:p>
        </w:tc>
        <w:tc>
          <w:tcPr>
            <w:tcW w:w="832" w:type="pct"/>
            <w:tcBorders>
              <w:tl2br w:val="nil"/>
              <w:tr2bl w:val="nil"/>
            </w:tcBorders>
            <w:noWrap/>
            <w:vAlign w:val="center"/>
          </w:tcPr>
          <w:p w14:paraId="4F01F32D">
            <w:pPr>
              <w:adjustRightInd/>
              <w:snapToGrid/>
              <w:spacing w:line="240" w:lineRule="auto"/>
              <w:ind w:firstLine="0" w:firstLineChars="0"/>
              <w:jc w:val="center"/>
              <w:rPr>
                <w:color w:val="auto"/>
                <w:sz w:val="21"/>
                <w:szCs w:val="21"/>
              </w:rPr>
            </w:pPr>
            <w:r>
              <w:rPr>
                <w:color w:val="auto"/>
                <w:sz w:val="21"/>
                <w:szCs w:val="21"/>
              </w:rPr>
              <w:t>0.037</w:t>
            </w:r>
          </w:p>
        </w:tc>
        <w:tc>
          <w:tcPr>
            <w:tcW w:w="675" w:type="pct"/>
            <w:tcBorders>
              <w:tl2br w:val="nil"/>
              <w:tr2bl w:val="nil"/>
            </w:tcBorders>
            <w:vAlign w:val="center"/>
          </w:tcPr>
          <w:p w14:paraId="18DADD51">
            <w:pPr>
              <w:adjustRightInd/>
              <w:snapToGrid/>
              <w:spacing w:line="240" w:lineRule="auto"/>
              <w:ind w:firstLine="0" w:firstLineChars="0"/>
              <w:jc w:val="center"/>
              <w:rPr>
                <w:color w:val="auto"/>
                <w:sz w:val="21"/>
                <w:szCs w:val="21"/>
              </w:rPr>
            </w:pPr>
            <w:r>
              <w:rPr>
                <w:color w:val="auto"/>
                <w:sz w:val="21"/>
                <w:szCs w:val="21"/>
              </w:rPr>
              <w:t>1.663</w:t>
            </w:r>
          </w:p>
        </w:tc>
      </w:tr>
      <w:tr w14:paraId="7FA02E5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221BAE83">
            <w:pPr>
              <w:adjustRightInd/>
              <w:snapToGrid/>
              <w:spacing w:line="240" w:lineRule="auto"/>
              <w:ind w:firstLine="0" w:firstLineChars="0"/>
              <w:jc w:val="center"/>
              <w:rPr>
                <w:color w:val="auto"/>
                <w:sz w:val="21"/>
                <w:szCs w:val="21"/>
              </w:rPr>
            </w:pPr>
            <w:r>
              <w:rPr>
                <w:color w:val="auto"/>
                <w:sz w:val="21"/>
                <w:szCs w:val="21"/>
              </w:rPr>
              <w:t>2023年7月</w:t>
            </w:r>
          </w:p>
        </w:tc>
        <w:tc>
          <w:tcPr>
            <w:tcW w:w="545" w:type="pct"/>
            <w:tcBorders>
              <w:tl2br w:val="nil"/>
              <w:tr2bl w:val="nil"/>
            </w:tcBorders>
            <w:vAlign w:val="center"/>
          </w:tcPr>
          <w:p w14:paraId="1B028BBE">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4BB7BBAF">
            <w:pPr>
              <w:adjustRightInd/>
              <w:snapToGrid/>
              <w:spacing w:line="240" w:lineRule="auto"/>
              <w:ind w:firstLine="0" w:firstLineChars="0"/>
              <w:jc w:val="center"/>
              <w:rPr>
                <w:color w:val="auto"/>
                <w:sz w:val="21"/>
                <w:szCs w:val="21"/>
              </w:rPr>
            </w:pPr>
            <w:r>
              <w:rPr>
                <w:color w:val="auto"/>
                <w:sz w:val="21"/>
                <w:szCs w:val="21"/>
              </w:rPr>
              <w:t>9371.279</w:t>
            </w:r>
          </w:p>
        </w:tc>
        <w:tc>
          <w:tcPr>
            <w:tcW w:w="667" w:type="pct"/>
            <w:tcBorders>
              <w:tl2br w:val="nil"/>
              <w:tr2bl w:val="nil"/>
            </w:tcBorders>
            <w:vAlign w:val="center"/>
          </w:tcPr>
          <w:p w14:paraId="62A8033C">
            <w:pPr>
              <w:adjustRightInd/>
              <w:snapToGrid/>
              <w:spacing w:line="240" w:lineRule="auto"/>
              <w:ind w:firstLine="0" w:firstLineChars="0"/>
              <w:jc w:val="center"/>
              <w:rPr>
                <w:color w:val="auto"/>
                <w:sz w:val="21"/>
                <w:szCs w:val="21"/>
              </w:rPr>
            </w:pPr>
            <w:r>
              <w:rPr>
                <w:color w:val="auto"/>
                <w:sz w:val="21"/>
                <w:szCs w:val="21"/>
              </w:rPr>
              <w:t>45.492</w:t>
            </w:r>
          </w:p>
        </w:tc>
        <w:tc>
          <w:tcPr>
            <w:tcW w:w="832" w:type="pct"/>
            <w:tcBorders>
              <w:tl2br w:val="nil"/>
              <w:tr2bl w:val="nil"/>
            </w:tcBorders>
            <w:noWrap/>
            <w:vAlign w:val="center"/>
          </w:tcPr>
          <w:p w14:paraId="62910CC1">
            <w:pPr>
              <w:adjustRightInd/>
              <w:snapToGrid/>
              <w:spacing w:line="240" w:lineRule="auto"/>
              <w:ind w:firstLine="0" w:firstLineChars="0"/>
              <w:jc w:val="center"/>
              <w:rPr>
                <w:color w:val="auto"/>
                <w:sz w:val="21"/>
                <w:szCs w:val="21"/>
              </w:rPr>
            </w:pPr>
            <w:r>
              <w:rPr>
                <w:color w:val="auto"/>
                <w:sz w:val="21"/>
                <w:szCs w:val="21"/>
              </w:rPr>
              <w:t>0.608</w:t>
            </w:r>
          </w:p>
        </w:tc>
        <w:tc>
          <w:tcPr>
            <w:tcW w:w="832" w:type="pct"/>
            <w:tcBorders>
              <w:tl2br w:val="nil"/>
              <w:tr2bl w:val="nil"/>
            </w:tcBorders>
            <w:noWrap/>
            <w:vAlign w:val="center"/>
          </w:tcPr>
          <w:p w14:paraId="71A340E5">
            <w:pPr>
              <w:adjustRightInd/>
              <w:snapToGrid/>
              <w:spacing w:line="240" w:lineRule="auto"/>
              <w:ind w:firstLine="0" w:firstLineChars="0"/>
              <w:jc w:val="center"/>
              <w:rPr>
                <w:color w:val="auto"/>
                <w:sz w:val="21"/>
                <w:szCs w:val="21"/>
              </w:rPr>
            </w:pPr>
            <w:r>
              <w:rPr>
                <w:color w:val="auto"/>
                <w:sz w:val="21"/>
                <w:szCs w:val="21"/>
              </w:rPr>
              <w:t>0.235</w:t>
            </w:r>
          </w:p>
        </w:tc>
        <w:tc>
          <w:tcPr>
            <w:tcW w:w="675" w:type="pct"/>
            <w:tcBorders>
              <w:tl2br w:val="nil"/>
              <w:tr2bl w:val="nil"/>
            </w:tcBorders>
            <w:vAlign w:val="center"/>
          </w:tcPr>
          <w:p w14:paraId="1EFD89E7">
            <w:pPr>
              <w:adjustRightInd/>
              <w:snapToGrid/>
              <w:spacing w:line="240" w:lineRule="auto"/>
              <w:ind w:firstLine="0" w:firstLineChars="0"/>
              <w:jc w:val="center"/>
              <w:rPr>
                <w:color w:val="auto"/>
                <w:sz w:val="21"/>
                <w:szCs w:val="21"/>
              </w:rPr>
            </w:pPr>
            <w:r>
              <w:rPr>
                <w:color w:val="auto"/>
                <w:sz w:val="21"/>
                <w:szCs w:val="21"/>
              </w:rPr>
              <w:t>5.363</w:t>
            </w:r>
          </w:p>
        </w:tc>
      </w:tr>
      <w:tr w14:paraId="3306B16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3F1FC8FB">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416E1056">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36759433">
            <w:pPr>
              <w:adjustRightInd/>
              <w:snapToGrid/>
              <w:spacing w:line="240" w:lineRule="auto"/>
              <w:ind w:firstLine="0" w:firstLineChars="0"/>
              <w:jc w:val="center"/>
              <w:rPr>
                <w:color w:val="auto"/>
                <w:sz w:val="21"/>
                <w:szCs w:val="21"/>
              </w:rPr>
            </w:pPr>
            <w:r>
              <w:rPr>
                <w:color w:val="auto"/>
                <w:sz w:val="21"/>
                <w:szCs w:val="21"/>
              </w:rPr>
              <w:t>6340.484</w:t>
            </w:r>
          </w:p>
        </w:tc>
        <w:tc>
          <w:tcPr>
            <w:tcW w:w="667" w:type="pct"/>
            <w:tcBorders>
              <w:tl2br w:val="nil"/>
              <w:tr2bl w:val="nil"/>
            </w:tcBorders>
            <w:vAlign w:val="center"/>
          </w:tcPr>
          <w:p w14:paraId="57C34403">
            <w:pPr>
              <w:adjustRightInd/>
              <w:snapToGrid/>
              <w:spacing w:line="240" w:lineRule="auto"/>
              <w:ind w:firstLine="0" w:firstLineChars="0"/>
              <w:jc w:val="center"/>
              <w:rPr>
                <w:color w:val="auto"/>
                <w:sz w:val="21"/>
                <w:szCs w:val="21"/>
              </w:rPr>
            </w:pPr>
            <w:r>
              <w:rPr>
                <w:color w:val="auto"/>
                <w:sz w:val="21"/>
                <w:szCs w:val="21"/>
              </w:rPr>
              <w:t>34.067</w:t>
            </w:r>
          </w:p>
        </w:tc>
        <w:tc>
          <w:tcPr>
            <w:tcW w:w="832" w:type="pct"/>
            <w:tcBorders>
              <w:tl2br w:val="nil"/>
              <w:tr2bl w:val="nil"/>
            </w:tcBorders>
            <w:noWrap/>
            <w:vAlign w:val="center"/>
          </w:tcPr>
          <w:p w14:paraId="79151EF9">
            <w:pPr>
              <w:adjustRightInd/>
              <w:snapToGrid/>
              <w:spacing w:line="240" w:lineRule="auto"/>
              <w:ind w:firstLine="0" w:firstLineChars="0"/>
              <w:jc w:val="center"/>
              <w:rPr>
                <w:color w:val="auto"/>
                <w:sz w:val="21"/>
                <w:szCs w:val="21"/>
              </w:rPr>
            </w:pPr>
            <w:r>
              <w:rPr>
                <w:color w:val="auto"/>
                <w:sz w:val="21"/>
                <w:szCs w:val="21"/>
              </w:rPr>
              <w:t>0.167</w:t>
            </w:r>
          </w:p>
        </w:tc>
        <w:tc>
          <w:tcPr>
            <w:tcW w:w="832" w:type="pct"/>
            <w:tcBorders>
              <w:tl2br w:val="nil"/>
              <w:tr2bl w:val="nil"/>
            </w:tcBorders>
            <w:noWrap/>
            <w:vAlign w:val="center"/>
          </w:tcPr>
          <w:p w14:paraId="3A522846">
            <w:pPr>
              <w:adjustRightInd/>
              <w:snapToGrid/>
              <w:spacing w:line="240" w:lineRule="auto"/>
              <w:ind w:firstLine="0" w:firstLineChars="0"/>
              <w:jc w:val="center"/>
              <w:rPr>
                <w:color w:val="auto"/>
                <w:sz w:val="21"/>
                <w:szCs w:val="21"/>
              </w:rPr>
            </w:pPr>
            <w:r>
              <w:rPr>
                <w:color w:val="auto"/>
                <w:sz w:val="21"/>
                <w:szCs w:val="21"/>
              </w:rPr>
              <w:t>0.046</w:t>
            </w:r>
          </w:p>
        </w:tc>
        <w:tc>
          <w:tcPr>
            <w:tcW w:w="675" w:type="pct"/>
            <w:tcBorders>
              <w:tl2br w:val="nil"/>
              <w:tr2bl w:val="nil"/>
            </w:tcBorders>
            <w:vAlign w:val="center"/>
          </w:tcPr>
          <w:p w14:paraId="7CDFDBF8">
            <w:pPr>
              <w:adjustRightInd/>
              <w:snapToGrid/>
              <w:spacing w:line="240" w:lineRule="auto"/>
              <w:ind w:firstLine="0" w:firstLineChars="0"/>
              <w:jc w:val="center"/>
              <w:rPr>
                <w:color w:val="auto"/>
                <w:sz w:val="21"/>
                <w:szCs w:val="21"/>
              </w:rPr>
            </w:pPr>
            <w:r>
              <w:rPr>
                <w:color w:val="auto"/>
                <w:sz w:val="21"/>
                <w:szCs w:val="21"/>
              </w:rPr>
              <w:t>3.189</w:t>
            </w:r>
          </w:p>
        </w:tc>
      </w:tr>
      <w:tr w14:paraId="690E864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22D19803">
            <w:pPr>
              <w:adjustRightInd/>
              <w:snapToGrid/>
              <w:spacing w:line="240" w:lineRule="auto"/>
              <w:ind w:firstLine="0" w:firstLineChars="0"/>
              <w:jc w:val="center"/>
              <w:rPr>
                <w:color w:val="auto"/>
                <w:sz w:val="21"/>
                <w:szCs w:val="21"/>
              </w:rPr>
            </w:pPr>
            <w:r>
              <w:rPr>
                <w:color w:val="auto"/>
                <w:sz w:val="21"/>
                <w:szCs w:val="21"/>
              </w:rPr>
              <w:t>2023年8月</w:t>
            </w:r>
          </w:p>
        </w:tc>
        <w:tc>
          <w:tcPr>
            <w:tcW w:w="545" w:type="pct"/>
            <w:tcBorders>
              <w:tl2br w:val="nil"/>
              <w:tr2bl w:val="nil"/>
            </w:tcBorders>
            <w:vAlign w:val="center"/>
          </w:tcPr>
          <w:p w14:paraId="5DC176C4">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61F62893">
            <w:pPr>
              <w:adjustRightInd/>
              <w:snapToGrid/>
              <w:spacing w:line="240" w:lineRule="auto"/>
              <w:ind w:firstLine="0" w:firstLineChars="0"/>
              <w:jc w:val="center"/>
              <w:rPr>
                <w:color w:val="auto"/>
                <w:sz w:val="21"/>
                <w:szCs w:val="21"/>
              </w:rPr>
            </w:pPr>
            <w:r>
              <w:rPr>
                <w:color w:val="auto"/>
                <w:sz w:val="21"/>
                <w:szCs w:val="21"/>
              </w:rPr>
              <w:t>7426.82</w:t>
            </w:r>
          </w:p>
        </w:tc>
        <w:tc>
          <w:tcPr>
            <w:tcW w:w="667" w:type="pct"/>
            <w:tcBorders>
              <w:tl2br w:val="nil"/>
              <w:tr2bl w:val="nil"/>
            </w:tcBorders>
            <w:vAlign w:val="center"/>
          </w:tcPr>
          <w:p w14:paraId="3B7F7468">
            <w:pPr>
              <w:adjustRightInd/>
              <w:snapToGrid/>
              <w:spacing w:line="240" w:lineRule="auto"/>
              <w:ind w:firstLine="0" w:firstLineChars="0"/>
              <w:jc w:val="center"/>
              <w:rPr>
                <w:color w:val="auto"/>
                <w:sz w:val="21"/>
                <w:szCs w:val="21"/>
              </w:rPr>
            </w:pPr>
            <w:r>
              <w:rPr>
                <w:color w:val="auto"/>
                <w:sz w:val="21"/>
                <w:szCs w:val="21"/>
              </w:rPr>
              <w:t>47.395</w:t>
            </w:r>
          </w:p>
        </w:tc>
        <w:tc>
          <w:tcPr>
            <w:tcW w:w="832" w:type="pct"/>
            <w:tcBorders>
              <w:tl2br w:val="nil"/>
              <w:tr2bl w:val="nil"/>
            </w:tcBorders>
            <w:noWrap/>
            <w:vAlign w:val="center"/>
          </w:tcPr>
          <w:p w14:paraId="23A18DEE">
            <w:pPr>
              <w:adjustRightInd/>
              <w:snapToGrid/>
              <w:spacing w:line="240" w:lineRule="auto"/>
              <w:ind w:firstLine="0" w:firstLineChars="0"/>
              <w:jc w:val="center"/>
              <w:rPr>
                <w:color w:val="auto"/>
                <w:sz w:val="21"/>
                <w:szCs w:val="21"/>
              </w:rPr>
            </w:pPr>
            <w:r>
              <w:rPr>
                <w:color w:val="auto"/>
                <w:sz w:val="21"/>
                <w:szCs w:val="21"/>
              </w:rPr>
              <w:t>0.791</w:t>
            </w:r>
          </w:p>
        </w:tc>
        <w:tc>
          <w:tcPr>
            <w:tcW w:w="832" w:type="pct"/>
            <w:tcBorders>
              <w:tl2br w:val="nil"/>
              <w:tr2bl w:val="nil"/>
            </w:tcBorders>
            <w:noWrap/>
            <w:vAlign w:val="center"/>
          </w:tcPr>
          <w:p w14:paraId="07CE9644">
            <w:pPr>
              <w:adjustRightInd/>
              <w:snapToGrid/>
              <w:spacing w:line="240" w:lineRule="auto"/>
              <w:ind w:firstLine="0" w:firstLineChars="0"/>
              <w:jc w:val="center"/>
              <w:rPr>
                <w:color w:val="auto"/>
                <w:sz w:val="21"/>
                <w:szCs w:val="21"/>
              </w:rPr>
            </w:pPr>
            <w:r>
              <w:rPr>
                <w:color w:val="auto"/>
                <w:sz w:val="21"/>
                <w:szCs w:val="21"/>
              </w:rPr>
              <w:t>0.282</w:t>
            </w:r>
          </w:p>
        </w:tc>
        <w:tc>
          <w:tcPr>
            <w:tcW w:w="675" w:type="pct"/>
            <w:tcBorders>
              <w:tl2br w:val="nil"/>
              <w:tr2bl w:val="nil"/>
            </w:tcBorders>
            <w:vAlign w:val="center"/>
          </w:tcPr>
          <w:p w14:paraId="1B676807">
            <w:pPr>
              <w:adjustRightInd/>
              <w:snapToGrid/>
              <w:spacing w:line="240" w:lineRule="auto"/>
              <w:ind w:firstLine="0" w:firstLineChars="0"/>
              <w:jc w:val="center"/>
              <w:rPr>
                <w:color w:val="auto"/>
                <w:sz w:val="21"/>
                <w:szCs w:val="21"/>
              </w:rPr>
            </w:pPr>
            <w:r>
              <w:rPr>
                <w:color w:val="auto"/>
                <w:sz w:val="21"/>
                <w:szCs w:val="21"/>
              </w:rPr>
              <w:t>9.238</w:t>
            </w:r>
          </w:p>
        </w:tc>
      </w:tr>
      <w:tr w14:paraId="0823680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6D42DC76">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39108651">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49FD972F">
            <w:pPr>
              <w:adjustRightInd/>
              <w:snapToGrid/>
              <w:spacing w:line="240" w:lineRule="auto"/>
              <w:ind w:firstLine="0" w:firstLineChars="0"/>
              <w:jc w:val="center"/>
              <w:rPr>
                <w:color w:val="auto"/>
                <w:sz w:val="21"/>
                <w:szCs w:val="21"/>
              </w:rPr>
            </w:pPr>
            <w:r>
              <w:rPr>
                <w:color w:val="auto"/>
                <w:sz w:val="21"/>
                <w:szCs w:val="21"/>
              </w:rPr>
              <w:t>3143.061</w:t>
            </w:r>
          </w:p>
        </w:tc>
        <w:tc>
          <w:tcPr>
            <w:tcW w:w="667" w:type="pct"/>
            <w:tcBorders>
              <w:tl2br w:val="nil"/>
              <w:tr2bl w:val="nil"/>
            </w:tcBorders>
            <w:vAlign w:val="center"/>
          </w:tcPr>
          <w:p w14:paraId="209DC409">
            <w:pPr>
              <w:adjustRightInd/>
              <w:snapToGrid/>
              <w:spacing w:line="240" w:lineRule="auto"/>
              <w:ind w:firstLine="0" w:firstLineChars="0"/>
              <w:jc w:val="center"/>
              <w:rPr>
                <w:color w:val="auto"/>
                <w:sz w:val="21"/>
                <w:szCs w:val="21"/>
              </w:rPr>
            </w:pPr>
            <w:r>
              <w:rPr>
                <w:color w:val="auto"/>
                <w:sz w:val="21"/>
                <w:szCs w:val="21"/>
              </w:rPr>
              <w:t>29.652</w:t>
            </w:r>
          </w:p>
        </w:tc>
        <w:tc>
          <w:tcPr>
            <w:tcW w:w="832" w:type="pct"/>
            <w:tcBorders>
              <w:tl2br w:val="nil"/>
              <w:tr2bl w:val="nil"/>
            </w:tcBorders>
            <w:noWrap/>
            <w:vAlign w:val="center"/>
          </w:tcPr>
          <w:p w14:paraId="5F765E91">
            <w:pPr>
              <w:adjustRightInd/>
              <w:snapToGrid/>
              <w:spacing w:line="240" w:lineRule="auto"/>
              <w:ind w:firstLine="0" w:firstLineChars="0"/>
              <w:jc w:val="center"/>
              <w:rPr>
                <w:color w:val="auto"/>
                <w:sz w:val="21"/>
                <w:szCs w:val="21"/>
              </w:rPr>
            </w:pPr>
            <w:r>
              <w:rPr>
                <w:color w:val="auto"/>
                <w:sz w:val="21"/>
                <w:szCs w:val="21"/>
              </w:rPr>
              <w:t>0.158</w:t>
            </w:r>
          </w:p>
        </w:tc>
        <w:tc>
          <w:tcPr>
            <w:tcW w:w="832" w:type="pct"/>
            <w:tcBorders>
              <w:tl2br w:val="nil"/>
              <w:tr2bl w:val="nil"/>
            </w:tcBorders>
            <w:noWrap/>
            <w:vAlign w:val="center"/>
          </w:tcPr>
          <w:p w14:paraId="5B16BD96">
            <w:pPr>
              <w:adjustRightInd/>
              <w:snapToGrid/>
              <w:spacing w:line="240" w:lineRule="auto"/>
              <w:ind w:firstLine="0" w:firstLineChars="0"/>
              <w:jc w:val="center"/>
              <w:rPr>
                <w:color w:val="auto"/>
                <w:sz w:val="21"/>
                <w:szCs w:val="21"/>
              </w:rPr>
            </w:pPr>
            <w:r>
              <w:rPr>
                <w:color w:val="auto"/>
                <w:sz w:val="21"/>
                <w:szCs w:val="21"/>
              </w:rPr>
              <w:t>0.071</w:t>
            </w:r>
          </w:p>
        </w:tc>
        <w:tc>
          <w:tcPr>
            <w:tcW w:w="675" w:type="pct"/>
            <w:tcBorders>
              <w:tl2br w:val="nil"/>
              <w:tr2bl w:val="nil"/>
            </w:tcBorders>
            <w:vAlign w:val="center"/>
          </w:tcPr>
          <w:p w14:paraId="12740653">
            <w:pPr>
              <w:adjustRightInd/>
              <w:snapToGrid/>
              <w:spacing w:line="240" w:lineRule="auto"/>
              <w:ind w:firstLine="0" w:firstLineChars="0"/>
              <w:jc w:val="center"/>
              <w:rPr>
                <w:color w:val="auto"/>
                <w:sz w:val="21"/>
                <w:szCs w:val="21"/>
              </w:rPr>
            </w:pPr>
            <w:r>
              <w:rPr>
                <w:color w:val="auto"/>
                <w:sz w:val="21"/>
                <w:szCs w:val="21"/>
              </w:rPr>
              <w:t>3.106</w:t>
            </w:r>
          </w:p>
        </w:tc>
      </w:tr>
      <w:tr w14:paraId="2D9A583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515AD87E">
            <w:pPr>
              <w:adjustRightInd/>
              <w:snapToGrid/>
              <w:spacing w:line="240" w:lineRule="auto"/>
              <w:ind w:firstLine="0" w:firstLineChars="0"/>
              <w:jc w:val="center"/>
              <w:rPr>
                <w:color w:val="auto"/>
                <w:sz w:val="21"/>
                <w:szCs w:val="21"/>
              </w:rPr>
            </w:pPr>
            <w:r>
              <w:rPr>
                <w:color w:val="auto"/>
                <w:sz w:val="21"/>
                <w:szCs w:val="21"/>
              </w:rPr>
              <w:t>2023年9月</w:t>
            </w:r>
          </w:p>
        </w:tc>
        <w:tc>
          <w:tcPr>
            <w:tcW w:w="545" w:type="pct"/>
            <w:tcBorders>
              <w:tl2br w:val="nil"/>
              <w:tr2bl w:val="nil"/>
            </w:tcBorders>
            <w:vAlign w:val="center"/>
          </w:tcPr>
          <w:p w14:paraId="25302E98">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4478485F">
            <w:pPr>
              <w:adjustRightInd/>
              <w:snapToGrid/>
              <w:spacing w:line="240" w:lineRule="auto"/>
              <w:ind w:firstLine="0" w:firstLineChars="0"/>
              <w:jc w:val="center"/>
              <w:rPr>
                <w:color w:val="auto"/>
                <w:sz w:val="21"/>
                <w:szCs w:val="21"/>
              </w:rPr>
            </w:pPr>
            <w:r>
              <w:rPr>
                <w:color w:val="auto"/>
                <w:sz w:val="21"/>
                <w:szCs w:val="21"/>
              </w:rPr>
              <w:t>9247.42</w:t>
            </w:r>
          </w:p>
        </w:tc>
        <w:tc>
          <w:tcPr>
            <w:tcW w:w="667" w:type="pct"/>
            <w:tcBorders>
              <w:tl2br w:val="nil"/>
              <w:tr2bl w:val="nil"/>
            </w:tcBorders>
            <w:vAlign w:val="center"/>
          </w:tcPr>
          <w:p w14:paraId="557D4578">
            <w:pPr>
              <w:adjustRightInd/>
              <w:snapToGrid/>
              <w:spacing w:line="240" w:lineRule="auto"/>
              <w:ind w:firstLine="0" w:firstLineChars="0"/>
              <w:jc w:val="center"/>
              <w:rPr>
                <w:color w:val="auto"/>
                <w:sz w:val="21"/>
                <w:szCs w:val="21"/>
              </w:rPr>
            </w:pPr>
            <w:r>
              <w:rPr>
                <w:color w:val="auto"/>
                <w:sz w:val="21"/>
                <w:szCs w:val="21"/>
              </w:rPr>
              <w:t>41.462</w:t>
            </w:r>
          </w:p>
        </w:tc>
        <w:tc>
          <w:tcPr>
            <w:tcW w:w="832" w:type="pct"/>
            <w:tcBorders>
              <w:tl2br w:val="nil"/>
              <w:tr2bl w:val="nil"/>
            </w:tcBorders>
            <w:noWrap/>
            <w:vAlign w:val="center"/>
          </w:tcPr>
          <w:p w14:paraId="41DEE815">
            <w:pPr>
              <w:adjustRightInd/>
              <w:snapToGrid/>
              <w:spacing w:line="240" w:lineRule="auto"/>
              <w:ind w:firstLine="0" w:firstLineChars="0"/>
              <w:jc w:val="center"/>
              <w:rPr>
                <w:color w:val="auto"/>
                <w:sz w:val="21"/>
                <w:szCs w:val="21"/>
              </w:rPr>
            </w:pPr>
            <w:r>
              <w:rPr>
                <w:color w:val="auto"/>
                <w:sz w:val="21"/>
                <w:szCs w:val="21"/>
              </w:rPr>
              <w:t>0.982</w:t>
            </w:r>
          </w:p>
        </w:tc>
        <w:tc>
          <w:tcPr>
            <w:tcW w:w="832" w:type="pct"/>
            <w:tcBorders>
              <w:tl2br w:val="nil"/>
              <w:tr2bl w:val="nil"/>
            </w:tcBorders>
            <w:noWrap/>
            <w:vAlign w:val="center"/>
          </w:tcPr>
          <w:p w14:paraId="1F7A3F27">
            <w:pPr>
              <w:adjustRightInd/>
              <w:snapToGrid/>
              <w:spacing w:line="240" w:lineRule="auto"/>
              <w:ind w:firstLine="0" w:firstLineChars="0"/>
              <w:jc w:val="center"/>
              <w:rPr>
                <w:color w:val="auto"/>
                <w:sz w:val="21"/>
                <w:szCs w:val="21"/>
              </w:rPr>
            </w:pPr>
            <w:r>
              <w:rPr>
                <w:color w:val="auto"/>
                <w:sz w:val="21"/>
                <w:szCs w:val="21"/>
              </w:rPr>
              <w:t>0.384</w:t>
            </w:r>
          </w:p>
        </w:tc>
        <w:tc>
          <w:tcPr>
            <w:tcW w:w="675" w:type="pct"/>
            <w:tcBorders>
              <w:tl2br w:val="nil"/>
              <w:tr2bl w:val="nil"/>
            </w:tcBorders>
            <w:vAlign w:val="center"/>
          </w:tcPr>
          <w:p w14:paraId="2FD5869F">
            <w:pPr>
              <w:adjustRightInd/>
              <w:snapToGrid/>
              <w:spacing w:line="240" w:lineRule="auto"/>
              <w:ind w:firstLine="0" w:firstLineChars="0"/>
              <w:jc w:val="center"/>
              <w:rPr>
                <w:color w:val="auto"/>
                <w:sz w:val="21"/>
                <w:szCs w:val="21"/>
              </w:rPr>
            </w:pPr>
            <w:r>
              <w:rPr>
                <w:color w:val="auto"/>
                <w:sz w:val="21"/>
                <w:szCs w:val="21"/>
              </w:rPr>
              <w:t>9.944</w:t>
            </w:r>
          </w:p>
        </w:tc>
      </w:tr>
      <w:tr w14:paraId="047CF5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15379A71">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112C8DB6">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75453C7B">
            <w:pPr>
              <w:adjustRightInd/>
              <w:snapToGrid/>
              <w:spacing w:line="240" w:lineRule="auto"/>
              <w:ind w:firstLine="0" w:firstLineChars="0"/>
              <w:jc w:val="center"/>
              <w:rPr>
                <w:color w:val="auto"/>
                <w:sz w:val="21"/>
                <w:szCs w:val="21"/>
              </w:rPr>
            </w:pPr>
            <w:r>
              <w:rPr>
                <w:color w:val="auto"/>
                <w:sz w:val="21"/>
                <w:szCs w:val="21"/>
              </w:rPr>
              <w:t>2490.715</w:t>
            </w:r>
          </w:p>
        </w:tc>
        <w:tc>
          <w:tcPr>
            <w:tcW w:w="667" w:type="pct"/>
            <w:tcBorders>
              <w:tl2br w:val="nil"/>
              <w:tr2bl w:val="nil"/>
            </w:tcBorders>
            <w:vAlign w:val="center"/>
          </w:tcPr>
          <w:p w14:paraId="7C2E31D1">
            <w:pPr>
              <w:adjustRightInd/>
              <w:snapToGrid/>
              <w:spacing w:line="240" w:lineRule="auto"/>
              <w:ind w:firstLine="0" w:firstLineChars="0"/>
              <w:jc w:val="center"/>
              <w:rPr>
                <w:color w:val="auto"/>
                <w:sz w:val="21"/>
                <w:szCs w:val="21"/>
              </w:rPr>
            </w:pPr>
            <w:r>
              <w:rPr>
                <w:color w:val="auto"/>
                <w:sz w:val="21"/>
                <w:szCs w:val="21"/>
              </w:rPr>
              <w:t>28.653</w:t>
            </w:r>
          </w:p>
        </w:tc>
        <w:tc>
          <w:tcPr>
            <w:tcW w:w="832" w:type="pct"/>
            <w:tcBorders>
              <w:tl2br w:val="nil"/>
              <w:tr2bl w:val="nil"/>
            </w:tcBorders>
            <w:noWrap/>
            <w:vAlign w:val="center"/>
          </w:tcPr>
          <w:p w14:paraId="133A17F0">
            <w:pPr>
              <w:adjustRightInd/>
              <w:snapToGrid/>
              <w:spacing w:line="240" w:lineRule="auto"/>
              <w:ind w:firstLine="0" w:firstLineChars="0"/>
              <w:jc w:val="center"/>
              <w:rPr>
                <w:color w:val="auto"/>
                <w:sz w:val="21"/>
                <w:szCs w:val="21"/>
              </w:rPr>
            </w:pPr>
            <w:r>
              <w:rPr>
                <w:color w:val="auto"/>
                <w:sz w:val="21"/>
                <w:szCs w:val="21"/>
              </w:rPr>
              <w:t>0.148</w:t>
            </w:r>
          </w:p>
        </w:tc>
        <w:tc>
          <w:tcPr>
            <w:tcW w:w="832" w:type="pct"/>
            <w:tcBorders>
              <w:tl2br w:val="nil"/>
              <w:tr2bl w:val="nil"/>
            </w:tcBorders>
            <w:noWrap/>
            <w:vAlign w:val="center"/>
          </w:tcPr>
          <w:p w14:paraId="36B51327">
            <w:pPr>
              <w:adjustRightInd/>
              <w:snapToGrid/>
              <w:spacing w:line="240" w:lineRule="auto"/>
              <w:ind w:firstLine="0" w:firstLineChars="0"/>
              <w:jc w:val="center"/>
              <w:rPr>
                <w:color w:val="auto"/>
                <w:sz w:val="21"/>
                <w:szCs w:val="21"/>
              </w:rPr>
            </w:pPr>
            <w:r>
              <w:rPr>
                <w:color w:val="auto"/>
                <w:sz w:val="21"/>
                <w:szCs w:val="21"/>
              </w:rPr>
              <w:t>0.103</w:t>
            </w:r>
          </w:p>
        </w:tc>
        <w:tc>
          <w:tcPr>
            <w:tcW w:w="675" w:type="pct"/>
            <w:tcBorders>
              <w:tl2br w:val="nil"/>
              <w:tr2bl w:val="nil"/>
            </w:tcBorders>
            <w:vAlign w:val="center"/>
          </w:tcPr>
          <w:p w14:paraId="5BAC8526">
            <w:pPr>
              <w:adjustRightInd/>
              <w:snapToGrid/>
              <w:spacing w:line="240" w:lineRule="auto"/>
              <w:ind w:firstLine="0" w:firstLineChars="0"/>
              <w:jc w:val="center"/>
              <w:rPr>
                <w:color w:val="auto"/>
                <w:sz w:val="21"/>
                <w:szCs w:val="21"/>
              </w:rPr>
            </w:pPr>
            <w:r>
              <w:rPr>
                <w:color w:val="auto"/>
                <w:sz w:val="21"/>
                <w:szCs w:val="21"/>
              </w:rPr>
              <w:t>6.06</w:t>
            </w:r>
          </w:p>
        </w:tc>
      </w:tr>
      <w:tr w14:paraId="144D90A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48E98C6B">
            <w:pPr>
              <w:adjustRightInd/>
              <w:snapToGrid/>
              <w:spacing w:line="240" w:lineRule="auto"/>
              <w:ind w:firstLine="0" w:firstLineChars="0"/>
              <w:jc w:val="center"/>
              <w:rPr>
                <w:color w:val="auto"/>
                <w:sz w:val="21"/>
                <w:szCs w:val="21"/>
              </w:rPr>
            </w:pPr>
            <w:r>
              <w:rPr>
                <w:color w:val="auto"/>
                <w:sz w:val="21"/>
                <w:szCs w:val="21"/>
              </w:rPr>
              <w:t>2023年10月</w:t>
            </w:r>
          </w:p>
        </w:tc>
        <w:tc>
          <w:tcPr>
            <w:tcW w:w="545" w:type="pct"/>
            <w:tcBorders>
              <w:tl2br w:val="nil"/>
              <w:tr2bl w:val="nil"/>
            </w:tcBorders>
            <w:vAlign w:val="center"/>
          </w:tcPr>
          <w:p w14:paraId="42BCC2E8">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5E8E168C">
            <w:pPr>
              <w:adjustRightInd/>
              <w:snapToGrid/>
              <w:spacing w:line="240" w:lineRule="auto"/>
              <w:ind w:firstLine="0" w:firstLineChars="0"/>
              <w:jc w:val="center"/>
              <w:rPr>
                <w:color w:val="auto"/>
                <w:sz w:val="21"/>
                <w:szCs w:val="21"/>
              </w:rPr>
            </w:pPr>
            <w:r>
              <w:rPr>
                <w:color w:val="auto"/>
                <w:sz w:val="21"/>
                <w:szCs w:val="21"/>
              </w:rPr>
              <w:t>9682.309</w:t>
            </w:r>
          </w:p>
        </w:tc>
        <w:tc>
          <w:tcPr>
            <w:tcW w:w="667" w:type="pct"/>
            <w:tcBorders>
              <w:tl2br w:val="nil"/>
              <w:tr2bl w:val="nil"/>
            </w:tcBorders>
            <w:vAlign w:val="center"/>
          </w:tcPr>
          <w:p w14:paraId="0C03D1A7">
            <w:pPr>
              <w:adjustRightInd/>
              <w:snapToGrid/>
              <w:spacing w:line="240" w:lineRule="auto"/>
              <w:ind w:firstLine="0" w:firstLineChars="0"/>
              <w:jc w:val="center"/>
              <w:rPr>
                <w:color w:val="auto"/>
                <w:sz w:val="21"/>
                <w:szCs w:val="21"/>
              </w:rPr>
            </w:pPr>
            <w:r>
              <w:rPr>
                <w:color w:val="auto"/>
                <w:sz w:val="21"/>
                <w:szCs w:val="21"/>
              </w:rPr>
              <w:t>40.013</w:t>
            </w:r>
          </w:p>
        </w:tc>
        <w:tc>
          <w:tcPr>
            <w:tcW w:w="832" w:type="pct"/>
            <w:tcBorders>
              <w:tl2br w:val="nil"/>
              <w:tr2bl w:val="nil"/>
            </w:tcBorders>
            <w:noWrap/>
            <w:vAlign w:val="center"/>
          </w:tcPr>
          <w:p w14:paraId="098EB083">
            <w:pPr>
              <w:adjustRightInd/>
              <w:snapToGrid/>
              <w:spacing w:line="240" w:lineRule="auto"/>
              <w:ind w:firstLine="0" w:firstLineChars="0"/>
              <w:jc w:val="center"/>
              <w:rPr>
                <w:color w:val="auto"/>
                <w:sz w:val="21"/>
                <w:szCs w:val="21"/>
              </w:rPr>
            </w:pPr>
            <w:r>
              <w:rPr>
                <w:color w:val="auto"/>
                <w:sz w:val="21"/>
                <w:szCs w:val="21"/>
              </w:rPr>
              <w:t>0.741</w:t>
            </w:r>
          </w:p>
        </w:tc>
        <w:tc>
          <w:tcPr>
            <w:tcW w:w="832" w:type="pct"/>
            <w:tcBorders>
              <w:tl2br w:val="nil"/>
              <w:tr2bl w:val="nil"/>
            </w:tcBorders>
            <w:noWrap/>
            <w:vAlign w:val="center"/>
          </w:tcPr>
          <w:p w14:paraId="421657F3">
            <w:pPr>
              <w:adjustRightInd/>
              <w:snapToGrid/>
              <w:spacing w:line="240" w:lineRule="auto"/>
              <w:ind w:firstLine="0" w:firstLineChars="0"/>
              <w:jc w:val="center"/>
              <w:rPr>
                <w:color w:val="auto"/>
                <w:sz w:val="21"/>
                <w:szCs w:val="21"/>
              </w:rPr>
            </w:pPr>
            <w:r>
              <w:rPr>
                <w:color w:val="auto"/>
                <w:sz w:val="21"/>
                <w:szCs w:val="21"/>
              </w:rPr>
              <w:t>0.407</w:t>
            </w:r>
          </w:p>
        </w:tc>
        <w:tc>
          <w:tcPr>
            <w:tcW w:w="675" w:type="pct"/>
            <w:tcBorders>
              <w:tl2br w:val="nil"/>
              <w:tr2bl w:val="nil"/>
            </w:tcBorders>
            <w:vAlign w:val="center"/>
          </w:tcPr>
          <w:p w14:paraId="6E38CE41">
            <w:pPr>
              <w:adjustRightInd/>
              <w:snapToGrid/>
              <w:spacing w:line="240" w:lineRule="auto"/>
              <w:ind w:firstLine="0" w:firstLineChars="0"/>
              <w:jc w:val="center"/>
              <w:rPr>
                <w:color w:val="auto"/>
                <w:sz w:val="21"/>
                <w:szCs w:val="21"/>
              </w:rPr>
            </w:pPr>
            <w:r>
              <w:rPr>
                <w:color w:val="auto"/>
                <w:sz w:val="21"/>
                <w:szCs w:val="21"/>
              </w:rPr>
              <w:t>8.184</w:t>
            </w:r>
          </w:p>
        </w:tc>
      </w:tr>
      <w:tr w14:paraId="26080C4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7EB3D01A">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5343696F">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5C30A80E">
            <w:pPr>
              <w:adjustRightInd/>
              <w:snapToGrid/>
              <w:spacing w:line="240" w:lineRule="auto"/>
              <w:ind w:firstLine="0" w:firstLineChars="0"/>
              <w:jc w:val="center"/>
              <w:rPr>
                <w:color w:val="auto"/>
                <w:sz w:val="21"/>
                <w:szCs w:val="21"/>
              </w:rPr>
            </w:pPr>
            <w:r>
              <w:rPr>
                <w:color w:val="auto"/>
                <w:sz w:val="21"/>
                <w:szCs w:val="21"/>
              </w:rPr>
              <w:t>1593.667</w:t>
            </w:r>
          </w:p>
        </w:tc>
        <w:tc>
          <w:tcPr>
            <w:tcW w:w="667" w:type="pct"/>
            <w:tcBorders>
              <w:tl2br w:val="nil"/>
              <w:tr2bl w:val="nil"/>
            </w:tcBorders>
            <w:vAlign w:val="center"/>
          </w:tcPr>
          <w:p w14:paraId="51AC0E08">
            <w:pPr>
              <w:adjustRightInd/>
              <w:snapToGrid/>
              <w:spacing w:line="240" w:lineRule="auto"/>
              <w:ind w:firstLine="0" w:firstLineChars="0"/>
              <w:jc w:val="center"/>
              <w:rPr>
                <w:color w:val="auto"/>
                <w:sz w:val="21"/>
                <w:szCs w:val="21"/>
              </w:rPr>
            </w:pPr>
            <w:r>
              <w:rPr>
                <w:color w:val="auto"/>
                <w:sz w:val="21"/>
                <w:szCs w:val="21"/>
              </w:rPr>
              <w:t>27.402</w:t>
            </w:r>
          </w:p>
        </w:tc>
        <w:tc>
          <w:tcPr>
            <w:tcW w:w="832" w:type="pct"/>
            <w:tcBorders>
              <w:tl2br w:val="nil"/>
              <w:tr2bl w:val="nil"/>
            </w:tcBorders>
            <w:noWrap/>
            <w:vAlign w:val="center"/>
          </w:tcPr>
          <w:p w14:paraId="50A326CA">
            <w:pPr>
              <w:adjustRightInd/>
              <w:snapToGrid/>
              <w:spacing w:line="240" w:lineRule="auto"/>
              <w:ind w:firstLine="0" w:firstLineChars="0"/>
              <w:jc w:val="center"/>
              <w:rPr>
                <w:color w:val="auto"/>
                <w:sz w:val="21"/>
                <w:szCs w:val="21"/>
              </w:rPr>
            </w:pPr>
            <w:r>
              <w:rPr>
                <w:color w:val="auto"/>
                <w:sz w:val="21"/>
                <w:szCs w:val="21"/>
              </w:rPr>
              <w:t>0.242</w:t>
            </w:r>
          </w:p>
        </w:tc>
        <w:tc>
          <w:tcPr>
            <w:tcW w:w="832" w:type="pct"/>
            <w:tcBorders>
              <w:tl2br w:val="nil"/>
              <w:tr2bl w:val="nil"/>
            </w:tcBorders>
            <w:noWrap/>
            <w:vAlign w:val="center"/>
          </w:tcPr>
          <w:p w14:paraId="1E140414">
            <w:pPr>
              <w:adjustRightInd/>
              <w:snapToGrid/>
              <w:spacing w:line="240" w:lineRule="auto"/>
              <w:ind w:firstLine="0" w:firstLineChars="0"/>
              <w:jc w:val="center"/>
              <w:rPr>
                <w:color w:val="auto"/>
                <w:sz w:val="21"/>
                <w:szCs w:val="21"/>
              </w:rPr>
            </w:pPr>
            <w:r>
              <w:rPr>
                <w:color w:val="auto"/>
                <w:sz w:val="21"/>
                <w:szCs w:val="21"/>
              </w:rPr>
              <w:t>0.127</w:t>
            </w:r>
          </w:p>
        </w:tc>
        <w:tc>
          <w:tcPr>
            <w:tcW w:w="675" w:type="pct"/>
            <w:tcBorders>
              <w:tl2br w:val="nil"/>
              <w:tr2bl w:val="nil"/>
            </w:tcBorders>
            <w:vAlign w:val="center"/>
          </w:tcPr>
          <w:p w14:paraId="00ED2DF0">
            <w:pPr>
              <w:adjustRightInd/>
              <w:snapToGrid/>
              <w:spacing w:line="240" w:lineRule="auto"/>
              <w:ind w:firstLine="0" w:firstLineChars="0"/>
              <w:jc w:val="center"/>
              <w:rPr>
                <w:color w:val="auto"/>
                <w:sz w:val="21"/>
                <w:szCs w:val="21"/>
              </w:rPr>
            </w:pPr>
            <w:r>
              <w:rPr>
                <w:color w:val="auto"/>
                <w:sz w:val="21"/>
                <w:szCs w:val="21"/>
              </w:rPr>
              <w:t>6.663</w:t>
            </w:r>
          </w:p>
        </w:tc>
      </w:tr>
      <w:tr w14:paraId="754CCC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1DCBF390">
            <w:pPr>
              <w:adjustRightInd/>
              <w:snapToGrid/>
              <w:spacing w:line="240" w:lineRule="auto"/>
              <w:ind w:firstLine="0" w:firstLineChars="0"/>
              <w:jc w:val="center"/>
              <w:rPr>
                <w:color w:val="auto"/>
                <w:sz w:val="21"/>
                <w:szCs w:val="21"/>
              </w:rPr>
            </w:pPr>
            <w:r>
              <w:rPr>
                <w:color w:val="auto"/>
                <w:sz w:val="21"/>
                <w:szCs w:val="21"/>
              </w:rPr>
              <w:t>2023年11月</w:t>
            </w:r>
          </w:p>
        </w:tc>
        <w:tc>
          <w:tcPr>
            <w:tcW w:w="545" w:type="pct"/>
            <w:tcBorders>
              <w:tl2br w:val="nil"/>
              <w:tr2bl w:val="nil"/>
            </w:tcBorders>
            <w:vAlign w:val="center"/>
          </w:tcPr>
          <w:p w14:paraId="344B8C47">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51516163">
            <w:pPr>
              <w:adjustRightInd/>
              <w:snapToGrid/>
              <w:spacing w:line="240" w:lineRule="auto"/>
              <w:ind w:firstLine="0" w:firstLineChars="0"/>
              <w:jc w:val="center"/>
              <w:rPr>
                <w:color w:val="auto"/>
                <w:sz w:val="21"/>
                <w:szCs w:val="21"/>
              </w:rPr>
            </w:pPr>
            <w:r>
              <w:rPr>
                <w:color w:val="auto"/>
                <w:sz w:val="21"/>
                <w:szCs w:val="21"/>
              </w:rPr>
              <w:t>11244.97</w:t>
            </w:r>
          </w:p>
        </w:tc>
        <w:tc>
          <w:tcPr>
            <w:tcW w:w="667" w:type="pct"/>
            <w:tcBorders>
              <w:tl2br w:val="nil"/>
              <w:tr2bl w:val="nil"/>
            </w:tcBorders>
            <w:vAlign w:val="center"/>
          </w:tcPr>
          <w:p w14:paraId="3A11F024">
            <w:pPr>
              <w:adjustRightInd/>
              <w:snapToGrid/>
              <w:spacing w:line="240" w:lineRule="auto"/>
              <w:ind w:firstLine="0" w:firstLineChars="0"/>
              <w:jc w:val="center"/>
              <w:rPr>
                <w:color w:val="auto"/>
                <w:sz w:val="21"/>
                <w:szCs w:val="21"/>
              </w:rPr>
            </w:pPr>
            <w:r>
              <w:rPr>
                <w:color w:val="auto"/>
                <w:sz w:val="21"/>
                <w:szCs w:val="21"/>
              </w:rPr>
              <w:t>45.577</w:t>
            </w:r>
          </w:p>
        </w:tc>
        <w:tc>
          <w:tcPr>
            <w:tcW w:w="832" w:type="pct"/>
            <w:tcBorders>
              <w:tl2br w:val="nil"/>
              <w:tr2bl w:val="nil"/>
            </w:tcBorders>
            <w:noWrap/>
            <w:vAlign w:val="center"/>
          </w:tcPr>
          <w:p w14:paraId="5D3656B7">
            <w:pPr>
              <w:adjustRightInd/>
              <w:snapToGrid/>
              <w:spacing w:line="240" w:lineRule="auto"/>
              <w:ind w:firstLine="0" w:firstLineChars="0"/>
              <w:jc w:val="center"/>
              <w:rPr>
                <w:color w:val="auto"/>
                <w:sz w:val="21"/>
                <w:szCs w:val="21"/>
              </w:rPr>
            </w:pPr>
            <w:r>
              <w:rPr>
                <w:color w:val="auto"/>
                <w:sz w:val="21"/>
                <w:szCs w:val="21"/>
              </w:rPr>
              <w:t>3.458</w:t>
            </w:r>
          </w:p>
        </w:tc>
        <w:tc>
          <w:tcPr>
            <w:tcW w:w="832" w:type="pct"/>
            <w:tcBorders>
              <w:tl2br w:val="nil"/>
              <w:tr2bl w:val="nil"/>
            </w:tcBorders>
            <w:noWrap/>
            <w:vAlign w:val="center"/>
          </w:tcPr>
          <w:p w14:paraId="08A988D2">
            <w:pPr>
              <w:adjustRightInd/>
              <w:snapToGrid/>
              <w:spacing w:line="240" w:lineRule="auto"/>
              <w:ind w:firstLine="0" w:firstLineChars="0"/>
              <w:jc w:val="center"/>
              <w:rPr>
                <w:color w:val="auto"/>
                <w:sz w:val="21"/>
                <w:szCs w:val="21"/>
              </w:rPr>
            </w:pPr>
            <w:r>
              <w:rPr>
                <w:color w:val="auto"/>
                <w:sz w:val="21"/>
                <w:szCs w:val="21"/>
              </w:rPr>
              <w:t>0.335</w:t>
            </w:r>
          </w:p>
        </w:tc>
        <w:tc>
          <w:tcPr>
            <w:tcW w:w="675" w:type="pct"/>
            <w:tcBorders>
              <w:tl2br w:val="nil"/>
              <w:tr2bl w:val="nil"/>
            </w:tcBorders>
            <w:vAlign w:val="center"/>
          </w:tcPr>
          <w:p w14:paraId="6AF287B3">
            <w:pPr>
              <w:adjustRightInd/>
              <w:snapToGrid/>
              <w:spacing w:line="240" w:lineRule="auto"/>
              <w:ind w:firstLine="0" w:firstLineChars="0"/>
              <w:jc w:val="center"/>
              <w:rPr>
                <w:color w:val="auto"/>
                <w:sz w:val="21"/>
                <w:szCs w:val="21"/>
              </w:rPr>
            </w:pPr>
            <w:r>
              <w:rPr>
                <w:color w:val="auto"/>
                <w:sz w:val="21"/>
                <w:szCs w:val="21"/>
              </w:rPr>
              <w:t>10.159</w:t>
            </w:r>
          </w:p>
        </w:tc>
      </w:tr>
      <w:tr w14:paraId="77A1AF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1E55AD72">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57EBADBA">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0774A512">
            <w:pPr>
              <w:adjustRightInd/>
              <w:snapToGrid/>
              <w:spacing w:line="240" w:lineRule="auto"/>
              <w:ind w:firstLine="0" w:firstLineChars="0"/>
              <w:jc w:val="center"/>
              <w:rPr>
                <w:color w:val="auto"/>
                <w:sz w:val="21"/>
                <w:szCs w:val="21"/>
              </w:rPr>
            </w:pPr>
            <w:r>
              <w:rPr>
                <w:color w:val="auto"/>
                <w:sz w:val="21"/>
                <w:szCs w:val="21"/>
              </w:rPr>
              <w:t>3248.87</w:t>
            </w:r>
          </w:p>
        </w:tc>
        <w:tc>
          <w:tcPr>
            <w:tcW w:w="667" w:type="pct"/>
            <w:tcBorders>
              <w:tl2br w:val="nil"/>
              <w:tr2bl w:val="nil"/>
            </w:tcBorders>
            <w:vAlign w:val="center"/>
          </w:tcPr>
          <w:p w14:paraId="20ED579E">
            <w:pPr>
              <w:adjustRightInd/>
              <w:snapToGrid/>
              <w:spacing w:line="240" w:lineRule="auto"/>
              <w:ind w:firstLine="0" w:firstLineChars="0"/>
              <w:jc w:val="center"/>
              <w:rPr>
                <w:color w:val="auto"/>
                <w:sz w:val="21"/>
                <w:szCs w:val="21"/>
              </w:rPr>
            </w:pPr>
            <w:r>
              <w:rPr>
                <w:color w:val="auto"/>
                <w:sz w:val="21"/>
                <w:szCs w:val="21"/>
              </w:rPr>
              <w:t>23.667</w:t>
            </w:r>
          </w:p>
        </w:tc>
        <w:tc>
          <w:tcPr>
            <w:tcW w:w="832" w:type="pct"/>
            <w:tcBorders>
              <w:tl2br w:val="nil"/>
              <w:tr2bl w:val="nil"/>
            </w:tcBorders>
            <w:noWrap/>
            <w:vAlign w:val="center"/>
          </w:tcPr>
          <w:p w14:paraId="4C470517">
            <w:pPr>
              <w:adjustRightInd/>
              <w:snapToGrid/>
              <w:spacing w:line="240" w:lineRule="auto"/>
              <w:ind w:firstLine="0" w:firstLineChars="0"/>
              <w:jc w:val="center"/>
              <w:rPr>
                <w:color w:val="auto"/>
                <w:sz w:val="21"/>
                <w:szCs w:val="21"/>
              </w:rPr>
            </w:pPr>
            <w:r>
              <w:rPr>
                <w:color w:val="auto"/>
                <w:sz w:val="21"/>
                <w:szCs w:val="21"/>
              </w:rPr>
              <w:t>0.234</w:t>
            </w:r>
          </w:p>
        </w:tc>
        <w:tc>
          <w:tcPr>
            <w:tcW w:w="832" w:type="pct"/>
            <w:tcBorders>
              <w:tl2br w:val="nil"/>
              <w:tr2bl w:val="nil"/>
            </w:tcBorders>
            <w:noWrap/>
            <w:vAlign w:val="center"/>
          </w:tcPr>
          <w:p w14:paraId="5B9B2223">
            <w:pPr>
              <w:adjustRightInd/>
              <w:snapToGrid/>
              <w:spacing w:line="240" w:lineRule="auto"/>
              <w:ind w:firstLine="0" w:firstLineChars="0"/>
              <w:jc w:val="center"/>
              <w:rPr>
                <w:color w:val="auto"/>
                <w:sz w:val="21"/>
                <w:szCs w:val="21"/>
              </w:rPr>
            </w:pPr>
            <w:r>
              <w:rPr>
                <w:color w:val="auto"/>
                <w:sz w:val="21"/>
                <w:szCs w:val="21"/>
              </w:rPr>
              <w:t>0.144</w:t>
            </w:r>
          </w:p>
        </w:tc>
        <w:tc>
          <w:tcPr>
            <w:tcW w:w="675" w:type="pct"/>
            <w:tcBorders>
              <w:tl2br w:val="nil"/>
              <w:tr2bl w:val="nil"/>
            </w:tcBorders>
            <w:vAlign w:val="center"/>
          </w:tcPr>
          <w:p w14:paraId="6979904C">
            <w:pPr>
              <w:adjustRightInd/>
              <w:snapToGrid/>
              <w:spacing w:line="240" w:lineRule="auto"/>
              <w:ind w:firstLine="0" w:firstLineChars="0"/>
              <w:jc w:val="center"/>
              <w:rPr>
                <w:color w:val="auto"/>
                <w:sz w:val="21"/>
                <w:szCs w:val="21"/>
              </w:rPr>
            </w:pPr>
            <w:r>
              <w:rPr>
                <w:color w:val="auto"/>
                <w:sz w:val="21"/>
                <w:szCs w:val="21"/>
              </w:rPr>
              <w:t>6.072</w:t>
            </w:r>
          </w:p>
        </w:tc>
      </w:tr>
      <w:tr w14:paraId="5E50DBC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restart"/>
            <w:tcBorders>
              <w:tl2br w:val="nil"/>
              <w:tr2bl w:val="nil"/>
            </w:tcBorders>
            <w:noWrap/>
            <w:vAlign w:val="center"/>
          </w:tcPr>
          <w:p w14:paraId="10E68AF6">
            <w:pPr>
              <w:adjustRightInd/>
              <w:snapToGrid/>
              <w:spacing w:line="240" w:lineRule="auto"/>
              <w:ind w:firstLine="0" w:firstLineChars="0"/>
              <w:jc w:val="center"/>
              <w:rPr>
                <w:color w:val="auto"/>
                <w:sz w:val="21"/>
                <w:szCs w:val="21"/>
              </w:rPr>
            </w:pPr>
            <w:r>
              <w:rPr>
                <w:color w:val="auto"/>
                <w:sz w:val="21"/>
                <w:szCs w:val="21"/>
              </w:rPr>
              <w:t>2023年12月</w:t>
            </w:r>
          </w:p>
        </w:tc>
        <w:tc>
          <w:tcPr>
            <w:tcW w:w="545" w:type="pct"/>
            <w:tcBorders>
              <w:tl2br w:val="nil"/>
              <w:tr2bl w:val="nil"/>
            </w:tcBorders>
            <w:vAlign w:val="center"/>
          </w:tcPr>
          <w:p w14:paraId="776DC905">
            <w:pPr>
              <w:adjustRightInd/>
              <w:snapToGrid/>
              <w:spacing w:line="240" w:lineRule="auto"/>
              <w:ind w:firstLine="0" w:firstLineChars="0"/>
              <w:jc w:val="center"/>
              <w:rPr>
                <w:color w:val="auto"/>
                <w:sz w:val="21"/>
                <w:szCs w:val="21"/>
              </w:rPr>
            </w:pPr>
            <w:r>
              <w:rPr>
                <w:color w:val="auto"/>
                <w:sz w:val="21"/>
                <w:szCs w:val="21"/>
              </w:rPr>
              <w:t>最大值</w:t>
            </w:r>
          </w:p>
        </w:tc>
        <w:tc>
          <w:tcPr>
            <w:tcW w:w="661" w:type="pct"/>
            <w:tcBorders>
              <w:tl2br w:val="nil"/>
              <w:tr2bl w:val="nil"/>
            </w:tcBorders>
            <w:vAlign w:val="center"/>
          </w:tcPr>
          <w:p w14:paraId="49C5B3DC">
            <w:pPr>
              <w:adjustRightInd/>
              <w:snapToGrid/>
              <w:spacing w:line="240" w:lineRule="auto"/>
              <w:ind w:firstLine="0" w:firstLineChars="0"/>
              <w:jc w:val="center"/>
              <w:rPr>
                <w:color w:val="auto"/>
                <w:sz w:val="21"/>
                <w:szCs w:val="21"/>
              </w:rPr>
            </w:pPr>
            <w:r>
              <w:rPr>
                <w:color w:val="auto"/>
                <w:sz w:val="21"/>
                <w:szCs w:val="21"/>
              </w:rPr>
              <w:t>10731.54</w:t>
            </w:r>
          </w:p>
        </w:tc>
        <w:tc>
          <w:tcPr>
            <w:tcW w:w="667" w:type="pct"/>
            <w:tcBorders>
              <w:tl2br w:val="nil"/>
              <w:tr2bl w:val="nil"/>
            </w:tcBorders>
            <w:vAlign w:val="center"/>
          </w:tcPr>
          <w:p w14:paraId="4091E041">
            <w:pPr>
              <w:adjustRightInd/>
              <w:snapToGrid/>
              <w:spacing w:line="240" w:lineRule="auto"/>
              <w:ind w:firstLine="0" w:firstLineChars="0"/>
              <w:jc w:val="center"/>
              <w:rPr>
                <w:color w:val="auto"/>
                <w:sz w:val="21"/>
                <w:szCs w:val="21"/>
              </w:rPr>
            </w:pPr>
            <w:r>
              <w:rPr>
                <w:color w:val="auto"/>
                <w:sz w:val="21"/>
                <w:szCs w:val="21"/>
              </w:rPr>
              <w:t>45.035</w:t>
            </w:r>
          </w:p>
        </w:tc>
        <w:tc>
          <w:tcPr>
            <w:tcW w:w="832" w:type="pct"/>
            <w:tcBorders>
              <w:tl2br w:val="nil"/>
              <w:tr2bl w:val="nil"/>
            </w:tcBorders>
            <w:noWrap/>
            <w:vAlign w:val="center"/>
          </w:tcPr>
          <w:p w14:paraId="3754F594">
            <w:pPr>
              <w:adjustRightInd/>
              <w:snapToGrid/>
              <w:spacing w:line="240" w:lineRule="auto"/>
              <w:ind w:firstLine="0" w:firstLineChars="0"/>
              <w:jc w:val="center"/>
              <w:rPr>
                <w:color w:val="auto"/>
                <w:sz w:val="21"/>
                <w:szCs w:val="21"/>
              </w:rPr>
            </w:pPr>
            <w:r>
              <w:rPr>
                <w:color w:val="auto"/>
                <w:sz w:val="21"/>
                <w:szCs w:val="21"/>
              </w:rPr>
              <w:t>1.28</w:t>
            </w:r>
          </w:p>
        </w:tc>
        <w:tc>
          <w:tcPr>
            <w:tcW w:w="832" w:type="pct"/>
            <w:tcBorders>
              <w:tl2br w:val="nil"/>
              <w:tr2bl w:val="nil"/>
            </w:tcBorders>
            <w:noWrap/>
            <w:vAlign w:val="center"/>
          </w:tcPr>
          <w:p w14:paraId="515E120B">
            <w:pPr>
              <w:adjustRightInd/>
              <w:snapToGrid/>
              <w:spacing w:line="240" w:lineRule="auto"/>
              <w:ind w:firstLine="0" w:firstLineChars="0"/>
              <w:jc w:val="center"/>
              <w:rPr>
                <w:color w:val="auto"/>
                <w:sz w:val="21"/>
                <w:szCs w:val="21"/>
              </w:rPr>
            </w:pPr>
            <w:r>
              <w:rPr>
                <w:color w:val="auto"/>
                <w:sz w:val="21"/>
                <w:szCs w:val="21"/>
              </w:rPr>
              <w:t>0.326</w:t>
            </w:r>
          </w:p>
        </w:tc>
        <w:tc>
          <w:tcPr>
            <w:tcW w:w="675" w:type="pct"/>
            <w:tcBorders>
              <w:tl2br w:val="nil"/>
              <w:tr2bl w:val="nil"/>
            </w:tcBorders>
            <w:vAlign w:val="center"/>
          </w:tcPr>
          <w:p w14:paraId="20E723B0">
            <w:pPr>
              <w:adjustRightInd/>
              <w:snapToGrid/>
              <w:spacing w:line="240" w:lineRule="auto"/>
              <w:ind w:firstLine="0" w:firstLineChars="0"/>
              <w:jc w:val="center"/>
              <w:rPr>
                <w:color w:val="auto"/>
                <w:sz w:val="21"/>
                <w:szCs w:val="21"/>
              </w:rPr>
            </w:pPr>
            <w:r>
              <w:rPr>
                <w:color w:val="auto"/>
                <w:sz w:val="21"/>
                <w:szCs w:val="21"/>
              </w:rPr>
              <w:t>9.27</w:t>
            </w:r>
          </w:p>
        </w:tc>
      </w:tr>
      <w:tr w14:paraId="32ADC23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786" w:type="pct"/>
            <w:vMerge w:val="continue"/>
            <w:tcBorders>
              <w:tl2br w:val="nil"/>
              <w:tr2bl w:val="nil"/>
            </w:tcBorders>
            <w:noWrap/>
            <w:vAlign w:val="center"/>
          </w:tcPr>
          <w:p w14:paraId="5F0CF82D">
            <w:pPr>
              <w:adjustRightInd/>
              <w:snapToGrid/>
              <w:spacing w:line="240" w:lineRule="auto"/>
              <w:ind w:firstLine="0" w:firstLineChars="0"/>
              <w:jc w:val="center"/>
              <w:rPr>
                <w:color w:val="auto"/>
                <w:sz w:val="21"/>
                <w:szCs w:val="21"/>
              </w:rPr>
            </w:pPr>
          </w:p>
        </w:tc>
        <w:tc>
          <w:tcPr>
            <w:tcW w:w="545" w:type="pct"/>
            <w:tcBorders>
              <w:tl2br w:val="nil"/>
              <w:tr2bl w:val="nil"/>
            </w:tcBorders>
            <w:vAlign w:val="center"/>
          </w:tcPr>
          <w:p w14:paraId="0F99B2BD">
            <w:pPr>
              <w:adjustRightInd/>
              <w:snapToGrid/>
              <w:spacing w:line="240" w:lineRule="auto"/>
              <w:ind w:firstLine="0" w:firstLineChars="0"/>
              <w:jc w:val="center"/>
              <w:rPr>
                <w:color w:val="auto"/>
                <w:sz w:val="21"/>
                <w:szCs w:val="21"/>
              </w:rPr>
            </w:pPr>
            <w:r>
              <w:rPr>
                <w:color w:val="auto"/>
                <w:sz w:val="21"/>
                <w:szCs w:val="21"/>
              </w:rPr>
              <w:t>最小值</w:t>
            </w:r>
          </w:p>
        </w:tc>
        <w:tc>
          <w:tcPr>
            <w:tcW w:w="661" w:type="pct"/>
            <w:tcBorders>
              <w:tl2br w:val="nil"/>
              <w:tr2bl w:val="nil"/>
            </w:tcBorders>
            <w:vAlign w:val="center"/>
          </w:tcPr>
          <w:p w14:paraId="166AAEB7">
            <w:pPr>
              <w:adjustRightInd/>
              <w:snapToGrid/>
              <w:spacing w:line="240" w:lineRule="auto"/>
              <w:ind w:firstLine="0" w:firstLineChars="0"/>
              <w:jc w:val="center"/>
              <w:rPr>
                <w:color w:val="auto"/>
                <w:sz w:val="21"/>
                <w:szCs w:val="21"/>
              </w:rPr>
            </w:pPr>
            <w:r>
              <w:rPr>
                <w:color w:val="auto"/>
                <w:sz w:val="21"/>
                <w:szCs w:val="21"/>
              </w:rPr>
              <w:t>4011.75</w:t>
            </w:r>
          </w:p>
        </w:tc>
        <w:tc>
          <w:tcPr>
            <w:tcW w:w="667" w:type="pct"/>
            <w:tcBorders>
              <w:tl2br w:val="nil"/>
              <w:tr2bl w:val="nil"/>
            </w:tcBorders>
            <w:vAlign w:val="center"/>
          </w:tcPr>
          <w:p w14:paraId="15BD62D9">
            <w:pPr>
              <w:adjustRightInd/>
              <w:snapToGrid/>
              <w:spacing w:line="240" w:lineRule="auto"/>
              <w:ind w:firstLine="0" w:firstLineChars="0"/>
              <w:jc w:val="center"/>
              <w:rPr>
                <w:color w:val="auto"/>
                <w:sz w:val="21"/>
                <w:szCs w:val="21"/>
              </w:rPr>
            </w:pPr>
            <w:r>
              <w:rPr>
                <w:color w:val="auto"/>
                <w:sz w:val="21"/>
                <w:szCs w:val="21"/>
              </w:rPr>
              <w:t>27.356</w:t>
            </w:r>
          </w:p>
        </w:tc>
        <w:tc>
          <w:tcPr>
            <w:tcW w:w="832" w:type="pct"/>
            <w:tcBorders>
              <w:tl2br w:val="nil"/>
              <w:tr2bl w:val="nil"/>
            </w:tcBorders>
            <w:noWrap/>
            <w:vAlign w:val="center"/>
          </w:tcPr>
          <w:p w14:paraId="1D85D36F">
            <w:pPr>
              <w:adjustRightInd/>
              <w:snapToGrid/>
              <w:spacing w:line="240" w:lineRule="auto"/>
              <w:ind w:firstLine="0" w:firstLineChars="0"/>
              <w:jc w:val="center"/>
              <w:rPr>
                <w:color w:val="auto"/>
                <w:sz w:val="21"/>
                <w:szCs w:val="21"/>
              </w:rPr>
            </w:pPr>
            <w:r>
              <w:rPr>
                <w:color w:val="auto"/>
                <w:sz w:val="21"/>
                <w:szCs w:val="21"/>
              </w:rPr>
              <w:t>0.141</w:t>
            </w:r>
          </w:p>
        </w:tc>
        <w:tc>
          <w:tcPr>
            <w:tcW w:w="832" w:type="pct"/>
            <w:tcBorders>
              <w:tl2br w:val="nil"/>
              <w:tr2bl w:val="nil"/>
            </w:tcBorders>
            <w:noWrap/>
            <w:vAlign w:val="center"/>
          </w:tcPr>
          <w:p w14:paraId="320D106F">
            <w:pPr>
              <w:adjustRightInd/>
              <w:snapToGrid/>
              <w:spacing w:line="240" w:lineRule="auto"/>
              <w:ind w:firstLine="0" w:firstLineChars="0"/>
              <w:jc w:val="center"/>
              <w:rPr>
                <w:color w:val="auto"/>
                <w:sz w:val="21"/>
                <w:szCs w:val="21"/>
              </w:rPr>
            </w:pPr>
            <w:r>
              <w:rPr>
                <w:color w:val="auto"/>
                <w:sz w:val="21"/>
                <w:szCs w:val="21"/>
              </w:rPr>
              <w:t>0.14</w:t>
            </w:r>
          </w:p>
        </w:tc>
        <w:tc>
          <w:tcPr>
            <w:tcW w:w="675" w:type="pct"/>
            <w:tcBorders>
              <w:tl2br w:val="nil"/>
              <w:tr2bl w:val="nil"/>
            </w:tcBorders>
            <w:vAlign w:val="center"/>
          </w:tcPr>
          <w:p w14:paraId="3A3C3443">
            <w:pPr>
              <w:adjustRightInd/>
              <w:snapToGrid/>
              <w:spacing w:line="240" w:lineRule="auto"/>
              <w:ind w:firstLine="0" w:firstLineChars="0"/>
              <w:jc w:val="center"/>
              <w:rPr>
                <w:color w:val="auto"/>
                <w:sz w:val="21"/>
                <w:szCs w:val="21"/>
              </w:rPr>
            </w:pPr>
            <w:r>
              <w:rPr>
                <w:color w:val="auto"/>
                <w:sz w:val="21"/>
                <w:szCs w:val="21"/>
              </w:rPr>
              <w:t>4.429</w:t>
            </w:r>
          </w:p>
        </w:tc>
      </w:tr>
      <w:tr w14:paraId="2311C15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1331" w:type="pct"/>
            <w:gridSpan w:val="2"/>
            <w:tcBorders>
              <w:tl2br w:val="nil"/>
              <w:tr2bl w:val="nil"/>
            </w:tcBorders>
            <w:noWrap/>
            <w:vAlign w:val="center"/>
          </w:tcPr>
          <w:p w14:paraId="4EFF68BA">
            <w:pPr>
              <w:adjustRightInd/>
              <w:snapToGrid/>
              <w:spacing w:line="240" w:lineRule="auto"/>
              <w:ind w:firstLine="0" w:firstLineChars="0"/>
              <w:jc w:val="center"/>
              <w:rPr>
                <w:color w:val="auto"/>
                <w:sz w:val="21"/>
                <w:szCs w:val="21"/>
              </w:rPr>
            </w:pPr>
            <w:r>
              <w:rPr>
                <w:color w:val="auto"/>
                <w:sz w:val="21"/>
                <w:szCs w:val="21"/>
              </w:rPr>
              <w:t>排放标准</w:t>
            </w:r>
          </w:p>
        </w:tc>
        <w:tc>
          <w:tcPr>
            <w:tcW w:w="661" w:type="pct"/>
            <w:tcBorders>
              <w:tl2br w:val="nil"/>
              <w:tr2bl w:val="nil"/>
            </w:tcBorders>
            <w:vAlign w:val="center"/>
          </w:tcPr>
          <w:p w14:paraId="376197BD">
            <w:pPr>
              <w:adjustRightInd/>
              <w:snapToGrid/>
              <w:spacing w:line="240" w:lineRule="auto"/>
              <w:ind w:firstLine="0" w:firstLineChars="0"/>
              <w:jc w:val="center"/>
              <w:rPr>
                <w:color w:val="auto"/>
                <w:sz w:val="21"/>
                <w:szCs w:val="21"/>
              </w:rPr>
            </w:pPr>
            <w:r>
              <w:rPr>
                <w:color w:val="auto"/>
                <w:sz w:val="21"/>
                <w:szCs w:val="21"/>
              </w:rPr>
              <w:t>/</w:t>
            </w:r>
          </w:p>
        </w:tc>
        <w:tc>
          <w:tcPr>
            <w:tcW w:w="667" w:type="pct"/>
            <w:tcBorders>
              <w:tl2br w:val="nil"/>
              <w:tr2bl w:val="nil"/>
            </w:tcBorders>
            <w:vAlign w:val="center"/>
          </w:tcPr>
          <w:p w14:paraId="36070447">
            <w:pPr>
              <w:adjustRightInd/>
              <w:snapToGrid/>
              <w:spacing w:line="240" w:lineRule="auto"/>
              <w:ind w:firstLine="0" w:firstLineChars="0"/>
              <w:jc w:val="center"/>
              <w:rPr>
                <w:color w:val="auto"/>
                <w:sz w:val="21"/>
                <w:szCs w:val="21"/>
              </w:rPr>
            </w:pPr>
            <w:r>
              <w:rPr>
                <w:color w:val="auto"/>
                <w:sz w:val="21"/>
                <w:szCs w:val="21"/>
              </w:rPr>
              <w:t>50</w:t>
            </w:r>
          </w:p>
        </w:tc>
        <w:tc>
          <w:tcPr>
            <w:tcW w:w="832" w:type="pct"/>
            <w:tcBorders>
              <w:tl2br w:val="nil"/>
              <w:tr2bl w:val="nil"/>
            </w:tcBorders>
            <w:noWrap/>
            <w:vAlign w:val="center"/>
          </w:tcPr>
          <w:p w14:paraId="463BF0BC">
            <w:pPr>
              <w:adjustRightInd/>
              <w:snapToGrid/>
              <w:spacing w:line="240" w:lineRule="auto"/>
              <w:ind w:firstLine="0" w:firstLineChars="0"/>
              <w:jc w:val="center"/>
              <w:rPr>
                <w:color w:val="auto"/>
                <w:sz w:val="21"/>
                <w:szCs w:val="21"/>
              </w:rPr>
            </w:pPr>
            <w:r>
              <w:rPr>
                <w:color w:val="auto"/>
                <w:sz w:val="21"/>
                <w:szCs w:val="21"/>
              </w:rPr>
              <w:t>5(8)</w:t>
            </w:r>
          </w:p>
        </w:tc>
        <w:tc>
          <w:tcPr>
            <w:tcW w:w="832" w:type="pct"/>
            <w:tcBorders>
              <w:tl2br w:val="nil"/>
              <w:tr2bl w:val="nil"/>
            </w:tcBorders>
            <w:noWrap/>
            <w:vAlign w:val="center"/>
          </w:tcPr>
          <w:p w14:paraId="048F2714">
            <w:pPr>
              <w:adjustRightInd/>
              <w:snapToGrid/>
              <w:spacing w:line="240" w:lineRule="auto"/>
              <w:ind w:firstLine="0" w:firstLineChars="0"/>
              <w:jc w:val="center"/>
              <w:rPr>
                <w:color w:val="auto"/>
                <w:sz w:val="21"/>
                <w:szCs w:val="21"/>
              </w:rPr>
            </w:pPr>
            <w:r>
              <w:rPr>
                <w:color w:val="auto"/>
                <w:sz w:val="21"/>
                <w:szCs w:val="21"/>
              </w:rPr>
              <w:t>0.5</w:t>
            </w:r>
          </w:p>
        </w:tc>
        <w:tc>
          <w:tcPr>
            <w:tcW w:w="675" w:type="pct"/>
            <w:tcBorders>
              <w:tl2br w:val="nil"/>
              <w:tr2bl w:val="nil"/>
            </w:tcBorders>
            <w:vAlign w:val="center"/>
          </w:tcPr>
          <w:p w14:paraId="02DAE863">
            <w:pPr>
              <w:adjustRightInd/>
              <w:snapToGrid/>
              <w:spacing w:line="240" w:lineRule="auto"/>
              <w:ind w:firstLine="0" w:firstLineChars="0"/>
              <w:jc w:val="center"/>
              <w:rPr>
                <w:color w:val="auto"/>
                <w:sz w:val="21"/>
                <w:szCs w:val="21"/>
              </w:rPr>
            </w:pPr>
            <w:r>
              <w:rPr>
                <w:color w:val="auto"/>
                <w:sz w:val="21"/>
                <w:szCs w:val="21"/>
              </w:rPr>
              <w:t>15</w:t>
            </w:r>
          </w:p>
        </w:tc>
      </w:tr>
    </w:tbl>
    <w:p w14:paraId="7B32A987">
      <w:pPr>
        <w:adjustRightInd/>
        <w:snapToGrid/>
        <w:spacing w:line="240" w:lineRule="auto"/>
        <w:ind w:firstLine="0" w:firstLineChars="0"/>
        <w:rPr>
          <w:b/>
          <w:bCs/>
          <w:color w:val="auto"/>
          <w:sz w:val="21"/>
          <w:szCs w:val="16"/>
        </w:rPr>
      </w:pPr>
      <w:r>
        <w:rPr>
          <w:b/>
          <w:bCs/>
          <w:color w:val="auto"/>
          <w:sz w:val="21"/>
          <w:szCs w:val="16"/>
        </w:rPr>
        <w:t>注：括号外数值为水温＞12℃时的控制指标，括号内数值为水温≤12℃时的控制指标。</w:t>
      </w:r>
    </w:p>
    <w:p w14:paraId="23A2CAAC">
      <w:pPr>
        <w:adjustRightInd/>
        <w:snapToGrid/>
        <w:ind w:firstLine="480"/>
        <w:rPr>
          <w:color w:val="auto"/>
          <w:szCs w:val="20"/>
        </w:rPr>
      </w:pPr>
      <w:r>
        <w:rPr>
          <w:color w:val="auto"/>
          <w:szCs w:val="20"/>
        </w:rPr>
        <w:t>（一）如东深水环境科技有限公司的服务范围与管网建设</w:t>
      </w:r>
    </w:p>
    <w:p w14:paraId="5D3A1158">
      <w:pPr>
        <w:adjustRightInd/>
        <w:snapToGrid/>
        <w:ind w:firstLine="480"/>
        <w:rPr>
          <w:color w:val="auto"/>
          <w:szCs w:val="20"/>
        </w:rPr>
      </w:pPr>
      <w:r>
        <w:rPr>
          <w:rFonts w:hint="eastAsia"/>
          <w:color w:val="auto"/>
          <w:szCs w:val="20"/>
        </w:rPr>
        <w:t>联合环境水务（启东）有限公司位于启东生命健康产业园内，规划服务范围为启东生命健康产业园、北新镇，规划处理能力为2.5万t/d</w:t>
      </w:r>
      <w:r>
        <w:rPr>
          <w:color w:val="auto"/>
          <w:szCs w:val="20"/>
        </w:rPr>
        <w:t>，</w:t>
      </w:r>
      <w:r>
        <w:rPr>
          <w:rFonts w:hint="eastAsia"/>
          <w:color w:val="auto"/>
          <w:szCs w:val="20"/>
        </w:rPr>
        <w:t>目前，园区内实施“一企一管”排放制，各家企业废水经专用管网接入联合环境水务（启东）有限公司集中处理，并在污水管网排口设置在线监测仪。园区企业废水接管率为100%，拟建项目达标废水可直接接管至联合环境水务（启东）有限公司污水处理厂</w:t>
      </w:r>
      <w:r>
        <w:rPr>
          <w:color w:val="auto"/>
          <w:szCs w:val="20"/>
        </w:rPr>
        <w:t>。</w:t>
      </w:r>
    </w:p>
    <w:p w14:paraId="31768259">
      <w:pPr>
        <w:adjustRightInd/>
        <w:snapToGrid/>
        <w:ind w:firstLine="480"/>
        <w:rPr>
          <w:color w:val="auto"/>
          <w:szCs w:val="20"/>
        </w:rPr>
      </w:pPr>
      <w:r>
        <w:rPr>
          <w:color w:val="auto"/>
          <w:szCs w:val="20"/>
        </w:rPr>
        <w:t>（二）水量可行性分析</w:t>
      </w:r>
    </w:p>
    <w:p w14:paraId="7F55D7AA">
      <w:pPr>
        <w:adjustRightInd/>
        <w:snapToGrid/>
        <w:ind w:firstLine="480"/>
        <w:rPr>
          <w:color w:val="auto"/>
          <w:szCs w:val="20"/>
        </w:rPr>
      </w:pPr>
      <w:r>
        <w:rPr>
          <w:rFonts w:hint="eastAsia"/>
          <w:color w:val="auto"/>
          <w:szCs w:val="20"/>
        </w:rPr>
        <w:t>联合环境水务（启东）有限公司</w:t>
      </w:r>
      <w:r>
        <w:rPr>
          <w:color w:val="auto"/>
          <w:szCs w:val="20"/>
        </w:rPr>
        <w:t>的处理能力为2</w:t>
      </w:r>
      <w:r>
        <w:rPr>
          <w:rFonts w:hint="eastAsia"/>
          <w:color w:val="auto"/>
          <w:szCs w:val="20"/>
        </w:rPr>
        <w:t>.5</w:t>
      </w:r>
      <w:r>
        <w:rPr>
          <w:color w:val="auto"/>
          <w:szCs w:val="20"/>
        </w:rPr>
        <w:t>万</w:t>
      </w:r>
      <w:r>
        <w:rPr>
          <w:rFonts w:hint="eastAsia"/>
          <w:color w:val="auto"/>
          <w:szCs w:val="20"/>
        </w:rPr>
        <w:t>t</w:t>
      </w:r>
      <w:r>
        <w:rPr>
          <w:color w:val="auto"/>
          <w:szCs w:val="20"/>
        </w:rPr>
        <w:t>/d，根据园区污染源调查分析，目前实际处理废水量为</w:t>
      </w:r>
      <w:r>
        <w:rPr>
          <w:rFonts w:hint="eastAsia"/>
          <w:color w:val="auto"/>
          <w:szCs w:val="20"/>
        </w:rPr>
        <w:t>1.2</w:t>
      </w:r>
      <w:r>
        <w:rPr>
          <w:color w:val="auto"/>
          <w:szCs w:val="20"/>
        </w:rPr>
        <w:t>万</w:t>
      </w:r>
      <w:r>
        <w:rPr>
          <w:rFonts w:hint="eastAsia"/>
          <w:color w:val="auto"/>
          <w:szCs w:val="20"/>
        </w:rPr>
        <w:t>t</w:t>
      </w:r>
      <w:r>
        <w:rPr>
          <w:color w:val="auto"/>
          <w:szCs w:val="20"/>
        </w:rPr>
        <w:t>/d，</w:t>
      </w:r>
      <w:r>
        <w:rPr>
          <w:rFonts w:hint="eastAsia"/>
          <w:color w:val="auto"/>
          <w:szCs w:val="20"/>
        </w:rPr>
        <w:t>余量约1.3万t/d</w:t>
      </w:r>
      <w:r>
        <w:rPr>
          <w:color w:val="auto"/>
          <w:szCs w:val="20"/>
        </w:rPr>
        <w:t>，因此园区污水厂有能力处理</w:t>
      </w:r>
      <w:r>
        <w:rPr>
          <w:rFonts w:hint="eastAsia"/>
          <w:color w:val="auto"/>
          <w:szCs w:val="20"/>
        </w:rPr>
        <w:t>拟建</w:t>
      </w:r>
      <w:r>
        <w:rPr>
          <w:color w:val="auto"/>
          <w:szCs w:val="20"/>
        </w:rPr>
        <w:t>项目产生的废水。</w:t>
      </w:r>
    </w:p>
    <w:p w14:paraId="2C7D3FDC">
      <w:pPr>
        <w:adjustRightInd/>
        <w:snapToGrid/>
        <w:ind w:firstLine="480"/>
        <w:rPr>
          <w:color w:val="auto"/>
          <w:szCs w:val="20"/>
        </w:rPr>
      </w:pPr>
      <w:r>
        <w:rPr>
          <w:color w:val="auto"/>
          <w:szCs w:val="20"/>
        </w:rPr>
        <w:t>（三）水质可行性分析</w:t>
      </w:r>
    </w:p>
    <w:p w14:paraId="68B8C8D8">
      <w:pPr>
        <w:adjustRightInd/>
        <w:snapToGrid/>
        <w:ind w:firstLine="480"/>
        <w:rPr>
          <w:color w:val="auto"/>
          <w:szCs w:val="20"/>
        </w:rPr>
      </w:pPr>
      <w:r>
        <w:rPr>
          <w:color w:val="auto"/>
          <w:szCs w:val="20"/>
        </w:rPr>
        <w:t>根据</w:t>
      </w:r>
      <w:r>
        <w:rPr>
          <w:rFonts w:hint="eastAsia"/>
          <w:color w:val="auto"/>
          <w:szCs w:val="20"/>
        </w:rPr>
        <w:t>拟建</w:t>
      </w:r>
      <w:r>
        <w:rPr>
          <w:color w:val="auto"/>
          <w:szCs w:val="20"/>
        </w:rPr>
        <w:t>项目水污染防治措施专章评述，项目废水经厂内预处理后，完全能够满足园区污水处理厂的进水要求。</w:t>
      </w:r>
    </w:p>
    <w:p w14:paraId="2AEB20EA">
      <w:pPr>
        <w:adjustRightInd/>
        <w:snapToGrid/>
        <w:ind w:firstLine="480"/>
        <w:rPr>
          <w:color w:val="auto"/>
          <w:szCs w:val="20"/>
        </w:rPr>
      </w:pPr>
      <w:r>
        <w:rPr>
          <w:color w:val="auto"/>
          <w:szCs w:val="20"/>
        </w:rPr>
        <w:t>同时园区污水厂，设计时考虑到化工园区的废水特点，对部分常见的化工废水污染因子具有一定的去除效率，经园区污水厂处理后，特征污染物浓度将进一步下降，可达到《化学工业水污染物排放标准》（DB32/939-2020）标准。</w:t>
      </w:r>
    </w:p>
    <w:p w14:paraId="7B000F59">
      <w:pPr>
        <w:adjustRightInd/>
        <w:snapToGrid/>
        <w:ind w:firstLine="480"/>
        <w:rPr>
          <w:color w:val="auto"/>
          <w:szCs w:val="20"/>
        </w:rPr>
      </w:pPr>
      <w:r>
        <w:rPr>
          <w:color w:val="auto"/>
          <w:szCs w:val="20"/>
        </w:rPr>
        <w:t>综上所述，园区污水处理厂从处理能力、服务范围、接管水质等方面均能够满足</w:t>
      </w:r>
      <w:r>
        <w:rPr>
          <w:rFonts w:hint="eastAsia"/>
          <w:color w:val="auto"/>
          <w:szCs w:val="20"/>
        </w:rPr>
        <w:t>拟建</w:t>
      </w:r>
      <w:r>
        <w:rPr>
          <w:color w:val="auto"/>
          <w:szCs w:val="20"/>
        </w:rPr>
        <w:t>排水要求。</w:t>
      </w:r>
      <w:r>
        <w:rPr>
          <w:rFonts w:hint="eastAsia"/>
          <w:color w:val="auto"/>
          <w:szCs w:val="20"/>
        </w:rPr>
        <w:t>拟建项目</w:t>
      </w:r>
      <w:r>
        <w:rPr>
          <w:color w:val="auto"/>
          <w:szCs w:val="20"/>
        </w:rPr>
        <w:t>废水排入园区污水处理厂进行集中处理是可行的，不会对污水厂处理工艺产生冲击。</w:t>
      </w:r>
    </w:p>
    <w:p w14:paraId="692C86F7">
      <w:pPr>
        <w:pStyle w:val="4"/>
        <w:rPr>
          <w:color w:val="auto"/>
        </w:rPr>
      </w:pPr>
      <w:bookmarkStart w:id="264" w:name="_Toc3493"/>
      <w:r>
        <w:rPr>
          <w:color w:val="auto"/>
        </w:rPr>
        <w:t>7.1.4</w:t>
      </w:r>
      <w:r>
        <w:rPr>
          <w:rFonts w:hint="eastAsia"/>
          <w:color w:val="auto"/>
        </w:rPr>
        <w:t>经济</w:t>
      </w:r>
      <w:r>
        <w:rPr>
          <w:color w:val="auto"/>
        </w:rPr>
        <w:t>可行性分析</w:t>
      </w:r>
      <w:bookmarkEnd w:id="264"/>
    </w:p>
    <w:p w14:paraId="5D37D18F">
      <w:pPr>
        <w:adjustRightInd/>
        <w:snapToGrid/>
        <w:ind w:firstLine="480"/>
        <w:rPr>
          <w:color w:val="auto"/>
          <w:szCs w:val="20"/>
        </w:rPr>
      </w:pPr>
      <w:r>
        <w:rPr>
          <w:rFonts w:hint="eastAsia"/>
          <w:color w:val="auto"/>
          <w:szCs w:val="20"/>
        </w:rPr>
        <w:t>拟建项目废水接入厂区现有1#废水处理系统后，不新增电气设备总装机容量、不新增药剂投加、不新增人工，故不新增直接运行成本。</w:t>
      </w:r>
    </w:p>
    <w:p w14:paraId="7E1DF289">
      <w:pPr>
        <w:pStyle w:val="4"/>
        <w:rPr>
          <w:color w:val="auto"/>
        </w:rPr>
      </w:pPr>
      <w:bookmarkStart w:id="265" w:name="_Toc26630"/>
      <w:r>
        <w:rPr>
          <w:color w:val="auto"/>
        </w:rPr>
        <w:t>7.1.5水污染防治措施的要求</w:t>
      </w:r>
      <w:bookmarkEnd w:id="265"/>
    </w:p>
    <w:p w14:paraId="61712068">
      <w:pPr>
        <w:adjustRightInd/>
        <w:snapToGrid/>
        <w:ind w:firstLine="480"/>
        <w:rPr>
          <w:color w:val="auto"/>
          <w:szCs w:val="20"/>
        </w:rPr>
      </w:pPr>
      <w:r>
        <w:rPr>
          <w:rFonts w:hint="eastAsia"/>
          <w:color w:val="auto"/>
          <w:szCs w:val="20"/>
        </w:rPr>
        <w:t>1、加强拟建废水的分质收集工作，确保不同类别的废水得到有效收集，为后继的分质处理做好基础。</w:t>
      </w:r>
    </w:p>
    <w:p w14:paraId="5F15CB81">
      <w:pPr>
        <w:adjustRightInd/>
        <w:snapToGrid/>
        <w:ind w:firstLine="480"/>
        <w:rPr>
          <w:color w:val="auto"/>
          <w:szCs w:val="20"/>
        </w:rPr>
      </w:pPr>
      <w:r>
        <w:rPr>
          <w:rFonts w:hint="eastAsia"/>
          <w:color w:val="auto"/>
          <w:szCs w:val="20"/>
        </w:rPr>
        <w:t>2、严格实行清污分流，避免“清水不清”，杜绝污水通过雨水或清下水直接排放。</w:t>
      </w:r>
    </w:p>
    <w:p w14:paraId="7D1396C9">
      <w:pPr>
        <w:adjustRightInd/>
        <w:snapToGrid/>
        <w:ind w:firstLine="480"/>
        <w:rPr>
          <w:color w:val="auto"/>
          <w:szCs w:val="20"/>
        </w:rPr>
      </w:pPr>
      <w:r>
        <w:rPr>
          <w:rFonts w:hint="eastAsia"/>
          <w:color w:val="auto"/>
          <w:szCs w:val="20"/>
        </w:rPr>
        <w:t>3、加强污水处理设施的维护与管理，确保污水处理设施的正常运转。同时在运行过程中不断总结经验，优化处理设施的运行参数，确保废水的处理效果，做到稳定达标排放。</w:t>
      </w:r>
    </w:p>
    <w:p w14:paraId="16DB1738">
      <w:pPr>
        <w:pStyle w:val="4"/>
        <w:rPr>
          <w:color w:val="auto"/>
        </w:rPr>
      </w:pPr>
      <w:bookmarkStart w:id="266" w:name="_Toc13028"/>
      <w:r>
        <w:rPr>
          <w:rFonts w:hint="eastAsia"/>
          <w:color w:val="auto"/>
        </w:rPr>
        <w:t>7.1.6雨水排放污染防治措施的要求</w:t>
      </w:r>
      <w:bookmarkEnd w:id="266"/>
    </w:p>
    <w:p w14:paraId="01534907">
      <w:pPr>
        <w:adjustRightInd/>
        <w:snapToGrid/>
        <w:ind w:firstLine="480"/>
        <w:rPr>
          <w:color w:val="auto"/>
          <w:szCs w:val="20"/>
        </w:rPr>
      </w:pPr>
      <w:r>
        <w:rPr>
          <w:rFonts w:hint="eastAsia"/>
          <w:color w:val="auto"/>
          <w:szCs w:val="20"/>
        </w:rPr>
        <w:t>根据关于印发《江苏省重点行业工业企业雨水排放环境管理办法（试行）》的通知（苏污防攻坚指办[2023]71号），后期雨水应满足以下要求：</w:t>
      </w:r>
    </w:p>
    <w:p w14:paraId="5CDB42D1">
      <w:pPr>
        <w:adjustRightInd/>
        <w:snapToGrid/>
        <w:ind w:firstLine="480"/>
        <w:rPr>
          <w:color w:val="auto"/>
          <w:szCs w:val="20"/>
        </w:rPr>
      </w:pPr>
      <w:r>
        <w:rPr>
          <w:rFonts w:hint="eastAsia"/>
          <w:color w:val="auto"/>
          <w:szCs w:val="20"/>
        </w:rPr>
        <w:t>①初期雨水收集到位后，应做好后期雨水的收集、监控和排放。</w:t>
      </w:r>
    </w:p>
    <w:p w14:paraId="22D240E7">
      <w:pPr>
        <w:adjustRightInd/>
        <w:snapToGrid/>
        <w:ind w:firstLine="480"/>
        <w:rPr>
          <w:color w:val="auto"/>
          <w:szCs w:val="20"/>
        </w:rPr>
      </w:pPr>
      <w:r>
        <w:rPr>
          <w:rFonts w:hint="eastAsia"/>
          <w:color w:val="auto"/>
          <w:szCs w:val="20"/>
        </w:rPr>
        <w:t>②后期雨水可直接排放或纳管市政雨水管网。雨水排放口水质应保持稳定、清洁。严禁将后期雨水排入污水收集处理设施，借道污水排口排放的，不得在污水排放监控点之前汇入，避免影响污水处理设施效能或产生稀释排污的嫌疑。</w:t>
      </w:r>
    </w:p>
    <w:p w14:paraId="2FB349DF">
      <w:pPr>
        <w:adjustRightInd/>
        <w:snapToGrid/>
        <w:ind w:firstLine="480"/>
        <w:rPr>
          <w:color w:val="auto"/>
          <w:szCs w:val="20"/>
        </w:rPr>
      </w:pPr>
      <w:r>
        <w:rPr>
          <w:rFonts w:hint="eastAsia"/>
          <w:color w:val="auto"/>
          <w:szCs w:val="20"/>
        </w:rPr>
        <w:t>③工业企业原则上一个厂区只允许设置一个雨水排放口。确需设置两个及以上雨水排放口的，应书面告知生态环境部门。</w:t>
      </w:r>
    </w:p>
    <w:p w14:paraId="42A7C92B">
      <w:pPr>
        <w:adjustRightInd/>
        <w:snapToGrid/>
        <w:ind w:firstLine="480"/>
        <w:rPr>
          <w:color w:val="auto"/>
          <w:szCs w:val="20"/>
        </w:rPr>
      </w:pPr>
      <w:r>
        <w:rPr>
          <w:rFonts w:hint="eastAsia"/>
          <w:color w:val="auto"/>
          <w:szCs w:val="20"/>
        </w:rPr>
        <w:t>④工业企业雨水排放口前须设置明渠或取样监测观察井。明渠长度一般不小于1.5米，检查井长宽不小于0.5米，检查井底部要低于管渠底部0.3米以上，内侧贴白色瓷砖。</w:t>
      </w:r>
    </w:p>
    <w:p w14:paraId="7E319E4F">
      <w:pPr>
        <w:adjustRightInd/>
        <w:snapToGrid/>
        <w:ind w:firstLine="480"/>
        <w:rPr>
          <w:color w:val="auto"/>
          <w:szCs w:val="20"/>
        </w:rPr>
      </w:pPr>
      <w:r>
        <w:rPr>
          <w:rFonts w:hint="eastAsia"/>
          <w:color w:val="auto"/>
          <w:szCs w:val="20"/>
        </w:rPr>
        <w:t>⑤工业企业雨水排放口应设立标志牌，标志牌安放位置醒目，保持清洁，不得污损、破坏。</w:t>
      </w:r>
    </w:p>
    <w:p w14:paraId="5C3029AC">
      <w:pPr>
        <w:adjustRightInd/>
        <w:snapToGrid/>
        <w:ind w:firstLine="480"/>
        <w:rPr>
          <w:color w:val="auto"/>
          <w:szCs w:val="20"/>
        </w:rPr>
      </w:pPr>
      <w:r>
        <w:rPr>
          <w:rFonts w:hint="eastAsia"/>
          <w:color w:val="auto"/>
          <w:szCs w:val="20"/>
        </w:rPr>
        <w:t>⑥工业企业雨水排放口应按相关规定和管理要求安装视频监控设备或水质在线监控设备，并与生态环境部门联网。水质在线监控因子由生态环境部门根据环境影响评价、排污许可管理、接管集中式污水处理厂去除能力，以及下游水功能区、国省考断面、饮用水源地等敏感目标管理要求等确定。</w:t>
      </w:r>
    </w:p>
    <w:p w14:paraId="7B404DAA">
      <w:pPr>
        <w:adjustRightInd/>
        <w:snapToGrid/>
        <w:ind w:firstLine="480"/>
        <w:rPr>
          <w:color w:val="auto"/>
          <w:szCs w:val="20"/>
        </w:rPr>
      </w:pPr>
      <w:r>
        <w:rPr>
          <w:rFonts w:hint="eastAsia"/>
          <w:color w:val="auto"/>
          <w:szCs w:val="20"/>
        </w:rPr>
        <w:t>⑦为有效防范后期雨水异常排放，必要时在雨水排放口前应安装自动紧急切断装置，并与水质在线监控设备连锁。发现雨水排放口水质异常，如监控因子浓度出现明显升高，或超过受纳水体水功能区目标等管控要求时，应立即启动工业企业突发环境事件应急预案，立即停止排水并排查超标原因，达到相关要求后方可恢复排水。</w:t>
      </w:r>
    </w:p>
    <w:p w14:paraId="455ABCC5">
      <w:pPr>
        <w:adjustRightInd/>
        <w:snapToGrid/>
        <w:ind w:firstLine="480"/>
        <w:rPr>
          <w:color w:val="auto"/>
          <w:szCs w:val="20"/>
        </w:rPr>
      </w:pPr>
      <w:r>
        <w:rPr>
          <w:rFonts w:hint="eastAsia"/>
          <w:color w:val="auto"/>
          <w:szCs w:val="20"/>
        </w:rPr>
        <w:t>⑧无降雨时，工业企业雨水排放口原则上应保持干燥；降雨后应及时排出积水，降雨停止1至3日后一般不应再出现对外排水。</w:t>
      </w:r>
    </w:p>
    <w:p w14:paraId="1E8F85E9">
      <w:pPr>
        <w:adjustRightInd/>
        <w:snapToGrid/>
        <w:ind w:firstLine="480"/>
        <w:rPr>
          <w:color w:val="auto"/>
          <w:szCs w:val="20"/>
        </w:rPr>
      </w:pPr>
      <w:r>
        <w:rPr>
          <w:rFonts w:hint="eastAsia"/>
          <w:color w:val="auto"/>
          <w:szCs w:val="20"/>
        </w:rPr>
        <w:t>因此，拟建项目雨水排放标准执行《地表水环境质量标准》（GB3838-2002）中的Ⅳ类水质标准。</w:t>
      </w:r>
    </w:p>
    <w:p w14:paraId="526B9597">
      <w:pPr>
        <w:adjustRightInd/>
        <w:snapToGrid/>
        <w:ind w:firstLine="480"/>
        <w:rPr>
          <w:color w:val="auto"/>
          <w:szCs w:val="20"/>
        </w:rPr>
      </w:pPr>
      <w:r>
        <w:rPr>
          <w:rFonts w:hint="eastAsia"/>
          <w:color w:val="auto"/>
          <w:szCs w:val="20"/>
        </w:rPr>
        <w:t>企业根据《江苏省重点行业工业企业雨水排放环境管理办法（试行）》（苏污防攻坚指办[2023]71号）完善后期雨水排放管理要求。</w:t>
      </w:r>
    </w:p>
    <w:p w14:paraId="03339C42">
      <w:pPr>
        <w:pStyle w:val="3"/>
        <w:spacing w:before="385"/>
        <w:rPr>
          <w:color w:val="auto"/>
        </w:rPr>
      </w:pPr>
      <w:bookmarkStart w:id="267" w:name="_Toc5583"/>
      <w:bookmarkStart w:id="268" w:name="_Toc31175"/>
      <w:bookmarkStart w:id="269" w:name="_Toc29499"/>
      <w:r>
        <w:rPr>
          <w:color w:val="auto"/>
        </w:rPr>
        <w:t>7.</w:t>
      </w:r>
      <w:r>
        <w:rPr>
          <w:rFonts w:hint="eastAsia"/>
          <w:color w:val="auto"/>
        </w:rPr>
        <w:t>2大气污染控制措施评述</w:t>
      </w:r>
      <w:bookmarkEnd w:id="267"/>
      <w:bookmarkEnd w:id="268"/>
      <w:bookmarkEnd w:id="269"/>
    </w:p>
    <w:p w14:paraId="305ECC04">
      <w:pPr>
        <w:pStyle w:val="4"/>
        <w:rPr>
          <w:color w:val="auto"/>
        </w:rPr>
      </w:pPr>
      <w:bookmarkStart w:id="270" w:name="_Toc653"/>
      <w:r>
        <w:rPr>
          <w:rFonts w:hint="eastAsia"/>
          <w:color w:val="auto"/>
        </w:rPr>
        <w:t>7.2.1概述</w:t>
      </w:r>
      <w:bookmarkEnd w:id="270"/>
    </w:p>
    <w:p w14:paraId="43A51393">
      <w:pPr>
        <w:adjustRightInd/>
        <w:snapToGrid/>
        <w:ind w:firstLine="480"/>
        <w:rPr>
          <w:color w:val="auto"/>
          <w:szCs w:val="20"/>
        </w:rPr>
      </w:pPr>
      <w:r>
        <w:rPr>
          <w:color w:val="auto"/>
          <w:szCs w:val="20"/>
        </w:rPr>
        <w:t>根据生产工艺及污染源强分析，</w:t>
      </w:r>
      <w:r>
        <w:rPr>
          <w:rFonts w:hint="eastAsia"/>
          <w:color w:val="auto"/>
          <w:szCs w:val="20"/>
        </w:rPr>
        <w:t>拟建</w:t>
      </w:r>
      <w:r>
        <w:rPr>
          <w:color w:val="auto"/>
          <w:szCs w:val="20"/>
        </w:rPr>
        <w:t>项目废气主要包括</w:t>
      </w:r>
      <w:r>
        <w:rPr>
          <w:rFonts w:hint="eastAsia"/>
          <w:color w:val="auto"/>
          <w:szCs w:val="20"/>
        </w:rPr>
        <w:t>亚硫酸盐焚烧工段产生的焚烧废气、二段吸收废气、干燥废气，硫代硫酸盐和一水亚硫酸铵配置原料氨水产生的配置废气、亚铵反应和复分解反应产生的废气、水吸收废气，和原料罐氨水储罐呼吸废气。</w:t>
      </w:r>
    </w:p>
    <w:p w14:paraId="0064029E">
      <w:pPr>
        <w:adjustRightInd/>
        <w:snapToGrid/>
        <w:ind w:firstLine="480"/>
        <w:rPr>
          <w:color w:val="auto"/>
          <w:szCs w:val="20"/>
        </w:rPr>
      </w:pPr>
      <w:r>
        <w:rPr>
          <w:color w:val="auto"/>
          <w:szCs w:val="20"/>
        </w:rPr>
        <w:t>（1）</w:t>
      </w:r>
      <w:r>
        <w:rPr>
          <w:rFonts w:hint="eastAsia"/>
          <w:color w:val="auto"/>
          <w:szCs w:val="20"/>
        </w:rPr>
        <w:t>拟建</w:t>
      </w:r>
      <w:r>
        <w:rPr>
          <w:color w:val="auto"/>
          <w:szCs w:val="20"/>
        </w:rPr>
        <w:t>项目</w:t>
      </w:r>
      <w:r>
        <w:rPr>
          <w:rFonts w:hint="eastAsia"/>
          <w:color w:val="auto"/>
          <w:szCs w:val="20"/>
        </w:rPr>
        <w:t>亚硫酸盐</w:t>
      </w:r>
      <w:r>
        <w:rPr>
          <w:color w:val="auto"/>
          <w:szCs w:val="20"/>
        </w:rPr>
        <w:t>生产过程</w:t>
      </w:r>
      <w:r>
        <w:rPr>
          <w:rFonts w:hint="eastAsia"/>
          <w:color w:val="auto"/>
          <w:szCs w:val="20"/>
        </w:rPr>
        <w:t>中</w:t>
      </w:r>
      <w:r>
        <w:rPr>
          <w:color w:val="auto"/>
          <w:szCs w:val="20"/>
        </w:rPr>
        <w:t>焚烧废气、二段吸收废气</w:t>
      </w:r>
      <w:r>
        <w:rPr>
          <w:rFonts w:hint="eastAsia"/>
          <w:color w:val="auto"/>
          <w:szCs w:val="20"/>
        </w:rPr>
        <w:t>、硫代硫酸镁生产过程中中和废气，均以</w:t>
      </w:r>
      <w:r>
        <w:rPr>
          <w:color w:val="auto"/>
          <w:szCs w:val="20"/>
        </w:rPr>
        <w:t>二氧化硫</w:t>
      </w:r>
      <w:r>
        <w:rPr>
          <w:rFonts w:hint="eastAsia"/>
          <w:color w:val="auto"/>
          <w:szCs w:val="20"/>
        </w:rPr>
        <w:t>为主，</w:t>
      </w:r>
      <w:r>
        <w:rPr>
          <w:color w:val="auto"/>
          <w:szCs w:val="20"/>
        </w:rPr>
        <w:t>依托现有</w:t>
      </w:r>
      <w:r>
        <w:rPr>
          <w:rFonts w:hint="eastAsia"/>
          <w:color w:val="auto"/>
          <w:szCs w:val="20"/>
        </w:rPr>
        <w:t>2#车间</w:t>
      </w:r>
      <w:r>
        <w:rPr>
          <w:color w:val="auto"/>
          <w:szCs w:val="20"/>
        </w:rPr>
        <w:t>的“碱吸收+水喷淋＋电除雾”装置处理后由</w:t>
      </w:r>
      <w:r>
        <w:rPr>
          <w:rFonts w:hint="eastAsia"/>
          <w:color w:val="auto"/>
          <w:szCs w:val="20"/>
        </w:rPr>
        <w:t>40</w:t>
      </w:r>
      <w:r>
        <w:rPr>
          <w:color w:val="auto"/>
          <w:szCs w:val="20"/>
        </w:rPr>
        <w:t>米高排气筒DA00</w:t>
      </w:r>
      <w:r>
        <w:rPr>
          <w:rFonts w:hint="eastAsia"/>
          <w:color w:val="auto"/>
          <w:szCs w:val="20"/>
        </w:rPr>
        <w:t>2达标</w:t>
      </w:r>
      <w:r>
        <w:rPr>
          <w:color w:val="auto"/>
          <w:szCs w:val="20"/>
        </w:rPr>
        <w:t>排放；</w:t>
      </w:r>
    </w:p>
    <w:p w14:paraId="1C688A8B">
      <w:pPr>
        <w:adjustRightInd/>
        <w:snapToGrid/>
        <w:ind w:firstLine="480"/>
        <w:rPr>
          <w:color w:val="auto"/>
          <w:szCs w:val="20"/>
        </w:rPr>
      </w:pPr>
      <w:r>
        <w:rPr>
          <w:color w:val="auto"/>
          <w:szCs w:val="20"/>
        </w:rPr>
        <w:t>（2）</w:t>
      </w:r>
      <w:r>
        <w:rPr>
          <w:rFonts w:hint="eastAsia"/>
          <w:color w:val="auto"/>
          <w:szCs w:val="20"/>
        </w:rPr>
        <w:t>一水亚硫酸铵原料配制废气和硫代硫酸盐生产过程中的反应废气和水吸收废气，均以氨气为主，此类废气再进入现有3#车间的“三级碱吸收+水喷淋+电除雾”装置处理前，先进入1#车间“水喷淋”进行预处理，随</w:t>
      </w:r>
      <w:r>
        <w:rPr>
          <w:color w:val="auto"/>
          <w:szCs w:val="20"/>
        </w:rPr>
        <w:t>后由</w:t>
      </w:r>
      <w:r>
        <w:rPr>
          <w:rFonts w:hint="eastAsia"/>
          <w:color w:val="auto"/>
          <w:szCs w:val="20"/>
        </w:rPr>
        <w:t>35</w:t>
      </w:r>
      <w:r>
        <w:rPr>
          <w:color w:val="auto"/>
          <w:szCs w:val="20"/>
        </w:rPr>
        <w:t>米高排气筒DA00</w:t>
      </w:r>
      <w:r>
        <w:rPr>
          <w:rFonts w:hint="eastAsia"/>
          <w:color w:val="auto"/>
          <w:szCs w:val="20"/>
        </w:rPr>
        <w:t>1</w:t>
      </w:r>
      <w:r>
        <w:rPr>
          <w:color w:val="auto"/>
          <w:szCs w:val="20"/>
        </w:rPr>
        <w:t>排放；</w:t>
      </w:r>
      <w:r>
        <w:rPr>
          <w:rFonts w:hint="eastAsia"/>
          <w:color w:val="auto"/>
          <w:szCs w:val="20"/>
        </w:rPr>
        <w:t>干燥</w:t>
      </w:r>
      <w:r>
        <w:rPr>
          <w:color w:val="auto"/>
          <w:szCs w:val="20"/>
        </w:rPr>
        <w:t>粉尘经</w:t>
      </w:r>
      <w:r>
        <w:rPr>
          <w:rFonts w:hint="eastAsia"/>
          <w:color w:val="auto"/>
          <w:szCs w:val="20"/>
        </w:rPr>
        <w:t>1#车间</w:t>
      </w:r>
      <w:r>
        <w:rPr>
          <w:color w:val="auto"/>
          <w:szCs w:val="20"/>
        </w:rPr>
        <w:t>设备自带布袋除尘器处理后由新增的25米高排气筒DA006排放。</w:t>
      </w:r>
    </w:p>
    <w:p w14:paraId="2B93FD67">
      <w:pPr>
        <w:adjustRightInd/>
        <w:snapToGrid/>
        <w:ind w:firstLine="480"/>
        <w:rPr>
          <w:color w:val="auto"/>
          <w:szCs w:val="20"/>
        </w:rPr>
      </w:pPr>
      <w:r>
        <w:rPr>
          <w:rFonts w:hint="eastAsia"/>
          <w:color w:val="auto"/>
          <w:szCs w:val="20"/>
        </w:rPr>
        <w:t>拟建</w:t>
      </w:r>
      <w:r>
        <w:rPr>
          <w:color w:val="auto"/>
          <w:szCs w:val="20"/>
        </w:rPr>
        <w:t>废气处理措施汇总如下</w:t>
      </w:r>
      <w:r>
        <w:rPr>
          <w:rFonts w:hint="eastAsia"/>
          <w:color w:val="auto"/>
          <w:szCs w:val="20"/>
        </w:rPr>
        <w:t>图所示：</w:t>
      </w:r>
    </w:p>
    <w:p w14:paraId="026654F2">
      <w:pPr>
        <w:spacing w:line="240" w:lineRule="auto"/>
        <w:ind w:firstLine="480"/>
        <w:jc w:val="center"/>
        <w:rPr>
          <w:color w:val="auto"/>
        </w:rPr>
      </w:pPr>
      <w:r>
        <w:rPr>
          <w:color w:val="auto"/>
        </w:rPr>
        <w:drawing>
          <wp:inline distT="0" distB="0" distL="114300" distR="114300">
            <wp:extent cx="5100955" cy="2644775"/>
            <wp:effectExtent l="0" t="0" r="4445" b="317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73"/>
                    <a:stretch>
                      <a:fillRect/>
                    </a:stretch>
                  </pic:blipFill>
                  <pic:spPr>
                    <a:xfrm>
                      <a:off x="0" y="0"/>
                      <a:ext cx="5100955" cy="2644775"/>
                    </a:xfrm>
                    <a:prstGeom prst="rect">
                      <a:avLst/>
                    </a:prstGeom>
                    <a:noFill/>
                    <a:ln>
                      <a:noFill/>
                    </a:ln>
                  </pic:spPr>
                </pic:pic>
              </a:graphicData>
            </a:graphic>
          </wp:inline>
        </w:drawing>
      </w:r>
    </w:p>
    <w:p w14:paraId="3099AAEE">
      <w:pPr>
        <w:tabs>
          <w:tab w:val="left" w:pos="840"/>
        </w:tabs>
        <w:adjustRightInd/>
        <w:snapToGrid/>
        <w:spacing w:line="240" w:lineRule="auto"/>
        <w:ind w:firstLine="0" w:firstLineChars="0"/>
        <w:jc w:val="center"/>
        <w:rPr>
          <w:b/>
          <w:bCs/>
          <w:color w:val="auto"/>
        </w:rPr>
      </w:pPr>
      <w:r>
        <w:rPr>
          <w:rFonts w:hint="eastAsia"/>
          <w:b/>
          <w:bCs/>
          <w:color w:val="auto"/>
        </w:rPr>
        <w:t>图7.2-1  拟建项目废气处理路线图</w:t>
      </w:r>
    </w:p>
    <w:p w14:paraId="76D49E8C">
      <w:pPr>
        <w:pStyle w:val="49"/>
        <w:rPr>
          <w:color w:val="auto"/>
        </w:rPr>
      </w:pPr>
    </w:p>
    <w:p w14:paraId="077D1301">
      <w:pPr>
        <w:pStyle w:val="4"/>
        <w:rPr>
          <w:color w:val="auto"/>
        </w:rPr>
      </w:pPr>
      <w:bookmarkStart w:id="271" w:name="_Toc27958"/>
      <w:bookmarkStart w:id="272" w:name="_Toc2563"/>
      <w:r>
        <w:rPr>
          <w:color w:val="auto"/>
        </w:rPr>
        <w:t>7.</w:t>
      </w:r>
      <w:r>
        <w:rPr>
          <w:rFonts w:hint="eastAsia"/>
          <w:color w:val="auto"/>
        </w:rPr>
        <w:t>2.2有组织废气</w:t>
      </w:r>
      <w:bookmarkEnd w:id="271"/>
      <w:r>
        <w:rPr>
          <w:rFonts w:hint="eastAsia"/>
          <w:color w:val="auto"/>
        </w:rPr>
        <w:t>治理措施可行性分析</w:t>
      </w:r>
      <w:bookmarkEnd w:id="272"/>
    </w:p>
    <w:p w14:paraId="3D668796">
      <w:pPr>
        <w:pStyle w:val="5"/>
        <w:spacing w:before="192"/>
        <w:rPr>
          <w:color w:val="auto"/>
        </w:rPr>
      </w:pPr>
      <w:r>
        <w:rPr>
          <w:color w:val="auto"/>
        </w:rPr>
        <w:t>7.</w:t>
      </w:r>
      <w:r>
        <w:rPr>
          <w:rFonts w:hint="eastAsia"/>
          <w:color w:val="auto"/>
        </w:rPr>
        <w:t>2</w:t>
      </w:r>
      <w:r>
        <w:rPr>
          <w:color w:val="auto"/>
        </w:rPr>
        <w:t>.1.1</w:t>
      </w:r>
      <w:r>
        <w:rPr>
          <w:rFonts w:hint="eastAsia"/>
          <w:color w:val="auto"/>
        </w:rPr>
        <w:t>二氧化硫工艺废气处理可行性分析</w:t>
      </w:r>
    </w:p>
    <w:p w14:paraId="327036AF">
      <w:pPr>
        <w:adjustRightInd/>
        <w:snapToGrid/>
        <w:ind w:firstLine="480"/>
        <w:rPr>
          <w:snapToGrid w:val="0"/>
          <w:color w:val="auto"/>
          <w:kern w:val="0"/>
          <w:szCs w:val="20"/>
        </w:rPr>
      </w:pPr>
      <w:r>
        <w:rPr>
          <w:rFonts w:hint="eastAsia"/>
          <w:snapToGrid w:val="0"/>
          <w:color w:val="auto"/>
          <w:kern w:val="0"/>
          <w:szCs w:val="20"/>
        </w:rPr>
        <w:t>拟建项目亚硫酸盐生产过程中硫磺焚烧废气、二段吸收废气、硫代硫酸镁生产过程中中和废气，均以二氧化硫为主，依托现有2#车间的“碱吸收+水喷淋＋电除雾”装置处理后由40米高排气筒DA002达标排放。</w:t>
      </w:r>
    </w:p>
    <w:p w14:paraId="5032BBD1">
      <w:pPr>
        <w:ind w:firstLine="480"/>
        <w:rPr>
          <w:color w:val="auto"/>
        </w:rPr>
      </w:pPr>
      <w:r>
        <w:rPr>
          <w:rFonts w:hint="eastAsia"/>
          <w:color w:val="auto"/>
        </w:rPr>
        <w:t>（1）喷淋塔工艺原理</w:t>
      </w:r>
    </w:p>
    <w:p w14:paraId="10C41C52">
      <w:pPr>
        <w:ind w:firstLine="480"/>
        <w:rPr>
          <w:color w:val="auto"/>
        </w:rPr>
      </w:pPr>
      <w:r>
        <w:rPr>
          <w:rFonts w:hint="eastAsia"/>
          <w:color w:val="auto"/>
        </w:rPr>
        <w:t>喷淋塔是一种效率高、压力损失较低的吸收设备。喷淋塔由塔体、液箱、喷雾系统、填料、气液分离器等构成，废气由进风口进入塔体，通过填料层和喷雾装置使废气被吸收液净化，净化后气体再经气液分离器，由通风机排至大气。</w:t>
      </w:r>
    </w:p>
    <w:p w14:paraId="0FA2ABE0">
      <w:pPr>
        <w:ind w:firstLine="480"/>
        <w:rPr>
          <w:color w:val="auto"/>
        </w:rPr>
      </w:pPr>
      <w:r>
        <w:rPr>
          <w:rFonts w:hint="eastAsia"/>
          <w:color w:val="auto"/>
        </w:rPr>
        <w:t>喷淋塔在主体部分中装有填料，废气通过引风机作用在管箱中上升，采用的吸收液从喷淋装置分配到填料上形成薄膜层，产生较大的气液接触面。废气中污染物在填料表面被传质、吸收，随着填料层逐级下降，最后进入气液分离箱，未吸收气体进入下一级，液体由管道排入净化液贮槽，贮槽中采用pH值显示控制自动加药泵配制吸收液，吸收液可循环使用，定期排放的废水进入污水处理系统。</w:t>
      </w:r>
    </w:p>
    <w:p w14:paraId="0836DF3F">
      <w:pPr>
        <w:ind w:firstLine="480"/>
        <w:rPr>
          <w:color w:val="auto"/>
        </w:rPr>
      </w:pPr>
      <w:r>
        <w:rPr>
          <w:rFonts w:hint="eastAsia"/>
          <w:color w:val="auto"/>
        </w:rPr>
        <w:t>拟建项目产生的二氧化硫溶于水，因此项目考虑依托现有“碱吸收+水喷淋+电除雾”装置处理二氧化硫废气。</w:t>
      </w:r>
    </w:p>
    <w:p w14:paraId="647B436E">
      <w:pPr>
        <w:ind w:firstLine="480"/>
        <w:rPr>
          <w:color w:val="auto"/>
        </w:rPr>
      </w:pPr>
      <w:r>
        <w:rPr>
          <w:rFonts w:hint="eastAsia"/>
          <w:color w:val="auto"/>
        </w:rPr>
        <w:t>拟建产生的二氧化硫浓度与现有项目生产亚硫酸氢铵产生废气成分类似，二氧化硫处理依托亚太药业现有废气处理设施，根据2024年4月启东市清源环境检测技术有限公司对现有项目有组织废气的例行监测报告，例行监测期间DA002中二氧化硫排放浓度满足《无机化学工业污染物排放标准》（GB31573-2015）表4特别排放限值。因此，拟建项目二氧化硫处理措施依托现有项目具有可行性。</w:t>
      </w:r>
    </w:p>
    <w:p w14:paraId="039C7276">
      <w:pPr>
        <w:pStyle w:val="49"/>
        <w:rPr>
          <w:color w:val="auto"/>
        </w:rPr>
      </w:pPr>
      <w:r>
        <w:rPr>
          <w:rFonts w:hint="eastAsia"/>
          <w:color w:val="auto"/>
        </w:rPr>
        <w:t>表7.2-1  有组织废气污染物排放监测结果</w:t>
      </w:r>
    </w:p>
    <w:tbl>
      <w:tblPr>
        <w:tblStyle w:val="24"/>
        <w:tblW w:w="4997"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26"/>
        <w:gridCol w:w="1359"/>
        <w:gridCol w:w="1889"/>
        <w:gridCol w:w="1816"/>
        <w:gridCol w:w="1225"/>
        <w:gridCol w:w="1251"/>
        <w:gridCol w:w="1081"/>
      </w:tblGrid>
      <w:tr w14:paraId="49E8BA3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vAlign w:val="center"/>
          </w:tcPr>
          <w:p w14:paraId="2F678A55">
            <w:pPr>
              <w:widowControl/>
              <w:spacing w:line="240" w:lineRule="auto"/>
              <w:ind w:firstLine="0" w:firstLineChars="0"/>
              <w:jc w:val="center"/>
              <w:rPr>
                <w:b/>
                <w:color w:val="auto"/>
                <w:kern w:val="0"/>
                <w:sz w:val="21"/>
                <w:szCs w:val="21"/>
              </w:rPr>
            </w:pPr>
            <w:r>
              <w:rPr>
                <w:b/>
                <w:color w:val="auto"/>
                <w:kern w:val="0"/>
                <w:sz w:val="21"/>
                <w:szCs w:val="21"/>
              </w:rPr>
              <w:t>采样日期</w:t>
            </w:r>
          </w:p>
        </w:tc>
        <w:tc>
          <w:tcPr>
            <w:tcW w:w="690" w:type="pct"/>
            <w:tcBorders>
              <w:tl2br w:val="nil"/>
              <w:tr2bl w:val="nil"/>
            </w:tcBorders>
            <w:noWrap/>
            <w:vAlign w:val="center"/>
          </w:tcPr>
          <w:p w14:paraId="57754F1D">
            <w:pPr>
              <w:widowControl/>
              <w:spacing w:line="240" w:lineRule="auto"/>
              <w:ind w:firstLine="0" w:firstLineChars="0"/>
              <w:jc w:val="center"/>
              <w:rPr>
                <w:b/>
                <w:color w:val="auto"/>
                <w:kern w:val="0"/>
                <w:sz w:val="21"/>
                <w:szCs w:val="21"/>
              </w:rPr>
            </w:pPr>
            <w:r>
              <w:rPr>
                <w:rFonts w:hint="eastAsia"/>
                <w:b/>
                <w:color w:val="auto"/>
                <w:kern w:val="0"/>
                <w:sz w:val="21"/>
                <w:szCs w:val="21"/>
              </w:rPr>
              <w:t>2025.4.11</w:t>
            </w:r>
          </w:p>
        </w:tc>
        <w:tc>
          <w:tcPr>
            <w:tcW w:w="958" w:type="pct"/>
            <w:tcBorders>
              <w:tl2br w:val="nil"/>
              <w:tr2bl w:val="nil"/>
            </w:tcBorders>
            <w:noWrap/>
            <w:vAlign w:val="center"/>
          </w:tcPr>
          <w:p w14:paraId="7AE51221">
            <w:pPr>
              <w:widowControl/>
              <w:spacing w:line="240" w:lineRule="auto"/>
              <w:ind w:firstLine="0" w:firstLineChars="0"/>
              <w:jc w:val="center"/>
              <w:rPr>
                <w:b/>
                <w:color w:val="auto"/>
                <w:kern w:val="0"/>
                <w:sz w:val="21"/>
                <w:szCs w:val="21"/>
              </w:rPr>
            </w:pPr>
            <w:r>
              <w:rPr>
                <w:b/>
                <w:color w:val="auto"/>
                <w:kern w:val="0"/>
                <w:sz w:val="21"/>
                <w:szCs w:val="21"/>
              </w:rPr>
              <w:t>标干流量(m</w:t>
            </w:r>
            <w:r>
              <w:rPr>
                <w:b/>
                <w:color w:val="auto"/>
                <w:kern w:val="0"/>
                <w:sz w:val="21"/>
                <w:szCs w:val="21"/>
                <w:vertAlign w:val="superscript"/>
              </w:rPr>
              <w:t>3</w:t>
            </w:r>
            <w:r>
              <w:rPr>
                <w:b/>
                <w:color w:val="auto"/>
                <w:kern w:val="0"/>
                <w:sz w:val="21"/>
                <w:szCs w:val="21"/>
              </w:rPr>
              <w:t>/h)</w:t>
            </w:r>
          </w:p>
        </w:tc>
        <w:tc>
          <w:tcPr>
            <w:tcW w:w="921" w:type="pct"/>
            <w:tcBorders>
              <w:tl2br w:val="nil"/>
              <w:tr2bl w:val="nil"/>
            </w:tcBorders>
            <w:noWrap/>
            <w:vAlign w:val="center"/>
          </w:tcPr>
          <w:p w14:paraId="6AD6FFE9">
            <w:pPr>
              <w:widowControl/>
              <w:spacing w:line="240" w:lineRule="auto"/>
              <w:ind w:firstLine="0" w:firstLineChars="0"/>
              <w:jc w:val="center"/>
              <w:rPr>
                <w:b/>
                <w:color w:val="auto"/>
                <w:kern w:val="0"/>
                <w:sz w:val="21"/>
                <w:szCs w:val="21"/>
              </w:rPr>
            </w:pPr>
            <w:r>
              <w:rPr>
                <w:rFonts w:hint="eastAsia"/>
                <w:b/>
                <w:color w:val="auto"/>
                <w:kern w:val="0"/>
                <w:sz w:val="21"/>
                <w:szCs w:val="21"/>
              </w:rPr>
              <w:t>3115</w:t>
            </w:r>
          </w:p>
        </w:tc>
        <w:tc>
          <w:tcPr>
            <w:tcW w:w="1257" w:type="pct"/>
            <w:gridSpan w:val="2"/>
            <w:tcBorders>
              <w:tl2br w:val="nil"/>
              <w:tr2bl w:val="nil"/>
            </w:tcBorders>
            <w:noWrap/>
            <w:vAlign w:val="center"/>
          </w:tcPr>
          <w:p w14:paraId="2C1545C3">
            <w:pPr>
              <w:widowControl/>
              <w:spacing w:line="240" w:lineRule="auto"/>
              <w:ind w:firstLine="0" w:firstLineChars="0"/>
              <w:jc w:val="center"/>
              <w:rPr>
                <w:color w:val="auto"/>
                <w:kern w:val="0"/>
                <w:sz w:val="21"/>
                <w:szCs w:val="21"/>
              </w:rPr>
            </w:pPr>
            <w:r>
              <w:rPr>
                <w:b/>
                <w:color w:val="auto"/>
                <w:kern w:val="0"/>
                <w:sz w:val="21"/>
                <w:szCs w:val="21"/>
              </w:rPr>
              <w:t>排放标准</w:t>
            </w:r>
          </w:p>
        </w:tc>
        <w:tc>
          <w:tcPr>
            <w:tcW w:w="549" w:type="pct"/>
            <w:vMerge w:val="restart"/>
            <w:tcBorders>
              <w:tl2br w:val="nil"/>
              <w:tr2bl w:val="nil"/>
            </w:tcBorders>
            <w:noWrap/>
            <w:vAlign w:val="center"/>
          </w:tcPr>
          <w:p w14:paraId="2D4937BC">
            <w:pPr>
              <w:widowControl/>
              <w:spacing w:line="240" w:lineRule="auto"/>
              <w:ind w:firstLine="0" w:firstLineChars="0"/>
              <w:jc w:val="center"/>
              <w:rPr>
                <w:b/>
                <w:color w:val="auto"/>
                <w:kern w:val="0"/>
                <w:sz w:val="21"/>
                <w:szCs w:val="21"/>
              </w:rPr>
            </w:pPr>
            <w:r>
              <w:rPr>
                <w:rFonts w:hint="eastAsia"/>
                <w:b/>
                <w:color w:val="auto"/>
                <w:kern w:val="0"/>
                <w:sz w:val="21"/>
                <w:szCs w:val="21"/>
              </w:rPr>
              <w:t>达标分析</w:t>
            </w:r>
          </w:p>
        </w:tc>
      </w:tr>
      <w:tr w14:paraId="06E1416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noWrap/>
            <w:vAlign w:val="center"/>
          </w:tcPr>
          <w:p w14:paraId="0B39CA26">
            <w:pPr>
              <w:widowControl/>
              <w:spacing w:line="240" w:lineRule="auto"/>
              <w:ind w:firstLine="0" w:firstLineChars="0"/>
              <w:jc w:val="center"/>
              <w:rPr>
                <w:color w:val="auto"/>
                <w:kern w:val="0"/>
                <w:sz w:val="21"/>
                <w:szCs w:val="21"/>
              </w:rPr>
            </w:pPr>
            <w:r>
              <w:rPr>
                <w:bCs/>
                <w:color w:val="auto"/>
                <w:kern w:val="0"/>
                <w:sz w:val="21"/>
                <w:szCs w:val="21"/>
              </w:rPr>
              <w:t>点位名称</w:t>
            </w:r>
          </w:p>
        </w:tc>
        <w:tc>
          <w:tcPr>
            <w:tcW w:w="690" w:type="pct"/>
            <w:tcBorders>
              <w:tl2br w:val="nil"/>
              <w:tr2bl w:val="nil"/>
            </w:tcBorders>
            <w:noWrap/>
            <w:vAlign w:val="center"/>
          </w:tcPr>
          <w:p w14:paraId="7204EA4E">
            <w:pPr>
              <w:widowControl/>
              <w:spacing w:line="240" w:lineRule="auto"/>
              <w:ind w:firstLine="0" w:firstLineChars="0"/>
              <w:jc w:val="center"/>
              <w:rPr>
                <w:color w:val="auto"/>
                <w:kern w:val="0"/>
                <w:sz w:val="21"/>
                <w:szCs w:val="21"/>
              </w:rPr>
            </w:pPr>
            <w:r>
              <w:rPr>
                <w:bCs/>
                <w:color w:val="auto"/>
                <w:kern w:val="0"/>
                <w:sz w:val="21"/>
                <w:szCs w:val="21"/>
              </w:rPr>
              <w:t>检测项目</w:t>
            </w:r>
          </w:p>
        </w:tc>
        <w:tc>
          <w:tcPr>
            <w:tcW w:w="958" w:type="pct"/>
            <w:tcBorders>
              <w:tl2br w:val="nil"/>
              <w:tr2bl w:val="nil"/>
            </w:tcBorders>
            <w:noWrap/>
            <w:vAlign w:val="center"/>
          </w:tcPr>
          <w:p w14:paraId="7231D84D">
            <w:pPr>
              <w:widowControl/>
              <w:spacing w:line="240" w:lineRule="auto"/>
              <w:ind w:firstLine="0" w:firstLineChars="0"/>
              <w:jc w:val="center"/>
              <w:rPr>
                <w:color w:val="auto"/>
                <w:kern w:val="0"/>
                <w:sz w:val="21"/>
                <w:szCs w:val="21"/>
              </w:rPr>
            </w:pPr>
            <w:r>
              <w:rPr>
                <w:bCs/>
                <w:color w:val="auto"/>
                <w:kern w:val="0"/>
                <w:sz w:val="21"/>
                <w:szCs w:val="21"/>
              </w:rPr>
              <w:t>排放浓度(mg/m</w:t>
            </w:r>
            <w:r>
              <w:rPr>
                <w:bCs/>
                <w:color w:val="auto"/>
                <w:kern w:val="0"/>
                <w:sz w:val="21"/>
                <w:szCs w:val="21"/>
                <w:vertAlign w:val="superscript"/>
              </w:rPr>
              <w:t>3</w:t>
            </w:r>
            <w:r>
              <w:rPr>
                <w:bCs/>
                <w:color w:val="auto"/>
                <w:kern w:val="0"/>
                <w:sz w:val="21"/>
                <w:szCs w:val="21"/>
              </w:rPr>
              <w:t>)</w:t>
            </w:r>
          </w:p>
        </w:tc>
        <w:tc>
          <w:tcPr>
            <w:tcW w:w="921" w:type="pct"/>
            <w:tcBorders>
              <w:tl2br w:val="nil"/>
              <w:tr2bl w:val="nil"/>
            </w:tcBorders>
            <w:noWrap/>
            <w:vAlign w:val="center"/>
          </w:tcPr>
          <w:p w14:paraId="7AC1C659">
            <w:pPr>
              <w:widowControl/>
              <w:spacing w:line="240" w:lineRule="auto"/>
              <w:ind w:firstLine="0" w:firstLineChars="0"/>
              <w:jc w:val="center"/>
              <w:rPr>
                <w:color w:val="auto"/>
                <w:kern w:val="0"/>
                <w:sz w:val="21"/>
                <w:szCs w:val="21"/>
              </w:rPr>
            </w:pPr>
            <w:r>
              <w:rPr>
                <w:bCs/>
                <w:color w:val="auto"/>
                <w:kern w:val="0"/>
                <w:sz w:val="21"/>
                <w:szCs w:val="21"/>
              </w:rPr>
              <w:t>排放速率(kg/h)</w:t>
            </w:r>
          </w:p>
        </w:tc>
        <w:tc>
          <w:tcPr>
            <w:tcW w:w="622" w:type="pct"/>
            <w:tcBorders>
              <w:tl2br w:val="nil"/>
              <w:tr2bl w:val="nil"/>
            </w:tcBorders>
            <w:noWrap/>
            <w:vAlign w:val="center"/>
          </w:tcPr>
          <w:p w14:paraId="76EE4D23">
            <w:pPr>
              <w:widowControl/>
              <w:spacing w:line="240" w:lineRule="auto"/>
              <w:ind w:firstLine="0" w:firstLineChars="0"/>
              <w:jc w:val="center"/>
              <w:rPr>
                <w:color w:val="auto"/>
                <w:kern w:val="0"/>
                <w:sz w:val="21"/>
                <w:szCs w:val="21"/>
              </w:rPr>
            </w:pPr>
            <w:r>
              <w:rPr>
                <w:bCs/>
                <w:color w:val="auto"/>
                <w:kern w:val="0"/>
                <w:sz w:val="21"/>
                <w:szCs w:val="21"/>
              </w:rPr>
              <w:t>排放浓度(mg/m</w:t>
            </w:r>
            <w:r>
              <w:rPr>
                <w:bCs/>
                <w:color w:val="auto"/>
                <w:kern w:val="0"/>
                <w:sz w:val="21"/>
                <w:szCs w:val="21"/>
                <w:vertAlign w:val="superscript"/>
              </w:rPr>
              <w:t>3</w:t>
            </w:r>
            <w:r>
              <w:rPr>
                <w:bCs/>
                <w:color w:val="auto"/>
                <w:kern w:val="0"/>
                <w:sz w:val="21"/>
                <w:szCs w:val="21"/>
              </w:rPr>
              <w:t>)</w:t>
            </w:r>
          </w:p>
        </w:tc>
        <w:tc>
          <w:tcPr>
            <w:tcW w:w="635" w:type="pct"/>
            <w:tcBorders>
              <w:tl2br w:val="nil"/>
              <w:tr2bl w:val="nil"/>
            </w:tcBorders>
            <w:noWrap/>
            <w:vAlign w:val="center"/>
          </w:tcPr>
          <w:p w14:paraId="641DD857">
            <w:pPr>
              <w:widowControl/>
              <w:spacing w:line="240" w:lineRule="auto"/>
              <w:ind w:firstLine="0" w:firstLineChars="0"/>
              <w:jc w:val="center"/>
              <w:rPr>
                <w:color w:val="auto"/>
                <w:kern w:val="0"/>
                <w:sz w:val="21"/>
                <w:szCs w:val="21"/>
              </w:rPr>
            </w:pPr>
            <w:r>
              <w:rPr>
                <w:bCs/>
                <w:color w:val="auto"/>
                <w:kern w:val="0"/>
                <w:sz w:val="21"/>
                <w:szCs w:val="21"/>
              </w:rPr>
              <w:t>排放速率(kg/h)</w:t>
            </w:r>
          </w:p>
        </w:tc>
        <w:tc>
          <w:tcPr>
            <w:tcW w:w="549" w:type="pct"/>
            <w:vMerge w:val="continue"/>
            <w:tcBorders>
              <w:tl2br w:val="nil"/>
              <w:tr2bl w:val="nil"/>
            </w:tcBorders>
            <w:noWrap/>
            <w:vAlign w:val="center"/>
          </w:tcPr>
          <w:p w14:paraId="46B994D9">
            <w:pPr>
              <w:widowControl/>
              <w:spacing w:line="240" w:lineRule="auto"/>
              <w:ind w:firstLine="0" w:firstLineChars="0"/>
              <w:jc w:val="center"/>
              <w:rPr>
                <w:color w:val="auto"/>
                <w:kern w:val="0"/>
                <w:sz w:val="21"/>
                <w:szCs w:val="21"/>
              </w:rPr>
            </w:pPr>
          </w:p>
        </w:tc>
      </w:tr>
      <w:tr w14:paraId="4217A76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noWrap/>
            <w:vAlign w:val="center"/>
          </w:tcPr>
          <w:p w14:paraId="7005A44D">
            <w:pPr>
              <w:widowControl/>
              <w:spacing w:line="240" w:lineRule="auto"/>
              <w:ind w:firstLine="0" w:firstLineChars="0"/>
              <w:jc w:val="center"/>
              <w:rPr>
                <w:color w:val="auto"/>
                <w:kern w:val="0"/>
                <w:sz w:val="21"/>
                <w:szCs w:val="21"/>
              </w:rPr>
            </w:pPr>
            <w:r>
              <w:rPr>
                <w:color w:val="auto"/>
                <w:kern w:val="0"/>
                <w:sz w:val="21"/>
                <w:szCs w:val="21"/>
              </w:rPr>
              <w:t>DA002</w:t>
            </w:r>
          </w:p>
        </w:tc>
        <w:tc>
          <w:tcPr>
            <w:tcW w:w="690" w:type="pct"/>
            <w:tcBorders>
              <w:tl2br w:val="nil"/>
              <w:tr2bl w:val="nil"/>
            </w:tcBorders>
            <w:noWrap/>
            <w:vAlign w:val="center"/>
          </w:tcPr>
          <w:p w14:paraId="5F45DC04">
            <w:pPr>
              <w:widowControl/>
              <w:spacing w:line="240" w:lineRule="auto"/>
              <w:ind w:firstLine="0" w:firstLineChars="0"/>
              <w:jc w:val="center"/>
              <w:rPr>
                <w:color w:val="auto"/>
                <w:kern w:val="0"/>
                <w:sz w:val="21"/>
                <w:szCs w:val="21"/>
              </w:rPr>
            </w:pPr>
            <w:r>
              <w:rPr>
                <w:color w:val="auto"/>
                <w:kern w:val="0"/>
                <w:sz w:val="21"/>
                <w:szCs w:val="21"/>
              </w:rPr>
              <w:t>二氧化硫</w:t>
            </w:r>
          </w:p>
        </w:tc>
        <w:tc>
          <w:tcPr>
            <w:tcW w:w="958" w:type="pct"/>
            <w:tcBorders>
              <w:tl2br w:val="nil"/>
              <w:tr2bl w:val="nil"/>
            </w:tcBorders>
            <w:noWrap/>
            <w:vAlign w:val="center"/>
          </w:tcPr>
          <w:p w14:paraId="36C41879">
            <w:pPr>
              <w:widowControl/>
              <w:spacing w:line="240" w:lineRule="auto"/>
              <w:ind w:firstLine="0" w:firstLineChars="0"/>
              <w:jc w:val="center"/>
              <w:rPr>
                <w:color w:val="auto"/>
                <w:kern w:val="0"/>
                <w:sz w:val="21"/>
                <w:szCs w:val="21"/>
              </w:rPr>
            </w:pPr>
            <w:r>
              <w:rPr>
                <w:color w:val="auto"/>
                <w:kern w:val="0"/>
                <w:sz w:val="21"/>
                <w:szCs w:val="21"/>
              </w:rPr>
              <w:t>ND</w:t>
            </w:r>
          </w:p>
        </w:tc>
        <w:tc>
          <w:tcPr>
            <w:tcW w:w="921" w:type="pct"/>
            <w:tcBorders>
              <w:tl2br w:val="nil"/>
              <w:tr2bl w:val="nil"/>
            </w:tcBorders>
            <w:noWrap/>
            <w:vAlign w:val="center"/>
          </w:tcPr>
          <w:p w14:paraId="22D30FAD">
            <w:pPr>
              <w:widowControl/>
              <w:spacing w:line="240" w:lineRule="auto"/>
              <w:ind w:firstLine="0" w:firstLineChars="0"/>
              <w:jc w:val="center"/>
              <w:rPr>
                <w:color w:val="auto"/>
                <w:kern w:val="0"/>
                <w:sz w:val="21"/>
                <w:szCs w:val="21"/>
              </w:rPr>
            </w:pPr>
            <w:r>
              <w:rPr>
                <w:rFonts w:hint="eastAsia"/>
                <w:color w:val="auto"/>
                <w:kern w:val="0"/>
                <w:sz w:val="21"/>
                <w:szCs w:val="21"/>
              </w:rPr>
              <w:t>4.67</w:t>
            </w:r>
            <w:r>
              <w:rPr>
                <w:color w:val="auto"/>
                <w:kern w:val="0"/>
                <w:sz w:val="21"/>
                <w:szCs w:val="21"/>
              </w:rPr>
              <w:t>×10</w:t>
            </w:r>
            <w:r>
              <w:rPr>
                <w:color w:val="auto"/>
                <w:kern w:val="0"/>
                <w:sz w:val="21"/>
                <w:szCs w:val="21"/>
                <w:vertAlign w:val="superscript"/>
              </w:rPr>
              <w:t>-3</w:t>
            </w:r>
          </w:p>
        </w:tc>
        <w:tc>
          <w:tcPr>
            <w:tcW w:w="622" w:type="pct"/>
            <w:tcBorders>
              <w:tl2br w:val="nil"/>
              <w:tr2bl w:val="nil"/>
            </w:tcBorders>
            <w:noWrap/>
            <w:vAlign w:val="center"/>
          </w:tcPr>
          <w:p w14:paraId="7AFA73D6">
            <w:pPr>
              <w:widowControl/>
              <w:spacing w:line="240" w:lineRule="auto"/>
              <w:ind w:firstLine="0" w:firstLineChars="0"/>
              <w:jc w:val="center"/>
              <w:rPr>
                <w:color w:val="auto"/>
                <w:kern w:val="0"/>
                <w:sz w:val="21"/>
                <w:szCs w:val="21"/>
              </w:rPr>
            </w:pPr>
            <w:r>
              <w:rPr>
                <w:color w:val="auto"/>
                <w:kern w:val="0"/>
                <w:sz w:val="21"/>
                <w:szCs w:val="21"/>
              </w:rPr>
              <w:t>100</w:t>
            </w:r>
          </w:p>
        </w:tc>
        <w:tc>
          <w:tcPr>
            <w:tcW w:w="635" w:type="pct"/>
            <w:tcBorders>
              <w:tl2br w:val="nil"/>
              <w:tr2bl w:val="nil"/>
            </w:tcBorders>
            <w:noWrap/>
            <w:vAlign w:val="center"/>
          </w:tcPr>
          <w:p w14:paraId="6805A5ED">
            <w:pPr>
              <w:widowControl/>
              <w:spacing w:line="240" w:lineRule="auto"/>
              <w:ind w:firstLine="0" w:firstLineChars="0"/>
              <w:jc w:val="center"/>
              <w:rPr>
                <w:color w:val="auto"/>
                <w:kern w:val="0"/>
                <w:sz w:val="21"/>
                <w:szCs w:val="21"/>
              </w:rPr>
            </w:pPr>
            <w:r>
              <w:rPr>
                <w:color w:val="auto"/>
                <w:kern w:val="0"/>
                <w:sz w:val="21"/>
                <w:szCs w:val="21"/>
              </w:rPr>
              <w:t>/</w:t>
            </w:r>
          </w:p>
        </w:tc>
        <w:tc>
          <w:tcPr>
            <w:tcW w:w="549" w:type="pct"/>
            <w:tcBorders>
              <w:tl2br w:val="nil"/>
              <w:tr2bl w:val="nil"/>
            </w:tcBorders>
            <w:noWrap/>
            <w:vAlign w:val="center"/>
          </w:tcPr>
          <w:p w14:paraId="58CD2181">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14:paraId="7554358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vAlign w:val="center"/>
          </w:tcPr>
          <w:p w14:paraId="205EA9F8">
            <w:pPr>
              <w:widowControl/>
              <w:spacing w:line="240" w:lineRule="auto"/>
              <w:ind w:firstLine="0" w:firstLineChars="0"/>
              <w:jc w:val="center"/>
              <w:rPr>
                <w:b/>
                <w:color w:val="auto"/>
                <w:kern w:val="0"/>
                <w:sz w:val="21"/>
                <w:szCs w:val="21"/>
              </w:rPr>
            </w:pPr>
            <w:r>
              <w:rPr>
                <w:b/>
                <w:color w:val="auto"/>
                <w:kern w:val="0"/>
                <w:sz w:val="21"/>
                <w:szCs w:val="21"/>
              </w:rPr>
              <w:t>采样日期</w:t>
            </w:r>
          </w:p>
        </w:tc>
        <w:tc>
          <w:tcPr>
            <w:tcW w:w="690" w:type="pct"/>
            <w:tcBorders>
              <w:tl2br w:val="nil"/>
              <w:tr2bl w:val="nil"/>
            </w:tcBorders>
            <w:noWrap/>
            <w:vAlign w:val="center"/>
          </w:tcPr>
          <w:p w14:paraId="040D692B">
            <w:pPr>
              <w:widowControl/>
              <w:spacing w:line="240" w:lineRule="auto"/>
              <w:ind w:firstLine="0" w:firstLineChars="0"/>
              <w:jc w:val="center"/>
              <w:rPr>
                <w:b/>
                <w:color w:val="auto"/>
                <w:kern w:val="0"/>
                <w:sz w:val="21"/>
                <w:szCs w:val="21"/>
              </w:rPr>
            </w:pPr>
            <w:r>
              <w:rPr>
                <w:rFonts w:hint="eastAsia"/>
                <w:b/>
                <w:color w:val="auto"/>
                <w:kern w:val="0"/>
                <w:sz w:val="21"/>
                <w:szCs w:val="21"/>
              </w:rPr>
              <w:t>2025.10.9</w:t>
            </w:r>
          </w:p>
        </w:tc>
        <w:tc>
          <w:tcPr>
            <w:tcW w:w="958" w:type="pct"/>
            <w:tcBorders>
              <w:tl2br w:val="nil"/>
              <w:tr2bl w:val="nil"/>
            </w:tcBorders>
            <w:noWrap/>
            <w:vAlign w:val="center"/>
          </w:tcPr>
          <w:p w14:paraId="4EE4D46B">
            <w:pPr>
              <w:widowControl/>
              <w:spacing w:line="240" w:lineRule="auto"/>
              <w:ind w:firstLine="0" w:firstLineChars="0"/>
              <w:jc w:val="center"/>
              <w:rPr>
                <w:b/>
                <w:color w:val="auto"/>
                <w:kern w:val="0"/>
                <w:sz w:val="21"/>
                <w:szCs w:val="21"/>
              </w:rPr>
            </w:pPr>
            <w:r>
              <w:rPr>
                <w:b/>
                <w:color w:val="auto"/>
                <w:kern w:val="0"/>
                <w:sz w:val="21"/>
                <w:szCs w:val="21"/>
              </w:rPr>
              <w:t>标干流量(m</w:t>
            </w:r>
            <w:r>
              <w:rPr>
                <w:b/>
                <w:color w:val="auto"/>
                <w:kern w:val="0"/>
                <w:sz w:val="21"/>
                <w:szCs w:val="21"/>
                <w:vertAlign w:val="superscript"/>
              </w:rPr>
              <w:t>3</w:t>
            </w:r>
            <w:r>
              <w:rPr>
                <w:b/>
                <w:color w:val="auto"/>
                <w:kern w:val="0"/>
                <w:sz w:val="21"/>
                <w:szCs w:val="21"/>
              </w:rPr>
              <w:t>/h)</w:t>
            </w:r>
          </w:p>
        </w:tc>
        <w:tc>
          <w:tcPr>
            <w:tcW w:w="921" w:type="pct"/>
            <w:tcBorders>
              <w:tl2br w:val="nil"/>
              <w:tr2bl w:val="nil"/>
            </w:tcBorders>
            <w:noWrap/>
            <w:vAlign w:val="center"/>
          </w:tcPr>
          <w:p w14:paraId="6374475A">
            <w:pPr>
              <w:widowControl/>
              <w:spacing w:line="240" w:lineRule="auto"/>
              <w:ind w:firstLine="0" w:firstLineChars="0"/>
              <w:jc w:val="center"/>
              <w:rPr>
                <w:b/>
                <w:color w:val="auto"/>
                <w:kern w:val="0"/>
                <w:sz w:val="21"/>
                <w:szCs w:val="21"/>
              </w:rPr>
            </w:pPr>
            <w:r>
              <w:rPr>
                <w:rFonts w:hint="eastAsia"/>
                <w:b/>
                <w:color w:val="auto"/>
                <w:kern w:val="0"/>
                <w:sz w:val="21"/>
                <w:szCs w:val="21"/>
              </w:rPr>
              <w:t>4004</w:t>
            </w:r>
          </w:p>
        </w:tc>
        <w:tc>
          <w:tcPr>
            <w:tcW w:w="1257" w:type="pct"/>
            <w:gridSpan w:val="2"/>
            <w:tcBorders>
              <w:tl2br w:val="nil"/>
              <w:tr2bl w:val="nil"/>
            </w:tcBorders>
            <w:noWrap/>
            <w:vAlign w:val="center"/>
          </w:tcPr>
          <w:p w14:paraId="64279DAA">
            <w:pPr>
              <w:widowControl/>
              <w:spacing w:line="240" w:lineRule="auto"/>
              <w:ind w:firstLine="0" w:firstLineChars="0"/>
              <w:jc w:val="center"/>
              <w:rPr>
                <w:color w:val="auto"/>
                <w:kern w:val="0"/>
                <w:sz w:val="21"/>
                <w:szCs w:val="21"/>
              </w:rPr>
            </w:pPr>
            <w:r>
              <w:rPr>
                <w:b/>
                <w:color w:val="auto"/>
                <w:kern w:val="0"/>
                <w:sz w:val="21"/>
                <w:szCs w:val="21"/>
              </w:rPr>
              <w:t>排放标准</w:t>
            </w:r>
          </w:p>
        </w:tc>
        <w:tc>
          <w:tcPr>
            <w:tcW w:w="549" w:type="pct"/>
            <w:tcBorders>
              <w:tl2br w:val="nil"/>
              <w:tr2bl w:val="nil"/>
            </w:tcBorders>
            <w:noWrap/>
            <w:vAlign w:val="center"/>
          </w:tcPr>
          <w:p w14:paraId="00496A55">
            <w:pPr>
              <w:widowControl/>
              <w:spacing w:line="240" w:lineRule="auto"/>
              <w:ind w:firstLine="0" w:firstLineChars="0"/>
              <w:jc w:val="center"/>
              <w:rPr>
                <w:b/>
                <w:color w:val="auto"/>
                <w:kern w:val="0"/>
                <w:sz w:val="21"/>
                <w:szCs w:val="21"/>
              </w:rPr>
            </w:pPr>
            <w:r>
              <w:rPr>
                <w:rFonts w:hint="eastAsia"/>
                <w:b/>
                <w:color w:val="auto"/>
                <w:kern w:val="0"/>
                <w:sz w:val="21"/>
                <w:szCs w:val="21"/>
              </w:rPr>
              <w:t>达标分析</w:t>
            </w:r>
          </w:p>
        </w:tc>
      </w:tr>
      <w:tr w14:paraId="3235477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vAlign w:val="center"/>
          </w:tcPr>
          <w:p w14:paraId="05B0D88D">
            <w:pPr>
              <w:widowControl/>
              <w:spacing w:line="240" w:lineRule="auto"/>
              <w:ind w:firstLine="0" w:firstLineChars="0"/>
              <w:jc w:val="center"/>
              <w:rPr>
                <w:color w:val="auto"/>
                <w:kern w:val="0"/>
                <w:sz w:val="21"/>
                <w:szCs w:val="21"/>
              </w:rPr>
            </w:pPr>
            <w:r>
              <w:rPr>
                <w:color w:val="auto"/>
                <w:kern w:val="0"/>
                <w:sz w:val="21"/>
                <w:szCs w:val="21"/>
              </w:rPr>
              <w:t>DA002</w:t>
            </w:r>
          </w:p>
        </w:tc>
        <w:tc>
          <w:tcPr>
            <w:tcW w:w="690" w:type="pct"/>
            <w:tcBorders>
              <w:tl2br w:val="nil"/>
              <w:tr2bl w:val="nil"/>
            </w:tcBorders>
            <w:noWrap/>
            <w:vAlign w:val="center"/>
          </w:tcPr>
          <w:p w14:paraId="0B1B3429">
            <w:pPr>
              <w:widowControl/>
              <w:spacing w:line="240" w:lineRule="auto"/>
              <w:ind w:firstLine="0" w:firstLineChars="0"/>
              <w:jc w:val="center"/>
              <w:rPr>
                <w:color w:val="auto"/>
                <w:kern w:val="0"/>
                <w:sz w:val="21"/>
                <w:szCs w:val="21"/>
              </w:rPr>
            </w:pPr>
            <w:r>
              <w:rPr>
                <w:color w:val="auto"/>
                <w:kern w:val="0"/>
                <w:sz w:val="21"/>
                <w:szCs w:val="21"/>
              </w:rPr>
              <w:t>二氧化硫</w:t>
            </w:r>
          </w:p>
        </w:tc>
        <w:tc>
          <w:tcPr>
            <w:tcW w:w="958" w:type="pct"/>
            <w:tcBorders>
              <w:tl2br w:val="nil"/>
              <w:tr2bl w:val="nil"/>
            </w:tcBorders>
            <w:noWrap/>
            <w:vAlign w:val="center"/>
          </w:tcPr>
          <w:p w14:paraId="3B7F6227">
            <w:pPr>
              <w:widowControl/>
              <w:spacing w:line="240" w:lineRule="auto"/>
              <w:ind w:firstLine="0" w:firstLineChars="0"/>
              <w:jc w:val="center"/>
              <w:rPr>
                <w:color w:val="auto"/>
                <w:kern w:val="0"/>
                <w:sz w:val="21"/>
                <w:szCs w:val="21"/>
              </w:rPr>
            </w:pPr>
            <w:r>
              <w:rPr>
                <w:rFonts w:hint="eastAsia"/>
                <w:color w:val="auto"/>
                <w:kern w:val="0"/>
                <w:sz w:val="21"/>
                <w:szCs w:val="21"/>
              </w:rPr>
              <w:t>5.10</w:t>
            </w:r>
          </w:p>
        </w:tc>
        <w:tc>
          <w:tcPr>
            <w:tcW w:w="921" w:type="pct"/>
            <w:tcBorders>
              <w:tl2br w:val="nil"/>
              <w:tr2bl w:val="nil"/>
            </w:tcBorders>
            <w:noWrap/>
            <w:vAlign w:val="center"/>
          </w:tcPr>
          <w:p w14:paraId="17840F2B">
            <w:pPr>
              <w:widowControl/>
              <w:spacing w:line="240" w:lineRule="auto"/>
              <w:ind w:firstLine="0" w:firstLineChars="0"/>
              <w:jc w:val="center"/>
              <w:rPr>
                <w:color w:val="auto"/>
                <w:kern w:val="0"/>
                <w:sz w:val="21"/>
                <w:szCs w:val="21"/>
              </w:rPr>
            </w:pPr>
            <w:r>
              <w:rPr>
                <w:rFonts w:hint="eastAsia"/>
                <w:color w:val="auto"/>
                <w:kern w:val="0"/>
                <w:sz w:val="21"/>
                <w:szCs w:val="21"/>
              </w:rPr>
              <w:t>1.97</w:t>
            </w:r>
            <w:r>
              <w:rPr>
                <w:color w:val="auto"/>
                <w:kern w:val="0"/>
                <w:sz w:val="21"/>
                <w:szCs w:val="21"/>
              </w:rPr>
              <w:t>×10</w:t>
            </w:r>
            <w:r>
              <w:rPr>
                <w:color w:val="auto"/>
                <w:kern w:val="0"/>
                <w:sz w:val="21"/>
                <w:szCs w:val="21"/>
                <w:vertAlign w:val="superscript"/>
              </w:rPr>
              <w:t>-3</w:t>
            </w:r>
          </w:p>
        </w:tc>
        <w:tc>
          <w:tcPr>
            <w:tcW w:w="622" w:type="pct"/>
            <w:tcBorders>
              <w:tl2br w:val="nil"/>
              <w:tr2bl w:val="nil"/>
            </w:tcBorders>
            <w:noWrap/>
            <w:vAlign w:val="center"/>
          </w:tcPr>
          <w:p w14:paraId="383839F5">
            <w:pPr>
              <w:widowControl/>
              <w:spacing w:line="240" w:lineRule="auto"/>
              <w:ind w:firstLine="0" w:firstLineChars="0"/>
              <w:jc w:val="center"/>
              <w:rPr>
                <w:color w:val="auto"/>
                <w:kern w:val="0"/>
                <w:sz w:val="21"/>
                <w:szCs w:val="21"/>
              </w:rPr>
            </w:pPr>
            <w:r>
              <w:rPr>
                <w:color w:val="auto"/>
                <w:kern w:val="0"/>
                <w:sz w:val="21"/>
                <w:szCs w:val="21"/>
              </w:rPr>
              <w:t>100</w:t>
            </w:r>
          </w:p>
        </w:tc>
        <w:tc>
          <w:tcPr>
            <w:tcW w:w="635" w:type="pct"/>
            <w:tcBorders>
              <w:tl2br w:val="nil"/>
              <w:tr2bl w:val="nil"/>
            </w:tcBorders>
            <w:noWrap/>
            <w:vAlign w:val="center"/>
          </w:tcPr>
          <w:p w14:paraId="2878FA76">
            <w:pPr>
              <w:widowControl/>
              <w:spacing w:line="240" w:lineRule="auto"/>
              <w:ind w:firstLine="0" w:firstLineChars="0"/>
              <w:jc w:val="center"/>
              <w:rPr>
                <w:color w:val="auto"/>
                <w:kern w:val="0"/>
                <w:sz w:val="21"/>
                <w:szCs w:val="21"/>
              </w:rPr>
            </w:pPr>
            <w:r>
              <w:rPr>
                <w:color w:val="auto"/>
                <w:kern w:val="0"/>
                <w:sz w:val="21"/>
                <w:szCs w:val="21"/>
              </w:rPr>
              <w:t>/</w:t>
            </w:r>
          </w:p>
        </w:tc>
        <w:tc>
          <w:tcPr>
            <w:tcW w:w="549" w:type="pct"/>
            <w:tcBorders>
              <w:tl2br w:val="nil"/>
              <w:tr2bl w:val="nil"/>
            </w:tcBorders>
            <w:noWrap/>
            <w:vAlign w:val="center"/>
          </w:tcPr>
          <w:p w14:paraId="6EF4A299">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bl>
    <w:p w14:paraId="1DB9ADFE">
      <w:pPr>
        <w:ind w:firstLine="480"/>
        <w:rPr>
          <w:color w:val="auto"/>
        </w:rPr>
      </w:pPr>
    </w:p>
    <w:p w14:paraId="2D7B423A">
      <w:pPr>
        <w:pStyle w:val="5"/>
        <w:spacing w:before="192"/>
        <w:rPr>
          <w:color w:val="auto"/>
        </w:rPr>
      </w:pPr>
      <w:r>
        <w:rPr>
          <w:rFonts w:hint="eastAsia"/>
          <w:color w:val="auto"/>
        </w:rPr>
        <w:t>7.2.1.2</w:t>
      </w:r>
      <w:r>
        <w:rPr>
          <w:color w:val="auto"/>
        </w:rPr>
        <w:t>投料含尘</w:t>
      </w:r>
      <w:r>
        <w:rPr>
          <w:rFonts w:hint="eastAsia"/>
          <w:color w:val="auto"/>
        </w:rPr>
        <w:t>工艺</w:t>
      </w:r>
      <w:r>
        <w:rPr>
          <w:color w:val="auto"/>
        </w:rPr>
        <w:t>废气处理可行性分析</w:t>
      </w:r>
    </w:p>
    <w:p w14:paraId="6CA8691C">
      <w:pPr>
        <w:ind w:firstLine="480"/>
        <w:rPr>
          <w:rFonts w:eastAsia="仿宋_GB2312"/>
          <w:snapToGrid w:val="0"/>
          <w:color w:val="auto"/>
          <w:sz w:val="28"/>
          <w:szCs w:val="28"/>
        </w:rPr>
      </w:pPr>
      <w:r>
        <w:rPr>
          <w:rFonts w:hint="eastAsia"/>
          <w:color w:val="auto"/>
        </w:rPr>
        <w:t>目前工业粉尘主要采取以下的防治措施：根据原理可以概括为机械力除尘、过滤除尘、静电除尘和湿式除尘四种类型，其中前三种可统称为干式除尘。各种处理方式的原理和适用范围详见表7.2-1。</w:t>
      </w:r>
    </w:p>
    <w:p w14:paraId="13D5404D">
      <w:pPr>
        <w:pStyle w:val="49"/>
        <w:rPr>
          <w:color w:val="auto"/>
        </w:rPr>
      </w:pPr>
      <w:r>
        <w:rPr>
          <w:color w:val="auto"/>
        </w:rPr>
        <w:t>表7</w:t>
      </w:r>
      <w:r>
        <w:rPr>
          <w:rFonts w:hint="eastAsia"/>
          <w:color w:val="auto"/>
        </w:rPr>
        <w:t xml:space="preserve">.2-1 </w:t>
      </w:r>
      <w:r>
        <w:rPr>
          <w:color w:val="auto"/>
        </w:rPr>
        <w:t xml:space="preserve"> 各种除尘技术的比较</w:t>
      </w:r>
    </w:p>
    <w:tbl>
      <w:tblPr>
        <w:tblStyle w:val="26"/>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55"/>
        <w:gridCol w:w="4425"/>
        <w:gridCol w:w="3173"/>
      </w:tblGrid>
      <w:tr w14:paraId="4D77365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 w:hRule="atLeast"/>
          <w:jc w:val="center"/>
        </w:trPr>
        <w:tc>
          <w:tcPr>
            <w:tcW w:w="1144" w:type="pct"/>
            <w:tcBorders>
              <w:tl2br w:val="nil"/>
              <w:tr2bl w:val="nil"/>
            </w:tcBorders>
            <w:vAlign w:val="center"/>
          </w:tcPr>
          <w:p w14:paraId="77107773">
            <w:pPr>
              <w:widowControl/>
              <w:spacing w:line="240" w:lineRule="auto"/>
              <w:ind w:firstLine="422"/>
              <w:jc w:val="center"/>
              <w:rPr>
                <w:b/>
                <w:color w:val="auto"/>
                <w:kern w:val="0"/>
                <w:sz w:val="21"/>
                <w:szCs w:val="21"/>
                <w:lang w:val="zh-CN"/>
              </w:rPr>
            </w:pPr>
            <w:r>
              <w:rPr>
                <w:b/>
                <w:color w:val="auto"/>
                <w:kern w:val="0"/>
                <w:sz w:val="21"/>
                <w:szCs w:val="21"/>
                <w:lang w:val="zh-CN"/>
              </w:rPr>
              <w:t>除尘方法</w:t>
            </w:r>
          </w:p>
        </w:tc>
        <w:tc>
          <w:tcPr>
            <w:tcW w:w="2245" w:type="pct"/>
            <w:tcBorders>
              <w:tl2br w:val="nil"/>
              <w:tr2bl w:val="nil"/>
            </w:tcBorders>
            <w:vAlign w:val="center"/>
          </w:tcPr>
          <w:p w14:paraId="4DC380CB">
            <w:pPr>
              <w:widowControl/>
              <w:spacing w:line="240" w:lineRule="auto"/>
              <w:ind w:firstLine="422"/>
              <w:jc w:val="center"/>
              <w:rPr>
                <w:b/>
                <w:color w:val="auto"/>
                <w:kern w:val="0"/>
                <w:sz w:val="21"/>
                <w:szCs w:val="21"/>
                <w:lang w:val="zh-CN"/>
              </w:rPr>
            </w:pPr>
            <w:r>
              <w:rPr>
                <w:b/>
                <w:color w:val="auto"/>
                <w:kern w:val="0"/>
                <w:sz w:val="21"/>
                <w:szCs w:val="21"/>
                <w:lang w:val="zh-CN"/>
              </w:rPr>
              <w:t>方法原理</w:t>
            </w:r>
          </w:p>
        </w:tc>
        <w:tc>
          <w:tcPr>
            <w:tcW w:w="1610" w:type="pct"/>
            <w:tcBorders>
              <w:tl2br w:val="nil"/>
              <w:tr2bl w:val="nil"/>
            </w:tcBorders>
            <w:vAlign w:val="center"/>
          </w:tcPr>
          <w:p w14:paraId="6030DC10">
            <w:pPr>
              <w:widowControl/>
              <w:spacing w:line="240" w:lineRule="auto"/>
              <w:ind w:firstLine="422"/>
              <w:jc w:val="center"/>
              <w:rPr>
                <w:b/>
                <w:color w:val="auto"/>
                <w:kern w:val="0"/>
                <w:sz w:val="21"/>
                <w:szCs w:val="21"/>
                <w:lang w:val="zh-CN"/>
              </w:rPr>
            </w:pPr>
            <w:r>
              <w:rPr>
                <w:b/>
                <w:color w:val="auto"/>
                <w:kern w:val="0"/>
                <w:sz w:val="21"/>
                <w:szCs w:val="21"/>
                <w:lang w:val="zh-CN"/>
              </w:rPr>
              <w:t>除尘效率(%)</w:t>
            </w:r>
          </w:p>
        </w:tc>
      </w:tr>
      <w:tr w14:paraId="756770C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1144" w:type="pct"/>
            <w:tcBorders>
              <w:tl2br w:val="nil"/>
              <w:tr2bl w:val="nil"/>
            </w:tcBorders>
            <w:vAlign w:val="center"/>
          </w:tcPr>
          <w:p w14:paraId="716D84D8">
            <w:pPr>
              <w:widowControl/>
              <w:spacing w:line="240" w:lineRule="auto"/>
              <w:ind w:firstLine="420"/>
              <w:jc w:val="center"/>
              <w:rPr>
                <w:color w:val="auto"/>
                <w:kern w:val="0"/>
                <w:sz w:val="21"/>
                <w:szCs w:val="21"/>
                <w:lang w:val="zh-CN"/>
              </w:rPr>
            </w:pPr>
            <w:r>
              <w:rPr>
                <w:color w:val="auto"/>
                <w:kern w:val="0"/>
                <w:sz w:val="21"/>
                <w:szCs w:val="21"/>
                <w:lang w:val="zh-CN"/>
              </w:rPr>
              <w:t>重力沉降法</w:t>
            </w:r>
          </w:p>
        </w:tc>
        <w:tc>
          <w:tcPr>
            <w:tcW w:w="2245" w:type="pct"/>
            <w:tcBorders>
              <w:tl2br w:val="nil"/>
              <w:tr2bl w:val="nil"/>
            </w:tcBorders>
            <w:vAlign w:val="center"/>
          </w:tcPr>
          <w:p w14:paraId="118E445D">
            <w:pPr>
              <w:widowControl/>
              <w:spacing w:line="240" w:lineRule="auto"/>
              <w:ind w:firstLine="420"/>
              <w:jc w:val="center"/>
              <w:rPr>
                <w:color w:val="auto"/>
                <w:kern w:val="0"/>
                <w:sz w:val="21"/>
                <w:szCs w:val="21"/>
                <w:lang w:val="zh-CN"/>
              </w:rPr>
            </w:pPr>
            <w:r>
              <w:rPr>
                <w:color w:val="auto"/>
                <w:kern w:val="0"/>
                <w:sz w:val="21"/>
                <w:szCs w:val="21"/>
                <w:lang w:val="zh-CN"/>
              </w:rPr>
              <w:t>利用粉尘与气体的密度不同，使粉尘靠自身的重力从气流中自然沉降下来，以达到分离或捕集含尘气流中粒子</w:t>
            </w:r>
          </w:p>
        </w:tc>
        <w:tc>
          <w:tcPr>
            <w:tcW w:w="1610" w:type="pct"/>
            <w:tcBorders>
              <w:tl2br w:val="nil"/>
              <w:tr2bl w:val="nil"/>
            </w:tcBorders>
            <w:vAlign w:val="center"/>
          </w:tcPr>
          <w:p w14:paraId="19E15ADC">
            <w:pPr>
              <w:widowControl/>
              <w:spacing w:line="240" w:lineRule="auto"/>
              <w:ind w:firstLine="420"/>
              <w:jc w:val="center"/>
              <w:rPr>
                <w:color w:val="auto"/>
                <w:kern w:val="0"/>
                <w:sz w:val="21"/>
                <w:szCs w:val="21"/>
                <w:lang w:val="zh-CN"/>
              </w:rPr>
            </w:pPr>
            <w:r>
              <w:rPr>
                <w:color w:val="auto"/>
                <w:kern w:val="0"/>
                <w:sz w:val="21"/>
                <w:szCs w:val="21"/>
                <w:lang w:val="zh-CN"/>
              </w:rPr>
              <w:t>40-60</w:t>
            </w:r>
          </w:p>
        </w:tc>
      </w:tr>
      <w:tr w14:paraId="230BE76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1144" w:type="pct"/>
            <w:vMerge w:val="restart"/>
            <w:tcBorders>
              <w:tl2br w:val="nil"/>
              <w:tr2bl w:val="nil"/>
            </w:tcBorders>
            <w:vAlign w:val="center"/>
          </w:tcPr>
          <w:p w14:paraId="1C5F623C">
            <w:pPr>
              <w:widowControl/>
              <w:spacing w:line="240" w:lineRule="auto"/>
              <w:ind w:firstLine="420"/>
              <w:jc w:val="center"/>
              <w:rPr>
                <w:color w:val="auto"/>
                <w:kern w:val="0"/>
                <w:sz w:val="21"/>
                <w:szCs w:val="21"/>
                <w:lang w:val="zh-CN"/>
              </w:rPr>
            </w:pPr>
            <w:r>
              <w:rPr>
                <w:color w:val="auto"/>
                <w:kern w:val="0"/>
                <w:sz w:val="21"/>
                <w:szCs w:val="21"/>
                <w:lang w:val="zh-CN"/>
              </w:rPr>
              <w:t>惯性除尘法</w:t>
            </w:r>
          </w:p>
        </w:tc>
        <w:tc>
          <w:tcPr>
            <w:tcW w:w="2245" w:type="pct"/>
            <w:vMerge w:val="restart"/>
            <w:tcBorders>
              <w:tl2br w:val="nil"/>
              <w:tr2bl w:val="nil"/>
            </w:tcBorders>
            <w:vAlign w:val="center"/>
          </w:tcPr>
          <w:p w14:paraId="124851B8">
            <w:pPr>
              <w:widowControl/>
              <w:spacing w:line="240" w:lineRule="auto"/>
              <w:ind w:firstLine="420"/>
              <w:jc w:val="center"/>
              <w:rPr>
                <w:color w:val="auto"/>
                <w:kern w:val="0"/>
                <w:sz w:val="21"/>
                <w:szCs w:val="21"/>
                <w:lang w:val="zh-CN"/>
              </w:rPr>
            </w:pPr>
            <w:r>
              <w:rPr>
                <w:color w:val="auto"/>
                <w:kern w:val="0"/>
                <w:sz w:val="21"/>
                <w:szCs w:val="21"/>
                <w:lang w:val="zh-CN"/>
              </w:rPr>
              <w:t>洗涤除尘的基本原理是使含尘气体与某种液体(一般采用水)接触，利用液滴、液膜等将气体中的尘粒捕获，使气体得到净化，尘粒随水排出</w:t>
            </w:r>
          </w:p>
        </w:tc>
        <w:tc>
          <w:tcPr>
            <w:tcW w:w="1610" w:type="pct"/>
            <w:tcBorders>
              <w:tl2br w:val="nil"/>
              <w:tr2bl w:val="nil"/>
            </w:tcBorders>
            <w:vAlign w:val="center"/>
          </w:tcPr>
          <w:p w14:paraId="7B73C2FA">
            <w:pPr>
              <w:widowControl/>
              <w:spacing w:line="240" w:lineRule="auto"/>
              <w:ind w:firstLine="420"/>
              <w:jc w:val="center"/>
              <w:rPr>
                <w:color w:val="auto"/>
                <w:kern w:val="0"/>
                <w:sz w:val="21"/>
                <w:szCs w:val="21"/>
                <w:lang w:val="zh-CN"/>
              </w:rPr>
            </w:pPr>
            <w:r>
              <w:rPr>
                <w:color w:val="auto"/>
                <w:kern w:val="0"/>
                <w:sz w:val="21"/>
                <w:szCs w:val="21"/>
                <w:lang w:val="zh-CN"/>
              </w:rPr>
              <w:t>85-99(水膜除尘器)</w:t>
            </w:r>
          </w:p>
        </w:tc>
      </w:tr>
      <w:tr w14:paraId="71AE1FA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 w:hRule="atLeast"/>
          <w:jc w:val="center"/>
        </w:trPr>
        <w:tc>
          <w:tcPr>
            <w:tcW w:w="1144" w:type="pct"/>
            <w:vMerge w:val="continue"/>
            <w:tcBorders>
              <w:tl2br w:val="nil"/>
              <w:tr2bl w:val="nil"/>
            </w:tcBorders>
            <w:vAlign w:val="center"/>
          </w:tcPr>
          <w:p w14:paraId="1ABA557C">
            <w:pPr>
              <w:widowControl/>
              <w:spacing w:line="240" w:lineRule="auto"/>
              <w:ind w:firstLine="420"/>
              <w:jc w:val="center"/>
              <w:rPr>
                <w:color w:val="auto"/>
                <w:kern w:val="0"/>
                <w:sz w:val="21"/>
                <w:szCs w:val="21"/>
                <w:lang w:val="zh-CN"/>
              </w:rPr>
            </w:pPr>
          </w:p>
        </w:tc>
        <w:tc>
          <w:tcPr>
            <w:tcW w:w="2245" w:type="pct"/>
            <w:vMerge w:val="continue"/>
            <w:tcBorders>
              <w:tl2br w:val="nil"/>
              <w:tr2bl w:val="nil"/>
            </w:tcBorders>
            <w:vAlign w:val="center"/>
          </w:tcPr>
          <w:p w14:paraId="796E2673">
            <w:pPr>
              <w:widowControl/>
              <w:spacing w:line="240" w:lineRule="auto"/>
              <w:ind w:firstLine="420"/>
              <w:jc w:val="center"/>
              <w:rPr>
                <w:color w:val="auto"/>
                <w:kern w:val="0"/>
                <w:sz w:val="21"/>
                <w:szCs w:val="21"/>
                <w:lang w:val="zh-CN"/>
              </w:rPr>
            </w:pPr>
          </w:p>
        </w:tc>
        <w:tc>
          <w:tcPr>
            <w:tcW w:w="1610" w:type="pct"/>
            <w:tcBorders>
              <w:tl2br w:val="nil"/>
              <w:tr2bl w:val="nil"/>
            </w:tcBorders>
            <w:vAlign w:val="center"/>
          </w:tcPr>
          <w:p w14:paraId="11C5F0A8">
            <w:pPr>
              <w:widowControl/>
              <w:spacing w:line="240" w:lineRule="auto"/>
              <w:ind w:firstLine="420"/>
              <w:jc w:val="center"/>
              <w:rPr>
                <w:color w:val="auto"/>
                <w:kern w:val="0"/>
                <w:sz w:val="21"/>
                <w:szCs w:val="21"/>
                <w:lang w:val="zh-CN"/>
              </w:rPr>
            </w:pPr>
            <w:r>
              <w:rPr>
                <w:color w:val="auto"/>
                <w:kern w:val="0"/>
                <w:sz w:val="21"/>
                <w:szCs w:val="21"/>
                <w:lang w:val="zh-CN"/>
              </w:rPr>
              <w:t>75-95(喷淋洗涤器)</w:t>
            </w:r>
          </w:p>
        </w:tc>
      </w:tr>
      <w:tr w14:paraId="343E078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3" w:hRule="atLeast"/>
          <w:jc w:val="center"/>
        </w:trPr>
        <w:tc>
          <w:tcPr>
            <w:tcW w:w="1144" w:type="pct"/>
            <w:vMerge w:val="continue"/>
            <w:tcBorders>
              <w:tl2br w:val="nil"/>
              <w:tr2bl w:val="nil"/>
            </w:tcBorders>
            <w:vAlign w:val="center"/>
          </w:tcPr>
          <w:p w14:paraId="4000C2C6">
            <w:pPr>
              <w:widowControl/>
              <w:spacing w:line="240" w:lineRule="auto"/>
              <w:ind w:firstLine="420"/>
              <w:jc w:val="center"/>
              <w:rPr>
                <w:color w:val="auto"/>
                <w:kern w:val="0"/>
                <w:sz w:val="21"/>
                <w:szCs w:val="21"/>
                <w:lang w:val="zh-CN"/>
              </w:rPr>
            </w:pPr>
          </w:p>
        </w:tc>
        <w:tc>
          <w:tcPr>
            <w:tcW w:w="2245" w:type="pct"/>
            <w:vMerge w:val="continue"/>
            <w:tcBorders>
              <w:tl2br w:val="nil"/>
              <w:tr2bl w:val="nil"/>
            </w:tcBorders>
            <w:vAlign w:val="center"/>
          </w:tcPr>
          <w:p w14:paraId="783D0ADB">
            <w:pPr>
              <w:widowControl/>
              <w:spacing w:line="240" w:lineRule="auto"/>
              <w:ind w:firstLine="420"/>
              <w:jc w:val="center"/>
              <w:rPr>
                <w:color w:val="auto"/>
                <w:kern w:val="0"/>
                <w:sz w:val="21"/>
                <w:szCs w:val="21"/>
                <w:lang w:val="zh-CN"/>
              </w:rPr>
            </w:pPr>
          </w:p>
        </w:tc>
        <w:tc>
          <w:tcPr>
            <w:tcW w:w="1610" w:type="pct"/>
            <w:tcBorders>
              <w:tl2br w:val="nil"/>
              <w:tr2bl w:val="nil"/>
            </w:tcBorders>
            <w:vAlign w:val="center"/>
          </w:tcPr>
          <w:p w14:paraId="58D66719">
            <w:pPr>
              <w:widowControl/>
              <w:spacing w:line="240" w:lineRule="auto"/>
              <w:ind w:firstLine="420"/>
              <w:jc w:val="center"/>
              <w:rPr>
                <w:color w:val="auto"/>
                <w:kern w:val="0"/>
                <w:sz w:val="21"/>
                <w:szCs w:val="21"/>
                <w:lang w:val="zh-CN"/>
              </w:rPr>
            </w:pPr>
            <w:r>
              <w:rPr>
                <w:color w:val="auto"/>
                <w:kern w:val="0"/>
                <w:sz w:val="21"/>
                <w:szCs w:val="21"/>
                <w:lang w:val="zh-CN"/>
              </w:rPr>
              <w:t>90-99.9(文丘里洗涤器)</w:t>
            </w:r>
          </w:p>
        </w:tc>
      </w:tr>
      <w:tr w14:paraId="0C31D81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5" w:hRule="atLeast"/>
          <w:jc w:val="center"/>
        </w:trPr>
        <w:tc>
          <w:tcPr>
            <w:tcW w:w="1144" w:type="pct"/>
            <w:vMerge w:val="continue"/>
            <w:tcBorders>
              <w:tl2br w:val="nil"/>
              <w:tr2bl w:val="nil"/>
            </w:tcBorders>
            <w:vAlign w:val="center"/>
          </w:tcPr>
          <w:p w14:paraId="4AB34033">
            <w:pPr>
              <w:widowControl/>
              <w:spacing w:line="240" w:lineRule="auto"/>
              <w:ind w:firstLine="420"/>
              <w:jc w:val="center"/>
              <w:rPr>
                <w:color w:val="auto"/>
                <w:kern w:val="0"/>
                <w:sz w:val="21"/>
                <w:szCs w:val="21"/>
                <w:lang w:val="zh-CN"/>
              </w:rPr>
            </w:pPr>
          </w:p>
        </w:tc>
        <w:tc>
          <w:tcPr>
            <w:tcW w:w="2245" w:type="pct"/>
            <w:vMerge w:val="continue"/>
            <w:tcBorders>
              <w:tl2br w:val="nil"/>
              <w:tr2bl w:val="nil"/>
            </w:tcBorders>
            <w:vAlign w:val="center"/>
          </w:tcPr>
          <w:p w14:paraId="59B2B7EC">
            <w:pPr>
              <w:widowControl/>
              <w:spacing w:line="240" w:lineRule="auto"/>
              <w:ind w:firstLine="420"/>
              <w:jc w:val="center"/>
              <w:rPr>
                <w:color w:val="auto"/>
                <w:kern w:val="0"/>
                <w:sz w:val="21"/>
                <w:szCs w:val="21"/>
                <w:lang w:val="zh-CN"/>
              </w:rPr>
            </w:pPr>
          </w:p>
        </w:tc>
        <w:tc>
          <w:tcPr>
            <w:tcW w:w="1610" w:type="pct"/>
            <w:tcBorders>
              <w:tl2br w:val="nil"/>
              <w:tr2bl w:val="nil"/>
            </w:tcBorders>
            <w:vAlign w:val="center"/>
          </w:tcPr>
          <w:p w14:paraId="3846B8F1">
            <w:pPr>
              <w:widowControl/>
              <w:spacing w:line="240" w:lineRule="auto"/>
              <w:ind w:firstLine="420"/>
              <w:jc w:val="center"/>
              <w:rPr>
                <w:color w:val="auto"/>
                <w:kern w:val="0"/>
                <w:sz w:val="21"/>
                <w:szCs w:val="21"/>
                <w:lang w:val="zh-CN"/>
              </w:rPr>
            </w:pPr>
            <w:r>
              <w:rPr>
                <w:color w:val="auto"/>
                <w:kern w:val="0"/>
                <w:sz w:val="21"/>
                <w:szCs w:val="21"/>
                <w:lang w:val="zh-CN"/>
              </w:rPr>
              <w:t>85-99(自激式洗涤器)</w:t>
            </w:r>
          </w:p>
        </w:tc>
      </w:tr>
      <w:tr w14:paraId="1ED4520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6" w:hRule="atLeast"/>
          <w:jc w:val="center"/>
        </w:trPr>
        <w:tc>
          <w:tcPr>
            <w:tcW w:w="1144" w:type="pct"/>
            <w:tcBorders>
              <w:tl2br w:val="nil"/>
              <w:tr2bl w:val="nil"/>
            </w:tcBorders>
            <w:vAlign w:val="center"/>
          </w:tcPr>
          <w:p w14:paraId="6F3B71FF">
            <w:pPr>
              <w:widowControl/>
              <w:spacing w:line="240" w:lineRule="auto"/>
              <w:ind w:firstLine="420"/>
              <w:jc w:val="center"/>
              <w:rPr>
                <w:color w:val="auto"/>
                <w:kern w:val="0"/>
                <w:sz w:val="21"/>
                <w:szCs w:val="21"/>
                <w:lang w:val="zh-CN"/>
              </w:rPr>
            </w:pPr>
            <w:r>
              <w:rPr>
                <w:color w:val="auto"/>
                <w:kern w:val="0"/>
                <w:sz w:val="21"/>
                <w:szCs w:val="21"/>
                <w:lang w:val="zh-CN"/>
              </w:rPr>
              <w:t>静电除尘法</w:t>
            </w:r>
          </w:p>
        </w:tc>
        <w:tc>
          <w:tcPr>
            <w:tcW w:w="2245" w:type="pct"/>
            <w:tcBorders>
              <w:tl2br w:val="nil"/>
              <w:tr2bl w:val="nil"/>
            </w:tcBorders>
            <w:vAlign w:val="center"/>
          </w:tcPr>
          <w:p w14:paraId="569131B5">
            <w:pPr>
              <w:widowControl/>
              <w:spacing w:line="240" w:lineRule="auto"/>
              <w:ind w:firstLine="420"/>
              <w:jc w:val="center"/>
              <w:rPr>
                <w:color w:val="auto"/>
                <w:kern w:val="0"/>
                <w:sz w:val="21"/>
                <w:szCs w:val="21"/>
                <w:lang w:val="zh-CN"/>
              </w:rPr>
            </w:pPr>
            <w:r>
              <w:rPr>
                <w:color w:val="auto"/>
                <w:kern w:val="0"/>
                <w:sz w:val="21"/>
                <w:szCs w:val="21"/>
                <w:lang w:val="zh-CN"/>
              </w:rPr>
              <w:t>使含尘气体通过电极间的强烈电场，利用电晕放电使尘粒带电，借助库仑力，在集尘板上将尘粒捕集，使气体得到净化</w:t>
            </w:r>
          </w:p>
        </w:tc>
        <w:tc>
          <w:tcPr>
            <w:tcW w:w="1610" w:type="pct"/>
            <w:tcBorders>
              <w:tl2br w:val="nil"/>
              <w:tr2bl w:val="nil"/>
            </w:tcBorders>
            <w:vAlign w:val="center"/>
          </w:tcPr>
          <w:p w14:paraId="1B2CC027">
            <w:pPr>
              <w:widowControl/>
              <w:spacing w:line="240" w:lineRule="auto"/>
              <w:ind w:firstLine="420"/>
              <w:jc w:val="center"/>
              <w:rPr>
                <w:color w:val="auto"/>
                <w:kern w:val="0"/>
                <w:sz w:val="21"/>
                <w:szCs w:val="21"/>
                <w:lang w:val="zh-CN"/>
              </w:rPr>
            </w:pPr>
            <w:r>
              <w:rPr>
                <w:color w:val="auto"/>
                <w:kern w:val="0"/>
                <w:sz w:val="21"/>
                <w:szCs w:val="21"/>
                <w:lang w:val="zh-CN"/>
              </w:rPr>
              <w:t>80-99.9</w:t>
            </w:r>
          </w:p>
        </w:tc>
      </w:tr>
      <w:tr w14:paraId="289CF5C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 w:hRule="atLeast"/>
          <w:jc w:val="center"/>
        </w:trPr>
        <w:tc>
          <w:tcPr>
            <w:tcW w:w="1144" w:type="pct"/>
            <w:vMerge w:val="restart"/>
            <w:tcBorders>
              <w:tl2br w:val="nil"/>
              <w:tr2bl w:val="nil"/>
            </w:tcBorders>
            <w:vAlign w:val="center"/>
          </w:tcPr>
          <w:p w14:paraId="525B1F9F">
            <w:pPr>
              <w:widowControl/>
              <w:spacing w:line="240" w:lineRule="auto"/>
              <w:ind w:firstLine="420"/>
              <w:jc w:val="center"/>
              <w:rPr>
                <w:color w:val="auto"/>
                <w:kern w:val="0"/>
                <w:sz w:val="21"/>
                <w:szCs w:val="21"/>
                <w:lang w:val="zh-CN"/>
              </w:rPr>
            </w:pPr>
            <w:r>
              <w:rPr>
                <w:color w:val="auto"/>
                <w:kern w:val="0"/>
                <w:sz w:val="21"/>
                <w:szCs w:val="21"/>
                <w:lang w:val="zh-CN"/>
              </w:rPr>
              <w:t>过滤式除尘法</w:t>
            </w:r>
          </w:p>
        </w:tc>
        <w:tc>
          <w:tcPr>
            <w:tcW w:w="2245" w:type="pct"/>
            <w:vMerge w:val="restart"/>
            <w:tcBorders>
              <w:tl2br w:val="nil"/>
              <w:tr2bl w:val="nil"/>
            </w:tcBorders>
            <w:vAlign w:val="center"/>
          </w:tcPr>
          <w:p w14:paraId="0CD8EB22">
            <w:pPr>
              <w:widowControl/>
              <w:spacing w:line="240" w:lineRule="auto"/>
              <w:ind w:firstLine="420"/>
              <w:jc w:val="center"/>
              <w:rPr>
                <w:color w:val="auto"/>
                <w:kern w:val="0"/>
                <w:sz w:val="21"/>
                <w:szCs w:val="21"/>
                <w:lang w:val="zh-CN"/>
              </w:rPr>
            </w:pPr>
            <w:r>
              <w:rPr>
                <w:color w:val="auto"/>
                <w:kern w:val="0"/>
                <w:sz w:val="21"/>
                <w:szCs w:val="21"/>
                <w:lang w:val="zh-CN"/>
              </w:rPr>
              <w:t>使含尘气体通过滤料(如滤布)，把气流中的尘粒截留下来，使气体得到净化。</w:t>
            </w:r>
          </w:p>
        </w:tc>
        <w:tc>
          <w:tcPr>
            <w:tcW w:w="1610" w:type="pct"/>
            <w:tcBorders>
              <w:tl2br w:val="nil"/>
              <w:tr2bl w:val="nil"/>
            </w:tcBorders>
            <w:vAlign w:val="center"/>
          </w:tcPr>
          <w:p w14:paraId="78C13F0E">
            <w:pPr>
              <w:widowControl/>
              <w:spacing w:line="240" w:lineRule="auto"/>
              <w:ind w:firstLine="420"/>
              <w:jc w:val="center"/>
              <w:rPr>
                <w:color w:val="auto"/>
                <w:kern w:val="0"/>
                <w:sz w:val="21"/>
                <w:szCs w:val="21"/>
                <w:lang w:val="zh-CN"/>
              </w:rPr>
            </w:pPr>
            <w:r>
              <w:rPr>
                <w:color w:val="auto"/>
                <w:kern w:val="0"/>
                <w:sz w:val="21"/>
                <w:szCs w:val="21"/>
                <w:lang w:val="zh-CN"/>
              </w:rPr>
              <w:t>85-99(颗粒层除尘器)</w:t>
            </w:r>
          </w:p>
        </w:tc>
      </w:tr>
      <w:tr w14:paraId="4F96DC0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6" w:hRule="atLeast"/>
          <w:jc w:val="center"/>
        </w:trPr>
        <w:tc>
          <w:tcPr>
            <w:tcW w:w="1144" w:type="pct"/>
            <w:vMerge w:val="continue"/>
            <w:tcBorders>
              <w:tl2br w:val="nil"/>
              <w:tr2bl w:val="nil"/>
            </w:tcBorders>
            <w:vAlign w:val="center"/>
          </w:tcPr>
          <w:p w14:paraId="288D5FCF">
            <w:pPr>
              <w:widowControl/>
              <w:spacing w:line="240" w:lineRule="auto"/>
              <w:ind w:firstLine="420"/>
              <w:jc w:val="center"/>
              <w:rPr>
                <w:color w:val="auto"/>
                <w:kern w:val="0"/>
                <w:sz w:val="21"/>
                <w:szCs w:val="21"/>
                <w:lang w:val="zh-CN"/>
              </w:rPr>
            </w:pPr>
          </w:p>
        </w:tc>
        <w:tc>
          <w:tcPr>
            <w:tcW w:w="2245" w:type="pct"/>
            <w:vMerge w:val="continue"/>
            <w:tcBorders>
              <w:tl2br w:val="nil"/>
              <w:tr2bl w:val="nil"/>
            </w:tcBorders>
            <w:vAlign w:val="center"/>
          </w:tcPr>
          <w:p w14:paraId="52A1487D">
            <w:pPr>
              <w:widowControl/>
              <w:spacing w:line="240" w:lineRule="auto"/>
              <w:ind w:firstLine="420"/>
              <w:jc w:val="center"/>
              <w:rPr>
                <w:color w:val="auto"/>
                <w:kern w:val="0"/>
                <w:sz w:val="21"/>
                <w:szCs w:val="21"/>
                <w:lang w:val="zh-CN"/>
              </w:rPr>
            </w:pPr>
          </w:p>
        </w:tc>
        <w:tc>
          <w:tcPr>
            <w:tcW w:w="1610" w:type="pct"/>
            <w:tcBorders>
              <w:tl2br w:val="nil"/>
              <w:tr2bl w:val="nil"/>
            </w:tcBorders>
            <w:vAlign w:val="center"/>
          </w:tcPr>
          <w:p w14:paraId="1066B768">
            <w:pPr>
              <w:widowControl/>
              <w:spacing w:line="240" w:lineRule="auto"/>
              <w:ind w:firstLine="420"/>
              <w:jc w:val="center"/>
              <w:rPr>
                <w:color w:val="auto"/>
                <w:kern w:val="0"/>
                <w:sz w:val="21"/>
                <w:szCs w:val="21"/>
                <w:lang w:val="zh-CN"/>
              </w:rPr>
            </w:pPr>
            <w:r>
              <w:rPr>
                <w:color w:val="auto"/>
                <w:kern w:val="0"/>
                <w:sz w:val="21"/>
                <w:szCs w:val="21"/>
                <w:lang w:val="zh-CN"/>
              </w:rPr>
              <w:t>70-99.9(袋滤式除尘器)</w:t>
            </w:r>
          </w:p>
        </w:tc>
      </w:tr>
      <w:tr w14:paraId="51CBC68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 w:hRule="atLeast"/>
          <w:jc w:val="center"/>
        </w:trPr>
        <w:tc>
          <w:tcPr>
            <w:tcW w:w="1144" w:type="pct"/>
            <w:tcBorders>
              <w:tl2br w:val="nil"/>
              <w:tr2bl w:val="nil"/>
            </w:tcBorders>
            <w:vAlign w:val="center"/>
          </w:tcPr>
          <w:p w14:paraId="698320A6">
            <w:pPr>
              <w:widowControl/>
              <w:spacing w:line="240" w:lineRule="auto"/>
              <w:ind w:firstLine="420"/>
              <w:jc w:val="center"/>
              <w:rPr>
                <w:color w:val="auto"/>
                <w:kern w:val="0"/>
                <w:sz w:val="21"/>
                <w:szCs w:val="21"/>
                <w:lang w:val="zh-CN"/>
              </w:rPr>
            </w:pPr>
            <w:r>
              <w:rPr>
                <w:color w:val="auto"/>
                <w:kern w:val="0"/>
                <w:sz w:val="21"/>
                <w:szCs w:val="21"/>
                <w:lang w:val="zh-CN"/>
              </w:rPr>
              <w:t>单筒旋风除尘法</w:t>
            </w:r>
          </w:p>
        </w:tc>
        <w:tc>
          <w:tcPr>
            <w:tcW w:w="2245" w:type="pct"/>
            <w:vMerge w:val="restart"/>
            <w:tcBorders>
              <w:tl2br w:val="nil"/>
              <w:tr2bl w:val="nil"/>
            </w:tcBorders>
            <w:vAlign w:val="center"/>
          </w:tcPr>
          <w:p w14:paraId="66887E08">
            <w:pPr>
              <w:widowControl/>
              <w:spacing w:line="240" w:lineRule="auto"/>
              <w:ind w:firstLine="420"/>
              <w:jc w:val="center"/>
              <w:rPr>
                <w:color w:val="auto"/>
                <w:kern w:val="0"/>
                <w:sz w:val="21"/>
                <w:szCs w:val="21"/>
                <w:lang w:val="zh-CN"/>
              </w:rPr>
            </w:pPr>
            <w:r>
              <w:rPr>
                <w:color w:val="auto"/>
                <w:kern w:val="0"/>
                <w:sz w:val="21"/>
                <w:szCs w:val="21"/>
                <w:lang w:val="zh-CN"/>
              </w:rPr>
              <w:t>利用含尘气体流动速度，使气流在装置内作旋转运动，粒子在随气流旋转中获得离心力，导致粒子从气流中分离出来。</w:t>
            </w:r>
          </w:p>
        </w:tc>
        <w:tc>
          <w:tcPr>
            <w:tcW w:w="1610" w:type="pct"/>
            <w:tcBorders>
              <w:tl2br w:val="nil"/>
              <w:tr2bl w:val="nil"/>
            </w:tcBorders>
            <w:vAlign w:val="center"/>
          </w:tcPr>
          <w:p w14:paraId="1D57F12B">
            <w:pPr>
              <w:widowControl/>
              <w:spacing w:line="240" w:lineRule="auto"/>
              <w:ind w:firstLine="420"/>
              <w:jc w:val="center"/>
              <w:rPr>
                <w:color w:val="auto"/>
                <w:kern w:val="0"/>
                <w:sz w:val="21"/>
                <w:szCs w:val="21"/>
                <w:lang w:val="zh-CN"/>
              </w:rPr>
            </w:pPr>
            <w:r>
              <w:rPr>
                <w:color w:val="auto"/>
                <w:kern w:val="0"/>
                <w:sz w:val="21"/>
                <w:szCs w:val="21"/>
                <w:lang w:val="zh-CN"/>
              </w:rPr>
              <w:t>70-92</w:t>
            </w:r>
          </w:p>
        </w:tc>
      </w:tr>
      <w:tr w14:paraId="156E6FD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1" w:hRule="atLeast"/>
          <w:jc w:val="center"/>
        </w:trPr>
        <w:tc>
          <w:tcPr>
            <w:tcW w:w="1144" w:type="pct"/>
            <w:tcBorders>
              <w:tl2br w:val="nil"/>
              <w:tr2bl w:val="nil"/>
            </w:tcBorders>
            <w:vAlign w:val="center"/>
          </w:tcPr>
          <w:p w14:paraId="118CF773">
            <w:pPr>
              <w:widowControl/>
              <w:spacing w:line="240" w:lineRule="auto"/>
              <w:ind w:firstLine="420"/>
              <w:jc w:val="center"/>
              <w:rPr>
                <w:color w:val="auto"/>
                <w:kern w:val="0"/>
                <w:sz w:val="21"/>
                <w:szCs w:val="21"/>
                <w:lang w:val="zh-CN"/>
              </w:rPr>
            </w:pPr>
            <w:r>
              <w:rPr>
                <w:color w:val="auto"/>
                <w:kern w:val="0"/>
                <w:sz w:val="21"/>
                <w:szCs w:val="21"/>
                <w:lang w:val="zh-CN"/>
              </w:rPr>
              <w:t>多管旋风除尘法</w:t>
            </w:r>
          </w:p>
        </w:tc>
        <w:tc>
          <w:tcPr>
            <w:tcW w:w="2245" w:type="pct"/>
            <w:vMerge w:val="continue"/>
            <w:tcBorders>
              <w:tl2br w:val="nil"/>
              <w:tr2bl w:val="nil"/>
            </w:tcBorders>
            <w:vAlign w:val="center"/>
          </w:tcPr>
          <w:p w14:paraId="67FDC3A7">
            <w:pPr>
              <w:widowControl/>
              <w:spacing w:line="240" w:lineRule="auto"/>
              <w:ind w:firstLine="420"/>
              <w:jc w:val="center"/>
              <w:rPr>
                <w:color w:val="auto"/>
                <w:kern w:val="0"/>
                <w:sz w:val="21"/>
                <w:szCs w:val="21"/>
                <w:lang w:val="zh-CN"/>
              </w:rPr>
            </w:pPr>
          </w:p>
        </w:tc>
        <w:tc>
          <w:tcPr>
            <w:tcW w:w="1610" w:type="pct"/>
            <w:tcBorders>
              <w:tl2br w:val="nil"/>
              <w:tr2bl w:val="nil"/>
            </w:tcBorders>
            <w:vAlign w:val="center"/>
          </w:tcPr>
          <w:p w14:paraId="0D47C572">
            <w:pPr>
              <w:widowControl/>
              <w:spacing w:line="240" w:lineRule="auto"/>
              <w:ind w:firstLine="420"/>
              <w:jc w:val="center"/>
              <w:rPr>
                <w:color w:val="auto"/>
                <w:kern w:val="0"/>
                <w:sz w:val="21"/>
                <w:szCs w:val="21"/>
                <w:lang w:val="zh-CN"/>
              </w:rPr>
            </w:pPr>
            <w:r>
              <w:rPr>
                <w:color w:val="auto"/>
                <w:kern w:val="0"/>
                <w:sz w:val="21"/>
                <w:szCs w:val="21"/>
                <w:lang w:val="zh-CN"/>
              </w:rPr>
              <w:t>80-95</w:t>
            </w:r>
          </w:p>
        </w:tc>
      </w:tr>
    </w:tbl>
    <w:p w14:paraId="0C4E52F8">
      <w:pPr>
        <w:ind w:firstLine="480"/>
        <w:rPr>
          <w:color w:val="auto"/>
        </w:rPr>
      </w:pPr>
      <w:r>
        <w:rPr>
          <w:rFonts w:hint="eastAsia"/>
          <w:color w:val="auto"/>
        </w:rPr>
        <w:t>拟建项目干燥工序会产生含尘废气，以颗粒物为主，废气污染物种类、粉尘理化特性与现有项目干燥、粉碎包装工序产尘废气组分基本一致，1#车间配套设备自带布袋除尘器处置粉尘，该工艺属于过滤式除尘范畴，实际运行除尘效率稳定维持99%，除尘技术成熟、治理实绩可靠。从废气负荷来看，改建项目新增干燥废气增量可控，现有布袋除尘器设计处理风量、滤袋过滤面积、设备运行工况留有富余处理余量，可兼容新增干燥含尘废气的收集与净化需求；同时可依托现有密闭集气管路、负压捕集系统完成废气收集，废气捕集后接入车间原有布袋除尘装置协同处置。依托现有多年稳定运行实践，现有布袋除尘设施对拟建新增干燥含尘废气具备稳定高效的净化能力，废气经除尘后颗粒物排放浓度可满足排放标准管控要求，因此扩建项目干燥含尘废气依托现有设备自带布袋除尘器处理在技术、设备、运维层面均具备可行性。</w:t>
      </w:r>
    </w:p>
    <w:p w14:paraId="49232D4B">
      <w:pPr>
        <w:pStyle w:val="5"/>
        <w:spacing w:before="192"/>
        <w:rPr>
          <w:color w:val="auto"/>
        </w:rPr>
      </w:pPr>
      <w:r>
        <w:rPr>
          <w:rFonts w:hint="eastAsia"/>
          <w:color w:val="auto"/>
        </w:rPr>
        <w:t>7.2.1.3氨气工艺废气处理可行性分析</w:t>
      </w:r>
    </w:p>
    <w:p w14:paraId="21EEEC29">
      <w:pPr>
        <w:ind w:firstLine="480"/>
        <w:rPr>
          <w:color w:val="auto"/>
        </w:rPr>
      </w:pPr>
      <w:r>
        <w:rPr>
          <w:rFonts w:hint="eastAsia"/>
          <w:color w:val="auto"/>
        </w:rPr>
        <w:t>拟建</w:t>
      </w:r>
      <w:r>
        <w:rPr>
          <w:color w:val="auto"/>
        </w:rPr>
        <w:t>项目在硫代硫酸盐、</w:t>
      </w:r>
      <w:r>
        <w:rPr>
          <w:rFonts w:hint="eastAsia"/>
          <w:color w:val="auto"/>
        </w:rPr>
        <w:t>一水</w:t>
      </w:r>
      <w:r>
        <w:rPr>
          <w:color w:val="auto"/>
        </w:rPr>
        <w:t>亚硫酸铵生产过程中产生废气</w:t>
      </w:r>
      <w:r>
        <w:rPr>
          <w:rFonts w:hint="eastAsia"/>
          <w:color w:val="auto"/>
        </w:rPr>
        <w:t>氨气</w:t>
      </w:r>
      <w:r>
        <w:rPr>
          <w:color w:val="auto"/>
        </w:rPr>
        <w:t>，该部分废气经密闭收集后，依托厂区现有1#车间水喷淋吸收+3#车间三级碱吸收+水喷淋+电除雾组合废气处理装置进行净化处理，最终</w:t>
      </w:r>
      <w:r>
        <w:rPr>
          <w:rFonts w:hint="eastAsia"/>
          <w:color w:val="auto"/>
        </w:rPr>
        <w:t>经由</w:t>
      </w:r>
      <w:r>
        <w:rPr>
          <w:color w:val="auto"/>
        </w:rPr>
        <w:t>3#车间排气筒DA001达标排放。</w:t>
      </w:r>
    </w:p>
    <w:p w14:paraId="71DDFAE9">
      <w:pPr>
        <w:ind w:firstLine="480"/>
        <w:rPr>
          <w:color w:val="auto"/>
        </w:rPr>
      </w:pPr>
      <w:r>
        <w:rPr>
          <w:color w:val="auto"/>
        </w:rPr>
        <w:t>目前工业含氨废气主流治理技术包括水吸收法、酸吸收法、碱液吸收法、物理吸附法、冷凝回收法及喷淋洗涤法等，各类技术在适用范围、处理效率、运行成本及资源化能力方面存在明显差异。其中多级碱液喷淋吸收+电除雾组合工艺因气液接触充分、处理效率高、运行稳定、抗负荷波动能力强、可实现氨资源化回收，在无机化工、硫代硫酸盐、亚硫酸盐、铵盐生产行业中应用最为广泛，技术成熟度高、工程实绩充分。</w:t>
      </w:r>
      <w:r>
        <w:rPr>
          <w:rFonts w:hint="eastAsia"/>
          <w:color w:val="auto"/>
        </w:rPr>
        <w:t>拟建</w:t>
      </w:r>
      <w:r>
        <w:rPr>
          <w:color w:val="auto"/>
        </w:rPr>
        <w:t>项目废气以NH</w:t>
      </w:r>
      <w:r>
        <w:rPr>
          <w:rFonts w:hint="eastAsia"/>
          <w:color w:val="auto"/>
          <w:vertAlign w:val="subscript"/>
        </w:rPr>
        <w:t>3</w:t>
      </w:r>
      <w:r>
        <w:rPr>
          <w:color w:val="auto"/>
        </w:rPr>
        <w:t>为特征污染因子，氨气极易溶于水、易在碱性体系中被捕集与固定，与“水喷淋+三级碱吸收+水喷淋+电除雾”工艺匹配度极高。喷淋塔为气液相传质效率高、压力损失较低的经典吸收设备，主要由塔体、循环液箱、喷淋系统、填料层、气液分离器及pH自动控制系统构成。含氨废气在引风机作用下由塔底进入，依次经过前置水喷淋预洗、三级碱液逆流吸收、加碱水喷淋深度净化，在填料表面形成连续稳定液膜，显著增大气液接触面积与传质效率，使气相中氨污染物快速转移至液相并被高效吸收；末端电除雾装置可高效去除尾气中夹带的液滴、铵盐气溶胶及细微雾沫，避免尾气带液造成氨逃逸，保障出口浓度稳定。该组合工艺通过前置预降负荷、多级梯度吸收、终端除雾的协同作用，对氨气的综合去除效率可达99%，处理效率高、运行稳定可靠，可充分应对项目生产过程中产生的氨废气。</w:t>
      </w:r>
    </w:p>
    <w:p w14:paraId="6B31D988">
      <w:pPr>
        <w:ind w:firstLine="480"/>
        <w:rPr>
          <w:color w:val="auto"/>
        </w:rPr>
      </w:pPr>
      <w:r>
        <w:rPr>
          <w:rFonts w:hint="eastAsia"/>
          <w:color w:val="auto"/>
        </w:rPr>
        <w:t>由于拟建</w:t>
      </w:r>
      <w:r>
        <w:rPr>
          <w:color w:val="auto"/>
        </w:rPr>
        <w:t>项目产生的氨气废气组分单一、浓度波动小、产生气量可控，污染物种类、浓度水平与现有项目氨废气基本一致，现有处理装置的设计风量、吸收级数、循环液量、设备运行负荷均留有充足余量，可完全接纳</w:t>
      </w:r>
      <w:r>
        <w:rPr>
          <w:rFonts w:hint="eastAsia"/>
          <w:color w:val="auto"/>
        </w:rPr>
        <w:t>拟建</w:t>
      </w:r>
      <w:r>
        <w:rPr>
          <w:color w:val="auto"/>
        </w:rPr>
        <w:t>新增废气负荷，无需新增主体治理设备。根据2024年以来启东市清源环境检测技术有限公司对现有项目有组织废气的例行监测数据，DA001排气筒氨排放浓度、排放速率均能稳定满足《无机化学工业污染物排放标准》（GB 31573-2015）表4特别排放限值要求</w:t>
      </w:r>
      <w:r>
        <w:rPr>
          <w:rFonts w:hint="eastAsia"/>
          <w:color w:val="auto"/>
        </w:rPr>
        <w:t>（详见下表）</w:t>
      </w:r>
      <w:r>
        <w:rPr>
          <w:color w:val="auto"/>
        </w:rPr>
        <w:t>，现有装置长期运行稳定、治理效果可靠。同时，本套处理系统可在废气净化过程中持续对循环母液进行氨水富集与回收，副产氨水可直接作为</w:t>
      </w:r>
      <w:r>
        <w:rPr>
          <w:rFonts w:hint="eastAsia"/>
          <w:color w:val="auto"/>
        </w:rPr>
        <w:t>现有项目中</w:t>
      </w:r>
      <w:r>
        <w:rPr>
          <w:color w:val="auto"/>
        </w:rPr>
        <w:t>盐酸</w:t>
      </w:r>
      <w:r>
        <w:rPr>
          <w:rFonts w:hint="eastAsia"/>
          <w:color w:val="auto"/>
        </w:rPr>
        <w:t>（硫酸）</w:t>
      </w:r>
      <w:r>
        <w:rPr>
          <w:color w:val="auto"/>
        </w:rPr>
        <w:t>苯肼生产原料回用于生产工序，实现污染物资源化利用，显著降低原辅材料消耗与废水处理负荷，兼具环境效益、经济效益与社会效益。综上，</w:t>
      </w:r>
      <w:r>
        <w:rPr>
          <w:rFonts w:hint="eastAsia"/>
          <w:color w:val="auto"/>
        </w:rPr>
        <w:t>拟建</w:t>
      </w:r>
      <w:r>
        <w:rPr>
          <w:color w:val="auto"/>
        </w:rPr>
        <w:t>氨气废气依托现有</w:t>
      </w:r>
      <w:r>
        <w:rPr>
          <w:rFonts w:hint="eastAsia"/>
          <w:color w:val="auto"/>
        </w:rPr>
        <w:t>“</w:t>
      </w:r>
      <w:r>
        <w:rPr>
          <w:color w:val="auto"/>
        </w:rPr>
        <w:t>水喷淋+三级碱吸收+水喷淋+电除雾</w:t>
      </w:r>
      <w:r>
        <w:rPr>
          <w:rFonts w:hint="eastAsia"/>
          <w:color w:val="auto"/>
        </w:rPr>
        <w:t>”</w:t>
      </w:r>
      <w:r>
        <w:rPr>
          <w:color w:val="auto"/>
        </w:rPr>
        <w:t>装置处理，在工艺适配性、处理效率、设备容量、运行稳定性、达标可靠性</w:t>
      </w:r>
      <w:r>
        <w:rPr>
          <w:rFonts w:hint="eastAsia"/>
          <w:color w:val="auto"/>
        </w:rPr>
        <w:t>和</w:t>
      </w:r>
      <w:r>
        <w:rPr>
          <w:color w:val="auto"/>
        </w:rPr>
        <w:t>资源化可行性等方面均具备充分可行性。</w:t>
      </w:r>
    </w:p>
    <w:p w14:paraId="69F726BA">
      <w:pPr>
        <w:pStyle w:val="49"/>
        <w:rPr>
          <w:color w:val="auto"/>
        </w:rPr>
      </w:pPr>
      <w:r>
        <w:rPr>
          <w:rFonts w:hint="eastAsia"/>
          <w:color w:val="auto"/>
        </w:rPr>
        <w:t>表7.2.2  有组织废气污染物排放监测结果</w:t>
      </w:r>
    </w:p>
    <w:tbl>
      <w:tblPr>
        <w:tblStyle w:val="24"/>
        <w:tblW w:w="4997"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26"/>
        <w:gridCol w:w="1359"/>
        <w:gridCol w:w="1889"/>
        <w:gridCol w:w="1816"/>
        <w:gridCol w:w="1225"/>
        <w:gridCol w:w="1251"/>
        <w:gridCol w:w="1081"/>
      </w:tblGrid>
      <w:tr w14:paraId="37B9310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noWrap/>
            <w:vAlign w:val="center"/>
          </w:tcPr>
          <w:p w14:paraId="4EF6DB6D">
            <w:pPr>
              <w:widowControl/>
              <w:spacing w:line="240" w:lineRule="auto"/>
              <w:ind w:firstLine="0" w:firstLineChars="0"/>
              <w:jc w:val="center"/>
              <w:rPr>
                <w:b/>
                <w:color w:val="auto"/>
                <w:kern w:val="0"/>
                <w:sz w:val="21"/>
                <w:szCs w:val="21"/>
              </w:rPr>
            </w:pPr>
            <w:r>
              <w:rPr>
                <w:b/>
                <w:color w:val="auto"/>
                <w:kern w:val="0"/>
                <w:sz w:val="21"/>
                <w:szCs w:val="21"/>
              </w:rPr>
              <w:t>采样日期</w:t>
            </w:r>
          </w:p>
        </w:tc>
        <w:tc>
          <w:tcPr>
            <w:tcW w:w="690" w:type="pct"/>
            <w:tcBorders>
              <w:tl2br w:val="nil"/>
              <w:tr2bl w:val="nil"/>
            </w:tcBorders>
            <w:noWrap/>
            <w:vAlign w:val="center"/>
          </w:tcPr>
          <w:p w14:paraId="031A2F7E">
            <w:pPr>
              <w:widowControl/>
              <w:spacing w:line="240" w:lineRule="auto"/>
              <w:ind w:firstLine="0" w:firstLineChars="0"/>
              <w:jc w:val="center"/>
              <w:rPr>
                <w:b/>
                <w:color w:val="auto"/>
                <w:kern w:val="0"/>
                <w:sz w:val="21"/>
                <w:szCs w:val="21"/>
              </w:rPr>
            </w:pPr>
            <w:r>
              <w:rPr>
                <w:rFonts w:hint="eastAsia"/>
                <w:b/>
                <w:color w:val="auto"/>
                <w:kern w:val="0"/>
                <w:sz w:val="21"/>
                <w:szCs w:val="21"/>
              </w:rPr>
              <w:t>2025.4.11</w:t>
            </w:r>
          </w:p>
        </w:tc>
        <w:tc>
          <w:tcPr>
            <w:tcW w:w="958" w:type="pct"/>
            <w:tcBorders>
              <w:tl2br w:val="nil"/>
              <w:tr2bl w:val="nil"/>
            </w:tcBorders>
            <w:noWrap/>
            <w:vAlign w:val="center"/>
          </w:tcPr>
          <w:p w14:paraId="60203822">
            <w:pPr>
              <w:widowControl/>
              <w:spacing w:line="240" w:lineRule="auto"/>
              <w:ind w:firstLine="0" w:firstLineChars="0"/>
              <w:jc w:val="center"/>
              <w:rPr>
                <w:b/>
                <w:color w:val="auto"/>
                <w:kern w:val="0"/>
                <w:sz w:val="21"/>
                <w:szCs w:val="21"/>
              </w:rPr>
            </w:pPr>
            <w:r>
              <w:rPr>
                <w:b/>
                <w:color w:val="auto"/>
                <w:kern w:val="0"/>
                <w:sz w:val="21"/>
                <w:szCs w:val="21"/>
              </w:rPr>
              <w:t>标干流量(m</w:t>
            </w:r>
            <w:r>
              <w:rPr>
                <w:b/>
                <w:color w:val="auto"/>
                <w:kern w:val="0"/>
                <w:sz w:val="21"/>
                <w:szCs w:val="21"/>
                <w:vertAlign w:val="superscript"/>
              </w:rPr>
              <w:t>3</w:t>
            </w:r>
            <w:r>
              <w:rPr>
                <w:b/>
                <w:color w:val="auto"/>
                <w:kern w:val="0"/>
                <w:sz w:val="21"/>
                <w:szCs w:val="21"/>
              </w:rPr>
              <w:t>/h)</w:t>
            </w:r>
          </w:p>
        </w:tc>
        <w:tc>
          <w:tcPr>
            <w:tcW w:w="921" w:type="pct"/>
            <w:tcBorders>
              <w:tl2br w:val="nil"/>
              <w:tr2bl w:val="nil"/>
            </w:tcBorders>
            <w:noWrap/>
            <w:vAlign w:val="center"/>
          </w:tcPr>
          <w:p w14:paraId="60387612">
            <w:pPr>
              <w:widowControl/>
              <w:spacing w:line="240" w:lineRule="auto"/>
              <w:ind w:firstLine="0" w:firstLineChars="0"/>
              <w:jc w:val="center"/>
              <w:rPr>
                <w:b/>
                <w:color w:val="auto"/>
                <w:kern w:val="0"/>
                <w:sz w:val="21"/>
                <w:szCs w:val="21"/>
              </w:rPr>
            </w:pPr>
            <w:r>
              <w:rPr>
                <w:rFonts w:hint="eastAsia"/>
                <w:b/>
                <w:color w:val="auto"/>
                <w:kern w:val="0"/>
                <w:sz w:val="21"/>
                <w:szCs w:val="21"/>
              </w:rPr>
              <w:t>6240</w:t>
            </w:r>
          </w:p>
        </w:tc>
        <w:tc>
          <w:tcPr>
            <w:tcW w:w="1257" w:type="pct"/>
            <w:gridSpan w:val="2"/>
            <w:tcBorders>
              <w:tl2br w:val="nil"/>
              <w:tr2bl w:val="nil"/>
            </w:tcBorders>
            <w:noWrap/>
            <w:vAlign w:val="center"/>
          </w:tcPr>
          <w:p w14:paraId="1E9EF295">
            <w:pPr>
              <w:widowControl/>
              <w:spacing w:line="240" w:lineRule="auto"/>
              <w:ind w:firstLine="0" w:firstLineChars="0"/>
              <w:jc w:val="center"/>
              <w:rPr>
                <w:b/>
                <w:color w:val="auto"/>
                <w:kern w:val="0"/>
                <w:sz w:val="21"/>
                <w:szCs w:val="21"/>
              </w:rPr>
            </w:pPr>
            <w:r>
              <w:rPr>
                <w:b/>
                <w:color w:val="auto"/>
                <w:kern w:val="0"/>
                <w:sz w:val="21"/>
                <w:szCs w:val="21"/>
              </w:rPr>
              <w:t>排放标准</w:t>
            </w:r>
          </w:p>
        </w:tc>
        <w:tc>
          <w:tcPr>
            <w:tcW w:w="549" w:type="pct"/>
            <w:vMerge w:val="restart"/>
            <w:tcBorders>
              <w:tl2br w:val="nil"/>
              <w:tr2bl w:val="nil"/>
            </w:tcBorders>
            <w:noWrap/>
            <w:vAlign w:val="center"/>
          </w:tcPr>
          <w:p w14:paraId="7177B616">
            <w:pPr>
              <w:widowControl/>
              <w:spacing w:line="240" w:lineRule="auto"/>
              <w:ind w:firstLine="0" w:firstLineChars="0"/>
              <w:jc w:val="center"/>
              <w:rPr>
                <w:b/>
                <w:color w:val="auto"/>
                <w:kern w:val="0"/>
                <w:sz w:val="21"/>
                <w:szCs w:val="21"/>
              </w:rPr>
            </w:pPr>
            <w:r>
              <w:rPr>
                <w:rFonts w:hint="eastAsia"/>
                <w:b/>
                <w:color w:val="auto"/>
                <w:kern w:val="0"/>
                <w:sz w:val="21"/>
                <w:szCs w:val="21"/>
              </w:rPr>
              <w:t>达标分析</w:t>
            </w:r>
          </w:p>
        </w:tc>
      </w:tr>
      <w:tr w14:paraId="43AF4ED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noWrap/>
            <w:vAlign w:val="center"/>
          </w:tcPr>
          <w:p w14:paraId="2E52D104">
            <w:pPr>
              <w:widowControl/>
              <w:spacing w:line="240" w:lineRule="auto"/>
              <w:ind w:firstLine="0" w:firstLineChars="0"/>
              <w:jc w:val="center"/>
              <w:rPr>
                <w:bCs/>
                <w:color w:val="auto"/>
                <w:kern w:val="0"/>
                <w:sz w:val="21"/>
                <w:szCs w:val="21"/>
              </w:rPr>
            </w:pPr>
            <w:r>
              <w:rPr>
                <w:bCs/>
                <w:color w:val="auto"/>
                <w:kern w:val="0"/>
                <w:sz w:val="21"/>
                <w:szCs w:val="21"/>
              </w:rPr>
              <w:t>点位名称</w:t>
            </w:r>
          </w:p>
        </w:tc>
        <w:tc>
          <w:tcPr>
            <w:tcW w:w="690" w:type="pct"/>
            <w:tcBorders>
              <w:tl2br w:val="nil"/>
              <w:tr2bl w:val="nil"/>
            </w:tcBorders>
            <w:noWrap/>
            <w:vAlign w:val="center"/>
          </w:tcPr>
          <w:p w14:paraId="3BA950EB">
            <w:pPr>
              <w:widowControl/>
              <w:spacing w:line="240" w:lineRule="auto"/>
              <w:ind w:firstLine="0" w:firstLineChars="0"/>
              <w:jc w:val="center"/>
              <w:rPr>
                <w:bCs/>
                <w:color w:val="auto"/>
                <w:kern w:val="0"/>
                <w:sz w:val="21"/>
                <w:szCs w:val="21"/>
              </w:rPr>
            </w:pPr>
            <w:r>
              <w:rPr>
                <w:bCs/>
                <w:color w:val="auto"/>
                <w:kern w:val="0"/>
                <w:sz w:val="21"/>
                <w:szCs w:val="21"/>
              </w:rPr>
              <w:t>检测项目</w:t>
            </w:r>
          </w:p>
        </w:tc>
        <w:tc>
          <w:tcPr>
            <w:tcW w:w="958" w:type="pct"/>
            <w:tcBorders>
              <w:tl2br w:val="nil"/>
              <w:tr2bl w:val="nil"/>
            </w:tcBorders>
            <w:noWrap/>
            <w:vAlign w:val="center"/>
          </w:tcPr>
          <w:p w14:paraId="79D9C0FE">
            <w:pPr>
              <w:widowControl/>
              <w:spacing w:line="240" w:lineRule="auto"/>
              <w:ind w:firstLine="0" w:firstLineChars="0"/>
              <w:jc w:val="center"/>
              <w:rPr>
                <w:bCs/>
                <w:color w:val="auto"/>
                <w:kern w:val="0"/>
                <w:sz w:val="21"/>
                <w:szCs w:val="21"/>
              </w:rPr>
            </w:pPr>
            <w:r>
              <w:rPr>
                <w:bCs/>
                <w:color w:val="auto"/>
                <w:kern w:val="0"/>
                <w:sz w:val="21"/>
                <w:szCs w:val="21"/>
              </w:rPr>
              <w:t>排放浓度(mg/m</w:t>
            </w:r>
            <w:r>
              <w:rPr>
                <w:bCs/>
                <w:color w:val="auto"/>
                <w:kern w:val="0"/>
                <w:sz w:val="21"/>
                <w:szCs w:val="21"/>
                <w:vertAlign w:val="superscript"/>
              </w:rPr>
              <w:t>3</w:t>
            </w:r>
            <w:r>
              <w:rPr>
                <w:bCs/>
                <w:color w:val="auto"/>
                <w:kern w:val="0"/>
                <w:sz w:val="21"/>
                <w:szCs w:val="21"/>
              </w:rPr>
              <w:t>)</w:t>
            </w:r>
          </w:p>
        </w:tc>
        <w:tc>
          <w:tcPr>
            <w:tcW w:w="921" w:type="pct"/>
            <w:tcBorders>
              <w:tl2br w:val="nil"/>
              <w:tr2bl w:val="nil"/>
            </w:tcBorders>
            <w:noWrap/>
            <w:vAlign w:val="center"/>
          </w:tcPr>
          <w:p w14:paraId="23C6A04F">
            <w:pPr>
              <w:widowControl/>
              <w:spacing w:line="240" w:lineRule="auto"/>
              <w:ind w:firstLine="0" w:firstLineChars="0"/>
              <w:jc w:val="center"/>
              <w:rPr>
                <w:bCs/>
                <w:color w:val="auto"/>
                <w:kern w:val="0"/>
                <w:sz w:val="21"/>
                <w:szCs w:val="21"/>
              </w:rPr>
            </w:pPr>
            <w:r>
              <w:rPr>
                <w:bCs/>
                <w:color w:val="auto"/>
                <w:kern w:val="0"/>
                <w:sz w:val="21"/>
                <w:szCs w:val="21"/>
              </w:rPr>
              <w:t>排放速率(kg/h)</w:t>
            </w:r>
          </w:p>
        </w:tc>
        <w:tc>
          <w:tcPr>
            <w:tcW w:w="622" w:type="pct"/>
            <w:tcBorders>
              <w:tl2br w:val="nil"/>
              <w:tr2bl w:val="nil"/>
            </w:tcBorders>
            <w:vAlign w:val="center"/>
          </w:tcPr>
          <w:p w14:paraId="47B5C604">
            <w:pPr>
              <w:widowControl/>
              <w:spacing w:line="240" w:lineRule="auto"/>
              <w:ind w:firstLine="0" w:firstLineChars="0"/>
              <w:jc w:val="center"/>
              <w:rPr>
                <w:bCs/>
                <w:color w:val="auto"/>
                <w:kern w:val="0"/>
                <w:sz w:val="21"/>
                <w:szCs w:val="21"/>
              </w:rPr>
            </w:pPr>
            <w:r>
              <w:rPr>
                <w:bCs/>
                <w:color w:val="auto"/>
                <w:kern w:val="0"/>
                <w:sz w:val="21"/>
                <w:szCs w:val="21"/>
              </w:rPr>
              <w:t>排放浓度(mg/m</w:t>
            </w:r>
            <w:r>
              <w:rPr>
                <w:bCs/>
                <w:color w:val="auto"/>
                <w:kern w:val="0"/>
                <w:sz w:val="21"/>
                <w:szCs w:val="21"/>
                <w:vertAlign w:val="superscript"/>
              </w:rPr>
              <w:t>3</w:t>
            </w:r>
            <w:r>
              <w:rPr>
                <w:bCs/>
                <w:color w:val="auto"/>
                <w:kern w:val="0"/>
                <w:sz w:val="21"/>
                <w:szCs w:val="21"/>
              </w:rPr>
              <w:t>)</w:t>
            </w:r>
          </w:p>
        </w:tc>
        <w:tc>
          <w:tcPr>
            <w:tcW w:w="635" w:type="pct"/>
            <w:tcBorders>
              <w:tl2br w:val="nil"/>
              <w:tr2bl w:val="nil"/>
            </w:tcBorders>
            <w:vAlign w:val="center"/>
          </w:tcPr>
          <w:p w14:paraId="2CF205C9">
            <w:pPr>
              <w:widowControl/>
              <w:spacing w:line="240" w:lineRule="auto"/>
              <w:ind w:firstLine="0" w:firstLineChars="0"/>
              <w:jc w:val="center"/>
              <w:rPr>
                <w:bCs/>
                <w:color w:val="auto"/>
                <w:kern w:val="0"/>
                <w:sz w:val="21"/>
                <w:szCs w:val="21"/>
              </w:rPr>
            </w:pPr>
            <w:r>
              <w:rPr>
                <w:bCs/>
                <w:color w:val="auto"/>
                <w:kern w:val="0"/>
                <w:sz w:val="21"/>
                <w:szCs w:val="21"/>
              </w:rPr>
              <w:t>排放速率(kg/h)</w:t>
            </w:r>
          </w:p>
        </w:tc>
        <w:tc>
          <w:tcPr>
            <w:tcW w:w="549" w:type="pct"/>
            <w:vMerge w:val="continue"/>
            <w:tcBorders>
              <w:tl2br w:val="nil"/>
              <w:tr2bl w:val="nil"/>
            </w:tcBorders>
            <w:vAlign w:val="center"/>
          </w:tcPr>
          <w:p w14:paraId="58BB00DE">
            <w:pPr>
              <w:widowControl/>
              <w:spacing w:line="240" w:lineRule="auto"/>
              <w:ind w:firstLine="0" w:firstLineChars="0"/>
              <w:jc w:val="center"/>
              <w:rPr>
                <w:bCs/>
                <w:color w:val="auto"/>
                <w:kern w:val="0"/>
                <w:sz w:val="21"/>
                <w:szCs w:val="21"/>
              </w:rPr>
            </w:pPr>
          </w:p>
        </w:tc>
      </w:tr>
      <w:tr w14:paraId="4AE567D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22" w:type="pct"/>
            <w:tcBorders>
              <w:tl2br w:val="nil"/>
              <w:tr2bl w:val="nil"/>
            </w:tcBorders>
            <w:vAlign w:val="center"/>
          </w:tcPr>
          <w:p w14:paraId="200D4728">
            <w:pPr>
              <w:widowControl/>
              <w:spacing w:line="240" w:lineRule="auto"/>
              <w:ind w:firstLine="0" w:firstLineChars="0"/>
              <w:jc w:val="center"/>
              <w:rPr>
                <w:color w:val="auto"/>
                <w:kern w:val="0"/>
                <w:sz w:val="21"/>
                <w:szCs w:val="21"/>
              </w:rPr>
            </w:pPr>
            <w:r>
              <w:rPr>
                <w:rFonts w:hint="eastAsia"/>
                <w:color w:val="auto"/>
                <w:kern w:val="0"/>
                <w:sz w:val="21"/>
                <w:szCs w:val="21"/>
              </w:rPr>
              <w:t>DA001</w:t>
            </w:r>
          </w:p>
        </w:tc>
        <w:tc>
          <w:tcPr>
            <w:tcW w:w="690" w:type="pct"/>
            <w:tcBorders>
              <w:tl2br w:val="nil"/>
              <w:tr2bl w:val="nil"/>
            </w:tcBorders>
            <w:noWrap/>
            <w:vAlign w:val="center"/>
          </w:tcPr>
          <w:p w14:paraId="79730023">
            <w:pPr>
              <w:widowControl/>
              <w:spacing w:line="240" w:lineRule="auto"/>
              <w:ind w:firstLine="0" w:firstLineChars="0"/>
              <w:jc w:val="center"/>
              <w:rPr>
                <w:color w:val="auto"/>
                <w:kern w:val="0"/>
                <w:sz w:val="21"/>
                <w:szCs w:val="21"/>
              </w:rPr>
            </w:pPr>
            <w:r>
              <w:rPr>
                <w:color w:val="auto"/>
                <w:kern w:val="0"/>
                <w:sz w:val="21"/>
                <w:szCs w:val="21"/>
              </w:rPr>
              <w:t>氨</w:t>
            </w:r>
          </w:p>
        </w:tc>
        <w:tc>
          <w:tcPr>
            <w:tcW w:w="958" w:type="pct"/>
            <w:tcBorders>
              <w:tl2br w:val="nil"/>
              <w:tr2bl w:val="nil"/>
            </w:tcBorders>
            <w:noWrap/>
            <w:vAlign w:val="center"/>
          </w:tcPr>
          <w:p w14:paraId="6385624E">
            <w:pPr>
              <w:widowControl/>
              <w:spacing w:line="240" w:lineRule="auto"/>
              <w:ind w:firstLine="0" w:firstLineChars="0"/>
              <w:jc w:val="center"/>
              <w:rPr>
                <w:color w:val="auto"/>
                <w:kern w:val="0"/>
                <w:sz w:val="21"/>
                <w:szCs w:val="21"/>
              </w:rPr>
            </w:pPr>
            <w:r>
              <w:rPr>
                <w:rFonts w:hint="eastAsia"/>
                <w:color w:val="auto"/>
                <w:kern w:val="0"/>
                <w:sz w:val="21"/>
                <w:szCs w:val="21"/>
              </w:rPr>
              <w:t>4.08</w:t>
            </w:r>
          </w:p>
        </w:tc>
        <w:tc>
          <w:tcPr>
            <w:tcW w:w="921" w:type="pct"/>
            <w:tcBorders>
              <w:tl2br w:val="nil"/>
              <w:tr2bl w:val="nil"/>
            </w:tcBorders>
            <w:noWrap/>
          </w:tcPr>
          <w:p w14:paraId="33F5199C">
            <w:pPr>
              <w:widowControl/>
              <w:spacing w:line="240" w:lineRule="auto"/>
              <w:ind w:firstLine="0" w:firstLineChars="0"/>
              <w:jc w:val="center"/>
              <w:rPr>
                <w:color w:val="auto"/>
                <w:kern w:val="0"/>
                <w:sz w:val="21"/>
                <w:szCs w:val="21"/>
              </w:rPr>
            </w:pPr>
            <w:r>
              <w:rPr>
                <w:rFonts w:hint="eastAsia"/>
                <w:color w:val="auto"/>
                <w:kern w:val="0"/>
                <w:sz w:val="21"/>
                <w:szCs w:val="21"/>
              </w:rPr>
              <w:t>2.55</w:t>
            </w:r>
            <w:r>
              <w:rPr>
                <w:color w:val="auto"/>
                <w:kern w:val="0"/>
                <w:sz w:val="21"/>
                <w:szCs w:val="21"/>
              </w:rPr>
              <w:t>×10</w:t>
            </w:r>
            <w:r>
              <w:rPr>
                <w:color w:val="auto"/>
                <w:kern w:val="0"/>
                <w:sz w:val="21"/>
                <w:szCs w:val="21"/>
                <w:vertAlign w:val="superscript"/>
              </w:rPr>
              <w:t>-2</w:t>
            </w:r>
          </w:p>
        </w:tc>
        <w:tc>
          <w:tcPr>
            <w:tcW w:w="622" w:type="pct"/>
            <w:tcBorders>
              <w:tl2br w:val="nil"/>
              <w:tr2bl w:val="nil"/>
            </w:tcBorders>
            <w:noWrap/>
            <w:vAlign w:val="center"/>
          </w:tcPr>
          <w:p w14:paraId="24823112">
            <w:pPr>
              <w:widowControl/>
              <w:spacing w:line="240" w:lineRule="auto"/>
              <w:ind w:firstLine="0" w:firstLineChars="0"/>
              <w:jc w:val="center"/>
              <w:rPr>
                <w:color w:val="auto"/>
                <w:kern w:val="0"/>
                <w:sz w:val="21"/>
                <w:szCs w:val="21"/>
              </w:rPr>
            </w:pPr>
            <w:r>
              <w:rPr>
                <w:rFonts w:hint="eastAsia"/>
                <w:color w:val="auto"/>
                <w:kern w:val="0"/>
                <w:sz w:val="21"/>
                <w:szCs w:val="21"/>
              </w:rPr>
              <w:t>10</w:t>
            </w:r>
          </w:p>
        </w:tc>
        <w:tc>
          <w:tcPr>
            <w:tcW w:w="635" w:type="pct"/>
            <w:tcBorders>
              <w:tl2br w:val="nil"/>
              <w:tr2bl w:val="nil"/>
            </w:tcBorders>
            <w:noWrap/>
            <w:vAlign w:val="center"/>
          </w:tcPr>
          <w:p w14:paraId="6CE763F7">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549" w:type="pct"/>
            <w:tcBorders>
              <w:tl2br w:val="nil"/>
              <w:tr2bl w:val="nil"/>
            </w:tcBorders>
            <w:noWrap/>
            <w:vAlign w:val="center"/>
          </w:tcPr>
          <w:p w14:paraId="373071F3">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bl>
    <w:p w14:paraId="7973BA7D">
      <w:pPr>
        <w:ind w:firstLine="480"/>
        <w:rPr>
          <w:color w:val="auto"/>
        </w:rPr>
      </w:pPr>
    </w:p>
    <w:p w14:paraId="5DE6E41F">
      <w:pPr>
        <w:pStyle w:val="5"/>
        <w:spacing w:before="192"/>
        <w:rPr>
          <w:color w:val="auto"/>
        </w:rPr>
      </w:pPr>
      <w:r>
        <w:rPr>
          <w:rFonts w:hint="eastAsia"/>
          <w:color w:val="auto"/>
        </w:rPr>
        <w:t>7.2.1.4氨水储罐呼吸废气处理可行性分析</w:t>
      </w:r>
    </w:p>
    <w:p w14:paraId="4725FDB7">
      <w:pPr>
        <w:ind w:firstLine="480"/>
        <w:rPr>
          <w:color w:val="auto"/>
        </w:rPr>
      </w:pPr>
      <w:r>
        <w:rPr>
          <w:color w:val="auto"/>
        </w:rPr>
        <w:t>现有项目</w:t>
      </w:r>
      <w:r>
        <w:rPr>
          <w:rFonts w:hint="eastAsia"/>
          <w:color w:val="auto"/>
        </w:rPr>
        <w:t>未评价</w:t>
      </w:r>
      <w:r>
        <w:rPr>
          <w:color w:val="auto"/>
        </w:rPr>
        <w:t>全厂氨水储罐呼吸废气，本次评价补充</w:t>
      </w:r>
      <w:r>
        <w:rPr>
          <w:rFonts w:hint="eastAsia"/>
          <w:color w:val="auto"/>
        </w:rPr>
        <w:t>评价</w:t>
      </w:r>
      <w:r>
        <w:rPr>
          <w:color w:val="auto"/>
        </w:rPr>
        <w:t>氨水储罐大、小呼吸产生的含氨废气，罐区废气依托配套罐顶吸收装置协同处置。</w:t>
      </w:r>
    </w:p>
    <w:p w14:paraId="34301EAF">
      <w:pPr>
        <w:ind w:firstLine="480"/>
        <w:rPr>
          <w:color w:val="auto"/>
        </w:rPr>
      </w:pPr>
      <w:r>
        <w:rPr>
          <w:color w:val="auto"/>
        </w:rPr>
        <w:t>目前氨水储罐呼吸废气</w:t>
      </w:r>
      <w:r>
        <w:rPr>
          <w:rFonts w:hint="eastAsia"/>
          <w:color w:val="auto"/>
        </w:rPr>
        <w:t>主流处理处置</w:t>
      </w:r>
      <w:r>
        <w:rPr>
          <w:color w:val="auto"/>
        </w:rPr>
        <w:t>方式</w:t>
      </w:r>
      <w:r>
        <w:rPr>
          <w:rFonts w:hint="eastAsia"/>
          <w:color w:val="auto"/>
        </w:rPr>
        <w:t>包括</w:t>
      </w:r>
      <w:r>
        <w:rPr>
          <w:color w:val="auto"/>
        </w:rPr>
        <w:t>罐顶冷凝回收、水喷淋吸收、多级液相洗涤、吸附回收等工艺，其中罐顶密闭引风+喷淋吸收为无机化工氨水储罐最</w:t>
      </w:r>
      <w:r>
        <w:rPr>
          <w:rFonts w:hint="eastAsia"/>
          <w:color w:val="auto"/>
        </w:rPr>
        <w:t>常用回收处理</w:t>
      </w:r>
      <w:r>
        <w:rPr>
          <w:color w:val="auto"/>
        </w:rPr>
        <w:t>路线，依托氨气极易溶于水的理化特性实现气相氨高效捕集，工艺成熟、运维简便、适配储罐间歇产污工况。</w:t>
      </w:r>
      <w:r>
        <w:rPr>
          <w:rFonts w:hint="eastAsia"/>
          <w:color w:val="auto"/>
        </w:rPr>
        <w:t>企业厂区</w:t>
      </w:r>
      <w:r>
        <w:rPr>
          <w:color w:val="auto"/>
        </w:rPr>
        <w:t>1#戊类罐区氨水储罐废气来源于日常物料存储小呼吸与装卸料大呼吸，采用罐内微正压密闭集气设计，废气依靠储罐自身微正压沿密闭管道输送至罐顶配套废气吸收塔，废气密闭收集效率按99%控制，仅1%少量废气无组织逸散，从源头大幅削减无组织氨挥发。罐顶吸收塔沿用水喷淋吸收工艺，填料塔结构实现气液逆向充分接触，利用清水溶解吸收氨气，吸收形成的稀氨水可汇入厂区氨回收母液系统</w:t>
      </w:r>
      <w:r>
        <w:rPr>
          <w:rFonts w:hint="eastAsia"/>
          <w:color w:val="auto"/>
        </w:rPr>
        <w:t>作为产品原料</w:t>
      </w:r>
      <w:r>
        <w:rPr>
          <w:color w:val="auto"/>
        </w:rPr>
        <w:t>，实现废气资源化闭环回用。</w:t>
      </w:r>
    </w:p>
    <w:p w14:paraId="7CB95F1E">
      <w:pPr>
        <w:ind w:firstLine="480"/>
        <w:rPr>
          <w:color w:val="auto"/>
        </w:rPr>
      </w:pPr>
      <w:r>
        <w:rPr>
          <w:color w:val="auto"/>
        </w:rPr>
        <w:t>储罐呼吸废气呈间歇性排放特点，仅在原料进料、环境温变工况下产生瞬时废气，整体废气产生总量偏低、污染物组分纯净，仅含气态氨。项目集气系统依托罐体自带呼吸阀实现压力联动管控，罐内压力超标时自动导通废气输送管路，压力平稳阶段管路闭合，既保障储罐安全生产，又避免废气非正常外泄。结合同行业同类氨水储罐治理工程运行数据，罐顶密闭收集+原位喷淋净化的治理模式已大范围工业化应用，配套设施运行故障率低、药剂消耗少，经济性突出。废气经罐顶喷淋处理后，尾气污染物浓度可稳定达标，少量无组织逸散氨排放量极低，依托厂区空间扩散、环境空气稀释即可满足厂界无组织管控限值。综上，氨水储罐呼吸废气采用罐顶密闭收集+罐顶水喷淋吸收的治理方案，在收集效率、处理效果、资源化利用及运行稳定性层面均具备可行性。</w:t>
      </w:r>
    </w:p>
    <w:p w14:paraId="3193DDC5">
      <w:pPr>
        <w:pStyle w:val="5"/>
        <w:spacing w:before="192"/>
        <w:rPr>
          <w:color w:val="auto"/>
        </w:rPr>
      </w:pPr>
      <w:r>
        <w:rPr>
          <w:rFonts w:hint="eastAsia"/>
          <w:color w:val="auto"/>
        </w:rPr>
        <w:t>7.2.1.5主要废气处理设施技术参数</w:t>
      </w:r>
    </w:p>
    <w:p w14:paraId="3081419E">
      <w:pPr>
        <w:pStyle w:val="61"/>
        <w:ind w:firstLine="480" w:firstLineChars="200"/>
        <w:rPr>
          <w:rFonts w:hint="eastAsia" w:ascii="Times New Roman" w:hAnsi="宋体"/>
          <w:color w:val="auto"/>
        </w:rPr>
      </w:pPr>
      <w:r>
        <w:rPr>
          <w:rFonts w:hint="eastAsia" w:ascii="Times New Roman" w:hAnsi="宋体"/>
          <w:color w:val="auto"/>
        </w:rPr>
        <w:t>（1）布袋除尘器</w:t>
      </w:r>
    </w:p>
    <w:p w14:paraId="2AD8BCA9">
      <w:pPr>
        <w:adjustRightInd/>
        <w:snapToGrid/>
        <w:ind w:firstLine="480"/>
        <w:rPr>
          <w:rFonts w:eastAsia="仿宋_GB2312"/>
          <w:color w:val="auto"/>
          <w:sz w:val="28"/>
          <w:szCs w:val="28"/>
        </w:rPr>
      </w:pPr>
      <w:r>
        <w:rPr>
          <w:rFonts w:hint="eastAsia"/>
          <w:color w:val="auto"/>
        </w:rPr>
        <w:t>除尘器参数见表7.2-2。</w:t>
      </w:r>
    </w:p>
    <w:p w14:paraId="264AAF07">
      <w:pPr>
        <w:pStyle w:val="49"/>
        <w:rPr>
          <w:color w:val="auto"/>
        </w:rPr>
      </w:pPr>
      <w:r>
        <w:rPr>
          <w:color w:val="auto"/>
        </w:rPr>
        <w:t>表7.2</w:t>
      </w:r>
      <w:r>
        <w:rPr>
          <w:rFonts w:hint="eastAsia"/>
          <w:color w:val="auto"/>
        </w:rPr>
        <w:t>-2</w:t>
      </w:r>
      <w:r>
        <w:rPr>
          <w:color w:val="auto"/>
        </w:rPr>
        <w:t xml:space="preserve">  布袋除尘器工艺参数</w:t>
      </w:r>
    </w:p>
    <w:tbl>
      <w:tblPr>
        <w:tblStyle w:val="24"/>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74"/>
        <w:gridCol w:w="1695"/>
        <w:gridCol w:w="1550"/>
        <w:gridCol w:w="927"/>
        <w:gridCol w:w="4907"/>
      </w:tblGrid>
      <w:tr w14:paraId="2D22D93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tblHeader/>
          <w:jc w:val="center"/>
        </w:trPr>
        <w:tc>
          <w:tcPr>
            <w:tcW w:w="393" w:type="pct"/>
            <w:tcBorders>
              <w:tl2br w:val="nil"/>
              <w:tr2bl w:val="nil"/>
            </w:tcBorders>
            <w:vAlign w:val="center"/>
          </w:tcPr>
          <w:p w14:paraId="37EA9C5D">
            <w:pPr>
              <w:widowControl/>
              <w:spacing w:line="240" w:lineRule="auto"/>
              <w:ind w:firstLine="0" w:firstLineChars="0"/>
              <w:jc w:val="center"/>
              <w:rPr>
                <w:b/>
                <w:color w:val="auto"/>
                <w:kern w:val="0"/>
                <w:sz w:val="21"/>
                <w:szCs w:val="21"/>
              </w:rPr>
            </w:pPr>
            <w:r>
              <w:rPr>
                <w:b/>
                <w:color w:val="auto"/>
                <w:kern w:val="0"/>
                <w:sz w:val="21"/>
                <w:szCs w:val="21"/>
              </w:rPr>
              <w:t>序号</w:t>
            </w:r>
          </w:p>
        </w:tc>
        <w:tc>
          <w:tcPr>
            <w:tcW w:w="860" w:type="pct"/>
            <w:tcBorders>
              <w:tl2br w:val="nil"/>
              <w:tr2bl w:val="nil"/>
            </w:tcBorders>
            <w:vAlign w:val="center"/>
          </w:tcPr>
          <w:p w14:paraId="472B2553">
            <w:pPr>
              <w:widowControl/>
              <w:spacing w:line="240" w:lineRule="auto"/>
              <w:ind w:firstLine="0" w:firstLineChars="0"/>
              <w:jc w:val="center"/>
              <w:rPr>
                <w:b/>
                <w:color w:val="auto"/>
                <w:kern w:val="0"/>
                <w:sz w:val="21"/>
                <w:szCs w:val="21"/>
              </w:rPr>
            </w:pPr>
            <w:r>
              <w:rPr>
                <w:b/>
                <w:color w:val="auto"/>
                <w:kern w:val="0"/>
                <w:sz w:val="21"/>
                <w:szCs w:val="21"/>
              </w:rPr>
              <w:t>项目名称</w:t>
            </w:r>
          </w:p>
        </w:tc>
        <w:tc>
          <w:tcPr>
            <w:tcW w:w="786" w:type="pct"/>
            <w:tcBorders>
              <w:tl2br w:val="nil"/>
              <w:tr2bl w:val="nil"/>
            </w:tcBorders>
            <w:vAlign w:val="center"/>
          </w:tcPr>
          <w:p w14:paraId="6FA8344B">
            <w:pPr>
              <w:widowControl/>
              <w:spacing w:line="240" w:lineRule="auto"/>
              <w:ind w:firstLine="0" w:firstLineChars="0"/>
              <w:jc w:val="center"/>
              <w:rPr>
                <w:b/>
                <w:color w:val="auto"/>
                <w:kern w:val="0"/>
                <w:sz w:val="21"/>
                <w:szCs w:val="21"/>
              </w:rPr>
            </w:pPr>
            <w:r>
              <w:rPr>
                <w:b/>
                <w:color w:val="auto"/>
                <w:kern w:val="0"/>
                <w:sz w:val="21"/>
                <w:szCs w:val="21"/>
              </w:rPr>
              <w:t>数量</w:t>
            </w:r>
          </w:p>
        </w:tc>
        <w:tc>
          <w:tcPr>
            <w:tcW w:w="470" w:type="pct"/>
            <w:tcBorders>
              <w:tl2br w:val="nil"/>
              <w:tr2bl w:val="nil"/>
            </w:tcBorders>
            <w:vAlign w:val="center"/>
          </w:tcPr>
          <w:p w14:paraId="656AC918">
            <w:pPr>
              <w:widowControl/>
              <w:spacing w:line="240" w:lineRule="auto"/>
              <w:ind w:firstLine="0" w:firstLineChars="0"/>
              <w:jc w:val="center"/>
              <w:rPr>
                <w:b/>
                <w:color w:val="auto"/>
                <w:kern w:val="0"/>
                <w:sz w:val="21"/>
                <w:szCs w:val="21"/>
              </w:rPr>
            </w:pPr>
            <w:r>
              <w:rPr>
                <w:b/>
                <w:color w:val="auto"/>
                <w:kern w:val="0"/>
                <w:sz w:val="21"/>
                <w:szCs w:val="21"/>
              </w:rPr>
              <w:t>材质</w:t>
            </w:r>
          </w:p>
        </w:tc>
        <w:tc>
          <w:tcPr>
            <w:tcW w:w="2489" w:type="pct"/>
            <w:tcBorders>
              <w:tl2br w:val="nil"/>
              <w:tr2bl w:val="nil"/>
            </w:tcBorders>
            <w:vAlign w:val="center"/>
          </w:tcPr>
          <w:p w14:paraId="7B0666A6">
            <w:pPr>
              <w:widowControl/>
              <w:spacing w:line="240" w:lineRule="auto"/>
              <w:ind w:firstLine="0" w:firstLineChars="0"/>
              <w:jc w:val="center"/>
              <w:rPr>
                <w:b/>
                <w:color w:val="auto"/>
                <w:kern w:val="0"/>
                <w:sz w:val="21"/>
                <w:szCs w:val="21"/>
              </w:rPr>
            </w:pPr>
            <w:r>
              <w:rPr>
                <w:b/>
                <w:color w:val="auto"/>
                <w:kern w:val="0"/>
                <w:sz w:val="21"/>
                <w:szCs w:val="21"/>
              </w:rPr>
              <w:t>规格</w:t>
            </w:r>
          </w:p>
        </w:tc>
      </w:tr>
      <w:tr w14:paraId="6B451B6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14:paraId="2B3960B1">
            <w:pPr>
              <w:widowControl/>
              <w:spacing w:line="240" w:lineRule="auto"/>
              <w:ind w:firstLine="0" w:firstLineChars="0"/>
              <w:jc w:val="center"/>
              <w:rPr>
                <w:bCs/>
                <w:color w:val="auto"/>
                <w:kern w:val="0"/>
                <w:sz w:val="21"/>
                <w:szCs w:val="21"/>
              </w:rPr>
            </w:pPr>
            <w:r>
              <w:rPr>
                <w:bCs/>
                <w:color w:val="auto"/>
                <w:kern w:val="0"/>
                <w:sz w:val="21"/>
                <w:szCs w:val="21"/>
              </w:rPr>
              <w:t>1</w:t>
            </w:r>
          </w:p>
        </w:tc>
        <w:tc>
          <w:tcPr>
            <w:tcW w:w="860" w:type="pct"/>
            <w:tcBorders>
              <w:tl2br w:val="nil"/>
              <w:tr2bl w:val="nil"/>
            </w:tcBorders>
            <w:vAlign w:val="center"/>
          </w:tcPr>
          <w:p w14:paraId="523940EA">
            <w:pPr>
              <w:widowControl/>
              <w:spacing w:line="240" w:lineRule="auto"/>
              <w:ind w:firstLine="0" w:firstLineChars="0"/>
              <w:jc w:val="center"/>
              <w:rPr>
                <w:bCs/>
                <w:color w:val="auto"/>
                <w:kern w:val="0"/>
                <w:sz w:val="21"/>
                <w:szCs w:val="21"/>
              </w:rPr>
            </w:pPr>
            <w:r>
              <w:rPr>
                <w:bCs/>
                <w:color w:val="auto"/>
                <w:kern w:val="0"/>
                <w:sz w:val="21"/>
                <w:szCs w:val="21"/>
              </w:rPr>
              <w:t>风管</w:t>
            </w:r>
          </w:p>
        </w:tc>
        <w:tc>
          <w:tcPr>
            <w:tcW w:w="786" w:type="pct"/>
            <w:tcBorders>
              <w:tl2br w:val="nil"/>
              <w:tr2bl w:val="nil"/>
            </w:tcBorders>
            <w:vAlign w:val="center"/>
          </w:tcPr>
          <w:p w14:paraId="33D89599">
            <w:pPr>
              <w:widowControl/>
              <w:spacing w:line="240" w:lineRule="auto"/>
              <w:ind w:firstLine="0" w:firstLineChars="0"/>
              <w:jc w:val="center"/>
              <w:rPr>
                <w:bCs/>
                <w:color w:val="auto"/>
                <w:kern w:val="0"/>
                <w:sz w:val="21"/>
                <w:szCs w:val="21"/>
              </w:rPr>
            </w:pPr>
            <w:r>
              <w:rPr>
                <w:bCs/>
                <w:color w:val="auto"/>
                <w:kern w:val="0"/>
                <w:sz w:val="21"/>
                <w:szCs w:val="21"/>
              </w:rPr>
              <w:t>1组</w:t>
            </w:r>
          </w:p>
        </w:tc>
        <w:tc>
          <w:tcPr>
            <w:tcW w:w="470" w:type="pct"/>
            <w:tcBorders>
              <w:tl2br w:val="nil"/>
              <w:tr2bl w:val="nil"/>
            </w:tcBorders>
            <w:vAlign w:val="center"/>
          </w:tcPr>
          <w:p w14:paraId="675BD061">
            <w:pPr>
              <w:widowControl/>
              <w:spacing w:line="240" w:lineRule="auto"/>
              <w:ind w:firstLine="0" w:firstLineChars="0"/>
              <w:jc w:val="center"/>
              <w:rPr>
                <w:bCs/>
                <w:color w:val="auto"/>
                <w:kern w:val="0"/>
                <w:sz w:val="21"/>
                <w:szCs w:val="21"/>
              </w:rPr>
            </w:pPr>
            <w:r>
              <w:rPr>
                <w:bCs/>
                <w:color w:val="auto"/>
                <w:kern w:val="0"/>
                <w:sz w:val="21"/>
                <w:szCs w:val="21"/>
              </w:rPr>
              <w:t>Q235</w:t>
            </w:r>
          </w:p>
        </w:tc>
        <w:tc>
          <w:tcPr>
            <w:tcW w:w="2489" w:type="pct"/>
            <w:tcBorders>
              <w:tl2br w:val="nil"/>
              <w:tr2bl w:val="nil"/>
            </w:tcBorders>
            <w:vAlign w:val="center"/>
          </w:tcPr>
          <w:p w14:paraId="2661B832">
            <w:pPr>
              <w:widowControl/>
              <w:spacing w:line="240" w:lineRule="auto"/>
              <w:ind w:firstLine="0" w:firstLineChars="0"/>
              <w:jc w:val="center"/>
              <w:rPr>
                <w:bCs/>
                <w:color w:val="auto"/>
                <w:kern w:val="0"/>
                <w:sz w:val="21"/>
                <w:szCs w:val="21"/>
              </w:rPr>
            </w:pPr>
            <w:r>
              <w:rPr>
                <w:bCs/>
                <w:color w:val="auto"/>
                <w:kern w:val="0"/>
                <w:sz w:val="21"/>
                <w:szCs w:val="21"/>
              </w:rPr>
              <w:t>圆形风管，法兰连接，石棉绳密封垫</w:t>
            </w:r>
          </w:p>
        </w:tc>
      </w:tr>
      <w:tr w14:paraId="5A46D3A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93" w:type="pct"/>
            <w:vMerge w:val="restart"/>
            <w:tcBorders>
              <w:tl2br w:val="nil"/>
              <w:tr2bl w:val="nil"/>
            </w:tcBorders>
            <w:vAlign w:val="center"/>
          </w:tcPr>
          <w:p w14:paraId="7C4FB38C">
            <w:pPr>
              <w:widowControl/>
              <w:spacing w:line="240" w:lineRule="auto"/>
              <w:ind w:firstLine="0" w:firstLineChars="0"/>
              <w:jc w:val="center"/>
              <w:rPr>
                <w:bCs/>
                <w:color w:val="auto"/>
                <w:kern w:val="0"/>
                <w:sz w:val="21"/>
                <w:szCs w:val="21"/>
              </w:rPr>
            </w:pPr>
            <w:r>
              <w:rPr>
                <w:bCs/>
                <w:color w:val="auto"/>
                <w:kern w:val="0"/>
                <w:sz w:val="21"/>
                <w:szCs w:val="21"/>
              </w:rPr>
              <w:t>2</w:t>
            </w:r>
          </w:p>
        </w:tc>
        <w:tc>
          <w:tcPr>
            <w:tcW w:w="860" w:type="pct"/>
            <w:tcBorders>
              <w:tl2br w:val="nil"/>
              <w:tr2bl w:val="nil"/>
            </w:tcBorders>
            <w:vAlign w:val="center"/>
          </w:tcPr>
          <w:p w14:paraId="2F00A164">
            <w:pPr>
              <w:widowControl/>
              <w:spacing w:line="240" w:lineRule="auto"/>
              <w:ind w:firstLine="0" w:firstLineChars="0"/>
              <w:jc w:val="center"/>
              <w:rPr>
                <w:bCs/>
                <w:color w:val="auto"/>
                <w:kern w:val="0"/>
                <w:sz w:val="21"/>
                <w:szCs w:val="21"/>
              </w:rPr>
            </w:pPr>
            <w:r>
              <w:rPr>
                <w:bCs/>
                <w:color w:val="auto"/>
                <w:kern w:val="0"/>
                <w:sz w:val="21"/>
                <w:szCs w:val="21"/>
              </w:rPr>
              <w:t>布袋除尘器</w:t>
            </w:r>
          </w:p>
        </w:tc>
        <w:tc>
          <w:tcPr>
            <w:tcW w:w="786" w:type="pct"/>
            <w:tcBorders>
              <w:tl2br w:val="nil"/>
              <w:tr2bl w:val="nil"/>
            </w:tcBorders>
            <w:vAlign w:val="center"/>
          </w:tcPr>
          <w:p w14:paraId="1BAEA046">
            <w:pPr>
              <w:widowControl/>
              <w:spacing w:line="240" w:lineRule="auto"/>
              <w:ind w:firstLine="0" w:firstLineChars="0"/>
              <w:jc w:val="center"/>
              <w:rPr>
                <w:bCs/>
                <w:color w:val="auto"/>
                <w:kern w:val="0"/>
                <w:sz w:val="21"/>
                <w:szCs w:val="21"/>
              </w:rPr>
            </w:pPr>
            <w:r>
              <w:rPr>
                <w:bCs/>
                <w:color w:val="auto"/>
                <w:kern w:val="0"/>
                <w:sz w:val="21"/>
                <w:szCs w:val="21"/>
              </w:rPr>
              <w:t>1台</w:t>
            </w:r>
          </w:p>
        </w:tc>
        <w:tc>
          <w:tcPr>
            <w:tcW w:w="470" w:type="pct"/>
            <w:tcBorders>
              <w:tl2br w:val="nil"/>
              <w:tr2bl w:val="nil"/>
            </w:tcBorders>
            <w:vAlign w:val="center"/>
          </w:tcPr>
          <w:p w14:paraId="04C7DFA6">
            <w:pPr>
              <w:widowControl/>
              <w:spacing w:line="240" w:lineRule="auto"/>
              <w:ind w:firstLine="0" w:firstLineChars="0"/>
              <w:jc w:val="center"/>
              <w:rPr>
                <w:bCs/>
                <w:color w:val="auto"/>
                <w:kern w:val="0"/>
                <w:sz w:val="21"/>
                <w:szCs w:val="21"/>
              </w:rPr>
            </w:pPr>
            <w:r>
              <w:rPr>
                <w:bCs/>
                <w:color w:val="auto"/>
                <w:kern w:val="0"/>
                <w:sz w:val="21"/>
                <w:szCs w:val="21"/>
              </w:rPr>
              <w:t>Q235</w:t>
            </w:r>
          </w:p>
        </w:tc>
        <w:tc>
          <w:tcPr>
            <w:tcW w:w="2489" w:type="pct"/>
            <w:tcBorders>
              <w:tl2br w:val="nil"/>
              <w:tr2bl w:val="nil"/>
            </w:tcBorders>
            <w:vAlign w:val="center"/>
          </w:tcPr>
          <w:p w14:paraId="44557D61">
            <w:pPr>
              <w:widowControl/>
              <w:spacing w:line="240" w:lineRule="auto"/>
              <w:ind w:firstLine="0" w:firstLineChars="0"/>
              <w:jc w:val="center"/>
              <w:rPr>
                <w:bCs/>
                <w:color w:val="auto"/>
                <w:kern w:val="0"/>
                <w:sz w:val="21"/>
                <w:szCs w:val="21"/>
              </w:rPr>
            </w:pPr>
            <w:r>
              <w:rPr>
                <w:bCs/>
                <w:color w:val="auto"/>
                <w:kern w:val="0"/>
                <w:sz w:val="21"/>
                <w:szCs w:val="21"/>
              </w:rPr>
              <w:t>过滤面积1600~1760 m2</w:t>
            </w:r>
          </w:p>
        </w:tc>
      </w:tr>
      <w:tr w14:paraId="244A814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93" w:type="pct"/>
            <w:vMerge w:val="continue"/>
            <w:tcBorders>
              <w:tl2br w:val="nil"/>
              <w:tr2bl w:val="nil"/>
            </w:tcBorders>
            <w:vAlign w:val="center"/>
          </w:tcPr>
          <w:p w14:paraId="7EABDE00">
            <w:pPr>
              <w:widowControl/>
              <w:spacing w:line="240" w:lineRule="auto"/>
              <w:ind w:firstLine="0" w:firstLineChars="0"/>
              <w:jc w:val="center"/>
              <w:rPr>
                <w:bCs/>
                <w:color w:val="auto"/>
                <w:kern w:val="0"/>
                <w:sz w:val="21"/>
                <w:szCs w:val="21"/>
              </w:rPr>
            </w:pPr>
          </w:p>
        </w:tc>
        <w:tc>
          <w:tcPr>
            <w:tcW w:w="860" w:type="pct"/>
            <w:tcBorders>
              <w:tl2br w:val="nil"/>
              <w:tr2bl w:val="nil"/>
            </w:tcBorders>
            <w:vAlign w:val="center"/>
          </w:tcPr>
          <w:p w14:paraId="7D803BD3">
            <w:pPr>
              <w:widowControl/>
              <w:spacing w:line="240" w:lineRule="auto"/>
              <w:ind w:firstLine="0" w:firstLineChars="0"/>
              <w:jc w:val="center"/>
              <w:rPr>
                <w:bCs/>
                <w:color w:val="auto"/>
                <w:kern w:val="0"/>
                <w:sz w:val="21"/>
                <w:szCs w:val="21"/>
              </w:rPr>
            </w:pPr>
            <w:r>
              <w:rPr>
                <w:bCs/>
                <w:color w:val="auto"/>
                <w:kern w:val="0"/>
                <w:sz w:val="21"/>
                <w:szCs w:val="21"/>
              </w:rPr>
              <w:t>滤袋</w:t>
            </w:r>
          </w:p>
        </w:tc>
        <w:tc>
          <w:tcPr>
            <w:tcW w:w="786" w:type="pct"/>
            <w:tcBorders>
              <w:tl2br w:val="nil"/>
              <w:tr2bl w:val="nil"/>
            </w:tcBorders>
            <w:vAlign w:val="center"/>
          </w:tcPr>
          <w:p w14:paraId="7FF37227">
            <w:pPr>
              <w:widowControl/>
              <w:spacing w:line="240" w:lineRule="auto"/>
              <w:ind w:firstLine="0" w:firstLineChars="0"/>
              <w:jc w:val="center"/>
              <w:rPr>
                <w:bCs/>
                <w:color w:val="auto"/>
                <w:kern w:val="0"/>
                <w:sz w:val="21"/>
                <w:szCs w:val="21"/>
              </w:rPr>
            </w:pPr>
            <w:r>
              <w:rPr>
                <w:bCs/>
                <w:color w:val="auto"/>
                <w:kern w:val="0"/>
                <w:sz w:val="21"/>
                <w:szCs w:val="21"/>
              </w:rPr>
              <w:t>960~1056条</w:t>
            </w:r>
          </w:p>
        </w:tc>
        <w:tc>
          <w:tcPr>
            <w:tcW w:w="470" w:type="pct"/>
            <w:tcBorders>
              <w:tl2br w:val="nil"/>
              <w:tr2bl w:val="nil"/>
            </w:tcBorders>
            <w:vAlign w:val="center"/>
          </w:tcPr>
          <w:p w14:paraId="42942217">
            <w:pPr>
              <w:widowControl/>
              <w:spacing w:line="240" w:lineRule="auto"/>
              <w:ind w:firstLine="0" w:firstLineChars="0"/>
              <w:jc w:val="center"/>
              <w:rPr>
                <w:bCs/>
                <w:color w:val="auto"/>
                <w:kern w:val="0"/>
                <w:sz w:val="21"/>
                <w:szCs w:val="21"/>
              </w:rPr>
            </w:pPr>
            <w:r>
              <w:rPr>
                <w:bCs/>
                <w:color w:val="auto"/>
                <w:kern w:val="0"/>
                <w:sz w:val="21"/>
                <w:szCs w:val="21"/>
              </w:rPr>
              <w:t>/</w:t>
            </w:r>
          </w:p>
        </w:tc>
        <w:tc>
          <w:tcPr>
            <w:tcW w:w="2489" w:type="pct"/>
            <w:tcBorders>
              <w:tl2br w:val="nil"/>
              <w:tr2bl w:val="nil"/>
            </w:tcBorders>
            <w:vAlign w:val="center"/>
          </w:tcPr>
          <w:p w14:paraId="1CE20B49">
            <w:pPr>
              <w:widowControl/>
              <w:spacing w:line="240" w:lineRule="auto"/>
              <w:ind w:firstLine="0" w:firstLineChars="0"/>
              <w:jc w:val="center"/>
              <w:rPr>
                <w:bCs/>
                <w:color w:val="auto"/>
                <w:kern w:val="0"/>
                <w:sz w:val="21"/>
                <w:szCs w:val="21"/>
              </w:rPr>
            </w:pPr>
            <w:r>
              <w:rPr>
                <w:bCs/>
                <w:color w:val="auto"/>
                <w:kern w:val="0"/>
                <w:sz w:val="21"/>
                <w:szCs w:val="21"/>
              </w:rPr>
              <w:t>防水拒油聚酯纤维</w:t>
            </w:r>
          </w:p>
        </w:tc>
      </w:tr>
      <w:tr w14:paraId="35D4CD9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93" w:type="pct"/>
            <w:vMerge w:val="continue"/>
            <w:tcBorders>
              <w:tl2br w:val="nil"/>
              <w:tr2bl w:val="nil"/>
            </w:tcBorders>
            <w:vAlign w:val="center"/>
          </w:tcPr>
          <w:p w14:paraId="5C56B131">
            <w:pPr>
              <w:widowControl/>
              <w:spacing w:line="240" w:lineRule="auto"/>
              <w:ind w:firstLine="0" w:firstLineChars="0"/>
              <w:jc w:val="center"/>
              <w:rPr>
                <w:bCs/>
                <w:color w:val="auto"/>
                <w:kern w:val="0"/>
                <w:sz w:val="21"/>
                <w:szCs w:val="21"/>
              </w:rPr>
            </w:pPr>
          </w:p>
        </w:tc>
        <w:tc>
          <w:tcPr>
            <w:tcW w:w="860" w:type="pct"/>
            <w:tcBorders>
              <w:tl2br w:val="nil"/>
              <w:tr2bl w:val="nil"/>
            </w:tcBorders>
            <w:vAlign w:val="center"/>
          </w:tcPr>
          <w:p w14:paraId="5C81BB05">
            <w:pPr>
              <w:widowControl/>
              <w:spacing w:line="240" w:lineRule="auto"/>
              <w:ind w:firstLine="0" w:firstLineChars="0"/>
              <w:jc w:val="center"/>
              <w:rPr>
                <w:bCs/>
                <w:color w:val="auto"/>
                <w:kern w:val="0"/>
                <w:sz w:val="21"/>
                <w:szCs w:val="21"/>
              </w:rPr>
            </w:pPr>
            <w:r>
              <w:rPr>
                <w:bCs/>
                <w:color w:val="auto"/>
                <w:kern w:val="0"/>
                <w:sz w:val="21"/>
                <w:szCs w:val="21"/>
              </w:rPr>
              <w:t>清灰系统</w:t>
            </w:r>
          </w:p>
        </w:tc>
        <w:tc>
          <w:tcPr>
            <w:tcW w:w="786" w:type="pct"/>
            <w:tcBorders>
              <w:tl2br w:val="nil"/>
              <w:tr2bl w:val="nil"/>
            </w:tcBorders>
            <w:vAlign w:val="center"/>
          </w:tcPr>
          <w:p w14:paraId="0FEC58A7">
            <w:pPr>
              <w:widowControl/>
              <w:spacing w:line="240" w:lineRule="auto"/>
              <w:ind w:firstLine="0" w:firstLineChars="0"/>
              <w:jc w:val="center"/>
              <w:rPr>
                <w:bCs/>
                <w:color w:val="auto"/>
                <w:kern w:val="0"/>
                <w:sz w:val="21"/>
                <w:szCs w:val="21"/>
              </w:rPr>
            </w:pPr>
            <w:r>
              <w:rPr>
                <w:bCs/>
                <w:color w:val="auto"/>
                <w:kern w:val="0"/>
                <w:sz w:val="21"/>
                <w:szCs w:val="21"/>
              </w:rPr>
              <w:t>1套</w:t>
            </w:r>
          </w:p>
        </w:tc>
        <w:tc>
          <w:tcPr>
            <w:tcW w:w="470" w:type="pct"/>
            <w:tcBorders>
              <w:tl2br w:val="nil"/>
              <w:tr2bl w:val="nil"/>
            </w:tcBorders>
            <w:vAlign w:val="center"/>
          </w:tcPr>
          <w:p w14:paraId="4F86A4B9">
            <w:pPr>
              <w:widowControl/>
              <w:spacing w:line="240" w:lineRule="auto"/>
              <w:ind w:firstLine="0" w:firstLineChars="0"/>
              <w:jc w:val="center"/>
              <w:rPr>
                <w:bCs/>
                <w:color w:val="auto"/>
                <w:kern w:val="0"/>
                <w:sz w:val="21"/>
                <w:szCs w:val="21"/>
              </w:rPr>
            </w:pPr>
            <w:r>
              <w:rPr>
                <w:bCs/>
                <w:color w:val="auto"/>
                <w:kern w:val="0"/>
                <w:sz w:val="21"/>
                <w:szCs w:val="21"/>
              </w:rPr>
              <w:t>/</w:t>
            </w:r>
          </w:p>
        </w:tc>
        <w:tc>
          <w:tcPr>
            <w:tcW w:w="2489" w:type="pct"/>
            <w:tcBorders>
              <w:tl2br w:val="nil"/>
              <w:tr2bl w:val="nil"/>
            </w:tcBorders>
            <w:vAlign w:val="center"/>
          </w:tcPr>
          <w:p w14:paraId="5D7C4394">
            <w:pPr>
              <w:widowControl/>
              <w:spacing w:line="240" w:lineRule="auto"/>
              <w:ind w:firstLine="0" w:firstLineChars="0"/>
              <w:jc w:val="center"/>
              <w:rPr>
                <w:bCs/>
                <w:color w:val="auto"/>
                <w:kern w:val="0"/>
                <w:sz w:val="21"/>
                <w:szCs w:val="21"/>
              </w:rPr>
            </w:pPr>
            <w:r>
              <w:rPr>
                <w:bCs/>
                <w:color w:val="auto"/>
                <w:kern w:val="0"/>
                <w:sz w:val="21"/>
                <w:szCs w:val="21"/>
              </w:rPr>
              <w:t>/</w:t>
            </w:r>
          </w:p>
        </w:tc>
      </w:tr>
      <w:tr w14:paraId="30C6310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93" w:type="pct"/>
            <w:vMerge w:val="restart"/>
            <w:tcBorders>
              <w:tl2br w:val="nil"/>
              <w:tr2bl w:val="nil"/>
            </w:tcBorders>
            <w:vAlign w:val="center"/>
          </w:tcPr>
          <w:p w14:paraId="45E2163C">
            <w:pPr>
              <w:widowControl/>
              <w:spacing w:line="240" w:lineRule="auto"/>
              <w:ind w:firstLine="0" w:firstLineChars="0"/>
              <w:jc w:val="center"/>
              <w:rPr>
                <w:bCs/>
                <w:color w:val="auto"/>
                <w:kern w:val="0"/>
                <w:sz w:val="21"/>
                <w:szCs w:val="21"/>
              </w:rPr>
            </w:pPr>
            <w:r>
              <w:rPr>
                <w:bCs/>
                <w:color w:val="auto"/>
                <w:kern w:val="0"/>
                <w:sz w:val="21"/>
                <w:szCs w:val="21"/>
              </w:rPr>
              <w:t>3</w:t>
            </w:r>
          </w:p>
        </w:tc>
        <w:tc>
          <w:tcPr>
            <w:tcW w:w="860" w:type="pct"/>
            <w:tcBorders>
              <w:tl2br w:val="nil"/>
              <w:tr2bl w:val="nil"/>
            </w:tcBorders>
            <w:vAlign w:val="center"/>
          </w:tcPr>
          <w:p w14:paraId="4C6DF6A8">
            <w:pPr>
              <w:widowControl/>
              <w:spacing w:line="240" w:lineRule="auto"/>
              <w:ind w:firstLine="0" w:firstLineChars="0"/>
              <w:jc w:val="center"/>
              <w:rPr>
                <w:bCs/>
                <w:color w:val="auto"/>
                <w:kern w:val="0"/>
                <w:sz w:val="21"/>
                <w:szCs w:val="21"/>
              </w:rPr>
            </w:pPr>
            <w:r>
              <w:rPr>
                <w:bCs/>
                <w:color w:val="auto"/>
                <w:kern w:val="0"/>
                <w:sz w:val="21"/>
                <w:szCs w:val="21"/>
              </w:rPr>
              <w:t>风机</w:t>
            </w:r>
          </w:p>
        </w:tc>
        <w:tc>
          <w:tcPr>
            <w:tcW w:w="786" w:type="pct"/>
            <w:tcBorders>
              <w:tl2br w:val="nil"/>
              <w:tr2bl w:val="nil"/>
            </w:tcBorders>
            <w:vAlign w:val="center"/>
          </w:tcPr>
          <w:p w14:paraId="29456A46">
            <w:pPr>
              <w:widowControl/>
              <w:spacing w:line="240" w:lineRule="auto"/>
              <w:ind w:firstLine="0" w:firstLineChars="0"/>
              <w:jc w:val="center"/>
              <w:rPr>
                <w:bCs/>
                <w:color w:val="auto"/>
                <w:kern w:val="0"/>
                <w:sz w:val="21"/>
                <w:szCs w:val="21"/>
              </w:rPr>
            </w:pPr>
            <w:r>
              <w:rPr>
                <w:bCs/>
                <w:color w:val="auto"/>
                <w:kern w:val="0"/>
                <w:sz w:val="21"/>
                <w:szCs w:val="21"/>
              </w:rPr>
              <w:t>1台</w:t>
            </w:r>
          </w:p>
        </w:tc>
        <w:tc>
          <w:tcPr>
            <w:tcW w:w="470" w:type="pct"/>
            <w:tcBorders>
              <w:tl2br w:val="nil"/>
              <w:tr2bl w:val="nil"/>
            </w:tcBorders>
            <w:vAlign w:val="center"/>
          </w:tcPr>
          <w:p w14:paraId="0CD1AB1E">
            <w:pPr>
              <w:widowControl/>
              <w:spacing w:line="240" w:lineRule="auto"/>
              <w:ind w:firstLine="0" w:firstLineChars="0"/>
              <w:jc w:val="center"/>
              <w:rPr>
                <w:bCs/>
                <w:color w:val="auto"/>
                <w:kern w:val="0"/>
                <w:sz w:val="21"/>
                <w:szCs w:val="21"/>
              </w:rPr>
            </w:pPr>
            <w:r>
              <w:rPr>
                <w:bCs/>
                <w:color w:val="auto"/>
                <w:kern w:val="0"/>
                <w:sz w:val="21"/>
                <w:szCs w:val="21"/>
              </w:rPr>
              <w:t>/</w:t>
            </w:r>
          </w:p>
        </w:tc>
        <w:tc>
          <w:tcPr>
            <w:tcW w:w="2489" w:type="pct"/>
            <w:tcBorders>
              <w:tl2br w:val="nil"/>
              <w:tr2bl w:val="nil"/>
            </w:tcBorders>
            <w:vAlign w:val="center"/>
          </w:tcPr>
          <w:p w14:paraId="3B7FB0C5">
            <w:pPr>
              <w:widowControl/>
              <w:spacing w:line="240" w:lineRule="auto"/>
              <w:ind w:firstLine="0" w:firstLineChars="0"/>
              <w:jc w:val="center"/>
              <w:rPr>
                <w:bCs/>
                <w:color w:val="auto"/>
                <w:kern w:val="0"/>
                <w:sz w:val="21"/>
                <w:szCs w:val="21"/>
              </w:rPr>
            </w:pPr>
            <w:r>
              <w:rPr>
                <w:bCs/>
                <w:color w:val="auto"/>
                <w:kern w:val="0"/>
                <w:sz w:val="21"/>
                <w:szCs w:val="21"/>
              </w:rPr>
              <w:t>Q=2000~2500m3/h，△P=3300Pa，N=160kW</w:t>
            </w:r>
          </w:p>
        </w:tc>
      </w:tr>
      <w:tr w14:paraId="0DEF7E5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93" w:type="pct"/>
            <w:vMerge w:val="continue"/>
            <w:tcBorders>
              <w:tl2br w:val="nil"/>
              <w:tr2bl w:val="nil"/>
            </w:tcBorders>
            <w:vAlign w:val="center"/>
          </w:tcPr>
          <w:p w14:paraId="5ED8AF6E">
            <w:pPr>
              <w:widowControl/>
              <w:spacing w:line="240" w:lineRule="auto"/>
              <w:ind w:firstLine="0" w:firstLineChars="0"/>
              <w:jc w:val="center"/>
              <w:rPr>
                <w:bCs/>
                <w:color w:val="auto"/>
                <w:kern w:val="0"/>
                <w:sz w:val="21"/>
                <w:szCs w:val="21"/>
              </w:rPr>
            </w:pPr>
          </w:p>
        </w:tc>
        <w:tc>
          <w:tcPr>
            <w:tcW w:w="860" w:type="pct"/>
            <w:tcBorders>
              <w:tl2br w:val="nil"/>
              <w:tr2bl w:val="nil"/>
            </w:tcBorders>
            <w:vAlign w:val="center"/>
          </w:tcPr>
          <w:p w14:paraId="7C0FDC05">
            <w:pPr>
              <w:widowControl/>
              <w:spacing w:line="240" w:lineRule="auto"/>
              <w:ind w:firstLine="0" w:firstLineChars="0"/>
              <w:jc w:val="center"/>
              <w:rPr>
                <w:bCs/>
                <w:color w:val="auto"/>
                <w:kern w:val="0"/>
                <w:sz w:val="21"/>
                <w:szCs w:val="21"/>
              </w:rPr>
            </w:pPr>
            <w:r>
              <w:rPr>
                <w:bCs/>
                <w:color w:val="auto"/>
                <w:kern w:val="0"/>
                <w:sz w:val="21"/>
                <w:szCs w:val="21"/>
              </w:rPr>
              <w:t>排气筒</w:t>
            </w:r>
          </w:p>
        </w:tc>
        <w:tc>
          <w:tcPr>
            <w:tcW w:w="786" w:type="pct"/>
            <w:tcBorders>
              <w:tl2br w:val="nil"/>
              <w:tr2bl w:val="nil"/>
            </w:tcBorders>
            <w:vAlign w:val="center"/>
          </w:tcPr>
          <w:p w14:paraId="33D27E5C">
            <w:pPr>
              <w:widowControl/>
              <w:spacing w:line="240" w:lineRule="auto"/>
              <w:ind w:firstLine="0" w:firstLineChars="0"/>
              <w:jc w:val="center"/>
              <w:rPr>
                <w:bCs/>
                <w:color w:val="auto"/>
                <w:kern w:val="0"/>
                <w:sz w:val="21"/>
                <w:szCs w:val="21"/>
              </w:rPr>
            </w:pPr>
            <w:r>
              <w:rPr>
                <w:bCs/>
                <w:color w:val="auto"/>
                <w:kern w:val="0"/>
                <w:sz w:val="21"/>
                <w:szCs w:val="21"/>
              </w:rPr>
              <w:t>1座</w:t>
            </w:r>
          </w:p>
        </w:tc>
        <w:tc>
          <w:tcPr>
            <w:tcW w:w="470" w:type="pct"/>
            <w:tcBorders>
              <w:tl2br w:val="nil"/>
              <w:tr2bl w:val="nil"/>
            </w:tcBorders>
            <w:vAlign w:val="center"/>
          </w:tcPr>
          <w:p w14:paraId="22077569">
            <w:pPr>
              <w:widowControl/>
              <w:spacing w:line="240" w:lineRule="auto"/>
              <w:ind w:firstLine="0" w:firstLineChars="0"/>
              <w:jc w:val="center"/>
              <w:rPr>
                <w:bCs/>
                <w:color w:val="auto"/>
                <w:kern w:val="0"/>
                <w:sz w:val="21"/>
                <w:szCs w:val="21"/>
              </w:rPr>
            </w:pPr>
            <w:r>
              <w:rPr>
                <w:bCs/>
                <w:color w:val="auto"/>
                <w:kern w:val="0"/>
                <w:sz w:val="21"/>
                <w:szCs w:val="21"/>
              </w:rPr>
              <w:t>Q235</w:t>
            </w:r>
          </w:p>
        </w:tc>
        <w:tc>
          <w:tcPr>
            <w:tcW w:w="2489" w:type="pct"/>
            <w:tcBorders>
              <w:tl2br w:val="nil"/>
              <w:tr2bl w:val="nil"/>
            </w:tcBorders>
            <w:vAlign w:val="center"/>
          </w:tcPr>
          <w:p w14:paraId="5CD4EEB8">
            <w:pPr>
              <w:widowControl/>
              <w:spacing w:line="240" w:lineRule="auto"/>
              <w:ind w:firstLine="0" w:firstLineChars="0"/>
              <w:jc w:val="center"/>
              <w:rPr>
                <w:bCs/>
                <w:color w:val="auto"/>
                <w:kern w:val="0"/>
                <w:sz w:val="21"/>
                <w:szCs w:val="21"/>
              </w:rPr>
            </w:pPr>
            <w:r>
              <w:rPr>
                <w:bCs/>
                <w:color w:val="auto"/>
                <w:kern w:val="0"/>
                <w:sz w:val="21"/>
                <w:szCs w:val="21"/>
              </w:rPr>
              <w:t>DN40mm，H=25m</w:t>
            </w:r>
          </w:p>
        </w:tc>
      </w:tr>
      <w:tr w14:paraId="6888073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93" w:type="pct"/>
            <w:vMerge w:val="continue"/>
            <w:tcBorders>
              <w:tl2br w:val="nil"/>
              <w:tr2bl w:val="nil"/>
            </w:tcBorders>
            <w:vAlign w:val="center"/>
          </w:tcPr>
          <w:p w14:paraId="0FA7037B">
            <w:pPr>
              <w:widowControl/>
              <w:spacing w:line="240" w:lineRule="auto"/>
              <w:ind w:firstLine="0" w:firstLineChars="0"/>
              <w:jc w:val="center"/>
              <w:rPr>
                <w:bCs/>
                <w:color w:val="auto"/>
                <w:kern w:val="0"/>
                <w:sz w:val="21"/>
                <w:szCs w:val="21"/>
              </w:rPr>
            </w:pPr>
          </w:p>
        </w:tc>
        <w:tc>
          <w:tcPr>
            <w:tcW w:w="860" w:type="pct"/>
            <w:tcBorders>
              <w:tl2br w:val="nil"/>
              <w:tr2bl w:val="nil"/>
            </w:tcBorders>
            <w:vAlign w:val="center"/>
          </w:tcPr>
          <w:p w14:paraId="6467689F">
            <w:pPr>
              <w:widowControl/>
              <w:spacing w:line="240" w:lineRule="auto"/>
              <w:ind w:firstLine="0" w:firstLineChars="0"/>
              <w:jc w:val="center"/>
              <w:rPr>
                <w:bCs/>
                <w:color w:val="auto"/>
                <w:kern w:val="0"/>
                <w:sz w:val="21"/>
                <w:szCs w:val="21"/>
              </w:rPr>
            </w:pPr>
            <w:r>
              <w:rPr>
                <w:bCs/>
                <w:color w:val="auto"/>
                <w:kern w:val="0"/>
                <w:sz w:val="21"/>
                <w:szCs w:val="21"/>
              </w:rPr>
              <w:t>检测平台</w:t>
            </w:r>
          </w:p>
        </w:tc>
        <w:tc>
          <w:tcPr>
            <w:tcW w:w="786" w:type="pct"/>
            <w:tcBorders>
              <w:tl2br w:val="nil"/>
              <w:tr2bl w:val="nil"/>
            </w:tcBorders>
            <w:vAlign w:val="center"/>
          </w:tcPr>
          <w:p w14:paraId="4ECD5D5B">
            <w:pPr>
              <w:widowControl/>
              <w:spacing w:line="240" w:lineRule="auto"/>
              <w:ind w:firstLine="0" w:firstLineChars="0"/>
              <w:jc w:val="center"/>
              <w:rPr>
                <w:bCs/>
                <w:color w:val="auto"/>
                <w:kern w:val="0"/>
                <w:sz w:val="21"/>
                <w:szCs w:val="21"/>
              </w:rPr>
            </w:pPr>
            <w:r>
              <w:rPr>
                <w:bCs/>
                <w:color w:val="auto"/>
                <w:kern w:val="0"/>
                <w:sz w:val="21"/>
                <w:szCs w:val="21"/>
              </w:rPr>
              <w:t>1个</w:t>
            </w:r>
          </w:p>
        </w:tc>
        <w:tc>
          <w:tcPr>
            <w:tcW w:w="470" w:type="pct"/>
            <w:tcBorders>
              <w:tl2br w:val="nil"/>
              <w:tr2bl w:val="nil"/>
            </w:tcBorders>
            <w:vAlign w:val="center"/>
          </w:tcPr>
          <w:p w14:paraId="4142B2DB">
            <w:pPr>
              <w:widowControl/>
              <w:spacing w:line="240" w:lineRule="auto"/>
              <w:ind w:firstLine="0" w:firstLineChars="0"/>
              <w:jc w:val="center"/>
              <w:rPr>
                <w:bCs/>
                <w:color w:val="auto"/>
                <w:kern w:val="0"/>
                <w:sz w:val="21"/>
                <w:szCs w:val="21"/>
              </w:rPr>
            </w:pPr>
            <w:r>
              <w:rPr>
                <w:bCs/>
                <w:color w:val="auto"/>
                <w:kern w:val="0"/>
                <w:sz w:val="21"/>
                <w:szCs w:val="21"/>
              </w:rPr>
              <w:t>Q235</w:t>
            </w:r>
          </w:p>
        </w:tc>
        <w:tc>
          <w:tcPr>
            <w:tcW w:w="2489" w:type="pct"/>
            <w:tcBorders>
              <w:tl2br w:val="nil"/>
              <w:tr2bl w:val="nil"/>
            </w:tcBorders>
            <w:vAlign w:val="center"/>
          </w:tcPr>
          <w:p w14:paraId="30396B0E">
            <w:pPr>
              <w:widowControl/>
              <w:spacing w:line="240" w:lineRule="auto"/>
              <w:ind w:firstLine="0" w:firstLineChars="0"/>
              <w:jc w:val="center"/>
              <w:rPr>
                <w:bCs/>
                <w:color w:val="auto"/>
                <w:kern w:val="0"/>
                <w:sz w:val="21"/>
                <w:szCs w:val="21"/>
              </w:rPr>
            </w:pPr>
            <w:r>
              <w:rPr>
                <w:bCs/>
                <w:color w:val="auto"/>
                <w:kern w:val="0"/>
                <w:sz w:val="21"/>
                <w:szCs w:val="21"/>
              </w:rPr>
              <w:t>/</w:t>
            </w:r>
          </w:p>
        </w:tc>
      </w:tr>
      <w:tr w14:paraId="53623E0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14:paraId="31F72992">
            <w:pPr>
              <w:widowControl/>
              <w:spacing w:line="240" w:lineRule="auto"/>
              <w:ind w:firstLine="0" w:firstLineChars="0"/>
              <w:jc w:val="center"/>
              <w:rPr>
                <w:bCs/>
                <w:color w:val="auto"/>
                <w:kern w:val="0"/>
                <w:sz w:val="21"/>
                <w:szCs w:val="21"/>
              </w:rPr>
            </w:pPr>
            <w:r>
              <w:rPr>
                <w:bCs/>
                <w:color w:val="auto"/>
                <w:kern w:val="0"/>
                <w:sz w:val="21"/>
                <w:szCs w:val="21"/>
              </w:rPr>
              <w:t>4</w:t>
            </w:r>
          </w:p>
        </w:tc>
        <w:tc>
          <w:tcPr>
            <w:tcW w:w="860" w:type="pct"/>
            <w:tcBorders>
              <w:tl2br w:val="nil"/>
              <w:tr2bl w:val="nil"/>
            </w:tcBorders>
            <w:vAlign w:val="center"/>
          </w:tcPr>
          <w:p w14:paraId="4A82EB6D">
            <w:pPr>
              <w:widowControl/>
              <w:spacing w:line="240" w:lineRule="auto"/>
              <w:ind w:firstLine="0" w:firstLineChars="0"/>
              <w:jc w:val="center"/>
              <w:rPr>
                <w:bCs/>
                <w:color w:val="auto"/>
                <w:kern w:val="0"/>
                <w:sz w:val="21"/>
                <w:szCs w:val="21"/>
              </w:rPr>
            </w:pPr>
            <w:r>
              <w:rPr>
                <w:bCs/>
                <w:color w:val="auto"/>
                <w:kern w:val="0"/>
                <w:sz w:val="21"/>
                <w:szCs w:val="21"/>
              </w:rPr>
              <w:t>隔音房</w:t>
            </w:r>
          </w:p>
        </w:tc>
        <w:tc>
          <w:tcPr>
            <w:tcW w:w="786" w:type="pct"/>
            <w:tcBorders>
              <w:tl2br w:val="nil"/>
              <w:tr2bl w:val="nil"/>
            </w:tcBorders>
            <w:vAlign w:val="center"/>
          </w:tcPr>
          <w:p w14:paraId="5D4960D5">
            <w:pPr>
              <w:widowControl/>
              <w:spacing w:line="240" w:lineRule="auto"/>
              <w:ind w:firstLine="0" w:firstLineChars="0"/>
              <w:jc w:val="center"/>
              <w:rPr>
                <w:bCs/>
                <w:color w:val="auto"/>
                <w:kern w:val="0"/>
                <w:sz w:val="21"/>
                <w:szCs w:val="21"/>
              </w:rPr>
            </w:pPr>
            <w:r>
              <w:rPr>
                <w:bCs/>
                <w:color w:val="auto"/>
                <w:kern w:val="0"/>
                <w:sz w:val="21"/>
                <w:szCs w:val="21"/>
              </w:rPr>
              <w:t>1个</w:t>
            </w:r>
          </w:p>
        </w:tc>
        <w:tc>
          <w:tcPr>
            <w:tcW w:w="470" w:type="pct"/>
            <w:tcBorders>
              <w:tl2br w:val="nil"/>
              <w:tr2bl w:val="nil"/>
            </w:tcBorders>
            <w:vAlign w:val="center"/>
          </w:tcPr>
          <w:p w14:paraId="50550C64">
            <w:pPr>
              <w:widowControl/>
              <w:spacing w:line="240" w:lineRule="auto"/>
              <w:ind w:firstLine="0" w:firstLineChars="0"/>
              <w:jc w:val="center"/>
              <w:rPr>
                <w:bCs/>
                <w:color w:val="auto"/>
                <w:kern w:val="0"/>
                <w:sz w:val="21"/>
                <w:szCs w:val="21"/>
              </w:rPr>
            </w:pPr>
            <w:r>
              <w:rPr>
                <w:bCs/>
                <w:color w:val="auto"/>
                <w:kern w:val="0"/>
                <w:sz w:val="21"/>
                <w:szCs w:val="21"/>
              </w:rPr>
              <w:t>/</w:t>
            </w:r>
          </w:p>
        </w:tc>
        <w:tc>
          <w:tcPr>
            <w:tcW w:w="2489" w:type="pct"/>
            <w:tcBorders>
              <w:tl2br w:val="nil"/>
              <w:tr2bl w:val="nil"/>
            </w:tcBorders>
            <w:vAlign w:val="center"/>
          </w:tcPr>
          <w:p w14:paraId="61141ABF">
            <w:pPr>
              <w:widowControl/>
              <w:spacing w:line="240" w:lineRule="auto"/>
              <w:ind w:firstLine="0" w:firstLineChars="0"/>
              <w:jc w:val="center"/>
              <w:rPr>
                <w:bCs/>
                <w:color w:val="auto"/>
                <w:kern w:val="0"/>
                <w:sz w:val="21"/>
                <w:szCs w:val="21"/>
              </w:rPr>
            </w:pPr>
            <w:r>
              <w:rPr>
                <w:bCs/>
                <w:color w:val="auto"/>
                <w:kern w:val="0"/>
                <w:sz w:val="21"/>
                <w:szCs w:val="21"/>
              </w:rPr>
              <w:t>/</w:t>
            </w:r>
          </w:p>
        </w:tc>
      </w:tr>
      <w:tr w14:paraId="523EB84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14:paraId="2F17CC77">
            <w:pPr>
              <w:widowControl/>
              <w:spacing w:line="240" w:lineRule="auto"/>
              <w:ind w:firstLine="0" w:firstLineChars="0"/>
              <w:jc w:val="center"/>
              <w:rPr>
                <w:bCs/>
                <w:color w:val="auto"/>
                <w:kern w:val="0"/>
                <w:sz w:val="21"/>
                <w:szCs w:val="21"/>
              </w:rPr>
            </w:pPr>
            <w:r>
              <w:rPr>
                <w:bCs/>
                <w:color w:val="auto"/>
                <w:kern w:val="0"/>
                <w:sz w:val="21"/>
                <w:szCs w:val="21"/>
              </w:rPr>
              <w:t>5</w:t>
            </w:r>
          </w:p>
        </w:tc>
        <w:tc>
          <w:tcPr>
            <w:tcW w:w="860" w:type="pct"/>
            <w:tcBorders>
              <w:tl2br w:val="nil"/>
              <w:tr2bl w:val="nil"/>
            </w:tcBorders>
            <w:vAlign w:val="center"/>
          </w:tcPr>
          <w:p w14:paraId="7D2D9323">
            <w:pPr>
              <w:widowControl/>
              <w:spacing w:line="240" w:lineRule="auto"/>
              <w:ind w:firstLine="0" w:firstLineChars="0"/>
              <w:jc w:val="center"/>
              <w:rPr>
                <w:bCs/>
                <w:color w:val="auto"/>
                <w:kern w:val="0"/>
                <w:sz w:val="21"/>
                <w:szCs w:val="21"/>
              </w:rPr>
            </w:pPr>
            <w:r>
              <w:rPr>
                <w:bCs/>
                <w:color w:val="auto"/>
                <w:kern w:val="0"/>
                <w:sz w:val="21"/>
                <w:szCs w:val="21"/>
              </w:rPr>
              <w:t>仪表系统</w:t>
            </w:r>
          </w:p>
        </w:tc>
        <w:tc>
          <w:tcPr>
            <w:tcW w:w="786" w:type="pct"/>
            <w:tcBorders>
              <w:tl2br w:val="nil"/>
              <w:tr2bl w:val="nil"/>
            </w:tcBorders>
            <w:vAlign w:val="center"/>
          </w:tcPr>
          <w:p w14:paraId="59E60FC8">
            <w:pPr>
              <w:widowControl/>
              <w:spacing w:line="240" w:lineRule="auto"/>
              <w:ind w:firstLine="0" w:firstLineChars="0"/>
              <w:jc w:val="center"/>
              <w:rPr>
                <w:bCs/>
                <w:color w:val="auto"/>
                <w:kern w:val="0"/>
                <w:sz w:val="21"/>
                <w:szCs w:val="21"/>
              </w:rPr>
            </w:pPr>
            <w:r>
              <w:rPr>
                <w:bCs/>
                <w:color w:val="auto"/>
                <w:kern w:val="0"/>
                <w:sz w:val="21"/>
                <w:szCs w:val="21"/>
              </w:rPr>
              <w:t>1套</w:t>
            </w:r>
          </w:p>
        </w:tc>
        <w:tc>
          <w:tcPr>
            <w:tcW w:w="470" w:type="pct"/>
            <w:tcBorders>
              <w:tl2br w:val="nil"/>
              <w:tr2bl w:val="nil"/>
            </w:tcBorders>
            <w:vAlign w:val="center"/>
          </w:tcPr>
          <w:p w14:paraId="13F23D77">
            <w:pPr>
              <w:widowControl/>
              <w:spacing w:line="240" w:lineRule="auto"/>
              <w:ind w:firstLine="0" w:firstLineChars="0"/>
              <w:jc w:val="center"/>
              <w:rPr>
                <w:bCs/>
                <w:color w:val="auto"/>
                <w:kern w:val="0"/>
                <w:sz w:val="21"/>
                <w:szCs w:val="21"/>
              </w:rPr>
            </w:pPr>
            <w:r>
              <w:rPr>
                <w:bCs/>
                <w:color w:val="auto"/>
                <w:kern w:val="0"/>
                <w:sz w:val="21"/>
                <w:szCs w:val="21"/>
              </w:rPr>
              <w:t>/</w:t>
            </w:r>
          </w:p>
        </w:tc>
        <w:tc>
          <w:tcPr>
            <w:tcW w:w="2489" w:type="pct"/>
            <w:tcBorders>
              <w:tl2br w:val="nil"/>
              <w:tr2bl w:val="nil"/>
            </w:tcBorders>
            <w:vAlign w:val="center"/>
          </w:tcPr>
          <w:p w14:paraId="2163721C">
            <w:pPr>
              <w:widowControl/>
              <w:spacing w:line="240" w:lineRule="auto"/>
              <w:ind w:firstLine="0" w:firstLineChars="0"/>
              <w:jc w:val="center"/>
              <w:rPr>
                <w:bCs/>
                <w:color w:val="auto"/>
                <w:kern w:val="0"/>
                <w:sz w:val="21"/>
                <w:szCs w:val="21"/>
              </w:rPr>
            </w:pPr>
            <w:r>
              <w:rPr>
                <w:bCs/>
                <w:color w:val="auto"/>
                <w:kern w:val="0"/>
                <w:sz w:val="21"/>
                <w:szCs w:val="21"/>
              </w:rPr>
              <w:t>/</w:t>
            </w:r>
          </w:p>
        </w:tc>
      </w:tr>
      <w:tr w14:paraId="014BCF6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14:paraId="3D7151A0">
            <w:pPr>
              <w:widowControl/>
              <w:spacing w:line="240" w:lineRule="auto"/>
              <w:ind w:firstLine="0" w:firstLineChars="0"/>
              <w:jc w:val="center"/>
              <w:rPr>
                <w:bCs/>
                <w:color w:val="auto"/>
                <w:kern w:val="0"/>
                <w:sz w:val="21"/>
                <w:szCs w:val="21"/>
              </w:rPr>
            </w:pPr>
            <w:r>
              <w:rPr>
                <w:bCs/>
                <w:color w:val="auto"/>
                <w:kern w:val="0"/>
                <w:sz w:val="21"/>
                <w:szCs w:val="21"/>
              </w:rPr>
              <w:t>6</w:t>
            </w:r>
          </w:p>
        </w:tc>
        <w:tc>
          <w:tcPr>
            <w:tcW w:w="860" w:type="pct"/>
            <w:tcBorders>
              <w:tl2br w:val="nil"/>
              <w:tr2bl w:val="nil"/>
            </w:tcBorders>
            <w:vAlign w:val="center"/>
          </w:tcPr>
          <w:p w14:paraId="1540EFE5">
            <w:pPr>
              <w:widowControl/>
              <w:spacing w:line="240" w:lineRule="auto"/>
              <w:ind w:firstLine="0" w:firstLineChars="0"/>
              <w:jc w:val="center"/>
              <w:rPr>
                <w:bCs/>
                <w:color w:val="auto"/>
                <w:kern w:val="0"/>
                <w:sz w:val="21"/>
                <w:szCs w:val="21"/>
              </w:rPr>
            </w:pPr>
            <w:r>
              <w:rPr>
                <w:bCs/>
                <w:color w:val="auto"/>
                <w:kern w:val="0"/>
                <w:sz w:val="21"/>
                <w:szCs w:val="21"/>
              </w:rPr>
              <w:t>电气系统</w:t>
            </w:r>
          </w:p>
        </w:tc>
        <w:tc>
          <w:tcPr>
            <w:tcW w:w="786" w:type="pct"/>
            <w:tcBorders>
              <w:tl2br w:val="nil"/>
              <w:tr2bl w:val="nil"/>
            </w:tcBorders>
            <w:vAlign w:val="center"/>
          </w:tcPr>
          <w:p w14:paraId="05F0EB46">
            <w:pPr>
              <w:widowControl/>
              <w:spacing w:line="240" w:lineRule="auto"/>
              <w:ind w:firstLine="0" w:firstLineChars="0"/>
              <w:jc w:val="center"/>
              <w:rPr>
                <w:bCs/>
                <w:color w:val="auto"/>
                <w:kern w:val="0"/>
                <w:sz w:val="21"/>
                <w:szCs w:val="21"/>
              </w:rPr>
            </w:pPr>
            <w:r>
              <w:rPr>
                <w:bCs/>
                <w:color w:val="auto"/>
                <w:kern w:val="0"/>
                <w:sz w:val="21"/>
                <w:szCs w:val="21"/>
              </w:rPr>
              <w:t>1套</w:t>
            </w:r>
          </w:p>
        </w:tc>
        <w:tc>
          <w:tcPr>
            <w:tcW w:w="470" w:type="pct"/>
            <w:tcBorders>
              <w:tl2br w:val="nil"/>
              <w:tr2bl w:val="nil"/>
            </w:tcBorders>
            <w:vAlign w:val="center"/>
          </w:tcPr>
          <w:p w14:paraId="040F79C0">
            <w:pPr>
              <w:widowControl/>
              <w:spacing w:line="240" w:lineRule="auto"/>
              <w:ind w:firstLine="0" w:firstLineChars="0"/>
              <w:jc w:val="center"/>
              <w:rPr>
                <w:bCs/>
                <w:color w:val="auto"/>
                <w:kern w:val="0"/>
                <w:sz w:val="21"/>
                <w:szCs w:val="21"/>
              </w:rPr>
            </w:pPr>
            <w:r>
              <w:rPr>
                <w:bCs/>
                <w:color w:val="auto"/>
                <w:kern w:val="0"/>
                <w:sz w:val="21"/>
                <w:szCs w:val="21"/>
              </w:rPr>
              <w:t>/</w:t>
            </w:r>
          </w:p>
        </w:tc>
        <w:tc>
          <w:tcPr>
            <w:tcW w:w="2489" w:type="pct"/>
            <w:tcBorders>
              <w:tl2br w:val="nil"/>
              <w:tr2bl w:val="nil"/>
            </w:tcBorders>
            <w:vAlign w:val="center"/>
          </w:tcPr>
          <w:p w14:paraId="5D31829D">
            <w:pPr>
              <w:widowControl/>
              <w:spacing w:line="240" w:lineRule="auto"/>
              <w:ind w:firstLine="0" w:firstLineChars="0"/>
              <w:jc w:val="center"/>
              <w:rPr>
                <w:bCs/>
                <w:color w:val="auto"/>
                <w:kern w:val="0"/>
                <w:sz w:val="21"/>
                <w:szCs w:val="21"/>
              </w:rPr>
            </w:pPr>
            <w:r>
              <w:rPr>
                <w:bCs/>
                <w:color w:val="auto"/>
                <w:kern w:val="0"/>
                <w:sz w:val="21"/>
                <w:szCs w:val="21"/>
              </w:rPr>
              <w:t>/</w:t>
            </w:r>
          </w:p>
        </w:tc>
      </w:tr>
    </w:tbl>
    <w:p w14:paraId="39ED766C">
      <w:pPr>
        <w:pStyle w:val="4"/>
        <w:rPr>
          <w:color w:val="auto"/>
        </w:rPr>
      </w:pPr>
      <w:bookmarkStart w:id="273" w:name="_Toc15948"/>
      <w:bookmarkStart w:id="274" w:name="_Toc8206"/>
      <w:r>
        <w:rPr>
          <w:color w:val="auto"/>
        </w:rPr>
        <w:t>7</w:t>
      </w:r>
      <w:r>
        <w:rPr>
          <w:rFonts w:hint="eastAsia"/>
          <w:color w:val="auto"/>
        </w:rPr>
        <w:t>.2.3无组织废气</w:t>
      </w:r>
      <w:bookmarkEnd w:id="273"/>
      <w:r>
        <w:rPr>
          <w:rFonts w:hint="eastAsia"/>
          <w:color w:val="auto"/>
        </w:rPr>
        <w:t>治理措施可行性分析</w:t>
      </w:r>
      <w:bookmarkEnd w:id="274"/>
    </w:p>
    <w:p w14:paraId="1DF35EF8">
      <w:pPr>
        <w:adjustRightInd/>
        <w:snapToGrid/>
        <w:ind w:firstLine="480"/>
        <w:rPr>
          <w:rFonts w:hAnsi="Arial"/>
          <w:bCs/>
          <w:snapToGrid w:val="0"/>
          <w:color w:val="auto"/>
          <w:kern w:val="0"/>
          <w:szCs w:val="20"/>
        </w:rPr>
      </w:pPr>
      <w:r>
        <w:rPr>
          <w:rFonts w:hAnsi="Arial"/>
          <w:bCs/>
          <w:snapToGrid w:val="0"/>
          <w:color w:val="auto"/>
          <w:kern w:val="0"/>
          <w:szCs w:val="20"/>
        </w:rPr>
        <w:t>废气无组织排放贯穿于拟建项目生产过程的始终，如物料输送、贮存、投料、反应、出料等过程。控制无组织废气的排放，须以清洁生产为指导思想，对物料的运输、贮存、投料、反应、出料及</w:t>
      </w:r>
      <w:r>
        <w:rPr>
          <w:rFonts w:hint="eastAsia" w:hAnsi="Arial"/>
          <w:bCs/>
          <w:snapToGrid w:val="0"/>
          <w:color w:val="auto"/>
          <w:kern w:val="0"/>
          <w:szCs w:val="20"/>
        </w:rPr>
        <w:t>废气</w:t>
      </w:r>
      <w:r>
        <w:rPr>
          <w:rFonts w:hAnsi="Arial"/>
          <w:bCs/>
          <w:snapToGrid w:val="0"/>
          <w:color w:val="auto"/>
          <w:kern w:val="0"/>
          <w:szCs w:val="20"/>
        </w:rPr>
        <w:t>吸收等全过程进行分析，调查废气无组织排放的各个环节，针对各个排放环节提出相应控制措施，以减少废气无组织排放量。</w:t>
      </w:r>
    </w:p>
    <w:p w14:paraId="570D9EC4">
      <w:pPr>
        <w:ind w:firstLine="480"/>
        <w:rPr>
          <w:snapToGrid w:val="0"/>
          <w:color w:val="auto"/>
          <w:kern w:val="0"/>
        </w:rPr>
      </w:pPr>
      <w:r>
        <w:rPr>
          <w:rFonts w:hint="eastAsia" w:hAnsi="宋体"/>
          <w:snapToGrid w:val="0"/>
          <w:color w:val="auto"/>
          <w:kern w:val="0"/>
        </w:rPr>
        <w:t>拟建</w:t>
      </w:r>
      <w:r>
        <w:rPr>
          <w:rFonts w:hAnsi="宋体"/>
          <w:snapToGrid w:val="0"/>
          <w:color w:val="auto"/>
          <w:kern w:val="0"/>
        </w:rPr>
        <w:t>项目无组织废气主要</w:t>
      </w:r>
      <w:r>
        <w:rPr>
          <w:rFonts w:hint="eastAsia" w:hAnsi="宋体"/>
          <w:snapToGrid w:val="0"/>
          <w:color w:val="auto"/>
          <w:kern w:val="0"/>
        </w:rPr>
        <w:t>来源于项目</w:t>
      </w:r>
      <w:r>
        <w:rPr>
          <w:rFonts w:hAnsi="宋体"/>
          <w:snapToGrid w:val="0"/>
          <w:color w:val="auto"/>
          <w:kern w:val="0"/>
        </w:rPr>
        <w:t>生产</w:t>
      </w:r>
      <w:r>
        <w:rPr>
          <w:rFonts w:hint="eastAsia" w:hAnsi="宋体"/>
          <w:snapToGrid w:val="0"/>
          <w:color w:val="auto"/>
          <w:kern w:val="0"/>
        </w:rPr>
        <w:t>过程</w:t>
      </w:r>
      <w:r>
        <w:rPr>
          <w:rFonts w:hAnsi="宋体"/>
          <w:snapToGrid w:val="0"/>
          <w:color w:val="auto"/>
          <w:kern w:val="0"/>
        </w:rPr>
        <w:t>及原料和产品贮运过程</w:t>
      </w:r>
      <w:r>
        <w:rPr>
          <w:rFonts w:hint="eastAsia" w:hAnsi="宋体"/>
          <w:snapToGrid w:val="0"/>
          <w:color w:val="auto"/>
          <w:kern w:val="0"/>
        </w:rPr>
        <w:t>，废气污染物主要为SO</w:t>
      </w:r>
      <w:r>
        <w:rPr>
          <w:rFonts w:hint="eastAsia" w:hAnsi="宋体"/>
          <w:snapToGrid w:val="0"/>
          <w:color w:val="auto"/>
          <w:kern w:val="0"/>
          <w:vertAlign w:val="subscript"/>
        </w:rPr>
        <w:t>2</w:t>
      </w:r>
      <w:r>
        <w:rPr>
          <w:rFonts w:hint="eastAsia" w:hAnsi="宋体"/>
          <w:snapToGrid w:val="0"/>
          <w:color w:val="auto"/>
          <w:kern w:val="0"/>
        </w:rPr>
        <w:t>、氨气及颗粒物</w:t>
      </w:r>
      <w:r>
        <w:rPr>
          <w:rFonts w:hAnsi="宋体"/>
          <w:snapToGrid w:val="0"/>
          <w:color w:val="auto"/>
          <w:kern w:val="0"/>
        </w:rPr>
        <w:t>。</w:t>
      </w:r>
    </w:p>
    <w:p w14:paraId="2151DCEE">
      <w:pPr>
        <w:ind w:firstLine="480"/>
        <w:rPr>
          <w:snapToGrid w:val="0"/>
          <w:color w:val="auto"/>
          <w:kern w:val="0"/>
        </w:rPr>
      </w:pPr>
      <w:r>
        <w:rPr>
          <w:rFonts w:hAnsi="宋体"/>
          <w:snapToGrid w:val="0"/>
          <w:color w:val="auto"/>
          <w:kern w:val="0"/>
        </w:rPr>
        <w:t>建设方</w:t>
      </w:r>
      <w:r>
        <w:rPr>
          <w:rFonts w:hint="eastAsia" w:hAnsi="宋体"/>
          <w:snapToGrid w:val="0"/>
          <w:color w:val="auto"/>
          <w:kern w:val="0"/>
        </w:rPr>
        <w:t>在</w:t>
      </w:r>
      <w:r>
        <w:rPr>
          <w:rFonts w:hAnsi="宋体"/>
          <w:snapToGrid w:val="0"/>
          <w:color w:val="auto"/>
          <w:kern w:val="0"/>
        </w:rPr>
        <w:t>采用国内先进成熟的生产工艺和设备的基础上，对生产过程中危险的部位采取可靠的防护措施，提高设备的自动化水平，加强管理，降低跑、冒、滴、漏等各种事故的发生。企业具体措施如下：</w:t>
      </w:r>
    </w:p>
    <w:p w14:paraId="26F3F364">
      <w:pPr>
        <w:adjustRightInd/>
        <w:snapToGrid/>
        <w:ind w:firstLine="480"/>
        <w:rPr>
          <w:snapToGrid w:val="0"/>
          <w:color w:val="auto"/>
          <w:kern w:val="0"/>
          <w:szCs w:val="22"/>
        </w:rPr>
      </w:pPr>
      <w:r>
        <w:rPr>
          <w:rFonts w:hint="eastAsia" w:hAnsi="宋体"/>
          <w:snapToGrid w:val="0"/>
          <w:color w:val="auto"/>
          <w:kern w:val="0"/>
          <w:szCs w:val="22"/>
        </w:rPr>
        <w:t>（1）</w:t>
      </w:r>
      <w:r>
        <w:rPr>
          <w:rFonts w:hAnsi="宋体"/>
          <w:snapToGrid w:val="0"/>
          <w:color w:val="auto"/>
          <w:kern w:val="0"/>
          <w:szCs w:val="22"/>
        </w:rPr>
        <w:t>储存和装卸废气控制</w:t>
      </w:r>
    </w:p>
    <w:p w14:paraId="437DFAE9">
      <w:pPr>
        <w:ind w:firstLine="480"/>
        <w:rPr>
          <w:snapToGrid w:val="0"/>
          <w:color w:val="auto"/>
          <w:kern w:val="0"/>
        </w:rPr>
      </w:pPr>
      <w:r>
        <w:rPr>
          <w:rFonts w:hAnsi="宋体"/>
          <w:snapToGrid w:val="0"/>
          <w:color w:val="auto"/>
          <w:kern w:val="0"/>
        </w:rPr>
        <w:t>拟建项目</w:t>
      </w:r>
      <w:r>
        <w:rPr>
          <w:rFonts w:hint="eastAsia" w:hAnsi="宋体"/>
          <w:snapToGrid w:val="0"/>
          <w:color w:val="auto"/>
          <w:kern w:val="0"/>
        </w:rPr>
        <w:t>原料</w:t>
      </w:r>
      <w:r>
        <w:rPr>
          <w:rFonts w:hint="eastAsia"/>
          <w:color w:val="auto"/>
        </w:rPr>
        <w:t>氨水</w:t>
      </w:r>
      <w:r>
        <w:rPr>
          <w:rFonts w:hAnsi="宋体"/>
          <w:snapToGrid w:val="0"/>
          <w:color w:val="auto"/>
          <w:kern w:val="0"/>
        </w:rPr>
        <w:t>采用储罐存贮，储罐配有呼吸阀、液位计、高液位报警仪以及防雷、防静电等设施</w:t>
      </w:r>
      <w:r>
        <w:rPr>
          <w:rFonts w:hint="eastAsia" w:hAnsi="宋体"/>
          <w:snapToGrid w:val="0"/>
          <w:color w:val="auto"/>
          <w:kern w:val="0"/>
        </w:rPr>
        <w:t>。</w:t>
      </w:r>
      <w:r>
        <w:rPr>
          <w:rFonts w:hint="eastAsia" w:hAnsi="宋体"/>
          <w:color w:val="auto"/>
        </w:rPr>
        <w:t>储罐配设呼吸阀及</w:t>
      </w:r>
      <w:r>
        <w:rPr>
          <w:rFonts w:hint="eastAsia" w:hAnsi="宋体"/>
          <w:snapToGrid w:val="0"/>
          <w:color w:val="auto"/>
          <w:kern w:val="0"/>
        </w:rPr>
        <w:t>水封/氮封措施，以减少无组织呼吸废气排放。</w:t>
      </w:r>
    </w:p>
    <w:p w14:paraId="7DB56789">
      <w:pPr>
        <w:ind w:firstLine="480"/>
        <w:rPr>
          <w:rFonts w:hint="eastAsia" w:hAnsi="宋体"/>
          <w:snapToGrid w:val="0"/>
          <w:color w:val="auto"/>
          <w:kern w:val="0"/>
        </w:rPr>
      </w:pPr>
      <w:r>
        <w:rPr>
          <w:rFonts w:hint="eastAsia" w:hAnsi="宋体"/>
          <w:snapToGrid w:val="0"/>
          <w:color w:val="auto"/>
          <w:kern w:val="0"/>
        </w:rPr>
        <w:t>（2）物料转移和输送</w:t>
      </w:r>
    </w:p>
    <w:p w14:paraId="44756715">
      <w:pPr>
        <w:ind w:firstLine="480"/>
        <w:rPr>
          <w:rFonts w:hint="eastAsia" w:hAnsi="宋体"/>
          <w:snapToGrid w:val="0"/>
          <w:color w:val="auto"/>
          <w:kern w:val="0"/>
        </w:rPr>
      </w:pPr>
      <w:r>
        <w:rPr>
          <w:rFonts w:hint="eastAsia" w:hAnsi="宋体"/>
          <w:snapToGrid w:val="0"/>
          <w:color w:val="auto"/>
          <w:kern w:val="0"/>
        </w:rPr>
        <w:t>液体原辅料输送、转移时采用密闭管道输送及无泄漏泵输送，对设备与管线组件（泵、阀门、开口阀或开口管线等），进行泄露检测与控制。固体原辅料采用密闭的包装袋进行物料的转移和输送。</w:t>
      </w:r>
    </w:p>
    <w:p w14:paraId="216A58C2">
      <w:pPr>
        <w:ind w:firstLine="480"/>
        <w:rPr>
          <w:rFonts w:hint="eastAsia" w:hAnsi="宋体"/>
          <w:snapToGrid w:val="0"/>
          <w:color w:val="auto"/>
          <w:kern w:val="0"/>
        </w:rPr>
      </w:pPr>
      <w:r>
        <w:rPr>
          <w:rFonts w:hint="eastAsia" w:hAnsi="宋体"/>
          <w:snapToGrid w:val="0"/>
          <w:color w:val="auto"/>
          <w:kern w:val="0"/>
        </w:rPr>
        <w:t>（3）生产过程废气控制</w:t>
      </w:r>
    </w:p>
    <w:p w14:paraId="36FBB92D">
      <w:pPr>
        <w:ind w:firstLine="480"/>
        <w:rPr>
          <w:rFonts w:hint="eastAsia" w:hAnsi="宋体"/>
          <w:snapToGrid w:val="0"/>
          <w:color w:val="auto"/>
          <w:kern w:val="0"/>
        </w:rPr>
      </w:pPr>
      <w:r>
        <w:rPr>
          <w:rFonts w:hint="eastAsia" w:hAnsi="宋体"/>
          <w:snapToGrid w:val="0"/>
          <w:color w:val="auto"/>
          <w:kern w:val="0"/>
        </w:rPr>
        <w:t>液态物料采用密闭管道输送方式或采用高位槽（罐）、桶泵等给料方式密闭投加，产生的废气经密闭管道收集后送至废气处理装置处置。</w:t>
      </w:r>
    </w:p>
    <w:p w14:paraId="44C9902D">
      <w:pPr>
        <w:ind w:firstLine="480"/>
        <w:rPr>
          <w:rFonts w:hint="eastAsia" w:hAnsi="宋体"/>
          <w:snapToGrid w:val="0"/>
          <w:color w:val="auto"/>
          <w:kern w:val="0"/>
        </w:rPr>
      </w:pPr>
      <w:r>
        <w:rPr>
          <w:rFonts w:hint="eastAsia" w:hAnsi="宋体"/>
          <w:snapToGrid w:val="0"/>
          <w:color w:val="auto"/>
          <w:kern w:val="0"/>
        </w:rPr>
        <w:t>反应期间，反应设备的进料口、出料口、检修口、搅拌口、观察孔等开口（孔）均保持密闭状态。项目生产过程中采用全自动密闭设备，以降低劳动强度，改善操作现场，减少系统开放时间。</w:t>
      </w:r>
    </w:p>
    <w:p w14:paraId="7ECE0B54">
      <w:pPr>
        <w:ind w:firstLine="480"/>
        <w:rPr>
          <w:rFonts w:hint="eastAsia" w:hAnsi="宋体"/>
          <w:snapToGrid w:val="0"/>
          <w:color w:val="auto"/>
          <w:kern w:val="0"/>
        </w:rPr>
      </w:pPr>
      <w:r>
        <w:rPr>
          <w:rFonts w:hint="eastAsia" w:hAnsi="宋体"/>
          <w:snapToGrid w:val="0"/>
          <w:color w:val="auto"/>
          <w:kern w:val="0"/>
        </w:rPr>
        <w:t>（4）优化废气收集系统设计</w:t>
      </w:r>
    </w:p>
    <w:p w14:paraId="494E2DD4">
      <w:pPr>
        <w:ind w:firstLine="480"/>
        <w:rPr>
          <w:rFonts w:hint="eastAsia" w:hAnsi="宋体"/>
          <w:snapToGrid w:val="0"/>
          <w:color w:val="auto"/>
          <w:kern w:val="0"/>
        </w:rPr>
      </w:pPr>
      <w:r>
        <w:rPr>
          <w:rFonts w:hint="eastAsia" w:hAnsi="宋体"/>
          <w:snapToGrid w:val="0"/>
          <w:color w:val="auto"/>
          <w:kern w:val="0"/>
        </w:rPr>
        <w:t>为保证各类废气收集率大于90%，方案遵循“应收尽收、分质收集”的原则，根据气体性质、流量等因素综合设计，确保废气收集效果。</w:t>
      </w:r>
    </w:p>
    <w:p w14:paraId="358536D9">
      <w:pPr>
        <w:ind w:firstLine="480"/>
        <w:rPr>
          <w:rFonts w:hint="eastAsia" w:hAnsi="宋体"/>
          <w:snapToGrid w:val="0"/>
          <w:color w:val="auto"/>
          <w:kern w:val="0"/>
        </w:rPr>
      </w:pPr>
      <w:r>
        <w:rPr>
          <w:rFonts w:hint="eastAsia" w:hAnsi="宋体"/>
          <w:snapToGrid w:val="0"/>
          <w:color w:val="auto"/>
          <w:kern w:val="0"/>
        </w:rPr>
        <w:t>①在废气处理设施建设中必须统筹考虑废气收集系统，废气收集系统要充分考虑防腐、防火、耐高温等因素。输送易燃易爆污染气体的管道，应采取防止静电的措施。</w:t>
      </w:r>
    </w:p>
    <w:p w14:paraId="7BDEAB24">
      <w:pPr>
        <w:ind w:firstLine="480"/>
        <w:rPr>
          <w:rFonts w:hint="eastAsia" w:hAnsi="宋体"/>
          <w:snapToGrid w:val="0"/>
          <w:color w:val="auto"/>
          <w:kern w:val="0"/>
        </w:rPr>
      </w:pPr>
      <w:r>
        <w:rPr>
          <w:rFonts w:hint="eastAsia" w:hAnsi="宋体"/>
          <w:snapToGrid w:val="0"/>
          <w:color w:val="auto"/>
          <w:kern w:val="0"/>
        </w:rPr>
        <w:t>②对反应釜等高浓度低流量废气在收集时需合理控制管道系统负压，尽量减少原料或溶剂不必要损耗。</w:t>
      </w:r>
    </w:p>
    <w:p w14:paraId="12CA7631">
      <w:pPr>
        <w:ind w:firstLine="480"/>
        <w:rPr>
          <w:rFonts w:hint="eastAsia" w:hAnsi="宋体"/>
          <w:snapToGrid w:val="0"/>
          <w:color w:val="auto"/>
          <w:kern w:val="0"/>
        </w:rPr>
      </w:pPr>
      <w:r>
        <w:rPr>
          <w:rFonts w:hint="eastAsia" w:hAnsi="宋体"/>
          <w:snapToGrid w:val="0"/>
          <w:color w:val="auto"/>
          <w:kern w:val="0"/>
        </w:rPr>
        <w:t>③污染气体应通过管道输送至净化装置。管道布置应结合生产工艺，力求简单、紧凑、管线短、占地空间少。</w:t>
      </w:r>
    </w:p>
    <w:p w14:paraId="01DAB156">
      <w:pPr>
        <w:ind w:firstLine="480"/>
        <w:rPr>
          <w:rFonts w:hint="eastAsia" w:hAnsi="宋体"/>
          <w:snapToGrid w:val="0"/>
          <w:color w:val="auto"/>
          <w:kern w:val="0"/>
        </w:rPr>
      </w:pPr>
      <w:r>
        <w:rPr>
          <w:rFonts w:hint="eastAsia" w:hAnsi="宋体"/>
          <w:snapToGrid w:val="0"/>
          <w:color w:val="auto"/>
          <w:kern w:val="0"/>
        </w:rPr>
        <w:t>④管道布置宜明装，并沿墙或柱集中成行或列，平行敷设。管道与梁、柱、墙、设备及管道之间应按相关规范设计间隔距离，满足施工、运行、检修和热胀冷缩的要求。</w:t>
      </w:r>
    </w:p>
    <w:p w14:paraId="1065BD3B">
      <w:pPr>
        <w:ind w:firstLine="480"/>
        <w:rPr>
          <w:rFonts w:hint="eastAsia" w:hAnsi="宋体"/>
          <w:snapToGrid w:val="0"/>
          <w:color w:val="auto"/>
          <w:kern w:val="0"/>
        </w:rPr>
      </w:pPr>
      <w:r>
        <w:rPr>
          <w:rFonts w:hint="eastAsia" w:hAnsi="宋体"/>
          <w:snapToGrid w:val="0"/>
          <w:color w:val="auto"/>
          <w:kern w:val="0"/>
        </w:rPr>
        <w:t>⑤管道材料应根据输送介质的温度和性质确定，所选材料的类型和规格应符合相关设计规范和产品技术要求。</w:t>
      </w:r>
    </w:p>
    <w:p w14:paraId="048E387E">
      <w:pPr>
        <w:ind w:firstLine="480"/>
        <w:rPr>
          <w:rFonts w:hint="eastAsia" w:hAnsi="宋体"/>
          <w:snapToGrid w:val="0"/>
          <w:color w:val="auto"/>
          <w:kern w:val="0"/>
        </w:rPr>
      </w:pPr>
      <w:r>
        <w:rPr>
          <w:rFonts w:hint="eastAsia" w:hAnsi="宋体"/>
          <w:snapToGrid w:val="0"/>
          <w:color w:val="auto"/>
          <w:kern w:val="0"/>
        </w:rPr>
        <w:t>⑥管道系统宜设计成负压，如必须正压时，其正压段不宜穿过房间室内，必须穿过房间时应采取措施防止介质泄漏事故发生。</w:t>
      </w:r>
    </w:p>
    <w:p w14:paraId="7B902E71">
      <w:pPr>
        <w:ind w:firstLine="480"/>
        <w:rPr>
          <w:rFonts w:hint="eastAsia" w:hAnsi="宋体"/>
          <w:snapToGrid w:val="0"/>
          <w:color w:val="auto"/>
          <w:kern w:val="0"/>
        </w:rPr>
      </w:pPr>
      <w:r>
        <w:rPr>
          <w:rFonts w:hint="eastAsia" w:hAnsi="宋体"/>
          <w:snapToGrid w:val="0"/>
          <w:color w:val="auto"/>
          <w:kern w:val="0"/>
        </w:rPr>
        <w:t>（5）装置检修和生产过程跑、冒、滴、漏产生的气味</w:t>
      </w:r>
    </w:p>
    <w:p w14:paraId="0953E181">
      <w:pPr>
        <w:ind w:firstLine="480"/>
        <w:rPr>
          <w:rFonts w:hint="eastAsia" w:hAnsi="宋体"/>
          <w:snapToGrid w:val="0"/>
          <w:color w:val="auto"/>
          <w:kern w:val="0"/>
        </w:rPr>
      </w:pPr>
      <w:r>
        <w:rPr>
          <w:rFonts w:hint="eastAsia" w:hAnsi="宋体"/>
          <w:snapToGrid w:val="0"/>
          <w:color w:val="auto"/>
          <w:kern w:val="0"/>
        </w:rPr>
        <w:t>①借鉴先进理念，改进工业设计，从源头设计方面提高装置运行的稳定性。</w:t>
      </w:r>
    </w:p>
    <w:p w14:paraId="45195AE0">
      <w:pPr>
        <w:ind w:firstLine="480"/>
        <w:rPr>
          <w:rFonts w:hint="eastAsia" w:hAnsi="宋体"/>
          <w:snapToGrid w:val="0"/>
          <w:color w:val="auto"/>
          <w:kern w:val="0"/>
        </w:rPr>
      </w:pPr>
      <w:r>
        <w:rPr>
          <w:rFonts w:hint="eastAsia" w:hAnsi="宋体"/>
          <w:snapToGrid w:val="0"/>
          <w:color w:val="auto"/>
          <w:kern w:val="0"/>
        </w:rPr>
        <w:t>改进厂房设计。在保证安全的前提下，对重点区域推广封闭式厂房，减少开放式厂房，减少废气的无组织排放。</w:t>
      </w:r>
    </w:p>
    <w:p w14:paraId="6B426836">
      <w:pPr>
        <w:ind w:firstLine="480"/>
        <w:rPr>
          <w:rFonts w:hint="eastAsia" w:hAnsi="宋体"/>
          <w:snapToGrid w:val="0"/>
          <w:color w:val="auto"/>
          <w:kern w:val="0"/>
        </w:rPr>
      </w:pPr>
      <w:r>
        <w:rPr>
          <w:rFonts w:hint="eastAsia" w:hAnsi="宋体"/>
          <w:snapToGrid w:val="0"/>
          <w:color w:val="auto"/>
          <w:kern w:val="0"/>
        </w:rPr>
        <w:t>推行设备大型化设计。减少设备频繁调开现象，从而减少系统清洗次数，提高生产组织的计划性、稳定性和清洁化程度。</w:t>
      </w:r>
    </w:p>
    <w:p w14:paraId="76B9E07D">
      <w:pPr>
        <w:ind w:firstLine="480"/>
        <w:rPr>
          <w:rFonts w:hint="eastAsia" w:hAnsi="宋体"/>
          <w:snapToGrid w:val="0"/>
          <w:color w:val="auto"/>
          <w:kern w:val="0"/>
        </w:rPr>
      </w:pPr>
      <w:r>
        <w:rPr>
          <w:rFonts w:hint="eastAsia" w:hAnsi="宋体"/>
          <w:snapToGrid w:val="0"/>
          <w:color w:val="auto"/>
          <w:kern w:val="0"/>
        </w:rPr>
        <w:t>大规模推广DCS控制。加快信息化技术的应用，通过自动化、连续化、智能化等手段，提高生产的控制水平。</w:t>
      </w:r>
    </w:p>
    <w:p w14:paraId="6A3F5E60">
      <w:pPr>
        <w:ind w:firstLine="480"/>
        <w:rPr>
          <w:rFonts w:hint="eastAsia" w:hAnsi="宋体"/>
          <w:snapToGrid w:val="0"/>
          <w:color w:val="auto"/>
          <w:kern w:val="0"/>
        </w:rPr>
      </w:pPr>
      <w:r>
        <w:rPr>
          <w:rFonts w:hint="eastAsia" w:hAnsi="宋体"/>
          <w:snapToGrid w:val="0"/>
          <w:color w:val="auto"/>
          <w:kern w:val="0"/>
        </w:rPr>
        <w:t>②引进先进装备，提高装备水平，减少跑冒滴漏产生的气味。</w:t>
      </w:r>
    </w:p>
    <w:p w14:paraId="79275077">
      <w:pPr>
        <w:ind w:firstLine="480"/>
        <w:rPr>
          <w:rFonts w:hint="eastAsia" w:hAnsi="宋体"/>
          <w:snapToGrid w:val="0"/>
          <w:color w:val="auto"/>
          <w:kern w:val="0"/>
        </w:rPr>
      </w:pPr>
      <w:r>
        <w:rPr>
          <w:rFonts w:hint="eastAsia" w:hAnsi="宋体"/>
          <w:snapToGrid w:val="0"/>
          <w:color w:val="auto"/>
          <w:kern w:val="0"/>
        </w:rPr>
        <w:t>优先设备材质选型和设计参数，提高设备制造品质，增强设备长周期、无泄漏运行的保障能力。选用新型泵型等替代传统泵型，消除动密封点易泄漏问题。</w:t>
      </w:r>
    </w:p>
    <w:p w14:paraId="1A225705">
      <w:pPr>
        <w:ind w:firstLine="480"/>
        <w:rPr>
          <w:rFonts w:hint="eastAsia" w:hAnsi="宋体"/>
          <w:snapToGrid w:val="0"/>
          <w:color w:val="auto"/>
          <w:kern w:val="0"/>
        </w:rPr>
      </w:pPr>
      <w:r>
        <w:rPr>
          <w:rFonts w:hint="eastAsia" w:hAnsi="宋体"/>
          <w:snapToGrid w:val="0"/>
          <w:color w:val="auto"/>
          <w:kern w:val="0"/>
        </w:rPr>
        <w:t>（6）设备泄漏检测与修复</w:t>
      </w:r>
    </w:p>
    <w:p w14:paraId="04AED01C">
      <w:pPr>
        <w:ind w:firstLine="480"/>
        <w:rPr>
          <w:rFonts w:hint="eastAsia" w:hAnsi="宋体"/>
          <w:snapToGrid w:val="0"/>
          <w:color w:val="auto"/>
          <w:kern w:val="0"/>
        </w:rPr>
      </w:pPr>
      <w:r>
        <w:rPr>
          <w:rFonts w:hint="eastAsia" w:hAnsi="宋体"/>
          <w:snapToGrid w:val="0"/>
          <w:color w:val="auto"/>
          <w:kern w:val="0"/>
        </w:rPr>
        <w:t>企业全面推行LDAR技术，建立LDAR管理制度，细化工作程序、检测方法、检测频率、泄漏浓度限值、修复要求等关键要素，全面分析泄漏点信息，对易泄漏环节制定针对性改进措施，控制和减少VOCs泄漏排放，对易泄漏点进行定期检测并及时修复泄漏点，严格控制跑、冒、滴、漏和无组织泄漏排放。企业根据物料特性选用符合要求的优质管道、法兰、垫片、紧固件，应通过加装盲板、丝堵、管帽、双阀等措施减少设备和管线排放口、采样口等泄漏的可能性。</w:t>
      </w:r>
    </w:p>
    <w:p w14:paraId="35456B45">
      <w:pPr>
        <w:pStyle w:val="4"/>
        <w:rPr>
          <w:color w:val="auto"/>
        </w:rPr>
      </w:pPr>
      <w:bookmarkStart w:id="275" w:name="_Toc12949"/>
      <w:r>
        <w:rPr>
          <w:rFonts w:hint="eastAsia"/>
          <w:color w:val="auto"/>
        </w:rPr>
        <w:t>7.2.4经济可行性分析</w:t>
      </w:r>
      <w:bookmarkEnd w:id="275"/>
    </w:p>
    <w:p w14:paraId="7E041FFE">
      <w:pPr>
        <w:adjustRightInd/>
        <w:snapToGrid/>
        <w:ind w:firstLine="480"/>
        <w:rPr>
          <w:rFonts w:hAnsi="Arial"/>
          <w:bCs/>
          <w:snapToGrid w:val="0"/>
          <w:color w:val="auto"/>
          <w:kern w:val="0"/>
          <w:szCs w:val="20"/>
        </w:rPr>
      </w:pPr>
      <w:r>
        <w:rPr>
          <w:rFonts w:hint="eastAsia" w:hAnsi="Arial"/>
          <w:bCs/>
          <w:snapToGrid w:val="0"/>
          <w:color w:val="auto"/>
          <w:kern w:val="0"/>
          <w:szCs w:val="20"/>
        </w:rPr>
        <w:t>（一）投资成本合理性</w:t>
      </w:r>
    </w:p>
    <w:p w14:paraId="799CA673">
      <w:pPr>
        <w:adjustRightInd/>
        <w:snapToGrid/>
        <w:ind w:firstLine="480"/>
        <w:rPr>
          <w:rFonts w:hAnsi="Arial"/>
          <w:bCs/>
          <w:snapToGrid w:val="0"/>
          <w:color w:val="auto"/>
          <w:kern w:val="0"/>
          <w:szCs w:val="20"/>
        </w:rPr>
      </w:pPr>
      <w:r>
        <w:rPr>
          <w:rFonts w:hint="eastAsia" w:hAnsi="Arial"/>
          <w:bCs/>
          <w:snapToGrid w:val="0"/>
          <w:color w:val="auto"/>
          <w:kern w:val="0"/>
          <w:szCs w:val="20"/>
        </w:rPr>
        <w:t>设备投资：拟建项目废气治理遵循充分依托厂区现有环保设施、仅新增局部配套管件与自控配件的投资原则。项目生产装置、原料及产品仓储全部利用厂区现有1#、2#车间生产设备与丙类仓库，不新建生产构筑物。二氧化硫废气依托2#车间的“碱吸收+水喷淋＋电除雾”装置处理；氨废气依托1#车间水喷淋+3#车间“三级碱吸收+水喷淋+电除雾”成熟装置；干燥废气颗粒物依托现有布袋除尘设备；氨水储罐呼吸废气配套罐顶喷淋吸收塔均沿用厂区已建环保主体设备，本次仅增补废气收集管线、配套仪表、少量循环辅材，盘活现有环保固定资产，大幅压低新增环保一次性投入，投资模式契合技改项目低成本改造的建设特点，投资额度经济合理。</w:t>
      </w:r>
    </w:p>
    <w:p w14:paraId="0D4823AC">
      <w:pPr>
        <w:adjustRightInd/>
        <w:snapToGrid/>
        <w:ind w:firstLine="480"/>
        <w:rPr>
          <w:rFonts w:hAnsi="Arial"/>
          <w:bCs/>
          <w:snapToGrid w:val="0"/>
          <w:color w:val="auto"/>
          <w:kern w:val="0"/>
          <w:szCs w:val="20"/>
        </w:rPr>
      </w:pPr>
      <w:r>
        <w:rPr>
          <w:rFonts w:hint="eastAsia" w:hAnsi="Arial"/>
          <w:bCs/>
          <w:snapToGrid w:val="0"/>
          <w:color w:val="auto"/>
          <w:kern w:val="0"/>
          <w:szCs w:val="20"/>
        </w:rPr>
        <w:t>安装工程：拟建环保安装投入纳入13万元安装工程费用，无新增建筑工程投资，环保施工仅开展废气密闭管路接驳、仪表接线、现有塔体配套辅件加装作业，依托厂区自有维修班组配合环保安装单位施工，无需新建构筑物、大型基建开挖作业，规避大额土建施工开销；管材、喷淋配件就近选取本地供货商采购，压缩物流及施工造价，安装成本可控。</w:t>
      </w:r>
    </w:p>
    <w:p w14:paraId="62B2C41F">
      <w:pPr>
        <w:adjustRightInd/>
        <w:snapToGrid/>
        <w:ind w:firstLine="480"/>
        <w:rPr>
          <w:rFonts w:hAnsi="Arial"/>
          <w:bCs/>
          <w:snapToGrid w:val="0"/>
          <w:color w:val="auto"/>
          <w:kern w:val="0"/>
          <w:szCs w:val="20"/>
        </w:rPr>
      </w:pPr>
      <w:r>
        <w:rPr>
          <w:rFonts w:hint="eastAsia" w:hAnsi="Arial"/>
          <w:bCs/>
          <w:snapToGrid w:val="0"/>
          <w:color w:val="auto"/>
          <w:kern w:val="0"/>
          <w:szCs w:val="20"/>
        </w:rPr>
        <w:t>其他投资：设计费、工程监理、试运转等其他相关投资155.5万元，包含环保方案专项设计、环保工程监理、治理系统联动调试等内容，相关费用按照化工技改行业收费标准计取，费用构成规范合理。</w:t>
      </w:r>
    </w:p>
    <w:p w14:paraId="7EC8FF25">
      <w:pPr>
        <w:adjustRightInd/>
        <w:snapToGrid/>
        <w:ind w:firstLine="480"/>
        <w:rPr>
          <w:rFonts w:hAnsi="Arial"/>
          <w:bCs/>
          <w:snapToGrid w:val="0"/>
          <w:color w:val="auto"/>
          <w:kern w:val="0"/>
          <w:szCs w:val="20"/>
        </w:rPr>
      </w:pPr>
      <w:r>
        <w:rPr>
          <w:rFonts w:hint="eastAsia" w:hAnsi="Arial"/>
          <w:bCs/>
          <w:snapToGrid w:val="0"/>
          <w:color w:val="auto"/>
          <w:kern w:val="0"/>
          <w:szCs w:val="20"/>
        </w:rPr>
        <w:t>（二）运行成本可控性</w:t>
      </w:r>
    </w:p>
    <w:p w14:paraId="5242FCB8">
      <w:pPr>
        <w:adjustRightInd/>
        <w:snapToGrid/>
        <w:ind w:firstLine="480"/>
        <w:rPr>
          <w:rFonts w:hAnsi="Arial"/>
          <w:bCs/>
          <w:snapToGrid w:val="0"/>
          <w:color w:val="auto"/>
          <w:kern w:val="0"/>
          <w:szCs w:val="20"/>
        </w:rPr>
      </w:pPr>
      <w:r>
        <w:rPr>
          <w:rFonts w:hint="eastAsia" w:hAnsi="Arial"/>
          <w:bCs/>
          <w:snapToGrid w:val="0"/>
          <w:color w:val="auto"/>
          <w:kern w:val="0"/>
          <w:szCs w:val="20"/>
        </w:rPr>
        <w:t>能耗成本：项目各类废气治理装置全部依托厂区现有公用工程系统，循环水、冷冻水、供电、供热均复用厂区现有冷冻站、循环水站、变配电设施，喷淋系统循环泵、电除雾机组等设备与现有环保装置共用配套动力系统，无需新增独立公用工程设备，新增水、电、蒸汽增量能耗极低；氨水吸收工段循环吸收母液可持续富集副产氨水，回收氨水直接作为盐酸苯肼产品生产原料，实现废气资源化创收，抵消大部分药剂采购成本。</w:t>
      </w:r>
    </w:p>
    <w:p w14:paraId="64415E7C">
      <w:pPr>
        <w:adjustRightInd/>
        <w:snapToGrid/>
        <w:ind w:firstLine="480"/>
        <w:rPr>
          <w:rFonts w:hAnsi="Arial"/>
          <w:bCs/>
          <w:snapToGrid w:val="0"/>
          <w:color w:val="auto"/>
          <w:kern w:val="0"/>
          <w:szCs w:val="20"/>
        </w:rPr>
      </w:pPr>
      <w:r>
        <w:rPr>
          <w:rFonts w:hint="eastAsia" w:hAnsi="Arial"/>
          <w:bCs/>
          <w:snapToGrid w:val="0"/>
          <w:color w:val="auto"/>
          <w:kern w:val="0"/>
          <w:szCs w:val="20"/>
        </w:rPr>
        <w:t>耗材及维保成本：氨废气多级喷淋、布袋除尘均为行业成熟低运维工艺，喷淋药剂、滤袋等耗材采购渠道成熟、单价稳定；依托企业现有环保运维班组统一巡检保养，无需新增专职环保运维人员，环保年运行成本远低于同行业新建配套废气装置的平均运维水平，日常运行开销可控。</w:t>
      </w:r>
    </w:p>
    <w:p w14:paraId="35300E0B">
      <w:pPr>
        <w:adjustRightInd/>
        <w:snapToGrid/>
        <w:ind w:firstLine="480"/>
        <w:rPr>
          <w:rFonts w:hAnsi="Arial"/>
          <w:bCs/>
          <w:snapToGrid w:val="0"/>
          <w:color w:val="auto"/>
          <w:kern w:val="0"/>
          <w:szCs w:val="20"/>
        </w:rPr>
      </w:pPr>
      <w:r>
        <w:rPr>
          <w:rFonts w:hint="eastAsia" w:hAnsi="Arial"/>
          <w:bCs/>
          <w:snapToGrid w:val="0"/>
          <w:color w:val="auto"/>
          <w:kern w:val="0"/>
          <w:szCs w:val="20"/>
        </w:rPr>
        <w:t>拟建项目废气采用布袋除尘、多级喷淋吸收+电除雾成熟治理工艺，企业依托多年同类环保设施运维经验，常态化落实环保设备检修保养，可稳定保障各废气处理装置设计去除效率，确保颗粒物、氨、二氧化硫稳定满足排放标准限值。拟建整体经济效益良好，废气治理分摊的一次性建设投资与年度运行费用在项目盈利承受范围内，企业资金可足额保障环保投入。</w:t>
      </w:r>
    </w:p>
    <w:p w14:paraId="65D9CCFF">
      <w:pPr>
        <w:adjustRightInd/>
        <w:snapToGrid/>
        <w:ind w:firstLine="480"/>
        <w:rPr>
          <w:rFonts w:hAnsi="Arial"/>
          <w:bCs/>
          <w:snapToGrid w:val="0"/>
          <w:color w:val="auto"/>
          <w:kern w:val="0"/>
          <w:szCs w:val="20"/>
        </w:rPr>
      </w:pPr>
      <w:r>
        <w:rPr>
          <w:rFonts w:hint="eastAsia" w:hAnsi="Arial"/>
          <w:bCs/>
          <w:snapToGrid w:val="0"/>
          <w:color w:val="auto"/>
          <w:kern w:val="0"/>
          <w:szCs w:val="20"/>
        </w:rPr>
        <w:t>综上所述，拟建项目废气污染防治措施依托现有设施改造，投资节省、运维低廉，资源化回收进一步提升经济效益，废气治理方案在经济层面具备可行性。</w:t>
      </w:r>
    </w:p>
    <w:p w14:paraId="1184B00C">
      <w:pPr>
        <w:pStyle w:val="3"/>
        <w:spacing w:before="385"/>
        <w:rPr>
          <w:color w:val="auto"/>
        </w:rPr>
      </w:pPr>
      <w:bookmarkStart w:id="276" w:name="_Toc25929"/>
      <w:bookmarkStart w:id="277" w:name="_Toc21495"/>
      <w:bookmarkStart w:id="278" w:name="_Toc12091"/>
      <w:r>
        <w:rPr>
          <w:color w:val="auto"/>
        </w:rPr>
        <w:t>7.</w:t>
      </w:r>
      <w:r>
        <w:rPr>
          <w:rFonts w:hint="eastAsia"/>
          <w:color w:val="auto"/>
        </w:rPr>
        <w:t>3噪声控制措施评述</w:t>
      </w:r>
      <w:bookmarkEnd w:id="276"/>
      <w:bookmarkEnd w:id="277"/>
      <w:bookmarkEnd w:id="278"/>
    </w:p>
    <w:p w14:paraId="6E591DB3">
      <w:pPr>
        <w:pStyle w:val="4"/>
        <w:rPr>
          <w:color w:val="auto"/>
        </w:rPr>
      </w:pPr>
      <w:bookmarkStart w:id="279" w:name="_Toc26374"/>
      <w:bookmarkStart w:id="280" w:name="_Toc17927"/>
      <w:r>
        <w:rPr>
          <w:color w:val="auto"/>
        </w:rPr>
        <w:t>7.3.1</w:t>
      </w:r>
      <w:r>
        <w:rPr>
          <w:rFonts w:hint="eastAsia"/>
          <w:color w:val="auto"/>
        </w:rPr>
        <w:t>噪声</w:t>
      </w:r>
      <w:r>
        <w:rPr>
          <w:color w:val="auto"/>
        </w:rPr>
        <w:t>治理措施</w:t>
      </w:r>
      <w:bookmarkEnd w:id="279"/>
      <w:bookmarkEnd w:id="280"/>
    </w:p>
    <w:p w14:paraId="7B03A54B">
      <w:pPr>
        <w:ind w:firstLine="480"/>
        <w:rPr>
          <w:color w:val="auto"/>
        </w:rPr>
      </w:pPr>
      <w:r>
        <w:rPr>
          <w:rFonts w:hint="eastAsia"/>
          <w:color w:val="auto"/>
        </w:rPr>
        <w:t>拟建项目生产设备、公辅设施、环保设施均依托现有项目，不新增高噪声设备。现有生产</w:t>
      </w:r>
      <w:r>
        <w:rPr>
          <w:color w:val="auto"/>
        </w:rPr>
        <w:t>设备运行时声级值一般为75-90dB</w:t>
      </w:r>
      <w:r>
        <w:rPr>
          <w:rFonts w:hint="eastAsia"/>
          <w:color w:val="auto"/>
        </w:rPr>
        <w:t>（</w:t>
      </w:r>
      <w:r>
        <w:rPr>
          <w:color w:val="auto"/>
        </w:rPr>
        <w:t>A</w:t>
      </w:r>
      <w:r>
        <w:rPr>
          <w:rFonts w:hint="eastAsia"/>
          <w:color w:val="auto"/>
        </w:rPr>
        <w:t>）</w:t>
      </w:r>
      <w:r>
        <w:rPr>
          <w:color w:val="auto"/>
        </w:rPr>
        <w:t>，大都安置在车间内，通过厂房隔声、减震以及合理布局等措施处理，设备噪声对厂界的影响值较小，不会造成厂界噪声超标。</w:t>
      </w:r>
    </w:p>
    <w:p w14:paraId="55E9241B">
      <w:pPr>
        <w:ind w:firstLine="480"/>
        <w:rPr>
          <w:color w:val="auto"/>
        </w:rPr>
      </w:pPr>
      <w:r>
        <w:rPr>
          <w:rFonts w:hint="eastAsia"/>
          <w:color w:val="auto"/>
        </w:rPr>
        <w:t>（</w:t>
      </w:r>
      <w:r>
        <w:rPr>
          <w:color w:val="auto"/>
        </w:rPr>
        <w:t>1</w:t>
      </w:r>
      <w:r>
        <w:rPr>
          <w:rFonts w:hint="eastAsia"/>
          <w:color w:val="auto"/>
        </w:rPr>
        <w:t>）</w:t>
      </w:r>
      <w:r>
        <w:rPr>
          <w:color w:val="auto"/>
        </w:rPr>
        <w:t>生产机泵噪声防治</w:t>
      </w:r>
    </w:p>
    <w:p w14:paraId="6C1B155E">
      <w:pPr>
        <w:ind w:firstLine="480"/>
        <w:rPr>
          <w:color w:val="auto"/>
        </w:rPr>
      </w:pPr>
      <w:r>
        <w:rPr>
          <w:rFonts w:hint="eastAsia"/>
          <w:color w:val="auto"/>
        </w:rPr>
        <w:t>拟建项目</w:t>
      </w:r>
      <w:r>
        <w:rPr>
          <w:color w:val="auto"/>
        </w:rPr>
        <w:t>生产过程中使用流程泵在运行过程中会产生噪声，该类噪声源具有以下特点：噪声相对较低，位置分散，均置于车间内。治理措施如下：</w:t>
      </w:r>
    </w:p>
    <w:p w14:paraId="660FB720">
      <w:pPr>
        <w:ind w:firstLine="480"/>
        <w:rPr>
          <w:color w:val="auto"/>
        </w:rPr>
      </w:pPr>
      <w:r>
        <w:rPr>
          <w:color w:val="auto"/>
        </w:rPr>
        <w:t>a</w:t>
      </w:r>
      <w:r>
        <w:rPr>
          <w:rFonts w:hint="eastAsia"/>
          <w:color w:val="auto"/>
        </w:rPr>
        <w:t>.</w:t>
      </w:r>
      <w:r>
        <w:rPr>
          <w:color w:val="auto"/>
        </w:rPr>
        <w:t>在满足工艺需要的前提下选择低噪声设备；</w:t>
      </w:r>
    </w:p>
    <w:p w14:paraId="03F129C2">
      <w:pPr>
        <w:ind w:firstLine="480"/>
        <w:rPr>
          <w:color w:val="auto"/>
        </w:rPr>
      </w:pPr>
      <w:r>
        <w:rPr>
          <w:color w:val="auto"/>
        </w:rPr>
        <w:t>b</w:t>
      </w:r>
      <w:r>
        <w:rPr>
          <w:rFonts w:hint="eastAsia"/>
          <w:color w:val="auto"/>
        </w:rPr>
        <w:t>.</w:t>
      </w:r>
      <w:r>
        <w:rPr>
          <w:color w:val="auto"/>
        </w:rPr>
        <w:t>对于功率大、噪声较高的机泵安装减振垫、隔声罩；</w:t>
      </w:r>
    </w:p>
    <w:p w14:paraId="55DBB6DD">
      <w:pPr>
        <w:ind w:firstLine="480"/>
        <w:rPr>
          <w:color w:val="auto"/>
        </w:rPr>
      </w:pPr>
      <w:r>
        <w:rPr>
          <w:color w:val="auto"/>
        </w:rPr>
        <w:t>c</w:t>
      </w:r>
      <w:r>
        <w:rPr>
          <w:rFonts w:hint="eastAsia"/>
          <w:color w:val="auto"/>
        </w:rPr>
        <w:t>.</w:t>
      </w:r>
      <w:r>
        <w:rPr>
          <w:color w:val="auto"/>
        </w:rPr>
        <w:t>生产车间装隔声门窗、墙壁持吸声材料；</w:t>
      </w:r>
    </w:p>
    <w:p w14:paraId="69032FBF">
      <w:pPr>
        <w:ind w:firstLine="480"/>
        <w:rPr>
          <w:color w:val="auto"/>
        </w:rPr>
      </w:pPr>
      <w:r>
        <w:rPr>
          <w:color w:val="auto"/>
        </w:rPr>
        <w:t>d</w:t>
      </w:r>
      <w:r>
        <w:rPr>
          <w:rFonts w:hint="eastAsia"/>
          <w:color w:val="auto"/>
        </w:rPr>
        <w:t>.</w:t>
      </w:r>
      <w:r>
        <w:rPr>
          <w:color w:val="auto"/>
        </w:rPr>
        <w:t>及时检查设备运行工况，加强保养，防止非正常运行。</w:t>
      </w:r>
    </w:p>
    <w:p w14:paraId="3A4BAF11">
      <w:pPr>
        <w:ind w:firstLine="480"/>
        <w:rPr>
          <w:color w:val="auto"/>
        </w:rPr>
      </w:pPr>
      <w:r>
        <w:rPr>
          <w:color w:val="auto"/>
        </w:rPr>
        <w:t>经采取以上措施，对生产过程中使用的离心机、物料泵等设备的降噪量可控制在20dB</w:t>
      </w:r>
      <w:r>
        <w:rPr>
          <w:rFonts w:hint="eastAsia"/>
          <w:color w:val="auto"/>
        </w:rPr>
        <w:t>（</w:t>
      </w:r>
      <w:r>
        <w:rPr>
          <w:color w:val="auto"/>
        </w:rPr>
        <w:t>A</w:t>
      </w:r>
      <w:r>
        <w:rPr>
          <w:rFonts w:hint="eastAsia"/>
          <w:color w:val="auto"/>
        </w:rPr>
        <w:t>）</w:t>
      </w:r>
      <w:r>
        <w:rPr>
          <w:color w:val="auto"/>
        </w:rPr>
        <w:t>以上。</w:t>
      </w:r>
    </w:p>
    <w:p w14:paraId="0488029C">
      <w:pPr>
        <w:ind w:firstLine="480"/>
        <w:rPr>
          <w:color w:val="auto"/>
        </w:rPr>
      </w:pPr>
      <w:r>
        <w:rPr>
          <w:rFonts w:hint="eastAsia"/>
          <w:color w:val="auto"/>
        </w:rPr>
        <w:t>（</w:t>
      </w:r>
      <w:r>
        <w:rPr>
          <w:color w:val="auto"/>
        </w:rPr>
        <w:t>2</w:t>
      </w:r>
      <w:r>
        <w:rPr>
          <w:rFonts w:hint="eastAsia"/>
          <w:color w:val="auto"/>
        </w:rPr>
        <w:t>）</w:t>
      </w:r>
      <w:r>
        <w:rPr>
          <w:color w:val="auto"/>
        </w:rPr>
        <w:t>真空机组噪声防治</w:t>
      </w:r>
    </w:p>
    <w:p w14:paraId="70D8CF92">
      <w:pPr>
        <w:ind w:firstLine="480"/>
        <w:rPr>
          <w:color w:val="auto"/>
        </w:rPr>
      </w:pPr>
      <w:r>
        <w:rPr>
          <w:color w:val="auto"/>
        </w:rPr>
        <w:t>该类设备噪声主要包括：机械噪声、气体进出口振动噪声。采取的防治措施如下：</w:t>
      </w:r>
    </w:p>
    <w:p w14:paraId="489FF705">
      <w:pPr>
        <w:ind w:firstLine="480"/>
        <w:rPr>
          <w:color w:val="auto"/>
        </w:rPr>
      </w:pPr>
      <w:r>
        <w:rPr>
          <w:color w:val="auto"/>
        </w:rPr>
        <w:t>a</w:t>
      </w:r>
      <w:r>
        <w:rPr>
          <w:rFonts w:hint="eastAsia"/>
          <w:color w:val="auto"/>
        </w:rPr>
        <w:t>.</w:t>
      </w:r>
      <w:r>
        <w:rPr>
          <w:color w:val="auto"/>
        </w:rPr>
        <w:t>尽量选用噪声较小的螺杆式压缩机，不选用活塞式压缩机；</w:t>
      </w:r>
    </w:p>
    <w:p w14:paraId="3BD452B5">
      <w:pPr>
        <w:ind w:firstLine="480"/>
        <w:rPr>
          <w:color w:val="auto"/>
        </w:rPr>
      </w:pPr>
      <w:r>
        <w:rPr>
          <w:color w:val="auto"/>
        </w:rPr>
        <w:t>b</w:t>
      </w:r>
      <w:r>
        <w:rPr>
          <w:rFonts w:hint="eastAsia"/>
          <w:color w:val="auto"/>
        </w:rPr>
        <w:t>.</w:t>
      </w:r>
      <w:r>
        <w:rPr>
          <w:color w:val="auto"/>
        </w:rPr>
        <w:t>设备安装减振垫，进出口安装消声器，同时在设备与管道连接处利用柔性接口。</w:t>
      </w:r>
    </w:p>
    <w:p w14:paraId="5B75C610">
      <w:pPr>
        <w:ind w:firstLine="480"/>
        <w:rPr>
          <w:color w:val="auto"/>
        </w:rPr>
      </w:pPr>
      <w:r>
        <w:rPr>
          <w:color w:val="auto"/>
        </w:rPr>
        <w:t>c</w:t>
      </w:r>
      <w:r>
        <w:rPr>
          <w:rFonts w:hint="eastAsia"/>
          <w:color w:val="auto"/>
        </w:rPr>
        <w:t>.</w:t>
      </w:r>
      <w:r>
        <w:rPr>
          <w:color w:val="auto"/>
        </w:rPr>
        <w:t>采用封闭式车间，安装隔声门窗，墙壁持吸声材料；</w:t>
      </w:r>
    </w:p>
    <w:p w14:paraId="503C4B9F">
      <w:pPr>
        <w:ind w:firstLine="480"/>
        <w:rPr>
          <w:color w:val="auto"/>
        </w:rPr>
      </w:pPr>
      <w:r>
        <w:rPr>
          <w:color w:val="auto"/>
        </w:rPr>
        <w:t>d</w:t>
      </w:r>
      <w:r>
        <w:rPr>
          <w:rFonts w:hint="eastAsia"/>
          <w:color w:val="auto"/>
        </w:rPr>
        <w:t>.</w:t>
      </w:r>
      <w:r>
        <w:rPr>
          <w:color w:val="auto"/>
        </w:rPr>
        <w:t>保持设备良好</w:t>
      </w:r>
      <w:r>
        <w:rPr>
          <w:rFonts w:hint="eastAsia"/>
          <w:color w:val="auto"/>
        </w:rPr>
        <w:t>地</w:t>
      </w:r>
      <w:r>
        <w:rPr>
          <w:color w:val="auto"/>
        </w:rPr>
        <w:t>运行状态。</w:t>
      </w:r>
    </w:p>
    <w:p w14:paraId="342DFD9C">
      <w:pPr>
        <w:ind w:firstLine="480"/>
        <w:rPr>
          <w:color w:val="auto"/>
        </w:rPr>
      </w:pPr>
      <w:r>
        <w:rPr>
          <w:color w:val="auto"/>
        </w:rPr>
        <w:t>经采取以上措施，对冷冻机、真空机组的降噪量可控制在25~30dB</w:t>
      </w:r>
      <w:r>
        <w:rPr>
          <w:rFonts w:hint="eastAsia"/>
          <w:color w:val="auto"/>
        </w:rPr>
        <w:t>（</w:t>
      </w:r>
      <w:r>
        <w:rPr>
          <w:color w:val="auto"/>
        </w:rPr>
        <w:t>A</w:t>
      </w:r>
      <w:r>
        <w:rPr>
          <w:rFonts w:hint="eastAsia"/>
          <w:color w:val="auto"/>
        </w:rPr>
        <w:t>）</w:t>
      </w:r>
      <w:r>
        <w:rPr>
          <w:color w:val="auto"/>
        </w:rPr>
        <w:t>以上。</w:t>
      </w:r>
    </w:p>
    <w:p w14:paraId="63672442">
      <w:pPr>
        <w:ind w:firstLine="480"/>
        <w:rPr>
          <w:color w:val="auto"/>
        </w:rPr>
      </w:pPr>
      <w:r>
        <w:rPr>
          <w:rFonts w:hint="eastAsia"/>
          <w:color w:val="auto"/>
        </w:rPr>
        <w:t>（</w:t>
      </w:r>
      <w:r>
        <w:rPr>
          <w:color w:val="auto"/>
        </w:rPr>
        <w:t>3</w:t>
      </w:r>
      <w:r>
        <w:rPr>
          <w:rFonts w:hint="eastAsia"/>
          <w:color w:val="auto"/>
        </w:rPr>
        <w:t>）</w:t>
      </w:r>
      <w:r>
        <w:rPr>
          <w:color w:val="auto"/>
        </w:rPr>
        <w:t>风机噪声防治</w:t>
      </w:r>
    </w:p>
    <w:p w14:paraId="06E6E8F9">
      <w:pPr>
        <w:ind w:firstLine="480"/>
        <w:rPr>
          <w:color w:val="auto"/>
        </w:rPr>
      </w:pPr>
      <w:r>
        <w:rPr>
          <w:color w:val="auto"/>
        </w:rPr>
        <w:t>对风机加装隔声罩，排风管道采用软连接，在风机出入风口加消声器，可使风机的隔声量在15dB</w:t>
      </w:r>
      <w:r>
        <w:rPr>
          <w:rFonts w:hint="eastAsia"/>
          <w:color w:val="auto"/>
        </w:rPr>
        <w:t>（</w:t>
      </w:r>
      <w:r>
        <w:rPr>
          <w:color w:val="auto"/>
        </w:rPr>
        <w:t>A</w:t>
      </w:r>
      <w:r>
        <w:rPr>
          <w:rFonts w:hint="eastAsia"/>
          <w:color w:val="auto"/>
        </w:rPr>
        <w:t>）</w:t>
      </w:r>
      <w:r>
        <w:rPr>
          <w:color w:val="auto"/>
        </w:rPr>
        <w:t>以上。</w:t>
      </w:r>
    </w:p>
    <w:p w14:paraId="638448A2">
      <w:pPr>
        <w:ind w:firstLine="480"/>
        <w:rPr>
          <w:color w:val="auto"/>
        </w:rPr>
      </w:pPr>
      <w:r>
        <w:rPr>
          <w:color w:val="auto"/>
        </w:rPr>
        <w:t>对各类噪声源采取上述噪声防治措施后，可使厂界达标，能满足环境保护的要求。</w:t>
      </w:r>
    </w:p>
    <w:p w14:paraId="64E3672F">
      <w:pPr>
        <w:pStyle w:val="4"/>
        <w:rPr>
          <w:color w:val="auto"/>
        </w:rPr>
      </w:pPr>
      <w:bookmarkStart w:id="281" w:name="_Toc7964"/>
      <w:r>
        <w:rPr>
          <w:color w:val="auto"/>
        </w:rPr>
        <w:t>7.3.2噪声治理</w:t>
      </w:r>
      <w:r>
        <w:rPr>
          <w:rFonts w:hint="eastAsia"/>
          <w:color w:val="auto"/>
        </w:rPr>
        <w:t>措施</w:t>
      </w:r>
      <w:r>
        <w:rPr>
          <w:color w:val="auto"/>
        </w:rPr>
        <w:t>评述</w:t>
      </w:r>
      <w:bookmarkEnd w:id="281"/>
    </w:p>
    <w:p w14:paraId="1016CE43">
      <w:pPr>
        <w:ind w:firstLine="480"/>
        <w:rPr>
          <w:color w:val="auto"/>
        </w:rPr>
      </w:pPr>
      <w:r>
        <w:rPr>
          <w:color w:val="auto"/>
        </w:rPr>
        <w:t>采取上述措施，通过计算，可以满足厂界噪声均达到《工业企业厂界环境噪声排放标准》（GB12348-2008）3类标准（即昼间低于65dB</w:t>
      </w:r>
      <w:r>
        <w:rPr>
          <w:rFonts w:hint="eastAsia"/>
          <w:color w:val="auto"/>
        </w:rPr>
        <w:t>（</w:t>
      </w:r>
      <w:r>
        <w:rPr>
          <w:color w:val="auto"/>
        </w:rPr>
        <w:t>A</w:t>
      </w:r>
      <w:r>
        <w:rPr>
          <w:rFonts w:hint="eastAsia"/>
          <w:color w:val="auto"/>
        </w:rPr>
        <w:t>）</w:t>
      </w:r>
      <w:r>
        <w:rPr>
          <w:color w:val="auto"/>
        </w:rPr>
        <w:t>，夜间低于55dB</w:t>
      </w:r>
      <w:r>
        <w:rPr>
          <w:rFonts w:hint="eastAsia"/>
          <w:color w:val="auto"/>
        </w:rPr>
        <w:t>（</w:t>
      </w:r>
      <w:r>
        <w:rPr>
          <w:color w:val="auto"/>
        </w:rPr>
        <w:t>A</w:t>
      </w:r>
      <w:r>
        <w:rPr>
          <w:rFonts w:hint="eastAsia"/>
          <w:color w:val="auto"/>
        </w:rPr>
        <w:t>）</w:t>
      </w:r>
      <w:r>
        <w:rPr>
          <w:color w:val="auto"/>
        </w:rPr>
        <w:t>），以上噪声污染控制措施基本合理可行。</w:t>
      </w:r>
    </w:p>
    <w:p w14:paraId="43BD0C25">
      <w:pPr>
        <w:pStyle w:val="3"/>
        <w:spacing w:before="385"/>
        <w:rPr>
          <w:color w:val="auto"/>
        </w:rPr>
      </w:pPr>
      <w:bookmarkStart w:id="282" w:name="_Toc26646"/>
      <w:bookmarkStart w:id="283" w:name="_Toc134165112"/>
      <w:bookmarkStart w:id="284" w:name="_Toc8480"/>
      <w:bookmarkStart w:id="285" w:name="_Toc12386"/>
      <w:bookmarkStart w:id="286" w:name="_Toc123108346"/>
      <w:r>
        <w:rPr>
          <w:color w:val="auto"/>
        </w:rPr>
        <w:t>7.</w:t>
      </w:r>
      <w:r>
        <w:rPr>
          <w:rFonts w:hint="eastAsia"/>
          <w:color w:val="auto"/>
        </w:rPr>
        <w:t>4固废污染控制措施评述</w:t>
      </w:r>
      <w:bookmarkEnd w:id="282"/>
      <w:bookmarkEnd w:id="283"/>
      <w:bookmarkEnd w:id="284"/>
      <w:bookmarkEnd w:id="285"/>
      <w:bookmarkEnd w:id="286"/>
    </w:p>
    <w:p w14:paraId="0AA3817D">
      <w:pPr>
        <w:adjustRightInd/>
        <w:snapToGrid/>
        <w:ind w:firstLine="480"/>
        <w:rPr>
          <w:rFonts w:hAnsi="Arial"/>
          <w:bCs/>
          <w:snapToGrid w:val="0"/>
          <w:color w:val="auto"/>
          <w:kern w:val="0"/>
          <w:szCs w:val="20"/>
        </w:rPr>
      </w:pPr>
      <w:r>
        <w:rPr>
          <w:rFonts w:hint="eastAsia" w:hAnsi="Arial"/>
          <w:bCs/>
          <w:snapToGrid w:val="0"/>
          <w:color w:val="auto"/>
          <w:kern w:val="0"/>
          <w:szCs w:val="20"/>
        </w:rPr>
        <w:t>拟建项目固废主要来自生产过程中产生的废过滤材料、废包装桶、废RO膜、除尘灰、实验室废物、污水处理污泥、生活垃圾等，按照《固体废物鉴别导则（试行）》和《国家危险废物名录》（2025年版），对拟建项目产生的固体废物进行分类，废过滤材料、废包装桶、除尘灰、实验室废物、污水处理污泥均为危险固废，均暂存危废暂存库，委托有资质单位处置，废RO由纯水机厂商更换后回收，厂区内不进行储存；生活垃圾委托环卫清运。</w:t>
      </w:r>
    </w:p>
    <w:p w14:paraId="31DF2F5C">
      <w:pPr>
        <w:pStyle w:val="4"/>
        <w:rPr>
          <w:color w:val="auto"/>
        </w:rPr>
      </w:pPr>
      <w:bookmarkStart w:id="287" w:name="_Toc19010"/>
      <w:bookmarkStart w:id="288" w:name="_Toc2092"/>
      <w:r>
        <w:rPr>
          <w:color w:val="auto"/>
        </w:rPr>
        <w:t>7.4.1危险废物收集污染防治措施分析</w:t>
      </w:r>
      <w:bookmarkEnd w:id="287"/>
      <w:bookmarkEnd w:id="288"/>
    </w:p>
    <w:p w14:paraId="34732959">
      <w:pPr>
        <w:adjustRightInd/>
        <w:snapToGrid/>
        <w:ind w:firstLine="480"/>
        <w:rPr>
          <w:color w:val="auto"/>
          <w:szCs w:val="20"/>
        </w:rPr>
      </w:pPr>
      <w:r>
        <w:rPr>
          <w:color w:val="auto"/>
          <w:szCs w:val="20"/>
        </w:rPr>
        <w:t>危险废物在收集时，应清楚废物的类别及</w:t>
      </w:r>
      <w:r>
        <w:rPr>
          <w:rFonts w:hint="eastAsia"/>
          <w:color w:val="auto"/>
          <w:szCs w:val="20"/>
        </w:rPr>
        <w:t>主要成分</w:t>
      </w:r>
      <w:r>
        <w:rPr>
          <w:color w:val="auto"/>
          <w:szCs w:val="20"/>
        </w:rPr>
        <w:t>，根据危险废物的性质和形态，可采用不同大小和不同材质的容器进行包装，所有包装容器应足够安全，并经过周密检查，严防在装载、搬移或运输途中出现渗漏、溢出、抛洒或挥发等情况。最后按照江苏省环保厅（苏环控</w:t>
      </w:r>
      <w:r>
        <w:rPr>
          <w:rFonts w:hint="eastAsia"/>
          <w:color w:val="auto"/>
          <w:szCs w:val="20"/>
        </w:rPr>
        <w:t>〔</w:t>
      </w:r>
      <w:r>
        <w:rPr>
          <w:color w:val="auto"/>
          <w:szCs w:val="20"/>
        </w:rPr>
        <w:t>1997</w:t>
      </w:r>
      <w:r>
        <w:rPr>
          <w:rFonts w:hint="eastAsia"/>
          <w:color w:val="auto"/>
          <w:szCs w:val="20"/>
        </w:rPr>
        <w:t>〕</w:t>
      </w:r>
      <w:r>
        <w:rPr>
          <w:color w:val="auto"/>
          <w:szCs w:val="20"/>
        </w:rPr>
        <w:t>134号文）《关于加强危险废物交换和转移管理工作的通知》要求，对危险废物进行安全包装，并在包装的明显位置附上危险废物标签。</w:t>
      </w:r>
    </w:p>
    <w:p w14:paraId="01ECAEB7">
      <w:pPr>
        <w:pStyle w:val="4"/>
        <w:rPr>
          <w:color w:val="auto"/>
        </w:rPr>
      </w:pPr>
      <w:bookmarkStart w:id="289" w:name="_Toc31236"/>
      <w:bookmarkStart w:id="290" w:name="_Toc31337"/>
      <w:r>
        <w:rPr>
          <w:color w:val="auto"/>
        </w:rPr>
        <w:t>7.4.2危险废物暂存污染防治措施分析</w:t>
      </w:r>
      <w:bookmarkEnd w:id="289"/>
      <w:bookmarkEnd w:id="290"/>
    </w:p>
    <w:p w14:paraId="77EDC392">
      <w:pPr>
        <w:adjustRightInd/>
        <w:snapToGrid/>
        <w:ind w:firstLine="480"/>
        <w:rPr>
          <w:color w:val="auto"/>
          <w:szCs w:val="20"/>
        </w:rPr>
      </w:pPr>
      <w:bookmarkStart w:id="291" w:name="_Hlk51924983"/>
      <w:r>
        <w:rPr>
          <w:color w:val="auto"/>
          <w:szCs w:val="20"/>
        </w:rPr>
        <w:t>危险废物应尽快送往委托单位处理，不宜存放过长时间，</w:t>
      </w:r>
      <w:r>
        <w:rPr>
          <w:rFonts w:hint="eastAsia"/>
          <w:color w:val="auto"/>
          <w:szCs w:val="20"/>
        </w:rPr>
        <w:t>企业</w:t>
      </w:r>
      <w:r>
        <w:rPr>
          <w:color w:val="auto"/>
          <w:szCs w:val="20"/>
        </w:rPr>
        <w:t>已建</w:t>
      </w:r>
      <w:r>
        <w:rPr>
          <w:rFonts w:hint="eastAsia"/>
          <w:color w:val="auto"/>
          <w:szCs w:val="20"/>
        </w:rPr>
        <w:t>一座110</w:t>
      </w:r>
      <w:r>
        <w:rPr>
          <w:color w:val="auto"/>
          <w:szCs w:val="20"/>
        </w:rPr>
        <w:t>m</w:t>
      </w:r>
      <w:r>
        <w:rPr>
          <w:color w:val="auto"/>
          <w:szCs w:val="20"/>
          <w:vertAlign w:val="superscript"/>
        </w:rPr>
        <w:t>2</w:t>
      </w:r>
      <w:r>
        <w:rPr>
          <w:color w:val="auto"/>
          <w:szCs w:val="20"/>
        </w:rPr>
        <w:t>的</w:t>
      </w:r>
      <w:r>
        <w:rPr>
          <w:rFonts w:hint="eastAsia"/>
          <w:color w:val="auto"/>
          <w:szCs w:val="20"/>
        </w:rPr>
        <w:t>危废暂存间</w:t>
      </w:r>
      <w:r>
        <w:rPr>
          <w:color w:val="auto"/>
          <w:szCs w:val="20"/>
        </w:rPr>
        <w:t>，场地均采用水泥防渗、出口设置馒头形围堰，按照《危险废物贮存污染控制标准》中</w:t>
      </w:r>
      <w:r>
        <w:rPr>
          <w:rFonts w:hint="eastAsia"/>
          <w:color w:val="auto"/>
          <w:szCs w:val="20"/>
        </w:rPr>
        <w:t>“</w:t>
      </w:r>
      <w:r>
        <w:rPr>
          <w:color w:val="auto"/>
          <w:szCs w:val="20"/>
        </w:rPr>
        <w:t>防渗透、防泄漏、防中途流失，并落实安全管理措施，避免二次污染</w:t>
      </w:r>
      <w:r>
        <w:rPr>
          <w:rFonts w:hint="eastAsia"/>
          <w:color w:val="auto"/>
          <w:szCs w:val="20"/>
        </w:rPr>
        <w:t>”</w:t>
      </w:r>
      <w:r>
        <w:rPr>
          <w:color w:val="auto"/>
          <w:szCs w:val="20"/>
        </w:rPr>
        <w:t>的要求进行管理，并定期向有资质危险废物处置单位进行转移，危险废物堆场设置了醒目标志牌。</w:t>
      </w:r>
    </w:p>
    <w:p w14:paraId="231199ED">
      <w:pPr>
        <w:adjustRightInd/>
        <w:snapToGrid/>
        <w:ind w:firstLine="480"/>
        <w:rPr>
          <w:color w:val="auto"/>
          <w:szCs w:val="20"/>
        </w:rPr>
      </w:pPr>
      <w:r>
        <w:rPr>
          <w:rFonts w:hint="eastAsia"/>
          <w:color w:val="auto"/>
          <w:szCs w:val="20"/>
        </w:rPr>
        <w:t>危险废物暂存及转移按照《危险废物贮存污染控制标准》（GB18597-2023）、《危险废物转移联单管理办法》（国家环境保护总局令第5号）、《关于开展全省固废危废环境隐患排查整治专项行动的通知》（苏环办[2019]104号）、《关于印发江苏省危险废物贮存规范化管理专项整治行动方案的通知》（苏环办[2019]149号）、《省生态环境厅关于印发〈江苏省固体废物全过程环境监管工作意见〉的通知》（苏环办〔2024〕16号）、《省生态环境厅关于进一步加强危险废物环境管理工作的通知》（苏环办〔2021〕207号）中要求进行。</w:t>
      </w:r>
    </w:p>
    <w:p w14:paraId="26105C0D">
      <w:pPr>
        <w:adjustRightInd/>
        <w:snapToGrid/>
        <w:ind w:firstLine="480"/>
        <w:rPr>
          <w:color w:val="auto"/>
          <w:szCs w:val="20"/>
        </w:rPr>
      </w:pPr>
      <w:r>
        <w:rPr>
          <w:rFonts w:hint="eastAsia"/>
          <w:color w:val="auto"/>
          <w:szCs w:val="20"/>
        </w:rPr>
        <w:t>针对拟建项目正常运行阶段所产生的危险废物的日常管理提出要求：</w:t>
      </w:r>
    </w:p>
    <w:p w14:paraId="709FF3DB">
      <w:pPr>
        <w:adjustRightInd/>
        <w:snapToGrid/>
        <w:ind w:firstLine="480"/>
        <w:rPr>
          <w:color w:val="auto"/>
          <w:szCs w:val="20"/>
        </w:rPr>
      </w:pPr>
      <w:r>
        <w:rPr>
          <w:rFonts w:hint="eastAsia"/>
          <w:color w:val="auto"/>
          <w:szCs w:val="20"/>
        </w:rPr>
        <w:t>（1）履行申报登记制度；</w:t>
      </w:r>
    </w:p>
    <w:p w14:paraId="14DCC793">
      <w:pPr>
        <w:adjustRightInd/>
        <w:snapToGrid/>
        <w:ind w:firstLine="480"/>
        <w:rPr>
          <w:color w:val="auto"/>
          <w:szCs w:val="20"/>
        </w:rPr>
      </w:pPr>
      <w:r>
        <w:rPr>
          <w:rFonts w:hint="eastAsia"/>
          <w:color w:val="auto"/>
          <w:szCs w:val="20"/>
        </w:rPr>
        <w:t>（2）建立台账管理制度，企业须做好危险废物情况的记录，记录上需注明危险废物的名称、来源、数量、特性和包装容器的类别；</w:t>
      </w:r>
    </w:p>
    <w:p w14:paraId="393073ED">
      <w:pPr>
        <w:adjustRightInd/>
        <w:snapToGrid/>
        <w:ind w:firstLine="480"/>
        <w:rPr>
          <w:color w:val="auto"/>
          <w:szCs w:val="20"/>
        </w:rPr>
      </w:pPr>
      <w:r>
        <w:rPr>
          <w:rFonts w:hint="eastAsia"/>
          <w:color w:val="auto"/>
          <w:szCs w:val="20"/>
        </w:rPr>
        <w:t>（3）委托处置应执行报批和转移联单等制度；</w:t>
      </w:r>
    </w:p>
    <w:p w14:paraId="5461107B">
      <w:pPr>
        <w:adjustRightInd/>
        <w:snapToGrid/>
        <w:ind w:firstLine="480"/>
        <w:rPr>
          <w:color w:val="auto"/>
          <w:szCs w:val="20"/>
        </w:rPr>
      </w:pPr>
      <w:r>
        <w:rPr>
          <w:rFonts w:hint="eastAsia"/>
          <w:color w:val="auto"/>
          <w:szCs w:val="20"/>
        </w:rPr>
        <w:t>（4）定期对暂存的危险废物包装容器及贮存设施进行检查，及早发现破损，及时采取措施清理更换；</w:t>
      </w:r>
    </w:p>
    <w:p w14:paraId="663295FA">
      <w:pPr>
        <w:adjustRightInd/>
        <w:snapToGrid/>
        <w:ind w:firstLine="480"/>
        <w:rPr>
          <w:color w:val="auto"/>
          <w:szCs w:val="20"/>
        </w:rPr>
      </w:pPr>
      <w:r>
        <w:rPr>
          <w:rFonts w:hint="eastAsia"/>
          <w:color w:val="auto"/>
          <w:szCs w:val="20"/>
        </w:rPr>
        <w:t>（5）直接从事收集、贮存、运输、利用、处置危险废物的人员，应当接受专业培训，经考核合格，方可从事该项工作。</w:t>
      </w:r>
    </w:p>
    <w:p w14:paraId="596B009C">
      <w:pPr>
        <w:adjustRightInd/>
        <w:snapToGrid/>
        <w:ind w:firstLine="480"/>
        <w:rPr>
          <w:color w:val="auto"/>
          <w:szCs w:val="20"/>
        </w:rPr>
      </w:pPr>
      <w:r>
        <w:rPr>
          <w:rFonts w:hint="eastAsia"/>
          <w:color w:val="auto"/>
          <w:szCs w:val="20"/>
        </w:rPr>
        <w:t>（6）危险废物贮存（处置）场所规范化设置，危险废物贮存（处置）场所应在醒目处设置标志牌。</w:t>
      </w:r>
    </w:p>
    <w:p w14:paraId="66FEB157">
      <w:pPr>
        <w:adjustRightInd/>
        <w:snapToGrid/>
        <w:ind w:firstLine="480"/>
        <w:rPr>
          <w:color w:val="auto"/>
          <w:szCs w:val="20"/>
        </w:rPr>
      </w:pPr>
      <w:r>
        <w:rPr>
          <w:rFonts w:hint="eastAsia"/>
          <w:color w:val="auto"/>
          <w:szCs w:val="20"/>
        </w:rPr>
        <w:t>（7）危废应根据其化学特性选择合适的容器和存放地点，通过密闭容器存放，不可混合贮存，容器标签必须标明废物种类、贮存时间，定期处理。</w:t>
      </w:r>
    </w:p>
    <w:p w14:paraId="680A2AF4">
      <w:pPr>
        <w:adjustRightInd/>
        <w:snapToGrid/>
        <w:ind w:firstLine="480"/>
        <w:rPr>
          <w:color w:val="auto"/>
          <w:szCs w:val="20"/>
        </w:rPr>
      </w:pPr>
      <w:r>
        <w:rPr>
          <w:rFonts w:hint="eastAsia"/>
          <w:color w:val="auto"/>
          <w:szCs w:val="20"/>
        </w:rPr>
        <w:t>（8）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6C660E17">
      <w:pPr>
        <w:adjustRightInd/>
        <w:snapToGrid/>
        <w:ind w:firstLine="482"/>
        <w:rPr>
          <w:b/>
          <w:color w:val="auto"/>
        </w:rPr>
      </w:pPr>
      <w:r>
        <w:rPr>
          <w:b/>
          <w:color w:val="auto"/>
        </w:rPr>
        <w:t>危废暂存库储存满足以下要求：</w:t>
      </w:r>
    </w:p>
    <w:p w14:paraId="60C04290">
      <w:pPr>
        <w:adjustRightInd/>
        <w:snapToGrid/>
        <w:ind w:firstLine="480"/>
        <w:rPr>
          <w:color w:val="auto"/>
        </w:rPr>
      </w:pPr>
      <w:r>
        <w:rPr>
          <w:color w:val="auto"/>
        </w:rPr>
        <w:t>单个危废库储存量小于500t，贮存周期小于90d。堆放方式：2层（200L桶或1方吨箱）堆放（不大于2层），两层高于满足小于3m。分区情况：主要根据危废含卤，不含卤、催化剂、污泥等进行分区。</w:t>
      </w:r>
    </w:p>
    <w:p w14:paraId="2426E73F">
      <w:pPr>
        <w:adjustRightInd/>
        <w:snapToGrid/>
        <w:ind w:firstLine="482"/>
        <w:rPr>
          <w:b/>
          <w:color w:val="auto"/>
        </w:rPr>
      </w:pPr>
      <w:r>
        <w:rPr>
          <w:b/>
          <w:color w:val="auto"/>
        </w:rPr>
        <w:t>可依托性：</w:t>
      </w:r>
    </w:p>
    <w:p w14:paraId="05B98418">
      <w:pPr>
        <w:adjustRightInd/>
        <w:snapToGrid/>
        <w:ind w:firstLine="480"/>
        <w:rPr>
          <w:color w:val="auto"/>
        </w:rPr>
      </w:pPr>
      <w:r>
        <w:rPr>
          <w:color w:val="auto"/>
        </w:rPr>
        <w:t>1、</w:t>
      </w:r>
      <w:r>
        <w:rPr>
          <w:rFonts w:hint="eastAsia"/>
          <w:color w:val="auto"/>
        </w:rPr>
        <w:t>扩建</w:t>
      </w:r>
      <w:r>
        <w:rPr>
          <w:color w:val="auto"/>
        </w:rPr>
        <w:t>项目所产危废品种在之前项目中已有产生，未有新品种产生，堆放情况根据现有分类堆放。</w:t>
      </w:r>
    </w:p>
    <w:p w14:paraId="08B12598">
      <w:pPr>
        <w:adjustRightInd/>
        <w:snapToGrid/>
        <w:ind w:firstLine="480"/>
        <w:rPr>
          <w:color w:val="auto"/>
        </w:rPr>
      </w:pPr>
      <w:r>
        <w:rPr>
          <w:bCs/>
          <w:color w:val="auto"/>
        </w:rPr>
        <w:t>2、</w:t>
      </w:r>
      <w:r>
        <w:rPr>
          <w:rFonts w:hint="eastAsia"/>
          <w:color w:val="auto"/>
          <w:szCs w:val="20"/>
        </w:rPr>
        <w:t>企业</w:t>
      </w:r>
      <w:r>
        <w:rPr>
          <w:bCs/>
          <w:color w:val="auto"/>
        </w:rPr>
        <w:t>已建危废库</w:t>
      </w:r>
      <w:r>
        <w:rPr>
          <w:rFonts w:hint="eastAsia"/>
          <w:bCs/>
          <w:color w:val="auto"/>
        </w:rPr>
        <w:t>110m</w:t>
      </w:r>
      <w:r>
        <w:rPr>
          <w:rFonts w:hint="eastAsia"/>
          <w:bCs/>
          <w:color w:val="auto"/>
          <w:vertAlign w:val="superscript"/>
        </w:rPr>
        <w:t>2</w:t>
      </w:r>
      <w:r>
        <w:rPr>
          <w:bCs/>
          <w:color w:val="auto"/>
        </w:rPr>
        <w:t>，按照库容70%核算，存放面积</w:t>
      </w:r>
      <w:r>
        <w:rPr>
          <w:rFonts w:hint="eastAsia"/>
          <w:bCs/>
          <w:color w:val="auto"/>
        </w:rPr>
        <w:t>77m</w:t>
      </w:r>
      <w:r>
        <w:rPr>
          <w:rFonts w:hint="eastAsia"/>
          <w:bCs/>
          <w:color w:val="auto"/>
          <w:vertAlign w:val="superscript"/>
        </w:rPr>
        <w:t>2</w:t>
      </w:r>
      <w:r>
        <w:rPr>
          <w:bCs/>
          <w:color w:val="auto"/>
        </w:rPr>
        <w:t>，每平方存放危废约</w:t>
      </w:r>
      <w:r>
        <w:rPr>
          <w:rFonts w:hint="eastAsia"/>
          <w:bCs/>
          <w:color w:val="auto"/>
        </w:rPr>
        <w:t>115.5</w:t>
      </w:r>
      <w:r>
        <w:rPr>
          <w:bCs/>
          <w:color w:val="auto"/>
        </w:rPr>
        <w:t>t，因此危废库可存放危废总量</w:t>
      </w:r>
      <w:r>
        <w:rPr>
          <w:rFonts w:hint="eastAsia"/>
          <w:bCs/>
          <w:color w:val="auto"/>
        </w:rPr>
        <w:t>115.5</w:t>
      </w:r>
      <w:r>
        <w:rPr>
          <w:bCs/>
          <w:color w:val="auto"/>
        </w:rPr>
        <w:t>吨，空间完全满足</w:t>
      </w:r>
      <w:r>
        <w:rPr>
          <w:color w:val="auto"/>
        </w:rPr>
        <w:t>危废库储存量小于500t上限要求。</w:t>
      </w:r>
    </w:p>
    <w:p w14:paraId="0DA1C832">
      <w:pPr>
        <w:ind w:firstLine="480"/>
        <w:rPr>
          <w:color w:val="auto"/>
        </w:rPr>
      </w:pPr>
      <w:r>
        <w:rPr>
          <w:rFonts w:hint="eastAsia"/>
          <w:color w:val="auto"/>
        </w:rPr>
        <w:t>3、按目前已建项目产固体危废约347.122t/a计，贮存周期为30d，拟建项目固体危废产生量约29.37t/a，合计总贮存危险废物量为376.492t/a，每个周期最大负荷为30.944t，虑危险废物分类、分区存放等因素，建设项目暂存于现有危废暂存间可满足本项目的需要。因此，本项目依托现有危险废物贮存设施贮存可行。</w:t>
      </w:r>
    </w:p>
    <w:bookmarkEnd w:id="291"/>
    <w:p w14:paraId="62A3EF0F">
      <w:pPr>
        <w:adjustRightInd/>
        <w:snapToGrid/>
        <w:ind w:firstLine="480"/>
        <w:rPr>
          <w:color w:val="auto"/>
          <w:szCs w:val="20"/>
        </w:rPr>
      </w:pPr>
      <w:r>
        <w:rPr>
          <w:rFonts w:hint="eastAsia"/>
          <w:color w:val="auto"/>
          <w:szCs w:val="20"/>
        </w:rPr>
        <w:t>拟建项目</w:t>
      </w:r>
      <w:r>
        <w:rPr>
          <w:color w:val="auto"/>
          <w:szCs w:val="20"/>
        </w:rPr>
        <w:t>危废暂存场所基本情况详见表7.4-1。</w:t>
      </w:r>
    </w:p>
    <w:p w14:paraId="5EF7608F">
      <w:pPr>
        <w:pStyle w:val="49"/>
        <w:rPr>
          <w:color w:val="auto"/>
        </w:rPr>
      </w:pPr>
      <w:r>
        <w:rPr>
          <w:color w:val="auto"/>
        </w:rPr>
        <w:t>表7.4-1</w:t>
      </w:r>
      <w:r>
        <w:rPr>
          <w:rFonts w:hint="eastAsia"/>
          <w:color w:val="auto"/>
        </w:rPr>
        <w:t xml:space="preserve">  </w:t>
      </w:r>
      <w:r>
        <w:rPr>
          <w:color w:val="auto"/>
        </w:rPr>
        <w:t>建设项目危险废物暂存场所（设施）基本情况表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618"/>
        <w:gridCol w:w="965"/>
        <w:gridCol w:w="1523"/>
        <w:gridCol w:w="967"/>
        <w:gridCol w:w="1376"/>
        <w:gridCol w:w="768"/>
        <w:gridCol w:w="1089"/>
        <w:gridCol w:w="851"/>
        <w:gridCol w:w="762"/>
        <w:gridCol w:w="764"/>
      </w:tblGrid>
      <w:tr w14:paraId="1C6DEC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319" w:type="pct"/>
            <w:vAlign w:val="center"/>
          </w:tcPr>
          <w:p w14:paraId="38276430">
            <w:pPr>
              <w:spacing w:line="240" w:lineRule="auto"/>
              <w:ind w:firstLine="0" w:firstLineChars="0"/>
              <w:jc w:val="center"/>
              <w:rPr>
                <w:b/>
                <w:color w:val="auto"/>
                <w:sz w:val="21"/>
                <w:szCs w:val="21"/>
              </w:rPr>
            </w:pPr>
            <w:r>
              <w:rPr>
                <w:b/>
                <w:color w:val="auto"/>
                <w:sz w:val="21"/>
                <w:szCs w:val="21"/>
              </w:rPr>
              <w:t>序号</w:t>
            </w:r>
          </w:p>
        </w:tc>
        <w:tc>
          <w:tcPr>
            <w:tcW w:w="498" w:type="pct"/>
            <w:vAlign w:val="center"/>
          </w:tcPr>
          <w:p w14:paraId="4221D37F">
            <w:pPr>
              <w:spacing w:line="240" w:lineRule="auto"/>
              <w:ind w:firstLine="0" w:firstLineChars="0"/>
              <w:jc w:val="center"/>
              <w:rPr>
                <w:b/>
                <w:color w:val="auto"/>
                <w:sz w:val="21"/>
                <w:szCs w:val="21"/>
              </w:rPr>
            </w:pPr>
            <w:r>
              <w:rPr>
                <w:b/>
                <w:color w:val="auto"/>
                <w:sz w:val="21"/>
                <w:szCs w:val="21"/>
              </w:rPr>
              <w:t>贮存场所（设施）名称</w:t>
            </w:r>
          </w:p>
        </w:tc>
        <w:tc>
          <w:tcPr>
            <w:tcW w:w="786" w:type="pct"/>
            <w:vAlign w:val="center"/>
          </w:tcPr>
          <w:p w14:paraId="7E361E31">
            <w:pPr>
              <w:spacing w:line="240" w:lineRule="auto"/>
              <w:ind w:firstLine="0" w:firstLineChars="0"/>
              <w:jc w:val="center"/>
              <w:rPr>
                <w:b/>
                <w:color w:val="auto"/>
                <w:sz w:val="21"/>
                <w:szCs w:val="21"/>
              </w:rPr>
            </w:pPr>
            <w:r>
              <w:rPr>
                <w:b/>
                <w:color w:val="auto"/>
                <w:sz w:val="21"/>
                <w:szCs w:val="21"/>
              </w:rPr>
              <w:t>危险废物名称</w:t>
            </w:r>
          </w:p>
        </w:tc>
        <w:tc>
          <w:tcPr>
            <w:tcW w:w="499" w:type="pct"/>
            <w:vAlign w:val="center"/>
          </w:tcPr>
          <w:p w14:paraId="245632BE">
            <w:pPr>
              <w:spacing w:line="240" w:lineRule="auto"/>
              <w:ind w:firstLine="0" w:firstLineChars="0"/>
              <w:jc w:val="center"/>
              <w:rPr>
                <w:b/>
                <w:color w:val="auto"/>
                <w:sz w:val="21"/>
                <w:szCs w:val="21"/>
              </w:rPr>
            </w:pPr>
            <w:r>
              <w:rPr>
                <w:b/>
                <w:color w:val="auto"/>
                <w:sz w:val="21"/>
                <w:szCs w:val="21"/>
              </w:rPr>
              <w:t>危险废物类别</w:t>
            </w:r>
          </w:p>
        </w:tc>
        <w:tc>
          <w:tcPr>
            <w:tcW w:w="710" w:type="pct"/>
            <w:vAlign w:val="center"/>
          </w:tcPr>
          <w:p w14:paraId="584AD6A7">
            <w:pPr>
              <w:spacing w:line="240" w:lineRule="auto"/>
              <w:ind w:firstLine="0" w:firstLineChars="0"/>
              <w:jc w:val="center"/>
              <w:rPr>
                <w:b/>
                <w:color w:val="auto"/>
                <w:sz w:val="21"/>
                <w:szCs w:val="21"/>
              </w:rPr>
            </w:pPr>
            <w:r>
              <w:rPr>
                <w:b/>
                <w:color w:val="auto"/>
                <w:sz w:val="21"/>
                <w:szCs w:val="21"/>
              </w:rPr>
              <w:t>危险废物</w:t>
            </w:r>
          </w:p>
          <w:p w14:paraId="5A4C0D70">
            <w:pPr>
              <w:spacing w:line="240" w:lineRule="auto"/>
              <w:ind w:firstLine="0" w:firstLineChars="0"/>
              <w:jc w:val="center"/>
              <w:rPr>
                <w:b/>
                <w:color w:val="auto"/>
                <w:sz w:val="21"/>
                <w:szCs w:val="21"/>
              </w:rPr>
            </w:pPr>
            <w:r>
              <w:rPr>
                <w:b/>
                <w:color w:val="auto"/>
                <w:sz w:val="21"/>
                <w:szCs w:val="21"/>
              </w:rPr>
              <w:t>代码</w:t>
            </w:r>
          </w:p>
        </w:tc>
        <w:tc>
          <w:tcPr>
            <w:tcW w:w="396" w:type="pct"/>
            <w:vAlign w:val="center"/>
          </w:tcPr>
          <w:p w14:paraId="17D3BE42">
            <w:pPr>
              <w:spacing w:line="240" w:lineRule="auto"/>
              <w:ind w:firstLine="0" w:firstLineChars="0"/>
              <w:jc w:val="center"/>
              <w:rPr>
                <w:b/>
                <w:color w:val="auto"/>
                <w:sz w:val="21"/>
                <w:szCs w:val="21"/>
              </w:rPr>
            </w:pPr>
            <w:r>
              <w:rPr>
                <w:b/>
                <w:color w:val="auto"/>
                <w:sz w:val="21"/>
                <w:szCs w:val="21"/>
              </w:rPr>
              <w:t>位置</w:t>
            </w:r>
          </w:p>
        </w:tc>
        <w:tc>
          <w:tcPr>
            <w:tcW w:w="562" w:type="pct"/>
            <w:vAlign w:val="center"/>
          </w:tcPr>
          <w:p w14:paraId="64748869">
            <w:pPr>
              <w:spacing w:line="240" w:lineRule="auto"/>
              <w:ind w:firstLine="0" w:firstLineChars="0"/>
              <w:jc w:val="center"/>
              <w:rPr>
                <w:b/>
                <w:color w:val="auto"/>
                <w:sz w:val="21"/>
                <w:szCs w:val="21"/>
              </w:rPr>
            </w:pPr>
            <w:r>
              <w:rPr>
                <w:b/>
                <w:color w:val="auto"/>
                <w:sz w:val="21"/>
                <w:szCs w:val="21"/>
              </w:rPr>
              <w:t>占地面积</w:t>
            </w:r>
          </w:p>
        </w:tc>
        <w:tc>
          <w:tcPr>
            <w:tcW w:w="439" w:type="pct"/>
            <w:vAlign w:val="center"/>
          </w:tcPr>
          <w:p w14:paraId="0735F897">
            <w:pPr>
              <w:spacing w:line="240" w:lineRule="auto"/>
              <w:ind w:firstLine="0" w:firstLineChars="0"/>
              <w:jc w:val="center"/>
              <w:rPr>
                <w:b/>
                <w:color w:val="auto"/>
                <w:sz w:val="21"/>
                <w:szCs w:val="21"/>
              </w:rPr>
            </w:pPr>
            <w:r>
              <w:rPr>
                <w:b/>
                <w:color w:val="auto"/>
                <w:sz w:val="21"/>
                <w:szCs w:val="21"/>
              </w:rPr>
              <w:t>贮存方式</w:t>
            </w:r>
          </w:p>
        </w:tc>
        <w:tc>
          <w:tcPr>
            <w:tcW w:w="393" w:type="pct"/>
            <w:vAlign w:val="center"/>
          </w:tcPr>
          <w:p w14:paraId="45AF1F9E">
            <w:pPr>
              <w:spacing w:line="240" w:lineRule="auto"/>
              <w:ind w:firstLine="0" w:firstLineChars="0"/>
              <w:jc w:val="center"/>
              <w:rPr>
                <w:b/>
                <w:color w:val="auto"/>
                <w:sz w:val="21"/>
                <w:szCs w:val="21"/>
              </w:rPr>
            </w:pPr>
            <w:r>
              <w:rPr>
                <w:rFonts w:hint="eastAsia"/>
                <w:b/>
                <w:color w:val="auto"/>
                <w:sz w:val="21"/>
                <w:szCs w:val="21"/>
              </w:rPr>
              <w:t>贮存能力</w:t>
            </w:r>
          </w:p>
        </w:tc>
        <w:tc>
          <w:tcPr>
            <w:tcW w:w="394" w:type="pct"/>
            <w:vAlign w:val="center"/>
          </w:tcPr>
          <w:p w14:paraId="3C6E598B">
            <w:pPr>
              <w:spacing w:line="240" w:lineRule="auto"/>
              <w:ind w:firstLine="0" w:firstLineChars="0"/>
              <w:jc w:val="center"/>
              <w:rPr>
                <w:b/>
                <w:color w:val="auto"/>
                <w:sz w:val="21"/>
                <w:szCs w:val="21"/>
              </w:rPr>
            </w:pPr>
            <w:r>
              <w:rPr>
                <w:b/>
                <w:color w:val="auto"/>
                <w:sz w:val="21"/>
                <w:szCs w:val="21"/>
              </w:rPr>
              <w:t>贮存</w:t>
            </w:r>
          </w:p>
          <w:p w14:paraId="10934E74">
            <w:pPr>
              <w:spacing w:line="240" w:lineRule="auto"/>
              <w:ind w:firstLine="0" w:firstLineChars="0"/>
              <w:jc w:val="center"/>
              <w:rPr>
                <w:b/>
                <w:color w:val="auto"/>
                <w:sz w:val="21"/>
                <w:szCs w:val="21"/>
              </w:rPr>
            </w:pPr>
            <w:r>
              <w:rPr>
                <w:b/>
                <w:color w:val="auto"/>
                <w:sz w:val="21"/>
                <w:szCs w:val="21"/>
              </w:rPr>
              <w:t>周期</w:t>
            </w:r>
          </w:p>
        </w:tc>
      </w:tr>
      <w:tr w14:paraId="5C7C49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319" w:type="pct"/>
            <w:vAlign w:val="center"/>
          </w:tcPr>
          <w:p w14:paraId="04C71B32">
            <w:pPr>
              <w:spacing w:line="240" w:lineRule="auto"/>
              <w:ind w:firstLine="0" w:firstLineChars="0"/>
              <w:jc w:val="center"/>
              <w:rPr>
                <w:bCs/>
                <w:color w:val="auto"/>
                <w:sz w:val="21"/>
                <w:szCs w:val="21"/>
              </w:rPr>
            </w:pPr>
            <w:r>
              <w:rPr>
                <w:bCs/>
                <w:color w:val="auto"/>
                <w:sz w:val="21"/>
                <w:szCs w:val="21"/>
              </w:rPr>
              <w:t>1</w:t>
            </w:r>
          </w:p>
        </w:tc>
        <w:tc>
          <w:tcPr>
            <w:tcW w:w="498" w:type="pct"/>
            <w:vMerge w:val="restart"/>
            <w:vAlign w:val="center"/>
          </w:tcPr>
          <w:p w14:paraId="32B022DC">
            <w:pPr>
              <w:spacing w:line="240" w:lineRule="auto"/>
              <w:ind w:firstLine="0" w:firstLineChars="0"/>
              <w:jc w:val="center"/>
              <w:rPr>
                <w:bCs/>
                <w:color w:val="auto"/>
                <w:sz w:val="21"/>
                <w:szCs w:val="21"/>
              </w:rPr>
            </w:pPr>
            <w:r>
              <w:rPr>
                <w:bCs/>
                <w:color w:val="auto"/>
                <w:sz w:val="21"/>
                <w:szCs w:val="21"/>
              </w:rPr>
              <w:t>危废库</w:t>
            </w:r>
          </w:p>
        </w:tc>
        <w:tc>
          <w:tcPr>
            <w:tcW w:w="786" w:type="pct"/>
            <w:vAlign w:val="center"/>
          </w:tcPr>
          <w:p w14:paraId="54568AC7">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废过滤材料</w:t>
            </w:r>
          </w:p>
        </w:tc>
        <w:tc>
          <w:tcPr>
            <w:tcW w:w="967" w:type="dxa"/>
            <w:vAlign w:val="center"/>
          </w:tcPr>
          <w:p w14:paraId="237F3F73">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HW49</w:t>
            </w:r>
          </w:p>
        </w:tc>
        <w:tc>
          <w:tcPr>
            <w:tcW w:w="1376" w:type="dxa"/>
            <w:vAlign w:val="center"/>
          </w:tcPr>
          <w:p w14:paraId="3C1B936D">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900-041-49</w:t>
            </w:r>
          </w:p>
        </w:tc>
        <w:tc>
          <w:tcPr>
            <w:tcW w:w="396" w:type="pct"/>
            <w:vMerge w:val="restart"/>
            <w:vAlign w:val="center"/>
          </w:tcPr>
          <w:p w14:paraId="459A882C">
            <w:pPr>
              <w:spacing w:line="240" w:lineRule="auto"/>
              <w:ind w:firstLine="0" w:firstLineChars="0"/>
              <w:jc w:val="center"/>
              <w:rPr>
                <w:bCs/>
                <w:color w:val="auto"/>
                <w:sz w:val="21"/>
                <w:szCs w:val="21"/>
              </w:rPr>
            </w:pPr>
            <w:r>
              <w:rPr>
                <w:bCs/>
                <w:color w:val="auto"/>
                <w:sz w:val="21"/>
                <w:szCs w:val="21"/>
              </w:rPr>
              <w:t>厂区</w:t>
            </w:r>
            <w:r>
              <w:rPr>
                <w:rFonts w:hint="eastAsia"/>
                <w:bCs/>
                <w:color w:val="auto"/>
                <w:sz w:val="21"/>
                <w:szCs w:val="21"/>
              </w:rPr>
              <w:t>西北</w:t>
            </w:r>
            <w:r>
              <w:rPr>
                <w:bCs/>
                <w:color w:val="auto"/>
                <w:sz w:val="21"/>
                <w:szCs w:val="21"/>
              </w:rPr>
              <w:t>角</w:t>
            </w:r>
          </w:p>
        </w:tc>
        <w:tc>
          <w:tcPr>
            <w:tcW w:w="562" w:type="pct"/>
            <w:vMerge w:val="restart"/>
            <w:vAlign w:val="center"/>
          </w:tcPr>
          <w:p w14:paraId="1C6EF2F8">
            <w:pPr>
              <w:spacing w:line="240" w:lineRule="auto"/>
              <w:ind w:firstLine="0" w:firstLineChars="0"/>
              <w:jc w:val="center"/>
              <w:rPr>
                <w:bCs/>
                <w:color w:val="auto"/>
                <w:sz w:val="21"/>
                <w:szCs w:val="21"/>
              </w:rPr>
            </w:pPr>
            <w:r>
              <w:rPr>
                <w:rFonts w:hint="eastAsia"/>
                <w:bCs/>
                <w:color w:val="auto"/>
                <w:sz w:val="21"/>
                <w:szCs w:val="21"/>
              </w:rPr>
              <w:t>466</w:t>
            </w:r>
            <w:r>
              <w:rPr>
                <w:bCs/>
                <w:color w:val="auto"/>
                <w:sz w:val="21"/>
                <w:szCs w:val="21"/>
              </w:rPr>
              <w:t>m</w:t>
            </w:r>
            <w:r>
              <w:rPr>
                <w:bCs/>
                <w:color w:val="auto"/>
                <w:sz w:val="21"/>
                <w:szCs w:val="21"/>
                <w:vertAlign w:val="superscript"/>
              </w:rPr>
              <w:t>2</w:t>
            </w:r>
          </w:p>
        </w:tc>
        <w:tc>
          <w:tcPr>
            <w:tcW w:w="439" w:type="pct"/>
            <w:vAlign w:val="center"/>
          </w:tcPr>
          <w:p w14:paraId="1D240D6A">
            <w:pPr>
              <w:spacing w:line="240" w:lineRule="auto"/>
              <w:ind w:firstLine="0" w:firstLineChars="0"/>
              <w:jc w:val="center"/>
              <w:rPr>
                <w:bCs/>
                <w:color w:val="auto"/>
                <w:sz w:val="21"/>
                <w:szCs w:val="21"/>
              </w:rPr>
            </w:pPr>
            <w:r>
              <w:rPr>
                <w:rFonts w:hint="eastAsia"/>
                <w:bCs/>
                <w:color w:val="auto"/>
                <w:sz w:val="21"/>
                <w:szCs w:val="21"/>
              </w:rPr>
              <w:t>袋</w:t>
            </w:r>
            <w:r>
              <w:rPr>
                <w:bCs/>
                <w:color w:val="auto"/>
                <w:sz w:val="21"/>
                <w:szCs w:val="21"/>
              </w:rPr>
              <w:t>装</w:t>
            </w:r>
          </w:p>
        </w:tc>
        <w:tc>
          <w:tcPr>
            <w:tcW w:w="762" w:type="dxa"/>
            <w:vAlign w:val="center"/>
          </w:tcPr>
          <w:p w14:paraId="536EBF71">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1.54</w:t>
            </w:r>
          </w:p>
        </w:tc>
        <w:tc>
          <w:tcPr>
            <w:tcW w:w="394" w:type="pct"/>
            <w:vAlign w:val="center"/>
          </w:tcPr>
          <w:p w14:paraId="329C0745">
            <w:pPr>
              <w:spacing w:line="240" w:lineRule="auto"/>
              <w:ind w:firstLine="0" w:firstLineChars="0"/>
              <w:jc w:val="center"/>
              <w:rPr>
                <w:bCs/>
                <w:color w:val="auto"/>
                <w:sz w:val="21"/>
                <w:szCs w:val="21"/>
              </w:rPr>
            </w:pPr>
            <w:r>
              <w:rPr>
                <w:rFonts w:hint="eastAsia"/>
                <w:bCs/>
                <w:color w:val="auto"/>
                <w:sz w:val="21"/>
                <w:szCs w:val="21"/>
              </w:rPr>
              <w:t>30</w:t>
            </w:r>
            <w:r>
              <w:rPr>
                <w:bCs/>
                <w:color w:val="auto"/>
                <w:sz w:val="21"/>
                <w:szCs w:val="21"/>
              </w:rPr>
              <w:t>d</w:t>
            </w:r>
          </w:p>
        </w:tc>
      </w:tr>
      <w:tr w14:paraId="03341F9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319" w:type="pct"/>
            <w:vAlign w:val="center"/>
          </w:tcPr>
          <w:p w14:paraId="56BB2D33">
            <w:pPr>
              <w:spacing w:line="240" w:lineRule="auto"/>
              <w:ind w:firstLine="0" w:firstLineChars="0"/>
              <w:jc w:val="center"/>
              <w:rPr>
                <w:bCs/>
                <w:color w:val="auto"/>
                <w:sz w:val="21"/>
                <w:szCs w:val="21"/>
              </w:rPr>
            </w:pPr>
            <w:r>
              <w:rPr>
                <w:bCs/>
                <w:color w:val="auto"/>
                <w:sz w:val="21"/>
                <w:szCs w:val="21"/>
              </w:rPr>
              <w:t>2</w:t>
            </w:r>
          </w:p>
        </w:tc>
        <w:tc>
          <w:tcPr>
            <w:tcW w:w="498" w:type="pct"/>
            <w:vMerge w:val="continue"/>
            <w:vAlign w:val="center"/>
          </w:tcPr>
          <w:p w14:paraId="7F9EA987">
            <w:pPr>
              <w:spacing w:line="240" w:lineRule="auto"/>
              <w:ind w:firstLine="0" w:firstLineChars="0"/>
              <w:jc w:val="center"/>
              <w:rPr>
                <w:bCs/>
                <w:color w:val="auto"/>
                <w:sz w:val="21"/>
                <w:szCs w:val="21"/>
              </w:rPr>
            </w:pPr>
          </w:p>
        </w:tc>
        <w:tc>
          <w:tcPr>
            <w:tcW w:w="786" w:type="pct"/>
            <w:vAlign w:val="center"/>
          </w:tcPr>
          <w:p w14:paraId="031A6E3C">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废包装桶</w:t>
            </w:r>
          </w:p>
        </w:tc>
        <w:tc>
          <w:tcPr>
            <w:tcW w:w="967" w:type="dxa"/>
            <w:vAlign w:val="center"/>
          </w:tcPr>
          <w:p w14:paraId="4C75ABED">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HW49</w:t>
            </w:r>
          </w:p>
        </w:tc>
        <w:tc>
          <w:tcPr>
            <w:tcW w:w="1376" w:type="dxa"/>
            <w:vAlign w:val="center"/>
          </w:tcPr>
          <w:p w14:paraId="7D46C07A">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900-041-49</w:t>
            </w:r>
          </w:p>
        </w:tc>
        <w:tc>
          <w:tcPr>
            <w:tcW w:w="396" w:type="pct"/>
            <w:vMerge w:val="continue"/>
            <w:vAlign w:val="center"/>
          </w:tcPr>
          <w:p w14:paraId="25E16505">
            <w:pPr>
              <w:spacing w:line="240" w:lineRule="auto"/>
              <w:ind w:firstLine="0" w:firstLineChars="0"/>
              <w:jc w:val="center"/>
              <w:rPr>
                <w:bCs/>
                <w:color w:val="auto"/>
                <w:sz w:val="21"/>
                <w:szCs w:val="21"/>
              </w:rPr>
            </w:pPr>
          </w:p>
        </w:tc>
        <w:tc>
          <w:tcPr>
            <w:tcW w:w="562" w:type="pct"/>
            <w:vMerge w:val="continue"/>
            <w:vAlign w:val="center"/>
          </w:tcPr>
          <w:p w14:paraId="2CDFCAC1">
            <w:pPr>
              <w:widowControl/>
              <w:spacing w:line="240" w:lineRule="auto"/>
              <w:ind w:firstLine="0" w:firstLineChars="0"/>
              <w:jc w:val="center"/>
              <w:rPr>
                <w:bCs/>
                <w:color w:val="auto"/>
                <w:sz w:val="21"/>
                <w:szCs w:val="21"/>
              </w:rPr>
            </w:pPr>
          </w:p>
        </w:tc>
        <w:tc>
          <w:tcPr>
            <w:tcW w:w="439" w:type="pct"/>
            <w:vAlign w:val="center"/>
          </w:tcPr>
          <w:p w14:paraId="1E36961D">
            <w:pPr>
              <w:spacing w:line="240" w:lineRule="auto"/>
              <w:ind w:firstLine="0" w:firstLineChars="0"/>
              <w:jc w:val="center"/>
              <w:rPr>
                <w:bCs/>
                <w:color w:val="auto"/>
                <w:sz w:val="21"/>
                <w:szCs w:val="21"/>
              </w:rPr>
            </w:pPr>
            <w:r>
              <w:rPr>
                <w:rFonts w:hint="eastAsia"/>
                <w:bCs/>
                <w:color w:val="auto"/>
                <w:sz w:val="21"/>
                <w:szCs w:val="21"/>
              </w:rPr>
              <w:t>袋</w:t>
            </w:r>
            <w:r>
              <w:rPr>
                <w:bCs/>
                <w:color w:val="auto"/>
                <w:sz w:val="21"/>
                <w:szCs w:val="21"/>
              </w:rPr>
              <w:t>装</w:t>
            </w:r>
          </w:p>
        </w:tc>
        <w:tc>
          <w:tcPr>
            <w:tcW w:w="762" w:type="dxa"/>
            <w:vAlign w:val="center"/>
          </w:tcPr>
          <w:p w14:paraId="0216DDE2">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10</w:t>
            </w:r>
          </w:p>
        </w:tc>
        <w:tc>
          <w:tcPr>
            <w:tcW w:w="394" w:type="pct"/>
            <w:vAlign w:val="center"/>
          </w:tcPr>
          <w:p w14:paraId="382F1FB6">
            <w:pPr>
              <w:spacing w:line="240" w:lineRule="auto"/>
              <w:ind w:firstLine="0" w:firstLineChars="0"/>
              <w:jc w:val="center"/>
              <w:rPr>
                <w:bCs/>
                <w:color w:val="auto"/>
                <w:sz w:val="21"/>
                <w:szCs w:val="21"/>
              </w:rPr>
            </w:pPr>
            <w:r>
              <w:rPr>
                <w:rFonts w:hint="eastAsia"/>
                <w:bCs/>
                <w:color w:val="auto"/>
                <w:sz w:val="21"/>
                <w:szCs w:val="21"/>
              </w:rPr>
              <w:t>3</w:t>
            </w:r>
            <w:r>
              <w:rPr>
                <w:bCs/>
                <w:color w:val="auto"/>
                <w:sz w:val="21"/>
                <w:szCs w:val="21"/>
              </w:rPr>
              <w:t>0d</w:t>
            </w:r>
          </w:p>
        </w:tc>
      </w:tr>
      <w:tr w14:paraId="7CD9F9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319" w:type="pct"/>
            <w:vAlign w:val="center"/>
          </w:tcPr>
          <w:p w14:paraId="22C8F60B">
            <w:pPr>
              <w:spacing w:line="240" w:lineRule="auto"/>
              <w:ind w:firstLine="0" w:firstLineChars="0"/>
              <w:jc w:val="center"/>
              <w:rPr>
                <w:bCs/>
                <w:color w:val="auto"/>
                <w:sz w:val="21"/>
                <w:szCs w:val="21"/>
              </w:rPr>
            </w:pPr>
            <w:r>
              <w:rPr>
                <w:bCs/>
                <w:color w:val="auto"/>
                <w:sz w:val="21"/>
                <w:szCs w:val="21"/>
              </w:rPr>
              <w:t>3</w:t>
            </w:r>
          </w:p>
        </w:tc>
        <w:tc>
          <w:tcPr>
            <w:tcW w:w="498" w:type="pct"/>
            <w:vMerge w:val="continue"/>
            <w:vAlign w:val="center"/>
          </w:tcPr>
          <w:p w14:paraId="0E9E1C99">
            <w:pPr>
              <w:spacing w:line="240" w:lineRule="auto"/>
              <w:ind w:firstLine="0" w:firstLineChars="0"/>
              <w:jc w:val="center"/>
              <w:rPr>
                <w:bCs/>
                <w:color w:val="auto"/>
                <w:sz w:val="21"/>
                <w:szCs w:val="21"/>
              </w:rPr>
            </w:pPr>
          </w:p>
        </w:tc>
        <w:tc>
          <w:tcPr>
            <w:tcW w:w="786" w:type="pct"/>
            <w:vAlign w:val="center"/>
          </w:tcPr>
          <w:p w14:paraId="0FA57895">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除尘灰</w:t>
            </w:r>
          </w:p>
        </w:tc>
        <w:tc>
          <w:tcPr>
            <w:tcW w:w="967" w:type="dxa"/>
            <w:vAlign w:val="center"/>
          </w:tcPr>
          <w:p w14:paraId="0BA25A3C">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HW02</w:t>
            </w:r>
          </w:p>
        </w:tc>
        <w:tc>
          <w:tcPr>
            <w:tcW w:w="1376" w:type="dxa"/>
            <w:vAlign w:val="center"/>
          </w:tcPr>
          <w:p w14:paraId="4DCAC798">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271-005-02</w:t>
            </w:r>
          </w:p>
        </w:tc>
        <w:tc>
          <w:tcPr>
            <w:tcW w:w="396" w:type="pct"/>
            <w:vMerge w:val="continue"/>
            <w:vAlign w:val="center"/>
          </w:tcPr>
          <w:p w14:paraId="1476A275">
            <w:pPr>
              <w:spacing w:line="240" w:lineRule="auto"/>
              <w:ind w:firstLine="0" w:firstLineChars="0"/>
              <w:jc w:val="center"/>
              <w:rPr>
                <w:bCs/>
                <w:color w:val="auto"/>
                <w:sz w:val="21"/>
                <w:szCs w:val="21"/>
              </w:rPr>
            </w:pPr>
          </w:p>
        </w:tc>
        <w:tc>
          <w:tcPr>
            <w:tcW w:w="562" w:type="pct"/>
            <w:vMerge w:val="continue"/>
            <w:vAlign w:val="center"/>
          </w:tcPr>
          <w:p w14:paraId="0BD70C12">
            <w:pPr>
              <w:spacing w:line="240" w:lineRule="auto"/>
              <w:ind w:firstLine="0" w:firstLineChars="0"/>
              <w:jc w:val="center"/>
              <w:rPr>
                <w:bCs/>
                <w:color w:val="auto"/>
                <w:sz w:val="21"/>
                <w:szCs w:val="21"/>
              </w:rPr>
            </w:pPr>
          </w:p>
        </w:tc>
        <w:tc>
          <w:tcPr>
            <w:tcW w:w="439" w:type="pct"/>
            <w:vAlign w:val="center"/>
          </w:tcPr>
          <w:p w14:paraId="1087633E">
            <w:pPr>
              <w:spacing w:line="240" w:lineRule="auto"/>
              <w:ind w:firstLine="0" w:firstLineChars="0"/>
              <w:jc w:val="center"/>
              <w:rPr>
                <w:bCs/>
                <w:color w:val="auto"/>
                <w:sz w:val="21"/>
                <w:szCs w:val="21"/>
              </w:rPr>
            </w:pPr>
            <w:r>
              <w:rPr>
                <w:rFonts w:hint="eastAsia"/>
                <w:bCs/>
                <w:color w:val="auto"/>
                <w:sz w:val="21"/>
                <w:szCs w:val="21"/>
              </w:rPr>
              <w:t>袋</w:t>
            </w:r>
            <w:r>
              <w:rPr>
                <w:bCs/>
                <w:color w:val="auto"/>
                <w:sz w:val="21"/>
                <w:szCs w:val="21"/>
              </w:rPr>
              <w:t>装</w:t>
            </w:r>
          </w:p>
        </w:tc>
        <w:tc>
          <w:tcPr>
            <w:tcW w:w="762" w:type="dxa"/>
            <w:vAlign w:val="center"/>
          </w:tcPr>
          <w:p w14:paraId="16208295">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5.76</w:t>
            </w:r>
          </w:p>
        </w:tc>
        <w:tc>
          <w:tcPr>
            <w:tcW w:w="394" w:type="pct"/>
            <w:vAlign w:val="center"/>
          </w:tcPr>
          <w:p w14:paraId="19D5EEC8">
            <w:pPr>
              <w:spacing w:line="240" w:lineRule="auto"/>
              <w:ind w:firstLine="0" w:firstLineChars="0"/>
              <w:jc w:val="center"/>
              <w:rPr>
                <w:bCs/>
                <w:color w:val="auto"/>
                <w:sz w:val="21"/>
                <w:szCs w:val="21"/>
              </w:rPr>
            </w:pPr>
            <w:r>
              <w:rPr>
                <w:rFonts w:hint="eastAsia"/>
                <w:bCs/>
                <w:color w:val="auto"/>
                <w:sz w:val="21"/>
                <w:szCs w:val="21"/>
              </w:rPr>
              <w:t>3</w:t>
            </w:r>
            <w:r>
              <w:rPr>
                <w:bCs/>
                <w:color w:val="auto"/>
                <w:sz w:val="21"/>
                <w:szCs w:val="21"/>
              </w:rPr>
              <w:t>0d</w:t>
            </w:r>
          </w:p>
        </w:tc>
      </w:tr>
      <w:tr w14:paraId="41107F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319" w:type="pct"/>
            <w:vAlign w:val="center"/>
          </w:tcPr>
          <w:p w14:paraId="0F03FC99">
            <w:pPr>
              <w:spacing w:line="240" w:lineRule="auto"/>
              <w:ind w:firstLine="0" w:firstLineChars="0"/>
              <w:jc w:val="center"/>
              <w:rPr>
                <w:bCs/>
                <w:color w:val="auto"/>
                <w:sz w:val="21"/>
                <w:szCs w:val="21"/>
              </w:rPr>
            </w:pPr>
            <w:r>
              <w:rPr>
                <w:bCs/>
                <w:color w:val="auto"/>
                <w:sz w:val="21"/>
                <w:szCs w:val="21"/>
              </w:rPr>
              <w:t>4</w:t>
            </w:r>
          </w:p>
        </w:tc>
        <w:tc>
          <w:tcPr>
            <w:tcW w:w="498" w:type="pct"/>
            <w:vMerge w:val="continue"/>
            <w:vAlign w:val="center"/>
          </w:tcPr>
          <w:p w14:paraId="77ED7936">
            <w:pPr>
              <w:spacing w:line="240" w:lineRule="auto"/>
              <w:ind w:firstLine="0" w:firstLineChars="0"/>
              <w:jc w:val="center"/>
              <w:rPr>
                <w:bCs/>
                <w:color w:val="auto"/>
                <w:sz w:val="21"/>
                <w:szCs w:val="21"/>
              </w:rPr>
            </w:pPr>
          </w:p>
        </w:tc>
        <w:tc>
          <w:tcPr>
            <w:tcW w:w="786" w:type="pct"/>
            <w:vAlign w:val="center"/>
          </w:tcPr>
          <w:p w14:paraId="62A6B610">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实验室废物</w:t>
            </w:r>
          </w:p>
        </w:tc>
        <w:tc>
          <w:tcPr>
            <w:tcW w:w="967" w:type="dxa"/>
            <w:vAlign w:val="center"/>
          </w:tcPr>
          <w:p w14:paraId="6758D426">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HW49</w:t>
            </w:r>
          </w:p>
        </w:tc>
        <w:tc>
          <w:tcPr>
            <w:tcW w:w="1376" w:type="dxa"/>
            <w:vAlign w:val="center"/>
          </w:tcPr>
          <w:p w14:paraId="48EE5940">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900-047-49</w:t>
            </w:r>
          </w:p>
        </w:tc>
        <w:tc>
          <w:tcPr>
            <w:tcW w:w="396" w:type="pct"/>
            <w:vMerge w:val="continue"/>
            <w:vAlign w:val="center"/>
          </w:tcPr>
          <w:p w14:paraId="6C51262B">
            <w:pPr>
              <w:spacing w:line="240" w:lineRule="auto"/>
              <w:ind w:firstLine="0" w:firstLineChars="0"/>
              <w:jc w:val="center"/>
              <w:rPr>
                <w:bCs/>
                <w:color w:val="auto"/>
                <w:sz w:val="21"/>
                <w:szCs w:val="21"/>
              </w:rPr>
            </w:pPr>
          </w:p>
        </w:tc>
        <w:tc>
          <w:tcPr>
            <w:tcW w:w="562" w:type="pct"/>
            <w:vMerge w:val="continue"/>
            <w:vAlign w:val="center"/>
          </w:tcPr>
          <w:p w14:paraId="2F997A4B">
            <w:pPr>
              <w:spacing w:line="240" w:lineRule="auto"/>
              <w:ind w:firstLine="0" w:firstLineChars="0"/>
              <w:jc w:val="center"/>
              <w:rPr>
                <w:bCs/>
                <w:color w:val="auto"/>
                <w:sz w:val="21"/>
                <w:szCs w:val="21"/>
              </w:rPr>
            </w:pPr>
          </w:p>
        </w:tc>
        <w:tc>
          <w:tcPr>
            <w:tcW w:w="439" w:type="pct"/>
            <w:vAlign w:val="center"/>
          </w:tcPr>
          <w:p w14:paraId="5E38D056">
            <w:pPr>
              <w:spacing w:line="240" w:lineRule="auto"/>
              <w:ind w:firstLine="0" w:firstLineChars="0"/>
              <w:jc w:val="center"/>
              <w:rPr>
                <w:bCs/>
                <w:color w:val="auto"/>
                <w:sz w:val="21"/>
                <w:szCs w:val="21"/>
              </w:rPr>
            </w:pPr>
            <w:r>
              <w:rPr>
                <w:bCs/>
                <w:color w:val="auto"/>
                <w:sz w:val="21"/>
                <w:szCs w:val="21"/>
              </w:rPr>
              <w:t>桶装</w:t>
            </w:r>
          </w:p>
        </w:tc>
        <w:tc>
          <w:tcPr>
            <w:tcW w:w="762" w:type="dxa"/>
            <w:vAlign w:val="center"/>
          </w:tcPr>
          <w:p w14:paraId="7B3AD97F">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0.5</w:t>
            </w:r>
          </w:p>
        </w:tc>
        <w:tc>
          <w:tcPr>
            <w:tcW w:w="394" w:type="pct"/>
            <w:vAlign w:val="center"/>
          </w:tcPr>
          <w:p w14:paraId="6431F706">
            <w:pPr>
              <w:spacing w:line="240" w:lineRule="auto"/>
              <w:ind w:firstLine="0" w:firstLineChars="0"/>
              <w:jc w:val="center"/>
              <w:rPr>
                <w:bCs/>
                <w:color w:val="auto"/>
                <w:sz w:val="21"/>
                <w:szCs w:val="21"/>
              </w:rPr>
            </w:pPr>
            <w:r>
              <w:rPr>
                <w:rFonts w:hint="eastAsia"/>
                <w:bCs/>
                <w:color w:val="auto"/>
                <w:sz w:val="21"/>
                <w:szCs w:val="21"/>
              </w:rPr>
              <w:t>3</w:t>
            </w:r>
            <w:r>
              <w:rPr>
                <w:bCs/>
                <w:color w:val="auto"/>
                <w:sz w:val="21"/>
                <w:szCs w:val="21"/>
              </w:rPr>
              <w:t>0d</w:t>
            </w:r>
          </w:p>
        </w:tc>
      </w:tr>
      <w:tr w14:paraId="6967C6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319" w:type="pct"/>
            <w:vAlign w:val="center"/>
          </w:tcPr>
          <w:p w14:paraId="2D4EBB2B">
            <w:pPr>
              <w:spacing w:line="240" w:lineRule="auto"/>
              <w:ind w:firstLine="0" w:firstLineChars="0"/>
              <w:jc w:val="center"/>
              <w:rPr>
                <w:bCs/>
                <w:color w:val="auto"/>
                <w:sz w:val="21"/>
                <w:szCs w:val="21"/>
              </w:rPr>
            </w:pPr>
            <w:r>
              <w:rPr>
                <w:rFonts w:hint="eastAsia"/>
                <w:bCs/>
                <w:color w:val="auto"/>
                <w:sz w:val="21"/>
                <w:szCs w:val="21"/>
              </w:rPr>
              <w:t>5</w:t>
            </w:r>
          </w:p>
        </w:tc>
        <w:tc>
          <w:tcPr>
            <w:tcW w:w="498" w:type="pct"/>
            <w:vMerge w:val="continue"/>
            <w:vAlign w:val="center"/>
          </w:tcPr>
          <w:p w14:paraId="6EC1EA50">
            <w:pPr>
              <w:spacing w:line="240" w:lineRule="auto"/>
              <w:ind w:firstLine="0" w:firstLineChars="0"/>
              <w:jc w:val="center"/>
              <w:rPr>
                <w:bCs/>
                <w:color w:val="auto"/>
                <w:sz w:val="21"/>
                <w:szCs w:val="21"/>
              </w:rPr>
            </w:pPr>
          </w:p>
        </w:tc>
        <w:tc>
          <w:tcPr>
            <w:tcW w:w="786" w:type="pct"/>
            <w:vAlign w:val="center"/>
          </w:tcPr>
          <w:p w14:paraId="1A777565">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污水处理污泥</w:t>
            </w:r>
          </w:p>
        </w:tc>
        <w:tc>
          <w:tcPr>
            <w:tcW w:w="967" w:type="dxa"/>
            <w:vAlign w:val="center"/>
          </w:tcPr>
          <w:p w14:paraId="04920918">
            <w:pPr>
              <w:widowControl/>
              <w:spacing w:line="240" w:lineRule="auto"/>
              <w:ind w:firstLine="0" w:firstLineChars="0"/>
              <w:jc w:val="center"/>
              <w:rPr>
                <w:color w:val="auto"/>
                <w:sz w:val="21"/>
                <w:szCs w:val="21"/>
              </w:rPr>
            </w:pPr>
            <w:r>
              <w:rPr>
                <w:rFonts w:hint="eastAsia"/>
                <w:color w:val="auto"/>
                <w:kern w:val="0"/>
                <w:sz w:val="21"/>
                <w:szCs w:val="21"/>
                <w:lang w:bidi="ar"/>
              </w:rPr>
              <w:t>HW49</w:t>
            </w:r>
          </w:p>
        </w:tc>
        <w:tc>
          <w:tcPr>
            <w:tcW w:w="1376" w:type="dxa"/>
            <w:vAlign w:val="center"/>
          </w:tcPr>
          <w:p w14:paraId="4B860CFC">
            <w:pPr>
              <w:widowControl/>
              <w:spacing w:line="240" w:lineRule="auto"/>
              <w:ind w:firstLine="0" w:firstLineChars="0"/>
              <w:jc w:val="center"/>
              <w:rPr>
                <w:color w:val="auto"/>
                <w:sz w:val="21"/>
                <w:szCs w:val="21"/>
              </w:rPr>
            </w:pPr>
            <w:r>
              <w:rPr>
                <w:rFonts w:hint="eastAsia"/>
                <w:color w:val="auto"/>
                <w:kern w:val="0"/>
                <w:sz w:val="21"/>
                <w:szCs w:val="21"/>
              </w:rPr>
              <w:t>772-006-49</w:t>
            </w:r>
          </w:p>
        </w:tc>
        <w:tc>
          <w:tcPr>
            <w:tcW w:w="396" w:type="pct"/>
            <w:vMerge w:val="continue"/>
            <w:vAlign w:val="center"/>
          </w:tcPr>
          <w:p w14:paraId="766BBE17">
            <w:pPr>
              <w:spacing w:line="240" w:lineRule="auto"/>
              <w:ind w:firstLine="0" w:firstLineChars="0"/>
              <w:jc w:val="center"/>
              <w:rPr>
                <w:bCs/>
                <w:color w:val="auto"/>
                <w:sz w:val="21"/>
                <w:szCs w:val="21"/>
              </w:rPr>
            </w:pPr>
          </w:p>
        </w:tc>
        <w:tc>
          <w:tcPr>
            <w:tcW w:w="562" w:type="pct"/>
            <w:vMerge w:val="continue"/>
            <w:vAlign w:val="center"/>
          </w:tcPr>
          <w:p w14:paraId="3B7C3FF7">
            <w:pPr>
              <w:spacing w:line="240" w:lineRule="auto"/>
              <w:ind w:firstLine="0" w:firstLineChars="0"/>
              <w:jc w:val="center"/>
              <w:rPr>
                <w:bCs/>
                <w:color w:val="auto"/>
                <w:sz w:val="21"/>
                <w:szCs w:val="21"/>
              </w:rPr>
            </w:pPr>
          </w:p>
        </w:tc>
        <w:tc>
          <w:tcPr>
            <w:tcW w:w="439" w:type="pct"/>
            <w:vAlign w:val="center"/>
          </w:tcPr>
          <w:p w14:paraId="48D7663E">
            <w:pPr>
              <w:spacing w:line="240" w:lineRule="auto"/>
              <w:ind w:firstLine="0" w:firstLineChars="0"/>
              <w:jc w:val="center"/>
              <w:rPr>
                <w:bCs/>
                <w:color w:val="auto"/>
                <w:sz w:val="21"/>
                <w:szCs w:val="21"/>
              </w:rPr>
            </w:pPr>
            <w:r>
              <w:rPr>
                <w:rFonts w:hint="eastAsia"/>
                <w:bCs/>
                <w:color w:val="auto"/>
                <w:sz w:val="21"/>
                <w:szCs w:val="21"/>
              </w:rPr>
              <w:t>袋装</w:t>
            </w:r>
          </w:p>
        </w:tc>
        <w:tc>
          <w:tcPr>
            <w:tcW w:w="762" w:type="dxa"/>
            <w:vAlign w:val="center"/>
          </w:tcPr>
          <w:p w14:paraId="3D422103">
            <w:pPr>
              <w:widowControl/>
              <w:spacing w:line="240" w:lineRule="auto"/>
              <w:ind w:firstLine="0" w:firstLineChars="0"/>
              <w:jc w:val="center"/>
              <w:rPr>
                <w:color w:val="auto"/>
                <w:sz w:val="21"/>
                <w:szCs w:val="21"/>
              </w:rPr>
            </w:pPr>
            <w:r>
              <w:rPr>
                <w:rFonts w:hint="eastAsia"/>
                <w:color w:val="auto"/>
                <w:kern w:val="0"/>
                <w:sz w:val="21"/>
                <w:szCs w:val="21"/>
              </w:rPr>
              <w:t>11.57</w:t>
            </w:r>
          </w:p>
        </w:tc>
        <w:tc>
          <w:tcPr>
            <w:tcW w:w="394" w:type="pct"/>
            <w:vAlign w:val="center"/>
          </w:tcPr>
          <w:p w14:paraId="3B47D075">
            <w:pPr>
              <w:spacing w:line="240" w:lineRule="auto"/>
              <w:ind w:firstLine="0" w:firstLineChars="0"/>
              <w:jc w:val="center"/>
              <w:rPr>
                <w:bCs/>
                <w:color w:val="auto"/>
                <w:sz w:val="21"/>
                <w:szCs w:val="21"/>
              </w:rPr>
            </w:pPr>
            <w:r>
              <w:rPr>
                <w:rFonts w:hint="eastAsia"/>
                <w:bCs/>
                <w:color w:val="auto"/>
                <w:sz w:val="21"/>
                <w:szCs w:val="21"/>
              </w:rPr>
              <w:t>3</w:t>
            </w:r>
            <w:r>
              <w:rPr>
                <w:bCs/>
                <w:color w:val="auto"/>
                <w:sz w:val="21"/>
                <w:szCs w:val="21"/>
              </w:rPr>
              <w:t>0d</w:t>
            </w:r>
          </w:p>
        </w:tc>
      </w:tr>
    </w:tbl>
    <w:p w14:paraId="220DF20C">
      <w:pPr>
        <w:pStyle w:val="4"/>
        <w:rPr>
          <w:color w:val="auto"/>
        </w:rPr>
      </w:pPr>
      <w:bookmarkStart w:id="292" w:name="_Toc8593"/>
      <w:bookmarkStart w:id="293" w:name="_Toc3296"/>
      <w:r>
        <w:rPr>
          <w:color w:val="auto"/>
        </w:rPr>
        <w:t>7.4.3危险废物运输</w:t>
      </w:r>
      <w:r>
        <w:rPr>
          <w:rFonts w:hint="eastAsia"/>
          <w:color w:val="auto"/>
        </w:rPr>
        <w:t>污染</w:t>
      </w:r>
      <w:r>
        <w:rPr>
          <w:color w:val="auto"/>
        </w:rPr>
        <w:t>防治措施分析</w:t>
      </w:r>
      <w:bookmarkEnd w:id="292"/>
      <w:bookmarkEnd w:id="293"/>
    </w:p>
    <w:p w14:paraId="746C7B2B">
      <w:pPr>
        <w:adjustRightInd/>
        <w:snapToGrid/>
        <w:ind w:firstLine="480"/>
        <w:rPr>
          <w:color w:val="auto"/>
          <w:szCs w:val="20"/>
        </w:rPr>
      </w:pPr>
      <w:r>
        <w:rPr>
          <w:color w:val="auto"/>
          <w:szCs w:val="20"/>
        </w:rPr>
        <w:t>拟建项目委托处理的危险废物运输中应做到以下几点：</w:t>
      </w:r>
    </w:p>
    <w:p w14:paraId="6E8EFC40">
      <w:pPr>
        <w:adjustRightInd/>
        <w:snapToGrid/>
        <w:ind w:firstLine="480"/>
        <w:rPr>
          <w:color w:val="auto"/>
          <w:szCs w:val="20"/>
        </w:rPr>
      </w:pPr>
      <w:r>
        <w:rPr>
          <w:color w:val="auto"/>
          <w:szCs w:val="20"/>
        </w:rPr>
        <w:t>①该运输车辆须经主管单位检查，并持有有关单位签发的许可证，负责运输的司机应通过培训，持有证明文件。</w:t>
      </w:r>
    </w:p>
    <w:p w14:paraId="5005E479">
      <w:pPr>
        <w:adjustRightInd/>
        <w:snapToGrid/>
        <w:ind w:firstLine="480"/>
        <w:rPr>
          <w:color w:val="auto"/>
          <w:szCs w:val="20"/>
        </w:rPr>
      </w:pPr>
      <w:r>
        <w:rPr>
          <w:color w:val="auto"/>
          <w:szCs w:val="20"/>
        </w:rPr>
        <w:t>②承载危险废物的车辆须有明显的标志或适当的危险符号，以引起注意。</w:t>
      </w:r>
    </w:p>
    <w:p w14:paraId="54E63C3B">
      <w:pPr>
        <w:adjustRightInd/>
        <w:snapToGrid/>
        <w:ind w:firstLine="480"/>
        <w:rPr>
          <w:color w:val="auto"/>
          <w:szCs w:val="20"/>
        </w:rPr>
      </w:pPr>
      <w:r>
        <w:rPr>
          <w:color w:val="auto"/>
          <w:szCs w:val="20"/>
        </w:rPr>
        <w:t>③载有危险废物的车辆在公路上行驶时，需持有运输许可证，其上应注明废物来源、性质和运往地点。</w:t>
      </w:r>
    </w:p>
    <w:p w14:paraId="36627042">
      <w:pPr>
        <w:adjustRightInd/>
        <w:snapToGrid/>
        <w:ind w:firstLine="480"/>
        <w:rPr>
          <w:color w:val="auto"/>
          <w:szCs w:val="20"/>
        </w:rPr>
      </w:pPr>
      <w:r>
        <w:rPr>
          <w:color w:val="auto"/>
          <w:szCs w:val="20"/>
        </w:rPr>
        <w:t>④组织危险废物的运输单位，在事先需作出周密的运输计划和行驶路线，其中包括有效的废物</w:t>
      </w:r>
      <w:r>
        <w:rPr>
          <w:rFonts w:hint="eastAsia"/>
          <w:color w:val="auto"/>
          <w:szCs w:val="20"/>
        </w:rPr>
        <w:t>泄漏</w:t>
      </w:r>
      <w:r>
        <w:rPr>
          <w:color w:val="auto"/>
          <w:szCs w:val="20"/>
        </w:rPr>
        <w:t>情况下的应急措施。</w:t>
      </w:r>
    </w:p>
    <w:p w14:paraId="590D9F0F">
      <w:pPr>
        <w:pStyle w:val="4"/>
        <w:rPr>
          <w:color w:val="auto"/>
        </w:rPr>
      </w:pPr>
      <w:bookmarkStart w:id="294" w:name="_Toc16148"/>
      <w:bookmarkStart w:id="295" w:name="_Toc12908"/>
      <w:r>
        <w:rPr>
          <w:color w:val="auto"/>
        </w:rPr>
        <w:t>7.4.4危废处置方案可行性分析</w:t>
      </w:r>
      <w:bookmarkEnd w:id="294"/>
      <w:bookmarkEnd w:id="295"/>
    </w:p>
    <w:p w14:paraId="4D984F6B">
      <w:pPr>
        <w:adjustRightInd/>
        <w:snapToGrid/>
        <w:ind w:firstLine="480"/>
        <w:rPr>
          <w:color w:val="auto"/>
        </w:rPr>
      </w:pPr>
      <w:r>
        <w:rPr>
          <w:color w:val="auto"/>
          <w:szCs w:val="20"/>
        </w:rPr>
        <w:t>拟建</w:t>
      </w:r>
      <w:r>
        <w:rPr>
          <w:color w:val="auto"/>
        </w:rPr>
        <w:t>项目产生的</w:t>
      </w:r>
      <w:r>
        <w:rPr>
          <w:rFonts w:hint="eastAsia"/>
          <w:color w:val="auto"/>
        </w:rPr>
        <w:t>废过滤材料、废包装桶、除尘灰、实验室污泥、废水处理污泥</w:t>
      </w:r>
      <w:r>
        <w:rPr>
          <w:color w:val="auto"/>
        </w:rPr>
        <w:t>分别属于《国家危险废物名录》（202</w:t>
      </w:r>
      <w:r>
        <w:rPr>
          <w:rFonts w:hint="eastAsia"/>
          <w:color w:val="auto"/>
        </w:rPr>
        <w:t>5</w:t>
      </w:r>
      <w:r>
        <w:rPr>
          <w:color w:val="auto"/>
        </w:rPr>
        <w:t>年版）中HW</w:t>
      </w:r>
      <w:r>
        <w:rPr>
          <w:rFonts w:hint="eastAsia"/>
          <w:color w:val="auto"/>
        </w:rPr>
        <w:t>49（900-041-49）、</w:t>
      </w:r>
      <w:r>
        <w:rPr>
          <w:color w:val="auto"/>
        </w:rPr>
        <w:t>HW</w:t>
      </w:r>
      <w:r>
        <w:rPr>
          <w:rFonts w:hint="eastAsia"/>
          <w:color w:val="auto"/>
        </w:rPr>
        <w:t>49（900-041-49）、</w:t>
      </w:r>
      <w:r>
        <w:rPr>
          <w:color w:val="auto"/>
        </w:rPr>
        <w:t>HW</w:t>
      </w:r>
      <w:r>
        <w:rPr>
          <w:rFonts w:hint="eastAsia"/>
          <w:color w:val="auto"/>
        </w:rPr>
        <w:t>02（271</w:t>
      </w:r>
      <w:r>
        <w:rPr>
          <w:color w:val="auto"/>
        </w:rPr>
        <w:t>-0</w:t>
      </w:r>
      <w:r>
        <w:rPr>
          <w:rFonts w:hint="eastAsia"/>
          <w:color w:val="auto"/>
        </w:rPr>
        <w:t>05</w:t>
      </w:r>
      <w:r>
        <w:rPr>
          <w:color w:val="auto"/>
        </w:rPr>
        <w:t>-</w:t>
      </w:r>
      <w:r>
        <w:rPr>
          <w:rFonts w:hint="eastAsia"/>
          <w:color w:val="auto"/>
        </w:rPr>
        <w:t>02）、HW49（</w:t>
      </w:r>
      <w:r>
        <w:rPr>
          <w:color w:val="auto"/>
        </w:rPr>
        <w:t>900-0</w:t>
      </w:r>
      <w:r>
        <w:rPr>
          <w:rFonts w:hint="eastAsia"/>
          <w:color w:val="auto"/>
        </w:rPr>
        <w:t>47</w:t>
      </w:r>
      <w:r>
        <w:rPr>
          <w:color w:val="auto"/>
        </w:rPr>
        <w:t>-49</w:t>
      </w:r>
      <w:r>
        <w:rPr>
          <w:rFonts w:hint="eastAsia"/>
          <w:color w:val="auto"/>
        </w:rPr>
        <w:t>）、HW49（772-006-49）。企业可委托南通润启环保服务有限公司对拟建危险废物进行处置。</w:t>
      </w:r>
    </w:p>
    <w:p w14:paraId="629F84F3">
      <w:pPr>
        <w:adjustRightInd/>
        <w:snapToGrid/>
        <w:ind w:firstLine="480"/>
        <w:rPr>
          <w:color w:val="auto"/>
          <w:szCs w:val="20"/>
        </w:rPr>
      </w:pPr>
      <w:r>
        <w:rPr>
          <w:rFonts w:hint="eastAsia"/>
          <w:color w:val="auto"/>
          <w:szCs w:val="20"/>
        </w:rPr>
        <w:t>南通润启环保服务有限公司(原启东金阳光固废处置有限公司)位于园区常州中路西侧、上海中路南侧，占地面积为2.4ha，焚烧处置25000t/a危废及3000t/a医疗废物，</w:t>
      </w:r>
      <w:r>
        <w:rPr>
          <w:color w:val="auto"/>
          <w:szCs w:val="20"/>
        </w:rPr>
        <w:t>目前尚有余量可接收</w:t>
      </w:r>
      <w:r>
        <w:rPr>
          <w:rFonts w:hint="eastAsia"/>
          <w:color w:val="auto"/>
          <w:szCs w:val="20"/>
        </w:rPr>
        <w:t>拟建</w:t>
      </w:r>
      <w:r>
        <w:rPr>
          <w:color w:val="auto"/>
          <w:szCs w:val="20"/>
        </w:rPr>
        <w:t>危险废物</w:t>
      </w:r>
      <w:r>
        <w:rPr>
          <w:rFonts w:hint="eastAsia"/>
          <w:color w:val="auto"/>
          <w:szCs w:val="20"/>
        </w:rPr>
        <w:t>。</w:t>
      </w:r>
    </w:p>
    <w:p w14:paraId="009A2D2C">
      <w:pPr>
        <w:adjustRightInd/>
        <w:snapToGrid/>
        <w:ind w:firstLine="480"/>
        <w:rPr>
          <w:color w:val="auto"/>
          <w:szCs w:val="20"/>
        </w:rPr>
      </w:pPr>
      <w:r>
        <w:rPr>
          <w:rFonts w:hint="eastAsia"/>
          <w:color w:val="auto"/>
          <w:szCs w:val="20"/>
        </w:rPr>
        <w:t>危废接收范围：功能定位为工业危险废物的焚烧处置，服务对象为启东、海门地区的工业危险废物和医疗废物，以及南通市域其它地区的危险废物，拟建</w:t>
      </w:r>
      <w:r>
        <w:rPr>
          <w:color w:val="auto"/>
          <w:szCs w:val="20"/>
        </w:rPr>
        <w:t>产生的危险废物在</w:t>
      </w:r>
      <w:r>
        <w:rPr>
          <w:rFonts w:hint="eastAsia"/>
          <w:color w:val="auto"/>
          <w:szCs w:val="20"/>
        </w:rPr>
        <w:t>南通东江环保技术有限公司</w:t>
      </w:r>
      <w:r>
        <w:rPr>
          <w:color w:val="auto"/>
          <w:szCs w:val="20"/>
        </w:rPr>
        <w:t>资质范围内。</w:t>
      </w:r>
    </w:p>
    <w:p w14:paraId="2510D135">
      <w:pPr>
        <w:adjustRightInd/>
        <w:snapToGrid/>
        <w:ind w:firstLine="480"/>
        <w:rPr>
          <w:bCs/>
          <w:color w:val="auto"/>
          <w:szCs w:val="20"/>
        </w:rPr>
      </w:pPr>
      <w:r>
        <w:rPr>
          <w:bCs/>
          <w:color w:val="auto"/>
          <w:szCs w:val="20"/>
        </w:rPr>
        <w:t>综上所述，拟建项目的各类固体废物的处理处置措施是可行的。</w:t>
      </w:r>
    </w:p>
    <w:p w14:paraId="6B78BC98">
      <w:pPr>
        <w:pStyle w:val="4"/>
        <w:rPr>
          <w:color w:val="auto"/>
        </w:rPr>
      </w:pPr>
      <w:bookmarkStart w:id="296" w:name="_Toc11542"/>
      <w:r>
        <w:rPr>
          <w:rFonts w:hint="eastAsia"/>
          <w:color w:val="auto"/>
        </w:rPr>
        <w:t>7.4.5固体废物防治管理要求</w:t>
      </w:r>
      <w:bookmarkEnd w:id="296"/>
    </w:p>
    <w:p w14:paraId="74ECDDC5">
      <w:pPr>
        <w:adjustRightInd/>
        <w:snapToGrid/>
        <w:ind w:firstLine="480"/>
        <w:rPr>
          <w:color w:val="auto"/>
          <w:szCs w:val="20"/>
        </w:rPr>
      </w:pPr>
      <w:r>
        <w:rPr>
          <w:rFonts w:hint="eastAsia"/>
          <w:color w:val="auto"/>
          <w:szCs w:val="20"/>
        </w:rPr>
        <w:t>一</w:t>
      </w:r>
      <w:r>
        <w:rPr>
          <w:color w:val="auto"/>
          <w:szCs w:val="20"/>
        </w:rPr>
        <w:t>、精准落实固体废物分类管理</w:t>
      </w:r>
    </w:p>
    <w:p w14:paraId="6E66A403">
      <w:pPr>
        <w:adjustRightInd/>
        <w:snapToGrid/>
        <w:ind w:firstLine="480"/>
        <w:rPr>
          <w:color w:val="auto"/>
          <w:szCs w:val="20"/>
        </w:rPr>
      </w:pPr>
      <w:r>
        <w:rPr>
          <w:color w:val="auto"/>
          <w:szCs w:val="20"/>
        </w:rPr>
        <w:t>1.危险废物管理：对于明确列入国家危险废物名录，或是依据国家规定的危险废物鉴别标准和鉴别方法，被认定具有危险特性的固体废物，必须严格遵循危险废物管理的各项要求。</w:t>
      </w:r>
    </w:p>
    <w:p w14:paraId="444FB54D">
      <w:pPr>
        <w:adjustRightInd/>
        <w:snapToGrid/>
        <w:ind w:firstLine="480"/>
        <w:rPr>
          <w:color w:val="auto"/>
          <w:szCs w:val="20"/>
        </w:rPr>
      </w:pPr>
      <w:r>
        <w:rPr>
          <w:color w:val="auto"/>
          <w:szCs w:val="20"/>
        </w:rPr>
        <w:t>从产生环节开始，就要进行专门的收集、包装，确保危险废物在流转过程中不会发生泄漏、扩散等情况。收集容器要与危险废物特性相匹配，具备良好的防渗漏、防扬散、防流失功能。在贮存环节，要按照《危险废物贮存污染控制标准》（GB18597 - 2023）建设专门的贮存场所，地面进行严格防渗处理，渗透系数不超过 1.0×10⁻¹⁰ cm/s，且贮存场所要设置明显、规范的警示标志，符合相关文件要求。运输时，必须委托具备相应危险货物运输资质的单位，运输车辆要符合环保要求，配备必要的监控设备和应急处理器材，运输人员要严格遵守危险货物运输安全操作规程。后续的处置环节，要委托有资质的专业处置单位，并对处置过程进行严格监督。</w:t>
      </w:r>
    </w:p>
    <w:p w14:paraId="6E6D82F0">
      <w:pPr>
        <w:adjustRightInd/>
        <w:snapToGrid/>
        <w:ind w:firstLine="480"/>
        <w:rPr>
          <w:color w:val="auto"/>
          <w:szCs w:val="20"/>
        </w:rPr>
      </w:pPr>
      <w:r>
        <w:rPr>
          <w:rFonts w:hint="eastAsia"/>
          <w:color w:val="auto"/>
          <w:szCs w:val="20"/>
        </w:rPr>
        <w:t>2</w:t>
      </w:r>
      <w:r>
        <w:rPr>
          <w:color w:val="auto"/>
          <w:szCs w:val="20"/>
        </w:rPr>
        <w:t>.可回收物管理：具有回收利用价值的固体废物，像部分金属、塑料等，</w:t>
      </w:r>
      <w:r>
        <w:rPr>
          <w:rFonts w:hint="eastAsia"/>
          <w:color w:val="auto"/>
          <w:szCs w:val="20"/>
        </w:rPr>
        <w:t>启东亚太</w:t>
      </w:r>
      <w:r>
        <w:rPr>
          <w:color w:val="auto"/>
          <w:szCs w:val="20"/>
        </w:rPr>
        <w:t>应单独进行分类收集。通过建立专门的回收渠道，将这些可回收物妥善处理，实现资源的有效回收利用，既降低生产成本，又减少对环境的压力。可回收物的收集容器应进行明确标识，与其他固体废物收集容器区分开。企业可与专业的回收企业建立长期合作关系，确保可回收物能够得到合理利用。同时，要对可回收物的回收利用情况进行记录，包括回收量、回收去向等信息，以便进行管理和统计。</w:t>
      </w:r>
    </w:p>
    <w:p w14:paraId="7234F12A">
      <w:pPr>
        <w:adjustRightInd/>
        <w:snapToGrid/>
        <w:ind w:firstLine="480"/>
        <w:rPr>
          <w:color w:val="auto"/>
          <w:szCs w:val="20"/>
        </w:rPr>
      </w:pPr>
      <w:r>
        <w:rPr>
          <w:rFonts w:hint="eastAsia"/>
          <w:color w:val="auto"/>
          <w:szCs w:val="20"/>
        </w:rPr>
        <w:t>二</w:t>
      </w:r>
      <w:r>
        <w:rPr>
          <w:color w:val="auto"/>
          <w:szCs w:val="20"/>
        </w:rPr>
        <w:t>、规范固体废物收集操作</w:t>
      </w:r>
    </w:p>
    <w:p w14:paraId="3255EFE2">
      <w:pPr>
        <w:adjustRightInd/>
        <w:snapToGrid/>
        <w:ind w:firstLine="480"/>
        <w:rPr>
          <w:color w:val="auto"/>
          <w:szCs w:val="20"/>
        </w:rPr>
      </w:pPr>
      <w:r>
        <w:rPr>
          <w:color w:val="auto"/>
          <w:szCs w:val="20"/>
        </w:rPr>
        <w:t>1.严格分类收集：生产部门作为固体废物产生的源头，必须严格按照既定的分类标准，对各类固体废物进行精准分类收集。坚决杜绝不同类别的废料混合收集的情况，尤其是危险废物和一般工业固体废物，二者性质差异大，一旦混合，不仅会增加后续处理的难度，还可能引发严重的环境风险，因此要从源头上做好分类工作，防止交叉污染。</w:t>
      </w:r>
    </w:p>
    <w:p w14:paraId="1DFB0CB3">
      <w:pPr>
        <w:adjustRightInd/>
        <w:snapToGrid/>
        <w:ind w:firstLine="480"/>
        <w:rPr>
          <w:color w:val="auto"/>
          <w:szCs w:val="20"/>
        </w:rPr>
      </w:pPr>
      <w:r>
        <w:rPr>
          <w:color w:val="auto"/>
          <w:szCs w:val="20"/>
        </w:rPr>
        <w:t>企业应制定详细的固体废物分类收集指南，明确各类固体废物的分类标准和收集要求，并对生产部门员工进行培训，确保员工熟悉分类方法和操作流程。在生产车间设置明显的分类收集标识，引导员工正确投放固体废物。</w:t>
      </w:r>
    </w:p>
    <w:p w14:paraId="3FCCCF5B">
      <w:pPr>
        <w:adjustRightInd/>
        <w:snapToGrid/>
        <w:ind w:firstLine="480"/>
        <w:rPr>
          <w:color w:val="auto"/>
          <w:szCs w:val="20"/>
        </w:rPr>
      </w:pPr>
      <w:r>
        <w:rPr>
          <w:color w:val="auto"/>
          <w:szCs w:val="20"/>
        </w:rPr>
        <w:t>2.选用合规收集容器：收集固体废物的容器，要满足相应的环保要求，具备良好的防渗漏、防扬散、防流失等功能。特别是用于收集危险废物的容器，其材质和特性必须与所装危险废物相匹配、相容，确保在收集、搬运等过程中，容器不会因与危险废物发生化学反应等原因而损坏，进而导致危险废物泄漏。</w:t>
      </w:r>
    </w:p>
    <w:p w14:paraId="5EDF8EEE">
      <w:pPr>
        <w:adjustRightInd/>
        <w:snapToGrid/>
        <w:ind w:firstLine="480"/>
        <w:rPr>
          <w:color w:val="auto"/>
          <w:szCs w:val="20"/>
        </w:rPr>
      </w:pPr>
      <w:r>
        <w:rPr>
          <w:color w:val="auto"/>
          <w:szCs w:val="20"/>
        </w:rPr>
        <w:t>对于危险废物收集容器，要定期进行检查和维护，查看是否有破损、泄漏等情况，一旦发现问题，及时更换容器。同时，容器上应张贴清晰的危险废物标识，注明废物名称、类别、危险特性等信息。对于一般工业固体废物和可回收物收集容器，也要保证其完好无损，正常使用，并进行相应标识。</w:t>
      </w:r>
    </w:p>
    <w:p w14:paraId="1505DF85">
      <w:pPr>
        <w:adjustRightInd/>
        <w:snapToGrid/>
        <w:ind w:firstLine="480"/>
        <w:rPr>
          <w:color w:val="auto"/>
          <w:szCs w:val="20"/>
        </w:rPr>
      </w:pPr>
      <w:r>
        <w:rPr>
          <w:color w:val="auto"/>
          <w:szCs w:val="20"/>
        </w:rPr>
        <w:t>3.加强人员防护：在收集过程中，操作人员直接接触固体废物，面临一定的健康风险。因此，操作人员务必采取必要的防护措施，如佩戴手套，防止手部皮肤接触有害物质；佩戴口罩，避免吸入有害粉尘或挥发气体；佩戴护目镜，保护眼睛免受可能的飞溅物伤害等，切实保障自身健康安全，同时也避免因人为疏忽导致的环境污染。</w:t>
      </w:r>
    </w:p>
    <w:p w14:paraId="3F2A6D15">
      <w:pPr>
        <w:adjustRightInd/>
        <w:snapToGrid/>
        <w:ind w:firstLine="480"/>
        <w:rPr>
          <w:color w:val="auto"/>
          <w:szCs w:val="20"/>
        </w:rPr>
      </w:pPr>
      <w:r>
        <w:rPr>
          <w:color w:val="auto"/>
          <w:szCs w:val="20"/>
        </w:rPr>
        <w:t>企业应为操作人员配备符合标准的防护用品，并定期组织防护用品使用培训，确保操作人员正确佩戴和使用防护用品。同时，要建立防护用品管理制度，定期检查和更换防护用品，保证其防护性能。</w:t>
      </w:r>
    </w:p>
    <w:p w14:paraId="19F2416D">
      <w:pPr>
        <w:adjustRightInd/>
        <w:snapToGrid/>
        <w:ind w:firstLine="480"/>
        <w:rPr>
          <w:color w:val="auto"/>
          <w:szCs w:val="20"/>
        </w:rPr>
      </w:pPr>
      <w:r>
        <w:rPr>
          <w:rFonts w:hint="eastAsia"/>
          <w:color w:val="auto"/>
          <w:szCs w:val="20"/>
        </w:rPr>
        <w:t>三</w:t>
      </w:r>
      <w:r>
        <w:rPr>
          <w:color w:val="auto"/>
          <w:szCs w:val="20"/>
        </w:rPr>
        <w:t>、强化固体废物安全贮存管理</w:t>
      </w:r>
    </w:p>
    <w:p w14:paraId="1F299F69">
      <w:pPr>
        <w:adjustRightInd/>
        <w:snapToGrid/>
        <w:ind w:firstLine="480"/>
        <w:rPr>
          <w:color w:val="auto"/>
          <w:szCs w:val="20"/>
        </w:rPr>
      </w:pPr>
      <w:r>
        <w:rPr>
          <w:color w:val="auto"/>
          <w:szCs w:val="20"/>
        </w:rPr>
        <w:t>1.高标准建设贮存场所：按照《危险废物贮存污染控制标准》（GB18597 - 2023）等相关标准要求，</w:t>
      </w:r>
      <w:r>
        <w:rPr>
          <w:rFonts w:hint="eastAsia"/>
          <w:color w:val="auto"/>
          <w:szCs w:val="20"/>
        </w:rPr>
        <w:t>启东亚太</w:t>
      </w:r>
      <w:r>
        <w:rPr>
          <w:color w:val="auto"/>
          <w:szCs w:val="20"/>
        </w:rPr>
        <w:t>要建设规范的危废暂存场所。</w:t>
      </w:r>
    </w:p>
    <w:p w14:paraId="46760551">
      <w:pPr>
        <w:adjustRightInd/>
        <w:snapToGrid/>
        <w:ind w:firstLine="480"/>
        <w:rPr>
          <w:color w:val="auto"/>
          <w:szCs w:val="20"/>
        </w:rPr>
      </w:pPr>
      <w:r>
        <w:rPr>
          <w:color w:val="auto"/>
          <w:szCs w:val="20"/>
        </w:rPr>
        <w:t>贮存场所应具备完善的防雨、防晒、防风、防火、防盗等功能，为固体废物的安全贮存提供基础保障。对于危险废物贮存场所，地面必须进行严格的防渗处理，确保渗透系数不超过1.0×10⁻¹⁰cm/s，防止危险废物中的有害物质渗入地下，污染土壤和地下水。贮存场所内部要合理规划布局，设置导流沟、收集池等设施，以便在发生泄漏等情况时，能够及时收集和处理泄漏物。</w:t>
      </w:r>
    </w:p>
    <w:p w14:paraId="2449661E">
      <w:pPr>
        <w:adjustRightInd/>
        <w:snapToGrid/>
        <w:ind w:firstLine="480"/>
        <w:rPr>
          <w:color w:val="auto"/>
          <w:szCs w:val="20"/>
        </w:rPr>
      </w:pPr>
      <w:r>
        <w:rPr>
          <w:color w:val="auto"/>
          <w:szCs w:val="20"/>
        </w:rPr>
        <w:t>2.规范设置警示标志：危险废物贮存场所应设置明显、规范的警示标志，要符合《环境保护图形标志一固体废物贮存（处置）场》（GB15562.2 - 1995）修改单、《省生态环境厅关于做好江苏省危险废物全生命周期监控系统上线运行工作的通知》（苏环办〔2020〕401号）、《危险废物识别标志设置技术规范》（HJ1276 - 2022）及《省生态环境厅关于做好&lt;危险废物贮存污染控制标准&gt;等标准规范实施后危险废物环境管理衔接工作的通知》（苏环办〔2023〕154号）等一系列文件的要求。</w:t>
      </w:r>
    </w:p>
    <w:p w14:paraId="559C3209">
      <w:pPr>
        <w:adjustRightInd/>
        <w:snapToGrid/>
        <w:ind w:firstLine="480"/>
        <w:rPr>
          <w:color w:val="auto"/>
          <w:szCs w:val="20"/>
        </w:rPr>
      </w:pPr>
      <w:r>
        <w:rPr>
          <w:color w:val="auto"/>
          <w:szCs w:val="20"/>
        </w:rPr>
        <w:t>一般工业固体废物贮存设施也应在显著位置张贴符合规定的环境保护图形标志，以便于识别和管理，警示相关人员注意安全和环保要求。警示标志的内容应清晰明确，包括废物类别、危险特性、注意事项等信息，且要保证标志的醒目性和持久性，定期进行检查和维护，如有损坏或褪色，及时更换。</w:t>
      </w:r>
    </w:p>
    <w:p w14:paraId="022FCEDB">
      <w:pPr>
        <w:adjustRightInd/>
        <w:snapToGrid/>
        <w:ind w:firstLine="480"/>
        <w:rPr>
          <w:color w:val="auto"/>
          <w:szCs w:val="20"/>
        </w:rPr>
      </w:pPr>
      <w:r>
        <w:rPr>
          <w:color w:val="auto"/>
          <w:szCs w:val="20"/>
        </w:rPr>
        <w:t>3.科学实施分区贮存管理：贮存设施内部要根据废物种类进行合理分区存放。危险废物因其性质特殊，更要按照其特性进一步细分区域贮存，对于不相容的危险废物，绝对不能混合贮存，防止发生化学反应，引发安全事故。</w:t>
      </w:r>
    </w:p>
    <w:p w14:paraId="7EA3938B">
      <w:pPr>
        <w:adjustRightInd/>
        <w:snapToGrid/>
        <w:ind w:firstLine="480"/>
        <w:rPr>
          <w:color w:val="auto"/>
          <w:szCs w:val="20"/>
        </w:rPr>
      </w:pPr>
      <w:r>
        <w:rPr>
          <w:color w:val="auto"/>
          <w:szCs w:val="20"/>
        </w:rPr>
        <w:t>同时，严格禁止将一般工业固体废物投放至生活垃圾收集设施，也不允许将生活垃圾、危险废物与一般工业固体废物混堆，保持贮存场所的整洁和规范，降低环境风险。在贮存场所设置明显的分区标识，注明每个区域存放的废物种类和特性。对于危险废物，要建立详细的贮存台账，记录每种危险废物的入库时间、数量、批次等信息，便于管理和追溯。</w:t>
      </w:r>
    </w:p>
    <w:p w14:paraId="6E43715B">
      <w:pPr>
        <w:adjustRightInd/>
        <w:snapToGrid/>
        <w:ind w:firstLine="480"/>
        <w:rPr>
          <w:color w:val="auto"/>
          <w:szCs w:val="20"/>
        </w:rPr>
      </w:pPr>
      <w:r>
        <w:rPr>
          <w:color w:val="auto"/>
          <w:szCs w:val="20"/>
        </w:rPr>
        <w:t>4.建立详实出入库管理制度：</w:t>
      </w:r>
      <w:r>
        <w:rPr>
          <w:rFonts w:hint="eastAsia"/>
          <w:color w:val="auto"/>
          <w:szCs w:val="20"/>
        </w:rPr>
        <w:t>启东亚太</w:t>
      </w:r>
      <w:r>
        <w:rPr>
          <w:color w:val="auto"/>
          <w:szCs w:val="20"/>
        </w:rPr>
        <w:t>需建立详细、准确的出入库管理制度，对所有固体废物的出入库情况进行如实记录。记录内容应涵盖废物名称、类别、数量、来源、去向、出入库时间等关键信息，通过完善的记录，确保每一批次固体废物的流向都清晰可追溯，便于后续的管理和监督检查。</w:t>
      </w:r>
    </w:p>
    <w:p w14:paraId="24458722">
      <w:pPr>
        <w:adjustRightInd/>
        <w:snapToGrid/>
        <w:ind w:firstLine="480"/>
        <w:rPr>
          <w:color w:val="auto"/>
          <w:szCs w:val="20"/>
        </w:rPr>
      </w:pPr>
      <w:r>
        <w:rPr>
          <w:color w:val="auto"/>
          <w:szCs w:val="20"/>
        </w:rPr>
        <w:t>出入库记录要采用规范的格式，由专人负责填写和保管，确保记录的准确性和完整性。同时，要建立电子台账，与纸质台账相互备份，便于数据的查询和统计分析。定期对出入库记录进行核对和审计，确保记录与实际库存情况相符。</w:t>
      </w:r>
    </w:p>
    <w:p w14:paraId="2F01F7DE">
      <w:pPr>
        <w:adjustRightInd/>
        <w:snapToGrid/>
        <w:ind w:firstLine="480"/>
        <w:rPr>
          <w:color w:val="auto"/>
          <w:szCs w:val="20"/>
        </w:rPr>
      </w:pPr>
      <w:r>
        <w:rPr>
          <w:rFonts w:hint="eastAsia"/>
          <w:color w:val="auto"/>
          <w:szCs w:val="20"/>
        </w:rPr>
        <w:t>四</w:t>
      </w:r>
      <w:r>
        <w:rPr>
          <w:color w:val="auto"/>
          <w:szCs w:val="20"/>
        </w:rPr>
        <w:t>、严谨把控固体废物运输管理</w:t>
      </w:r>
    </w:p>
    <w:p w14:paraId="3E29C82D">
      <w:pPr>
        <w:adjustRightInd/>
        <w:snapToGrid/>
        <w:ind w:firstLine="480"/>
        <w:rPr>
          <w:color w:val="auto"/>
          <w:szCs w:val="20"/>
        </w:rPr>
      </w:pPr>
      <w:r>
        <w:rPr>
          <w:color w:val="auto"/>
          <w:szCs w:val="20"/>
        </w:rPr>
        <w:t>1.筛选合格运输单位：若涉及危险废物运输，</w:t>
      </w:r>
      <w:r>
        <w:rPr>
          <w:rFonts w:hint="eastAsia"/>
          <w:color w:val="auto"/>
          <w:szCs w:val="20"/>
        </w:rPr>
        <w:t>启东亚太</w:t>
      </w:r>
      <w:r>
        <w:rPr>
          <w:color w:val="auto"/>
          <w:szCs w:val="20"/>
        </w:rPr>
        <w:t>必须委托具备相应危险货物运输资质的有资质运输单位负责固体废物的运输工作。在选择运输单位时，要对其运输能力进行全面评估，包括车辆数量、车型适配性等；考察其信誉状况，了解过往运输业务中的口碑和诚信记录；审查其安全管理水平，查看是否有完善的安全管理制度和事故应急预案等，综合多方面因素，确保运输单位能够安全、可靠地完成固体废物的运输任务。</w:t>
      </w:r>
    </w:p>
    <w:p w14:paraId="320D5797">
      <w:pPr>
        <w:adjustRightInd/>
        <w:snapToGrid/>
        <w:ind w:firstLine="480"/>
        <w:rPr>
          <w:color w:val="auto"/>
          <w:szCs w:val="20"/>
        </w:rPr>
      </w:pPr>
      <w:r>
        <w:rPr>
          <w:color w:val="auto"/>
          <w:szCs w:val="20"/>
        </w:rPr>
        <w:t>2.制定并落实运输方案：</w:t>
      </w:r>
    </w:p>
    <w:p w14:paraId="3CE1E478">
      <w:pPr>
        <w:adjustRightInd/>
        <w:snapToGrid/>
        <w:ind w:firstLine="480"/>
        <w:rPr>
          <w:color w:val="auto"/>
          <w:szCs w:val="20"/>
        </w:rPr>
      </w:pPr>
      <w:r>
        <w:rPr>
          <w:color w:val="auto"/>
          <w:szCs w:val="20"/>
        </w:rPr>
        <w:t>明确运输细节：运输单位需依据环保部门的要求，结合实际情况，制定详细周全的运输方案。方案中要明确规划运输路线，尽量避开人口密集区、水源保护区等环境敏感区域，降低运输过程中可能对环境和人群造成的风险；确定合理的运输时间，避免在交通高峰期或恶劣天气条件下运输；同时，制定全面的安全措施，确保运输过程安全可控。</w:t>
      </w:r>
    </w:p>
    <w:p w14:paraId="63487F37">
      <w:pPr>
        <w:adjustRightInd/>
        <w:snapToGrid/>
        <w:ind w:firstLine="480"/>
        <w:rPr>
          <w:color w:val="auto"/>
          <w:szCs w:val="20"/>
        </w:rPr>
      </w:pPr>
      <w:r>
        <w:rPr>
          <w:color w:val="auto"/>
          <w:szCs w:val="20"/>
        </w:rPr>
        <w:t>运输路线的选择要经过实地勘察和评估，充分考虑道路状况、周边环境等因素，并与当地交通管理部门和环保部门沟通协调，确保路线合法合规。运输时间的安排要综合考虑交通流量、天气情况等因素，制定合理的运输计划。</w:t>
      </w:r>
    </w:p>
    <w:p w14:paraId="0FCC891D">
      <w:pPr>
        <w:adjustRightInd/>
        <w:snapToGrid/>
        <w:ind w:firstLine="480"/>
        <w:rPr>
          <w:color w:val="auto"/>
          <w:szCs w:val="20"/>
        </w:rPr>
      </w:pPr>
      <w:r>
        <w:rPr>
          <w:color w:val="auto"/>
          <w:szCs w:val="20"/>
        </w:rPr>
        <w:t>配备合规运输车辆：运输车辆要符合环保要求，具备良好的防渗漏、防扬散、防流失等功能，从硬件设施上保障运输过程中固体废物不会泄漏、扩散。此外，还需安装必要的监控设备，如GPS定位系统、行车记录仪等，以便实时监控运输过程，及时掌握车辆位置、行驶状态等信息。</w:t>
      </w:r>
    </w:p>
    <w:p w14:paraId="6DB721C4">
      <w:pPr>
        <w:adjustRightInd/>
        <w:snapToGrid/>
        <w:ind w:firstLine="480"/>
        <w:rPr>
          <w:color w:val="auto"/>
          <w:szCs w:val="20"/>
        </w:rPr>
      </w:pPr>
      <w:r>
        <w:rPr>
          <w:color w:val="auto"/>
          <w:szCs w:val="20"/>
        </w:rPr>
        <w:t>对于运输危险废物的车辆，还必须配备相应的应急处理器材和安全防护设施设备，如灭火器、防毒面具、防化服等，以应对可能出现的突发情况。运输车辆要定期进行维护和保养，确保车辆性能良好，各项环保和安全设施设备正常运行。同时，要对车辆进行标识，注明运输的废物类别和危险特性。</w:t>
      </w:r>
    </w:p>
    <w:p w14:paraId="7E2CEB7F">
      <w:pPr>
        <w:adjustRightInd/>
        <w:snapToGrid/>
        <w:ind w:firstLine="480"/>
        <w:rPr>
          <w:color w:val="auto"/>
          <w:szCs w:val="20"/>
        </w:rPr>
      </w:pPr>
      <w:r>
        <w:rPr>
          <w:color w:val="auto"/>
          <w:szCs w:val="20"/>
        </w:rPr>
        <w:t>规范运输人员操作：运输过程中，运输人员要严格遵守交通安全法规和危险货物运输安全操作规程。保持安全车速，与前车保持安全距离，集中注意力，加强观察，谨慎驾驶。严禁出现超速行驶、逆向行驶、酒后驾驶、疲劳驾驶、无证驾驶、强行超车、闯红灯、行车中查看或发送短信等违规行为，从人为操作层面保障运输安全。</w:t>
      </w:r>
    </w:p>
    <w:p w14:paraId="2E80E313">
      <w:pPr>
        <w:adjustRightInd/>
        <w:snapToGrid/>
        <w:ind w:firstLine="480"/>
        <w:rPr>
          <w:color w:val="auto"/>
          <w:szCs w:val="20"/>
        </w:rPr>
      </w:pPr>
      <w:r>
        <w:rPr>
          <w:color w:val="auto"/>
          <w:szCs w:val="20"/>
        </w:rPr>
        <w:t>企业要对运输人员进行定期培训，包括交通安全法规、危险货物运输知识、应急处理技能等方面的培训，提高运输人员的安全意识和操作水平。同时，建立运输人员考核制度，对违规操作的运输人员进行严肃处理。</w:t>
      </w:r>
    </w:p>
    <w:p w14:paraId="0D16004D">
      <w:pPr>
        <w:adjustRightInd/>
        <w:snapToGrid/>
        <w:ind w:firstLine="480"/>
        <w:rPr>
          <w:color w:val="auto"/>
          <w:szCs w:val="20"/>
        </w:rPr>
      </w:pPr>
      <w:r>
        <w:rPr>
          <w:color w:val="auto"/>
          <w:szCs w:val="20"/>
        </w:rPr>
        <w:t>完善事故应急响应：若在运输过程中不幸发生泄漏等事故，运输人员应立即启动应急程序，迅速采取应急措施。首先停车堵漏，防止废物进一步泄漏；疏散周围人群，确保人员安全；设置警戒区域，避免无关人员靠近。同时，及时向当地环保部门和相关部门报告事故情况，积极配合后续的事故处理工作，将事故损失和环境影响降到最低。</w:t>
      </w:r>
    </w:p>
    <w:p w14:paraId="13ACEF77">
      <w:pPr>
        <w:adjustRightInd/>
        <w:snapToGrid/>
        <w:ind w:firstLine="480"/>
        <w:rPr>
          <w:color w:val="auto"/>
          <w:szCs w:val="20"/>
        </w:rPr>
      </w:pPr>
      <w:r>
        <w:rPr>
          <w:color w:val="auto"/>
          <w:szCs w:val="20"/>
        </w:rPr>
        <w:t>运输单位要制定详细的事故应急预案，并定期进行演练，确保运输人员熟悉应急处理流程和操作方法。在运输车辆上配备必要的应急物资，如堵漏材料、吸附剂等，以便在事故发生时能够及时进行处理。</w:t>
      </w:r>
    </w:p>
    <w:p w14:paraId="376D94AC">
      <w:pPr>
        <w:adjustRightInd/>
        <w:snapToGrid/>
        <w:ind w:firstLine="480"/>
        <w:rPr>
          <w:color w:val="auto"/>
          <w:szCs w:val="20"/>
        </w:rPr>
      </w:pPr>
      <w:r>
        <w:rPr>
          <w:rFonts w:hint="eastAsia"/>
          <w:color w:val="auto"/>
          <w:szCs w:val="20"/>
        </w:rPr>
        <w:t>五</w:t>
      </w:r>
      <w:r>
        <w:rPr>
          <w:color w:val="auto"/>
          <w:szCs w:val="20"/>
        </w:rPr>
        <w:t>、高效推进固体废物处置管理</w:t>
      </w:r>
    </w:p>
    <w:p w14:paraId="6DB278A3">
      <w:pPr>
        <w:adjustRightInd/>
        <w:snapToGrid/>
        <w:ind w:firstLine="480"/>
        <w:rPr>
          <w:color w:val="auto"/>
          <w:szCs w:val="20"/>
        </w:rPr>
      </w:pPr>
      <w:r>
        <w:rPr>
          <w:color w:val="auto"/>
          <w:szCs w:val="20"/>
        </w:rPr>
        <w:t>1.秉持处置原则：</w:t>
      </w:r>
      <w:r>
        <w:rPr>
          <w:rFonts w:hint="eastAsia"/>
          <w:color w:val="auto"/>
          <w:szCs w:val="20"/>
        </w:rPr>
        <w:t>启东亚太</w:t>
      </w:r>
      <w:r>
        <w:rPr>
          <w:color w:val="auto"/>
          <w:szCs w:val="20"/>
        </w:rPr>
        <w:t>在处理固体废物时，要始终遵循“减量化、资源化、无害化”的原则。优先探索资源化利用途径，对于可回收物，通过有效的回收利用措施，将其转化为可再利用的资源，实现资源的循环利用；对于无法回收利用的固体废物，要确保采用科学、合理的方法进行无害化处置，最大程度降低对环境的负面影响。</w:t>
      </w:r>
    </w:p>
    <w:p w14:paraId="5EBA4D4E">
      <w:pPr>
        <w:adjustRightInd/>
        <w:snapToGrid/>
        <w:ind w:firstLine="480"/>
        <w:rPr>
          <w:color w:val="auto"/>
          <w:szCs w:val="20"/>
        </w:rPr>
      </w:pPr>
      <w:r>
        <w:rPr>
          <w:color w:val="auto"/>
          <w:szCs w:val="20"/>
        </w:rPr>
        <w:t>企业要建立固体废物处置评估机制，对每种固体废物进行分析，确定其最佳的处置方式。在资源化利用方面，要不断探索新技术、新方法，提高资源回收利用率。在无害化处置方面，要选择合适的处置技术和处置单位，确保处置效果符合环保要求。</w:t>
      </w:r>
    </w:p>
    <w:p w14:paraId="2AE498D6">
      <w:pPr>
        <w:adjustRightInd/>
        <w:snapToGrid/>
        <w:ind w:firstLine="480"/>
        <w:rPr>
          <w:color w:val="auto"/>
          <w:szCs w:val="20"/>
        </w:rPr>
      </w:pPr>
      <w:r>
        <w:rPr>
          <w:color w:val="auto"/>
          <w:szCs w:val="20"/>
        </w:rPr>
        <w:t>2.专业处置危险废物：危险废物因其高危害性，必须委托有资质的专业处置单位进行处置。在委托处置前，</w:t>
      </w:r>
      <w:r>
        <w:rPr>
          <w:rFonts w:hint="eastAsia"/>
          <w:color w:val="auto"/>
          <w:szCs w:val="20"/>
        </w:rPr>
        <w:t>启东亚太</w:t>
      </w:r>
      <w:r>
        <w:rPr>
          <w:color w:val="auto"/>
          <w:szCs w:val="20"/>
        </w:rPr>
        <w:t>要仔细核实处置单位的资质，确认其具备相应的处置能力和技术水平；考察其污染防治措施是否完善，确保在处置过程中不会对环境造成二次污染。</w:t>
      </w:r>
    </w:p>
    <w:p w14:paraId="08C1676E">
      <w:pPr>
        <w:adjustRightInd/>
        <w:snapToGrid/>
        <w:ind w:firstLine="480"/>
        <w:rPr>
          <w:color w:val="auto"/>
          <w:szCs w:val="20"/>
        </w:rPr>
      </w:pPr>
      <w:r>
        <w:rPr>
          <w:color w:val="auto"/>
          <w:szCs w:val="20"/>
        </w:rPr>
        <w:t>双方依法签订处置协议，在协议中明确废料种类、数量、处置方式、处置价格、付款方式、环保要求等各项权利义务内容。同时，</w:t>
      </w:r>
      <w:r>
        <w:rPr>
          <w:rFonts w:hint="eastAsia"/>
          <w:color w:val="auto"/>
          <w:szCs w:val="20"/>
        </w:rPr>
        <w:t>启东亚太</w:t>
      </w:r>
      <w:r>
        <w:rPr>
          <w:color w:val="auto"/>
          <w:szCs w:val="20"/>
        </w:rPr>
        <w:t>要对处置过程进行严格监督，要求处置单位定期提供处置记录、监测报告等资料，并认真进行审核存档，以便及时掌握危险废物的处置情况，保障处置工作符合环保要求。</w:t>
      </w:r>
    </w:p>
    <w:p w14:paraId="42963DED">
      <w:pPr>
        <w:adjustRightInd/>
        <w:snapToGrid/>
        <w:ind w:firstLine="480"/>
        <w:rPr>
          <w:color w:val="auto"/>
          <w:szCs w:val="20"/>
        </w:rPr>
      </w:pPr>
      <w:r>
        <w:rPr>
          <w:rFonts w:hint="eastAsia"/>
          <w:color w:val="auto"/>
          <w:szCs w:val="20"/>
        </w:rPr>
        <w:t>六</w:t>
      </w:r>
      <w:r>
        <w:rPr>
          <w:color w:val="auto"/>
          <w:szCs w:val="20"/>
        </w:rPr>
        <w:t>、规范管理计划与申报登记</w:t>
      </w:r>
    </w:p>
    <w:p w14:paraId="0194198C">
      <w:pPr>
        <w:adjustRightInd/>
        <w:snapToGrid/>
        <w:ind w:firstLine="480"/>
        <w:rPr>
          <w:color w:val="auto"/>
          <w:szCs w:val="20"/>
        </w:rPr>
      </w:pPr>
      <w:r>
        <w:rPr>
          <w:color w:val="auto"/>
          <w:szCs w:val="20"/>
        </w:rPr>
        <w:t>1.精心制定管理计划：</w:t>
      </w:r>
      <w:r>
        <w:rPr>
          <w:rFonts w:hint="eastAsia"/>
          <w:color w:val="auto"/>
          <w:szCs w:val="20"/>
        </w:rPr>
        <w:t>启东亚太</w:t>
      </w:r>
      <w:r>
        <w:rPr>
          <w:color w:val="auto"/>
          <w:szCs w:val="20"/>
        </w:rPr>
        <w:t>应每年制定危险废物管理计划，计划内容要全面、详实，包括危险废物的产生环节，明确在生产工艺的哪些步骤会产生危险废物；详细列出危险废物的种类、数量，以便精准掌握产生情况；规划危险废物的流向，即从产生地到贮存场所、再到处置单位的整个流程；说明贮存、利用、处置等各个环节的具体方式和措施。</w:t>
      </w:r>
    </w:p>
    <w:p w14:paraId="5908DA6E">
      <w:pPr>
        <w:adjustRightInd/>
        <w:snapToGrid/>
        <w:ind w:firstLine="480"/>
        <w:rPr>
          <w:color w:val="auto"/>
          <w:szCs w:val="20"/>
        </w:rPr>
      </w:pPr>
      <w:r>
        <w:rPr>
          <w:color w:val="auto"/>
          <w:szCs w:val="20"/>
        </w:rPr>
        <w:t>同时，要根据《危险废物管理计划制定和备案指南》的要求，并结合本单位的实际生产情况进行编制。危险废物管理计划需在每年12月30日前，向县级以上地方人民政府环境保护行政主管部门报送下一年度计划，并指定专人妥善保管相关文件，保存期限至少为5年。若计划内容发生重大改变，如变更法人名称、法定代表人和住所，增加或减少危险废物类别，新建或改建相关设施等，应及时以书面形式向环保部门汇报，确保环保部门能够实时掌握企业危险废物管理计划的动态变化。</w:t>
      </w:r>
    </w:p>
    <w:p w14:paraId="685FD73E">
      <w:pPr>
        <w:adjustRightInd/>
        <w:snapToGrid/>
        <w:ind w:firstLine="480"/>
        <w:rPr>
          <w:color w:val="auto"/>
          <w:szCs w:val="20"/>
        </w:rPr>
      </w:pPr>
      <w:r>
        <w:rPr>
          <w:color w:val="auto"/>
          <w:szCs w:val="20"/>
        </w:rPr>
        <w:t>2.如实进行申报登记：按照相关规定，</w:t>
      </w:r>
      <w:r>
        <w:rPr>
          <w:rFonts w:hint="eastAsia"/>
          <w:color w:val="auto"/>
          <w:szCs w:val="20"/>
        </w:rPr>
        <w:t>启东亚太</w:t>
      </w:r>
      <w:r>
        <w:rPr>
          <w:color w:val="auto"/>
          <w:szCs w:val="20"/>
        </w:rPr>
        <w:t>需通过江苏省固体废物环境管理信息系统，如实申报固体废物的种类、产生量、流向、贮存、处置等有关资料。申报数据要与企业的实际生产情况和固体废物管理情况完全相符，确保数据的真实性和准确性。及时更新申报信息，每年3月15日前，需完成上年度一般工业固体废物的申报工作，申报数据应与企业日常记录的台账数据保持一致，以便环保部门通过信息系统对企业固体废物管理情况进行有效的监督和管理。企业要建立健全申报登记管理制度，明确责任部门和责任人，确保申报工作按时、准确完成。同时，要对申报数据进行审核和把关，防止出现错误或虚假申报的情况。</w:t>
      </w:r>
    </w:p>
    <w:p w14:paraId="308BB4E6">
      <w:pPr>
        <w:pStyle w:val="4"/>
        <w:rPr>
          <w:color w:val="auto"/>
        </w:rPr>
      </w:pPr>
      <w:bookmarkStart w:id="297" w:name="_Toc13454"/>
      <w:bookmarkStart w:id="298" w:name="_Toc13532"/>
      <w:r>
        <w:rPr>
          <w:color w:val="auto"/>
        </w:rPr>
        <w:t>7.4.</w:t>
      </w:r>
      <w:r>
        <w:rPr>
          <w:rFonts w:hint="eastAsia"/>
          <w:color w:val="auto"/>
        </w:rPr>
        <w:t>6</w:t>
      </w:r>
      <w:r>
        <w:rPr>
          <w:color w:val="auto"/>
        </w:rPr>
        <w:t>固体废物防治对策建议</w:t>
      </w:r>
      <w:bookmarkEnd w:id="297"/>
      <w:bookmarkEnd w:id="298"/>
    </w:p>
    <w:p w14:paraId="51999BC5">
      <w:pPr>
        <w:autoSpaceDE w:val="0"/>
        <w:autoSpaceDN w:val="0"/>
        <w:adjustRightInd/>
        <w:snapToGrid/>
        <w:ind w:firstLine="480"/>
        <w:jc w:val="left"/>
        <w:rPr>
          <w:color w:val="auto"/>
          <w:szCs w:val="20"/>
        </w:rPr>
      </w:pPr>
      <w:r>
        <w:rPr>
          <w:color w:val="auto"/>
          <w:szCs w:val="20"/>
        </w:rPr>
        <w:t>针对</w:t>
      </w:r>
      <w:r>
        <w:rPr>
          <w:rFonts w:hint="eastAsia"/>
          <w:color w:val="auto"/>
          <w:szCs w:val="20"/>
        </w:rPr>
        <w:t>拟建项目</w:t>
      </w:r>
      <w:r>
        <w:rPr>
          <w:color w:val="auto"/>
          <w:szCs w:val="20"/>
        </w:rPr>
        <w:t>产生</w:t>
      </w:r>
      <w:r>
        <w:rPr>
          <w:rFonts w:hint="eastAsia"/>
          <w:color w:val="auto"/>
          <w:szCs w:val="20"/>
        </w:rPr>
        <w:t>的危险废物</w:t>
      </w:r>
      <w:r>
        <w:rPr>
          <w:color w:val="auto"/>
          <w:szCs w:val="20"/>
        </w:rPr>
        <w:t>，</w:t>
      </w:r>
      <w:r>
        <w:rPr>
          <w:rFonts w:hint="eastAsia"/>
          <w:color w:val="auto"/>
          <w:szCs w:val="20"/>
        </w:rPr>
        <w:t>本次</w:t>
      </w:r>
      <w:r>
        <w:rPr>
          <w:color w:val="auto"/>
          <w:szCs w:val="20"/>
        </w:rPr>
        <w:t>环评要求企业落实以下几点要求：</w:t>
      </w:r>
    </w:p>
    <w:p w14:paraId="27E0D297">
      <w:pPr>
        <w:autoSpaceDE w:val="0"/>
        <w:autoSpaceDN w:val="0"/>
        <w:adjustRightInd/>
        <w:snapToGrid/>
        <w:ind w:firstLine="480"/>
        <w:jc w:val="left"/>
        <w:rPr>
          <w:color w:val="auto"/>
          <w:szCs w:val="20"/>
        </w:rPr>
      </w:pPr>
      <w:r>
        <w:rPr>
          <w:color w:val="auto"/>
          <w:szCs w:val="20"/>
        </w:rPr>
        <w:t>1、对危险固废</w:t>
      </w:r>
      <w:r>
        <w:rPr>
          <w:rFonts w:hint="eastAsia"/>
          <w:color w:val="auto"/>
          <w:szCs w:val="20"/>
        </w:rPr>
        <w:t>仓库</w:t>
      </w:r>
      <w:r>
        <w:rPr>
          <w:color w:val="auto"/>
          <w:szCs w:val="20"/>
        </w:rPr>
        <w:t>区域设立监控设施，危废堆场周围应设置围墙或者防护栅栏，与周边区域严格分离开，并按GB15562.2的规定设置警示标志，现场需配置安全防护服装与工具、通讯设备、照明设施等；</w:t>
      </w:r>
    </w:p>
    <w:p w14:paraId="4CD84EA2">
      <w:pPr>
        <w:autoSpaceDE w:val="0"/>
        <w:autoSpaceDN w:val="0"/>
        <w:adjustRightInd/>
        <w:snapToGrid/>
        <w:ind w:firstLine="480"/>
        <w:jc w:val="left"/>
        <w:rPr>
          <w:color w:val="auto"/>
          <w:szCs w:val="20"/>
        </w:rPr>
      </w:pPr>
      <w:r>
        <w:rPr>
          <w:color w:val="auto"/>
          <w:szCs w:val="20"/>
        </w:rPr>
        <w:t>2、加强固废管理，固废堆场中一般固废与危险固废的堆放位置应在物理上、空间上严格区分，确保污染物不在一般固废与危险固废间转移；危险固废及时入堆场存放，并及时通知协议处理单位进行回收处理。</w:t>
      </w:r>
    </w:p>
    <w:p w14:paraId="3273398E">
      <w:pPr>
        <w:ind w:firstLine="480"/>
        <w:rPr>
          <w:color w:val="auto"/>
          <w:szCs w:val="20"/>
        </w:rPr>
      </w:pPr>
      <w:r>
        <w:rPr>
          <w:color w:val="auto"/>
          <w:szCs w:val="20"/>
        </w:rPr>
        <w:t>3、严格落实危险固废转移台账管理，做到每一笔危险固废的去向都有台账记录，包括厂区内部的和行政管理部门的。</w:t>
      </w:r>
    </w:p>
    <w:p w14:paraId="7022AEEB">
      <w:pPr>
        <w:ind w:firstLine="480"/>
        <w:rPr>
          <w:rFonts w:hint="eastAsia" w:hAnsi="宋体"/>
          <w:color w:val="auto"/>
        </w:rPr>
      </w:pPr>
      <w:r>
        <w:rPr>
          <w:rFonts w:hint="eastAsia" w:hAnsi="宋体"/>
          <w:color w:val="auto"/>
        </w:rPr>
        <w:t>综上，拟建项目强化废物产生、收集、贮运各环节的管理，杜绝固废在厂区内的散失、渗漏。做好固体废物在厂区内的收集和储存相关防护工作，收集后进行有效处置。建立完善的规章制度，以降低固体废物散落对周围环境的影响。因此，建设项目产生的固体废物经有效处理和处置后对环境影响较小。</w:t>
      </w:r>
    </w:p>
    <w:p w14:paraId="3E01FCB7">
      <w:pPr>
        <w:ind w:firstLine="480"/>
        <w:rPr>
          <w:rFonts w:hint="eastAsia" w:hAnsi="宋体"/>
          <w:color w:val="auto"/>
        </w:rPr>
      </w:pPr>
      <w:r>
        <w:rPr>
          <w:rFonts w:hint="eastAsia" w:hAnsi="宋体"/>
          <w:color w:val="auto"/>
        </w:rPr>
        <w:t>此外，建设单位应根据相关要求规范化设置环境保护图形标志牌，具体要求见表7.4-2。</w:t>
      </w:r>
    </w:p>
    <w:p w14:paraId="49828855">
      <w:pPr>
        <w:spacing w:line="460" w:lineRule="exact"/>
        <w:ind w:firstLine="482"/>
        <w:jc w:val="center"/>
        <w:rPr>
          <w:b/>
          <w:bCs/>
          <w:color w:val="auto"/>
        </w:rPr>
      </w:pPr>
      <w:r>
        <w:rPr>
          <w:b/>
          <w:bCs/>
          <w:color w:val="auto"/>
        </w:rPr>
        <w:t>表7.4-</w:t>
      </w:r>
      <w:r>
        <w:rPr>
          <w:rFonts w:hint="eastAsia"/>
          <w:b/>
          <w:bCs/>
          <w:color w:val="auto"/>
        </w:rPr>
        <w:t>2</w:t>
      </w:r>
      <w:r>
        <w:rPr>
          <w:b/>
          <w:bCs/>
          <w:color w:val="auto"/>
        </w:rPr>
        <w:t xml:space="preserve">  固废堆场环境保护图形标志</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332"/>
        <w:gridCol w:w="1343"/>
        <w:gridCol w:w="2334"/>
        <w:gridCol w:w="3684"/>
      </w:tblGrid>
      <w:tr w14:paraId="35899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03" w:type="pct"/>
            <w:vAlign w:val="center"/>
          </w:tcPr>
          <w:p w14:paraId="55F3BFDA">
            <w:pPr>
              <w:tabs>
                <w:tab w:val="left" w:pos="277"/>
                <w:tab w:val="left" w:pos="600"/>
                <w:tab w:val="left" w:pos="780"/>
                <w:tab w:val="left" w:pos="2517"/>
              </w:tabs>
              <w:spacing w:line="240" w:lineRule="auto"/>
              <w:ind w:firstLine="422"/>
              <w:jc w:val="center"/>
              <w:rPr>
                <w:b/>
                <w:color w:val="auto"/>
                <w:kern w:val="0"/>
                <w:sz w:val="21"/>
                <w:szCs w:val="21"/>
              </w:rPr>
            </w:pPr>
            <w:r>
              <w:rPr>
                <w:b/>
                <w:color w:val="auto"/>
                <w:kern w:val="0"/>
                <w:sz w:val="21"/>
                <w:szCs w:val="21"/>
              </w:rPr>
              <w:t>固体废物堆放场</w:t>
            </w:r>
          </w:p>
        </w:tc>
        <w:tc>
          <w:tcPr>
            <w:tcW w:w="693" w:type="pct"/>
            <w:vAlign w:val="center"/>
          </w:tcPr>
          <w:p w14:paraId="414CCBB1">
            <w:pPr>
              <w:tabs>
                <w:tab w:val="left" w:pos="277"/>
                <w:tab w:val="left" w:pos="600"/>
                <w:tab w:val="left" w:pos="780"/>
                <w:tab w:val="left" w:pos="2517"/>
              </w:tabs>
              <w:spacing w:line="240" w:lineRule="auto"/>
              <w:ind w:firstLine="422"/>
              <w:jc w:val="center"/>
              <w:rPr>
                <w:b/>
                <w:color w:val="auto"/>
                <w:kern w:val="0"/>
                <w:sz w:val="21"/>
                <w:szCs w:val="21"/>
              </w:rPr>
            </w:pPr>
            <w:r>
              <w:rPr>
                <w:b/>
                <w:color w:val="auto"/>
                <w:kern w:val="0"/>
                <w:sz w:val="21"/>
                <w:szCs w:val="21"/>
              </w:rPr>
              <w:t>编号</w:t>
            </w:r>
          </w:p>
        </w:tc>
        <w:tc>
          <w:tcPr>
            <w:tcW w:w="1204" w:type="pct"/>
            <w:vAlign w:val="center"/>
          </w:tcPr>
          <w:p w14:paraId="54D5B469">
            <w:pPr>
              <w:tabs>
                <w:tab w:val="left" w:pos="277"/>
                <w:tab w:val="left" w:pos="600"/>
                <w:tab w:val="left" w:pos="780"/>
                <w:tab w:val="left" w:pos="2517"/>
              </w:tabs>
              <w:spacing w:line="240" w:lineRule="auto"/>
              <w:ind w:firstLine="422"/>
              <w:jc w:val="center"/>
              <w:rPr>
                <w:b/>
                <w:color w:val="auto"/>
                <w:kern w:val="0"/>
                <w:sz w:val="21"/>
                <w:szCs w:val="21"/>
              </w:rPr>
            </w:pPr>
            <w:r>
              <w:rPr>
                <w:b/>
                <w:color w:val="auto"/>
                <w:kern w:val="0"/>
                <w:sz w:val="21"/>
                <w:szCs w:val="21"/>
              </w:rPr>
              <w:t>图形标志</w:t>
            </w:r>
          </w:p>
        </w:tc>
        <w:tc>
          <w:tcPr>
            <w:tcW w:w="1900" w:type="pct"/>
            <w:vAlign w:val="center"/>
          </w:tcPr>
          <w:p w14:paraId="767C5F86">
            <w:pPr>
              <w:tabs>
                <w:tab w:val="left" w:pos="277"/>
                <w:tab w:val="left" w:pos="600"/>
                <w:tab w:val="left" w:pos="780"/>
                <w:tab w:val="left" w:pos="2517"/>
              </w:tabs>
              <w:spacing w:line="240" w:lineRule="auto"/>
              <w:ind w:firstLine="422"/>
              <w:jc w:val="center"/>
              <w:rPr>
                <w:b/>
                <w:color w:val="auto"/>
                <w:kern w:val="0"/>
                <w:sz w:val="21"/>
                <w:szCs w:val="21"/>
              </w:rPr>
            </w:pPr>
            <w:r>
              <w:rPr>
                <w:b/>
                <w:color w:val="auto"/>
                <w:kern w:val="0"/>
                <w:sz w:val="21"/>
                <w:szCs w:val="21"/>
              </w:rPr>
              <w:t>功能</w:t>
            </w:r>
          </w:p>
        </w:tc>
      </w:tr>
      <w:tr w14:paraId="2F9A5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03" w:type="pct"/>
            <w:vAlign w:val="center"/>
          </w:tcPr>
          <w:p w14:paraId="7B01670C">
            <w:pPr>
              <w:spacing w:line="240" w:lineRule="auto"/>
              <w:ind w:firstLine="420"/>
              <w:jc w:val="center"/>
              <w:rPr>
                <w:color w:val="auto"/>
                <w:sz w:val="21"/>
                <w:szCs w:val="21"/>
              </w:rPr>
            </w:pPr>
            <w:r>
              <w:rPr>
                <w:color w:val="auto"/>
                <w:sz w:val="21"/>
                <w:szCs w:val="21"/>
              </w:rPr>
              <w:t>一般固废</w:t>
            </w:r>
          </w:p>
        </w:tc>
        <w:tc>
          <w:tcPr>
            <w:tcW w:w="693" w:type="pct"/>
            <w:vAlign w:val="center"/>
          </w:tcPr>
          <w:p w14:paraId="12FEFE96">
            <w:pPr>
              <w:spacing w:line="240" w:lineRule="auto"/>
              <w:ind w:firstLine="420"/>
              <w:jc w:val="center"/>
              <w:rPr>
                <w:color w:val="auto"/>
                <w:sz w:val="21"/>
                <w:szCs w:val="21"/>
              </w:rPr>
            </w:pPr>
            <w:r>
              <w:rPr>
                <w:color w:val="auto"/>
                <w:sz w:val="21"/>
                <w:szCs w:val="21"/>
              </w:rPr>
              <w:t>GF-01</w:t>
            </w:r>
          </w:p>
        </w:tc>
        <w:tc>
          <w:tcPr>
            <w:tcW w:w="1204" w:type="pct"/>
            <w:vAlign w:val="center"/>
          </w:tcPr>
          <w:p w14:paraId="1C8BDC8E">
            <w:pPr>
              <w:spacing w:line="240" w:lineRule="auto"/>
              <w:ind w:firstLine="420"/>
              <w:jc w:val="center"/>
              <w:rPr>
                <w:color w:val="auto"/>
                <w:sz w:val="21"/>
                <w:szCs w:val="21"/>
              </w:rPr>
            </w:pPr>
            <w:r>
              <w:rPr>
                <w:color w:val="auto"/>
                <w:sz w:val="21"/>
                <w:szCs w:val="21"/>
              </w:rPr>
              <w:drawing>
                <wp:inline distT="0" distB="0" distL="114300" distR="114300">
                  <wp:extent cx="699770" cy="706755"/>
                  <wp:effectExtent l="0" t="0" r="5080" b="1714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74"/>
                          <a:srcRect l="4601" t="5678" r="7042" b="3079"/>
                          <a:stretch>
                            <a:fillRect/>
                          </a:stretch>
                        </pic:blipFill>
                        <pic:spPr>
                          <a:xfrm>
                            <a:off x="0" y="0"/>
                            <a:ext cx="699770" cy="706755"/>
                          </a:xfrm>
                          <a:prstGeom prst="rect">
                            <a:avLst/>
                          </a:prstGeom>
                          <a:noFill/>
                          <a:ln>
                            <a:noFill/>
                          </a:ln>
                        </pic:spPr>
                      </pic:pic>
                    </a:graphicData>
                  </a:graphic>
                </wp:inline>
              </w:drawing>
            </w:r>
          </w:p>
          <w:p w14:paraId="377D5C15">
            <w:pPr>
              <w:spacing w:line="240" w:lineRule="auto"/>
              <w:ind w:firstLine="420"/>
              <w:jc w:val="center"/>
              <w:rPr>
                <w:color w:val="auto"/>
                <w:sz w:val="21"/>
                <w:szCs w:val="21"/>
              </w:rPr>
            </w:pPr>
            <w:r>
              <w:rPr>
                <w:color w:val="auto"/>
                <w:sz w:val="21"/>
                <w:szCs w:val="21"/>
              </w:rPr>
              <w:t>提示图形标志</w:t>
            </w:r>
          </w:p>
        </w:tc>
        <w:tc>
          <w:tcPr>
            <w:tcW w:w="1900" w:type="pct"/>
            <w:vAlign w:val="center"/>
          </w:tcPr>
          <w:p w14:paraId="70C38D7E">
            <w:pPr>
              <w:spacing w:line="240" w:lineRule="auto"/>
              <w:ind w:firstLine="420"/>
              <w:jc w:val="center"/>
              <w:rPr>
                <w:color w:val="auto"/>
                <w:sz w:val="21"/>
                <w:szCs w:val="21"/>
              </w:rPr>
            </w:pPr>
            <w:r>
              <w:rPr>
                <w:color w:val="auto"/>
                <w:sz w:val="21"/>
                <w:szCs w:val="21"/>
              </w:rPr>
              <w:t>表示一般固体废物贮存、处置场</w:t>
            </w:r>
          </w:p>
        </w:tc>
      </w:tr>
      <w:tr w14:paraId="6131A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03" w:type="pct"/>
            <w:vAlign w:val="center"/>
          </w:tcPr>
          <w:p w14:paraId="6F810E14">
            <w:pPr>
              <w:spacing w:line="240" w:lineRule="auto"/>
              <w:ind w:firstLine="420"/>
              <w:jc w:val="center"/>
              <w:rPr>
                <w:color w:val="auto"/>
                <w:sz w:val="21"/>
                <w:szCs w:val="21"/>
              </w:rPr>
            </w:pPr>
            <w:r>
              <w:rPr>
                <w:color w:val="auto"/>
                <w:sz w:val="21"/>
                <w:szCs w:val="21"/>
              </w:rPr>
              <w:t>危险固体废物</w:t>
            </w:r>
          </w:p>
        </w:tc>
        <w:tc>
          <w:tcPr>
            <w:tcW w:w="693" w:type="pct"/>
            <w:vAlign w:val="center"/>
          </w:tcPr>
          <w:p w14:paraId="54E3E83D">
            <w:pPr>
              <w:spacing w:line="240" w:lineRule="auto"/>
              <w:ind w:firstLine="420"/>
              <w:jc w:val="center"/>
              <w:rPr>
                <w:color w:val="auto"/>
                <w:sz w:val="21"/>
                <w:szCs w:val="21"/>
              </w:rPr>
            </w:pPr>
            <w:r>
              <w:rPr>
                <w:color w:val="auto"/>
                <w:sz w:val="21"/>
                <w:szCs w:val="21"/>
              </w:rPr>
              <w:t>GF-02</w:t>
            </w:r>
          </w:p>
        </w:tc>
        <w:tc>
          <w:tcPr>
            <w:tcW w:w="1204" w:type="pct"/>
            <w:vAlign w:val="center"/>
          </w:tcPr>
          <w:p w14:paraId="596C4A05">
            <w:pPr>
              <w:spacing w:line="240" w:lineRule="auto"/>
              <w:ind w:firstLine="480"/>
              <w:jc w:val="center"/>
              <w:rPr>
                <w:color w:val="auto"/>
                <w:sz w:val="21"/>
                <w:szCs w:val="21"/>
              </w:rPr>
            </w:pPr>
            <w:r>
              <w:rPr>
                <w:color w:val="auto"/>
              </w:rPr>
              <w:drawing>
                <wp:inline distT="0" distB="0" distL="114300" distR="114300">
                  <wp:extent cx="711200" cy="630555"/>
                  <wp:effectExtent l="0" t="0" r="12700" b="1714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75"/>
                          <a:stretch>
                            <a:fillRect/>
                          </a:stretch>
                        </pic:blipFill>
                        <pic:spPr>
                          <a:xfrm flipH="1">
                            <a:off x="0" y="0"/>
                            <a:ext cx="711200" cy="630555"/>
                          </a:xfrm>
                          <a:prstGeom prst="rect">
                            <a:avLst/>
                          </a:prstGeom>
                          <a:noFill/>
                          <a:ln>
                            <a:noFill/>
                          </a:ln>
                        </pic:spPr>
                      </pic:pic>
                    </a:graphicData>
                  </a:graphic>
                </wp:inline>
              </w:drawing>
            </w:r>
          </w:p>
          <w:p w14:paraId="49D712CC">
            <w:pPr>
              <w:spacing w:line="240" w:lineRule="auto"/>
              <w:ind w:firstLine="420"/>
              <w:jc w:val="center"/>
              <w:rPr>
                <w:color w:val="auto"/>
                <w:sz w:val="21"/>
                <w:szCs w:val="21"/>
              </w:rPr>
            </w:pPr>
            <w:r>
              <w:rPr>
                <w:color w:val="auto"/>
                <w:sz w:val="21"/>
                <w:szCs w:val="21"/>
              </w:rPr>
              <w:t>警告图形标志</w:t>
            </w:r>
          </w:p>
        </w:tc>
        <w:tc>
          <w:tcPr>
            <w:tcW w:w="1900" w:type="pct"/>
            <w:vAlign w:val="center"/>
          </w:tcPr>
          <w:p w14:paraId="03115448">
            <w:pPr>
              <w:spacing w:line="240" w:lineRule="auto"/>
              <w:ind w:firstLine="420"/>
              <w:jc w:val="center"/>
              <w:rPr>
                <w:color w:val="auto"/>
                <w:sz w:val="21"/>
                <w:szCs w:val="21"/>
              </w:rPr>
            </w:pPr>
            <w:r>
              <w:rPr>
                <w:color w:val="auto"/>
                <w:sz w:val="21"/>
                <w:szCs w:val="21"/>
              </w:rPr>
              <w:t>表示危险废物贮存、处置场</w:t>
            </w:r>
          </w:p>
        </w:tc>
      </w:tr>
    </w:tbl>
    <w:p w14:paraId="0E7C9981">
      <w:pPr>
        <w:pStyle w:val="3"/>
        <w:spacing w:before="385"/>
        <w:rPr>
          <w:color w:val="auto"/>
        </w:rPr>
      </w:pPr>
      <w:bookmarkStart w:id="299" w:name="_Toc30698"/>
      <w:bookmarkStart w:id="300" w:name="_Toc122183861"/>
      <w:bookmarkStart w:id="301" w:name="_Toc2345"/>
      <w:bookmarkStart w:id="302" w:name="_Toc2700"/>
      <w:bookmarkStart w:id="303" w:name="_Toc454956007"/>
      <w:r>
        <w:rPr>
          <w:color w:val="auto"/>
        </w:rPr>
        <w:t>7.5</w:t>
      </w:r>
      <w:r>
        <w:rPr>
          <w:rFonts w:hint="eastAsia"/>
          <w:color w:val="auto"/>
        </w:rPr>
        <w:t>地下水及土壤防治措施</w:t>
      </w:r>
      <w:bookmarkEnd w:id="299"/>
      <w:bookmarkEnd w:id="300"/>
      <w:bookmarkEnd w:id="301"/>
      <w:bookmarkEnd w:id="302"/>
    </w:p>
    <w:p w14:paraId="35864418">
      <w:pPr>
        <w:pStyle w:val="4"/>
        <w:rPr>
          <w:color w:val="auto"/>
        </w:rPr>
      </w:pPr>
      <w:bookmarkStart w:id="304" w:name="_Toc5441"/>
      <w:bookmarkStart w:id="305" w:name="_Toc6796"/>
      <w:r>
        <w:rPr>
          <w:color w:val="auto"/>
        </w:rPr>
        <w:t>7.5.1</w:t>
      </w:r>
      <w:r>
        <w:rPr>
          <w:rFonts w:hint="eastAsia"/>
          <w:color w:val="auto"/>
        </w:rPr>
        <w:t>现有项目</w:t>
      </w:r>
      <w:r>
        <w:rPr>
          <w:color w:val="auto"/>
        </w:rPr>
        <w:t>地下水</w:t>
      </w:r>
      <w:r>
        <w:rPr>
          <w:rFonts w:hint="eastAsia"/>
          <w:color w:val="auto"/>
        </w:rPr>
        <w:t>和土壤污染防治措施落实情况</w:t>
      </w:r>
      <w:bookmarkEnd w:id="304"/>
      <w:bookmarkEnd w:id="305"/>
    </w:p>
    <w:p w14:paraId="77809549">
      <w:pPr>
        <w:autoSpaceDE w:val="0"/>
        <w:autoSpaceDN w:val="0"/>
        <w:ind w:firstLine="480"/>
        <w:rPr>
          <w:color w:val="auto"/>
        </w:rPr>
      </w:pPr>
      <w:r>
        <w:rPr>
          <w:rFonts w:hint="eastAsia"/>
          <w:color w:val="auto"/>
        </w:rPr>
        <w:t>企业现有厂区建构筑物均已按照相关要求落实了防腐防渗措施，相关情况介绍如下：</w:t>
      </w:r>
    </w:p>
    <w:p w14:paraId="39787903">
      <w:pPr>
        <w:autoSpaceDE w:val="0"/>
        <w:autoSpaceDN w:val="0"/>
        <w:ind w:firstLine="480"/>
        <w:rPr>
          <w:color w:val="auto"/>
        </w:rPr>
      </w:pPr>
      <w:r>
        <w:rPr>
          <w:rFonts w:hint="eastAsia"/>
          <w:color w:val="auto"/>
        </w:rPr>
        <w:t>罐区：罐区周围设有围堰，罐区内用水泥做防渗阻隔保护。装卸区地面为水泥做防渗保护，设有防滴漏收集装置。</w:t>
      </w:r>
    </w:p>
    <w:p w14:paraId="3C0EE079">
      <w:pPr>
        <w:autoSpaceDE w:val="0"/>
        <w:autoSpaceDN w:val="0"/>
        <w:ind w:firstLine="480"/>
        <w:rPr>
          <w:color w:val="auto"/>
        </w:rPr>
      </w:pPr>
      <w:r>
        <w:rPr>
          <w:rFonts w:hint="eastAsia"/>
          <w:color w:val="auto"/>
        </w:rPr>
        <w:t>危废暂存间：危废暂存间进行完全密闭，内部地面为水泥硬化的环氧地坪，并且设置了导流槽等危废泄漏收集装置。现场查看时，危废仓库物料分区存放，有托盘等措施，使危废不与地面直接接触；地面硬化完好，环氧地坪铺设完好，现场查勘时无明显开裂现象，标志、标牌完好。</w:t>
      </w:r>
    </w:p>
    <w:p w14:paraId="2C7BDE30">
      <w:pPr>
        <w:autoSpaceDE w:val="0"/>
        <w:autoSpaceDN w:val="0"/>
        <w:ind w:firstLine="480"/>
        <w:rPr>
          <w:color w:val="auto"/>
        </w:rPr>
      </w:pPr>
      <w:r>
        <w:rPr>
          <w:rFonts w:hint="eastAsia"/>
          <w:color w:val="auto"/>
        </w:rPr>
        <w:t>生产车间：生产车间地面水泥硬化保护，生产装置周围设有防腐防渗层。车间内有收集沟、车间外有收集池。车间原料称重区有溢流收集装置。</w:t>
      </w:r>
    </w:p>
    <w:p w14:paraId="3F6AB4D7">
      <w:pPr>
        <w:autoSpaceDE w:val="0"/>
        <w:autoSpaceDN w:val="0"/>
        <w:ind w:firstLine="480"/>
        <w:rPr>
          <w:color w:val="auto"/>
        </w:rPr>
      </w:pPr>
      <w:r>
        <w:rPr>
          <w:rFonts w:hint="eastAsia"/>
          <w:color w:val="auto"/>
        </w:rPr>
        <w:t>废水处理区：有混凝土水泥池体，内部做有防渗处理。现场查看时未发现有废水泄露现象。</w:t>
      </w:r>
    </w:p>
    <w:p w14:paraId="2A289F9E">
      <w:pPr>
        <w:autoSpaceDE w:val="0"/>
        <w:autoSpaceDN w:val="0"/>
        <w:ind w:firstLine="480"/>
        <w:rPr>
          <w:color w:val="auto"/>
        </w:rPr>
      </w:pPr>
      <w:r>
        <w:rPr>
          <w:rFonts w:hint="eastAsia"/>
          <w:color w:val="auto"/>
        </w:rPr>
        <w:t>仓库：仓库地面有硬化措施，下铺有防渗防腐层。危险品仓库内装有可燃性气体检测警报器；仓库具备混凝结构墙体和钢结构屋顶，较密闭。</w:t>
      </w:r>
    </w:p>
    <w:p w14:paraId="39C539A2">
      <w:pPr>
        <w:autoSpaceDE w:val="0"/>
        <w:autoSpaceDN w:val="0"/>
        <w:ind w:firstLine="480"/>
        <w:rPr>
          <w:color w:val="auto"/>
        </w:rPr>
      </w:pPr>
      <w:r>
        <w:rPr>
          <w:rFonts w:hint="eastAsia"/>
          <w:color w:val="auto"/>
        </w:rPr>
        <w:t>根据企业2025年土壤与地下水自行监测结果，场地内土壤、地下水环境质量处于正常水平，不存在污染迹象，表明企业现有项目土壤、地下水污染防治措施是有效的。</w:t>
      </w:r>
    </w:p>
    <w:p w14:paraId="411B082C">
      <w:pPr>
        <w:pStyle w:val="4"/>
        <w:rPr>
          <w:color w:val="auto"/>
        </w:rPr>
      </w:pPr>
      <w:bookmarkStart w:id="306" w:name="_Toc32584"/>
      <w:bookmarkStart w:id="307" w:name="_Toc15992"/>
      <w:r>
        <w:rPr>
          <w:color w:val="auto"/>
        </w:rPr>
        <w:t>7.5.2</w:t>
      </w:r>
      <w:r>
        <w:rPr>
          <w:rFonts w:hint="eastAsia"/>
          <w:color w:val="auto"/>
        </w:rPr>
        <w:t>土壤及地下水污染防治措施</w:t>
      </w:r>
      <w:bookmarkEnd w:id="306"/>
      <w:bookmarkEnd w:id="307"/>
    </w:p>
    <w:p w14:paraId="12D64B65">
      <w:pPr>
        <w:autoSpaceDE w:val="0"/>
        <w:autoSpaceDN w:val="0"/>
        <w:ind w:firstLine="480"/>
        <w:rPr>
          <w:color w:val="auto"/>
        </w:rPr>
      </w:pPr>
      <w:r>
        <w:rPr>
          <w:rFonts w:hint="eastAsia"/>
          <w:color w:val="auto"/>
        </w:rPr>
        <w:t>建设项目在生产、储运和“三废”收集、输送与贮存过程中涉及到有毒有害化学物质，这些污染物的跑、冒、滴、漏均有可能污染地下水及土壤。因此，拟建建设过程中必须考虑地下水和土壤的保护问题。</w:t>
      </w:r>
      <w:r>
        <w:rPr>
          <w:color w:val="auto"/>
        </w:rPr>
        <w:t>针对工厂生产过程中废水、废液及固体废物产生、输送和处理过程，采取合理有效的工程措施可防止污染物对地下水的污染。</w:t>
      </w:r>
      <w:r>
        <w:rPr>
          <w:rFonts w:hint="eastAsia"/>
          <w:color w:val="auto"/>
        </w:rPr>
        <w:t>拟建</w:t>
      </w:r>
      <w:r>
        <w:rPr>
          <w:color w:val="auto"/>
        </w:rPr>
        <w:t>可能对下水造成污染的途径主要有生产车间、罐区、污水处理站、固废堆场等地污水下渗对地下水造成的污染。</w:t>
      </w:r>
    </w:p>
    <w:p w14:paraId="08B36A66">
      <w:pPr>
        <w:autoSpaceDE w:val="0"/>
        <w:autoSpaceDN w:val="0"/>
        <w:ind w:firstLine="480"/>
        <w:rPr>
          <w:color w:val="auto"/>
        </w:rPr>
      </w:pPr>
      <w:r>
        <w:rPr>
          <w:color w:val="auto"/>
        </w:rPr>
        <w:t>正常情况下，地下水的污染主要是由于污染物迁移穿过包气带进入含水层造成。项目场地包气带主要为素填土和粉土层，其渗透系数约为5.77×10</w:t>
      </w:r>
      <w:r>
        <w:rPr>
          <w:color w:val="auto"/>
          <w:vertAlign w:val="superscript"/>
        </w:rPr>
        <w:t>-5</w:t>
      </w:r>
      <w:r>
        <w:rPr>
          <w:color w:val="auto"/>
        </w:rPr>
        <w:t>cm/s，包气带防污性能为</w:t>
      </w:r>
      <w:r>
        <w:rPr>
          <w:rFonts w:ascii="宋体" w:hAnsi="宋体"/>
          <w:color w:val="auto"/>
        </w:rPr>
        <w:t>“中”</w:t>
      </w:r>
      <w:r>
        <w:rPr>
          <w:color w:val="auto"/>
        </w:rPr>
        <w:t>，说明浅层地下水不太容易受到污染。若废水或废液发生渗漏，污染物不会很快穿过包气带进入浅层地下水，对浅层地下水的污染较小；通过水文地质条件分析，区内承压含水组顶板为分布比较稳定且厚度较大的粉质粘土及粘土隔水层，所以垂直渗入补给条件较差，与浅层地下水水利联系不密切。因此，深层地下水受到项目下渗污水污染影响更小。尽管如此，拟建项目仍存在造成地下水污染的可能性，且地下水一旦受污染其发现和治理难度都非常难，为了更好的保护地下水资源，将拟建项目对地下水的影响降至最低限度，建议采取相关措施。</w:t>
      </w:r>
    </w:p>
    <w:p w14:paraId="47AEF68C">
      <w:pPr>
        <w:autoSpaceDE w:val="0"/>
        <w:autoSpaceDN w:val="0"/>
        <w:ind w:firstLine="482"/>
        <w:rPr>
          <w:b/>
          <w:bCs/>
          <w:color w:val="auto"/>
        </w:rPr>
      </w:pPr>
      <w:r>
        <w:rPr>
          <w:b/>
          <w:bCs/>
          <w:color w:val="auto"/>
        </w:rPr>
        <w:t>（一）源头控制</w:t>
      </w:r>
    </w:p>
    <w:p w14:paraId="34121370">
      <w:pPr>
        <w:autoSpaceDE w:val="0"/>
        <w:autoSpaceDN w:val="0"/>
        <w:ind w:firstLine="480"/>
        <w:rPr>
          <w:color w:val="auto"/>
        </w:rPr>
      </w:pPr>
      <w:r>
        <w:rPr>
          <w:color w:val="auto"/>
        </w:rPr>
        <w:t>拟建项目所有输水、排水管道等必须采取防渗措施，杜绝各类废水下渗的通道。另外，应严格废水的管理，强调节约用水，防止污水</w:t>
      </w:r>
      <w:r>
        <w:rPr>
          <w:rFonts w:ascii="宋体" w:hAnsi="宋体"/>
          <w:color w:val="auto"/>
        </w:rPr>
        <w:t>“跑、冒、滴、漏”</w:t>
      </w:r>
      <w:r>
        <w:rPr>
          <w:color w:val="auto"/>
        </w:rPr>
        <w:t>，确保污水处理系统的正常运行。污水的转移运输管线敷设尽量采用</w:t>
      </w:r>
      <w:r>
        <w:rPr>
          <w:rFonts w:ascii="宋体" w:hAnsi="宋体"/>
          <w:color w:val="auto"/>
        </w:rPr>
        <w:t>“可视化”</w:t>
      </w:r>
      <w:r>
        <w:rPr>
          <w:color w:val="auto"/>
        </w:rPr>
        <w:t>原则，即管道尽可能地上敷设，做到污染物</w:t>
      </w:r>
      <w:r>
        <w:rPr>
          <w:rFonts w:ascii="宋体" w:hAnsi="宋体"/>
          <w:color w:val="auto"/>
        </w:rPr>
        <w:t>“早发现、早处理”</w:t>
      </w:r>
      <w:r>
        <w:rPr>
          <w:color w:val="auto"/>
        </w:rPr>
        <w:t>，以减少由于埋地管道泄漏而可能造成地下水污染</w:t>
      </w:r>
      <w:r>
        <w:rPr>
          <w:rFonts w:hint="eastAsia"/>
          <w:color w:val="auto"/>
        </w:rPr>
        <w:t>，</w:t>
      </w:r>
      <w:r>
        <w:rPr>
          <w:color w:val="auto"/>
        </w:rPr>
        <w:t>并且接口处要定期检查以免漏水。污水处理的车间也要进行定期检查，不能在污水处理的过程中有太多的污水泄漏。</w:t>
      </w:r>
    </w:p>
    <w:p w14:paraId="2D10AC8E">
      <w:pPr>
        <w:autoSpaceDE w:val="0"/>
        <w:autoSpaceDN w:val="0"/>
        <w:ind w:firstLine="482"/>
        <w:rPr>
          <w:b/>
          <w:bCs/>
          <w:color w:val="auto"/>
        </w:rPr>
      </w:pPr>
      <w:r>
        <w:rPr>
          <w:b/>
          <w:bCs/>
          <w:color w:val="auto"/>
        </w:rPr>
        <w:t>（二）末端控制、分区防控</w:t>
      </w:r>
    </w:p>
    <w:p w14:paraId="5E74C0B3">
      <w:pPr>
        <w:autoSpaceDE w:val="0"/>
        <w:autoSpaceDN w:val="0"/>
        <w:ind w:firstLine="480"/>
        <w:rPr>
          <w:color w:val="auto"/>
        </w:rPr>
      </w:pPr>
      <w:r>
        <w:rPr>
          <w:color w:val="auto"/>
        </w:rPr>
        <w:t>主要包括厂内污染区地面的防渗措施和泄漏、渗漏污染物收集措施，即在污染区地面进行防渗处理，防止洒落地面的污染物渗入地下，并把滞留在地面的污染物收集起来，集中处理，从而避免对地下水的污染。</w:t>
      </w:r>
    </w:p>
    <w:p w14:paraId="6BB0653D">
      <w:pPr>
        <w:autoSpaceDE w:val="0"/>
        <w:autoSpaceDN w:val="0"/>
        <w:ind w:firstLine="480"/>
        <w:rPr>
          <w:color w:val="auto"/>
        </w:rPr>
      </w:pPr>
      <w:r>
        <w:rPr>
          <w:rFonts w:hint="eastAsia"/>
          <w:color w:val="auto"/>
        </w:rPr>
        <w:t>（1）</w:t>
      </w:r>
      <w:r>
        <w:rPr>
          <w:color w:val="auto"/>
        </w:rPr>
        <w:t>划分依据</w:t>
      </w:r>
    </w:p>
    <w:p w14:paraId="10176D52">
      <w:pPr>
        <w:autoSpaceDE w:val="0"/>
        <w:autoSpaceDN w:val="0"/>
        <w:ind w:firstLine="480"/>
        <w:rPr>
          <w:color w:val="auto"/>
        </w:rPr>
      </w:pPr>
      <w:r>
        <w:rPr>
          <w:color w:val="auto"/>
        </w:rPr>
        <w:t>结合建设项目各生产设备、管廊或管线、贮存、运输装置等因素，根据可能进入地下水环境的各种有毒有害污染物的性质、产生量和排放量，将污染放置区划分为：</w:t>
      </w:r>
    </w:p>
    <w:p w14:paraId="1BFCCD83">
      <w:pPr>
        <w:autoSpaceDE w:val="0"/>
        <w:autoSpaceDN w:val="0"/>
        <w:ind w:firstLine="480"/>
        <w:rPr>
          <w:color w:val="auto"/>
        </w:rPr>
      </w:pPr>
      <w:r>
        <w:rPr>
          <w:color w:val="auto"/>
        </w:rPr>
        <w:t>一般污染防治区：没有物料或污染物泄漏，不会对地下水环境造成污染的区域或部位；</w:t>
      </w:r>
    </w:p>
    <w:p w14:paraId="2212F902">
      <w:pPr>
        <w:autoSpaceDE w:val="0"/>
        <w:autoSpaceDN w:val="0"/>
        <w:ind w:firstLine="480"/>
        <w:rPr>
          <w:color w:val="auto"/>
        </w:rPr>
      </w:pPr>
      <w:r>
        <w:rPr>
          <w:color w:val="auto"/>
        </w:rPr>
        <w:t>重点污染防治区：裸露于地面的生产功能单元，污染地下水环境的物料或污染物泄漏后，可及时发现和处理的区域或部位；</w:t>
      </w:r>
    </w:p>
    <w:p w14:paraId="32007790">
      <w:pPr>
        <w:autoSpaceDE w:val="0"/>
        <w:autoSpaceDN w:val="0"/>
        <w:ind w:firstLine="480"/>
        <w:rPr>
          <w:color w:val="auto"/>
        </w:rPr>
      </w:pPr>
      <w:r>
        <w:rPr>
          <w:color w:val="auto"/>
        </w:rPr>
        <w:t>特殊污染防治区：位于地下或半地下的生产功能单元，污染地下水环境的物料或污染物泄漏后，不易及时发现和处理的区域或部位。</w:t>
      </w:r>
    </w:p>
    <w:p w14:paraId="37666CB9">
      <w:pPr>
        <w:pStyle w:val="49"/>
        <w:rPr>
          <w:color w:val="auto"/>
        </w:rPr>
      </w:pPr>
      <w:r>
        <w:rPr>
          <w:color w:val="auto"/>
        </w:rPr>
        <w:t xml:space="preserve">表7.5-1 </w:t>
      </w:r>
      <w:r>
        <w:rPr>
          <w:rFonts w:hint="eastAsia"/>
          <w:color w:val="auto"/>
        </w:rPr>
        <w:t xml:space="preserve"> </w:t>
      </w:r>
      <w:r>
        <w:rPr>
          <w:color w:val="auto"/>
        </w:rPr>
        <w:t>石油化工工程防渗典型污染防治分区</w:t>
      </w:r>
    </w:p>
    <w:tbl>
      <w:tblPr>
        <w:tblStyle w:val="24"/>
        <w:tblW w:w="91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38"/>
        <w:gridCol w:w="2211"/>
        <w:gridCol w:w="4247"/>
        <w:gridCol w:w="1849"/>
      </w:tblGrid>
      <w:tr w14:paraId="713BDD0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8" w:type="dxa"/>
            <w:vAlign w:val="center"/>
          </w:tcPr>
          <w:p w14:paraId="7EF68EAF">
            <w:pPr>
              <w:spacing w:line="240" w:lineRule="auto"/>
              <w:ind w:firstLine="0" w:firstLineChars="0"/>
              <w:jc w:val="center"/>
              <w:rPr>
                <w:b/>
                <w:bCs/>
                <w:color w:val="auto"/>
                <w:sz w:val="21"/>
                <w:szCs w:val="21"/>
              </w:rPr>
            </w:pPr>
            <w:r>
              <w:rPr>
                <w:rFonts w:hint="eastAsia"/>
                <w:b/>
                <w:bCs/>
                <w:color w:val="auto"/>
                <w:sz w:val="21"/>
                <w:szCs w:val="21"/>
              </w:rPr>
              <w:t>序号</w:t>
            </w:r>
          </w:p>
        </w:tc>
        <w:tc>
          <w:tcPr>
            <w:tcW w:w="2211" w:type="dxa"/>
            <w:vAlign w:val="center"/>
          </w:tcPr>
          <w:p w14:paraId="18ECEE7A">
            <w:pPr>
              <w:spacing w:line="240" w:lineRule="auto"/>
              <w:ind w:firstLine="0" w:firstLineChars="0"/>
              <w:jc w:val="center"/>
              <w:rPr>
                <w:b/>
                <w:bCs/>
                <w:color w:val="auto"/>
                <w:sz w:val="21"/>
                <w:szCs w:val="21"/>
              </w:rPr>
            </w:pPr>
            <w:r>
              <w:rPr>
                <w:rFonts w:hint="eastAsia"/>
                <w:b/>
                <w:bCs/>
                <w:color w:val="auto"/>
                <w:sz w:val="21"/>
                <w:szCs w:val="21"/>
              </w:rPr>
              <w:t>装置、单元名称</w:t>
            </w:r>
          </w:p>
        </w:tc>
        <w:tc>
          <w:tcPr>
            <w:tcW w:w="4247" w:type="dxa"/>
            <w:vAlign w:val="center"/>
          </w:tcPr>
          <w:p w14:paraId="5D30DD7A">
            <w:pPr>
              <w:spacing w:line="240" w:lineRule="auto"/>
              <w:ind w:firstLine="0" w:firstLineChars="0"/>
              <w:jc w:val="center"/>
              <w:rPr>
                <w:b/>
                <w:bCs/>
                <w:color w:val="auto"/>
                <w:sz w:val="21"/>
                <w:szCs w:val="21"/>
              </w:rPr>
            </w:pPr>
            <w:r>
              <w:rPr>
                <w:rFonts w:hint="eastAsia"/>
                <w:b/>
                <w:bCs/>
                <w:color w:val="auto"/>
                <w:sz w:val="21"/>
                <w:szCs w:val="21"/>
              </w:rPr>
              <w:t>污染防治区域及部位</w:t>
            </w:r>
          </w:p>
        </w:tc>
        <w:tc>
          <w:tcPr>
            <w:tcW w:w="1849" w:type="dxa"/>
            <w:vAlign w:val="center"/>
          </w:tcPr>
          <w:p w14:paraId="29F216DF">
            <w:pPr>
              <w:spacing w:line="240" w:lineRule="auto"/>
              <w:ind w:firstLine="0" w:firstLineChars="0"/>
              <w:jc w:val="center"/>
              <w:rPr>
                <w:b/>
                <w:bCs/>
                <w:color w:val="auto"/>
                <w:sz w:val="21"/>
                <w:szCs w:val="21"/>
              </w:rPr>
            </w:pPr>
            <w:r>
              <w:rPr>
                <w:rFonts w:hint="eastAsia"/>
                <w:b/>
                <w:bCs/>
                <w:color w:val="auto"/>
                <w:sz w:val="21"/>
                <w:szCs w:val="21"/>
              </w:rPr>
              <w:t>污染防治区类别</w:t>
            </w:r>
          </w:p>
        </w:tc>
      </w:tr>
      <w:tr w14:paraId="64F29B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8" w:type="dxa"/>
            <w:vAlign w:val="center"/>
          </w:tcPr>
          <w:p w14:paraId="690A3F3F">
            <w:pPr>
              <w:spacing w:line="240" w:lineRule="auto"/>
              <w:ind w:firstLine="0" w:firstLineChars="0"/>
              <w:jc w:val="center"/>
              <w:rPr>
                <w:color w:val="auto"/>
                <w:sz w:val="21"/>
                <w:szCs w:val="21"/>
              </w:rPr>
            </w:pPr>
            <w:r>
              <w:rPr>
                <w:color w:val="auto"/>
                <w:sz w:val="21"/>
                <w:szCs w:val="21"/>
              </w:rPr>
              <w:t>1</w:t>
            </w:r>
          </w:p>
        </w:tc>
        <w:tc>
          <w:tcPr>
            <w:tcW w:w="2211" w:type="dxa"/>
            <w:vAlign w:val="center"/>
          </w:tcPr>
          <w:p w14:paraId="558DAF9E">
            <w:pPr>
              <w:spacing w:line="240" w:lineRule="auto"/>
              <w:ind w:firstLine="0" w:firstLineChars="0"/>
              <w:jc w:val="center"/>
              <w:rPr>
                <w:color w:val="auto"/>
                <w:sz w:val="21"/>
                <w:szCs w:val="21"/>
              </w:rPr>
            </w:pPr>
            <w:r>
              <w:rPr>
                <w:rFonts w:hint="eastAsia"/>
                <w:color w:val="auto"/>
                <w:sz w:val="21"/>
                <w:szCs w:val="21"/>
              </w:rPr>
              <w:t>装置区</w:t>
            </w:r>
          </w:p>
        </w:tc>
        <w:tc>
          <w:tcPr>
            <w:tcW w:w="4247" w:type="dxa"/>
            <w:vAlign w:val="center"/>
          </w:tcPr>
          <w:p w14:paraId="34660581">
            <w:pPr>
              <w:spacing w:line="240" w:lineRule="auto"/>
              <w:ind w:firstLine="0" w:firstLineChars="0"/>
              <w:jc w:val="center"/>
              <w:rPr>
                <w:color w:val="auto"/>
                <w:sz w:val="21"/>
                <w:szCs w:val="21"/>
              </w:rPr>
            </w:pPr>
            <w:r>
              <w:rPr>
                <w:rFonts w:hint="eastAsia"/>
                <w:color w:val="auto"/>
                <w:sz w:val="21"/>
                <w:szCs w:val="21"/>
              </w:rPr>
              <w:t>厂房地面</w:t>
            </w:r>
          </w:p>
        </w:tc>
        <w:tc>
          <w:tcPr>
            <w:tcW w:w="1849" w:type="dxa"/>
            <w:vAlign w:val="center"/>
          </w:tcPr>
          <w:p w14:paraId="582D5D64">
            <w:pPr>
              <w:spacing w:line="240" w:lineRule="auto"/>
              <w:ind w:firstLine="0" w:firstLineChars="0"/>
              <w:jc w:val="center"/>
              <w:rPr>
                <w:color w:val="auto"/>
                <w:sz w:val="21"/>
                <w:szCs w:val="21"/>
              </w:rPr>
            </w:pPr>
            <w:r>
              <w:rPr>
                <w:rFonts w:hint="eastAsia"/>
                <w:color w:val="auto"/>
                <w:sz w:val="21"/>
                <w:szCs w:val="21"/>
              </w:rPr>
              <w:t>重点</w:t>
            </w:r>
          </w:p>
        </w:tc>
      </w:tr>
      <w:tr w14:paraId="0FFC71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8" w:type="dxa"/>
            <w:vAlign w:val="center"/>
          </w:tcPr>
          <w:p w14:paraId="675192CC">
            <w:pPr>
              <w:spacing w:line="240" w:lineRule="auto"/>
              <w:ind w:firstLine="0" w:firstLineChars="0"/>
              <w:jc w:val="center"/>
              <w:rPr>
                <w:color w:val="auto"/>
                <w:sz w:val="21"/>
                <w:szCs w:val="21"/>
              </w:rPr>
            </w:pPr>
            <w:r>
              <w:rPr>
                <w:color w:val="auto"/>
                <w:sz w:val="21"/>
                <w:szCs w:val="21"/>
              </w:rPr>
              <w:t>2</w:t>
            </w:r>
          </w:p>
        </w:tc>
        <w:tc>
          <w:tcPr>
            <w:tcW w:w="2211" w:type="dxa"/>
            <w:vAlign w:val="center"/>
          </w:tcPr>
          <w:p w14:paraId="4BBB8755">
            <w:pPr>
              <w:spacing w:line="240" w:lineRule="auto"/>
              <w:ind w:firstLine="0" w:firstLineChars="0"/>
              <w:jc w:val="center"/>
              <w:rPr>
                <w:color w:val="auto"/>
                <w:sz w:val="21"/>
                <w:szCs w:val="21"/>
              </w:rPr>
            </w:pPr>
            <w:r>
              <w:rPr>
                <w:rFonts w:hint="eastAsia"/>
                <w:color w:val="auto"/>
                <w:sz w:val="21"/>
                <w:szCs w:val="21"/>
              </w:rPr>
              <w:t>生产污水井及各种污水池</w:t>
            </w:r>
          </w:p>
        </w:tc>
        <w:tc>
          <w:tcPr>
            <w:tcW w:w="4247" w:type="dxa"/>
            <w:vAlign w:val="center"/>
          </w:tcPr>
          <w:p w14:paraId="0940A422">
            <w:pPr>
              <w:spacing w:line="240" w:lineRule="auto"/>
              <w:ind w:firstLine="0" w:firstLineChars="0"/>
              <w:jc w:val="center"/>
              <w:rPr>
                <w:color w:val="auto"/>
                <w:sz w:val="21"/>
                <w:szCs w:val="21"/>
              </w:rPr>
            </w:pPr>
            <w:r>
              <w:rPr>
                <w:rFonts w:hint="eastAsia"/>
                <w:color w:val="auto"/>
                <w:sz w:val="21"/>
                <w:szCs w:val="21"/>
              </w:rPr>
              <w:t>生产污水的检查井、水封井、渗漏液检查井、污水池和初期雨水提升池底板及壁板</w:t>
            </w:r>
          </w:p>
        </w:tc>
        <w:tc>
          <w:tcPr>
            <w:tcW w:w="1849" w:type="dxa"/>
            <w:vAlign w:val="center"/>
          </w:tcPr>
          <w:p w14:paraId="1E7BA01A">
            <w:pPr>
              <w:spacing w:line="240" w:lineRule="auto"/>
              <w:ind w:firstLine="0" w:firstLineChars="0"/>
              <w:jc w:val="center"/>
              <w:rPr>
                <w:color w:val="auto"/>
                <w:sz w:val="21"/>
                <w:szCs w:val="21"/>
              </w:rPr>
            </w:pPr>
            <w:r>
              <w:rPr>
                <w:rFonts w:hint="eastAsia"/>
                <w:color w:val="auto"/>
                <w:sz w:val="21"/>
                <w:szCs w:val="21"/>
              </w:rPr>
              <w:t>特殊</w:t>
            </w:r>
          </w:p>
        </w:tc>
      </w:tr>
      <w:tr w14:paraId="625940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8" w:type="dxa"/>
            <w:vAlign w:val="center"/>
          </w:tcPr>
          <w:p w14:paraId="48D926BF">
            <w:pPr>
              <w:spacing w:line="240" w:lineRule="auto"/>
              <w:ind w:firstLine="0" w:firstLineChars="0"/>
              <w:jc w:val="center"/>
              <w:rPr>
                <w:color w:val="auto"/>
                <w:sz w:val="21"/>
                <w:szCs w:val="21"/>
              </w:rPr>
            </w:pPr>
            <w:r>
              <w:rPr>
                <w:color w:val="auto"/>
                <w:sz w:val="21"/>
                <w:szCs w:val="21"/>
              </w:rPr>
              <w:t>3</w:t>
            </w:r>
          </w:p>
        </w:tc>
        <w:tc>
          <w:tcPr>
            <w:tcW w:w="2211" w:type="dxa"/>
            <w:vAlign w:val="center"/>
          </w:tcPr>
          <w:p w14:paraId="3F15CDA6">
            <w:pPr>
              <w:spacing w:line="240" w:lineRule="auto"/>
              <w:ind w:firstLine="0" w:firstLineChars="0"/>
              <w:jc w:val="center"/>
              <w:rPr>
                <w:color w:val="auto"/>
                <w:sz w:val="21"/>
                <w:szCs w:val="21"/>
              </w:rPr>
            </w:pPr>
            <w:r>
              <w:rPr>
                <w:rFonts w:hint="eastAsia"/>
                <w:color w:val="auto"/>
                <w:sz w:val="21"/>
                <w:szCs w:val="21"/>
              </w:rPr>
              <w:t>事故池、消防尾水池</w:t>
            </w:r>
          </w:p>
        </w:tc>
        <w:tc>
          <w:tcPr>
            <w:tcW w:w="4247" w:type="dxa"/>
            <w:vAlign w:val="center"/>
          </w:tcPr>
          <w:p w14:paraId="0D896FA4">
            <w:pPr>
              <w:spacing w:line="240" w:lineRule="auto"/>
              <w:ind w:firstLine="0" w:firstLineChars="0"/>
              <w:jc w:val="center"/>
              <w:rPr>
                <w:color w:val="auto"/>
                <w:sz w:val="21"/>
                <w:szCs w:val="21"/>
              </w:rPr>
            </w:pPr>
            <w:r>
              <w:rPr>
                <w:rFonts w:hint="eastAsia"/>
                <w:color w:val="auto"/>
                <w:sz w:val="21"/>
                <w:szCs w:val="21"/>
              </w:rPr>
              <w:t>事故池和消防尾水池底板及壁板</w:t>
            </w:r>
          </w:p>
        </w:tc>
        <w:tc>
          <w:tcPr>
            <w:tcW w:w="1849" w:type="dxa"/>
            <w:vAlign w:val="center"/>
          </w:tcPr>
          <w:p w14:paraId="59575CE2">
            <w:pPr>
              <w:spacing w:line="240" w:lineRule="auto"/>
              <w:ind w:firstLine="0" w:firstLineChars="0"/>
              <w:jc w:val="center"/>
              <w:rPr>
                <w:color w:val="auto"/>
                <w:sz w:val="21"/>
                <w:szCs w:val="21"/>
              </w:rPr>
            </w:pPr>
            <w:r>
              <w:rPr>
                <w:rFonts w:hint="eastAsia"/>
                <w:color w:val="auto"/>
                <w:sz w:val="21"/>
                <w:szCs w:val="21"/>
              </w:rPr>
              <w:t>特殊</w:t>
            </w:r>
          </w:p>
        </w:tc>
      </w:tr>
      <w:tr w14:paraId="009AE2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8" w:type="dxa"/>
            <w:vMerge w:val="restart"/>
            <w:vAlign w:val="center"/>
          </w:tcPr>
          <w:p w14:paraId="732BA48B">
            <w:pPr>
              <w:spacing w:line="240" w:lineRule="auto"/>
              <w:ind w:firstLine="0" w:firstLineChars="0"/>
              <w:jc w:val="center"/>
              <w:rPr>
                <w:color w:val="auto"/>
                <w:sz w:val="21"/>
                <w:szCs w:val="21"/>
              </w:rPr>
            </w:pPr>
            <w:r>
              <w:rPr>
                <w:color w:val="auto"/>
                <w:sz w:val="21"/>
                <w:szCs w:val="21"/>
              </w:rPr>
              <w:t>4</w:t>
            </w:r>
          </w:p>
        </w:tc>
        <w:tc>
          <w:tcPr>
            <w:tcW w:w="2211" w:type="dxa"/>
            <w:vMerge w:val="restart"/>
            <w:vAlign w:val="center"/>
          </w:tcPr>
          <w:p w14:paraId="41FE6724">
            <w:pPr>
              <w:spacing w:line="240" w:lineRule="auto"/>
              <w:ind w:firstLine="0" w:firstLineChars="0"/>
              <w:jc w:val="center"/>
              <w:rPr>
                <w:color w:val="auto"/>
                <w:sz w:val="21"/>
                <w:szCs w:val="21"/>
              </w:rPr>
            </w:pPr>
            <w:r>
              <w:rPr>
                <w:rFonts w:hint="eastAsia"/>
                <w:color w:val="auto"/>
                <w:sz w:val="21"/>
                <w:szCs w:val="21"/>
              </w:rPr>
              <w:t>液体化工品等储罐区</w:t>
            </w:r>
          </w:p>
        </w:tc>
        <w:tc>
          <w:tcPr>
            <w:tcW w:w="4247" w:type="dxa"/>
            <w:vAlign w:val="center"/>
          </w:tcPr>
          <w:p w14:paraId="60E0D031">
            <w:pPr>
              <w:spacing w:line="240" w:lineRule="auto"/>
              <w:ind w:firstLine="0" w:firstLineChars="0"/>
              <w:jc w:val="center"/>
              <w:rPr>
                <w:color w:val="auto"/>
                <w:sz w:val="21"/>
                <w:szCs w:val="21"/>
              </w:rPr>
            </w:pPr>
            <w:r>
              <w:rPr>
                <w:rFonts w:hint="eastAsia"/>
                <w:color w:val="auto"/>
                <w:sz w:val="21"/>
                <w:szCs w:val="21"/>
              </w:rPr>
              <w:t>承台式罐基础</w:t>
            </w:r>
          </w:p>
        </w:tc>
        <w:tc>
          <w:tcPr>
            <w:tcW w:w="1849" w:type="dxa"/>
            <w:vAlign w:val="center"/>
          </w:tcPr>
          <w:p w14:paraId="4D1DEE12">
            <w:pPr>
              <w:spacing w:line="240" w:lineRule="auto"/>
              <w:ind w:firstLine="0" w:firstLineChars="0"/>
              <w:jc w:val="center"/>
              <w:rPr>
                <w:color w:val="auto"/>
                <w:sz w:val="21"/>
                <w:szCs w:val="21"/>
              </w:rPr>
            </w:pPr>
            <w:r>
              <w:rPr>
                <w:rFonts w:hint="eastAsia"/>
                <w:color w:val="auto"/>
                <w:sz w:val="21"/>
                <w:szCs w:val="21"/>
              </w:rPr>
              <w:t>重点</w:t>
            </w:r>
          </w:p>
        </w:tc>
      </w:tr>
      <w:tr w14:paraId="7FA640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8" w:type="dxa"/>
            <w:vMerge w:val="continue"/>
            <w:vAlign w:val="center"/>
          </w:tcPr>
          <w:p w14:paraId="13161C2E">
            <w:pPr>
              <w:widowControl/>
              <w:adjustRightInd/>
              <w:snapToGrid/>
              <w:spacing w:line="240" w:lineRule="auto"/>
              <w:ind w:firstLine="0" w:firstLineChars="0"/>
              <w:jc w:val="center"/>
              <w:rPr>
                <w:color w:val="auto"/>
                <w:sz w:val="21"/>
                <w:szCs w:val="21"/>
              </w:rPr>
            </w:pPr>
          </w:p>
        </w:tc>
        <w:tc>
          <w:tcPr>
            <w:tcW w:w="2211" w:type="dxa"/>
            <w:vMerge w:val="continue"/>
            <w:vAlign w:val="center"/>
          </w:tcPr>
          <w:p w14:paraId="6A92D4EC">
            <w:pPr>
              <w:widowControl/>
              <w:adjustRightInd/>
              <w:snapToGrid/>
              <w:spacing w:line="240" w:lineRule="auto"/>
              <w:ind w:firstLine="0" w:firstLineChars="0"/>
              <w:jc w:val="center"/>
              <w:rPr>
                <w:color w:val="auto"/>
                <w:sz w:val="21"/>
                <w:szCs w:val="21"/>
              </w:rPr>
            </w:pPr>
          </w:p>
        </w:tc>
        <w:tc>
          <w:tcPr>
            <w:tcW w:w="4247" w:type="dxa"/>
            <w:vAlign w:val="center"/>
          </w:tcPr>
          <w:p w14:paraId="1A8628AE">
            <w:pPr>
              <w:spacing w:line="240" w:lineRule="auto"/>
              <w:ind w:firstLine="0" w:firstLineChars="0"/>
              <w:jc w:val="center"/>
              <w:rPr>
                <w:color w:val="auto"/>
                <w:sz w:val="21"/>
                <w:szCs w:val="21"/>
              </w:rPr>
            </w:pPr>
            <w:r>
              <w:rPr>
                <w:rFonts w:hint="eastAsia"/>
                <w:color w:val="auto"/>
                <w:sz w:val="21"/>
                <w:szCs w:val="21"/>
              </w:rPr>
              <w:t>储罐到防火堤之间的地面及防火堤</w:t>
            </w:r>
          </w:p>
        </w:tc>
        <w:tc>
          <w:tcPr>
            <w:tcW w:w="1849" w:type="dxa"/>
            <w:vAlign w:val="center"/>
          </w:tcPr>
          <w:p w14:paraId="5EDBD940">
            <w:pPr>
              <w:spacing w:line="240" w:lineRule="auto"/>
              <w:ind w:firstLine="0" w:firstLineChars="0"/>
              <w:jc w:val="center"/>
              <w:rPr>
                <w:color w:val="auto"/>
                <w:sz w:val="21"/>
                <w:szCs w:val="21"/>
              </w:rPr>
            </w:pPr>
            <w:r>
              <w:rPr>
                <w:rFonts w:hint="eastAsia"/>
                <w:color w:val="auto"/>
                <w:sz w:val="21"/>
                <w:szCs w:val="21"/>
              </w:rPr>
              <w:t>重点</w:t>
            </w:r>
          </w:p>
        </w:tc>
      </w:tr>
      <w:tr w14:paraId="10F9CE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8" w:type="dxa"/>
            <w:vAlign w:val="center"/>
          </w:tcPr>
          <w:p w14:paraId="7334108E">
            <w:pPr>
              <w:spacing w:line="240" w:lineRule="auto"/>
              <w:ind w:firstLine="0" w:firstLineChars="0"/>
              <w:jc w:val="center"/>
              <w:rPr>
                <w:color w:val="auto"/>
                <w:sz w:val="21"/>
                <w:szCs w:val="21"/>
              </w:rPr>
            </w:pPr>
            <w:r>
              <w:rPr>
                <w:color w:val="auto"/>
                <w:sz w:val="21"/>
                <w:szCs w:val="21"/>
              </w:rPr>
              <w:t>5</w:t>
            </w:r>
          </w:p>
        </w:tc>
        <w:tc>
          <w:tcPr>
            <w:tcW w:w="2211" w:type="dxa"/>
            <w:vAlign w:val="center"/>
          </w:tcPr>
          <w:p w14:paraId="0FC004BB">
            <w:pPr>
              <w:spacing w:line="240" w:lineRule="auto"/>
              <w:ind w:firstLine="0" w:firstLineChars="0"/>
              <w:jc w:val="center"/>
              <w:rPr>
                <w:color w:val="auto"/>
                <w:sz w:val="21"/>
                <w:szCs w:val="21"/>
              </w:rPr>
            </w:pPr>
            <w:r>
              <w:rPr>
                <w:rFonts w:hint="eastAsia"/>
                <w:color w:val="auto"/>
                <w:sz w:val="21"/>
                <w:szCs w:val="21"/>
              </w:rPr>
              <w:t>化学品库</w:t>
            </w:r>
          </w:p>
        </w:tc>
        <w:tc>
          <w:tcPr>
            <w:tcW w:w="4247" w:type="dxa"/>
            <w:vAlign w:val="center"/>
          </w:tcPr>
          <w:p w14:paraId="0E56A1E5">
            <w:pPr>
              <w:spacing w:line="240" w:lineRule="auto"/>
              <w:ind w:firstLine="0" w:firstLineChars="0"/>
              <w:jc w:val="center"/>
              <w:rPr>
                <w:color w:val="auto"/>
                <w:sz w:val="21"/>
                <w:szCs w:val="21"/>
              </w:rPr>
            </w:pPr>
            <w:r>
              <w:rPr>
                <w:rFonts w:hint="eastAsia"/>
                <w:color w:val="auto"/>
                <w:sz w:val="21"/>
                <w:szCs w:val="21"/>
              </w:rPr>
              <w:t>化学品库的室内地面</w:t>
            </w:r>
          </w:p>
        </w:tc>
        <w:tc>
          <w:tcPr>
            <w:tcW w:w="1849" w:type="dxa"/>
            <w:vAlign w:val="center"/>
          </w:tcPr>
          <w:p w14:paraId="4ED94E38">
            <w:pPr>
              <w:spacing w:line="240" w:lineRule="auto"/>
              <w:ind w:firstLine="0" w:firstLineChars="0"/>
              <w:jc w:val="center"/>
              <w:rPr>
                <w:color w:val="auto"/>
                <w:sz w:val="21"/>
                <w:szCs w:val="21"/>
              </w:rPr>
            </w:pPr>
            <w:r>
              <w:rPr>
                <w:rFonts w:hint="eastAsia"/>
                <w:color w:val="auto"/>
                <w:sz w:val="21"/>
                <w:szCs w:val="21"/>
              </w:rPr>
              <w:t>重点</w:t>
            </w:r>
          </w:p>
        </w:tc>
      </w:tr>
      <w:tr w14:paraId="05AF06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8" w:type="dxa"/>
            <w:vAlign w:val="center"/>
          </w:tcPr>
          <w:p w14:paraId="2700F536">
            <w:pPr>
              <w:spacing w:line="240" w:lineRule="auto"/>
              <w:ind w:firstLine="0" w:firstLineChars="0"/>
              <w:jc w:val="center"/>
              <w:rPr>
                <w:color w:val="auto"/>
                <w:sz w:val="21"/>
                <w:szCs w:val="21"/>
              </w:rPr>
            </w:pPr>
            <w:r>
              <w:rPr>
                <w:color w:val="auto"/>
                <w:sz w:val="21"/>
                <w:szCs w:val="21"/>
              </w:rPr>
              <w:t>6</w:t>
            </w:r>
          </w:p>
        </w:tc>
        <w:tc>
          <w:tcPr>
            <w:tcW w:w="2211" w:type="dxa"/>
            <w:vAlign w:val="center"/>
          </w:tcPr>
          <w:p w14:paraId="4F17869C">
            <w:pPr>
              <w:spacing w:line="240" w:lineRule="auto"/>
              <w:ind w:firstLine="0" w:firstLineChars="0"/>
              <w:jc w:val="center"/>
              <w:rPr>
                <w:color w:val="auto"/>
                <w:sz w:val="21"/>
                <w:szCs w:val="21"/>
              </w:rPr>
            </w:pPr>
            <w:r>
              <w:rPr>
                <w:rFonts w:hint="eastAsia"/>
                <w:color w:val="auto"/>
                <w:sz w:val="21"/>
                <w:szCs w:val="21"/>
              </w:rPr>
              <w:t>固废堆场</w:t>
            </w:r>
          </w:p>
        </w:tc>
        <w:tc>
          <w:tcPr>
            <w:tcW w:w="4247" w:type="dxa"/>
            <w:vAlign w:val="center"/>
          </w:tcPr>
          <w:p w14:paraId="6C8C2140">
            <w:pPr>
              <w:spacing w:line="240" w:lineRule="auto"/>
              <w:ind w:firstLine="0" w:firstLineChars="0"/>
              <w:jc w:val="center"/>
              <w:rPr>
                <w:color w:val="auto"/>
                <w:sz w:val="21"/>
                <w:szCs w:val="21"/>
              </w:rPr>
            </w:pPr>
            <w:r>
              <w:rPr>
                <w:rFonts w:hint="eastAsia"/>
                <w:color w:val="auto"/>
                <w:sz w:val="21"/>
                <w:szCs w:val="21"/>
              </w:rPr>
              <w:t>固废堆场的室内地面</w:t>
            </w:r>
          </w:p>
        </w:tc>
        <w:tc>
          <w:tcPr>
            <w:tcW w:w="1849" w:type="dxa"/>
            <w:vAlign w:val="center"/>
          </w:tcPr>
          <w:p w14:paraId="16281B91">
            <w:pPr>
              <w:spacing w:line="240" w:lineRule="auto"/>
              <w:ind w:firstLine="0" w:firstLineChars="0"/>
              <w:jc w:val="center"/>
              <w:rPr>
                <w:color w:val="auto"/>
                <w:sz w:val="21"/>
                <w:szCs w:val="21"/>
              </w:rPr>
            </w:pPr>
            <w:r>
              <w:rPr>
                <w:rFonts w:hint="eastAsia"/>
                <w:color w:val="auto"/>
                <w:sz w:val="21"/>
                <w:szCs w:val="21"/>
              </w:rPr>
              <w:t>重点</w:t>
            </w:r>
          </w:p>
        </w:tc>
      </w:tr>
      <w:tr w14:paraId="5C50A2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8" w:type="dxa"/>
            <w:vAlign w:val="center"/>
          </w:tcPr>
          <w:p w14:paraId="09984E85">
            <w:pPr>
              <w:spacing w:line="240" w:lineRule="auto"/>
              <w:ind w:firstLine="0" w:firstLineChars="0"/>
              <w:jc w:val="center"/>
              <w:rPr>
                <w:color w:val="auto"/>
                <w:sz w:val="21"/>
                <w:szCs w:val="21"/>
              </w:rPr>
            </w:pPr>
            <w:r>
              <w:rPr>
                <w:color w:val="auto"/>
                <w:sz w:val="21"/>
                <w:szCs w:val="21"/>
              </w:rPr>
              <w:t>7</w:t>
            </w:r>
          </w:p>
        </w:tc>
        <w:tc>
          <w:tcPr>
            <w:tcW w:w="2211" w:type="dxa"/>
            <w:vAlign w:val="center"/>
          </w:tcPr>
          <w:p w14:paraId="089AB21F">
            <w:pPr>
              <w:spacing w:line="240" w:lineRule="auto"/>
              <w:ind w:firstLine="0" w:firstLineChars="0"/>
              <w:jc w:val="center"/>
              <w:rPr>
                <w:color w:val="auto"/>
                <w:sz w:val="21"/>
                <w:szCs w:val="21"/>
              </w:rPr>
            </w:pPr>
            <w:r>
              <w:rPr>
                <w:rFonts w:hint="eastAsia"/>
                <w:color w:val="auto"/>
                <w:sz w:val="21"/>
                <w:szCs w:val="21"/>
              </w:rPr>
              <w:t>其他区域</w:t>
            </w:r>
          </w:p>
        </w:tc>
        <w:tc>
          <w:tcPr>
            <w:tcW w:w="4247" w:type="dxa"/>
            <w:vAlign w:val="center"/>
          </w:tcPr>
          <w:p w14:paraId="393ED3D7">
            <w:pPr>
              <w:spacing w:line="240" w:lineRule="auto"/>
              <w:ind w:firstLine="0" w:firstLineChars="0"/>
              <w:jc w:val="center"/>
              <w:rPr>
                <w:color w:val="auto"/>
                <w:sz w:val="21"/>
                <w:szCs w:val="21"/>
              </w:rPr>
            </w:pPr>
            <w:r>
              <w:rPr>
                <w:rFonts w:hint="eastAsia"/>
                <w:color w:val="auto"/>
                <w:sz w:val="21"/>
                <w:szCs w:val="21"/>
              </w:rPr>
              <w:t>除特殊、重点污染防治区以外的其他其余</w:t>
            </w:r>
          </w:p>
        </w:tc>
        <w:tc>
          <w:tcPr>
            <w:tcW w:w="1849" w:type="dxa"/>
            <w:vAlign w:val="center"/>
          </w:tcPr>
          <w:p w14:paraId="2E4D0CF6">
            <w:pPr>
              <w:spacing w:line="240" w:lineRule="auto"/>
              <w:ind w:firstLine="0" w:firstLineChars="0"/>
              <w:jc w:val="center"/>
              <w:rPr>
                <w:color w:val="auto"/>
                <w:sz w:val="21"/>
                <w:szCs w:val="21"/>
              </w:rPr>
            </w:pPr>
            <w:r>
              <w:rPr>
                <w:rFonts w:hint="eastAsia"/>
                <w:color w:val="auto"/>
                <w:sz w:val="21"/>
                <w:szCs w:val="21"/>
              </w:rPr>
              <w:t>一般</w:t>
            </w:r>
          </w:p>
        </w:tc>
      </w:tr>
    </w:tbl>
    <w:p w14:paraId="7C2D6531">
      <w:pPr>
        <w:ind w:firstLine="480"/>
        <w:rPr>
          <w:color w:val="auto"/>
        </w:rPr>
      </w:pPr>
      <w:r>
        <w:rPr>
          <w:rFonts w:hint="eastAsia"/>
          <w:color w:val="auto"/>
        </w:rPr>
        <w:t>（2）拟建项目</w:t>
      </w:r>
      <w:r>
        <w:rPr>
          <w:color w:val="auto"/>
        </w:rPr>
        <w:t>分区防控划分情况</w:t>
      </w:r>
    </w:p>
    <w:p w14:paraId="016497BB">
      <w:pPr>
        <w:ind w:firstLine="480"/>
        <w:rPr>
          <w:color w:val="auto"/>
        </w:rPr>
      </w:pPr>
      <w:r>
        <w:rPr>
          <w:rFonts w:hint="eastAsia"/>
          <w:color w:val="auto"/>
        </w:rPr>
        <w:t>末端控制措施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管廊或管线、贮存、运输装置等因素，根据项目场地天然包气带防污性能、污染控制难易程度和污染物特性对拟建项目进行分区防控，采取的措施见表7.5-2，启东亚太全厂分区防渗情况见图7</w:t>
      </w:r>
      <w:r>
        <w:rPr>
          <w:color w:val="auto"/>
        </w:rPr>
        <w:t>.5-1</w:t>
      </w:r>
      <w:r>
        <w:rPr>
          <w:rFonts w:hint="eastAsia"/>
          <w:color w:val="auto"/>
        </w:rPr>
        <w:t>。</w:t>
      </w:r>
    </w:p>
    <w:p w14:paraId="24455DEB">
      <w:pPr>
        <w:pStyle w:val="49"/>
        <w:rPr>
          <w:color w:val="auto"/>
        </w:rPr>
      </w:pPr>
      <w:r>
        <w:rPr>
          <w:color w:val="auto"/>
        </w:rPr>
        <w:t>表</w:t>
      </w:r>
      <w:r>
        <w:rPr>
          <w:rFonts w:hint="eastAsia"/>
          <w:color w:val="auto"/>
        </w:rPr>
        <w:t>7</w:t>
      </w:r>
      <w:r>
        <w:rPr>
          <w:color w:val="auto"/>
        </w:rPr>
        <w:t>.5</w:t>
      </w:r>
      <w:r>
        <w:rPr>
          <w:rFonts w:hint="eastAsia"/>
          <w:color w:val="auto"/>
        </w:rPr>
        <w:t>-2  拟建项目</w:t>
      </w:r>
      <w:r>
        <w:rPr>
          <w:color w:val="auto"/>
        </w:rPr>
        <w:t>防渗措施表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556"/>
        <w:gridCol w:w="1291"/>
        <w:gridCol w:w="1000"/>
        <w:gridCol w:w="1046"/>
        <w:gridCol w:w="1287"/>
        <w:gridCol w:w="1260"/>
        <w:gridCol w:w="1917"/>
        <w:gridCol w:w="1272"/>
      </w:tblGrid>
      <w:tr w14:paraId="4D24F7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7A2CD556">
            <w:pPr>
              <w:spacing w:line="240" w:lineRule="auto"/>
              <w:ind w:firstLine="0" w:firstLineChars="0"/>
              <w:jc w:val="center"/>
              <w:rPr>
                <w:b/>
                <w:bCs/>
                <w:color w:val="auto"/>
                <w:sz w:val="21"/>
                <w:szCs w:val="21"/>
              </w:rPr>
            </w:pPr>
            <w:r>
              <w:rPr>
                <w:b/>
                <w:bCs/>
                <w:color w:val="auto"/>
                <w:sz w:val="21"/>
                <w:szCs w:val="21"/>
              </w:rPr>
              <w:t>序号</w:t>
            </w:r>
          </w:p>
        </w:tc>
        <w:tc>
          <w:tcPr>
            <w:tcW w:w="670" w:type="pct"/>
            <w:vAlign w:val="center"/>
          </w:tcPr>
          <w:p w14:paraId="64FA0C86">
            <w:pPr>
              <w:spacing w:line="240" w:lineRule="auto"/>
              <w:ind w:firstLine="0" w:firstLineChars="0"/>
              <w:jc w:val="center"/>
              <w:rPr>
                <w:b/>
                <w:bCs/>
                <w:color w:val="auto"/>
                <w:sz w:val="21"/>
                <w:szCs w:val="21"/>
              </w:rPr>
            </w:pPr>
            <w:r>
              <w:rPr>
                <w:b/>
                <w:bCs/>
                <w:color w:val="auto"/>
                <w:sz w:val="21"/>
                <w:szCs w:val="21"/>
              </w:rPr>
              <w:t>区域</w:t>
            </w:r>
          </w:p>
        </w:tc>
        <w:tc>
          <w:tcPr>
            <w:tcW w:w="519" w:type="pct"/>
            <w:vAlign w:val="center"/>
          </w:tcPr>
          <w:p w14:paraId="58F4C7B0">
            <w:pPr>
              <w:spacing w:line="240" w:lineRule="auto"/>
              <w:ind w:firstLine="0" w:firstLineChars="0"/>
              <w:jc w:val="center"/>
              <w:rPr>
                <w:b/>
                <w:bCs/>
                <w:color w:val="auto"/>
                <w:sz w:val="21"/>
                <w:szCs w:val="21"/>
              </w:rPr>
            </w:pPr>
            <w:r>
              <w:rPr>
                <w:b/>
                <w:bCs/>
                <w:color w:val="auto"/>
                <w:sz w:val="21"/>
                <w:szCs w:val="21"/>
                <w:lang w:val="zh-CN"/>
              </w:rPr>
              <w:t>天然包气带防污性能</w:t>
            </w:r>
          </w:p>
        </w:tc>
        <w:tc>
          <w:tcPr>
            <w:tcW w:w="543" w:type="pct"/>
            <w:vAlign w:val="center"/>
          </w:tcPr>
          <w:p w14:paraId="42431FE8">
            <w:pPr>
              <w:spacing w:line="240" w:lineRule="auto"/>
              <w:ind w:firstLine="0" w:firstLineChars="0"/>
              <w:jc w:val="center"/>
              <w:rPr>
                <w:b/>
                <w:bCs/>
                <w:color w:val="auto"/>
                <w:sz w:val="21"/>
                <w:szCs w:val="21"/>
              </w:rPr>
            </w:pPr>
            <w:r>
              <w:rPr>
                <w:b/>
                <w:bCs/>
                <w:color w:val="auto"/>
                <w:sz w:val="21"/>
                <w:szCs w:val="21"/>
                <w:lang w:val="zh-CN"/>
              </w:rPr>
              <w:t>污染控制难易程度</w:t>
            </w:r>
          </w:p>
        </w:tc>
        <w:tc>
          <w:tcPr>
            <w:tcW w:w="668" w:type="pct"/>
            <w:vAlign w:val="center"/>
          </w:tcPr>
          <w:p w14:paraId="26E356EC">
            <w:pPr>
              <w:spacing w:line="240" w:lineRule="auto"/>
              <w:ind w:firstLine="0" w:firstLineChars="0"/>
              <w:jc w:val="center"/>
              <w:rPr>
                <w:b/>
                <w:bCs/>
                <w:color w:val="auto"/>
                <w:sz w:val="21"/>
                <w:szCs w:val="21"/>
              </w:rPr>
            </w:pPr>
            <w:r>
              <w:rPr>
                <w:b/>
                <w:bCs/>
                <w:color w:val="auto"/>
                <w:sz w:val="21"/>
                <w:szCs w:val="21"/>
                <w:lang w:val="zh-CN"/>
              </w:rPr>
              <w:t>污染物类型</w:t>
            </w:r>
          </w:p>
        </w:tc>
        <w:tc>
          <w:tcPr>
            <w:tcW w:w="654" w:type="pct"/>
            <w:vAlign w:val="center"/>
          </w:tcPr>
          <w:p w14:paraId="118E16C0">
            <w:pPr>
              <w:spacing w:line="240" w:lineRule="auto"/>
              <w:ind w:firstLine="0" w:firstLineChars="0"/>
              <w:jc w:val="center"/>
              <w:rPr>
                <w:b/>
                <w:bCs/>
                <w:color w:val="auto"/>
                <w:sz w:val="21"/>
                <w:szCs w:val="21"/>
              </w:rPr>
            </w:pPr>
            <w:r>
              <w:rPr>
                <w:b/>
                <w:bCs/>
                <w:color w:val="auto"/>
                <w:sz w:val="21"/>
                <w:szCs w:val="21"/>
              </w:rPr>
              <w:t>防渗等级</w:t>
            </w:r>
          </w:p>
        </w:tc>
        <w:tc>
          <w:tcPr>
            <w:tcW w:w="995" w:type="pct"/>
            <w:vAlign w:val="center"/>
          </w:tcPr>
          <w:p w14:paraId="2A36327A">
            <w:pPr>
              <w:spacing w:line="240" w:lineRule="auto"/>
              <w:ind w:firstLine="0" w:firstLineChars="0"/>
              <w:jc w:val="center"/>
              <w:rPr>
                <w:b/>
                <w:bCs/>
                <w:color w:val="auto"/>
                <w:sz w:val="21"/>
                <w:szCs w:val="21"/>
              </w:rPr>
            </w:pPr>
            <w:r>
              <w:rPr>
                <w:b/>
                <w:bCs/>
                <w:color w:val="auto"/>
                <w:sz w:val="21"/>
                <w:szCs w:val="21"/>
              </w:rPr>
              <w:t>具体措施</w:t>
            </w:r>
          </w:p>
        </w:tc>
        <w:tc>
          <w:tcPr>
            <w:tcW w:w="660" w:type="pct"/>
            <w:vAlign w:val="center"/>
          </w:tcPr>
          <w:p w14:paraId="4106F2C4">
            <w:pPr>
              <w:spacing w:line="240" w:lineRule="auto"/>
              <w:ind w:firstLine="0" w:firstLineChars="0"/>
              <w:jc w:val="center"/>
              <w:rPr>
                <w:b/>
                <w:bCs/>
                <w:color w:val="auto"/>
                <w:sz w:val="21"/>
                <w:szCs w:val="21"/>
              </w:rPr>
            </w:pPr>
            <w:r>
              <w:rPr>
                <w:rFonts w:hint="eastAsia"/>
                <w:b/>
                <w:bCs/>
                <w:color w:val="auto"/>
                <w:sz w:val="21"/>
                <w:szCs w:val="21"/>
              </w:rPr>
              <w:t>备注</w:t>
            </w:r>
          </w:p>
        </w:tc>
      </w:tr>
      <w:tr w14:paraId="350051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59B0C0E9">
            <w:pPr>
              <w:spacing w:line="240" w:lineRule="auto"/>
              <w:ind w:firstLine="0" w:firstLineChars="0"/>
              <w:jc w:val="center"/>
              <w:rPr>
                <w:color w:val="auto"/>
                <w:sz w:val="21"/>
                <w:szCs w:val="21"/>
              </w:rPr>
            </w:pPr>
            <w:r>
              <w:rPr>
                <w:rFonts w:hint="eastAsia"/>
                <w:color w:val="auto"/>
                <w:sz w:val="21"/>
                <w:szCs w:val="21"/>
              </w:rPr>
              <w:t>1</w:t>
            </w:r>
          </w:p>
        </w:tc>
        <w:tc>
          <w:tcPr>
            <w:tcW w:w="670" w:type="pct"/>
            <w:vAlign w:val="center"/>
          </w:tcPr>
          <w:p w14:paraId="09D0D2B3">
            <w:pPr>
              <w:widowControl/>
              <w:spacing w:line="240" w:lineRule="auto"/>
              <w:ind w:firstLine="0" w:firstLineChars="0"/>
              <w:jc w:val="center"/>
              <w:rPr>
                <w:color w:val="auto"/>
                <w:kern w:val="0"/>
                <w:sz w:val="21"/>
                <w:szCs w:val="21"/>
              </w:rPr>
            </w:pPr>
            <w:r>
              <w:rPr>
                <w:rFonts w:hint="eastAsia"/>
                <w:color w:val="auto"/>
                <w:kern w:val="0"/>
                <w:sz w:val="21"/>
                <w:szCs w:val="21"/>
              </w:rPr>
              <w:t>办公楼</w:t>
            </w:r>
          </w:p>
        </w:tc>
        <w:tc>
          <w:tcPr>
            <w:tcW w:w="519" w:type="pct"/>
            <w:vAlign w:val="center"/>
          </w:tcPr>
          <w:p w14:paraId="21EA095B">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35B25515">
            <w:pPr>
              <w:spacing w:line="240" w:lineRule="auto"/>
              <w:ind w:firstLine="0" w:firstLineChars="0"/>
              <w:jc w:val="center"/>
              <w:rPr>
                <w:color w:val="auto"/>
                <w:sz w:val="21"/>
                <w:szCs w:val="21"/>
              </w:rPr>
            </w:pPr>
            <w:r>
              <w:rPr>
                <w:rFonts w:hint="eastAsia"/>
                <w:color w:val="auto"/>
                <w:sz w:val="21"/>
                <w:szCs w:val="21"/>
              </w:rPr>
              <w:t>易</w:t>
            </w:r>
          </w:p>
        </w:tc>
        <w:tc>
          <w:tcPr>
            <w:tcW w:w="668" w:type="pct"/>
            <w:vAlign w:val="center"/>
          </w:tcPr>
          <w:p w14:paraId="12FF99CE">
            <w:pPr>
              <w:spacing w:line="240" w:lineRule="auto"/>
              <w:ind w:firstLine="0" w:firstLineChars="0"/>
              <w:jc w:val="center"/>
              <w:rPr>
                <w:color w:val="auto"/>
                <w:sz w:val="21"/>
                <w:szCs w:val="21"/>
                <w:lang w:val="zh-CN"/>
              </w:rPr>
            </w:pPr>
            <w:r>
              <w:rPr>
                <w:color w:val="auto"/>
                <w:sz w:val="21"/>
                <w:szCs w:val="21"/>
              </w:rPr>
              <w:t>其他类型</w:t>
            </w:r>
          </w:p>
        </w:tc>
        <w:tc>
          <w:tcPr>
            <w:tcW w:w="654" w:type="pct"/>
            <w:vAlign w:val="center"/>
          </w:tcPr>
          <w:p w14:paraId="1836BF05">
            <w:pPr>
              <w:spacing w:line="240" w:lineRule="auto"/>
              <w:ind w:firstLine="0" w:firstLineChars="0"/>
              <w:jc w:val="center"/>
              <w:rPr>
                <w:color w:val="auto"/>
                <w:sz w:val="21"/>
                <w:szCs w:val="21"/>
              </w:rPr>
            </w:pPr>
            <w:r>
              <w:rPr>
                <w:rFonts w:hint="eastAsia"/>
                <w:color w:val="auto"/>
                <w:sz w:val="21"/>
                <w:szCs w:val="21"/>
              </w:rPr>
              <w:t>简单防渗区</w:t>
            </w:r>
          </w:p>
        </w:tc>
        <w:tc>
          <w:tcPr>
            <w:tcW w:w="995" w:type="pct"/>
            <w:vAlign w:val="center"/>
          </w:tcPr>
          <w:p w14:paraId="0C79B967">
            <w:pPr>
              <w:tabs>
                <w:tab w:val="left" w:pos="398"/>
              </w:tabs>
              <w:spacing w:line="240" w:lineRule="auto"/>
              <w:ind w:firstLine="0" w:firstLineChars="0"/>
              <w:jc w:val="center"/>
              <w:rPr>
                <w:color w:val="auto"/>
                <w:sz w:val="21"/>
                <w:szCs w:val="21"/>
              </w:rPr>
            </w:pPr>
            <w:r>
              <w:rPr>
                <w:rFonts w:hint="eastAsia"/>
                <w:color w:val="auto"/>
                <w:sz w:val="21"/>
                <w:szCs w:val="21"/>
              </w:rPr>
              <w:t>一般地面硬化</w:t>
            </w:r>
          </w:p>
        </w:tc>
        <w:tc>
          <w:tcPr>
            <w:tcW w:w="660" w:type="pct"/>
            <w:vMerge w:val="restart"/>
            <w:vAlign w:val="center"/>
          </w:tcPr>
          <w:p w14:paraId="4C69B429">
            <w:pPr>
              <w:tabs>
                <w:tab w:val="left" w:pos="398"/>
              </w:tabs>
              <w:spacing w:line="240" w:lineRule="auto"/>
              <w:ind w:firstLine="0" w:firstLineChars="0"/>
              <w:jc w:val="center"/>
              <w:rPr>
                <w:color w:val="auto"/>
                <w:sz w:val="21"/>
                <w:szCs w:val="21"/>
              </w:rPr>
            </w:pPr>
            <w:r>
              <w:rPr>
                <w:rFonts w:hint="eastAsia"/>
                <w:color w:val="auto"/>
                <w:sz w:val="21"/>
                <w:szCs w:val="21"/>
              </w:rPr>
              <w:t>依托现有</w:t>
            </w:r>
          </w:p>
        </w:tc>
      </w:tr>
      <w:tr w14:paraId="6F76DA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289" w:type="pct"/>
            <w:vAlign w:val="center"/>
          </w:tcPr>
          <w:p w14:paraId="70FCD742">
            <w:pPr>
              <w:spacing w:line="240" w:lineRule="auto"/>
              <w:ind w:firstLine="0" w:firstLineChars="0"/>
              <w:jc w:val="center"/>
              <w:rPr>
                <w:color w:val="auto"/>
                <w:sz w:val="21"/>
                <w:szCs w:val="21"/>
              </w:rPr>
            </w:pPr>
            <w:r>
              <w:rPr>
                <w:rFonts w:hint="eastAsia"/>
                <w:color w:val="auto"/>
                <w:sz w:val="21"/>
                <w:szCs w:val="21"/>
              </w:rPr>
              <w:t>4</w:t>
            </w:r>
          </w:p>
        </w:tc>
        <w:tc>
          <w:tcPr>
            <w:tcW w:w="670" w:type="pct"/>
            <w:vAlign w:val="center"/>
          </w:tcPr>
          <w:p w14:paraId="10099068">
            <w:pPr>
              <w:widowControl/>
              <w:spacing w:line="240" w:lineRule="auto"/>
              <w:ind w:firstLine="0" w:firstLineChars="0"/>
              <w:jc w:val="center"/>
              <w:rPr>
                <w:color w:val="auto"/>
                <w:kern w:val="0"/>
                <w:sz w:val="21"/>
                <w:szCs w:val="21"/>
              </w:rPr>
            </w:pPr>
            <w:r>
              <w:rPr>
                <w:rFonts w:hint="eastAsia"/>
                <w:color w:val="auto"/>
                <w:kern w:val="0"/>
                <w:sz w:val="21"/>
                <w:szCs w:val="21"/>
              </w:rPr>
              <w:t>丙类仓库</w:t>
            </w:r>
          </w:p>
        </w:tc>
        <w:tc>
          <w:tcPr>
            <w:tcW w:w="519" w:type="pct"/>
            <w:vAlign w:val="center"/>
          </w:tcPr>
          <w:p w14:paraId="6E5DD717">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21F3B83A">
            <w:pPr>
              <w:spacing w:line="240" w:lineRule="auto"/>
              <w:ind w:firstLine="0" w:firstLineChars="0"/>
              <w:jc w:val="center"/>
              <w:rPr>
                <w:color w:val="auto"/>
                <w:sz w:val="21"/>
                <w:szCs w:val="21"/>
              </w:rPr>
            </w:pPr>
            <w:r>
              <w:rPr>
                <w:rFonts w:hint="eastAsia"/>
                <w:color w:val="auto"/>
                <w:sz w:val="21"/>
                <w:szCs w:val="21"/>
              </w:rPr>
              <w:t>易</w:t>
            </w:r>
          </w:p>
        </w:tc>
        <w:tc>
          <w:tcPr>
            <w:tcW w:w="668" w:type="pct"/>
            <w:vAlign w:val="center"/>
          </w:tcPr>
          <w:p w14:paraId="5A8ECCC3">
            <w:pPr>
              <w:spacing w:line="240" w:lineRule="auto"/>
              <w:ind w:firstLine="0" w:firstLineChars="0"/>
              <w:jc w:val="center"/>
              <w:rPr>
                <w:color w:val="auto"/>
                <w:sz w:val="21"/>
                <w:szCs w:val="21"/>
              </w:rPr>
            </w:pPr>
            <w:r>
              <w:rPr>
                <w:color w:val="auto"/>
                <w:sz w:val="21"/>
                <w:szCs w:val="21"/>
              </w:rPr>
              <w:t>其他类型</w:t>
            </w:r>
          </w:p>
        </w:tc>
        <w:tc>
          <w:tcPr>
            <w:tcW w:w="654" w:type="pct"/>
            <w:vAlign w:val="center"/>
          </w:tcPr>
          <w:p w14:paraId="14EBFE6F">
            <w:pPr>
              <w:spacing w:line="240" w:lineRule="auto"/>
              <w:ind w:firstLine="0" w:firstLineChars="0"/>
              <w:jc w:val="center"/>
              <w:rPr>
                <w:color w:val="auto"/>
                <w:sz w:val="21"/>
                <w:szCs w:val="21"/>
              </w:rPr>
            </w:pPr>
            <w:r>
              <w:rPr>
                <w:rFonts w:hint="eastAsia"/>
                <w:color w:val="auto"/>
                <w:sz w:val="21"/>
                <w:szCs w:val="21"/>
              </w:rPr>
              <w:t>一般防渗区</w:t>
            </w:r>
          </w:p>
        </w:tc>
        <w:tc>
          <w:tcPr>
            <w:tcW w:w="995" w:type="pct"/>
            <w:vAlign w:val="center"/>
          </w:tcPr>
          <w:p w14:paraId="1ED9A1E4">
            <w:pPr>
              <w:tabs>
                <w:tab w:val="left" w:pos="398"/>
              </w:tabs>
              <w:spacing w:line="240" w:lineRule="auto"/>
              <w:ind w:firstLine="0" w:firstLineChars="0"/>
              <w:jc w:val="center"/>
              <w:rPr>
                <w:color w:val="auto"/>
                <w:sz w:val="21"/>
                <w:szCs w:val="21"/>
              </w:rPr>
            </w:pPr>
            <w:r>
              <w:rPr>
                <w:rFonts w:hint="eastAsia"/>
                <w:color w:val="auto"/>
                <w:sz w:val="21"/>
                <w:szCs w:val="21"/>
              </w:rPr>
              <w:t>等效黏土防渗层Mb≥1.5m，K≤10</w:t>
            </w:r>
            <w:r>
              <w:rPr>
                <w:rFonts w:hint="eastAsia"/>
                <w:color w:val="auto"/>
                <w:sz w:val="21"/>
                <w:szCs w:val="21"/>
                <w:vertAlign w:val="superscript"/>
              </w:rPr>
              <w:t>-7</w:t>
            </w:r>
            <w:r>
              <w:rPr>
                <w:rFonts w:hint="eastAsia"/>
                <w:color w:val="auto"/>
                <w:sz w:val="21"/>
                <w:szCs w:val="21"/>
              </w:rPr>
              <w:t>cm/s</w:t>
            </w:r>
          </w:p>
        </w:tc>
        <w:tc>
          <w:tcPr>
            <w:tcW w:w="660" w:type="pct"/>
            <w:vMerge w:val="continue"/>
            <w:vAlign w:val="center"/>
          </w:tcPr>
          <w:p w14:paraId="4A686AD9">
            <w:pPr>
              <w:tabs>
                <w:tab w:val="left" w:pos="398"/>
              </w:tabs>
              <w:spacing w:line="240" w:lineRule="auto"/>
              <w:ind w:firstLine="0" w:firstLineChars="0"/>
              <w:jc w:val="center"/>
              <w:rPr>
                <w:color w:val="auto"/>
                <w:sz w:val="21"/>
                <w:szCs w:val="21"/>
              </w:rPr>
            </w:pPr>
          </w:p>
        </w:tc>
      </w:tr>
      <w:tr w14:paraId="08CA59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2F27B809">
            <w:pPr>
              <w:spacing w:line="240" w:lineRule="auto"/>
              <w:ind w:firstLine="0" w:firstLineChars="0"/>
              <w:jc w:val="center"/>
              <w:rPr>
                <w:color w:val="auto"/>
                <w:sz w:val="21"/>
                <w:szCs w:val="21"/>
              </w:rPr>
            </w:pPr>
            <w:r>
              <w:rPr>
                <w:rFonts w:hint="eastAsia"/>
                <w:color w:val="auto"/>
                <w:sz w:val="21"/>
                <w:szCs w:val="21"/>
              </w:rPr>
              <w:t>11</w:t>
            </w:r>
          </w:p>
        </w:tc>
        <w:tc>
          <w:tcPr>
            <w:tcW w:w="670" w:type="pct"/>
            <w:vAlign w:val="center"/>
          </w:tcPr>
          <w:p w14:paraId="375612C8">
            <w:pPr>
              <w:widowControl/>
              <w:spacing w:line="240" w:lineRule="auto"/>
              <w:ind w:firstLine="0" w:firstLineChars="0"/>
              <w:jc w:val="center"/>
              <w:rPr>
                <w:color w:val="auto"/>
                <w:kern w:val="0"/>
                <w:sz w:val="21"/>
                <w:szCs w:val="21"/>
              </w:rPr>
            </w:pPr>
            <w:r>
              <w:rPr>
                <w:color w:val="auto"/>
                <w:kern w:val="0"/>
                <w:sz w:val="21"/>
                <w:szCs w:val="21"/>
                <w:lang w:val="zh-CN"/>
              </w:rPr>
              <w:t>罐区</w:t>
            </w:r>
          </w:p>
        </w:tc>
        <w:tc>
          <w:tcPr>
            <w:tcW w:w="519" w:type="pct"/>
            <w:vAlign w:val="center"/>
          </w:tcPr>
          <w:p w14:paraId="1B3070B8">
            <w:pPr>
              <w:spacing w:line="240" w:lineRule="auto"/>
              <w:ind w:firstLine="0" w:firstLineChars="0"/>
              <w:jc w:val="center"/>
              <w:rPr>
                <w:color w:val="auto"/>
                <w:sz w:val="21"/>
                <w:szCs w:val="21"/>
                <w:lang w:val="zh-CN"/>
              </w:rPr>
            </w:pPr>
            <w:r>
              <w:rPr>
                <w:rFonts w:hint="eastAsia"/>
                <w:color w:val="auto"/>
                <w:sz w:val="21"/>
                <w:szCs w:val="21"/>
              </w:rPr>
              <w:t>中</w:t>
            </w:r>
          </w:p>
        </w:tc>
        <w:tc>
          <w:tcPr>
            <w:tcW w:w="543" w:type="pct"/>
            <w:vAlign w:val="center"/>
          </w:tcPr>
          <w:p w14:paraId="1A69CF98">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1C95B0CB">
            <w:pPr>
              <w:spacing w:line="240" w:lineRule="auto"/>
              <w:ind w:firstLine="0" w:firstLineChars="0"/>
              <w:jc w:val="center"/>
              <w:rPr>
                <w:color w:val="auto"/>
                <w:sz w:val="21"/>
                <w:szCs w:val="21"/>
                <w:lang w:val="zh-CN"/>
              </w:rPr>
            </w:pPr>
            <w:r>
              <w:rPr>
                <w:color w:val="auto"/>
                <w:sz w:val="21"/>
                <w:szCs w:val="21"/>
              </w:rPr>
              <w:t>其他类型</w:t>
            </w:r>
          </w:p>
        </w:tc>
        <w:tc>
          <w:tcPr>
            <w:tcW w:w="654" w:type="pct"/>
            <w:vMerge w:val="restart"/>
            <w:vAlign w:val="center"/>
          </w:tcPr>
          <w:p w14:paraId="4116DD46">
            <w:pPr>
              <w:spacing w:line="240" w:lineRule="auto"/>
              <w:ind w:firstLine="0" w:firstLineChars="0"/>
              <w:jc w:val="center"/>
              <w:rPr>
                <w:color w:val="auto"/>
                <w:sz w:val="21"/>
                <w:szCs w:val="21"/>
              </w:rPr>
            </w:pPr>
            <w:r>
              <w:rPr>
                <w:rFonts w:hint="eastAsia"/>
                <w:color w:val="auto"/>
                <w:sz w:val="21"/>
                <w:szCs w:val="21"/>
              </w:rPr>
              <w:t>重点防渗区</w:t>
            </w:r>
          </w:p>
        </w:tc>
        <w:tc>
          <w:tcPr>
            <w:tcW w:w="995" w:type="pct"/>
            <w:vMerge w:val="restart"/>
            <w:vAlign w:val="center"/>
          </w:tcPr>
          <w:p w14:paraId="58C79A85">
            <w:pPr>
              <w:tabs>
                <w:tab w:val="left" w:pos="398"/>
              </w:tabs>
              <w:spacing w:line="240" w:lineRule="auto"/>
              <w:ind w:firstLine="0" w:firstLineChars="0"/>
              <w:jc w:val="center"/>
              <w:rPr>
                <w:color w:val="auto"/>
                <w:sz w:val="21"/>
                <w:szCs w:val="21"/>
              </w:rPr>
            </w:pPr>
            <w:r>
              <w:rPr>
                <w:rFonts w:hint="eastAsia"/>
                <w:color w:val="auto"/>
                <w:sz w:val="21"/>
                <w:szCs w:val="21"/>
              </w:rPr>
              <w:t>等效黏土防渗层Mbb≥6.0m，K&lt;</w:t>
            </w:r>
          </w:p>
          <w:p w14:paraId="402E184F">
            <w:pPr>
              <w:tabs>
                <w:tab w:val="left" w:pos="398"/>
              </w:tabs>
              <w:spacing w:line="240" w:lineRule="auto"/>
              <w:ind w:firstLine="0" w:firstLineChars="0"/>
              <w:jc w:val="center"/>
              <w:rPr>
                <w:color w:val="auto"/>
                <w:sz w:val="21"/>
                <w:szCs w:val="21"/>
              </w:rPr>
            </w:pPr>
            <w:r>
              <w:rPr>
                <w:rFonts w:hint="eastAsia"/>
                <w:color w:val="auto"/>
                <w:sz w:val="21"/>
                <w:szCs w:val="21"/>
              </w:rPr>
              <w:t>10</w:t>
            </w:r>
            <w:r>
              <w:rPr>
                <w:rFonts w:hint="eastAsia"/>
                <w:color w:val="auto"/>
                <w:sz w:val="21"/>
                <w:szCs w:val="21"/>
                <w:vertAlign w:val="superscript"/>
              </w:rPr>
              <w:t>-7</w:t>
            </w:r>
            <w:r>
              <w:rPr>
                <w:rFonts w:hint="eastAsia"/>
                <w:color w:val="auto"/>
                <w:sz w:val="21"/>
                <w:szCs w:val="21"/>
              </w:rPr>
              <w:t>cm/s</w:t>
            </w:r>
          </w:p>
        </w:tc>
        <w:tc>
          <w:tcPr>
            <w:tcW w:w="660" w:type="pct"/>
            <w:vMerge w:val="continue"/>
            <w:vAlign w:val="center"/>
          </w:tcPr>
          <w:p w14:paraId="342AA05E">
            <w:pPr>
              <w:tabs>
                <w:tab w:val="left" w:pos="398"/>
              </w:tabs>
              <w:spacing w:line="240" w:lineRule="auto"/>
              <w:ind w:firstLine="0" w:firstLineChars="0"/>
              <w:jc w:val="center"/>
              <w:rPr>
                <w:color w:val="auto"/>
                <w:sz w:val="21"/>
                <w:szCs w:val="21"/>
              </w:rPr>
            </w:pPr>
          </w:p>
        </w:tc>
      </w:tr>
      <w:tr w14:paraId="7B939F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3E625017">
            <w:pPr>
              <w:spacing w:line="240" w:lineRule="auto"/>
              <w:ind w:firstLine="0" w:firstLineChars="0"/>
              <w:jc w:val="center"/>
              <w:rPr>
                <w:color w:val="auto"/>
                <w:sz w:val="21"/>
                <w:szCs w:val="21"/>
              </w:rPr>
            </w:pPr>
            <w:r>
              <w:rPr>
                <w:rFonts w:hint="eastAsia"/>
                <w:color w:val="auto"/>
                <w:sz w:val="21"/>
                <w:szCs w:val="21"/>
              </w:rPr>
              <w:t>12</w:t>
            </w:r>
          </w:p>
        </w:tc>
        <w:tc>
          <w:tcPr>
            <w:tcW w:w="670" w:type="pct"/>
            <w:vAlign w:val="center"/>
          </w:tcPr>
          <w:p w14:paraId="1008B1D4">
            <w:pPr>
              <w:widowControl/>
              <w:spacing w:line="240" w:lineRule="auto"/>
              <w:ind w:firstLine="0" w:firstLineChars="0"/>
              <w:jc w:val="center"/>
              <w:rPr>
                <w:color w:val="auto"/>
                <w:kern w:val="0"/>
                <w:sz w:val="21"/>
                <w:szCs w:val="21"/>
              </w:rPr>
            </w:pPr>
            <w:r>
              <w:rPr>
                <w:color w:val="auto"/>
                <w:kern w:val="0"/>
                <w:sz w:val="21"/>
                <w:szCs w:val="21"/>
                <w:lang w:val="zh-CN"/>
              </w:rPr>
              <w:t>事故应急池</w:t>
            </w:r>
          </w:p>
        </w:tc>
        <w:tc>
          <w:tcPr>
            <w:tcW w:w="519" w:type="pct"/>
            <w:vAlign w:val="center"/>
          </w:tcPr>
          <w:p w14:paraId="5DCFD201">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7F7369DE">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5D8E9F45">
            <w:pPr>
              <w:spacing w:line="240" w:lineRule="auto"/>
              <w:ind w:firstLine="0" w:firstLineChars="0"/>
              <w:jc w:val="center"/>
              <w:rPr>
                <w:color w:val="auto"/>
                <w:sz w:val="21"/>
                <w:szCs w:val="21"/>
                <w:lang w:val="zh-CN"/>
              </w:rPr>
            </w:pPr>
            <w:r>
              <w:rPr>
                <w:color w:val="auto"/>
                <w:sz w:val="21"/>
                <w:szCs w:val="21"/>
              </w:rPr>
              <w:t>其他类型</w:t>
            </w:r>
          </w:p>
        </w:tc>
        <w:tc>
          <w:tcPr>
            <w:tcW w:w="654" w:type="pct"/>
            <w:vMerge w:val="continue"/>
            <w:vAlign w:val="center"/>
          </w:tcPr>
          <w:p w14:paraId="23232777">
            <w:pPr>
              <w:spacing w:line="240" w:lineRule="auto"/>
              <w:ind w:firstLine="0" w:firstLineChars="0"/>
              <w:jc w:val="center"/>
              <w:rPr>
                <w:color w:val="auto"/>
                <w:sz w:val="21"/>
                <w:szCs w:val="21"/>
              </w:rPr>
            </w:pPr>
          </w:p>
        </w:tc>
        <w:tc>
          <w:tcPr>
            <w:tcW w:w="995" w:type="pct"/>
            <w:vMerge w:val="continue"/>
            <w:vAlign w:val="center"/>
          </w:tcPr>
          <w:p w14:paraId="1F3B6DF5">
            <w:pPr>
              <w:tabs>
                <w:tab w:val="left" w:pos="398"/>
              </w:tabs>
              <w:spacing w:line="240" w:lineRule="auto"/>
              <w:ind w:firstLine="0" w:firstLineChars="0"/>
              <w:jc w:val="center"/>
              <w:rPr>
                <w:color w:val="auto"/>
                <w:sz w:val="21"/>
                <w:szCs w:val="21"/>
              </w:rPr>
            </w:pPr>
          </w:p>
        </w:tc>
        <w:tc>
          <w:tcPr>
            <w:tcW w:w="660" w:type="pct"/>
            <w:vMerge w:val="continue"/>
            <w:vAlign w:val="center"/>
          </w:tcPr>
          <w:p w14:paraId="2EF61B6E">
            <w:pPr>
              <w:tabs>
                <w:tab w:val="left" w:pos="398"/>
              </w:tabs>
              <w:spacing w:line="240" w:lineRule="auto"/>
              <w:ind w:firstLine="0" w:firstLineChars="0"/>
              <w:jc w:val="center"/>
              <w:rPr>
                <w:color w:val="auto"/>
                <w:sz w:val="21"/>
                <w:szCs w:val="21"/>
              </w:rPr>
            </w:pPr>
          </w:p>
        </w:tc>
      </w:tr>
      <w:tr w14:paraId="2B1AEE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0AD80B3E">
            <w:pPr>
              <w:spacing w:line="240" w:lineRule="auto"/>
              <w:ind w:firstLine="0" w:firstLineChars="0"/>
              <w:jc w:val="center"/>
              <w:rPr>
                <w:color w:val="auto"/>
                <w:sz w:val="21"/>
                <w:szCs w:val="21"/>
              </w:rPr>
            </w:pPr>
            <w:r>
              <w:rPr>
                <w:rFonts w:hint="eastAsia"/>
                <w:color w:val="auto"/>
                <w:sz w:val="21"/>
                <w:szCs w:val="21"/>
              </w:rPr>
              <w:t>14</w:t>
            </w:r>
          </w:p>
        </w:tc>
        <w:tc>
          <w:tcPr>
            <w:tcW w:w="670" w:type="pct"/>
            <w:vAlign w:val="center"/>
          </w:tcPr>
          <w:p w14:paraId="2EDD78BF">
            <w:pPr>
              <w:widowControl/>
              <w:spacing w:line="240" w:lineRule="auto"/>
              <w:ind w:firstLine="0" w:firstLineChars="0"/>
              <w:jc w:val="center"/>
              <w:rPr>
                <w:color w:val="auto"/>
                <w:kern w:val="0"/>
                <w:sz w:val="21"/>
                <w:szCs w:val="21"/>
              </w:rPr>
            </w:pPr>
            <w:r>
              <w:rPr>
                <w:color w:val="auto"/>
                <w:kern w:val="0"/>
                <w:sz w:val="21"/>
                <w:szCs w:val="21"/>
                <w:lang w:val="zh-CN"/>
              </w:rPr>
              <w:t>初期雨水池</w:t>
            </w:r>
          </w:p>
        </w:tc>
        <w:tc>
          <w:tcPr>
            <w:tcW w:w="519" w:type="pct"/>
            <w:vAlign w:val="center"/>
          </w:tcPr>
          <w:p w14:paraId="7FCB41C4">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783CBF7A">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522A1223">
            <w:pPr>
              <w:spacing w:line="240" w:lineRule="auto"/>
              <w:ind w:firstLine="0" w:firstLineChars="0"/>
              <w:jc w:val="center"/>
              <w:rPr>
                <w:color w:val="auto"/>
                <w:sz w:val="21"/>
                <w:szCs w:val="21"/>
              </w:rPr>
            </w:pPr>
            <w:r>
              <w:rPr>
                <w:color w:val="auto"/>
                <w:sz w:val="21"/>
                <w:szCs w:val="21"/>
              </w:rPr>
              <w:t>其他类型</w:t>
            </w:r>
          </w:p>
        </w:tc>
        <w:tc>
          <w:tcPr>
            <w:tcW w:w="654" w:type="pct"/>
            <w:vMerge w:val="continue"/>
            <w:vAlign w:val="center"/>
          </w:tcPr>
          <w:p w14:paraId="0EEB1D51">
            <w:pPr>
              <w:spacing w:line="240" w:lineRule="auto"/>
              <w:ind w:firstLine="0" w:firstLineChars="0"/>
              <w:jc w:val="center"/>
              <w:rPr>
                <w:color w:val="auto"/>
                <w:sz w:val="21"/>
                <w:szCs w:val="21"/>
              </w:rPr>
            </w:pPr>
          </w:p>
        </w:tc>
        <w:tc>
          <w:tcPr>
            <w:tcW w:w="995" w:type="pct"/>
            <w:vMerge w:val="continue"/>
            <w:vAlign w:val="center"/>
          </w:tcPr>
          <w:p w14:paraId="078A8580">
            <w:pPr>
              <w:spacing w:line="240" w:lineRule="auto"/>
              <w:ind w:firstLine="0" w:firstLineChars="0"/>
              <w:jc w:val="center"/>
              <w:rPr>
                <w:color w:val="auto"/>
                <w:sz w:val="21"/>
                <w:szCs w:val="21"/>
              </w:rPr>
            </w:pPr>
          </w:p>
        </w:tc>
        <w:tc>
          <w:tcPr>
            <w:tcW w:w="660" w:type="pct"/>
            <w:vMerge w:val="continue"/>
            <w:vAlign w:val="center"/>
          </w:tcPr>
          <w:p w14:paraId="704E5315">
            <w:pPr>
              <w:spacing w:line="240" w:lineRule="auto"/>
              <w:ind w:firstLine="0" w:firstLineChars="0"/>
              <w:jc w:val="center"/>
              <w:rPr>
                <w:color w:val="auto"/>
                <w:sz w:val="21"/>
                <w:szCs w:val="21"/>
              </w:rPr>
            </w:pPr>
          </w:p>
        </w:tc>
      </w:tr>
      <w:tr w14:paraId="724267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4527576E">
            <w:pPr>
              <w:spacing w:line="240" w:lineRule="auto"/>
              <w:ind w:firstLine="0" w:firstLineChars="0"/>
              <w:jc w:val="center"/>
              <w:rPr>
                <w:color w:val="auto"/>
                <w:sz w:val="21"/>
                <w:szCs w:val="21"/>
              </w:rPr>
            </w:pPr>
            <w:r>
              <w:rPr>
                <w:rFonts w:hint="eastAsia"/>
                <w:color w:val="auto"/>
                <w:sz w:val="21"/>
                <w:szCs w:val="21"/>
              </w:rPr>
              <w:t>16</w:t>
            </w:r>
          </w:p>
        </w:tc>
        <w:tc>
          <w:tcPr>
            <w:tcW w:w="670" w:type="pct"/>
            <w:vAlign w:val="center"/>
          </w:tcPr>
          <w:p w14:paraId="2F928F63">
            <w:pPr>
              <w:widowControl/>
              <w:spacing w:line="240" w:lineRule="auto"/>
              <w:ind w:firstLine="0" w:firstLineChars="0"/>
              <w:jc w:val="center"/>
              <w:rPr>
                <w:color w:val="auto"/>
                <w:kern w:val="0"/>
                <w:sz w:val="21"/>
                <w:szCs w:val="21"/>
              </w:rPr>
            </w:pPr>
            <w:r>
              <w:rPr>
                <w:color w:val="auto"/>
                <w:kern w:val="0"/>
                <w:sz w:val="21"/>
                <w:szCs w:val="21"/>
                <w:lang w:val="zh-CN"/>
              </w:rPr>
              <w:t>废气处理装置区</w:t>
            </w:r>
          </w:p>
        </w:tc>
        <w:tc>
          <w:tcPr>
            <w:tcW w:w="519" w:type="pct"/>
            <w:vAlign w:val="center"/>
          </w:tcPr>
          <w:p w14:paraId="3F14095A">
            <w:pPr>
              <w:spacing w:line="240" w:lineRule="auto"/>
              <w:ind w:firstLine="0" w:firstLineChars="0"/>
              <w:jc w:val="center"/>
              <w:rPr>
                <w:color w:val="auto"/>
                <w:sz w:val="21"/>
                <w:szCs w:val="21"/>
                <w:lang w:val="zh-CN"/>
              </w:rPr>
            </w:pPr>
            <w:r>
              <w:rPr>
                <w:rFonts w:hint="eastAsia"/>
                <w:color w:val="auto"/>
                <w:sz w:val="21"/>
                <w:szCs w:val="21"/>
              </w:rPr>
              <w:t>中</w:t>
            </w:r>
          </w:p>
        </w:tc>
        <w:tc>
          <w:tcPr>
            <w:tcW w:w="543" w:type="pct"/>
            <w:vAlign w:val="center"/>
          </w:tcPr>
          <w:p w14:paraId="366F7E37">
            <w:pPr>
              <w:spacing w:line="240" w:lineRule="auto"/>
              <w:ind w:firstLine="0" w:firstLineChars="0"/>
              <w:jc w:val="center"/>
              <w:rPr>
                <w:color w:val="auto"/>
                <w:sz w:val="21"/>
                <w:szCs w:val="21"/>
                <w:lang w:val="zh-CN"/>
              </w:rPr>
            </w:pPr>
            <w:r>
              <w:rPr>
                <w:rFonts w:hint="eastAsia"/>
                <w:color w:val="auto"/>
                <w:sz w:val="21"/>
                <w:szCs w:val="21"/>
              </w:rPr>
              <w:t>难</w:t>
            </w:r>
          </w:p>
        </w:tc>
        <w:tc>
          <w:tcPr>
            <w:tcW w:w="668" w:type="pct"/>
            <w:vAlign w:val="center"/>
          </w:tcPr>
          <w:p w14:paraId="242E93C1">
            <w:pPr>
              <w:spacing w:line="240" w:lineRule="auto"/>
              <w:ind w:firstLine="0" w:firstLineChars="0"/>
              <w:jc w:val="center"/>
              <w:rPr>
                <w:color w:val="auto"/>
                <w:sz w:val="21"/>
                <w:szCs w:val="21"/>
                <w:lang w:val="zh-CN"/>
              </w:rPr>
            </w:pPr>
            <w:r>
              <w:rPr>
                <w:color w:val="auto"/>
                <w:sz w:val="21"/>
                <w:szCs w:val="21"/>
              </w:rPr>
              <w:t>其他类型</w:t>
            </w:r>
          </w:p>
        </w:tc>
        <w:tc>
          <w:tcPr>
            <w:tcW w:w="654" w:type="pct"/>
            <w:vMerge w:val="continue"/>
            <w:vAlign w:val="center"/>
          </w:tcPr>
          <w:p w14:paraId="17CDE373">
            <w:pPr>
              <w:spacing w:line="240" w:lineRule="auto"/>
              <w:ind w:firstLine="0" w:firstLineChars="0"/>
              <w:jc w:val="center"/>
              <w:rPr>
                <w:color w:val="auto"/>
                <w:sz w:val="21"/>
                <w:szCs w:val="21"/>
              </w:rPr>
            </w:pPr>
          </w:p>
        </w:tc>
        <w:tc>
          <w:tcPr>
            <w:tcW w:w="995" w:type="pct"/>
            <w:vMerge w:val="continue"/>
            <w:vAlign w:val="center"/>
          </w:tcPr>
          <w:p w14:paraId="27BDF404">
            <w:pPr>
              <w:spacing w:line="240" w:lineRule="auto"/>
              <w:ind w:firstLine="0" w:firstLineChars="0"/>
              <w:jc w:val="center"/>
              <w:rPr>
                <w:color w:val="auto"/>
                <w:sz w:val="21"/>
                <w:szCs w:val="21"/>
              </w:rPr>
            </w:pPr>
          </w:p>
        </w:tc>
        <w:tc>
          <w:tcPr>
            <w:tcW w:w="660" w:type="pct"/>
            <w:vMerge w:val="continue"/>
            <w:vAlign w:val="center"/>
          </w:tcPr>
          <w:p w14:paraId="3A847449">
            <w:pPr>
              <w:spacing w:line="240" w:lineRule="auto"/>
              <w:ind w:firstLine="0" w:firstLineChars="0"/>
              <w:jc w:val="center"/>
              <w:rPr>
                <w:color w:val="auto"/>
                <w:sz w:val="21"/>
                <w:szCs w:val="21"/>
              </w:rPr>
            </w:pPr>
          </w:p>
        </w:tc>
      </w:tr>
      <w:tr w14:paraId="2F2979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289" w:type="pct"/>
            <w:vAlign w:val="center"/>
          </w:tcPr>
          <w:p w14:paraId="660F6889">
            <w:pPr>
              <w:spacing w:line="240" w:lineRule="auto"/>
              <w:ind w:firstLine="0" w:firstLineChars="0"/>
              <w:jc w:val="center"/>
              <w:rPr>
                <w:color w:val="auto"/>
                <w:sz w:val="21"/>
                <w:szCs w:val="21"/>
              </w:rPr>
            </w:pPr>
            <w:r>
              <w:rPr>
                <w:rFonts w:hint="eastAsia"/>
                <w:color w:val="auto"/>
                <w:sz w:val="21"/>
                <w:szCs w:val="21"/>
              </w:rPr>
              <w:t>18</w:t>
            </w:r>
          </w:p>
        </w:tc>
        <w:tc>
          <w:tcPr>
            <w:tcW w:w="670" w:type="pct"/>
            <w:vAlign w:val="center"/>
          </w:tcPr>
          <w:p w14:paraId="7C2A5104">
            <w:pPr>
              <w:widowControl/>
              <w:spacing w:line="240" w:lineRule="auto"/>
              <w:ind w:firstLine="0" w:firstLineChars="0"/>
              <w:jc w:val="center"/>
              <w:rPr>
                <w:color w:val="auto"/>
                <w:kern w:val="0"/>
                <w:sz w:val="21"/>
                <w:szCs w:val="21"/>
              </w:rPr>
            </w:pPr>
            <w:r>
              <w:rPr>
                <w:color w:val="auto"/>
                <w:kern w:val="0"/>
                <w:sz w:val="21"/>
                <w:szCs w:val="21"/>
                <w:lang w:val="zh-CN"/>
              </w:rPr>
              <w:t>污水处理站</w:t>
            </w:r>
          </w:p>
        </w:tc>
        <w:tc>
          <w:tcPr>
            <w:tcW w:w="519" w:type="pct"/>
            <w:vAlign w:val="center"/>
          </w:tcPr>
          <w:p w14:paraId="486E3A56">
            <w:pPr>
              <w:spacing w:line="240" w:lineRule="auto"/>
              <w:ind w:firstLine="0" w:firstLineChars="0"/>
              <w:jc w:val="center"/>
              <w:rPr>
                <w:color w:val="auto"/>
                <w:sz w:val="21"/>
                <w:szCs w:val="21"/>
                <w:lang w:val="zh-CN"/>
              </w:rPr>
            </w:pPr>
            <w:r>
              <w:rPr>
                <w:rFonts w:hint="eastAsia"/>
                <w:color w:val="auto"/>
                <w:sz w:val="21"/>
                <w:szCs w:val="21"/>
              </w:rPr>
              <w:t>中</w:t>
            </w:r>
          </w:p>
        </w:tc>
        <w:tc>
          <w:tcPr>
            <w:tcW w:w="543" w:type="pct"/>
            <w:vAlign w:val="center"/>
          </w:tcPr>
          <w:p w14:paraId="3CCFC8D5">
            <w:pPr>
              <w:spacing w:line="240" w:lineRule="auto"/>
              <w:ind w:firstLine="0" w:firstLineChars="0"/>
              <w:jc w:val="center"/>
              <w:rPr>
                <w:color w:val="auto"/>
                <w:sz w:val="21"/>
                <w:szCs w:val="21"/>
                <w:lang w:val="zh-CN"/>
              </w:rPr>
            </w:pPr>
            <w:r>
              <w:rPr>
                <w:rFonts w:hint="eastAsia"/>
                <w:color w:val="auto"/>
                <w:sz w:val="21"/>
                <w:szCs w:val="21"/>
              </w:rPr>
              <w:t>难</w:t>
            </w:r>
          </w:p>
        </w:tc>
        <w:tc>
          <w:tcPr>
            <w:tcW w:w="668" w:type="pct"/>
            <w:vAlign w:val="center"/>
          </w:tcPr>
          <w:p w14:paraId="552555A7">
            <w:pPr>
              <w:spacing w:line="240" w:lineRule="auto"/>
              <w:ind w:firstLine="0" w:firstLineChars="0"/>
              <w:jc w:val="center"/>
              <w:rPr>
                <w:color w:val="auto"/>
                <w:sz w:val="21"/>
                <w:szCs w:val="21"/>
                <w:lang w:val="zh-CN"/>
              </w:rPr>
            </w:pPr>
            <w:r>
              <w:rPr>
                <w:color w:val="auto"/>
                <w:sz w:val="21"/>
                <w:szCs w:val="21"/>
              </w:rPr>
              <w:t>其他类型</w:t>
            </w:r>
          </w:p>
        </w:tc>
        <w:tc>
          <w:tcPr>
            <w:tcW w:w="654" w:type="pct"/>
            <w:vMerge w:val="continue"/>
            <w:vAlign w:val="center"/>
          </w:tcPr>
          <w:p w14:paraId="42FA4872">
            <w:pPr>
              <w:spacing w:line="240" w:lineRule="auto"/>
              <w:ind w:firstLine="0" w:firstLineChars="0"/>
              <w:jc w:val="center"/>
              <w:rPr>
                <w:color w:val="auto"/>
                <w:sz w:val="21"/>
                <w:szCs w:val="21"/>
              </w:rPr>
            </w:pPr>
          </w:p>
        </w:tc>
        <w:tc>
          <w:tcPr>
            <w:tcW w:w="995" w:type="pct"/>
            <w:vMerge w:val="continue"/>
            <w:vAlign w:val="center"/>
          </w:tcPr>
          <w:p w14:paraId="33A5946C">
            <w:pPr>
              <w:spacing w:line="240" w:lineRule="auto"/>
              <w:ind w:firstLine="0" w:firstLineChars="0"/>
              <w:jc w:val="center"/>
              <w:rPr>
                <w:color w:val="auto"/>
                <w:sz w:val="21"/>
                <w:szCs w:val="21"/>
              </w:rPr>
            </w:pPr>
          </w:p>
        </w:tc>
        <w:tc>
          <w:tcPr>
            <w:tcW w:w="660" w:type="pct"/>
            <w:vMerge w:val="continue"/>
            <w:vAlign w:val="center"/>
          </w:tcPr>
          <w:p w14:paraId="55F02642">
            <w:pPr>
              <w:spacing w:line="240" w:lineRule="auto"/>
              <w:ind w:firstLine="0" w:firstLineChars="0"/>
              <w:jc w:val="center"/>
              <w:rPr>
                <w:color w:val="auto"/>
                <w:sz w:val="21"/>
                <w:szCs w:val="21"/>
              </w:rPr>
            </w:pPr>
          </w:p>
        </w:tc>
      </w:tr>
      <w:tr w14:paraId="5C11C5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4343245C">
            <w:pPr>
              <w:spacing w:line="240" w:lineRule="auto"/>
              <w:ind w:firstLine="0" w:firstLineChars="0"/>
              <w:jc w:val="center"/>
              <w:rPr>
                <w:color w:val="auto"/>
                <w:sz w:val="21"/>
                <w:szCs w:val="21"/>
              </w:rPr>
            </w:pPr>
            <w:r>
              <w:rPr>
                <w:rFonts w:hint="eastAsia"/>
                <w:color w:val="auto"/>
                <w:sz w:val="21"/>
                <w:szCs w:val="21"/>
              </w:rPr>
              <w:t>20</w:t>
            </w:r>
          </w:p>
        </w:tc>
        <w:tc>
          <w:tcPr>
            <w:tcW w:w="670" w:type="pct"/>
            <w:vAlign w:val="center"/>
          </w:tcPr>
          <w:p w14:paraId="15645862">
            <w:pPr>
              <w:widowControl/>
              <w:spacing w:line="240" w:lineRule="auto"/>
              <w:ind w:firstLine="0" w:firstLineChars="0"/>
              <w:jc w:val="center"/>
              <w:rPr>
                <w:color w:val="auto"/>
                <w:kern w:val="0"/>
                <w:sz w:val="21"/>
                <w:szCs w:val="21"/>
              </w:rPr>
            </w:pPr>
            <w:r>
              <w:rPr>
                <w:color w:val="auto"/>
                <w:kern w:val="0"/>
                <w:sz w:val="21"/>
                <w:szCs w:val="21"/>
                <w:lang w:val="zh-CN"/>
              </w:rPr>
              <w:t>精制车间</w:t>
            </w:r>
          </w:p>
        </w:tc>
        <w:tc>
          <w:tcPr>
            <w:tcW w:w="519" w:type="pct"/>
            <w:vAlign w:val="center"/>
          </w:tcPr>
          <w:p w14:paraId="324F04C6">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1092BD39">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5FAADE23">
            <w:pPr>
              <w:spacing w:line="240" w:lineRule="auto"/>
              <w:ind w:firstLine="0" w:firstLineChars="0"/>
              <w:jc w:val="center"/>
              <w:rPr>
                <w:color w:val="auto"/>
                <w:sz w:val="21"/>
                <w:szCs w:val="21"/>
              </w:rPr>
            </w:pPr>
            <w:r>
              <w:rPr>
                <w:color w:val="auto"/>
                <w:sz w:val="21"/>
                <w:szCs w:val="21"/>
              </w:rPr>
              <w:t>其他类型</w:t>
            </w:r>
          </w:p>
        </w:tc>
        <w:tc>
          <w:tcPr>
            <w:tcW w:w="654" w:type="pct"/>
            <w:vMerge w:val="continue"/>
            <w:vAlign w:val="center"/>
          </w:tcPr>
          <w:p w14:paraId="001D24BF">
            <w:pPr>
              <w:spacing w:line="240" w:lineRule="auto"/>
              <w:ind w:firstLine="0" w:firstLineChars="0"/>
              <w:jc w:val="center"/>
              <w:rPr>
                <w:color w:val="auto"/>
                <w:sz w:val="21"/>
                <w:szCs w:val="21"/>
              </w:rPr>
            </w:pPr>
          </w:p>
        </w:tc>
        <w:tc>
          <w:tcPr>
            <w:tcW w:w="995" w:type="pct"/>
            <w:vMerge w:val="continue"/>
            <w:vAlign w:val="center"/>
          </w:tcPr>
          <w:p w14:paraId="26E8A8BE">
            <w:pPr>
              <w:spacing w:line="240" w:lineRule="auto"/>
              <w:ind w:firstLine="0" w:firstLineChars="0"/>
              <w:jc w:val="center"/>
              <w:rPr>
                <w:color w:val="auto"/>
                <w:sz w:val="21"/>
                <w:szCs w:val="21"/>
              </w:rPr>
            </w:pPr>
          </w:p>
        </w:tc>
        <w:tc>
          <w:tcPr>
            <w:tcW w:w="660" w:type="pct"/>
            <w:vMerge w:val="continue"/>
            <w:vAlign w:val="center"/>
          </w:tcPr>
          <w:p w14:paraId="27E31B26">
            <w:pPr>
              <w:spacing w:line="240" w:lineRule="auto"/>
              <w:ind w:firstLine="0" w:firstLineChars="0"/>
              <w:jc w:val="center"/>
              <w:rPr>
                <w:color w:val="auto"/>
                <w:sz w:val="21"/>
                <w:szCs w:val="21"/>
              </w:rPr>
            </w:pPr>
          </w:p>
        </w:tc>
      </w:tr>
      <w:tr w14:paraId="59DCAC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00C53B79">
            <w:pPr>
              <w:spacing w:line="240" w:lineRule="auto"/>
              <w:ind w:firstLine="0" w:firstLineChars="0"/>
              <w:jc w:val="center"/>
              <w:rPr>
                <w:color w:val="auto"/>
                <w:sz w:val="21"/>
                <w:szCs w:val="21"/>
              </w:rPr>
            </w:pPr>
            <w:r>
              <w:rPr>
                <w:rFonts w:hint="eastAsia"/>
                <w:color w:val="auto"/>
                <w:sz w:val="21"/>
                <w:szCs w:val="21"/>
              </w:rPr>
              <w:t>23</w:t>
            </w:r>
          </w:p>
        </w:tc>
        <w:tc>
          <w:tcPr>
            <w:tcW w:w="670" w:type="pct"/>
            <w:vAlign w:val="center"/>
          </w:tcPr>
          <w:p w14:paraId="619D4D2C">
            <w:pPr>
              <w:widowControl/>
              <w:spacing w:line="240" w:lineRule="auto"/>
              <w:ind w:firstLine="0" w:firstLineChars="0"/>
              <w:jc w:val="center"/>
              <w:rPr>
                <w:color w:val="auto"/>
                <w:kern w:val="0"/>
                <w:sz w:val="21"/>
                <w:szCs w:val="21"/>
              </w:rPr>
            </w:pPr>
            <w:r>
              <w:rPr>
                <w:color w:val="auto"/>
                <w:kern w:val="0"/>
                <w:sz w:val="21"/>
                <w:szCs w:val="21"/>
                <w:lang w:val="zh-CN"/>
              </w:rPr>
              <w:t>合成车间</w:t>
            </w:r>
          </w:p>
        </w:tc>
        <w:tc>
          <w:tcPr>
            <w:tcW w:w="519" w:type="pct"/>
            <w:vAlign w:val="center"/>
          </w:tcPr>
          <w:p w14:paraId="325FA6EB">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1A12FB3C">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1929B994">
            <w:pPr>
              <w:spacing w:line="240" w:lineRule="auto"/>
              <w:ind w:firstLine="0" w:firstLineChars="0"/>
              <w:jc w:val="center"/>
              <w:rPr>
                <w:color w:val="auto"/>
                <w:sz w:val="21"/>
                <w:szCs w:val="21"/>
              </w:rPr>
            </w:pPr>
            <w:r>
              <w:rPr>
                <w:color w:val="auto"/>
                <w:sz w:val="21"/>
                <w:szCs w:val="21"/>
              </w:rPr>
              <w:t>其他类型</w:t>
            </w:r>
          </w:p>
        </w:tc>
        <w:tc>
          <w:tcPr>
            <w:tcW w:w="654" w:type="pct"/>
            <w:vMerge w:val="continue"/>
            <w:vAlign w:val="center"/>
          </w:tcPr>
          <w:p w14:paraId="2A272001">
            <w:pPr>
              <w:spacing w:line="240" w:lineRule="auto"/>
              <w:ind w:firstLine="0" w:firstLineChars="0"/>
              <w:jc w:val="center"/>
              <w:rPr>
                <w:color w:val="auto"/>
                <w:sz w:val="21"/>
                <w:szCs w:val="21"/>
              </w:rPr>
            </w:pPr>
          </w:p>
        </w:tc>
        <w:tc>
          <w:tcPr>
            <w:tcW w:w="995" w:type="pct"/>
            <w:vMerge w:val="continue"/>
            <w:vAlign w:val="center"/>
          </w:tcPr>
          <w:p w14:paraId="04B54320">
            <w:pPr>
              <w:spacing w:line="240" w:lineRule="auto"/>
              <w:ind w:firstLine="0" w:firstLineChars="0"/>
              <w:jc w:val="center"/>
              <w:rPr>
                <w:color w:val="auto"/>
                <w:sz w:val="21"/>
                <w:szCs w:val="21"/>
              </w:rPr>
            </w:pPr>
          </w:p>
        </w:tc>
        <w:tc>
          <w:tcPr>
            <w:tcW w:w="660" w:type="pct"/>
            <w:vMerge w:val="continue"/>
            <w:vAlign w:val="center"/>
          </w:tcPr>
          <w:p w14:paraId="04F20A79">
            <w:pPr>
              <w:spacing w:line="240" w:lineRule="auto"/>
              <w:ind w:firstLine="0" w:firstLineChars="0"/>
              <w:jc w:val="center"/>
              <w:rPr>
                <w:color w:val="auto"/>
                <w:sz w:val="21"/>
                <w:szCs w:val="21"/>
              </w:rPr>
            </w:pPr>
          </w:p>
        </w:tc>
      </w:tr>
      <w:tr w14:paraId="7B6492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1B3D98C1">
            <w:pPr>
              <w:spacing w:line="240" w:lineRule="auto"/>
              <w:ind w:firstLine="0" w:firstLineChars="0"/>
              <w:jc w:val="center"/>
              <w:rPr>
                <w:color w:val="auto"/>
                <w:sz w:val="21"/>
                <w:szCs w:val="21"/>
              </w:rPr>
            </w:pPr>
            <w:r>
              <w:rPr>
                <w:rFonts w:hint="eastAsia"/>
                <w:color w:val="auto"/>
                <w:sz w:val="21"/>
                <w:szCs w:val="21"/>
              </w:rPr>
              <w:t>24</w:t>
            </w:r>
          </w:p>
        </w:tc>
        <w:tc>
          <w:tcPr>
            <w:tcW w:w="670" w:type="pct"/>
            <w:vAlign w:val="center"/>
          </w:tcPr>
          <w:p w14:paraId="53E045A0">
            <w:pPr>
              <w:widowControl/>
              <w:spacing w:line="240" w:lineRule="auto"/>
              <w:ind w:firstLine="0" w:firstLineChars="0"/>
              <w:jc w:val="center"/>
              <w:rPr>
                <w:color w:val="auto"/>
                <w:kern w:val="0"/>
                <w:sz w:val="21"/>
                <w:szCs w:val="21"/>
              </w:rPr>
            </w:pPr>
            <w:r>
              <w:rPr>
                <w:color w:val="auto"/>
                <w:kern w:val="0"/>
                <w:sz w:val="21"/>
                <w:szCs w:val="21"/>
                <w:lang w:val="zh-CN"/>
              </w:rPr>
              <w:t>制剂一体化车间</w:t>
            </w:r>
          </w:p>
        </w:tc>
        <w:tc>
          <w:tcPr>
            <w:tcW w:w="519" w:type="pct"/>
            <w:vAlign w:val="center"/>
          </w:tcPr>
          <w:p w14:paraId="4704952F">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1FCA69B4">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70D7890A">
            <w:pPr>
              <w:spacing w:line="240" w:lineRule="auto"/>
              <w:ind w:firstLine="0" w:firstLineChars="0"/>
              <w:jc w:val="center"/>
              <w:rPr>
                <w:color w:val="auto"/>
                <w:sz w:val="21"/>
                <w:szCs w:val="21"/>
              </w:rPr>
            </w:pPr>
            <w:r>
              <w:rPr>
                <w:color w:val="auto"/>
                <w:sz w:val="21"/>
                <w:szCs w:val="21"/>
              </w:rPr>
              <w:t>其他类型</w:t>
            </w:r>
          </w:p>
        </w:tc>
        <w:tc>
          <w:tcPr>
            <w:tcW w:w="654" w:type="pct"/>
            <w:vMerge w:val="continue"/>
            <w:vAlign w:val="center"/>
          </w:tcPr>
          <w:p w14:paraId="7BB1B44A">
            <w:pPr>
              <w:spacing w:line="240" w:lineRule="auto"/>
              <w:ind w:firstLine="0" w:firstLineChars="0"/>
              <w:jc w:val="center"/>
              <w:rPr>
                <w:color w:val="auto"/>
                <w:sz w:val="21"/>
                <w:szCs w:val="21"/>
              </w:rPr>
            </w:pPr>
          </w:p>
        </w:tc>
        <w:tc>
          <w:tcPr>
            <w:tcW w:w="995" w:type="pct"/>
            <w:vMerge w:val="continue"/>
            <w:vAlign w:val="center"/>
          </w:tcPr>
          <w:p w14:paraId="45C8776E">
            <w:pPr>
              <w:spacing w:line="240" w:lineRule="auto"/>
              <w:ind w:firstLine="0" w:firstLineChars="0"/>
              <w:jc w:val="center"/>
              <w:rPr>
                <w:color w:val="auto"/>
                <w:sz w:val="21"/>
                <w:szCs w:val="21"/>
              </w:rPr>
            </w:pPr>
          </w:p>
        </w:tc>
        <w:tc>
          <w:tcPr>
            <w:tcW w:w="660" w:type="pct"/>
            <w:vMerge w:val="continue"/>
            <w:vAlign w:val="center"/>
          </w:tcPr>
          <w:p w14:paraId="4385AABA">
            <w:pPr>
              <w:spacing w:line="240" w:lineRule="auto"/>
              <w:ind w:firstLine="0" w:firstLineChars="0"/>
              <w:jc w:val="center"/>
              <w:rPr>
                <w:color w:val="auto"/>
                <w:sz w:val="21"/>
                <w:szCs w:val="21"/>
              </w:rPr>
            </w:pPr>
          </w:p>
        </w:tc>
      </w:tr>
      <w:tr w14:paraId="77BA65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3" w:hRule="atLeast"/>
          <w:jc w:val="center"/>
        </w:trPr>
        <w:tc>
          <w:tcPr>
            <w:tcW w:w="289" w:type="pct"/>
            <w:vAlign w:val="center"/>
          </w:tcPr>
          <w:p w14:paraId="3B30D119">
            <w:pPr>
              <w:spacing w:line="240" w:lineRule="auto"/>
              <w:ind w:firstLine="0" w:firstLineChars="0"/>
              <w:jc w:val="center"/>
              <w:rPr>
                <w:color w:val="auto"/>
                <w:sz w:val="21"/>
                <w:szCs w:val="21"/>
              </w:rPr>
            </w:pPr>
            <w:r>
              <w:rPr>
                <w:rFonts w:hint="eastAsia"/>
                <w:color w:val="auto"/>
                <w:sz w:val="21"/>
                <w:szCs w:val="21"/>
              </w:rPr>
              <w:t>25</w:t>
            </w:r>
          </w:p>
        </w:tc>
        <w:tc>
          <w:tcPr>
            <w:tcW w:w="670" w:type="pct"/>
            <w:vAlign w:val="center"/>
          </w:tcPr>
          <w:p w14:paraId="2601643D">
            <w:pPr>
              <w:widowControl/>
              <w:spacing w:line="240" w:lineRule="auto"/>
              <w:ind w:firstLine="0" w:firstLineChars="0"/>
              <w:jc w:val="center"/>
              <w:rPr>
                <w:color w:val="auto"/>
                <w:kern w:val="0"/>
                <w:sz w:val="21"/>
                <w:szCs w:val="21"/>
              </w:rPr>
            </w:pPr>
            <w:r>
              <w:rPr>
                <w:color w:val="auto"/>
                <w:kern w:val="0"/>
                <w:sz w:val="21"/>
                <w:szCs w:val="21"/>
                <w:lang w:val="zh-CN"/>
              </w:rPr>
              <w:t>研发车间</w:t>
            </w:r>
          </w:p>
        </w:tc>
        <w:tc>
          <w:tcPr>
            <w:tcW w:w="519" w:type="pct"/>
            <w:vAlign w:val="center"/>
          </w:tcPr>
          <w:p w14:paraId="03B2E8BF">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74B6A662">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2F4EAC4F">
            <w:pPr>
              <w:spacing w:line="240" w:lineRule="auto"/>
              <w:ind w:firstLine="0" w:firstLineChars="0"/>
              <w:jc w:val="center"/>
              <w:rPr>
                <w:color w:val="auto"/>
                <w:sz w:val="21"/>
                <w:szCs w:val="21"/>
              </w:rPr>
            </w:pPr>
            <w:r>
              <w:rPr>
                <w:color w:val="auto"/>
                <w:sz w:val="21"/>
                <w:szCs w:val="21"/>
              </w:rPr>
              <w:t>其他类型</w:t>
            </w:r>
          </w:p>
        </w:tc>
        <w:tc>
          <w:tcPr>
            <w:tcW w:w="654" w:type="pct"/>
            <w:vMerge w:val="continue"/>
            <w:vAlign w:val="center"/>
          </w:tcPr>
          <w:p w14:paraId="057256B6">
            <w:pPr>
              <w:spacing w:line="240" w:lineRule="auto"/>
              <w:ind w:firstLine="0" w:firstLineChars="0"/>
              <w:jc w:val="center"/>
              <w:rPr>
                <w:color w:val="auto"/>
                <w:sz w:val="21"/>
                <w:szCs w:val="21"/>
              </w:rPr>
            </w:pPr>
          </w:p>
        </w:tc>
        <w:tc>
          <w:tcPr>
            <w:tcW w:w="995" w:type="pct"/>
            <w:vMerge w:val="continue"/>
            <w:vAlign w:val="center"/>
          </w:tcPr>
          <w:p w14:paraId="06A43E34">
            <w:pPr>
              <w:spacing w:line="240" w:lineRule="auto"/>
              <w:ind w:firstLine="0" w:firstLineChars="0"/>
              <w:jc w:val="center"/>
              <w:rPr>
                <w:color w:val="auto"/>
                <w:sz w:val="21"/>
                <w:szCs w:val="21"/>
              </w:rPr>
            </w:pPr>
          </w:p>
        </w:tc>
        <w:tc>
          <w:tcPr>
            <w:tcW w:w="660" w:type="pct"/>
            <w:vMerge w:val="continue"/>
            <w:vAlign w:val="center"/>
          </w:tcPr>
          <w:p w14:paraId="43D2B17D">
            <w:pPr>
              <w:spacing w:line="240" w:lineRule="auto"/>
              <w:ind w:firstLine="0" w:firstLineChars="0"/>
              <w:jc w:val="center"/>
              <w:rPr>
                <w:color w:val="auto"/>
                <w:sz w:val="21"/>
                <w:szCs w:val="21"/>
              </w:rPr>
            </w:pPr>
          </w:p>
        </w:tc>
      </w:tr>
      <w:tr w14:paraId="6DEE47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679C60D9">
            <w:pPr>
              <w:spacing w:line="240" w:lineRule="auto"/>
              <w:ind w:firstLine="0" w:firstLineChars="0"/>
              <w:jc w:val="center"/>
              <w:rPr>
                <w:color w:val="auto"/>
                <w:sz w:val="21"/>
                <w:szCs w:val="21"/>
              </w:rPr>
            </w:pPr>
            <w:r>
              <w:rPr>
                <w:rFonts w:hint="eastAsia"/>
                <w:color w:val="auto"/>
                <w:sz w:val="21"/>
                <w:szCs w:val="21"/>
              </w:rPr>
              <w:t>26</w:t>
            </w:r>
          </w:p>
        </w:tc>
        <w:tc>
          <w:tcPr>
            <w:tcW w:w="670" w:type="pct"/>
            <w:vAlign w:val="center"/>
          </w:tcPr>
          <w:p w14:paraId="74026518">
            <w:pPr>
              <w:widowControl/>
              <w:spacing w:line="240" w:lineRule="auto"/>
              <w:ind w:firstLine="0" w:firstLineChars="0"/>
              <w:jc w:val="center"/>
              <w:rPr>
                <w:color w:val="auto"/>
                <w:kern w:val="0"/>
                <w:sz w:val="21"/>
                <w:szCs w:val="21"/>
              </w:rPr>
            </w:pPr>
            <w:r>
              <w:rPr>
                <w:color w:val="auto"/>
                <w:kern w:val="0"/>
                <w:sz w:val="21"/>
                <w:szCs w:val="21"/>
                <w:lang w:val="zh-CN"/>
              </w:rPr>
              <w:t>1#车间</w:t>
            </w:r>
          </w:p>
        </w:tc>
        <w:tc>
          <w:tcPr>
            <w:tcW w:w="519" w:type="pct"/>
            <w:vAlign w:val="center"/>
          </w:tcPr>
          <w:p w14:paraId="7A70FA6E">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0857B395">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53E4AAF7">
            <w:pPr>
              <w:spacing w:line="240" w:lineRule="auto"/>
              <w:ind w:firstLine="0" w:firstLineChars="0"/>
              <w:jc w:val="center"/>
              <w:rPr>
                <w:color w:val="auto"/>
                <w:sz w:val="21"/>
                <w:szCs w:val="21"/>
                <w:lang w:val="zh-CN"/>
              </w:rPr>
            </w:pPr>
            <w:r>
              <w:rPr>
                <w:color w:val="auto"/>
                <w:sz w:val="21"/>
                <w:szCs w:val="21"/>
              </w:rPr>
              <w:t>其他类型</w:t>
            </w:r>
          </w:p>
        </w:tc>
        <w:tc>
          <w:tcPr>
            <w:tcW w:w="654" w:type="pct"/>
            <w:vMerge w:val="continue"/>
            <w:vAlign w:val="center"/>
          </w:tcPr>
          <w:p w14:paraId="5A82F6F4">
            <w:pPr>
              <w:spacing w:line="240" w:lineRule="auto"/>
              <w:ind w:firstLine="0" w:firstLineChars="0"/>
              <w:jc w:val="center"/>
              <w:rPr>
                <w:color w:val="auto"/>
                <w:sz w:val="21"/>
                <w:szCs w:val="21"/>
              </w:rPr>
            </w:pPr>
          </w:p>
        </w:tc>
        <w:tc>
          <w:tcPr>
            <w:tcW w:w="995" w:type="pct"/>
            <w:vMerge w:val="continue"/>
            <w:vAlign w:val="center"/>
          </w:tcPr>
          <w:p w14:paraId="6681612C">
            <w:pPr>
              <w:spacing w:line="240" w:lineRule="auto"/>
              <w:ind w:firstLine="0" w:firstLineChars="0"/>
              <w:jc w:val="center"/>
              <w:rPr>
                <w:color w:val="auto"/>
                <w:sz w:val="21"/>
                <w:szCs w:val="21"/>
              </w:rPr>
            </w:pPr>
          </w:p>
        </w:tc>
        <w:tc>
          <w:tcPr>
            <w:tcW w:w="660" w:type="pct"/>
            <w:vMerge w:val="continue"/>
            <w:vAlign w:val="center"/>
          </w:tcPr>
          <w:p w14:paraId="417B589B">
            <w:pPr>
              <w:spacing w:line="240" w:lineRule="auto"/>
              <w:ind w:firstLine="0" w:firstLineChars="0"/>
              <w:jc w:val="center"/>
              <w:rPr>
                <w:color w:val="auto"/>
                <w:sz w:val="21"/>
                <w:szCs w:val="21"/>
              </w:rPr>
            </w:pPr>
          </w:p>
        </w:tc>
      </w:tr>
      <w:tr w14:paraId="674C6E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4F2A0CB5">
            <w:pPr>
              <w:spacing w:line="240" w:lineRule="auto"/>
              <w:ind w:firstLine="0" w:firstLineChars="0"/>
              <w:jc w:val="center"/>
              <w:rPr>
                <w:color w:val="auto"/>
                <w:sz w:val="21"/>
                <w:szCs w:val="21"/>
              </w:rPr>
            </w:pPr>
            <w:r>
              <w:rPr>
                <w:rFonts w:hint="eastAsia"/>
                <w:color w:val="auto"/>
                <w:sz w:val="21"/>
                <w:szCs w:val="21"/>
              </w:rPr>
              <w:t>27</w:t>
            </w:r>
          </w:p>
        </w:tc>
        <w:tc>
          <w:tcPr>
            <w:tcW w:w="670" w:type="pct"/>
            <w:vAlign w:val="center"/>
          </w:tcPr>
          <w:p w14:paraId="29033B83">
            <w:pPr>
              <w:widowControl/>
              <w:spacing w:line="240" w:lineRule="auto"/>
              <w:ind w:firstLine="0" w:firstLineChars="0"/>
              <w:jc w:val="center"/>
              <w:rPr>
                <w:color w:val="auto"/>
                <w:kern w:val="0"/>
                <w:sz w:val="21"/>
                <w:szCs w:val="21"/>
              </w:rPr>
            </w:pPr>
            <w:r>
              <w:rPr>
                <w:color w:val="auto"/>
                <w:kern w:val="0"/>
                <w:sz w:val="21"/>
                <w:szCs w:val="21"/>
                <w:lang w:val="zh-CN"/>
              </w:rPr>
              <w:t>2#亚铵车间</w:t>
            </w:r>
          </w:p>
        </w:tc>
        <w:tc>
          <w:tcPr>
            <w:tcW w:w="519" w:type="pct"/>
            <w:vAlign w:val="center"/>
          </w:tcPr>
          <w:p w14:paraId="6765B8B8">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15AC21AA">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4BCEC08D">
            <w:pPr>
              <w:spacing w:line="240" w:lineRule="auto"/>
              <w:ind w:firstLine="0" w:firstLineChars="0"/>
              <w:jc w:val="center"/>
              <w:rPr>
                <w:color w:val="auto"/>
                <w:sz w:val="21"/>
                <w:szCs w:val="21"/>
                <w:lang w:val="zh-CN"/>
              </w:rPr>
            </w:pPr>
            <w:r>
              <w:rPr>
                <w:color w:val="auto"/>
                <w:sz w:val="21"/>
                <w:szCs w:val="21"/>
              </w:rPr>
              <w:t>其他类型</w:t>
            </w:r>
          </w:p>
        </w:tc>
        <w:tc>
          <w:tcPr>
            <w:tcW w:w="654" w:type="pct"/>
            <w:vMerge w:val="continue"/>
            <w:vAlign w:val="center"/>
          </w:tcPr>
          <w:p w14:paraId="057F41BE">
            <w:pPr>
              <w:spacing w:line="240" w:lineRule="auto"/>
              <w:ind w:firstLine="0" w:firstLineChars="0"/>
              <w:jc w:val="center"/>
              <w:rPr>
                <w:color w:val="auto"/>
                <w:sz w:val="21"/>
                <w:szCs w:val="21"/>
              </w:rPr>
            </w:pPr>
          </w:p>
        </w:tc>
        <w:tc>
          <w:tcPr>
            <w:tcW w:w="995" w:type="pct"/>
            <w:vMerge w:val="continue"/>
            <w:vAlign w:val="center"/>
          </w:tcPr>
          <w:p w14:paraId="3DB32C30">
            <w:pPr>
              <w:spacing w:line="240" w:lineRule="auto"/>
              <w:ind w:firstLine="0" w:firstLineChars="0"/>
              <w:jc w:val="center"/>
              <w:rPr>
                <w:color w:val="auto"/>
                <w:sz w:val="21"/>
                <w:szCs w:val="21"/>
              </w:rPr>
            </w:pPr>
          </w:p>
        </w:tc>
        <w:tc>
          <w:tcPr>
            <w:tcW w:w="660" w:type="pct"/>
            <w:vMerge w:val="continue"/>
            <w:vAlign w:val="center"/>
          </w:tcPr>
          <w:p w14:paraId="388BA831">
            <w:pPr>
              <w:spacing w:line="240" w:lineRule="auto"/>
              <w:ind w:firstLine="0" w:firstLineChars="0"/>
              <w:jc w:val="center"/>
              <w:rPr>
                <w:color w:val="auto"/>
                <w:sz w:val="21"/>
                <w:szCs w:val="21"/>
              </w:rPr>
            </w:pPr>
          </w:p>
        </w:tc>
      </w:tr>
      <w:tr w14:paraId="13DC75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2AE6E83D">
            <w:pPr>
              <w:spacing w:line="240" w:lineRule="auto"/>
              <w:ind w:firstLine="0" w:firstLineChars="0"/>
              <w:jc w:val="center"/>
              <w:rPr>
                <w:color w:val="auto"/>
                <w:sz w:val="21"/>
                <w:szCs w:val="21"/>
              </w:rPr>
            </w:pPr>
            <w:r>
              <w:rPr>
                <w:rFonts w:hint="eastAsia"/>
                <w:color w:val="auto"/>
                <w:sz w:val="21"/>
                <w:szCs w:val="21"/>
              </w:rPr>
              <w:t>28</w:t>
            </w:r>
          </w:p>
        </w:tc>
        <w:tc>
          <w:tcPr>
            <w:tcW w:w="670" w:type="pct"/>
            <w:vAlign w:val="center"/>
          </w:tcPr>
          <w:p w14:paraId="5A6CBBEC">
            <w:pPr>
              <w:widowControl/>
              <w:spacing w:line="240" w:lineRule="auto"/>
              <w:ind w:firstLine="0" w:firstLineChars="0"/>
              <w:jc w:val="center"/>
              <w:rPr>
                <w:color w:val="auto"/>
                <w:kern w:val="0"/>
                <w:sz w:val="21"/>
                <w:szCs w:val="21"/>
              </w:rPr>
            </w:pPr>
            <w:r>
              <w:rPr>
                <w:color w:val="auto"/>
                <w:kern w:val="0"/>
                <w:sz w:val="21"/>
                <w:szCs w:val="21"/>
                <w:lang w:val="zh-CN"/>
              </w:rPr>
              <w:t>3#车间</w:t>
            </w:r>
          </w:p>
        </w:tc>
        <w:tc>
          <w:tcPr>
            <w:tcW w:w="519" w:type="pct"/>
            <w:vAlign w:val="center"/>
          </w:tcPr>
          <w:p w14:paraId="3E74676F">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44C84104">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1CD021DD">
            <w:pPr>
              <w:spacing w:line="240" w:lineRule="auto"/>
              <w:ind w:firstLine="0" w:firstLineChars="0"/>
              <w:jc w:val="center"/>
              <w:rPr>
                <w:color w:val="auto"/>
                <w:sz w:val="21"/>
                <w:szCs w:val="21"/>
                <w:lang w:val="zh-CN"/>
              </w:rPr>
            </w:pPr>
            <w:r>
              <w:rPr>
                <w:color w:val="auto"/>
                <w:sz w:val="21"/>
                <w:szCs w:val="21"/>
              </w:rPr>
              <w:t>其他类型</w:t>
            </w:r>
          </w:p>
        </w:tc>
        <w:tc>
          <w:tcPr>
            <w:tcW w:w="654" w:type="pct"/>
            <w:vMerge w:val="continue"/>
            <w:vAlign w:val="center"/>
          </w:tcPr>
          <w:p w14:paraId="7A9FB909">
            <w:pPr>
              <w:spacing w:line="240" w:lineRule="auto"/>
              <w:ind w:firstLine="0" w:firstLineChars="0"/>
              <w:jc w:val="center"/>
              <w:rPr>
                <w:color w:val="auto"/>
                <w:sz w:val="21"/>
                <w:szCs w:val="21"/>
              </w:rPr>
            </w:pPr>
          </w:p>
        </w:tc>
        <w:tc>
          <w:tcPr>
            <w:tcW w:w="995" w:type="pct"/>
            <w:vMerge w:val="continue"/>
            <w:vAlign w:val="center"/>
          </w:tcPr>
          <w:p w14:paraId="62F3E4FA">
            <w:pPr>
              <w:spacing w:line="240" w:lineRule="auto"/>
              <w:ind w:firstLine="0" w:firstLineChars="0"/>
              <w:jc w:val="center"/>
              <w:rPr>
                <w:color w:val="auto"/>
                <w:sz w:val="21"/>
                <w:szCs w:val="21"/>
              </w:rPr>
            </w:pPr>
          </w:p>
        </w:tc>
        <w:tc>
          <w:tcPr>
            <w:tcW w:w="660" w:type="pct"/>
            <w:vMerge w:val="continue"/>
            <w:vAlign w:val="center"/>
          </w:tcPr>
          <w:p w14:paraId="5EF01B23">
            <w:pPr>
              <w:spacing w:line="240" w:lineRule="auto"/>
              <w:ind w:firstLine="0" w:firstLineChars="0"/>
              <w:jc w:val="center"/>
              <w:rPr>
                <w:color w:val="auto"/>
                <w:sz w:val="21"/>
                <w:szCs w:val="21"/>
              </w:rPr>
            </w:pPr>
          </w:p>
        </w:tc>
      </w:tr>
      <w:tr w14:paraId="02327C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36C303AA">
            <w:pPr>
              <w:spacing w:line="240" w:lineRule="auto"/>
              <w:ind w:firstLine="0" w:firstLineChars="0"/>
              <w:jc w:val="center"/>
              <w:rPr>
                <w:color w:val="auto"/>
                <w:sz w:val="21"/>
                <w:szCs w:val="21"/>
              </w:rPr>
            </w:pPr>
            <w:r>
              <w:rPr>
                <w:rFonts w:hint="eastAsia"/>
                <w:color w:val="auto"/>
                <w:sz w:val="21"/>
                <w:szCs w:val="21"/>
              </w:rPr>
              <w:t>29</w:t>
            </w:r>
          </w:p>
        </w:tc>
        <w:tc>
          <w:tcPr>
            <w:tcW w:w="670" w:type="pct"/>
            <w:vAlign w:val="center"/>
          </w:tcPr>
          <w:p w14:paraId="392A4692">
            <w:pPr>
              <w:widowControl/>
              <w:spacing w:line="240" w:lineRule="auto"/>
              <w:ind w:firstLine="0" w:firstLineChars="0"/>
              <w:jc w:val="center"/>
              <w:rPr>
                <w:color w:val="auto"/>
                <w:kern w:val="0"/>
                <w:sz w:val="21"/>
                <w:szCs w:val="21"/>
              </w:rPr>
            </w:pPr>
            <w:r>
              <w:rPr>
                <w:color w:val="auto"/>
                <w:kern w:val="0"/>
                <w:sz w:val="21"/>
                <w:szCs w:val="21"/>
                <w:lang w:val="zh-CN"/>
              </w:rPr>
              <w:t>甲类车间</w:t>
            </w:r>
          </w:p>
        </w:tc>
        <w:tc>
          <w:tcPr>
            <w:tcW w:w="519" w:type="pct"/>
            <w:vAlign w:val="center"/>
          </w:tcPr>
          <w:p w14:paraId="50158A72">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08FCEDC3">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035C76A7">
            <w:pPr>
              <w:spacing w:line="240" w:lineRule="auto"/>
              <w:ind w:firstLine="0" w:firstLineChars="0"/>
              <w:jc w:val="center"/>
              <w:rPr>
                <w:color w:val="auto"/>
                <w:sz w:val="21"/>
                <w:szCs w:val="21"/>
                <w:lang w:val="zh-CN"/>
              </w:rPr>
            </w:pPr>
            <w:r>
              <w:rPr>
                <w:color w:val="auto"/>
                <w:sz w:val="21"/>
                <w:szCs w:val="21"/>
              </w:rPr>
              <w:t>其他类型</w:t>
            </w:r>
          </w:p>
        </w:tc>
        <w:tc>
          <w:tcPr>
            <w:tcW w:w="654" w:type="pct"/>
            <w:vMerge w:val="continue"/>
            <w:vAlign w:val="center"/>
          </w:tcPr>
          <w:p w14:paraId="23C4974E">
            <w:pPr>
              <w:spacing w:line="240" w:lineRule="auto"/>
              <w:ind w:firstLine="0" w:firstLineChars="0"/>
              <w:jc w:val="center"/>
              <w:rPr>
                <w:color w:val="auto"/>
                <w:sz w:val="21"/>
                <w:szCs w:val="21"/>
              </w:rPr>
            </w:pPr>
          </w:p>
        </w:tc>
        <w:tc>
          <w:tcPr>
            <w:tcW w:w="995" w:type="pct"/>
            <w:vMerge w:val="continue"/>
            <w:vAlign w:val="center"/>
          </w:tcPr>
          <w:p w14:paraId="3CB3FB4C">
            <w:pPr>
              <w:spacing w:line="240" w:lineRule="auto"/>
              <w:ind w:firstLine="0" w:firstLineChars="0"/>
              <w:jc w:val="center"/>
              <w:rPr>
                <w:color w:val="auto"/>
                <w:sz w:val="21"/>
                <w:szCs w:val="21"/>
              </w:rPr>
            </w:pPr>
          </w:p>
        </w:tc>
        <w:tc>
          <w:tcPr>
            <w:tcW w:w="660" w:type="pct"/>
            <w:vMerge w:val="continue"/>
            <w:vAlign w:val="center"/>
          </w:tcPr>
          <w:p w14:paraId="5BE40E12">
            <w:pPr>
              <w:spacing w:line="240" w:lineRule="auto"/>
              <w:ind w:firstLine="0" w:firstLineChars="0"/>
              <w:jc w:val="center"/>
              <w:rPr>
                <w:color w:val="auto"/>
                <w:sz w:val="21"/>
                <w:szCs w:val="21"/>
              </w:rPr>
            </w:pPr>
          </w:p>
        </w:tc>
      </w:tr>
      <w:tr w14:paraId="726BA5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2BFC70DB">
            <w:pPr>
              <w:spacing w:line="240" w:lineRule="auto"/>
              <w:ind w:firstLine="0" w:firstLineChars="0"/>
              <w:jc w:val="center"/>
              <w:rPr>
                <w:color w:val="auto"/>
                <w:sz w:val="21"/>
                <w:szCs w:val="21"/>
              </w:rPr>
            </w:pPr>
            <w:r>
              <w:rPr>
                <w:rFonts w:hint="eastAsia"/>
                <w:color w:val="auto"/>
                <w:sz w:val="21"/>
                <w:szCs w:val="21"/>
              </w:rPr>
              <w:t>30</w:t>
            </w:r>
          </w:p>
        </w:tc>
        <w:tc>
          <w:tcPr>
            <w:tcW w:w="670" w:type="pct"/>
            <w:vAlign w:val="center"/>
          </w:tcPr>
          <w:p w14:paraId="0A3D4C1E">
            <w:pPr>
              <w:widowControl/>
              <w:spacing w:line="240" w:lineRule="auto"/>
              <w:ind w:firstLine="0" w:firstLineChars="0"/>
              <w:jc w:val="center"/>
              <w:rPr>
                <w:color w:val="auto"/>
                <w:kern w:val="0"/>
                <w:sz w:val="21"/>
                <w:szCs w:val="21"/>
              </w:rPr>
            </w:pPr>
            <w:r>
              <w:rPr>
                <w:color w:val="auto"/>
                <w:kern w:val="0"/>
                <w:sz w:val="21"/>
                <w:szCs w:val="21"/>
                <w:lang w:val="zh-CN"/>
              </w:rPr>
              <w:t>苯肼/环保车间一</w:t>
            </w:r>
          </w:p>
        </w:tc>
        <w:tc>
          <w:tcPr>
            <w:tcW w:w="519" w:type="pct"/>
            <w:vAlign w:val="center"/>
          </w:tcPr>
          <w:p w14:paraId="3B7A0ECA">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3C2489D7">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1AABBF1E">
            <w:pPr>
              <w:spacing w:line="240" w:lineRule="auto"/>
              <w:ind w:firstLine="0" w:firstLineChars="0"/>
              <w:jc w:val="center"/>
              <w:rPr>
                <w:color w:val="auto"/>
                <w:sz w:val="21"/>
                <w:szCs w:val="21"/>
              </w:rPr>
            </w:pPr>
            <w:r>
              <w:rPr>
                <w:color w:val="auto"/>
                <w:sz w:val="21"/>
                <w:szCs w:val="21"/>
              </w:rPr>
              <w:t>其他类型</w:t>
            </w:r>
          </w:p>
        </w:tc>
        <w:tc>
          <w:tcPr>
            <w:tcW w:w="654" w:type="pct"/>
            <w:vMerge w:val="continue"/>
            <w:vAlign w:val="center"/>
          </w:tcPr>
          <w:p w14:paraId="1ABD1189">
            <w:pPr>
              <w:spacing w:line="240" w:lineRule="auto"/>
              <w:ind w:firstLine="0" w:firstLineChars="0"/>
              <w:jc w:val="center"/>
              <w:rPr>
                <w:color w:val="auto"/>
                <w:sz w:val="21"/>
                <w:szCs w:val="21"/>
              </w:rPr>
            </w:pPr>
          </w:p>
        </w:tc>
        <w:tc>
          <w:tcPr>
            <w:tcW w:w="995" w:type="pct"/>
            <w:vMerge w:val="continue"/>
            <w:vAlign w:val="center"/>
          </w:tcPr>
          <w:p w14:paraId="27D6FD52">
            <w:pPr>
              <w:spacing w:line="240" w:lineRule="auto"/>
              <w:ind w:firstLine="0" w:firstLineChars="0"/>
              <w:jc w:val="center"/>
              <w:rPr>
                <w:color w:val="auto"/>
                <w:sz w:val="21"/>
                <w:szCs w:val="21"/>
              </w:rPr>
            </w:pPr>
          </w:p>
        </w:tc>
        <w:tc>
          <w:tcPr>
            <w:tcW w:w="660" w:type="pct"/>
            <w:vMerge w:val="continue"/>
            <w:vAlign w:val="center"/>
          </w:tcPr>
          <w:p w14:paraId="01C54890">
            <w:pPr>
              <w:spacing w:line="240" w:lineRule="auto"/>
              <w:ind w:firstLine="0" w:firstLineChars="0"/>
              <w:jc w:val="center"/>
              <w:rPr>
                <w:color w:val="auto"/>
                <w:sz w:val="21"/>
                <w:szCs w:val="21"/>
              </w:rPr>
            </w:pPr>
          </w:p>
        </w:tc>
      </w:tr>
      <w:tr w14:paraId="40452F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29E80291">
            <w:pPr>
              <w:spacing w:line="240" w:lineRule="auto"/>
              <w:ind w:firstLine="0" w:firstLineChars="0"/>
              <w:jc w:val="center"/>
              <w:rPr>
                <w:color w:val="auto"/>
                <w:sz w:val="21"/>
                <w:szCs w:val="21"/>
              </w:rPr>
            </w:pPr>
            <w:r>
              <w:rPr>
                <w:rFonts w:hint="eastAsia"/>
                <w:color w:val="auto"/>
                <w:sz w:val="21"/>
                <w:szCs w:val="21"/>
              </w:rPr>
              <w:t>31</w:t>
            </w:r>
          </w:p>
        </w:tc>
        <w:tc>
          <w:tcPr>
            <w:tcW w:w="670" w:type="pct"/>
            <w:vAlign w:val="center"/>
          </w:tcPr>
          <w:p w14:paraId="0F07E0AF">
            <w:pPr>
              <w:widowControl/>
              <w:spacing w:line="240" w:lineRule="auto"/>
              <w:ind w:firstLine="0" w:firstLineChars="0"/>
              <w:jc w:val="center"/>
              <w:rPr>
                <w:color w:val="auto"/>
                <w:kern w:val="0"/>
                <w:sz w:val="21"/>
                <w:szCs w:val="21"/>
              </w:rPr>
            </w:pPr>
            <w:r>
              <w:rPr>
                <w:color w:val="auto"/>
                <w:kern w:val="0"/>
                <w:sz w:val="21"/>
                <w:szCs w:val="21"/>
                <w:lang w:val="zh-CN"/>
              </w:rPr>
              <w:t>环保车间二</w:t>
            </w:r>
          </w:p>
        </w:tc>
        <w:tc>
          <w:tcPr>
            <w:tcW w:w="519" w:type="pct"/>
            <w:vAlign w:val="center"/>
          </w:tcPr>
          <w:p w14:paraId="0F86136F">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4C149F60">
            <w:pPr>
              <w:spacing w:line="240" w:lineRule="auto"/>
              <w:ind w:firstLine="0" w:firstLineChars="0"/>
              <w:jc w:val="center"/>
              <w:rPr>
                <w:color w:val="auto"/>
                <w:sz w:val="21"/>
                <w:szCs w:val="21"/>
              </w:rPr>
            </w:pPr>
            <w:r>
              <w:rPr>
                <w:rFonts w:hint="eastAsia"/>
                <w:color w:val="auto"/>
                <w:sz w:val="21"/>
                <w:szCs w:val="21"/>
              </w:rPr>
              <w:t>难</w:t>
            </w:r>
          </w:p>
        </w:tc>
        <w:tc>
          <w:tcPr>
            <w:tcW w:w="668" w:type="pct"/>
            <w:vAlign w:val="center"/>
          </w:tcPr>
          <w:p w14:paraId="5F9177ED">
            <w:pPr>
              <w:spacing w:line="240" w:lineRule="auto"/>
              <w:ind w:firstLine="0" w:firstLineChars="0"/>
              <w:jc w:val="center"/>
              <w:rPr>
                <w:color w:val="auto"/>
                <w:sz w:val="21"/>
                <w:szCs w:val="21"/>
                <w:lang w:val="zh-CN"/>
              </w:rPr>
            </w:pPr>
            <w:r>
              <w:rPr>
                <w:color w:val="auto"/>
                <w:sz w:val="21"/>
                <w:szCs w:val="21"/>
              </w:rPr>
              <w:t>其他类型</w:t>
            </w:r>
          </w:p>
        </w:tc>
        <w:tc>
          <w:tcPr>
            <w:tcW w:w="654" w:type="pct"/>
            <w:vMerge w:val="continue"/>
            <w:vAlign w:val="center"/>
          </w:tcPr>
          <w:p w14:paraId="7977CC82">
            <w:pPr>
              <w:spacing w:line="240" w:lineRule="auto"/>
              <w:ind w:firstLine="0" w:firstLineChars="0"/>
              <w:jc w:val="center"/>
              <w:rPr>
                <w:color w:val="auto"/>
                <w:sz w:val="21"/>
                <w:szCs w:val="21"/>
              </w:rPr>
            </w:pPr>
          </w:p>
        </w:tc>
        <w:tc>
          <w:tcPr>
            <w:tcW w:w="995" w:type="pct"/>
            <w:vMerge w:val="continue"/>
            <w:vAlign w:val="center"/>
          </w:tcPr>
          <w:p w14:paraId="2C90E0A9">
            <w:pPr>
              <w:spacing w:line="240" w:lineRule="auto"/>
              <w:ind w:firstLine="0" w:firstLineChars="0"/>
              <w:jc w:val="center"/>
              <w:rPr>
                <w:color w:val="auto"/>
                <w:sz w:val="21"/>
                <w:szCs w:val="21"/>
              </w:rPr>
            </w:pPr>
          </w:p>
        </w:tc>
        <w:tc>
          <w:tcPr>
            <w:tcW w:w="660" w:type="pct"/>
            <w:vMerge w:val="continue"/>
            <w:vAlign w:val="center"/>
          </w:tcPr>
          <w:p w14:paraId="235780DB">
            <w:pPr>
              <w:spacing w:line="240" w:lineRule="auto"/>
              <w:ind w:firstLine="0" w:firstLineChars="0"/>
              <w:jc w:val="center"/>
              <w:rPr>
                <w:color w:val="auto"/>
                <w:sz w:val="21"/>
                <w:szCs w:val="21"/>
              </w:rPr>
            </w:pPr>
          </w:p>
        </w:tc>
      </w:tr>
      <w:tr w14:paraId="76207F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713BE6D9">
            <w:pPr>
              <w:spacing w:line="240" w:lineRule="auto"/>
              <w:ind w:firstLine="0" w:firstLineChars="0"/>
              <w:jc w:val="center"/>
              <w:rPr>
                <w:color w:val="auto"/>
                <w:sz w:val="21"/>
                <w:szCs w:val="21"/>
              </w:rPr>
            </w:pPr>
            <w:r>
              <w:rPr>
                <w:rFonts w:hint="eastAsia"/>
                <w:color w:val="auto"/>
                <w:sz w:val="21"/>
                <w:szCs w:val="21"/>
              </w:rPr>
              <w:t>32</w:t>
            </w:r>
          </w:p>
        </w:tc>
        <w:tc>
          <w:tcPr>
            <w:tcW w:w="670" w:type="pct"/>
            <w:vAlign w:val="center"/>
          </w:tcPr>
          <w:p w14:paraId="007D2406">
            <w:pPr>
              <w:widowControl/>
              <w:spacing w:line="240" w:lineRule="auto"/>
              <w:ind w:firstLine="0" w:firstLineChars="0"/>
              <w:jc w:val="center"/>
              <w:rPr>
                <w:color w:val="auto"/>
                <w:kern w:val="0"/>
                <w:sz w:val="21"/>
                <w:szCs w:val="21"/>
              </w:rPr>
            </w:pPr>
            <w:r>
              <w:rPr>
                <w:color w:val="auto"/>
                <w:kern w:val="0"/>
                <w:sz w:val="21"/>
                <w:szCs w:val="21"/>
                <w:lang w:val="zh-CN"/>
              </w:rPr>
              <w:t>甲类仓库</w:t>
            </w:r>
          </w:p>
        </w:tc>
        <w:tc>
          <w:tcPr>
            <w:tcW w:w="519" w:type="pct"/>
            <w:vAlign w:val="center"/>
          </w:tcPr>
          <w:p w14:paraId="478133AE">
            <w:pPr>
              <w:spacing w:line="240" w:lineRule="auto"/>
              <w:ind w:firstLine="0" w:firstLineChars="0"/>
              <w:jc w:val="center"/>
              <w:rPr>
                <w:color w:val="auto"/>
                <w:sz w:val="21"/>
                <w:szCs w:val="21"/>
              </w:rPr>
            </w:pPr>
            <w:r>
              <w:rPr>
                <w:rFonts w:hint="eastAsia"/>
                <w:color w:val="auto"/>
                <w:sz w:val="21"/>
                <w:szCs w:val="21"/>
              </w:rPr>
              <w:t>中</w:t>
            </w:r>
          </w:p>
        </w:tc>
        <w:tc>
          <w:tcPr>
            <w:tcW w:w="543" w:type="pct"/>
            <w:vAlign w:val="center"/>
          </w:tcPr>
          <w:p w14:paraId="6F36CEB0">
            <w:pPr>
              <w:spacing w:line="240" w:lineRule="auto"/>
              <w:ind w:firstLine="0" w:firstLineChars="0"/>
              <w:jc w:val="center"/>
              <w:rPr>
                <w:color w:val="auto"/>
                <w:sz w:val="21"/>
                <w:szCs w:val="21"/>
              </w:rPr>
            </w:pPr>
            <w:r>
              <w:rPr>
                <w:rFonts w:hint="eastAsia"/>
                <w:color w:val="auto"/>
                <w:sz w:val="21"/>
                <w:szCs w:val="21"/>
              </w:rPr>
              <w:t>易</w:t>
            </w:r>
          </w:p>
        </w:tc>
        <w:tc>
          <w:tcPr>
            <w:tcW w:w="668" w:type="pct"/>
            <w:vAlign w:val="center"/>
          </w:tcPr>
          <w:p w14:paraId="3010993C">
            <w:pPr>
              <w:spacing w:line="240" w:lineRule="auto"/>
              <w:ind w:firstLine="0" w:firstLineChars="0"/>
              <w:jc w:val="center"/>
              <w:rPr>
                <w:color w:val="auto"/>
                <w:sz w:val="21"/>
                <w:szCs w:val="21"/>
                <w:lang w:val="zh-CN"/>
              </w:rPr>
            </w:pPr>
            <w:r>
              <w:rPr>
                <w:color w:val="auto"/>
                <w:sz w:val="21"/>
                <w:szCs w:val="21"/>
              </w:rPr>
              <w:t>其他类型</w:t>
            </w:r>
          </w:p>
        </w:tc>
        <w:tc>
          <w:tcPr>
            <w:tcW w:w="654" w:type="pct"/>
            <w:vMerge w:val="continue"/>
            <w:vAlign w:val="center"/>
          </w:tcPr>
          <w:p w14:paraId="7E8D3DAB">
            <w:pPr>
              <w:spacing w:line="240" w:lineRule="auto"/>
              <w:ind w:firstLine="0" w:firstLineChars="0"/>
              <w:jc w:val="center"/>
              <w:rPr>
                <w:color w:val="auto"/>
                <w:sz w:val="21"/>
                <w:szCs w:val="21"/>
              </w:rPr>
            </w:pPr>
          </w:p>
        </w:tc>
        <w:tc>
          <w:tcPr>
            <w:tcW w:w="995" w:type="pct"/>
            <w:vMerge w:val="continue"/>
            <w:vAlign w:val="center"/>
          </w:tcPr>
          <w:p w14:paraId="42D93794">
            <w:pPr>
              <w:spacing w:line="240" w:lineRule="auto"/>
              <w:ind w:firstLine="0" w:firstLineChars="0"/>
              <w:jc w:val="center"/>
              <w:rPr>
                <w:color w:val="auto"/>
                <w:sz w:val="21"/>
                <w:szCs w:val="21"/>
              </w:rPr>
            </w:pPr>
          </w:p>
        </w:tc>
        <w:tc>
          <w:tcPr>
            <w:tcW w:w="660" w:type="pct"/>
            <w:vMerge w:val="continue"/>
            <w:vAlign w:val="center"/>
          </w:tcPr>
          <w:p w14:paraId="6A235E25">
            <w:pPr>
              <w:spacing w:line="240" w:lineRule="auto"/>
              <w:ind w:firstLine="0" w:firstLineChars="0"/>
              <w:jc w:val="center"/>
              <w:rPr>
                <w:color w:val="auto"/>
                <w:sz w:val="21"/>
                <w:szCs w:val="21"/>
              </w:rPr>
            </w:pPr>
          </w:p>
        </w:tc>
      </w:tr>
      <w:tr w14:paraId="56ECEB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89" w:type="pct"/>
            <w:vAlign w:val="center"/>
          </w:tcPr>
          <w:p w14:paraId="5C129BDB">
            <w:pPr>
              <w:spacing w:line="240" w:lineRule="auto"/>
              <w:ind w:firstLine="0" w:firstLineChars="0"/>
              <w:jc w:val="center"/>
              <w:rPr>
                <w:color w:val="auto"/>
                <w:sz w:val="21"/>
                <w:szCs w:val="21"/>
              </w:rPr>
            </w:pPr>
            <w:r>
              <w:rPr>
                <w:rFonts w:hint="eastAsia"/>
                <w:color w:val="auto"/>
                <w:sz w:val="21"/>
                <w:szCs w:val="21"/>
              </w:rPr>
              <w:t>33</w:t>
            </w:r>
          </w:p>
        </w:tc>
        <w:tc>
          <w:tcPr>
            <w:tcW w:w="670" w:type="pct"/>
            <w:vAlign w:val="center"/>
          </w:tcPr>
          <w:p w14:paraId="251BA3D9">
            <w:pPr>
              <w:widowControl/>
              <w:spacing w:line="240" w:lineRule="auto"/>
              <w:ind w:firstLine="0" w:firstLineChars="0"/>
              <w:jc w:val="center"/>
              <w:rPr>
                <w:color w:val="auto"/>
                <w:kern w:val="0"/>
                <w:sz w:val="21"/>
                <w:szCs w:val="21"/>
              </w:rPr>
            </w:pPr>
            <w:r>
              <w:rPr>
                <w:rFonts w:hint="eastAsia"/>
                <w:color w:val="auto"/>
                <w:kern w:val="0"/>
                <w:sz w:val="21"/>
                <w:szCs w:val="21"/>
              </w:rPr>
              <w:t>危废暂存间</w:t>
            </w:r>
          </w:p>
        </w:tc>
        <w:tc>
          <w:tcPr>
            <w:tcW w:w="3379" w:type="pct"/>
            <w:gridSpan w:val="5"/>
            <w:vAlign w:val="center"/>
          </w:tcPr>
          <w:p w14:paraId="1CD3D847">
            <w:pPr>
              <w:spacing w:line="240" w:lineRule="auto"/>
              <w:ind w:firstLine="0" w:firstLineChars="0"/>
              <w:jc w:val="center"/>
              <w:rPr>
                <w:color w:val="auto"/>
                <w:sz w:val="21"/>
                <w:szCs w:val="21"/>
              </w:rPr>
            </w:pPr>
            <w:r>
              <w:rPr>
                <w:rFonts w:hint="eastAsia"/>
                <w:color w:val="auto"/>
                <w:sz w:val="21"/>
                <w:szCs w:val="21"/>
              </w:rPr>
              <w:t>重点防渗区。按照GB18597执行：地面与裙脚要用坚固、防渗的材料建造；基础必须防渗，防渗层为至少1m厚粘土层(渗透系数≤10</w:t>
            </w:r>
            <w:r>
              <w:rPr>
                <w:rFonts w:hint="eastAsia"/>
                <w:color w:val="auto"/>
                <w:sz w:val="21"/>
                <w:szCs w:val="21"/>
                <w:vertAlign w:val="superscript"/>
              </w:rPr>
              <w:t>-7</w:t>
            </w:r>
            <w:r>
              <w:rPr>
                <w:rFonts w:hint="eastAsia"/>
                <w:color w:val="auto"/>
                <w:sz w:val="21"/>
                <w:szCs w:val="21"/>
              </w:rPr>
              <w:t>cm/s)，或2mm厚高密度聚乙烯，或至少2mm厚的其它人工材料，渗透系数≤10</w:t>
            </w:r>
            <w:r>
              <w:rPr>
                <w:rFonts w:hint="eastAsia"/>
                <w:color w:val="auto"/>
                <w:sz w:val="21"/>
                <w:szCs w:val="21"/>
                <w:vertAlign w:val="superscript"/>
              </w:rPr>
              <w:t>-10</w:t>
            </w:r>
            <w:r>
              <w:rPr>
                <w:rFonts w:hint="eastAsia"/>
                <w:color w:val="auto"/>
                <w:sz w:val="21"/>
                <w:szCs w:val="21"/>
              </w:rPr>
              <w:t>cm/s。</w:t>
            </w:r>
          </w:p>
        </w:tc>
        <w:tc>
          <w:tcPr>
            <w:tcW w:w="660" w:type="pct"/>
            <w:vMerge w:val="continue"/>
            <w:vAlign w:val="center"/>
          </w:tcPr>
          <w:p w14:paraId="4D5DBFBD">
            <w:pPr>
              <w:spacing w:line="240" w:lineRule="auto"/>
              <w:ind w:firstLine="0" w:firstLineChars="0"/>
              <w:jc w:val="center"/>
              <w:rPr>
                <w:color w:val="auto"/>
                <w:sz w:val="21"/>
                <w:szCs w:val="21"/>
              </w:rPr>
            </w:pPr>
          </w:p>
        </w:tc>
      </w:tr>
    </w:tbl>
    <w:p w14:paraId="243189C6">
      <w:pPr>
        <w:autoSpaceDE w:val="0"/>
        <w:autoSpaceDN w:val="0"/>
        <w:spacing w:line="460" w:lineRule="exact"/>
        <w:ind w:firstLine="480"/>
        <w:rPr>
          <w:color w:val="auto"/>
        </w:rPr>
      </w:pPr>
      <w:r>
        <w:rPr>
          <w:rFonts w:hint="eastAsia"/>
          <w:color w:val="auto"/>
        </w:rPr>
        <w:t>（3）</w:t>
      </w:r>
      <w:r>
        <w:rPr>
          <w:color w:val="auto"/>
        </w:rPr>
        <w:t>分区防渗措施</w:t>
      </w:r>
    </w:p>
    <w:p w14:paraId="186BAFFF">
      <w:pPr>
        <w:spacing w:line="460" w:lineRule="exact"/>
        <w:ind w:firstLine="480"/>
        <w:rPr>
          <w:color w:val="auto"/>
        </w:rPr>
      </w:pPr>
      <w:r>
        <w:rPr>
          <w:rFonts w:hint="eastAsia" w:hAnsi="宋体"/>
          <w:color w:val="auto"/>
        </w:rPr>
        <w:t>①</w:t>
      </w:r>
      <w:r>
        <w:rPr>
          <w:color w:val="auto"/>
        </w:rPr>
        <w:t>重点防渗区措施</w:t>
      </w:r>
    </w:p>
    <w:p w14:paraId="54A4D9EA">
      <w:pPr>
        <w:spacing w:line="460" w:lineRule="exact"/>
        <w:ind w:firstLine="480"/>
        <w:rPr>
          <w:color w:val="auto"/>
        </w:rPr>
      </w:pPr>
      <w:r>
        <w:rPr>
          <w:color w:val="auto"/>
        </w:rPr>
        <w:t>重点防渗区各单元防渗层渗透系数应低于10</w:t>
      </w:r>
      <w:r>
        <w:rPr>
          <w:color w:val="auto"/>
          <w:vertAlign w:val="superscript"/>
        </w:rPr>
        <w:t>-10</w:t>
      </w:r>
      <w:r>
        <w:rPr>
          <w:color w:val="auto"/>
        </w:rPr>
        <w:t>cm/s，各类防渗单元具体可行的防渗措施如下：</w:t>
      </w:r>
    </w:p>
    <w:p w14:paraId="1B1C8C9F">
      <w:pPr>
        <w:spacing w:line="460" w:lineRule="exact"/>
        <w:ind w:firstLine="480"/>
        <w:rPr>
          <w:color w:val="auto"/>
        </w:rPr>
      </w:pPr>
      <w:r>
        <w:rPr>
          <w:color w:val="auto"/>
        </w:rPr>
        <w:t>A</w:t>
      </w:r>
      <w:r>
        <w:rPr>
          <w:rFonts w:hint="eastAsia"/>
          <w:color w:val="auto"/>
        </w:rPr>
        <w:t>、</w:t>
      </w:r>
      <w:r>
        <w:rPr>
          <w:color w:val="auto"/>
        </w:rPr>
        <w:t>储罐区</w:t>
      </w:r>
    </w:p>
    <w:p w14:paraId="2B3B58DE">
      <w:pPr>
        <w:spacing w:line="460" w:lineRule="exact"/>
        <w:ind w:firstLine="480"/>
        <w:rPr>
          <w:color w:val="auto"/>
        </w:rPr>
      </w:pPr>
      <w:r>
        <w:rPr>
          <w:color w:val="auto"/>
        </w:rPr>
        <w:t>罐区四周设置围堰，一旦出现罐泄漏，泄漏物料将存贮于围堰区域内，因此须按照《石油化工工程防渗技术规范》（GB/T50934-2013）的罐区防渗要求，对罐区采取以下防渗措施，防止污染物下渗污染地下水。</w:t>
      </w:r>
    </w:p>
    <w:p w14:paraId="24E1E12A">
      <w:pPr>
        <w:spacing w:line="460" w:lineRule="exact"/>
        <w:ind w:firstLine="480"/>
        <w:rPr>
          <w:color w:val="auto"/>
        </w:rPr>
      </w:pPr>
      <w:r>
        <w:rPr>
          <w:rFonts w:hint="eastAsia" w:ascii="宋体" w:hAnsi="宋体" w:cs="宋体"/>
          <w:color w:val="auto"/>
          <w:lang w:eastAsia="ja-JP"/>
        </w:rPr>
        <w:t>Ⅰ</w:t>
      </w:r>
      <w:r>
        <w:rPr>
          <w:color w:val="auto"/>
        </w:rPr>
        <w:t>、罐区基础防渗结构</w:t>
      </w:r>
    </w:p>
    <w:p w14:paraId="0CBEB191">
      <w:pPr>
        <w:spacing w:line="460" w:lineRule="exact"/>
        <w:ind w:firstLine="480"/>
        <w:rPr>
          <w:color w:val="auto"/>
        </w:rPr>
      </w:pPr>
      <w:r>
        <w:rPr>
          <w:color w:val="auto"/>
        </w:rPr>
        <w:t>基础防渗从上至下依次采用：</w:t>
      </w:r>
      <w:r>
        <w:rPr>
          <w:rFonts w:ascii="宋体" w:hAnsi="宋体"/>
          <w:color w:val="auto"/>
        </w:rPr>
        <w:t>“</w:t>
      </w:r>
      <w:r>
        <w:rPr>
          <w:color w:val="auto"/>
        </w:rPr>
        <w:t>沥青砂绝缘层+100mm厚砂垫层+长丝无纺土工布+2mm厚HDPE土工膜+长丝无纺土工布+原土夯实</w:t>
      </w:r>
      <w:r>
        <w:rPr>
          <w:rFonts w:ascii="宋体" w:hAnsi="宋体"/>
          <w:color w:val="auto"/>
        </w:rPr>
        <w:t>”</w:t>
      </w:r>
      <w:r>
        <w:rPr>
          <w:color w:val="auto"/>
        </w:rPr>
        <w:t>，渗透系数不大于1.0×10</w:t>
      </w:r>
      <w:r>
        <w:rPr>
          <w:color w:val="auto"/>
          <w:vertAlign w:val="superscript"/>
        </w:rPr>
        <w:t>-10</w:t>
      </w:r>
      <w:r>
        <w:rPr>
          <w:color w:val="auto"/>
        </w:rPr>
        <w:t>cm/s。</w:t>
      </w:r>
    </w:p>
    <w:p w14:paraId="6E750E8F">
      <w:pPr>
        <w:spacing w:line="460" w:lineRule="exact"/>
        <w:ind w:firstLine="480"/>
        <w:rPr>
          <w:color w:val="auto"/>
        </w:rPr>
      </w:pPr>
      <w:r>
        <w:rPr>
          <w:rFonts w:hint="eastAsia" w:ascii="宋体" w:hAnsi="宋体" w:cs="宋体"/>
          <w:color w:val="auto"/>
        </w:rPr>
        <w:t>Ⅱ</w:t>
      </w:r>
      <w:r>
        <w:rPr>
          <w:color w:val="auto"/>
        </w:rPr>
        <w:t>、罐区地面防渗结构</w:t>
      </w:r>
    </w:p>
    <w:p w14:paraId="1473CA50">
      <w:pPr>
        <w:spacing w:line="460" w:lineRule="exact"/>
        <w:ind w:firstLine="480"/>
        <w:rPr>
          <w:color w:val="auto"/>
        </w:rPr>
      </w:pPr>
      <w:r>
        <w:rPr>
          <w:color w:val="auto"/>
        </w:rPr>
        <w:t>罐区地面采用12cm厚的抗渗钢纤维混凝土面层（抗渗等级为P8，强度等级为C30）掺1mm厚水泥基渗透结晶型防水涂料，之下为30cm砂垫层，并采用原土夯实，渗透系数不大于1.0×10</w:t>
      </w:r>
      <w:r>
        <w:rPr>
          <w:color w:val="auto"/>
          <w:vertAlign w:val="superscript"/>
        </w:rPr>
        <w:t>-10</w:t>
      </w:r>
      <w:r>
        <w:rPr>
          <w:color w:val="auto"/>
        </w:rPr>
        <w:t>cm/s，罐区周围设置具有强防渗性的围堰，围堰宜采用抗渗钢筋混凝土，抗渗等级不应低于P6。</w:t>
      </w:r>
    </w:p>
    <w:p w14:paraId="5F5EB72E">
      <w:pPr>
        <w:spacing w:line="460" w:lineRule="exact"/>
        <w:ind w:firstLine="480"/>
        <w:rPr>
          <w:color w:val="auto"/>
        </w:rPr>
      </w:pPr>
      <w:r>
        <w:rPr>
          <w:color w:val="auto"/>
        </w:rPr>
        <w:t>罐区防渗结构示意见图7.5-</w:t>
      </w:r>
      <w:r>
        <w:rPr>
          <w:rFonts w:hint="eastAsia"/>
          <w:color w:val="auto"/>
        </w:rPr>
        <w:t>2</w:t>
      </w:r>
      <w:r>
        <w:rPr>
          <w:color w:val="auto"/>
        </w:rPr>
        <w:t>。</w:t>
      </w:r>
    </w:p>
    <w:p w14:paraId="330F0340">
      <w:pPr>
        <w:spacing w:before="192" w:beforeLines="50" w:line="240" w:lineRule="auto"/>
        <w:ind w:firstLine="480"/>
        <w:jc w:val="center"/>
        <w:rPr>
          <w:rFonts w:hint="eastAsia" w:ascii="宋体" w:hAnsi="宋体" w:cs="宋体"/>
          <w:color w:val="auto"/>
          <w:kern w:val="0"/>
        </w:rPr>
      </w:pPr>
      <w:r>
        <w:rPr>
          <w:rFonts w:ascii="宋体" w:hAnsi="宋体" w:cs="宋体"/>
          <w:color w:val="auto"/>
          <w:kern w:val="0"/>
        </w:rPr>
        <w:drawing>
          <wp:inline distT="0" distB="0" distL="114300" distR="114300">
            <wp:extent cx="3362325" cy="2118360"/>
            <wp:effectExtent l="0" t="0" r="9525" b="15240"/>
            <wp:docPr id="52" name="图片 27" descr="N9V6ANIDW(`K(Y](G51{[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descr="N9V6ANIDW(`K(Y](G51{[NB"/>
                    <pic:cNvPicPr>
                      <a:picLocks noChangeAspect="1"/>
                    </pic:cNvPicPr>
                  </pic:nvPicPr>
                  <pic:blipFill>
                    <a:blip r:embed="rId76"/>
                    <a:stretch>
                      <a:fillRect/>
                    </a:stretch>
                  </pic:blipFill>
                  <pic:spPr>
                    <a:xfrm>
                      <a:off x="0" y="0"/>
                      <a:ext cx="3362325" cy="2118360"/>
                    </a:xfrm>
                    <a:prstGeom prst="rect">
                      <a:avLst/>
                    </a:prstGeom>
                    <a:noFill/>
                    <a:ln>
                      <a:noFill/>
                    </a:ln>
                  </pic:spPr>
                </pic:pic>
              </a:graphicData>
            </a:graphic>
          </wp:inline>
        </w:drawing>
      </w:r>
    </w:p>
    <w:p w14:paraId="7CF021BB">
      <w:pPr>
        <w:spacing w:line="460" w:lineRule="exact"/>
        <w:ind w:firstLine="482"/>
        <w:jc w:val="center"/>
        <w:rPr>
          <w:b/>
          <w:bCs/>
          <w:color w:val="auto"/>
        </w:rPr>
      </w:pPr>
      <w:r>
        <w:rPr>
          <w:b/>
          <w:bCs/>
          <w:color w:val="auto"/>
        </w:rPr>
        <w:t>图7.5-</w:t>
      </w:r>
      <w:r>
        <w:rPr>
          <w:rFonts w:hint="eastAsia"/>
          <w:b/>
          <w:bCs/>
          <w:color w:val="auto"/>
        </w:rPr>
        <w:t>2</w:t>
      </w:r>
      <w:r>
        <w:rPr>
          <w:b/>
          <w:bCs/>
          <w:color w:val="auto"/>
        </w:rPr>
        <w:t xml:space="preserve"> 罐区防渗结构示意图</w:t>
      </w:r>
    </w:p>
    <w:p w14:paraId="5242E5C5">
      <w:pPr>
        <w:ind w:firstLine="480"/>
        <w:rPr>
          <w:color w:val="auto"/>
        </w:rPr>
      </w:pPr>
      <w:r>
        <w:rPr>
          <w:rFonts w:hint="eastAsia"/>
          <w:color w:val="auto"/>
        </w:rPr>
        <w:t>B、废水收集池池体防渗</w:t>
      </w:r>
    </w:p>
    <w:p w14:paraId="6D724723">
      <w:pPr>
        <w:ind w:firstLine="480"/>
        <w:rPr>
          <w:color w:val="auto"/>
        </w:rPr>
      </w:pPr>
      <w:r>
        <w:rPr>
          <w:rFonts w:hint="eastAsia"/>
          <w:color w:val="auto"/>
        </w:rPr>
        <w:t>拟建项目废水收集池，采用钢筋混凝土结构，抗渗等级为</w:t>
      </w:r>
      <w:r>
        <w:rPr>
          <w:color w:val="auto"/>
        </w:rPr>
        <w:t>P8</w:t>
      </w:r>
      <w:r>
        <w:rPr>
          <w:rFonts w:hint="eastAsia"/>
          <w:color w:val="auto"/>
        </w:rPr>
        <w:t>，强度等级为</w:t>
      </w:r>
      <w:r>
        <w:rPr>
          <w:color w:val="auto"/>
        </w:rPr>
        <w:t>C30</w:t>
      </w:r>
      <w:r>
        <w:rPr>
          <w:rFonts w:hint="eastAsia"/>
          <w:color w:val="auto"/>
        </w:rPr>
        <w:t>，混凝土内表面涂刷水泥基渗透结晶型防水涂料，厚度不小于</w:t>
      </w:r>
      <w:r>
        <w:rPr>
          <w:color w:val="auto"/>
        </w:rPr>
        <w:t>1.0mm</w:t>
      </w:r>
      <w:r>
        <w:rPr>
          <w:rFonts w:hint="eastAsia"/>
          <w:color w:val="auto"/>
        </w:rPr>
        <w:t>。防渗层结构厚度不小于</w:t>
      </w:r>
      <w:r>
        <w:rPr>
          <w:color w:val="auto"/>
        </w:rPr>
        <w:t>250mm</w:t>
      </w:r>
      <w:r>
        <w:rPr>
          <w:rFonts w:hint="eastAsia"/>
          <w:color w:val="auto"/>
        </w:rPr>
        <w:t>。池底及内壁由内而外依次为水泥基渗透结晶型防渗涂料、</w:t>
      </w:r>
      <w:r>
        <w:rPr>
          <w:color w:val="auto"/>
        </w:rPr>
        <w:t>P8&amp;C30</w:t>
      </w:r>
      <w:r>
        <w:rPr>
          <w:rFonts w:hint="eastAsia"/>
          <w:color w:val="auto"/>
        </w:rPr>
        <w:t>级钢筋混凝土、原土夯实，渗透系数不大于</w:t>
      </w:r>
      <w:r>
        <w:rPr>
          <w:color w:val="auto"/>
        </w:rPr>
        <w:t>1.0×10</w:t>
      </w:r>
      <w:r>
        <w:rPr>
          <w:color w:val="auto"/>
          <w:vertAlign w:val="superscript"/>
        </w:rPr>
        <w:t>-10</w:t>
      </w:r>
      <w:r>
        <w:rPr>
          <w:color w:val="auto"/>
        </w:rPr>
        <w:t>cm/s</w:t>
      </w:r>
      <w:r>
        <w:rPr>
          <w:rFonts w:hint="eastAsia"/>
          <w:color w:val="auto"/>
        </w:rPr>
        <w:t>。池体防渗结构示意图见图</w:t>
      </w:r>
      <w:r>
        <w:rPr>
          <w:color w:val="auto"/>
        </w:rPr>
        <w:t>7.5-3</w:t>
      </w:r>
      <w:r>
        <w:rPr>
          <w:rFonts w:hint="eastAsia"/>
          <w:color w:val="auto"/>
        </w:rPr>
        <w:t>。</w:t>
      </w:r>
    </w:p>
    <w:p w14:paraId="53BC433A">
      <w:pPr>
        <w:widowControl/>
        <w:spacing w:line="240" w:lineRule="auto"/>
        <w:ind w:firstLine="480"/>
        <w:jc w:val="center"/>
        <w:rPr>
          <w:rFonts w:hint="eastAsia" w:ascii="宋体" w:hAnsi="宋体" w:cs="宋体"/>
          <w:color w:val="auto"/>
          <w:kern w:val="0"/>
        </w:rPr>
      </w:pPr>
      <w:r>
        <w:rPr>
          <w:rFonts w:ascii="宋体" w:hAnsi="宋体" w:cs="宋体"/>
          <w:color w:val="auto"/>
          <w:kern w:val="0"/>
        </w:rPr>
        <w:drawing>
          <wp:inline distT="0" distB="0" distL="114300" distR="114300">
            <wp:extent cx="3118485" cy="1499870"/>
            <wp:effectExtent l="0" t="0" r="5715" b="5080"/>
            <wp:docPr id="60" name="图片 28" descr="]I4[KCB7~L@$7W8X4(X8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descr="]I4[KCB7~L@$7W8X4(X8N23"/>
                    <pic:cNvPicPr>
                      <a:picLocks noChangeAspect="1"/>
                    </pic:cNvPicPr>
                  </pic:nvPicPr>
                  <pic:blipFill>
                    <a:blip r:embed="rId77"/>
                    <a:stretch>
                      <a:fillRect/>
                    </a:stretch>
                  </pic:blipFill>
                  <pic:spPr>
                    <a:xfrm>
                      <a:off x="0" y="0"/>
                      <a:ext cx="3118485" cy="1499870"/>
                    </a:xfrm>
                    <a:prstGeom prst="rect">
                      <a:avLst/>
                    </a:prstGeom>
                    <a:noFill/>
                    <a:ln>
                      <a:noFill/>
                    </a:ln>
                  </pic:spPr>
                </pic:pic>
              </a:graphicData>
            </a:graphic>
          </wp:inline>
        </w:drawing>
      </w:r>
    </w:p>
    <w:p w14:paraId="61F8869B">
      <w:pPr>
        <w:spacing w:line="460" w:lineRule="exact"/>
        <w:ind w:firstLine="482"/>
        <w:jc w:val="center"/>
        <w:rPr>
          <w:b/>
          <w:bCs/>
          <w:color w:val="auto"/>
        </w:rPr>
      </w:pPr>
      <w:r>
        <w:rPr>
          <w:rFonts w:hint="eastAsia"/>
          <w:b/>
          <w:bCs/>
          <w:color w:val="auto"/>
        </w:rPr>
        <w:t>图</w:t>
      </w:r>
      <w:r>
        <w:rPr>
          <w:b/>
          <w:bCs/>
          <w:color w:val="auto"/>
        </w:rPr>
        <w:t>7.5</w:t>
      </w:r>
      <w:r>
        <w:rPr>
          <w:rFonts w:hint="eastAsia"/>
          <w:b/>
          <w:bCs/>
          <w:color w:val="auto"/>
        </w:rPr>
        <w:t>-</w:t>
      </w:r>
      <w:r>
        <w:rPr>
          <w:b/>
          <w:bCs/>
          <w:color w:val="auto"/>
        </w:rPr>
        <w:t>3</w:t>
      </w:r>
      <w:r>
        <w:rPr>
          <w:rFonts w:hint="eastAsia"/>
          <w:b/>
          <w:bCs/>
          <w:color w:val="auto"/>
        </w:rPr>
        <w:t xml:space="preserve"> 废水装置池体防渗结构示意图</w:t>
      </w:r>
    </w:p>
    <w:p w14:paraId="261675D5">
      <w:pPr>
        <w:spacing w:line="460" w:lineRule="exact"/>
        <w:ind w:firstLine="480"/>
        <w:rPr>
          <w:color w:val="auto"/>
        </w:rPr>
      </w:pPr>
      <w:r>
        <w:rPr>
          <w:rFonts w:hint="eastAsia"/>
          <w:color w:val="auto"/>
        </w:rPr>
        <w:t>C、车间事故水地面收集沟渠防渗</w:t>
      </w:r>
    </w:p>
    <w:p w14:paraId="7C074ABB">
      <w:pPr>
        <w:spacing w:line="460" w:lineRule="exact"/>
        <w:ind w:firstLine="480"/>
        <w:rPr>
          <w:color w:val="auto"/>
        </w:rPr>
      </w:pPr>
      <w:r>
        <w:rPr>
          <w:rFonts w:hint="eastAsia"/>
          <w:color w:val="auto"/>
        </w:rPr>
        <w:t>沟渠的结构厚度不小于</w:t>
      </w:r>
      <w:r>
        <w:rPr>
          <w:color w:val="auto"/>
        </w:rPr>
        <w:t>150mm</w:t>
      </w:r>
      <w:r>
        <w:rPr>
          <w:rFonts w:hint="eastAsia"/>
          <w:color w:val="auto"/>
        </w:rPr>
        <w:t>，混凝土抗渗等级不低于</w:t>
      </w:r>
      <w:r>
        <w:rPr>
          <w:color w:val="auto"/>
        </w:rPr>
        <w:t>P8</w:t>
      </w:r>
      <w:r>
        <w:rPr>
          <w:rFonts w:hint="eastAsia"/>
          <w:color w:val="auto"/>
        </w:rPr>
        <w:t>，内表面涂刷水泥基渗透结晶型防水涂料，厚度不小于</w:t>
      </w:r>
      <w:r>
        <w:rPr>
          <w:color w:val="auto"/>
        </w:rPr>
        <w:t>1.0mm</w:t>
      </w:r>
      <w:r>
        <w:rPr>
          <w:rFonts w:hint="eastAsia"/>
          <w:color w:val="auto"/>
        </w:rPr>
        <w:t>。</w:t>
      </w:r>
    </w:p>
    <w:p w14:paraId="2C879AA7">
      <w:pPr>
        <w:spacing w:line="460" w:lineRule="exact"/>
        <w:ind w:firstLine="480"/>
        <w:rPr>
          <w:color w:val="auto"/>
        </w:rPr>
      </w:pPr>
      <w:r>
        <w:rPr>
          <w:rFonts w:hint="eastAsia"/>
          <w:color w:val="auto"/>
        </w:rPr>
        <w:t>②一般污染区防渗措施</w:t>
      </w:r>
    </w:p>
    <w:p w14:paraId="701F870D">
      <w:pPr>
        <w:spacing w:line="460" w:lineRule="exact"/>
        <w:ind w:firstLine="480"/>
        <w:rPr>
          <w:color w:val="auto"/>
        </w:rPr>
      </w:pPr>
      <w:r>
        <w:rPr>
          <w:rFonts w:hint="eastAsia"/>
          <w:color w:val="auto"/>
        </w:rPr>
        <w:t>一般防渗区，地面采</w:t>
      </w:r>
      <w:r>
        <w:rPr>
          <w:rFonts w:hint="eastAsia" w:ascii="宋体" w:hAnsi="宋体"/>
          <w:color w:val="auto"/>
        </w:rPr>
        <w:t>取</w:t>
      </w:r>
      <w:r>
        <w:rPr>
          <w:rFonts w:ascii="宋体" w:hAnsi="宋体"/>
          <w:color w:val="auto"/>
        </w:rPr>
        <w:t>“</w:t>
      </w:r>
      <w:r>
        <w:rPr>
          <w:color w:val="auto"/>
        </w:rPr>
        <w:t>12cm</w:t>
      </w:r>
      <w:r>
        <w:rPr>
          <w:rFonts w:hAnsi="宋体"/>
          <w:color w:val="auto"/>
        </w:rPr>
        <w:t>厚抗渗混凝土面层，抗渗等级不低于</w:t>
      </w:r>
      <w:r>
        <w:rPr>
          <w:color w:val="auto"/>
        </w:rPr>
        <w:t>P6+30cm</w:t>
      </w:r>
      <w:r>
        <w:rPr>
          <w:rFonts w:hAnsi="宋体"/>
          <w:color w:val="auto"/>
        </w:rPr>
        <w:t>厚</w:t>
      </w:r>
      <w:r>
        <w:rPr>
          <w:rFonts w:hint="eastAsia" w:ascii="宋体" w:hAnsi="宋体"/>
          <w:color w:val="auto"/>
        </w:rPr>
        <w:t>砂石铺砌基层</w:t>
      </w:r>
      <w:r>
        <w:rPr>
          <w:rFonts w:ascii="宋体" w:hAnsi="宋体"/>
          <w:color w:val="auto"/>
        </w:rPr>
        <w:t>+</w:t>
      </w:r>
      <w:r>
        <w:rPr>
          <w:rFonts w:hint="eastAsia" w:ascii="宋体" w:hAnsi="宋体"/>
          <w:color w:val="auto"/>
        </w:rPr>
        <w:t>场地平土夯实</w:t>
      </w:r>
      <w:r>
        <w:rPr>
          <w:rFonts w:ascii="宋体" w:hAnsi="宋体"/>
          <w:color w:val="auto"/>
        </w:rPr>
        <w:t>”</w:t>
      </w:r>
      <w:r>
        <w:rPr>
          <w:rFonts w:hint="eastAsia" w:ascii="宋体" w:hAnsi="宋体"/>
          <w:color w:val="auto"/>
        </w:rPr>
        <w:t>的</w:t>
      </w:r>
      <w:r>
        <w:rPr>
          <w:rFonts w:hint="eastAsia"/>
          <w:color w:val="auto"/>
        </w:rPr>
        <w:t>防渗措施，渗透系数不大于</w:t>
      </w:r>
      <w:r>
        <w:rPr>
          <w:color w:val="auto"/>
        </w:rPr>
        <w:t>1.0×10</w:t>
      </w:r>
      <w:r>
        <w:rPr>
          <w:color w:val="auto"/>
          <w:vertAlign w:val="superscript"/>
        </w:rPr>
        <w:t>-7</w:t>
      </w:r>
      <w:r>
        <w:rPr>
          <w:color w:val="auto"/>
        </w:rPr>
        <w:t>cm/s</w:t>
      </w:r>
      <w:r>
        <w:rPr>
          <w:rFonts w:hint="eastAsia"/>
          <w:color w:val="auto"/>
        </w:rPr>
        <w:t>，防渗结构见示意图7</w:t>
      </w:r>
      <w:r>
        <w:rPr>
          <w:color w:val="auto"/>
        </w:rPr>
        <w:t>.5-4</w:t>
      </w:r>
      <w:r>
        <w:rPr>
          <w:rFonts w:hint="eastAsia"/>
          <w:color w:val="auto"/>
        </w:rPr>
        <w:t>。</w:t>
      </w:r>
    </w:p>
    <w:p w14:paraId="09F66A00">
      <w:pPr>
        <w:spacing w:line="240" w:lineRule="auto"/>
        <w:ind w:firstLine="480"/>
        <w:jc w:val="center"/>
        <w:rPr>
          <w:rFonts w:hint="eastAsia" w:ascii="宋体" w:hAnsi="宋体"/>
          <w:b/>
          <w:color w:val="auto"/>
        </w:rPr>
      </w:pPr>
      <w:r>
        <w:rPr>
          <w:color w:val="auto"/>
        </w:rPr>
        <w:drawing>
          <wp:inline distT="0" distB="0" distL="114300" distR="114300">
            <wp:extent cx="3467735" cy="2127885"/>
            <wp:effectExtent l="0" t="0" r="18415" b="5715"/>
            <wp:docPr id="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pic:cNvPicPr>
                      <a:picLocks noChangeAspect="1"/>
                    </pic:cNvPicPr>
                  </pic:nvPicPr>
                  <pic:blipFill>
                    <a:blip r:embed="rId78"/>
                    <a:stretch>
                      <a:fillRect/>
                    </a:stretch>
                  </pic:blipFill>
                  <pic:spPr>
                    <a:xfrm>
                      <a:off x="0" y="0"/>
                      <a:ext cx="3467735" cy="2127885"/>
                    </a:xfrm>
                    <a:prstGeom prst="rect">
                      <a:avLst/>
                    </a:prstGeom>
                    <a:noFill/>
                    <a:ln>
                      <a:noFill/>
                    </a:ln>
                  </pic:spPr>
                </pic:pic>
              </a:graphicData>
            </a:graphic>
          </wp:inline>
        </w:drawing>
      </w:r>
    </w:p>
    <w:p w14:paraId="550FFFB8">
      <w:pPr>
        <w:spacing w:line="460" w:lineRule="exact"/>
        <w:ind w:firstLine="482"/>
        <w:jc w:val="center"/>
        <w:rPr>
          <w:b/>
          <w:bCs/>
          <w:color w:val="auto"/>
        </w:rPr>
      </w:pPr>
      <w:r>
        <w:rPr>
          <w:rFonts w:hint="eastAsia"/>
          <w:b/>
          <w:bCs/>
          <w:color w:val="auto"/>
        </w:rPr>
        <w:t>图7.5-4 一般污染防治区地面防渗结构示意图</w:t>
      </w:r>
    </w:p>
    <w:p w14:paraId="08F99EAB">
      <w:pPr>
        <w:spacing w:line="460" w:lineRule="exact"/>
        <w:ind w:firstLine="480"/>
        <w:rPr>
          <w:color w:val="auto"/>
        </w:rPr>
      </w:pPr>
      <w:r>
        <w:rPr>
          <w:rFonts w:hint="eastAsia"/>
          <w:color w:val="auto"/>
        </w:rPr>
        <w:t>③各类固废在产生、收集和运输过程中应采取有效的措施防止固废散失，危险废物暂存场所按</w:t>
      </w:r>
      <w:r>
        <w:rPr>
          <w:rFonts w:hint="eastAsia" w:hAnsi="宋体"/>
          <w:color w:val="auto"/>
        </w:rPr>
        <w:t>《危险废物贮存污染控制标准》（</w:t>
      </w:r>
      <w:r>
        <w:rPr>
          <w:rFonts w:hAnsi="宋体"/>
          <w:color w:val="auto"/>
        </w:rPr>
        <w:t>GB18597-2023</w:t>
      </w:r>
      <w:r>
        <w:rPr>
          <w:rFonts w:hint="eastAsia" w:hAnsi="宋体"/>
          <w:color w:val="auto"/>
        </w:rPr>
        <w:t>）</w:t>
      </w:r>
      <w:r>
        <w:rPr>
          <w:rFonts w:hint="eastAsia"/>
          <w:color w:val="auto"/>
        </w:rPr>
        <w:t>中要求设置防漏、防渗措施，确保危险废物不泄漏或者渗透进入地下水。</w:t>
      </w:r>
    </w:p>
    <w:p w14:paraId="506236AF">
      <w:pPr>
        <w:spacing w:line="460" w:lineRule="exact"/>
        <w:ind w:firstLine="480"/>
        <w:rPr>
          <w:color w:val="auto"/>
        </w:rPr>
      </w:pPr>
      <w:r>
        <w:rPr>
          <w:rFonts w:hint="eastAsia"/>
          <w:color w:val="auto"/>
        </w:rPr>
        <w:t>④此外，还需加强管理，在储罐区及生产区需设置安全报警装置，并加强巡检，污染物泄漏时做到及时发现，及时处置，采取有效的堵漏作业，将污染物泄漏的环境风险事故降到最低。</w:t>
      </w:r>
    </w:p>
    <w:p w14:paraId="76EDC01E">
      <w:pPr>
        <w:autoSpaceDE w:val="0"/>
        <w:autoSpaceDN w:val="0"/>
        <w:ind w:firstLine="482"/>
        <w:rPr>
          <w:b/>
          <w:bCs/>
          <w:color w:val="auto"/>
        </w:rPr>
      </w:pPr>
      <w:r>
        <w:rPr>
          <w:b/>
          <w:bCs/>
          <w:color w:val="auto"/>
        </w:rPr>
        <w:t>（</w:t>
      </w:r>
      <w:r>
        <w:rPr>
          <w:rFonts w:hint="eastAsia"/>
          <w:b/>
          <w:bCs/>
          <w:color w:val="auto"/>
        </w:rPr>
        <w:t>三</w:t>
      </w:r>
      <w:r>
        <w:rPr>
          <w:b/>
          <w:bCs/>
          <w:color w:val="auto"/>
        </w:rPr>
        <w:t>）地下水污染监控</w:t>
      </w:r>
    </w:p>
    <w:p w14:paraId="329A5154">
      <w:pPr>
        <w:ind w:firstLine="480"/>
        <w:rPr>
          <w:color w:val="auto"/>
        </w:rPr>
      </w:pPr>
      <w:r>
        <w:rPr>
          <w:color w:val="auto"/>
        </w:rPr>
        <w:t>为了及时准确掌握建设项目区域地下水环境质量状况和地下水体中污染物的动态变化，企业应建立地下水环境监测管理体系，包括制定地下水环境影响跟踪监测计划、建立地下水环境影响跟踪监测制度，配备先进的检测仪器和设备（或委托有资质单位进行采样分析），以便及时发现并及时控制。</w:t>
      </w:r>
    </w:p>
    <w:p w14:paraId="64D73255">
      <w:pPr>
        <w:ind w:firstLine="480"/>
        <w:rPr>
          <w:color w:val="auto"/>
        </w:rPr>
      </w:pPr>
      <w:r>
        <w:rPr>
          <w:color w:val="auto"/>
        </w:rPr>
        <w:t>地下水监测将遵循重点污染防治区加密监测原则、以浅层地下水监测为主的原则、兼顾厂区边界原则。水质监测因子根据《地下水质量标准》相关要求和建设项目潜在污染源特征污染因子确定，各监测井可依据监测目的不同适当增加和减少监测项目。厂安全环保部门设立地下水动态监测小组，专人负责监测或者委托专业的机构分析。</w:t>
      </w:r>
    </w:p>
    <w:p w14:paraId="22A635E1">
      <w:pPr>
        <w:ind w:firstLine="480"/>
        <w:rPr>
          <w:color w:val="auto"/>
        </w:rPr>
      </w:pPr>
      <w:r>
        <w:rPr>
          <w:rFonts w:hint="eastAsia"/>
          <w:color w:val="auto"/>
        </w:rPr>
        <w:t>按照当地地下水流向，建设项目建成后将完善全厂地下水监控体系，全厂设置6口监控井，具体监测点位及监测因子见表</w:t>
      </w:r>
      <w:r>
        <w:rPr>
          <w:color w:val="auto"/>
        </w:rPr>
        <w:t>7.5-3</w:t>
      </w:r>
      <w:r>
        <w:rPr>
          <w:rFonts w:hint="eastAsia"/>
          <w:color w:val="auto"/>
        </w:rPr>
        <w:t>。</w:t>
      </w:r>
    </w:p>
    <w:p w14:paraId="0309D434">
      <w:pPr>
        <w:pStyle w:val="49"/>
        <w:rPr>
          <w:color w:val="auto"/>
        </w:rPr>
      </w:pPr>
      <w:r>
        <w:rPr>
          <w:color w:val="auto"/>
        </w:rPr>
        <w:t xml:space="preserve">表7.5-3 </w:t>
      </w:r>
      <w:r>
        <w:rPr>
          <w:rFonts w:hint="eastAsia"/>
          <w:color w:val="auto"/>
        </w:rPr>
        <w:t xml:space="preserve"> </w:t>
      </w:r>
      <w:r>
        <w:rPr>
          <w:color w:val="auto"/>
        </w:rPr>
        <w:t>拟建项目地下水跟踪监测计划表</w:t>
      </w:r>
    </w:p>
    <w:tbl>
      <w:tblPr>
        <w:tblStyle w:val="24"/>
        <w:tblW w:w="4996"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770"/>
        <w:gridCol w:w="1919"/>
        <w:gridCol w:w="1411"/>
        <w:gridCol w:w="914"/>
        <w:gridCol w:w="1013"/>
        <w:gridCol w:w="997"/>
        <w:gridCol w:w="1113"/>
        <w:gridCol w:w="1708"/>
      </w:tblGrid>
      <w:tr w14:paraId="508A23D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91" w:type="pct"/>
            <w:vAlign w:val="center"/>
          </w:tcPr>
          <w:p w14:paraId="47504297">
            <w:pPr>
              <w:spacing w:line="240" w:lineRule="auto"/>
              <w:ind w:firstLine="0" w:firstLineChars="0"/>
              <w:jc w:val="center"/>
              <w:rPr>
                <w:b/>
                <w:color w:val="auto"/>
                <w:sz w:val="21"/>
                <w:szCs w:val="21"/>
              </w:rPr>
            </w:pPr>
            <w:r>
              <w:rPr>
                <w:rFonts w:hint="eastAsia"/>
                <w:b/>
                <w:color w:val="auto"/>
                <w:sz w:val="21"/>
                <w:szCs w:val="21"/>
              </w:rPr>
              <w:t>点位</w:t>
            </w:r>
          </w:p>
        </w:tc>
        <w:tc>
          <w:tcPr>
            <w:tcW w:w="974" w:type="pct"/>
            <w:vAlign w:val="center"/>
          </w:tcPr>
          <w:p w14:paraId="1A309B62">
            <w:pPr>
              <w:spacing w:line="240" w:lineRule="auto"/>
              <w:ind w:firstLine="0" w:firstLineChars="0"/>
              <w:jc w:val="center"/>
              <w:rPr>
                <w:b/>
                <w:color w:val="auto"/>
                <w:sz w:val="21"/>
                <w:szCs w:val="21"/>
              </w:rPr>
            </w:pPr>
            <w:r>
              <w:rPr>
                <w:rFonts w:hint="eastAsia"/>
                <w:b/>
                <w:color w:val="auto"/>
                <w:sz w:val="21"/>
                <w:szCs w:val="21"/>
              </w:rPr>
              <w:t>点位</w:t>
            </w:r>
          </w:p>
        </w:tc>
        <w:tc>
          <w:tcPr>
            <w:tcW w:w="716" w:type="pct"/>
            <w:vAlign w:val="center"/>
          </w:tcPr>
          <w:p w14:paraId="36A1D0AF">
            <w:pPr>
              <w:autoSpaceDE w:val="0"/>
              <w:autoSpaceDN w:val="0"/>
              <w:spacing w:line="240" w:lineRule="auto"/>
              <w:ind w:firstLine="0" w:firstLineChars="0"/>
              <w:jc w:val="center"/>
              <w:rPr>
                <w:b/>
                <w:color w:val="auto"/>
                <w:sz w:val="21"/>
                <w:szCs w:val="21"/>
              </w:rPr>
            </w:pPr>
            <w:r>
              <w:rPr>
                <w:b/>
                <w:color w:val="auto"/>
                <w:sz w:val="21"/>
                <w:szCs w:val="21"/>
              </w:rPr>
              <w:t>监测井类型</w:t>
            </w:r>
          </w:p>
        </w:tc>
        <w:tc>
          <w:tcPr>
            <w:tcW w:w="464" w:type="pct"/>
            <w:vAlign w:val="center"/>
          </w:tcPr>
          <w:p w14:paraId="25EA88B0">
            <w:pPr>
              <w:spacing w:line="240" w:lineRule="auto"/>
              <w:ind w:firstLine="0" w:firstLineChars="0"/>
              <w:jc w:val="center"/>
              <w:rPr>
                <w:b/>
                <w:color w:val="auto"/>
                <w:sz w:val="21"/>
                <w:szCs w:val="21"/>
              </w:rPr>
            </w:pPr>
            <w:r>
              <w:rPr>
                <w:rFonts w:hint="eastAsia"/>
                <w:b/>
                <w:color w:val="auto"/>
                <w:sz w:val="21"/>
                <w:szCs w:val="21"/>
              </w:rPr>
              <w:t>井深（</w:t>
            </w:r>
            <w:r>
              <w:rPr>
                <w:b/>
                <w:color w:val="auto"/>
                <w:sz w:val="21"/>
                <w:szCs w:val="21"/>
              </w:rPr>
              <w:t>m</w:t>
            </w:r>
            <w:r>
              <w:rPr>
                <w:rFonts w:hint="eastAsia"/>
                <w:b/>
                <w:color w:val="auto"/>
                <w:sz w:val="21"/>
                <w:szCs w:val="21"/>
              </w:rPr>
              <w:t>）</w:t>
            </w:r>
          </w:p>
        </w:tc>
        <w:tc>
          <w:tcPr>
            <w:tcW w:w="514" w:type="pct"/>
            <w:vAlign w:val="center"/>
          </w:tcPr>
          <w:p w14:paraId="34305859">
            <w:pPr>
              <w:spacing w:line="240" w:lineRule="auto"/>
              <w:ind w:firstLine="0" w:firstLineChars="0"/>
              <w:jc w:val="center"/>
              <w:rPr>
                <w:b/>
                <w:color w:val="auto"/>
                <w:sz w:val="21"/>
                <w:szCs w:val="21"/>
              </w:rPr>
            </w:pPr>
            <w:r>
              <w:rPr>
                <w:rFonts w:hint="eastAsia"/>
                <w:b/>
                <w:color w:val="auto"/>
                <w:sz w:val="21"/>
                <w:szCs w:val="21"/>
              </w:rPr>
              <w:t>井结构</w:t>
            </w:r>
          </w:p>
        </w:tc>
        <w:tc>
          <w:tcPr>
            <w:tcW w:w="506" w:type="pct"/>
            <w:vAlign w:val="center"/>
          </w:tcPr>
          <w:p w14:paraId="58B6DF60">
            <w:pPr>
              <w:spacing w:line="240" w:lineRule="auto"/>
              <w:ind w:firstLine="0" w:firstLineChars="0"/>
              <w:jc w:val="center"/>
              <w:rPr>
                <w:b/>
                <w:color w:val="auto"/>
                <w:sz w:val="21"/>
                <w:szCs w:val="21"/>
              </w:rPr>
            </w:pPr>
            <w:r>
              <w:rPr>
                <w:rFonts w:hint="eastAsia"/>
                <w:b/>
                <w:color w:val="auto"/>
                <w:sz w:val="21"/>
                <w:szCs w:val="21"/>
              </w:rPr>
              <w:t>监测层位</w:t>
            </w:r>
          </w:p>
        </w:tc>
        <w:tc>
          <w:tcPr>
            <w:tcW w:w="565" w:type="pct"/>
            <w:vAlign w:val="center"/>
          </w:tcPr>
          <w:p w14:paraId="08B7E2C7">
            <w:pPr>
              <w:spacing w:line="240" w:lineRule="auto"/>
              <w:ind w:firstLine="0" w:firstLineChars="0"/>
              <w:jc w:val="center"/>
              <w:rPr>
                <w:b/>
                <w:color w:val="auto"/>
                <w:sz w:val="21"/>
                <w:szCs w:val="21"/>
              </w:rPr>
            </w:pPr>
            <w:r>
              <w:rPr>
                <w:rFonts w:hint="eastAsia"/>
                <w:b/>
                <w:color w:val="auto"/>
                <w:sz w:val="21"/>
                <w:szCs w:val="21"/>
              </w:rPr>
              <w:t>监测频率</w:t>
            </w:r>
          </w:p>
        </w:tc>
        <w:tc>
          <w:tcPr>
            <w:tcW w:w="867" w:type="pct"/>
            <w:vAlign w:val="center"/>
          </w:tcPr>
          <w:p w14:paraId="51344B3C">
            <w:pPr>
              <w:spacing w:line="240" w:lineRule="auto"/>
              <w:ind w:firstLine="0" w:firstLineChars="0"/>
              <w:jc w:val="center"/>
              <w:rPr>
                <w:b/>
                <w:color w:val="auto"/>
                <w:sz w:val="21"/>
                <w:szCs w:val="21"/>
              </w:rPr>
            </w:pPr>
            <w:r>
              <w:rPr>
                <w:rFonts w:hint="eastAsia"/>
                <w:b/>
                <w:color w:val="auto"/>
                <w:sz w:val="21"/>
                <w:szCs w:val="21"/>
              </w:rPr>
              <w:t>监测因子</w:t>
            </w:r>
          </w:p>
        </w:tc>
      </w:tr>
      <w:tr w14:paraId="7AC0005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91" w:type="pct"/>
            <w:vAlign w:val="center"/>
          </w:tcPr>
          <w:p w14:paraId="276C0D86">
            <w:pPr>
              <w:spacing w:line="240" w:lineRule="auto"/>
              <w:ind w:firstLine="0" w:firstLineChars="0"/>
              <w:jc w:val="center"/>
              <w:rPr>
                <w:color w:val="auto"/>
                <w:sz w:val="21"/>
                <w:szCs w:val="21"/>
              </w:rPr>
            </w:pPr>
            <w:r>
              <w:rPr>
                <w:rFonts w:hint="eastAsia"/>
                <w:color w:val="auto"/>
                <w:sz w:val="21"/>
                <w:szCs w:val="21"/>
              </w:rPr>
              <w:t>J</w:t>
            </w:r>
            <w:r>
              <w:rPr>
                <w:color w:val="auto"/>
                <w:sz w:val="21"/>
                <w:szCs w:val="21"/>
              </w:rPr>
              <w:t>1</w:t>
            </w:r>
          </w:p>
        </w:tc>
        <w:tc>
          <w:tcPr>
            <w:tcW w:w="974" w:type="pct"/>
            <w:vAlign w:val="center"/>
          </w:tcPr>
          <w:p w14:paraId="5ADEFB34">
            <w:pPr>
              <w:spacing w:line="240" w:lineRule="auto"/>
              <w:ind w:firstLine="0" w:firstLineChars="0"/>
              <w:jc w:val="center"/>
              <w:rPr>
                <w:color w:val="auto"/>
                <w:sz w:val="21"/>
                <w:szCs w:val="21"/>
              </w:rPr>
            </w:pPr>
            <w:r>
              <w:rPr>
                <w:rFonts w:hint="eastAsia"/>
                <w:color w:val="auto"/>
                <w:sz w:val="21"/>
                <w:szCs w:val="21"/>
              </w:rPr>
              <w:t>办公区（对照点）</w:t>
            </w:r>
          </w:p>
        </w:tc>
        <w:tc>
          <w:tcPr>
            <w:tcW w:w="716" w:type="pct"/>
            <w:vAlign w:val="center"/>
          </w:tcPr>
          <w:p w14:paraId="3AF4AE51">
            <w:pPr>
              <w:autoSpaceDE w:val="0"/>
              <w:autoSpaceDN w:val="0"/>
              <w:spacing w:line="240" w:lineRule="auto"/>
              <w:ind w:firstLine="0" w:firstLineChars="0"/>
              <w:jc w:val="center"/>
              <w:rPr>
                <w:color w:val="auto"/>
                <w:sz w:val="21"/>
                <w:szCs w:val="21"/>
              </w:rPr>
            </w:pPr>
            <w:r>
              <w:rPr>
                <w:color w:val="auto"/>
                <w:sz w:val="21"/>
                <w:szCs w:val="21"/>
              </w:rPr>
              <w:t>污染监视井</w:t>
            </w:r>
          </w:p>
        </w:tc>
        <w:tc>
          <w:tcPr>
            <w:tcW w:w="464" w:type="pct"/>
            <w:vAlign w:val="center"/>
          </w:tcPr>
          <w:p w14:paraId="5FD6A53A">
            <w:pPr>
              <w:spacing w:line="240" w:lineRule="auto"/>
              <w:ind w:firstLine="0" w:firstLineChars="0"/>
              <w:jc w:val="center"/>
              <w:rPr>
                <w:color w:val="auto"/>
                <w:sz w:val="21"/>
                <w:szCs w:val="21"/>
              </w:rPr>
            </w:pPr>
            <w:r>
              <w:rPr>
                <w:color w:val="auto"/>
                <w:sz w:val="21"/>
                <w:szCs w:val="21"/>
              </w:rPr>
              <w:t>6</w:t>
            </w:r>
          </w:p>
        </w:tc>
        <w:tc>
          <w:tcPr>
            <w:tcW w:w="514" w:type="pct"/>
            <w:vAlign w:val="center"/>
          </w:tcPr>
          <w:p w14:paraId="72D53250">
            <w:pPr>
              <w:spacing w:line="240" w:lineRule="auto"/>
              <w:ind w:firstLine="0" w:firstLineChars="0"/>
              <w:jc w:val="center"/>
              <w:rPr>
                <w:color w:val="auto"/>
                <w:sz w:val="21"/>
                <w:szCs w:val="21"/>
              </w:rPr>
            </w:pPr>
            <w:r>
              <w:rPr>
                <w:rFonts w:hint="eastAsia"/>
                <w:color w:val="auto"/>
                <w:sz w:val="21"/>
                <w:szCs w:val="21"/>
              </w:rPr>
              <w:t>管井</w:t>
            </w:r>
          </w:p>
        </w:tc>
        <w:tc>
          <w:tcPr>
            <w:tcW w:w="506" w:type="pct"/>
            <w:vAlign w:val="center"/>
          </w:tcPr>
          <w:p w14:paraId="2165CC49">
            <w:pPr>
              <w:spacing w:line="240" w:lineRule="auto"/>
              <w:ind w:firstLine="0" w:firstLineChars="0"/>
              <w:jc w:val="center"/>
              <w:rPr>
                <w:color w:val="auto"/>
                <w:sz w:val="21"/>
                <w:szCs w:val="21"/>
              </w:rPr>
            </w:pPr>
            <w:r>
              <w:rPr>
                <w:rFonts w:hint="eastAsia"/>
                <w:color w:val="auto"/>
                <w:sz w:val="21"/>
                <w:szCs w:val="21"/>
              </w:rPr>
              <w:t>潜水含水层</w:t>
            </w:r>
          </w:p>
        </w:tc>
        <w:tc>
          <w:tcPr>
            <w:tcW w:w="565" w:type="pct"/>
            <w:vAlign w:val="center"/>
          </w:tcPr>
          <w:p w14:paraId="782E73D1">
            <w:pPr>
              <w:spacing w:line="240" w:lineRule="auto"/>
              <w:ind w:firstLine="0" w:firstLineChars="0"/>
              <w:jc w:val="center"/>
              <w:rPr>
                <w:color w:val="auto"/>
                <w:sz w:val="21"/>
                <w:szCs w:val="21"/>
              </w:rPr>
            </w:pPr>
            <w:r>
              <w:rPr>
                <w:rFonts w:hint="eastAsia"/>
                <w:color w:val="auto"/>
                <w:sz w:val="21"/>
                <w:szCs w:val="21"/>
              </w:rPr>
              <w:t>半年一次</w:t>
            </w:r>
          </w:p>
        </w:tc>
        <w:tc>
          <w:tcPr>
            <w:tcW w:w="867" w:type="pct"/>
            <w:vMerge w:val="restart"/>
            <w:vAlign w:val="center"/>
          </w:tcPr>
          <w:p w14:paraId="098D9D36">
            <w:pPr>
              <w:spacing w:line="240" w:lineRule="auto"/>
              <w:ind w:firstLine="0" w:firstLineChars="0"/>
              <w:jc w:val="center"/>
              <w:rPr>
                <w:color w:val="auto"/>
                <w:sz w:val="21"/>
                <w:szCs w:val="18"/>
              </w:rPr>
            </w:pPr>
            <w:r>
              <w:rPr>
                <w:color w:val="auto"/>
                <w:sz w:val="21"/>
                <w:szCs w:val="21"/>
              </w:rPr>
              <w:t>GB/T14848</w:t>
            </w:r>
            <w:r>
              <w:rPr>
                <w:rFonts w:hint="eastAsia"/>
                <w:color w:val="auto"/>
                <w:sz w:val="21"/>
                <w:szCs w:val="21"/>
              </w:rPr>
              <w:t>表1常规指标（微生物指标、放射性指标除外）</w:t>
            </w:r>
          </w:p>
        </w:tc>
      </w:tr>
      <w:tr w14:paraId="6E84F73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91" w:type="pct"/>
            <w:vAlign w:val="center"/>
          </w:tcPr>
          <w:p w14:paraId="1BC68E39">
            <w:pPr>
              <w:spacing w:line="240" w:lineRule="auto"/>
              <w:ind w:firstLine="0" w:firstLineChars="0"/>
              <w:jc w:val="center"/>
              <w:rPr>
                <w:color w:val="auto"/>
                <w:sz w:val="21"/>
                <w:szCs w:val="21"/>
              </w:rPr>
            </w:pPr>
            <w:r>
              <w:rPr>
                <w:color w:val="auto"/>
                <w:sz w:val="21"/>
                <w:szCs w:val="21"/>
              </w:rPr>
              <w:t>J2</w:t>
            </w:r>
          </w:p>
        </w:tc>
        <w:tc>
          <w:tcPr>
            <w:tcW w:w="974" w:type="pct"/>
            <w:vAlign w:val="center"/>
          </w:tcPr>
          <w:p w14:paraId="7AACD6A2">
            <w:pPr>
              <w:spacing w:line="240" w:lineRule="auto"/>
              <w:ind w:firstLine="0" w:firstLineChars="0"/>
              <w:jc w:val="center"/>
              <w:rPr>
                <w:color w:val="auto"/>
                <w:sz w:val="21"/>
                <w:szCs w:val="21"/>
              </w:rPr>
            </w:pPr>
            <w:r>
              <w:rPr>
                <w:rFonts w:hint="eastAsia"/>
                <w:color w:val="auto"/>
                <w:sz w:val="21"/>
                <w:szCs w:val="21"/>
              </w:rPr>
              <w:t>1#生产车间</w:t>
            </w:r>
          </w:p>
        </w:tc>
        <w:tc>
          <w:tcPr>
            <w:tcW w:w="716" w:type="pct"/>
            <w:vAlign w:val="center"/>
          </w:tcPr>
          <w:p w14:paraId="3E728725">
            <w:pPr>
              <w:spacing w:line="240" w:lineRule="auto"/>
              <w:ind w:firstLine="0" w:firstLineChars="0"/>
              <w:jc w:val="center"/>
              <w:rPr>
                <w:color w:val="auto"/>
                <w:sz w:val="21"/>
                <w:szCs w:val="21"/>
              </w:rPr>
            </w:pPr>
            <w:r>
              <w:rPr>
                <w:color w:val="auto"/>
                <w:sz w:val="21"/>
                <w:szCs w:val="21"/>
              </w:rPr>
              <w:t>污染监视井</w:t>
            </w:r>
          </w:p>
        </w:tc>
        <w:tc>
          <w:tcPr>
            <w:tcW w:w="464" w:type="pct"/>
            <w:vAlign w:val="center"/>
          </w:tcPr>
          <w:p w14:paraId="2133718D">
            <w:pPr>
              <w:spacing w:line="240" w:lineRule="auto"/>
              <w:ind w:firstLine="0" w:firstLineChars="0"/>
              <w:jc w:val="center"/>
              <w:rPr>
                <w:color w:val="auto"/>
                <w:sz w:val="21"/>
                <w:szCs w:val="21"/>
              </w:rPr>
            </w:pPr>
            <w:r>
              <w:rPr>
                <w:color w:val="auto"/>
                <w:sz w:val="21"/>
                <w:szCs w:val="21"/>
              </w:rPr>
              <w:t>6</w:t>
            </w:r>
          </w:p>
        </w:tc>
        <w:tc>
          <w:tcPr>
            <w:tcW w:w="514" w:type="pct"/>
            <w:vAlign w:val="center"/>
          </w:tcPr>
          <w:p w14:paraId="4F58933B">
            <w:pPr>
              <w:spacing w:line="240" w:lineRule="auto"/>
              <w:ind w:firstLine="0" w:firstLineChars="0"/>
              <w:jc w:val="center"/>
              <w:rPr>
                <w:color w:val="auto"/>
                <w:sz w:val="21"/>
                <w:szCs w:val="21"/>
              </w:rPr>
            </w:pPr>
            <w:r>
              <w:rPr>
                <w:rFonts w:hint="eastAsia"/>
                <w:color w:val="auto"/>
                <w:sz w:val="21"/>
                <w:szCs w:val="21"/>
              </w:rPr>
              <w:t>管井</w:t>
            </w:r>
          </w:p>
        </w:tc>
        <w:tc>
          <w:tcPr>
            <w:tcW w:w="506" w:type="pct"/>
            <w:vAlign w:val="center"/>
          </w:tcPr>
          <w:p w14:paraId="160DFF91">
            <w:pPr>
              <w:spacing w:line="240" w:lineRule="auto"/>
              <w:ind w:firstLine="0" w:firstLineChars="0"/>
              <w:jc w:val="center"/>
              <w:rPr>
                <w:color w:val="auto"/>
                <w:sz w:val="21"/>
                <w:szCs w:val="21"/>
              </w:rPr>
            </w:pPr>
            <w:r>
              <w:rPr>
                <w:rFonts w:hint="eastAsia"/>
                <w:color w:val="auto"/>
                <w:sz w:val="21"/>
                <w:szCs w:val="21"/>
              </w:rPr>
              <w:t>潜水含水层</w:t>
            </w:r>
          </w:p>
        </w:tc>
        <w:tc>
          <w:tcPr>
            <w:tcW w:w="565" w:type="pct"/>
            <w:vAlign w:val="center"/>
          </w:tcPr>
          <w:p w14:paraId="4EFC3EC9">
            <w:pPr>
              <w:spacing w:line="240" w:lineRule="auto"/>
              <w:ind w:firstLine="0" w:firstLineChars="0"/>
              <w:jc w:val="center"/>
              <w:rPr>
                <w:color w:val="auto"/>
                <w:sz w:val="21"/>
                <w:szCs w:val="21"/>
              </w:rPr>
            </w:pPr>
            <w:r>
              <w:rPr>
                <w:rFonts w:hint="eastAsia"/>
                <w:color w:val="auto"/>
                <w:sz w:val="21"/>
                <w:szCs w:val="21"/>
              </w:rPr>
              <w:t>半年一次</w:t>
            </w:r>
          </w:p>
        </w:tc>
        <w:tc>
          <w:tcPr>
            <w:tcW w:w="867" w:type="pct"/>
            <w:vMerge w:val="continue"/>
            <w:vAlign w:val="center"/>
          </w:tcPr>
          <w:p w14:paraId="53BE1F79">
            <w:pPr>
              <w:widowControl/>
              <w:spacing w:line="240" w:lineRule="auto"/>
              <w:ind w:firstLine="0" w:firstLineChars="0"/>
              <w:jc w:val="center"/>
              <w:rPr>
                <w:color w:val="auto"/>
                <w:sz w:val="21"/>
                <w:szCs w:val="18"/>
              </w:rPr>
            </w:pPr>
          </w:p>
        </w:tc>
      </w:tr>
      <w:tr w14:paraId="57B2FA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91" w:type="pct"/>
            <w:vAlign w:val="center"/>
          </w:tcPr>
          <w:p w14:paraId="6C56700A">
            <w:pPr>
              <w:spacing w:line="240" w:lineRule="auto"/>
              <w:ind w:firstLine="0" w:firstLineChars="0"/>
              <w:jc w:val="center"/>
              <w:rPr>
                <w:color w:val="auto"/>
                <w:sz w:val="21"/>
                <w:szCs w:val="21"/>
              </w:rPr>
            </w:pPr>
            <w:r>
              <w:rPr>
                <w:color w:val="auto"/>
                <w:sz w:val="21"/>
                <w:szCs w:val="21"/>
              </w:rPr>
              <w:t>J3</w:t>
            </w:r>
          </w:p>
        </w:tc>
        <w:tc>
          <w:tcPr>
            <w:tcW w:w="974" w:type="pct"/>
            <w:vAlign w:val="center"/>
          </w:tcPr>
          <w:p w14:paraId="2BC5E1F3">
            <w:pPr>
              <w:spacing w:line="240" w:lineRule="auto"/>
              <w:ind w:firstLine="0" w:firstLineChars="0"/>
              <w:jc w:val="center"/>
              <w:rPr>
                <w:color w:val="auto"/>
                <w:sz w:val="21"/>
                <w:szCs w:val="21"/>
              </w:rPr>
            </w:pPr>
            <w:r>
              <w:rPr>
                <w:rFonts w:hint="eastAsia"/>
                <w:color w:val="auto"/>
                <w:sz w:val="21"/>
                <w:szCs w:val="21"/>
              </w:rPr>
              <w:t>1#生产车间</w:t>
            </w:r>
          </w:p>
        </w:tc>
        <w:tc>
          <w:tcPr>
            <w:tcW w:w="716" w:type="pct"/>
            <w:vAlign w:val="center"/>
          </w:tcPr>
          <w:p w14:paraId="5BF17172">
            <w:pPr>
              <w:spacing w:line="240" w:lineRule="auto"/>
              <w:ind w:firstLine="0" w:firstLineChars="0"/>
              <w:jc w:val="center"/>
              <w:rPr>
                <w:color w:val="auto"/>
                <w:sz w:val="21"/>
                <w:szCs w:val="21"/>
              </w:rPr>
            </w:pPr>
            <w:r>
              <w:rPr>
                <w:color w:val="auto"/>
                <w:sz w:val="21"/>
                <w:szCs w:val="21"/>
              </w:rPr>
              <w:t>污染监视井</w:t>
            </w:r>
          </w:p>
        </w:tc>
        <w:tc>
          <w:tcPr>
            <w:tcW w:w="464" w:type="pct"/>
            <w:vAlign w:val="center"/>
          </w:tcPr>
          <w:p w14:paraId="7F568042">
            <w:pPr>
              <w:spacing w:line="240" w:lineRule="auto"/>
              <w:ind w:firstLine="0" w:firstLineChars="0"/>
              <w:jc w:val="center"/>
              <w:rPr>
                <w:color w:val="auto"/>
                <w:sz w:val="21"/>
                <w:szCs w:val="21"/>
              </w:rPr>
            </w:pPr>
            <w:r>
              <w:rPr>
                <w:color w:val="auto"/>
                <w:sz w:val="21"/>
                <w:szCs w:val="21"/>
              </w:rPr>
              <w:t>6</w:t>
            </w:r>
          </w:p>
        </w:tc>
        <w:tc>
          <w:tcPr>
            <w:tcW w:w="514" w:type="pct"/>
            <w:vAlign w:val="center"/>
          </w:tcPr>
          <w:p w14:paraId="65B6087F">
            <w:pPr>
              <w:spacing w:line="240" w:lineRule="auto"/>
              <w:ind w:firstLine="0" w:firstLineChars="0"/>
              <w:jc w:val="center"/>
              <w:rPr>
                <w:color w:val="auto"/>
                <w:sz w:val="21"/>
                <w:szCs w:val="21"/>
              </w:rPr>
            </w:pPr>
            <w:r>
              <w:rPr>
                <w:rFonts w:hint="eastAsia"/>
                <w:color w:val="auto"/>
                <w:sz w:val="21"/>
                <w:szCs w:val="21"/>
              </w:rPr>
              <w:t>管井</w:t>
            </w:r>
          </w:p>
        </w:tc>
        <w:tc>
          <w:tcPr>
            <w:tcW w:w="506" w:type="pct"/>
            <w:vAlign w:val="center"/>
          </w:tcPr>
          <w:p w14:paraId="5FCEBBCA">
            <w:pPr>
              <w:spacing w:line="240" w:lineRule="auto"/>
              <w:ind w:firstLine="0" w:firstLineChars="0"/>
              <w:jc w:val="center"/>
              <w:rPr>
                <w:color w:val="auto"/>
                <w:sz w:val="21"/>
                <w:szCs w:val="21"/>
              </w:rPr>
            </w:pPr>
            <w:r>
              <w:rPr>
                <w:rFonts w:hint="eastAsia"/>
                <w:color w:val="auto"/>
                <w:sz w:val="21"/>
                <w:szCs w:val="21"/>
              </w:rPr>
              <w:t>潜水含水层</w:t>
            </w:r>
          </w:p>
        </w:tc>
        <w:tc>
          <w:tcPr>
            <w:tcW w:w="565" w:type="pct"/>
            <w:vAlign w:val="center"/>
          </w:tcPr>
          <w:p w14:paraId="68BF898C">
            <w:pPr>
              <w:spacing w:line="240" w:lineRule="auto"/>
              <w:ind w:firstLine="0" w:firstLineChars="0"/>
              <w:jc w:val="center"/>
              <w:rPr>
                <w:color w:val="auto"/>
                <w:sz w:val="21"/>
                <w:szCs w:val="21"/>
              </w:rPr>
            </w:pPr>
            <w:r>
              <w:rPr>
                <w:rFonts w:hint="eastAsia"/>
                <w:color w:val="auto"/>
                <w:sz w:val="21"/>
                <w:szCs w:val="21"/>
              </w:rPr>
              <w:t>半年一次</w:t>
            </w:r>
          </w:p>
        </w:tc>
        <w:tc>
          <w:tcPr>
            <w:tcW w:w="867" w:type="pct"/>
            <w:vMerge w:val="continue"/>
            <w:vAlign w:val="center"/>
          </w:tcPr>
          <w:p w14:paraId="1CBD0917">
            <w:pPr>
              <w:widowControl/>
              <w:spacing w:line="240" w:lineRule="auto"/>
              <w:ind w:firstLine="0" w:firstLineChars="0"/>
              <w:jc w:val="center"/>
              <w:rPr>
                <w:color w:val="auto"/>
                <w:sz w:val="21"/>
                <w:szCs w:val="18"/>
              </w:rPr>
            </w:pPr>
          </w:p>
        </w:tc>
      </w:tr>
      <w:tr w14:paraId="33822B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91" w:type="pct"/>
            <w:vAlign w:val="center"/>
          </w:tcPr>
          <w:p w14:paraId="0C2147EF">
            <w:pPr>
              <w:spacing w:line="240" w:lineRule="auto"/>
              <w:ind w:firstLine="0" w:firstLineChars="0"/>
              <w:jc w:val="center"/>
              <w:rPr>
                <w:color w:val="auto"/>
                <w:sz w:val="21"/>
                <w:szCs w:val="21"/>
              </w:rPr>
            </w:pPr>
            <w:r>
              <w:rPr>
                <w:color w:val="auto"/>
                <w:sz w:val="21"/>
                <w:szCs w:val="21"/>
              </w:rPr>
              <w:t>J</w:t>
            </w:r>
            <w:r>
              <w:rPr>
                <w:rFonts w:hint="eastAsia"/>
                <w:color w:val="auto"/>
                <w:sz w:val="21"/>
                <w:szCs w:val="21"/>
              </w:rPr>
              <w:t>4</w:t>
            </w:r>
          </w:p>
        </w:tc>
        <w:tc>
          <w:tcPr>
            <w:tcW w:w="974" w:type="pct"/>
            <w:vAlign w:val="center"/>
          </w:tcPr>
          <w:p w14:paraId="62E30F48">
            <w:pPr>
              <w:spacing w:line="240" w:lineRule="auto"/>
              <w:ind w:firstLine="0" w:firstLineChars="0"/>
              <w:jc w:val="center"/>
              <w:rPr>
                <w:color w:val="auto"/>
                <w:sz w:val="21"/>
                <w:szCs w:val="21"/>
              </w:rPr>
            </w:pPr>
            <w:r>
              <w:rPr>
                <w:rFonts w:hint="eastAsia"/>
                <w:color w:val="auto"/>
                <w:sz w:val="21"/>
                <w:szCs w:val="21"/>
              </w:rPr>
              <w:t>污水处理区</w:t>
            </w:r>
          </w:p>
        </w:tc>
        <w:tc>
          <w:tcPr>
            <w:tcW w:w="716" w:type="pct"/>
            <w:vAlign w:val="center"/>
          </w:tcPr>
          <w:p w14:paraId="46AEF540">
            <w:pPr>
              <w:spacing w:line="240" w:lineRule="auto"/>
              <w:ind w:firstLine="0" w:firstLineChars="0"/>
              <w:jc w:val="center"/>
              <w:rPr>
                <w:color w:val="auto"/>
                <w:sz w:val="21"/>
                <w:szCs w:val="21"/>
              </w:rPr>
            </w:pPr>
            <w:r>
              <w:rPr>
                <w:color w:val="auto"/>
                <w:sz w:val="21"/>
                <w:szCs w:val="21"/>
              </w:rPr>
              <w:t>污染监视井</w:t>
            </w:r>
          </w:p>
        </w:tc>
        <w:tc>
          <w:tcPr>
            <w:tcW w:w="464" w:type="pct"/>
            <w:vAlign w:val="center"/>
          </w:tcPr>
          <w:p w14:paraId="3CA83D03">
            <w:pPr>
              <w:spacing w:line="240" w:lineRule="auto"/>
              <w:ind w:firstLine="0" w:firstLineChars="0"/>
              <w:jc w:val="center"/>
              <w:rPr>
                <w:color w:val="auto"/>
                <w:sz w:val="21"/>
                <w:szCs w:val="21"/>
              </w:rPr>
            </w:pPr>
            <w:r>
              <w:rPr>
                <w:color w:val="auto"/>
                <w:sz w:val="21"/>
                <w:szCs w:val="21"/>
              </w:rPr>
              <w:t>6</w:t>
            </w:r>
          </w:p>
        </w:tc>
        <w:tc>
          <w:tcPr>
            <w:tcW w:w="514" w:type="pct"/>
            <w:vAlign w:val="center"/>
          </w:tcPr>
          <w:p w14:paraId="2E55A980">
            <w:pPr>
              <w:spacing w:line="240" w:lineRule="auto"/>
              <w:ind w:firstLine="0" w:firstLineChars="0"/>
              <w:jc w:val="center"/>
              <w:rPr>
                <w:color w:val="auto"/>
                <w:sz w:val="21"/>
                <w:szCs w:val="21"/>
              </w:rPr>
            </w:pPr>
            <w:r>
              <w:rPr>
                <w:rFonts w:hint="eastAsia"/>
                <w:color w:val="auto"/>
                <w:sz w:val="21"/>
                <w:szCs w:val="21"/>
              </w:rPr>
              <w:t>管井</w:t>
            </w:r>
          </w:p>
        </w:tc>
        <w:tc>
          <w:tcPr>
            <w:tcW w:w="506" w:type="pct"/>
            <w:vAlign w:val="center"/>
          </w:tcPr>
          <w:p w14:paraId="4EA0F801">
            <w:pPr>
              <w:spacing w:line="240" w:lineRule="auto"/>
              <w:ind w:firstLine="0" w:firstLineChars="0"/>
              <w:jc w:val="center"/>
              <w:rPr>
                <w:color w:val="auto"/>
                <w:sz w:val="21"/>
                <w:szCs w:val="21"/>
              </w:rPr>
            </w:pPr>
            <w:r>
              <w:rPr>
                <w:rFonts w:hint="eastAsia"/>
                <w:color w:val="auto"/>
                <w:sz w:val="21"/>
                <w:szCs w:val="21"/>
              </w:rPr>
              <w:t>潜水含水层</w:t>
            </w:r>
          </w:p>
        </w:tc>
        <w:tc>
          <w:tcPr>
            <w:tcW w:w="565" w:type="pct"/>
            <w:vAlign w:val="center"/>
          </w:tcPr>
          <w:p w14:paraId="5BF26EBF">
            <w:pPr>
              <w:spacing w:line="240" w:lineRule="auto"/>
              <w:ind w:firstLine="0" w:firstLineChars="0"/>
              <w:jc w:val="center"/>
              <w:rPr>
                <w:color w:val="auto"/>
                <w:sz w:val="21"/>
                <w:szCs w:val="21"/>
              </w:rPr>
            </w:pPr>
            <w:r>
              <w:rPr>
                <w:rFonts w:hint="eastAsia"/>
                <w:color w:val="auto"/>
                <w:sz w:val="21"/>
                <w:szCs w:val="21"/>
              </w:rPr>
              <w:t>半年一次</w:t>
            </w:r>
          </w:p>
        </w:tc>
        <w:tc>
          <w:tcPr>
            <w:tcW w:w="867" w:type="pct"/>
            <w:vMerge w:val="continue"/>
            <w:vAlign w:val="center"/>
          </w:tcPr>
          <w:p w14:paraId="1A0A1698">
            <w:pPr>
              <w:widowControl/>
              <w:spacing w:line="240" w:lineRule="auto"/>
              <w:ind w:firstLine="0" w:firstLineChars="0"/>
              <w:jc w:val="center"/>
              <w:rPr>
                <w:color w:val="auto"/>
                <w:sz w:val="21"/>
                <w:szCs w:val="18"/>
              </w:rPr>
            </w:pPr>
          </w:p>
        </w:tc>
      </w:tr>
      <w:tr w14:paraId="575F26F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91" w:type="pct"/>
            <w:vAlign w:val="center"/>
          </w:tcPr>
          <w:p w14:paraId="0CBB6FBE">
            <w:pPr>
              <w:spacing w:line="240" w:lineRule="auto"/>
              <w:ind w:firstLine="0" w:firstLineChars="0"/>
              <w:jc w:val="center"/>
              <w:rPr>
                <w:color w:val="auto"/>
                <w:sz w:val="21"/>
                <w:szCs w:val="21"/>
              </w:rPr>
            </w:pPr>
            <w:r>
              <w:rPr>
                <w:color w:val="auto"/>
                <w:sz w:val="21"/>
                <w:szCs w:val="21"/>
              </w:rPr>
              <w:t>J5</w:t>
            </w:r>
          </w:p>
        </w:tc>
        <w:tc>
          <w:tcPr>
            <w:tcW w:w="974" w:type="pct"/>
            <w:vAlign w:val="center"/>
          </w:tcPr>
          <w:p w14:paraId="4D477402">
            <w:pPr>
              <w:spacing w:line="240" w:lineRule="auto"/>
              <w:ind w:firstLine="0" w:firstLineChars="0"/>
              <w:jc w:val="center"/>
              <w:rPr>
                <w:color w:val="auto"/>
                <w:sz w:val="21"/>
                <w:szCs w:val="21"/>
              </w:rPr>
            </w:pPr>
            <w:r>
              <w:rPr>
                <w:rFonts w:hint="eastAsia"/>
                <w:color w:val="auto"/>
                <w:sz w:val="21"/>
                <w:szCs w:val="21"/>
              </w:rPr>
              <w:t>危废仓库区</w:t>
            </w:r>
          </w:p>
        </w:tc>
        <w:tc>
          <w:tcPr>
            <w:tcW w:w="716" w:type="pct"/>
            <w:vAlign w:val="center"/>
          </w:tcPr>
          <w:p w14:paraId="3BB2017B">
            <w:pPr>
              <w:spacing w:line="240" w:lineRule="auto"/>
              <w:ind w:firstLine="0" w:firstLineChars="0"/>
              <w:jc w:val="center"/>
              <w:rPr>
                <w:color w:val="auto"/>
                <w:sz w:val="21"/>
                <w:szCs w:val="21"/>
              </w:rPr>
            </w:pPr>
            <w:r>
              <w:rPr>
                <w:color w:val="auto"/>
                <w:sz w:val="21"/>
                <w:szCs w:val="21"/>
              </w:rPr>
              <w:t>污染监视井</w:t>
            </w:r>
          </w:p>
        </w:tc>
        <w:tc>
          <w:tcPr>
            <w:tcW w:w="464" w:type="pct"/>
            <w:vAlign w:val="center"/>
          </w:tcPr>
          <w:p w14:paraId="2A62547A">
            <w:pPr>
              <w:spacing w:line="240" w:lineRule="auto"/>
              <w:ind w:firstLine="0" w:firstLineChars="0"/>
              <w:jc w:val="center"/>
              <w:rPr>
                <w:color w:val="auto"/>
                <w:sz w:val="21"/>
                <w:szCs w:val="21"/>
              </w:rPr>
            </w:pPr>
            <w:r>
              <w:rPr>
                <w:color w:val="auto"/>
                <w:sz w:val="21"/>
                <w:szCs w:val="21"/>
              </w:rPr>
              <w:t>6</w:t>
            </w:r>
          </w:p>
        </w:tc>
        <w:tc>
          <w:tcPr>
            <w:tcW w:w="514" w:type="pct"/>
            <w:vAlign w:val="center"/>
          </w:tcPr>
          <w:p w14:paraId="50E1DE22">
            <w:pPr>
              <w:spacing w:line="240" w:lineRule="auto"/>
              <w:ind w:firstLine="0" w:firstLineChars="0"/>
              <w:jc w:val="center"/>
              <w:rPr>
                <w:color w:val="auto"/>
                <w:sz w:val="21"/>
                <w:szCs w:val="21"/>
              </w:rPr>
            </w:pPr>
            <w:r>
              <w:rPr>
                <w:rFonts w:hint="eastAsia"/>
                <w:color w:val="auto"/>
                <w:sz w:val="21"/>
                <w:szCs w:val="21"/>
              </w:rPr>
              <w:t>管井</w:t>
            </w:r>
          </w:p>
        </w:tc>
        <w:tc>
          <w:tcPr>
            <w:tcW w:w="506" w:type="pct"/>
            <w:vAlign w:val="center"/>
          </w:tcPr>
          <w:p w14:paraId="011F3928">
            <w:pPr>
              <w:spacing w:line="240" w:lineRule="auto"/>
              <w:ind w:firstLine="0" w:firstLineChars="0"/>
              <w:jc w:val="center"/>
              <w:rPr>
                <w:color w:val="auto"/>
                <w:sz w:val="21"/>
                <w:szCs w:val="21"/>
              </w:rPr>
            </w:pPr>
            <w:r>
              <w:rPr>
                <w:rFonts w:hint="eastAsia"/>
                <w:color w:val="auto"/>
                <w:sz w:val="21"/>
                <w:szCs w:val="21"/>
              </w:rPr>
              <w:t>潜水含水层</w:t>
            </w:r>
          </w:p>
        </w:tc>
        <w:tc>
          <w:tcPr>
            <w:tcW w:w="565" w:type="pct"/>
            <w:vAlign w:val="center"/>
          </w:tcPr>
          <w:p w14:paraId="27A193A0">
            <w:pPr>
              <w:spacing w:line="240" w:lineRule="auto"/>
              <w:ind w:firstLine="0" w:firstLineChars="0"/>
              <w:jc w:val="center"/>
              <w:rPr>
                <w:color w:val="auto"/>
                <w:sz w:val="21"/>
                <w:szCs w:val="21"/>
              </w:rPr>
            </w:pPr>
            <w:r>
              <w:rPr>
                <w:rFonts w:hint="eastAsia"/>
                <w:color w:val="auto"/>
                <w:sz w:val="21"/>
                <w:szCs w:val="21"/>
              </w:rPr>
              <w:t>半年一次</w:t>
            </w:r>
          </w:p>
        </w:tc>
        <w:tc>
          <w:tcPr>
            <w:tcW w:w="867" w:type="pct"/>
            <w:vMerge w:val="continue"/>
            <w:vAlign w:val="center"/>
          </w:tcPr>
          <w:p w14:paraId="58B49177">
            <w:pPr>
              <w:widowControl/>
              <w:spacing w:line="240" w:lineRule="auto"/>
              <w:ind w:firstLine="0" w:firstLineChars="0"/>
              <w:jc w:val="center"/>
              <w:rPr>
                <w:color w:val="auto"/>
                <w:sz w:val="21"/>
                <w:szCs w:val="18"/>
              </w:rPr>
            </w:pPr>
          </w:p>
        </w:tc>
      </w:tr>
      <w:tr w14:paraId="175A4EC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91" w:type="pct"/>
            <w:vAlign w:val="center"/>
          </w:tcPr>
          <w:p w14:paraId="2A2A0E3D">
            <w:pPr>
              <w:spacing w:line="240" w:lineRule="auto"/>
              <w:ind w:firstLine="0" w:firstLineChars="0"/>
              <w:jc w:val="center"/>
              <w:rPr>
                <w:color w:val="auto"/>
                <w:sz w:val="21"/>
                <w:szCs w:val="21"/>
              </w:rPr>
            </w:pPr>
            <w:r>
              <w:rPr>
                <w:rFonts w:hint="eastAsia"/>
                <w:color w:val="auto"/>
                <w:sz w:val="21"/>
                <w:szCs w:val="21"/>
              </w:rPr>
              <w:t>J6</w:t>
            </w:r>
          </w:p>
        </w:tc>
        <w:tc>
          <w:tcPr>
            <w:tcW w:w="974" w:type="pct"/>
            <w:vAlign w:val="center"/>
          </w:tcPr>
          <w:p w14:paraId="27DDB168">
            <w:pPr>
              <w:spacing w:line="240" w:lineRule="auto"/>
              <w:ind w:firstLine="0" w:firstLineChars="0"/>
              <w:jc w:val="center"/>
              <w:rPr>
                <w:color w:val="auto"/>
                <w:sz w:val="21"/>
                <w:szCs w:val="21"/>
              </w:rPr>
            </w:pPr>
            <w:r>
              <w:rPr>
                <w:rFonts w:hint="eastAsia"/>
                <w:color w:val="auto"/>
                <w:sz w:val="21"/>
                <w:szCs w:val="21"/>
              </w:rPr>
              <w:t>储罐区</w:t>
            </w:r>
          </w:p>
        </w:tc>
        <w:tc>
          <w:tcPr>
            <w:tcW w:w="716" w:type="pct"/>
            <w:vAlign w:val="center"/>
          </w:tcPr>
          <w:p w14:paraId="7A34C678">
            <w:pPr>
              <w:spacing w:line="240" w:lineRule="auto"/>
              <w:ind w:firstLine="0" w:firstLineChars="0"/>
              <w:jc w:val="center"/>
              <w:rPr>
                <w:color w:val="auto"/>
                <w:sz w:val="21"/>
                <w:szCs w:val="21"/>
              </w:rPr>
            </w:pPr>
            <w:r>
              <w:rPr>
                <w:color w:val="auto"/>
                <w:sz w:val="21"/>
                <w:szCs w:val="21"/>
              </w:rPr>
              <w:t>污染监视井</w:t>
            </w:r>
          </w:p>
        </w:tc>
        <w:tc>
          <w:tcPr>
            <w:tcW w:w="464" w:type="pct"/>
            <w:vAlign w:val="center"/>
          </w:tcPr>
          <w:p w14:paraId="5C2F6B8A">
            <w:pPr>
              <w:spacing w:line="240" w:lineRule="auto"/>
              <w:ind w:firstLine="0" w:firstLineChars="0"/>
              <w:jc w:val="center"/>
              <w:rPr>
                <w:color w:val="auto"/>
                <w:sz w:val="21"/>
                <w:szCs w:val="21"/>
              </w:rPr>
            </w:pPr>
            <w:r>
              <w:rPr>
                <w:color w:val="auto"/>
                <w:sz w:val="21"/>
                <w:szCs w:val="21"/>
              </w:rPr>
              <w:t>6</w:t>
            </w:r>
          </w:p>
        </w:tc>
        <w:tc>
          <w:tcPr>
            <w:tcW w:w="514" w:type="pct"/>
            <w:vAlign w:val="center"/>
          </w:tcPr>
          <w:p w14:paraId="152A20B9">
            <w:pPr>
              <w:spacing w:line="240" w:lineRule="auto"/>
              <w:ind w:firstLine="0" w:firstLineChars="0"/>
              <w:jc w:val="center"/>
              <w:rPr>
                <w:color w:val="auto"/>
                <w:sz w:val="21"/>
                <w:szCs w:val="21"/>
              </w:rPr>
            </w:pPr>
            <w:r>
              <w:rPr>
                <w:rFonts w:hint="eastAsia"/>
                <w:color w:val="auto"/>
                <w:sz w:val="21"/>
                <w:szCs w:val="21"/>
              </w:rPr>
              <w:t>管井</w:t>
            </w:r>
          </w:p>
        </w:tc>
        <w:tc>
          <w:tcPr>
            <w:tcW w:w="506" w:type="pct"/>
            <w:vAlign w:val="center"/>
          </w:tcPr>
          <w:p w14:paraId="5FF655D0">
            <w:pPr>
              <w:spacing w:line="240" w:lineRule="auto"/>
              <w:ind w:firstLine="0" w:firstLineChars="0"/>
              <w:jc w:val="center"/>
              <w:rPr>
                <w:color w:val="auto"/>
                <w:sz w:val="21"/>
                <w:szCs w:val="21"/>
              </w:rPr>
            </w:pPr>
            <w:r>
              <w:rPr>
                <w:rFonts w:hint="eastAsia"/>
                <w:color w:val="auto"/>
                <w:sz w:val="21"/>
                <w:szCs w:val="21"/>
              </w:rPr>
              <w:t>潜水含水层</w:t>
            </w:r>
          </w:p>
        </w:tc>
        <w:tc>
          <w:tcPr>
            <w:tcW w:w="565" w:type="pct"/>
            <w:vAlign w:val="center"/>
          </w:tcPr>
          <w:p w14:paraId="10CDDB6F">
            <w:pPr>
              <w:spacing w:line="240" w:lineRule="auto"/>
              <w:ind w:firstLine="0" w:firstLineChars="0"/>
              <w:jc w:val="center"/>
              <w:rPr>
                <w:color w:val="auto"/>
                <w:sz w:val="21"/>
                <w:szCs w:val="21"/>
              </w:rPr>
            </w:pPr>
            <w:r>
              <w:rPr>
                <w:rFonts w:hint="eastAsia"/>
                <w:color w:val="auto"/>
                <w:sz w:val="21"/>
                <w:szCs w:val="21"/>
              </w:rPr>
              <w:t>半年一次</w:t>
            </w:r>
          </w:p>
        </w:tc>
        <w:tc>
          <w:tcPr>
            <w:tcW w:w="867" w:type="pct"/>
            <w:vMerge w:val="continue"/>
            <w:vAlign w:val="center"/>
          </w:tcPr>
          <w:p w14:paraId="25F540EE">
            <w:pPr>
              <w:widowControl/>
              <w:spacing w:line="240" w:lineRule="auto"/>
              <w:ind w:firstLine="0" w:firstLineChars="0"/>
              <w:jc w:val="center"/>
              <w:rPr>
                <w:color w:val="auto"/>
                <w:sz w:val="21"/>
                <w:szCs w:val="18"/>
              </w:rPr>
            </w:pPr>
          </w:p>
        </w:tc>
      </w:tr>
      <w:tr w14:paraId="54E556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91" w:type="pct"/>
            <w:vAlign w:val="center"/>
          </w:tcPr>
          <w:p w14:paraId="0F708AC1">
            <w:pPr>
              <w:spacing w:line="240" w:lineRule="auto"/>
              <w:ind w:firstLine="0" w:firstLineChars="0"/>
              <w:jc w:val="center"/>
              <w:rPr>
                <w:color w:val="auto"/>
                <w:sz w:val="21"/>
                <w:szCs w:val="21"/>
              </w:rPr>
            </w:pPr>
            <w:r>
              <w:rPr>
                <w:rFonts w:hint="eastAsia"/>
                <w:color w:val="auto"/>
                <w:sz w:val="21"/>
                <w:szCs w:val="21"/>
              </w:rPr>
              <w:t>J7</w:t>
            </w:r>
          </w:p>
        </w:tc>
        <w:tc>
          <w:tcPr>
            <w:tcW w:w="974" w:type="pct"/>
            <w:vAlign w:val="center"/>
          </w:tcPr>
          <w:p w14:paraId="451961D6">
            <w:pPr>
              <w:spacing w:line="240" w:lineRule="auto"/>
              <w:ind w:firstLine="0" w:firstLineChars="0"/>
              <w:jc w:val="center"/>
              <w:rPr>
                <w:color w:val="auto"/>
                <w:sz w:val="21"/>
                <w:szCs w:val="21"/>
              </w:rPr>
            </w:pPr>
            <w:r>
              <w:rPr>
                <w:rFonts w:hint="eastAsia"/>
                <w:color w:val="auto"/>
                <w:sz w:val="21"/>
                <w:szCs w:val="21"/>
              </w:rPr>
              <w:t>丙类仓库区</w:t>
            </w:r>
          </w:p>
        </w:tc>
        <w:tc>
          <w:tcPr>
            <w:tcW w:w="716" w:type="pct"/>
            <w:vAlign w:val="center"/>
          </w:tcPr>
          <w:p w14:paraId="50A56038">
            <w:pPr>
              <w:spacing w:line="240" w:lineRule="auto"/>
              <w:ind w:firstLine="0" w:firstLineChars="0"/>
              <w:jc w:val="center"/>
              <w:rPr>
                <w:color w:val="auto"/>
                <w:sz w:val="21"/>
                <w:szCs w:val="21"/>
              </w:rPr>
            </w:pPr>
            <w:r>
              <w:rPr>
                <w:color w:val="auto"/>
                <w:sz w:val="21"/>
                <w:szCs w:val="21"/>
              </w:rPr>
              <w:t>污染监视井</w:t>
            </w:r>
          </w:p>
        </w:tc>
        <w:tc>
          <w:tcPr>
            <w:tcW w:w="464" w:type="pct"/>
            <w:vAlign w:val="center"/>
          </w:tcPr>
          <w:p w14:paraId="088C5460">
            <w:pPr>
              <w:spacing w:line="240" w:lineRule="auto"/>
              <w:ind w:firstLine="0" w:firstLineChars="0"/>
              <w:jc w:val="center"/>
              <w:rPr>
                <w:color w:val="auto"/>
                <w:sz w:val="21"/>
                <w:szCs w:val="21"/>
              </w:rPr>
            </w:pPr>
            <w:r>
              <w:rPr>
                <w:color w:val="auto"/>
                <w:sz w:val="21"/>
                <w:szCs w:val="21"/>
              </w:rPr>
              <w:t>6</w:t>
            </w:r>
          </w:p>
        </w:tc>
        <w:tc>
          <w:tcPr>
            <w:tcW w:w="514" w:type="pct"/>
            <w:vAlign w:val="center"/>
          </w:tcPr>
          <w:p w14:paraId="2DDB6235">
            <w:pPr>
              <w:spacing w:line="240" w:lineRule="auto"/>
              <w:ind w:firstLine="0" w:firstLineChars="0"/>
              <w:jc w:val="center"/>
              <w:rPr>
                <w:color w:val="auto"/>
                <w:sz w:val="21"/>
                <w:szCs w:val="21"/>
              </w:rPr>
            </w:pPr>
            <w:r>
              <w:rPr>
                <w:rFonts w:hint="eastAsia"/>
                <w:color w:val="auto"/>
                <w:sz w:val="21"/>
                <w:szCs w:val="21"/>
              </w:rPr>
              <w:t>管井</w:t>
            </w:r>
          </w:p>
        </w:tc>
        <w:tc>
          <w:tcPr>
            <w:tcW w:w="506" w:type="pct"/>
            <w:vAlign w:val="center"/>
          </w:tcPr>
          <w:p w14:paraId="2B08A880">
            <w:pPr>
              <w:spacing w:line="240" w:lineRule="auto"/>
              <w:ind w:firstLine="0" w:firstLineChars="0"/>
              <w:jc w:val="center"/>
              <w:rPr>
                <w:color w:val="auto"/>
                <w:sz w:val="21"/>
                <w:szCs w:val="21"/>
              </w:rPr>
            </w:pPr>
            <w:r>
              <w:rPr>
                <w:rFonts w:hint="eastAsia"/>
                <w:color w:val="auto"/>
                <w:sz w:val="21"/>
                <w:szCs w:val="21"/>
              </w:rPr>
              <w:t>潜水含水层</w:t>
            </w:r>
          </w:p>
        </w:tc>
        <w:tc>
          <w:tcPr>
            <w:tcW w:w="565" w:type="pct"/>
            <w:vAlign w:val="center"/>
          </w:tcPr>
          <w:p w14:paraId="2CE148D5">
            <w:pPr>
              <w:spacing w:line="240" w:lineRule="auto"/>
              <w:ind w:firstLine="0" w:firstLineChars="0"/>
              <w:jc w:val="center"/>
              <w:rPr>
                <w:color w:val="auto"/>
                <w:sz w:val="21"/>
                <w:szCs w:val="21"/>
              </w:rPr>
            </w:pPr>
            <w:r>
              <w:rPr>
                <w:rFonts w:hint="eastAsia"/>
                <w:color w:val="auto"/>
                <w:sz w:val="21"/>
                <w:szCs w:val="21"/>
              </w:rPr>
              <w:t>半年一次</w:t>
            </w:r>
          </w:p>
        </w:tc>
        <w:tc>
          <w:tcPr>
            <w:tcW w:w="867" w:type="pct"/>
            <w:vMerge w:val="continue"/>
            <w:vAlign w:val="center"/>
          </w:tcPr>
          <w:p w14:paraId="2BB80DE5">
            <w:pPr>
              <w:widowControl/>
              <w:spacing w:line="240" w:lineRule="auto"/>
              <w:ind w:firstLine="0" w:firstLineChars="0"/>
              <w:jc w:val="center"/>
              <w:rPr>
                <w:color w:val="auto"/>
                <w:sz w:val="21"/>
                <w:szCs w:val="18"/>
              </w:rPr>
            </w:pPr>
          </w:p>
        </w:tc>
      </w:tr>
    </w:tbl>
    <w:p w14:paraId="48729F55">
      <w:pPr>
        <w:autoSpaceDE w:val="0"/>
        <w:autoSpaceDN w:val="0"/>
        <w:ind w:firstLine="482"/>
        <w:jc w:val="left"/>
        <w:rPr>
          <w:rFonts w:hint="eastAsia" w:ascii="宋体" w:hAnsi="宋体" w:cs="宋体"/>
          <w:b/>
          <w:bCs/>
          <w:color w:val="auto"/>
        </w:rPr>
      </w:pPr>
      <w:r>
        <w:rPr>
          <w:rFonts w:hint="eastAsia" w:ascii="宋体" w:hAnsi="宋体" w:cs="宋体"/>
          <w:b/>
          <w:bCs/>
          <w:color w:val="auto"/>
        </w:rPr>
        <w:t>（四）应急响应</w:t>
      </w:r>
    </w:p>
    <w:p w14:paraId="1C39C276">
      <w:pPr>
        <w:autoSpaceDE w:val="0"/>
        <w:autoSpaceDN w:val="0"/>
        <w:ind w:firstLine="480"/>
        <w:rPr>
          <w:rFonts w:hint="eastAsia" w:hAnsi="宋体"/>
          <w:color w:val="auto"/>
        </w:rPr>
      </w:pPr>
      <w:r>
        <w:rPr>
          <w:rFonts w:hAnsi="宋体"/>
          <w:color w:val="auto"/>
        </w:rPr>
        <w:t>当发生异常情况时，需要马上采取紧急措施。应采取阻漏措施，控制污染物向包气带和地下水中扩散，同时加强监测井的水质监测。制定地下水污染应急响应方案，降低污染危害。</w:t>
      </w:r>
    </w:p>
    <w:p w14:paraId="4C82D97D">
      <w:pPr>
        <w:autoSpaceDE w:val="0"/>
        <w:autoSpaceDN w:val="0"/>
        <w:ind w:firstLine="480"/>
        <w:rPr>
          <w:rFonts w:hint="eastAsia" w:hAnsi="宋体"/>
          <w:color w:val="auto"/>
        </w:rPr>
      </w:pPr>
      <w:r>
        <w:rPr>
          <w:rFonts w:hint="eastAsia" w:hAnsi="宋体"/>
          <w:color w:val="auto"/>
        </w:rPr>
        <w:t>（1）</w:t>
      </w:r>
      <w:r>
        <w:rPr>
          <w:rFonts w:hAnsi="宋体"/>
          <w:color w:val="auto"/>
        </w:rPr>
        <w:t>当发生异常情况时，按照装置制定的环境事故应急预案，启动应急预案。在第一时间内尽快上报主管领导，启动周围社会预案，密切关注地下水水质变化情况。</w:t>
      </w:r>
    </w:p>
    <w:p w14:paraId="730A8F45">
      <w:pPr>
        <w:autoSpaceDE w:val="0"/>
        <w:autoSpaceDN w:val="0"/>
        <w:ind w:firstLine="480"/>
        <w:rPr>
          <w:rFonts w:hint="eastAsia" w:hAnsi="宋体"/>
          <w:color w:val="auto"/>
        </w:rPr>
      </w:pPr>
      <w:r>
        <w:rPr>
          <w:rFonts w:hint="eastAsia" w:hAnsi="宋体"/>
          <w:color w:val="auto"/>
        </w:rPr>
        <w:t>（2）</w:t>
      </w:r>
      <w:r>
        <w:rPr>
          <w:rFonts w:hAnsi="宋体"/>
          <w:color w:val="auto"/>
        </w:rPr>
        <w:t>组织专业队伍负责查找环境事故发生地点，分析事故原因，尽量将紧急时间局部化，如可能应予以消除，尽量缩小环境事故对人和财产的影响。减低事故后果的手段，包括切断生产装置或设施。</w:t>
      </w:r>
    </w:p>
    <w:p w14:paraId="134218AE">
      <w:pPr>
        <w:autoSpaceDE w:val="0"/>
        <w:autoSpaceDN w:val="0"/>
        <w:ind w:firstLine="480"/>
        <w:rPr>
          <w:rFonts w:hint="eastAsia" w:hAnsi="宋体"/>
          <w:color w:val="auto"/>
        </w:rPr>
      </w:pPr>
      <w:r>
        <w:rPr>
          <w:rFonts w:hint="eastAsia" w:hAnsi="宋体"/>
          <w:color w:val="auto"/>
        </w:rPr>
        <w:t>（3）</w:t>
      </w:r>
      <w:r>
        <w:rPr>
          <w:rFonts w:hAnsi="宋体"/>
          <w:color w:val="auto"/>
        </w:rPr>
        <w:t>对事故现场进行调查，监测及处理。对事故后果进行评估，采取紧急措施制止事故扩散，并制定防止类似事件发生的措施。</w:t>
      </w:r>
    </w:p>
    <w:p w14:paraId="4A45FD01">
      <w:pPr>
        <w:autoSpaceDE w:val="0"/>
        <w:autoSpaceDN w:val="0"/>
        <w:ind w:firstLine="480"/>
        <w:rPr>
          <w:rFonts w:hint="eastAsia" w:hAnsi="宋体"/>
          <w:color w:val="auto"/>
        </w:rPr>
      </w:pPr>
      <w:r>
        <w:rPr>
          <w:rFonts w:hint="eastAsia" w:hAnsi="宋体"/>
          <w:color w:val="auto"/>
        </w:rPr>
        <w:t>（4）</w:t>
      </w:r>
      <w:r>
        <w:rPr>
          <w:rFonts w:hAnsi="宋体"/>
          <w:color w:val="auto"/>
        </w:rPr>
        <w:t>如果本公司力量不足，需要请求社会应急力量协助。</w:t>
      </w:r>
    </w:p>
    <w:p w14:paraId="13961974">
      <w:pPr>
        <w:autoSpaceDE w:val="0"/>
        <w:autoSpaceDN w:val="0"/>
        <w:ind w:firstLine="482"/>
        <w:jc w:val="left"/>
        <w:rPr>
          <w:rFonts w:hint="eastAsia" w:ascii="宋体" w:hAnsi="宋体" w:cs="宋体"/>
          <w:b/>
          <w:bCs/>
          <w:color w:val="auto"/>
        </w:rPr>
      </w:pPr>
      <w:r>
        <w:rPr>
          <w:rFonts w:hint="eastAsia" w:ascii="宋体" w:hAnsi="宋体" w:cs="宋体"/>
          <w:b/>
          <w:bCs/>
          <w:color w:val="auto"/>
        </w:rPr>
        <w:t>（五）地下水污染事故应急预案</w:t>
      </w:r>
    </w:p>
    <w:p w14:paraId="7F0CB429">
      <w:pPr>
        <w:autoSpaceDE w:val="0"/>
        <w:autoSpaceDN w:val="0"/>
        <w:ind w:firstLine="480"/>
        <w:rPr>
          <w:rFonts w:hint="eastAsia" w:hAnsi="宋体"/>
          <w:color w:val="auto"/>
        </w:rPr>
      </w:pPr>
      <w:r>
        <w:rPr>
          <w:rFonts w:hAnsi="宋体"/>
          <w:color w:val="auto"/>
        </w:rPr>
        <w:t>地下水污染事故的应急预案应在制定的安全管理体制的基础上，与其他应急预案相协调，并制定企业、</w:t>
      </w:r>
      <w:r>
        <w:rPr>
          <w:rFonts w:hint="eastAsia" w:hAnsi="宋体"/>
          <w:color w:val="auto"/>
        </w:rPr>
        <w:t>如东县和南通市</w:t>
      </w:r>
      <w:r>
        <w:rPr>
          <w:rFonts w:hAnsi="宋体"/>
          <w:color w:val="auto"/>
        </w:rPr>
        <w:t>三级应急预案。应急预案是地下水污染事故应急的重要措施。制定应急预案，设置应急设施，一旦发现地下水受到影响，立即启动应急设施控制影响。</w:t>
      </w:r>
    </w:p>
    <w:p w14:paraId="62F22324">
      <w:pPr>
        <w:autoSpaceDE w:val="0"/>
        <w:autoSpaceDN w:val="0"/>
        <w:ind w:firstLine="480"/>
        <w:rPr>
          <w:rFonts w:hint="eastAsia" w:hAnsi="宋体"/>
          <w:color w:val="auto"/>
        </w:rPr>
      </w:pPr>
      <w:r>
        <w:rPr>
          <w:rFonts w:hint="eastAsia" w:hAnsi="宋体"/>
          <w:color w:val="auto"/>
        </w:rPr>
        <w:t>（1）</w:t>
      </w:r>
      <w:r>
        <w:rPr>
          <w:rFonts w:hAnsi="宋体"/>
          <w:color w:val="auto"/>
        </w:rPr>
        <w:t>风险应急预案</w:t>
      </w:r>
    </w:p>
    <w:p w14:paraId="3F5DB465">
      <w:pPr>
        <w:autoSpaceDE w:val="0"/>
        <w:autoSpaceDN w:val="0"/>
        <w:ind w:firstLine="480"/>
        <w:rPr>
          <w:rFonts w:hint="eastAsia" w:hAnsi="宋体"/>
          <w:color w:val="auto"/>
        </w:rPr>
      </w:pPr>
      <w:r>
        <w:rPr>
          <w:rFonts w:hAnsi="宋体"/>
          <w:color w:val="auto"/>
        </w:rPr>
        <w:t>制定风险事故应急预案的目是为了在发生时，能以最快速度发挥最大的效能，有序地设施救援，尽快控制事态的发展，降低事故对潜水含水层的污染。针对应急工作需要，参照相关技术导则，结合地下水污染治理的技术特点，制定污染应急治理程序见图7.5-5。</w:t>
      </w:r>
    </w:p>
    <w:p w14:paraId="46FFC6FF">
      <w:pPr>
        <w:spacing w:line="240" w:lineRule="auto"/>
        <w:ind w:firstLine="480"/>
        <w:jc w:val="center"/>
        <w:rPr>
          <w:color w:val="auto"/>
        </w:rPr>
      </w:pPr>
      <w:r>
        <w:rPr>
          <w:color w:val="auto"/>
        </w:rPr>
        <w:drawing>
          <wp:inline distT="0" distB="0" distL="114300" distR="114300">
            <wp:extent cx="4141470" cy="4759960"/>
            <wp:effectExtent l="0" t="0" r="11430" b="2540"/>
            <wp:docPr id="51" name="图片 30" descr="2016-04-14_10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 descr="2016-04-14_102509"/>
                    <pic:cNvPicPr>
                      <a:picLocks noChangeAspect="1"/>
                    </pic:cNvPicPr>
                  </pic:nvPicPr>
                  <pic:blipFill>
                    <a:blip r:embed="rId79"/>
                    <a:stretch>
                      <a:fillRect/>
                    </a:stretch>
                  </pic:blipFill>
                  <pic:spPr>
                    <a:xfrm>
                      <a:off x="0" y="0"/>
                      <a:ext cx="4141470" cy="4759960"/>
                    </a:xfrm>
                    <a:prstGeom prst="rect">
                      <a:avLst/>
                    </a:prstGeom>
                    <a:noFill/>
                    <a:ln>
                      <a:noFill/>
                    </a:ln>
                  </pic:spPr>
                </pic:pic>
              </a:graphicData>
            </a:graphic>
          </wp:inline>
        </w:drawing>
      </w:r>
    </w:p>
    <w:p w14:paraId="55271972">
      <w:pPr>
        <w:spacing w:line="460" w:lineRule="exact"/>
        <w:ind w:firstLine="482"/>
        <w:jc w:val="center"/>
        <w:rPr>
          <w:b/>
          <w:bCs/>
          <w:color w:val="auto"/>
        </w:rPr>
      </w:pPr>
      <w:r>
        <w:rPr>
          <w:b/>
          <w:bCs/>
          <w:color w:val="auto"/>
        </w:rPr>
        <w:t xml:space="preserve">图7.5-5 </w:t>
      </w:r>
      <w:r>
        <w:rPr>
          <w:rFonts w:hint="eastAsia"/>
          <w:b/>
          <w:bCs/>
          <w:color w:val="auto"/>
        </w:rPr>
        <w:t xml:space="preserve"> </w:t>
      </w:r>
      <w:r>
        <w:rPr>
          <w:b/>
          <w:bCs/>
          <w:color w:val="auto"/>
        </w:rPr>
        <w:t>地下水污染应急治理程序框图</w:t>
      </w:r>
    </w:p>
    <w:p w14:paraId="21289CF6">
      <w:pPr>
        <w:autoSpaceDE w:val="0"/>
        <w:autoSpaceDN w:val="0"/>
        <w:ind w:firstLine="480"/>
        <w:rPr>
          <w:rFonts w:hint="eastAsia" w:hAnsi="宋体"/>
          <w:color w:val="auto"/>
        </w:rPr>
      </w:pPr>
      <w:r>
        <w:rPr>
          <w:rFonts w:hint="eastAsia" w:hAnsi="宋体"/>
          <w:color w:val="auto"/>
        </w:rPr>
        <w:t>（2）</w:t>
      </w:r>
      <w:r>
        <w:rPr>
          <w:rFonts w:hAnsi="宋体"/>
          <w:color w:val="auto"/>
        </w:rPr>
        <w:t>治理措施</w:t>
      </w:r>
    </w:p>
    <w:p w14:paraId="3CCD851D">
      <w:pPr>
        <w:autoSpaceDE w:val="0"/>
        <w:autoSpaceDN w:val="0"/>
        <w:ind w:firstLine="480"/>
        <w:rPr>
          <w:rFonts w:hint="eastAsia" w:hAnsi="宋体"/>
          <w:color w:val="auto"/>
        </w:rPr>
      </w:pPr>
      <w:r>
        <w:rPr>
          <w:rFonts w:hAnsi="宋体"/>
          <w:color w:val="auto"/>
        </w:rPr>
        <w:t>地下水污染事故发生后，应采取如下污染治理措施：</w:t>
      </w:r>
    </w:p>
    <w:p w14:paraId="6FCCBBDB">
      <w:pPr>
        <w:autoSpaceDE w:val="0"/>
        <w:autoSpaceDN w:val="0"/>
        <w:ind w:firstLine="480"/>
        <w:rPr>
          <w:rFonts w:hint="eastAsia" w:hAnsi="宋体"/>
          <w:color w:val="auto"/>
        </w:rPr>
      </w:pPr>
      <w:r>
        <w:rPr>
          <w:rFonts w:hAnsi="宋体"/>
          <w:color w:val="auto"/>
        </w:rPr>
        <w:fldChar w:fldCharType="begin"/>
      </w:r>
      <w:r>
        <w:rPr>
          <w:rFonts w:hAnsi="宋体"/>
          <w:color w:val="auto"/>
        </w:rPr>
        <w:instrText xml:space="preserve"> = 1 \* GB3 </w:instrText>
      </w:r>
      <w:r>
        <w:rPr>
          <w:rFonts w:hAnsi="宋体"/>
          <w:color w:val="auto"/>
        </w:rPr>
        <w:fldChar w:fldCharType="separate"/>
      </w:r>
      <w:r>
        <w:rPr>
          <w:rFonts w:hint="eastAsia" w:hAnsi="宋体"/>
          <w:color w:val="auto"/>
        </w:rPr>
        <w:t>①</w:t>
      </w:r>
      <w:r>
        <w:rPr>
          <w:rFonts w:hAnsi="宋体"/>
          <w:color w:val="auto"/>
        </w:rPr>
        <w:fldChar w:fldCharType="end"/>
      </w:r>
      <w:r>
        <w:rPr>
          <w:rFonts w:hAnsi="宋体"/>
          <w:color w:val="auto"/>
        </w:rPr>
        <w:t>一旦发生地下水污染事故，应立即</w:t>
      </w:r>
      <w:r>
        <w:rPr>
          <w:rFonts w:hint="eastAsia" w:hAnsi="宋体"/>
          <w:color w:val="auto"/>
        </w:rPr>
        <w:t>启动</w:t>
      </w:r>
      <w:r>
        <w:rPr>
          <w:rFonts w:hAnsi="宋体"/>
          <w:color w:val="auto"/>
        </w:rPr>
        <w:t>应急预案。</w:t>
      </w:r>
    </w:p>
    <w:p w14:paraId="0D6BF8DB">
      <w:pPr>
        <w:autoSpaceDE w:val="0"/>
        <w:autoSpaceDN w:val="0"/>
        <w:ind w:firstLine="480"/>
        <w:rPr>
          <w:rFonts w:hint="eastAsia" w:hAnsi="宋体"/>
          <w:color w:val="auto"/>
        </w:rPr>
      </w:pPr>
      <w:r>
        <w:rPr>
          <w:rFonts w:hAnsi="宋体"/>
          <w:color w:val="auto"/>
        </w:rPr>
        <w:fldChar w:fldCharType="begin"/>
      </w:r>
      <w:r>
        <w:rPr>
          <w:rFonts w:hAnsi="宋体"/>
          <w:color w:val="auto"/>
        </w:rPr>
        <w:instrText xml:space="preserve"> = 2 \* GB3 </w:instrText>
      </w:r>
      <w:r>
        <w:rPr>
          <w:rFonts w:hAnsi="宋体"/>
          <w:color w:val="auto"/>
        </w:rPr>
        <w:fldChar w:fldCharType="separate"/>
      </w:r>
      <w:r>
        <w:rPr>
          <w:rFonts w:hint="eastAsia" w:hAnsi="宋体"/>
          <w:color w:val="auto"/>
        </w:rPr>
        <w:t>②</w:t>
      </w:r>
      <w:r>
        <w:rPr>
          <w:rFonts w:hAnsi="宋体"/>
          <w:color w:val="auto"/>
        </w:rPr>
        <w:fldChar w:fldCharType="end"/>
      </w:r>
      <w:r>
        <w:rPr>
          <w:rFonts w:hAnsi="宋体"/>
          <w:color w:val="auto"/>
        </w:rPr>
        <w:t>查明并切断污染源。</w:t>
      </w:r>
    </w:p>
    <w:p w14:paraId="0A259246">
      <w:pPr>
        <w:autoSpaceDE w:val="0"/>
        <w:autoSpaceDN w:val="0"/>
        <w:ind w:firstLine="480"/>
        <w:rPr>
          <w:rFonts w:hint="eastAsia" w:hAnsi="宋体"/>
          <w:color w:val="auto"/>
        </w:rPr>
      </w:pPr>
      <w:r>
        <w:rPr>
          <w:rFonts w:hAnsi="宋体"/>
          <w:color w:val="auto"/>
        </w:rPr>
        <w:fldChar w:fldCharType="begin"/>
      </w:r>
      <w:r>
        <w:rPr>
          <w:rFonts w:hAnsi="宋体"/>
          <w:color w:val="auto"/>
        </w:rPr>
        <w:instrText xml:space="preserve"> = 3 \* GB3 </w:instrText>
      </w:r>
      <w:r>
        <w:rPr>
          <w:rFonts w:hAnsi="宋体"/>
          <w:color w:val="auto"/>
        </w:rPr>
        <w:fldChar w:fldCharType="separate"/>
      </w:r>
      <w:r>
        <w:rPr>
          <w:rFonts w:hint="eastAsia" w:hAnsi="宋体"/>
          <w:color w:val="auto"/>
        </w:rPr>
        <w:t>③</w:t>
      </w:r>
      <w:r>
        <w:rPr>
          <w:rFonts w:hAnsi="宋体"/>
          <w:color w:val="auto"/>
        </w:rPr>
        <w:fldChar w:fldCharType="end"/>
      </w:r>
      <w:r>
        <w:rPr>
          <w:rFonts w:hAnsi="宋体"/>
          <w:color w:val="auto"/>
        </w:rPr>
        <w:t>探明地下水污染深度、范围和污染程度。</w:t>
      </w:r>
    </w:p>
    <w:p w14:paraId="4795DD73">
      <w:pPr>
        <w:autoSpaceDE w:val="0"/>
        <w:autoSpaceDN w:val="0"/>
        <w:ind w:firstLine="480"/>
        <w:rPr>
          <w:rFonts w:hint="eastAsia" w:hAnsi="宋体"/>
          <w:color w:val="auto"/>
        </w:rPr>
      </w:pPr>
      <w:r>
        <w:rPr>
          <w:rFonts w:hAnsi="宋体"/>
          <w:color w:val="auto"/>
        </w:rPr>
        <w:fldChar w:fldCharType="begin"/>
      </w:r>
      <w:r>
        <w:rPr>
          <w:rFonts w:hAnsi="宋体"/>
          <w:color w:val="auto"/>
        </w:rPr>
        <w:instrText xml:space="preserve"> = 4 \* GB3 </w:instrText>
      </w:r>
      <w:r>
        <w:rPr>
          <w:rFonts w:hAnsi="宋体"/>
          <w:color w:val="auto"/>
        </w:rPr>
        <w:fldChar w:fldCharType="separate"/>
      </w:r>
      <w:r>
        <w:rPr>
          <w:rFonts w:hint="eastAsia" w:hAnsi="宋体"/>
          <w:color w:val="auto"/>
        </w:rPr>
        <w:t>④</w:t>
      </w:r>
      <w:r>
        <w:rPr>
          <w:rFonts w:hAnsi="宋体"/>
          <w:color w:val="auto"/>
        </w:rPr>
        <w:fldChar w:fldCharType="end"/>
      </w:r>
      <w:r>
        <w:rPr>
          <w:rFonts w:hAnsi="宋体"/>
          <w:color w:val="auto"/>
        </w:rPr>
        <w:t>依据探明的地下水污染情况，合理布置截渗井，并进行试抽工作</w:t>
      </w:r>
      <w:r>
        <w:rPr>
          <w:rFonts w:hint="eastAsia" w:hAnsi="宋体"/>
          <w:color w:val="auto"/>
        </w:rPr>
        <w:t>。</w:t>
      </w:r>
    </w:p>
    <w:p w14:paraId="617E92AF">
      <w:pPr>
        <w:autoSpaceDE w:val="0"/>
        <w:autoSpaceDN w:val="0"/>
        <w:ind w:firstLine="480"/>
        <w:rPr>
          <w:rFonts w:hint="eastAsia" w:hAnsi="宋体"/>
          <w:color w:val="auto"/>
        </w:rPr>
      </w:pPr>
      <w:r>
        <w:rPr>
          <w:rFonts w:hAnsi="宋体"/>
          <w:color w:val="auto"/>
        </w:rPr>
        <w:fldChar w:fldCharType="begin"/>
      </w:r>
      <w:r>
        <w:rPr>
          <w:rFonts w:hAnsi="宋体"/>
          <w:color w:val="auto"/>
        </w:rPr>
        <w:instrText xml:space="preserve"> = 5 \* GB3 </w:instrText>
      </w:r>
      <w:r>
        <w:rPr>
          <w:rFonts w:hAnsi="宋体"/>
          <w:color w:val="auto"/>
        </w:rPr>
        <w:fldChar w:fldCharType="separate"/>
      </w:r>
      <w:r>
        <w:rPr>
          <w:rFonts w:hint="eastAsia" w:hAnsi="宋体"/>
          <w:color w:val="auto"/>
        </w:rPr>
        <w:t>⑤</w:t>
      </w:r>
      <w:r>
        <w:rPr>
          <w:rFonts w:hAnsi="宋体"/>
          <w:color w:val="auto"/>
        </w:rPr>
        <w:fldChar w:fldCharType="end"/>
      </w:r>
      <w:r>
        <w:rPr>
          <w:rFonts w:hAnsi="宋体"/>
          <w:color w:val="auto"/>
        </w:rPr>
        <w:t>依据抽水设计方案进行施工，抽取被污染的地下水体，并依据各井孔出水情况进行调整。</w:t>
      </w:r>
    </w:p>
    <w:p w14:paraId="7FA03943">
      <w:pPr>
        <w:autoSpaceDE w:val="0"/>
        <w:autoSpaceDN w:val="0"/>
        <w:ind w:firstLine="480"/>
        <w:rPr>
          <w:rFonts w:hint="eastAsia" w:hAnsi="宋体"/>
          <w:color w:val="auto"/>
        </w:rPr>
      </w:pPr>
      <w:r>
        <w:rPr>
          <w:rFonts w:hAnsi="宋体"/>
          <w:color w:val="auto"/>
        </w:rPr>
        <w:fldChar w:fldCharType="begin"/>
      </w:r>
      <w:r>
        <w:rPr>
          <w:rFonts w:hAnsi="宋体"/>
          <w:color w:val="auto"/>
        </w:rPr>
        <w:instrText xml:space="preserve"> = 6 \* GB3 </w:instrText>
      </w:r>
      <w:r>
        <w:rPr>
          <w:rFonts w:hAnsi="宋体"/>
          <w:color w:val="auto"/>
        </w:rPr>
        <w:fldChar w:fldCharType="separate"/>
      </w:r>
      <w:r>
        <w:rPr>
          <w:rFonts w:hint="eastAsia" w:hAnsi="宋体"/>
          <w:color w:val="auto"/>
        </w:rPr>
        <w:t>⑥</w:t>
      </w:r>
      <w:r>
        <w:rPr>
          <w:rFonts w:hAnsi="宋体"/>
          <w:color w:val="auto"/>
        </w:rPr>
        <w:fldChar w:fldCharType="end"/>
      </w:r>
      <w:r>
        <w:rPr>
          <w:rFonts w:hAnsi="宋体"/>
          <w:color w:val="auto"/>
        </w:rPr>
        <w:t>将抽取的地下水进行集中收集处理，并送实验室进行化验分析。</w:t>
      </w:r>
    </w:p>
    <w:p w14:paraId="464ED6CD">
      <w:pPr>
        <w:autoSpaceDE w:val="0"/>
        <w:autoSpaceDN w:val="0"/>
        <w:ind w:firstLine="480"/>
        <w:rPr>
          <w:rFonts w:hint="eastAsia" w:hAnsi="宋体"/>
          <w:color w:val="auto"/>
        </w:rPr>
      </w:pPr>
      <w:r>
        <w:rPr>
          <w:rFonts w:hAnsi="宋体"/>
          <w:color w:val="auto"/>
        </w:rPr>
        <w:fldChar w:fldCharType="begin"/>
      </w:r>
      <w:r>
        <w:rPr>
          <w:rFonts w:hAnsi="宋体"/>
          <w:color w:val="auto"/>
        </w:rPr>
        <w:instrText xml:space="preserve"> = 7 \* GB3 </w:instrText>
      </w:r>
      <w:r>
        <w:rPr>
          <w:rFonts w:hAnsi="宋体"/>
          <w:color w:val="auto"/>
        </w:rPr>
        <w:fldChar w:fldCharType="separate"/>
      </w:r>
      <w:r>
        <w:rPr>
          <w:rFonts w:hint="eastAsia" w:hAnsi="宋体"/>
          <w:color w:val="auto"/>
        </w:rPr>
        <w:t>⑦</w:t>
      </w:r>
      <w:r>
        <w:rPr>
          <w:rFonts w:hAnsi="宋体"/>
          <w:color w:val="auto"/>
        </w:rPr>
        <w:fldChar w:fldCharType="end"/>
      </w:r>
      <w:r>
        <w:rPr>
          <w:rFonts w:hAnsi="宋体"/>
          <w:color w:val="auto"/>
        </w:rPr>
        <w:t>当地下水中的污染特征污染浓度满足标准后，逐步停止抽水，并进行土壤修复治理工作。</w:t>
      </w:r>
    </w:p>
    <w:p w14:paraId="18C53C8D">
      <w:pPr>
        <w:autoSpaceDE w:val="0"/>
        <w:autoSpaceDN w:val="0"/>
        <w:ind w:firstLine="480"/>
        <w:rPr>
          <w:rFonts w:hint="eastAsia" w:hAnsi="宋体"/>
          <w:color w:val="auto"/>
        </w:rPr>
      </w:pPr>
      <w:r>
        <w:rPr>
          <w:rFonts w:hAnsi="宋体"/>
          <w:color w:val="auto"/>
        </w:rPr>
        <w:fldChar w:fldCharType="begin"/>
      </w:r>
      <w:r>
        <w:rPr>
          <w:rFonts w:hAnsi="宋体"/>
          <w:color w:val="auto"/>
        </w:rPr>
        <w:instrText xml:space="preserve"> = 8 \* GB3 </w:instrText>
      </w:r>
      <w:r>
        <w:rPr>
          <w:rFonts w:hAnsi="宋体"/>
          <w:color w:val="auto"/>
        </w:rPr>
        <w:fldChar w:fldCharType="separate"/>
      </w:r>
      <w:r>
        <w:rPr>
          <w:rFonts w:hint="eastAsia" w:hAnsi="宋体"/>
          <w:color w:val="auto"/>
        </w:rPr>
        <w:t>⑧</w:t>
      </w:r>
      <w:r>
        <w:rPr>
          <w:rFonts w:hAnsi="宋体"/>
          <w:color w:val="auto"/>
        </w:rPr>
        <w:fldChar w:fldCharType="end"/>
      </w:r>
      <w:r>
        <w:rPr>
          <w:rFonts w:hAnsi="宋体"/>
          <w:color w:val="auto"/>
        </w:rPr>
        <w:t>对于事故原因进行分析，并且对分析结果进行记录。避免类似事件再次发生。并且给以后的场地运行和项目的规划提供一定的借鉴经验。</w:t>
      </w:r>
    </w:p>
    <w:p w14:paraId="140E0DDA">
      <w:pPr>
        <w:autoSpaceDE w:val="0"/>
        <w:autoSpaceDN w:val="0"/>
        <w:ind w:firstLine="480"/>
        <w:rPr>
          <w:rFonts w:hint="eastAsia" w:hAnsi="宋体"/>
          <w:color w:val="auto"/>
        </w:rPr>
      </w:pPr>
      <w:r>
        <w:rPr>
          <w:rFonts w:hint="eastAsia" w:hAnsi="宋体"/>
          <w:color w:val="auto"/>
        </w:rPr>
        <w:t>（3）</w:t>
      </w:r>
      <w:r>
        <w:rPr>
          <w:rFonts w:hAnsi="宋体"/>
          <w:color w:val="auto"/>
        </w:rPr>
        <w:t>应急监测</w:t>
      </w:r>
    </w:p>
    <w:p w14:paraId="6C400093">
      <w:pPr>
        <w:autoSpaceDE w:val="0"/>
        <w:autoSpaceDN w:val="0"/>
        <w:ind w:firstLine="480"/>
        <w:rPr>
          <w:rFonts w:hint="eastAsia" w:hAnsi="宋体"/>
          <w:color w:val="auto"/>
        </w:rPr>
      </w:pPr>
      <w:r>
        <w:rPr>
          <w:rFonts w:hAnsi="宋体"/>
          <w:color w:val="auto"/>
        </w:rPr>
        <w:t>若发现监测水质异常，特别是特征因子的浓度上升时，应加密监测频次，改为每周监测一次，并立即启动应急响应，上报环境保护部门，同时检测相应的地下水风险源的防渗措施是否失效或遭受破坏，及时处理被污染的地下水，确保影响程度降到最低。</w:t>
      </w:r>
    </w:p>
    <w:p w14:paraId="6E10F457">
      <w:pPr>
        <w:autoSpaceDE w:val="0"/>
        <w:autoSpaceDN w:val="0"/>
        <w:ind w:firstLine="480"/>
        <w:rPr>
          <w:rFonts w:hint="eastAsia" w:hAnsi="宋体"/>
          <w:color w:val="auto"/>
        </w:rPr>
      </w:pPr>
      <w:r>
        <w:rPr>
          <w:rFonts w:hAnsi="宋体"/>
          <w:color w:val="auto"/>
        </w:rPr>
        <w:t>发生事故后，应加强对事故区域的监测，或者对类似情况可能发生的设施进行重点监测。保证一旦发生类似事故可以立即发现并处理。其他建议根据事故情况确定。</w:t>
      </w:r>
    </w:p>
    <w:p w14:paraId="46387E42">
      <w:pPr>
        <w:pStyle w:val="49"/>
        <w:rPr>
          <w:color w:val="auto"/>
        </w:rPr>
      </w:pPr>
      <w:r>
        <w:rPr>
          <w:color w:val="auto"/>
        </w:rPr>
        <w:t xml:space="preserve">表7.5-4 </w:t>
      </w:r>
      <w:r>
        <w:rPr>
          <w:rFonts w:hint="eastAsia"/>
          <w:color w:val="auto"/>
        </w:rPr>
        <w:t xml:space="preserve"> </w:t>
      </w:r>
      <w:r>
        <w:rPr>
          <w:color w:val="auto"/>
        </w:rPr>
        <w:t>地下水污染应急预案内容</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21"/>
        <w:gridCol w:w="2298"/>
        <w:gridCol w:w="6834"/>
      </w:tblGrid>
      <w:tr w14:paraId="6DF32D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3123FF55">
            <w:pPr>
              <w:widowControl/>
              <w:spacing w:line="240" w:lineRule="auto"/>
              <w:ind w:firstLine="0" w:firstLineChars="0"/>
              <w:jc w:val="center"/>
              <w:textAlignment w:val="baseline"/>
              <w:rPr>
                <w:b/>
                <w:bCs/>
                <w:color w:val="auto"/>
                <w:kern w:val="0"/>
                <w:sz w:val="21"/>
                <w:szCs w:val="21"/>
              </w:rPr>
            </w:pPr>
            <w:r>
              <w:rPr>
                <w:b/>
                <w:bCs/>
                <w:color w:val="auto"/>
                <w:kern w:val="0"/>
                <w:sz w:val="21"/>
                <w:szCs w:val="21"/>
              </w:rPr>
              <w:t>序号</w:t>
            </w:r>
          </w:p>
        </w:tc>
        <w:tc>
          <w:tcPr>
            <w:tcW w:w="1166" w:type="pct"/>
            <w:vAlign w:val="center"/>
          </w:tcPr>
          <w:p w14:paraId="03FD3693">
            <w:pPr>
              <w:widowControl/>
              <w:spacing w:line="240" w:lineRule="auto"/>
              <w:ind w:firstLine="0" w:firstLineChars="0"/>
              <w:jc w:val="center"/>
              <w:textAlignment w:val="baseline"/>
              <w:rPr>
                <w:b/>
                <w:bCs/>
                <w:color w:val="auto"/>
                <w:kern w:val="0"/>
                <w:sz w:val="21"/>
                <w:szCs w:val="21"/>
              </w:rPr>
            </w:pPr>
            <w:r>
              <w:rPr>
                <w:b/>
                <w:bCs/>
                <w:color w:val="auto"/>
                <w:kern w:val="0"/>
                <w:sz w:val="21"/>
                <w:szCs w:val="21"/>
              </w:rPr>
              <w:t>项目</w:t>
            </w:r>
          </w:p>
        </w:tc>
        <w:tc>
          <w:tcPr>
            <w:tcW w:w="3468" w:type="pct"/>
            <w:vAlign w:val="center"/>
          </w:tcPr>
          <w:p w14:paraId="6E261FA0">
            <w:pPr>
              <w:widowControl/>
              <w:spacing w:line="240" w:lineRule="auto"/>
              <w:ind w:firstLine="0" w:firstLineChars="0"/>
              <w:jc w:val="center"/>
              <w:textAlignment w:val="baseline"/>
              <w:rPr>
                <w:b/>
                <w:bCs/>
                <w:color w:val="auto"/>
                <w:kern w:val="0"/>
                <w:sz w:val="21"/>
                <w:szCs w:val="21"/>
              </w:rPr>
            </w:pPr>
            <w:r>
              <w:rPr>
                <w:b/>
                <w:bCs/>
                <w:color w:val="auto"/>
                <w:kern w:val="0"/>
                <w:sz w:val="21"/>
                <w:szCs w:val="21"/>
              </w:rPr>
              <w:t>内容及要求</w:t>
            </w:r>
          </w:p>
        </w:tc>
      </w:tr>
      <w:tr w14:paraId="61B619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015F27CA">
            <w:pPr>
              <w:widowControl/>
              <w:spacing w:line="240" w:lineRule="auto"/>
              <w:ind w:firstLine="0" w:firstLineChars="0"/>
              <w:jc w:val="center"/>
              <w:textAlignment w:val="baseline"/>
              <w:rPr>
                <w:color w:val="auto"/>
                <w:kern w:val="0"/>
                <w:sz w:val="21"/>
                <w:szCs w:val="21"/>
              </w:rPr>
            </w:pPr>
            <w:r>
              <w:rPr>
                <w:color w:val="auto"/>
                <w:kern w:val="0"/>
                <w:sz w:val="21"/>
                <w:szCs w:val="21"/>
              </w:rPr>
              <w:t>1</w:t>
            </w:r>
          </w:p>
        </w:tc>
        <w:tc>
          <w:tcPr>
            <w:tcW w:w="1166" w:type="pct"/>
            <w:vAlign w:val="center"/>
          </w:tcPr>
          <w:p w14:paraId="35866FBB">
            <w:pPr>
              <w:widowControl/>
              <w:spacing w:line="240" w:lineRule="auto"/>
              <w:ind w:firstLine="0" w:firstLineChars="0"/>
              <w:jc w:val="center"/>
              <w:textAlignment w:val="baseline"/>
              <w:rPr>
                <w:color w:val="auto"/>
                <w:kern w:val="0"/>
                <w:sz w:val="21"/>
                <w:szCs w:val="21"/>
              </w:rPr>
            </w:pPr>
            <w:r>
              <w:rPr>
                <w:color w:val="auto"/>
                <w:kern w:val="0"/>
                <w:sz w:val="21"/>
                <w:szCs w:val="21"/>
              </w:rPr>
              <w:t>总则</w:t>
            </w:r>
          </w:p>
        </w:tc>
        <w:tc>
          <w:tcPr>
            <w:tcW w:w="3468" w:type="pct"/>
            <w:vAlign w:val="center"/>
          </w:tcPr>
          <w:p w14:paraId="1EE2B106">
            <w:pPr>
              <w:widowControl/>
              <w:spacing w:line="240" w:lineRule="auto"/>
              <w:ind w:firstLine="0" w:firstLineChars="0"/>
              <w:jc w:val="center"/>
              <w:textAlignment w:val="baseline"/>
              <w:rPr>
                <w:color w:val="auto"/>
                <w:kern w:val="0"/>
                <w:sz w:val="21"/>
                <w:szCs w:val="21"/>
              </w:rPr>
            </w:pPr>
            <w:r>
              <w:rPr>
                <w:color w:val="auto"/>
                <w:kern w:val="0"/>
                <w:sz w:val="21"/>
                <w:szCs w:val="21"/>
              </w:rPr>
              <w:t>更好地保护地下水资源，有效预防、及时控制和减轻突发灾害和事故造成对地下水污染破坏，促进经济与环境的协调发展</w:t>
            </w:r>
          </w:p>
        </w:tc>
      </w:tr>
      <w:tr w14:paraId="127D31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070CDC10">
            <w:pPr>
              <w:widowControl/>
              <w:spacing w:line="240" w:lineRule="auto"/>
              <w:ind w:firstLine="0" w:firstLineChars="0"/>
              <w:jc w:val="center"/>
              <w:textAlignment w:val="baseline"/>
              <w:rPr>
                <w:color w:val="auto"/>
                <w:kern w:val="0"/>
                <w:sz w:val="21"/>
                <w:szCs w:val="21"/>
              </w:rPr>
            </w:pPr>
            <w:r>
              <w:rPr>
                <w:color w:val="auto"/>
                <w:kern w:val="0"/>
                <w:sz w:val="21"/>
                <w:szCs w:val="21"/>
              </w:rPr>
              <w:t>2</w:t>
            </w:r>
          </w:p>
        </w:tc>
        <w:tc>
          <w:tcPr>
            <w:tcW w:w="1166" w:type="pct"/>
            <w:vAlign w:val="center"/>
          </w:tcPr>
          <w:p w14:paraId="0B4BFC44">
            <w:pPr>
              <w:widowControl/>
              <w:spacing w:line="240" w:lineRule="auto"/>
              <w:ind w:firstLine="0" w:firstLineChars="0"/>
              <w:jc w:val="center"/>
              <w:textAlignment w:val="baseline"/>
              <w:rPr>
                <w:color w:val="auto"/>
                <w:kern w:val="0"/>
                <w:sz w:val="21"/>
                <w:szCs w:val="21"/>
              </w:rPr>
            </w:pPr>
            <w:r>
              <w:rPr>
                <w:color w:val="auto"/>
                <w:kern w:val="0"/>
                <w:sz w:val="21"/>
                <w:szCs w:val="21"/>
              </w:rPr>
              <w:t>污染源概况</w:t>
            </w:r>
          </w:p>
        </w:tc>
        <w:tc>
          <w:tcPr>
            <w:tcW w:w="3468" w:type="pct"/>
            <w:vAlign w:val="center"/>
          </w:tcPr>
          <w:p w14:paraId="2D9355CB">
            <w:pPr>
              <w:widowControl/>
              <w:spacing w:line="240" w:lineRule="auto"/>
              <w:ind w:firstLine="0" w:firstLineChars="0"/>
              <w:jc w:val="center"/>
              <w:textAlignment w:val="baseline"/>
              <w:rPr>
                <w:color w:val="auto"/>
                <w:kern w:val="0"/>
                <w:sz w:val="21"/>
                <w:szCs w:val="21"/>
              </w:rPr>
            </w:pPr>
            <w:r>
              <w:rPr>
                <w:color w:val="auto"/>
                <w:kern w:val="0"/>
                <w:sz w:val="21"/>
                <w:szCs w:val="21"/>
              </w:rPr>
              <w:t>详述污染源类型、数量及其分布，包括生产装置、辅助设施、公用工程</w:t>
            </w:r>
          </w:p>
        </w:tc>
      </w:tr>
      <w:tr w14:paraId="4B8229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7128AA7C">
            <w:pPr>
              <w:widowControl/>
              <w:spacing w:line="240" w:lineRule="auto"/>
              <w:ind w:firstLine="0" w:firstLineChars="0"/>
              <w:jc w:val="center"/>
              <w:textAlignment w:val="baseline"/>
              <w:rPr>
                <w:color w:val="auto"/>
                <w:kern w:val="0"/>
                <w:sz w:val="21"/>
                <w:szCs w:val="21"/>
              </w:rPr>
            </w:pPr>
            <w:r>
              <w:rPr>
                <w:color w:val="auto"/>
                <w:kern w:val="0"/>
                <w:sz w:val="21"/>
                <w:szCs w:val="21"/>
              </w:rPr>
              <w:t>3</w:t>
            </w:r>
          </w:p>
        </w:tc>
        <w:tc>
          <w:tcPr>
            <w:tcW w:w="1166" w:type="pct"/>
            <w:vAlign w:val="center"/>
          </w:tcPr>
          <w:p w14:paraId="0464D5B5">
            <w:pPr>
              <w:widowControl/>
              <w:spacing w:line="240" w:lineRule="auto"/>
              <w:ind w:firstLine="0" w:firstLineChars="0"/>
              <w:jc w:val="center"/>
              <w:textAlignment w:val="baseline"/>
              <w:rPr>
                <w:color w:val="auto"/>
                <w:kern w:val="0"/>
                <w:sz w:val="21"/>
                <w:szCs w:val="21"/>
              </w:rPr>
            </w:pPr>
            <w:r>
              <w:rPr>
                <w:color w:val="auto"/>
                <w:kern w:val="0"/>
                <w:sz w:val="21"/>
                <w:szCs w:val="21"/>
              </w:rPr>
              <w:t>应急计划区</w:t>
            </w:r>
          </w:p>
        </w:tc>
        <w:tc>
          <w:tcPr>
            <w:tcW w:w="3468" w:type="pct"/>
            <w:vAlign w:val="center"/>
          </w:tcPr>
          <w:p w14:paraId="64008ABA">
            <w:pPr>
              <w:widowControl/>
              <w:spacing w:line="240" w:lineRule="auto"/>
              <w:ind w:firstLine="0" w:firstLineChars="0"/>
              <w:jc w:val="center"/>
              <w:textAlignment w:val="baseline"/>
              <w:rPr>
                <w:color w:val="auto"/>
                <w:kern w:val="0"/>
                <w:sz w:val="21"/>
                <w:szCs w:val="21"/>
              </w:rPr>
            </w:pPr>
            <w:r>
              <w:rPr>
                <w:color w:val="auto"/>
                <w:kern w:val="0"/>
                <w:sz w:val="21"/>
                <w:szCs w:val="21"/>
              </w:rPr>
              <w:t>列出危险目标：生产装置区、辅助设施、公用工程区、环境保护目标，在全厂总图中标明位置</w:t>
            </w:r>
          </w:p>
        </w:tc>
      </w:tr>
      <w:tr w14:paraId="3E3FB5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08C23B8D">
            <w:pPr>
              <w:widowControl/>
              <w:spacing w:line="240" w:lineRule="auto"/>
              <w:ind w:firstLine="0" w:firstLineChars="0"/>
              <w:jc w:val="center"/>
              <w:textAlignment w:val="baseline"/>
              <w:rPr>
                <w:color w:val="auto"/>
                <w:kern w:val="0"/>
                <w:sz w:val="21"/>
                <w:szCs w:val="21"/>
              </w:rPr>
            </w:pPr>
            <w:r>
              <w:rPr>
                <w:color w:val="auto"/>
                <w:kern w:val="0"/>
                <w:sz w:val="21"/>
                <w:szCs w:val="21"/>
              </w:rPr>
              <w:t>4</w:t>
            </w:r>
          </w:p>
        </w:tc>
        <w:tc>
          <w:tcPr>
            <w:tcW w:w="1166" w:type="pct"/>
            <w:vAlign w:val="center"/>
          </w:tcPr>
          <w:p w14:paraId="15C80998">
            <w:pPr>
              <w:widowControl/>
              <w:spacing w:line="240" w:lineRule="auto"/>
              <w:ind w:firstLine="0" w:firstLineChars="0"/>
              <w:jc w:val="center"/>
              <w:textAlignment w:val="baseline"/>
              <w:rPr>
                <w:color w:val="auto"/>
                <w:kern w:val="0"/>
                <w:sz w:val="21"/>
                <w:szCs w:val="21"/>
              </w:rPr>
            </w:pPr>
            <w:r>
              <w:rPr>
                <w:color w:val="auto"/>
                <w:kern w:val="0"/>
                <w:sz w:val="21"/>
                <w:szCs w:val="21"/>
              </w:rPr>
              <w:t>应急组织</w:t>
            </w:r>
          </w:p>
        </w:tc>
        <w:tc>
          <w:tcPr>
            <w:tcW w:w="3468" w:type="pct"/>
            <w:vAlign w:val="center"/>
          </w:tcPr>
          <w:p w14:paraId="36DE9F68">
            <w:pPr>
              <w:widowControl/>
              <w:spacing w:line="240" w:lineRule="auto"/>
              <w:ind w:firstLine="0" w:firstLineChars="0"/>
              <w:jc w:val="center"/>
              <w:textAlignment w:val="baseline"/>
              <w:rPr>
                <w:color w:val="auto"/>
                <w:kern w:val="0"/>
                <w:sz w:val="21"/>
                <w:szCs w:val="21"/>
              </w:rPr>
            </w:pPr>
            <w:r>
              <w:rPr>
                <w:color w:val="auto"/>
                <w:kern w:val="0"/>
                <w:sz w:val="21"/>
                <w:szCs w:val="21"/>
              </w:rPr>
              <w:t>全厂：全厂应急指挥部—负责现场全面指挥专业救援队伍—负责事故控制、救援、善后处理；</w:t>
            </w:r>
          </w:p>
          <w:p w14:paraId="1B3F5A24">
            <w:pPr>
              <w:widowControl/>
              <w:spacing w:line="240" w:lineRule="auto"/>
              <w:ind w:firstLine="0" w:firstLineChars="0"/>
              <w:jc w:val="center"/>
              <w:textAlignment w:val="baseline"/>
              <w:rPr>
                <w:color w:val="auto"/>
                <w:kern w:val="0"/>
                <w:sz w:val="21"/>
                <w:szCs w:val="21"/>
              </w:rPr>
            </w:pPr>
            <w:r>
              <w:rPr>
                <w:color w:val="auto"/>
                <w:kern w:val="0"/>
                <w:sz w:val="21"/>
                <w:szCs w:val="21"/>
              </w:rPr>
              <w:t>地区：指挥部—负责全厂邻近地区全面指挥，救援、管制、疏散；专业救援队伍—负责对厂专业救援队伍的支援；专业监测队伍负责对厂监测站的支援；地方医院负责收治受伤、中毒人员；</w:t>
            </w:r>
          </w:p>
        </w:tc>
      </w:tr>
      <w:tr w14:paraId="7AECC9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071877DF">
            <w:pPr>
              <w:widowControl/>
              <w:spacing w:line="240" w:lineRule="auto"/>
              <w:ind w:firstLine="0" w:firstLineChars="0"/>
              <w:jc w:val="center"/>
              <w:textAlignment w:val="baseline"/>
              <w:rPr>
                <w:color w:val="auto"/>
                <w:kern w:val="0"/>
                <w:sz w:val="21"/>
                <w:szCs w:val="21"/>
              </w:rPr>
            </w:pPr>
            <w:r>
              <w:rPr>
                <w:color w:val="auto"/>
                <w:kern w:val="0"/>
                <w:sz w:val="21"/>
                <w:szCs w:val="21"/>
              </w:rPr>
              <w:t>5</w:t>
            </w:r>
          </w:p>
        </w:tc>
        <w:tc>
          <w:tcPr>
            <w:tcW w:w="1166" w:type="pct"/>
            <w:vAlign w:val="center"/>
          </w:tcPr>
          <w:p w14:paraId="52E9133F">
            <w:pPr>
              <w:widowControl/>
              <w:spacing w:line="240" w:lineRule="auto"/>
              <w:ind w:firstLine="0" w:firstLineChars="0"/>
              <w:jc w:val="center"/>
              <w:textAlignment w:val="baseline"/>
              <w:rPr>
                <w:color w:val="auto"/>
                <w:kern w:val="0"/>
                <w:sz w:val="21"/>
                <w:szCs w:val="21"/>
              </w:rPr>
            </w:pPr>
            <w:r>
              <w:rPr>
                <w:color w:val="auto"/>
                <w:kern w:val="0"/>
                <w:sz w:val="21"/>
                <w:szCs w:val="21"/>
              </w:rPr>
              <w:t>应急状态分类及应急响应程序</w:t>
            </w:r>
          </w:p>
        </w:tc>
        <w:tc>
          <w:tcPr>
            <w:tcW w:w="3468" w:type="pct"/>
            <w:vAlign w:val="center"/>
          </w:tcPr>
          <w:p w14:paraId="6AD31FA0">
            <w:pPr>
              <w:widowControl/>
              <w:spacing w:line="240" w:lineRule="auto"/>
              <w:ind w:firstLine="0" w:firstLineChars="0"/>
              <w:jc w:val="center"/>
              <w:textAlignment w:val="baseline"/>
              <w:rPr>
                <w:color w:val="auto"/>
                <w:kern w:val="0"/>
                <w:sz w:val="21"/>
                <w:szCs w:val="21"/>
              </w:rPr>
            </w:pPr>
            <w:r>
              <w:rPr>
                <w:color w:val="auto"/>
                <w:kern w:val="0"/>
                <w:sz w:val="21"/>
                <w:szCs w:val="21"/>
              </w:rPr>
              <w:t>规定地下水污染事故的级别及相应的应急分类响应程序</w:t>
            </w:r>
          </w:p>
        </w:tc>
      </w:tr>
      <w:tr w14:paraId="311AA2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0335E955">
            <w:pPr>
              <w:widowControl/>
              <w:spacing w:line="240" w:lineRule="auto"/>
              <w:ind w:firstLine="0" w:firstLineChars="0"/>
              <w:jc w:val="center"/>
              <w:textAlignment w:val="baseline"/>
              <w:rPr>
                <w:color w:val="auto"/>
                <w:kern w:val="0"/>
                <w:sz w:val="21"/>
                <w:szCs w:val="21"/>
              </w:rPr>
            </w:pPr>
            <w:r>
              <w:rPr>
                <w:color w:val="auto"/>
                <w:kern w:val="0"/>
                <w:sz w:val="21"/>
                <w:szCs w:val="21"/>
              </w:rPr>
              <w:t>6</w:t>
            </w:r>
          </w:p>
        </w:tc>
        <w:tc>
          <w:tcPr>
            <w:tcW w:w="1166" w:type="pct"/>
            <w:vAlign w:val="center"/>
          </w:tcPr>
          <w:p w14:paraId="058365AB">
            <w:pPr>
              <w:widowControl/>
              <w:spacing w:line="240" w:lineRule="auto"/>
              <w:ind w:firstLine="0" w:firstLineChars="0"/>
              <w:jc w:val="center"/>
              <w:textAlignment w:val="baseline"/>
              <w:rPr>
                <w:color w:val="auto"/>
                <w:kern w:val="0"/>
                <w:sz w:val="21"/>
                <w:szCs w:val="21"/>
              </w:rPr>
            </w:pPr>
            <w:r>
              <w:rPr>
                <w:color w:val="auto"/>
                <w:kern w:val="0"/>
                <w:sz w:val="21"/>
                <w:szCs w:val="21"/>
              </w:rPr>
              <w:t>应急设施、设备与材料</w:t>
            </w:r>
          </w:p>
        </w:tc>
        <w:tc>
          <w:tcPr>
            <w:tcW w:w="3468" w:type="pct"/>
            <w:vAlign w:val="center"/>
          </w:tcPr>
          <w:p w14:paraId="1B7D897B">
            <w:pPr>
              <w:widowControl/>
              <w:spacing w:line="240" w:lineRule="auto"/>
              <w:ind w:firstLine="0" w:firstLineChars="0"/>
              <w:jc w:val="center"/>
              <w:textAlignment w:val="baseline"/>
              <w:rPr>
                <w:color w:val="auto"/>
                <w:kern w:val="0"/>
                <w:sz w:val="21"/>
                <w:szCs w:val="21"/>
              </w:rPr>
            </w:pPr>
            <w:r>
              <w:rPr>
                <w:color w:val="auto"/>
                <w:kern w:val="0"/>
                <w:sz w:val="21"/>
                <w:szCs w:val="21"/>
              </w:rPr>
              <w:t>防有毒有害物质外溢、扩散的应急设施、设备与材料。</w:t>
            </w:r>
          </w:p>
        </w:tc>
      </w:tr>
      <w:tr w14:paraId="6C90D7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1022369B">
            <w:pPr>
              <w:widowControl/>
              <w:spacing w:line="240" w:lineRule="auto"/>
              <w:ind w:firstLine="0" w:firstLineChars="0"/>
              <w:jc w:val="center"/>
              <w:textAlignment w:val="baseline"/>
              <w:rPr>
                <w:color w:val="auto"/>
                <w:kern w:val="0"/>
                <w:sz w:val="21"/>
                <w:szCs w:val="21"/>
              </w:rPr>
            </w:pPr>
            <w:r>
              <w:rPr>
                <w:color w:val="auto"/>
                <w:kern w:val="0"/>
                <w:sz w:val="21"/>
                <w:szCs w:val="21"/>
              </w:rPr>
              <w:t>7</w:t>
            </w:r>
          </w:p>
        </w:tc>
        <w:tc>
          <w:tcPr>
            <w:tcW w:w="1166" w:type="pct"/>
            <w:vAlign w:val="center"/>
          </w:tcPr>
          <w:p w14:paraId="7A7A7408">
            <w:pPr>
              <w:widowControl/>
              <w:spacing w:line="240" w:lineRule="auto"/>
              <w:ind w:firstLine="0" w:firstLineChars="0"/>
              <w:jc w:val="center"/>
              <w:textAlignment w:val="baseline"/>
              <w:rPr>
                <w:color w:val="auto"/>
                <w:kern w:val="0"/>
                <w:sz w:val="21"/>
                <w:szCs w:val="21"/>
              </w:rPr>
            </w:pPr>
            <w:r>
              <w:rPr>
                <w:color w:val="auto"/>
                <w:kern w:val="0"/>
                <w:sz w:val="21"/>
                <w:szCs w:val="21"/>
              </w:rPr>
              <w:t>应急通讯、通讯和交通</w:t>
            </w:r>
          </w:p>
        </w:tc>
        <w:tc>
          <w:tcPr>
            <w:tcW w:w="3468" w:type="pct"/>
            <w:vAlign w:val="center"/>
          </w:tcPr>
          <w:p w14:paraId="51A50318">
            <w:pPr>
              <w:widowControl/>
              <w:spacing w:line="240" w:lineRule="auto"/>
              <w:ind w:firstLine="0" w:firstLineChars="0"/>
              <w:jc w:val="center"/>
              <w:textAlignment w:val="baseline"/>
              <w:rPr>
                <w:color w:val="auto"/>
                <w:kern w:val="0"/>
                <w:sz w:val="21"/>
                <w:szCs w:val="21"/>
              </w:rPr>
            </w:pPr>
            <w:r>
              <w:rPr>
                <w:color w:val="auto"/>
                <w:kern w:val="0"/>
                <w:sz w:val="21"/>
                <w:szCs w:val="21"/>
              </w:rPr>
              <w:t>规定应急状态下的通讯方式、通知方式和交通保障、管制。</w:t>
            </w:r>
          </w:p>
        </w:tc>
      </w:tr>
      <w:tr w14:paraId="5C4E98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40F6907D">
            <w:pPr>
              <w:widowControl/>
              <w:spacing w:line="240" w:lineRule="auto"/>
              <w:ind w:firstLine="0" w:firstLineChars="0"/>
              <w:jc w:val="center"/>
              <w:textAlignment w:val="baseline"/>
              <w:rPr>
                <w:color w:val="auto"/>
                <w:kern w:val="0"/>
                <w:sz w:val="21"/>
                <w:szCs w:val="21"/>
              </w:rPr>
            </w:pPr>
            <w:r>
              <w:rPr>
                <w:color w:val="auto"/>
                <w:kern w:val="0"/>
                <w:sz w:val="21"/>
                <w:szCs w:val="21"/>
              </w:rPr>
              <w:t>8</w:t>
            </w:r>
          </w:p>
        </w:tc>
        <w:tc>
          <w:tcPr>
            <w:tcW w:w="1166" w:type="pct"/>
            <w:vAlign w:val="center"/>
          </w:tcPr>
          <w:p w14:paraId="37360243">
            <w:pPr>
              <w:widowControl/>
              <w:spacing w:line="240" w:lineRule="auto"/>
              <w:ind w:firstLine="0" w:firstLineChars="0"/>
              <w:jc w:val="center"/>
              <w:textAlignment w:val="baseline"/>
              <w:rPr>
                <w:color w:val="auto"/>
                <w:kern w:val="0"/>
                <w:sz w:val="21"/>
                <w:szCs w:val="21"/>
              </w:rPr>
            </w:pPr>
            <w:r>
              <w:rPr>
                <w:color w:val="auto"/>
                <w:kern w:val="0"/>
                <w:sz w:val="21"/>
                <w:szCs w:val="21"/>
              </w:rPr>
              <w:t>应急环境监测及事故后评估</w:t>
            </w:r>
          </w:p>
        </w:tc>
        <w:tc>
          <w:tcPr>
            <w:tcW w:w="3468" w:type="pct"/>
            <w:vAlign w:val="center"/>
          </w:tcPr>
          <w:p w14:paraId="7724E5DA">
            <w:pPr>
              <w:widowControl/>
              <w:spacing w:line="240" w:lineRule="auto"/>
              <w:ind w:firstLine="0" w:firstLineChars="0"/>
              <w:jc w:val="center"/>
              <w:textAlignment w:val="baseline"/>
              <w:rPr>
                <w:color w:val="auto"/>
                <w:kern w:val="0"/>
                <w:sz w:val="21"/>
                <w:szCs w:val="21"/>
              </w:rPr>
            </w:pPr>
            <w:r>
              <w:rPr>
                <w:color w:val="auto"/>
                <w:kern w:val="0"/>
                <w:sz w:val="21"/>
                <w:szCs w:val="21"/>
              </w:rPr>
              <w:t>由厂环境监测站进行现场地下水环境进行监测。</w:t>
            </w:r>
          </w:p>
          <w:p w14:paraId="3BE4216B">
            <w:pPr>
              <w:widowControl/>
              <w:spacing w:line="240" w:lineRule="auto"/>
              <w:ind w:firstLine="0" w:firstLineChars="0"/>
              <w:jc w:val="center"/>
              <w:textAlignment w:val="baseline"/>
              <w:rPr>
                <w:color w:val="auto"/>
                <w:kern w:val="0"/>
                <w:sz w:val="21"/>
                <w:szCs w:val="21"/>
              </w:rPr>
            </w:pPr>
            <w:r>
              <w:rPr>
                <w:color w:val="auto"/>
                <w:kern w:val="0"/>
                <w:sz w:val="21"/>
                <w:szCs w:val="21"/>
              </w:rPr>
              <w:t>对事故性质与后果进行评估，为指挥部门提供决策依据。</w:t>
            </w:r>
          </w:p>
        </w:tc>
      </w:tr>
      <w:tr w14:paraId="21EF73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45CB73B9">
            <w:pPr>
              <w:widowControl/>
              <w:spacing w:line="240" w:lineRule="auto"/>
              <w:ind w:firstLine="0" w:firstLineChars="0"/>
              <w:jc w:val="center"/>
              <w:textAlignment w:val="baseline"/>
              <w:rPr>
                <w:color w:val="auto"/>
                <w:kern w:val="0"/>
                <w:sz w:val="21"/>
                <w:szCs w:val="21"/>
              </w:rPr>
            </w:pPr>
            <w:r>
              <w:rPr>
                <w:color w:val="auto"/>
                <w:kern w:val="0"/>
                <w:sz w:val="21"/>
                <w:szCs w:val="21"/>
              </w:rPr>
              <w:t>9</w:t>
            </w:r>
          </w:p>
        </w:tc>
        <w:tc>
          <w:tcPr>
            <w:tcW w:w="1166" w:type="pct"/>
            <w:vAlign w:val="center"/>
          </w:tcPr>
          <w:p w14:paraId="123FB3F3">
            <w:pPr>
              <w:widowControl/>
              <w:spacing w:line="240" w:lineRule="auto"/>
              <w:ind w:firstLine="0" w:firstLineChars="0"/>
              <w:jc w:val="center"/>
              <w:textAlignment w:val="baseline"/>
              <w:rPr>
                <w:color w:val="auto"/>
                <w:kern w:val="0"/>
                <w:sz w:val="21"/>
                <w:szCs w:val="21"/>
              </w:rPr>
            </w:pPr>
            <w:r>
              <w:rPr>
                <w:color w:val="auto"/>
                <w:kern w:val="0"/>
                <w:sz w:val="21"/>
                <w:szCs w:val="21"/>
              </w:rPr>
              <w:t>应急防护措施、清除泄漏措施方法和器材</w:t>
            </w:r>
          </w:p>
        </w:tc>
        <w:tc>
          <w:tcPr>
            <w:tcW w:w="3468" w:type="pct"/>
            <w:vAlign w:val="center"/>
          </w:tcPr>
          <w:p w14:paraId="28F8824A">
            <w:pPr>
              <w:widowControl/>
              <w:spacing w:line="240" w:lineRule="auto"/>
              <w:ind w:firstLine="0" w:firstLineChars="0"/>
              <w:jc w:val="center"/>
              <w:textAlignment w:val="baseline"/>
              <w:rPr>
                <w:color w:val="auto"/>
                <w:kern w:val="0"/>
                <w:sz w:val="21"/>
                <w:szCs w:val="21"/>
              </w:rPr>
            </w:pPr>
            <w:r>
              <w:rPr>
                <w:color w:val="auto"/>
                <w:kern w:val="0"/>
                <w:sz w:val="21"/>
                <w:szCs w:val="21"/>
              </w:rPr>
              <w:t>事故现场：控制事故、防止扩大、蔓延及链锁反应。清除现场泄漏物，降低危害，相应的设施器材配备。</w:t>
            </w:r>
          </w:p>
          <w:p w14:paraId="5204C125">
            <w:pPr>
              <w:widowControl/>
              <w:spacing w:line="240" w:lineRule="auto"/>
              <w:ind w:firstLine="0" w:firstLineChars="0"/>
              <w:jc w:val="center"/>
              <w:textAlignment w:val="baseline"/>
              <w:rPr>
                <w:color w:val="auto"/>
                <w:kern w:val="0"/>
                <w:sz w:val="21"/>
                <w:szCs w:val="21"/>
              </w:rPr>
            </w:pPr>
            <w:r>
              <w:rPr>
                <w:color w:val="auto"/>
                <w:kern w:val="0"/>
                <w:sz w:val="21"/>
                <w:szCs w:val="21"/>
              </w:rPr>
              <w:t>邻近区域：控制污染区域，控制和清除污染措施及相应设备配备。</w:t>
            </w:r>
          </w:p>
        </w:tc>
      </w:tr>
      <w:tr w14:paraId="755B6D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434556FA">
            <w:pPr>
              <w:widowControl/>
              <w:spacing w:line="240" w:lineRule="auto"/>
              <w:ind w:firstLine="0" w:firstLineChars="0"/>
              <w:jc w:val="center"/>
              <w:textAlignment w:val="baseline"/>
              <w:rPr>
                <w:color w:val="auto"/>
                <w:kern w:val="0"/>
                <w:sz w:val="21"/>
                <w:szCs w:val="21"/>
              </w:rPr>
            </w:pPr>
            <w:r>
              <w:rPr>
                <w:color w:val="auto"/>
                <w:kern w:val="0"/>
                <w:sz w:val="21"/>
                <w:szCs w:val="21"/>
              </w:rPr>
              <w:t>10</w:t>
            </w:r>
          </w:p>
        </w:tc>
        <w:tc>
          <w:tcPr>
            <w:tcW w:w="1166" w:type="pct"/>
            <w:vAlign w:val="center"/>
          </w:tcPr>
          <w:p w14:paraId="7F8B26F4">
            <w:pPr>
              <w:widowControl/>
              <w:spacing w:line="240" w:lineRule="auto"/>
              <w:ind w:firstLine="0" w:firstLineChars="0"/>
              <w:jc w:val="center"/>
              <w:textAlignment w:val="baseline"/>
              <w:rPr>
                <w:color w:val="auto"/>
                <w:kern w:val="0"/>
                <w:sz w:val="21"/>
                <w:szCs w:val="21"/>
              </w:rPr>
            </w:pPr>
            <w:r>
              <w:rPr>
                <w:color w:val="auto"/>
                <w:kern w:val="0"/>
                <w:sz w:val="21"/>
                <w:szCs w:val="21"/>
              </w:rPr>
              <w:t>应急浓度、排放量控制、撤离组织计划、医疗救护与公众健康</w:t>
            </w:r>
          </w:p>
        </w:tc>
        <w:tc>
          <w:tcPr>
            <w:tcW w:w="3468" w:type="pct"/>
            <w:vAlign w:val="center"/>
          </w:tcPr>
          <w:p w14:paraId="67919F28">
            <w:pPr>
              <w:widowControl/>
              <w:spacing w:line="240" w:lineRule="auto"/>
              <w:ind w:firstLine="0" w:firstLineChars="0"/>
              <w:jc w:val="center"/>
              <w:textAlignment w:val="baseline"/>
              <w:rPr>
                <w:color w:val="auto"/>
                <w:kern w:val="0"/>
                <w:sz w:val="21"/>
                <w:szCs w:val="21"/>
              </w:rPr>
            </w:pPr>
            <w:r>
              <w:rPr>
                <w:color w:val="auto"/>
                <w:kern w:val="0"/>
                <w:sz w:val="21"/>
                <w:szCs w:val="21"/>
              </w:rPr>
              <w:t>事故现场：事故处理人员制定污染物的应急控制浓度、排放量，现场及邻近装置人员撤离组织计划及救护。</w:t>
            </w:r>
          </w:p>
          <w:p w14:paraId="3F1C9A50">
            <w:pPr>
              <w:widowControl/>
              <w:spacing w:line="240" w:lineRule="auto"/>
              <w:ind w:firstLine="0" w:firstLineChars="0"/>
              <w:jc w:val="center"/>
              <w:textAlignment w:val="baseline"/>
              <w:rPr>
                <w:color w:val="auto"/>
                <w:kern w:val="0"/>
                <w:sz w:val="21"/>
                <w:szCs w:val="21"/>
              </w:rPr>
            </w:pPr>
            <w:r>
              <w:rPr>
                <w:color w:val="auto"/>
                <w:kern w:val="0"/>
                <w:sz w:val="21"/>
                <w:szCs w:val="21"/>
              </w:rPr>
              <w:t>环境敏感目标：受事故影响的邻近区域人员及公众对污染物应急控制浓度、排放量规定，撤离组织计划及救护。</w:t>
            </w:r>
          </w:p>
        </w:tc>
      </w:tr>
      <w:tr w14:paraId="2C3447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5A7F79B3">
            <w:pPr>
              <w:widowControl/>
              <w:spacing w:line="240" w:lineRule="auto"/>
              <w:ind w:firstLine="0" w:firstLineChars="0"/>
              <w:jc w:val="center"/>
              <w:textAlignment w:val="baseline"/>
              <w:rPr>
                <w:color w:val="auto"/>
                <w:kern w:val="0"/>
                <w:sz w:val="21"/>
                <w:szCs w:val="21"/>
              </w:rPr>
            </w:pPr>
            <w:r>
              <w:rPr>
                <w:color w:val="auto"/>
                <w:kern w:val="0"/>
                <w:sz w:val="21"/>
                <w:szCs w:val="21"/>
              </w:rPr>
              <w:t>11</w:t>
            </w:r>
          </w:p>
        </w:tc>
        <w:tc>
          <w:tcPr>
            <w:tcW w:w="1166" w:type="pct"/>
            <w:vAlign w:val="center"/>
          </w:tcPr>
          <w:p w14:paraId="57C66D78">
            <w:pPr>
              <w:widowControl/>
              <w:spacing w:line="240" w:lineRule="auto"/>
              <w:ind w:firstLine="0" w:firstLineChars="0"/>
              <w:jc w:val="center"/>
              <w:textAlignment w:val="baseline"/>
              <w:rPr>
                <w:color w:val="auto"/>
                <w:kern w:val="0"/>
                <w:sz w:val="21"/>
                <w:szCs w:val="21"/>
              </w:rPr>
            </w:pPr>
            <w:r>
              <w:rPr>
                <w:color w:val="auto"/>
                <w:kern w:val="0"/>
                <w:sz w:val="21"/>
                <w:szCs w:val="21"/>
              </w:rPr>
              <w:t>应急状态终止与恢复措施</w:t>
            </w:r>
          </w:p>
        </w:tc>
        <w:tc>
          <w:tcPr>
            <w:tcW w:w="3468" w:type="pct"/>
            <w:vAlign w:val="center"/>
          </w:tcPr>
          <w:p w14:paraId="0355759A">
            <w:pPr>
              <w:widowControl/>
              <w:spacing w:line="240" w:lineRule="auto"/>
              <w:ind w:firstLine="0" w:firstLineChars="0"/>
              <w:jc w:val="center"/>
              <w:textAlignment w:val="baseline"/>
              <w:rPr>
                <w:color w:val="auto"/>
                <w:kern w:val="0"/>
                <w:sz w:val="21"/>
                <w:szCs w:val="21"/>
              </w:rPr>
            </w:pPr>
            <w:r>
              <w:rPr>
                <w:color w:val="auto"/>
                <w:kern w:val="0"/>
                <w:sz w:val="21"/>
                <w:szCs w:val="21"/>
              </w:rPr>
              <w:t>规定应急状态终止程序。</w:t>
            </w:r>
          </w:p>
          <w:p w14:paraId="6577096A">
            <w:pPr>
              <w:widowControl/>
              <w:spacing w:line="240" w:lineRule="auto"/>
              <w:ind w:firstLine="0" w:firstLineChars="0"/>
              <w:jc w:val="center"/>
              <w:textAlignment w:val="baseline"/>
              <w:rPr>
                <w:color w:val="auto"/>
                <w:kern w:val="0"/>
                <w:sz w:val="21"/>
                <w:szCs w:val="21"/>
              </w:rPr>
            </w:pPr>
            <w:r>
              <w:rPr>
                <w:color w:val="auto"/>
                <w:kern w:val="0"/>
                <w:sz w:val="21"/>
                <w:szCs w:val="21"/>
              </w:rPr>
              <w:t>事故现场善后处理，恢复措施。</w:t>
            </w:r>
          </w:p>
          <w:p w14:paraId="72847987">
            <w:pPr>
              <w:widowControl/>
              <w:spacing w:line="240" w:lineRule="auto"/>
              <w:ind w:firstLine="0" w:firstLineChars="0"/>
              <w:jc w:val="center"/>
              <w:textAlignment w:val="baseline"/>
              <w:rPr>
                <w:color w:val="auto"/>
                <w:kern w:val="0"/>
                <w:sz w:val="21"/>
                <w:szCs w:val="21"/>
              </w:rPr>
            </w:pPr>
            <w:r>
              <w:rPr>
                <w:color w:val="auto"/>
                <w:kern w:val="0"/>
                <w:sz w:val="21"/>
                <w:szCs w:val="21"/>
              </w:rPr>
              <w:t>邻近区域解除事故警戒及善后恢复措施。</w:t>
            </w:r>
          </w:p>
        </w:tc>
      </w:tr>
      <w:tr w14:paraId="528909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4AF3FE56">
            <w:pPr>
              <w:widowControl/>
              <w:spacing w:line="240" w:lineRule="auto"/>
              <w:ind w:firstLine="0" w:firstLineChars="0"/>
              <w:jc w:val="center"/>
              <w:textAlignment w:val="baseline"/>
              <w:rPr>
                <w:color w:val="auto"/>
                <w:kern w:val="0"/>
                <w:sz w:val="21"/>
                <w:szCs w:val="21"/>
              </w:rPr>
            </w:pPr>
            <w:r>
              <w:rPr>
                <w:color w:val="auto"/>
                <w:kern w:val="0"/>
                <w:sz w:val="21"/>
                <w:szCs w:val="21"/>
              </w:rPr>
              <w:t>12</w:t>
            </w:r>
          </w:p>
        </w:tc>
        <w:tc>
          <w:tcPr>
            <w:tcW w:w="1166" w:type="pct"/>
            <w:vAlign w:val="center"/>
          </w:tcPr>
          <w:p w14:paraId="19A41EDC">
            <w:pPr>
              <w:widowControl/>
              <w:spacing w:line="240" w:lineRule="auto"/>
              <w:ind w:firstLine="0" w:firstLineChars="0"/>
              <w:jc w:val="center"/>
              <w:textAlignment w:val="baseline"/>
              <w:rPr>
                <w:color w:val="auto"/>
                <w:kern w:val="0"/>
                <w:sz w:val="21"/>
                <w:szCs w:val="21"/>
              </w:rPr>
            </w:pPr>
            <w:r>
              <w:rPr>
                <w:color w:val="auto"/>
                <w:kern w:val="0"/>
                <w:sz w:val="21"/>
                <w:szCs w:val="21"/>
              </w:rPr>
              <w:t>人员培训与演练</w:t>
            </w:r>
          </w:p>
        </w:tc>
        <w:tc>
          <w:tcPr>
            <w:tcW w:w="3468" w:type="pct"/>
            <w:vAlign w:val="center"/>
          </w:tcPr>
          <w:p w14:paraId="0E6C317C">
            <w:pPr>
              <w:widowControl/>
              <w:spacing w:line="240" w:lineRule="auto"/>
              <w:ind w:firstLine="0" w:firstLineChars="0"/>
              <w:jc w:val="center"/>
              <w:textAlignment w:val="baseline"/>
              <w:rPr>
                <w:color w:val="auto"/>
                <w:kern w:val="0"/>
                <w:sz w:val="21"/>
                <w:szCs w:val="21"/>
              </w:rPr>
            </w:pPr>
            <w:r>
              <w:rPr>
                <w:color w:val="auto"/>
                <w:kern w:val="0"/>
                <w:sz w:val="21"/>
                <w:szCs w:val="21"/>
              </w:rPr>
              <w:t>应急计划制定后，平时安排人员培训与演练。</w:t>
            </w:r>
          </w:p>
        </w:tc>
      </w:tr>
      <w:tr w14:paraId="342E4D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60BF2EB7">
            <w:pPr>
              <w:widowControl/>
              <w:spacing w:line="240" w:lineRule="auto"/>
              <w:ind w:firstLine="0" w:firstLineChars="0"/>
              <w:jc w:val="center"/>
              <w:textAlignment w:val="baseline"/>
              <w:rPr>
                <w:color w:val="auto"/>
                <w:kern w:val="0"/>
                <w:sz w:val="21"/>
                <w:szCs w:val="21"/>
              </w:rPr>
            </w:pPr>
            <w:r>
              <w:rPr>
                <w:color w:val="auto"/>
                <w:kern w:val="0"/>
                <w:sz w:val="21"/>
                <w:szCs w:val="21"/>
              </w:rPr>
              <w:t>13</w:t>
            </w:r>
          </w:p>
        </w:tc>
        <w:tc>
          <w:tcPr>
            <w:tcW w:w="1166" w:type="pct"/>
            <w:vAlign w:val="center"/>
          </w:tcPr>
          <w:p w14:paraId="270ACD19">
            <w:pPr>
              <w:widowControl/>
              <w:spacing w:line="240" w:lineRule="auto"/>
              <w:ind w:firstLine="0" w:firstLineChars="0"/>
              <w:jc w:val="center"/>
              <w:textAlignment w:val="baseline"/>
              <w:rPr>
                <w:color w:val="auto"/>
                <w:kern w:val="0"/>
                <w:sz w:val="21"/>
                <w:szCs w:val="21"/>
              </w:rPr>
            </w:pPr>
            <w:r>
              <w:rPr>
                <w:color w:val="auto"/>
                <w:kern w:val="0"/>
                <w:sz w:val="21"/>
                <w:szCs w:val="21"/>
              </w:rPr>
              <w:t>公众教育和信息</w:t>
            </w:r>
          </w:p>
        </w:tc>
        <w:tc>
          <w:tcPr>
            <w:tcW w:w="3468" w:type="pct"/>
            <w:vAlign w:val="center"/>
          </w:tcPr>
          <w:p w14:paraId="596423A3">
            <w:pPr>
              <w:widowControl/>
              <w:spacing w:line="240" w:lineRule="auto"/>
              <w:ind w:firstLine="0" w:firstLineChars="0"/>
              <w:jc w:val="center"/>
              <w:textAlignment w:val="baseline"/>
              <w:rPr>
                <w:color w:val="auto"/>
                <w:kern w:val="0"/>
                <w:sz w:val="21"/>
                <w:szCs w:val="21"/>
              </w:rPr>
            </w:pPr>
            <w:r>
              <w:rPr>
                <w:color w:val="auto"/>
                <w:kern w:val="0"/>
                <w:sz w:val="21"/>
                <w:szCs w:val="21"/>
              </w:rPr>
              <w:t>对邻近地区开展公众教育、培训和发布有关信息。</w:t>
            </w:r>
          </w:p>
        </w:tc>
      </w:tr>
      <w:tr w14:paraId="212F9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1BB11B15">
            <w:pPr>
              <w:widowControl/>
              <w:spacing w:line="240" w:lineRule="auto"/>
              <w:ind w:firstLine="0" w:firstLineChars="0"/>
              <w:jc w:val="center"/>
              <w:textAlignment w:val="baseline"/>
              <w:rPr>
                <w:color w:val="auto"/>
                <w:kern w:val="0"/>
                <w:sz w:val="21"/>
                <w:szCs w:val="21"/>
              </w:rPr>
            </w:pPr>
            <w:r>
              <w:rPr>
                <w:color w:val="auto"/>
                <w:kern w:val="0"/>
                <w:sz w:val="21"/>
                <w:szCs w:val="21"/>
              </w:rPr>
              <w:t>14</w:t>
            </w:r>
          </w:p>
        </w:tc>
        <w:tc>
          <w:tcPr>
            <w:tcW w:w="1166" w:type="pct"/>
            <w:vAlign w:val="center"/>
          </w:tcPr>
          <w:p w14:paraId="1ACEAFFC">
            <w:pPr>
              <w:widowControl/>
              <w:spacing w:line="240" w:lineRule="auto"/>
              <w:ind w:firstLine="0" w:firstLineChars="0"/>
              <w:jc w:val="center"/>
              <w:textAlignment w:val="baseline"/>
              <w:rPr>
                <w:color w:val="auto"/>
                <w:kern w:val="0"/>
                <w:sz w:val="21"/>
                <w:szCs w:val="21"/>
              </w:rPr>
            </w:pPr>
            <w:r>
              <w:rPr>
                <w:color w:val="auto"/>
                <w:kern w:val="0"/>
                <w:sz w:val="21"/>
                <w:szCs w:val="21"/>
              </w:rPr>
              <w:t>记录和报告</w:t>
            </w:r>
          </w:p>
        </w:tc>
        <w:tc>
          <w:tcPr>
            <w:tcW w:w="3468" w:type="pct"/>
            <w:vAlign w:val="center"/>
          </w:tcPr>
          <w:p w14:paraId="05BED6D8">
            <w:pPr>
              <w:widowControl/>
              <w:spacing w:line="240" w:lineRule="auto"/>
              <w:ind w:firstLine="0" w:firstLineChars="0"/>
              <w:jc w:val="center"/>
              <w:textAlignment w:val="baseline"/>
              <w:rPr>
                <w:color w:val="auto"/>
                <w:kern w:val="0"/>
                <w:sz w:val="21"/>
                <w:szCs w:val="21"/>
              </w:rPr>
            </w:pPr>
            <w:r>
              <w:rPr>
                <w:color w:val="auto"/>
                <w:kern w:val="0"/>
                <w:sz w:val="21"/>
                <w:szCs w:val="21"/>
              </w:rPr>
              <w:t>设置应急事故专门记录，建档案和专门报告制度，设专门部门和负责管理。</w:t>
            </w:r>
          </w:p>
        </w:tc>
      </w:tr>
      <w:tr w14:paraId="0586AD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6" w:type="pct"/>
            <w:vAlign w:val="center"/>
          </w:tcPr>
          <w:p w14:paraId="1C0A6232">
            <w:pPr>
              <w:widowControl/>
              <w:spacing w:line="240" w:lineRule="auto"/>
              <w:ind w:firstLine="0" w:firstLineChars="0"/>
              <w:jc w:val="center"/>
              <w:textAlignment w:val="baseline"/>
              <w:rPr>
                <w:color w:val="auto"/>
                <w:kern w:val="0"/>
                <w:sz w:val="21"/>
                <w:szCs w:val="21"/>
              </w:rPr>
            </w:pPr>
            <w:r>
              <w:rPr>
                <w:color w:val="auto"/>
                <w:kern w:val="0"/>
                <w:sz w:val="21"/>
                <w:szCs w:val="21"/>
              </w:rPr>
              <w:t>15</w:t>
            </w:r>
          </w:p>
        </w:tc>
        <w:tc>
          <w:tcPr>
            <w:tcW w:w="1166" w:type="pct"/>
            <w:vAlign w:val="center"/>
          </w:tcPr>
          <w:p w14:paraId="6ADB5D2A">
            <w:pPr>
              <w:widowControl/>
              <w:spacing w:line="240" w:lineRule="auto"/>
              <w:ind w:firstLine="0" w:firstLineChars="0"/>
              <w:jc w:val="center"/>
              <w:textAlignment w:val="baseline"/>
              <w:rPr>
                <w:color w:val="auto"/>
                <w:kern w:val="0"/>
                <w:sz w:val="21"/>
                <w:szCs w:val="21"/>
              </w:rPr>
            </w:pPr>
            <w:r>
              <w:rPr>
                <w:color w:val="auto"/>
                <w:kern w:val="0"/>
                <w:sz w:val="21"/>
                <w:szCs w:val="21"/>
              </w:rPr>
              <w:t>附件</w:t>
            </w:r>
          </w:p>
        </w:tc>
        <w:tc>
          <w:tcPr>
            <w:tcW w:w="3468" w:type="pct"/>
            <w:vAlign w:val="center"/>
          </w:tcPr>
          <w:p w14:paraId="4733757D">
            <w:pPr>
              <w:widowControl/>
              <w:spacing w:line="240" w:lineRule="auto"/>
              <w:ind w:firstLine="0" w:firstLineChars="0"/>
              <w:jc w:val="center"/>
              <w:textAlignment w:val="baseline"/>
              <w:rPr>
                <w:color w:val="auto"/>
                <w:kern w:val="0"/>
                <w:sz w:val="21"/>
                <w:szCs w:val="21"/>
              </w:rPr>
            </w:pPr>
            <w:r>
              <w:rPr>
                <w:color w:val="auto"/>
                <w:kern w:val="0"/>
                <w:sz w:val="21"/>
                <w:szCs w:val="21"/>
              </w:rPr>
              <w:t>与应急事故有关的多种附件材料的准备和形成。</w:t>
            </w:r>
          </w:p>
        </w:tc>
      </w:tr>
    </w:tbl>
    <w:p w14:paraId="60EC4EAA">
      <w:pPr>
        <w:pStyle w:val="4"/>
        <w:rPr>
          <w:color w:val="auto"/>
        </w:rPr>
      </w:pPr>
      <w:bookmarkStart w:id="308" w:name="_Toc429"/>
      <w:bookmarkStart w:id="309" w:name="_Toc21043"/>
      <w:r>
        <w:rPr>
          <w:color w:val="auto"/>
        </w:rPr>
        <w:t>7.5.3</w:t>
      </w:r>
      <w:r>
        <w:rPr>
          <w:rFonts w:hint="eastAsia"/>
          <w:color w:val="auto"/>
        </w:rPr>
        <w:t>地下水环境跟踪监测与信息公开计划</w:t>
      </w:r>
      <w:bookmarkEnd w:id="308"/>
      <w:bookmarkEnd w:id="309"/>
    </w:p>
    <w:p w14:paraId="0E86ED57">
      <w:pPr>
        <w:autoSpaceDE w:val="0"/>
        <w:autoSpaceDN w:val="0"/>
        <w:ind w:firstLine="480"/>
        <w:rPr>
          <w:rFonts w:hint="eastAsia" w:hAnsi="宋体"/>
          <w:color w:val="auto"/>
        </w:rPr>
      </w:pPr>
      <w:r>
        <w:rPr>
          <w:rFonts w:hAnsi="宋体"/>
          <w:color w:val="auto"/>
        </w:rPr>
        <w:t>企业应按要求委托有资质单位编制地下水环境跟踪监测报告，报告一般应包括以下内容：</w:t>
      </w:r>
    </w:p>
    <w:p w14:paraId="7ECE40D8">
      <w:pPr>
        <w:autoSpaceDE w:val="0"/>
        <w:autoSpaceDN w:val="0"/>
        <w:ind w:firstLine="480"/>
        <w:rPr>
          <w:rFonts w:hint="eastAsia" w:hAnsi="宋体"/>
          <w:color w:val="auto"/>
        </w:rPr>
      </w:pPr>
      <w:r>
        <w:rPr>
          <w:rFonts w:hint="eastAsia" w:hAnsi="宋体"/>
          <w:color w:val="auto"/>
        </w:rPr>
        <w:t>（1）</w:t>
      </w:r>
      <w:r>
        <w:rPr>
          <w:rFonts w:hAnsi="宋体"/>
          <w:color w:val="auto"/>
        </w:rPr>
        <w:t>建设项目所在场地及其影响区地下水环境跟踪监测数据，排放污染物的种类、数量、浓度。</w:t>
      </w:r>
    </w:p>
    <w:p w14:paraId="763CA36F">
      <w:pPr>
        <w:autoSpaceDE w:val="0"/>
        <w:autoSpaceDN w:val="0"/>
        <w:ind w:firstLine="480"/>
        <w:rPr>
          <w:rFonts w:hint="eastAsia" w:hAnsi="宋体"/>
          <w:color w:val="auto"/>
        </w:rPr>
      </w:pPr>
      <w:r>
        <w:rPr>
          <w:rFonts w:hint="eastAsia" w:hAnsi="宋体"/>
          <w:color w:val="auto"/>
        </w:rPr>
        <w:t>（2）</w:t>
      </w:r>
      <w:r>
        <w:rPr>
          <w:rFonts w:hAnsi="宋体"/>
          <w:color w:val="auto"/>
        </w:rPr>
        <w:t>生产设备、管廊或管线、贮存与运输装置、污染物贮存与处理装置、事故应急装置等设施的运行状况、跑冒滴漏记录、维护记录。</w:t>
      </w:r>
    </w:p>
    <w:p w14:paraId="20702518">
      <w:pPr>
        <w:autoSpaceDE w:val="0"/>
        <w:autoSpaceDN w:val="0"/>
        <w:ind w:firstLine="480"/>
        <w:rPr>
          <w:rFonts w:hint="eastAsia" w:hAnsi="宋体"/>
          <w:color w:val="auto"/>
        </w:rPr>
      </w:pPr>
      <w:r>
        <w:rPr>
          <w:rFonts w:hint="eastAsia" w:hAnsi="宋体"/>
          <w:color w:val="auto"/>
        </w:rPr>
        <w:t>（3）</w:t>
      </w:r>
      <w:r>
        <w:rPr>
          <w:rFonts w:hAnsi="宋体"/>
          <w:color w:val="auto"/>
        </w:rPr>
        <w:t>信息公开计划应至少包括建设项目特征因子的地下水环境监测值。</w:t>
      </w:r>
    </w:p>
    <w:p w14:paraId="124483E5">
      <w:pPr>
        <w:pStyle w:val="4"/>
        <w:rPr>
          <w:color w:val="auto"/>
        </w:rPr>
      </w:pPr>
      <w:bookmarkStart w:id="310" w:name="_Toc29649"/>
      <w:bookmarkStart w:id="311" w:name="_Toc22559"/>
      <w:r>
        <w:rPr>
          <w:color w:val="auto"/>
        </w:rPr>
        <w:t>7.5.4</w:t>
      </w:r>
      <w:r>
        <w:rPr>
          <w:rFonts w:hint="eastAsia"/>
          <w:color w:val="auto"/>
        </w:rPr>
        <w:t>土壤污染治理措施评述</w:t>
      </w:r>
      <w:bookmarkEnd w:id="310"/>
      <w:bookmarkEnd w:id="311"/>
    </w:p>
    <w:p w14:paraId="5E800279">
      <w:pPr>
        <w:ind w:firstLine="480"/>
        <w:rPr>
          <w:rFonts w:hint="eastAsia" w:hAnsi="宋体"/>
          <w:bCs/>
          <w:color w:val="auto"/>
        </w:rPr>
      </w:pPr>
      <w:r>
        <w:rPr>
          <w:rFonts w:hAnsi="宋体"/>
          <w:bCs/>
          <w:color w:val="auto"/>
        </w:rPr>
        <w:t>根据</w:t>
      </w:r>
      <w:r>
        <w:rPr>
          <w:rFonts w:hint="eastAsia" w:hAnsi="宋体"/>
          <w:bCs/>
          <w:color w:val="auto"/>
        </w:rPr>
        <w:t>拟建的特性分析</w:t>
      </w:r>
      <w:r>
        <w:rPr>
          <w:rFonts w:hAnsi="宋体"/>
          <w:bCs/>
          <w:color w:val="auto"/>
        </w:rPr>
        <w:t>，</w:t>
      </w:r>
      <w:r>
        <w:rPr>
          <w:rFonts w:hint="eastAsia" w:hAnsi="宋体"/>
          <w:bCs/>
          <w:color w:val="auto"/>
        </w:rPr>
        <w:t>拟建</w:t>
      </w:r>
      <w:r>
        <w:rPr>
          <w:rFonts w:hAnsi="宋体"/>
          <w:bCs/>
          <w:color w:val="auto"/>
        </w:rPr>
        <w:t>可能对</w:t>
      </w:r>
      <w:r>
        <w:rPr>
          <w:rFonts w:hint="eastAsia" w:hAnsi="宋体"/>
          <w:bCs/>
          <w:color w:val="auto"/>
        </w:rPr>
        <w:t>土壤</w:t>
      </w:r>
      <w:r>
        <w:rPr>
          <w:rFonts w:hAnsi="宋体"/>
          <w:bCs/>
          <w:color w:val="auto"/>
        </w:rPr>
        <w:t>造成污染的途径主要有：</w:t>
      </w:r>
      <w:r>
        <w:rPr>
          <w:rFonts w:hint="eastAsia" w:hAnsi="宋体"/>
          <w:bCs/>
          <w:color w:val="auto"/>
        </w:rPr>
        <w:t>排放的废气污染物通过沉降或降水而降落到地面；固废、污水泄露在地面；罐区</w:t>
      </w:r>
      <w:r>
        <w:rPr>
          <w:rFonts w:hAnsi="宋体"/>
          <w:bCs/>
          <w:color w:val="auto"/>
        </w:rPr>
        <w:t>、污水处理站、</w:t>
      </w:r>
      <w:r>
        <w:rPr>
          <w:rFonts w:hint="eastAsia" w:hAnsi="宋体"/>
          <w:bCs/>
          <w:color w:val="auto"/>
        </w:rPr>
        <w:t>固废堆场</w:t>
      </w:r>
      <w:r>
        <w:rPr>
          <w:rFonts w:hAnsi="宋体"/>
          <w:bCs/>
          <w:color w:val="auto"/>
        </w:rPr>
        <w:t>地等污水下渗对</w:t>
      </w:r>
      <w:r>
        <w:rPr>
          <w:rFonts w:hint="eastAsia" w:hAnsi="宋体"/>
          <w:bCs/>
          <w:color w:val="auto"/>
        </w:rPr>
        <w:t>土壤</w:t>
      </w:r>
      <w:r>
        <w:rPr>
          <w:rFonts w:hAnsi="宋体"/>
          <w:bCs/>
          <w:color w:val="auto"/>
        </w:rPr>
        <w:t>造成的污染。</w:t>
      </w:r>
    </w:p>
    <w:p w14:paraId="226DE7E5">
      <w:pPr>
        <w:ind w:firstLine="480"/>
        <w:rPr>
          <w:rFonts w:hint="eastAsia" w:hAnsi="宋体"/>
          <w:bCs/>
          <w:color w:val="auto"/>
        </w:rPr>
      </w:pPr>
      <w:r>
        <w:rPr>
          <w:rFonts w:hint="eastAsia" w:hAnsi="宋体"/>
          <w:bCs/>
          <w:color w:val="auto"/>
        </w:rPr>
        <w:t>针对以上土壤污染途径，建设单位应采取以下污染防治措施：</w:t>
      </w:r>
    </w:p>
    <w:p w14:paraId="4169D94F">
      <w:pPr>
        <w:ind w:firstLine="480"/>
        <w:rPr>
          <w:rFonts w:hint="eastAsia" w:hAnsi="宋体"/>
          <w:bCs/>
          <w:color w:val="auto"/>
        </w:rPr>
      </w:pPr>
      <w:r>
        <w:rPr>
          <w:rFonts w:hint="eastAsia" w:hAnsi="宋体"/>
          <w:bCs/>
          <w:color w:val="auto"/>
        </w:rPr>
        <w:t>（1）加强环保管理，确保废气污染物达标排放。全厂固废分类收集，储存期间严格按照相应储存要求，设置专用的储存场所，在固废的收集运输等过程，注意防止洒落并及时清扫。固废储存期间，尽可能采用专用桶盛放，密闭包装。</w:t>
      </w:r>
    </w:p>
    <w:p w14:paraId="157369FD">
      <w:pPr>
        <w:ind w:firstLine="480"/>
        <w:rPr>
          <w:rFonts w:hint="eastAsia" w:hAnsi="宋体"/>
          <w:bCs/>
          <w:color w:val="auto"/>
        </w:rPr>
      </w:pPr>
      <w:r>
        <w:rPr>
          <w:rFonts w:hint="eastAsia" w:hAnsi="宋体"/>
          <w:bCs/>
          <w:color w:val="auto"/>
        </w:rPr>
        <w:t>（2）按照环保要求，委托有资质单位设计和建设厂内污水收集系统和污水处理站，将废水分类收集，妥善输送至污水站处理，杜绝污水流在地面。</w:t>
      </w:r>
    </w:p>
    <w:p w14:paraId="0BE992C6">
      <w:pPr>
        <w:ind w:firstLine="480"/>
        <w:rPr>
          <w:rFonts w:hint="eastAsia" w:hAnsi="宋体"/>
          <w:bCs/>
          <w:color w:val="auto"/>
        </w:rPr>
      </w:pPr>
      <w:r>
        <w:rPr>
          <w:rFonts w:hint="eastAsia" w:hAnsi="宋体"/>
          <w:bCs/>
          <w:color w:val="auto"/>
        </w:rPr>
        <w:t>（3）项目生产车间、储罐区、污水处理站、危废暂存库等均应做好防渗措施，控制污水下渗，减少土壤污染。</w:t>
      </w:r>
    </w:p>
    <w:p w14:paraId="40F3670E">
      <w:pPr>
        <w:autoSpaceDE w:val="0"/>
        <w:autoSpaceDN w:val="0"/>
        <w:ind w:firstLine="480"/>
        <w:rPr>
          <w:rFonts w:hint="eastAsia" w:hAnsi="宋体"/>
          <w:bCs/>
          <w:color w:val="auto"/>
        </w:rPr>
      </w:pPr>
      <w:r>
        <w:rPr>
          <w:rFonts w:hint="eastAsia"/>
          <w:color w:val="auto"/>
        </w:rPr>
        <w:t>另外，建设方应建立土壤污染监测系统，加强土壤环境质量的调查、监测与监控，对重点防治地区定期进行采样监测，观测土壤污染的动态变化规律，以区域土壤背景值为参照，分析判断土壤污染程度，必要时应进行土壤污染治理，可采用生物修复、施用化学土壤改良剂、调控土壤氧化还原条件、深翻土或换无污染客土等方法进行治理</w:t>
      </w:r>
      <w:bookmarkEnd w:id="303"/>
      <w:r>
        <w:rPr>
          <w:rFonts w:hint="eastAsia" w:hAnsi="宋体"/>
          <w:bCs/>
          <w:color w:val="auto"/>
        </w:rPr>
        <w:t>。</w:t>
      </w:r>
    </w:p>
    <w:p w14:paraId="3C6601F4">
      <w:pPr>
        <w:pStyle w:val="3"/>
        <w:spacing w:before="385"/>
        <w:rPr>
          <w:color w:val="auto"/>
        </w:rPr>
      </w:pPr>
      <w:bookmarkStart w:id="312" w:name="_Toc20498"/>
      <w:r>
        <w:rPr>
          <w:rFonts w:hint="eastAsia"/>
          <w:color w:val="auto"/>
        </w:rPr>
        <w:t>7.6</w:t>
      </w:r>
      <w:r>
        <w:rPr>
          <w:color w:val="auto"/>
        </w:rPr>
        <w:t>风险防范措施</w:t>
      </w:r>
      <w:bookmarkEnd w:id="312"/>
    </w:p>
    <w:p w14:paraId="3065AF0E">
      <w:pPr>
        <w:pStyle w:val="4"/>
        <w:rPr>
          <w:color w:val="auto"/>
          <w:lang w:val="zh-CN"/>
        </w:rPr>
      </w:pPr>
      <w:bookmarkStart w:id="313" w:name="_Toc382756676"/>
      <w:bookmarkStart w:id="314" w:name="_Toc108961598"/>
      <w:bookmarkStart w:id="315" w:name="_Toc12662"/>
      <w:bookmarkStart w:id="316" w:name="_Toc108782898"/>
      <w:bookmarkStart w:id="317" w:name="_Toc108962042"/>
      <w:r>
        <w:rPr>
          <w:color w:val="auto"/>
          <w:lang w:val="zh-CN"/>
        </w:rPr>
        <w:t>7.6.1</w:t>
      </w:r>
      <w:bookmarkEnd w:id="313"/>
      <w:r>
        <w:rPr>
          <w:color w:val="auto"/>
          <w:lang w:val="zh-CN"/>
        </w:rPr>
        <w:t>环境风险防范措施</w:t>
      </w:r>
      <w:bookmarkEnd w:id="314"/>
      <w:bookmarkEnd w:id="315"/>
      <w:bookmarkEnd w:id="316"/>
      <w:bookmarkEnd w:id="317"/>
    </w:p>
    <w:p w14:paraId="47F97584">
      <w:pPr>
        <w:pStyle w:val="5"/>
        <w:spacing w:before="192"/>
        <w:rPr>
          <w:color w:val="auto"/>
        </w:rPr>
      </w:pPr>
      <w:r>
        <w:rPr>
          <w:color w:val="auto"/>
        </w:rPr>
        <w:t>7.6.1.1大气环境风险防范措施</w:t>
      </w:r>
    </w:p>
    <w:p w14:paraId="481E2317">
      <w:pPr>
        <w:widowControl/>
        <w:ind w:firstLine="480"/>
        <w:rPr>
          <w:color w:val="auto"/>
          <w:szCs w:val="20"/>
        </w:rPr>
      </w:pPr>
      <w:r>
        <w:rPr>
          <w:color w:val="auto"/>
          <w:szCs w:val="20"/>
        </w:rPr>
        <w:t>(1)大气环境风险的防范、减缓措施和监控要求</w:t>
      </w:r>
    </w:p>
    <w:p w14:paraId="473516E7">
      <w:pPr>
        <w:adjustRightInd/>
        <w:snapToGrid/>
        <w:ind w:firstLine="480"/>
        <w:rPr>
          <w:color w:val="auto"/>
          <w:szCs w:val="28"/>
        </w:rPr>
      </w:pPr>
      <w:r>
        <w:rPr>
          <w:color w:val="auto"/>
          <w:szCs w:val="22"/>
          <w:lang w:val="zh-CN"/>
        </w:rPr>
        <w:t>①</w:t>
      </w:r>
      <w:r>
        <w:rPr>
          <w:rFonts w:hint="eastAsia"/>
          <w:color w:val="auto"/>
          <w:szCs w:val="22"/>
          <w:lang w:val="zh-CN"/>
        </w:rPr>
        <w:t>拟建</w:t>
      </w:r>
      <w:r>
        <w:rPr>
          <w:color w:val="auto"/>
          <w:szCs w:val="28"/>
        </w:rPr>
        <w:t>建构筑物布置和安全距离严格按照《建筑设计防火规范》(GB50016-2014，2018年版)、《建筑防火通用规范》(GB55037-2022)中相应防火等级和建筑防火间距要求来设置项目各生产装置、建构筑物之间的防火间距。</w:t>
      </w:r>
    </w:p>
    <w:p w14:paraId="5ABC64D2">
      <w:pPr>
        <w:adjustRightInd/>
        <w:snapToGrid/>
        <w:ind w:firstLine="480"/>
        <w:rPr>
          <w:color w:val="auto"/>
          <w:szCs w:val="28"/>
        </w:rPr>
      </w:pPr>
      <w:r>
        <w:rPr>
          <w:color w:val="auto"/>
          <w:szCs w:val="22"/>
          <w:lang w:val="zh-CN"/>
        </w:rPr>
        <w:t>②在厂区施工及检修等过程中，应在施工区设置围挡，严禁动火，如确需采取</w:t>
      </w:r>
      <w:r>
        <w:rPr>
          <w:color w:val="auto"/>
          <w:szCs w:val="28"/>
        </w:rPr>
        <w:t>焊接等动火工艺的，应向公司申请，经批准、并将车间内的其他生产装置停产后，方可施工；施工过程中，应远离车间内的生产设备，如反应釜、中间储罐、接收罐等；远离物料输送管线、廊道等设施，防止发生连锁风险事故。</w:t>
      </w:r>
    </w:p>
    <w:p w14:paraId="0874C261">
      <w:pPr>
        <w:adjustRightInd/>
        <w:snapToGrid/>
        <w:ind w:firstLine="480"/>
        <w:rPr>
          <w:color w:val="auto"/>
          <w:szCs w:val="22"/>
          <w:lang w:val="zh-CN"/>
        </w:rPr>
      </w:pPr>
      <w:r>
        <w:rPr>
          <w:color w:val="auto"/>
          <w:szCs w:val="22"/>
          <w:lang w:val="zh-CN"/>
        </w:rPr>
        <w:t>③在贮槽周围设计符合要求的围堰。围堰采用钢筋混凝土结构，直径根据储存设施的具体尺寸确定；安装液位上限报警装置和可燃气体报警仪，按规程操作；安装防静电和防感应雷的接地装置，储存区域电气装置符合防火防爆要求；严格按照存储物料的理化性质保障贮存条件。</w:t>
      </w:r>
    </w:p>
    <w:p w14:paraId="0251C0E9">
      <w:pPr>
        <w:adjustRightInd/>
        <w:snapToGrid/>
        <w:ind w:firstLine="480"/>
        <w:rPr>
          <w:color w:val="auto"/>
          <w:szCs w:val="22"/>
          <w:lang w:val="zh-CN"/>
        </w:rPr>
      </w:pPr>
      <w:r>
        <w:rPr>
          <w:color w:val="auto"/>
          <w:szCs w:val="22"/>
          <w:lang w:val="zh-CN"/>
        </w:rPr>
        <w:t>④加强对厂区生产装置、污染防治设施、废气管线的日常维护与巡检，及时维修更换破损的管道、机泵、阀门、法兰、垫圈及污染治理设备，对跑冒滴漏做到及时发现、及时控制。</w:t>
      </w:r>
    </w:p>
    <w:p w14:paraId="15624A91">
      <w:pPr>
        <w:adjustRightInd/>
        <w:snapToGrid/>
        <w:ind w:firstLine="480"/>
        <w:rPr>
          <w:color w:val="auto"/>
          <w:szCs w:val="28"/>
        </w:rPr>
      </w:pPr>
      <w:r>
        <w:rPr>
          <w:color w:val="auto"/>
          <w:szCs w:val="22"/>
          <w:lang w:val="zh-CN"/>
        </w:rPr>
        <w:t>⑤</w:t>
      </w:r>
      <w:r>
        <w:rPr>
          <w:color w:val="auto"/>
          <w:szCs w:val="28"/>
        </w:rPr>
        <w:t>敞开空间内的泄漏事故发生时，应首先查找泄漏源，及时修补容器或管道，以防污染物持续泄漏；为降低物料向大气中的蒸发速度，可用泡沫或其他覆盖物品覆盖外泄的物料，在其表面形成覆盖层，抑制其蒸发，以减小对环境空气的影响。易挥发物料发生泄漏后，应对扩散至大气中的污染物采用洗消等措施，减小对环境空气的影响。</w:t>
      </w:r>
    </w:p>
    <w:p w14:paraId="76D35EB0">
      <w:pPr>
        <w:adjustRightInd/>
        <w:snapToGrid/>
        <w:ind w:firstLine="480"/>
        <w:rPr>
          <w:color w:val="auto"/>
          <w:szCs w:val="22"/>
          <w:lang w:val="zh-CN"/>
        </w:rPr>
      </w:pPr>
      <w:r>
        <w:rPr>
          <w:color w:val="auto"/>
          <w:szCs w:val="22"/>
          <w:lang w:val="zh-CN"/>
        </w:rPr>
        <w:t>⑥厂区内严禁明火，进入厂区需穿着特殊防爆服，如需通讯可配备防爆手机，厂区配备必要的消防设施及物资，设置火灾报警装置，进一步防范火灾爆炸。火灾、爆炸等事故发生时，应使用水、干粉或二氧化碳灭火器扑救，灭火过程同时对邻近装置进行冷却降温，以降低相邻装置发生联锁爆炸的可能性。同时对扩散至空气中的未燃烧物、烟尘等污染物进行洗消，以减小对环境空气的影响。</w:t>
      </w:r>
    </w:p>
    <w:p w14:paraId="25E477C1">
      <w:pPr>
        <w:adjustRightInd/>
        <w:snapToGrid/>
        <w:ind w:firstLine="480"/>
        <w:rPr>
          <w:color w:val="auto"/>
          <w:szCs w:val="28"/>
        </w:rPr>
      </w:pPr>
      <w:bookmarkStart w:id="318" w:name="_Hlk157350878"/>
      <w:r>
        <w:rPr>
          <w:color w:val="auto"/>
          <w:szCs w:val="22"/>
          <w:lang w:val="zh-CN"/>
        </w:rPr>
        <w:t>⑦在</w:t>
      </w:r>
      <w:r>
        <w:rPr>
          <w:color w:val="auto"/>
          <w:szCs w:val="28"/>
        </w:rPr>
        <w:t>项目下风向厂界设置有毒有害气体厂界监控预警系统。</w:t>
      </w:r>
      <w:bookmarkEnd w:id="318"/>
    </w:p>
    <w:p w14:paraId="48D2FDA8">
      <w:pPr>
        <w:adjustRightInd/>
        <w:snapToGrid/>
        <w:ind w:firstLine="480"/>
        <w:rPr>
          <w:bCs/>
          <w:color w:val="auto"/>
          <w:szCs w:val="28"/>
        </w:rPr>
      </w:pPr>
      <w:r>
        <w:rPr>
          <w:bCs/>
          <w:color w:val="auto"/>
          <w:szCs w:val="28"/>
        </w:rPr>
        <w:t>(2)基本保护措施和防护方法</w:t>
      </w:r>
    </w:p>
    <w:p w14:paraId="6159E800">
      <w:pPr>
        <w:adjustRightInd/>
        <w:snapToGrid/>
        <w:ind w:firstLine="480"/>
        <w:rPr>
          <w:color w:val="auto"/>
          <w:szCs w:val="28"/>
        </w:rPr>
      </w:pPr>
      <w:r>
        <w:rPr>
          <w:color w:val="auto"/>
          <w:szCs w:val="28"/>
        </w:rPr>
        <w:t>呼吸系统防护：疏散过程中应用衣物捂住口鼻，如条件允许，应该佩戴自吸过滤式防毒面具(半面罩)。</w:t>
      </w:r>
    </w:p>
    <w:p w14:paraId="51263D43">
      <w:pPr>
        <w:adjustRightInd/>
        <w:snapToGrid/>
        <w:ind w:firstLine="480"/>
        <w:rPr>
          <w:color w:val="auto"/>
          <w:szCs w:val="28"/>
        </w:rPr>
      </w:pPr>
      <w:r>
        <w:rPr>
          <w:color w:val="auto"/>
          <w:szCs w:val="28"/>
        </w:rPr>
        <w:t>眼睛防护：戴化学安全防护眼镜。</w:t>
      </w:r>
    </w:p>
    <w:p w14:paraId="43091772">
      <w:pPr>
        <w:adjustRightInd/>
        <w:snapToGrid/>
        <w:ind w:firstLine="480"/>
        <w:rPr>
          <w:color w:val="auto"/>
          <w:szCs w:val="28"/>
        </w:rPr>
      </w:pPr>
      <w:r>
        <w:rPr>
          <w:color w:val="auto"/>
          <w:szCs w:val="28"/>
        </w:rPr>
        <w:t>身体防护：尽可能减少身体暴露，如有可能穿毒物渗透工作服。</w:t>
      </w:r>
    </w:p>
    <w:p w14:paraId="4ED53DAA">
      <w:pPr>
        <w:adjustRightInd/>
        <w:snapToGrid/>
        <w:ind w:firstLine="480"/>
        <w:rPr>
          <w:color w:val="auto"/>
          <w:szCs w:val="28"/>
        </w:rPr>
      </w:pPr>
      <w:r>
        <w:rPr>
          <w:color w:val="auto"/>
          <w:szCs w:val="28"/>
        </w:rPr>
        <w:t>手防护：戴橡胶耐酸碱手套。</w:t>
      </w:r>
    </w:p>
    <w:p w14:paraId="65AB8703">
      <w:pPr>
        <w:adjustRightInd/>
        <w:snapToGrid/>
        <w:ind w:firstLine="480"/>
        <w:rPr>
          <w:color w:val="auto"/>
          <w:szCs w:val="28"/>
        </w:rPr>
      </w:pPr>
      <w:r>
        <w:rPr>
          <w:color w:val="auto"/>
          <w:szCs w:val="28"/>
        </w:rPr>
        <w:t>其他防护：根据泄漏影响程度，周边人员可选择在室内避险，关闭门窗，等待污染影响消失。</w:t>
      </w:r>
    </w:p>
    <w:p w14:paraId="00675948">
      <w:pPr>
        <w:adjustRightInd/>
        <w:snapToGrid/>
        <w:ind w:firstLine="480"/>
        <w:rPr>
          <w:bCs/>
          <w:color w:val="auto"/>
          <w:szCs w:val="28"/>
        </w:rPr>
      </w:pPr>
      <w:r>
        <w:rPr>
          <w:bCs/>
          <w:color w:val="auto"/>
          <w:szCs w:val="28"/>
        </w:rPr>
        <w:t>(3)疏散方式、方法</w:t>
      </w:r>
    </w:p>
    <w:p w14:paraId="17D8D4CF">
      <w:pPr>
        <w:adjustRightInd/>
        <w:snapToGrid/>
        <w:ind w:firstLine="480"/>
        <w:rPr>
          <w:color w:val="auto"/>
          <w:szCs w:val="28"/>
        </w:rPr>
      </w:pPr>
      <w:r>
        <w:rPr>
          <w:color w:val="auto"/>
          <w:szCs w:val="28"/>
        </w:rPr>
        <w:t>事故状态下，根据气象条件及交通情况，选择向远离泄漏点上风向进行疏散。疏散过程中应注意交通情况，有序疏散，防止发生交通事故及踩踏伤害。</w:t>
      </w:r>
    </w:p>
    <w:p w14:paraId="7468BEC6">
      <w:pPr>
        <w:adjustRightInd/>
        <w:snapToGrid/>
        <w:ind w:firstLine="480"/>
        <w:rPr>
          <w:color w:val="auto"/>
          <w:szCs w:val="22"/>
          <w:lang w:val="zh-CN"/>
        </w:rPr>
      </w:pPr>
      <w:r>
        <w:rPr>
          <w:color w:val="auto"/>
          <w:szCs w:val="22"/>
          <w:lang w:val="zh-CN"/>
        </w:rPr>
        <w:t>①保证疏散指示标志明显，应急疏散通道出口通畅，应急照明灯能正常使用。</w:t>
      </w:r>
    </w:p>
    <w:p w14:paraId="716B9543">
      <w:pPr>
        <w:adjustRightInd/>
        <w:snapToGrid/>
        <w:ind w:firstLine="480"/>
        <w:rPr>
          <w:color w:val="auto"/>
          <w:szCs w:val="22"/>
          <w:lang w:val="zh-CN"/>
        </w:rPr>
      </w:pPr>
      <w:r>
        <w:rPr>
          <w:color w:val="auto"/>
          <w:szCs w:val="22"/>
          <w:lang w:val="zh-CN"/>
        </w:rPr>
        <w:t>②明确疏散计划，由应急指挥部发出疏散命令后，负责应急消防组按负责部位进入指定位置，立即组织人员疏散。</w:t>
      </w:r>
    </w:p>
    <w:p w14:paraId="474A2DF1">
      <w:pPr>
        <w:adjustRightInd/>
        <w:snapToGrid/>
        <w:ind w:firstLine="480"/>
        <w:rPr>
          <w:color w:val="auto"/>
          <w:szCs w:val="22"/>
          <w:lang w:val="zh-CN"/>
        </w:rPr>
      </w:pPr>
      <w:r>
        <w:rPr>
          <w:color w:val="auto"/>
          <w:szCs w:val="22"/>
          <w:lang w:val="zh-CN"/>
        </w:rPr>
        <w:t>③应急消防组用最快速度通知现场人员，按疏散的方向通道进行疏散。积极配合好有关部门(如公安消防大队)进行疏散工作，主动汇报事故现场情况。</w:t>
      </w:r>
    </w:p>
    <w:p w14:paraId="03D1411C">
      <w:pPr>
        <w:adjustRightInd/>
        <w:snapToGrid/>
        <w:ind w:firstLine="480"/>
        <w:rPr>
          <w:color w:val="auto"/>
          <w:szCs w:val="28"/>
        </w:rPr>
      </w:pPr>
      <w:r>
        <w:rPr>
          <w:color w:val="auto"/>
          <w:szCs w:val="22"/>
          <w:lang w:val="zh-CN"/>
        </w:rPr>
        <w:t>④</w:t>
      </w:r>
      <w:r>
        <w:rPr>
          <w:color w:val="auto"/>
          <w:szCs w:val="28"/>
        </w:rPr>
        <w:t>事故现场有被困人员时，疏导人员应劝导被困人员，服从指挥，做到有组织、有秩序地疏散。</w:t>
      </w:r>
    </w:p>
    <w:p w14:paraId="0DBB7863">
      <w:pPr>
        <w:adjustRightInd/>
        <w:snapToGrid/>
        <w:ind w:firstLine="480"/>
        <w:rPr>
          <w:color w:val="auto"/>
          <w:szCs w:val="22"/>
          <w:lang w:val="zh-CN"/>
        </w:rPr>
      </w:pPr>
      <w:r>
        <w:rPr>
          <w:color w:val="auto"/>
          <w:szCs w:val="22"/>
          <w:lang w:val="zh-CN"/>
        </w:rPr>
        <w:t>⑤正确通报、防止混乱。疏导人员首先通知事故现场附近人员进行疏散，然后视情况公开通报，通知其他区域人员进行有序疏散，防止不分先后，发生拥挤影响顺利疏散。</w:t>
      </w:r>
    </w:p>
    <w:p w14:paraId="6C061DB1">
      <w:pPr>
        <w:adjustRightInd/>
        <w:snapToGrid/>
        <w:ind w:firstLine="480"/>
        <w:rPr>
          <w:color w:val="auto"/>
          <w:szCs w:val="22"/>
          <w:lang w:val="zh-CN"/>
        </w:rPr>
      </w:pPr>
      <w:r>
        <w:rPr>
          <w:color w:val="auto"/>
          <w:szCs w:val="22"/>
          <w:lang w:val="zh-CN"/>
        </w:rPr>
        <w:t>⑥广播引导疏散。利用广播将发生事故的部位，需疏散人员的区域，安全的区域方向和标志告诉大家，对已被困人员告知他们救生器材的使用方法，自制救生器材的方法。</w:t>
      </w:r>
    </w:p>
    <w:p w14:paraId="41AE0430">
      <w:pPr>
        <w:adjustRightInd/>
        <w:snapToGrid/>
        <w:ind w:firstLine="480"/>
        <w:rPr>
          <w:color w:val="auto"/>
          <w:szCs w:val="22"/>
          <w:lang w:val="zh-CN"/>
        </w:rPr>
      </w:pPr>
      <w:r>
        <w:rPr>
          <w:color w:val="auto"/>
          <w:szCs w:val="22"/>
          <w:lang w:val="zh-CN"/>
        </w:rPr>
        <w:t>⑦事故现场直接威胁人员安全，应急消防队人员采取必要的手段强制疏导，防止出现伤亡事故。在疏散通道的拐弯、叉道等容易走错方向的地方设疏导人员，提示疏散方向，防止误入死胡同或进入危险区域。</w:t>
      </w:r>
    </w:p>
    <w:p w14:paraId="4BE38D10">
      <w:pPr>
        <w:adjustRightInd/>
        <w:snapToGrid/>
        <w:ind w:firstLine="480"/>
        <w:rPr>
          <w:color w:val="auto"/>
          <w:szCs w:val="28"/>
        </w:rPr>
      </w:pPr>
      <w:r>
        <w:rPr>
          <w:color w:val="auto"/>
          <w:szCs w:val="22"/>
          <w:lang w:val="zh-CN"/>
        </w:rPr>
        <w:t>⑧</w:t>
      </w:r>
      <w:r>
        <w:rPr>
          <w:color w:val="auto"/>
          <w:szCs w:val="28"/>
        </w:rPr>
        <w:t>对疏散出的人员，要加强脱险后的管理，防止脱险人员对财产和未撤离危险区的亲友生命担心而重新返回事故现场。必要时，在进入危险区域的关键部位配备警戒人员。</w:t>
      </w:r>
    </w:p>
    <w:p w14:paraId="73A780AB">
      <w:pPr>
        <w:adjustRightInd/>
        <w:snapToGrid/>
        <w:ind w:firstLine="480"/>
        <w:rPr>
          <w:color w:val="auto"/>
          <w:szCs w:val="28"/>
        </w:rPr>
      </w:pPr>
      <w:r>
        <w:rPr>
          <w:color w:val="auto"/>
          <w:szCs w:val="22"/>
          <w:lang w:val="zh-CN"/>
        </w:rPr>
        <w:t>⑨专</w:t>
      </w:r>
      <w:r>
        <w:rPr>
          <w:color w:val="auto"/>
          <w:szCs w:val="28"/>
        </w:rPr>
        <w:t>业救援队伍到达现场后，疏导人员若知晓内部被困人员情况，要迅速报告，介绍被困人员方位、数量。</w:t>
      </w:r>
    </w:p>
    <w:p w14:paraId="7C000280">
      <w:pPr>
        <w:adjustRightInd/>
        <w:snapToGrid/>
        <w:ind w:firstLine="480"/>
        <w:rPr>
          <w:bCs/>
          <w:color w:val="auto"/>
          <w:szCs w:val="28"/>
        </w:rPr>
      </w:pPr>
      <w:r>
        <w:rPr>
          <w:bCs/>
          <w:color w:val="auto"/>
          <w:szCs w:val="28"/>
        </w:rPr>
        <w:t>(4)紧急避难场所</w:t>
      </w:r>
    </w:p>
    <w:p w14:paraId="276CD55F">
      <w:pPr>
        <w:adjustRightInd/>
        <w:snapToGrid/>
        <w:ind w:firstLine="480"/>
        <w:rPr>
          <w:color w:val="auto"/>
          <w:szCs w:val="22"/>
          <w:lang w:val="zh-CN"/>
        </w:rPr>
      </w:pPr>
      <w:r>
        <w:rPr>
          <w:color w:val="auto"/>
          <w:szCs w:val="22"/>
          <w:lang w:val="zh-CN"/>
        </w:rPr>
        <w:t>①一般选择厂区大门前空地及停车场区域作为紧急避难场所，同时需避开事故时的下风向区域。</w:t>
      </w:r>
    </w:p>
    <w:p w14:paraId="15427482">
      <w:pPr>
        <w:adjustRightInd/>
        <w:snapToGrid/>
        <w:ind w:firstLine="480"/>
        <w:rPr>
          <w:color w:val="auto"/>
          <w:szCs w:val="22"/>
          <w:lang w:val="zh-CN"/>
        </w:rPr>
      </w:pPr>
      <w:r>
        <w:rPr>
          <w:color w:val="auto"/>
          <w:szCs w:val="22"/>
          <w:lang w:val="zh-CN"/>
        </w:rPr>
        <w:t>②做好宣传工作，确保所有人了解紧急避难场所的位置和功能。</w:t>
      </w:r>
    </w:p>
    <w:p w14:paraId="317C4E48">
      <w:pPr>
        <w:adjustRightInd/>
        <w:snapToGrid/>
        <w:ind w:firstLine="480"/>
        <w:rPr>
          <w:color w:val="auto"/>
          <w:szCs w:val="22"/>
          <w:lang w:val="zh-CN"/>
        </w:rPr>
      </w:pPr>
      <w:r>
        <w:rPr>
          <w:color w:val="auto"/>
          <w:szCs w:val="22"/>
          <w:lang w:val="zh-CN"/>
        </w:rPr>
        <w:t>③紧急避难场所必须有醒目的标志牌。</w:t>
      </w:r>
    </w:p>
    <w:p w14:paraId="08D3FCB2">
      <w:pPr>
        <w:adjustRightInd/>
        <w:snapToGrid/>
        <w:ind w:firstLine="480"/>
        <w:rPr>
          <w:color w:val="auto"/>
          <w:szCs w:val="28"/>
        </w:rPr>
      </w:pPr>
      <w:r>
        <w:rPr>
          <w:color w:val="auto"/>
          <w:szCs w:val="22"/>
          <w:lang w:val="zh-CN"/>
        </w:rPr>
        <w:t>④紧</w:t>
      </w:r>
      <w:r>
        <w:rPr>
          <w:color w:val="auto"/>
          <w:szCs w:val="28"/>
        </w:rPr>
        <w:t>急避难场所不得作为他用。</w:t>
      </w:r>
    </w:p>
    <w:p w14:paraId="4791F8A7">
      <w:pPr>
        <w:adjustRightInd/>
        <w:snapToGrid/>
        <w:ind w:firstLine="480"/>
        <w:rPr>
          <w:color w:val="auto"/>
          <w:szCs w:val="28"/>
        </w:rPr>
      </w:pPr>
      <w:r>
        <w:rPr>
          <w:rFonts w:hint="eastAsia"/>
          <w:color w:val="auto"/>
          <w:szCs w:val="28"/>
        </w:rPr>
        <w:t>拟建</w:t>
      </w:r>
      <w:r>
        <w:rPr>
          <w:color w:val="auto"/>
          <w:szCs w:val="28"/>
        </w:rPr>
        <w:t>紧急避难场所设置在厂区大门及办公楼前的空地，事故状态下区域人员厂内疏散通道和安置场所位置图见附图4.5.3-1。</w:t>
      </w:r>
    </w:p>
    <w:p w14:paraId="45FCFD27">
      <w:pPr>
        <w:adjustRightInd/>
        <w:snapToGrid/>
        <w:ind w:firstLine="480"/>
        <w:rPr>
          <w:bCs/>
          <w:color w:val="auto"/>
          <w:szCs w:val="28"/>
        </w:rPr>
      </w:pPr>
      <w:r>
        <w:rPr>
          <w:bCs/>
          <w:color w:val="auto"/>
          <w:szCs w:val="28"/>
        </w:rPr>
        <w:t>(5)周边道路隔离和交通疏导办法</w:t>
      </w:r>
    </w:p>
    <w:p w14:paraId="15889CE2">
      <w:pPr>
        <w:adjustRightInd/>
        <w:snapToGrid/>
        <w:ind w:firstLine="480"/>
        <w:rPr>
          <w:color w:val="auto"/>
          <w:szCs w:val="28"/>
        </w:rPr>
      </w:pPr>
      <w:r>
        <w:rPr>
          <w:color w:val="auto"/>
          <w:szCs w:val="28"/>
        </w:rPr>
        <w:t>发生较大及以上突发环境事件时，为配合救援工作开展需进行交通管制时，警戒维护组应配合交警进行交通管制。</w:t>
      </w:r>
    </w:p>
    <w:p w14:paraId="34F74A2B">
      <w:pPr>
        <w:adjustRightInd/>
        <w:snapToGrid/>
        <w:ind w:firstLine="480"/>
        <w:rPr>
          <w:color w:val="auto"/>
          <w:szCs w:val="22"/>
          <w:lang w:val="zh-CN"/>
        </w:rPr>
      </w:pPr>
      <w:r>
        <w:rPr>
          <w:color w:val="auto"/>
          <w:szCs w:val="22"/>
          <w:lang w:val="zh-CN"/>
        </w:rPr>
        <w:t>①设置路障，封锁通往事故现场的道路，防止车辆或者人员再次进入事故现场。警戒区域的边界应设警示标志，并有专人警戒。</w:t>
      </w:r>
    </w:p>
    <w:p w14:paraId="0DE512B7">
      <w:pPr>
        <w:adjustRightInd/>
        <w:snapToGrid/>
        <w:ind w:firstLine="480"/>
        <w:rPr>
          <w:color w:val="auto"/>
          <w:szCs w:val="28"/>
        </w:rPr>
      </w:pPr>
      <w:r>
        <w:rPr>
          <w:color w:val="auto"/>
          <w:szCs w:val="22"/>
          <w:lang w:val="zh-CN"/>
        </w:rPr>
        <w:t>②配</w:t>
      </w:r>
      <w:r>
        <w:rPr>
          <w:color w:val="auto"/>
          <w:szCs w:val="28"/>
        </w:rPr>
        <w:t>合好进入事故现场的应急救援小队，确保应急救援小队进出现场自由通畅。</w:t>
      </w:r>
    </w:p>
    <w:p w14:paraId="280BA7B6">
      <w:pPr>
        <w:widowControl/>
        <w:ind w:firstLine="480"/>
        <w:rPr>
          <w:rFonts w:eastAsia="仿宋_GB2312"/>
          <w:color w:val="auto"/>
          <w:sz w:val="28"/>
          <w:szCs w:val="22"/>
        </w:rPr>
      </w:pPr>
      <w:r>
        <w:rPr>
          <w:color w:val="auto"/>
          <w:szCs w:val="22"/>
          <w:lang w:val="zh-CN"/>
        </w:rPr>
        <w:t>③引</w:t>
      </w:r>
      <w:r>
        <w:rPr>
          <w:color w:val="auto"/>
          <w:szCs w:val="28"/>
        </w:rPr>
        <w:t>导需经过事故现场的车辆或行人临时绕道，确保车辆行人不受危险物质的伤害。</w:t>
      </w:r>
    </w:p>
    <w:p w14:paraId="622DB18E">
      <w:pPr>
        <w:pStyle w:val="5"/>
        <w:spacing w:before="192"/>
        <w:rPr>
          <w:color w:val="auto"/>
        </w:rPr>
      </w:pPr>
      <w:bookmarkStart w:id="319" w:name="_Hlk156921990"/>
      <w:r>
        <w:rPr>
          <w:color w:val="auto"/>
        </w:rPr>
        <w:t>7.6.1.2事故废水环境风险防范</w:t>
      </w:r>
    </w:p>
    <w:p w14:paraId="0E017685">
      <w:pPr>
        <w:adjustRightInd/>
        <w:snapToGrid/>
        <w:ind w:firstLine="480"/>
        <w:rPr>
          <w:color w:val="auto"/>
          <w:szCs w:val="22"/>
          <w:lang w:val="zh-CN"/>
        </w:rPr>
      </w:pPr>
      <w:r>
        <w:rPr>
          <w:rFonts w:hint="eastAsia"/>
          <w:color w:val="auto"/>
          <w:szCs w:val="22"/>
          <w:lang w:val="zh-CN"/>
        </w:rPr>
        <w:t>拟建</w:t>
      </w:r>
      <w:r>
        <w:rPr>
          <w:color w:val="auto"/>
          <w:szCs w:val="22"/>
          <w:lang w:val="zh-CN"/>
        </w:rPr>
        <w:t>按照《建设项目环境风险评价技术导则(HJ169-2018)》《省生态环境厅关于印发江苏省环境影响评价文件环境应急相关内容编制要点的通知》(苏环办[2022]338号)的要求，按照“单元－厂区－园区／区域”三级环境风险防控体系的要求，提出必要的防范设施。第一级防控体系主要是将事故废水控制在事故风险源所在单元，该体系包括装置围堰及配套排水设施等；第二级防控体系主要是将事故废水控制在事故风险源所在厂区，该体系包括应急池、雨污水排口闸阀及其配套排水设施等；第三级防控体系主要是将事故废水控制在事故风险源所在园区，针对企业厂内防范能力有限而导致事故废水可能外溢出厂界的应急处理。可根据实际情况实现企业自身事故池与园区公共应急池连通，或与其他邻近企业实现资源共享和救援合作，增强事故废水的防范能力；当一级防控体系无法达到控制事故废水要求时，应立即启动二级防控体系；一级、二级防控体系无法达到控制事故废水要求时，应立即启动三级防控体系。评价项目的环境风险应急措施表现为如下几个方面：</w:t>
      </w:r>
    </w:p>
    <w:bookmarkEnd w:id="319"/>
    <w:p w14:paraId="692C8F4D">
      <w:pPr>
        <w:adjustRightInd/>
        <w:snapToGrid/>
        <w:ind w:firstLine="480"/>
        <w:rPr>
          <w:color w:val="auto"/>
          <w:szCs w:val="22"/>
          <w:lang w:val="zh-CN"/>
        </w:rPr>
      </w:pPr>
      <w:r>
        <w:rPr>
          <w:color w:val="auto"/>
          <w:szCs w:val="22"/>
          <w:lang w:val="zh-CN"/>
        </w:rPr>
        <w:t>(1)构筑环境风险三级(单元、厂区和园区)应急防范体系</w:t>
      </w:r>
    </w:p>
    <w:p w14:paraId="6D8265A5">
      <w:pPr>
        <w:adjustRightInd/>
        <w:snapToGrid/>
        <w:ind w:firstLine="480"/>
        <w:rPr>
          <w:color w:val="auto"/>
          <w:szCs w:val="22"/>
          <w:lang w:val="zh-CN"/>
        </w:rPr>
      </w:pPr>
      <w:r>
        <w:rPr>
          <w:color w:val="auto"/>
          <w:szCs w:val="22"/>
          <w:lang w:val="zh-CN"/>
        </w:rPr>
        <w:t>①第一级防控体系的功能主要是将事故废水控制在事故风险源所在区域单元，该体系主要是由企业应急事故池、储罐区围堰以及收集沟和管道等配套基础设施组成，防止污染雨水和轻微事故泄漏造成的环境污染。</w:t>
      </w:r>
    </w:p>
    <w:p w14:paraId="3E8261A1">
      <w:pPr>
        <w:adjustRightInd/>
        <w:snapToGrid/>
        <w:ind w:firstLine="480"/>
        <w:rPr>
          <w:color w:val="auto"/>
          <w:szCs w:val="22"/>
          <w:lang w:val="zh-CN"/>
        </w:rPr>
      </w:pPr>
      <w:r>
        <w:rPr>
          <w:color w:val="auto"/>
          <w:szCs w:val="22"/>
          <w:lang w:val="zh-CN"/>
        </w:rPr>
        <w:t>②第二级防控体系必须建设厂区应急事故水池、雨排口切断装置及其配套设施(如事故导排系统、强排系统)，防止单套生产装置较大事故泄漏物料和消防废水造成的环境污染。应急事故池应在突发事故状态下拦截和收集厂区范围内的事故废水和消防尾水，避免其危害外部环境致使事故扩大化，因此应急事故池被视为企业的关键防控设施体系。应急事故池应必需具备以下基本属性要求：专一性，禁止他用；自流式，即进水方式不依赖动力；池容足够大；地下式，防蚀防渗。</w:t>
      </w:r>
    </w:p>
    <w:p w14:paraId="2AE82C8A">
      <w:pPr>
        <w:adjustRightInd/>
        <w:snapToGrid/>
        <w:ind w:firstLine="480"/>
        <w:rPr>
          <w:color w:val="auto"/>
          <w:szCs w:val="22"/>
          <w:lang w:val="zh-CN"/>
        </w:rPr>
      </w:pPr>
      <w:r>
        <w:rPr>
          <w:color w:val="auto"/>
          <w:szCs w:val="22"/>
          <w:lang w:val="zh-CN"/>
        </w:rPr>
        <w:t>③第三级水环境风险防控体系是针对企业厂内防范能力有限而导致事故废水可能外溢出厂界的应急处理。可根据实际情况实现企业自身事故池与园区公共应急事故池或联合环境水务(启东)有限公司应急事故池连通，或与其他临近企业实现资源共享和救援合作，增强事故废水的防范能力；同时应注意加强与园区及河道水利部门联系，在极端水环境事故状态下，为防止事故废水进入环境敏感区，申请进行关闭周边河道闸门。</w:t>
      </w:r>
    </w:p>
    <w:p w14:paraId="280175D0">
      <w:pPr>
        <w:adjustRightInd/>
        <w:snapToGrid/>
        <w:spacing w:before="115" w:beforeLines="30" w:line="240" w:lineRule="auto"/>
        <w:ind w:firstLine="480"/>
        <w:jc w:val="center"/>
        <w:rPr>
          <w:rFonts w:eastAsia="仿宋_GB2312"/>
          <w:color w:val="auto"/>
          <w:szCs w:val="22"/>
        </w:rPr>
      </w:pPr>
      <w:bookmarkStart w:id="320" w:name="_Hlk157086773"/>
      <w:r>
        <w:rPr>
          <w:rFonts w:eastAsia="仿宋_GB2312"/>
          <w:color w:val="auto"/>
          <w:szCs w:val="22"/>
        </w:rPr>
        <w:object>
          <v:shape id="_x0000_i1042" o:spt="75" type="#_x0000_t75" style="height:391pt;width:370.5pt;" o:ole="t" filled="f" o:preferrelative="t" stroked="f" coordsize="21600,21600">
            <v:path/>
            <v:fill on="f" focussize="0,0"/>
            <v:stroke on="f" joinstyle="miter"/>
            <v:imagedata r:id="rId81" cropleft="4151f" o:title=""/>
            <o:lock v:ext="edit" aspectratio="t"/>
            <w10:wrap type="none"/>
            <w10:anchorlock/>
          </v:shape>
          <o:OLEObject Type="Embed" ProgID="Visio.Drawing.15" ShapeID="_x0000_i1042" DrawAspect="Content" ObjectID="_1468075737" r:id="rId80">
            <o:LockedField>false</o:LockedField>
          </o:OLEObject>
        </w:object>
      </w:r>
    </w:p>
    <w:p w14:paraId="0CB72D5E">
      <w:pPr>
        <w:pStyle w:val="49"/>
        <w:rPr>
          <w:color w:val="auto"/>
        </w:rPr>
      </w:pPr>
      <w:r>
        <w:rPr>
          <w:color w:val="auto"/>
        </w:rPr>
        <w:t>图7.6</w:t>
      </w:r>
      <w:r>
        <w:rPr>
          <w:rFonts w:hint="eastAsia"/>
          <w:color w:val="auto"/>
        </w:rPr>
        <w:t>-</w:t>
      </w:r>
      <w:r>
        <w:rPr>
          <w:color w:val="auto"/>
        </w:rPr>
        <w:t xml:space="preserve">  园区防止事故废水进入外环境的控制、封堵系统图</w:t>
      </w:r>
      <w:bookmarkEnd w:id="320"/>
    </w:p>
    <w:p w14:paraId="6A54344E">
      <w:pPr>
        <w:adjustRightInd/>
        <w:snapToGrid/>
        <w:ind w:firstLine="480"/>
        <w:rPr>
          <w:color w:val="auto"/>
          <w:szCs w:val="22"/>
          <w:lang w:val="zh-CN"/>
        </w:rPr>
      </w:pPr>
      <w:r>
        <w:rPr>
          <w:color w:val="auto"/>
          <w:szCs w:val="22"/>
          <w:lang w:val="zh-CN"/>
        </w:rPr>
        <w:t>(2)事故废水设置及收集措施</w:t>
      </w:r>
    </w:p>
    <w:p w14:paraId="3B678747">
      <w:pPr>
        <w:adjustRightInd/>
        <w:snapToGrid/>
        <w:ind w:firstLine="480"/>
        <w:rPr>
          <w:color w:val="auto"/>
          <w:szCs w:val="22"/>
          <w:lang w:val="zh-CN"/>
        </w:rPr>
      </w:pPr>
      <w:r>
        <w:rPr>
          <w:color w:val="auto"/>
          <w:szCs w:val="22"/>
          <w:lang w:val="zh-CN"/>
        </w:rPr>
        <w:t>参照《石化企业水体环境风险防控技术要求》(Q/SH 0729-2018)要求。明确事故存储设施总有效容积的计算公式如下：</w:t>
      </w:r>
    </w:p>
    <w:p w14:paraId="0DBD7AB3">
      <w:pPr>
        <w:adjustRightInd/>
        <w:snapToGrid/>
        <w:ind w:firstLine="480"/>
        <w:jc w:val="center"/>
        <w:rPr>
          <w:color w:val="auto"/>
          <w:szCs w:val="28"/>
        </w:rPr>
      </w:pPr>
      <w:r>
        <w:rPr>
          <w:color w:val="auto"/>
          <w:szCs w:val="28"/>
        </w:rPr>
        <w:t>V</w:t>
      </w:r>
      <w:r>
        <w:rPr>
          <w:color w:val="auto"/>
          <w:szCs w:val="28"/>
          <w:vertAlign w:val="subscript"/>
        </w:rPr>
        <w:t>总</w:t>
      </w:r>
      <w:r>
        <w:rPr>
          <w:color w:val="auto"/>
          <w:szCs w:val="28"/>
        </w:rPr>
        <w:t>＝(V</w:t>
      </w:r>
      <w:r>
        <w:rPr>
          <w:color w:val="auto"/>
          <w:szCs w:val="28"/>
          <w:vertAlign w:val="subscript"/>
        </w:rPr>
        <w:t>1</w:t>
      </w:r>
      <w:r>
        <w:rPr>
          <w:color w:val="auto"/>
          <w:szCs w:val="28"/>
        </w:rPr>
        <w:t>＋V</w:t>
      </w:r>
      <w:r>
        <w:rPr>
          <w:color w:val="auto"/>
          <w:szCs w:val="28"/>
          <w:vertAlign w:val="subscript"/>
        </w:rPr>
        <w:t>2</w:t>
      </w:r>
      <w:r>
        <w:rPr>
          <w:color w:val="auto"/>
          <w:szCs w:val="28"/>
        </w:rPr>
        <w:t>－V</w:t>
      </w:r>
      <w:r>
        <w:rPr>
          <w:color w:val="auto"/>
          <w:szCs w:val="28"/>
          <w:vertAlign w:val="subscript"/>
        </w:rPr>
        <w:t>3</w:t>
      </w:r>
      <w:r>
        <w:rPr>
          <w:color w:val="auto"/>
          <w:szCs w:val="28"/>
        </w:rPr>
        <w:t>)</w:t>
      </w:r>
      <w:r>
        <w:rPr>
          <w:color w:val="auto"/>
          <w:szCs w:val="28"/>
          <w:vertAlign w:val="subscript"/>
        </w:rPr>
        <w:t>max</w:t>
      </w:r>
      <w:r>
        <w:rPr>
          <w:color w:val="auto"/>
          <w:szCs w:val="28"/>
        </w:rPr>
        <w:t>＋V</w:t>
      </w:r>
      <w:r>
        <w:rPr>
          <w:color w:val="auto"/>
          <w:szCs w:val="28"/>
          <w:vertAlign w:val="subscript"/>
        </w:rPr>
        <w:t>4</w:t>
      </w:r>
      <w:r>
        <w:rPr>
          <w:color w:val="auto"/>
          <w:szCs w:val="28"/>
        </w:rPr>
        <w:t>+V</w:t>
      </w:r>
      <w:r>
        <w:rPr>
          <w:color w:val="auto"/>
          <w:szCs w:val="28"/>
          <w:vertAlign w:val="subscript"/>
        </w:rPr>
        <w:t>5</w:t>
      </w:r>
    </w:p>
    <w:p w14:paraId="3918D894">
      <w:pPr>
        <w:adjustRightInd/>
        <w:ind w:firstLine="480"/>
        <w:rPr>
          <w:color w:val="auto"/>
          <w:szCs w:val="28"/>
        </w:rPr>
      </w:pPr>
      <w:r>
        <w:rPr>
          <w:color w:val="auto"/>
          <w:szCs w:val="28"/>
        </w:rPr>
        <w:t>注：(V</w:t>
      </w:r>
      <w:r>
        <w:rPr>
          <w:color w:val="auto"/>
          <w:szCs w:val="28"/>
          <w:vertAlign w:val="subscript"/>
        </w:rPr>
        <w:t>1</w:t>
      </w:r>
      <w:r>
        <w:rPr>
          <w:color w:val="auto"/>
          <w:szCs w:val="28"/>
        </w:rPr>
        <w:t>＋V</w:t>
      </w:r>
      <w:r>
        <w:rPr>
          <w:color w:val="auto"/>
          <w:szCs w:val="28"/>
          <w:vertAlign w:val="subscript"/>
        </w:rPr>
        <w:t>2</w:t>
      </w:r>
      <w:r>
        <w:rPr>
          <w:color w:val="auto"/>
          <w:szCs w:val="28"/>
        </w:rPr>
        <w:t>-V</w:t>
      </w:r>
      <w:r>
        <w:rPr>
          <w:color w:val="auto"/>
          <w:szCs w:val="28"/>
          <w:vertAlign w:val="subscript"/>
        </w:rPr>
        <w:t>3</w:t>
      </w:r>
      <w:r>
        <w:rPr>
          <w:color w:val="auto"/>
          <w:szCs w:val="28"/>
        </w:rPr>
        <w:t>)</w:t>
      </w:r>
      <w:r>
        <w:rPr>
          <w:color w:val="auto"/>
          <w:szCs w:val="28"/>
          <w:vertAlign w:val="subscript"/>
        </w:rPr>
        <w:t>max</w:t>
      </w:r>
      <w:r>
        <w:rPr>
          <w:color w:val="auto"/>
          <w:szCs w:val="28"/>
        </w:rPr>
        <w:t xml:space="preserve"> 是指对收集系统范围内不同罐组或装置分别计算V</w:t>
      </w:r>
      <w:r>
        <w:rPr>
          <w:color w:val="auto"/>
          <w:szCs w:val="28"/>
          <w:vertAlign w:val="subscript"/>
        </w:rPr>
        <w:t>1</w:t>
      </w:r>
      <w:r>
        <w:rPr>
          <w:color w:val="auto"/>
          <w:szCs w:val="28"/>
        </w:rPr>
        <w:t>＋V</w:t>
      </w:r>
      <w:r>
        <w:rPr>
          <w:color w:val="auto"/>
          <w:szCs w:val="28"/>
          <w:vertAlign w:val="subscript"/>
        </w:rPr>
        <w:t>2</w:t>
      </w:r>
      <w:r>
        <w:rPr>
          <w:color w:val="auto"/>
          <w:szCs w:val="28"/>
        </w:rPr>
        <w:t>－V</w:t>
      </w:r>
      <w:r>
        <w:rPr>
          <w:color w:val="auto"/>
          <w:szCs w:val="28"/>
          <w:vertAlign w:val="subscript"/>
        </w:rPr>
        <w:t>3</w:t>
      </w:r>
      <w:r>
        <w:rPr>
          <w:color w:val="auto"/>
          <w:szCs w:val="28"/>
        </w:rPr>
        <w:t>，取其中最大值。</w:t>
      </w:r>
    </w:p>
    <w:p w14:paraId="09397E69">
      <w:pPr>
        <w:adjustRightInd/>
        <w:ind w:firstLine="480"/>
        <w:rPr>
          <w:color w:val="auto"/>
          <w:szCs w:val="28"/>
        </w:rPr>
      </w:pPr>
      <w:r>
        <w:rPr>
          <w:color w:val="auto"/>
          <w:szCs w:val="28"/>
        </w:rPr>
        <w:t>V</w:t>
      </w:r>
      <w:r>
        <w:rPr>
          <w:color w:val="auto"/>
          <w:szCs w:val="28"/>
          <w:vertAlign w:val="subscript"/>
        </w:rPr>
        <w:t>1</w:t>
      </w:r>
      <w:r>
        <w:rPr>
          <w:color w:val="auto"/>
          <w:szCs w:val="28"/>
        </w:rPr>
        <w:t>——收集系统范围内发生事故的一个罐组或一套装置的物料量。</w:t>
      </w:r>
    </w:p>
    <w:p w14:paraId="7DB3310C">
      <w:pPr>
        <w:adjustRightInd/>
        <w:ind w:firstLine="480"/>
        <w:rPr>
          <w:color w:val="auto"/>
          <w:szCs w:val="28"/>
        </w:rPr>
      </w:pPr>
      <w:r>
        <w:rPr>
          <w:color w:val="auto"/>
          <w:szCs w:val="28"/>
        </w:rPr>
        <w:t>V</w:t>
      </w:r>
      <w:r>
        <w:rPr>
          <w:color w:val="auto"/>
          <w:szCs w:val="28"/>
          <w:vertAlign w:val="subscript"/>
        </w:rPr>
        <w:t>2</w:t>
      </w:r>
      <w:r>
        <w:rPr>
          <w:color w:val="auto"/>
          <w:szCs w:val="28"/>
        </w:rPr>
        <w:t>——发生事故的储罐或装置的消防水量，m</w:t>
      </w:r>
      <w:r>
        <w:rPr>
          <w:color w:val="auto"/>
          <w:szCs w:val="28"/>
          <w:vertAlign w:val="superscript"/>
        </w:rPr>
        <w:t>3</w:t>
      </w:r>
      <w:r>
        <w:rPr>
          <w:color w:val="auto"/>
          <w:szCs w:val="28"/>
        </w:rPr>
        <w:t>；</w:t>
      </w:r>
    </w:p>
    <w:p w14:paraId="5E6D8E52">
      <w:pPr>
        <w:adjustRightInd/>
        <w:snapToGrid/>
        <w:ind w:firstLine="480"/>
        <w:jc w:val="center"/>
        <w:rPr>
          <w:color w:val="auto"/>
          <w:szCs w:val="28"/>
        </w:rPr>
      </w:pPr>
      <w:r>
        <w:rPr>
          <w:color w:val="auto"/>
          <w:szCs w:val="28"/>
        </w:rPr>
        <w:t>V</w:t>
      </w:r>
      <w:r>
        <w:rPr>
          <w:color w:val="auto"/>
          <w:szCs w:val="28"/>
          <w:vertAlign w:val="subscript"/>
        </w:rPr>
        <w:t>2</w:t>
      </w:r>
      <w:r>
        <w:rPr>
          <w:color w:val="auto"/>
          <w:szCs w:val="28"/>
        </w:rPr>
        <w:t>=∑Q</w:t>
      </w:r>
      <w:r>
        <w:rPr>
          <w:color w:val="auto"/>
          <w:szCs w:val="28"/>
          <w:vertAlign w:val="subscript"/>
        </w:rPr>
        <w:t>消</w:t>
      </w:r>
      <w:r>
        <w:rPr>
          <w:color w:val="auto"/>
          <w:szCs w:val="28"/>
        </w:rPr>
        <w:t>t</w:t>
      </w:r>
      <w:r>
        <w:rPr>
          <w:color w:val="auto"/>
          <w:szCs w:val="28"/>
          <w:vertAlign w:val="subscript"/>
        </w:rPr>
        <w:t>消</w:t>
      </w:r>
    </w:p>
    <w:p w14:paraId="2BF9CE76">
      <w:pPr>
        <w:adjustRightInd/>
        <w:ind w:firstLine="480"/>
        <w:rPr>
          <w:color w:val="auto"/>
          <w:szCs w:val="28"/>
        </w:rPr>
      </w:pPr>
      <w:r>
        <w:rPr>
          <w:color w:val="auto"/>
          <w:szCs w:val="28"/>
        </w:rPr>
        <w:t>Q</w:t>
      </w:r>
      <w:r>
        <w:rPr>
          <w:color w:val="auto"/>
          <w:szCs w:val="28"/>
          <w:vertAlign w:val="subscript"/>
        </w:rPr>
        <w:t>消</w:t>
      </w:r>
      <w:r>
        <w:rPr>
          <w:color w:val="auto"/>
          <w:szCs w:val="28"/>
        </w:rPr>
        <w:t>——发生事故的储罐或装置的同时使用的消防设施给水流量，m</w:t>
      </w:r>
      <w:r>
        <w:rPr>
          <w:color w:val="auto"/>
          <w:szCs w:val="28"/>
          <w:vertAlign w:val="superscript"/>
        </w:rPr>
        <w:t>3</w:t>
      </w:r>
      <w:r>
        <w:rPr>
          <w:color w:val="auto"/>
          <w:szCs w:val="28"/>
        </w:rPr>
        <w:t>/h；</w:t>
      </w:r>
    </w:p>
    <w:p w14:paraId="29724336">
      <w:pPr>
        <w:adjustRightInd/>
        <w:ind w:firstLine="480"/>
        <w:rPr>
          <w:color w:val="auto"/>
          <w:szCs w:val="28"/>
        </w:rPr>
      </w:pPr>
      <w:r>
        <w:rPr>
          <w:color w:val="auto"/>
          <w:szCs w:val="28"/>
        </w:rPr>
        <w:t>t</w:t>
      </w:r>
      <w:r>
        <w:rPr>
          <w:color w:val="auto"/>
          <w:szCs w:val="28"/>
          <w:vertAlign w:val="subscript"/>
        </w:rPr>
        <w:t>消</w:t>
      </w:r>
      <w:r>
        <w:rPr>
          <w:color w:val="auto"/>
          <w:szCs w:val="28"/>
        </w:rPr>
        <w:t>——消防设施对应的设计消防历时，h；</w:t>
      </w:r>
    </w:p>
    <w:p w14:paraId="1F8926E4">
      <w:pPr>
        <w:adjustRightInd/>
        <w:ind w:firstLine="480"/>
        <w:rPr>
          <w:color w:val="auto"/>
          <w:szCs w:val="28"/>
        </w:rPr>
      </w:pPr>
      <w:r>
        <w:rPr>
          <w:color w:val="auto"/>
          <w:szCs w:val="28"/>
        </w:rPr>
        <w:t>V</w:t>
      </w:r>
      <w:r>
        <w:rPr>
          <w:color w:val="auto"/>
          <w:szCs w:val="28"/>
          <w:vertAlign w:val="subscript"/>
        </w:rPr>
        <w:t>3</w:t>
      </w:r>
      <w:r>
        <w:rPr>
          <w:color w:val="auto"/>
          <w:szCs w:val="28"/>
        </w:rPr>
        <w:t>——发生事故时可以转输到其他储存或处理设施的物料量，m</w:t>
      </w:r>
      <w:r>
        <w:rPr>
          <w:color w:val="auto"/>
          <w:szCs w:val="28"/>
          <w:vertAlign w:val="superscript"/>
        </w:rPr>
        <w:t>3</w:t>
      </w:r>
      <w:r>
        <w:rPr>
          <w:color w:val="auto"/>
          <w:szCs w:val="28"/>
        </w:rPr>
        <w:t>；</w:t>
      </w:r>
    </w:p>
    <w:p w14:paraId="6BA5BC1D">
      <w:pPr>
        <w:adjustRightInd/>
        <w:ind w:firstLine="480"/>
        <w:rPr>
          <w:color w:val="auto"/>
          <w:szCs w:val="28"/>
        </w:rPr>
      </w:pPr>
      <w:r>
        <w:rPr>
          <w:color w:val="auto"/>
          <w:szCs w:val="28"/>
        </w:rPr>
        <w:t>V</w:t>
      </w:r>
      <w:r>
        <w:rPr>
          <w:color w:val="auto"/>
          <w:szCs w:val="28"/>
          <w:vertAlign w:val="subscript"/>
        </w:rPr>
        <w:t>4</w:t>
      </w:r>
      <w:r>
        <w:rPr>
          <w:color w:val="auto"/>
          <w:szCs w:val="28"/>
        </w:rPr>
        <w:t>——发生事故时仍必须进入该收集系统的生产废水量，m</w:t>
      </w:r>
      <w:r>
        <w:rPr>
          <w:color w:val="auto"/>
          <w:szCs w:val="28"/>
          <w:vertAlign w:val="superscript"/>
        </w:rPr>
        <w:t>3</w:t>
      </w:r>
      <w:r>
        <w:rPr>
          <w:color w:val="auto"/>
          <w:szCs w:val="28"/>
        </w:rPr>
        <w:t>；</w:t>
      </w:r>
    </w:p>
    <w:p w14:paraId="502E82B8">
      <w:pPr>
        <w:adjustRightInd/>
        <w:ind w:firstLine="480"/>
        <w:rPr>
          <w:color w:val="auto"/>
          <w:szCs w:val="28"/>
        </w:rPr>
      </w:pPr>
      <w:r>
        <w:rPr>
          <w:color w:val="auto"/>
          <w:szCs w:val="28"/>
        </w:rPr>
        <w:t>V</w:t>
      </w:r>
      <w:r>
        <w:rPr>
          <w:color w:val="auto"/>
          <w:szCs w:val="28"/>
          <w:vertAlign w:val="subscript"/>
        </w:rPr>
        <w:t>5</w:t>
      </w:r>
      <w:r>
        <w:rPr>
          <w:color w:val="auto"/>
          <w:szCs w:val="28"/>
        </w:rPr>
        <w:t>——发生事故时可能进入该收集系统的降雨量，m</w:t>
      </w:r>
      <w:r>
        <w:rPr>
          <w:color w:val="auto"/>
          <w:szCs w:val="28"/>
          <w:vertAlign w:val="superscript"/>
        </w:rPr>
        <w:t>3</w:t>
      </w:r>
      <w:r>
        <w:rPr>
          <w:color w:val="auto"/>
          <w:szCs w:val="28"/>
        </w:rPr>
        <w:t>；</w:t>
      </w:r>
    </w:p>
    <w:p w14:paraId="2359B31F">
      <w:pPr>
        <w:adjustRightInd/>
        <w:snapToGrid/>
        <w:ind w:firstLine="480"/>
        <w:jc w:val="center"/>
        <w:rPr>
          <w:color w:val="auto"/>
          <w:szCs w:val="28"/>
        </w:rPr>
      </w:pPr>
      <w:r>
        <w:rPr>
          <w:color w:val="auto"/>
          <w:szCs w:val="28"/>
        </w:rPr>
        <w:t>V</w:t>
      </w:r>
      <w:r>
        <w:rPr>
          <w:color w:val="auto"/>
          <w:szCs w:val="28"/>
          <w:vertAlign w:val="subscript"/>
        </w:rPr>
        <w:t>5</w:t>
      </w:r>
      <w:r>
        <w:rPr>
          <w:color w:val="auto"/>
          <w:szCs w:val="28"/>
        </w:rPr>
        <w:t>＝10qF</w:t>
      </w:r>
    </w:p>
    <w:p w14:paraId="433983C7">
      <w:pPr>
        <w:adjustRightInd/>
        <w:ind w:firstLine="480"/>
        <w:rPr>
          <w:color w:val="auto"/>
          <w:szCs w:val="28"/>
        </w:rPr>
      </w:pPr>
      <w:r>
        <w:rPr>
          <w:color w:val="auto"/>
          <w:szCs w:val="28"/>
        </w:rPr>
        <w:t>q——降雨强度，mm；按平均日降雨量；</w:t>
      </w:r>
    </w:p>
    <w:p w14:paraId="10814921">
      <w:pPr>
        <w:adjustRightInd/>
        <w:snapToGrid/>
        <w:ind w:firstLine="480"/>
        <w:jc w:val="center"/>
        <w:rPr>
          <w:color w:val="auto"/>
          <w:szCs w:val="28"/>
        </w:rPr>
      </w:pPr>
      <w:r>
        <w:rPr>
          <w:color w:val="auto"/>
          <w:szCs w:val="28"/>
        </w:rPr>
        <w:t>q=qa/n</w:t>
      </w:r>
    </w:p>
    <w:p w14:paraId="4ADF36AD">
      <w:pPr>
        <w:adjustRightInd/>
        <w:ind w:firstLine="480"/>
        <w:rPr>
          <w:color w:val="auto"/>
          <w:szCs w:val="28"/>
        </w:rPr>
      </w:pPr>
      <w:r>
        <w:rPr>
          <w:color w:val="auto"/>
          <w:szCs w:val="28"/>
        </w:rPr>
        <w:t>qa——年平均降雨量，mm；</w:t>
      </w:r>
    </w:p>
    <w:p w14:paraId="704173D2">
      <w:pPr>
        <w:adjustRightInd/>
        <w:ind w:firstLine="480"/>
        <w:rPr>
          <w:color w:val="auto"/>
          <w:szCs w:val="28"/>
        </w:rPr>
      </w:pPr>
      <w:r>
        <w:rPr>
          <w:color w:val="auto"/>
          <w:szCs w:val="28"/>
        </w:rPr>
        <w:t>n——年平均降雨日数。</w:t>
      </w:r>
    </w:p>
    <w:p w14:paraId="1A052B7D">
      <w:pPr>
        <w:adjustRightInd/>
        <w:ind w:firstLine="480"/>
        <w:rPr>
          <w:rFonts w:eastAsia="仿宋_GB2312"/>
          <w:color w:val="auto"/>
          <w:sz w:val="28"/>
          <w:szCs w:val="28"/>
        </w:rPr>
      </w:pPr>
      <w:r>
        <w:rPr>
          <w:color w:val="auto"/>
          <w:szCs w:val="28"/>
        </w:rPr>
        <w:t>F——必须进入事故废水收集系统的雨水汇水面积，hm</w:t>
      </w:r>
      <w:r>
        <w:rPr>
          <w:color w:val="auto"/>
          <w:szCs w:val="28"/>
          <w:vertAlign w:val="superscript"/>
        </w:rPr>
        <w:t>2</w:t>
      </w:r>
      <w:r>
        <w:rPr>
          <w:color w:val="auto"/>
          <w:szCs w:val="28"/>
        </w:rPr>
        <w:t>。</w:t>
      </w:r>
    </w:p>
    <w:p w14:paraId="536218F9">
      <w:pPr>
        <w:adjustRightInd/>
        <w:snapToGrid/>
        <w:ind w:firstLine="480"/>
        <w:rPr>
          <w:color w:val="auto"/>
          <w:szCs w:val="22"/>
          <w:lang w:val="zh-CN"/>
        </w:rPr>
      </w:pPr>
      <w:r>
        <w:rPr>
          <w:color w:val="auto"/>
          <w:szCs w:val="22"/>
          <w:lang w:val="zh-CN"/>
        </w:rPr>
        <w:t>在现有储存设施不能满足事故排水储存容量要求时，应设置应急事故池。</w:t>
      </w:r>
    </w:p>
    <w:p w14:paraId="7564FBFE">
      <w:pPr>
        <w:adjustRightInd/>
        <w:snapToGrid/>
        <w:ind w:firstLine="480"/>
        <w:rPr>
          <w:color w:val="auto"/>
          <w:szCs w:val="22"/>
          <w:lang w:val="zh-CN"/>
        </w:rPr>
      </w:pPr>
      <w:r>
        <w:rPr>
          <w:color w:val="auto"/>
          <w:szCs w:val="22"/>
          <w:lang w:val="zh-CN"/>
        </w:rPr>
        <w:t>根据项目情况，</w:t>
      </w:r>
      <w:r>
        <w:rPr>
          <w:rFonts w:hint="eastAsia"/>
          <w:color w:val="auto"/>
          <w:szCs w:val="22"/>
          <w:lang w:val="zh-CN"/>
        </w:rPr>
        <w:t>拟建</w:t>
      </w:r>
      <w:r>
        <w:rPr>
          <w:color w:val="auto"/>
          <w:szCs w:val="22"/>
          <w:lang w:val="zh-CN"/>
        </w:rPr>
        <w:t>事故存储设施总有效容积计算如下：</w:t>
      </w:r>
    </w:p>
    <w:p w14:paraId="3E2442EC">
      <w:pPr>
        <w:adjustRightInd/>
        <w:snapToGrid/>
        <w:ind w:firstLine="480"/>
        <w:rPr>
          <w:color w:val="auto"/>
          <w:szCs w:val="22"/>
          <w:lang w:val="zh-CN"/>
        </w:rPr>
      </w:pPr>
      <w:r>
        <w:rPr>
          <w:color w:val="auto"/>
          <w:szCs w:val="22"/>
          <w:lang w:val="zh-CN"/>
        </w:rPr>
        <w:t>V</w:t>
      </w:r>
      <w:r>
        <w:rPr>
          <w:color w:val="auto"/>
          <w:szCs w:val="22"/>
          <w:vertAlign w:val="subscript"/>
          <w:lang w:val="zh-CN"/>
        </w:rPr>
        <w:t>1</w:t>
      </w:r>
      <w:r>
        <w:rPr>
          <w:color w:val="auto"/>
          <w:szCs w:val="22"/>
          <w:lang w:val="zh-CN"/>
        </w:rPr>
        <w:t>＝</w:t>
      </w:r>
      <w:r>
        <w:rPr>
          <w:rFonts w:hint="eastAsia"/>
          <w:color w:val="auto"/>
          <w:szCs w:val="22"/>
        </w:rPr>
        <w:t>1300</w:t>
      </w:r>
      <w:r>
        <w:rPr>
          <w:color w:val="auto"/>
          <w:szCs w:val="22"/>
          <w:lang w:val="zh-CN"/>
        </w:rPr>
        <w:t>m</w:t>
      </w:r>
      <w:r>
        <w:rPr>
          <w:color w:val="auto"/>
          <w:szCs w:val="22"/>
          <w:vertAlign w:val="superscript"/>
          <w:lang w:val="zh-CN"/>
        </w:rPr>
        <w:t>3</w:t>
      </w:r>
      <w:r>
        <w:rPr>
          <w:color w:val="auto"/>
          <w:szCs w:val="22"/>
          <w:lang w:val="zh-CN"/>
        </w:rPr>
        <w:t>；</w:t>
      </w:r>
    </w:p>
    <w:p w14:paraId="1028371F">
      <w:pPr>
        <w:adjustRightInd/>
        <w:snapToGrid/>
        <w:ind w:firstLine="480"/>
        <w:rPr>
          <w:color w:val="auto"/>
          <w:szCs w:val="22"/>
          <w:lang w:val="zh-CN"/>
        </w:rPr>
      </w:pPr>
      <w:r>
        <w:rPr>
          <w:color w:val="auto"/>
          <w:szCs w:val="22"/>
          <w:lang w:val="zh-CN"/>
        </w:rPr>
        <w:t>V</w:t>
      </w:r>
      <w:r>
        <w:rPr>
          <w:color w:val="auto"/>
          <w:szCs w:val="22"/>
          <w:vertAlign w:val="subscript"/>
          <w:lang w:val="zh-CN"/>
        </w:rPr>
        <w:t>2</w:t>
      </w:r>
      <w:r>
        <w:rPr>
          <w:color w:val="auto"/>
          <w:szCs w:val="22"/>
          <w:lang w:val="zh-CN"/>
        </w:rPr>
        <w:t>=∑Q消t消=4</w:t>
      </w:r>
      <w:r>
        <w:rPr>
          <w:rFonts w:hint="eastAsia"/>
          <w:color w:val="auto"/>
          <w:szCs w:val="22"/>
        </w:rPr>
        <w:t>0</w:t>
      </w:r>
      <w:r>
        <w:rPr>
          <w:color w:val="auto"/>
          <w:szCs w:val="22"/>
          <w:lang w:val="zh-CN"/>
        </w:rPr>
        <w:t>L/s×(3×3600)s=4</w:t>
      </w:r>
      <w:r>
        <w:rPr>
          <w:rFonts w:hint="eastAsia"/>
          <w:color w:val="auto"/>
          <w:szCs w:val="22"/>
        </w:rPr>
        <w:t>32</w:t>
      </w:r>
      <w:r>
        <w:rPr>
          <w:color w:val="auto"/>
          <w:szCs w:val="22"/>
          <w:lang w:val="zh-CN"/>
        </w:rPr>
        <w:t>m</w:t>
      </w:r>
      <w:r>
        <w:rPr>
          <w:color w:val="auto"/>
          <w:szCs w:val="22"/>
          <w:vertAlign w:val="superscript"/>
          <w:lang w:val="zh-CN"/>
        </w:rPr>
        <w:t>3</w:t>
      </w:r>
      <w:r>
        <w:rPr>
          <w:color w:val="auto"/>
          <w:szCs w:val="22"/>
          <w:lang w:val="zh-CN"/>
        </w:rPr>
        <w:t>(本环评以丙类仓库发生火灾计，则室内消防水流量为20L/s，室外消防水流量为25L/s，火灾延续时间以3h计)；</w:t>
      </w:r>
    </w:p>
    <w:p w14:paraId="71D75C80">
      <w:pPr>
        <w:adjustRightInd/>
        <w:snapToGrid/>
        <w:ind w:firstLine="480"/>
        <w:rPr>
          <w:color w:val="auto"/>
          <w:szCs w:val="22"/>
          <w:lang w:val="zh-CN"/>
        </w:rPr>
      </w:pPr>
      <w:r>
        <w:rPr>
          <w:color w:val="auto"/>
          <w:szCs w:val="22"/>
          <w:lang w:val="zh-CN"/>
        </w:rPr>
        <w:t>V</w:t>
      </w:r>
      <w:r>
        <w:rPr>
          <w:color w:val="auto"/>
          <w:szCs w:val="22"/>
          <w:vertAlign w:val="subscript"/>
          <w:lang w:val="zh-CN"/>
        </w:rPr>
        <w:t>3</w:t>
      </w:r>
      <w:r>
        <w:rPr>
          <w:color w:val="auto"/>
          <w:szCs w:val="22"/>
          <w:lang w:val="zh-CN"/>
        </w:rPr>
        <w:t>＝</w:t>
      </w:r>
      <w:r>
        <w:rPr>
          <w:rFonts w:hint="eastAsia"/>
          <w:color w:val="auto"/>
          <w:szCs w:val="22"/>
          <w:lang w:val="zh-CN"/>
        </w:rPr>
        <w:t>1</w:t>
      </w:r>
      <w:r>
        <w:rPr>
          <w:rFonts w:hint="eastAsia"/>
          <w:color w:val="auto"/>
          <w:szCs w:val="22"/>
        </w:rPr>
        <w:t>0</w:t>
      </w:r>
      <w:r>
        <w:rPr>
          <w:rFonts w:hint="eastAsia"/>
          <w:color w:val="auto"/>
          <w:szCs w:val="22"/>
          <w:lang w:val="zh-CN"/>
        </w:rPr>
        <w:t>0</w:t>
      </w:r>
      <w:r>
        <w:rPr>
          <w:color w:val="auto"/>
          <w:szCs w:val="22"/>
          <w:lang w:val="zh-CN"/>
        </w:rPr>
        <w:t>0m</w:t>
      </w:r>
      <w:r>
        <w:rPr>
          <w:color w:val="auto"/>
          <w:szCs w:val="22"/>
          <w:vertAlign w:val="superscript"/>
          <w:lang w:val="zh-CN"/>
        </w:rPr>
        <w:t>3</w:t>
      </w:r>
      <w:r>
        <w:rPr>
          <w:rFonts w:hint="eastAsia"/>
          <w:color w:val="auto"/>
          <w:szCs w:val="22"/>
          <w:lang w:val="zh-CN"/>
        </w:rPr>
        <w:t>；</w:t>
      </w:r>
    </w:p>
    <w:p w14:paraId="6E049C33">
      <w:pPr>
        <w:adjustRightInd/>
        <w:snapToGrid/>
        <w:ind w:firstLine="480"/>
        <w:rPr>
          <w:color w:val="auto"/>
          <w:szCs w:val="22"/>
          <w:lang w:val="zh-CN"/>
        </w:rPr>
      </w:pPr>
      <w:r>
        <w:rPr>
          <w:color w:val="auto"/>
          <w:szCs w:val="22"/>
          <w:lang w:val="zh-CN"/>
        </w:rPr>
        <w:t>V</w:t>
      </w:r>
      <w:r>
        <w:rPr>
          <w:color w:val="auto"/>
          <w:szCs w:val="22"/>
          <w:vertAlign w:val="subscript"/>
          <w:lang w:val="zh-CN"/>
        </w:rPr>
        <w:t>4</w:t>
      </w:r>
      <w:r>
        <w:rPr>
          <w:color w:val="auto"/>
          <w:szCs w:val="22"/>
          <w:lang w:val="zh-CN"/>
        </w:rPr>
        <w:t>＝</w:t>
      </w:r>
      <w:r>
        <w:rPr>
          <w:rFonts w:hint="eastAsia"/>
          <w:color w:val="auto"/>
          <w:szCs w:val="22"/>
        </w:rPr>
        <w:t>0</w:t>
      </w:r>
      <w:r>
        <w:rPr>
          <w:color w:val="auto"/>
          <w:szCs w:val="22"/>
          <w:lang w:val="zh-CN"/>
        </w:rPr>
        <w:t>；</w:t>
      </w:r>
    </w:p>
    <w:p w14:paraId="41E93A8D">
      <w:pPr>
        <w:adjustRightInd/>
        <w:snapToGrid/>
        <w:ind w:firstLine="480"/>
        <w:rPr>
          <w:color w:val="auto"/>
          <w:szCs w:val="22"/>
          <w:lang w:val="zh-CN"/>
        </w:rPr>
      </w:pPr>
      <w:r>
        <w:rPr>
          <w:color w:val="auto"/>
          <w:szCs w:val="22"/>
          <w:lang w:val="zh-CN"/>
        </w:rPr>
        <w:t>V</w:t>
      </w:r>
      <w:r>
        <w:rPr>
          <w:color w:val="auto"/>
          <w:szCs w:val="22"/>
          <w:vertAlign w:val="subscript"/>
          <w:lang w:val="zh-CN"/>
        </w:rPr>
        <w:t>5</w:t>
      </w:r>
      <w:r>
        <w:rPr>
          <w:color w:val="auto"/>
          <w:szCs w:val="22"/>
          <w:lang w:val="zh-CN"/>
        </w:rPr>
        <w:t>=10qF=255.78m</w:t>
      </w:r>
      <w:r>
        <w:rPr>
          <w:color w:val="auto"/>
          <w:szCs w:val="22"/>
          <w:vertAlign w:val="superscript"/>
          <w:lang w:val="zh-CN"/>
        </w:rPr>
        <w:t>3</w:t>
      </w:r>
      <w:r>
        <w:rPr>
          <w:color w:val="auto"/>
          <w:szCs w:val="22"/>
          <w:lang w:val="zh-CN"/>
        </w:rPr>
        <w:t>(其中所在地平均年降雨量1128mm，年降雨天数约130天，则q取8.7；</w:t>
      </w:r>
      <w:r>
        <w:rPr>
          <w:rFonts w:hint="eastAsia"/>
          <w:color w:val="auto"/>
          <w:szCs w:val="22"/>
          <w:lang w:val="zh-CN"/>
        </w:rPr>
        <w:t>拟建</w:t>
      </w:r>
      <w:r>
        <w:rPr>
          <w:color w:val="auto"/>
          <w:szCs w:val="22"/>
          <w:lang w:val="zh-CN"/>
        </w:rPr>
        <w:t>厂区汇水面积F取1.48hm</w:t>
      </w:r>
      <w:r>
        <w:rPr>
          <w:color w:val="auto"/>
          <w:szCs w:val="22"/>
          <w:vertAlign w:val="superscript"/>
          <w:lang w:val="zh-CN"/>
        </w:rPr>
        <w:t>2</w:t>
      </w:r>
      <w:r>
        <w:rPr>
          <w:rFonts w:hint="eastAsia"/>
          <w:color w:val="auto"/>
          <w:szCs w:val="22"/>
          <w:lang w:val="zh-CN"/>
        </w:rPr>
        <w:t>，</w:t>
      </w:r>
      <w:r>
        <w:rPr>
          <w:rFonts w:hint="eastAsia"/>
          <w:color w:val="auto"/>
          <w:szCs w:val="22"/>
        </w:rPr>
        <w:t>该雨水进入初期雨水池暂存</w:t>
      </w:r>
      <w:r>
        <w:rPr>
          <w:color w:val="auto"/>
          <w:szCs w:val="22"/>
          <w:lang w:val="zh-CN"/>
        </w:rPr>
        <w:t>)；</w:t>
      </w:r>
    </w:p>
    <w:p w14:paraId="2B780DF6">
      <w:pPr>
        <w:adjustRightInd/>
        <w:snapToGrid/>
        <w:ind w:firstLine="480"/>
        <w:rPr>
          <w:color w:val="auto"/>
          <w:szCs w:val="22"/>
          <w:lang w:val="zh-CN"/>
        </w:rPr>
      </w:pPr>
      <w:r>
        <w:rPr>
          <w:color w:val="auto"/>
          <w:szCs w:val="22"/>
          <w:lang w:val="zh-CN"/>
        </w:rPr>
        <w:t>V</w:t>
      </w:r>
      <w:r>
        <w:rPr>
          <w:color w:val="auto"/>
          <w:szCs w:val="22"/>
          <w:vertAlign w:val="subscript"/>
          <w:lang w:val="zh-CN"/>
        </w:rPr>
        <w:t>总</w:t>
      </w:r>
      <w:r>
        <w:rPr>
          <w:color w:val="auto"/>
          <w:szCs w:val="22"/>
          <w:lang w:val="zh-CN"/>
        </w:rPr>
        <w:t>＝(V</w:t>
      </w:r>
      <w:r>
        <w:rPr>
          <w:color w:val="auto"/>
          <w:szCs w:val="22"/>
          <w:vertAlign w:val="subscript"/>
          <w:lang w:val="zh-CN"/>
        </w:rPr>
        <w:t>1</w:t>
      </w:r>
      <w:r>
        <w:rPr>
          <w:color w:val="auto"/>
          <w:szCs w:val="22"/>
          <w:lang w:val="zh-CN"/>
        </w:rPr>
        <w:t>＋V</w:t>
      </w:r>
      <w:r>
        <w:rPr>
          <w:color w:val="auto"/>
          <w:szCs w:val="22"/>
          <w:vertAlign w:val="subscript"/>
          <w:lang w:val="zh-CN"/>
        </w:rPr>
        <w:t>2</w:t>
      </w:r>
      <w:r>
        <w:rPr>
          <w:color w:val="auto"/>
          <w:szCs w:val="22"/>
          <w:lang w:val="zh-CN"/>
        </w:rPr>
        <w:t>－V</w:t>
      </w:r>
      <w:r>
        <w:rPr>
          <w:color w:val="auto"/>
          <w:szCs w:val="22"/>
          <w:vertAlign w:val="subscript"/>
          <w:lang w:val="zh-CN"/>
        </w:rPr>
        <w:t>3</w:t>
      </w:r>
      <w:r>
        <w:rPr>
          <w:color w:val="auto"/>
          <w:szCs w:val="22"/>
          <w:lang w:val="zh-CN"/>
        </w:rPr>
        <w:t>)max＋V</w:t>
      </w:r>
      <w:r>
        <w:rPr>
          <w:color w:val="auto"/>
          <w:szCs w:val="22"/>
          <w:vertAlign w:val="subscript"/>
          <w:lang w:val="zh-CN"/>
        </w:rPr>
        <w:t>4</w:t>
      </w:r>
      <w:r>
        <w:rPr>
          <w:color w:val="auto"/>
          <w:szCs w:val="22"/>
          <w:lang w:val="zh-CN"/>
        </w:rPr>
        <w:t>+V</w:t>
      </w:r>
      <w:r>
        <w:rPr>
          <w:color w:val="auto"/>
          <w:szCs w:val="22"/>
          <w:vertAlign w:val="subscript"/>
          <w:lang w:val="zh-CN"/>
        </w:rPr>
        <w:t>5</w:t>
      </w:r>
      <w:r>
        <w:rPr>
          <w:color w:val="auto"/>
          <w:szCs w:val="22"/>
          <w:lang w:val="zh-CN"/>
        </w:rPr>
        <w:t>＝</w:t>
      </w:r>
      <w:r>
        <w:rPr>
          <w:rFonts w:hint="eastAsia"/>
          <w:color w:val="auto"/>
          <w:szCs w:val="22"/>
        </w:rPr>
        <w:t>732</w:t>
      </w:r>
      <w:r>
        <w:rPr>
          <w:color w:val="auto"/>
          <w:szCs w:val="22"/>
          <w:lang w:val="zh-CN"/>
        </w:rPr>
        <w:t>m</w:t>
      </w:r>
      <w:r>
        <w:rPr>
          <w:color w:val="auto"/>
          <w:szCs w:val="22"/>
          <w:vertAlign w:val="superscript"/>
          <w:lang w:val="zh-CN"/>
        </w:rPr>
        <w:t>3</w:t>
      </w:r>
    </w:p>
    <w:p w14:paraId="37BC6EEF">
      <w:pPr>
        <w:adjustRightInd/>
        <w:snapToGrid/>
        <w:ind w:firstLine="480"/>
        <w:rPr>
          <w:color w:val="auto"/>
          <w:szCs w:val="22"/>
          <w:lang w:val="zh-CN"/>
        </w:rPr>
      </w:pPr>
      <w:r>
        <w:rPr>
          <w:color w:val="auto"/>
          <w:szCs w:val="22"/>
          <w:lang w:val="zh-CN"/>
        </w:rPr>
        <w:t>亚太药业现有770m</w:t>
      </w:r>
      <w:r>
        <w:rPr>
          <w:color w:val="auto"/>
          <w:szCs w:val="22"/>
          <w:vertAlign w:val="superscript"/>
          <w:lang w:val="zh-CN"/>
        </w:rPr>
        <w:t>3</w:t>
      </w:r>
      <w:r>
        <w:rPr>
          <w:color w:val="auto"/>
          <w:szCs w:val="22"/>
          <w:lang w:val="zh-CN"/>
        </w:rPr>
        <w:t>容积的应急事故池，可见，企业现有事故池能够满足事故时污水储存要求。一旦发生泄漏事故，污染物可进入厂内事故池，不向外排放，不会对保护目标产生影响。</w:t>
      </w:r>
    </w:p>
    <w:p w14:paraId="52F89520">
      <w:pPr>
        <w:adjustRightInd/>
        <w:snapToGrid/>
        <w:ind w:firstLine="480"/>
        <w:rPr>
          <w:color w:val="auto"/>
          <w:szCs w:val="22"/>
          <w:lang w:val="zh-CN"/>
        </w:rPr>
      </w:pPr>
      <w:r>
        <w:rPr>
          <w:color w:val="auto"/>
          <w:szCs w:val="22"/>
          <w:lang w:val="zh-CN"/>
        </w:rPr>
        <w:t>设置事故池收集系统时，应严格执行规范要求，科学合理设置废水事故池和管线。各管线铺设过程应考虑一定的坡度，确保废水废液应能够全部自流进入，对于部分区域地势确实过高的，应提前配置输送设施；事故池外排口除了设置电动控制阀外，应考虑电动控制阀失效状态下的应急准备，设置备用人工控制阀。</w:t>
      </w:r>
    </w:p>
    <w:p w14:paraId="257DBF59">
      <w:pPr>
        <w:adjustRightInd/>
        <w:snapToGrid/>
        <w:ind w:firstLine="480"/>
        <w:rPr>
          <w:color w:val="auto"/>
          <w:szCs w:val="22"/>
          <w:lang w:val="zh-CN"/>
        </w:rPr>
      </w:pPr>
      <w:r>
        <w:rPr>
          <w:color w:val="auto"/>
          <w:szCs w:val="22"/>
          <w:lang w:val="zh-CN"/>
        </w:rPr>
        <w:t>(3)事故废水防控体系</w:t>
      </w:r>
    </w:p>
    <w:p w14:paraId="64228130">
      <w:pPr>
        <w:adjustRightInd/>
        <w:snapToGrid/>
        <w:ind w:firstLine="480"/>
        <w:rPr>
          <w:color w:val="auto"/>
          <w:szCs w:val="22"/>
          <w:lang w:val="zh-CN"/>
        </w:rPr>
      </w:pPr>
      <w:r>
        <w:rPr>
          <w:color w:val="auto"/>
          <w:szCs w:val="22"/>
          <w:lang w:val="zh-CN"/>
        </w:rPr>
        <w:t>事故状态下，厂区内所有事故废水必须全部收集，厂区污水排口及雨水排口设置紧急切断系统，配备强排泵，防止事故废水进入外环境。</w:t>
      </w:r>
    </w:p>
    <w:p w14:paraId="1AC2EFB2">
      <w:pPr>
        <w:adjustRightInd/>
        <w:snapToGrid/>
        <w:ind w:firstLine="480"/>
        <w:rPr>
          <w:color w:val="auto"/>
          <w:szCs w:val="22"/>
          <w:lang w:val="zh-CN"/>
        </w:rPr>
      </w:pPr>
      <w:r>
        <w:rPr>
          <w:rFonts w:hint="eastAsia"/>
          <w:color w:val="auto"/>
          <w:szCs w:val="22"/>
        </w:rPr>
        <w:t>若</w:t>
      </w:r>
      <w:r>
        <w:rPr>
          <w:color w:val="auto"/>
          <w:szCs w:val="22"/>
          <w:lang w:val="zh-CN"/>
        </w:rPr>
        <w:t>污水处理系统发生风险事故，可将超标废水引入事故池，待污水处理站风险事故处理后，可将事故废水按照一定地比例泵入混排废水处理系统处理达标后排放，厂内无法处理该废水达标时，委托其他单位处理，避免对园区污水处理厂产生不利影响。</w:t>
      </w:r>
    </w:p>
    <w:p w14:paraId="437250A9">
      <w:pPr>
        <w:adjustRightInd/>
        <w:snapToGrid/>
        <w:ind w:firstLine="480"/>
        <w:rPr>
          <w:color w:val="auto"/>
          <w:szCs w:val="22"/>
          <w:lang w:val="zh-CN"/>
        </w:rPr>
      </w:pPr>
      <w:r>
        <w:rPr>
          <w:color w:val="auto"/>
          <w:szCs w:val="22"/>
          <w:lang w:val="zh-CN"/>
        </w:rPr>
        <w:t>厂区雨水管网及污水管网见附图4.5.3-1。</w:t>
      </w:r>
    </w:p>
    <w:p w14:paraId="138D4ACC">
      <w:pPr>
        <w:adjustRightInd/>
        <w:snapToGrid/>
        <w:ind w:firstLine="480"/>
        <w:rPr>
          <w:color w:val="auto"/>
          <w:szCs w:val="22"/>
          <w:lang w:val="zh-CN"/>
        </w:rPr>
      </w:pPr>
      <w:r>
        <w:rPr>
          <w:color w:val="auto"/>
          <w:szCs w:val="22"/>
          <w:lang w:val="zh-CN"/>
        </w:rPr>
        <w:t>(4)其他注意事项</w:t>
      </w:r>
    </w:p>
    <w:p w14:paraId="2E7B4110">
      <w:pPr>
        <w:adjustRightInd/>
        <w:snapToGrid/>
        <w:ind w:firstLine="480"/>
        <w:rPr>
          <w:color w:val="auto"/>
          <w:szCs w:val="22"/>
          <w:lang w:val="zh-CN"/>
        </w:rPr>
      </w:pPr>
      <w:r>
        <w:rPr>
          <w:rFonts w:hint="eastAsia"/>
          <w:color w:val="auto"/>
          <w:szCs w:val="22"/>
          <w:lang w:val="zh-CN"/>
        </w:rPr>
        <w:t>①</w:t>
      </w:r>
      <w:r>
        <w:rPr>
          <w:color w:val="auto"/>
          <w:szCs w:val="22"/>
          <w:lang w:val="zh-CN"/>
        </w:rPr>
        <w:t>消防废水应根据火灾发生的具体物料及消防废水监测浓度，将消防废水及时引入厂内废水处理站处理，厂内无法处理该废水时，及时委托其他单位处理。</w:t>
      </w:r>
    </w:p>
    <w:p w14:paraId="497BCB31">
      <w:pPr>
        <w:adjustRightInd/>
        <w:snapToGrid/>
        <w:ind w:firstLine="480"/>
        <w:rPr>
          <w:color w:val="auto"/>
          <w:szCs w:val="22"/>
          <w:lang w:val="zh-CN"/>
        </w:rPr>
      </w:pPr>
      <w:r>
        <w:rPr>
          <w:color w:val="auto"/>
          <w:szCs w:val="22"/>
          <w:lang w:val="zh-CN"/>
        </w:rPr>
        <w:t>②如厂区污水处理站发生风险事故，可将超标废水引入事故池，待污水处理站风险事故处理后，可将事故废水按照一定比例泵入污水处理系统重新进行处理，厂内无法处理该废水达标时，及时委托其他单位处理。</w:t>
      </w:r>
    </w:p>
    <w:p w14:paraId="2D2F0279">
      <w:pPr>
        <w:adjustRightInd/>
        <w:snapToGrid/>
        <w:ind w:firstLine="480"/>
        <w:rPr>
          <w:color w:val="auto"/>
          <w:szCs w:val="22"/>
          <w:lang w:val="zh-CN"/>
        </w:rPr>
      </w:pPr>
      <w:r>
        <w:rPr>
          <w:color w:val="auto"/>
          <w:szCs w:val="22"/>
          <w:lang w:val="zh-CN"/>
        </w:rPr>
        <w:t>③如事故废水超出厂区，流入周边河流，应进行实时监控，启动相应的园区/区域突发环境事件应急预案，可采取关闭入江闸门等方式，减少对周边河流的影响，并进行及时修复。</w:t>
      </w:r>
    </w:p>
    <w:p w14:paraId="7F7EB678">
      <w:pPr>
        <w:pStyle w:val="5"/>
        <w:spacing w:before="192"/>
        <w:rPr>
          <w:color w:val="auto"/>
        </w:rPr>
      </w:pPr>
      <w:bookmarkStart w:id="321" w:name="_Hlk181885162"/>
      <w:r>
        <w:rPr>
          <w:color w:val="auto"/>
        </w:rPr>
        <w:t>7.6.1.3雨水排放系统风险防范</w:t>
      </w:r>
    </w:p>
    <w:p w14:paraId="3B2B039E">
      <w:pPr>
        <w:adjustRightInd/>
        <w:snapToGrid/>
        <w:ind w:firstLine="480"/>
        <w:rPr>
          <w:color w:val="auto"/>
          <w:szCs w:val="22"/>
          <w:lang w:val="zh-CN"/>
        </w:rPr>
      </w:pPr>
      <w:r>
        <w:rPr>
          <w:rFonts w:hint="eastAsia"/>
          <w:color w:val="auto"/>
          <w:szCs w:val="22"/>
          <w:lang w:val="zh-CN"/>
        </w:rPr>
        <w:t>拟建</w:t>
      </w:r>
      <w:r>
        <w:rPr>
          <w:color w:val="auto"/>
          <w:szCs w:val="22"/>
          <w:lang w:val="zh-CN"/>
        </w:rPr>
        <w:t>雨水接纳河流为江风河。根据《江苏省重点行业工业企业雨水排放环境管理办法(试行)》(苏污防攻坚指办[2023]71号)，</w:t>
      </w:r>
      <w:r>
        <w:rPr>
          <w:rFonts w:hint="eastAsia"/>
          <w:color w:val="auto"/>
          <w:szCs w:val="22"/>
          <w:lang w:val="zh-CN"/>
        </w:rPr>
        <w:t>拟建</w:t>
      </w:r>
      <w:r>
        <w:rPr>
          <w:color w:val="auto"/>
          <w:szCs w:val="22"/>
          <w:lang w:val="zh-CN"/>
        </w:rPr>
        <w:t>针对雨水排放提出以下风险管理要求：</w:t>
      </w:r>
    </w:p>
    <w:p w14:paraId="7C369F22">
      <w:pPr>
        <w:adjustRightInd/>
        <w:snapToGrid/>
        <w:ind w:firstLine="480"/>
        <w:rPr>
          <w:color w:val="auto"/>
          <w:szCs w:val="22"/>
          <w:lang w:val="zh-CN"/>
        </w:rPr>
      </w:pPr>
      <w:r>
        <w:rPr>
          <w:color w:val="auto"/>
          <w:szCs w:val="22"/>
          <w:lang w:val="zh-CN"/>
        </w:rPr>
        <w:t>(1)初期雨水收集与管理</w:t>
      </w:r>
    </w:p>
    <w:p w14:paraId="5683DA47">
      <w:pPr>
        <w:adjustRightInd/>
        <w:snapToGrid/>
        <w:ind w:firstLine="480"/>
        <w:rPr>
          <w:color w:val="auto"/>
          <w:szCs w:val="22"/>
          <w:lang w:val="zh-CN"/>
        </w:rPr>
      </w:pPr>
      <w:r>
        <w:rPr>
          <w:color w:val="auto"/>
          <w:szCs w:val="22"/>
          <w:lang w:val="zh-CN"/>
        </w:rPr>
        <w:t>初期雨水收集系统收集区域覆盖污染区域，包括导流沟、初期雨水截留装置、初期雨水收集池等。初期雨水收集池前设置分流井、收集池内设置流量计或液位计，可将收集池的液位标高与切换阀门开启连锁，通过设定的液位控制阀门开启或关闭，实现初期污染雨水与后期洁净雨水自然分流。初期雨水应及时送至厂区污水处理站处理，严禁直接外排。无降雨时，初期雨水收集池应尽量保持清空。</w:t>
      </w:r>
    </w:p>
    <w:p w14:paraId="1B59CA9C">
      <w:pPr>
        <w:adjustRightInd/>
        <w:snapToGrid/>
        <w:ind w:firstLine="480"/>
        <w:rPr>
          <w:color w:val="auto"/>
          <w:szCs w:val="22"/>
          <w:lang w:val="zh-CN"/>
        </w:rPr>
      </w:pPr>
      <w:r>
        <w:rPr>
          <w:color w:val="auto"/>
          <w:szCs w:val="22"/>
          <w:lang w:val="zh-CN"/>
        </w:rPr>
        <w:t>(2)后期雨水收集与管理</w:t>
      </w:r>
    </w:p>
    <w:p w14:paraId="5EBE7CF7">
      <w:pPr>
        <w:adjustRightInd/>
        <w:snapToGrid/>
        <w:ind w:firstLine="480"/>
        <w:rPr>
          <w:color w:val="auto"/>
          <w:szCs w:val="22"/>
          <w:lang w:val="zh-CN"/>
        </w:rPr>
      </w:pPr>
      <w:r>
        <w:rPr>
          <w:color w:val="auto"/>
          <w:szCs w:val="22"/>
          <w:lang w:val="zh-CN"/>
        </w:rPr>
        <w:t>初期雨水收集到位后，应做好后期雨水的收集、监控和排放。后期雨水可直接排放或纳管市政雨水管网。雨水排放口水质应保持稳定、清洁。严禁将后期雨水排入污水收集处理设施。</w:t>
      </w:r>
    </w:p>
    <w:p w14:paraId="4CCCF5B5">
      <w:pPr>
        <w:adjustRightInd/>
        <w:snapToGrid/>
        <w:ind w:firstLine="480"/>
        <w:rPr>
          <w:color w:val="auto"/>
          <w:szCs w:val="22"/>
          <w:lang w:val="zh-CN"/>
        </w:rPr>
      </w:pPr>
      <w:r>
        <w:rPr>
          <w:rFonts w:hint="eastAsia"/>
          <w:color w:val="auto"/>
          <w:szCs w:val="22"/>
          <w:lang w:val="zh-CN"/>
        </w:rPr>
        <w:t>拟建</w:t>
      </w:r>
      <w:r>
        <w:rPr>
          <w:color w:val="auto"/>
          <w:szCs w:val="22"/>
          <w:lang w:val="zh-CN"/>
        </w:rPr>
        <w:t>设置1个雨水排放口，雨水排放口前设置明渠或取样监测观察井。雨水排放口设立标志牌，标志牌安放位置醒目，保持清洁，不得污损、破坏。雨水排放口按相关规定和管理要求安装视频监控设备或水质在线监控设备，并与生态环境部门联网。同时为有效防范后期雨水异常排放，必要时在雨水排放口前应安装自动紧急切断装置，并与水质在线监控设备连锁。</w:t>
      </w:r>
    </w:p>
    <w:p w14:paraId="6DFB02C2">
      <w:pPr>
        <w:adjustRightInd/>
        <w:snapToGrid/>
        <w:ind w:firstLine="480"/>
        <w:rPr>
          <w:color w:val="auto"/>
          <w:szCs w:val="22"/>
          <w:lang w:val="zh-CN"/>
        </w:rPr>
      </w:pPr>
      <w:r>
        <w:rPr>
          <w:color w:val="auto"/>
          <w:szCs w:val="22"/>
          <w:lang w:val="zh-CN"/>
        </w:rPr>
        <w:t>(3)维护管理</w:t>
      </w:r>
    </w:p>
    <w:p w14:paraId="51A5BCCB">
      <w:pPr>
        <w:adjustRightInd/>
        <w:snapToGrid/>
        <w:ind w:firstLine="480"/>
        <w:rPr>
          <w:color w:val="auto"/>
          <w:szCs w:val="22"/>
          <w:lang w:val="zh-CN"/>
        </w:rPr>
      </w:pPr>
      <w:r>
        <w:rPr>
          <w:color w:val="auto"/>
          <w:szCs w:val="22"/>
          <w:lang w:val="zh-CN"/>
        </w:rPr>
        <w:t>雨水排口纳入环评及排污许可管理。在排污许可证上载明雨水排放口数量和位置、排放方式、监测计划等信息。定期开展雨水收集系统日常检查与维护，及时清理淤泥和杂物，确保设施无堵塞、无渗漏、无破损，确保不发生污水与雨水管网错接、混接、乱接等现象，严禁将生活垃圾、固体废物、高浓度废液等暂存、蓄积或倾倒在雨水沟渠。</w:t>
      </w:r>
    </w:p>
    <w:p w14:paraId="5E489C60">
      <w:pPr>
        <w:adjustRightInd/>
        <w:snapToGrid/>
        <w:ind w:firstLine="480"/>
        <w:rPr>
          <w:color w:val="auto"/>
          <w:szCs w:val="22"/>
          <w:lang w:val="zh-CN"/>
        </w:rPr>
      </w:pPr>
      <w:r>
        <w:rPr>
          <w:color w:val="auto"/>
          <w:szCs w:val="22"/>
          <w:lang w:val="zh-CN"/>
        </w:rPr>
        <w:t>加强视频监控设备或水质在线监控设备的运维和联网管理，记录并妥善保存雨水监测、设施运营等台账资料，接受相关管理部门监督检查和非现场执法监管。</w:t>
      </w:r>
    </w:p>
    <w:p w14:paraId="22A3E68B">
      <w:pPr>
        <w:adjustRightInd/>
        <w:snapToGrid/>
        <w:ind w:firstLine="480"/>
        <w:rPr>
          <w:color w:val="auto"/>
          <w:szCs w:val="22"/>
          <w:lang w:val="zh-CN"/>
        </w:rPr>
      </w:pPr>
      <w:r>
        <w:rPr>
          <w:color w:val="auto"/>
          <w:szCs w:val="22"/>
          <w:lang w:val="zh-CN"/>
        </w:rPr>
        <w:t>雨水排水管网图纳入企业环境信息公开管理内容，主动接受社会公众监督。建立明确的雨水排放口管理制度和操作规程，并张贴上墙，开展日常操作演练，避免人为误操作等引发环境污染事故。</w:t>
      </w:r>
    </w:p>
    <w:bookmarkEnd w:id="321"/>
    <w:p w14:paraId="04D029E8">
      <w:pPr>
        <w:pStyle w:val="5"/>
        <w:spacing w:before="192"/>
        <w:rPr>
          <w:color w:val="auto"/>
        </w:rPr>
      </w:pPr>
      <w:r>
        <w:rPr>
          <w:color w:val="auto"/>
        </w:rPr>
        <w:t>7.6.1.4地下水、土壤环境风险防范</w:t>
      </w:r>
    </w:p>
    <w:p w14:paraId="40E460BA">
      <w:pPr>
        <w:adjustRightInd/>
        <w:snapToGrid/>
        <w:ind w:firstLine="480"/>
        <w:rPr>
          <w:color w:val="auto"/>
          <w:szCs w:val="22"/>
          <w:lang w:val="zh-CN"/>
        </w:rPr>
      </w:pPr>
      <w:r>
        <w:rPr>
          <w:color w:val="auto"/>
          <w:szCs w:val="22"/>
          <w:lang w:val="zh-CN"/>
        </w:rPr>
        <w:t>(1)加强源头控制，做好分区防渗。厂区各类废物做到循环利用的具体方案，减少污染排放量；工艺、管道设备、储罐、污水储存及处理构筑物采取有效的污染控制措施，将污染物跑冒滴漏降到最低限。</w:t>
      </w:r>
    </w:p>
    <w:p w14:paraId="145FA94C">
      <w:pPr>
        <w:adjustRightInd/>
        <w:snapToGrid/>
        <w:ind w:firstLine="480"/>
        <w:rPr>
          <w:color w:val="auto"/>
          <w:szCs w:val="22"/>
          <w:lang w:val="zh-CN"/>
        </w:rPr>
      </w:pPr>
      <w:r>
        <w:rPr>
          <w:color w:val="auto"/>
          <w:szCs w:val="22"/>
          <w:lang w:val="zh-CN"/>
        </w:rPr>
        <w:t>按照《环境影响评价技术导则 地下水环境》(HJ610-2016)的要求做好分区防控，一般情况下应以水平防渗为主，对难以采取水平防渗的场地，可采用垂直防渗为主，局部水平防渗为辅的防控措施。</w:t>
      </w:r>
    </w:p>
    <w:p w14:paraId="34EE8766">
      <w:pPr>
        <w:adjustRightInd/>
        <w:snapToGrid/>
        <w:ind w:firstLine="480"/>
        <w:rPr>
          <w:color w:val="auto"/>
          <w:szCs w:val="22"/>
          <w:lang w:val="zh-CN"/>
        </w:rPr>
      </w:pPr>
      <w:r>
        <w:rPr>
          <w:color w:val="auto"/>
          <w:szCs w:val="22"/>
          <w:lang w:val="zh-CN"/>
        </w:rPr>
        <w:t>(2)加强地下水、土壤环境的监控、预警。建立地下水、土壤环境影响跟踪监测制度、配备先进的监测仪器和设备，以便及时发现问题，采取措施。根据《环境影响评价技术导则 土壤环境(试行)》(HJ964-2018)、《环境影响评价技术导则 地下水环境》(HJ610-2016)及其他相关规范要求要求，对地下水、土壤环境进行跟踪监测。</w:t>
      </w:r>
    </w:p>
    <w:p w14:paraId="3DCD3623">
      <w:pPr>
        <w:adjustRightInd/>
        <w:snapToGrid/>
        <w:ind w:firstLine="480"/>
        <w:rPr>
          <w:color w:val="auto"/>
          <w:szCs w:val="22"/>
          <w:lang w:val="zh-CN"/>
        </w:rPr>
      </w:pPr>
      <w:r>
        <w:rPr>
          <w:color w:val="auto"/>
          <w:szCs w:val="22"/>
          <w:lang w:val="zh-CN"/>
        </w:rPr>
        <w:t>(3)加强环境管理。加强厂区巡检，对跑冒滴漏做到及时发现、及时控制；做好厂区危废库、装置区等地面防渗的管理，防渗层破裂后及时补救、更换。</w:t>
      </w:r>
    </w:p>
    <w:p w14:paraId="04A2ADA4">
      <w:pPr>
        <w:adjustRightInd/>
        <w:snapToGrid/>
        <w:ind w:firstLine="480"/>
        <w:rPr>
          <w:color w:val="auto"/>
          <w:szCs w:val="22"/>
          <w:lang w:val="zh-CN"/>
        </w:rPr>
      </w:pPr>
      <w:r>
        <w:rPr>
          <w:color w:val="auto"/>
          <w:szCs w:val="22"/>
          <w:lang w:val="zh-CN"/>
        </w:rPr>
        <w:t>(4)制定事故应急减缓措施，首先控制污染源、切断污染途径，其次，对受污染的地下水根据污染物种类、受污染场地地质构造等因素，采取抽提技术、气提技术、空气吹脱技术、生物修复技术、渗透反应墙技术、原位化学修复等进行修复。</w:t>
      </w:r>
    </w:p>
    <w:p w14:paraId="6FEC26A5">
      <w:pPr>
        <w:pStyle w:val="5"/>
        <w:spacing w:before="192"/>
        <w:rPr>
          <w:color w:val="auto"/>
        </w:rPr>
      </w:pPr>
      <w:bookmarkStart w:id="322" w:name="_Hlk182409484"/>
      <w:r>
        <w:rPr>
          <w:color w:val="auto"/>
        </w:rPr>
        <w:t>7.6.1.5风险监控预警和预防措施</w:t>
      </w:r>
    </w:p>
    <w:p w14:paraId="51937F60">
      <w:pPr>
        <w:adjustRightInd/>
        <w:snapToGrid/>
        <w:ind w:firstLine="480"/>
        <w:rPr>
          <w:color w:val="auto"/>
          <w:szCs w:val="22"/>
          <w:lang w:val="zh-CN"/>
        </w:rPr>
      </w:pPr>
      <w:r>
        <w:rPr>
          <w:color w:val="auto"/>
          <w:szCs w:val="22"/>
          <w:lang w:val="zh-CN"/>
        </w:rPr>
        <w:t>(1)风险监控</w:t>
      </w:r>
    </w:p>
    <w:p w14:paraId="228A7465">
      <w:pPr>
        <w:adjustRightInd/>
        <w:snapToGrid/>
        <w:ind w:firstLine="480"/>
        <w:rPr>
          <w:color w:val="auto"/>
          <w:szCs w:val="22"/>
          <w:lang w:val="zh-CN"/>
        </w:rPr>
      </w:pPr>
      <w:r>
        <w:rPr>
          <w:color w:val="auto"/>
          <w:szCs w:val="22"/>
          <w:lang w:val="zh-CN"/>
        </w:rPr>
        <w:t>①设置可燃气体报警系统，在可能出现可燃/有毒气体的场所设置带声光报警器的可燃/有毒气体检测器，并在控制室设置独立的控制系统对其进行监控和报警；</w:t>
      </w:r>
    </w:p>
    <w:p w14:paraId="34A01D76">
      <w:pPr>
        <w:adjustRightInd/>
        <w:snapToGrid/>
        <w:ind w:firstLine="480"/>
        <w:rPr>
          <w:color w:val="auto"/>
          <w:szCs w:val="22"/>
          <w:lang w:val="zh-CN"/>
        </w:rPr>
      </w:pPr>
      <w:r>
        <w:rPr>
          <w:color w:val="auto"/>
          <w:szCs w:val="22"/>
          <w:lang w:val="zh-CN"/>
        </w:rPr>
        <w:t>②为保证生产和正常操作的原则，根据工艺过程的要求，对部分重要的工艺参数设置信号报警及安全联锁系统。安全联锁逻辑功能与基本过程控制功能互相独立，并在DCS 上报警显示；</w:t>
      </w:r>
    </w:p>
    <w:p w14:paraId="7D96F861">
      <w:pPr>
        <w:adjustRightInd/>
        <w:snapToGrid/>
        <w:ind w:firstLine="480"/>
        <w:rPr>
          <w:color w:val="auto"/>
          <w:szCs w:val="22"/>
          <w:lang w:val="zh-CN"/>
        </w:rPr>
      </w:pPr>
      <w:r>
        <w:rPr>
          <w:color w:val="auto"/>
          <w:szCs w:val="22"/>
          <w:lang w:val="zh-CN"/>
        </w:rPr>
        <w:t>③地下水设置监测井进行跟踪监测；</w:t>
      </w:r>
    </w:p>
    <w:p w14:paraId="23C38A24">
      <w:pPr>
        <w:adjustRightInd/>
        <w:snapToGrid/>
        <w:ind w:firstLine="480"/>
        <w:rPr>
          <w:color w:val="auto"/>
          <w:szCs w:val="22"/>
          <w:lang w:val="zh-CN"/>
        </w:rPr>
      </w:pPr>
      <w:r>
        <w:rPr>
          <w:color w:val="auto"/>
          <w:szCs w:val="22"/>
          <w:lang w:val="zh-CN"/>
        </w:rPr>
        <w:t>④全厂配备视频监控等；</w:t>
      </w:r>
    </w:p>
    <w:p w14:paraId="1F9745F2">
      <w:pPr>
        <w:adjustRightInd/>
        <w:snapToGrid/>
        <w:ind w:firstLine="480"/>
        <w:rPr>
          <w:color w:val="auto"/>
          <w:szCs w:val="22"/>
          <w:lang w:val="zh-CN"/>
        </w:rPr>
      </w:pPr>
      <w:r>
        <w:rPr>
          <w:color w:val="auto"/>
          <w:szCs w:val="22"/>
          <w:lang w:val="zh-CN"/>
        </w:rPr>
        <w:t>⑤对设备、仪表进行定期检查、保养和维修，确保设备处于完好状态；加强特种设备的管理，严格按规程操作，设备装置的安全附件要完好、有效，如液压计、压力表、泄压装置、报警装置等。</w:t>
      </w:r>
    </w:p>
    <w:p w14:paraId="0963179B">
      <w:pPr>
        <w:adjustRightInd/>
        <w:snapToGrid/>
        <w:ind w:firstLine="480"/>
        <w:rPr>
          <w:color w:val="auto"/>
          <w:szCs w:val="22"/>
          <w:lang w:val="zh-CN"/>
        </w:rPr>
      </w:pPr>
      <w:r>
        <w:rPr>
          <w:color w:val="auto"/>
          <w:szCs w:val="22"/>
          <w:lang w:val="zh-CN"/>
        </w:rPr>
        <w:t>⑥厂区内动火、登高、吊装、设备检修、动土等作业必须符合规范要求。严格执行动火审批制度，生产区任何动火必须按动火审批程序进行。动火前应对该设备清除、置换，确保该设备处无火灾、爆炸可能，以及测定毒物浓度和含氧量，在确保合格、无中毒窒息可能后，方能动火；动火时要有人监护，并准备适用消防器材。</w:t>
      </w:r>
    </w:p>
    <w:p w14:paraId="398D3BBF">
      <w:pPr>
        <w:adjustRightInd/>
        <w:snapToGrid/>
        <w:ind w:firstLine="480"/>
        <w:rPr>
          <w:color w:val="auto"/>
          <w:szCs w:val="22"/>
          <w:lang w:val="zh-CN"/>
        </w:rPr>
      </w:pPr>
      <w:r>
        <w:rPr>
          <w:color w:val="auto"/>
          <w:szCs w:val="22"/>
          <w:lang w:val="zh-CN"/>
        </w:rPr>
        <w:t>⑦制定科学合理的具有针对性和可操作性事故应急预案和环境应急预案，将操作人员岗位操作技能培训考核、非正常工况处置程序、应急预案演练的管理工作等实现制度化、规范化。</w:t>
      </w:r>
    </w:p>
    <w:p w14:paraId="7A39EF31">
      <w:pPr>
        <w:adjustRightInd/>
        <w:snapToGrid/>
        <w:ind w:firstLine="480"/>
        <w:rPr>
          <w:color w:val="auto"/>
          <w:szCs w:val="22"/>
          <w:lang w:val="zh-CN"/>
        </w:rPr>
      </w:pPr>
      <w:r>
        <w:rPr>
          <w:color w:val="auto"/>
          <w:szCs w:val="22"/>
          <w:lang w:val="zh-CN"/>
        </w:rPr>
        <w:t>(2)应急监测系统</w:t>
      </w:r>
    </w:p>
    <w:p w14:paraId="1B9A1EB8">
      <w:pPr>
        <w:adjustRightInd/>
        <w:snapToGrid/>
        <w:ind w:firstLine="480"/>
        <w:rPr>
          <w:color w:val="auto"/>
          <w:szCs w:val="22"/>
          <w:lang w:val="zh-CN"/>
        </w:rPr>
      </w:pPr>
      <w:r>
        <w:rPr>
          <w:color w:val="auto"/>
          <w:szCs w:val="22"/>
          <w:lang w:val="zh-CN"/>
        </w:rPr>
        <w:t>配备COD测定仪、pH计、可燃气体检测仪等应急监测仪器，其他监测均委托专业监测机构，当监测能力均无法满足监测需求时应当及时向专业监测机构寻求帮助，做到对污染物的快速应急监测、跟踪。</w:t>
      </w:r>
    </w:p>
    <w:p w14:paraId="02992C53">
      <w:pPr>
        <w:adjustRightInd/>
        <w:snapToGrid/>
        <w:ind w:firstLine="480"/>
        <w:rPr>
          <w:color w:val="auto"/>
          <w:szCs w:val="22"/>
          <w:lang w:val="zh-CN"/>
        </w:rPr>
      </w:pPr>
      <w:r>
        <w:rPr>
          <w:color w:val="auto"/>
          <w:szCs w:val="22"/>
          <w:lang w:val="zh-CN"/>
        </w:rPr>
        <w:t>应急监测人员做好安全防护措施，应该配备必要的防护器材，如防毒面具、空气呼吸器、阻燃防护服、气密型化学防护服、安全帽、耐酸碱鞋靴、防护手套、防腐蚀液护目镜以及应急灯等。</w:t>
      </w:r>
    </w:p>
    <w:p w14:paraId="49461776">
      <w:pPr>
        <w:adjustRightInd/>
        <w:snapToGrid/>
        <w:ind w:firstLine="480"/>
        <w:rPr>
          <w:color w:val="auto"/>
          <w:szCs w:val="22"/>
          <w:lang w:val="zh-CN"/>
        </w:rPr>
      </w:pPr>
      <w:r>
        <w:rPr>
          <w:color w:val="auto"/>
          <w:szCs w:val="22"/>
          <w:lang w:val="zh-CN"/>
        </w:rPr>
        <w:t>(3)应急物资和人员要求</w:t>
      </w:r>
    </w:p>
    <w:p w14:paraId="20FEE343">
      <w:pPr>
        <w:adjustRightInd/>
        <w:snapToGrid/>
        <w:ind w:firstLine="480"/>
        <w:rPr>
          <w:color w:val="auto"/>
          <w:szCs w:val="22"/>
          <w:lang w:val="zh-CN"/>
        </w:rPr>
      </w:pPr>
      <w:r>
        <w:rPr>
          <w:color w:val="auto"/>
          <w:szCs w:val="22"/>
          <w:lang w:val="zh-CN"/>
        </w:rPr>
        <w:t>根据事故应急抢险救援需要，配备消防、堵漏、通讯、交通、工具、应急照明、防护、急救等各类所需应急抢险装备器材。建立厂区环境污染事故应急物资装备的储存、调拨和紧急配送系统，确保应急物资、设备性能完好，随时备用。应急结束后，加强对应急物资、设备的维护、保养以及补充。加强对储备物资的管理，防止储备物资被盗用、挪用、流散和失效。</w:t>
      </w:r>
    </w:p>
    <w:p w14:paraId="6D614034">
      <w:pPr>
        <w:adjustRightInd/>
        <w:snapToGrid/>
        <w:ind w:firstLine="480"/>
        <w:rPr>
          <w:color w:val="auto"/>
          <w:szCs w:val="22"/>
          <w:lang w:val="zh-CN"/>
        </w:rPr>
      </w:pPr>
      <w:r>
        <w:rPr>
          <w:color w:val="auto"/>
          <w:szCs w:val="22"/>
          <w:lang w:val="zh-CN"/>
        </w:rPr>
        <w:t>应配备完善的厂区应急队伍，做好人员分工和应急救援知识的培训，演练。与周边企业建立了良好的应急互助关系，在较大事故发生后，相互支援。厂区需要外部援助时可第一时间向启东市生态环境、应急管理、消防、公安等部门求助，必要时可以联系南通市生态环境、消防、医院、公安、交通、应急管理以及各相关职能部门，请求救援力量、设备的支持。</w:t>
      </w:r>
    </w:p>
    <w:p w14:paraId="30FDBA20">
      <w:pPr>
        <w:pStyle w:val="5"/>
        <w:spacing w:before="192"/>
        <w:rPr>
          <w:color w:val="auto"/>
        </w:rPr>
      </w:pPr>
      <w:r>
        <w:rPr>
          <w:rFonts w:hint="eastAsia"/>
          <w:color w:val="auto"/>
        </w:rPr>
        <w:t>7.6.1.6氨水储罐事故防范措施</w:t>
      </w:r>
    </w:p>
    <w:p w14:paraId="7F617B32">
      <w:pPr>
        <w:ind w:firstLine="480"/>
        <w:rPr>
          <w:color w:val="auto"/>
        </w:rPr>
      </w:pPr>
      <w:r>
        <w:rPr>
          <w:rFonts w:hint="eastAsia"/>
          <w:color w:val="auto"/>
        </w:rPr>
        <w:t>（1）</w:t>
      </w:r>
      <w:r>
        <w:rPr>
          <w:color w:val="auto"/>
        </w:rPr>
        <w:t>氨水储罐罐体做好防腐防渗处理，严格管控储罐进料充装量，严禁超液位过量充装；严控储罐罐区环境热源，避免储罐受暴晒、高温烘烤造成罐内氨水受热挥发加剧、罐内压力异常升高；减少外界空气窜入储罐内部，储罐依托厂区循环水降温实现常温储存，控制罐体运行温度，从源头削减大小呼吸废气无组织挥发与罐体超压泄漏风险。</w:t>
      </w:r>
    </w:p>
    <w:p w14:paraId="3B367A5D">
      <w:pPr>
        <w:ind w:firstLine="480"/>
        <w:rPr>
          <w:color w:val="auto"/>
        </w:rPr>
      </w:pPr>
      <w:r>
        <w:rPr>
          <w:rFonts w:hint="eastAsia"/>
          <w:color w:val="auto"/>
        </w:rPr>
        <w:t>（</w:t>
      </w:r>
      <w:r>
        <w:rPr>
          <w:color w:val="auto"/>
        </w:rPr>
        <w:t>2</w:t>
      </w:r>
      <w:r>
        <w:rPr>
          <w:rFonts w:hint="eastAsia"/>
          <w:color w:val="auto"/>
        </w:rPr>
        <w:t>）</w:t>
      </w:r>
      <w:r>
        <w:rPr>
          <w:color w:val="auto"/>
        </w:rPr>
        <w:t>氨水储罐区设置防渗安全围堰，围堰配套防渗收集地沟与应急收集池；储罐区接入厂区DCS中控系统，配套氨气在线泄漏监测系统（夜视监控摄像头、氨气体检测报警仪），实现储罐液位、气相浓度、罐区环境实时动态监控。</w:t>
      </w:r>
    </w:p>
    <w:p w14:paraId="0DC74F87">
      <w:pPr>
        <w:ind w:firstLine="480"/>
        <w:rPr>
          <w:color w:val="auto"/>
        </w:rPr>
      </w:pPr>
      <w:r>
        <w:rPr>
          <w:rFonts w:hint="eastAsia"/>
          <w:color w:val="auto"/>
        </w:rPr>
        <w:t>（3）</w:t>
      </w:r>
      <w:r>
        <w:rPr>
          <w:color w:val="auto"/>
        </w:rPr>
        <w:t>氨水储罐区配齐消防栓、干粉灭火器、防爆照明等消防安防设施，定期校验氨气可燃</w:t>
      </w:r>
      <w:r>
        <w:rPr>
          <w:rFonts w:hint="eastAsia"/>
          <w:color w:val="auto"/>
        </w:rPr>
        <w:t>和</w:t>
      </w:r>
      <w:r>
        <w:rPr>
          <w:color w:val="auto"/>
        </w:rPr>
        <w:t>有毒气体报警装置；罐区定点储存防化服、正压式空气呼吸器、防毒过滤面罩、稀酸中和吸收药剂等应急物资，满足泄漏应急处置需求。</w:t>
      </w:r>
    </w:p>
    <w:p w14:paraId="1BC5EDE3">
      <w:pPr>
        <w:ind w:firstLine="480"/>
        <w:rPr>
          <w:color w:val="auto"/>
        </w:rPr>
      </w:pPr>
      <w:r>
        <w:rPr>
          <w:rFonts w:hint="eastAsia"/>
          <w:color w:val="auto"/>
        </w:rPr>
        <w:t>（4）</w:t>
      </w:r>
      <w:r>
        <w:rPr>
          <w:color w:val="auto"/>
        </w:rPr>
        <w:t>编制氨水储罐进料、出料、日常巡检专项操作规程与储罐安全管理制度，落实设备日常维保、仪表定期校验制度，确保储罐呼吸阀、安全阀、液位联锁部件灵敏完好；储罐作业人员经安全、应急实操培训考核合格后方可上岗作业。</w:t>
      </w:r>
    </w:p>
    <w:p w14:paraId="1B0D45DF">
      <w:pPr>
        <w:ind w:firstLine="480"/>
        <w:rPr>
          <w:color w:val="auto"/>
        </w:rPr>
      </w:pPr>
      <w:r>
        <w:rPr>
          <w:rFonts w:hint="eastAsia"/>
          <w:color w:val="auto"/>
        </w:rPr>
        <w:t>（5）</w:t>
      </w:r>
      <w:r>
        <w:rPr>
          <w:color w:val="auto"/>
        </w:rPr>
        <w:t>严控罐区内火源、热源隐患，定期巡检罐区电气线路与照明设备，规避摩擦、撞击、静电火花诱发安全风险；储罐检修作业选用铜制扳手等防爆工具，严格执行动火审批制度，落实动火隔离、现场监护措施。</w:t>
      </w:r>
    </w:p>
    <w:p w14:paraId="43C74C89">
      <w:pPr>
        <w:ind w:firstLine="480"/>
        <w:rPr>
          <w:color w:val="auto"/>
        </w:rPr>
      </w:pPr>
      <w:r>
        <w:rPr>
          <w:rFonts w:hint="eastAsia"/>
          <w:color w:val="auto"/>
        </w:rPr>
        <w:t>（6）</w:t>
      </w:r>
      <w:r>
        <w:rPr>
          <w:color w:val="auto"/>
        </w:rPr>
        <w:t>定期校验储罐液位远传、高高液位报警、超压联锁放空等仪表控制系统，确保液位超标、罐内超压时可联锁启停进料管线、自动导通呼吸废气收集管路，异常工况废气即时导入罐顶喷淋吸收装置，防范超压泄氨事故。</w:t>
      </w:r>
    </w:p>
    <w:p w14:paraId="46E8F3F1">
      <w:pPr>
        <w:pStyle w:val="5"/>
        <w:spacing w:before="192"/>
        <w:rPr>
          <w:color w:val="auto"/>
        </w:rPr>
      </w:pPr>
      <w:bookmarkStart w:id="323" w:name="_Hlk154829001"/>
      <w:r>
        <w:rPr>
          <w:color w:val="auto"/>
        </w:rPr>
        <w:t>7.6.1.</w:t>
      </w:r>
      <w:r>
        <w:rPr>
          <w:rFonts w:hint="eastAsia"/>
          <w:color w:val="auto"/>
        </w:rPr>
        <w:t>7</w:t>
      </w:r>
      <w:r>
        <w:rPr>
          <w:color w:val="auto"/>
        </w:rPr>
        <w:t>危险化学品运输、储存等环境风险防范措施</w:t>
      </w:r>
    </w:p>
    <w:p w14:paraId="71E33180">
      <w:pPr>
        <w:adjustRightInd/>
        <w:snapToGrid/>
        <w:ind w:firstLine="480"/>
        <w:rPr>
          <w:color w:val="auto"/>
          <w:szCs w:val="22"/>
          <w:lang w:val="zh-CN"/>
        </w:rPr>
      </w:pPr>
      <w:r>
        <w:rPr>
          <w:color w:val="auto"/>
          <w:szCs w:val="22"/>
          <w:lang w:val="zh-CN"/>
        </w:rPr>
        <w:t>根据《危险化学品安全管理条例》(中华人民共和国国务院令第591号)规定：危险化学品安全管理，应当坚持安全第一、预防为主、综合治理的方针，强化和落实企业的主体责任。在使用、贮存安全、运输等过程所采取的措施如下：</w:t>
      </w:r>
    </w:p>
    <w:p w14:paraId="33EEEA3F">
      <w:pPr>
        <w:adjustRightInd/>
        <w:snapToGrid/>
        <w:ind w:firstLine="480"/>
        <w:rPr>
          <w:color w:val="auto"/>
          <w:szCs w:val="22"/>
          <w:lang w:val="zh-CN"/>
        </w:rPr>
      </w:pPr>
      <w:r>
        <w:rPr>
          <w:color w:val="auto"/>
          <w:szCs w:val="22"/>
          <w:lang w:val="zh-CN"/>
        </w:rPr>
        <w:t>(1)贮存</w:t>
      </w:r>
    </w:p>
    <w:p w14:paraId="6F9D3858">
      <w:pPr>
        <w:adjustRightInd/>
        <w:snapToGrid/>
        <w:ind w:firstLine="480"/>
        <w:rPr>
          <w:color w:val="auto"/>
          <w:szCs w:val="22"/>
          <w:lang w:val="zh-CN"/>
        </w:rPr>
      </w:pPr>
      <w:r>
        <w:rPr>
          <w:color w:val="auto"/>
          <w:szCs w:val="22"/>
          <w:lang w:val="zh-CN"/>
        </w:rPr>
        <w:t>严格按《危险化学品安全管理条例》的要求，加强对液硫、</w:t>
      </w:r>
      <w:r>
        <w:rPr>
          <w:rFonts w:hint="eastAsia"/>
          <w:color w:val="auto"/>
          <w:szCs w:val="22"/>
        </w:rPr>
        <w:t>氢氧化钾、氢氧化钠</w:t>
      </w:r>
      <w:r>
        <w:rPr>
          <w:color w:val="auto"/>
          <w:szCs w:val="22"/>
          <w:lang w:val="zh-CN"/>
        </w:rPr>
        <w:t>等化学品的管理；危化品贮存区域由专人负责管理。制定危险化学品安全操作规程，要求操作人员严格按操作规程作业；对从事危险化学作业人员定期进行安全培训教育；经常性对危险化学品作业场所进行安全检查。</w:t>
      </w:r>
    </w:p>
    <w:p w14:paraId="7D87706A">
      <w:pPr>
        <w:adjustRightInd/>
        <w:snapToGrid/>
        <w:ind w:firstLine="480"/>
        <w:rPr>
          <w:color w:val="auto"/>
          <w:szCs w:val="22"/>
          <w:lang w:val="zh-CN"/>
        </w:rPr>
      </w:pPr>
      <w:r>
        <w:rPr>
          <w:color w:val="auto"/>
          <w:szCs w:val="22"/>
          <w:lang w:val="zh-CN"/>
        </w:rPr>
        <w:t>建立健全安全规程及值勤制度，设置通讯、报警装置，确保其处于完好状态；对使用危险化学品的名称、数量进行严格登记；凡使用危险化学品的岗位，都应配置合格的消防及防护器材，并确保其处于完好状态；所有使用危险化学品的人员，都必须严格遵守《危险化学品管理制度》。</w:t>
      </w:r>
    </w:p>
    <w:p w14:paraId="4FF09ACD">
      <w:pPr>
        <w:adjustRightInd/>
        <w:snapToGrid/>
        <w:ind w:firstLine="480"/>
        <w:rPr>
          <w:color w:val="auto"/>
          <w:szCs w:val="22"/>
          <w:lang w:val="zh-CN"/>
        </w:rPr>
      </w:pPr>
      <w:r>
        <w:rPr>
          <w:color w:val="auto"/>
          <w:szCs w:val="22"/>
          <w:lang w:val="zh-CN"/>
        </w:rPr>
        <w:t>(2)运输</w:t>
      </w:r>
    </w:p>
    <w:p w14:paraId="5C6F93E5">
      <w:pPr>
        <w:adjustRightInd/>
        <w:snapToGrid/>
        <w:ind w:firstLine="480"/>
        <w:rPr>
          <w:color w:val="auto"/>
          <w:szCs w:val="22"/>
          <w:lang w:val="zh-CN"/>
        </w:rPr>
      </w:pPr>
      <w:r>
        <w:rPr>
          <w:color w:val="auto"/>
          <w:szCs w:val="22"/>
          <w:lang w:val="zh-CN"/>
        </w:rPr>
        <w:t>按《工业企业内铁路、道路运输安全规程》及《厂内机动车辆安全管理规定》设立厂内的标志，化学品运输等车辆的装卸与行驶，驾驶员的管理必须符合规范要求，生产、储存等危险区域内要管制车辆的进入，车辆要装阻火器方准进入。</w:t>
      </w:r>
    </w:p>
    <w:p w14:paraId="3F89A7D6">
      <w:pPr>
        <w:adjustRightInd/>
        <w:snapToGrid/>
        <w:ind w:firstLine="480"/>
        <w:rPr>
          <w:color w:val="auto"/>
          <w:szCs w:val="22"/>
          <w:lang w:val="zh-CN"/>
        </w:rPr>
      </w:pPr>
      <w:r>
        <w:rPr>
          <w:color w:val="auto"/>
          <w:szCs w:val="22"/>
          <w:lang w:val="zh-CN"/>
        </w:rPr>
        <w:t>采购危险化学品时，应到已获得危险化学品经营许可证的企业进行采购，并要求供应商提供技术说明书及相关技术资料；采购人员必须进行专业培训并取证；危险化学品的包装物、容器必须有专业检测机构检验合格才能使用；从事危险化学品运输、押运人员，应经有关培训并取证后才能从事危险化学品运输、押运工作；运输危险化学品的车应悬挂危险化学品标志不得在人口稠密地停留；危险化学品的运输、押运人员，应配置合格的防护器材，按当地交通、安全部门规定的道路运输，控制运输速度；操作人员在搬运或灌装各种原料时应穿戴防护用品，注意个人防护，按操作规程装卸，防止意外破损导致抛洒和泄漏。</w:t>
      </w:r>
    </w:p>
    <w:bookmarkEnd w:id="322"/>
    <w:p w14:paraId="1EF888F2">
      <w:pPr>
        <w:pStyle w:val="5"/>
        <w:spacing w:before="192"/>
        <w:rPr>
          <w:color w:val="auto"/>
        </w:rPr>
      </w:pPr>
      <w:r>
        <w:rPr>
          <w:color w:val="auto"/>
        </w:rPr>
        <w:t>7.6.1.</w:t>
      </w:r>
      <w:r>
        <w:rPr>
          <w:rFonts w:hint="eastAsia"/>
          <w:color w:val="auto"/>
        </w:rPr>
        <w:t>8</w:t>
      </w:r>
      <w:r>
        <w:rPr>
          <w:color w:val="auto"/>
        </w:rPr>
        <w:t>危废贮存、运输过程风险防范措施</w:t>
      </w:r>
    </w:p>
    <w:bookmarkEnd w:id="323"/>
    <w:p w14:paraId="3FAA7B57">
      <w:pPr>
        <w:adjustRightInd/>
        <w:snapToGrid/>
        <w:ind w:firstLine="480"/>
        <w:rPr>
          <w:color w:val="auto"/>
          <w:szCs w:val="22"/>
          <w:lang w:val="zh-CN"/>
        </w:rPr>
      </w:pPr>
      <w:r>
        <w:rPr>
          <w:color w:val="auto"/>
          <w:szCs w:val="22"/>
          <w:lang w:val="zh-CN"/>
        </w:rPr>
        <w:t>(1)厂区内危险废物暂存场必须严格按照《危险废物贮存污染控制标准》(GB18597-2023)、《江苏省固体废物全过程环境监管工作意见》(苏环办[2024]16号)的要求设置和管理；</w:t>
      </w:r>
    </w:p>
    <w:p w14:paraId="0A4A80C4">
      <w:pPr>
        <w:adjustRightInd/>
        <w:snapToGrid/>
        <w:ind w:firstLine="480"/>
        <w:rPr>
          <w:color w:val="auto"/>
          <w:szCs w:val="22"/>
          <w:lang w:val="zh-CN"/>
        </w:rPr>
      </w:pPr>
      <w:r>
        <w:rPr>
          <w:color w:val="auto"/>
          <w:szCs w:val="22"/>
          <w:lang w:val="zh-CN"/>
        </w:rPr>
        <w:t>(2)建立危险废物台账管理制度，跟踪记录危险废物在公司内部运转的整个流程，与生产记录相结合，建立危险废物台账；</w:t>
      </w:r>
    </w:p>
    <w:p w14:paraId="673A8F9B">
      <w:pPr>
        <w:adjustRightInd/>
        <w:snapToGrid/>
        <w:ind w:firstLine="480"/>
        <w:rPr>
          <w:color w:val="auto"/>
          <w:szCs w:val="22"/>
          <w:lang w:val="zh-CN"/>
        </w:rPr>
      </w:pPr>
      <w:r>
        <w:rPr>
          <w:color w:val="auto"/>
          <w:szCs w:val="22"/>
          <w:lang w:val="zh-CN"/>
        </w:rPr>
        <w:t>(3)对危险废物的容器和包装物以及收集、贮存、运输、处置危险废物的设施、场所，必须设置危险废物识别标志；</w:t>
      </w:r>
    </w:p>
    <w:p w14:paraId="4CA4142F">
      <w:pPr>
        <w:adjustRightInd/>
        <w:snapToGrid/>
        <w:ind w:firstLine="480"/>
        <w:rPr>
          <w:color w:val="auto"/>
          <w:szCs w:val="22"/>
          <w:lang w:val="zh-CN"/>
        </w:rPr>
      </w:pPr>
      <w:r>
        <w:rPr>
          <w:color w:val="auto"/>
          <w:szCs w:val="22"/>
          <w:lang w:val="zh-CN"/>
        </w:rPr>
        <w:t>(4)禁止将性质不相容而未经安全性处置的危险废物混合收集、贮存、运输、处置，禁止将危险废物混入非危险废物中贮存、处置；</w:t>
      </w:r>
    </w:p>
    <w:p w14:paraId="4DA737F9">
      <w:pPr>
        <w:adjustRightInd/>
        <w:snapToGrid/>
        <w:ind w:firstLine="480"/>
        <w:rPr>
          <w:color w:val="auto"/>
          <w:szCs w:val="22"/>
          <w:lang w:val="zh-CN"/>
        </w:rPr>
      </w:pPr>
      <w:r>
        <w:rPr>
          <w:color w:val="auto"/>
          <w:szCs w:val="22"/>
          <w:lang w:val="zh-CN"/>
        </w:rPr>
        <w:t>(5)必须定期对所贮存的危险废物包装容器及贮存设施进行检查，发现破损，应及时采取措施清理更换；</w:t>
      </w:r>
    </w:p>
    <w:p w14:paraId="231B30B0">
      <w:pPr>
        <w:adjustRightInd/>
        <w:snapToGrid/>
        <w:ind w:firstLine="480"/>
        <w:rPr>
          <w:color w:val="auto"/>
          <w:szCs w:val="22"/>
          <w:lang w:val="zh-CN"/>
        </w:rPr>
      </w:pPr>
      <w:r>
        <w:rPr>
          <w:color w:val="auto"/>
          <w:szCs w:val="22"/>
          <w:lang w:val="zh-CN"/>
        </w:rPr>
        <w:t>(6)运输危险废物必须根据废物特性，采用符合相应标准的包装物、容器和运输工具；</w:t>
      </w:r>
    </w:p>
    <w:p w14:paraId="6527929F">
      <w:pPr>
        <w:adjustRightInd/>
        <w:snapToGrid/>
        <w:ind w:firstLine="480"/>
        <w:rPr>
          <w:color w:val="auto"/>
          <w:szCs w:val="22"/>
          <w:lang w:val="zh-CN"/>
        </w:rPr>
      </w:pPr>
      <w:r>
        <w:rPr>
          <w:color w:val="auto"/>
          <w:szCs w:val="22"/>
          <w:lang w:val="zh-CN"/>
        </w:rPr>
        <w:t>(7)尽可能减少各类危险废物在厂内的贮存周期和贮存量，降低环境风险；</w:t>
      </w:r>
    </w:p>
    <w:p w14:paraId="3A30D0ED">
      <w:pPr>
        <w:adjustRightInd/>
        <w:snapToGrid/>
        <w:ind w:firstLine="480"/>
        <w:rPr>
          <w:color w:val="auto"/>
          <w:szCs w:val="22"/>
          <w:lang w:val="zh-CN"/>
        </w:rPr>
      </w:pPr>
      <w:r>
        <w:rPr>
          <w:color w:val="auto"/>
          <w:szCs w:val="22"/>
          <w:lang w:val="zh-CN"/>
        </w:rPr>
        <w:t>(8)同时在环境管理中注意以下内容：建设单位应通过“江苏省危险废物动态管理信息系统”进行危险废物申报登记，将危险废物的实际产生、贮存、利用、处置等情况纳入生产记录，建立危险废物管理台账和企业内部产生和收集、贮存、转移等部门危险废物交接制度；企业作为固体废物污染防治的责任主体，必须建立风险管理及应急救援体系，执行环境监测计划、转移管理制度及国家和省有关转移管理的相关规定、处置过程安全操作规程、人员培训考核制度、档案管理制度、处置全过程管理制度等。</w:t>
      </w:r>
    </w:p>
    <w:p w14:paraId="7DCBF4E7">
      <w:pPr>
        <w:pStyle w:val="5"/>
        <w:spacing w:before="192"/>
        <w:rPr>
          <w:color w:val="auto"/>
        </w:rPr>
      </w:pPr>
      <w:r>
        <w:rPr>
          <w:color w:val="auto"/>
        </w:rPr>
        <w:t>7.6.1.</w:t>
      </w:r>
      <w:r>
        <w:rPr>
          <w:rFonts w:hint="eastAsia"/>
          <w:color w:val="auto"/>
        </w:rPr>
        <w:t>9</w:t>
      </w:r>
      <w:r>
        <w:rPr>
          <w:color w:val="auto"/>
        </w:rPr>
        <w:t>硫磺粉尘防爆措施</w:t>
      </w:r>
    </w:p>
    <w:p w14:paraId="147F35D6">
      <w:pPr>
        <w:adjustRightInd/>
        <w:snapToGrid/>
        <w:ind w:firstLine="480"/>
        <w:rPr>
          <w:color w:val="auto"/>
          <w:szCs w:val="22"/>
          <w:lang w:val="zh-CN"/>
        </w:rPr>
      </w:pPr>
      <w:r>
        <w:rPr>
          <w:rFonts w:hint="eastAsia"/>
          <w:color w:val="auto"/>
          <w:szCs w:val="22"/>
          <w:lang w:val="zh-CN"/>
        </w:rPr>
        <w:t>拟建</w:t>
      </w:r>
      <w:r>
        <w:rPr>
          <w:color w:val="auto"/>
          <w:szCs w:val="22"/>
          <w:lang w:val="zh-CN"/>
        </w:rPr>
        <w:t>使用的硫磺为《工贸行业重点可燃性粉尘目录(2015版)》中所列重点可燃性粉尘，对照《工贸行业可燃性粉尘作业场所工艺设施防爆技术指南(试行)》，针对</w:t>
      </w:r>
      <w:r>
        <w:rPr>
          <w:rFonts w:hint="eastAsia"/>
          <w:color w:val="auto"/>
          <w:szCs w:val="22"/>
          <w:lang w:val="zh-CN"/>
        </w:rPr>
        <w:t>拟建</w:t>
      </w:r>
      <w:r>
        <w:rPr>
          <w:color w:val="auto"/>
          <w:szCs w:val="22"/>
          <w:lang w:val="zh-CN"/>
        </w:rPr>
        <w:t>硫磺投料、储存、生产等工段，具体防爆措施如下：</w:t>
      </w:r>
    </w:p>
    <w:p w14:paraId="6F410637">
      <w:pPr>
        <w:adjustRightInd/>
        <w:snapToGrid/>
        <w:ind w:firstLine="480"/>
        <w:rPr>
          <w:color w:val="auto"/>
          <w:szCs w:val="22"/>
          <w:lang w:val="zh-CN"/>
        </w:rPr>
      </w:pPr>
      <w:r>
        <w:rPr>
          <w:color w:val="auto"/>
          <w:szCs w:val="22"/>
          <w:lang w:val="zh-CN"/>
        </w:rPr>
        <w:t>①任何人员进入可燃性粉尘的场所禁止携带打火机、火柴等火种或其他易燃易爆物品；与粉尘直接接触的设备或装置(如光源、加热源等)的表面温度低于该区域存在粉尘的最低着火温度。</w:t>
      </w:r>
    </w:p>
    <w:p w14:paraId="2C986404">
      <w:pPr>
        <w:adjustRightInd/>
        <w:snapToGrid/>
        <w:ind w:firstLine="480"/>
        <w:rPr>
          <w:color w:val="auto"/>
          <w:szCs w:val="22"/>
          <w:lang w:val="zh-CN"/>
        </w:rPr>
      </w:pPr>
      <w:r>
        <w:rPr>
          <w:color w:val="auto"/>
          <w:szCs w:val="22"/>
          <w:lang w:val="zh-CN"/>
        </w:rPr>
        <w:t>②物料储存场所须具有独立的支撑结构，设置泄爆门或泄爆口，将爆燃泄放到安全区域，为了防止粉料由于存放时间过长产生升温自燃现象，必须采用“先进先出”的原则设计。</w:t>
      </w:r>
    </w:p>
    <w:p w14:paraId="6D41C6FD">
      <w:pPr>
        <w:adjustRightInd/>
        <w:snapToGrid/>
        <w:ind w:firstLine="480"/>
        <w:rPr>
          <w:color w:val="auto"/>
          <w:szCs w:val="22"/>
          <w:lang w:val="zh-CN"/>
        </w:rPr>
      </w:pPr>
      <w:r>
        <w:rPr>
          <w:color w:val="auto"/>
          <w:szCs w:val="22"/>
          <w:lang w:val="zh-CN"/>
        </w:rPr>
        <w:t>③物料管道应采用除静电钢质金属材料制造，以避免静电积聚，同时可适当增加管道内风速，以满足管道内风量在正常运行或故障情况下粉尘空气混合物最高浓度不超过爆炸下限的50％。</w:t>
      </w:r>
    </w:p>
    <w:p w14:paraId="0F7BDA70">
      <w:pPr>
        <w:adjustRightInd/>
        <w:snapToGrid/>
        <w:ind w:firstLine="480"/>
        <w:rPr>
          <w:color w:val="auto"/>
          <w:szCs w:val="22"/>
          <w:lang w:val="zh-CN"/>
        </w:rPr>
      </w:pPr>
      <w:r>
        <w:rPr>
          <w:color w:val="auto"/>
          <w:szCs w:val="22"/>
          <w:lang w:val="zh-CN"/>
        </w:rPr>
        <w:t>④定期对物料运输等设备的传动装置(齿轮、滑轮、轴承等)、润滑系统以及除尘系统、电气设备等各种安全装置等进行检查、维护；对火花探测及自动灭火系统部件定期检查更新，及时更换被沉积物堵塞或腐蚀的喷水器和探头。</w:t>
      </w:r>
    </w:p>
    <w:p w14:paraId="1D77BE5A">
      <w:pPr>
        <w:adjustRightInd/>
        <w:snapToGrid/>
        <w:ind w:firstLine="480"/>
        <w:rPr>
          <w:color w:val="auto"/>
          <w:szCs w:val="22"/>
          <w:lang w:val="zh-CN"/>
        </w:rPr>
      </w:pPr>
      <w:r>
        <w:rPr>
          <w:color w:val="auto"/>
          <w:szCs w:val="22"/>
          <w:lang w:val="zh-CN"/>
        </w:rPr>
        <w:t>⑤企业针对实际情况普及粉尘防爆知识，吸取国内外同行业粉尘爆炸事故教训，使员工了解本企业硫磺粉尘爆炸危险场所和危险程度，并掌握其防爆措施；完善粉尘防爆应急现场处置方案，提高员工安全专业知识和应急处置能力；同时完善相关安全</w:t>
      </w:r>
      <w:r>
        <w:rPr>
          <w:color w:val="auto"/>
        </w:rPr>
        <w:fldChar w:fldCharType="begin"/>
      </w:r>
      <w:r>
        <w:rPr>
          <w:color w:val="auto"/>
        </w:rPr>
        <w:instrText xml:space="preserve"> HYPERLINK "http://www.chinapower.com.cn/management/works.asp?sortid=109102102104&amp;sortname=企业管理" \t "C:/Users/Kid/Documents/WXWork/1688853325297505/Cache/File/2021-08/_blank" </w:instrText>
      </w:r>
      <w:r>
        <w:rPr>
          <w:color w:val="auto"/>
        </w:rPr>
        <w:fldChar w:fldCharType="separate"/>
      </w:r>
      <w:r>
        <w:rPr>
          <w:color w:val="auto"/>
          <w:szCs w:val="22"/>
          <w:lang w:val="zh-CN"/>
        </w:rPr>
        <w:t>管理</w:t>
      </w:r>
      <w:r>
        <w:rPr>
          <w:color w:val="auto"/>
          <w:szCs w:val="22"/>
          <w:lang w:val="zh-CN"/>
        </w:rPr>
        <w:fldChar w:fldCharType="end"/>
      </w:r>
      <w:r>
        <w:rPr>
          <w:color w:val="auto"/>
          <w:szCs w:val="22"/>
          <w:lang w:val="zh-CN"/>
        </w:rPr>
        <w:t>规章制度，建立粉尘防爆工作的长效机制。</w:t>
      </w:r>
    </w:p>
    <w:p w14:paraId="6C055A8D">
      <w:pPr>
        <w:pStyle w:val="5"/>
        <w:spacing w:before="192"/>
        <w:rPr>
          <w:color w:val="auto"/>
        </w:rPr>
      </w:pPr>
      <w:r>
        <w:rPr>
          <w:color w:val="auto"/>
        </w:rPr>
        <w:t>7.6.1.</w:t>
      </w:r>
      <w:r>
        <w:rPr>
          <w:rFonts w:hint="eastAsia"/>
          <w:color w:val="auto"/>
        </w:rPr>
        <w:t>10</w:t>
      </w:r>
      <w:r>
        <w:rPr>
          <w:color w:val="auto"/>
        </w:rPr>
        <w:t>火灾、爆炸事故防范措施</w:t>
      </w:r>
    </w:p>
    <w:p w14:paraId="0A8012F2">
      <w:pPr>
        <w:ind w:firstLine="480"/>
        <w:rPr>
          <w:color w:val="auto"/>
        </w:rPr>
      </w:pPr>
      <w:r>
        <w:rPr>
          <w:color w:val="auto"/>
        </w:rPr>
        <w:t xml:space="preserve">1、控制与消除火源 </w:t>
      </w:r>
    </w:p>
    <w:p w14:paraId="4E68746A">
      <w:pPr>
        <w:ind w:firstLine="480"/>
        <w:rPr>
          <w:color w:val="auto"/>
        </w:rPr>
      </w:pPr>
      <w:r>
        <w:rPr>
          <w:color w:val="auto"/>
        </w:rPr>
        <w:t xml:space="preserve">1）工作时严禁吸烟、携带火种、穿带钉皮鞋等进入易燃易爆区。 </w:t>
      </w:r>
    </w:p>
    <w:p w14:paraId="4E07F1B4">
      <w:pPr>
        <w:ind w:firstLine="480"/>
        <w:rPr>
          <w:color w:val="auto"/>
        </w:rPr>
      </w:pPr>
      <w:r>
        <w:rPr>
          <w:color w:val="auto"/>
        </w:rPr>
        <w:t xml:space="preserve">2）当需要检修、焊接等现场动火作业时，需专业人员确认安全并得到批准后，方可进行现场作业，同时采取有效的防范措施。 </w:t>
      </w:r>
    </w:p>
    <w:p w14:paraId="3B9C595E">
      <w:pPr>
        <w:ind w:firstLine="480"/>
        <w:rPr>
          <w:color w:val="auto"/>
        </w:rPr>
      </w:pPr>
      <w:r>
        <w:rPr>
          <w:color w:val="auto"/>
        </w:rPr>
        <w:t xml:space="preserve">3）转动设备部位定期清洁，防止因摩擦引起杂物等燃烧。 </w:t>
      </w:r>
    </w:p>
    <w:p w14:paraId="220548B9">
      <w:pPr>
        <w:ind w:firstLine="480"/>
        <w:rPr>
          <w:color w:val="auto"/>
        </w:rPr>
      </w:pPr>
      <w:r>
        <w:rPr>
          <w:color w:val="auto"/>
        </w:rPr>
        <w:t xml:space="preserve">4）仓库、储罐耐火等级、防火距离符合《建筑设计防火规范》的要求。且在仓库、车间设置了火灾报警系统。 </w:t>
      </w:r>
    </w:p>
    <w:p w14:paraId="7AC52634">
      <w:pPr>
        <w:ind w:firstLine="480"/>
        <w:rPr>
          <w:color w:val="auto"/>
        </w:rPr>
      </w:pPr>
      <w:r>
        <w:rPr>
          <w:color w:val="auto"/>
        </w:rPr>
        <w:t xml:space="preserve">5）生产车间、仓库安装视频监控，在有毒（可燃）气体可能泄漏的场所，根据规范设置有毒（可燃）气体检测仪，随时检测操作环境中有害气体的浓度，一旦浓度超标能及时发现，避免因泄漏引起火灾事故发生。 </w:t>
      </w:r>
    </w:p>
    <w:p w14:paraId="3640881F">
      <w:pPr>
        <w:ind w:firstLine="480"/>
        <w:rPr>
          <w:color w:val="auto"/>
        </w:rPr>
      </w:pPr>
      <w:r>
        <w:rPr>
          <w:color w:val="auto"/>
        </w:rPr>
        <w:t xml:space="preserve">6）配电房建设远离生产区域，并设置了火灾报警系统，配备了灭火器。 </w:t>
      </w:r>
    </w:p>
    <w:p w14:paraId="6C0DBD48">
      <w:pPr>
        <w:ind w:firstLine="480"/>
        <w:rPr>
          <w:color w:val="auto"/>
        </w:rPr>
      </w:pPr>
      <w:r>
        <w:rPr>
          <w:color w:val="auto"/>
        </w:rPr>
        <w:t xml:space="preserve">2、严格控制设备质量与安装质量 </w:t>
      </w:r>
    </w:p>
    <w:p w14:paraId="2A26BD44">
      <w:pPr>
        <w:ind w:firstLine="480"/>
        <w:rPr>
          <w:color w:val="auto"/>
        </w:rPr>
      </w:pPr>
      <w:r>
        <w:rPr>
          <w:color w:val="auto"/>
        </w:rPr>
        <w:t xml:space="preserve">厂区使用防爆、防火电缆，电气设施进行了触电保护，电气装置设计符合《爆炸和火灾危险场所电力装置设计规范》的规定，在仓库、车间、配电房等区域配置明显的禁火标志；对设备、管线、泵等定期检查、保养、维修。 </w:t>
      </w:r>
    </w:p>
    <w:p w14:paraId="7A2DAECB">
      <w:pPr>
        <w:ind w:firstLine="480"/>
        <w:rPr>
          <w:color w:val="auto"/>
        </w:rPr>
      </w:pPr>
      <w:r>
        <w:rPr>
          <w:color w:val="auto"/>
        </w:rPr>
        <w:t xml:space="preserve">3、加强管理、严格纪律 </w:t>
      </w:r>
    </w:p>
    <w:p w14:paraId="2757A901">
      <w:pPr>
        <w:ind w:firstLine="480"/>
        <w:rPr>
          <w:color w:val="auto"/>
        </w:rPr>
      </w:pPr>
      <w:r>
        <w:rPr>
          <w:color w:val="auto"/>
        </w:rPr>
        <w:t xml:space="preserve">1）遵守各项规章制度和操作规程，严格执行岗位责任制。 </w:t>
      </w:r>
    </w:p>
    <w:p w14:paraId="2AEC8A8F">
      <w:pPr>
        <w:ind w:firstLine="480"/>
        <w:rPr>
          <w:color w:val="auto"/>
        </w:rPr>
      </w:pPr>
      <w:r>
        <w:rPr>
          <w:color w:val="auto"/>
        </w:rPr>
        <w:t xml:space="preserve">2）坚持巡回检查，发现问题及时处理。 </w:t>
      </w:r>
    </w:p>
    <w:p w14:paraId="109A2A81">
      <w:pPr>
        <w:ind w:firstLine="480"/>
        <w:rPr>
          <w:color w:val="auto"/>
        </w:rPr>
      </w:pPr>
      <w:r>
        <w:rPr>
          <w:color w:val="auto"/>
        </w:rPr>
        <w:t xml:space="preserve">3）检修时，做好隔离后，要有现场监护，在通风良好的条件下方能动火。 </w:t>
      </w:r>
    </w:p>
    <w:p w14:paraId="097E50E5">
      <w:pPr>
        <w:ind w:firstLine="480"/>
        <w:rPr>
          <w:color w:val="auto"/>
        </w:rPr>
      </w:pPr>
      <w:r>
        <w:rPr>
          <w:color w:val="auto"/>
        </w:rPr>
        <w:t xml:space="preserve">4）加强培训、教育和考核工作。 </w:t>
      </w:r>
    </w:p>
    <w:p w14:paraId="6108CDF5">
      <w:pPr>
        <w:ind w:firstLine="480"/>
        <w:rPr>
          <w:color w:val="auto"/>
        </w:rPr>
      </w:pPr>
      <w:r>
        <w:rPr>
          <w:color w:val="auto"/>
        </w:rPr>
        <w:t xml:space="preserve">4、装置及建构筑物风险防范措施 </w:t>
      </w:r>
    </w:p>
    <w:p w14:paraId="47F02B3C">
      <w:pPr>
        <w:ind w:firstLine="480"/>
        <w:rPr>
          <w:color w:val="auto"/>
        </w:rPr>
      </w:pPr>
      <w:r>
        <w:rPr>
          <w:color w:val="auto"/>
        </w:rPr>
        <w:t xml:space="preserve">对反应过程的投料量、投料比、投料速度、工艺参数，由DCS系统进行控制调节，具有自动报警、自动连锁、安全泄压等功能。除控制室集中显示外，在生产设备上设仪表，显示温度、压力、流量、液位等工艺参数，便于现场人员巡查。 </w:t>
      </w:r>
    </w:p>
    <w:p w14:paraId="6B55E025">
      <w:pPr>
        <w:ind w:firstLine="480"/>
        <w:rPr>
          <w:color w:val="auto"/>
        </w:rPr>
      </w:pPr>
      <w:r>
        <w:rPr>
          <w:color w:val="auto"/>
        </w:rPr>
        <w:t xml:space="preserve">在生产过程中加强对设备及管道的巡视检查，严格防止跑、冒、滴、漏等现象发生，发现问题及时处理，不允许带问题的设备运行。在生产过程中应加强各类设备的日常检查、保养、确保设备状态良好，生产装置所配置的各种压力表、温度计等仪表必须齐全。 </w:t>
      </w:r>
    </w:p>
    <w:p w14:paraId="3FE52B73">
      <w:pPr>
        <w:ind w:firstLine="480"/>
        <w:rPr>
          <w:color w:val="auto"/>
        </w:rPr>
      </w:pPr>
      <w:r>
        <w:rPr>
          <w:color w:val="auto"/>
        </w:rPr>
        <w:t xml:space="preserve">物料的计量、加料顺序应严格按操作规程执行，严格控制反应温度、蒸汽压力、冷凝水的压力和流量。搅拌、冷却、安全联锁装置及温度、压力仪表应确保处于正常状态。如突然停电、停水，应根据安全操作规程采取应急处置措施。工艺流程设计，应全面考虑操作参数的监测仪表，设计应正确可靠。应尽量减少工艺流程中易燃、易爆、有毒物料的存量。 </w:t>
      </w:r>
    </w:p>
    <w:p w14:paraId="0FAA8040">
      <w:pPr>
        <w:ind w:firstLine="480"/>
        <w:rPr>
          <w:color w:val="auto"/>
        </w:rPr>
      </w:pPr>
      <w:r>
        <w:rPr>
          <w:color w:val="auto"/>
        </w:rPr>
        <w:t>总平面布置图中功能区划分相对明确、合理，建（构）筑物之间的安全间距基本符合规范要求。厂房</w:t>
      </w:r>
      <w:r>
        <w:rPr>
          <w:rFonts w:hint="eastAsia"/>
          <w:color w:val="auto"/>
        </w:rPr>
        <w:t>地</w:t>
      </w:r>
      <w:r>
        <w:rPr>
          <w:color w:val="auto"/>
        </w:rPr>
        <w:t>泄压面积与厂房体积的比值应符合《建规》第 3.6.3 中的规定，泄压设施宜采用轻质屋面板、轻质墙体和易于泄压的门、窗等，不应采用普通玻璃。泄压设施的设置应避开人员密集场所和主要交通道路，并宜靠近有爆炸危险的部位。作为泄压设施的轻质屋面板和轻质墙体的单位质量不宜超过60kg/m2。屋顶上的泄压设施应采取防冰雪积聚的措施。生产厂房必须有良好的通风，厂房内表面应平整、光滑，并易于清扫。散发较空气重的可燃气体、可燃蒸气的甲类厂房以及有粉尘爆炸的危险厂房，应采用不发火花的地面。采用绝缘材料作整体面层时，应采取防静电措施。</w:t>
      </w:r>
    </w:p>
    <w:p w14:paraId="15CE3700">
      <w:pPr>
        <w:pStyle w:val="5"/>
        <w:spacing w:before="192"/>
        <w:rPr>
          <w:color w:val="auto"/>
        </w:rPr>
      </w:pPr>
      <w:bookmarkStart w:id="324" w:name="_Hlk169189470"/>
      <w:bookmarkStart w:id="325" w:name="_Hlk182410129"/>
      <w:r>
        <w:rPr>
          <w:color w:val="auto"/>
        </w:rPr>
        <w:t>7.6.1.</w:t>
      </w:r>
      <w:r>
        <w:rPr>
          <w:rFonts w:hint="eastAsia"/>
          <w:color w:val="auto"/>
        </w:rPr>
        <w:t>11</w:t>
      </w:r>
      <w:r>
        <w:rPr>
          <w:color w:val="auto"/>
        </w:rPr>
        <w:t>次/伴生污染防治措施</w:t>
      </w:r>
    </w:p>
    <w:bookmarkEnd w:id="324"/>
    <w:p w14:paraId="2320A63C">
      <w:pPr>
        <w:adjustRightInd/>
        <w:snapToGrid/>
        <w:ind w:firstLine="480"/>
        <w:rPr>
          <w:color w:val="auto"/>
          <w:szCs w:val="22"/>
          <w:lang w:val="zh-CN"/>
        </w:rPr>
      </w:pPr>
      <w:r>
        <w:rPr>
          <w:color w:val="auto"/>
          <w:szCs w:val="22"/>
          <w:lang w:val="zh-CN"/>
        </w:rPr>
        <w:t>危化品等发生火灾后，首先要进行灭火，降低着火时间，减少燃烧产物对环境空气造成的影响；事故救援过程中产生的喷淋废水和消防废水应引入厂内事故池暂时收集，然后分批进入污水收集池达到接管标准后出厂，对于污水站无法处理的消防废水，应委托有资质的单位进行处置；其它废灭火剂、拦截、堵漏材料等在事故排放后统一收集送有资质单位进行处理。</w:t>
      </w:r>
    </w:p>
    <w:p w14:paraId="36961E38">
      <w:pPr>
        <w:adjustRightInd/>
        <w:snapToGrid/>
        <w:ind w:firstLine="480"/>
        <w:rPr>
          <w:color w:val="auto"/>
          <w:szCs w:val="22"/>
          <w:lang w:val="zh-CN"/>
        </w:rPr>
      </w:pPr>
      <w:r>
        <w:rPr>
          <w:color w:val="auto"/>
          <w:szCs w:val="22"/>
          <w:lang w:val="zh-CN"/>
        </w:rPr>
        <w:t>由上述分析可知，事故发生时，可能会产生伴生、次生一氧化碳等污染物，会对周边大气环境造成一定的影响。</w:t>
      </w:r>
      <w:r>
        <w:rPr>
          <w:rFonts w:hint="eastAsia"/>
          <w:color w:val="auto"/>
          <w:szCs w:val="22"/>
          <w:lang w:val="zh-CN"/>
        </w:rPr>
        <w:t>拟建</w:t>
      </w:r>
      <w:r>
        <w:rPr>
          <w:color w:val="auto"/>
          <w:szCs w:val="22"/>
          <w:lang w:val="zh-CN"/>
        </w:rPr>
        <w:t>危化品发生火灾引发次伴生污染最大可信事故考虑乙醇储存桶发生泄漏及火灾爆炸次伴生事故，次伴生产生一氧化碳等污染物。</w:t>
      </w:r>
    </w:p>
    <w:p w14:paraId="38121CB1">
      <w:pPr>
        <w:adjustRightInd/>
        <w:snapToGrid/>
        <w:ind w:firstLine="480"/>
        <w:rPr>
          <w:color w:val="auto"/>
          <w:szCs w:val="22"/>
          <w:lang w:val="zh-CN"/>
        </w:rPr>
      </w:pPr>
      <w:r>
        <w:rPr>
          <w:color w:val="auto"/>
          <w:szCs w:val="22"/>
          <w:lang w:val="zh-CN"/>
        </w:rPr>
        <w:t>(1)环境风险防范措施</w:t>
      </w:r>
    </w:p>
    <w:p w14:paraId="29E37DAE">
      <w:pPr>
        <w:adjustRightInd/>
        <w:snapToGrid/>
        <w:ind w:firstLine="480"/>
        <w:rPr>
          <w:color w:val="auto"/>
          <w:szCs w:val="22"/>
          <w:lang w:val="zh-CN"/>
        </w:rPr>
      </w:pPr>
      <w:r>
        <w:rPr>
          <w:color w:val="auto"/>
          <w:szCs w:val="22"/>
          <w:lang w:val="zh-CN"/>
        </w:rPr>
        <w:t>1)采用机械化、自动化设备</w:t>
      </w:r>
    </w:p>
    <w:p w14:paraId="17594BB6">
      <w:pPr>
        <w:adjustRightInd/>
        <w:snapToGrid/>
        <w:ind w:firstLine="480"/>
        <w:rPr>
          <w:color w:val="auto"/>
          <w:szCs w:val="22"/>
          <w:lang w:val="zh-CN"/>
        </w:rPr>
      </w:pPr>
      <w:r>
        <w:rPr>
          <w:color w:val="auto"/>
          <w:szCs w:val="22"/>
          <w:lang w:val="zh-CN"/>
        </w:rPr>
        <w:t>生产设备拟采用自动过程控制，设备采用自动操作，生产设备在无人干预的情况下按规定的程序或指令自动进行操作或控制。对于因超温超压可能引起火灾危险的设备，设置自动报警信号及自动和手动紧急泄压措施。</w:t>
      </w:r>
    </w:p>
    <w:p w14:paraId="57BA543E">
      <w:pPr>
        <w:adjustRightInd/>
        <w:snapToGrid/>
        <w:ind w:firstLine="480"/>
        <w:rPr>
          <w:color w:val="auto"/>
          <w:szCs w:val="22"/>
          <w:lang w:val="zh-CN"/>
        </w:rPr>
      </w:pPr>
      <w:r>
        <w:rPr>
          <w:color w:val="auto"/>
          <w:szCs w:val="22"/>
          <w:lang w:val="zh-CN"/>
        </w:rPr>
        <w:t>2)安全贮存</w:t>
      </w:r>
    </w:p>
    <w:p w14:paraId="223EA12C">
      <w:pPr>
        <w:adjustRightInd/>
        <w:snapToGrid/>
        <w:ind w:firstLine="480"/>
        <w:rPr>
          <w:color w:val="auto"/>
          <w:szCs w:val="22"/>
          <w:lang w:val="zh-CN"/>
        </w:rPr>
      </w:pPr>
      <w:r>
        <w:rPr>
          <w:color w:val="auto"/>
          <w:szCs w:val="22"/>
          <w:lang w:val="zh-CN"/>
        </w:rPr>
        <w:t>储存时，应将乙醇储存桶密闭放置于阴凉通风处，远离火种和热源。同时应避免阳光直射，以免造成温度升高和挥发速度加快。在储存过程中，要确保容器密封性好，避免泄漏。若发生泄漏，应立即采取适当措施，如使用防爆工具、穿戴防护服，然后用泥土或砂土覆盖泄漏物，再将其转移至适当地点处理。</w:t>
      </w:r>
    </w:p>
    <w:p w14:paraId="57B9D5DF">
      <w:pPr>
        <w:adjustRightInd/>
        <w:snapToGrid/>
        <w:ind w:firstLine="480"/>
        <w:rPr>
          <w:color w:val="auto"/>
          <w:szCs w:val="22"/>
          <w:lang w:val="zh-CN"/>
        </w:rPr>
      </w:pPr>
      <w:r>
        <w:rPr>
          <w:color w:val="auto"/>
          <w:szCs w:val="22"/>
          <w:lang w:val="zh-CN"/>
        </w:rPr>
        <w:t>3)安全使用</w:t>
      </w:r>
    </w:p>
    <w:p w14:paraId="0F4EB165">
      <w:pPr>
        <w:adjustRightInd/>
        <w:snapToGrid/>
        <w:ind w:firstLine="480"/>
        <w:rPr>
          <w:color w:val="auto"/>
          <w:szCs w:val="22"/>
          <w:lang w:val="zh-CN"/>
        </w:rPr>
      </w:pPr>
      <w:r>
        <w:rPr>
          <w:color w:val="auto"/>
          <w:szCs w:val="22"/>
          <w:lang w:val="zh-CN"/>
        </w:rPr>
        <w:t>在使用乙醇时，应注意避免接触火种、热源和氧气，以防止引发燃烧或爆炸。使用过程中，如发生泄漏或意外事故，应迅速撤离现场，并采取适当的应急措施，如戴上呼吸器、穿戴防护服，尽量避免蒸气接触，并通知相关部门进行处理。</w:t>
      </w:r>
    </w:p>
    <w:p w14:paraId="58F819F3">
      <w:pPr>
        <w:adjustRightInd/>
        <w:snapToGrid/>
        <w:ind w:firstLine="480"/>
        <w:rPr>
          <w:color w:val="auto"/>
          <w:szCs w:val="22"/>
          <w:lang w:val="zh-CN"/>
        </w:rPr>
      </w:pPr>
      <w:r>
        <w:rPr>
          <w:color w:val="auto"/>
          <w:szCs w:val="22"/>
          <w:lang w:val="zh-CN"/>
        </w:rPr>
        <w:t>4)制定应急预案</w:t>
      </w:r>
    </w:p>
    <w:p w14:paraId="41086A33">
      <w:pPr>
        <w:adjustRightInd/>
        <w:snapToGrid/>
        <w:ind w:firstLine="480"/>
        <w:rPr>
          <w:color w:val="auto"/>
          <w:szCs w:val="22"/>
          <w:lang w:val="zh-CN"/>
        </w:rPr>
      </w:pPr>
      <w:r>
        <w:rPr>
          <w:color w:val="auto"/>
          <w:szCs w:val="22"/>
          <w:lang w:val="zh-CN"/>
        </w:rPr>
        <w:t>企业应针对乙醇储存桶等泄漏火灾引起的次生污染物制定针对性的应急预案，一旦发生该类事故，立即组织力量进行救援、现场消洗。</w:t>
      </w:r>
    </w:p>
    <w:p w14:paraId="7ADF0815">
      <w:pPr>
        <w:adjustRightInd/>
        <w:snapToGrid/>
        <w:ind w:firstLine="480"/>
        <w:rPr>
          <w:color w:val="auto"/>
          <w:szCs w:val="22"/>
          <w:lang w:val="zh-CN"/>
        </w:rPr>
      </w:pPr>
      <w:r>
        <w:rPr>
          <w:color w:val="auto"/>
          <w:szCs w:val="22"/>
          <w:lang w:val="zh-CN"/>
        </w:rPr>
        <w:t>(2)应急减缓措施</w:t>
      </w:r>
    </w:p>
    <w:p w14:paraId="5945FA80">
      <w:pPr>
        <w:adjustRightInd/>
        <w:snapToGrid/>
        <w:ind w:firstLine="480"/>
        <w:rPr>
          <w:color w:val="auto"/>
          <w:szCs w:val="22"/>
          <w:lang w:val="zh-CN"/>
        </w:rPr>
      </w:pPr>
      <w:r>
        <w:rPr>
          <w:color w:val="auto"/>
          <w:szCs w:val="22"/>
          <w:lang w:val="zh-CN"/>
        </w:rPr>
        <w:t>对于小量泄漏，应使用砂土或其他不燃材料吸附或吸收泄漏物，或者用大量水冲洗，水稀释后排入事故废水收集系统。对于大量泄漏，使用泡沫覆盖，降低蒸气灾害，并用防爆泵转移至槽车或专用收集器内，回收或运至废物处理场所处置。</w:t>
      </w:r>
    </w:p>
    <w:p w14:paraId="6CA7D77D">
      <w:pPr>
        <w:adjustRightInd/>
        <w:snapToGrid/>
        <w:ind w:firstLine="480"/>
        <w:rPr>
          <w:color w:val="auto"/>
          <w:szCs w:val="22"/>
          <w:lang w:val="zh-CN"/>
        </w:rPr>
      </w:pPr>
      <w:r>
        <w:rPr>
          <w:color w:val="auto"/>
          <w:szCs w:val="22"/>
          <w:lang w:val="zh-CN"/>
        </w:rPr>
        <w:t>乙醇储存桶泄漏发生火灾后，首先应喷水冷却容器，可能的话将容器从火场移至空旷处。灭火剂可以选择水、泡沫、干粉、二氧化碳或砂土。</w:t>
      </w:r>
    </w:p>
    <w:p w14:paraId="67749494">
      <w:pPr>
        <w:ind w:firstLine="0" w:firstLineChars="0"/>
        <w:outlineLvl w:val="3"/>
        <w:rPr>
          <w:b/>
          <w:bCs/>
          <w:color w:val="auto"/>
        </w:rPr>
      </w:pPr>
      <w:r>
        <w:rPr>
          <w:b/>
          <w:bCs/>
          <w:color w:val="auto"/>
        </w:rPr>
        <w:t>7.</w:t>
      </w:r>
      <w:r>
        <w:rPr>
          <w:rFonts w:hint="eastAsia"/>
          <w:b/>
          <w:bCs/>
          <w:color w:val="auto"/>
        </w:rPr>
        <w:t>6</w:t>
      </w:r>
      <w:r>
        <w:rPr>
          <w:b/>
          <w:bCs/>
          <w:color w:val="auto"/>
        </w:rPr>
        <w:t>.1.</w:t>
      </w:r>
      <w:r>
        <w:rPr>
          <w:rFonts w:hint="eastAsia"/>
          <w:b/>
          <w:bCs/>
          <w:color w:val="auto"/>
        </w:rPr>
        <w:t>8</w:t>
      </w:r>
      <w:r>
        <w:rPr>
          <w:b/>
          <w:bCs/>
          <w:color w:val="auto"/>
        </w:rPr>
        <w:t>固体废物相关预防措施</w:t>
      </w:r>
    </w:p>
    <w:p w14:paraId="2ACACDFA">
      <w:pPr>
        <w:overflowPunct w:val="0"/>
        <w:ind w:firstLine="480"/>
        <w:rPr>
          <w:color w:val="auto"/>
          <w:kern w:val="0"/>
        </w:rPr>
      </w:pPr>
      <w:r>
        <w:rPr>
          <w:color w:val="auto"/>
        </w:rPr>
        <w:t>1、</w:t>
      </w:r>
      <w:r>
        <w:rPr>
          <w:color w:val="auto"/>
          <w:kern w:val="0"/>
        </w:rPr>
        <w:t>厂区内危险废物暂存场地必须严格按照《危险废物贮存污染控制》（GB18597-2023）的要求设置和管理；</w:t>
      </w:r>
    </w:p>
    <w:p w14:paraId="0CBF55A1">
      <w:pPr>
        <w:overflowPunct w:val="0"/>
        <w:ind w:firstLine="480"/>
        <w:rPr>
          <w:color w:val="auto"/>
          <w:kern w:val="0"/>
        </w:rPr>
      </w:pPr>
      <w:r>
        <w:rPr>
          <w:color w:val="auto"/>
          <w:kern w:val="0"/>
        </w:rPr>
        <w:t>2、建立危险废物台账管理制度，跟踪记录危险废物在公司内部运转的整个流程，与生产记录相结合，建立危险废物台账；</w:t>
      </w:r>
    </w:p>
    <w:p w14:paraId="397B9BC4">
      <w:pPr>
        <w:overflowPunct w:val="0"/>
        <w:ind w:firstLine="480"/>
        <w:rPr>
          <w:color w:val="auto"/>
          <w:kern w:val="0"/>
        </w:rPr>
      </w:pPr>
      <w:r>
        <w:rPr>
          <w:color w:val="auto"/>
        </w:rPr>
        <w:t>3、</w:t>
      </w:r>
      <w:r>
        <w:rPr>
          <w:color w:val="auto"/>
          <w:kern w:val="0"/>
        </w:rPr>
        <w:t>对危险废物的容器和包装物以及收集、贮存、运输、处置危险废物的设施、场所，必须设置危险废物识别标志；</w:t>
      </w:r>
    </w:p>
    <w:p w14:paraId="1250B52A">
      <w:pPr>
        <w:overflowPunct w:val="0"/>
        <w:ind w:firstLine="480"/>
        <w:rPr>
          <w:color w:val="auto"/>
          <w:kern w:val="0"/>
        </w:rPr>
      </w:pPr>
      <w:r>
        <w:rPr>
          <w:color w:val="auto"/>
          <w:kern w:val="0"/>
        </w:rPr>
        <w:t>4、禁止将性质不相容而未经安全性处置的危险废物混合收集、贮存、运输、处置，禁止将危险废物混入非危险废物中贮存、处置；</w:t>
      </w:r>
    </w:p>
    <w:p w14:paraId="3BC7B2A4">
      <w:pPr>
        <w:overflowPunct w:val="0"/>
        <w:ind w:firstLine="480"/>
        <w:rPr>
          <w:color w:val="auto"/>
          <w:kern w:val="0"/>
        </w:rPr>
      </w:pPr>
      <w:r>
        <w:rPr>
          <w:color w:val="auto"/>
        </w:rPr>
        <w:t>5、</w:t>
      </w:r>
      <w:r>
        <w:rPr>
          <w:color w:val="auto"/>
          <w:kern w:val="0"/>
        </w:rPr>
        <w:t>必须定期对所贮存的危险废物包装容器及贮存设施进行检查，发现破损，应及时采取措施清理更换；</w:t>
      </w:r>
    </w:p>
    <w:p w14:paraId="188643C0">
      <w:pPr>
        <w:overflowPunct w:val="0"/>
        <w:ind w:firstLine="480"/>
        <w:rPr>
          <w:color w:val="auto"/>
          <w:kern w:val="0"/>
        </w:rPr>
      </w:pPr>
      <w:r>
        <w:rPr>
          <w:color w:val="auto"/>
        </w:rPr>
        <w:t>6、</w:t>
      </w:r>
      <w:r>
        <w:rPr>
          <w:color w:val="auto"/>
          <w:kern w:val="0"/>
        </w:rPr>
        <w:t>运输危险废物必须根据废物特性，采用符合相应标准的包装物、容器和运输工具；</w:t>
      </w:r>
    </w:p>
    <w:p w14:paraId="49D6174E">
      <w:pPr>
        <w:overflowPunct w:val="0"/>
        <w:ind w:firstLine="480"/>
        <w:rPr>
          <w:color w:val="auto"/>
          <w:kern w:val="0"/>
        </w:rPr>
      </w:pPr>
      <w:r>
        <w:rPr>
          <w:color w:val="auto"/>
        </w:rPr>
        <w:t>7、</w:t>
      </w:r>
      <w:r>
        <w:rPr>
          <w:color w:val="auto"/>
          <w:kern w:val="0"/>
        </w:rPr>
        <w:t>尽可能减少各类危险废物在厂内的贮存周期和贮存量，降低环境风险。</w:t>
      </w:r>
    </w:p>
    <w:p w14:paraId="456AE6FB">
      <w:pPr>
        <w:overflowPunct w:val="0"/>
        <w:ind w:firstLine="480"/>
        <w:rPr>
          <w:rFonts w:hint="eastAsia" w:ascii="黑体" w:hAnsi="宋体" w:eastAsia="黑体"/>
          <w:color w:val="auto"/>
          <w:sz w:val="28"/>
        </w:rPr>
      </w:pPr>
      <w:r>
        <w:rPr>
          <w:color w:val="auto"/>
        </w:rPr>
        <w:t>8、</w:t>
      </w:r>
      <w:r>
        <w:rPr>
          <w:color w:val="auto"/>
          <w:kern w:val="0"/>
        </w:rPr>
        <w:t>同时在环境管理中注意以下内容：建设单位应通过</w:t>
      </w:r>
      <w:r>
        <w:rPr>
          <w:rFonts w:hint="eastAsia"/>
          <w:color w:val="auto"/>
          <w:kern w:val="0"/>
        </w:rPr>
        <w:t>“</w:t>
      </w:r>
      <w:r>
        <w:rPr>
          <w:color w:val="auto"/>
          <w:kern w:val="0"/>
        </w:rPr>
        <w:t>江苏省</w:t>
      </w:r>
      <w:r>
        <w:rPr>
          <w:rFonts w:hint="eastAsia"/>
          <w:color w:val="auto"/>
          <w:kern w:val="0"/>
        </w:rPr>
        <w:t>固体</w:t>
      </w:r>
      <w:r>
        <w:rPr>
          <w:color w:val="auto"/>
          <w:kern w:val="0"/>
        </w:rPr>
        <w:t>废物</w:t>
      </w:r>
      <w:r>
        <w:rPr>
          <w:rFonts w:hint="eastAsia"/>
          <w:color w:val="auto"/>
          <w:kern w:val="0"/>
        </w:rPr>
        <w:t>管理信息</w:t>
      </w:r>
      <w:r>
        <w:rPr>
          <w:color w:val="auto"/>
          <w:kern w:val="0"/>
        </w:rPr>
        <w:t>系统</w:t>
      </w:r>
      <w:r>
        <w:rPr>
          <w:rFonts w:hint="eastAsia"/>
          <w:color w:val="auto"/>
          <w:kern w:val="0"/>
        </w:rPr>
        <w:t>”</w:t>
      </w:r>
      <w:r>
        <w:rPr>
          <w:color w:val="auto"/>
          <w:kern w:val="0"/>
        </w:rPr>
        <w:t>进行危险废物申报登记，将危险废物的实际产生、贮存、利用、处置等情况纳入生产记录，建立危险废物管理台账和企业内部产生和收集、贮存、转移等部门危险废物交接制度；必须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49B147E0">
      <w:pPr>
        <w:keepNext/>
        <w:keepLines/>
        <w:spacing w:line="460" w:lineRule="exact"/>
        <w:ind w:firstLine="482"/>
        <w:outlineLvl w:val="3"/>
        <w:rPr>
          <w:b/>
          <w:bCs/>
          <w:color w:val="auto"/>
        </w:rPr>
      </w:pPr>
      <w:r>
        <w:rPr>
          <w:rFonts w:hint="eastAsia"/>
          <w:b/>
          <w:bCs/>
          <w:color w:val="auto"/>
        </w:rPr>
        <w:t>7.6.1.9废气处理装置环境风险防范</w:t>
      </w:r>
      <w:r>
        <w:rPr>
          <w:b/>
          <w:bCs/>
          <w:color w:val="auto"/>
        </w:rPr>
        <w:t>措施</w:t>
      </w:r>
    </w:p>
    <w:p w14:paraId="35239042">
      <w:pPr>
        <w:ind w:firstLine="480"/>
        <w:rPr>
          <w:rFonts w:hint="eastAsia" w:hAnsi="宋体"/>
          <w:color w:val="auto"/>
        </w:rPr>
      </w:pPr>
      <w:r>
        <w:rPr>
          <w:rFonts w:hint="eastAsia" w:hAnsi="宋体"/>
          <w:color w:val="auto"/>
        </w:rPr>
        <w:t>本项目新建废气处理装置，一旦出现故障会使系统处理效果下降，甚至不能运行，同时废气处理效率也会随净化系统运行工况的变化而有所波动，应加强对本项目废气处理装置等的日常管理，及时保养与维修。建立严格的操作规程，实行目标责任制，保证环境保护设施的正常运行。非操作人员不得随意出入。加强防火，达到消防、安全等有关部门的要求。废气处理装置具体的风险防范措施如下：</w:t>
      </w:r>
    </w:p>
    <w:p w14:paraId="2DF03F75">
      <w:pPr>
        <w:ind w:firstLine="480"/>
        <w:rPr>
          <w:rFonts w:hint="eastAsia" w:hAnsi="宋体"/>
          <w:color w:val="auto"/>
        </w:rPr>
      </w:pPr>
      <w:r>
        <w:rPr>
          <w:rFonts w:hAnsi="宋体"/>
          <w:color w:val="auto"/>
        </w:rPr>
        <w:t>1）由专人负责日常环境管理工作，制订“环保管理人员职责”和“环境污染防治措施”制度，加强废气治理设施的监督和管理</w:t>
      </w:r>
      <w:r>
        <w:rPr>
          <w:rFonts w:hint="eastAsia" w:hAnsi="宋体"/>
          <w:color w:val="auto"/>
        </w:rPr>
        <w:t>；加强对设备的维修管理，使其在良好情况下运行，严格按规范操作，尽可能避免事故排放；</w:t>
      </w:r>
    </w:p>
    <w:p w14:paraId="22CE9A00">
      <w:pPr>
        <w:ind w:firstLine="480"/>
        <w:rPr>
          <w:rFonts w:hint="eastAsia" w:hAnsi="宋体"/>
          <w:color w:val="auto"/>
        </w:rPr>
      </w:pPr>
      <w:r>
        <w:rPr>
          <w:rFonts w:hint="eastAsia" w:hAnsi="宋体"/>
          <w:color w:val="auto"/>
        </w:rPr>
        <w:t>2</w:t>
      </w:r>
      <w:r>
        <w:rPr>
          <w:rFonts w:hAnsi="宋体"/>
          <w:color w:val="auto"/>
        </w:rPr>
        <w:t>）</w:t>
      </w:r>
      <w:r>
        <w:rPr>
          <w:rFonts w:hint="eastAsia" w:hAnsi="宋体"/>
          <w:color w:val="auto"/>
        </w:rPr>
        <w:t>废气</w:t>
      </w:r>
      <w:r>
        <w:rPr>
          <w:rFonts w:hAnsi="宋体"/>
          <w:color w:val="auto"/>
        </w:rPr>
        <w:t>治理系统应有事故自动报警装置，并符合安全生产、事故防范的相关规定</w:t>
      </w:r>
      <w:r>
        <w:rPr>
          <w:rFonts w:hint="eastAsia" w:hAnsi="宋体"/>
          <w:color w:val="auto"/>
        </w:rPr>
        <w:t>；</w:t>
      </w:r>
      <w:r>
        <w:rPr>
          <w:rFonts w:hAnsi="宋体"/>
          <w:color w:val="auto"/>
        </w:rPr>
        <w:t>治理系统与主体生产装置之间的管道系统安装阻火器（防火阀）</w:t>
      </w:r>
      <w:r>
        <w:rPr>
          <w:rFonts w:hint="eastAsia" w:hAnsi="宋体"/>
          <w:color w:val="auto"/>
        </w:rPr>
        <w:t>，</w:t>
      </w:r>
      <w:r>
        <w:rPr>
          <w:rFonts w:hAnsi="宋体"/>
          <w:color w:val="auto"/>
        </w:rPr>
        <w:t>设备及与其相连接的管道，均应有密封件，紧密不漏气</w:t>
      </w:r>
      <w:r>
        <w:rPr>
          <w:rFonts w:hint="eastAsia" w:hAnsi="宋体"/>
          <w:color w:val="auto"/>
        </w:rPr>
        <w:t>；</w:t>
      </w:r>
    </w:p>
    <w:p w14:paraId="3344BE3F">
      <w:pPr>
        <w:ind w:firstLine="480"/>
        <w:rPr>
          <w:rFonts w:hint="eastAsia" w:hAnsi="宋体"/>
          <w:color w:val="auto"/>
        </w:rPr>
      </w:pPr>
      <w:r>
        <w:rPr>
          <w:rFonts w:hint="eastAsia" w:hAnsi="宋体"/>
          <w:color w:val="auto"/>
        </w:rPr>
        <w:t>3</w:t>
      </w:r>
      <w:r>
        <w:rPr>
          <w:rFonts w:hAnsi="宋体"/>
          <w:color w:val="auto"/>
        </w:rPr>
        <w:t>）</w:t>
      </w:r>
      <w:r>
        <w:rPr>
          <w:rFonts w:hint="eastAsia" w:hAnsi="宋体"/>
          <w:color w:val="auto"/>
        </w:rPr>
        <w:t>加强项目集中控制，主体关键装置采用</w:t>
      </w:r>
      <w:r>
        <w:rPr>
          <w:rFonts w:hAnsi="宋体"/>
          <w:color w:val="auto"/>
        </w:rPr>
        <w:t>DCS</w:t>
      </w:r>
      <w:r>
        <w:rPr>
          <w:rFonts w:hint="eastAsia" w:hAnsi="宋体"/>
          <w:color w:val="auto"/>
        </w:rPr>
        <w:t>进行集中监视和控制，在</w:t>
      </w:r>
      <w:r>
        <w:rPr>
          <w:rFonts w:hAnsi="宋体"/>
          <w:color w:val="auto"/>
        </w:rPr>
        <w:t>DCS</w:t>
      </w:r>
      <w:r>
        <w:rPr>
          <w:rFonts w:hint="eastAsia" w:hAnsi="宋体"/>
          <w:color w:val="auto"/>
        </w:rPr>
        <w:t>发生全局性或重大故障时，能进行紧急停车、停机操作；对独立的控制系统和控制设备，能在集中控制室进行系统工艺和运行工况监视和独立操作。</w:t>
      </w:r>
    </w:p>
    <w:p w14:paraId="4E060592">
      <w:pPr>
        <w:ind w:firstLine="480"/>
        <w:rPr>
          <w:rFonts w:hint="eastAsia" w:hAnsi="宋体"/>
          <w:color w:val="auto"/>
        </w:rPr>
      </w:pPr>
      <w:r>
        <w:rPr>
          <w:rFonts w:hint="eastAsia" w:hAnsi="宋体"/>
          <w:color w:val="auto"/>
        </w:rPr>
        <w:t>本项目非正常排放情况主要是开、停车时排放的废气、检修过程中排放的废气以及停电过程中排放的废气。在发生非正常排放情况时，应严格按照国家、地方及公司规范要求进行操作，防止人为操作失误造成废气的排放，废气处理装置在非正常及事故状态下排放控制措施如下：</w:t>
      </w:r>
    </w:p>
    <w:p w14:paraId="3C57B0E6">
      <w:pPr>
        <w:ind w:firstLine="480"/>
        <w:rPr>
          <w:rFonts w:hint="eastAsia" w:hAnsi="宋体"/>
          <w:color w:val="auto"/>
        </w:rPr>
      </w:pPr>
      <w:r>
        <w:rPr>
          <w:rFonts w:hAnsi="宋体"/>
          <w:color w:val="auto"/>
        </w:rPr>
        <w:t>1）</w:t>
      </w:r>
      <w:r>
        <w:rPr>
          <w:rFonts w:hint="eastAsia" w:hAnsi="宋体"/>
          <w:color w:val="auto"/>
        </w:rPr>
        <w:t>提高设备自动控制水平，生产线上尽量采用自动监控、报警装置；</w:t>
      </w:r>
    </w:p>
    <w:p w14:paraId="3C1306C1">
      <w:pPr>
        <w:ind w:firstLine="480"/>
        <w:rPr>
          <w:rFonts w:hint="eastAsia" w:hAnsi="宋体"/>
          <w:color w:val="auto"/>
        </w:rPr>
      </w:pPr>
      <w:r>
        <w:rPr>
          <w:rFonts w:hint="eastAsia" w:hAnsi="宋体"/>
          <w:color w:val="auto"/>
        </w:rPr>
        <w:t>2</w:t>
      </w:r>
      <w:r>
        <w:rPr>
          <w:rFonts w:hAnsi="宋体"/>
          <w:color w:val="auto"/>
        </w:rPr>
        <w:t>）</w:t>
      </w:r>
      <w:r>
        <w:rPr>
          <w:rFonts w:hint="eastAsia" w:hAnsi="宋体"/>
          <w:color w:val="auto"/>
        </w:rPr>
        <w:t>加强生产的监督和管理，对可能出现的非正常排放情况制定预案或应急措施，出现非正常排放时及时妥善处理；</w:t>
      </w:r>
    </w:p>
    <w:p w14:paraId="119DABDA">
      <w:pPr>
        <w:ind w:firstLine="480"/>
        <w:rPr>
          <w:rFonts w:hint="eastAsia" w:hAnsi="宋体"/>
          <w:color w:val="auto"/>
        </w:rPr>
      </w:pPr>
      <w:r>
        <w:rPr>
          <w:rFonts w:hint="eastAsia" w:hAnsi="宋体"/>
          <w:color w:val="auto"/>
        </w:rPr>
        <w:t>3</w:t>
      </w:r>
      <w:r>
        <w:rPr>
          <w:rFonts w:hAnsi="宋体"/>
          <w:color w:val="auto"/>
        </w:rPr>
        <w:t>）</w:t>
      </w:r>
      <w:r>
        <w:rPr>
          <w:rFonts w:hint="eastAsia" w:hAnsi="宋体"/>
          <w:color w:val="auto"/>
        </w:rPr>
        <w:t>开车过程中，应先运行废气处理装置，后运行生产装置；</w:t>
      </w:r>
    </w:p>
    <w:p w14:paraId="1C9C74BD">
      <w:pPr>
        <w:ind w:firstLine="480"/>
        <w:rPr>
          <w:rFonts w:hint="eastAsia" w:hAnsi="宋体"/>
          <w:color w:val="auto"/>
        </w:rPr>
      </w:pPr>
      <w:r>
        <w:rPr>
          <w:rFonts w:hint="eastAsia" w:hAnsi="宋体"/>
          <w:color w:val="auto"/>
        </w:rPr>
        <w:t>4）停车过程中，应先停止生产装置，后停止风机和废气处理装置，利用风机将各装置内的废气抽出，送至废气处理装置处理后通过排气筒排放，在确保废气有效处理后再停止废气处理装置；</w:t>
      </w:r>
    </w:p>
    <w:p w14:paraId="17238DAF">
      <w:pPr>
        <w:ind w:firstLine="480"/>
        <w:rPr>
          <w:rFonts w:hint="eastAsia" w:hAnsi="宋体"/>
          <w:color w:val="auto"/>
        </w:rPr>
      </w:pPr>
      <w:r>
        <w:rPr>
          <w:rFonts w:hint="eastAsia" w:hAnsi="宋体"/>
          <w:color w:val="auto"/>
        </w:rPr>
        <w:t>5）检修过程中，应与停车的操作规程一致，先停止生产装置，后停止废气处理装置，确保废气送至废气处理装置处理后通过排气筒排放；</w:t>
      </w:r>
    </w:p>
    <w:p w14:paraId="64117700">
      <w:pPr>
        <w:ind w:firstLine="480"/>
        <w:rPr>
          <w:rFonts w:hint="eastAsia" w:hAnsi="宋体"/>
          <w:color w:val="auto"/>
        </w:rPr>
      </w:pPr>
      <w:r>
        <w:rPr>
          <w:rFonts w:hint="eastAsia" w:hAnsi="宋体"/>
          <w:color w:val="auto"/>
        </w:rPr>
        <w:t>6）停电过程中，应立即手动关闭原料的进料阀，停止向反应设备中供应原料；立即启用备用电源，在备用电源启用后，应先将废气送至废气处理装置处理后通过排气筒排放，然后再运行反应装置；</w:t>
      </w:r>
    </w:p>
    <w:p w14:paraId="30A4EF8A">
      <w:pPr>
        <w:ind w:firstLine="480"/>
        <w:rPr>
          <w:rFonts w:hint="eastAsia" w:hAnsi="宋体"/>
          <w:color w:val="auto"/>
        </w:rPr>
      </w:pPr>
      <w:r>
        <w:rPr>
          <w:rFonts w:hint="eastAsia" w:hAnsi="宋体"/>
          <w:color w:val="auto"/>
        </w:rPr>
        <w:t>7）企业应定期对废气处理设施进行检查，以确保各设施处于正常运行状态；</w:t>
      </w:r>
    </w:p>
    <w:p w14:paraId="035AE321">
      <w:pPr>
        <w:ind w:firstLine="480"/>
        <w:rPr>
          <w:rFonts w:hint="eastAsia" w:hAnsi="宋体"/>
          <w:color w:val="auto"/>
        </w:rPr>
      </w:pPr>
      <w:r>
        <w:rPr>
          <w:rFonts w:hint="eastAsia" w:hAnsi="宋体"/>
          <w:color w:val="auto"/>
        </w:rPr>
        <w:t>8）按照自行监测计划，定期委托有资质的第三方检测公司进行污染源排放浓度、排放速率、污染物去除效率等监测，以定期了解掌握废气治理设施的运行效果。</w:t>
      </w:r>
    </w:p>
    <w:p w14:paraId="5BD62AAF">
      <w:pPr>
        <w:ind w:firstLine="480"/>
        <w:rPr>
          <w:rFonts w:hint="eastAsia" w:hAnsi="宋体"/>
          <w:color w:val="auto"/>
        </w:rPr>
      </w:pPr>
      <w:r>
        <w:rPr>
          <w:rFonts w:hint="eastAsia" w:hAnsi="宋体"/>
          <w:color w:val="auto"/>
        </w:rPr>
        <w:t>通过以上处理措施处理后，拟建项目的污染废气可得到有效控制。</w:t>
      </w:r>
    </w:p>
    <w:p w14:paraId="1C64CA0E">
      <w:pPr>
        <w:keepNext/>
        <w:keepLines/>
        <w:spacing w:line="460" w:lineRule="exact"/>
        <w:ind w:firstLine="482"/>
        <w:outlineLvl w:val="3"/>
        <w:rPr>
          <w:b/>
          <w:bCs/>
          <w:color w:val="auto"/>
        </w:rPr>
      </w:pPr>
      <w:r>
        <w:rPr>
          <w:rFonts w:hint="eastAsia"/>
          <w:b/>
          <w:bCs/>
          <w:color w:val="auto"/>
        </w:rPr>
        <w:t>7.6.1.10应急监控防范措施</w:t>
      </w:r>
    </w:p>
    <w:p w14:paraId="30C6B257">
      <w:pPr>
        <w:ind w:firstLine="480"/>
        <w:rPr>
          <w:rFonts w:hint="eastAsia" w:hAnsi="宋体"/>
          <w:color w:val="auto"/>
        </w:rPr>
      </w:pPr>
      <w:r>
        <w:rPr>
          <w:rFonts w:hint="eastAsia" w:hAnsi="宋体"/>
          <w:color w:val="auto"/>
        </w:rPr>
        <w:t>1、</w:t>
      </w:r>
      <w:r>
        <w:rPr>
          <w:rFonts w:hAnsi="宋体"/>
          <w:color w:val="auto"/>
        </w:rPr>
        <w:t>视频监控全覆盖</w:t>
      </w:r>
    </w:p>
    <w:p w14:paraId="7E2B4203">
      <w:pPr>
        <w:ind w:firstLine="480"/>
        <w:rPr>
          <w:rFonts w:hint="eastAsia" w:hAnsi="宋体"/>
          <w:color w:val="auto"/>
        </w:rPr>
      </w:pPr>
      <w:r>
        <w:rPr>
          <w:rFonts w:hAnsi="宋体"/>
          <w:color w:val="auto"/>
        </w:rPr>
        <w:t>在厂区内全方位部署高清视频监控摄像头，尤其在乙腈储存区、生产装置区、装卸区、雨水排口、应急事故池等关键区域加密设置。摄像头需具备夜视、变焦、云台控制等功能，确保24小时不间断监控。视频监控信号接入企业安防监控中心及环境应急指挥平台，安排专人值守，实时关注监控画面。一旦发现设备泄漏、物料异常流动、人员违规操作等情况，可及时通知相关人员赶赴现场处理，为应急处置提供直观依据。</w:t>
      </w:r>
    </w:p>
    <w:p w14:paraId="16B81A6D">
      <w:pPr>
        <w:ind w:firstLine="480"/>
        <w:rPr>
          <w:rFonts w:hint="eastAsia" w:hAnsi="宋体"/>
          <w:color w:val="auto"/>
        </w:rPr>
      </w:pPr>
      <w:r>
        <w:rPr>
          <w:rFonts w:hint="eastAsia" w:hAnsi="宋体"/>
          <w:color w:val="auto"/>
        </w:rPr>
        <w:t>2、</w:t>
      </w:r>
      <w:r>
        <w:rPr>
          <w:rFonts w:hAnsi="宋体"/>
          <w:color w:val="auto"/>
        </w:rPr>
        <w:t>气体泄漏监控</w:t>
      </w:r>
    </w:p>
    <w:p w14:paraId="5E7875A8">
      <w:pPr>
        <w:ind w:firstLine="480"/>
        <w:rPr>
          <w:rFonts w:hint="eastAsia" w:hAnsi="宋体"/>
          <w:color w:val="auto"/>
        </w:rPr>
      </w:pPr>
      <w:r>
        <w:rPr>
          <w:rFonts w:hAnsi="宋体"/>
          <w:color w:val="auto"/>
        </w:rPr>
        <w:t>在可能产生乙腈及伴生氰化物泄漏的区域，安装可燃气体及有毒气体泄漏监控报警装置。采用催化燃烧式、电化学等传感技术，精准监测空气中乙腈、氰化氢等气体浓度。报警装置与通风系统、紧急切断阀等设备联动，当检测到气体泄漏且浓度达到报警设定值时，自动触发报警，同时启动通风系统加速空气流通，降低有害气体浓度，必要时自动关闭相关区域的切断阀，阻断物料泄漏源。</w:t>
      </w:r>
    </w:p>
    <w:p w14:paraId="4B4398FC">
      <w:pPr>
        <w:ind w:firstLine="480"/>
        <w:rPr>
          <w:rFonts w:hint="eastAsia" w:hAnsi="宋体"/>
          <w:color w:val="auto"/>
        </w:rPr>
      </w:pPr>
      <w:r>
        <w:rPr>
          <w:rFonts w:hint="eastAsia" w:hAnsi="宋体"/>
          <w:color w:val="auto"/>
        </w:rPr>
        <w:t>3、</w:t>
      </w:r>
      <w:r>
        <w:rPr>
          <w:rFonts w:hAnsi="宋体"/>
          <w:color w:val="auto"/>
        </w:rPr>
        <w:t>远程监控与数据分析</w:t>
      </w:r>
    </w:p>
    <w:p w14:paraId="1844E2BA">
      <w:pPr>
        <w:ind w:firstLine="480"/>
        <w:rPr>
          <w:rFonts w:hint="eastAsia" w:hAnsi="宋体"/>
          <w:color w:val="auto"/>
        </w:rPr>
      </w:pPr>
      <w:r>
        <w:rPr>
          <w:rFonts w:hAnsi="宋体"/>
          <w:color w:val="auto"/>
        </w:rPr>
        <w:t>构建企业环境应急管理远程监控平台，整合水质、大气、液位、压力等在线监测数据以及视频监控信号，实现对厂区环境风险状况的集中远程监控。运用大数据分析技术，对监测数据进行深度挖掘与分析，绘制污染物浓度变化趋势图、设备运行状态图谱等，及时识别潜在环境风险隐患。例如，通过分析一段时间内乙腈储罐压力波动数据，预测设备故障可能性，提前安排维护检修，将风险消灭在萌芽状态。</w:t>
      </w:r>
    </w:p>
    <w:p w14:paraId="7D56D9E1">
      <w:pPr>
        <w:keepNext/>
        <w:keepLines/>
        <w:spacing w:line="460" w:lineRule="exact"/>
        <w:ind w:firstLine="482"/>
        <w:outlineLvl w:val="3"/>
        <w:rPr>
          <w:b/>
          <w:bCs/>
          <w:color w:val="auto"/>
        </w:rPr>
      </w:pPr>
      <w:r>
        <w:rPr>
          <w:rFonts w:hint="eastAsia"/>
          <w:b/>
          <w:bCs/>
          <w:color w:val="auto"/>
        </w:rPr>
        <w:t>7.6.1.11事故切断防范措施</w:t>
      </w:r>
    </w:p>
    <w:p w14:paraId="1E79BEDD">
      <w:pPr>
        <w:ind w:firstLine="480"/>
        <w:rPr>
          <w:rFonts w:hint="eastAsia" w:hAnsi="宋体"/>
          <w:color w:val="auto"/>
        </w:rPr>
      </w:pPr>
      <w:r>
        <w:rPr>
          <w:rFonts w:hint="eastAsia" w:hAnsi="宋体"/>
          <w:color w:val="auto"/>
        </w:rPr>
        <w:t>1、物料输送切断</w:t>
      </w:r>
    </w:p>
    <w:p w14:paraId="5F70B3D6">
      <w:pPr>
        <w:ind w:firstLine="480"/>
        <w:rPr>
          <w:rFonts w:hint="eastAsia" w:hAnsi="宋体"/>
          <w:color w:val="auto"/>
        </w:rPr>
      </w:pPr>
      <w:r>
        <w:rPr>
          <w:rFonts w:hint="eastAsia" w:hAnsi="宋体"/>
          <w:color w:val="auto"/>
        </w:rPr>
        <w:t>在乙腈储存区、生产装置区的物料输送管道上，安装紧急切断阀。切断阀采用气动或电动控制方式，与可燃气体报警装置、视频监控系统以及环境应急指挥平台联动。当发生乙腈泄漏、燃烧爆炸等紧急情况时，可通过现场手动按钮、远程控制平台或自动触发机制，迅速关闭切断阀，切断物料输送，防止乙腈进一步泄漏，减少事故影响范围。同时，对切断阀定期进行维护保养与测试，确保其在紧急情况下能够正常工作。</w:t>
      </w:r>
    </w:p>
    <w:p w14:paraId="5D1F45D5">
      <w:pPr>
        <w:ind w:firstLine="480"/>
        <w:rPr>
          <w:rFonts w:hint="eastAsia" w:hAnsi="宋体"/>
          <w:color w:val="auto"/>
        </w:rPr>
      </w:pPr>
      <w:r>
        <w:rPr>
          <w:rFonts w:hint="eastAsia" w:hAnsi="宋体"/>
          <w:color w:val="auto"/>
        </w:rPr>
        <w:t>2、电源与动力切断</w:t>
      </w:r>
    </w:p>
    <w:p w14:paraId="4B958268">
      <w:pPr>
        <w:ind w:firstLine="480"/>
        <w:rPr>
          <w:rFonts w:hint="eastAsia" w:hAnsi="宋体"/>
          <w:color w:val="auto"/>
        </w:rPr>
      </w:pPr>
      <w:r>
        <w:rPr>
          <w:rFonts w:hint="eastAsia" w:hAnsi="宋体"/>
          <w:color w:val="auto"/>
        </w:rPr>
        <w:t>针对涉及乙腈生产、储存、输送等关键环节的用电设备及动力系统，设置应急电源切断装置。在突发环境事件时，若判断继续供电可能引发更大风险（如电气设备短路引发火灾蔓延），可通过环境应急指挥中心远程操作或现场应急人员手动操作，快速切断相关区域的电源与动力供应，避免因电气故障导致事故恶化。此外，配备备用电源，保障应急照明、通风系统、在线监测设备等关键应急设施在停电期间的正常运行。</w:t>
      </w:r>
    </w:p>
    <w:p w14:paraId="218401F2">
      <w:pPr>
        <w:ind w:firstLine="480"/>
        <w:rPr>
          <w:rFonts w:hint="eastAsia" w:hAnsi="宋体"/>
          <w:color w:val="auto"/>
        </w:rPr>
      </w:pPr>
      <w:r>
        <w:rPr>
          <w:rFonts w:hint="eastAsia" w:hAnsi="宋体"/>
          <w:color w:val="auto"/>
        </w:rPr>
        <w:t>3、雨水及污水管网切断</w:t>
      </w:r>
    </w:p>
    <w:p w14:paraId="172D5D19">
      <w:pPr>
        <w:ind w:firstLine="480"/>
        <w:rPr>
          <w:rFonts w:hint="eastAsia" w:hAnsi="宋体"/>
          <w:color w:val="auto"/>
        </w:rPr>
      </w:pPr>
      <w:r>
        <w:rPr>
          <w:rFonts w:hint="eastAsia" w:hAnsi="宋体"/>
          <w:color w:val="auto"/>
        </w:rPr>
        <w:t>在厂区雨水管网、污水管网与外界连通处，设置自动切断闸门。闸门配备电动驱动装置与液位感应装置，与雨水排口水质在线监测设备、应急事故池液位监测系统联动。当监测到雨水排口水质异常或应急事故池液位接近警戒值时，自动关闭切断闸门，防止受污染的雨水、事故废水排入外环境；同时，可在环境应急指挥中心远程控制闸门开合，确保在紧急情况下能够迅速阻断污染物扩散路径，保障周边水体环境安全。</w:t>
      </w:r>
    </w:p>
    <w:p w14:paraId="4471EF69">
      <w:pPr>
        <w:pStyle w:val="5"/>
        <w:spacing w:before="192"/>
        <w:rPr>
          <w:color w:val="auto"/>
        </w:rPr>
      </w:pPr>
      <w:bookmarkStart w:id="326" w:name="_Hlk132821907"/>
      <w:r>
        <w:rPr>
          <w:rFonts w:hint="eastAsia"/>
          <w:color w:val="auto"/>
        </w:rPr>
        <w:t>7.6.1.12</w:t>
      </w:r>
      <w:r>
        <w:rPr>
          <w:color w:val="auto"/>
        </w:rPr>
        <w:t>建立与园区对接、联动的风险防范体系</w:t>
      </w:r>
    </w:p>
    <w:p w14:paraId="27C0FE03">
      <w:pPr>
        <w:adjustRightInd/>
        <w:snapToGrid/>
        <w:ind w:firstLine="480"/>
        <w:rPr>
          <w:color w:val="auto"/>
          <w:szCs w:val="22"/>
          <w:lang w:val="zh-CN"/>
        </w:rPr>
      </w:pPr>
      <w:r>
        <w:rPr>
          <w:color w:val="auto"/>
          <w:szCs w:val="22"/>
          <w:lang w:val="zh-CN"/>
        </w:rPr>
        <w:t>亚太药业环境风险防范应建立与园区对接、联动的风险防范体系。可从以下几个方面进行建设：</w:t>
      </w:r>
    </w:p>
    <w:p w14:paraId="31427612">
      <w:pPr>
        <w:adjustRightInd/>
        <w:snapToGrid/>
        <w:ind w:firstLine="480"/>
        <w:rPr>
          <w:color w:val="auto"/>
          <w:szCs w:val="22"/>
          <w:lang w:val="zh-CN"/>
        </w:rPr>
      </w:pPr>
      <w:r>
        <w:rPr>
          <w:color w:val="auto"/>
          <w:szCs w:val="22"/>
          <w:lang w:val="zh-CN"/>
        </w:rPr>
        <w:t>(1)与园区环境风险应急预案的衔接</w:t>
      </w:r>
    </w:p>
    <w:p w14:paraId="6D58FE03">
      <w:pPr>
        <w:adjustRightInd/>
        <w:snapToGrid/>
        <w:ind w:firstLine="480"/>
        <w:rPr>
          <w:color w:val="auto"/>
          <w:szCs w:val="22"/>
          <w:lang w:val="zh-CN"/>
        </w:rPr>
      </w:pPr>
      <w:r>
        <w:rPr>
          <w:color w:val="auto"/>
          <w:szCs w:val="22"/>
          <w:lang w:val="zh-CN"/>
        </w:rPr>
        <w:t>亚太药业应急预案应与园区突发环境事件应急预案、启东市突发环境事件应急预案等相衔接。当亚太药业发生重大突发环境事件，超出企业处理能力时，由上级部门启动相应应急预案，亚太药业应急小组配合上级部门开展应急处置工作。</w:t>
      </w:r>
    </w:p>
    <w:p w14:paraId="74335EE2">
      <w:pPr>
        <w:adjustRightInd/>
        <w:snapToGrid/>
        <w:ind w:firstLine="480"/>
        <w:rPr>
          <w:color w:val="auto"/>
          <w:szCs w:val="22"/>
          <w:lang w:val="zh-CN"/>
        </w:rPr>
      </w:pPr>
      <w:r>
        <w:rPr>
          <w:color w:val="auto"/>
          <w:szCs w:val="22"/>
          <w:lang w:val="zh-CN"/>
        </w:rPr>
        <w:t>(2)风险报警系统的衔接</w:t>
      </w:r>
    </w:p>
    <w:p w14:paraId="47636628">
      <w:pPr>
        <w:adjustRightInd/>
        <w:snapToGrid/>
        <w:ind w:firstLine="480"/>
        <w:rPr>
          <w:color w:val="auto"/>
          <w:szCs w:val="22"/>
          <w:lang w:val="zh-CN"/>
        </w:rPr>
      </w:pPr>
      <w:r>
        <w:rPr>
          <w:color w:val="auto"/>
          <w:szCs w:val="22"/>
          <w:lang w:val="zh-CN"/>
        </w:rPr>
        <w:t>①公司消防系统与园区消防站配套建设；厂内采用电话报警，火灾报警信号报送至厂内值班室，随后人工上报至园区消防站。</w:t>
      </w:r>
    </w:p>
    <w:p w14:paraId="0919E6E8">
      <w:pPr>
        <w:adjustRightInd/>
        <w:snapToGrid/>
        <w:ind w:firstLine="480"/>
        <w:rPr>
          <w:color w:val="auto"/>
          <w:szCs w:val="22"/>
          <w:lang w:val="zh-CN"/>
        </w:rPr>
      </w:pPr>
      <w:r>
        <w:rPr>
          <w:color w:val="auto"/>
          <w:szCs w:val="22"/>
          <w:lang w:val="zh-CN"/>
        </w:rPr>
        <w:t>②企业所使用的危险化学品种类及数量及时上报园区应急指挥中心，并将可能发生的事故类型及对应的救援方案纳入园区风险管理体系。园区环境应急指挥中心应建立入区企业事故类型、应急物资数据库，一旦区内某一家企业发生风险事故，可立即调配其余企业的同类型救援物资进行救援，构筑“一家有难，集体联动”的防范体系。</w:t>
      </w:r>
    </w:p>
    <w:p w14:paraId="776A5E55">
      <w:pPr>
        <w:adjustRightInd/>
        <w:snapToGrid/>
        <w:ind w:firstLine="480"/>
        <w:rPr>
          <w:color w:val="auto"/>
          <w:szCs w:val="22"/>
          <w:lang w:val="zh-CN"/>
        </w:rPr>
      </w:pPr>
      <w:r>
        <w:rPr>
          <w:color w:val="auto"/>
          <w:szCs w:val="22"/>
          <w:lang w:val="zh-CN"/>
        </w:rPr>
        <w:t>③企业需设置有毒有害及可燃气体在线监测仪，一旦发生超标或事故排放，立即启动厂内应急预案，并同时上报至园区，启动园区应急预案。</w:t>
      </w:r>
    </w:p>
    <w:p w14:paraId="4CD1AE64">
      <w:pPr>
        <w:adjustRightInd/>
        <w:snapToGrid/>
        <w:ind w:firstLine="480"/>
        <w:rPr>
          <w:color w:val="auto"/>
          <w:szCs w:val="22"/>
          <w:lang w:val="zh-CN"/>
        </w:rPr>
      </w:pPr>
      <w:r>
        <w:rPr>
          <w:color w:val="auto"/>
          <w:szCs w:val="22"/>
          <w:lang w:val="zh-CN"/>
        </w:rPr>
        <w:t>(3)应急防范设施的衔接</w:t>
      </w:r>
    </w:p>
    <w:p w14:paraId="390ED22E">
      <w:pPr>
        <w:adjustRightInd/>
        <w:snapToGrid/>
        <w:ind w:firstLine="480"/>
        <w:rPr>
          <w:color w:val="auto"/>
          <w:szCs w:val="22"/>
          <w:lang w:val="zh-CN"/>
        </w:rPr>
      </w:pPr>
      <w:r>
        <w:rPr>
          <w:color w:val="auto"/>
          <w:szCs w:val="22"/>
          <w:lang w:val="zh-CN"/>
        </w:rPr>
        <w:t>当风险事故废水超过企业处理能力后，应及时向园区相关单位请求援助，收集事故废水，以免风险事故进一步扩大。</w:t>
      </w:r>
    </w:p>
    <w:p w14:paraId="3BD41570">
      <w:pPr>
        <w:adjustRightInd/>
        <w:snapToGrid/>
        <w:ind w:firstLine="480"/>
        <w:rPr>
          <w:color w:val="auto"/>
          <w:szCs w:val="22"/>
          <w:lang w:val="zh-CN"/>
        </w:rPr>
      </w:pPr>
      <w:r>
        <w:rPr>
          <w:color w:val="auto"/>
          <w:szCs w:val="22"/>
          <w:lang w:val="zh-CN"/>
        </w:rPr>
        <w:t>(4)应急救援物资的衔接</w:t>
      </w:r>
    </w:p>
    <w:p w14:paraId="429FFFE2">
      <w:pPr>
        <w:adjustRightInd/>
        <w:snapToGrid/>
        <w:ind w:firstLine="480"/>
        <w:rPr>
          <w:color w:val="auto"/>
          <w:szCs w:val="22"/>
          <w:lang w:val="zh-CN"/>
        </w:rPr>
      </w:pPr>
      <w:r>
        <w:rPr>
          <w:color w:val="auto"/>
          <w:szCs w:val="22"/>
          <w:lang w:val="zh-CN"/>
        </w:rPr>
        <w:t>当企业应急救援物资不能满足事故现场需求时，可在应急指挥中心或园区应急中心协调下向邻近企业请求援助，以免风险事故的扩大，同时应服从园区调度，对其他单位援助请求进行帮助。</w:t>
      </w:r>
    </w:p>
    <w:p w14:paraId="4F016564">
      <w:pPr>
        <w:adjustRightInd/>
        <w:snapToGrid/>
        <w:ind w:firstLine="480"/>
        <w:rPr>
          <w:color w:val="auto"/>
          <w:szCs w:val="22"/>
          <w:lang w:val="zh-CN"/>
        </w:rPr>
      </w:pPr>
      <w:r>
        <w:rPr>
          <w:color w:val="auto"/>
          <w:szCs w:val="22"/>
          <w:lang w:val="zh-CN"/>
        </w:rPr>
        <w:t>(5)应急组织机构、人员的衔接</w:t>
      </w:r>
    </w:p>
    <w:p w14:paraId="5C35ED1A">
      <w:pPr>
        <w:adjustRightInd/>
        <w:snapToGrid/>
        <w:ind w:firstLine="480"/>
        <w:rPr>
          <w:color w:val="auto"/>
          <w:szCs w:val="22"/>
          <w:lang w:val="zh-CN"/>
        </w:rPr>
      </w:pPr>
      <w:r>
        <w:rPr>
          <w:color w:val="auto"/>
          <w:szCs w:val="22"/>
          <w:lang w:val="zh-CN"/>
        </w:rPr>
        <w:t>当发生风险事故时，项目对外联络组应及时承担起与当地区域或各职能管理部门的应急指挥机构的联系工作，及时将事故发生情况及最新进展向有关部门汇报，并将上级指挥机构的命令及时向项目应急指挥小组汇报；编制环境污染事故报告，并将报告向上级部门汇报。</w:t>
      </w:r>
    </w:p>
    <w:p w14:paraId="2268305B">
      <w:pPr>
        <w:adjustRightInd/>
        <w:snapToGrid/>
        <w:ind w:firstLine="480"/>
        <w:rPr>
          <w:color w:val="auto"/>
          <w:szCs w:val="22"/>
          <w:lang w:val="zh-CN"/>
        </w:rPr>
      </w:pPr>
      <w:r>
        <w:rPr>
          <w:color w:val="auto"/>
          <w:szCs w:val="22"/>
          <w:lang w:val="zh-CN"/>
        </w:rPr>
        <w:t>(6)预案分级响应的衔接</w:t>
      </w:r>
    </w:p>
    <w:p w14:paraId="7414B196">
      <w:pPr>
        <w:adjustRightInd/>
        <w:snapToGrid/>
        <w:ind w:firstLine="480"/>
        <w:rPr>
          <w:color w:val="auto"/>
          <w:szCs w:val="22"/>
          <w:lang w:val="zh-CN"/>
        </w:rPr>
      </w:pPr>
      <w:r>
        <w:rPr>
          <w:color w:val="auto"/>
          <w:szCs w:val="22"/>
          <w:lang w:val="zh-CN"/>
        </w:rPr>
        <w:t>①一般污染事故：在污染事故现场处置妥当后，经应急指挥小组研究确定后，向当地生态环境部门及园区事故应急指挥中心报告处理结果。</w:t>
      </w:r>
    </w:p>
    <w:p w14:paraId="6D8BD100">
      <w:pPr>
        <w:adjustRightInd/>
        <w:snapToGrid/>
        <w:ind w:firstLine="480"/>
        <w:rPr>
          <w:color w:val="auto"/>
          <w:szCs w:val="22"/>
          <w:lang w:val="zh-CN"/>
        </w:rPr>
      </w:pPr>
      <w:r>
        <w:rPr>
          <w:color w:val="auto"/>
          <w:szCs w:val="22"/>
          <w:lang w:val="zh-CN"/>
        </w:rPr>
        <w:t>②较大或重大污染事故：应急指挥小组在接到事故报警后，及时向园区事故应急指挥部、启东市、南通市应急指挥中心报告，并请求支持；园区应急指挥部进行紧急动员，适时启动区域的环境污染事故应急预案迅速调集救援力量，指挥各园区成员单位、相关职能部门，根据应急预案组成各个应急行动小组，按照各自的职责和现场救援具体方案开展抢险救援工作，厂内应急小组听从园区现场指挥部的领导。应急指挥中心同时将有关进展情况向启东市、南通市应急指挥部汇报；污染事故基本控制稳定后，应急指挥中心将根据专家意见，迅速调集后援力量展开事故处置工作。现场应急处理结束。当污染事故有进一步扩大、发展趋势，或因事故衍生问题造成重大社会不稳定事态，应急指挥中心将根据事态发展，及时调整应急响应级别，发布预警信息，同时向启东市、南通市应急指挥部和省环境污染事故应急指挥部请求援助。</w:t>
      </w:r>
    </w:p>
    <w:p w14:paraId="208BA709">
      <w:pPr>
        <w:adjustRightInd/>
        <w:snapToGrid/>
        <w:ind w:firstLine="480"/>
        <w:rPr>
          <w:color w:val="auto"/>
          <w:szCs w:val="22"/>
          <w:lang w:val="zh-CN"/>
        </w:rPr>
      </w:pPr>
      <w:r>
        <w:rPr>
          <w:color w:val="auto"/>
          <w:szCs w:val="22"/>
          <w:lang w:val="zh-CN"/>
        </w:rPr>
        <w:t>(7)应急救援保障的衔接</w:t>
      </w:r>
    </w:p>
    <w:p w14:paraId="099E4307">
      <w:pPr>
        <w:adjustRightInd/>
        <w:snapToGrid/>
        <w:ind w:firstLine="480"/>
        <w:rPr>
          <w:color w:val="auto"/>
          <w:szCs w:val="22"/>
          <w:lang w:val="zh-CN"/>
        </w:rPr>
      </w:pPr>
      <w:r>
        <w:rPr>
          <w:color w:val="auto"/>
          <w:szCs w:val="22"/>
          <w:lang w:val="zh-CN"/>
        </w:rPr>
        <w:t>①单位互助体系：积极联络周边企业，并与周边企业建立良好的应急互助关系，在重大事故发生后，相互支持。</w:t>
      </w:r>
    </w:p>
    <w:p w14:paraId="7A7E3DD8">
      <w:pPr>
        <w:adjustRightInd/>
        <w:snapToGrid/>
        <w:ind w:firstLine="480"/>
        <w:rPr>
          <w:color w:val="auto"/>
          <w:szCs w:val="22"/>
          <w:lang w:val="zh-CN"/>
        </w:rPr>
      </w:pPr>
      <w:r>
        <w:rPr>
          <w:color w:val="auto"/>
          <w:szCs w:val="22"/>
          <w:lang w:val="zh-CN"/>
        </w:rPr>
        <w:t>②公共援助力量：企业还可以联系园区、启东生态环境、应急管理、消防、医院、公安、交通以及各相关职能部门，请求救援力量、设备的支持。</w:t>
      </w:r>
    </w:p>
    <w:p w14:paraId="2F97DF63">
      <w:pPr>
        <w:adjustRightInd/>
        <w:snapToGrid/>
        <w:ind w:firstLine="480"/>
        <w:rPr>
          <w:color w:val="auto"/>
          <w:szCs w:val="22"/>
          <w:lang w:val="zh-CN"/>
        </w:rPr>
      </w:pPr>
      <w:r>
        <w:rPr>
          <w:color w:val="auto"/>
          <w:szCs w:val="22"/>
          <w:lang w:val="zh-CN"/>
        </w:rPr>
        <w:t>③专家援助：企业建立环境风险事故救援专家库，在紧急情况下，可以联系获取救援支持。</w:t>
      </w:r>
    </w:p>
    <w:p w14:paraId="4101A722">
      <w:pPr>
        <w:adjustRightInd/>
        <w:snapToGrid/>
        <w:ind w:firstLine="480"/>
        <w:rPr>
          <w:color w:val="auto"/>
          <w:szCs w:val="22"/>
          <w:lang w:val="zh-CN"/>
        </w:rPr>
      </w:pPr>
      <w:r>
        <w:rPr>
          <w:color w:val="auto"/>
          <w:szCs w:val="22"/>
          <w:lang w:val="zh-CN"/>
        </w:rPr>
        <w:t>(8)应急培训计划的衔接</w:t>
      </w:r>
    </w:p>
    <w:p w14:paraId="62422624">
      <w:pPr>
        <w:adjustRightInd/>
        <w:snapToGrid/>
        <w:ind w:firstLine="480"/>
        <w:rPr>
          <w:color w:val="auto"/>
          <w:szCs w:val="22"/>
          <w:lang w:val="zh-CN"/>
        </w:rPr>
      </w:pPr>
      <w:r>
        <w:rPr>
          <w:color w:val="auto"/>
          <w:szCs w:val="22"/>
          <w:lang w:val="zh-CN"/>
        </w:rPr>
        <w:t>企业在开展应急培训计划的同时，还应积极配合园区、启东市、南通市开展的应急培训计划，在发生风险事故时，及时与园区应急组织取得联系。</w:t>
      </w:r>
    </w:p>
    <w:p w14:paraId="0847F675">
      <w:pPr>
        <w:adjustRightInd/>
        <w:snapToGrid/>
        <w:ind w:firstLine="480"/>
        <w:rPr>
          <w:color w:val="auto"/>
          <w:szCs w:val="22"/>
          <w:lang w:val="zh-CN"/>
        </w:rPr>
      </w:pPr>
      <w:r>
        <w:rPr>
          <w:color w:val="auto"/>
          <w:szCs w:val="22"/>
          <w:lang w:val="zh-CN"/>
        </w:rPr>
        <w:t>(9)信息通报系统</w:t>
      </w:r>
    </w:p>
    <w:p w14:paraId="3E8EEE06">
      <w:pPr>
        <w:adjustRightInd/>
        <w:snapToGrid/>
        <w:ind w:firstLine="480"/>
        <w:rPr>
          <w:color w:val="auto"/>
          <w:szCs w:val="22"/>
          <w:lang w:val="zh-CN"/>
        </w:rPr>
      </w:pPr>
      <w:r>
        <w:rPr>
          <w:color w:val="auto"/>
          <w:szCs w:val="22"/>
          <w:lang w:val="zh-CN"/>
        </w:rPr>
        <w:t>建设畅通的信息通道，使企业应急指挥部必须与周边企业、园区管理办公室及周边村庄村委会保持24小时的电话联系。一旦发生风险事故，可在第一时间通知相关单位组织居民疏散、撤离。</w:t>
      </w:r>
    </w:p>
    <w:p w14:paraId="098072BE">
      <w:pPr>
        <w:adjustRightInd/>
        <w:snapToGrid/>
        <w:ind w:firstLine="480"/>
        <w:rPr>
          <w:color w:val="auto"/>
          <w:szCs w:val="22"/>
          <w:lang w:val="zh-CN"/>
        </w:rPr>
      </w:pPr>
      <w:r>
        <w:rPr>
          <w:color w:val="auto"/>
          <w:szCs w:val="22"/>
          <w:lang w:val="zh-CN"/>
        </w:rPr>
        <w:t>(10)公众教育的衔接</w:t>
      </w:r>
    </w:p>
    <w:p w14:paraId="77A846B8">
      <w:pPr>
        <w:adjustRightInd/>
        <w:snapToGrid/>
        <w:ind w:firstLine="480"/>
        <w:rPr>
          <w:color w:val="auto"/>
          <w:szCs w:val="22"/>
          <w:lang w:val="zh-CN"/>
        </w:rPr>
      </w:pPr>
      <w:r>
        <w:rPr>
          <w:color w:val="auto"/>
          <w:szCs w:val="22"/>
          <w:lang w:val="zh-CN"/>
        </w:rPr>
        <w:t>企业对厂内和附近地区公众开展教育、培训时，应加强与周边公众和园区相关单位的交流，如发生事故，可更好的疏散、防护污染。</w:t>
      </w:r>
    </w:p>
    <w:p w14:paraId="7CE1A01B">
      <w:pPr>
        <w:adjustRightInd/>
        <w:snapToGrid/>
        <w:ind w:firstLine="480"/>
        <w:rPr>
          <w:color w:val="auto"/>
          <w:szCs w:val="22"/>
          <w:lang w:val="zh-CN"/>
        </w:rPr>
      </w:pPr>
      <w:r>
        <w:rPr>
          <w:color w:val="auto"/>
          <w:szCs w:val="22"/>
          <w:lang w:val="zh-CN"/>
        </w:rPr>
        <w:t>(11)与园区环境风险防范联动</w:t>
      </w:r>
    </w:p>
    <w:p w14:paraId="3706B6AC">
      <w:pPr>
        <w:adjustRightInd/>
        <w:snapToGrid/>
        <w:ind w:firstLine="480"/>
        <w:rPr>
          <w:color w:val="auto"/>
          <w:szCs w:val="22"/>
          <w:lang w:val="zh-CN"/>
        </w:rPr>
      </w:pPr>
      <w:r>
        <w:rPr>
          <w:color w:val="auto"/>
          <w:szCs w:val="22"/>
          <w:lang w:val="zh-CN"/>
        </w:rPr>
        <w:t>建立企业、园区两级应急联动机制，当事件超出本企业应急能力时，及时请求园区应急指挥部支援，由园区协调相关部门参与有关道路运输、土壤、河流等方面的突发环境事件现场处置工作，提供专业技术指导，并为应急处置人员提供开展城建、管道、道路、地质、水利设施等信息资料，确保应急救援工作顺利开展。同时应建立与当地环保公司、检测公司的应急联动机制，广泛调动社会力量，保障事故能得到快速有效的处理处置。</w:t>
      </w:r>
    </w:p>
    <w:bookmarkEnd w:id="326"/>
    <w:p w14:paraId="0CB81303">
      <w:pPr>
        <w:pStyle w:val="5"/>
        <w:spacing w:before="192"/>
        <w:rPr>
          <w:color w:val="auto"/>
        </w:rPr>
      </w:pPr>
      <w:r>
        <w:rPr>
          <w:rFonts w:hint="eastAsia"/>
          <w:color w:val="auto"/>
        </w:rPr>
        <w:t>7.16.1.13现有环境风险防范措施依托可行性</w:t>
      </w:r>
    </w:p>
    <w:p w14:paraId="56E97AD0">
      <w:pPr>
        <w:ind w:firstLine="480"/>
        <w:rPr>
          <w:rFonts w:hint="eastAsia" w:hAnsi="宋体"/>
          <w:color w:val="auto"/>
        </w:rPr>
      </w:pPr>
      <w:r>
        <w:rPr>
          <w:rFonts w:hint="eastAsia" w:hAnsi="宋体"/>
          <w:color w:val="auto"/>
        </w:rPr>
        <w:t>本项目生产设备、罐区、环保设施、公辅工程等均依托现有，风险防范措施也依托厂区现有风险防范措施，详见下表。</w:t>
      </w:r>
    </w:p>
    <w:p w14:paraId="3B8B398B">
      <w:pPr>
        <w:pStyle w:val="49"/>
        <w:rPr>
          <w:color w:val="auto"/>
        </w:rPr>
      </w:pPr>
      <w:r>
        <w:rPr>
          <w:rFonts w:hint="eastAsia"/>
          <w:color w:val="auto"/>
        </w:rPr>
        <w:t>表7.6-1  拟建项目与现有风险防范措施依托关系</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16"/>
        <w:gridCol w:w="597"/>
        <w:gridCol w:w="2106"/>
        <w:gridCol w:w="3703"/>
        <w:gridCol w:w="2631"/>
      </w:tblGrid>
      <w:tr w14:paraId="513468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Align w:val="center"/>
          </w:tcPr>
          <w:p w14:paraId="234324DE">
            <w:pPr>
              <w:spacing w:line="300" w:lineRule="auto"/>
              <w:ind w:firstLine="0" w:firstLineChars="0"/>
              <w:jc w:val="center"/>
              <w:rPr>
                <w:b/>
                <w:bCs/>
                <w:color w:val="auto"/>
                <w:sz w:val="21"/>
                <w:szCs w:val="21"/>
              </w:rPr>
            </w:pPr>
            <w:r>
              <w:rPr>
                <w:b/>
                <w:bCs/>
                <w:color w:val="auto"/>
                <w:sz w:val="21"/>
                <w:szCs w:val="21"/>
              </w:rPr>
              <w:t>类别</w:t>
            </w:r>
          </w:p>
        </w:tc>
        <w:tc>
          <w:tcPr>
            <w:tcW w:w="303" w:type="pct"/>
            <w:vAlign w:val="center"/>
          </w:tcPr>
          <w:p w14:paraId="48BEAC2E">
            <w:pPr>
              <w:spacing w:line="300" w:lineRule="auto"/>
              <w:ind w:firstLine="0" w:firstLineChars="0"/>
              <w:jc w:val="center"/>
              <w:rPr>
                <w:b/>
                <w:bCs/>
                <w:color w:val="auto"/>
                <w:sz w:val="21"/>
                <w:szCs w:val="21"/>
              </w:rPr>
            </w:pPr>
            <w:r>
              <w:rPr>
                <w:b/>
                <w:bCs/>
                <w:color w:val="auto"/>
                <w:sz w:val="21"/>
                <w:szCs w:val="21"/>
              </w:rPr>
              <w:t>序号</w:t>
            </w:r>
          </w:p>
        </w:tc>
        <w:tc>
          <w:tcPr>
            <w:tcW w:w="1068" w:type="pct"/>
            <w:vAlign w:val="center"/>
          </w:tcPr>
          <w:p w14:paraId="444ADF89">
            <w:pPr>
              <w:spacing w:line="300" w:lineRule="auto"/>
              <w:ind w:left="24" w:leftChars="10" w:firstLine="0" w:firstLineChars="0"/>
              <w:jc w:val="center"/>
              <w:rPr>
                <w:b/>
                <w:bCs/>
                <w:color w:val="auto"/>
                <w:sz w:val="21"/>
                <w:szCs w:val="21"/>
              </w:rPr>
            </w:pPr>
            <w:r>
              <w:rPr>
                <w:b/>
                <w:bCs/>
                <w:color w:val="auto"/>
                <w:sz w:val="21"/>
                <w:szCs w:val="21"/>
              </w:rPr>
              <w:t>措施名称</w:t>
            </w:r>
          </w:p>
        </w:tc>
        <w:tc>
          <w:tcPr>
            <w:tcW w:w="1878" w:type="pct"/>
            <w:vAlign w:val="center"/>
          </w:tcPr>
          <w:p w14:paraId="1AEC6B21">
            <w:pPr>
              <w:spacing w:line="300" w:lineRule="auto"/>
              <w:ind w:left="-55" w:leftChars="-23" w:firstLine="0" w:firstLineChars="0"/>
              <w:jc w:val="center"/>
              <w:rPr>
                <w:b/>
                <w:bCs/>
                <w:color w:val="auto"/>
                <w:sz w:val="21"/>
                <w:szCs w:val="21"/>
              </w:rPr>
            </w:pPr>
            <w:r>
              <w:rPr>
                <w:rFonts w:hint="eastAsia"/>
                <w:b/>
                <w:bCs/>
                <w:color w:val="auto"/>
                <w:sz w:val="21"/>
                <w:szCs w:val="21"/>
              </w:rPr>
              <w:t>现有项目情况</w:t>
            </w:r>
          </w:p>
        </w:tc>
        <w:tc>
          <w:tcPr>
            <w:tcW w:w="1334" w:type="pct"/>
            <w:vAlign w:val="center"/>
          </w:tcPr>
          <w:p w14:paraId="29ED6057">
            <w:pPr>
              <w:spacing w:line="300" w:lineRule="auto"/>
              <w:ind w:left="-55" w:leftChars="-23" w:firstLine="0" w:firstLineChars="0"/>
              <w:jc w:val="center"/>
              <w:rPr>
                <w:b/>
                <w:bCs/>
                <w:color w:val="auto"/>
                <w:sz w:val="21"/>
                <w:szCs w:val="21"/>
              </w:rPr>
            </w:pPr>
            <w:r>
              <w:rPr>
                <w:rFonts w:hint="eastAsia"/>
                <w:b/>
                <w:bCs/>
                <w:color w:val="auto"/>
                <w:sz w:val="21"/>
                <w:szCs w:val="21"/>
              </w:rPr>
              <w:t>备注</w:t>
            </w:r>
          </w:p>
        </w:tc>
      </w:tr>
      <w:tr w14:paraId="3FBDAF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restart"/>
            <w:vAlign w:val="center"/>
          </w:tcPr>
          <w:p w14:paraId="2B6134EE">
            <w:pPr>
              <w:spacing w:line="300" w:lineRule="auto"/>
              <w:ind w:firstLine="0" w:firstLineChars="0"/>
              <w:jc w:val="center"/>
              <w:rPr>
                <w:color w:val="auto"/>
                <w:sz w:val="21"/>
                <w:szCs w:val="21"/>
              </w:rPr>
            </w:pPr>
            <w:r>
              <w:rPr>
                <w:color w:val="auto"/>
                <w:sz w:val="21"/>
                <w:szCs w:val="21"/>
              </w:rPr>
              <w:t>环境风险防范措施</w:t>
            </w:r>
          </w:p>
        </w:tc>
        <w:tc>
          <w:tcPr>
            <w:tcW w:w="303" w:type="pct"/>
            <w:vMerge w:val="restart"/>
            <w:vAlign w:val="center"/>
          </w:tcPr>
          <w:p w14:paraId="252674B4">
            <w:pPr>
              <w:spacing w:line="300" w:lineRule="auto"/>
              <w:ind w:firstLine="0" w:firstLineChars="0"/>
              <w:jc w:val="center"/>
              <w:rPr>
                <w:color w:val="auto"/>
                <w:sz w:val="21"/>
                <w:szCs w:val="21"/>
              </w:rPr>
            </w:pPr>
            <w:r>
              <w:rPr>
                <w:color w:val="auto"/>
                <w:sz w:val="21"/>
                <w:szCs w:val="21"/>
              </w:rPr>
              <w:t>1</w:t>
            </w:r>
          </w:p>
        </w:tc>
        <w:tc>
          <w:tcPr>
            <w:tcW w:w="1068" w:type="pct"/>
            <w:vMerge w:val="restart"/>
            <w:vAlign w:val="center"/>
          </w:tcPr>
          <w:p w14:paraId="24316F57">
            <w:pPr>
              <w:spacing w:line="300" w:lineRule="auto"/>
              <w:ind w:left="24" w:leftChars="10" w:firstLine="0" w:firstLineChars="0"/>
              <w:jc w:val="center"/>
              <w:rPr>
                <w:color w:val="auto"/>
                <w:sz w:val="21"/>
                <w:szCs w:val="21"/>
              </w:rPr>
            </w:pPr>
            <w:r>
              <w:rPr>
                <w:color w:val="auto"/>
                <w:sz w:val="21"/>
                <w:szCs w:val="21"/>
              </w:rPr>
              <w:t>物料泄漏防范措施</w:t>
            </w:r>
          </w:p>
        </w:tc>
        <w:tc>
          <w:tcPr>
            <w:tcW w:w="1878" w:type="pct"/>
            <w:vAlign w:val="center"/>
          </w:tcPr>
          <w:p w14:paraId="04263985">
            <w:pPr>
              <w:spacing w:line="300" w:lineRule="auto"/>
              <w:ind w:left="24" w:leftChars="10" w:firstLine="0" w:firstLineChars="0"/>
              <w:jc w:val="center"/>
              <w:rPr>
                <w:color w:val="auto"/>
                <w:sz w:val="21"/>
                <w:szCs w:val="21"/>
              </w:rPr>
            </w:pPr>
            <w:r>
              <w:rPr>
                <w:rFonts w:hint="eastAsia"/>
                <w:color w:val="auto"/>
                <w:sz w:val="21"/>
                <w:szCs w:val="21"/>
              </w:rPr>
              <w:t>生产车间设置可燃气体或有毒气体检测器</w:t>
            </w:r>
          </w:p>
        </w:tc>
        <w:tc>
          <w:tcPr>
            <w:tcW w:w="1334" w:type="pct"/>
            <w:vAlign w:val="center"/>
          </w:tcPr>
          <w:p w14:paraId="2EAD1FE5">
            <w:pPr>
              <w:spacing w:line="300" w:lineRule="auto"/>
              <w:ind w:left="24" w:leftChars="10" w:firstLine="0" w:firstLineChars="0"/>
              <w:jc w:val="center"/>
              <w:rPr>
                <w:color w:val="auto"/>
                <w:sz w:val="21"/>
                <w:szCs w:val="21"/>
              </w:rPr>
            </w:pPr>
            <w:r>
              <w:rPr>
                <w:rFonts w:hint="eastAsia"/>
                <w:color w:val="auto"/>
                <w:sz w:val="21"/>
                <w:szCs w:val="21"/>
              </w:rPr>
              <w:t>依托现有</w:t>
            </w:r>
          </w:p>
        </w:tc>
      </w:tr>
      <w:tr w14:paraId="165673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50E36A4C">
            <w:pPr>
              <w:spacing w:line="300" w:lineRule="auto"/>
              <w:ind w:firstLine="0" w:firstLineChars="0"/>
              <w:jc w:val="center"/>
              <w:rPr>
                <w:color w:val="auto"/>
                <w:sz w:val="21"/>
                <w:szCs w:val="21"/>
              </w:rPr>
            </w:pPr>
          </w:p>
        </w:tc>
        <w:tc>
          <w:tcPr>
            <w:tcW w:w="303" w:type="pct"/>
            <w:vMerge w:val="continue"/>
            <w:vAlign w:val="center"/>
          </w:tcPr>
          <w:p w14:paraId="2C0D8169">
            <w:pPr>
              <w:spacing w:line="300" w:lineRule="auto"/>
              <w:ind w:firstLine="0" w:firstLineChars="0"/>
              <w:jc w:val="center"/>
              <w:rPr>
                <w:color w:val="auto"/>
                <w:sz w:val="21"/>
                <w:szCs w:val="21"/>
              </w:rPr>
            </w:pPr>
          </w:p>
        </w:tc>
        <w:tc>
          <w:tcPr>
            <w:tcW w:w="1068" w:type="pct"/>
            <w:vMerge w:val="continue"/>
            <w:vAlign w:val="center"/>
          </w:tcPr>
          <w:p w14:paraId="1DD30E00">
            <w:pPr>
              <w:spacing w:line="300" w:lineRule="auto"/>
              <w:ind w:left="24" w:leftChars="10" w:firstLine="0" w:firstLineChars="0"/>
              <w:jc w:val="center"/>
              <w:rPr>
                <w:color w:val="auto"/>
                <w:sz w:val="21"/>
                <w:szCs w:val="21"/>
              </w:rPr>
            </w:pPr>
          </w:p>
        </w:tc>
        <w:tc>
          <w:tcPr>
            <w:tcW w:w="1878" w:type="pct"/>
            <w:vAlign w:val="center"/>
          </w:tcPr>
          <w:p w14:paraId="591134B3">
            <w:pPr>
              <w:spacing w:line="300" w:lineRule="auto"/>
              <w:ind w:left="24" w:leftChars="10" w:firstLine="0" w:firstLineChars="0"/>
              <w:jc w:val="center"/>
              <w:rPr>
                <w:color w:val="auto"/>
                <w:sz w:val="21"/>
                <w:szCs w:val="21"/>
              </w:rPr>
            </w:pPr>
            <w:r>
              <w:rPr>
                <w:rFonts w:hint="eastAsia"/>
                <w:color w:val="auto"/>
                <w:sz w:val="21"/>
                <w:szCs w:val="21"/>
              </w:rPr>
              <w:t>仓库设置可燃气体或有毒气体检测器、</w:t>
            </w:r>
            <w:r>
              <w:rPr>
                <w:color w:val="auto"/>
                <w:sz w:val="21"/>
                <w:szCs w:val="21"/>
              </w:rPr>
              <w:t>物料泄漏收集围堰等</w:t>
            </w:r>
          </w:p>
        </w:tc>
        <w:tc>
          <w:tcPr>
            <w:tcW w:w="1334" w:type="pct"/>
            <w:vAlign w:val="center"/>
          </w:tcPr>
          <w:p w14:paraId="05BC9DBF">
            <w:pPr>
              <w:spacing w:line="300" w:lineRule="auto"/>
              <w:ind w:left="24" w:leftChars="10" w:firstLine="0" w:firstLineChars="0"/>
              <w:jc w:val="center"/>
              <w:rPr>
                <w:color w:val="auto"/>
                <w:sz w:val="21"/>
                <w:szCs w:val="21"/>
              </w:rPr>
            </w:pPr>
            <w:r>
              <w:rPr>
                <w:color w:val="auto"/>
                <w:sz w:val="21"/>
                <w:szCs w:val="21"/>
              </w:rPr>
              <w:t>依托现有</w:t>
            </w:r>
          </w:p>
        </w:tc>
      </w:tr>
      <w:tr w14:paraId="7CD434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162A8B65">
            <w:pPr>
              <w:spacing w:line="300" w:lineRule="auto"/>
              <w:ind w:firstLine="0" w:firstLineChars="0"/>
              <w:jc w:val="center"/>
              <w:rPr>
                <w:color w:val="auto"/>
                <w:sz w:val="21"/>
                <w:szCs w:val="21"/>
              </w:rPr>
            </w:pPr>
          </w:p>
        </w:tc>
        <w:tc>
          <w:tcPr>
            <w:tcW w:w="303" w:type="pct"/>
            <w:vMerge w:val="continue"/>
            <w:vAlign w:val="center"/>
          </w:tcPr>
          <w:p w14:paraId="7D66AC97">
            <w:pPr>
              <w:spacing w:line="300" w:lineRule="auto"/>
              <w:ind w:firstLine="0" w:firstLineChars="0"/>
              <w:jc w:val="center"/>
              <w:rPr>
                <w:color w:val="auto"/>
                <w:sz w:val="21"/>
                <w:szCs w:val="21"/>
              </w:rPr>
            </w:pPr>
          </w:p>
        </w:tc>
        <w:tc>
          <w:tcPr>
            <w:tcW w:w="1068" w:type="pct"/>
            <w:vMerge w:val="continue"/>
            <w:vAlign w:val="center"/>
          </w:tcPr>
          <w:p w14:paraId="2B16BA87">
            <w:pPr>
              <w:spacing w:line="300" w:lineRule="auto"/>
              <w:ind w:left="24" w:leftChars="10" w:firstLine="0" w:firstLineChars="0"/>
              <w:jc w:val="center"/>
              <w:rPr>
                <w:color w:val="auto"/>
                <w:sz w:val="21"/>
                <w:szCs w:val="21"/>
              </w:rPr>
            </w:pPr>
          </w:p>
        </w:tc>
        <w:tc>
          <w:tcPr>
            <w:tcW w:w="1878" w:type="pct"/>
            <w:vAlign w:val="center"/>
          </w:tcPr>
          <w:p w14:paraId="1CAC0273">
            <w:pPr>
              <w:spacing w:line="300" w:lineRule="auto"/>
              <w:ind w:left="24" w:leftChars="10" w:firstLine="0" w:firstLineChars="0"/>
              <w:jc w:val="center"/>
              <w:rPr>
                <w:color w:val="auto"/>
                <w:sz w:val="21"/>
                <w:szCs w:val="21"/>
              </w:rPr>
            </w:pPr>
            <w:r>
              <w:rPr>
                <w:rFonts w:hint="eastAsia"/>
                <w:color w:val="auto"/>
                <w:sz w:val="21"/>
                <w:szCs w:val="21"/>
              </w:rPr>
              <w:t>罐区设置</w:t>
            </w:r>
            <w:r>
              <w:rPr>
                <w:color w:val="auto"/>
                <w:sz w:val="21"/>
                <w:szCs w:val="21"/>
              </w:rPr>
              <w:t>围堰、防火堤、报警系统等</w:t>
            </w:r>
          </w:p>
        </w:tc>
        <w:tc>
          <w:tcPr>
            <w:tcW w:w="1334" w:type="pct"/>
            <w:vAlign w:val="center"/>
          </w:tcPr>
          <w:p w14:paraId="0B1641D3">
            <w:pPr>
              <w:spacing w:line="300" w:lineRule="auto"/>
              <w:ind w:left="24" w:leftChars="10" w:firstLine="0" w:firstLineChars="0"/>
              <w:jc w:val="center"/>
              <w:rPr>
                <w:color w:val="auto"/>
                <w:sz w:val="21"/>
                <w:szCs w:val="21"/>
              </w:rPr>
            </w:pPr>
            <w:r>
              <w:rPr>
                <w:color w:val="auto"/>
                <w:sz w:val="21"/>
                <w:szCs w:val="21"/>
              </w:rPr>
              <w:t>依托现有</w:t>
            </w:r>
          </w:p>
        </w:tc>
      </w:tr>
      <w:tr w14:paraId="0A336B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3BCFE2BB">
            <w:pPr>
              <w:spacing w:line="300" w:lineRule="auto"/>
              <w:ind w:firstLine="0" w:firstLineChars="0"/>
              <w:jc w:val="center"/>
              <w:rPr>
                <w:color w:val="auto"/>
                <w:sz w:val="21"/>
                <w:szCs w:val="21"/>
              </w:rPr>
            </w:pPr>
          </w:p>
        </w:tc>
        <w:tc>
          <w:tcPr>
            <w:tcW w:w="303" w:type="pct"/>
            <w:vAlign w:val="center"/>
          </w:tcPr>
          <w:p w14:paraId="7FAE654C">
            <w:pPr>
              <w:spacing w:line="300" w:lineRule="auto"/>
              <w:ind w:firstLine="0" w:firstLineChars="0"/>
              <w:jc w:val="center"/>
              <w:rPr>
                <w:color w:val="auto"/>
                <w:sz w:val="21"/>
                <w:szCs w:val="21"/>
              </w:rPr>
            </w:pPr>
            <w:r>
              <w:rPr>
                <w:color w:val="auto"/>
                <w:sz w:val="21"/>
                <w:szCs w:val="21"/>
              </w:rPr>
              <w:t>2</w:t>
            </w:r>
          </w:p>
        </w:tc>
        <w:tc>
          <w:tcPr>
            <w:tcW w:w="1068" w:type="pct"/>
            <w:vAlign w:val="center"/>
          </w:tcPr>
          <w:p w14:paraId="7492C174">
            <w:pPr>
              <w:spacing w:line="300" w:lineRule="auto"/>
              <w:ind w:left="24" w:leftChars="10" w:firstLine="0" w:firstLineChars="0"/>
              <w:jc w:val="center"/>
              <w:rPr>
                <w:color w:val="auto"/>
                <w:sz w:val="21"/>
                <w:szCs w:val="21"/>
              </w:rPr>
            </w:pPr>
            <w:r>
              <w:rPr>
                <w:color w:val="auto"/>
                <w:sz w:val="21"/>
                <w:szCs w:val="21"/>
              </w:rPr>
              <w:t>车间火灾防范措施</w:t>
            </w:r>
          </w:p>
        </w:tc>
        <w:tc>
          <w:tcPr>
            <w:tcW w:w="1878" w:type="pct"/>
            <w:vAlign w:val="center"/>
          </w:tcPr>
          <w:p w14:paraId="6537F8E8">
            <w:pPr>
              <w:spacing w:line="300" w:lineRule="auto"/>
              <w:ind w:left="24" w:leftChars="10" w:firstLine="0" w:firstLineChars="0"/>
              <w:jc w:val="center"/>
              <w:rPr>
                <w:color w:val="auto"/>
                <w:sz w:val="21"/>
                <w:szCs w:val="21"/>
              </w:rPr>
            </w:pPr>
            <w:r>
              <w:rPr>
                <w:color w:val="auto"/>
                <w:sz w:val="21"/>
                <w:szCs w:val="21"/>
              </w:rPr>
              <w:t>烟感/温感/声光检测/火焰探测/手报报警系统、消防栓、灭火器、喷淋系统、应急疏散照明等</w:t>
            </w:r>
          </w:p>
        </w:tc>
        <w:tc>
          <w:tcPr>
            <w:tcW w:w="1334" w:type="pct"/>
            <w:vAlign w:val="center"/>
          </w:tcPr>
          <w:p w14:paraId="006D8A76">
            <w:pPr>
              <w:spacing w:line="300" w:lineRule="auto"/>
              <w:ind w:left="24" w:leftChars="10" w:firstLine="0" w:firstLineChars="0"/>
              <w:jc w:val="center"/>
              <w:rPr>
                <w:color w:val="auto"/>
                <w:sz w:val="21"/>
                <w:szCs w:val="21"/>
              </w:rPr>
            </w:pPr>
            <w:r>
              <w:rPr>
                <w:rFonts w:hint="eastAsia"/>
                <w:color w:val="auto"/>
                <w:sz w:val="21"/>
                <w:szCs w:val="21"/>
              </w:rPr>
              <w:t>依托现有</w:t>
            </w:r>
          </w:p>
        </w:tc>
      </w:tr>
      <w:tr w14:paraId="3E7686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6CA33DC4">
            <w:pPr>
              <w:spacing w:line="300" w:lineRule="auto"/>
              <w:ind w:firstLine="0" w:firstLineChars="0"/>
              <w:jc w:val="center"/>
              <w:rPr>
                <w:color w:val="auto"/>
                <w:sz w:val="21"/>
                <w:szCs w:val="21"/>
              </w:rPr>
            </w:pPr>
          </w:p>
        </w:tc>
        <w:tc>
          <w:tcPr>
            <w:tcW w:w="303" w:type="pct"/>
            <w:vAlign w:val="center"/>
          </w:tcPr>
          <w:p w14:paraId="1D6E1625">
            <w:pPr>
              <w:spacing w:line="300" w:lineRule="auto"/>
              <w:ind w:firstLine="0" w:firstLineChars="0"/>
              <w:jc w:val="center"/>
              <w:rPr>
                <w:color w:val="auto"/>
                <w:sz w:val="21"/>
                <w:szCs w:val="21"/>
              </w:rPr>
            </w:pPr>
            <w:r>
              <w:rPr>
                <w:color w:val="auto"/>
                <w:sz w:val="21"/>
                <w:szCs w:val="21"/>
              </w:rPr>
              <w:t>3</w:t>
            </w:r>
          </w:p>
        </w:tc>
        <w:tc>
          <w:tcPr>
            <w:tcW w:w="1068" w:type="pct"/>
            <w:vAlign w:val="center"/>
          </w:tcPr>
          <w:p w14:paraId="0E4F4E8C">
            <w:pPr>
              <w:spacing w:line="300" w:lineRule="auto"/>
              <w:ind w:left="24" w:leftChars="10" w:firstLine="0" w:firstLineChars="0"/>
              <w:jc w:val="center"/>
              <w:rPr>
                <w:color w:val="auto"/>
                <w:sz w:val="21"/>
                <w:szCs w:val="21"/>
              </w:rPr>
            </w:pPr>
            <w:r>
              <w:rPr>
                <w:color w:val="auto"/>
                <w:sz w:val="21"/>
                <w:szCs w:val="21"/>
              </w:rPr>
              <w:t>爆炸防范措施</w:t>
            </w:r>
          </w:p>
        </w:tc>
        <w:tc>
          <w:tcPr>
            <w:tcW w:w="1878" w:type="pct"/>
            <w:vAlign w:val="center"/>
          </w:tcPr>
          <w:p w14:paraId="627BE701">
            <w:pPr>
              <w:spacing w:line="300" w:lineRule="auto"/>
              <w:ind w:left="24" w:leftChars="10" w:firstLine="0" w:firstLineChars="0"/>
              <w:jc w:val="center"/>
              <w:rPr>
                <w:color w:val="auto"/>
                <w:sz w:val="21"/>
                <w:szCs w:val="21"/>
              </w:rPr>
            </w:pPr>
            <w:r>
              <w:rPr>
                <w:rFonts w:hint="eastAsia"/>
                <w:color w:val="auto"/>
                <w:sz w:val="21"/>
                <w:szCs w:val="21"/>
              </w:rPr>
              <w:t>已配备</w:t>
            </w:r>
            <w:r>
              <w:rPr>
                <w:color w:val="auto"/>
                <w:sz w:val="21"/>
                <w:szCs w:val="21"/>
              </w:rPr>
              <w:t>防爆电气、消防设施、报警系统等</w:t>
            </w:r>
            <w:r>
              <w:rPr>
                <w:rFonts w:hint="eastAsia"/>
                <w:color w:val="auto"/>
                <w:sz w:val="21"/>
                <w:szCs w:val="21"/>
              </w:rPr>
              <w:t>，已建立完善的消防及火灾报警系统</w:t>
            </w:r>
          </w:p>
        </w:tc>
        <w:tc>
          <w:tcPr>
            <w:tcW w:w="1334" w:type="pct"/>
            <w:vAlign w:val="center"/>
          </w:tcPr>
          <w:p w14:paraId="66CC3F02">
            <w:pPr>
              <w:spacing w:line="300" w:lineRule="auto"/>
              <w:ind w:left="24" w:leftChars="10" w:firstLine="0" w:firstLineChars="0"/>
              <w:jc w:val="center"/>
              <w:rPr>
                <w:color w:val="auto"/>
                <w:sz w:val="21"/>
                <w:szCs w:val="21"/>
              </w:rPr>
            </w:pPr>
            <w:r>
              <w:rPr>
                <w:rFonts w:hint="eastAsia"/>
                <w:color w:val="auto"/>
                <w:sz w:val="21"/>
                <w:szCs w:val="21"/>
              </w:rPr>
              <w:t>依托现有</w:t>
            </w:r>
          </w:p>
        </w:tc>
      </w:tr>
      <w:tr w14:paraId="11C24B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128BE67C">
            <w:pPr>
              <w:spacing w:line="300" w:lineRule="auto"/>
              <w:ind w:firstLine="0" w:firstLineChars="0"/>
              <w:jc w:val="center"/>
              <w:rPr>
                <w:color w:val="auto"/>
                <w:sz w:val="21"/>
                <w:szCs w:val="21"/>
              </w:rPr>
            </w:pPr>
          </w:p>
        </w:tc>
        <w:tc>
          <w:tcPr>
            <w:tcW w:w="303" w:type="pct"/>
            <w:vAlign w:val="center"/>
          </w:tcPr>
          <w:p w14:paraId="21E32506">
            <w:pPr>
              <w:spacing w:line="300" w:lineRule="auto"/>
              <w:ind w:firstLine="0" w:firstLineChars="0"/>
              <w:jc w:val="center"/>
              <w:rPr>
                <w:color w:val="auto"/>
                <w:sz w:val="21"/>
                <w:szCs w:val="21"/>
              </w:rPr>
            </w:pPr>
            <w:r>
              <w:rPr>
                <w:color w:val="auto"/>
                <w:sz w:val="21"/>
                <w:szCs w:val="21"/>
              </w:rPr>
              <w:t>4</w:t>
            </w:r>
          </w:p>
        </w:tc>
        <w:tc>
          <w:tcPr>
            <w:tcW w:w="1068" w:type="pct"/>
            <w:vAlign w:val="center"/>
          </w:tcPr>
          <w:p w14:paraId="13DED282">
            <w:pPr>
              <w:spacing w:line="300" w:lineRule="auto"/>
              <w:ind w:left="24" w:leftChars="10" w:firstLine="0" w:firstLineChars="0"/>
              <w:jc w:val="center"/>
              <w:rPr>
                <w:color w:val="auto"/>
                <w:sz w:val="21"/>
                <w:szCs w:val="21"/>
              </w:rPr>
            </w:pPr>
            <w:r>
              <w:rPr>
                <w:color w:val="auto"/>
                <w:sz w:val="21"/>
                <w:szCs w:val="21"/>
              </w:rPr>
              <w:t>急救措施</w:t>
            </w:r>
          </w:p>
        </w:tc>
        <w:tc>
          <w:tcPr>
            <w:tcW w:w="1878" w:type="pct"/>
            <w:vAlign w:val="center"/>
          </w:tcPr>
          <w:p w14:paraId="2DBEF027">
            <w:pPr>
              <w:spacing w:line="300" w:lineRule="auto"/>
              <w:ind w:left="24" w:leftChars="10" w:firstLine="0" w:firstLineChars="0"/>
              <w:jc w:val="center"/>
              <w:rPr>
                <w:color w:val="auto"/>
                <w:sz w:val="21"/>
                <w:szCs w:val="21"/>
              </w:rPr>
            </w:pPr>
            <w:r>
              <w:rPr>
                <w:rFonts w:hint="eastAsia"/>
                <w:color w:val="auto"/>
                <w:sz w:val="21"/>
                <w:szCs w:val="21"/>
              </w:rPr>
              <w:t>已配备</w:t>
            </w:r>
            <w:r>
              <w:rPr>
                <w:color w:val="auto"/>
                <w:sz w:val="21"/>
                <w:szCs w:val="21"/>
              </w:rPr>
              <w:t>救援人员、设备、药品等</w:t>
            </w:r>
          </w:p>
        </w:tc>
        <w:tc>
          <w:tcPr>
            <w:tcW w:w="1334" w:type="pct"/>
            <w:vAlign w:val="center"/>
          </w:tcPr>
          <w:p w14:paraId="72B983CA">
            <w:pPr>
              <w:spacing w:line="300" w:lineRule="auto"/>
              <w:ind w:left="24" w:leftChars="10" w:firstLine="0" w:firstLineChars="0"/>
              <w:jc w:val="center"/>
              <w:rPr>
                <w:color w:val="auto"/>
                <w:sz w:val="21"/>
                <w:szCs w:val="21"/>
              </w:rPr>
            </w:pPr>
            <w:r>
              <w:rPr>
                <w:rFonts w:hint="eastAsia"/>
                <w:color w:val="auto"/>
                <w:sz w:val="21"/>
                <w:szCs w:val="21"/>
              </w:rPr>
              <w:t>依托现有</w:t>
            </w:r>
          </w:p>
        </w:tc>
      </w:tr>
      <w:tr w14:paraId="6E265D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793EE98C">
            <w:pPr>
              <w:spacing w:line="300" w:lineRule="auto"/>
              <w:ind w:firstLine="0" w:firstLineChars="0"/>
              <w:jc w:val="center"/>
              <w:rPr>
                <w:color w:val="auto"/>
                <w:sz w:val="21"/>
                <w:szCs w:val="21"/>
              </w:rPr>
            </w:pPr>
          </w:p>
        </w:tc>
        <w:tc>
          <w:tcPr>
            <w:tcW w:w="303" w:type="pct"/>
            <w:vAlign w:val="center"/>
          </w:tcPr>
          <w:p w14:paraId="5827D189">
            <w:pPr>
              <w:spacing w:line="300" w:lineRule="auto"/>
              <w:ind w:firstLine="0" w:firstLineChars="0"/>
              <w:jc w:val="center"/>
              <w:rPr>
                <w:color w:val="auto"/>
                <w:sz w:val="21"/>
                <w:szCs w:val="21"/>
              </w:rPr>
            </w:pPr>
            <w:r>
              <w:rPr>
                <w:color w:val="auto"/>
                <w:sz w:val="21"/>
                <w:szCs w:val="21"/>
              </w:rPr>
              <w:t>5</w:t>
            </w:r>
          </w:p>
        </w:tc>
        <w:tc>
          <w:tcPr>
            <w:tcW w:w="1068" w:type="pct"/>
            <w:vAlign w:val="center"/>
          </w:tcPr>
          <w:p w14:paraId="6A67A38B">
            <w:pPr>
              <w:spacing w:line="300" w:lineRule="auto"/>
              <w:ind w:left="24" w:leftChars="10" w:firstLine="0" w:firstLineChars="0"/>
              <w:jc w:val="center"/>
              <w:rPr>
                <w:color w:val="auto"/>
                <w:sz w:val="21"/>
                <w:szCs w:val="21"/>
              </w:rPr>
            </w:pPr>
            <w:r>
              <w:rPr>
                <w:color w:val="auto"/>
                <w:sz w:val="21"/>
                <w:szCs w:val="21"/>
              </w:rPr>
              <w:t>事故池</w:t>
            </w:r>
            <w:r>
              <w:rPr>
                <w:rFonts w:hint="eastAsia"/>
                <w:color w:val="auto"/>
                <w:sz w:val="21"/>
                <w:szCs w:val="21"/>
              </w:rPr>
              <w:t>应急池</w:t>
            </w:r>
          </w:p>
        </w:tc>
        <w:tc>
          <w:tcPr>
            <w:tcW w:w="1878" w:type="pct"/>
            <w:vAlign w:val="center"/>
          </w:tcPr>
          <w:p w14:paraId="7BDE5AD9">
            <w:pPr>
              <w:spacing w:line="300" w:lineRule="auto"/>
              <w:ind w:left="24" w:leftChars="10" w:firstLine="0" w:firstLineChars="0"/>
              <w:jc w:val="center"/>
              <w:rPr>
                <w:color w:val="auto"/>
                <w:sz w:val="21"/>
                <w:szCs w:val="21"/>
              </w:rPr>
            </w:pPr>
            <w:r>
              <w:rPr>
                <w:rFonts w:hint="eastAsia"/>
                <w:color w:val="auto"/>
                <w:sz w:val="21"/>
                <w:szCs w:val="21"/>
              </w:rPr>
              <w:t>池容分别770m</w:t>
            </w:r>
            <w:r>
              <w:rPr>
                <w:rFonts w:hint="eastAsia"/>
                <w:color w:val="auto"/>
                <w:sz w:val="21"/>
                <w:szCs w:val="21"/>
                <w:vertAlign w:val="superscript"/>
              </w:rPr>
              <w:t>3</w:t>
            </w:r>
          </w:p>
        </w:tc>
        <w:tc>
          <w:tcPr>
            <w:tcW w:w="1334" w:type="pct"/>
            <w:vAlign w:val="center"/>
          </w:tcPr>
          <w:p w14:paraId="52A419A6">
            <w:pPr>
              <w:spacing w:line="300" w:lineRule="auto"/>
              <w:ind w:left="24" w:leftChars="10" w:firstLine="0" w:firstLineChars="0"/>
              <w:jc w:val="center"/>
              <w:rPr>
                <w:color w:val="auto"/>
                <w:sz w:val="21"/>
                <w:szCs w:val="21"/>
              </w:rPr>
            </w:pPr>
            <w:r>
              <w:rPr>
                <w:color w:val="auto"/>
                <w:sz w:val="21"/>
                <w:szCs w:val="21"/>
              </w:rPr>
              <w:t>依托现有</w:t>
            </w:r>
            <w:r>
              <w:rPr>
                <w:rFonts w:hint="eastAsia"/>
                <w:color w:val="auto"/>
                <w:sz w:val="21"/>
                <w:szCs w:val="21"/>
              </w:rPr>
              <w:t>；根据前文计算，本项目需要的事故池容积为732m</w:t>
            </w:r>
            <w:r>
              <w:rPr>
                <w:rFonts w:hint="eastAsia"/>
                <w:color w:val="auto"/>
                <w:sz w:val="21"/>
                <w:szCs w:val="21"/>
                <w:vertAlign w:val="superscript"/>
              </w:rPr>
              <w:t>3</w:t>
            </w:r>
            <w:r>
              <w:rPr>
                <w:rFonts w:hint="eastAsia"/>
                <w:color w:val="auto"/>
                <w:sz w:val="21"/>
                <w:szCs w:val="21"/>
              </w:rPr>
              <w:t>，现有可满足需求。</w:t>
            </w:r>
          </w:p>
        </w:tc>
      </w:tr>
      <w:tr w14:paraId="0334A1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4AA6912B">
            <w:pPr>
              <w:spacing w:line="300" w:lineRule="auto"/>
              <w:ind w:firstLine="0" w:firstLineChars="0"/>
              <w:jc w:val="center"/>
              <w:rPr>
                <w:color w:val="auto"/>
                <w:sz w:val="21"/>
                <w:szCs w:val="21"/>
              </w:rPr>
            </w:pPr>
          </w:p>
        </w:tc>
        <w:tc>
          <w:tcPr>
            <w:tcW w:w="303" w:type="pct"/>
            <w:vAlign w:val="center"/>
          </w:tcPr>
          <w:p w14:paraId="0C07740F">
            <w:pPr>
              <w:spacing w:line="300" w:lineRule="auto"/>
              <w:ind w:firstLine="0" w:firstLineChars="0"/>
              <w:jc w:val="center"/>
              <w:rPr>
                <w:color w:val="auto"/>
                <w:sz w:val="21"/>
                <w:szCs w:val="21"/>
              </w:rPr>
            </w:pPr>
            <w:r>
              <w:rPr>
                <w:color w:val="auto"/>
                <w:sz w:val="21"/>
                <w:szCs w:val="21"/>
              </w:rPr>
              <w:t>6</w:t>
            </w:r>
          </w:p>
        </w:tc>
        <w:tc>
          <w:tcPr>
            <w:tcW w:w="1068" w:type="pct"/>
            <w:vAlign w:val="center"/>
          </w:tcPr>
          <w:p w14:paraId="1D829061">
            <w:pPr>
              <w:spacing w:line="300" w:lineRule="auto"/>
              <w:ind w:left="24" w:leftChars="10" w:firstLine="0" w:firstLineChars="0"/>
              <w:jc w:val="center"/>
              <w:rPr>
                <w:color w:val="auto"/>
                <w:sz w:val="21"/>
                <w:szCs w:val="21"/>
              </w:rPr>
            </w:pPr>
            <w:r>
              <w:rPr>
                <w:rFonts w:hint="eastAsia"/>
                <w:color w:val="auto"/>
                <w:sz w:val="21"/>
                <w:szCs w:val="21"/>
              </w:rPr>
              <w:t>固体废物管理风险防范措施</w:t>
            </w:r>
          </w:p>
        </w:tc>
        <w:tc>
          <w:tcPr>
            <w:tcW w:w="1878" w:type="pct"/>
            <w:vAlign w:val="center"/>
          </w:tcPr>
          <w:p w14:paraId="07EB2326">
            <w:pPr>
              <w:spacing w:line="300" w:lineRule="auto"/>
              <w:ind w:left="24" w:leftChars="10" w:firstLine="0" w:firstLineChars="0"/>
              <w:jc w:val="center"/>
              <w:rPr>
                <w:color w:val="auto"/>
                <w:sz w:val="21"/>
                <w:szCs w:val="21"/>
              </w:rPr>
            </w:pPr>
            <w:r>
              <w:rPr>
                <w:rFonts w:hint="eastAsia"/>
                <w:color w:val="auto"/>
                <w:sz w:val="21"/>
                <w:szCs w:val="21"/>
              </w:rPr>
              <w:t>已建立固体废物管理风险防范措施</w:t>
            </w:r>
          </w:p>
        </w:tc>
        <w:tc>
          <w:tcPr>
            <w:tcW w:w="1334" w:type="pct"/>
            <w:vAlign w:val="center"/>
          </w:tcPr>
          <w:p w14:paraId="44ADB92E">
            <w:pPr>
              <w:spacing w:line="300" w:lineRule="auto"/>
              <w:ind w:left="24" w:leftChars="10" w:firstLine="0" w:firstLineChars="0"/>
              <w:jc w:val="center"/>
              <w:rPr>
                <w:color w:val="auto"/>
                <w:sz w:val="21"/>
                <w:szCs w:val="21"/>
              </w:rPr>
            </w:pPr>
            <w:r>
              <w:rPr>
                <w:rFonts w:hint="eastAsia"/>
                <w:color w:val="auto"/>
                <w:sz w:val="21"/>
                <w:szCs w:val="21"/>
              </w:rPr>
              <w:t>依托现有危废库，风险防范措施依托现有</w:t>
            </w:r>
          </w:p>
        </w:tc>
      </w:tr>
      <w:tr w14:paraId="23AA8D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0BD0B766">
            <w:pPr>
              <w:spacing w:line="300" w:lineRule="auto"/>
              <w:ind w:firstLine="0" w:firstLineChars="0"/>
              <w:jc w:val="center"/>
              <w:rPr>
                <w:color w:val="auto"/>
                <w:sz w:val="21"/>
                <w:szCs w:val="21"/>
              </w:rPr>
            </w:pPr>
          </w:p>
        </w:tc>
        <w:tc>
          <w:tcPr>
            <w:tcW w:w="303" w:type="pct"/>
            <w:vAlign w:val="center"/>
          </w:tcPr>
          <w:p w14:paraId="7D1ECC81">
            <w:pPr>
              <w:spacing w:line="300" w:lineRule="auto"/>
              <w:ind w:firstLine="0" w:firstLineChars="0"/>
              <w:jc w:val="center"/>
              <w:rPr>
                <w:color w:val="auto"/>
                <w:sz w:val="21"/>
                <w:szCs w:val="21"/>
              </w:rPr>
            </w:pPr>
            <w:r>
              <w:rPr>
                <w:color w:val="auto"/>
                <w:sz w:val="21"/>
                <w:szCs w:val="21"/>
              </w:rPr>
              <w:t>7</w:t>
            </w:r>
          </w:p>
        </w:tc>
        <w:tc>
          <w:tcPr>
            <w:tcW w:w="1068" w:type="pct"/>
            <w:vAlign w:val="center"/>
          </w:tcPr>
          <w:p w14:paraId="19E60A7B">
            <w:pPr>
              <w:spacing w:line="300" w:lineRule="auto"/>
              <w:ind w:left="24" w:leftChars="10" w:firstLine="0" w:firstLineChars="0"/>
              <w:jc w:val="center"/>
              <w:rPr>
                <w:color w:val="auto"/>
                <w:sz w:val="21"/>
                <w:szCs w:val="21"/>
              </w:rPr>
            </w:pPr>
            <w:r>
              <w:rPr>
                <w:rFonts w:hint="eastAsia"/>
                <w:color w:val="auto"/>
                <w:sz w:val="21"/>
                <w:szCs w:val="21"/>
              </w:rPr>
              <w:t>其他安全</w:t>
            </w:r>
            <w:r>
              <w:rPr>
                <w:color w:val="auto"/>
                <w:sz w:val="21"/>
                <w:szCs w:val="21"/>
              </w:rPr>
              <w:t>防范措施</w:t>
            </w:r>
          </w:p>
        </w:tc>
        <w:tc>
          <w:tcPr>
            <w:tcW w:w="1878" w:type="pct"/>
            <w:vAlign w:val="center"/>
          </w:tcPr>
          <w:p w14:paraId="35353B21">
            <w:pPr>
              <w:spacing w:line="300" w:lineRule="auto"/>
              <w:ind w:left="-55" w:leftChars="-23" w:firstLine="0" w:firstLineChars="0"/>
              <w:jc w:val="center"/>
              <w:rPr>
                <w:color w:val="auto"/>
                <w:sz w:val="21"/>
                <w:szCs w:val="21"/>
              </w:rPr>
            </w:pPr>
            <w:r>
              <w:rPr>
                <w:color w:val="auto"/>
                <w:sz w:val="21"/>
                <w:szCs w:val="21"/>
              </w:rPr>
              <w:t>设置安全标志，开展安全教育等</w:t>
            </w:r>
          </w:p>
        </w:tc>
        <w:tc>
          <w:tcPr>
            <w:tcW w:w="1334" w:type="pct"/>
            <w:vAlign w:val="center"/>
          </w:tcPr>
          <w:p w14:paraId="1F8468A9">
            <w:pPr>
              <w:spacing w:line="300" w:lineRule="auto"/>
              <w:ind w:left="-55" w:leftChars="-23" w:firstLine="0" w:firstLineChars="0"/>
              <w:jc w:val="center"/>
              <w:rPr>
                <w:color w:val="auto"/>
                <w:sz w:val="21"/>
                <w:szCs w:val="21"/>
              </w:rPr>
            </w:pPr>
            <w:r>
              <w:rPr>
                <w:rFonts w:hint="eastAsia"/>
                <w:color w:val="auto"/>
                <w:sz w:val="21"/>
                <w:szCs w:val="21"/>
              </w:rPr>
              <w:t>针对本项目情况完善</w:t>
            </w:r>
          </w:p>
        </w:tc>
      </w:tr>
      <w:tr w14:paraId="6C45F3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restart"/>
            <w:vAlign w:val="center"/>
          </w:tcPr>
          <w:p w14:paraId="456BCEB9">
            <w:pPr>
              <w:spacing w:line="300" w:lineRule="auto"/>
              <w:ind w:firstLine="0" w:firstLineChars="0"/>
              <w:jc w:val="center"/>
              <w:rPr>
                <w:color w:val="auto"/>
                <w:sz w:val="21"/>
                <w:szCs w:val="21"/>
              </w:rPr>
            </w:pPr>
            <w:r>
              <w:rPr>
                <w:color w:val="auto"/>
                <w:sz w:val="21"/>
                <w:szCs w:val="21"/>
              </w:rPr>
              <w:t>环境风险应急预案</w:t>
            </w:r>
          </w:p>
        </w:tc>
        <w:tc>
          <w:tcPr>
            <w:tcW w:w="303" w:type="pct"/>
            <w:vAlign w:val="center"/>
          </w:tcPr>
          <w:p w14:paraId="0001DBDA">
            <w:pPr>
              <w:spacing w:line="300" w:lineRule="auto"/>
              <w:ind w:firstLine="0" w:firstLineChars="0"/>
              <w:jc w:val="center"/>
              <w:rPr>
                <w:color w:val="auto"/>
                <w:sz w:val="21"/>
                <w:szCs w:val="21"/>
              </w:rPr>
            </w:pPr>
            <w:r>
              <w:rPr>
                <w:color w:val="auto"/>
                <w:sz w:val="21"/>
                <w:szCs w:val="21"/>
              </w:rPr>
              <w:t>8</w:t>
            </w:r>
          </w:p>
        </w:tc>
        <w:tc>
          <w:tcPr>
            <w:tcW w:w="1068" w:type="pct"/>
            <w:vAlign w:val="center"/>
          </w:tcPr>
          <w:p w14:paraId="782F01EE">
            <w:pPr>
              <w:spacing w:line="300" w:lineRule="auto"/>
              <w:ind w:left="24" w:leftChars="10" w:firstLine="0" w:firstLineChars="0"/>
              <w:jc w:val="center"/>
              <w:rPr>
                <w:color w:val="auto"/>
                <w:sz w:val="21"/>
                <w:szCs w:val="21"/>
              </w:rPr>
            </w:pPr>
            <w:r>
              <w:rPr>
                <w:color w:val="auto"/>
                <w:sz w:val="21"/>
                <w:szCs w:val="21"/>
              </w:rPr>
              <w:t>事故应急预案</w:t>
            </w:r>
          </w:p>
        </w:tc>
        <w:tc>
          <w:tcPr>
            <w:tcW w:w="1878" w:type="pct"/>
            <w:vAlign w:val="center"/>
          </w:tcPr>
          <w:p w14:paraId="38677E48">
            <w:pPr>
              <w:spacing w:line="300" w:lineRule="auto"/>
              <w:ind w:left="-55" w:leftChars="-23" w:firstLine="0" w:firstLineChars="0"/>
              <w:jc w:val="center"/>
              <w:rPr>
                <w:color w:val="auto"/>
                <w:sz w:val="21"/>
                <w:szCs w:val="21"/>
              </w:rPr>
            </w:pPr>
            <w:r>
              <w:rPr>
                <w:rFonts w:hint="eastAsia"/>
                <w:color w:val="auto"/>
                <w:sz w:val="21"/>
                <w:szCs w:val="21"/>
              </w:rPr>
              <w:t>已备案应急预案并定期演练</w:t>
            </w:r>
          </w:p>
        </w:tc>
        <w:tc>
          <w:tcPr>
            <w:tcW w:w="1334" w:type="pct"/>
            <w:vAlign w:val="center"/>
          </w:tcPr>
          <w:p w14:paraId="5B7087E4">
            <w:pPr>
              <w:spacing w:line="300" w:lineRule="auto"/>
              <w:ind w:left="-55" w:leftChars="-23" w:firstLine="0" w:firstLineChars="0"/>
              <w:jc w:val="center"/>
              <w:rPr>
                <w:color w:val="auto"/>
                <w:sz w:val="21"/>
                <w:szCs w:val="21"/>
              </w:rPr>
            </w:pPr>
            <w:r>
              <w:rPr>
                <w:rFonts w:hint="eastAsia"/>
                <w:color w:val="auto"/>
                <w:sz w:val="21"/>
                <w:szCs w:val="21"/>
              </w:rPr>
              <w:t>企业已于2026年4月重新修编应急预案，完善、更新应急物资</w:t>
            </w:r>
          </w:p>
        </w:tc>
      </w:tr>
      <w:tr w14:paraId="513127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0ACF3020">
            <w:pPr>
              <w:spacing w:line="300" w:lineRule="auto"/>
              <w:ind w:firstLine="0" w:firstLineChars="0"/>
              <w:jc w:val="center"/>
              <w:rPr>
                <w:color w:val="auto"/>
                <w:sz w:val="21"/>
                <w:szCs w:val="21"/>
              </w:rPr>
            </w:pPr>
          </w:p>
        </w:tc>
        <w:tc>
          <w:tcPr>
            <w:tcW w:w="303" w:type="pct"/>
            <w:vAlign w:val="center"/>
          </w:tcPr>
          <w:p w14:paraId="48889CA2">
            <w:pPr>
              <w:spacing w:line="300" w:lineRule="auto"/>
              <w:ind w:firstLine="0" w:firstLineChars="0"/>
              <w:jc w:val="center"/>
              <w:rPr>
                <w:color w:val="auto"/>
                <w:sz w:val="21"/>
                <w:szCs w:val="21"/>
              </w:rPr>
            </w:pPr>
            <w:r>
              <w:rPr>
                <w:color w:val="auto"/>
                <w:sz w:val="21"/>
                <w:szCs w:val="21"/>
              </w:rPr>
              <w:t>9</w:t>
            </w:r>
          </w:p>
        </w:tc>
        <w:tc>
          <w:tcPr>
            <w:tcW w:w="1068" w:type="pct"/>
            <w:vAlign w:val="center"/>
          </w:tcPr>
          <w:p w14:paraId="663DD2BF">
            <w:pPr>
              <w:spacing w:line="300" w:lineRule="auto"/>
              <w:ind w:left="-134" w:leftChars="-56" w:right="-130" w:rightChars="-54" w:firstLine="0" w:firstLineChars="0"/>
              <w:jc w:val="center"/>
              <w:rPr>
                <w:color w:val="auto"/>
                <w:sz w:val="21"/>
                <w:szCs w:val="21"/>
              </w:rPr>
            </w:pPr>
            <w:r>
              <w:rPr>
                <w:color w:val="auto"/>
                <w:sz w:val="21"/>
                <w:szCs w:val="21"/>
              </w:rPr>
              <w:t>厂级事故应急预案及与区域事故应急预案配套措施</w:t>
            </w:r>
          </w:p>
        </w:tc>
        <w:tc>
          <w:tcPr>
            <w:tcW w:w="1878" w:type="pct"/>
            <w:vAlign w:val="center"/>
          </w:tcPr>
          <w:p w14:paraId="547C738A">
            <w:pPr>
              <w:spacing w:line="300" w:lineRule="auto"/>
              <w:ind w:left="-55" w:leftChars="-23" w:firstLine="0" w:firstLineChars="0"/>
              <w:jc w:val="center"/>
              <w:rPr>
                <w:color w:val="auto"/>
                <w:sz w:val="21"/>
                <w:szCs w:val="21"/>
              </w:rPr>
            </w:pPr>
            <w:r>
              <w:rPr>
                <w:rFonts w:hint="eastAsia"/>
                <w:color w:val="auto"/>
                <w:sz w:val="21"/>
                <w:szCs w:val="21"/>
              </w:rPr>
              <w:t>已建立与园区对接、联动的风险防范体系</w:t>
            </w:r>
          </w:p>
        </w:tc>
        <w:tc>
          <w:tcPr>
            <w:tcW w:w="1334" w:type="pct"/>
            <w:vAlign w:val="center"/>
          </w:tcPr>
          <w:p w14:paraId="4889262F">
            <w:pPr>
              <w:spacing w:line="300" w:lineRule="auto"/>
              <w:ind w:left="-55" w:leftChars="-23" w:firstLine="0" w:firstLineChars="0"/>
              <w:jc w:val="center"/>
              <w:rPr>
                <w:color w:val="auto"/>
                <w:sz w:val="21"/>
                <w:szCs w:val="21"/>
              </w:rPr>
            </w:pPr>
            <w:r>
              <w:rPr>
                <w:rFonts w:hint="eastAsia"/>
                <w:color w:val="auto"/>
                <w:sz w:val="21"/>
                <w:szCs w:val="21"/>
              </w:rPr>
              <w:t>依托现有</w:t>
            </w:r>
          </w:p>
        </w:tc>
      </w:tr>
      <w:tr w14:paraId="214F62C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14" w:type="pct"/>
            <w:vMerge w:val="continue"/>
            <w:vAlign w:val="center"/>
          </w:tcPr>
          <w:p w14:paraId="4AAA084A">
            <w:pPr>
              <w:spacing w:line="300" w:lineRule="auto"/>
              <w:ind w:firstLine="0" w:firstLineChars="0"/>
              <w:jc w:val="center"/>
              <w:rPr>
                <w:color w:val="auto"/>
                <w:sz w:val="21"/>
                <w:szCs w:val="21"/>
              </w:rPr>
            </w:pPr>
          </w:p>
        </w:tc>
        <w:tc>
          <w:tcPr>
            <w:tcW w:w="303" w:type="pct"/>
            <w:vAlign w:val="center"/>
          </w:tcPr>
          <w:p w14:paraId="022A35A6">
            <w:pPr>
              <w:spacing w:line="300" w:lineRule="auto"/>
              <w:ind w:firstLine="0" w:firstLineChars="0"/>
              <w:jc w:val="center"/>
              <w:rPr>
                <w:color w:val="auto"/>
                <w:sz w:val="21"/>
                <w:szCs w:val="21"/>
              </w:rPr>
            </w:pPr>
            <w:r>
              <w:rPr>
                <w:rFonts w:hint="eastAsia"/>
                <w:color w:val="auto"/>
                <w:sz w:val="21"/>
                <w:szCs w:val="21"/>
              </w:rPr>
              <w:t>10</w:t>
            </w:r>
          </w:p>
        </w:tc>
        <w:tc>
          <w:tcPr>
            <w:tcW w:w="1068" w:type="pct"/>
            <w:vAlign w:val="center"/>
          </w:tcPr>
          <w:p w14:paraId="7365CB9B">
            <w:pPr>
              <w:spacing w:line="300" w:lineRule="auto"/>
              <w:ind w:left="24" w:leftChars="10" w:firstLine="0" w:firstLineChars="0"/>
              <w:jc w:val="center"/>
              <w:rPr>
                <w:color w:val="auto"/>
                <w:sz w:val="21"/>
                <w:szCs w:val="21"/>
              </w:rPr>
            </w:pPr>
            <w:r>
              <w:rPr>
                <w:color w:val="auto"/>
                <w:sz w:val="21"/>
                <w:szCs w:val="21"/>
              </w:rPr>
              <w:t>其它</w:t>
            </w:r>
          </w:p>
        </w:tc>
        <w:tc>
          <w:tcPr>
            <w:tcW w:w="1878" w:type="pct"/>
            <w:vAlign w:val="center"/>
          </w:tcPr>
          <w:p w14:paraId="39DB5C7A">
            <w:pPr>
              <w:spacing w:line="300" w:lineRule="auto"/>
              <w:ind w:left="-55" w:leftChars="-23" w:firstLine="0" w:firstLineChars="0"/>
              <w:jc w:val="center"/>
              <w:rPr>
                <w:color w:val="auto"/>
                <w:sz w:val="21"/>
                <w:szCs w:val="21"/>
              </w:rPr>
            </w:pPr>
            <w:r>
              <w:rPr>
                <w:rFonts w:hint="eastAsia"/>
                <w:color w:val="auto"/>
                <w:sz w:val="21"/>
                <w:szCs w:val="21"/>
              </w:rPr>
              <w:t>定期</w:t>
            </w:r>
            <w:r>
              <w:rPr>
                <w:color w:val="auto"/>
                <w:sz w:val="21"/>
                <w:szCs w:val="21"/>
              </w:rPr>
              <w:t>职工培训、公众教育等</w:t>
            </w:r>
          </w:p>
        </w:tc>
        <w:tc>
          <w:tcPr>
            <w:tcW w:w="1334" w:type="pct"/>
            <w:vAlign w:val="center"/>
          </w:tcPr>
          <w:p w14:paraId="083AFCB2">
            <w:pPr>
              <w:spacing w:line="300" w:lineRule="auto"/>
              <w:ind w:left="-55" w:leftChars="-23" w:firstLine="0" w:firstLineChars="0"/>
              <w:jc w:val="center"/>
              <w:rPr>
                <w:color w:val="auto"/>
                <w:sz w:val="21"/>
                <w:szCs w:val="21"/>
              </w:rPr>
            </w:pPr>
            <w:r>
              <w:rPr>
                <w:rFonts w:hint="eastAsia"/>
                <w:color w:val="auto"/>
                <w:sz w:val="21"/>
                <w:szCs w:val="21"/>
              </w:rPr>
              <w:t>依托现有</w:t>
            </w:r>
          </w:p>
        </w:tc>
      </w:tr>
    </w:tbl>
    <w:p w14:paraId="52A089EC">
      <w:pPr>
        <w:snapToGrid/>
        <w:ind w:firstLine="482"/>
        <w:jc w:val="left"/>
        <w:outlineLvl w:val="2"/>
        <w:rPr>
          <w:b/>
          <w:bCs/>
          <w:color w:val="auto"/>
          <w:lang w:val="zh-CN"/>
        </w:rPr>
      </w:pPr>
      <w:bookmarkStart w:id="327" w:name="_Toc8329"/>
      <w:bookmarkStart w:id="328" w:name="_Toc16674171"/>
      <w:bookmarkStart w:id="329" w:name="_Toc530572987"/>
      <w:bookmarkStart w:id="330" w:name="_Toc49594801"/>
      <w:bookmarkStart w:id="331" w:name="_Toc13469911"/>
      <w:bookmarkStart w:id="332" w:name="_Toc111896948"/>
      <w:bookmarkStart w:id="333" w:name="_Toc26773662"/>
      <w:bookmarkStart w:id="334" w:name="_Toc530987576"/>
      <w:bookmarkStart w:id="335" w:name="_Toc107577043"/>
      <w:bookmarkStart w:id="336" w:name="_Toc532742018"/>
      <w:bookmarkStart w:id="337" w:name="_Toc530084883"/>
      <w:bookmarkStart w:id="338" w:name="_Toc5738205"/>
      <w:bookmarkStart w:id="339" w:name="_Toc128733220"/>
      <w:bookmarkStart w:id="340" w:name="_Toc28163664"/>
      <w:bookmarkStart w:id="341" w:name="_Toc136334977"/>
      <w:bookmarkStart w:id="342" w:name="_Toc12198"/>
      <w:bookmarkStart w:id="343" w:name="_Toc535700717"/>
      <w:bookmarkStart w:id="344" w:name="_Toc13594704"/>
      <w:bookmarkStart w:id="345" w:name="_Toc529795899"/>
      <w:bookmarkStart w:id="346" w:name="_Toc16453"/>
      <w:bookmarkStart w:id="347" w:name="_Toc10769"/>
      <w:r>
        <w:rPr>
          <w:rFonts w:hint="eastAsia"/>
          <w:b/>
          <w:bCs/>
          <w:color w:val="auto"/>
        </w:rPr>
        <w:t>7</w:t>
      </w:r>
      <w:r>
        <w:rPr>
          <w:b/>
          <w:bCs/>
          <w:color w:val="auto"/>
          <w:lang w:val="zh-CN"/>
        </w:rPr>
        <w:t>.</w:t>
      </w:r>
      <w:bookmarkEnd w:id="327"/>
      <w:r>
        <w:rPr>
          <w:b/>
          <w:bCs/>
          <w:color w:val="auto"/>
        </w:rPr>
        <w:t>6.</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Pr>
          <w:rFonts w:hint="eastAsia"/>
          <w:b/>
          <w:bCs/>
          <w:color w:val="auto"/>
        </w:rPr>
        <w:t>2建立健全环境应急管理制度</w:t>
      </w:r>
      <w:bookmarkEnd w:id="346"/>
      <w:bookmarkEnd w:id="347"/>
    </w:p>
    <w:p w14:paraId="0DE1DA58">
      <w:pPr>
        <w:keepNext/>
        <w:keepLines/>
        <w:spacing w:line="460" w:lineRule="exact"/>
        <w:ind w:firstLine="482"/>
        <w:outlineLvl w:val="3"/>
        <w:rPr>
          <w:b/>
          <w:bCs/>
          <w:color w:val="auto"/>
        </w:rPr>
      </w:pPr>
      <w:r>
        <w:rPr>
          <w:rFonts w:hint="eastAsia"/>
          <w:b/>
          <w:bCs/>
          <w:color w:val="auto"/>
        </w:rPr>
        <w:t>7</w:t>
      </w:r>
      <w:r>
        <w:rPr>
          <w:b/>
          <w:bCs/>
          <w:color w:val="auto"/>
        </w:rPr>
        <w:t>.6.</w:t>
      </w:r>
      <w:r>
        <w:rPr>
          <w:rFonts w:hint="eastAsia"/>
          <w:b/>
          <w:bCs/>
          <w:color w:val="auto"/>
        </w:rPr>
        <w:t>2.1突发环境事件应急预案的编制、修订和备案</w:t>
      </w:r>
    </w:p>
    <w:p w14:paraId="2EC57180">
      <w:pPr>
        <w:ind w:firstLine="480"/>
        <w:rPr>
          <w:rFonts w:hint="eastAsia" w:hAnsi="宋体"/>
          <w:color w:val="auto"/>
        </w:rPr>
      </w:pPr>
      <w:r>
        <w:rPr>
          <w:rFonts w:hint="eastAsia" w:hAnsi="宋体"/>
          <w:color w:val="auto"/>
        </w:rPr>
        <w:t>（1）编制要求</w:t>
      </w:r>
    </w:p>
    <w:p w14:paraId="06B3A3D4">
      <w:pPr>
        <w:ind w:firstLine="480"/>
        <w:rPr>
          <w:rFonts w:hint="eastAsia" w:hAnsi="宋体"/>
          <w:color w:val="auto"/>
        </w:rPr>
      </w:pPr>
      <w:r>
        <w:rPr>
          <w:rFonts w:hint="eastAsia" w:hAnsi="宋体"/>
          <w:color w:val="auto"/>
        </w:rPr>
        <w:t>为规范生产经营单位应急管理工作，提高应对和防范风险与事故的能力，保障公司员工和公众的生命安全，最大限度地减少财产损失、环境损害和社会影响；保证公司内部、公司所在工业园区和相关政府管理部门之间始终保持高效的信息沟通及合作，有效组织抢险救火，最大限度地避免或减轻可能对环境造成的影响。根据《国家突发环境事件应急预案》、《企事业单位和工业园区突发环境事件应急预案编制导则》（DB32/T 3795-2020）和其他相关法律、法规的要求，编制企业突发环境事件应急预案。</w:t>
      </w:r>
    </w:p>
    <w:p w14:paraId="51DBE953">
      <w:pPr>
        <w:ind w:firstLine="480"/>
        <w:rPr>
          <w:rFonts w:hint="eastAsia" w:hAnsi="宋体"/>
          <w:color w:val="auto"/>
        </w:rPr>
      </w:pPr>
      <w:r>
        <w:rPr>
          <w:rFonts w:hint="eastAsia" w:hAnsi="宋体"/>
          <w:color w:val="auto"/>
        </w:rPr>
        <w:t>（2）修订要求</w:t>
      </w:r>
    </w:p>
    <w:p w14:paraId="6518F6E3">
      <w:pPr>
        <w:ind w:firstLine="480"/>
        <w:rPr>
          <w:rFonts w:hint="eastAsia" w:hAnsi="宋体"/>
          <w:color w:val="auto"/>
        </w:rPr>
      </w:pPr>
      <w:r>
        <w:rPr>
          <w:rFonts w:hint="eastAsia" w:hAnsi="宋体"/>
          <w:color w:val="auto"/>
        </w:rPr>
        <w:t>应急预案的动态修正，是指根据非常规突发事件进程中最新获取的信息，及时对原有的决策方案进行修正。根据情景应对模式，需要不断获取新信息，及时调整方向，修正现有的决策方案，防止决策错误的延续或再次扩大。因此，环境应急预案每三年至少修订一次；有下列情形之一的，应当及时组织进行修订评审，然后重新发布，并抄送至相关部门。</w:t>
      </w:r>
    </w:p>
    <w:p w14:paraId="29A3F7C1">
      <w:pPr>
        <w:ind w:firstLine="480"/>
        <w:rPr>
          <w:rFonts w:hint="eastAsia" w:hAnsi="宋体"/>
          <w:color w:val="auto"/>
        </w:rPr>
      </w:pPr>
      <w:r>
        <w:rPr>
          <w:rFonts w:hint="eastAsia" w:hAnsi="宋体"/>
          <w:color w:val="auto"/>
        </w:rPr>
        <w:t>①由于公司组织机构改革引起的变化，需对应急组织、管理作出相应的调整或修订；</w:t>
      </w:r>
    </w:p>
    <w:p w14:paraId="65A0769F">
      <w:pPr>
        <w:ind w:firstLine="480"/>
        <w:rPr>
          <w:rFonts w:hint="eastAsia" w:hAnsi="宋体"/>
          <w:color w:val="auto"/>
        </w:rPr>
      </w:pPr>
      <w:r>
        <w:rPr>
          <w:rFonts w:hint="eastAsia" w:hAnsi="宋体"/>
          <w:color w:val="auto"/>
        </w:rPr>
        <w:t>②公司生产工艺和技术、危险源发生变化，应急设备的更新、报废等情况出现，随时需要对相关内容进行修订；</w:t>
      </w:r>
    </w:p>
    <w:p w14:paraId="65678A22">
      <w:pPr>
        <w:ind w:firstLine="480"/>
        <w:rPr>
          <w:rFonts w:hint="eastAsia" w:hAnsi="宋体"/>
          <w:color w:val="auto"/>
        </w:rPr>
      </w:pPr>
      <w:r>
        <w:rPr>
          <w:rFonts w:hint="eastAsia" w:hAnsi="宋体"/>
          <w:color w:val="auto"/>
        </w:rPr>
        <w:t>③根据原辅材料、工艺流程等的变更进行修订；</w:t>
      </w:r>
    </w:p>
    <w:p w14:paraId="1A8A2548">
      <w:pPr>
        <w:ind w:firstLine="480"/>
        <w:rPr>
          <w:rFonts w:hint="eastAsia" w:hAnsi="宋体"/>
          <w:color w:val="auto"/>
        </w:rPr>
      </w:pPr>
      <w:r>
        <w:rPr>
          <w:rFonts w:hint="eastAsia" w:hAnsi="宋体"/>
          <w:color w:val="auto"/>
        </w:rPr>
        <w:t>④周围环境或环境敏感点发生变化；</w:t>
      </w:r>
    </w:p>
    <w:p w14:paraId="700EA7F3">
      <w:pPr>
        <w:ind w:firstLine="480"/>
        <w:rPr>
          <w:rFonts w:hint="eastAsia" w:hAnsi="宋体"/>
          <w:color w:val="auto"/>
        </w:rPr>
      </w:pPr>
      <w:r>
        <w:rPr>
          <w:rFonts w:hint="eastAsia" w:hAnsi="宋体"/>
          <w:color w:val="auto"/>
        </w:rPr>
        <w:t>⑤根据日常演习和实际应急反应取得的经验需对应急反应计划、技术、对策等内容进行修订；</w:t>
      </w:r>
    </w:p>
    <w:p w14:paraId="4764C301">
      <w:pPr>
        <w:ind w:firstLine="480"/>
        <w:rPr>
          <w:rFonts w:hint="eastAsia" w:hAnsi="宋体"/>
          <w:color w:val="auto"/>
        </w:rPr>
      </w:pPr>
      <w:r>
        <w:rPr>
          <w:rFonts w:hint="eastAsia" w:hAnsi="宋体"/>
          <w:color w:val="auto"/>
        </w:rPr>
        <w:t>⑥预案依据的法律、法规、规章等发生变化的；</w:t>
      </w:r>
    </w:p>
    <w:p w14:paraId="5EC920C6">
      <w:pPr>
        <w:ind w:firstLine="480"/>
        <w:rPr>
          <w:rFonts w:hint="eastAsia" w:hAnsi="宋体"/>
          <w:color w:val="auto"/>
        </w:rPr>
      </w:pPr>
      <w:r>
        <w:rPr>
          <w:rFonts w:hint="eastAsia" w:hAnsi="宋体"/>
          <w:color w:val="auto"/>
        </w:rPr>
        <w:t>⑦其他应进行修订的情况。</w:t>
      </w:r>
    </w:p>
    <w:p w14:paraId="625AD5C8">
      <w:pPr>
        <w:ind w:firstLine="480"/>
        <w:rPr>
          <w:rFonts w:hint="eastAsia" w:hAnsi="宋体"/>
          <w:color w:val="auto"/>
        </w:rPr>
      </w:pPr>
      <w:r>
        <w:rPr>
          <w:rFonts w:hint="eastAsia" w:hAnsi="宋体"/>
          <w:color w:val="auto"/>
        </w:rPr>
        <w:t>（3）备案要求</w:t>
      </w:r>
    </w:p>
    <w:p w14:paraId="684169D1">
      <w:pPr>
        <w:ind w:firstLine="480"/>
        <w:rPr>
          <w:rFonts w:hint="eastAsia" w:hAnsi="宋体"/>
          <w:color w:val="auto"/>
        </w:rPr>
      </w:pPr>
      <w:r>
        <w:rPr>
          <w:rFonts w:hint="eastAsia" w:hAnsi="宋体"/>
          <w:color w:val="auto"/>
        </w:rPr>
        <w:t>根据《南通市企业事业单位突发环境事件应急预案备案管理制度》有关规定，企业环境应急预案应当在环境应急预案签署发布之日起20个工作日内，向企业所在地环境保护主管部门备案。</w:t>
      </w:r>
    </w:p>
    <w:p w14:paraId="720A1C4E">
      <w:pPr>
        <w:ind w:firstLine="480"/>
        <w:rPr>
          <w:rFonts w:hint="eastAsia" w:hAnsi="宋体"/>
          <w:color w:val="auto"/>
        </w:rPr>
      </w:pPr>
      <w:r>
        <w:rPr>
          <w:rFonts w:hint="eastAsia" w:hAnsi="宋体"/>
          <w:color w:val="auto"/>
        </w:rPr>
        <w:t>根据建设单位提供资料，厂区现有应急处置措施相对完善，本项目建成后应按相关要求及时更新应急预案内容并进行备案，补充完善应急物资及保障措施，并做好生态环境和应急管理部门联动工作。</w:t>
      </w:r>
    </w:p>
    <w:p w14:paraId="69BC05C3">
      <w:pPr>
        <w:pStyle w:val="5"/>
        <w:spacing w:before="192"/>
        <w:rPr>
          <w:color w:val="auto"/>
        </w:rPr>
      </w:pPr>
      <w:r>
        <w:rPr>
          <w:color w:val="auto"/>
        </w:rPr>
        <w:t>7.6.2.3事故应急监测</w:t>
      </w:r>
    </w:p>
    <w:p w14:paraId="68023512">
      <w:pPr>
        <w:ind w:firstLine="480"/>
        <w:rPr>
          <w:color w:val="auto"/>
        </w:rPr>
      </w:pPr>
      <w:r>
        <w:rPr>
          <w:color w:val="auto"/>
        </w:rPr>
        <w:t>本项目最大的环境风险是化学品泄漏造成周围大气污染，灭火产生的流质废液若管理不善也可能对环境造成污染，所以在爆炸或火灾发生后必须做到如下几点：</w:t>
      </w:r>
    </w:p>
    <w:p w14:paraId="05CAAD15">
      <w:pPr>
        <w:ind w:firstLine="480"/>
        <w:rPr>
          <w:color w:val="auto"/>
        </w:rPr>
      </w:pPr>
      <w:r>
        <w:rPr>
          <w:color w:val="auto"/>
        </w:rPr>
        <w:t>(1)火灾发生后立即通知当地环境监测部门，到事故发生地进行环境监测。</w:t>
      </w:r>
    </w:p>
    <w:p w14:paraId="51E4AB02">
      <w:pPr>
        <w:ind w:firstLine="480"/>
        <w:rPr>
          <w:color w:val="auto"/>
        </w:rPr>
      </w:pPr>
      <w:r>
        <w:rPr>
          <w:color w:val="auto"/>
        </w:rPr>
        <w:t>(2)大气监测点重点为</w:t>
      </w:r>
      <w:r>
        <w:rPr>
          <w:rFonts w:hint="eastAsia"/>
          <w:color w:val="auto"/>
        </w:rPr>
        <w:t>企业</w:t>
      </w:r>
      <w:r>
        <w:rPr>
          <w:color w:val="auto"/>
        </w:rPr>
        <w:t>下风向</w:t>
      </w:r>
      <w:r>
        <w:rPr>
          <w:rFonts w:hint="eastAsia"/>
          <w:color w:val="auto"/>
        </w:rPr>
        <w:t>居民点</w:t>
      </w:r>
      <w:r>
        <w:rPr>
          <w:color w:val="auto"/>
        </w:rPr>
        <w:t>，重点监测非甲烷总烃等的浓度，并在厂区、附近居民点连续采集土壤样品化验分析。</w:t>
      </w:r>
    </w:p>
    <w:p w14:paraId="3FF77A02">
      <w:pPr>
        <w:ind w:firstLine="480"/>
        <w:rPr>
          <w:color w:val="auto"/>
        </w:rPr>
      </w:pPr>
      <w:r>
        <w:rPr>
          <w:color w:val="auto"/>
        </w:rPr>
        <w:t>(3)监测队伍配备环境应急监测车，在所形成的污染带流动监测。</w:t>
      </w:r>
    </w:p>
    <w:p w14:paraId="58C2DE6B">
      <w:pPr>
        <w:ind w:firstLine="480"/>
        <w:rPr>
          <w:color w:val="auto"/>
        </w:rPr>
      </w:pPr>
      <w:r>
        <w:rPr>
          <w:color w:val="auto"/>
        </w:rPr>
        <w:t>(4)监测要连续采样分析，并及时报告数据到环境主管部门以及媒体。</w:t>
      </w:r>
    </w:p>
    <w:p w14:paraId="072EAB74">
      <w:pPr>
        <w:ind w:firstLine="480"/>
        <w:rPr>
          <w:color w:val="auto"/>
        </w:rPr>
      </w:pPr>
      <w:r>
        <w:rPr>
          <w:color w:val="auto"/>
        </w:rPr>
        <w:t>(5)在污染物浓度达到正常值之前，禁止撤离的居民回乡。</w:t>
      </w:r>
    </w:p>
    <w:p w14:paraId="48B27ECA">
      <w:pPr>
        <w:ind w:firstLine="480"/>
        <w:rPr>
          <w:color w:val="auto"/>
        </w:rPr>
      </w:pPr>
      <w:r>
        <w:rPr>
          <w:color w:val="auto"/>
        </w:rPr>
        <w:t>应急监测计划如下：</w:t>
      </w:r>
    </w:p>
    <w:p w14:paraId="40E4EA98">
      <w:pPr>
        <w:ind w:firstLine="480"/>
        <w:rPr>
          <w:color w:val="auto"/>
        </w:rPr>
      </w:pPr>
      <w:r>
        <w:rPr>
          <w:color w:val="auto"/>
        </w:rPr>
        <w:t>(1)监测项目</w:t>
      </w:r>
    </w:p>
    <w:p w14:paraId="2014394F">
      <w:pPr>
        <w:ind w:firstLine="480"/>
        <w:rPr>
          <w:color w:val="auto"/>
        </w:rPr>
      </w:pPr>
      <w:r>
        <w:rPr>
          <w:color w:val="auto"/>
        </w:rPr>
        <w:t>环境空气：根据事故类型和排放物质确定。本项目的大气事故因子主要为二氧化硫、氨、</w:t>
      </w:r>
      <w:r>
        <w:rPr>
          <w:rFonts w:hint="eastAsia"/>
          <w:color w:val="auto"/>
        </w:rPr>
        <w:t>颗粒物</w:t>
      </w:r>
      <w:r>
        <w:rPr>
          <w:color w:val="auto"/>
        </w:rPr>
        <w:t>等。</w:t>
      </w:r>
    </w:p>
    <w:p w14:paraId="62468D04">
      <w:pPr>
        <w:ind w:firstLine="480"/>
        <w:rPr>
          <w:color w:val="auto"/>
        </w:rPr>
      </w:pPr>
      <w:r>
        <w:rPr>
          <w:color w:val="auto"/>
        </w:rPr>
        <w:t>地表水：根据事故类型和排放物质确定。本项目的地表水事故因子主要为：pH、COD、氨氮、总氮、总磷、石油类等。</w:t>
      </w:r>
    </w:p>
    <w:p w14:paraId="64004A83">
      <w:pPr>
        <w:ind w:firstLine="480"/>
        <w:rPr>
          <w:color w:val="auto"/>
        </w:rPr>
      </w:pPr>
      <w:r>
        <w:rPr>
          <w:color w:val="auto"/>
        </w:rPr>
        <w:t>事故现场监测因子应根据现场事故类型和排放物质确定。</w:t>
      </w:r>
    </w:p>
    <w:p w14:paraId="0B82EC39">
      <w:pPr>
        <w:ind w:firstLine="480"/>
        <w:rPr>
          <w:color w:val="auto"/>
        </w:rPr>
      </w:pPr>
      <w:r>
        <w:rPr>
          <w:color w:val="auto"/>
        </w:rPr>
        <w:t>(2)监测区域</w:t>
      </w:r>
    </w:p>
    <w:p w14:paraId="76C4A258">
      <w:pPr>
        <w:ind w:firstLine="480"/>
        <w:rPr>
          <w:color w:val="auto"/>
        </w:rPr>
      </w:pPr>
      <w:r>
        <w:rPr>
          <w:color w:val="auto"/>
        </w:rPr>
        <w:t>大气环境：项目周边区域内的敏感点；</w:t>
      </w:r>
    </w:p>
    <w:p w14:paraId="2F15C018">
      <w:pPr>
        <w:ind w:firstLine="480"/>
        <w:rPr>
          <w:color w:val="auto"/>
        </w:rPr>
      </w:pPr>
      <w:r>
        <w:rPr>
          <w:color w:val="auto"/>
        </w:rPr>
        <w:t>水环境：根据事故类型和事故废水走向，确定监测范围。主要监测点位为：应急事故池进出口、厂区雨水出口、厂区污水处理站进出口、厂区污水总排口、周边河流及排口下游等。</w:t>
      </w:r>
    </w:p>
    <w:p w14:paraId="2909D666">
      <w:pPr>
        <w:ind w:firstLine="480"/>
        <w:rPr>
          <w:color w:val="auto"/>
        </w:rPr>
      </w:pPr>
      <w:r>
        <w:rPr>
          <w:color w:val="auto"/>
        </w:rPr>
        <w:t>(3)监测频率</w:t>
      </w:r>
    </w:p>
    <w:p w14:paraId="06919115">
      <w:pPr>
        <w:ind w:firstLine="480"/>
        <w:rPr>
          <w:color w:val="auto"/>
        </w:rPr>
      </w:pPr>
      <w:r>
        <w:rPr>
          <w:color w:val="auto"/>
        </w:rPr>
        <w:t>环境空气：事故初期，采样1次/30min；随后根据空气中有害物质浓度降低监测频率，按1h、2h等时间间隔采样。</w:t>
      </w:r>
    </w:p>
    <w:p w14:paraId="2106DC84">
      <w:pPr>
        <w:ind w:firstLine="480"/>
        <w:rPr>
          <w:color w:val="auto"/>
        </w:rPr>
      </w:pPr>
      <w:r>
        <w:rPr>
          <w:color w:val="auto"/>
        </w:rPr>
        <w:t>地表水：采样1次/30min。</w:t>
      </w:r>
    </w:p>
    <w:p w14:paraId="0B2166AD">
      <w:pPr>
        <w:ind w:firstLine="480"/>
        <w:rPr>
          <w:color w:val="auto"/>
        </w:rPr>
      </w:pPr>
      <w:r>
        <w:rPr>
          <w:color w:val="auto"/>
        </w:rPr>
        <w:t>(4)监测报告</w:t>
      </w:r>
    </w:p>
    <w:p w14:paraId="550DBA5E">
      <w:pPr>
        <w:ind w:firstLine="480"/>
        <w:rPr>
          <w:color w:val="auto"/>
        </w:rPr>
      </w:pPr>
      <w:r>
        <w:rPr>
          <w:color w:val="auto"/>
        </w:rPr>
        <w:t>事故现场的应急监测机构负责每小时向园区管委会、南通市启东生态环境局等提供分析报告。事故后期应对受污染的土壤进行环境影响评估。</w:t>
      </w:r>
    </w:p>
    <w:p w14:paraId="2AB1771C">
      <w:pPr>
        <w:pStyle w:val="5"/>
        <w:spacing w:before="192"/>
        <w:rPr>
          <w:color w:val="auto"/>
        </w:rPr>
      </w:pPr>
      <w:r>
        <w:rPr>
          <w:rFonts w:hint="eastAsia"/>
          <w:color w:val="auto"/>
        </w:rPr>
        <w:t>7</w:t>
      </w:r>
      <w:r>
        <w:rPr>
          <w:color w:val="auto"/>
        </w:rPr>
        <w:t>.6.</w:t>
      </w:r>
      <w:r>
        <w:rPr>
          <w:rFonts w:hint="eastAsia"/>
          <w:color w:val="auto"/>
        </w:rPr>
        <w:t>3</w:t>
      </w:r>
      <w:r>
        <w:rPr>
          <w:color w:val="auto"/>
        </w:rPr>
        <w:t>.</w:t>
      </w:r>
      <w:r>
        <w:rPr>
          <w:rFonts w:hint="eastAsia"/>
          <w:color w:val="auto"/>
        </w:rPr>
        <w:t>3应急救援保障措施</w:t>
      </w:r>
    </w:p>
    <w:p w14:paraId="1E45F40D">
      <w:pPr>
        <w:ind w:firstLine="480"/>
        <w:rPr>
          <w:color w:val="auto"/>
        </w:rPr>
      </w:pPr>
      <w:r>
        <w:rPr>
          <w:rFonts w:hint="eastAsia"/>
          <w:color w:val="auto"/>
        </w:rPr>
        <w:t>（1）人力保障</w:t>
      </w:r>
    </w:p>
    <w:p w14:paraId="7CB0664B">
      <w:pPr>
        <w:ind w:firstLine="480"/>
        <w:rPr>
          <w:color w:val="auto"/>
        </w:rPr>
      </w:pPr>
      <w:r>
        <w:rPr>
          <w:color w:val="auto"/>
        </w:rPr>
        <w:t>企业</w:t>
      </w:r>
      <w:r>
        <w:rPr>
          <w:rFonts w:hint="eastAsia"/>
          <w:color w:val="auto"/>
        </w:rPr>
        <w:t>已根据规定设置安全环保机构和环境监测机构，各部门和车间等成立应急领导小组，并组织义务应急救援、抢险队伍。</w:t>
      </w:r>
    </w:p>
    <w:p w14:paraId="165147B4">
      <w:pPr>
        <w:ind w:firstLine="480"/>
        <w:rPr>
          <w:color w:val="auto"/>
        </w:rPr>
      </w:pPr>
      <w:r>
        <w:rPr>
          <w:rFonts w:hint="eastAsia"/>
          <w:color w:val="auto"/>
        </w:rPr>
        <w:t>（2）资金保障</w:t>
      </w:r>
    </w:p>
    <w:p w14:paraId="473892FE">
      <w:pPr>
        <w:ind w:firstLine="480"/>
        <w:rPr>
          <w:color w:val="auto"/>
        </w:rPr>
      </w:pPr>
      <w:r>
        <w:rPr>
          <w:rFonts w:hint="eastAsia"/>
          <w:color w:val="auto"/>
        </w:rPr>
        <w:t>要保证所需突发环境事故应急准备和救援工作资金。</w:t>
      </w:r>
    </w:p>
    <w:p w14:paraId="606BE281">
      <w:pPr>
        <w:ind w:firstLine="480"/>
        <w:rPr>
          <w:color w:val="auto"/>
        </w:rPr>
      </w:pPr>
      <w:r>
        <w:rPr>
          <w:rFonts w:hint="eastAsia"/>
          <w:color w:val="auto"/>
        </w:rPr>
        <w:t>（3）物资保障</w:t>
      </w:r>
    </w:p>
    <w:p w14:paraId="25DD4C9A">
      <w:pPr>
        <w:ind w:firstLine="480"/>
        <w:rPr>
          <w:color w:val="auto"/>
        </w:rPr>
      </w:pPr>
      <w:r>
        <w:rPr>
          <w:color w:val="auto"/>
        </w:rPr>
        <w:t>企业</w:t>
      </w:r>
      <w:r>
        <w:rPr>
          <w:rFonts w:hint="eastAsia"/>
          <w:color w:val="auto"/>
        </w:rPr>
        <w:t>要建立健全应急物资采购、储备发货及紧急配送体系，确保应急所需物资的及时供应，并加强对物资采购和储备的监督管理，及时予以补充和更新</w:t>
      </w:r>
      <w:r>
        <w:rPr>
          <w:color w:val="auto"/>
        </w:rPr>
        <w:t>。</w:t>
      </w:r>
    </w:p>
    <w:p w14:paraId="35D06C57">
      <w:pPr>
        <w:ind w:firstLine="480"/>
        <w:rPr>
          <w:color w:val="auto"/>
        </w:rPr>
      </w:pPr>
      <w:r>
        <w:rPr>
          <w:color w:val="auto"/>
        </w:rPr>
        <w:t>企业应急物资装备保障工作</w:t>
      </w:r>
      <w:r>
        <w:rPr>
          <w:rFonts w:hint="eastAsia"/>
          <w:color w:val="auto"/>
        </w:rPr>
        <w:t>要积极负责</w:t>
      </w:r>
      <w:r>
        <w:rPr>
          <w:color w:val="auto"/>
        </w:rPr>
        <w:t>。评价1个月巡检一次，发现问题及时进行物资维护、更新。</w:t>
      </w:r>
    </w:p>
    <w:p w14:paraId="14BE8168">
      <w:pPr>
        <w:ind w:firstLine="480"/>
        <w:rPr>
          <w:color w:val="auto"/>
        </w:rPr>
      </w:pPr>
      <w:r>
        <w:rPr>
          <w:color w:val="auto"/>
        </w:rPr>
        <w:t>厂内现有应急物资见表7.6-</w:t>
      </w:r>
      <w:r>
        <w:rPr>
          <w:rFonts w:hint="eastAsia"/>
          <w:color w:val="auto"/>
        </w:rPr>
        <w:t>3</w:t>
      </w:r>
      <w:r>
        <w:rPr>
          <w:color w:val="auto"/>
        </w:rPr>
        <w:t>，应急物资存放点见图7.6-</w:t>
      </w:r>
      <w:r>
        <w:rPr>
          <w:rFonts w:hint="eastAsia"/>
          <w:color w:val="auto"/>
        </w:rPr>
        <w:t>2</w:t>
      </w:r>
      <w:r>
        <w:rPr>
          <w:color w:val="auto"/>
        </w:rPr>
        <w:t>。</w:t>
      </w:r>
    </w:p>
    <w:p w14:paraId="2256C5BE">
      <w:pPr>
        <w:pStyle w:val="49"/>
        <w:rPr>
          <w:rFonts w:hint="eastAsia" w:ascii="宋体" w:hAnsi="宋体" w:cs="宋体"/>
          <w:bCs/>
          <w:color w:val="auto"/>
          <w:szCs w:val="28"/>
        </w:rPr>
      </w:pPr>
      <w:r>
        <w:rPr>
          <w:rFonts w:hint="eastAsia"/>
          <w:color w:val="auto"/>
        </w:rPr>
        <w:t>表7.6-3  应急物资一览表</w:t>
      </w:r>
    </w:p>
    <w:tbl>
      <w:tblPr>
        <w:tblStyle w:val="24"/>
        <w:tblW w:w="4997"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84"/>
        <w:gridCol w:w="2502"/>
        <w:gridCol w:w="1771"/>
        <w:gridCol w:w="1074"/>
        <w:gridCol w:w="1887"/>
        <w:gridCol w:w="1929"/>
      </w:tblGrid>
      <w:tr w14:paraId="5205F8E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0" w:hRule="atLeast"/>
          <w:jc w:val="center"/>
        </w:trPr>
        <w:tc>
          <w:tcPr>
            <w:tcW w:w="347" w:type="pct"/>
            <w:tcBorders>
              <w:tl2br w:val="nil"/>
              <w:tr2bl w:val="nil"/>
            </w:tcBorders>
            <w:vAlign w:val="center"/>
          </w:tcPr>
          <w:p w14:paraId="7690EBD5">
            <w:pPr>
              <w:widowControl/>
              <w:adjustRightInd/>
              <w:snapToGrid/>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序号</w:t>
            </w:r>
          </w:p>
        </w:tc>
        <w:tc>
          <w:tcPr>
            <w:tcW w:w="1270" w:type="pct"/>
            <w:tcBorders>
              <w:tl2br w:val="nil"/>
              <w:tr2bl w:val="nil"/>
            </w:tcBorders>
            <w:vAlign w:val="center"/>
          </w:tcPr>
          <w:p w14:paraId="73EC4674">
            <w:pPr>
              <w:widowControl/>
              <w:adjustRightInd/>
              <w:snapToGrid/>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名称</w:t>
            </w:r>
          </w:p>
        </w:tc>
        <w:tc>
          <w:tcPr>
            <w:tcW w:w="899" w:type="pct"/>
            <w:tcBorders>
              <w:tl2br w:val="nil"/>
              <w:tr2bl w:val="nil"/>
            </w:tcBorders>
            <w:vAlign w:val="center"/>
          </w:tcPr>
          <w:p w14:paraId="0DB7C600">
            <w:pPr>
              <w:widowControl/>
              <w:adjustRightInd/>
              <w:snapToGrid/>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型号/规格</w:t>
            </w:r>
          </w:p>
        </w:tc>
        <w:tc>
          <w:tcPr>
            <w:tcW w:w="545" w:type="pct"/>
            <w:tcBorders>
              <w:tl2br w:val="nil"/>
              <w:tr2bl w:val="nil"/>
            </w:tcBorders>
            <w:vAlign w:val="center"/>
          </w:tcPr>
          <w:p w14:paraId="1D18A3BA">
            <w:pPr>
              <w:widowControl/>
              <w:adjustRightInd/>
              <w:snapToGrid/>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储备量</w:t>
            </w:r>
          </w:p>
        </w:tc>
        <w:tc>
          <w:tcPr>
            <w:tcW w:w="958" w:type="pct"/>
            <w:tcBorders>
              <w:tl2br w:val="nil"/>
              <w:tr2bl w:val="nil"/>
            </w:tcBorders>
            <w:vAlign w:val="center"/>
          </w:tcPr>
          <w:p w14:paraId="2A6791C1">
            <w:pPr>
              <w:widowControl/>
              <w:adjustRightInd/>
              <w:snapToGrid/>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主要功能</w:t>
            </w:r>
          </w:p>
        </w:tc>
        <w:tc>
          <w:tcPr>
            <w:tcW w:w="979" w:type="pct"/>
            <w:tcBorders>
              <w:tl2br w:val="nil"/>
              <w:tr2bl w:val="nil"/>
            </w:tcBorders>
            <w:vAlign w:val="center"/>
          </w:tcPr>
          <w:p w14:paraId="65AD7900">
            <w:pPr>
              <w:widowControl/>
              <w:adjustRightInd/>
              <w:snapToGrid/>
              <w:spacing w:line="240" w:lineRule="auto"/>
              <w:ind w:firstLine="0" w:firstLineChars="0"/>
              <w:jc w:val="center"/>
              <w:textAlignment w:val="center"/>
              <w:rPr>
                <w:rFonts w:cs="宋体"/>
                <w:b/>
                <w:bCs/>
                <w:color w:val="auto"/>
                <w:sz w:val="21"/>
                <w:szCs w:val="21"/>
              </w:rPr>
            </w:pPr>
            <w:r>
              <w:rPr>
                <w:rFonts w:hint="eastAsia" w:cs="宋体"/>
                <w:b/>
                <w:bCs/>
                <w:color w:val="auto"/>
                <w:kern w:val="0"/>
                <w:sz w:val="21"/>
                <w:szCs w:val="21"/>
                <w:lang w:bidi="ar"/>
              </w:rPr>
              <w:t>区域</w:t>
            </w:r>
          </w:p>
        </w:tc>
      </w:tr>
      <w:tr w14:paraId="4594E2E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67EC35D">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641FB0B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vMerge w:val="restart"/>
            <w:tcBorders>
              <w:tl2br w:val="nil"/>
              <w:tr2bl w:val="nil"/>
            </w:tcBorders>
            <w:noWrap/>
            <w:vAlign w:val="center"/>
          </w:tcPr>
          <w:p w14:paraId="4CC38B8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P-A-3</w:t>
            </w:r>
          </w:p>
        </w:tc>
        <w:tc>
          <w:tcPr>
            <w:tcW w:w="545" w:type="pct"/>
            <w:vMerge w:val="restart"/>
            <w:tcBorders>
              <w:tl2br w:val="nil"/>
              <w:tr2bl w:val="nil"/>
            </w:tcBorders>
            <w:noWrap/>
            <w:vAlign w:val="center"/>
          </w:tcPr>
          <w:p w14:paraId="31A136A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vAlign w:val="center"/>
          </w:tcPr>
          <w:p w14:paraId="2660321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安全防护</w:t>
            </w:r>
          </w:p>
        </w:tc>
        <w:tc>
          <w:tcPr>
            <w:tcW w:w="979" w:type="pct"/>
            <w:vMerge w:val="restart"/>
            <w:tcBorders>
              <w:tl2br w:val="nil"/>
              <w:tr2bl w:val="nil"/>
            </w:tcBorders>
            <w:vAlign w:val="center"/>
          </w:tcPr>
          <w:p w14:paraId="0767D35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盐酸苯肼重氮岗位</w:t>
            </w:r>
          </w:p>
        </w:tc>
      </w:tr>
      <w:tr w14:paraId="3328B58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347" w:type="pct"/>
            <w:tcBorders>
              <w:tl2br w:val="nil"/>
              <w:tr2bl w:val="nil"/>
            </w:tcBorders>
            <w:noWrap/>
            <w:vAlign w:val="center"/>
          </w:tcPr>
          <w:p w14:paraId="609CB028">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55A34E5B">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0A1978A7">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4CAFFBB7">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vAlign w:val="center"/>
          </w:tcPr>
          <w:p w14:paraId="448825C9">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6DACB6F5">
            <w:pPr>
              <w:adjustRightInd/>
              <w:snapToGrid/>
              <w:spacing w:line="240" w:lineRule="auto"/>
              <w:ind w:firstLine="0" w:firstLineChars="0"/>
              <w:jc w:val="center"/>
              <w:rPr>
                <w:rFonts w:cs="宋体"/>
                <w:color w:val="auto"/>
                <w:sz w:val="21"/>
                <w:szCs w:val="20"/>
              </w:rPr>
            </w:pPr>
          </w:p>
        </w:tc>
      </w:tr>
      <w:tr w14:paraId="3CC480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4EAE8E2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14CE26B1">
            <w:pPr>
              <w:adjustRightInd/>
              <w:snapToGrid/>
              <w:spacing w:line="240" w:lineRule="auto"/>
              <w:ind w:firstLine="0" w:firstLineChars="0"/>
              <w:jc w:val="center"/>
              <w:rPr>
                <w:rFonts w:cs="宋体"/>
                <w:color w:val="auto"/>
                <w:sz w:val="21"/>
                <w:szCs w:val="20"/>
              </w:rPr>
            </w:pPr>
          </w:p>
        </w:tc>
        <w:tc>
          <w:tcPr>
            <w:tcW w:w="899" w:type="pct"/>
            <w:vMerge w:val="restart"/>
            <w:tcBorders>
              <w:tl2br w:val="nil"/>
              <w:tr2bl w:val="nil"/>
            </w:tcBorders>
            <w:noWrap/>
            <w:vAlign w:val="center"/>
          </w:tcPr>
          <w:p w14:paraId="0B20662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vMerge w:val="restart"/>
            <w:tcBorders>
              <w:tl2br w:val="nil"/>
              <w:tr2bl w:val="nil"/>
            </w:tcBorders>
            <w:noWrap/>
            <w:vAlign w:val="center"/>
          </w:tcPr>
          <w:p w14:paraId="4A8C27D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1EAA4EBB">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30E4C4CF">
            <w:pPr>
              <w:adjustRightInd/>
              <w:snapToGrid/>
              <w:spacing w:line="240" w:lineRule="auto"/>
              <w:ind w:firstLine="0" w:firstLineChars="0"/>
              <w:jc w:val="center"/>
              <w:rPr>
                <w:rFonts w:cs="宋体"/>
                <w:color w:val="auto"/>
                <w:sz w:val="21"/>
                <w:szCs w:val="20"/>
              </w:rPr>
            </w:pPr>
          </w:p>
        </w:tc>
      </w:tr>
      <w:tr w14:paraId="4243E03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072BADD">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3FEB998C">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441D3DB5">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7184A7D6">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vAlign w:val="center"/>
          </w:tcPr>
          <w:p w14:paraId="7EB17AD0">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56730A1F">
            <w:pPr>
              <w:adjustRightInd/>
              <w:snapToGrid/>
              <w:spacing w:line="240" w:lineRule="auto"/>
              <w:ind w:firstLine="0" w:firstLineChars="0"/>
              <w:jc w:val="center"/>
              <w:rPr>
                <w:rFonts w:cs="宋体"/>
                <w:color w:val="auto"/>
                <w:sz w:val="21"/>
                <w:szCs w:val="20"/>
              </w:rPr>
            </w:pPr>
          </w:p>
        </w:tc>
      </w:tr>
      <w:tr w14:paraId="701323D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D1257B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0C69CB6C">
            <w:pPr>
              <w:adjustRightInd/>
              <w:snapToGrid/>
              <w:spacing w:line="240" w:lineRule="auto"/>
              <w:ind w:firstLine="0" w:firstLineChars="0"/>
              <w:jc w:val="center"/>
              <w:rPr>
                <w:rFonts w:cs="宋体"/>
                <w:color w:val="auto"/>
                <w:sz w:val="21"/>
                <w:szCs w:val="20"/>
              </w:rPr>
            </w:pPr>
          </w:p>
        </w:tc>
        <w:tc>
          <w:tcPr>
            <w:tcW w:w="899" w:type="pct"/>
            <w:vMerge w:val="restart"/>
            <w:tcBorders>
              <w:tl2br w:val="nil"/>
              <w:tr2bl w:val="nil"/>
            </w:tcBorders>
            <w:noWrap/>
            <w:vAlign w:val="center"/>
          </w:tcPr>
          <w:p w14:paraId="58631E9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0EC5C44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606BF29E">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55AEFB7A">
            <w:pPr>
              <w:adjustRightInd/>
              <w:snapToGrid/>
              <w:spacing w:line="240" w:lineRule="auto"/>
              <w:ind w:firstLine="0" w:firstLineChars="0"/>
              <w:jc w:val="center"/>
              <w:rPr>
                <w:rFonts w:cs="宋体"/>
                <w:color w:val="auto"/>
                <w:sz w:val="21"/>
                <w:szCs w:val="20"/>
              </w:rPr>
            </w:pPr>
          </w:p>
        </w:tc>
      </w:tr>
      <w:tr w14:paraId="683F0E2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E9B8259">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73FCE014">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2E72C0BA">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1029FF39">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vAlign w:val="center"/>
          </w:tcPr>
          <w:p w14:paraId="676AE27C">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0F471C49">
            <w:pPr>
              <w:adjustRightInd/>
              <w:snapToGrid/>
              <w:spacing w:line="240" w:lineRule="auto"/>
              <w:ind w:firstLine="0" w:firstLineChars="0"/>
              <w:jc w:val="center"/>
              <w:rPr>
                <w:rFonts w:cs="宋体"/>
                <w:color w:val="auto"/>
                <w:sz w:val="21"/>
                <w:szCs w:val="20"/>
              </w:rPr>
            </w:pPr>
          </w:p>
        </w:tc>
      </w:tr>
      <w:tr w14:paraId="7B6FBA9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0247E6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854F1C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899" w:type="pct"/>
            <w:tcBorders>
              <w:tl2br w:val="nil"/>
              <w:tr2bl w:val="nil"/>
            </w:tcBorders>
            <w:noWrap/>
            <w:vAlign w:val="center"/>
          </w:tcPr>
          <w:p w14:paraId="17349AB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noWrap/>
            <w:vAlign w:val="center"/>
          </w:tcPr>
          <w:p w14:paraId="09C78C5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6BF8E278">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7D62BF45">
            <w:pPr>
              <w:adjustRightInd/>
              <w:snapToGrid/>
              <w:spacing w:line="240" w:lineRule="auto"/>
              <w:ind w:firstLine="0" w:firstLineChars="0"/>
              <w:jc w:val="center"/>
              <w:rPr>
                <w:rFonts w:cs="宋体"/>
                <w:color w:val="auto"/>
                <w:sz w:val="21"/>
                <w:szCs w:val="20"/>
              </w:rPr>
            </w:pPr>
          </w:p>
        </w:tc>
      </w:tr>
      <w:tr w14:paraId="5866FE3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CDB953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6B81F18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vMerge w:val="restart"/>
            <w:tcBorders>
              <w:tl2br w:val="nil"/>
              <w:tr2bl w:val="nil"/>
            </w:tcBorders>
            <w:noWrap/>
            <w:vAlign w:val="center"/>
          </w:tcPr>
          <w:p w14:paraId="27EA51B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4BB9F93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57C9FB1A">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075D626F">
            <w:pPr>
              <w:adjustRightInd/>
              <w:snapToGrid/>
              <w:spacing w:line="240" w:lineRule="auto"/>
              <w:ind w:firstLine="0" w:firstLineChars="0"/>
              <w:jc w:val="center"/>
              <w:rPr>
                <w:rFonts w:cs="宋体"/>
                <w:color w:val="auto"/>
                <w:sz w:val="21"/>
                <w:szCs w:val="20"/>
              </w:rPr>
            </w:pPr>
          </w:p>
        </w:tc>
      </w:tr>
      <w:tr w14:paraId="2944C54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4E1A14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307A0011">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2FC63EAA">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3BB8E68B">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vAlign w:val="center"/>
          </w:tcPr>
          <w:p w14:paraId="558DAB58">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4A0A6A43">
            <w:pPr>
              <w:adjustRightInd/>
              <w:snapToGrid/>
              <w:spacing w:line="240" w:lineRule="auto"/>
              <w:ind w:firstLine="0" w:firstLineChars="0"/>
              <w:jc w:val="center"/>
              <w:rPr>
                <w:rFonts w:cs="宋体"/>
                <w:color w:val="auto"/>
                <w:sz w:val="21"/>
                <w:szCs w:val="20"/>
              </w:rPr>
            </w:pPr>
          </w:p>
        </w:tc>
      </w:tr>
      <w:tr w14:paraId="412EB5F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E83C8D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7C3CC6A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899" w:type="pct"/>
            <w:tcBorders>
              <w:tl2br w:val="nil"/>
              <w:tr2bl w:val="nil"/>
            </w:tcBorders>
            <w:noWrap/>
            <w:vAlign w:val="center"/>
          </w:tcPr>
          <w:p w14:paraId="503E3CD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P-A-1</w:t>
            </w:r>
          </w:p>
        </w:tc>
        <w:tc>
          <w:tcPr>
            <w:tcW w:w="545" w:type="pct"/>
            <w:tcBorders>
              <w:tl2br w:val="nil"/>
              <w:tr2bl w:val="nil"/>
            </w:tcBorders>
            <w:noWrap/>
            <w:vAlign w:val="center"/>
          </w:tcPr>
          <w:p w14:paraId="410DD71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vAlign w:val="center"/>
          </w:tcPr>
          <w:p w14:paraId="2D9D5A21">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0B3800F5">
            <w:pPr>
              <w:adjustRightInd/>
              <w:snapToGrid/>
              <w:spacing w:line="240" w:lineRule="auto"/>
              <w:ind w:firstLine="0" w:firstLineChars="0"/>
              <w:jc w:val="center"/>
              <w:rPr>
                <w:rFonts w:cs="宋体"/>
                <w:color w:val="auto"/>
                <w:sz w:val="21"/>
                <w:szCs w:val="20"/>
              </w:rPr>
            </w:pPr>
          </w:p>
        </w:tc>
      </w:tr>
      <w:tr w14:paraId="2A44CE2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4DB2B3C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4791E1E6">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6432200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P-E-1</w:t>
            </w:r>
          </w:p>
        </w:tc>
        <w:tc>
          <w:tcPr>
            <w:tcW w:w="545" w:type="pct"/>
            <w:tcBorders>
              <w:tl2br w:val="nil"/>
              <w:tr2bl w:val="nil"/>
            </w:tcBorders>
            <w:noWrap/>
            <w:vAlign w:val="center"/>
          </w:tcPr>
          <w:p w14:paraId="5032C53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vAlign w:val="center"/>
          </w:tcPr>
          <w:p w14:paraId="0EEDC21E">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4D605473">
            <w:pPr>
              <w:adjustRightInd/>
              <w:snapToGrid/>
              <w:spacing w:line="240" w:lineRule="auto"/>
              <w:ind w:firstLine="0" w:firstLineChars="0"/>
              <w:jc w:val="center"/>
              <w:rPr>
                <w:rFonts w:cs="宋体"/>
                <w:color w:val="auto"/>
                <w:sz w:val="21"/>
                <w:szCs w:val="20"/>
              </w:rPr>
            </w:pPr>
          </w:p>
        </w:tc>
      </w:tr>
      <w:tr w14:paraId="5E94C58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38DA7E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78F588B6">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6096C99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tcBorders>
              <w:tl2br w:val="nil"/>
              <w:tr2bl w:val="nil"/>
            </w:tcBorders>
            <w:noWrap/>
            <w:vAlign w:val="center"/>
          </w:tcPr>
          <w:p w14:paraId="2A6C21C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vAlign w:val="center"/>
          </w:tcPr>
          <w:p w14:paraId="28D01889">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0AC2A643">
            <w:pPr>
              <w:adjustRightInd/>
              <w:snapToGrid/>
              <w:spacing w:line="240" w:lineRule="auto"/>
              <w:ind w:firstLine="0" w:firstLineChars="0"/>
              <w:jc w:val="center"/>
              <w:rPr>
                <w:rFonts w:cs="宋体"/>
                <w:color w:val="auto"/>
                <w:sz w:val="21"/>
                <w:szCs w:val="20"/>
              </w:rPr>
            </w:pPr>
          </w:p>
        </w:tc>
      </w:tr>
      <w:tr w14:paraId="2714276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1FFF7AC">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2623A9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tcBorders>
              <w:tl2br w:val="nil"/>
              <w:tr2bl w:val="nil"/>
            </w:tcBorders>
            <w:noWrap/>
            <w:vAlign w:val="center"/>
          </w:tcPr>
          <w:p w14:paraId="492084E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1AF1A8F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restart"/>
            <w:tcBorders>
              <w:tl2br w:val="nil"/>
              <w:tr2bl w:val="nil"/>
            </w:tcBorders>
            <w:vAlign w:val="center"/>
          </w:tcPr>
          <w:p w14:paraId="7F13733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安全防护</w:t>
            </w:r>
          </w:p>
        </w:tc>
        <w:tc>
          <w:tcPr>
            <w:tcW w:w="979" w:type="pct"/>
            <w:vMerge w:val="continue"/>
            <w:tcBorders>
              <w:tl2br w:val="nil"/>
              <w:tr2bl w:val="nil"/>
            </w:tcBorders>
            <w:vAlign w:val="center"/>
          </w:tcPr>
          <w:p w14:paraId="3133DE0D">
            <w:pPr>
              <w:adjustRightInd/>
              <w:snapToGrid/>
              <w:spacing w:line="240" w:lineRule="auto"/>
              <w:ind w:firstLine="0" w:firstLineChars="0"/>
              <w:jc w:val="center"/>
              <w:rPr>
                <w:rFonts w:cs="宋体"/>
                <w:color w:val="auto"/>
                <w:sz w:val="21"/>
                <w:szCs w:val="20"/>
              </w:rPr>
            </w:pPr>
          </w:p>
        </w:tc>
      </w:tr>
      <w:tr w14:paraId="13A71A4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21B73E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2AD488F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tcBorders>
              <w:tl2br w:val="nil"/>
              <w:tr2bl w:val="nil"/>
            </w:tcBorders>
            <w:noWrap/>
            <w:vAlign w:val="center"/>
          </w:tcPr>
          <w:p w14:paraId="6AAA0BD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80E3EE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50C1029C">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69CC8C28">
            <w:pPr>
              <w:adjustRightInd/>
              <w:snapToGrid/>
              <w:spacing w:line="240" w:lineRule="auto"/>
              <w:ind w:firstLine="0" w:firstLineChars="0"/>
              <w:jc w:val="center"/>
              <w:rPr>
                <w:rFonts w:cs="宋体"/>
                <w:color w:val="auto"/>
                <w:sz w:val="21"/>
                <w:szCs w:val="20"/>
              </w:rPr>
            </w:pPr>
          </w:p>
        </w:tc>
      </w:tr>
      <w:tr w14:paraId="665E06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01377FA">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5E3C78D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tcBorders>
              <w:tl2br w:val="nil"/>
              <w:tr2bl w:val="nil"/>
            </w:tcBorders>
            <w:noWrap/>
            <w:vAlign w:val="center"/>
          </w:tcPr>
          <w:p w14:paraId="63B1833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F8BCDA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38B1D7A0">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13B97A5C">
            <w:pPr>
              <w:adjustRightInd/>
              <w:snapToGrid/>
              <w:spacing w:line="240" w:lineRule="auto"/>
              <w:ind w:firstLine="0" w:firstLineChars="0"/>
              <w:jc w:val="center"/>
              <w:rPr>
                <w:rFonts w:cs="宋体"/>
                <w:color w:val="auto"/>
                <w:sz w:val="21"/>
                <w:szCs w:val="20"/>
              </w:rPr>
            </w:pPr>
          </w:p>
        </w:tc>
      </w:tr>
      <w:tr w14:paraId="47E3266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9B6B03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700E281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tcBorders>
              <w:tl2br w:val="nil"/>
              <w:tr2bl w:val="nil"/>
            </w:tcBorders>
            <w:noWrap/>
            <w:vAlign w:val="center"/>
          </w:tcPr>
          <w:p w14:paraId="59EC3D6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BD0015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7B598AD4">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5F91FE18">
            <w:pPr>
              <w:adjustRightInd/>
              <w:snapToGrid/>
              <w:spacing w:line="240" w:lineRule="auto"/>
              <w:ind w:firstLine="0" w:firstLineChars="0"/>
              <w:jc w:val="center"/>
              <w:rPr>
                <w:rFonts w:cs="宋体"/>
                <w:color w:val="auto"/>
                <w:sz w:val="21"/>
                <w:szCs w:val="20"/>
              </w:rPr>
            </w:pPr>
          </w:p>
        </w:tc>
      </w:tr>
      <w:tr w14:paraId="4C2646C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411EA2E">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7999468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tcBorders>
              <w:tl2br w:val="nil"/>
              <w:tr2bl w:val="nil"/>
            </w:tcBorders>
            <w:noWrap/>
            <w:vAlign w:val="center"/>
          </w:tcPr>
          <w:p w14:paraId="69FB560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5FF079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vAlign w:val="center"/>
          </w:tcPr>
          <w:p w14:paraId="37AE9848">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2BED4C20">
            <w:pPr>
              <w:adjustRightInd/>
              <w:snapToGrid/>
              <w:spacing w:line="240" w:lineRule="auto"/>
              <w:ind w:firstLine="0" w:firstLineChars="0"/>
              <w:jc w:val="center"/>
              <w:rPr>
                <w:rFonts w:cs="宋体"/>
                <w:color w:val="auto"/>
                <w:sz w:val="21"/>
                <w:szCs w:val="20"/>
              </w:rPr>
            </w:pPr>
          </w:p>
        </w:tc>
      </w:tr>
      <w:tr w14:paraId="69452B0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7239A9E">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16F8576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vMerge w:val="restart"/>
            <w:tcBorders>
              <w:tl2br w:val="nil"/>
              <w:tr2bl w:val="nil"/>
            </w:tcBorders>
            <w:noWrap/>
            <w:vAlign w:val="center"/>
          </w:tcPr>
          <w:p w14:paraId="68E40F6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vMerge w:val="restart"/>
            <w:tcBorders>
              <w:tl2br w:val="nil"/>
              <w:tr2bl w:val="nil"/>
            </w:tcBorders>
            <w:noWrap/>
            <w:vAlign w:val="center"/>
          </w:tcPr>
          <w:p w14:paraId="7C9FB4E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vAlign w:val="center"/>
          </w:tcPr>
          <w:p w14:paraId="7F6855A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安全防护</w:t>
            </w:r>
          </w:p>
        </w:tc>
        <w:tc>
          <w:tcPr>
            <w:tcW w:w="979" w:type="pct"/>
            <w:vMerge w:val="restart"/>
            <w:tcBorders>
              <w:tl2br w:val="nil"/>
              <w:tr2bl w:val="nil"/>
            </w:tcBorders>
            <w:vAlign w:val="center"/>
          </w:tcPr>
          <w:p w14:paraId="1DB513A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盐酸苯肼离心岗位</w:t>
            </w:r>
          </w:p>
        </w:tc>
      </w:tr>
      <w:tr w14:paraId="0F59F16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F091BCC">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27FB9800">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3C4B9D40">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19CDFD3C">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vAlign w:val="center"/>
          </w:tcPr>
          <w:p w14:paraId="7D369BC3">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58010F0C">
            <w:pPr>
              <w:adjustRightInd/>
              <w:snapToGrid/>
              <w:spacing w:line="240" w:lineRule="auto"/>
              <w:ind w:firstLine="0" w:firstLineChars="0"/>
              <w:jc w:val="center"/>
              <w:rPr>
                <w:rFonts w:cs="宋体"/>
                <w:color w:val="auto"/>
                <w:sz w:val="21"/>
                <w:szCs w:val="20"/>
              </w:rPr>
            </w:pPr>
          </w:p>
        </w:tc>
      </w:tr>
      <w:tr w14:paraId="2975C68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A0B10D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21D7158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tcBorders>
              <w:tl2br w:val="nil"/>
              <w:tr2bl w:val="nil"/>
            </w:tcBorders>
            <w:noWrap/>
            <w:vAlign w:val="center"/>
          </w:tcPr>
          <w:p w14:paraId="17C751D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42DB78A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46B08680">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698E4BA1">
            <w:pPr>
              <w:adjustRightInd/>
              <w:snapToGrid/>
              <w:spacing w:line="240" w:lineRule="auto"/>
              <w:ind w:firstLine="0" w:firstLineChars="0"/>
              <w:jc w:val="center"/>
              <w:rPr>
                <w:rFonts w:cs="宋体"/>
                <w:color w:val="auto"/>
                <w:sz w:val="21"/>
                <w:szCs w:val="20"/>
              </w:rPr>
            </w:pPr>
          </w:p>
        </w:tc>
      </w:tr>
      <w:tr w14:paraId="66EDE2A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8EE425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691C409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899" w:type="pct"/>
            <w:tcBorders>
              <w:tl2br w:val="nil"/>
              <w:tr2bl w:val="nil"/>
            </w:tcBorders>
            <w:noWrap/>
            <w:vAlign w:val="center"/>
          </w:tcPr>
          <w:p w14:paraId="628B3BF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P-E-1</w:t>
            </w:r>
          </w:p>
        </w:tc>
        <w:tc>
          <w:tcPr>
            <w:tcW w:w="545" w:type="pct"/>
            <w:tcBorders>
              <w:tl2br w:val="nil"/>
              <w:tr2bl w:val="nil"/>
            </w:tcBorders>
            <w:noWrap/>
            <w:vAlign w:val="center"/>
          </w:tcPr>
          <w:p w14:paraId="6684634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vAlign w:val="center"/>
          </w:tcPr>
          <w:p w14:paraId="2C35D354">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5810DDD6">
            <w:pPr>
              <w:adjustRightInd/>
              <w:snapToGrid/>
              <w:spacing w:line="240" w:lineRule="auto"/>
              <w:ind w:firstLine="0" w:firstLineChars="0"/>
              <w:jc w:val="center"/>
              <w:rPr>
                <w:rFonts w:cs="宋体"/>
                <w:color w:val="auto"/>
                <w:sz w:val="21"/>
                <w:szCs w:val="20"/>
              </w:rPr>
            </w:pPr>
          </w:p>
        </w:tc>
      </w:tr>
      <w:tr w14:paraId="424EED5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4DB9832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67C7D41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tcBorders>
              <w:tl2br w:val="nil"/>
              <w:tr2bl w:val="nil"/>
            </w:tcBorders>
            <w:noWrap/>
            <w:vAlign w:val="center"/>
          </w:tcPr>
          <w:p w14:paraId="4AFFC99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29FD65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0047A910">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2572C6B8">
            <w:pPr>
              <w:adjustRightInd/>
              <w:snapToGrid/>
              <w:spacing w:line="240" w:lineRule="auto"/>
              <w:ind w:firstLine="0" w:firstLineChars="0"/>
              <w:jc w:val="center"/>
              <w:rPr>
                <w:rFonts w:cs="宋体"/>
                <w:color w:val="auto"/>
                <w:sz w:val="21"/>
                <w:szCs w:val="20"/>
              </w:rPr>
            </w:pPr>
          </w:p>
        </w:tc>
      </w:tr>
      <w:tr w14:paraId="2434650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7AC8A5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236D1B4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tcBorders>
              <w:tl2br w:val="nil"/>
              <w:tr2bl w:val="nil"/>
            </w:tcBorders>
            <w:noWrap/>
            <w:vAlign w:val="center"/>
          </w:tcPr>
          <w:p w14:paraId="403961A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1B837D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5380DFA8">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51262E93">
            <w:pPr>
              <w:adjustRightInd/>
              <w:snapToGrid/>
              <w:spacing w:line="240" w:lineRule="auto"/>
              <w:ind w:firstLine="0" w:firstLineChars="0"/>
              <w:jc w:val="center"/>
              <w:rPr>
                <w:rFonts w:cs="宋体"/>
                <w:color w:val="auto"/>
                <w:sz w:val="21"/>
                <w:szCs w:val="20"/>
              </w:rPr>
            </w:pPr>
          </w:p>
        </w:tc>
      </w:tr>
      <w:tr w14:paraId="249B253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967C92C">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58D7326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tcBorders>
              <w:tl2br w:val="nil"/>
              <w:tr2bl w:val="nil"/>
            </w:tcBorders>
            <w:noWrap/>
            <w:vAlign w:val="center"/>
          </w:tcPr>
          <w:p w14:paraId="6401272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233F53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73FD49CA">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311E5544">
            <w:pPr>
              <w:adjustRightInd/>
              <w:snapToGrid/>
              <w:spacing w:line="240" w:lineRule="auto"/>
              <w:ind w:firstLine="0" w:firstLineChars="0"/>
              <w:jc w:val="center"/>
              <w:rPr>
                <w:rFonts w:cs="宋体"/>
                <w:color w:val="auto"/>
                <w:sz w:val="21"/>
                <w:szCs w:val="20"/>
              </w:rPr>
            </w:pPr>
          </w:p>
        </w:tc>
      </w:tr>
      <w:tr w14:paraId="6C571D7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4891D3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516485D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tcBorders>
              <w:tl2br w:val="nil"/>
              <w:tr2bl w:val="nil"/>
            </w:tcBorders>
            <w:noWrap/>
            <w:vAlign w:val="center"/>
          </w:tcPr>
          <w:p w14:paraId="3154F36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4333FD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68F13531">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21797F4F">
            <w:pPr>
              <w:adjustRightInd/>
              <w:snapToGrid/>
              <w:spacing w:line="240" w:lineRule="auto"/>
              <w:ind w:firstLine="0" w:firstLineChars="0"/>
              <w:jc w:val="center"/>
              <w:rPr>
                <w:rFonts w:cs="宋体"/>
                <w:color w:val="auto"/>
                <w:sz w:val="21"/>
                <w:szCs w:val="20"/>
              </w:rPr>
            </w:pPr>
          </w:p>
        </w:tc>
      </w:tr>
      <w:tr w14:paraId="0AFDEE5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BBEE0C8">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3FA21F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香皂</w:t>
            </w:r>
          </w:p>
        </w:tc>
        <w:tc>
          <w:tcPr>
            <w:tcW w:w="899" w:type="pct"/>
            <w:tcBorders>
              <w:tl2br w:val="nil"/>
              <w:tr2bl w:val="nil"/>
            </w:tcBorders>
            <w:noWrap/>
            <w:vAlign w:val="center"/>
          </w:tcPr>
          <w:p w14:paraId="2F90A93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125g</w:t>
            </w:r>
          </w:p>
        </w:tc>
        <w:tc>
          <w:tcPr>
            <w:tcW w:w="545" w:type="pct"/>
            <w:tcBorders>
              <w:tl2br w:val="nil"/>
              <w:tr2bl w:val="nil"/>
            </w:tcBorders>
            <w:noWrap/>
            <w:vAlign w:val="center"/>
          </w:tcPr>
          <w:p w14:paraId="6D11D39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2块</w:t>
            </w:r>
          </w:p>
        </w:tc>
        <w:tc>
          <w:tcPr>
            <w:tcW w:w="958" w:type="pct"/>
            <w:vMerge w:val="continue"/>
            <w:tcBorders>
              <w:tl2br w:val="nil"/>
              <w:tr2bl w:val="nil"/>
            </w:tcBorders>
            <w:vAlign w:val="center"/>
          </w:tcPr>
          <w:p w14:paraId="4744D8CA">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06C2EC20">
            <w:pPr>
              <w:adjustRightInd/>
              <w:snapToGrid/>
              <w:spacing w:line="240" w:lineRule="auto"/>
              <w:ind w:firstLine="0" w:firstLineChars="0"/>
              <w:jc w:val="center"/>
              <w:rPr>
                <w:rFonts w:cs="宋体"/>
                <w:color w:val="auto"/>
                <w:sz w:val="21"/>
                <w:szCs w:val="20"/>
              </w:rPr>
            </w:pPr>
          </w:p>
        </w:tc>
      </w:tr>
      <w:tr w14:paraId="0B74E19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FC8007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09A2CF5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毛巾</w:t>
            </w:r>
          </w:p>
        </w:tc>
        <w:tc>
          <w:tcPr>
            <w:tcW w:w="899" w:type="pct"/>
            <w:tcBorders>
              <w:tl2br w:val="nil"/>
              <w:tr2bl w:val="nil"/>
            </w:tcBorders>
            <w:noWrap/>
            <w:vAlign w:val="center"/>
          </w:tcPr>
          <w:p w14:paraId="32E4FA8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AFEBD1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2条</w:t>
            </w:r>
          </w:p>
        </w:tc>
        <w:tc>
          <w:tcPr>
            <w:tcW w:w="958" w:type="pct"/>
            <w:vMerge w:val="continue"/>
            <w:tcBorders>
              <w:tl2br w:val="nil"/>
              <w:tr2bl w:val="nil"/>
            </w:tcBorders>
            <w:vAlign w:val="center"/>
          </w:tcPr>
          <w:p w14:paraId="54FB459C">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7E136C99">
            <w:pPr>
              <w:adjustRightInd/>
              <w:snapToGrid/>
              <w:spacing w:line="240" w:lineRule="auto"/>
              <w:ind w:firstLine="0" w:firstLineChars="0"/>
              <w:jc w:val="center"/>
              <w:rPr>
                <w:rFonts w:cs="宋体"/>
                <w:color w:val="auto"/>
                <w:sz w:val="21"/>
                <w:szCs w:val="20"/>
              </w:rPr>
            </w:pPr>
          </w:p>
        </w:tc>
      </w:tr>
      <w:tr w14:paraId="01EB7FD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8F9FF0C">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3455D53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tcBorders>
              <w:tl2br w:val="nil"/>
              <w:tr2bl w:val="nil"/>
            </w:tcBorders>
            <w:noWrap/>
            <w:vAlign w:val="center"/>
          </w:tcPr>
          <w:p w14:paraId="3556234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1ED07A9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vAlign w:val="center"/>
          </w:tcPr>
          <w:p w14:paraId="39459C14">
            <w:pPr>
              <w:adjustRightInd/>
              <w:snapToGrid/>
              <w:spacing w:line="240" w:lineRule="auto"/>
              <w:ind w:firstLine="0" w:firstLineChars="0"/>
              <w:jc w:val="center"/>
              <w:rPr>
                <w:rFonts w:cs="宋体"/>
                <w:color w:val="auto"/>
                <w:sz w:val="21"/>
                <w:szCs w:val="20"/>
              </w:rPr>
            </w:pPr>
          </w:p>
        </w:tc>
        <w:tc>
          <w:tcPr>
            <w:tcW w:w="979" w:type="pct"/>
            <w:vMerge w:val="continue"/>
            <w:tcBorders>
              <w:tl2br w:val="nil"/>
              <w:tr2bl w:val="nil"/>
            </w:tcBorders>
            <w:vAlign w:val="center"/>
          </w:tcPr>
          <w:p w14:paraId="2AEE624C">
            <w:pPr>
              <w:adjustRightInd/>
              <w:snapToGrid/>
              <w:spacing w:line="240" w:lineRule="auto"/>
              <w:ind w:firstLine="0" w:firstLineChars="0"/>
              <w:jc w:val="center"/>
              <w:rPr>
                <w:rFonts w:cs="宋体"/>
                <w:color w:val="auto"/>
                <w:sz w:val="21"/>
                <w:szCs w:val="20"/>
              </w:rPr>
            </w:pPr>
          </w:p>
        </w:tc>
      </w:tr>
      <w:tr w14:paraId="63FD8CD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20DCFA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7A4E8CF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tcBorders>
              <w:tl2br w:val="nil"/>
              <w:tr2bl w:val="nil"/>
            </w:tcBorders>
            <w:noWrap/>
            <w:vAlign w:val="center"/>
          </w:tcPr>
          <w:p w14:paraId="478A8FB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P-A-3</w:t>
            </w:r>
          </w:p>
        </w:tc>
        <w:tc>
          <w:tcPr>
            <w:tcW w:w="545" w:type="pct"/>
            <w:tcBorders>
              <w:tl2br w:val="nil"/>
              <w:tr2bl w:val="nil"/>
            </w:tcBorders>
            <w:noWrap/>
            <w:vAlign w:val="center"/>
          </w:tcPr>
          <w:p w14:paraId="5D21291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restart"/>
            <w:tcBorders>
              <w:tl2br w:val="nil"/>
              <w:tr2bl w:val="nil"/>
            </w:tcBorders>
            <w:noWrap/>
            <w:vAlign w:val="center"/>
          </w:tcPr>
          <w:p w14:paraId="4967FB7B">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64E3FD6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盐酸苯肼包装岗位</w:t>
            </w:r>
          </w:p>
        </w:tc>
      </w:tr>
      <w:tr w14:paraId="6A8A67E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905F1A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6EE18987">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45E85FC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tcBorders>
              <w:tl2br w:val="nil"/>
              <w:tr2bl w:val="nil"/>
            </w:tcBorders>
            <w:noWrap/>
            <w:vAlign w:val="center"/>
          </w:tcPr>
          <w:p w14:paraId="340C001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0CF7C762">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ABB9135">
            <w:pPr>
              <w:adjustRightInd/>
              <w:snapToGrid/>
              <w:spacing w:line="240" w:lineRule="auto"/>
              <w:ind w:firstLine="0" w:firstLineChars="0"/>
              <w:jc w:val="center"/>
              <w:rPr>
                <w:rFonts w:cs="宋体"/>
                <w:color w:val="auto"/>
                <w:sz w:val="21"/>
                <w:szCs w:val="20"/>
              </w:rPr>
            </w:pPr>
          </w:p>
        </w:tc>
      </w:tr>
      <w:tr w14:paraId="5CB2F0E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50847A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4FC9759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tcBorders>
              <w:tl2br w:val="nil"/>
              <w:tr2bl w:val="nil"/>
            </w:tcBorders>
            <w:noWrap/>
            <w:vAlign w:val="center"/>
          </w:tcPr>
          <w:p w14:paraId="38E2A78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063839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6D76741F">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9F5F150">
            <w:pPr>
              <w:adjustRightInd/>
              <w:snapToGrid/>
              <w:spacing w:line="240" w:lineRule="auto"/>
              <w:ind w:firstLine="0" w:firstLineChars="0"/>
              <w:jc w:val="center"/>
              <w:rPr>
                <w:rFonts w:cs="宋体"/>
                <w:color w:val="auto"/>
                <w:sz w:val="21"/>
                <w:szCs w:val="20"/>
              </w:rPr>
            </w:pPr>
          </w:p>
        </w:tc>
      </w:tr>
      <w:tr w14:paraId="1ACF285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483E779A">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6DC1D85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tcBorders>
              <w:tl2br w:val="nil"/>
              <w:tr2bl w:val="nil"/>
            </w:tcBorders>
            <w:noWrap/>
            <w:vAlign w:val="center"/>
          </w:tcPr>
          <w:p w14:paraId="7F9B025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14F98CD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241CBFCE">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A2B5B21">
            <w:pPr>
              <w:adjustRightInd/>
              <w:snapToGrid/>
              <w:spacing w:line="240" w:lineRule="auto"/>
              <w:ind w:firstLine="0" w:firstLineChars="0"/>
              <w:jc w:val="center"/>
              <w:rPr>
                <w:rFonts w:cs="宋体"/>
                <w:color w:val="auto"/>
                <w:sz w:val="21"/>
                <w:szCs w:val="20"/>
              </w:rPr>
            </w:pPr>
          </w:p>
        </w:tc>
      </w:tr>
      <w:tr w14:paraId="28BF685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E59BF8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4A44C52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vMerge w:val="restart"/>
            <w:tcBorders>
              <w:tl2br w:val="nil"/>
              <w:tr2bl w:val="nil"/>
            </w:tcBorders>
            <w:noWrap/>
            <w:vAlign w:val="center"/>
          </w:tcPr>
          <w:p w14:paraId="223F05B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P-A-3</w:t>
            </w:r>
          </w:p>
        </w:tc>
        <w:tc>
          <w:tcPr>
            <w:tcW w:w="545" w:type="pct"/>
            <w:vMerge w:val="restart"/>
            <w:tcBorders>
              <w:tl2br w:val="nil"/>
              <w:tr2bl w:val="nil"/>
            </w:tcBorders>
            <w:noWrap/>
            <w:vAlign w:val="center"/>
          </w:tcPr>
          <w:p w14:paraId="550DBE2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7094BA44">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2062454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环一车间一层</w:t>
            </w:r>
          </w:p>
        </w:tc>
      </w:tr>
      <w:tr w14:paraId="28BE032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09258EC">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18ADC743">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27E27BA7">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2EB09CBB">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6A356E73">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F762A20">
            <w:pPr>
              <w:adjustRightInd/>
              <w:snapToGrid/>
              <w:spacing w:line="240" w:lineRule="auto"/>
              <w:ind w:firstLine="0" w:firstLineChars="0"/>
              <w:jc w:val="center"/>
              <w:rPr>
                <w:rFonts w:cs="宋体"/>
                <w:color w:val="auto"/>
                <w:sz w:val="21"/>
                <w:szCs w:val="20"/>
              </w:rPr>
            </w:pPr>
          </w:p>
        </w:tc>
      </w:tr>
      <w:tr w14:paraId="2F04103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674E60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029A5171">
            <w:pPr>
              <w:adjustRightInd/>
              <w:snapToGrid/>
              <w:spacing w:line="240" w:lineRule="auto"/>
              <w:ind w:firstLine="0" w:firstLineChars="0"/>
              <w:jc w:val="center"/>
              <w:rPr>
                <w:rFonts w:cs="宋体"/>
                <w:color w:val="auto"/>
                <w:sz w:val="21"/>
                <w:szCs w:val="20"/>
              </w:rPr>
            </w:pPr>
          </w:p>
        </w:tc>
        <w:tc>
          <w:tcPr>
            <w:tcW w:w="899" w:type="pct"/>
            <w:vMerge w:val="restart"/>
            <w:tcBorders>
              <w:tl2br w:val="nil"/>
              <w:tr2bl w:val="nil"/>
            </w:tcBorders>
            <w:noWrap/>
            <w:vAlign w:val="center"/>
          </w:tcPr>
          <w:p w14:paraId="1F78833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6E874AE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0EFAA809">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26BBBE5">
            <w:pPr>
              <w:adjustRightInd/>
              <w:snapToGrid/>
              <w:spacing w:line="240" w:lineRule="auto"/>
              <w:ind w:firstLine="0" w:firstLineChars="0"/>
              <w:jc w:val="center"/>
              <w:rPr>
                <w:rFonts w:cs="宋体"/>
                <w:color w:val="auto"/>
                <w:sz w:val="21"/>
                <w:szCs w:val="20"/>
              </w:rPr>
            </w:pPr>
          </w:p>
        </w:tc>
      </w:tr>
      <w:tr w14:paraId="794D1B3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DD5CFD9">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2C6C2FE4">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2E31BB9D">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113456B3">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4E258195">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87F3F1B">
            <w:pPr>
              <w:adjustRightInd/>
              <w:snapToGrid/>
              <w:spacing w:line="240" w:lineRule="auto"/>
              <w:ind w:firstLine="0" w:firstLineChars="0"/>
              <w:jc w:val="center"/>
              <w:rPr>
                <w:rFonts w:cs="宋体"/>
                <w:color w:val="auto"/>
                <w:sz w:val="21"/>
                <w:szCs w:val="20"/>
              </w:rPr>
            </w:pPr>
          </w:p>
        </w:tc>
      </w:tr>
      <w:tr w14:paraId="324F932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347" w:type="pct"/>
            <w:tcBorders>
              <w:tl2br w:val="nil"/>
              <w:tr2bl w:val="nil"/>
            </w:tcBorders>
            <w:noWrap/>
            <w:vAlign w:val="center"/>
          </w:tcPr>
          <w:p w14:paraId="0C1BCF0D">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EE3FB2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899" w:type="pct"/>
            <w:tcBorders>
              <w:tl2br w:val="nil"/>
              <w:tr2bl w:val="nil"/>
            </w:tcBorders>
            <w:noWrap/>
            <w:vAlign w:val="center"/>
          </w:tcPr>
          <w:p w14:paraId="562A06A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noWrap/>
            <w:vAlign w:val="center"/>
          </w:tcPr>
          <w:p w14:paraId="039BE12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4546AE52">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6F6032A9">
            <w:pPr>
              <w:adjustRightInd/>
              <w:snapToGrid/>
              <w:spacing w:line="240" w:lineRule="auto"/>
              <w:ind w:firstLine="0" w:firstLineChars="0"/>
              <w:jc w:val="center"/>
              <w:rPr>
                <w:rFonts w:cs="宋体"/>
                <w:color w:val="auto"/>
                <w:sz w:val="21"/>
                <w:szCs w:val="20"/>
              </w:rPr>
            </w:pPr>
          </w:p>
        </w:tc>
      </w:tr>
      <w:tr w14:paraId="14660F5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83C345D">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2191099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tcBorders>
              <w:tl2br w:val="nil"/>
              <w:tr2bl w:val="nil"/>
            </w:tcBorders>
            <w:noWrap/>
            <w:vAlign w:val="center"/>
          </w:tcPr>
          <w:p w14:paraId="1BFD2CB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4DB0ED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A664FBE">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8F08EE8">
            <w:pPr>
              <w:adjustRightInd/>
              <w:snapToGrid/>
              <w:spacing w:line="240" w:lineRule="auto"/>
              <w:ind w:firstLine="0" w:firstLineChars="0"/>
              <w:jc w:val="center"/>
              <w:rPr>
                <w:rFonts w:cs="宋体"/>
                <w:color w:val="auto"/>
                <w:sz w:val="21"/>
                <w:szCs w:val="20"/>
              </w:rPr>
            </w:pPr>
          </w:p>
        </w:tc>
      </w:tr>
      <w:tr w14:paraId="00F8E5E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95B861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709A3A3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899" w:type="pct"/>
            <w:tcBorders>
              <w:tl2br w:val="nil"/>
              <w:tr2bl w:val="nil"/>
            </w:tcBorders>
            <w:noWrap/>
            <w:vAlign w:val="center"/>
          </w:tcPr>
          <w:p w14:paraId="2DAD534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P-A-1</w:t>
            </w:r>
          </w:p>
        </w:tc>
        <w:tc>
          <w:tcPr>
            <w:tcW w:w="545" w:type="pct"/>
            <w:vMerge w:val="restart"/>
            <w:tcBorders>
              <w:tl2br w:val="nil"/>
              <w:tr2bl w:val="nil"/>
            </w:tcBorders>
            <w:noWrap/>
            <w:vAlign w:val="center"/>
          </w:tcPr>
          <w:p w14:paraId="1C0FA98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0DDF5BDC">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75C10D5">
            <w:pPr>
              <w:adjustRightInd/>
              <w:snapToGrid/>
              <w:spacing w:line="240" w:lineRule="auto"/>
              <w:ind w:firstLine="0" w:firstLineChars="0"/>
              <w:jc w:val="center"/>
              <w:rPr>
                <w:rFonts w:cs="宋体"/>
                <w:color w:val="auto"/>
                <w:sz w:val="21"/>
                <w:szCs w:val="20"/>
              </w:rPr>
            </w:pPr>
          </w:p>
        </w:tc>
      </w:tr>
      <w:tr w14:paraId="5130C23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505A90A">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5F8AD26D">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6AC562B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vMerge w:val="continue"/>
            <w:tcBorders>
              <w:tl2br w:val="nil"/>
              <w:tr2bl w:val="nil"/>
            </w:tcBorders>
            <w:noWrap/>
            <w:vAlign w:val="center"/>
          </w:tcPr>
          <w:p w14:paraId="3E4F51C5">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42F28049">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E64F0DB">
            <w:pPr>
              <w:adjustRightInd/>
              <w:snapToGrid/>
              <w:spacing w:line="240" w:lineRule="auto"/>
              <w:ind w:firstLine="0" w:firstLineChars="0"/>
              <w:jc w:val="center"/>
              <w:rPr>
                <w:rFonts w:cs="宋体"/>
                <w:color w:val="auto"/>
                <w:sz w:val="21"/>
                <w:szCs w:val="20"/>
              </w:rPr>
            </w:pPr>
          </w:p>
        </w:tc>
      </w:tr>
      <w:tr w14:paraId="4756A62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A1FF7F8">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65300F6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tcBorders>
              <w:tl2br w:val="nil"/>
              <w:tr2bl w:val="nil"/>
            </w:tcBorders>
            <w:noWrap/>
            <w:vAlign w:val="center"/>
          </w:tcPr>
          <w:p w14:paraId="0EA4E12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1DC6733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396AAF58">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553B002">
            <w:pPr>
              <w:adjustRightInd/>
              <w:snapToGrid/>
              <w:spacing w:line="240" w:lineRule="auto"/>
              <w:ind w:firstLine="0" w:firstLineChars="0"/>
              <w:jc w:val="center"/>
              <w:rPr>
                <w:rFonts w:cs="宋体"/>
                <w:color w:val="auto"/>
                <w:sz w:val="21"/>
                <w:szCs w:val="20"/>
              </w:rPr>
            </w:pPr>
          </w:p>
        </w:tc>
      </w:tr>
      <w:tr w14:paraId="26AE71B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94C7E5C">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29A0C2C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tcBorders>
              <w:tl2br w:val="nil"/>
              <w:tr2bl w:val="nil"/>
            </w:tcBorders>
            <w:noWrap/>
            <w:vAlign w:val="center"/>
          </w:tcPr>
          <w:p w14:paraId="5E157DC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0A57C9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28232153">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68F37A5">
            <w:pPr>
              <w:adjustRightInd/>
              <w:snapToGrid/>
              <w:spacing w:line="240" w:lineRule="auto"/>
              <w:ind w:firstLine="0" w:firstLineChars="0"/>
              <w:jc w:val="center"/>
              <w:rPr>
                <w:rFonts w:cs="宋体"/>
                <w:color w:val="auto"/>
                <w:sz w:val="21"/>
                <w:szCs w:val="20"/>
              </w:rPr>
            </w:pPr>
          </w:p>
        </w:tc>
      </w:tr>
      <w:tr w14:paraId="5F6B30D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73B69B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0603CD1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tcBorders>
              <w:tl2br w:val="nil"/>
              <w:tr2bl w:val="nil"/>
            </w:tcBorders>
            <w:noWrap/>
            <w:vAlign w:val="center"/>
          </w:tcPr>
          <w:p w14:paraId="6087984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CCD3BD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0A3C213">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92D3FBA">
            <w:pPr>
              <w:adjustRightInd/>
              <w:snapToGrid/>
              <w:spacing w:line="240" w:lineRule="auto"/>
              <w:ind w:firstLine="0" w:firstLineChars="0"/>
              <w:jc w:val="center"/>
              <w:rPr>
                <w:rFonts w:cs="宋体"/>
                <w:color w:val="auto"/>
                <w:sz w:val="21"/>
                <w:szCs w:val="20"/>
              </w:rPr>
            </w:pPr>
          </w:p>
        </w:tc>
      </w:tr>
      <w:tr w14:paraId="09E81C8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1E7BCFE">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675A790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tcBorders>
              <w:tl2br w:val="nil"/>
              <w:tr2bl w:val="nil"/>
            </w:tcBorders>
            <w:noWrap/>
            <w:vAlign w:val="center"/>
          </w:tcPr>
          <w:p w14:paraId="676408B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96540A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4D356080">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81EE578">
            <w:pPr>
              <w:adjustRightInd/>
              <w:snapToGrid/>
              <w:spacing w:line="240" w:lineRule="auto"/>
              <w:ind w:firstLine="0" w:firstLineChars="0"/>
              <w:jc w:val="center"/>
              <w:rPr>
                <w:rFonts w:cs="宋体"/>
                <w:color w:val="auto"/>
                <w:sz w:val="21"/>
                <w:szCs w:val="20"/>
              </w:rPr>
            </w:pPr>
          </w:p>
        </w:tc>
      </w:tr>
      <w:tr w14:paraId="2F4F63F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AE3E8F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4BB591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tcBorders>
              <w:tl2br w:val="nil"/>
              <w:tr2bl w:val="nil"/>
            </w:tcBorders>
            <w:noWrap/>
            <w:vAlign w:val="center"/>
          </w:tcPr>
          <w:p w14:paraId="7C48993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4A4C24C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noWrap/>
            <w:vAlign w:val="center"/>
          </w:tcPr>
          <w:p w14:paraId="4C6EDE0F">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6FA89CF">
            <w:pPr>
              <w:adjustRightInd/>
              <w:snapToGrid/>
              <w:spacing w:line="240" w:lineRule="auto"/>
              <w:ind w:firstLine="0" w:firstLineChars="0"/>
              <w:jc w:val="center"/>
              <w:rPr>
                <w:rFonts w:cs="宋体"/>
                <w:color w:val="auto"/>
                <w:sz w:val="21"/>
                <w:szCs w:val="20"/>
              </w:rPr>
            </w:pPr>
          </w:p>
        </w:tc>
      </w:tr>
      <w:tr w14:paraId="104CBDE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B011E2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69F52CF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vMerge w:val="restart"/>
            <w:tcBorders>
              <w:tl2br w:val="nil"/>
              <w:tr2bl w:val="nil"/>
            </w:tcBorders>
            <w:noWrap/>
            <w:vAlign w:val="center"/>
          </w:tcPr>
          <w:p w14:paraId="1257F79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P-A-3</w:t>
            </w:r>
          </w:p>
        </w:tc>
        <w:tc>
          <w:tcPr>
            <w:tcW w:w="545" w:type="pct"/>
            <w:vMerge w:val="restart"/>
            <w:tcBorders>
              <w:tl2br w:val="nil"/>
              <w:tr2bl w:val="nil"/>
            </w:tcBorders>
            <w:noWrap/>
            <w:vAlign w:val="center"/>
          </w:tcPr>
          <w:p w14:paraId="1998E12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0A477AF0">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4330270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苯肼车间三层</w:t>
            </w:r>
          </w:p>
        </w:tc>
      </w:tr>
      <w:tr w14:paraId="27F3C0B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BB7948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742BC42E">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2D758C89">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35193C6E">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628931A5">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450D0EB">
            <w:pPr>
              <w:adjustRightInd/>
              <w:snapToGrid/>
              <w:spacing w:line="240" w:lineRule="auto"/>
              <w:ind w:firstLine="0" w:firstLineChars="0"/>
              <w:jc w:val="center"/>
              <w:rPr>
                <w:rFonts w:cs="宋体"/>
                <w:color w:val="auto"/>
                <w:sz w:val="21"/>
                <w:szCs w:val="20"/>
              </w:rPr>
            </w:pPr>
          </w:p>
        </w:tc>
      </w:tr>
      <w:tr w14:paraId="2D93481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6209B09">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575423AC">
            <w:pPr>
              <w:adjustRightInd/>
              <w:snapToGrid/>
              <w:spacing w:line="240" w:lineRule="auto"/>
              <w:ind w:firstLine="0" w:firstLineChars="0"/>
              <w:jc w:val="center"/>
              <w:rPr>
                <w:rFonts w:cs="宋体"/>
                <w:color w:val="auto"/>
                <w:sz w:val="21"/>
                <w:szCs w:val="20"/>
              </w:rPr>
            </w:pPr>
          </w:p>
        </w:tc>
        <w:tc>
          <w:tcPr>
            <w:tcW w:w="899" w:type="pct"/>
            <w:vMerge w:val="restart"/>
            <w:tcBorders>
              <w:tl2br w:val="nil"/>
              <w:tr2bl w:val="nil"/>
            </w:tcBorders>
            <w:noWrap/>
            <w:vAlign w:val="center"/>
          </w:tcPr>
          <w:p w14:paraId="33E69CF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1DE00F8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040BE30C">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49CD4C6">
            <w:pPr>
              <w:adjustRightInd/>
              <w:snapToGrid/>
              <w:spacing w:line="240" w:lineRule="auto"/>
              <w:ind w:firstLine="0" w:firstLineChars="0"/>
              <w:jc w:val="center"/>
              <w:rPr>
                <w:rFonts w:cs="宋体"/>
                <w:color w:val="auto"/>
                <w:sz w:val="21"/>
                <w:szCs w:val="20"/>
              </w:rPr>
            </w:pPr>
          </w:p>
        </w:tc>
      </w:tr>
      <w:tr w14:paraId="473BFFD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D78A41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52E42929">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67A5F718">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AC73C73">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0A8728D1">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9EEA2F3">
            <w:pPr>
              <w:adjustRightInd/>
              <w:snapToGrid/>
              <w:spacing w:line="240" w:lineRule="auto"/>
              <w:ind w:firstLine="0" w:firstLineChars="0"/>
              <w:jc w:val="center"/>
              <w:rPr>
                <w:rFonts w:cs="宋体"/>
                <w:color w:val="auto"/>
                <w:sz w:val="21"/>
                <w:szCs w:val="20"/>
              </w:rPr>
            </w:pPr>
          </w:p>
        </w:tc>
      </w:tr>
      <w:tr w14:paraId="7CF2B61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E3E1C2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58AEAE3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899" w:type="pct"/>
            <w:tcBorders>
              <w:tl2br w:val="nil"/>
              <w:tr2bl w:val="nil"/>
            </w:tcBorders>
            <w:noWrap/>
            <w:vAlign w:val="center"/>
          </w:tcPr>
          <w:p w14:paraId="5F6C97E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noWrap/>
            <w:vAlign w:val="center"/>
          </w:tcPr>
          <w:p w14:paraId="224E7C8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57FFCA3">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909A93C">
            <w:pPr>
              <w:adjustRightInd/>
              <w:snapToGrid/>
              <w:spacing w:line="240" w:lineRule="auto"/>
              <w:ind w:firstLine="0" w:firstLineChars="0"/>
              <w:jc w:val="center"/>
              <w:rPr>
                <w:rFonts w:cs="宋体"/>
                <w:color w:val="auto"/>
                <w:sz w:val="21"/>
                <w:szCs w:val="20"/>
              </w:rPr>
            </w:pPr>
          </w:p>
        </w:tc>
      </w:tr>
      <w:tr w14:paraId="65AF3A4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B8CB32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4F6A089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tcBorders>
              <w:tl2br w:val="nil"/>
              <w:tr2bl w:val="nil"/>
            </w:tcBorders>
            <w:noWrap/>
            <w:vAlign w:val="center"/>
          </w:tcPr>
          <w:p w14:paraId="0C5709B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172242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393F66A9">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52B19BA">
            <w:pPr>
              <w:adjustRightInd/>
              <w:snapToGrid/>
              <w:spacing w:line="240" w:lineRule="auto"/>
              <w:ind w:firstLine="0" w:firstLineChars="0"/>
              <w:jc w:val="center"/>
              <w:rPr>
                <w:rFonts w:cs="宋体"/>
                <w:color w:val="auto"/>
                <w:sz w:val="21"/>
                <w:szCs w:val="20"/>
              </w:rPr>
            </w:pPr>
          </w:p>
        </w:tc>
      </w:tr>
      <w:tr w14:paraId="054DD45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DCFD7D9">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1ABD016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899" w:type="pct"/>
            <w:tcBorders>
              <w:tl2br w:val="nil"/>
              <w:tr2bl w:val="nil"/>
            </w:tcBorders>
            <w:noWrap/>
            <w:vAlign w:val="center"/>
          </w:tcPr>
          <w:p w14:paraId="5100AE4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P-A-1</w:t>
            </w:r>
          </w:p>
        </w:tc>
        <w:tc>
          <w:tcPr>
            <w:tcW w:w="545" w:type="pct"/>
            <w:vMerge w:val="restart"/>
            <w:tcBorders>
              <w:tl2br w:val="nil"/>
              <w:tr2bl w:val="nil"/>
            </w:tcBorders>
            <w:noWrap/>
            <w:vAlign w:val="center"/>
          </w:tcPr>
          <w:p w14:paraId="788507F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2C92E880">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5FCA7E7F">
            <w:pPr>
              <w:adjustRightInd/>
              <w:snapToGrid/>
              <w:spacing w:line="240" w:lineRule="auto"/>
              <w:ind w:firstLine="0" w:firstLineChars="0"/>
              <w:jc w:val="center"/>
              <w:rPr>
                <w:rFonts w:cs="宋体"/>
                <w:color w:val="auto"/>
                <w:sz w:val="21"/>
                <w:szCs w:val="20"/>
              </w:rPr>
            </w:pPr>
          </w:p>
        </w:tc>
      </w:tr>
      <w:tr w14:paraId="68895C6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71E471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0A6B442F">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45CCF44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vMerge w:val="continue"/>
            <w:tcBorders>
              <w:tl2br w:val="nil"/>
              <w:tr2bl w:val="nil"/>
            </w:tcBorders>
            <w:noWrap/>
            <w:vAlign w:val="center"/>
          </w:tcPr>
          <w:p w14:paraId="19E280EA">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233F7F89">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F325168">
            <w:pPr>
              <w:adjustRightInd/>
              <w:snapToGrid/>
              <w:spacing w:line="240" w:lineRule="auto"/>
              <w:ind w:firstLine="0" w:firstLineChars="0"/>
              <w:jc w:val="center"/>
              <w:rPr>
                <w:rFonts w:cs="宋体"/>
                <w:color w:val="auto"/>
                <w:sz w:val="21"/>
                <w:szCs w:val="20"/>
              </w:rPr>
            </w:pPr>
          </w:p>
        </w:tc>
      </w:tr>
      <w:tr w14:paraId="7AEAC90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F6CA33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F81A0A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tcBorders>
              <w:tl2br w:val="nil"/>
              <w:tr2bl w:val="nil"/>
            </w:tcBorders>
            <w:noWrap/>
            <w:vAlign w:val="center"/>
          </w:tcPr>
          <w:p w14:paraId="2D0721A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37DF6D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0DAD9B54">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60D9794D">
            <w:pPr>
              <w:adjustRightInd/>
              <w:snapToGrid/>
              <w:spacing w:line="240" w:lineRule="auto"/>
              <w:ind w:firstLine="0" w:firstLineChars="0"/>
              <w:jc w:val="center"/>
              <w:rPr>
                <w:rFonts w:cs="宋体"/>
                <w:color w:val="auto"/>
                <w:sz w:val="21"/>
                <w:szCs w:val="20"/>
              </w:rPr>
            </w:pPr>
          </w:p>
        </w:tc>
      </w:tr>
      <w:tr w14:paraId="3558089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158C54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09347E1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tcBorders>
              <w:tl2br w:val="nil"/>
              <w:tr2bl w:val="nil"/>
            </w:tcBorders>
            <w:noWrap/>
            <w:vAlign w:val="center"/>
          </w:tcPr>
          <w:p w14:paraId="2F1C13C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FB0CE0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4D660345">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7CF59B7">
            <w:pPr>
              <w:adjustRightInd/>
              <w:snapToGrid/>
              <w:spacing w:line="240" w:lineRule="auto"/>
              <w:ind w:firstLine="0" w:firstLineChars="0"/>
              <w:jc w:val="center"/>
              <w:rPr>
                <w:rFonts w:cs="宋体"/>
                <w:color w:val="auto"/>
                <w:sz w:val="21"/>
                <w:szCs w:val="20"/>
              </w:rPr>
            </w:pPr>
          </w:p>
        </w:tc>
      </w:tr>
      <w:tr w14:paraId="542A8E9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F938D4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0B393F2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tcBorders>
              <w:tl2br w:val="nil"/>
              <w:tr2bl w:val="nil"/>
            </w:tcBorders>
            <w:noWrap/>
            <w:vAlign w:val="center"/>
          </w:tcPr>
          <w:p w14:paraId="5449C3A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EBA7C4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42853D4F">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7D3A3FA9">
            <w:pPr>
              <w:adjustRightInd/>
              <w:snapToGrid/>
              <w:spacing w:line="240" w:lineRule="auto"/>
              <w:ind w:firstLine="0" w:firstLineChars="0"/>
              <w:jc w:val="center"/>
              <w:rPr>
                <w:rFonts w:cs="宋体"/>
                <w:color w:val="auto"/>
                <w:sz w:val="21"/>
                <w:szCs w:val="20"/>
              </w:rPr>
            </w:pPr>
          </w:p>
        </w:tc>
      </w:tr>
      <w:tr w14:paraId="453FF0D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484EDFF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298D8B7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tcBorders>
              <w:tl2br w:val="nil"/>
              <w:tr2bl w:val="nil"/>
            </w:tcBorders>
            <w:noWrap/>
            <w:vAlign w:val="center"/>
          </w:tcPr>
          <w:p w14:paraId="6A19DC7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EAE312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211375AE">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AE9758E">
            <w:pPr>
              <w:adjustRightInd/>
              <w:snapToGrid/>
              <w:spacing w:line="240" w:lineRule="auto"/>
              <w:ind w:firstLine="0" w:firstLineChars="0"/>
              <w:jc w:val="center"/>
              <w:rPr>
                <w:rFonts w:cs="宋体"/>
                <w:color w:val="auto"/>
                <w:sz w:val="21"/>
                <w:szCs w:val="20"/>
              </w:rPr>
            </w:pPr>
          </w:p>
        </w:tc>
      </w:tr>
      <w:tr w14:paraId="5BCC64B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3BA6FAD">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204AC9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tcBorders>
              <w:tl2br w:val="nil"/>
              <w:tr2bl w:val="nil"/>
            </w:tcBorders>
            <w:noWrap/>
            <w:vAlign w:val="center"/>
          </w:tcPr>
          <w:p w14:paraId="64EE653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CD868F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noWrap/>
            <w:vAlign w:val="center"/>
          </w:tcPr>
          <w:p w14:paraId="70629895">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6A504398">
            <w:pPr>
              <w:adjustRightInd/>
              <w:snapToGrid/>
              <w:spacing w:line="240" w:lineRule="auto"/>
              <w:ind w:firstLine="0" w:firstLineChars="0"/>
              <w:jc w:val="center"/>
              <w:rPr>
                <w:rFonts w:cs="宋体"/>
                <w:color w:val="auto"/>
                <w:sz w:val="21"/>
                <w:szCs w:val="20"/>
              </w:rPr>
            </w:pPr>
          </w:p>
        </w:tc>
      </w:tr>
      <w:tr w14:paraId="7475DF0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ADCEC2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35BF073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强光手电筒</w:t>
            </w:r>
          </w:p>
        </w:tc>
        <w:tc>
          <w:tcPr>
            <w:tcW w:w="899" w:type="pct"/>
            <w:vMerge w:val="restart"/>
            <w:tcBorders>
              <w:tl2br w:val="nil"/>
              <w:tr2bl w:val="nil"/>
            </w:tcBorders>
            <w:noWrap/>
            <w:vAlign w:val="center"/>
          </w:tcPr>
          <w:p w14:paraId="43739EA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7CB1F03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02E61CAC">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7A01BDD">
            <w:pPr>
              <w:adjustRightInd/>
              <w:snapToGrid/>
              <w:spacing w:line="240" w:lineRule="auto"/>
              <w:ind w:firstLine="0" w:firstLineChars="0"/>
              <w:jc w:val="center"/>
              <w:rPr>
                <w:rFonts w:cs="宋体"/>
                <w:color w:val="auto"/>
                <w:sz w:val="21"/>
                <w:szCs w:val="20"/>
              </w:rPr>
            </w:pPr>
          </w:p>
        </w:tc>
      </w:tr>
      <w:tr w14:paraId="2C8D325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7AE7B3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0130978D">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5F419E3F">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380C16F">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030D49CE">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2C7A414">
            <w:pPr>
              <w:adjustRightInd/>
              <w:snapToGrid/>
              <w:spacing w:line="240" w:lineRule="auto"/>
              <w:ind w:firstLine="0" w:firstLineChars="0"/>
              <w:jc w:val="center"/>
              <w:rPr>
                <w:rFonts w:cs="宋体"/>
                <w:color w:val="auto"/>
                <w:sz w:val="21"/>
                <w:szCs w:val="20"/>
              </w:rPr>
            </w:pPr>
          </w:p>
        </w:tc>
      </w:tr>
      <w:tr w14:paraId="50201EE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63623F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776478A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vMerge w:val="restart"/>
            <w:tcBorders>
              <w:tl2br w:val="nil"/>
              <w:tr2bl w:val="nil"/>
            </w:tcBorders>
            <w:noWrap/>
            <w:vAlign w:val="center"/>
          </w:tcPr>
          <w:p w14:paraId="7CB2873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vMerge w:val="restart"/>
            <w:tcBorders>
              <w:tl2br w:val="nil"/>
              <w:tr2bl w:val="nil"/>
            </w:tcBorders>
            <w:noWrap/>
            <w:vAlign w:val="center"/>
          </w:tcPr>
          <w:p w14:paraId="1E800AE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30C5059C">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3BE5B1D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亚铵车间一层硫磺储槽处</w:t>
            </w:r>
          </w:p>
        </w:tc>
      </w:tr>
      <w:tr w14:paraId="795343F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951500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485A75EF">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1C277DB9">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C70E08E">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74DDC79B">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3138785">
            <w:pPr>
              <w:adjustRightInd/>
              <w:snapToGrid/>
              <w:spacing w:line="240" w:lineRule="auto"/>
              <w:ind w:firstLine="0" w:firstLineChars="0"/>
              <w:jc w:val="center"/>
              <w:rPr>
                <w:rFonts w:cs="宋体"/>
                <w:color w:val="auto"/>
                <w:sz w:val="21"/>
                <w:szCs w:val="20"/>
              </w:rPr>
            </w:pPr>
          </w:p>
        </w:tc>
      </w:tr>
      <w:tr w14:paraId="6EE63C2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29FA44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50F1CAC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tcBorders>
              <w:tl2br w:val="nil"/>
              <w:tr2bl w:val="nil"/>
            </w:tcBorders>
            <w:noWrap/>
            <w:vAlign w:val="center"/>
          </w:tcPr>
          <w:p w14:paraId="4B5A084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22CD6B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BFEE74A">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584C29A5">
            <w:pPr>
              <w:adjustRightInd/>
              <w:snapToGrid/>
              <w:spacing w:line="240" w:lineRule="auto"/>
              <w:ind w:firstLine="0" w:firstLineChars="0"/>
              <w:jc w:val="center"/>
              <w:rPr>
                <w:rFonts w:cs="宋体"/>
                <w:color w:val="auto"/>
                <w:sz w:val="21"/>
                <w:szCs w:val="20"/>
              </w:rPr>
            </w:pPr>
          </w:p>
        </w:tc>
      </w:tr>
      <w:tr w14:paraId="1DF473A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1AF60C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1114246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石棉防火毯</w:t>
            </w:r>
          </w:p>
        </w:tc>
        <w:tc>
          <w:tcPr>
            <w:tcW w:w="899" w:type="pct"/>
            <w:tcBorders>
              <w:tl2br w:val="nil"/>
              <w:tr2bl w:val="nil"/>
            </w:tcBorders>
            <w:noWrap/>
            <w:vAlign w:val="center"/>
          </w:tcPr>
          <w:p w14:paraId="70B939B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4F3F2BE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3条</w:t>
            </w:r>
          </w:p>
        </w:tc>
        <w:tc>
          <w:tcPr>
            <w:tcW w:w="958" w:type="pct"/>
            <w:vMerge w:val="continue"/>
            <w:tcBorders>
              <w:tl2br w:val="nil"/>
              <w:tr2bl w:val="nil"/>
            </w:tcBorders>
            <w:noWrap/>
            <w:vAlign w:val="center"/>
          </w:tcPr>
          <w:p w14:paraId="5838969C">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5A66268D">
            <w:pPr>
              <w:adjustRightInd/>
              <w:snapToGrid/>
              <w:spacing w:line="240" w:lineRule="auto"/>
              <w:ind w:firstLine="0" w:firstLineChars="0"/>
              <w:jc w:val="center"/>
              <w:rPr>
                <w:rFonts w:cs="宋体"/>
                <w:color w:val="auto"/>
                <w:sz w:val="21"/>
                <w:szCs w:val="20"/>
              </w:rPr>
            </w:pPr>
          </w:p>
        </w:tc>
      </w:tr>
      <w:tr w14:paraId="6EF54C5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7F2A12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4D12BB8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石棉手套</w:t>
            </w:r>
          </w:p>
        </w:tc>
        <w:tc>
          <w:tcPr>
            <w:tcW w:w="899" w:type="pct"/>
            <w:tcBorders>
              <w:tl2br w:val="nil"/>
              <w:tr2bl w:val="nil"/>
            </w:tcBorders>
            <w:noWrap/>
            <w:vAlign w:val="center"/>
          </w:tcPr>
          <w:p w14:paraId="6181FDF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57351A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3副</w:t>
            </w:r>
          </w:p>
        </w:tc>
        <w:tc>
          <w:tcPr>
            <w:tcW w:w="958" w:type="pct"/>
            <w:vMerge w:val="continue"/>
            <w:tcBorders>
              <w:tl2br w:val="nil"/>
              <w:tr2bl w:val="nil"/>
            </w:tcBorders>
            <w:noWrap/>
            <w:vAlign w:val="center"/>
          </w:tcPr>
          <w:p w14:paraId="38948500">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51D166AF">
            <w:pPr>
              <w:adjustRightInd/>
              <w:snapToGrid/>
              <w:spacing w:line="240" w:lineRule="auto"/>
              <w:ind w:firstLine="0" w:firstLineChars="0"/>
              <w:jc w:val="center"/>
              <w:rPr>
                <w:rFonts w:cs="宋体"/>
                <w:color w:val="auto"/>
                <w:sz w:val="21"/>
                <w:szCs w:val="20"/>
              </w:rPr>
            </w:pPr>
          </w:p>
        </w:tc>
      </w:tr>
      <w:tr w14:paraId="6E0EBA3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AB6FC59">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25EA5FF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vMerge w:val="restart"/>
            <w:tcBorders>
              <w:tl2br w:val="nil"/>
              <w:tr2bl w:val="nil"/>
            </w:tcBorders>
            <w:noWrap/>
            <w:vAlign w:val="center"/>
          </w:tcPr>
          <w:p w14:paraId="66EEA05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vMerge w:val="restart"/>
            <w:tcBorders>
              <w:tl2br w:val="nil"/>
              <w:tr2bl w:val="nil"/>
            </w:tcBorders>
            <w:noWrap/>
            <w:vAlign w:val="center"/>
          </w:tcPr>
          <w:p w14:paraId="3728E68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67C35260">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10F98CE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亚铵车间一层东南处</w:t>
            </w:r>
          </w:p>
        </w:tc>
      </w:tr>
      <w:tr w14:paraId="5A91DED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730542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0A2B9F08">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7EAF99ED">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4378D781">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52DEA013">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3AFC66F">
            <w:pPr>
              <w:adjustRightInd/>
              <w:snapToGrid/>
              <w:spacing w:line="240" w:lineRule="auto"/>
              <w:ind w:firstLine="0" w:firstLineChars="0"/>
              <w:jc w:val="center"/>
              <w:rPr>
                <w:rFonts w:cs="宋体"/>
                <w:color w:val="auto"/>
                <w:sz w:val="21"/>
                <w:szCs w:val="20"/>
              </w:rPr>
            </w:pPr>
          </w:p>
        </w:tc>
      </w:tr>
      <w:tr w14:paraId="2795292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C36077E">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4054F62C">
            <w:pPr>
              <w:adjustRightInd/>
              <w:snapToGrid/>
              <w:spacing w:line="240" w:lineRule="auto"/>
              <w:ind w:firstLine="0" w:firstLineChars="0"/>
              <w:jc w:val="center"/>
              <w:rPr>
                <w:rFonts w:cs="宋体"/>
                <w:color w:val="auto"/>
                <w:sz w:val="21"/>
                <w:szCs w:val="20"/>
              </w:rPr>
            </w:pPr>
          </w:p>
        </w:tc>
        <w:tc>
          <w:tcPr>
            <w:tcW w:w="899" w:type="pct"/>
            <w:vMerge w:val="restart"/>
            <w:tcBorders>
              <w:tl2br w:val="nil"/>
              <w:tr2bl w:val="nil"/>
            </w:tcBorders>
            <w:noWrap/>
            <w:vAlign w:val="center"/>
          </w:tcPr>
          <w:p w14:paraId="268C18D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618015D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72DF1DDB">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E7CEC96">
            <w:pPr>
              <w:adjustRightInd/>
              <w:snapToGrid/>
              <w:spacing w:line="240" w:lineRule="auto"/>
              <w:ind w:firstLine="0" w:firstLineChars="0"/>
              <w:jc w:val="center"/>
              <w:rPr>
                <w:rFonts w:cs="宋体"/>
                <w:color w:val="auto"/>
                <w:sz w:val="21"/>
                <w:szCs w:val="20"/>
              </w:rPr>
            </w:pPr>
          </w:p>
        </w:tc>
      </w:tr>
      <w:tr w14:paraId="0C2E570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B3765C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2C7FD980">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53CB7C03">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2B4D3C7">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5716674D">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78FC969A">
            <w:pPr>
              <w:adjustRightInd/>
              <w:snapToGrid/>
              <w:spacing w:line="240" w:lineRule="auto"/>
              <w:ind w:firstLine="0" w:firstLineChars="0"/>
              <w:jc w:val="center"/>
              <w:rPr>
                <w:rFonts w:cs="宋体"/>
                <w:color w:val="auto"/>
                <w:sz w:val="21"/>
                <w:szCs w:val="20"/>
              </w:rPr>
            </w:pPr>
          </w:p>
        </w:tc>
      </w:tr>
      <w:tr w14:paraId="4387F4E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F23C02E">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68FB560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tcBorders>
              <w:tl2br w:val="nil"/>
              <w:tr2bl w:val="nil"/>
            </w:tcBorders>
            <w:noWrap/>
            <w:vAlign w:val="center"/>
          </w:tcPr>
          <w:p w14:paraId="335E996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BBDCC2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30B69844">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5EB02609">
            <w:pPr>
              <w:adjustRightInd/>
              <w:snapToGrid/>
              <w:spacing w:line="240" w:lineRule="auto"/>
              <w:ind w:firstLine="0" w:firstLineChars="0"/>
              <w:jc w:val="center"/>
              <w:rPr>
                <w:rFonts w:cs="宋体"/>
                <w:color w:val="auto"/>
                <w:sz w:val="21"/>
                <w:szCs w:val="20"/>
              </w:rPr>
            </w:pPr>
          </w:p>
        </w:tc>
      </w:tr>
      <w:tr w14:paraId="009ABC7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B4B52E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4927839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899" w:type="pct"/>
            <w:tcBorders>
              <w:tl2br w:val="nil"/>
              <w:tr2bl w:val="nil"/>
            </w:tcBorders>
            <w:vAlign w:val="center"/>
          </w:tcPr>
          <w:p w14:paraId="6D828D0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P-E-1</w:t>
            </w:r>
          </w:p>
        </w:tc>
        <w:tc>
          <w:tcPr>
            <w:tcW w:w="545" w:type="pct"/>
            <w:vMerge w:val="restart"/>
            <w:tcBorders>
              <w:tl2br w:val="nil"/>
              <w:tr2bl w:val="nil"/>
            </w:tcBorders>
            <w:noWrap/>
            <w:vAlign w:val="center"/>
          </w:tcPr>
          <w:p w14:paraId="36155D2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6EF30EA8">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710D5240">
            <w:pPr>
              <w:adjustRightInd/>
              <w:snapToGrid/>
              <w:spacing w:line="240" w:lineRule="auto"/>
              <w:ind w:firstLine="0" w:firstLineChars="0"/>
              <w:jc w:val="center"/>
              <w:rPr>
                <w:rFonts w:cs="宋体"/>
                <w:color w:val="auto"/>
                <w:sz w:val="21"/>
                <w:szCs w:val="20"/>
              </w:rPr>
            </w:pPr>
          </w:p>
        </w:tc>
      </w:tr>
      <w:tr w14:paraId="03D1FF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60CE7E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3B22E79A">
            <w:pPr>
              <w:adjustRightInd/>
              <w:snapToGrid/>
              <w:spacing w:line="240" w:lineRule="auto"/>
              <w:ind w:firstLine="0" w:firstLineChars="0"/>
              <w:jc w:val="center"/>
              <w:rPr>
                <w:rFonts w:cs="宋体"/>
                <w:color w:val="auto"/>
                <w:sz w:val="21"/>
                <w:szCs w:val="20"/>
              </w:rPr>
            </w:pPr>
          </w:p>
        </w:tc>
        <w:tc>
          <w:tcPr>
            <w:tcW w:w="899" w:type="pct"/>
            <w:tcBorders>
              <w:tl2br w:val="nil"/>
              <w:tr2bl w:val="nil"/>
            </w:tcBorders>
            <w:vAlign w:val="center"/>
          </w:tcPr>
          <w:p w14:paraId="752C835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vMerge w:val="continue"/>
            <w:tcBorders>
              <w:tl2br w:val="nil"/>
              <w:tr2bl w:val="nil"/>
            </w:tcBorders>
            <w:noWrap/>
            <w:vAlign w:val="center"/>
          </w:tcPr>
          <w:p w14:paraId="63E135B8">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2C27F75A">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7319D66">
            <w:pPr>
              <w:adjustRightInd/>
              <w:snapToGrid/>
              <w:spacing w:line="240" w:lineRule="auto"/>
              <w:ind w:firstLine="0" w:firstLineChars="0"/>
              <w:jc w:val="center"/>
              <w:rPr>
                <w:rFonts w:cs="宋体"/>
                <w:color w:val="auto"/>
                <w:sz w:val="21"/>
                <w:szCs w:val="20"/>
              </w:rPr>
            </w:pPr>
          </w:p>
        </w:tc>
      </w:tr>
      <w:tr w14:paraId="3546F84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FD00553">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FE49DC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tcBorders>
              <w:tl2br w:val="nil"/>
              <w:tr2bl w:val="nil"/>
            </w:tcBorders>
            <w:noWrap/>
            <w:vAlign w:val="center"/>
          </w:tcPr>
          <w:p w14:paraId="2352934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D1D3DC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5386BB86">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7C5FFBF0">
            <w:pPr>
              <w:adjustRightInd/>
              <w:snapToGrid/>
              <w:spacing w:line="240" w:lineRule="auto"/>
              <w:ind w:firstLine="0" w:firstLineChars="0"/>
              <w:jc w:val="center"/>
              <w:rPr>
                <w:rFonts w:cs="宋体"/>
                <w:color w:val="auto"/>
                <w:sz w:val="21"/>
                <w:szCs w:val="20"/>
              </w:rPr>
            </w:pPr>
          </w:p>
        </w:tc>
      </w:tr>
      <w:tr w14:paraId="07A2955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7AD5979">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5A343B3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tcBorders>
              <w:tl2br w:val="nil"/>
              <w:tr2bl w:val="nil"/>
            </w:tcBorders>
            <w:noWrap/>
            <w:vAlign w:val="center"/>
          </w:tcPr>
          <w:p w14:paraId="1279239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4C2EFE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1副</w:t>
            </w:r>
          </w:p>
        </w:tc>
        <w:tc>
          <w:tcPr>
            <w:tcW w:w="958" w:type="pct"/>
            <w:vMerge w:val="continue"/>
            <w:tcBorders>
              <w:tl2br w:val="nil"/>
              <w:tr2bl w:val="nil"/>
            </w:tcBorders>
            <w:noWrap/>
            <w:vAlign w:val="center"/>
          </w:tcPr>
          <w:p w14:paraId="3CFBD1FD">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8321886">
            <w:pPr>
              <w:adjustRightInd/>
              <w:snapToGrid/>
              <w:spacing w:line="240" w:lineRule="auto"/>
              <w:ind w:firstLine="0" w:firstLineChars="0"/>
              <w:jc w:val="center"/>
              <w:rPr>
                <w:rFonts w:cs="宋体"/>
                <w:color w:val="auto"/>
                <w:sz w:val="21"/>
                <w:szCs w:val="20"/>
              </w:rPr>
            </w:pPr>
          </w:p>
        </w:tc>
      </w:tr>
      <w:tr w14:paraId="20471F0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A321DC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5E793F6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tcBorders>
              <w:tl2br w:val="nil"/>
              <w:tr2bl w:val="nil"/>
            </w:tcBorders>
            <w:noWrap/>
            <w:vAlign w:val="center"/>
          </w:tcPr>
          <w:p w14:paraId="166F8BF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D761B8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6C1811C7">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6ACE54C">
            <w:pPr>
              <w:adjustRightInd/>
              <w:snapToGrid/>
              <w:spacing w:line="240" w:lineRule="auto"/>
              <w:ind w:firstLine="0" w:firstLineChars="0"/>
              <w:jc w:val="center"/>
              <w:rPr>
                <w:rFonts w:cs="宋体"/>
                <w:color w:val="auto"/>
                <w:sz w:val="21"/>
                <w:szCs w:val="20"/>
              </w:rPr>
            </w:pPr>
          </w:p>
        </w:tc>
      </w:tr>
      <w:tr w14:paraId="556A5C1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D83315C">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57292D6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tcBorders>
              <w:tl2br w:val="nil"/>
              <w:tr2bl w:val="nil"/>
            </w:tcBorders>
            <w:noWrap/>
            <w:vAlign w:val="center"/>
          </w:tcPr>
          <w:p w14:paraId="2CC81BA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170D13D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333B50BC">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5BD626E">
            <w:pPr>
              <w:adjustRightInd/>
              <w:snapToGrid/>
              <w:spacing w:line="240" w:lineRule="auto"/>
              <w:ind w:firstLine="0" w:firstLineChars="0"/>
              <w:jc w:val="center"/>
              <w:rPr>
                <w:rFonts w:cs="宋体"/>
                <w:color w:val="auto"/>
                <w:sz w:val="21"/>
                <w:szCs w:val="20"/>
              </w:rPr>
            </w:pPr>
          </w:p>
        </w:tc>
      </w:tr>
      <w:tr w14:paraId="6569807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ED0F85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2CDF80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tcBorders>
              <w:tl2br w:val="nil"/>
              <w:tr2bl w:val="nil"/>
            </w:tcBorders>
            <w:noWrap/>
            <w:vAlign w:val="center"/>
          </w:tcPr>
          <w:p w14:paraId="240ECAF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2FDAEA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noWrap/>
            <w:vAlign w:val="center"/>
          </w:tcPr>
          <w:p w14:paraId="38E48032">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C443453">
            <w:pPr>
              <w:adjustRightInd/>
              <w:snapToGrid/>
              <w:spacing w:line="240" w:lineRule="auto"/>
              <w:ind w:firstLine="0" w:firstLineChars="0"/>
              <w:jc w:val="center"/>
              <w:rPr>
                <w:rFonts w:cs="宋体"/>
                <w:color w:val="auto"/>
                <w:sz w:val="21"/>
                <w:szCs w:val="20"/>
              </w:rPr>
            </w:pPr>
          </w:p>
        </w:tc>
      </w:tr>
      <w:tr w14:paraId="5546833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D4AAED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04DD332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tcBorders>
              <w:tl2br w:val="nil"/>
              <w:tr2bl w:val="nil"/>
            </w:tcBorders>
            <w:noWrap/>
            <w:vAlign w:val="center"/>
          </w:tcPr>
          <w:p w14:paraId="2E397F1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tcBorders>
              <w:tl2br w:val="nil"/>
              <w:tr2bl w:val="nil"/>
            </w:tcBorders>
            <w:noWrap/>
            <w:vAlign w:val="center"/>
          </w:tcPr>
          <w:p w14:paraId="331A29C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restart"/>
            <w:tcBorders>
              <w:tl2br w:val="nil"/>
              <w:tr2bl w:val="nil"/>
            </w:tcBorders>
            <w:noWrap/>
            <w:vAlign w:val="center"/>
          </w:tcPr>
          <w:p w14:paraId="6D535346">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6F9AB62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亚铵车间二层</w:t>
            </w:r>
          </w:p>
        </w:tc>
      </w:tr>
      <w:tr w14:paraId="0E9A3D9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275F08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0D82C828">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1F27DCC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tcBorders>
              <w:tl2br w:val="nil"/>
              <w:tr2bl w:val="nil"/>
            </w:tcBorders>
            <w:noWrap/>
            <w:vAlign w:val="center"/>
          </w:tcPr>
          <w:p w14:paraId="01D66A2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75C22A1E">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6B8929AD">
            <w:pPr>
              <w:adjustRightInd/>
              <w:snapToGrid/>
              <w:spacing w:line="240" w:lineRule="auto"/>
              <w:ind w:firstLine="0" w:firstLineChars="0"/>
              <w:jc w:val="center"/>
              <w:rPr>
                <w:rFonts w:cs="宋体"/>
                <w:color w:val="auto"/>
                <w:sz w:val="21"/>
                <w:szCs w:val="20"/>
              </w:rPr>
            </w:pPr>
          </w:p>
        </w:tc>
      </w:tr>
      <w:tr w14:paraId="754D8C7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237B41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DA1428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tcBorders>
              <w:tl2br w:val="nil"/>
              <w:tr2bl w:val="nil"/>
            </w:tcBorders>
            <w:noWrap/>
            <w:vAlign w:val="center"/>
          </w:tcPr>
          <w:p w14:paraId="5F26813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6AF138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39F477CB">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6BAB3F5E">
            <w:pPr>
              <w:adjustRightInd/>
              <w:snapToGrid/>
              <w:spacing w:line="240" w:lineRule="auto"/>
              <w:ind w:firstLine="0" w:firstLineChars="0"/>
              <w:jc w:val="center"/>
              <w:rPr>
                <w:rFonts w:cs="宋体"/>
                <w:color w:val="auto"/>
                <w:sz w:val="21"/>
                <w:szCs w:val="20"/>
              </w:rPr>
            </w:pPr>
          </w:p>
        </w:tc>
      </w:tr>
      <w:tr w14:paraId="695849B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BB33798">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827261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899" w:type="pct"/>
            <w:tcBorders>
              <w:tl2br w:val="nil"/>
              <w:tr2bl w:val="nil"/>
            </w:tcBorders>
            <w:noWrap/>
            <w:vAlign w:val="center"/>
          </w:tcPr>
          <w:p w14:paraId="3E96EFB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noWrap/>
            <w:vAlign w:val="center"/>
          </w:tcPr>
          <w:p w14:paraId="1947706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3B5BD447">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EC13C8B">
            <w:pPr>
              <w:adjustRightInd/>
              <w:snapToGrid/>
              <w:spacing w:line="240" w:lineRule="auto"/>
              <w:ind w:firstLine="0" w:firstLineChars="0"/>
              <w:jc w:val="center"/>
              <w:rPr>
                <w:rFonts w:cs="宋体"/>
                <w:color w:val="auto"/>
                <w:sz w:val="21"/>
                <w:szCs w:val="20"/>
              </w:rPr>
            </w:pPr>
          </w:p>
        </w:tc>
      </w:tr>
      <w:tr w14:paraId="22D1E74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E6CB3FA">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0E6D145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899" w:type="pct"/>
            <w:tcBorders>
              <w:tl2br w:val="nil"/>
              <w:tr2bl w:val="nil"/>
            </w:tcBorders>
            <w:noWrap/>
            <w:vAlign w:val="center"/>
          </w:tcPr>
          <w:p w14:paraId="3DA8DAA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P-E-1</w:t>
            </w:r>
          </w:p>
        </w:tc>
        <w:tc>
          <w:tcPr>
            <w:tcW w:w="545" w:type="pct"/>
            <w:vMerge w:val="restart"/>
            <w:tcBorders>
              <w:tl2br w:val="nil"/>
              <w:tr2bl w:val="nil"/>
            </w:tcBorders>
            <w:noWrap/>
            <w:vAlign w:val="center"/>
          </w:tcPr>
          <w:p w14:paraId="1B57861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6AB9D5FA">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FD3E8A3">
            <w:pPr>
              <w:adjustRightInd/>
              <w:snapToGrid/>
              <w:spacing w:line="240" w:lineRule="auto"/>
              <w:ind w:firstLine="0" w:firstLineChars="0"/>
              <w:jc w:val="center"/>
              <w:rPr>
                <w:rFonts w:cs="宋体"/>
                <w:color w:val="auto"/>
                <w:sz w:val="21"/>
                <w:szCs w:val="20"/>
              </w:rPr>
            </w:pPr>
          </w:p>
        </w:tc>
      </w:tr>
      <w:tr w14:paraId="07EF73E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42893F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1A14E9DD">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2867594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continue"/>
            <w:tcBorders>
              <w:tl2br w:val="nil"/>
              <w:tr2bl w:val="nil"/>
            </w:tcBorders>
            <w:noWrap/>
            <w:vAlign w:val="center"/>
          </w:tcPr>
          <w:p w14:paraId="659B3B18">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1D6D6520">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0A6F56C">
            <w:pPr>
              <w:adjustRightInd/>
              <w:snapToGrid/>
              <w:spacing w:line="240" w:lineRule="auto"/>
              <w:ind w:firstLine="0" w:firstLineChars="0"/>
              <w:jc w:val="center"/>
              <w:rPr>
                <w:rFonts w:cs="宋体"/>
                <w:color w:val="auto"/>
                <w:sz w:val="21"/>
                <w:szCs w:val="20"/>
              </w:rPr>
            </w:pPr>
          </w:p>
        </w:tc>
      </w:tr>
      <w:tr w14:paraId="1BD5EA6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365413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622320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tcBorders>
              <w:tl2br w:val="nil"/>
              <w:tr2bl w:val="nil"/>
            </w:tcBorders>
            <w:noWrap/>
            <w:vAlign w:val="center"/>
          </w:tcPr>
          <w:p w14:paraId="583A2C3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21024E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1副</w:t>
            </w:r>
          </w:p>
        </w:tc>
        <w:tc>
          <w:tcPr>
            <w:tcW w:w="958" w:type="pct"/>
            <w:vMerge w:val="continue"/>
            <w:tcBorders>
              <w:tl2br w:val="nil"/>
              <w:tr2bl w:val="nil"/>
            </w:tcBorders>
            <w:noWrap/>
            <w:vAlign w:val="center"/>
          </w:tcPr>
          <w:p w14:paraId="526F242D">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501C4B1">
            <w:pPr>
              <w:adjustRightInd/>
              <w:snapToGrid/>
              <w:spacing w:line="240" w:lineRule="auto"/>
              <w:ind w:firstLine="0" w:firstLineChars="0"/>
              <w:jc w:val="center"/>
              <w:rPr>
                <w:rFonts w:cs="宋体"/>
                <w:color w:val="auto"/>
                <w:sz w:val="21"/>
                <w:szCs w:val="20"/>
              </w:rPr>
            </w:pPr>
          </w:p>
        </w:tc>
      </w:tr>
      <w:tr w14:paraId="1F5B5CE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47CE54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4B3259F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tcBorders>
              <w:tl2br w:val="nil"/>
              <w:tr2bl w:val="nil"/>
            </w:tcBorders>
            <w:noWrap/>
            <w:vAlign w:val="center"/>
          </w:tcPr>
          <w:p w14:paraId="4B8E5D9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600CFB5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63EFB8BD">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56BADD8">
            <w:pPr>
              <w:adjustRightInd/>
              <w:snapToGrid/>
              <w:spacing w:line="240" w:lineRule="auto"/>
              <w:ind w:firstLine="0" w:firstLineChars="0"/>
              <w:jc w:val="center"/>
              <w:rPr>
                <w:rFonts w:cs="宋体"/>
                <w:color w:val="auto"/>
                <w:sz w:val="21"/>
                <w:szCs w:val="20"/>
              </w:rPr>
            </w:pPr>
          </w:p>
        </w:tc>
      </w:tr>
      <w:tr w14:paraId="13D3CD0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D1F392A">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7E7D3D1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tcBorders>
              <w:tl2br w:val="nil"/>
              <w:tr2bl w:val="nil"/>
            </w:tcBorders>
            <w:noWrap/>
            <w:vAlign w:val="center"/>
          </w:tcPr>
          <w:p w14:paraId="19E2247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25E101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64434140">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BF211CD">
            <w:pPr>
              <w:adjustRightInd/>
              <w:snapToGrid/>
              <w:spacing w:line="240" w:lineRule="auto"/>
              <w:ind w:firstLine="0" w:firstLineChars="0"/>
              <w:jc w:val="center"/>
              <w:rPr>
                <w:rFonts w:cs="宋体"/>
                <w:color w:val="auto"/>
                <w:sz w:val="21"/>
                <w:szCs w:val="20"/>
              </w:rPr>
            </w:pPr>
          </w:p>
        </w:tc>
      </w:tr>
      <w:tr w14:paraId="1131871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787344D">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24FF5A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tcBorders>
              <w:tl2br w:val="nil"/>
              <w:tr2bl w:val="nil"/>
            </w:tcBorders>
            <w:noWrap/>
            <w:vAlign w:val="center"/>
          </w:tcPr>
          <w:p w14:paraId="2B86DC1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11725C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51D0199D">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AA7C51C">
            <w:pPr>
              <w:adjustRightInd/>
              <w:snapToGrid/>
              <w:spacing w:line="240" w:lineRule="auto"/>
              <w:ind w:firstLine="0" w:firstLineChars="0"/>
              <w:jc w:val="center"/>
              <w:rPr>
                <w:rFonts w:cs="宋体"/>
                <w:color w:val="auto"/>
                <w:sz w:val="21"/>
                <w:szCs w:val="20"/>
              </w:rPr>
            </w:pPr>
          </w:p>
        </w:tc>
      </w:tr>
      <w:tr w14:paraId="40F0CA3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D73516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540F19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tcBorders>
              <w:tl2br w:val="nil"/>
              <w:tr2bl w:val="nil"/>
            </w:tcBorders>
            <w:noWrap/>
            <w:vAlign w:val="center"/>
          </w:tcPr>
          <w:p w14:paraId="0E79AD1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9DF925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noWrap/>
            <w:vAlign w:val="center"/>
          </w:tcPr>
          <w:p w14:paraId="783ACA0A">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5CBB4B4">
            <w:pPr>
              <w:adjustRightInd/>
              <w:snapToGrid/>
              <w:spacing w:line="240" w:lineRule="auto"/>
              <w:ind w:firstLine="0" w:firstLineChars="0"/>
              <w:jc w:val="center"/>
              <w:rPr>
                <w:rFonts w:cs="宋体"/>
                <w:color w:val="auto"/>
                <w:sz w:val="21"/>
                <w:szCs w:val="20"/>
              </w:rPr>
            </w:pPr>
          </w:p>
        </w:tc>
      </w:tr>
      <w:tr w14:paraId="392530F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4DC46AD">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745F79B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vMerge w:val="restart"/>
            <w:tcBorders>
              <w:tl2br w:val="nil"/>
              <w:tr2bl w:val="nil"/>
            </w:tcBorders>
            <w:noWrap/>
            <w:vAlign w:val="center"/>
          </w:tcPr>
          <w:p w14:paraId="3A5163A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5F9F75F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60CC7A55">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273FB84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氨水配制区</w:t>
            </w:r>
          </w:p>
        </w:tc>
      </w:tr>
      <w:tr w14:paraId="5D7E00A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3B0279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742D465B">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1BF81AAB">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5FA4A93F">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1B0E7821">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9D42EE3">
            <w:pPr>
              <w:adjustRightInd/>
              <w:snapToGrid/>
              <w:spacing w:line="240" w:lineRule="auto"/>
              <w:ind w:firstLine="0" w:firstLineChars="0"/>
              <w:jc w:val="center"/>
              <w:rPr>
                <w:rFonts w:cs="宋体"/>
                <w:color w:val="auto"/>
                <w:sz w:val="21"/>
                <w:szCs w:val="20"/>
              </w:rPr>
            </w:pPr>
          </w:p>
        </w:tc>
      </w:tr>
      <w:tr w14:paraId="7FE9932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76277663">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3718D33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滤毒罐管子</w:t>
            </w:r>
          </w:p>
        </w:tc>
        <w:tc>
          <w:tcPr>
            <w:tcW w:w="899" w:type="pct"/>
            <w:tcBorders>
              <w:tl2br w:val="nil"/>
              <w:tr2bl w:val="nil"/>
            </w:tcBorders>
            <w:noWrap/>
            <w:vAlign w:val="center"/>
          </w:tcPr>
          <w:p w14:paraId="4CEF1C5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6A1F13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1根</w:t>
            </w:r>
          </w:p>
        </w:tc>
        <w:tc>
          <w:tcPr>
            <w:tcW w:w="958" w:type="pct"/>
            <w:vMerge w:val="continue"/>
            <w:tcBorders>
              <w:tl2br w:val="nil"/>
              <w:tr2bl w:val="nil"/>
            </w:tcBorders>
            <w:noWrap/>
            <w:vAlign w:val="center"/>
          </w:tcPr>
          <w:p w14:paraId="47293CDD">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5F4BFDB2">
            <w:pPr>
              <w:adjustRightInd/>
              <w:snapToGrid/>
              <w:spacing w:line="240" w:lineRule="auto"/>
              <w:ind w:firstLine="0" w:firstLineChars="0"/>
              <w:jc w:val="center"/>
              <w:rPr>
                <w:rFonts w:cs="宋体"/>
                <w:color w:val="auto"/>
                <w:sz w:val="21"/>
                <w:szCs w:val="20"/>
              </w:rPr>
            </w:pPr>
          </w:p>
        </w:tc>
      </w:tr>
      <w:tr w14:paraId="441729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095FA73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145FE3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899" w:type="pct"/>
            <w:tcBorders>
              <w:tl2br w:val="nil"/>
              <w:tr2bl w:val="nil"/>
            </w:tcBorders>
            <w:noWrap/>
            <w:vAlign w:val="center"/>
          </w:tcPr>
          <w:p w14:paraId="5EAB625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noWrap/>
            <w:vAlign w:val="center"/>
          </w:tcPr>
          <w:p w14:paraId="6991FFE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571889DD">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0F70286">
            <w:pPr>
              <w:adjustRightInd/>
              <w:snapToGrid/>
              <w:spacing w:line="240" w:lineRule="auto"/>
              <w:ind w:firstLine="0" w:firstLineChars="0"/>
              <w:jc w:val="center"/>
              <w:rPr>
                <w:rFonts w:cs="宋体"/>
                <w:color w:val="auto"/>
                <w:sz w:val="21"/>
                <w:szCs w:val="20"/>
              </w:rPr>
            </w:pPr>
          </w:p>
        </w:tc>
      </w:tr>
      <w:tr w14:paraId="6D26068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79720B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318F8F8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tcBorders>
              <w:tl2br w:val="nil"/>
              <w:tr2bl w:val="nil"/>
            </w:tcBorders>
            <w:noWrap/>
            <w:vAlign w:val="center"/>
          </w:tcPr>
          <w:p w14:paraId="2BECE53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62D724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435CBC6E">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D86CCEC">
            <w:pPr>
              <w:adjustRightInd/>
              <w:snapToGrid/>
              <w:spacing w:line="240" w:lineRule="auto"/>
              <w:ind w:firstLine="0" w:firstLineChars="0"/>
              <w:jc w:val="center"/>
              <w:rPr>
                <w:rFonts w:cs="宋体"/>
                <w:color w:val="auto"/>
                <w:sz w:val="21"/>
                <w:szCs w:val="20"/>
              </w:rPr>
            </w:pPr>
          </w:p>
        </w:tc>
      </w:tr>
      <w:tr w14:paraId="673FD6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69099A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619047C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899" w:type="pct"/>
            <w:vMerge w:val="restart"/>
            <w:tcBorders>
              <w:tl2br w:val="nil"/>
              <w:tr2bl w:val="nil"/>
            </w:tcBorders>
            <w:noWrap/>
            <w:vAlign w:val="center"/>
          </w:tcPr>
          <w:p w14:paraId="05143C2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vMerge w:val="restart"/>
            <w:tcBorders>
              <w:tl2br w:val="nil"/>
              <w:tr2bl w:val="nil"/>
            </w:tcBorders>
            <w:noWrap/>
            <w:vAlign w:val="center"/>
          </w:tcPr>
          <w:p w14:paraId="53BC87E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278A3921">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1D21B3C">
            <w:pPr>
              <w:adjustRightInd/>
              <w:snapToGrid/>
              <w:spacing w:line="240" w:lineRule="auto"/>
              <w:ind w:firstLine="0" w:firstLineChars="0"/>
              <w:jc w:val="center"/>
              <w:rPr>
                <w:rFonts w:cs="宋体"/>
                <w:color w:val="auto"/>
                <w:sz w:val="21"/>
                <w:szCs w:val="20"/>
              </w:rPr>
            </w:pPr>
          </w:p>
        </w:tc>
      </w:tr>
      <w:tr w14:paraId="5B2AEB0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6BFDA0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00451AF4">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20B3AB4C">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75B94A32">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3F0BF174">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39DBB3C">
            <w:pPr>
              <w:adjustRightInd/>
              <w:snapToGrid/>
              <w:spacing w:line="240" w:lineRule="auto"/>
              <w:ind w:firstLine="0" w:firstLineChars="0"/>
              <w:jc w:val="center"/>
              <w:rPr>
                <w:rFonts w:cs="宋体"/>
                <w:color w:val="auto"/>
                <w:sz w:val="21"/>
                <w:szCs w:val="20"/>
              </w:rPr>
            </w:pPr>
          </w:p>
        </w:tc>
      </w:tr>
      <w:tr w14:paraId="3424C52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72A5CAE3">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01305A7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vMerge w:val="restart"/>
            <w:tcBorders>
              <w:tl2br w:val="nil"/>
              <w:tr2bl w:val="nil"/>
            </w:tcBorders>
            <w:noWrap/>
            <w:vAlign w:val="center"/>
          </w:tcPr>
          <w:p w14:paraId="14DC12D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054D507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14ED89AA">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A10A410">
            <w:pPr>
              <w:adjustRightInd/>
              <w:snapToGrid/>
              <w:spacing w:line="240" w:lineRule="auto"/>
              <w:ind w:firstLine="0" w:firstLineChars="0"/>
              <w:jc w:val="center"/>
              <w:rPr>
                <w:rFonts w:cs="宋体"/>
                <w:color w:val="auto"/>
                <w:sz w:val="21"/>
                <w:szCs w:val="20"/>
              </w:rPr>
            </w:pPr>
          </w:p>
        </w:tc>
      </w:tr>
      <w:tr w14:paraId="2ED9791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73445D2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3561BCE2">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0049B3F1">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60E8F050">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07BDCDB6">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5F6B0775">
            <w:pPr>
              <w:adjustRightInd/>
              <w:snapToGrid/>
              <w:spacing w:line="240" w:lineRule="auto"/>
              <w:ind w:firstLine="0" w:firstLineChars="0"/>
              <w:jc w:val="center"/>
              <w:rPr>
                <w:rFonts w:cs="宋体"/>
                <w:color w:val="auto"/>
                <w:sz w:val="21"/>
                <w:szCs w:val="20"/>
              </w:rPr>
            </w:pPr>
          </w:p>
        </w:tc>
      </w:tr>
      <w:tr w14:paraId="0E3B474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10ED0E7E">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775CE53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vMerge w:val="restart"/>
            <w:tcBorders>
              <w:tl2br w:val="nil"/>
              <w:tr2bl w:val="nil"/>
            </w:tcBorders>
            <w:noWrap/>
            <w:vAlign w:val="center"/>
          </w:tcPr>
          <w:p w14:paraId="16E1BA9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3FD53EA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5EE3EB0A">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372B7DC">
            <w:pPr>
              <w:adjustRightInd/>
              <w:snapToGrid/>
              <w:spacing w:line="240" w:lineRule="auto"/>
              <w:ind w:firstLine="0" w:firstLineChars="0"/>
              <w:jc w:val="center"/>
              <w:rPr>
                <w:rFonts w:cs="宋体"/>
                <w:color w:val="auto"/>
                <w:sz w:val="21"/>
                <w:szCs w:val="20"/>
              </w:rPr>
            </w:pPr>
          </w:p>
        </w:tc>
      </w:tr>
      <w:tr w14:paraId="5C32421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FBC4DD9">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4855210D">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1D7632A2">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FE5A4D9">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7762A475">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F6D3C1F">
            <w:pPr>
              <w:adjustRightInd/>
              <w:snapToGrid/>
              <w:spacing w:line="240" w:lineRule="auto"/>
              <w:ind w:firstLine="0" w:firstLineChars="0"/>
              <w:jc w:val="center"/>
              <w:rPr>
                <w:rFonts w:cs="宋体"/>
                <w:color w:val="auto"/>
                <w:sz w:val="21"/>
                <w:szCs w:val="20"/>
              </w:rPr>
            </w:pPr>
          </w:p>
        </w:tc>
      </w:tr>
      <w:tr w14:paraId="7513175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5AD09E3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2A1A865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vMerge w:val="restart"/>
            <w:tcBorders>
              <w:tl2br w:val="nil"/>
              <w:tr2bl w:val="nil"/>
            </w:tcBorders>
            <w:noWrap/>
            <w:vAlign w:val="center"/>
          </w:tcPr>
          <w:p w14:paraId="48897C4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4B6EF15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6EBABB96">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72232FA1">
            <w:pPr>
              <w:adjustRightInd/>
              <w:snapToGrid/>
              <w:spacing w:line="240" w:lineRule="auto"/>
              <w:ind w:firstLine="0" w:firstLineChars="0"/>
              <w:jc w:val="center"/>
              <w:rPr>
                <w:rFonts w:cs="宋体"/>
                <w:color w:val="auto"/>
                <w:sz w:val="21"/>
                <w:szCs w:val="20"/>
              </w:rPr>
            </w:pPr>
          </w:p>
        </w:tc>
      </w:tr>
      <w:tr w14:paraId="1967A26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7BE4C7E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1EDA7210">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0052397E">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324FB1F7">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3FD46991">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0B94270">
            <w:pPr>
              <w:adjustRightInd/>
              <w:snapToGrid/>
              <w:spacing w:line="240" w:lineRule="auto"/>
              <w:ind w:firstLine="0" w:firstLineChars="0"/>
              <w:jc w:val="center"/>
              <w:rPr>
                <w:rFonts w:cs="宋体"/>
                <w:color w:val="auto"/>
                <w:sz w:val="21"/>
                <w:szCs w:val="20"/>
              </w:rPr>
            </w:pPr>
          </w:p>
        </w:tc>
      </w:tr>
      <w:tr w14:paraId="11A65C9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092643F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337B1DD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vMerge w:val="restart"/>
            <w:tcBorders>
              <w:tl2br w:val="nil"/>
              <w:tr2bl w:val="nil"/>
            </w:tcBorders>
            <w:noWrap/>
            <w:vAlign w:val="center"/>
          </w:tcPr>
          <w:p w14:paraId="6E9D463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431257E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1051530D">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570C79FD">
            <w:pPr>
              <w:adjustRightInd/>
              <w:snapToGrid/>
              <w:spacing w:line="240" w:lineRule="auto"/>
              <w:ind w:firstLine="0" w:firstLineChars="0"/>
              <w:jc w:val="center"/>
              <w:rPr>
                <w:rFonts w:cs="宋体"/>
                <w:color w:val="auto"/>
                <w:sz w:val="21"/>
                <w:szCs w:val="20"/>
              </w:rPr>
            </w:pPr>
          </w:p>
        </w:tc>
      </w:tr>
      <w:tr w14:paraId="03BE065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024010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54B168FA">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40BC5875">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642FFD54">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69C1FDC0">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DD525B7">
            <w:pPr>
              <w:adjustRightInd/>
              <w:snapToGrid/>
              <w:spacing w:line="240" w:lineRule="auto"/>
              <w:ind w:firstLine="0" w:firstLineChars="0"/>
              <w:jc w:val="center"/>
              <w:rPr>
                <w:rFonts w:cs="宋体"/>
                <w:color w:val="auto"/>
                <w:sz w:val="21"/>
                <w:szCs w:val="20"/>
              </w:rPr>
            </w:pPr>
          </w:p>
        </w:tc>
      </w:tr>
      <w:tr w14:paraId="69FCDFB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87A933E">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365AA2B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vMerge w:val="restart"/>
            <w:tcBorders>
              <w:tl2br w:val="nil"/>
              <w:tr2bl w:val="nil"/>
            </w:tcBorders>
            <w:noWrap/>
            <w:vAlign w:val="center"/>
          </w:tcPr>
          <w:p w14:paraId="5E04651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113A870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2双</w:t>
            </w:r>
          </w:p>
        </w:tc>
        <w:tc>
          <w:tcPr>
            <w:tcW w:w="958" w:type="pct"/>
            <w:vMerge w:val="restart"/>
            <w:tcBorders>
              <w:tl2br w:val="nil"/>
              <w:tr2bl w:val="nil"/>
            </w:tcBorders>
            <w:noWrap/>
            <w:vAlign w:val="center"/>
          </w:tcPr>
          <w:p w14:paraId="19025EBD">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016284E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氨水配制区</w:t>
            </w:r>
          </w:p>
        </w:tc>
      </w:tr>
      <w:tr w14:paraId="42E4720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76920F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2141153C">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234EF8CA">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FA79BB3">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62FB0105">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58F10371">
            <w:pPr>
              <w:adjustRightInd/>
              <w:snapToGrid/>
              <w:spacing w:line="240" w:lineRule="auto"/>
              <w:ind w:firstLine="0" w:firstLineChars="0"/>
              <w:jc w:val="center"/>
              <w:rPr>
                <w:rFonts w:cs="宋体"/>
                <w:color w:val="auto"/>
                <w:sz w:val="21"/>
                <w:szCs w:val="20"/>
              </w:rPr>
            </w:pPr>
          </w:p>
        </w:tc>
      </w:tr>
      <w:tr w14:paraId="105FFEB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65DD34A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AE04B4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强光手电筒</w:t>
            </w:r>
          </w:p>
        </w:tc>
        <w:tc>
          <w:tcPr>
            <w:tcW w:w="899" w:type="pct"/>
            <w:tcBorders>
              <w:tl2br w:val="nil"/>
              <w:tr2bl w:val="nil"/>
            </w:tcBorders>
            <w:noWrap/>
            <w:vAlign w:val="center"/>
          </w:tcPr>
          <w:p w14:paraId="7B7E564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2DADF0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14E5FA32">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73E6315D">
            <w:pPr>
              <w:adjustRightInd/>
              <w:snapToGrid/>
              <w:spacing w:line="240" w:lineRule="auto"/>
              <w:ind w:firstLine="0" w:firstLineChars="0"/>
              <w:jc w:val="center"/>
              <w:rPr>
                <w:rFonts w:cs="宋体"/>
                <w:color w:val="auto"/>
                <w:sz w:val="21"/>
                <w:szCs w:val="20"/>
              </w:rPr>
            </w:pPr>
          </w:p>
        </w:tc>
      </w:tr>
      <w:tr w14:paraId="45C597F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C460E9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35451A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扎带</w:t>
            </w:r>
          </w:p>
        </w:tc>
        <w:tc>
          <w:tcPr>
            <w:tcW w:w="899" w:type="pct"/>
            <w:tcBorders>
              <w:tl2br w:val="nil"/>
              <w:tr2bl w:val="nil"/>
            </w:tcBorders>
            <w:noWrap/>
            <w:vAlign w:val="center"/>
          </w:tcPr>
          <w:p w14:paraId="3C85B18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7D88DF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1卷</w:t>
            </w:r>
          </w:p>
        </w:tc>
        <w:tc>
          <w:tcPr>
            <w:tcW w:w="958" w:type="pct"/>
            <w:vMerge w:val="continue"/>
            <w:tcBorders>
              <w:tl2br w:val="nil"/>
              <w:tr2bl w:val="nil"/>
            </w:tcBorders>
            <w:noWrap/>
            <w:vAlign w:val="center"/>
          </w:tcPr>
          <w:p w14:paraId="39F991DF">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2DB565C">
            <w:pPr>
              <w:adjustRightInd/>
              <w:snapToGrid/>
              <w:spacing w:line="240" w:lineRule="auto"/>
              <w:ind w:firstLine="0" w:firstLineChars="0"/>
              <w:jc w:val="center"/>
              <w:rPr>
                <w:rFonts w:cs="宋体"/>
                <w:color w:val="auto"/>
                <w:sz w:val="21"/>
                <w:szCs w:val="20"/>
              </w:rPr>
            </w:pPr>
          </w:p>
        </w:tc>
      </w:tr>
      <w:tr w14:paraId="1A86314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16B3E37D">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658574A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木扎针</w:t>
            </w:r>
          </w:p>
        </w:tc>
        <w:tc>
          <w:tcPr>
            <w:tcW w:w="899" w:type="pct"/>
            <w:tcBorders>
              <w:tl2br w:val="nil"/>
              <w:tr2bl w:val="nil"/>
            </w:tcBorders>
            <w:noWrap/>
            <w:vAlign w:val="center"/>
          </w:tcPr>
          <w:p w14:paraId="078F877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B6E6BC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5根</w:t>
            </w:r>
          </w:p>
        </w:tc>
        <w:tc>
          <w:tcPr>
            <w:tcW w:w="958" w:type="pct"/>
            <w:vMerge w:val="continue"/>
            <w:tcBorders>
              <w:tl2br w:val="nil"/>
              <w:tr2bl w:val="nil"/>
            </w:tcBorders>
            <w:noWrap/>
            <w:vAlign w:val="center"/>
          </w:tcPr>
          <w:p w14:paraId="1E980BE2">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3288CB7">
            <w:pPr>
              <w:adjustRightInd/>
              <w:snapToGrid/>
              <w:spacing w:line="240" w:lineRule="auto"/>
              <w:ind w:firstLine="0" w:firstLineChars="0"/>
              <w:jc w:val="center"/>
              <w:rPr>
                <w:rFonts w:cs="宋体"/>
                <w:color w:val="auto"/>
                <w:sz w:val="21"/>
                <w:szCs w:val="20"/>
              </w:rPr>
            </w:pPr>
          </w:p>
        </w:tc>
      </w:tr>
      <w:tr w14:paraId="7A85EBA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0FAD4E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7E5E3BA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防静电服</w:t>
            </w:r>
          </w:p>
        </w:tc>
        <w:tc>
          <w:tcPr>
            <w:tcW w:w="899" w:type="pct"/>
            <w:tcBorders>
              <w:tl2br w:val="nil"/>
              <w:tr2bl w:val="nil"/>
            </w:tcBorders>
            <w:noWrap/>
            <w:vAlign w:val="center"/>
          </w:tcPr>
          <w:p w14:paraId="357152F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103E6D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2套</w:t>
            </w:r>
          </w:p>
        </w:tc>
        <w:tc>
          <w:tcPr>
            <w:tcW w:w="958" w:type="pct"/>
            <w:vMerge w:val="continue"/>
            <w:tcBorders>
              <w:tl2br w:val="nil"/>
              <w:tr2bl w:val="nil"/>
            </w:tcBorders>
            <w:noWrap/>
            <w:vAlign w:val="center"/>
          </w:tcPr>
          <w:p w14:paraId="623D27B9">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C1C9053">
            <w:pPr>
              <w:adjustRightInd/>
              <w:snapToGrid/>
              <w:spacing w:line="240" w:lineRule="auto"/>
              <w:ind w:firstLine="0" w:firstLineChars="0"/>
              <w:jc w:val="center"/>
              <w:rPr>
                <w:rFonts w:cs="宋体"/>
                <w:color w:val="auto"/>
                <w:sz w:val="21"/>
                <w:szCs w:val="20"/>
              </w:rPr>
            </w:pPr>
          </w:p>
        </w:tc>
      </w:tr>
      <w:tr w14:paraId="0850354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03206879">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6E5855D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防化服</w:t>
            </w:r>
          </w:p>
        </w:tc>
        <w:tc>
          <w:tcPr>
            <w:tcW w:w="899" w:type="pct"/>
            <w:tcBorders>
              <w:tl2br w:val="nil"/>
              <w:tr2bl w:val="nil"/>
            </w:tcBorders>
            <w:noWrap/>
            <w:vAlign w:val="center"/>
          </w:tcPr>
          <w:p w14:paraId="4140C13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099FBB5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2套</w:t>
            </w:r>
          </w:p>
        </w:tc>
        <w:tc>
          <w:tcPr>
            <w:tcW w:w="958" w:type="pct"/>
            <w:vMerge w:val="continue"/>
            <w:tcBorders>
              <w:tl2br w:val="nil"/>
              <w:tr2bl w:val="nil"/>
            </w:tcBorders>
            <w:noWrap/>
            <w:vAlign w:val="center"/>
          </w:tcPr>
          <w:p w14:paraId="237D4A23">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2A5C4CC">
            <w:pPr>
              <w:adjustRightInd/>
              <w:snapToGrid/>
              <w:spacing w:line="240" w:lineRule="auto"/>
              <w:ind w:firstLine="0" w:firstLineChars="0"/>
              <w:jc w:val="center"/>
              <w:rPr>
                <w:rFonts w:cs="宋体"/>
                <w:color w:val="auto"/>
                <w:sz w:val="21"/>
                <w:szCs w:val="20"/>
              </w:rPr>
            </w:pPr>
          </w:p>
        </w:tc>
      </w:tr>
      <w:tr w14:paraId="75D3A39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BF6050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B4532E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液氨专用工具箱</w:t>
            </w:r>
          </w:p>
        </w:tc>
        <w:tc>
          <w:tcPr>
            <w:tcW w:w="899" w:type="pct"/>
            <w:tcBorders>
              <w:tl2br w:val="nil"/>
              <w:tr2bl w:val="nil"/>
            </w:tcBorders>
            <w:noWrap/>
            <w:vAlign w:val="center"/>
          </w:tcPr>
          <w:p w14:paraId="5B45146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F9AA85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1套</w:t>
            </w:r>
          </w:p>
        </w:tc>
        <w:tc>
          <w:tcPr>
            <w:tcW w:w="958" w:type="pct"/>
            <w:vMerge w:val="continue"/>
            <w:tcBorders>
              <w:tl2br w:val="nil"/>
              <w:tr2bl w:val="nil"/>
            </w:tcBorders>
            <w:noWrap/>
            <w:vAlign w:val="center"/>
          </w:tcPr>
          <w:p w14:paraId="7B747BBC">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FBF4685">
            <w:pPr>
              <w:adjustRightInd/>
              <w:snapToGrid/>
              <w:spacing w:line="240" w:lineRule="auto"/>
              <w:ind w:firstLine="0" w:firstLineChars="0"/>
              <w:jc w:val="center"/>
              <w:rPr>
                <w:rFonts w:cs="宋体"/>
                <w:color w:val="auto"/>
                <w:sz w:val="21"/>
                <w:szCs w:val="20"/>
              </w:rPr>
            </w:pPr>
          </w:p>
        </w:tc>
      </w:tr>
      <w:tr w14:paraId="0961BA3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4D0996C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288BBC8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正压式空气呼吸器</w:t>
            </w:r>
          </w:p>
        </w:tc>
        <w:tc>
          <w:tcPr>
            <w:tcW w:w="899" w:type="pct"/>
            <w:vMerge w:val="restart"/>
            <w:tcBorders>
              <w:tl2br w:val="nil"/>
              <w:tr2bl w:val="nil"/>
            </w:tcBorders>
            <w:noWrap/>
            <w:vAlign w:val="center"/>
          </w:tcPr>
          <w:p w14:paraId="5CA9731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2AD2D0D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2套</w:t>
            </w:r>
          </w:p>
        </w:tc>
        <w:tc>
          <w:tcPr>
            <w:tcW w:w="958" w:type="pct"/>
            <w:vMerge w:val="continue"/>
            <w:tcBorders>
              <w:tl2br w:val="nil"/>
              <w:tr2bl w:val="nil"/>
            </w:tcBorders>
            <w:noWrap/>
            <w:vAlign w:val="center"/>
          </w:tcPr>
          <w:p w14:paraId="2D151DE2">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D1CC94F">
            <w:pPr>
              <w:adjustRightInd/>
              <w:snapToGrid/>
              <w:spacing w:line="240" w:lineRule="auto"/>
              <w:ind w:firstLine="0" w:firstLineChars="0"/>
              <w:jc w:val="center"/>
              <w:rPr>
                <w:rFonts w:cs="宋体"/>
                <w:color w:val="auto"/>
                <w:sz w:val="21"/>
                <w:szCs w:val="20"/>
              </w:rPr>
            </w:pPr>
          </w:p>
        </w:tc>
      </w:tr>
      <w:tr w14:paraId="72FFA36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469352C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459F8DAC">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213147CF">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994B930">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3A1A7CD7">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7725528F">
            <w:pPr>
              <w:adjustRightInd/>
              <w:snapToGrid/>
              <w:spacing w:line="240" w:lineRule="auto"/>
              <w:ind w:firstLine="0" w:firstLineChars="0"/>
              <w:jc w:val="center"/>
              <w:rPr>
                <w:rFonts w:cs="宋体"/>
                <w:color w:val="auto"/>
                <w:sz w:val="21"/>
                <w:szCs w:val="20"/>
              </w:rPr>
            </w:pPr>
          </w:p>
        </w:tc>
      </w:tr>
      <w:tr w14:paraId="789E8AD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41E3228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5CFC626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手持式氨检测仪</w:t>
            </w:r>
          </w:p>
        </w:tc>
        <w:tc>
          <w:tcPr>
            <w:tcW w:w="899" w:type="pct"/>
            <w:vMerge w:val="restart"/>
            <w:tcBorders>
              <w:tl2br w:val="nil"/>
              <w:tr2bl w:val="nil"/>
            </w:tcBorders>
            <w:noWrap/>
            <w:vAlign w:val="center"/>
          </w:tcPr>
          <w:p w14:paraId="77CD9D0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ADKS-1</w:t>
            </w:r>
          </w:p>
        </w:tc>
        <w:tc>
          <w:tcPr>
            <w:tcW w:w="545" w:type="pct"/>
            <w:vMerge w:val="restart"/>
            <w:tcBorders>
              <w:tl2br w:val="nil"/>
              <w:tr2bl w:val="nil"/>
            </w:tcBorders>
            <w:noWrap/>
            <w:vAlign w:val="center"/>
          </w:tcPr>
          <w:p w14:paraId="3EDC6BD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46927206">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9AFBDBC">
            <w:pPr>
              <w:adjustRightInd/>
              <w:snapToGrid/>
              <w:spacing w:line="240" w:lineRule="auto"/>
              <w:ind w:firstLine="0" w:firstLineChars="0"/>
              <w:jc w:val="center"/>
              <w:rPr>
                <w:rFonts w:cs="宋体"/>
                <w:color w:val="auto"/>
                <w:sz w:val="21"/>
                <w:szCs w:val="20"/>
              </w:rPr>
            </w:pPr>
          </w:p>
        </w:tc>
      </w:tr>
      <w:tr w14:paraId="0AF18D1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F63640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5B202EA1">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1150775C">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1E8B5DB6">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79B185B5">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678C2AF">
            <w:pPr>
              <w:adjustRightInd/>
              <w:snapToGrid/>
              <w:spacing w:line="240" w:lineRule="auto"/>
              <w:ind w:firstLine="0" w:firstLineChars="0"/>
              <w:jc w:val="center"/>
              <w:rPr>
                <w:rFonts w:cs="宋体"/>
                <w:color w:val="auto"/>
                <w:sz w:val="21"/>
                <w:szCs w:val="20"/>
              </w:rPr>
            </w:pPr>
          </w:p>
        </w:tc>
      </w:tr>
      <w:tr w14:paraId="49E92C7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5FB593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48ED184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vMerge w:val="restart"/>
            <w:tcBorders>
              <w:tl2br w:val="nil"/>
              <w:tr2bl w:val="nil"/>
            </w:tcBorders>
            <w:noWrap/>
            <w:vAlign w:val="center"/>
          </w:tcPr>
          <w:p w14:paraId="43785E0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vMerge w:val="restart"/>
            <w:tcBorders>
              <w:tl2br w:val="nil"/>
              <w:tr2bl w:val="nil"/>
            </w:tcBorders>
            <w:noWrap/>
            <w:vAlign w:val="center"/>
          </w:tcPr>
          <w:p w14:paraId="23E9C4A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noWrap/>
            <w:vAlign w:val="center"/>
          </w:tcPr>
          <w:p w14:paraId="71E7DAA8">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5BC8153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冰机</w:t>
            </w:r>
          </w:p>
        </w:tc>
      </w:tr>
      <w:tr w14:paraId="3D28F68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201D633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143342EB">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05DA3488">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0C627F78">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1AA4B338">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33077E8">
            <w:pPr>
              <w:adjustRightInd/>
              <w:snapToGrid/>
              <w:spacing w:line="240" w:lineRule="auto"/>
              <w:ind w:firstLine="0" w:firstLineChars="0"/>
              <w:jc w:val="center"/>
              <w:rPr>
                <w:rFonts w:cs="宋体"/>
                <w:color w:val="auto"/>
                <w:sz w:val="21"/>
                <w:szCs w:val="20"/>
              </w:rPr>
            </w:pPr>
          </w:p>
        </w:tc>
      </w:tr>
      <w:tr w14:paraId="32E9466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4192A09A">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6DBD524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tcBorders>
              <w:tl2br w:val="nil"/>
              <w:tr2bl w:val="nil"/>
            </w:tcBorders>
            <w:noWrap/>
            <w:vAlign w:val="center"/>
          </w:tcPr>
          <w:p w14:paraId="678DBB2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0E7ED7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1B23D9AF">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552D982">
            <w:pPr>
              <w:adjustRightInd/>
              <w:snapToGrid/>
              <w:spacing w:line="240" w:lineRule="auto"/>
              <w:ind w:firstLine="0" w:firstLineChars="0"/>
              <w:jc w:val="center"/>
              <w:rPr>
                <w:rFonts w:cs="宋体"/>
                <w:color w:val="auto"/>
                <w:sz w:val="21"/>
                <w:szCs w:val="20"/>
              </w:rPr>
            </w:pPr>
          </w:p>
        </w:tc>
      </w:tr>
      <w:tr w14:paraId="6DD2E2A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C074F23">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7AF49F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899" w:type="pct"/>
            <w:tcBorders>
              <w:tl2br w:val="nil"/>
              <w:tr2bl w:val="nil"/>
            </w:tcBorders>
            <w:noWrap/>
            <w:vAlign w:val="center"/>
          </w:tcPr>
          <w:p w14:paraId="38A5A92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tcBorders>
              <w:tl2br w:val="nil"/>
              <w:tr2bl w:val="nil"/>
            </w:tcBorders>
            <w:noWrap/>
            <w:vAlign w:val="center"/>
          </w:tcPr>
          <w:p w14:paraId="43DFBBA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2ACF8500">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1ED47B7">
            <w:pPr>
              <w:adjustRightInd/>
              <w:snapToGrid/>
              <w:spacing w:line="240" w:lineRule="auto"/>
              <w:ind w:firstLine="0" w:firstLineChars="0"/>
              <w:jc w:val="center"/>
              <w:rPr>
                <w:rFonts w:cs="宋体"/>
                <w:color w:val="auto"/>
                <w:sz w:val="21"/>
                <w:szCs w:val="20"/>
              </w:rPr>
            </w:pPr>
          </w:p>
        </w:tc>
      </w:tr>
      <w:tr w14:paraId="4403BA6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3207053A">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9E88E0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tcBorders>
              <w:tl2br w:val="nil"/>
              <w:tr2bl w:val="nil"/>
            </w:tcBorders>
            <w:noWrap/>
            <w:vAlign w:val="center"/>
          </w:tcPr>
          <w:p w14:paraId="3F04F56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127B1C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7F2FF368">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9A4194B">
            <w:pPr>
              <w:adjustRightInd/>
              <w:snapToGrid/>
              <w:spacing w:line="240" w:lineRule="auto"/>
              <w:ind w:firstLine="0" w:firstLineChars="0"/>
              <w:jc w:val="center"/>
              <w:rPr>
                <w:rFonts w:cs="宋体"/>
                <w:color w:val="auto"/>
                <w:sz w:val="21"/>
                <w:szCs w:val="20"/>
              </w:rPr>
            </w:pPr>
          </w:p>
        </w:tc>
      </w:tr>
      <w:tr w14:paraId="5C8608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BB838E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3EA59CE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tcBorders>
              <w:tl2br w:val="nil"/>
              <w:tr2bl w:val="nil"/>
            </w:tcBorders>
            <w:noWrap/>
            <w:vAlign w:val="center"/>
          </w:tcPr>
          <w:p w14:paraId="7C29878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31625DA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4D32417B">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7233C795">
            <w:pPr>
              <w:adjustRightInd/>
              <w:snapToGrid/>
              <w:spacing w:line="240" w:lineRule="auto"/>
              <w:ind w:firstLine="0" w:firstLineChars="0"/>
              <w:jc w:val="center"/>
              <w:rPr>
                <w:rFonts w:cs="宋体"/>
                <w:color w:val="auto"/>
                <w:sz w:val="21"/>
                <w:szCs w:val="20"/>
              </w:rPr>
            </w:pPr>
          </w:p>
        </w:tc>
      </w:tr>
      <w:tr w14:paraId="64EE08F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49C1B17A">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33833D6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tcBorders>
              <w:tl2br w:val="nil"/>
              <w:tr2bl w:val="nil"/>
            </w:tcBorders>
            <w:noWrap/>
            <w:vAlign w:val="center"/>
          </w:tcPr>
          <w:p w14:paraId="3FB69A4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E67E04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3AE06C6C">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EC5E501">
            <w:pPr>
              <w:adjustRightInd/>
              <w:snapToGrid/>
              <w:spacing w:line="240" w:lineRule="auto"/>
              <w:ind w:firstLine="0" w:firstLineChars="0"/>
              <w:jc w:val="center"/>
              <w:rPr>
                <w:rFonts w:cs="宋体"/>
                <w:color w:val="auto"/>
                <w:sz w:val="21"/>
                <w:szCs w:val="20"/>
              </w:rPr>
            </w:pPr>
          </w:p>
        </w:tc>
      </w:tr>
      <w:tr w14:paraId="10A3520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798CE6A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5A1272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tcBorders>
              <w:tl2br w:val="nil"/>
              <w:tr2bl w:val="nil"/>
            </w:tcBorders>
            <w:noWrap/>
            <w:vAlign w:val="center"/>
          </w:tcPr>
          <w:p w14:paraId="5E77795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19CFFA4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02C141D2">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04CF1968">
            <w:pPr>
              <w:adjustRightInd/>
              <w:snapToGrid/>
              <w:spacing w:line="240" w:lineRule="auto"/>
              <w:ind w:firstLine="0" w:firstLineChars="0"/>
              <w:jc w:val="center"/>
              <w:rPr>
                <w:rFonts w:cs="宋体"/>
                <w:color w:val="auto"/>
                <w:sz w:val="21"/>
                <w:szCs w:val="20"/>
              </w:rPr>
            </w:pPr>
          </w:p>
        </w:tc>
      </w:tr>
      <w:tr w14:paraId="5D2315C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noWrap/>
            <w:vAlign w:val="center"/>
          </w:tcPr>
          <w:p w14:paraId="50C9E16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6F9C5AD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tcBorders>
              <w:tl2br w:val="nil"/>
              <w:tr2bl w:val="nil"/>
            </w:tcBorders>
            <w:noWrap/>
            <w:vAlign w:val="center"/>
          </w:tcPr>
          <w:p w14:paraId="1CC37A5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1A12EEE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2双</w:t>
            </w:r>
          </w:p>
        </w:tc>
        <w:tc>
          <w:tcPr>
            <w:tcW w:w="958" w:type="pct"/>
            <w:vMerge w:val="continue"/>
            <w:tcBorders>
              <w:tl2br w:val="nil"/>
              <w:tr2bl w:val="nil"/>
            </w:tcBorders>
            <w:noWrap/>
            <w:vAlign w:val="center"/>
          </w:tcPr>
          <w:p w14:paraId="09A47D10">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50A686D">
            <w:pPr>
              <w:adjustRightInd/>
              <w:snapToGrid/>
              <w:spacing w:line="240" w:lineRule="auto"/>
              <w:ind w:firstLine="0" w:firstLineChars="0"/>
              <w:jc w:val="center"/>
              <w:rPr>
                <w:rFonts w:cs="宋体"/>
                <w:color w:val="auto"/>
                <w:sz w:val="21"/>
                <w:szCs w:val="20"/>
              </w:rPr>
            </w:pPr>
          </w:p>
        </w:tc>
      </w:tr>
      <w:tr w14:paraId="2A3DB17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47DE708">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4BE209D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tcBorders>
              <w:tl2br w:val="nil"/>
              <w:tr2bl w:val="nil"/>
            </w:tcBorders>
            <w:noWrap/>
            <w:vAlign w:val="center"/>
          </w:tcPr>
          <w:p w14:paraId="69323CD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P-A-3</w:t>
            </w:r>
          </w:p>
        </w:tc>
        <w:tc>
          <w:tcPr>
            <w:tcW w:w="545" w:type="pct"/>
            <w:tcBorders>
              <w:tl2br w:val="nil"/>
              <w:tr2bl w:val="nil"/>
            </w:tcBorders>
            <w:noWrap/>
            <w:vAlign w:val="center"/>
          </w:tcPr>
          <w:p w14:paraId="3B2433C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restart"/>
            <w:tcBorders>
              <w:tl2br w:val="nil"/>
              <w:tr2bl w:val="nil"/>
            </w:tcBorders>
            <w:noWrap/>
            <w:vAlign w:val="center"/>
          </w:tcPr>
          <w:p w14:paraId="793C4FA6">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3D3EAB3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乙类仓库</w:t>
            </w:r>
          </w:p>
        </w:tc>
      </w:tr>
      <w:tr w14:paraId="36220C3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7170F49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1CED1AD1">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2362C57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P-E-3</w:t>
            </w:r>
          </w:p>
        </w:tc>
        <w:tc>
          <w:tcPr>
            <w:tcW w:w="545" w:type="pct"/>
            <w:tcBorders>
              <w:tl2br w:val="nil"/>
              <w:tr2bl w:val="nil"/>
            </w:tcBorders>
            <w:noWrap/>
            <w:vAlign w:val="center"/>
          </w:tcPr>
          <w:p w14:paraId="467CCD9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50B24327">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9AB50CD">
            <w:pPr>
              <w:adjustRightInd/>
              <w:snapToGrid/>
              <w:spacing w:line="240" w:lineRule="auto"/>
              <w:ind w:firstLine="0" w:firstLineChars="0"/>
              <w:jc w:val="center"/>
              <w:rPr>
                <w:rFonts w:cs="宋体"/>
                <w:color w:val="auto"/>
                <w:sz w:val="21"/>
                <w:szCs w:val="20"/>
              </w:rPr>
            </w:pPr>
          </w:p>
        </w:tc>
      </w:tr>
      <w:tr w14:paraId="06BD31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32FD78B8">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747060CE">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490ADE3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tcBorders>
              <w:tl2br w:val="nil"/>
              <w:tr2bl w:val="nil"/>
            </w:tcBorders>
            <w:noWrap/>
            <w:vAlign w:val="center"/>
          </w:tcPr>
          <w:p w14:paraId="2A65E23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22CE752A">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9D3EC3E">
            <w:pPr>
              <w:adjustRightInd/>
              <w:snapToGrid/>
              <w:spacing w:line="240" w:lineRule="auto"/>
              <w:ind w:firstLine="0" w:firstLineChars="0"/>
              <w:jc w:val="center"/>
              <w:rPr>
                <w:rFonts w:cs="宋体"/>
                <w:color w:val="auto"/>
                <w:sz w:val="21"/>
                <w:szCs w:val="20"/>
              </w:rPr>
            </w:pPr>
          </w:p>
        </w:tc>
      </w:tr>
      <w:tr w14:paraId="16459C5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57D3E1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266AC20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vMerge w:val="restart"/>
            <w:tcBorders>
              <w:tl2br w:val="nil"/>
              <w:tr2bl w:val="nil"/>
            </w:tcBorders>
            <w:noWrap/>
            <w:vAlign w:val="center"/>
          </w:tcPr>
          <w:p w14:paraId="0B59218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09E309E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3EE3AF77">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8637925">
            <w:pPr>
              <w:adjustRightInd/>
              <w:snapToGrid/>
              <w:spacing w:line="240" w:lineRule="auto"/>
              <w:ind w:firstLine="0" w:firstLineChars="0"/>
              <w:jc w:val="center"/>
              <w:rPr>
                <w:rFonts w:cs="宋体"/>
                <w:color w:val="auto"/>
                <w:sz w:val="21"/>
                <w:szCs w:val="20"/>
              </w:rPr>
            </w:pPr>
          </w:p>
        </w:tc>
      </w:tr>
      <w:tr w14:paraId="477880D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12F641C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1889C486">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351B3478">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383C39EF">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670BFAC9">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893C65B">
            <w:pPr>
              <w:adjustRightInd/>
              <w:snapToGrid/>
              <w:spacing w:line="240" w:lineRule="auto"/>
              <w:ind w:firstLine="0" w:firstLineChars="0"/>
              <w:jc w:val="center"/>
              <w:rPr>
                <w:rFonts w:cs="宋体"/>
                <w:color w:val="auto"/>
                <w:sz w:val="21"/>
                <w:szCs w:val="20"/>
              </w:rPr>
            </w:pPr>
          </w:p>
        </w:tc>
      </w:tr>
      <w:tr w14:paraId="555233F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7726B18C">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06273CF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防毒口罩</w:t>
            </w:r>
          </w:p>
        </w:tc>
        <w:tc>
          <w:tcPr>
            <w:tcW w:w="899" w:type="pct"/>
            <w:tcBorders>
              <w:tl2br w:val="nil"/>
              <w:tr2bl w:val="nil"/>
            </w:tcBorders>
            <w:noWrap/>
            <w:vAlign w:val="center"/>
          </w:tcPr>
          <w:p w14:paraId="5B89325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P-A-1</w:t>
            </w:r>
          </w:p>
        </w:tc>
        <w:tc>
          <w:tcPr>
            <w:tcW w:w="545" w:type="pct"/>
            <w:tcBorders>
              <w:tl2br w:val="nil"/>
              <w:tr2bl w:val="nil"/>
            </w:tcBorders>
            <w:noWrap/>
            <w:vAlign w:val="center"/>
          </w:tcPr>
          <w:p w14:paraId="379684F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497878A3">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634704B8">
            <w:pPr>
              <w:adjustRightInd/>
              <w:snapToGrid/>
              <w:spacing w:line="240" w:lineRule="auto"/>
              <w:ind w:firstLine="0" w:firstLineChars="0"/>
              <w:jc w:val="center"/>
              <w:rPr>
                <w:rFonts w:cs="宋体"/>
                <w:color w:val="auto"/>
                <w:sz w:val="21"/>
                <w:szCs w:val="20"/>
              </w:rPr>
            </w:pPr>
          </w:p>
        </w:tc>
      </w:tr>
      <w:tr w14:paraId="4E7AC96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47EFD71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06DD46D4">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15500BE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P-E-1</w:t>
            </w:r>
          </w:p>
        </w:tc>
        <w:tc>
          <w:tcPr>
            <w:tcW w:w="545" w:type="pct"/>
            <w:tcBorders>
              <w:tl2br w:val="nil"/>
              <w:tr2bl w:val="nil"/>
            </w:tcBorders>
            <w:noWrap/>
            <w:vAlign w:val="center"/>
          </w:tcPr>
          <w:p w14:paraId="356D820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4262B73C">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1BB21EB">
            <w:pPr>
              <w:adjustRightInd/>
              <w:snapToGrid/>
              <w:spacing w:line="240" w:lineRule="auto"/>
              <w:ind w:firstLine="0" w:firstLineChars="0"/>
              <w:jc w:val="center"/>
              <w:rPr>
                <w:rFonts w:cs="宋体"/>
                <w:color w:val="auto"/>
                <w:sz w:val="21"/>
                <w:szCs w:val="20"/>
              </w:rPr>
            </w:pPr>
          </w:p>
        </w:tc>
      </w:tr>
      <w:tr w14:paraId="400683D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4AC08BE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5856DE78">
            <w:pPr>
              <w:adjustRightInd/>
              <w:snapToGrid/>
              <w:spacing w:line="240" w:lineRule="auto"/>
              <w:ind w:firstLine="0" w:firstLineChars="0"/>
              <w:jc w:val="center"/>
              <w:rPr>
                <w:rFonts w:cs="宋体"/>
                <w:color w:val="auto"/>
                <w:sz w:val="21"/>
                <w:szCs w:val="20"/>
              </w:rPr>
            </w:pPr>
          </w:p>
        </w:tc>
        <w:tc>
          <w:tcPr>
            <w:tcW w:w="899" w:type="pct"/>
            <w:tcBorders>
              <w:tl2br w:val="nil"/>
              <w:tr2bl w:val="nil"/>
            </w:tcBorders>
            <w:noWrap/>
            <w:vAlign w:val="center"/>
          </w:tcPr>
          <w:p w14:paraId="644B5D9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P-K-1</w:t>
            </w:r>
          </w:p>
        </w:tc>
        <w:tc>
          <w:tcPr>
            <w:tcW w:w="545" w:type="pct"/>
            <w:tcBorders>
              <w:tl2br w:val="nil"/>
              <w:tr2bl w:val="nil"/>
            </w:tcBorders>
            <w:noWrap/>
            <w:vAlign w:val="center"/>
          </w:tcPr>
          <w:p w14:paraId="622019A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4E728AE2">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1D964543">
            <w:pPr>
              <w:adjustRightInd/>
              <w:snapToGrid/>
              <w:spacing w:line="240" w:lineRule="auto"/>
              <w:ind w:firstLine="0" w:firstLineChars="0"/>
              <w:jc w:val="center"/>
              <w:rPr>
                <w:rFonts w:cs="宋体"/>
                <w:color w:val="auto"/>
                <w:sz w:val="21"/>
                <w:szCs w:val="20"/>
              </w:rPr>
            </w:pPr>
          </w:p>
        </w:tc>
      </w:tr>
      <w:tr w14:paraId="2010765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15788D9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77C4039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vMerge w:val="restart"/>
            <w:tcBorders>
              <w:tl2br w:val="nil"/>
              <w:tr2bl w:val="nil"/>
            </w:tcBorders>
            <w:noWrap/>
            <w:vAlign w:val="center"/>
          </w:tcPr>
          <w:p w14:paraId="5BDBC8A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159A95F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noWrap/>
            <w:vAlign w:val="center"/>
          </w:tcPr>
          <w:p w14:paraId="123C4DF6">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24F3D069">
            <w:pPr>
              <w:adjustRightInd/>
              <w:snapToGrid/>
              <w:spacing w:line="240" w:lineRule="auto"/>
              <w:ind w:firstLine="0" w:firstLineChars="0"/>
              <w:jc w:val="center"/>
              <w:rPr>
                <w:rFonts w:cs="宋体"/>
                <w:color w:val="auto"/>
                <w:sz w:val="21"/>
                <w:szCs w:val="20"/>
              </w:rPr>
            </w:pPr>
          </w:p>
        </w:tc>
      </w:tr>
      <w:tr w14:paraId="0527C78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FB3FA5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0F86C604">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4A70B408">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558FD022">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5EE18B46">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442B8463">
            <w:pPr>
              <w:adjustRightInd/>
              <w:snapToGrid/>
              <w:spacing w:line="240" w:lineRule="auto"/>
              <w:ind w:firstLine="0" w:firstLineChars="0"/>
              <w:jc w:val="center"/>
              <w:rPr>
                <w:rFonts w:cs="宋体"/>
                <w:color w:val="auto"/>
                <w:sz w:val="21"/>
                <w:szCs w:val="20"/>
              </w:rPr>
            </w:pPr>
          </w:p>
        </w:tc>
      </w:tr>
      <w:tr w14:paraId="76E1E1E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AAF2D6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noWrap/>
            <w:vAlign w:val="center"/>
          </w:tcPr>
          <w:p w14:paraId="7BD26C2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vMerge w:val="restart"/>
            <w:tcBorders>
              <w:tl2br w:val="nil"/>
              <w:tr2bl w:val="nil"/>
            </w:tcBorders>
            <w:noWrap/>
            <w:vAlign w:val="center"/>
          </w:tcPr>
          <w:p w14:paraId="2259290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0846020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restart"/>
            <w:tcBorders>
              <w:tl2br w:val="nil"/>
              <w:tr2bl w:val="nil"/>
            </w:tcBorders>
            <w:noWrap/>
            <w:vAlign w:val="center"/>
          </w:tcPr>
          <w:p w14:paraId="744AD87B">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4CA1B61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乙类仓库</w:t>
            </w:r>
          </w:p>
        </w:tc>
      </w:tr>
      <w:tr w14:paraId="3E13F38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42B4BEE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noWrap/>
            <w:vAlign w:val="center"/>
          </w:tcPr>
          <w:p w14:paraId="2183D539">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0318D899">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1ED7E116">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671C9099">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804E310">
            <w:pPr>
              <w:adjustRightInd/>
              <w:snapToGrid/>
              <w:spacing w:line="240" w:lineRule="auto"/>
              <w:ind w:firstLine="0" w:firstLineChars="0"/>
              <w:jc w:val="center"/>
              <w:rPr>
                <w:rFonts w:cs="宋体"/>
                <w:color w:val="auto"/>
                <w:sz w:val="21"/>
                <w:szCs w:val="20"/>
              </w:rPr>
            </w:pPr>
          </w:p>
        </w:tc>
      </w:tr>
      <w:tr w14:paraId="59A7059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1D1A069E">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2C9B760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tcBorders>
              <w:tl2br w:val="nil"/>
              <w:tr2bl w:val="nil"/>
            </w:tcBorders>
            <w:noWrap/>
            <w:vAlign w:val="center"/>
          </w:tcPr>
          <w:p w14:paraId="628EF31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7A5499E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1只</w:t>
            </w:r>
          </w:p>
        </w:tc>
        <w:tc>
          <w:tcPr>
            <w:tcW w:w="958" w:type="pct"/>
            <w:vMerge w:val="continue"/>
            <w:tcBorders>
              <w:tl2br w:val="nil"/>
              <w:tr2bl w:val="nil"/>
            </w:tcBorders>
            <w:noWrap/>
            <w:vAlign w:val="center"/>
          </w:tcPr>
          <w:p w14:paraId="6AA2AD2A">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5147CBF">
            <w:pPr>
              <w:adjustRightInd/>
              <w:snapToGrid/>
              <w:spacing w:line="240" w:lineRule="auto"/>
              <w:ind w:firstLine="0" w:firstLineChars="0"/>
              <w:jc w:val="center"/>
              <w:rPr>
                <w:rFonts w:cs="宋体"/>
                <w:color w:val="auto"/>
                <w:sz w:val="21"/>
                <w:szCs w:val="20"/>
              </w:rPr>
            </w:pPr>
          </w:p>
        </w:tc>
      </w:tr>
      <w:tr w14:paraId="7FB956B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E10448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noWrap/>
            <w:vAlign w:val="center"/>
          </w:tcPr>
          <w:p w14:paraId="581ABCE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tcBorders>
              <w:tl2br w:val="nil"/>
              <w:tr2bl w:val="nil"/>
            </w:tcBorders>
            <w:noWrap/>
            <w:vAlign w:val="center"/>
          </w:tcPr>
          <w:p w14:paraId="722D849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2B2DDBC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1副</w:t>
            </w:r>
          </w:p>
        </w:tc>
        <w:tc>
          <w:tcPr>
            <w:tcW w:w="958" w:type="pct"/>
            <w:vMerge w:val="continue"/>
            <w:tcBorders>
              <w:tl2br w:val="nil"/>
              <w:tr2bl w:val="nil"/>
            </w:tcBorders>
            <w:noWrap/>
            <w:vAlign w:val="center"/>
          </w:tcPr>
          <w:p w14:paraId="50F7C065">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62755083">
            <w:pPr>
              <w:adjustRightInd/>
              <w:snapToGrid/>
              <w:spacing w:line="240" w:lineRule="auto"/>
              <w:ind w:firstLine="0" w:firstLineChars="0"/>
              <w:jc w:val="center"/>
              <w:rPr>
                <w:rFonts w:cs="宋体"/>
                <w:color w:val="auto"/>
                <w:sz w:val="21"/>
                <w:szCs w:val="20"/>
              </w:rPr>
            </w:pPr>
          </w:p>
        </w:tc>
      </w:tr>
      <w:tr w14:paraId="5E6C9D5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0B6D4B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C04BBD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tcBorders>
              <w:tl2br w:val="nil"/>
              <w:tr2bl w:val="nil"/>
            </w:tcBorders>
            <w:noWrap/>
            <w:vAlign w:val="center"/>
          </w:tcPr>
          <w:p w14:paraId="679CAB0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noWrap/>
            <w:vAlign w:val="center"/>
          </w:tcPr>
          <w:p w14:paraId="58FA8F6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noWrap/>
            <w:vAlign w:val="center"/>
          </w:tcPr>
          <w:p w14:paraId="77D3A000">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056617E">
            <w:pPr>
              <w:adjustRightInd/>
              <w:snapToGrid/>
              <w:spacing w:line="240" w:lineRule="auto"/>
              <w:ind w:firstLine="0" w:firstLineChars="0"/>
              <w:jc w:val="center"/>
              <w:rPr>
                <w:rFonts w:cs="宋体"/>
                <w:color w:val="auto"/>
                <w:sz w:val="21"/>
                <w:szCs w:val="20"/>
              </w:rPr>
            </w:pPr>
          </w:p>
        </w:tc>
      </w:tr>
      <w:tr w14:paraId="25D58C6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0A8ADA8C">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3D62AEF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强光手电筒</w:t>
            </w:r>
          </w:p>
        </w:tc>
        <w:tc>
          <w:tcPr>
            <w:tcW w:w="899" w:type="pct"/>
            <w:vMerge w:val="restart"/>
            <w:tcBorders>
              <w:tl2br w:val="nil"/>
              <w:tr2bl w:val="nil"/>
            </w:tcBorders>
            <w:noWrap/>
            <w:vAlign w:val="center"/>
          </w:tcPr>
          <w:p w14:paraId="6D51245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vMerge w:val="restart"/>
            <w:tcBorders>
              <w:tl2br w:val="nil"/>
              <w:tr2bl w:val="nil"/>
            </w:tcBorders>
            <w:noWrap/>
            <w:vAlign w:val="center"/>
          </w:tcPr>
          <w:p w14:paraId="720D5D5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noWrap/>
            <w:vAlign w:val="center"/>
          </w:tcPr>
          <w:p w14:paraId="16033A7D">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706463B7">
            <w:pPr>
              <w:adjustRightInd/>
              <w:snapToGrid/>
              <w:spacing w:line="240" w:lineRule="auto"/>
              <w:ind w:firstLine="0" w:firstLineChars="0"/>
              <w:jc w:val="center"/>
              <w:rPr>
                <w:rFonts w:cs="宋体"/>
                <w:color w:val="auto"/>
                <w:sz w:val="21"/>
                <w:szCs w:val="20"/>
              </w:rPr>
            </w:pPr>
          </w:p>
        </w:tc>
      </w:tr>
      <w:tr w14:paraId="3193FE0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BE91D8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182F4A85">
            <w:pPr>
              <w:adjustRightInd/>
              <w:snapToGrid/>
              <w:spacing w:line="240" w:lineRule="auto"/>
              <w:ind w:firstLine="0" w:firstLineChars="0"/>
              <w:jc w:val="center"/>
              <w:rPr>
                <w:rFonts w:cs="宋体"/>
                <w:color w:val="auto"/>
                <w:sz w:val="21"/>
                <w:szCs w:val="20"/>
              </w:rPr>
            </w:pPr>
          </w:p>
        </w:tc>
        <w:tc>
          <w:tcPr>
            <w:tcW w:w="899" w:type="pct"/>
            <w:vMerge w:val="continue"/>
            <w:tcBorders>
              <w:tl2br w:val="nil"/>
              <w:tr2bl w:val="nil"/>
            </w:tcBorders>
            <w:noWrap/>
            <w:vAlign w:val="center"/>
          </w:tcPr>
          <w:p w14:paraId="7036D943">
            <w:pPr>
              <w:adjustRightInd/>
              <w:snapToGrid/>
              <w:spacing w:line="240" w:lineRule="auto"/>
              <w:ind w:firstLine="0" w:firstLineChars="0"/>
              <w:jc w:val="center"/>
              <w:rPr>
                <w:rFonts w:cs="宋体"/>
                <w:color w:val="auto"/>
                <w:sz w:val="21"/>
                <w:szCs w:val="20"/>
              </w:rPr>
            </w:pPr>
          </w:p>
        </w:tc>
        <w:tc>
          <w:tcPr>
            <w:tcW w:w="545" w:type="pct"/>
            <w:vMerge w:val="continue"/>
            <w:tcBorders>
              <w:tl2br w:val="nil"/>
              <w:tr2bl w:val="nil"/>
            </w:tcBorders>
            <w:noWrap/>
            <w:vAlign w:val="center"/>
          </w:tcPr>
          <w:p w14:paraId="4EE34EA0">
            <w:pPr>
              <w:adjustRightInd/>
              <w:snapToGrid/>
              <w:spacing w:line="240" w:lineRule="auto"/>
              <w:ind w:firstLine="0" w:firstLineChars="0"/>
              <w:jc w:val="center"/>
              <w:rPr>
                <w:rFonts w:cs="宋体"/>
                <w:color w:val="auto"/>
                <w:sz w:val="21"/>
                <w:szCs w:val="20"/>
              </w:rPr>
            </w:pPr>
          </w:p>
        </w:tc>
        <w:tc>
          <w:tcPr>
            <w:tcW w:w="958" w:type="pct"/>
            <w:vMerge w:val="continue"/>
            <w:tcBorders>
              <w:tl2br w:val="nil"/>
              <w:tr2bl w:val="nil"/>
            </w:tcBorders>
            <w:noWrap/>
            <w:vAlign w:val="center"/>
          </w:tcPr>
          <w:p w14:paraId="210C2174">
            <w:pPr>
              <w:adjustRightInd/>
              <w:snapToGrid/>
              <w:spacing w:line="240" w:lineRule="auto"/>
              <w:ind w:firstLine="0" w:firstLineChars="0"/>
              <w:jc w:val="center"/>
              <w:rPr>
                <w:rFonts w:cs="宋体"/>
                <w:color w:val="auto"/>
                <w:sz w:val="21"/>
                <w:szCs w:val="22"/>
              </w:rPr>
            </w:pPr>
          </w:p>
        </w:tc>
        <w:tc>
          <w:tcPr>
            <w:tcW w:w="979" w:type="pct"/>
            <w:vMerge w:val="continue"/>
            <w:tcBorders>
              <w:tl2br w:val="nil"/>
              <w:tr2bl w:val="nil"/>
            </w:tcBorders>
            <w:vAlign w:val="center"/>
          </w:tcPr>
          <w:p w14:paraId="36CFEB0D">
            <w:pPr>
              <w:adjustRightInd/>
              <w:snapToGrid/>
              <w:spacing w:line="240" w:lineRule="auto"/>
              <w:ind w:firstLine="0" w:firstLineChars="0"/>
              <w:jc w:val="center"/>
              <w:rPr>
                <w:rFonts w:cs="宋体"/>
                <w:color w:val="auto"/>
                <w:sz w:val="21"/>
                <w:szCs w:val="20"/>
              </w:rPr>
            </w:pPr>
          </w:p>
        </w:tc>
      </w:tr>
      <w:tr w14:paraId="24FBEA1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56BDA028">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337FC909">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消防战斗服</w:t>
            </w:r>
          </w:p>
        </w:tc>
        <w:tc>
          <w:tcPr>
            <w:tcW w:w="899" w:type="pct"/>
            <w:tcBorders>
              <w:tl2br w:val="nil"/>
              <w:tr2bl w:val="nil"/>
            </w:tcBorders>
            <w:vAlign w:val="center"/>
          </w:tcPr>
          <w:p w14:paraId="240D527D">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0A0E11F4">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16</w:t>
            </w:r>
          </w:p>
        </w:tc>
        <w:tc>
          <w:tcPr>
            <w:tcW w:w="958" w:type="pct"/>
            <w:tcBorders>
              <w:tl2br w:val="nil"/>
              <w:tr2bl w:val="nil"/>
            </w:tcBorders>
            <w:noWrap/>
            <w:vAlign w:val="center"/>
          </w:tcPr>
          <w:p w14:paraId="73F2B134">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3909C48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微型消防站</w:t>
            </w:r>
          </w:p>
        </w:tc>
      </w:tr>
      <w:tr w14:paraId="7283858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E31591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08BC92BE">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消防战斗帽</w:t>
            </w:r>
          </w:p>
        </w:tc>
        <w:tc>
          <w:tcPr>
            <w:tcW w:w="899" w:type="pct"/>
            <w:tcBorders>
              <w:tl2br w:val="nil"/>
              <w:tr2bl w:val="nil"/>
            </w:tcBorders>
            <w:vAlign w:val="center"/>
          </w:tcPr>
          <w:p w14:paraId="58B863CA">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52B7EFEA">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16</w:t>
            </w:r>
          </w:p>
        </w:tc>
        <w:tc>
          <w:tcPr>
            <w:tcW w:w="958" w:type="pct"/>
            <w:tcBorders>
              <w:tl2br w:val="nil"/>
              <w:tr2bl w:val="nil"/>
            </w:tcBorders>
            <w:noWrap/>
            <w:vAlign w:val="center"/>
          </w:tcPr>
          <w:p w14:paraId="099B038A">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387F8EE9">
            <w:pPr>
              <w:adjustRightInd/>
              <w:snapToGrid/>
              <w:spacing w:line="240" w:lineRule="auto"/>
              <w:ind w:firstLine="0" w:firstLineChars="0"/>
              <w:jc w:val="center"/>
              <w:rPr>
                <w:rFonts w:cs="宋体"/>
                <w:color w:val="auto"/>
                <w:sz w:val="21"/>
                <w:szCs w:val="20"/>
              </w:rPr>
            </w:pPr>
          </w:p>
        </w:tc>
      </w:tr>
      <w:tr w14:paraId="15D80F3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E6731A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8FA8694">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消防靴</w:t>
            </w:r>
          </w:p>
        </w:tc>
        <w:tc>
          <w:tcPr>
            <w:tcW w:w="899" w:type="pct"/>
            <w:tcBorders>
              <w:tl2br w:val="nil"/>
              <w:tr2bl w:val="nil"/>
            </w:tcBorders>
            <w:vAlign w:val="center"/>
          </w:tcPr>
          <w:p w14:paraId="370911EA">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57323B6B">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12</w:t>
            </w:r>
          </w:p>
        </w:tc>
        <w:tc>
          <w:tcPr>
            <w:tcW w:w="958" w:type="pct"/>
            <w:tcBorders>
              <w:tl2br w:val="nil"/>
              <w:tr2bl w:val="nil"/>
            </w:tcBorders>
            <w:noWrap/>
            <w:vAlign w:val="center"/>
          </w:tcPr>
          <w:p w14:paraId="11BD36A3">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31C69ABB">
            <w:pPr>
              <w:adjustRightInd/>
              <w:snapToGrid/>
              <w:spacing w:line="240" w:lineRule="auto"/>
              <w:ind w:firstLine="0" w:firstLineChars="0"/>
              <w:jc w:val="center"/>
              <w:rPr>
                <w:rFonts w:cs="宋体"/>
                <w:color w:val="auto"/>
                <w:sz w:val="21"/>
                <w:szCs w:val="20"/>
              </w:rPr>
            </w:pPr>
          </w:p>
        </w:tc>
      </w:tr>
      <w:tr w14:paraId="1ACDD6A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4" w:hRule="atLeast"/>
          <w:jc w:val="center"/>
        </w:trPr>
        <w:tc>
          <w:tcPr>
            <w:tcW w:w="347" w:type="pct"/>
            <w:tcBorders>
              <w:tl2br w:val="nil"/>
              <w:tr2bl w:val="nil"/>
            </w:tcBorders>
            <w:vAlign w:val="center"/>
          </w:tcPr>
          <w:p w14:paraId="24771C5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DE99F7A">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长管防毒面具、滤毒罐</w:t>
            </w:r>
          </w:p>
        </w:tc>
        <w:tc>
          <w:tcPr>
            <w:tcW w:w="899" w:type="pct"/>
            <w:tcBorders>
              <w:tl2br w:val="nil"/>
              <w:tr2bl w:val="nil"/>
            </w:tcBorders>
            <w:vAlign w:val="center"/>
          </w:tcPr>
          <w:p w14:paraId="535BEBA6">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23A6F7DA">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5</w:t>
            </w:r>
          </w:p>
        </w:tc>
        <w:tc>
          <w:tcPr>
            <w:tcW w:w="958" w:type="pct"/>
            <w:tcBorders>
              <w:tl2br w:val="nil"/>
              <w:tr2bl w:val="nil"/>
            </w:tcBorders>
            <w:noWrap/>
            <w:vAlign w:val="center"/>
          </w:tcPr>
          <w:p w14:paraId="30E13693">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6210C351">
            <w:pPr>
              <w:adjustRightInd/>
              <w:snapToGrid/>
              <w:spacing w:line="240" w:lineRule="auto"/>
              <w:ind w:firstLine="0" w:firstLineChars="0"/>
              <w:jc w:val="center"/>
              <w:rPr>
                <w:rFonts w:cs="宋体"/>
                <w:color w:val="auto"/>
                <w:sz w:val="21"/>
                <w:szCs w:val="20"/>
              </w:rPr>
            </w:pPr>
          </w:p>
        </w:tc>
      </w:tr>
      <w:tr w14:paraId="5CE326F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4" w:hRule="atLeast"/>
          <w:jc w:val="center"/>
        </w:trPr>
        <w:tc>
          <w:tcPr>
            <w:tcW w:w="347" w:type="pct"/>
            <w:tcBorders>
              <w:tl2br w:val="nil"/>
              <w:tr2bl w:val="nil"/>
            </w:tcBorders>
            <w:vAlign w:val="center"/>
          </w:tcPr>
          <w:p w14:paraId="14F81903">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0F3688BB">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半面罩过滤式面具</w:t>
            </w:r>
          </w:p>
        </w:tc>
        <w:tc>
          <w:tcPr>
            <w:tcW w:w="899" w:type="pct"/>
            <w:tcBorders>
              <w:tl2br w:val="nil"/>
              <w:tr2bl w:val="nil"/>
            </w:tcBorders>
            <w:vAlign w:val="center"/>
          </w:tcPr>
          <w:p w14:paraId="1001AC45">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40AD629F">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5</w:t>
            </w:r>
          </w:p>
        </w:tc>
        <w:tc>
          <w:tcPr>
            <w:tcW w:w="958" w:type="pct"/>
            <w:tcBorders>
              <w:tl2br w:val="nil"/>
              <w:tr2bl w:val="nil"/>
            </w:tcBorders>
            <w:noWrap/>
            <w:vAlign w:val="center"/>
          </w:tcPr>
          <w:p w14:paraId="35330458">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48B7D576">
            <w:pPr>
              <w:adjustRightInd/>
              <w:snapToGrid/>
              <w:spacing w:line="240" w:lineRule="auto"/>
              <w:ind w:firstLine="0" w:firstLineChars="0"/>
              <w:jc w:val="center"/>
              <w:rPr>
                <w:rFonts w:cs="宋体"/>
                <w:color w:val="auto"/>
                <w:sz w:val="21"/>
                <w:szCs w:val="20"/>
              </w:rPr>
            </w:pPr>
          </w:p>
        </w:tc>
      </w:tr>
      <w:tr w14:paraId="376EDC9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4" w:hRule="atLeast"/>
          <w:jc w:val="center"/>
        </w:trPr>
        <w:tc>
          <w:tcPr>
            <w:tcW w:w="347" w:type="pct"/>
            <w:tcBorders>
              <w:tl2br w:val="nil"/>
              <w:tr2bl w:val="nil"/>
            </w:tcBorders>
            <w:vAlign w:val="center"/>
          </w:tcPr>
          <w:p w14:paraId="1AE5B65E">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CC931E9">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送风式长管呼吸器</w:t>
            </w:r>
          </w:p>
        </w:tc>
        <w:tc>
          <w:tcPr>
            <w:tcW w:w="899" w:type="pct"/>
            <w:tcBorders>
              <w:tl2br w:val="nil"/>
              <w:tr2bl w:val="nil"/>
            </w:tcBorders>
            <w:vAlign w:val="center"/>
          </w:tcPr>
          <w:p w14:paraId="78F66112">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57623723">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172BA1AA">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710B7A90">
            <w:pPr>
              <w:adjustRightInd/>
              <w:snapToGrid/>
              <w:spacing w:line="240" w:lineRule="auto"/>
              <w:ind w:firstLine="0" w:firstLineChars="0"/>
              <w:jc w:val="center"/>
              <w:rPr>
                <w:rFonts w:cs="宋体"/>
                <w:color w:val="auto"/>
                <w:sz w:val="21"/>
                <w:szCs w:val="20"/>
              </w:rPr>
            </w:pPr>
          </w:p>
        </w:tc>
      </w:tr>
      <w:tr w14:paraId="3F60981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58145D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3B58121">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救援三脚架</w:t>
            </w:r>
          </w:p>
        </w:tc>
        <w:tc>
          <w:tcPr>
            <w:tcW w:w="899" w:type="pct"/>
            <w:tcBorders>
              <w:tl2br w:val="nil"/>
              <w:tr2bl w:val="nil"/>
            </w:tcBorders>
            <w:vAlign w:val="center"/>
          </w:tcPr>
          <w:p w14:paraId="4A329B2B">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1EC2D66E">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5488FD1F">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05FDAEA8">
            <w:pPr>
              <w:adjustRightInd/>
              <w:snapToGrid/>
              <w:spacing w:line="240" w:lineRule="auto"/>
              <w:ind w:firstLine="0" w:firstLineChars="0"/>
              <w:jc w:val="center"/>
              <w:rPr>
                <w:rFonts w:cs="宋体"/>
                <w:color w:val="auto"/>
                <w:sz w:val="21"/>
                <w:szCs w:val="20"/>
              </w:rPr>
            </w:pPr>
          </w:p>
        </w:tc>
      </w:tr>
      <w:tr w14:paraId="33C74CF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D3C7D7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9BD5FDE">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缓降器</w:t>
            </w:r>
          </w:p>
        </w:tc>
        <w:tc>
          <w:tcPr>
            <w:tcW w:w="899" w:type="pct"/>
            <w:tcBorders>
              <w:tl2br w:val="nil"/>
              <w:tr2bl w:val="nil"/>
            </w:tcBorders>
            <w:vAlign w:val="center"/>
          </w:tcPr>
          <w:p w14:paraId="231499BD">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35CB0906">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27DDCD07">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0812B2D7">
            <w:pPr>
              <w:adjustRightInd/>
              <w:snapToGrid/>
              <w:spacing w:line="240" w:lineRule="auto"/>
              <w:ind w:firstLine="0" w:firstLineChars="0"/>
              <w:jc w:val="center"/>
              <w:rPr>
                <w:rFonts w:cs="宋体"/>
                <w:color w:val="auto"/>
                <w:sz w:val="21"/>
                <w:szCs w:val="20"/>
              </w:rPr>
            </w:pPr>
          </w:p>
        </w:tc>
      </w:tr>
      <w:tr w14:paraId="55E138A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6" w:hRule="atLeast"/>
          <w:jc w:val="center"/>
        </w:trPr>
        <w:tc>
          <w:tcPr>
            <w:tcW w:w="347" w:type="pct"/>
            <w:tcBorders>
              <w:tl2br w:val="nil"/>
              <w:tr2bl w:val="nil"/>
            </w:tcBorders>
            <w:vAlign w:val="center"/>
          </w:tcPr>
          <w:p w14:paraId="5D55B34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619E4A2">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消防过滤式自救呼吸器</w:t>
            </w:r>
          </w:p>
        </w:tc>
        <w:tc>
          <w:tcPr>
            <w:tcW w:w="899" w:type="pct"/>
            <w:tcBorders>
              <w:tl2br w:val="nil"/>
              <w:tr2bl w:val="nil"/>
            </w:tcBorders>
            <w:vAlign w:val="center"/>
          </w:tcPr>
          <w:p w14:paraId="4523D892">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289838E2">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4</w:t>
            </w:r>
          </w:p>
        </w:tc>
        <w:tc>
          <w:tcPr>
            <w:tcW w:w="958" w:type="pct"/>
            <w:tcBorders>
              <w:tl2br w:val="nil"/>
              <w:tr2bl w:val="nil"/>
            </w:tcBorders>
            <w:noWrap/>
            <w:vAlign w:val="center"/>
          </w:tcPr>
          <w:p w14:paraId="250F3772">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2B572488">
            <w:pPr>
              <w:adjustRightInd/>
              <w:snapToGrid/>
              <w:spacing w:line="240" w:lineRule="auto"/>
              <w:ind w:firstLine="0" w:firstLineChars="0"/>
              <w:jc w:val="center"/>
              <w:rPr>
                <w:rFonts w:cs="宋体"/>
                <w:color w:val="auto"/>
                <w:sz w:val="21"/>
                <w:szCs w:val="20"/>
              </w:rPr>
            </w:pPr>
          </w:p>
        </w:tc>
      </w:tr>
      <w:tr w14:paraId="12A35BE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48AD3F4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665EFA0A">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救生软梯</w:t>
            </w:r>
          </w:p>
        </w:tc>
        <w:tc>
          <w:tcPr>
            <w:tcW w:w="899" w:type="pct"/>
            <w:tcBorders>
              <w:tl2br w:val="nil"/>
              <w:tr2bl w:val="nil"/>
            </w:tcBorders>
            <w:vAlign w:val="center"/>
          </w:tcPr>
          <w:p w14:paraId="298B0AD5">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5DB49722">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3067F992">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6B1E6EA8">
            <w:pPr>
              <w:adjustRightInd/>
              <w:snapToGrid/>
              <w:spacing w:line="240" w:lineRule="auto"/>
              <w:ind w:firstLine="0" w:firstLineChars="0"/>
              <w:jc w:val="center"/>
              <w:rPr>
                <w:rFonts w:cs="宋体"/>
                <w:color w:val="auto"/>
                <w:sz w:val="21"/>
                <w:szCs w:val="20"/>
              </w:rPr>
            </w:pPr>
          </w:p>
        </w:tc>
      </w:tr>
      <w:tr w14:paraId="6EF0B80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6459199">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8F391EB">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警戒带</w:t>
            </w:r>
          </w:p>
        </w:tc>
        <w:tc>
          <w:tcPr>
            <w:tcW w:w="899" w:type="pct"/>
            <w:tcBorders>
              <w:tl2br w:val="nil"/>
              <w:tr2bl w:val="nil"/>
            </w:tcBorders>
            <w:vAlign w:val="center"/>
          </w:tcPr>
          <w:p w14:paraId="2A3616A7">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7CA5D8F3">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5</w:t>
            </w:r>
          </w:p>
        </w:tc>
        <w:tc>
          <w:tcPr>
            <w:tcW w:w="958" w:type="pct"/>
            <w:tcBorders>
              <w:tl2br w:val="nil"/>
              <w:tr2bl w:val="nil"/>
            </w:tcBorders>
            <w:noWrap/>
            <w:vAlign w:val="center"/>
          </w:tcPr>
          <w:p w14:paraId="4D03E7BE">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0CFC38E3">
            <w:pPr>
              <w:adjustRightInd/>
              <w:snapToGrid/>
              <w:spacing w:line="240" w:lineRule="auto"/>
              <w:ind w:firstLine="0" w:firstLineChars="0"/>
              <w:jc w:val="center"/>
              <w:rPr>
                <w:rFonts w:cs="宋体"/>
                <w:color w:val="auto"/>
                <w:sz w:val="21"/>
                <w:szCs w:val="20"/>
              </w:rPr>
            </w:pPr>
          </w:p>
        </w:tc>
      </w:tr>
      <w:tr w14:paraId="398F134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4000EF9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5C06D3CC">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安全绳</w:t>
            </w:r>
          </w:p>
        </w:tc>
        <w:tc>
          <w:tcPr>
            <w:tcW w:w="899" w:type="pct"/>
            <w:tcBorders>
              <w:tl2br w:val="nil"/>
              <w:tr2bl w:val="nil"/>
            </w:tcBorders>
            <w:vAlign w:val="center"/>
          </w:tcPr>
          <w:p w14:paraId="383095CA">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3C573178">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1FBADF2A">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1059EE33">
            <w:pPr>
              <w:adjustRightInd/>
              <w:snapToGrid/>
              <w:spacing w:line="240" w:lineRule="auto"/>
              <w:ind w:firstLine="0" w:firstLineChars="0"/>
              <w:jc w:val="center"/>
              <w:rPr>
                <w:rFonts w:cs="宋体"/>
                <w:color w:val="auto"/>
                <w:sz w:val="21"/>
                <w:szCs w:val="20"/>
              </w:rPr>
            </w:pPr>
          </w:p>
        </w:tc>
      </w:tr>
      <w:tr w14:paraId="29C4660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21034AC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003A4DCD">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安全带</w:t>
            </w:r>
          </w:p>
        </w:tc>
        <w:tc>
          <w:tcPr>
            <w:tcW w:w="899" w:type="pct"/>
            <w:tcBorders>
              <w:tl2br w:val="nil"/>
              <w:tr2bl w:val="nil"/>
            </w:tcBorders>
            <w:vAlign w:val="center"/>
          </w:tcPr>
          <w:p w14:paraId="069269B8">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06344688">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5</w:t>
            </w:r>
          </w:p>
        </w:tc>
        <w:tc>
          <w:tcPr>
            <w:tcW w:w="958" w:type="pct"/>
            <w:tcBorders>
              <w:tl2br w:val="nil"/>
              <w:tr2bl w:val="nil"/>
            </w:tcBorders>
            <w:noWrap/>
            <w:vAlign w:val="center"/>
          </w:tcPr>
          <w:p w14:paraId="4E98348B">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4362912C">
            <w:pPr>
              <w:adjustRightInd/>
              <w:snapToGrid/>
              <w:spacing w:line="240" w:lineRule="auto"/>
              <w:ind w:firstLine="0" w:firstLineChars="0"/>
              <w:jc w:val="center"/>
              <w:rPr>
                <w:rFonts w:cs="宋体"/>
                <w:color w:val="auto"/>
                <w:sz w:val="21"/>
                <w:szCs w:val="20"/>
              </w:rPr>
            </w:pPr>
          </w:p>
        </w:tc>
      </w:tr>
      <w:tr w14:paraId="4200344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474EE17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2E3D04F">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洗消帐篷</w:t>
            </w:r>
          </w:p>
        </w:tc>
        <w:tc>
          <w:tcPr>
            <w:tcW w:w="899" w:type="pct"/>
            <w:tcBorders>
              <w:tl2br w:val="nil"/>
              <w:tr2bl w:val="nil"/>
            </w:tcBorders>
            <w:vAlign w:val="center"/>
          </w:tcPr>
          <w:p w14:paraId="405EA2BF">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05E8471B">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7CF62C91">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514986F7">
            <w:pPr>
              <w:adjustRightInd/>
              <w:snapToGrid/>
              <w:spacing w:line="240" w:lineRule="auto"/>
              <w:ind w:firstLine="0" w:firstLineChars="0"/>
              <w:jc w:val="center"/>
              <w:rPr>
                <w:rFonts w:cs="宋体"/>
                <w:color w:val="auto"/>
                <w:sz w:val="21"/>
                <w:szCs w:val="20"/>
              </w:rPr>
            </w:pPr>
          </w:p>
        </w:tc>
      </w:tr>
      <w:tr w14:paraId="1290100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90EB9A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63E8B2BF">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手动破拆工具组</w:t>
            </w:r>
          </w:p>
        </w:tc>
        <w:tc>
          <w:tcPr>
            <w:tcW w:w="899" w:type="pct"/>
            <w:tcBorders>
              <w:tl2br w:val="nil"/>
              <w:tr2bl w:val="nil"/>
            </w:tcBorders>
            <w:vAlign w:val="center"/>
          </w:tcPr>
          <w:p w14:paraId="20A89E8F">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7D40B5DF">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6014070F">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1EDDF914">
            <w:pPr>
              <w:adjustRightInd/>
              <w:snapToGrid/>
              <w:spacing w:line="240" w:lineRule="auto"/>
              <w:ind w:firstLine="0" w:firstLineChars="0"/>
              <w:jc w:val="center"/>
              <w:rPr>
                <w:rFonts w:cs="宋体"/>
                <w:color w:val="auto"/>
                <w:sz w:val="21"/>
                <w:szCs w:val="20"/>
              </w:rPr>
            </w:pPr>
          </w:p>
        </w:tc>
      </w:tr>
      <w:tr w14:paraId="13D1AB1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7546F9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B0361CC">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防爆手电筒</w:t>
            </w:r>
          </w:p>
        </w:tc>
        <w:tc>
          <w:tcPr>
            <w:tcW w:w="899" w:type="pct"/>
            <w:tcBorders>
              <w:tl2br w:val="nil"/>
              <w:tr2bl w:val="nil"/>
            </w:tcBorders>
            <w:vAlign w:val="center"/>
          </w:tcPr>
          <w:p w14:paraId="55CB5435">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3C821210">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23</w:t>
            </w:r>
          </w:p>
        </w:tc>
        <w:tc>
          <w:tcPr>
            <w:tcW w:w="958" w:type="pct"/>
            <w:tcBorders>
              <w:tl2br w:val="nil"/>
              <w:tr2bl w:val="nil"/>
            </w:tcBorders>
            <w:noWrap/>
            <w:vAlign w:val="center"/>
          </w:tcPr>
          <w:p w14:paraId="005A84CA">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0CE966F9">
            <w:pPr>
              <w:adjustRightInd/>
              <w:snapToGrid/>
              <w:spacing w:line="240" w:lineRule="auto"/>
              <w:ind w:firstLine="0" w:firstLineChars="0"/>
              <w:jc w:val="center"/>
              <w:rPr>
                <w:rFonts w:cs="宋体"/>
                <w:color w:val="auto"/>
                <w:sz w:val="21"/>
                <w:szCs w:val="20"/>
              </w:rPr>
            </w:pPr>
          </w:p>
        </w:tc>
      </w:tr>
      <w:tr w14:paraId="130536C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5759A9B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103E888">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防化服（重型）</w:t>
            </w:r>
          </w:p>
        </w:tc>
        <w:tc>
          <w:tcPr>
            <w:tcW w:w="899" w:type="pct"/>
            <w:tcBorders>
              <w:tl2br w:val="nil"/>
              <w:tr2bl w:val="nil"/>
            </w:tcBorders>
            <w:vAlign w:val="center"/>
          </w:tcPr>
          <w:p w14:paraId="79D2902E">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3A1E8C13">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2612C881">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094534D2">
            <w:pPr>
              <w:adjustRightInd/>
              <w:snapToGrid/>
              <w:spacing w:line="240" w:lineRule="auto"/>
              <w:ind w:firstLine="0" w:firstLineChars="0"/>
              <w:jc w:val="center"/>
              <w:rPr>
                <w:rFonts w:cs="宋体"/>
                <w:color w:val="auto"/>
                <w:sz w:val="21"/>
                <w:szCs w:val="20"/>
              </w:rPr>
            </w:pPr>
          </w:p>
        </w:tc>
      </w:tr>
      <w:tr w14:paraId="1A799C6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508AF976">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E2FF4A3">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防化服（轻型）</w:t>
            </w:r>
          </w:p>
        </w:tc>
        <w:tc>
          <w:tcPr>
            <w:tcW w:w="899" w:type="pct"/>
            <w:tcBorders>
              <w:tl2br w:val="nil"/>
              <w:tr2bl w:val="nil"/>
            </w:tcBorders>
            <w:vAlign w:val="center"/>
          </w:tcPr>
          <w:p w14:paraId="237BA734">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7FC3A29B">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6CA49DC2">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49E4A21D">
            <w:pPr>
              <w:adjustRightInd/>
              <w:snapToGrid/>
              <w:spacing w:line="240" w:lineRule="auto"/>
              <w:ind w:firstLine="0" w:firstLineChars="0"/>
              <w:jc w:val="center"/>
              <w:rPr>
                <w:rFonts w:cs="宋体"/>
                <w:color w:val="auto"/>
                <w:sz w:val="21"/>
                <w:szCs w:val="20"/>
              </w:rPr>
            </w:pPr>
          </w:p>
        </w:tc>
      </w:tr>
      <w:tr w14:paraId="035A352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FB75C6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034C6E8">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耐酸碱服</w:t>
            </w:r>
          </w:p>
        </w:tc>
        <w:tc>
          <w:tcPr>
            <w:tcW w:w="899" w:type="pct"/>
            <w:tcBorders>
              <w:tl2br w:val="nil"/>
              <w:tr2bl w:val="nil"/>
            </w:tcBorders>
            <w:vAlign w:val="center"/>
          </w:tcPr>
          <w:p w14:paraId="23465B77">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6F44BDDB">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4</w:t>
            </w:r>
          </w:p>
        </w:tc>
        <w:tc>
          <w:tcPr>
            <w:tcW w:w="958" w:type="pct"/>
            <w:tcBorders>
              <w:tl2br w:val="nil"/>
              <w:tr2bl w:val="nil"/>
            </w:tcBorders>
            <w:noWrap/>
            <w:vAlign w:val="center"/>
          </w:tcPr>
          <w:p w14:paraId="08381EFB">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6608784D">
            <w:pPr>
              <w:adjustRightInd/>
              <w:snapToGrid/>
              <w:spacing w:line="240" w:lineRule="auto"/>
              <w:ind w:firstLine="0" w:firstLineChars="0"/>
              <w:jc w:val="center"/>
              <w:rPr>
                <w:rFonts w:cs="宋体"/>
                <w:color w:val="auto"/>
                <w:sz w:val="21"/>
                <w:szCs w:val="20"/>
              </w:rPr>
            </w:pPr>
          </w:p>
        </w:tc>
      </w:tr>
      <w:tr w14:paraId="1F5354F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8" w:hRule="atLeast"/>
          <w:jc w:val="center"/>
        </w:trPr>
        <w:tc>
          <w:tcPr>
            <w:tcW w:w="347" w:type="pct"/>
            <w:tcBorders>
              <w:tl2br w:val="nil"/>
              <w:tr2bl w:val="nil"/>
            </w:tcBorders>
            <w:vAlign w:val="center"/>
          </w:tcPr>
          <w:p w14:paraId="73E52E6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509ECF5A">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正压式空气呼吸器</w:t>
            </w:r>
          </w:p>
        </w:tc>
        <w:tc>
          <w:tcPr>
            <w:tcW w:w="899" w:type="pct"/>
            <w:tcBorders>
              <w:tl2br w:val="nil"/>
              <w:tr2bl w:val="nil"/>
            </w:tcBorders>
            <w:vAlign w:val="center"/>
          </w:tcPr>
          <w:p w14:paraId="1832B040">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4D9C1135">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442948CE">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3B3F7D41">
            <w:pPr>
              <w:adjustRightInd/>
              <w:snapToGrid/>
              <w:spacing w:line="240" w:lineRule="auto"/>
              <w:ind w:firstLine="0" w:firstLineChars="0"/>
              <w:jc w:val="center"/>
              <w:rPr>
                <w:rFonts w:cs="宋体"/>
                <w:color w:val="auto"/>
                <w:sz w:val="21"/>
                <w:szCs w:val="20"/>
              </w:rPr>
            </w:pPr>
          </w:p>
        </w:tc>
      </w:tr>
      <w:tr w14:paraId="1C04691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2" w:hRule="atLeast"/>
          <w:jc w:val="center"/>
        </w:trPr>
        <w:tc>
          <w:tcPr>
            <w:tcW w:w="347" w:type="pct"/>
            <w:tcBorders>
              <w:tl2br w:val="nil"/>
              <w:tr2bl w:val="nil"/>
            </w:tcBorders>
            <w:vAlign w:val="center"/>
          </w:tcPr>
          <w:p w14:paraId="0407A03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08AC58D6">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对讲机</w:t>
            </w:r>
          </w:p>
        </w:tc>
        <w:tc>
          <w:tcPr>
            <w:tcW w:w="899" w:type="pct"/>
            <w:tcBorders>
              <w:tl2br w:val="nil"/>
              <w:tr2bl w:val="nil"/>
            </w:tcBorders>
            <w:vAlign w:val="center"/>
          </w:tcPr>
          <w:p w14:paraId="45270486">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5D11D961">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3</w:t>
            </w:r>
          </w:p>
        </w:tc>
        <w:tc>
          <w:tcPr>
            <w:tcW w:w="958" w:type="pct"/>
            <w:tcBorders>
              <w:tl2br w:val="nil"/>
              <w:tr2bl w:val="nil"/>
            </w:tcBorders>
            <w:vAlign w:val="center"/>
          </w:tcPr>
          <w:p w14:paraId="0899B224">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应急通信和指挥</w:t>
            </w:r>
          </w:p>
        </w:tc>
        <w:tc>
          <w:tcPr>
            <w:tcW w:w="979" w:type="pct"/>
            <w:vMerge w:val="continue"/>
            <w:tcBorders>
              <w:tl2br w:val="nil"/>
              <w:tr2bl w:val="nil"/>
            </w:tcBorders>
            <w:vAlign w:val="center"/>
          </w:tcPr>
          <w:p w14:paraId="001E2850">
            <w:pPr>
              <w:adjustRightInd/>
              <w:snapToGrid/>
              <w:spacing w:line="240" w:lineRule="auto"/>
              <w:ind w:firstLine="0" w:firstLineChars="0"/>
              <w:jc w:val="center"/>
              <w:rPr>
                <w:rFonts w:cs="宋体"/>
                <w:color w:val="auto"/>
                <w:sz w:val="21"/>
                <w:szCs w:val="20"/>
              </w:rPr>
            </w:pPr>
          </w:p>
        </w:tc>
      </w:tr>
      <w:tr w14:paraId="7049F60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5F3A04B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E8421F1">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苏生器、氧气瓶</w:t>
            </w:r>
          </w:p>
        </w:tc>
        <w:tc>
          <w:tcPr>
            <w:tcW w:w="899" w:type="pct"/>
            <w:tcBorders>
              <w:tl2br w:val="nil"/>
              <w:tr2bl w:val="nil"/>
            </w:tcBorders>
            <w:vAlign w:val="center"/>
          </w:tcPr>
          <w:p w14:paraId="2B421282">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143F2D2B">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612CA017">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688ADC71">
            <w:pPr>
              <w:adjustRightInd/>
              <w:snapToGrid/>
              <w:spacing w:line="240" w:lineRule="auto"/>
              <w:ind w:firstLine="0" w:firstLineChars="0"/>
              <w:jc w:val="center"/>
              <w:rPr>
                <w:rFonts w:cs="宋体"/>
                <w:color w:val="auto"/>
                <w:sz w:val="21"/>
                <w:szCs w:val="20"/>
              </w:rPr>
            </w:pPr>
          </w:p>
        </w:tc>
      </w:tr>
      <w:tr w14:paraId="3CA1D3D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jc w:val="center"/>
        </w:trPr>
        <w:tc>
          <w:tcPr>
            <w:tcW w:w="347" w:type="pct"/>
            <w:tcBorders>
              <w:tl2br w:val="nil"/>
              <w:tr2bl w:val="nil"/>
            </w:tcBorders>
            <w:vAlign w:val="center"/>
          </w:tcPr>
          <w:p w14:paraId="5001AE3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35993770">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浮标式氧气吸入器</w:t>
            </w:r>
          </w:p>
        </w:tc>
        <w:tc>
          <w:tcPr>
            <w:tcW w:w="899" w:type="pct"/>
            <w:tcBorders>
              <w:tl2br w:val="nil"/>
              <w:tr2bl w:val="nil"/>
            </w:tcBorders>
            <w:vAlign w:val="center"/>
          </w:tcPr>
          <w:p w14:paraId="021D3F20">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30755B46">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4A8DCAF1">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安全防护</w:t>
            </w:r>
          </w:p>
        </w:tc>
        <w:tc>
          <w:tcPr>
            <w:tcW w:w="979" w:type="pct"/>
            <w:vMerge w:val="continue"/>
            <w:tcBorders>
              <w:tl2br w:val="nil"/>
              <w:tr2bl w:val="nil"/>
            </w:tcBorders>
            <w:vAlign w:val="center"/>
          </w:tcPr>
          <w:p w14:paraId="7DFB4B96">
            <w:pPr>
              <w:adjustRightInd/>
              <w:snapToGrid/>
              <w:spacing w:line="240" w:lineRule="auto"/>
              <w:ind w:firstLine="0" w:firstLineChars="0"/>
              <w:jc w:val="center"/>
              <w:rPr>
                <w:rFonts w:cs="宋体"/>
                <w:color w:val="auto"/>
                <w:sz w:val="21"/>
                <w:szCs w:val="20"/>
              </w:rPr>
            </w:pPr>
          </w:p>
        </w:tc>
      </w:tr>
      <w:tr w14:paraId="4DBBE1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3" w:hRule="atLeast"/>
          <w:jc w:val="center"/>
        </w:trPr>
        <w:tc>
          <w:tcPr>
            <w:tcW w:w="347" w:type="pct"/>
            <w:tcBorders>
              <w:tl2br w:val="nil"/>
              <w:tr2bl w:val="nil"/>
            </w:tcBorders>
            <w:vAlign w:val="center"/>
          </w:tcPr>
          <w:p w14:paraId="1D40E64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79E4524F">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固定外线电话</w:t>
            </w:r>
          </w:p>
        </w:tc>
        <w:tc>
          <w:tcPr>
            <w:tcW w:w="899" w:type="pct"/>
            <w:tcBorders>
              <w:tl2br w:val="nil"/>
              <w:tr2bl w:val="nil"/>
            </w:tcBorders>
            <w:vAlign w:val="center"/>
          </w:tcPr>
          <w:p w14:paraId="1E118C76">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6CF33A83">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vAlign w:val="center"/>
          </w:tcPr>
          <w:p w14:paraId="36BAFE81">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应急通信和指挥</w:t>
            </w:r>
          </w:p>
        </w:tc>
        <w:tc>
          <w:tcPr>
            <w:tcW w:w="979" w:type="pct"/>
            <w:vMerge w:val="continue"/>
            <w:tcBorders>
              <w:tl2br w:val="nil"/>
              <w:tr2bl w:val="nil"/>
            </w:tcBorders>
            <w:vAlign w:val="center"/>
          </w:tcPr>
          <w:p w14:paraId="41E2F8C2">
            <w:pPr>
              <w:adjustRightInd/>
              <w:snapToGrid/>
              <w:spacing w:line="240" w:lineRule="auto"/>
              <w:ind w:firstLine="0" w:firstLineChars="0"/>
              <w:jc w:val="center"/>
              <w:rPr>
                <w:rFonts w:cs="宋体"/>
                <w:color w:val="auto"/>
                <w:sz w:val="21"/>
                <w:szCs w:val="20"/>
              </w:rPr>
            </w:pPr>
          </w:p>
        </w:tc>
      </w:tr>
      <w:tr w14:paraId="242747D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5" w:hRule="atLeast"/>
          <w:jc w:val="center"/>
        </w:trPr>
        <w:tc>
          <w:tcPr>
            <w:tcW w:w="347" w:type="pct"/>
            <w:tcBorders>
              <w:tl2br w:val="nil"/>
              <w:tr2bl w:val="nil"/>
            </w:tcBorders>
            <w:vAlign w:val="center"/>
          </w:tcPr>
          <w:p w14:paraId="06719C48">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0F18A6C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899" w:type="pct"/>
            <w:tcBorders>
              <w:tl2br w:val="nil"/>
              <w:tr2bl w:val="nil"/>
            </w:tcBorders>
            <w:vAlign w:val="center"/>
          </w:tcPr>
          <w:p w14:paraId="3C25EC9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vAlign w:val="center"/>
          </w:tcPr>
          <w:p w14:paraId="12DC12A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vAlign w:val="center"/>
          </w:tcPr>
          <w:p w14:paraId="146FCA7C">
            <w:pPr>
              <w:widowControl/>
              <w:adjustRightInd/>
              <w:snapToGrid/>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013F825A">
            <w:pPr>
              <w:adjustRightInd/>
              <w:snapToGrid/>
              <w:spacing w:line="240" w:lineRule="auto"/>
              <w:ind w:firstLine="0" w:firstLineChars="0"/>
              <w:jc w:val="center"/>
              <w:rPr>
                <w:rFonts w:cs="宋体"/>
                <w:color w:val="auto"/>
                <w:sz w:val="21"/>
                <w:szCs w:val="20"/>
              </w:rPr>
            </w:pPr>
            <w:r>
              <w:rPr>
                <w:rFonts w:hint="eastAsia" w:cs="宋体"/>
                <w:color w:val="auto"/>
                <w:sz w:val="21"/>
                <w:szCs w:val="20"/>
              </w:rPr>
              <w:t>石膏车间1-5层各一组</w:t>
            </w:r>
          </w:p>
        </w:tc>
      </w:tr>
      <w:tr w14:paraId="623AE65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797C80C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3FDD6C3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防尘口罩</w:t>
            </w:r>
          </w:p>
        </w:tc>
        <w:tc>
          <w:tcPr>
            <w:tcW w:w="899" w:type="pct"/>
            <w:tcBorders>
              <w:tl2br w:val="nil"/>
              <w:tr2bl w:val="nil"/>
            </w:tcBorders>
            <w:vAlign w:val="center"/>
          </w:tcPr>
          <w:p w14:paraId="0C58643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02003AD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04AE0DB6">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3A7F580F">
            <w:pPr>
              <w:adjustRightInd/>
              <w:snapToGrid/>
              <w:spacing w:line="240" w:lineRule="auto"/>
              <w:ind w:firstLine="0" w:firstLineChars="0"/>
              <w:jc w:val="center"/>
              <w:rPr>
                <w:rFonts w:cs="宋体"/>
                <w:color w:val="auto"/>
                <w:sz w:val="21"/>
                <w:szCs w:val="20"/>
              </w:rPr>
            </w:pPr>
          </w:p>
        </w:tc>
      </w:tr>
      <w:tr w14:paraId="7E2EEC7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523A0BAF">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9691AA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tcBorders>
              <w:tl2br w:val="nil"/>
              <w:tr2bl w:val="nil"/>
            </w:tcBorders>
            <w:vAlign w:val="center"/>
          </w:tcPr>
          <w:p w14:paraId="6563BDB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7549182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1副</w:t>
            </w:r>
          </w:p>
        </w:tc>
        <w:tc>
          <w:tcPr>
            <w:tcW w:w="958" w:type="pct"/>
            <w:vMerge w:val="continue"/>
            <w:tcBorders>
              <w:tl2br w:val="nil"/>
              <w:tr2bl w:val="nil"/>
            </w:tcBorders>
            <w:vAlign w:val="center"/>
          </w:tcPr>
          <w:p w14:paraId="5F29FFD8">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63A95D68">
            <w:pPr>
              <w:adjustRightInd/>
              <w:snapToGrid/>
              <w:spacing w:line="240" w:lineRule="auto"/>
              <w:ind w:firstLine="0" w:firstLineChars="0"/>
              <w:jc w:val="center"/>
              <w:rPr>
                <w:rFonts w:cs="宋体"/>
                <w:color w:val="auto"/>
                <w:sz w:val="21"/>
                <w:szCs w:val="20"/>
              </w:rPr>
            </w:pPr>
          </w:p>
        </w:tc>
      </w:tr>
      <w:tr w14:paraId="7273FEB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62E3792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76DFDBA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tcBorders>
              <w:tl2br w:val="nil"/>
              <w:tr2bl w:val="nil"/>
            </w:tcBorders>
            <w:vAlign w:val="center"/>
          </w:tcPr>
          <w:p w14:paraId="10BE75E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610BED8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69494810">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50839F68">
            <w:pPr>
              <w:adjustRightInd/>
              <w:snapToGrid/>
              <w:spacing w:line="240" w:lineRule="auto"/>
              <w:ind w:firstLine="0" w:firstLineChars="0"/>
              <w:jc w:val="center"/>
              <w:rPr>
                <w:rFonts w:cs="宋体"/>
                <w:color w:val="auto"/>
                <w:sz w:val="21"/>
                <w:szCs w:val="20"/>
              </w:rPr>
            </w:pPr>
          </w:p>
        </w:tc>
      </w:tr>
      <w:tr w14:paraId="0EEDC31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6D8658A8">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37CF214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tcBorders>
              <w:tl2br w:val="nil"/>
              <w:tr2bl w:val="nil"/>
            </w:tcBorders>
            <w:vAlign w:val="center"/>
          </w:tcPr>
          <w:p w14:paraId="6AE7699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1CDA0FD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34B85259">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1F99A5EF">
            <w:pPr>
              <w:adjustRightInd/>
              <w:snapToGrid/>
              <w:spacing w:line="240" w:lineRule="auto"/>
              <w:ind w:firstLine="0" w:firstLineChars="0"/>
              <w:jc w:val="center"/>
              <w:rPr>
                <w:rFonts w:cs="宋体"/>
                <w:color w:val="auto"/>
                <w:sz w:val="21"/>
                <w:szCs w:val="20"/>
              </w:rPr>
            </w:pPr>
          </w:p>
        </w:tc>
      </w:tr>
      <w:tr w14:paraId="5D6193A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3DE5A0E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549D02C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tcBorders>
              <w:tl2br w:val="nil"/>
              <w:tr2bl w:val="nil"/>
            </w:tcBorders>
            <w:vAlign w:val="center"/>
          </w:tcPr>
          <w:p w14:paraId="13ADC2F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4FD2B86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65D6BC24">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2E081E93">
            <w:pPr>
              <w:adjustRightInd/>
              <w:snapToGrid/>
              <w:spacing w:line="240" w:lineRule="auto"/>
              <w:ind w:firstLine="0" w:firstLineChars="0"/>
              <w:jc w:val="center"/>
              <w:rPr>
                <w:rFonts w:cs="宋体"/>
                <w:color w:val="auto"/>
                <w:sz w:val="21"/>
                <w:szCs w:val="20"/>
              </w:rPr>
            </w:pPr>
          </w:p>
        </w:tc>
      </w:tr>
      <w:tr w14:paraId="6EF09C2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1DB955D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C5BF52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tcBorders>
              <w:tl2br w:val="nil"/>
              <w:tr2bl w:val="nil"/>
            </w:tcBorders>
            <w:vAlign w:val="center"/>
          </w:tcPr>
          <w:p w14:paraId="498D570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3AAD9847">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vAlign w:val="center"/>
          </w:tcPr>
          <w:p w14:paraId="2046DBAA">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37909370">
            <w:pPr>
              <w:adjustRightInd/>
              <w:snapToGrid/>
              <w:spacing w:line="240" w:lineRule="auto"/>
              <w:ind w:firstLine="0" w:firstLineChars="0"/>
              <w:jc w:val="center"/>
              <w:rPr>
                <w:rFonts w:cs="宋体"/>
                <w:color w:val="auto"/>
                <w:sz w:val="21"/>
                <w:szCs w:val="20"/>
              </w:rPr>
            </w:pPr>
          </w:p>
        </w:tc>
      </w:tr>
      <w:tr w14:paraId="729B15E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1C5231A0">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071DF15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滤毒罐</w:t>
            </w:r>
          </w:p>
        </w:tc>
        <w:tc>
          <w:tcPr>
            <w:tcW w:w="899" w:type="pct"/>
            <w:tcBorders>
              <w:tl2br w:val="nil"/>
              <w:tr2bl w:val="nil"/>
            </w:tcBorders>
            <w:vAlign w:val="center"/>
          </w:tcPr>
          <w:p w14:paraId="24042FB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P-K-3</w:t>
            </w:r>
          </w:p>
        </w:tc>
        <w:tc>
          <w:tcPr>
            <w:tcW w:w="545" w:type="pct"/>
            <w:tcBorders>
              <w:tl2br w:val="nil"/>
              <w:tr2bl w:val="nil"/>
            </w:tcBorders>
            <w:vAlign w:val="center"/>
          </w:tcPr>
          <w:p w14:paraId="50F70BBA">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restart"/>
            <w:tcBorders>
              <w:tl2br w:val="nil"/>
              <w:tr2bl w:val="nil"/>
            </w:tcBorders>
            <w:vAlign w:val="center"/>
          </w:tcPr>
          <w:p w14:paraId="1585AFD1">
            <w:pPr>
              <w:widowControl/>
              <w:adjustRightInd/>
              <w:snapToGrid/>
              <w:spacing w:line="240" w:lineRule="auto"/>
              <w:ind w:firstLine="0" w:firstLineChars="0"/>
              <w:jc w:val="center"/>
              <w:textAlignment w:val="center"/>
              <w:rPr>
                <w:rFonts w:cs="宋体"/>
                <w:color w:val="auto"/>
                <w:kern w:val="0"/>
                <w:sz w:val="21"/>
                <w:szCs w:val="22"/>
                <w:lang w:bidi="ar"/>
              </w:rPr>
            </w:pPr>
            <w:r>
              <w:rPr>
                <w:rFonts w:hint="eastAsia" w:cs="宋体"/>
                <w:color w:val="auto"/>
                <w:kern w:val="0"/>
                <w:sz w:val="21"/>
                <w:szCs w:val="22"/>
                <w:lang w:bidi="ar"/>
              </w:rPr>
              <w:t>安全防护</w:t>
            </w:r>
          </w:p>
        </w:tc>
        <w:tc>
          <w:tcPr>
            <w:tcW w:w="979" w:type="pct"/>
            <w:vMerge w:val="restart"/>
            <w:tcBorders>
              <w:tl2br w:val="nil"/>
              <w:tr2bl w:val="nil"/>
            </w:tcBorders>
            <w:vAlign w:val="center"/>
          </w:tcPr>
          <w:p w14:paraId="403F1BD2">
            <w:pPr>
              <w:adjustRightInd/>
              <w:snapToGrid/>
              <w:spacing w:line="240" w:lineRule="auto"/>
              <w:ind w:firstLine="0" w:firstLineChars="0"/>
              <w:jc w:val="center"/>
              <w:rPr>
                <w:rFonts w:cs="宋体"/>
                <w:color w:val="auto"/>
                <w:sz w:val="21"/>
                <w:szCs w:val="20"/>
              </w:rPr>
            </w:pPr>
            <w:r>
              <w:rPr>
                <w:rFonts w:hint="eastAsia" w:cs="宋体"/>
                <w:color w:val="auto"/>
                <w:sz w:val="21"/>
                <w:szCs w:val="20"/>
              </w:rPr>
              <w:t>环保二车间1-3层各一组</w:t>
            </w:r>
          </w:p>
        </w:tc>
      </w:tr>
      <w:tr w14:paraId="69A95E9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66D6596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742D026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防毒面具</w:t>
            </w:r>
          </w:p>
        </w:tc>
        <w:tc>
          <w:tcPr>
            <w:tcW w:w="899" w:type="pct"/>
            <w:tcBorders>
              <w:tl2br w:val="nil"/>
              <w:tr2bl w:val="nil"/>
            </w:tcBorders>
            <w:vAlign w:val="center"/>
          </w:tcPr>
          <w:p w14:paraId="684405E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349E3BA6">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4957B6E8">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20775E9F">
            <w:pPr>
              <w:adjustRightInd/>
              <w:snapToGrid/>
              <w:spacing w:line="240" w:lineRule="auto"/>
              <w:ind w:firstLine="0" w:firstLineChars="0"/>
              <w:jc w:val="center"/>
              <w:rPr>
                <w:rFonts w:cs="宋体"/>
                <w:color w:val="auto"/>
                <w:sz w:val="21"/>
                <w:szCs w:val="20"/>
              </w:rPr>
            </w:pPr>
          </w:p>
        </w:tc>
      </w:tr>
      <w:tr w14:paraId="4503D16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5FCB0C1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6977E41">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过滤式消防自救呼吸器</w:t>
            </w:r>
          </w:p>
        </w:tc>
        <w:tc>
          <w:tcPr>
            <w:tcW w:w="899" w:type="pct"/>
            <w:tcBorders>
              <w:tl2br w:val="nil"/>
              <w:tr2bl w:val="nil"/>
            </w:tcBorders>
            <w:vAlign w:val="center"/>
          </w:tcPr>
          <w:p w14:paraId="10B1BA8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TZL 30</w:t>
            </w:r>
          </w:p>
        </w:tc>
        <w:tc>
          <w:tcPr>
            <w:tcW w:w="545" w:type="pct"/>
            <w:tcBorders>
              <w:tl2br w:val="nil"/>
              <w:tr2bl w:val="nil"/>
            </w:tcBorders>
            <w:vAlign w:val="center"/>
          </w:tcPr>
          <w:p w14:paraId="7BFBC18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2433557C">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4C7EEDE6">
            <w:pPr>
              <w:adjustRightInd/>
              <w:snapToGrid/>
              <w:spacing w:line="240" w:lineRule="auto"/>
              <w:ind w:firstLine="0" w:firstLineChars="0"/>
              <w:jc w:val="center"/>
              <w:rPr>
                <w:rFonts w:cs="宋体"/>
                <w:color w:val="auto"/>
                <w:sz w:val="21"/>
                <w:szCs w:val="20"/>
              </w:rPr>
            </w:pPr>
          </w:p>
        </w:tc>
      </w:tr>
      <w:tr w14:paraId="5B8A3C1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4EDFEAF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C94B23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防护眼镜</w:t>
            </w:r>
          </w:p>
        </w:tc>
        <w:tc>
          <w:tcPr>
            <w:tcW w:w="899" w:type="pct"/>
            <w:tcBorders>
              <w:tl2br w:val="nil"/>
              <w:tr2bl w:val="nil"/>
            </w:tcBorders>
            <w:vAlign w:val="center"/>
          </w:tcPr>
          <w:p w14:paraId="20838FF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63F52F5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1副</w:t>
            </w:r>
          </w:p>
        </w:tc>
        <w:tc>
          <w:tcPr>
            <w:tcW w:w="958" w:type="pct"/>
            <w:vMerge w:val="continue"/>
            <w:tcBorders>
              <w:tl2br w:val="nil"/>
              <w:tr2bl w:val="nil"/>
            </w:tcBorders>
            <w:vAlign w:val="center"/>
          </w:tcPr>
          <w:p w14:paraId="75EE5D74">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78E64D59">
            <w:pPr>
              <w:adjustRightInd/>
              <w:snapToGrid/>
              <w:spacing w:line="240" w:lineRule="auto"/>
              <w:ind w:firstLine="0" w:firstLineChars="0"/>
              <w:jc w:val="center"/>
              <w:rPr>
                <w:rFonts w:cs="宋体"/>
                <w:color w:val="auto"/>
                <w:sz w:val="21"/>
                <w:szCs w:val="20"/>
              </w:rPr>
            </w:pPr>
          </w:p>
        </w:tc>
      </w:tr>
      <w:tr w14:paraId="43BC2CF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441ACA8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48910B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乳胶手套</w:t>
            </w:r>
          </w:p>
        </w:tc>
        <w:tc>
          <w:tcPr>
            <w:tcW w:w="899" w:type="pct"/>
            <w:tcBorders>
              <w:tl2br w:val="nil"/>
              <w:tr2bl w:val="nil"/>
            </w:tcBorders>
            <w:vAlign w:val="center"/>
          </w:tcPr>
          <w:p w14:paraId="54942D3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74A6D0CF">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08BDCEC3">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2CDBBCBC">
            <w:pPr>
              <w:adjustRightInd/>
              <w:snapToGrid/>
              <w:spacing w:line="240" w:lineRule="auto"/>
              <w:ind w:firstLine="0" w:firstLineChars="0"/>
              <w:jc w:val="center"/>
              <w:rPr>
                <w:rFonts w:cs="宋体"/>
                <w:color w:val="auto"/>
                <w:sz w:val="21"/>
                <w:szCs w:val="20"/>
              </w:rPr>
            </w:pPr>
          </w:p>
        </w:tc>
      </w:tr>
      <w:tr w14:paraId="2F796FC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55D2F7C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3C6A2F5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饭带</w:t>
            </w:r>
          </w:p>
        </w:tc>
        <w:tc>
          <w:tcPr>
            <w:tcW w:w="899" w:type="pct"/>
            <w:tcBorders>
              <w:tl2br w:val="nil"/>
              <w:tr2bl w:val="nil"/>
            </w:tcBorders>
            <w:vAlign w:val="center"/>
          </w:tcPr>
          <w:p w14:paraId="24CBD6D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309B0BD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2只</w:t>
            </w:r>
          </w:p>
        </w:tc>
        <w:tc>
          <w:tcPr>
            <w:tcW w:w="958" w:type="pct"/>
            <w:vMerge w:val="continue"/>
            <w:tcBorders>
              <w:tl2br w:val="nil"/>
              <w:tr2bl w:val="nil"/>
            </w:tcBorders>
            <w:vAlign w:val="center"/>
          </w:tcPr>
          <w:p w14:paraId="1095EE9C">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5EC54A4D">
            <w:pPr>
              <w:adjustRightInd/>
              <w:snapToGrid/>
              <w:spacing w:line="240" w:lineRule="auto"/>
              <w:ind w:firstLine="0" w:firstLineChars="0"/>
              <w:jc w:val="center"/>
              <w:rPr>
                <w:rFonts w:cs="宋体"/>
                <w:color w:val="auto"/>
                <w:sz w:val="21"/>
                <w:szCs w:val="20"/>
              </w:rPr>
            </w:pPr>
          </w:p>
        </w:tc>
      </w:tr>
      <w:tr w14:paraId="7AC6750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121B693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821BCB5">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套袖</w:t>
            </w:r>
          </w:p>
        </w:tc>
        <w:tc>
          <w:tcPr>
            <w:tcW w:w="899" w:type="pct"/>
            <w:tcBorders>
              <w:tl2br w:val="nil"/>
              <w:tr2bl w:val="nil"/>
            </w:tcBorders>
            <w:vAlign w:val="center"/>
          </w:tcPr>
          <w:p w14:paraId="4587A7F8">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51B9B26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2副</w:t>
            </w:r>
          </w:p>
        </w:tc>
        <w:tc>
          <w:tcPr>
            <w:tcW w:w="958" w:type="pct"/>
            <w:vMerge w:val="continue"/>
            <w:tcBorders>
              <w:tl2br w:val="nil"/>
              <w:tr2bl w:val="nil"/>
            </w:tcBorders>
            <w:vAlign w:val="center"/>
          </w:tcPr>
          <w:p w14:paraId="1C50ADB3">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19032E3B">
            <w:pPr>
              <w:adjustRightInd/>
              <w:snapToGrid/>
              <w:spacing w:line="240" w:lineRule="auto"/>
              <w:ind w:firstLine="0" w:firstLineChars="0"/>
              <w:jc w:val="center"/>
              <w:rPr>
                <w:rFonts w:cs="宋体"/>
                <w:color w:val="auto"/>
                <w:sz w:val="21"/>
                <w:szCs w:val="20"/>
              </w:rPr>
            </w:pPr>
          </w:p>
        </w:tc>
      </w:tr>
      <w:tr w14:paraId="6E64C95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jc w:val="center"/>
        </w:trPr>
        <w:tc>
          <w:tcPr>
            <w:tcW w:w="347" w:type="pct"/>
            <w:tcBorders>
              <w:tl2br w:val="nil"/>
              <w:tr2bl w:val="nil"/>
            </w:tcBorders>
            <w:vAlign w:val="center"/>
          </w:tcPr>
          <w:p w14:paraId="30927437">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1102CDC">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消防胶靴</w:t>
            </w:r>
          </w:p>
        </w:tc>
        <w:tc>
          <w:tcPr>
            <w:tcW w:w="899" w:type="pct"/>
            <w:tcBorders>
              <w:tl2br w:val="nil"/>
              <w:tr2bl w:val="nil"/>
            </w:tcBorders>
            <w:vAlign w:val="center"/>
          </w:tcPr>
          <w:p w14:paraId="0300D612">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w:t>
            </w:r>
          </w:p>
        </w:tc>
        <w:tc>
          <w:tcPr>
            <w:tcW w:w="545" w:type="pct"/>
            <w:tcBorders>
              <w:tl2br w:val="nil"/>
              <w:tr2bl w:val="nil"/>
            </w:tcBorders>
            <w:vAlign w:val="center"/>
          </w:tcPr>
          <w:p w14:paraId="6E198173">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1双</w:t>
            </w:r>
          </w:p>
        </w:tc>
        <w:tc>
          <w:tcPr>
            <w:tcW w:w="958" w:type="pct"/>
            <w:vMerge w:val="continue"/>
            <w:tcBorders>
              <w:tl2br w:val="nil"/>
              <w:tr2bl w:val="nil"/>
            </w:tcBorders>
            <w:vAlign w:val="center"/>
          </w:tcPr>
          <w:p w14:paraId="27704490">
            <w:pPr>
              <w:widowControl/>
              <w:adjustRightInd/>
              <w:snapToGrid/>
              <w:spacing w:line="240" w:lineRule="auto"/>
              <w:ind w:firstLine="0" w:firstLineChars="0"/>
              <w:jc w:val="center"/>
              <w:textAlignment w:val="center"/>
              <w:rPr>
                <w:rFonts w:cs="宋体"/>
                <w:color w:val="auto"/>
                <w:kern w:val="0"/>
                <w:sz w:val="21"/>
                <w:szCs w:val="22"/>
                <w:lang w:bidi="ar"/>
              </w:rPr>
            </w:pPr>
          </w:p>
        </w:tc>
        <w:tc>
          <w:tcPr>
            <w:tcW w:w="979" w:type="pct"/>
            <w:vMerge w:val="continue"/>
            <w:tcBorders>
              <w:tl2br w:val="nil"/>
              <w:tr2bl w:val="nil"/>
            </w:tcBorders>
            <w:vAlign w:val="center"/>
          </w:tcPr>
          <w:p w14:paraId="13751853">
            <w:pPr>
              <w:adjustRightInd/>
              <w:snapToGrid/>
              <w:spacing w:line="240" w:lineRule="auto"/>
              <w:ind w:firstLine="0" w:firstLineChars="0"/>
              <w:jc w:val="center"/>
              <w:rPr>
                <w:rFonts w:cs="宋体"/>
                <w:color w:val="auto"/>
                <w:sz w:val="21"/>
                <w:szCs w:val="20"/>
              </w:rPr>
            </w:pPr>
          </w:p>
        </w:tc>
      </w:tr>
      <w:tr w14:paraId="112C96F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0" w:hRule="atLeast"/>
          <w:jc w:val="center"/>
        </w:trPr>
        <w:tc>
          <w:tcPr>
            <w:tcW w:w="347" w:type="pct"/>
            <w:tcBorders>
              <w:tl2br w:val="nil"/>
              <w:tr2bl w:val="nil"/>
            </w:tcBorders>
            <w:vAlign w:val="center"/>
          </w:tcPr>
          <w:p w14:paraId="671B3C11">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1093E3D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便携式气体检测仪</w:t>
            </w:r>
          </w:p>
        </w:tc>
        <w:tc>
          <w:tcPr>
            <w:tcW w:w="899" w:type="pct"/>
            <w:tcBorders>
              <w:tl2br w:val="nil"/>
              <w:tr2bl w:val="nil"/>
            </w:tcBorders>
            <w:vAlign w:val="center"/>
          </w:tcPr>
          <w:p w14:paraId="6D20E39B">
            <w:pPr>
              <w:widowControl/>
              <w:adjustRightInd/>
              <w:snapToGrid/>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氨</w:t>
            </w:r>
          </w:p>
        </w:tc>
        <w:tc>
          <w:tcPr>
            <w:tcW w:w="545" w:type="pct"/>
            <w:tcBorders>
              <w:tl2br w:val="nil"/>
              <w:tr2bl w:val="nil"/>
            </w:tcBorders>
            <w:vAlign w:val="center"/>
          </w:tcPr>
          <w:p w14:paraId="67A37034">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68E0689E">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环境监测</w:t>
            </w:r>
          </w:p>
        </w:tc>
        <w:tc>
          <w:tcPr>
            <w:tcW w:w="979" w:type="pct"/>
            <w:tcBorders>
              <w:tl2br w:val="nil"/>
              <w:tr2bl w:val="nil"/>
            </w:tcBorders>
            <w:vAlign w:val="center"/>
          </w:tcPr>
          <w:p w14:paraId="08D8A83D">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氨水配置区应急柜</w:t>
            </w:r>
          </w:p>
        </w:tc>
      </w:tr>
      <w:tr w14:paraId="06B60B1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jc w:val="center"/>
        </w:trPr>
        <w:tc>
          <w:tcPr>
            <w:tcW w:w="347" w:type="pct"/>
            <w:tcBorders>
              <w:tl2br w:val="nil"/>
              <w:tr2bl w:val="nil"/>
            </w:tcBorders>
            <w:vAlign w:val="center"/>
          </w:tcPr>
          <w:p w14:paraId="12695D54">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398E2A35">
            <w:pPr>
              <w:adjustRightInd/>
              <w:snapToGrid/>
              <w:spacing w:line="240" w:lineRule="auto"/>
              <w:ind w:firstLine="0" w:firstLineChars="0"/>
              <w:jc w:val="center"/>
              <w:rPr>
                <w:rFonts w:cs="宋体"/>
                <w:color w:val="auto"/>
                <w:sz w:val="21"/>
                <w:szCs w:val="20"/>
              </w:rPr>
            </w:pPr>
          </w:p>
        </w:tc>
        <w:tc>
          <w:tcPr>
            <w:tcW w:w="899" w:type="pct"/>
            <w:tcBorders>
              <w:tl2br w:val="nil"/>
              <w:tr2bl w:val="nil"/>
            </w:tcBorders>
            <w:vAlign w:val="center"/>
          </w:tcPr>
          <w:p w14:paraId="508284A6">
            <w:pPr>
              <w:widowControl/>
              <w:adjustRightInd/>
              <w:snapToGrid/>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氨</w:t>
            </w:r>
          </w:p>
        </w:tc>
        <w:tc>
          <w:tcPr>
            <w:tcW w:w="545" w:type="pct"/>
            <w:tcBorders>
              <w:tl2br w:val="nil"/>
              <w:tr2bl w:val="nil"/>
            </w:tcBorders>
            <w:vAlign w:val="center"/>
          </w:tcPr>
          <w:p w14:paraId="27F5BF2C">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668241AE">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环境监测</w:t>
            </w:r>
          </w:p>
        </w:tc>
        <w:tc>
          <w:tcPr>
            <w:tcW w:w="979" w:type="pct"/>
            <w:tcBorders>
              <w:tl2br w:val="nil"/>
              <w:tr2bl w:val="nil"/>
            </w:tcBorders>
            <w:vAlign w:val="center"/>
          </w:tcPr>
          <w:p w14:paraId="2E0BB05B">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氨水配置区应急柜</w:t>
            </w:r>
          </w:p>
        </w:tc>
      </w:tr>
      <w:tr w14:paraId="057561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4" w:hRule="atLeast"/>
          <w:jc w:val="center"/>
        </w:trPr>
        <w:tc>
          <w:tcPr>
            <w:tcW w:w="347" w:type="pct"/>
            <w:tcBorders>
              <w:tl2br w:val="nil"/>
              <w:tr2bl w:val="nil"/>
            </w:tcBorders>
            <w:vAlign w:val="center"/>
          </w:tcPr>
          <w:p w14:paraId="0891B97A">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restart"/>
            <w:tcBorders>
              <w:tl2br w:val="nil"/>
              <w:tr2bl w:val="nil"/>
            </w:tcBorders>
            <w:vAlign w:val="center"/>
          </w:tcPr>
          <w:p w14:paraId="4BCEFA54">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便携式四合一气体检测仪</w:t>
            </w:r>
          </w:p>
        </w:tc>
        <w:tc>
          <w:tcPr>
            <w:tcW w:w="899" w:type="pct"/>
            <w:tcBorders>
              <w:tl2br w:val="nil"/>
              <w:tr2bl w:val="nil"/>
            </w:tcBorders>
            <w:vAlign w:val="center"/>
          </w:tcPr>
          <w:p w14:paraId="3B6AF2DD">
            <w:pPr>
              <w:widowControl/>
              <w:adjustRightInd/>
              <w:snapToGrid/>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氧气、氯化氢、氮氧化物、二氧化硫</w:t>
            </w:r>
          </w:p>
        </w:tc>
        <w:tc>
          <w:tcPr>
            <w:tcW w:w="545" w:type="pct"/>
            <w:tcBorders>
              <w:tl2br w:val="nil"/>
              <w:tr2bl w:val="nil"/>
            </w:tcBorders>
            <w:vAlign w:val="center"/>
          </w:tcPr>
          <w:p w14:paraId="14D56AF0">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26D5674E">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环境监测</w:t>
            </w:r>
          </w:p>
        </w:tc>
        <w:tc>
          <w:tcPr>
            <w:tcW w:w="979" w:type="pct"/>
            <w:tcBorders>
              <w:tl2br w:val="nil"/>
              <w:tr2bl w:val="nil"/>
            </w:tcBorders>
            <w:vAlign w:val="center"/>
          </w:tcPr>
          <w:p w14:paraId="4F1CAE99">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微型消防站</w:t>
            </w:r>
          </w:p>
        </w:tc>
      </w:tr>
      <w:tr w14:paraId="5750295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4" w:hRule="atLeast"/>
          <w:jc w:val="center"/>
        </w:trPr>
        <w:tc>
          <w:tcPr>
            <w:tcW w:w="347" w:type="pct"/>
            <w:tcBorders>
              <w:tl2br w:val="nil"/>
              <w:tr2bl w:val="nil"/>
            </w:tcBorders>
            <w:vAlign w:val="center"/>
          </w:tcPr>
          <w:p w14:paraId="3024024E">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vMerge w:val="continue"/>
            <w:tcBorders>
              <w:tl2br w:val="nil"/>
              <w:tr2bl w:val="nil"/>
            </w:tcBorders>
            <w:vAlign w:val="center"/>
          </w:tcPr>
          <w:p w14:paraId="653D3D6F">
            <w:pPr>
              <w:adjustRightInd/>
              <w:snapToGrid/>
              <w:spacing w:line="240" w:lineRule="auto"/>
              <w:ind w:firstLine="0" w:firstLineChars="0"/>
              <w:jc w:val="center"/>
              <w:rPr>
                <w:rFonts w:cs="宋体"/>
                <w:color w:val="auto"/>
                <w:sz w:val="21"/>
                <w:szCs w:val="20"/>
              </w:rPr>
            </w:pPr>
          </w:p>
        </w:tc>
        <w:tc>
          <w:tcPr>
            <w:tcW w:w="899" w:type="pct"/>
            <w:tcBorders>
              <w:tl2br w:val="nil"/>
              <w:tr2bl w:val="nil"/>
            </w:tcBorders>
            <w:vAlign w:val="center"/>
          </w:tcPr>
          <w:p w14:paraId="1C59775B">
            <w:pPr>
              <w:widowControl/>
              <w:adjustRightInd/>
              <w:snapToGrid/>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可燃气体、氧气、一氧化碳、硫化氢</w:t>
            </w:r>
          </w:p>
        </w:tc>
        <w:tc>
          <w:tcPr>
            <w:tcW w:w="545" w:type="pct"/>
            <w:tcBorders>
              <w:tl2br w:val="nil"/>
              <w:tr2bl w:val="nil"/>
            </w:tcBorders>
            <w:vAlign w:val="center"/>
          </w:tcPr>
          <w:p w14:paraId="321F81E8">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390D3C46">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环境监测</w:t>
            </w:r>
          </w:p>
        </w:tc>
        <w:tc>
          <w:tcPr>
            <w:tcW w:w="979" w:type="pct"/>
            <w:tcBorders>
              <w:tl2br w:val="nil"/>
              <w:tr2bl w:val="nil"/>
            </w:tcBorders>
            <w:vAlign w:val="center"/>
          </w:tcPr>
          <w:p w14:paraId="66584600">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微型消防站</w:t>
            </w:r>
          </w:p>
        </w:tc>
      </w:tr>
      <w:tr w14:paraId="00C17B6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6" w:hRule="atLeast"/>
          <w:jc w:val="center"/>
        </w:trPr>
        <w:tc>
          <w:tcPr>
            <w:tcW w:w="347" w:type="pct"/>
            <w:tcBorders>
              <w:tl2br w:val="nil"/>
              <w:tr2bl w:val="nil"/>
            </w:tcBorders>
            <w:vAlign w:val="center"/>
          </w:tcPr>
          <w:p w14:paraId="521DD503">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037DEBD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便携式有毒气体探测器</w:t>
            </w:r>
          </w:p>
        </w:tc>
        <w:tc>
          <w:tcPr>
            <w:tcW w:w="899" w:type="pct"/>
            <w:tcBorders>
              <w:tl2br w:val="nil"/>
              <w:tr2bl w:val="nil"/>
            </w:tcBorders>
            <w:vAlign w:val="center"/>
          </w:tcPr>
          <w:p w14:paraId="75E3F5CD">
            <w:pPr>
              <w:widowControl/>
              <w:adjustRightInd/>
              <w:snapToGrid/>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氨气</w:t>
            </w:r>
          </w:p>
        </w:tc>
        <w:tc>
          <w:tcPr>
            <w:tcW w:w="545" w:type="pct"/>
            <w:tcBorders>
              <w:tl2br w:val="nil"/>
              <w:tr2bl w:val="nil"/>
            </w:tcBorders>
            <w:vAlign w:val="center"/>
          </w:tcPr>
          <w:p w14:paraId="6543DED6">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645E4A8D">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环境监测</w:t>
            </w:r>
          </w:p>
        </w:tc>
        <w:tc>
          <w:tcPr>
            <w:tcW w:w="979" w:type="pct"/>
            <w:tcBorders>
              <w:tl2br w:val="nil"/>
              <w:tr2bl w:val="nil"/>
            </w:tcBorders>
            <w:vAlign w:val="center"/>
          </w:tcPr>
          <w:p w14:paraId="1EF0BD9E">
            <w:pPr>
              <w:widowControl/>
              <w:adjustRightInd/>
              <w:snapToGrid/>
              <w:spacing w:line="240" w:lineRule="auto"/>
              <w:ind w:firstLine="0" w:firstLineChars="0"/>
              <w:jc w:val="center"/>
              <w:textAlignment w:val="center"/>
              <w:rPr>
                <w:rFonts w:cs="宋体"/>
                <w:color w:val="auto"/>
                <w:sz w:val="21"/>
                <w:szCs w:val="20"/>
              </w:rPr>
            </w:pPr>
            <w:r>
              <w:rPr>
                <w:rFonts w:hint="eastAsia" w:cs="宋体"/>
                <w:color w:val="auto"/>
                <w:kern w:val="0"/>
                <w:sz w:val="21"/>
                <w:szCs w:val="20"/>
                <w:lang w:bidi="ar"/>
              </w:rPr>
              <w:t>微型消防站</w:t>
            </w:r>
          </w:p>
        </w:tc>
      </w:tr>
      <w:tr w14:paraId="329D9E1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7B513E3C">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1615B81A">
            <w:pPr>
              <w:widowControl/>
              <w:adjustRightInd/>
              <w:snapToGrid/>
              <w:spacing w:line="240" w:lineRule="auto"/>
              <w:ind w:firstLine="0" w:firstLineChars="0"/>
              <w:jc w:val="center"/>
              <w:textAlignment w:val="top"/>
              <w:rPr>
                <w:rFonts w:cs="宋体"/>
                <w:color w:val="auto"/>
                <w:sz w:val="21"/>
                <w:szCs w:val="20"/>
              </w:rPr>
            </w:pPr>
            <w:r>
              <w:rPr>
                <w:rFonts w:hint="eastAsia" w:cs="宋体"/>
                <w:color w:val="auto"/>
                <w:kern w:val="0"/>
                <w:sz w:val="21"/>
                <w:szCs w:val="20"/>
                <w:lang w:bidi="ar"/>
              </w:rPr>
              <w:t>沙袋</w:t>
            </w:r>
          </w:p>
        </w:tc>
        <w:tc>
          <w:tcPr>
            <w:tcW w:w="899" w:type="pct"/>
            <w:tcBorders>
              <w:tl2br w:val="nil"/>
              <w:tr2bl w:val="nil"/>
            </w:tcBorders>
            <w:vAlign w:val="center"/>
          </w:tcPr>
          <w:p w14:paraId="15CAB535">
            <w:pPr>
              <w:adjustRightInd/>
              <w:snapToGrid/>
              <w:spacing w:line="240" w:lineRule="auto"/>
              <w:ind w:firstLine="0" w:firstLineChars="0"/>
              <w:jc w:val="center"/>
              <w:rPr>
                <w:rFonts w:cs="宋体"/>
                <w:color w:val="auto"/>
                <w:sz w:val="21"/>
                <w:szCs w:val="21"/>
              </w:rPr>
            </w:pPr>
          </w:p>
        </w:tc>
        <w:tc>
          <w:tcPr>
            <w:tcW w:w="545" w:type="pct"/>
            <w:tcBorders>
              <w:tl2br w:val="nil"/>
              <w:tr2bl w:val="nil"/>
            </w:tcBorders>
            <w:vAlign w:val="center"/>
          </w:tcPr>
          <w:p w14:paraId="1B5E49D1">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1000袋</w:t>
            </w:r>
          </w:p>
        </w:tc>
        <w:tc>
          <w:tcPr>
            <w:tcW w:w="958" w:type="pct"/>
            <w:tcBorders>
              <w:tl2br w:val="nil"/>
              <w:tr2bl w:val="nil"/>
            </w:tcBorders>
            <w:noWrap/>
            <w:vAlign w:val="center"/>
          </w:tcPr>
          <w:p w14:paraId="68B8BC9A">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污染源切断</w:t>
            </w:r>
          </w:p>
        </w:tc>
        <w:tc>
          <w:tcPr>
            <w:tcW w:w="979" w:type="pct"/>
            <w:tcBorders>
              <w:tl2br w:val="nil"/>
              <w:tr2bl w:val="nil"/>
            </w:tcBorders>
            <w:vAlign w:val="center"/>
          </w:tcPr>
          <w:p w14:paraId="2F380D7F">
            <w:pPr>
              <w:widowControl/>
              <w:adjustRightInd/>
              <w:snapToGrid/>
              <w:spacing w:line="240" w:lineRule="auto"/>
              <w:ind w:firstLine="0" w:firstLineChars="0"/>
              <w:jc w:val="center"/>
              <w:textAlignment w:val="top"/>
              <w:rPr>
                <w:rFonts w:cs="宋体"/>
                <w:color w:val="auto"/>
                <w:sz w:val="21"/>
                <w:szCs w:val="21"/>
              </w:rPr>
            </w:pPr>
            <w:r>
              <w:rPr>
                <w:rFonts w:hint="eastAsia" w:cs="宋体"/>
                <w:color w:val="auto"/>
                <w:kern w:val="0"/>
                <w:sz w:val="21"/>
                <w:szCs w:val="21"/>
                <w:lang w:bidi="ar"/>
              </w:rPr>
              <w:t>乙酰丙酮场地</w:t>
            </w:r>
          </w:p>
        </w:tc>
      </w:tr>
      <w:tr w14:paraId="68B1EAD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027D80A8">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510DE816">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排放池</w:t>
            </w:r>
          </w:p>
        </w:tc>
        <w:tc>
          <w:tcPr>
            <w:tcW w:w="899" w:type="pct"/>
            <w:tcBorders>
              <w:tl2br w:val="nil"/>
              <w:tr2bl w:val="nil"/>
            </w:tcBorders>
            <w:vAlign w:val="center"/>
          </w:tcPr>
          <w:p w14:paraId="182DF9C7">
            <w:pPr>
              <w:widowControl/>
              <w:adjustRightInd/>
              <w:snapToGrid/>
              <w:spacing w:line="240" w:lineRule="auto"/>
              <w:ind w:firstLine="0" w:firstLineChars="0"/>
              <w:jc w:val="center"/>
              <w:textAlignment w:val="center"/>
              <w:rPr>
                <w:color w:val="auto"/>
                <w:sz w:val="21"/>
                <w:szCs w:val="21"/>
              </w:rPr>
            </w:pPr>
            <w:r>
              <w:rPr>
                <w:color w:val="auto"/>
                <w:kern w:val="0"/>
                <w:sz w:val="21"/>
                <w:szCs w:val="21"/>
                <w:lang w:bidi="ar"/>
              </w:rPr>
              <w:t>600m</w:t>
            </w:r>
            <w:r>
              <w:rPr>
                <w:color w:val="auto"/>
                <w:kern w:val="0"/>
                <w:sz w:val="21"/>
                <w:szCs w:val="21"/>
                <w:vertAlign w:val="superscript"/>
                <w:lang w:bidi="ar"/>
              </w:rPr>
              <w:t>3</w:t>
            </w:r>
          </w:p>
        </w:tc>
        <w:tc>
          <w:tcPr>
            <w:tcW w:w="545" w:type="pct"/>
            <w:tcBorders>
              <w:tl2br w:val="nil"/>
              <w:tr2bl w:val="nil"/>
            </w:tcBorders>
            <w:vAlign w:val="center"/>
          </w:tcPr>
          <w:p w14:paraId="72124CE0">
            <w:pPr>
              <w:widowControl/>
              <w:adjustRightInd/>
              <w:snapToGrid/>
              <w:spacing w:line="240" w:lineRule="auto"/>
              <w:ind w:firstLine="0" w:firstLineChars="0"/>
              <w:jc w:val="center"/>
              <w:textAlignment w:val="center"/>
              <w:rPr>
                <w:color w:val="auto"/>
                <w:sz w:val="21"/>
                <w:szCs w:val="21"/>
              </w:rPr>
            </w:pPr>
            <w:r>
              <w:rPr>
                <w:color w:val="auto"/>
                <w:kern w:val="0"/>
                <w:sz w:val="21"/>
                <w:szCs w:val="21"/>
                <w:lang w:bidi="ar"/>
              </w:rPr>
              <w:t>1</w:t>
            </w:r>
          </w:p>
        </w:tc>
        <w:tc>
          <w:tcPr>
            <w:tcW w:w="958" w:type="pct"/>
            <w:tcBorders>
              <w:tl2br w:val="nil"/>
              <w:tr2bl w:val="nil"/>
            </w:tcBorders>
            <w:noWrap/>
            <w:vAlign w:val="center"/>
          </w:tcPr>
          <w:p w14:paraId="7A98097E">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79" w:type="pct"/>
            <w:tcBorders>
              <w:tl2br w:val="nil"/>
              <w:tr2bl w:val="nil"/>
            </w:tcBorders>
            <w:vAlign w:val="center"/>
          </w:tcPr>
          <w:p w14:paraId="086E7A9A">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环保车间</w:t>
            </w:r>
          </w:p>
        </w:tc>
      </w:tr>
      <w:tr w14:paraId="07DD065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03B85E85">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710ED8C9">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废水收集槽</w:t>
            </w:r>
          </w:p>
        </w:tc>
        <w:tc>
          <w:tcPr>
            <w:tcW w:w="899" w:type="pct"/>
            <w:tcBorders>
              <w:tl2br w:val="nil"/>
              <w:tr2bl w:val="nil"/>
            </w:tcBorders>
            <w:vAlign w:val="center"/>
          </w:tcPr>
          <w:p w14:paraId="615D6E6B">
            <w:pPr>
              <w:widowControl/>
              <w:adjustRightInd/>
              <w:snapToGrid/>
              <w:spacing w:line="240" w:lineRule="auto"/>
              <w:ind w:firstLine="0" w:firstLineChars="0"/>
              <w:jc w:val="center"/>
              <w:textAlignment w:val="center"/>
              <w:rPr>
                <w:color w:val="auto"/>
                <w:sz w:val="21"/>
                <w:szCs w:val="21"/>
              </w:rPr>
            </w:pPr>
            <w:r>
              <w:rPr>
                <w:color w:val="auto"/>
                <w:kern w:val="0"/>
                <w:sz w:val="21"/>
                <w:szCs w:val="21"/>
                <w:lang w:bidi="ar"/>
              </w:rPr>
              <w:t>5m</w:t>
            </w:r>
            <w:r>
              <w:rPr>
                <w:color w:val="auto"/>
                <w:kern w:val="0"/>
                <w:sz w:val="21"/>
                <w:szCs w:val="21"/>
                <w:vertAlign w:val="superscript"/>
                <w:lang w:bidi="ar"/>
              </w:rPr>
              <w:t>3</w:t>
            </w:r>
          </w:p>
        </w:tc>
        <w:tc>
          <w:tcPr>
            <w:tcW w:w="545" w:type="pct"/>
            <w:tcBorders>
              <w:tl2br w:val="nil"/>
              <w:tr2bl w:val="nil"/>
            </w:tcBorders>
            <w:vAlign w:val="center"/>
          </w:tcPr>
          <w:p w14:paraId="5FD4D838">
            <w:pPr>
              <w:widowControl/>
              <w:adjustRightInd/>
              <w:snapToGrid/>
              <w:spacing w:line="240" w:lineRule="auto"/>
              <w:ind w:firstLine="0" w:firstLineChars="0"/>
              <w:jc w:val="center"/>
              <w:textAlignment w:val="center"/>
              <w:rPr>
                <w:color w:val="auto"/>
                <w:sz w:val="21"/>
                <w:szCs w:val="21"/>
              </w:rPr>
            </w:pPr>
            <w:r>
              <w:rPr>
                <w:color w:val="auto"/>
                <w:kern w:val="0"/>
                <w:sz w:val="21"/>
                <w:szCs w:val="21"/>
                <w:lang w:bidi="ar"/>
              </w:rPr>
              <w:t>1</w:t>
            </w:r>
          </w:p>
        </w:tc>
        <w:tc>
          <w:tcPr>
            <w:tcW w:w="958" w:type="pct"/>
            <w:tcBorders>
              <w:tl2br w:val="nil"/>
              <w:tr2bl w:val="nil"/>
            </w:tcBorders>
            <w:noWrap/>
            <w:vAlign w:val="center"/>
          </w:tcPr>
          <w:p w14:paraId="0EAD884A">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79" w:type="pct"/>
            <w:tcBorders>
              <w:tl2br w:val="nil"/>
              <w:tr2bl w:val="nil"/>
            </w:tcBorders>
            <w:vAlign w:val="center"/>
          </w:tcPr>
          <w:p w14:paraId="1D31383E">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各车间</w:t>
            </w:r>
          </w:p>
        </w:tc>
      </w:tr>
      <w:tr w14:paraId="195B37A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8" w:hRule="atLeast"/>
          <w:jc w:val="center"/>
        </w:trPr>
        <w:tc>
          <w:tcPr>
            <w:tcW w:w="347" w:type="pct"/>
            <w:tcBorders>
              <w:tl2br w:val="nil"/>
              <w:tr2bl w:val="nil"/>
            </w:tcBorders>
            <w:vAlign w:val="center"/>
          </w:tcPr>
          <w:p w14:paraId="6DCD2EF2">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04D1DE2F">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初期雨水池</w:t>
            </w:r>
          </w:p>
        </w:tc>
        <w:tc>
          <w:tcPr>
            <w:tcW w:w="899" w:type="pct"/>
            <w:tcBorders>
              <w:tl2br w:val="nil"/>
              <w:tr2bl w:val="nil"/>
            </w:tcBorders>
            <w:vAlign w:val="center"/>
          </w:tcPr>
          <w:p w14:paraId="769F0DA6">
            <w:pPr>
              <w:widowControl/>
              <w:adjustRightInd/>
              <w:snapToGrid/>
              <w:spacing w:line="240" w:lineRule="auto"/>
              <w:ind w:firstLine="0" w:firstLineChars="0"/>
              <w:jc w:val="center"/>
              <w:textAlignment w:val="center"/>
              <w:rPr>
                <w:color w:val="auto"/>
                <w:sz w:val="21"/>
                <w:szCs w:val="21"/>
              </w:rPr>
            </w:pPr>
            <w:r>
              <w:rPr>
                <w:color w:val="auto"/>
                <w:kern w:val="0"/>
                <w:sz w:val="21"/>
                <w:szCs w:val="21"/>
                <w:lang w:bidi="ar"/>
              </w:rPr>
              <w:t>200m</w:t>
            </w:r>
            <w:r>
              <w:rPr>
                <w:color w:val="auto"/>
                <w:kern w:val="0"/>
                <w:sz w:val="21"/>
                <w:szCs w:val="21"/>
                <w:vertAlign w:val="superscript"/>
                <w:lang w:bidi="ar"/>
              </w:rPr>
              <w:t>3</w:t>
            </w:r>
          </w:p>
        </w:tc>
        <w:tc>
          <w:tcPr>
            <w:tcW w:w="545" w:type="pct"/>
            <w:tcBorders>
              <w:tl2br w:val="nil"/>
              <w:tr2bl w:val="nil"/>
            </w:tcBorders>
            <w:vAlign w:val="center"/>
          </w:tcPr>
          <w:p w14:paraId="62E1A9DC">
            <w:pPr>
              <w:widowControl/>
              <w:adjustRightInd/>
              <w:snapToGrid/>
              <w:spacing w:line="240" w:lineRule="auto"/>
              <w:ind w:firstLine="0" w:firstLineChars="0"/>
              <w:jc w:val="center"/>
              <w:textAlignment w:val="center"/>
              <w:rPr>
                <w:color w:val="auto"/>
                <w:sz w:val="21"/>
                <w:szCs w:val="21"/>
              </w:rPr>
            </w:pPr>
            <w:r>
              <w:rPr>
                <w:color w:val="auto"/>
                <w:kern w:val="0"/>
                <w:sz w:val="21"/>
                <w:szCs w:val="21"/>
                <w:lang w:bidi="ar"/>
              </w:rPr>
              <w:t>1</w:t>
            </w:r>
          </w:p>
        </w:tc>
        <w:tc>
          <w:tcPr>
            <w:tcW w:w="958" w:type="pct"/>
            <w:tcBorders>
              <w:tl2br w:val="nil"/>
              <w:tr2bl w:val="nil"/>
            </w:tcBorders>
            <w:noWrap/>
            <w:vAlign w:val="center"/>
          </w:tcPr>
          <w:p w14:paraId="688AF2BB">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79" w:type="pct"/>
            <w:tcBorders>
              <w:tl2br w:val="nil"/>
              <w:tr2bl w:val="nil"/>
            </w:tcBorders>
            <w:vAlign w:val="center"/>
          </w:tcPr>
          <w:p w14:paraId="042BAD0A">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环保车间二东侧</w:t>
            </w:r>
          </w:p>
        </w:tc>
      </w:tr>
      <w:tr w14:paraId="36D21C2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9" w:hRule="atLeast"/>
          <w:jc w:val="center"/>
        </w:trPr>
        <w:tc>
          <w:tcPr>
            <w:tcW w:w="347" w:type="pct"/>
            <w:tcBorders>
              <w:tl2br w:val="nil"/>
              <w:tr2bl w:val="nil"/>
            </w:tcBorders>
            <w:vAlign w:val="center"/>
          </w:tcPr>
          <w:p w14:paraId="0D4E8A5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640C904">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应急池</w:t>
            </w:r>
          </w:p>
        </w:tc>
        <w:tc>
          <w:tcPr>
            <w:tcW w:w="899" w:type="pct"/>
            <w:tcBorders>
              <w:tl2br w:val="nil"/>
              <w:tr2bl w:val="nil"/>
            </w:tcBorders>
            <w:vAlign w:val="center"/>
          </w:tcPr>
          <w:p w14:paraId="5E846AB1">
            <w:pPr>
              <w:widowControl/>
              <w:adjustRightInd/>
              <w:snapToGrid/>
              <w:spacing w:line="240" w:lineRule="auto"/>
              <w:ind w:firstLine="0" w:firstLineChars="0"/>
              <w:jc w:val="center"/>
              <w:textAlignment w:val="center"/>
              <w:rPr>
                <w:color w:val="auto"/>
                <w:sz w:val="21"/>
                <w:szCs w:val="21"/>
              </w:rPr>
            </w:pPr>
            <w:r>
              <w:rPr>
                <w:color w:val="auto"/>
                <w:kern w:val="0"/>
                <w:sz w:val="21"/>
                <w:szCs w:val="21"/>
                <w:lang w:bidi="ar"/>
              </w:rPr>
              <w:t>600m</w:t>
            </w:r>
            <w:r>
              <w:rPr>
                <w:color w:val="auto"/>
                <w:kern w:val="0"/>
                <w:sz w:val="21"/>
                <w:szCs w:val="21"/>
                <w:vertAlign w:val="superscript"/>
                <w:lang w:bidi="ar"/>
              </w:rPr>
              <w:t>3</w:t>
            </w:r>
          </w:p>
        </w:tc>
        <w:tc>
          <w:tcPr>
            <w:tcW w:w="545" w:type="pct"/>
            <w:tcBorders>
              <w:tl2br w:val="nil"/>
              <w:tr2bl w:val="nil"/>
            </w:tcBorders>
            <w:vAlign w:val="center"/>
          </w:tcPr>
          <w:p w14:paraId="5D233590">
            <w:pPr>
              <w:widowControl/>
              <w:adjustRightInd/>
              <w:snapToGrid/>
              <w:spacing w:line="240" w:lineRule="auto"/>
              <w:ind w:firstLine="0" w:firstLineChars="0"/>
              <w:jc w:val="center"/>
              <w:textAlignment w:val="center"/>
              <w:rPr>
                <w:color w:val="auto"/>
                <w:sz w:val="21"/>
                <w:szCs w:val="21"/>
              </w:rPr>
            </w:pPr>
            <w:r>
              <w:rPr>
                <w:color w:val="auto"/>
                <w:kern w:val="0"/>
                <w:sz w:val="21"/>
                <w:szCs w:val="21"/>
                <w:lang w:bidi="ar"/>
              </w:rPr>
              <w:t>1</w:t>
            </w:r>
          </w:p>
        </w:tc>
        <w:tc>
          <w:tcPr>
            <w:tcW w:w="958" w:type="pct"/>
            <w:tcBorders>
              <w:tl2br w:val="nil"/>
              <w:tr2bl w:val="nil"/>
            </w:tcBorders>
            <w:noWrap/>
            <w:vAlign w:val="center"/>
          </w:tcPr>
          <w:p w14:paraId="7B9D72FD">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79" w:type="pct"/>
            <w:tcBorders>
              <w:tl2br w:val="nil"/>
              <w:tr2bl w:val="nil"/>
            </w:tcBorders>
            <w:vAlign w:val="center"/>
          </w:tcPr>
          <w:p w14:paraId="79527B0F">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环保车间二东侧</w:t>
            </w:r>
          </w:p>
        </w:tc>
      </w:tr>
      <w:tr w14:paraId="6D2E9B2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347" w:type="pct"/>
            <w:tcBorders>
              <w:tl2br w:val="nil"/>
              <w:tr2bl w:val="nil"/>
            </w:tcBorders>
            <w:vAlign w:val="center"/>
          </w:tcPr>
          <w:p w14:paraId="65233A0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4ABB54D3">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应急泵</w:t>
            </w:r>
          </w:p>
        </w:tc>
        <w:tc>
          <w:tcPr>
            <w:tcW w:w="899" w:type="pct"/>
            <w:tcBorders>
              <w:tl2br w:val="nil"/>
              <w:tr2bl w:val="nil"/>
            </w:tcBorders>
            <w:vAlign w:val="center"/>
          </w:tcPr>
          <w:p w14:paraId="3C9CD301">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35m扬程</w:t>
            </w:r>
          </w:p>
        </w:tc>
        <w:tc>
          <w:tcPr>
            <w:tcW w:w="545" w:type="pct"/>
            <w:tcBorders>
              <w:tl2br w:val="nil"/>
              <w:tr2bl w:val="nil"/>
            </w:tcBorders>
            <w:vAlign w:val="center"/>
          </w:tcPr>
          <w:p w14:paraId="5C238D12">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2</w:t>
            </w:r>
          </w:p>
        </w:tc>
        <w:tc>
          <w:tcPr>
            <w:tcW w:w="958" w:type="pct"/>
            <w:tcBorders>
              <w:tl2br w:val="nil"/>
              <w:tr2bl w:val="nil"/>
            </w:tcBorders>
            <w:noWrap/>
            <w:vAlign w:val="center"/>
          </w:tcPr>
          <w:p w14:paraId="22FE5DFD">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79" w:type="pct"/>
            <w:tcBorders>
              <w:tl2br w:val="nil"/>
              <w:tr2bl w:val="nil"/>
            </w:tcBorders>
            <w:vAlign w:val="center"/>
          </w:tcPr>
          <w:p w14:paraId="24CDE7B0">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乙酰丙酮场地</w:t>
            </w:r>
          </w:p>
        </w:tc>
      </w:tr>
      <w:tr w14:paraId="46D5149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6" w:hRule="atLeast"/>
          <w:jc w:val="center"/>
        </w:trPr>
        <w:tc>
          <w:tcPr>
            <w:tcW w:w="347" w:type="pct"/>
            <w:tcBorders>
              <w:tl2br w:val="nil"/>
              <w:tr2bl w:val="nil"/>
            </w:tcBorders>
            <w:vAlign w:val="center"/>
          </w:tcPr>
          <w:p w14:paraId="2249E609">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2966BAAC">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泄漏物真空收集泵</w:t>
            </w:r>
          </w:p>
        </w:tc>
        <w:tc>
          <w:tcPr>
            <w:tcW w:w="899" w:type="pct"/>
            <w:tcBorders>
              <w:tl2br w:val="nil"/>
              <w:tr2bl w:val="nil"/>
            </w:tcBorders>
            <w:vAlign w:val="center"/>
          </w:tcPr>
          <w:p w14:paraId="1CAFD120">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w:t>
            </w:r>
          </w:p>
        </w:tc>
        <w:tc>
          <w:tcPr>
            <w:tcW w:w="545" w:type="pct"/>
            <w:tcBorders>
              <w:tl2br w:val="nil"/>
              <w:tr2bl w:val="nil"/>
            </w:tcBorders>
            <w:vAlign w:val="center"/>
          </w:tcPr>
          <w:p w14:paraId="67984E7F">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1</w:t>
            </w:r>
          </w:p>
        </w:tc>
        <w:tc>
          <w:tcPr>
            <w:tcW w:w="958" w:type="pct"/>
            <w:tcBorders>
              <w:tl2br w:val="nil"/>
              <w:tr2bl w:val="nil"/>
            </w:tcBorders>
            <w:noWrap/>
            <w:vAlign w:val="center"/>
          </w:tcPr>
          <w:p w14:paraId="01C855CC">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污染物收集</w:t>
            </w:r>
          </w:p>
        </w:tc>
        <w:tc>
          <w:tcPr>
            <w:tcW w:w="979" w:type="pct"/>
            <w:tcBorders>
              <w:tl2br w:val="nil"/>
              <w:tr2bl w:val="nil"/>
            </w:tcBorders>
            <w:vAlign w:val="center"/>
          </w:tcPr>
          <w:p w14:paraId="4CD6B3FA">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1#车间内（闲置）</w:t>
            </w:r>
          </w:p>
        </w:tc>
      </w:tr>
      <w:tr w14:paraId="349F42C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3" w:hRule="atLeast"/>
          <w:jc w:val="center"/>
        </w:trPr>
        <w:tc>
          <w:tcPr>
            <w:tcW w:w="347" w:type="pct"/>
            <w:tcBorders>
              <w:tl2br w:val="nil"/>
              <w:tr2bl w:val="nil"/>
            </w:tcBorders>
            <w:vAlign w:val="center"/>
          </w:tcPr>
          <w:p w14:paraId="17041B5B">
            <w:pPr>
              <w:widowControl/>
              <w:numPr>
                <w:ilvl w:val="0"/>
                <w:numId w:val="9"/>
              </w:numPr>
              <w:adjustRightInd/>
              <w:snapToGrid/>
              <w:spacing w:line="240" w:lineRule="auto"/>
              <w:ind w:left="0" w:firstLine="0" w:firstLineChars="0"/>
              <w:jc w:val="center"/>
              <w:textAlignment w:val="center"/>
              <w:rPr>
                <w:rFonts w:cs="宋体"/>
                <w:color w:val="auto"/>
                <w:sz w:val="21"/>
                <w:szCs w:val="20"/>
              </w:rPr>
            </w:pPr>
          </w:p>
        </w:tc>
        <w:tc>
          <w:tcPr>
            <w:tcW w:w="1270" w:type="pct"/>
            <w:tcBorders>
              <w:tl2br w:val="nil"/>
              <w:tr2bl w:val="nil"/>
            </w:tcBorders>
            <w:vAlign w:val="center"/>
          </w:tcPr>
          <w:p w14:paraId="76F4FDED">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烧碱</w:t>
            </w:r>
          </w:p>
        </w:tc>
        <w:tc>
          <w:tcPr>
            <w:tcW w:w="899" w:type="pct"/>
            <w:tcBorders>
              <w:tl2br w:val="nil"/>
              <w:tr2bl w:val="nil"/>
            </w:tcBorders>
            <w:vAlign w:val="center"/>
          </w:tcPr>
          <w:p w14:paraId="02451AB4">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32%</w:t>
            </w:r>
          </w:p>
        </w:tc>
        <w:tc>
          <w:tcPr>
            <w:tcW w:w="545" w:type="pct"/>
            <w:tcBorders>
              <w:tl2br w:val="nil"/>
              <w:tr2bl w:val="nil"/>
            </w:tcBorders>
            <w:vAlign w:val="center"/>
          </w:tcPr>
          <w:p w14:paraId="0AF77C27">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若干</w:t>
            </w:r>
          </w:p>
        </w:tc>
        <w:tc>
          <w:tcPr>
            <w:tcW w:w="958" w:type="pct"/>
            <w:tcBorders>
              <w:tl2br w:val="nil"/>
              <w:tr2bl w:val="nil"/>
            </w:tcBorders>
            <w:noWrap/>
            <w:vAlign w:val="center"/>
          </w:tcPr>
          <w:p w14:paraId="64913045">
            <w:pPr>
              <w:widowControl/>
              <w:adjustRightInd/>
              <w:snapToGrid/>
              <w:spacing w:line="240" w:lineRule="auto"/>
              <w:ind w:firstLine="0" w:firstLineChars="0"/>
              <w:jc w:val="center"/>
              <w:textAlignment w:val="center"/>
              <w:rPr>
                <w:rFonts w:cs="宋体"/>
                <w:color w:val="auto"/>
                <w:sz w:val="21"/>
                <w:szCs w:val="22"/>
              </w:rPr>
            </w:pPr>
            <w:r>
              <w:rPr>
                <w:rFonts w:hint="eastAsia" w:cs="宋体"/>
                <w:color w:val="auto"/>
                <w:kern w:val="0"/>
                <w:sz w:val="21"/>
                <w:szCs w:val="22"/>
                <w:lang w:bidi="ar"/>
              </w:rPr>
              <w:t>污染物降解</w:t>
            </w:r>
          </w:p>
        </w:tc>
        <w:tc>
          <w:tcPr>
            <w:tcW w:w="979" w:type="pct"/>
            <w:tcBorders>
              <w:tl2br w:val="nil"/>
              <w:tr2bl w:val="nil"/>
            </w:tcBorders>
            <w:vAlign w:val="center"/>
          </w:tcPr>
          <w:p w14:paraId="7F08960F">
            <w:pPr>
              <w:widowControl/>
              <w:adjustRightInd/>
              <w:snapToGrid/>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液碱储罐内</w:t>
            </w:r>
          </w:p>
        </w:tc>
      </w:tr>
    </w:tbl>
    <w:p w14:paraId="6CF3EEB5">
      <w:pPr>
        <w:pStyle w:val="5"/>
        <w:spacing w:before="192"/>
        <w:rPr>
          <w:color w:val="auto"/>
        </w:rPr>
      </w:pPr>
      <w:r>
        <w:rPr>
          <w:color w:val="auto"/>
        </w:rPr>
        <w:t>7.6.2.4突发环境事件隐患排查制度</w:t>
      </w:r>
    </w:p>
    <w:p w14:paraId="5EF169FC">
      <w:pPr>
        <w:ind w:firstLine="480"/>
        <w:rPr>
          <w:color w:val="auto"/>
        </w:rPr>
      </w:pPr>
      <w:r>
        <w:rPr>
          <w:color w:val="auto"/>
        </w:rPr>
        <w:t>为防范火灾、爆炸、泄漏等生产安全事故直接导致或次生突发环境事件，企业应自行组织突发环境事件隐患(以下简称隐患)排查和治理。</w:t>
      </w:r>
    </w:p>
    <w:p w14:paraId="446A8139">
      <w:pPr>
        <w:ind w:firstLine="482"/>
        <w:rPr>
          <w:b/>
          <w:bCs/>
          <w:color w:val="auto"/>
        </w:rPr>
      </w:pPr>
      <w:r>
        <w:rPr>
          <w:b/>
          <w:bCs/>
          <w:color w:val="auto"/>
        </w:rPr>
        <w:t>1、建立健全隐患排查治理制度</w:t>
      </w:r>
    </w:p>
    <w:p w14:paraId="09A2870D">
      <w:pPr>
        <w:ind w:firstLine="480"/>
        <w:rPr>
          <w:color w:val="auto"/>
        </w:rPr>
      </w:pPr>
      <w:r>
        <w:rPr>
          <w:color w:val="auto"/>
        </w:rPr>
        <w:t>(1)建立隐患排查治理责任制。企业应当建立健全从主要负责人到每位作业人员，覆盖各部门、各单位、各岗位的隐患排查治理责任体系；明确主要负责人对本企业隐患排查治理工作全面负责，统一组织、领导和协调本单位隐患排查治理工作，及时掌握、监督重大隐患治理情况；明确分管隐患排查治理工作的组织机构、责任人和责任分工，按照生产区、储运区或车间、工段等划分排查区域，明确每个区域的责任人，逐级建立并落实隐患排查治理岗位责任制。</w:t>
      </w:r>
    </w:p>
    <w:p w14:paraId="363DE606">
      <w:pPr>
        <w:ind w:firstLine="480"/>
        <w:rPr>
          <w:color w:val="auto"/>
        </w:rPr>
      </w:pPr>
      <w:r>
        <w:rPr>
          <w:color w:val="auto"/>
        </w:rPr>
        <w:t>(2)制定突发环境事件风险防控设施的操作规程和检查、运行、维修与维护等规定，保证资金投入，确保各设施处于正常完好状态。</w:t>
      </w:r>
    </w:p>
    <w:p w14:paraId="70674C55">
      <w:pPr>
        <w:ind w:firstLine="480"/>
        <w:rPr>
          <w:color w:val="auto"/>
        </w:rPr>
      </w:pPr>
      <w:r>
        <w:rPr>
          <w:color w:val="auto"/>
        </w:rPr>
        <w:t>(3)建立自查、自报、自改、自验的隐患排查治理组织实施制度。</w:t>
      </w:r>
    </w:p>
    <w:p w14:paraId="0A989D95">
      <w:pPr>
        <w:ind w:firstLine="480"/>
        <w:rPr>
          <w:color w:val="auto"/>
        </w:rPr>
      </w:pPr>
      <w:r>
        <w:rPr>
          <w:color w:val="auto"/>
        </w:rPr>
        <w:t>(4)如实记录隐患排查治理情况，形成档案文件并做好存档。</w:t>
      </w:r>
    </w:p>
    <w:p w14:paraId="57B8AD6C">
      <w:pPr>
        <w:ind w:firstLine="480"/>
        <w:rPr>
          <w:color w:val="auto"/>
        </w:rPr>
      </w:pPr>
      <w:r>
        <w:rPr>
          <w:color w:val="auto"/>
        </w:rPr>
        <w:t>(5)及时修订企业突发环境事件应急预案、完善相关突发环境事件风险防控措施。</w:t>
      </w:r>
    </w:p>
    <w:p w14:paraId="2C5E9F62">
      <w:pPr>
        <w:ind w:firstLine="480"/>
        <w:rPr>
          <w:color w:val="auto"/>
        </w:rPr>
      </w:pPr>
      <w:r>
        <w:rPr>
          <w:color w:val="auto"/>
        </w:rPr>
        <w:t>(6)定期对员工进行隐患排查治理相关知识的宣传和培训。</w:t>
      </w:r>
    </w:p>
    <w:p w14:paraId="304A2C73">
      <w:pPr>
        <w:ind w:firstLine="480"/>
        <w:rPr>
          <w:color w:val="auto"/>
        </w:rPr>
      </w:pPr>
      <w:r>
        <w:rPr>
          <w:color w:val="auto"/>
        </w:rPr>
        <w:t>(7)有条件的企业应当建立与企业相关信息化管理系统联网的突发环境事件隐患排查治理信息系统。</w:t>
      </w:r>
    </w:p>
    <w:p w14:paraId="6AB4C111">
      <w:pPr>
        <w:ind w:firstLine="482"/>
        <w:rPr>
          <w:b/>
          <w:bCs/>
          <w:color w:val="auto"/>
        </w:rPr>
      </w:pPr>
      <w:r>
        <w:rPr>
          <w:b/>
          <w:bCs/>
          <w:color w:val="auto"/>
        </w:rPr>
        <w:t>2、隐患排查内容</w:t>
      </w:r>
    </w:p>
    <w:p w14:paraId="6FCD4A17">
      <w:pPr>
        <w:ind w:firstLine="480"/>
        <w:rPr>
          <w:color w:val="auto"/>
        </w:rPr>
      </w:pPr>
      <w:r>
        <w:rPr>
          <w:color w:val="auto"/>
        </w:rPr>
        <w:t>从环境应急管理和突发环境事件风险防控措施两方面排查整治隐患，全面提升环境风险防控水平。</w:t>
      </w:r>
    </w:p>
    <w:p w14:paraId="2E825576">
      <w:pPr>
        <w:ind w:firstLine="480"/>
        <w:rPr>
          <w:color w:val="auto"/>
        </w:rPr>
      </w:pPr>
      <w:r>
        <w:rPr>
          <w:color w:val="auto"/>
        </w:rPr>
        <w:t>(1)企业突发环境事件应急管理</w:t>
      </w:r>
    </w:p>
    <w:p w14:paraId="1977DB36">
      <w:pPr>
        <w:ind w:firstLine="480"/>
        <w:rPr>
          <w:color w:val="auto"/>
        </w:rPr>
      </w:pPr>
      <w:r>
        <w:rPr>
          <w:color w:val="auto"/>
        </w:rPr>
        <w:t>①按规定开展突发环境事件风险评估，确定风险等级情况。</w:t>
      </w:r>
    </w:p>
    <w:p w14:paraId="2C26CAE4">
      <w:pPr>
        <w:ind w:firstLine="480"/>
        <w:rPr>
          <w:color w:val="auto"/>
        </w:rPr>
      </w:pPr>
      <w:r>
        <w:rPr>
          <w:color w:val="auto"/>
        </w:rPr>
        <w:t>②按规定制定突发环境事件应急预案并备案情况。</w:t>
      </w:r>
    </w:p>
    <w:p w14:paraId="096074FB">
      <w:pPr>
        <w:ind w:firstLine="480"/>
        <w:rPr>
          <w:color w:val="auto"/>
        </w:rPr>
      </w:pPr>
      <w:r>
        <w:rPr>
          <w:color w:val="auto"/>
        </w:rPr>
        <w:t>③按规定建立健全隐患排查治理制度，开展隐患排查治理工作和建立档案情况。</w:t>
      </w:r>
    </w:p>
    <w:p w14:paraId="4FD5D890">
      <w:pPr>
        <w:ind w:firstLine="480"/>
        <w:rPr>
          <w:color w:val="auto"/>
        </w:rPr>
      </w:pPr>
      <w:r>
        <w:rPr>
          <w:color w:val="auto"/>
        </w:rPr>
        <w:t>④按规定开展突发环境事件应急培训，如实记录培训情况。</w:t>
      </w:r>
    </w:p>
    <w:p w14:paraId="423CC107">
      <w:pPr>
        <w:ind w:firstLine="480"/>
        <w:rPr>
          <w:color w:val="auto"/>
        </w:rPr>
      </w:pPr>
      <w:r>
        <w:rPr>
          <w:color w:val="auto"/>
        </w:rPr>
        <w:t>⑤按规定储备必要的环境应急装备和物资情况。</w:t>
      </w:r>
    </w:p>
    <w:p w14:paraId="34EA8F16">
      <w:pPr>
        <w:ind w:firstLine="480"/>
        <w:rPr>
          <w:color w:val="auto"/>
        </w:rPr>
      </w:pPr>
      <w:r>
        <w:rPr>
          <w:color w:val="auto"/>
        </w:rPr>
        <w:t>⑥按规定公开突发环境事件应急预案及演练情况。</w:t>
      </w:r>
    </w:p>
    <w:p w14:paraId="0C846712">
      <w:pPr>
        <w:ind w:firstLine="480"/>
        <w:rPr>
          <w:color w:val="auto"/>
        </w:rPr>
      </w:pPr>
      <w:r>
        <w:rPr>
          <w:color w:val="auto"/>
        </w:rPr>
        <w:t>(2)企业突发环境事件风险防控措施</w:t>
      </w:r>
    </w:p>
    <w:p w14:paraId="77E4BFFA">
      <w:pPr>
        <w:ind w:firstLine="480"/>
        <w:rPr>
          <w:color w:val="auto"/>
        </w:rPr>
      </w:pPr>
      <w:r>
        <w:rPr>
          <w:color w:val="auto"/>
        </w:rPr>
        <w:t>①突发水环境事件风险防控措施</w:t>
      </w:r>
    </w:p>
    <w:p w14:paraId="471A1E8D">
      <w:pPr>
        <w:ind w:firstLine="480"/>
        <w:rPr>
          <w:color w:val="auto"/>
        </w:rPr>
      </w:pPr>
      <w:r>
        <w:rPr>
          <w:color w:val="auto"/>
        </w:rPr>
        <w:t>从以下几方面排查突发水环境事件风险防范措施:</w:t>
      </w:r>
    </w:p>
    <w:p w14:paraId="173036A3">
      <w:pPr>
        <w:ind w:firstLine="480"/>
        <w:rPr>
          <w:color w:val="auto"/>
        </w:rPr>
      </w:pPr>
      <w:r>
        <w:rPr>
          <w:color w:val="auto"/>
        </w:rPr>
        <w:t>a.是否设置中间事故缓冲设施、事故应急水池或事故存液池等各类应急池；应急池容积是否满足环评文件及批复等相关文件要求；应急池位置是否合理，是否能确保所有受污染的雨水、消防水和泄漏物等通过排水系统接入应急池或全部收集；是否通过厂区内部管线或协议单位，将所收集的废(污)水送至污水处理设施处理；</w:t>
      </w:r>
    </w:p>
    <w:p w14:paraId="73293EE8">
      <w:pPr>
        <w:ind w:firstLine="480"/>
        <w:rPr>
          <w:color w:val="auto"/>
        </w:rPr>
      </w:pPr>
      <w:r>
        <w:rPr>
          <w:color w:val="auto"/>
        </w:rPr>
        <w:t>b.正常情况下厂区内涉危险化学品或其他有毒有害物质的各个生产装置、装卸区、作业场所和危险废物贮存设施(场所)的排水管道(如围堰、防火堤、装卸区污水收集池)接入雨水系统的阀(闸)是否关闭，通向应急池或废水处理系统的阀(闸)是否打开；受污染的冷却水和上述场所的墙壁、地面冲洗水和受污染的雨水(初期雨水)、消防水等是否都能排入生产废水处理系统或独立的处理系统；有排洪沟(排洪涵洞)或河道穿过厂区时，排洪沟(排洪涵洞)是否与渗漏观察井、生产废水排放管道连通；</w:t>
      </w:r>
    </w:p>
    <w:p w14:paraId="70301656">
      <w:pPr>
        <w:ind w:firstLine="480"/>
        <w:rPr>
          <w:color w:val="auto"/>
        </w:rPr>
      </w:pPr>
      <w:r>
        <w:rPr>
          <w:color w:val="auto"/>
        </w:rPr>
        <w:t>c.雨水系统、生产废(污)水系统的总排放口是否设置监视及关闭闸(阀)，是否设专人负责在紧急情况下关闭总排口，确保受污染的雨水、消防水和泄漏物等全部收集。</w:t>
      </w:r>
    </w:p>
    <w:p w14:paraId="48DE569C">
      <w:pPr>
        <w:ind w:firstLine="480"/>
        <w:rPr>
          <w:color w:val="auto"/>
        </w:rPr>
      </w:pPr>
      <w:r>
        <w:rPr>
          <w:color w:val="auto"/>
        </w:rPr>
        <w:t>②突发大气环境事件风险防控措施</w:t>
      </w:r>
    </w:p>
    <w:p w14:paraId="7772462B">
      <w:pPr>
        <w:ind w:firstLine="480"/>
        <w:rPr>
          <w:color w:val="auto"/>
        </w:rPr>
      </w:pPr>
      <w:r>
        <w:rPr>
          <w:color w:val="auto"/>
        </w:rPr>
        <w:t>从以下几方面排查突发大气环境事件风险防控措施:</w:t>
      </w:r>
    </w:p>
    <w:p w14:paraId="4C28AE3E">
      <w:pPr>
        <w:ind w:firstLine="480"/>
        <w:rPr>
          <w:color w:val="auto"/>
        </w:rPr>
      </w:pPr>
      <w:r>
        <w:rPr>
          <w:color w:val="auto"/>
        </w:rPr>
        <w:t>a.企业与周边重要环境风险受体的各类防护距离是否符合环境影响评价文件及批复的要求；</w:t>
      </w:r>
    </w:p>
    <w:p w14:paraId="1CD40C0E">
      <w:pPr>
        <w:ind w:firstLine="480"/>
        <w:rPr>
          <w:color w:val="auto"/>
        </w:rPr>
      </w:pPr>
      <w:r>
        <w:rPr>
          <w:color w:val="auto"/>
        </w:rPr>
        <w:t>b.涉有毒有害大气污染物名录的企业是否在厂界建设针对有毒有害特征污染物的环境风险预警体系；</w:t>
      </w:r>
    </w:p>
    <w:p w14:paraId="6DBA7833">
      <w:pPr>
        <w:ind w:firstLine="480"/>
        <w:rPr>
          <w:color w:val="auto"/>
        </w:rPr>
      </w:pPr>
      <w:r>
        <w:rPr>
          <w:color w:val="auto"/>
        </w:rPr>
        <w:t>c.涉有毒有害大气污染物名录的企业是否定期监测或委托监测有毒有害大气特征污染物；</w:t>
      </w:r>
    </w:p>
    <w:p w14:paraId="0ECD43E1">
      <w:pPr>
        <w:ind w:firstLine="480"/>
        <w:rPr>
          <w:color w:val="auto"/>
        </w:rPr>
      </w:pPr>
      <w:r>
        <w:rPr>
          <w:color w:val="auto"/>
        </w:rPr>
        <w:t>d.突发环境事件信息通报机制建立情况，是否能在突发环境事件发生后及时通报可能受到污染危害的单位和居民。</w:t>
      </w:r>
    </w:p>
    <w:p w14:paraId="7472B1AF">
      <w:pPr>
        <w:ind w:firstLine="482"/>
        <w:rPr>
          <w:b/>
          <w:bCs/>
          <w:color w:val="auto"/>
        </w:rPr>
      </w:pPr>
      <w:r>
        <w:rPr>
          <w:b/>
          <w:bCs/>
          <w:color w:val="auto"/>
        </w:rPr>
        <w:t>3、隐患排查方式和频次</w:t>
      </w:r>
    </w:p>
    <w:p w14:paraId="1820D554">
      <w:pPr>
        <w:ind w:firstLine="480"/>
        <w:rPr>
          <w:color w:val="auto"/>
        </w:rPr>
      </w:pPr>
      <w:r>
        <w:rPr>
          <w:color w:val="auto"/>
        </w:rPr>
        <w:t>(1)企业应当综合考虑企业自身突发环境事件风险等级、生产工况等因素合理制定年度工作计划，明确排查频次、排查规模、排查项目等内容。</w:t>
      </w:r>
    </w:p>
    <w:p w14:paraId="5C312D1A">
      <w:pPr>
        <w:ind w:firstLine="480"/>
        <w:rPr>
          <w:color w:val="auto"/>
        </w:rPr>
      </w:pPr>
      <w:r>
        <w:rPr>
          <w:color w:val="auto"/>
        </w:rPr>
        <w:t>(2)根据排查频次、排查规模、排查项目不同，排查可分为综合排查、日常排查、专项排查及抽查等方式。企业应建立以日常排查为主的隐患排查工作机制，及时发现并治理隐患。</w:t>
      </w:r>
    </w:p>
    <w:p w14:paraId="2A9A5B79">
      <w:pPr>
        <w:ind w:firstLine="480"/>
        <w:rPr>
          <w:color w:val="auto"/>
        </w:rPr>
      </w:pPr>
      <w:r>
        <w:rPr>
          <w:color w:val="auto"/>
        </w:rPr>
        <w:t>综合排查是指企业以厂区为单位开展全面排查，一年应不少于一次。</w:t>
      </w:r>
    </w:p>
    <w:p w14:paraId="0CD75DF0">
      <w:pPr>
        <w:ind w:firstLine="480"/>
        <w:rPr>
          <w:color w:val="auto"/>
        </w:rPr>
      </w:pPr>
      <w:r>
        <w:rPr>
          <w:color w:val="auto"/>
        </w:rPr>
        <w:t>日常排查是指以班组、工段、车间为单位，组织的对单个或几个项目采取日常的、巡视性的排查工作，其频次根据具体排查项目确定。一月应不少于一次。</w:t>
      </w:r>
    </w:p>
    <w:p w14:paraId="5C7748BC">
      <w:pPr>
        <w:ind w:firstLine="480"/>
        <w:rPr>
          <w:color w:val="auto"/>
        </w:rPr>
      </w:pPr>
      <w:r>
        <w:rPr>
          <w:color w:val="auto"/>
        </w:rPr>
        <w:t>专项排查是在特定时间或对特定区域、设备、措施进行的专门性排查。其频次根据实际需要确定。</w:t>
      </w:r>
    </w:p>
    <w:p w14:paraId="1B031B07">
      <w:pPr>
        <w:ind w:firstLine="480"/>
        <w:rPr>
          <w:color w:val="auto"/>
        </w:rPr>
      </w:pPr>
      <w:r>
        <w:rPr>
          <w:color w:val="auto"/>
        </w:rPr>
        <w:t>企业可根据自身管理流程，采取抽查方式排查隐患。</w:t>
      </w:r>
    </w:p>
    <w:p w14:paraId="34DDB282">
      <w:pPr>
        <w:ind w:firstLine="480"/>
        <w:rPr>
          <w:color w:val="auto"/>
        </w:rPr>
      </w:pPr>
      <w:r>
        <w:rPr>
          <w:color w:val="auto"/>
        </w:rPr>
        <w:t>(3)在完成年度计划的基础上，当出现下列情况时，应当及时组织隐患排查：</w:t>
      </w:r>
    </w:p>
    <w:p w14:paraId="5D2FF7EE">
      <w:pPr>
        <w:ind w:firstLine="480"/>
        <w:rPr>
          <w:color w:val="auto"/>
        </w:rPr>
      </w:pPr>
      <w:r>
        <w:rPr>
          <w:color w:val="auto"/>
        </w:rPr>
        <w:t>①出现不符合新颁布、修订的相关法律、法规、标准、产业政策等情况的；</w:t>
      </w:r>
    </w:p>
    <w:p w14:paraId="307D7FE2">
      <w:pPr>
        <w:ind w:firstLine="480"/>
        <w:rPr>
          <w:color w:val="auto"/>
        </w:rPr>
      </w:pPr>
      <w:r>
        <w:rPr>
          <w:color w:val="auto"/>
        </w:rPr>
        <w:t>②企业有新建、改建、扩建项目的；</w:t>
      </w:r>
    </w:p>
    <w:p w14:paraId="5E9402DE">
      <w:pPr>
        <w:ind w:firstLine="480"/>
        <w:rPr>
          <w:color w:val="auto"/>
        </w:rPr>
      </w:pPr>
      <w:r>
        <w:rPr>
          <w:color w:val="auto"/>
        </w:rPr>
        <w:t>③企业突发环境事件风险物质发生重大变化导致突发环境事件风险等级发生变化的；</w:t>
      </w:r>
    </w:p>
    <w:p w14:paraId="444CEE06">
      <w:pPr>
        <w:ind w:firstLine="480"/>
        <w:rPr>
          <w:color w:val="auto"/>
        </w:rPr>
      </w:pPr>
      <w:r>
        <w:rPr>
          <w:color w:val="auto"/>
        </w:rPr>
        <w:t>④企业管理组织应急指挥体系机构、人员与职责发生重大变化的；</w:t>
      </w:r>
    </w:p>
    <w:p w14:paraId="67CCA1A6">
      <w:pPr>
        <w:ind w:firstLine="480"/>
        <w:rPr>
          <w:color w:val="auto"/>
        </w:rPr>
      </w:pPr>
      <w:r>
        <w:rPr>
          <w:color w:val="auto"/>
        </w:rPr>
        <w:t>⑤企业生产废水系统、雨水系统系统、事故排水系统发生变化的；</w:t>
      </w:r>
    </w:p>
    <w:p w14:paraId="457838E1">
      <w:pPr>
        <w:ind w:firstLine="480"/>
        <w:rPr>
          <w:color w:val="auto"/>
        </w:rPr>
      </w:pPr>
      <w:r>
        <w:rPr>
          <w:color w:val="auto"/>
        </w:rPr>
        <w:t>⑥企业废水总排口、雨水排口与水环境风险受体连接通道发生变化的；</w:t>
      </w:r>
    </w:p>
    <w:p w14:paraId="697A423B">
      <w:pPr>
        <w:ind w:firstLine="480"/>
        <w:rPr>
          <w:color w:val="auto"/>
        </w:rPr>
      </w:pPr>
      <w:r>
        <w:rPr>
          <w:color w:val="auto"/>
        </w:rPr>
        <w:t>⑦企业周边大气和水环境风险受体发生变化的；</w:t>
      </w:r>
    </w:p>
    <w:p w14:paraId="382669DE">
      <w:pPr>
        <w:ind w:firstLine="480"/>
        <w:rPr>
          <w:color w:val="auto"/>
        </w:rPr>
      </w:pPr>
      <w:r>
        <w:rPr>
          <w:color w:val="auto"/>
        </w:rPr>
        <w:t>⑧季节转换或发布气象灾害预警、地质地震灾害预报的；</w:t>
      </w:r>
    </w:p>
    <w:p w14:paraId="24F2114C">
      <w:pPr>
        <w:ind w:firstLine="480"/>
        <w:rPr>
          <w:color w:val="auto"/>
        </w:rPr>
      </w:pPr>
      <w:r>
        <w:rPr>
          <w:color w:val="auto"/>
        </w:rPr>
        <w:t>⑨敏感时期、重大节假日或重大活动前；</w:t>
      </w:r>
    </w:p>
    <w:p w14:paraId="0BF2DD34">
      <w:pPr>
        <w:ind w:firstLine="480"/>
        <w:rPr>
          <w:color w:val="auto"/>
        </w:rPr>
      </w:pPr>
      <w:r>
        <w:rPr>
          <w:color w:val="auto"/>
        </w:rPr>
        <w:t>⑩突发环境事件发生后或本地区其他同类企业发生突发环境事件的</w:t>
      </w:r>
      <w:r>
        <w:rPr>
          <w:rFonts w:hint="eastAsia"/>
          <w:color w:val="auto"/>
        </w:rPr>
        <w:t>。</w:t>
      </w:r>
    </w:p>
    <w:p w14:paraId="1C038DA4">
      <w:pPr>
        <w:pStyle w:val="5"/>
        <w:spacing w:before="192"/>
        <w:rPr>
          <w:color w:val="auto"/>
        </w:rPr>
      </w:pPr>
      <w:r>
        <w:rPr>
          <w:color w:val="auto"/>
        </w:rPr>
        <w:t>7.6.2.5应急培训</w:t>
      </w:r>
      <w:r>
        <w:rPr>
          <w:rFonts w:hint="eastAsia"/>
          <w:color w:val="auto"/>
        </w:rPr>
        <w:t>和</w:t>
      </w:r>
      <w:r>
        <w:rPr>
          <w:color w:val="auto"/>
        </w:rPr>
        <w:t>演练</w:t>
      </w:r>
    </w:p>
    <w:p w14:paraId="5C5E2618">
      <w:pPr>
        <w:ind w:firstLine="480"/>
        <w:rPr>
          <w:color w:val="auto"/>
        </w:rPr>
      </w:pPr>
      <w:r>
        <w:rPr>
          <w:color w:val="auto"/>
        </w:rPr>
        <w:t>(一)应急培训</w:t>
      </w:r>
    </w:p>
    <w:p w14:paraId="649093DE">
      <w:pPr>
        <w:ind w:firstLine="480"/>
        <w:rPr>
          <w:color w:val="auto"/>
        </w:rPr>
      </w:pPr>
      <w:r>
        <w:rPr>
          <w:color w:val="auto"/>
        </w:rPr>
        <w:t>(1)应急救援小组成员应急响应的培训</w:t>
      </w:r>
    </w:p>
    <w:p w14:paraId="5F9B1F07">
      <w:pPr>
        <w:ind w:firstLine="480"/>
        <w:rPr>
          <w:color w:val="auto"/>
        </w:rPr>
      </w:pPr>
      <w:r>
        <w:rPr>
          <w:color w:val="auto"/>
        </w:rPr>
        <w:t>所有应急指挥组成员，各专业救援组成员应认真学习应急预案内容，明确在救援现场所担负的责任和义务。由应急指挥组对救援专业组成员每半年组织一次应急培训。</w:t>
      </w:r>
    </w:p>
    <w:p w14:paraId="13794637">
      <w:pPr>
        <w:ind w:firstLine="480"/>
        <w:rPr>
          <w:color w:val="auto"/>
        </w:rPr>
      </w:pPr>
      <w:r>
        <w:rPr>
          <w:color w:val="auto"/>
        </w:rPr>
        <w:t>主要培训内容：</w:t>
      </w:r>
    </w:p>
    <w:p w14:paraId="203CE818">
      <w:pPr>
        <w:ind w:firstLine="480"/>
        <w:rPr>
          <w:color w:val="auto"/>
        </w:rPr>
      </w:pPr>
      <w:r>
        <w:rPr>
          <w:color w:val="auto"/>
        </w:rPr>
        <w:t>①熟悉、掌握事故应急救援预案内容，明确自己的分工，业务熟练，成为重大事故应急救援的骨干力量；</w:t>
      </w:r>
    </w:p>
    <w:p w14:paraId="7F1D5EF8">
      <w:pPr>
        <w:ind w:firstLine="480"/>
        <w:rPr>
          <w:color w:val="auto"/>
        </w:rPr>
      </w:pPr>
      <w:r>
        <w:rPr>
          <w:color w:val="auto"/>
        </w:rPr>
        <w:t>②熟练使用各种防范装置和用具；</w:t>
      </w:r>
    </w:p>
    <w:p w14:paraId="3BB04D14">
      <w:pPr>
        <w:ind w:firstLine="480"/>
        <w:rPr>
          <w:color w:val="auto"/>
        </w:rPr>
      </w:pPr>
      <w:r>
        <w:rPr>
          <w:color w:val="auto"/>
        </w:rPr>
        <w:t>③如何开展事故现场抢救、救援及事故的处理；</w:t>
      </w:r>
    </w:p>
    <w:p w14:paraId="18233C16">
      <w:pPr>
        <w:ind w:firstLine="480"/>
        <w:rPr>
          <w:color w:val="auto"/>
        </w:rPr>
      </w:pPr>
      <w:r>
        <w:rPr>
          <w:color w:val="auto"/>
        </w:rPr>
        <w:t>④事故现场自我防范及监护的措施，人员疏散撤离方案、路径。</w:t>
      </w:r>
    </w:p>
    <w:p w14:paraId="496D6CB4">
      <w:pPr>
        <w:ind w:firstLine="480"/>
        <w:rPr>
          <w:color w:val="auto"/>
        </w:rPr>
      </w:pPr>
      <w:r>
        <w:rPr>
          <w:color w:val="auto"/>
        </w:rPr>
        <w:t>培训方法：课堂教学、综合讨论、现场讲解、模拟事故发生等。</w:t>
      </w:r>
    </w:p>
    <w:p w14:paraId="40BADE10">
      <w:pPr>
        <w:ind w:firstLine="480"/>
        <w:rPr>
          <w:color w:val="auto"/>
        </w:rPr>
      </w:pPr>
      <w:r>
        <w:rPr>
          <w:color w:val="auto"/>
        </w:rPr>
        <w:t>(2)应急指挥人员、监测人员、运输司机等特别培训</w:t>
      </w:r>
    </w:p>
    <w:p w14:paraId="5189DE95">
      <w:pPr>
        <w:ind w:firstLine="480"/>
        <w:rPr>
          <w:color w:val="auto"/>
        </w:rPr>
      </w:pPr>
      <w:r>
        <w:rPr>
          <w:color w:val="auto"/>
        </w:rPr>
        <w:t>主要培训内容：</w:t>
      </w:r>
    </w:p>
    <w:p w14:paraId="2574F987">
      <w:pPr>
        <w:ind w:firstLine="480"/>
        <w:rPr>
          <w:color w:val="auto"/>
        </w:rPr>
      </w:pPr>
      <w:r>
        <w:rPr>
          <w:color w:val="auto"/>
        </w:rPr>
        <w:t>①了解应急预案体系，学习应急救援知识；</w:t>
      </w:r>
    </w:p>
    <w:p w14:paraId="172A172D">
      <w:pPr>
        <w:ind w:firstLine="480"/>
        <w:rPr>
          <w:color w:val="auto"/>
        </w:rPr>
      </w:pPr>
      <w:r>
        <w:rPr>
          <w:color w:val="auto"/>
        </w:rPr>
        <w:t>②启用应急预案时的各类响应措施，如组织人员疏散、撤离、警戒、隔离、报警等；</w:t>
      </w:r>
    </w:p>
    <w:p w14:paraId="02AE9534">
      <w:pPr>
        <w:ind w:firstLine="480"/>
        <w:rPr>
          <w:color w:val="auto"/>
        </w:rPr>
      </w:pPr>
      <w:r>
        <w:rPr>
          <w:color w:val="auto"/>
        </w:rPr>
        <w:t>③事故控制和有效洗消方法；</w:t>
      </w:r>
    </w:p>
    <w:p w14:paraId="660115D6">
      <w:pPr>
        <w:ind w:firstLine="480"/>
        <w:rPr>
          <w:color w:val="auto"/>
        </w:rPr>
      </w:pPr>
      <w:r>
        <w:rPr>
          <w:color w:val="auto"/>
        </w:rPr>
        <w:t>④应急状态下环境监测的基本技能；</w:t>
      </w:r>
    </w:p>
    <w:p w14:paraId="5CF29DEA">
      <w:pPr>
        <w:ind w:firstLine="480"/>
        <w:rPr>
          <w:color w:val="auto"/>
        </w:rPr>
      </w:pPr>
      <w:r>
        <w:rPr>
          <w:color w:val="auto"/>
        </w:rPr>
        <w:t>⑤运输过程应急救援的常识。</w:t>
      </w:r>
    </w:p>
    <w:p w14:paraId="0342A53E">
      <w:pPr>
        <w:ind w:firstLine="480"/>
        <w:rPr>
          <w:color w:val="auto"/>
        </w:rPr>
      </w:pPr>
      <w:r>
        <w:rPr>
          <w:color w:val="auto"/>
        </w:rPr>
        <w:t>⑥掌握本岗位存在的危险性、急救方法。</w:t>
      </w:r>
    </w:p>
    <w:p w14:paraId="1D26CD01">
      <w:pPr>
        <w:ind w:firstLine="480"/>
        <w:rPr>
          <w:color w:val="auto"/>
        </w:rPr>
      </w:pPr>
      <w:r>
        <w:rPr>
          <w:color w:val="auto"/>
        </w:rPr>
        <w:t>培训方法：课堂教学、事故讲座、模拟事故发生等。</w:t>
      </w:r>
    </w:p>
    <w:p w14:paraId="1D62A4F3">
      <w:pPr>
        <w:ind w:firstLine="480"/>
        <w:rPr>
          <w:color w:val="auto"/>
        </w:rPr>
      </w:pPr>
      <w:r>
        <w:rPr>
          <w:color w:val="auto"/>
        </w:rPr>
        <w:t>(3)员工应急响应的培训</w:t>
      </w:r>
    </w:p>
    <w:p w14:paraId="7E63FF71">
      <w:pPr>
        <w:ind w:firstLine="480"/>
        <w:rPr>
          <w:color w:val="auto"/>
        </w:rPr>
      </w:pPr>
      <w:r>
        <w:rPr>
          <w:color w:val="auto"/>
        </w:rPr>
        <w:t>员工应急响应的培训，结合每年组织的安全技术知识培训一并进行，主要培训内容：</w:t>
      </w:r>
    </w:p>
    <w:p w14:paraId="419379A7">
      <w:pPr>
        <w:ind w:firstLine="480"/>
        <w:rPr>
          <w:color w:val="auto"/>
        </w:rPr>
      </w:pPr>
      <w:r>
        <w:rPr>
          <w:color w:val="auto"/>
        </w:rPr>
        <w:t>①企业环保安全生产规章制度、安全操作规程，环境事件应急预案的作用与内容；</w:t>
      </w:r>
    </w:p>
    <w:p w14:paraId="21A22CEF">
      <w:pPr>
        <w:ind w:firstLine="480"/>
        <w:rPr>
          <w:color w:val="auto"/>
        </w:rPr>
      </w:pPr>
      <w:r>
        <w:rPr>
          <w:color w:val="auto"/>
        </w:rPr>
        <w:t>②企业环境风险源的位置、发生事件的可能性，鉴别危险情况的危险辨识</w:t>
      </w:r>
    </w:p>
    <w:p w14:paraId="0B862371">
      <w:pPr>
        <w:ind w:firstLine="480"/>
        <w:rPr>
          <w:color w:val="auto"/>
        </w:rPr>
      </w:pPr>
      <w:r>
        <w:rPr>
          <w:color w:val="auto"/>
        </w:rPr>
        <w:t>③本企业化学品、污染物的种类、数量，以及各类污染物的危害性；</w:t>
      </w:r>
    </w:p>
    <w:p w14:paraId="52A7B5F6">
      <w:pPr>
        <w:ind w:firstLine="480"/>
        <w:rPr>
          <w:color w:val="auto"/>
        </w:rPr>
      </w:pPr>
      <w:r>
        <w:rPr>
          <w:color w:val="auto"/>
        </w:rPr>
        <w:t>④防止污染物扩散，处理、处置各类污染事件的基本方法；</w:t>
      </w:r>
    </w:p>
    <w:p w14:paraId="114549C5">
      <w:pPr>
        <w:ind w:firstLine="480"/>
        <w:rPr>
          <w:color w:val="auto"/>
        </w:rPr>
      </w:pPr>
      <w:r>
        <w:rPr>
          <w:color w:val="auto"/>
        </w:rPr>
        <w:t>⑤周围环境敏感点的位置、数量与类型，本企业的污染事件对其影响；</w:t>
      </w:r>
    </w:p>
    <w:p w14:paraId="5ABBEDF3">
      <w:pPr>
        <w:ind w:firstLine="480"/>
        <w:rPr>
          <w:color w:val="auto"/>
        </w:rPr>
      </w:pPr>
      <w:r>
        <w:rPr>
          <w:color w:val="auto"/>
        </w:rPr>
        <w:t>⑥工艺流程中可能出现问题的解决方案；</w:t>
      </w:r>
    </w:p>
    <w:p w14:paraId="618CF46C">
      <w:pPr>
        <w:ind w:firstLine="480"/>
        <w:rPr>
          <w:color w:val="auto"/>
        </w:rPr>
      </w:pPr>
      <w:r>
        <w:rPr>
          <w:color w:val="auto"/>
        </w:rPr>
        <w:t>⑦控险、排险、堵漏输转的基本方法；</w:t>
      </w:r>
    </w:p>
    <w:p w14:paraId="5AEC7B57">
      <w:pPr>
        <w:ind w:firstLine="480"/>
        <w:rPr>
          <w:color w:val="auto"/>
        </w:rPr>
      </w:pPr>
      <w:r>
        <w:rPr>
          <w:color w:val="auto"/>
        </w:rPr>
        <w:t>⑧主要消防器材、防护设备等的位置及使用方法；</w:t>
      </w:r>
    </w:p>
    <w:p w14:paraId="4284C4E3">
      <w:pPr>
        <w:ind w:firstLine="480"/>
        <w:rPr>
          <w:color w:val="auto"/>
        </w:rPr>
      </w:pPr>
      <w:r>
        <w:rPr>
          <w:color w:val="auto"/>
        </w:rPr>
        <w:t>⑨紧急停车停产的基本程序；</w:t>
      </w:r>
    </w:p>
    <w:p w14:paraId="0AC44BAD">
      <w:pPr>
        <w:ind w:firstLine="480"/>
        <w:rPr>
          <w:color w:val="auto"/>
        </w:rPr>
      </w:pPr>
      <w:r>
        <w:rPr>
          <w:color w:val="auto"/>
        </w:rPr>
        <w:t>⑩如何正确报警，内外部电话清单；</w:t>
      </w:r>
    </w:p>
    <w:p w14:paraId="14A1DBD6">
      <w:pPr>
        <w:ind w:firstLine="480"/>
        <w:rPr>
          <w:color w:val="auto"/>
        </w:rPr>
      </w:pPr>
      <w:r>
        <w:rPr>
          <w:color w:val="auto"/>
        </w:rPr>
        <w:t>⑪逃生避难及撤离路线；</w:t>
      </w:r>
    </w:p>
    <w:p w14:paraId="0018566A">
      <w:pPr>
        <w:ind w:firstLine="480"/>
        <w:rPr>
          <w:color w:val="auto"/>
        </w:rPr>
      </w:pPr>
      <w:r>
        <w:rPr>
          <w:color w:val="auto"/>
        </w:rPr>
        <w:t>⑫配合应急人员的基本要求及责任；</w:t>
      </w:r>
    </w:p>
    <w:p w14:paraId="5B00E457">
      <w:pPr>
        <w:ind w:firstLine="480"/>
        <w:rPr>
          <w:color w:val="auto"/>
        </w:rPr>
      </w:pPr>
      <w:r>
        <w:rPr>
          <w:color w:val="auto"/>
        </w:rPr>
        <w:t>⑬自救与互救、消毒的基本知识；</w:t>
      </w:r>
    </w:p>
    <w:p w14:paraId="4515657B">
      <w:pPr>
        <w:ind w:firstLine="480"/>
        <w:rPr>
          <w:color w:val="auto"/>
        </w:rPr>
      </w:pPr>
      <w:r>
        <w:rPr>
          <w:color w:val="auto"/>
        </w:rPr>
        <w:t>⑭污染治理设施的运行要求，可能产生的环境事件。</w:t>
      </w:r>
    </w:p>
    <w:p w14:paraId="76E77641">
      <w:pPr>
        <w:ind w:firstLine="480"/>
        <w:rPr>
          <w:color w:val="auto"/>
        </w:rPr>
      </w:pPr>
      <w:r>
        <w:rPr>
          <w:color w:val="auto"/>
        </w:rPr>
        <w:t>培训方法：课堂教学、综合讨论、现场讲解、模拟事故发生等。</w:t>
      </w:r>
    </w:p>
    <w:p w14:paraId="3FD7DDAD">
      <w:pPr>
        <w:ind w:firstLine="480"/>
        <w:rPr>
          <w:color w:val="auto"/>
        </w:rPr>
      </w:pPr>
      <w:r>
        <w:rPr>
          <w:color w:val="auto"/>
        </w:rPr>
        <w:t>(4)外部公众应急响应的培训</w:t>
      </w:r>
    </w:p>
    <w:p w14:paraId="37B9FF4A">
      <w:pPr>
        <w:ind w:firstLine="480"/>
        <w:rPr>
          <w:color w:val="auto"/>
        </w:rPr>
      </w:pPr>
      <w:r>
        <w:rPr>
          <w:color w:val="auto"/>
        </w:rPr>
        <w:t>通过多种媒体形式，向外部公众(周边企业、社区、人口聚居区等)广泛宣传环境污染事件应急预案和相关的应急法律法规，让外部公众正确认识如何应对突发环境污染事件。以发放宣传品的形式为主，每年进行一次。</w:t>
      </w:r>
    </w:p>
    <w:p w14:paraId="47B50D1B">
      <w:pPr>
        <w:ind w:firstLine="480"/>
        <w:rPr>
          <w:color w:val="auto"/>
        </w:rPr>
      </w:pPr>
      <w:r>
        <w:rPr>
          <w:color w:val="auto"/>
        </w:rPr>
        <w:t>(二)应急演练</w:t>
      </w:r>
    </w:p>
    <w:p w14:paraId="295740DB">
      <w:pPr>
        <w:ind w:firstLine="480"/>
        <w:rPr>
          <w:color w:val="auto"/>
        </w:rPr>
      </w:pPr>
      <w:r>
        <w:rPr>
          <w:color w:val="auto"/>
        </w:rPr>
        <w:t>公司级应急预案演练计划每年至少进行一次综合演练，车间级应急预案演练计划每半年至少进行一次专项演练，班组级应急预案演练可由各车间根据各自的实际情况进行单项演练。</w:t>
      </w:r>
    </w:p>
    <w:p w14:paraId="50C21562">
      <w:pPr>
        <w:ind w:firstLine="480"/>
        <w:rPr>
          <w:color w:val="auto"/>
        </w:rPr>
      </w:pPr>
      <w:r>
        <w:rPr>
          <w:color w:val="auto"/>
        </w:rPr>
        <w:t>政府有关部门的演练，公司积极组织参加。</w:t>
      </w:r>
    </w:p>
    <w:p w14:paraId="65BBD636">
      <w:pPr>
        <w:ind w:firstLine="480"/>
        <w:rPr>
          <w:color w:val="auto"/>
        </w:rPr>
      </w:pPr>
      <w:r>
        <w:rPr>
          <w:color w:val="auto"/>
        </w:rPr>
        <w:t>(三)其他要求</w:t>
      </w:r>
    </w:p>
    <w:p w14:paraId="40DC982E">
      <w:pPr>
        <w:ind w:firstLine="480"/>
        <w:rPr>
          <w:rFonts w:eastAsia="仿宋_GB2312"/>
          <w:color w:val="auto"/>
          <w:szCs w:val="28"/>
        </w:rPr>
      </w:pPr>
      <w:r>
        <w:rPr>
          <w:color w:val="auto"/>
        </w:rPr>
        <w:t>企业应针对培训情况做好培训记录等相关台账；针对应急演练情况撰写演练评估报告，分析存在问题，并根据演练情况及时修改完善应急预案。</w:t>
      </w:r>
    </w:p>
    <w:p w14:paraId="2DFF99ED">
      <w:pPr>
        <w:pStyle w:val="5"/>
        <w:spacing w:before="192"/>
        <w:rPr>
          <w:color w:val="auto"/>
        </w:rPr>
      </w:pPr>
      <w:r>
        <w:rPr>
          <w:color w:val="auto"/>
        </w:rPr>
        <w:t>7.6.2.6</w:t>
      </w:r>
      <w:r>
        <w:rPr>
          <w:rFonts w:hint="eastAsia"/>
          <w:color w:val="auto"/>
        </w:rPr>
        <w:t>应急处置卡和</w:t>
      </w:r>
      <w:r>
        <w:rPr>
          <w:color w:val="auto"/>
        </w:rPr>
        <w:t>标识设置</w:t>
      </w:r>
    </w:p>
    <w:p w14:paraId="38606275">
      <w:pPr>
        <w:ind w:firstLine="480"/>
        <w:rPr>
          <w:color w:val="auto"/>
        </w:rPr>
      </w:pPr>
      <w:r>
        <w:rPr>
          <w:color w:val="auto"/>
        </w:rPr>
        <w:t>(一)雨水、污水系统切换装置</w:t>
      </w:r>
    </w:p>
    <w:p w14:paraId="5FFB87E7">
      <w:pPr>
        <w:ind w:firstLine="480"/>
        <w:rPr>
          <w:color w:val="auto"/>
        </w:rPr>
      </w:pPr>
      <w:r>
        <w:rPr>
          <w:color w:val="auto"/>
        </w:rPr>
        <w:t>在装置处设立标识，注明切断装置正常情况下关/闭状态，雨水、污水的流向；突发事件发生后切断装置如何操作，雨水、污水流向如何切换。标识牌中注明路径切换示意图和操作说明。</w:t>
      </w:r>
    </w:p>
    <w:p w14:paraId="6B358B13">
      <w:pPr>
        <w:ind w:firstLine="480"/>
        <w:rPr>
          <w:color w:val="auto"/>
        </w:rPr>
      </w:pPr>
      <w:r>
        <w:rPr>
          <w:color w:val="auto"/>
        </w:rPr>
        <w:t>(二)应急池</w:t>
      </w:r>
    </w:p>
    <w:p w14:paraId="5B9B3C6A">
      <w:pPr>
        <w:ind w:firstLine="480"/>
        <w:rPr>
          <w:color w:val="auto"/>
        </w:rPr>
      </w:pPr>
      <w:r>
        <w:rPr>
          <w:color w:val="auto"/>
        </w:rPr>
        <w:t>在应急池设立标识，注明容积，并在管道切换装置处设立标识(参照雨污切换装置)。</w:t>
      </w:r>
    </w:p>
    <w:p w14:paraId="371E9631">
      <w:pPr>
        <w:ind w:firstLine="480"/>
        <w:rPr>
          <w:color w:val="auto"/>
        </w:rPr>
      </w:pPr>
      <w:r>
        <w:rPr>
          <w:color w:val="auto"/>
        </w:rPr>
        <w:t>(三)应急处置卡</w:t>
      </w:r>
    </w:p>
    <w:p w14:paraId="24774196">
      <w:pPr>
        <w:ind w:firstLine="480"/>
        <w:rPr>
          <w:color w:val="auto"/>
          <w:lang w:val="zh-CN"/>
        </w:rPr>
      </w:pPr>
      <w:r>
        <w:rPr>
          <w:color w:val="auto"/>
        </w:rPr>
        <w:t>企业应在关键岗位张贴应急处置卡，应急处置卡应明确事件情景特征、处理步骤、应急物资、注意事项等内容。</w:t>
      </w:r>
    </w:p>
    <w:bookmarkEnd w:id="325"/>
    <w:p w14:paraId="357E06C4">
      <w:pPr>
        <w:pStyle w:val="4"/>
        <w:rPr>
          <w:color w:val="auto"/>
          <w:lang w:val="zh-CN"/>
        </w:rPr>
      </w:pPr>
      <w:bookmarkStart w:id="348" w:name="_Toc31379"/>
      <w:bookmarkStart w:id="349" w:name="_Hlk182410529"/>
      <w:r>
        <w:rPr>
          <w:color w:val="auto"/>
          <w:lang w:val="zh-CN"/>
        </w:rPr>
        <w:t>7.6.3区域环境风险管理情况分析</w:t>
      </w:r>
      <w:bookmarkEnd w:id="348"/>
    </w:p>
    <w:p w14:paraId="3ED64ACB">
      <w:pPr>
        <w:pStyle w:val="5"/>
        <w:spacing w:before="192"/>
        <w:rPr>
          <w:color w:val="auto"/>
        </w:rPr>
      </w:pPr>
      <w:r>
        <w:rPr>
          <w:color w:val="auto"/>
        </w:rPr>
        <w:t>7.6.3.1园区监测监控体系</w:t>
      </w:r>
    </w:p>
    <w:p w14:paraId="3E00336D">
      <w:pPr>
        <w:adjustRightInd/>
        <w:snapToGrid/>
        <w:ind w:firstLine="480"/>
        <w:rPr>
          <w:color w:val="auto"/>
          <w:szCs w:val="22"/>
          <w:lang w:val="zh-CN"/>
        </w:rPr>
      </w:pPr>
      <w:r>
        <w:rPr>
          <w:color w:val="auto"/>
          <w:szCs w:val="22"/>
          <w:lang w:val="zh-CN"/>
        </w:rPr>
        <w:t xml:space="preserve">(1)园区空气环境、水环境质量自动监测系统 </w:t>
      </w:r>
    </w:p>
    <w:p w14:paraId="28C1A2BB">
      <w:pPr>
        <w:adjustRightInd/>
        <w:snapToGrid/>
        <w:ind w:firstLine="480"/>
        <w:rPr>
          <w:color w:val="auto"/>
          <w:szCs w:val="22"/>
          <w:lang w:val="zh-CN"/>
        </w:rPr>
      </w:pPr>
      <w:r>
        <w:rPr>
          <w:color w:val="auto"/>
          <w:szCs w:val="22"/>
          <w:lang w:val="zh-CN"/>
        </w:rPr>
        <w:t>启东生命健康产业园设有5个空气自动站，包括空气超级站、边界站1、边界站2、恶臭1、恶臭2，空气超级站监测因子有PM10、PM2.5、SO2、NOX、CO、O3、有机物等，边界站监测因子有硫化氢、氨、氟化氢、氯气、异丁烯、二硫化碳等，恶臭站监测因子为臭气浓度。空气自动监测站可对产业园大气环境质量进行实时监测，并联网，基本形成全方位一体化大气群防群控网络，但目前恶臭站尚未能稳定运行。</w:t>
      </w:r>
    </w:p>
    <w:p w14:paraId="278CBA60">
      <w:pPr>
        <w:adjustRightInd/>
        <w:snapToGrid/>
        <w:ind w:firstLine="480"/>
        <w:rPr>
          <w:color w:val="auto"/>
          <w:szCs w:val="22"/>
          <w:lang w:val="zh-CN"/>
        </w:rPr>
      </w:pPr>
      <w:r>
        <w:rPr>
          <w:color w:val="auto"/>
          <w:szCs w:val="22"/>
          <w:lang w:val="zh-CN"/>
        </w:rPr>
        <w:t>园区设1个水质自动监测标准站，配备水质五参数、高锰酸盐指数、氨氮、总磷、总氮、流量等监测指标。同时，建设辖区内主要河流地表水环境视频监控系统，对主要河流的重点排口、自动监测站点进行视频监控联网，进一步提升环境监管能力。</w:t>
      </w:r>
    </w:p>
    <w:p w14:paraId="5CD6B191">
      <w:pPr>
        <w:adjustRightInd/>
        <w:snapToGrid/>
        <w:ind w:firstLine="480"/>
        <w:rPr>
          <w:color w:val="auto"/>
          <w:szCs w:val="22"/>
          <w:lang w:val="zh-CN"/>
        </w:rPr>
      </w:pPr>
      <w:r>
        <w:rPr>
          <w:color w:val="auto"/>
          <w:szCs w:val="22"/>
          <w:lang w:val="zh-CN"/>
        </w:rPr>
        <w:t>(2)大气污染源在线监控系统</w:t>
      </w:r>
    </w:p>
    <w:p w14:paraId="3366E676">
      <w:pPr>
        <w:adjustRightInd/>
        <w:snapToGrid/>
        <w:ind w:firstLine="480"/>
        <w:rPr>
          <w:color w:val="auto"/>
          <w:szCs w:val="22"/>
          <w:lang w:val="zh-CN"/>
        </w:rPr>
      </w:pPr>
      <w:r>
        <w:rPr>
          <w:color w:val="auto"/>
          <w:szCs w:val="22"/>
          <w:lang w:val="zh-CN"/>
        </w:rPr>
        <w:t>目前系统内26个排气筒，均已联网，主要监测因子为非甲烷总烃。</w:t>
      </w:r>
    </w:p>
    <w:p w14:paraId="0DA40E18">
      <w:pPr>
        <w:adjustRightInd/>
        <w:snapToGrid/>
        <w:ind w:firstLine="480"/>
        <w:rPr>
          <w:color w:val="auto"/>
          <w:szCs w:val="22"/>
          <w:lang w:val="zh-CN"/>
        </w:rPr>
      </w:pPr>
      <w:r>
        <w:rPr>
          <w:color w:val="auto"/>
          <w:szCs w:val="22"/>
          <w:lang w:val="zh-CN"/>
        </w:rPr>
        <w:t xml:space="preserve">(3)例行监测及信息公开 </w:t>
      </w:r>
    </w:p>
    <w:p w14:paraId="69BD5E4C">
      <w:pPr>
        <w:adjustRightInd/>
        <w:snapToGrid/>
        <w:ind w:firstLine="480"/>
        <w:rPr>
          <w:color w:val="auto"/>
          <w:szCs w:val="22"/>
          <w:lang w:val="zh-CN"/>
        </w:rPr>
      </w:pPr>
      <w:r>
        <w:rPr>
          <w:color w:val="auto"/>
          <w:szCs w:val="22"/>
          <w:lang w:val="zh-CN"/>
        </w:rPr>
        <w:t>园区目前采取政府购买第三方服务方式，对区内及周边水体、环境空气质量、地下水环境质量、产业园内及周边土壤环境质量进行监测。</w:t>
      </w:r>
    </w:p>
    <w:p w14:paraId="20D77090">
      <w:pPr>
        <w:adjustRightInd/>
        <w:snapToGrid/>
        <w:ind w:firstLine="480"/>
        <w:rPr>
          <w:color w:val="auto"/>
          <w:szCs w:val="22"/>
          <w:lang w:val="zh-CN"/>
        </w:rPr>
      </w:pPr>
      <w:r>
        <w:rPr>
          <w:color w:val="auto"/>
          <w:szCs w:val="22"/>
          <w:lang w:val="zh-CN"/>
        </w:rPr>
        <w:t xml:space="preserve">(4)园区环境信息管理平台 </w:t>
      </w:r>
    </w:p>
    <w:p w14:paraId="04060DD2">
      <w:pPr>
        <w:adjustRightInd/>
        <w:snapToGrid/>
        <w:ind w:firstLine="480"/>
        <w:rPr>
          <w:color w:val="auto"/>
          <w:szCs w:val="22"/>
          <w:lang w:val="zh-CN"/>
        </w:rPr>
      </w:pPr>
      <w:r>
        <w:rPr>
          <w:color w:val="auto"/>
          <w:szCs w:val="22"/>
          <w:lang w:val="zh-CN"/>
        </w:rPr>
        <w:t xml:space="preserve">园区已建成“一园一档”环境信息管理平台，产业园“一园一档”环境信息管理平台，包含污染源在线监控系统、LDAR管理系统、应急指挥系统、环境质量监控系统等。 </w:t>
      </w:r>
    </w:p>
    <w:p w14:paraId="774CEC08">
      <w:pPr>
        <w:adjustRightInd/>
        <w:snapToGrid/>
        <w:ind w:firstLine="480"/>
        <w:rPr>
          <w:color w:val="auto"/>
          <w:szCs w:val="22"/>
          <w:lang w:val="zh-CN"/>
        </w:rPr>
      </w:pPr>
      <w:r>
        <w:rPr>
          <w:color w:val="auto"/>
          <w:szCs w:val="22"/>
          <w:lang w:val="zh-CN"/>
        </w:rPr>
        <w:t>(5)园区污水处理厂设置了尾水在线监测，并联网，可对水质进行实时监测，确保水质达标排放。超标排放时，关闭废水阀门，开启事故池，并查找原因，尽快恢复正常排水。</w:t>
      </w:r>
    </w:p>
    <w:p w14:paraId="5D07D854">
      <w:pPr>
        <w:pStyle w:val="5"/>
        <w:spacing w:before="192"/>
        <w:rPr>
          <w:color w:val="auto"/>
        </w:rPr>
      </w:pPr>
      <w:r>
        <w:rPr>
          <w:color w:val="auto"/>
        </w:rPr>
        <w:t>7.6.3.2园区环境应急救援物资储备情况</w:t>
      </w:r>
    </w:p>
    <w:p w14:paraId="1102FE3D">
      <w:pPr>
        <w:adjustRightInd/>
        <w:ind w:firstLine="480"/>
        <w:rPr>
          <w:rFonts w:eastAsia="仿宋_GB2312"/>
          <w:color w:val="auto"/>
          <w:kern w:val="0"/>
          <w:sz w:val="28"/>
          <w:szCs w:val="20"/>
        </w:rPr>
      </w:pPr>
      <w:r>
        <w:rPr>
          <w:color w:val="auto"/>
          <w:szCs w:val="22"/>
          <w:lang w:val="zh-CN"/>
        </w:rPr>
        <w:t>启东生命健康产业园内各环境风险企业基本配备了相应的应急物资及装备，当发生突发环境事件时，可根据突发环境事件的严重性，各企业可进行应急救援互助，共享应急救援物资。此外，园区也配备了一定量的应急救援物资和装备，分布于园区消防队、园区管理办公室及部分园区企业。园区应急救援物资和装备配置情况详见表7.6</w:t>
      </w:r>
      <w:r>
        <w:rPr>
          <w:rFonts w:hint="eastAsia"/>
          <w:color w:val="auto"/>
          <w:szCs w:val="22"/>
        </w:rPr>
        <w:t>-5</w:t>
      </w:r>
      <w:r>
        <w:rPr>
          <w:rFonts w:eastAsia="仿宋_GB2312"/>
          <w:color w:val="auto"/>
          <w:kern w:val="0"/>
          <w:sz w:val="28"/>
          <w:szCs w:val="20"/>
        </w:rPr>
        <w:t>。</w:t>
      </w:r>
    </w:p>
    <w:p w14:paraId="3AE016F8">
      <w:pPr>
        <w:pStyle w:val="49"/>
        <w:rPr>
          <w:color w:val="auto"/>
        </w:rPr>
      </w:pPr>
      <w:r>
        <w:rPr>
          <w:color w:val="auto"/>
        </w:rPr>
        <w:t>表7.6</w:t>
      </w:r>
      <w:r>
        <w:rPr>
          <w:rFonts w:hint="eastAsia"/>
          <w:color w:val="auto"/>
        </w:rPr>
        <w:t>-5</w:t>
      </w:r>
      <w:r>
        <w:rPr>
          <w:color w:val="auto"/>
        </w:rPr>
        <w:t xml:space="preserve">  产业园主要环境应急物资配备情况</w:t>
      </w:r>
    </w:p>
    <w:tbl>
      <w:tblPr>
        <w:tblStyle w:val="24"/>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07"/>
        <w:gridCol w:w="3772"/>
        <w:gridCol w:w="2189"/>
        <w:gridCol w:w="2981"/>
      </w:tblGrid>
      <w:tr w14:paraId="50DAB62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41DDF366">
            <w:pPr>
              <w:autoSpaceDE w:val="0"/>
              <w:autoSpaceDN w:val="0"/>
              <w:spacing w:line="240" w:lineRule="auto"/>
              <w:ind w:firstLine="422"/>
              <w:jc w:val="center"/>
              <w:rPr>
                <w:b/>
                <w:color w:val="auto"/>
                <w:sz w:val="21"/>
                <w:szCs w:val="22"/>
              </w:rPr>
            </w:pPr>
            <w:r>
              <w:rPr>
                <w:b/>
                <w:color w:val="auto"/>
                <w:sz w:val="21"/>
                <w:szCs w:val="22"/>
              </w:rPr>
              <w:t>序号</w:t>
            </w:r>
          </w:p>
        </w:tc>
        <w:tc>
          <w:tcPr>
            <w:tcW w:w="1923" w:type="pct"/>
            <w:tcBorders>
              <w:tl2br w:val="nil"/>
              <w:tr2bl w:val="nil"/>
            </w:tcBorders>
            <w:vAlign w:val="center"/>
          </w:tcPr>
          <w:p w14:paraId="7ACF5895">
            <w:pPr>
              <w:autoSpaceDE w:val="0"/>
              <w:autoSpaceDN w:val="0"/>
              <w:spacing w:line="240" w:lineRule="auto"/>
              <w:ind w:firstLine="422"/>
              <w:jc w:val="center"/>
              <w:rPr>
                <w:b/>
                <w:color w:val="auto"/>
                <w:sz w:val="21"/>
                <w:szCs w:val="22"/>
              </w:rPr>
            </w:pPr>
            <w:r>
              <w:rPr>
                <w:b/>
                <w:color w:val="auto"/>
                <w:sz w:val="21"/>
                <w:szCs w:val="22"/>
              </w:rPr>
              <w:t>重要物资和装备名称</w:t>
            </w:r>
          </w:p>
        </w:tc>
        <w:tc>
          <w:tcPr>
            <w:tcW w:w="1119" w:type="pct"/>
            <w:tcBorders>
              <w:tl2br w:val="nil"/>
              <w:tr2bl w:val="nil"/>
            </w:tcBorders>
            <w:vAlign w:val="center"/>
          </w:tcPr>
          <w:p w14:paraId="7F8645BC">
            <w:pPr>
              <w:autoSpaceDE w:val="0"/>
              <w:autoSpaceDN w:val="0"/>
              <w:spacing w:line="240" w:lineRule="auto"/>
              <w:ind w:firstLine="422"/>
              <w:jc w:val="center"/>
              <w:rPr>
                <w:b/>
                <w:color w:val="auto"/>
                <w:sz w:val="21"/>
                <w:szCs w:val="22"/>
              </w:rPr>
            </w:pPr>
            <w:r>
              <w:rPr>
                <w:b/>
                <w:color w:val="auto"/>
                <w:sz w:val="21"/>
                <w:szCs w:val="22"/>
              </w:rPr>
              <w:t>数量</w:t>
            </w:r>
          </w:p>
        </w:tc>
        <w:tc>
          <w:tcPr>
            <w:tcW w:w="1521" w:type="pct"/>
            <w:tcBorders>
              <w:tl2br w:val="nil"/>
              <w:tr2bl w:val="nil"/>
            </w:tcBorders>
            <w:vAlign w:val="center"/>
          </w:tcPr>
          <w:p w14:paraId="5D2E3601">
            <w:pPr>
              <w:autoSpaceDE w:val="0"/>
              <w:autoSpaceDN w:val="0"/>
              <w:spacing w:line="240" w:lineRule="auto"/>
              <w:ind w:firstLine="422"/>
              <w:jc w:val="center"/>
              <w:rPr>
                <w:b/>
                <w:color w:val="auto"/>
                <w:sz w:val="21"/>
                <w:szCs w:val="22"/>
              </w:rPr>
            </w:pPr>
            <w:r>
              <w:rPr>
                <w:b/>
                <w:color w:val="auto"/>
                <w:sz w:val="21"/>
                <w:szCs w:val="22"/>
              </w:rPr>
              <w:t>存放地点</w:t>
            </w:r>
          </w:p>
        </w:tc>
      </w:tr>
      <w:tr w14:paraId="6D60A71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718BD92D">
            <w:pPr>
              <w:autoSpaceDE w:val="0"/>
              <w:autoSpaceDN w:val="0"/>
              <w:spacing w:line="240" w:lineRule="auto"/>
              <w:ind w:firstLine="420"/>
              <w:jc w:val="center"/>
              <w:rPr>
                <w:color w:val="auto"/>
                <w:sz w:val="21"/>
                <w:szCs w:val="22"/>
              </w:rPr>
            </w:pPr>
            <w:r>
              <w:rPr>
                <w:color w:val="auto"/>
                <w:sz w:val="21"/>
                <w:szCs w:val="22"/>
              </w:rPr>
              <w:t>1</w:t>
            </w:r>
          </w:p>
        </w:tc>
        <w:tc>
          <w:tcPr>
            <w:tcW w:w="1923" w:type="pct"/>
            <w:tcBorders>
              <w:tl2br w:val="nil"/>
              <w:tr2bl w:val="nil"/>
            </w:tcBorders>
            <w:vAlign w:val="center"/>
          </w:tcPr>
          <w:p w14:paraId="1D1784B7">
            <w:pPr>
              <w:autoSpaceDE w:val="0"/>
              <w:autoSpaceDN w:val="0"/>
              <w:spacing w:line="240" w:lineRule="auto"/>
              <w:ind w:firstLine="420"/>
              <w:jc w:val="center"/>
              <w:rPr>
                <w:color w:val="auto"/>
                <w:sz w:val="21"/>
                <w:szCs w:val="22"/>
              </w:rPr>
            </w:pPr>
            <w:r>
              <w:rPr>
                <w:color w:val="auto"/>
                <w:sz w:val="21"/>
                <w:szCs w:val="22"/>
              </w:rPr>
              <w:t>重金属测试纸</w:t>
            </w:r>
          </w:p>
        </w:tc>
        <w:tc>
          <w:tcPr>
            <w:tcW w:w="1119" w:type="pct"/>
            <w:tcBorders>
              <w:tl2br w:val="nil"/>
              <w:tr2bl w:val="nil"/>
            </w:tcBorders>
            <w:vAlign w:val="center"/>
          </w:tcPr>
          <w:p w14:paraId="2A4B3394">
            <w:pPr>
              <w:autoSpaceDE w:val="0"/>
              <w:autoSpaceDN w:val="0"/>
              <w:spacing w:line="240" w:lineRule="auto"/>
              <w:ind w:firstLine="420"/>
              <w:jc w:val="center"/>
              <w:rPr>
                <w:color w:val="auto"/>
                <w:sz w:val="21"/>
                <w:szCs w:val="22"/>
              </w:rPr>
            </w:pPr>
            <w:r>
              <w:rPr>
                <w:color w:val="auto"/>
                <w:sz w:val="21"/>
                <w:szCs w:val="22"/>
              </w:rPr>
              <w:t>若干</w:t>
            </w:r>
          </w:p>
        </w:tc>
        <w:tc>
          <w:tcPr>
            <w:tcW w:w="1521" w:type="pct"/>
            <w:tcBorders>
              <w:tl2br w:val="nil"/>
              <w:tr2bl w:val="nil"/>
            </w:tcBorders>
            <w:vAlign w:val="center"/>
          </w:tcPr>
          <w:p w14:paraId="2206791A">
            <w:pPr>
              <w:autoSpaceDE w:val="0"/>
              <w:autoSpaceDN w:val="0"/>
              <w:spacing w:line="240" w:lineRule="auto"/>
              <w:ind w:firstLine="420"/>
              <w:jc w:val="center"/>
              <w:rPr>
                <w:color w:val="auto"/>
                <w:sz w:val="21"/>
                <w:szCs w:val="22"/>
              </w:rPr>
            </w:pPr>
            <w:r>
              <w:rPr>
                <w:color w:val="auto"/>
                <w:sz w:val="21"/>
                <w:szCs w:val="22"/>
              </w:rPr>
              <w:t>园区管理办公室</w:t>
            </w:r>
          </w:p>
        </w:tc>
      </w:tr>
      <w:tr w14:paraId="7731197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2FF73CF4">
            <w:pPr>
              <w:autoSpaceDE w:val="0"/>
              <w:autoSpaceDN w:val="0"/>
              <w:spacing w:line="240" w:lineRule="auto"/>
              <w:ind w:firstLine="420"/>
              <w:jc w:val="center"/>
              <w:rPr>
                <w:color w:val="auto"/>
                <w:sz w:val="21"/>
                <w:szCs w:val="22"/>
              </w:rPr>
            </w:pPr>
            <w:r>
              <w:rPr>
                <w:color w:val="auto"/>
                <w:sz w:val="21"/>
                <w:szCs w:val="22"/>
              </w:rPr>
              <w:t>2</w:t>
            </w:r>
          </w:p>
        </w:tc>
        <w:tc>
          <w:tcPr>
            <w:tcW w:w="1923" w:type="pct"/>
            <w:tcBorders>
              <w:tl2br w:val="nil"/>
              <w:tr2bl w:val="nil"/>
            </w:tcBorders>
            <w:vAlign w:val="center"/>
          </w:tcPr>
          <w:p w14:paraId="3AEA3296">
            <w:pPr>
              <w:autoSpaceDE w:val="0"/>
              <w:autoSpaceDN w:val="0"/>
              <w:spacing w:line="240" w:lineRule="auto"/>
              <w:ind w:firstLine="420"/>
              <w:jc w:val="center"/>
              <w:rPr>
                <w:color w:val="auto"/>
                <w:sz w:val="21"/>
                <w:szCs w:val="22"/>
              </w:rPr>
            </w:pPr>
            <w:r>
              <w:rPr>
                <w:color w:val="auto"/>
                <w:sz w:val="21"/>
                <w:szCs w:val="22"/>
              </w:rPr>
              <w:t>便携式水质监测包</w:t>
            </w:r>
          </w:p>
        </w:tc>
        <w:tc>
          <w:tcPr>
            <w:tcW w:w="1119" w:type="pct"/>
            <w:tcBorders>
              <w:tl2br w:val="nil"/>
              <w:tr2bl w:val="nil"/>
            </w:tcBorders>
            <w:vAlign w:val="center"/>
          </w:tcPr>
          <w:p w14:paraId="45A36515">
            <w:pPr>
              <w:autoSpaceDE w:val="0"/>
              <w:autoSpaceDN w:val="0"/>
              <w:spacing w:line="240" w:lineRule="auto"/>
              <w:ind w:firstLine="420"/>
              <w:jc w:val="center"/>
              <w:rPr>
                <w:color w:val="auto"/>
                <w:sz w:val="21"/>
                <w:szCs w:val="22"/>
              </w:rPr>
            </w:pPr>
            <w:r>
              <w:rPr>
                <w:color w:val="auto"/>
                <w:sz w:val="21"/>
                <w:szCs w:val="22"/>
              </w:rPr>
              <w:t>若干</w:t>
            </w:r>
          </w:p>
        </w:tc>
        <w:tc>
          <w:tcPr>
            <w:tcW w:w="1521" w:type="pct"/>
            <w:tcBorders>
              <w:tl2br w:val="nil"/>
              <w:tr2bl w:val="nil"/>
            </w:tcBorders>
            <w:vAlign w:val="center"/>
          </w:tcPr>
          <w:p w14:paraId="2869A023">
            <w:pPr>
              <w:autoSpaceDE w:val="0"/>
              <w:autoSpaceDN w:val="0"/>
              <w:spacing w:line="240" w:lineRule="auto"/>
              <w:ind w:firstLine="420"/>
              <w:jc w:val="center"/>
              <w:rPr>
                <w:color w:val="auto"/>
                <w:sz w:val="21"/>
                <w:szCs w:val="22"/>
              </w:rPr>
            </w:pPr>
            <w:r>
              <w:rPr>
                <w:color w:val="auto"/>
                <w:sz w:val="21"/>
                <w:szCs w:val="22"/>
              </w:rPr>
              <w:t>园区管理办公室</w:t>
            </w:r>
          </w:p>
        </w:tc>
      </w:tr>
      <w:tr w14:paraId="7F85323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31AA86EE">
            <w:pPr>
              <w:autoSpaceDE w:val="0"/>
              <w:autoSpaceDN w:val="0"/>
              <w:spacing w:line="240" w:lineRule="auto"/>
              <w:ind w:firstLine="420"/>
              <w:jc w:val="center"/>
              <w:rPr>
                <w:color w:val="auto"/>
                <w:sz w:val="21"/>
                <w:szCs w:val="22"/>
              </w:rPr>
            </w:pPr>
            <w:r>
              <w:rPr>
                <w:color w:val="auto"/>
                <w:sz w:val="21"/>
                <w:szCs w:val="22"/>
              </w:rPr>
              <w:t>3</w:t>
            </w:r>
          </w:p>
        </w:tc>
        <w:tc>
          <w:tcPr>
            <w:tcW w:w="1923" w:type="pct"/>
            <w:tcBorders>
              <w:tl2br w:val="nil"/>
              <w:tr2bl w:val="nil"/>
            </w:tcBorders>
            <w:vAlign w:val="center"/>
          </w:tcPr>
          <w:p w14:paraId="760721D0">
            <w:pPr>
              <w:autoSpaceDE w:val="0"/>
              <w:autoSpaceDN w:val="0"/>
              <w:spacing w:line="240" w:lineRule="auto"/>
              <w:ind w:firstLine="420"/>
              <w:jc w:val="center"/>
              <w:rPr>
                <w:color w:val="auto"/>
                <w:sz w:val="21"/>
                <w:szCs w:val="22"/>
              </w:rPr>
            </w:pPr>
            <w:r>
              <w:rPr>
                <w:color w:val="auto"/>
                <w:sz w:val="21"/>
                <w:szCs w:val="22"/>
              </w:rPr>
              <w:t>COD 快速测定仪</w:t>
            </w:r>
          </w:p>
        </w:tc>
        <w:tc>
          <w:tcPr>
            <w:tcW w:w="1119" w:type="pct"/>
            <w:tcBorders>
              <w:tl2br w:val="nil"/>
              <w:tr2bl w:val="nil"/>
            </w:tcBorders>
            <w:vAlign w:val="center"/>
          </w:tcPr>
          <w:p w14:paraId="0AA9221A">
            <w:pPr>
              <w:autoSpaceDE w:val="0"/>
              <w:autoSpaceDN w:val="0"/>
              <w:spacing w:line="240" w:lineRule="auto"/>
              <w:ind w:firstLine="420"/>
              <w:jc w:val="center"/>
              <w:rPr>
                <w:color w:val="auto"/>
                <w:sz w:val="21"/>
                <w:szCs w:val="22"/>
              </w:rPr>
            </w:pPr>
            <w:r>
              <w:rPr>
                <w:color w:val="auto"/>
                <w:sz w:val="21"/>
                <w:szCs w:val="22"/>
              </w:rPr>
              <w:t>1台</w:t>
            </w:r>
          </w:p>
        </w:tc>
        <w:tc>
          <w:tcPr>
            <w:tcW w:w="1521" w:type="pct"/>
            <w:tcBorders>
              <w:tl2br w:val="nil"/>
              <w:tr2bl w:val="nil"/>
            </w:tcBorders>
            <w:vAlign w:val="center"/>
          </w:tcPr>
          <w:p w14:paraId="158DE48A">
            <w:pPr>
              <w:autoSpaceDE w:val="0"/>
              <w:autoSpaceDN w:val="0"/>
              <w:spacing w:line="240" w:lineRule="auto"/>
              <w:ind w:firstLine="420"/>
              <w:jc w:val="center"/>
              <w:rPr>
                <w:color w:val="auto"/>
                <w:sz w:val="21"/>
                <w:szCs w:val="22"/>
              </w:rPr>
            </w:pPr>
            <w:r>
              <w:rPr>
                <w:color w:val="auto"/>
                <w:sz w:val="21"/>
                <w:szCs w:val="22"/>
              </w:rPr>
              <w:t>园区管理办公室</w:t>
            </w:r>
          </w:p>
        </w:tc>
      </w:tr>
      <w:tr w14:paraId="1467B3D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33E5192A">
            <w:pPr>
              <w:autoSpaceDE w:val="0"/>
              <w:autoSpaceDN w:val="0"/>
              <w:spacing w:line="240" w:lineRule="auto"/>
              <w:ind w:firstLine="420"/>
              <w:jc w:val="center"/>
              <w:rPr>
                <w:color w:val="auto"/>
                <w:sz w:val="21"/>
                <w:szCs w:val="22"/>
              </w:rPr>
            </w:pPr>
            <w:r>
              <w:rPr>
                <w:color w:val="auto"/>
                <w:sz w:val="21"/>
                <w:szCs w:val="22"/>
              </w:rPr>
              <w:t>4</w:t>
            </w:r>
          </w:p>
        </w:tc>
        <w:tc>
          <w:tcPr>
            <w:tcW w:w="1923" w:type="pct"/>
            <w:tcBorders>
              <w:tl2br w:val="nil"/>
              <w:tr2bl w:val="nil"/>
            </w:tcBorders>
            <w:vAlign w:val="center"/>
          </w:tcPr>
          <w:p w14:paraId="7703335A">
            <w:pPr>
              <w:autoSpaceDE w:val="0"/>
              <w:autoSpaceDN w:val="0"/>
              <w:spacing w:line="240" w:lineRule="auto"/>
              <w:ind w:firstLine="420"/>
              <w:jc w:val="center"/>
              <w:rPr>
                <w:color w:val="auto"/>
                <w:sz w:val="21"/>
                <w:szCs w:val="22"/>
              </w:rPr>
            </w:pPr>
            <w:r>
              <w:rPr>
                <w:color w:val="auto"/>
                <w:sz w:val="21"/>
                <w:szCs w:val="22"/>
              </w:rPr>
              <w:t>便携式气体检测仪</w:t>
            </w:r>
          </w:p>
        </w:tc>
        <w:tc>
          <w:tcPr>
            <w:tcW w:w="1119" w:type="pct"/>
            <w:tcBorders>
              <w:tl2br w:val="nil"/>
              <w:tr2bl w:val="nil"/>
            </w:tcBorders>
            <w:vAlign w:val="center"/>
          </w:tcPr>
          <w:p w14:paraId="50D5EE64">
            <w:pPr>
              <w:autoSpaceDE w:val="0"/>
              <w:autoSpaceDN w:val="0"/>
              <w:spacing w:line="240" w:lineRule="auto"/>
              <w:ind w:firstLine="420"/>
              <w:jc w:val="center"/>
              <w:rPr>
                <w:color w:val="auto"/>
                <w:sz w:val="21"/>
                <w:szCs w:val="22"/>
              </w:rPr>
            </w:pPr>
            <w:r>
              <w:rPr>
                <w:color w:val="auto"/>
                <w:sz w:val="21"/>
                <w:szCs w:val="22"/>
              </w:rPr>
              <w:t>2套</w:t>
            </w:r>
          </w:p>
        </w:tc>
        <w:tc>
          <w:tcPr>
            <w:tcW w:w="1521" w:type="pct"/>
            <w:tcBorders>
              <w:tl2br w:val="nil"/>
              <w:tr2bl w:val="nil"/>
            </w:tcBorders>
            <w:vAlign w:val="center"/>
          </w:tcPr>
          <w:p w14:paraId="3A276558">
            <w:pPr>
              <w:autoSpaceDE w:val="0"/>
              <w:autoSpaceDN w:val="0"/>
              <w:spacing w:line="240" w:lineRule="auto"/>
              <w:ind w:firstLine="420"/>
              <w:jc w:val="center"/>
              <w:rPr>
                <w:color w:val="auto"/>
                <w:sz w:val="21"/>
                <w:szCs w:val="22"/>
              </w:rPr>
            </w:pPr>
            <w:r>
              <w:rPr>
                <w:color w:val="auto"/>
                <w:sz w:val="21"/>
                <w:szCs w:val="22"/>
              </w:rPr>
              <w:t>园区管理办公室</w:t>
            </w:r>
          </w:p>
        </w:tc>
      </w:tr>
      <w:tr w14:paraId="291F9C5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696B14E5">
            <w:pPr>
              <w:autoSpaceDE w:val="0"/>
              <w:autoSpaceDN w:val="0"/>
              <w:spacing w:line="240" w:lineRule="auto"/>
              <w:ind w:firstLine="420"/>
              <w:jc w:val="center"/>
              <w:rPr>
                <w:color w:val="auto"/>
                <w:sz w:val="21"/>
                <w:szCs w:val="22"/>
              </w:rPr>
            </w:pPr>
            <w:r>
              <w:rPr>
                <w:color w:val="auto"/>
                <w:sz w:val="21"/>
                <w:szCs w:val="22"/>
              </w:rPr>
              <w:t>5</w:t>
            </w:r>
          </w:p>
        </w:tc>
        <w:tc>
          <w:tcPr>
            <w:tcW w:w="1923" w:type="pct"/>
            <w:tcBorders>
              <w:tl2br w:val="nil"/>
              <w:tr2bl w:val="nil"/>
            </w:tcBorders>
            <w:vAlign w:val="center"/>
          </w:tcPr>
          <w:p w14:paraId="4C0D9492">
            <w:pPr>
              <w:autoSpaceDE w:val="0"/>
              <w:autoSpaceDN w:val="0"/>
              <w:spacing w:line="240" w:lineRule="auto"/>
              <w:ind w:firstLine="420"/>
              <w:jc w:val="center"/>
              <w:rPr>
                <w:color w:val="auto"/>
                <w:sz w:val="21"/>
                <w:szCs w:val="22"/>
              </w:rPr>
            </w:pPr>
            <w:r>
              <w:rPr>
                <w:color w:val="auto"/>
                <w:sz w:val="21"/>
                <w:szCs w:val="22"/>
              </w:rPr>
              <w:t>便携式气相色谱-光离子检测器</w:t>
            </w:r>
          </w:p>
        </w:tc>
        <w:tc>
          <w:tcPr>
            <w:tcW w:w="1119" w:type="pct"/>
            <w:tcBorders>
              <w:tl2br w:val="nil"/>
              <w:tr2bl w:val="nil"/>
            </w:tcBorders>
            <w:vAlign w:val="center"/>
          </w:tcPr>
          <w:p w14:paraId="400976C9">
            <w:pPr>
              <w:autoSpaceDE w:val="0"/>
              <w:autoSpaceDN w:val="0"/>
              <w:spacing w:line="240" w:lineRule="auto"/>
              <w:ind w:firstLine="420"/>
              <w:jc w:val="center"/>
              <w:rPr>
                <w:color w:val="auto"/>
                <w:sz w:val="21"/>
                <w:szCs w:val="22"/>
              </w:rPr>
            </w:pPr>
            <w:r>
              <w:rPr>
                <w:color w:val="auto"/>
                <w:sz w:val="21"/>
                <w:szCs w:val="22"/>
              </w:rPr>
              <w:t>1套</w:t>
            </w:r>
          </w:p>
        </w:tc>
        <w:tc>
          <w:tcPr>
            <w:tcW w:w="1521" w:type="pct"/>
            <w:tcBorders>
              <w:tl2br w:val="nil"/>
              <w:tr2bl w:val="nil"/>
            </w:tcBorders>
            <w:vAlign w:val="center"/>
          </w:tcPr>
          <w:p w14:paraId="461EDD61">
            <w:pPr>
              <w:autoSpaceDE w:val="0"/>
              <w:autoSpaceDN w:val="0"/>
              <w:spacing w:line="240" w:lineRule="auto"/>
              <w:ind w:firstLine="420"/>
              <w:jc w:val="center"/>
              <w:rPr>
                <w:color w:val="auto"/>
                <w:sz w:val="21"/>
                <w:szCs w:val="22"/>
              </w:rPr>
            </w:pPr>
            <w:r>
              <w:rPr>
                <w:color w:val="auto"/>
                <w:sz w:val="21"/>
                <w:szCs w:val="22"/>
              </w:rPr>
              <w:t>园区管理办公室</w:t>
            </w:r>
          </w:p>
        </w:tc>
      </w:tr>
      <w:tr w14:paraId="57C2113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3CBDA819">
            <w:pPr>
              <w:autoSpaceDE w:val="0"/>
              <w:autoSpaceDN w:val="0"/>
              <w:spacing w:line="240" w:lineRule="auto"/>
              <w:ind w:firstLine="420"/>
              <w:jc w:val="center"/>
              <w:rPr>
                <w:color w:val="auto"/>
                <w:sz w:val="21"/>
                <w:szCs w:val="22"/>
              </w:rPr>
            </w:pPr>
            <w:r>
              <w:rPr>
                <w:color w:val="auto"/>
                <w:sz w:val="21"/>
                <w:szCs w:val="22"/>
              </w:rPr>
              <w:t>6</w:t>
            </w:r>
          </w:p>
        </w:tc>
        <w:tc>
          <w:tcPr>
            <w:tcW w:w="1923" w:type="pct"/>
            <w:vMerge w:val="restart"/>
            <w:tcBorders>
              <w:tl2br w:val="nil"/>
              <w:tr2bl w:val="nil"/>
            </w:tcBorders>
            <w:vAlign w:val="center"/>
          </w:tcPr>
          <w:p w14:paraId="52E68F89">
            <w:pPr>
              <w:autoSpaceDE w:val="0"/>
              <w:autoSpaceDN w:val="0"/>
              <w:spacing w:line="240" w:lineRule="auto"/>
              <w:ind w:firstLine="420"/>
              <w:jc w:val="center"/>
              <w:rPr>
                <w:color w:val="auto"/>
                <w:sz w:val="21"/>
                <w:szCs w:val="22"/>
              </w:rPr>
            </w:pPr>
            <w:r>
              <w:rPr>
                <w:color w:val="auto"/>
                <w:sz w:val="21"/>
                <w:szCs w:val="22"/>
              </w:rPr>
              <w:t>防毒面具</w:t>
            </w:r>
          </w:p>
        </w:tc>
        <w:tc>
          <w:tcPr>
            <w:tcW w:w="1119" w:type="pct"/>
            <w:tcBorders>
              <w:tl2br w:val="nil"/>
              <w:tr2bl w:val="nil"/>
            </w:tcBorders>
            <w:vAlign w:val="center"/>
          </w:tcPr>
          <w:p w14:paraId="721D6D68">
            <w:pPr>
              <w:autoSpaceDE w:val="0"/>
              <w:autoSpaceDN w:val="0"/>
              <w:spacing w:line="240" w:lineRule="auto"/>
              <w:ind w:firstLine="420"/>
              <w:jc w:val="center"/>
              <w:rPr>
                <w:color w:val="auto"/>
                <w:sz w:val="21"/>
                <w:szCs w:val="22"/>
              </w:rPr>
            </w:pPr>
            <w:r>
              <w:rPr>
                <w:color w:val="auto"/>
                <w:sz w:val="21"/>
                <w:szCs w:val="22"/>
              </w:rPr>
              <w:t>20套</w:t>
            </w:r>
          </w:p>
        </w:tc>
        <w:tc>
          <w:tcPr>
            <w:tcW w:w="1521" w:type="pct"/>
            <w:tcBorders>
              <w:tl2br w:val="nil"/>
              <w:tr2bl w:val="nil"/>
            </w:tcBorders>
            <w:vAlign w:val="center"/>
          </w:tcPr>
          <w:p w14:paraId="6DFB2B89">
            <w:pPr>
              <w:autoSpaceDE w:val="0"/>
              <w:autoSpaceDN w:val="0"/>
              <w:spacing w:line="240" w:lineRule="auto"/>
              <w:ind w:firstLine="420"/>
              <w:jc w:val="center"/>
              <w:rPr>
                <w:color w:val="auto"/>
                <w:sz w:val="21"/>
                <w:szCs w:val="22"/>
              </w:rPr>
            </w:pPr>
            <w:r>
              <w:rPr>
                <w:color w:val="auto"/>
                <w:sz w:val="21"/>
                <w:szCs w:val="22"/>
              </w:rPr>
              <w:t>国启环保</w:t>
            </w:r>
          </w:p>
        </w:tc>
      </w:tr>
      <w:tr w14:paraId="69BFF20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4B1C55B5">
            <w:pPr>
              <w:autoSpaceDE w:val="0"/>
              <w:autoSpaceDN w:val="0"/>
              <w:spacing w:line="240" w:lineRule="auto"/>
              <w:ind w:firstLine="420"/>
              <w:jc w:val="center"/>
              <w:rPr>
                <w:color w:val="auto"/>
                <w:sz w:val="21"/>
                <w:szCs w:val="22"/>
              </w:rPr>
            </w:pPr>
            <w:r>
              <w:rPr>
                <w:color w:val="auto"/>
                <w:sz w:val="21"/>
                <w:szCs w:val="22"/>
              </w:rPr>
              <w:t>7</w:t>
            </w:r>
          </w:p>
        </w:tc>
        <w:tc>
          <w:tcPr>
            <w:tcW w:w="1923" w:type="pct"/>
            <w:vMerge w:val="continue"/>
            <w:tcBorders>
              <w:tl2br w:val="nil"/>
              <w:tr2bl w:val="nil"/>
            </w:tcBorders>
            <w:vAlign w:val="center"/>
          </w:tcPr>
          <w:p w14:paraId="1910E6F5">
            <w:pPr>
              <w:autoSpaceDE w:val="0"/>
              <w:autoSpaceDN w:val="0"/>
              <w:spacing w:line="240" w:lineRule="auto"/>
              <w:ind w:firstLine="420"/>
              <w:jc w:val="center"/>
              <w:rPr>
                <w:color w:val="auto"/>
                <w:sz w:val="21"/>
                <w:szCs w:val="22"/>
              </w:rPr>
            </w:pPr>
          </w:p>
        </w:tc>
        <w:tc>
          <w:tcPr>
            <w:tcW w:w="1119" w:type="pct"/>
            <w:tcBorders>
              <w:tl2br w:val="nil"/>
              <w:tr2bl w:val="nil"/>
            </w:tcBorders>
            <w:vAlign w:val="center"/>
          </w:tcPr>
          <w:p w14:paraId="3879158D">
            <w:pPr>
              <w:autoSpaceDE w:val="0"/>
              <w:autoSpaceDN w:val="0"/>
              <w:spacing w:line="240" w:lineRule="auto"/>
              <w:ind w:firstLine="420"/>
              <w:jc w:val="center"/>
              <w:rPr>
                <w:color w:val="auto"/>
                <w:sz w:val="21"/>
                <w:szCs w:val="22"/>
              </w:rPr>
            </w:pPr>
            <w:r>
              <w:rPr>
                <w:color w:val="auto"/>
                <w:sz w:val="21"/>
                <w:szCs w:val="22"/>
              </w:rPr>
              <w:t>60套</w:t>
            </w:r>
          </w:p>
        </w:tc>
        <w:tc>
          <w:tcPr>
            <w:tcW w:w="1521" w:type="pct"/>
            <w:tcBorders>
              <w:tl2br w:val="nil"/>
              <w:tr2bl w:val="nil"/>
            </w:tcBorders>
            <w:vAlign w:val="center"/>
          </w:tcPr>
          <w:p w14:paraId="183CA62E">
            <w:pPr>
              <w:autoSpaceDE w:val="0"/>
              <w:autoSpaceDN w:val="0"/>
              <w:spacing w:line="240" w:lineRule="auto"/>
              <w:ind w:firstLine="420"/>
              <w:jc w:val="center"/>
              <w:rPr>
                <w:color w:val="auto"/>
                <w:sz w:val="21"/>
                <w:szCs w:val="22"/>
              </w:rPr>
            </w:pPr>
            <w:r>
              <w:rPr>
                <w:color w:val="auto"/>
                <w:sz w:val="21"/>
                <w:szCs w:val="22"/>
              </w:rPr>
              <w:t>润启环保</w:t>
            </w:r>
          </w:p>
        </w:tc>
      </w:tr>
      <w:tr w14:paraId="04CC9AA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03B4BCAE">
            <w:pPr>
              <w:autoSpaceDE w:val="0"/>
              <w:autoSpaceDN w:val="0"/>
              <w:spacing w:line="240" w:lineRule="auto"/>
              <w:ind w:firstLine="420"/>
              <w:jc w:val="center"/>
              <w:rPr>
                <w:color w:val="auto"/>
                <w:sz w:val="21"/>
                <w:szCs w:val="22"/>
              </w:rPr>
            </w:pPr>
            <w:r>
              <w:rPr>
                <w:color w:val="auto"/>
                <w:sz w:val="21"/>
                <w:szCs w:val="22"/>
              </w:rPr>
              <w:t>8</w:t>
            </w:r>
          </w:p>
        </w:tc>
        <w:tc>
          <w:tcPr>
            <w:tcW w:w="1923" w:type="pct"/>
            <w:vMerge w:val="continue"/>
            <w:tcBorders>
              <w:tl2br w:val="nil"/>
              <w:tr2bl w:val="nil"/>
            </w:tcBorders>
            <w:vAlign w:val="center"/>
          </w:tcPr>
          <w:p w14:paraId="47B71349">
            <w:pPr>
              <w:autoSpaceDE w:val="0"/>
              <w:autoSpaceDN w:val="0"/>
              <w:spacing w:line="240" w:lineRule="auto"/>
              <w:ind w:firstLine="420"/>
              <w:jc w:val="center"/>
              <w:rPr>
                <w:color w:val="auto"/>
                <w:sz w:val="21"/>
                <w:szCs w:val="22"/>
              </w:rPr>
            </w:pPr>
          </w:p>
        </w:tc>
        <w:tc>
          <w:tcPr>
            <w:tcW w:w="1119" w:type="pct"/>
            <w:tcBorders>
              <w:tl2br w:val="nil"/>
              <w:tr2bl w:val="nil"/>
            </w:tcBorders>
            <w:vAlign w:val="center"/>
          </w:tcPr>
          <w:p w14:paraId="556BBA93">
            <w:pPr>
              <w:autoSpaceDE w:val="0"/>
              <w:autoSpaceDN w:val="0"/>
              <w:spacing w:line="240" w:lineRule="auto"/>
              <w:ind w:firstLine="420"/>
              <w:jc w:val="center"/>
              <w:rPr>
                <w:color w:val="auto"/>
                <w:sz w:val="21"/>
                <w:szCs w:val="22"/>
              </w:rPr>
            </w:pPr>
            <w:r>
              <w:rPr>
                <w:color w:val="auto"/>
                <w:sz w:val="21"/>
                <w:szCs w:val="22"/>
              </w:rPr>
              <w:t>20套</w:t>
            </w:r>
          </w:p>
        </w:tc>
        <w:tc>
          <w:tcPr>
            <w:tcW w:w="1521" w:type="pct"/>
            <w:tcBorders>
              <w:tl2br w:val="nil"/>
              <w:tr2bl w:val="nil"/>
            </w:tcBorders>
            <w:vAlign w:val="center"/>
          </w:tcPr>
          <w:p w14:paraId="20E17830">
            <w:pPr>
              <w:autoSpaceDE w:val="0"/>
              <w:autoSpaceDN w:val="0"/>
              <w:spacing w:line="240" w:lineRule="auto"/>
              <w:ind w:firstLine="420"/>
              <w:jc w:val="center"/>
              <w:rPr>
                <w:color w:val="auto"/>
                <w:sz w:val="21"/>
                <w:szCs w:val="22"/>
              </w:rPr>
            </w:pPr>
            <w:r>
              <w:rPr>
                <w:color w:val="auto"/>
                <w:sz w:val="21"/>
                <w:szCs w:val="22"/>
              </w:rPr>
              <w:t>园区管理办公室</w:t>
            </w:r>
          </w:p>
        </w:tc>
      </w:tr>
      <w:tr w14:paraId="1209337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38561B57">
            <w:pPr>
              <w:autoSpaceDE w:val="0"/>
              <w:autoSpaceDN w:val="0"/>
              <w:spacing w:line="240" w:lineRule="auto"/>
              <w:ind w:firstLine="420"/>
              <w:jc w:val="center"/>
              <w:rPr>
                <w:color w:val="auto"/>
                <w:sz w:val="21"/>
                <w:szCs w:val="22"/>
              </w:rPr>
            </w:pPr>
            <w:r>
              <w:rPr>
                <w:color w:val="auto"/>
                <w:sz w:val="21"/>
                <w:szCs w:val="22"/>
              </w:rPr>
              <w:t>9</w:t>
            </w:r>
          </w:p>
        </w:tc>
        <w:tc>
          <w:tcPr>
            <w:tcW w:w="1923" w:type="pct"/>
            <w:tcBorders>
              <w:tl2br w:val="nil"/>
              <w:tr2bl w:val="nil"/>
            </w:tcBorders>
            <w:vAlign w:val="center"/>
          </w:tcPr>
          <w:p w14:paraId="5A639931">
            <w:pPr>
              <w:autoSpaceDE w:val="0"/>
              <w:autoSpaceDN w:val="0"/>
              <w:spacing w:line="240" w:lineRule="auto"/>
              <w:ind w:firstLine="420"/>
              <w:jc w:val="center"/>
              <w:rPr>
                <w:color w:val="auto"/>
                <w:sz w:val="21"/>
                <w:szCs w:val="22"/>
              </w:rPr>
            </w:pPr>
            <w:r>
              <w:rPr>
                <w:color w:val="auto"/>
                <w:sz w:val="21"/>
                <w:szCs w:val="22"/>
              </w:rPr>
              <w:t>专业摄像机</w:t>
            </w:r>
          </w:p>
        </w:tc>
        <w:tc>
          <w:tcPr>
            <w:tcW w:w="1119" w:type="pct"/>
            <w:tcBorders>
              <w:tl2br w:val="nil"/>
              <w:tr2bl w:val="nil"/>
            </w:tcBorders>
            <w:vAlign w:val="center"/>
          </w:tcPr>
          <w:p w14:paraId="39F8DCAB">
            <w:pPr>
              <w:autoSpaceDE w:val="0"/>
              <w:autoSpaceDN w:val="0"/>
              <w:spacing w:line="240" w:lineRule="auto"/>
              <w:ind w:firstLine="420"/>
              <w:jc w:val="center"/>
              <w:rPr>
                <w:color w:val="auto"/>
                <w:sz w:val="21"/>
                <w:szCs w:val="22"/>
              </w:rPr>
            </w:pPr>
            <w:r>
              <w:rPr>
                <w:color w:val="auto"/>
                <w:sz w:val="21"/>
                <w:szCs w:val="22"/>
              </w:rPr>
              <w:t>1套</w:t>
            </w:r>
          </w:p>
        </w:tc>
        <w:tc>
          <w:tcPr>
            <w:tcW w:w="1521" w:type="pct"/>
            <w:tcBorders>
              <w:tl2br w:val="nil"/>
              <w:tr2bl w:val="nil"/>
            </w:tcBorders>
            <w:vAlign w:val="center"/>
          </w:tcPr>
          <w:p w14:paraId="1B366D3B">
            <w:pPr>
              <w:autoSpaceDE w:val="0"/>
              <w:autoSpaceDN w:val="0"/>
              <w:spacing w:line="240" w:lineRule="auto"/>
              <w:ind w:firstLine="420"/>
              <w:jc w:val="center"/>
              <w:rPr>
                <w:color w:val="auto"/>
                <w:sz w:val="21"/>
                <w:szCs w:val="22"/>
              </w:rPr>
            </w:pPr>
            <w:r>
              <w:rPr>
                <w:color w:val="auto"/>
                <w:sz w:val="21"/>
                <w:szCs w:val="22"/>
              </w:rPr>
              <w:t>消防中队</w:t>
            </w:r>
          </w:p>
        </w:tc>
      </w:tr>
      <w:tr w14:paraId="2AA5AC4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0609586C">
            <w:pPr>
              <w:autoSpaceDE w:val="0"/>
              <w:autoSpaceDN w:val="0"/>
              <w:spacing w:line="240" w:lineRule="auto"/>
              <w:ind w:firstLine="420"/>
              <w:jc w:val="center"/>
              <w:rPr>
                <w:color w:val="auto"/>
                <w:sz w:val="21"/>
                <w:szCs w:val="22"/>
              </w:rPr>
            </w:pPr>
            <w:r>
              <w:rPr>
                <w:color w:val="auto"/>
                <w:sz w:val="21"/>
                <w:szCs w:val="22"/>
              </w:rPr>
              <w:t>10</w:t>
            </w:r>
          </w:p>
        </w:tc>
        <w:tc>
          <w:tcPr>
            <w:tcW w:w="1923" w:type="pct"/>
            <w:tcBorders>
              <w:tl2br w:val="nil"/>
              <w:tr2bl w:val="nil"/>
            </w:tcBorders>
            <w:vAlign w:val="center"/>
          </w:tcPr>
          <w:p w14:paraId="2F91CD13">
            <w:pPr>
              <w:autoSpaceDE w:val="0"/>
              <w:autoSpaceDN w:val="0"/>
              <w:spacing w:line="240" w:lineRule="auto"/>
              <w:ind w:firstLine="420"/>
              <w:jc w:val="center"/>
              <w:rPr>
                <w:color w:val="auto"/>
                <w:sz w:val="21"/>
                <w:szCs w:val="22"/>
              </w:rPr>
            </w:pPr>
            <w:r>
              <w:rPr>
                <w:color w:val="auto"/>
                <w:sz w:val="21"/>
                <w:szCs w:val="22"/>
              </w:rPr>
              <w:t>专业照相机</w:t>
            </w:r>
          </w:p>
        </w:tc>
        <w:tc>
          <w:tcPr>
            <w:tcW w:w="1119" w:type="pct"/>
            <w:tcBorders>
              <w:tl2br w:val="nil"/>
              <w:tr2bl w:val="nil"/>
            </w:tcBorders>
            <w:vAlign w:val="center"/>
          </w:tcPr>
          <w:p w14:paraId="07752155">
            <w:pPr>
              <w:autoSpaceDE w:val="0"/>
              <w:autoSpaceDN w:val="0"/>
              <w:spacing w:line="240" w:lineRule="auto"/>
              <w:ind w:firstLine="420"/>
              <w:jc w:val="center"/>
              <w:rPr>
                <w:color w:val="auto"/>
                <w:sz w:val="21"/>
                <w:szCs w:val="22"/>
              </w:rPr>
            </w:pPr>
            <w:r>
              <w:rPr>
                <w:color w:val="auto"/>
                <w:sz w:val="21"/>
                <w:szCs w:val="22"/>
              </w:rPr>
              <w:t>1套</w:t>
            </w:r>
          </w:p>
        </w:tc>
        <w:tc>
          <w:tcPr>
            <w:tcW w:w="1521" w:type="pct"/>
            <w:tcBorders>
              <w:tl2br w:val="nil"/>
              <w:tr2bl w:val="nil"/>
            </w:tcBorders>
            <w:vAlign w:val="center"/>
          </w:tcPr>
          <w:p w14:paraId="338C5BAC">
            <w:pPr>
              <w:autoSpaceDE w:val="0"/>
              <w:autoSpaceDN w:val="0"/>
              <w:spacing w:line="240" w:lineRule="auto"/>
              <w:ind w:firstLine="420"/>
              <w:jc w:val="center"/>
              <w:rPr>
                <w:color w:val="auto"/>
                <w:sz w:val="21"/>
                <w:szCs w:val="22"/>
              </w:rPr>
            </w:pPr>
            <w:r>
              <w:rPr>
                <w:color w:val="auto"/>
                <w:sz w:val="21"/>
                <w:szCs w:val="22"/>
              </w:rPr>
              <w:t>消防中队</w:t>
            </w:r>
          </w:p>
        </w:tc>
      </w:tr>
      <w:tr w14:paraId="2A8981D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30CDFA21">
            <w:pPr>
              <w:autoSpaceDE w:val="0"/>
              <w:autoSpaceDN w:val="0"/>
              <w:spacing w:line="240" w:lineRule="auto"/>
              <w:ind w:firstLine="420"/>
              <w:jc w:val="center"/>
              <w:rPr>
                <w:color w:val="auto"/>
                <w:sz w:val="21"/>
                <w:szCs w:val="22"/>
              </w:rPr>
            </w:pPr>
            <w:r>
              <w:rPr>
                <w:color w:val="auto"/>
                <w:sz w:val="21"/>
                <w:szCs w:val="22"/>
              </w:rPr>
              <w:t>11</w:t>
            </w:r>
          </w:p>
        </w:tc>
        <w:tc>
          <w:tcPr>
            <w:tcW w:w="1923" w:type="pct"/>
            <w:tcBorders>
              <w:tl2br w:val="nil"/>
              <w:tr2bl w:val="nil"/>
            </w:tcBorders>
            <w:vAlign w:val="center"/>
          </w:tcPr>
          <w:p w14:paraId="69018686">
            <w:pPr>
              <w:autoSpaceDE w:val="0"/>
              <w:autoSpaceDN w:val="0"/>
              <w:spacing w:line="240" w:lineRule="auto"/>
              <w:ind w:firstLine="420"/>
              <w:jc w:val="center"/>
              <w:rPr>
                <w:color w:val="auto"/>
                <w:sz w:val="21"/>
                <w:szCs w:val="22"/>
              </w:rPr>
            </w:pPr>
            <w:r>
              <w:rPr>
                <w:color w:val="auto"/>
                <w:sz w:val="21"/>
                <w:szCs w:val="22"/>
              </w:rPr>
              <w:t>专业录音机</w:t>
            </w:r>
          </w:p>
        </w:tc>
        <w:tc>
          <w:tcPr>
            <w:tcW w:w="1119" w:type="pct"/>
            <w:tcBorders>
              <w:tl2br w:val="nil"/>
              <w:tr2bl w:val="nil"/>
            </w:tcBorders>
            <w:vAlign w:val="center"/>
          </w:tcPr>
          <w:p w14:paraId="7A92A7E8">
            <w:pPr>
              <w:autoSpaceDE w:val="0"/>
              <w:autoSpaceDN w:val="0"/>
              <w:spacing w:line="240" w:lineRule="auto"/>
              <w:ind w:firstLine="420"/>
              <w:jc w:val="center"/>
              <w:rPr>
                <w:color w:val="auto"/>
                <w:sz w:val="21"/>
                <w:szCs w:val="22"/>
              </w:rPr>
            </w:pPr>
            <w:r>
              <w:rPr>
                <w:color w:val="auto"/>
                <w:sz w:val="21"/>
                <w:szCs w:val="22"/>
              </w:rPr>
              <w:t>1套</w:t>
            </w:r>
          </w:p>
        </w:tc>
        <w:tc>
          <w:tcPr>
            <w:tcW w:w="1521" w:type="pct"/>
            <w:tcBorders>
              <w:tl2br w:val="nil"/>
              <w:tr2bl w:val="nil"/>
            </w:tcBorders>
            <w:vAlign w:val="center"/>
          </w:tcPr>
          <w:p w14:paraId="67405854">
            <w:pPr>
              <w:autoSpaceDE w:val="0"/>
              <w:autoSpaceDN w:val="0"/>
              <w:spacing w:line="240" w:lineRule="auto"/>
              <w:ind w:firstLine="420"/>
              <w:jc w:val="center"/>
              <w:rPr>
                <w:color w:val="auto"/>
                <w:sz w:val="21"/>
                <w:szCs w:val="22"/>
              </w:rPr>
            </w:pPr>
            <w:r>
              <w:rPr>
                <w:color w:val="auto"/>
                <w:sz w:val="21"/>
                <w:szCs w:val="22"/>
              </w:rPr>
              <w:t>消防中队</w:t>
            </w:r>
          </w:p>
        </w:tc>
      </w:tr>
      <w:tr w14:paraId="4625AB5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784690C2">
            <w:pPr>
              <w:autoSpaceDE w:val="0"/>
              <w:autoSpaceDN w:val="0"/>
              <w:spacing w:line="240" w:lineRule="auto"/>
              <w:ind w:firstLine="420"/>
              <w:jc w:val="center"/>
              <w:rPr>
                <w:color w:val="auto"/>
                <w:sz w:val="21"/>
                <w:szCs w:val="22"/>
              </w:rPr>
            </w:pPr>
            <w:r>
              <w:rPr>
                <w:color w:val="auto"/>
                <w:sz w:val="21"/>
                <w:szCs w:val="22"/>
              </w:rPr>
              <w:t>12</w:t>
            </w:r>
          </w:p>
        </w:tc>
        <w:tc>
          <w:tcPr>
            <w:tcW w:w="1923" w:type="pct"/>
            <w:tcBorders>
              <w:tl2br w:val="nil"/>
              <w:tr2bl w:val="nil"/>
            </w:tcBorders>
            <w:vAlign w:val="center"/>
          </w:tcPr>
          <w:p w14:paraId="462C4E26">
            <w:pPr>
              <w:autoSpaceDE w:val="0"/>
              <w:autoSpaceDN w:val="0"/>
              <w:spacing w:line="240" w:lineRule="auto"/>
              <w:ind w:firstLine="420"/>
              <w:jc w:val="center"/>
              <w:rPr>
                <w:color w:val="auto"/>
                <w:sz w:val="21"/>
                <w:szCs w:val="22"/>
              </w:rPr>
            </w:pPr>
            <w:r>
              <w:rPr>
                <w:color w:val="auto"/>
                <w:sz w:val="21"/>
                <w:szCs w:val="22"/>
              </w:rPr>
              <w:t>多功能应急灯</w:t>
            </w:r>
          </w:p>
        </w:tc>
        <w:tc>
          <w:tcPr>
            <w:tcW w:w="1119" w:type="pct"/>
            <w:tcBorders>
              <w:tl2br w:val="nil"/>
              <w:tr2bl w:val="nil"/>
            </w:tcBorders>
            <w:vAlign w:val="center"/>
          </w:tcPr>
          <w:p w14:paraId="2CBEE265">
            <w:pPr>
              <w:autoSpaceDE w:val="0"/>
              <w:autoSpaceDN w:val="0"/>
              <w:spacing w:line="240" w:lineRule="auto"/>
              <w:ind w:firstLine="420"/>
              <w:jc w:val="center"/>
              <w:rPr>
                <w:color w:val="auto"/>
                <w:sz w:val="21"/>
                <w:szCs w:val="22"/>
              </w:rPr>
            </w:pPr>
            <w:r>
              <w:rPr>
                <w:color w:val="auto"/>
                <w:sz w:val="21"/>
                <w:szCs w:val="22"/>
              </w:rPr>
              <w:t>10套</w:t>
            </w:r>
          </w:p>
        </w:tc>
        <w:tc>
          <w:tcPr>
            <w:tcW w:w="1521" w:type="pct"/>
            <w:tcBorders>
              <w:tl2br w:val="nil"/>
              <w:tr2bl w:val="nil"/>
            </w:tcBorders>
            <w:vAlign w:val="center"/>
          </w:tcPr>
          <w:p w14:paraId="32000752">
            <w:pPr>
              <w:autoSpaceDE w:val="0"/>
              <w:autoSpaceDN w:val="0"/>
              <w:spacing w:line="240" w:lineRule="auto"/>
              <w:ind w:firstLine="420"/>
              <w:jc w:val="center"/>
              <w:rPr>
                <w:color w:val="auto"/>
                <w:sz w:val="21"/>
                <w:szCs w:val="22"/>
              </w:rPr>
            </w:pPr>
            <w:r>
              <w:rPr>
                <w:color w:val="auto"/>
                <w:sz w:val="21"/>
                <w:szCs w:val="22"/>
              </w:rPr>
              <w:t>园区管理办公室</w:t>
            </w:r>
          </w:p>
        </w:tc>
      </w:tr>
      <w:tr w14:paraId="1B575C2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2E2AADDA">
            <w:pPr>
              <w:autoSpaceDE w:val="0"/>
              <w:autoSpaceDN w:val="0"/>
              <w:spacing w:line="240" w:lineRule="auto"/>
              <w:ind w:firstLine="420"/>
              <w:jc w:val="center"/>
              <w:rPr>
                <w:color w:val="auto"/>
                <w:sz w:val="21"/>
                <w:szCs w:val="22"/>
              </w:rPr>
            </w:pPr>
            <w:r>
              <w:rPr>
                <w:color w:val="auto"/>
                <w:sz w:val="21"/>
                <w:szCs w:val="22"/>
              </w:rPr>
              <w:t>13</w:t>
            </w:r>
          </w:p>
        </w:tc>
        <w:tc>
          <w:tcPr>
            <w:tcW w:w="1923" w:type="pct"/>
            <w:tcBorders>
              <w:tl2br w:val="nil"/>
              <w:tr2bl w:val="nil"/>
            </w:tcBorders>
            <w:vAlign w:val="center"/>
          </w:tcPr>
          <w:p w14:paraId="365C5319">
            <w:pPr>
              <w:autoSpaceDE w:val="0"/>
              <w:autoSpaceDN w:val="0"/>
              <w:spacing w:line="240" w:lineRule="auto"/>
              <w:ind w:firstLine="420"/>
              <w:jc w:val="center"/>
              <w:rPr>
                <w:color w:val="auto"/>
                <w:sz w:val="21"/>
                <w:szCs w:val="22"/>
              </w:rPr>
            </w:pPr>
            <w:r>
              <w:rPr>
                <w:color w:val="auto"/>
                <w:sz w:val="21"/>
                <w:szCs w:val="22"/>
              </w:rPr>
              <w:t>现场通讯工具</w:t>
            </w:r>
          </w:p>
        </w:tc>
        <w:tc>
          <w:tcPr>
            <w:tcW w:w="1119" w:type="pct"/>
            <w:tcBorders>
              <w:tl2br w:val="nil"/>
              <w:tr2bl w:val="nil"/>
            </w:tcBorders>
            <w:vAlign w:val="center"/>
          </w:tcPr>
          <w:p w14:paraId="0EECA3D4">
            <w:pPr>
              <w:autoSpaceDE w:val="0"/>
              <w:autoSpaceDN w:val="0"/>
              <w:spacing w:line="240" w:lineRule="auto"/>
              <w:ind w:firstLine="420"/>
              <w:jc w:val="center"/>
              <w:rPr>
                <w:color w:val="auto"/>
                <w:sz w:val="21"/>
                <w:szCs w:val="22"/>
              </w:rPr>
            </w:pPr>
            <w:r>
              <w:rPr>
                <w:color w:val="auto"/>
                <w:sz w:val="21"/>
                <w:szCs w:val="22"/>
              </w:rPr>
              <w:t>3套</w:t>
            </w:r>
          </w:p>
        </w:tc>
        <w:tc>
          <w:tcPr>
            <w:tcW w:w="1521" w:type="pct"/>
            <w:tcBorders>
              <w:tl2br w:val="nil"/>
              <w:tr2bl w:val="nil"/>
            </w:tcBorders>
            <w:vAlign w:val="center"/>
          </w:tcPr>
          <w:p w14:paraId="2755A2E8">
            <w:pPr>
              <w:autoSpaceDE w:val="0"/>
              <w:autoSpaceDN w:val="0"/>
              <w:spacing w:line="240" w:lineRule="auto"/>
              <w:ind w:firstLine="420"/>
              <w:jc w:val="center"/>
              <w:rPr>
                <w:color w:val="auto"/>
                <w:sz w:val="21"/>
                <w:szCs w:val="22"/>
              </w:rPr>
            </w:pPr>
            <w:r>
              <w:rPr>
                <w:color w:val="auto"/>
                <w:sz w:val="21"/>
                <w:szCs w:val="22"/>
              </w:rPr>
              <w:t>消防中队</w:t>
            </w:r>
          </w:p>
        </w:tc>
      </w:tr>
      <w:tr w14:paraId="725CFD8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0177DF2D">
            <w:pPr>
              <w:autoSpaceDE w:val="0"/>
              <w:autoSpaceDN w:val="0"/>
              <w:spacing w:line="240" w:lineRule="auto"/>
              <w:ind w:firstLine="420"/>
              <w:jc w:val="center"/>
              <w:rPr>
                <w:color w:val="auto"/>
                <w:sz w:val="21"/>
                <w:szCs w:val="22"/>
              </w:rPr>
            </w:pPr>
            <w:r>
              <w:rPr>
                <w:color w:val="auto"/>
                <w:sz w:val="21"/>
                <w:szCs w:val="22"/>
              </w:rPr>
              <w:t>14</w:t>
            </w:r>
          </w:p>
        </w:tc>
        <w:tc>
          <w:tcPr>
            <w:tcW w:w="1923" w:type="pct"/>
            <w:tcBorders>
              <w:tl2br w:val="nil"/>
              <w:tr2bl w:val="nil"/>
            </w:tcBorders>
            <w:vAlign w:val="center"/>
          </w:tcPr>
          <w:p w14:paraId="6EB976FE">
            <w:pPr>
              <w:autoSpaceDE w:val="0"/>
              <w:autoSpaceDN w:val="0"/>
              <w:spacing w:line="240" w:lineRule="auto"/>
              <w:ind w:firstLine="420"/>
              <w:jc w:val="center"/>
              <w:rPr>
                <w:color w:val="auto"/>
                <w:sz w:val="21"/>
                <w:szCs w:val="22"/>
              </w:rPr>
            </w:pPr>
            <w:r>
              <w:rPr>
                <w:color w:val="auto"/>
                <w:sz w:val="21"/>
                <w:szCs w:val="22"/>
              </w:rPr>
              <w:t>便携式计算机</w:t>
            </w:r>
          </w:p>
        </w:tc>
        <w:tc>
          <w:tcPr>
            <w:tcW w:w="1119" w:type="pct"/>
            <w:tcBorders>
              <w:tl2br w:val="nil"/>
              <w:tr2bl w:val="nil"/>
            </w:tcBorders>
            <w:vAlign w:val="center"/>
          </w:tcPr>
          <w:p w14:paraId="5C16F093">
            <w:pPr>
              <w:autoSpaceDE w:val="0"/>
              <w:autoSpaceDN w:val="0"/>
              <w:spacing w:line="240" w:lineRule="auto"/>
              <w:ind w:firstLine="420"/>
              <w:jc w:val="center"/>
              <w:rPr>
                <w:color w:val="auto"/>
                <w:sz w:val="21"/>
                <w:szCs w:val="22"/>
              </w:rPr>
            </w:pPr>
            <w:r>
              <w:rPr>
                <w:color w:val="auto"/>
                <w:sz w:val="21"/>
                <w:szCs w:val="22"/>
              </w:rPr>
              <w:t>2套</w:t>
            </w:r>
          </w:p>
        </w:tc>
        <w:tc>
          <w:tcPr>
            <w:tcW w:w="1521" w:type="pct"/>
            <w:tcBorders>
              <w:tl2br w:val="nil"/>
              <w:tr2bl w:val="nil"/>
            </w:tcBorders>
            <w:vAlign w:val="center"/>
          </w:tcPr>
          <w:p w14:paraId="771817FB">
            <w:pPr>
              <w:autoSpaceDE w:val="0"/>
              <w:autoSpaceDN w:val="0"/>
              <w:spacing w:line="240" w:lineRule="auto"/>
              <w:ind w:firstLine="420"/>
              <w:jc w:val="center"/>
              <w:rPr>
                <w:color w:val="auto"/>
                <w:sz w:val="21"/>
                <w:szCs w:val="22"/>
              </w:rPr>
            </w:pPr>
            <w:r>
              <w:rPr>
                <w:color w:val="auto"/>
                <w:sz w:val="21"/>
                <w:szCs w:val="22"/>
              </w:rPr>
              <w:t>园区管理办公室</w:t>
            </w:r>
          </w:p>
        </w:tc>
      </w:tr>
      <w:tr w14:paraId="6F435F7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747816B6">
            <w:pPr>
              <w:autoSpaceDE w:val="0"/>
              <w:autoSpaceDN w:val="0"/>
              <w:spacing w:line="240" w:lineRule="auto"/>
              <w:ind w:firstLine="420"/>
              <w:jc w:val="center"/>
              <w:rPr>
                <w:color w:val="auto"/>
                <w:sz w:val="21"/>
                <w:szCs w:val="22"/>
              </w:rPr>
            </w:pPr>
            <w:r>
              <w:rPr>
                <w:color w:val="auto"/>
                <w:sz w:val="21"/>
                <w:szCs w:val="22"/>
              </w:rPr>
              <w:t>15</w:t>
            </w:r>
          </w:p>
        </w:tc>
        <w:tc>
          <w:tcPr>
            <w:tcW w:w="1923" w:type="pct"/>
            <w:tcBorders>
              <w:tl2br w:val="nil"/>
              <w:tr2bl w:val="nil"/>
            </w:tcBorders>
            <w:vAlign w:val="center"/>
          </w:tcPr>
          <w:p w14:paraId="3E0C3423">
            <w:pPr>
              <w:autoSpaceDE w:val="0"/>
              <w:autoSpaceDN w:val="0"/>
              <w:spacing w:line="240" w:lineRule="auto"/>
              <w:ind w:firstLine="420"/>
              <w:jc w:val="center"/>
              <w:rPr>
                <w:color w:val="auto"/>
                <w:sz w:val="21"/>
                <w:szCs w:val="22"/>
              </w:rPr>
            </w:pPr>
            <w:r>
              <w:rPr>
                <w:color w:val="auto"/>
                <w:sz w:val="21"/>
                <w:szCs w:val="22"/>
              </w:rPr>
              <w:t>GPS 危险定位系统</w:t>
            </w:r>
          </w:p>
        </w:tc>
        <w:tc>
          <w:tcPr>
            <w:tcW w:w="1119" w:type="pct"/>
            <w:tcBorders>
              <w:tl2br w:val="nil"/>
              <w:tr2bl w:val="nil"/>
            </w:tcBorders>
            <w:vAlign w:val="center"/>
          </w:tcPr>
          <w:p w14:paraId="7538EB78">
            <w:pPr>
              <w:autoSpaceDE w:val="0"/>
              <w:autoSpaceDN w:val="0"/>
              <w:spacing w:line="240" w:lineRule="auto"/>
              <w:ind w:firstLine="420"/>
              <w:jc w:val="center"/>
              <w:rPr>
                <w:color w:val="auto"/>
                <w:sz w:val="21"/>
                <w:szCs w:val="22"/>
              </w:rPr>
            </w:pPr>
            <w:r>
              <w:rPr>
                <w:color w:val="auto"/>
                <w:sz w:val="21"/>
                <w:szCs w:val="22"/>
              </w:rPr>
              <w:t>1台/车</w:t>
            </w:r>
          </w:p>
        </w:tc>
        <w:tc>
          <w:tcPr>
            <w:tcW w:w="1521" w:type="pct"/>
            <w:tcBorders>
              <w:tl2br w:val="nil"/>
              <w:tr2bl w:val="nil"/>
            </w:tcBorders>
            <w:vAlign w:val="center"/>
          </w:tcPr>
          <w:p w14:paraId="23AE42BF">
            <w:pPr>
              <w:autoSpaceDE w:val="0"/>
              <w:autoSpaceDN w:val="0"/>
              <w:spacing w:line="240" w:lineRule="auto"/>
              <w:ind w:firstLine="420"/>
              <w:jc w:val="center"/>
              <w:rPr>
                <w:color w:val="auto"/>
                <w:sz w:val="21"/>
                <w:szCs w:val="22"/>
              </w:rPr>
            </w:pPr>
            <w:r>
              <w:rPr>
                <w:color w:val="auto"/>
                <w:sz w:val="21"/>
                <w:szCs w:val="22"/>
              </w:rPr>
              <w:t>消防中队</w:t>
            </w:r>
          </w:p>
        </w:tc>
      </w:tr>
      <w:tr w14:paraId="4FFBDAE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06B16BE3">
            <w:pPr>
              <w:autoSpaceDE w:val="0"/>
              <w:autoSpaceDN w:val="0"/>
              <w:spacing w:line="240" w:lineRule="auto"/>
              <w:ind w:firstLine="420"/>
              <w:jc w:val="center"/>
              <w:rPr>
                <w:color w:val="auto"/>
                <w:sz w:val="21"/>
                <w:szCs w:val="22"/>
              </w:rPr>
            </w:pPr>
            <w:r>
              <w:rPr>
                <w:color w:val="auto"/>
                <w:sz w:val="21"/>
                <w:szCs w:val="22"/>
              </w:rPr>
              <w:t>16</w:t>
            </w:r>
          </w:p>
        </w:tc>
        <w:tc>
          <w:tcPr>
            <w:tcW w:w="1923" w:type="pct"/>
            <w:tcBorders>
              <w:tl2br w:val="nil"/>
              <w:tr2bl w:val="nil"/>
            </w:tcBorders>
            <w:vAlign w:val="center"/>
          </w:tcPr>
          <w:p w14:paraId="5F84A46D">
            <w:pPr>
              <w:autoSpaceDE w:val="0"/>
              <w:autoSpaceDN w:val="0"/>
              <w:spacing w:line="240" w:lineRule="auto"/>
              <w:ind w:firstLine="420"/>
              <w:jc w:val="center"/>
              <w:rPr>
                <w:color w:val="auto"/>
                <w:sz w:val="21"/>
                <w:szCs w:val="22"/>
              </w:rPr>
            </w:pPr>
            <w:r>
              <w:rPr>
                <w:color w:val="auto"/>
                <w:sz w:val="21"/>
                <w:szCs w:val="22"/>
              </w:rPr>
              <w:t>大屏幕显示系统</w:t>
            </w:r>
          </w:p>
        </w:tc>
        <w:tc>
          <w:tcPr>
            <w:tcW w:w="1119" w:type="pct"/>
            <w:tcBorders>
              <w:tl2br w:val="nil"/>
              <w:tr2bl w:val="nil"/>
            </w:tcBorders>
            <w:vAlign w:val="center"/>
          </w:tcPr>
          <w:p w14:paraId="7EA4D5F1">
            <w:pPr>
              <w:autoSpaceDE w:val="0"/>
              <w:autoSpaceDN w:val="0"/>
              <w:spacing w:line="240" w:lineRule="auto"/>
              <w:ind w:firstLine="420"/>
              <w:jc w:val="center"/>
              <w:rPr>
                <w:color w:val="auto"/>
                <w:sz w:val="21"/>
                <w:szCs w:val="22"/>
              </w:rPr>
            </w:pPr>
            <w:r>
              <w:rPr>
                <w:color w:val="auto"/>
                <w:sz w:val="21"/>
                <w:szCs w:val="22"/>
              </w:rPr>
              <w:t>1台</w:t>
            </w:r>
          </w:p>
        </w:tc>
        <w:tc>
          <w:tcPr>
            <w:tcW w:w="1521" w:type="pct"/>
            <w:tcBorders>
              <w:tl2br w:val="nil"/>
              <w:tr2bl w:val="nil"/>
            </w:tcBorders>
            <w:vAlign w:val="center"/>
          </w:tcPr>
          <w:p w14:paraId="14B0716B">
            <w:pPr>
              <w:autoSpaceDE w:val="0"/>
              <w:autoSpaceDN w:val="0"/>
              <w:spacing w:line="240" w:lineRule="auto"/>
              <w:ind w:firstLine="420"/>
              <w:jc w:val="center"/>
              <w:rPr>
                <w:color w:val="auto"/>
                <w:sz w:val="21"/>
                <w:szCs w:val="22"/>
              </w:rPr>
            </w:pPr>
            <w:r>
              <w:rPr>
                <w:color w:val="auto"/>
                <w:sz w:val="21"/>
                <w:szCs w:val="22"/>
              </w:rPr>
              <w:t>园区管理办公室</w:t>
            </w:r>
          </w:p>
        </w:tc>
      </w:tr>
      <w:tr w14:paraId="7249E08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0C08CEBF">
            <w:pPr>
              <w:autoSpaceDE w:val="0"/>
              <w:autoSpaceDN w:val="0"/>
              <w:spacing w:line="240" w:lineRule="auto"/>
              <w:ind w:firstLine="420"/>
              <w:jc w:val="center"/>
              <w:rPr>
                <w:color w:val="auto"/>
                <w:sz w:val="21"/>
                <w:szCs w:val="22"/>
              </w:rPr>
            </w:pPr>
            <w:r>
              <w:rPr>
                <w:color w:val="auto"/>
                <w:sz w:val="21"/>
                <w:szCs w:val="22"/>
              </w:rPr>
              <w:t>17</w:t>
            </w:r>
          </w:p>
        </w:tc>
        <w:tc>
          <w:tcPr>
            <w:tcW w:w="1923" w:type="pct"/>
            <w:tcBorders>
              <w:tl2br w:val="nil"/>
              <w:tr2bl w:val="nil"/>
            </w:tcBorders>
            <w:vAlign w:val="center"/>
          </w:tcPr>
          <w:p w14:paraId="48F0232B">
            <w:pPr>
              <w:autoSpaceDE w:val="0"/>
              <w:autoSpaceDN w:val="0"/>
              <w:spacing w:line="240" w:lineRule="auto"/>
              <w:ind w:firstLine="420"/>
              <w:jc w:val="center"/>
              <w:rPr>
                <w:color w:val="auto"/>
                <w:sz w:val="21"/>
                <w:szCs w:val="22"/>
              </w:rPr>
            </w:pPr>
            <w:r>
              <w:rPr>
                <w:color w:val="auto"/>
                <w:sz w:val="21"/>
                <w:szCs w:val="22"/>
              </w:rPr>
              <w:t>防护服和防毒面具</w:t>
            </w:r>
          </w:p>
        </w:tc>
        <w:tc>
          <w:tcPr>
            <w:tcW w:w="1119" w:type="pct"/>
            <w:tcBorders>
              <w:tl2br w:val="nil"/>
              <w:tr2bl w:val="nil"/>
            </w:tcBorders>
            <w:vAlign w:val="center"/>
          </w:tcPr>
          <w:p w14:paraId="3F8201C9">
            <w:pPr>
              <w:autoSpaceDE w:val="0"/>
              <w:autoSpaceDN w:val="0"/>
              <w:spacing w:line="240" w:lineRule="auto"/>
              <w:ind w:firstLine="420"/>
              <w:jc w:val="center"/>
              <w:rPr>
                <w:color w:val="auto"/>
                <w:sz w:val="21"/>
                <w:szCs w:val="22"/>
              </w:rPr>
            </w:pPr>
            <w:r>
              <w:rPr>
                <w:color w:val="auto"/>
                <w:sz w:val="21"/>
                <w:szCs w:val="22"/>
              </w:rPr>
              <w:t>2套、5套</w:t>
            </w:r>
          </w:p>
        </w:tc>
        <w:tc>
          <w:tcPr>
            <w:tcW w:w="1521" w:type="pct"/>
            <w:tcBorders>
              <w:tl2br w:val="nil"/>
              <w:tr2bl w:val="nil"/>
            </w:tcBorders>
            <w:vAlign w:val="center"/>
          </w:tcPr>
          <w:p w14:paraId="798B5BB3">
            <w:pPr>
              <w:autoSpaceDE w:val="0"/>
              <w:autoSpaceDN w:val="0"/>
              <w:spacing w:line="240" w:lineRule="auto"/>
              <w:ind w:firstLine="420"/>
              <w:jc w:val="center"/>
              <w:rPr>
                <w:color w:val="auto"/>
                <w:sz w:val="21"/>
                <w:szCs w:val="22"/>
              </w:rPr>
            </w:pPr>
            <w:r>
              <w:rPr>
                <w:color w:val="auto"/>
                <w:sz w:val="21"/>
                <w:szCs w:val="22"/>
              </w:rPr>
              <w:t>消防中队</w:t>
            </w:r>
          </w:p>
        </w:tc>
      </w:tr>
      <w:tr w14:paraId="2F1C06F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1736A615">
            <w:pPr>
              <w:autoSpaceDE w:val="0"/>
              <w:autoSpaceDN w:val="0"/>
              <w:spacing w:line="240" w:lineRule="auto"/>
              <w:ind w:firstLine="420"/>
              <w:jc w:val="center"/>
              <w:rPr>
                <w:color w:val="auto"/>
                <w:sz w:val="21"/>
                <w:szCs w:val="22"/>
              </w:rPr>
            </w:pPr>
            <w:r>
              <w:rPr>
                <w:color w:val="auto"/>
                <w:sz w:val="21"/>
                <w:szCs w:val="22"/>
              </w:rPr>
              <w:t>18</w:t>
            </w:r>
          </w:p>
        </w:tc>
        <w:tc>
          <w:tcPr>
            <w:tcW w:w="1923" w:type="pct"/>
            <w:tcBorders>
              <w:tl2br w:val="nil"/>
              <w:tr2bl w:val="nil"/>
            </w:tcBorders>
            <w:vAlign w:val="center"/>
          </w:tcPr>
          <w:p w14:paraId="268E38CA">
            <w:pPr>
              <w:autoSpaceDE w:val="0"/>
              <w:autoSpaceDN w:val="0"/>
              <w:spacing w:line="240" w:lineRule="auto"/>
              <w:ind w:firstLine="420"/>
              <w:jc w:val="center"/>
              <w:rPr>
                <w:color w:val="auto"/>
                <w:sz w:val="21"/>
                <w:szCs w:val="22"/>
              </w:rPr>
            </w:pPr>
            <w:r>
              <w:rPr>
                <w:color w:val="auto"/>
                <w:sz w:val="21"/>
                <w:szCs w:val="22"/>
              </w:rPr>
              <w:t>消防车</w:t>
            </w:r>
          </w:p>
        </w:tc>
        <w:tc>
          <w:tcPr>
            <w:tcW w:w="1119" w:type="pct"/>
            <w:tcBorders>
              <w:tl2br w:val="nil"/>
              <w:tr2bl w:val="nil"/>
            </w:tcBorders>
            <w:vAlign w:val="center"/>
          </w:tcPr>
          <w:p w14:paraId="392569F6">
            <w:pPr>
              <w:autoSpaceDE w:val="0"/>
              <w:autoSpaceDN w:val="0"/>
              <w:spacing w:line="240" w:lineRule="auto"/>
              <w:ind w:firstLine="420"/>
              <w:jc w:val="center"/>
              <w:rPr>
                <w:color w:val="auto"/>
                <w:sz w:val="21"/>
                <w:szCs w:val="22"/>
              </w:rPr>
            </w:pPr>
            <w:r>
              <w:rPr>
                <w:color w:val="auto"/>
                <w:sz w:val="21"/>
                <w:szCs w:val="22"/>
              </w:rPr>
              <w:t>5台</w:t>
            </w:r>
          </w:p>
        </w:tc>
        <w:tc>
          <w:tcPr>
            <w:tcW w:w="1521" w:type="pct"/>
            <w:tcBorders>
              <w:tl2br w:val="nil"/>
              <w:tr2bl w:val="nil"/>
            </w:tcBorders>
            <w:vAlign w:val="center"/>
          </w:tcPr>
          <w:p w14:paraId="6B5ECE44">
            <w:pPr>
              <w:autoSpaceDE w:val="0"/>
              <w:autoSpaceDN w:val="0"/>
              <w:spacing w:line="240" w:lineRule="auto"/>
              <w:ind w:firstLine="420"/>
              <w:jc w:val="center"/>
              <w:rPr>
                <w:color w:val="auto"/>
                <w:sz w:val="21"/>
                <w:szCs w:val="22"/>
              </w:rPr>
            </w:pPr>
            <w:r>
              <w:rPr>
                <w:color w:val="auto"/>
                <w:sz w:val="21"/>
                <w:szCs w:val="22"/>
              </w:rPr>
              <w:t>消防中队</w:t>
            </w:r>
          </w:p>
        </w:tc>
      </w:tr>
      <w:tr w14:paraId="7176FCB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6144A3D2">
            <w:pPr>
              <w:autoSpaceDE w:val="0"/>
              <w:autoSpaceDN w:val="0"/>
              <w:spacing w:line="240" w:lineRule="auto"/>
              <w:ind w:firstLine="420"/>
              <w:jc w:val="center"/>
              <w:rPr>
                <w:color w:val="auto"/>
                <w:sz w:val="21"/>
                <w:szCs w:val="22"/>
              </w:rPr>
            </w:pPr>
            <w:r>
              <w:rPr>
                <w:color w:val="auto"/>
                <w:sz w:val="21"/>
                <w:szCs w:val="22"/>
              </w:rPr>
              <w:t>19</w:t>
            </w:r>
          </w:p>
        </w:tc>
        <w:tc>
          <w:tcPr>
            <w:tcW w:w="1923" w:type="pct"/>
            <w:vMerge w:val="restart"/>
            <w:tcBorders>
              <w:tl2br w:val="nil"/>
              <w:tr2bl w:val="nil"/>
            </w:tcBorders>
            <w:vAlign w:val="center"/>
          </w:tcPr>
          <w:p w14:paraId="214DAAEC">
            <w:pPr>
              <w:autoSpaceDE w:val="0"/>
              <w:autoSpaceDN w:val="0"/>
              <w:spacing w:line="240" w:lineRule="auto"/>
              <w:ind w:firstLine="420"/>
              <w:jc w:val="center"/>
              <w:rPr>
                <w:color w:val="auto"/>
                <w:sz w:val="21"/>
                <w:szCs w:val="22"/>
              </w:rPr>
            </w:pPr>
            <w:r>
              <w:rPr>
                <w:color w:val="auto"/>
                <w:sz w:val="21"/>
                <w:szCs w:val="22"/>
              </w:rPr>
              <w:t>氟蛋白抗醇性泡沫</w:t>
            </w:r>
          </w:p>
        </w:tc>
        <w:tc>
          <w:tcPr>
            <w:tcW w:w="1119" w:type="pct"/>
            <w:tcBorders>
              <w:tl2br w:val="nil"/>
              <w:tr2bl w:val="nil"/>
            </w:tcBorders>
            <w:vAlign w:val="center"/>
          </w:tcPr>
          <w:p w14:paraId="3BA2EE56">
            <w:pPr>
              <w:autoSpaceDE w:val="0"/>
              <w:autoSpaceDN w:val="0"/>
              <w:spacing w:line="240" w:lineRule="auto"/>
              <w:ind w:firstLine="420"/>
              <w:jc w:val="center"/>
              <w:rPr>
                <w:color w:val="auto"/>
                <w:sz w:val="21"/>
                <w:szCs w:val="22"/>
              </w:rPr>
            </w:pPr>
            <w:r>
              <w:rPr>
                <w:color w:val="auto"/>
                <w:sz w:val="21"/>
                <w:szCs w:val="22"/>
              </w:rPr>
              <w:t>25吨</w:t>
            </w:r>
          </w:p>
        </w:tc>
        <w:tc>
          <w:tcPr>
            <w:tcW w:w="1521" w:type="pct"/>
            <w:tcBorders>
              <w:tl2br w:val="nil"/>
              <w:tr2bl w:val="nil"/>
            </w:tcBorders>
            <w:vAlign w:val="center"/>
          </w:tcPr>
          <w:p w14:paraId="749E2178">
            <w:pPr>
              <w:autoSpaceDE w:val="0"/>
              <w:autoSpaceDN w:val="0"/>
              <w:spacing w:line="240" w:lineRule="auto"/>
              <w:ind w:firstLine="420"/>
              <w:jc w:val="center"/>
              <w:rPr>
                <w:color w:val="auto"/>
                <w:sz w:val="21"/>
                <w:szCs w:val="22"/>
              </w:rPr>
            </w:pPr>
            <w:r>
              <w:rPr>
                <w:color w:val="auto"/>
                <w:sz w:val="21"/>
                <w:szCs w:val="22"/>
              </w:rPr>
              <w:t>消防中队</w:t>
            </w:r>
          </w:p>
        </w:tc>
      </w:tr>
      <w:tr w14:paraId="5AD7427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7CC8F521">
            <w:pPr>
              <w:autoSpaceDE w:val="0"/>
              <w:autoSpaceDN w:val="0"/>
              <w:spacing w:line="240" w:lineRule="auto"/>
              <w:ind w:firstLine="420"/>
              <w:jc w:val="center"/>
              <w:rPr>
                <w:color w:val="auto"/>
                <w:sz w:val="21"/>
                <w:szCs w:val="22"/>
              </w:rPr>
            </w:pPr>
            <w:r>
              <w:rPr>
                <w:color w:val="auto"/>
                <w:sz w:val="21"/>
                <w:szCs w:val="22"/>
              </w:rPr>
              <w:t>20</w:t>
            </w:r>
          </w:p>
        </w:tc>
        <w:tc>
          <w:tcPr>
            <w:tcW w:w="1923" w:type="pct"/>
            <w:vMerge w:val="continue"/>
            <w:tcBorders>
              <w:tl2br w:val="nil"/>
              <w:tr2bl w:val="nil"/>
            </w:tcBorders>
            <w:vAlign w:val="center"/>
          </w:tcPr>
          <w:p w14:paraId="4470E34E">
            <w:pPr>
              <w:autoSpaceDE w:val="0"/>
              <w:autoSpaceDN w:val="0"/>
              <w:spacing w:line="240" w:lineRule="auto"/>
              <w:ind w:firstLine="420"/>
              <w:jc w:val="center"/>
              <w:rPr>
                <w:color w:val="auto"/>
                <w:sz w:val="21"/>
                <w:szCs w:val="22"/>
              </w:rPr>
            </w:pPr>
          </w:p>
        </w:tc>
        <w:tc>
          <w:tcPr>
            <w:tcW w:w="1119" w:type="pct"/>
            <w:tcBorders>
              <w:tl2br w:val="nil"/>
              <w:tr2bl w:val="nil"/>
            </w:tcBorders>
            <w:vAlign w:val="center"/>
          </w:tcPr>
          <w:p w14:paraId="39CD0BF7">
            <w:pPr>
              <w:autoSpaceDE w:val="0"/>
              <w:autoSpaceDN w:val="0"/>
              <w:spacing w:line="240" w:lineRule="auto"/>
              <w:ind w:firstLine="420"/>
              <w:jc w:val="center"/>
              <w:rPr>
                <w:color w:val="auto"/>
                <w:sz w:val="21"/>
                <w:szCs w:val="22"/>
              </w:rPr>
            </w:pPr>
            <w:r>
              <w:rPr>
                <w:color w:val="auto"/>
                <w:sz w:val="21"/>
                <w:szCs w:val="22"/>
              </w:rPr>
              <w:t>10吨</w:t>
            </w:r>
          </w:p>
        </w:tc>
        <w:tc>
          <w:tcPr>
            <w:tcW w:w="1521" w:type="pct"/>
            <w:tcBorders>
              <w:tl2br w:val="nil"/>
              <w:tr2bl w:val="nil"/>
            </w:tcBorders>
            <w:vAlign w:val="center"/>
          </w:tcPr>
          <w:p w14:paraId="0A50DA66">
            <w:pPr>
              <w:autoSpaceDE w:val="0"/>
              <w:autoSpaceDN w:val="0"/>
              <w:spacing w:line="240" w:lineRule="auto"/>
              <w:ind w:firstLine="420"/>
              <w:jc w:val="center"/>
              <w:rPr>
                <w:color w:val="auto"/>
                <w:sz w:val="21"/>
                <w:szCs w:val="22"/>
              </w:rPr>
            </w:pPr>
            <w:r>
              <w:rPr>
                <w:color w:val="auto"/>
                <w:sz w:val="21"/>
                <w:szCs w:val="22"/>
              </w:rPr>
              <w:t>好收成</w:t>
            </w:r>
          </w:p>
        </w:tc>
      </w:tr>
      <w:tr w14:paraId="5F752DC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0F1D86AE">
            <w:pPr>
              <w:autoSpaceDE w:val="0"/>
              <w:autoSpaceDN w:val="0"/>
              <w:spacing w:line="240" w:lineRule="auto"/>
              <w:ind w:firstLine="420"/>
              <w:jc w:val="center"/>
              <w:rPr>
                <w:color w:val="auto"/>
                <w:sz w:val="21"/>
                <w:szCs w:val="22"/>
              </w:rPr>
            </w:pPr>
            <w:r>
              <w:rPr>
                <w:color w:val="auto"/>
                <w:sz w:val="21"/>
                <w:szCs w:val="22"/>
              </w:rPr>
              <w:t>21</w:t>
            </w:r>
          </w:p>
        </w:tc>
        <w:tc>
          <w:tcPr>
            <w:tcW w:w="1923" w:type="pct"/>
            <w:vMerge w:val="continue"/>
            <w:tcBorders>
              <w:tl2br w:val="nil"/>
              <w:tr2bl w:val="nil"/>
            </w:tcBorders>
            <w:vAlign w:val="center"/>
          </w:tcPr>
          <w:p w14:paraId="7AC48491">
            <w:pPr>
              <w:autoSpaceDE w:val="0"/>
              <w:autoSpaceDN w:val="0"/>
              <w:spacing w:line="240" w:lineRule="auto"/>
              <w:ind w:firstLine="420"/>
              <w:jc w:val="center"/>
              <w:rPr>
                <w:color w:val="auto"/>
                <w:sz w:val="21"/>
                <w:szCs w:val="22"/>
              </w:rPr>
            </w:pPr>
          </w:p>
        </w:tc>
        <w:tc>
          <w:tcPr>
            <w:tcW w:w="1119" w:type="pct"/>
            <w:tcBorders>
              <w:tl2br w:val="nil"/>
              <w:tr2bl w:val="nil"/>
            </w:tcBorders>
            <w:vAlign w:val="center"/>
          </w:tcPr>
          <w:p w14:paraId="601EBA31">
            <w:pPr>
              <w:autoSpaceDE w:val="0"/>
              <w:autoSpaceDN w:val="0"/>
              <w:spacing w:line="240" w:lineRule="auto"/>
              <w:ind w:firstLine="420"/>
              <w:jc w:val="center"/>
              <w:rPr>
                <w:color w:val="auto"/>
                <w:sz w:val="21"/>
                <w:szCs w:val="22"/>
              </w:rPr>
            </w:pPr>
            <w:r>
              <w:rPr>
                <w:color w:val="auto"/>
                <w:sz w:val="21"/>
                <w:szCs w:val="22"/>
              </w:rPr>
              <w:t>5吨</w:t>
            </w:r>
          </w:p>
        </w:tc>
        <w:tc>
          <w:tcPr>
            <w:tcW w:w="1521" w:type="pct"/>
            <w:tcBorders>
              <w:tl2br w:val="nil"/>
              <w:tr2bl w:val="nil"/>
            </w:tcBorders>
            <w:vAlign w:val="center"/>
          </w:tcPr>
          <w:p w14:paraId="15D9CC09">
            <w:pPr>
              <w:autoSpaceDE w:val="0"/>
              <w:autoSpaceDN w:val="0"/>
              <w:spacing w:line="240" w:lineRule="auto"/>
              <w:ind w:firstLine="420"/>
              <w:jc w:val="center"/>
              <w:rPr>
                <w:color w:val="auto"/>
                <w:sz w:val="21"/>
                <w:szCs w:val="22"/>
              </w:rPr>
            </w:pPr>
            <w:r>
              <w:rPr>
                <w:color w:val="auto"/>
                <w:sz w:val="21"/>
                <w:szCs w:val="22"/>
              </w:rPr>
              <w:t>派尔科</w:t>
            </w:r>
          </w:p>
        </w:tc>
      </w:tr>
      <w:tr w14:paraId="6A54748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2D699065">
            <w:pPr>
              <w:autoSpaceDE w:val="0"/>
              <w:autoSpaceDN w:val="0"/>
              <w:spacing w:line="240" w:lineRule="auto"/>
              <w:ind w:firstLine="420"/>
              <w:jc w:val="center"/>
              <w:rPr>
                <w:color w:val="auto"/>
                <w:sz w:val="21"/>
                <w:szCs w:val="22"/>
              </w:rPr>
            </w:pPr>
            <w:r>
              <w:rPr>
                <w:color w:val="auto"/>
                <w:sz w:val="21"/>
                <w:szCs w:val="22"/>
              </w:rPr>
              <w:t>22</w:t>
            </w:r>
          </w:p>
        </w:tc>
        <w:tc>
          <w:tcPr>
            <w:tcW w:w="1923" w:type="pct"/>
            <w:tcBorders>
              <w:tl2br w:val="nil"/>
              <w:tr2bl w:val="nil"/>
            </w:tcBorders>
            <w:vAlign w:val="center"/>
          </w:tcPr>
          <w:p w14:paraId="45D54483">
            <w:pPr>
              <w:autoSpaceDE w:val="0"/>
              <w:autoSpaceDN w:val="0"/>
              <w:spacing w:line="240" w:lineRule="auto"/>
              <w:ind w:firstLine="420"/>
              <w:jc w:val="center"/>
              <w:rPr>
                <w:color w:val="auto"/>
                <w:sz w:val="21"/>
                <w:szCs w:val="22"/>
              </w:rPr>
            </w:pPr>
            <w:r>
              <w:rPr>
                <w:color w:val="auto"/>
                <w:sz w:val="21"/>
                <w:szCs w:val="22"/>
              </w:rPr>
              <w:t>抗烧性泡沫</w:t>
            </w:r>
          </w:p>
        </w:tc>
        <w:tc>
          <w:tcPr>
            <w:tcW w:w="1119" w:type="pct"/>
            <w:tcBorders>
              <w:tl2br w:val="nil"/>
              <w:tr2bl w:val="nil"/>
            </w:tcBorders>
            <w:vAlign w:val="center"/>
          </w:tcPr>
          <w:p w14:paraId="21B23CEB">
            <w:pPr>
              <w:autoSpaceDE w:val="0"/>
              <w:autoSpaceDN w:val="0"/>
              <w:spacing w:line="240" w:lineRule="auto"/>
              <w:ind w:firstLine="420"/>
              <w:jc w:val="center"/>
              <w:rPr>
                <w:color w:val="auto"/>
                <w:sz w:val="21"/>
                <w:szCs w:val="22"/>
              </w:rPr>
            </w:pPr>
            <w:r>
              <w:rPr>
                <w:color w:val="auto"/>
                <w:sz w:val="21"/>
                <w:szCs w:val="22"/>
              </w:rPr>
              <w:t>10吨</w:t>
            </w:r>
          </w:p>
        </w:tc>
        <w:tc>
          <w:tcPr>
            <w:tcW w:w="1521" w:type="pct"/>
            <w:tcBorders>
              <w:tl2br w:val="nil"/>
              <w:tr2bl w:val="nil"/>
            </w:tcBorders>
            <w:vAlign w:val="center"/>
          </w:tcPr>
          <w:p w14:paraId="4DD7C95B">
            <w:pPr>
              <w:autoSpaceDE w:val="0"/>
              <w:autoSpaceDN w:val="0"/>
              <w:spacing w:line="240" w:lineRule="auto"/>
              <w:ind w:firstLine="420"/>
              <w:jc w:val="center"/>
              <w:rPr>
                <w:color w:val="auto"/>
                <w:sz w:val="21"/>
                <w:szCs w:val="22"/>
              </w:rPr>
            </w:pPr>
            <w:r>
              <w:rPr>
                <w:color w:val="auto"/>
                <w:sz w:val="21"/>
                <w:szCs w:val="22"/>
              </w:rPr>
              <w:t>消防中队</w:t>
            </w:r>
          </w:p>
        </w:tc>
      </w:tr>
      <w:tr w14:paraId="363C596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435" w:type="pct"/>
            <w:tcBorders>
              <w:tl2br w:val="nil"/>
              <w:tr2bl w:val="nil"/>
            </w:tcBorders>
            <w:vAlign w:val="center"/>
          </w:tcPr>
          <w:p w14:paraId="45087D3F">
            <w:pPr>
              <w:autoSpaceDE w:val="0"/>
              <w:autoSpaceDN w:val="0"/>
              <w:spacing w:line="240" w:lineRule="auto"/>
              <w:ind w:firstLine="420"/>
              <w:jc w:val="center"/>
              <w:rPr>
                <w:color w:val="auto"/>
                <w:sz w:val="21"/>
                <w:szCs w:val="22"/>
              </w:rPr>
            </w:pPr>
            <w:r>
              <w:rPr>
                <w:color w:val="auto"/>
                <w:sz w:val="21"/>
                <w:szCs w:val="22"/>
              </w:rPr>
              <w:t>23</w:t>
            </w:r>
          </w:p>
        </w:tc>
        <w:tc>
          <w:tcPr>
            <w:tcW w:w="1923" w:type="pct"/>
            <w:tcBorders>
              <w:tl2br w:val="nil"/>
              <w:tr2bl w:val="nil"/>
            </w:tcBorders>
            <w:vAlign w:val="center"/>
          </w:tcPr>
          <w:p w14:paraId="71B9B7EB">
            <w:pPr>
              <w:autoSpaceDE w:val="0"/>
              <w:autoSpaceDN w:val="0"/>
              <w:spacing w:line="240" w:lineRule="auto"/>
              <w:ind w:firstLine="420"/>
              <w:jc w:val="center"/>
              <w:rPr>
                <w:color w:val="auto"/>
                <w:sz w:val="21"/>
                <w:szCs w:val="22"/>
              </w:rPr>
            </w:pPr>
            <w:r>
              <w:rPr>
                <w:color w:val="auto"/>
                <w:sz w:val="21"/>
                <w:szCs w:val="22"/>
              </w:rPr>
              <w:t>沙袋</w:t>
            </w:r>
          </w:p>
        </w:tc>
        <w:tc>
          <w:tcPr>
            <w:tcW w:w="1119" w:type="pct"/>
            <w:tcBorders>
              <w:tl2br w:val="nil"/>
              <w:tr2bl w:val="nil"/>
            </w:tcBorders>
            <w:vAlign w:val="center"/>
          </w:tcPr>
          <w:p w14:paraId="7CD1B0FF">
            <w:pPr>
              <w:autoSpaceDE w:val="0"/>
              <w:autoSpaceDN w:val="0"/>
              <w:spacing w:line="240" w:lineRule="auto"/>
              <w:ind w:firstLine="420"/>
              <w:jc w:val="center"/>
              <w:rPr>
                <w:color w:val="auto"/>
                <w:sz w:val="21"/>
                <w:szCs w:val="22"/>
              </w:rPr>
            </w:pPr>
            <w:r>
              <w:rPr>
                <w:color w:val="auto"/>
                <w:sz w:val="21"/>
                <w:szCs w:val="22"/>
              </w:rPr>
              <w:t>800个</w:t>
            </w:r>
          </w:p>
        </w:tc>
        <w:tc>
          <w:tcPr>
            <w:tcW w:w="1521" w:type="pct"/>
            <w:tcBorders>
              <w:tl2br w:val="nil"/>
              <w:tr2bl w:val="nil"/>
            </w:tcBorders>
            <w:vAlign w:val="center"/>
          </w:tcPr>
          <w:p w14:paraId="138025F1">
            <w:pPr>
              <w:autoSpaceDE w:val="0"/>
              <w:autoSpaceDN w:val="0"/>
              <w:spacing w:line="240" w:lineRule="auto"/>
              <w:ind w:firstLine="420"/>
              <w:jc w:val="center"/>
              <w:rPr>
                <w:color w:val="auto"/>
                <w:sz w:val="21"/>
                <w:szCs w:val="22"/>
              </w:rPr>
            </w:pPr>
            <w:r>
              <w:rPr>
                <w:color w:val="auto"/>
                <w:sz w:val="21"/>
                <w:szCs w:val="22"/>
              </w:rPr>
              <w:t>消防中队</w:t>
            </w:r>
          </w:p>
        </w:tc>
      </w:tr>
    </w:tbl>
    <w:p w14:paraId="443EAFDD">
      <w:pPr>
        <w:pStyle w:val="5"/>
        <w:spacing w:before="192"/>
        <w:rPr>
          <w:color w:val="auto"/>
        </w:rPr>
      </w:pPr>
      <w:r>
        <w:rPr>
          <w:color w:val="auto"/>
        </w:rPr>
        <w:t>7.6.3.3园区环境应急管理机构设置情况</w:t>
      </w:r>
    </w:p>
    <w:p w14:paraId="33ED9D42">
      <w:pPr>
        <w:adjustRightInd/>
        <w:ind w:firstLine="480"/>
        <w:rPr>
          <w:color w:val="auto"/>
          <w:szCs w:val="22"/>
          <w:lang w:val="zh-CN"/>
        </w:rPr>
      </w:pPr>
      <w:r>
        <w:rPr>
          <w:color w:val="auto"/>
          <w:szCs w:val="22"/>
          <w:lang w:val="zh-CN"/>
        </w:rPr>
        <w:t>启东生命健康产业园已成立独立的环境应急管理机构，园区突发环境事件应急指挥中心包括总指挥、副总指挥和指挥中心成员。指挥中心成员直接领导各下属应急专业救援队，并向总指挥汇报，由总指挥协调各队工作的进行。</w:t>
      </w:r>
    </w:p>
    <w:p w14:paraId="3DB6BD00">
      <w:pPr>
        <w:adjustRightInd/>
        <w:ind w:firstLine="480"/>
        <w:rPr>
          <w:color w:val="auto"/>
          <w:szCs w:val="22"/>
          <w:lang w:val="zh-CN"/>
        </w:rPr>
      </w:pPr>
      <w:r>
        <w:rPr>
          <w:color w:val="auto"/>
          <w:szCs w:val="22"/>
          <w:lang w:val="zh-CN"/>
        </w:rPr>
        <w:t>总指挥在接到事件发生企业(或事业)单位的报警后，决定启动园区突发环境事件应急预案，通知应急救援的相关部门(</w:t>
      </w:r>
      <w:r>
        <w:rPr>
          <w:rFonts w:hint="eastAsia"/>
          <w:color w:val="auto"/>
          <w:szCs w:val="22"/>
          <w:lang w:val="zh-CN"/>
        </w:rPr>
        <w:t>生态环境</w:t>
      </w:r>
      <w:r>
        <w:rPr>
          <w:color w:val="auto"/>
          <w:szCs w:val="22"/>
          <w:lang w:val="zh-CN"/>
        </w:rPr>
        <w:t>、消防、</w:t>
      </w:r>
      <w:r>
        <w:rPr>
          <w:rFonts w:hint="eastAsia"/>
          <w:color w:val="auto"/>
          <w:szCs w:val="22"/>
          <w:lang w:val="zh-CN"/>
        </w:rPr>
        <w:t>应急管理</w:t>
      </w:r>
      <w:r>
        <w:rPr>
          <w:color w:val="auto"/>
          <w:szCs w:val="22"/>
          <w:lang w:val="zh-CN"/>
        </w:rPr>
        <w:t>等)做好应急准备，并负责应急救援的统一指挥。根据事件发生、发展的情况决定是否请求上级应急指挥机构给予支援，副总指挥协助总指挥负责应急救援的具体指挥工作。</w:t>
      </w:r>
    </w:p>
    <w:bookmarkEnd w:id="349"/>
    <w:p w14:paraId="267D828B">
      <w:pPr>
        <w:pStyle w:val="5"/>
        <w:spacing w:before="192"/>
        <w:rPr>
          <w:color w:val="auto"/>
        </w:rPr>
      </w:pPr>
      <w:r>
        <w:rPr>
          <w:color w:val="auto"/>
        </w:rPr>
        <w:t>7.6.3.4园区环境应急救援队伍建设情况</w:t>
      </w:r>
    </w:p>
    <w:p w14:paraId="3805C44C">
      <w:pPr>
        <w:adjustRightInd/>
        <w:ind w:firstLine="480"/>
        <w:rPr>
          <w:color w:val="auto"/>
          <w:szCs w:val="22"/>
          <w:lang w:val="zh-CN"/>
        </w:rPr>
      </w:pPr>
      <w:r>
        <w:rPr>
          <w:color w:val="auto"/>
          <w:szCs w:val="22"/>
          <w:lang w:val="zh-CN"/>
        </w:rPr>
        <w:t>园区突发环境事件应急预案已明确园区环境应急救援指挥机构组成及职责。园区成立以园区党工委书记为总指挥，管委会副主任为副总指挥，消防队、安监局、生态环境办公室、综合执法局、派出所、政法和综合事务局等相关部门和单位专业技术负责人为成员的应急指挥中心，下设：抢险救援组、安全警戒和人员疏散组、环境保护组、物资后勤供应组、舆情善后组、电力气象保障组、环境应急监察组、环境安全专家咨询组等应急救援工作组。</w:t>
      </w:r>
    </w:p>
    <w:p w14:paraId="50485B1E">
      <w:pPr>
        <w:pStyle w:val="5"/>
        <w:spacing w:before="192"/>
        <w:rPr>
          <w:color w:val="auto"/>
        </w:rPr>
      </w:pPr>
      <w:r>
        <w:rPr>
          <w:rFonts w:hint="eastAsia"/>
          <w:color w:val="auto"/>
        </w:rPr>
        <w:t>7.6.3.5园区“三级防控”体系建设情况</w:t>
      </w:r>
    </w:p>
    <w:p w14:paraId="02DC80FE">
      <w:pPr>
        <w:ind w:firstLine="480"/>
        <w:rPr>
          <w:color w:val="auto"/>
        </w:rPr>
      </w:pPr>
      <w:r>
        <w:rPr>
          <w:rFonts w:hint="eastAsia"/>
          <w:color w:val="auto"/>
        </w:rPr>
        <w:t>启东生命</w:t>
      </w:r>
      <w:r>
        <w:rPr>
          <w:color w:val="auto"/>
        </w:rPr>
        <w:t>健康产业园</w:t>
      </w:r>
      <w:r>
        <w:rPr>
          <w:rFonts w:hint="eastAsia"/>
          <w:color w:val="auto"/>
        </w:rPr>
        <w:t>已</w:t>
      </w:r>
      <w:r>
        <w:rPr>
          <w:color w:val="auto"/>
        </w:rPr>
        <w:t>编制</w:t>
      </w:r>
      <w:r>
        <w:rPr>
          <w:rFonts w:hint="eastAsia"/>
          <w:color w:val="auto"/>
        </w:rPr>
        <w:t>了</w:t>
      </w:r>
      <w:r>
        <w:rPr>
          <w:color w:val="auto"/>
        </w:rPr>
        <w:t>《</w:t>
      </w:r>
      <w:r>
        <w:rPr>
          <w:rFonts w:hint="eastAsia"/>
          <w:color w:val="auto"/>
        </w:rPr>
        <w:t>启东生命</w:t>
      </w:r>
      <w:r>
        <w:rPr>
          <w:color w:val="auto"/>
        </w:rPr>
        <w:t>健康产业园突发水污染事件三级防控体系建设方案》</w:t>
      </w:r>
      <w:r>
        <w:rPr>
          <w:rFonts w:hint="eastAsia"/>
          <w:color w:val="auto"/>
        </w:rPr>
        <w:t>，</w:t>
      </w:r>
      <w:r>
        <w:rPr>
          <w:color w:val="auto"/>
        </w:rPr>
        <w:t>明确了企业厂界、园区边界及周边水体三级防控工程建设项目，并制定了配套的应急响应流程，明确了预警级别、响应主体、部门联动等措施，形成“一区一策一图”，确保突发环境情景下，园区能够构建满足应急处置需要的水环境安全缓冲区，实现突发环境事件“被动应对”到“主动防控”的转变，切实减轻突发环境事件对周边水系的环境影响</w:t>
      </w:r>
      <w:r>
        <w:rPr>
          <w:rFonts w:hint="eastAsia"/>
          <w:color w:val="auto"/>
        </w:rPr>
        <w:t>。</w:t>
      </w:r>
    </w:p>
    <w:p w14:paraId="604D43BF">
      <w:pPr>
        <w:ind w:firstLine="480"/>
        <w:rPr>
          <w:color w:val="auto"/>
        </w:rPr>
      </w:pPr>
      <w:r>
        <w:rPr>
          <w:rFonts w:hint="eastAsia"/>
          <w:color w:val="auto"/>
        </w:rPr>
        <w:t>一级防控（企业）：以企业围堰、事故应急池、初期雨水池、污水池、雨污水排放管路和排放口等构成事故排水收集、暂存、转输、控制设施，确保当突发环境事件发生时，工业企业能够将水污染控制在厂区范围内。当园区企业发生突发水污染事件时，企业立即安排专人关闭企业雨水排口阀门，对事故废水进行截断，防止事故废水流入外环境，厂区事故废水的收集主要依靠企业厂区事故应急池、初期雨水池、污水处理站等设施，事故废水的转移依靠厂区配套设置的雨污管网、事故应急泵、移动式输送管线等，事故废水经收集后最终送厂区污水处理站处理，经一企一管送园区污水处理厂深度处理。</w:t>
      </w:r>
    </w:p>
    <w:p w14:paraId="0F2CEE6D">
      <w:pPr>
        <w:ind w:firstLine="480"/>
        <w:rPr>
          <w:color w:val="auto"/>
        </w:rPr>
      </w:pPr>
      <w:r>
        <w:rPr>
          <w:rFonts w:hint="eastAsia"/>
          <w:color w:val="auto"/>
        </w:rPr>
        <w:t>二级防控（园区管网）：以园区公共应急池、雨水管网分区闸控及回抽系统、小河坑塘沟渠、闸坝、污水处理厂应急池等构成的事故排水收集、暂存、隔断设施</w:t>
      </w:r>
      <w:r>
        <w:rPr>
          <w:color w:val="auto"/>
        </w:rPr>
        <w:t>，确保当企业事故废水未能有效控制在厂界内，蔓延至园区时，园区能够借助一系列防控设施，截断事故废水的外溢路径，确保将水污染控制在园区边界内。园区公共事故应急池计划由江苏好收成韦恩农化股份有限公司南厂区空置的污水收集、处理池进行改造建设而成，总容积约5.1万m3。当区内企业发生突发</w:t>
      </w:r>
      <w:r>
        <w:rPr>
          <w:rFonts w:hint="eastAsia"/>
          <w:color w:val="auto"/>
        </w:rPr>
        <w:t>水污染</w:t>
      </w:r>
      <w:r>
        <w:rPr>
          <w:color w:val="auto"/>
        </w:rPr>
        <w:t>事件</w:t>
      </w:r>
      <w:r>
        <w:rPr>
          <w:rFonts w:hint="eastAsia"/>
          <w:color w:val="auto"/>
        </w:rPr>
        <w:t>，</w:t>
      </w:r>
      <w:r>
        <w:rPr>
          <w:color w:val="auto"/>
        </w:rPr>
        <w:t>事故废水已无法控制在企业内部时，通过封堵涉事企业周边雨水井，对事故废水进行截断，防止事故废水流入地表水体，配置泵车、事故应急泵及输送管线</w:t>
      </w:r>
      <w:r>
        <w:rPr>
          <w:rFonts w:hint="eastAsia"/>
          <w:color w:val="auto"/>
        </w:rPr>
        <w:t>（人工</w:t>
      </w:r>
      <w:r>
        <w:rPr>
          <w:color w:val="auto"/>
        </w:rPr>
        <w:t>架设</w:t>
      </w:r>
      <w:r>
        <w:rPr>
          <w:rFonts w:hint="eastAsia"/>
          <w:color w:val="auto"/>
        </w:rPr>
        <w:t>）</w:t>
      </w:r>
      <w:r>
        <w:rPr>
          <w:color w:val="auto"/>
        </w:rPr>
        <w:t>将</w:t>
      </w:r>
      <w:r>
        <w:rPr>
          <w:rFonts w:hint="eastAsia"/>
          <w:color w:val="auto"/>
        </w:rPr>
        <w:t>流入市政雨水</w:t>
      </w:r>
      <w:r>
        <w:rPr>
          <w:color w:val="auto"/>
        </w:rPr>
        <w:t>管网的事故废水</w:t>
      </w:r>
      <w:r>
        <w:rPr>
          <w:rFonts w:hint="eastAsia"/>
          <w:color w:val="auto"/>
        </w:rPr>
        <w:t>直接</w:t>
      </w:r>
      <w:r>
        <w:rPr>
          <w:color w:val="auto"/>
        </w:rPr>
        <w:t>或通过</w:t>
      </w:r>
      <w:r>
        <w:rPr>
          <w:rFonts w:hint="eastAsia"/>
          <w:color w:val="auto"/>
        </w:rPr>
        <w:t>泵车</w:t>
      </w:r>
      <w:r>
        <w:rPr>
          <w:color w:val="auto"/>
        </w:rPr>
        <w:t>转移至</w:t>
      </w:r>
      <w:r>
        <w:rPr>
          <w:rFonts w:hint="eastAsia"/>
          <w:color w:val="auto"/>
        </w:rPr>
        <w:t>事故</w:t>
      </w:r>
      <w:r>
        <w:rPr>
          <w:color w:val="auto"/>
        </w:rPr>
        <w:t>企业及其周边企业的事故应急池，</w:t>
      </w:r>
      <w:r>
        <w:rPr>
          <w:rFonts w:hint="eastAsia"/>
          <w:color w:val="auto"/>
        </w:rPr>
        <w:t>再通过</w:t>
      </w:r>
      <w:r>
        <w:rPr>
          <w:color w:val="auto"/>
        </w:rPr>
        <w:t>“</w:t>
      </w:r>
      <w:r>
        <w:rPr>
          <w:rFonts w:hint="eastAsia"/>
          <w:color w:val="auto"/>
        </w:rPr>
        <w:t>一企一管</w:t>
      </w:r>
      <w:r>
        <w:rPr>
          <w:color w:val="auto"/>
        </w:rPr>
        <w:t>”</w:t>
      </w:r>
      <w:r>
        <w:rPr>
          <w:rFonts w:hint="eastAsia"/>
          <w:color w:val="auto"/>
        </w:rPr>
        <w:t>最终</w:t>
      </w:r>
      <w:r>
        <w:rPr>
          <w:color w:val="auto"/>
        </w:rPr>
        <w:t>送园区污水处理厂处理达标后排入长江</w:t>
      </w:r>
      <w:r>
        <w:rPr>
          <w:rFonts w:hint="eastAsia"/>
          <w:color w:val="auto"/>
        </w:rPr>
        <w:t>，条件可以的话，直接将事故废水转移至园区污水处理厂。</w:t>
      </w:r>
    </w:p>
    <w:p w14:paraId="49C395A0">
      <w:pPr>
        <w:ind w:firstLine="480"/>
        <w:rPr>
          <w:color w:val="auto"/>
        </w:rPr>
      </w:pPr>
      <w:r>
        <w:rPr>
          <w:rFonts w:hint="eastAsia"/>
          <w:color w:val="auto"/>
        </w:rPr>
        <w:t>三级防控（区内河流）：以周边重要水体为防控目标，对园区河流实施水利闸控、建设阻止污染扩散隔断设施。</w:t>
      </w:r>
      <w:r>
        <w:rPr>
          <w:color w:val="auto"/>
        </w:rPr>
        <w:t>充分利用现有园区现有区内河道、闸站等可用资源，建设完成以进出园区河流，周边重要水体为防控目标的一系列水利调控、隔断设施，实现事故废水的可防可控，防止园区内事故废水的扩散对周边水体造成污染与影响</w:t>
      </w:r>
      <w:r>
        <w:rPr>
          <w:rFonts w:hint="eastAsia"/>
          <w:color w:val="auto"/>
        </w:rPr>
        <w:t>。</w:t>
      </w:r>
    </w:p>
    <w:p w14:paraId="6C1BDAE1">
      <w:pPr>
        <w:pStyle w:val="5"/>
        <w:spacing w:before="192"/>
        <w:rPr>
          <w:color w:val="auto"/>
          <w:lang w:val="zh-CN"/>
        </w:rPr>
      </w:pPr>
      <w:bookmarkStart w:id="350" w:name="_Hlk156927891"/>
      <w:bookmarkStart w:id="351" w:name="_Hlk154829315"/>
      <w:r>
        <w:rPr>
          <w:color w:val="auto"/>
          <w:lang w:val="zh-CN"/>
        </w:rPr>
        <w:t>7.6.</w:t>
      </w:r>
      <w:r>
        <w:rPr>
          <w:color w:val="auto"/>
        </w:rPr>
        <w:t>3.</w:t>
      </w:r>
      <w:r>
        <w:rPr>
          <w:rFonts w:hint="eastAsia"/>
          <w:color w:val="auto"/>
        </w:rPr>
        <w:t>6拟建</w:t>
      </w:r>
      <w:r>
        <w:rPr>
          <w:color w:val="auto"/>
          <w:lang w:val="zh-CN"/>
        </w:rPr>
        <w:t>与园区“三级防控”建设衔接要求</w:t>
      </w:r>
      <w:bookmarkEnd w:id="350"/>
    </w:p>
    <w:p w14:paraId="03A8DC28">
      <w:pPr>
        <w:ind w:firstLine="480"/>
        <w:rPr>
          <w:color w:val="auto"/>
        </w:rPr>
      </w:pPr>
      <w:bookmarkStart w:id="352" w:name="_Hlk156927903"/>
      <w:r>
        <w:rPr>
          <w:color w:val="auto"/>
        </w:rPr>
        <w:t>根据《南通市突发水污染事件应急防范体系建设实施方案》，项目所在启东生命健康产业园在三级防控体系建设范围内。园区已编制完成突发水污染事件三级防控体系建设方案并备案。目前，园区三级防控体系建设已完成并投入使用。</w:t>
      </w:r>
      <w:r>
        <w:rPr>
          <w:rFonts w:hint="eastAsia"/>
          <w:color w:val="auto"/>
        </w:rPr>
        <w:t>拟建</w:t>
      </w:r>
      <w:r>
        <w:rPr>
          <w:color w:val="auto"/>
        </w:rPr>
        <w:t>建设完成后应与园区水环境风险防范措施相衔接，确保发生事故时，废水能够有效收集处理，不外溢造成环境污染。</w:t>
      </w:r>
    </w:p>
    <w:p w14:paraId="0012AC19">
      <w:pPr>
        <w:ind w:firstLine="480"/>
        <w:rPr>
          <w:color w:val="auto"/>
        </w:rPr>
      </w:pPr>
      <w:r>
        <w:rPr>
          <w:color w:val="auto"/>
        </w:rPr>
        <w:t>亚太药业应建立与园区对接、联动的风险防范体系。可从以下几个方面进行建设：</w:t>
      </w:r>
    </w:p>
    <w:p w14:paraId="6760EC15">
      <w:pPr>
        <w:ind w:firstLine="480"/>
        <w:rPr>
          <w:color w:val="auto"/>
        </w:rPr>
      </w:pPr>
      <w:r>
        <w:rPr>
          <w:rFonts w:hint="eastAsia"/>
          <w:color w:val="auto"/>
        </w:rPr>
        <w:t>①</w:t>
      </w:r>
      <w:r>
        <w:rPr>
          <w:color w:val="auto"/>
        </w:rPr>
        <w:t>与园区突发环境事件应急预案的衔接</w:t>
      </w:r>
    </w:p>
    <w:p w14:paraId="0C4DD9E5">
      <w:pPr>
        <w:ind w:firstLine="480"/>
        <w:rPr>
          <w:color w:val="auto"/>
        </w:rPr>
      </w:pPr>
      <w:r>
        <w:rPr>
          <w:color w:val="auto"/>
        </w:rPr>
        <w:t>亚太药业应急预案与园区突发环境事件应急预案、启东市突发环境事件应急预案、南通市突发环境事件应急处理预案等相衔接。当亚太药业发生重大突发环境事件，超出企业处理能力时，由上级主管部门启动相应应急预案。</w:t>
      </w:r>
    </w:p>
    <w:p w14:paraId="21ACD566">
      <w:pPr>
        <w:ind w:firstLine="480"/>
        <w:rPr>
          <w:color w:val="auto"/>
        </w:rPr>
      </w:pPr>
      <w:r>
        <w:rPr>
          <w:color w:val="auto"/>
        </w:rPr>
        <w:t>A、应急组织机构、人员的衔接</w:t>
      </w:r>
    </w:p>
    <w:p w14:paraId="7E836E29">
      <w:pPr>
        <w:ind w:firstLine="480"/>
        <w:rPr>
          <w:color w:val="auto"/>
        </w:rPr>
      </w:pPr>
      <w:r>
        <w:rPr>
          <w:color w:val="auto"/>
        </w:rPr>
        <w:t>当发生风险事故时，公司通讯联络组应及时承担起与当地区域或各职能管理部门的应急指挥机构的联系工作，及时将事故发生情况及最新进展向有关部门汇报，并将上级指挥机构的命令及时向公司应急指挥部汇报；应急监测组、应急技术组共同编制环境污染事故报告，并将报告向上级部门汇报。</w:t>
      </w:r>
    </w:p>
    <w:p w14:paraId="13261F5F">
      <w:pPr>
        <w:ind w:firstLine="480"/>
        <w:rPr>
          <w:color w:val="auto"/>
        </w:rPr>
      </w:pPr>
      <w:r>
        <w:rPr>
          <w:color w:val="auto"/>
        </w:rPr>
        <w:t>B、预案分级响应的衔接</w:t>
      </w:r>
    </w:p>
    <w:p w14:paraId="388E3862">
      <w:pPr>
        <w:ind w:firstLine="480"/>
        <w:rPr>
          <w:color w:val="auto"/>
        </w:rPr>
      </w:pPr>
      <w:r>
        <w:rPr>
          <w:color w:val="auto"/>
        </w:rPr>
        <w:t>a、重大污染事故：应急指挥部在接到事故报警后，及时向园区突发环境事件应急指挥中心、启东市突发环境事件应急指挥中心、南通市突发环境事件应急指挥中心、江苏省生态环境厅报告，并请求支援；上级应急处理指挥部进行紧急动员，适时启动本级环境污染事故应急预案，迅速调集救援力量，指挥各成员单位、相关职能部门，根据本级应急预案组成各个应急行动小组，按照各自的职责和现场救援具体方案开展抢险救援工作，厂内各小队听从上级现场指挥部的领导。当污染事故有进一步扩大、发展趋势，或因事故衍生问题造成重大社会不稳定事态，上级现场指挥将根据事态发展，及时向上汇报以及时调整应急响应级别。</w:t>
      </w:r>
    </w:p>
    <w:p w14:paraId="4315DC45">
      <w:pPr>
        <w:ind w:firstLine="480"/>
        <w:rPr>
          <w:color w:val="auto"/>
        </w:rPr>
      </w:pPr>
      <w:r>
        <w:rPr>
          <w:color w:val="auto"/>
        </w:rPr>
        <w:t>b、较大突发环境事件：应急指挥部应在接报后立即向园区突发环境事件应急指挥中心、启东市突发环境事件应急指挥中心、南通市突发环境事件应急指挥中心上报，启动公司突发环境事件应急预案，必要时向固定机构或其他单位请求援助，实时进行事故处理动态情况续报，事故处置完毕后及时进行总结，将事故处理结果进行上报。</w:t>
      </w:r>
    </w:p>
    <w:p w14:paraId="38B026A6">
      <w:pPr>
        <w:ind w:firstLine="480"/>
        <w:rPr>
          <w:color w:val="auto"/>
        </w:rPr>
      </w:pPr>
      <w:r>
        <w:rPr>
          <w:color w:val="auto"/>
        </w:rPr>
        <w:t>c、一般突发环境事件：立即启动公司突发环境事件应急预案，在污染事故现场处置妥当后，经应急指挥部研究确定后，向当地环保部门报告处理结果。</w:t>
      </w:r>
    </w:p>
    <w:p w14:paraId="58C77124">
      <w:pPr>
        <w:ind w:firstLine="480"/>
        <w:rPr>
          <w:color w:val="auto"/>
        </w:rPr>
      </w:pPr>
      <w:r>
        <w:rPr>
          <w:color w:val="auto"/>
        </w:rPr>
        <w:t>C、应急救援保障的衔接</w:t>
      </w:r>
    </w:p>
    <w:p w14:paraId="764C4CD0">
      <w:pPr>
        <w:ind w:firstLine="480"/>
        <w:rPr>
          <w:color w:val="auto"/>
        </w:rPr>
      </w:pPr>
      <w:r>
        <w:rPr>
          <w:color w:val="auto"/>
        </w:rPr>
        <w:t>a、单位互助体系：建设单位和周边企业建立良好的应急互助关系，在重大事故发生后，相互支援。</w:t>
      </w:r>
    </w:p>
    <w:p w14:paraId="682BC67D">
      <w:pPr>
        <w:ind w:firstLine="480"/>
        <w:rPr>
          <w:color w:val="auto"/>
        </w:rPr>
      </w:pPr>
      <w:r>
        <w:rPr>
          <w:color w:val="auto"/>
        </w:rPr>
        <w:t>b、公共援助力量：厂区需要外部援助时可第一时间向园区公安派出所求助，还可以联系启东市、南通市公共消防队、医院、公安、交通、应急管理局以及各相关职能部门，请求救援力量、设备的支持。</w:t>
      </w:r>
    </w:p>
    <w:p w14:paraId="726A9E38">
      <w:pPr>
        <w:ind w:firstLine="480"/>
        <w:rPr>
          <w:color w:val="auto"/>
        </w:rPr>
      </w:pPr>
      <w:r>
        <w:rPr>
          <w:color w:val="auto"/>
        </w:rPr>
        <w:t>c、专家援助：企业建立风险事故救援安全专家库，在紧急情况下，可以联系获取救援支持。</w:t>
      </w:r>
    </w:p>
    <w:p w14:paraId="7F44D15C">
      <w:pPr>
        <w:ind w:firstLine="480"/>
        <w:rPr>
          <w:color w:val="auto"/>
        </w:rPr>
      </w:pPr>
      <w:r>
        <w:rPr>
          <w:color w:val="auto"/>
        </w:rPr>
        <w:t>D、应急培训计划的衔接</w:t>
      </w:r>
    </w:p>
    <w:p w14:paraId="0E20C2EA">
      <w:pPr>
        <w:ind w:firstLine="480"/>
        <w:rPr>
          <w:color w:val="auto"/>
        </w:rPr>
      </w:pPr>
      <w:r>
        <w:rPr>
          <w:color w:val="auto"/>
        </w:rPr>
        <w:t>企业在开展应急培训计划的同时，还应积极配合园区、启东市、南通市开展的应急培训计划，在发生风险事故时，及时与上级应急组织取得联系。</w:t>
      </w:r>
    </w:p>
    <w:p w14:paraId="19E254AA">
      <w:pPr>
        <w:ind w:firstLine="480"/>
        <w:rPr>
          <w:color w:val="auto"/>
        </w:rPr>
      </w:pPr>
      <w:r>
        <w:rPr>
          <w:color w:val="auto"/>
        </w:rPr>
        <w:t>E、信息通报的衔接</w:t>
      </w:r>
    </w:p>
    <w:p w14:paraId="1AD6C671">
      <w:pPr>
        <w:ind w:firstLine="480"/>
        <w:rPr>
          <w:color w:val="auto"/>
        </w:rPr>
      </w:pPr>
      <w:r>
        <w:rPr>
          <w:color w:val="auto"/>
        </w:rPr>
        <w:t>建设畅通的信息通道。公司突发环境事件应急指挥部必须与周边企业、村庄村委会保持 24 小时的电话联系。一旦发生风险事故，可在第一时间通知相关单位组织居民疏散、撤离。</w:t>
      </w:r>
    </w:p>
    <w:p w14:paraId="3C8797DF">
      <w:pPr>
        <w:ind w:firstLine="480"/>
        <w:rPr>
          <w:color w:val="auto"/>
        </w:rPr>
      </w:pPr>
      <w:r>
        <w:rPr>
          <w:color w:val="auto"/>
        </w:rPr>
        <w:t>②与园区环境风险防范措施联动</w:t>
      </w:r>
    </w:p>
    <w:p w14:paraId="38DA100B">
      <w:pPr>
        <w:ind w:firstLine="480"/>
        <w:rPr>
          <w:color w:val="auto"/>
        </w:rPr>
      </w:pPr>
      <w:r>
        <w:rPr>
          <w:color w:val="auto"/>
        </w:rPr>
        <w:t>A、建立事故废水应急联动机制</w:t>
      </w:r>
    </w:p>
    <w:p w14:paraId="20A63B28">
      <w:pPr>
        <w:ind w:firstLine="480"/>
        <w:rPr>
          <w:color w:val="auto"/>
        </w:rPr>
      </w:pPr>
      <w:r>
        <w:rPr>
          <w:color w:val="auto"/>
        </w:rPr>
        <w:t>建立企业、园区两级应急联动机制，当事件超出本企业应急能力时，及时请求园区应急指挥部支援，由园区协调相关部门参与有关道路运输、土壤、河流等方面的突发环境事件现场处置工作，提供专业技术指导，并为应急处置人员提供开展城建、管道、道路、地质、水利设施等信息资料，确保应急救援工作顺利开展。同时应建立与当地环保公司、检测公司的应急联动机制，广泛调动社会力量，保障事故能得到快速有效的处理处置。</w:t>
      </w:r>
    </w:p>
    <w:p w14:paraId="24383A1C">
      <w:pPr>
        <w:ind w:firstLine="480"/>
        <w:rPr>
          <w:color w:val="auto"/>
        </w:rPr>
      </w:pPr>
      <w:r>
        <w:rPr>
          <w:rFonts w:hint="eastAsia"/>
          <w:color w:val="auto"/>
        </w:rPr>
        <w:t>拟建</w:t>
      </w:r>
      <w:r>
        <w:rPr>
          <w:color w:val="auto"/>
        </w:rPr>
        <w:t>依托的三级防控体系如下：</w:t>
      </w:r>
    </w:p>
    <w:p w14:paraId="1C1A1014">
      <w:pPr>
        <w:ind w:firstLine="480"/>
        <w:rPr>
          <w:color w:val="auto"/>
        </w:rPr>
      </w:pPr>
      <w:r>
        <w:rPr>
          <w:color w:val="auto"/>
        </w:rPr>
        <w:t>企业厂界：</w:t>
      </w:r>
    </w:p>
    <w:p w14:paraId="2EE782D1">
      <w:pPr>
        <w:ind w:firstLine="480"/>
        <w:rPr>
          <w:color w:val="auto"/>
        </w:rPr>
      </w:pPr>
      <w:r>
        <w:rPr>
          <w:color w:val="auto"/>
        </w:rPr>
        <w:t>企业厂界实现雨污分流，建设事故应急池，厂区内储罐区设置围堰；雨污水排放口安装在线监测设备等配套设施建设。</w:t>
      </w:r>
    </w:p>
    <w:p w14:paraId="02926492">
      <w:pPr>
        <w:ind w:firstLine="480"/>
        <w:rPr>
          <w:color w:val="auto"/>
        </w:rPr>
      </w:pPr>
      <w:r>
        <w:rPr>
          <w:color w:val="auto"/>
        </w:rPr>
        <w:t>园区边界：</w:t>
      </w:r>
    </w:p>
    <w:p w14:paraId="4528E3F2">
      <w:pPr>
        <w:ind w:firstLine="480"/>
        <w:rPr>
          <w:color w:val="auto"/>
        </w:rPr>
      </w:pPr>
      <w:r>
        <w:rPr>
          <w:color w:val="auto"/>
        </w:rPr>
        <w:t>通过园区内部应急池、雨水管网、闸坝、污水处理厂等构筑物，收集、暂存、隔断事故无废水，确保当企业事故废水未能有效控制在厂界内蔓延至园区时或园区公共区域</w:t>
      </w:r>
    </w:p>
    <w:p w14:paraId="4CBD8984">
      <w:pPr>
        <w:ind w:firstLine="480"/>
        <w:rPr>
          <w:color w:val="auto"/>
        </w:rPr>
      </w:pPr>
      <w:r>
        <w:rPr>
          <w:color w:val="auto"/>
        </w:rPr>
        <w:t>发生泄漏等突发环境事件时，园区能够借助公共实施有效截留污废水，确保将水污染控制在园区边界。</w:t>
      </w:r>
    </w:p>
    <w:p w14:paraId="1E516C30">
      <w:pPr>
        <w:ind w:firstLine="480"/>
        <w:rPr>
          <w:color w:val="auto"/>
        </w:rPr>
      </w:pPr>
      <w:r>
        <w:rPr>
          <w:color w:val="auto"/>
        </w:rPr>
        <w:t>周边水体：</w:t>
      </w:r>
    </w:p>
    <w:p w14:paraId="34B0421C">
      <w:pPr>
        <w:ind w:firstLine="480"/>
        <w:rPr>
          <w:color w:val="auto"/>
        </w:rPr>
      </w:pPr>
      <w:r>
        <w:rPr>
          <w:color w:val="auto"/>
        </w:rPr>
        <w:t>通过充分利用现有园区现有区内河道、闸站等可用资源，建设完成以进出园区河流、周边重要水体为防控目标的一系列水利调控、隔断设施，实现事故废水的可防可控，防止园区内事故废水的扩散对周边水体造成污染与影响。</w:t>
      </w:r>
    </w:p>
    <w:p w14:paraId="68E4E963">
      <w:pPr>
        <w:ind w:firstLine="480"/>
        <w:rPr>
          <w:color w:val="auto"/>
        </w:rPr>
      </w:pPr>
      <w:r>
        <w:rPr>
          <w:color w:val="auto"/>
        </w:rPr>
        <w:t>通过依托三级防控体系，有效实现企业与园区联动，将环境风险降到最低。</w:t>
      </w:r>
    </w:p>
    <w:p w14:paraId="30DA642A">
      <w:pPr>
        <w:ind w:firstLine="480"/>
        <w:rPr>
          <w:color w:val="auto"/>
        </w:rPr>
      </w:pPr>
      <w:r>
        <w:rPr>
          <w:color w:val="auto"/>
        </w:rPr>
        <w:t>C、依托区域环境应急救援物资储备</w:t>
      </w:r>
    </w:p>
    <w:p w14:paraId="454179FF">
      <w:pPr>
        <w:ind w:firstLine="480"/>
        <w:rPr>
          <w:color w:val="auto"/>
        </w:rPr>
      </w:pPr>
      <w:r>
        <w:rPr>
          <w:color w:val="auto"/>
        </w:rPr>
        <w:t>启东生命健康产业园内各环境风险企业基本配备了相应的应急物资及装备，当发生突发环境事件时，可根据突发环境事件的严重性，各企业可进行应急救援互助，共享应急救援物资。此外，园区也配备了一定量的应急救援物资和装备，分布于园区消防队、管委会及部分园区企业。园区应急救援物资和装备配置情况详见表7.6.3-1。</w:t>
      </w:r>
    </w:p>
    <w:p w14:paraId="7BF20433">
      <w:pPr>
        <w:ind w:firstLine="480"/>
        <w:rPr>
          <w:rFonts w:eastAsia="仿宋_GB2312"/>
          <w:color w:val="auto"/>
          <w:szCs w:val="28"/>
        </w:rPr>
      </w:pPr>
      <w:r>
        <w:rPr>
          <w:color w:val="auto"/>
        </w:rPr>
        <w:t>当应急状况发生时，园区和企业将按照信息共享、协同合作的原则，共同发挥各自的应急力量和优势完成园区内的突发性环境事件的应急工作。根据环境污染事件的危害级别、影响范围，园区和企业将承担不同的责任。环境事件的影响范围局限在企业范围内的，由企业主导完成事件的应急、救援工作，园区提供协调和应急力量上的帮助。当环境事件的影响超出企业范围，且企业无法及时有效应对突发环境污染事件时，由园区主导应急救援工作，调度包括事件发生企业和园区其它企业应急救援力量共同完成事件的应急救援工作，并上报上级政府和主管部门。</w:t>
      </w:r>
    </w:p>
    <w:bookmarkEnd w:id="351"/>
    <w:bookmarkEnd w:id="352"/>
    <w:p w14:paraId="0E980D32">
      <w:pPr>
        <w:pStyle w:val="4"/>
        <w:rPr>
          <w:color w:val="auto"/>
          <w:lang w:val="zh-CN"/>
        </w:rPr>
      </w:pPr>
      <w:bookmarkStart w:id="353" w:name="_Toc22630"/>
      <w:r>
        <w:rPr>
          <w:color w:val="auto"/>
          <w:lang w:val="zh-CN"/>
        </w:rPr>
        <w:t>7.6.</w:t>
      </w:r>
      <w:r>
        <w:rPr>
          <w:color w:val="auto"/>
        </w:rPr>
        <w:t>4</w:t>
      </w:r>
      <w:r>
        <w:rPr>
          <w:color w:val="auto"/>
          <w:lang w:val="zh-CN"/>
        </w:rPr>
        <w:t>环保设施安全风险辨识</w:t>
      </w:r>
      <w:bookmarkEnd w:id="353"/>
    </w:p>
    <w:p w14:paraId="7A3EE398">
      <w:pPr>
        <w:ind w:firstLine="480"/>
        <w:rPr>
          <w:color w:val="auto"/>
        </w:rPr>
      </w:pPr>
      <w:r>
        <w:rPr>
          <w:color w:val="auto"/>
        </w:rPr>
        <w:t>对照《关于做好生态环境和应急管理部门联动工作的意见》(苏环办[2020]101)(以下简称“意见”)第三条：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59AE3368">
      <w:pPr>
        <w:ind w:firstLine="480"/>
        <w:rPr>
          <w:color w:val="auto"/>
        </w:rPr>
      </w:pPr>
      <w:r>
        <w:rPr>
          <w:rFonts w:hint="eastAsia"/>
          <w:color w:val="auto"/>
        </w:rPr>
        <w:t>拟建</w:t>
      </w:r>
      <w:r>
        <w:rPr>
          <w:color w:val="auto"/>
        </w:rPr>
        <w:t>厂内污水处理站、挥发性有机物回收管道及集气罩、废气处理设施属于意见第三条列明的六类环境治理设施，需开展安全风险辨识管控。企业应对相关环保设施进行安全风险辨识，主要辨识内容包括危险有害因素、事故类型、事故原因、后果、影响范围，并针对安全风险辨识内容对安全风险进行分析，综合判断防范措施的有效性，为后续安全管控提供措施及建议。</w:t>
      </w:r>
    </w:p>
    <w:p w14:paraId="0AF6F9EC">
      <w:pPr>
        <w:ind w:firstLine="480"/>
        <w:rPr>
          <w:color w:val="auto"/>
        </w:rPr>
      </w:pPr>
      <w:bookmarkStart w:id="354" w:name="_Toc108962044"/>
      <w:bookmarkStart w:id="355" w:name="_Toc108599936"/>
      <w:bookmarkStart w:id="356" w:name="_Toc123918520"/>
      <w:bookmarkStart w:id="357" w:name="_Toc108961600"/>
      <w:bookmarkStart w:id="358" w:name="_Toc108782900"/>
      <w:bookmarkStart w:id="359" w:name="_Hlk108603195"/>
      <w:r>
        <w:rPr>
          <w:color w:val="auto"/>
        </w:rPr>
        <w:t>通过风险防范措施的设立和应急预案的建立，可以较为有效的最大限度防治风险事故的发生和有效处置，并结合企业在下一步设计、运营过程中不断制定和完善的风险防范措施和应急预案，</w:t>
      </w:r>
      <w:r>
        <w:rPr>
          <w:rFonts w:hint="eastAsia"/>
          <w:color w:val="auto"/>
        </w:rPr>
        <w:t>拟建</w:t>
      </w:r>
      <w:r>
        <w:rPr>
          <w:color w:val="auto"/>
        </w:rPr>
        <w:t>所发生的环境风险是可防控的。</w:t>
      </w:r>
    </w:p>
    <w:p w14:paraId="3FDE7DBE">
      <w:pPr>
        <w:pStyle w:val="3"/>
        <w:spacing w:before="385"/>
        <w:rPr>
          <w:rFonts w:eastAsia="仿宋_GB2312"/>
          <w:color w:val="auto"/>
        </w:rPr>
      </w:pPr>
      <w:bookmarkStart w:id="360" w:name="_Toc187838876"/>
      <w:bookmarkStart w:id="361" w:name="_Toc5604"/>
      <w:r>
        <w:rPr>
          <w:color w:val="auto"/>
        </w:rPr>
        <w:t>7.7生态环境保护措施</w:t>
      </w:r>
      <w:bookmarkEnd w:id="354"/>
      <w:bookmarkEnd w:id="355"/>
      <w:bookmarkEnd w:id="356"/>
      <w:bookmarkEnd w:id="357"/>
      <w:bookmarkEnd w:id="358"/>
      <w:bookmarkEnd w:id="360"/>
      <w:bookmarkEnd w:id="361"/>
    </w:p>
    <w:p w14:paraId="558AC5E7">
      <w:pPr>
        <w:ind w:firstLine="480"/>
        <w:rPr>
          <w:color w:val="auto"/>
        </w:rPr>
      </w:pPr>
      <w:r>
        <w:rPr>
          <w:color w:val="auto"/>
        </w:rPr>
        <w:t>为减轻项目建设给环境带来的不利影响，</w:t>
      </w:r>
      <w:r>
        <w:rPr>
          <w:rFonts w:hint="eastAsia"/>
          <w:color w:val="auto"/>
        </w:rPr>
        <w:t>拟建</w:t>
      </w:r>
      <w:r>
        <w:rPr>
          <w:color w:val="auto"/>
        </w:rPr>
        <w:t>将采取一系列的生态保护措施。</w:t>
      </w:r>
    </w:p>
    <w:p w14:paraId="47D70DA1">
      <w:pPr>
        <w:ind w:firstLine="480"/>
        <w:rPr>
          <w:color w:val="auto"/>
        </w:rPr>
      </w:pPr>
      <w:r>
        <w:rPr>
          <w:color w:val="auto"/>
        </w:rPr>
        <w:t>(1)绿化在防治污染和绿化环境等方面起着特殊作用，绿色植物具有保持土壤、吸附粉尘、净化空气、减弱噪声、调温调湿等功能。</w:t>
      </w:r>
      <w:r>
        <w:rPr>
          <w:rFonts w:hint="eastAsia"/>
          <w:color w:val="auto"/>
        </w:rPr>
        <w:t>拟建</w:t>
      </w:r>
      <w:r>
        <w:rPr>
          <w:color w:val="auto"/>
        </w:rPr>
        <w:t>宜种植吸滞粉尘性能好的、易活、易长、价廉的树木和花草，以减轻项目废气对生态的影响。</w:t>
      </w:r>
    </w:p>
    <w:p w14:paraId="2032A3BF">
      <w:pPr>
        <w:ind w:firstLine="480"/>
        <w:rPr>
          <w:color w:val="auto"/>
        </w:rPr>
      </w:pPr>
      <w:r>
        <w:rPr>
          <w:color w:val="auto"/>
        </w:rPr>
        <w:t>(2)</w:t>
      </w:r>
      <w:r>
        <w:rPr>
          <w:rFonts w:hint="eastAsia"/>
          <w:color w:val="auto"/>
        </w:rPr>
        <w:t>拟建</w:t>
      </w:r>
      <w:r>
        <w:rPr>
          <w:color w:val="auto"/>
        </w:rPr>
        <w:t>采用严格的分区防渗措施，对主厂房、污水处理站等区域采用重点防渗，必须能够满足相应的防渗要求。</w:t>
      </w:r>
    </w:p>
    <w:p w14:paraId="51C08A16">
      <w:pPr>
        <w:ind w:firstLine="480"/>
        <w:rPr>
          <w:color w:val="auto"/>
        </w:rPr>
      </w:pPr>
      <w:r>
        <w:rPr>
          <w:color w:val="auto"/>
        </w:rPr>
        <w:t>(3)制定严格的生产管理措施，设有专人定时对厂区生产装置、输送管线等进行巡检，要求巡检人员对发现的跑冒滴漏现象要及时上报，对出现的问题要求及时妥善处置。</w:t>
      </w:r>
    </w:p>
    <w:p w14:paraId="627E5491">
      <w:pPr>
        <w:ind w:firstLine="480"/>
        <w:rPr>
          <w:color w:val="auto"/>
        </w:rPr>
      </w:pPr>
      <w:r>
        <w:rPr>
          <w:color w:val="auto"/>
        </w:rPr>
        <w:t>(4)对项目废水进行有效处理确保达标排放，避免废水排放对联合环境水务(启东)有限公司造成冲击、对地表水生态环境造成影响。</w:t>
      </w:r>
    </w:p>
    <w:p w14:paraId="237F3211">
      <w:pPr>
        <w:ind w:firstLine="480"/>
        <w:rPr>
          <w:rFonts w:eastAsia="仿宋_GB2312"/>
          <w:color w:val="auto"/>
          <w:kern w:val="0"/>
          <w:szCs w:val="20"/>
        </w:rPr>
      </w:pPr>
      <w:r>
        <w:rPr>
          <w:color w:val="auto"/>
        </w:rPr>
        <w:t>(5)对项目废气进行有效处理确保达标排放，避免废气排放对环境空气质量造成影响。</w:t>
      </w:r>
    </w:p>
    <w:bookmarkEnd w:id="359"/>
    <w:p w14:paraId="4B7432CC">
      <w:pPr>
        <w:pStyle w:val="3"/>
        <w:spacing w:before="385"/>
        <w:rPr>
          <w:color w:val="auto"/>
        </w:rPr>
      </w:pPr>
      <w:bookmarkStart w:id="362" w:name="_Toc3371"/>
      <w:bookmarkStart w:id="363" w:name="_Toc8437"/>
      <w:bookmarkStart w:id="364" w:name="_Toc9320"/>
      <w:r>
        <w:rPr>
          <w:color w:val="auto"/>
        </w:rPr>
        <w:t>7.</w:t>
      </w:r>
      <w:r>
        <w:rPr>
          <w:rFonts w:hint="eastAsia"/>
          <w:color w:val="auto"/>
        </w:rPr>
        <w:t>8三同时一览表</w:t>
      </w:r>
      <w:bookmarkEnd w:id="362"/>
      <w:bookmarkEnd w:id="363"/>
      <w:bookmarkEnd w:id="364"/>
    </w:p>
    <w:p w14:paraId="199FF30D">
      <w:pPr>
        <w:ind w:firstLine="480"/>
        <w:rPr>
          <w:color w:val="auto"/>
        </w:rPr>
      </w:pPr>
      <w:r>
        <w:rPr>
          <w:rFonts w:hint="eastAsia"/>
          <w:color w:val="auto"/>
        </w:rPr>
        <w:t>拟建</w:t>
      </w:r>
      <w:r>
        <w:rPr>
          <w:color w:val="auto"/>
        </w:rPr>
        <w:t>项目污染治理措施“三同时”及处理效果见表7.</w:t>
      </w:r>
      <w:r>
        <w:rPr>
          <w:rFonts w:hint="eastAsia"/>
          <w:color w:val="auto"/>
        </w:rPr>
        <w:t>8-1。</w:t>
      </w:r>
    </w:p>
    <w:p w14:paraId="7FE799BC">
      <w:pPr>
        <w:spacing w:line="460" w:lineRule="exact"/>
        <w:ind w:firstLine="0" w:firstLineChars="0"/>
        <w:jc w:val="center"/>
        <w:rPr>
          <w:b/>
          <w:bCs/>
          <w:color w:val="auto"/>
        </w:rPr>
      </w:pPr>
      <w:r>
        <w:rPr>
          <w:b/>
          <w:bCs/>
          <w:color w:val="auto"/>
        </w:rPr>
        <w:t>表7.</w:t>
      </w:r>
      <w:r>
        <w:rPr>
          <w:rFonts w:hint="eastAsia"/>
          <w:b/>
          <w:bCs/>
          <w:color w:val="auto"/>
        </w:rPr>
        <w:t>8</w:t>
      </w:r>
      <w:r>
        <w:rPr>
          <w:b/>
          <w:bCs/>
          <w:color w:val="auto"/>
        </w:rPr>
        <w:t xml:space="preserve">-1 </w:t>
      </w:r>
      <w:r>
        <w:rPr>
          <w:rFonts w:hint="eastAsia"/>
          <w:b/>
          <w:bCs/>
          <w:color w:val="auto"/>
        </w:rPr>
        <w:t xml:space="preserve"> </w:t>
      </w:r>
      <w:r>
        <w:rPr>
          <w:b/>
          <w:bCs/>
          <w:color w:val="auto"/>
        </w:rPr>
        <w:t>拟建项目“三同时”一览表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324"/>
        <w:gridCol w:w="1639"/>
        <w:gridCol w:w="2092"/>
        <w:gridCol w:w="1996"/>
        <w:gridCol w:w="997"/>
        <w:gridCol w:w="786"/>
      </w:tblGrid>
      <w:tr w14:paraId="75D74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21173F68">
            <w:pPr>
              <w:spacing w:line="240" w:lineRule="auto"/>
              <w:ind w:firstLine="0" w:firstLineChars="0"/>
              <w:jc w:val="center"/>
              <w:rPr>
                <w:b/>
                <w:bCs/>
                <w:color w:val="auto"/>
                <w:sz w:val="21"/>
                <w:szCs w:val="21"/>
              </w:rPr>
            </w:pPr>
            <w:r>
              <w:rPr>
                <w:b/>
                <w:bCs/>
                <w:color w:val="auto"/>
                <w:sz w:val="21"/>
                <w:szCs w:val="21"/>
              </w:rPr>
              <w:t>类别</w:t>
            </w:r>
          </w:p>
        </w:tc>
        <w:tc>
          <w:tcPr>
            <w:tcW w:w="677" w:type="pct"/>
            <w:tcMar>
              <w:left w:w="28" w:type="dxa"/>
            </w:tcMar>
            <w:vAlign w:val="center"/>
          </w:tcPr>
          <w:p w14:paraId="407942D7">
            <w:pPr>
              <w:spacing w:line="240" w:lineRule="auto"/>
              <w:ind w:firstLine="0" w:firstLineChars="0"/>
              <w:jc w:val="center"/>
              <w:rPr>
                <w:b/>
                <w:bCs/>
                <w:color w:val="auto"/>
                <w:sz w:val="21"/>
                <w:szCs w:val="21"/>
              </w:rPr>
            </w:pPr>
            <w:r>
              <w:rPr>
                <w:b/>
                <w:bCs/>
                <w:color w:val="auto"/>
                <w:sz w:val="21"/>
                <w:szCs w:val="21"/>
              </w:rPr>
              <w:t>污染源</w:t>
            </w:r>
          </w:p>
        </w:tc>
        <w:tc>
          <w:tcPr>
            <w:tcW w:w="838" w:type="pct"/>
            <w:tcMar>
              <w:left w:w="28" w:type="dxa"/>
            </w:tcMar>
            <w:vAlign w:val="center"/>
          </w:tcPr>
          <w:p w14:paraId="42B09480">
            <w:pPr>
              <w:spacing w:line="240" w:lineRule="auto"/>
              <w:ind w:firstLine="0" w:firstLineChars="0"/>
              <w:jc w:val="center"/>
              <w:rPr>
                <w:b/>
                <w:bCs/>
                <w:color w:val="auto"/>
                <w:sz w:val="21"/>
                <w:szCs w:val="21"/>
              </w:rPr>
            </w:pPr>
            <w:r>
              <w:rPr>
                <w:b/>
                <w:bCs/>
                <w:color w:val="auto"/>
                <w:sz w:val="21"/>
                <w:szCs w:val="21"/>
              </w:rPr>
              <w:t>污染物</w:t>
            </w:r>
          </w:p>
        </w:tc>
        <w:tc>
          <w:tcPr>
            <w:tcW w:w="1069" w:type="pct"/>
            <w:tcMar>
              <w:left w:w="28" w:type="dxa"/>
            </w:tcMar>
            <w:vAlign w:val="center"/>
          </w:tcPr>
          <w:p w14:paraId="153BBFAD">
            <w:pPr>
              <w:spacing w:line="240" w:lineRule="auto"/>
              <w:ind w:firstLine="0" w:firstLineChars="0"/>
              <w:jc w:val="center"/>
              <w:rPr>
                <w:b/>
                <w:bCs/>
                <w:color w:val="auto"/>
                <w:sz w:val="21"/>
                <w:szCs w:val="21"/>
              </w:rPr>
            </w:pPr>
            <w:r>
              <w:rPr>
                <w:b/>
                <w:bCs/>
                <w:color w:val="auto"/>
                <w:sz w:val="21"/>
                <w:szCs w:val="21"/>
              </w:rPr>
              <w:t>治理措施</w:t>
            </w:r>
            <w:r>
              <w:rPr>
                <w:rFonts w:hint="eastAsia"/>
                <w:b/>
                <w:bCs/>
                <w:color w:val="auto"/>
                <w:sz w:val="21"/>
                <w:szCs w:val="21"/>
              </w:rPr>
              <w:t>（</w:t>
            </w:r>
            <w:r>
              <w:rPr>
                <w:b/>
                <w:bCs/>
                <w:color w:val="auto"/>
                <w:sz w:val="21"/>
                <w:szCs w:val="21"/>
              </w:rPr>
              <w:t>建设数量、规模、处理能力等</w:t>
            </w:r>
            <w:r>
              <w:rPr>
                <w:rFonts w:hint="eastAsia"/>
                <w:b/>
                <w:bCs/>
                <w:color w:val="auto"/>
                <w:sz w:val="21"/>
                <w:szCs w:val="21"/>
              </w:rPr>
              <w:t>）</w:t>
            </w:r>
          </w:p>
        </w:tc>
        <w:tc>
          <w:tcPr>
            <w:tcW w:w="1021" w:type="pct"/>
            <w:tcMar>
              <w:left w:w="28" w:type="dxa"/>
            </w:tcMar>
            <w:vAlign w:val="center"/>
          </w:tcPr>
          <w:p w14:paraId="69C84C62">
            <w:pPr>
              <w:spacing w:line="240" w:lineRule="auto"/>
              <w:ind w:firstLine="0" w:firstLineChars="0"/>
              <w:jc w:val="center"/>
              <w:rPr>
                <w:b/>
                <w:bCs/>
                <w:color w:val="auto"/>
                <w:sz w:val="21"/>
                <w:szCs w:val="21"/>
              </w:rPr>
            </w:pPr>
            <w:r>
              <w:rPr>
                <w:b/>
                <w:bCs/>
                <w:color w:val="auto"/>
                <w:sz w:val="21"/>
                <w:szCs w:val="21"/>
              </w:rPr>
              <w:t>处理效果、执行标准或拟达要求</w:t>
            </w:r>
          </w:p>
        </w:tc>
        <w:tc>
          <w:tcPr>
            <w:tcW w:w="510" w:type="pct"/>
            <w:tcMar>
              <w:left w:w="28" w:type="dxa"/>
            </w:tcMar>
            <w:vAlign w:val="center"/>
          </w:tcPr>
          <w:p w14:paraId="5F134DDE">
            <w:pPr>
              <w:spacing w:line="240" w:lineRule="auto"/>
              <w:ind w:firstLine="0" w:firstLineChars="0"/>
              <w:jc w:val="center"/>
              <w:rPr>
                <w:b/>
                <w:bCs/>
                <w:color w:val="auto"/>
                <w:sz w:val="21"/>
                <w:szCs w:val="21"/>
              </w:rPr>
            </w:pPr>
            <w:r>
              <w:rPr>
                <w:b/>
                <w:bCs/>
                <w:color w:val="auto"/>
                <w:sz w:val="21"/>
                <w:szCs w:val="21"/>
              </w:rPr>
              <w:t>投资</w:t>
            </w:r>
          </w:p>
          <w:p w14:paraId="5D12794C">
            <w:pPr>
              <w:spacing w:line="240" w:lineRule="auto"/>
              <w:ind w:firstLine="0" w:firstLineChars="0"/>
              <w:jc w:val="center"/>
              <w:rPr>
                <w:b/>
                <w:bCs/>
                <w:color w:val="auto"/>
                <w:sz w:val="21"/>
                <w:szCs w:val="21"/>
              </w:rPr>
            </w:pPr>
            <w:r>
              <w:rPr>
                <w:b/>
                <w:bCs/>
                <w:color w:val="auto"/>
                <w:sz w:val="21"/>
                <w:szCs w:val="21"/>
              </w:rPr>
              <w:t>（万元）</w:t>
            </w:r>
          </w:p>
        </w:tc>
        <w:tc>
          <w:tcPr>
            <w:tcW w:w="402" w:type="pct"/>
            <w:tcMar>
              <w:left w:w="28" w:type="dxa"/>
            </w:tcMar>
            <w:vAlign w:val="center"/>
          </w:tcPr>
          <w:p w14:paraId="7C450839">
            <w:pPr>
              <w:spacing w:line="240" w:lineRule="auto"/>
              <w:ind w:firstLine="0" w:firstLineChars="0"/>
              <w:jc w:val="center"/>
              <w:rPr>
                <w:b/>
                <w:bCs/>
                <w:color w:val="auto"/>
                <w:sz w:val="21"/>
                <w:szCs w:val="21"/>
              </w:rPr>
            </w:pPr>
            <w:r>
              <w:rPr>
                <w:b/>
                <w:bCs/>
                <w:color w:val="auto"/>
                <w:sz w:val="21"/>
                <w:szCs w:val="21"/>
              </w:rPr>
              <w:t>完成时间</w:t>
            </w:r>
          </w:p>
        </w:tc>
      </w:tr>
      <w:tr w14:paraId="1097D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restart"/>
            <w:tcMar>
              <w:left w:w="28" w:type="dxa"/>
            </w:tcMar>
            <w:vAlign w:val="center"/>
          </w:tcPr>
          <w:p w14:paraId="482F6699">
            <w:pPr>
              <w:spacing w:line="240" w:lineRule="auto"/>
              <w:ind w:firstLine="0" w:firstLineChars="0"/>
              <w:jc w:val="center"/>
              <w:rPr>
                <w:color w:val="auto"/>
                <w:sz w:val="21"/>
                <w:szCs w:val="21"/>
              </w:rPr>
            </w:pPr>
            <w:r>
              <w:rPr>
                <w:color w:val="auto"/>
                <w:sz w:val="21"/>
                <w:szCs w:val="21"/>
              </w:rPr>
              <w:t>废水</w:t>
            </w:r>
          </w:p>
        </w:tc>
        <w:tc>
          <w:tcPr>
            <w:tcW w:w="677" w:type="pct"/>
            <w:tcMar>
              <w:left w:w="28" w:type="dxa"/>
            </w:tcMar>
            <w:vAlign w:val="center"/>
          </w:tcPr>
          <w:p w14:paraId="78C834C9">
            <w:pPr>
              <w:spacing w:line="240" w:lineRule="auto"/>
              <w:ind w:firstLine="0" w:firstLineChars="0"/>
              <w:jc w:val="center"/>
              <w:rPr>
                <w:color w:val="auto"/>
                <w:sz w:val="21"/>
                <w:szCs w:val="21"/>
              </w:rPr>
            </w:pPr>
            <w:r>
              <w:rPr>
                <w:rFonts w:hint="eastAsia"/>
                <w:color w:val="auto"/>
                <w:sz w:val="21"/>
                <w:szCs w:val="21"/>
              </w:rPr>
              <w:t>实验室废水</w:t>
            </w:r>
          </w:p>
        </w:tc>
        <w:tc>
          <w:tcPr>
            <w:tcW w:w="838" w:type="pct"/>
            <w:tcMar>
              <w:left w:w="28" w:type="dxa"/>
            </w:tcMar>
            <w:vAlign w:val="center"/>
          </w:tcPr>
          <w:p w14:paraId="21675DF8">
            <w:pPr>
              <w:spacing w:line="240" w:lineRule="auto"/>
              <w:ind w:firstLine="0" w:firstLineChars="0"/>
              <w:jc w:val="center"/>
              <w:rPr>
                <w:color w:val="auto"/>
                <w:sz w:val="21"/>
                <w:szCs w:val="21"/>
              </w:rPr>
            </w:pPr>
            <w:r>
              <w:rPr>
                <w:color w:val="auto"/>
                <w:sz w:val="21"/>
                <w:szCs w:val="21"/>
              </w:rPr>
              <w:t>COD、SS</w:t>
            </w:r>
            <w:r>
              <w:rPr>
                <w:rFonts w:hint="eastAsia"/>
                <w:color w:val="auto"/>
                <w:sz w:val="21"/>
                <w:szCs w:val="21"/>
              </w:rPr>
              <w:t>、氨氮</w:t>
            </w:r>
            <w:r>
              <w:rPr>
                <w:color w:val="auto"/>
                <w:sz w:val="21"/>
                <w:szCs w:val="21"/>
              </w:rPr>
              <w:t>、</w:t>
            </w:r>
            <w:r>
              <w:rPr>
                <w:rFonts w:hint="eastAsia"/>
                <w:color w:val="auto"/>
                <w:sz w:val="21"/>
                <w:szCs w:val="21"/>
              </w:rPr>
              <w:t>总磷、总氮</w:t>
            </w:r>
          </w:p>
        </w:tc>
        <w:tc>
          <w:tcPr>
            <w:tcW w:w="1069" w:type="pct"/>
            <w:vMerge w:val="restart"/>
            <w:tcMar>
              <w:left w:w="28" w:type="dxa"/>
            </w:tcMar>
            <w:vAlign w:val="center"/>
          </w:tcPr>
          <w:p w14:paraId="63B33267">
            <w:pPr>
              <w:spacing w:line="240" w:lineRule="auto"/>
              <w:ind w:firstLine="0" w:firstLineChars="0"/>
              <w:jc w:val="center"/>
              <w:rPr>
                <w:color w:val="auto"/>
                <w:sz w:val="21"/>
                <w:szCs w:val="21"/>
              </w:rPr>
            </w:pPr>
            <w:r>
              <w:rPr>
                <w:rFonts w:hint="eastAsia"/>
                <w:color w:val="auto"/>
                <w:kern w:val="0"/>
                <w:sz w:val="21"/>
                <w:szCs w:val="21"/>
                <w:lang w:bidi="ar"/>
              </w:rPr>
              <w:t>调节池+臭氧氧化</w:t>
            </w:r>
          </w:p>
        </w:tc>
        <w:tc>
          <w:tcPr>
            <w:tcW w:w="1021" w:type="pct"/>
            <w:vMerge w:val="restart"/>
            <w:tcMar>
              <w:left w:w="28" w:type="dxa"/>
            </w:tcMar>
            <w:vAlign w:val="center"/>
          </w:tcPr>
          <w:p w14:paraId="47B98FEE">
            <w:pPr>
              <w:spacing w:line="240" w:lineRule="auto"/>
              <w:ind w:firstLine="0" w:firstLineChars="0"/>
              <w:jc w:val="center"/>
              <w:rPr>
                <w:color w:val="auto"/>
                <w:sz w:val="21"/>
                <w:szCs w:val="21"/>
              </w:rPr>
            </w:pPr>
            <w:r>
              <w:rPr>
                <w:rFonts w:hint="eastAsia"/>
                <w:color w:val="auto"/>
                <w:sz w:val="21"/>
                <w:szCs w:val="21"/>
              </w:rPr>
              <w:t>达到园区污水处理厂接管要求</w:t>
            </w:r>
          </w:p>
        </w:tc>
        <w:tc>
          <w:tcPr>
            <w:tcW w:w="510" w:type="pct"/>
            <w:vMerge w:val="restart"/>
            <w:tcMar>
              <w:left w:w="28" w:type="dxa"/>
            </w:tcMar>
            <w:vAlign w:val="center"/>
          </w:tcPr>
          <w:p w14:paraId="2E99476D">
            <w:pPr>
              <w:spacing w:line="240" w:lineRule="auto"/>
              <w:ind w:firstLine="0" w:firstLineChars="0"/>
              <w:jc w:val="center"/>
              <w:rPr>
                <w:color w:val="auto"/>
                <w:sz w:val="21"/>
                <w:szCs w:val="21"/>
              </w:rPr>
            </w:pPr>
            <w:r>
              <w:rPr>
                <w:rFonts w:hint="eastAsia"/>
                <w:color w:val="auto"/>
                <w:sz w:val="21"/>
                <w:szCs w:val="21"/>
              </w:rPr>
              <w:t>依托现有</w:t>
            </w:r>
          </w:p>
        </w:tc>
        <w:tc>
          <w:tcPr>
            <w:tcW w:w="402" w:type="pct"/>
            <w:vMerge w:val="restart"/>
            <w:tcMar>
              <w:left w:w="28" w:type="dxa"/>
            </w:tcMar>
            <w:vAlign w:val="center"/>
          </w:tcPr>
          <w:p w14:paraId="0D647D4B">
            <w:pPr>
              <w:spacing w:line="240" w:lineRule="auto"/>
              <w:ind w:firstLine="0" w:firstLineChars="0"/>
              <w:jc w:val="center"/>
              <w:rPr>
                <w:color w:val="auto"/>
                <w:sz w:val="21"/>
                <w:szCs w:val="21"/>
              </w:rPr>
            </w:pPr>
            <w:r>
              <w:rPr>
                <w:color w:val="auto"/>
                <w:sz w:val="21"/>
                <w:szCs w:val="21"/>
              </w:rPr>
              <w:t>与建设项目同时设计，同时施工，同时投入运行</w:t>
            </w:r>
          </w:p>
        </w:tc>
      </w:tr>
      <w:tr w14:paraId="61509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continue"/>
            <w:tcMar>
              <w:left w:w="28" w:type="dxa"/>
            </w:tcMar>
            <w:vAlign w:val="center"/>
          </w:tcPr>
          <w:p w14:paraId="6CB17C8B">
            <w:pPr>
              <w:spacing w:line="240" w:lineRule="auto"/>
              <w:ind w:firstLine="0" w:firstLineChars="0"/>
              <w:jc w:val="center"/>
              <w:rPr>
                <w:color w:val="auto"/>
                <w:sz w:val="21"/>
                <w:szCs w:val="21"/>
              </w:rPr>
            </w:pPr>
          </w:p>
        </w:tc>
        <w:tc>
          <w:tcPr>
            <w:tcW w:w="677" w:type="pct"/>
            <w:tcMar>
              <w:left w:w="28" w:type="dxa"/>
            </w:tcMar>
            <w:vAlign w:val="center"/>
          </w:tcPr>
          <w:p w14:paraId="4630273E">
            <w:pPr>
              <w:spacing w:line="240" w:lineRule="auto"/>
              <w:ind w:firstLine="0" w:firstLineChars="0"/>
              <w:jc w:val="center"/>
              <w:rPr>
                <w:color w:val="auto"/>
                <w:sz w:val="21"/>
                <w:szCs w:val="21"/>
              </w:rPr>
            </w:pPr>
            <w:r>
              <w:rPr>
                <w:rFonts w:hint="eastAsia"/>
                <w:color w:val="auto"/>
                <w:sz w:val="21"/>
                <w:szCs w:val="21"/>
              </w:rPr>
              <w:t>空压机废水</w:t>
            </w:r>
          </w:p>
        </w:tc>
        <w:tc>
          <w:tcPr>
            <w:tcW w:w="838" w:type="pct"/>
            <w:tcMar>
              <w:left w:w="28" w:type="dxa"/>
            </w:tcMar>
            <w:vAlign w:val="center"/>
          </w:tcPr>
          <w:p w14:paraId="1584DEF8">
            <w:pPr>
              <w:spacing w:line="240" w:lineRule="auto"/>
              <w:ind w:firstLine="0" w:firstLineChars="0"/>
              <w:jc w:val="center"/>
              <w:rPr>
                <w:color w:val="auto"/>
                <w:sz w:val="21"/>
                <w:szCs w:val="21"/>
              </w:rPr>
            </w:pPr>
            <w:r>
              <w:rPr>
                <w:color w:val="auto"/>
                <w:sz w:val="21"/>
                <w:szCs w:val="21"/>
              </w:rPr>
              <w:t>COD</w:t>
            </w:r>
            <w:r>
              <w:rPr>
                <w:rFonts w:hint="eastAsia"/>
                <w:color w:val="auto"/>
                <w:sz w:val="21"/>
                <w:szCs w:val="21"/>
              </w:rPr>
              <w:t>、SS、石油类</w:t>
            </w:r>
          </w:p>
        </w:tc>
        <w:tc>
          <w:tcPr>
            <w:tcW w:w="1069" w:type="pct"/>
            <w:vMerge w:val="continue"/>
            <w:tcMar>
              <w:left w:w="28" w:type="dxa"/>
            </w:tcMar>
            <w:vAlign w:val="center"/>
          </w:tcPr>
          <w:p w14:paraId="2AC27F4C">
            <w:pPr>
              <w:spacing w:line="240" w:lineRule="auto"/>
              <w:ind w:firstLine="0" w:firstLineChars="0"/>
              <w:jc w:val="center"/>
              <w:rPr>
                <w:color w:val="auto"/>
                <w:sz w:val="21"/>
                <w:szCs w:val="21"/>
              </w:rPr>
            </w:pPr>
          </w:p>
        </w:tc>
        <w:tc>
          <w:tcPr>
            <w:tcW w:w="1021" w:type="pct"/>
            <w:vMerge w:val="continue"/>
            <w:tcMar>
              <w:left w:w="28" w:type="dxa"/>
            </w:tcMar>
            <w:vAlign w:val="center"/>
          </w:tcPr>
          <w:p w14:paraId="5662D4F1">
            <w:pPr>
              <w:spacing w:line="240" w:lineRule="auto"/>
              <w:ind w:firstLine="0" w:firstLineChars="0"/>
              <w:jc w:val="center"/>
              <w:rPr>
                <w:color w:val="auto"/>
                <w:sz w:val="21"/>
                <w:szCs w:val="21"/>
              </w:rPr>
            </w:pPr>
          </w:p>
        </w:tc>
        <w:tc>
          <w:tcPr>
            <w:tcW w:w="510" w:type="pct"/>
            <w:vMerge w:val="continue"/>
            <w:tcMar>
              <w:left w:w="28" w:type="dxa"/>
            </w:tcMar>
            <w:vAlign w:val="center"/>
          </w:tcPr>
          <w:p w14:paraId="3D22E27A">
            <w:pPr>
              <w:spacing w:line="240" w:lineRule="auto"/>
              <w:ind w:firstLine="0" w:firstLineChars="0"/>
              <w:jc w:val="center"/>
              <w:rPr>
                <w:color w:val="auto"/>
                <w:sz w:val="21"/>
                <w:szCs w:val="21"/>
              </w:rPr>
            </w:pPr>
          </w:p>
        </w:tc>
        <w:tc>
          <w:tcPr>
            <w:tcW w:w="402" w:type="pct"/>
            <w:vMerge w:val="continue"/>
            <w:tcMar>
              <w:left w:w="28" w:type="dxa"/>
            </w:tcMar>
            <w:vAlign w:val="center"/>
          </w:tcPr>
          <w:p w14:paraId="570A4E97">
            <w:pPr>
              <w:spacing w:line="240" w:lineRule="auto"/>
              <w:ind w:firstLine="0" w:firstLineChars="0"/>
              <w:jc w:val="center"/>
              <w:rPr>
                <w:color w:val="auto"/>
                <w:sz w:val="21"/>
                <w:szCs w:val="21"/>
              </w:rPr>
            </w:pPr>
          </w:p>
        </w:tc>
      </w:tr>
      <w:tr w14:paraId="4323B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continue"/>
            <w:tcMar>
              <w:left w:w="28" w:type="dxa"/>
            </w:tcMar>
            <w:vAlign w:val="center"/>
          </w:tcPr>
          <w:p w14:paraId="0E97BF1C">
            <w:pPr>
              <w:spacing w:line="240" w:lineRule="auto"/>
              <w:ind w:firstLine="0" w:firstLineChars="0"/>
              <w:jc w:val="center"/>
              <w:rPr>
                <w:color w:val="auto"/>
                <w:sz w:val="21"/>
                <w:szCs w:val="21"/>
              </w:rPr>
            </w:pPr>
          </w:p>
        </w:tc>
        <w:tc>
          <w:tcPr>
            <w:tcW w:w="677" w:type="pct"/>
            <w:tcMar>
              <w:left w:w="28" w:type="dxa"/>
            </w:tcMar>
            <w:vAlign w:val="center"/>
          </w:tcPr>
          <w:p w14:paraId="384419EC">
            <w:pPr>
              <w:spacing w:line="240" w:lineRule="auto"/>
              <w:ind w:firstLine="0" w:firstLineChars="0"/>
              <w:jc w:val="center"/>
              <w:rPr>
                <w:color w:val="auto"/>
                <w:sz w:val="21"/>
                <w:szCs w:val="21"/>
              </w:rPr>
            </w:pPr>
            <w:r>
              <w:rPr>
                <w:rFonts w:hint="eastAsia"/>
                <w:color w:val="auto"/>
                <w:sz w:val="21"/>
                <w:szCs w:val="21"/>
              </w:rPr>
              <w:t>纯水制备浓水</w:t>
            </w:r>
          </w:p>
        </w:tc>
        <w:tc>
          <w:tcPr>
            <w:tcW w:w="838" w:type="pct"/>
            <w:tcMar>
              <w:left w:w="28" w:type="dxa"/>
            </w:tcMar>
            <w:vAlign w:val="center"/>
          </w:tcPr>
          <w:p w14:paraId="03136F3C">
            <w:pPr>
              <w:spacing w:line="240" w:lineRule="auto"/>
              <w:ind w:firstLine="0" w:firstLineChars="0"/>
              <w:jc w:val="center"/>
              <w:rPr>
                <w:color w:val="auto"/>
                <w:sz w:val="21"/>
                <w:szCs w:val="21"/>
              </w:rPr>
            </w:pPr>
            <w:r>
              <w:rPr>
                <w:rFonts w:hint="eastAsia"/>
                <w:color w:val="auto"/>
                <w:sz w:val="21"/>
                <w:szCs w:val="21"/>
              </w:rPr>
              <w:t>C</w:t>
            </w:r>
            <w:r>
              <w:rPr>
                <w:color w:val="auto"/>
                <w:sz w:val="21"/>
                <w:szCs w:val="21"/>
              </w:rPr>
              <w:t>OD</w:t>
            </w:r>
            <w:r>
              <w:rPr>
                <w:rFonts w:hint="eastAsia"/>
                <w:color w:val="auto"/>
                <w:sz w:val="21"/>
                <w:szCs w:val="21"/>
              </w:rPr>
              <w:t>、S</w:t>
            </w:r>
            <w:r>
              <w:rPr>
                <w:color w:val="auto"/>
                <w:sz w:val="21"/>
                <w:szCs w:val="21"/>
              </w:rPr>
              <w:t>S</w:t>
            </w:r>
          </w:p>
        </w:tc>
        <w:tc>
          <w:tcPr>
            <w:tcW w:w="1069" w:type="pct"/>
            <w:vMerge w:val="restart"/>
            <w:tcMar>
              <w:left w:w="28" w:type="dxa"/>
            </w:tcMar>
            <w:vAlign w:val="center"/>
          </w:tcPr>
          <w:p w14:paraId="02654C7B">
            <w:pPr>
              <w:spacing w:line="240" w:lineRule="auto"/>
              <w:ind w:firstLine="0" w:firstLineChars="0"/>
              <w:jc w:val="center"/>
              <w:rPr>
                <w:color w:val="auto"/>
                <w:sz w:val="21"/>
                <w:szCs w:val="21"/>
              </w:rPr>
            </w:pPr>
            <w:r>
              <w:rPr>
                <w:rFonts w:hint="eastAsia"/>
                <w:color w:val="auto"/>
                <w:sz w:val="21"/>
                <w:szCs w:val="21"/>
              </w:rPr>
              <w:t>/</w:t>
            </w:r>
          </w:p>
        </w:tc>
        <w:tc>
          <w:tcPr>
            <w:tcW w:w="1021" w:type="pct"/>
            <w:vMerge w:val="continue"/>
            <w:tcMar>
              <w:left w:w="28" w:type="dxa"/>
            </w:tcMar>
            <w:vAlign w:val="center"/>
          </w:tcPr>
          <w:p w14:paraId="7E5DAC1D">
            <w:pPr>
              <w:spacing w:line="240" w:lineRule="auto"/>
              <w:ind w:firstLine="0" w:firstLineChars="0"/>
              <w:jc w:val="center"/>
              <w:rPr>
                <w:color w:val="auto"/>
                <w:sz w:val="21"/>
                <w:szCs w:val="21"/>
              </w:rPr>
            </w:pPr>
          </w:p>
        </w:tc>
        <w:tc>
          <w:tcPr>
            <w:tcW w:w="510" w:type="pct"/>
            <w:vMerge w:val="continue"/>
            <w:tcMar>
              <w:left w:w="28" w:type="dxa"/>
            </w:tcMar>
            <w:vAlign w:val="center"/>
          </w:tcPr>
          <w:p w14:paraId="17198E70">
            <w:pPr>
              <w:spacing w:line="240" w:lineRule="auto"/>
              <w:ind w:firstLine="0" w:firstLineChars="0"/>
              <w:jc w:val="center"/>
              <w:rPr>
                <w:color w:val="auto"/>
                <w:sz w:val="21"/>
                <w:szCs w:val="21"/>
              </w:rPr>
            </w:pPr>
          </w:p>
        </w:tc>
        <w:tc>
          <w:tcPr>
            <w:tcW w:w="402" w:type="pct"/>
            <w:vMerge w:val="continue"/>
            <w:tcMar>
              <w:left w:w="28" w:type="dxa"/>
            </w:tcMar>
            <w:vAlign w:val="center"/>
          </w:tcPr>
          <w:p w14:paraId="4ED8C81E">
            <w:pPr>
              <w:spacing w:line="240" w:lineRule="auto"/>
              <w:ind w:firstLine="0" w:firstLineChars="0"/>
              <w:jc w:val="center"/>
              <w:rPr>
                <w:color w:val="auto"/>
                <w:sz w:val="21"/>
                <w:szCs w:val="21"/>
              </w:rPr>
            </w:pPr>
          </w:p>
        </w:tc>
      </w:tr>
      <w:tr w14:paraId="115AB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continue"/>
            <w:tcMar>
              <w:left w:w="28" w:type="dxa"/>
            </w:tcMar>
            <w:vAlign w:val="center"/>
          </w:tcPr>
          <w:p w14:paraId="16FD5CB7">
            <w:pPr>
              <w:spacing w:line="240" w:lineRule="auto"/>
              <w:ind w:firstLine="0" w:firstLineChars="0"/>
              <w:jc w:val="center"/>
              <w:rPr>
                <w:color w:val="auto"/>
                <w:sz w:val="21"/>
                <w:szCs w:val="21"/>
              </w:rPr>
            </w:pPr>
          </w:p>
        </w:tc>
        <w:tc>
          <w:tcPr>
            <w:tcW w:w="677" w:type="pct"/>
            <w:tcMar>
              <w:left w:w="28" w:type="dxa"/>
            </w:tcMar>
            <w:vAlign w:val="center"/>
          </w:tcPr>
          <w:p w14:paraId="3911DAEC">
            <w:pPr>
              <w:spacing w:line="240" w:lineRule="auto"/>
              <w:ind w:firstLine="0" w:firstLineChars="0"/>
              <w:jc w:val="center"/>
              <w:rPr>
                <w:rFonts w:cs="宋体"/>
                <w:color w:val="auto"/>
                <w:kern w:val="0"/>
                <w:sz w:val="21"/>
                <w:szCs w:val="21"/>
                <w:lang w:bidi="ar"/>
              </w:rPr>
            </w:pPr>
            <w:r>
              <w:rPr>
                <w:rFonts w:hint="eastAsia" w:cs="宋体"/>
                <w:color w:val="auto"/>
                <w:kern w:val="0"/>
                <w:sz w:val="21"/>
                <w:szCs w:val="21"/>
                <w:lang w:bidi="ar"/>
              </w:rPr>
              <w:t>循环冷却排水</w:t>
            </w:r>
          </w:p>
        </w:tc>
        <w:tc>
          <w:tcPr>
            <w:tcW w:w="838" w:type="pct"/>
            <w:tcMar>
              <w:left w:w="28" w:type="dxa"/>
            </w:tcMar>
            <w:vAlign w:val="center"/>
          </w:tcPr>
          <w:p w14:paraId="286343FE">
            <w:pPr>
              <w:spacing w:line="240" w:lineRule="auto"/>
              <w:ind w:firstLine="0" w:firstLineChars="0"/>
              <w:jc w:val="center"/>
              <w:rPr>
                <w:color w:val="auto"/>
                <w:sz w:val="21"/>
                <w:szCs w:val="21"/>
              </w:rPr>
            </w:pPr>
            <w:r>
              <w:rPr>
                <w:rFonts w:hint="eastAsia"/>
                <w:color w:val="auto"/>
                <w:sz w:val="21"/>
                <w:szCs w:val="21"/>
              </w:rPr>
              <w:t>C</w:t>
            </w:r>
            <w:r>
              <w:rPr>
                <w:color w:val="auto"/>
                <w:sz w:val="21"/>
                <w:szCs w:val="21"/>
              </w:rPr>
              <w:t>OD</w:t>
            </w:r>
            <w:r>
              <w:rPr>
                <w:rFonts w:hint="eastAsia"/>
                <w:color w:val="auto"/>
                <w:sz w:val="21"/>
                <w:szCs w:val="21"/>
              </w:rPr>
              <w:t>、S</w:t>
            </w:r>
            <w:r>
              <w:rPr>
                <w:color w:val="auto"/>
                <w:sz w:val="21"/>
                <w:szCs w:val="21"/>
              </w:rPr>
              <w:t>S</w:t>
            </w:r>
          </w:p>
        </w:tc>
        <w:tc>
          <w:tcPr>
            <w:tcW w:w="1069" w:type="pct"/>
            <w:vMerge w:val="continue"/>
            <w:tcMar>
              <w:left w:w="28" w:type="dxa"/>
            </w:tcMar>
            <w:vAlign w:val="center"/>
          </w:tcPr>
          <w:p w14:paraId="5FC78827">
            <w:pPr>
              <w:spacing w:line="240" w:lineRule="auto"/>
              <w:ind w:firstLine="0" w:firstLineChars="0"/>
              <w:jc w:val="center"/>
              <w:rPr>
                <w:color w:val="auto"/>
                <w:sz w:val="21"/>
                <w:szCs w:val="21"/>
              </w:rPr>
            </w:pPr>
          </w:p>
        </w:tc>
        <w:tc>
          <w:tcPr>
            <w:tcW w:w="1021" w:type="pct"/>
            <w:vMerge w:val="continue"/>
            <w:tcMar>
              <w:left w:w="28" w:type="dxa"/>
            </w:tcMar>
            <w:vAlign w:val="center"/>
          </w:tcPr>
          <w:p w14:paraId="1B463198">
            <w:pPr>
              <w:spacing w:line="240" w:lineRule="auto"/>
              <w:ind w:firstLine="0" w:firstLineChars="0"/>
              <w:jc w:val="center"/>
              <w:rPr>
                <w:color w:val="auto"/>
                <w:sz w:val="21"/>
                <w:szCs w:val="21"/>
              </w:rPr>
            </w:pPr>
          </w:p>
        </w:tc>
        <w:tc>
          <w:tcPr>
            <w:tcW w:w="510" w:type="pct"/>
            <w:vMerge w:val="continue"/>
            <w:tcMar>
              <w:left w:w="28" w:type="dxa"/>
            </w:tcMar>
            <w:vAlign w:val="center"/>
          </w:tcPr>
          <w:p w14:paraId="6C50D32C">
            <w:pPr>
              <w:spacing w:line="240" w:lineRule="auto"/>
              <w:ind w:firstLine="0" w:firstLineChars="0"/>
              <w:jc w:val="center"/>
              <w:rPr>
                <w:color w:val="auto"/>
                <w:sz w:val="21"/>
                <w:szCs w:val="21"/>
              </w:rPr>
            </w:pPr>
          </w:p>
        </w:tc>
        <w:tc>
          <w:tcPr>
            <w:tcW w:w="402" w:type="pct"/>
            <w:vMerge w:val="continue"/>
            <w:tcMar>
              <w:left w:w="28" w:type="dxa"/>
            </w:tcMar>
            <w:vAlign w:val="center"/>
          </w:tcPr>
          <w:p w14:paraId="7E04BD30">
            <w:pPr>
              <w:spacing w:line="240" w:lineRule="auto"/>
              <w:ind w:firstLine="0" w:firstLineChars="0"/>
              <w:jc w:val="center"/>
              <w:rPr>
                <w:color w:val="auto"/>
                <w:sz w:val="21"/>
                <w:szCs w:val="21"/>
              </w:rPr>
            </w:pPr>
          </w:p>
        </w:tc>
      </w:tr>
      <w:tr w14:paraId="79DAB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480" w:type="pct"/>
            <w:tcMar>
              <w:left w:w="28" w:type="dxa"/>
            </w:tcMar>
            <w:vAlign w:val="center"/>
          </w:tcPr>
          <w:p w14:paraId="44F5D0B6">
            <w:pPr>
              <w:spacing w:line="240" w:lineRule="auto"/>
              <w:ind w:firstLine="0" w:firstLineChars="0"/>
              <w:jc w:val="center"/>
              <w:rPr>
                <w:color w:val="auto"/>
                <w:sz w:val="21"/>
                <w:szCs w:val="21"/>
              </w:rPr>
            </w:pPr>
            <w:r>
              <w:rPr>
                <w:color w:val="auto"/>
                <w:sz w:val="21"/>
                <w:szCs w:val="21"/>
              </w:rPr>
              <w:t>废气</w:t>
            </w:r>
          </w:p>
        </w:tc>
        <w:tc>
          <w:tcPr>
            <w:tcW w:w="677" w:type="pct"/>
            <w:tcMar>
              <w:left w:w="28" w:type="dxa"/>
            </w:tcMar>
            <w:vAlign w:val="center"/>
          </w:tcPr>
          <w:p w14:paraId="1841AF48">
            <w:pPr>
              <w:spacing w:line="240" w:lineRule="auto"/>
              <w:ind w:firstLine="0" w:firstLineChars="0"/>
              <w:jc w:val="center"/>
              <w:rPr>
                <w:color w:val="auto"/>
                <w:kern w:val="0"/>
                <w:sz w:val="21"/>
                <w:szCs w:val="21"/>
                <w:lang w:bidi="ar"/>
              </w:rPr>
            </w:pPr>
            <w:r>
              <w:rPr>
                <w:rFonts w:hint="eastAsia"/>
                <w:color w:val="auto"/>
                <w:kern w:val="0"/>
                <w:sz w:val="21"/>
                <w:szCs w:val="21"/>
                <w:lang w:bidi="ar"/>
              </w:rPr>
              <w:t>工艺废气</w:t>
            </w:r>
          </w:p>
          <w:p w14:paraId="0953496E">
            <w:pPr>
              <w:spacing w:line="240" w:lineRule="auto"/>
              <w:ind w:firstLine="0" w:firstLineChars="0"/>
              <w:jc w:val="center"/>
              <w:rPr>
                <w:color w:val="auto"/>
                <w:kern w:val="0"/>
                <w:sz w:val="21"/>
                <w:szCs w:val="21"/>
                <w:lang w:bidi="ar"/>
              </w:rPr>
            </w:pPr>
            <w:r>
              <w:rPr>
                <w:rFonts w:hint="eastAsia"/>
                <w:color w:val="auto"/>
                <w:kern w:val="0"/>
                <w:sz w:val="21"/>
                <w:szCs w:val="21"/>
                <w:lang w:bidi="ar"/>
              </w:rPr>
              <w:t>储槽呼吸废气</w:t>
            </w:r>
          </w:p>
        </w:tc>
        <w:tc>
          <w:tcPr>
            <w:tcW w:w="838" w:type="pct"/>
            <w:tcMar>
              <w:left w:w="28" w:type="dxa"/>
            </w:tcMar>
            <w:vAlign w:val="center"/>
          </w:tcPr>
          <w:p w14:paraId="6841BCF8">
            <w:pPr>
              <w:spacing w:line="240" w:lineRule="auto"/>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r>
              <w:rPr>
                <w:rFonts w:hint="eastAsia"/>
                <w:color w:val="auto"/>
                <w:sz w:val="21"/>
                <w:szCs w:val="21"/>
              </w:rPr>
              <w:t>、氨、颗粒物</w:t>
            </w:r>
          </w:p>
        </w:tc>
        <w:tc>
          <w:tcPr>
            <w:tcW w:w="1069" w:type="pct"/>
            <w:tcMar>
              <w:left w:w="28" w:type="dxa"/>
            </w:tcMar>
            <w:vAlign w:val="center"/>
          </w:tcPr>
          <w:p w14:paraId="459974E4">
            <w:pPr>
              <w:spacing w:line="240" w:lineRule="auto"/>
              <w:ind w:firstLine="0" w:firstLineChars="0"/>
              <w:jc w:val="center"/>
              <w:rPr>
                <w:color w:val="auto"/>
                <w:sz w:val="21"/>
                <w:szCs w:val="21"/>
              </w:rPr>
            </w:pPr>
            <w:r>
              <w:rPr>
                <w:rFonts w:hint="eastAsia"/>
                <w:color w:val="auto"/>
                <w:sz w:val="21"/>
                <w:szCs w:val="21"/>
              </w:rPr>
              <w:t>①碱吸收+水喷淋＋电除雾；</w:t>
            </w:r>
          </w:p>
          <w:p w14:paraId="27D6DF61">
            <w:pPr>
              <w:pStyle w:val="9"/>
              <w:spacing w:beforeLines="0" w:line="240" w:lineRule="auto"/>
              <w:ind w:firstLine="0" w:firstLineChars="0"/>
              <w:rPr>
                <w:b w:val="0"/>
                <w:color w:val="auto"/>
                <w:sz w:val="21"/>
              </w:rPr>
            </w:pPr>
            <w:r>
              <w:rPr>
                <w:rFonts w:hint="eastAsia"/>
                <w:b w:val="0"/>
                <w:color w:val="auto"/>
                <w:sz w:val="21"/>
              </w:rPr>
              <w:t>②水喷淋吸收+三级碱吸收+水喷淋；</w:t>
            </w:r>
          </w:p>
          <w:p w14:paraId="67BE0EF1">
            <w:pPr>
              <w:spacing w:line="240" w:lineRule="auto"/>
              <w:ind w:firstLine="0" w:firstLineChars="0"/>
              <w:jc w:val="center"/>
              <w:rPr>
                <w:color w:val="auto"/>
                <w:sz w:val="21"/>
              </w:rPr>
            </w:pPr>
            <w:r>
              <w:rPr>
                <w:rFonts w:hint="eastAsia"/>
                <w:color w:val="auto"/>
                <w:sz w:val="21"/>
              </w:rPr>
              <w:t>③布袋除尘；</w:t>
            </w:r>
          </w:p>
          <w:p w14:paraId="59555310">
            <w:pPr>
              <w:pStyle w:val="9"/>
              <w:spacing w:beforeLines="0" w:line="240" w:lineRule="auto"/>
              <w:ind w:firstLine="0" w:firstLineChars="0"/>
              <w:rPr>
                <w:b w:val="0"/>
                <w:color w:val="auto"/>
                <w:sz w:val="21"/>
              </w:rPr>
            </w:pPr>
            <w:r>
              <w:rPr>
                <w:rFonts w:hint="eastAsia"/>
                <w:b w:val="0"/>
                <w:color w:val="auto"/>
                <w:sz w:val="21"/>
              </w:rPr>
              <w:t>④水吸收＋回用</w:t>
            </w:r>
          </w:p>
        </w:tc>
        <w:tc>
          <w:tcPr>
            <w:tcW w:w="1021" w:type="pct"/>
            <w:tcMar>
              <w:left w:w="28" w:type="dxa"/>
            </w:tcMar>
            <w:vAlign w:val="center"/>
          </w:tcPr>
          <w:p w14:paraId="142D7775">
            <w:pPr>
              <w:spacing w:line="240" w:lineRule="auto"/>
              <w:ind w:firstLine="0" w:firstLineChars="0"/>
              <w:jc w:val="center"/>
              <w:rPr>
                <w:bCs/>
                <w:color w:val="auto"/>
                <w:sz w:val="21"/>
                <w:szCs w:val="21"/>
              </w:rPr>
            </w:pPr>
            <w:r>
              <w:rPr>
                <w:rFonts w:hint="eastAsia"/>
                <w:bCs/>
                <w:color w:val="auto"/>
                <w:sz w:val="21"/>
                <w:szCs w:val="21"/>
              </w:rPr>
              <w:t>《无机化学工业污染物排放标准》（GB31573-2015）、《恶臭污染物排放标准》（GB14554-93）</w:t>
            </w:r>
          </w:p>
        </w:tc>
        <w:tc>
          <w:tcPr>
            <w:tcW w:w="510" w:type="pct"/>
            <w:tcMar>
              <w:left w:w="28" w:type="dxa"/>
            </w:tcMar>
            <w:vAlign w:val="center"/>
          </w:tcPr>
          <w:p w14:paraId="4DD1FE9B">
            <w:pPr>
              <w:spacing w:line="240" w:lineRule="auto"/>
              <w:ind w:firstLine="0" w:firstLineChars="0"/>
              <w:jc w:val="center"/>
              <w:rPr>
                <w:color w:val="auto"/>
                <w:sz w:val="21"/>
                <w:szCs w:val="21"/>
              </w:rPr>
            </w:pPr>
            <w:r>
              <w:rPr>
                <w:rFonts w:hint="eastAsia"/>
                <w:color w:val="auto"/>
                <w:sz w:val="21"/>
                <w:szCs w:val="21"/>
              </w:rPr>
              <w:t>依托现有</w:t>
            </w:r>
          </w:p>
        </w:tc>
        <w:tc>
          <w:tcPr>
            <w:tcW w:w="402" w:type="pct"/>
            <w:vMerge w:val="continue"/>
            <w:tcMar>
              <w:left w:w="28" w:type="dxa"/>
            </w:tcMar>
            <w:vAlign w:val="center"/>
          </w:tcPr>
          <w:p w14:paraId="667DB438">
            <w:pPr>
              <w:spacing w:line="240" w:lineRule="auto"/>
              <w:ind w:firstLine="0" w:firstLineChars="0"/>
              <w:jc w:val="center"/>
              <w:rPr>
                <w:color w:val="auto"/>
                <w:sz w:val="21"/>
                <w:szCs w:val="21"/>
              </w:rPr>
            </w:pPr>
          </w:p>
        </w:tc>
      </w:tr>
      <w:tr w14:paraId="7C3A3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48F1836A">
            <w:pPr>
              <w:spacing w:line="240" w:lineRule="auto"/>
              <w:ind w:firstLine="0" w:firstLineChars="0"/>
              <w:jc w:val="center"/>
              <w:rPr>
                <w:color w:val="auto"/>
                <w:sz w:val="21"/>
                <w:szCs w:val="21"/>
              </w:rPr>
            </w:pPr>
            <w:r>
              <w:rPr>
                <w:color w:val="auto"/>
                <w:sz w:val="21"/>
                <w:szCs w:val="21"/>
              </w:rPr>
              <w:t>噪声</w:t>
            </w:r>
          </w:p>
        </w:tc>
        <w:tc>
          <w:tcPr>
            <w:tcW w:w="677" w:type="pct"/>
            <w:tcMar>
              <w:left w:w="28" w:type="dxa"/>
            </w:tcMar>
            <w:vAlign w:val="center"/>
          </w:tcPr>
          <w:p w14:paraId="1225171A">
            <w:pPr>
              <w:spacing w:line="240" w:lineRule="auto"/>
              <w:ind w:firstLine="0" w:firstLineChars="0"/>
              <w:jc w:val="center"/>
              <w:rPr>
                <w:color w:val="auto"/>
                <w:sz w:val="21"/>
                <w:szCs w:val="21"/>
              </w:rPr>
            </w:pPr>
            <w:r>
              <w:rPr>
                <w:rFonts w:hint="eastAsia"/>
                <w:color w:val="auto"/>
                <w:sz w:val="21"/>
                <w:szCs w:val="21"/>
              </w:rPr>
              <w:t>日常</w:t>
            </w:r>
            <w:r>
              <w:rPr>
                <w:color w:val="auto"/>
                <w:sz w:val="21"/>
                <w:szCs w:val="21"/>
              </w:rPr>
              <w:t>生产</w:t>
            </w:r>
          </w:p>
        </w:tc>
        <w:tc>
          <w:tcPr>
            <w:tcW w:w="838" w:type="pct"/>
            <w:tcMar>
              <w:left w:w="28" w:type="dxa"/>
            </w:tcMar>
            <w:vAlign w:val="center"/>
          </w:tcPr>
          <w:p w14:paraId="3C4E409F">
            <w:pPr>
              <w:spacing w:line="240" w:lineRule="auto"/>
              <w:ind w:firstLine="0" w:firstLineChars="0"/>
              <w:jc w:val="center"/>
              <w:rPr>
                <w:color w:val="auto"/>
                <w:sz w:val="21"/>
                <w:szCs w:val="21"/>
              </w:rPr>
            </w:pPr>
            <w:r>
              <w:rPr>
                <w:color w:val="auto"/>
                <w:sz w:val="21"/>
                <w:szCs w:val="21"/>
              </w:rPr>
              <w:t>高噪声设备</w:t>
            </w:r>
          </w:p>
        </w:tc>
        <w:tc>
          <w:tcPr>
            <w:tcW w:w="1069" w:type="pct"/>
            <w:tcMar>
              <w:left w:w="28" w:type="dxa"/>
            </w:tcMar>
            <w:vAlign w:val="center"/>
          </w:tcPr>
          <w:p w14:paraId="04AC6E1F">
            <w:pPr>
              <w:spacing w:line="240" w:lineRule="auto"/>
              <w:ind w:firstLine="0" w:firstLineChars="0"/>
              <w:jc w:val="center"/>
              <w:rPr>
                <w:color w:val="auto"/>
                <w:sz w:val="21"/>
                <w:szCs w:val="21"/>
              </w:rPr>
            </w:pPr>
            <w:r>
              <w:rPr>
                <w:color w:val="auto"/>
                <w:sz w:val="21"/>
                <w:szCs w:val="21"/>
              </w:rPr>
              <w:t>减振底座、厂房隔声</w:t>
            </w:r>
          </w:p>
        </w:tc>
        <w:tc>
          <w:tcPr>
            <w:tcW w:w="1021" w:type="pct"/>
            <w:tcMar>
              <w:left w:w="28" w:type="dxa"/>
            </w:tcMar>
            <w:vAlign w:val="center"/>
          </w:tcPr>
          <w:p w14:paraId="4A64C571">
            <w:pPr>
              <w:spacing w:line="240" w:lineRule="auto"/>
              <w:ind w:firstLine="0" w:firstLineChars="0"/>
              <w:jc w:val="center"/>
              <w:rPr>
                <w:color w:val="auto"/>
                <w:sz w:val="21"/>
                <w:szCs w:val="21"/>
              </w:rPr>
            </w:pPr>
            <w:r>
              <w:rPr>
                <w:color w:val="auto"/>
                <w:sz w:val="21"/>
                <w:szCs w:val="21"/>
              </w:rPr>
              <w:t>厂界噪声达标</w:t>
            </w:r>
          </w:p>
        </w:tc>
        <w:tc>
          <w:tcPr>
            <w:tcW w:w="510" w:type="pct"/>
            <w:tcMar>
              <w:left w:w="28" w:type="dxa"/>
            </w:tcMar>
            <w:vAlign w:val="center"/>
          </w:tcPr>
          <w:p w14:paraId="370B6CCD">
            <w:pPr>
              <w:spacing w:line="240" w:lineRule="auto"/>
              <w:ind w:firstLine="0" w:firstLineChars="0"/>
              <w:jc w:val="center"/>
              <w:rPr>
                <w:color w:val="auto"/>
                <w:sz w:val="21"/>
                <w:szCs w:val="21"/>
              </w:rPr>
            </w:pPr>
            <w:r>
              <w:rPr>
                <w:rFonts w:hint="eastAsia"/>
                <w:color w:val="auto"/>
                <w:sz w:val="21"/>
                <w:szCs w:val="21"/>
              </w:rPr>
              <w:t>依托现有</w:t>
            </w:r>
          </w:p>
        </w:tc>
        <w:tc>
          <w:tcPr>
            <w:tcW w:w="402" w:type="pct"/>
            <w:vMerge w:val="continue"/>
            <w:tcMar>
              <w:left w:w="28" w:type="dxa"/>
            </w:tcMar>
            <w:vAlign w:val="center"/>
          </w:tcPr>
          <w:p w14:paraId="52B50FE7">
            <w:pPr>
              <w:spacing w:line="240" w:lineRule="auto"/>
              <w:ind w:firstLine="0" w:firstLineChars="0"/>
              <w:jc w:val="center"/>
              <w:rPr>
                <w:color w:val="auto"/>
                <w:sz w:val="21"/>
                <w:szCs w:val="21"/>
              </w:rPr>
            </w:pPr>
          </w:p>
        </w:tc>
      </w:tr>
      <w:tr w14:paraId="25296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0CF4A6FD">
            <w:pPr>
              <w:spacing w:line="240" w:lineRule="auto"/>
              <w:ind w:firstLine="0" w:firstLineChars="0"/>
              <w:jc w:val="center"/>
              <w:rPr>
                <w:color w:val="auto"/>
                <w:sz w:val="21"/>
                <w:szCs w:val="21"/>
              </w:rPr>
            </w:pPr>
            <w:r>
              <w:rPr>
                <w:color w:val="auto"/>
                <w:sz w:val="21"/>
                <w:szCs w:val="21"/>
              </w:rPr>
              <w:t>固废</w:t>
            </w:r>
          </w:p>
        </w:tc>
        <w:tc>
          <w:tcPr>
            <w:tcW w:w="677" w:type="pct"/>
            <w:tcMar>
              <w:left w:w="28" w:type="dxa"/>
            </w:tcMar>
            <w:vAlign w:val="center"/>
          </w:tcPr>
          <w:p w14:paraId="73A4926A">
            <w:pPr>
              <w:spacing w:line="240" w:lineRule="auto"/>
              <w:ind w:firstLine="0" w:firstLineChars="0"/>
              <w:jc w:val="center"/>
              <w:rPr>
                <w:color w:val="auto"/>
                <w:sz w:val="21"/>
                <w:szCs w:val="21"/>
              </w:rPr>
            </w:pPr>
            <w:r>
              <w:rPr>
                <w:rFonts w:hint="eastAsia"/>
                <w:color w:val="auto"/>
                <w:sz w:val="21"/>
                <w:szCs w:val="21"/>
              </w:rPr>
              <w:t>日常</w:t>
            </w:r>
            <w:r>
              <w:rPr>
                <w:color w:val="auto"/>
                <w:sz w:val="21"/>
                <w:szCs w:val="21"/>
              </w:rPr>
              <w:t>生产</w:t>
            </w:r>
          </w:p>
        </w:tc>
        <w:tc>
          <w:tcPr>
            <w:tcW w:w="838" w:type="pct"/>
            <w:tcMar>
              <w:left w:w="28" w:type="dxa"/>
            </w:tcMar>
            <w:vAlign w:val="center"/>
          </w:tcPr>
          <w:p w14:paraId="7713BD27">
            <w:pPr>
              <w:spacing w:line="240" w:lineRule="auto"/>
              <w:ind w:firstLine="0" w:firstLineChars="0"/>
              <w:jc w:val="center"/>
              <w:rPr>
                <w:color w:val="auto"/>
                <w:sz w:val="21"/>
                <w:szCs w:val="21"/>
              </w:rPr>
            </w:pPr>
            <w:r>
              <w:rPr>
                <w:rFonts w:hint="eastAsia"/>
                <w:color w:val="auto"/>
                <w:sz w:val="21"/>
                <w:szCs w:val="21"/>
              </w:rPr>
              <w:t>危险固废</w:t>
            </w:r>
          </w:p>
        </w:tc>
        <w:tc>
          <w:tcPr>
            <w:tcW w:w="1069" w:type="pct"/>
            <w:tcMar>
              <w:left w:w="28" w:type="dxa"/>
            </w:tcMar>
            <w:vAlign w:val="center"/>
          </w:tcPr>
          <w:p w14:paraId="6DB035A6">
            <w:pPr>
              <w:spacing w:line="240" w:lineRule="auto"/>
              <w:ind w:firstLine="0" w:firstLineChars="0"/>
              <w:jc w:val="center"/>
              <w:rPr>
                <w:color w:val="auto"/>
                <w:sz w:val="21"/>
                <w:szCs w:val="21"/>
              </w:rPr>
            </w:pPr>
            <w:r>
              <w:rPr>
                <w:rFonts w:hint="eastAsia"/>
                <w:color w:val="auto"/>
                <w:sz w:val="21"/>
                <w:szCs w:val="21"/>
              </w:rPr>
              <w:t>110</w:t>
            </w:r>
            <w:r>
              <w:rPr>
                <w:color w:val="auto"/>
                <w:sz w:val="21"/>
                <w:szCs w:val="21"/>
              </w:rPr>
              <w:t>m</w:t>
            </w:r>
            <w:r>
              <w:rPr>
                <w:color w:val="auto"/>
                <w:sz w:val="21"/>
                <w:szCs w:val="21"/>
                <w:vertAlign w:val="superscript"/>
              </w:rPr>
              <w:t>2</w:t>
            </w:r>
            <w:r>
              <w:rPr>
                <w:color w:val="auto"/>
                <w:sz w:val="21"/>
                <w:szCs w:val="21"/>
              </w:rPr>
              <w:t>危废</w:t>
            </w:r>
            <w:r>
              <w:rPr>
                <w:rFonts w:hint="eastAsia"/>
                <w:color w:val="auto"/>
                <w:sz w:val="21"/>
                <w:szCs w:val="21"/>
              </w:rPr>
              <w:t>暂存间</w:t>
            </w:r>
          </w:p>
        </w:tc>
        <w:tc>
          <w:tcPr>
            <w:tcW w:w="1021" w:type="pct"/>
            <w:tcMar>
              <w:left w:w="28" w:type="dxa"/>
            </w:tcMar>
            <w:vAlign w:val="center"/>
          </w:tcPr>
          <w:p w14:paraId="1403773B">
            <w:pPr>
              <w:spacing w:line="240" w:lineRule="auto"/>
              <w:ind w:firstLine="0" w:firstLineChars="0"/>
              <w:jc w:val="center"/>
              <w:rPr>
                <w:color w:val="auto"/>
                <w:sz w:val="21"/>
                <w:szCs w:val="21"/>
              </w:rPr>
            </w:pPr>
            <w:r>
              <w:rPr>
                <w:color w:val="auto"/>
                <w:sz w:val="21"/>
                <w:szCs w:val="21"/>
              </w:rPr>
              <w:t>分类设置，无渗漏</w:t>
            </w:r>
            <w:r>
              <w:rPr>
                <w:rFonts w:hint="eastAsia"/>
                <w:color w:val="auto"/>
                <w:sz w:val="21"/>
                <w:szCs w:val="21"/>
              </w:rPr>
              <w:t>，零排放</w:t>
            </w:r>
          </w:p>
        </w:tc>
        <w:tc>
          <w:tcPr>
            <w:tcW w:w="510" w:type="pct"/>
            <w:tcMar>
              <w:left w:w="28" w:type="dxa"/>
            </w:tcMar>
            <w:vAlign w:val="center"/>
          </w:tcPr>
          <w:p w14:paraId="190B535D">
            <w:pPr>
              <w:spacing w:line="240" w:lineRule="auto"/>
              <w:ind w:firstLine="0" w:firstLineChars="0"/>
              <w:jc w:val="center"/>
              <w:rPr>
                <w:color w:val="auto"/>
                <w:sz w:val="21"/>
                <w:szCs w:val="21"/>
              </w:rPr>
            </w:pPr>
            <w:r>
              <w:rPr>
                <w:rFonts w:hint="eastAsia"/>
                <w:color w:val="auto"/>
                <w:sz w:val="21"/>
                <w:szCs w:val="21"/>
              </w:rPr>
              <w:t>依托现有</w:t>
            </w:r>
          </w:p>
        </w:tc>
        <w:tc>
          <w:tcPr>
            <w:tcW w:w="402" w:type="pct"/>
            <w:vMerge w:val="continue"/>
            <w:tcMar>
              <w:left w:w="28" w:type="dxa"/>
            </w:tcMar>
            <w:vAlign w:val="center"/>
          </w:tcPr>
          <w:p w14:paraId="019BEE40">
            <w:pPr>
              <w:spacing w:line="240" w:lineRule="auto"/>
              <w:ind w:firstLine="0" w:firstLineChars="0"/>
              <w:jc w:val="center"/>
              <w:rPr>
                <w:color w:val="auto"/>
                <w:sz w:val="21"/>
                <w:szCs w:val="21"/>
              </w:rPr>
            </w:pPr>
          </w:p>
        </w:tc>
      </w:tr>
      <w:tr w14:paraId="50471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05AF0233">
            <w:pPr>
              <w:spacing w:line="240" w:lineRule="auto"/>
              <w:ind w:firstLine="0" w:firstLineChars="0"/>
              <w:jc w:val="center"/>
              <w:rPr>
                <w:color w:val="auto"/>
                <w:sz w:val="21"/>
                <w:szCs w:val="21"/>
              </w:rPr>
            </w:pPr>
            <w:r>
              <w:rPr>
                <w:rFonts w:hint="eastAsia"/>
                <w:color w:val="auto"/>
                <w:sz w:val="21"/>
                <w:szCs w:val="21"/>
              </w:rPr>
              <w:t>土壤、地下水</w:t>
            </w:r>
          </w:p>
        </w:tc>
        <w:tc>
          <w:tcPr>
            <w:tcW w:w="677" w:type="pct"/>
            <w:tcMar>
              <w:left w:w="28" w:type="dxa"/>
            </w:tcMar>
            <w:vAlign w:val="center"/>
          </w:tcPr>
          <w:p w14:paraId="0486FEE6">
            <w:pPr>
              <w:spacing w:line="240" w:lineRule="auto"/>
              <w:ind w:firstLine="0" w:firstLineChars="0"/>
              <w:jc w:val="center"/>
              <w:rPr>
                <w:color w:val="auto"/>
                <w:sz w:val="21"/>
                <w:szCs w:val="21"/>
              </w:rPr>
            </w:pPr>
            <w:r>
              <w:rPr>
                <w:rFonts w:hint="eastAsia"/>
                <w:color w:val="auto"/>
                <w:sz w:val="21"/>
                <w:szCs w:val="21"/>
              </w:rPr>
              <w:t>日常生产</w:t>
            </w:r>
          </w:p>
        </w:tc>
        <w:tc>
          <w:tcPr>
            <w:tcW w:w="838" w:type="pct"/>
            <w:tcMar>
              <w:left w:w="28" w:type="dxa"/>
            </w:tcMar>
            <w:vAlign w:val="center"/>
          </w:tcPr>
          <w:p w14:paraId="274618F3">
            <w:pPr>
              <w:spacing w:line="240" w:lineRule="auto"/>
              <w:ind w:firstLine="0" w:firstLineChars="0"/>
              <w:jc w:val="center"/>
              <w:rPr>
                <w:color w:val="auto"/>
                <w:sz w:val="21"/>
                <w:szCs w:val="21"/>
              </w:rPr>
            </w:pPr>
            <w:r>
              <w:rPr>
                <w:color w:val="auto"/>
                <w:sz w:val="21"/>
                <w:szCs w:val="21"/>
              </w:rPr>
              <w:t>COD</w:t>
            </w:r>
            <w:r>
              <w:rPr>
                <w:rFonts w:hint="eastAsia"/>
                <w:color w:val="auto"/>
                <w:sz w:val="21"/>
                <w:szCs w:val="21"/>
              </w:rPr>
              <w:t>、氨氮等</w:t>
            </w:r>
          </w:p>
        </w:tc>
        <w:tc>
          <w:tcPr>
            <w:tcW w:w="1069" w:type="pct"/>
            <w:tcMar>
              <w:left w:w="28" w:type="dxa"/>
            </w:tcMar>
            <w:vAlign w:val="center"/>
          </w:tcPr>
          <w:p w14:paraId="1A4CE965">
            <w:pPr>
              <w:spacing w:line="240" w:lineRule="auto"/>
              <w:ind w:firstLine="0" w:firstLineChars="0"/>
              <w:jc w:val="center"/>
              <w:rPr>
                <w:color w:val="auto"/>
                <w:sz w:val="21"/>
                <w:szCs w:val="21"/>
              </w:rPr>
            </w:pPr>
            <w:r>
              <w:rPr>
                <w:rFonts w:hint="eastAsia"/>
                <w:color w:val="auto"/>
                <w:sz w:val="21"/>
                <w:szCs w:val="21"/>
              </w:rPr>
              <w:t>厂区分区防渗</w:t>
            </w:r>
          </w:p>
        </w:tc>
        <w:tc>
          <w:tcPr>
            <w:tcW w:w="1021" w:type="pct"/>
            <w:tcMar>
              <w:left w:w="28" w:type="dxa"/>
            </w:tcMar>
            <w:vAlign w:val="center"/>
          </w:tcPr>
          <w:p w14:paraId="0926A522">
            <w:pPr>
              <w:spacing w:line="240" w:lineRule="auto"/>
              <w:ind w:firstLine="0" w:firstLineChars="0"/>
              <w:jc w:val="center"/>
              <w:rPr>
                <w:color w:val="auto"/>
                <w:sz w:val="21"/>
                <w:szCs w:val="21"/>
              </w:rPr>
            </w:pPr>
            <w:r>
              <w:rPr>
                <w:color w:val="auto"/>
                <w:sz w:val="21"/>
                <w:szCs w:val="21"/>
              </w:rPr>
              <w:t>不会对地下水及土壤造成污染</w:t>
            </w:r>
          </w:p>
        </w:tc>
        <w:tc>
          <w:tcPr>
            <w:tcW w:w="510" w:type="pct"/>
            <w:tcMar>
              <w:left w:w="28" w:type="dxa"/>
            </w:tcMar>
            <w:vAlign w:val="center"/>
          </w:tcPr>
          <w:p w14:paraId="4CE45E86">
            <w:pPr>
              <w:spacing w:line="240" w:lineRule="auto"/>
              <w:ind w:firstLine="0" w:firstLineChars="0"/>
              <w:jc w:val="center"/>
              <w:rPr>
                <w:color w:val="auto"/>
                <w:sz w:val="21"/>
                <w:szCs w:val="21"/>
              </w:rPr>
            </w:pPr>
            <w:r>
              <w:rPr>
                <w:rFonts w:hint="eastAsia"/>
                <w:color w:val="auto"/>
                <w:sz w:val="21"/>
                <w:szCs w:val="21"/>
              </w:rPr>
              <w:t>依托现有</w:t>
            </w:r>
          </w:p>
        </w:tc>
        <w:tc>
          <w:tcPr>
            <w:tcW w:w="402" w:type="pct"/>
            <w:vMerge w:val="continue"/>
            <w:tcMar>
              <w:left w:w="28" w:type="dxa"/>
            </w:tcMar>
            <w:vAlign w:val="center"/>
          </w:tcPr>
          <w:p w14:paraId="18863E14">
            <w:pPr>
              <w:spacing w:line="240" w:lineRule="auto"/>
              <w:ind w:firstLine="0" w:firstLineChars="0"/>
              <w:jc w:val="center"/>
              <w:rPr>
                <w:color w:val="auto"/>
                <w:sz w:val="21"/>
                <w:szCs w:val="21"/>
              </w:rPr>
            </w:pPr>
          </w:p>
        </w:tc>
      </w:tr>
      <w:tr w14:paraId="57577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4A64E76A">
            <w:pPr>
              <w:spacing w:line="240" w:lineRule="auto"/>
              <w:ind w:firstLine="0" w:firstLineChars="0"/>
              <w:jc w:val="center"/>
              <w:rPr>
                <w:color w:val="auto"/>
                <w:sz w:val="21"/>
                <w:szCs w:val="21"/>
              </w:rPr>
            </w:pPr>
            <w:r>
              <w:rPr>
                <w:color w:val="auto"/>
                <w:sz w:val="21"/>
                <w:szCs w:val="21"/>
              </w:rPr>
              <w:t>绿化</w:t>
            </w:r>
          </w:p>
        </w:tc>
        <w:tc>
          <w:tcPr>
            <w:tcW w:w="2585" w:type="pct"/>
            <w:gridSpan w:val="3"/>
            <w:tcMar>
              <w:left w:w="28" w:type="dxa"/>
            </w:tcMar>
            <w:vAlign w:val="center"/>
          </w:tcPr>
          <w:p w14:paraId="1EA14C8A">
            <w:pPr>
              <w:spacing w:line="240" w:lineRule="auto"/>
              <w:ind w:firstLine="0" w:firstLineChars="0"/>
              <w:jc w:val="center"/>
              <w:rPr>
                <w:color w:val="auto"/>
                <w:sz w:val="21"/>
                <w:szCs w:val="21"/>
              </w:rPr>
            </w:pPr>
            <w:r>
              <w:rPr>
                <w:rFonts w:hint="eastAsia"/>
                <w:color w:val="auto"/>
                <w:sz w:val="21"/>
                <w:szCs w:val="21"/>
              </w:rPr>
              <w:t>/</w:t>
            </w:r>
          </w:p>
        </w:tc>
        <w:tc>
          <w:tcPr>
            <w:tcW w:w="1021" w:type="pct"/>
            <w:tcMar>
              <w:left w:w="28" w:type="dxa"/>
            </w:tcMar>
            <w:vAlign w:val="center"/>
          </w:tcPr>
          <w:p w14:paraId="70A4D5AC">
            <w:pPr>
              <w:spacing w:line="240" w:lineRule="auto"/>
              <w:ind w:firstLine="0" w:firstLineChars="0"/>
              <w:jc w:val="center"/>
              <w:rPr>
                <w:color w:val="auto"/>
                <w:sz w:val="21"/>
                <w:szCs w:val="21"/>
              </w:rPr>
            </w:pPr>
            <w:r>
              <w:rPr>
                <w:rFonts w:hint="eastAsia"/>
                <w:color w:val="auto"/>
                <w:sz w:val="21"/>
                <w:szCs w:val="21"/>
              </w:rPr>
              <w:t>/</w:t>
            </w:r>
          </w:p>
        </w:tc>
        <w:tc>
          <w:tcPr>
            <w:tcW w:w="510" w:type="pct"/>
            <w:tcMar>
              <w:left w:w="28" w:type="dxa"/>
            </w:tcMar>
            <w:vAlign w:val="center"/>
          </w:tcPr>
          <w:p w14:paraId="7E4E0EC3">
            <w:pPr>
              <w:spacing w:line="240" w:lineRule="auto"/>
              <w:ind w:firstLine="0" w:firstLineChars="0"/>
              <w:jc w:val="center"/>
              <w:rPr>
                <w:color w:val="auto"/>
                <w:sz w:val="21"/>
                <w:szCs w:val="21"/>
              </w:rPr>
            </w:pPr>
            <w:r>
              <w:rPr>
                <w:rFonts w:hint="eastAsia"/>
                <w:color w:val="auto"/>
                <w:sz w:val="21"/>
                <w:szCs w:val="21"/>
              </w:rPr>
              <w:t>/</w:t>
            </w:r>
          </w:p>
        </w:tc>
        <w:tc>
          <w:tcPr>
            <w:tcW w:w="402" w:type="pct"/>
            <w:vMerge w:val="continue"/>
            <w:tcMar>
              <w:left w:w="28" w:type="dxa"/>
            </w:tcMar>
            <w:vAlign w:val="center"/>
          </w:tcPr>
          <w:p w14:paraId="1295D70D">
            <w:pPr>
              <w:spacing w:line="240" w:lineRule="auto"/>
              <w:ind w:firstLine="0" w:firstLineChars="0"/>
              <w:jc w:val="center"/>
              <w:rPr>
                <w:color w:val="auto"/>
                <w:sz w:val="21"/>
                <w:szCs w:val="21"/>
              </w:rPr>
            </w:pPr>
          </w:p>
        </w:tc>
      </w:tr>
      <w:tr w14:paraId="64FD9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19311ED6">
            <w:pPr>
              <w:spacing w:line="240" w:lineRule="auto"/>
              <w:ind w:firstLine="0" w:firstLineChars="0"/>
              <w:jc w:val="center"/>
              <w:rPr>
                <w:color w:val="auto"/>
                <w:sz w:val="21"/>
                <w:szCs w:val="21"/>
              </w:rPr>
            </w:pPr>
            <w:r>
              <w:rPr>
                <w:color w:val="auto"/>
                <w:sz w:val="21"/>
                <w:szCs w:val="21"/>
              </w:rPr>
              <w:t>事故应急措施</w:t>
            </w:r>
          </w:p>
        </w:tc>
        <w:tc>
          <w:tcPr>
            <w:tcW w:w="2585" w:type="pct"/>
            <w:gridSpan w:val="3"/>
            <w:tcMar>
              <w:left w:w="28" w:type="dxa"/>
            </w:tcMar>
            <w:vAlign w:val="center"/>
          </w:tcPr>
          <w:p w14:paraId="5C17E24C">
            <w:pPr>
              <w:spacing w:line="240" w:lineRule="auto"/>
              <w:ind w:firstLine="0" w:firstLineChars="0"/>
              <w:jc w:val="center"/>
              <w:rPr>
                <w:color w:val="auto"/>
                <w:sz w:val="21"/>
                <w:szCs w:val="21"/>
              </w:rPr>
            </w:pPr>
            <w:r>
              <w:rPr>
                <w:rFonts w:hint="eastAsia"/>
                <w:color w:val="auto"/>
                <w:sz w:val="21"/>
                <w:szCs w:val="21"/>
              </w:rPr>
              <w:t>依托现有应急措施，企业已更新应急预案内容，并于2026年4月10日在南通市启东生态环境局完成备案。备案编号：320681-2026-033-M</w:t>
            </w:r>
          </w:p>
        </w:tc>
        <w:tc>
          <w:tcPr>
            <w:tcW w:w="1021" w:type="pct"/>
            <w:tcMar>
              <w:left w:w="28" w:type="dxa"/>
            </w:tcMar>
            <w:vAlign w:val="center"/>
          </w:tcPr>
          <w:p w14:paraId="22E31660">
            <w:pPr>
              <w:spacing w:line="240" w:lineRule="auto"/>
              <w:ind w:firstLine="0" w:firstLineChars="0"/>
              <w:jc w:val="center"/>
              <w:rPr>
                <w:color w:val="auto"/>
                <w:sz w:val="21"/>
                <w:szCs w:val="21"/>
              </w:rPr>
            </w:pPr>
            <w:r>
              <w:rPr>
                <w:color w:val="auto"/>
                <w:sz w:val="21"/>
                <w:szCs w:val="21"/>
              </w:rPr>
              <w:t>风险防范</w:t>
            </w:r>
          </w:p>
        </w:tc>
        <w:tc>
          <w:tcPr>
            <w:tcW w:w="510" w:type="pct"/>
            <w:tcMar>
              <w:left w:w="28" w:type="dxa"/>
            </w:tcMar>
            <w:vAlign w:val="center"/>
          </w:tcPr>
          <w:p w14:paraId="5BE0D0C9">
            <w:pPr>
              <w:spacing w:line="240" w:lineRule="auto"/>
              <w:ind w:firstLine="0" w:firstLineChars="0"/>
              <w:jc w:val="center"/>
              <w:rPr>
                <w:color w:val="auto"/>
                <w:sz w:val="21"/>
                <w:szCs w:val="21"/>
              </w:rPr>
            </w:pPr>
            <w:r>
              <w:rPr>
                <w:rFonts w:hint="eastAsia"/>
                <w:color w:val="auto"/>
                <w:sz w:val="21"/>
                <w:szCs w:val="21"/>
              </w:rPr>
              <w:t>依托现有</w:t>
            </w:r>
          </w:p>
        </w:tc>
        <w:tc>
          <w:tcPr>
            <w:tcW w:w="402" w:type="pct"/>
            <w:vMerge w:val="continue"/>
            <w:tcMar>
              <w:left w:w="28" w:type="dxa"/>
            </w:tcMar>
            <w:vAlign w:val="center"/>
          </w:tcPr>
          <w:p w14:paraId="122CDC66">
            <w:pPr>
              <w:spacing w:line="240" w:lineRule="auto"/>
              <w:ind w:firstLine="0" w:firstLineChars="0"/>
              <w:jc w:val="center"/>
              <w:rPr>
                <w:color w:val="auto"/>
                <w:sz w:val="21"/>
                <w:szCs w:val="21"/>
              </w:rPr>
            </w:pPr>
          </w:p>
        </w:tc>
      </w:tr>
      <w:tr w14:paraId="26E19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3E256EC6">
            <w:pPr>
              <w:spacing w:line="240" w:lineRule="auto"/>
              <w:ind w:firstLine="0" w:firstLineChars="0"/>
              <w:jc w:val="center"/>
              <w:rPr>
                <w:color w:val="auto"/>
                <w:sz w:val="21"/>
                <w:szCs w:val="21"/>
              </w:rPr>
            </w:pPr>
            <w:r>
              <w:rPr>
                <w:color w:val="auto"/>
                <w:sz w:val="21"/>
                <w:szCs w:val="21"/>
              </w:rPr>
              <w:t>环境管理</w:t>
            </w:r>
            <w:r>
              <w:rPr>
                <w:rFonts w:hint="eastAsia"/>
                <w:color w:val="auto"/>
                <w:sz w:val="21"/>
                <w:szCs w:val="21"/>
              </w:rPr>
              <w:t>（</w:t>
            </w:r>
            <w:r>
              <w:rPr>
                <w:color w:val="auto"/>
                <w:sz w:val="21"/>
                <w:szCs w:val="21"/>
              </w:rPr>
              <w:t>机构、监测能力</w:t>
            </w:r>
            <w:r>
              <w:rPr>
                <w:rFonts w:hint="eastAsia"/>
                <w:color w:val="auto"/>
                <w:sz w:val="21"/>
                <w:szCs w:val="21"/>
              </w:rPr>
              <w:t>）</w:t>
            </w:r>
          </w:p>
        </w:tc>
        <w:tc>
          <w:tcPr>
            <w:tcW w:w="2585" w:type="pct"/>
            <w:gridSpan w:val="3"/>
            <w:tcMar>
              <w:left w:w="28" w:type="dxa"/>
            </w:tcMar>
            <w:vAlign w:val="center"/>
          </w:tcPr>
          <w:p w14:paraId="79D2B8AE">
            <w:pPr>
              <w:spacing w:line="240" w:lineRule="auto"/>
              <w:ind w:firstLine="0" w:firstLineChars="0"/>
              <w:jc w:val="center"/>
              <w:rPr>
                <w:color w:val="auto"/>
                <w:sz w:val="21"/>
                <w:szCs w:val="21"/>
              </w:rPr>
            </w:pPr>
            <w:r>
              <w:rPr>
                <w:rFonts w:hint="eastAsia"/>
                <w:color w:val="auto"/>
                <w:sz w:val="21"/>
                <w:szCs w:val="21"/>
              </w:rPr>
              <w:t>建立环境保护部门，负责全公司的环境管理。将产品的工艺、污染防治措施及相应的环保工作纳入管理体系，列入公司环保处管理计划和内容</w:t>
            </w:r>
          </w:p>
        </w:tc>
        <w:tc>
          <w:tcPr>
            <w:tcW w:w="1021" w:type="pct"/>
            <w:tcMar>
              <w:left w:w="28" w:type="dxa"/>
            </w:tcMar>
            <w:vAlign w:val="center"/>
          </w:tcPr>
          <w:p w14:paraId="2DA180F0">
            <w:pPr>
              <w:spacing w:line="240" w:lineRule="auto"/>
              <w:ind w:firstLine="0" w:firstLineChars="0"/>
              <w:jc w:val="center"/>
              <w:rPr>
                <w:color w:val="auto"/>
                <w:sz w:val="21"/>
                <w:szCs w:val="21"/>
              </w:rPr>
            </w:pPr>
            <w:r>
              <w:rPr>
                <w:color w:val="auto"/>
                <w:sz w:val="21"/>
                <w:szCs w:val="21"/>
              </w:rPr>
              <w:t>每年按计划例行监测</w:t>
            </w:r>
          </w:p>
        </w:tc>
        <w:tc>
          <w:tcPr>
            <w:tcW w:w="510" w:type="pct"/>
            <w:tcMar>
              <w:left w:w="28" w:type="dxa"/>
            </w:tcMar>
            <w:vAlign w:val="center"/>
          </w:tcPr>
          <w:p w14:paraId="3239AC49">
            <w:pPr>
              <w:spacing w:line="240" w:lineRule="auto"/>
              <w:ind w:firstLine="0" w:firstLineChars="0"/>
              <w:jc w:val="center"/>
              <w:rPr>
                <w:color w:val="auto"/>
                <w:sz w:val="21"/>
                <w:szCs w:val="21"/>
              </w:rPr>
            </w:pPr>
            <w:r>
              <w:rPr>
                <w:color w:val="auto"/>
                <w:sz w:val="21"/>
                <w:szCs w:val="21"/>
              </w:rPr>
              <w:t>-</w:t>
            </w:r>
            <w:r>
              <w:rPr>
                <w:rFonts w:hint="eastAsia"/>
                <w:color w:val="auto"/>
                <w:sz w:val="21"/>
                <w:szCs w:val="21"/>
              </w:rPr>
              <w:t>-</w:t>
            </w:r>
          </w:p>
        </w:tc>
        <w:tc>
          <w:tcPr>
            <w:tcW w:w="402" w:type="pct"/>
            <w:vMerge w:val="continue"/>
            <w:tcMar>
              <w:left w:w="28" w:type="dxa"/>
            </w:tcMar>
            <w:vAlign w:val="center"/>
          </w:tcPr>
          <w:p w14:paraId="0E47CB94">
            <w:pPr>
              <w:spacing w:line="240" w:lineRule="auto"/>
              <w:ind w:firstLine="0" w:firstLineChars="0"/>
              <w:jc w:val="center"/>
              <w:rPr>
                <w:color w:val="auto"/>
                <w:sz w:val="21"/>
                <w:szCs w:val="21"/>
              </w:rPr>
            </w:pPr>
          </w:p>
        </w:tc>
      </w:tr>
      <w:tr w14:paraId="02114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480" w:type="pct"/>
            <w:tcMar>
              <w:left w:w="28" w:type="dxa"/>
            </w:tcMar>
            <w:vAlign w:val="center"/>
          </w:tcPr>
          <w:p w14:paraId="46610A59">
            <w:pPr>
              <w:spacing w:line="240" w:lineRule="auto"/>
              <w:ind w:firstLine="0" w:firstLineChars="0"/>
              <w:jc w:val="center"/>
              <w:rPr>
                <w:color w:val="auto"/>
                <w:sz w:val="21"/>
                <w:szCs w:val="21"/>
              </w:rPr>
            </w:pPr>
            <w:r>
              <w:rPr>
                <w:color w:val="auto"/>
                <w:sz w:val="21"/>
                <w:szCs w:val="21"/>
              </w:rPr>
              <w:t>清污分流、排污口规范化设置</w:t>
            </w:r>
            <w:r>
              <w:rPr>
                <w:rFonts w:hint="eastAsia"/>
                <w:color w:val="auto"/>
                <w:sz w:val="21"/>
                <w:szCs w:val="21"/>
              </w:rPr>
              <w:t>（</w:t>
            </w:r>
            <w:r>
              <w:rPr>
                <w:color w:val="auto"/>
                <w:sz w:val="21"/>
                <w:szCs w:val="21"/>
              </w:rPr>
              <w:t>流量计、在线监测仪</w:t>
            </w:r>
            <w:r>
              <w:rPr>
                <w:rFonts w:hint="eastAsia"/>
                <w:color w:val="auto"/>
                <w:sz w:val="21"/>
                <w:szCs w:val="21"/>
              </w:rPr>
              <w:t>）</w:t>
            </w:r>
          </w:p>
        </w:tc>
        <w:tc>
          <w:tcPr>
            <w:tcW w:w="2585" w:type="pct"/>
            <w:gridSpan w:val="3"/>
            <w:tcMar>
              <w:left w:w="28" w:type="dxa"/>
            </w:tcMar>
            <w:vAlign w:val="center"/>
          </w:tcPr>
          <w:p w14:paraId="7150EF7D">
            <w:pPr>
              <w:spacing w:line="240" w:lineRule="auto"/>
              <w:ind w:firstLine="0" w:firstLineChars="0"/>
              <w:jc w:val="center"/>
              <w:rPr>
                <w:color w:val="auto"/>
                <w:sz w:val="21"/>
                <w:szCs w:val="21"/>
              </w:rPr>
            </w:pPr>
            <w:r>
              <w:rPr>
                <w:rFonts w:hint="eastAsia"/>
                <w:color w:val="auto"/>
                <w:sz w:val="21"/>
                <w:szCs w:val="21"/>
              </w:rPr>
              <w:t>依托现有项目污水排放口、雨水排放口。污水排口设置COD、氨氮、pH、总磷等在线监测系统，雨水排口设置COD在线监测系统。醒目处树立环保图形标志牌，排污口规范化设置。</w:t>
            </w:r>
          </w:p>
        </w:tc>
        <w:tc>
          <w:tcPr>
            <w:tcW w:w="1021" w:type="pct"/>
            <w:tcMar>
              <w:left w:w="28" w:type="dxa"/>
            </w:tcMar>
            <w:vAlign w:val="center"/>
          </w:tcPr>
          <w:p w14:paraId="007294EB">
            <w:pPr>
              <w:spacing w:line="240" w:lineRule="auto"/>
              <w:ind w:firstLine="0" w:firstLineChars="0"/>
              <w:jc w:val="center"/>
              <w:rPr>
                <w:color w:val="auto"/>
                <w:sz w:val="21"/>
                <w:szCs w:val="21"/>
              </w:rPr>
            </w:pPr>
            <w:r>
              <w:rPr>
                <w:color w:val="auto"/>
                <w:sz w:val="21"/>
                <w:szCs w:val="21"/>
              </w:rPr>
              <w:t>符合相关规范</w:t>
            </w:r>
          </w:p>
        </w:tc>
        <w:tc>
          <w:tcPr>
            <w:tcW w:w="510" w:type="pct"/>
            <w:tcMar>
              <w:left w:w="28" w:type="dxa"/>
            </w:tcMar>
            <w:vAlign w:val="center"/>
          </w:tcPr>
          <w:p w14:paraId="385B00B0">
            <w:pPr>
              <w:spacing w:line="240" w:lineRule="auto"/>
              <w:ind w:firstLine="0" w:firstLineChars="0"/>
              <w:jc w:val="center"/>
              <w:rPr>
                <w:color w:val="auto"/>
                <w:sz w:val="21"/>
                <w:szCs w:val="21"/>
              </w:rPr>
            </w:pPr>
            <w:r>
              <w:rPr>
                <w:rFonts w:hint="eastAsia"/>
                <w:color w:val="auto"/>
                <w:sz w:val="21"/>
                <w:szCs w:val="21"/>
              </w:rPr>
              <w:t>依托现有</w:t>
            </w:r>
          </w:p>
        </w:tc>
        <w:tc>
          <w:tcPr>
            <w:tcW w:w="402" w:type="pct"/>
            <w:vMerge w:val="continue"/>
            <w:tcMar>
              <w:left w:w="28" w:type="dxa"/>
            </w:tcMar>
            <w:vAlign w:val="center"/>
          </w:tcPr>
          <w:p w14:paraId="44664E9F">
            <w:pPr>
              <w:spacing w:line="240" w:lineRule="auto"/>
              <w:ind w:firstLine="0" w:firstLineChars="0"/>
              <w:jc w:val="center"/>
              <w:rPr>
                <w:color w:val="auto"/>
                <w:sz w:val="21"/>
                <w:szCs w:val="21"/>
              </w:rPr>
            </w:pPr>
          </w:p>
        </w:tc>
      </w:tr>
      <w:tr w14:paraId="74B0F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5518FF7F">
            <w:pPr>
              <w:spacing w:line="240" w:lineRule="auto"/>
              <w:ind w:firstLine="0" w:firstLineChars="0"/>
              <w:jc w:val="center"/>
              <w:rPr>
                <w:color w:val="auto"/>
                <w:sz w:val="21"/>
                <w:szCs w:val="21"/>
              </w:rPr>
            </w:pPr>
            <w:r>
              <w:rPr>
                <w:color w:val="auto"/>
                <w:sz w:val="21"/>
                <w:szCs w:val="21"/>
              </w:rPr>
              <w:t>以新带老措施</w:t>
            </w:r>
          </w:p>
        </w:tc>
        <w:tc>
          <w:tcPr>
            <w:tcW w:w="4116" w:type="pct"/>
            <w:gridSpan w:val="5"/>
            <w:tcMar>
              <w:left w:w="28" w:type="dxa"/>
            </w:tcMar>
            <w:vAlign w:val="center"/>
          </w:tcPr>
          <w:p w14:paraId="7A127BD4">
            <w:pPr>
              <w:spacing w:line="240" w:lineRule="auto"/>
              <w:ind w:firstLine="0" w:firstLineChars="0"/>
              <w:jc w:val="center"/>
              <w:rPr>
                <w:color w:val="auto"/>
                <w:sz w:val="21"/>
                <w:szCs w:val="21"/>
              </w:rPr>
            </w:pPr>
            <w:r>
              <w:rPr>
                <w:rFonts w:hint="eastAsia"/>
                <w:color w:val="auto"/>
                <w:sz w:val="21"/>
                <w:szCs w:val="21"/>
              </w:rPr>
              <w:t>详见章节3.11</w:t>
            </w:r>
          </w:p>
        </w:tc>
        <w:tc>
          <w:tcPr>
            <w:tcW w:w="402" w:type="pct"/>
            <w:vMerge w:val="continue"/>
            <w:tcMar>
              <w:left w:w="28" w:type="dxa"/>
            </w:tcMar>
            <w:vAlign w:val="center"/>
          </w:tcPr>
          <w:p w14:paraId="22B1C715">
            <w:pPr>
              <w:spacing w:line="240" w:lineRule="auto"/>
              <w:ind w:firstLine="0" w:firstLineChars="0"/>
              <w:jc w:val="center"/>
              <w:rPr>
                <w:color w:val="auto"/>
                <w:sz w:val="21"/>
                <w:szCs w:val="21"/>
              </w:rPr>
            </w:pPr>
          </w:p>
        </w:tc>
      </w:tr>
      <w:tr w14:paraId="70260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75AB988D">
            <w:pPr>
              <w:spacing w:line="240" w:lineRule="auto"/>
              <w:ind w:firstLine="0" w:firstLineChars="0"/>
              <w:jc w:val="center"/>
              <w:rPr>
                <w:color w:val="auto"/>
                <w:sz w:val="21"/>
                <w:szCs w:val="21"/>
              </w:rPr>
            </w:pPr>
            <w:r>
              <w:rPr>
                <w:color w:val="auto"/>
                <w:sz w:val="21"/>
                <w:szCs w:val="21"/>
              </w:rPr>
              <w:t>总量平衡具体方案</w:t>
            </w:r>
          </w:p>
        </w:tc>
        <w:tc>
          <w:tcPr>
            <w:tcW w:w="4116" w:type="pct"/>
            <w:gridSpan w:val="5"/>
            <w:tcMar>
              <w:left w:w="28" w:type="dxa"/>
            </w:tcMar>
            <w:vAlign w:val="center"/>
          </w:tcPr>
          <w:p w14:paraId="2D79A9E9">
            <w:pPr>
              <w:spacing w:line="240" w:lineRule="auto"/>
              <w:ind w:firstLine="0" w:firstLineChars="0"/>
              <w:jc w:val="center"/>
              <w:rPr>
                <w:color w:val="auto"/>
                <w:sz w:val="21"/>
                <w:szCs w:val="21"/>
              </w:rPr>
            </w:pPr>
            <w:r>
              <w:rPr>
                <w:color w:val="auto"/>
                <w:sz w:val="21"/>
                <w:szCs w:val="21"/>
              </w:rPr>
              <w:t>拟建项目废气</w:t>
            </w:r>
            <w:r>
              <w:rPr>
                <w:rFonts w:hint="eastAsia"/>
                <w:color w:val="auto"/>
                <w:sz w:val="21"/>
                <w:szCs w:val="21"/>
              </w:rPr>
              <w:t>总量控制因子二氧化硫和颗粒物通过“以新带老”措施在现有厂区范围内平衡；</w:t>
            </w:r>
            <w:r>
              <w:rPr>
                <w:color w:val="auto"/>
                <w:sz w:val="21"/>
                <w:szCs w:val="21"/>
              </w:rPr>
              <w:t>废水</w:t>
            </w:r>
            <w:r>
              <w:rPr>
                <w:rFonts w:hint="eastAsia"/>
                <w:color w:val="auto"/>
                <w:sz w:val="21"/>
                <w:szCs w:val="21"/>
              </w:rPr>
              <w:t>总量控制因子</w:t>
            </w:r>
            <w:r>
              <w:rPr>
                <w:color w:val="auto"/>
                <w:sz w:val="21"/>
                <w:szCs w:val="21"/>
              </w:rPr>
              <w:t>COD、氨氮</w:t>
            </w:r>
            <w:r>
              <w:rPr>
                <w:rFonts w:hint="eastAsia"/>
                <w:color w:val="auto"/>
                <w:sz w:val="21"/>
                <w:szCs w:val="21"/>
              </w:rPr>
              <w:t>、总磷、总氮纳入污水处理厂总量范围内；</w:t>
            </w:r>
            <w:r>
              <w:rPr>
                <w:color w:val="auto"/>
                <w:sz w:val="21"/>
                <w:szCs w:val="21"/>
              </w:rPr>
              <w:t>固废排放量为零。</w:t>
            </w:r>
          </w:p>
        </w:tc>
        <w:tc>
          <w:tcPr>
            <w:tcW w:w="402" w:type="pct"/>
            <w:tcMar>
              <w:left w:w="28" w:type="dxa"/>
            </w:tcMar>
            <w:vAlign w:val="center"/>
          </w:tcPr>
          <w:p w14:paraId="74170C7D">
            <w:pPr>
              <w:spacing w:line="240" w:lineRule="auto"/>
              <w:ind w:firstLine="0" w:firstLineChars="0"/>
              <w:jc w:val="center"/>
              <w:rPr>
                <w:color w:val="auto"/>
                <w:sz w:val="21"/>
                <w:szCs w:val="21"/>
              </w:rPr>
            </w:pPr>
            <w:r>
              <w:rPr>
                <w:rFonts w:hint="eastAsia"/>
                <w:color w:val="auto"/>
                <w:sz w:val="21"/>
                <w:szCs w:val="21"/>
              </w:rPr>
              <w:t>--</w:t>
            </w:r>
          </w:p>
        </w:tc>
      </w:tr>
      <w:tr w14:paraId="6B85F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26294FDD">
            <w:pPr>
              <w:spacing w:line="240" w:lineRule="auto"/>
              <w:ind w:firstLine="0" w:firstLineChars="0"/>
              <w:jc w:val="center"/>
              <w:rPr>
                <w:color w:val="auto"/>
                <w:sz w:val="21"/>
                <w:szCs w:val="21"/>
              </w:rPr>
            </w:pPr>
            <w:r>
              <w:rPr>
                <w:color w:val="auto"/>
                <w:sz w:val="21"/>
                <w:szCs w:val="21"/>
              </w:rPr>
              <w:t>区域解决问题</w:t>
            </w:r>
          </w:p>
        </w:tc>
        <w:tc>
          <w:tcPr>
            <w:tcW w:w="4116" w:type="pct"/>
            <w:gridSpan w:val="5"/>
            <w:tcMar>
              <w:left w:w="28" w:type="dxa"/>
            </w:tcMar>
            <w:vAlign w:val="center"/>
          </w:tcPr>
          <w:p w14:paraId="530EBB8B">
            <w:pPr>
              <w:spacing w:line="240" w:lineRule="auto"/>
              <w:ind w:firstLine="0" w:firstLineChars="0"/>
              <w:jc w:val="center"/>
              <w:rPr>
                <w:color w:val="auto"/>
                <w:sz w:val="21"/>
                <w:szCs w:val="21"/>
              </w:rPr>
            </w:pPr>
            <w:r>
              <w:rPr>
                <w:color w:val="auto"/>
                <w:sz w:val="21"/>
                <w:szCs w:val="21"/>
              </w:rPr>
              <w:t>--</w:t>
            </w:r>
          </w:p>
        </w:tc>
        <w:tc>
          <w:tcPr>
            <w:tcW w:w="402" w:type="pct"/>
            <w:tcMar>
              <w:left w:w="28" w:type="dxa"/>
            </w:tcMar>
            <w:vAlign w:val="center"/>
          </w:tcPr>
          <w:p w14:paraId="7E665B43">
            <w:pPr>
              <w:spacing w:line="240" w:lineRule="auto"/>
              <w:ind w:firstLine="0" w:firstLineChars="0"/>
              <w:jc w:val="center"/>
              <w:rPr>
                <w:color w:val="auto"/>
                <w:sz w:val="21"/>
                <w:szCs w:val="21"/>
              </w:rPr>
            </w:pPr>
            <w:r>
              <w:rPr>
                <w:color w:val="auto"/>
                <w:sz w:val="21"/>
                <w:szCs w:val="21"/>
              </w:rPr>
              <w:t>--</w:t>
            </w:r>
          </w:p>
        </w:tc>
      </w:tr>
      <w:tr w14:paraId="32098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Mar>
              <w:left w:w="28" w:type="dxa"/>
            </w:tcMar>
            <w:vAlign w:val="center"/>
          </w:tcPr>
          <w:p w14:paraId="1120A492">
            <w:pPr>
              <w:spacing w:line="240" w:lineRule="auto"/>
              <w:ind w:firstLine="0" w:firstLineChars="0"/>
              <w:jc w:val="center"/>
              <w:rPr>
                <w:color w:val="auto"/>
                <w:sz w:val="21"/>
                <w:szCs w:val="21"/>
              </w:rPr>
            </w:pPr>
            <w:r>
              <w:rPr>
                <w:color w:val="auto"/>
                <w:sz w:val="21"/>
                <w:szCs w:val="21"/>
              </w:rPr>
              <w:t>卫生防护距离设置</w:t>
            </w:r>
            <w:r>
              <w:rPr>
                <w:rFonts w:hint="eastAsia"/>
                <w:color w:val="auto"/>
                <w:sz w:val="21"/>
                <w:szCs w:val="21"/>
              </w:rPr>
              <w:t>（</w:t>
            </w:r>
            <w:r>
              <w:rPr>
                <w:color w:val="auto"/>
                <w:sz w:val="21"/>
                <w:szCs w:val="21"/>
              </w:rPr>
              <w:t>以设施或厂界设置，敏感目标</w:t>
            </w:r>
            <w:r>
              <w:rPr>
                <w:rFonts w:hint="eastAsia"/>
                <w:color w:val="auto"/>
                <w:sz w:val="21"/>
                <w:szCs w:val="21"/>
              </w:rPr>
              <w:t>）</w:t>
            </w:r>
          </w:p>
        </w:tc>
        <w:tc>
          <w:tcPr>
            <w:tcW w:w="4116" w:type="pct"/>
            <w:gridSpan w:val="5"/>
            <w:tcMar>
              <w:left w:w="28" w:type="dxa"/>
            </w:tcMar>
            <w:vAlign w:val="center"/>
          </w:tcPr>
          <w:p w14:paraId="6C56814C">
            <w:pPr>
              <w:spacing w:line="240" w:lineRule="auto"/>
              <w:ind w:firstLine="0" w:firstLineChars="0"/>
              <w:jc w:val="center"/>
              <w:rPr>
                <w:color w:val="auto"/>
                <w:sz w:val="21"/>
                <w:szCs w:val="21"/>
              </w:rPr>
            </w:pPr>
            <w:r>
              <w:rPr>
                <w:rFonts w:hint="eastAsia"/>
                <w:color w:val="auto"/>
                <w:sz w:val="21"/>
                <w:szCs w:val="21"/>
              </w:rPr>
              <w:t>综合考虑现有项目卫生防护距离设置情况，拟建建成后全厂卫生防护距离仍为划定的500m。</w:t>
            </w:r>
          </w:p>
        </w:tc>
        <w:tc>
          <w:tcPr>
            <w:tcW w:w="402" w:type="pct"/>
            <w:tcMar>
              <w:left w:w="28" w:type="dxa"/>
            </w:tcMar>
            <w:vAlign w:val="center"/>
          </w:tcPr>
          <w:p w14:paraId="657BCC0E">
            <w:pPr>
              <w:spacing w:line="240" w:lineRule="auto"/>
              <w:ind w:firstLine="0" w:firstLineChars="0"/>
              <w:jc w:val="center"/>
              <w:rPr>
                <w:color w:val="auto"/>
                <w:sz w:val="21"/>
                <w:szCs w:val="21"/>
              </w:rPr>
            </w:pPr>
            <w:r>
              <w:rPr>
                <w:rFonts w:hint="eastAsia"/>
                <w:color w:val="auto"/>
                <w:sz w:val="21"/>
                <w:szCs w:val="21"/>
              </w:rPr>
              <w:t>--</w:t>
            </w:r>
          </w:p>
        </w:tc>
      </w:tr>
    </w:tbl>
    <w:p w14:paraId="3F0EF2EE">
      <w:pPr>
        <w:spacing w:line="240" w:lineRule="exact"/>
        <w:ind w:firstLine="0" w:firstLineChars="0"/>
        <w:jc w:val="center"/>
        <w:rPr>
          <w:rFonts w:ascii="黑体" w:eastAsia="黑体"/>
          <w:color w:val="auto"/>
        </w:rPr>
      </w:pPr>
    </w:p>
    <w:p w14:paraId="57232874">
      <w:pPr>
        <w:spacing w:line="240" w:lineRule="exact"/>
        <w:ind w:firstLine="480"/>
        <w:rPr>
          <w:color w:val="auto"/>
        </w:rPr>
        <w:sectPr>
          <w:pgSz w:w="11905" w:h="16838"/>
          <w:pgMar w:top="1134" w:right="1134" w:bottom="1134" w:left="1134" w:header="850" w:footer="992" w:gutter="0"/>
          <w:cols w:space="720" w:num="1"/>
          <w:docGrid w:type="lines" w:linePitch="385" w:charSpace="0"/>
        </w:sectPr>
      </w:pPr>
    </w:p>
    <w:p w14:paraId="71BE2C76">
      <w:pPr>
        <w:pStyle w:val="2"/>
        <w:spacing w:before="385" w:after="385"/>
        <w:rPr>
          <w:rFonts w:hint="eastAsia"/>
          <w:color w:val="auto"/>
        </w:rPr>
      </w:pPr>
      <w:bookmarkStart w:id="365" w:name="_Toc23298"/>
      <w:bookmarkStart w:id="366" w:name="_Toc7124"/>
      <w:bookmarkStart w:id="367" w:name="_Toc325467292"/>
      <w:bookmarkStart w:id="368" w:name="_Toc23971"/>
      <w:r>
        <w:rPr>
          <w:rFonts w:hint="eastAsia"/>
          <w:color w:val="auto"/>
        </w:rPr>
        <w:t>环境影响经济损益分析</w:t>
      </w:r>
      <w:bookmarkEnd w:id="365"/>
      <w:bookmarkEnd w:id="366"/>
      <w:bookmarkEnd w:id="367"/>
      <w:bookmarkEnd w:id="368"/>
    </w:p>
    <w:p w14:paraId="7217C9AC">
      <w:pPr>
        <w:pStyle w:val="3"/>
        <w:spacing w:before="385"/>
        <w:rPr>
          <w:color w:val="auto"/>
        </w:rPr>
      </w:pPr>
      <w:bookmarkStart w:id="369" w:name="_Toc25328"/>
      <w:bookmarkStart w:id="370" w:name="_Toc13455"/>
      <w:bookmarkStart w:id="371" w:name="_Toc325467294"/>
      <w:bookmarkStart w:id="372" w:name="_Toc20338"/>
      <w:r>
        <w:rPr>
          <w:color w:val="auto"/>
        </w:rPr>
        <w:t>8.1</w:t>
      </w:r>
      <w:r>
        <w:rPr>
          <w:rFonts w:hint="eastAsia"/>
          <w:color w:val="auto"/>
        </w:rPr>
        <w:t>环保设施投资估算</w:t>
      </w:r>
      <w:bookmarkEnd w:id="369"/>
      <w:bookmarkEnd w:id="370"/>
      <w:bookmarkEnd w:id="371"/>
      <w:bookmarkEnd w:id="372"/>
    </w:p>
    <w:p w14:paraId="4B406613">
      <w:pPr>
        <w:pStyle w:val="17"/>
        <w:adjustRightInd w:val="0"/>
        <w:snapToGrid w:val="0"/>
        <w:spacing w:line="460" w:lineRule="exact"/>
        <w:ind w:firstLine="480" w:firstLineChars="200"/>
        <w:rPr>
          <w:rFonts w:hint="eastAsia" w:ascii="Times New Roman"/>
          <w:bCs w:val="0"/>
          <w:color w:val="auto"/>
          <w:kern w:val="2"/>
          <w:sz w:val="24"/>
          <w:szCs w:val="24"/>
        </w:rPr>
      </w:pPr>
      <w:r>
        <w:rPr>
          <w:rFonts w:hint="eastAsia" w:ascii="Times New Roman"/>
          <w:bCs w:val="0"/>
          <w:color w:val="auto"/>
          <w:kern w:val="2"/>
          <w:sz w:val="24"/>
          <w:szCs w:val="24"/>
        </w:rPr>
        <w:t>拟建项目不新增环保设施，废气处理设施、设备噪声污染防治设施，配套的污水治理设施和固废处理设施基本依托厂区现有，建设项目环保投资主要为所依托厂区污染防治设施的运行维护费用。此外在石膏车间增设一套废气处理水喷淋设施作为本次“以新带老”措施。拟建项目污染防治设施的建设投资约为</w:t>
      </w:r>
      <w:r>
        <w:rPr>
          <w:rFonts w:hint="eastAsia" w:ascii="Times New Roman"/>
          <w:bCs w:val="0"/>
          <w:color w:val="auto"/>
          <w:kern w:val="2"/>
          <w:sz w:val="24"/>
          <w:szCs w:val="24"/>
          <w:lang w:val="en-US" w:eastAsia="zh-CN"/>
        </w:rPr>
        <w:t>200</w:t>
      </w:r>
      <w:r>
        <w:rPr>
          <w:rFonts w:hint="eastAsia" w:ascii="Times New Roman"/>
          <w:bCs w:val="0"/>
          <w:color w:val="auto"/>
          <w:kern w:val="2"/>
          <w:sz w:val="24"/>
          <w:szCs w:val="24"/>
        </w:rPr>
        <w:t>万元，能满足有关污染控制方面的需要。</w:t>
      </w:r>
    </w:p>
    <w:p w14:paraId="3029A970">
      <w:pPr>
        <w:pStyle w:val="17"/>
        <w:adjustRightInd w:val="0"/>
        <w:snapToGrid w:val="0"/>
        <w:spacing w:line="460" w:lineRule="exact"/>
        <w:ind w:firstLine="480" w:firstLineChars="200"/>
        <w:rPr>
          <w:rFonts w:hint="eastAsia" w:ascii="Times New Roman"/>
          <w:bCs w:val="0"/>
          <w:color w:val="auto"/>
          <w:kern w:val="2"/>
          <w:sz w:val="24"/>
          <w:szCs w:val="24"/>
        </w:rPr>
      </w:pPr>
      <w:r>
        <w:rPr>
          <w:rFonts w:hint="eastAsia" w:ascii="Times New Roman"/>
          <w:bCs w:val="0"/>
          <w:color w:val="auto"/>
          <w:kern w:val="2"/>
          <w:sz w:val="24"/>
          <w:szCs w:val="24"/>
        </w:rPr>
        <w:t>拟建主要环保设施建设投资见表7.8-1。</w:t>
      </w:r>
    </w:p>
    <w:p w14:paraId="4FFE46A7">
      <w:pPr>
        <w:pStyle w:val="3"/>
        <w:spacing w:before="385"/>
        <w:rPr>
          <w:color w:val="auto"/>
        </w:rPr>
      </w:pPr>
      <w:bookmarkStart w:id="373" w:name="_Toc325467293"/>
      <w:bookmarkStart w:id="374" w:name="_Toc7436"/>
      <w:bookmarkStart w:id="375" w:name="_Toc450137605"/>
      <w:bookmarkStart w:id="376" w:name="_Toc673"/>
      <w:bookmarkStart w:id="377" w:name="_Toc22414"/>
      <w:r>
        <w:rPr>
          <w:color w:val="auto"/>
        </w:rPr>
        <w:t>8.</w:t>
      </w:r>
      <w:r>
        <w:rPr>
          <w:rFonts w:hint="eastAsia"/>
          <w:color w:val="auto"/>
        </w:rPr>
        <w:t>2拟建项目环境效益</w:t>
      </w:r>
      <w:bookmarkEnd w:id="373"/>
      <w:r>
        <w:rPr>
          <w:rFonts w:hint="eastAsia"/>
          <w:color w:val="auto"/>
        </w:rPr>
        <w:t>分析</w:t>
      </w:r>
      <w:bookmarkEnd w:id="374"/>
      <w:bookmarkEnd w:id="375"/>
      <w:bookmarkEnd w:id="376"/>
      <w:bookmarkEnd w:id="377"/>
    </w:p>
    <w:p w14:paraId="66613442">
      <w:pPr>
        <w:pStyle w:val="4"/>
        <w:rPr>
          <w:color w:val="auto"/>
        </w:rPr>
      </w:pPr>
      <w:bookmarkStart w:id="378" w:name="_Toc31899"/>
      <w:bookmarkStart w:id="379" w:name="_Toc12275"/>
      <w:r>
        <w:rPr>
          <w:color w:val="auto"/>
        </w:rPr>
        <w:t>8.2.1环境效益</w:t>
      </w:r>
      <w:bookmarkEnd w:id="378"/>
      <w:bookmarkEnd w:id="379"/>
    </w:p>
    <w:p w14:paraId="1CE680AC">
      <w:pPr>
        <w:ind w:firstLine="480"/>
        <w:rPr>
          <w:color w:val="auto"/>
        </w:rPr>
      </w:pPr>
      <w:r>
        <w:rPr>
          <w:rFonts w:hint="eastAsia" w:hAnsi="宋体"/>
          <w:color w:val="auto"/>
        </w:rPr>
        <w:t>拟建项目通过环保设施的建设和正常运转，可保证各类污染物的达标排放，也能实现项目厂区周围各类环境质量控制在预定的环境保护目标以内，对预防和杜绝可能产生的潜在事故污染影响也能发挥明显的作用。</w:t>
      </w:r>
    </w:p>
    <w:p w14:paraId="71741F03">
      <w:pPr>
        <w:pStyle w:val="10"/>
        <w:spacing w:line="500" w:lineRule="exact"/>
        <w:ind w:firstLine="480" w:firstLineChars="200"/>
        <w:rPr>
          <w:rFonts w:hint="eastAsia" w:ascii="Times New Roman"/>
          <w:bCs/>
          <w:color w:val="auto"/>
        </w:rPr>
      </w:pPr>
      <w:r>
        <w:rPr>
          <w:rFonts w:hint="eastAsia" w:ascii="Times New Roman"/>
          <w:bCs/>
          <w:color w:val="auto"/>
        </w:rPr>
        <w:t>拟建项目</w:t>
      </w:r>
      <w:r>
        <w:rPr>
          <w:rFonts w:hint="eastAsia" w:ascii="Times New Roman"/>
          <w:color w:val="auto"/>
        </w:rPr>
        <w:t>产生的各股</w:t>
      </w:r>
      <w:r>
        <w:rPr>
          <w:rFonts w:ascii="Times New Roman"/>
          <w:color w:val="auto"/>
        </w:rPr>
        <w:t>废水经</w:t>
      </w:r>
      <w:r>
        <w:rPr>
          <w:rFonts w:hint="eastAsia" w:ascii="Times New Roman"/>
          <w:color w:val="auto"/>
        </w:rPr>
        <w:t>厂区污水处理设施</w:t>
      </w:r>
      <w:r>
        <w:rPr>
          <w:rFonts w:ascii="Times New Roman"/>
          <w:color w:val="auto"/>
        </w:rPr>
        <w:t>预处理后，</w:t>
      </w:r>
      <w:r>
        <w:rPr>
          <w:rFonts w:hint="eastAsia" w:ascii="Times New Roman"/>
          <w:color w:val="auto"/>
        </w:rPr>
        <w:t>接管至</w:t>
      </w:r>
      <w:r>
        <w:rPr>
          <w:rFonts w:hint="eastAsia" w:ascii="Times New Roman" w:hAnsi="Times New Roman"/>
          <w:color w:val="auto"/>
          <w:kern w:val="0"/>
          <w:szCs w:val="24"/>
          <w:lang w:bidi="ar"/>
        </w:rPr>
        <w:t>联合环境水务（启东）有限公司</w:t>
      </w:r>
      <w:r>
        <w:rPr>
          <w:rFonts w:hint="eastAsia" w:ascii="Times New Roman"/>
          <w:color w:val="auto"/>
        </w:rPr>
        <w:t>，达标尾水排入长江，</w:t>
      </w:r>
      <w:r>
        <w:rPr>
          <w:color w:val="auto"/>
        </w:rPr>
        <w:t>大大降低了对纳污水体的污染影响。</w:t>
      </w:r>
    </w:p>
    <w:p w14:paraId="358D2B29">
      <w:pPr>
        <w:autoSpaceDE w:val="0"/>
        <w:autoSpaceDN w:val="0"/>
        <w:ind w:firstLine="480"/>
        <w:rPr>
          <w:color w:val="auto"/>
        </w:rPr>
      </w:pPr>
      <w:r>
        <w:rPr>
          <w:rFonts w:hint="eastAsia" w:hAnsi="宋体"/>
          <w:color w:val="auto"/>
        </w:rPr>
        <w:t>拟建项目生产中有组织、无组织排放的各类废气经相应的治理措施处理后，经预测不会对周围大气环境造成明显影响。</w:t>
      </w:r>
    </w:p>
    <w:p w14:paraId="6E3837C9">
      <w:pPr>
        <w:autoSpaceDE w:val="0"/>
        <w:autoSpaceDN w:val="0"/>
        <w:ind w:firstLine="480"/>
        <w:rPr>
          <w:rFonts w:hint="eastAsia" w:hAnsi="宋体"/>
          <w:color w:val="auto"/>
        </w:rPr>
      </w:pPr>
      <w:r>
        <w:rPr>
          <w:rFonts w:hint="eastAsia" w:hAnsi="宋体"/>
          <w:color w:val="auto"/>
        </w:rPr>
        <w:t>高声级设备经消声、隔声处理后，大大降低了高声级设备对周围声环境的影响。</w:t>
      </w:r>
    </w:p>
    <w:p w14:paraId="239B535A">
      <w:pPr>
        <w:autoSpaceDE w:val="0"/>
        <w:autoSpaceDN w:val="0"/>
        <w:ind w:firstLine="480"/>
        <w:rPr>
          <w:rFonts w:hint="eastAsia" w:hAnsi="宋体"/>
          <w:color w:val="auto"/>
        </w:rPr>
      </w:pPr>
      <w:r>
        <w:rPr>
          <w:rFonts w:hint="eastAsia" w:hAnsi="宋体"/>
          <w:color w:val="auto"/>
        </w:rPr>
        <w:t>拟建项目产生各类固废经分类收集、规范存储与处置后，固废排放量为零，不会对周围环境造成不良影响。</w:t>
      </w:r>
    </w:p>
    <w:p w14:paraId="590A5428">
      <w:pPr>
        <w:ind w:firstLine="480"/>
        <w:rPr>
          <w:rFonts w:hint="eastAsia" w:hAnsi="宋体"/>
          <w:color w:val="auto"/>
        </w:rPr>
      </w:pPr>
      <w:r>
        <w:rPr>
          <w:rFonts w:hint="eastAsia" w:hAnsi="宋体"/>
          <w:color w:val="auto"/>
        </w:rPr>
        <w:t>综上分析可知，拟建项目废气、废水、噪声、固体废物各类污染治理措施以依托厂区现有环保处理设施为核心，现有废气喷淋吸收、废水预处理等环保装置经历年运行及例行监测验证，污染物去除效率稳定可靠，装置富余处理负荷可完全接纳本项目新增产污量，工艺适配性与处置能力满足项目排污管控需求。项目针对废气、废水、固废及设备噪声分别配套密闭收集、减振降噪、分类贮存处置、分质预处理等精细化防控手段，从源头削减污染物产生量、末端强化污染物治理效率，实现全流程污染闭环管控。通过上述系统化污染防控措施落地实施，能够最大限度削减项目各类污染物外排环境量，有效缓解拟建项目建设运营对区域地表水、环境空气、声环境及土壤环境的不利影响，切实保障项目所在区域环境质量维持现状水平，从环保管控角度论证本项目污染防治方案科学可行。</w:t>
      </w:r>
    </w:p>
    <w:p w14:paraId="2FA7AB18">
      <w:pPr>
        <w:pStyle w:val="4"/>
        <w:rPr>
          <w:color w:val="auto"/>
        </w:rPr>
      </w:pPr>
      <w:bookmarkStart w:id="380" w:name="_Toc27019"/>
      <w:bookmarkStart w:id="381" w:name="_Toc130"/>
      <w:r>
        <w:rPr>
          <w:rFonts w:hint="eastAsia"/>
          <w:color w:val="auto"/>
        </w:rPr>
        <w:t>8.2.2社会效益</w:t>
      </w:r>
      <w:bookmarkEnd w:id="380"/>
      <w:bookmarkEnd w:id="381"/>
    </w:p>
    <w:p w14:paraId="689BA346">
      <w:pPr>
        <w:pStyle w:val="17"/>
        <w:adjustRightInd w:val="0"/>
        <w:snapToGrid w:val="0"/>
        <w:spacing w:line="460" w:lineRule="exact"/>
        <w:ind w:firstLine="480" w:firstLineChars="200"/>
        <w:rPr>
          <w:rFonts w:hint="eastAsia" w:ascii="Times New Roman"/>
          <w:bCs w:val="0"/>
          <w:color w:val="auto"/>
          <w:kern w:val="2"/>
          <w:sz w:val="24"/>
          <w:szCs w:val="24"/>
        </w:rPr>
      </w:pPr>
      <w:r>
        <w:rPr>
          <w:rFonts w:hint="eastAsia" w:ascii="Times New Roman"/>
          <w:bCs w:val="0"/>
          <w:color w:val="auto"/>
          <w:kern w:val="2"/>
          <w:sz w:val="24"/>
          <w:szCs w:val="24"/>
        </w:rPr>
        <w:t>拟建建成后的社会效益主要体现在以下几个方面：</w:t>
      </w:r>
    </w:p>
    <w:p w14:paraId="59D3FB6A">
      <w:pPr>
        <w:pStyle w:val="17"/>
        <w:adjustRightInd w:val="0"/>
        <w:snapToGrid w:val="0"/>
        <w:spacing w:line="460" w:lineRule="exact"/>
        <w:ind w:firstLine="480" w:firstLineChars="200"/>
        <w:rPr>
          <w:rFonts w:hint="eastAsia" w:ascii="Times New Roman"/>
          <w:bCs w:val="0"/>
          <w:color w:val="auto"/>
          <w:kern w:val="2"/>
          <w:sz w:val="24"/>
          <w:szCs w:val="24"/>
        </w:rPr>
      </w:pPr>
      <w:r>
        <w:rPr>
          <w:rFonts w:hint="eastAsia" w:ascii="Times New Roman"/>
          <w:bCs w:val="0"/>
          <w:color w:val="auto"/>
          <w:kern w:val="2"/>
          <w:sz w:val="24"/>
          <w:szCs w:val="24"/>
        </w:rPr>
        <w:t>（1）目前市场上对项目产品的需求量日益增加，产品市场前景良好，能够带来很好的社会经济效益。同时拟建建设位于启东生命健康产业园，项目生产的项目生产的硫代硫酸盐、亚硫酸盐可作为医药辅料、试剂、生产助剂，用于生物医药研发、药品生产、制剂加工等环节，是生物医药产业链的配套基础原料，可服务园区生物医药产业集群发展，助力完善本地医药上下游配套体系。</w:t>
      </w:r>
    </w:p>
    <w:p w14:paraId="637767AF">
      <w:pPr>
        <w:pStyle w:val="17"/>
        <w:adjustRightInd w:val="0"/>
        <w:snapToGrid w:val="0"/>
        <w:spacing w:line="460" w:lineRule="exact"/>
        <w:ind w:firstLine="480" w:firstLineChars="200"/>
        <w:rPr>
          <w:rFonts w:hint="eastAsia" w:ascii="Times New Roman"/>
          <w:bCs w:val="0"/>
          <w:color w:val="auto"/>
          <w:kern w:val="2"/>
          <w:sz w:val="24"/>
          <w:szCs w:val="24"/>
        </w:rPr>
      </w:pPr>
      <w:r>
        <w:rPr>
          <w:rFonts w:hint="eastAsia" w:ascii="Times New Roman"/>
          <w:bCs w:val="0"/>
          <w:color w:val="auto"/>
          <w:kern w:val="2"/>
          <w:sz w:val="24"/>
          <w:szCs w:val="24"/>
        </w:rPr>
        <w:t>（2）拟建项目建成投产后对促进地方经济和国民经济的发展具有积极的推动作用。同时项目每年还需要一定的辅助材料、燃料动力，可有效刺激和带动其他相关产业的发展。</w:t>
      </w:r>
    </w:p>
    <w:p w14:paraId="0AD3A10A">
      <w:pPr>
        <w:pStyle w:val="17"/>
        <w:adjustRightInd w:val="0"/>
        <w:snapToGrid w:val="0"/>
        <w:spacing w:line="460" w:lineRule="exact"/>
        <w:ind w:firstLine="480" w:firstLineChars="200"/>
        <w:rPr>
          <w:rFonts w:hint="eastAsia" w:ascii="Times New Roman"/>
          <w:bCs w:val="0"/>
          <w:color w:val="auto"/>
          <w:kern w:val="2"/>
          <w:sz w:val="24"/>
          <w:szCs w:val="24"/>
        </w:rPr>
      </w:pPr>
      <w:r>
        <w:rPr>
          <w:rFonts w:hint="eastAsia" w:ascii="Times New Roman"/>
          <w:bCs w:val="0"/>
          <w:color w:val="auto"/>
          <w:kern w:val="2"/>
          <w:sz w:val="24"/>
          <w:szCs w:val="24"/>
        </w:rPr>
        <w:t>（3）拟建项目的建设还将为地方经济发展创造更多的机会，一定程度上增强地方经济实力。</w:t>
      </w:r>
    </w:p>
    <w:p w14:paraId="4A538DD3">
      <w:pPr>
        <w:pStyle w:val="17"/>
        <w:adjustRightInd w:val="0"/>
        <w:snapToGrid w:val="0"/>
        <w:spacing w:line="460" w:lineRule="exact"/>
        <w:ind w:firstLine="480" w:firstLineChars="200"/>
        <w:rPr>
          <w:rFonts w:hint="eastAsia" w:ascii="Times New Roman"/>
          <w:bCs w:val="0"/>
          <w:color w:val="auto"/>
          <w:kern w:val="2"/>
          <w:sz w:val="24"/>
          <w:szCs w:val="24"/>
        </w:rPr>
      </w:pPr>
      <w:r>
        <w:rPr>
          <w:rFonts w:hint="eastAsia" w:ascii="Times New Roman"/>
          <w:bCs w:val="0"/>
          <w:color w:val="auto"/>
          <w:kern w:val="2"/>
          <w:sz w:val="24"/>
          <w:szCs w:val="24"/>
        </w:rPr>
        <w:t>综合上述分析可知，拟建建设具有一定的社会效益。</w:t>
      </w:r>
    </w:p>
    <w:p w14:paraId="22A7E31D">
      <w:pPr>
        <w:pStyle w:val="4"/>
        <w:rPr>
          <w:color w:val="auto"/>
        </w:rPr>
      </w:pPr>
      <w:bookmarkStart w:id="382" w:name="_Toc15313"/>
      <w:bookmarkStart w:id="383" w:name="_Toc19510"/>
      <w:r>
        <w:rPr>
          <w:rFonts w:hint="eastAsia"/>
          <w:color w:val="auto"/>
        </w:rPr>
        <w:t>8.2.3经济效益</w:t>
      </w:r>
      <w:bookmarkEnd w:id="382"/>
      <w:bookmarkEnd w:id="383"/>
    </w:p>
    <w:p w14:paraId="77F7092F">
      <w:pPr>
        <w:widowControl/>
        <w:spacing w:line="360" w:lineRule="auto"/>
        <w:ind w:firstLine="480"/>
        <w:jc w:val="left"/>
        <w:rPr>
          <w:color w:val="auto"/>
        </w:rPr>
        <w:sectPr>
          <w:pgSz w:w="11905" w:h="16838"/>
          <w:pgMar w:top="1134" w:right="1134" w:bottom="1134" w:left="1134" w:header="850" w:footer="992" w:gutter="0"/>
          <w:cols w:space="720" w:num="1"/>
          <w:docGrid w:type="lines" w:linePitch="385" w:charSpace="0"/>
        </w:sectPr>
      </w:pPr>
      <w:r>
        <w:rPr>
          <w:rFonts w:hint="eastAsia"/>
          <w:color w:val="auto"/>
        </w:rPr>
        <w:t>财务分析计算表明，拟建项目建设总投资</w:t>
      </w:r>
      <w:r>
        <w:rPr>
          <w:rFonts w:hint="eastAsia"/>
          <w:color w:val="auto"/>
          <w:lang w:val="en-US" w:eastAsia="zh-CN"/>
        </w:rPr>
        <w:t>946.78</w:t>
      </w:r>
      <w:r>
        <w:rPr>
          <w:rFonts w:hint="eastAsia"/>
          <w:color w:val="auto"/>
        </w:rPr>
        <w:t>万元，项目建成后将产生较大的经济效益，正常年年利润总额达到1182.46万元，净利润可达886.84万元，投资回收期税后为5.5年，各项经济指标均达到市场要求，具有良好、稳定的经济效益。</w:t>
      </w:r>
    </w:p>
    <w:p w14:paraId="1C9251CA">
      <w:pPr>
        <w:pStyle w:val="2"/>
        <w:spacing w:before="385" w:after="385"/>
        <w:rPr>
          <w:rFonts w:hint="eastAsia"/>
          <w:color w:val="auto"/>
        </w:rPr>
      </w:pPr>
      <w:bookmarkStart w:id="384" w:name="_Toc1519"/>
      <w:bookmarkStart w:id="385" w:name="_Toc7206"/>
      <w:bookmarkStart w:id="386" w:name="_Toc479187223"/>
      <w:bookmarkStart w:id="387" w:name="_Toc20755"/>
      <w:r>
        <w:rPr>
          <w:color w:val="auto"/>
        </w:rPr>
        <w:t>环境管理与监测计划</w:t>
      </w:r>
      <w:bookmarkEnd w:id="384"/>
      <w:bookmarkEnd w:id="385"/>
      <w:bookmarkEnd w:id="386"/>
      <w:bookmarkEnd w:id="387"/>
    </w:p>
    <w:p w14:paraId="2B751657">
      <w:pPr>
        <w:pStyle w:val="3"/>
        <w:spacing w:before="385"/>
        <w:rPr>
          <w:color w:val="auto"/>
        </w:rPr>
      </w:pPr>
      <w:bookmarkStart w:id="388" w:name="_Toc28587"/>
      <w:bookmarkStart w:id="389" w:name="_Toc4511"/>
      <w:bookmarkStart w:id="390" w:name="_Toc476661922"/>
      <w:bookmarkStart w:id="391" w:name="_Toc479187224"/>
      <w:bookmarkStart w:id="392" w:name="_Toc52"/>
      <w:r>
        <w:rPr>
          <w:color w:val="auto"/>
        </w:rPr>
        <w:t>9.1工程组成及污染物排放清单</w:t>
      </w:r>
      <w:bookmarkEnd w:id="388"/>
      <w:bookmarkEnd w:id="389"/>
      <w:bookmarkEnd w:id="390"/>
      <w:bookmarkEnd w:id="391"/>
      <w:bookmarkEnd w:id="392"/>
    </w:p>
    <w:p w14:paraId="35B872F2">
      <w:pPr>
        <w:pStyle w:val="4"/>
        <w:rPr>
          <w:color w:val="auto"/>
        </w:rPr>
      </w:pPr>
      <w:bookmarkStart w:id="393" w:name="_Toc173747002"/>
      <w:bookmarkStart w:id="394" w:name="_Toc80072998"/>
      <w:bookmarkStart w:id="395" w:name="_Toc347332654"/>
      <w:bookmarkStart w:id="396" w:name="_Toc313475037"/>
      <w:bookmarkStart w:id="397" w:name="_Toc125771229"/>
      <w:bookmarkStart w:id="398" w:name="_Toc146708457"/>
      <w:bookmarkStart w:id="399" w:name="_Toc23620"/>
      <w:bookmarkStart w:id="400" w:name="_Toc30007"/>
      <w:r>
        <w:rPr>
          <w:color w:val="auto"/>
        </w:rPr>
        <w:t>9.1.1</w:t>
      </w:r>
      <w:bookmarkEnd w:id="393"/>
      <w:bookmarkEnd w:id="394"/>
      <w:bookmarkEnd w:id="395"/>
      <w:bookmarkEnd w:id="396"/>
      <w:bookmarkEnd w:id="397"/>
      <w:bookmarkEnd w:id="398"/>
      <w:r>
        <w:rPr>
          <w:color w:val="auto"/>
        </w:rPr>
        <w:t>工程组成及原辅材料组成要求</w:t>
      </w:r>
      <w:bookmarkEnd w:id="399"/>
      <w:bookmarkEnd w:id="400"/>
    </w:p>
    <w:p w14:paraId="6DAFB43D">
      <w:pPr>
        <w:autoSpaceDE w:val="0"/>
        <w:autoSpaceDN w:val="0"/>
        <w:ind w:firstLine="480"/>
        <w:jc w:val="left"/>
        <w:rPr>
          <w:color w:val="auto"/>
        </w:rPr>
      </w:pPr>
      <w:r>
        <w:rPr>
          <w:color w:val="auto"/>
        </w:rPr>
        <w:t>拟建项目主体工程组成如表4.1-1所示。项目主要原辅材料组成见表4.4-</w:t>
      </w:r>
      <w:r>
        <w:rPr>
          <w:rFonts w:hint="eastAsia"/>
          <w:color w:val="auto"/>
        </w:rPr>
        <w:t>3</w:t>
      </w:r>
      <w:r>
        <w:rPr>
          <w:color w:val="auto"/>
        </w:rPr>
        <w:t>。</w:t>
      </w:r>
    </w:p>
    <w:p w14:paraId="25443CE4">
      <w:pPr>
        <w:pStyle w:val="4"/>
        <w:rPr>
          <w:color w:val="auto"/>
        </w:rPr>
      </w:pPr>
      <w:bookmarkStart w:id="401" w:name="_Toc26974"/>
      <w:bookmarkStart w:id="402" w:name="_Toc25001"/>
      <w:r>
        <w:rPr>
          <w:color w:val="auto"/>
        </w:rPr>
        <w:t>9.1.2 污染物排放清单及总量平衡途径</w:t>
      </w:r>
      <w:bookmarkEnd w:id="401"/>
      <w:bookmarkEnd w:id="402"/>
    </w:p>
    <w:p w14:paraId="7C422588">
      <w:pPr>
        <w:ind w:firstLine="482"/>
        <w:rPr>
          <w:b/>
          <w:bCs/>
          <w:color w:val="auto"/>
        </w:rPr>
      </w:pPr>
      <w:r>
        <w:rPr>
          <w:rFonts w:hint="eastAsia"/>
          <w:b/>
          <w:bCs/>
          <w:color w:val="auto"/>
        </w:rPr>
        <w:t>1、污染物总量指标</w:t>
      </w:r>
    </w:p>
    <w:p w14:paraId="158AC7BB">
      <w:pPr>
        <w:ind w:firstLine="480"/>
        <w:rPr>
          <w:color w:val="auto"/>
        </w:rPr>
      </w:pPr>
      <w:r>
        <w:rPr>
          <w:rFonts w:hint="eastAsia"/>
          <w:color w:val="auto"/>
        </w:rPr>
        <w:t>根据南通市生态环境局关于印发《关于进一步规范建设项目主要污染物排放总量指标审核、管理及排污权交易的工作方案》的通知（通环办</w:t>
      </w:r>
      <w:r>
        <w:rPr>
          <w:color w:val="auto"/>
        </w:rPr>
        <w:t>[20</w:t>
      </w:r>
      <w:r>
        <w:rPr>
          <w:rFonts w:hint="eastAsia"/>
          <w:color w:val="auto"/>
        </w:rPr>
        <w:t>21</w:t>
      </w:r>
      <w:r>
        <w:rPr>
          <w:color w:val="auto"/>
        </w:rPr>
        <w:t>]</w:t>
      </w:r>
      <w:r>
        <w:rPr>
          <w:rFonts w:hint="eastAsia"/>
          <w:color w:val="auto"/>
        </w:rPr>
        <w:t>23号），</w:t>
      </w:r>
      <w:r>
        <w:rPr>
          <w:color w:val="auto"/>
        </w:rPr>
        <w:t>确定</w:t>
      </w:r>
      <w:r>
        <w:rPr>
          <w:rFonts w:hint="eastAsia"/>
          <w:color w:val="auto"/>
        </w:rPr>
        <w:t>拟建</w:t>
      </w:r>
      <w:r>
        <w:rPr>
          <w:color w:val="auto"/>
        </w:rPr>
        <w:t>的总量因子：</w:t>
      </w:r>
    </w:p>
    <w:p w14:paraId="237747A7">
      <w:pPr>
        <w:ind w:firstLine="480"/>
        <w:rPr>
          <w:color w:val="auto"/>
        </w:rPr>
      </w:pPr>
      <w:r>
        <w:rPr>
          <w:color w:val="auto"/>
        </w:rPr>
        <w:t>（1）废气：</w:t>
      </w:r>
    </w:p>
    <w:p w14:paraId="7C1730CF">
      <w:pPr>
        <w:ind w:firstLine="480"/>
        <w:rPr>
          <w:color w:val="auto"/>
        </w:rPr>
      </w:pPr>
      <w:bookmarkStart w:id="403" w:name="_Hlk127436030"/>
      <w:r>
        <w:rPr>
          <w:color w:val="auto"/>
        </w:rPr>
        <w:t>控制因子：</w:t>
      </w:r>
      <w:r>
        <w:rPr>
          <w:rFonts w:hint="eastAsia"/>
          <w:color w:val="auto"/>
        </w:rPr>
        <w:t>二氧化硫、颗粒物</w:t>
      </w:r>
      <w:r>
        <w:rPr>
          <w:color w:val="auto"/>
        </w:rPr>
        <w:t>；</w:t>
      </w:r>
    </w:p>
    <w:p w14:paraId="7917D61B">
      <w:pPr>
        <w:ind w:firstLine="480"/>
        <w:rPr>
          <w:color w:val="auto"/>
        </w:rPr>
      </w:pPr>
      <w:r>
        <w:rPr>
          <w:rFonts w:hint="eastAsia"/>
          <w:color w:val="auto"/>
        </w:rPr>
        <w:t>考核因子：氨。</w:t>
      </w:r>
    </w:p>
    <w:bookmarkEnd w:id="403"/>
    <w:p w14:paraId="4F2F29F4">
      <w:pPr>
        <w:ind w:firstLine="480"/>
        <w:rPr>
          <w:color w:val="auto"/>
        </w:rPr>
      </w:pPr>
      <w:r>
        <w:rPr>
          <w:color w:val="auto"/>
        </w:rPr>
        <w:t>（2）废水：</w:t>
      </w:r>
    </w:p>
    <w:p w14:paraId="0B6EE976">
      <w:pPr>
        <w:ind w:firstLine="480"/>
        <w:rPr>
          <w:color w:val="auto"/>
        </w:rPr>
      </w:pPr>
      <w:r>
        <w:rPr>
          <w:color w:val="auto"/>
        </w:rPr>
        <w:t>控制因子：COD、氨氮</w:t>
      </w:r>
      <w:r>
        <w:rPr>
          <w:rFonts w:hint="eastAsia"/>
          <w:color w:val="auto"/>
        </w:rPr>
        <w:t>、总磷、总氮；</w:t>
      </w:r>
    </w:p>
    <w:p w14:paraId="63B693B9">
      <w:pPr>
        <w:ind w:firstLine="480"/>
        <w:rPr>
          <w:color w:val="auto"/>
        </w:rPr>
      </w:pPr>
      <w:r>
        <w:rPr>
          <w:color w:val="auto"/>
        </w:rPr>
        <w:t>考核因子：废水排放总量、SS</w:t>
      </w:r>
      <w:r>
        <w:rPr>
          <w:rFonts w:hint="eastAsia"/>
          <w:color w:val="auto"/>
        </w:rPr>
        <w:t>、石油类。</w:t>
      </w:r>
    </w:p>
    <w:p w14:paraId="2DDB4A47">
      <w:pPr>
        <w:ind w:firstLine="480"/>
        <w:rPr>
          <w:rFonts w:hint="eastAsia" w:hAnsi="宋体"/>
          <w:color w:val="auto"/>
        </w:rPr>
      </w:pPr>
      <w:r>
        <w:rPr>
          <w:rFonts w:hint="eastAsia"/>
          <w:color w:val="auto"/>
        </w:rPr>
        <w:t>根据建设项目污染物的产生量和控制水平，拟建项目建成后全厂污染物排放和总量控制建议见表9</w:t>
      </w:r>
      <w:r>
        <w:rPr>
          <w:color w:val="auto"/>
        </w:rPr>
        <w:t>.1-</w:t>
      </w:r>
      <w:r>
        <w:rPr>
          <w:rFonts w:hint="eastAsia"/>
          <w:color w:val="auto"/>
        </w:rPr>
        <w:t>1。</w:t>
      </w:r>
    </w:p>
    <w:p w14:paraId="01908E2D">
      <w:pPr>
        <w:spacing w:line="460" w:lineRule="exact"/>
        <w:ind w:firstLine="482"/>
        <w:jc w:val="center"/>
        <w:rPr>
          <w:b/>
          <w:bCs/>
          <w:color w:val="auto"/>
        </w:rPr>
      </w:pPr>
    </w:p>
    <w:p w14:paraId="009619F1">
      <w:pPr>
        <w:ind w:firstLine="482"/>
        <w:rPr>
          <w:b/>
          <w:bCs/>
          <w:color w:val="auto"/>
        </w:rPr>
        <w:sectPr>
          <w:footerReference r:id="rId7" w:type="default"/>
          <w:pgSz w:w="11905" w:h="16838"/>
          <w:pgMar w:top="1134" w:right="1134" w:bottom="1134" w:left="1134" w:header="850" w:footer="992" w:gutter="0"/>
          <w:cols w:space="720" w:num="1"/>
          <w:docGrid w:type="lines" w:linePitch="385" w:charSpace="0"/>
        </w:sectPr>
      </w:pPr>
    </w:p>
    <w:p w14:paraId="25EE9BAF">
      <w:pPr>
        <w:spacing w:line="460" w:lineRule="exact"/>
        <w:ind w:firstLine="482"/>
        <w:jc w:val="center"/>
        <w:rPr>
          <w:b/>
          <w:bCs/>
          <w:color w:val="auto"/>
        </w:rPr>
      </w:pPr>
      <w:r>
        <w:rPr>
          <w:b/>
          <w:bCs/>
          <w:color w:val="auto"/>
        </w:rPr>
        <w:t>表9.1-</w:t>
      </w:r>
      <w:r>
        <w:rPr>
          <w:rFonts w:hint="eastAsia"/>
          <w:b/>
          <w:bCs/>
          <w:color w:val="auto"/>
        </w:rPr>
        <w:t>1</w:t>
      </w:r>
      <w:r>
        <w:rPr>
          <w:b/>
          <w:bCs/>
          <w:color w:val="auto"/>
        </w:rPr>
        <w:t xml:space="preserve">  拟建项目建成后全厂污染物排放情况表   单位：t/a</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9"/>
        <w:gridCol w:w="1688"/>
        <w:gridCol w:w="1823"/>
        <w:gridCol w:w="1110"/>
        <w:gridCol w:w="1113"/>
        <w:gridCol w:w="1077"/>
        <w:gridCol w:w="1077"/>
        <w:gridCol w:w="1007"/>
        <w:gridCol w:w="1007"/>
        <w:gridCol w:w="1110"/>
        <w:gridCol w:w="1113"/>
        <w:gridCol w:w="1006"/>
        <w:gridCol w:w="1006"/>
      </w:tblGrid>
      <w:tr w14:paraId="7FBA9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0" w:hRule="atLeast"/>
          <w:tblHeader/>
          <w:jc w:val="center"/>
        </w:trPr>
        <w:tc>
          <w:tcPr>
            <w:tcW w:w="755" w:type="pct"/>
            <w:gridSpan w:val="2"/>
            <w:vAlign w:val="center"/>
          </w:tcPr>
          <w:p w14:paraId="7C3ED764">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类别</w:t>
            </w:r>
          </w:p>
        </w:tc>
        <w:tc>
          <w:tcPr>
            <w:tcW w:w="621" w:type="pct"/>
            <w:vAlign w:val="center"/>
          </w:tcPr>
          <w:p w14:paraId="7CDD9B6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污染物</w:t>
            </w:r>
          </w:p>
        </w:tc>
        <w:tc>
          <w:tcPr>
            <w:tcW w:w="757" w:type="pct"/>
            <w:gridSpan w:val="2"/>
            <w:vAlign w:val="center"/>
          </w:tcPr>
          <w:p w14:paraId="25D045EC">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现有项目排放量</w:t>
            </w:r>
          </w:p>
        </w:tc>
        <w:tc>
          <w:tcPr>
            <w:tcW w:w="734" w:type="pct"/>
            <w:gridSpan w:val="2"/>
            <w:vAlign w:val="center"/>
          </w:tcPr>
          <w:p w14:paraId="3BD0BAF5">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以新带老削减量*</w:t>
            </w:r>
          </w:p>
        </w:tc>
        <w:tc>
          <w:tcPr>
            <w:tcW w:w="686" w:type="pct"/>
            <w:gridSpan w:val="2"/>
            <w:vAlign w:val="center"/>
          </w:tcPr>
          <w:p w14:paraId="58966630">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拟建项目排放量</w:t>
            </w:r>
          </w:p>
        </w:tc>
        <w:tc>
          <w:tcPr>
            <w:tcW w:w="757" w:type="pct"/>
            <w:gridSpan w:val="2"/>
            <w:vAlign w:val="center"/>
          </w:tcPr>
          <w:p w14:paraId="325EABD2">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全厂排放量</w:t>
            </w:r>
          </w:p>
        </w:tc>
        <w:tc>
          <w:tcPr>
            <w:tcW w:w="686" w:type="pct"/>
            <w:gridSpan w:val="2"/>
            <w:vAlign w:val="center"/>
          </w:tcPr>
          <w:p w14:paraId="0AFF0B4F">
            <w:pPr>
              <w:widowControl/>
              <w:spacing w:line="240" w:lineRule="auto"/>
              <w:ind w:firstLine="0" w:firstLineChars="0"/>
              <w:jc w:val="center"/>
              <w:textAlignment w:val="center"/>
              <w:rPr>
                <w:rFonts w:cs="宋体"/>
                <w:color w:val="auto"/>
                <w:sz w:val="21"/>
                <w:szCs w:val="21"/>
              </w:rPr>
            </w:pPr>
            <w:r>
              <w:rPr>
                <w:rFonts w:hint="eastAsia" w:cs="宋体"/>
                <w:color w:val="auto"/>
                <w:kern w:val="0"/>
                <w:sz w:val="21"/>
                <w:szCs w:val="21"/>
                <w:lang w:bidi="ar"/>
              </w:rPr>
              <w:t>变化量</w:t>
            </w:r>
          </w:p>
        </w:tc>
      </w:tr>
      <w:tr w14:paraId="23C5D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5" w:hRule="atLeast"/>
          <w:tblHeader/>
          <w:jc w:val="center"/>
        </w:trPr>
        <w:tc>
          <w:tcPr>
            <w:tcW w:w="180" w:type="pct"/>
            <w:vMerge w:val="restart"/>
            <w:noWrap/>
            <w:vAlign w:val="center"/>
          </w:tcPr>
          <w:p w14:paraId="317703E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废气</w:t>
            </w:r>
          </w:p>
        </w:tc>
        <w:tc>
          <w:tcPr>
            <w:tcW w:w="574" w:type="pct"/>
            <w:vMerge w:val="restart"/>
            <w:noWrap/>
            <w:vAlign w:val="center"/>
          </w:tcPr>
          <w:p w14:paraId="6B5D08B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有组织</w:t>
            </w:r>
          </w:p>
        </w:tc>
        <w:tc>
          <w:tcPr>
            <w:tcW w:w="621" w:type="pct"/>
            <w:vAlign w:val="center"/>
          </w:tcPr>
          <w:p w14:paraId="6AF70E0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二氧化硫</w:t>
            </w:r>
          </w:p>
        </w:tc>
        <w:tc>
          <w:tcPr>
            <w:tcW w:w="2223" w:type="dxa"/>
            <w:gridSpan w:val="2"/>
            <w:vAlign w:val="center"/>
          </w:tcPr>
          <w:p w14:paraId="4FA9352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10.873</w:t>
            </w:r>
          </w:p>
        </w:tc>
        <w:tc>
          <w:tcPr>
            <w:tcW w:w="2156" w:type="dxa"/>
            <w:gridSpan w:val="2"/>
            <w:noWrap/>
            <w:vAlign w:val="center"/>
          </w:tcPr>
          <w:p w14:paraId="1C73B43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4.900</w:t>
            </w:r>
          </w:p>
        </w:tc>
        <w:tc>
          <w:tcPr>
            <w:tcW w:w="2014" w:type="dxa"/>
            <w:gridSpan w:val="2"/>
            <w:noWrap/>
            <w:vAlign w:val="center"/>
          </w:tcPr>
          <w:p w14:paraId="5A0EF23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0.237 </w:t>
            </w:r>
          </w:p>
        </w:tc>
        <w:tc>
          <w:tcPr>
            <w:tcW w:w="2223" w:type="dxa"/>
            <w:gridSpan w:val="2"/>
            <w:noWrap/>
            <w:vAlign w:val="center"/>
          </w:tcPr>
          <w:p w14:paraId="37FCE16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6.210 </w:t>
            </w:r>
          </w:p>
        </w:tc>
        <w:tc>
          <w:tcPr>
            <w:tcW w:w="2014" w:type="dxa"/>
            <w:gridSpan w:val="2"/>
            <w:noWrap/>
            <w:vAlign w:val="center"/>
          </w:tcPr>
          <w:p w14:paraId="22262A3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-4.663 </w:t>
            </w:r>
          </w:p>
        </w:tc>
      </w:tr>
      <w:tr w14:paraId="522B4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1322B5CE">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1C0E0EEB">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087BA7B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2223" w:type="dxa"/>
            <w:gridSpan w:val="2"/>
            <w:vAlign w:val="center"/>
          </w:tcPr>
          <w:p w14:paraId="7EB1351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3.545</w:t>
            </w:r>
          </w:p>
        </w:tc>
        <w:tc>
          <w:tcPr>
            <w:tcW w:w="2156" w:type="dxa"/>
            <w:gridSpan w:val="2"/>
            <w:noWrap/>
            <w:vAlign w:val="center"/>
          </w:tcPr>
          <w:p w14:paraId="01BA723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0.433</w:t>
            </w:r>
          </w:p>
        </w:tc>
        <w:tc>
          <w:tcPr>
            <w:tcW w:w="2014" w:type="dxa"/>
            <w:gridSpan w:val="2"/>
            <w:noWrap/>
            <w:vAlign w:val="center"/>
          </w:tcPr>
          <w:p w14:paraId="0E1F7CA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0.017 </w:t>
            </w:r>
          </w:p>
        </w:tc>
        <w:tc>
          <w:tcPr>
            <w:tcW w:w="2223" w:type="dxa"/>
            <w:gridSpan w:val="2"/>
            <w:noWrap/>
            <w:vAlign w:val="center"/>
          </w:tcPr>
          <w:p w14:paraId="60A6B8F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3.129 </w:t>
            </w:r>
          </w:p>
        </w:tc>
        <w:tc>
          <w:tcPr>
            <w:tcW w:w="2014" w:type="dxa"/>
            <w:gridSpan w:val="2"/>
            <w:noWrap/>
            <w:vAlign w:val="center"/>
          </w:tcPr>
          <w:p w14:paraId="52E3B55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-0.416 </w:t>
            </w:r>
          </w:p>
        </w:tc>
      </w:tr>
      <w:tr w14:paraId="6B361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34CE3D4B">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6DF170B0">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54F7A0F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氨</w:t>
            </w:r>
          </w:p>
        </w:tc>
        <w:tc>
          <w:tcPr>
            <w:tcW w:w="2223" w:type="dxa"/>
            <w:gridSpan w:val="2"/>
            <w:vAlign w:val="center"/>
          </w:tcPr>
          <w:p w14:paraId="7FCF6C7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0.831</w:t>
            </w:r>
          </w:p>
        </w:tc>
        <w:tc>
          <w:tcPr>
            <w:tcW w:w="2156" w:type="dxa"/>
            <w:gridSpan w:val="2"/>
            <w:noWrap/>
            <w:vAlign w:val="center"/>
          </w:tcPr>
          <w:p w14:paraId="0D337CE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  </w:t>
            </w:r>
          </w:p>
        </w:tc>
        <w:tc>
          <w:tcPr>
            <w:tcW w:w="2014" w:type="dxa"/>
            <w:gridSpan w:val="2"/>
            <w:noWrap/>
            <w:vAlign w:val="center"/>
          </w:tcPr>
          <w:p w14:paraId="0EC8883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0.167 </w:t>
            </w:r>
          </w:p>
        </w:tc>
        <w:tc>
          <w:tcPr>
            <w:tcW w:w="2223" w:type="dxa"/>
            <w:gridSpan w:val="2"/>
            <w:noWrap/>
            <w:vAlign w:val="center"/>
          </w:tcPr>
          <w:p w14:paraId="08F8125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0.998 </w:t>
            </w:r>
          </w:p>
        </w:tc>
        <w:tc>
          <w:tcPr>
            <w:tcW w:w="2014" w:type="dxa"/>
            <w:gridSpan w:val="2"/>
            <w:noWrap/>
            <w:vAlign w:val="center"/>
          </w:tcPr>
          <w:p w14:paraId="0DBE9C6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0.167 </w:t>
            </w:r>
          </w:p>
        </w:tc>
      </w:tr>
      <w:tr w14:paraId="69448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0413F5CB">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3FA8A84D">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1E6A80D1">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氮氧化物</w:t>
            </w:r>
          </w:p>
        </w:tc>
        <w:tc>
          <w:tcPr>
            <w:tcW w:w="2223" w:type="dxa"/>
            <w:gridSpan w:val="2"/>
            <w:vAlign w:val="center"/>
          </w:tcPr>
          <w:p w14:paraId="4EA6D09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34.920</w:t>
            </w:r>
          </w:p>
        </w:tc>
        <w:tc>
          <w:tcPr>
            <w:tcW w:w="2156" w:type="dxa"/>
            <w:gridSpan w:val="2"/>
            <w:noWrap/>
            <w:vAlign w:val="center"/>
          </w:tcPr>
          <w:p w14:paraId="0E91B17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7E13B0A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06F68B8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34.920 </w:t>
            </w:r>
          </w:p>
        </w:tc>
        <w:tc>
          <w:tcPr>
            <w:tcW w:w="2014" w:type="dxa"/>
            <w:gridSpan w:val="2"/>
            <w:noWrap/>
            <w:vAlign w:val="center"/>
          </w:tcPr>
          <w:p w14:paraId="71091CB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5EB39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59937EF7">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153D90FC">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3F2F748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苯肼</w:t>
            </w:r>
          </w:p>
        </w:tc>
        <w:tc>
          <w:tcPr>
            <w:tcW w:w="2223" w:type="dxa"/>
            <w:gridSpan w:val="2"/>
            <w:vAlign w:val="center"/>
          </w:tcPr>
          <w:p w14:paraId="1A08490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0.003</w:t>
            </w:r>
          </w:p>
        </w:tc>
        <w:tc>
          <w:tcPr>
            <w:tcW w:w="2156" w:type="dxa"/>
            <w:gridSpan w:val="2"/>
            <w:noWrap/>
            <w:vAlign w:val="center"/>
          </w:tcPr>
          <w:p w14:paraId="63C9A76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3595D5D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6DF75A1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0.003 </w:t>
            </w:r>
          </w:p>
        </w:tc>
        <w:tc>
          <w:tcPr>
            <w:tcW w:w="2014" w:type="dxa"/>
            <w:gridSpan w:val="2"/>
            <w:noWrap/>
            <w:vAlign w:val="center"/>
          </w:tcPr>
          <w:p w14:paraId="79AD110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36F66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01F02DCB">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050912A1">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250058E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乙酰乙酸乙酯</w:t>
            </w:r>
          </w:p>
        </w:tc>
        <w:tc>
          <w:tcPr>
            <w:tcW w:w="2223" w:type="dxa"/>
            <w:gridSpan w:val="2"/>
            <w:vAlign w:val="center"/>
          </w:tcPr>
          <w:p w14:paraId="423DD14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0.011 </w:t>
            </w:r>
          </w:p>
        </w:tc>
        <w:tc>
          <w:tcPr>
            <w:tcW w:w="2156" w:type="dxa"/>
            <w:gridSpan w:val="2"/>
            <w:noWrap/>
            <w:vAlign w:val="center"/>
          </w:tcPr>
          <w:p w14:paraId="1C57FC9E">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1AAD0A8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1460D18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0.011 </w:t>
            </w:r>
          </w:p>
        </w:tc>
        <w:tc>
          <w:tcPr>
            <w:tcW w:w="2014" w:type="dxa"/>
            <w:gridSpan w:val="2"/>
            <w:noWrap/>
            <w:vAlign w:val="center"/>
          </w:tcPr>
          <w:p w14:paraId="44CFD42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74588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09E49A0D">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6E77C2B9">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3FE5CEC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乙酸</w:t>
            </w:r>
          </w:p>
        </w:tc>
        <w:tc>
          <w:tcPr>
            <w:tcW w:w="2223" w:type="dxa"/>
            <w:gridSpan w:val="2"/>
            <w:vAlign w:val="center"/>
          </w:tcPr>
          <w:p w14:paraId="6723541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0.001 </w:t>
            </w:r>
          </w:p>
        </w:tc>
        <w:tc>
          <w:tcPr>
            <w:tcW w:w="2156" w:type="dxa"/>
            <w:gridSpan w:val="2"/>
            <w:noWrap/>
            <w:vAlign w:val="center"/>
          </w:tcPr>
          <w:p w14:paraId="4808EF4E">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1821A93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21C1BFB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0.001 </w:t>
            </w:r>
          </w:p>
        </w:tc>
        <w:tc>
          <w:tcPr>
            <w:tcW w:w="2014" w:type="dxa"/>
            <w:gridSpan w:val="2"/>
            <w:noWrap/>
            <w:vAlign w:val="center"/>
          </w:tcPr>
          <w:p w14:paraId="0295330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65CCF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2A28D37B">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69D92D97">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210D58C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乙醇</w:t>
            </w:r>
          </w:p>
        </w:tc>
        <w:tc>
          <w:tcPr>
            <w:tcW w:w="2223" w:type="dxa"/>
            <w:gridSpan w:val="2"/>
            <w:vAlign w:val="center"/>
          </w:tcPr>
          <w:p w14:paraId="26447BA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0.092 </w:t>
            </w:r>
          </w:p>
        </w:tc>
        <w:tc>
          <w:tcPr>
            <w:tcW w:w="2156" w:type="dxa"/>
            <w:gridSpan w:val="2"/>
            <w:noWrap/>
            <w:vAlign w:val="center"/>
          </w:tcPr>
          <w:p w14:paraId="6699977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0BFDE06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214A2A5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0.092 </w:t>
            </w:r>
          </w:p>
        </w:tc>
        <w:tc>
          <w:tcPr>
            <w:tcW w:w="2014" w:type="dxa"/>
            <w:gridSpan w:val="2"/>
            <w:noWrap/>
            <w:vAlign w:val="center"/>
          </w:tcPr>
          <w:p w14:paraId="76E1B33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37FA2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43D21E25">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7530D6A7">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0D99CDB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甲醇</w:t>
            </w:r>
          </w:p>
        </w:tc>
        <w:tc>
          <w:tcPr>
            <w:tcW w:w="2223" w:type="dxa"/>
            <w:gridSpan w:val="2"/>
            <w:vAlign w:val="center"/>
          </w:tcPr>
          <w:p w14:paraId="3355023E">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0.122 </w:t>
            </w:r>
          </w:p>
        </w:tc>
        <w:tc>
          <w:tcPr>
            <w:tcW w:w="2156" w:type="dxa"/>
            <w:gridSpan w:val="2"/>
            <w:noWrap/>
            <w:vAlign w:val="center"/>
          </w:tcPr>
          <w:p w14:paraId="47BC623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32AE49B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52FCA64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0.122 </w:t>
            </w:r>
          </w:p>
        </w:tc>
        <w:tc>
          <w:tcPr>
            <w:tcW w:w="2014" w:type="dxa"/>
            <w:gridSpan w:val="2"/>
            <w:noWrap/>
            <w:vAlign w:val="center"/>
          </w:tcPr>
          <w:p w14:paraId="2A8766F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37751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29A139E4">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1B899E23">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54AF7E2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丙酮</w:t>
            </w:r>
          </w:p>
        </w:tc>
        <w:tc>
          <w:tcPr>
            <w:tcW w:w="2223" w:type="dxa"/>
            <w:gridSpan w:val="2"/>
            <w:vAlign w:val="center"/>
          </w:tcPr>
          <w:p w14:paraId="0D152FA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0.123 </w:t>
            </w:r>
          </w:p>
        </w:tc>
        <w:tc>
          <w:tcPr>
            <w:tcW w:w="2156" w:type="dxa"/>
            <w:gridSpan w:val="2"/>
            <w:noWrap/>
            <w:vAlign w:val="center"/>
          </w:tcPr>
          <w:p w14:paraId="7EF5FAD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746ED16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67AA7F3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0.123 </w:t>
            </w:r>
          </w:p>
        </w:tc>
        <w:tc>
          <w:tcPr>
            <w:tcW w:w="2014" w:type="dxa"/>
            <w:gridSpan w:val="2"/>
            <w:noWrap/>
            <w:vAlign w:val="center"/>
          </w:tcPr>
          <w:p w14:paraId="59448C4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0D614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10BE124C">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6F0BA58E">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7CB736F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VOCs(以非甲烷总烃计)</w:t>
            </w:r>
          </w:p>
        </w:tc>
        <w:tc>
          <w:tcPr>
            <w:tcW w:w="2223" w:type="dxa"/>
            <w:gridSpan w:val="2"/>
            <w:vAlign w:val="center"/>
          </w:tcPr>
          <w:p w14:paraId="58ED6D9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13.331 </w:t>
            </w:r>
          </w:p>
        </w:tc>
        <w:tc>
          <w:tcPr>
            <w:tcW w:w="2156" w:type="dxa"/>
            <w:gridSpan w:val="2"/>
            <w:noWrap/>
            <w:vAlign w:val="center"/>
          </w:tcPr>
          <w:p w14:paraId="710F8FC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1DCF114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0FC0449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13.331 </w:t>
            </w:r>
          </w:p>
        </w:tc>
        <w:tc>
          <w:tcPr>
            <w:tcW w:w="2014" w:type="dxa"/>
            <w:gridSpan w:val="2"/>
            <w:noWrap/>
            <w:vAlign w:val="center"/>
          </w:tcPr>
          <w:p w14:paraId="4383393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1F797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38B67082">
            <w:pPr>
              <w:widowControl/>
              <w:spacing w:line="240" w:lineRule="auto"/>
              <w:ind w:firstLine="0" w:firstLineChars="0"/>
              <w:jc w:val="center"/>
              <w:textAlignment w:val="center"/>
              <w:rPr>
                <w:color w:val="auto"/>
                <w:kern w:val="0"/>
                <w:sz w:val="21"/>
                <w:szCs w:val="21"/>
                <w:lang w:bidi="ar"/>
              </w:rPr>
            </w:pPr>
          </w:p>
        </w:tc>
        <w:tc>
          <w:tcPr>
            <w:tcW w:w="574" w:type="pct"/>
            <w:vMerge w:val="restart"/>
            <w:noWrap/>
            <w:vAlign w:val="center"/>
          </w:tcPr>
          <w:p w14:paraId="25DB732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无组织</w:t>
            </w:r>
          </w:p>
        </w:tc>
        <w:tc>
          <w:tcPr>
            <w:tcW w:w="621" w:type="pct"/>
            <w:vAlign w:val="center"/>
          </w:tcPr>
          <w:p w14:paraId="3665E88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二氧化硫</w:t>
            </w:r>
          </w:p>
        </w:tc>
        <w:tc>
          <w:tcPr>
            <w:tcW w:w="2223" w:type="dxa"/>
            <w:gridSpan w:val="2"/>
            <w:vAlign w:val="center"/>
          </w:tcPr>
          <w:p w14:paraId="248EADF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1.200 </w:t>
            </w:r>
          </w:p>
        </w:tc>
        <w:tc>
          <w:tcPr>
            <w:tcW w:w="2156" w:type="dxa"/>
            <w:gridSpan w:val="2"/>
            <w:noWrap/>
            <w:vAlign w:val="center"/>
          </w:tcPr>
          <w:p w14:paraId="2DE5087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1B72BAB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27DBDDD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1.200 </w:t>
            </w:r>
          </w:p>
        </w:tc>
        <w:tc>
          <w:tcPr>
            <w:tcW w:w="2014" w:type="dxa"/>
            <w:gridSpan w:val="2"/>
            <w:noWrap/>
            <w:vAlign w:val="center"/>
          </w:tcPr>
          <w:p w14:paraId="54A1AFC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75D95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3866E611">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7AEE2EA4">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5780EEC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颗粒物</w:t>
            </w:r>
          </w:p>
        </w:tc>
        <w:tc>
          <w:tcPr>
            <w:tcW w:w="2223" w:type="dxa"/>
            <w:gridSpan w:val="2"/>
            <w:vAlign w:val="center"/>
          </w:tcPr>
          <w:p w14:paraId="68BD9AE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0.101 </w:t>
            </w:r>
          </w:p>
        </w:tc>
        <w:tc>
          <w:tcPr>
            <w:tcW w:w="2156" w:type="dxa"/>
            <w:gridSpan w:val="2"/>
            <w:noWrap/>
            <w:vAlign w:val="center"/>
          </w:tcPr>
          <w:p w14:paraId="19B2B4D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601BAA60">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2CE8DBE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0.101 </w:t>
            </w:r>
          </w:p>
        </w:tc>
        <w:tc>
          <w:tcPr>
            <w:tcW w:w="2014" w:type="dxa"/>
            <w:gridSpan w:val="2"/>
            <w:noWrap/>
            <w:vAlign w:val="center"/>
          </w:tcPr>
          <w:p w14:paraId="0016226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10160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01EF318C">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66629F28">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016DE8D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氨</w:t>
            </w:r>
          </w:p>
        </w:tc>
        <w:tc>
          <w:tcPr>
            <w:tcW w:w="2223" w:type="dxa"/>
            <w:gridSpan w:val="2"/>
            <w:vAlign w:val="center"/>
          </w:tcPr>
          <w:p w14:paraId="7B35514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0.456 </w:t>
            </w:r>
          </w:p>
        </w:tc>
        <w:tc>
          <w:tcPr>
            <w:tcW w:w="2156" w:type="dxa"/>
            <w:gridSpan w:val="2"/>
            <w:noWrap/>
            <w:vAlign w:val="center"/>
          </w:tcPr>
          <w:p w14:paraId="34394C1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4A3401D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0.001 </w:t>
            </w:r>
          </w:p>
        </w:tc>
        <w:tc>
          <w:tcPr>
            <w:tcW w:w="2223" w:type="dxa"/>
            <w:gridSpan w:val="2"/>
            <w:noWrap/>
            <w:vAlign w:val="center"/>
          </w:tcPr>
          <w:p w14:paraId="05F8E50E">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0.457 </w:t>
            </w:r>
          </w:p>
        </w:tc>
        <w:tc>
          <w:tcPr>
            <w:tcW w:w="2014" w:type="dxa"/>
            <w:gridSpan w:val="2"/>
            <w:noWrap/>
            <w:vAlign w:val="center"/>
          </w:tcPr>
          <w:p w14:paraId="357321C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0.001 </w:t>
            </w:r>
          </w:p>
        </w:tc>
      </w:tr>
      <w:tr w14:paraId="428F4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1D89F072">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4C19E1ED">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3C52535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甲醇</w:t>
            </w:r>
          </w:p>
        </w:tc>
        <w:tc>
          <w:tcPr>
            <w:tcW w:w="2223" w:type="dxa"/>
            <w:gridSpan w:val="2"/>
            <w:vAlign w:val="center"/>
          </w:tcPr>
          <w:p w14:paraId="0C1ABB7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0.069 </w:t>
            </w:r>
          </w:p>
        </w:tc>
        <w:tc>
          <w:tcPr>
            <w:tcW w:w="2156" w:type="dxa"/>
            <w:gridSpan w:val="2"/>
            <w:noWrap/>
            <w:vAlign w:val="center"/>
          </w:tcPr>
          <w:p w14:paraId="27D8A6C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2014" w:type="dxa"/>
            <w:gridSpan w:val="2"/>
            <w:noWrap/>
            <w:vAlign w:val="center"/>
          </w:tcPr>
          <w:p w14:paraId="71ED477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2223" w:type="dxa"/>
            <w:gridSpan w:val="2"/>
            <w:noWrap/>
            <w:vAlign w:val="center"/>
          </w:tcPr>
          <w:p w14:paraId="5461DB0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0.069 </w:t>
            </w:r>
          </w:p>
        </w:tc>
        <w:tc>
          <w:tcPr>
            <w:tcW w:w="2014" w:type="dxa"/>
            <w:gridSpan w:val="2"/>
            <w:noWrap/>
            <w:vAlign w:val="center"/>
          </w:tcPr>
          <w:p w14:paraId="07C5996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r w14:paraId="06048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03FE9A3C">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3BBD2F04">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4668A72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丙酮</w:t>
            </w:r>
          </w:p>
        </w:tc>
        <w:tc>
          <w:tcPr>
            <w:tcW w:w="2223" w:type="dxa"/>
            <w:gridSpan w:val="2"/>
            <w:vAlign w:val="center"/>
          </w:tcPr>
          <w:p w14:paraId="4792E98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0.091 </w:t>
            </w:r>
          </w:p>
        </w:tc>
        <w:tc>
          <w:tcPr>
            <w:tcW w:w="2156" w:type="dxa"/>
            <w:gridSpan w:val="2"/>
            <w:noWrap/>
            <w:vAlign w:val="center"/>
          </w:tcPr>
          <w:p w14:paraId="255F3238">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42C4C87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7FCE9B4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0.091 </w:t>
            </w:r>
          </w:p>
        </w:tc>
        <w:tc>
          <w:tcPr>
            <w:tcW w:w="2014" w:type="dxa"/>
            <w:gridSpan w:val="2"/>
            <w:noWrap/>
            <w:vAlign w:val="center"/>
          </w:tcPr>
          <w:p w14:paraId="0F7F3EF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1D57D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60F1E5FF">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577083E0">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1F60242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硫化氢</w:t>
            </w:r>
          </w:p>
        </w:tc>
        <w:tc>
          <w:tcPr>
            <w:tcW w:w="2223" w:type="dxa"/>
            <w:gridSpan w:val="2"/>
            <w:vAlign w:val="center"/>
          </w:tcPr>
          <w:p w14:paraId="4F79A14D">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0.000 </w:t>
            </w:r>
          </w:p>
        </w:tc>
        <w:tc>
          <w:tcPr>
            <w:tcW w:w="2156" w:type="dxa"/>
            <w:gridSpan w:val="2"/>
            <w:noWrap/>
            <w:vAlign w:val="center"/>
          </w:tcPr>
          <w:p w14:paraId="4CD32F1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05CB0A4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38B2C3C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0.000 </w:t>
            </w:r>
          </w:p>
        </w:tc>
        <w:tc>
          <w:tcPr>
            <w:tcW w:w="2014" w:type="dxa"/>
            <w:gridSpan w:val="2"/>
            <w:noWrap/>
            <w:vAlign w:val="center"/>
          </w:tcPr>
          <w:p w14:paraId="652719C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62E5A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80" w:type="pct"/>
            <w:vMerge w:val="continue"/>
            <w:noWrap/>
            <w:vAlign w:val="center"/>
          </w:tcPr>
          <w:p w14:paraId="31A9B996">
            <w:pPr>
              <w:widowControl/>
              <w:spacing w:line="240" w:lineRule="auto"/>
              <w:ind w:firstLine="0" w:firstLineChars="0"/>
              <w:jc w:val="center"/>
              <w:textAlignment w:val="center"/>
              <w:rPr>
                <w:color w:val="auto"/>
                <w:kern w:val="0"/>
                <w:sz w:val="21"/>
                <w:szCs w:val="21"/>
                <w:lang w:bidi="ar"/>
              </w:rPr>
            </w:pPr>
          </w:p>
        </w:tc>
        <w:tc>
          <w:tcPr>
            <w:tcW w:w="574" w:type="pct"/>
            <w:vMerge w:val="continue"/>
            <w:noWrap/>
            <w:vAlign w:val="center"/>
          </w:tcPr>
          <w:p w14:paraId="184F3CF5">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3ED0004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VOCs(以非甲烷总烃计)</w:t>
            </w:r>
          </w:p>
        </w:tc>
        <w:tc>
          <w:tcPr>
            <w:tcW w:w="2223" w:type="dxa"/>
            <w:gridSpan w:val="2"/>
            <w:vAlign w:val="center"/>
          </w:tcPr>
          <w:p w14:paraId="0F5FCB7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0.872 </w:t>
            </w:r>
          </w:p>
        </w:tc>
        <w:tc>
          <w:tcPr>
            <w:tcW w:w="2156" w:type="dxa"/>
            <w:gridSpan w:val="2"/>
            <w:noWrap/>
            <w:vAlign w:val="center"/>
          </w:tcPr>
          <w:p w14:paraId="765F324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014" w:type="dxa"/>
            <w:gridSpan w:val="2"/>
            <w:noWrap/>
            <w:vAlign w:val="center"/>
          </w:tcPr>
          <w:p w14:paraId="3C1B43D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c>
          <w:tcPr>
            <w:tcW w:w="2223" w:type="dxa"/>
            <w:gridSpan w:val="2"/>
            <w:noWrap/>
            <w:vAlign w:val="center"/>
          </w:tcPr>
          <w:p w14:paraId="103A3373">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 xml:space="preserve">0.872 </w:t>
            </w:r>
          </w:p>
        </w:tc>
        <w:tc>
          <w:tcPr>
            <w:tcW w:w="2014" w:type="dxa"/>
            <w:gridSpan w:val="2"/>
            <w:noWrap/>
            <w:vAlign w:val="center"/>
          </w:tcPr>
          <w:p w14:paraId="28B7BE24">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0</w:t>
            </w:r>
          </w:p>
        </w:tc>
      </w:tr>
      <w:tr w14:paraId="06A8C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restart"/>
            <w:vAlign w:val="center"/>
          </w:tcPr>
          <w:p w14:paraId="1D062E3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废水</w:t>
            </w:r>
          </w:p>
        </w:tc>
        <w:tc>
          <w:tcPr>
            <w:tcW w:w="621" w:type="pct"/>
            <w:vAlign w:val="center"/>
          </w:tcPr>
          <w:p w14:paraId="2F143591">
            <w:pPr>
              <w:widowControl/>
              <w:spacing w:line="240" w:lineRule="auto"/>
              <w:ind w:firstLine="0" w:firstLineChars="0"/>
              <w:jc w:val="center"/>
              <w:textAlignment w:val="center"/>
              <w:rPr>
                <w:bCs/>
                <w:color w:val="auto"/>
                <w:kern w:val="0"/>
                <w:sz w:val="21"/>
                <w:szCs w:val="21"/>
                <w:lang w:bidi="ar"/>
              </w:rPr>
            </w:pPr>
            <w:r>
              <w:rPr>
                <w:rFonts w:hint="eastAsia"/>
                <w:bCs/>
                <w:color w:val="auto"/>
                <w:kern w:val="0"/>
                <w:sz w:val="21"/>
                <w:szCs w:val="21"/>
                <w:lang w:bidi="ar"/>
              </w:rPr>
              <w:t>污染物</w:t>
            </w:r>
          </w:p>
        </w:tc>
        <w:tc>
          <w:tcPr>
            <w:tcW w:w="378" w:type="pct"/>
            <w:vAlign w:val="center"/>
          </w:tcPr>
          <w:p w14:paraId="722E2B3C">
            <w:pPr>
              <w:widowControl/>
              <w:spacing w:line="240" w:lineRule="auto"/>
              <w:ind w:firstLine="0" w:firstLineChars="0"/>
              <w:jc w:val="center"/>
              <w:textAlignment w:val="center"/>
              <w:rPr>
                <w:bCs/>
                <w:color w:val="auto"/>
                <w:kern w:val="0"/>
                <w:sz w:val="21"/>
                <w:szCs w:val="21"/>
                <w:lang w:bidi="ar"/>
              </w:rPr>
            </w:pPr>
            <w:r>
              <w:rPr>
                <w:rFonts w:hint="eastAsia"/>
                <w:bCs/>
                <w:color w:val="auto"/>
                <w:kern w:val="0"/>
                <w:sz w:val="21"/>
                <w:szCs w:val="21"/>
                <w:lang w:bidi="ar"/>
              </w:rPr>
              <w:t>接管量</w:t>
            </w:r>
          </w:p>
        </w:tc>
        <w:tc>
          <w:tcPr>
            <w:tcW w:w="379" w:type="pct"/>
            <w:noWrap/>
            <w:vAlign w:val="center"/>
          </w:tcPr>
          <w:p w14:paraId="6F31941D">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排放量</w:t>
            </w:r>
          </w:p>
        </w:tc>
        <w:tc>
          <w:tcPr>
            <w:tcW w:w="367" w:type="pct"/>
            <w:noWrap/>
            <w:vAlign w:val="center"/>
          </w:tcPr>
          <w:p w14:paraId="4F2D3FE7">
            <w:pPr>
              <w:widowControl/>
              <w:spacing w:line="240" w:lineRule="auto"/>
              <w:ind w:firstLine="0" w:firstLineChars="0"/>
              <w:jc w:val="center"/>
              <w:textAlignment w:val="center"/>
              <w:rPr>
                <w:bCs/>
                <w:color w:val="auto"/>
                <w:kern w:val="0"/>
                <w:sz w:val="21"/>
                <w:szCs w:val="21"/>
                <w:lang w:bidi="ar"/>
              </w:rPr>
            </w:pPr>
            <w:r>
              <w:rPr>
                <w:rFonts w:hint="eastAsia"/>
                <w:bCs/>
                <w:color w:val="auto"/>
                <w:kern w:val="0"/>
                <w:sz w:val="21"/>
                <w:szCs w:val="21"/>
                <w:lang w:bidi="ar"/>
              </w:rPr>
              <w:t>接管量</w:t>
            </w:r>
          </w:p>
        </w:tc>
        <w:tc>
          <w:tcPr>
            <w:tcW w:w="367" w:type="pct"/>
            <w:noWrap/>
            <w:vAlign w:val="center"/>
          </w:tcPr>
          <w:p w14:paraId="544EE190">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排放量</w:t>
            </w:r>
          </w:p>
        </w:tc>
        <w:tc>
          <w:tcPr>
            <w:tcW w:w="343" w:type="pct"/>
            <w:noWrap/>
            <w:vAlign w:val="center"/>
          </w:tcPr>
          <w:p w14:paraId="1ED0F53F">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接管量</w:t>
            </w:r>
          </w:p>
        </w:tc>
        <w:tc>
          <w:tcPr>
            <w:tcW w:w="343" w:type="pct"/>
            <w:vAlign w:val="center"/>
          </w:tcPr>
          <w:p w14:paraId="08DA3F8D">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排放量</w:t>
            </w:r>
            <w:r>
              <w:rPr>
                <w:rFonts w:hint="eastAsia"/>
                <w:bCs/>
                <w:color w:val="auto"/>
                <w:kern w:val="0"/>
                <w:sz w:val="21"/>
                <w:szCs w:val="21"/>
                <w:lang w:bidi="ar"/>
              </w:rPr>
              <w:t>*</w:t>
            </w:r>
          </w:p>
        </w:tc>
        <w:tc>
          <w:tcPr>
            <w:tcW w:w="378" w:type="pct"/>
            <w:vAlign w:val="center"/>
          </w:tcPr>
          <w:p w14:paraId="243141A6">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接管量</w:t>
            </w:r>
          </w:p>
        </w:tc>
        <w:tc>
          <w:tcPr>
            <w:tcW w:w="379" w:type="pct"/>
            <w:vAlign w:val="center"/>
          </w:tcPr>
          <w:p w14:paraId="14846D4D">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排放量</w:t>
            </w:r>
          </w:p>
        </w:tc>
        <w:tc>
          <w:tcPr>
            <w:tcW w:w="343" w:type="pct"/>
            <w:vAlign w:val="center"/>
          </w:tcPr>
          <w:p w14:paraId="354366D4">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接管量</w:t>
            </w:r>
          </w:p>
        </w:tc>
        <w:tc>
          <w:tcPr>
            <w:tcW w:w="343" w:type="pct"/>
            <w:vAlign w:val="center"/>
          </w:tcPr>
          <w:p w14:paraId="092B8AEC">
            <w:pPr>
              <w:widowControl/>
              <w:spacing w:line="240" w:lineRule="auto"/>
              <w:ind w:firstLine="0" w:firstLineChars="0"/>
              <w:jc w:val="center"/>
              <w:textAlignment w:val="center"/>
              <w:rPr>
                <w:bCs/>
                <w:color w:val="auto"/>
                <w:kern w:val="0"/>
                <w:sz w:val="21"/>
                <w:szCs w:val="21"/>
                <w:lang w:bidi="ar"/>
              </w:rPr>
            </w:pPr>
            <w:r>
              <w:rPr>
                <w:bCs/>
                <w:color w:val="auto"/>
                <w:kern w:val="0"/>
                <w:sz w:val="21"/>
                <w:szCs w:val="21"/>
                <w:lang w:bidi="ar"/>
              </w:rPr>
              <w:t>排放量</w:t>
            </w:r>
          </w:p>
        </w:tc>
      </w:tr>
      <w:tr w14:paraId="318A3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6569A5F1">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7FCAD526">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废水量</w:t>
            </w:r>
          </w:p>
        </w:tc>
        <w:tc>
          <w:tcPr>
            <w:tcW w:w="1110" w:type="dxa"/>
            <w:vAlign w:val="center"/>
          </w:tcPr>
          <w:p w14:paraId="29A108ED">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98899.659</w:t>
            </w:r>
          </w:p>
        </w:tc>
        <w:tc>
          <w:tcPr>
            <w:tcW w:w="1113" w:type="dxa"/>
            <w:noWrap/>
            <w:vAlign w:val="center"/>
          </w:tcPr>
          <w:p w14:paraId="2211F5F2">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98899.659</w:t>
            </w:r>
          </w:p>
        </w:tc>
        <w:tc>
          <w:tcPr>
            <w:tcW w:w="1078" w:type="dxa"/>
            <w:noWrap/>
            <w:vAlign w:val="center"/>
          </w:tcPr>
          <w:p w14:paraId="472CC86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1C37450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0605C9B2">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16356.694</w:t>
            </w:r>
          </w:p>
        </w:tc>
        <w:tc>
          <w:tcPr>
            <w:tcW w:w="1007" w:type="dxa"/>
            <w:vAlign w:val="center"/>
          </w:tcPr>
          <w:p w14:paraId="2C11A3E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16356.694</w:t>
            </w:r>
          </w:p>
        </w:tc>
        <w:tc>
          <w:tcPr>
            <w:tcW w:w="1110" w:type="dxa"/>
            <w:vAlign w:val="center"/>
          </w:tcPr>
          <w:p w14:paraId="3CC8D6E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115256.353 </w:t>
            </w:r>
          </w:p>
        </w:tc>
        <w:tc>
          <w:tcPr>
            <w:tcW w:w="1113" w:type="dxa"/>
            <w:vAlign w:val="center"/>
          </w:tcPr>
          <w:p w14:paraId="0B2B184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115256.353 </w:t>
            </w:r>
          </w:p>
        </w:tc>
        <w:tc>
          <w:tcPr>
            <w:tcW w:w="1007" w:type="dxa"/>
            <w:vAlign w:val="center"/>
          </w:tcPr>
          <w:p w14:paraId="38F8E2A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16356.694</w:t>
            </w:r>
          </w:p>
        </w:tc>
        <w:tc>
          <w:tcPr>
            <w:tcW w:w="1007" w:type="dxa"/>
            <w:vAlign w:val="center"/>
          </w:tcPr>
          <w:p w14:paraId="3EFED1A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16356.694 </w:t>
            </w:r>
          </w:p>
        </w:tc>
      </w:tr>
      <w:tr w14:paraId="45EAD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015EADB9">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65217F3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COD</w:t>
            </w:r>
          </w:p>
        </w:tc>
        <w:tc>
          <w:tcPr>
            <w:tcW w:w="1110" w:type="dxa"/>
            <w:vAlign w:val="center"/>
          </w:tcPr>
          <w:p w14:paraId="2DCB6C83">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36.324</w:t>
            </w:r>
          </w:p>
        </w:tc>
        <w:tc>
          <w:tcPr>
            <w:tcW w:w="1113" w:type="dxa"/>
            <w:noWrap/>
            <w:vAlign w:val="center"/>
          </w:tcPr>
          <w:p w14:paraId="1078BE3B">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4.945</w:t>
            </w:r>
          </w:p>
        </w:tc>
        <w:tc>
          <w:tcPr>
            <w:tcW w:w="1078" w:type="dxa"/>
            <w:noWrap/>
            <w:vAlign w:val="center"/>
          </w:tcPr>
          <w:p w14:paraId="3FEF0D8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0A34355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4E17028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0.002 </w:t>
            </w:r>
          </w:p>
        </w:tc>
        <w:tc>
          <w:tcPr>
            <w:tcW w:w="1007" w:type="dxa"/>
            <w:vAlign w:val="center"/>
          </w:tcPr>
          <w:p w14:paraId="75D8DCC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0.818 </w:t>
            </w:r>
          </w:p>
        </w:tc>
        <w:tc>
          <w:tcPr>
            <w:tcW w:w="1110" w:type="dxa"/>
            <w:vAlign w:val="center"/>
          </w:tcPr>
          <w:p w14:paraId="55A8DD3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36.326 </w:t>
            </w:r>
          </w:p>
        </w:tc>
        <w:tc>
          <w:tcPr>
            <w:tcW w:w="1113" w:type="dxa"/>
            <w:vAlign w:val="center"/>
          </w:tcPr>
          <w:p w14:paraId="61433B6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5.763 </w:t>
            </w:r>
          </w:p>
        </w:tc>
        <w:tc>
          <w:tcPr>
            <w:tcW w:w="1007" w:type="dxa"/>
            <w:vAlign w:val="center"/>
          </w:tcPr>
          <w:p w14:paraId="308AA74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0.002 </w:t>
            </w:r>
          </w:p>
        </w:tc>
        <w:tc>
          <w:tcPr>
            <w:tcW w:w="1007" w:type="dxa"/>
            <w:vAlign w:val="center"/>
          </w:tcPr>
          <w:p w14:paraId="3CD8E5C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0.818 </w:t>
            </w:r>
          </w:p>
        </w:tc>
      </w:tr>
      <w:tr w14:paraId="67037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0C565CE8">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7E4904D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SS</w:t>
            </w:r>
          </w:p>
        </w:tc>
        <w:tc>
          <w:tcPr>
            <w:tcW w:w="1110" w:type="dxa"/>
            <w:vAlign w:val="center"/>
          </w:tcPr>
          <w:p w14:paraId="7394B148">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8.909</w:t>
            </w:r>
          </w:p>
        </w:tc>
        <w:tc>
          <w:tcPr>
            <w:tcW w:w="1113" w:type="dxa"/>
            <w:noWrap/>
            <w:vAlign w:val="center"/>
          </w:tcPr>
          <w:p w14:paraId="03748F41">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1.978</w:t>
            </w:r>
          </w:p>
        </w:tc>
        <w:tc>
          <w:tcPr>
            <w:tcW w:w="1078" w:type="dxa"/>
            <w:noWrap/>
            <w:vAlign w:val="center"/>
          </w:tcPr>
          <w:p w14:paraId="0EFF0B1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09AA94E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00891DA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0.001 </w:t>
            </w:r>
          </w:p>
        </w:tc>
        <w:tc>
          <w:tcPr>
            <w:tcW w:w="1007" w:type="dxa"/>
            <w:vAlign w:val="center"/>
          </w:tcPr>
          <w:p w14:paraId="1C5C3AA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0.327 </w:t>
            </w:r>
          </w:p>
        </w:tc>
        <w:tc>
          <w:tcPr>
            <w:tcW w:w="1110" w:type="dxa"/>
            <w:vAlign w:val="center"/>
          </w:tcPr>
          <w:p w14:paraId="55B7A5C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8.910 </w:t>
            </w:r>
          </w:p>
        </w:tc>
        <w:tc>
          <w:tcPr>
            <w:tcW w:w="1113" w:type="dxa"/>
            <w:vAlign w:val="center"/>
          </w:tcPr>
          <w:p w14:paraId="2669910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2.305 </w:t>
            </w:r>
          </w:p>
        </w:tc>
        <w:tc>
          <w:tcPr>
            <w:tcW w:w="1007" w:type="dxa"/>
            <w:vAlign w:val="center"/>
          </w:tcPr>
          <w:p w14:paraId="6B51C48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0.001 </w:t>
            </w:r>
          </w:p>
        </w:tc>
        <w:tc>
          <w:tcPr>
            <w:tcW w:w="1007" w:type="dxa"/>
            <w:vAlign w:val="center"/>
          </w:tcPr>
          <w:p w14:paraId="453E104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0.327 </w:t>
            </w:r>
          </w:p>
        </w:tc>
      </w:tr>
      <w:tr w14:paraId="12DB1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5E9AED02">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3E2CB31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氨氮</w:t>
            </w:r>
          </w:p>
        </w:tc>
        <w:tc>
          <w:tcPr>
            <w:tcW w:w="1110" w:type="dxa"/>
            <w:vAlign w:val="center"/>
          </w:tcPr>
          <w:p w14:paraId="124D0F55">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3.01</w:t>
            </w:r>
          </w:p>
        </w:tc>
        <w:tc>
          <w:tcPr>
            <w:tcW w:w="1113" w:type="dxa"/>
            <w:noWrap/>
            <w:vAlign w:val="center"/>
          </w:tcPr>
          <w:p w14:paraId="0125B537">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0.494</w:t>
            </w:r>
          </w:p>
        </w:tc>
        <w:tc>
          <w:tcPr>
            <w:tcW w:w="1078" w:type="dxa"/>
            <w:noWrap/>
            <w:vAlign w:val="center"/>
          </w:tcPr>
          <w:p w14:paraId="1C8AD2B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46800E8E">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37EBB6A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9.00E-05</w:t>
            </w:r>
          </w:p>
        </w:tc>
        <w:tc>
          <w:tcPr>
            <w:tcW w:w="1007" w:type="dxa"/>
            <w:vAlign w:val="center"/>
          </w:tcPr>
          <w:p w14:paraId="7B73A58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0.082 </w:t>
            </w:r>
          </w:p>
        </w:tc>
        <w:tc>
          <w:tcPr>
            <w:tcW w:w="1110" w:type="dxa"/>
            <w:vAlign w:val="center"/>
          </w:tcPr>
          <w:p w14:paraId="34D6A2D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3.010 </w:t>
            </w:r>
          </w:p>
        </w:tc>
        <w:tc>
          <w:tcPr>
            <w:tcW w:w="1113" w:type="dxa"/>
            <w:vAlign w:val="center"/>
          </w:tcPr>
          <w:p w14:paraId="1928361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0.576 </w:t>
            </w:r>
          </w:p>
        </w:tc>
        <w:tc>
          <w:tcPr>
            <w:tcW w:w="1007" w:type="dxa"/>
            <w:vAlign w:val="center"/>
          </w:tcPr>
          <w:p w14:paraId="1EFCE2D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9E-05</w:t>
            </w:r>
          </w:p>
        </w:tc>
        <w:tc>
          <w:tcPr>
            <w:tcW w:w="1007" w:type="dxa"/>
            <w:vAlign w:val="center"/>
          </w:tcPr>
          <w:p w14:paraId="59F9DF6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0.082 </w:t>
            </w:r>
          </w:p>
        </w:tc>
      </w:tr>
      <w:tr w14:paraId="39409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299F4E6C">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32C058A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总氮</w:t>
            </w:r>
          </w:p>
        </w:tc>
        <w:tc>
          <w:tcPr>
            <w:tcW w:w="1110" w:type="dxa"/>
            <w:vAlign w:val="center"/>
          </w:tcPr>
          <w:p w14:paraId="73AB3C80">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3.247</w:t>
            </w:r>
          </w:p>
        </w:tc>
        <w:tc>
          <w:tcPr>
            <w:tcW w:w="1113" w:type="dxa"/>
            <w:noWrap/>
            <w:vAlign w:val="center"/>
          </w:tcPr>
          <w:p w14:paraId="6ABED979">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1.483</w:t>
            </w:r>
          </w:p>
        </w:tc>
        <w:tc>
          <w:tcPr>
            <w:tcW w:w="1078" w:type="dxa"/>
            <w:noWrap/>
            <w:vAlign w:val="center"/>
          </w:tcPr>
          <w:p w14:paraId="341B08EE">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1E2A8332">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69DA1C5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1.35E-04</w:t>
            </w:r>
          </w:p>
        </w:tc>
        <w:tc>
          <w:tcPr>
            <w:tcW w:w="1007" w:type="dxa"/>
            <w:vAlign w:val="center"/>
          </w:tcPr>
          <w:p w14:paraId="33E646F2">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0.245 </w:t>
            </w:r>
          </w:p>
        </w:tc>
        <w:tc>
          <w:tcPr>
            <w:tcW w:w="1110" w:type="dxa"/>
            <w:vAlign w:val="center"/>
          </w:tcPr>
          <w:p w14:paraId="1249167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3.247 </w:t>
            </w:r>
          </w:p>
        </w:tc>
        <w:tc>
          <w:tcPr>
            <w:tcW w:w="1113" w:type="dxa"/>
            <w:vAlign w:val="center"/>
          </w:tcPr>
          <w:p w14:paraId="715047F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1.728 </w:t>
            </w:r>
          </w:p>
        </w:tc>
        <w:tc>
          <w:tcPr>
            <w:tcW w:w="1007" w:type="dxa"/>
            <w:vAlign w:val="center"/>
          </w:tcPr>
          <w:p w14:paraId="4810E12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0.0001 </w:t>
            </w:r>
          </w:p>
        </w:tc>
        <w:tc>
          <w:tcPr>
            <w:tcW w:w="1007" w:type="dxa"/>
            <w:vAlign w:val="center"/>
          </w:tcPr>
          <w:p w14:paraId="04EDBD1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0.245 </w:t>
            </w:r>
          </w:p>
        </w:tc>
      </w:tr>
      <w:tr w14:paraId="0962D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3D59ABC3">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3301112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总磷</w:t>
            </w:r>
          </w:p>
        </w:tc>
        <w:tc>
          <w:tcPr>
            <w:tcW w:w="1110" w:type="dxa"/>
            <w:vAlign w:val="center"/>
          </w:tcPr>
          <w:p w14:paraId="5377590A">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0.049</w:t>
            </w:r>
          </w:p>
        </w:tc>
        <w:tc>
          <w:tcPr>
            <w:tcW w:w="1113" w:type="dxa"/>
            <w:noWrap/>
            <w:vAlign w:val="center"/>
          </w:tcPr>
          <w:p w14:paraId="49736DC7">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0.035</w:t>
            </w:r>
          </w:p>
        </w:tc>
        <w:tc>
          <w:tcPr>
            <w:tcW w:w="1078" w:type="dxa"/>
            <w:noWrap/>
            <w:vAlign w:val="center"/>
          </w:tcPr>
          <w:p w14:paraId="5045705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1EE9379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5EF044C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2.40E-05</w:t>
            </w:r>
          </w:p>
        </w:tc>
        <w:tc>
          <w:tcPr>
            <w:tcW w:w="1007" w:type="dxa"/>
            <w:vAlign w:val="center"/>
          </w:tcPr>
          <w:p w14:paraId="784922B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0.008 </w:t>
            </w:r>
          </w:p>
        </w:tc>
        <w:tc>
          <w:tcPr>
            <w:tcW w:w="1110" w:type="dxa"/>
            <w:vAlign w:val="center"/>
          </w:tcPr>
          <w:p w14:paraId="09B8FE9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0.049 </w:t>
            </w:r>
          </w:p>
        </w:tc>
        <w:tc>
          <w:tcPr>
            <w:tcW w:w="1113" w:type="dxa"/>
            <w:vAlign w:val="center"/>
          </w:tcPr>
          <w:p w14:paraId="723BF51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0.043 </w:t>
            </w:r>
          </w:p>
        </w:tc>
        <w:tc>
          <w:tcPr>
            <w:tcW w:w="1007" w:type="dxa"/>
            <w:vAlign w:val="center"/>
          </w:tcPr>
          <w:p w14:paraId="2AEEC60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2.4E-05</w:t>
            </w:r>
          </w:p>
        </w:tc>
        <w:tc>
          <w:tcPr>
            <w:tcW w:w="1007" w:type="dxa"/>
            <w:vAlign w:val="center"/>
          </w:tcPr>
          <w:p w14:paraId="0CE9884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0.008 </w:t>
            </w:r>
          </w:p>
        </w:tc>
      </w:tr>
      <w:tr w14:paraId="6F75A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277D7BCD">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4464E30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全盐量</w:t>
            </w:r>
          </w:p>
        </w:tc>
        <w:tc>
          <w:tcPr>
            <w:tcW w:w="1110" w:type="dxa"/>
            <w:vAlign w:val="center"/>
          </w:tcPr>
          <w:p w14:paraId="29D8B6AA">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241.898</w:t>
            </w:r>
          </w:p>
        </w:tc>
        <w:tc>
          <w:tcPr>
            <w:tcW w:w="1113" w:type="dxa"/>
            <w:noWrap/>
            <w:vAlign w:val="center"/>
          </w:tcPr>
          <w:p w14:paraId="128C14AC">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241.898</w:t>
            </w:r>
          </w:p>
        </w:tc>
        <w:tc>
          <w:tcPr>
            <w:tcW w:w="1078" w:type="dxa"/>
            <w:noWrap/>
            <w:vAlign w:val="center"/>
          </w:tcPr>
          <w:p w14:paraId="4A3102F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5D36C94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2905084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w:t>
            </w:r>
          </w:p>
        </w:tc>
        <w:tc>
          <w:tcPr>
            <w:tcW w:w="1007" w:type="dxa"/>
            <w:vAlign w:val="center"/>
          </w:tcPr>
          <w:p w14:paraId="764730BE">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w:t>
            </w:r>
          </w:p>
        </w:tc>
        <w:tc>
          <w:tcPr>
            <w:tcW w:w="1110" w:type="dxa"/>
            <w:vAlign w:val="center"/>
          </w:tcPr>
          <w:p w14:paraId="6CD6E7B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241.898 </w:t>
            </w:r>
          </w:p>
        </w:tc>
        <w:tc>
          <w:tcPr>
            <w:tcW w:w="1113" w:type="dxa"/>
            <w:vAlign w:val="center"/>
          </w:tcPr>
          <w:p w14:paraId="2435861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241.898 </w:t>
            </w:r>
          </w:p>
        </w:tc>
        <w:tc>
          <w:tcPr>
            <w:tcW w:w="1007" w:type="dxa"/>
            <w:vAlign w:val="center"/>
          </w:tcPr>
          <w:p w14:paraId="660EC74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25B5218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r w14:paraId="09044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755" w:type="pct"/>
            <w:gridSpan w:val="2"/>
            <w:vMerge w:val="continue"/>
            <w:vAlign w:val="center"/>
          </w:tcPr>
          <w:p w14:paraId="459B6571">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7E12EEB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石油类</w:t>
            </w:r>
          </w:p>
        </w:tc>
        <w:tc>
          <w:tcPr>
            <w:tcW w:w="1110" w:type="dxa"/>
            <w:vAlign w:val="center"/>
          </w:tcPr>
          <w:p w14:paraId="2FABF017">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0.015</w:t>
            </w:r>
          </w:p>
        </w:tc>
        <w:tc>
          <w:tcPr>
            <w:tcW w:w="1113" w:type="dxa"/>
            <w:noWrap/>
            <w:vAlign w:val="center"/>
          </w:tcPr>
          <w:p w14:paraId="1D240CC4">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0.015</w:t>
            </w:r>
          </w:p>
        </w:tc>
        <w:tc>
          <w:tcPr>
            <w:tcW w:w="1078" w:type="dxa"/>
            <w:noWrap/>
            <w:vAlign w:val="center"/>
          </w:tcPr>
          <w:p w14:paraId="59709B2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79BDBCFF">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69AD368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1.41E-05</w:t>
            </w:r>
          </w:p>
        </w:tc>
        <w:tc>
          <w:tcPr>
            <w:tcW w:w="1007" w:type="dxa"/>
            <w:vAlign w:val="center"/>
          </w:tcPr>
          <w:p w14:paraId="7CD9C5A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0.327 </w:t>
            </w:r>
          </w:p>
        </w:tc>
        <w:tc>
          <w:tcPr>
            <w:tcW w:w="1110" w:type="dxa"/>
            <w:vAlign w:val="center"/>
          </w:tcPr>
          <w:p w14:paraId="10141CD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0.015 </w:t>
            </w:r>
          </w:p>
        </w:tc>
        <w:tc>
          <w:tcPr>
            <w:tcW w:w="1113" w:type="dxa"/>
            <w:vAlign w:val="center"/>
          </w:tcPr>
          <w:p w14:paraId="4A13C4D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0.342 </w:t>
            </w:r>
          </w:p>
        </w:tc>
        <w:tc>
          <w:tcPr>
            <w:tcW w:w="1007" w:type="dxa"/>
            <w:vAlign w:val="center"/>
          </w:tcPr>
          <w:p w14:paraId="64BA50C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1.41E-05</w:t>
            </w:r>
          </w:p>
        </w:tc>
        <w:tc>
          <w:tcPr>
            <w:tcW w:w="1007" w:type="dxa"/>
            <w:vAlign w:val="center"/>
          </w:tcPr>
          <w:p w14:paraId="0D1458A3">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0.327 </w:t>
            </w:r>
          </w:p>
        </w:tc>
      </w:tr>
      <w:tr w14:paraId="02A22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0" w:hRule="atLeast"/>
          <w:tblHeader/>
          <w:jc w:val="center"/>
        </w:trPr>
        <w:tc>
          <w:tcPr>
            <w:tcW w:w="755" w:type="pct"/>
            <w:gridSpan w:val="2"/>
            <w:vMerge w:val="continue"/>
            <w:vAlign w:val="center"/>
          </w:tcPr>
          <w:p w14:paraId="5F473090">
            <w:pPr>
              <w:widowControl/>
              <w:spacing w:line="240" w:lineRule="auto"/>
              <w:ind w:firstLine="0" w:firstLineChars="0"/>
              <w:jc w:val="center"/>
              <w:textAlignment w:val="center"/>
              <w:rPr>
                <w:color w:val="auto"/>
                <w:kern w:val="0"/>
                <w:sz w:val="21"/>
                <w:szCs w:val="21"/>
                <w:lang w:bidi="ar"/>
              </w:rPr>
            </w:pPr>
          </w:p>
        </w:tc>
        <w:tc>
          <w:tcPr>
            <w:tcW w:w="621" w:type="pct"/>
            <w:vAlign w:val="center"/>
          </w:tcPr>
          <w:p w14:paraId="3C9D8B8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苯胺类</w:t>
            </w:r>
          </w:p>
        </w:tc>
        <w:tc>
          <w:tcPr>
            <w:tcW w:w="1110" w:type="dxa"/>
            <w:vAlign w:val="center"/>
          </w:tcPr>
          <w:p w14:paraId="5B3F1926">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0.451</w:t>
            </w:r>
          </w:p>
        </w:tc>
        <w:tc>
          <w:tcPr>
            <w:tcW w:w="1113" w:type="dxa"/>
            <w:noWrap/>
            <w:vAlign w:val="center"/>
          </w:tcPr>
          <w:p w14:paraId="263B19E0">
            <w:pPr>
              <w:widowControl/>
              <w:spacing w:line="240" w:lineRule="auto"/>
              <w:ind w:firstLine="0" w:firstLineChars="0"/>
              <w:jc w:val="center"/>
              <w:textAlignment w:val="center"/>
              <w:rPr>
                <w:color w:val="auto"/>
                <w:kern w:val="0"/>
                <w:sz w:val="21"/>
                <w:szCs w:val="20"/>
                <w:lang w:bidi="ar"/>
              </w:rPr>
            </w:pPr>
            <w:r>
              <w:rPr>
                <w:color w:val="auto"/>
                <w:kern w:val="0"/>
                <w:sz w:val="21"/>
                <w:szCs w:val="21"/>
                <w:lang w:bidi="ar"/>
              </w:rPr>
              <w:t>0.049</w:t>
            </w:r>
          </w:p>
        </w:tc>
        <w:tc>
          <w:tcPr>
            <w:tcW w:w="1078" w:type="dxa"/>
            <w:noWrap/>
            <w:vAlign w:val="center"/>
          </w:tcPr>
          <w:p w14:paraId="6AF367B2">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6D661F3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30855DC6">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w:t>
            </w:r>
          </w:p>
        </w:tc>
        <w:tc>
          <w:tcPr>
            <w:tcW w:w="1007" w:type="dxa"/>
            <w:vAlign w:val="center"/>
          </w:tcPr>
          <w:p w14:paraId="41AD25F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w:t>
            </w:r>
          </w:p>
        </w:tc>
        <w:tc>
          <w:tcPr>
            <w:tcW w:w="1110" w:type="dxa"/>
            <w:vAlign w:val="center"/>
          </w:tcPr>
          <w:p w14:paraId="3A0B1855">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0.451 </w:t>
            </w:r>
          </w:p>
        </w:tc>
        <w:tc>
          <w:tcPr>
            <w:tcW w:w="1113" w:type="dxa"/>
            <w:vAlign w:val="center"/>
          </w:tcPr>
          <w:p w14:paraId="1BDBCDB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 xml:space="preserve">0.049 </w:t>
            </w:r>
          </w:p>
        </w:tc>
        <w:tc>
          <w:tcPr>
            <w:tcW w:w="1007" w:type="dxa"/>
            <w:vAlign w:val="center"/>
          </w:tcPr>
          <w:p w14:paraId="4DABC45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11903C6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r w14:paraId="0D8FE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0" w:hRule="atLeast"/>
          <w:tblHeader/>
          <w:jc w:val="center"/>
        </w:trPr>
        <w:tc>
          <w:tcPr>
            <w:tcW w:w="755" w:type="pct"/>
            <w:gridSpan w:val="2"/>
            <w:vMerge w:val="restart"/>
            <w:vAlign w:val="center"/>
          </w:tcPr>
          <w:p w14:paraId="5A662AF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固体废物</w:t>
            </w:r>
          </w:p>
        </w:tc>
        <w:tc>
          <w:tcPr>
            <w:tcW w:w="1823" w:type="dxa"/>
            <w:vAlign w:val="center"/>
          </w:tcPr>
          <w:p w14:paraId="21974A3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危险废物</w:t>
            </w:r>
          </w:p>
        </w:tc>
        <w:tc>
          <w:tcPr>
            <w:tcW w:w="1110" w:type="dxa"/>
            <w:vAlign w:val="center"/>
          </w:tcPr>
          <w:p w14:paraId="0E7E0AD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noWrap/>
            <w:vAlign w:val="center"/>
          </w:tcPr>
          <w:p w14:paraId="2F03546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6873272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3B29DF69">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26281AA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048EA71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0" w:type="dxa"/>
            <w:vAlign w:val="center"/>
          </w:tcPr>
          <w:p w14:paraId="7A176AF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vAlign w:val="center"/>
          </w:tcPr>
          <w:p w14:paraId="3B361BBB">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0F1E5AF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29C61C6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r w14:paraId="189E9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0" w:hRule="atLeast"/>
          <w:tblHeader/>
          <w:jc w:val="center"/>
        </w:trPr>
        <w:tc>
          <w:tcPr>
            <w:tcW w:w="755" w:type="pct"/>
            <w:gridSpan w:val="2"/>
            <w:vMerge w:val="continue"/>
            <w:vAlign w:val="center"/>
          </w:tcPr>
          <w:p w14:paraId="10F88155">
            <w:pPr>
              <w:widowControl/>
              <w:spacing w:line="240" w:lineRule="auto"/>
              <w:ind w:firstLine="0" w:firstLineChars="0"/>
              <w:jc w:val="center"/>
              <w:textAlignment w:val="center"/>
              <w:rPr>
                <w:color w:val="auto"/>
                <w:kern w:val="0"/>
                <w:sz w:val="21"/>
                <w:szCs w:val="21"/>
                <w:lang w:bidi="ar"/>
              </w:rPr>
            </w:pPr>
          </w:p>
        </w:tc>
        <w:tc>
          <w:tcPr>
            <w:tcW w:w="1823" w:type="dxa"/>
            <w:vAlign w:val="center"/>
          </w:tcPr>
          <w:p w14:paraId="0E78DC7A">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一般工业固废</w:t>
            </w:r>
          </w:p>
        </w:tc>
        <w:tc>
          <w:tcPr>
            <w:tcW w:w="1110" w:type="dxa"/>
            <w:vAlign w:val="center"/>
          </w:tcPr>
          <w:p w14:paraId="3F539745">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noWrap/>
            <w:vAlign w:val="center"/>
          </w:tcPr>
          <w:p w14:paraId="259EDFB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036725A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66AC50B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6CE83A74">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3E3A6842">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0" w:type="dxa"/>
            <w:vAlign w:val="center"/>
          </w:tcPr>
          <w:p w14:paraId="4CAFFCD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vAlign w:val="center"/>
          </w:tcPr>
          <w:p w14:paraId="6F8FDEFC">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40B5C1E5">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1F43DAA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r w14:paraId="7BA91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0" w:hRule="atLeast"/>
          <w:tblHeader/>
          <w:jc w:val="center"/>
        </w:trPr>
        <w:tc>
          <w:tcPr>
            <w:tcW w:w="755" w:type="pct"/>
            <w:gridSpan w:val="2"/>
            <w:vMerge w:val="continue"/>
            <w:vAlign w:val="center"/>
          </w:tcPr>
          <w:p w14:paraId="1F463D81">
            <w:pPr>
              <w:widowControl/>
              <w:spacing w:line="240" w:lineRule="auto"/>
              <w:ind w:firstLine="0" w:firstLineChars="0"/>
              <w:jc w:val="center"/>
              <w:textAlignment w:val="center"/>
              <w:rPr>
                <w:color w:val="auto"/>
                <w:kern w:val="0"/>
                <w:sz w:val="21"/>
                <w:szCs w:val="21"/>
                <w:lang w:bidi="ar"/>
              </w:rPr>
            </w:pPr>
          </w:p>
        </w:tc>
        <w:tc>
          <w:tcPr>
            <w:tcW w:w="1823" w:type="dxa"/>
            <w:vAlign w:val="center"/>
          </w:tcPr>
          <w:p w14:paraId="5A5F8E0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2"/>
                <w:lang w:bidi="ar"/>
              </w:rPr>
              <w:t>生活垃圾</w:t>
            </w:r>
          </w:p>
        </w:tc>
        <w:tc>
          <w:tcPr>
            <w:tcW w:w="1110" w:type="dxa"/>
            <w:vAlign w:val="center"/>
          </w:tcPr>
          <w:p w14:paraId="4D2AA36D">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noWrap/>
            <w:vAlign w:val="center"/>
          </w:tcPr>
          <w:p w14:paraId="7AA4B39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2467F630">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78" w:type="dxa"/>
            <w:noWrap/>
            <w:vAlign w:val="center"/>
          </w:tcPr>
          <w:p w14:paraId="5EDBCDD2">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noWrap/>
            <w:vAlign w:val="center"/>
          </w:tcPr>
          <w:p w14:paraId="7950F8C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418F2F41">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0" w:type="dxa"/>
            <w:vAlign w:val="center"/>
          </w:tcPr>
          <w:p w14:paraId="7FE0EFB2">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113" w:type="dxa"/>
            <w:vAlign w:val="center"/>
          </w:tcPr>
          <w:p w14:paraId="59E8CFFA">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39B674B8">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c>
          <w:tcPr>
            <w:tcW w:w="1007" w:type="dxa"/>
            <w:vAlign w:val="center"/>
          </w:tcPr>
          <w:p w14:paraId="637A4827">
            <w:pPr>
              <w:widowControl/>
              <w:spacing w:line="240" w:lineRule="auto"/>
              <w:ind w:firstLine="0" w:firstLineChars="0"/>
              <w:jc w:val="center"/>
              <w:textAlignment w:val="center"/>
              <w:rPr>
                <w:color w:val="auto"/>
                <w:kern w:val="0"/>
                <w:sz w:val="21"/>
                <w:szCs w:val="20"/>
                <w:lang w:bidi="ar"/>
              </w:rPr>
            </w:pPr>
            <w:r>
              <w:rPr>
                <w:rFonts w:hint="eastAsia" w:cs="宋体"/>
                <w:color w:val="auto"/>
                <w:kern w:val="0"/>
                <w:sz w:val="21"/>
                <w:szCs w:val="22"/>
                <w:lang w:bidi="ar"/>
              </w:rPr>
              <w:t>0</w:t>
            </w:r>
          </w:p>
        </w:tc>
      </w:tr>
    </w:tbl>
    <w:p w14:paraId="6A5C250F">
      <w:pPr>
        <w:spacing w:line="240" w:lineRule="auto"/>
        <w:ind w:firstLine="0" w:firstLineChars="0"/>
        <w:rPr>
          <w:b/>
          <w:bCs/>
          <w:color w:val="auto"/>
          <w:sz w:val="21"/>
          <w:szCs w:val="21"/>
        </w:rPr>
      </w:pPr>
      <w:r>
        <w:rPr>
          <w:rFonts w:hint="eastAsia"/>
          <w:b/>
          <w:bCs/>
          <w:color w:val="auto"/>
          <w:sz w:val="21"/>
          <w:szCs w:val="21"/>
        </w:rPr>
        <w:t>注：*本次废气以新带老削减量指由于现有项目2#车间废气处理设施优化升级和石膏车间废气处理设施优化升级减少的废气排放量；</w:t>
      </w:r>
    </w:p>
    <w:p w14:paraId="15125A25">
      <w:pPr>
        <w:spacing w:line="240" w:lineRule="auto"/>
        <w:ind w:firstLine="0" w:firstLineChars="0"/>
        <w:rPr>
          <w:b/>
          <w:bCs/>
          <w:color w:val="auto"/>
          <w:sz w:val="21"/>
          <w:szCs w:val="21"/>
        </w:rPr>
      </w:pPr>
      <w:r>
        <w:rPr>
          <w:rFonts w:hint="eastAsia"/>
          <w:b/>
          <w:bCs/>
          <w:color w:val="auto"/>
          <w:sz w:val="21"/>
          <w:szCs w:val="21"/>
        </w:rPr>
        <w:t>拟建项目废水污染物排放量根据园区接管污水处理厂排放标准计算。</w:t>
      </w:r>
    </w:p>
    <w:p w14:paraId="691111F8">
      <w:pPr>
        <w:spacing w:line="240" w:lineRule="auto"/>
        <w:ind w:firstLine="482"/>
        <w:rPr>
          <w:b/>
          <w:bCs/>
          <w:color w:val="auto"/>
        </w:rPr>
      </w:pPr>
    </w:p>
    <w:p w14:paraId="31244F99">
      <w:pPr>
        <w:spacing w:line="460" w:lineRule="exact"/>
        <w:ind w:firstLine="482"/>
        <w:jc w:val="center"/>
        <w:rPr>
          <w:b/>
          <w:bCs/>
          <w:color w:val="auto"/>
        </w:rPr>
        <w:sectPr>
          <w:pgSz w:w="16838" w:h="11905" w:orient="landscape"/>
          <w:pgMar w:top="1134" w:right="1134" w:bottom="1134" w:left="1134" w:header="850" w:footer="992" w:gutter="0"/>
          <w:cols w:space="720" w:num="1"/>
          <w:docGrid w:type="lines" w:linePitch="385" w:charSpace="0"/>
        </w:sectPr>
      </w:pPr>
    </w:p>
    <w:p w14:paraId="627AE7BE">
      <w:pPr>
        <w:pStyle w:val="4"/>
        <w:rPr>
          <w:color w:val="auto"/>
        </w:rPr>
      </w:pPr>
      <w:bookmarkStart w:id="404" w:name="_Toc21515"/>
      <w:r>
        <w:rPr>
          <w:rFonts w:hint="eastAsia"/>
          <w:color w:val="auto"/>
        </w:rPr>
        <w:t>9.1.3平衡途径</w:t>
      </w:r>
      <w:bookmarkEnd w:id="404"/>
    </w:p>
    <w:p w14:paraId="7E8A4781">
      <w:pPr>
        <w:ind w:firstLine="480"/>
        <w:rPr>
          <w:color w:val="auto"/>
        </w:rPr>
      </w:pPr>
      <w:r>
        <w:rPr>
          <w:rFonts w:hint="eastAsia"/>
          <w:color w:val="auto"/>
        </w:rPr>
        <w:t>拟建项目废气总量控制因子二氧化硫、颗粒物通过“以新带老”措施在现有厂区范围内平衡；废水总量控制因子COD、氨氮、总磷、总氮纳入污水处理厂总量范围内；固废排放量为零。</w:t>
      </w:r>
    </w:p>
    <w:p w14:paraId="3CE887A2">
      <w:pPr>
        <w:ind w:firstLine="480"/>
        <w:rPr>
          <w:color w:val="auto"/>
        </w:rPr>
      </w:pPr>
      <w:r>
        <w:rPr>
          <w:rFonts w:hint="eastAsia"/>
          <w:color w:val="auto"/>
        </w:rPr>
        <w:t>根据《关于加强重点行业建设项目区域削减措施监督管理的通知》（环办环评（2020）36号）要求，所在区域、流域控制单元环境质量未达到国家或者地方环境质量标准的，建设项目应提出有效的区域削减方案，主要污梁物实行区域量削减，确保项目投产后区域环境质量有所改善。拟建所在地南通是大气污染防治重点区域，结合当地环境空气质量实际，应管理部门要求从严管理。经核算，拟建大气污染物不新增总量。</w:t>
      </w:r>
    </w:p>
    <w:p w14:paraId="53039AD4">
      <w:pPr>
        <w:pStyle w:val="3"/>
        <w:spacing w:before="385"/>
        <w:rPr>
          <w:color w:val="auto"/>
        </w:rPr>
      </w:pPr>
      <w:bookmarkStart w:id="405" w:name="_Toc6595"/>
      <w:bookmarkStart w:id="406" w:name="_Toc479187225"/>
      <w:bookmarkStart w:id="407" w:name="_Toc28765"/>
      <w:bookmarkStart w:id="408" w:name="_Toc476661923"/>
      <w:bookmarkStart w:id="409" w:name="_Toc5389"/>
      <w:r>
        <w:rPr>
          <w:color w:val="auto"/>
        </w:rPr>
        <w:t>9.2</w:t>
      </w:r>
      <w:r>
        <w:rPr>
          <w:rFonts w:hint="eastAsia"/>
          <w:color w:val="auto"/>
        </w:rPr>
        <w:t>施工期环境监测与管理</w:t>
      </w:r>
      <w:bookmarkEnd w:id="405"/>
      <w:bookmarkEnd w:id="406"/>
      <w:bookmarkEnd w:id="407"/>
      <w:bookmarkEnd w:id="408"/>
      <w:bookmarkEnd w:id="409"/>
    </w:p>
    <w:p w14:paraId="409AAAFF">
      <w:pPr>
        <w:ind w:firstLine="480"/>
        <w:rPr>
          <w:color w:val="auto"/>
        </w:rPr>
      </w:pPr>
      <w:bookmarkStart w:id="410" w:name="_Toc479187226"/>
      <w:bookmarkStart w:id="411" w:name="_Toc476661924"/>
      <w:r>
        <w:rPr>
          <w:rFonts w:hint="eastAsia"/>
          <w:color w:val="auto"/>
        </w:rPr>
        <w:t>（1）工程项目的施工承包合同中，应包括环境保护的条款。其中应包括施工中在环境污染预防和治理方面对承包的具体要求，如施工噪声污染，废水、扬尘和废气等排放治理，施工垃圾处理处置等内容。</w:t>
      </w:r>
    </w:p>
    <w:p w14:paraId="1D930726">
      <w:pPr>
        <w:ind w:firstLine="480"/>
        <w:rPr>
          <w:color w:val="auto"/>
        </w:rPr>
      </w:pPr>
      <w:r>
        <w:rPr>
          <w:rFonts w:hint="eastAsia"/>
          <w:color w:val="auto"/>
        </w:rPr>
        <w:t>（2）建设单位应设置兼职环保员参加施工场地的环境监测和环境管理工作。</w:t>
      </w:r>
    </w:p>
    <w:p w14:paraId="4FE4DA2B">
      <w:pPr>
        <w:ind w:firstLine="480"/>
        <w:rPr>
          <w:color w:val="auto"/>
        </w:rPr>
      </w:pPr>
      <w:r>
        <w:rPr>
          <w:rFonts w:hint="eastAsia"/>
          <w:color w:val="auto"/>
        </w:rPr>
        <w:t>（3）加强对施工人员的环境保护宣传教育，增强施工人员环境保护和劳动安全意识，杜绝人为引发环境污染事件的发生。</w:t>
      </w:r>
    </w:p>
    <w:p w14:paraId="696D4F92">
      <w:pPr>
        <w:ind w:firstLine="480"/>
        <w:rPr>
          <w:color w:val="auto"/>
        </w:rPr>
      </w:pPr>
      <w:r>
        <w:rPr>
          <w:rFonts w:hint="eastAsia"/>
          <w:color w:val="auto"/>
        </w:rPr>
        <w:t>（4）定时监测施工场地和附近地带大气中</w:t>
      </w:r>
      <w:r>
        <w:rPr>
          <w:color w:val="auto"/>
        </w:rPr>
        <w:t>TSP</w:t>
      </w:r>
      <w:r>
        <w:rPr>
          <w:rFonts w:hint="eastAsia"/>
          <w:color w:val="auto"/>
        </w:rPr>
        <w:t>和PM</w:t>
      </w:r>
      <w:r>
        <w:rPr>
          <w:rFonts w:hint="eastAsia"/>
          <w:color w:val="auto"/>
          <w:vertAlign w:val="subscript"/>
        </w:rPr>
        <w:t>10</w:t>
      </w:r>
      <w:r>
        <w:rPr>
          <w:rFonts w:hint="eastAsia"/>
          <w:color w:val="auto"/>
        </w:rPr>
        <w:t>的浓度，定时检查施工现场污水排放情况和施工机械和噪声水平，以便及时采取措施，减少环境污染。</w:t>
      </w:r>
    </w:p>
    <w:p w14:paraId="3851259A">
      <w:pPr>
        <w:pStyle w:val="3"/>
        <w:spacing w:before="385"/>
        <w:rPr>
          <w:color w:val="auto"/>
        </w:rPr>
      </w:pPr>
      <w:bookmarkStart w:id="412" w:name="_Toc7939"/>
      <w:bookmarkStart w:id="413" w:name="_Toc16167"/>
      <w:bookmarkStart w:id="414" w:name="_Toc17489"/>
      <w:r>
        <w:rPr>
          <w:color w:val="auto"/>
        </w:rPr>
        <w:t>9.3</w:t>
      </w:r>
      <w:r>
        <w:rPr>
          <w:rFonts w:hint="eastAsia"/>
          <w:color w:val="auto"/>
        </w:rPr>
        <w:t>运行期环境监测与管理</w:t>
      </w:r>
      <w:bookmarkEnd w:id="410"/>
      <w:bookmarkEnd w:id="411"/>
      <w:bookmarkEnd w:id="412"/>
      <w:bookmarkEnd w:id="413"/>
      <w:bookmarkEnd w:id="414"/>
    </w:p>
    <w:p w14:paraId="25FB93D3">
      <w:pPr>
        <w:ind w:firstLine="480"/>
        <w:rPr>
          <w:color w:val="auto"/>
        </w:rPr>
      </w:pPr>
      <w:r>
        <w:rPr>
          <w:rFonts w:hint="eastAsia"/>
          <w:color w:val="auto"/>
        </w:rPr>
        <w:t>拟建</w:t>
      </w:r>
      <w:r>
        <w:rPr>
          <w:color w:val="auto"/>
        </w:rPr>
        <w:t>项目建成后将对周围环境产生一定的影响，因此建设单位应在加强环境管理的同时，定期进行环境监测，以便及时了解</w:t>
      </w:r>
      <w:r>
        <w:rPr>
          <w:rFonts w:hint="eastAsia"/>
          <w:color w:val="auto"/>
        </w:rPr>
        <w:t>拟建</w:t>
      </w:r>
      <w:r>
        <w:rPr>
          <w:color w:val="auto"/>
        </w:rPr>
        <w:t>对环境造成影响的情况，并采取相应措施，消除不利因素，减轻环境污染，使各项环保措施落到实处，以期达到预定的目标。</w:t>
      </w:r>
    </w:p>
    <w:p w14:paraId="536E7C09">
      <w:pPr>
        <w:pStyle w:val="4"/>
        <w:rPr>
          <w:color w:val="auto"/>
        </w:rPr>
      </w:pPr>
      <w:bookmarkStart w:id="415" w:name="_Toc10423"/>
      <w:bookmarkStart w:id="416" w:name="_Toc27321"/>
      <w:r>
        <w:rPr>
          <w:color w:val="auto"/>
        </w:rPr>
        <w:t>9.3.1</w:t>
      </w:r>
      <w:r>
        <w:rPr>
          <w:rFonts w:hint="eastAsia"/>
          <w:color w:val="auto"/>
        </w:rPr>
        <w:t>环境管理机构</w:t>
      </w:r>
      <w:bookmarkEnd w:id="415"/>
      <w:bookmarkEnd w:id="416"/>
    </w:p>
    <w:p w14:paraId="5D8498F5">
      <w:pPr>
        <w:ind w:firstLine="480"/>
        <w:rPr>
          <w:color w:val="auto"/>
        </w:rPr>
      </w:pPr>
      <w:bookmarkStart w:id="417" w:name="_Toc22104"/>
      <w:r>
        <w:rPr>
          <w:rFonts w:hint="eastAsia"/>
          <w:color w:val="auto"/>
        </w:rPr>
        <w:t>企业已设置安环部负责日常环境管理。拟建依托现有环境管理机构。根据该项目的建设规模和环境管理的任务，建设期项目筹建处应设一名环保专职或兼职人员，负责工程建设期的环境保护工作；工程建成后依托现有的环境管理机构，负责公司的环境保护监督管理及各项环保设施的运行管理工作，污染源监测可委托当地环境监测部门承担。</w:t>
      </w:r>
    </w:p>
    <w:p w14:paraId="1929B1ED">
      <w:pPr>
        <w:pStyle w:val="4"/>
        <w:rPr>
          <w:color w:val="auto"/>
        </w:rPr>
      </w:pPr>
      <w:bookmarkStart w:id="418" w:name="_Toc31163"/>
      <w:r>
        <w:rPr>
          <w:color w:val="auto"/>
        </w:rPr>
        <w:t>9.3</w:t>
      </w:r>
      <w:r>
        <w:rPr>
          <w:rFonts w:hint="eastAsia"/>
          <w:color w:val="auto"/>
        </w:rPr>
        <w:t>.2环保管理制度的建立</w:t>
      </w:r>
      <w:bookmarkEnd w:id="417"/>
      <w:bookmarkEnd w:id="418"/>
    </w:p>
    <w:p w14:paraId="791465AD">
      <w:pPr>
        <w:ind w:firstLine="480"/>
        <w:rPr>
          <w:color w:val="auto"/>
        </w:rPr>
      </w:pPr>
      <w:r>
        <w:rPr>
          <w:color w:val="auto"/>
        </w:rPr>
        <w:t>（1）建立环境管理体系</w:t>
      </w:r>
    </w:p>
    <w:p w14:paraId="2D81B8E7">
      <w:pPr>
        <w:ind w:firstLine="480"/>
        <w:rPr>
          <w:color w:val="auto"/>
        </w:rPr>
      </w:pPr>
      <w:r>
        <w:rPr>
          <w:rFonts w:hint="eastAsia"/>
          <w:color w:val="auto"/>
        </w:rPr>
        <w:t>企业已</w:t>
      </w:r>
      <w:r>
        <w:rPr>
          <w:color w:val="auto"/>
        </w:rPr>
        <w:t>全面系统的对污染物进行控制，能够及时了解有关环保法律法规及其他要求，更好地遵守法律法规及各项制度。</w:t>
      </w:r>
    </w:p>
    <w:p w14:paraId="11EE43BC">
      <w:pPr>
        <w:ind w:firstLine="480"/>
        <w:rPr>
          <w:color w:val="auto"/>
        </w:rPr>
      </w:pPr>
      <w:r>
        <w:rPr>
          <w:color w:val="auto"/>
        </w:rPr>
        <w:t>（2）报告制度</w:t>
      </w:r>
    </w:p>
    <w:p w14:paraId="20D7DE82">
      <w:pPr>
        <w:ind w:firstLine="480"/>
        <w:rPr>
          <w:color w:val="auto"/>
        </w:rPr>
      </w:pPr>
      <w:r>
        <w:rPr>
          <w:rFonts w:hint="eastAsia"/>
          <w:color w:val="auto"/>
        </w:rPr>
        <w:t>建设单位应定期向当地政府生态环境管理部门报告污染治理设施运行情况、污染物排放情况以及污染事故、污染纠纷等情况，便于生态环境管理部门和企业管理人员及时了解企业污染动态，利于采取相应的对策措施。若企业排污情况发生重大变化、污染治理设施改变或企业改、扩建等都必须按《建设项目环境保护管理条例》等文件要求，向当地生态环境管理部门申报，并请有审批权限的生态环境管理部门审批。</w:t>
      </w:r>
    </w:p>
    <w:p w14:paraId="288C50CB">
      <w:pPr>
        <w:ind w:firstLine="480"/>
        <w:rPr>
          <w:color w:val="auto"/>
        </w:rPr>
      </w:pPr>
      <w:r>
        <w:rPr>
          <w:color w:val="auto"/>
        </w:rPr>
        <w:t>（3）污染处理设施的管理制度</w:t>
      </w:r>
    </w:p>
    <w:p w14:paraId="144D6DB1">
      <w:pPr>
        <w:ind w:firstLine="480"/>
        <w:rPr>
          <w:color w:val="auto"/>
        </w:rPr>
      </w:pPr>
      <w:r>
        <w:rPr>
          <w:rFonts w:hint="eastAsia"/>
          <w:color w:val="auto"/>
        </w:rPr>
        <w:t>拟建</w:t>
      </w:r>
      <w:r>
        <w:rPr>
          <w:color w:val="auto"/>
        </w:rPr>
        <w:t>项目建成投产后产生的污染物必须经治理达标后方可排放。单位法人要确保污染治理设施能长期、稳定、有效地运行，不得擅自拆除或者闲置污染处理设施，不得故意不正常使用污染处理设施。污染处理设施的管理必须与生产经营活动一起纳入企业日常管理工作的范畴，落实责任人、操作人员、维修人员、运行经费、设备的备品备件、化学药品和其他原辅材料。同时要建立岗位责任制、制定操作规程、建立管理台帐。</w:t>
      </w:r>
    </w:p>
    <w:p w14:paraId="2E39565A">
      <w:pPr>
        <w:ind w:firstLine="480"/>
        <w:rPr>
          <w:color w:val="auto"/>
        </w:rPr>
      </w:pPr>
      <w:r>
        <w:rPr>
          <w:color w:val="auto"/>
        </w:rPr>
        <w:t>（4）奖惩制度</w:t>
      </w:r>
    </w:p>
    <w:p w14:paraId="1111396C">
      <w:pPr>
        <w:ind w:firstLine="480"/>
        <w:rPr>
          <w:color w:val="auto"/>
        </w:rPr>
      </w:pPr>
      <w:r>
        <w:rPr>
          <w:color w:val="auto"/>
        </w:rPr>
        <w:t>项目建设期及建成后，各级管理人员都应树立保护环境的思想，企业也应设置环境保护奖惩条例。对爱护环保设施、节能降耗、改善环境者实行奖励；对环保观念淡薄，不按环保要求管理，建成环境设施损坏、环境污染及资源和能源浪费者一律予以重罚。</w:t>
      </w:r>
    </w:p>
    <w:p w14:paraId="52F8E5DD">
      <w:pPr>
        <w:ind w:firstLine="480"/>
        <w:rPr>
          <w:color w:val="auto"/>
        </w:rPr>
      </w:pPr>
      <w:r>
        <w:rPr>
          <w:rFonts w:hint="eastAsia"/>
          <w:color w:val="auto"/>
        </w:rPr>
        <w:t>（</w:t>
      </w:r>
      <w:r>
        <w:rPr>
          <w:color w:val="auto"/>
        </w:rPr>
        <w:t>5</w:t>
      </w:r>
      <w:r>
        <w:rPr>
          <w:rFonts w:hint="eastAsia"/>
          <w:color w:val="auto"/>
        </w:rPr>
        <w:t>）排污许可证管理制度</w:t>
      </w:r>
    </w:p>
    <w:p w14:paraId="502EE9D8">
      <w:pPr>
        <w:ind w:firstLine="480"/>
        <w:rPr>
          <w:color w:val="auto"/>
        </w:rPr>
      </w:pPr>
      <w:r>
        <w:rPr>
          <w:rFonts w:hint="eastAsia"/>
          <w:color w:val="auto"/>
        </w:rPr>
        <w:t>按照《国务院办公厅关于印发控制污染物排放许可制实施方案的通知》（国办发〔2016〕81号）、《建设项目环境影响评价分类管理名录》和《固定污染源排污许可分类管理名录（201</w:t>
      </w:r>
      <w:r>
        <w:rPr>
          <w:color w:val="auto"/>
        </w:rPr>
        <w:t>9</w:t>
      </w:r>
      <w:r>
        <w:rPr>
          <w:rFonts w:hint="eastAsia"/>
          <w:color w:val="auto"/>
        </w:rPr>
        <w:t>）》、《排污许可证申请与核发技术规范 无机化学工业》（</w:t>
      </w:r>
      <w:r>
        <w:rPr>
          <w:color w:val="auto"/>
        </w:rPr>
        <w:t>HJ</w:t>
      </w:r>
      <w:r>
        <w:rPr>
          <w:rFonts w:hint="eastAsia"/>
          <w:color w:val="auto"/>
        </w:rPr>
        <w:t>1035</w:t>
      </w:r>
      <w:r>
        <w:rPr>
          <w:color w:val="auto"/>
        </w:rPr>
        <w:t>-20</w:t>
      </w:r>
      <w:r>
        <w:rPr>
          <w:rFonts w:hint="eastAsia"/>
          <w:color w:val="auto"/>
        </w:rPr>
        <w:t>19）等有关要求，建设单位应在规定的时限内按时申领、更新排污许可证，做到持证排污，不得无证排污或不按证排污。</w:t>
      </w:r>
    </w:p>
    <w:p w14:paraId="74958C76">
      <w:pPr>
        <w:pStyle w:val="4"/>
        <w:rPr>
          <w:color w:val="auto"/>
        </w:rPr>
      </w:pPr>
      <w:bookmarkStart w:id="419" w:name="_Toc26803"/>
      <w:bookmarkStart w:id="420" w:name="_Toc10425"/>
      <w:r>
        <w:rPr>
          <w:color w:val="auto"/>
        </w:rPr>
        <w:t>9.3.3</w:t>
      </w:r>
      <w:r>
        <w:rPr>
          <w:rFonts w:hint="eastAsia"/>
          <w:color w:val="auto"/>
        </w:rPr>
        <w:t>环境管理要求</w:t>
      </w:r>
      <w:bookmarkEnd w:id="419"/>
      <w:bookmarkEnd w:id="420"/>
    </w:p>
    <w:p w14:paraId="3BAB198B">
      <w:pPr>
        <w:ind w:firstLine="480"/>
        <w:rPr>
          <w:color w:val="auto"/>
        </w:rPr>
      </w:pPr>
      <w:r>
        <w:rPr>
          <w:color w:val="auto"/>
        </w:rPr>
        <w:t>运行期环境管理要求如下：</w:t>
      </w:r>
    </w:p>
    <w:p w14:paraId="3D16DF25">
      <w:pPr>
        <w:ind w:firstLine="480"/>
        <w:rPr>
          <w:color w:val="auto"/>
        </w:rPr>
      </w:pPr>
      <w:r>
        <w:rPr>
          <w:color w:val="auto"/>
        </w:rPr>
        <w:t>（1）建设单位应通过“江苏省</w:t>
      </w:r>
      <w:r>
        <w:rPr>
          <w:rFonts w:hint="eastAsia"/>
          <w:color w:val="auto"/>
        </w:rPr>
        <w:t>固体废物管理信息系统</w:t>
      </w:r>
      <w:r>
        <w:rPr>
          <w:color w:val="auto"/>
        </w:rPr>
        <w:t>”（</w:t>
      </w:r>
      <w:r>
        <w:rPr>
          <w:rFonts w:hint="eastAsia"/>
          <w:color w:val="auto"/>
        </w:rPr>
        <w:t>江苏省生态环境厅</w:t>
      </w:r>
      <w:r>
        <w:rPr>
          <w:color w:val="auto"/>
        </w:rPr>
        <w:t>）进行危险废物申报登记。将危险废物的实际产生、贮存、利用、处置情况纳入生产记录，建立危险废物管理台账和企业内部产生和收集、贮存、转移等部门危险废物交接制度。</w:t>
      </w:r>
    </w:p>
    <w:p w14:paraId="680C26B4">
      <w:pPr>
        <w:ind w:firstLine="480"/>
        <w:rPr>
          <w:color w:val="auto"/>
        </w:rPr>
      </w:pPr>
      <w:r>
        <w:rPr>
          <w:color w:val="auto"/>
        </w:rPr>
        <w:t>（2）企业为固体废物污染防治的责任主体，企业应建立风险管理及应急救援体系，执行环境监测计划、转移联单管理制度及国家和省有关转移管理的相关规定、处置过程安全操作规程、人员培训考核制度、档案管理制度、处置全过程管理制度等。</w:t>
      </w:r>
    </w:p>
    <w:p w14:paraId="2E13F7E6">
      <w:pPr>
        <w:ind w:firstLine="480"/>
        <w:rPr>
          <w:color w:val="auto"/>
        </w:rPr>
      </w:pPr>
      <w:r>
        <w:rPr>
          <w:color w:val="auto"/>
        </w:rPr>
        <w:t>（3）规范建设危险废物贮存场所并按照要求设置警告标志，危废贮存场所应按照</w:t>
      </w:r>
      <w:r>
        <w:rPr>
          <w:rFonts w:hint="eastAsia"/>
          <w:color w:val="auto"/>
        </w:rPr>
        <w:t>《危险废物贮存污染控制标准》（</w:t>
      </w:r>
      <w:r>
        <w:rPr>
          <w:color w:val="auto"/>
        </w:rPr>
        <w:t>GB18597-2023</w:t>
      </w:r>
      <w:r>
        <w:rPr>
          <w:rFonts w:hint="eastAsia"/>
          <w:color w:val="auto"/>
        </w:rPr>
        <w:t>）、</w:t>
      </w:r>
      <w:r>
        <w:rPr>
          <w:color w:val="auto"/>
        </w:rPr>
        <w:t>《危险废物识别标志设置技术规范》（HJ1276-2022）有关要求张贴标识。</w:t>
      </w:r>
    </w:p>
    <w:p w14:paraId="41789709">
      <w:pPr>
        <w:ind w:firstLine="480"/>
        <w:rPr>
          <w:color w:val="auto"/>
        </w:rPr>
      </w:pPr>
      <w:r>
        <w:rPr>
          <w:color w:val="auto"/>
        </w:rPr>
        <w:t>（4）加强固体废物在厂内堆存期间的环境管理；加强对危险固废的收集、储存、运输等措施的管理。</w:t>
      </w:r>
    </w:p>
    <w:p w14:paraId="661C2562">
      <w:pPr>
        <w:ind w:firstLine="480"/>
        <w:rPr>
          <w:color w:val="auto"/>
        </w:rPr>
      </w:pPr>
      <w:r>
        <w:rPr>
          <w:color w:val="auto"/>
        </w:rPr>
        <w:t>（5）加强管道、设备的保养和维护。安装必要的用水监测仪表，减少跑、冒、滴、漏，最大限度地减少用水量。</w:t>
      </w:r>
    </w:p>
    <w:p w14:paraId="5636ED64">
      <w:pPr>
        <w:ind w:firstLine="480"/>
        <w:rPr>
          <w:color w:val="auto"/>
        </w:rPr>
      </w:pPr>
      <w:r>
        <w:rPr>
          <w:color w:val="auto"/>
        </w:rPr>
        <w:t>（6）加强</w:t>
      </w:r>
      <w:r>
        <w:rPr>
          <w:rFonts w:hint="eastAsia"/>
          <w:color w:val="auto"/>
        </w:rPr>
        <w:t>拟建</w:t>
      </w:r>
      <w:r>
        <w:rPr>
          <w:color w:val="auto"/>
        </w:rPr>
        <w:t>的环境管理和环境监测。设专职环境管理人员，按报告书的要求认真落实环境监测计划；各排污口的设置和管理应按《江苏省排污口设置及规范化整治管理办法》的有关规定执行。</w:t>
      </w:r>
    </w:p>
    <w:p w14:paraId="501CC3A4">
      <w:pPr>
        <w:ind w:firstLine="480"/>
        <w:rPr>
          <w:color w:val="auto"/>
        </w:rPr>
      </w:pPr>
      <w:r>
        <w:rPr>
          <w:color w:val="auto"/>
        </w:rPr>
        <w:t>（7）加强全厂职工的安全生产和环境保护知识的教育。配备必要的环境管理专职人员，落实、检查环保设施的运行状况，配合当地环保部门做好本厂的环境管理、验收、监督和检查工作。</w:t>
      </w:r>
    </w:p>
    <w:p w14:paraId="10AFC948">
      <w:pPr>
        <w:pStyle w:val="4"/>
        <w:rPr>
          <w:color w:val="auto"/>
        </w:rPr>
      </w:pPr>
      <w:bookmarkStart w:id="421" w:name="_Toc8095"/>
      <w:bookmarkStart w:id="422" w:name="_Toc4443"/>
      <w:r>
        <w:rPr>
          <w:color w:val="auto"/>
        </w:rPr>
        <w:t>9.3.4</w:t>
      </w:r>
      <w:r>
        <w:rPr>
          <w:rFonts w:hint="eastAsia"/>
          <w:color w:val="auto"/>
        </w:rPr>
        <w:t>排污口规范化整治</w:t>
      </w:r>
      <w:bookmarkEnd w:id="421"/>
      <w:bookmarkEnd w:id="422"/>
    </w:p>
    <w:p w14:paraId="0A5A2354">
      <w:pPr>
        <w:ind w:firstLine="480"/>
        <w:rPr>
          <w:color w:val="auto"/>
        </w:rPr>
      </w:pPr>
      <w:r>
        <w:rPr>
          <w:rFonts w:hint="eastAsia"/>
          <w:color w:val="auto"/>
        </w:rPr>
        <w:t>根据《江苏省排污口设置及规范化整治管理办法》（苏环控</w:t>
      </w:r>
      <w:r>
        <w:rPr>
          <w:color w:val="auto"/>
        </w:rPr>
        <w:t>[97]122</w:t>
      </w:r>
      <w:r>
        <w:rPr>
          <w:rFonts w:hint="eastAsia"/>
          <w:color w:val="auto"/>
        </w:rPr>
        <w:t>号）规定，拟建项目建成后，废气排气筒必须设置便于采样、监测的采样口和采样平台，并在排气筒附近地面醒目处设置环保图形标志牌；废水排放口必须进行规范化设计，设置流量计、</w:t>
      </w:r>
      <w:r>
        <w:rPr>
          <w:color w:val="auto"/>
        </w:rPr>
        <w:t>pH</w:t>
      </w:r>
      <w:r>
        <w:rPr>
          <w:rFonts w:hint="eastAsia"/>
          <w:color w:val="auto"/>
        </w:rPr>
        <w:t>值、</w:t>
      </w:r>
      <w:r>
        <w:rPr>
          <w:color w:val="auto"/>
        </w:rPr>
        <w:t>COD</w:t>
      </w:r>
      <w:r>
        <w:rPr>
          <w:rFonts w:hint="eastAsia"/>
          <w:color w:val="auto"/>
        </w:rPr>
        <w:t>等在线监测仪，并要具备采样、监测条件，排放口附近应树立环保图形标志牌。排污口有关建筑物及其监测计量装置、仪器设备和环保图形标志牌等都属于环保设施，建设单位应将其纳入生产经营管理体系，建立维护保养制度。根据企业申领的排污许可证，企业排污口建设要求如下：</w:t>
      </w:r>
    </w:p>
    <w:p w14:paraId="15B5DECE">
      <w:pPr>
        <w:ind w:firstLine="480"/>
        <w:rPr>
          <w:color w:val="auto"/>
        </w:rPr>
      </w:pPr>
      <w:r>
        <w:rPr>
          <w:rFonts w:hint="eastAsia"/>
          <w:color w:val="auto"/>
        </w:rPr>
        <w:t>（</w:t>
      </w:r>
      <w:r>
        <w:rPr>
          <w:color w:val="auto"/>
        </w:rPr>
        <w:t>1</w:t>
      </w:r>
      <w:r>
        <w:rPr>
          <w:rFonts w:hint="eastAsia"/>
          <w:color w:val="auto"/>
        </w:rPr>
        <w:t>）废水排放口：污水排放口</w:t>
      </w:r>
      <w:r>
        <w:rPr>
          <w:color w:val="auto"/>
        </w:rPr>
        <w:t>1</w:t>
      </w:r>
      <w:r>
        <w:rPr>
          <w:rFonts w:hint="eastAsia"/>
          <w:color w:val="auto"/>
        </w:rPr>
        <w:t>个，雨水排放口1个，均依托厂区现有。厂区内污水管网必须采取可视化设置，废水经处理满足接管标准后进入联合环境水务(启东)有限公司集中处理。</w:t>
      </w:r>
    </w:p>
    <w:p w14:paraId="43E75669">
      <w:pPr>
        <w:ind w:firstLine="480"/>
        <w:rPr>
          <w:color w:val="auto"/>
        </w:rPr>
      </w:pPr>
      <w:r>
        <w:rPr>
          <w:rFonts w:hint="eastAsia"/>
          <w:color w:val="auto"/>
        </w:rPr>
        <w:t>（</w:t>
      </w:r>
      <w:r>
        <w:rPr>
          <w:color w:val="auto"/>
        </w:rPr>
        <w:t>2</w:t>
      </w:r>
      <w:r>
        <w:rPr>
          <w:rFonts w:hint="eastAsia"/>
          <w:color w:val="auto"/>
        </w:rPr>
        <w:t>）废气排放口：拟建共涉及3个排气筒（DA001、DA002和DA006），均依托厂区现有，废气排气筒应设置环保图形标志牌，同时按要求设置便于采样、监测的采样口和采样监测平台。</w:t>
      </w:r>
    </w:p>
    <w:p w14:paraId="4F4C6868">
      <w:pPr>
        <w:ind w:firstLine="480"/>
        <w:rPr>
          <w:color w:val="auto"/>
        </w:rPr>
      </w:pPr>
      <w:r>
        <w:rPr>
          <w:rFonts w:hint="eastAsia"/>
          <w:color w:val="auto"/>
        </w:rPr>
        <w:t>（</w:t>
      </w:r>
      <w:r>
        <w:rPr>
          <w:color w:val="auto"/>
        </w:rPr>
        <w:t>3</w:t>
      </w:r>
      <w:r>
        <w:rPr>
          <w:rFonts w:hint="eastAsia"/>
          <w:color w:val="auto"/>
        </w:rPr>
        <w:t>）贮存（处置）场所规范化整治</w:t>
      </w:r>
    </w:p>
    <w:p w14:paraId="79F973E1">
      <w:pPr>
        <w:ind w:firstLine="480"/>
        <w:rPr>
          <w:color w:val="auto"/>
        </w:rPr>
      </w:pPr>
      <w:r>
        <w:rPr>
          <w:rFonts w:hint="eastAsia"/>
          <w:color w:val="auto"/>
        </w:rPr>
        <w:t>按照《危险废物贮存污染控制标准》（</w:t>
      </w:r>
      <w:r>
        <w:rPr>
          <w:color w:val="auto"/>
        </w:rPr>
        <w:t>GB18597-2023</w:t>
      </w:r>
      <w:r>
        <w:rPr>
          <w:rFonts w:hint="eastAsia"/>
          <w:color w:val="auto"/>
        </w:rPr>
        <w:t>）等文件要求，规范建设危险废物贮存场所，拟建项目危废存储依托厂区现有危废仓库。企业应将生产过程中产生的废物及时收集，保持车间的整洁，收集后集中堆放，并及时处置，以提高固体废物的综合利用效率。</w:t>
      </w:r>
    </w:p>
    <w:p w14:paraId="3B94F443">
      <w:pPr>
        <w:pStyle w:val="3"/>
        <w:spacing w:before="385"/>
        <w:rPr>
          <w:color w:val="auto"/>
        </w:rPr>
      </w:pPr>
      <w:bookmarkStart w:id="423" w:name="_Toc9197"/>
      <w:bookmarkStart w:id="424" w:name="_Toc479187227"/>
      <w:bookmarkStart w:id="425" w:name="_Toc28237"/>
      <w:bookmarkStart w:id="426" w:name="_Toc10108"/>
      <w:r>
        <w:rPr>
          <w:color w:val="auto"/>
        </w:rPr>
        <w:t>9.4环境监测计划</w:t>
      </w:r>
      <w:bookmarkEnd w:id="423"/>
      <w:bookmarkEnd w:id="424"/>
      <w:bookmarkEnd w:id="425"/>
      <w:bookmarkEnd w:id="426"/>
    </w:p>
    <w:p w14:paraId="43939B3F">
      <w:pPr>
        <w:pStyle w:val="4"/>
        <w:rPr>
          <w:color w:val="auto"/>
        </w:rPr>
      </w:pPr>
      <w:bookmarkStart w:id="427" w:name="_Toc10228"/>
      <w:bookmarkStart w:id="428" w:name="_Toc8617"/>
      <w:r>
        <w:rPr>
          <w:color w:val="auto"/>
        </w:rPr>
        <w:t>9.4.</w:t>
      </w:r>
      <w:r>
        <w:rPr>
          <w:rFonts w:hint="eastAsia"/>
          <w:color w:val="auto"/>
        </w:rPr>
        <w:t>1污染源监测计划</w:t>
      </w:r>
      <w:bookmarkEnd w:id="427"/>
      <w:bookmarkEnd w:id="428"/>
    </w:p>
    <w:p w14:paraId="6744282F">
      <w:pPr>
        <w:ind w:firstLine="480"/>
        <w:rPr>
          <w:color w:val="auto"/>
        </w:rPr>
      </w:pPr>
      <w:r>
        <w:rPr>
          <w:rFonts w:hint="eastAsia"/>
          <w:color w:val="auto"/>
        </w:rPr>
        <w:t>根据</w:t>
      </w:r>
      <w:r>
        <w:rPr>
          <w:color w:val="auto"/>
        </w:rPr>
        <w:t>《固定污染源排污许可分类管理名录（2019）》</w:t>
      </w:r>
      <w:r>
        <w:rPr>
          <w:rFonts w:hint="eastAsia"/>
          <w:color w:val="auto"/>
        </w:rPr>
        <w:t>，</w:t>
      </w:r>
      <w:r>
        <w:rPr>
          <w:rFonts w:hint="eastAsia"/>
          <w:color w:val="auto"/>
          <w:lang w:val="en-US" w:eastAsia="zh-CN"/>
        </w:rPr>
        <w:t>启东亚太</w:t>
      </w:r>
      <w:r>
        <w:rPr>
          <w:color w:val="auto"/>
        </w:rPr>
        <w:t>属于重点管理排污单位</w:t>
      </w:r>
      <w:r>
        <w:rPr>
          <w:rFonts w:hint="eastAsia"/>
          <w:color w:val="auto"/>
        </w:rPr>
        <w:t>，</w:t>
      </w:r>
      <w:r>
        <w:rPr>
          <w:color w:val="auto"/>
        </w:rPr>
        <w:t>拟建项目废气排放口、废水排放口的监测要求应根据《排污单位自行监测技术指南 总则》（HJ819</w:t>
      </w:r>
      <w:r>
        <w:rPr>
          <w:rFonts w:hint="eastAsia"/>
          <w:color w:val="auto"/>
        </w:rPr>
        <w:t>-</w:t>
      </w:r>
      <w:r>
        <w:rPr>
          <w:color w:val="auto"/>
        </w:rPr>
        <w:t>2017）、《排污许可证申请与核发技术规范 专用化学产品制造工业》（HJ 1103</w:t>
      </w:r>
      <w:r>
        <w:rPr>
          <w:rFonts w:hint="eastAsia"/>
          <w:color w:val="auto"/>
        </w:rPr>
        <w:t>-</w:t>
      </w:r>
      <w:r>
        <w:rPr>
          <w:color w:val="auto"/>
        </w:rPr>
        <w:t>2020）要求制定</w:t>
      </w:r>
      <w:r>
        <w:rPr>
          <w:rFonts w:hint="eastAsia"/>
          <w:color w:val="auto"/>
        </w:rPr>
        <w:t>。</w:t>
      </w:r>
    </w:p>
    <w:p w14:paraId="737B1132">
      <w:pPr>
        <w:pStyle w:val="49"/>
        <w:rPr>
          <w:color w:val="auto"/>
        </w:rPr>
      </w:pPr>
      <w:r>
        <w:rPr>
          <w:color w:val="auto"/>
        </w:rPr>
        <w:t>表9.</w:t>
      </w:r>
      <w:r>
        <w:rPr>
          <w:rFonts w:hint="eastAsia"/>
          <w:color w:val="auto"/>
        </w:rPr>
        <w:t>4</w:t>
      </w:r>
      <w:r>
        <w:rPr>
          <w:color w:val="auto"/>
        </w:rPr>
        <w:t xml:space="preserve">-1 </w:t>
      </w:r>
      <w:r>
        <w:rPr>
          <w:rFonts w:hint="eastAsia"/>
          <w:color w:val="auto"/>
        </w:rPr>
        <w:t xml:space="preserve"> </w:t>
      </w:r>
      <w:r>
        <w:rPr>
          <w:color w:val="auto"/>
        </w:rPr>
        <w:t>拟建项目</w:t>
      </w:r>
      <w:r>
        <w:rPr>
          <w:rFonts w:hint="eastAsia"/>
          <w:color w:val="auto"/>
        </w:rPr>
        <w:t>运行期</w:t>
      </w:r>
      <w:r>
        <w:rPr>
          <w:color w:val="auto"/>
        </w:rPr>
        <w:t>污染</w:t>
      </w:r>
      <w:r>
        <w:rPr>
          <w:rFonts w:hint="eastAsia"/>
          <w:color w:val="auto"/>
        </w:rPr>
        <w:t>源</w:t>
      </w:r>
      <w:r>
        <w:rPr>
          <w:color w:val="auto"/>
        </w:rPr>
        <w:t>监测计划</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402"/>
        <w:gridCol w:w="1941"/>
        <w:gridCol w:w="4182"/>
        <w:gridCol w:w="2168"/>
      </w:tblGrid>
      <w:tr w14:paraId="3F937B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723" w:type="pct"/>
            <w:vAlign w:val="center"/>
          </w:tcPr>
          <w:p w14:paraId="1B854B21">
            <w:pPr>
              <w:pStyle w:val="37"/>
              <w:spacing w:beforeLines="0" w:after="0"/>
              <w:rPr>
                <w:b/>
                <w:bCs/>
                <w:color w:val="auto"/>
              </w:rPr>
            </w:pPr>
            <w:r>
              <w:rPr>
                <w:rFonts w:hint="eastAsia"/>
                <w:b/>
                <w:bCs/>
                <w:color w:val="auto"/>
              </w:rPr>
              <w:t>类别</w:t>
            </w:r>
          </w:p>
        </w:tc>
        <w:tc>
          <w:tcPr>
            <w:tcW w:w="1001" w:type="pct"/>
            <w:vAlign w:val="center"/>
          </w:tcPr>
          <w:p w14:paraId="343C920F">
            <w:pPr>
              <w:pStyle w:val="37"/>
              <w:spacing w:beforeLines="0" w:after="0"/>
              <w:rPr>
                <w:b/>
                <w:bCs/>
                <w:color w:val="auto"/>
              </w:rPr>
            </w:pPr>
            <w:r>
              <w:rPr>
                <w:rFonts w:hint="eastAsia"/>
                <w:b/>
                <w:bCs/>
                <w:color w:val="auto"/>
              </w:rPr>
              <w:t>监测点位</w:t>
            </w:r>
          </w:p>
        </w:tc>
        <w:tc>
          <w:tcPr>
            <w:tcW w:w="2157" w:type="pct"/>
            <w:vAlign w:val="center"/>
          </w:tcPr>
          <w:p w14:paraId="15C0F862">
            <w:pPr>
              <w:pStyle w:val="37"/>
              <w:spacing w:beforeLines="0" w:after="0"/>
              <w:rPr>
                <w:b/>
                <w:bCs/>
                <w:color w:val="auto"/>
              </w:rPr>
            </w:pPr>
            <w:r>
              <w:rPr>
                <w:rFonts w:hint="eastAsia"/>
                <w:b/>
                <w:bCs/>
                <w:color w:val="auto"/>
              </w:rPr>
              <w:t>监测项目</w:t>
            </w:r>
          </w:p>
        </w:tc>
        <w:tc>
          <w:tcPr>
            <w:tcW w:w="1118" w:type="pct"/>
            <w:vAlign w:val="center"/>
          </w:tcPr>
          <w:p w14:paraId="02336A0A">
            <w:pPr>
              <w:pStyle w:val="37"/>
              <w:spacing w:beforeLines="0" w:after="0"/>
              <w:rPr>
                <w:b/>
                <w:bCs/>
                <w:color w:val="auto"/>
              </w:rPr>
            </w:pPr>
            <w:r>
              <w:rPr>
                <w:rFonts w:hint="eastAsia"/>
                <w:b/>
                <w:bCs/>
                <w:color w:val="auto"/>
              </w:rPr>
              <w:t>监测频次</w:t>
            </w:r>
          </w:p>
        </w:tc>
      </w:tr>
      <w:tr w14:paraId="6F6DA9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3" w:type="pct"/>
            <w:vMerge w:val="restart"/>
            <w:vAlign w:val="center"/>
          </w:tcPr>
          <w:p w14:paraId="2C126B71">
            <w:pPr>
              <w:pStyle w:val="37"/>
              <w:spacing w:beforeLines="0" w:after="0"/>
              <w:rPr>
                <w:color w:val="auto"/>
              </w:rPr>
            </w:pPr>
            <w:r>
              <w:rPr>
                <w:rFonts w:hint="eastAsia"/>
                <w:color w:val="auto"/>
              </w:rPr>
              <w:t>废气</w:t>
            </w:r>
          </w:p>
        </w:tc>
        <w:tc>
          <w:tcPr>
            <w:tcW w:w="1001" w:type="pct"/>
            <w:vAlign w:val="center"/>
          </w:tcPr>
          <w:p w14:paraId="4EF58AD3">
            <w:pPr>
              <w:pStyle w:val="37"/>
              <w:spacing w:beforeLines="0" w:after="0"/>
              <w:rPr>
                <w:rFonts w:hint="eastAsia" w:eastAsia="宋体"/>
                <w:color w:val="auto"/>
                <w:lang w:val="en-US" w:eastAsia="zh-CN"/>
              </w:rPr>
            </w:pPr>
            <w:r>
              <w:rPr>
                <w:rFonts w:hint="eastAsia"/>
                <w:color w:val="auto"/>
              </w:rPr>
              <w:t>DA00</w:t>
            </w:r>
            <w:r>
              <w:rPr>
                <w:rFonts w:hint="eastAsia"/>
                <w:color w:val="auto"/>
                <w:lang w:val="en-US" w:eastAsia="zh-CN"/>
              </w:rPr>
              <w:t>1</w:t>
            </w:r>
          </w:p>
        </w:tc>
        <w:tc>
          <w:tcPr>
            <w:tcW w:w="2157" w:type="pct"/>
            <w:vAlign w:val="center"/>
          </w:tcPr>
          <w:p w14:paraId="5F2853A2">
            <w:pPr>
              <w:pStyle w:val="37"/>
              <w:spacing w:beforeLines="0" w:after="0"/>
              <w:rPr>
                <w:rFonts w:hint="eastAsia" w:eastAsia="宋体"/>
                <w:color w:val="auto"/>
                <w:lang w:eastAsia="zh-CN"/>
              </w:rPr>
            </w:pPr>
            <w:r>
              <w:rPr>
                <w:rFonts w:hint="eastAsia"/>
                <w:color w:val="auto"/>
                <w:lang w:val="en-US" w:eastAsia="zh-CN"/>
              </w:rPr>
              <w:t>氨</w:t>
            </w:r>
          </w:p>
        </w:tc>
        <w:tc>
          <w:tcPr>
            <w:tcW w:w="1118" w:type="pct"/>
            <w:vAlign w:val="center"/>
          </w:tcPr>
          <w:p w14:paraId="51679836">
            <w:pPr>
              <w:pStyle w:val="37"/>
              <w:spacing w:beforeLines="0" w:after="0"/>
              <w:rPr>
                <w:color w:val="auto"/>
              </w:rPr>
            </w:pPr>
            <w:r>
              <w:rPr>
                <w:rFonts w:hint="eastAsia"/>
                <w:color w:val="auto"/>
              </w:rPr>
              <w:t>每季度一次</w:t>
            </w:r>
          </w:p>
        </w:tc>
      </w:tr>
      <w:tr w14:paraId="59B2C5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3" w:type="pct"/>
            <w:vMerge w:val="continue"/>
            <w:vAlign w:val="center"/>
          </w:tcPr>
          <w:p w14:paraId="1CFC199C">
            <w:pPr>
              <w:pStyle w:val="37"/>
              <w:spacing w:beforeLines="0" w:after="0"/>
              <w:rPr>
                <w:color w:val="auto"/>
              </w:rPr>
            </w:pPr>
          </w:p>
        </w:tc>
        <w:tc>
          <w:tcPr>
            <w:tcW w:w="1001" w:type="pct"/>
            <w:vAlign w:val="center"/>
          </w:tcPr>
          <w:p w14:paraId="285CC352">
            <w:pPr>
              <w:pStyle w:val="37"/>
              <w:spacing w:beforeLines="0" w:after="0"/>
              <w:rPr>
                <w:rFonts w:hint="eastAsia" w:eastAsia="宋体"/>
                <w:color w:val="auto"/>
                <w:lang w:val="en-US" w:eastAsia="zh-CN"/>
              </w:rPr>
            </w:pPr>
            <w:r>
              <w:rPr>
                <w:rFonts w:hint="eastAsia"/>
                <w:color w:val="auto"/>
              </w:rPr>
              <w:t>DA00</w:t>
            </w:r>
            <w:r>
              <w:rPr>
                <w:rFonts w:hint="eastAsia"/>
                <w:color w:val="auto"/>
                <w:lang w:val="en-US" w:eastAsia="zh-CN"/>
              </w:rPr>
              <w:t>2</w:t>
            </w:r>
          </w:p>
        </w:tc>
        <w:tc>
          <w:tcPr>
            <w:tcW w:w="2157" w:type="pct"/>
            <w:vAlign w:val="center"/>
          </w:tcPr>
          <w:p w14:paraId="7F0DCA0D">
            <w:pPr>
              <w:pStyle w:val="37"/>
              <w:spacing w:beforeLines="0" w:after="0"/>
              <w:rPr>
                <w:rFonts w:hint="default" w:eastAsia="宋体"/>
                <w:color w:val="auto"/>
                <w:lang w:val="en-US" w:eastAsia="zh-CN"/>
              </w:rPr>
            </w:pP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、颗粒物</w:t>
            </w:r>
          </w:p>
        </w:tc>
        <w:tc>
          <w:tcPr>
            <w:tcW w:w="1118" w:type="pct"/>
            <w:vAlign w:val="center"/>
          </w:tcPr>
          <w:p w14:paraId="6CC0B151">
            <w:pPr>
              <w:pStyle w:val="37"/>
              <w:spacing w:beforeLines="0" w:after="0"/>
              <w:rPr>
                <w:color w:val="auto"/>
              </w:rPr>
            </w:pPr>
            <w:r>
              <w:rPr>
                <w:rFonts w:hint="eastAsia"/>
                <w:color w:val="auto"/>
              </w:rPr>
              <w:t>每季度一次</w:t>
            </w:r>
          </w:p>
        </w:tc>
      </w:tr>
      <w:tr w14:paraId="364A48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3" w:type="pct"/>
            <w:vMerge w:val="continue"/>
            <w:vAlign w:val="center"/>
          </w:tcPr>
          <w:p w14:paraId="3403588E">
            <w:pPr>
              <w:pStyle w:val="37"/>
              <w:spacing w:beforeLines="0" w:after="0"/>
              <w:rPr>
                <w:color w:val="auto"/>
              </w:rPr>
            </w:pPr>
          </w:p>
        </w:tc>
        <w:tc>
          <w:tcPr>
            <w:tcW w:w="1001" w:type="pct"/>
            <w:vAlign w:val="center"/>
          </w:tcPr>
          <w:p w14:paraId="0E342D75">
            <w:pPr>
              <w:pStyle w:val="37"/>
              <w:spacing w:beforeLines="0" w:after="0"/>
              <w:rPr>
                <w:rFonts w:hint="eastAsia" w:eastAsia="宋体"/>
                <w:color w:val="auto"/>
                <w:lang w:val="en-US" w:eastAsia="zh-CN"/>
              </w:rPr>
            </w:pPr>
            <w:r>
              <w:rPr>
                <w:rFonts w:hint="eastAsia"/>
                <w:color w:val="auto"/>
              </w:rPr>
              <w:t>厂界</w:t>
            </w:r>
            <w:r>
              <w:rPr>
                <w:rFonts w:hint="eastAsia"/>
                <w:color w:val="auto"/>
                <w:lang w:val="en-US" w:eastAsia="zh-CN"/>
              </w:rPr>
              <w:t>无组织</w:t>
            </w:r>
          </w:p>
        </w:tc>
        <w:tc>
          <w:tcPr>
            <w:tcW w:w="2157" w:type="pct"/>
            <w:vAlign w:val="center"/>
          </w:tcPr>
          <w:p w14:paraId="54305A48">
            <w:pPr>
              <w:pStyle w:val="37"/>
              <w:spacing w:beforeLines="0" w:after="0"/>
              <w:rPr>
                <w:rFonts w:hint="default"/>
                <w:color w:val="auto"/>
                <w:lang w:val="en-US"/>
              </w:rPr>
            </w:pP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、颗粒物、氨</w:t>
            </w:r>
          </w:p>
        </w:tc>
        <w:tc>
          <w:tcPr>
            <w:tcW w:w="1118" w:type="pct"/>
            <w:vAlign w:val="center"/>
          </w:tcPr>
          <w:p w14:paraId="4AA4CF8A">
            <w:pPr>
              <w:pStyle w:val="37"/>
              <w:spacing w:beforeLines="0" w:after="0"/>
              <w:rPr>
                <w:rFonts w:hint="default" w:eastAsia="宋体"/>
                <w:color w:val="auto"/>
                <w:lang w:val="en-US" w:eastAsia="zh-CN"/>
              </w:rPr>
            </w:pPr>
            <w:r>
              <w:rPr>
                <w:rFonts w:hint="eastAsia"/>
                <w:color w:val="auto"/>
                <w:lang w:val="en-US" w:eastAsia="zh-CN"/>
              </w:rPr>
              <w:t>每半年一次</w:t>
            </w:r>
          </w:p>
        </w:tc>
      </w:tr>
      <w:tr w14:paraId="3434B8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3" w:type="pct"/>
            <w:vMerge w:val="restart"/>
            <w:vAlign w:val="center"/>
          </w:tcPr>
          <w:p w14:paraId="05D4CA90">
            <w:pPr>
              <w:pStyle w:val="37"/>
              <w:spacing w:beforeLines="0" w:after="0"/>
              <w:rPr>
                <w:color w:val="auto"/>
              </w:rPr>
            </w:pPr>
            <w:r>
              <w:rPr>
                <w:rFonts w:hint="eastAsia"/>
                <w:color w:val="auto"/>
              </w:rPr>
              <w:t>废水</w:t>
            </w:r>
          </w:p>
        </w:tc>
        <w:tc>
          <w:tcPr>
            <w:tcW w:w="1001" w:type="pct"/>
            <w:vMerge w:val="restart"/>
            <w:vAlign w:val="center"/>
          </w:tcPr>
          <w:p w14:paraId="65D1A06F">
            <w:pPr>
              <w:pStyle w:val="37"/>
              <w:spacing w:beforeLines="0" w:after="0"/>
              <w:rPr>
                <w:color w:val="auto"/>
              </w:rPr>
            </w:pPr>
            <w:r>
              <w:rPr>
                <w:rFonts w:hint="eastAsia"/>
                <w:color w:val="auto"/>
              </w:rPr>
              <w:t>废水总排口</w:t>
            </w:r>
          </w:p>
        </w:tc>
        <w:tc>
          <w:tcPr>
            <w:tcW w:w="2157" w:type="pct"/>
            <w:vAlign w:val="center"/>
          </w:tcPr>
          <w:p w14:paraId="63921F9A">
            <w:pPr>
              <w:pStyle w:val="37"/>
              <w:spacing w:beforeLines="0" w:after="0"/>
              <w:rPr>
                <w:color w:val="auto"/>
              </w:rPr>
            </w:pPr>
            <w:r>
              <w:rPr>
                <w:rFonts w:hint="eastAsia"/>
                <w:color w:val="auto"/>
              </w:rPr>
              <w:t>流量、pH、COD、氨氮、总磷</w:t>
            </w:r>
          </w:p>
        </w:tc>
        <w:tc>
          <w:tcPr>
            <w:tcW w:w="1118" w:type="pct"/>
            <w:vAlign w:val="center"/>
          </w:tcPr>
          <w:p w14:paraId="395C985D">
            <w:pPr>
              <w:pStyle w:val="37"/>
              <w:spacing w:beforeLines="0" w:after="0"/>
              <w:rPr>
                <w:color w:val="auto"/>
              </w:rPr>
            </w:pPr>
            <w:r>
              <w:rPr>
                <w:rFonts w:hint="eastAsia"/>
                <w:color w:val="auto"/>
                <w:lang w:val="en-US" w:eastAsia="zh-CN"/>
              </w:rPr>
              <w:t>自动</w:t>
            </w:r>
            <w:r>
              <w:rPr>
                <w:rFonts w:hint="eastAsia"/>
                <w:color w:val="auto"/>
              </w:rPr>
              <w:t>监测</w:t>
            </w:r>
          </w:p>
        </w:tc>
      </w:tr>
      <w:tr w14:paraId="157274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3" w:type="pct"/>
            <w:vMerge w:val="continue"/>
            <w:vAlign w:val="center"/>
          </w:tcPr>
          <w:p w14:paraId="01CC1908">
            <w:pPr>
              <w:pStyle w:val="37"/>
              <w:spacing w:beforeLines="0" w:after="0"/>
              <w:rPr>
                <w:color w:val="auto"/>
              </w:rPr>
            </w:pPr>
          </w:p>
        </w:tc>
        <w:tc>
          <w:tcPr>
            <w:tcW w:w="1001" w:type="pct"/>
            <w:vMerge w:val="continue"/>
            <w:vAlign w:val="center"/>
          </w:tcPr>
          <w:p w14:paraId="58CF4781">
            <w:pPr>
              <w:pStyle w:val="37"/>
              <w:spacing w:beforeLines="0" w:after="0"/>
              <w:rPr>
                <w:color w:val="auto"/>
              </w:rPr>
            </w:pPr>
          </w:p>
        </w:tc>
        <w:tc>
          <w:tcPr>
            <w:tcW w:w="2157" w:type="pct"/>
            <w:vAlign w:val="center"/>
          </w:tcPr>
          <w:p w14:paraId="31D00A3D">
            <w:pPr>
              <w:pStyle w:val="37"/>
              <w:spacing w:beforeLines="0" w:after="0"/>
              <w:rPr>
                <w:rFonts w:hint="eastAsia" w:eastAsia="宋体"/>
                <w:color w:val="auto"/>
                <w:lang w:eastAsia="zh-CN"/>
              </w:rPr>
            </w:pPr>
            <w:r>
              <w:rPr>
                <w:rFonts w:hint="eastAsia"/>
                <w:color w:val="auto"/>
              </w:rPr>
              <w:t>SS、</w:t>
            </w:r>
            <w:r>
              <w:rPr>
                <w:rFonts w:hint="eastAsia"/>
                <w:color w:val="auto"/>
                <w:lang w:val="en-US" w:eastAsia="zh-CN"/>
              </w:rPr>
              <w:t>石油类</w:t>
            </w:r>
          </w:p>
        </w:tc>
        <w:tc>
          <w:tcPr>
            <w:tcW w:w="1118" w:type="pct"/>
            <w:vAlign w:val="center"/>
          </w:tcPr>
          <w:p w14:paraId="3F8751D2">
            <w:pPr>
              <w:pStyle w:val="37"/>
              <w:spacing w:beforeLines="0" w:after="0"/>
              <w:rPr>
                <w:color w:val="auto"/>
              </w:rPr>
            </w:pPr>
            <w:r>
              <w:rPr>
                <w:rFonts w:hint="eastAsia"/>
                <w:color w:val="auto"/>
              </w:rPr>
              <w:t>每季度一次</w:t>
            </w:r>
          </w:p>
        </w:tc>
      </w:tr>
      <w:tr w14:paraId="1BC731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3" w:type="pct"/>
            <w:vMerge w:val="continue"/>
            <w:vAlign w:val="center"/>
          </w:tcPr>
          <w:p w14:paraId="5B9137DA">
            <w:pPr>
              <w:pStyle w:val="37"/>
              <w:spacing w:beforeLines="0" w:after="0"/>
              <w:rPr>
                <w:color w:val="auto"/>
              </w:rPr>
            </w:pPr>
          </w:p>
        </w:tc>
        <w:tc>
          <w:tcPr>
            <w:tcW w:w="1001" w:type="pct"/>
            <w:vAlign w:val="center"/>
          </w:tcPr>
          <w:p w14:paraId="50688B0C">
            <w:pPr>
              <w:pStyle w:val="37"/>
              <w:spacing w:beforeLines="0" w:after="0"/>
              <w:rPr>
                <w:color w:val="auto"/>
              </w:rPr>
            </w:pPr>
            <w:r>
              <w:rPr>
                <w:rFonts w:hint="eastAsia"/>
                <w:color w:val="auto"/>
              </w:rPr>
              <w:t>雨水排口</w:t>
            </w:r>
          </w:p>
        </w:tc>
        <w:tc>
          <w:tcPr>
            <w:tcW w:w="2157" w:type="pct"/>
            <w:vAlign w:val="center"/>
          </w:tcPr>
          <w:p w14:paraId="519B2A17">
            <w:pPr>
              <w:pStyle w:val="37"/>
              <w:spacing w:beforeLines="0" w:after="0"/>
              <w:rPr>
                <w:color w:val="auto"/>
              </w:rPr>
            </w:pPr>
            <w:r>
              <w:rPr>
                <w:rFonts w:hint="eastAsia"/>
                <w:color w:val="auto"/>
              </w:rPr>
              <w:t>pH、氨氮、总磷、总氮、SS、石油类</w:t>
            </w:r>
          </w:p>
        </w:tc>
        <w:tc>
          <w:tcPr>
            <w:tcW w:w="1118" w:type="pct"/>
            <w:vAlign w:val="center"/>
          </w:tcPr>
          <w:p w14:paraId="7B1015A5">
            <w:pPr>
              <w:pStyle w:val="37"/>
              <w:spacing w:beforeLines="0" w:after="0"/>
              <w:rPr>
                <w:color w:val="auto"/>
              </w:rPr>
            </w:pPr>
            <w:r>
              <w:rPr>
                <w:rFonts w:hint="eastAsia"/>
                <w:color w:val="auto"/>
              </w:rPr>
              <w:t>排放期间按日监测</w:t>
            </w:r>
          </w:p>
        </w:tc>
      </w:tr>
      <w:tr w14:paraId="104F8C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3" w:type="pct"/>
            <w:vAlign w:val="center"/>
          </w:tcPr>
          <w:p w14:paraId="1DF8DDF6">
            <w:pPr>
              <w:pStyle w:val="37"/>
              <w:spacing w:beforeLines="0" w:after="0"/>
              <w:rPr>
                <w:color w:val="auto"/>
              </w:rPr>
            </w:pPr>
            <w:r>
              <w:rPr>
                <w:rFonts w:hint="eastAsia"/>
                <w:color w:val="auto"/>
              </w:rPr>
              <w:t>噪声</w:t>
            </w:r>
          </w:p>
        </w:tc>
        <w:tc>
          <w:tcPr>
            <w:tcW w:w="1001" w:type="pct"/>
            <w:vAlign w:val="center"/>
          </w:tcPr>
          <w:p w14:paraId="6E7A4A76">
            <w:pPr>
              <w:pStyle w:val="37"/>
              <w:spacing w:beforeLines="0" w:after="0"/>
              <w:rPr>
                <w:color w:val="auto"/>
              </w:rPr>
            </w:pPr>
            <w:r>
              <w:rPr>
                <w:rFonts w:hint="eastAsia"/>
                <w:color w:val="auto"/>
              </w:rPr>
              <w:t>厂界</w:t>
            </w:r>
          </w:p>
        </w:tc>
        <w:tc>
          <w:tcPr>
            <w:tcW w:w="2157" w:type="pct"/>
            <w:vAlign w:val="center"/>
          </w:tcPr>
          <w:p w14:paraId="05E821A2">
            <w:pPr>
              <w:pStyle w:val="37"/>
              <w:spacing w:beforeLines="0" w:after="0"/>
              <w:rPr>
                <w:color w:val="auto"/>
              </w:rPr>
            </w:pPr>
            <w:r>
              <w:rPr>
                <w:rFonts w:hint="eastAsia"/>
                <w:color w:val="auto"/>
              </w:rPr>
              <w:t>等效声级Leq（A）</w:t>
            </w:r>
          </w:p>
        </w:tc>
        <w:tc>
          <w:tcPr>
            <w:tcW w:w="1118" w:type="pct"/>
            <w:vAlign w:val="center"/>
          </w:tcPr>
          <w:p w14:paraId="10E5FADB">
            <w:pPr>
              <w:pStyle w:val="37"/>
              <w:spacing w:beforeLines="0" w:after="0"/>
              <w:rPr>
                <w:color w:val="auto"/>
              </w:rPr>
            </w:pPr>
            <w:r>
              <w:rPr>
                <w:rFonts w:hint="eastAsia"/>
                <w:color w:val="auto"/>
              </w:rPr>
              <w:t>每季度监测一次</w:t>
            </w:r>
          </w:p>
        </w:tc>
      </w:tr>
      <w:tr w14:paraId="31898F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3" w:type="pct"/>
            <w:vAlign w:val="center"/>
          </w:tcPr>
          <w:p w14:paraId="1E89858B">
            <w:pPr>
              <w:pStyle w:val="37"/>
              <w:spacing w:beforeLines="0" w:after="0"/>
              <w:rPr>
                <w:color w:val="auto"/>
              </w:rPr>
            </w:pPr>
            <w:r>
              <w:rPr>
                <w:rFonts w:hint="eastAsia"/>
                <w:color w:val="auto"/>
              </w:rPr>
              <w:t>土壤</w:t>
            </w:r>
          </w:p>
        </w:tc>
        <w:tc>
          <w:tcPr>
            <w:tcW w:w="1001" w:type="pct"/>
            <w:vMerge w:val="restart"/>
            <w:vAlign w:val="center"/>
          </w:tcPr>
          <w:p w14:paraId="084FCE86">
            <w:pPr>
              <w:pStyle w:val="37"/>
              <w:spacing w:beforeLines="0" w:after="0"/>
              <w:rPr>
                <w:color w:val="auto"/>
              </w:rPr>
            </w:pPr>
            <w:r>
              <w:rPr>
                <w:rFonts w:hint="eastAsia"/>
                <w:color w:val="auto"/>
              </w:rPr>
              <w:t>根据土壤地下水年度自行监测方案</w:t>
            </w:r>
          </w:p>
        </w:tc>
        <w:tc>
          <w:tcPr>
            <w:tcW w:w="2157" w:type="pct"/>
            <w:vAlign w:val="center"/>
          </w:tcPr>
          <w:p w14:paraId="5BCAFD7B">
            <w:pPr>
              <w:pStyle w:val="37"/>
              <w:spacing w:beforeLines="0" w:after="0"/>
              <w:rPr>
                <w:color w:val="auto"/>
              </w:rPr>
            </w:pPr>
            <w:r>
              <w:rPr>
                <w:rFonts w:hint="eastAsia"/>
                <w:color w:val="auto"/>
              </w:rPr>
              <w:t>石油烃（C</w:t>
            </w:r>
            <w:r>
              <w:rPr>
                <w:rFonts w:hint="eastAsia"/>
                <w:color w:val="auto"/>
                <w:vertAlign w:val="subscript"/>
              </w:rPr>
              <w:t>10</w:t>
            </w:r>
            <w:r>
              <w:rPr>
                <w:rFonts w:hint="eastAsia"/>
                <w:color w:val="auto"/>
              </w:rPr>
              <w:t>-C</w:t>
            </w:r>
            <w:r>
              <w:rPr>
                <w:rFonts w:hint="eastAsia"/>
                <w:color w:val="auto"/>
                <w:vertAlign w:val="subscript"/>
              </w:rPr>
              <w:t>40</w:t>
            </w:r>
            <w:r>
              <w:rPr>
                <w:rFonts w:hint="eastAsia"/>
                <w:color w:val="auto"/>
              </w:rPr>
              <w:t>）</w:t>
            </w:r>
          </w:p>
        </w:tc>
        <w:tc>
          <w:tcPr>
            <w:tcW w:w="1118" w:type="pct"/>
            <w:vAlign w:val="center"/>
          </w:tcPr>
          <w:p w14:paraId="69104329">
            <w:pPr>
              <w:pStyle w:val="37"/>
              <w:spacing w:beforeLines="0" w:after="0"/>
              <w:rPr>
                <w:color w:val="auto"/>
              </w:rPr>
            </w:pPr>
            <w:r>
              <w:rPr>
                <w:rFonts w:hint="eastAsia"/>
                <w:color w:val="auto"/>
              </w:rPr>
              <w:t>一次/年</w:t>
            </w:r>
          </w:p>
        </w:tc>
      </w:tr>
      <w:tr w14:paraId="34D6B1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3" w:type="pct"/>
            <w:vAlign w:val="center"/>
          </w:tcPr>
          <w:p w14:paraId="61DECC2D">
            <w:pPr>
              <w:pStyle w:val="37"/>
              <w:spacing w:beforeLines="0" w:after="0"/>
              <w:rPr>
                <w:color w:val="auto"/>
              </w:rPr>
            </w:pPr>
            <w:r>
              <w:rPr>
                <w:rFonts w:hint="eastAsia"/>
                <w:color w:val="auto"/>
              </w:rPr>
              <w:t>地下水</w:t>
            </w:r>
          </w:p>
        </w:tc>
        <w:tc>
          <w:tcPr>
            <w:tcW w:w="1001" w:type="pct"/>
            <w:vMerge w:val="continue"/>
            <w:vAlign w:val="center"/>
          </w:tcPr>
          <w:p w14:paraId="5C93C10A">
            <w:pPr>
              <w:pStyle w:val="37"/>
              <w:spacing w:beforeLines="0" w:after="0"/>
              <w:rPr>
                <w:color w:val="auto"/>
              </w:rPr>
            </w:pPr>
          </w:p>
        </w:tc>
        <w:tc>
          <w:tcPr>
            <w:tcW w:w="2157" w:type="pct"/>
            <w:vAlign w:val="center"/>
          </w:tcPr>
          <w:p w14:paraId="33A5E681">
            <w:pPr>
              <w:pStyle w:val="37"/>
              <w:spacing w:beforeLines="0" w:after="0"/>
              <w:rPr>
                <w:color w:val="auto"/>
              </w:rPr>
            </w:pPr>
            <w:r>
              <w:rPr>
                <w:rFonts w:hint="eastAsia"/>
                <w:color w:val="auto"/>
              </w:rPr>
              <w:t>石油烃（C</w:t>
            </w:r>
            <w:r>
              <w:rPr>
                <w:rFonts w:hint="eastAsia"/>
                <w:color w:val="auto"/>
                <w:vertAlign w:val="subscript"/>
              </w:rPr>
              <w:t>10</w:t>
            </w:r>
            <w:r>
              <w:rPr>
                <w:rFonts w:hint="eastAsia"/>
                <w:color w:val="auto"/>
              </w:rPr>
              <w:t>-C</w:t>
            </w:r>
            <w:r>
              <w:rPr>
                <w:rFonts w:hint="eastAsia"/>
                <w:color w:val="auto"/>
                <w:vertAlign w:val="subscript"/>
              </w:rPr>
              <w:t>40</w:t>
            </w:r>
            <w:r>
              <w:rPr>
                <w:rFonts w:hint="eastAsia"/>
                <w:color w:val="auto"/>
              </w:rPr>
              <w:t>）</w:t>
            </w:r>
          </w:p>
        </w:tc>
        <w:tc>
          <w:tcPr>
            <w:tcW w:w="1118" w:type="pct"/>
            <w:vAlign w:val="center"/>
          </w:tcPr>
          <w:p w14:paraId="38F83540">
            <w:pPr>
              <w:pStyle w:val="37"/>
              <w:spacing w:beforeLines="0" w:after="0"/>
              <w:rPr>
                <w:color w:val="auto"/>
              </w:rPr>
            </w:pPr>
            <w:r>
              <w:rPr>
                <w:rFonts w:hint="eastAsia"/>
                <w:color w:val="auto"/>
              </w:rPr>
              <w:t>一次/年</w:t>
            </w:r>
          </w:p>
        </w:tc>
      </w:tr>
    </w:tbl>
    <w:p w14:paraId="074B2D85">
      <w:pPr>
        <w:pStyle w:val="49"/>
        <w:rPr>
          <w:color w:val="auto"/>
        </w:rPr>
      </w:pPr>
    </w:p>
    <w:p w14:paraId="208245AA">
      <w:pPr>
        <w:pStyle w:val="49"/>
        <w:rPr>
          <w:color w:val="auto"/>
        </w:rPr>
      </w:pPr>
      <w:r>
        <w:rPr>
          <w:color w:val="auto"/>
        </w:rPr>
        <w:t>表9.4-</w:t>
      </w:r>
      <w:r>
        <w:rPr>
          <w:rFonts w:hint="eastAsia"/>
          <w:color w:val="auto"/>
        </w:rPr>
        <w:t>2</w:t>
      </w:r>
      <w:r>
        <w:rPr>
          <w:color w:val="auto"/>
        </w:rPr>
        <w:t xml:space="preserve"> </w:t>
      </w:r>
      <w:r>
        <w:rPr>
          <w:rFonts w:hint="eastAsia"/>
          <w:color w:val="auto"/>
        </w:rPr>
        <w:t xml:space="preserve"> 拟建建成后全厂</w:t>
      </w:r>
      <w:r>
        <w:rPr>
          <w:color w:val="auto"/>
        </w:rPr>
        <w:t>监测</w:t>
      </w:r>
      <w:r>
        <w:rPr>
          <w:rFonts w:hint="eastAsia"/>
          <w:color w:val="auto"/>
        </w:rPr>
        <w:t>计划</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400"/>
        <w:gridCol w:w="1941"/>
        <w:gridCol w:w="4311"/>
        <w:gridCol w:w="2041"/>
      </w:tblGrid>
      <w:tr w14:paraId="3912DF0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Align w:val="center"/>
          </w:tcPr>
          <w:p w14:paraId="47C301E3">
            <w:pPr>
              <w:adjustRightInd/>
              <w:snapToGrid/>
              <w:spacing w:line="240" w:lineRule="auto"/>
              <w:ind w:firstLine="0" w:firstLineChars="0"/>
              <w:jc w:val="center"/>
              <w:rPr>
                <w:b/>
                <w:bCs/>
                <w:color w:val="auto"/>
                <w:sz w:val="21"/>
                <w:szCs w:val="21"/>
              </w:rPr>
            </w:pPr>
            <w:r>
              <w:rPr>
                <w:rFonts w:hint="eastAsia"/>
                <w:b/>
                <w:bCs/>
                <w:color w:val="auto"/>
                <w:sz w:val="21"/>
                <w:szCs w:val="21"/>
              </w:rPr>
              <w:t>类别</w:t>
            </w:r>
          </w:p>
        </w:tc>
        <w:tc>
          <w:tcPr>
            <w:tcW w:w="1001" w:type="pct"/>
            <w:vAlign w:val="center"/>
          </w:tcPr>
          <w:p w14:paraId="048FC994">
            <w:pPr>
              <w:adjustRightInd/>
              <w:snapToGrid/>
              <w:spacing w:line="240" w:lineRule="auto"/>
              <w:ind w:firstLine="0" w:firstLineChars="0"/>
              <w:jc w:val="center"/>
              <w:rPr>
                <w:b/>
                <w:bCs/>
                <w:color w:val="auto"/>
                <w:sz w:val="21"/>
                <w:szCs w:val="21"/>
              </w:rPr>
            </w:pPr>
            <w:r>
              <w:rPr>
                <w:rFonts w:hint="eastAsia"/>
                <w:b/>
                <w:bCs/>
                <w:color w:val="auto"/>
                <w:sz w:val="21"/>
                <w:szCs w:val="21"/>
              </w:rPr>
              <w:t>监测点位</w:t>
            </w:r>
          </w:p>
        </w:tc>
        <w:tc>
          <w:tcPr>
            <w:tcW w:w="2223" w:type="pct"/>
            <w:vAlign w:val="center"/>
          </w:tcPr>
          <w:p w14:paraId="08728227">
            <w:pPr>
              <w:adjustRightInd/>
              <w:snapToGrid/>
              <w:spacing w:line="240" w:lineRule="auto"/>
              <w:ind w:firstLine="0" w:firstLineChars="0"/>
              <w:jc w:val="center"/>
              <w:rPr>
                <w:b/>
                <w:bCs/>
                <w:color w:val="auto"/>
                <w:sz w:val="21"/>
                <w:szCs w:val="21"/>
              </w:rPr>
            </w:pPr>
            <w:r>
              <w:rPr>
                <w:rFonts w:hint="eastAsia"/>
                <w:b/>
                <w:bCs/>
                <w:color w:val="auto"/>
                <w:sz w:val="21"/>
                <w:szCs w:val="21"/>
              </w:rPr>
              <w:t>监测项目</w:t>
            </w:r>
          </w:p>
        </w:tc>
        <w:tc>
          <w:tcPr>
            <w:tcW w:w="1052" w:type="pct"/>
            <w:vAlign w:val="center"/>
          </w:tcPr>
          <w:p w14:paraId="25EAA5DC">
            <w:pPr>
              <w:adjustRightInd/>
              <w:snapToGrid/>
              <w:spacing w:line="240" w:lineRule="auto"/>
              <w:ind w:firstLine="0" w:firstLineChars="0"/>
              <w:jc w:val="center"/>
              <w:rPr>
                <w:b/>
                <w:bCs/>
                <w:color w:val="auto"/>
                <w:sz w:val="21"/>
                <w:szCs w:val="21"/>
              </w:rPr>
            </w:pPr>
            <w:r>
              <w:rPr>
                <w:rFonts w:hint="eastAsia"/>
                <w:b/>
                <w:bCs/>
                <w:color w:val="auto"/>
                <w:sz w:val="21"/>
                <w:szCs w:val="21"/>
              </w:rPr>
              <w:t>监测频次</w:t>
            </w:r>
          </w:p>
        </w:tc>
      </w:tr>
      <w:tr w14:paraId="1621EC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restart"/>
            <w:vAlign w:val="center"/>
          </w:tcPr>
          <w:p w14:paraId="2DC50E7F">
            <w:pPr>
              <w:adjustRightInd/>
              <w:snapToGrid/>
              <w:spacing w:line="240" w:lineRule="auto"/>
              <w:ind w:firstLine="0" w:firstLineChars="0"/>
              <w:jc w:val="center"/>
              <w:rPr>
                <w:bCs/>
                <w:color w:val="auto"/>
                <w:sz w:val="21"/>
                <w:szCs w:val="21"/>
              </w:rPr>
            </w:pPr>
            <w:r>
              <w:rPr>
                <w:rFonts w:hint="eastAsia"/>
                <w:bCs/>
                <w:color w:val="auto"/>
                <w:sz w:val="21"/>
                <w:szCs w:val="21"/>
              </w:rPr>
              <w:t>废气</w:t>
            </w:r>
          </w:p>
        </w:tc>
        <w:tc>
          <w:tcPr>
            <w:tcW w:w="1001" w:type="pct"/>
            <w:vMerge w:val="restart"/>
            <w:vAlign w:val="center"/>
          </w:tcPr>
          <w:p w14:paraId="3E89DC69">
            <w:pPr>
              <w:adjustRightInd/>
              <w:snapToGrid/>
              <w:spacing w:line="240" w:lineRule="auto"/>
              <w:ind w:firstLine="0" w:firstLineChars="0"/>
              <w:jc w:val="center"/>
              <w:rPr>
                <w:bCs/>
                <w:color w:val="auto"/>
                <w:sz w:val="21"/>
                <w:szCs w:val="21"/>
              </w:rPr>
            </w:pPr>
            <w:r>
              <w:rPr>
                <w:rFonts w:hint="eastAsia"/>
                <w:bCs/>
                <w:color w:val="auto"/>
                <w:sz w:val="21"/>
                <w:szCs w:val="21"/>
              </w:rPr>
              <w:t>DA001</w:t>
            </w:r>
          </w:p>
        </w:tc>
        <w:tc>
          <w:tcPr>
            <w:tcW w:w="2223" w:type="pct"/>
            <w:vAlign w:val="center"/>
          </w:tcPr>
          <w:p w14:paraId="74F1B836">
            <w:pPr>
              <w:pStyle w:val="37"/>
              <w:spacing w:beforeLines="0" w:after="0"/>
              <w:rPr>
                <w:rFonts w:hint="eastAsia"/>
                <w:color w:val="auto"/>
                <w:lang w:val="en-US" w:eastAsia="zh-CN"/>
              </w:rPr>
            </w:pP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x</w:t>
            </w:r>
            <w:r>
              <w:rPr>
                <w:rFonts w:hint="eastAsia"/>
                <w:color w:val="auto"/>
                <w:lang w:val="en-US" w:eastAsia="zh-CN"/>
              </w:rPr>
              <w:t>、氨</w:t>
            </w:r>
          </w:p>
        </w:tc>
        <w:tc>
          <w:tcPr>
            <w:tcW w:w="1052" w:type="pct"/>
            <w:vAlign w:val="center"/>
          </w:tcPr>
          <w:p w14:paraId="11AA24C1">
            <w:pPr>
              <w:pStyle w:val="37"/>
              <w:spacing w:beforeLines="0" w:after="0"/>
              <w:rPr>
                <w:rFonts w:hint="eastAsia"/>
                <w:color w:val="auto"/>
                <w:lang w:val="en-US" w:eastAsia="zh-CN"/>
              </w:rPr>
            </w:pPr>
            <w:r>
              <w:rPr>
                <w:rFonts w:hint="eastAsia"/>
                <w:color w:val="auto"/>
                <w:lang w:val="en-US" w:eastAsia="zh-CN"/>
              </w:rPr>
              <w:t>每季度一次</w:t>
            </w:r>
          </w:p>
        </w:tc>
      </w:tr>
      <w:tr w14:paraId="14DDFD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65CF7960">
            <w:pPr>
              <w:adjustRightInd/>
              <w:snapToGrid/>
              <w:spacing w:line="240" w:lineRule="auto"/>
              <w:ind w:firstLine="0" w:firstLineChars="0"/>
              <w:jc w:val="center"/>
              <w:rPr>
                <w:bCs/>
                <w:color w:val="auto"/>
                <w:sz w:val="21"/>
                <w:szCs w:val="21"/>
              </w:rPr>
            </w:pPr>
          </w:p>
        </w:tc>
        <w:tc>
          <w:tcPr>
            <w:tcW w:w="1001" w:type="pct"/>
            <w:vMerge w:val="continue"/>
            <w:vAlign w:val="center"/>
          </w:tcPr>
          <w:p w14:paraId="5D0BF178">
            <w:pPr>
              <w:adjustRightInd/>
              <w:snapToGrid/>
              <w:spacing w:line="240" w:lineRule="auto"/>
              <w:ind w:firstLine="0" w:firstLineChars="0"/>
              <w:jc w:val="center"/>
              <w:rPr>
                <w:bCs/>
                <w:color w:val="auto"/>
                <w:sz w:val="21"/>
                <w:szCs w:val="21"/>
              </w:rPr>
            </w:pPr>
          </w:p>
        </w:tc>
        <w:tc>
          <w:tcPr>
            <w:tcW w:w="2223" w:type="pct"/>
            <w:vAlign w:val="center"/>
          </w:tcPr>
          <w:p w14:paraId="37780122">
            <w:pPr>
              <w:pStyle w:val="37"/>
              <w:spacing w:beforeLines="0" w:after="0"/>
              <w:rPr>
                <w:rFonts w:hint="eastAsia"/>
                <w:color w:val="auto"/>
                <w:lang w:val="en-US" w:eastAsia="zh-CN"/>
              </w:rPr>
            </w:pPr>
            <w:r>
              <w:rPr>
                <w:rFonts w:hint="eastAsia"/>
                <w:color w:val="auto"/>
                <w:lang w:val="en-US" w:eastAsia="zh-CN"/>
              </w:rPr>
              <w:t>非甲烷总烃</w:t>
            </w:r>
          </w:p>
        </w:tc>
        <w:tc>
          <w:tcPr>
            <w:tcW w:w="1052" w:type="pct"/>
            <w:vAlign w:val="center"/>
          </w:tcPr>
          <w:p w14:paraId="47A931EE">
            <w:pPr>
              <w:pStyle w:val="37"/>
              <w:spacing w:beforeLines="0" w:after="0"/>
              <w:rPr>
                <w:rFonts w:hint="eastAsia"/>
                <w:color w:val="auto"/>
                <w:lang w:val="en-US" w:eastAsia="zh-CN"/>
              </w:rPr>
            </w:pPr>
            <w:r>
              <w:rPr>
                <w:rFonts w:hint="eastAsia"/>
                <w:color w:val="auto"/>
                <w:lang w:val="en-US" w:eastAsia="zh-CN"/>
              </w:rPr>
              <w:t>自动监测</w:t>
            </w:r>
          </w:p>
        </w:tc>
      </w:tr>
      <w:tr w14:paraId="5C3984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05532BCE">
            <w:pPr>
              <w:adjustRightInd/>
              <w:snapToGrid/>
              <w:spacing w:line="240" w:lineRule="auto"/>
              <w:ind w:firstLine="0" w:firstLineChars="0"/>
              <w:jc w:val="center"/>
              <w:rPr>
                <w:bCs/>
                <w:color w:val="auto"/>
                <w:sz w:val="21"/>
                <w:szCs w:val="21"/>
              </w:rPr>
            </w:pPr>
          </w:p>
        </w:tc>
        <w:tc>
          <w:tcPr>
            <w:tcW w:w="1001" w:type="pct"/>
            <w:vAlign w:val="center"/>
          </w:tcPr>
          <w:p w14:paraId="72D7AB4B">
            <w:pPr>
              <w:adjustRightInd/>
              <w:snapToGrid/>
              <w:spacing w:line="240" w:lineRule="auto"/>
              <w:ind w:firstLine="0" w:firstLineChars="0"/>
              <w:jc w:val="center"/>
              <w:rPr>
                <w:rFonts w:hint="default"/>
                <w:bCs/>
                <w:color w:val="auto"/>
                <w:sz w:val="21"/>
                <w:szCs w:val="21"/>
                <w:lang w:val="en-US" w:eastAsia="zh-CN"/>
              </w:rPr>
            </w:pPr>
            <w:r>
              <w:rPr>
                <w:rFonts w:hint="eastAsia"/>
                <w:bCs/>
                <w:color w:val="auto"/>
                <w:sz w:val="21"/>
                <w:szCs w:val="21"/>
                <w:lang w:val="en-US" w:eastAsia="zh-CN"/>
              </w:rPr>
              <w:t>DA002</w:t>
            </w:r>
          </w:p>
        </w:tc>
        <w:tc>
          <w:tcPr>
            <w:tcW w:w="2223" w:type="pct"/>
            <w:vAlign w:val="center"/>
          </w:tcPr>
          <w:p w14:paraId="7E83B7AD">
            <w:pPr>
              <w:adjustRightInd/>
              <w:snapToGrid/>
              <w:spacing w:line="240" w:lineRule="auto"/>
              <w:ind w:firstLine="0" w:firstLineChars="0"/>
              <w:jc w:val="center"/>
              <w:rPr>
                <w:rFonts w:hint="default"/>
                <w:bCs/>
                <w:color w:val="auto"/>
                <w:sz w:val="21"/>
                <w:szCs w:val="21"/>
                <w:lang w:val="en-US" w:eastAsia="zh-CN"/>
              </w:rPr>
            </w:pPr>
            <w:r>
              <w:rPr>
                <w:rFonts w:hint="eastAsia"/>
                <w:bCs/>
                <w:color w:val="auto"/>
                <w:sz w:val="21"/>
                <w:szCs w:val="21"/>
                <w:lang w:val="en-US" w:eastAsia="zh-CN"/>
              </w:rPr>
              <w:t>SO</w:t>
            </w:r>
            <w:r>
              <w:rPr>
                <w:rFonts w:hint="eastAsia"/>
                <w:bCs/>
                <w:color w:val="auto"/>
                <w:sz w:val="21"/>
                <w:szCs w:val="21"/>
                <w:vertAlign w:val="subscript"/>
                <w:lang w:val="en-US" w:eastAsia="zh-CN"/>
              </w:rPr>
              <w:t>2</w:t>
            </w:r>
            <w:r>
              <w:rPr>
                <w:rFonts w:hint="eastAsia"/>
                <w:bCs/>
                <w:color w:val="auto"/>
                <w:sz w:val="21"/>
                <w:szCs w:val="21"/>
                <w:lang w:val="en-US" w:eastAsia="zh-CN"/>
              </w:rPr>
              <w:t>、氨、颗粒物</w:t>
            </w:r>
          </w:p>
        </w:tc>
        <w:tc>
          <w:tcPr>
            <w:tcW w:w="1052" w:type="pct"/>
            <w:vAlign w:val="center"/>
          </w:tcPr>
          <w:p w14:paraId="7D21F167">
            <w:pPr>
              <w:adjustRightInd/>
              <w:snapToGrid/>
              <w:spacing w:line="240" w:lineRule="auto"/>
              <w:ind w:firstLine="0" w:firstLineChars="0"/>
              <w:jc w:val="center"/>
              <w:rPr>
                <w:rFonts w:hint="eastAsia"/>
                <w:bCs/>
                <w:color w:val="auto"/>
                <w:sz w:val="21"/>
                <w:szCs w:val="21"/>
                <w:lang w:val="en-US" w:eastAsia="zh-CN"/>
              </w:rPr>
            </w:pPr>
            <w:r>
              <w:rPr>
                <w:rFonts w:hint="eastAsia"/>
                <w:bCs/>
                <w:color w:val="auto"/>
                <w:sz w:val="21"/>
                <w:szCs w:val="21"/>
                <w:lang w:val="en-US" w:eastAsia="zh-CN"/>
              </w:rPr>
              <w:t>每季度一次</w:t>
            </w:r>
          </w:p>
        </w:tc>
      </w:tr>
      <w:tr w14:paraId="7F45FD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6BA7D133">
            <w:pPr>
              <w:adjustRightInd/>
              <w:snapToGrid/>
              <w:spacing w:line="240" w:lineRule="auto"/>
              <w:ind w:firstLine="0" w:firstLineChars="0"/>
              <w:jc w:val="center"/>
              <w:rPr>
                <w:bCs/>
                <w:color w:val="auto"/>
                <w:sz w:val="21"/>
                <w:szCs w:val="21"/>
              </w:rPr>
            </w:pPr>
          </w:p>
        </w:tc>
        <w:tc>
          <w:tcPr>
            <w:tcW w:w="1001" w:type="pct"/>
            <w:vAlign w:val="center"/>
          </w:tcPr>
          <w:p w14:paraId="39CE3C04">
            <w:pPr>
              <w:adjustRightInd/>
              <w:snapToGrid/>
              <w:spacing w:line="240" w:lineRule="auto"/>
              <w:ind w:firstLine="0" w:firstLineChars="0"/>
              <w:jc w:val="center"/>
              <w:rPr>
                <w:rFonts w:hint="eastAsia"/>
                <w:bCs/>
                <w:color w:val="auto"/>
                <w:sz w:val="21"/>
                <w:szCs w:val="21"/>
              </w:rPr>
            </w:pPr>
            <w:r>
              <w:rPr>
                <w:rFonts w:hint="eastAsia"/>
                <w:bCs/>
                <w:color w:val="auto"/>
                <w:sz w:val="21"/>
                <w:szCs w:val="21"/>
              </w:rPr>
              <w:t>DA003</w:t>
            </w:r>
          </w:p>
        </w:tc>
        <w:tc>
          <w:tcPr>
            <w:tcW w:w="2223" w:type="pct"/>
            <w:vAlign w:val="center"/>
          </w:tcPr>
          <w:p w14:paraId="770FB96E">
            <w:pPr>
              <w:adjustRightInd/>
              <w:snapToGrid/>
              <w:spacing w:line="240" w:lineRule="auto"/>
              <w:ind w:firstLine="0" w:firstLineChars="0"/>
              <w:jc w:val="center"/>
              <w:rPr>
                <w:rFonts w:hint="eastAsia"/>
                <w:bCs/>
                <w:color w:val="auto"/>
                <w:sz w:val="21"/>
                <w:szCs w:val="21"/>
              </w:rPr>
            </w:pP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x</w:t>
            </w:r>
            <w:r>
              <w:rPr>
                <w:rFonts w:hint="eastAsia"/>
                <w:bCs/>
                <w:color w:val="auto"/>
                <w:sz w:val="21"/>
                <w:szCs w:val="21"/>
              </w:rPr>
              <w:t>、氨、颗粒物</w:t>
            </w:r>
          </w:p>
        </w:tc>
        <w:tc>
          <w:tcPr>
            <w:tcW w:w="1052" w:type="pct"/>
            <w:vAlign w:val="center"/>
          </w:tcPr>
          <w:p w14:paraId="092CE05B">
            <w:pPr>
              <w:adjustRightInd/>
              <w:snapToGrid/>
              <w:spacing w:line="240" w:lineRule="auto"/>
              <w:ind w:firstLine="0" w:firstLineChars="0"/>
              <w:jc w:val="center"/>
              <w:rPr>
                <w:rFonts w:hint="eastAsia"/>
                <w:bCs/>
                <w:color w:val="auto"/>
                <w:sz w:val="21"/>
                <w:szCs w:val="21"/>
              </w:rPr>
            </w:pPr>
            <w:r>
              <w:rPr>
                <w:rFonts w:hint="eastAsia"/>
                <w:bCs/>
                <w:color w:val="auto"/>
                <w:sz w:val="21"/>
                <w:szCs w:val="21"/>
              </w:rPr>
              <w:t>每半年一次</w:t>
            </w:r>
          </w:p>
        </w:tc>
      </w:tr>
      <w:tr w14:paraId="7E9CE7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454D413E">
            <w:pPr>
              <w:adjustRightInd/>
              <w:snapToGrid/>
              <w:spacing w:line="240" w:lineRule="auto"/>
              <w:ind w:firstLine="0" w:firstLineChars="0"/>
              <w:jc w:val="center"/>
              <w:rPr>
                <w:bCs/>
                <w:color w:val="auto"/>
                <w:sz w:val="21"/>
                <w:szCs w:val="21"/>
              </w:rPr>
            </w:pPr>
          </w:p>
        </w:tc>
        <w:tc>
          <w:tcPr>
            <w:tcW w:w="1001" w:type="pct"/>
            <w:vAlign w:val="center"/>
          </w:tcPr>
          <w:p w14:paraId="78EACE1D">
            <w:pPr>
              <w:adjustRightInd/>
              <w:snapToGrid/>
              <w:spacing w:line="240" w:lineRule="auto"/>
              <w:ind w:firstLine="0" w:firstLineChars="0"/>
              <w:jc w:val="center"/>
              <w:rPr>
                <w:rFonts w:hint="eastAsia"/>
                <w:bCs/>
                <w:color w:val="auto"/>
                <w:sz w:val="21"/>
                <w:szCs w:val="21"/>
              </w:rPr>
            </w:pPr>
            <w:r>
              <w:rPr>
                <w:rFonts w:hint="eastAsia"/>
                <w:bCs/>
                <w:color w:val="auto"/>
                <w:sz w:val="21"/>
                <w:szCs w:val="21"/>
              </w:rPr>
              <w:t>DA004</w:t>
            </w:r>
          </w:p>
        </w:tc>
        <w:tc>
          <w:tcPr>
            <w:tcW w:w="2223" w:type="pct"/>
            <w:vAlign w:val="center"/>
          </w:tcPr>
          <w:p w14:paraId="52C10625">
            <w:pPr>
              <w:adjustRightInd/>
              <w:snapToGrid/>
              <w:spacing w:line="240" w:lineRule="auto"/>
              <w:ind w:firstLine="0" w:firstLineChars="0"/>
              <w:jc w:val="center"/>
              <w:rPr>
                <w:rFonts w:hint="eastAsia"/>
                <w:bCs/>
                <w:color w:val="auto"/>
                <w:sz w:val="21"/>
                <w:szCs w:val="21"/>
              </w:rPr>
            </w:pP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x</w:t>
            </w:r>
            <w:r>
              <w:rPr>
                <w:rFonts w:hint="eastAsia"/>
                <w:bCs/>
                <w:color w:val="auto"/>
                <w:sz w:val="21"/>
                <w:szCs w:val="21"/>
              </w:rPr>
              <w:t>、氨、颗粒物</w:t>
            </w:r>
          </w:p>
        </w:tc>
        <w:tc>
          <w:tcPr>
            <w:tcW w:w="1052" w:type="pct"/>
            <w:vAlign w:val="center"/>
          </w:tcPr>
          <w:p w14:paraId="4204D599">
            <w:pPr>
              <w:adjustRightInd/>
              <w:snapToGrid/>
              <w:spacing w:line="240" w:lineRule="auto"/>
              <w:ind w:firstLine="0" w:firstLineChars="0"/>
              <w:jc w:val="center"/>
              <w:rPr>
                <w:rFonts w:hint="eastAsia"/>
                <w:bCs/>
                <w:color w:val="auto"/>
                <w:sz w:val="21"/>
                <w:szCs w:val="21"/>
              </w:rPr>
            </w:pPr>
            <w:r>
              <w:rPr>
                <w:rFonts w:hint="eastAsia"/>
                <w:bCs/>
                <w:color w:val="auto"/>
                <w:sz w:val="21"/>
                <w:szCs w:val="21"/>
              </w:rPr>
              <w:t>每半年一次</w:t>
            </w:r>
          </w:p>
        </w:tc>
      </w:tr>
      <w:tr w14:paraId="1D8771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641E214F">
            <w:pPr>
              <w:adjustRightInd/>
              <w:snapToGrid/>
              <w:spacing w:line="240" w:lineRule="auto"/>
              <w:ind w:firstLine="0" w:firstLineChars="0"/>
              <w:jc w:val="center"/>
              <w:rPr>
                <w:bCs/>
                <w:color w:val="auto"/>
                <w:sz w:val="21"/>
                <w:szCs w:val="21"/>
              </w:rPr>
            </w:pPr>
          </w:p>
        </w:tc>
        <w:tc>
          <w:tcPr>
            <w:tcW w:w="1001" w:type="pct"/>
            <w:vAlign w:val="center"/>
          </w:tcPr>
          <w:p w14:paraId="585CC295">
            <w:pPr>
              <w:adjustRightInd/>
              <w:snapToGrid/>
              <w:spacing w:line="240" w:lineRule="auto"/>
              <w:ind w:firstLine="0" w:firstLineChars="0"/>
              <w:jc w:val="center"/>
              <w:rPr>
                <w:rFonts w:hint="eastAsia"/>
                <w:bCs/>
                <w:color w:val="auto"/>
                <w:sz w:val="21"/>
                <w:szCs w:val="21"/>
              </w:rPr>
            </w:pPr>
            <w:r>
              <w:rPr>
                <w:rFonts w:hint="eastAsia"/>
                <w:bCs/>
                <w:color w:val="auto"/>
                <w:sz w:val="21"/>
                <w:szCs w:val="21"/>
              </w:rPr>
              <w:t>DA005</w:t>
            </w:r>
          </w:p>
        </w:tc>
        <w:tc>
          <w:tcPr>
            <w:tcW w:w="2223" w:type="pct"/>
            <w:vAlign w:val="center"/>
          </w:tcPr>
          <w:p w14:paraId="09B16E96">
            <w:pPr>
              <w:adjustRightInd/>
              <w:snapToGrid/>
              <w:spacing w:line="240" w:lineRule="auto"/>
              <w:ind w:firstLine="0" w:firstLineChars="0"/>
              <w:jc w:val="center"/>
              <w:rPr>
                <w:rFonts w:hint="eastAsia"/>
                <w:bCs/>
                <w:color w:val="auto"/>
                <w:sz w:val="21"/>
                <w:szCs w:val="21"/>
              </w:rPr>
            </w:pPr>
            <w:r>
              <w:rPr>
                <w:rFonts w:hint="eastAsia"/>
                <w:bCs/>
                <w:color w:val="auto"/>
                <w:sz w:val="21"/>
                <w:szCs w:val="21"/>
              </w:rPr>
              <w:t>非甲烷总烃</w:t>
            </w:r>
          </w:p>
        </w:tc>
        <w:tc>
          <w:tcPr>
            <w:tcW w:w="1052" w:type="pct"/>
            <w:vAlign w:val="center"/>
          </w:tcPr>
          <w:p w14:paraId="6B96DA19">
            <w:pPr>
              <w:adjustRightInd/>
              <w:snapToGrid/>
              <w:spacing w:line="240" w:lineRule="auto"/>
              <w:ind w:firstLine="0" w:firstLineChars="0"/>
              <w:jc w:val="center"/>
              <w:rPr>
                <w:rFonts w:hint="eastAsia"/>
                <w:bCs/>
                <w:color w:val="auto"/>
                <w:sz w:val="21"/>
                <w:szCs w:val="21"/>
              </w:rPr>
            </w:pPr>
            <w:r>
              <w:rPr>
                <w:rFonts w:hint="eastAsia"/>
                <w:bCs/>
                <w:color w:val="auto"/>
                <w:sz w:val="21"/>
                <w:szCs w:val="21"/>
              </w:rPr>
              <w:t>每月一次</w:t>
            </w:r>
          </w:p>
        </w:tc>
      </w:tr>
      <w:tr w14:paraId="1C6AD3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02DCBBE6">
            <w:pPr>
              <w:adjustRightInd/>
              <w:snapToGrid/>
              <w:spacing w:line="240" w:lineRule="auto"/>
              <w:ind w:firstLine="0" w:firstLineChars="0"/>
              <w:jc w:val="center"/>
              <w:rPr>
                <w:bCs/>
                <w:color w:val="auto"/>
                <w:sz w:val="21"/>
                <w:szCs w:val="21"/>
              </w:rPr>
            </w:pPr>
          </w:p>
        </w:tc>
        <w:tc>
          <w:tcPr>
            <w:tcW w:w="1001" w:type="pct"/>
            <w:vMerge w:val="restart"/>
            <w:vAlign w:val="center"/>
          </w:tcPr>
          <w:p w14:paraId="6E272C92">
            <w:pPr>
              <w:adjustRightInd/>
              <w:snapToGrid/>
              <w:spacing w:line="240" w:lineRule="auto"/>
              <w:ind w:firstLine="0" w:firstLineChars="0"/>
              <w:jc w:val="center"/>
              <w:rPr>
                <w:rFonts w:hint="eastAsia"/>
                <w:bCs/>
                <w:color w:val="auto"/>
                <w:sz w:val="21"/>
                <w:szCs w:val="21"/>
              </w:rPr>
            </w:pPr>
            <w:r>
              <w:rPr>
                <w:rFonts w:hint="eastAsia"/>
                <w:bCs/>
                <w:color w:val="auto"/>
                <w:sz w:val="21"/>
                <w:szCs w:val="21"/>
              </w:rPr>
              <w:t>DA006</w:t>
            </w:r>
          </w:p>
        </w:tc>
        <w:tc>
          <w:tcPr>
            <w:tcW w:w="2223" w:type="pct"/>
            <w:vAlign w:val="center"/>
          </w:tcPr>
          <w:p w14:paraId="1B6EFD2E">
            <w:pPr>
              <w:adjustRightInd/>
              <w:snapToGrid/>
              <w:spacing w:line="240" w:lineRule="auto"/>
              <w:ind w:firstLine="0" w:firstLineChars="0"/>
              <w:jc w:val="center"/>
              <w:rPr>
                <w:rFonts w:hint="eastAsia"/>
                <w:bCs/>
                <w:color w:val="auto"/>
                <w:sz w:val="21"/>
                <w:szCs w:val="21"/>
              </w:rPr>
            </w:pPr>
            <w:r>
              <w:rPr>
                <w:rFonts w:hint="eastAsia"/>
                <w:bCs/>
                <w:color w:val="auto"/>
                <w:sz w:val="21"/>
                <w:szCs w:val="21"/>
              </w:rPr>
              <w:t>非甲烷总烃、甲醇、丙酮</w:t>
            </w:r>
          </w:p>
        </w:tc>
        <w:tc>
          <w:tcPr>
            <w:tcW w:w="1052" w:type="pct"/>
            <w:vAlign w:val="center"/>
          </w:tcPr>
          <w:p w14:paraId="785378A3">
            <w:pPr>
              <w:adjustRightInd/>
              <w:snapToGrid/>
              <w:spacing w:line="240" w:lineRule="auto"/>
              <w:ind w:firstLine="0" w:firstLineChars="0"/>
              <w:jc w:val="center"/>
              <w:rPr>
                <w:rFonts w:hint="eastAsia"/>
                <w:bCs/>
                <w:color w:val="auto"/>
                <w:sz w:val="21"/>
                <w:szCs w:val="21"/>
              </w:rPr>
            </w:pPr>
            <w:r>
              <w:rPr>
                <w:rFonts w:hint="eastAsia"/>
                <w:bCs/>
                <w:color w:val="auto"/>
                <w:sz w:val="21"/>
                <w:szCs w:val="21"/>
              </w:rPr>
              <w:t>每月一次</w:t>
            </w:r>
          </w:p>
        </w:tc>
      </w:tr>
      <w:tr w14:paraId="6EF345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26EE23BA">
            <w:pPr>
              <w:adjustRightInd/>
              <w:snapToGrid/>
              <w:spacing w:line="240" w:lineRule="auto"/>
              <w:ind w:firstLine="0" w:firstLineChars="0"/>
              <w:jc w:val="center"/>
              <w:rPr>
                <w:bCs/>
                <w:color w:val="auto"/>
                <w:sz w:val="21"/>
                <w:szCs w:val="21"/>
              </w:rPr>
            </w:pPr>
          </w:p>
        </w:tc>
        <w:tc>
          <w:tcPr>
            <w:tcW w:w="1001" w:type="pct"/>
            <w:vMerge w:val="continue"/>
            <w:vAlign w:val="center"/>
          </w:tcPr>
          <w:p w14:paraId="5300DA4F">
            <w:pPr>
              <w:adjustRightInd/>
              <w:snapToGrid/>
              <w:spacing w:line="240" w:lineRule="auto"/>
              <w:ind w:firstLine="0" w:firstLineChars="0"/>
              <w:jc w:val="center"/>
              <w:rPr>
                <w:rFonts w:hint="eastAsia"/>
                <w:bCs/>
                <w:color w:val="auto"/>
                <w:sz w:val="21"/>
                <w:szCs w:val="21"/>
              </w:rPr>
            </w:pPr>
          </w:p>
        </w:tc>
        <w:tc>
          <w:tcPr>
            <w:tcW w:w="2223" w:type="pct"/>
            <w:vAlign w:val="center"/>
          </w:tcPr>
          <w:p w14:paraId="632ED4D4">
            <w:pPr>
              <w:adjustRightInd/>
              <w:snapToGrid/>
              <w:spacing w:line="240" w:lineRule="auto"/>
              <w:ind w:firstLine="0" w:firstLineChars="0"/>
              <w:jc w:val="center"/>
              <w:rPr>
                <w:rFonts w:hint="eastAsia"/>
                <w:bCs/>
                <w:color w:val="auto"/>
                <w:sz w:val="21"/>
                <w:szCs w:val="21"/>
              </w:rPr>
            </w:pPr>
            <w:r>
              <w:rPr>
                <w:rFonts w:hint="eastAsia"/>
                <w:bCs/>
                <w:color w:val="auto"/>
                <w:sz w:val="21"/>
                <w:szCs w:val="21"/>
              </w:rPr>
              <w:t>颗粒物</w:t>
            </w:r>
          </w:p>
        </w:tc>
        <w:tc>
          <w:tcPr>
            <w:tcW w:w="1052" w:type="pct"/>
            <w:vAlign w:val="center"/>
          </w:tcPr>
          <w:p w14:paraId="1CEF76BE">
            <w:pPr>
              <w:adjustRightInd/>
              <w:snapToGrid/>
              <w:spacing w:line="240" w:lineRule="auto"/>
              <w:ind w:firstLine="0" w:firstLineChars="0"/>
              <w:jc w:val="center"/>
              <w:rPr>
                <w:rFonts w:hint="eastAsia"/>
                <w:bCs/>
                <w:color w:val="auto"/>
                <w:sz w:val="21"/>
                <w:szCs w:val="21"/>
              </w:rPr>
            </w:pPr>
            <w:r>
              <w:rPr>
                <w:rFonts w:hint="eastAsia"/>
                <w:bCs/>
                <w:color w:val="auto"/>
                <w:sz w:val="21"/>
                <w:szCs w:val="21"/>
              </w:rPr>
              <w:t>每季度一次</w:t>
            </w:r>
          </w:p>
        </w:tc>
      </w:tr>
      <w:tr w14:paraId="678042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0B641EE9">
            <w:pPr>
              <w:adjustRightInd/>
              <w:snapToGrid/>
              <w:spacing w:line="240" w:lineRule="auto"/>
              <w:ind w:firstLine="0" w:firstLineChars="0"/>
              <w:jc w:val="center"/>
              <w:rPr>
                <w:bCs/>
                <w:color w:val="auto"/>
                <w:sz w:val="21"/>
                <w:szCs w:val="21"/>
              </w:rPr>
            </w:pPr>
          </w:p>
        </w:tc>
        <w:tc>
          <w:tcPr>
            <w:tcW w:w="1001" w:type="pct"/>
            <w:vAlign w:val="center"/>
          </w:tcPr>
          <w:p w14:paraId="471012B7">
            <w:pPr>
              <w:adjustRightInd/>
              <w:snapToGrid/>
              <w:spacing w:line="240" w:lineRule="auto"/>
              <w:ind w:firstLine="0" w:firstLineChars="0"/>
              <w:jc w:val="center"/>
              <w:rPr>
                <w:rFonts w:hint="eastAsia"/>
                <w:bCs/>
                <w:color w:val="auto"/>
                <w:sz w:val="21"/>
                <w:szCs w:val="21"/>
              </w:rPr>
            </w:pPr>
            <w:r>
              <w:rPr>
                <w:rFonts w:hint="eastAsia"/>
                <w:bCs/>
                <w:color w:val="auto"/>
                <w:sz w:val="21"/>
                <w:szCs w:val="21"/>
              </w:rPr>
              <w:t>DA007</w:t>
            </w:r>
          </w:p>
        </w:tc>
        <w:tc>
          <w:tcPr>
            <w:tcW w:w="2223" w:type="pct"/>
            <w:vAlign w:val="center"/>
          </w:tcPr>
          <w:p w14:paraId="6DB973E9">
            <w:pPr>
              <w:adjustRightInd/>
              <w:snapToGrid/>
              <w:spacing w:line="240" w:lineRule="auto"/>
              <w:ind w:firstLine="0" w:firstLineChars="0"/>
              <w:jc w:val="center"/>
              <w:rPr>
                <w:rFonts w:hint="eastAsia"/>
                <w:bCs/>
                <w:color w:val="auto"/>
                <w:sz w:val="21"/>
                <w:szCs w:val="21"/>
              </w:rPr>
            </w:pPr>
            <w:r>
              <w:rPr>
                <w:rFonts w:hint="eastAsia"/>
                <w:bCs/>
                <w:color w:val="auto"/>
                <w:sz w:val="21"/>
                <w:szCs w:val="21"/>
              </w:rPr>
              <w:t>非甲烷总烃</w:t>
            </w:r>
          </w:p>
        </w:tc>
        <w:tc>
          <w:tcPr>
            <w:tcW w:w="1052" w:type="pct"/>
            <w:vAlign w:val="center"/>
          </w:tcPr>
          <w:p w14:paraId="2DE5E432">
            <w:pPr>
              <w:adjustRightInd/>
              <w:snapToGrid/>
              <w:spacing w:line="240" w:lineRule="auto"/>
              <w:ind w:firstLine="0" w:firstLineChars="0"/>
              <w:jc w:val="center"/>
              <w:rPr>
                <w:rFonts w:hint="eastAsia"/>
                <w:bCs/>
                <w:color w:val="auto"/>
                <w:sz w:val="21"/>
                <w:szCs w:val="21"/>
              </w:rPr>
            </w:pPr>
            <w:r>
              <w:rPr>
                <w:rFonts w:hint="eastAsia"/>
                <w:bCs/>
                <w:color w:val="auto"/>
                <w:sz w:val="21"/>
                <w:szCs w:val="21"/>
              </w:rPr>
              <w:t>每月一次</w:t>
            </w:r>
          </w:p>
        </w:tc>
      </w:tr>
      <w:tr w14:paraId="745F94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restart"/>
            <w:vAlign w:val="center"/>
          </w:tcPr>
          <w:p w14:paraId="577A5825">
            <w:pPr>
              <w:adjustRightInd/>
              <w:snapToGrid/>
              <w:spacing w:line="240" w:lineRule="auto"/>
              <w:ind w:firstLine="0" w:firstLineChars="0"/>
              <w:jc w:val="center"/>
              <w:rPr>
                <w:bCs/>
                <w:color w:val="auto"/>
                <w:sz w:val="21"/>
                <w:szCs w:val="21"/>
              </w:rPr>
            </w:pPr>
            <w:r>
              <w:rPr>
                <w:rFonts w:hint="eastAsia"/>
                <w:bCs/>
                <w:color w:val="auto"/>
                <w:sz w:val="21"/>
                <w:szCs w:val="21"/>
              </w:rPr>
              <w:t>废水</w:t>
            </w:r>
          </w:p>
        </w:tc>
        <w:tc>
          <w:tcPr>
            <w:tcW w:w="1001" w:type="pct"/>
            <w:vMerge w:val="restart"/>
            <w:vAlign w:val="center"/>
          </w:tcPr>
          <w:p w14:paraId="5395EB82">
            <w:pPr>
              <w:adjustRightInd/>
              <w:snapToGrid/>
              <w:spacing w:line="240" w:lineRule="auto"/>
              <w:ind w:firstLine="0" w:firstLineChars="0"/>
              <w:jc w:val="center"/>
              <w:rPr>
                <w:bCs/>
                <w:color w:val="auto"/>
                <w:sz w:val="21"/>
                <w:szCs w:val="21"/>
              </w:rPr>
            </w:pPr>
            <w:r>
              <w:rPr>
                <w:rFonts w:hint="eastAsia"/>
                <w:bCs/>
                <w:color w:val="auto"/>
                <w:sz w:val="21"/>
                <w:szCs w:val="21"/>
              </w:rPr>
              <w:t>废水总排口</w:t>
            </w:r>
          </w:p>
        </w:tc>
        <w:tc>
          <w:tcPr>
            <w:tcW w:w="2223" w:type="pct"/>
            <w:vAlign w:val="center"/>
          </w:tcPr>
          <w:p w14:paraId="2E8B49FD">
            <w:pPr>
              <w:adjustRightInd/>
              <w:snapToGrid/>
              <w:spacing w:line="240" w:lineRule="auto"/>
              <w:ind w:firstLine="0" w:firstLineChars="0"/>
              <w:jc w:val="center"/>
              <w:rPr>
                <w:rFonts w:hint="eastAsia"/>
                <w:bCs/>
                <w:color w:val="auto"/>
                <w:sz w:val="21"/>
                <w:szCs w:val="21"/>
              </w:rPr>
            </w:pPr>
            <w:r>
              <w:rPr>
                <w:rFonts w:hint="eastAsia"/>
                <w:bCs/>
                <w:color w:val="auto"/>
                <w:sz w:val="21"/>
                <w:szCs w:val="21"/>
              </w:rPr>
              <w:t>流量、pH、COD、氨氮、总磷</w:t>
            </w:r>
          </w:p>
        </w:tc>
        <w:tc>
          <w:tcPr>
            <w:tcW w:w="1052" w:type="pct"/>
            <w:vAlign w:val="center"/>
          </w:tcPr>
          <w:p w14:paraId="76D6A0F2">
            <w:pPr>
              <w:adjustRightInd/>
              <w:snapToGrid/>
              <w:spacing w:line="240" w:lineRule="auto"/>
              <w:ind w:firstLine="0" w:firstLineChars="0"/>
              <w:jc w:val="center"/>
              <w:rPr>
                <w:rFonts w:hint="eastAsia"/>
                <w:bCs/>
                <w:color w:val="auto"/>
                <w:sz w:val="21"/>
                <w:szCs w:val="21"/>
              </w:rPr>
            </w:pPr>
            <w:r>
              <w:rPr>
                <w:rFonts w:hint="eastAsia"/>
                <w:bCs/>
                <w:color w:val="auto"/>
                <w:sz w:val="21"/>
                <w:szCs w:val="21"/>
              </w:rPr>
              <w:t>自动监测</w:t>
            </w:r>
          </w:p>
        </w:tc>
      </w:tr>
      <w:tr w14:paraId="4AD36A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1D9B1C6C">
            <w:pPr>
              <w:adjustRightInd/>
              <w:snapToGrid/>
              <w:spacing w:line="240" w:lineRule="auto"/>
              <w:ind w:firstLine="0" w:firstLineChars="0"/>
              <w:jc w:val="center"/>
              <w:rPr>
                <w:bCs/>
                <w:color w:val="auto"/>
                <w:sz w:val="21"/>
                <w:szCs w:val="21"/>
              </w:rPr>
            </w:pPr>
          </w:p>
        </w:tc>
        <w:tc>
          <w:tcPr>
            <w:tcW w:w="1001" w:type="pct"/>
            <w:vMerge w:val="continue"/>
            <w:vAlign w:val="center"/>
          </w:tcPr>
          <w:p w14:paraId="0433FCCE">
            <w:pPr>
              <w:adjustRightInd/>
              <w:snapToGrid/>
              <w:spacing w:line="240" w:lineRule="auto"/>
              <w:ind w:firstLine="0" w:firstLineChars="0"/>
              <w:jc w:val="center"/>
              <w:rPr>
                <w:bCs/>
                <w:color w:val="auto"/>
                <w:sz w:val="21"/>
                <w:szCs w:val="21"/>
              </w:rPr>
            </w:pPr>
          </w:p>
        </w:tc>
        <w:tc>
          <w:tcPr>
            <w:tcW w:w="2223" w:type="pct"/>
            <w:vAlign w:val="center"/>
          </w:tcPr>
          <w:p w14:paraId="32A0F8BF">
            <w:pPr>
              <w:adjustRightInd/>
              <w:snapToGrid/>
              <w:spacing w:line="240" w:lineRule="auto"/>
              <w:ind w:firstLine="0" w:firstLineChars="0"/>
              <w:jc w:val="center"/>
              <w:rPr>
                <w:rFonts w:hint="eastAsia"/>
                <w:bCs/>
                <w:color w:val="auto"/>
                <w:sz w:val="21"/>
                <w:szCs w:val="21"/>
              </w:rPr>
            </w:pPr>
            <w:r>
              <w:rPr>
                <w:rFonts w:hint="eastAsia"/>
                <w:bCs/>
                <w:color w:val="auto"/>
                <w:sz w:val="21"/>
                <w:szCs w:val="21"/>
              </w:rPr>
              <w:t>SS、石油类、苯胺类、全盐量</w:t>
            </w:r>
          </w:p>
        </w:tc>
        <w:tc>
          <w:tcPr>
            <w:tcW w:w="1052" w:type="pct"/>
            <w:vAlign w:val="center"/>
          </w:tcPr>
          <w:p w14:paraId="6F675668">
            <w:pPr>
              <w:adjustRightInd/>
              <w:snapToGrid/>
              <w:spacing w:line="240" w:lineRule="auto"/>
              <w:ind w:firstLine="0" w:firstLineChars="0"/>
              <w:jc w:val="center"/>
              <w:rPr>
                <w:rFonts w:hint="eastAsia"/>
                <w:bCs/>
                <w:color w:val="auto"/>
                <w:sz w:val="21"/>
                <w:szCs w:val="21"/>
              </w:rPr>
            </w:pPr>
            <w:r>
              <w:rPr>
                <w:rFonts w:hint="eastAsia"/>
                <w:bCs/>
                <w:color w:val="auto"/>
                <w:sz w:val="21"/>
                <w:szCs w:val="21"/>
              </w:rPr>
              <w:t>每季度监测一次</w:t>
            </w:r>
          </w:p>
        </w:tc>
      </w:tr>
      <w:tr w14:paraId="2A7F45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53F48BB7">
            <w:pPr>
              <w:adjustRightInd/>
              <w:snapToGrid/>
              <w:spacing w:line="240" w:lineRule="auto"/>
              <w:ind w:firstLine="0" w:firstLineChars="0"/>
              <w:jc w:val="center"/>
              <w:rPr>
                <w:bCs/>
                <w:color w:val="auto"/>
                <w:sz w:val="21"/>
                <w:szCs w:val="21"/>
              </w:rPr>
            </w:pPr>
          </w:p>
        </w:tc>
        <w:tc>
          <w:tcPr>
            <w:tcW w:w="1001" w:type="pct"/>
            <w:vMerge w:val="restart"/>
            <w:vAlign w:val="center"/>
          </w:tcPr>
          <w:p w14:paraId="2B94A7DA">
            <w:pPr>
              <w:adjustRightInd/>
              <w:snapToGrid/>
              <w:spacing w:line="240" w:lineRule="auto"/>
              <w:ind w:firstLine="0" w:firstLineChars="0"/>
              <w:jc w:val="center"/>
              <w:rPr>
                <w:bCs/>
                <w:color w:val="auto"/>
                <w:sz w:val="21"/>
                <w:szCs w:val="21"/>
              </w:rPr>
            </w:pPr>
            <w:r>
              <w:rPr>
                <w:rFonts w:hint="eastAsia"/>
                <w:bCs/>
                <w:color w:val="auto"/>
                <w:sz w:val="21"/>
                <w:szCs w:val="21"/>
              </w:rPr>
              <w:t>雨水排口</w:t>
            </w:r>
          </w:p>
        </w:tc>
        <w:tc>
          <w:tcPr>
            <w:tcW w:w="4311" w:type="dxa"/>
            <w:vAlign w:val="center"/>
          </w:tcPr>
          <w:p w14:paraId="46CD55D9">
            <w:pPr>
              <w:adjustRightInd/>
              <w:snapToGrid/>
              <w:spacing w:line="240" w:lineRule="auto"/>
              <w:ind w:firstLine="0" w:firstLineChars="0"/>
              <w:jc w:val="center"/>
              <w:rPr>
                <w:rFonts w:hint="eastAsia"/>
                <w:bCs/>
                <w:color w:val="auto"/>
                <w:sz w:val="21"/>
                <w:szCs w:val="21"/>
              </w:rPr>
            </w:pPr>
            <w:r>
              <w:rPr>
                <w:rFonts w:hint="eastAsia"/>
                <w:bCs/>
                <w:color w:val="auto"/>
                <w:sz w:val="21"/>
                <w:szCs w:val="21"/>
              </w:rPr>
              <w:t>COD</w:t>
            </w:r>
          </w:p>
        </w:tc>
        <w:tc>
          <w:tcPr>
            <w:tcW w:w="2041" w:type="dxa"/>
            <w:vAlign w:val="center"/>
          </w:tcPr>
          <w:p w14:paraId="2D9D2C14">
            <w:pPr>
              <w:adjustRightInd/>
              <w:snapToGrid/>
              <w:spacing w:line="240" w:lineRule="auto"/>
              <w:ind w:firstLine="0" w:firstLineChars="0"/>
              <w:jc w:val="center"/>
              <w:rPr>
                <w:rFonts w:hint="eastAsia"/>
                <w:bCs/>
                <w:color w:val="auto"/>
                <w:sz w:val="21"/>
                <w:szCs w:val="21"/>
              </w:rPr>
            </w:pPr>
            <w:r>
              <w:rPr>
                <w:rFonts w:hint="eastAsia"/>
                <w:bCs/>
                <w:color w:val="auto"/>
                <w:sz w:val="21"/>
                <w:szCs w:val="21"/>
              </w:rPr>
              <w:t>自动监测</w:t>
            </w:r>
          </w:p>
        </w:tc>
      </w:tr>
      <w:tr w14:paraId="47B2FE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Merge w:val="continue"/>
            <w:vAlign w:val="center"/>
          </w:tcPr>
          <w:p w14:paraId="6AF5B676">
            <w:pPr>
              <w:adjustRightInd/>
              <w:snapToGrid/>
              <w:spacing w:line="240" w:lineRule="auto"/>
              <w:ind w:firstLine="0" w:firstLineChars="0"/>
              <w:jc w:val="center"/>
              <w:rPr>
                <w:bCs/>
                <w:color w:val="auto"/>
                <w:sz w:val="21"/>
                <w:szCs w:val="21"/>
              </w:rPr>
            </w:pPr>
          </w:p>
        </w:tc>
        <w:tc>
          <w:tcPr>
            <w:tcW w:w="1001" w:type="pct"/>
            <w:vMerge w:val="continue"/>
            <w:vAlign w:val="center"/>
          </w:tcPr>
          <w:p w14:paraId="5AE3AF16">
            <w:pPr>
              <w:adjustRightInd/>
              <w:snapToGrid/>
              <w:spacing w:line="240" w:lineRule="auto"/>
              <w:ind w:firstLine="0" w:firstLineChars="0"/>
              <w:jc w:val="center"/>
              <w:rPr>
                <w:rFonts w:hint="eastAsia"/>
                <w:bCs/>
                <w:color w:val="auto"/>
                <w:sz w:val="21"/>
                <w:szCs w:val="21"/>
              </w:rPr>
            </w:pPr>
          </w:p>
        </w:tc>
        <w:tc>
          <w:tcPr>
            <w:tcW w:w="4311" w:type="dxa"/>
            <w:vAlign w:val="center"/>
          </w:tcPr>
          <w:p w14:paraId="4D366191">
            <w:pPr>
              <w:adjustRightInd/>
              <w:snapToGrid/>
              <w:spacing w:line="240" w:lineRule="auto"/>
              <w:ind w:firstLine="0" w:firstLineChars="0"/>
              <w:jc w:val="center"/>
              <w:rPr>
                <w:rFonts w:hint="eastAsia"/>
                <w:bCs/>
                <w:color w:val="auto"/>
                <w:sz w:val="21"/>
                <w:szCs w:val="21"/>
              </w:rPr>
            </w:pPr>
            <w:r>
              <w:rPr>
                <w:rFonts w:hint="eastAsia"/>
                <w:bCs/>
                <w:color w:val="auto"/>
                <w:sz w:val="21"/>
                <w:szCs w:val="21"/>
              </w:rPr>
              <w:t>pH、氨氮、总磷、总氮、SS、石油类、苯胺类、全盐量</w:t>
            </w:r>
          </w:p>
        </w:tc>
        <w:tc>
          <w:tcPr>
            <w:tcW w:w="2041" w:type="dxa"/>
            <w:vAlign w:val="center"/>
          </w:tcPr>
          <w:p w14:paraId="5D355040">
            <w:pPr>
              <w:adjustRightInd/>
              <w:snapToGrid/>
              <w:spacing w:line="240" w:lineRule="auto"/>
              <w:ind w:firstLine="0" w:firstLineChars="0"/>
              <w:jc w:val="center"/>
              <w:rPr>
                <w:rFonts w:hint="eastAsia"/>
                <w:bCs/>
                <w:color w:val="auto"/>
                <w:sz w:val="21"/>
                <w:szCs w:val="21"/>
              </w:rPr>
            </w:pPr>
            <w:r>
              <w:rPr>
                <w:rFonts w:hint="eastAsia"/>
                <w:bCs/>
                <w:color w:val="auto"/>
                <w:sz w:val="21"/>
                <w:szCs w:val="21"/>
              </w:rPr>
              <w:t>雨水排放口排放期间按日监测</w:t>
            </w:r>
          </w:p>
        </w:tc>
      </w:tr>
      <w:tr w14:paraId="22E185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Align w:val="center"/>
          </w:tcPr>
          <w:p w14:paraId="100F7216">
            <w:pPr>
              <w:adjustRightInd/>
              <w:snapToGrid/>
              <w:spacing w:line="240" w:lineRule="auto"/>
              <w:ind w:firstLine="0" w:firstLineChars="0"/>
              <w:jc w:val="center"/>
              <w:rPr>
                <w:bCs/>
                <w:color w:val="auto"/>
                <w:sz w:val="21"/>
                <w:szCs w:val="21"/>
              </w:rPr>
            </w:pPr>
            <w:r>
              <w:rPr>
                <w:rFonts w:hint="eastAsia"/>
                <w:bCs/>
                <w:color w:val="auto"/>
                <w:sz w:val="21"/>
                <w:szCs w:val="21"/>
              </w:rPr>
              <w:t>噪声</w:t>
            </w:r>
          </w:p>
        </w:tc>
        <w:tc>
          <w:tcPr>
            <w:tcW w:w="1001" w:type="pct"/>
            <w:vAlign w:val="center"/>
          </w:tcPr>
          <w:p w14:paraId="4FA4C368">
            <w:pPr>
              <w:adjustRightInd/>
              <w:snapToGrid/>
              <w:spacing w:line="240" w:lineRule="auto"/>
              <w:ind w:firstLine="0" w:firstLineChars="0"/>
              <w:jc w:val="center"/>
              <w:rPr>
                <w:bCs/>
                <w:color w:val="auto"/>
                <w:sz w:val="21"/>
                <w:szCs w:val="21"/>
              </w:rPr>
            </w:pPr>
            <w:r>
              <w:rPr>
                <w:rFonts w:hint="eastAsia"/>
                <w:bCs/>
                <w:color w:val="auto"/>
                <w:sz w:val="21"/>
                <w:szCs w:val="21"/>
              </w:rPr>
              <w:t>厂界</w:t>
            </w:r>
          </w:p>
        </w:tc>
        <w:tc>
          <w:tcPr>
            <w:tcW w:w="2223" w:type="pct"/>
            <w:vAlign w:val="center"/>
          </w:tcPr>
          <w:p w14:paraId="2A9523E1">
            <w:pPr>
              <w:adjustRightInd/>
              <w:snapToGrid/>
              <w:spacing w:line="240" w:lineRule="auto"/>
              <w:ind w:firstLine="0" w:firstLineChars="0"/>
              <w:jc w:val="center"/>
              <w:rPr>
                <w:bCs/>
                <w:color w:val="auto"/>
                <w:sz w:val="21"/>
                <w:szCs w:val="21"/>
              </w:rPr>
            </w:pPr>
            <w:r>
              <w:rPr>
                <w:rFonts w:hint="eastAsia"/>
                <w:bCs/>
                <w:color w:val="auto"/>
                <w:sz w:val="21"/>
                <w:szCs w:val="21"/>
              </w:rPr>
              <w:t>等效声级Leq（A）</w:t>
            </w:r>
          </w:p>
        </w:tc>
        <w:tc>
          <w:tcPr>
            <w:tcW w:w="1052" w:type="pct"/>
            <w:vAlign w:val="center"/>
          </w:tcPr>
          <w:p w14:paraId="55EEECBA">
            <w:pPr>
              <w:adjustRightInd/>
              <w:snapToGrid/>
              <w:spacing w:line="240" w:lineRule="auto"/>
              <w:ind w:firstLine="0" w:firstLineChars="0"/>
              <w:jc w:val="center"/>
              <w:rPr>
                <w:bCs/>
                <w:color w:val="auto"/>
                <w:sz w:val="21"/>
                <w:szCs w:val="21"/>
              </w:rPr>
            </w:pPr>
            <w:r>
              <w:rPr>
                <w:rFonts w:hint="eastAsia"/>
                <w:bCs/>
                <w:color w:val="auto"/>
                <w:sz w:val="21"/>
                <w:szCs w:val="21"/>
              </w:rPr>
              <w:t>每季度监测一次</w:t>
            </w:r>
          </w:p>
        </w:tc>
      </w:tr>
      <w:tr w14:paraId="4766B3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Align w:val="center"/>
          </w:tcPr>
          <w:p w14:paraId="1A806876">
            <w:pPr>
              <w:adjustRightInd/>
              <w:snapToGrid/>
              <w:spacing w:line="240" w:lineRule="auto"/>
              <w:ind w:firstLine="0" w:firstLineChars="0"/>
              <w:jc w:val="center"/>
              <w:rPr>
                <w:bCs/>
                <w:color w:val="auto"/>
                <w:sz w:val="21"/>
                <w:szCs w:val="21"/>
              </w:rPr>
            </w:pPr>
            <w:r>
              <w:rPr>
                <w:rFonts w:hint="eastAsia"/>
                <w:bCs/>
                <w:color w:val="auto"/>
                <w:sz w:val="21"/>
                <w:szCs w:val="21"/>
              </w:rPr>
              <w:t>土壤</w:t>
            </w:r>
          </w:p>
        </w:tc>
        <w:tc>
          <w:tcPr>
            <w:tcW w:w="1001" w:type="pct"/>
            <w:vMerge w:val="restart"/>
            <w:vAlign w:val="center"/>
          </w:tcPr>
          <w:p w14:paraId="3DE54BB3">
            <w:pPr>
              <w:adjustRightInd/>
              <w:snapToGrid/>
              <w:spacing w:line="240" w:lineRule="auto"/>
              <w:ind w:firstLine="0" w:firstLineChars="0"/>
              <w:jc w:val="center"/>
              <w:rPr>
                <w:bCs/>
                <w:color w:val="auto"/>
                <w:sz w:val="21"/>
                <w:szCs w:val="21"/>
              </w:rPr>
            </w:pPr>
            <w:r>
              <w:rPr>
                <w:rFonts w:hint="eastAsia"/>
                <w:bCs/>
                <w:color w:val="auto"/>
                <w:sz w:val="21"/>
                <w:szCs w:val="21"/>
              </w:rPr>
              <w:t>根据土壤地下水年度自行监测方案</w:t>
            </w:r>
          </w:p>
        </w:tc>
        <w:tc>
          <w:tcPr>
            <w:tcW w:w="2223" w:type="pct"/>
            <w:vAlign w:val="center"/>
          </w:tcPr>
          <w:p w14:paraId="1AE2C065">
            <w:pPr>
              <w:adjustRightInd/>
              <w:snapToGrid/>
              <w:spacing w:line="240" w:lineRule="auto"/>
              <w:ind w:firstLine="0" w:firstLineChars="0"/>
              <w:jc w:val="center"/>
              <w:rPr>
                <w:bCs/>
                <w:color w:val="auto"/>
                <w:sz w:val="21"/>
                <w:szCs w:val="21"/>
              </w:rPr>
            </w:pPr>
            <w:r>
              <w:rPr>
                <w:rFonts w:hint="eastAsia"/>
                <w:bCs/>
                <w:color w:val="auto"/>
                <w:sz w:val="21"/>
                <w:szCs w:val="21"/>
              </w:rPr>
              <w:t>GB36600中表1</w:t>
            </w:r>
            <w:r>
              <w:rPr>
                <w:rFonts w:hint="eastAsia"/>
                <w:bCs/>
                <w:color w:val="auto"/>
                <w:sz w:val="21"/>
                <w:szCs w:val="21"/>
                <w:lang w:val="en-US" w:eastAsia="zh-CN"/>
              </w:rPr>
              <w:t>的</w:t>
            </w:r>
            <w:r>
              <w:rPr>
                <w:rFonts w:hint="eastAsia"/>
                <w:bCs/>
                <w:color w:val="auto"/>
                <w:sz w:val="21"/>
                <w:szCs w:val="21"/>
              </w:rPr>
              <w:t>45项、石油烃</w:t>
            </w:r>
            <w:r>
              <w:rPr>
                <w:rFonts w:hint="eastAsia"/>
                <w:color w:val="auto"/>
              </w:rPr>
              <w:t>（C</w:t>
            </w:r>
            <w:r>
              <w:rPr>
                <w:rFonts w:hint="eastAsia"/>
                <w:color w:val="auto"/>
                <w:vertAlign w:val="subscript"/>
              </w:rPr>
              <w:t>10</w:t>
            </w:r>
            <w:r>
              <w:rPr>
                <w:rFonts w:hint="eastAsia"/>
                <w:color w:val="auto"/>
              </w:rPr>
              <w:t>-C</w:t>
            </w:r>
            <w:r>
              <w:rPr>
                <w:rFonts w:hint="eastAsia"/>
                <w:color w:val="auto"/>
                <w:vertAlign w:val="subscript"/>
              </w:rPr>
              <w:t>40</w:t>
            </w:r>
            <w:r>
              <w:rPr>
                <w:rFonts w:hint="eastAsia"/>
                <w:color w:val="auto"/>
              </w:rPr>
              <w:t>）</w:t>
            </w:r>
          </w:p>
        </w:tc>
        <w:tc>
          <w:tcPr>
            <w:tcW w:w="1052" w:type="pct"/>
            <w:vAlign w:val="center"/>
          </w:tcPr>
          <w:p w14:paraId="5A1BAD72">
            <w:pPr>
              <w:adjustRightInd/>
              <w:snapToGrid/>
              <w:spacing w:line="240" w:lineRule="auto"/>
              <w:ind w:firstLine="0" w:firstLineChars="0"/>
              <w:jc w:val="center"/>
              <w:rPr>
                <w:bCs/>
                <w:color w:val="auto"/>
                <w:sz w:val="21"/>
                <w:szCs w:val="21"/>
              </w:rPr>
            </w:pPr>
            <w:r>
              <w:rPr>
                <w:rFonts w:hint="eastAsia"/>
                <w:bCs/>
                <w:color w:val="auto"/>
                <w:sz w:val="21"/>
                <w:szCs w:val="21"/>
              </w:rPr>
              <w:t>一次/年</w:t>
            </w:r>
          </w:p>
        </w:tc>
      </w:tr>
      <w:tr w14:paraId="05D7F3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722" w:type="pct"/>
            <w:vAlign w:val="center"/>
          </w:tcPr>
          <w:p w14:paraId="0935D480">
            <w:pPr>
              <w:adjustRightInd/>
              <w:snapToGrid/>
              <w:spacing w:line="240" w:lineRule="auto"/>
              <w:ind w:firstLine="0" w:firstLineChars="0"/>
              <w:jc w:val="center"/>
              <w:rPr>
                <w:bCs/>
                <w:color w:val="auto"/>
                <w:sz w:val="21"/>
                <w:szCs w:val="21"/>
              </w:rPr>
            </w:pPr>
            <w:r>
              <w:rPr>
                <w:rFonts w:hint="eastAsia"/>
                <w:bCs/>
                <w:color w:val="auto"/>
                <w:sz w:val="21"/>
                <w:szCs w:val="21"/>
              </w:rPr>
              <w:t>地下水</w:t>
            </w:r>
          </w:p>
        </w:tc>
        <w:tc>
          <w:tcPr>
            <w:tcW w:w="1001" w:type="pct"/>
            <w:vMerge w:val="continue"/>
            <w:vAlign w:val="center"/>
          </w:tcPr>
          <w:p w14:paraId="1FBB8715">
            <w:pPr>
              <w:adjustRightInd/>
              <w:snapToGrid/>
              <w:spacing w:line="240" w:lineRule="auto"/>
              <w:ind w:firstLine="0" w:firstLineChars="0"/>
              <w:jc w:val="center"/>
              <w:rPr>
                <w:bCs/>
                <w:color w:val="auto"/>
                <w:sz w:val="21"/>
                <w:szCs w:val="21"/>
              </w:rPr>
            </w:pPr>
          </w:p>
        </w:tc>
        <w:tc>
          <w:tcPr>
            <w:tcW w:w="2223" w:type="pct"/>
            <w:vAlign w:val="center"/>
          </w:tcPr>
          <w:p w14:paraId="57EA3C93">
            <w:pPr>
              <w:adjustRightInd/>
              <w:snapToGrid/>
              <w:spacing w:line="240" w:lineRule="auto"/>
              <w:ind w:firstLine="0" w:firstLineChars="0"/>
              <w:jc w:val="center"/>
              <w:rPr>
                <w:bCs/>
                <w:color w:val="auto"/>
                <w:sz w:val="21"/>
                <w:szCs w:val="21"/>
              </w:rPr>
            </w:pPr>
            <w:r>
              <w:rPr>
                <w:rFonts w:hint="eastAsia"/>
                <w:bCs/>
                <w:color w:val="auto"/>
                <w:sz w:val="21"/>
                <w:szCs w:val="21"/>
              </w:rPr>
              <w:t>GB/T 14848常规指标（微生物指标、放射性指标除外），pH值、石油烃</w:t>
            </w:r>
            <w:r>
              <w:rPr>
                <w:rFonts w:hint="eastAsia"/>
                <w:color w:val="auto"/>
              </w:rPr>
              <w:t>（C</w:t>
            </w:r>
            <w:r>
              <w:rPr>
                <w:rFonts w:hint="eastAsia"/>
                <w:color w:val="auto"/>
                <w:vertAlign w:val="subscript"/>
              </w:rPr>
              <w:t>10</w:t>
            </w:r>
            <w:r>
              <w:rPr>
                <w:rFonts w:hint="eastAsia"/>
                <w:color w:val="auto"/>
              </w:rPr>
              <w:t>-C</w:t>
            </w:r>
            <w:r>
              <w:rPr>
                <w:rFonts w:hint="eastAsia"/>
                <w:color w:val="auto"/>
                <w:vertAlign w:val="subscript"/>
              </w:rPr>
              <w:t>40</w:t>
            </w:r>
            <w:r>
              <w:rPr>
                <w:rFonts w:hint="eastAsia"/>
                <w:color w:val="auto"/>
              </w:rPr>
              <w:t>）</w:t>
            </w:r>
          </w:p>
        </w:tc>
        <w:tc>
          <w:tcPr>
            <w:tcW w:w="1052" w:type="pct"/>
            <w:vAlign w:val="center"/>
          </w:tcPr>
          <w:p w14:paraId="65C1E078">
            <w:pPr>
              <w:adjustRightInd/>
              <w:snapToGrid/>
              <w:spacing w:line="240" w:lineRule="auto"/>
              <w:ind w:firstLine="0" w:firstLineChars="0"/>
              <w:jc w:val="center"/>
              <w:rPr>
                <w:bCs/>
                <w:color w:val="auto"/>
                <w:sz w:val="21"/>
                <w:szCs w:val="21"/>
              </w:rPr>
            </w:pPr>
            <w:r>
              <w:rPr>
                <w:rFonts w:hint="eastAsia"/>
                <w:bCs/>
                <w:color w:val="auto"/>
                <w:sz w:val="21"/>
                <w:szCs w:val="21"/>
              </w:rPr>
              <w:t>一次/年</w:t>
            </w:r>
          </w:p>
        </w:tc>
      </w:tr>
    </w:tbl>
    <w:p w14:paraId="0375A93A">
      <w:pPr>
        <w:pStyle w:val="4"/>
        <w:rPr>
          <w:color w:val="auto"/>
        </w:rPr>
      </w:pPr>
      <w:bookmarkStart w:id="429" w:name="_Toc14216"/>
      <w:bookmarkStart w:id="430" w:name="_Toc5478"/>
      <w:bookmarkStart w:id="431" w:name="_Hlk127437511"/>
      <w:r>
        <w:rPr>
          <w:color w:val="auto"/>
        </w:rPr>
        <w:t>9.4.3</w:t>
      </w:r>
      <w:r>
        <w:rPr>
          <w:rFonts w:hint="eastAsia"/>
          <w:color w:val="auto"/>
        </w:rPr>
        <w:t>环境质量监测计划</w:t>
      </w:r>
      <w:bookmarkEnd w:id="429"/>
      <w:bookmarkEnd w:id="430"/>
    </w:p>
    <w:p w14:paraId="6CA5F93E">
      <w:pPr>
        <w:ind w:firstLine="480"/>
        <w:rPr>
          <w:color w:val="auto"/>
        </w:rPr>
      </w:pPr>
      <w:r>
        <w:rPr>
          <w:rFonts w:hint="eastAsia"/>
          <w:color w:val="auto"/>
        </w:rPr>
        <w:t>根据《环境影响评价技术导则</w:t>
      </w:r>
      <w:r>
        <w:rPr>
          <w:color w:val="auto"/>
        </w:rPr>
        <w:t xml:space="preserve"> </w:t>
      </w:r>
      <w:r>
        <w:rPr>
          <w:rFonts w:hint="eastAsia"/>
          <w:color w:val="auto"/>
        </w:rPr>
        <w:t>大气环境》（</w:t>
      </w:r>
      <w:r>
        <w:rPr>
          <w:color w:val="auto"/>
        </w:rPr>
        <w:t>HJ2.2-2018</w:t>
      </w:r>
      <w:r>
        <w:rPr>
          <w:rFonts w:hint="eastAsia"/>
          <w:color w:val="auto"/>
        </w:rPr>
        <w:t>），监测因子选择估算模式中</w:t>
      </w:r>
      <w:r>
        <w:rPr>
          <w:color w:val="auto"/>
        </w:rPr>
        <w:t>Pi</w:t>
      </w:r>
      <w:r>
        <w:rPr>
          <w:rFonts w:hint="eastAsia"/>
          <w:color w:val="auto"/>
        </w:rPr>
        <w:t>大于</w:t>
      </w:r>
      <w:r>
        <w:rPr>
          <w:color w:val="auto"/>
        </w:rPr>
        <w:t>1%</w:t>
      </w:r>
      <w:r>
        <w:rPr>
          <w:rFonts w:hint="eastAsia"/>
          <w:color w:val="auto"/>
        </w:rPr>
        <w:t>的其他污染物，由于拟建项目相关其他污染物</w:t>
      </w:r>
      <w:r>
        <w:rPr>
          <w:color w:val="auto"/>
        </w:rPr>
        <w:t>Pi</w:t>
      </w:r>
      <w:r>
        <w:rPr>
          <w:rFonts w:hint="eastAsia"/>
          <w:color w:val="auto"/>
        </w:rPr>
        <w:t>均小于1%，因此本次大气环境不设置环境质量监测计划。</w:t>
      </w:r>
    </w:p>
    <w:p w14:paraId="3E100D1A">
      <w:pPr>
        <w:ind w:firstLine="480"/>
        <w:rPr>
          <w:color w:val="auto"/>
        </w:rPr>
      </w:pPr>
    </w:p>
    <w:p w14:paraId="620A81EB">
      <w:pPr>
        <w:ind w:firstLine="480"/>
        <w:rPr>
          <w:color w:val="auto"/>
        </w:rPr>
      </w:pPr>
      <w:r>
        <w:rPr>
          <w:rFonts w:hint="eastAsia"/>
          <w:color w:val="auto"/>
        </w:rPr>
        <w:t>企业目前每年开展土壤及地下水自行监测，根据《环境影响评价技术导则 地下水环境》(HJ610-2016)、《工业企业土壤和地下水自行监测技术指南(试行)》（HJ1209-2021），在厂内污水处理站、地下水下游地下水上游分别设1个地下水监测井；根据《环境影响评价技术导则 土壤环境》(HJ964-2018)，在厂区1#污水处理站区域设置1个监测点，监测指标及频次见下表。</w:t>
      </w:r>
    </w:p>
    <w:p w14:paraId="2322E1C6">
      <w:pPr>
        <w:pStyle w:val="49"/>
        <w:rPr>
          <w:color w:val="auto"/>
        </w:rPr>
      </w:pPr>
      <w:r>
        <w:rPr>
          <w:rFonts w:hint="eastAsia"/>
          <w:color w:val="auto"/>
        </w:rPr>
        <w:t>表9.</w:t>
      </w:r>
      <w:r>
        <w:rPr>
          <w:color w:val="auto"/>
        </w:rPr>
        <w:t>4</w:t>
      </w:r>
      <w:r>
        <w:rPr>
          <w:rFonts w:hint="eastAsia"/>
          <w:color w:val="auto"/>
        </w:rPr>
        <w:t>-3</w:t>
      </w:r>
      <w:r>
        <w:rPr>
          <w:color w:val="auto"/>
        </w:rPr>
        <w:t xml:space="preserve">  </w:t>
      </w:r>
      <w:r>
        <w:rPr>
          <w:rFonts w:hint="eastAsia"/>
          <w:color w:val="auto"/>
        </w:rPr>
        <w:t>环境质量监测计划</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3625"/>
        <w:gridCol w:w="3951"/>
        <w:gridCol w:w="1423"/>
      </w:tblGrid>
      <w:tr w14:paraId="43E7E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14:paraId="34275065">
            <w:pPr>
              <w:adjustRightInd/>
              <w:snapToGrid/>
              <w:spacing w:line="240" w:lineRule="auto"/>
              <w:ind w:firstLine="0" w:firstLineChars="0"/>
              <w:jc w:val="center"/>
              <w:rPr>
                <w:rFonts w:hAnsi="Calibri"/>
                <w:b/>
                <w:color w:val="auto"/>
                <w:sz w:val="21"/>
                <w:szCs w:val="21"/>
              </w:rPr>
            </w:pPr>
            <w:r>
              <w:rPr>
                <w:rFonts w:hint="eastAsia" w:hAnsi="Calibri"/>
                <w:b/>
                <w:color w:val="auto"/>
                <w:sz w:val="21"/>
                <w:szCs w:val="21"/>
              </w:rPr>
              <w:t>类别</w:t>
            </w:r>
          </w:p>
        </w:tc>
        <w:tc>
          <w:tcPr>
            <w:tcW w:w="1839" w:type="pct"/>
            <w:vAlign w:val="center"/>
          </w:tcPr>
          <w:p w14:paraId="4F01E97C">
            <w:pPr>
              <w:adjustRightInd/>
              <w:snapToGrid/>
              <w:spacing w:line="240" w:lineRule="auto"/>
              <w:ind w:firstLine="0" w:firstLineChars="0"/>
              <w:jc w:val="center"/>
              <w:rPr>
                <w:rFonts w:hAnsi="Calibri"/>
                <w:b/>
                <w:color w:val="auto"/>
                <w:sz w:val="21"/>
                <w:szCs w:val="21"/>
              </w:rPr>
            </w:pPr>
            <w:r>
              <w:rPr>
                <w:rFonts w:hint="eastAsia" w:hAnsi="Calibri"/>
                <w:b/>
                <w:color w:val="auto"/>
                <w:sz w:val="21"/>
                <w:szCs w:val="21"/>
              </w:rPr>
              <w:t>监测点位</w:t>
            </w:r>
          </w:p>
        </w:tc>
        <w:tc>
          <w:tcPr>
            <w:tcW w:w="2004" w:type="pct"/>
            <w:vAlign w:val="center"/>
          </w:tcPr>
          <w:p w14:paraId="039CAEF0">
            <w:pPr>
              <w:adjustRightInd/>
              <w:snapToGrid/>
              <w:spacing w:line="240" w:lineRule="auto"/>
              <w:ind w:firstLine="0" w:firstLineChars="0"/>
              <w:jc w:val="center"/>
              <w:rPr>
                <w:rFonts w:hAnsi="Calibri"/>
                <w:b/>
                <w:color w:val="auto"/>
                <w:sz w:val="21"/>
                <w:szCs w:val="21"/>
              </w:rPr>
            </w:pPr>
            <w:r>
              <w:rPr>
                <w:rFonts w:hint="eastAsia" w:hAnsi="Calibri"/>
                <w:b/>
                <w:color w:val="auto"/>
                <w:sz w:val="21"/>
                <w:szCs w:val="21"/>
              </w:rPr>
              <w:t>监测指标</w:t>
            </w:r>
          </w:p>
        </w:tc>
        <w:tc>
          <w:tcPr>
            <w:tcW w:w="722" w:type="pct"/>
            <w:vAlign w:val="center"/>
          </w:tcPr>
          <w:p w14:paraId="65F37EF8">
            <w:pPr>
              <w:adjustRightInd/>
              <w:snapToGrid/>
              <w:spacing w:line="240" w:lineRule="auto"/>
              <w:ind w:firstLine="0" w:firstLineChars="0"/>
              <w:jc w:val="center"/>
              <w:rPr>
                <w:rFonts w:hAnsi="Calibri"/>
                <w:b/>
                <w:color w:val="auto"/>
                <w:sz w:val="21"/>
                <w:szCs w:val="21"/>
              </w:rPr>
            </w:pPr>
            <w:r>
              <w:rPr>
                <w:rFonts w:hint="eastAsia" w:hAnsi="Calibri"/>
                <w:b/>
                <w:color w:val="auto"/>
                <w:sz w:val="21"/>
                <w:szCs w:val="21"/>
              </w:rPr>
              <w:t>监测频次</w:t>
            </w:r>
          </w:p>
        </w:tc>
      </w:tr>
      <w:tr w14:paraId="2DBF5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14:paraId="6673C4C2">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地下水</w:t>
            </w:r>
          </w:p>
        </w:tc>
        <w:tc>
          <w:tcPr>
            <w:tcW w:w="1839" w:type="pct"/>
            <w:vAlign w:val="center"/>
          </w:tcPr>
          <w:p w14:paraId="39FBAA83">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厂区上游、1#污水处理站、厂区下游</w:t>
            </w:r>
          </w:p>
        </w:tc>
        <w:tc>
          <w:tcPr>
            <w:tcW w:w="2004" w:type="pct"/>
            <w:vAlign w:val="center"/>
          </w:tcPr>
          <w:p w14:paraId="317C143D">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pH、溶解性总固体、高锰酸盐指数、氨氮</w:t>
            </w:r>
          </w:p>
        </w:tc>
        <w:tc>
          <w:tcPr>
            <w:tcW w:w="722" w:type="pct"/>
            <w:vAlign w:val="center"/>
          </w:tcPr>
          <w:p w14:paraId="6D6B3695">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每年一次</w:t>
            </w:r>
          </w:p>
        </w:tc>
      </w:tr>
      <w:tr w14:paraId="48157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14:paraId="3057AAFA">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土壤</w:t>
            </w:r>
          </w:p>
        </w:tc>
        <w:tc>
          <w:tcPr>
            <w:tcW w:w="1839" w:type="pct"/>
            <w:vAlign w:val="center"/>
          </w:tcPr>
          <w:p w14:paraId="186463D0">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污水处理站</w:t>
            </w:r>
          </w:p>
        </w:tc>
        <w:tc>
          <w:tcPr>
            <w:tcW w:w="2004" w:type="pct"/>
            <w:vAlign w:val="center"/>
          </w:tcPr>
          <w:p w14:paraId="1F83D696">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pH、45项基本因子、石油烃</w:t>
            </w:r>
          </w:p>
        </w:tc>
        <w:tc>
          <w:tcPr>
            <w:tcW w:w="722" w:type="pct"/>
            <w:vAlign w:val="center"/>
          </w:tcPr>
          <w:p w14:paraId="47617FAD">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每三年一次</w:t>
            </w:r>
          </w:p>
        </w:tc>
      </w:tr>
    </w:tbl>
    <w:p w14:paraId="16995ABA">
      <w:pPr>
        <w:ind w:firstLine="480"/>
        <w:rPr>
          <w:color w:val="auto"/>
        </w:rPr>
      </w:pPr>
      <w:r>
        <w:rPr>
          <w:rFonts w:hint="eastAsia"/>
          <w:color w:val="auto"/>
        </w:rPr>
        <w:t>上述污染源监测及环境质量监测若企业不具备监测条件，须委托当地环境监测站或得到环境管理部门认可的有资质单位进行监测，监测结果以报告形式上报当地环保部门。当地环境管理部门应对拟建的环境管理及监测的具体执行情况加以监督。</w:t>
      </w:r>
    </w:p>
    <w:bookmarkEnd w:id="431"/>
    <w:p w14:paraId="49036A38">
      <w:pPr>
        <w:pStyle w:val="4"/>
        <w:rPr>
          <w:color w:val="auto"/>
        </w:rPr>
      </w:pPr>
      <w:bookmarkStart w:id="432" w:name="_Toc31651"/>
      <w:bookmarkStart w:id="433" w:name="_Toc4000"/>
      <w:r>
        <w:rPr>
          <w:color w:val="auto"/>
        </w:rPr>
        <w:t>9.4.4</w:t>
      </w:r>
      <w:r>
        <w:rPr>
          <w:rFonts w:hint="eastAsia"/>
          <w:color w:val="auto"/>
        </w:rPr>
        <w:t>应急监测计划</w:t>
      </w:r>
      <w:bookmarkEnd w:id="432"/>
      <w:bookmarkEnd w:id="433"/>
    </w:p>
    <w:p w14:paraId="3FEEB86D">
      <w:pPr>
        <w:ind w:firstLine="480"/>
        <w:rPr>
          <w:color w:val="auto"/>
        </w:rPr>
      </w:pPr>
      <w:r>
        <w:rPr>
          <w:rFonts w:hint="eastAsia"/>
          <w:color w:val="auto"/>
        </w:rPr>
        <w:t>拟建</w:t>
      </w:r>
      <w:r>
        <w:rPr>
          <w:color w:val="auto"/>
        </w:rPr>
        <w:t>环境应急监测计划参照《突发环境事件应急监测技术规范》（HJ589-2021），见表</w:t>
      </w:r>
      <w:r>
        <w:rPr>
          <w:rFonts w:hint="eastAsia"/>
          <w:color w:val="auto"/>
        </w:rPr>
        <w:t>9.4-4。</w:t>
      </w:r>
    </w:p>
    <w:p w14:paraId="48C87944">
      <w:pPr>
        <w:pStyle w:val="49"/>
        <w:rPr>
          <w:color w:val="auto"/>
        </w:rPr>
      </w:pPr>
      <w:r>
        <w:rPr>
          <w:color w:val="auto"/>
        </w:rPr>
        <w:t>表</w:t>
      </w:r>
      <w:r>
        <w:rPr>
          <w:rFonts w:hint="eastAsia"/>
          <w:color w:val="auto"/>
        </w:rPr>
        <w:t>9.4-4</w:t>
      </w:r>
      <w:r>
        <w:rPr>
          <w:color w:val="auto"/>
        </w:rPr>
        <w:t xml:space="preserve">  应急监测计划</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16"/>
        <w:gridCol w:w="2715"/>
        <w:gridCol w:w="1598"/>
        <w:gridCol w:w="3119"/>
        <w:gridCol w:w="1003"/>
      </w:tblGrid>
      <w:tr w14:paraId="0E2AB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Align w:val="center"/>
          </w:tcPr>
          <w:p w14:paraId="3E762C6D">
            <w:pPr>
              <w:adjustRightInd/>
              <w:snapToGrid/>
              <w:spacing w:line="240" w:lineRule="auto"/>
              <w:ind w:firstLine="0" w:firstLineChars="0"/>
              <w:jc w:val="center"/>
              <w:rPr>
                <w:rFonts w:hAnsi="Calibri"/>
                <w:b/>
                <w:color w:val="auto"/>
                <w:sz w:val="21"/>
                <w:szCs w:val="21"/>
              </w:rPr>
            </w:pPr>
            <w:r>
              <w:rPr>
                <w:rFonts w:hint="eastAsia" w:hAnsi="Calibri"/>
                <w:b/>
                <w:color w:val="auto"/>
                <w:sz w:val="21"/>
                <w:szCs w:val="21"/>
              </w:rPr>
              <w:t>事故类型</w:t>
            </w:r>
          </w:p>
        </w:tc>
        <w:tc>
          <w:tcPr>
            <w:tcW w:w="1392" w:type="pct"/>
            <w:vAlign w:val="center"/>
          </w:tcPr>
          <w:p w14:paraId="4342EAB0">
            <w:pPr>
              <w:adjustRightInd/>
              <w:snapToGrid/>
              <w:spacing w:line="240" w:lineRule="auto"/>
              <w:ind w:firstLine="0" w:firstLineChars="0"/>
              <w:jc w:val="center"/>
              <w:rPr>
                <w:rFonts w:hAnsi="Calibri"/>
                <w:b/>
                <w:color w:val="auto"/>
                <w:sz w:val="21"/>
                <w:szCs w:val="21"/>
              </w:rPr>
            </w:pPr>
            <w:r>
              <w:rPr>
                <w:rFonts w:hint="eastAsia" w:hAnsi="Calibri"/>
                <w:b/>
                <w:color w:val="auto"/>
                <w:sz w:val="21"/>
                <w:szCs w:val="21"/>
              </w:rPr>
              <w:t>监测项目</w:t>
            </w:r>
          </w:p>
        </w:tc>
        <w:tc>
          <w:tcPr>
            <w:tcW w:w="819" w:type="pct"/>
            <w:vAlign w:val="center"/>
          </w:tcPr>
          <w:p w14:paraId="1B535DA0">
            <w:pPr>
              <w:adjustRightInd/>
              <w:snapToGrid/>
              <w:spacing w:line="240" w:lineRule="auto"/>
              <w:ind w:firstLine="0" w:firstLineChars="0"/>
              <w:jc w:val="center"/>
              <w:rPr>
                <w:rFonts w:hAnsi="Calibri"/>
                <w:b/>
                <w:color w:val="auto"/>
                <w:sz w:val="21"/>
                <w:szCs w:val="21"/>
              </w:rPr>
            </w:pPr>
            <w:r>
              <w:rPr>
                <w:rFonts w:hint="eastAsia" w:hAnsi="Calibri"/>
                <w:b/>
                <w:color w:val="auto"/>
                <w:sz w:val="21"/>
                <w:szCs w:val="21"/>
              </w:rPr>
              <w:t>监测频次</w:t>
            </w:r>
          </w:p>
        </w:tc>
        <w:tc>
          <w:tcPr>
            <w:tcW w:w="1599" w:type="pct"/>
            <w:vAlign w:val="center"/>
          </w:tcPr>
          <w:p w14:paraId="1641C379">
            <w:pPr>
              <w:adjustRightInd/>
              <w:snapToGrid/>
              <w:spacing w:line="240" w:lineRule="auto"/>
              <w:ind w:firstLine="0" w:firstLineChars="0"/>
              <w:jc w:val="center"/>
              <w:rPr>
                <w:rFonts w:hAnsi="Calibri"/>
                <w:b/>
                <w:color w:val="auto"/>
                <w:sz w:val="21"/>
                <w:szCs w:val="21"/>
              </w:rPr>
            </w:pPr>
            <w:r>
              <w:rPr>
                <w:rFonts w:hint="eastAsia" w:hAnsi="Calibri"/>
                <w:b/>
                <w:color w:val="auto"/>
                <w:sz w:val="21"/>
                <w:szCs w:val="21"/>
              </w:rPr>
              <w:t>监测点位</w:t>
            </w:r>
          </w:p>
        </w:tc>
        <w:tc>
          <w:tcPr>
            <w:tcW w:w="513" w:type="pct"/>
            <w:vAlign w:val="center"/>
          </w:tcPr>
          <w:p w14:paraId="41FA3EDA">
            <w:pPr>
              <w:adjustRightInd/>
              <w:snapToGrid/>
              <w:spacing w:line="240" w:lineRule="auto"/>
              <w:ind w:firstLine="0" w:firstLineChars="0"/>
              <w:jc w:val="center"/>
              <w:rPr>
                <w:rFonts w:hAnsi="Calibri"/>
                <w:b/>
                <w:color w:val="auto"/>
                <w:sz w:val="21"/>
                <w:szCs w:val="21"/>
              </w:rPr>
            </w:pPr>
            <w:r>
              <w:rPr>
                <w:rFonts w:hint="eastAsia" w:hAnsi="Calibri"/>
                <w:b/>
                <w:color w:val="auto"/>
                <w:sz w:val="21"/>
                <w:szCs w:val="21"/>
              </w:rPr>
              <w:t>监测</w:t>
            </w:r>
          </w:p>
          <w:p w14:paraId="66748865">
            <w:pPr>
              <w:adjustRightInd/>
              <w:snapToGrid/>
              <w:spacing w:line="240" w:lineRule="auto"/>
              <w:ind w:firstLine="0" w:firstLineChars="0"/>
              <w:jc w:val="center"/>
              <w:rPr>
                <w:rFonts w:hAnsi="Calibri"/>
                <w:b/>
                <w:color w:val="auto"/>
                <w:sz w:val="21"/>
                <w:szCs w:val="21"/>
              </w:rPr>
            </w:pPr>
            <w:r>
              <w:rPr>
                <w:rFonts w:hint="eastAsia" w:hAnsi="Calibri"/>
                <w:b/>
                <w:color w:val="auto"/>
                <w:sz w:val="21"/>
                <w:szCs w:val="21"/>
              </w:rPr>
              <w:t>单位</w:t>
            </w:r>
          </w:p>
        </w:tc>
      </w:tr>
      <w:tr w14:paraId="23423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Align w:val="center"/>
          </w:tcPr>
          <w:p w14:paraId="6525275B">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装置、罐区、仓库等发生泄露</w:t>
            </w:r>
          </w:p>
        </w:tc>
        <w:tc>
          <w:tcPr>
            <w:tcW w:w="1392" w:type="pct"/>
            <w:vAlign w:val="center"/>
          </w:tcPr>
          <w:p w14:paraId="04F628EF">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二氧化硫、氨气、颗粒物等</w:t>
            </w:r>
          </w:p>
        </w:tc>
        <w:tc>
          <w:tcPr>
            <w:tcW w:w="819" w:type="pct"/>
            <w:vMerge w:val="restart"/>
            <w:vAlign w:val="center"/>
          </w:tcPr>
          <w:p w14:paraId="45FAE385">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监测频次为1天4次，紧急情况时可增加为1次/2小时</w:t>
            </w:r>
          </w:p>
        </w:tc>
        <w:tc>
          <w:tcPr>
            <w:tcW w:w="1599" w:type="pct"/>
            <w:vMerge w:val="restart"/>
            <w:vAlign w:val="center"/>
          </w:tcPr>
          <w:p w14:paraId="09D9C509">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生产装置、罐区或仓库所处区域的最近厂界或上风向对照点、事故装置的下风向厂界、下风向最近的敏感保护目标处各设置一个大气环境监测点。</w:t>
            </w:r>
          </w:p>
        </w:tc>
        <w:tc>
          <w:tcPr>
            <w:tcW w:w="513" w:type="pct"/>
            <w:vMerge w:val="restart"/>
            <w:vAlign w:val="center"/>
          </w:tcPr>
          <w:p w14:paraId="2649068E">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有资质的环境监测部门</w:t>
            </w:r>
          </w:p>
        </w:tc>
      </w:tr>
      <w:tr w14:paraId="67EE2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92" w:hRule="atLeast"/>
          <w:jc w:val="center"/>
        </w:trPr>
        <w:tc>
          <w:tcPr>
            <w:tcW w:w="675" w:type="pct"/>
            <w:vAlign w:val="center"/>
          </w:tcPr>
          <w:p w14:paraId="5C30820B">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装置、罐区、仓库等发生火灾爆炸</w:t>
            </w:r>
          </w:p>
        </w:tc>
        <w:tc>
          <w:tcPr>
            <w:tcW w:w="1392" w:type="pct"/>
            <w:vAlign w:val="center"/>
          </w:tcPr>
          <w:p w14:paraId="3168D089">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二氧化硫、氨气、CO等</w:t>
            </w:r>
          </w:p>
        </w:tc>
        <w:tc>
          <w:tcPr>
            <w:tcW w:w="819" w:type="pct"/>
            <w:vMerge w:val="continue"/>
            <w:vAlign w:val="center"/>
          </w:tcPr>
          <w:p w14:paraId="5B1186FB">
            <w:pPr>
              <w:adjustRightInd/>
              <w:snapToGrid/>
              <w:spacing w:line="240" w:lineRule="auto"/>
              <w:ind w:firstLine="0" w:firstLineChars="0"/>
              <w:jc w:val="center"/>
              <w:rPr>
                <w:rFonts w:hAnsi="Calibri"/>
                <w:bCs/>
                <w:color w:val="auto"/>
                <w:sz w:val="21"/>
                <w:szCs w:val="21"/>
              </w:rPr>
            </w:pPr>
          </w:p>
        </w:tc>
        <w:tc>
          <w:tcPr>
            <w:tcW w:w="1599" w:type="pct"/>
            <w:vMerge w:val="continue"/>
            <w:vAlign w:val="center"/>
          </w:tcPr>
          <w:p w14:paraId="75B3AA9C">
            <w:pPr>
              <w:adjustRightInd/>
              <w:snapToGrid/>
              <w:spacing w:line="240" w:lineRule="auto"/>
              <w:ind w:firstLine="0" w:firstLineChars="0"/>
              <w:jc w:val="center"/>
              <w:rPr>
                <w:rFonts w:hAnsi="Calibri"/>
                <w:bCs/>
                <w:color w:val="auto"/>
                <w:sz w:val="21"/>
                <w:szCs w:val="21"/>
              </w:rPr>
            </w:pPr>
          </w:p>
        </w:tc>
        <w:tc>
          <w:tcPr>
            <w:tcW w:w="513" w:type="pct"/>
            <w:vMerge w:val="continue"/>
            <w:vAlign w:val="center"/>
          </w:tcPr>
          <w:p w14:paraId="45BEAD79">
            <w:pPr>
              <w:adjustRightInd/>
              <w:snapToGrid/>
              <w:spacing w:line="240" w:lineRule="auto"/>
              <w:ind w:firstLine="0" w:firstLineChars="0"/>
              <w:jc w:val="center"/>
              <w:rPr>
                <w:rFonts w:hAnsi="Calibri"/>
                <w:bCs/>
                <w:color w:val="auto"/>
                <w:sz w:val="21"/>
                <w:szCs w:val="21"/>
              </w:rPr>
            </w:pPr>
          </w:p>
        </w:tc>
      </w:tr>
      <w:tr w14:paraId="6D718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Align w:val="center"/>
          </w:tcPr>
          <w:p w14:paraId="54234153">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废气处理设施故障</w:t>
            </w:r>
          </w:p>
        </w:tc>
        <w:tc>
          <w:tcPr>
            <w:tcW w:w="1392" w:type="pct"/>
            <w:vAlign w:val="center"/>
          </w:tcPr>
          <w:p w14:paraId="3D1652D9">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二氧化硫、氨气、颗粒物等</w:t>
            </w:r>
          </w:p>
        </w:tc>
        <w:tc>
          <w:tcPr>
            <w:tcW w:w="819" w:type="pct"/>
            <w:vMerge w:val="continue"/>
            <w:vAlign w:val="center"/>
          </w:tcPr>
          <w:p w14:paraId="17B46B37">
            <w:pPr>
              <w:adjustRightInd/>
              <w:snapToGrid/>
              <w:spacing w:line="240" w:lineRule="auto"/>
              <w:ind w:firstLine="0" w:firstLineChars="0"/>
              <w:jc w:val="center"/>
              <w:rPr>
                <w:rFonts w:hAnsi="Calibri"/>
                <w:bCs/>
                <w:color w:val="auto"/>
                <w:sz w:val="21"/>
                <w:szCs w:val="21"/>
              </w:rPr>
            </w:pPr>
          </w:p>
        </w:tc>
        <w:tc>
          <w:tcPr>
            <w:tcW w:w="1599" w:type="pct"/>
            <w:vAlign w:val="center"/>
          </w:tcPr>
          <w:p w14:paraId="44DB2CB0">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拟建项目涉及废气排气筒排口</w:t>
            </w:r>
          </w:p>
        </w:tc>
        <w:tc>
          <w:tcPr>
            <w:tcW w:w="513" w:type="pct"/>
            <w:vMerge w:val="continue"/>
            <w:vAlign w:val="center"/>
          </w:tcPr>
          <w:p w14:paraId="327CEF9F">
            <w:pPr>
              <w:adjustRightInd/>
              <w:snapToGrid/>
              <w:spacing w:line="240" w:lineRule="auto"/>
              <w:ind w:firstLine="0" w:firstLineChars="0"/>
              <w:jc w:val="center"/>
              <w:rPr>
                <w:rFonts w:hAnsi="Calibri"/>
                <w:bCs/>
                <w:color w:val="auto"/>
                <w:sz w:val="21"/>
                <w:szCs w:val="21"/>
              </w:rPr>
            </w:pPr>
          </w:p>
        </w:tc>
      </w:tr>
      <w:tr w14:paraId="403A3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Align w:val="center"/>
          </w:tcPr>
          <w:p w14:paraId="52CC0682">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废水处理</w:t>
            </w:r>
          </w:p>
          <w:p w14:paraId="768BE17B">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设施故障</w:t>
            </w:r>
          </w:p>
        </w:tc>
        <w:tc>
          <w:tcPr>
            <w:tcW w:w="1392" w:type="pct"/>
            <w:vAlign w:val="center"/>
          </w:tcPr>
          <w:p w14:paraId="18870D15">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COD、氨氮、SS、TP、TN、等</w:t>
            </w:r>
          </w:p>
        </w:tc>
        <w:tc>
          <w:tcPr>
            <w:tcW w:w="819" w:type="pct"/>
            <w:vMerge w:val="restart"/>
            <w:vAlign w:val="center"/>
          </w:tcPr>
          <w:p w14:paraId="662DBCE7">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监测频次为1次/3小时，紧急情况时可增加为1次/小时。</w:t>
            </w:r>
          </w:p>
        </w:tc>
        <w:tc>
          <w:tcPr>
            <w:tcW w:w="1599" w:type="pct"/>
            <w:vAlign w:val="center"/>
          </w:tcPr>
          <w:p w14:paraId="69A843E8">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厂区污水处理设施排口</w:t>
            </w:r>
          </w:p>
        </w:tc>
        <w:tc>
          <w:tcPr>
            <w:tcW w:w="513" w:type="pct"/>
            <w:vMerge w:val="continue"/>
            <w:vAlign w:val="center"/>
          </w:tcPr>
          <w:p w14:paraId="3D2D28D1">
            <w:pPr>
              <w:adjustRightInd/>
              <w:snapToGrid/>
              <w:spacing w:line="240" w:lineRule="auto"/>
              <w:ind w:firstLine="0" w:firstLineChars="0"/>
              <w:jc w:val="center"/>
              <w:rPr>
                <w:rFonts w:hAnsi="Calibri"/>
                <w:bCs/>
                <w:color w:val="auto"/>
                <w:sz w:val="21"/>
                <w:szCs w:val="21"/>
              </w:rPr>
            </w:pPr>
          </w:p>
        </w:tc>
      </w:tr>
      <w:tr w14:paraId="51D3C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Align w:val="center"/>
          </w:tcPr>
          <w:p w14:paraId="67B87267">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物料泄漏</w:t>
            </w:r>
          </w:p>
          <w:p w14:paraId="11271D32">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产生废水</w:t>
            </w:r>
          </w:p>
        </w:tc>
        <w:tc>
          <w:tcPr>
            <w:tcW w:w="1392" w:type="pct"/>
            <w:vAlign w:val="center"/>
          </w:tcPr>
          <w:p w14:paraId="35EBC94A">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pH、COD、氨氮、TP、TN及泄露物料</w:t>
            </w:r>
          </w:p>
        </w:tc>
        <w:tc>
          <w:tcPr>
            <w:tcW w:w="819" w:type="pct"/>
            <w:vMerge w:val="continue"/>
            <w:vAlign w:val="center"/>
          </w:tcPr>
          <w:p w14:paraId="12040BAC">
            <w:pPr>
              <w:adjustRightInd/>
              <w:snapToGrid/>
              <w:spacing w:line="240" w:lineRule="auto"/>
              <w:ind w:firstLine="0" w:firstLineChars="0"/>
              <w:jc w:val="center"/>
              <w:rPr>
                <w:rFonts w:hAnsi="Calibri"/>
                <w:bCs/>
                <w:color w:val="auto"/>
                <w:sz w:val="21"/>
                <w:szCs w:val="21"/>
              </w:rPr>
            </w:pPr>
          </w:p>
        </w:tc>
        <w:tc>
          <w:tcPr>
            <w:tcW w:w="1599" w:type="pct"/>
            <w:vAlign w:val="center"/>
          </w:tcPr>
          <w:p w14:paraId="4B83E578">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离事故装置区最近管网阴井、出现超标的雨水排放口或污水处理装置的尾水排放口。</w:t>
            </w:r>
          </w:p>
        </w:tc>
        <w:tc>
          <w:tcPr>
            <w:tcW w:w="513" w:type="pct"/>
            <w:vMerge w:val="continue"/>
            <w:vAlign w:val="center"/>
          </w:tcPr>
          <w:p w14:paraId="22889050">
            <w:pPr>
              <w:adjustRightInd/>
              <w:snapToGrid/>
              <w:spacing w:line="240" w:lineRule="auto"/>
              <w:ind w:firstLine="0" w:firstLineChars="0"/>
              <w:jc w:val="center"/>
              <w:rPr>
                <w:rFonts w:hAnsi="Calibri"/>
                <w:bCs/>
                <w:color w:val="auto"/>
                <w:sz w:val="21"/>
                <w:szCs w:val="21"/>
              </w:rPr>
            </w:pPr>
          </w:p>
        </w:tc>
      </w:tr>
      <w:tr w14:paraId="47025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Align w:val="center"/>
          </w:tcPr>
          <w:p w14:paraId="33F544C3">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其他</w:t>
            </w:r>
          </w:p>
        </w:tc>
        <w:tc>
          <w:tcPr>
            <w:tcW w:w="4324" w:type="pct"/>
            <w:gridSpan w:val="4"/>
            <w:vAlign w:val="center"/>
          </w:tcPr>
          <w:p w14:paraId="2417845C">
            <w:pPr>
              <w:adjustRightInd/>
              <w:snapToGrid/>
              <w:spacing w:line="240" w:lineRule="auto"/>
              <w:ind w:firstLine="0" w:firstLineChars="0"/>
              <w:jc w:val="center"/>
              <w:rPr>
                <w:rFonts w:hAnsi="Calibri"/>
                <w:bCs/>
                <w:color w:val="auto"/>
                <w:sz w:val="21"/>
                <w:szCs w:val="21"/>
              </w:rPr>
            </w:pPr>
            <w:r>
              <w:rPr>
                <w:rFonts w:hint="eastAsia" w:hAnsi="Calibri"/>
                <w:bCs/>
                <w:color w:val="auto"/>
                <w:sz w:val="21"/>
                <w:szCs w:val="21"/>
              </w:rPr>
              <w:t>在正常生产过程中，将根据日常监测数据，及时对废水排放、废气排放等状况进行分析，对潜在的超标趋势及时预测，对可能造成环境污染及时预警，确保有效控制对外环境的污染。</w:t>
            </w:r>
          </w:p>
        </w:tc>
      </w:tr>
    </w:tbl>
    <w:p w14:paraId="7BCD773F">
      <w:pPr>
        <w:adjustRightInd/>
        <w:snapToGrid/>
        <w:ind w:firstLine="480"/>
        <w:rPr>
          <w:rFonts w:hint="eastAsia" w:hAnsi="宋体"/>
          <w:color w:val="auto"/>
        </w:rPr>
        <w:sectPr>
          <w:pgSz w:w="11905" w:h="16838"/>
          <w:pgMar w:top="1134" w:right="1134" w:bottom="1134" w:left="1134" w:header="850" w:footer="992" w:gutter="0"/>
          <w:cols w:space="720" w:num="1"/>
          <w:docGrid w:type="lines" w:linePitch="385" w:charSpace="0"/>
        </w:sectPr>
      </w:pPr>
    </w:p>
    <w:p w14:paraId="617EF82E">
      <w:pPr>
        <w:pStyle w:val="2"/>
        <w:spacing w:before="385" w:after="385"/>
        <w:rPr>
          <w:rFonts w:hint="eastAsia"/>
          <w:color w:val="auto"/>
        </w:rPr>
      </w:pPr>
      <w:bookmarkStart w:id="434" w:name="_Toc9563"/>
      <w:bookmarkStart w:id="435" w:name="_Toc8496"/>
      <w:bookmarkStart w:id="436" w:name="_Toc26224"/>
      <w:r>
        <w:rPr>
          <w:rFonts w:hint="eastAsia"/>
          <w:color w:val="auto"/>
        </w:rPr>
        <w:t>环境影响评价结论</w:t>
      </w:r>
      <w:bookmarkEnd w:id="434"/>
      <w:bookmarkEnd w:id="435"/>
      <w:bookmarkEnd w:id="436"/>
    </w:p>
    <w:p w14:paraId="4B61C38B">
      <w:pPr>
        <w:pStyle w:val="3"/>
        <w:spacing w:before="385"/>
        <w:rPr>
          <w:color w:val="auto"/>
        </w:rPr>
      </w:pPr>
      <w:bookmarkStart w:id="437" w:name="_Toc21499"/>
      <w:bookmarkStart w:id="438" w:name="_Toc109328686"/>
      <w:bookmarkStart w:id="439" w:name="_Toc9459"/>
      <w:bookmarkStart w:id="440" w:name="_Toc28812"/>
      <w:bookmarkStart w:id="441" w:name="_Toc122183875"/>
      <w:bookmarkStart w:id="442" w:name="_Toc134165170"/>
      <w:bookmarkStart w:id="443" w:name="_Toc94265674"/>
      <w:bookmarkStart w:id="444" w:name="_Toc94209478"/>
      <w:r>
        <w:rPr>
          <w:color w:val="auto"/>
        </w:rPr>
        <w:t>10.</w:t>
      </w:r>
      <w:r>
        <w:rPr>
          <w:rFonts w:hint="eastAsia"/>
          <w:color w:val="auto"/>
        </w:rPr>
        <w:t>1建设项目概况</w:t>
      </w:r>
      <w:bookmarkEnd w:id="437"/>
      <w:bookmarkEnd w:id="438"/>
      <w:bookmarkEnd w:id="439"/>
      <w:bookmarkEnd w:id="440"/>
      <w:bookmarkEnd w:id="441"/>
    </w:p>
    <w:p w14:paraId="72D6BF7D">
      <w:pPr>
        <w:ind w:firstLine="480"/>
        <w:rPr>
          <w:color w:val="auto"/>
        </w:rPr>
      </w:pPr>
      <w:bookmarkStart w:id="445" w:name="_Toc3225"/>
      <w:bookmarkStart w:id="446" w:name="_Toc109328687"/>
      <w:bookmarkStart w:id="447" w:name="_Toc122183876"/>
      <w:r>
        <w:rPr>
          <w:rFonts w:hint="eastAsia"/>
          <w:color w:val="auto"/>
        </w:rPr>
        <w:t>为优化产品结构、深挖现有装置产能潜力、延伸上下游产业链、提升企业市场抗风险与综合竞争能力，启东亚太药业有限公司拟在启东生命健康产业园现有厂区内实施亚硫酸盐及硫代硫酸盐系列产品多元化技改项目。</w:t>
      </w:r>
    </w:p>
    <w:p w14:paraId="54E8E4D3">
      <w:pPr>
        <w:ind w:firstLine="480"/>
        <w:rPr>
          <w:color w:val="auto"/>
        </w:rPr>
      </w:pPr>
      <w:r>
        <w:rPr>
          <w:rFonts w:hint="eastAsia"/>
          <w:color w:val="auto"/>
        </w:rPr>
        <w:t>拟建项目无需新增生产设备土建施工，仅通过调整切换吸收液组分、优化工艺控制参数实现多品种生产：依托现有2#车间原有20000t/a亚硫酸氢铵生产装置，更换吸收介质（氨水、液碱、氢氧化钾溶液），在硫磺焚烧产能维持不变、亚硫酸氢铵原有产能保持20000吨/年不变的前提下，联产亚硫酸钾溶液、亚硫酸钠溶液，配套1#车间现有浓缩结晶设施按需加工固体亚硫酸盐产品；依托1#车间现有2000t/a硫代硫酸钠原料药生产线共用设备，拓展硫代硫酸铵、硫代硫酸钙、硫代硫酸镁、硫代硫酸钾溶液及一水亚硫酸铵产品生产，现有硫代硫酸钠产能保持不变。项目储运、公用、辅助工程绝大部分依托厂区已建成设施，环保治理依托现有废气喷淋、除尘等配套装置，不新增主体环保构筑物。</w:t>
      </w:r>
    </w:p>
    <w:p w14:paraId="0C56A1A8">
      <w:pPr>
        <w:ind w:firstLine="480"/>
        <w:rPr>
          <w:color w:val="auto"/>
        </w:rPr>
      </w:pPr>
      <w:r>
        <w:rPr>
          <w:rFonts w:hint="eastAsia"/>
          <w:color w:val="auto"/>
        </w:rPr>
        <w:t>拟建项目实施后，实现亚硫酸盐、硫代硫酸盐多品类系列产品生产，项目依托现有环保系统，新增污染物产排量少，各类污染物排放总量在企业现有排污许可核定指标内平衡，不突破原有排污总量管控要求。项目采用“一套装置多产品”的生产模式，在盘活存量装置、优化产品结构、降低危化品仓储安全风险、提升产品附加值的同时，契合精细无机盐行业精细化、多元化绿色发展方向。</w:t>
      </w:r>
    </w:p>
    <w:p w14:paraId="57A6EAF3">
      <w:pPr>
        <w:pStyle w:val="3"/>
        <w:spacing w:before="385"/>
        <w:rPr>
          <w:color w:val="auto"/>
        </w:rPr>
      </w:pPr>
      <w:bookmarkStart w:id="448" w:name="_Toc30366"/>
      <w:bookmarkStart w:id="449" w:name="_Toc10711"/>
      <w:r>
        <w:rPr>
          <w:color w:val="auto"/>
        </w:rPr>
        <w:t>10.2</w:t>
      </w:r>
      <w:r>
        <w:rPr>
          <w:rFonts w:hint="eastAsia"/>
          <w:color w:val="auto"/>
        </w:rPr>
        <w:t>环境质量现状</w:t>
      </w:r>
      <w:bookmarkEnd w:id="445"/>
      <w:bookmarkEnd w:id="446"/>
      <w:bookmarkEnd w:id="447"/>
      <w:bookmarkEnd w:id="448"/>
      <w:bookmarkEnd w:id="449"/>
    </w:p>
    <w:p w14:paraId="0E7E14AE">
      <w:pPr>
        <w:ind w:firstLine="480"/>
        <w:rPr>
          <w:color w:val="auto"/>
        </w:rPr>
      </w:pPr>
      <w:r>
        <w:rPr>
          <w:rFonts w:hint="eastAsia"/>
          <w:color w:val="auto"/>
        </w:rPr>
        <w:t>大气环境：项目所在地属于环境空气质量达标区域，</w:t>
      </w:r>
      <w:r>
        <w:rPr>
          <w:color w:val="auto"/>
        </w:rPr>
        <w:t>SO</w:t>
      </w:r>
      <w:r>
        <w:rPr>
          <w:color w:val="auto"/>
          <w:vertAlign w:val="subscript"/>
        </w:rPr>
        <w:t>2</w:t>
      </w:r>
      <w:r>
        <w:rPr>
          <w:color w:val="auto"/>
        </w:rPr>
        <w:t>、NO</w:t>
      </w:r>
      <w:r>
        <w:rPr>
          <w:color w:val="auto"/>
          <w:vertAlign w:val="subscript"/>
        </w:rPr>
        <w:t>2</w:t>
      </w:r>
      <w:r>
        <w:rPr>
          <w:color w:val="auto"/>
        </w:rPr>
        <w:t>、NO</w:t>
      </w:r>
      <w:r>
        <w:rPr>
          <w:color w:val="auto"/>
          <w:vertAlign w:val="subscript"/>
        </w:rPr>
        <w:t>x</w:t>
      </w:r>
      <w:r>
        <w:rPr>
          <w:color w:val="auto"/>
        </w:rPr>
        <w:t>、PM</w:t>
      </w:r>
      <w:r>
        <w:rPr>
          <w:color w:val="auto"/>
          <w:vertAlign w:val="subscript"/>
        </w:rPr>
        <w:t>10</w:t>
      </w:r>
      <w:r>
        <w:rPr>
          <w:color w:val="auto"/>
        </w:rPr>
        <w:t>、PM</w:t>
      </w:r>
      <w:r>
        <w:rPr>
          <w:color w:val="auto"/>
          <w:vertAlign w:val="subscript"/>
        </w:rPr>
        <w:t>2.5</w:t>
      </w:r>
      <w:r>
        <w:rPr>
          <w:color w:val="auto"/>
        </w:rPr>
        <w:t>、CO、O</w:t>
      </w:r>
      <w:r>
        <w:rPr>
          <w:color w:val="auto"/>
          <w:vertAlign w:val="subscript"/>
        </w:rPr>
        <w:t>3</w:t>
      </w:r>
      <w:r>
        <w:rPr>
          <w:rFonts w:hint="eastAsia"/>
          <w:color w:val="auto"/>
        </w:rPr>
        <w:t>执行《环境空气质量标准》（GB3095-2026）中的二级标准。此外，本次项目所在区域大气环境质量现状实测的各监测点位各项监测指标小时浓度和日均浓度均能符合相应标准要求。</w:t>
      </w:r>
    </w:p>
    <w:p w14:paraId="56C71A20">
      <w:pPr>
        <w:ind w:firstLine="480"/>
        <w:rPr>
          <w:color w:val="auto"/>
        </w:rPr>
      </w:pPr>
      <w:r>
        <w:rPr>
          <w:rFonts w:hint="eastAsia"/>
          <w:color w:val="auto"/>
        </w:rPr>
        <w:t>江风河水质监测断面各项监测因子均能满足《地表水环境质量标准》（GB3838-2002）III类标准。</w:t>
      </w:r>
    </w:p>
    <w:p w14:paraId="4EAEA77F">
      <w:pPr>
        <w:ind w:firstLine="480"/>
        <w:rPr>
          <w:color w:val="auto"/>
        </w:rPr>
      </w:pPr>
      <w:r>
        <w:rPr>
          <w:rFonts w:hint="eastAsia"/>
          <w:color w:val="auto"/>
        </w:rPr>
        <w:t>地下水评价区水质监测结果表明，评价区地下水水质总体上符合《地下水质量标准》（GB/T14848-2017）中IV类水标准。</w:t>
      </w:r>
    </w:p>
    <w:p w14:paraId="29B02895">
      <w:pPr>
        <w:ind w:firstLine="480"/>
        <w:rPr>
          <w:color w:val="auto"/>
        </w:rPr>
      </w:pPr>
      <w:r>
        <w:rPr>
          <w:rFonts w:hint="eastAsia"/>
          <w:color w:val="auto"/>
        </w:rPr>
        <w:t>声环境现状监测结果表明，厂区及周围区域噪声值均能满足《声环境质量标准》（GB3096-2008）中3类标准，表明建设项目所在地声环境较好。</w:t>
      </w:r>
    </w:p>
    <w:p w14:paraId="70E30079">
      <w:pPr>
        <w:ind w:firstLine="480"/>
        <w:rPr>
          <w:color w:val="auto"/>
          <w:kern w:val="0"/>
        </w:rPr>
      </w:pPr>
      <w:r>
        <w:rPr>
          <w:rFonts w:hint="eastAsia"/>
          <w:color w:val="auto"/>
        </w:rPr>
        <w:t>土壤环境现状监测结果表明，土壤环境质量现状监测期间，监测点位T1~T7、T9、T11各监测指标满足《土壤环境质量 建设用地土壤污染风险管控标准(试行)》(GB36600-2018)第二类用地筛选值的要求，监测点位T8、T10各监测指标满足《土壤环境质量 农用地土壤污染风险管控标准(试行)》(GB36600-2018)风险筛选值的要求，土壤环境质量总体良好。</w:t>
      </w:r>
    </w:p>
    <w:p w14:paraId="451482CF">
      <w:pPr>
        <w:pStyle w:val="3"/>
        <w:spacing w:before="385"/>
        <w:rPr>
          <w:color w:val="auto"/>
        </w:rPr>
      </w:pPr>
      <w:bookmarkStart w:id="450" w:name="_Toc109328688"/>
      <w:bookmarkStart w:id="451" w:name="_Toc11110"/>
      <w:bookmarkStart w:id="452" w:name="_Toc31315"/>
      <w:bookmarkStart w:id="453" w:name="_Toc122183877"/>
      <w:bookmarkStart w:id="454" w:name="_Toc6515"/>
      <w:r>
        <w:rPr>
          <w:color w:val="auto"/>
        </w:rPr>
        <w:t>10.3</w:t>
      </w:r>
      <w:r>
        <w:rPr>
          <w:rFonts w:hint="eastAsia"/>
          <w:color w:val="auto"/>
        </w:rPr>
        <w:t>环境</w:t>
      </w:r>
      <w:r>
        <w:rPr>
          <w:color w:val="auto"/>
        </w:rPr>
        <w:t>保护措施及</w:t>
      </w:r>
      <w:r>
        <w:rPr>
          <w:rFonts w:hint="eastAsia"/>
          <w:color w:val="auto"/>
        </w:rPr>
        <w:t>污染物排放情况</w:t>
      </w:r>
      <w:bookmarkEnd w:id="450"/>
      <w:bookmarkEnd w:id="451"/>
      <w:bookmarkEnd w:id="452"/>
      <w:bookmarkEnd w:id="453"/>
      <w:bookmarkEnd w:id="454"/>
    </w:p>
    <w:p w14:paraId="6CE391CE">
      <w:pPr>
        <w:ind w:firstLine="480"/>
        <w:rPr>
          <w:color w:val="auto"/>
        </w:rPr>
      </w:pPr>
      <w:r>
        <w:rPr>
          <w:color w:val="auto"/>
        </w:rPr>
        <w:t>（1）废水</w:t>
      </w:r>
    </w:p>
    <w:p w14:paraId="0FB4B3C6">
      <w:pPr>
        <w:ind w:firstLine="480"/>
        <w:rPr>
          <w:color w:val="auto"/>
        </w:rPr>
      </w:pPr>
      <w:r>
        <w:rPr>
          <w:rFonts w:hint="eastAsia"/>
          <w:color w:val="auto"/>
        </w:rPr>
        <w:t>拟建项目废水采用“分类收集、分质处理”的方法，项目不产生工艺废水，依据水质差异划分为实验室废水、空压机废水、纯水制备浓水、循环冷却系统排水四类。其中实验室废水、空压机废水经厂区1#污水站的调节池+臭氧氧化单元预处理，纯水制备浓水与循环冷却系统排水进入厂区1#污水处理站集污池后，与实验室废水、空压机废水汇集，满足园区污水处理厂联合环境水务（启东）有限公司接管标准后，接管至该污水厂处理，最终排入长江。</w:t>
      </w:r>
    </w:p>
    <w:p w14:paraId="314238AF">
      <w:pPr>
        <w:ind w:firstLine="480"/>
        <w:rPr>
          <w:color w:val="auto"/>
        </w:rPr>
      </w:pPr>
      <w:r>
        <w:rPr>
          <w:color w:val="auto"/>
        </w:rPr>
        <w:t>（2）废气</w:t>
      </w:r>
    </w:p>
    <w:p w14:paraId="5B10756F">
      <w:pPr>
        <w:ind w:firstLine="480"/>
        <w:rPr>
          <w:color w:val="auto"/>
        </w:rPr>
      </w:pPr>
      <w:r>
        <w:rPr>
          <w:rFonts w:hint="eastAsia"/>
          <w:color w:val="auto"/>
        </w:rPr>
        <w:t>拟建项目亚硫酸盐生产过程中硫磺焚烧废气、二段吸收废气、硫代硫酸镁生产过程中中和废气，均以二氧化硫为主，依托现有2#车间的“碱吸收+水喷淋＋电除雾”装置处理后由40米高排气筒DA002达标排放。亚硫酸盐干燥工序产生的干燥废气则由1#车间设备自带布袋除尘器处置，随后由25米高排气筒DA006达标排放。</w:t>
      </w:r>
    </w:p>
    <w:p w14:paraId="6E12A2A5">
      <w:pPr>
        <w:ind w:firstLine="480"/>
        <w:rPr>
          <w:color w:val="auto"/>
        </w:rPr>
      </w:pPr>
      <w:r>
        <w:rPr>
          <w:rFonts w:hint="eastAsia"/>
          <w:color w:val="auto"/>
        </w:rPr>
        <w:t>硫代硫酸盐、一水亚硫酸铵生产过程中产生废气氨气，依托厂区现有1#车间“水喷淋吸收”+3#车间“三级碱吸收+水喷淋+电除雾”组合废气处理装置进行净化处理，最终经由3#车间排气筒DA001达标排放。</w:t>
      </w:r>
    </w:p>
    <w:p w14:paraId="142B0807">
      <w:pPr>
        <w:ind w:firstLine="480"/>
        <w:rPr>
          <w:color w:val="auto"/>
        </w:rPr>
      </w:pPr>
      <w:r>
        <w:rPr>
          <w:color w:val="auto"/>
        </w:rPr>
        <w:t>（3）固体废物</w:t>
      </w:r>
    </w:p>
    <w:p w14:paraId="35548A79">
      <w:pPr>
        <w:ind w:firstLine="480"/>
        <w:rPr>
          <w:color w:val="auto"/>
        </w:rPr>
      </w:pPr>
      <w:r>
        <w:rPr>
          <w:rFonts w:hint="eastAsia"/>
          <w:color w:val="auto"/>
        </w:rPr>
        <w:t>拟建项目产生的固废主要为</w:t>
      </w:r>
      <w:r>
        <w:rPr>
          <w:color w:val="auto"/>
        </w:rPr>
        <w:t>生活</w:t>
      </w:r>
      <w:r>
        <w:rPr>
          <w:rFonts w:hint="eastAsia"/>
          <w:color w:val="auto"/>
        </w:rPr>
        <w:t>垃圾</w:t>
      </w:r>
      <w:r>
        <w:rPr>
          <w:color w:val="auto"/>
        </w:rPr>
        <w:t>、</w:t>
      </w:r>
      <w:r>
        <w:rPr>
          <w:rFonts w:hint="eastAsia"/>
          <w:color w:val="auto"/>
        </w:rPr>
        <w:t>废过滤材料、废包装桶、废RO膜、除尘灰、实验室废物、污水处理污泥等，后续进行综合利用，废过滤材料、废包装桶、废RO膜、除尘灰、实验室废物、污水处理污泥等属于危险固废，经收集后委托有资质单位处置。</w:t>
      </w:r>
      <w:r>
        <w:rPr>
          <w:color w:val="auto"/>
        </w:rPr>
        <w:t>项目产生的固废经妥善处置后，固废排放总量为零。</w:t>
      </w:r>
    </w:p>
    <w:p w14:paraId="0CB78FBA">
      <w:pPr>
        <w:ind w:firstLine="480"/>
        <w:rPr>
          <w:color w:val="auto"/>
        </w:rPr>
      </w:pPr>
      <w:r>
        <w:rPr>
          <w:color w:val="auto"/>
        </w:rPr>
        <w:t>（4）噪声</w:t>
      </w:r>
    </w:p>
    <w:p w14:paraId="251A73B2">
      <w:pPr>
        <w:ind w:firstLine="480"/>
        <w:rPr>
          <w:color w:val="auto"/>
        </w:rPr>
      </w:pPr>
      <w:r>
        <w:rPr>
          <w:rFonts w:hint="eastAsia"/>
          <w:color w:val="auto"/>
        </w:rPr>
        <w:t>拟建</w:t>
      </w:r>
      <w:r>
        <w:rPr>
          <w:color w:val="auto"/>
        </w:rPr>
        <w:t>项目建成运行后主要噪声源为各类</w:t>
      </w:r>
      <w:r>
        <w:rPr>
          <w:rFonts w:hint="eastAsia"/>
          <w:color w:val="auto"/>
        </w:rPr>
        <w:t>生产设备、泵等</w:t>
      </w:r>
      <w:r>
        <w:rPr>
          <w:color w:val="auto"/>
        </w:rPr>
        <w:t>，其噪声值在80～85dB(A)之间，采用隔声、消声</w:t>
      </w:r>
      <w:r>
        <w:rPr>
          <w:rFonts w:hint="eastAsia"/>
          <w:color w:val="auto"/>
        </w:rPr>
        <w:t>、合理布局</w:t>
      </w:r>
      <w:r>
        <w:rPr>
          <w:color w:val="auto"/>
        </w:rPr>
        <w:t>等措施治理，可达标排放。</w:t>
      </w:r>
    </w:p>
    <w:p w14:paraId="38F7048C">
      <w:pPr>
        <w:pStyle w:val="3"/>
        <w:spacing w:before="385"/>
        <w:rPr>
          <w:color w:val="auto"/>
        </w:rPr>
      </w:pPr>
      <w:bookmarkStart w:id="455" w:name="_Toc122183878"/>
      <w:bookmarkStart w:id="456" w:name="_Toc109328689"/>
      <w:bookmarkStart w:id="457" w:name="_Toc18967"/>
      <w:bookmarkStart w:id="458" w:name="_Toc32329"/>
      <w:bookmarkStart w:id="459" w:name="_Toc4535"/>
      <w:r>
        <w:rPr>
          <w:color w:val="auto"/>
        </w:rPr>
        <w:t>10.4</w:t>
      </w:r>
      <w:r>
        <w:rPr>
          <w:rFonts w:hint="eastAsia"/>
          <w:color w:val="auto"/>
        </w:rPr>
        <w:t>主要环境影响</w:t>
      </w:r>
      <w:bookmarkEnd w:id="455"/>
      <w:bookmarkEnd w:id="456"/>
      <w:bookmarkEnd w:id="457"/>
      <w:bookmarkEnd w:id="458"/>
      <w:bookmarkEnd w:id="459"/>
    </w:p>
    <w:p w14:paraId="1557E66E">
      <w:pPr>
        <w:ind w:firstLine="480"/>
        <w:rPr>
          <w:color w:val="auto"/>
        </w:rPr>
      </w:pPr>
      <w:bookmarkStart w:id="460" w:name="_Hlk127450163"/>
      <w:r>
        <w:rPr>
          <w:color w:val="auto"/>
        </w:rPr>
        <w:t>（1）水环境影响分析</w:t>
      </w:r>
    </w:p>
    <w:p w14:paraId="125D56E1">
      <w:pPr>
        <w:ind w:firstLine="480"/>
        <w:rPr>
          <w:color w:val="auto"/>
        </w:rPr>
      </w:pPr>
      <w:r>
        <w:rPr>
          <w:rFonts w:hint="eastAsia"/>
          <w:color w:val="auto"/>
        </w:rPr>
        <w:t>项目新增废水等经厂区内现有1#污水处理站预处理达到接管标准后排入联合环境水务（启东）有限公司集中处理，满足接管标准，不会造成该污水处理厂超负荷运转，联合环境水务（启东）有限公司出水水质达《化学工业水污染物排放标准》(DB32/939-2020)表2标准后排入长江，增加的污染负荷甚微，对周边地表水环境影响可接受。</w:t>
      </w:r>
    </w:p>
    <w:bookmarkEnd w:id="460"/>
    <w:p w14:paraId="55254D89">
      <w:pPr>
        <w:ind w:firstLine="480"/>
        <w:rPr>
          <w:color w:val="auto"/>
        </w:rPr>
      </w:pPr>
      <w:r>
        <w:rPr>
          <w:rFonts w:hint="eastAsia"/>
          <w:color w:val="auto"/>
        </w:rPr>
        <w:t>（2）</w:t>
      </w:r>
      <w:r>
        <w:rPr>
          <w:color w:val="auto"/>
        </w:rPr>
        <w:t>大气环境影响评价</w:t>
      </w:r>
    </w:p>
    <w:p w14:paraId="3E768E87">
      <w:pPr>
        <w:ind w:firstLine="480"/>
        <w:rPr>
          <w:color w:val="auto"/>
        </w:rPr>
      </w:pPr>
      <w:r>
        <w:rPr>
          <w:rFonts w:hint="eastAsia"/>
          <w:color w:val="auto"/>
        </w:rPr>
        <w:t>拟建项目采用2024年全年气象资料逐时、逐日计算叠加扩建项目建成后污染源和在建项目，并去除现有项目污染源影响后，排放的污染物在评价区域及保护目标贡献值。评价范围内新增污染源正常排放下污染物短期浓度贡献值的最大浓度占标率&lt;100%，年均浓度贡献值的最大浓度占标率&lt;30%。在非正常情况下排放，对外环境影响贡献值较正常工况明显增加，为避免事故发生，企业需加强预警，同时加强废气处理设施的维护和管理，及时更换易损部件，确保废气治理措施的正常运转。</w:t>
      </w:r>
    </w:p>
    <w:p w14:paraId="6C6FB581">
      <w:pPr>
        <w:ind w:firstLine="480"/>
        <w:rPr>
          <w:color w:val="auto"/>
        </w:rPr>
      </w:pPr>
      <w:r>
        <w:rPr>
          <w:rFonts w:hint="eastAsia"/>
          <w:color w:val="auto"/>
        </w:rPr>
        <w:t>（3）</w:t>
      </w:r>
      <w:r>
        <w:rPr>
          <w:color w:val="auto"/>
        </w:rPr>
        <w:t>固体废物影响分析</w:t>
      </w:r>
    </w:p>
    <w:p w14:paraId="4064F0B2">
      <w:pPr>
        <w:ind w:firstLine="480"/>
        <w:rPr>
          <w:color w:val="auto"/>
        </w:rPr>
      </w:pPr>
      <w:r>
        <w:rPr>
          <w:rFonts w:hint="eastAsia"/>
          <w:color w:val="auto"/>
        </w:rPr>
        <w:t>拟建项目厂区现有危废暂存库已按照防漏、防渗、防雨的要求建设，地面已硬化具备防腐防渗要求；设置导流沟，外部设置应急收集井；出口设置防溢出围堰</w:t>
      </w:r>
      <w:r>
        <w:rPr>
          <w:color w:val="auto"/>
        </w:rPr>
        <w:t>，并由专人管理和维护，</w:t>
      </w:r>
      <w:r>
        <w:rPr>
          <w:rFonts w:hint="eastAsia"/>
          <w:color w:val="auto"/>
        </w:rPr>
        <w:t>严格执行</w:t>
      </w:r>
      <w:r>
        <w:rPr>
          <w:color w:val="auto"/>
        </w:rPr>
        <w:t>《危险废物贮存污染控制标准》（GB 18597-2023）的要求，</w:t>
      </w:r>
      <w:r>
        <w:rPr>
          <w:rFonts w:hint="eastAsia"/>
          <w:color w:val="auto"/>
        </w:rPr>
        <w:t>避免</w:t>
      </w:r>
      <w:r>
        <w:rPr>
          <w:color w:val="auto"/>
        </w:rPr>
        <w:t>对地下水、地表水和土壤产生不利影响。</w:t>
      </w:r>
    </w:p>
    <w:p w14:paraId="2078BAB3">
      <w:pPr>
        <w:ind w:firstLine="480"/>
        <w:rPr>
          <w:color w:val="auto"/>
        </w:rPr>
      </w:pPr>
      <w:r>
        <w:rPr>
          <w:rFonts w:hint="eastAsia"/>
          <w:color w:val="auto"/>
        </w:rPr>
        <w:t>（4）</w:t>
      </w:r>
      <w:r>
        <w:rPr>
          <w:color w:val="auto"/>
        </w:rPr>
        <w:t>噪声环境影响评价</w:t>
      </w:r>
    </w:p>
    <w:p w14:paraId="6F1CFD57">
      <w:pPr>
        <w:ind w:firstLine="480"/>
        <w:rPr>
          <w:color w:val="auto"/>
        </w:rPr>
      </w:pPr>
      <w:r>
        <w:rPr>
          <w:rFonts w:hint="eastAsia"/>
          <w:color w:val="auto"/>
        </w:rPr>
        <w:t>拟建</w:t>
      </w:r>
      <w:r>
        <w:rPr>
          <w:color w:val="auto"/>
        </w:rPr>
        <w:t>项目噪声影响值叠加环境本底值后，厂界测点昼夜声级值均满足《声环境质量标准》（GB3096-2008）3类标准</w:t>
      </w:r>
      <w:r>
        <w:rPr>
          <w:rFonts w:hint="eastAsia"/>
          <w:color w:val="auto"/>
        </w:rPr>
        <w:t>；项目周边无环境敏感点存在，</w:t>
      </w:r>
      <w:r>
        <w:rPr>
          <w:color w:val="auto"/>
        </w:rPr>
        <w:t>因此</w:t>
      </w:r>
      <w:r>
        <w:rPr>
          <w:rFonts w:hint="eastAsia"/>
          <w:color w:val="auto"/>
        </w:rPr>
        <w:t>拟建</w:t>
      </w:r>
      <w:r>
        <w:rPr>
          <w:color w:val="auto"/>
        </w:rPr>
        <w:t>建成后声环境影响较小，不会出现噪声扰民现象。</w:t>
      </w:r>
    </w:p>
    <w:p w14:paraId="10D1D117">
      <w:pPr>
        <w:ind w:firstLine="480"/>
        <w:rPr>
          <w:color w:val="auto"/>
        </w:rPr>
      </w:pPr>
      <w:r>
        <w:rPr>
          <w:rFonts w:hint="eastAsia"/>
          <w:color w:val="auto"/>
        </w:rPr>
        <w:t>（5）</w:t>
      </w:r>
      <w:r>
        <w:rPr>
          <w:color w:val="auto"/>
        </w:rPr>
        <w:t>地下水环境影响评价</w:t>
      </w:r>
    </w:p>
    <w:p w14:paraId="3EEEF5A9">
      <w:pPr>
        <w:ind w:firstLine="480"/>
        <w:rPr>
          <w:color w:val="auto"/>
        </w:rPr>
      </w:pPr>
      <w:r>
        <w:rPr>
          <w:color w:val="auto"/>
        </w:rPr>
        <w:t>在防渗措施发生事故的情况下，污废水直接进入地下水，污染物扩散的范围及影响值比正常状况下要大，但</w:t>
      </w:r>
      <w:r>
        <w:rPr>
          <w:rFonts w:hint="eastAsia"/>
          <w:color w:val="auto"/>
        </w:rPr>
        <w:t>在企业拟定的分区防渗措施条件下，通过加强日常管理，制定泄露物料的应急处置预案，并定期演练等措施，拟建项目建成后，日常生产对区域</w:t>
      </w:r>
      <w:r>
        <w:rPr>
          <w:color w:val="auto"/>
        </w:rPr>
        <w:t>地下水环境污染</w:t>
      </w:r>
      <w:r>
        <w:rPr>
          <w:rFonts w:hint="eastAsia"/>
          <w:color w:val="auto"/>
        </w:rPr>
        <w:t>影响较小。</w:t>
      </w:r>
    </w:p>
    <w:p w14:paraId="23C7F368">
      <w:pPr>
        <w:ind w:firstLine="480"/>
        <w:rPr>
          <w:color w:val="auto"/>
        </w:rPr>
      </w:pPr>
      <w:r>
        <w:rPr>
          <w:rFonts w:hint="eastAsia"/>
          <w:color w:val="auto"/>
        </w:rPr>
        <w:t>（6）土壤环境影响评价</w:t>
      </w:r>
    </w:p>
    <w:p w14:paraId="509ABB21">
      <w:pPr>
        <w:ind w:firstLine="480"/>
        <w:rPr>
          <w:color w:val="auto"/>
        </w:rPr>
      </w:pPr>
      <w:r>
        <w:rPr>
          <w:rFonts w:hint="eastAsia"/>
          <w:color w:val="auto"/>
        </w:rPr>
        <w:t>拟建项目依托厂区现有的防渗措施总体可行，正常情况不会对周围地下水产生不利影响。厂区现有废水处理设施，该区域构筑物均采用钢筋混凝土结构，内部做有防渗处理，在采取分区防渗措施，定期对地下水开展跟踪监测，发现泄漏和污染及时有效处理的情况下，项目对周边地下水环境影响可接受。</w:t>
      </w:r>
    </w:p>
    <w:p w14:paraId="22A23582">
      <w:pPr>
        <w:ind w:firstLine="480"/>
        <w:rPr>
          <w:color w:val="auto"/>
        </w:rPr>
      </w:pPr>
      <w:r>
        <w:rPr>
          <w:rFonts w:hint="eastAsia"/>
          <w:color w:val="auto"/>
        </w:rPr>
        <w:t>（7）环境</w:t>
      </w:r>
      <w:r>
        <w:rPr>
          <w:color w:val="auto"/>
        </w:rPr>
        <w:t>风险评价</w:t>
      </w:r>
    </w:p>
    <w:p w14:paraId="1D5A5747">
      <w:pPr>
        <w:ind w:firstLine="480"/>
        <w:rPr>
          <w:color w:val="auto"/>
        </w:rPr>
      </w:pPr>
      <w:r>
        <w:rPr>
          <w:rFonts w:hint="eastAsia"/>
          <w:color w:val="auto"/>
        </w:rPr>
        <w:t>环境风险评价选取最不利和最常见气象条件下氨水储罐、液氨储罐等泄漏以及火灾次生污染情形，在采取报告书提出的风险防范措施的前提下，能将其风险控制在环境的可接受范围内，环境风险可控。</w:t>
      </w:r>
    </w:p>
    <w:p w14:paraId="5CCA68BA">
      <w:pPr>
        <w:ind w:firstLine="480"/>
        <w:rPr>
          <w:color w:val="auto"/>
        </w:rPr>
      </w:pPr>
      <w:r>
        <w:rPr>
          <w:rFonts w:hint="eastAsia"/>
          <w:color w:val="auto"/>
        </w:rPr>
        <w:t>由环境影响预测评价可见，拟建的建设不会改变周边环境功能。</w:t>
      </w:r>
    </w:p>
    <w:p w14:paraId="49ACA2C8">
      <w:pPr>
        <w:pStyle w:val="3"/>
        <w:spacing w:before="385"/>
        <w:rPr>
          <w:color w:val="auto"/>
        </w:rPr>
      </w:pPr>
      <w:bookmarkStart w:id="461" w:name="_Toc109328690"/>
      <w:bookmarkStart w:id="462" w:name="_Toc15122"/>
      <w:bookmarkStart w:id="463" w:name="_Toc17311"/>
      <w:bookmarkStart w:id="464" w:name="_Toc8026"/>
      <w:bookmarkStart w:id="465" w:name="_Toc122183879"/>
      <w:r>
        <w:rPr>
          <w:color w:val="auto"/>
        </w:rPr>
        <w:t>10.5</w:t>
      </w:r>
      <w:r>
        <w:rPr>
          <w:rFonts w:hint="eastAsia"/>
          <w:color w:val="auto"/>
        </w:rPr>
        <w:t>公众意见采纳情况</w:t>
      </w:r>
      <w:bookmarkEnd w:id="461"/>
      <w:bookmarkEnd w:id="462"/>
      <w:bookmarkEnd w:id="463"/>
      <w:bookmarkEnd w:id="464"/>
      <w:bookmarkEnd w:id="465"/>
    </w:p>
    <w:p w14:paraId="55B039A1">
      <w:pPr>
        <w:ind w:firstLine="480"/>
        <w:rPr>
          <w:color w:val="auto"/>
        </w:rPr>
      </w:pPr>
      <w:r>
        <w:rPr>
          <w:rFonts w:hint="eastAsia"/>
          <w:color w:val="auto"/>
        </w:rPr>
        <w:t>拟建按照现行的公众参与要求，在企业网站、媒体、项目所在地周边进行了相关公示公告，期间未收到反对意见。</w:t>
      </w:r>
    </w:p>
    <w:p w14:paraId="3E0BBE9E">
      <w:pPr>
        <w:pStyle w:val="3"/>
        <w:spacing w:before="385"/>
        <w:rPr>
          <w:color w:val="auto"/>
        </w:rPr>
      </w:pPr>
      <w:bookmarkStart w:id="466" w:name="_Toc109328691"/>
      <w:bookmarkStart w:id="467" w:name="_Toc122183880"/>
      <w:bookmarkStart w:id="468" w:name="_Toc26280"/>
      <w:bookmarkStart w:id="469" w:name="_Toc7034"/>
      <w:bookmarkStart w:id="470" w:name="_Toc14396"/>
      <w:r>
        <w:rPr>
          <w:color w:val="auto"/>
        </w:rPr>
        <w:t>10.6</w:t>
      </w:r>
      <w:r>
        <w:rPr>
          <w:rFonts w:hint="eastAsia"/>
          <w:color w:val="auto"/>
        </w:rPr>
        <w:t>环境影响</w:t>
      </w:r>
      <w:r>
        <w:rPr>
          <w:color w:val="auto"/>
        </w:rPr>
        <w:t>经济损益分析</w:t>
      </w:r>
      <w:bookmarkEnd w:id="466"/>
      <w:bookmarkEnd w:id="467"/>
      <w:bookmarkEnd w:id="468"/>
      <w:bookmarkEnd w:id="469"/>
      <w:bookmarkEnd w:id="470"/>
    </w:p>
    <w:p w14:paraId="3052F034">
      <w:pPr>
        <w:ind w:firstLine="480"/>
        <w:rPr>
          <w:color w:val="auto"/>
        </w:rPr>
      </w:pPr>
      <w:r>
        <w:rPr>
          <w:color w:val="auto"/>
        </w:rPr>
        <w:t>结合</w:t>
      </w:r>
      <w:r>
        <w:rPr>
          <w:rFonts w:hint="eastAsia"/>
          <w:color w:val="auto"/>
        </w:rPr>
        <w:t>拟建</w:t>
      </w:r>
      <w:r>
        <w:rPr>
          <w:color w:val="auto"/>
        </w:rPr>
        <w:t>的社会经济效益、环保投入和环境效益进行综合分析得出，项目在创造良好经济效益和社会效益的同时，经采取污染防治措施后，对环境的影响较小，能够将工程带来的环境损失降到可接受程度。因此，</w:t>
      </w:r>
      <w:r>
        <w:rPr>
          <w:rFonts w:hint="eastAsia"/>
          <w:color w:val="auto"/>
        </w:rPr>
        <w:t>拟建</w:t>
      </w:r>
      <w:r>
        <w:rPr>
          <w:color w:val="auto"/>
        </w:rPr>
        <w:t>可以实现经济效益与环保效益的相统一。</w:t>
      </w:r>
    </w:p>
    <w:p w14:paraId="6743CA13">
      <w:pPr>
        <w:pStyle w:val="3"/>
        <w:spacing w:before="385"/>
        <w:rPr>
          <w:color w:val="auto"/>
        </w:rPr>
      </w:pPr>
      <w:bookmarkStart w:id="471" w:name="_Toc109328692"/>
      <w:bookmarkStart w:id="472" w:name="_Toc122183881"/>
      <w:bookmarkStart w:id="473" w:name="_Toc27672"/>
      <w:bookmarkStart w:id="474" w:name="_Toc9125"/>
      <w:bookmarkStart w:id="475" w:name="_Toc27179"/>
      <w:r>
        <w:rPr>
          <w:color w:val="auto"/>
        </w:rPr>
        <w:t>10.7</w:t>
      </w:r>
      <w:r>
        <w:rPr>
          <w:rFonts w:hint="eastAsia"/>
          <w:color w:val="auto"/>
        </w:rPr>
        <w:t>环境管理与</w:t>
      </w:r>
      <w:r>
        <w:rPr>
          <w:color w:val="auto"/>
        </w:rPr>
        <w:t>监测计划</w:t>
      </w:r>
      <w:bookmarkEnd w:id="471"/>
      <w:bookmarkEnd w:id="472"/>
      <w:bookmarkEnd w:id="473"/>
      <w:bookmarkEnd w:id="474"/>
      <w:bookmarkEnd w:id="475"/>
    </w:p>
    <w:p w14:paraId="7586C2E7">
      <w:pPr>
        <w:ind w:firstLine="480"/>
        <w:rPr>
          <w:color w:val="auto"/>
        </w:rPr>
      </w:pPr>
      <w:r>
        <w:rPr>
          <w:rFonts w:hint="eastAsia"/>
          <w:color w:val="auto"/>
        </w:rPr>
        <w:t>拟建项目建成后，建设单位拟严格落实各项环境保护管理要求，在加强环境管理的同时，按照相关法律、法规及文件要求制定环境监测计划，并定期进行环境监测，以及时了解项目各项污染防治措施的实际运行效果，及污染物排放对周边环境的影响情况。</w:t>
      </w:r>
    </w:p>
    <w:p w14:paraId="2A9512A4">
      <w:pPr>
        <w:pStyle w:val="3"/>
        <w:spacing w:before="385"/>
        <w:rPr>
          <w:color w:val="auto"/>
        </w:rPr>
      </w:pPr>
      <w:bookmarkStart w:id="476" w:name="_Toc109328693"/>
      <w:bookmarkStart w:id="477" w:name="_Toc122183882"/>
      <w:bookmarkStart w:id="478" w:name="_Toc18780"/>
      <w:bookmarkStart w:id="479" w:name="_Toc2191"/>
      <w:bookmarkStart w:id="480" w:name="_Toc1200"/>
      <w:r>
        <w:rPr>
          <w:color w:val="auto"/>
        </w:rPr>
        <w:t>10.8</w:t>
      </w:r>
      <w:r>
        <w:rPr>
          <w:rFonts w:hint="eastAsia"/>
          <w:color w:val="auto"/>
        </w:rPr>
        <w:t>评价总结论</w:t>
      </w:r>
      <w:bookmarkEnd w:id="476"/>
      <w:bookmarkEnd w:id="477"/>
      <w:bookmarkEnd w:id="478"/>
      <w:bookmarkEnd w:id="479"/>
      <w:bookmarkEnd w:id="480"/>
    </w:p>
    <w:p w14:paraId="13E6E0BB">
      <w:pPr>
        <w:ind w:firstLine="480"/>
        <w:rPr>
          <w:color w:val="auto"/>
        </w:rPr>
        <w:sectPr>
          <w:pgSz w:w="11905" w:h="16838"/>
          <w:pgMar w:top="1134" w:right="1134" w:bottom="1134" w:left="1134" w:header="850" w:footer="992" w:gutter="0"/>
          <w:cols w:space="720" w:num="1"/>
          <w:docGrid w:type="lines" w:linePitch="385" w:charSpace="0"/>
        </w:sectPr>
      </w:pPr>
      <w:r>
        <w:rPr>
          <w:rFonts w:hint="eastAsia"/>
          <w:color w:val="auto"/>
        </w:rPr>
        <w:t>综合本报告书所作各项评价内容表明：</w:t>
      </w:r>
      <w:r>
        <w:rPr>
          <w:rFonts w:hint="eastAsia"/>
          <w:color w:val="auto"/>
          <w:lang w:val="en-US" w:eastAsia="zh-CN"/>
        </w:rPr>
        <w:t>本项目</w:t>
      </w:r>
      <w:r>
        <w:rPr>
          <w:rFonts w:hint="eastAsia"/>
          <w:color w:val="auto"/>
        </w:rPr>
        <w:t>拟建于启东市启东生命健康产业园苏州路58号现有厂区内，符合城市规划总体要求；立项和建设符合国家的产业政策，建成后有较高的社会经济效益；建设单位开展的公众参与结果显示无公众对拟建</w:t>
      </w:r>
      <w:r>
        <w:rPr>
          <w:rFonts w:hint="eastAsia"/>
          <w:color w:val="auto"/>
          <w:lang w:val="en-US" w:eastAsia="zh-CN"/>
        </w:rPr>
        <w:t>项目</w:t>
      </w:r>
      <w:r>
        <w:rPr>
          <w:rFonts w:hint="eastAsia"/>
          <w:color w:val="auto"/>
        </w:rPr>
        <w:t>的建设提出意见；拟建</w:t>
      </w:r>
      <w:r>
        <w:rPr>
          <w:rFonts w:hint="eastAsia"/>
          <w:color w:val="auto"/>
          <w:lang w:val="en-US" w:eastAsia="zh-CN"/>
        </w:rPr>
        <w:t>项目</w:t>
      </w:r>
      <w:r>
        <w:rPr>
          <w:rFonts w:hint="eastAsia"/>
          <w:color w:val="auto"/>
        </w:rPr>
        <w:t>的生产设备、工艺和消耗在国内同行业中居于较先进水平；拟采用的各项环保措施合理、可靠、有效，水气污染物可实现达标排放；项目建成投产后，对评价区域环境污染影响不大，事故环境风险可控，基本做到环境效益与经济效益的统一。因此在下一步工程设计和建设中，如能严格落实建设单位既定的污染控制措施和本报告书中提出的各项环境保护对策建议，本报告书认为，从环保角度，“启东亚太药业有限公司含硫无机盐高品质多元化升级技改项目”在启东市启东生命健康产业园现有厂区内建设是可行的。</w:t>
      </w:r>
      <w:bookmarkEnd w:id="442"/>
      <w:bookmarkEnd w:id="443"/>
      <w:bookmarkEnd w:id="444"/>
    </w:p>
    <w:p w14:paraId="7CEAB4EC">
      <w:pPr>
        <w:ind w:firstLine="0" w:firstLineChars="0"/>
        <w:rPr>
          <w:bCs/>
          <w:color w:val="auto"/>
        </w:rPr>
      </w:pPr>
    </w:p>
    <w:sectPr>
      <w:pgSz w:w="11906" w:h="16838"/>
      <w:pgMar w:top="1134" w:right="1134" w:bottom="1134"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Segoe UI Emoji">
    <w:panose1 w:val="020B0502040204020203"/>
    <w:charset w:val="00"/>
    <w:family w:val="swiss"/>
    <w:pitch w:val="default"/>
    <w:sig w:usb0="00000001" w:usb1="02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5CE1A">
    <w:pPr>
      <w:pStyle w:val="14"/>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EB0B5">
                          <w:pPr>
                            <w:pStyle w:val="14"/>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48EB0B5">
                    <w:pPr>
                      <w:pStyle w:val="14"/>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2D4AF">
    <w:pPr>
      <w:pStyle w:val="14"/>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FB593">
                          <w:pPr>
                            <w:pStyle w:val="14"/>
                            <w:ind w:firstLine="36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4FFB593">
                    <w:pPr>
                      <w:pStyle w:val="14"/>
                      <w:ind w:firstLine="36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AC4DB">
    <w:pPr>
      <w:spacing w:line="240" w:lineRule="auto"/>
      <w:ind w:firstLine="360"/>
      <w:jc w:val="left"/>
      <w:rPr>
        <w:rFonts w:eastAsia="仿宋_GB2312"/>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0B2B1">
                          <w:pPr>
                            <w:pStyle w:val="14"/>
                            <w:ind w:firstLine="360"/>
                          </w:pPr>
                          <w:r>
                            <w:fldChar w:fldCharType="begin"/>
                          </w:r>
                          <w:r>
                            <w:instrText xml:space="preserve"> PAGE  \* MERGEFORMAT </w:instrText>
                          </w:r>
                          <w:r>
                            <w:fldChar w:fldCharType="separate"/>
                          </w:r>
                          <w:r>
                            <w:t>381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560B2B1">
                    <w:pPr>
                      <w:pStyle w:val="14"/>
                      <w:ind w:firstLine="360"/>
                    </w:pPr>
                    <w:r>
                      <w:fldChar w:fldCharType="begin"/>
                    </w:r>
                    <w:r>
                      <w:instrText xml:space="preserve"> PAGE  \* MERGEFORMAT </w:instrText>
                    </w:r>
                    <w:r>
                      <w:fldChar w:fldCharType="separate"/>
                    </w:r>
                    <w:r>
                      <w:t>381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DADD5C"/>
    <w:multiLevelType w:val="singleLevel"/>
    <w:tmpl w:val="9BDADD5C"/>
    <w:lvl w:ilvl="0" w:tentative="0">
      <w:start w:val="1"/>
      <w:numFmt w:val="chineseCounting"/>
      <w:suff w:val="nothing"/>
      <w:lvlText w:val="（%1）"/>
      <w:lvlJc w:val="left"/>
      <w:rPr>
        <w:rFonts w:hint="eastAsia"/>
      </w:rPr>
    </w:lvl>
  </w:abstractNum>
  <w:abstractNum w:abstractNumId="1">
    <w:nsid w:val="BF7972A4"/>
    <w:multiLevelType w:val="multilevel"/>
    <w:tmpl w:val="BF7972A4"/>
    <w:lvl w:ilvl="0" w:tentative="0">
      <w:start w:val="1"/>
      <w:numFmt w:val="decimal"/>
      <w:suff w:val="nothing"/>
      <w:lvlText w:val="(%1)"/>
      <w:lvlJc w:val="left"/>
      <w:pPr>
        <w:ind w:left="0" w:firstLine="51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D3233CB9"/>
    <w:multiLevelType w:val="multilevel"/>
    <w:tmpl w:val="D3233CB9"/>
    <w:lvl w:ilvl="0" w:tentative="0">
      <w:start w:val="1"/>
      <w:numFmt w:val="decimal"/>
      <w:suff w:val="nothing"/>
      <w:lvlText w:val="（%1）"/>
      <w:lvlJc w:val="left"/>
      <w:pPr>
        <w:ind w:left="7" w:firstLine="560"/>
      </w:pPr>
      <w:rPr>
        <w:rFonts w:hint="eastAsia"/>
      </w:rPr>
    </w:lvl>
    <w:lvl w:ilvl="1" w:tentative="0">
      <w:start w:val="1"/>
      <w:numFmt w:val="decimalEnclosedCircle"/>
      <w:lvlText w:val="注%2"/>
      <w:lvlJc w:val="left"/>
      <w:pPr>
        <w:ind w:left="1407" w:hanging="420"/>
      </w:pPr>
      <w:rPr>
        <w:rFonts w:hint="default" w:ascii="宋体" w:hAnsi="宋体" w:eastAsia="宋体" w:cs="宋体"/>
      </w:rPr>
    </w:lvl>
    <w:lvl w:ilvl="2" w:tentative="0">
      <w:start w:val="1"/>
      <w:numFmt w:val="decimalEnclosedCircle"/>
      <w:lvlText w:val="%3"/>
      <w:lvlJc w:val="left"/>
      <w:pPr>
        <w:ind w:left="1767" w:hanging="360"/>
      </w:pPr>
      <w:rPr>
        <w:rFonts w:hint="default"/>
      </w:r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
    <w:nsid w:val="06337C44"/>
    <w:multiLevelType w:val="multilevel"/>
    <w:tmpl w:val="06337C44"/>
    <w:lvl w:ilvl="0" w:tentative="0">
      <w:start w:val="1"/>
      <w:numFmt w:val="decimal"/>
      <w:pStyle w:val="2"/>
      <w:lvlText w:val="%1"/>
      <w:lvlJc w:val="left"/>
      <w:pPr>
        <w:tabs>
          <w:tab w:val="left" w:pos="360"/>
        </w:tabs>
        <w:ind w:left="360" w:hanging="360"/>
      </w:pPr>
      <w:rPr>
        <w:rFonts w:hint="default" w:ascii="Times New Roman" w:hAnsi="Times New Roman" w:cs="Times New Roman"/>
        <w:b/>
        <w:bCs/>
      </w:rPr>
    </w:lvl>
    <w:lvl w:ilvl="1" w:tentative="0">
      <w:start w:val="5"/>
      <w:numFmt w:val="decimal"/>
      <w:isLgl/>
      <w:lvlText w:val="%1.%2"/>
      <w:lvlJc w:val="left"/>
      <w:pPr>
        <w:ind w:left="756" w:hanging="756"/>
      </w:pPr>
      <w:rPr>
        <w:rFonts w:hint="default"/>
      </w:rPr>
    </w:lvl>
    <w:lvl w:ilvl="2" w:tentative="0">
      <w:start w:val="1"/>
      <w:numFmt w:val="decimal"/>
      <w:isLgl/>
      <w:lvlText w:val="%1.%2.%3"/>
      <w:lvlJc w:val="left"/>
      <w:pPr>
        <w:ind w:left="756" w:hanging="756"/>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4">
    <w:nsid w:val="0FD5966F"/>
    <w:multiLevelType w:val="multilevel"/>
    <w:tmpl w:val="0FD5966F"/>
    <w:lvl w:ilvl="0" w:tentative="0">
      <w:start w:val="1"/>
      <w:numFmt w:val="decimal"/>
      <w:suff w:val="nothing"/>
      <w:lvlText w:val="（%1）"/>
      <w:lvlJc w:val="left"/>
      <w:pPr>
        <w:ind w:left="7" w:firstLine="560"/>
      </w:pPr>
      <w:rPr>
        <w:rFonts w:hint="eastAsia"/>
      </w:rPr>
    </w:lvl>
    <w:lvl w:ilvl="1" w:tentative="0">
      <w:start w:val="1"/>
      <w:numFmt w:val="decimalEnclosedCircle"/>
      <w:lvlText w:val="注%2"/>
      <w:lvlJc w:val="left"/>
      <w:pPr>
        <w:ind w:left="1407" w:hanging="420"/>
      </w:pPr>
      <w:rPr>
        <w:rFonts w:hint="default" w:ascii="宋体" w:hAnsi="宋体" w:eastAsia="宋体" w:cs="宋体"/>
      </w:rPr>
    </w:lvl>
    <w:lvl w:ilvl="2" w:tentative="0">
      <w:start w:val="1"/>
      <w:numFmt w:val="decimalEnclosedCircle"/>
      <w:lvlText w:val="%3"/>
      <w:lvlJc w:val="left"/>
      <w:pPr>
        <w:ind w:left="1767" w:hanging="360"/>
      </w:pPr>
      <w:rPr>
        <w:rFonts w:hint="default"/>
      </w:r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5">
    <w:nsid w:val="12012C8C"/>
    <w:multiLevelType w:val="singleLevel"/>
    <w:tmpl w:val="12012C8C"/>
    <w:lvl w:ilvl="0" w:tentative="0">
      <w:start w:val="1"/>
      <w:numFmt w:val="decimal"/>
      <w:suff w:val="nothing"/>
      <w:lvlText w:val="%1、"/>
      <w:lvlJc w:val="left"/>
    </w:lvl>
  </w:abstractNum>
  <w:abstractNum w:abstractNumId="6">
    <w:nsid w:val="24F75963"/>
    <w:multiLevelType w:val="multilevel"/>
    <w:tmpl w:val="24F75963"/>
    <w:lvl w:ilvl="0" w:tentative="0">
      <w:start w:val="1"/>
      <w:numFmt w:val="decimal"/>
      <w:suff w:val="nothing"/>
      <w:lvlText w:val="（%1）"/>
      <w:lvlJc w:val="left"/>
      <w:pPr>
        <w:ind w:left="7" w:firstLine="560"/>
      </w:pPr>
      <w:rPr>
        <w:rFonts w:hint="eastAsia"/>
      </w:rPr>
    </w:lvl>
    <w:lvl w:ilvl="1" w:tentative="0">
      <w:start w:val="1"/>
      <w:numFmt w:val="decimalEnclosedCircle"/>
      <w:lvlText w:val="注%2"/>
      <w:lvlJc w:val="left"/>
      <w:pPr>
        <w:ind w:left="1407" w:hanging="420"/>
      </w:pPr>
      <w:rPr>
        <w:rFonts w:hint="default" w:ascii="宋体" w:hAnsi="宋体" w:eastAsia="宋体" w:cs="宋体"/>
      </w:rPr>
    </w:lvl>
    <w:lvl w:ilvl="2" w:tentative="0">
      <w:start w:val="1"/>
      <w:numFmt w:val="decimalEnclosedCircle"/>
      <w:lvlText w:val="%3"/>
      <w:lvlJc w:val="left"/>
      <w:pPr>
        <w:ind w:left="1767" w:hanging="360"/>
      </w:pPr>
      <w:rPr>
        <w:rFonts w:hint="default"/>
      </w:r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7">
    <w:nsid w:val="6C8B5915"/>
    <w:multiLevelType w:val="multilevel"/>
    <w:tmpl w:val="6C8B5915"/>
    <w:lvl w:ilvl="0" w:tentative="0">
      <w:start w:val="1"/>
      <w:numFmt w:val="decimal"/>
      <w:suff w:val="nothing"/>
      <w:lvlText w:val="（%1）"/>
      <w:lvlJc w:val="left"/>
      <w:pPr>
        <w:ind w:left="7" w:firstLine="560"/>
      </w:pPr>
      <w:rPr>
        <w:rFonts w:hint="eastAsia"/>
      </w:rPr>
    </w:lvl>
    <w:lvl w:ilvl="1" w:tentative="0">
      <w:start w:val="1"/>
      <w:numFmt w:val="decimalEnclosedCircle"/>
      <w:lvlText w:val="注%2"/>
      <w:lvlJc w:val="left"/>
      <w:pPr>
        <w:ind w:left="1407" w:hanging="420"/>
      </w:pPr>
      <w:rPr>
        <w:rFonts w:hint="default" w:ascii="宋体" w:hAnsi="宋体" w:eastAsia="宋体" w:cs="宋体"/>
      </w:rPr>
    </w:lvl>
    <w:lvl w:ilvl="2" w:tentative="0">
      <w:start w:val="1"/>
      <w:numFmt w:val="decimalEnclosedCircle"/>
      <w:lvlText w:val="%3"/>
      <w:lvlJc w:val="left"/>
      <w:pPr>
        <w:ind w:left="1767" w:hanging="360"/>
      </w:pPr>
      <w:rPr>
        <w:rFonts w:hint="default"/>
      </w:r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7B4ACE0C"/>
    <w:multiLevelType w:val="singleLevel"/>
    <w:tmpl w:val="7B4ACE0C"/>
    <w:lvl w:ilvl="0" w:tentative="0">
      <w:start w:val="1"/>
      <w:numFmt w:val="decimal"/>
      <w:lvlText w:val="%1."/>
      <w:lvlJc w:val="left"/>
      <w:pPr>
        <w:ind w:left="425" w:hanging="425"/>
      </w:pPr>
      <w:rPr>
        <w:rFonts w:hint="default"/>
      </w:rPr>
    </w:lvl>
  </w:abstractNum>
  <w:num w:numId="1">
    <w:abstractNumId w:val="3"/>
  </w:num>
  <w:num w:numId="2">
    <w:abstractNumId w:val="6"/>
  </w:num>
  <w:num w:numId="3">
    <w:abstractNumId w:val="2"/>
  </w:num>
  <w:num w:numId="4">
    <w:abstractNumId w:val="4"/>
  </w:num>
  <w:num w:numId="5">
    <w:abstractNumId w:val="7"/>
  </w:num>
  <w:num w:numId="6">
    <w:abstractNumId w:val="5"/>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97D8E"/>
    <w:rsid w:val="000B5DE2"/>
    <w:rsid w:val="000F2DB8"/>
    <w:rsid w:val="00172A27"/>
    <w:rsid w:val="00AC36ED"/>
    <w:rsid w:val="00D01E40"/>
    <w:rsid w:val="00E85272"/>
    <w:rsid w:val="01B04370"/>
    <w:rsid w:val="020149CA"/>
    <w:rsid w:val="026848C4"/>
    <w:rsid w:val="02A61322"/>
    <w:rsid w:val="02F023BE"/>
    <w:rsid w:val="030378BD"/>
    <w:rsid w:val="03134852"/>
    <w:rsid w:val="041C7F1E"/>
    <w:rsid w:val="047C326C"/>
    <w:rsid w:val="053402AC"/>
    <w:rsid w:val="05AC0822"/>
    <w:rsid w:val="06490BBB"/>
    <w:rsid w:val="080D7705"/>
    <w:rsid w:val="08934382"/>
    <w:rsid w:val="08E7715F"/>
    <w:rsid w:val="09BF161F"/>
    <w:rsid w:val="0A666A83"/>
    <w:rsid w:val="0AC014C5"/>
    <w:rsid w:val="0C8E7F65"/>
    <w:rsid w:val="0DF02F5A"/>
    <w:rsid w:val="0DF1771C"/>
    <w:rsid w:val="0E8E46DF"/>
    <w:rsid w:val="0FEC1717"/>
    <w:rsid w:val="105F4FAC"/>
    <w:rsid w:val="10703EDE"/>
    <w:rsid w:val="10D1569D"/>
    <w:rsid w:val="116D7321"/>
    <w:rsid w:val="11AB72B0"/>
    <w:rsid w:val="12854B5C"/>
    <w:rsid w:val="12A86D6C"/>
    <w:rsid w:val="13A134DC"/>
    <w:rsid w:val="13B769DD"/>
    <w:rsid w:val="15171CB0"/>
    <w:rsid w:val="152D0613"/>
    <w:rsid w:val="15763D45"/>
    <w:rsid w:val="15CD6BAA"/>
    <w:rsid w:val="16875893"/>
    <w:rsid w:val="17375756"/>
    <w:rsid w:val="1793484C"/>
    <w:rsid w:val="18056964"/>
    <w:rsid w:val="18477FB7"/>
    <w:rsid w:val="187374CF"/>
    <w:rsid w:val="1896079B"/>
    <w:rsid w:val="18CD0120"/>
    <w:rsid w:val="18FB7CF9"/>
    <w:rsid w:val="192D27A4"/>
    <w:rsid w:val="198C6F59"/>
    <w:rsid w:val="19BF7875"/>
    <w:rsid w:val="1A93304A"/>
    <w:rsid w:val="1B6B3982"/>
    <w:rsid w:val="1B8A1327"/>
    <w:rsid w:val="1B982D93"/>
    <w:rsid w:val="1BFE0AF3"/>
    <w:rsid w:val="1C142138"/>
    <w:rsid w:val="1C4739C8"/>
    <w:rsid w:val="1DE76EFF"/>
    <w:rsid w:val="1E6A4D1F"/>
    <w:rsid w:val="1F1A7E37"/>
    <w:rsid w:val="1F9B006B"/>
    <w:rsid w:val="200E09A3"/>
    <w:rsid w:val="203330BC"/>
    <w:rsid w:val="20792616"/>
    <w:rsid w:val="20BA224F"/>
    <w:rsid w:val="20C23062"/>
    <w:rsid w:val="213441A9"/>
    <w:rsid w:val="216B44D7"/>
    <w:rsid w:val="21732B3E"/>
    <w:rsid w:val="231177A3"/>
    <w:rsid w:val="23452FA8"/>
    <w:rsid w:val="2383647E"/>
    <w:rsid w:val="23A83FB0"/>
    <w:rsid w:val="24EF5FB8"/>
    <w:rsid w:val="25354AA7"/>
    <w:rsid w:val="26223B84"/>
    <w:rsid w:val="265E2953"/>
    <w:rsid w:val="27552FC5"/>
    <w:rsid w:val="2799799A"/>
    <w:rsid w:val="27E232A4"/>
    <w:rsid w:val="29305EB0"/>
    <w:rsid w:val="2A7000F8"/>
    <w:rsid w:val="2AD277AB"/>
    <w:rsid w:val="2B3E4F36"/>
    <w:rsid w:val="2B4F105E"/>
    <w:rsid w:val="2D86130C"/>
    <w:rsid w:val="2D8C4011"/>
    <w:rsid w:val="2F7A68DD"/>
    <w:rsid w:val="2FCD296C"/>
    <w:rsid w:val="313F07A5"/>
    <w:rsid w:val="31925439"/>
    <w:rsid w:val="331436D8"/>
    <w:rsid w:val="337F5F50"/>
    <w:rsid w:val="340F73E6"/>
    <w:rsid w:val="34546C51"/>
    <w:rsid w:val="34CA36DC"/>
    <w:rsid w:val="35C015AD"/>
    <w:rsid w:val="360D03D3"/>
    <w:rsid w:val="3812743C"/>
    <w:rsid w:val="383E0392"/>
    <w:rsid w:val="38A85217"/>
    <w:rsid w:val="397C38EB"/>
    <w:rsid w:val="398A2408"/>
    <w:rsid w:val="39AE31FE"/>
    <w:rsid w:val="3AED4F90"/>
    <w:rsid w:val="3BE44871"/>
    <w:rsid w:val="3D4B2AE6"/>
    <w:rsid w:val="3D5840A9"/>
    <w:rsid w:val="3D612321"/>
    <w:rsid w:val="3D774521"/>
    <w:rsid w:val="3DD1642C"/>
    <w:rsid w:val="3DDF3C75"/>
    <w:rsid w:val="3E377AC0"/>
    <w:rsid w:val="3E8D2166"/>
    <w:rsid w:val="3FF676AC"/>
    <w:rsid w:val="400B40C4"/>
    <w:rsid w:val="404E0B9A"/>
    <w:rsid w:val="40BA66CD"/>
    <w:rsid w:val="413F4513"/>
    <w:rsid w:val="417B1A48"/>
    <w:rsid w:val="425653ED"/>
    <w:rsid w:val="42572943"/>
    <w:rsid w:val="425774EC"/>
    <w:rsid w:val="4320516C"/>
    <w:rsid w:val="43635021"/>
    <w:rsid w:val="436F0952"/>
    <w:rsid w:val="43BC0257"/>
    <w:rsid w:val="446D0E37"/>
    <w:rsid w:val="45322B8C"/>
    <w:rsid w:val="45C44CE7"/>
    <w:rsid w:val="460C5511"/>
    <w:rsid w:val="46172B5D"/>
    <w:rsid w:val="462735A7"/>
    <w:rsid w:val="462C3441"/>
    <w:rsid w:val="462C55DF"/>
    <w:rsid w:val="46F506BE"/>
    <w:rsid w:val="47C46449"/>
    <w:rsid w:val="47C6603F"/>
    <w:rsid w:val="47E26E94"/>
    <w:rsid w:val="4801419E"/>
    <w:rsid w:val="48452510"/>
    <w:rsid w:val="48A65914"/>
    <w:rsid w:val="48FA296C"/>
    <w:rsid w:val="493510BD"/>
    <w:rsid w:val="49C34948"/>
    <w:rsid w:val="4A367202"/>
    <w:rsid w:val="4A5F7A86"/>
    <w:rsid w:val="4AC02F10"/>
    <w:rsid w:val="4B0B04B0"/>
    <w:rsid w:val="4B900DE3"/>
    <w:rsid w:val="4BCD40B9"/>
    <w:rsid w:val="4E130532"/>
    <w:rsid w:val="4E637FCB"/>
    <w:rsid w:val="4ED77978"/>
    <w:rsid w:val="4F6C4E4D"/>
    <w:rsid w:val="4F6C59D8"/>
    <w:rsid w:val="4F931BF5"/>
    <w:rsid w:val="4FC85AF3"/>
    <w:rsid w:val="507408A5"/>
    <w:rsid w:val="515846BB"/>
    <w:rsid w:val="51BF39C6"/>
    <w:rsid w:val="524E3378"/>
    <w:rsid w:val="525B282B"/>
    <w:rsid w:val="5382461A"/>
    <w:rsid w:val="53DA5F05"/>
    <w:rsid w:val="54C80091"/>
    <w:rsid w:val="54F92D97"/>
    <w:rsid w:val="55805F3E"/>
    <w:rsid w:val="5581153A"/>
    <w:rsid w:val="568E62D8"/>
    <w:rsid w:val="569233D9"/>
    <w:rsid w:val="56A75170"/>
    <w:rsid w:val="574F3E1A"/>
    <w:rsid w:val="5823218D"/>
    <w:rsid w:val="58D34CC8"/>
    <w:rsid w:val="59330A98"/>
    <w:rsid w:val="5ABF3451"/>
    <w:rsid w:val="5AD35256"/>
    <w:rsid w:val="5B3139D6"/>
    <w:rsid w:val="5B9B1A18"/>
    <w:rsid w:val="5C3D7053"/>
    <w:rsid w:val="5C5454B7"/>
    <w:rsid w:val="5C7323FE"/>
    <w:rsid w:val="5CB65B9E"/>
    <w:rsid w:val="5CF72A98"/>
    <w:rsid w:val="5D667DB0"/>
    <w:rsid w:val="5E695EF6"/>
    <w:rsid w:val="5F6B5DCE"/>
    <w:rsid w:val="5FC448B3"/>
    <w:rsid w:val="5FFA59CD"/>
    <w:rsid w:val="604E7CD6"/>
    <w:rsid w:val="60B847DE"/>
    <w:rsid w:val="612D4E7A"/>
    <w:rsid w:val="613C0A8C"/>
    <w:rsid w:val="61B46C76"/>
    <w:rsid w:val="61C413FD"/>
    <w:rsid w:val="62AC4A7C"/>
    <w:rsid w:val="631C3660"/>
    <w:rsid w:val="64F46001"/>
    <w:rsid w:val="6531690D"/>
    <w:rsid w:val="668956D6"/>
    <w:rsid w:val="66A13646"/>
    <w:rsid w:val="66B43477"/>
    <w:rsid w:val="66E53A46"/>
    <w:rsid w:val="67E23D64"/>
    <w:rsid w:val="67ED6C76"/>
    <w:rsid w:val="6A016C22"/>
    <w:rsid w:val="6A337ADD"/>
    <w:rsid w:val="6A52260C"/>
    <w:rsid w:val="6C67722E"/>
    <w:rsid w:val="6D4530D8"/>
    <w:rsid w:val="6E0A31D0"/>
    <w:rsid w:val="6E17430D"/>
    <w:rsid w:val="6EC17357"/>
    <w:rsid w:val="6F5E0C47"/>
    <w:rsid w:val="7020244E"/>
    <w:rsid w:val="70C5215B"/>
    <w:rsid w:val="713426AF"/>
    <w:rsid w:val="718B5C31"/>
    <w:rsid w:val="71E219F3"/>
    <w:rsid w:val="725F1FC7"/>
    <w:rsid w:val="726C519A"/>
    <w:rsid w:val="72C953E5"/>
    <w:rsid w:val="73BC5F3C"/>
    <w:rsid w:val="73D4178E"/>
    <w:rsid w:val="73F27FAF"/>
    <w:rsid w:val="746565D3"/>
    <w:rsid w:val="748C4417"/>
    <w:rsid w:val="74942A9D"/>
    <w:rsid w:val="74F0484D"/>
    <w:rsid w:val="753108D6"/>
    <w:rsid w:val="759C18AE"/>
    <w:rsid w:val="759D24BD"/>
    <w:rsid w:val="764E2401"/>
    <w:rsid w:val="766B7435"/>
    <w:rsid w:val="776C4AFF"/>
    <w:rsid w:val="778F5324"/>
    <w:rsid w:val="77BE41D6"/>
    <w:rsid w:val="78BB6AD2"/>
    <w:rsid w:val="78C334C2"/>
    <w:rsid w:val="78D87596"/>
    <w:rsid w:val="79080781"/>
    <w:rsid w:val="791B27F0"/>
    <w:rsid w:val="799777F3"/>
    <w:rsid w:val="7B252A78"/>
    <w:rsid w:val="7C2135C1"/>
    <w:rsid w:val="7CB24380"/>
    <w:rsid w:val="7D8F11FD"/>
    <w:rsid w:val="7E8426BD"/>
    <w:rsid w:val="7F111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qFormat="1"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00" w:lineRule="exact"/>
      <w:ind w:firstLine="883"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
    <w:pPr>
      <w:keepNext/>
      <w:keepLines/>
      <w:numPr>
        <w:ilvl w:val="0"/>
        <w:numId w:val="1"/>
      </w:numPr>
      <w:tabs>
        <w:tab w:val="left" w:pos="600"/>
      </w:tabs>
      <w:spacing w:before="100" w:beforeLines="100" w:after="100" w:afterLines="100" w:line="360" w:lineRule="auto"/>
      <w:ind w:left="0" w:firstLine="0" w:firstLineChars="0"/>
      <w:jc w:val="left"/>
      <w:outlineLvl w:val="0"/>
    </w:pPr>
    <w:rPr>
      <w:rFonts w:ascii="宋体" w:hAnsi="宋体" w:cs="宋体"/>
      <w:b/>
      <w:bCs/>
      <w:color w:val="000000"/>
      <w:kern w:val="44"/>
      <w:sz w:val="32"/>
      <w:szCs w:val="44"/>
    </w:rPr>
  </w:style>
  <w:style w:type="paragraph" w:styleId="3">
    <w:name w:val="heading 2"/>
    <w:basedOn w:val="1"/>
    <w:next w:val="1"/>
    <w:link w:val="50"/>
    <w:qFormat/>
    <w:uiPriority w:val="9"/>
    <w:pPr>
      <w:keepNext/>
      <w:keepLines/>
      <w:tabs>
        <w:tab w:val="left" w:pos="1620"/>
      </w:tabs>
      <w:spacing w:before="100" w:beforeLines="100" w:line="360" w:lineRule="auto"/>
      <w:ind w:firstLine="0" w:firstLineChars="0"/>
      <w:outlineLvl w:val="1"/>
    </w:pPr>
    <w:rPr>
      <w:b/>
      <w:bCs/>
      <w:color w:val="000000"/>
      <w:sz w:val="30"/>
      <w:szCs w:val="32"/>
    </w:rPr>
  </w:style>
  <w:style w:type="paragraph" w:styleId="4">
    <w:name w:val="heading 3"/>
    <w:basedOn w:val="1"/>
    <w:next w:val="1"/>
    <w:link w:val="51"/>
    <w:qFormat/>
    <w:uiPriority w:val="9"/>
    <w:pPr>
      <w:snapToGrid/>
      <w:spacing w:line="360" w:lineRule="auto"/>
      <w:ind w:firstLine="0" w:firstLineChars="0"/>
      <w:jc w:val="left"/>
      <w:outlineLvl w:val="2"/>
    </w:pPr>
    <w:rPr>
      <w:b/>
      <w:bCs/>
      <w:color w:val="000000"/>
    </w:rPr>
  </w:style>
  <w:style w:type="paragraph" w:styleId="5">
    <w:name w:val="heading 4"/>
    <w:basedOn w:val="1"/>
    <w:link w:val="65"/>
    <w:unhideWhenUsed/>
    <w:qFormat/>
    <w:uiPriority w:val="0"/>
    <w:pPr>
      <w:keepNext/>
      <w:keepLines/>
      <w:spacing w:before="50" w:beforeLines="50" w:line="360" w:lineRule="auto"/>
      <w:ind w:firstLine="0" w:firstLineChars="0"/>
      <w:jc w:val="left"/>
      <w:outlineLvl w:val="3"/>
    </w:pPr>
    <w:rPr>
      <w:b/>
    </w:rPr>
  </w:style>
  <w:style w:type="paragraph" w:styleId="6">
    <w:name w:val="heading 5"/>
    <w:basedOn w:val="1"/>
    <w:next w:val="1"/>
    <w:unhideWhenUsed/>
    <w:qFormat/>
    <w:uiPriority w:val="0"/>
    <w:pPr>
      <w:keepNext/>
      <w:keepLines/>
      <w:spacing w:before="157" w:beforeLines="50" w:line="360" w:lineRule="auto"/>
      <w:outlineLvl w:val="4"/>
    </w:pPr>
    <w:rPr>
      <w:b/>
    </w:rPr>
  </w:style>
  <w:style w:type="character" w:default="1" w:styleId="27">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200"/>
    </w:pPr>
  </w:style>
  <w:style w:type="paragraph" w:styleId="8">
    <w:name w:val="annotation text"/>
    <w:basedOn w:val="1"/>
    <w:link w:val="68"/>
    <w:qFormat/>
    <w:uiPriority w:val="0"/>
    <w:pPr>
      <w:jc w:val="left"/>
    </w:pPr>
  </w:style>
  <w:style w:type="paragraph" w:styleId="9">
    <w:name w:val="Body Text"/>
    <w:basedOn w:val="1"/>
    <w:qFormat/>
    <w:uiPriority w:val="0"/>
    <w:pPr>
      <w:spacing w:beforeLines="50" w:after="120"/>
      <w:jc w:val="center"/>
    </w:pPr>
    <w:rPr>
      <w:b/>
    </w:rPr>
  </w:style>
  <w:style w:type="paragraph" w:styleId="10">
    <w:name w:val="Body Text Indent"/>
    <w:next w:val="1"/>
    <w:qFormat/>
    <w:uiPriority w:val="0"/>
    <w:pPr>
      <w:widowControl w:val="0"/>
      <w:adjustRightInd w:val="0"/>
      <w:snapToGrid w:val="0"/>
      <w:spacing w:line="460" w:lineRule="exact"/>
      <w:ind w:firstLine="556"/>
      <w:jc w:val="both"/>
    </w:pPr>
    <w:rPr>
      <w:rFonts w:ascii="宋体" w:hAnsi="宋体" w:eastAsia="宋体" w:cs="Times New Roman"/>
      <w:kern w:val="2"/>
      <w:sz w:val="24"/>
      <w:szCs w:val="28"/>
      <w:lang w:val="en-US" w:eastAsia="zh-CN" w:bidi="ar-SA"/>
    </w:rPr>
  </w:style>
  <w:style w:type="paragraph" w:styleId="11">
    <w:name w:val="toc 3"/>
    <w:basedOn w:val="1"/>
    <w:next w:val="1"/>
    <w:qFormat/>
    <w:uiPriority w:val="0"/>
    <w:pPr>
      <w:ind w:left="840" w:leftChars="400"/>
    </w:pPr>
  </w:style>
  <w:style w:type="paragraph" w:styleId="12">
    <w:name w:val="Plain Text"/>
    <w:qFormat/>
    <w:uiPriority w:val="0"/>
    <w:pPr>
      <w:widowControl w:val="0"/>
      <w:tabs>
        <w:tab w:val="left" w:pos="8085"/>
      </w:tabs>
      <w:spacing w:line="520" w:lineRule="exact"/>
      <w:jc w:val="both"/>
    </w:pPr>
    <w:rPr>
      <w:rFonts w:ascii="Arial" w:hAnsi="Arial" w:eastAsia="宋体" w:cs="Times New Roman"/>
      <w:sz w:val="24"/>
      <w:lang w:val="en-US" w:eastAsia="zh-CN" w:bidi="ar-SA"/>
    </w:rPr>
  </w:style>
  <w:style w:type="paragraph" w:styleId="13">
    <w:name w:val="Body Text Indent 2"/>
    <w:basedOn w:val="1"/>
    <w:qFormat/>
    <w:uiPriority w:val="0"/>
    <w:pPr>
      <w:ind w:firstLine="560"/>
    </w:pPr>
  </w:style>
  <w:style w:type="paragraph" w:styleId="14">
    <w:name w:val="footer"/>
    <w:basedOn w:val="1"/>
    <w:qFormat/>
    <w:uiPriority w:val="0"/>
    <w:pPr>
      <w:tabs>
        <w:tab w:val="center" w:pos="4153"/>
        <w:tab w:val="right" w:pos="8306"/>
      </w:tabs>
      <w:spacing w:line="240" w:lineRule="auto"/>
      <w:jc w:val="left"/>
    </w:pPr>
    <w:rPr>
      <w:sz w:val="18"/>
      <w:szCs w:val="18"/>
    </w:rPr>
  </w:style>
  <w:style w:type="paragraph" w:styleId="15">
    <w:name w:val="header"/>
    <w:basedOn w:val="1"/>
    <w:qFormat/>
    <w:uiPriority w:val="0"/>
    <w:pPr>
      <w:pBdr>
        <w:bottom w:val="single" w:color="auto" w:sz="6" w:space="1"/>
      </w:pBdr>
      <w:tabs>
        <w:tab w:val="center" w:pos="4153"/>
        <w:tab w:val="right" w:pos="8306"/>
      </w:tabs>
      <w:spacing w:line="240" w:lineRule="auto"/>
      <w:jc w:val="center"/>
    </w:pPr>
    <w:rPr>
      <w:sz w:val="18"/>
      <w:szCs w:val="18"/>
    </w:rPr>
  </w:style>
  <w:style w:type="paragraph" w:styleId="16">
    <w:name w:val="toc 1"/>
    <w:basedOn w:val="1"/>
    <w:next w:val="1"/>
    <w:qFormat/>
    <w:uiPriority w:val="0"/>
  </w:style>
  <w:style w:type="paragraph" w:styleId="17">
    <w:name w:val="index heading"/>
    <w:next w:val="18"/>
    <w:qFormat/>
    <w:uiPriority w:val="0"/>
    <w:pPr>
      <w:widowControl w:val="0"/>
      <w:jc w:val="both"/>
    </w:pPr>
    <w:rPr>
      <w:rFonts w:ascii="宋体" w:hAnsi="宋体" w:eastAsia="宋体" w:cs="Times New Roman"/>
      <w:bCs/>
      <w:sz w:val="28"/>
      <w:lang w:val="en-US" w:eastAsia="zh-CN" w:bidi="ar-SA"/>
    </w:rPr>
  </w:style>
  <w:style w:type="paragraph" w:styleId="18">
    <w:name w:val="index 1"/>
    <w:next w:val="1"/>
    <w:qFormat/>
    <w:uiPriority w:val="0"/>
    <w:pPr>
      <w:widowControl w:val="0"/>
      <w:spacing w:line="280" w:lineRule="exact"/>
      <w:jc w:val="center"/>
    </w:pPr>
    <w:rPr>
      <w:rFonts w:ascii="宋体" w:hAnsi="宋体" w:eastAsia="宋体" w:cs="Times New Roman"/>
      <w:kern w:val="2"/>
      <w:sz w:val="21"/>
      <w:szCs w:val="21"/>
      <w:lang w:val="en-US" w:eastAsia="zh-CN" w:bidi="ar-SA"/>
    </w:rPr>
  </w:style>
  <w:style w:type="paragraph" w:styleId="19">
    <w:name w:val="toc 2"/>
    <w:basedOn w:val="1"/>
    <w:next w:val="1"/>
    <w:qFormat/>
    <w:uiPriority w:val="0"/>
    <w:pPr>
      <w:ind w:left="420" w:leftChars="200"/>
    </w:pPr>
  </w:style>
  <w:style w:type="paragraph" w:styleId="2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rPr>
  </w:style>
  <w:style w:type="paragraph" w:styleId="21">
    <w:name w:val="annotation subject"/>
    <w:basedOn w:val="8"/>
    <w:next w:val="8"/>
    <w:link w:val="69"/>
    <w:qFormat/>
    <w:uiPriority w:val="0"/>
    <w:rPr>
      <w:b/>
      <w:bCs/>
    </w:rPr>
  </w:style>
  <w:style w:type="paragraph" w:styleId="22">
    <w:name w:val="Body Text First Indent"/>
    <w:qFormat/>
    <w:uiPriority w:val="0"/>
    <w:pPr>
      <w:widowControl w:val="0"/>
      <w:spacing w:after="120"/>
      <w:ind w:firstLine="420" w:firstLineChars="100"/>
      <w:jc w:val="both"/>
    </w:pPr>
    <w:rPr>
      <w:rFonts w:ascii="Times New Roman" w:hAnsi="Times New Roman" w:eastAsia="宋体" w:cs="Times New Roman"/>
      <w:color w:val="000000"/>
      <w:kern w:val="2"/>
      <w:sz w:val="24"/>
      <w:szCs w:val="24"/>
      <w:lang w:val="en-US" w:eastAsia="zh-CN" w:bidi="ar-SA"/>
    </w:rPr>
  </w:style>
  <w:style w:type="paragraph" w:styleId="23">
    <w:name w:val="Body Text First Indent 2"/>
    <w:next w:val="1"/>
    <w:qFormat/>
    <w:uiPriority w:val="0"/>
    <w:pPr>
      <w:widowControl w:val="0"/>
      <w:tabs>
        <w:tab w:val="left" w:pos="420"/>
        <w:tab w:val="left" w:pos="870"/>
        <w:tab w:val="left" w:pos="3150"/>
      </w:tabs>
      <w:autoSpaceDE w:val="0"/>
      <w:autoSpaceDN w:val="0"/>
      <w:adjustRightInd w:val="0"/>
      <w:spacing w:beforeLines="25" w:line="336" w:lineRule="auto"/>
      <w:ind w:firstLine="527"/>
      <w:jc w:val="both"/>
      <w:textAlignment w:val="baseline"/>
    </w:pPr>
    <w:rPr>
      <w:rFonts w:ascii="宋体" w:hAnsi="Times New Roman" w:eastAsia="宋体" w:cs="Times New Roman"/>
      <w:kern w:val="2"/>
      <w:sz w:val="24"/>
      <w:szCs w:val="28"/>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6">
    <w:name w:val="Table Them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tcBorders>
        <w:top w:val="single" w:color="auto" w:sz="4" w:space="0"/>
        <w:left w:val="single" w:color="auto" w:sz="4" w:space="0"/>
        <w:bottom w:val="single" w:color="auto" w:sz="4" w:space="0"/>
        <w:right w:val="single" w:color="auto" w:sz="4" w:space="0"/>
      </w:tcBorders>
    </w:tcPr>
  </w:style>
  <w:style w:type="character" w:styleId="28">
    <w:name w:val="page number"/>
    <w:qFormat/>
    <w:uiPriority w:val="0"/>
  </w:style>
  <w:style w:type="character" w:styleId="29">
    <w:name w:val="annotation reference"/>
    <w:qFormat/>
    <w:uiPriority w:val="99"/>
    <w:rPr>
      <w:sz w:val="21"/>
    </w:rPr>
  </w:style>
  <w:style w:type="paragraph" w:customStyle="1" w:styleId="30">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rPr>
  </w:style>
  <w:style w:type="paragraph" w:customStyle="1" w:styleId="31">
    <w:name w:val="正文5"/>
    <w:basedOn w:val="1"/>
    <w:qFormat/>
    <w:uiPriority w:val="0"/>
  </w:style>
  <w:style w:type="table" w:customStyle="1" w:styleId="32">
    <w:name w:val="表格主题1"/>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表格主题2"/>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
    <w:name w:val="样式 样式 表格 + 五号 行距: 单倍行距 + (符号) 宋体 紧缩量  0.5 磅"/>
    <w:basedOn w:val="35"/>
    <w:semiHidden/>
    <w:qFormat/>
    <w:uiPriority w:val="0"/>
    <w:rPr>
      <w:spacing w:val="-10"/>
      <w:sz w:val="18"/>
    </w:rPr>
  </w:style>
  <w:style w:type="paragraph" w:customStyle="1" w:styleId="35">
    <w:name w:val="样式 表格 + 五号 行距: 单倍行距"/>
    <w:basedOn w:val="36"/>
    <w:qFormat/>
    <w:uiPriority w:val="0"/>
    <w:rPr>
      <w:rFonts w:hAnsi="Calibri" w:cs="宋体"/>
      <w:color w:val="000080"/>
      <w:kern w:val="2"/>
      <w:szCs w:val="22"/>
    </w:rPr>
  </w:style>
  <w:style w:type="paragraph" w:customStyle="1" w:styleId="36">
    <w:name w:val="表格"/>
    <w:basedOn w:val="37"/>
    <w:next w:val="1"/>
    <w:qFormat/>
    <w:uiPriority w:val="0"/>
    <w:rPr>
      <w:kern w:val="0"/>
    </w:rPr>
  </w:style>
  <w:style w:type="paragraph" w:customStyle="1" w:styleId="37">
    <w:name w:val="表格文字"/>
    <w:basedOn w:val="9"/>
    <w:next w:val="9"/>
    <w:qFormat/>
    <w:uiPriority w:val="0"/>
    <w:pPr>
      <w:adjustRightInd/>
      <w:snapToGrid/>
      <w:spacing w:line="240" w:lineRule="auto"/>
      <w:ind w:firstLine="0" w:firstLineChars="0"/>
    </w:pPr>
    <w:rPr>
      <w:b w:val="0"/>
      <w:kern w:val="44"/>
      <w:sz w:val="21"/>
      <w:szCs w:val="20"/>
    </w:rPr>
  </w:style>
  <w:style w:type="character" w:customStyle="1" w:styleId="38">
    <w:name w:val="font11"/>
    <w:basedOn w:val="27"/>
    <w:qFormat/>
    <w:uiPriority w:val="0"/>
    <w:rPr>
      <w:rFonts w:hint="eastAsia" w:ascii="宋体" w:hAnsi="宋体" w:eastAsia="宋体" w:cs="宋体"/>
      <w:b/>
      <w:bCs/>
      <w:color w:val="000000"/>
      <w:sz w:val="21"/>
      <w:szCs w:val="21"/>
      <w:u w:val="none"/>
    </w:rPr>
  </w:style>
  <w:style w:type="character" w:customStyle="1" w:styleId="39">
    <w:name w:val="font51"/>
    <w:basedOn w:val="27"/>
    <w:qFormat/>
    <w:uiPriority w:val="0"/>
    <w:rPr>
      <w:rFonts w:hint="default" w:ascii="Times New Roman" w:hAnsi="Times New Roman" w:cs="Times New Roman"/>
      <w:b/>
      <w:bCs/>
      <w:color w:val="000000"/>
      <w:sz w:val="21"/>
      <w:szCs w:val="21"/>
      <w:u w:val="none"/>
    </w:rPr>
  </w:style>
  <w:style w:type="character" w:customStyle="1" w:styleId="40">
    <w:name w:val="font41"/>
    <w:basedOn w:val="27"/>
    <w:qFormat/>
    <w:uiPriority w:val="0"/>
    <w:rPr>
      <w:rFonts w:hint="eastAsia" w:ascii="宋体" w:hAnsi="宋体" w:eastAsia="宋体" w:cs="宋体"/>
      <w:color w:val="000000"/>
      <w:sz w:val="21"/>
      <w:szCs w:val="21"/>
      <w:u w:val="none"/>
    </w:rPr>
  </w:style>
  <w:style w:type="character" w:customStyle="1" w:styleId="41">
    <w:name w:val="font31"/>
    <w:basedOn w:val="27"/>
    <w:qFormat/>
    <w:uiPriority w:val="0"/>
    <w:rPr>
      <w:rFonts w:hint="default" w:ascii="Times New Roman" w:hAnsi="Times New Roman" w:cs="Times New Roman"/>
      <w:color w:val="000000"/>
      <w:sz w:val="21"/>
      <w:szCs w:val="21"/>
      <w:u w:val="none"/>
    </w:rPr>
  </w:style>
  <w:style w:type="table" w:customStyle="1" w:styleId="42">
    <w:name w:val="网格型1"/>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character" w:customStyle="1" w:styleId="43">
    <w:name w:val="font21"/>
    <w:basedOn w:val="27"/>
    <w:qFormat/>
    <w:uiPriority w:val="0"/>
    <w:rPr>
      <w:rFonts w:hint="default" w:ascii="Times New Roman" w:hAnsi="Times New Roman" w:cs="Times New Roman"/>
      <w:b/>
      <w:bCs/>
      <w:color w:val="000000"/>
      <w:sz w:val="18"/>
      <w:szCs w:val="18"/>
      <w:u w:val="none"/>
    </w:rPr>
  </w:style>
  <w:style w:type="character" w:customStyle="1" w:styleId="44">
    <w:name w:val="font12"/>
    <w:basedOn w:val="27"/>
    <w:qFormat/>
    <w:uiPriority w:val="0"/>
    <w:rPr>
      <w:rFonts w:hint="default" w:ascii="Times New Roman" w:hAnsi="Times New Roman" w:cs="Times New Roman"/>
      <w:color w:val="000000"/>
      <w:sz w:val="18"/>
      <w:szCs w:val="18"/>
      <w:u w:val="none"/>
    </w:rPr>
  </w:style>
  <w:style w:type="character" w:customStyle="1" w:styleId="45">
    <w:name w:val="font61"/>
    <w:basedOn w:val="27"/>
    <w:qFormat/>
    <w:uiPriority w:val="0"/>
    <w:rPr>
      <w:rFonts w:hint="eastAsia" w:ascii="宋体" w:hAnsi="宋体" w:eastAsia="宋体" w:cs="宋体"/>
      <w:b/>
      <w:bCs/>
      <w:color w:val="000000"/>
      <w:sz w:val="18"/>
      <w:szCs w:val="18"/>
      <w:u w:val="none"/>
    </w:rPr>
  </w:style>
  <w:style w:type="character" w:customStyle="1" w:styleId="46">
    <w:name w:val="font91"/>
    <w:basedOn w:val="27"/>
    <w:qFormat/>
    <w:uiPriority w:val="0"/>
    <w:rPr>
      <w:rFonts w:hint="default" w:ascii="Times New Roman" w:hAnsi="Times New Roman" w:cs="Times New Roman"/>
      <w:color w:val="000000"/>
      <w:sz w:val="21"/>
      <w:szCs w:val="21"/>
      <w:u w:val="none"/>
      <w:vertAlign w:val="superscript"/>
    </w:rPr>
  </w:style>
  <w:style w:type="character" w:customStyle="1" w:styleId="47">
    <w:name w:val="font131"/>
    <w:basedOn w:val="27"/>
    <w:qFormat/>
    <w:uiPriority w:val="0"/>
    <w:rPr>
      <w:rFonts w:hint="default" w:ascii="Times New Roman" w:hAnsi="Times New Roman" w:cs="Times New Roman"/>
      <w:b/>
      <w:bCs/>
      <w:color w:val="000000"/>
      <w:sz w:val="21"/>
      <w:szCs w:val="21"/>
      <w:u w:val="none"/>
    </w:rPr>
  </w:style>
  <w:style w:type="character" w:customStyle="1" w:styleId="48">
    <w:name w:val="font122"/>
    <w:basedOn w:val="27"/>
    <w:qFormat/>
    <w:uiPriority w:val="0"/>
    <w:rPr>
      <w:rFonts w:hint="eastAsia" w:ascii="宋体" w:hAnsi="宋体" w:eastAsia="宋体" w:cs="宋体"/>
      <w:color w:val="000000"/>
      <w:sz w:val="18"/>
      <w:szCs w:val="18"/>
      <w:u w:val="none"/>
    </w:rPr>
  </w:style>
  <w:style w:type="paragraph" w:customStyle="1" w:styleId="49">
    <w:name w:val="图表题"/>
    <w:basedOn w:val="1"/>
    <w:link w:val="54"/>
    <w:qFormat/>
    <w:uiPriority w:val="0"/>
    <w:pPr>
      <w:spacing w:line="240" w:lineRule="auto"/>
      <w:ind w:firstLine="0" w:firstLineChars="0"/>
      <w:jc w:val="center"/>
    </w:pPr>
    <w:rPr>
      <w:b/>
    </w:rPr>
  </w:style>
  <w:style w:type="character" w:customStyle="1" w:styleId="50">
    <w:name w:val="标题 2 字符"/>
    <w:link w:val="3"/>
    <w:qFormat/>
    <w:uiPriority w:val="9"/>
    <w:rPr>
      <w:rFonts w:ascii="Times New Roman" w:hAnsi="Times New Roman" w:eastAsia="宋体" w:cs="Times New Roman"/>
      <w:b/>
      <w:bCs/>
      <w:color w:val="000000"/>
      <w:kern w:val="2"/>
      <w:sz w:val="30"/>
      <w:szCs w:val="32"/>
      <w:highlight w:val="none"/>
      <w:lang w:val="en-US" w:eastAsia="zh-CN" w:bidi="ar-SA"/>
    </w:rPr>
  </w:style>
  <w:style w:type="character" w:customStyle="1" w:styleId="51">
    <w:name w:val="标题 3 字符"/>
    <w:link w:val="4"/>
    <w:qFormat/>
    <w:uiPriority w:val="9"/>
    <w:rPr>
      <w:rFonts w:ascii="Times New Roman" w:hAnsi="Times New Roman" w:eastAsia="宋体" w:cs="Times New Roman"/>
      <w:b/>
      <w:bCs/>
      <w:color w:val="000000"/>
      <w:kern w:val="2"/>
      <w:sz w:val="24"/>
      <w:szCs w:val="24"/>
      <w:highlight w:val="none"/>
      <w:lang w:val="en-US" w:eastAsia="zh-CN" w:bidi="ar-SA"/>
    </w:rPr>
  </w:style>
  <w:style w:type="character" w:customStyle="1" w:styleId="52">
    <w:name w:val="font141"/>
    <w:basedOn w:val="27"/>
    <w:qFormat/>
    <w:uiPriority w:val="0"/>
    <w:rPr>
      <w:rFonts w:hint="eastAsia" w:ascii="宋体" w:hAnsi="宋体" w:eastAsia="宋体" w:cs="宋体"/>
      <w:b/>
      <w:bCs/>
      <w:color w:val="000000"/>
      <w:sz w:val="21"/>
      <w:szCs w:val="21"/>
      <w:u w:val="none"/>
    </w:rPr>
  </w:style>
  <w:style w:type="character" w:customStyle="1" w:styleId="53">
    <w:name w:val="font112"/>
    <w:basedOn w:val="27"/>
    <w:qFormat/>
    <w:uiPriority w:val="0"/>
    <w:rPr>
      <w:rFonts w:hint="default" w:ascii="Times New Roman" w:hAnsi="Times New Roman" w:cs="Times New Roman"/>
      <w:color w:val="000000"/>
      <w:sz w:val="18"/>
      <w:szCs w:val="18"/>
      <w:u w:val="none"/>
    </w:rPr>
  </w:style>
  <w:style w:type="character" w:customStyle="1" w:styleId="54">
    <w:name w:val="图表题 Char"/>
    <w:link w:val="49"/>
    <w:qFormat/>
    <w:uiPriority w:val="0"/>
    <w:rPr>
      <w:rFonts w:ascii="Times New Roman" w:hAnsi="Times New Roman" w:eastAsia="宋体"/>
      <w:b/>
      <w:sz w:val="24"/>
    </w:rPr>
  </w:style>
  <w:style w:type="table" w:customStyle="1" w:styleId="55">
    <w:name w:val="网格型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56">
    <w:name w:val="font81"/>
    <w:basedOn w:val="27"/>
    <w:qFormat/>
    <w:uiPriority w:val="0"/>
    <w:rPr>
      <w:rFonts w:hint="default" w:ascii="Times New Roman" w:hAnsi="Times New Roman" w:cs="Times New Roman"/>
      <w:b/>
      <w:bCs/>
      <w:color w:val="000000"/>
      <w:sz w:val="21"/>
      <w:szCs w:val="21"/>
      <w:u w:val="none"/>
      <w:vertAlign w:val="superscript"/>
    </w:rPr>
  </w:style>
  <w:style w:type="paragraph" w:customStyle="1" w:styleId="57">
    <w:name w:val="Table Text"/>
    <w:basedOn w:val="1"/>
    <w:semiHidden/>
    <w:qFormat/>
    <w:uiPriority w:val="0"/>
    <w:rPr>
      <w:rFonts w:ascii="仿宋" w:hAnsi="仿宋" w:eastAsia="仿宋" w:cs="仿宋"/>
      <w:sz w:val="20"/>
      <w:szCs w:val="20"/>
      <w:lang w:eastAsia="en-US"/>
    </w:rPr>
  </w:style>
  <w:style w:type="table" w:customStyle="1" w:styleId="58">
    <w:name w:val="Table Normal"/>
    <w:semiHidden/>
    <w:unhideWhenUsed/>
    <w:qFormat/>
    <w:uiPriority w:val="0"/>
    <w:tblPr>
      <w:tblCellMar>
        <w:top w:w="0" w:type="dxa"/>
        <w:left w:w="0" w:type="dxa"/>
        <w:bottom w:w="0" w:type="dxa"/>
        <w:right w:w="0" w:type="dxa"/>
      </w:tblCellMar>
    </w:tblPr>
  </w:style>
  <w:style w:type="paragraph" w:styleId="59">
    <w:name w:val="List Paragraph"/>
    <w:basedOn w:val="1"/>
    <w:qFormat/>
    <w:uiPriority w:val="34"/>
    <w:pPr>
      <w:adjustRightInd/>
      <w:snapToGrid/>
      <w:spacing w:line="240" w:lineRule="auto"/>
      <w:ind w:firstLine="420"/>
    </w:pPr>
    <w:rPr>
      <w:rFonts w:ascii="Calibri" w:hAnsi="Calibri"/>
      <w:sz w:val="21"/>
      <w:szCs w:val="22"/>
    </w:rPr>
  </w:style>
  <w:style w:type="paragraph" w:customStyle="1" w:styleId="60">
    <w:name w:val="样式 纯文本纯文本 Char Char Char纯文本 Char Char纯文本 Char Char Char Char ..."/>
    <w:qFormat/>
    <w:uiPriority w:val="0"/>
    <w:pPr>
      <w:widowControl w:val="0"/>
      <w:tabs>
        <w:tab w:val="left" w:pos="8085"/>
      </w:tabs>
      <w:spacing w:line="360" w:lineRule="auto"/>
      <w:ind w:firstLine="200" w:firstLineChars="200"/>
      <w:jc w:val="both"/>
    </w:pPr>
    <w:rPr>
      <w:rFonts w:ascii="宋体" w:hAnsi="宋体" w:eastAsia="宋体" w:cs="宋体"/>
      <w:kern w:val="2"/>
      <w:sz w:val="24"/>
      <w:szCs w:val="21"/>
      <w:lang w:val="en-US" w:eastAsia="zh-CN" w:bidi="ar-SA"/>
    </w:rPr>
  </w:style>
  <w:style w:type="paragraph" w:customStyle="1" w:styleId="61">
    <w:name w:val="样式2"/>
    <w:qFormat/>
    <w:uiPriority w:val="0"/>
    <w:pPr>
      <w:widowControl w:val="0"/>
      <w:spacing w:line="500" w:lineRule="exact"/>
      <w:jc w:val="both"/>
    </w:pPr>
    <w:rPr>
      <w:rFonts w:ascii="Arial" w:hAnsi="Arial" w:eastAsia="宋体" w:cs="Times New Roman"/>
      <w:snapToGrid w:val="0"/>
      <w:sz w:val="24"/>
      <w:lang w:val="en-US" w:eastAsia="zh-CN" w:bidi="ar-SA"/>
    </w:rPr>
  </w:style>
  <w:style w:type="paragraph" w:customStyle="1" w:styleId="62">
    <w:name w:val="WPS Plain"/>
    <w:qFormat/>
    <w:uiPriority w:val="99"/>
    <w:rPr>
      <w:rFonts w:ascii="Times New Roman" w:hAnsi="Times New Roman" w:eastAsia="宋体" w:cs="Times New Roman"/>
      <w:lang w:val="en-US" w:eastAsia="zh-CN" w:bidi="ar-SA"/>
    </w:rPr>
  </w:style>
  <w:style w:type="paragraph" w:customStyle="1" w:styleId="63">
    <w:name w:val="样式 标题 3小标题小节标题条标题1.1.1H3BOD 0Heading 3 - oldLevel 3 Head..."/>
    <w:qFormat/>
    <w:uiPriority w:val="99"/>
    <w:pPr>
      <w:widowControl w:val="0"/>
      <w:tabs>
        <w:tab w:val="left" w:pos="2490"/>
      </w:tabs>
      <w:adjustRightInd w:val="0"/>
      <w:spacing w:before="156" w:after="156" w:line="500" w:lineRule="exact"/>
      <w:outlineLvl w:val="2"/>
    </w:pPr>
    <w:rPr>
      <w:rFonts w:ascii="Times New Roman" w:hAnsi="Times New Roman" w:eastAsia="宋体" w:cs="宋体"/>
      <w:b/>
      <w:color w:val="000000"/>
      <w:kern w:val="2"/>
      <w:sz w:val="24"/>
      <w:lang w:val="en-US" w:eastAsia="zh-CN" w:bidi="ar-SA"/>
    </w:rPr>
  </w:style>
  <w:style w:type="paragraph" w:customStyle="1" w:styleId="64">
    <w:name w:val="!正文"/>
    <w:qFormat/>
    <w:uiPriority w:val="99"/>
    <w:pPr>
      <w:widowControl w:val="0"/>
      <w:tabs>
        <w:tab w:val="left" w:pos="840"/>
      </w:tabs>
      <w:spacing w:line="312"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65">
    <w:name w:val="标题 4 字符"/>
    <w:link w:val="5"/>
    <w:qFormat/>
    <w:uiPriority w:val="0"/>
    <w:rPr>
      <w:rFonts w:ascii="Times New Roman" w:eastAsia="宋体"/>
      <w:b/>
      <w:sz w:val="24"/>
    </w:rPr>
  </w:style>
  <w:style w:type="table" w:customStyle="1" w:styleId="66">
    <w:name w:val="网格型3"/>
    <w:qFormat/>
    <w:uiPriority w:val="39"/>
    <w:rPr>
      <w:rFonts w:ascii="等线" w:hAnsi="等线" w:eastAsia="等线"/>
      <w:kern w:val="2"/>
      <w:sz w:val="22"/>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67">
    <w:name w:val="网格型4"/>
    <w:qFormat/>
    <w:uiPriority w:val="39"/>
    <w:rPr>
      <w:rFonts w:ascii="等线" w:hAnsi="等线" w:eastAsia="等线"/>
      <w:kern w:val="2"/>
      <w:sz w:val="22"/>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68">
    <w:name w:val="批注文字 字符"/>
    <w:basedOn w:val="27"/>
    <w:link w:val="8"/>
    <w:qFormat/>
    <w:uiPriority w:val="0"/>
    <w:rPr>
      <w:kern w:val="2"/>
      <w:sz w:val="24"/>
      <w:szCs w:val="24"/>
    </w:rPr>
  </w:style>
  <w:style w:type="character" w:customStyle="1" w:styleId="69">
    <w:name w:val="批注主题 字符"/>
    <w:basedOn w:val="68"/>
    <w:link w:val="21"/>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60.emf"/><Relationship Id="rId80" Type="http://schemas.openxmlformats.org/officeDocument/2006/relationships/oleObject" Target="embeddings/oleObject11.bin"/><Relationship Id="rId8" Type="http://schemas.openxmlformats.org/officeDocument/2006/relationships/theme" Target="theme/theme1.xml"/><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emf"/><Relationship Id="rId73" Type="http://schemas.openxmlformats.org/officeDocument/2006/relationships/image" Target="media/image53.png"/><Relationship Id="rId72" Type="http://schemas.openxmlformats.org/officeDocument/2006/relationships/image" Target="media/image52.emf"/><Relationship Id="rId71" Type="http://schemas.openxmlformats.org/officeDocument/2006/relationships/package" Target="embeddings/Microsoft_Visio___2.vsdx"/><Relationship Id="rId70" Type="http://schemas.openxmlformats.org/officeDocument/2006/relationships/image" Target="media/image51.emf"/><Relationship Id="rId7" Type="http://schemas.openxmlformats.org/officeDocument/2006/relationships/footer" Target="footer3.xml"/><Relationship Id="rId69" Type="http://schemas.openxmlformats.org/officeDocument/2006/relationships/oleObject" Target="embeddings/oleObject10.bin"/><Relationship Id="rId68" Type="http://schemas.openxmlformats.org/officeDocument/2006/relationships/oleObject" Target="embeddings/oleObject9.bin"/><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wmf"/><Relationship Id="rId61" Type="http://schemas.openxmlformats.org/officeDocument/2006/relationships/oleObject" Target="embeddings/oleObject8.bin"/><Relationship Id="rId60" Type="http://schemas.openxmlformats.org/officeDocument/2006/relationships/image" Target="media/image44.wmf"/><Relationship Id="rId6" Type="http://schemas.openxmlformats.org/officeDocument/2006/relationships/footer" Target="footer2.xml"/><Relationship Id="rId59" Type="http://schemas.openxmlformats.org/officeDocument/2006/relationships/oleObject" Target="embeddings/oleObject7.bin"/><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jpeg"/><Relationship Id="rId48" Type="http://schemas.openxmlformats.org/officeDocument/2006/relationships/image" Target="media/image33.pn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wmf"/><Relationship Id="rId43" Type="http://schemas.openxmlformats.org/officeDocument/2006/relationships/image" Target="media/image28.wmf"/><Relationship Id="rId42" Type="http://schemas.openxmlformats.org/officeDocument/2006/relationships/image" Target="media/image27.wmf"/><Relationship Id="rId41" Type="http://schemas.openxmlformats.org/officeDocument/2006/relationships/image" Target="media/image26.wmf"/><Relationship Id="rId40" Type="http://schemas.openxmlformats.org/officeDocument/2006/relationships/image" Target="media/image25.wmf"/><Relationship Id="rId4" Type="http://schemas.openxmlformats.org/officeDocument/2006/relationships/endnotes" Target="endnotes.xml"/><Relationship Id="rId39" Type="http://schemas.openxmlformats.org/officeDocument/2006/relationships/image" Target="media/image24.wmf"/><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wmf"/><Relationship Id="rId35" Type="http://schemas.openxmlformats.org/officeDocument/2006/relationships/image" Target="media/image20.wmf"/><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emf"/><Relationship Id="rId28" Type="http://schemas.openxmlformats.org/officeDocument/2006/relationships/oleObject" Target="embeddings/oleObject6.bin"/><Relationship Id="rId27" Type="http://schemas.openxmlformats.org/officeDocument/2006/relationships/image" Target="media/image13.emf"/><Relationship Id="rId26" Type="http://schemas.openxmlformats.org/officeDocument/2006/relationships/oleObject" Target="embeddings/oleObject5.bin"/><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3.bin"/><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2.bin"/><Relationship Id="rId14" Type="http://schemas.openxmlformats.org/officeDocument/2006/relationships/image" Target="media/image4.emf"/><Relationship Id="rId13" Type="http://schemas.openxmlformats.org/officeDocument/2006/relationships/oleObject" Target="embeddings/oleObject1.bin"/><Relationship Id="rId12" Type="http://schemas.openxmlformats.org/officeDocument/2006/relationships/image" Target="media/image3.emf"/><Relationship Id="rId11" Type="http://schemas.openxmlformats.org/officeDocument/2006/relationships/package" Target="embeddings/Microsoft_Visio___1.vsdx"/><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374</Pages>
  <Words>2605</Words>
  <Characters>3799</Characters>
  <Lines>2511</Lines>
  <Paragraphs>706</Paragraphs>
  <TotalTime>54</TotalTime>
  <ScaleCrop>false</ScaleCrop>
  <LinksUpToDate>false</LinksUpToDate>
  <CharactersWithSpaces>4512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2026-03-31T08:42:00Z</dcterms:created>
  <dc:creator>99</dc:creator>
  <cp:lastModifiedBy>李正健</cp:lastModifiedBy>
  <dcterms:modified xsi:type="dcterms:W3CDTF">2026-06-11T05:43:31Z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7BD53A1106AC4E77811375E32943CB7B_13</vt:lpwstr>
  </property>
  <property fmtid="{D5CDD505-2E9C-101B-9397-08002B2CF9AE}" pid="4" name="KSOTemplateDocerSaveRecord">
    <vt:lpwstr>eyJoZGlkIjoiZGMyMDk0NzBiZjExNzU5MmU2MTI0ZjZhZDMwNDkyODEiLCJ1c2VySWQiOiI3NDA0ODUwNDYifQ==</vt:lpwstr>
  </property>
</Properties>
</file>